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9053ECB" w14:textId="46617666" w:rsidR="00DA3A15" w:rsidRPr="00C2587D" w:rsidRDefault="009A73FE" w:rsidP="00DA3A15">
      <w:pPr>
        <w:spacing w:after="120"/>
        <w:jc w:val="center"/>
        <w:rPr>
          <w:rFonts w:cs="Arial"/>
          <w:color w:val="0D0D0D"/>
          <w:sz w:val="28"/>
        </w:rPr>
      </w:pPr>
      <w:r w:rsidRPr="009A73FE">
        <w:rPr>
          <w:rFonts w:cs="Arial"/>
          <w:noProof/>
          <w:color w:val="0D0D0D"/>
          <w:sz w:val="28"/>
          <w:lang w:val="ru-RU"/>
        </w:rPr>
        <mc:AlternateContent>
          <mc:Choice Requires="wpg">
            <w:drawing>
              <wp:anchor distT="0" distB="0" distL="114300" distR="114300" simplePos="0" relativeHeight="251664384" behindDoc="0" locked="0" layoutInCell="1" allowOverlap="1" wp14:anchorId="3DBA6181" wp14:editId="7AA4CAAF">
                <wp:simplePos x="0" y="0"/>
                <wp:positionH relativeFrom="column">
                  <wp:posOffset>2549321</wp:posOffset>
                </wp:positionH>
                <wp:positionV relativeFrom="paragraph">
                  <wp:posOffset>-288399</wp:posOffset>
                </wp:positionV>
                <wp:extent cx="1019257" cy="1287134"/>
                <wp:effectExtent l="0" t="38100" r="28575" b="85090"/>
                <wp:wrapNone/>
                <wp:docPr id="5" name="Group 11"/>
                <wp:cNvGraphicFramePr/>
                <a:graphic xmlns:a="http://schemas.openxmlformats.org/drawingml/2006/main">
                  <a:graphicData uri="http://schemas.microsoft.com/office/word/2010/wordprocessingGroup">
                    <wpg:wgp>
                      <wpg:cNvGrpSpPr/>
                      <wpg:grpSpPr bwMode="auto">
                        <a:xfrm>
                          <a:off x="0" y="0"/>
                          <a:ext cx="1019257" cy="1287134"/>
                          <a:chOff x="-35" y="0"/>
                          <a:chExt cx="553" cy="624"/>
                        </a:xfrm>
                        <a:effectLst>
                          <a:outerShdw blurRad="50800" dist="38100" dir="2700000" algn="tl" rotWithShape="0">
                            <a:prstClr val="black">
                              <a:alpha val="40000"/>
                            </a:prstClr>
                          </a:outerShdw>
                        </a:effectLst>
                      </wpg:grpSpPr>
                      <wps:wsp>
                        <wps:cNvPr id="6" name="AutoShape 10"/>
                        <wps:cNvSpPr>
                          <a:spLocks noChangeAspect="1" noChangeArrowheads="1" noTextEdit="1"/>
                        </wps:cNvSpPr>
                        <wps:spPr bwMode="auto">
                          <a:xfrm>
                            <a:off x="0" y="0"/>
                            <a:ext cx="483" cy="624"/>
                          </a:xfrm>
                          <a:prstGeom prst="rect">
                            <a:avLst/>
                          </a:prstGeom>
                          <a:noFill/>
                          <a:ln w="9525">
                            <a:noFill/>
                            <a:miter lim="800000"/>
                            <a:headEnd/>
                            <a:tailEnd/>
                          </a:ln>
                        </wps:spPr>
                        <wps:bodyPr/>
                      </wps:wsp>
                      <wps:wsp>
                        <wps:cNvPr id="8" name="Freeform 12"/>
                        <wps:cNvSpPr>
                          <a:spLocks/>
                        </wps:cNvSpPr>
                        <wps:spPr bwMode="auto">
                          <a:xfrm>
                            <a:off x="-34" y="95"/>
                            <a:ext cx="551" cy="527"/>
                          </a:xfrm>
                          <a:custGeom>
                            <a:avLst/>
                            <a:gdLst/>
                            <a:ahLst/>
                            <a:cxnLst>
                              <a:cxn ang="0">
                                <a:pos x="323" y="623"/>
                              </a:cxn>
                              <a:cxn ang="0">
                                <a:pos x="310" y="614"/>
                              </a:cxn>
                              <a:cxn ang="0">
                                <a:pos x="226" y="565"/>
                              </a:cxn>
                              <a:cxn ang="0">
                                <a:pos x="92" y="306"/>
                              </a:cxn>
                              <a:cxn ang="0">
                                <a:pos x="84" y="283"/>
                              </a:cxn>
                              <a:cxn ang="0">
                                <a:pos x="45" y="228"/>
                              </a:cxn>
                              <a:cxn ang="0">
                                <a:pos x="77" y="223"/>
                              </a:cxn>
                              <a:cxn ang="0">
                                <a:pos x="76" y="207"/>
                              </a:cxn>
                              <a:cxn ang="0">
                                <a:pos x="84" y="187"/>
                              </a:cxn>
                              <a:cxn ang="0">
                                <a:pos x="71" y="186"/>
                              </a:cxn>
                              <a:cxn ang="0">
                                <a:pos x="76" y="193"/>
                              </a:cxn>
                              <a:cxn ang="0">
                                <a:pos x="71" y="176"/>
                              </a:cxn>
                              <a:cxn ang="0">
                                <a:pos x="92" y="174"/>
                              </a:cxn>
                              <a:cxn ang="0">
                                <a:pos x="56" y="96"/>
                              </a:cxn>
                              <a:cxn ang="0">
                                <a:pos x="65" y="57"/>
                              </a:cxn>
                              <a:cxn ang="0">
                                <a:pos x="108" y="33"/>
                              </a:cxn>
                              <a:cxn ang="0">
                                <a:pos x="108" y="23"/>
                              </a:cxn>
                              <a:cxn ang="0">
                                <a:pos x="146" y="24"/>
                              </a:cxn>
                              <a:cxn ang="0">
                                <a:pos x="166" y="12"/>
                              </a:cxn>
                              <a:cxn ang="0">
                                <a:pos x="208" y="36"/>
                              </a:cxn>
                              <a:cxn ang="0">
                                <a:pos x="336" y="1"/>
                              </a:cxn>
                              <a:cxn ang="0">
                                <a:pos x="463" y="36"/>
                              </a:cxn>
                              <a:cxn ang="0">
                                <a:pos x="506" y="12"/>
                              </a:cxn>
                              <a:cxn ang="0">
                                <a:pos x="526" y="24"/>
                              </a:cxn>
                              <a:cxn ang="0">
                                <a:pos x="564" y="23"/>
                              </a:cxn>
                              <a:cxn ang="0">
                                <a:pos x="564" y="33"/>
                              </a:cxn>
                              <a:cxn ang="0">
                                <a:pos x="607" y="57"/>
                              </a:cxn>
                              <a:cxn ang="0">
                                <a:pos x="616" y="96"/>
                              </a:cxn>
                              <a:cxn ang="0">
                                <a:pos x="580" y="175"/>
                              </a:cxn>
                              <a:cxn ang="0">
                                <a:pos x="601" y="176"/>
                              </a:cxn>
                              <a:cxn ang="0">
                                <a:pos x="596" y="193"/>
                              </a:cxn>
                              <a:cxn ang="0">
                                <a:pos x="601" y="186"/>
                              </a:cxn>
                              <a:cxn ang="0">
                                <a:pos x="588" y="187"/>
                              </a:cxn>
                              <a:cxn ang="0">
                                <a:pos x="596" y="207"/>
                              </a:cxn>
                              <a:cxn ang="0">
                                <a:pos x="595" y="223"/>
                              </a:cxn>
                              <a:cxn ang="0">
                                <a:pos x="627" y="228"/>
                              </a:cxn>
                              <a:cxn ang="0">
                                <a:pos x="588" y="283"/>
                              </a:cxn>
                              <a:cxn ang="0">
                                <a:pos x="580" y="306"/>
                              </a:cxn>
                              <a:cxn ang="0">
                                <a:pos x="446" y="565"/>
                              </a:cxn>
                              <a:cxn ang="0">
                                <a:pos x="362" y="614"/>
                              </a:cxn>
                              <a:cxn ang="0">
                                <a:pos x="349" y="623"/>
                              </a:cxn>
                            </a:cxnLst>
                            <a:rect l="0" t="0" r="r" b="b"/>
                            <a:pathLst>
                              <a:path w="672" h="642">
                                <a:moveTo>
                                  <a:pt x="336" y="642"/>
                                </a:moveTo>
                                <a:cubicBezTo>
                                  <a:pt x="336" y="642"/>
                                  <a:pt x="326" y="637"/>
                                  <a:pt x="323" y="623"/>
                                </a:cubicBezTo>
                                <a:cubicBezTo>
                                  <a:pt x="323" y="623"/>
                                  <a:pt x="322" y="629"/>
                                  <a:pt x="316" y="631"/>
                                </a:cubicBezTo>
                                <a:cubicBezTo>
                                  <a:pt x="316" y="631"/>
                                  <a:pt x="310" y="628"/>
                                  <a:pt x="310" y="614"/>
                                </a:cubicBezTo>
                                <a:cubicBezTo>
                                  <a:pt x="310" y="614"/>
                                  <a:pt x="298" y="613"/>
                                  <a:pt x="289" y="621"/>
                                </a:cubicBezTo>
                                <a:cubicBezTo>
                                  <a:pt x="289" y="621"/>
                                  <a:pt x="284" y="590"/>
                                  <a:pt x="226" y="565"/>
                                </a:cubicBezTo>
                                <a:cubicBezTo>
                                  <a:pt x="226" y="565"/>
                                  <a:pt x="213" y="560"/>
                                  <a:pt x="172" y="540"/>
                                </a:cubicBezTo>
                                <a:cubicBezTo>
                                  <a:pt x="0" y="445"/>
                                  <a:pt x="92" y="306"/>
                                  <a:pt x="92" y="306"/>
                                </a:cubicBezTo>
                                <a:cubicBezTo>
                                  <a:pt x="76" y="299"/>
                                  <a:pt x="78" y="287"/>
                                  <a:pt x="78" y="287"/>
                                </a:cubicBezTo>
                                <a:cubicBezTo>
                                  <a:pt x="78" y="287"/>
                                  <a:pt x="79" y="279"/>
                                  <a:pt x="84" y="283"/>
                                </a:cubicBezTo>
                                <a:cubicBezTo>
                                  <a:pt x="84" y="283"/>
                                  <a:pt x="79" y="252"/>
                                  <a:pt x="58" y="245"/>
                                </a:cubicBezTo>
                                <a:cubicBezTo>
                                  <a:pt x="50" y="244"/>
                                  <a:pt x="45" y="236"/>
                                  <a:pt x="45" y="228"/>
                                </a:cubicBezTo>
                                <a:cubicBezTo>
                                  <a:pt x="45" y="217"/>
                                  <a:pt x="52" y="209"/>
                                  <a:pt x="61" y="209"/>
                                </a:cubicBezTo>
                                <a:cubicBezTo>
                                  <a:pt x="68" y="209"/>
                                  <a:pt x="75" y="215"/>
                                  <a:pt x="77" y="223"/>
                                </a:cubicBezTo>
                                <a:cubicBezTo>
                                  <a:pt x="77" y="223"/>
                                  <a:pt x="80" y="234"/>
                                  <a:pt x="89" y="228"/>
                                </a:cubicBezTo>
                                <a:cubicBezTo>
                                  <a:pt x="94" y="206"/>
                                  <a:pt x="76" y="207"/>
                                  <a:pt x="76" y="207"/>
                                </a:cubicBezTo>
                                <a:cubicBezTo>
                                  <a:pt x="76" y="207"/>
                                  <a:pt x="77" y="196"/>
                                  <a:pt x="88" y="200"/>
                                </a:cubicBezTo>
                                <a:cubicBezTo>
                                  <a:pt x="88" y="200"/>
                                  <a:pt x="88" y="193"/>
                                  <a:pt x="84" y="187"/>
                                </a:cubicBezTo>
                                <a:cubicBezTo>
                                  <a:pt x="84" y="187"/>
                                  <a:pt x="80" y="181"/>
                                  <a:pt x="71" y="186"/>
                                </a:cubicBezTo>
                                <a:lnTo>
                                  <a:pt x="71" y="186"/>
                                </a:lnTo>
                                <a:cubicBezTo>
                                  <a:pt x="71" y="186"/>
                                  <a:pt x="73" y="184"/>
                                  <a:pt x="76" y="187"/>
                                </a:cubicBezTo>
                                <a:cubicBezTo>
                                  <a:pt x="78" y="190"/>
                                  <a:pt x="76" y="193"/>
                                  <a:pt x="76" y="193"/>
                                </a:cubicBezTo>
                                <a:cubicBezTo>
                                  <a:pt x="71" y="199"/>
                                  <a:pt x="64" y="194"/>
                                  <a:pt x="64" y="194"/>
                                </a:cubicBezTo>
                                <a:cubicBezTo>
                                  <a:pt x="64" y="194"/>
                                  <a:pt x="57" y="180"/>
                                  <a:pt x="71" y="176"/>
                                </a:cubicBezTo>
                                <a:cubicBezTo>
                                  <a:pt x="71" y="176"/>
                                  <a:pt x="68" y="166"/>
                                  <a:pt x="76" y="156"/>
                                </a:cubicBezTo>
                                <a:cubicBezTo>
                                  <a:pt x="76" y="156"/>
                                  <a:pt x="77" y="169"/>
                                  <a:pt x="92" y="174"/>
                                </a:cubicBezTo>
                                <a:cubicBezTo>
                                  <a:pt x="92" y="174"/>
                                  <a:pt x="88" y="93"/>
                                  <a:pt x="79" y="85"/>
                                </a:cubicBezTo>
                                <a:cubicBezTo>
                                  <a:pt x="68" y="99"/>
                                  <a:pt x="56" y="96"/>
                                  <a:pt x="56" y="96"/>
                                </a:cubicBezTo>
                                <a:cubicBezTo>
                                  <a:pt x="49" y="92"/>
                                  <a:pt x="44" y="85"/>
                                  <a:pt x="44" y="77"/>
                                </a:cubicBezTo>
                                <a:cubicBezTo>
                                  <a:pt x="44" y="66"/>
                                  <a:pt x="53" y="57"/>
                                  <a:pt x="65" y="57"/>
                                </a:cubicBezTo>
                                <a:cubicBezTo>
                                  <a:pt x="70" y="57"/>
                                  <a:pt x="75" y="59"/>
                                  <a:pt x="79" y="63"/>
                                </a:cubicBezTo>
                                <a:cubicBezTo>
                                  <a:pt x="79" y="63"/>
                                  <a:pt x="99" y="49"/>
                                  <a:pt x="108" y="33"/>
                                </a:cubicBezTo>
                                <a:cubicBezTo>
                                  <a:pt x="108" y="32"/>
                                  <a:pt x="108" y="30"/>
                                  <a:pt x="108" y="29"/>
                                </a:cubicBezTo>
                                <a:cubicBezTo>
                                  <a:pt x="108" y="27"/>
                                  <a:pt x="108" y="25"/>
                                  <a:pt x="108" y="23"/>
                                </a:cubicBezTo>
                                <a:cubicBezTo>
                                  <a:pt x="109" y="16"/>
                                  <a:pt x="117" y="11"/>
                                  <a:pt x="127" y="11"/>
                                </a:cubicBezTo>
                                <a:cubicBezTo>
                                  <a:pt x="137" y="11"/>
                                  <a:pt x="146" y="17"/>
                                  <a:pt x="146" y="24"/>
                                </a:cubicBezTo>
                                <a:cubicBezTo>
                                  <a:pt x="146" y="24"/>
                                  <a:pt x="146" y="24"/>
                                  <a:pt x="147" y="24"/>
                                </a:cubicBezTo>
                                <a:cubicBezTo>
                                  <a:pt x="147" y="24"/>
                                  <a:pt x="155" y="9"/>
                                  <a:pt x="166" y="12"/>
                                </a:cubicBezTo>
                                <a:cubicBezTo>
                                  <a:pt x="166" y="12"/>
                                  <a:pt x="160" y="20"/>
                                  <a:pt x="166" y="32"/>
                                </a:cubicBezTo>
                                <a:cubicBezTo>
                                  <a:pt x="171" y="39"/>
                                  <a:pt x="183" y="45"/>
                                  <a:pt x="208" y="36"/>
                                </a:cubicBezTo>
                                <a:cubicBezTo>
                                  <a:pt x="208" y="36"/>
                                  <a:pt x="213" y="34"/>
                                  <a:pt x="237" y="22"/>
                                </a:cubicBezTo>
                                <a:cubicBezTo>
                                  <a:pt x="237" y="22"/>
                                  <a:pt x="275" y="0"/>
                                  <a:pt x="336" y="1"/>
                                </a:cubicBezTo>
                                <a:cubicBezTo>
                                  <a:pt x="396" y="0"/>
                                  <a:pt x="434" y="22"/>
                                  <a:pt x="434" y="22"/>
                                </a:cubicBezTo>
                                <a:cubicBezTo>
                                  <a:pt x="458" y="34"/>
                                  <a:pt x="463" y="36"/>
                                  <a:pt x="463" y="36"/>
                                </a:cubicBezTo>
                                <a:cubicBezTo>
                                  <a:pt x="489" y="45"/>
                                  <a:pt x="501" y="39"/>
                                  <a:pt x="505" y="32"/>
                                </a:cubicBezTo>
                                <a:cubicBezTo>
                                  <a:pt x="511" y="20"/>
                                  <a:pt x="506" y="12"/>
                                  <a:pt x="506" y="12"/>
                                </a:cubicBezTo>
                                <a:cubicBezTo>
                                  <a:pt x="517" y="9"/>
                                  <a:pt x="525" y="24"/>
                                  <a:pt x="525" y="24"/>
                                </a:cubicBezTo>
                                <a:cubicBezTo>
                                  <a:pt x="526" y="25"/>
                                  <a:pt x="526" y="24"/>
                                  <a:pt x="526" y="24"/>
                                </a:cubicBezTo>
                                <a:cubicBezTo>
                                  <a:pt x="526" y="17"/>
                                  <a:pt x="535" y="11"/>
                                  <a:pt x="545" y="11"/>
                                </a:cubicBezTo>
                                <a:cubicBezTo>
                                  <a:pt x="555" y="11"/>
                                  <a:pt x="563" y="16"/>
                                  <a:pt x="564" y="23"/>
                                </a:cubicBezTo>
                                <a:cubicBezTo>
                                  <a:pt x="564" y="25"/>
                                  <a:pt x="564" y="27"/>
                                  <a:pt x="564" y="29"/>
                                </a:cubicBezTo>
                                <a:cubicBezTo>
                                  <a:pt x="564" y="30"/>
                                  <a:pt x="564" y="32"/>
                                  <a:pt x="564" y="33"/>
                                </a:cubicBezTo>
                                <a:cubicBezTo>
                                  <a:pt x="573" y="49"/>
                                  <a:pt x="593" y="63"/>
                                  <a:pt x="593" y="63"/>
                                </a:cubicBezTo>
                                <a:cubicBezTo>
                                  <a:pt x="597" y="59"/>
                                  <a:pt x="602" y="57"/>
                                  <a:pt x="607" y="57"/>
                                </a:cubicBezTo>
                                <a:cubicBezTo>
                                  <a:pt x="619" y="57"/>
                                  <a:pt x="628" y="66"/>
                                  <a:pt x="628" y="78"/>
                                </a:cubicBezTo>
                                <a:cubicBezTo>
                                  <a:pt x="628" y="85"/>
                                  <a:pt x="623" y="92"/>
                                  <a:pt x="616" y="96"/>
                                </a:cubicBezTo>
                                <a:cubicBezTo>
                                  <a:pt x="616" y="96"/>
                                  <a:pt x="604" y="99"/>
                                  <a:pt x="593" y="86"/>
                                </a:cubicBezTo>
                                <a:cubicBezTo>
                                  <a:pt x="584" y="94"/>
                                  <a:pt x="580" y="175"/>
                                  <a:pt x="580" y="175"/>
                                </a:cubicBezTo>
                                <a:cubicBezTo>
                                  <a:pt x="595" y="169"/>
                                  <a:pt x="596" y="156"/>
                                  <a:pt x="596" y="156"/>
                                </a:cubicBezTo>
                                <a:cubicBezTo>
                                  <a:pt x="604" y="166"/>
                                  <a:pt x="601" y="176"/>
                                  <a:pt x="601" y="176"/>
                                </a:cubicBezTo>
                                <a:cubicBezTo>
                                  <a:pt x="615" y="180"/>
                                  <a:pt x="608" y="194"/>
                                  <a:pt x="608" y="194"/>
                                </a:cubicBezTo>
                                <a:cubicBezTo>
                                  <a:pt x="608" y="194"/>
                                  <a:pt x="601" y="199"/>
                                  <a:pt x="596" y="193"/>
                                </a:cubicBezTo>
                                <a:cubicBezTo>
                                  <a:pt x="596" y="193"/>
                                  <a:pt x="594" y="190"/>
                                  <a:pt x="596" y="187"/>
                                </a:cubicBezTo>
                                <a:cubicBezTo>
                                  <a:pt x="599" y="184"/>
                                  <a:pt x="601" y="186"/>
                                  <a:pt x="601" y="186"/>
                                </a:cubicBezTo>
                                <a:lnTo>
                                  <a:pt x="601" y="186"/>
                                </a:lnTo>
                                <a:cubicBezTo>
                                  <a:pt x="592" y="181"/>
                                  <a:pt x="588" y="187"/>
                                  <a:pt x="588" y="187"/>
                                </a:cubicBezTo>
                                <a:cubicBezTo>
                                  <a:pt x="584" y="193"/>
                                  <a:pt x="584" y="200"/>
                                  <a:pt x="584" y="200"/>
                                </a:cubicBezTo>
                                <a:cubicBezTo>
                                  <a:pt x="595" y="197"/>
                                  <a:pt x="596" y="207"/>
                                  <a:pt x="596" y="207"/>
                                </a:cubicBezTo>
                                <a:cubicBezTo>
                                  <a:pt x="596" y="207"/>
                                  <a:pt x="578" y="206"/>
                                  <a:pt x="583" y="229"/>
                                </a:cubicBezTo>
                                <a:cubicBezTo>
                                  <a:pt x="592" y="234"/>
                                  <a:pt x="595" y="223"/>
                                  <a:pt x="595" y="223"/>
                                </a:cubicBezTo>
                                <a:cubicBezTo>
                                  <a:pt x="597" y="215"/>
                                  <a:pt x="604" y="209"/>
                                  <a:pt x="611" y="209"/>
                                </a:cubicBezTo>
                                <a:cubicBezTo>
                                  <a:pt x="620" y="209"/>
                                  <a:pt x="627" y="218"/>
                                  <a:pt x="627" y="228"/>
                                </a:cubicBezTo>
                                <a:cubicBezTo>
                                  <a:pt x="627" y="236"/>
                                  <a:pt x="622" y="244"/>
                                  <a:pt x="614" y="246"/>
                                </a:cubicBezTo>
                                <a:cubicBezTo>
                                  <a:pt x="593" y="252"/>
                                  <a:pt x="588" y="283"/>
                                  <a:pt x="588" y="283"/>
                                </a:cubicBezTo>
                                <a:cubicBezTo>
                                  <a:pt x="593" y="279"/>
                                  <a:pt x="594" y="288"/>
                                  <a:pt x="594" y="288"/>
                                </a:cubicBezTo>
                                <a:cubicBezTo>
                                  <a:pt x="594" y="288"/>
                                  <a:pt x="596" y="299"/>
                                  <a:pt x="580" y="306"/>
                                </a:cubicBezTo>
                                <a:cubicBezTo>
                                  <a:pt x="580" y="306"/>
                                  <a:pt x="672" y="445"/>
                                  <a:pt x="500" y="540"/>
                                </a:cubicBezTo>
                                <a:cubicBezTo>
                                  <a:pt x="459" y="560"/>
                                  <a:pt x="446" y="565"/>
                                  <a:pt x="446" y="565"/>
                                </a:cubicBezTo>
                                <a:cubicBezTo>
                                  <a:pt x="388" y="590"/>
                                  <a:pt x="383" y="621"/>
                                  <a:pt x="383" y="621"/>
                                </a:cubicBezTo>
                                <a:cubicBezTo>
                                  <a:pt x="374" y="613"/>
                                  <a:pt x="362" y="614"/>
                                  <a:pt x="362" y="614"/>
                                </a:cubicBezTo>
                                <a:cubicBezTo>
                                  <a:pt x="362" y="628"/>
                                  <a:pt x="356" y="632"/>
                                  <a:pt x="356" y="632"/>
                                </a:cubicBezTo>
                                <a:cubicBezTo>
                                  <a:pt x="350" y="629"/>
                                  <a:pt x="349" y="623"/>
                                  <a:pt x="349" y="623"/>
                                </a:cubicBezTo>
                                <a:cubicBezTo>
                                  <a:pt x="346" y="637"/>
                                  <a:pt x="336" y="642"/>
                                  <a:pt x="336" y="642"/>
                                </a:cubicBezTo>
                                <a:close/>
                              </a:path>
                            </a:pathLst>
                          </a:custGeom>
                          <a:solidFill>
                            <a:srgbClr val="F48000"/>
                          </a:solidFill>
                          <a:ln w="9525">
                            <a:noFill/>
                            <a:round/>
                            <a:headEnd/>
                            <a:tailEnd/>
                          </a:ln>
                        </wps:spPr>
                        <wps:bodyPr/>
                      </wps:wsp>
                      <wps:wsp>
                        <wps:cNvPr id="11" name="Freeform 13"/>
                        <wps:cNvSpPr>
                          <a:spLocks noEditPoints="1"/>
                        </wps:cNvSpPr>
                        <wps:spPr bwMode="auto">
                          <a:xfrm>
                            <a:off x="-35" y="95"/>
                            <a:ext cx="553" cy="528"/>
                          </a:xfrm>
                          <a:custGeom>
                            <a:avLst/>
                            <a:gdLst/>
                            <a:ahLst/>
                            <a:cxnLst>
                              <a:cxn ang="0">
                                <a:pos x="317" y="632"/>
                              </a:cxn>
                              <a:cxn ang="0">
                                <a:pos x="291" y="622"/>
                              </a:cxn>
                              <a:cxn ang="0">
                                <a:pos x="227" y="566"/>
                              </a:cxn>
                              <a:cxn ang="0">
                                <a:pos x="80" y="287"/>
                              </a:cxn>
                              <a:cxn ang="0">
                                <a:pos x="86" y="283"/>
                              </a:cxn>
                              <a:cxn ang="0">
                                <a:pos x="55" y="245"/>
                              </a:cxn>
                              <a:cxn ang="0">
                                <a:pos x="45" y="228"/>
                              </a:cxn>
                              <a:cxn ang="0">
                                <a:pos x="62" y="210"/>
                              </a:cxn>
                              <a:cxn ang="0">
                                <a:pos x="79" y="222"/>
                              </a:cxn>
                              <a:cxn ang="0">
                                <a:pos x="89" y="228"/>
                              </a:cxn>
                              <a:cxn ang="0">
                                <a:pos x="89" y="200"/>
                              </a:cxn>
                              <a:cxn ang="0">
                                <a:pos x="71" y="185"/>
                              </a:cxn>
                              <a:cxn ang="0">
                                <a:pos x="77" y="186"/>
                              </a:cxn>
                              <a:cxn ang="0">
                                <a:pos x="77" y="193"/>
                              </a:cxn>
                              <a:cxn ang="0">
                                <a:pos x="77" y="156"/>
                              </a:cxn>
                              <a:cxn ang="0">
                                <a:pos x="92" y="175"/>
                              </a:cxn>
                              <a:cxn ang="0">
                                <a:pos x="57" y="96"/>
                              </a:cxn>
                              <a:cxn ang="0">
                                <a:pos x="52" y="92"/>
                              </a:cxn>
                              <a:cxn ang="0">
                                <a:pos x="66" y="57"/>
                              </a:cxn>
                              <a:cxn ang="0">
                                <a:pos x="74" y="58"/>
                              </a:cxn>
                              <a:cxn ang="0">
                                <a:pos x="109" y="33"/>
                              </a:cxn>
                              <a:cxn ang="0">
                                <a:pos x="110" y="32"/>
                              </a:cxn>
                              <a:cxn ang="0">
                                <a:pos x="108" y="27"/>
                              </a:cxn>
                              <a:cxn ang="0">
                                <a:pos x="108" y="23"/>
                              </a:cxn>
                              <a:cxn ang="0">
                                <a:pos x="111" y="17"/>
                              </a:cxn>
                              <a:cxn ang="0">
                                <a:pos x="146" y="24"/>
                              </a:cxn>
                              <a:cxn ang="0">
                                <a:pos x="167" y="11"/>
                              </a:cxn>
                              <a:cxn ang="0">
                                <a:pos x="168" y="31"/>
                              </a:cxn>
                              <a:cxn ang="0">
                                <a:pos x="173" y="37"/>
                              </a:cxn>
                              <a:cxn ang="0">
                                <a:pos x="238" y="23"/>
                              </a:cxn>
                              <a:cxn ang="0">
                                <a:pos x="435" y="23"/>
                              </a:cxn>
                              <a:cxn ang="0">
                                <a:pos x="464" y="36"/>
                              </a:cxn>
                              <a:cxn ang="0">
                                <a:pos x="507" y="32"/>
                              </a:cxn>
                              <a:cxn ang="0">
                                <a:pos x="526" y="25"/>
                              </a:cxn>
                              <a:cxn ang="0">
                                <a:pos x="526" y="24"/>
                              </a:cxn>
                              <a:cxn ang="0">
                                <a:pos x="530" y="19"/>
                              </a:cxn>
                              <a:cxn ang="0">
                                <a:pos x="566" y="23"/>
                              </a:cxn>
                              <a:cxn ang="0">
                                <a:pos x="566" y="24"/>
                              </a:cxn>
                              <a:cxn ang="0">
                                <a:pos x="566" y="29"/>
                              </a:cxn>
                              <a:cxn ang="0">
                                <a:pos x="564" y="33"/>
                              </a:cxn>
                              <a:cxn ang="0">
                                <a:pos x="594" y="63"/>
                              </a:cxn>
                              <a:cxn ang="0">
                                <a:pos x="608" y="57"/>
                              </a:cxn>
                              <a:cxn ang="0">
                                <a:pos x="630" y="78"/>
                              </a:cxn>
                              <a:cxn ang="0">
                                <a:pos x="628" y="85"/>
                              </a:cxn>
                              <a:cxn ang="0">
                                <a:pos x="594" y="86"/>
                              </a:cxn>
                              <a:cxn ang="0">
                                <a:pos x="598" y="155"/>
                              </a:cxn>
                              <a:cxn ang="0">
                                <a:pos x="609" y="195"/>
                              </a:cxn>
                              <a:cxn ang="0">
                                <a:pos x="597" y="186"/>
                              </a:cxn>
                              <a:cxn ang="0">
                                <a:pos x="602" y="186"/>
                              </a:cxn>
                              <a:cxn ang="0">
                                <a:pos x="588" y="187"/>
                              </a:cxn>
                              <a:cxn ang="0">
                                <a:pos x="585" y="228"/>
                              </a:cxn>
                              <a:cxn ang="0">
                                <a:pos x="595" y="222"/>
                              </a:cxn>
                              <a:cxn ang="0">
                                <a:pos x="598" y="216"/>
                              </a:cxn>
                              <a:cxn ang="0">
                                <a:pos x="627" y="228"/>
                              </a:cxn>
                              <a:cxn ang="0">
                                <a:pos x="627" y="235"/>
                              </a:cxn>
                              <a:cxn ang="0">
                                <a:pos x="588" y="282"/>
                              </a:cxn>
                              <a:cxn ang="0">
                                <a:pos x="581" y="306"/>
                              </a:cxn>
                              <a:cxn ang="0">
                                <a:pos x="447" y="566"/>
                              </a:cxn>
                              <a:cxn ang="0">
                                <a:pos x="363" y="614"/>
                              </a:cxn>
                              <a:cxn ang="0">
                                <a:pos x="350" y="623"/>
                              </a:cxn>
                            </a:cxnLst>
                            <a:rect l="0" t="0" r="r" b="b"/>
                            <a:pathLst>
                              <a:path w="674" h="643">
                                <a:moveTo>
                                  <a:pt x="337" y="642"/>
                                </a:moveTo>
                                <a:cubicBezTo>
                                  <a:pt x="337" y="642"/>
                                  <a:pt x="327" y="637"/>
                                  <a:pt x="324" y="623"/>
                                </a:cubicBezTo>
                                <a:lnTo>
                                  <a:pt x="325" y="623"/>
                                </a:lnTo>
                                <a:cubicBezTo>
                                  <a:pt x="328" y="636"/>
                                  <a:pt x="337" y="641"/>
                                  <a:pt x="337" y="641"/>
                                </a:cubicBezTo>
                                <a:lnTo>
                                  <a:pt x="337" y="642"/>
                                </a:lnTo>
                                <a:close/>
                                <a:moveTo>
                                  <a:pt x="324" y="622"/>
                                </a:moveTo>
                                <a:lnTo>
                                  <a:pt x="324" y="620"/>
                                </a:lnTo>
                                <a:lnTo>
                                  <a:pt x="325" y="623"/>
                                </a:lnTo>
                                <a:lnTo>
                                  <a:pt x="324" y="623"/>
                                </a:lnTo>
                                <a:lnTo>
                                  <a:pt x="324" y="622"/>
                                </a:lnTo>
                                <a:close/>
                                <a:moveTo>
                                  <a:pt x="325" y="623"/>
                                </a:moveTo>
                                <a:cubicBezTo>
                                  <a:pt x="325" y="623"/>
                                  <a:pt x="323" y="629"/>
                                  <a:pt x="318" y="632"/>
                                </a:cubicBezTo>
                                <a:lnTo>
                                  <a:pt x="317" y="631"/>
                                </a:lnTo>
                                <a:cubicBezTo>
                                  <a:pt x="322" y="628"/>
                                  <a:pt x="324" y="623"/>
                                  <a:pt x="324" y="622"/>
                                </a:cubicBezTo>
                                <a:lnTo>
                                  <a:pt x="325" y="623"/>
                                </a:lnTo>
                                <a:close/>
                                <a:moveTo>
                                  <a:pt x="318" y="632"/>
                                </a:moveTo>
                                <a:lnTo>
                                  <a:pt x="317" y="632"/>
                                </a:lnTo>
                                <a:lnTo>
                                  <a:pt x="317" y="632"/>
                                </a:lnTo>
                                <a:lnTo>
                                  <a:pt x="317" y="631"/>
                                </a:lnTo>
                                <a:lnTo>
                                  <a:pt x="318" y="632"/>
                                </a:lnTo>
                                <a:close/>
                                <a:moveTo>
                                  <a:pt x="317" y="632"/>
                                </a:moveTo>
                                <a:cubicBezTo>
                                  <a:pt x="317" y="632"/>
                                  <a:pt x="311" y="628"/>
                                  <a:pt x="310" y="614"/>
                                </a:cubicBezTo>
                                <a:lnTo>
                                  <a:pt x="311" y="614"/>
                                </a:lnTo>
                                <a:cubicBezTo>
                                  <a:pt x="312" y="628"/>
                                  <a:pt x="318" y="631"/>
                                  <a:pt x="318" y="631"/>
                                </a:cubicBezTo>
                                <a:lnTo>
                                  <a:pt x="317" y="632"/>
                                </a:lnTo>
                                <a:close/>
                                <a:moveTo>
                                  <a:pt x="311" y="613"/>
                                </a:moveTo>
                                <a:lnTo>
                                  <a:pt x="311" y="613"/>
                                </a:lnTo>
                                <a:lnTo>
                                  <a:pt x="311" y="614"/>
                                </a:lnTo>
                                <a:lnTo>
                                  <a:pt x="311" y="614"/>
                                </a:lnTo>
                                <a:lnTo>
                                  <a:pt x="311" y="613"/>
                                </a:lnTo>
                                <a:close/>
                                <a:moveTo>
                                  <a:pt x="311" y="615"/>
                                </a:moveTo>
                                <a:cubicBezTo>
                                  <a:pt x="311" y="615"/>
                                  <a:pt x="299" y="614"/>
                                  <a:pt x="291" y="622"/>
                                </a:cubicBezTo>
                                <a:lnTo>
                                  <a:pt x="290" y="621"/>
                                </a:lnTo>
                                <a:cubicBezTo>
                                  <a:pt x="299" y="612"/>
                                  <a:pt x="311" y="613"/>
                                  <a:pt x="311" y="613"/>
                                </a:cubicBezTo>
                                <a:lnTo>
                                  <a:pt x="311" y="615"/>
                                </a:lnTo>
                                <a:close/>
                                <a:moveTo>
                                  <a:pt x="291" y="622"/>
                                </a:moveTo>
                                <a:lnTo>
                                  <a:pt x="290" y="622"/>
                                </a:lnTo>
                                <a:lnTo>
                                  <a:pt x="290" y="621"/>
                                </a:lnTo>
                                <a:lnTo>
                                  <a:pt x="290" y="621"/>
                                </a:lnTo>
                                <a:lnTo>
                                  <a:pt x="291" y="622"/>
                                </a:lnTo>
                                <a:close/>
                                <a:moveTo>
                                  <a:pt x="290" y="621"/>
                                </a:moveTo>
                                <a:cubicBezTo>
                                  <a:pt x="290" y="621"/>
                                  <a:pt x="284" y="590"/>
                                  <a:pt x="227" y="566"/>
                                </a:cubicBezTo>
                                <a:lnTo>
                                  <a:pt x="227" y="565"/>
                                </a:lnTo>
                                <a:cubicBezTo>
                                  <a:pt x="285" y="589"/>
                                  <a:pt x="291" y="621"/>
                                  <a:pt x="291" y="621"/>
                                </a:cubicBezTo>
                                <a:lnTo>
                                  <a:pt x="290" y="621"/>
                                </a:lnTo>
                                <a:close/>
                                <a:moveTo>
                                  <a:pt x="227" y="566"/>
                                </a:moveTo>
                                <a:lnTo>
                                  <a:pt x="227" y="566"/>
                                </a:lnTo>
                                <a:lnTo>
                                  <a:pt x="227" y="565"/>
                                </a:lnTo>
                                <a:lnTo>
                                  <a:pt x="227" y="566"/>
                                </a:lnTo>
                                <a:close/>
                                <a:moveTo>
                                  <a:pt x="227" y="566"/>
                                </a:moveTo>
                                <a:cubicBezTo>
                                  <a:pt x="227" y="566"/>
                                  <a:pt x="213" y="560"/>
                                  <a:pt x="173" y="540"/>
                                </a:cubicBezTo>
                                <a:lnTo>
                                  <a:pt x="174" y="539"/>
                                </a:lnTo>
                                <a:cubicBezTo>
                                  <a:pt x="214" y="559"/>
                                  <a:pt x="227" y="565"/>
                                  <a:pt x="227" y="565"/>
                                </a:cubicBezTo>
                                <a:lnTo>
                                  <a:pt x="227" y="566"/>
                                </a:lnTo>
                                <a:close/>
                                <a:moveTo>
                                  <a:pt x="173" y="540"/>
                                </a:moveTo>
                                <a:lnTo>
                                  <a:pt x="173" y="540"/>
                                </a:lnTo>
                                <a:lnTo>
                                  <a:pt x="173" y="540"/>
                                </a:lnTo>
                                <a:close/>
                                <a:moveTo>
                                  <a:pt x="173" y="540"/>
                                </a:moveTo>
                                <a:cubicBezTo>
                                  <a:pt x="0" y="445"/>
                                  <a:pt x="92" y="306"/>
                                  <a:pt x="92" y="306"/>
                                </a:cubicBezTo>
                                <a:lnTo>
                                  <a:pt x="93" y="306"/>
                                </a:lnTo>
                                <a:cubicBezTo>
                                  <a:pt x="93" y="307"/>
                                  <a:pt x="2" y="445"/>
                                  <a:pt x="174" y="539"/>
                                </a:cubicBezTo>
                                <a:lnTo>
                                  <a:pt x="173" y="540"/>
                                </a:lnTo>
                                <a:close/>
                                <a:moveTo>
                                  <a:pt x="93" y="306"/>
                                </a:moveTo>
                                <a:lnTo>
                                  <a:pt x="94" y="306"/>
                                </a:lnTo>
                                <a:lnTo>
                                  <a:pt x="93" y="306"/>
                                </a:lnTo>
                                <a:lnTo>
                                  <a:pt x="93" y="306"/>
                                </a:lnTo>
                                <a:close/>
                                <a:moveTo>
                                  <a:pt x="92" y="307"/>
                                </a:moveTo>
                                <a:cubicBezTo>
                                  <a:pt x="77" y="299"/>
                                  <a:pt x="79" y="287"/>
                                  <a:pt x="79" y="287"/>
                                </a:cubicBezTo>
                                <a:lnTo>
                                  <a:pt x="80" y="288"/>
                                </a:lnTo>
                                <a:cubicBezTo>
                                  <a:pt x="80" y="288"/>
                                  <a:pt x="78" y="298"/>
                                  <a:pt x="93" y="306"/>
                                </a:cubicBezTo>
                                <a:lnTo>
                                  <a:pt x="92" y="307"/>
                                </a:lnTo>
                                <a:close/>
                                <a:moveTo>
                                  <a:pt x="80" y="287"/>
                                </a:moveTo>
                                <a:lnTo>
                                  <a:pt x="80" y="287"/>
                                </a:lnTo>
                                <a:lnTo>
                                  <a:pt x="80" y="288"/>
                                </a:lnTo>
                                <a:lnTo>
                                  <a:pt x="79" y="287"/>
                                </a:lnTo>
                                <a:lnTo>
                                  <a:pt x="80" y="287"/>
                                </a:lnTo>
                                <a:close/>
                                <a:moveTo>
                                  <a:pt x="79" y="287"/>
                                </a:moveTo>
                                <a:cubicBezTo>
                                  <a:pt x="79" y="287"/>
                                  <a:pt x="79" y="278"/>
                                  <a:pt x="86" y="282"/>
                                </a:cubicBezTo>
                                <a:lnTo>
                                  <a:pt x="85" y="283"/>
                                </a:lnTo>
                                <a:cubicBezTo>
                                  <a:pt x="80" y="280"/>
                                  <a:pt x="80" y="287"/>
                                  <a:pt x="80" y="287"/>
                                </a:cubicBezTo>
                                <a:lnTo>
                                  <a:pt x="79" y="287"/>
                                </a:lnTo>
                                <a:close/>
                                <a:moveTo>
                                  <a:pt x="86" y="283"/>
                                </a:moveTo>
                                <a:lnTo>
                                  <a:pt x="86" y="284"/>
                                </a:lnTo>
                                <a:lnTo>
                                  <a:pt x="85" y="283"/>
                                </a:lnTo>
                                <a:lnTo>
                                  <a:pt x="85" y="283"/>
                                </a:lnTo>
                                <a:lnTo>
                                  <a:pt x="86" y="283"/>
                                </a:lnTo>
                                <a:close/>
                                <a:moveTo>
                                  <a:pt x="85" y="283"/>
                                </a:moveTo>
                                <a:cubicBezTo>
                                  <a:pt x="85" y="283"/>
                                  <a:pt x="80" y="253"/>
                                  <a:pt x="58" y="246"/>
                                </a:cubicBezTo>
                                <a:lnTo>
                                  <a:pt x="59" y="245"/>
                                </a:lnTo>
                                <a:cubicBezTo>
                                  <a:pt x="81" y="252"/>
                                  <a:pt x="86" y="283"/>
                                  <a:pt x="86" y="283"/>
                                </a:cubicBezTo>
                                <a:lnTo>
                                  <a:pt x="85" y="283"/>
                                </a:lnTo>
                                <a:close/>
                                <a:moveTo>
                                  <a:pt x="59" y="245"/>
                                </a:moveTo>
                                <a:lnTo>
                                  <a:pt x="59" y="245"/>
                                </a:lnTo>
                                <a:lnTo>
                                  <a:pt x="59" y="245"/>
                                </a:lnTo>
                                <a:close/>
                                <a:moveTo>
                                  <a:pt x="58" y="246"/>
                                </a:moveTo>
                                <a:lnTo>
                                  <a:pt x="58" y="246"/>
                                </a:lnTo>
                                <a:lnTo>
                                  <a:pt x="59" y="245"/>
                                </a:lnTo>
                                <a:lnTo>
                                  <a:pt x="59" y="245"/>
                                </a:lnTo>
                                <a:lnTo>
                                  <a:pt x="58" y="246"/>
                                </a:lnTo>
                                <a:close/>
                                <a:moveTo>
                                  <a:pt x="59" y="245"/>
                                </a:moveTo>
                                <a:lnTo>
                                  <a:pt x="59" y="245"/>
                                </a:lnTo>
                                <a:lnTo>
                                  <a:pt x="59" y="245"/>
                                </a:lnTo>
                                <a:close/>
                                <a:moveTo>
                                  <a:pt x="58" y="246"/>
                                </a:moveTo>
                                <a:cubicBezTo>
                                  <a:pt x="57" y="246"/>
                                  <a:pt x="56" y="245"/>
                                  <a:pt x="55" y="245"/>
                                </a:cubicBezTo>
                                <a:lnTo>
                                  <a:pt x="56" y="244"/>
                                </a:lnTo>
                                <a:cubicBezTo>
                                  <a:pt x="57" y="244"/>
                                  <a:pt x="58" y="245"/>
                                  <a:pt x="59" y="245"/>
                                </a:cubicBezTo>
                                <a:lnTo>
                                  <a:pt x="58" y="246"/>
                                </a:lnTo>
                                <a:close/>
                                <a:moveTo>
                                  <a:pt x="55" y="245"/>
                                </a:moveTo>
                                <a:lnTo>
                                  <a:pt x="55" y="245"/>
                                </a:lnTo>
                                <a:lnTo>
                                  <a:pt x="56" y="244"/>
                                </a:lnTo>
                                <a:lnTo>
                                  <a:pt x="55" y="245"/>
                                </a:lnTo>
                                <a:close/>
                                <a:moveTo>
                                  <a:pt x="55" y="245"/>
                                </a:moveTo>
                                <a:cubicBezTo>
                                  <a:pt x="54" y="244"/>
                                  <a:pt x="53" y="244"/>
                                  <a:pt x="53" y="243"/>
                                </a:cubicBezTo>
                                <a:lnTo>
                                  <a:pt x="53" y="242"/>
                                </a:lnTo>
                                <a:cubicBezTo>
                                  <a:pt x="54" y="243"/>
                                  <a:pt x="55" y="243"/>
                                  <a:pt x="56" y="244"/>
                                </a:cubicBezTo>
                                <a:lnTo>
                                  <a:pt x="55" y="245"/>
                                </a:lnTo>
                                <a:close/>
                                <a:moveTo>
                                  <a:pt x="53" y="243"/>
                                </a:moveTo>
                                <a:cubicBezTo>
                                  <a:pt x="48" y="240"/>
                                  <a:pt x="45" y="234"/>
                                  <a:pt x="45" y="228"/>
                                </a:cubicBezTo>
                                <a:lnTo>
                                  <a:pt x="47" y="228"/>
                                </a:lnTo>
                                <a:cubicBezTo>
                                  <a:pt x="47" y="233"/>
                                  <a:pt x="49" y="239"/>
                                  <a:pt x="53" y="242"/>
                                </a:cubicBezTo>
                                <a:lnTo>
                                  <a:pt x="53" y="243"/>
                                </a:lnTo>
                                <a:close/>
                                <a:moveTo>
                                  <a:pt x="45" y="228"/>
                                </a:moveTo>
                                <a:lnTo>
                                  <a:pt x="45" y="228"/>
                                </a:lnTo>
                                <a:lnTo>
                                  <a:pt x="47" y="228"/>
                                </a:lnTo>
                                <a:lnTo>
                                  <a:pt x="47" y="228"/>
                                </a:lnTo>
                                <a:lnTo>
                                  <a:pt x="45" y="228"/>
                                </a:lnTo>
                                <a:close/>
                                <a:moveTo>
                                  <a:pt x="45" y="228"/>
                                </a:moveTo>
                                <a:cubicBezTo>
                                  <a:pt x="45" y="222"/>
                                  <a:pt x="47" y="218"/>
                                  <a:pt x="50" y="214"/>
                                </a:cubicBezTo>
                                <a:lnTo>
                                  <a:pt x="51" y="215"/>
                                </a:lnTo>
                                <a:cubicBezTo>
                                  <a:pt x="48" y="218"/>
                                  <a:pt x="47" y="223"/>
                                  <a:pt x="47" y="228"/>
                                </a:cubicBezTo>
                                <a:lnTo>
                                  <a:pt x="45" y="228"/>
                                </a:lnTo>
                                <a:close/>
                                <a:moveTo>
                                  <a:pt x="50" y="214"/>
                                </a:moveTo>
                                <a:cubicBezTo>
                                  <a:pt x="53" y="211"/>
                                  <a:pt x="58" y="208"/>
                                  <a:pt x="62" y="208"/>
                                </a:cubicBezTo>
                                <a:lnTo>
                                  <a:pt x="62" y="210"/>
                                </a:lnTo>
                                <a:cubicBezTo>
                                  <a:pt x="58" y="210"/>
                                  <a:pt x="54" y="212"/>
                                  <a:pt x="51" y="215"/>
                                </a:cubicBezTo>
                                <a:lnTo>
                                  <a:pt x="50" y="214"/>
                                </a:lnTo>
                                <a:close/>
                                <a:moveTo>
                                  <a:pt x="62" y="208"/>
                                </a:moveTo>
                                <a:lnTo>
                                  <a:pt x="62" y="208"/>
                                </a:lnTo>
                                <a:lnTo>
                                  <a:pt x="62" y="210"/>
                                </a:lnTo>
                                <a:lnTo>
                                  <a:pt x="62" y="210"/>
                                </a:lnTo>
                                <a:lnTo>
                                  <a:pt x="62" y="208"/>
                                </a:lnTo>
                                <a:close/>
                                <a:moveTo>
                                  <a:pt x="62" y="208"/>
                                </a:moveTo>
                                <a:lnTo>
                                  <a:pt x="62" y="208"/>
                                </a:lnTo>
                                <a:lnTo>
                                  <a:pt x="62" y="210"/>
                                </a:lnTo>
                                <a:lnTo>
                                  <a:pt x="62" y="210"/>
                                </a:lnTo>
                                <a:lnTo>
                                  <a:pt x="62" y="208"/>
                                </a:lnTo>
                                <a:close/>
                                <a:moveTo>
                                  <a:pt x="62" y="208"/>
                                </a:moveTo>
                                <a:cubicBezTo>
                                  <a:pt x="64" y="208"/>
                                  <a:pt x="65" y="209"/>
                                  <a:pt x="66" y="209"/>
                                </a:cubicBezTo>
                                <a:lnTo>
                                  <a:pt x="66" y="210"/>
                                </a:lnTo>
                                <a:cubicBezTo>
                                  <a:pt x="65" y="210"/>
                                  <a:pt x="64" y="210"/>
                                  <a:pt x="62" y="210"/>
                                </a:cubicBezTo>
                                <a:lnTo>
                                  <a:pt x="62" y="208"/>
                                </a:lnTo>
                                <a:close/>
                                <a:moveTo>
                                  <a:pt x="66" y="209"/>
                                </a:moveTo>
                                <a:lnTo>
                                  <a:pt x="66" y="209"/>
                                </a:lnTo>
                                <a:lnTo>
                                  <a:pt x="66" y="210"/>
                                </a:lnTo>
                                <a:lnTo>
                                  <a:pt x="66" y="209"/>
                                </a:lnTo>
                                <a:close/>
                                <a:moveTo>
                                  <a:pt x="66" y="209"/>
                                </a:moveTo>
                                <a:cubicBezTo>
                                  <a:pt x="67" y="209"/>
                                  <a:pt x="68" y="210"/>
                                  <a:pt x="69" y="210"/>
                                </a:cubicBezTo>
                                <a:lnTo>
                                  <a:pt x="68" y="211"/>
                                </a:lnTo>
                                <a:cubicBezTo>
                                  <a:pt x="68" y="211"/>
                                  <a:pt x="67" y="211"/>
                                  <a:pt x="66" y="210"/>
                                </a:cubicBezTo>
                                <a:lnTo>
                                  <a:pt x="66" y="209"/>
                                </a:lnTo>
                                <a:close/>
                                <a:moveTo>
                                  <a:pt x="69" y="210"/>
                                </a:moveTo>
                                <a:cubicBezTo>
                                  <a:pt x="73" y="212"/>
                                  <a:pt x="77" y="217"/>
                                  <a:pt x="79" y="222"/>
                                </a:cubicBezTo>
                                <a:lnTo>
                                  <a:pt x="77" y="223"/>
                                </a:lnTo>
                                <a:cubicBezTo>
                                  <a:pt x="76" y="218"/>
                                  <a:pt x="73" y="213"/>
                                  <a:pt x="68" y="211"/>
                                </a:cubicBezTo>
                                <a:lnTo>
                                  <a:pt x="69" y="210"/>
                                </a:lnTo>
                                <a:close/>
                                <a:moveTo>
                                  <a:pt x="79" y="222"/>
                                </a:moveTo>
                                <a:lnTo>
                                  <a:pt x="79" y="222"/>
                                </a:lnTo>
                                <a:lnTo>
                                  <a:pt x="78" y="223"/>
                                </a:lnTo>
                                <a:lnTo>
                                  <a:pt x="79" y="222"/>
                                </a:lnTo>
                                <a:close/>
                                <a:moveTo>
                                  <a:pt x="79" y="222"/>
                                </a:moveTo>
                                <a:cubicBezTo>
                                  <a:pt x="79" y="222"/>
                                  <a:pt x="81" y="233"/>
                                  <a:pt x="90" y="228"/>
                                </a:cubicBezTo>
                                <a:lnTo>
                                  <a:pt x="90" y="229"/>
                                </a:lnTo>
                                <a:cubicBezTo>
                                  <a:pt x="81" y="235"/>
                                  <a:pt x="77" y="223"/>
                                  <a:pt x="77" y="223"/>
                                </a:cubicBezTo>
                                <a:lnTo>
                                  <a:pt x="79" y="222"/>
                                </a:lnTo>
                                <a:close/>
                                <a:moveTo>
                                  <a:pt x="90" y="229"/>
                                </a:moveTo>
                                <a:lnTo>
                                  <a:pt x="90" y="229"/>
                                </a:lnTo>
                                <a:lnTo>
                                  <a:pt x="90" y="229"/>
                                </a:lnTo>
                                <a:lnTo>
                                  <a:pt x="90" y="228"/>
                                </a:lnTo>
                                <a:lnTo>
                                  <a:pt x="90" y="229"/>
                                </a:lnTo>
                                <a:close/>
                                <a:moveTo>
                                  <a:pt x="89" y="228"/>
                                </a:moveTo>
                                <a:cubicBezTo>
                                  <a:pt x="94" y="207"/>
                                  <a:pt x="77" y="208"/>
                                  <a:pt x="77" y="208"/>
                                </a:cubicBezTo>
                                <a:lnTo>
                                  <a:pt x="77" y="207"/>
                                </a:lnTo>
                                <a:cubicBezTo>
                                  <a:pt x="77" y="207"/>
                                  <a:pt x="96" y="205"/>
                                  <a:pt x="90" y="229"/>
                                </a:cubicBezTo>
                                <a:lnTo>
                                  <a:pt x="89" y="228"/>
                                </a:lnTo>
                                <a:close/>
                                <a:moveTo>
                                  <a:pt x="77" y="208"/>
                                </a:moveTo>
                                <a:lnTo>
                                  <a:pt x="76" y="208"/>
                                </a:lnTo>
                                <a:lnTo>
                                  <a:pt x="76" y="207"/>
                                </a:lnTo>
                                <a:lnTo>
                                  <a:pt x="77" y="207"/>
                                </a:lnTo>
                                <a:lnTo>
                                  <a:pt x="77" y="208"/>
                                </a:lnTo>
                                <a:close/>
                                <a:moveTo>
                                  <a:pt x="76" y="207"/>
                                </a:moveTo>
                                <a:cubicBezTo>
                                  <a:pt x="76" y="207"/>
                                  <a:pt x="77" y="196"/>
                                  <a:pt x="89" y="200"/>
                                </a:cubicBezTo>
                                <a:lnTo>
                                  <a:pt x="89" y="201"/>
                                </a:lnTo>
                                <a:cubicBezTo>
                                  <a:pt x="78" y="197"/>
                                  <a:pt x="78" y="207"/>
                                  <a:pt x="78" y="207"/>
                                </a:cubicBezTo>
                                <a:lnTo>
                                  <a:pt x="76" y="207"/>
                                </a:lnTo>
                                <a:close/>
                                <a:moveTo>
                                  <a:pt x="90" y="200"/>
                                </a:moveTo>
                                <a:lnTo>
                                  <a:pt x="90" y="201"/>
                                </a:lnTo>
                                <a:lnTo>
                                  <a:pt x="89" y="201"/>
                                </a:lnTo>
                                <a:lnTo>
                                  <a:pt x="89" y="200"/>
                                </a:lnTo>
                                <a:lnTo>
                                  <a:pt x="90" y="200"/>
                                </a:lnTo>
                                <a:close/>
                                <a:moveTo>
                                  <a:pt x="88" y="200"/>
                                </a:moveTo>
                                <a:cubicBezTo>
                                  <a:pt x="88" y="200"/>
                                  <a:pt x="88" y="193"/>
                                  <a:pt x="85" y="187"/>
                                </a:cubicBezTo>
                                <a:lnTo>
                                  <a:pt x="86" y="187"/>
                                </a:lnTo>
                                <a:cubicBezTo>
                                  <a:pt x="90" y="193"/>
                                  <a:pt x="90" y="200"/>
                                  <a:pt x="90" y="200"/>
                                </a:cubicBezTo>
                                <a:lnTo>
                                  <a:pt x="88" y="200"/>
                                </a:lnTo>
                                <a:close/>
                                <a:moveTo>
                                  <a:pt x="86" y="187"/>
                                </a:moveTo>
                                <a:lnTo>
                                  <a:pt x="86" y="187"/>
                                </a:lnTo>
                                <a:lnTo>
                                  <a:pt x="85" y="187"/>
                                </a:lnTo>
                                <a:lnTo>
                                  <a:pt x="86" y="187"/>
                                </a:lnTo>
                                <a:close/>
                                <a:moveTo>
                                  <a:pt x="85" y="187"/>
                                </a:moveTo>
                                <a:cubicBezTo>
                                  <a:pt x="85" y="187"/>
                                  <a:pt x="81" y="181"/>
                                  <a:pt x="72" y="187"/>
                                </a:cubicBezTo>
                                <a:lnTo>
                                  <a:pt x="71" y="185"/>
                                </a:lnTo>
                                <a:cubicBezTo>
                                  <a:pt x="82" y="180"/>
                                  <a:pt x="86" y="187"/>
                                  <a:pt x="86" y="187"/>
                                </a:cubicBezTo>
                                <a:lnTo>
                                  <a:pt x="85" y="187"/>
                                </a:lnTo>
                                <a:close/>
                                <a:moveTo>
                                  <a:pt x="71" y="186"/>
                                </a:moveTo>
                                <a:lnTo>
                                  <a:pt x="71" y="186"/>
                                </a:lnTo>
                                <a:lnTo>
                                  <a:pt x="71" y="185"/>
                                </a:lnTo>
                                <a:lnTo>
                                  <a:pt x="72" y="186"/>
                                </a:lnTo>
                                <a:lnTo>
                                  <a:pt x="71" y="186"/>
                                </a:lnTo>
                                <a:close/>
                                <a:moveTo>
                                  <a:pt x="72" y="186"/>
                                </a:moveTo>
                                <a:lnTo>
                                  <a:pt x="72" y="186"/>
                                </a:lnTo>
                                <a:lnTo>
                                  <a:pt x="71" y="186"/>
                                </a:lnTo>
                                <a:lnTo>
                                  <a:pt x="71" y="186"/>
                                </a:lnTo>
                                <a:lnTo>
                                  <a:pt x="72" y="186"/>
                                </a:lnTo>
                                <a:close/>
                                <a:moveTo>
                                  <a:pt x="72" y="187"/>
                                </a:moveTo>
                                <a:lnTo>
                                  <a:pt x="71" y="188"/>
                                </a:lnTo>
                                <a:lnTo>
                                  <a:pt x="71" y="186"/>
                                </a:lnTo>
                                <a:lnTo>
                                  <a:pt x="72" y="186"/>
                                </a:lnTo>
                                <a:lnTo>
                                  <a:pt x="72" y="187"/>
                                </a:lnTo>
                                <a:close/>
                                <a:moveTo>
                                  <a:pt x="71" y="186"/>
                                </a:moveTo>
                                <a:cubicBezTo>
                                  <a:pt x="71" y="186"/>
                                  <a:pt x="74" y="183"/>
                                  <a:pt x="77" y="186"/>
                                </a:cubicBezTo>
                                <a:lnTo>
                                  <a:pt x="76" y="187"/>
                                </a:lnTo>
                                <a:cubicBezTo>
                                  <a:pt x="74" y="185"/>
                                  <a:pt x="72" y="187"/>
                                  <a:pt x="72" y="187"/>
                                </a:cubicBezTo>
                                <a:lnTo>
                                  <a:pt x="71" y="186"/>
                                </a:lnTo>
                                <a:close/>
                                <a:moveTo>
                                  <a:pt x="77" y="186"/>
                                </a:moveTo>
                                <a:lnTo>
                                  <a:pt x="77" y="186"/>
                                </a:lnTo>
                                <a:lnTo>
                                  <a:pt x="77" y="186"/>
                                </a:lnTo>
                                <a:lnTo>
                                  <a:pt x="77" y="187"/>
                                </a:lnTo>
                                <a:lnTo>
                                  <a:pt x="77" y="186"/>
                                </a:lnTo>
                                <a:close/>
                                <a:moveTo>
                                  <a:pt x="77" y="186"/>
                                </a:moveTo>
                                <a:cubicBezTo>
                                  <a:pt x="80" y="190"/>
                                  <a:pt x="78" y="194"/>
                                  <a:pt x="78" y="194"/>
                                </a:cubicBezTo>
                                <a:lnTo>
                                  <a:pt x="77" y="193"/>
                                </a:lnTo>
                                <a:cubicBezTo>
                                  <a:pt x="77" y="193"/>
                                  <a:pt x="78" y="190"/>
                                  <a:pt x="76" y="187"/>
                                </a:cubicBezTo>
                                <a:lnTo>
                                  <a:pt x="77" y="186"/>
                                </a:lnTo>
                                <a:close/>
                                <a:moveTo>
                                  <a:pt x="78" y="194"/>
                                </a:moveTo>
                                <a:lnTo>
                                  <a:pt x="78" y="194"/>
                                </a:lnTo>
                                <a:lnTo>
                                  <a:pt x="78" y="194"/>
                                </a:lnTo>
                                <a:lnTo>
                                  <a:pt x="77" y="193"/>
                                </a:lnTo>
                                <a:lnTo>
                                  <a:pt x="78" y="194"/>
                                </a:lnTo>
                                <a:close/>
                                <a:moveTo>
                                  <a:pt x="78" y="194"/>
                                </a:moveTo>
                                <a:cubicBezTo>
                                  <a:pt x="72" y="200"/>
                                  <a:pt x="65" y="194"/>
                                  <a:pt x="65" y="194"/>
                                </a:cubicBezTo>
                                <a:lnTo>
                                  <a:pt x="66" y="193"/>
                                </a:lnTo>
                                <a:cubicBezTo>
                                  <a:pt x="66" y="193"/>
                                  <a:pt x="72" y="198"/>
                                  <a:pt x="77" y="193"/>
                                </a:cubicBezTo>
                                <a:lnTo>
                                  <a:pt x="78" y="194"/>
                                </a:lnTo>
                                <a:close/>
                                <a:moveTo>
                                  <a:pt x="65" y="194"/>
                                </a:moveTo>
                                <a:lnTo>
                                  <a:pt x="65" y="194"/>
                                </a:lnTo>
                                <a:lnTo>
                                  <a:pt x="65" y="194"/>
                                </a:lnTo>
                                <a:lnTo>
                                  <a:pt x="65" y="194"/>
                                </a:lnTo>
                                <a:close/>
                                <a:moveTo>
                                  <a:pt x="65" y="194"/>
                                </a:moveTo>
                                <a:cubicBezTo>
                                  <a:pt x="65" y="194"/>
                                  <a:pt x="57" y="180"/>
                                  <a:pt x="72" y="175"/>
                                </a:cubicBezTo>
                                <a:lnTo>
                                  <a:pt x="72" y="176"/>
                                </a:lnTo>
                                <a:cubicBezTo>
                                  <a:pt x="58" y="180"/>
                                  <a:pt x="66" y="194"/>
                                  <a:pt x="66" y="194"/>
                                </a:cubicBezTo>
                                <a:lnTo>
                                  <a:pt x="65" y="194"/>
                                </a:lnTo>
                                <a:close/>
                                <a:moveTo>
                                  <a:pt x="73" y="176"/>
                                </a:moveTo>
                                <a:lnTo>
                                  <a:pt x="73" y="176"/>
                                </a:lnTo>
                                <a:lnTo>
                                  <a:pt x="72" y="176"/>
                                </a:lnTo>
                                <a:lnTo>
                                  <a:pt x="72" y="176"/>
                                </a:lnTo>
                                <a:lnTo>
                                  <a:pt x="73" y="176"/>
                                </a:lnTo>
                                <a:close/>
                                <a:moveTo>
                                  <a:pt x="71" y="176"/>
                                </a:moveTo>
                                <a:cubicBezTo>
                                  <a:pt x="71" y="176"/>
                                  <a:pt x="68" y="166"/>
                                  <a:pt x="76" y="155"/>
                                </a:cubicBezTo>
                                <a:lnTo>
                                  <a:pt x="77" y="156"/>
                                </a:lnTo>
                                <a:cubicBezTo>
                                  <a:pt x="70" y="166"/>
                                  <a:pt x="73" y="176"/>
                                  <a:pt x="73" y="176"/>
                                </a:cubicBezTo>
                                <a:lnTo>
                                  <a:pt x="71" y="176"/>
                                </a:lnTo>
                                <a:close/>
                                <a:moveTo>
                                  <a:pt x="76" y="155"/>
                                </a:moveTo>
                                <a:lnTo>
                                  <a:pt x="77" y="154"/>
                                </a:lnTo>
                                <a:lnTo>
                                  <a:pt x="77" y="156"/>
                                </a:lnTo>
                                <a:lnTo>
                                  <a:pt x="77" y="156"/>
                                </a:lnTo>
                                <a:lnTo>
                                  <a:pt x="76" y="155"/>
                                </a:lnTo>
                                <a:close/>
                                <a:moveTo>
                                  <a:pt x="77" y="156"/>
                                </a:moveTo>
                                <a:cubicBezTo>
                                  <a:pt x="77" y="156"/>
                                  <a:pt x="79" y="168"/>
                                  <a:pt x="93" y="174"/>
                                </a:cubicBezTo>
                                <a:lnTo>
                                  <a:pt x="93" y="175"/>
                                </a:lnTo>
                                <a:cubicBezTo>
                                  <a:pt x="77" y="169"/>
                                  <a:pt x="76" y="156"/>
                                  <a:pt x="76" y="156"/>
                                </a:cubicBezTo>
                                <a:lnTo>
                                  <a:pt x="77" y="156"/>
                                </a:lnTo>
                                <a:close/>
                                <a:moveTo>
                                  <a:pt x="94" y="174"/>
                                </a:moveTo>
                                <a:lnTo>
                                  <a:pt x="94" y="175"/>
                                </a:lnTo>
                                <a:lnTo>
                                  <a:pt x="93" y="175"/>
                                </a:lnTo>
                                <a:lnTo>
                                  <a:pt x="93" y="174"/>
                                </a:lnTo>
                                <a:lnTo>
                                  <a:pt x="94" y="174"/>
                                </a:lnTo>
                                <a:close/>
                                <a:moveTo>
                                  <a:pt x="92" y="175"/>
                                </a:moveTo>
                                <a:cubicBezTo>
                                  <a:pt x="92" y="174"/>
                                  <a:pt x="88" y="94"/>
                                  <a:pt x="80" y="86"/>
                                </a:cubicBezTo>
                                <a:lnTo>
                                  <a:pt x="81" y="85"/>
                                </a:lnTo>
                                <a:cubicBezTo>
                                  <a:pt x="90" y="93"/>
                                  <a:pt x="94" y="174"/>
                                  <a:pt x="94" y="174"/>
                                </a:cubicBezTo>
                                <a:lnTo>
                                  <a:pt x="92" y="175"/>
                                </a:lnTo>
                                <a:close/>
                                <a:moveTo>
                                  <a:pt x="80" y="85"/>
                                </a:moveTo>
                                <a:lnTo>
                                  <a:pt x="80" y="85"/>
                                </a:lnTo>
                                <a:lnTo>
                                  <a:pt x="81" y="85"/>
                                </a:lnTo>
                                <a:lnTo>
                                  <a:pt x="80" y="85"/>
                                </a:lnTo>
                                <a:close/>
                                <a:moveTo>
                                  <a:pt x="81" y="86"/>
                                </a:moveTo>
                                <a:cubicBezTo>
                                  <a:pt x="70" y="100"/>
                                  <a:pt x="57" y="96"/>
                                  <a:pt x="57" y="96"/>
                                </a:cubicBezTo>
                                <a:lnTo>
                                  <a:pt x="57" y="95"/>
                                </a:lnTo>
                                <a:cubicBezTo>
                                  <a:pt x="57" y="95"/>
                                  <a:pt x="69" y="98"/>
                                  <a:pt x="80" y="85"/>
                                </a:cubicBezTo>
                                <a:lnTo>
                                  <a:pt x="81" y="86"/>
                                </a:lnTo>
                                <a:close/>
                                <a:moveTo>
                                  <a:pt x="57" y="96"/>
                                </a:moveTo>
                                <a:lnTo>
                                  <a:pt x="57" y="96"/>
                                </a:lnTo>
                                <a:lnTo>
                                  <a:pt x="57" y="96"/>
                                </a:lnTo>
                                <a:lnTo>
                                  <a:pt x="57" y="96"/>
                                </a:lnTo>
                                <a:close/>
                                <a:moveTo>
                                  <a:pt x="57" y="96"/>
                                </a:moveTo>
                                <a:lnTo>
                                  <a:pt x="57" y="96"/>
                                </a:lnTo>
                                <a:lnTo>
                                  <a:pt x="57" y="95"/>
                                </a:lnTo>
                                <a:lnTo>
                                  <a:pt x="57" y="95"/>
                                </a:lnTo>
                                <a:lnTo>
                                  <a:pt x="57" y="96"/>
                                </a:lnTo>
                                <a:close/>
                                <a:moveTo>
                                  <a:pt x="57" y="96"/>
                                </a:moveTo>
                                <a:cubicBezTo>
                                  <a:pt x="56" y="96"/>
                                  <a:pt x="55" y="95"/>
                                  <a:pt x="54" y="95"/>
                                </a:cubicBezTo>
                                <a:lnTo>
                                  <a:pt x="54" y="94"/>
                                </a:lnTo>
                                <a:cubicBezTo>
                                  <a:pt x="55" y="94"/>
                                  <a:pt x="56" y="95"/>
                                  <a:pt x="57" y="95"/>
                                </a:cubicBezTo>
                                <a:lnTo>
                                  <a:pt x="57" y="96"/>
                                </a:lnTo>
                                <a:close/>
                                <a:moveTo>
                                  <a:pt x="54" y="95"/>
                                </a:moveTo>
                                <a:cubicBezTo>
                                  <a:pt x="53" y="94"/>
                                  <a:pt x="52" y="93"/>
                                  <a:pt x="51" y="93"/>
                                </a:cubicBezTo>
                                <a:lnTo>
                                  <a:pt x="52" y="92"/>
                                </a:lnTo>
                                <a:cubicBezTo>
                                  <a:pt x="53" y="92"/>
                                  <a:pt x="54" y="93"/>
                                  <a:pt x="54" y="94"/>
                                </a:cubicBezTo>
                                <a:lnTo>
                                  <a:pt x="54" y="95"/>
                                </a:lnTo>
                                <a:close/>
                                <a:moveTo>
                                  <a:pt x="51" y="93"/>
                                </a:moveTo>
                                <a:cubicBezTo>
                                  <a:pt x="47" y="89"/>
                                  <a:pt x="44" y="83"/>
                                  <a:pt x="44" y="77"/>
                                </a:cubicBezTo>
                                <a:lnTo>
                                  <a:pt x="46" y="77"/>
                                </a:lnTo>
                                <a:cubicBezTo>
                                  <a:pt x="46" y="83"/>
                                  <a:pt x="48" y="88"/>
                                  <a:pt x="52" y="92"/>
                                </a:cubicBezTo>
                                <a:lnTo>
                                  <a:pt x="51" y="93"/>
                                </a:lnTo>
                                <a:close/>
                                <a:moveTo>
                                  <a:pt x="44" y="77"/>
                                </a:moveTo>
                                <a:lnTo>
                                  <a:pt x="44" y="77"/>
                                </a:lnTo>
                                <a:lnTo>
                                  <a:pt x="46" y="77"/>
                                </a:lnTo>
                                <a:lnTo>
                                  <a:pt x="46" y="77"/>
                                </a:lnTo>
                                <a:lnTo>
                                  <a:pt x="44" y="77"/>
                                </a:lnTo>
                                <a:close/>
                                <a:moveTo>
                                  <a:pt x="44" y="77"/>
                                </a:moveTo>
                                <a:cubicBezTo>
                                  <a:pt x="44" y="72"/>
                                  <a:pt x="47" y="66"/>
                                  <a:pt x="51" y="63"/>
                                </a:cubicBezTo>
                                <a:lnTo>
                                  <a:pt x="52" y="64"/>
                                </a:lnTo>
                                <a:cubicBezTo>
                                  <a:pt x="48" y="67"/>
                                  <a:pt x="46" y="72"/>
                                  <a:pt x="46" y="77"/>
                                </a:cubicBezTo>
                                <a:lnTo>
                                  <a:pt x="44" y="77"/>
                                </a:lnTo>
                                <a:close/>
                                <a:moveTo>
                                  <a:pt x="51" y="63"/>
                                </a:moveTo>
                                <a:cubicBezTo>
                                  <a:pt x="55" y="59"/>
                                  <a:pt x="60" y="57"/>
                                  <a:pt x="66" y="57"/>
                                </a:cubicBezTo>
                                <a:lnTo>
                                  <a:pt x="66" y="58"/>
                                </a:lnTo>
                                <a:cubicBezTo>
                                  <a:pt x="60" y="58"/>
                                  <a:pt x="55" y="60"/>
                                  <a:pt x="52" y="64"/>
                                </a:cubicBezTo>
                                <a:lnTo>
                                  <a:pt x="51" y="63"/>
                                </a:lnTo>
                                <a:close/>
                                <a:moveTo>
                                  <a:pt x="66" y="57"/>
                                </a:moveTo>
                                <a:lnTo>
                                  <a:pt x="66" y="57"/>
                                </a:lnTo>
                                <a:lnTo>
                                  <a:pt x="66" y="58"/>
                                </a:lnTo>
                                <a:lnTo>
                                  <a:pt x="66" y="58"/>
                                </a:lnTo>
                                <a:lnTo>
                                  <a:pt x="66" y="57"/>
                                </a:lnTo>
                                <a:close/>
                                <a:moveTo>
                                  <a:pt x="66" y="57"/>
                                </a:moveTo>
                                <a:lnTo>
                                  <a:pt x="66" y="57"/>
                                </a:lnTo>
                                <a:lnTo>
                                  <a:pt x="66" y="58"/>
                                </a:lnTo>
                                <a:lnTo>
                                  <a:pt x="66" y="58"/>
                                </a:lnTo>
                                <a:lnTo>
                                  <a:pt x="66" y="57"/>
                                </a:lnTo>
                                <a:close/>
                                <a:moveTo>
                                  <a:pt x="66" y="57"/>
                                </a:moveTo>
                                <a:cubicBezTo>
                                  <a:pt x="69" y="57"/>
                                  <a:pt x="71" y="57"/>
                                  <a:pt x="74" y="58"/>
                                </a:cubicBezTo>
                                <a:lnTo>
                                  <a:pt x="73" y="59"/>
                                </a:lnTo>
                                <a:cubicBezTo>
                                  <a:pt x="71" y="58"/>
                                  <a:pt x="68" y="58"/>
                                  <a:pt x="66" y="58"/>
                                </a:cubicBezTo>
                                <a:lnTo>
                                  <a:pt x="66" y="57"/>
                                </a:lnTo>
                                <a:close/>
                                <a:moveTo>
                                  <a:pt x="74" y="58"/>
                                </a:moveTo>
                                <a:cubicBezTo>
                                  <a:pt x="74" y="58"/>
                                  <a:pt x="75" y="58"/>
                                  <a:pt x="75" y="59"/>
                                </a:cubicBezTo>
                                <a:lnTo>
                                  <a:pt x="74" y="60"/>
                                </a:lnTo>
                                <a:cubicBezTo>
                                  <a:pt x="74" y="60"/>
                                  <a:pt x="74" y="59"/>
                                  <a:pt x="73" y="59"/>
                                </a:cubicBezTo>
                                <a:lnTo>
                                  <a:pt x="74" y="58"/>
                                </a:lnTo>
                                <a:close/>
                                <a:moveTo>
                                  <a:pt x="75" y="59"/>
                                </a:moveTo>
                                <a:cubicBezTo>
                                  <a:pt x="77" y="59"/>
                                  <a:pt x="79" y="61"/>
                                  <a:pt x="81" y="62"/>
                                </a:cubicBezTo>
                                <a:lnTo>
                                  <a:pt x="80" y="63"/>
                                </a:lnTo>
                                <a:cubicBezTo>
                                  <a:pt x="78" y="62"/>
                                  <a:pt x="76" y="61"/>
                                  <a:pt x="74" y="60"/>
                                </a:cubicBezTo>
                                <a:lnTo>
                                  <a:pt x="75" y="59"/>
                                </a:lnTo>
                                <a:close/>
                                <a:moveTo>
                                  <a:pt x="80" y="63"/>
                                </a:moveTo>
                                <a:lnTo>
                                  <a:pt x="80" y="63"/>
                                </a:lnTo>
                                <a:lnTo>
                                  <a:pt x="80" y="63"/>
                                </a:lnTo>
                                <a:lnTo>
                                  <a:pt x="80" y="63"/>
                                </a:lnTo>
                                <a:close/>
                                <a:moveTo>
                                  <a:pt x="80" y="62"/>
                                </a:moveTo>
                                <a:cubicBezTo>
                                  <a:pt x="80" y="62"/>
                                  <a:pt x="100" y="49"/>
                                  <a:pt x="109" y="33"/>
                                </a:cubicBezTo>
                                <a:lnTo>
                                  <a:pt x="110" y="33"/>
                                </a:lnTo>
                                <a:cubicBezTo>
                                  <a:pt x="101" y="50"/>
                                  <a:pt x="80" y="63"/>
                                  <a:pt x="80" y="63"/>
                                </a:cubicBezTo>
                                <a:lnTo>
                                  <a:pt x="80" y="62"/>
                                </a:lnTo>
                                <a:close/>
                                <a:moveTo>
                                  <a:pt x="110" y="33"/>
                                </a:moveTo>
                                <a:lnTo>
                                  <a:pt x="110" y="33"/>
                                </a:lnTo>
                                <a:lnTo>
                                  <a:pt x="110" y="33"/>
                                </a:lnTo>
                                <a:lnTo>
                                  <a:pt x="109" y="33"/>
                                </a:lnTo>
                                <a:lnTo>
                                  <a:pt x="110" y="33"/>
                                </a:lnTo>
                                <a:close/>
                                <a:moveTo>
                                  <a:pt x="109" y="33"/>
                                </a:moveTo>
                                <a:cubicBezTo>
                                  <a:pt x="109" y="33"/>
                                  <a:pt x="109" y="33"/>
                                  <a:pt x="109" y="33"/>
                                </a:cubicBezTo>
                                <a:lnTo>
                                  <a:pt x="110" y="33"/>
                                </a:lnTo>
                                <a:cubicBezTo>
                                  <a:pt x="110" y="33"/>
                                  <a:pt x="110" y="33"/>
                                  <a:pt x="110" y="33"/>
                                </a:cubicBezTo>
                                <a:lnTo>
                                  <a:pt x="109" y="33"/>
                                </a:lnTo>
                                <a:close/>
                                <a:moveTo>
                                  <a:pt x="109" y="33"/>
                                </a:moveTo>
                                <a:lnTo>
                                  <a:pt x="109" y="33"/>
                                </a:lnTo>
                                <a:lnTo>
                                  <a:pt x="109" y="33"/>
                                </a:lnTo>
                                <a:close/>
                                <a:moveTo>
                                  <a:pt x="109" y="33"/>
                                </a:moveTo>
                                <a:cubicBezTo>
                                  <a:pt x="109" y="33"/>
                                  <a:pt x="109" y="33"/>
                                  <a:pt x="109" y="33"/>
                                </a:cubicBezTo>
                                <a:lnTo>
                                  <a:pt x="110" y="32"/>
                                </a:lnTo>
                                <a:cubicBezTo>
                                  <a:pt x="110" y="32"/>
                                  <a:pt x="110" y="33"/>
                                  <a:pt x="110" y="33"/>
                                </a:cubicBezTo>
                                <a:lnTo>
                                  <a:pt x="109" y="33"/>
                                </a:lnTo>
                                <a:close/>
                                <a:moveTo>
                                  <a:pt x="109" y="33"/>
                                </a:moveTo>
                                <a:cubicBezTo>
                                  <a:pt x="109" y="32"/>
                                  <a:pt x="109" y="32"/>
                                  <a:pt x="108" y="32"/>
                                </a:cubicBezTo>
                                <a:lnTo>
                                  <a:pt x="110" y="32"/>
                                </a:lnTo>
                                <a:cubicBezTo>
                                  <a:pt x="110" y="32"/>
                                  <a:pt x="110" y="32"/>
                                  <a:pt x="110" y="32"/>
                                </a:cubicBezTo>
                                <a:lnTo>
                                  <a:pt x="109" y="33"/>
                                </a:lnTo>
                                <a:close/>
                                <a:moveTo>
                                  <a:pt x="108" y="32"/>
                                </a:moveTo>
                                <a:cubicBezTo>
                                  <a:pt x="108" y="31"/>
                                  <a:pt x="108" y="30"/>
                                  <a:pt x="108" y="29"/>
                                </a:cubicBezTo>
                                <a:lnTo>
                                  <a:pt x="109" y="29"/>
                                </a:lnTo>
                                <a:cubicBezTo>
                                  <a:pt x="109" y="30"/>
                                  <a:pt x="110" y="31"/>
                                  <a:pt x="110" y="32"/>
                                </a:cubicBezTo>
                                <a:lnTo>
                                  <a:pt x="108" y="32"/>
                                </a:lnTo>
                                <a:close/>
                                <a:moveTo>
                                  <a:pt x="108" y="29"/>
                                </a:moveTo>
                                <a:lnTo>
                                  <a:pt x="108" y="29"/>
                                </a:lnTo>
                                <a:lnTo>
                                  <a:pt x="109" y="29"/>
                                </a:lnTo>
                                <a:lnTo>
                                  <a:pt x="109" y="29"/>
                                </a:lnTo>
                                <a:lnTo>
                                  <a:pt x="108" y="29"/>
                                </a:lnTo>
                                <a:close/>
                                <a:moveTo>
                                  <a:pt x="108" y="29"/>
                                </a:moveTo>
                                <a:cubicBezTo>
                                  <a:pt x="108" y="29"/>
                                  <a:pt x="108" y="28"/>
                                  <a:pt x="108" y="28"/>
                                </a:cubicBezTo>
                                <a:lnTo>
                                  <a:pt x="109" y="28"/>
                                </a:lnTo>
                                <a:cubicBezTo>
                                  <a:pt x="109" y="28"/>
                                  <a:pt x="109" y="29"/>
                                  <a:pt x="109" y="29"/>
                                </a:cubicBezTo>
                                <a:lnTo>
                                  <a:pt x="108" y="29"/>
                                </a:lnTo>
                                <a:close/>
                                <a:moveTo>
                                  <a:pt x="108" y="28"/>
                                </a:moveTo>
                                <a:cubicBezTo>
                                  <a:pt x="108" y="28"/>
                                  <a:pt x="108" y="27"/>
                                  <a:pt x="108" y="27"/>
                                </a:cubicBezTo>
                                <a:lnTo>
                                  <a:pt x="109" y="27"/>
                                </a:lnTo>
                                <a:cubicBezTo>
                                  <a:pt x="109" y="27"/>
                                  <a:pt x="109" y="28"/>
                                  <a:pt x="109" y="28"/>
                                </a:cubicBezTo>
                                <a:lnTo>
                                  <a:pt x="108" y="28"/>
                                </a:lnTo>
                                <a:close/>
                                <a:moveTo>
                                  <a:pt x="108" y="27"/>
                                </a:moveTo>
                                <a:cubicBezTo>
                                  <a:pt x="108" y="26"/>
                                  <a:pt x="108" y="24"/>
                                  <a:pt x="108" y="23"/>
                                </a:cubicBezTo>
                                <a:lnTo>
                                  <a:pt x="110" y="23"/>
                                </a:lnTo>
                                <a:cubicBezTo>
                                  <a:pt x="109" y="24"/>
                                  <a:pt x="109" y="26"/>
                                  <a:pt x="109" y="27"/>
                                </a:cubicBezTo>
                                <a:lnTo>
                                  <a:pt x="108" y="27"/>
                                </a:lnTo>
                                <a:close/>
                                <a:moveTo>
                                  <a:pt x="110" y="23"/>
                                </a:moveTo>
                                <a:lnTo>
                                  <a:pt x="110" y="23"/>
                                </a:lnTo>
                                <a:lnTo>
                                  <a:pt x="109" y="23"/>
                                </a:lnTo>
                                <a:lnTo>
                                  <a:pt x="110" y="23"/>
                                </a:lnTo>
                                <a:close/>
                                <a:moveTo>
                                  <a:pt x="108" y="23"/>
                                </a:moveTo>
                                <a:lnTo>
                                  <a:pt x="108" y="23"/>
                                </a:lnTo>
                                <a:lnTo>
                                  <a:pt x="110" y="23"/>
                                </a:lnTo>
                                <a:lnTo>
                                  <a:pt x="110" y="23"/>
                                </a:lnTo>
                                <a:lnTo>
                                  <a:pt x="108" y="23"/>
                                </a:lnTo>
                                <a:close/>
                                <a:moveTo>
                                  <a:pt x="108" y="23"/>
                                </a:moveTo>
                                <a:lnTo>
                                  <a:pt x="108" y="23"/>
                                </a:lnTo>
                                <a:lnTo>
                                  <a:pt x="109" y="23"/>
                                </a:lnTo>
                                <a:lnTo>
                                  <a:pt x="108" y="23"/>
                                </a:lnTo>
                                <a:close/>
                                <a:moveTo>
                                  <a:pt x="108" y="23"/>
                                </a:moveTo>
                                <a:cubicBezTo>
                                  <a:pt x="109" y="22"/>
                                  <a:pt x="109" y="21"/>
                                  <a:pt x="109" y="20"/>
                                </a:cubicBezTo>
                                <a:lnTo>
                                  <a:pt x="110" y="21"/>
                                </a:lnTo>
                                <a:cubicBezTo>
                                  <a:pt x="110" y="21"/>
                                  <a:pt x="110" y="22"/>
                                  <a:pt x="110" y="23"/>
                                </a:cubicBezTo>
                                <a:lnTo>
                                  <a:pt x="108" y="23"/>
                                </a:lnTo>
                                <a:close/>
                                <a:moveTo>
                                  <a:pt x="109" y="20"/>
                                </a:moveTo>
                                <a:cubicBezTo>
                                  <a:pt x="110" y="19"/>
                                  <a:pt x="110" y="18"/>
                                  <a:pt x="111" y="17"/>
                                </a:cubicBezTo>
                                <a:lnTo>
                                  <a:pt x="112" y="18"/>
                                </a:lnTo>
                                <a:cubicBezTo>
                                  <a:pt x="111" y="19"/>
                                  <a:pt x="111" y="20"/>
                                  <a:pt x="110" y="21"/>
                                </a:cubicBezTo>
                                <a:lnTo>
                                  <a:pt x="109" y="20"/>
                                </a:lnTo>
                                <a:close/>
                                <a:moveTo>
                                  <a:pt x="111" y="17"/>
                                </a:moveTo>
                                <a:cubicBezTo>
                                  <a:pt x="114" y="13"/>
                                  <a:pt x="121" y="10"/>
                                  <a:pt x="128" y="10"/>
                                </a:cubicBezTo>
                                <a:lnTo>
                                  <a:pt x="128" y="12"/>
                                </a:lnTo>
                                <a:cubicBezTo>
                                  <a:pt x="121" y="12"/>
                                  <a:pt x="115" y="14"/>
                                  <a:pt x="112" y="18"/>
                                </a:cubicBezTo>
                                <a:lnTo>
                                  <a:pt x="111" y="17"/>
                                </a:lnTo>
                                <a:close/>
                                <a:moveTo>
                                  <a:pt x="128" y="10"/>
                                </a:moveTo>
                                <a:cubicBezTo>
                                  <a:pt x="128" y="10"/>
                                  <a:pt x="128" y="10"/>
                                  <a:pt x="128" y="10"/>
                                </a:cubicBezTo>
                                <a:lnTo>
                                  <a:pt x="128" y="12"/>
                                </a:lnTo>
                                <a:cubicBezTo>
                                  <a:pt x="128" y="12"/>
                                  <a:pt x="128" y="12"/>
                                  <a:pt x="128" y="12"/>
                                </a:cubicBezTo>
                                <a:lnTo>
                                  <a:pt x="128" y="10"/>
                                </a:lnTo>
                                <a:close/>
                                <a:moveTo>
                                  <a:pt x="128" y="10"/>
                                </a:moveTo>
                                <a:cubicBezTo>
                                  <a:pt x="130" y="10"/>
                                  <a:pt x="131" y="10"/>
                                  <a:pt x="133" y="11"/>
                                </a:cubicBezTo>
                                <a:lnTo>
                                  <a:pt x="132" y="12"/>
                                </a:lnTo>
                                <a:cubicBezTo>
                                  <a:pt x="131" y="12"/>
                                  <a:pt x="130" y="12"/>
                                  <a:pt x="128" y="12"/>
                                </a:cubicBezTo>
                                <a:lnTo>
                                  <a:pt x="128" y="10"/>
                                </a:lnTo>
                                <a:close/>
                                <a:moveTo>
                                  <a:pt x="133" y="11"/>
                                </a:moveTo>
                                <a:cubicBezTo>
                                  <a:pt x="134" y="11"/>
                                  <a:pt x="135" y="11"/>
                                  <a:pt x="137" y="12"/>
                                </a:cubicBezTo>
                                <a:lnTo>
                                  <a:pt x="136" y="13"/>
                                </a:lnTo>
                                <a:cubicBezTo>
                                  <a:pt x="135" y="12"/>
                                  <a:pt x="134" y="12"/>
                                  <a:pt x="132" y="12"/>
                                </a:cubicBezTo>
                                <a:lnTo>
                                  <a:pt x="133" y="11"/>
                                </a:lnTo>
                                <a:close/>
                                <a:moveTo>
                                  <a:pt x="137" y="12"/>
                                </a:moveTo>
                                <a:cubicBezTo>
                                  <a:pt x="143" y="14"/>
                                  <a:pt x="147" y="18"/>
                                  <a:pt x="148" y="24"/>
                                </a:cubicBezTo>
                                <a:lnTo>
                                  <a:pt x="146" y="24"/>
                                </a:lnTo>
                                <a:cubicBezTo>
                                  <a:pt x="146" y="19"/>
                                  <a:pt x="142" y="15"/>
                                  <a:pt x="136" y="13"/>
                                </a:cubicBezTo>
                                <a:lnTo>
                                  <a:pt x="137" y="12"/>
                                </a:lnTo>
                                <a:close/>
                                <a:moveTo>
                                  <a:pt x="148" y="24"/>
                                </a:moveTo>
                                <a:lnTo>
                                  <a:pt x="148" y="24"/>
                                </a:lnTo>
                                <a:lnTo>
                                  <a:pt x="148" y="24"/>
                                </a:lnTo>
                                <a:lnTo>
                                  <a:pt x="147" y="24"/>
                                </a:lnTo>
                                <a:lnTo>
                                  <a:pt x="148" y="24"/>
                                </a:lnTo>
                                <a:close/>
                                <a:moveTo>
                                  <a:pt x="148" y="24"/>
                                </a:moveTo>
                                <a:cubicBezTo>
                                  <a:pt x="148" y="24"/>
                                  <a:pt x="148" y="24"/>
                                  <a:pt x="148" y="24"/>
                                </a:cubicBezTo>
                                <a:lnTo>
                                  <a:pt x="148" y="25"/>
                                </a:lnTo>
                                <a:cubicBezTo>
                                  <a:pt x="146" y="25"/>
                                  <a:pt x="146" y="24"/>
                                  <a:pt x="146" y="24"/>
                                </a:cubicBezTo>
                                <a:lnTo>
                                  <a:pt x="148" y="24"/>
                                </a:lnTo>
                                <a:close/>
                                <a:moveTo>
                                  <a:pt x="148" y="24"/>
                                </a:moveTo>
                                <a:lnTo>
                                  <a:pt x="148" y="25"/>
                                </a:lnTo>
                                <a:lnTo>
                                  <a:pt x="148" y="25"/>
                                </a:lnTo>
                                <a:lnTo>
                                  <a:pt x="148" y="24"/>
                                </a:lnTo>
                                <a:close/>
                                <a:moveTo>
                                  <a:pt x="147" y="24"/>
                                </a:moveTo>
                                <a:cubicBezTo>
                                  <a:pt x="147" y="24"/>
                                  <a:pt x="156" y="8"/>
                                  <a:pt x="167" y="11"/>
                                </a:cubicBezTo>
                                <a:lnTo>
                                  <a:pt x="166" y="12"/>
                                </a:lnTo>
                                <a:cubicBezTo>
                                  <a:pt x="156" y="9"/>
                                  <a:pt x="148" y="24"/>
                                  <a:pt x="148" y="24"/>
                                </a:cubicBezTo>
                                <a:lnTo>
                                  <a:pt x="147" y="24"/>
                                </a:lnTo>
                                <a:close/>
                                <a:moveTo>
                                  <a:pt x="167" y="11"/>
                                </a:moveTo>
                                <a:lnTo>
                                  <a:pt x="168" y="11"/>
                                </a:lnTo>
                                <a:lnTo>
                                  <a:pt x="167" y="12"/>
                                </a:lnTo>
                                <a:lnTo>
                                  <a:pt x="167" y="12"/>
                                </a:lnTo>
                                <a:lnTo>
                                  <a:pt x="167" y="11"/>
                                </a:lnTo>
                                <a:close/>
                                <a:moveTo>
                                  <a:pt x="167" y="12"/>
                                </a:moveTo>
                                <a:cubicBezTo>
                                  <a:pt x="167" y="12"/>
                                  <a:pt x="162" y="20"/>
                                  <a:pt x="168" y="31"/>
                                </a:cubicBezTo>
                                <a:lnTo>
                                  <a:pt x="166" y="32"/>
                                </a:lnTo>
                                <a:cubicBezTo>
                                  <a:pt x="161" y="20"/>
                                  <a:pt x="166" y="11"/>
                                  <a:pt x="166" y="11"/>
                                </a:cubicBezTo>
                                <a:lnTo>
                                  <a:pt x="167" y="12"/>
                                </a:lnTo>
                                <a:close/>
                                <a:moveTo>
                                  <a:pt x="167" y="32"/>
                                </a:moveTo>
                                <a:lnTo>
                                  <a:pt x="166" y="32"/>
                                </a:lnTo>
                                <a:lnTo>
                                  <a:pt x="166" y="32"/>
                                </a:lnTo>
                                <a:lnTo>
                                  <a:pt x="167" y="32"/>
                                </a:lnTo>
                                <a:close/>
                                <a:moveTo>
                                  <a:pt x="168" y="31"/>
                                </a:moveTo>
                                <a:lnTo>
                                  <a:pt x="168" y="31"/>
                                </a:lnTo>
                                <a:lnTo>
                                  <a:pt x="167" y="32"/>
                                </a:lnTo>
                                <a:lnTo>
                                  <a:pt x="167" y="32"/>
                                </a:lnTo>
                                <a:lnTo>
                                  <a:pt x="168" y="31"/>
                                </a:lnTo>
                                <a:close/>
                                <a:moveTo>
                                  <a:pt x="167" y="32"/>
                                </a:moveTo>
                                <a:lnTo>
                                  <a:pt x="167" y="32"/>
                                </a:lnTo>
                                <a:lnTo>
                                  <a:pt x="167" y="32"/>
                                </a:lnTo>
                                <a:close/>
                                <a:moveTo>
                                  <a:pt x="168" y="31"/>
                                </a:moveTo>
                                <a:cubicBezTo>
                                  <a:pt x="168" y="32"/>
                                  <a:pt x="169" y="33"/>
                                  <a:pt x="170" y="34"/>
                                </a:cubicBezTo>
                                <a:lnTo>
                                  <a:pt x="169" y="35"/>
                                </a:lnTo>
                                <a:cubicBezTo>
                                  <a:pt x="168" y="34"/>
                                  <a:pt x="167" y="33"/>
                                  <a:pt x="167" y="32"/>
                                </a:cubicBezTo>
                                <a:lnTo>
                                  <a:pt x="168" y="31"/>
                                </a:lnTo>
                                <a:close/>
                                <a:moveTo>
                                  <a:pt x="170" y="34"/>
                                </a:moveTo>
                                <a:cubicBezTo>
                                  <a:pt x="171" y="35"/>
                                  <a:pt x="172" y="36"/>
                                  <a:pt x="173" y="37"/>
                                </a:cubicBezTo>
                                <a:lnTo>
                                  <a:pt x="172" y="38"/>
                                </a:lnTo>
                                <a:cubicBezTo>
                                  <a:pt x="171" y="37"/>
                                  <a:pt x="170" y="36"/>
                                  <a:pt x="169" y="35"/>
                                </a:cubicBezTo>
                                <a:lnTo>
                                  <a:pt x="170" y="34"/>
                                </a:lnTo>
                                <a:close/>
                                <a:moveTo>
                                  <a:pt x="173" y="37"/>
                                </a:moveTo>
                                <a:cubicBezTo>
                                  <a:pt x="180" y="41"/>
                                  <a:pt x="191" y="42"/>
                                  <a:pt x="209" y="36"/>
                                </a:cubicBezTo>
                                <a:lnTo>
                                  <a:pt x="209" y="37"/>
                                </a:lnTo>
                                <a:cubicBezTo>
                                  <a:pt x="191" y="43"/>
                                  <a:pt x="179" y="42"/>
                                  <a:pt x="172" y="38"/>
                                </a:cubicBezTo>
                                <a:lnTo>
                                  <a:pt x="173" y="37"/>
                                </a:lnTo>
                                <a:close/>
                                <a:moveTo>
                                  <a:pt x="209" y="37"/>
                                </a:moveTo>
                                <a:lnTo>
                                  <a:pt x="209" y="37"/>
                                </a:lnTo>
                                <a:lnTo>
                                  <a:pt x="209" y="37"/>
                                </a:lnTo>
                                <a:lnTo>
                                  <a:pt x="209" y="36"/>
                                </a:lnTo>
                                <a:lnTo>
                                  <a:pt x="209" y="37"/>
                                </a:lnTo>
                                <a:close/>
                                <a:moveTo>
                                  <a:pt x="209" y="36"/>
                                </a:moveTo>
                                <a:cubicBezTo>
                                  <a:pt x="209" y="36"/>
                                  <a:pt x="213" y="34"/>
                                  <a:pt x="238" y="22"/>
                                </a:cubicBezTo>
                                <a:lnTo>
                                  <a:pt x="238" y="23"/>
                                </a:lnTo>
                                <a:cubicBezTo>
                                  <a:pt x="215" y="34"/>
                                  <a:pt x="210" y="37"/>
                                  <a:pt x="209" y="37"/>
                                </a:cubicBezTo>
                                <a:lnTo>
                                  <a:pt x="209" y="36"/>
                                </a:lnTo>
                                <a:close/>
                                <a:moveTo>
                                  <a:pt x="238" y="23"/>
                                </a:moveTo>
                                <a:lnTo>
                                  <a:pt x="238" y="23"/>
                                </a:lnTo>
                                <a:lnTo>
                                  <a:pt x="238" y="22"/>
                                </a:lnTo>
                                <a:lnTo>
                                  <a:pt x="238" y="23"/>
                                </a:lnTo>
                                <a:close/>
                                <a:moveTo>
                                  <a:pt x="238" y="22"/>
                                </a:moveTo>
                                <a:cubicBezTo>
                                  <a:pt x="238" y="22"/>
                                  <a:pt x="276" y="0"/>
                                  <a:pt x="337" y="0"/>
                                </a:cubicBezTo>
                                <a:lnTo>
                                  <a:pt x="337" y="2"/>
                                </a:lnTo>
                                <a:cubicBezTo>
                                  <a:pt x="276" y="1"/>
                                  <a:pt x="238" y="23"/>
                                  <a:pt x="238" y="23"/>
                                </a:cubicBezTo>
                                <a:lnTo>
                                  <a:pt x="238" y="22"/>
                                </a:lnTo>
                                <a:close/>
                                <a:moveTo>
                                  <a:pt x="337" y="2"/>
                                </a:moveTo>
                                <a:lnTo>
                                  <a:pt x="337" y="2"/>
                                </a:lnTo>
                                <a:lnTo>
                                  <a:pt x="337" y="1"/>
                                </a:lnTo>
                                <a:lnTo>
                                  <a:pt x="337" y="2"/>
                                </a:lnTo>
                                <a:close/>
                                <a:moveTo>
                                  <a:pt x="337" y="0"/>
                                </a:moveTo>
                                <a:cubicBezTo>
                                  <a:pt x="397" y="0"/>
                                  <a:pt x="436" y="22"/>
                                  <a:pt x="436" y="22"/>
                                </a:cubicBezTo>
                                <a:lnTo>
                                  <a:pt x="435" y="23"/>
                                </a:lnTo>
                                <a:cubicBezTo>
                                  <a:pt x="435" y="23"/>
                                  <a:pt x="397" y="1"/>
                                  <a:pt x="337" y="2"/>
                                </a:cubicBezTo>
                                <a:lnTo>
                                  <a:pt x="337" y="0"/>
                                </a:lnTo>
                                <a:close/>
                                <a:moveTo>
                                  <a:pt x="435" y="23"/>
                                </a:moveTo>
                                <a:lnTo>
                                  <a:pt x="435" y="23"/>
                                </a:lnTo>
                                <a:lnTo>
                                  <a:pt x="435" y="22"/>
                                </a:lnTo>
                                <a:lnTo>
                                  <a:pt x="435" y="23"/>
                                </a:lnTo>
                                <a:close/>
                                <a:moveTo>
                                  <a:pt x="436" y="22"/>
                                </a:moveTo>
                                <a:cubicBezTo>
                                  <a:pt x="460" y="34"/>
                                  <a:pt x="464" y="36"/>
                                  <a:pt x="464" y="36"/>
                                </a:cubicBezTo>
                                <a:lnTo>
                                  <a:pt x="464" y="37"/>
                                </a:lnTo>
                                <a:cubicBezTo>
                                  <a:pt x="464" y="37"/>
                                  <a:pt x="458" y="34"/>
                                  <a:pt x="435" y="23"/>
                                </a:cubicBezTo>
                                <a:lnTo>
                                  <a:pt x="436" y="22"/>
                                </a:lnTo>
                                <a:close/>
                                <a:moveTo>
                                  <a:pt x="464" y="37"/>
                                </a:moveTo>
                                <a:lnTo>
                                  <a:pt x="464" y="37"/>
                                </a:lnTo>
                                <a:lnTo>
                                  <a:pt x="464" y="37"/>
                                </a:lnTo>
                                <a:lnTo>
                                  <a:pt x="464" y="36"/>
                                </a:lnTo>
                                <a:lnTo>
                                  <a:pt x="464" y="37"/>
                                </a:lnTo>
                                <a:close/>
                                <a:moveTo>
                                  <a:pt x="464" y="36"/>
                                </a:moveTo>
                                <a:lnTo>
                                  <a:pt x="464" y="36"/>
                                </a:lnTo>
                                <a:lnTo>
                                  <a:pt x="464" y="37"/>
                                </a:lnTo>
                                <a:lnTo>
                                  <a:pt x="464" y="37"/>
                                </a:lnTo>
                                <a:lnTo>
                                  <a:pt x="464" y="36"/>
                                </a:lnTo>
                                <a:close/>
                                <a:moveTo>
                                  <a:pt x="464" y="36"/>
                                </a:moveTo>
                                <a:lnTo>
                                  <a:pt x="464" y="36"/>
                                </a:lnTo>
                                <a:lnTo>
                                  <a:pt x="464" y="36"/>
                                </a:lnTo>
                                <a:close/>
                                <a:moveTo>
                                  <a:pt x="464" y="36"/>
                                </a:moveTo>
                                <a:cubicBezTo>
                                  <a:pt x="468" y="37"/>
                                  <a:pt x="471" y="38"/>
                                  <a:pt x="474" y="39"/>
                                </a:cubicBezTo>
                                <a:lnTo>
                                  <a:pt x="474" y="40"/>
                                </a:lnTo>
                                <a:cubicBezTo>
                                  <a:pt x="471" y="39"/>
                                  <a:pt x="467" y="38"/>
                                  <a:pt x="464" y="37"/>
                                </a:cubicBezTo>
                                <a:lnTo>
                                  <a:pt x="464" y="36"/>
                                </a:lnTo>
                                <a:close/>
                                <a:moveTo>
                                  <a:pt x="474" y="39"/>
                                </a:moveTo>
                                <a:cubicBezTo>
                                  <a:pt x="477" y="39"/>
                                  <a:pt x="480" y="40"/>
                                  <a:pt x="483" y="40"/>
                                </a:cubicBezTo>
                                <a:lnTo>
                                  <a:pt x="482" y="41"/>
                                </a:lnTo>
                                <a:cubicBezTo>
                                  <a:pt x="480" y="41"/>
                                  <a:pt x="477" y="40"/>
                                  <a:pt x="474" y="40"/>
                                </a:cubicBezTo>
                                <a:lnTo>
                                  <a:pt x="474" y="39"/>
                                </a:lnTo>
                                <a:close/>
                                <a:moveTo>
                                  <a:pt x="483" y="40"/>
                                </a:moveTo>
                                <a:cubicBezTo>
                                  <a:pt x="495" y="41"/>
                                  <a:pt x="502" y="37"/>
                                  <a:pt x="506" y="31"/>
                                </a:cubicBezTo>
                                <a:lnTo>
                                  <a:pt x="507" y="32"/>
                                </a:lnTo>
                                <a:cubicBezTo>
                                  <a:pt x="503" y="38"/>
                                  <a:pt x="496" y="42"/>
                                  <a:pt x="482" y="41"/>
                                </a:cubicBezTo>
                                <a:lnTo>
                                  <a:pt x="483" y="40"/>
                                </a:lnTo>
                                <a:close/>
                                <a:moveTo>
                                  <a:pt x="507" y="32"/>
                                </a:moveTo>
                                <a:lnTo>
                                  <a:pt x="507" y="32"/>
                                </a:lnTo>
                                <a:lnTo>
                                  <a:pt x="507" y="32"/>
                                </a:lnTo>
                                <a:lnTo>
                                  <a:pt x="506" y="32"/>
                                </a:lnTo>
                                <a:lnTo>
                                  <a:pt x="507" y="32"/>
                                </a:lnTo>
                                <a:close/>
                                <a:moveTo>
                                  <a:pt x="506" y="31"/>
                                </a:moveTo>
                                <a:cubicBezTo>
                                  <a:pt x="511" y="20"/>
                                  <a:pt x="507" y="12"/>
                                  <a:pt x="507" y="12"/>
                                </a:cubicBezTo>
                                <a:lnTo>
                                  <a:pt x="508" y="12"/>
                                </a:lnTo>
                                <a:cubicBezTo>
                                  <a:pt x="508" y="12"/>
                                  <a:pt x="513" y="20"/>
                                  <a:pt x="507" y="32"/>
                                </a:cubicBezTo>
                                <a:lnTo>
                                  <a:pt x="506" y="31"/>
                                </a:lnTo>
                                <a:close/>
                                <a:moveTo>
                                  <a:pt x="507" y="12"/>
                                </a:moveTo>
                                <a:lnTo>
                                  <a:pt x="506" y="12"/>
                                </a:lnTo>
                                <a:lnTo>
                                  <a:pt x="507" y="11"/>
                                </a:lnTo>
                                <a:lnTo>
                                  <a:pt x="507" y="12"/>
                                </a:lnTo>
                                <a:close/>
                                <a:moveTo>
                                  <a:pt x="507" y="11"/>
                                </a:moveTo>
                                <a:cubicBezTo>
                                  <a:pt x="518" y="8"/>
                                  <a:pt x="527" y="24"/>
                                  <a:pt x="527" y="24"/>
                                </a:cubicBezTo>
                                <a:lnTo>
                                  <a:pt x="526" y="25"/>
                                </a:lnTo>
                                <a:cubicBezTo>
                                  <a:pt x="526" y="25"/>
                                  <a:pt x="518" y="10"/>
                                  <a:pt x="507" y="13"/>
                                </a:cubicBezTo>
                                <a:lnTo>
                                  <a:pt x="507" y="11"/>
                                </a:lnTo>
                                <a:close/>
                                <a:moveTo>
                                  <a:pt x="526" y="25"/>
                                </a:moveTo>
                                <a:lnTo>
                                  <a:pt x="526" y="25"/>
                                </a:lnTo>
                                <a:lnTo>
                                  <a:pt x="526" y="25"/>
                                </a:lnTo>
                                <a:lnTo>
                                  <a:pt x="526" y="24"/>
                                </a:lnTo>
                                <a:lnTo>
                                  <a:pt x="526" y="25"/>
                                </a:lnTo>
                                <a:close/>
                                <a:moveTo>
                                  <a:pt x="526" y="24"/>
                                </a:moveTo>
                                <a:cubicBezTo>
                                  <a:pt x="526" y="24"/>
                                  <a:pt x="526" y="24"/>
                                  <a:pt x="526" y="24"/>
                                </a:cubicBezTo>
                                <a:lnTo>
                                  <a:pt x="528" y="24"/>
                                </a:lnTo>
                                <a:cubicBezTo>
                                  <a:pt x="528" y="24"/>
                                  <a:pt x="528" y="25"/>
                                  <a:pt x="526" y="25"/>
                                </a:cubicBezTo>
                                <a:lnTo>
                                  <a:pt x="526" y="24"/>
                                </a:lnTo>
                                <a:close/>
                                <a:moveTo>
                                  <a:pt x="526" y="24"/>
                                </a:moveTo>
                                <a:lnTo>
                                  <a:pt x="526" y="24"/>
                                </a:lnTo>
                                <a:lnTo>
                                  <a:pt x="526" y="24"/>
                                </a:lnTo>
                                <a:lnTo>
                                  <a:pt x="527" y="24"/>
                                </a:lnTo>
                                <a:lnTo>
                                  <a:pt x="526" y="24"/>
                                </a:lnTo>
                                <a:close/>
                                <a:moveTo>
                                  <a:pt x="526" y="24"/>
                                </a:moveTo>
                                <a:cubicBezTo>
                                  <a:pt x="526" y="24"/>
                                  <a:pt x="526" y="24"/>
                                  <a:pt x="526" y="24"/>
                                </a:cubicBezTo>
                                <a:lnTo>
                                  <a:pt x="528" y="24"/>
                                </a:lnTo>
                                <a:cubicBezTo>
                                  <a:pt x="528" y="24"/>
                                  <a:pt x="528" y="24"/>
                                  <a:pt x="528" y="24"/>
                                </a:cubicBezTo>
                                <a:lnTo>
                                  <a:pt x="526" y="24"/>
                                </a:lnTo>
                                <a:close/>
                                <a:moveTo>
                                  <a:pt x="526" y="24"/>
                                </a:moveTo>
                                <a:lnTo>
                                  <a:pt x="526" y="24"/>
                                </a:lnTo>
                                <a:lnTo>
                                  <a:pt x="527" y="24"/>
                                </a:lnTo>
                                <a:lnTo>
                                  <a:pt x="526" y="24"/>
                                </a:lnTo>
                                <a:close/>
                                <a:moveTo>
                                  <a:pt x="526" y="24"/>
                                </a:moveTo>
                                <a:cubicBezTo>
                                  <a:pt x="526" y="23"/>
                                  <a:pt x="527" y="22"/>
                                  <a:pt x="527" y="21"/>
                                </a:cubicBezTo>
                                <a:lnTo>
                                  <a:pt x="528" y="21"/>
                                </a:lnTo>
                                <a:cubicBezTo>
                                  <a:pt x="528" y="22"/>
                                  <a:pt x="528" y="23"/>
                                  <a:pt x="528" y="24"/>
                                </a:cubicBezTo>
                                <a:lnTo>
                                  <a:pt x="526" y="24"/>
                                </a:lnTo>
                                <a:close/>
                                <a:moveTo>
                                  <a:pt x="527" y="21"/>
                                </a:moveTo>
                                <a:cubicBezTo>
                                  <a:pt x="527" y="20"/>
                                  <a:pt x="528" y="19"/>
                                  <a:pt x="529" y="18"/>
                                </a:cubicBezTo>
                                <a:lnTo>
                                  <a:pt x="530" y="19"/>
                                </a:lnTo>
                                <a:cubicBezTo>
                                  <a:pt x="529" y="19"/>
                                  <a:pt x="529" y="20"/>
                                  <a:pt x="528" y="21"/>
                                </a:cubicBezTo>
                                <a:lnTo>
                                  <a:pt x="527" y="21"/>
                                </a:lnTo>
                                <a:close/>
                                <a:moveTo>
                                  <a:pt x="529" y="18"/>
                                </a:moveTo>
                                <a:cubicBezTo>
                                  <a:pt x="532" y="13"/>
                                  <a:pt x="538" y="10"/>
                                  <a:pt x="546" y="10"/>
                                </a:cubicBezTo>
                                <a:lnTo>
                                  <a:pt x="546" y="12"/>
                                </a:lnTo>
                                <a:cubicBezTo>
                                  <a:pt x="539" y="12"/>
                                  <a:pt x="533" y="15"/>
                                  <a:pt x="530" y="19"/>
                                </a:cubicBezTo>
                                <a:lnTo>
                                  <a:pt x="529" y="18"/>
                                </a:lnTo>
                                <a:close/>
                                <a:moveTo>
                                  <a:pt x="546" y="10"/>
                                </a:moveTo>
                                <a:lnTo>
                                  <a:pt x="546" y="10"/>
                                </a:lnTo>
                                <a:lnTo>
                                  <a:pt x="546" y="12"/>
                                </a:lnTo>
                                <a:lnTo>
                                  <a:pt x="546" y="12"/>
                                </a:lnTo>
                                <a:lnTo>
                                  <a:pt x="546" y="10"/>
                                </a:lnTo>
                                <a:close/>
                                <a:moveTo>
                                  <a:pt x="546" y="10"/>
                                </a:moveTo>
                                <a:cubicBezTo>
                                  <a:pt x="547" y="10"/>
                                  <a:pt x="549" y="11"/>
                                  <a:pt x="550" y="11"/>
                                </a:cubicBezTo>
                                <a:lnTo>
                                  <a:pt x="550" y="12"/>
                                </a:lnTo>
                                <a:cubicBezTo>
                                  <a:pt x="549" y="12"/>
                                  <a:pt x="547" y="12"/>
                                  <a:pt x="546" y="12"/>
                                </a:cubicBezTo>
                                <a:lnTo>
                                  <a:pt x="546" y="10"/>
                                </a:lnTo>
                                <a:close/>
                                <a:moveTo>
                                  <a:pt x="550" y="11"/>
                                </a:moveTo>
                                <a:cubicBezTo>
                                  <a:pt x="551" y="11"/>
                                  <a:pt x="553" y="11"/>
                                  <a:pt x="554" y="12"/>
                                </a:cubicBezTo>
                                <a:lnTo>
                                  <a:pt x="553" y="13"/>
                                </a:lnTo>
                                <a:cubicBezTo>
                                  <a:pt x="552" y="12"/>
                                  <a:pt x="551" y="12"/>
                                  <a:pt x="550" y="12"/>
                                </a:cubicBezTo>
                                <a:lnTo>
                                  <a:pt x="550" y="11"/>
                                </a:lnTo>
                                <a:close/>
                                <a:moveTo>
                                  <a:pt x="554" y="12"/>
                                </a:moveTo>
                                <a:cubicBezTo>
                                  <a:pt x="560" y="14"/>
                                  <a:pt x="565" y="18"/>
                                  <a:pt x="566" y="23"/>
                                </a:cubicBezTo>
                                <a:lnTo>
                                  <a:pt x="564" y="23"/>
                                </a:lnTo>
                                <a:cubicBezTo>
                                  <a:pt x="564" y="19"/>
                                  <a:pt x="559" y="15"/>
                                  <a:pt x="553" y="13"/>
                                </a:cubicBezTo>
                                <a:lnTo>
                                  <a:pt x="554" y="12"/>
                                </a:lnTo>
                                <a:close/>
                                <a:moveTo>
                                  <a:pt x="564" y="23"/>
                                </a:moveTo>
                                <a:lnTo>
                                  <a:pt x="564" y="23"/>
                                </a:lnTo>
                                <a:lnTo>
                                  <a:pt x="565" y="23"/>
                                </a:lnTo>
                                <a:lnTo>
                                  <a:pt x="564" y="23"/>
                                </a:lnTo>
                                <a:close/>
                                <a:moveTo>
                                  <a:pt x="566" y="23"/>
                                </a:moveTo>
                                <a:lnTo>
                                  <a:pt x="566" y="23"/>
                                </a:lnTo>
                                <a:lnTo>
                                  <a:pt x="564" y="23"/>
                                </a:lnTo>
                                <a:lnTo>
                                  <a:pt x="564" y="23"/>
                                </a:lnTo>
                                <a:lnTo>
                                  <a:pt x="566" y="23"/>
                                </a:lnTo>
                                <a:close/>
                                <a:moveTo>
                                  <a:pt x="566" y="23"/>
                                </a:moveTo>
                                <a:cubicBezTo>
                                  <a:pt x="566" y="23"/>
                                  <a:pt x="566" y="24"/>
                                  <a:pt x="566" y="24"/>
                                </a:cubicBezTo>
                                <a:lnTo>
                                  <a:pt x="564" y="24"/>
                                </a:lnTo>
                                <a:cubicBezTo>
                                  <a:pt x="564" y="24"/>
                                  <a:pt x="564" y="24"/>
                                  <a:pt x="564" y="23"/>
                                </a:cubicBezTo>
                                <a:lnTo>
                                  <a:pt x="566" y="23"/>
                                </a:lnTo>
                                <a:close/>
                                <a:moveTo>
                                  <a:pt x="566" y="24"/>
                                </a:moveTo>
                                <a:cubicBezTo>
                                  <a:pt x="566" y="24"/>
                                  <a:pt x="566" y="24"/>
                                  <a:pt x="566" y="25"/>
                                </a:cubicBezTo>
                                <a:lnTo>
                                  <a:pt x="565" y="25"/>
                                </a:lnTo>
                                <a:cubicBezTo>
                                  <a:pt x="565" y="25"/>
                                  <a:pt x="565" y="24"/>
                                  <a:pt x="564" y="24"/>
                                </a:cubicBezTo>
                                <a:lnTo>
                                  <a:pt x="566" y="24"/>
                                </a:lnTo>
                                <a:close/>
                                <a:moveTo>
                                  <a:pt x="566" y="25"/>
                                </a:moveTo>
                                <a:cubicBezTo>
                                  <a:pt x="566" y="26"/>
                                  <a:pt x="566" y="28"/>
                                  <a:pt x="566" y="29"/>
                                </a:cubicBezTo>
                                <a:lnTo>
                                  <a:pt x="565" y="29"/>
                                </a:lnTo>
                                <a:cubicBezTo>
                                  <a:pt x="565" y="28"/>
                                  <a:pt x="565" y="26"/>
                                  <a:pt x="565" y="25"/>
                                </a:cubicBezTo>
                                <a:lnTo>
                                  <a:pt x="566" y="25"/>
                                </a:lnTo>
                                <a:close/>
                                <a:moveTo>
                                  <a:pt x="566" y="29"/>
                                </a:moveTo>
                                <a:lnTo>
                                  <a:pt x="566" y="29"/>
                                </a:lnTo>
                                <a:lnTo>
                                  <a:pt x="565" y="29"/>
                                </a:lnTo>
                                <a:lnTo>
                                  <a:pt x="565" y="29"/>
                                </a:lnTo>
                                <a:lnTo>
                                  <a:pt x="566" y="29"/>
                                </a:lnTo>
                                <a:close/>
                                <a:moveTo>
                                  <a:pt x="566" y="29"/>
                                </a:moveTo>
                                <a:lnTo>
                                  <a:pt x="566" y="29"/>
                                </a:lnTo>
                                <a:lnTo>
                                  <a:pt x="565" y="29"/>
                                </a:lnTo>
                                <a:lnTo>
                                  <a:pt x="566" y="29"/>
                                </a:lnTo>
                                <a:close/>
                                <a:moveTo>
                                  <a:pt x="566" y="29"/>
                                </a:moveTo>
                                <a:cubicBezTo>
                                  <a:pt x="566" y="29"/>
                                  <a:pt x="566" y="29"/>
                                  <a:pt x="566" y="30"/>
                                </a:cubicBezTo>
                                <a:lnTo>
                                  <a:pt x="565" y="29"/>
                                </a:lnTo>
                                <a:cubicBezTo>
                                  <a:pt x="565" y="29"/>
                                  <a:pt x="565" y="29"/>
                                  <a:pt x="565" y="29"/>
                                </a:cubicBezTo>
                                <a:lnTo>
                                  <a:pt x="566" y="29"/>
                                </a:lnTo>
                                <a:close/>
                                <a:moveTo>
                                  <a:pt x="566" y="30"/>
                                </a:moveTo>
                                <a:cubicBezTo>
                                  <a:pt x="566" y="30"/>
                                  <a:pt x="566" y="30"/>
                                  <a:pt x="566" y="30"/>
                                </a:cubicBezTo>
                                <a:lnTo>
                                  <a:pt x="565" y="30"/>
                                </a:lnTo>
                                <a:cubicBezTo>
                                  <a:pt x="565" y="30"/>
                                  <a:pt x="565" y="30"/>
                                  <a:pt x="565" y="29"/>
                                </a:cubicBezTo>
                                <a:lnTo>
                                  <a:pt x="566" y="30"/>
                                </a:lnTo>
                                <a:close/>
                                <a:moveTo>
                                  <a:pt x="566" y="30"/>
                                </a:moveTo>
                                <a:cubicBezTo>
                                  <a:pt x="566" y="31"/>
                                  <a:pt x="565" y="32"/>
                                  <a:pt x="565" y="33"/>
                                </a:cubicBezTo>
                                <a:lnTo>
                                  <a:pt x="564" y="33"/>
                                </a:lnTo>
                                <a:cubicBezTo>
                                  <a:pt x="564" y="32"/>
                                  <a:pt x="564" y="31"/>
                                  <a:pt x="565" y="30"/>
                                </a:cubicBezTo>
                                <a:lnTo>
                                  <a:pt x="566" y="30"/>
                                </a:lnTo>
                                <a:close/>
                                <a:moveTo>
                                  <a:pt x="564" y="33"/>
                                </a:moveTo>
                                <a:lnTo>
                                  <a:pt x="564" y="33"/>
                                </a:lnTo>
                                <a:lnTo>
                                  <a:pt x="564" y="33"/>
                                </a:lnTo>
                                <a:lnTo>
                                  <a:pt x="565" y="33"/>
                                </a:lnTo>
                                <a:lnTo>
                                  <a:pt x="564" y="33"/>
                                </a:lnTo>
                                <a:close/>
                                <a:moveTo>
                                  <a:pt x="565" y="33"/>
                                </a:moveTo>
                                <a:cubicBezTo>
                                  <a:pt x="574" y="49"/>
                                  <a:pt x="594" y="62"/>
                                  <a:pt x="594" y="62"/>
                                </a:cubicBezTo>
                                <a:lnTo>
                                  <a:pt x="594" y="63"/>
                                </a:lnTo>
                                <a:cubicBezTo>
                                  <a:pt x="594" y="63"/>
                                  <a:pt x="573" y="50"/>
                                  <a:pt x="564" y="33"/>
                                </a:cubicBezTo>
                                <a:lnTo>
                                  <a:pt x="565" y="33"/>
                                </a:lnTo>
                                <a:close/>
                                <a:moveTo>
                                  <a:pt x="594" y="63"/>
                                </a:moveTo>
                                <a:lnTo>
                                  <a:pt x="594" y="63"/>
                                </a:lnTo>
                                <a:lnTo>
                                  <a:pt x="594" y="63"/>
                                </a:lnTo>
                                <a:lnTo>
                                  <a:pt x="594" y="63"/>
                                </a:lnTo>
                                <a:close/>
                                <a:moveTo>
                                  <a:pt x="594" y="62"/>
                                </a:moveTo>
                                <a:lnTo>
                                  <a:pt x="594" y="62"/>
                                </a:lnTo>
                                <a:lnTo>
                                  <a:pt x="594" y="63"/>
                                </a:lnTo>
                                <a:lnTo>
                                  <a:pt x="594" y="63"/>
                                </a:lnTo>
                                <a:lnTo>
                                  <a:pt x="594" y="62"/>
                                </a:lnTo>
                                <a:close/>
                                <a:moveTo>
                                  <a:pt x="594" y="63"/>
                                </a:moveTo>
                                <a:lnTo>
                                  <a:pt x="594" y="63"/>
                                </a:lnTo>
                                <a:lnTo>
                                  <a:pt x="594" y="63"/>
                                </a:lnTo>
                                <a:close/>
                                <a:moveTo>
                                  <a:pt x="594" y="62"/>
                                </a:moveTo>
                                <a:cubicBezTo>
                                  <a:pt x="594" y="62"/>
                                  <a:pt x="595" y="61"/>
                                  <a:pt x="595" y="61"/>
                                </a:cubicBezTo>
                                <a:lnTo>
                                  <a:pt x="596" y="62"/>
                                </a:lnTo>
                                <a:cubicBezTo>
                                  <a:pt x="595" y="62"/>
                                  <a:pt x="595" y="63"/>
                                  <a:pt x="594" y="63"/>
                                </a:cubicBezTo>
                                <a:lnTo>
                                  <a:pt x="594" y="62"/>
                                </a:lnTo>
                                <a:close/>
                                <a:moveTo>
                                  <a:pt x="595" y="61"/>
                                </a:moveTo>
                                <a:cubicBezTo>
                                  <a:pt x="596" y="60"/>
                                  <a:pt x="596" y="60"/>
                                  <a:pt x="597" y="60"/>
                                </a:cubicBezTo>
                                <a:lnTo>
                                  <a:pt x="598" y="61"/>
                                </a:lnTo>
                                <a:cubicBezTo>
                                  <a:pt x="597" y="61"/>
                                  <a:pt x="597" y="61"/>
                                  <a:pt x="596" y="62"/>
                                </a:cubicBezTo>
                                <a:lnTo>
                                  <a:pt x="595" y="61"/>
                                </a:lnTo>
                                <a:close/>
                                <a:moveTo>
                                  <a:pt x="597" y="60"/>
                                </a:moveTo>
                                <a:cubicBezTo>
                                  <a:pt x="600" y="58"/>
                                  <a:pt x="604" y="57"/>
                                  <a:pt x="608" y="57"/>
                                </a:cubicBezTo>
                                <a:lnTo>
                                  <a:pt x="608" y="58"/>
                                </a:lnTo>
                                <a:cubicBezTo>
                                  <a:pt x="604" y="58"/>
                                  <a:pt x="601" y="59"/>
                                  <a:pt x="598" y="61"/>
                                </a:cubicBezTo>
                                <a:lnTo>
                                  <a:pt x="597" y="60"/>
                                </a:lnTo>
                                <a:close/>
                                <a:moveTo>
                                  <a:pt x="608" y="57"/>
                                </a:moveTo>
                                <a:lnTo>
                                  <a:pt x="608" y="57"/>
                                </a:lnTo>
                                <a:lnTo>
                                  <a:pt x="608" y="58"/>
                                </a:lnTo>
                                <a:lnTo>
                                  <a:pt x="608" y="58"/>
                                </a:lnTo>
                                <a:lnTo>
                                  <a:pt x="608" y="57"/>
                                </a:lnTo>
                                <a:close/>
                                <a:moveTo>
                                  <a:pt x="608" y="57"/>
                                </a:moveTo>
                                <a:cubicBezTo>
                                  <a:pt x="614" y="57"/>
                                  <a:pt x="619" y="59"/>
                                  <a:pt x="623" y="63"/>
                                </a:cubicBezTo>
                                <a:lnTo>
                                  <a:pt x="622" y="64"/>
                                </a:lnTo>
                                <a:cubicBezTo>
                                  <a:pt x="619" y="60"/>
                                  <a:pt x="614" y="58"/>
                                  <a:pt x="608" y="58"/>
                                </a:cubicBezTo>
                                <a:lnTo>
                                  <a:pt x="608" y="57"/>
                                </a:lnTo>
                                <a:close/>
                                <a:moveTo>
                                  <a:pt x="623" y="63"/>
                                </a:moveTo>
                                <a:cubicBezTo>
                                  <a:pt x="627" y="67"/>
                                  <a:pt x="630" y="72"/>
                                  <a:pt x="630" y="78"/>
                                </a:cubicBezTo>
                                <a:lnTo>
                                  <a:pt x="628" y="78"/>
                                </a:lnTo>
                                <a:cubicBezTo>
                                  <a:pt x="628" y="72"/>
                                  <a:pt x="626" y="67"/>
                                  <a:pt x="622" y="64"/>
                                </a:cubicBezTo>
                                <a:lnTo>
                                  <a:pt x="623" y="63"/>
                                </a:lnTo>
                                <a:close/>
                                <a:moveTo>
                                  <a:pt x="630" y="78"/>
                                </a:moveTo>
                                <a:lnTo>
                                  <a:pt x="630" y="78"/>
                                </a:lnTo>
                                <a:lnTo>
                                  <a:pt x="628" y="78"/>
                                </a:lnTo>
                                <a:lnTo>
                                  <a:pt x="628" y="78"/>
                                </a:lnTo>
                                <a:lnTo>
                                  <a:pt x="630" y="78"/>
                                </a:lnTo>
                                <a:close/>
                                <a:moveTo>
                                  <a:pt x="630" y="78"/>
                                </a:moveTo>
                                <a:lnTo>
                                  <a:pt x="630" y="78"/>
                                </a:lnTo>
                                <a:lnTo>
                                  <a:pt x="628" y="78"/>
                                </a:lnTo>
                                <a:lnTo>
                                  <a:pt x="628" y="78"/>
                                </a:lnTo>
                                <a:lnTo>
                                  <a:pt x="630" y="78"/>
                                </a:lnTo>
                                <a:close/>
                                <a:moveTo>
                                  <a:pt x="630" y="78"/>
                                </a:moveTo>
                                <a:cubicBezTo>
                                  <a:pt x="630" y="80"/>
                                  <a:pt x="629" y="83"/>
                                  <a:pt x="628" y="85"/>
                                </a:cubicBezTo>
                                <a:lnTo>
                                  <a:pt x="627" y="85"/>
                                </a:lnTo>
                                <a:cubicBezTo>
                                  <a:pt x="628" y="82"/>
                                  <a:pt x="628" y="80"/>
                                  <a:pt x="628" y="78"/>
                                </a:cubicBezTo>
                                <a:lnTo>
                                  <a:pt x="630" y="78"/>
                                </a:lnTo>
                                <a:close/>
                                <a:moveTo>
                                  <a:pt x="628" y="85"/>
                                </a:moveTo>
                                <a:lnTo>
                                  <a:pt x="628" y="85"/>
                                </a:lnTo>
                                <a:lnTo>
                                  <a:pt x="628" y="85"/>
                                </a:lnTo>
                                <a:close/>
                                <a:moveTo>
                                  <a:pt x="628" y="85"/>
                                </a:moveTo>
                                <a:cubicBezTo>
                                  <a:pt x="628" y="86"/>
                                  <a:pt x="627" y="87"/>
                                  <a:pt x="627" y="88"/>
                                </a:cubicBezTo>
                                <a:lnTo>
                                  <a:pt x="626" y="87"/>
                                </a:lnTo>
                                <a:cubicBezTo>
                                  <a:pt x="626" y="86"/>
                                  <a:pt x="627" y="85"/>
                                  <a:pt x="627" y="85"/>
                                </a:cubicBezTo>
                                <a:lnTo>
                                  <a:pt x="628" y="85"/>
                                </a:lnTo>
                                <a:close/>
                                <a:moveTo>
                                  <a:pt x="627" y="88"/>
                                </a:moveTo>
                                <a:cubicBezTo>
                                  <a:pt x="625" y="91"/>
                                  <a:pt x="621" y="94"/>
                                  <a:pt x="617" y="96"/>
                                </a:cubicBezTo>
                                <a:lnTo>
                                  <a:pt x="617" y="95"/>
                                </a:lnTo>
                                <a:cubicBezTo>
                                  <a:pt x="621" y="93"/>
                                  <a:pt x="624" y="90"/>
                                  <a:pt x="626" y="87"/>
                                </a:cubicBezTo>
                                <a:lnTo>
                                  <a:pt x="627" y="88"/>
                                </a:lnTo>
                                <a:close/>
                                <a:moveTo>
                                  <a:pt x="617" y="96"/>
                                </a:moveTo>
                                <a:lnTo>
                                  <a:pt x="617" y="96"/>
                                </a:lnTo>
                                <a:lnTo>
                                  <a:pt x="617" y="96"/>
                                </a:lnTo>
                                <a:lnTo>
                                  <a:pt x="617" y="96"/>
                                </a:lnTo>
                                <a:close/>
                                <a:moveTo>
                                  <a:pt x="617" y="96"/>
                                </a:moveTo>
                                <a:cubicBezTo>
                                  <a:pt x="617" y="96"/>
                                  <a:pt x="604" y="100"/>
                                  <a:pt x="593" y="86"/>
                                </a:cubicBezTo>
                                <a:lnTo>
                                  <a:pt x="594" y="85"/>
                                </a:lnTo>
                                <a:cubicBezTo>
                                  <a:pt x="605" y="98"/>
                                  <a:pt x="617" y="95"/>
                                  <a:pt x="617" y="95"/>
                                </a:cubicBezTo>
                                <a:lnTo>
                                  <a:pt x="617" y="96"/>
                                </a:lnTo>
                                <a:close/>
                                <a:moveTo>
                                  <a:pt x="593" y="85"/>
                                </a:moveTo>
                                <a:lnTo>
                                  <a:pt x="594" y="85"/>
                                </a:lnTo>
                                <a:lnTo>
                                  <a:pt x="594" y="85"/>
                                </a:lnTo>
                                <a:lnTo>
                                  <a:pt x="594" y="86"/>
                                </a:lnTo>
                                <a:lnTo>
                                  <a:pt x="593" y="85"/>
                                </a:lnTo>
                                <a:close/>
                                <a:moveTo>
                                  <a:pt x="594" y="86"/>
                                </a:moveTo>
                                <a:cubicBezTo>
                                  <a:pt x="586" y="94"/>
                                  <a:pt x="582" y="174"/>
                                  <a:pt x="582" y="175"/>
                                </a:cubicBezTo>
                                <a:lnTo>
                                  <a:pt x="580" y="175"/>
                                </a:lnTo>
                                <a:cubicBezTo>
                                  <a:pt x="580" y="174"/>
                                  <a:pt x="584" y="93"/>
                                  <a:pt x="593" y="85"/>
                                </a:cubicBezTo>
                                <a:lnTo>
                                  <a:pt x="594" y="86"/>
                                </a:lnTo>
                                <a:close/>
                                <a:moveTo>
                                  <a:pt x="581" y="175"/>
                                </a:moveTo>
                                <a:lnTo>
                                  <a:pt x="580" y="176"/>
                                </a:lnTo>
                                <a:lnTo>
                                  <a:pt x="580" y="175"/>
                                </a:lnTo>
                                <a:lnTo>
                                  <a:pt x="581" y="175"/>
                                </a:lnTo>
                                <a:close/>
                                <a:moveTo>
                                  <a:pt x="581" y="174"/>
                                </a:moveTo>
                                <a:cubicBezTo>
                                  <a:pt x="595" y="168"/>
                                  <a:pt x="597" y="156"/>
                                  <a:pt x="597" y="156"/>
                                </a:cubicBezTo>
                                <a:lnTo>
                                  <a:pt x="598" y="156"/>
                                </a:lnTo>
                                <a:cubicBezTo>
                                  <a:pt x="598" y="156"/>
                                  <a:pt x="597" y="169"/>
                                  <a:pt x="581" y="175"/>
                                </a:cubicBezTo>
                                <a:lnTo>
                                  <a:pt x="581" y="174"/>
                                </a:lnTo>
                                <a:close/>
                                <a:moveTo>
                                  <a:pt x="597" y="156"/>
                                </a:moveTo>
                                <a:lnTo>
                                  <a:pt x="597" y="154"/>
                                </a:lnTo>
                                <a:lnTo>
                                  <a:pt x="598" y="155"/>
                                </a:lnTo>
                                <a:lnTo>
                                  <a:pt x="597" y="156"/>
                                </a:lnTo>
                                <a:close/>
                                <a:moveTo>
                                  <a:pt x="598" y="155"/>
                                </a:moveTo>
                                <a:cubicBezTo>
                                  <a:pt x="606" y="166"/>
                                  <a:pt x="603" y="176"/>
                                  <a:pt x="603" y="176"/>
                                </a:cubicBezTo>
                                <a:lnTo>
                                  <a:pt x="601" y="176"/>
                                </a:lnTo>
                                <a:cubicBezTo>
                                  <a:pt x="601" y="176"/>
                                  <a:pt x="604" y="166"/>
                                  <a:pt x="597" y="156"/>
                                </a:cubicBezTo>
                                <a:lnTo>
                                  <a:pt x="598" y="155"/>
                                </a:lnTo>
                                <a:close/>
                                <a:moveTo>
                                  <a:pt x="602" y="176"/>
                                </a:moveTo>
                                <a:lnTo>
                                  <a:pt x="601" y="176"/>
                                </a:lnTo>
                                <a:lnTo>
                                  <a:pt x="601" y="176"/>
                                </a:lnTo>
                                <a:lnTo>
                                  <a:pt x="602" y="176"/>
                                </a:lnTo>
                                <a:close/>
                                <a:moveTo>
                                  <a:pt x="602" y="175"/>
                                </a:moveTo>
                                <a:cubicBezTo>
                                  <a:pt x="617" y="180"/>
                                  <a:pt x="609" y="194"/>
                                  <a:pt x="609" y="194"/>
                                </a:cubicBezTo>
                                <a:lnTo>
                                  <a:pt x="608" y="194"/>
                                </a:lnTo>
                                <a:cubicBezTo>
                                  <a:pt x="608" y="194"/>
                                  <a:pt x="616" y="181"/>
                                  <a:pt x="602" y="176"/>
                                </a:cubicBezTo>
                                <a:lnTo>
                                  <a:pt x="602" y="175"/>
                                </a:lnTo>
                                <a:close/>
                                <a:moveTo>
                                  <a:pt x="609" y="194"/>
                                </a:moveTo>
                                <a:lnTo>
                                  <a:pt x="609" y="194"/>
                                </a:lnTo>
                                <a:lnTo>
                                  <a:pt x="609" y="195"/>
                                </a:lnTo>
                                <a:lnTo>
                                  <a:pt x="609" y="194"/>
                                </a:lnTo>
                                <a:close/>
                                <a:moveTo>
                                  <a:pt x="609" y="195"/>
                                </a:moveTo>
                                <a:cubicBezTo>
                                  <a:pt x="609" y="195"/>
                                  <a:pt x="602" y="200"/>
                                  <a:pt x="596" y="194"/>
                                </a:cubicBezTo>
                                <a:lnTo>
                                  <a:pt x="597" y="193"/>
                                </a:lnTo>
                                <a:cubicBezTo>
                                  <a:pt x="602" y="198"/>
                                  <a:pt x="608" y="194"/>
                                  <a:pt x="608" y="194"/>
                                </a:cubicBezTo>
                                <a:lnTo>
                                  <a:pt x="609" y="195"/>
                                </a:lnTo>
                                <a:close/>
                                <a:moveTo>
                                  <a:pt x="596" y="194"/>
                                </a:moveTo>
                                <a:lnTo>
                                  <a:pt x="596" y="194"/>
                                </a:lnTo>
                                <a:lnTo>
                                  <a:pt x="596" y="194"/>
                                </a:lnTo>
                                <a:lnTo>
                                  <a:pt x="597" y="193"/>
                                </a:lnTo>
                                <a:lnTo>
                                  <a:pt x="596" y="194"/>
                                </a:lnTo>
                                <a:close/>
                                <a:moveTo>
                                  <a:pt x="596" y="194"/>
                                </a:moveTo>
                                <a:cubicBezTo>
                                  <a:pt x="596" y="194"/>
                                  <a:pt x="594" y="190"/>
                                  <a:pt x="597" y="186"/>
                                </a:cubicBezTo>
                                <a:lnTo>
                                  <a:pt x="598" y="187"/>
                                </a:lnTo>
                                <a:cubicBezTo>
                                  <a:pt x="596" y="190"/>
                                  <a:pt x="597" y="193"/>
                                  <a:pt x="597" y="193"/>
                                </a:cubicBezTo>
                                <a:lnTo>
                                  <a:pt x="596" y="194"/>
                                </a:lnTo>
                                <a:close/>
                                <a:moveTo>
                                  <a:pt x="597" y="186"/>
                                </a:moveTo>
                                <a:lnTo>
                                  <a:pt x="597" y="186"/>
                                </a:lnTo>
                                <a:lnTo>
                                  <a:pt x="597" y="186"/>
                                </a:lnTo>
                                <a:lnTo>
                                  <a:pt x="597" y="187"/>
                                </a:lnTo>
                                <a:lnTo>
                                  <a:pt x="597" y="186"/>
                                </a:lnTo>
                                <a:close/>
                                <a:moveTo>
                                  <a:pt x="597" y="186"/>
                                </a:moveTo>
                                <a:cubicBezTo>
                                  <a:pt x="600" y="183"/>
                                  <a:pt x="603" y="186"/>
                                  <a:pt x="603" y="186"/>
                                </a:cubicBezTo>
                                <a:lnTo>
                                  <a:pt x="602" y="187"/>
                                </a:lnTo>
                                <a:cubicBezTo>
                                  <a:pt x="602" y="187"/>
                                  <a:pt x="600" y="185"/>
                                  <a:pt x="598" y="187"/>
                                </a:cubicBezTo>
                                <a:lnTo>
                                  <a:pt x="597" y="186"/>
                                </a:lnTo>
                                <a:close/>
                                <a:moveTo>
                                  <a:pt x="603" y="186"/>
                                </a:moveTo>
                                <a:lnTo>
                                  <a:pt x="603" y="188"/>
                                </a:lnTo>
                                <a:lnTo>
                                  <a:pt x="602" y="187"/>
                                </a:lnTo>
                                <a:lnTo>
                                  <a:pt x="602" y="186"/>
                                </a:lnTo>
                                <a:lnTo>
                                  <a:pt x="603" y="186"/>
                                </a:lnTo>
                                <a:close/>
                                <a:moveTo>
                                  <a:pt x="602" y="186"/>
                                </a:moveTo>
                                <a:lnTo>
                                  <a:pt x="602" y="186"/>
                                </a:lnTo>
                                <a:lnTo>
                                  <a:pt x="603" y="186"/>
                                </a:lnTo>
                                <a:lnTo>
                                  <a:pt x="603" y="186"/>
                                </a:lnTo>
                                <a:lnTo>
                                  <a:pt x="602" y="186"/>
                                </a:lnTo>
                                <a:close/>
                                <a:moveTo>
                                  <a:pt x="603" y="186"/>
                                </a:moveTo>
                                <a:lnTo>
                                  <a:pt x="603" y="186"/>
                                </a:lnTo>
                                <a:lnTo>
                                  <a:pt x="603" y="186"/>
                                </a:lnTo>
                                <a:lnTo>
                                  <a:pt x="602" y="186"/>
                                </a:lnTo>
                                <a:lnTo>
                                  <a:pt x="603" y="186"/>
                                </a:lnTo>
                                <a:close/>
                                <a:moveTo>
                                  <a:pt x="602" y="187"/>
                                </a:moveTo>
                                <a:cubicBezTo>
                                  <a:pt x="593" y="182"/>
                                  <a:pt x="589" y="187"/>
                                  <a:pt x="589" y="187"/>
                                </a:cubicBezTo>
                                <a:lnTo>
                                  <a:pt x="588" y="187"/>
                                </a:lnTo>
                                <a:cubicBezTo>
                                  <a:pt x="588" y="187"/>
                                  <a:pt x="592" y="180"/>
                                  <a:pt x="603" y="186"/>
                                </a:cubicBezTo>
                                <a:lnTo>
                                  <a:pt x="602" y="187"/>
                                </a:lnTo>
                                <a:close/>
                                <a:moveTo>
                                  <a:pt x="588" y="187"/>
                                </a:moveTo>
                                <a:lnTo>
                                  <a:pt x="588" y="187"/>
                                </a:lnTo>
                                <a:lnTo>
                                  <a:pt x="589" y="187"/>
                                </a:lnTo>
                                <a:lnTo>
                                  <a:pt x="588" y="187"/>
                                </a:lnTo>
                                <a:close/>
                                <a:moveTo>
                                  <a:pt x="589" y="187"/>
                                </a:moveTo>
                                <a:cubicBezTo>
                                  <a:pt x="586" y="193"/>
                                  <a:pt x="586" y="200"/>
                                  <a:pt x="586" y="200"/>
                                </a:cubicBezTo>
                                <a:lnTo>
                                  <a:pt x="584" y="200"/>
                                </a:lnTo>
                                <a:cubicBezTo>
                                  <a:pt x="584" y="200"/>
                                  <a:pt x="584" y="193"/>
                                  <a:pt x="588" y="187"/>
                                </a:cubicBezTo>
                                <a:lnTo>
                                  <a:pt x="589" y="187"/>
                                </a:lnTo>
                                <a:close/>
                                <a:moveTo>
                                  <a:pt x="585" y="201"/>
                                </a:moveTo>
                                <a:lnTo>
                                  <a:pt x="584" y="201"/>
                                </a:lnTo>
                                <a:lnTo>
                                  <a:pt x="584" y="200"/>
                                </a:lnTo>
                                <a:lnTo>
                                  <a:pt x="585" y="200"/>
                                </a:lnTo>
                                <a:lnTo>
                                  <a:pt x="585" y="201"/>
                                </a:lnTo>
                                <a:close/>
                                <a:moveTo>
                                  <a:pt x="585" y="200"/>
                                </a:moveTo>
                                <a:cubicBezTo>
                                  <a:pt x="597" y="196"/>
                                  <a:pt x="598" y="207"/>
                                  <a:pt x="598" y="207"/>
                                </a:cubicBezTo>
                                <a:lnTo>
                                  <a:pt x="596" y="207"/>
                                </a:lnTo>
                                <a:cubicBezTo>
                                  <a:pt x="596" y="207"/>
                                  <a:pt x="596" y="197"/>
                                  <a:pt x="585" y="201"/>
                                </a:cubicBezTo>
                                <a:lnTo>
                                  <a:pt x="585" y="200"/>
                                </a:lnTo>
                                <a:close/>
                                <a:moveTo>
                                  <a:pt x="598" y="207"/>
                                </a:moveTo>
                                <a:lnTo>
                                  <a:pt x="598" y="208"/>
                                </a:lnTo>
                                <a:lnTo>
                                  <a:pt x="597" y="208"/>
                                </a:lnTo>
                                <a:lnTo>
                                  <a:pt x="597" y="207"/>
                                </a:lnTo>
                                <a:lnTo>
                                  <a:pt x="598" y="207"/>
                                </a:lnTo>
                                <a:close/>
                                <a:moveTo>
                                  <a:pt x="597" y="208"/>
                                </a:moveTo>
                                <a:cubicBezTo>
                                  <a:pt x="597" y="208"/>
                                  <a:pt x="580" y="207"/>
                                  <a:pt x="585" y="228"/>
                                </a:cubicBezTo>
                                <a:lnTo>
                                  <a:pt x="584" y="229"/>
                                </a:lnTo>
                                <a:cubicBezTo>
                                  <a:pt x="578" y="205"/>
                                  <a:pt x="597" y="207"/>
                                  <a:pt x="597" y="207"/>
                                </a:cubicBezTo>
                                <a:lnTo>
                                  <a:pt x="597" y="208"/>
                                </a:lnTo>
                                <a:close/>
                                <a:moveTo>
                                  <a:pt x="584" y="229"/>
                                </a:moveTo>
                                <a:lnTo>
                                  <a:pt x="584" y="229"/>
                                </a:lnTo>
                                <a:lnTo>
                                  <a:pt x="584" y="229"/>
                                </a:lnTo>
                                <a:lnTo>
                                  <a:pt x="584" y="229"/>
                                </a:lnTo>
                                <a:close/>
                                <a:moveTo>
                                  <a:pt x="584" y="228"/>
                                </a:moveTo>
                                <a:cubicBezTo>
                                  <a:pt x="593" y="233"/>
                                  <a:pt x="595" y="222"/>
                                  <a:pt x="595" y="222"/>
                                </a:cubicBezTo>
                                <a:lnTo>
                                  <a:pt x="597" y="223"/>
                                </a:lnTo>
                                <a:cubicBezTo>
                                  <a:pt x="597" y="223"/>
                                  <a:pt x="593" y="235"/>
                                  <a:pt x="584" y="229"/>
                                </a:cubicBezTo>
                                <a:lnTo>
                                  <a:pt x="584" y="228"/>
                                </a:lnTo>
                                <a:close/>
                                <a:moveTo>
                                  <a:pt x="595" y="222"/>
                                </a:moveTo>
                                <a:lnTo>
                                  <a:pt x="595" y="222"/>
                                </a:lnTo>
                                <a:lnTo>
                                  <a:pt x="596" y="223"/>
                                </a:lnTo>
                                <a:lnTo>
                                  <a:pt x="595" y="222"/>
                                </a:lnTo>
                                <a:close/>
                                <a:moveTo>
                                  <a:pt x="595" y="222"/>
                                </a:moveTo>
                                <a:lnTo>
                                  <a:pt x="595" y="222"/>
                                </a:lnTo>
                                <a:lnTo>
                                  <a:pt x="597" y="223"/>
                                </a:lnTo>
                                <a:lnTo>
                                  <a:pt x="597" y="223"/>
                                </a:lnTo>
                                <a:lnTo>
                                  <a:pt x="595" y="222"/>
                                </a:lnTo>
                                <a:close/>
                                <a:moveTo>
                                  <a:pt x="595" y="222"/>
                                </a:moveTo>
                                <a:cubicBezTo>
                                  <a:pt x="596" y="221"/>
                                  <a:pt x="596" y="220"/>
                                  <a:pt x="597" y="219"/>
                                </a:cubicBezTo>
                                <a:lnTo>
                                  <a:pt x="598" y="220"/>
                                </a:lnTo>
                                <a:cubicBezTo>
                                  <a:pt x="597" y="221"/>
                                  <a:pt x="597" y="222"/>
                                  <a:pt x="597" y="223"/>
                                </a:cubicBezTo>
                                <a:lnTo>
                                  <a:pt x="595" y="222"/>
                                </a:lnTo>
                                <a:close/>
                                <a:moveTo>
                                  <a:pt x="597" y="219"/>
                                </a:moveTo>
                                <a:cubicBezTo>
                                  <a:pt x="597" y="218"/>
                                  <a:pt x="598" y="217"/>
                                  <a:pt x="598" y="216"/>
                                </a:cubicBezTo>
                                <a:lnTo>
                                  <a:pt x="599" y="217"/>
                                </a:lnTo>
                                <a:cubicBezTo>
                                  <a:pt x="599" y="218"/>
                                  <a:pt x="598" y="219"/>
                                  <a:pt x="598" y="220"/>
                                </a:cubicBezTo>
                                <a:lnTo>
                                  <a:pt x="597" y="219"/>
                                </a:lnTo>
                                <a:close/>
                                <a:moveTo>
                                  <a:pt x="598" y="216"/>
                                </a:moveTo>
                                <a:cubicBezTo>
                                  <a:pt x="601" y="212"/>
                                  <a:pt x="606" y="209"/>
                                  <a:pt x="612" y="209"/>
                                </a:cubicBezTo>
                                <a:lnTo>
                                  <a:pt x="612" y="210"/>
                                </a:lnTo>
                                <a:cubicBezTo>
                                  <a:pt x="607" y="210"/>
                                  <a:pt x="602" y="213"/>
                                  <a:pt x="599" y="217"/>
                                </a:cubicBezTo>
                                <a:lnTo>
                                  <a:pt x="598" y="216"/>
                                </a:lnTo>
                                <a:close/>
                                <a:moveTo>
                                  <a:pt x="612" y="209"/>
                                </a:moveTo>
                                <a:lnTo>
                                  <a:pt x="612" y="209"/>
                                </a:lnTo>
                                <a:lnTo>
                                  <a:pt x="612" y="210"/>
                                </a:lnTo>
                                <a:lnTo>
                                  <a:pt x="612" y="210"/>
                                </a:lnTo>
                                <a:lnTo>
                                  <a:pt x="612" y="209"/>
                                </a:lnTo>
                                <a:close/>
                                <a:moveTo>
                                  <a:pt x="612" y="209"/>
                                </a:moveTo>
                                <a:cubicBezTo>
                                  <a:pt x="616" y="209"/>
                                  <a:pt x="621" y="211"/>
                                  <a:pt x="624" y="214"/>
                                </a:cubicBezTo>
                                <a:lnTo>
                                  <a:pt x="623" y="215"/>
                                </a:lnTo>
                                <a:cubicBezTo>
                                  <a:pt x="620" y="212"/>
                                  <a:pt x="616" y="210"/>
                                  <a:pt x="612" y="210"/>
                                </a:cubicBezTo>
                                <a:lnTo>
                                  <a:pt x="612" y="209"/>
                                </a:lnTo>
                                <a:close/>
                                <a:moveTo>
                                  <a:pt x="624" y="214"/>
                                </a:moveTo>
                                <a:cubicBezTo>
                                  <a:pt x="627" y="218"/>
                                  <a:pt x="629" y="222"/>
                                  <a:pt x="629" y="228"/>
                                </a:cubicBezTo>
                                <a:lnTo>
                                  <a:pt x="627" y="228"/>
                                </a:lnTo>
                                <a:cubicBezTo>
                                  <a:pt x="627" y="223"/>
                                  <a:pt x="626" y="218"/>
                                  <a:pt x="623" y="215"/>
                                </a:cubicBezTo>
                                <a:lnTo>
                                  <a:pt x="624" y="214"/>
                                </a:lnTo>
                                <a:close/>
                                <a:moveTo>
                                  <a:pt x="629" y="228"/>
                                </a:moveTo>
                                <a:lnTo>
                                  <a:pt x="629" y="228"/>
                                </a:lnTo>
                                <a:lnTo>
                                  <a:pt x="627" y="228"/>
                                </a:lnTo>
                                <a:lnTo>
                                  <a:pt x="627" y="228"/>
                                </a:lnTo>
                                <a:lnTo>
                                  <a:pt x="629" y="228"/>
                                </a:lnTo>
                                <a:close/>
                                <a:moveTo>
                                  <a:pt x="629" y="228"/>
                                </a:moveTo>
                                <a:lnTo>
                                  <a:pt x="629" y="228"/>
                                </a:lnTo>
                                <a:lnTo>
                                  <a:pt x="627" y="228"/>
                                </a:lnTo>
                                <a:lnTo>
                                  <a:pt x="627" y="228"/>
                                </a:lnTo>
                                <a:lnTo>
                                  <a:pt x="629" y="228"/>
                                </a:lnTo>
                                <a:close/>
                                <a:moveTo>
                                  <a:pt x="629" y="228"/>
                                </a:moveTo>
                                <a:cubicBezTo>
                                  <a:pt x="629" y="229"/>
                                  <a:pt x="628" y="231"/>
                                  <a:pt x="628" y="232"/>
                                </a:cubicBezTo>
                                <a:lnTo>
                                  <a:pt x="627" y="232"/>
                                </a:lnTo>
                                <a:cubicBezTo>
                                  <a:pt x="627" y="231"/>
                                  <a:pt x="627" y="229"/>
                                  <a:pt x="627" y="228"/>
                                </a:cubicBezTo>
                                <a:lnTo>
                                  <a:pt x="629" y="228"/>
                                </a:lnTo>
                                <a:close/>
                                <a:moveTo>
                                  <a:pt x="628" y="232"/>
                                </a:moveTo>
                                <a:cubicBezTo>
                                  <a:pt x="628" y="233"/>
                                  <a:pt x="628" y="234"/>
                                  <a:pt x="627" y="235"/>
                                </a:cubicBezTo>
                                <a:lnTo>
                                  <a:pt x="626" y="235"/>
                                </a:lnTo>
                                <a:cubicBezTo>
                                  <a:pt x="626" y="234"/>
                                  <a:pt x="627" y="233"/>
                                  <a:pt x="627" y="232"/>
                                </a:cubicBezTo>
                                <a:lnTo>
                                  <a:pt x="628" y="232"/>
                                </a:lnTo>
                                <a:close/>
                                <a:moveTo>
                                  <a:pt x="627" y="235"/>
                                </a:moveTo>
                                <a:cubicBezTo>
                                  <a:pt x="625" y="241"/>
                                  <a:pt x="621" y="245"/>
                                  <a:pt x="616" y="246"/>
                                </a:cubicBezTo>
                                <a:lnTo>
                                  <a:pt x="615" y="245"/>
                                </a:lnTo>
                                <a:cubicBezTo>
                                  <a:pt x="620" y="244"/>
                                  <a:pt x="624" y="240"/>
                                  <a:pt x="626" y="235"/>
                                </a:cubicBezTo>
                                <a:lnTo>
                                  <a:pt x="627" y="235"/>
                                </a:lnTo>
                                <a:close/>
                                <a:moveTo>
                                  <a:pt x="615" y="245"/>
                                </a:moveTo>
                                <a:lnTo>
                                  <a:pt x="615" y="245"/>
                                </a:lnTo>
                                <a:lnTo>
                                  <a:pt x="615" y="246"/>
                                </a:lnTo>
                                <a:lnTo>
                                  <a:pt x="615" y="245"/>
                                </a:lnTo>
                                <a:close/>
                                <a:moveTo>
                                  <a:pt x="616" y="246"/>
                                </a:moveTo>
                                <a:cubicBezTo>
                                  <a:pt x="594" y="253"/>
                                  <a:pt x="589" y="283"/>
                                  <a:pt x="589" y="283"/>
                                </a:cubicBezTo>
                                <a:lnTo>
                                  <a:pt x="588" y="283"/>
                                </a:lnTo>
                                <a:cubicBezTo>
                                  <a:pt x="588" y="283"/>
                                  <a:pt x="593" y="252"/>
                                  <a:pt x="615" y="245"/>
                                </a:cubicBezTo>
                                <a:lnTo>
                                  <a:pt x="616" y="246"/>
                                </a:lnTo>
                                <a:close/>
                                <a:moveTo>
                                  <a:pt x="589" y="283"/>
                                </a:moveTo>
                                <a:lnTo>
                                  <a:pt x="588" y="284"/>
                                </a:lnTo>
                                <a:lnTo>
                                  <a:pt x="588" y="283"/>
                                </a:lnTo>
                                <a:lnTo>
                                  <a:pt x="589" y="283"/>
                                </a:lnTo>
                                <a:close/>
                                <a:moveTo>
                                  <a:pt x="588" y="282"/>
                                </a:moveTo>
                                <a:cubicBezTo>
                                  <a:pt x="595" y="278"/>
                                  <a:pt x="595" y="287"/>
                                  <a:pt x="595" y="287"/>
                                </a:cubicBezTo>
                                <a:lnTo>
                                  <a:pt x="594" y="288"/>
                                </a:lnTo>
                                <a:cubicBezTo>
                                  <a:pt x="594" y="288"/>
                                  <a:pt x="594" y="280"/>
                                  <a:pt x="589" y="283"/>
                                </a:cubicBezTo>
                                <a:lnTo>
                                  <a:pt x="588" y="282"/>
                                </a:lnTo>
                                <a:close/>
                                <a:moveTo>
                                  <a:pt x="594" y="288"/>
                                </a:moveTo>
                                <a:lnTo>
                                  <a:pt x="594" y="288"/>
                                </a:lnTo>
                                <a:lnTo>
                                  <a:pt x="594" y="288"/>
                                </a:lnTo>
                                <a:lnTo>
                                  <a:pt x="595" y="288"/>
                                </a:lnTo>
                                <a:lnTo>
                                  <a:pt x="594" y="288"/>
                                </a:lnTo>
                                <a:close/>
                                <a:moveTo>
                                  <a:pt x="595" y="287"/>
                                </a:moveTo>
                                <a:cubicBezTo>
                                  <a:pt x="595" y="287"/>
                                  <a:pt x="597" y="299"/>
                                  <a:pt x="582" y="307"/>
                                </a:cubicBezTo>
                                <a:lnTo>
                                  <a:pt x="581" y="306"/>
                                </a:lnTo>
                                <a:cubicBezTo>
                                  <a:pt x="596" y="299"/>
                                  <a:pt x="594" y="288"/>
                                  <a:pt x="594" y="288"/>
                                </a:cubicBezTo>
                                <a:lnTo>
                                  <a:pt x="595" y="287"/>
                                </a:lnTo>
                                <a:close/>
                                <a:moveTo>
                                  <a:pt x="581" y="307"/>
                                </a:moveTo>
                                <a:lnTo>
                                  <a:pt x="580" y="306"/>
                                </a:lnTo>
                                <a:lnTo>
                                  <a:pt x="581" y="306"/>
                                </a:lnTo>
                                <a:lnTo>
                                  <a:pt x="581" y="306"/>
                                </a:lnTo>
                                <a:lnTo>
                                  <a:pt x="581" y="307"/>
                                </a:lnTo>
                                <a:close/>
                                <a:moveTo>
                                  <a:pt x="582" y="306"/>
                                </a:moveTo>
                                <a:cubicBezTo>
                                  <a:pt x="582" y="306"/>
                                  <a:pt x="674" y="446"/>
                                  <a:pt x="501" y="540"/>
                                </a:cubicBezTo>
                                <a:lnTo>
                                  <a:pt x="500" y="539"/>
                                </a:lnTo>
                                <a:cubicBezTo>
                                  <a:pt x="672" y="445"/>
                                  <a:pt x="581" y="307"/>
                                  <a:pt x="581" y="307"/>
                                </a:cubicBezTo>
                                <a:lnTo>
                                  <a:pt x="582" y="306"/>
                                </a:lnTo>
                                <a:close/>
                                <a:moveTo>
                                  <a:pt x="501" y="540"/>
                                </a:moveTo>
                                <a:lnTo>
                                  <a:pt x="501" y="540"/>
                                </a:lnTo>
                                <a:lnTo>
                                  <a:pt x="501" y="540"/>
                                </a:lnTo>
                                <a:close/>
                                <a:moveTo>
                                  <a:pt x="501" y="540"/>
                                </a:moveTo>
                                <a:cubicBezTo>
                                  <a:pt x="461" y="560"/>
                                  <a:pt x="447" y="566"/>
                                  <a:pt x="447" y="566"/>
                                </a:cubicBezTo>
                                <a:lnTo>
                                  <a:pt x="447" y="565"/>
                                </a:lnTo>
                                <a:cubicBezTo>
                                  <a:pt x="447" y="565"/>
                                  <a:pt x="460" y="559"/>
                                  <a:pt x="500" y="539"/>
                                </a:cubicBezTo>
                                <a:lnTo>
                                  <a:pt x="501" y="540"/>
                                </a:lnTo>
                                <a:close/>
                                <a:moveTo>
                                  <a:pt x="447" y="566"/>
                                </a:moveTo>
                                <a:lnTo>
                                  <a:pt x="447" y="566"/>
                                </a:lnTo>
                                <a:lnTo>
                                  <a:pt x="447" y="565"/>
                                </a:lnTo>
                                <a:lnTo>
                                  <a:pt x="447" y="566"/>
                                </a:lnTo>
                                <a:close/>
                                <a:moveTo>
                                  <a:pt x="447" y="566"/>
                                </a:moveTo>
                                <a:cubicBezTo>
                                  <a:pt x="390" y="590"/>
                                  <a:pt x="384" y="621"/>
                                  <a:pt x="384" y="621"/>
                                </a:cubicBezTo>
                                <a:lnTo>
                                  <a:pt x="383" y="621"/>
                                </a:lnTo>
                                <a:cubicBezTo>
                                  <a:pt x="383" y="621"/>
                                  <a:pt x="389" y="589"/>
                                  <a:pt x="447" y="565"/>
                                </a:cubicBezTo>
                                <a:lnTo>
                                  <a:pt x="447" y="566"/>
                                </a:lnTo>
                                <a:close/>
                                <a:moveTo>
                                  <a:pt x="384" y="621"/>
                                </a:moveTo>
                                <a:lnTo>
                                  <a:pt x="384" y="622"/>
                                </a:lnTo>
                                <a:lnTo>
                                  <a:pt x="383" y="622"/>
                                </a:lnTo>
                                <a:lnTo>
                                  <a:pt x="384" y="621"/>
                                </a:lnTo>
                                <a:close/>
                                <a:moveTo>
                                  <a:pt x="383" y="622"/>
                                </a:moveTo>
                                <a:cubicBezTo>
                                  <a:pt x="375" y="614"/>
                                  <a:pt x="363" y="615"/>
                                  <a:pt x="363" y="615"/>
                                </a:cubicBezTo>
                                <a:lnTo>
                                  <a:pt x="363" y="614"/>
                                </a:lnTo>
                                <a:cubicBezTo>
                                  <a:pt x="363" y="614"/>
                                  <a:pt x="375" y="613"/>
                                  <a:pt x="384" y="621"/>
                                </a:cubicBezTo>
                                <a:lnTo>
                                  <a:pt x="383" y="622"/>
                                </a:lnTo>
                                <a:close/>
                                <a:moveTo>
                                  <a:pt x="363" y="614"/>
                                </a:moveTo>
                                <a:lnTo>
                                  <a:pt x="363" y="614"/>
                                </a:lnTo>
                                <a:lnTo>
                                  <a:pt x="363" y="614"/>
                                </a:lnTo>
                                <a:lnTo>
                                  <a:pt x="363" y="614"/>
                                </a:lnTo>
                                <a:close/>
                                <a:moveTo>
                                  <a:pt x="364" y="614"/>
                                </a:moveTo>
                                <a:cubicBezTo>
                                  <a:pt x="363" y="629"/>
                                  <a:pt x="357" y="632"/>
                                  <a:pt x="357" y="632"/>
                                </a:cubicBezTo>
                                <a:lnTo>
                                  <a:pt x="356" y="631"/>
                                </a:lnTo>
                                <a:cubicBezTo>
                                  <a:pt x="356" y="631"/>
                                  <a:pt x="362" y="628"/>
                                  <a:pt x="363" y="614"/>
                                </a:cubicBezTo>
                                <a:lnTo>
                                  <a:pt x="364" y="614"/>
                                </a:lnTo>
                                <a:close/>
                                <a:moveTo>
                                  <a:pt x="357" y="632"/>
                                </a:moveTo>
                                <a:lnTo>
                                  <a:pt x="357" y="632"/>
                                </a:lnTo>
                                <a:lnTo>
                                  <a:pt x="356" y="632"/>
                                </a:lnTo>
                                <a:lnTo>
                                  <a:pt x="357" y="632"/>
                                </a:lnTo>
                                <a:close/>
                                <a:moveTo>
                                  <a:pt x="356" y="632"/>
                                </a:moveTo>
                                <a:cubicBezTo>
                                  <a:pt x="351" y="629"/>
                                  <a:pt x="349" y="623"/>
                                  <a:pt x="349" y="623"/>
                                </a:cubicBezTo>
                                <a:lnTo>
                                  <a:pt x="350" y="623"/>
                                </a:lnTo>
                                <a:cubicBezTo>
                                  <a:pt x="350" y="623"/>
                                  <a:pt x="352" y="628"/>
                                  <a:pt x="357" y="631"/>
                                </a:cubicBezTo>
                                <a:lnTo>
                                  <a:pt x="356" y="632"/>
                                </a:lnTo>
                                <a:close/>
                                <a:moveTo>
                                  <a:pt x="349" y="623"/>
                                </a:moveTo>
                                <a:lnTo>
                                  <a:pt x="350" y="620"/>
                                </a:lnTo>
                                <a:lnTo>
                                  <a:pt x="350" y="623"/>
                                </a:lnTo>
                                <a:lnTo>
                                  <a:pt x="350" y="623"/>
                                </a:lnTo>
                                <a:lnTo>
                                  <a:pt x="349" y="623"/>
                                </a:lnTo>
                                <a:close/>
                                <a:moveTo>
                                  <a:pt x="350" y="623"/>
                                </a:moveTo>
                                <a:cubicBezTo>
                                  <a:pt x="347" y="637"/>
                                  <a:pt x="337" y="642"/>
                                  <a:pt x="337" y="642"/>
                                </a:cubicBezTo>
                                <a:lnTo>
                                  <a:pt x="337" y="641"/>
                                </a:lnTo>
                                <a:cubicBezTo>
                                  <a:pt x="337" y="641"/>
                                  <a:pt x="346" y="637"/>
                                  <a:pt x="349" y="623"/>
                                </a:cubicBezTo>
                                <a:lnTo>
                                  <a:pt x="350" y="623"/>
                                </a:lnTo>
                                <a:close/>
                                <a:moveTo>
                                  <a:pt x="337" y="642"/>
                                </a:moveTo>
                                <a:lnTo>
                                  <a:pt x="337" y="643"/>
                                </a:lnTo>
                                <a:lnTo>
                                  <a:pt x="337" y="642"/>
                                </a:lnTo>
                                <a:lnTo>
                                  <a:pt x="337" y="642"/>
                                </a:lnTo>
                                <a:close/>
                              </a:path>
                            </a:pathLst>
                          </a:custGeom>
                          <a:solidFill>
                            <a:srgbClr val="24211D"/>
                          </a:solidFill>
                          <a:ln w="9525">
                            <a:noFill/>
                            <a:round/>
                            <a:headEnd/>
                            <a:tailEnd/>
                          </a:ln>
                        </wps:spPr>
                        <wps:bodyPr/>
                      </wps:wsp>
                      <wps:wsp>
                        <wps:cNvPr id="12" name="Freeform 14"/>
                        <wps:cNvSpPr>
                          <a:spLocks/>
                        </wps:cNvSpPr>
                        <wps:spPr bwMode="auto">
                          <a:xfrm>
                            <a:off x="28" y="158"/>
                            <a:ext cx="5" cy="12"/>
                          </a:xfrm>
                          <a:custGeom>
                            <a:avLst/>
                            <a:gdLst/>
                            <a:ahLst/>
                            <a:cxnLst>
                              <a:cxn ang="0">
                                <a:pos x="0" y="0"/>
                              </a:cxn>
                              <a:cxn ang="0">
                                <a:pos x="6" y="14"/>
                              </a:cxn>
                              <a:cxn ang="0">
                                <a:pos x="0" y="11"/>
                              </a:cxn>
                              <a:cxn ang="0">
                                <a:pos x="0" y="0"/>
                              </a:cxn>
                            </a:cxnLst>
                            <a:rect l="0" t="0" r="r" b="b"/>
                            <a:pathLst>
                              <a:path w="6" h="14">
                                <a:moveTo>
                                  <a:pt x="0" y="0"/>
                                </a:moveTo>
                                <a:cubicBezTo>
                                  <a:pt x="5" y="7"/>
                                  <a:pt x="6" y="14"/>
                                  <a:pt x="6" y="14"/>
                                </a:cubicBezTo>
                                <a:cubicBezTo>
                                  <a:pt x="3" y="10"/>
                                  <a:pt x="0" y="11"/>
                                  <a:pt x="0" y="11"/>
                                </a:cubicBezTo>
                                <a:cubicBezTo>
                                  <a:pt x="2" y="5"/>
                                  <a:pt x="0" y="0"/>
                                  <a:pt x="0" y="0"/>
                                </a:cubicBezTo>
                                <a:close/>
                              </a:path>
                            </a:pathLst>
                          </a:custGeom>
                          <a:solidFill>
                            <a:srgbClr val="24211D"/>
                          </a:solidFill>
                          <a:ln w="9525">
                            <a:noFill/>
                            <a:round/>
                            <a:headEnd/>
                            <a:tailEnd/>
                          </a:ln>
                        </wps:spPr>
                        <wps:bodyPr/>
                      </wps:wsp>
                      <wps:wsp>
                        <wps:cNvPr id="13" name="Freeform 15"/>
                        <wps:cNvSpPr>
                          <a:spLocks noEditPoints="1"/>
                        </wps:cNvSpPr>
                        <wps:spPr bwMode="auto">
                          <a:xfrm>
                            <a:off x="26" y="156"/>
                            <a:ext cx="8" cy="16"/>
                          </a:xfrm>
                          <a:custGeom>
                            <a:avLst/>
                            <a:gdLst/>
                            <a:ahLst/>
                            <a:cxnLst>
                              <a:cxn ang="0">
                                <a:pos x="3" y="3"/>
                              </a:cxn>
                              <a:cxn ang="0">
                                <a:pos x="9" y="17"/>
                              </a:cxn>
                              <a:cxn ang="0">
                                <a:pos x="7" y="17"/>
                              </a:cxn>
                              <a:cxn ang="0">
                                <a:pos x="2" y="4"/>
                              </a:cxn>
                              <a:cxn ang="0">
                                <a:pos x="3" y="3"/>
                              </a:cxn>
                              <a:cxn ang="0">
                                <a:pos x="9" y="17"/>
                              </a:cxn>
                              <a:cxn ang="0">
                                <a:pos x="9" y="20"/>
                              </a:cxn>
                              <a:cxn ang="0">
                                <a:pos x="8" y="18"/>
                              </a:cxn>
                              <a:cxn ang="0">
                                <a:pos x="8" y="17"/>
                              </a:cxn>
                              <a:cxn ang="0">
                                <a:pos x="9" y="17"/>
                              </a:cxn>
                              <a:cxn ang="0">
                                <a:pos x="8" y="18"/>
                              </a:cxn>
                              <a:cxn ang="0">
                                <a:pos x="2" y="15"/>
                              </a:cxn>
                              <a:cxn ang="0">
                                <a:pos x="2" y="14"/>
                              </a:cxn>
                              <a:cxn ang="0">
                                <a:pos x="9" y="17"/>
                              </a:cxn>
                              <a:cxn ang="0">
                                <a:pos x="8" y="18"/>
                              </a:cxn>
                              <a:cxn ang="0">
                                <a:pos x="2" y="15"/>
                              </a:cxn>
                              <a:cxn ang="0">
                                <a:pos x="1" y="15"/>
                              </a:cxn>
                              <a:cxn ang="0">
                                <a:pos x="2" y="14"/>
                              </a:cxn>
                              <a:cxn ang="0">
                                <a:pos x="2" y="14"/>
                              </a:cxn>
                              <a:cxn ang="0">
                                <a:pos x="2" y="15"/>
                              </a:cxn>
                              <a:cxn ang="0">
                                <a:pos x="2" y="14"/>
                              </a:cxn>
                              <a:cxn ang="0">
                                <a:pos x="2" y="4"/>
                              </a:cxn>
                              <a:cxn ang="0">
                                <a:pos x="3" y="3"/>
                              </a:cxn>
                              <a:cxn ang="0">
                                <a:pos x="3" y="14"/>
                              </a:cxn>
                              <a:cxn ang="0">
                                <a:pos x="2" y="14"/>
                              </a:cxn>
                              <a:cxn ang="0">
                                <a:pos x="2" y="4"/>
                              </a:cxn>
                              <a:cxn ang="0">
                                <a:pos x="0" y="0"/>
                              </a:cxn>
                              <a:cxn ang="0">
                                <a:pos x="3" y="3"/>
                              </a:cxn>
                              <a:cxn ang="0">
                                <a:pos x="2" y="3"/>
                              </a:cxn>
                              <a:cxn ang="0">
                                <a:pos x="2" y="4"/>
                              </a:cxn>
                            </a:cxnLst>
                            <a:rect l="0" t="0" r="r" b="b"/>
                            <a:pathLst>
                              <a:path w="9" h="20">
                                <a:moveTo>
                                  <a:pt x="3" y="3"/>
                                </a:moveTo>
                                <a:cubicBezTo>
                                  <a:pt x="8" y="10"/>
                                  <a:pt x="9" y="17"/>
                                  <a:pt x="9" y="17"/>
                                </a:cubicBezTo>
                                <a:lnTo>
                                  <a:pt x="7" y="17"/>
                                </a:lnTo>
                                <a:cubicBezTo>
                                  <a:pt x="7" y="17"/>
                                  <a:pt x="7" y="10"/>
                                  <a:pt x="2" y="4"/>
                                </a:cubicBezTo>
                                <a:lnTo>
                                  <a:pt x="3" y="3"/>
                                </a:lnTo>
                                <a:close/>
                                <a:moveTo>
                                  <a:pt x="9" y="17"/>
                                </a:moveTo>
                                <a:lnTo>
                                  <a:pt x="9" y="20"/>
                                </a:lnTo>
                                <a:lnTo>
                                  <a:pt x="8" y="18"/>
                                </a:lnTo>
                                <a:lnTo>
                                  <a:pt x="8" y="17"/>
                                </a:lnTo>
                                <a:lnTo>
                                  <a:pt x="9" y="17"/>
                                </a:lnTo>
                                <a:close/>
                                <a:moveTo>
                                  <a:pt x="8" y="18"/>
                                </a:moveTo>
                                <a:cubicBezTo>
                                  <a:pt x="5" y="14"/>
                                  <a:pt x="2" y="15"/>
                                  <a:pt x="2" y="15"/>
                                </a:cubicBezTo>
                                <a:lnTo>
                                  <a:pt x="2" y="14"/>
                                </a:lnTo>
                                <a:cubicBezTo>
                                  <a:pt x="2" y="14"/>
                                  <a:pt x="6" y="13"/>
                                  <a:pt x="9" y="17"/>
                                </a:cubicBezTo>
                                <a:lnTo>
                                  <a:pt x="8" y="18"/>
                                </a:lnTo>
                                <a:close/>
                                <a:moveTo>
                                  <a:pt x="2" y="15"/>
                                </a:moveTo>
                                <a:lnTo>
                                  <a:pt x="1" y="15"/>
                                </a:lnTo>
                                <a:lnTo>
                                  <a:pt x="2" y="14"/>
                                </a:lnTo>
                                <a:lnTo>
                                  <a:pt x="2" y="14"/>
                                </a:lnTo>
                                <a:lnTo>
                                  <a:pt x="2" y="15"/>
                                </a:lnTo>
                                <a:close/>
                                <a:moveTo>
                                  <a:pt x="2" y="14"/>
                                </a:moveTo>
                                <a:cubicBezTo>
                                  <a:pt x="3" y="8"/>
                                  <a:pt x="2" y="4"/>
                                  <a:pt x="2" y="4"/>
                                </a:cubicBezTo>
                                <a:lnTo>
                                  <a:pt x="3" y="3"/>
                                </a:lnTo>
                                <a:cubicBezTo>
                                  <a:pt x="3" y="3"/>
                                  <a:pt x="4" y="8"/>
                                  <a:pt x="3" y="14"/>
                                </a:cubicBezTo>
                                <a:lnTo>
                                  <a:pt x="2" y="14"/>
                                </a:lnTo>
                                <a:close/>
                                <a:moveTo>
                                  <a:pt x="2" y="4"/>
                                </a:moveTo>
                                <a:lnTo>
                                  <a:pt x="0" y="0"/>
                                </a:lnTo>
                                <a:lnTo>
                                  <a:pt x="3" y="3"/>
                                </a:lnTo>
                                <a:lnTo>
                                  <a:pt x="2" y="3"/>
                                </a:lnTo>
                                <a:lnTo>
                                  <a:pt x="2" y="4"/>
                                </a:lnTo>
                                <a:close/>
                              </a:path>
                            </a:pathLst>
                          </a:custGeom>
                          <a:solidFill>
                            <a:srgbClr val="24211D"/>
                          </a:solidFill>
                          <a:ln w="9525">
                            <a:noFill/>
                            <a:round/>
                            <a:headEnd/>
                            <a:tailEnd/>
                          </a:ln>
                        </wps:spPr>
                        <wps:bodyPr/>
                      </wps:wsp>
                      <wps:wsp>
                        <wps:cNvPr id="15" name="Freeform 16"/>
                        <wps:cNvSpPr>
                          <a:spLocks/>
                        </wps:cNvSpPr>
                        <wps:spPr bwMode="auto">
                          <a:xfrm>
                            <a:off x="14" y="279"/>
                            <a:ext cx="25" cy="11"/>
                          </a:xfrm>
                          <a:custGeom>
                            <a:avLst/>
                            <a:gdLst/>
                            <a:ahLst/>
                            <a:cxnLst>
                              <a:cxn ang="0">
                                <a:pos x="30" y="3"/>
                              </a:cxn>
                              <a:cxn ang="0">
                                <a:pos x="12" y="14"/>
                              </a:cxn>
                              <a:cxn ang="0">
                                <a:pos x="0" y="13"/>
                              </a:cxn>
                              <a:cxn ang="0">
                                <a:pos x="1" y="13"/>
                              </a:cxn>
                              <a:cxn ang="0">
                                <a:pos x="1" y="13"/>
                              </a:cxn>
                              <a:cxn ang="0">
                                <a:pos x="14" y="9"/>
                              </a:cxn>
                              <a:cxn ang="0">
                                <a:pos x="18" y="3"/>
                              </a:cxn>
                              <a:cxn ang="0">
                                <a:pos x="18" y="0"/>
                              </a:cxn>
                              <a:cxn ang="0">
                                <a:pos x="19" y="1"/>
                              </a:cxn>
                              <a:cxn ang="0">
                                <a:pos x="30" y="3"/>
                              </a:cxn>
                            </a:cxnLst>
                            <a:rect l="0" t="0" r="r" b="b"/>
                            <a:pathLst>
                              <a:path w="30" h="14">
                                <a:moveTo>
                                  <a:pt x="30" y="3"/>
                                </a:moveTo>
                                <a:cubicBezTo>
                                  <a:pt x="30" y="3"/>
                                  <a:pt x="25" y="12"/>
                                  <a:pt x="12" y="14"/>
                                </a:cubicBezTo>
                                <a:cubicBezTo>
                                  <a:pt x="8" y="14"/>
                                  <a:pt x="5" y="14"/>
                                  <a:pt x="0" y="13"/>
                                </a:cubicBezTo>
                                <a:cubicBezTo>
                                  <a:pt x="0" y="13"/>
                                  <a:pt x="1" y="13"/>
                                  <a:pt x="1" y="13"/>
                                </a:cubicBezTo>
                                <a:cubicBezTo>
                                  <a:pt x="1" y="13"/>
                                  <a:pt x="1" y="13"/>
                                  <a:pt x="1" y="13"/>
                                </a:cubicBezTo>
                                <a:cubicBezTo>
                                  <a:pt x="8" y="14"/>
                                  <a:pt x="12" y="12"/>
                                  <a:pt x="14" y="9"/>
                                </a:cubicBezTo>
                                <a:cubicBezTo>
                                  <a:pt x="16" y="7"/>
                                  <a:pt x="17" y="5"/>
                                  <a:pt x="18" y="3"/>
                                </a:cubicBezTo>
                                <a:cubicBezTo>
                                  <a:pt x="18" y="1"/>
                                  <a:pt x="18" y="0"/>
                                  <a:pt x="18" y="0"/>
                                </a:cubicBezTo>
                                <a:cubicBezTo>
                                  <a:pt x="18" y="0"/>
                                  <a:pt x="19" y="1"/>
                                  <a:pt x="19" y="1"/>
                                </a:cubicBezTo>
                                <a:cubicBezTo>
                                  <a:pt x="20" y="3"/>
                                  <a:pt x="25" y="9"/>
                                  <a:pt x="30" y="3"/>
                                </a:cubicBezTo>
                                <a:close/>
                              </a:path>
                            </a:pathLst>
                          </a:custGeom>
                          <a:solidFill>
                            <a:srgbClr val="24211D"/>
                          </a:solidFill>
                          <a:ln w="1588" cap="flat">
                            <a:solidFill>
                              <a:srgbClr val="24211D"/>
                            </a:solidFill>
                            <a:prstDash val="solid"/>
                            <a:round/>
                            <a:headEnd/>
                            <a:tailEnd/>
                          </a:ln>
                        </wps:spPr>
                        <wps:bodyPr/>
                      </wps:wsp>
                      <wps:wsp>
                        <wps:cNvPr id="16" name="Freeform 17"/>
                        <wps:cNvSpPr>
                          <a:spLocks noEditPoints="1"/>
                        </wps:cNvSpPr>
                        <wps:spPr bwMode="auto">
                          <a:xfrm>
                            <a:off x="90" y="106"/>
                            <a:ext cx="136" cy="38"/>
                          </a:xfrm>
                          <a:custGeom>
                            <a:avLst/>
                            <a:gdLst/>
                            <a:ahLst/>
                            <a:cxnLst>
                              <a:cxn ang="0">
                                <a:pos x="1" y="11"/>
                              </a:cxn>
                              <a:cxn ang="0">
                                <a:pos x="13" y="33"/>
                              </a:cxn>
                              <a:cxn ang="0">
                                <a:pos x="5" y="34"/>
                              </a:cxn>
                              <a:cxn ang="0">
                                <a:pos x="5" y="34"/>
                              </a:cxn>
                              <a:cxn ang="0">
                                <a:pos x="5" y="34"/>
                              </a:cxn>
                              <a:cxn ang="0">
                                <a:pos x="4" y="34"/>
                              </a:cxn>
                              <a:cxn ang="0">
                                <a:pos x="4" y="34"/>
                              </a:cxn>
                              <a:cxn ang="0">
                                <a:pos x="4" y="34"/>
                              </a:cxn>
                              <a:cxn ang="0">
                                <a:pos x="39" y="32"/>
                              </a:cxn>
                              <a:cxn ang="0">
                                <a:pos x="44" y="32"/>
                              </a:cxn>
                              <a:cxn ang="0">
                                <a:pos x="44" y="32"/>
                              </a:cxn>
                              <a:cxn ang="0">
                                <a:pos x="44" y="32"/>
                              </a:cxn>
                              <a:cxn ang="0">
                                <a:pos x="43" y="33"/>
                              </a:cxn>
                              <a:cxn ang="0">
                                <a:pos x="39" y="40"/>
                              </a:cxn>
                              <a:cxn ang="0">
                                <a:pos x="68" y="29"/>
                              </a:cxn>
                              <a:cxn ang="0">
                                <a:pos x="68" y="29"/>
                              </a:cxn>
                              <a:cxn ang="0">
                                <a:pos x="77" y="28"/>
                              </a:cxn>
                              <a:cxn ang="0">
                                <a:pos x="77" y="28"/>
                              </a:cxn>
                              <a:cxn ang="0">
                                <a:pos x="77" y="28"/>
                              </a:cxn>
                              <a:cxn ang="0">
                                <a:pos x="76" y="28"/>
                              </a:cxn>
                              <a:cxn ang="0">
                                <a:pos x="69" y="37"/>
                              </a:cxn>
                              <a:cxn ang="0">
                                <a:pos x="109" y="21"/>
                              </a:cxn>
                              <a:cxn ang="0">
                                <a:pos x="109" y="19"/>
                              </a:cxn>
                              <a:cxn ang="0">
                                <a:pos x="109" y="21"/>
                              </a:cxn>
                              <a:cxn ang="0">
                                <a:pos x="109" y="21"/>
                              </a:cxn>
                              <a:cxn ang="0">
                                <a:pos x="130" y="39"/>
                              </a:cxn>
                              <a:cxn ang="0">
                                <a:pos x="133" y="13"/>
                              </a:cxn>
                              <a:cxn ang="0">
                                <a:pos x="132" y="12"/>
                              </a:cxn>
                              <a:cxn ang="0">
                                <a:pos x="160" y="15"/>
                              </a:cxn>
                              <a:cxn ang="0">
                                <a:pos x="159" y="16"/>
                              </a:cxn>
                              <a:cxn ang="0">
                                <a:pos x="159" y="16"/>
                              </a:cxn>
                              <a:cxn ang="0">
                                <a:pos x="159" y="16"/>
                              </a:cxn>
                              <a:cxn ang="0">
                                <a:pos x="162" y="27"/>
                              </a:cxn>
                              <a:cxn ang="0">
                                <a:pos x="161" y="27"/>
                              </a:cxn>
                              <a:cxn ang="0">
                                <a:pos x="162" y="27"/>
                              </a:cxn>
                              <a:cxn ang="0">
                                <a:pos x="161" y="27"/>
                              </a:cxn>
                              <a:cxn ang="0">
                                <a:pos x="160" y="28"/>
                              </a:cxn>
                              <a:cxn ang="0">
                                <a:pos x="156" y="31"/>
                              </a:cxn>
                              <a:cxn ang="0">
                                <a:pos x="156" y="31"/>
                              </a:cxn>
                              <a:cxn ang="0">
                                <a:pos x="156" y="31"/>
                              </a:cxn>
                              <a:cxn ang="0">
                                <a:pos x="156" y="30"/>
                              </a:cxn>
                              <a:cxn ang="0">
                                <a:pos x="150" y="25"/>
                              </a:cxn>
                              <a:cxn ang="0">
                                <a:pos x="149" y="25"/>
                              </a:cxn>
                              <a:cxn ang="0">
                                <a:pos x="149" y="25"/>
                              </a:cxn>
                              <a:cxn ang="0">
                                <a:pos x="149" y="25"/>
                              </a:cxn>
                              <a:cxn ang="0">
                                <a:pos x="150" y="25"/>
                              </a:cxn>
                              <a:cxn ang="0">
                                <a:pos x="151" y="22"/>
                              </a:cxn>
                              <a:cxn ang="0">
                                <a:pos x="151" y="20"/>
                              </a:cxn>
                            </a:cxnLst>
                            <a:rect l="0" t="0" r="r" b="b"/>
                            <a:pathLst>
                              <a:path w="165" h="46">
                                <a:moveTo>
                                  <a:pt x="2" y="11"/>
                                </a:moveTo>
                                <a:cubicBezTo>
                                  <a:pt x="2" y="11"/>
                                  <a:pt x="1" y="26"/>
                                  <a:pt x="13" y="32"/>
                                </a:cubicBezTo>
                                <a:lnTo>
                                  <a:pt x="12" y="33"/>
                                </a:lnTo>
                                <a:cubicBezTo>
                                  <a:pt x="0" y="26"/>
                                  <a:pt x="1" y="11"/>
                                  <a:pt x="1" y="11"/>
                                </a:cubicBezTo>
                                <a:lnTo>
                                  <a:pt x="2" y="11"/>
                                </a:lnTo>
                                <a:close/>
                                <a:moveTo>
                                  <a:pt x="13" y="32"/>
                                </a:moveTo>
                                <a:lnTo>
                                  <a:pt x="14" y="33"/>
                                </a:lnTo>
                                <a:lnTo>
                                  <a:pt x="13" y="33"/>
                                </a:lnTo>
                                <a:lnTo>
                                  <a:pt x="12" y="33"/>
                                </a:lnTo>
                                <a:lnTo>
                                  <a:pt x="13" y="32"/>
                                </a:lnTo>
                                <a:close/>
                                <a:moveTo>
                                  <a:pt x="13" y="33"/>
                                </a:moveTo>
                                <a:cubicBezTo>
                                  <a:pt x="8" y="36"/>
                                  <a:pt x="5" y="34"/>
                                  <a:pt x="5" y="34"/>
                                </a:cubicBezTo>
                                <a:lnTo>
                                  <a:pt x="6" y="33"/>
                                </a:lnTo>
                                <a:cubicBezTo>
                                  <a:pt x="6" y="33"/>
                                  <a:pt x="8" y="35"/>
                                  <a:pt x="12" y="32"/>
                                </a:cubicBezTo>
                                <a:lnTo>
                                  <a:pt x="13" y="33"/>
                                </a:lnTo>
                                <a:close/>
                                <a:moveTo>
                                  <a:pt x="5" y="34"/>
                                </a:moveTo>
                                <a:lnTo>
                                  <a:pt x="5" y="34"/>
                                </a:lnTo>
                                <a:lnTo>
                                  <a:pt x="5" y="34"/>
                                </a:lnTo>
                                <a:close/>
                                <a:moveTo>
                                  <a:pt x="5" y="34"/>
                                </a:moveTo>
                                <a:cubicBezTo>
                                  <a:pt x="5" y="34"/>
                                  <a:pt x="5" y="33"/>
                                  <a:pt x="5" y="34"/>
                                </a:cubicBezTo>
                                <a:lnTo>
                                  <a:pt x="4" y="34"/>
                                </a:lnTo>
                                <a:cubicBezTo>
                                  <a:pt x="4" y="31"/>
                                  <a:pt x="6" y="33"/>
                                  <a:pt x="6" y="33"/>
                                </a:cubicBezTo>
                                <a:lnTo>
                                  <a:pt x="5" y="34"/>
                                </a:lnTo>
                                <a:close/>
                                <a:moveTo>
                                  <a:pt x="4" y="34"/>
                                </a:moveTo>
                                <a:lnTo>
                                  <a:pt x="4" y="34"/>
                                </a:lnTo>
                                <a:lnTo>
                                  <a:pt x="4" y="34"/>
                                </a:lnTo>
                                <a:lnTo>
                                  <a:pt x="5" y="34"/>
                                </a:lnTo>
                                <a:lnTo>
                                  <a:pt x="4" y="34"/>
                                </a:lnTo>
                                <a:close/>
                                <a:moveTo>
                                  <a:pt x="5" y="33"/>
                                </a:moveTo>
                                <a:cubicBezTo>
                                  <a:pt x="5" y="33"/>
                                  <a:pt x="17" y="43"/>
                                  <a:pt x="39" y="32"/>
                                </a:cubicBezTo>
                                <a:lnTo>
                                  <a:pt x="40" y="34"/>
                                </a:lnTo>
                                <a:cubicBezTo>
                                  <a:pt x="17" y="45"/>
                                  <a:pt x="4" y="34"/>
                                  <a:pt x="4" y="34"/>
                                </a:cubicBezTo>
                                <a:lnTo>
                                  <a:pt x="5" y="33"/>
                                </a:lnTo>
                                <a:close/>
                                <a:moveTo>
                                  <a:pt x="39" y="32"/>
                                </a:moveTo>
                                <a:lnTo>
                                  <a:pt x="39" y="32"/>
                                </a:lnTo>
                                <a:lnTo>
                                  <a:pt x="39" y="32"/>
                                </a:lnTo>
                                <a:lnTo>
                                  <a:pt x="40" y="33"/>
                                </a:lnTo>
                                <a:lnTo>
                                  <a:pt x="39" y="32"/>
                                </a:lnTo>
                                <a:close/>
                                <a:moveTo>
                                  <a:pt x="39" y="32"/>
                                </a:moveTo>
                                <a:cubicBezTo>
                                  <a:pt x="39" y="32"/>
                                  <a:pt x="42" y="32"/>
                                  <a:pt x="44" y="32"/>
                                </a:cubicBezTo>
                                <a:lnTo>
                                  <a:pt x="43" y="34"/>
                                </a:lnTo>
                                <a:cubicBezTo>
                                  <a:pt x="42" y="33"/>
                                  <a:pt x="40" y="34"/>
                                  <a:pt x="40" y="34"/>
                                </a:cubicBezTo>
                                <a:lnTo>
                                  <a:pt x="39" y="32"/>
                                </a:lnTo>
                                <a:close/>
                                <a:moveTo>
                                  <a:pt x="44" y="32"/>
                                </a:moveTo>
                                <a:lnTo>
                                  <a:pt x="44" y="32"/>
                                </a:lnTo>
                                <a:lnTo>
                                  <a:pt x="44" y="32"/>
                                </a:lnTo>
                                <a:lnTo>
                                  <a:pt x="44" y="33"/>
                                </a:lnTo>
                                <a:lnTo>
                                  <a:pt x="44" y="32"/>
                                </a:lnTo>
                                <a:close/>
                                <a:moveTo>
                                  <a:pt x="44" y="32"/>
                                </a:moveTo>
                                <a:cubicBezTo>
                                  <a:pt x="49" y="37"/>
                                  <a:pt x="39" y="41"/>
                                  <a:pt x="39" y="41"/>
                                </a:cubicBezTo>
                                <a:lnTo>
                                  <a:pt x="39" y="40"/>
                                </a:lnTo>
                                <a:cubicBezTo>
                                  <a:pt x="39" y="40"/>
                                  <a:pt x="46" y="36"/>
                                  <a:pt x="43" y="33"/>
                                </a:cubicBezTo>
                                <a:lnTo>
                                  <a:pt x="44" y="32"/>
                                </a:lnTo>
                                <a:close/>
                                <a:moveTo>
                                  <a:pt x="39" y="41"/>
                                </a:moveTo>
                                <a:lnTo>
                                  <a:pt x="38" y="40"/>
                                </a:lnTo>
                                <a:lnTo>
                                  <a:pt x="39" y="40"/>
                                </a:lnTo>
                                <a:lnTo>
                                  <a:pt x="39" y="40"/>
                                </a:lnTo>
                                <a:lnTo>
                                  <a:pt x="39" y="41"/>
                                </a:lnTo>
                                <a:close/>
                                <a:moveTo>
                                  <a:pt x="39" y="40"/>
                                </a:moveTo>
                                <a:cubicBezTo>
                                  <a:pt x="39" y="40"/>
                                  <a:pt x="48" y="44"/>
                                  <a:pt x="68" y="29"/>
                                </a:cubicBezTo>
                                <a:lnTo>
                                  <a:pt x="69" y="30"/>
                                </a:lnTo>
                                <a:cubicBezTo>
                                  <a:pt x="48" y="46"/>
                                  <a:pt x="39" y="41"/>
                                  <a:pt x="39" y="41"/>
                                </a:cubicBezTo>
                                <a:lnTo>
                                  <a:pt x="39" y="40"/>
                                </a:lnTo>
                                <a:close/>
                                <a:moveTo>
                                  <a:pt x="68" y="29"/>
                                </a:moveTo>
                                <a:lnTo>
                                  <a:pt x="68" y="29"/>
                                </a:lnTo>
                                <a:lnTo>
                                  <a:pt x="68" y="29"/>
                                </a:lnTo>
                                <a:close/>
                                <a:moveTo>
                                  <a:pt x="68" y="29"/>
                                </a:moveTo>
                                <a:cubicBezTo>
                                  <a:pt x="68" y="29"/>
                                  <a:pt x="76" y="23"/>
                                  <a:pt x="77" y="28"/>
                                </a:cubicBezTo>
                                <a:lnTo>
                                  <a:pt x="76" y="28"/>
                                </a:lnTo>
                                <a:cubicBezTo>
                                  <a:pt x="75" y="25"/>
                                  <a:pt x="69" y="30"/>
                                  <a:pt x="69" y="30"/>
                                </a:cubicBezTo>
                                <a:lnTo>
                                  <a:pt x="68" y="29"/>
                                </a:lnTo>
                                <a:close/>
                                <a:moveTo>
                                  <a:pt x="77" y="28"/>
                                </a:moveTo>
                                <a:lnTo>
                                  <a:pt x="77" y="28"/>
                                </a:lnTo>
                                <a:lnTo>
                                  <a:pt x="77" y="28"/>
                                </a:lnTo>
                                <a:lnTo>
                                  <a:pt x="76" y="28"/>
                                </a:lnTo>
                                <a:lnTo>
                                  <a:pt x="77" y="28"/>
                                </a:lnTo>
                                <a:close/>
                                <a:moveTo>
                                  <a:pt x="77" y="28"/>
                                </a:moveTo>
                                <a:cubicBezTo>
                                  <a:pt x="77" y="28"/>
                                  <a:pt x="77" y="34"/>
                                  <a:pt x="69" y="38"/>
                                </a:cubicBezTo>
                                <a:lnTo>
                                  <a:pt x="69" y="37"/>
                                </a:lnTo>
                                <a:cubicBezTo>
                                  <a:pt x="76" y="33"/>
                                  <a:pt x="76" y="28"/>
                                  <a:pt x="76" y="28"/>
                                </a:cubicBezTo>
                                <a:lnTo>
                                  <a:pt x="77" y="28"/>
                                </a:lnTo>
                                <a:close/>
                                <a:moveTo>
                                  <a:pt x="69" y="38"/>
                                </a:moveTo>
                                <a:lnTo>
                                  <a:pt x="67" y="38"/>
                                </a:lnTo>
                                <a:lnTo>
                                  <a:pt x="69" y="37"/>
                                </a:lnTo>
                                <a:lnTo>
                                  <a:pt x="69" y="38"/>
                                </a:lnTo>
                                <a:close/>
                                <a:moveTo>
                                  <a:pt x="69" y="37"/>
                                </a:moveTo>
                                <a:cubicBezTo>
                                  <a:pt x="69" y="37"/>
                                  <a:pt x="92" y="42"/>
                                  <a:pt x="108" y="21"/>
                                </a:cubicBezTo>
                                <a:lnTo>
                                  <a:pt x="109" y="21"/>
                                </a:lnTo>
                                <a:cubicBezTo>
                                  <a:pt x="93" y="44"/>
                                  <a:pt x="69" y="39"/>
                                  <a:pt x="69" y="38"/>
                                </a:cubicBezTo>
                                <a:lnTo>
                                  <a:pt x="69" y="37"/>
                                </a:lnTo>
                                <a:close/>
                                <a:moveTo>
                                  <a:pt x="108" y="21"/>
                                </a:moveTo>
                                <a:lnTo>
                                  <a:pt x="109" y="19"/>
                                </a:lnTo>
                                <a:lnTo>
                                  <a:pt x="109" y="21"/>
                                </a:lnTo>
                                <a:lnTo>
                                  <a:pt x="109" y="21"/>
                                </a:lnTo>
                                <a:lnTo>
                                  <a:pt x="108" y="21"/>
                                </a:lnTo>
                                <a:close/>
                                <a:moveTo>
                                  <a:pt x="109" y="21"/>
                                </a:moveTo>
                                <a:cubicBezTo>
                                  <a:pt x="109" y="21"/>
                                  <a:pt x="106" y="44"/>
                                  <a:pt x="130" y="38"/>
                                </a:cubicBezTo>
                                <a:lnTo>
                                  <a:pt x="130" y="39"/>
                                </a:lnTo>
                                <a:cubicBezTo>
                                  <a:pt x="104" y="45"/>
                                  <a:pt x="108" y="21"/>
                                  <a:pt x="108" y="21"/>
                                </a:cubicBezTo>
                                <a:lnTo>
                                  <a:pt x="109" y="21"/>
                                </a:lnTo>
                                <a:close/>
                                <a:moveTo>
                                  <a:pt x="131" y="38"/>
                                </a:moveTo>
                                <a:lnTo>
                                  <a:pt x="131" y="39"/>
                                </a:lnTo>
                                <a:lnTo>
                                  <a:pt x="130" y="39"/>
                                </a:lnTo>
                                <a:lnTo>
                                  <a:pt x="130" y="39"/>
                                </a:lnTo>
                                <a:lnTo>
                                  <a:pt x="131" y="38"/>
                                </a:lnTo>
                                <a:close/>
                                <a:moveTo>
                                  <a:pt x="130" y="39"/>
                                </a:moveTo>
                                <a:cubicBezTo>
                                  <a:pt x="130" y="39"/>
                                  <a:pt x="122" y="23"/>
                                  <a:pt x="132" y="12"/>
                                </a:cubicBezTo>
                                <a:lnTo>
                                  <a:pt x="133" y="13"/>
                                </a:lnTo>
                                <a:cubicBezTo>
                                  <a:pt x="123" y="23"/>
                                  <a:pt x="131" y="38"/>
                                  <a:pt x="131" y="38"/>
                                </a:cubicBezTo>
                                <a:lnTo>
                                  <a:pt x="130" y="39"/>
                                </a:lnTo>
                                <a:close/>
                                <a:moveTo>
                                  <a:pt x="132" y="12"/>
                                </a:moveTo>
                                <a:lnTo>
                                  <a:pt x="132" y="12"/>
                                </a:lnTo>
                                <a:lnTo>
                                  <a:pt x="132" y="12"/>
                                </a:lnTo>
                                <a:lnTo>
                                  <a:pt x="132" y="12"/>
                                </a:lnTo>
                                <a:close/>
                                <a:moveTo>
                                  <a:pt x="132" y="12"/>
                                </a:moveTo>
                                <a:cubicBezTo>
                                  <a:pt x="132" y="12"/>
                                  <a:pt x="144" y="0"/>
                                  <a:pt x="160" y="15"/>
                                </a:cubicBezTo>
                                <a:lnTo>
                                  <a:pt x="159" y="16"/>
                                </a:lnTo>
                                <a:cubicBezTo>
                                  <a:pt x="144" y="2"/>
                                  <a:pt x="133" y="13"/>
                                  <a:pt x="133" y="13"/>
                                </a:cubicBezTo>
                                <a:lnTo>
                                  <a:pt x="132" y="12"/>
                                </a:lnTo>
                                <a:close/>
                                <a:moveTo>
                                  <a:pt x="159" y="16"/>
                                </a:moveTo>
                                <a:lnTo>
                                  <a:pt x="159" y="16"/>
                                </a:lnTo>
                                <a:lnTo>
                                  <a:pt x="159" y="16"/>
                                </a:lnTo>
                                <a:lnTo>
                                  <a:pt x="160" y="15"/>
                                </a:lnTo>
                                <a:lnTo>
                                  <a:pt x="159" y="16"/>
                                </a:lnTo>
                                <a:close/>
                                <a:moveTo>
                                  <a:pt x="160" y="15"/>
                                </a:moveTo>
                                <a:cubicBezTo>
                                  <a:pt x="160" y="15"/>
                                  <a:pt x="165" y="18"/>
                                  <a:pt x="162" y="27"/>
                                </a:cubicBezTo>
                                <a:lnTo>
                                  <a:pt x="161" y="27"/>
                                </a:lnTo>
                                <a:cubicBezTo>
                                  <a:pt x="164" y="19"/>
                                  <a:pt x="159" y="16"/>
                                  <a:pt x="159" y="16"/>
                                </a:cubicBezTo>
                                <a:lnTo>
                                  <a:pt x="160" y="15"/>
                                </a:lnTo>
                                <a:close/>
                                <a:moveTo>
                                  <a:pt x="162" y="27"/>
                                </a:moveTo>
                                <a:lnTo>
                                  <a:pt x="162" y="27"/>
                                </a:lnTo>
                                <a:lnTo>
                                  <a:pt x="162" y="27"/>
                                </a:lnTo>
                                <a:close/>
                                <a:moveTo>
                                  <a:pt x="162" y="27"/>
                                </a:moveTo>
                                <a:lnTo>
                                  <a:pt x="162" y="27"/>
                                </a:lnTo>
                                <a:lnTo>
                                  <a:pt x="161" y="27"/>
                                </a:lnTo>
                                <a:lnTo>
                                  <a:pt x="161" y="27"/>
                                </a:lnTo>
                                <a:lnTo>
                                  <a:pt x="162" y="27"/>
                                </a:lnTo>
                                <a:close/>
                                <a:moveTo>
                                  <a:pt x="162" y="27"/>
                                </a:moveTo>
                                <a:lnTo>
                                  <a:pt x="162" y="27"/>
                                </a:lnTo>
                                <a:lnTo>
                                  <a:pt x="162" y="27"/>
                                </a:lnTo>
                                <a:close/>
                                <a:moveTo>
                                  <a:pt x="162" y="27"/>
                                </a:moveTo>
                                <a:cubicBezTo>
                                  <a:pt x="162" y="27"/>
                                  <a:pt x="162" y="28"/>
                                  <a:pt x="162" y="28"/>
                                </a:cubicBezTo>
                                <a:lnTo>
                                  <a:pt x="161" y="27"/>
                                </a:lnTo>
                                <a:cubicBezTo>
                                  <a:pt x="161" y="27"/>
                                  <a:pt x="161" y="27"/>
                                  <a:pt x="161" y="27"/>
                                </a:cubicBezTo>
                                <a:lnTo>
                                  <a:pt x="162" y="27"/>
                                </a:lnTo>
                                <a:close/>
                                <a:moveTo>
                                  <a:pt x="162" y="28"/>
                                </a:moveTo>
                                <a:cubicBezTo>
                                  <a:pt x="161" y="28"/>
                                  <a:pt x="161" y="29"/>
                                  <a:pt x="161" y="29"/>
                                </a:cubicBezTo>
                                <a:lnTo>
                                  <a:pt x="160" y="28"/>
                                </a:lnTo>
                                <a:cubicBezTo>
                                  <a:pt x="160" y="28"/>
                                  <a:pt x="160" y="28"/>
                                  <a:pt x="161" y="27"/>
                                </a:cubicBezTo>
                                <a:lnTo>
                                  <a:pt x="162" y="28"/>
                                </a:lnTo>
                                <a:close/>
                                <a:moveTo>
                                  <a:pt x="161" y="29"/>
                                </a:moveTo>
                                <a:cubicBezTo>
                                  <a:pt x="160" y="30"/>
                                  <a:pt x="158" y="31"/>
                                  <a:pt x="156" y="31"/>
                                </a:cubicBezTo>
                                <a:lnTo>
                                  <a:pt x="156" y="30"/>
                                </a:lnTo>
                                <a:cubicBezTo>
                                  <a:pt x="157" y="30"/>
                                  <a:pt x="159" y="29"/>
                                  <a:pt x="160" y="28"/>
                                </a:cubicBezTo>
                                <a:lnTo>
                                  <a:pt x="161" y="29"/>
                                </a:lnTo>
                                <a:close/>
                                <a:moveTo>
                                  <a:pt x="156" y="31"/>
                                </a:moveTo>
                                <a:lnTo>
                                  <a:pt x="156" y="31"/>
                                </a:lnTo>
                                <a:lnTo>
                                  <a:pt x="156" y="30"/>
                                </a:lnTo>
                                <a:lnTo>
                                  <a:pt x="156" y="30"/>
                                </a:lnTo>
                                <a:lnTo>
                                  <a:pt x="156" y="31"/>
                                </a:lnTo>
                                <a:close/>
                                <a:moveTo>
                                  <a:pt x="156" y="31"/>
                                </a:moveTo>
                                <a:cubicBezTo>
                                  <a:pt x="154" y="31"/>
                                  <a:pt x="152" y="30"/>
                                  <a:pt x="151" y="29"/>
                                </a:cubicBezTo>
                                <a:lnTo>
                                  <a:pt x="152" y="28"/>
                                </a:lnTo>
                                <a:cubicBezTo>
                                  <a:pt x="153" y="29"/>
                                  <a:pt x="154" y="30"/>
                                  <a:pt x="156" y="30"/>
                                </a:cubicBezTo>
                                <a:lnTo>
                                  <a:pt x="156" y="31"/>
                                </a:lnTo>
                                <a:close/>
                                <a:moveTo>
                                  <a:pt x="151" y="29"/>
                                </a:moveTo>
                                <a:cubicBezTo>
                                  <a:pt x="150" y="28"/>
                                  <a:pt x="149" y="26"/>
                                  <a:pt x="149" y="25"/>
                                </a:cubicBezTo>
                                <a:lnTo>
                                  <a:pt x="150" y="25"/>
                                </a:lnTo>
                                <a:cubicBezTo>
                                  <a:pt x="150" y="26"/>
                                  <a:pt x="151" y="27"/>
                                  <a:pt x="152" y="28"/>
                                </a:cubicBezTo>
                                <a:lnTo>
                                  <a:pt x="151" y="29"/>
                                </a:lnTo>
                                <a:close/>
                                <a:moveTo>
                                  <a:pt x="149" y="25"/>
                                </a:moveTo>
                                <a:lnTo>
                                  <a:pt x="149" y="25"/>
                                </a:lnTo>
                                <a:lnTo>
                                  <a:pt x="150" y="25"/>
                                </a:lnTo>
                                <a:lnTo>
                                  <a:pt x="150" y="25"/>
                                </a:lnTo>
                                <a:lnTo>
                                  <a:pt x="149" y="25"/>
                                </a:lnTo>
                                <a:close/>
                                <a:moveTo>
                                  <a:pt x="149" y="25"/>
                                </a:moveTo>
                                <a:lnTo>
                                  <a:pt x="149" y="25"/>
                                </a:lnTo>
                                <a:lnTo>
                                  <a:pt x="150" y="25"/>
                                </a:lnTo>
                                <a:lnTo>
                                  <a:pt x="150" y="25"/>
                                </a:lnTo>
                                <a:lnTo>
                                  <a:pt x="149" y="25"/>
                                </a:lnTo>
                                <a:close/>
                                <a:moveTo>
                                  <a:pt x="149" y="25"/>
                                </a:moveTo>
                                <a:cubicBezTo>
                                  <a:pt x="149" y="24"/>
                                  <a:pt x="149" y="23"/>
                                  <a:pt x="149" y="22"/>
                                </a:cubicBezTo>
                                <a:lnTo>
                                  <a:pt x="151" y="23"/>
                                </a:lnTo>
                                <a:cubicBezTo>
                                  <a:pt x="150" y="23"/>
                                  <a:pt x="150" y="24"/>
                                  <a:pt x="150" y="25"/>
                                </a:cubicBezTo>
                                <a:lnTo>
                                  <a:pt x="149" y="25"/>
                                </a:lnTo>
                                <a:close/>
                                <a:moveTo>
                                  <a:pt x="149" y="22"/>
                                </a:moveTo>
                                <a:cubicBezTo>
                                  <a:pt x="149" y="22"/>
                                  <a:pt x="149" y="22"/>
                                  <a:pt x="150" y="22"/>
                                </a:cubicBezTo>
                                <a:lnTo>
                                  <a:pt x="151" y="22"/>
                                </a:lnTo>
                                <a:cubicBezTo>
                                  <a:pt x="151" y="22"/>
                                  <a:pt x="151" y="23"/>
                                  <a:pt x="151" y="23"/>
                                </a:cubicBezTo>
                                <a:lnTo>
                                  <a:pt x="149" y="22"/>
                                </a:lnTo>
                                <a:close/>
                                <a:moveTo>
                                  <a:pt x="150" y="22"/>
                                </a:moveTo>
                                <a:cubicBezTo>
                                  <a:pt x="150" y="21"/>
                                  <a:pt x="150" y="21"/>
                                  <a:pt x="151" y="20"/>
                                </a:cubicBezTo>
                                <a:lnTo>
                                  <a:pt x="152" y="21"/>
                                </a:lnTo>
                                <a:cubicBezTo>
                                  <a:pt x="151" y="21"/>
                                  <a:pt x="151" y="22"/>
                                  <a:pt x="151" y="22"/>
                                </a:cubicBezTo>
                                <a:lnTo>
                                  <a:pt x="150" y="22"/>
                                </a:lnTo>
                                <a:close/>
                              </a:path>
                            </a:pathLst>
                          </a:custGeom>
                          <a:solidFill>
                            <a:srgbClr val="24211D"/>
                          </a:solidFill>
                          <a:ln w="9525">
                            <a:noFill/>
                            <a:round/>
                            <a:headEnd/>
                            <a:tailEnd/>
                          </a:ln>
                        </wps:spPr>
                        <wps:bodyPr/>
                      </wps:wsp>
                      <wps:wsp>
                        <wps:cNvPr id="17" name="Freeform 18"/>
                        <wps:cNvSpPr>
                          <a:spLocks noEditPoints="1"/>
                        </wps:cNvSpPr>
                        <wps:spPr bwMode="auto">
                          <a:xfrm>
                            <a:off x="43" y="249"/>
                            <a:ext cx="9" cy="14"/>
                          </a:xfrm>
                          <a:custGeom>
                            <a:avLst/>
                            <a:gdLst/>
                            <a:ahLst/>
                            <a:cxnLst>
                              <a:cxn ang="0">
                                <a:pos x="10" y="0"/>
                              </a:cxn>
                              <a:cxn ang="0">
                                <a:pos x="10" y="11"/>
                              </a:cxn>
                              <a:cxn ang="0">
                                <a:pos x="9" y="10"/>
                              </a:cxn>
                              <a:cxn ang="0">
                                <a:pos x="9" y="0"/>
                              </a:cxn>
                              <a:cxn ang="0">
                                <a:pos x="10" y="0"/>
                              </a:cxn>
                              <a:cxn ang="0">
                                <a:pos x="10" y="11"/>
                              </a:cxn>
                              <a:cxn ang="0">
                                <a:pos x="10" y="11"/>
                              </a:cxn>
                              <a:cxn ang="0">
                                <a:pos x="10" y="11"/>
                              </a:cxn>
                              <a:cxn ang="0">
                                <a:pos x="9" y="11"/>
                              </a:cxn>
                              <a:cxn ang="0">
                                <a:pos x="10" y="11"/>
                              </a:cxn>
                              <a:cxn ang="0">
                                <a:pos x="10" y="11"/>
                              </a:cxn>
                              <a:cxn ang="0">
                                <a:pos x="0" y="12"/>
                              </a:cxn>
                              <a:cxn ang="0">
                                <a:pos x="1" y="11"/>
                              </a:cxn>
                              <a:cxn ang="0">
                                <a:pos x="9" y="10"/>
                              </a:cxn>
                              <a:cxn ang="0">
                                <a:pos x="10" y="11"/>
                              </a:cxn>
                            </a:cxnLst>
                            <a:rect l="0" t="0" r="r" b="b"/>
                            <a:pathLst>
                              <a:path w="11" h="18">
                                <a:moveTo>
                                  <a:pt x="10" y="0"/>
                                </a:moveTo>
                                <a:cubicBezTo>
                                  <a:pt x="10" y="0"/>
                                  <a:pt x="11" y="6"/>
                                  <a:pt x="10" y="11"/>
                                </a:cubicBezTo>
                                <a:lnTo>
                                  <a:pt x="9" y="10"/>
                                </a:lnTo>
                                <a:cubicBezTo>
                                  <a:pt x="10" y="6"/>
                                  <a:pt x="9" y="0"/>
                                  <a:pt x="9" y="0"/>
                                </a:cubicBezTo>
                                <a:lnTo>
                                  <a:pt x="10" y="0"/>
                                </a:lnTo>
                                <a:close/>
                                <a:moveTo>
                                  <a:pt x="10" y="11"/>
                                </a:moveTo>
                                <a:lnTo>
                                  <a:pt x="10" y="11"/>
                                </a:lnTo>
                                <a:lnTo>
                                  <a:pt x="10" y="11"/>
                                </a:lnTo>
                                <a:lnTo>
                                  <a:pt x="9" y="11"/>
                                </a:lnTo>
                                <a:lnTo>
                                  <a:pt x="10" y="11"/>
                                </a:lnTo>
                                <a:close/>
                                <a:moveTo>
                                  <a:pt x="10" y="11"/>
                                </a:moveTo>
                                <a:cubicBezTo>
                                  <a:pt x="5" y="18"/>
                                  <a:pt x="0" y="12"/>
                                  <a:pt x="0" y="12"/>
                                </a:cubicBezTo>
                                <a:lnTo>
                                  <a:pt x="1" y="11"/>
                                </a:lnTo>
                                <a:cubicBezTo>
                                  <a:pt x="1" y="11"/>
                                  <a:pt x="5" y="16"/>
                                  <a:pt x="9" y="10"/>
                                </a:cubicBezTo>
                                <a:lnTo>
                                  <a:pt x="10" y="11"/>
                                </a:lnTo>
                                <a:close/>
                              </a:path>
                            </a:pathLst>
                          </a:custGeom>
                          <a:solidFill>
                            <a:srgbClr val="24211D"/>
                          </a:solidFill>
                          <a:ln w="9525">
                            <a:noFill/>
                            <a:round/>
                            <a:headEnd/>
                            <a:tailEnd/>
                          </a:ln>
                        </wps:spPr>
                        <wps:bodyPr/>
                      </wps:wsp>
                      <wps:wsp>
                        <wps:cNvPr id="18" name="Freeform 19"/>
                        <wps:cNvSpPr>
                          <a:spLocks/>
                        </wps:cNvSpPr>
                        <wps:spPr bwMode="auto">
                          <a:xfrm>
                            <a:off x="43" y="263"/>
                            <a:ext cx="6" cy="5"/>
                          </a:xfrm>
                          <a:custGeom>
                            <a:avLst/>
                            <a:gdLst/>
                            <a:ahLst/>
                            <a:cxnLst>
                              <a:cxn ang="0">
                                <a:pos x="1" y="0"/>
                              </a:cxn>
                              <a:cxn ang="0">
                                <a:pos x="7" y="0"/>
                              </a:cxn>
                              <a:cxn ang="0">
                                <a:pos x="8" y="1"/>
                              </a:cxn>
                              <a:cxn ang="0">
                                <a:pos x="0" y="1"/>
                              </a:cxn>
                              <a:cxn ang="0">
                                <a:pos x="1" y="0"/>
                              </a:cxn>
                            </a:cxnLst>
                            <a:rect l="0" t="0" r="r" b="b"/>
                            <a:pathLst>
                              <a:path w="8" h="7">
                                <a:moveTo>
                                  <a:pt x="1" y="0"/>
                                </a:moveTo>
                                <a:cubicBezTo>
                                  <a:pt x="1" y="0"/>
                                  <a:pt x="5" y="5"/>
                                  <a:pt x="7" y="0"/>
                                </a:cubicBezTo>
                                <a:lnTo>
                                  <a:pt x="8" y="1"/>
                                </a:lnTo>
                                <a:cubicBezTo>
                                  <a:pt x="5" y="7"/>
                                  <a:pt x="0" y="1"/>
                                  <a:pt x="0" y="1"/>
                                </a:cubicBezTo>
                                <a:lnTo>
                                  <a:pt x="1" y="0"/>
                                </a:lnTo>
                                <a:close/>
                              </a:path>
                            </a:pathLst>
                          </a:custGeom>
                          <a:solidFill>
                            <a:srgbClr val="24211D"/>
                          </a:solidFill>
                          <a:ln w="9525">
                            <a:noFill/>
                            <a:round/>
                            <a:headEnd/>
                            <a:tailEnd/>
                          </a:ln>
                        </wps:spPr>
                        <wps:bodyPr/>
                      </wps:wsp>
                      <wps:wsp>
                        <wps:cNvPr id="19" name="Freeform 20"/>
                        <wps:cNvSpPr>
                          <a:spLocks noEditPoints="1"/>
                        </wps:cNvSpPr>
                        <wps:spPr bwMode="auto">
                          <a:xfrm>
                            <a:off x="18" y="234"/>
                            <a:ext cx="43" cy="70"/>
                          </a:xfrm>
                          <a:custGeom>
                            <a:avLst/>
                            <a:gdLst/>
                            <a:ahLst/>
                            <a:cxnLst>
                              <a:cxn ang="0">
                                <a:pos x="0" y="79"/>
                              </a:cxn>
                              <a:cxn ang="0">
                                <a:pos x="47" y="20"/>
                              </a:cxn>
                              <a:cxn ang="0">
                                <a:pos x="49" y="20"/>
                              </a:cxn>
                              <a:cxn ang="0">
                                <a:pos x="0" y="80"/>
                              </a:cxn>
                              <a:cxn ang="0">
                                <a:pos x="0" y="79"/>
                              </a:cxn>
                              <a:cxn ang="0">
                                <a:pos x="49" y="20"/>
                              </a:cxn>
                              <a:cxn ang="0">
                                <a:pos x="49" y="20"/>
                              </a:cxn>
                              <a:cxn ang="0">
                                <a:pos x="48" y="20"/>
                              </a:cxn>
                              <a:cxn ang="0">
                                <a:pos x="49" y="20"/>
                              </a:cxn>
                              <a:cxn ang="0">
                                <a:pos x="47" y="20"/>
                              </a:cxn>
                              <a:cxn ang="0">
                                <a:pos x="49" y="10"/>
                              </a:cxn>
                              <a:cxn ang="0">
                                <a:pos x="50" y="11"/>
                              </a:cxn>
                              <a:cxn ang="0">
                                <a:pos x="49" y="20"/>
                              </a:cxn>
                              <a:cxn ang="0">
                                <a:pos x="47" y="20"/>
                              </a:cxn>
                              <a:cxn ang="0">
                                <a:pos x="50" y="11"/>
                              </a:cxn>
                              <a:cxn ang="0">
                                <a:pos x="50" y="11"/>
                              </a:cxn>
                              <a:cxn ang="0">
                                <a:pos x="50" y="11"/>
                              </a:cxn>
                              <a:cxn ang="0">
                                <a:pos x="49" y="10"/>
                              </a:cxn>
                              <a:cxn ang="0">
                                <a:pos x="50" y="11"/>
                              </a:cxn>
                              <a:cxn ang="0">
                                <a:pos x="49" y="10"/>
                              </a:cxn>
                              <a:cxn ang="0">
                                <a:pos x="51" y="1"/>
                              </a:cxn>
                              <a:cxn ang="0">
                                <a:pos x="52" y="1"/>
                              </a:cxn>
                              <a:cxn ang="0">
                                <a:pos x="50" y="11"/>
                              </a:cxn>
                              <a:cxn ang="0">
                                <a:pos x="49" y="10"/>
                              </a:cxn>
                              <a:cxn ang="0">
                                <a:pos x="52" y="0"/>
                              </a:cxn>
                              <a:cxn ang="0">
                                <a:pos x="52" y="0"/>
                              </a:cxn>
                              <a:cxn ang="0">
                                <a:pos x="52" y="1"/>
                              </a:cxn>
                              <a:cxn ang="0">
                                <a:pos x="52" y="1"/>
                              </a:cxn>
                              <a:cxn ang="0">
                                <a:pos x="52" y="0"/>
                              </a:cxn>
                              <a:cxn ang="0">
                                <a:pos x="52" y="1"/>
                              </a:cxn>
                              <a:cxn ang="0">
                                <a:pos x="37" y="8"/>
                              </a:cxn>
                              <a:cxn ang="0">
                                <a:pos x="36" y="7"/>
                              </a:cxn>
                              <a:cxn ang="0">
                                <a:pos x="52" y="0"/>
                              </a:cxn>
                              <a:cxn ang="0">
                                <a:pos x="52" y="1"/>
                              </a:cxn>
                              <a:cxn ang="0">
                                <a:pos x="36" y="7"/>
                              </a:cxn>
                              <a:cxn ang="0">
                                <a:pos x="36" y="7"/>
                              </a:cxn>
                              <a:cxn ang="0">
                                <a:pos x="37" y="8"/>
                              </a:cxn>
                              <a:cxn ang="0">
                                <a:pos x="36" y="7"/>
                              </a:cxn>
                              <a:cxn ang="0">
                                <a:pos x="37" y="8"/>
                              </a:cxn>
                              <a:cxn ang="0">
                                <a:pos x="32" y="25"/>
                              </a:cxn>
                              <a:cxn ang="0">
                                <a:pos x="31" y="25"/>
                              </a:cxn>
                              <a:cxn ang="0">
                                <a:pos x="36" y="7"/>
                              </a:cxn>
                              <a:cxn ang="0">
                                <a:pos x="37" y="8"/>
                              </a:cxn>
                            </a:cxnLst>
                            <a:rect l="0" t="0" r="r" b="b"/>
                            <a:pathLst>
                              <a:path w="52" h="86">
                                <a:moveTo>
                                  <a:pt x="0" y="79"/>
                                </a:moveTo>
                                <a:cubicBezTo>
                                  <a:pt x="0" y="79"/>
                                  <a:pt x="47" y="84"/>
                                  <a:pt x="47" y="20"/>
                                </a:cubicBezTo>
                                <a:lnTo>
                                  <a:pt x="49" y="20"/>
                                </a:lnTo>
                                <a:cubicBezTo>
                                  <a:pt x="48" y="86"/>
                                  <a:pt x="0" y="80"/>
                                  <a:pt x="0" y="80"/>
                                </a:cubicBezTo>
                                <a:lnTo>
                                  <a:pt x="0" y="79"/>
                                </a:lnTo>
                                <a:close/>
                                <a:moveTo>
                                  <a:pt x="49" y="20"/>
                                </a:moveTo>
                                <a:lnTo>
                                  <a:pt x="49" y="20"/>
                                </a:lnTo>
                                <a:lnTo>
                                  <a:pt x="48" y="20"/>
                                </a:lnTo>
                                <a:lnTo>
                                  <a:pt x="49" y="20"/>
                                </a:lnTo>
                                <a:close/>
                                <a:moveTo>
                                  <a:pt x="47" y="20"/>
                                </a:moveTo>
                                <a:cubicBezTo>
                                  <a:pt x="47" y="20"/>
                                  <a:pt x="47" y="12"/>
                                  <a:pt x="49" y="10"/>
                                </a:cubicBezTo>
                                <a:lnTo>
                                  <a:pt x="50" y="11"/>
                                </a:lnTo>
                                <a:cubicBezTo>
                                  <a:pt x="48" y="13"/>
                                  <a:pt x="49" y="20"/>
                                  <a:pt x="49" y="20"/>
                                </a:cubicBezTo>
                                <a:lnTo>
                                  <a:pt x="47" y="20"/>
                                </a:lnTo>
                                <a:close/>
                                <a:moveTo>
                                  <a:pt x="50" y="11"/>
                                </a:moveTo>
                                <a:lnTo>
                                  <a:pt x="50" y="11"/>
                                </a:lnTo>
                                <a:lnTo>
                                  <a:pt x="50" y="11"/>
                                </a:lnTo>
                                <a:lnTo>
                                  <a:pt x="49" y="10"/>
                                </a:lnTo>
                                <a:lnTo>
                                  <a:pt x="50" y="11"/>
                                </a:lnTo>
                                <a:close/>
                                <a:moveTo>
                                  <a:pt x="49" y="10"/>
                                </a:moveTo>
                                <a:cubicBezTo>
                                  <a:pt x="51" y="5"/>
                                  <a:pt x="51" y="1"/>
                                  <a:pt x="51" y="1"/>
                                </a:cubicBezTo>
                                <a:lnTo>
                                  <a:pt x="52" y="1"/>
                                </a:lnTo>
                                <a:cubicBezTo>
                                  <a:pt x="52" y="1"/>
                                  <a:pt x="52" y="5"/>
                                  <a:pt x="50" y="11"/>
                                </a:cubicBezTo>
                                <a:lnTo>
                                  <a:pt x="49" y="10"/>
                                </a:lnTo>
                                <a:close/>
                                <a:moveTo>
                                  <a:pt x="52" y="0"/>
                                </a:moveTo>
                                <a:lnTo>
                                  <a:pt x="52" y="0"/>
                                </a:lnTo>
                                <a:lnTo>
                                  <a:pt x="52" y="1"/>
                                </a:lnTo>
                                <a:lnTo>
                                  <a:pt x="52" y="1"/>
                                </a:lnTo>
                                <a:lnTo>
                                  <a:pt x="52" y="0"/>
                                </a:lnTo>
                                <a:close/>
                                <a:moveTo>
                                  <a:pt x="52" y="1"/>
                                </a:moveTo>
                                <a:cubicBezTo>
                                  <a:pt x="52" y="1"/>
                                  <a:pt x="44" y="2"/>
                                  <a:pt x="37" y="8"/>
                                </a:cubicBezTo>
                                <a:lnTo>
                                  <a:pt x="36" y="7"/>
                                </a:lnTo>
                                <a:cubicBezTo>
                                  <a:pt x="44" y="1"/>
                                  <a:pt x="52" y="0"/>
                                  <a:pt x="52" y="0"/>
                                </a:cubicBezTo>
                                <a:lnTo>
                                  <a:pt x="52" y="1"/>
                                </a:lnTo>
                                <a:close/>
                                <a:moveTo>
                                  <a:pt x="36" y="7"/>
                                </a:moveTo>
                                <a:lnTo>
                                  <a:pt x="36" y="7"/>
                                </a:lnTo>
                                <a:lnTo>
                                  <a:pt x="37" y="8"/>
                                </a:lnTo>
                                <a:lnTo>
                                  <a:pt x="36" y="7"/>
                                </a:lnTo>
                                <a:close/>
                                <a:moveTo>
                                  <a:pt x="37" y="8"/>
                                </a:moveTo>
                                <a:cubicBezTo>
                                  <a:pt x="32" y="13"/>
                                  <a:pt x="32" y="25"/>
                                  <a:pt x="32" y="25"/>
                                </a:cubicBezTo>
                                <a:lnTo>
                                  <a:pt x="31" y="25"/>
                                </a:lnTo>
                                <a:cubicBezTo>
                                  <a:pt x="31" y="25"/>
                                  <a:pt x="30" y="13"/>
                                  <a:pt x="36" y="7"/>
                                </a:cubicBezTo>
                                <a:lnTo>
                                  <a:pt x="37" y="8"/>
                                </a:lnTo>
                                <a:close/>
                              </a:path>
                            </a:pathLst>
                          </a:custGeom>
                          <a:solidFill>
                            <a:srgbClr val="24211D"/>
                          </a:solidFill>
                          <a:ln w="9525">
                            <a:noFill/>
                            <a:round/>
                            <a:headEnd/>
                            <a:tailEnd/>
                          </a:ln>
                        </wps:spPr>
                        <wps:bodyPr/>
                      </wps:wsp>
                      <wps:wsp>
                        <wps:cNvPr id="21" name="Freeform 21"/>
                        <wps:cNvSpPr>
                          <a:spLocks/>
                        </wps:cNvSpPr>
                        <wps:spPr bwMode="auto">
                          <a:xfrm>
                            <a:off x="53" y="462"/>
                            <a:ext cx="9" cy="40"/>
                          </a:xfrm>
                          <a:custGeom>
                            <a:avLst/>
                            <a:gdLst/>
                            <a:ahLst/>
                            <a:cxnLst>
                              <a:cxn ang="0">
                                <a:pos x="5" y="49"/>
                              </a:cxn>
                              <a:cxn ang="0">
                                <a:pos x="9" y="0"/>
                              </a:cxn>
                              <a:cxn ang="0">
                                <a:pos x="10" y="1"/>
                              </a:cxn>
                              <a:cxn ang="0">
                                <a:pos x="6" y="49"/>
                              </a:cxn>
                              <a:cxn ang="0">
                                <a:pos x="5" y="49"/>
                              </a:cxn>
                            </a:cxnLst>
                            <a:rect l="0" t="0" r="r" b="b"/>
                            <a:pathLst>
                              <a:path w="10" h="49">
                                <a:moveTo>
                                  <a:pt x="5" y="49"/>
                                </a:moveTo>
                                <a:cubicBezTo>
                                  <a:pt x="5" y="49"/>
                                  <a:pt x="0" y="12"/>
                                  <a:pt x="9" y="0"/>
                                </a:cubicBezTo>
                                <a:lnTo>
                                  <a:pt x="10" y="1"/>
                                </a:lnTo>
                                <a:cubicBezTo>
                                  <a:pt x="1" y="13"/>
                                  <a:pt x="6" y="49"/>
                                  <a:pt x="6" y="49"/>
                                </a:cubicBezTo>
                                <a:lnTo>
                                  <a:pt x="5" y="49"/>
                                </a:lnTo>
                                <a:close/>
                              </a:path>
                            </a:pathLst>
                          </a:custGeom>
                          <a:solidFill>
                            <a:srgbClr val="24211D"/>
                          </a:solidFill>
                          <a:ln w="9525">
                            <a:noFill/>
                            <a:round/>
                            <a:headEnd/>
                            <a:tailEnd/>
                          </a:ln>
                        </wps:spPr>
                        <wps:bodyPr/>
                      </wps:wsp>
                      <wps:wsp>
                        <wps:cNvPr id="22" name="Freeform 22"/>
                        <wps:cNvSpPr>
                          <a:spLocks/>
                        </wps:cNvSpPr>
                        <wps:spPr bwMode="auto">
                          <a:xfrm>
                            <a:off x="35" y="372"/>
                            <a:ext cx="6" cy="14"/>
                          </a:xfrm>
                          <a:custGeom>
                            <a:avLst/>
                            <a:gdLst/>
                            <a:ahLst/>
                            <a:cxnLst>
                              <a:cxn ang="0">
                                <a:pos x="3" y="0"/>
                              </a:cxn>
                              <a:cxn ang="0">
                                <a:pos x="7" y="13"/>
                              </a:cxn>
                              <a:cxn ang="0">
                                <a:pos x="7" y="14"/>
                              </a:cxn>
                              <a:cxn ang="0">
                                <a:pos x="2" y="0"/>
                              </a:cxn>
                              <a:cxn ang="0">
                                <a:pos x="3" y="0"/>
                              </a:cxn>
                            </a:cxnLst>
                            <a:rect l="0" t="0" r="r" b="b"/>
                            <a:pathLst>
                              <a:path w="7" h="16">
                                <a:moveTo>
                                  <a:pt x="3" y="0"/>
                                </a:moveTo>
                                <a:cubicBezTo>
                                  <a:pt x="3" y="0"/>
                                  <a:pt x="1" y="14"/>
                                  <a:pt x="7" y="13"/>
                                </a:cubicBezTo>
                                <a:lnTo>
                                  <a:pt x="7" y="14"/>
                                </a:lnTo>
                                <a:cubicBezTo>
                                  <a:pt x="0" y="16"/>
                                  <a:pt x="2" y="0"/>
                                  <a:pt x="2" y="0"/>
                                </a:cubicBezTo>
                                <a:lnTo>
                                  <a:pt x="3" y="0"/>
                                </a:lnTo>
                                <a:close/>
                              </a:path>
                            </a:pathLst>
                          </a:custGeom>
                          <a:solidFill>
                            <a:srgbClr val="24211D"/>
                          </a:solidFill>
                          <a:ln w="9525">
                            <a:noFill/>
                            <a:round/>
                            <a:headEnd/>
                            <a:tailEnd/>
                          </a:ln>
                        </wps:spPr>
                        <wps:bodyPr/>
                      </wps:wsp>
                      <wps:wsp>
                        <wps:cNvPr id="23" name="Freeform 23"/>
                        <wps:cNvSpPr>
                          <a:spLocks/>
                        </wps:cNvSpPr>
                        <wps:spPr bwMode="auto">
                          <a:xfrm>
                            <a:off x="35" y="382"/>
                            <a:ext cx="7" cy="13"/>
                          </a:xfrm>
                          <a:custGeom>
                            <a:avLst/>
                            <a:gdLst/>
                            <a:ahLst/>
                            <a:cxnLst>
                              <a:cxn ang="0">
                                <a:pos x="0" y="14"/>
                              </a:cxn>
                              <a:cxn ang="0">
                                <a:pos x="7" y="0"/>
                              </a:cxn>
                              <a:cxn ang="0">
                                <a:pos x="8" y="0"/>
                              </a:cxn>
                              <a:cxn ang="0">
                                <a:pos x="1" y="16"/>
                              </a:cxn>
                              <a:cxn ang="0">
                                <a:pos x="0" y="14"/>
                              </a:cxn>
                            </a:cxnLst>
                            <a:rect l="0" t="0" r="r" b="b"/>
                            <a:pathLst>
                              <a:path w="8" h="16">
                                <a:moveTo>
                                  <a:pt x="0" y="14"/>
                                </a:moveTo>
                                <a:cubicBezTo>
                                  <a:pt x="0" y="14"/>
                                  <a:pt x="7" y="11"/>
                                  <a:pt x="7" y="0"/>
                                </a:cubicBezTo>
                                <a:lnTo>
                                  <a:pt x="8" y="0"/>
                                </a:lnTo>
                                <a:cubicBezTo>
                                  <a:pt x="8" y="12"/>
                                  <a:pt x="1" y="16"/>
                                  <a:pt x="1" y="16"/>
                                </a:cubicBezTo>
                                <a:lnTo>
                                  <a:pt x="0" y="14"/>
                                </a:lnTo>
                                <a:close/>
                              </a:path>
                            </a:pathLst>
                          </a:custGeom>
                          <a:solidFill>
                            <a:srgbClr val="24211D"/>
                          </a:solidFill>
                          <a:ln w="9525">
                            <a:noFill/>
                            <a:round/>
                            <a:headEnd/>
                            <a:tailEnd/>
                          </a:ln>
                        </wps:spPr>
                        <wps:bodyPr/>
                      </wps:wsp>
                      <wps:wsp>
                        <wps:cNvPr id="25" name="Freeform 24"/>
                        <wps:cNvSpPr>
                          <a:spLocks/>
                        </wps:cNvSpPr>
                        <wps:spPr bwMode="auto">
                          <a:xfrm>
                            <a:off x="35" y="343"/>
                            <a:ext cx="20" cy="9"/>
                          </a:xfrm>
                          <a:custGeom>
                            <a:avLst/>
                            <a:gdLst/>
                            <a:ahLst/>
                            <a:cxnLst>
                              <a:cxn ang="0">
                                <a:pos x="1" y="0"/>
                              </a:cxn>
                              <a:cxn ang="0">
                                <a:pos x="23" y="0"/>
                              </a:cxn>
                              <a:cxn ang="0">
                                <a:pos x="24" y="1"/>
                              </a:cxn>
                              <a:cxn ang="0">
                                <a:pos x="0" y="1"/>
                              </a:cxn>
                              <a:cxn ang="0">
                                <a:pos x="1" y="0"/>
                              </a:cxn>
                            </a:cxnLst>
                            <a:rect l="0" t="0" r="r" b="b"/>
                            <a:pathLst>
                              <a:path w="24" h="11">
                                <a:moveTo>
                                  <a:pt x="1" y="0"/>
                                </a:moveTo>
                                <a:cubicBezTo>
                                  <a:pt x="1" y="0"/>
                                  <a:pt x="12" y="9"/>
                                  <a:pt x="23" y="0"/>
                                </a:cubicBezTo>
                                <a:lnTo>
                                  <a:pt x="24" y="1"/>
                                </a:lnTo>
                                <a:cubicBezTo>
                                  <a:pt x="12" y="11"/>
                                  <a:pt x="0" y="1"/>
                                  <a:pt x="0" y="1"/>
                                </a:cubicBezTo>
                                <a:lnTo>
                                  <a:pt x="1" y="0"/>
                                </a:lnTo>
                                <a:close/>
                              </a:path>
                            </a:pathLst>
                          </a:custGeom>
                          <a:solidFill>
                            <a:srgbClr val="24211D"/>
                          </a:solidFill>
                          <a:ln w="9525">
                            <a:noFill/>
                            <a:round/>
                            <a:headEnd/>
                            <a:tailEnd/>
                          </a:ln>
                        </wps:spPr>
                        <wps:bodyPr/>
                      </wps:wsp>
                      <wps:wsp>
                        <wps:cNvPr id="26" name="Freeform 25"/>
                        <wps:cNvSpPr>
                          <a:spLocks noEditPoints="1"/>
                        </wps:cNvSpPr>
                        <wps:spPr bwMode="auto">
                          <a:xfrm>
                            <a:off x="33" y="346"/>
                            <a:ext cx="39" cy="111"/>
                          </a:xfrm>
                          <a:custGeom>
                            <a:avLst/>
                            <a:gdLst/>
                            <a:ahLst/>
                            <a:cxnLst>
                              <a:cxn ang="0">
                                <a:pos x="19" y="4"/>
                              </a:cxn>
                              <a:cxn ang="0">
                                <a:pos x="18" y="4"/>
                              </a:cxn>
                              <a:cxn ang="0">
                                <a:pos x="19" y="8"/>
                              </a:cxn>
                              <a:cxn ang="0">
                                <a:pos x="15" y="15"/>
                              </a:cxn>
                              <a:cxn ang="0">
                                <a:pos x="15" y="15"/>
                              </a:cxn>
                              <a:cxn ang="0">
                                <a:pos x="24" y="10"/>
                              </a:cxn>
                              <a:cxn ang="0">
                                <a:pos x="25" y="12"/>
                              </a:cxn>
                              <a:cxn ang="0">
                                <a:pos x="12" y="35"/>
                              </a:cxn>
                              <a:cxn ang="0">
                                <a:pos x="13" y="35"/>
                              </a:cxn>
                              <a:cxn ang="0">
                                <a:pos x="12" y="35"/>
                              </a:cxn>
                              <a:cxn ang="0">
                                <a:pos x="13" y="37"/>
                              </a:cxn>
                              <a:cxn ang="0">
                                <a:pos x="12" y="37"/>
                              </a:cxn>
                              <a:cxn ang="0">
                                <a:pos x="17" y="39"/>
                              </a:cxn>
                              <a:cxn ang="0">
                                <a:pos x="22" y="34"/>
                              </a:cxn>
                              <a:cxn ang="0">
                                <a:pos x="21" y="34"/>
                              </a:cxn>
                              <a:cxn ang="0">
                                <a:pos x="22" y="34"/>
                              </a:cxn>
                              <a:cxn ang="0">
                                <a:pos x="21" y="34"/>
                              </a:cxn>
                              <a:cxn ang="0">
                                <a:pos x="21" y="34"/>
                              </a:cxn>
                              <a:cxn ang="0">
                                <a:pos x="22" y="34"/>
                              </a:cxn>
                              <a:cxn ang="0">
                                <a:pos x="17" y="56"/>
                              </a:cxn>
                              <a:cxn ang="0">
                                <a:pos x="4" y="69"/>
                              </a:cxn>
                              <a:cxn ang="0">
                                <a:pos x="0" y="83"/>
                              </a:cxn>
                              <a:cxn ang="0">
                                <a:pos x="1" y="83"/>
                              </a:cxn>
                              <a:cxn ang="0">
                                <a:pos x="0" y="83"/>
                              </a:cxn>
                              <a:cxn ang="0">
                                <a:pos x="2" y="86"/>
                              </a:cxn>
                              <a:cxn ang="0">
                                <a:pos x="5" y="88"/>
                              </a:cxn>
                              <a:cxn ang="0">
                                <a:pos x="5" y="87"/>
                              </a:cxn>
                              <a:cxn ang="0">
                                <a:pos x="8" y="83"/>
                              </a:cxn>
                              <a:cxn ang="0">
                                <a:pos x="10" y="83"/>
                              </a:cxn>
                              <a:cxn ang="0">
                                <a:pos x="10" y="83"/>
                              </a:cxn>
                              <a:cxn ang="0">
                                <a:pos x="10" y="83"/>
                              </a:cxn>
                              <a:cxn ang="0">
                                <a:pos x="8" y="83"/>
                              </a:cxn>
                              <a:cxn ang="0">
                                <a:pos x="9" y="73"/>
                              </a:cxn>
                              <a:cxn ang="0">
                                <a:pos x="9" y="72"/>
                              </a:cxn>
                              <a:cxn ang="0">
                                <a:pos x="9" y="72"/>
                              </a:cxn>
                              <a:cxn ang="0">
                                <a:pos x="10" y="72"/>
                              </a:cxn>
                              <a:cxn ang="0">
                                <a:pos x="31" y="55"/>
                              </a:cxn>
                              <a:cxn ang="0">
                                <a:pos x="32" y="53"/>
                              </a:cxn>
                              <a:cxn ang="0">
                                <a:pos x="33" y="73"/>
                              </a:cxn>
                              <a:cxn ang="0">
                                <a:pos x="32" y="73"/>
                              </a:cxn>
                              <a:cxn ang="0">
                                <a:pos x="24" y="131"/>
                              </a:cxn>
                              <a:cxn ang="0">
                                <a:pos x="24" y="131"/>
                              </a:cxn>
                              <a:cxn ang="0">
                                <a:pos x="24" y="131"/>
                              </a:cxn>
                              <a:cxn ang="0">
                                <a:pos x="25" y="131"/>
                              </a:cxn>
                              <a:cxn ang="0">
                                <a:pos x="27" y="135"/>
                              </a:cxn>
                              <a:cxn ang="0">
                                <a:pos x="27" y="134"/>
                              </a:cxn>
                              <a:cxn ang="0">
                                <a:pos x="29" y="133"/>
                              </a:cxn>
                              <a:cxn ang="0">
                                <a:pos x="29" y="135"/>
                              </a:cxn>
                              <a:cxn ang="0">
                                <a:pos x="30" y="130"/>
                              </a:cxn>
                              <a:cxn ang="0">
                                <a:pos x="32" y="131"/>
                              </a:cxn>
                              <a:cxn ang="0">
                                <a:pos x="31" y="125"/>
                              </a:cxn>
                              <a:cxn ang="0">
                                <a:pos x="32" y="125"/>
                              </a:cxn>
                              <a:cxn ang="0">
                                <a:pos x="32" y="123"/>
                              </a:cxn>
                              <a:cxn ang="0">
                                <a:pos x="35" y="122"/>
                              </a:cxn>
                              <a:cxn ang="0">
                                <a:pos x="35" y="121"/>
                              </a:cxn>
                              <a:cxn ang="0">
                                <a:pos x="38" y="123"/>
                              </a:cxn>
                            </a:cxnLst>
                            <a:rect l="0" t="0" r="r" b="b"/>
                            <a:pathLst>
                              <a:path w="48" h="135">
                                <a:moveTo>
                                  <a:pt x="16" y="0"/>
                                </a:moveTo>
                                <a:cubicBezTo>
                                  <a:pt x="17" y="0"/>
                                  <a:pt x="18" y="1"/>
                                  <a:pt x="18" y="2"/>
                                </a:cubicBezTo>
                                <a:lnTo>
                                  <a:pt x="17" y="2"/>
                                </a:lnTo>
                                <a:cubicBezTo>
                                  <a:pt x="17" y="2"/>
                                  <a:pt x="16" y="2"/>
                                  <a:pt x="15" y="1"/>
                                </a:cubicBezTo>
                                <a:lnTo>
                                  <a:pt x="16" y="0"/>
                                </a:lnTo>
                                <a:close/>
                                <a:moveTo>
                                  <a:pt x="18" y="2"/>
                                </a:moveTo>
                                <a:cubicBezTo>
                                  <a:pt x="19" y="2"/>
                                  <a:pt x="19" y="3"/>
                                  <a:pt x="19" y="4"/>
                                </a:cubicBezTo>
                                <a:lnTo>
                                  <a:pt x="18" y="4"/>
                                </a:lnTo>
                                <a:cubicBezTo>
                                  <a:pt x="18" y="3"/>
                                  <a:pt x="18" y="3"/>
                                  <a:pt x="17" y="2"/>
                                </a:cubicBezTo>
                                <a:lnTo>
                                  <a:pt x="18" y="2"/>
                                </a:lnTo>
                                <a:close/>
                                <a:moveTo>
                                  <a:pt x="19" y="4"/>
                                </a:moveTo>
                                <a:cubicBezTo>
                                  <a:pt x="19" y="5"/>
                                  <a:pt x="19" y="6"/>
                                  <a:pt x="19" y="6"/>
                                </a:cubicBezTo>
                                <a:lnTo>
                                  <a:pt x="18" y="6"/>
                                </a:lnTo>
                                <a:cubicBezTo>
                                  <a:pt x="18" y="5"/>
                                  <a:pt x="18" y="5"/>
                                  <a:pt x="18" y="4"/>
                                </a:cubicBezTo>
                                <a:lnTo>
                                  <a:pt x="19" y="4"/>
                                </a:lnTo>
                                <a:close/>
                                <a:moveTo>
                                  <a:pt x="19" y="6"/>
                                </a:moveTo>
                                <a:cubicBezTo>
                                  <a:pt x="19" y="7"/>
                                  <a:pt x="19" y="7"/>
                                  <a:pt x="19" y="8"/>
                                </a:cubicBezTo>
                                <a:lnTo>
                                  <a:pt x="17" y="7"/>
                                </a:lnTo>
                                <a:cubicBezTo>
                                  <a:pt x="18" y="6"/>
                                  <a:pt x="18" y="6"/>
                                  <a:pt x="18" y="6"/>
                                </a:cubicBezTo>
                                <a:lnTo>
                                  <a:pt x="19" y="6"/>
                                </a:lnTo>
                                <a:close/>
                                <a:moveTo>
                                  <a:pt x="19" y="8"/>
                                </a:moveTo>
                                <a:lnTo>
                                  <a:pt x="19" y="8"/>
                                </a:lnTo>
                                <a:lnTo>
                                  <a:pt x="19" y="8"/>
                                </a:lnTo>
                                <a:lnTo>
                                  <a:pt x="18" y="7"/>
                                </a:lnTo>
                                <a:lnTo>
                                  <a:pt x="19" y="8"/>
                                </a:lnTo>
                                <a:close/>
                                <a:moveTo>
                                  <a:pt x="19" y="8"/>
                                </a:moveTo>
                                <a:cubicBezTo>
                                  <a:pt x="19" y="8"/>
                                  <a:pt x="15" y="12"/>
                                  <a:pt x="16" y="14"/>
                                </a:cubicBezTo>
                                <a:lnTo>
                                  <a:pt x="15" y="15"/>
                                </a:lnTo>
                                <a:cubicBezTo>
                                  <a:pt x="13" y="12"/>
                                  <a:pt x="18" y="7"/>
                                  <a:pt x="18" y="7"/>
                                </a:cubicBezTo>
                                <a:lnTo>
                                  <a:pt x="19" y="8"/>
                                </a:lnTo>
                                <a:close/>
                                <a:moveTo>
                                  <a:pt x="15" y="15"/>
                                </a:moveTo>
                                <a:lnTo>
                                  <a:pt x="15" y="15"/>
                                </a:lnTo>
                                <a:lnTo>
                                  <a:pt x="15" y="15"/>
                                </a:lnTo>
                                <a:lnTo>
                                  <a:pt x="16" y="15"/>
                                </a:lnTo>
                                <a:lnTo>
                                  <a:pt x="15" y="15"/>
                                </a:lnTo>
                                <a:close/>
                                <a:moveTo>
                                  <a:pt x="16" y="14"/>
                                </a:moveTo>
                                <a:cubicBezTo>
                                  <a:pt x="16" y="14"/>
                                  <a:pt x="20" y="16"/>
                                  <a:pt x="24" y="12"/>
                                </a:cubicBezTo>
                                <a:lnTo>
                                  <a:pt x="25" y="12"/>
                                </a:lnTo>
                                <a:cubicBezTo>
                                  <a:pt x="21" y="18"/>
                                  <a:pt x="15" y="15"/>
                                  <a:pt x="15" y="15"/>
                                </a:cubicBezTo>
                                <a:lnTo>
                                  <a:pt x="16" y="14"/>
                                </a:lnTo>
                                <a:close/>
                                <a:moveTo>
                                  <a:pt x="24" y="12"/>
                                </a:moveTo>
                                <a:lnTo>
                                  <a:pt x="24" y="10"/>
                                </a:lnTo>
                                <a:lnTo>
                                  <a:pt x="25" y="12"/>
                                </a:lnTo>
                                <a:lnTo>
                                  <a:pt x="24" y="12"/>
                                </a:lnTo>
                                <a:close/>
                                <a:moveTo>
                                  <a:pt x="25" y="12"/>
                                </a:moveTo>
                                <a:cubicBezTo>
                                  <a:pt x="25" y="12"/>
                                  <a:pt x="27" y="17"/>
                                  <a:pt x="14" y="30"/>
                                </a:cubicBezTo>
                                <a:lnTo>
                                  <a:pt x="13" y="30"/>
                                </a:lnTo>
                                <a:cubicBezTo>
                                  <a:pt x="25" y="17"/>
                                  <a:pt x="23" y="12"/>
                                  <a:pt x="23" y="12"/>
                                </a:cubicBezTo>
                                <a:lnTo>
                                  <a:pt x="25" y="12"/>
                                </a:lnTo>
                                <a:close/>
                                <a:moveTo>
                                  <a:pt x="13" y="30"/>
                                </a:moveTo>
                                <a:lnTo>
                                  <a:pt x="13" y="30"/>
                                </a:lnTo>
                                <a:lnTo>
                                  <a:pt x="14" y="30"/>
                                </a:lnTo>
                                <a:lnTo>
                                  <a:pt x="13" y="30"/>
                                </a:lnTo>
                                <a:close/>
                                <a:moveTo>
                                  <a:pt x="14" y="30"/>
                                </a:moveTo>
                                <a:cubicBezTo>
                                  <a:pt x="12" y="32"/>
                                  <a:pt x="13" y="35"/>
                                  <a:pt x="13" y="35"/>
                                </a:cubicBezTo>
                                <a:lnTo>
                                  <a:pt x="12" y="35"/>
                                </a:lnTo>
                                <a:cubicBezTo>
                                  <a:pt x="12" y="35"/>
                                  <a:pt x="11" y="32"/>
                                  <a:pt x="13" y="30"/>
                                </a:cubicBezTo>
                                <a:lnTo>
                                  <a:pt x="14" y="30"/>
                                </a:lnTo>
                                <a:close/>
                                <a:moveTo>
                                  <a:pt x="13" y="35"/>
                                </a:moveTo>
                                <a:lnTo>
                                  <a:pt x="13" y="35"/>
                                </a:lnTo>
                                <a:lnTo>
                                  <a:pt x="12" y="35"/>
                                </a:lnTo>
                                <a:lnTo>
                                  <a:pt x="13" y="35"/>
                                </a:lnTo>
                                <a:close/>
                                <a:moveTo>
                                  <a:pt x="13" y="35"/>
                                </a:moveTo>
                                <a:lnTo>
                                  <a:pt x="13" y="35"/>
                                </a:lnTo>
                                <a:lnTo>
                                  <a:pt x="12" y="35"/>
                                </a:lnTo>
                                <a:lnTo>
                                  <a:pt x="12" y="35"/>
                                </a:lnTo>
                                <a:lnTo>
                                  <a:pt x="13" y="35"/>
                                </a:lnTo>
                                <a:close/>
                                <a:moveTo>
                                  <a:pt x="12" y="35"/>
                                </a:moveTo>
                                <a:lnTo>
                                  <a:pt x="12" y="35"/>
                                </a:lnTo>
                                <a:lnTo>
                                  <a:pt x="12" y="35"/>
                                </a:lnTo>
                                <a:close/>
                                <a:moveTo>
                                  <a:pt x="13" y="35"/>
                                </a:moveTo>
                                <a:cubicBezTo>
                                  <a:pt x="13" y="36"/>
                                  <a:pt x="13" y="36"/>
                                  <a:pt x="13" y="36"/>
                                </a:cubicBezTo>
                                <a:lnTo>
                                  <a:pt x="12" y="36"/>
                                </a:lnTo>
                                <a:cubicBezTo>
                                  <a:pt x="12" y="36"/>
                                  <a:pt x="12" y="36"/>
                                  <a:pt x="12" y="35"/>
                                </a:cubicBezTo>
                                <a:lnTo>
                                  <a:pt x="13" y="35"/>
                                </a:lnTo>
                                <a:close/>
                                <a:moveTo>
                                  <a:pt x="13" y="36"/>
                                </a:moveTo>
                                <a:cubicBezTo>
                                  <a:pt x="13" y="36"/>
                                  <a:pt x="13" y="37"/>
                                  <a:pt x="13" y="37"/>
                                </a:cubicBezTo>
                                <a:lnTo>
                                  <a:pt x="12" y="37"/>
                                </a:lnTo>
                                <a:cubicBezTo>
                                  <a:pt x="12" y="37"/>
                                  <a:pt x="12" y="37"/>
                                  <a:pt x="12" y="36"/>
                                </a:cubicBezTo>
                                <a:lnTo>
                                  <a:pt x="13" y="36"/>
                                </a:lnTo>
                                <a:close/>
                                <a:moveTo>
                                  <a:pt x="13" y="37"/>
                                </a:moveTo>
                                <a:cubicBezTo>
                                  <a:pt x="14" y="38"/>
                                  <a:pt x="15" y="39"/>
                                  <a:pt x="17" y="39"/>
                                </a:cubicBezTo>
                                <a:lnTo>
                                  <a:pt x="17" y="40"/>
                                </a:lnTo>
                                <a:cubicBezTo>
                                  <a:pt x="15" y="40"/>
                                  <a:pt x="13" y="39"/>
                                  <a:pt x="12" y="37"/>
                                </a:cubicBezTo>
                                <a:lnTo>
                                  <a:pt x="13" y="37"/>
                                </a:lnTo>
                                <a:close/>
                                <a:moveTo>
                                  <a:pt x="17" y="39"/>
                                </a:moveTo>
                                <a:lnTo>
                                  <a:pt x="17" y="39"/>
                                </a:lnTo>
                                <a:lnTo>
                                  <a:pt x="17" y="40"/>
                                </a:lnTo>
                                <a:lnTo>
                                  <a:pt x="17" y="40"/>
                                </a:lnTo>
                                <a:lnTo>
                                  <a:pt x="17" y="39"/>
                                </a:lnTo>
                                <a:close/>
                                <a:moveTo>
                                  <a:pt x="17" y="39"/>
                                </a:moveTo>
                                <a:cubicBezTo>
                                  <a:pt x="18" y="39"/>
                                  <a:pt x="19" y="38"/>
                                  <a:pt x="19" y="37"/>
                                </a:cubicBezTo>
                                <a:lnTo>
                                  <a:pt x="20" y="38"/>
                                </a:lnTo>
                                <a:cubicBezTo>
                                  <a:pt x="20" y="39"/>
                                  <a:pt x="18" y="40"/>
                                  <a:pt x="17" y="40"/>
                                </a:cubicBezTo>
                                <a:lnTo>
                                  <a:pt x="17" y="39"/>
                                </a:lnTo>
                                <a:close/>
                                <a:moveTo>
                                  <a:pt x="19" y="37"/>
                                </a:moveTo>
                                <a:cubicBezTo>
                                  <a:pt x="20" y="36"/>
                                  <a:pt x="21" y="35"/>
                                  <a:pt x="21" y="34"/>
                                </a:cubicBezTo>
                                <a:lnTo>
                                  <a:pt x="22" y="34"/>
                                </a:lnTo>
                                <a:cubicBezTo>
                                  <a:pt x="22" y="35"/>
                                  <a:pt x="21" y="37"/>
                                  <a:pt x="20" y="38"/>
                                </a:cubicBezTo>
                                <a:lnTo>
                                  <a:pt x="19" y="37"/>
                                </a:lnTo>
                                <a:close/>
                                <a:moveTo>
                                  <a:pt x="21" y="34"/>
                                </a:moveTo>
                                <a:lnTo>
                                  <a:pt x="21" y="34"/>
                                </a:lnTo>
                                <a:lnTo>
                                  <a:pt x="22" y="34"/>
                                </a:lnTo>
                                <a:lnTo>
                                  <a:pt x="22" y="34"/>
                                </a:lnTo>
                                <a:lnTo>
                                  <a:pt x="21" y="34"/>
                                </a:lnTo>
                                <a:close/>
                                <a:moveTo>
                                  <a:pt x="21" y="34"/>
                                </a:moveTo>
                                <a:cubicBezTo>
                                  <a:pt x="21" y="33"/>
                                  <a:pt x="21" y="33"/>
                                  <a:pt x="21" y="33"/>
                                </a:cubicBezTo>
                                <a:lnTo>
                                  <a:pt x="21" y="34"/>
                                </a:lnTo>
                                <a:cubicBezTo>
                                  <a:pt x="21" y="34"/>
                                  <a:pt x="22" y="33"/>
                                  <a:pt x="22" y="34"/>
                                </a:cubicBezTo>
                                <a:lnTo>
                                  <a:pt x="21" y="34"/>
                                </a:lnTo>
                                <a:close/>
                                <a:moveTo>
                                  <a:pt x="21" y="33"/>
                                </a:moveTo>
                                <a:cubicBezTo>
                                  <a:pt x="22" y="33"/>
                                  <a:pt x="22" y="33"/>
                                  <a:pt x="22" y="34"/>
                                </a:cubicBezTo>
                                <a:lnTo>
                                  <a:pt x="21" y="34"/>
                                </a:lnTo>
                                <a:cubicBezTo>
                                  <a:pt x="21" y="34"/>
                                  <a:pt x="22" y="34"/>
                                  <a:pt x="21" y="34"/>
                                </a:cubicBezTo>
                                <a:lnTo>
                                  <a:pt x="21" y="33"/>
                                </a:lnTo>
                                <a:close/>
                                <a:moveTo>
                                  <a:pt x="22" y="34"/>
                                </a:moveTo>
                                <a:cubicBezTo>
                                  <a:pt x="22" y="34"/>
                                  <a:pt x="22" y="34"/>
                                  <a:pt x="21" y="34"/>
                                </a:cubicBezTo>
                                <a:lnTo>
                                  <a:pt x="21" y="33"/>
                                </a:lnTo>
                                <a:cubicBezTo>
                                  <a:pt x="22" y="33"/>
                                  <a:pt x="21" y="34"/>
                                  <a:pt x="21" y="34"/>
                                </a:cubicBezTo>
                                <a:lnTo>
                                  <a:pt x="22" y="34"/>
                                </a:lnTo>
                                <a:close/>
                                <a:moveTo>
                                  <a:pt x="21" y="33"/>
                                </a:moveTo>
                                <a:lnTo>
                                  <a:pt x="21" y="33"/>
                                </a:lnTo>
                                <a:lnTo>
                                  <a:pt x="21" y="34"/>
                                </a:lnTo>
                                <a:lnTo>
                                  <a:pt x="21" y="33"/>
                                </a:lnTo>
                                <a:close/>
                                <a:moveTo>
                                  <a:pt x="21" y="34"/>
                                </a:moveTo>
                                <a:cubicBezTo>
                                  <a:pt x="21" y="35"/>
                                  <a:pt x="21" y="34"/>
                                  <a:pt x="21" y="34"/>
                                </a:cubicBezTo>
                                <a:lnTo>
                                  <a:pt x="22" y="34"/>
                                </a:lnTo>
                                <a:cubicBezTo>
                                  <a:pt x="22" y="34"/>
                                  <a:pt x="21" y="33"/>
                                  <a:pt x="21" y="33"/>
                                </a:cubicBezTo>
                                <a:lnTo>
                                  <a:pt x="21" y="34"/>
                                </a:lnTo>
                                <a:close/>
                                <a:moveTo>
                                  <a:pt x="21" y="34"/>
                                </a:moveTo>
                                <a:lnTo>
                                  <a:pt x="22" y="34"/>
                                </a:lnTo>
                                <a:lnTo>
                                  <a:pt x="21" y="34"/>
                                </a:lnTo>
                                <a:close/>
                                <a:moveTo>
                                  <a:pt x="22" y="34"/>
                                </a:moveTo>
                                <a:cubicBezTo>
                                  <a:pt x="22" y="34"/>
                                  <a:pt x="24" y="46"/>
                                  <a:pt x="17" y="56"/>
                                </a:cubicBezTo>
                                <a:lnTo>
                                  <a:pt x="16" y="56"/>
                                </a:lnTo>
                                <a:cubicBezTo>
                                  <a:pt x="23" y="46"/>
                                  <a:pt x="21" y="34"/>
                                  <a:pt x="21" y="34"/>
                                </a:cubicBezTo>
                                <a:lnTo>
                                  <a:pt x="22" y="34"/>
                                </a:lnTo>
                                <a:close/>
                                <a:moveTo>
                                  <a:pt x="16" y="56"/>
                                </a:moveTo>
                                <a:lnTo>
                                  <a:pt x="16" y="56"/>
                                </a:lnTo>
                                <a:lnTo>
                                  <a:pt x="17" y="56"/>
                                </a:lnTo>
                                <a:lnTo>
                                  <a:pt x="16" y="56"/>
                                </a:lnTo>
                                <a:close/>
                                <a:moveTo>
                                  <a:pt x="17" y="56"/>
                                </a:moveTo>
                                <a:cubicBezTo>
                                  <a:pt x="12" y="64"/>
                                  <a:pt x="5" y="70"/>
                                  <a:pt x="5" y="70"/>
                                </a:cubicBezTo>
                                <a:lnTo>
                                  <a:pt x="4" y="69"/>
                                </a:lnTo>
                                <a:cubicBezTo>
                                  <a:pt x="4" y="69"/>
                                  <a:pt x="11" y="64"/>
                                  <a:pt x="16" y="56"/>
                                </a:cubicBezTo>
                                <a:lnTo>
                                  <a:pt x="17" y="56"/>
                                </a:lnTo>
                                <a:close/>
                                <a:moveTo>
                                  <a:pt x="4" y="69"/>
                                </a:moveTo>
                                <a:lnTo>
                                  <a:pt x="4" y="69"/>
                                </a:lnTo>
                                <a:lnTo>
                                  <a:pt x="4" y="69"/>
                                </a:lnTo>
                                <a:lnTo>
                                  <a:pt x="5" y="70"/>
                                </a:lnTo>
                                <a:lnTo>
                                  <a:pt x="4" y="69"/>
                                </a:lnTo>
                                <a:close/>
                                <a:moveTo>
                                  <a:pt x="5" y="70"/>
                                </a:moveTo>
                                <a:cubicBezTo>
                                  <a:pt x="1" y="75"/>
                                  <a:pt x="1" y="83"/>
                                  <a:pt x="1" y="83"/>
                                </a:cubicBezTo>
                                <a:lnTo>
                                  <a:pt x="0" y="83"/>
                                </a:lnTo>
                                <a:cubicBezTo>
                                  <a:pt x="0" y="83"/>
                                  <a:pt x="0" y="75"/>
                                  <a:pt x="4" y="69"/>
                                </a:cubicBezTo>
                                <a:lnTo>
                                  <a:pt x="5" y="70"/>
                                </a:lnTo>
                                <a:close/>
                                <a:moveTo>
                                  <a:pt x="1" y="83"/>
                                </a:moveTo>
                                <a:lnTo>
                                  <a:pt x="1" y="83"/>
                                </a:lnTo>
                                <a:lnTo>
                                  <a:pt x="1" y="83"/>
                                </a:lnTo>
                                <a:close/>
                                <a:moveTo>
                                  <a:pt x="1" y="83"/>
                                </a:moveTo>
                                <a:lnTo>
                                  <a:pt x="1" y="83"/>
                                </a:lnTo>
                                <a:lnTo>
                                  <a:pt x="0" y="83"/>
                                </a:lnTo>
                                <a:lnTo>
                                  <a:pt x="0" y="83"/>
                                </a:lnTo>
                                <a:lnTo>
                                  <a:pt x="1" y="83"/>
                                </a:lnTo>
                                <a:close/>
                                <a:moveTo>
                                  <a:pt x="1" y="83"/>
                                </a:moveTo>
                                <a:lnTo>
                                  <a:pt x="1" y="83"/>
                                </a:lnTo>
                                <a:lnTo>
                                  <a:pt x="0" y="83"/>
                                </a:lnTo>
                                <a:lnTo>
                                  <a:pt x="0" y="83"/>
                                </a:lnTo>
                                <a:lnTo>
                                  <a:pt x="1" y="83"/>
                                </a:lnTo>
                                <a:close/>
                                <a:moveTo>
                                  <a:pt x="1" y="83"/>
                                </a:moveTo>
                                <a:cubicBezTo>
                                  <a:pt x="1" y="85"/>
                                  <a:pt x="2" y="85"/>
                                  <a:pt x="2" y="86"/>
                                </a:cubicBezTo>
                                <a:lnTo>
                                  <a:pt x="1" y="87"/>
                                </a:lnTo>
                                <a:cubicBezTo>
                                  <a:pt x="1" y="86"/>
                                  <a:pt x="0" y="85"/>
                                  <a:pt x="0" y="83"/>
                                </a:cubicBezTo>
                                <a:lnTo>
                                  <a:pt x="1" y="83"/>
                                </a:lnTo>
                                <a:close/>
                                <a:moveTo>
                                  <a:pt x="2" y="86"/>
                                </a:moveTo>
                                <a:cubicBezTo>
                                  <a:pt x="3" y="87"/>
                                  <a:pt x="4" y="87"/>
                                  <a:pt x="5" y="87"/>
                                </a:cubicBezTo>
                                <a:lnTo>
                                  <a:pt x="5" y="88"/>
                                </a:lnTo>
                                <a:cubicBezTo>
                                  <a:pt x="3" y="88"/>
                                  <a:pt x="2" y="88"/>
                                  <a:pt x="1" y="87"/>
                                </a:cubicBezTo>
                                <a:lnTo>
                                  <a:pt x="2" y="86"/>
                                </a:lnTo>
                                <a:close/>
                                <a:moveTo>
                                  <a:pt x="5" y="87"/>
                                </a:moveTo>
                                <a:lnTo>
                                  <a:pt x="5" y="87"/>
                                </a:lnTo>
                                <a:lnTo>
                                  <a:pt x="5" y="88"/>
                                </a:lnTo>
                                <a:lnTo>
                                  <a:pt x="5" y="88"/>
                                </a:lnTo>
                                <a:lnTo>
                                  <a:pt x="5" y="87"/>
                                </a:lnTo>
                                <a:close/>
                                <a:moveTo>
                                  <a:pt x="5" y="87"/>
                                </a:moveTo>
                                <a:lnTo>
                                  <a:pt x="5" y="87"/>
                                </a:lnTo>
                                <a:lnTo>
                                  <a:pt x="5" y="88"/>
                                </a:lnTo>
                                <a:lnTo>
                                  <a:pt x="5" y="88"/>
                                </a:lnTo>
                                <a:lnTo>
                                  <a:pt x="5" y="87"/>
                                </a:lnTo>
                                <a:close/>
                                <a:moveTo>
                                  <a:pt x="5" y="87"/>
                                </a:moveTo>
                                <a:cubicBezTo>
                                  <a:pt x="6" y="87"/>
                                  <a:pt x="7" y="87"/>
                                  <a:pt x="7" y="86"/>
                                </a:cubicBezTo>
                                <a:lnTo>
                                  <a:pt x="8" y="87"/>
                                </a:lnTo>
                                <a:cubicBezTo>
                                  <a:pt x="7" y="88"/>
                                  <a:pt x="6" y="88"/>
                                  <a:pt x="5" y="88"/>
                                </a:cubicBezTo>
                                <a:lnTo>
                                  <a:pt x="5" y="87"/>
                                </a:lnTo>
                                <a:close/>
                                <a:moveTo>
                                  <a:pt x="7" y="86"/>
                                </a:moveTo>
                                <a:cubicBezTo>
                                  <a:pt x="8" y="85"/>
                                  <a:pt x="8" y="85"/>
                                  <a:pt x="8" y="83"/>
                                </a:cubicBezTo>
                                <a:lnTo>
                                  <a:pt x="10" y="83"/>
                                </a:lnTo>
                                <a:cubicBezTo>
                                  <a:pt x="10" y="85"/>
                                  <a:pt x="9" y="86"/>
                                  <a:pt x="8" y="87"/>
                                </a:cubicBezTo>
                                <a:lnTo>
                                  <a:pt x="7" y="86"/>
                                </a:lnTo>
                                <a:close/>
                                <a:moveTo>
                                  <a:pt x="8" y="83"/>
                                </a:moveTo>
                                <a:lnTo>
                                  <a:pt x="8" y="83"/>
                                </a:lnTo>
                                <a:lnTo>
                                  <a:pt x="10" y="83"/>
                                </a:lnTo>
                                <a:lnTo>
                                  <a:pt x="10" y="83"/>
                                </a:lnTo>
                                <a:lnTo>
                                  <a:pt x="8" y="83"/>
                                </a:lnTo>
                                <a:close/>
                                <a:moveTo>
                                  <a:pt x="8" y="83"/>
                                </a:moveTo>
                                <a:cubicBezTo>
                                  <a:pt x="8" y="83"/>
                                  <a:pt x="8" y="83"/>
                                  <a:pt x="8" y="83"/>
                                </a:cubicBezTo>
                                <a:lnTo>
                                  <a:pt x="10" y="84"/>
                                </a:lnTo>
                                <a:cubicBezTo>
                                  <a:pt x="10" y="84"/>
                                  <a:pt x="10" y="83"/>
                                  <a:pt x="10" y="83"/>
                                </a:cubicBezTo>
                                <a:lnTo>
                                  <a:pt x="8" y="83"/>
                                </a:lnTo>
                                <a:close/>
                                <a:moveTo>
                                  <a:pt x="10" y="83"/>
                                </a:moveTo>
                                <a:lnTo>
                                  <a:pt x="10" y="84"/>
                                </a:lnTo>
                                <a:lnTo>
                                  <a:pt x="9" y="83"/>
                                </a:lnTo>
                                <a:lnTo>
                                  <a:pt x="10" y="83"/>
                                </a:lnTo>
                                <a:close/>
                                <a:moveTo>
                                  <a:pt x="8" y="83"/>
                                </a:moveTo>
                                <a:cubicBezTo>
                                  <a:pt x="8" y="83"/>
                                  <a:pt x="8" y="83"/>
                                  <a:pt x="8" y="83"/>
                                </a:cubicBezTo>
                                <a:lnTo>
                                  <a:pt x="10" y="83"/>
                                </a:lnTo>
                                <a:cubicBezTo>
                                  <a:pt x="10" y="83"/>
                                  <a:pt x="10" y="83"/>
                                  <a:pt x="10" y="83"/>
                                </a:cubicBezTo>
                                <a:lnTo>
                                  <a:pt x="8" y="83"/>
                                </a:lnTo>
                                <a:close/>
                                <a:moveTo>
                                  <a:pt x="8" y="83"/>
                                </a:moveTo>
                                <a:cubicBezTo>
                                  <a:pt x="8" y="83"/>
                                  <a:pt x="8" y="83"/>
                                  <a:pt x="8" y="83"/>
                                </a:cubicBezTo>
                                <a:lnTo>
                                  <a:pt x="10" y="82"/>
                                </a:lnTo>
                                <a:cubicBezTo>
                                  <a:pt x="10" y="83"/>
                                  <a:pt x="10" y="83"/>
                                  <a:pt x="10" y="83"/>
                                </a:cubicBezTo>
                                <a:lnTo>
                                  <a:pt x="8" y="83"/>
                                </a:lnTo>
                                <a:close/>
                                <a:moveTo>
                                  <a:pt x="8" y="83"/>
                                </a:moveTo>
                                <a:lnTo>
                                  <a:pt x="8" y="83"/>
                                </a:lnTo>
                                <a:lnTo>
                                  <a:pt x="8" y="82"/>
                                </a:lnTo>
                                <a:lnTo>
                                  <a:pt x="9" y="83"/>
                                </a:lnTo>
                                <a:lnTo>
                                  <a:pt x="8" y="83"/>
                                </a:lnTo>
                                <a:close/>
                                <a:moveTo>
                                  <a:pt x="8" y="82"/>
                                </a:moveTo>
                                <a:cubicBezTo>
                                  <a:pt x="9" y="76"/>
                                  <a:pt x="8" y="73"/>
                                  <a:pt x="8" y="73"/>
                                </a:cubicBezTo>
                                <a:lnTo>
                                  <a:pt x="9" y="73"/>
                                </a:lnTo>
                                <a:cubicBezTo>
                                  <a:pt x="9" y="73"/>
                                  <a:pt x="10" y="76"/>
                                  <a:pt x="10" y="83"/>
                                </a:cubicBezTo>
                                <a:lnTo>
                                  <a:pt x="8" y="82"/>
                                </a:lnTo>
                                <a:close/>
                                <a:moveTo>
                                  <a:pt x="9" y="72"/>
                                </a:moveTo>
                                <a:lnTo>
                                  <a:pt x="9" y="72"/>
                                </a:lnTo>
                                <a:lnTo>
                                  <a:pt x="9" y="73"/>
                                </a:lnTo>
                                <a:lnTo>
                                  <a:pt x="9" y="73"/>
                                </a:lnTo>
                                <a:lnTo>
                                  <a:pt x="9" y="72"/>
                                </a:lnTo>
                                <a:close/>
                                <a:moveTo>
                                  <a:pt x="8" y="73"/>
                                </a:moveTo>
                                <a:cubicBezTo>
                                  <a:pt x="8" y="73"/>
                                  <a:pt x="6" y="72"/>
                                  <a:pt x="9" y="72"/>
                                </a:cubicBezTo>
                                <a:lnTo>
                                  <a:pt x="9" y="73"/>
                                </a:lnTo>
                                <a:cubicBezTo>
                                  <a:pt x="8" y="73"/>
                                  <a:pt x="9" y="72"/>
                                  <a:pt x="9" y="72"/>
                                </a:cubicBezTo>
                                <a:lnTo>
                                  <a:pt x="8" y="73"/>
                                </a:lnTo>
                                <a:close/>
                                <a:moveTo>
                                  <a:pt x="9" y="72"/>
                                </a:moveTo>
                                <a:lnTo>
                                  <a:pt x="9" y="72"/>
                                </a:lnTo>
                                <a:lnTo>
                                  <a:pt x="10" y="72"/>
                                </a:lnTo>
                                <a:lnTo>
                                  <a:pt x="9" y="72"/>
                                </a:lnTo>
                                <a:close/>
                                <a:moveTo>
                                  <a:pt x="10" y="72"/>
                                </a:moveTo>
                                <a:cubicBezTo>
                                  <a:pt x="15" y="77"/>
                                  <a:pt x="18" y="73"/>
                                  <a:pt x="18" y="73"/>
                                </a:cubicBezTo>
                                <a:lnTo>
                                  <a:pt x="19" y="73"/>
                                </a:lnTo>
                                <a:cubicBezTo>
                                  <a:pt x="19" y="73"/>
                                  <a:pt x="15" y="79"/>
                                  <a:pt x="9" y="73"/>
                                </a:cubicBezTo>
                                <a:lnTo>
                                  <a:pt x="10" y="72"/>
                                </a:lnTo>
                                <a:close/>
                                <a:moveTo>
                                  <a:pt x="19" y="73"/>
                                </a:moveTo>
                                <a:lnTo>
                                  <a:pt x="19" y="73"/>
                                </a:lnTo>
                                <a:lnTo>
                                  <a:pt x="19" y="73"/>
                                </a:lnTo>
                                <a:lnTo>
                                  <a:pt x="19" y="73"/>
                                </a:lnTo>
                                <a:close/>
                                <a:moveTo>
                                  <a:pt x="18" y="73"/>
                                </a:moveTo>
                                <a:cubicBezTo>
                                  <a:pt x="18" y="52"/>
                                  <a:pt x="32" y="53"/>
                                  <a:pt x="32" y="53"/>
                                </a:cubicBezTo>
                                <a:lnTo>
                                  <a:pt x="31" y="55"/>
                                </a:lnTo>
                                <a:cubicBezTo>
                                  <a:pt x="31" y="55"/>
                                  <a:pt x="19" y="54"/>
                                  <a:pt x="19" y="73"/>
                                </a:cubicBezTo>
                                <a:lnTo>
                                  <a:pt x="18" y="73"/>
                                </a:lnTo>
                                <a:close/>
                                <a:moveTo>
                                  <a:pt x="32" y="53"/>
                                </a:moveTo>
                                <a:lnTo>
                                  <a:pt x="33" y="54"/>
                                </a:lnTo>
                                <a:lnTo>
                                  <a:pt x="32" y="54"/>
                                </a:lnTo>
                                <a:lnTo>
                                  <a:pt x="32" y="54"/>
                                </a:lnTo>
                                <a:lnTo>
                                  <a:pt x="32" y="53"/>
                                </a:lnTo>
                                <a:close/>
                                <a:moveTo>
                                  <a:pt x="32" y="54"/>
                                </a:moveTo>
                                <a:cubicBezTo>
                                  <a:pt x="27" y="64"/>
                                  <a:pt x="33" y="73"/>
                                  <a:pt x="33" y="73"/>
                                </a:cubicBezTo>
                                <a:lnTo>
                                  <a:pt x="32" y="73"/>
                                </a:lnTo>
                                <a:cubicBezTo>
                                  <a:pt x="32" y="73"/>
                                  <a:pt x="26" y="64"/>
                                  <a:pt x="31" y="54"/>
                                </a:cubicBezTo>
                                <a:lnTo>
                                  <a:pt x="32" y="54"/>
                                </a:lnTo>
                                <a:close/>
                                <a:moveTo>
                                  <a:pt x="33" y="73"/>
                                </a:moveTo>
                                <a:lnTo>
                                  <a:pt x="33" y="73"/>
                                </a:lnTo>
                                <a:lnTo>
                                  <a:pt x="33" y="73"/>
                                </a:lnTo>
                                <a:lnTo>
                                  <a:pt x="32" y="73"/>
                                </a:lnTo>
                                <a:lnTo>
                                  <a:pt x="33" y="73"/>
                                </a:lnTo>
                                <a:close/>
                                <a:moveTo>
                                  <a:pt x="33" y="73"/>
                                </a:moveTo>
                                <a:cubicBezTo>
                                  <a:pt x="48" y="108"/>
                                  <a:pt x="26" y="125"/>
                                  <a:pt x="26" y="125"/>
                                </a:cubicBezTo>
                                <a:lnTo>
                                  <a:pt x="25" y="124"/>
                                </a:lnTo>
                                <a:cubicBezTo>
                                  <a:pt x="25" y="124"/>
                                  <a:pt x="46" y="108"/>
                                  <a:pt x="32" y="73"/>
                                </a:cubicBezTo>
                                <a:lnTo>
                                  <a:pt x="33" y="73"/>
                                </a:lnTo>
                                <a:close/>
                                <a:moveTo>
                                  <a:pt x="25" y="124"/>
                                </a:moveTo>
                                <a:lnTo>
                                  <a:pt x="25" y="124"/>
                                </a:lnTo>
                                <a:lnTo>
                                  <a:pt x="25" y="124"/>
                                </a:lnTo>
                                <a:lnTo>
                                  <a:pt x="25" y="124"/>
                                </a:lnTo>
                                <a:close/>
                                <a:moveTo>
                                  <a:pt x="26" y="124"/>
                                </a:moveTo>
                                <a:cubicBezTo>
                                  <a:pt x="24" y="127"/>
                                  <a:pt x="24" y="131"/>
                                  <a:pt x="24" y="131"/>
                                </a:cubicBezTo>
                                <a:lnTo>
                                  <a:pt x="23" y="131"/>
                                </a:lnTo>
                                <a:cubicBezTo>
                                  <a:pt x="23" y="131"/>
                                  <a:pt x="23" y="127"/>
                                  <a:pt x="25" y="124"/>
                                </a:cubicBezTo>
                                <a:lnTo>
                                  <a:pt x="26" y="124"/>
                                </a:lnTo>
                                <a:close/>
                                <a:moveTo>
                                  <a:pt x="24" y="131"/>
                                </a:moveTo>
                                <a:lnTo>
                                  <a:pt x="24" y="131"/>
                                </a:lnTo>
                                <a:lnTo>
                                  <a:pt x="24" y="131"/>
                                </a:lnTo>
                                <a:lnTo>
                                  <a:pt x="24" y="131"/>
                                </a:lnTo>
                                <a:close/>
                                <a:moveTo>
                                  <a:pt x="24" y="131"/>
                                </a:moveTo>
                                <a:cubicBezTo>
                                  <a:pt x="24" y="131"/>
                                  <a:pt x="24" y="131"/>
                                  <a:pt x="24" y="131"/>
                                </a:cubicBezTo>
                                <a:lnTo>
                                  <a:pt x="23" y="131"/>
                                </a:lnTo>
                                <a:cubicBezTo>
                                  <a:pt x="23" y="131"/>
                                  <a:pt x="23" y="131"/>
                                  <a:pt x="23" y="131"/>
                                </a:cubicBezTo>
                                <a:lnTo>
                                  <a:pt x="24" y="131"/>
                                </a:lnTo>
                                <a:close/>
                                <a:moveTo>
                                  <a:pt x="24" y="131"/>
                                </a:moveTo>
                                <a:lnTo>
                                  <a:pt x="24" y="131"/>
                                </a:lnTo>
                                <a:lnTo>
                                  <a:pt x="24" y="131"/>
                                </a:lnTo>
                                <a:close/>
                                <a:moveTo>
                                  <a:pt x="24" y="131"/>
                                </a:moveTo>
                                <a:cubicBezTo>
                                  <a:pt x="24" y="131"/>
                                  <a:pt x="24" y="131"/>
                                  <a:pt x="25" y="131"/>
                                </a:cubicBezTo>
                                <a:lnTo>
                                  <a:pt x="23" y="132"/>
                                </a:lnTo>
                                <a:cubicBezTo>
                                  <a:pt x="23" y="131"/>
                                  <a:pt x="23" y="131"/>
                                  <a:pt x="23" y="131"/>
                                </a:cubicBezTo>
                                <a:lnTo>
                                  <a:pt x="24" y="131"/>
                                </a:lnTo>
                                <a:close/>
                                <a:moveTo>
                                  <a:pt x="25" y="131"/>
                                </a:moveTo>
                                <a:cubicBezTo>
                                  <a:pt x="25" y="132"/>
                                  <a:pt x="25" y="132"/>
                                  <a:pt x="25" y="132"/>
                                </a:cubicBezTo>
                                <a:lnTo>
                                  <a:pt x="24" y="133"/>
                                </a:lnTo>
                                <a:cubicBezTo>
                                  <a:pt x="23" y="132"/>
                                  <a:pt x="23" y="132"/>
                                  <a:pt x="23" y="132"/>
                                </a:cubicBezTo>
                                <a:lnTo>
                                  <a:pt x="25" y="131"/>
                                </a:lnTo>
                                <a:close/>
                                <a:moveTo>
                                  <a:pt x="25" y="132"/>
                                </a:moveTo>
                                <a:cubicBezTo>
                                  <a:pt x="25" y="133"/>
                                  <a:pt x="26" y="134"/>
                                  <a:pt x="27" y="134"/>
                                </a:cubicBezTo>
                                <a:lnTo>
                                  <a:pt x="27" y="135"/>
                                </a:lnTo>
                                <a:cubicBezTo>
                                  <a:pt x="26" y="135"/>
                                  <a:pt x="24" y="134"/>
                                  <a:pt x="24" y="133"/>
                                </a:cubicBezTo>
                                <a:lnTo>
                                  <a:pt x="25" y="132"/>
                                </a:lnTo>
                                <a:close/>
                                <a:moveTo>
                                  <a:pt x="27" y="134"/>
                                </a:moveTo>
                                <a:cubicBezTo>
                                  <a:pt x="27" y="134"/>
                                  <a:pt x="27" y="134"/>
                                  <a:pt x="27" y="134"/>
                                </a:cubicBezTo>
                                <a:lnTo>
                                  <a:pt x="28" y="135"/>
                                </a:lnTo>
                                <a:cubicBezTo>
                                  <a:pt x="27" y="135"/>
                                  <a:pt x="27" y="135"/>
                                  <a:pt x="27" y="135"/>
                                </a:cubicBezTo>
                                <a:lnTo>
                                  <a:pt x="27" y="134"/>
                                </a:lnTo>
                                <a:close/>
                                <a:moveTo>
                                  <a:pt x="27" y="134"/>
                                </a:moveTo>
                                <a:cubicBezTo>
                                  <a:pt x="28" y="134"/>
                                  <a:pt x="28" y="134"/>
                                  <a:pt x="28" y="134"/>
                                </a:cubicBezTo>
                                <a:lnTo>
                                  <a:pt x="28" y="135"/>
                                </a:lnTo>
                                <a:cubicBezTo>
                                  <a:pt x="28" y="135"/>
                                  <a:pt x="28" y="135"/>
                                  <a:pt x="28" y="135"/>
                                </a:cubicBezTo>
                                <a:lnTo>
                                  <a:pt x="27" y="134"/>
                                </a:lnTo>
                                <a:close/>
                                <a:moveTo>
                                  <a:pt x="28" y="134"/>
                                </a:moveTo>
                                <a:cubicBezTo>
                                  <a:pt x="28" y="134"/>
                                  <a:pt x="29" y="134"/>
                                  <a:pt x="29" y="133"/>
                                </a:cubicBezTo>
                                <a:lnTo>
                                  <a:pt x="29" y="135"/>
                                </a:lnTo>
                                <a:cubicBezTo>
                                  <a:pt x="29" y="135"/>
                                  <a:pt x="29" y="135"/>
                                  <a:pt x="28" y="135"/>
                                </a:cubicBezTo>
                                <a:lnTo>
                                  <a:pt x="28" y="134"/>
                                </a:lnTo>
                                <a:close/>
                                <a:moveTo>
                                  <a:pt x="29" y="135"/>
                                </a:moveTo>
                                <a:lnTo>
                                  <a:pt x="29" y="135"/>
                                </a:lnTo>
                                <a:lnTo>
                                  <a:pt x="29" y="134"/>
                                </a:lnTo>
                                <a:lnTo>
                                  <a:pt x="29" y="135"/>
                                </a:lnTo>
                                <a:close/>
                                <a:moveTo>
                                  <a:pt x="29" y="133"/>
                                </a:moveTo>
                                <a:cubicBezTo>
                                  <a:pt x="30" y="133"/>
                                  <a:pt x="30" y="132"/>
                                  <a:pt x="30" y="130"/>
                                </a:cubicBezTo>
                                <a:lnTo>
                                  <a:pt x="32" y="131"/>
                                </a:lnTo>
                                <a:cubicBezTo>
                                  <a:pt x="32" y="132"/>
                                  <a:pt x="31" y="134"/>
                                  <a:pt x="29" y="135"/>
                                </a:cubicBezTo>
                                <a:lnTo>
                                  <a:pt x="29" y="133"/>
                                </a:lnTo>
                                <a:close/>
                                <a:moveTo>
                                  <a:pt x="30" y="130"/>
                                </a:moveTo>
                                <a:lnTo>
                                  <a:pt x="30" y="130"/>
                                </a:lnTo>
                                <a:lnTo>
                                  <a:pt x="30" y="130"/>
                                </a:lnTo>
                                <a:lnTo>
                                  <a:pt x="31" y="130"/>
                                </a:lnTo>
                                <a:lnTo>
                                  <a:pt x="30" y="130"/>
                                </a:lnTo>
                                <a:close/>
                                <a:moveTo>
                                  <a:pt x="30" y="130"/>
                                </a:moveTo>
                                <a:cubicBezTo>
                                  <a:pt x="31" y="128"/>
                                  <a:pt x="31" y="125"/>
                                  <a:pt x="31" y="125"/>
                                </a:cubicBezTo>
                                <a:lnTo>
                                  <a:pt x="32" y="125"/>
                                </a:lnTo>
                                <a:cubicBezTo>
                                  <a:pt x="32" y="125"/>
                                  <a:pt x="32" y="128"/>
                                  <a:pt x="32" y="131"/>
                                </a:cubicBezTo>
                                <a:lnTo>
                                  <a:pt x="30" y="130"/>
                                </a:lnTo>
                                <a:close/>
                                <a:moveTo>
                                  <a:pt x="31" y="125"/>
                                </a:moveTo>
                                <a:lnTo>
                                  <a:pt x="31" y="125"/>
                                </a:lnTo>
                                <a:lnTo>
                                  <a:pt x="32" y="125"/>
                                </a:lnTo>
                                <a:lnTo>
                                  <a:pt x="31" y="125"/>
                                </a:lnTo>
                                <a:close/>
                                <a:moveTo>
                                  <a:pt x="31" y="125"/>
                                </a:moveTo>
                                <a:cubicBezTo>
                                  <a:pt x="31" y="125"/>
                                  <a:pt x="31" y="125"/>
                                  <a:pt x="31" y="125"/>
                                </a:cubicBezTo>
                                <a:lnTo>
                                  <a:pt x="32" y="125"/>
                                </a:lnTo>
                                <a:cubicBezTo>
                                  <a:pt x="32" y="125"/>
                                  <a:pt x="32" y="125"/>
                                  <a:pt x="32" y="125"/>
                                </a:cubicBezTo>
                                <a:lnTo>
                                  <a:pt x="31" y="125"/>
                                </a:lnTo>
                                <a:close/>
                                <a:moveTo>
                                  <a:pt x="31" y="125"/>
                                </a:moveTo>
                                <a:cubicBezTo>
                                  <a:pt x="31" y="125"/>
                                  <a:pt x="31" y="124"/>
                                  <a:pt x="31" y="124"/>
                                </a:cubicBezTo>
                                <a:lnTo>
                                  <a:pt x="32" y="124"/>
                                </a:lnTo>
                                <a:cubicBezTo>
                                  <a:pt x="32" y="125"/>
                                  <a:pt x="32" y="125"/>
                                  <a:pt x="32" y="125"/>
                                </a:cubicBezTo>
                                <a:lnTo>
                                  <a:pt x="31" y="125"/>
                                </a:lnTo>
                                <a:close/>
                                <a:moveTo>
                                  <a:pt x="31" y="124"/>
                                </a:moveTo>
                                <a:cubicBezTo>
                                  <a:pt x="31" y="124"/>
                                  <a:pt x="31" y="123"/>
                                  <a:pt x="32" y="123"/>
                                </a:cubicBezTo>
                                <a:lnTo>
                                  <a:pt x="33" y="124"/>
                                </a:lnTo>
                                <a:cubicBezTo>
                                  <a:pt x="33" y="124"/>
                                  <a:pt x="33" y="124"/>
                                  <a:pt x="32" y="124"/>
                                </a:cubicBezTo>
                                <a:lnTo>
                                  <a:pt x="31" y="124"/>
                                </a:lnTo>
                                <a:close/>
                                <a:moveTo>
                                  <a:pt x="32" y="123"/>
                                </a:moveTo>
                                <a:cubicBezTo>
                                  <a:pt x="32" y="122"/>
                                  <a:pt x="34" y="121"/>
                                  <a:pt x="35" y="121"/>
                                </a:cubicBezTo>
                                <a:lnTo>
                                  <a:pt x="35" y="122"/>
                                </a:lnTo>
                                <a:cubicBezTo>
                                  <a:pt x="34" y="122"/>
                                  <a:pt x="33" y="123"/>
                                  <a:pt x="33" y="124"/>
                                </a:cubicBezTo>
                                <a:lnTo>
                                  <a:pt x="32" y="123"/>
                                </a:lnTo>
                                <a:close/>
                                <a:moveTo>
                                  <a:pt x="35" y="121"/>
                                </a:moveTo>
                                <a:lnTo>
                                  <a:pt x="35" y="121"/>
                                </a:lnTo>
                                <a:lnTo>
                                  <a:pt x="35" y="122"/>
                                </a:lnTo>
                                <a:lnTo>
                                  <a:pt x="35" y="122"/>
                                </a:lnTo>
                                <a:lnTo>
                                  <a:pt x="35" y="121"/>
                                </a:lnTo>
                                <a:close/>
                                <a:moveTo>
                                  <a:pt x="35" y="121"/>
                                </a:moveTo>
                                <a:cubicBezTo>
                                  <a:pt x="36" y="121"/>
                                  <a:pt x="36" y="121"/>
                                  <a:pt x="37" y="121"/>
                                </a:cubicBezTo>
                                <a:lnTo>
                                  <a:pt x="36" y="122"/>
                                </a:lnTo>
                                <a:cubicBezTo>
                                  <a:pt x="36" y="122"/>
                                  <a:pt x="35" y="122"/>
                                  <a:pt x="35" y="122"/>
                                </a:cubicBezTo>
                                <a:lnTo>
                                  <a:pt x="35" y="121"/>
                                </a:lnTo>
                                <a:close/>
                                <a:moveTo>
                                  <a:pt x="37" y="121"/>
                                </a:moveTo>
                                <a:cubicBezTo>
                                  <a:pt x="37" y="121"/>
                                  <a:pt x="37" y="121"/>
                                  <a:pt x="37" y="121"/>
                                </a:cubicBezTo>
                                <a:lnTo>
                                  <a:pt x="36" y="122"/>
                                </a:lnTo>
                                <a:cubicBezTo>
                                  <a:pt x="36" y="122"/>
                                  <a:pt x="36" y="122"/>
                                  <a:pt x="36" y="122"/>
                                </a:cubicBezTo>
                                <a:lnTo>
                                  <a:pt x="37" y="121"/>
                                </a:lnTo>
                                <a:close/>
                                <a:moveTo>
                                  <a:pt x="37" y="121"/>
                                </a:moveTo>
                                <a:cubicBezTo>
                                  <a:pt x="38" y="122"/>
                                  <a:pt x="38" y="122"/>
                                  <a:pt x="38" y="123"/>
                                </a:cubicBezTo>
                                <a:lnTo>
                                  <a:pt x="37" y="124"/>
                                </a:lnTo>
                                <a:cubicBezTo>
                                  <a:pt x="37" y="123"/>
                                  <a:pt x="37" y="123"/>
                                  <a:pt x="36" y="122"/>
                                </a:cubicBezTo>
                                <a:lnTo>
                                  <a:pt x="37" y="121"/>
                                </a:lnTo>
                                <a:close/>
                              </a:path>
                            </a:pathLst>
                          </a:custGeom>
                          <a:solidFill>
                            <a:srgbClr val="24211D"/>
                          </a:solidFill>
                          <a:ln w="9525">
                            <a:noFill/>
                            <a:round/>
                            <a:headEnd/>
                            <a:tailEnd/>
                          </a:ln>
                        </wps:spPr>
                        <wps:bodyPr/>
                      </wps:wsp>
                      <wps:wsp>
                        <wps:cNvPr id="27" name="Freeform 26"/>
                        <wps:cNvSpPr>
                          <a:spLocks noEditPoints="1"/>
                        </wps:cNvSpPr>
                        <wps:spPr bwMode="auto">
                          <a:xfrm>
                            <a:off x="63" y="444"/>
                            <a:ext cx="18" cy="27"/>
                          </a:xfrm>
                          <a:custGeom>
                            <a:avLst/>
                            <a:gdLst/>
                            <a:ahLst/>
                            <a:cxnLst>
                              <a:cxn ang="0">
                                <a:pos x="10" y="32"/>
                              </a:cxn>
                              <a:cxn ang="0">
                                <a:pos x="12" y="11"/>
                              </a:cxn>
                              <a:cxn ang="0">
                                <a:pos x="13" y="11"/>
                              </a:cxn>
                              <a:cxn ang="0">
                                <a:pos x="11" y="33"/>
                              </a:cxn>
                              <a:cxn ang="0">
                                <a:pos x="10" y="32"/>
                              </a:cxn>
                              <a:cxn ang="0">
                                <a:pos x="12" y="11"/>
                              </a:cxn>
                              <a:cxn ang="0">
                                <a:pos x="12" y="11"/>
                              </a:cxn>
                              <a:cxn ang="0">
                                <a:pos x="12" y="11"/>
                              </a:cxn>
                              <a:cxn ang="0">
                                <a:pos x="12" y="11"/>
                              </a:cxn>
                              <a:cxn ang="0">
                                <a:pos x="12" y="11"/>
                              </a:cxn>
                              <a:cxn ang="0">
                                <a:pos x="10" y="4"/>
                              </a:cxn>
                              <a:cxn ang="0">
                                <a:pos x="11" y="3"/>
                              </a:cxn>
                              <a:cxn ang="0">
                                <a:pos x="13" y="11"/>
                              </a:cxn>
                              <a:cxn ang="0">
                                <a:pos x="12" y="11"/>
                              </a:cxn>
                              <a:cxn ang="0">
                                <a:pos x="11" y="3"/>
                              </a:cxn>
                              <a:cxn ang="0">
                                <a:pos x="11" y="3"/>
                              </a:cxn>
                              <a:cxn ang="0">
                                <a:pos x="11" y="3"/>
                              </a:cxn>
                              <a:cxn ang="0">
                                <a:pos x="11" y="4"/>
                              </a:cxn>
                              <a:cxn ang="0">
                                <a:pos x="11" y="3"/>
                              </a:cxn>
                              <a:cxn ang="0">
                                <a:pos x="10" y="4"/>
                              </a:cxn>
                              <a:cxn ang="0">
                                <a:pos x="2" y="10"/>
                              </a:cxn>
                              <a:cxn ang="0">
                                <a:pos x="1" y="10"/>
                              </a:cxn>
                              <a:cxn ang="0">
                                <a:pos x="11" y="3"/>
                              </a:cxn>
                              <a:cxn ang="0">
                                <a:pos x="10" y="4"/>
                              </a:cxn>
                              <a:cxn ang="0">
                                <a:pos x="2" y="10"/>
                              </a:cxn>
                              <a:cxn ang="0">
                                <a:pos x="1" y="10"/>
                              </a:cxn>
                              <a:cxn ang="0">
                                <a:pos x="1" y="10"/>
                              </a:cxn>
                              <a:cxn ang="0">
                                <a:pos x="2" y="10"/>
                              </a:cxn>
                              <a:cxn ang="0">
                                <a:pos x="1" y="10"/>
                              </a:cxn>
                              <a:cxn ang="0">
                                <a:pos x="0" y="5"/>
                              </a:cxn>
                              <a:cxn ang="0">
                                <a:pos x="1" y="4"/>
                              </a:cxn>
                              <a:cxn ang="0">
                                <a:pos x="2" y="10"/>
                              </a:cxn>
                              <a:cxn ang="0">
                                <a:pos x="1" y="10"/>
                              </a:cxn>
                            </a:cxnLst>
                            <a:rect l="0" t="0" r="r" b="b"/>
                            <a:pathLst>
                              <a:path w="22" h="33">
                                <a:moveTo>
                                  <a:pt x="10" y="32"/>
                                </a:moveTo>
                                <a:cubicBezTo>
                                  <a:pt x="10" y="32"/>
                                  <a:pt x="20" y="22"/>
                                  <a:pt x="12" y="11"/>
                                </a:cubicBezTo>
                                <a:lnTo>
                                  <a:pt x="13" y="11"/>
                                </a:lnTo>
                                <a:cubicBezTo>
                                  <a:pt x="22" y="22"/>
                                  <a:pt x="11" y="33"/>
                                  <a:pt x="11" y="33"/>
                                </a:cubicBezTo>
                                <a:lnTo>
                                  <a:pt x="10" y="32"/>
                                </a:lnTo>
                                <a:close/>
                                <a:moveTo>
                                  <a:pt x="12" y="11"/>
                                </a:moveTo>
                                <a:lnTo>
                                  <a:pt x="12" y="11"/>
                                </a:lnTo>
                                <a:lnTo>
                                  <a:pt x="12" y="11"/>
                                </a:lnTo>
                                <a:lnTo>
                                  <a:pt x="12" y="11"/>
                                </a:lnTo>
                                <a:close/>
                                <a:moveTo>
                                  <a:pt x="12" y="11"/>
                                </a:moveTo>
                                <a:cubicBezTo>
                                  <a:pt x="12" y="11"/>
                                  <a:pt x="12" y="6"/>
                                  <a:pt x="10" y="4"/>
                                </a:cubicBezTo>
                                <a:lnTo>
                                  <a:pt x="11" y="3"/>
                                </a:lnTo>
                                <a:cubicBezTo>
                                  <a:pt x="13" y="5"/>
                                  <a:pt x="13" y="11"/>
                                  <a:pt x="13" y="11"/>
                                </a:cubicBezTo>
                                <a:lnTo>
                                  <a:pt x="12" y="11"/>
                                </a:lnTo>
                                <a:close/>
                                <a:moveTo>
                                  <a:pt x="11" y="3"/>
                                </a:moveTo>
                                <a:lnTo>
                                  <a:pt x="11" y="3"/>
                                </a:lnTo>
                                <a:lnTo>
                                  <a:pt x="11" y="3"/>
                                </a:lnTo>
                                <a:lnTo>
                                  <a:pt x="11" y="4"/>
                                </a:lnTo>
                                <a:lnTo>
                                  <a:pt x="11" y="3"/>
                                </a:lnTo>
                                <a:close/>
                                <a:moveTo>
                                  <a:pt x="10" y="4"/>
                                </a:moveTo>
                                <a:cubicBezTo>
                                  <a:pt x="10" y="4"/>
                                  <a:pt x="5" y="2"/>
                                  <a:pt x="2" y="10"/>
                                </a:cubicBezTo>
                                <a:lnTo>
                                  <a:pt x="1" y="10"/>
                                </a:lnTo>
                                <a:cubicBezTo>
                                  <a:pt x="4" y="0"/>
                                  <a:pt x="11" y="3"/>
                                  <a:pt x="11" y="3"/>
                                </a:cubicBezTo>
                                <a:lnTo>
                                  <a:pt x="10" y="4"/>
                                </a:lnTo>
                                <a:close/>
                                <a:moveTo>
                                  <a:pt x="2" y="10"/>
                                </a:moveTo>
                                <a:lnTo>
                                  <a:pt x="1" y="10"/>
                                </a:lnTo>
                                <a:lnTo>
                                  <a:pt x="1" y="10"/>
                                </a:lnTo>
                                <a:lnTo>
                                  <a:pt x="2" y="10"/>
                                </a:lnTo>
                                <a:close/>
                                <a:moveTo>
                                  <a:pt x="1" y="10"/>
                                </a:moveTo>
                                <a:cubicBezTo>
                                  <a:pt x="1" y="10"/>
                                  <a:pt x="2" y="7"/>
                                  <a:pt x="0" y="5"/>
                                </a:cubicBezTo>
                                <a:lnTo>
                                  <a:pt x="1" y="4"/>
                                </a:lnTo>
                                <a:cubicBezTo>
                                  <a:pt x="3" y="7"/>
                                  <a:pt x="2" y="10"/>
                                  <a:pt x="2" y="10"/>
                                </a:cubicBezTo>
                                <a:lnTo>
                                  <a:pt x="1" y="10"/>
                                </a:lnTo>
                                <a:close/>
                              </a:path>
                            </a:pathLst>
                          </a:custGeom>
                          <a:solidFill>
                            <a:srgbClr val="24211D"/>
                          </a:solidFill>
                          <a:ln w="9525">
                            <a:noFill/>
                            <a:round/>
                            <a:headEnd/>
                            <a:tailEnd/>
                          </a:ln>
                        </wps:spPr>
                        <wps:bodyPr/>
                      </wps:wsp>
                      <wps:wsp>
                        <wps:cNvPr id="28" name="Freeform 27"/>
                        <wps:cNvSpPr>
                          <a:spLocks noEditPoints="1"/>
                        </wps:cNvSpPr>
                        <wps:spPr bwMode="auto">
                          <a:xfrm>
                            <a:off x="39" y="346"/>
                            <a:ext cx="4" cy="3"/>
                          </a:xfrm>
                          <a:custGeom>
                            <a:avLst/>
                            <a:gdLst/>
                            <a:ahLst/>
                            <a:cxnLst>
                              <a:cxn ang="0">
                                <a:pos x="6" y="1"/>
                              </a:cxn>
                              <a:cxn ang="0">
                                <a:pos x="5" y="1"/>
                              </a:cxn>
                              <a:cxn ang="0">
                                <a:pos x="5" y="0"/>
                              </a:cxn>
                              <a:cxn ang="0">
                                <a:pos x="6" y="0"/>
                              </a:cxn>
                              <a:cxn ang="0">
                                <a:pos x="6" y="1"/>
                              </a:cxn>
                              <a:cxn ang="0">
                                <a:pos x="5" y="1"/>
                              </a:cxn>
                              <a:cxn ang="0">
                                <a:pos x="1" y="3"/>
                              </a:cxn>
                              <a:cxn ang="0">
                                <a:pos x="0" y="3"/>
                              </a:cxn>
                              <a:cxn ang="0">
                                <a:pos x="5" y="0"/>
                              </a:cxn>
                              <a:cxn ang="0">
                                <a:pos x="5" y="1"/>
                              </a:cxn>
                            </a:cxnLst>
                            <a:rect l="0" t="0" r="r" b="b"/>
                            <a:pathLst>
                              <a:path w="6" h="3">
                                <a:moveTo>
                                  <a:pt x="6" y="1"/>
                                </a:moveTo>
                                <a:cubicBezTo>
                                  <a:pt x="6" y="1"/>
                                  <a:pt x="5" y="1"/>
                                  <a:pt x="5" y="1"/>
                                </a:cubicBezTo>
                                <a:lnTo>
                                  <a:pt x="5" y="0"/>
                                </a:lnTo>
                                <a:cubicBezTo>
                                  <a:pt x="5" y="0"/>
                                  <a:pt x="5" y="0"/>
                                  <a:pt x="6" y="0"/>
                                </a:cubicBezTo>
                                <a:lnTo>
                                  <a:pt x="6" y="1"/>
                                </a:lnTo>
                                <a:close/>
                                <a:moveTo>
                                  <a:pt x="5" y="1"/>
                                </a:moveTo>
                                <a:cubicBezTo>
                                  <a:pt x="4" y="1"/>
                                  <a:pt x="2" y="2"/>
                                  <a:pt x="1" y="3"/>
                                </a:cubicBezTo>
                                <a:lnTo>
                                  <a:pt x="0" y="3"/>
                                </a:lnTo>
                                <a:cubicBezTo>
                                  <a:pt x="1" y="0"/>
                                  <a:pt x="3" y="0"/>
                                  <a:pt x="5" y="0"/>
                                </a:cubicBezTo>
                                <a:lnTo>
                                  <a:pt x="5" y="1"/>
                                </a:lnTo>
                                <a:close/>
                              </a:path>
                            </a:pathLst>
                          </a:custGeom>
                          <a:solidFill>
                            <a:srgbClr val="24211D"/>
                          </a:solidFill>
                          <a:ln w="9525">
                            <a:noFill/>
                            <a:round/>
                            <a:headEnd/>
                            <a:tailEnd/>
                          </a:ln>
                        </wps:spPr>
                        <wps:bodyPr/>
                      </wps:wsp>
                      <wps:wsp>
                        <wps:cNvPr id="29" name="Freeform 28"/>
                        <wps:cNvSpPr>
                          <a:spLocks noEditPoints="1"/>
                        </wps:cNvSpPr>
                        <wps:spPr bwMode="auto">
                          <a:xfrm>
                            <a:off x="34" y="325"/>
                            <a:ext cx="25" cy="18"/>
                          </a:xfrm>
                          <a:custGeom>
                            <a:avLst/>
                            <a:gdLst/>
                            <a:ahLst/>
                            <a:cxnLst>
                              <a:cxn ang="0">
                                <a:pos x="31" y="8"/>
                              </a:cxn>
                              <a:cxn ang="0">
                                <a:pos x="0" y="3"/>
                              </a:cxn>
                              <a:cxn ang="0">
                                <a:pos x="1" y="2"/>
                              </a:cxn>
                              <a:cxn ang="0">
                                <a:pos x="30" y="7"/>
                              </a:cxn>
                              <a:cxn ang="0">
                                <a:pos x="31" y="8"/>
                              </a:cxn>
                              <a:cxn ang="0">
                                <a:pos x="0" y="3"/>
                              </a:cxn>
                              <a:cxn ang="0">
                                <a:pos x="0" y="2"/>
                              </a:cxn>
                              <a:cxn ang="0">
                                <a:pos x="0" y="2"/>
                              </a:cxn>
                              <a:cxn ang="0">
                                <a:pos x="0" y="2"/>
                              </a:cxn>
                              <a:cxn ang="0">
                                <a:pos x="0" y="3"/>
                              </a:cxn>
                              <a:cxn ang="0">
                                <a:pos x="0" y="2"/>
                              </a:cxn>
                              <a:cxn ang="0">
                                <a:pos x="1" y="1"/>
                              </a:cxn>
                              <a:cxn ang="0">
                                <a:pos x="1" y="2"/>
                              </a:cxn>
                              <a:cxn ang="0">
                                <a:pos x="1" y="3"/>
                              </a:cxn>
                              <a:cxn ang="0">
                                <a:pos x="0" y="2"/>
                              </a:cxn>
                              <a:cxn ang="0">
                                <a:pos x="1" y="1"/>
                              </a:cxn>
                              <a:cxn ang="0">
                                <a:pos x="19" y="4"/>
                              </a:cxn>
                              <a:cxn ang="0">
                                <a:pos x="19" y="5"/>
                              </a:cxn>
                              <a:cxn ang="0">
                                <a:pos x="1" y="2"/>
                              </a:cxn>
                              <a:cxn ang="0">
                                <a:pos x="1" y="1"/>
                              </a:cxn>
                            </a:cxnLst>
                            <a:rect l="0" t="0" r="r" b="b"/>
                            <a:pathLst>
                              <a:path w="31" h="22">
                                <a:moveTo>
                                  <a:pt x="31" y="8"/>
                                </a:moveTo>
                                <a:cubicBezTo>
                                  <a:pt x="31" y="8"/>
                                  <a:pt x="13" y="22"/>
                                  <a:pt x="0" y="3"/>
                                </a:cubicBezTo>
                                <a:lnTo>
                                  <a:pt x="1" y="2"/>
                                </a:lnTo>
                                <a:cubicBezTo>
                                  <a:pt x="13" y="21"/>
                                  <a:pt x="30" y="7"/>
                                  <a:pt x="30" y="7"/>
                                </a:cubicBezTo>
                                <a:lnTo>
                                  <a:pt x="31" y="8"/>
                                </a:lnTo>
                                <a:close/>
                                <a:moveTo>
                                  <a:pt x="0" y="3"/>
                                </a:moveTo>
                                <a:lnTo>
                                  <a:pt x="0" y="2"/>
                                </a:lnTo>
                                <a:lnTo>
                                  <a:pt x="0" y="2"/>
                                </a:lnTo>
                                <a:lnTo>
                                  <a:pt x="0" y="2"/>
                                </a:lnTo>
                                <a:lnTo>
                                  <a:pt x="0" y="3"/>
                                </a:lnTo>
                                <a:close/>
                                <a:moveTo>
                                  <a:pt x="0" y="2"/>
                                </a:moveTo>
                                <a:cubicBezTo>
                                  <a:pt x="0" y="0"/>
                                  <a:pt x="1" y="1"/>
                                  <a:pt x="1" y="1"/>
                                </a:cubicBezTo>
                                <a:lnTo>
                                  <a:pt x="1" y="2"/>
                                </a:lnTo>
                                <a:cubicBezTo>
                                  <a:pt x="1" y="2"/>
                                  <a:pt x="1" y="2"/>
                                  <a:pt x="1" y="3"/>
                                </a:cubicBezTo>
                                <a:lnTo>
                                  <a:pt x="0" y="2"/>
                                </a:lnTo>
                                <a:close/>
                                <a:moveTo>
                                  <a:pt x="1" y="1"/>
                                </a:moveTo>
                                <a:cubicBezTo>
                                  <a:pt x="7" y="7"/>
                                  <a:pt x="19" y="4"/>
                                  <a:pt x="19" y="4"/>
                                </a:cubicBezTo>
                                <a:lnTo>
                                  <a:pt x="19" y="5"/>
                                </a:lnTo>
                                <a:cubicBezTo>
                                  <a:pt x="19" y="5"/>
                                  <a:pt x="6" y="8"/>
                                  <a:pt x="1" y="2"/>
                                </a:cubicBezTo>
                                <a:lnTo>
                                  <a:pt x="1" y="1"/>
                                </a:lnTo>
                                <a:close/>
                              </a:path>
                            </a:pathLst>
                          </a:custGeom>
                          <a:solidFill>
                            <a:srgbClr val="24211D"/>
                          </a:solidFill>
                          <a:ln w="9525">
                            <a:noFill/>
                            <a:round/>
                            <a:headEnd/>
                            <a:tailEnd/>
                          </a:ln>
                        </wps:spPr>
                        <wps:bodyPr/>
                      </wps:wsp>
                      <wps:wsp>
                        <wps:cNvPr id="30" name="Freeform 29"/>
                        <wps:cNvSpPr>
                          <a:spLocks noEditPoints="1"/>
                        </wps:cNvSpPr>
                        <wps:spPr bwMode="auto">
                          <a:xfrm>
                            <a:off x="10" y="275"/>
                            <a:ext cx="11" cy="15"/>
                          </a:xfrm>
                          <a:custGeom>
                            <a:avLst/>
                            <a:gdLst/>
                            <a:ahLst/>
                            <a:cxnLst>
                              <a:cxn ang="0">
                                <a:pos x="5" y="19"/>
                              </a:cxn>
                              <a:cxn ang="0">
                                <a:pos x="6" y="18"/>
                              </a:cxn>
                              <a:cxn ang="0">
                                <a:pos x="6" y="18"/>
                              </a:cxn>
                              <a:cxn ang="0">
                                <a:pos x="6" y="18"/>
                              </a:cxn>
                              <a:cxn ang="0">
                                <a:pos x="4" y="18"/>
                              </a:cxn>
                              <a:cxn ang="0">
                                <a:pos x="6" y="18"/>
                              </a:cxn>
                              <a:cxn ang="0">
                                <a:pos x="4" y="18"/>
                              </a:cxn>
                              <a:cxn ang="0">
                                <a:pos x="4" y="16"/>
                              </a:cxn>
                              <a:cxn ang="0">
                                <a:pos x="4" y="18"/>
                              </a:cxn>
                              <a:cxn ang="0">
                                <a:pos x="0" y="9"/>
                              </a:cxn>
                              <a:cxn ang="0">
                                <a:pos x="4" y="16"/>
                              </a:cxn>
                              <a:cxn ang="0">
                                <a:pos x="0" y="9"/>
                              </a:cxn>
                              <a:cxn ang="0">
                                <a:pos x="1" y="9"/>
                              </a:cxn>
                              <a:cxn ang="0">
                                <a:pos x="0" y="9"/>
                              </a:cxn>
                              <a:cxn ang="0">
                                <a:pos x="0" y="7"/>
                              </a:cxn>
                              <a:cxn ang="0">
                                <a:pos x="1" y="9"/>
                              </a:cxn>
                              <a:cxn ang="0">
                                <a:pos x="0" y="7"/>
                              </a:cxn>
                              <a:cxn ang="0">
                                <a:pos x="1" y="7"/>
                              </a:cxn>
                              <a:cxn ang="0">
                                <a:pos x="0" y="7"/>
                              </a:cxn>
                              <a:cxn ang="0">
                                <a:pos x="0" y="5"/>
                              </a:cxn>
                              <a:cxn ang="0">
                                <a:pos x="1" y="7"/>
                              </a:cxn>
                              <a:cxn ang="0">
                                <a:pos x="1" y="5"/>
                              </a:cxn>
                              <a:cxn ang="0">
                                <a:pos x="1" y="5"/>
                              </a:cxn>
                              <a:cxn ang="0">
                                <a:pos x="0" y="5"/>
                              </a:cxn>
                              <a:cxn ang="0">
                                <a:pos x="1" y="5"/>
                              </a:cxn>
                              <a:cxn ang="0">
                                <a:pos x="0" y="5"/>
                              </a:cxn>
                              <a:cxn ang="0">
                                <a:pos x="1" y="5"/>
                              </a:cxn>
                              <a:cxn ang="0">
                                <a:pos x="0" y="5"/>
                              </a:cxn>
                              <a:cxn ang="0">
                                <a:pos x="2" y="4"/>
                              </a:cxn>
                              <a:cxn ang="0">
                                <a:pos x="0" y="5"/>
                              </a:cxn>
                              <a:cxn ang="0">
                                <a:pos x="1" y="3"/>
                              </a:cxn>
                              <a:cxn ang="0">
                                <a:pos x="2" y="4"/>
                              </a:cxn>
                              <a:cxn ang="0">
                                <a:pos x="1" y="3"/>
                              </a:cxn>
                              <a:cxn ang="0">
                                <a:pos x="2" y="3"/>
                              </a:cxn>
                              <a:cxn ang="0">
                                <a:pos x="1" y="3"/>
                              </a:cxn>
                              <a:cxn ang="0">
                                <a:pos x="7" y="1"/>
                              </a:cxn>
                              <a:cxn ang="0">
                                <a:pos x="1" y="3"/>
                              </a:cxn>
                              <a:cxn ang="0">
                                <a:pos x="7" y="0"/>
                              </a:cxn>
                              <a:cxn ang="0">
                                <a:pos x="7" y="1"/>
                              </a:cxn>
                              <a:cxn ang="0">
                                <a:pos x="7" y="0"/>
                              </a:cxn>
                              <a:cxn ang="0">
                                <a:pos x="11" y="3"/>
                              </a:cxn>
                              <a:cxn ang="0">
                                <a:pos x="7" y="0"/>
                              </a:cxn>
                              <a:cxn ang="0">
                                <a:pos x="14" y="6"/>
                              </a:cxn>
                              <a:cxn ang="0">
                                <a:pos x="11" y="3"/>
                              </a:cxn>
                              <a:cxn ang="0">
                                <a:pos x="14" y="6"/>
                              </a:cxn>
                              <a:cxn ang="0">
                                <a:pos x="13" y="6"/>
                              </a:cxn>
                              <a:cxn ang="0">
                                <a:pos x="14" y="6"/>
                              </a:cxn>
                              <a:cxn ang="0">
                                <a:pos x="14" y="6"/>
                              </a:cxn>
                              <a:cxn ang="0">
                                <a:pos x="13" y="6"/>
                              </a:cxn>
                              <a:cxn ang="0">
                                <a:pos x="14" y="6"/>
                              </a:cxn>
                              <a:cxn ang="0">
                                <a:pos x="12" y="8"/>
                              </a:cxn>
                              <a:cxn ang="0">
                                <a:pos x="14" y="6"/>
                              </a:cxn>
                              <a:cxn ang="0">
                                <a:pos x="13" y="9"/>
                              </a:cxn>
                              <a:cxn ang="0">
                                <a:pos x="12" y="8"/>
                              </a:cxn>
                              <a:cxn ang="0">
                                <a:pos x="12" y="8"/>
                              </a:cxn>
                              <a:cxn ang="0">
                                <a:pos x="13" y="8"/>
                              </a:cxn>
                              <a:cxn ang="0">
                                <a:pos x="13" y="9"/>
                              </a:cxn>
                              <a:cxn ang="0">
                                <a:pos x="12" y="9"/>
                              </a:cxn>
                              <a:cxn ang="0">
                                <a:pos x="13" y="9"/>
                              </a:cxn>
                            </a:cxnLst>
                            <a:rect l="0" t="0" r="r" b="b"/>
                            <a:pathLst>
                              <a:path w="14" h="19">
                                <a:moveTo>
                                  <a:pt x="5" y="19"/>
                                </a:moveTo>
                                <a:cubicBezTo>
                                  <a:pt x="5" y="19"/>
                                  <a:pt x="5" y="19"/>
                                  <a:pt x="5" y="19"/>
                                </a:cubicBezTo>
                                <a:lnTo>
                                  <a:pt x="6" y="18"/>
                                </a:lnTo>
                                <a:cubicBezTo>
                                  <a:pt x="6" y="18"/>
                                  <a:pt x="6" y="18"/>
                                  <a:pt x="6" y="18"/>
                                </a:cubicBezTo>
                                <a:lnTo>
                                  <a:pt x="5" y="19"/>
                                </a:lnTo>
                                <a:close/>
                                <a:moveTo>
                                  <a:pt x="6" y="18"/>
                                </a:moveTo>
                                <a:lnTo>
                                  <a:pt x="6" y="18"/>
                                </a:lnTo>
                                <a:lnTo>
                                  <a:pt x="6" y="18"/>
                                </a:lnTo>
                                <a:close/>
                                <a:moveTo>
                                  <a:pt x="5" y="19"/>
                                </a:moveTo>
                                <a:cubicBezTo>
                                  <a:pt x="5" y="19"/>
                                  <a:pt x="4" y="18"/>
                                  <a:pt x="4" y="18"/>
                                </a:cubicBezTo>
                                <a:lnTo>
                                  <a:pt x="5" y="17"/>
                                </a:lnTo>
                                <a:cubicBezTo>
                                  <a:pt x="5" y="17"/>
                                  <a:pt x="5" y="17"/>
                                  <a:pt x="6" y="18"/>
                                </a:cubicBezTo>
                                <a:lnTo>
                                  <a:pt x="5" y="19"/>
                                </a:lnTo>
                                <a:close/>
                                <a:moveTo>
                                  <a:pt x="4" y="18"/>
                                </a:moveTo>
                                <a:cubicBezTo>
                                  <a:pt x="4" y="18"/>
                                  <a:pt x="3" y="18"/>
                                  <a:pt x="3" y="17"/>
                                </a:cubicBezTo>
                                <a:lnTo>
                                  <a:pt x="4" y="16"/>
                                </a:lnTo>
                                <a:cubicBezTo>
                                  <a:pt x="4" y="17"/>
                                  <a:pt x="4" y="17"/>
                                  <a:pt x="5" y="17"/>
                                </a:cubicBezTo>
                                <a:lnTo>
                                  <a:pt x="4" y="18"/>
                                </a:lnTo>
                                <a:close/>
                                <a:moveTo>
                                  <a:pt x="3" y="17"/>
                                </a:moveTo>
                                <a:cubicBezTo>
                                  <a:pt x="1" y="15"/>
                                  <a:pt x="0" y="12"/>
                                  <a:pt x="0" y="9"/>
                                </a:cubicBezTo>
                                <a:lnTo>
                                  <a:pt x="1" y="9"/>
                                </a:lnTo>
                                <a:cubicBezTo>
                                  <a:pt x="1" y="12"/>
                                  <a:pt x="2" y="15"/>
                                  <a:pt x="4" y="16"/>
                                </a:cubicBezTo>
                                <a:lnTo>
                                  <a:pt x="3" y="17"/>
                                </a:lnTo>
                                <a:close/>
                                <a:moveTo>
                                  <a:pt x="0" y="9"/>
                                </a:moveTo>
                                <a:lnTo>
                                  <a:pt x="0" y="9"/>
                                </a:lnTo>
                                <a:lnTo>
                                  <a:pt x="1" y="9"/>
                                </a:lnTo>
                                <a:lnTo>
                                  <a:pt x="1" y="9"/>
                                </a:lnTo>
                                <a:lnTo>
                                  <a:pt x="0" y="9"/>
                                </a:lnTo>
                                <a:close/>
                                <a:moveTo>
                                  <a:pt x="0" y="9"/>
                                </a:moveTo>
                                <a:cubicBezTo>
                                  <a:pt x="0" y="8"/>
                                  <a:pt x="0" y="8"/>
                                  <a:pt x="0" y="7"/>
                                </a:cubicBezTo>
                                <a:lnTo>
                                  <a:pt x="1" y="7"/>
                                </a:lnTo>
                                <a:cubicBezTo>
                                  <a:pt x="1" y="8"/>
                                  <a:pt x="1" y="8"/>
                                  <a:pt x="1" y="9"/>
                                </a:cubicBezTo>
                                <a:lnTo>
                                  <a:pt x="0" y="9"/>
                                </a:lnTo>
                                <a:close/>
                                <a:moveTo>
                                  <a:pt x="0" y="7"/>
                                </a:moveTo>
                                <a:cubicBezTo>
                                  <a:pt x="0" y="7"/>
                                  <a:pt x="0" y="7"/>
                                  <a:pt x="0" y="7"/>
                                </a:cubicBezTo>
                                <a:lnTo>
                                  <a:pt x="1" y="7"/>
                                </a:lnTo>
                                <a:cubicBezTo>
                                  <a:pt x="1" y="7"/>
                                  <a:pt x="1" y="7"/>
                                  <a:pt x="1" y="7"/>
                                </a:cubicBezTo>
                                <a:lnTo>
                                  <a:pt x="0" y="7"/>
                                </a:lnTo>
                                <a:close/>
                                <a:moveTo>
                                  <a:pt x="0" y="7"/>
                                </a:moveTo>
                                <a:cubicBezTo>
                                  <a:pt x="0" y="6"/>
                                  <a:pt x="0" y="6"/>
                                  <a:pt x="0" y="5"/>
                                </a:cubicBezTo>
                                <a:lnTo>
                                  <a:pt x="1" y="5"/>
                                </a:lnTo>
                                <a:cubicBezTo>
                                  <a:pt x="1" y="6"/>
                                  <a:pt x="1" y="6"/>
                                  <a:pt x="1" y="7"/>
                                </a:cubicBezTo>
                                <a:lnTo>
                                  <a:pt x="0" y="7"/>
                                </a:lnTo>
                                <a:close/>
                                <a:moveTo>
                                  <a:pt x="1" y="5"/>
                                </a:moveTo>
                                <a:lnTo>
                                  <a:pt x="1" y="5"/>
                                </a:lnTo>
                                <a:lnTo>
                                  <a:pt x="1" y="5"/>
                                </a:lnTo>
                                <a:close/>
                                <a:moveTo>
                                  <a:pt x="0" y="5"/>
                                </a:moveTo>
                                <a:lnTo>
                                  <a:pt x="0" y="5"/>
                                </a:lnTo>
                                <a:lnTo>
                                  <a:pt x="1" y="5"/>
                                </a:lnTo>
                                <a:lnTo>
                                  <a:pt x="1" y="5"/>
                                </a:lnTo>
                                <a:lnTo>
                                  <a:pt x="0" y="5"/>
                                </a:lnTo>
                                <a:close/>
                                <a:moveTo>
                                  <a:pt x="0" y="5"/>
                                </a:moveTo>
                                <a:lnTo>
                                  <a:pt x="0" y="5"/>
                                </a:lnTo>
                                <a:lnTo>
                                  <a:pt x="1" y="5"/>
                                </a:lnTo>
                                <a:lnTo>
                                  <a:pt x="0" y="5"/>
                                </a:lnTo>
                                <a:close/>
                                <a:moveTo>
                                  <a:pt x="0" y="5"/>
                                </a:moveTo>
                                <a:cubicBezTo>
                                  <a:pt x="0" y="5"/>
                                  <a:pt x="0" y="4"/>
                                  <a:pt x="1" y="4"/>
                                </a:cubicBezTo>
                                <a:lnTo>
                                  <a:pt x="2" y="4"/>
                                </a:lnTo>
                                <a:cubicBezTo>
                                  <a:pt x="2" y="5"/>
                                  <a:pt x="1" y="5"/>
                                  <a:pt x="1" y="5"/>
                                </a:cubicBezTo>
                                <a:lnTo>
                                  <a:pt x="0" y="5"/>
                                </a:lnTo>
                                <a:close/>
                                <a:moveTo>
                                  <a:pt x="1" y="4"/>
                                </a:moveTo>
                                <a:cubicBezTo>
                                  <a:pt x="1" y="4"/>
                                  <a:pt x="1" y="3"/>
                                  <a:pt x="1" y="3"/>
                                </a:cubicBezTo>
                                <a:lnTo>
                                  <a:pt x="2" y="4"/>
                                </a:lnTo>
                                <a:cubicBezTo>
                                  <a:pt x="2" y="4"/>
                                  <a:pt x="2" y="4"/>
                                  <a:pt x="2" y="4"/>
                                </a:cubicBezTo>
                                <a:lnTo>
                                  <a:pt x="1" y="4"/>
                                </a:lnTo>
                                <a:close/>
                                <a:moveTo>
                                  <a:pt x="1" y="3"/>
                                </a:moveTo>
                                <a:lnTo>
                                  <a:pt x="1" y="3"/>
                                </a:lnTo>
                                <a:lnTo>
                                  <a:pt x="2" y="3"/>
                                </a:lnTo>
                                <a:lnTo>
                                  <a:pt x="1" y="3"/>
                                </a:lnTo>
                                <a:close/>
                                <a:moveTo>
                                  <a:pt x="1" y="3"/>
                                </a:moveTo>
                                <a:cubicBezTo>
                                  <a:pt x="3" y="1"/>
                                  <a:pt x="5" y="0"/>
                                  <a:pt x="7" y="0"/>
                                </a:cubicBezTo>
                                <a:lnTo>
                                  <a:pt x="7" y="1"/>
                                </a:lnTo>
                                <a:cubicBezTo>
                                  <a:pt x="5" y="1"/>
                                  <a:pt x="3" y="2"/>
                                  <a:pt x="2" y="4"/>
                                </a:cubicBezTo>
                                <a:lnTo>
                                  <a:pt x="1" y="3"/>
                                </a:lnTo>
                                <a:close/>
                                <a:moveTo>
                                  <a:pt x="7" y="0"/>
                                </a:moveTo>
                                <a:lnTo>
                                  <a:pt x="7" y="0"/>
                                </a:lnTo>
                                <a:lnTo>
                                  <a:pt x="7" y="1"/>
                                </a:lnTo>
                                <a:lnTo>
                                  <a:pt x="7" y="1"/>
                                </a:lnTo>
                                <a:lnTo>
                                  <a:pt x="7" y="0"/>
                                </a:lnTo>
                                <a:close/>
                                <a:moveTo>
                                  <a:pt x="7" y="0"/>
                                </a:moveTo>
                                <a:cubicBezTo>
                                  <a:pt x="9" y="0"/>
                                  <a:pt x="11" y="0"/>
                                  <a:pt x="12" y="2"/>
                                </a:cubicBezTo>
                                <a:lnTo>
                                  <a:pt x="11" y="3"/>
                                </a:lnTo>
                                <a:cubicBezTo>
                                  <a:pt x="10" y="2"/>
                                  <a:pt x="9" y="1"/>
                                  <a:pt x="7" y="1"/>
                                </a:cubicBezTo>
                                <a:lnTo>
                                  <a:pt x="7" y="0"/>
                                </a:lnTo>
                                <a:close/>
                                <a:moveTo>
                                  <a:pt x="12" y="2"/>
                                </a:moveTo>
                                <a:cubicBezTo>
                                  <a:pt x="13" y="3"/>
                                  <a:pt x="14" y="5"/>
                                  <a:pt x="14" y="6"/>
                                </a:cubicBezTo>
                                <a:lnTo>
                                  <a:pt x="13" y="6"/>
                                </a:lnTo>
                                <a:cubicBezTo>
                                  <a:pt x="13" y="5"/>
                                  <a:pt x="12" y="4"/>
                                  <a:pt x="11" y="3"/>
                                </a:cubicBezTo>
                                <a:lnTo>
                                  <a:pt x="12" y="2"/>
                                </a:lnTo>
                                <a:close/>
                                <a:moveTo>
                                  <a:pt x="14" y="6"/>
                                </a:moveTo>
                                <a:lnTo>
                                  <a:pt x="14" y="6"/>
                                </a:lnTo>
                                <a:lnTo>
                                  <a:pt x="13" y="6"/>
                                </a:lnTo>
                                <a:lnTo>
                                  <a:pt x="13" y="6"/>
                                </a:lnTo>
                                <a:lnTo>
                                  <a:pt x="14" y="6"/>
                                </a:lnTo>
                                <a:close/>
                                <a:moveTo>
                                  <a:pt x="14" y="6"/>
                                </a:moveTo>
                                <a:lnTo>
                                  <a:pt x="14" y="6"/>
                                </a:lnTo>
                                <a:lnTo>
                                  <a:pt x="13" y="6"/>
                                </a:lnTo>
                                <a:lnTo>
                                  <a:pt x="13" y="6"/>
                                </a:lnTo>
                                <a:lnTo>
                                  <a:pt x="14" y="6"/>
                                </a:lnTo>
                                <a:close/>
                                <a:moveTo>
                                  <a:pt x="14" y="6"/>
                                </a:moveTo>
                                <a:cubicBezTo>
                                  <a:pt x="14" y="7"/>
                                  <a:pt x="14" y="8"/>
                                  <a:pt x="14" y="8"/>
                                </a:cubicBezTo>
                                <a:lnTo>
                                  <a:pt x="12" y="8"/>
                                </a:lnTo>
                                <a:cubicBezTo>
                                  <a:pt x="12" y="7"/>
                                  <a:pt x="13" y="7"/>
                                  <a:pt x="13" y="6"/>
                                </a:cubicBezTo>
                                <a:lnTo>
                                  <a:pt x="14" y="6"/>
                                </a:lnTo>
                                <a:close/>
                                <a:moveTo>
                                  <a:pt x="14" y="8"/>
                                </a:moveTo>
                                <a:cubicBezTo>
                                  <a:pt x="13" y="8"/>
                                  <a:pt x="13" y="9"/>
                                  <a:pt x="13" y="9"/>
                                </a:cubicBezTo>
                                <a:lnTo>
                                  <a:pt x="12" y="8"/>
                                </a:lnTo>
                                <a:cubicBezTo>
                                  <a:pt x="12" y="8"/>
                                  <a:pt x="12" y="8"/>
                                  <a:pt x="12" y="8"/>
                                </a:cubicBezTo>
                                <a:lnTo>
                                  <a:pt x="14" y="8"/>
                                </a:lnTo>
                                <a:close/>
                                <a:moveTo>
                                  <a:pt x="12" y="8"/>
                                </a:moveTo>
                                <a:lnTo>
                                  <a:pt x="12" y="8"/>
                                </a:lnTo>
                                <a:lnTo>
                                  <a:pt x="13" y="8"/>
                                </a:lnTo>
                                <a:lnTo>
                                  <a:pt x="12" y="8"/>
                                </a:lnTo>
                                <a:close/>
                                <a:moveTo>
                                  <a:pt x="13" y="9"/>
                                </a:moveTo>
                                <a:cubicBezTo>
                                  <a:pt x="13" y="9"/>
                                  <a:pt x="13" y="10"/>
                                  <a:pt x="13" y="10"/>
                                </a:cubicBezTo>
                                <a:lnTo>
                                  <a:pt x="12" y="9"/>
                                </a:lnTo>
                                <a:cubicBezTo>
                                  <a:pt x="12" y="9"/>
                                  <a:pt x="12" y="9"/>
                                  <a:pt x="12" y="8"/>
                                </a:cubicBezTo>
                                <a:lnTo>
                                  <a:pt x="13" y="9"/>
                                </a:lnTo>
                                <a:close/>
                              </a:path>
                            </a:pathLst>
                          </a:custGeom>
                          <a:solidFill>
                            <a:srgbClr val="24211D"/>
                          </a:solidFill>
                          <a:ln w="9525">
                            <a:noFill/>
                            <a:round/>
                            <a:headEnd/>
                            <a:tailEnd/>
                          </a:ln>
                        </wps:spPr>
                        <wps:bodyPr/>
                      </wps:wsp>
                      <wps:wsp>
                        <wps:cNvPr id="31" name="Freeform 30"/>
                        <wps:cNvSpPr>
                          <a:spLocks noEditPoints="1"/>
                        </wps:cNvSpPr>
                        <wps:spPr bwMode="auto">
                          <a:xfrm>
                            <a:off x="10" y="151"/>
                            <a:ext cx="19" cy="15"/>
                          </a:xfrm>
                          <a:custGeom>
                            <a:avLst/>
                            <a:gdLst/>
                            <a:ahLst/>
                            <a:cxnLst>
                              <a:cxn ang="0">
                                <a:pos x="8" y="18"/>
                              </a:cxn>
                              <a:cxn ang="0">
                                <a:pos x="8" y="17"/>
                              </a:cxn>
                              <a:cxn ang="0">
                                <a:pos x="8" y="18"/>
                              </a:cxn>
                              <a:cxn ang="0">
                                <a:pos x="3" y="15"/>
                              </a:cxn>
                              <a:cxn ang="0">
                                <a:pos x="8" y="18"/>
                              </a:cxn>
                              <a:cxn ang="0">
                                <a:pos x="0" y="11"/>
                              </a:cxn>
                              <a:cxn ang="0">
                                <a:pos x="3" y="15"/>
                              </a:cxn>
                              <a:cxn ang="0">
                                <a:pos x="0" y="11"/>
                              </a:cxn>
                              <a:cxn ang="0">
                                <a:pos x="1" y="11"/>
                              </a:cxn>
                              <a:cxn ang="0">
                                <a:pos x="0" y="11"/>
                              </a:cxn>
                              <a:cxn ang="0">
                                <a:pos x="0" y="11"/>
                              </a:cxn>
                              <a:cxn ang="0">
                                <a:pos x="1" y="11"/>
                              </a:cxn>
                              <a:cxn ang="0">
                                <a:pos x="0" y="11"/>
                              </a:cxn>
                              <a:cxn ang="0">
                                <a:pos x="1" y="8"/>
                              </a:cxn>
                              <a:cxn ang="0">
                                <a:pos x="0" y="11"/>
                              </a:cxn>
                              <a:cxn ang="0">
                                <a:pos x="1" y="7"/>
                              </a:cxn>
                              <a:cxn ang="0">
                                <a:pos x="1" y="8"/>
                              </a:cxn>
                              <a:cxn ang="0">
                                <a:pos x="1" y="7"/>
                              </a:cxn>
                              <a:cxn ang="0">
                                <a:pos x="5" y="5"/>
                              </a:cxn>
                              <a:cxn ang="0">
                                <a:pos x="1" y="7"/>
                              </a:cxn>
                              <a:cxn ang="0">
                                <a:pos x="5" y="5"/>
                              </a:cxn>
                              <a:cxn ang="0">
                                <a:pos x="5" y="5"/>
                              </a:cxn>
                              <a:cxn ang="0">
                                <a:pos x="19" y="4"/>
                              </a:cxn>
                              <a:cxn ang="0">
                                <a:pos x="5" y="5"/>
                              </a:cxn>
                              <a:cxn ang="0">
                                <a:pos x="19" y="4"/>
                              </a:cxn>
                              <a:cxn ang="0">
                                <a:pos x="19" y="5"/>
                              </a:cxn>
                              <a:cxn ang="0">
                                <a:pos x="19" y="4"/>
                              </a:cxn>
                              <a:cxn ang="0">
                                <a:pos x="19" y="5"/>
                              </a:cxn>
                              <a:cxn ang="0">
                                <a:pos x="18" y="5"/>
                              </a:cxn>
                              <a:cxn ang="0">
                                <a:pos x="19" y="5"/>
                              </a:cxn>
                              <a:cxn ang="0">
                                <a:pos x="19" y="5"/>
                              </a:cxn>
                              <a:cxn ang="0">
                                <a:pos x="22" y="8"/>
                              </a:cxn>
                              <a:cxn ang="0">
                                <a:pos x="18" y="5"/>
                              </a:cxn>
                              <a:cxn ang="0">
                                <a:pos x="22" y="8"/>
                              </a:cxn>
                              <a:cxn ang="0">
                                <a:pos x="22" y="10"/>
                              </a:cxn>
                              <a:cxn ang="0">
                                <a:pos x="22" y="8"/>
                              </a:cxn>
                            </a:cxnLst>
                            <a:rect l="0" t="0" r="r" b="b"/>
                            <a:pathLst>
                              <a:path w="23" h="18">
                                <a:moveTo>
                                  <a:pt x="8" y="18"/>
                                </a:moveTo>
                                <a:lnTo>
                                  <a:pt x="8" y="18"/>
                                </a:lnTo>
                                <a:lnTo>
                                  <a:pt x="8" y="17"/>
                                </a:lnTo>
                                <a:lnTo>
                                  <a:pt x="8" y="17"/>
                                </a:lnTo>
                                <a:lnTo>
                                  <a:pt x="8" y="18"/>
                                </a:lnTo>
                                <a:close/>
                                <a:moveTo>
                                  <a:pt x="8" y="18"/>
                                </a:moveTo>
                                <a:cubicBezTo>
                                  <a:pt x="6" y="18"/>
                                  <a:pt x="4" y="17"/>
                                  <a:pt x="2" y="16"/>
                                </a:cubicBezTo>
                                <a:lnTo>
                                  <a:pt x="3" y="15"/>
                                </a:lnTo>
                                <a:cubicBezTo>
                                  <a:pt x="4" y="16"/>
                                  <a:pt x="6" y="17"/>
                                  <a:pt x="8" y="17"/>
                                </a:cubicBezTo>
                                <a:lnTo>
                                  <a:pt x="8" y="18"/>
                                </a:lnTo>
                                <a:close/>
                                <a:moveTo>
                                  <a:pt x="2" y="16"/>
                                </a:moveTo>
                                <a:cubicBezTo>
                                  <a:pt x="1" y="15"/>
                                  <a:pt x="0" y="13"/>
                                  <a:pt x="0" y="11"/>
                                </a:cubicBezTo>
                                <a:lnTo>
                                  <a:pt x="1" y="11"/>
                                </a:lnTo>
                                <a:cubicBezTo>
                                  <a:pt x="1" y="12"/>
                                  <a:pt x="2" y="14"/>
                                  <a:pt x="3" y="15"/>
                                </a:cubicBezTo>
                                <a:lnTo>
                                  <a:pt x="2" y="16"/>
                                </a:lnTo>
                                <a:close/>
                                <a:moveTo>
                                  <a:pt x="0" y="11"/>
                                </a:moveTo>
                                <a:lnTo>
                                  <a:pt x="0" y="11"/>
                                </a:lnTo>
                                <a:lnTo>
                                  <a:pt x="1" y="11"/>
                                </a:lnTo>
                                <a:lnTo>
                                  <a:pt x="1" y="11"/>
                                </a:lnTo>
                                <a:lnTo>
                                  <a:pt x="0" y="11"/>
                                </a:lnTo>
                                <a:close/>
                                <a:moveTo>
                                  <a:pt x="0" y="11"/>
                                </a:moveTo>
                                <a:lnTo>
                                  <a:pt x="0" y="11"/>
                                </a:lnTo>
                                <a:lnTo>
                                  <a:pt x="1" y="11"/>
                                </a:lnTo>
                                <a:lnTo>
                                  <a:pt x="1" y="11"/>
                                </a:lnTo>
                                <a:lnTo>
                                  <a:pt x="0" y="11"/>
                                </a:lnTo>
                                <a:close/>
                                <a:moveTo>
                                  <a:pt x="0" y="11"/>
                                </a:moveTo>
                                <a:cubicBezTo>
                                  <a:pt x="0" y="10"/>
                                  <a:pt x="0" y="9"/>
                                  <a:pt x="0" y="8"/>
                                </a:cubicBezTo>
                                <a:lnTo>
                                  <a:pt x="1" y="8"/>
                                </a:lnTo>
                                <a:cubicBezTo>
                                  <a:pt x="1" y="9"/>
                                  <a:pt x="1" y="10"/>
                                  <a:pt x="1" y="11"/>
                                </a:cubicBezTo>
                                <a:lnTo>
                                  <a:pt x="0" y="11"/>
                                </a:lnTo>
                                <a:close/>
                                <a:moveTo>
                                  <a:pt x="0" y="8"/>
                                </a:moveTo>
                                <a:cubicBezTo>
                                  <a:pt x="0" y="8"/>
                                  <a:pt x="0" y="7"/>
                                  <a:pt x="1" y="7"/>
                                </a:cubicBezTo>
                                <a:lnTo>
                                  <a:pt x="2" y="8"/>
                                </a:lnTo>
                                <a:cubicBezTo>
                                  <a:pt x="2" y="8"/>
                                  <a:pt x="1" y="8"/>
                                  <a:pt x="1" y="8"/>
                                </a:cubicBezTo>
                                <a:lnTo>
                                  <a:pt x="0" y="8"/>
                                </a:lnTo>
                                <a:close/>
                                <a:moveTo>
                                  <a:pt x="1" y="7"/>
                                </a:moveTo>
                                <a:cubicBezTo>
                                  <a:pt x="1" y="5"/>
                                  <a:pt x="3" y="4"/>
                                  <a:pt x="5" y="3"/>
                                </a:cubicBezTo>
                                <a:lnTo>
                                  <a:pt x="5" y="5"/>
                                </a:lnTo>
                                <a:cubicBezTo>
                                  <a:pt x="4" y="5"/>
                                  <a:pt x="2" y="6"/>
                                  <a:pt x="2" y="8"/>
                                </a:cubicBezTo>
                                <a:lnTo>
                                  <a:pt x="1" y="7"/>
                                </a:lnTo>
                                <a:close/>
                                <a:moveTo>
                                  <a:pt x="5" y="5"/>
                                </a:moveTo>
                                <a:lnTo>
                                  <a:pt x="5" y="5"/>
                                </a:lnTo>
                                <a:lnTo>
                                  <a:pt x="5" y="4"/>
                                </a:lnTo>
                                <a:lnTo>
                                  <a:pt x="5" y="5"/>
                                </a:lnTo>
                                <a:close/>
                                <a:moveTo>
                                  <a:pt x="5" y="3"/>
                                </a:moveTo>
                                <a:cubicBezTo>
                                  <a:pt x="5" y="3"/>
                                  <a:pt x="12" y="0"/>
                                  <a:pt x="19" y="4"/>
                                </a:cubicBezTo>
                                <a:lnTo>
                                  <a:pt x="18" y="6"/>
                                </a:lnTo>
                                <a:cubicBezTo>
                                  <a:pt x="12" y="1"/>
                                  <a:pt x="5" y="5"/>
                                  <a:pt x="5" y="5"/>
                                </a:cubicBezTo>
                                <a:lnTo>
                                  <a:pt x="5" y="3"/>
                                </a:lnTo>
                                <a:close/>
                                <a:moveTo>
                                  <a:pt x="19" y="4"/>
                                </a:moveTo>
                                <a:lnTo>
                                  <a:pt x="19" y="5"/>
                                </a:lnTo>
                                <a:lnTo>
                                  <a:pt x="19" y="5"/>
                                </a:lnTo>
                                <a:lnTo>
                                  <a:pt x="19" y="5"/>
                                </a:lnTo>
                                <a:lnTo>
                                  <a:pt x="19" y="4"/>
                                </a:lnTo>
                                <a:close/>
                                <a:moveTo>
                                  <a:pt x="19" y="5"/>
                                </a:moveTo>
                                <a:lnTo>
                                  <a:pt x="19" y="5"/>
                                </a:lnTo>
                                <a:lnTo>
                                  <a:pt x="18" y="5"/>
                                </a:lnTo>
                                <a:lnTo>
                                  <a:pt x="18" y="5"/>
                                </a:lnTo>
                                <a:lnTo>
                                  <a:pt x="19" y="5"/>
                                </a:lnTo>
                                <a:close/>
                                <a:moveTo>
                                  <a:pt x="19" y="5"/>
                                </a:moveTo>
                                <a:lnTo>
                                  <a:pt x="19" y="5"/>
                                </a:lnTo>
                                <a:lnTo>
                                  <a:pt x="19" y="5"/>
                                </a:lnTo>
                                <a:close/>
                                <a:moveTo>
                                  <a:pt x="19" y="5"/>
                                </a:moveTo>
                                <a:cubicBezTo>
                                  <a:pt x="20" y="6"/>
                                  <a:pt x="21" y="7"/>
                                  <a:pt x="22" y="8"/>
                                </a:cubicBezTo>
                                <a:lnTo>
                                  <a:pt x="21" y="9"/>
                                </a:lnTo>
                                <a:cubicBezTo>
                                  <a:pt x="20" y="8"/>
                                  <a:pt x="19" y="6"/>
                                  <a:pt x="18" y="5"/>
                                </a:cubicBezTo>
                                <a:lnTo>
                                  <a:pt x="19" y="5"/>
                                </a:lnTo>
                                <a:close/>
                                <a:moveTo>
                                  <a:pt x="22" y="8"/>
                                </a:moveTo>
                                <a:cubicBezTo>
                                  <a:pt x="22" y="8"/>
                                  <a:pt x="23" y="9"/>
                                  <a:pt x="23" y="9"/>
                                </a:cubicBezTo>
                                <a:lnTo>
                                  <a:pt x="22" y="10"/>
                                </a:lnTo>
                                <a:cubicBezTo>
                                  <a:pt x="21" y="9"/>
                                  <a:pt x="21" y="9"/>
                                  <a:pt x="21" y="9"/>
                                </a:cubicBezTo>
                                <a:lnTo>
                                  <a:pt x="22" y="8"/>
                                </a:lnTo>
                                <a:close/>
                              </a:path>
                            </a:pathLst>
                          </a:custGeom>
                          <a:solidFill>
                            <a:srgbClr val="24211D"/>
                          </a:solidFill>
                          <a:ln w="9525">
                            <a:noFill/>
                            <a:round/>
                            <a:headEnd/>
                            <a:tailEnd/>
                          </a:ln>
                        </wps:spPr>
                        <wps:bodyPr/>
                      </wps:wsp>
                      <wps:wsp>
                        <wps:cNvPr id="96" name="Freeform 31"/>
                        <wps:cNvSpPr>
                          <a:spLocks/>
                        </wps:cNvSpPr>
                        <wps:spPr bwMode="auto">
                          <a:xfrm>
                            <a:off x="34" y="322"/>
                            <a:ext cx="13" cy="6"/>
                          </a:xfrm>
                          <a:custGeom>
                            <a:avLst/>
                            <a:gdLst/>
                            <a:ahLst/>
                            <a:cxnLst>
                              <a:cxn ang="0">
                                <a:pos x="1" y="2"/>
                              </a:cxn>
                              <a:cxn ang="0">
                                <a:pos x="15" y="0"/>
                              </a:cxn>
                              <a:cxn ang="0">
                                <a:pos x="16" y="1"/>
                              </a:cxn>
                              <a:cxn ang="0">
                                <a:pos x="0" y="2"/>
                              </a:cxn>
                              <a:cxn ang="0">
                                <a:pos x="1" y="2"/>
                              </a:cxn>
                            </a:cxnLst>
                            <a:rect l="0" t="0" r="r" b="b"/>
                            <a:pathLst>
                              <a:path w="16" h="7">
                                <a:moveTo>
                                  <a:pt x="1" y="2"/>
                                </a:moveTo>
                                <a:cubicBezTo>
                                  <a:pt x="1" y="2"/>
                                  <a:pt x="4" y="6"/>
                                  <a:pt x="15" y="0"/>
                                </a:cubicBezTo>
                                <a:lnTo>
                                  <a:pt x="16" y="1"/>
                                </a:lnTo>
                                <a:cubicBezTo>
                                  <a:pt x="4" y="7"/>
                                  <a:pt x="0" y="2"/>
                                  <a:pt x="0" y="2"/>
                                </a:cubicBezTo>
                                <a:lnTo>
                                  <a:pt x="1" y="2"/>
                                </a:lnTo>
                                <a:close/>
                              </a:path>
                            </a:pathLst>
                          </a:custGeom>
                          <a:solidFill>
                            <a:srgbClr val="24211D"/>
                          </a:solidFill>
                          <a:ln w="9525">
                            <a:noFill/>
                            <a:round/>
                            <a:headEnd/>
                            <a:tailEnd/>
                          </a:ln>
                        </wps:spPr>
                        <wps:bodyPr/>
                      </wps:wsp>
                      <wps:wsp>
                        <wps:cNvPr id="97" name="Freeform 32"/>
                        <wps:cNvSpPr>
                          <a:spLocks/>
                        </wps:cNvSpPr>
                        <wps:spPr bwMode="auto">
                          <a:xfrm>
                            <a:off x="32" y="317"/>
                            <a:ext cx="12" cy="6"/>
                          </a:xfrm>
                          <a:custGeom>
                            <a:avLst/>
                            <a:gdLst/>
                            <a:ahLst/>
                            <a:cxnLst>
                              <a:cxn ang="0">
                                <a:pos x="1" y="3"/>
                              </a:cxn>
                              <a:cxn ang="0">
                                <a:pos x="15" y="0"/>
                              </a:cxn>
                              <a:cxn ang="0">
                                <a:pos x="15" y="1"/>
                              </a:cxn>
                              <a:cxn ang="0">
                                <a:pos x="0" y="4"/>
                              </a:cxn>
                              <a:cxn ang="0">
                                <a:pos x="1" y="3"/>
                              </a:cxn>
                            </a:cxnLst>
                            <a:rect l="0" t="0" r="r" b="b"/>
                            <a:pathLst>
                              <a:path w="15" h="8">
                                <a:moveTo>
                                  <a:pt x="1" y="3"/>
                                </a:moveTo>
                                <a:cubicBezTo>
                                  <a:pt x="1" y="3"/>
                                  <a:pt x="5" y="6"/>
                                  <a:pt x="15" y="0"/>
                                </a:cubicBezTo>
                                <a:lnTo>
                                  <a:pt x="15" y="1"/>
                                </a:lnTo>
                                <a:cubicBezTo>
                                  <a:pt x="5" y="8"/>
                                  <a:pt x="0" y="4"/>
                                  <a:pt x="0" y="4"/>
                                </a:cubicBezTo>
                                <a:lnTo>
                                  <a:pt x="1" y="3"/>
                                </a:lnTo>
                                <a:close/>
                              </a:path>
                            </a:pathLst>
                          </a:custGeom>
                          <a:solidFill>
                            <a:srgbClr val="24211D"/>
                          </a:solidFill>
                          <a:ln w="9525">
                            <a:noFill/>
                            <a:round/>
                            <a:headEnd/>
                            <a:tailEnd/>
                          </a:ln>
                        </wps:spPr>
                        <wps:bodyPr/>
                      </wps:wsp>
                      <wps:wsp>
                        <wps:cNvPr id="98" name="Freeform 33"/>
                        <wps:cNvSpPr>
                          <a:spLocks/>
                        </wps:cNvSpPr>
                        <wps:spPr bwMode="auto">
                          <a:xfrm>
                            <a:off x="30" y="311"/>
                            <a:ext cx="12" cy="5"/>
                          </a:xfrm>
                          <a:custGeom>
                            <a:avLst/>
                            <a:gdLst/>
                            <a:ahLst/>
                            <a:cxnLst>
                              <a:cxn ang="0">
                                <a:pos x="15" y="1"/>
                              </a:cxn>
                              <a:cxn ang="0">
                                <a:pos x="0" y="3"/>
                              </a:cxn>
                              <a:cxn ang="0">
                                <a:pos x="1" y="2"/>
                              </a:cxn>
                              <a:cxn ang="0">
                                <a:pos x="15" y="0"/>
                              </a:cxn>
                              <a:cxn ang="0">
                                <a:pos x="15" y="1"/>
                              </a:cxn>
                            </a:cxnLst>
                            <a:rect l="0" t="0" r="r" b="b"/>
                            <a:pathLst>
                              <a:path w="15" h="6">
                                <a:moveTo>
                                  <a:pt x="15" y="1"/>
                                </a:moveTo>
                                <a:cubicBezTo>
                                  <a:pt x="15" y="1"/>
                                  <a:pt x="8" y="6"/>
                                  <a:pt x="0" y="3"/>
                                </a:cubicBezTo>
                                <a:lnTo>
                                  <a:pt x="1" y="2"/>
                                </a:lnTo>
                                <a:cubicBezTo>
                                  <a:pt x="7" y="5"/>
                                  <a:pt x="15" y="0"/>
                                  <a:pt x="15" y="0"/>
                                </a:cubicBezTo>
                                <a:lnTo>
                                  <a:pt x="15" y="1"/>
                                </a:lnTo>
                                <a:close/>
                              </a:path>
                            </a:pathLst>
                          </a:custGeom>
                          <a:solidFill>
                            <a:srgbClr val="24211D"/>
                          </a:solidFill>
                          <a:ln w="9525">
                            <a:noFill/>
                            <a:round/>
                            <a:headEnd/>
                            <a:tailEnd/>
                          </a:ln>
                        </wps:spPr>
                        <wps:bodyPr/>
                      </wps:wsp>
                      <wps:wsp>
                        <wps:cNvPr id="99" name="Freeform 34"/>
                        <wps:cNvSpPr>
                          <a:spLocks/>
                        </wps:cNvSpPr>
                        <wps:spPr bwMode="auto">
                          <a:xfrm>
                            <a:off x="26" y="305"/>
                            <a:ext cx="13" cy="6"/>
                          </a:xfrm>
                          <a:custGeom>
                            <a:avLst/>
                            <a:gdLst/>
                            <a:ahLst/>
                            <a:cxnLst>
                              <a:cxn ang="0">
                                <a:pos x="1" y="2"/>
                              </a:cxn>
                              <a:cxn ang="0">
                                <a:pos x="15" y="0"/>
                              </a:cxn>
                              <a:cxn ang="0">
                                <a:pos x="16" y="1"/>
                              </a:cxn>
                              <a:cxn ang="0">
                                <a:pos x="0" y="3"/>
                              </a:cxn>
                              <a:cxn ang="0">
                                <a:pos x="1" y="2"/>
                              </a:cxn>
                            </a:cxnLst>
                            <a:rect l="0" t="0" r="r" b="b"/>
                            <a:pathLst>
                              <a:path w="16" h="7">
                                <a:moveTo>
                                  <a:pt x="1" y="2"/>
                                </a:moveTo>
                                <a:cubicBezTo>
                                  <a:pt x="1" y="2"/>
                                  <a:pt x="7" y="5"/>
                                  <a:pt x="15" y="0"/>
                                </a:cubicBezTo>
                                <a:lnTo>
                                  <a:pt x="16" y="1"/>
                                </a:lnTo>
                                <a:cubicBezTo>
                                  <a:pt x="7" y="7"/>
                                  <a:pt x="0" y="3"/>
                                  <a:pt x="0" y="3"/>
                                </a:cubicBezTo>
                                <a:lnTo>
                                  <a:pt x="1" y="2"/>
                                </a:lnTo>
                                <a:close/>
                              </a:path>
                            </a:pathLst>
                          </a:custGeom>
                          <a:solidFill>
                            <a:srgbClr val="24211D"/>
                          </a:solidFill>
                          <a:ln w="9525">
                            <a:noFill/>
                            <a:round/>
                            <a:headEnd/>
                            <a:tailEnd/>
                          </a:ln>
                        </wps:spPr>
                        <wps:bodyPr/>
                      </wps:wsp>
                      <wps:wsp>
                        <wps:cNvPr id="100" name="Freeform 35"/>
                        <wps:cNvSpPr>
                          <a:spLocks/>
                        </wps:cNvSpPr>
                        <wps:spPr bwMode="auto">
                          <a:xfrm>
                            <a:off x="23" y="301"/>
                            <a:ext cx="13" cy="4"/>
                          </a:xfrm>
                          <a:custGeom>
                            <a:avLst/>
                            <a:gdLst/>
                            <a:ahLst/>
                            <a:cxnLst>
                              <a:cxn ang="0">
                                <a:pos x="0" y="2"/>
                              </a:cxn>
                              <a:cxn ang="0">
                                <a:pos x="15" y="0"/>
                              </a:cxn>
                              <a:cxn ang="0">
                                <a:pos x="16" y="1"/>
                              </a:cxn>
                              <a:cxn ang="0">
                                <a:pos x="0" y="3"/>
                              </a:cxn>
                              <a:cxn ang="0">
                                <a:pos x="0" y="2"/>
                              </a:cxn>
                            </a:cxnLst>
                            <a:rect l="0" t="0" r="r" b="b"/>
                            <a:pathLst>
                              <a:path w="16" h="5">
                                <a:moveTo>
                                  <a:pt x="0" y="2"/>
                                </a:moveTo>
                                <a:cubicBezTo>
                                  <a:pt x="0" y="2"/>
                                  <a:pt x="5" y="4"/>
                                  <a:pt x="15" y="0"/>
                                </a:cubicBezTo>
                                <a:lnTo>
                                  <a:pt x="16" y="1"/>
                                </a:lnTo>
                                <a:cubicBezTo>
                                  <a:pt x="5" y="5"/>
                                  <a:pt x="0" y="3"/>
                                  <a:pt x="0" y="3"/>
                                </a:cubicBezTo>
                                <a:lnTo>
                                  <a:pt x="0" y="2"/>
                                </a:lnTo>
                                <a:close/>
                              </a:path>
                            </a:pathLst>
                          </a:custGeom>
                          <a:solidFill>
                            <a:srgbClr val="24211D"/>
                          </a:solidFill>
                          <a:ln w="9525">
                            <a:noFill/>
                            <a:round/>
                            <a:headEnd/>
                            <a:tailEnd/>
                          </a:ln>
                        </wps:spPr>
                        <wps:bodyPr/>
                      </wps:wsp>
                      <wps:wsp>
                        <wps:cNvPr id="101" name="Freeform 36"/>
                        <wps:cNvSpPr>
                          <a:spLocks/>
                        </wps:cNvSpPr>
                        <wps:spPr bwMode="auto">
                          <a:xfrm>
                            <a:off x="30" y="144"/>
                            <a:ext cx="22" cy="95"/>
                          </a:xfrm>
                          <a:custGeom>
                            <a:avLst/>
                            <a:gdLst/>
                            <a:ahLst/>
                            <a:cxnLst>
                              <a:cxn ang="0">
                                <a:pos x="0" y="3"/>
                              </a:cxn>
                              <a:cxn ang="0">
                                <a:pos x="27" y="116"/>
                              </a:cxn>
                              <a:cxn ang="0">
                                <a:pos x="25" y="116"/>
                              </a:cxn>
                              <a:cxn ang="0">
                                <a:pos x="0" y="4"/>
                              </a:cxn>
                              <a:cxn ang="0">
                                <a:pos x="0" y="3"/>
                              </a:cxn>
                            </a:cxnLst>
                            <a:rect l="0" t="0" r="r" b="b"/>
                            <a:pathLst>
                              <a:path w="27" h="116">
                                <a:moveTo>
                                  <a:pt x="0" y="3"/>
                                </a:moveTo>
                                <a:cubicBezTo>
                                  <a:pt x="0" y="3"/>
                                  <a:pt x="22" y="0"/>
                                  <a:pt x="27" y="116"/>
                                </a:cubicBezTo>
                                <a:lnTo>
                                  <a:pt x="25" y="116"/>
                                </a:lnTo>
                                <a:cubicBezTo>
                                  <a:pt x="20" y="1"/>
                                  <a:pt x="0" y="4"/>
                                  <a:pt x="0" y="4"/>
                                </a:cubicBezTo>
                                <a:lnTo>
                                  <a:pt x="0" y="3"/>
                                </a:lnTo>
                                <a:close/>
                              </a:path>
                            </a:pathLst>
                          </a:custGeom>
                          <a:solidFill>
                            <a:srgbClr val="24211D"/>
                          </a:solidFill>
                          <a:ln w="9525">
                            <a:noFill/>
                            <a:round/>
                            <a:headEnd/>
                            <a:tailEnd/>
                          </a:ln>
                        </wps:spPr>
                        <wps:bodyPr/>
                      </wps:wsp>
                      <wps:wsp>
                        <wps:cNvPr id="102" name="Freeform 37"/>
                        <wps:cNvSpPr>
                          <a:spLocks/>
                        </wps:cNvSpPr>
                        <wps:spPr bwMode="auto">
                          <a:xfrm>
                            <a:off x="34" y="142"/>
                            <a:ext cx="10" cy="10"/>
                          </a:xfrm>
                          <a:custGeom>
                            <a:avLst/>
                            <a:gdLst/>
                            <a:ahLst/>
                            <a:cxnLst>
                              <a:cxn ang="0">
                                <a:pos x="0" y="2"/>
                              </a:cxn>
                              <a:cxn ang="0">
                                <a:pos x="13" y="11"/>
                              </a:cxn>
                              <a:cxn ang="0">
                                <a:pos x="12" y="12"/>
                              </a:cxn>
                              <a:cxn ang="0">
                                <a:pos x="1" y="3"/>
                              </a:cxn>
                              <a:cxn ang="0">
                                <a:pos x="0" y="2"/>
                              </a:cxn>
                            </a:cxnLst>
                            <a:rect l="0" t="0" r="r" b="b"/>
                            <a:pathLst>
                              <a:path w="13" h="12">
                                <a:moveTo>
                                  <a:pt x="0" y="2"/>
                                </a:moveTo>
                                <a:cubicBezTo>
                                  <a:pt x="0" y="2"/>
                                  <a:pt x="7" y="0"/>
                                  <a:pt x="13" y="11"/>
                                </a:cubicBezTo>
                                <a:lnTo>
                                  <a:pt x="12" y="12"/>
                                </a:lnTo>
                                <a:cubicBezTo>
                                  <a:pt x="6" y="2"/>
                                  <a:pt x="1" y="3"/>
                                  <a:pt x="1" y="3"/>
                                </a:cubicBezTo>
                                <a:lnTo>
                                  <a:pt x="0" y="2"/>
                                </a:lnTo>
                                <a:close/>
                              </a:path>
                            </a:pathLst>
                          </a:custGeom>
                          <a:solidFill>
                            <a:srgbClr val="24211D"/>
                          </a:solidFill>
                          <a:ln w="9525">
                            <a:noFill/>
                            <a:round/>
                            <a:headEnd/>
                            <a:tailEnd/>
                          </a:ln>
                        </wps:spPr>
                        <wps:bodyPr/>
                      </wps:wsp>
                      <wps:wsp>
                        <wps:cNvPr id="103" name="Freeform 38"/>
                        <wps:cNvSpPr>
                          <a:spLocks/>
                        </wps:cNvSpPr>
                        <wps:spPr bwMode="auto">
                          <a:xfrm>
                            <a:off x="37" y="137"/>
                            <a:ext cx="10" cy="7"/>
                          </a:xfrm>
                          <a:custGeom>
                            <a:avLst/>
                            <a:gdLst/>
                            <a:ahLst/>
                            <a:cxnLst>
                              <a:cxn ang="0">
                                <a:pos x="0" y="5"/>
                              </a:cxn>
                              <a:cxn ang="0">
                                <a:pos x="12" y="9"/>
                              </a:cxn>
                              <a:cxn ang="0">
                                <a:pos x="11" y="9"/>
                              </a:cxn>
                              <a:cxn ang="0">
                                <a:pos x="1" y="6"/>
                              </a:cxn>
                              <a:cxn ang="0">
                                <a:pos x="0" y="5"/>
                              </a:cxn>
                            </a:cxnLst>
                            <a:rect l="0" t="0" r="r" b="b"/>
                            <a:pathLst>
                              <a:path w="12" h="9">
                                <a:moveTo>
                                  <a:pt x="0" y="5"/>
                                </a:moveTo>
                                <a:cubicBezTo>
                                  <a:pt x="0" y="5"/>
                                  <a:pt x="6" y="0"/>
                                  <a:pt x="12" y="9"/>
                                </a:cubicBezTo>
                                <a:lnTo>
                                  <a:pt x="11" y="9"/>
                                </a:lnTo>
                                <a:cubicBezTo>
                                  <a:pt x="5" y="2"/>
                                  <a:pt x="1" y="6"/>
                                  <a:pt x="1" y="6"/>
                                </a:cubicBezTo>
                                <a:lnTo>
                                  <a:pt x="0" y="5"/>
                                </a:lnTo>
                                <a:close/>
                              </a:path>
                            </a:pathLst>
                          </a:custGeom>
                          <a:solidFill>
                            <a:srgbClr val="24211D"/>
                          </a:solidFill>
                          <a:ln w="9525">
                            <a:noFill/>
                            <a:round/>
                            <a:headEnd/>
                            <a:tailEnd/>
                          </a:ln>
                        </wps:spPr>
                        <wps:bodyPr/>
                      </wps:wsp>
                      <wps:wsp>
                        <wps:cNvPr id="104" name="Freeform 39"/>
                        <wps:cNvSpPr>
                          <a:spLocks/>
                        </wps:cNvSpPr>
                        <wps:spPr bwMode="auto">
                          <a:xfrm>
                            <a:off x="43" y="131"/>
                            <a:ext cx="9" cy="6"/>
                          </a:xfrm>
                          <a:custGeom>
                            <a:avLst/>
                            <a:gdLst/>
                            <a:ahLst/>
                            <a:cxnLst>
                              <a:cxn ang="0">
                                <a:pos x="0" y="7"/>
                              </a:cxn>
                              <a:cxn ang="0">
                                <a:pos x="11" y="6"/>
                              </a:cxn>
                              <a:cxn ang="0">
                                <a:pos x="11" y="7"/>
                              </a:cxn>
                              <a:cxn ang="0">
                                <a:pos x="1" y="7"/>
                              </a:cxn>
                              <a:cxn ang="0">
                                <a:pos x="0" y="7"/>
                              </a:cxn>
                            </a:cxnLst>
                            <a:rect l="0" t="0" r="r" b="b"/>
                            <a:pathLst>
                              <a:path w="11" h="7">
                                <a:moveTo>
                                  <a:pt x="0" y="7"/>
                                </a:moveTo>
                                <a:cubicBezTo>
                                  <a:pt x="0" y="7"/>
                                  <a:pt x="3" y="0"/>
                                  <a:pt x="11" y="6"/>
                                </a:cubicBezTo>
                                <a:lnTo>
                                  <a:pt x="11" y="7"/>
                                </a:lnTo>
                                <a:cubicBezTo>
                                  <a:pt x="4" y="2"/>
                                  <a:pt x="1" y="7"/>
                                  <a:pt x="1" y="7"/>
                                </a:cubicBezTo>
                                <a:lnTo>
                                  <a:pt x="0" y="7"/>
                                </a:lnTo>
                                <a:close/>
                              </a:path>
                            </a:pathLst>
                          </a:custGeom>
                          <a:solidFill>
                            <a:srgbClr val="24211D"/>
                          </a:solidFill>
                          <a:ln w="9525">
                            <a:noFill/>
                            <a:round/>
                            <a:headEnd/>
                            <a:tailEnd/>
                          </a:ln>
                        </wps:spPr>
                        <wps:bodyPr/>
                      </wps:wsp>
                      <wps:wsp>
                        <wps:cNvPr id="105" name="Freeform 40"/>
                        <wps:cNvSpPr>
                          <a:spLocks/>
                        </wps:cNvSpPr>
                        <wps:spPr bwMode="auto">
                          <a:xfrm>
                            <a:off x="48" y="127"/>
                            <a:ext cx="9" cy="4"/>
                          </a:xfrm>
                          <a:custGeom>
                            <a:avLst/>
                            <a:gdLst/>
                            <a:ahLst/>
                            <a:cxnLst>
                              <a:cxn ang="0">
                                <a:pos x="0" y="5"/>
                              </a:cxn>
                              <a:cxn ang="0">
                                <a:pos x="12" y="4"/>
                              </a:cxn>
                              <a:cxn ang="0">
                                <a:pos x="12" y="5"/>
                              </a:cxn>
                              <a:cxn ang="0">
                                <a:pos x="1" y="5"/>
                              </a:cxn>
                              <a:cxn ang="0">
                                <a:pos x="0" y="5"/>
                              </a:cxn>
                            </a:cxnLst>
                            <a:rect l="0" t="0" r="r" b="b"/>
                            <a:pathLst>
                              <a:path w="12" h="5">
                                <a:moveTo>
                                  <a:pt x="0" y="5"/>
                                </a:moveTo>
                                <a:cubicBezTo>
                                  <a:pt x="0" y="5"/>
                                  <a:pt x="1" y="0"/>
                                  <a:pt x="12" y="4"/>
                                </a:cubicBezTo>
                                <a:lnTo>
                                  <a:pt x="12" y="5"/>
                                </a:lnTo>
                                <a:cubicBezTo>
                                  <a:pt x="2" y="2"/>
                                  <a:pt x="1" y="5"/>
                                  <a:pt x="1" y="5"/>
                                </a:cubicBezTo>
                                <a:lnTo>
                                  <a:pt x="0" y="5"/>
                                </a:lnTo>
                                <a:close/>
                              </a:path>
                            </a:pathLst>
                          </a:custGeom>
                          <a:solidFill>
                            <a:srgbClr val="24211D"/>
                          </a:solidFill>
                          <a:ln w="9525">
                            <a:noFill/>
                            <a:round/>
                            <a:headEnd/>
                            <a:tailEnd/>
                          </a:ln>
                        </wps:spPr>
                        <wps:bodyPr/>
                      </wps:wsp>
                      <wps:wsp>
                        <wps:cNvPr id="106" name="Freeform 41"/>
                        <wps:cNvSpPr>
                          <a:spLocks/>
                        </wps:cNvSpPr>
                        <wps:spPr bwMode="auto">
                          <a:xfrm>
                            <a:off x="51" y="123"/>
                            <a:ext cx="11" cy="3"/>
                          </a:xfrm>
                          <a:custGeom>
                            <a:avLst/>
                            <a:gdLst/>
                            <a:ahLst/>
                            <a:cxnLst>
                              <a:cxn ang="0">
                                <a:pos x="0" y="4"/>
                              </a:cxn>
                              <a:cxn ang="0">
                                <a:pos x="13" y="3"/>
                              </a:cxn>
                              <a:cxn ang="0">
                                <a:pos x="12" y="4"/>
                              </a:cxn>
                              <a:cxn ang="0">
                                <a:pos x="1" y="4"/>
                              </a:cxn>
                              <a:cxn ang="0">
                                <a:pos x="0" y="4"/>
                              </a:cxn>
                            </a:cxnLst>
                            <a:rect l="0" t="0" r="r" b="b"/>
                            <a:pathLst>
                              <a:path w="13" h="4">
                                <a:moveTo>
                                  <a:pt x="0" y="4"/>
                                </a:moveTo>
                                <a:cubicBezTo>
                                  <a:pt x="0" y="4"/>
                                  <a:pt x="2" y="0"/>
                                  <a:pt x="13" y="3"/>
                                </a:cubicBezTo>
                                <a:lnTo>
                                  <a:pt x="12" y="4"/>
                                </a:lnTo>
                                <a:cubicBezTo>
                                  <a:pt x="3" y="1"/>
                                  <a:pt x="1" y="4"/>
                                  <a:pt x="1" y="4"/>
                                </a:cubicBezTo>
                                <a:lnTo>
                                  <a:pt x="0" y="4"/>
                                </a:lnTo>
                                <a:close/>
                              </a:path>
                            </a:pathLst>
                          </a:custGeom>
                          <a:solidFill>
                            <a:srgbClr val="24211D"/>
                          </a:solidFill>
                          <a:ln w="9525">
                            <a:noFill/>
                            <a:round/>
                            <a:headEnd/>
                            <a:tailEnd/>
                          </a:ln>
                        </wps:spPr>
                        <wps:bodyPr/>
                      </wps:wsp>
                      <wps:wsp>
                        <wps:cNvPr id="107" name="Freeform 42"/>
                        <wps:cNvSpPr>
                          <a:spLocks/>
                        </wps:cNvSpPr>
                        <wps:spPr bwMode="auto">
                          <a:xfrm>
                            <a:off x="53" y="117"/>
                            <a:ext cx="14" cy="5"/>
                          </a:xfrm>
                          <a:custGeom>
                            <a:avLst/>
                            <a:gdLst/>
                            <a:ahLst/>
                            <a:cxnLst>
                              <a:cxn ang="0">
                                <a:pos x="1" y="7"/>
                              </a:cxn>
                              <a:cxn ang="0">
                                <a:pos x="17" y="4"/>
                              </a:cxn>
                              <a:cxn ang="0">
                                <a:pos x="17" y="5"/>
                              </a:cxn>
                              <a:cxn ang="0">
                                <a:pos x="2" y="7"/>
                              </a:cxn>
                              <a:cxn ang="0">
                                <a:pos x="1" y="7"/>
                              </a:cxn>
                            </a:cxnLst>
                            <a:rect l="0" t="0" r="r" b="b"/>
                            <a:pathLst>
                              <a:path w="17" h="7">
                                <a:moveTo>
                                  <a:pt x="1" y="7"/>
                                </a:moveTo>
                                <a:cubicBezTo>
                                  <a:pt x="1" y="7"/>
                                  <a:pt x="0" y="0"/>
                                  <a:pt x="17" y="4"/>
                                </a:cubicBezTo>
                                <a:lnTo>
                                  <a:pt x="17" y="5"/>
                                </a:lnTo>
                                <a:cubicBezTo>
                                  <a:pt x="1" y="2"/>
                                  <a:pt x="2" y="7"/>
                                  <a:pt x="2" y="7"/>
                                </a:cubicBezTo>
                                <a:lnTo>
                                  <a:pt x="1" y="7"/>
                                </a:lnTo>
                                <a:close/>
                              </a:path>
                            </a:pathLst>
                          </a:custGeom>
                          <a:solidFill>
                            <a:srgbClr val="24211D"/>
                          </a:solidFill>
                          <a:ln w="9525">
                            <a:noFill/>
                            <a:round/>
                            <a:headEnd/>
                            <a:tailEnd/>
                          </a:ln>
                        </wps:spPr>
                        <wps:bodyPr/>
                      </wps:wsp>
                      <wps:wsp>
                        <wps:cNvPr id="108" name="Freeform 43"/>
                        <wps:cNvSpPr>
                          <a:spLocks noEditPoints="1"/>
                        </wps:cNvSpPr>
                        <wps:spPr bwMode="auto">
                          <a:xfrm>
                            <a:off x="200" y="98"/>
                            <a:ext cx="33" cy="41"/>
                          </a:xfrm>
                          <a:custGeom>
                            <a:avLst/>
                            <a:gdLst/>
                            <a:ahLst/>
                            <a:cxnLst>
                              <a:cxn ang="0">
                                <a:pos x="25" y="26"/>
                              </a:cxn>
                              <a:cxn ang="0">
                                <a:pos x="7" y="30"/>
                              </a:cxn>
                              <a:cxn ang="0">
                                <a:pos x="6" y="29"/>
                              </a:cxn>
                              <a:cxn ang="0">
                                <a:pos x="26" y="24"/>
                              </a:cxn>
                              <a:cxn ang="0">
                                <a:pos x="25" y="26"/>
                              </a:cxn>
                              <a:cxn ang="0">
                                <a:pos x="6" y="29"/>
                              </a:cxn>
                              <a:cxn ang="0">
                                <a:pos x="6" y="29"/>
                              </a:cxn>
                              <a:cxn ang="0">
                                <a:pos x="6" y="29"/>
                              </a:cxn>
                              <a:cxn ang="0">
                                <a:pos x="7" y="29"/>
                              </a:cxn>
                              <a:cxn ang="0">
                                <a:pos x="6" y="29"/>
                              </a:cxn>
                              <a:cxn ang="0">
                                <a:pos x="8" y="29"/>
                              </a:cxn>
                              <a:cxn ang="0">
                                <a:pos x="18" y="48"/>
                              </a:cxn>
                              <a:cxn ang="0">
                                <a:pos x="17" y="49"/>
                              </a:cxn>
                              <a:cxn ang="0">
                                <a:pos x="6" y="29"/>
                              </a:cxn>
                              <a:cxn ang="0">
                                <a:pos x="8" y="29"/>
                              </a:cxn>
                              <a:cxn ang="0">
                                <a:pos x="17" y="49"/>
                              </a:cxn>
                              <a:cxn ang="0">
                                <a:pos x="17" y="49"/>
                              </a:cxn>
                              <a:cxn ang="0">
                                <a:pos x="17" y="49"/>
                              </a:cxn>
                              <a:cxn ang="0">
                                <a:pos x="18" y="48"/>
                              </a:cxn>
                              <a:cxn ang="0">
                                <a:pos x="17" y="49"/>
                              </a:cxn>
                              <a:cxn ang="0">
                                <a:pos x="18" y="48"/>
                              </a:cxn>
                              <a:cxn ang="0">
                                <a:pos x="37" y="34"/>
                              </a:cxn>
                              <a:cxn ang="0">
                                <a:pos x="38" y="34"/>
                              </a:cxn>
                              <a:cxn ang="0">
                                <a:pos x="17" y="49"/>
                              </a:cxn>
                              <a:cxn ang="0">
                                <a:pos x="18" y="48"/>
                              </a:cxn>
                              <a:cxn ang="0">
                                <a:pos x="38" y="34"/>
                              </a:cxn>
                              <a:cxn ang="0">
                                <a:pos x="38" y="34"/>
                              </a:cxn>
                              <a:cxn ang="0">
                                <a:pos x="38" y="34"/>
                              </a:cxn>
                              <a:cxn ang="0">
                                <a:pos x="38" y="34"/>
                              </a:cxn>
                              <a:cxn ang="0">
                                <a:pos x="37" y="34"/>
                              </a:cxn>
                              <a:cxn ang="0">
                                <a:pos x="9" y="2"/>
                              </a:cxn>
                              <a:cxn ang="0">
                                <a:pos x="9" y="0"/>
                              </a:cxn>
                              <a:cxn ang="0">
                                <a:pos x="38" y="34"/>
                              </a:cxn>
                              <a:cxn ang="0">
                                <a:pos x="37" y="34"/>
                              </a:cxn>
                            </a:cxnLst>
                            <a:rect l="0" t="0" r="r" b="b"/>
                            <a:pathLst>
                              <a:path w="40" h="51">
                                <a:moveTo>
                                  <a:pt x="25" y="26"/>
                                </a:moveTo>
                                <a:cubicBezTo>
                                  <a:pt x="25" y="26"/>
                                  <a:pt x="13" y="21"/>
                                  <a:pt x="7" y="30"/>
                                </a:cubicBezTo>
                                <a:lnTo>
                                  <a:pt x="6" y="29"/>
                                </a:lnTo>
                                <a:cubicBezTo>
                                  <a:pt x="12" y="20"/>
                                  <a:pt x="26" y="24"/>
                                  <a:pt x="26" y="24"/>
                                </a:cubicBezTo>
                                <a:lnTo>
                                  <a:pt x="25" y="26"/>
                                </a:lnTo>
                                <a:close/>
                                <a:moveTo>
                                  <a:pt x="6" y="29"/>
                                </a:moveTo>
                                <a:lnTo>
                                  <a:pt x="6" y="29"/>
                                </a:lnTo>
                                <a:lnTo>
                                  <a:pt x="6" y="29"/>
                                </a:lnTo>
                                <a:lnTo>
                                  <a:pt x="7" y="29"/>
                                </a:lnTo>
                                <a:lnTo>
                                  <a:pt x="6" y="29"/>
                                </a:lnTo>
                                <a:close/>
                                <a:moveTo>
                                  <a:pt x="8" y="29"/>
                                </a:moveTo>
                                <a:cubicBezTo>
                                  <a:pt x="8" y="30"/>
                                  <a:pt x="2" y="44"/>
                                  <a:pt x="18" y="48"/>
                                </a:cubicBezTo>
                                <a:lnTo>
                                  <a:pt x="17" y="49"/>
                                </a:lnTo>
                                <a:cubicBezTo>
                                  <a:pt x="0" y="45"/>
                                  <a:pt x="6" y="29"/>
                                  <a:pt x="6" y="29"/>
                                </a:cubicBezTo>
                                <a:lnTo>
                                  <a:pt x="8" y="29"/>
                                </a:lnTo>
                                <a:close/>
                                <a:moveTo>
                                  <a:pt x="17" y="49"/>
                                </a:moveTo>
                                <a:lnTo>
                                  <a:pt x="17" y="49"/>
                                </a:lnTo>
                                <a:lnTo>
                                  <a:pt x="17" y="49"/>
                                </a:lnTo>
                                <a:lnTo>
                                  <a:pt x="18" y="48"/>
                                </a:lnTo>
                                <a:lnTo>
                                  <a:pt x="17" y="49"/>
                                </a:lnTo>
                                <a:close/>
                                <a:moveTo>
                                  <a:pt x="18" y="48"/>
                                </a:moveTo>
                                <a:cubicBezTo>
                                  <a:pt x="18" y="48"/>
                                  <a:pt x="33" y="50"/>
                                  <a:pt x="37" y="34"/>
                                </a:cubicBezTo>
                                <a:lnTo>
                                  <a:pt x="38" y="34"/>
                                </a:lnTo>
                                <a:cubicBezTo>
                                  <a:pt x="34" y="51"/>
                                  <a:pt x="18" y="49"/>
                                  <a:pt x="17" y="49"/>
                                </a:cubicBezTo>
                                <a:lnTo>
                                  <a:pt x="18" y="48"/>
                                </a:lnTo>
                                <a:close/>
                                <a:moveTo>
                                  <a:pt x="38" y="34"/>
                                </a:moveTo>
                                <a:lnTo>
                                  <a:pt x="38" y="34"/>
                                </a:lnTo>
                                <a:lnTo>
                                  <a:pt x="38" y="34"/>
                                </a:lnTo>
                                <a:lnTo>
                                  <a:pt x="38" y="34"/>
                                </a:lnTo>
                                <a:close/>
                                <a:moveTo>
                                  <a:pt x="37" y="34"/>
                                </a:moveTo>
                                <a:cubicBezTo>
                                  <a:pt x="39" y="5"/>
                                  <a:pt x="9" y="2"/>
                                  <a:pt x="9" y="2"/>
                                </a:cubicBezTo>
                                <a:lnTo>
                                  <a:pt x="9" y="0"/>
                                </a:lnTo>
                                <a:cubicBezTo>
                                  <a:pt x="9" y="0"/>
                                  <a:pt x="40" y="4"/>
                                  <a:pt x="38" y="34"/>
                                </a:cubicBezTo>
                                <a:lnTo>
                                  <a:pt x="37" y="34"/>
                                </a:lnTo>
                                <a:close/>
                              </a:path>
                            </a:pathLst>
                          </a:custGeom>
                          <a:solidFill>
                            <a:srgbClr val="24211D"/>
                          </a:solidFill>
                          <a:ln w="9525">
                            <a:noFill/>
                            <a:round/>
                            <a:headEnd/>
                            <a:tailEnd/>
                          </a:ln>
                        </wps:spPr>
                        <wps:bodyPr/>
                      </wps:wsp>
                      <wps:wsp>
                        <wps:cNvPr id="109" name="Freeform 44"/>
                        <wps:cNvSpPr>
                          <a:spLocks/>
                        </wps:cNvSpPr>
                        <wps:spPr bwMode="auto">
                          <a:xfrm>
                            <a:off x="148" y="116"/>
                            <a:ext cx="15" cy="10"/>
                          </a:xfrm>
                          <a:custGeom>
                            <a:avLst/>
                            <a:gdLst/>
                            <a:ahLst/>
                            <a:cxnLst>
                              <a:cxn ang="0">
                                <a:pos x="0" y="9"/>
                              </a:cxn>
                              <a:cxn ang="0">
                                <a:pos x="16" y="13"/>
                              </a:cxn>
                              <a:cxn ang="0">
                                <a:pos x="15" y="12"/>
                              </a:cxn>
                              <a:cxn ang="0">
                                <a:pos x="1" y="11"/>
                              </a:cxn>
                              <a:cxn ang="0">
                                <a:pos x="0" y="9"/>
                              </a:cxn>
                            </a:cxnLst>
                            <a:rect l="0" t="0" r="r" b="b"/>
                            <a:pathLst>
                              <a:path w="19" h="13">
                                <a:moveTo>
                                  <a:pt x="0" y="9"/>
                                </a:moveTo>
                                <a:cubicBezTo>
                                  <a:pt x="0" y="9"/>
                                  <a:pt x="19" y="0"/>
                                  <a:pt x="16" y="13"/>
                                </a:cubicBezTo>
                                <a:lnTo>
                                  <a:pt x="15" y="12"/>
                                </a:lnTo>
                                <a:cubicBezTo>
                                  <a:pt x="17" y="2"/>
                                  <a:pt x="1" y="10"/>
                                  <a:pt x="1" y="11"/>
                                </a:cubicBezTo>
                                <a:lnTo>
                                  <a:pt x="0" y="9"/>
                                </a:lnTo>
                                <a:close/>
                              </a:path>
                            </a:pathLst>
                          </a:custGeom>
                          <a:solidFill>
                            <a:srgbClr val="24211D"/>
                          </a:solidFill>
                          <a:ln w="9525">
                            <a:noFill/>
                            <a:round/>
                            <a:headEnd/>
                            <a:tailEnd/>
                          </a:ln>
                        </wps:spPr>
                        <wps:bodyPr/>
                      </wps:wsp>
                      <wps:wsp>
                        <wps:cNvPr id="111" name="Freeform 45"/>
                        <wps:cNvSpPr>
                          <a:spLocks noEditPoints="1"/>
                        </wps:cNvSpPr>
                        <wps:spPr bwMode="auto">
                          <a:xfrm>
                            <a:off x="61" y="470"/>
                            <a:ext cx="363" cy="139"/>
                          </a:xfrm>
                          <a:custGeom>
                            <a:avLst/>
                            <a:gdLst/>
                            <a:ahLst/>
                            <a:cxnLst>
                              <a:cxn ang="0">
                                <a:pos x="418" y="28"/>
                              </a:cxn>
                              <a:cxn ang="0">
                                <a:pos x="420" y="7"/>
                              </a:cxn>
                              <a:cxn ang="0">
                                <a:pos x="423" y="8"/>
                              </a:cxn>
                              <a:cxn ang="0">
                                <a:pos x="423" y="8"/>
                              </a:cxn>
                              <a:cxn ang="0">
                                <a:pos x="423" y="8"/>
                              </a:cxn>
                              <a:cxn ang="0">
                                <a:pos x="423" y="6"/>
                              </a:cxn>
                              <a:cxn ang="0">
                                <a:pos x="424" y="2"/>
                              </a:cxn>
                              <a:cxn ang="0">
                                <a:pos x="428" y="1"/>
                              </a:cxn>
                              <a:cxn ang="0">
                                <a:pos x="428" y="1"/>
                              </a:cxn>
                              <a:cxn ang="0">
                                <a:pos x="428" y="0"/>
                              </a:cxn>
                              <a:cxn ang="0">
                                <a:pos x="429" y="0"/>
                              </a:cxn>
                              <a:cxn ang="0">
                                <a:pos x="429" y="0"/>
                              </a:cxn>
                              <a:cxn ang="0">
                                <a:pos x="429" y="1"/>
                              </a:cxn>
                              <a:cxn ang="0">
                                <a:pos x="429" y="0"/>
                              </a:cxn>
                              <a:cxn ang="0">
                                <a:pos x="431" y="1"/>
                              </a:cxn>
                              <a:cxn ang="0">
                                <a:pos x="433" y="6"/>
                              </a:cxn>
                              <a:cxn ang="0">
                                <a:pos x="433" y="6"/>
                              </a:cxn>
                              <a:cxn ang="0">
                                <a:pos x="434" y="7"/>
                              </a:cxn>
                              <a:cxn ang="0">
                                <a:pos x="418" y="24"/>
                              </a:cxn>
                              <a:cxn ang="0">
                                <a:pos x="387" y="47"/>
                              </a:cxn>
                              <a:cxn ang="0">
                                <a:pos x="388" y="47"/>
                              </a:cxn>
                              <a:cxn ang="0">
                                <a:pos x="389" y="48"/>
                              </a:cxn>
                              <a:cxn ang="0">
                                <a:pos x="261" y="153"/>
                              </a:cxn>
                              <a:cxn ang="0">
                                <a:pos x="260" y="153"/>
                              </a:cxn>
                              <a:cxn ang="0">
                                <a:pos x="260" y="152"/>
                              </a:cxn>
                              <a:cxn ang="0">
                                <a:pos x="234" y="147"/>
                              </a:cxn>
                              <a:cxn ang="0">
                                <a:pos x="221" y="169"/>
                              </a:cxn>
                              <a:cxn ang="0">
                                <a:pos x="209" y="147"/>
                              </a:cxn>
                              <a:cxn ang="0">
                                <a:pos x="208" y="147"/>
                              </a:cxn>
                              <a:cxn ang="0">
                                <a:pos x="183" y="153"/>
                              </a:cxn>
                              <a:cxn ang="0">
                                <a:pos x="110" y="98"/>
                              </a:cxn>
                              <a:cxn ang="0">
                                <a:pos x="110" y="97"/>
                              </a:cxn>
                              <a:cxn ang="0">
                                <a:pos x="110" y="98"/>
                              </a:cxn>
                              <a:cxn ang="0">
                                <a:pos x="25" y="25"/>
                              </a:cxn>
                              <a:cxn ang="0">
                                <a:pos x="24" y="24"/>
                              </a:cxn>
                              <a:cxn ang="0">
                                <a:pos x="24" y="24"/>
                              </a:cxn>
                              <a:cxn ang="0">
                                <a:pos x="443" y="9"/>
                              </a:cxn>
                              <a:cxn ang="0">
                                <a:pos x="413" y="55"/>
                              </a:cxn>
                              <a:cxn ang="0">
                                <a:pos x="397" y="52"/>
                              </a:cxn>
                              <a:cxn ang="0">
                                <a:pos x="394" y="61"/>
                              </a:cxn>
                              <a:cxn ang="0">
                                <a:pos x="25" y="28"/>
                              </a:cxn>
                              <a:cxn ang="0">
                                <a:pos x="22" y="8"/>
                              </a:cxn>
                              <a:cxn ang="0">
                                <a:pos x="20" y="8"/>
                              </a:cxn>
                              <a:cxn ang="0">
                                <a:pos x="19" y="7"/>
                              </a:cxn>
                              <a:cxn ang="0">
                                <a:pos x="20" y="6"/>
                              </a:cxn>
                              <a:cxn ang="0">
                                <a:pos x="20" y="6"/>
                              </a:cxn>
                              <a:cxn ang="0">
                                <a:pos x="19" y="6"/>
                              </a:cxn>
                              <a:cxn ang="0">
                                <a:pos x="14" y="1"/>
                              </a:cxn>
                              <a:cxn ang="0">
                                <a:pos x="14" y="1"/>
                              </a:cxn>
                              <a:cxn ang="0">
                                <a:pos x="14" y="0"/>
                              </a:cxn>
                              <a:cxn ang="0">
                                <a:pos x="14" y="1"/>
                              </a:cxn>
                              <a:cxn ang="0">
                                <a:pos x="14" y="1"/>
                              </a:cxn>
                              <a:cxn ang="0">
                                <a:pos x="13" y="2"/>
                              </a:cxn>
                              <a:cxn ang="0">
                                <a:pos x="11" y="1"/>
                              </a:cxn>
                              <a:cxn ang="0">
                                <a:pos x="11" y="1"/>
                              </a:cxn>
                              <a:cxn ang="0">
                                <a:pos x="10" y="6"/>
                              </a:cxn>
                              <a:cxn ang="0">
                                <a:pos x="10" y="8"/>
                              </a:cxn>
                              <a:cxn ang="0">
                                <a:pos x="12" y="15"/>
                              </a:cxn>
                              <a:cxn ang="0">
                                <a:pos x="1" y="19"/>
                              </a:cxn>
                              <a:cxn ang="0">
                                <a:pos x="30" y="54"/>
                              </a:cxn>
                            </a:cxnLst>
                            <a:rect l="0" t="0" r="r" b="b"/>
                            <a:pathLst>
                              <a:path w="443" h="169">
                                <a:moveTo>
                                  <a:pt x="48" y="65"/>
                                </a:moveTo>
                                <a:cubicBezTo>
                                  <a:pt x="48" y="65"/>
                                  <a:pt x="49" y="64"/>
                                  <a:pt x="49" y="61"/>
                                </a:cubicBezTo>
                                <a:lnTo>
                                  <a:pt x="50" y="61"/>
                                </a:lnTo>
                                <a:cubicBezTo>
                                  <a:pt x="51" y="65"/>
                                  <a:pt x="48" y="66"/>
                                  <a:pt x="48" y="66"/>
                                </a:cubicBezTo>
                                <a:lnTo>
                                  <a:pt x="48" y="65"/>
                                </a:lnTo>
                                <a:close/>
                                <a:moveTo>
                                  <a:pt x="418" y="28"/>
                                </a:moveTo>
                                <a:cubicBezTo>
                                  <a:pt x="414" y="14"/>
                                  <a:pt x="418" y="9"/>
                                  <a:pt x="420" y="7"/>
                                </a:cubicBezTo>
                                <a:lnTo>
                                  <a:pt x="421" y="8"/>
                                </a:lnTo>
                                <a:cubicBezTo>
                                  <a:pt x="419" y="10"/>
                                  <a:pt x="416" y="14"/>
                                  <a:pt x="419" y="27"/>
                                </a:cubicBezTo>
                                <a:lnTo>
                                  <a:pt x="418" y="28"/>
                                </a:lnTo>
                                <a:close/>
                                <a:moveTo>
                                  <a:pt x="420" y="7"/>
                                </a:moveTo>
                                <a:cubicBezTo>
                                  <a:pt x="420" y="7"/>
                                  <a:pt x="420" y="7"/>
                                  <a:pt x="420" y="7"/>
                                </a:cubicBezTo>
                                <a:lnTo>
                                  <a:pt x="421" y="8"/>
                                </a:lnTo>
                                <a:cubicBezTo>
                                  <a:pt x="421" y="8"/>
                                  <a:pt x="421" y="8"/>
                                  <a:pt x="421" y="8"/>
                                </a:cubicBezTo>
                                <a:lnTo>
                                  <a:pt x="420" y="7"/>
                                </a:lnTo>
                                <a:close/>
                                <a:moveTo>
                                  <a:pt x="420" y="7"/>
                                </a:moveTo>
                                <a:cubicBezTo>
                                  <a:pt x="422" y="4"/>
                                  <a:pt x="424" y="7"/>
                                  <a:pt x="424" y="7"/>
                                </a:cubicBezTo>
                                <a:lnTo>
                                  <a:pt x="423" y="8"/>
                                </a:lnTo>
                                <a:cubicBezTo>
                                  <a:pt x="423" y="8"/>
                                  <a:pt x="422" y="6"/>
                                  <a:pt x="421" y="8"/>
                                </a:cubicBezTo>
                                <a:lnTo>
                                  <a:pt x="420" y="7"/>
                                </a:lnTo>
                                <a:close/>
                                <a:moveTo>
                                  <a:pt x="424" y="8"/>
                                </a:moveTo>
                                <a:lnTo>
                                  <a:pt x="424" y="10"/>
                                </a:lnTo>
                                <a:lnTo>
                                  <a:pt x="423" y="8"/>
                                </a:lnTo>
                                <a:lnTo>
                                  <a:pt x="423" y="8"/>
                                </a:lnTo>
                                <a:lnTo>
                                  <a:pt x="424" y="8"/>
                                </a:lnTo>
                                <a:close/>
                                <a:moveTo>
                                  <a:pt x="423" y="8"/>
                                </a:moveTo>
                                <a:cubicBezTo>
                                  <a:pt x="423" y="8"/>
                                  <a:pt x="423" y="7"/>
                                  <a:pt x="423" y="7"/>
                                </a:cubicBezTo>
                                <a:lnTo>
                                  <a:pt x="424" y="7"/>
                                </a:lnTo>
                                <a:cubicBezTo>
                                  <a:pt x="424" y="7"/>
                                  <a:pt x="424" y="7"/>
                                  <a:pt x="424" y="8"/>
                                </a:cubicBezTo>
                                <a:lnTo>
                                  <a:pt x="423" y="8"/>
                                </a:lnTo>
                                <a:close/>
                                <a:moveTo>
                                  <a:pt x="423" y="7"/>
                                </a:moveTo>
                                <a:cubicBezTo>
                                  <a:pt x="423" y="7"/>
                                  <a:pt x="423" y="7"/>
                                  <a:pt x="423" y="6"/>
                                </a:cubicBezTo>
                                <a:lnTo>
                                  <a:pt x="424" y="6"/>
                                </a:lnTo>
                                <a:cubicBezTo>
                                  <a:pt x="424" y="7"/>
                                  <a:pt x="424" y="7"/>
                                  <a:pt x="424" y="7"/>
                                </a:cubicBezTo>
                                <a:lnTo>
                                  <a:pt x="423" y="7"/>
                                </a:lnTo>
                                <a:close/>
                                <a:moveTo>
                                  <a:pt x="423" y="6"/>
                                </a:moveTo>
                                <a:lnTo>
                                  <a:pt x="423" y="6"/>
                                </a:lnTo>
                                <a:lnTo>
                                  <a:pt x="424" y="6"/>
                                </a:lnTo>
                                <a:lnTo>
                                  <a:pt x="424" y="6"/>
                                </a:lnTo>
                                <a:lnTo>
                                  <a:pt x="423" y="6"/>
                                </a:lnTo>
                                <a:close/>
                                <a:moveTo>
                                  <a:pt x="423" y="6"/>
                                </a:moveTo>
                                <a:cubicBezTo>
                                  <a:pt x="423" y="5"/>
                                  <a:pt x="423" y="3"/>
                                  <a:pt x="424" y="2"/>
                                </a:cubicBezTo>
                                <a:lnTo>
                                  <a:pt x="425" y="3"/>
                                </a:lnTo>
                                <a:cubicBezTo>
                                  <a:pt x="424" y="4"/>
                                  <a:pt x="424" y="5"/>
                                  <a:pt x="424" y="6"/>
                                </a:cubicBezTo>
                                <a:lnTo>
                                  <a:pt x="423" y="6"/>
                                </a:lnTo>
                                <a:close/>
                                <a:moveTo>
                                  <a:pt x="424" y="2"/>
                                </a:moveTo>
                                <a:cubicBezTo>
                                  <a:pt x="425" y="1"/>
                                  <a:pt x="427" y="0"/>
                                  <a:pt x="428" y="0"/>
                                </a:cubicBezTo>
                                <a:lnTo>
                                  <a:pt x="428" y="1"/>
                                </a:lnTo>
                                <a:cubicBezTo>
                                  <a:pt x="427" y="1"/>
                                  <a:pt x="426" y="2"/>
                                  <a:pt x="425" y="3"/>
                                </a:cubicBezTo>
                                <a:lnTo>
                                  <a:pt x="424" y="2"/>
                                </a:lnTo>
                                <a:close/>
                                <a:moveTo>
                                  <a:pt x="428" y="0"/>
                                </a:moveTo>
                                <a:lnTo>
                                  <a:pt x="428" y="0"/>
                                </a:lnTo>
                                <a:lnTo>
                                  <a:pt x="428" y="1"/>
                                </a:lnTo>
                                <a:lnTo>
                                  <a:pt x="428" y="1"/>
                                </a:lnTo>
                                <a:lnTo>
                                  <a:pt x="428" y="0"/>
                                </a:lnTo>
                                <a:close/>
                                <a:moveTo>
                                  <a:pt x="428" y="0"/>
                                </a:moveTo>
                                <a:cubicBezTo>
                                  <a:pt x="428" y="0"/>
                                  <a:pt x="429" y="0"/>
                                  <a:pt x="429" y="0"/>
                                </a:cubicBezTo>
                                <a:lnTo>
                                  <a:pt x="429" y="1"/>
                                </a:lnTo>
                                <a:cubicBezTo>
                                  <a:pt x="429" y="1"/>
                                  <a:pt x="428" y="1"/>
                                  <a:pt x="428" y="1"/>
                                </a:cubicBezTo>
                                <a:lnTo>
                                  <a:pt x="428" y="0"/>
                                </a:lnTo>
                                <a:close/>
                                <a:moveTo>
                                  <a:pt x="429" y="0"/>
                                </a:moveTo>
                                <a:cubicBezTo>
                                  <a:pt x="429" y="0"/>
                                  <a:pt x="429" y="0"/>
                                  <a:pt x="429" y="0"/>
                                </a:cubicBezTo>
                                <a:lnTo>
                                  <a:pt x="429" y="1"/>
                                </a:lnTo>
                                <a:cubicBezTo>
                                  <a:pt x="429" y="1"/>
                                  <a:pt x="429" y="1"/>
                                  <a:pt x="429" y="1"/>
                                </a:cubicBezTo>
                                <a:lnTo>
                                  <a:pt x="429" y="0"/>
                                </a:lnTo>
                                <a:close/>
                                <a:moveTo>
                                  <a:pt x="429" y="0"/>
                                </a:moveTo>
                                <a:lnTo>
                                  <a:pt x="429" y="0"/>
                                </a:lnTo>
                                <a:lnTo>
                                  <a:pt x="429" y="0"/>
                                </a:lnTo>
                                <a:lnTo>
                                  <a:pt x="429" y="1"/>
                                </a:lnTo>
                                <a:lnTo>
                                  <a:pt x="429" y="0"/>
                                </a:lnTo>
                                <a:close/>
                                <a:moveTo>
                                  <a:pt x="429" y="0"/>
                                </a:moveTo>
                                <a:lnTo>
                                  <a:pt x="429" y="0"/>
                                </a:lnTo>
                                <a:lnTo>
                                  <a:pt x="429" y="1"/>
                                </a:lnTo>
                                <a:lnTo>
                                  <a:pt x="429" y="1"/>
                                </a:lnTo>
                                <a:lnTo>
                                  <a:pt x="429" y="0"/>
                                </a:lnTo>
                                <a:close/>
                                <a:moveTo>
                                  <a:pt x="429" y="0"/>
                                </a:moveTo>
                                <a:lnTo>
                                  <a:pt x="429" y="0"/>
                                </a:lnTo>
                                <a:lnTo>
                                  <a:pt x="429" y="1"/>
                                </a:lnTo>
                                <a:lnTo>
                                  <a:pt x="429" y="0"/>
                                </a:lnTo>
                                <a:close/>
                                <a:moveTo>
                                  <a:pt x="429" y="0"/>
                                </a:moveTo>
                                <a:cubicBezTo>
                                  <a:pt x="429" y="0"/>
                                  <a:pt x="430" y="0"/>
                                  <a:pt x="430" y="0"/>
                                </a:cubicBezTo>
                                <a:lnTo>
                                  <a:pt x="430" y="2"/>
                                </a:lnTo>
                                <a:cubicBezTo>
                                  <a:pt x="429" y="1"/>
                                  <a:pt x="429" y="1"/>
                                  <a:pt x="429" y="1"/>
                                </a:cubicBezTo>
                                <a:lnTo>
                                  <a:pt x="429" y="0"/>
                                </a:lnTo>
                                <a:close/>
                                <a:moveTo>
                                  <a:pt x="430" y="0"/>
                                </a:moveTo>
                                <a:cubicBezTo>
                                  <a:pt x="431" y="1"/>
                                  <a:pt x="431" y="1"/>
                                  <a:pt x="431" y="1"/>
                                </a:cubicBezTo>
                                <a:lnTo>
                                  <a:pt x="431" y="2"/>
                                </a:lnTo>
                                <a:cubicBezTo>
                                  <a:pt x="430" y="2"/>
                                  <a:pt x="430" y="2"/>
                                  <a:pt x="430" y="2"/>
                                </a:cubicBezTo>
                                <a:lnTo>
                                  <a:pt x="430" y="0"/>
                                </a:lnTo>
                                <a:close/>
                                <a:moveTo>
                                  <a:pt x="431" y="1"/>
                                </a:moveTo>
                                <a:lnTo>
                                  <a:pt x="431" y="1"/>
                                </a:lnTo>
                                <a:lnTo>
                                  <a:pt x="431" y="2"/>
                                </a:lnTo>
                                <a:lnTo>
                                  <a:pt x="431" y="1"/>
                                </a:lnTo>
                                <a:close/>
                                <a:moveTo>
                                  <a:pt x="431" y="1"/>
                                </a:moveTo>
                                <a:cubicBezTo>
                                  <a:pt x="433" y="2"/>
                                  <a:pt x="434" y="4"/>
                                  <a:pt x="434" y="6"/>
                                </a:cubicBezTo>
                                <a:lnTo>
                                  <a:pt x="433" y="6"/>
                                </a:lnTo>
                                <a:cubicBezTo>
                                  <a:pt x="433" y="5"/>
                                  <a:pt x="432" y="3"/>
                                  <a:pt x="431" y="2"/>
                                </a:cubicBezTo>
                                <a:lnTo>
                                  <a:pt x="431" y="1"/>
                                </a:lnTo>
                                <a:close/>
                                <a:moveTo>
                                  <a:pt x="434" y="6"/>
                                </a:moveTo>
                                <a:cubicBezTo>
                                  <a:pt x="434" y="7"/>
                                  <a:pt x="434" y="7"/>
                                  <a:pt x="434" y="7"/>
                                </a:cubicBezTo>
                                <a:lnTo>
                                  <a:pt x="433" y="7"/>
                                </a:lnTo>
                                <a:cubicBezTo>
                                  <a:pt x="433" y="7"/>
                                  <a:pt x="433" y="7"/>
                                  <a:pt x="433" y="6"/>
                                </a:cubicBezTo>
                                <a:lnTo>
                                  <a:pt x="434" y="6"/>
                                </a:lnTo>
                                <a:close/>
                                <a:moveTo>
                                  <a:pt x="434" y="7"/>
                                </a:moveTo>
                                <a:cubicBezTo>
                                  <a:pt x="434" y="7"/>
                                  <a:pt x="434" y="8"/>
                                  <a:pt x="434" y="8"/>
                                </a:cubicBezTo>
                                <a:lnTo>
                                  <a:pt x="433" y="8"/>
                                </a:lnTo>
                                <a:cubicBezTo>
                                  <a:pt x="433" y="7"/>
                                  <a:pt x="433" y="7"/>
                                  <a:pt x="433" y="7"/>
                                </a:cubicBezTo>
                                <a:lnTo>
                                  <a:pt x="434" y="7"/>
                                </a:lnTo>
                                <a:close/>
                                <a:moveTo>
                                  <a:pt x="412" y="49"/>
                                </a:moveTo>
                                <a:cubicBezTo>
                                  <a:pt x="412" y="49"/>
                                  <a:pt x="422" y="45"/>
                                  <a:pt x="417" y="24"/>
                                </a:cubicBezTo>
                                <a:lnTo>
                                  <a:pt x="419" y="24"/>
                                </a:lnTo>
                                <a:cubicBezTo>
                                  <a:pt x="423" y="45"/>
                                  <a:pt x="412" y="50"/>
                                  <a:pt x="412" y="50"/>
                                </a:cubicBezTo>
                                <a:lnTo>
                                  <a:pt x="412" y="49"/>
                                </a:lnTo>
                                <a:close/>
                                <a:moveTo>
                                  <a:pt x="418" y="24"/>
                                </a:moveTo>
                                <a:lnTo>
                                  <a:pt x="418" y="24"/>
                                </a:lnTo>
                                <a:lnTo>
                                  <a:pt x="419" y="24"/>
                                </a:lnTo>
                                <a:lnTo>
                                  <a:pt x="418" y="24"/>
                                </a:lnTo>
                                <a:close/>
                                <a:moveTo>
                                  <a:pt x="418" y="25"/>
                                </a:moveTo>
                                <a:cubicBezTo>
                                  <a:pt x="418" y="25"/>
                                  <a:pt x="399" y="20"/>
                                  <a:pt x="389" y="48"/>
                                </a:cubicBezTo>
                                <a:lnTo>
                                  <a:pt x="387" y="47"/>
                                </a:lnTo>
                                <a:cubicBezTo>
                                  <a:pt x="399" y="19"/>
                                  <a:pt x="418" y="24"/>
                                  <a:pt x="418" y="24"/>
                                </a:cubicBezTo>
                                <a:lnTo>
                                  <a:pt x="418" y="25"/>
                                </a:lnTo>
                                <a:close/>
                                <a:moveTo>
                                  <a:pt x="387" y="47"/>
                                </a:moveTo>
                                <a:lnTo>
                                  <a:pt x="387" y="47"/>
                                </a:lnTo>
                                <a:lnTo>
                                  <a:pt x="387" y="47"/>
                                </a:lnTo>
                                <a:lnTo>
                                  <a:pt x="388" y="47"/>
                                </a:lnTo>
                                <a:lnTo>
                                  <a:pt x="387" y="47"/>
                                </a:lnTo>
                                <a:close/>
                                <a:moveTo>
                                  <a:pt x="389" y="48"/>
                                </a:moveTo>
                                <a:cubicBezTo>
                                  <a:pt x="383" y="83"/>
                                  <a:pt x="333" y="98"/>
                                  <a:pt x="333" y="98"/>
                                </a:cubicBezTo>
                                <a:lnTo>
                                  <a:pt x="332" y="96"/>
                                </a:lnTo>
                                <a:cubicBezTo>
                                  <a:pt x="332" y="96"/>
                                  <a:pt x="382" y="82"/>
                                  <a:pt x="387" y="47"/>
                                </a:cubicBezTo>
                                <a:lnTo>
                                  <a:pt x="389" y="48"/>
                                </a:lnTo>
                                <a:close/>
                                <a:moveTo>
                                  <a:pt x="332" y="96"/>
                                </a:moveTo>
                                <a:lnTo>
                                  <a:pt x="332" y="96"/>
                                </a:lnTo>
                                <a:lnTo>
                                  <a:pt x="332" y="97"/>
                                </a:lnTo>
                                <a:lnTo>
                                  <a:pt x="332" y="96"/>
                                </a:lnTo>
                                <a:close/>
                                <a:moveTo>
                                  <a:pt x="333" y="98"/>
                                </a:moveTo>
                                <a:cubicBezTo>
                                  <a:pt x="267" y="121"/>
                                  <a:pt x="261" y="152"/>
                                  <a:pt x="261" y="153"/>
                                </a:cubicBezTo>
                                <a:lnTo>
                                  <a:pt x="259" y="152"/>
                                </a:lnTo>
                                <a:cubicBezTo>
                                  <a:pt x="259" y="152"/>
                                  <a:pt x="266" y="120"/>
                                  <a:pt x="332" y="96"/>
                                </a:cubicBezTo>
                                <a:lnTo>
                                  <a:pt x="333" y="98"/>
                                </a:lnTo>
                                <a:close/>
                                <a:moveTo>
                                  <a:pt x="261" y="153"/>
                                </a:moveTo>
                                <a:lnTo>
                                  <a:pt x="260" y="153"/>
                                </a:lnTo>
                                <a:lnTo>
                                  <a:pt x="260" y="153"/>
                                </a:lnTo>
                                <a:lnTo>
                                  <a:pt x="260" y="152"/>
                                </a:lnTo>
                                <a:lnTo>
                                  <a:pt x="261" y="153"/>
                                </a:lnTo>
                                <a:close/>
                                <a:moveTo>
                                  <a:pt x="260" y="153"/>
                                </a:moveTo>
                                <a:cubicBezTo>
                                  <a:pt x="260" y="153"/>
                                  <a:pt x="243" y="146"/>
                                  <a:pt x="235" y="148"/>
                                </a:cubicBezTo>
                                <a:lnTo>
                                  <a:pt x="234" y="147"/>
                                </a:lnTo>
                                <a:cubicBezTo>
                                  <a:pt x="243" y="145"/>
                                  <a:pt x="260" y="152"/>
                                  <a:pt x="260" y="152"/>
                                </a:cubicBezTo>
                                <a:lnTo>
                                  <a:pt x="260" y="153"/>
                                </a:lnTo>
                                <a:close/>
                                <a:moveTo>
                                  <a:pt x="234" y="147"/>
                                </a:moveTo>
                                <a:lnTo>
                                  <a:pt x="234" y="147"/>
                                </a:lnTo>
                                <a:lnTo>
                                  <a:pt x="234" y="147"/>
                                </a:lnTo>
                                <a:lnTo>
                                  <a:pt x="235" y="147"/>
                                </a:lnTo>
                                <a:lnTo>
                                  <a:pt x="234" y="147"/>
                                </a:lnTo>
                                <a:close/>
                                <a:moveTo>
                                  <a:pt x="235" y="147"/>
                                </a:moveTo>
                                <a:cubicBezTo>
                                  <a:pt x="231" y="163"/>
                                  <a:pt x="221" y="169"/>
                                  <a:pt x="221" y="169"/>
                                </a:cubicBezTo>
                                <a:lnTo>
                                  <a:pt x="220" y="168"/>
                                </a:lnTo>
                                <a:cubicBezTo>
                                  <a:pt x="220" y="168"/>
                                  <a:pt x="230" y="162"/>
                                  <a:pt x="234" y="147"/>
                                </a:cubicBezTo>
                                <a:lnTo>
                                  <a:pt x="235" y="147"/>
                                </a:lnTo>
                                <a:close/>
                                <a:moveTo>
                                  <a:pt x="221" y="169"/>
                                </a:moveTo>
                                <a:lnTo>
                                  <a:pt x="221" y="169"/>
                                </a:lnTo>
                                <a:lnTo>
                                  <a:pt x="220" y="169"/>
                                </a:lnTo>
                                <a:lnTo>
                                  <a:pt x="221" y="169"/>
                                </a:lnTo>
                                <a:close/>
                                <a:moveTo>
                                  <a:pt x="220" y="169"/>
                                </a:moveTo>
                                <a:cubicBezTo>
                                  <a:pt x="220" y="169"/>
                                  <a:pt x="212" y="163"/>
                                  <a:pt x="207" y="147"/>
                                </a:cubicBezTo>
                                <a:lnTo>
                                  <a:pt x="209" y="147"/>
                                </a:lnTo>
                                <a:cubicBezTo>
                                  <a:pt x="213" y="162"/>
                                  <a:pt x="221" y="168"/>
                                  <a:pt x="221" y="168"/>
                                </a:cubicBezTo>
                                <a:lnTo>
                                  <a:pt x="220" y="169"/>
                                </a:lnTo>
                                <a:close/>
                                <a:moveTo>
                                  <a:pt x="208" y="147"/>
                                </a:moveTo>
                                <a:lnTo>
                                  <a:pt x="209" y="147"/>
                                </a:lnTo>
                                <a:lnTo>
                                  <a:pt x="209" y="147"/>
                                </a:lnTo>
                                <a:lnTo>
                                  <a:pt x="208" y="147"/>
                                </a:lnTo>
                                <a:close/>
                                <a:moveTo>
                                  <a:pt x="208" y="148"/>
                                </a:moveTo>
                                <a:cubicBezTo>
                                  <a:pt x="200" y="146"/>
                                  <a:pt x="183" y="153"/>
                                  <a:pt x="183" y="153"/>
                                </a:cubicBezTo>
                                <a:lnTo>
                                  <a:pt x="182" y="152"/>
                                </a:lnTo>
                                <a:cubicBezTo>
                                  <a:pt x="182" y="152"/>
                                  <a:pt x="199" y="144"/>
                                  <a:pt x="208" y="147"/>
                                </a:cubicBezTo>
                                <a:lnTo>
                                  <a:pt x="208" y="148"/>
                                </a:lnTo>
                                <a:close/>
                                <a:moveTo>
                                  <a:pt x="183" y="153"/>
                                </a:moveTo>
                                <a:lnTo>
                                  <a:pt x="182" y="153"/>
                                </a:lnTo>
                                <a:lnTo>
                                  <a:pt x="182" y="153"/>
                                </a:lnTo>
                                <a:lnTo>
                                  <a:pt x="183" y="152"/>
                                </a:lnTo>
                                <a:lnTo>
                                  <a:pt x="183" y="153"/>
                                </a:lnTo>
                                <a:close/>
                                <a:moveTo>
                                  <a:pt x="182" y="153"/>
                                </a:moveTo>
                                <a:cubicBezTo>
                                  <a:pt x="182" y="152"/>
                                  <a:pt x="175" y="121"/>
                                  <a:pt x="110" y="98"/>
                                </a:cubicBezTo>
                                <a:lnTo>
                                  <a:pt x="110" y="96"/>
                                </a:lnTo>
                                <a:cubicBezTo>
                                  <a:pt x="176" y="120"/>
                                  <a:pt x="183" y="152"/>
                                  <a:pt x="183" y="152"/>
                                </a:cubicBezTo>
                                <a:lnTo>
                                  <a:pt x="182" y="153"/>
                                </a:lnTo>
                                <a:close/>
                                <a:moveTo>
                                  <a:pt x="110" y="96"/>
                                </a:moveTo>
                                <a:lnTo>
                                  <a:pt x="110" y="96"/>
                                </a:lnTo>
                                <a:lnTo>
                                  <a:pt x="110" y="97"/>
                                </a:lnTo>
                                <a:lnTo>
                                  <a:pt x="110" y="96"/>
                                </a:lnTo>
                                <a:close/>
                                <a:moveTo>
                                  <a:pt x="110" y="98"/>
                                </a:moveTo>
                                <a:cubicBezTo>
                                  <a:pt x="110" y="98"/>
                                  <a:pt x="60" y="83"/>
                                  <a:pt x="54" y="48"/>
                                </a:cubicBezTo>
                                <a:lnTo>
                                  <a:pt x="55" y="47"/>
                                </a:lnTo>
                                <a:cubicBezTo>
                                  <a:pt x="61" y="82"/>
                                  <a:pt x="110" y="96"/>
                                  <a:pt x="110" y="96"/>
                                </a:cubicBezTo>
                                <a:lnTo>
                                  <a:pt x="110" y="98"/>
                                </a:lnTo>
                                <a:close/>
                                <a:moveTo>
                                  <a:pt x="55" y="47"/>
                                </a:moveTo>
                                <a:lnTo>
                                  <a:pt x="55" y="47"/>
                                </a:lnTo>
                                <a:lnTo>
                                  <a:pt x="55" y="47"/>
                                </a:lnTo>
                                <a:lnTo>
                                  <a:pt x="55" y="47"/>
                                </a:lnTo>
                                <a:close/>
                                <a:moveTo>
                                  <a:pt x="54" y="48"/>
                                </a:moveTo>
                                <a:cubicBezTo>
                                  <a:pt x="43" y="20"/>
                                  <a:pt x="25" y="25"/>
                                  <a:pt x="25" y="25"/>
                                </a:cubicBezTo>
                                <a:lnTo>
                                  <a:pt x="24" y="24"/>
                                </a:lnTo>
                                <a:cubicBezTo>
                                  <a:pt x="25" y="24"/>
                                  <a:pt x="44" y="19"/>
                                  <a:pt x="55" y="47"/>
                                </a:cubicBezTo>
                                <a:lnTo>
                                  <a:pt x="54" y="48"/>
                                </a:lnTo>
                                <a:close/>
                                <a:moveTo>
                                  <a:pt x="24" y="24"/>
                                </a:moveTo>
                                <a:lnTo>
                                  <a:pt x="24" y="24"/>
                                </a:lnTo>
                                <a:lnTo>
                                  <a:pt x="24" y="24"/>
                                </a:lnTo>
                                <a:lnTo>
                                  <a:pt x="25" y="24"/>
                                </a:lnTo>
                                <a:lnTo>
                                  <a:pt x="24" y="24"/>
                                </a:lnTo>
                                <a:close/>
                                <a:moveTo>
                                  <a:pt x="25" y="24"/>
                                </a:moveTo>
                                <a:cubicBezTo>
                                  <a:pt x="21" y="45"/>
                                  <a:pt x="31" y="49"/>
                                  <a:pt x="31" y="49"/>
                                </a:cubicBezTo>
                                <a:lnTo>
                                  <a:pt x="30" y="50"/>
                                </a:lnTo>
                                <a:cubicBezTo>
                                  <a:pt x="30" y="50"/>
                                  <a:pt x="19" y="45"/>
                                  <a:pt x="24" y="24"/>
                                </a:cubicBezTo>
                                <a:lnTo>
                                  <a:pt x="25" y="24"/>
                                </a:lnTo>
                                <a:close/>
                                <a:moveTo>
                                  <a:pt x="443" y="9"/>
                                </a:moveTo>
                                <a:cubicBezTo>
                                  <a:pt x="443" y="9"/>
                                  <a:pt x="441" y="17"/>
                                  <a:pt x="431" y="15"/>
                                </a:cubicBezTo>
                                <a:lnTo>
                                  <a:pt x="431" y="13"/>
                                </a:lnTo>
                                <a:cubicBezTo>
                                  <a:pt x="440" y="15"/>
                                  <a:pt x="442" y="9"/>
                                  <a:pt x="442" y="9"/>
                                </a:cubicBezTo>
                                <a:lnTo>
                                  <a:pt x="443" y="9"/>
                                </a:lnTo>
                                <a:close/>
                                <a:moveTo>
                                  <a:pt x="441" y="19"/>
                                </a:moveTo>
                                <a:cubicBezTo>
                                  <a:pt x="441" y="19"/>
                                  <a:pt x="440" y="23"/>
                                  <a:pt x="435" y="22"/>
                                </a:cubicBezTo>
                                <a:lnTo>
                                  <a:pt x="435" y="20"/>
                                </a:lnTo>
                                <a:cubicBezTo>
                                  <a:pt x="439" y="22"/>
                                  <a:pt x="440" y="19"/>
                                  <a:pt x="440" y="19"/>
                                </a:cubicBezTo>
                                <a:lnTo>
                                  <a:pt x="441" y="19"/>
                                </a:lnTo>
                                <a:close/>
                                <a:moveTo>
                                  <a:pt x="413" y="55"/>
                                </a:moveTo>
                                <a:cubicBezTo>
                                  <a:pt x="413" y="55"/>
                                  <a:pt x="398" y="59"/>
                                  <a:pt x="404" y="43"/>
                                </a:cubicBezTo>
                                <a:lnTo>
                                  <a:pt x="406" y="44"/>
                                </a:lnTo>
                                <a:cubicBezTo>
                                  <a:pt x="400" y="57"/>
                                  <a:pt x="413" y="54"/>
                                  <a:pt x="413" y="54"/>
                                </a:cubicBezTo>
                                <a:lnTo>
                                  <a:pt x="413" y="55"/>
                                </a:lnTo>
                                <a:close/>
                                <a:moveTo>
                                  <a:pt x="404" y="62"/>
                                </a:moveTo>
                                <a:cubicBezTo>
                                  <a:pt x="404" y="62"/>
                                  <a:pt x="395" y="61"/>
                                  <a:pt x="397" y="52"/>
                                </a:cubicBezTo>
                                <a:lnTo>
                                  <a:pt x="398" y="53"/>
                                </a:lnTo>
                                <a:cubicBezTo>
                                  <a:pt x="397" y="60"/>
                                  <a:pt x="404" y="61"/>
                                  <a:pt x="404" y="61"/>
                                </a:cubicBezTo>
                                <a:lnTo>
                                  <a:pt x="404" y="62"/>
                                </a:lnTo>
                                <a:close/>
                                <a:moveTo>
                                  <a:pt x="395" y="66"/>
                                </a:moveTo>
                                <a:cubicBezTo>
                                  <a:pt x="395" y="66"/>
                                  <a:pt x="392" y="65"/>
                                  <a:pt x="392" y="61"/>
                                </a:cubicBezTo>
                                <a:lnTo>
                                  <a:pt x="394" y="61"/>
                                </a:lnTo>
                                <a:cubicBezTo>
                                  <a:pt x="393" y="64"/>
                                  <a:pt x="395" y="65"/>
                                  <a:pt x="395" y="65"/>
                                </a:cubicBezTo>
                                <a:lnTo>
                                  <a:pt x="395" y="66"/>
                                </a:lnTo>
                                <a:close/>
                                <a:moveTo>
                                  <a:pt x="23" y="27"/>
                                </a:moveTo>
                                <a:cubicBezTo>
                                  <a:pt x="27" y="14"/>
                                  <a:pt x="24" y="10"/>
                                  <a:pt x="22" y="8"/>
                                </a:cubicBezTo>
                                <a:lnTo>
                                  <a:pt x="23" y="7"/>
                                </a:lnTo>
                                <a:cubicBezTo>
                                  <a:pt x="25" y="9"/>
                                  <a:pt x="28" y="14"/>
                                  <a:pt x="25" y="28"/>
                                </a:cubicBezTo>
                                <a:lnTo>
                                  <a:pt x="23" y="27"/>
                                </a:lnTo>
                                <a:close/>
                                <a:moveTo>
                                  <a:pt x="22" y="8"/>
                                </a:moveTo>
                                <a:cubicBezTo>
                                  <a:pt x="22" y="8"/>
                                  <a:pt x="22" y="8"/>
                                  <a:pt x="22" y="8"/>
                                </a:cubicBezTo>
                                <a:lnTo>
                                  <a:pt x="23" y="7"/>
                                </a:lnTo>
                                <a:cubicBezTo>
                                  <a:pt x="23" y="7"/>
                                  <a:pt x="23" y="7"/>
                                  <a:pt x="23" y="7"/>
                                </a:cubicBezTo>
                                <a:lnTo>
                                  <a:pt x="22" y="8"/>
                                </a:lnTo>
                                <a:close/>
                                <a:moveTo>
                                  <a:pt x="22" y="8"/>
                                </a:moveTo>
                                <a:cubicBezTo>
                                  <a:pt x="21" y="6"/>
                                  <a:pt x="20" y="8"/>
                                  <a:pt x="20" y="8"/>
                                </a:cubicBezTo>
                                <a:lnTo>
                                  <a:pt x="19" y="7"/>
                                </a:lnTo>
                                <a:cubicBezTo>
                                  <a:pt x="19" y="7"/>
                                  <a:pt x="21" y="4"/>
                                  <a:pt x="23" y="7"/>
                                </a:cubicBezTo>
                                <a:lnTo>
                                  <a:pt x="22" y="8"/>
                                </a:lnTo>
                                <a:close/>
                                <a:moveTo>
                                  <a:pt x="20" y="8"/>
                                </a:moveTo>
                                <a:lnTo>
                                  <a:pt x="18" y="10"/>
                                </a:lnTo>
                                <a:lnTo>
                                  <a:pt x="19" y="8"/>
                                </a:lnTo>
                                <a:lnTo>
                                  <a:pt x="19" y="8"/>
                                </a:lnTo>
                                <a:lnTo>
                                  <a:pt x="20" y="8"/>
                                </a:lnTo>
                                <a:close/>
                                <a:moveTo>
                                  <a:pt x="19" y="8"/>
                                </a:moveTo>
                                <a:cubicBezTo>
                                  <a:pt x="19" y="7"/>
                                  <a:pt x="19" y="7"/>
                                  <a:pt x="19" y="7"/>
                                </a:cubicBezTo>
                                <a:lnTo>
                                  <a:pt x="20" y="7"/>
                                </a:lnTo>
                                <a:cubicBezTo>
                                  <a:pt x="20" y="7"/>
                                  <a:pt x="20" y="8"/>
                                  <a:pt x="20" y="8"/>
                                </a:cubicBezTo>
                                <a:lnTo>
                                  <a:pt x="19" y="8"/>
                                </a:lnTo>
                                <a:close/>
                                <a:moveTo>
                                  <a:pt x="19" y="7"/>
                                </a:moveTo>
                                <a:cubicBezTo>
                                  <a:pt x="19" y="7"/>
                                  <a:pt x="19" y="7"/>
                                  <a:pt x="19" y="6"/>
                                </a:cubicBezTo>
                                <a:lnTo>
                                  <a:pt x="20" y="6"/>
                                </a:lnTo>
                                <a:cubicBezTo>
                                  <a:pt x="20" y="7"/>
                                  <a:pt x="20" y="7"/>
                                  <a:pt x="20" y="7"/>
                                </a:cubicBezTo>
                                <a:lnTo>
                                  <a:pt x="19" y="7"/>
                                </a:lnTo>
                                <a:close/>
                                <a:moveTo>
                                  <a:pt x="19" y="6"/>
                                </a:moveTo>
                                <a:lnTo>
                                  <a:pt x="19" y="6"/>
                                </a:lnTo>
                                <a:lnTo>
                                  <a:pt x="20" y="6"/>
                                </a:lnTo>
                                <a:lnTo>
                                  <a:pt x="20" y="6"/>
                                </a:lnTo>
                                <a:lnTo>
                                  <a:pt x="19" y="6"/>
                                </a:lnTo>
                                <a:close/>
                                <a:moveTo>
                                  <a:pt x="19" y="6"/>
                                </a:moveTo>
                                <a:cubicBezTo>
                                  <a:pt x="19" y="5"/>
                                  <a:pt x="18" y="4"/>
                                  <a:pt x="17" y="3"/>
                                </a:cubicBezTo>
                                <a:lnTo>
                                  <a:pt x="18" y="2"/>
                                </a:lnTo>
                                <a:cubicBezTo>
                                  <a:pt x="19" y="3"/>
                                  <a:pt x="20" y="5"/>
                                  <a:pt x="20" y="6"/>
                                </a:cubicBezTo>
                                <a:lnTo>
                                  <a:pt x="19" y="6"/>
                                </a:lnTo>
                                <a:close/>
                                <a:moveTo>
                                  <a:pt x="17" y="3"/>
                                </a:moveTo>
                                <a:cubicBezTo>
                                  <a:pt x="17" y="2"/>
                                  <a:pt x="15" y="1"/>
                                  <a:pt x="14" y="1"/>
                                </a:cubicBezTo>
                                <a:lnTo>
                                  <a:pt x="14" y="0"/>
                                </a:lnTo>
                                <a:cubicBezTo>
                                  <a:pt x="16" y="0"/>
                                  <a:pt x="17" y="1"/>
                                  <a:pt x="18" y="2"/>
                                </a:cubicBezTo>
                                <a:lnTo>
                                  <a:pt x="17" y="3"/>
                                </a:lnTo>
                                <a:close/>
                                <a:moveTo>
                                  <a:pt x="14" y="1"/>
                                </a:moveTo>
                                <a:lnTo>
                                  <a:pt x="14" y="1"/>
                                </a:lnTo>
                                <a:lnTo>
                                  <a:pt x="14" y="0"/>
                                </a:lnTo>
                                <a:lnTo>
                                  <a:pt x="14" y="0"/>
                                </a:lnTo>
                                <a:lnTo>
                                  <a:pt x="14" y="1"/>
                                </a:lnTo>
                                <a:close/>
                                <a:moveTo>
                                  <a:pt x="14" y="1"/>
                                </a:moveTo>
                                <a:cubicBezTo>
                                  <a:pt x="14" y="1"/>
                                  <a:pt x="14" y="1"/>
                                  <a:pt x="14" y="1"/>
                                </a:cubicBezTo>
                                <a:lnTo>
                                  <a:pt x="14" y="0"/>
                                </a:lnTo>
                                <a:cubicBezTo>
                                  <a:pt x="14" y="0"/>
                                  <a:pt x="14" y="0"/>
                                  <a:pt x="14" y="0"/>
                                </a:cubicBezTo>
                                <a:lnTo>
                                  <a:pt x="14" y="1"/>
                                </a:lnTo>
                                <a:close/>
                                <a:moveTo>
                                  <a:pt x="14" y="1"/>
                                </a:moveTo>
                                <a:cubicBezTo>
                                  <a:pt x="14" y="1"/>
                                  <a:pt x="14" y="1"/>
                                  <a:pt x="14" y="1"/>
                                </a:cubicBezTo>
                                <a:lnTo>
                                  <a:pt x="14" y="0"/>
                                </a:lnTo>
                                <a:cubicBezTo>
                                  <a:pt x="14" y="0"/>
                                  <a:pt x="14" y="0"/>
                                  <a:pt x="14" y="0"/>
                                </a:cubicBezTo>
                                <a:lnTo>
                                  <a:pt x="14" y="1"/>
                                </a:lnTo>
                                <a:close/>
                                <a:moveTo>
                                  <a:pt x="14" y="0"/>
                                </a:moveTo>
                                <a:lnTo>
                                  <a:pt x="14" y="0"/>
                                </a:lnTo>
                                <a:lnTo>
                                  <a:pt x="14" y="0"/>
                                </a:lnTo>
                                <a:lnTo>
                                  <a:pt x="14" y="1"/>
                                </a:lnTo>
                                <a:lnTo>
                                  <a:pt x="14" y="0"/>
                                </a:lnTo>
                                <a:close/>
                                <a:moveTo>
                                  <a:pt x="14" y="1"/>
                                </a:moveTo>
                                <a:lnTo>
                                  <a:pt x="14" y="1"/>
                                </a:lnTo>
                                <a:lnTo>
                                  <a:pt x="14" y="0"/>
                                </a:lnTo>
                                <a:lnTo>
                                  <a:pt x="14" y="0"/>
                                </a:lnTo>
                                <a:lnTo>
                                  <a:pt x="14" y="1"/>
                                </a:lnTo>
                                <a:close/>
                                <a:moveTo>
                                  <a:pt x="14" y="0"/>
                                </a:moveTo>
                                <a:lnTo>
                                  <a:pt x="14" y="0"/>
                                </a:lnTo>
                                <a:lnTo>
                                  <a:pt x="14" y="1"/>
                                </a:lnTo>
                                <a:lnTo>
                                  <a:pt x="14" y="0"/>
                                </a:lnTo>
                                <a:close/>
                                <a:moveTo>
                                  <a:pt x="14" y="1"/>
                                </a:moveTo>
                                <a:cubicBezTo>
                                  <a:pt x="13" y="1"/>
                                  <a:pt x="13" y="1"/>
                                  <a:pt x="13" y="2"/>
                                </a:cubicBezTo>
                                <a:lnTo>
                                  <a:pt x="12" y="0"/>
                                </a:lnTo>
                                <a:cubicBezTo>
                                  <a:pt x="13" y="0"/>
                                  <a:pt x="13" y="0"/>
                                  <a:pt x="14" y="0"/>
                                </a:cubicBezTo>
                                <a:lnTo>
                                  <a:pt x="14" y="1"/>
                                </a:lnTo>
                                <a:close/>
                                <a:moveTo>
                                  <a:pt x="13" y="2"/>
                                </a:moveTo>
                                <a:cubicBezTo>
                                  <a:pt x="13" y="2"/>
                                  <a:pt x="12" y="2"/>
                                  <a:pt x="12" y="2"/>
                                </a:cubicBezTo>
                                <a:lnTo>
                                  <a:pt x="11" y="1"/>
                                </a:lnTo>
                                <a:cubicBezTo>
                                  <a:pt x="12" y="1"/>
                                  <a:pt x="12" y="1"/>
                                  <a:pt x="12" y="0"/>
                                </a:cubicBezTo>
                                <a:lnTo>
                                  <a:pt x="13" y="2"/>
                                </a:lnTo>
                                <a:close/>
                                <a:moveTo>
                                  <a:pt x="11" y="1"/>
                                </a:moveTo>
                                <a:lnTo>
                                  <a:pt x="11" y="1"/>
                                </a:lnTo>
                                <a:lnTo>
                                  <a:pt x="12" y="2"/>
                                </a:lnTo>
                                <a:lnTo>
                                  <a:pt x="11" y="1"/>
                                </a:lnTo>
                                <a:close/>
                                <a:moveTo>
                                  <a:pt x="12" y="2"/>
                                </a:moveTo>
                                <a:cubicBezTo>
                                  <a:pt x="11" y="3"/>
                                  <a:pt x="10" y="5"/>
                                  <a:pt x="10" y="6"/>
                                </a:cubicBezTo>
                                <a:lnTo>
                                  <a:pt x="8" y="6"/>
                                </a:lnTo>
                                <a:cubicBezTo>
                                  <a:pt x="8" y="4"/>
                                  <a:pt x="10" y="2"/>
                                  <a:pt x="11" y="1"/>
                                </a:cubicBezTo>
                                <a:lnTo>
                                  <a:pt x="12" y="2"/>
                                </a:lnTo>
                                <a:close/>
                                <a:moveTo>
                                  <a:pt x="10" y="6"/>
                                </a:moveTo>
                                <a:cubicBezTo>
                                  <a:pt x="10" y="7"/>
                                  <a:pt x="10" y="7"/>
                                  <a:pt x="10" y="7"/>
                                </a:cubicBezTo>
                                <a:lnTo>
                                  <a:pt x="8" y="7"/>
                                </a:lnTo>
                                <a:cubicBezTo>
                                  <a:pt x="8" y="7"/>
                                  <a:pt x="8" y="7"/>
                                  <a:pt x="8" y="6"/>
                                </a:cubicBezTo>
                                <a:lnTo>
                                  <a:pt x="10" y="6"/>
                                </a:lnTo>
                                <a:close/>
                                <a:moveTo>
                                  <a:pt x="10" y="7"/>
                                </a:moveTo>
                                <a:cubicBezTo>
                                  <a:pt x="10" y="7"/>
                                  <a:pt x="10" y="7"/>
                                  <a:pt x="10" y="8"/>
                                </a:cubicBezTo>
                                <a:lnTo>
                                  <a:pt x="9" y="8"/>
                                </a:lnTo>
                                <a:cubicBezTo>
                                  <a:pt x="9" y="8"/>
                                  <a:pt x="9" y="7"/>
                                  <a:pt x="8" y="7"/>
                                </a:cubicBezTo>
                                <a:lnTo>
                                  <a:pt x="10" y="7"/>
                                </a:lnTo>
                                <a:close/>
                                <a:moveTo>
                                  <a:pt x="1" y="9"/>
                                </a:moveTo>
                                <a:cubicBezTo>
                                  <a:pt x="1" y="9"/>
                                  <a:pt x="3" y="15"/>
                                  <a:pt x="11" y="13"/>
                                </a:cubicBezTo>
                                <a:lnTo>
                                  <a:pt x="12" y="15"/>
                                </a:lnTo>
                                <a:cubicBezTo>
                                  <a:pt x="2" y="17"/>
                                  <a:pt x="0" y="9"/>
                                  <a:pt x="0" y="9"/>
                                </a:cubicBezTo>
                                <a:lnTo>
                                  <a:pt x="1" y="9"/>
                                </a:lnTo>
                                <a:close/>
                                <a:moveTo>
                                  <a:pt x="3" y="19"/>
                                </a:moveTo>
                                <a:cubicBezTo>
                                  <a:pt x="3" y="19"/>
                                  <a:pt x="3" y="22"/>
                                  <a:pt x="7" y="20"/>
                                </a:cubicBezTo>
                                <a:lnTo>
                                  <a:pt x="8" y="22"/>
                                </a:lnTo>
                                <a:cubicBezTo>
                                  <a:pt x="2" y="23"/>
                                  <a:pt x="1" y="19"/>
                                  <a:pt x="1" y="19"/>
                                </a:cubicBezTo>
                                <a:lnTo>
                                  <a:pt x="3" y="19"/>
                                </a:lnTo>
                                <a:close/>
                                <a:moveTo>
                                  <a:pt x="30" y="54"/>
                                </a:moveTo>
                                <a:cubicBezTo>
                                  <a:pt x="30" y="54"/>
                                  <a:pt x="42" y="57"/>
                                  <a:pt x="37" y="44"/>
                                </a:cubicBezTo>
                                <a:lnTo>
                                  <a:pt x="38" y="43"/>
                                </a:lnTo>
                                <a:cubicBezTo>
                                  <a:pt x="44" y="59"/>
                                  <a:pt x="30" y="55"/>
                                  <a:pt x="30" y="55"/>
                                </a:cubicBezTo>
                                <a:lnTo>
                                  <a:pt x="30" y="54"/>
                                </a:lnTo>
                                <a:close/>
                                <a:moveTo>
                                  <a:pt x="38" y="61"/>
                                </a:moveTo>
                                <a:cubicBezTo>
                                  <a:pt x="39" y="61"/>
                                  <a:pt x="46" y="60"/>
                                  <a:pt x="45" y="53"/>
                                </a:cubicBezTo>
                                <a:lnTo>
                                  <a:pt x="46" y="52"/>
                                </a:lnTo>
                                <a:cubicBezTo>
                                  <a:pt x="47" y="61"/>
                                  <a:pt x="39" y="62"/>
                                  <a:pt x="39" y="62"/>
                                </a:cubicBezTo>
                                <a:lnTo>
                                  <a:pt x="38" y="61"/>
                                </a:lnTo>
                                <a:close/>
                              </a:path>
                            </a:pathLst>
                          </a:custGeom>
                          <a:solidFill>
                            <a:srgbClr val="24211D"/>
                          </a:solidFill>
                          <a:ln w="9525">
                            <a:noFill/>
                            <a:round/>
                            <a:headEnd/>
                            <a:tailEnd/>
                          </a:ln>
                        </wps:spPr>
                        <wps:bodyPr/>
                      </wps:wsp>
                      <wps:wsp>
                        <wps:cNvPr id="112" name="Freeform 46"/>
                        <wps:cNvSpPr>
                          <a:spLocks/>
                        </wps:cNvSpPr>
                        <wps:spPr bwMode="auto">
                          <a:xfrm>
                            <a:off x="450" y="158"/>
                            <a:ext cx="5" cy="12"/>
                          </a:xfrm>
                          <a:custGeom>
                            <a:avLst/>
                            <a:gdLst/>
                            <a:ahLst/>
                            <a:cxnLst>
                              <a:cxn ang="0">
                                <a:pos x="6" y="0"/>
                              </a:cxn>
                              <a:cxn ang="0">
                                <a:pos x="0" y="14"/>
                              </a:cxn>
                              <a:cxn ang="0">
                                <a:pos x="6" y="11"/>
                              </a:cxn>
                              <a:cxn ang="0">
                                <a:pos x="6" y="0"/>
                              </a:cxn>
                            </a:cxnLst>
                            <a:rect l="0" t="0" r="r" b="b"/>
                            <a:pathLst>
                              <a:path w="6" h="14">
                                <a:moveTo>
                                  <a:pt x="6" y="0"/>
                                </a:moveTo>
                                <a:cubicBezTo>
                                  <a:pt x="1" y="7"/>
                                  <a:pt x="0" y="14"/>
                                  <a:pt x="0" y="14"/>
                                </a:cubicBezTo>
                                <a:cubicBezTo>
                                  <a:pt x="2" y="10"/>
                                  <a:pt x="6" y="11"/>
                                  <a:pt x="6" y="11"/>
                                </a:cubicBezTo>
                                <a:cubicBezTo>
                                  <a:pt x="4" y="5"/>
                                  <a:pt x="6" y="0"/>
                                  <a:pt x="6" y="0"/>
                                </a:cubicBezTo>
                                <a:close/>
                              </a:path>
                            </a:pathLst>
                          </a:custGeom>
                          <a:solidFill>
                            <a:srgbClr val="24211D"/>
                          </a:solidFill>
                          <a:ln w="9525">
                            <a:noFill/>
                            <a:round/>
                            <a:headEnd/>
                            <a:tailEnd/>
                          </a:ln>
                        </wps:spPr>
                        <wps:bodyPr/>
                      </wps:wsp>
                      <wps:wsp>
                        <wps:cNvPr id="113" name="Freeform 47"/>
                        <wps:cNvSpPr>
                          <a:spLocks noEditPoints="1"/>
                        </wps:cNvSpPr>
                        <wps:spPr bwMode="auto">
                          <a:xfrm>
                            <a:off x="449" y="156"/>
                            <a:ext cx="6" cy="16"/>
                          </a:xfrm>
                          <a:custGeom>
                            <a:avLst/>
                            <a:gdLst/>
                            <a:ahLst/>
                            <a:cxnLst>
                              <a:cxn ang="0">
                                <a:pos x="7" y="4"/>
                              </a:cxn>
                              <a:cxn ang="0">
                                <a:pos x="1" y="17"/>
                              </a:cxn>
                              <a:cxn ang="0">
                                <a:pos x="0" y="17"/>
                              </a:cxn>
                              <a:cxn ang="0">
                                <a:pos x="6" y="3"/>
                              </a:cxn>
                              <a:cxn ang="0">
                                <a:pos x="7" y="4"/>
                              </a:cxn>
                              <a:cxn ang="0">
                                <a:pos x="1" y="18"/>
                              </a:cxn>
                              <a:cxn ang="0">
                                <a:pos x="0" y="20"/>
                              </a:cxn>
                              <a:cxn ang="0">
                                <a:pos x="0" y="17"/>
                              </a:cxn>
                              <a:cxn ang="0">
                                <a:pos x="1" y="17"/>
                              </a:cxn>
                              <a:cxn ang="0">
                                <a:pos x="1" y="18"/>
                              </a:cxn>
                              <a:cxn ang="0">
                                <a:pos x="0" y="17"/>
                              </a:cxn>
                              <a:cxn ang="0">
                                <a:pos x="7" y="14"/>
                              </a:cxn>
                              <a:cxn ang="0">
                                <a:pos x="6" y="15"/>
                              </a:cxn>
                              <a:cxn ang="0">
                                <a:pos x="1" y="18"/>
                              </a:cxn>
                              <a:cxn ang="0">
                                <a:pos x="0" y="17"/>
                              </a:cxn>
                              <a:cxn ang="0">
                                <a:pos x="7" y="14"/>
                              </a:cxn>
                              <a:cxn ang="0">
                                <a:pos x="7" y="15"/>
                              </a:cxn>
                              <a:cxn ang="0">
                                <a:pos x="6" y="15"/>
                              </a:cxn>
                              <a:cxn ang="0">
                                <a:pos x="7" y="14"/>
                              </a:cxn>
                              <a:cxn ang="0">
                                <a:pos x="6" y="14"/>
                              </a:cxn>
                              <a:cxn ang="0">
                                <a:pos x="6" y="3"/>
                              </a:cxn>
                              <a:cxn ang="0">
                                <a:pos x="7" y="4"/>
                              </a:cxn>
                              <a:cxn ang="0">
                                <a:pos x="7" y="14"/>
                              </a:cxn>
                              <a:cxn ang="0">
                                <a:pos x="6" y="14"/>
                              </a:cxn>
                              <a:cxn ang="0">
                                <a:pos x="6" y="3"/>
                              </a:cxn>
                              <a:cxn ang="0">
                                <a:pos x="8" y="0"/>
                              </a:cxn>
                              <a:cxn ang="0">
                                <a:pos x="7" y="4"/>
                              </a:cxn>
                              <a:cxn ang="0">
                                <a:pos x="7" y="3"/>
                              </a:cxn>
                              <a:cxn ang="0">
                                <a:pos x="6" y="3"/>
                              </a:cxn>
                            </a:cxnLst>
                            <a:rect l="0" t="0" r="r" b="b"/>
                            <a:pathLst>
                              <a:path w="8" h="20">
                                <a:moveTo>
                                  <a:pt x="7" y="4"/>
                                </a:moveTo>
                                <a:cubicBezTo>
                                  <a:pt x="2" y="10"/>
                                  <a:pt x="1" y="17"/>
                                  <a:pt x="1" y="17"/>
                                </a:cubicBezTo>
                                <a:lnTo>
                                  <a:pt x="0" y="17"/>
                                </a:lnTo>
                                <a:cubicBezTo>
                                  <a:pt x="0" y="17"/>
                                  <a:pt x="1" y="10"/>
                                  <a:pt x="6" y="3"/>
                                </a:cubicBezTo>
                                <a:lnTo>
                                  <a:pt x="7" y="4"/>
                                </a:lnTo>
                                <a:close/>
                                <a:moveTo>
                                  <a:pt x="1" y="18"/>
                                </a:moveTo>
                                <a:lnTo>
                                  <a:pt x="0" y="20"/>
                                </a:lnTo>
                                <a:lnTo>
                                  <a:pt x="0" y="17"/>
                                </a:lnTo>
                                <a:lnTo>
                                  <a:pt x="1" y="17"/>
                                </a:lnTo>
                                <a:lnTo>
                                  <a:pt x="1" y="18"/>
                                </a:lnTo>
                                <a:close/>
                                <a:moveTo>
                                  <a:pt x="0" y="17"/>
                                </a:moveTo>
                                <a:cubicBezTo>
                                  <a:pt x="3" y="13"/>
                                  <a:pt x="7" y="14"/>
                                  <a:pt x="7" y="14"/>
                                </a:cubicBezTo>
                                <a:lnTo>
                                  <a:pt x="6" y="15"/>
                                </a:lnTo>
                                <a:cubicBezTo>
                                  <a:pt x="6" y="15"/>
                                  <a:pt x="4" y="14"/>
                                  <a:pt x="1" y="18"/>
                                </a:cubicBezTo>
                                <a:lnTo>
                                  <a:pt x="0" y="17"/>
                                </a:lnTo>
                                <a:close/>
                                <a:moveTo>
                                  <a:pt x="7" y="14"/>
                                </a:moveTo>
                                <a:lnTo>
                                  <a:pt x="7" y="15"/>
                                </a:lnTo>
                                <a:lnTo>
                                  <a:pt x="6" y="15"/>
                                </a:lnTo>
                                <a:lnTo>
                                  <a:pt x="7" y="14"/>
                                </a:lnTo>
                                <a:close/>
                                <a:moveTo>
                                  <a:pt x="6" y="14"/>
                                </a:moveTo>
                                <a:cubicBezTo>
                                  <a:pt x="5" y="8"/>
                                  <a:pt x="6" y="3"/>
                                  <a:pt x="6" y="3"/>
                                </a:cubicBezTo>
                                <a:lnTo>
                                  <a:pt x="7" y="4"/>
                                </a:lnTo>
                                <a:cubicBezTo>
                                  <a:pt x="7" y="4"/>
                                  <a:pt x="6" y="8"/>
                                  <a:pt x="7" y="14"/>
                                </a:cubicBezTo>
                                <a:lnTo>
                                  <a:pt x="6" y="14"/>
                                </a:lnTo>
                                <a:close/>
                                <a:moveTo>
                                  <a:pt x="6" y="3"/>
                                </a:moveTo>
                                <a:lnTo>
                                  <a:pt x="8" y="0"/>
                                </a:lnTo>
                                <a:lnTo>
                                  <a:pt x="7" y="4"/>
                                </a:lnTo>
                                <a:lnTo>
                                  <a:pt x="7" y="3"/>
                                </a:lnTo>
                                <a:lnTo>
                                  <a:pt x="6" y="3"/>
                                </a:lnTo>
                                <a:close/>
                              </a:path>
                            </a:pathLst>
                          </a:custGeom>
                          <a:solidFill>
                            <a:srgbClr val="24211D"/>
                          </a:solidFill>
                          <a:ln w="9525">
                            <a:noFill/>
                            <a:round/>
                            <a:headEnd/>
                            <a:tailEnd/>
                          </a:ln>
                        </wps:spPr>
                        <wps:bodyPr/>
                      </wps:wsp>
                      <wps:wsp>
                        <wps:cNvPr id="114" name="Freeform 48"/>
                        <wps:cNvSpPr>
                          <a:spLocks/>
                        </wps:cNvSpPr>
                        <wps:spPr bwMode="auto">
                          <a:xfrm>
                            <a:off x="444" y="279"/>
                            <a:ext cx="24" cy="11"/>
                          </a:xfrm>
                          <a:custGeom>
                            <a:avLst/>
                            <a:gdLst/>
                            <a:ahLst/>
                            <a:cxnLst>
                              <a:cxn ang="0">
                                <a:pos x="0" y="3"/>
                              </a:cxn>
                              <a:cxn ang="0">
                                <a:pos x="18" y="14"/>
                              </a:cxn>
                              <a:cxn ang="0">
                                <a:pos x="29" y="13"/>
                              </a:cxn>
                              <a:cxn ang="0">
                                <a:pos x="29" y="13"/>
                              </a:cxn>
                              <a:cxn ang="0">
                                <a:pos x="29" y="13"/>
                              </a:cxn>
                              <a:cxn ang="0">
                                <a:pos x="15" y="9"/>
                              </a:cxn>
                              <a:cxn ang="0">
                                <a:pos x="12" y="3"/>
                              </a:cxn>
                              <a:cxn ang="0">
                                <a:pos x="11" y="0"/>
                              </a:cxn>
                              <a:cxn ang="0">
                                <a:pos x="11" y="1"/>
                              </a:cxn>
                              <a:cxn ang="0">
                                <a:pos x="0" y="3"/>
                              </a:cxn>
                            </a:cxnLst>
                            <a:rect l="0" t="0" r="r" b="b"/>
                            <a:pathLst>
                              <a:path w="29" h="14">
                                <a:moveTo>
                                  <a:pt x="0" y="3"/>
                                </a:moveTo>
                                <a:cubicBezTo>
                                  <a:pt x="0" y="3"/>
                                  <a:pt x="5" y="12"/>
                                  <a:pt x="18" y="14"/>
                                </a:cubicBezTo>
                                <a:cubicBezTo>
                                  <a:pt x="22" y="14"/>
                                  <a:pt x="25" y="14"/>
                                  <a:pt x="29" y="13"/>
                                </a:cubicBezTo>
                                <a:cubicBezTo>
                                  <a:pt x="29" y="13"/>
                                  <a:pt x="29" y="13"/>
                                  <a:pt x="29" y="13"/>
                                </a:cubicBezTo>
                                <a:cubicBezTo>
                                  <a:pt x="29" y="13"/>
                                  <a:pt x="29" y="13"/>
                                  <a:pt x="29" y="13"/>
                                </a:cubicBezTo>
                                <a:cubicBezTo>
                                  <a:pt x="22" y="14"/>
                                  <a:pt x="18" y="12"/>
                                  <a:pt x="15" y="9"/>
                                </a:cubicBezTo>
                                <a:cubicBezTo>
                                  <a:pt x="14" y="7"/>
                                  <a:pt x="13" y="5"/>
                                  <a:pt x="12" y="3"/>
                                </a:cubicBezTo>
                                <a:cubicBezTo>
                                  <a:pt x="12" y="1"/>
                                  <a:pt x="11" y="0"/>
                                  <a:pt x="11" y="0"/>
                                </a:cubicBezTo>
                                <a:cubicBezTo>
                                  <a:pt x="11" y="0"/>
                                  <a:pt x="11" y="1"/>
                                  <a:pt x="11" y="1"/>
                                </a:cubicBezTo>
                                <a:cubicBezTo>
                                  <a:pt x="10" y="3"/>
                                  <a:pt x="5" y="9"/>
                                  <a:pt x="0" y="3"/>
                                </a:cubicBezTo>
                                <a:close/>
                              </a:path>
                            </a:pathLst>
                          </a:custGeom>
                          <a:solidFill>
                            <a:srgbClr val="24211D"/>
                          </a:solidFill>
                          <a:ln w="1588" cap="flat">
                            <a:solidFill>
                              <a:srgbClr val="24211D"/>
                            </a:solidFill>
                            <a:prstDash val="solid"/>
                            <a:round/>
                            <a:headEnd/>
                            <a:tailEnd/>
                          </a:ln>
                        </wps:spPr>
                        <wps:bodyPr/>
                      </wps:wsp>
                      <wps:wsp>
                        <wps:cNvPr id="115" name="Freeform 49"/>
                        <wps:cNvSpPr>
                          <a:spLocks noEditPoints="1"/>
                        </wps:cNvSpPr>
                        <wps:spPr bwMode="auto">
                          <a:xfrm>
                            <a:off x="256" y="106"/>
                            <a:ext cx="136" cy="38"/>
                          </a:xfrm>
                          <a:custGeom>
                            <a:avLst/>
                            <a:gdLst/>
                            <a:ahLst/>
                            <a:cxnLst>
                              <a:cxn ang="0">
                                <a:pos x="164" y="11"/>
                              </a:cxn>
                              <a:cxn ang="0">
                                <a:pos x="153" y="32"/>
                              </a:cxn>
                              <a:cxn ang="0">
                                <a:pos x="160" y="33"/>
                              </a:cxn>
                              <a:cxn ang="0">
                                <a:pos x="161" y="34"/>
                              </a:cxn>
                              <a:cxn ang="0">
                                <a:pos x="160" y="33"/>
                              </a:cxn>
                              <a:cxn ang="0">
                                <a:pos x="160" y="33"/>
                              </a:cxn>
                              <a:cxn ang="0">
                                <a:pos x="161" y="34"/>
                              </a:cxn>
                              <a:cxn ang="0">
                                <a:pos x="127" y="32"/>
                              </a:cxn>
                              <a:cxn ang="0">
                                <a:pos x="127" y="32"/>
                              </a:cxn>
                              <a:cxn ang="0">
                                <a:pos x="126" y="34"/>
                              </a:cxn>
                              <a:cxn ang="0">
                                <a:pos x="126" y="34"/>
                              </a:cxn>
                              <a:cxn ang="0">
                                <a:pos x="122" y="33"/>
                              </a:cxn>
                              <a:cxn ang="0">
                                <a:pos x="127" y="41"/>
                              </a:cxn>
                              <a:cxn ang="0">
                                <a:pos x="128" y="40"/>
                              </a:cxn>
                              <a:cxn ang="0">
                                <a:pos x="97" y="30"/>
                              </a:cxn>
                              <a:cxn ang="0">
                                <a:pos x="98" y="29"/>
                              </a:cxn>
                              <a:cxn ang="0">
                                <a:pos x="97" y="30"/>
                              </a:cxn>
                              <a:cxn ang="0">
                                <a:pos x="97" y="30"/>
                              </a:cxn>
                              <a:cxn ang="0">
                                <a:pos x="90" y="28"/>
                              </a:cxn>
                              <a:cxn ang="0">
                                <a:pos x="96" y="38"/>
                              </a:cxn>
                              <a:cxn ang="0">
                                <a:pos x="98" y="38"/>
                              </a:cxn>
                              <a:cxn ang="0">
                                <a:pos x="97" y="38"/>
                              </a:cxn>
                              <a:cxn ang="0">
                                <a:pos x="97" y="38"/>
                              </a:cxn>
                              <a:cxn ang="0">
                                <a:pos x="57" y="21"/>
                              </a:cxn>
                              <a:cxn ang="0">
                                <a:pos x="57" y="21"/>
                              </a:cxn>
                              <a:cxn ang="0">
                                <a:pos x="35" y="38"/>
                              </a:cxn>
                              <a:cxn ang="0">
                                <a:pos x="34" y="12"/>
                              </a:cxn>
                              <a:cxn ang="0">
                                <a:pos x="34" y="12"/>
                              </a:cxn>
                              <a:cxn ang="0">
                                <a:pos x="33" y="13"/>
                              </a:cxn>
                              <a:cxn ang="0">
                                <a:pos x="33" y="13"/>
                              </a:cxn>
                              <a:cxn ang="0">
                                <a:pos x="6" y="15"/>
                              </a:cxn>
                              <a:cxn ang="0">
                                <a:pos x="4" y="27"/>
                              </a:cxn>
                              <a:cxn ang="0">
                                <a:pos x="4" y="27"/>
                              </a:cxn>
                              <a:cxn ang="0">
                                <a:pos x="4" y="27"/>
                              </a:cxn>
                              <a:cxn ang="0">
                                <a:pos x="4" y="27"/>
                              </a:cxn>
                              <a:cxn ang="0">
                                <a:pos x="4" y="28"/>
                              </a:cxn>
                              <a:cxn ang="0">
                                <a:pos x="6" y="28"/>
                              </a:cxn>
                              <a:cxn ang="0">
                                <a:pos x="6" y="28"/>
                              </a:cxn>
                              <a:cxn ang="0">
                                <a:pos x="6" y="28"/>
                              </a:cxn>
                              <a:cxn ang="0">
                                <a:pos x="10" y="31"/>
                              </a:cxn>
                              <a:cxn ang="0">
                                <a:pos x="15" y="29"/>
                              </a:cxn>
                              <a:cxn ang="0">
                                <a:pos x="16" y="25"/>
                              </a:cxn>
                              <a:cxn ang="0">
                                <a:pos x="16" y="25"/>
                              </a:cxn>
                              <a:cxn ang="0">
                                <a:pos x="16" y="25"/>
                              </a:cxn>
                              <a:cxn ang="0">
                                <a:pos x="17" y="25"/>
                              </a:cxn>
                              <a:cxn ang="0">
                                <a:pos x="16" y="22"/>
                              </a:cxn>
                              <a:cxn ang="0">
                                <a:pos x="15" y="22"/>
                              </a:cxn>
                              <a:cxn ang="0">
                                <a:pos x="15" y="22"/>
                              </a:cxn>
                              <a:cxn ang="0">
                                <a:pos x="15" y="22"/>
                              </a:cxn>
                            </a:cxnLst>
                            <a:rect l="0" t="0" r="r" b="b"/>
                            <a:pathLst>
                              <a:path w="166" h="46">
                                <a:moveTo>
                                  <a:pt x="165" y="11"/>
                                </a:moveTo>
                                <a:cubicBezTo>
                                  <a:pt x="165" y="11"/>
                                  <a:pt x="166" y="26"/>
                                  <a:pt x="154" y="33"/>
                                </a:cubicBezTo>
                                <a:lnTo>
                                  <a:pt x="153" y="32"/>
                                </a:lnTo>
                                <a:cubicBezTo>
                                  <a:pt x="164" y="26"/>
                                  <a:pt x="164" y="11"/>
                                  <a:pt x="164" y="11"/>
                                </a:cubicBezTo>
                                <a:lnTo>
                                  <a:pt x="165" y="11"/>
                                </a:lnTo>
                                <a:close/>
                                <a:moveTo>
                                  <a:pt x="153" y="33"/>
                                </a:moveTo>
                                <a:lnTo>
                                  <a:pt x="152" y="33"/>
                                </a:lnTo>
                                <a:lnTo>
                                  <a:pt x="153" y="32"/>
                                </a:lnTo>
                                <a:lnTo>
                                  <a:pt x="154" y="33"/>
                                </a:lnTo>
                                <a:lnTo>
                                  <a:pt x="153" y="33"/>
                                </a:lnTo>
                                <a:close/>
                                <a:moveTo>
                                  <a:pt x="154" y="32"/>
                                </a:moveTo>
                                <a:cubicBezTo>
                                  <a:pt x="158" y="35"/>
                                  <a:pt x="160" y="33"/>
                                  <a:pt x="160" y="33"/>
                                </a:cubicBezTo>
                                <a:lnTo>
                                  <a:pt x="161" y="34"/>
                                </a:lnTo>
                                <a:cubicBezTo>
                                  <a:pt x="161" y="34"/>
                                  <a:pt x="158" y="36"/>
                                  <a:pt x="153" y="33"/>
                                </a:cubicBezTo>
                                <a:lnTo>
                                  <a:pt x="154" y="32"/>
                                </a:lnTo>
                                <a:close/>
                                <a:moveTo>
                                  <a:pt x="161" y="34"/>
                                </a:moveTo>
                                <a:lnTo>
                                  <a:pt x="161" y="34"/>
                                </a:lnTo>
                                <a:lnTo>
                                  <a:pt x="160" y="34"/>
                                </a:lnTo>
                                <a:lnTo>
                                  <a:pt x="161" y="34"/>
                                </a:lnTo>
                                <a:close/>
                                <a:moveTo>
                                  <a:pt x="160" y="33"/>
                                </a:moveTo>
                                <a:cubicBezTo>
                                  <a:pt x="160" y="33"/>
                                  <a:pt x="162" y="31"/>
                                  <a:pt x="162" y="34"/>
                                </a:cubicBezTo>
                                <a:lnTo>
                                  <a:pt x="161" y="34"/>
                                </a:lnTo>
                                <a:cubicBezTo>
                                  <a:pt x="161" y="33"/>
                                  <a:pt x="161" y="34"/>
                                  <a:pt x="161" y="34"/>
                                </a:cubicBezTo>
                                <a:lnTo>
                                  <a:pt x="160" y="33"/>
                                </a:lnTo>
                                <a:close/>
                                <a:moveTo>
                                  <a:pt x="162" y="34"/>
                                </a:moveTo>
                                <a:lnTo>
                                  <a:pt x="162" y="34"/>
                                </a:lnTo>
                                <a:lnTo>
                                  <a:pt x="162" y="34"/>
                                </a:lnTo>
                                <a:lnTo>
                                  <a:pt x="161" y="34"/>
                                </a:lnTo>
                                <a:lnTo>
                                  <a:pt x="162" y="34"/>
                                </a:lnTo>
                                <a:close/>
                                <a:moveTo>
                                  <a:pt x="162" y="34"/>
                                </a:moveTo>
                                <a:cubicBezTo>
                                  <a:pt x="162" y="34"/>
                                  <a:pt x="149" y="45"/>
                                  <a:pt x="126" y="34"/>
                                </a:cubicBezTo>
                                <a:lnTo>
                                  <a:pt x="127" y="32"/>
                                </a:lnTo>
                                <a:cubicBezTo>
                                  <a:pt x="149" y="43"/>
                                  <a:pt x="161" y="33"/>
                                  <a:pt x="161" y="33"/>
                                </a:cubicBezTo>
                                <a:lnTo>
                                  <a:pt x="162" y="34"/>
                                </a:lnTo>
                                <a:close/>
                                <a:moveTo>
                                  <a:pt x="127" y="32"/>
                                </a:moveTo>
                                <a:lnTo>
                                  <a:pt x="127" y="32"/>
                                </a:lnTo>
                                <a:lnTo>
                                  <a:pt x="127" y="32"/>
                                </a:lnTo>
                                <a:lnTo>
                                  <a:pt x="126" y="33"/>
                                </a:lnTo>
                                <a:lnTo>
                                  <a:pt x="127" y="32"/>
                                </a:lnTo>
                                <a:close/>
                                <a:moveTo>
                                  <a:pt x="126" y="34"/>
                                </a:moveTo>
                                <a:cubicBezTo>
                                  <a:pt x="126" y="34"/>
                                  <a:pt x="124" y="33"/>
                                  <a:pt x="122" y="34"/>
                                </a:cubicBezTo>
                                <a:lnTo>
                                  <a:pt x="122" y="32"/>
                                </a:lnTo>
                                <a:cubicBezTo>
                                  <a:pt x="124" y="32"/>
                                  <a:pt x="127" y="32"/>
                                  <a:pt x="127" y="32"/>
                                </a:cubicBezTo>
                                <a:lnTo>
                                  <a:pt x="126" y="34"/>
                                </a:lnTo>
                                <a:close/>
                                <a:moveTo>
                                  <a:pt x="122" y="32"/>
                                </a:moveTo>
                                <a:lnTo>
                                  <a:pt x="122" y="32"/>
                                </a:lnTo>
                                <a:lnTo>
                                  <a:pt x="122" y="32"/>
                                </a:lnTo>
                                <a:lnTo>
                                  <a:pt x="122" y="33"/>
                                </a:lnTo>
                                <a:lnTo>
                                  <a:pt x="122" y="32"/>
                                </a:lnTo>
                                <a:close/>
                                <a:moveTo>
                                  <a:pt x="123" y="33"/>
                                </a:moveTo>
                                <a:cubicBezTo>
                                  <a:pt x="119" y="36"/>
                                  <a:pt x="127" y="40"/>
                                  <a:pt x="127" y="40"/>
                                </a:cubicBezTo>
                                <a:lnTo>
                                  <a:pt x="127" y="41"/>
                                </a:lnTo>
                                <a:cubicBezTo>
                                  <a:pt x="127" y="41"/>
                                  <a:pt x="117" y="37"/>
                                  <a:pt x="122" y="32"/>
                                </a:cubicBezTo>
                                <a:lnTo>
                                  <a:pt x="123" y="33"/>
                                </a:lnTo>
                                <a:close/>
                                <a:moveTo>
                                  <a:pt x="127" y="40"/>
                                </a:moveTo>
                                <a:lnTo>
                                  <a:pt x="128" y="40"/>
                                </a:lnTo>
                                <a:lnTo>
                                  <a:pt x="127" y="41"/>
                                </a:lnTo>
                                <a:lnTo>
                                  <a:pt x="127" y="40"/>
                                </a:lnTo>
                                <a:close/>
                                <a:moveTo>
                                  <a:pt x="127" y="41"/>
                                </a:moveTo>
                                <a:cubicBezTo>
                                  <a:pt x="127" y="41"/>
                                  <a:pt x="118" y="46"/>
                                  <a:pt x="97" y="30"/>
                                </a:cubicBezTo>
                                <a:lnTo>
                                  <a:pt x="98" y="29"/>
                                </a:lnTo>
                                <a:cubicBezTo>
                                  <a:pt x="118" y="44"/>
                                  <a:pt x="126" y="40"/>
                                  <a:pt x="127" y="40"/>
                                </a:cubicBezTo>
                                <a:lnTo>
                                  <a:pt x="127" y="41"/>
                                </a:lnTo>
                                <a:close/>
                                <a:moveTo>
                                  <a:pt x="98" y="29"/>
                                </a:moveTo>
                                <a:lnTo>
                                  <a:pt x="98" y="29"/>
                                </a:lnTo>
                                <a:lnTo>
                                  <a:pt x="97" y="29"/>
                                </a:lnTo>
                                <a:lnTo>
                                  <a:pt x="98" y="29"/>
                                </a:lnTo>
                                <a:close/>
                                <a:moveTo>
                                  <a:pt x="97" y="30"/>
                                </a:moveTo>
                                <a:cubicBezTo>
                                  <a:pt x="97" y="30"/>
                                  <a:pt x="91" y="25"/>
                                  <a:pt x="90" y="28"/>
                                </a:cubicBezTo>
                                <a:lnTo>
                                  <a:pt x="89" y="28"/>
                                </a:lnTo>
                                <a:cubicBezTo>
                                  <a:pt x="90" y="23"/>
                                  <a:pt x="98" y="29"/>
                                  <a:pt x="98" y="29"/>
                                </a:cubicBezTo>
                                <a:lnTo>
                                  <a:pt x="97" y="30"/>
                                </a:lnTo>
                                <a:close/>
                                <a:moveTo>
                                  <a:pt x="89" y="28"/>
                                </a:moveTo>
                                <a:lnTo>
                                  <a:pt x="89" y="28"/>
                                </a:lnTo>
                                <a:lnTo>
                                  <a:pt x="89" y="28"/>
                                </a:lnTo>
                                <a:lnTo>
                                  <a:pt x="90" y="28"/>
                                </a:lnTo>
                                <a:lnTo>
                                  <a:pt x="89" y="28"/>
                                </a:lnTo>
                                <a:close/>
                                <a:moveTo>
                                  <a:pt x="90" y="28"/>
                                </a:moveTo>
                                <a:cubicBezTo>
                                  <a:pt x="90" y="28"/>
                                  <a:pt x="90" y="33"/>
                                  <a:pt x="97" y="37"/>
                                </a:cubicBezTo>
                                <a:lnTo>
                                  <a:pt x="96" y="38"/>
                                </a:lnTo>
                                <a:cubicBezTo>
                                  <a:pt x="89" y="34"/>
                                  <a:pt x="89" y="28"/>
                                  <a:pt x="89" y="28"/>
                                </a:cubicBezTo>
                                <a:lnTo>
                                  <a:pt x="90" y="28"/>
                                </a:lnTo>
                                <a:close/>
                                <a:moveTo>
                                  <a:pt x="97" y="37"/>
                                </a:moveTo>
                                <a:lnTo>
                                  <a:pt x="98" y="38"/>
                                </a:lnTo>
                                <a:lnTo>
                                  <a:pt x="97" y="38"/>
                                </a:lnTo>
                                <a:lnTo>
                                  <a:pt x="97" y="38"/>
                                </a:lnTo>
                                <a:lnTo>
                                  <a:pt x="97" y="37"/>
                                </a:lnTo>
                                <a:close/>
                                <a:moveTo>
                                  <a:pt x="97" y="38"/>
                                </a:moveTo>
                                <a:cubicBezTo>
                                  <a:pt x="97" y="39"/>
                                  <a:pt x="73" y="44"/>
                                  <a:pt x="57" y="21"/>
                                </a:cubicBezTo>
                                <a:lnTo>
                                  <a:pt x="58" y="21"/>
                                </a:lnTo>
                                <a:cubicBezTo>
                                  <a:pt x="74" y="42"/>
                                  <a:pt x="96" y="37"/>
                                  <a:pt x="97" y="37"/>
                                </a:cubicBezTo>
                                <a:lnTo>
                                  <a:pt x="97" y="38"/>
                                </a:lnTo>
                                <a:close/>
                                <a:moveTo>
                                  <a:pt x="57" y="21"/>
                                </a:moveTo>
                                <a:lnTo>
                                  <a:pt x="56" y="19"/>
                                </a:lnTo>
                                <a:lnTo>
                                  <a:pt x="58" y="21"/>
                                </a:lnTo>
                                <a:lnTo>
                                  <a:pt x="57" y="21"/>
                                </a:lnTo>
                                <a:close/>
                                <a:moveTo>
                                  <a:pt x="58" y="21"/>
                                </a:moveTo>
                                <a:cubicBezTo>
                                  <a:pt x="58" y="21"/>
                                  <a:pt x="62" y="45"/>
                                  <a:pt x="36" y="39"/>
                                </a:cubicBezTo>
                                <a:lnTo>
                                  <a:pt x="36" y="38"/>
                                </a:lnTo>
                                <a:cubicBezTo>
                                  <a:pt x="60" y="44"/>
                                  <a:pt x="57" y="21"/>
                                  <a:pt x="57" y="21"/>
                                </a:cubicBezTo>
                                <a:lnTo>
                                  <a:pt x="58" y="21"/>
                                </a:lnTo>
                                <a:close/>
                                <a:moveTo>
                                  <a:pt x="36" y="39"/>
                                </a:moveTo>
                                <a:lnTo>
                                  <a:pt x="35" y="39"/>
                                </a:lnTo>
                                <a:lnTo>
                                  <a:pt x="35" y="38"/>
                                </a:lnTo>
                                <a:lnTo>
                                  <a:pt x="36" y="39"/>
                                </a:lnTo>
                                <a:close/>
                                <a:moveTo>
                                  <a:pt x="35" y="38"/>
                                </a:moveTo>
                                <a:cubicBezTo>
                                  <a:pt x="35" y="38"/>
                                  <a:pt x="42" y="23"/>
                                  <a:pt x="33" y="13"/>
                                </a:cubicBezTo>
                                <a:lnTo>
                                  <a:pt x="34" y="12"/>
                                </a:lnTo>
                                <a:cubicBezTo>
                                  <a:pt x="44" y="23"/>
                                  <a:pt x="36" y="39"/>
                                  <a:pt x="36" y="39"/>
                                </a:cubicBezTo>
                                <a:lnTo>
                                  <a:pt x="35" y="38"/>
                                </a:lnTo>
                                <a:close/>
                                <a:moveTo>
                                  <a:pt x="34" y="12"/>
                                </a:moveTo>
                                <a:lnTo>
                                  <a:pt x="34" y="12"/>
                                </a:lnTo>
                                <a:lnTo>
                                  <a:pt x="34" y="12"/>
                                </a:lnTo>
                                <a:lnTo>
                                  <a:pt x="33" y="12"/>
                                </a:lnTo>
                                <a:lnTo>
                                  <a:pt x="34" y="12"/>
                                </a:lnTo>
                                <a:close/>
                                <a:moveTo>
                                  <a:pt x="33" y="13"/>
                                </a:moveTo>
                                <a:cubicBezTo>
                                  <a:pt x="33" y="13"/>
                                  <a:pt x="22" y="2"/>
                                  <a:pt x="7" y="16"/>
                                </a:cubicBezTo>
                                <a:lnTo>
                                  <a:pt x="6" y="15"/>
                                </a:lnTo>
                                <a:cubicBezTo>
                                  <a:pt x="22" y="0"/>
                                  <a:pt x="34" y="12"/>
                                  <a:pt x="34" y="12"/>
                                </a:cubicBezTo>
                                <a:lnTo>
                                  <a:pt x="33" y="13"/>
                                </a:lnTo>
                                <a:close/>
                                <a:moveTo>
                                  <a:pt x="7" y="16"/>
                                </a:moveTo>
                                <a:lnTo>
                                  <a:pt x="7" y="16"/>
                                </a:lnTo>
                                <a:lnTo>
                                  <a:pt x="7" y="16"/>
                                </a:lnTo>
                                <a:lnTo>
                                  <a:pt x="6" y="15"/>
                                </a:lnTo>
                                <a:lnTo>
                                  <a:pt x="7" y="16"/>
                                </a:lnTo>
                                <a:close/>
                                <a:moveTo>
                                  <a:pt x="7" y="16"/>
                                </a:moveTo>
                                <a:cubicBezTo>
                                  <a:pt x="6" y="16"/>
                                  <a:pt x="2" y="19"/>
                                  <a:pt x="5" y="27"/>
                                </a:cubicBezTo>
                                <a:lnTo>
                                  <a:pt x="4" y="27"/>
                                </a:lnTo>
                                <a:cubicBezTo>
                                  <a:pt x="0" y="18"/>
                                  <a:pt x="6" y="15"/>
                                  <a:pt x="6" y="15"/>
                                </a:cubicBezTo>
                                <a:lnTo>
                                  <a:pt x="7" y="16"/>
                                </a:lnTo>
                                <a:close/>
                                <a:moveTo>
                                  <a:pt x="4" y="27"/>
                                </a:moveTo>
                                <a:lnTo>
                                  <a:pt x="4" y="27"/>
                                </a:lnTo>
                                <a:lnTo>
                                  <a:pt x="4" y="27"/>
                                </a:lnTo>
                                <a:close/>
                                <a:moveTo>
                                  <a:pt x="5" y="27"/>
                                </a:moveTo>
                                <a:lnTo>
                                  <a:pt x="5" y="27"/>
                                </a:lnTo>
                                <a:lnTo>
                                  <a:pt x="4" y="27"/>
                                </a:lnTo>
                                <a:lnTo>
                                  <a:pt x="4" y="27"/>
                                </a:lnTo>
                                <a:lnTo>
                                  <a:pt x="5" y="27"/>
                                </a:lnTo>
                                <a:close/>
                                <a:moveTo>
                                  <a:pt x="4" y="27"/>
                                </a:moveTo>
                                <a:lnTo>
                                  <a:pt x="4" y="27"/>
                                </a:lnTo>
                                <a:lnTo>
                                  <a:pt x="4" y="27"/>
                                </a:lnTo>
                                <a:close/>
                                <a:moveTo>
                                  <a:pt x="5" y="27"/>
                                </a:moveTo>
                                <a:cubicBezTo>
                                  <a:pt x="5" y="27"/>
                                  <a:pt x="5" y="27"/>
                                  <a:pt x="5" y="27"/>
                                </a:cubicBezTo>
                                <a:lnTo>
                                  <a:pt x="4" y="28"/>
                                </a:lnTo>
                                <a:cubicBezTo>
                                  <a:pt x="4" y="28"/>
                                  <a:pt x="4" y="27"/>
                                  <a:pt x="4" y="27"/>
                                </a:cubicBezTo>
                                <a:lnTo>
                                  <a:pt x="5" y="27"/>
                                </a:lnTo>
                                <a:close/>
                                <a:moveTo>
                                  <a:pt x="5" y="27"/>
                                </a:moveTo>
                                <a:cubicBezTo>
                                  <a:pt x="5" y="28"/>
                                  <a:pt x="6" y="28"/>
                                  <a:pt x="6" y="28"/>
                                </a:cubicBezTo>
                                <a:lnTo>
                                  <a:pt x="5" y="29"/>
                                </a:lnTo>
                                <a:cubicBezTo>
                                  <a:pt x="5" y="29"/>
                                  <a:pt x="4" y="28"/>
                                  <a:pt x="4" y="28"/>
                                </a:cubicBezTo>
                                <a:lnTo>
                                  <a:pt x="5" y="27"/>
                                </a:lnTo>
                                <a:close/>
                                <a:moveTo>
                                  <a:pt x="6" y="28"/>
                                </a:moveTo>
                                <a:cubicBezTo>
                                  <a:pt x="7" y="29"/>
                                  <a:pt x="8" y="30"/>
                                  <a:pt x="10" y="30"/>
                                </a:cubicBezTo>
                                <a:lnTo>
                                  <a:pt x="10" y="31"/>
                                </a:lnTo>
                                <a:cubicBezTo>
                                  <a:pt x="8" y="31"/>
                                  <a:pt x="6" y="30"/>
                                  <a:pt x="5" y="29"/>
                                </a:cubicBezTo>
                                <a:lnTo>
                                  <a:pt x="6" y="28"/>
                                </a:lnTo>
                                <a:close/>
                                <a:moveTo>
                                  <a:pt x="10" y="30"/>
                                </a:moveTo>
                                <a:lnTo>
                                  <a:pt x="10" y="30"/>
                                </a:lnTo>
                                <a:lnTo>
                                  <a:pt x="10" y="31"/>
                                </a:lnTo>
                                <a:lnTo>
                                  <a:pt x="10" y="31"/>
                                </a:lnTo>
                                <a:lnTo>
                                  <a:pt x="10" y="30"/>
                                </a:lnTo>
                                <a:close/>
                                <a:moveTo>
                                  <a:pt x="10" y="30"/>
                                </a:moveTo>
                                <a:cubicBezTo>
                                  <a:pt x="12" y="30"/>
                                  <a:pt x="13" y="29"/>
                                  <a:pt x="14" y="28"/>
                                </a:cubicBezTo>
                                <a:lnTo>
                                  <a:pt x="15" y="29"/>
                                </a:lnTo>
                                <a:cubicBezTo>
                                  <a:pt x="14" y="30"/>
                                  <a:pt x="12" y="31"/>
                                  <a:pt x="10" y="31"/>
                                </a:cubicBezTo>
                                <a:lnTo>
                                  <a:pt x="10" y="30"/>
                                </a:lnTo>
                                <a:close/>
                                <a:moveTo>
                                  <a:pt x="14" y="28"/>
                                </a:moveTo>
                                <a:cubicBezTo>
                                  <a:pt x="15" y="27"/>
                                  <a:pt x="16" y="26"/>
                                  <a:pt x="16" y="25"/>
                                </a:cubicBezTo>
                                <a:lnTo>
                                  <a:pt x="17" y="25"/>
                                </a:lnTo>
                                <a:cubicBezTo>
                                  <a:pt x="17" y="26"/>
                                  <a:pt x="16" y="28"/>
                                  <a:pt x="15" y="29"/>
                                </a:cubicBezTo>
                                <a:lnTo>
                                  <a:pt x="14" y="28"/>
                                </a:lnTo>
                                <a:close/>
                                <a:moveTo>
                                  <a:pt x="16" y="25"/>
                                </a:moveTo>
                                <a:lnTo>
                                  <a:pt x="16" y="25"/>
                                </a:lnTo>
                                <a:lnTo>
                                  <a:pt x="17" y="25"/>
                                </a:lnTo>
                                <a:lnTo>
                                  <a:pt x="17" y="25"/>
                                </a:lnTo>
                                <a:lnTo>
                                  <a:pt x="16" y="25"/>
                                </a:lnTo>
                                <a:close/>
                                <a:moveTo>
                                  <a:pt x="16" y="25"/>
                                </a:moveTo>
                                <a:lnTo>
                                  <a:pt x="16" y="25"/>
                                </a:lnTo>
                                <a:lnTo>
                                  <a:pt x="17" y="25"/>
                                </a:lnTo>
                                <a:lnTo>
                                  <a:pt x="17" y="25"/>
                                </a:lnTo>
                                <a:lnTo>
                                  <a:pt x="16" y="25"/>
                                </a:lnTo>
                                <a:close/>
                                <a:moveTo>
                                  <a:pt x="16" y="25"/>
                                </a:moveTo>
                                <a:cubicBezTo>
                                  <a:pt x="16" y="24"/>
                                  <a:pt x="16" y="23"/>
                                  <a:pt x="15" y="23"/>
                                </a:cubicBezTo>
                                <a:lnTo>
                                  <a:pt x="16" y="22"/>
                                </a:lnTo>
                                <a:cubicBezTo>
                                  <a:pt x="17" y="23"/>
                                  <a:pt x="17" y="24"/>
                                  <a:pt x="17" y="25"/>
                                </a:cubicBezTo>
                                <a:lnTo>
                                  <a:pt x="16" y="25"/>
                                </a:lnTo>
                                <a:close/>
                                <a:moveTo>
                                  <a:pt x="15" y="23"/>
                                </a:moveTo>
                                <a:cubicBezTo>
                                  <a:pt x="15" y="23"/>
                                  <a:pt x="15" y="22"/>
                                  <a:pt x="15" y="22"/>
                                </a:cubicBezTo>
                                <a:lnTo>
                                  <a:pt x="16" y="22"/>
                                </a:lnTo>
                                <a:cubicBezTo>
                                  <a:pt x="16" y="22"/>
                                  <a:pt x="16" y="22"/>
                                  <a:pt x="16" y="22"/>
                                </a:cubicBezTo>
                                <a:lnTo>
                                  <a:pt x="15" y="23"/>
                                </a:lnTo>
                                <a:close/>
                                <a:moveTo>
                                  <a:pt x="15" y="22"/>
                                </a:moveTo>
                                <a:cubicBezTo>
                                  <a:pt x="15" y="22"/>
                                  <a:pt x="15" y="21"/>
                                  <a:pt x="14" y="21"/>
                                </a:cubicBezTo>
                                <a:lnTo>
                                  <a:pt x="15" y="20"/>
                                </a:lnTo>
                                <a:cubicBezTo>
                                  <a:pt x="16" y="21"/>
                                  <a:pt x="16" y="21"/>
                                  <a:pt x="16" y="22"/>
                                </a:cubicBezTo>
                                <a:lnTo>
                                  <a:pt x="15" y="22"/>
                                </a:lnTo>
                                <a:close/>
                              </a:path>
                            </a:pathLst>
                          </a:custGeom>
                          <a:solidFill>
                            <a:srgbClr val="24211D"/>
                          </a:solidFill>
                          <a:ln w="9525">
                            <a:noFill/>
                            <a:round/>
                            <a:headEnd/>
                            <a:tailEnd/>
                          </a:ln>
                        </wps:spPr>
                        <wps:bodyPr/>
                      </wps:wsp>
                      <wps:wsp>
                        <wps:cNvPr id="116" name="Freeform 50"/>
                        <wps:cNvSpPr>
                          <a:spLocks noEditPoints="1"/>
                        </wps:cNvSpPr>
                        <wps:spPr bwMode="auto">
                          <a:xfrm>
                            <a:off x="430" y="249"/>
                            <a:ext cx="10" cy="14"/>
                          </a:xfrm>
                          <a:custGeom>
                            <a:avLst/>
                            <a:gdLst/>
                            <a:ahLst/>
                            <a:cxnLst>
                              <a:cxn ang="0">
                                <a:pos x="3" y="0"/>
                              </a:cxn>
                              <a:cxn ang="0">
                                <a:pos x="3" y="10"/>
                              </a:cxn>
                              <a:cxn ang="0">
                                <a:pos x="2" y="11"/>
                              </a:cxn>
                              <a:cxn ang="0">
                                <a:pos x="2" y="0"/>
                              </a:cxn>
                              <a:cxn ang="0">
                                <a:pos x="3" y="0"/>
                              </a:cxn>
                              <a:cxn ang="0">
                                <a:pos x="2" y="11"/>
                              </a:cxn>
                              <a:cxn ang="0">
                                <a:pos x="2" y="11"/>
                              </a:cxn>
                              <a:cxn ang="0">
                                <a:pos x="2" y="11"/>
                              </a:cxn>
                              <a:cxn ang="0">
                                <a:pos x="2" y="11"/>
                              </a:cxn>
                              <a:cxn ang="0">
                                <a:pos x="3" y="10"/>
                              </a:cxn>
                              <a:cxn ang="0">
                                <a:pos x="11" y="11"/>
                              </a:cxn>
                              <a:cxn ang="0">
                                <a:pos x="12" y="12"/>
                              </a:cxn>
                              <a:cxn ang="0">
                                <a:pos x="2" y="11"/>
                              </a:cxn>
                              <a:cxn ang="0">
                                <a:pos x="3" y="10"/>
                              </a:cxn>
                            </a:cxnLst>
                            <a:rect l="0" t="0" r="r" b="b"/>
                            <a:pathLst>
                              <a:path w="12" h="18">
                                <a:moveTo>
                                  <a:pt x="3" y="0"/>
                                </a:moveTo>
                                <a:cubicBezTo>
                                  <a:pt x="3" y="0"/>
                                  <a:pt x="2" y="6"/>
                                  <a:pt x="3" y="10"/>
                                </a:cubicBezTo>
                                <a:lnTo>
                                  <a:pt x="2" y="11"/>
                                </a:lnTo>
                                <a:cubicBezTo>
                                  <a:pt x="0" y="6"/>
                                  <a:pt x="2" y="0"/>
                                  <a:pt x="2" y="0"/>
                                </a:cubicBezTo>
                                <a:lnTo>
                                  <a:pt x="3" y="0"/>
                                </a:lnTo>
                                <a:close/>
                                <a:moveTo>
                                  <a:pt x="2" y="11"/>
                                </a:moveTo>
                                <a:lnTo>
                                  <a:pt x="2" y="11"/>
                                </a:lnTo>
                                <a:lnTo>
                                  <a:pt x="2" y="11"/>
                                </a:lnTo>
                                <a:lnTo>
                                  <a:pt x="2" y="11"/>
                                </a:lnTo>
                                <a:close/>
                                <a:moveTo>
                                  <a:pt x="3" y="10"/>
                                </a:moveTo>
                                <a:cubicBezTo>
                                  <a:pt x="7" y="16"/>
                                  <a:pt x="11" y="11"/>
                                  <a:pt x="11" y="11"/>
                                </a:cubicBezTo>
                                <a:lnTo>
                                  <a:pt x="12" y="12"/>
                                </a:lnTo>
                                <a:cubicBezTo>
                                  <a:pt x="12" y="12"/>
                                  <a:pt x="7" y="18"/>
                                  <a:pt x="2" y="11"/>
                                </a:cubicBezTo>
                                <a:lnTo>
                                  <a:pt x="3" y="10"/>
                                </a:lnTo>
                                <a:close/>
                              </a:path>
                            </a:pathLst>
                          </a:custGeom>
                          <a:solidFill>
                            <a:srgbClr val="24211D"/>
                          </a:solidFill>
                          <a:ln w="9525">
                            <a:noFill/>
                            <a:round/>
                            <a:headEnd/>
                            <a:tailEnd/>
                          </a:ln>
                        </wps:spPr>
                        <wps:bodyPr/>
                      </wps:wsp>
                      <wps:wsp>
                        <wps:cNvPr id="117" name="Freeform 51"/>
                        <wps:cNvSpPr>
                          <a:spLocks/>
                        </wps:cNvSpPr>
                        <wps:spPr bwMode="auto">
                          <a:xfrm>
                            <a:off x="433" y="263"/>
                            <a:ext cx="7" cy="5"/>
                          </a:xfrm>
                          <a:custGeom>
                            <a:avLst/>
                            <a:gdLst/>
                            <a:ahLst/>
                            <a:cxnLst>
                              <a:cxn ang="0">
                                <a:pos x="8" y="1"/>
                              </a:cxn>
                              <a:cxn ang="0">
                                <a:pos x="0" y="1"/>
                              </a:cxn>
                              <a:cxn ang="0">
                                <a:pos x="1" y="0"/>
                              </a:cxn>
                              <a:cxn ang="0">
                                <a:pos x="7" y="0"/>
                              </a:cxn>
                              <a:cxn ang="0">
                                <a:pos x="8" y="1"/>
                              </a:cxn>
                            </a:cxnLst>
                            <a:rect l="0" t="0" r="r" b="b"/>
                            <a:pathLst>
                              <a:path w="8" h="7">
                                <a:moveTo>
                                  <a:pt x="8" y="1"/>
                                </a:moveTo>
                                <a:cubicBezTo>
                                  <a:pt x="8" y="1"/>
                                  <a:pt x="3" y="7"/>
                                  <a:pt x="0" y="1"/>
                                </a:cubicBezTo>
                                <a:lnTo>
                                  <a:pt x="1" y="0"/>
                                </a:lnTo>
                                <a:cubicBezTo>
                                  <a:pt x="3" y="5"/>
                                  <a:pt x="7" y="0"/>
                                  <a:pt x="7" y="0"/>
                                </a:cubicBezTo>
                                <a:lnTo>
                                  <a:pt x="8" y="1"/>
                                </a:lnTo>
                                <a:close/>
                              </a:path>
                            </a:pathLst>
                          </a:custGeom>
                          <a:solidFill>
                            <a:srgbClr val="24211D"/>
                          </a:solidFill>
                          <a:ln w="9525">
                            <a:noFill/>
                            <a:round/>
                            <a:headEnd/>
                            <a:tailEnd/>
                          </a:ln>
                        </wps:spPr>
                        <wps:bodyPr/>
                      </wps:wsp>
                      <wps:wsp>
                        <wps:cNvPr id="118" name="Freeform 52"/>
                        <wps:cNvSpPr>
                          <a:spLocks noEditPoints="1"/>
                        </wps:cNvSpPr>
                        <wps:spPr bwMode="auto">
                          <a:xfrm>
                            <a:off x="421" y="234"/>
                            <a:ext cx="44" cy="70"/>
                          </a:xfrm>
                          <a:custGeom>
                            <a:avLst/>
                            <a:gdLst/>
                            <a:ahLst/>
                            <a:cxnLst>
                              <a:cxn ang="0">
                                <a:pos x="53" y="80"/>
                              </a:cxn>
                              <a:cxn ang="0">
                                <a:pos x="4" y="20"/>
                              </a:cxn>
                              <a:cxn ang="0">
                                <a:pos x="5" y="20"/>
                              </a:cxn>
                              <a:cxn ang="0">
                                <a:pos x="53" y="79"/>
                              </a:cxn>
                              <a:cxn ang="0">
                                <a:pos x="53" y="80"/>
                              </a:cxn>
                              <a:cxn ang="0">
                                <a:pos x="4" y="20"/>
                              </a:cxn>
                              <a:cxn ang="0">
                                <a:pos x="4" y="20"/>
                              </a:cxn>
                              <a:cxn ang="0">
                                <a:pos x="5" y="20"/>
                              </a:cxn>
                              <a:cxn ang="0">
                                <a:pos x="4" y="20"/>
                              </a:cxn>
                              <a:cxn ang="0">
                                <a:pos x="4" y="20"/>
                              </a:cxn>
                              <a:cxn ang="0">
                                <a:pos x="3" y="11"/>
                              </a:cxn>
                              <a:cxn ang="0">
                                <a:pos x="4" y="10"/>
                              </a:cxn>
                              <a:cxn ang="0">
                                <a:pos x="5" y="20"/>
                              </a:cxn>
                              <a:cxn ang="0">
                                <a:pos x="4" y="20"/>
                              </a:cxn>
                              <a:cxn ang="0">
                                <a:pos x="3" y="11"/>
                              </a:cxn>
                              <a:cxn ang="0">
                                <a:pos x="3" y="11"/>
                              </a:cxn>
                              <a:cxn ang="0">
                                <a:pos x="3" y="11"/>
                              </a:cxn>
                              <a:cxn ang="0">
                                <a:pos x="4" y="10"/>
                              </a:cxn>
                              <a:cxn ang="0">
                                <a:pos x="3" y="11"/>
                              </a:cxn>
                              <a:cxn ang="0">
                                <a:pos x="3" y="11"/>
                              </a:cxn>
                              <a:cxn ang="0">
                                <a:pos x="1" y="1"/>
                              </a:cxn>
                              <a:cxn ang="0">
                                <a:pos x="2" y="1"/>
                              </a:cxn>
                              <a:cxn ang="0">
                                <a:pos x="4" y="10"/>
                              </a:cxn>
                              <a:cxn ang="0">
                                <a:pos x="3" y="11"/>
                              </a:cxn>
                              <a:cxn ang="0">
                                <a:pos x="1" y="1"/>
                              </a:cxn>
                              <a:cxn ang="0">
                                <a:pos x="1" y="0"/>
                              </a:cxn>
                              <a:cxn ang="0">
                                <a:pos x="1" y="0"/>
                              </a:cxn>
                              <a:cxn ang="0">
                                <a:pos x="1" y="1"/>
                              </a:cxn>
                              <a:cxn ang="0">
                                <a:pos x="1" y="0"/>
                              </a:cxn>
                              <a:cxn ang="0">
                                <a:pos x="16" y="7"/>
                              </a:cxn>
                              <a:cxn ang="0">
                                <a:pos x="16" y="8"/>
                              </a:cxn>
                              <a:cxn ang="0">
                                <a:pos x="1" y="1"/>
                              </a:cxn>
                              <a:cxn ang="0">
                                <a:pos x="1" y="0"/>
                              </a:cxn>
                              <a:cxn ang="0">
                                <a:pos x="16" y="7"/>
                              </a:cxn>
                              <a:cxn ang="0">
                                <a:pos x="17" y="7"/>
                              </a:cxn>
                              <a:cxn ang="0">
                                <a:pos x="16" y="8"/>
                              </a:cxn>
                              <a:cxn ang="0">
                                <a:pos x="16" y="7"/>
                              </a:cxn>
                              <a:cxn ang="0">
                                <a:pos x="17" y="7"/>
                              </a:cxn>
                              <a:cxn ang="0">
                                <a:pos x="22" y="25"/>
                              </a:cxn>
                              <a:cxn ang="0">
                                <a:pos x="21" y="25"/>
                              </a:cxn>
                              <a:cxn ang="0">
                                <a:pos x="16" y="8"/>
                              </a:cxn>
                              <a:cxn ang="0">
                                <a:pos x="17" y="7"/>
                              </a:cxn>
                            </a:cxnLst>
                            <a:rect l="0" t="0" r="r" b="b"/>
                            <a:pathLst>
                              <a:path w="53" h="86">
                                <a:moveTo>
                                  <a:pt x="53" y="80"/>
                                </a:moveTo>
                                <a:cubicBezTo>
                                  <a:pt x="53" y="80"/>
                                  <a:pt x="5" y="86"/>
                                  <a:pt x="4" y="20"/>
                                </a:cubicBezTo>
                                <a:lnTo>
                                  <a:pt x="5" y="20"/>
                                </a:lnTo>
                                <a:cubicBezTo>
                                  <a:pt x="6" y="84"/>
                                  <a:pt x="52" y="79"/>
                                  <a:pt x="53" y="79"/>
                                </a:cubicBezTo>
                                <a:lnTo>
                                  <a:pt x="53" y="80"/>
                                </a:lnTo>
                                <a:close/>
                                <a:moveTo>
                                  <a:pt x="4" y="20"/>
                                </a:moveTo>
                                <a:lnTo>
                                  <a:pt x="4" y="20"/>
                                </a:lnTo>
                                <a:lnTo>
                                  <a:pt x="5" y="20"/>
                                </a:lnTo>
                                <a:lnTo>
                                  <a:pt x="4" y="20"/>
                                </a:lnTo>
                                <a:close/>
                                <a:moveTo>
                                  <a:pt x="4" y="20"/>
                                </a:moveTo>
                                <a:cubicBezTo>
                                  <a:pt x="4" y="20"/>
                                  <a:pt x="5" y="13"/>
                                  <a:pt x="3" y="11"/>
                                </a:cubicBezTo>
                                <a:lnTo>
                                  <a:pt x="4" y="10"/>
                                </a:lnTo>
                                <a:cubicBezTo>
                                  <a:pt x="6" y="12"/>
                                  <a:pt x="5" y="20"/>
                                  <a:pt x="5" y="20"/>
                                </a:cubicBezTo>
                                <a:lnTo>
                                  <a:pt x="4" y="20"/>
                                </a:lnTo>
                                <a:close/>
                                <a:moveTo>
                                  <a:pt x="3" y="11"/>
                                </a:moveTo>
                                <a:lnTo>
                                  <a:pt x="3" y="11"/>
                                </a:lnTo>
                                <a:lnTo>
                                  <a:pt x="3" y="11"/>
                                </a:lnTo>
                                <a:lnTo>
                                  <a:pt x="4" y="10"/>
                                </a:lnTo>
                                <a:lnTo>
                                  <a:pt x="3" y="11"/>
                                </a:lnTo>
                                <a:close/>
                                <a:moveTo>
                                  <a:pt x="3" y="11"/>
                                </a:moveTo>
                                <a:cubicBezTo>
                                  <a:pt x="0" y="5"/>
                                  <a:pt x="1" y="1"/>
                                  <a:pt x="1" y="1"/>
                                </a:cubicBezTo>
                                <a:lnTo>
                                  <a:pt x="2" y="1"/>
                                </a:lnTo>
                                <a:cubicBezTo>
                                  <a:pt x="2" y="1"/>
                                  <a:pt x="2" y="5"/>
                                  <a:pt x="4" y="10"/>
                                </a:cubicBezTo>
                                <a:lnTo>
                                  <a:pt x="3" y="11"/>
                                </a:lnTo>
                                <a:close/>
                                <a:moveTo>
                                  <a:pt x="1" y="1"/>
                                </a:moveTo>
                                <a:lnTo>
                                  <a:pt x="1" y="0"/>
                                </a:lnTo>
                                <a:lnTo>
                                  <a:pt x="1" y="0"/>
                                </a:lnTo>
                                <a:lnTo>
                                  <a:pt x="1" y="1"/>
                                </a:lnTo>
                                <a:close/>
                                <a:moveTo>
                                  <a:pt x="1" y="0"/>
                                </a:moveTo>
                                <a:cubicBezTo>
                                  <a:pt x="1" y="0"/>
                                  <a:pt x="9" y="1"/>
                                  <a:pt x="16" y="7"/>
                                </a:cubicBezTo>
                                <a:lnTo>
                                  <a:pt x="16" y="8"/>
                                </a:lnTo>
                                <a:cubicBezTo>
                                  <a:pt x="9" y="2"/>
                                  <a:pt x="1" y="1"/>
                                  <a:pt x="1" y="1"/>
                                </a:cubicBezTo>
                                <a:lnTo>
                                  <a:pt x="1" y="0"/>
                                </a:lnTo>
                                <a:close/>
                                <a:moveTo>
                                  <a:pt x="16" y="7"/>
                                </a:moveTo>
                                <a:lnTo>
                                  <a:pt x="17" y="7"/>
                                </a:lnTo>
                                <a:lnTo>
                                  <a:pt x="16" y="8"/>
                                </a:lnTo>
                                <a:lnTo>
                                  <a:pt x="16" y="7"/>
                                </a:lnTo>
                                <a:close/>
                                <a:moveTo>
                                  <a:pt x="17" y="7"/>
                                </a:moveTo>
                                <a:cubicBezTo>
                                  <a:pt x="22" y="13"/>
                                  <a:pt x="22" y="25"/>
                                  <a:pt x="22" y="25"/>
                                </a:cubicBezTo>
                                <a:lnTo>
                                  <a:pt x="21" y="25"/>
                                </a:lnTo>
                                <a:cubicBezTo>
                                  <a:pt x="21" y="25"/>
                                  <a:pt x="21" y="13"/>
                                  <a:pt x="16" y="8"/>
                                </a:cubicBezTo>
                                <a:lnTo>
                                  <a:pt x="17" y="7"/>
                                </a:lnTo>
                                <a:close/>
                              </a:path>
                            </a:pathLst>
                          </a:custGeom>
                          <a:solidFill>
                            <a:srgbClr val="24211D"/>
                          </a:solidFill>
                          <a:ln w="9525">
                            <a:noFill/>
                            <a:round/>
                            <a:headEnd/>
                            <a:tailEnd/>
                          </a:ln>
                        </wps:spPr>
                        <wps:bodyPr/>
                      </wps:wsp>
                      <wps:wsp>
                        <wps:cNvPr id="119" name="Freeform 53"/>
                        <wps:cNvSpPr>
                          <a:spLocks/>
                        </wps:cNvSpPr>
                        <wps:spPr bwMode="auto">
                          <a:xfrm>
                            <a:off x="421" y="462"/>
                            <a:ext cx="8" cy="41"/>
                          </a:xfrm>
                          <a:custGeom>
                            <a:avLst/>
                            <a:gdLst/>
                            <a:ahLst/>
                            <a:cxnLst>
                              <a:cxn ang="0">
                                <a:pos x="3" y="50"/>
                              </a:cxn>
                              <a:cxn ang="0">
                                <a:pos x="0" y="1"/>
                              </a:cxn>
                              <a:cxn ang="0">
                                <a:pos x="1" y="0"/>
                              </a:cxn>
                              <a:cxn ang="0">
                                <a:pos x="4" y="50"/>
                              </a:cxn>
                              <a:cxn ang="0">
                                <a:pos x="3" y="50"/>
                              </a:cxn>
                            </a:cxnLst>
                            <a:rect l="0" t="0" r="r" b="b"/>
                            <a:pathLst>
                              <a:path w="10" h="50">
                                <a:moveTo>
                                  <a:pt x="3" y="50"/>
                                </a:moveTo>
                                <a:cubicBezTo>
                                  <a:pt x="3" y="50"/>
                                  <a:pt x="8" y="13"/>
                                  <a:pt x="0" y="1"/>
                                </a:cubicBezTo>
                                <a:lnTo>
                                  <a:pt x="1" y="0"/>
                                </a:lnTo>
                                <a:cubicBezTo>
                                  <a:pt x="10" y="12"/>
                                  <a:pt x="4" y="50"/>
                                  <a:pt x="4" y="50"/>
                                </a:cubicBezTo>
                                <a:lnTo>
                                  <a:pt x="3" y="50"/>
                                </a:lnTo>
                                <a:close/>
                              </a:path>
                            </a:pathLst>
                          </a:custGeom>
                          <a:solidFill>
                            <a:srgbClr val="24211D"/>
                          </a:solidFill>
                          <a:ln w="9525">
                            <a:noFill/>
                            <a:round/>
                            <a:headEnd/>
                            <a:tailEnd/>
                          </a:ln>
                        </wps:spPr>
                        <wps:bodyPr/>
                      </wps:wsp>
                      <wps:wsp>
                        <wps:cNvPr id="120" name="Freeform 54"/>
                        <wps:cNvSpPr>
                          <a:spLocks/>
                        </wps:cNvSpPr>
                        <wps:spPr bwMode="auto">
                          <a:xfrm>
                            <a:off x="442" y="372"/>
                            <a:ext cx="5" cy="14"/>
                          </a:xfrm>
                          <a:custGeom>
                            <a:avLst/>
                            <a:gdLst/>
                            <a:ahLst/>
                            <a:cxnLst>
                              <a:cxn ang="0">
                                <a:pos x="5" y="0"/>
                              </a:cxn>
                              <a:cxn ang="0">
                                <a:pos x="0" y="14"/>
                              </a:cxn>
                              <a:cxn ang="0">
                                <a:pos x="0" y="13"/>
                              </a:cxn>
                              <a:cxn ang="0">
                                <a:pos x="4" y="0"/>
                              </a:cxn>
                              <a:cxn ang="0">
                                <a:pos x="5" y="0"/>
                              </a:cxn>
                            </a:cxnLst>
                            <a:rect l="0" t="0" r="r" b="b"/>
                            <a:pathLst>
                              <a:path w="7" h="16">
                                <a:moveTo>
                                  <a:pt x="5" y="0"/>
                                </a:moveTo>
                                <a:cubicBezTo>
                                  <a:pt x="5" y="0"/>
                                  <a:pt x="7" y="16"/>
                                  <a:pt x="0" y="14"/>
                                </a:cubicBezTo>
                                <a:lnTo>
                                  <a:pt x="0" y="13"/>
                                </a:lnTo>
                                <a:cubicBezTo>
                                  <a:pt x="5" y="14"/>
                                  <a:pt x="4" y="0"/>
                                  <a:pt x="4" y="0"/>
                                </a:cubicBezTo>
                                <a:lnTo>
                                  <a:pt x="5" y="0"/>
                                </a:lnTo>
                                <a:close/>
                              </a:path>
                            </a:pathLst>
                          </a:custGeom>
                          <a:solidFill>
                            <a:srgbClr val="24211D"/>
                          </a:solidFill>
                          <a:ln w="9525">
                            <a:noFill/>
                            <a:round/>
                            <a:headEnd/>
                            <a:tailEnd/>
                          </a:ln>
                        </wps:spPr>
                        <wps:bodyPr/>
                      </wps:wsp>
                      <wps:wsp>
                        <wps:cNvPr id="121" name="Freeform 55"/>
                        <wps:cNvSpPr>
                          <a:spLocks/>
                        </wps:cNvSpPr>
                        <wps:spPr bwMode="auto">
                          <a:xfrm>
                            <a:off x="440" y="382"/>
                            <a:ext cx="7" cy="13"/>
                          </a:xfrm>
                          <a:custGeom>
                            <a:avLst/>
                            <a:gdLst/>
                            <a:ahLst/>
                            <a:cxnLst>
                              <a:cxn ang="0">
                                <a:pos x="8" y="16"/>
                              </a:cxn>
                              <a:cxn ang="0">
                                <a:pos x="1" y="0"/>
                              </a:cxn>
                              <a:cxn ang="0">
                                <a:pos x="2" y="0"/>
                              </a:cxn>
                              <a:cxn ang="0">
                                <a:pos x="9" y="14"/>
                              </a:cxn>
                              <a:cxn ang="0">
                                <a:pos x="8" y="16"/>
                              </a:cxn>
                            </a:cxnLst>
                            <a:rect l="0" t="0" r="r" b="b"/>
                            <a:pathLst>
                              <a:path w="9" h="16">
                                <a:moveTo>
                                  <a:pt x="8" y="16"/>
                                </a:moveTo>
                                <a:cubicBezTo>
                                  <a:pt x="8" y="16"/>
                                  <a:pt x="0" y="12"/>
                                  <a:pt x="1" y="0"/>
                                </a:cubicBezTo>
                                <a:lnTo>
                                  <a:pt x="2" y="0"/>
                                </a:lnTo>
                                <a:cubicBezTo>
                                  <a:pt x="2" y="11"/>
                                  <a:pt x="9" y="14"/>
                                  <a:pt x="9" y="14"/>
                                </a:cubicBezTo>
                                <a:lnTo>
                                  <a:pt x="8" y="16"/>
                                </a:lnTo>
                                <a:close/>
                              </a:path>
                            </a:pathLst>
                          </a:custGeom>
                          <a:solidFill>
                            <a:srgbClr val="24211D"/>
                          </a:solidFill>
                          <a:ln w="9525">
                            <a:noFill/>
                            <a:round/>
                            <a:headEnd/>
                            <a:tailEnd/>
                          </a:ln>
                        </wps:spPr>
                        <wps:bodyPr/>
                      </wps:wsp>
                      <wps:wsp>
                        <wps:cNvPr id="122" name="Freeform 56"/>
                        <wps:cNvSpPr>
                          <a:spLocks/>
                        </wps:cNvSpPr>
                        <wps:spPr bwMode="auto">
                          <a:xfrm>
                            <a:off x="428" y="343"/>
                            <a:ext cx="18" cy="9"/>
                          </a:xfrm>
                          <a:custGeom>
                            <a:avLst/>
                            <a:gdLst/>
                            <a:ahLst/>
                            <a:cxnLst>
                              <a:cxn ang="0">
                                <a:pos x="23" y="1"/>
                              </a:cxn>
                              <a:cxn ang="0">
                                <a:pos x="0" y="1"/>
                              </a:cxn>
                              <a:cxn ang="0">
                                <a:pos x="0" y="0"/>
                              </a:cxn>
                              <a:cxn ang="0">
                                <a:pos x="23" y="0"/>
                              </a:cxn>
                              <a:cxn ang="0">
                                <a:pos x="23" y="1"/>
                              </a:cxn>
                            </a:cxnLst>
                            <a:rect l="0" t="0" r="r" b="b"/>
                            <a:pathLst>
                              <a:path w="23" h="11">
                                <a:moveTo>
                                  <a:pt x="23" y="1"/>
                                </a:moveTo>
                                <a:cubicBezTo>
                                  <a:pt x="23" y="1"/>
                                  <a:pt x="12" y="11"/>
                                  <a:pt x="0" y="1"/>
                                </a:cubicBezTo>
                                <a:lnTo>
                                  <a:pt x="0" y="0"/>
                                </a:lnTo>
                                <a:cubicBezTo>
                                  <a:pt x="12" y="9"/>
                                  <a:pt x="23" y="0"/>
                                  <a:pt x="23" y="0"/>
                                </a:cubicBezTo>
                                <a:lnTo>
                                  <a:pt x="23" y="1"/>
                                </a:lnTo>
                                <a:close/>
                              </a:path>
                            </a:pathLst>
                          </a:custGeom>
                          <a:solidFill>
                            <a:srgbClr val="24211D"/>
                          </a:solidFill>
                          <a:ln w="9525">
                            <a:noFill/>
                            <a:round/>
                            <a:headEnd/>
                            <a:tailEnd/>
                          </a:ln>
                        </wps:spPr>
                        <wps:bodyPr/>
                      </wps:wsp>
                      <wps:wsp>
                        <wps:cNvPr id="123" name="Freeform 57"/>
                        <wps:cNvSpPr>
                          <a:spLocks noEditPoints="1"/>
                        </wps:cNvSpPr>
                        <wps:spPr bwMode="auto">
                          <a:xfrm>
                            <a:off x="410" y="346"/>
                            <a:ext cx="40" cy="111"/>
                          </a:xfrm>
                          <a:custGeom>
                            <a:avLst/>
                            <a:gdLst/>
                            <a:ahLst/>
                            <a:cxnLst>
                              <a:cxn ang="0">
                                <a:pos x="30" y="4"/>
                              </a:cxn>
                              <a:cxn ang="0">
                                <a:pos x="30" y="4"/>
                              </a:cxn>
                              <a:cxn ang="0">
                                <a:pos x="29" y="8"/>
                              </a:cxn>
                              <a:cxn ang="0">
                                <a:pos x="29" y="8"/>
                              </a:cxn>
                              <a:cxn ang="0">
                                <a:pos x="32" y="15"/>
                              </a:cxn>
                              <a:cxn ang="0">
                                <a:pos x="24" y="12"/>
                              </a:cxn>
                              <a:cxn ang="0">
                                <a:pos x="24" y="12"/>
                              </a:cxn>
                              <a:cxn ang="0">
                                <a:pos x="35" y="35"/>
                              </a:cxn>
                              <a:cxn ang="0">
                                <a:pos x="36" y="35"/>
                              </a:cxn>
                              <a:cxn ang="0">
                                <a:pos x="36" y="35"/>
                              </a:cxn>
                              <a:cxn ang="0">
                                <a:pos x="36" y="37"/>
                              </a:cxn>
                              <a:cxn ang="0">
                                <a:pos x="35" y="37"/>
                              </a:cxn>
                              <a:cxn ang="0">
                                <a:pos x="31" y="40"/>
                              </a:cxn>
                              <a:cxn ang="0">
                                <a:pos x="27" y="34"/>
                              </a:cxn>
                              <a:cxn ang="0">
                                <a:pos x="26" y="34"/>
                              </a:cxn>
                              <a:cxn ang="0">
                                <a:pos x="27" y="34"/>
                              </a:cxn>
                              <a:cxn ang="0">
                                <a:pos x="26" y="34"/>
                              </a:cxn>
                              <a:cxn ang="0">
                                <a:pos x="26" y="34"/>
                              </a:cxn>
                              <a:cxn ang="0">
                                <a:pos x="27" y="34"/>
                              </a:cxn>
                              <a:cxn ang="0">
                                <a:pos x="31" y="56"/>
                              </a:cxn>
                              <a:cxn ang="0">
                                <a:pos x="43" y="69"/>
                              </a:cxn>
                              <a:cxn ang="0">
                                <a:pos x="47" y="83"/>
                              </a:cxn>
                              <a:cxn ang="0">
                                <a:pos x="48" y="83"/>
                              </a:cxn>
                              <a:cxn ang="0">
                                <a:pos x="47" y="83"/>
                              </a:cxn>
                              <a:cxn ang="0">
                                <a:pos x="46" y="87"/>
                              </a:cxn>
                              <a:cxn ang="0">
                                <a:pos x="43" y="87"/>
                              </a:cxn>
                              <a:cxn ang="0">
                                <a:pos x="43" y="88"/>
                              </a:cxn>
                              <a:cxn ang="0">
                                <a:pos x="38" y="83"/>
                              </a:cxn>
                              <a:cxn ang="0">
                                <a:pos x="40" y="83"/>
                              </a:cxn>
                              <a:cxn ang="0">
                                <a:pos x="38" y="84"/>
                              </a:cxn>
                              <a:cxn ang="0">
                                <a:pos x="40" y="83"/>
                              </a:cxn>
                              <a:cxn ang="0">
                                <a:pos x="39" y="82"/>
                              </a:cxn>
                              <a:cxn ang="0">
                                <a:pos x="40" y="73"/>
                              </a:cxn>
                              <a:cxn ang="0">
                                <a:pos x="39" y="72"/>
                              </a:cxn>
                              <a:cxn ang="0">
                                <a:pos x="39" y="72"/>
                              </a:cxn>
                              <a:cxn ang="0">
                                <a:pos x="39" y="73"/>
                              </a:cxn>
                              <a:cxn ang="0">
                                <a:pos x="16" y="55"/>
                              </a:cxn>
                              <a:cxn ang="0">
                                <a:pos x="16" y="54"/>
                              </a:cxn>
                              <a:cxn ang="0">
                                <a:pos x="15" y="73"/>
                              </a:cxn>
                              <a:cxn ang="0">
                                <a:pos x="16" y="73"/>
                              </a:cxn>
                              <a:cxn ang="0">
                                <a:pos x="25" y="131"/>
                              </a:cxn>
                              <a:cxn ang="0">
                                <a:pos x="24" y="131"/>
                              </a:cxn>
                              <a:cxn ang="0">
                                <a:pos x="23" y="131"/>
                              </a:cxn>
                              <a:cxn ang="0">
                                <a:pos x="23" y="131"/>
                              </a:cxn>
                              <a:cxn ang="0">
                                <a:pos x="24" y="133"/>
                              </a:cxn>
                              <a:cxn ang="0">
                                <a:pos x="20" y="134"/>
                              </a:cxn>
                              <a:cxn ang="0">
                                <a:pos x="20" y="135"/>
                              </a:cxn>
                              <a:cxn ang="0">
                                <a:pos x="19" y="135"/>
                              </a:cxn>
                              <a:cxn ang="0">
                                <a:pos x="19" y="135"/>
                              </a:cxn>
                              <a:cxn ang="0">
                                <a:pos x="17" y="125"/>
                              </a:cxn>
                              <a:cxn ang="0">
                                <a:pos x="15" y="125"/>
                              </a:cxn>
                              <a:cxn ang="0">
                                <a:pos x="17" y="124"/>
                              </a:cxn>
                              <a:cxn ang="0">
                                <a:pos x="15" y="124"/>
                              </a:cxn>
                              <a:cxn ang="0">
                                <a:pos x="13" y="122"/>
                              </a:cxn>
                              <a:cxn ang="0">
                                <a:pos x="13" y="121"/>
                              </a:cxn>
                              <a:cxn ang="0">
                                <a:pos x="12" y="122"/>
                              </a:cxn>
                            </a:cxnLst>
                            <a:rect l="0" t="0" r="r" b="b"/>
                            <a:pathLst>
                              <a:path w="48" h="135">
                                <a:moveTo>
                                  <a:pt x="33" y="1"/>
                                </a:moveTo>
                                <a:cubicBezTo>
                                  <a:pt x="32" y="2"/>
                                  <a:pt x="31" y="2"/>
                                  <a:pt x="30" y="2"/>
                                </a:cubicBezTo>
                                <a:lnTo>
                                  <a:pt x="30" y="2"/>
                                </a:lnTo>
                                <a:cubicBezTo>
                                  <a:pt x="30" y="1"/>
                                  <a:pt x="31" y="0"/>
                                  <a:pt x="32" y="0"/>
                                </a:cubicBezTo>
                                <a:lnTo>
                                  <a:pt x="33" y="1"/>
                                </a:lnTo>
                                <a:close/>
                                <a:moveTo>
                                  <a:pt x="30" y="2"/>
                                </a:moveTo>
                                <a:cubicBezTo>
                                  <a:pt x="30" y="3"/>
                                  <a:pt x="30" y="3"/>
                                  <a:pt x="30" y="4"/>
                                </a:cubicBezTo>
                                <a:lnTo>
                                  <a:pt x="28" y="4"/>
                                </a:lnTo>
                                <a:cubicBezTo>
                                  <a:pt x="28" y="3"/>
                                  <a:pt x="29" y="2"/>
                                  <a:pt x="30" y="2"/>
                                </a:cubicBezTo>
                                <a:close/>
                                <a:moveTo>
                                  <a:pt x="30" y="4"/>
                                </a:moveTo>
                                <a:cubicBezTo>
                                  <a:pt x="30" y="5"/>
                                  <a:pt x="30" y="5"/>
                                  <a:pt x="30" y="6"/>
                                </a:cubicBezTo>
                                <a:lnTo>
                                  <a:pt x="29" y="6"/>
                                </a:lnTo>
                                <a:cubicBezTo>
                                  <a:pt x="28" y="6"/>
                                  <a:pt x="28" y="5"/>
                                  <a:pt x="28" y="4"/>
                                </a:cubicBezTo>
                                <a:lnTo>
                                  <a:pt x="30" y="4"/>
                                </a:lnTo>
                                <a:close/>
                                <a:moveTo>
                                  <a:pt x="30" y="6"/>
                                </a:moveTo>
                                <a:cubicBezTo>
                                  <a:pt x="30" y="6"/>
                                  <a:pt x="30" y="6"/>
                                  <a:pt x="30" y="7"/>
                                </a:cubicBezTo>
                                <a:lnTo>
                                  <a:pt x="29" y="8"/>
                                </a:lnTo>
                                <a:cubicBezTo>
                                  <a:pt x="29" y="7"/>
                                  <a:pt x="29" y="7"/>
                                  <a:pt x="29" y="6"/>
                                </a:cubicBezTo>
                                <a:lnTo>
                                  <a:pt x="30" y="6"/>
                                </a:lnTo>
                                <a:close/>
                                <a:moveTo>
                                  <a:pt x="29" y="8"/>
                                </a:moveTo>
                                <a:lnTo>
                                  <a:pt x="29" y="8"/>
                                </a:lnTo>
                                <a:lnTo>
                                  <a:pt x="29" y="8"/>
                                </a:lnTo>
                                <a:lnTo>
                                  <a:pt x="30" y="7"/>
                                </a:lnTo>
                                <a:lnTo>
                                  <a:pt x="29" y="8"/>
                                </a:lnTo>
                                <a:close/>
                                <a:moveTo>
                                  <a:pt x="30" y="7"/>
                                </a:moveTo>
                                <a:cubicBezTo>
                                  <a:pt x="30" y="7"/>
                                  <a:pt x="35" y="12"/>
                                  <a:pt x="33" y="15"/>
                                </a:cubicBezTo>
                                <a:lnTo>
                                  <a:pt x="32" y="14"/>
                                </a:lnTo>
                                <a:cubicBezTo>
                                  <a:pt x="33" y="12"/>
                                  <a:pt x="29" y="8"/>
                                  <a:pt x="29" y="8"/>
                                </a:cubicBezTo>
                                <a:lnTo>
                                  <a:pt x="30" y="7"/>
                                </a:lnTo>
                                <a:close/>
                                <a:moveTo>
                                  <a:pt x="33" y="15"/>
                                </a:moveTo>
                                <a:lnTo>
                                  <a:pt x="33" y="15"/>
                                </a:lnTo>
                                <a:lnTo>
                                  <a:pt x="32" y="15"/>
                                </a:lnTo>
                                <a:lnTo>
                                  <a:pt x="32" y="15"/>
                                </a:lnTo>
                                <a:lnTo>
                                  <a:pt x="33" y="15"/>
                                </a:lnTo>
                                <a:close/>
                                <a:moveTo>
                                  <a:pt x="32" y="15"/>
                                </a:moveTo>
                                <a:cubicBezTo>
                                  <a:pt x="32" y="15"/>
                                  <a:pt x="27" y="18"/>
                                  <a:pt x="23" y="12"/>
                                </a:cubicBezTo>
                                <a:lnTo>
                                  <a:pt x="24" y="12"/>
                                </a:lnTo>
                                <a:cubicBezTo>
                                  <a:pt x="27" y="16"/>
                                  <a:pt x="32" y="14"/>
                                  <a:pt x="32" y="14"/>
                                </a:cubicBezTo>
                                <a:lnTo>
                                  <a:pt x="32" y="15"/>
                                </a:lnTo>
                                <a:close/>
                                <a:moveTo>
                                  <a:pt x="23" y="12"/>
                                </a:moveTo>
                                <a:lnTo>
                                  <a:pt x="24" y="10"/>
                                </a:lnTo>
                                <a:lnTo>
                                  <a:pt x="24" y="12"/>
                                </a:lnTo>
                                <a:lnTo>
                                  <a:pt x="24" y="12"/>
                                </a:lnTo>
                                <a:lnTo>
                                  <a:pt x="23" y="12"/>
                                </a:lnTo>
                                <a:close/>
                                <a:moveTo>
                                  <a:pt x="24" y="12"/>
                                </a:moveTo>
                                <a:cubicBezTo>
                                  <a:pt x="24" y="12"/>
                                  <a:pt x="23" y="17"/>
                                  <a:pt x="35" y="30"/>
                                </a:cubicBezTo>
                                <a:lnTo>
                                  <a:pt x="34" y="30"/>
                                </a:lnTo>
                                <a:cubicBezTo>
                                  <a:pt x="21" y="17"/>
                                  <a:pt x="23" y="12"/>
                                  <a:pt x="23" y="12"/>
                                </a:cubicBezTo>
                                <a:lnTo>
                                  <a:pt x="24" y="12"/>
                                </a:lnTo>
                                <a:close/>
                                <a:moveTo>
                                  <a:pt x="35" y="30"/>
                                </a:moveTo>
                                <a:lnTo>
                                  <a:pt x="35" y="30"/>
                                </a:lnTo>
                                <a:lnTo>
                                  <a:pt x="34" y="30"/>
                                </a:lnTo>
                                <a:lnTo>
                                  <a:pt x="35" y="30"/>
                                </a:lnTo>
                                <a:close/>
                                <a:moveTo>
                                  <a:pt x="35" y="30"/>
                                </a:moveTo>
                                <a:cubicBezTo>
                                  <a:pt x="37" y="32"/>
                                  <a:pt x="36" y="35"/>
                                  <a:pt x="36" y="35"/>
                                </a:cubicBezTo>
                                <a:lnTo>
                                  <a:pt x="35" y="35"/>
                                </a:lnTo>
                                <a:cubicBezTo>
                                  <a:pt x="35" y="35"/>
                                  <a:pt x="35" y="32"/>
                                  <a:pt x="34" y="30"/>
                                </a:cubicBezTo>
                                <a:lnTo>
                                  <a:pt x="35" y="30"/>
                                </a:lnTo>
                                <a:close/>
                                <a:moveTo>
                                  <a:pt x="35" y="35"/>
                                </a:moveTo>
                                <a:lnTo>
                                  <a:pt x="35" y="35"/>
                                </a:lnTo>
                                <a:lnTo>
                                  <a:pt x="36" y="35"/>
                                </a:lnTo>
                                <a:lnTo>
                                  <a:pt x="35" y="35"/>
                                </a:lnTo>
                                <a:close/>
                                <a:moveTo>
                                  <a:pt x="36" y="35"/>
                                </a:moveTo>
                                <a:lnTo>
                                  <a:pt x="36" y="35"/>
                                </a:lnTo>
                                <a:lnTo>
                                  <a:pt x="35" y="35"/>
                                </a:lnTo>
                                <a:lnTo>
                                  <a:pt x="35" y="35"/>
                                </a:lnTo>
                                <a:lnTo>
                                  <a:pt x="36" y="35"/>
                                </a:lnTo>
                                <a:close/>
                                <a:moveTo>
                                  <a:pt x="36" y="35"/>
                                </a:moveTo>
                                <a:lnTo>
                                  <a:pt x="36" y="35"/>
                                </a:lnTo>
                                <a:lnTo>
                                  <a:pt x="36" y="35"/>
                                </a:lnTo>
                                <a:close/>
                                <a:moveTo>
                                  <a:pt x="36" y="35"/>
                                </a:moveTo>
                                <a:cubicBezTo>
                                  <a:pt x="36" y="36"/>
                                  <a:pt x="36" y="36"/>
                                  <a:pt x="36" y="36"/>
                                </a:cubicBezTo>
                                <a:lnTo>
                                  <a:pt x="35" y="36"/>
                                </a:lnTo>
                                <a:cubicBezTo>
                                  <a:pt x="35" y="36"/>
                                  <a:pt x="35" y="36"/>
                                  <a:pt x="35" y="35"/>
                                </a:cubicBezTo>
                                <a:lnTo>
                                  <a:pt x="36" y="35"/>
                                </a:lnTo>
                                <a:close/>
                                <a:moveTo>
                                  <a:pt x="36" y="36"/>
                                </a:moveTo>
                                <a:cubicBezTo>
                                  <a:pt x="36" y="37"/>
                                  <a:pt x="36" y="37"/>
                                  <a:pt x="36" y="37"/>
                                </a:cubicBezTo>
                                <a:lnTo>
                                  <a:pt x="35" y="37"/>
                                </a:lnTo>
                                <a:cubicBezTo>
                                  <a:pt x="35" y="37"/>
                                  <a:pt x="35" y="36"/>
                                  <a:pt x="35" y="36"/>
                                </a:cubicBezTo>
                                <a:lnTo>
                                  <a:pt x="36" y="36"/>
                                </a:lnTo>
                                <a:close/>
                                <a:moveTo>
                                  <a:pt x="36" y="37"/>
                                </a:moveTo>
                                <a:cubicBezTo>
                                  <a:pt x="35" y="39"/>
                                  <a:pt x="33" y="40"/>
                                  <a:pt x="31" y="40"/>
                                </a:cubicBezTo>
                                <a:lnTo>
                                  <a:pt x="31" y="39"/>
                                </a:lnTo>
                                <a:cubicBezTo>
                                  <a:pt x="33" y="39"/>
                                  <a:pt x="34" y="38"/>
                                  <a:pt x="35" y="37"/>
                                </a:cubicBezTo>
                                <a:lnTo>
                                  <a:pt x="36" y="37"/>
                                </a:lnTo>
                                <a:close/>
                                <a:moveTo>
                                  <a:pt x="31" y="40"/>
                                </a:moveTo>
                                <a:lnTo>
                                  <a:pt x="31" y="40"/>
                                </a:lnTo>
                                <a:lnTo>
                                  <a:pt x="31" y="39"/>
                                </a:lnTo>
                                <a:lnTo>
                                  <a:pt x="31" y="39"/>
                                </a:lnTo>
                                <a:lnTo>
                                  <a:pt x="31" y="40"/>
                                </a:lnTo>
                                <a:close/>
                                <a:moveTo>
                                  <a:pt x="31" y="40"/>
                                </a:moveTo>
                                <a:cubicBezTo>
                                  <a:pt x="30" y="40"/>
                                  <a:pt x="28" y="39"/>
                                  <a:pt x="27" y="38"/>
                                </a:cubicBezTo>
                                <a:lnTo>
                                  <a:pt x="28" y="37"/>
                                </a:lnTo>
                                <a:cubicBezTo>
                                  <a:pt x="29" y="38"/>
                                  <a:pt x="30" y="39"/>
                                  <a:pt x="31" y="39"/>
                                </a:cubicBezTo>
                                <a:lnTo>
                                  <a:pt x="31" y="40"/>
                                </a:lnTo>
                                <a:close/>
                                <a:moveTo>
                                  <a:pt x="27" y="38"/>
                                </a:moveTo>
                                <a:cubicBezTo>
                                  <a:pt x="26" y="37"/>
                                  <a:pt x="26" y="35"/>
                                  <a:pt x="26" y="34"/>
                                </a:cubicBezTo>
                                <a:lnTo>
                                  <a:pt x="27" y="34"/>
                                </a:lnTo>
                                <a:cubicBezTo>
                                  <a:pt x="27" y="35"/>
                                  <a:pt x="28" y="36"/>
                                  <a:pt x="28" y="37"/>
                                </a:cubicBezTo>
                                <a:lnTo>
                                  <a:pt x="27" y="38"/>
                                </a:lnTo>
                                <a:close/>
                                <a:moveTo>
                                  <a:pt x="26" y="34"/>
                                </a:moveTo>
                                <a:lnTo>
                                  <a:pt x="26" y="34"/>
                                </a:lnTo>
                                <a:lnTo>
                                  <a:pt x="27" y="34"/>
                                </a:lnTo>
                                <a:lnTo>
                                  <a:pt x="27" y="34"/>
                                </a:lnTo>
                                <a:lnTo>
                                  <a:pt x="26" y="34"/>
                                </a:lnTo>
                                <a:close/>
                                <a:moveTo>
                                  <a:pt x="26" y="34"/>
                                </a:moveTo>
                                <a:cubicBezTo>
                                  <a:pt x="26" y="33"/>
                                  <a:pt x="27" y="34"/>
                                  <a:pt x="26" y="34"/>
                                </a:cubicBezTo>
                                <a:lnTo>
                                  <a:pt x="26" y="33"/>
                                </a:lnTo>
                                <a:cubicBezTo>
                                  <a:pt x="27" y="33"/>
                                  <a:pt x="27" y="33"/>
                                  <a:pt x="27" y="34"/>
                                </a:cubicBezTo>
                                <a:lnTo>
                                  <a:pt x="26" y="34"/>
                                </a:lnTo>
                                <a:close/>
                                <a:moveTo>
                                  <a:pt x="26" y="34"/>
                                </a:moveTo>
                                <a:cubicBezTo>
                                  <a:pt x="26" y="34"/>
                                  <a:pt x="27" y="34"/>
                                  <a:pt x="27" y="34"/>
                                </a:cubicBezTo>
                                <a:lnTo>
                                  <a:pt x="26" y="34"/>
                                </a:lnTo>
                                <a:cubicBezTo>
                                  <a:pt x="26" y="33"/>
                                  <a:pt x="26" y="33"/>
                                  <a:pt x="26" y="33"/>
                                </a:cubicBezTo>
                                <a:lnTo>
                                  <a:pt x="26" y="34"/>
                                </a:lnTo>
                                <a:close/>
                                <a:moveTo>
                                  <a:pt x="27" y="34"/>
                                </a:moveTo>
                                <a:cubicBezTo>
                                  <a:pt x="27" y="34"/>
                                  <a:pt x="26" y="33"/>
                                  <a:pt x="27" y="33"/>
                                </a:cubicBezTo>
                                <a:lnTo>
                                  <a:pt x="26" y="34"/>
                                </a:lnTo>
                                <a:cubicBezTo>
                                  <a:pt x="26" y="34"/>
                                  <a:pt x="26" y="34"/>
                                  <a:pt x="26" y="34"/>
                                </a:cubicBezTo>
                                <a:lnTo>
                                  <a:pt x="27" y="34"/>
                                </a:lnTo>
                                <a:close/>
                                <a:moveTo>
                                  <a:pt x="27" y="33"/>
                                </a:moveTo>
                                <a:lnTo>
                                  <a:pt x="27" y="33"/>
                                </a:lnTo>
                                <a:lnTo>
                                  <a:pt x="26" y="34"/>
                                </a:lnTo>
                                <a:lnTo>
                                  <a:pt x="27" y="33"/>
                                </a:lnTo>
                                <a:close/>
                                <a:moveTo>
                                  <a:pt x="27" y="33"/>
                                </a:moveTo>
                                <a:cubicBezTo>
                                  <a:pt x="27" y="33"/>
                                  <a:pt x="26" y="34"/>
                                  <a:pt x="26" y="34"/>
                                </a:cubicBezTo>
                                <a:lnTo>
                                  <a:pt x="27" y="34"/>
                                </a:lnTo>
                                <a:cubicBezTo>
                                  <a:pt x="27" y="34"/>
                                  <a:pt x="27" y="35"/>
                                  <a:pt x="26" y="34"/>
                                </a:cubicBezTo>
                                <a:lnTo>
                                  <a:pt x="27" y="33"/>
                                </a:lnTo>
                                <a:close/>
                                <a:moveTo>
                                  <a:pt x="26" y="34"/>
                                </a:moveTo>
                                <a:lnTo>
                                  <a:pt x="27" y="34"/>
                                </a:lnTo>
                                <a:lnTo>
                                  <a:pt x="26" y="34"/>
                                </a:lnTo>
                                <a:close/>
                                <a:moveTo>
                                  <a:pt x="27" y="34"/>
                                </a:moveTo>
                                <a:cubicBezTo>
                                  <a:pt x="27" y="34"/>
                                  <a:pt x="25" y="46"/>
                                  <a:pt x="32" y="56"/>
                                </a:cubicBezTo>
                                <a:lnTo>
                                  <a:pt x="31" y="56"/>
                                </a:lnTo>
                                <a:cubicBezTo>
                                  <a:pt x="24" y="46"/>
                                  <a:pt x="26" y="34"/>
                                  <a:pt x="26" y="34"/>
                                </a:cubicBezTo>
                                <a:lnTo>
                                  <a:pt x="27" y="34"/>
                                </a:lnTo>
                                <a:close/>
                                <a:moveTo>
                                  <a:pt x="32" y="56"/>
                                </a:moveTo>
                                <a:lnTo>
                                  <a:pt x="32" y="56"/>
                                </a:lnTo>
                                <a:lnTo>
                                  <a:pt x="31" y="56"/>
                                </a:lnTo>
                                <a:lnTo>
                                  <a:pt x="32" y="56"/>
                                </a:lnTo>
                                <a:close/>
                                <a:moveTo>
                                  <a:pt x="32" y="56"/>
                                </a:moveTo>
                                <a:cubicBezTo>
                                  <a:pt x="37" y="64"/>
                                  <a:pt x="43" y="69"/>
                                  <a:pt x="43" y="69"/>
                                </a:cubicBezTo>
                                <a:lnTo>
                                  <a:pt x="43" y="70"/>
                                </a:lnTo>
                                <a:cubicBezTo>
                                  <a:pt x="43" y="70"/>
                                  <a:pt x="36" y="64"/>
                                  <a:pt x="31" y="56"/>
                                </a:cubicBezTo>
                                <a:lnTo>
                                  <a:pt x="32" y="56"/>
                                </a:lnTo>
                                <a:close/>
                                <a:moveTo>
                                  <a:pt x="43" y="69"/>
                                </a:moveTo>
                                <a:lnTo>
                                  <a:pt x="43" y="69"/>
                                </a:lnTo>
                                <a:lnTo>
                                  <a:pt x="43" y="69"/>
                                </a:lnTo>
                                <a:lnTo>
                                  <a:pt x="43" y="70"/>
                                </a:lnTo>
                                <a:lnTo>
                                  <a:pt x="43" y="69"/>
                                </a:lnTo>
                                <a:close/>
                                <a:moveTo>
                                  <a:pt x="43" y="69"/>
                                </a:moveTo>
                                <a:cubicBezTo>
                                  <a:pt x="48" y="75"/>
                                  <a:pt x="48" y="83"/>
                                  <a:pt x="48" y="83"/>
                                </a:cubicBezTo>
                                <a:lnTo>
                                  <a:pt x="47" y="83"/>
                                </a:lnTo>
                                <a:cubicBezTo>
                                  <a:pt x="47" y="83"/>
                                  <a:pt x="47" y="75"/>
                                  <a:pt x="43" y="70"/>
                                </a:cubicBezTo>
                                <a:lnTo>
                                  <a:pt x="43" y="69"/>
                                </a:lnTo>
                                <a:close/>
                                <a:moveTo>
                                  <a:pt x="47" y="83"/>
                                </a:moveTo>
                                <a:lnTo>
                                  <a:pt x="47" y="83"/>
                                </a:lnTo>
                                <a:lnTo>
                                  <a:pt x="47" y="83"/>
                                </a:lnTo>
                                <a:close/>
                                <a:moveTo>
                                  <a:pt x="48" y="83"/>
                                </a:moveTo>
                                <a:lnTo>
                                  <a:pt x="48" y="83"/>
                                </a:lnTo>
                                <a:lnTo>
                                  <a:pt x="47" y="83"/>
                                </a:lnTo>
                                <a:lnTo>
                                  <a:pt x="47" y="83"/>
                                </a:lnTo>
                                <a:lnTo>
                                  <a:pt x="48" y="83"/>
                                </a:lnTo>
                                <a:close/>
                                <a:moveTo>
                                  <a:pt x="48" y="83"/>
                                </a:moveTo>
                                <a:lnTo>
                                  <a:pt x="48" y="83"/>
                                </a:lnTo>
                                <a:lnTo>
                                  <a:pt x="47" y="83"/>
                                </a:lnTo>
                                <a:lnTo>
                                  <a:pt x="47" y="83"/>
                                </a:lnTo>
                                <a:lnTo>
                                  <a:pt x="48" y="83"/>
                                </a:lnTo>
                                <a:close/>
                                <a:moveTo>
                                  <a:pt x="48" y="83"/>
                                </a:moveTo>
                                <a:cubicBezTo>
                                  <a:pt x="48" y="85"/>
                                  <a:pt x="47" y="86"/>
                                  <a:pt x="46" y="87"/>
                                </a:cubicBezTo>
                                <a:lnTo>
                                  <a:pt x="46" y="86"/>
                                </a:lnTo>
                                <a:cubicBezTo>
                                  <a:pt x="46" y="85"/>
                                  <a:pt x="47" y="85"/>
                                  <a:pt x="47" y="83"/>
                                </a:cubicBezTo>
                                <a:lnTo>
                                  <a:pt x="48" y="83"/>
                                </a:lnTo>
                                <a:close/>
                                <a:moveTo>
                                  <a:pt x="46" y="87"/>
                                </a:moveTo>
                                <a:cubicBezTo>
                                  <a:pt x="46" y="88"/>
                                  <a:pt x="44" y="88"/>
                                  <a:pt x="43" y="88"/>
                                </a:cubicBezTo>
                                <a:lnTo>
                                  <a:pt x="43" y="87"/>
                                </a:lnTo>
                                <a:cubicBezTo>
                                  <a:pt x="44" y="87"/>
                                  <a:pt x="45" y="87"/>
                                  <a:pt x="46" y="86"/>
                                </a:cubicBezTo>
                                <a:lnTo>
                                  <a:pt x="46" y="87"/>
                                </a:lnTo>
                                <a:close/>
                                <a:moveTo>
                                  <a:pt x="43" y="88"/>
                                </a:moveTo>
                                <a:lnTo>
                                  <a:pt x="43" y="88"/>
                                </a:lnTo>
                                <a:lnTo>
                                  <a:pt x="43" y="87"/>
                                </a:lnTo>
                                <a:lnTo>
                                  <a:pt x="43" y="87"/>
                                </a:lnTo>
                                <a:lnTo>
                                  <a:pt x="43" y="88"/>
                                </a:lnTo>
                                <a:close/>
                                <a:moveTo>
                                  <a:pt x="43" y="88"/>
                                </a:moveTo>
                                <a:lnTo>
                                  <a:pt x="43" y="88"/>
                                </a:lnTo>
                                <a:lnTo>
                                  <a:pt x="43" y="87"/>
                                </a:lnTo>
                                <a:lnTo>
                                  <a:pt x="43" y="87"/>
                                </a:lnTo>
                                <a:lnTo>
                                  <a:pt x="43" y="88"/>
                                </a:lnTo>
                                <a:close/>
                                <a:moveTo>
                                  <a:pt x="43" y="88"/>
                                </a:moveTo>
                                <a:cubicBezTo>
                                  <a:pt x="42" y="88"/>
                                  <a:pt x="41" y="88"/>
                                  <a:pt x="40" y="87"/>
                                </a:cubicBezTo>
                                <a:lnTo>
                                  <a:pt x="41" y="86"/>
                                </a:lnTo>
                                <a:cubicBezTo>
                                  <a:pt x="41" y="87"/>
                                  <a:pt x="42" y="87"/>
                                  <a:pt x="43" y="87"/>
                                </a:cubicBezTo>
                                <a:lnTo>
                                  <a:pt x="43" y="88"/>
                                </a:lnTo>
                                <a:close/>
                                <a:moveTo>
                                  <a:pt x="40" y="87"/>
                                </a:moveTo>
                                <a:cubicBezTo>
                                  <a:pt x="39" y="86"/>
                                  <a:pt x="38" y="85"/>
                                  <a:pt x="38" y="83"/>
                                </a:cubicBezTo>
                                <a:lnTo>
                                  <a:pt x="40" y="83"/>
                                </a:lnTo>
                                <a:cubicBezTo>
                                  <a:pt x="40" y="85"/>
                                  <a:pt x="40" y="85"/>
                                  <a:pt x="41" y="86"/>
                                </a:cubicBezTo>
                                <a:lnTo>
                                  <a:pt x="40" y="87"/>
                                </a:lnTo>
                                <a:close/>
                                <a:moveTo>
                                  <a:pt x="38" y="83"/>
                                </a:moveTo>
                                <a:lnTo>
                                  <a:pt x="38" y="83"/>
                                </a:lnTo>
                                <a:lnTo>
                                  <a:pt x="40" y="83"/>
                                </a:lnTo>
                                <a:lnTo>
                                  <a:pt x="40" y="83"/>
                                </a:lnTo>
                                <a:lnTo>
                                  <a:pt x="38" y="83"/>
                                </a:lnTo>
                                <a:close/>
                                <a:moveTo>
                                  <a:pt x="38" y="83"/>
                                </a:moveTo>
                                <a:cubicBezTo>
                                  <a:pt x="38" y="83"/>
                                  <a:pt x="38" y="84"/>
                                  <a:pt x="38" y="84"/>
                                </a:cubicBezTo>
                                <a:lnTo>
                                  <a:pt x="40" y="83"/>
                                </a:lnTo>
                                <a:cubicBezTo>
                                  <a:pt x="40" y="83"/>
                                  <a:pt x="40" y="83"/>
                                  <a:pt x="40" y="83"/>
                                </a:cubicBezTo>
                                <a:lnTo>
                                  <a:pt x="38" y="83"/>
                                </a:lnTo>
                                <a:close/>
                                <a:moveTo>
                                  <a:pt x="38" y="84"/>
                                </a:moveTo>
                                <a:lnTo>
                                  <a:pt x="38" y="83"/>
                                </a:lnTo>
                                <a:lnTo>
                                  <a:pt x="39" y="83"/>
                                </a:lnTo>
                                <a:lnTo>
                                  <a:pt x="38" y="84"/>
                                </a:lnTo>
                                <a:close/>
                                <a:moveTo>
                                  <a:pt x="38" y="83"/>
                                </a:moveTo>
                                <a:cubicBezTo>
                                  <a:pt x="38" y="83"/>
                                  <a:pt x="38" y="83"/>
                                  <a:pt x="38" y="83"/>
                                </a:cubicBezTo>
                                <a:lnTo>
                                  <a:pt x="40" y="83"/>
                                </a:lnTo>
                                <a:cubicBezTo>
                                  <a:pt x="40" y="83"/>
                                  <a:pt x="40" y="83"/>
                                  <a:pt x="40" y="83"/>
                                </a:cubicBezTo>
                                <a:lnTo>
                                  <a:pt x="38" y="83"/>
                                </a:lnTo>
                                <a:close/>
                                <a:moveTo>
                                  <a:pt x="38" y="83"/>
                                </a:moveTo>
                                <a:cubicBezTo>
                                  <a:pt x="38" y="83"/>
                                  <a:pt x="38" y="83"/>
                                  <a:pt x="38" y="82"/>
                                </a:cubicBezTo>
                                <a:lnTo>
                                  <a:pt x="39" y="83"/>
                                </a:lnTo>
                                <a:cubicBezTo>
                                  <a:pt x="39" y="83"/>
                                  <a:pt x="40" y="83"/>
                                  <a:pt x="40" y="83"/>
                                </a:cubicBezTo>
                                <a:lnTo>
                                  <a:pt x="38" y="83"/>
                                </a:lnTo>
                                <a:close/>
                                <a:moveTo>
                                  <a:pt x="39" y="82"/>
                                </a:moveTo>
                                <a:lnTo>
                                  <a:pt x="39" y="83"/>
                                </a:lnTo>
                                <a:lnTo>
                                  <a:pt x="39" y="83"/>
                                </a:lnTo>
                                <a:lnTo>
                                  <a:pt x="39" y="83"/>
                                </a:lnTo>
                                <a:lnTo>
                                  <a:pt x="39" y="82"/>
                                </a:lnTo>
                                <a:close/>
                                <a:moveTo>
                                  <a:pt x="38" y="83"/>
                                </a:moveTo>
                                <a:cubicBezTo>
                                  <a:pt x="37" y="76"/>
                                  <a:pt x="39" y="73"/>
                                  <a:pt x="39" y="73"/>
                                </a:cubicBezTo>
                                <a:lnTo>
                                  <a:pt x="40" y="73"/>
                                </a:lnTo>
                                <a:cubicBezTo>
                                  <a:pt x="40" y="73"/>
                                  <a:pt x="39" y="76"/>
                                  <a:pt x="39" y="82"/>
                                </a:cubicBezTo>
                                <a:lnTo>
                                  <a:pt x="38" y="83"/>
                                </a:lnTo>
                                <a:close/>
                                <a:moveTo>
                                  <a:pt x="39" y="73"/>
                                </a:moveTo>
                                <a:lnTo>
                                  <a:pt x="39" y="72"/>
                                </a:lnTo>
                                <a:lnTo>
                                  <a:pt x="39" y="72"/>
                                </a:lnTo>
                                <a:lnTo>
                                  <a:pt x="39" y="73"/>
                                </a:lnTo>
                                <a:close/>
                                <a:moveTo>
                                  <a:pt x="39" y="72"/>
                                </a:moveTo>
                                <a:cubicBezTo>
                                  <a:pt x="39" y="72"/>
                                  <a:pt x="40" y="73"/>
                                  <a:pt x="39" y="73"/>
                                </a:cubicBezTo>
                                <a:lnTo>
                                  <a:pt x="39" y="72"/>
                                </a:lnTo>
                                <a:cubicBezTo>
                                  <a:pt x="42" y="72"/>
                                  <a:pt x="40" y="73"/>
                                  <a:pt x="40" y="73"/>
                                </a:cubicBezTo>
                                <a:lnTo>
                                  <a:pt x="39" y="72"/>
                                </a:lnTo>
                                <a:close/>
                                <a:moveTo>
                                  <a:pt x="38" y="72"/>
                                </a:moveTo>
                                <a:lnTo>
                                  <a:pt x="39" y="72"/>
                                </a:lnTo>
                                <a:lnTo>
                                  <a:pt x="39" y="72"/>
                                </a:lnTo>
                                <a:lnTo>
                                  <a:pt x="39" y="72"/>
                                </a:lnTo>
                                <a:lnTo>
                                  <a:pt x="38" y="72"/>
                                </a:lnTo>
                                <a:close/>
                                <a:moveTo>
                                  <a:pt x="39" y="73"/>
                                </a:moveTo>
                                <a:cubicBezTo>
                                  <a:pt x="33" y="79"/>
                                  <a:pt x="29" y="73"/>
                                  <a:pt x="28" y="73"/>
                                </a:cubicBezTo>
                                <a:lnTo>
                                  <a:pt x="30" y="73"/>
                                </a:lnTo>
                                <a:cubicBezTo>
                                  <a:pt x="30" y="73"/>
                                  <a:pt x="33" y="77"/>
                                  <a:pt x="38" y="72"/>
                                </a:cubicBezTo>
                                <a:lnTo>
                                  <a:pt x="39" y="73"/>
                                </a:lnTo>
                                <a:close/>
                                <a:moveTo>
                                  <a:pt x="28" y="73"/>
                                </a:moveTo>
                                <a:lnTo>
                                  <a:pt x="28" y="73"/>
                                </a:lnTo>
                                <a:lnTo>
                                  <a:pt x="28" y="73"/>
                                </a:lnTo>
                                <a:lnTo>
                                  <a:pt x="29" y="73"/>
                                </a:lnTo>
                                <a:lnTo>
                                  <a:pt x="28" y="73"/>
                                </a:lnTo>
                                <a:close/>
                                <a:moveTo>
                                  <a:pt x="28" y="73"/>
                                </a:moveTo>
                                <a:cubicBezTo>
                                  <a:pt x="29" y="54"/>
                                  <a:pt x="16" y="55"/>
                                  <a:pt x="16" y="55"/>
                                </a:cubicBezTo>
                                <a:lnTo>
                                  <a:pt x="16" y="53"/>
                                </a:lnTo>
                                <a:cubicBezTo>
                                  <a:pt x="16" y="53"/>
                                  <a:pt x="30" y="52"/>
                                  <a:pt x="30" y="73"/>
                                </a:cubicBezTo>
                                <a:lnTo>
                                  <a:pt x="28" y="73"/>
                                </a:lnTo>
                                <a:close/>
                                <a:moveTo>
                                  <a:pt x="16" y="54"/>
                                </a:moveTo>
                                <a:lnTo>
                                  <a:pt x="15" y="54"/>
                                </a:lnTo>
                                <a:lnTo>
                                  <a:pt x="16" y="53"/>
                                </a:lnTo>
                                <a:lnTo>
                                  <a:pt x="16" y="54"/>
                                </a:lnTo>
                                <a:close/>
                                <a:moveTo>
                                  <a:pt x="17" y="54"/>
                                </a:moveTo>
                                <a:cubicBezTo>
                                  <a:pt x="22" y="64"/>
                                  <a:pt x="16" y="73"/>
                                  <a:pt x="16" y="73"/>
                                </a:cubicBezTo>
                                <a:lnTo>
                                  <a:pt x="15" y="73"/>
                                </a:lnTo>
                                <a:cubicBezTo>
                                  <a:pt x="15" y="73"/>
                                  <a:pt x="21" y="64"/>
                                  <a:pt x="16" y="54"/>
                                </a:cubicBezTo>
                                <a:lnTo>
                                  <a:pt x="17" y="54"/>
                                </a:lnTo>
                                <a:close/>
                                <a:moveTo>
                                  <a:pt x="15" y="73"/>
                                </a:moveTo>
                                <a:lnTo>
                                  <a:pt x="15" y="73"/>
                                </a:lnTo>
                                <a:lnTo>
                                  <a:pt x="15" y="73"/>
                                </a:lnTo>
                                <a:lnTo>
                                  <a:pt x="15" y="73"/>
                                </a:lnTo>
                                <a:close/>
                                <a:moveTo>
                                  <a:pt x="16" y="73"/>
                                </a:moveTo>
                                <a:cubicBezTo>
                                  <a:pt x="1" y="108"/>
                                  <a:pt x="23" y="124"/>
                                  <a:pt x="23" y="124"/>
                                </a:cubicBezTo>
                                <a:lnTo>
                                  <a:pt x="22" y="125"/>
                                </a:lnTo>
                                <a:cubicBezTo>
                                  <a:pt x="22" y="125"/>
                                  <a:pt x="0" y="108"/>
                                  <a:pt x="15" y="73"/>
                                </a:cubicBezTo>
                                <a:lnTo>
                                  <a:pt x="16" y="73"/>
                                </a:lnTo>
                                <a:close/>
                                <a:moveTo>
                                  <a:pt x="23" y="124"/>
                                </a:moveTo>
                                <a:lnTo>
                                  <a:pt x="23" y="124"/>
                                </a:lnTo>
                                <a:lnTo>
                                  <a:pt x="23" y="124"/>
                                </a:lnTo>
                                <a:lnTo>
                                  <a:pt x="22" y="124"/>
                                </a:lnTo>
                                <a:lnTo>
                                  <a:pt x="23" y="124"/>
                                </a:lnTo>
                                <a:close/>
                                <a:moveTo>
                                  <a:pt x="23" y="124"/>
                                </a:moveTo>
                                <a:cubicBezTo>
                                  <a:pt x="25" y="127"/>
                                  <a:pt x="25" y="131"/>
                                  <a:pt x="25" y="131"/>
                                </a:cubicBezTo>
                                <a:lnTo>
                                  <a:pt x="23" y="131"/>
                                </a:lnTo>
                                <a:cubicBezTo>
                                  <a:pt x="23" y="131"/>
                                  <a:pt x="24" y="127"/>
                                  <a:pt x="22" y="124"/>
                                </a:cubicBezTo>
                                <a:lnTo>
                                  <a:pt x="23" y="124"/>
                                </a:lnTo>
                                <a:close/>
                                <a:moveTo>
                                  <a:pt x="23" y="131"/>
                                </a:moveTo>
                                <a:lnTo>
                                  <a:pt x="23" y="131"/>
                                </a:lnTo>
                                <a:lnTo>
                                  <a:pt x="23" y="131"/>
                                </a:lnTo>
                                <a:lnTo>
                                  <a:pt x="24" y="131"/>
                                </a:lnTo>
                                <a:lnTo>
                                  <a:pt x="23" y="131"/>
                                </a:lnTo>
                                <a:close/>
                                <a:moveTo>
                                  <a:pt x="25" y="131"/>
                                </a:moveTo>
                                <a:cubicBezTo>
                                  <a:pt x="25" y="131"/>
                                  <a:pt x="25" y="131"/>
                                  <a:pt x="25" y="131"/>
                                </a:cubicBezTo>
                                <a:lnTo>
                                  <a:pt x="23" y="131"/>
                                </a:lnTo>
                                <a:cubicBezTo>
                                  <a:pt x="23" y="131"/>
                                  <a:pt x="23" y="131"/>
                                  <a:pt x="23" y="131"/>
                                </a:cubicBezTo>
                                <a:lnTo>
                                  <a:pt x="25" y="131"/>
                                </a:lnTo>
                                <a:close/>
                                <a:moveTo>
                                  <a:pt x="23" y="131"/>
                                </a:moveTo>
                                <a:lnTo>
                                  <a:pt x="23" y="131"/>
                                </a:lnTo>
                                <a:lnTo>
                                  <a:pt x="24" y="131"/>
                                </a:lnTo>
                                <a:lnTo>
                                  <a:pt x="23" y="131"/>
                                </a:lnTo>
                                <a:close/>
                                <a:moveTo>
                                  <a:pt x="25" y="131"/>
                                </a:moveTo>
                                <a:cubicBezTo>
                                  <a:pt x="25" y="131"/>
                                  <a:pt x="25" y="131"/>
                                  <a:pt x="25" y="132"/>
                                </a:cubicBezTo>
                                <a:lnTo>
                                  <a:pt x="23" y="131"/>
                                </a:lnTo>
                                <a:cubicBezTo>
                                  <a:pt x="23" y="131"/>
                                  <a:pt x="23" y="131"/>
                                  <a:pt x="23" y="131"/>
                                </a:cubicBezTo>
                                <a:lnTo>
                                  <a:pt x="25" y="131"/>
                                </a:lnTo>
                                <a:close/>
                                <a:moveTo>
                                  <a:pt x="25" y="132"/>
                                </a:moveTo>
                                <a:cubicBezTo>
                                  <a:pt x="24" y="132"/>
                                  <a:pt x="24" y="132"/>
                                  <a:pt x="24" y="133"/>
                                </a:cubicBezTo>
                                <a:lnTo>
                                  <a:pt x="23" y="132"/>
                                </a:lnTo>
                                <a:cubicBezTo>
                                  <a:pt x="23" y="132"/>
                                  <a:pt x="23" y="132"/>
                                  <a:pt x="23" y="131"/>
                                </a:cubicBezTo>
                                <a:lnTo>
                                  <a:pt x="25" y="132"/>
                                </a:lnTo>
                                <a:close/>
                                <a:moveTo>
                                  <a:pt x="24" y="133"/>
                                </a:moveTo>
                                <a:cubicBezTo>
                                  <a:pt x="23" y="134"/>
                                  <a:pt x="22" y="135"/>
                                  <a:pt x="20" y="135"/>
                                </a:cubicBezTo>
                                <a:lnTo>
                                  <a:pt x="20" y="134"/>
                                </a:lnTo>
                                <a:cubicBezTo>
                                  <a:pt x="22" y="134"/>
                                  <a:pt x="23" y="133"/>
                                  <a:pt x="23" y="132"/>
                                </a:cubicBezTo>
                                <a:lnTo>
                                  <a:pt x="24" y="133"/>
                                </a:lnTo>
                                <a:close/>
                                <a:moveTo>
                                  <a:pt x="20" y="135"/>
                                </a:moveTo>
                                <a:cubicBezTo>
                                  <a:pt x="20" y="135"/>
                                  <a:pt x="20" y="135"/>
                                  <a:pt x="20" y="135"/>
                                </a:cubicBezTo>
                                <a:lnTo>
                                  <a:pt x="20" y="134"/>
                                </a:lnTo>
                                <a:cubicBezTo>
                                  <a:pt x="20" y="134"/>
                                  <a:pt x="20" y="134"/>
                                  <a:pt x="20" y="134"/>
                                </a:cubicBezTo>
                                <a:lnTo>
                                  <a:pt x="20" y="135"/>
                                </a:lnTo>
                                <a:close/>
                                <a:moveTo>
                                  <a:pt x="20" y="135"/>
                                </a:moveTo>
                                <a:cubicBezTo>
                                  <a:pt x="20" y="135"/>
                                  <a:pt x="20" y="135"/>
                                  <a:pt x="19" y="135"/>
                                </a:cubicBezTo>
                                <a:lnTo>
                                  <a:pt x="20" y="134"/>
                                </a:lnTo>
                                <a:cubicBezTo>
                                  <a:pt x="20" y="134"/>
                                  <a:pt x="20" y="134"/>
                                  <a:pt x="20" y="134"/>
                                </a:cubicBezTo>
                                <a:lnTo>
                                  <a:pt x="20" y="135"/>
                                </a:lnTo>
                                <a:close/>
                                <a:moveTo>
                                  <a:pt x="19" y="135"/>
                                </a:moveTo>
                                <a:cubicBezTo>
                                  <a:pt x="19" y="135"/>
                                  <a:pt x="19" y="135"/>
                                  <a:pt x="19" y="135"/>
                                </a:cubicBezTo>
                                <a:lnTo>
                                  <a:pt x="19" y="133"/>
                                </a:lnTo>
                                <a:cubicBezTo>
                                  <a:pt x="19" y="134"/>
                                  <a:pt x="20" y="134"/>
                                  <a:pt x="20" y="134"/>
                                </a:cubicBezTo>
                                <a:lnTo>
                                  <a:pt x="19" y="135"/>
                                </a:lnTo>
                                <a:close/>
                                <a:moveTo>
                                  <a:pt x="19" y="135"/>
                                </a:moveTo>
                                <a:lnTo>
                                  <a:pt x="19" y="135"/>
                                </a:lnTo>
                                <a:lnTo>
                                  <a:pt x="19" y="134"/>
                                </a:lnTo>
                                <a:lnTo>
                                  <a:pt x="19" y="135"/>
                                </a:lnTo>
                                <a:close/>
                                <a:moveTo>
                                  <a:pt x="19" y="135"/>
                                </a:moveTo>
                                <a:cubicBezTo>
                                  <a:pt x="17" y="134"/>
                                  <a:pt x="16" y="132"/>
                                  <a:pt x="16" y="131"/>
                                </a:cubicBezTo>
                                <a:lnTo>
                                  <a:pt x="17" y="130"/>
                                </a:lnTo>
                                <a:cubicBezTo>
                                  <a:pt x="17" y="132"/>
                                  <a:pt x="18" y="133"/>
                                  <a:pt x="19" y="133"/>
                                </a:cubicBezTo>
                                <a:lnTo>
                                  <a:pt x="19" y="135"/>
                                </a:lnTo>
                                <a:close/>
                                <a:moveTo>
                                  <a:pt x="17" y="130"/>
                                </a:moveTo>
                                <a:lnTo>
                                  <a:pt x="17" y="130"/>
                                </a:lnTo>
                                <a:lnTo>
                                  <a:pt x="17" y="130"/>
                                </a:lnTo>
                                <a:lnTo>
                                  <a:pt x="17" y="130"/>
                                </a:lnTo>
                                <a:close/>
                                <a:moveTo>
                                  <a:pt x="16" y="131"/>
                                </a:moveTo>
                                <a:cubicBezTo>
                                  <a:pt x="15" y="128"/>
                                  <a:pt x="15" y="125"/>
                                  <a:pt x="15" y="125"/>
                                </a:cubicBezTo>
                                <a:lnTo>
                                  <a:pt x="17" y="125"/>
                                </a:lnTo>
                                <a:cubicBezTo>
                                  <a:pt x="17" y="125"/>
                                  <a:pt x="17" y="128"/>
                                  <a:pt x="17" y="130"/>
                                </a:cubicBezTo>
                                <a:lnTo>
                                  <a:pt x="16" y="131"/>
                                </a:lnTo>
                                <a:close/>
                                <a:moveTo>
                                  <a:pt x="17" y="125"/>
                                </a:moveTo>
                                <a:lnTo>
                                  <a:pt x="17" y="125"/>
                                </a:lnTo>
                                <a:lnTo>
                                  <a:pt x="16" y="125"/>
                                </a:lnTo>
                                <a:lnTo>
                                  <a:pt x="17" y="125"/>
                                </a:lnTo>
                                <a:close/>
                                <a:moveTo>
                                  <a:pt x="15" y="125"/>
                                </a:moveTo>
                                <a:cubicBezTo>
                                  <a:pt x="15" y="125"/>
                                  <a:pt x="15" y="125"/>
                                  <a:pt x="15" y="125"/>
                                </a:cubicBezTo>
                                <a:lnTo>
                                  <a:pt x="17" y="125"/>
                                </a:lnTo>
                                <a:cubicBezTo>
                                  <a:pt x="17" y="125"/>
                                  <a:pt x="17" y="125"/>
                                  <a:pt x="17" y="125"/>
                                </a:cubicBezTo>
                                <a:lnTo>
                                  <a:pt x="15" y="125"/>
                                </a:lnTo>
                                <a:close/>
                                <a:moveTo>
                                  <a:pt x="15" y="125"/>
                                </a:moveTo>
                                <a:cubicBezTo>
                                  <a:pt x="15" y="125"/>
                                  <a:pt x="15" y="125"/>
                                  <a:pt x="15" y="124"/>
                                </a:cubicBezTo>
                                <a:lnTo>
                                  <a:pt x="17" y="124"/>
                                </a:lnTo>
                                <a:cubicBezTo>
                                  <a:pt x="17" y="124"/>
                                  <a:pt x="17" y="125"/>
                                  <a:pt x="17" y="125"/>
                                </a:cubicBezTo>
                                <a:lnTo>
                                  <a:pt x="15" y="125"/>
                                </a:lnTo>
                                <a:close/>
                                <a:moveTo>
                                  <a:pt x="15" y="124"/>
                                </a:moveTo>
                                <a:cubicBezTo>
                                  <a:pt x="15" y="124"/>
                                  <a:pt x="15" y="124"/>
                                  <a:pt x="15" y="124"/>
                                </a:cubicBezTo>
                                <a:lnTo>
                                  <a:pt x="16" y="123"/>
                                </a:lnTo>
                                <a:cubicBezTo>
                                  <a:pt x="16" y="123"/>
                                  <a:pt x="17" y="124"/>
                                  <a:pt x="17" y="124"/>
                                </a:cubicBezTo>
                                <a:lnTo>
                                  <a:pt x="15" y="124"/>
                                </a:lnTo>
                                <a:close/>
                                <a:moveTo>
                                  <a:pt x="15" y="124"/>
                                </a:moveTo>
                                <a:cubicBezTo>
                                  <a:pt x="15" y="123"/>
                                  <a:pt x="14" y="122"/>
                                  <a:pt x="13" y="122"/>
                                </a:cubicBezTo>
                                <a:lnTo>
                                  <a:pt x="13" y="121"/>
                                </a:lnTo>
                                <a:cubicBezTo>
                                  <a:pt x="14" y="121"/>
                                  <a:pt x="16" y="122"/>
                                  <a:pt x="16" y="123"/>
                                </a:cubicBezTo>
                                <a:lnTo>
                                  <a:pt x="15" y="124"/>
                                </a:lnTo>
                                <a:close/>
                                <a:moveTo>
                                  <a:pt x="13" y="122"/>
                                </a:moveTo>
                                <a:lnTo>
                                  <a:pt x="13" y="122"/>
                                </a:lnTo>
                                <a:lnTo>
                                  <a:pt x="13" y="121"/>
                                </a:lnTo>
                                <a:lnTo>
                                  <a:pt x="13" y="121"/>
                                </a:lnTo>
                                <a:lnTo>
                                  <a:pt x="13" y="122"/>
                                </a:lnTo>
                                <a:close/>
                                <a:moveTo>
                                  <a:pt x="13" y="122"/>
                                </a:moveTo>
                                <a:cubicBezTo>
                                  <a:pt x="12" y="122"/>
                                  <a:pt x="12" y="122"/>
                                  <a:pt x="12" y="122"/>
                                </a:cubicBezTo>
                                <a:lnTo>
                                  <a:pt x="11" y="121"/>
                                </a:lnTo>
                                <a:cubicBezTo>
                                  <a:pt x="12" y="121"/>
                                  <a:pt x="12" y="121"/>
                                  <a:pt x="13" y="121"/>
                                </a:cubicBezTo>
                                <a:lnTo>
                                  <a:pt x="13" y="122"/>
                                </a:lnTo>
                                <a:close/>
                                <a:moveTo>
                                  <a:pt x="12" y="122"/>
                                </a:moveTo>
                                <a:cubicBezTo>
                                  <a:pt x="12" y="122"/>
                                  <a:pt x="12" y="122"/>
                                  <a:pt x="12" y="122"/>
                                </a:cubicBezTo>
                                <a:lnTo>
                                  <a:pt x="11" y="121"/>
                                </a:lnTo>
                                <a:cubicBezTo>
                                  <a:pt x="11" y="121"/>
                                  <a:pt x="11" y="121"/>
                                  <a:pt x="11" y="121"/>
                                </a:cubicBezTo>
                                <a:lnTo>
                                  <a:pt x="12" y="122"/>
                                </a:lnTo>
                                <a:close/>
                                <a:moveTo>
                                  <a:pt x="12" y="122"/>
                                </a:moveTo>
                                <a:cubicBezTo>
                                  <a:pt x="11" y="123"/>
                                  <a:pt x="11" y="123"/>
                                  <a:pt x="11" y="124"/>
                                </a:cubicBezTo>
                                <a:lnTo>
                                  <a:pt x="9" y="123"/>
                                </a:lnTo>
                                <a:cubicBezTo>
                                  <a:pt x="10" y="122"/>
                                  <a:pt x="10" y="122"/>
                                  <a:pt x="11" y="121"/>
                                </a:cubicBezTo>
                                <a:lnTo>
                                  <a:pt x="12" y="122"/>
                                </a:lnTo>
                                <a:close/>
                              </a:path>
                            </a:pathLst>
                          </a:custGeom>
                          <a:solidFill>
                            <a:srgbClr val="24211D"/>
                          </a:solidFill>
                          <a:ln w="9525">
                            <a:noFill/>
                            <a:round/>
                            <a:headEnd/>
                            <a:tailEnd/>
                          </a:ln>
                        </wps:spPr>
                        <wps:bodyPr/>
                      </wps:wsp>
                      <wps:wsp>
                        <wps:cNvPr id="124" name="Freeform 58"/>
                        <wps:cNvSpPr>
                          <a:spLocks noEditPoints="1"/>
                        </wps:cNvSpPr>
                        <wps:spPr bwMode="auto">
                          <a:xfrm>
                            <a:off x="401" y="444"/>
                            <a:ext cx="18" cy="27"/>
                          </a:xfrm>
                          <a:custGeom>
                            <a:avLst/>
                            <a:gdLst/>
                            <a:ahLst/>
                            <a:cxnLst>
                              <a:cxn ang="0">
                                <a:pos x="11" y="33"/>
                              </a:cxn>
                              <a:cxn ang="0">
                                <a:pos x="9" y="11"/>
                              </a:cxn>
                              <a:cxn ang="0">
                                <a:pos x="10" y="11"/>
                              </a:cxn>
                              <a:cxn ang="0">
                                <a:pos x="12" y="32"/>
                              </a:cxn>
                              <a:cxn ang="0">
                                <a:pos x="11" y="33"/>
                              </a:cxn>
                              <a:cxn ang="0">
                                <a:pos x="10" y="11"/>
                              </a:cxn>
                              <a:cxn ang="0">
                                <a:pos x="10" y="11"/>
                              </a:cxn>
                              <a:cxn ang="0">
                                <a:pos x="10" y="11"/>
                              </a:cxn>
                              <a:cxn ang="0">
                                <a:pos x="10" y="11"/>
                              </a:cxn>
                              <a:cxn ang="0">
                                <a:pos x="9" y="11"/>
                              </a:cxn>
                              <a:cxn ang="0">
                                <a:pos x="11" y="3"/>
                              </a:cxn>
                              <a:cxn ang="0">
                                <a:pos x="12" y="4"/>
                              </a:cxn>
                              <a:cxn ang="0">
                                <a:pos x="10" y="11"/>
                              </a:cxn>
                              <a:cxn ang="0">
                                <a:pos x="9" y="11"/>
                              </a:cxn>
                              <a:cxn ang="0">
                                <a:pos x="11" y="3"/>
                              </a:cxn>
                              <a:cxn ang="0">
                                <a:pos x="11" y="3"/>
                              </a:cxn>
                              <a:cxn ang="0">
                                <a:pos x="11" y="3"/>
                              </a:cxn>
                              <a:cxn ang="0">
                                <a:pos x="11" y="4"/>
                              </a:cxn>
                              <a:cxn ang="0">
                                <a:pos x="11" y="3"/>
                              </a:cxn>
                              <a:cxn ang="0">
                                <a:pos x="11" y="3"/>
                              </a:cxn>
                              <a:cxn ang="0">
                                <a:pos x="21" y="10"/>
                              </a:cxn>
                              <a:cxn ang="0">
                                <a:pos x="20" y="10"/>
                              </a:cxn>
                              <a:cxn ang="0">
                                <a:pos x="12" y="4"/>
                              </a:cxn>
                              <a:cxn ang="0">
                                <a:pos x="11" y="3"/>
                              </a:cxn>
                              <a:cxn ang="0">
                                <a:pos x="21" y="10"/>
                              </a:cxn>
                              <a:cxn ang="0">
                                <a:pos x="20" y="10"/>
                              </a:cxn>
                              <a:cxn ang="0">
                                <a:pos x="21" y="10"/>
                              </a:cxn>
                              <a:cxn ang="0">
                                <a:pos x="20" y="10"/>
                              </a:cxn>
                              <a:cxn ang="0">
                                <a:pos x="21" y="4"/>
                              </a:cxn>
                              <a:cxn ang="0">
                                <a:pos x="22" y="5"/>
                              </a:cxn>
                              <a:cxn ang="0">
                                <a:pos x="21" y="10"/>
                              </a:cxn>
                              <a:cxn ang="0">
                                <a:pos x="20" y="10"/>
                              </a:cxn>
                            </a:cxnLst>
                            <a:rect l="0" t="0" r="r" b="b"/>
                            <a:pathLst>
                              <a:path w="22" h="33">
                                <a:moveTo>
                                  <a:pt x="11" y="33"/>
                                </a:moveTo>
                                <a:cubicBezTo>
                                  <a:pt x="11" y="33"/>
                                  <a:pt x="0" y="22"/>
                                  <a:pt x="9" y="11"/>
                                </a:cubicBezTo>
                                <a:lnTo>
                                  <a:pt x="10" y="11"/>
                                </a:lnTo>
                                <a:cubicBezTo>
                                  <a:pt x="2" y="22"/>
                                  <a:pt x="12" y="32"/>
                                  <a:pt x="12" y="32"/>
                                </a:cubicBezTo>
                                <a:lnTo>
                                  <a:pt x="11" y="33"/>
                                </a:lnTo>
                                <a:close/>
                                <a:moveTo>
                                  <a:pt x="10" y="11"/>
                                </a:moveTo>
                                <a:lnTo>
                                  <a:pt x="10" y="11"/>
                                </a:lnTo>
                                <a:lnTo>
                                  <a:pt x="10" y="11"/>
                                </a:lnTo>
                                <a:lnTo>
                                  <a:pt x="10" y="11"/>
                                </a:lnTo>
                                <a:close/>
                                <a:moveTo>
                                  <a:pt x="9" y="11"/>
                                </a:moveTo>
                                <a:cubicBezTo>
                                  <a:pt x="9" y="11"/>
                                  <a:pt x="9" y="5"/>
                                  <a:pt x="11" y="3"/>
                                </a:cubicBezTo>
                                <a:lnTo>
                                  <a:pt x="12" y="4"/>
                                </a:lnTo>
                                <a:cubicBezTo>
                                  <a:pt x="10" y="6"/>
                                  <a:pt x="10" y="11"/>
                                  <a:pt x="10" y="11"/>
                                </a:cubicBezTo>
                                <a:lnTo>
                                  <a:pt x="9" y="11"/>
                                </a:lnTo>
                                <a:close/>
                                <a:moveTo>
                                  <a:pt x="11" y="3"/>
                                </a:moveTo>
                                <a:lnTo>
                                  <a:pt x="11" y="3"/>
                                </a:lnTo>
                                <a:lnTo>
                                  <a:pt x="11" y="3"/>
                                </a:lnTo>
                                <a:lnTo>
                                  <a:pt x="11" y="4"/>
                                </a:lnTo>
                                <a:lnTo>
                                  <a:pt x="11" y="3"/>
                                </a:lnTo>
                                <a:close/>
                                <a:moveTo>
                                  <a:pt x="11" y="3"/>
                                </a:moveTo>
                                <a:cubicBezTo>
                                  <a:pt x="11" y="3"/>
                                  <a:pt x="18" y="0"/>
                                  <a:pt x="21" y="10"/>
                                </a:cubicBezTo>
                                <a:lnTo>
                                  <a:pt x="20" y="10"/>
                                </a:lnTo>
                                <a:cubicBezTo>
                                  <a:pt x="17" y="2"/>
                                  <a:pt x="12" y="4"/>
                                  <a:pt x="12" y="4"/>
                                </a:cubicBezTo>
                                <a:lnTo>
                                  <a:pt x="11" y="3"/>
                                </a:lnTo>
                                <a:close/>
                                <a:moveTo>
                                  <a:pt x="21" y="10"/>
                                </a:moveTo>
                                <a:lnTo>
                                  <a:pt x="20" y="10"/>
                                </a:lnTo>
                                <a:lnTo>
                                  <a:pt x="21" y="10"/>
                                </a:lnTo>
                                <a:close/>
                                <a:moveTo>
                                  <a:pt x="20" y="10"/>
                                </a:moveTo>
                                <a:cubicBezTo>
                                  <a:pt x="20" y="10"/>
                                  <a:pt x="19" y="7"/>
                                  <a:pt x="21" y="4"/>
                                </a:cubicBezTo>
                                <a:lnTo>
                                  <a:pt x="22" y="5"/>
                                </a:lnTo>
                                <a:cubicBezTo>
                                  <a:pt x="20" y="7"/>
                                  <a:pt x="21" y="10"/>
                                  <a:pt x="21" y="10"/>
                                </a:cubicBezTo>
                                <a:lnTo>
                                  <a:pt x="20" y="10"/>
                                </a:lnTo>
                                <a:close/>
                              </a:path>
                            </a:pathLst>
                          </a:custGeom>
                          <a:solidFill>
                            <a:srgbClr val="24211D"/>
                          </a:solidFill>
                          <a:ln w="9525">
                            <a:noFill/>
                            <a:round/>
                            <a:headEnd/>
                            <a:tailEnd/>
                          </a:ln>
                        </wps:spPr>
                        <wps:bodyPr/>
                      </wps:wsp>
                      <wps:wsp>
                        <wps:cNvPr id="125" name="Freeform 59"/>
                        <wps:cNvSpPr>
                          <a:spLocks noEditPoints="1"/>
                        </wps:cNvSpPr>
                        <wps:spPr bwMode="auto">
                          <a:xfrm>
                            <a:off x="439" y="346"/>
                            <a:ext cx="4" cy="3"/>
                          </a:xfrm>
                          <a:custGeom>
                            <a:avLst/>
                            <a:gdLst/>
                            <a:ahLst/>
                            <a:cxnLst>
                              <a:cxn ang="0">
                                <a:pos x="0" y="0"/>
                              </a:cxn>
                              <a:cxn ang="0">
                                <a:pos x="1" y="0"/>
                              </a:cxn>
                              <a:cxn ang="0">
                                <a:pos x="1" y="1"/>
                              </a:cxn>
                              <a:cxn ang="0">
                                <a:pos x="0" y="1"/>
                              </a:cxn>
                              <a:cxn ang="0">
                                <a:pos x="0" y="0"/>
                              </a:cxn>
                              <a:cxn ang="0">
                                <a:pos x="1" y="0"/>
                              </a:cxn>
                              <a:cxn ang="0">
                                <a:pos x="5" y="3"/>
                              </a:cxn>
                              <a:cxn ang="0">
                                <a:pos x="4" y="3"/>
                              </a:cxn>
                              <a:cxn ang="0">
                                <a:pos x="1" y="1"/>
                              </a:cxn>
                              <a:cxn ang="0">
                                <a:pos x="1" y="0"/>
                              </a:cxn>
                            </a:cxnLst>
                            <a:rect l="0" t="0" r="r" b="b"/>
                            <a:pathLst>
                              <a:path w="5" h="3">
                                <a:moveTo>
                                  <a:pt x="0" y="0"/>
                                </a:moveTo>
                                <a:cubicBezTo>
                                  <a:pt x="1" y="0"/>
                                  <a:pt x="1" y="0"/>
                                  <a:pt x="1" y="0"/>
                                </a:cubicBezTo>
                                <a:lnTo>
                                  <a:pt x="1" y="1"/>
                                </a:lnTo>
                                <a:cubicBezTo>
                                  <a:pt x="1" y="1"/>
                                  <a:pt x="0" y="1"/>
                                  <a:pt x="0" y="1"/>
                                </a:cubicBezTo>
                                <a:lnTo>
                                  <a:pt x="0" y="0"/>
                                </a:lnTo>
                                <a:close/>
                                <a:moveTo>
                                  <a:pt x="1" y="0"/>
                                </a:moveTo>
                                <a:cubicBezTo>
                                  <a:pt x="3" y="0"/>
                                  <a:pt x="4" y="0"/>
                                  <a:pt x="5" y="3"/>
                                </a:cubicBezTo>
                                <a:lnTo>
                                  <a:pt x="4" y="3"/>
                                </a:lnTo>
                                <a:cubicBezTo>
                                  <a:pt x="3" y="2"/>
                                  <a:pt x="2" y="1"/>
                                  <a:pt x="1" y="1"/>
                                </a:cubicBezTo>
                                <a:lnTo>
                                  <a:pt x="1" y="0"/>
                                </a:lnTo>
                                <a:close/>
                              </a:path>
                            </a:pathLst>
                          </a:custGeom>
                          <a:solidFill>
                            <a:srgbClr val="24211D"/>
                          </a:solidFill>
                          <a:ln w="9525">
                            <a:noFill/>
                            <a:round/>
                            <a:headEnd/>
                            <a:tailEnd/>
                          </a:ln>
                        </wps:spPr>
                        <wps:bodyPr/>
                      </wps:wsp>
                      <wps:wsp>
                        <wps:cNvPr id="126" name="Freeform 60"/>
                        <wps:cNvSpPr>
                          <a:spLocks noEditPoints="1"/>
                        </wps:cNvSpPr>
                        <wps:spPr bwMode="auto">
                          <a:xfrm>
                            <a:off x="423" y="325"/>
                            <a:ext cx="26" cy="18"/>
                          </a:xfrm>
                          <a:custGeom>
                            <a:avLst/>
                            <a:gdLst/>
                            <a:ahLst/>
                            <a:cxnLst>
                              <a:cxn ang="0">
                                <a:pos x="1" y="7"/>
                              </a:cxn>
                              <a:cxn ang="0">
                                <a:pos x="30" y="2"/>
                              </a:cxn>
                              <a:cxn ang="0">
                                <a:pos x="31" y="3"/>
                              </a:cxn>
                              <a:cxn ang="0">
                                <a:pos x="0" y="8"/>
                              </a:cxn>
                              <a:cxn ang="0">
                                <a:pos x="1" y="7"/>
                              </a:cxn>
                              <a:cxn ang="0">
                                <a:pos x="31" y="2"/>
                              </a:cxn>
                              <a:cxn ang="0">
                                <a:pos x="31" y="2"/>
                              </a:cxn>
                              <a:cxn ang="0">
                                <a:pos x="31" y="3"/>
                              </a:cxn>
                              <a:cxn ang="0">
                                <a:pos x="30" y="2"/>
                              </a:cxn>
                              <a:cxn ang="0">
                                <a:pos x="31" y="2"/>
                              </a:cxn>
                              <a:cxn ang="0">
                                <a:pos x="30" y="3"/>
                              </a:cxn>
                              <a:cxn ang="0">
                                <a:pos x="30" y="2"/>
                              </a:cxn>
                              <a:cxn ang="0">
                                <a:pos x="29" y="1"/>
                              </a:cxn>
                              <a:cxn ang="0">
                                <a:pos x="31" y="2"/>
                              </a:cxn>
                              <a:cxn ang="0">
                                <a:pos x="30" y="3"/>
                              </a:cxn>
                              <a:cxn ang="0">
                                <a:pos x="30" y="2"/>
                              </a:cxn>
                              <a:cxn ang="0">
                                <a:pos x="12" y="5"/>
                              </a:cxn>
                              <a:cxn ang="0">
                                <a:pos x="12" y="4"/>
                              </a:cxn>
                              <a:cxn ang="0">
                                <a:pos x="29" y="1"/>
                              </a:cxn>
                              <a:cxn ang="0">
                                <a:pos x="30" y="2"/>
                              </a:cxn>
                            </a:cxnLst>
                            <a:rect l="0" t="0" r="r" b="b"/>
                            <a:pathLst>
                              <a:path w="31" h="22">
                                <a:moveTo>
                                  <a:pt x="1" y="7"/>
                                </a:moveTo>
                                <a:cubicBezTo>
                                  <a:pt x="1" y="7"/>
                                  <a:pt x="18" y="21"/>
                                  <a:pt x="30" y="2"/>
                                </a:cubicBezTo>
                                <a:lnTo>
                                  <a:pt x="31" y="3"/>
                                </a:lnTo>
                                <a:cubicBezTo>
                                  <a:pt x="18" y="22"/>
                                  <a:pt x="0" y="8"/>
                                  <a:pt x="0" y="8"/>
                                </a:cubicBezTo>
                                <a:lnTo>
                                  <a:pt x="1" y="7"/>
                                </a:lnTo>
                                <a:close/>
                                <a:moveTo>
                                  <a:pt x="31" y="2"/>
                                </a:moveTo>
                                <a:lnTo>
                                  <a:pt x="31" y="2"/>
                                </a:lnTo>
                                <a:lnTo>
                                  <a:pt x="31" y="3"/>
                                </a:lnTo>
                                <a:lnTo>
                                  <a:pt x="30" y="2"/>
                                </a:lnTo>
                                <a:lnTo>
                                  <a:pt x="31" y="2"/>
                                </a:lnTo>
                                <a:close/>
                                <a:moveTo>
                                  <a:pt x="30" y="3"/>
                                </a:moveTo>
                                <a:cubicBezTo>
                                  <a:pt x="30" y="2"/>
                                  <a:pt x="30" y="2"/>
                                  <a:pt x="30" y="2"/>
                                </a:cubicBezTo>
                                <a:lnTo>
                                  <a:pt x="29" y="1"/>
                                </a:lnTo>
                                <a:cubicBezTo>
                                  <a:pt x="29" y="1"/>
                                  <a:pt x="30" y="0"/>
                                  <a:pt x="31" y="2"/>
                                </a:cubicBezTo>
                                <a:lnTo>
                                  <a:pt x="30" y="3"/>
                                </a:lnTo>
                                <a:close/>
                                <a:moveTo>
                                  <a:pt x="30" y="2"/>
                                </a:moveTo>
                                <a:cubicBezTo>
                                  <a:pt x="25" y="8"/>
                                  <a:pt x="12" y="5"/>
                                  <a:pt x="12" y="5"/>
                                </a:cubicBezTo>
                                <a:lnTo>
                                  <a:pt x="12" y="4"/>
                                </a:lnTo>
                                <a:cubicBezTo>
                                  <a:pt x="12" y="4"/>
                                  <a:pt x="24" y="7"/>
                                  <a:pt x="29" y="1"/>
                                </a:cubicBezTo>
                                <a:lnTo>
                                  <a:pt x="30" y="2"/>
                                </a:lnTo>
                                <a:close/>
                              </a:path>
                            </a:pathLst>
                          </a:custGeom>
                          <a:solidFill>
                            <a:srgbClr val="24211D"/>
                          </a:solidFill>
                          <a:ln w="9525">
                            <a:noFill/>
                            <a:round/>
                            <a:headEnd/>
                            <a:tailEnd/>
                          </a:ln>
                        </wps:spPr>
                        <wps:bodyPr/>
                      </wps:wsp>
                      <wps:wsp>
                        <wps:cNvPr id="127" name="Freeform 61"/>
                        <wps:cNvSpPr>
                          <a:spLocks noEditPoints="1"/>
                        </wps:cNvSpPr>
                        <wps:spPr bwMode="auto">
                          <a:xfrm>
                            <a:off x="461" y="275"/>
                            <a:ext cx="12" cy="15"/>
                          </a:xfrm>
                          <a:custGeom>
                            <a:avLst/>
                            <a:gdLst/>
                            <a:ahLst/>
                            <a:cxnLst>
                              <a:cxn ang="0">
                                <a:pos x="8" y="18"/>
                              </a:cxn>
                              <a:cxn ang="0">
                                <a:pos x="8" y="19"/>
                              </a:cxn>
                              <a:cxn ang="0">
                                <a:pos x="8" y="18"/>
                              </a:cxn>
                              <a:cxn ang="0">
                                <a:pos x="8" y="18"/>
                              </a:cxn>
                              <a:cxn ang="0">
                                <a:pos x="9" y="17"/>
                              </a:cxn>
                              <a:cxn ang="0">
                                <a:pos x="8" y="19"/>
                              </a:cxn>
                              <a:cxn ang="0">
                                <a:pos x="9" y="17"/>
                              </a:cxn>
                              <a:cxn ang="0">
                                <a:pos x="11" y="17"/>
                              </a:cxn>
                              <a:cxn ang="0">
                                <a:pos x="9" y="17"/>
                              </a:cxn>
                              <a:cxn ang="0">
                                <a:pos x="13" y="9"/>
                              </a:cxn>
                              <a:cxn ang="0">
                                <a:pos x="11" y="17"/>
                              </a:cxn>
                              <a:cxn ang="0">
                                <a:pos x="13" y="9"/>
                              </a:cxn>
                              <a:cxn ang="0">
                                <a:pos x="14" y="9"/>
                              </a:cxn>
                              <a:cxn ang="0">
                                <a:pos x="13" y="9"/>
                              </a:cxn>
                              <a:cxn ang="0">
                                <a:pos x="13" y="7"/>
                              </a:cxn>
                              <a:cxn ang="0">
                                <a:pos x="14" y="9"/>
                              </a:cxn>
                              <a:cxn ang="0">
                                <a:pos x="13" y="7"/>
                              </a:cxn>
                              <a:cxn ang="0">
                                <a:pos x="14" y="7"/>
                              </a:cxn>
                              <a:cxn ang="0">
                                <a:pos x="13" y="7"/>
                              </a:cxn>
                              <a:cxn ang="0">
                                <a:pos x="13" y="5"/>
                              </a:cxn>
                              <a:cxn ang="0">
                                <a:pos x="14" y="7"/>
                              </a:cxn>
                              <a:cxn ang="0">
                                <a:pos x="13" y="5"/>
                              </a:cxn>
                              <a:cxn ang="0">
                                <a:pos x="13" y="5"/>
                              </a:cxn>
                              <a:cxn ang="0">
                                <a:pos x="13" y="5"/>
                              </a:cxn>
                              <a:cxn ang="0">
                                <a:pos x="14" y="5"/>
                              </a:cxn>
                              <a:cxn ang="0">
                                <a:pos x="14" y="5"/>
                              </a:cxn>
                              <a:cxn ang="0">
                                <a:pos x="13" y="5"/>
                              </a:cxn>
                              <a:cxn ang="0">
                                <a:pos x="13" y="5"/>
                              </a:cxn>
                              <a:cxn ang="0">
                                <a:pos x="13" y="4"/>
                              </a:cxn>
                              <a:cxn ang="0">
                                <a:pos x="13" y="5"/>
                              </a:cxn>
                              <a:cxn ang="0">
                                <a:pos x="12" y="4"/>
                              </a:cxn>
                              <a:cxn ang="0">
                                <a:pos x="13" y="4"/>
                              </a:cxn>
                              <a:cxn ang="0">
                                <a:pos x="13" y="3"/>
                              </a:cxn>
                              <a:cxn ang="0">
                                <a:pos x="12" y="3"/>
                              </a:cxn>
                              <a:cxn ang="0">
                                <a:pos x="12" y="4"/>
                              </a:cxn>
                              <a:cxn ang="0">
                                <a:pos x="7" y="0"/>
                              </a:cxn>
                              <a:cxn ang="0">
                                <a:pos x="12" y="4"/>
                              </a:cxn>
                              <a:cxn ang="0">
                                <a:pos x="7" y="1"/>
                              </a:cxn>
                              <a:cxn ang="0">
                                <a:pos x="7" y="0"/>
                              </a:cxn>
                              <a:cxn ang="0">
                                <a:pos x="7" y="1"/>
                              </a:cxn>
                              <a:cxn ang="0">
                                <a:pos x="2" y="2"/>
                              </a:cxn>
                              <a:cxn ang="0">
                                <a:pos x="7" y="1"/>
                              </a:cxn>
                              <a:cxn ang="0">
                                <a:pos x="1" y="6"/>
                              </a:cxn>
                              <a:cxn ang="0">
                                <a:pos x="2" y="2"/>
                              </a:cxn>
                              <a:cxn ang="0">
                                <a:pos x="1" y="6"/>
                              </a:cxn>
                              <a:cxn ang="0">
                                <a:pos x="0" y="6"/>
                              </a:cxn>
                              <a:cxn ang="0">
                                <a:pos x="1" y="6"/>
                              </a:cxn>
                              <a:cxn ang="0">
                                <a:pos x="1" y="6"/>
                              </a:cxn>
                              <a:cxn ang="0">
                                <a:pos x="0" y="6"/>
                              </a:cxn>
                              <a:cxn ang="0">
                                <a:pos x="1" y="6"/>
                              </a:cxn>
                              <a:cxn ang="0">
                                <a:pos x="0" y="8"/>
                              </a:cxn>
                              <a:cxn ang="0">
                                <a:pos x="1" y="6"/>
                              </a:cxn>
                              <a:cxn ang="0">
                                <a:pos x="2" y="8"/>
                              </a:cxn>
                              <a:cxn ang="0">
                                <a:pos x="0" y="8"/>
                              </a:cxn>
                              <a:cxn ang="0">
                                <a:pos x="2" y="8"/>
                              </a:cxn>
                              <a:cxn ang="0">
                                <a:pos x="1" y="8"/>
                              </a:cxn>
                              <a:cxn ang="0">
                                <a:pos x="2" y="8"/>
                              </a:cxn>
                              <a:cxn ang="0">
                                <a:pos x="1" y="10"/>
                              </a:cxn>
                              <a:cxn ang="0">
                                <a:pos x="2" y="8"/>
                              </a:cxn>
                            </a:cxnLst>
                            <a:rect l="0" t="0" r="r" b="b"/>
                            <a:pathLst>
                              <a:path w="14" h="19">
                                <a:moveTo>
                                  <a:pt x="8" y="18"/>
                                </a:moveTo>
                                <a:cubicBezTo>
                                  <a:pt x="8" y="18"/>
                                  <a:pt x="8" y="18"/>
                                  <a:pt x="8" y="18"/>
                                </a:cubicBezTo>
                                <a:lnTo>
                                  <a:pt x="8" y="19"/>
                                </a:lnTo>
                                <a:cubicBezTo>
                                  <a:pt x="8" y="19"/>
                                  <a:pt x="8" y="19"/>
                                  <a:pt x="8" y="19"/>
                                </a:cubicBezTo>
                                <a:lnTo>
                                  <a:pt x="8" y="18"/>
                                </a:lnTo>
                                <a:close/>
                                <a:moveTo>
                                  <a:pt x="8" y="18"/>
                                </a:moveTo>
                                <a:lnTo>
                                  <a:pt x="8" y="18"/>
                                </a:lnTo>
                                <a:lnTo>
                                  <a:pt x="8" y="18"/>
                                </a:lnTo>
                                <a:close/>
                                <a:moveTo>
                                  <a:pt x="8" y="18"/>
                                </a:moveTo>
                                <a:cubicBezTo>
                                  <a:pt x="8" y="17"/>
                                  <a:pt x="9" y="17"/>
                                  <a:pt x="9" y="17"/>
                                </a:cubicBezTo>
                                <a:lnTo>
                                  <a:pt x="10" y="18"/>
                                </a:lnTo>
                                <a:cubicBezTo>
                                  <a:pt x="9" y="18"/>
                                  <a:pt x="9" y="19"/>
                                  <a:pt x="8" y="19"/>
                                </a:cubicBezTo>
                                <a:lnTo>
                                  <a:pt x="8" y="18"/>
                                </a:lnTo>
                                <a:close/>
                                <a:moveTo>
                                  <a:pt x="9" y="17"/>
                                </a:moveTo>
                                <a:cubicBezTo>
                                  <a:pt x="9" y="17"/>
                                  <a:pt x="10" y="17"/>
                                  <a:pt x="10" y="16"/>
                                </a:cubicBezTo>
                                <a:lnTo>
                                  <a:pt x="11" y="17"/>
                                </a:lnTo>
                                <a:cubicBezTo>
                                  <a:pt x="11" y="18"/>
                                  <a:pt x="10" y="18"/>
                                  <a:pt x="10" y="18"/>
                                </a:cubicBezTo>
                                <a:lnTo>
                                  <a:pt x="9" y="17"/>
                                </a:lnTo>
                                <a:close/>
                                <a:moveTo>
                                  <a:pt x="10" y="16"/>
                                </a:moveTo>
                                <a:cubicBezTo>
                                  <a:pt x="12" y="15"/>
                                  <a:pt x="13" y="12"/>
                                  <a:pt x="13" y="9"/>
                                </a:cubicBezTo>
                                <a:lnTo>
                                  <a:pt x="14" y="9"/>
                                </a:lnTo>
                                <a:cubicBezTo>
                                  <a:pt x="14" y="12"/>
                                  <a:pt x="13" y="15"/>
                                  <a:pt x="11" y="17"/>
                                </a:cubicBezTo>
                                <a:lnTo>
                                  <a:pt x="10" y="16"/>
                                </a:lnTo>
                                <a:close/>
                                <a:moveTo>
                                  <a:pt x="13" y="9"/>
                                </a:moveTo>
                                <a:lnTo>
                                  <a:pt x="13" y="9"/>
                                </a:lnTo>
                                <a:lnTo>
                                  <a:pt x="14" y="9"/>
                                </a:lnTo>
                                <a:lnTo>
                                  <a:pt x="14" y="9"/>
                                </a:lnTo>
                                <a:lnTo>
                                  <a:pt x="13" y="9"/>
                                </a:lnTo>
                                <a:close/>
                                <a:moveTo>
                                  <a:pt x="13" y="9"/>
                                </a:moveTo>
                                <a:cubicBezTo>
                                  <a:pt x="13" y="8"/>
                                  <a:pt x="13" y="8"/>
                                  <a:pt x="13" y="7"/>
                                </a:cubicBezTo>
                                <a:lnTo>
                                  <a:pt x="14" y="7"/>
                                </a:lnTo>
                                <a:cubicBezTo>
                                  <a:pt x="14" y="8"/>
                                  <a:pt x="14" y="8"/>
                                  <a:pt x="14" y="9"/>
                                </a:cubicBezTo>
                                <a:lnTo>
                                  <a:pt x="13" y="9"/>
                                </a:lnTo>
                                <a:close/>
                                <a:moveTo>
                                  <a:pt x="13" y="7"/>
                                </a:moveTo>
                                <a:cubicBezTo>
                                  <a:pt x="13" y="7"/>
                                  <a:pt x="13" y="7"/>
                                  <a:pt x="13" y="7"/>
                                </a:cubicBezTo>
                                <a:lnTo>
                                  <a:pt x="14" y="7"/>
                                </a:lnTo>
                                <a:cubicBezTo>
                                  <a:pt x="14" y="7"/>
                                  <a:pt x="14" y="7"/>
                                  <a:pt x="14" y="7"/>
                                </a:cubicBezTo>
                                <a:lnTo>
                                  <a:pt x="13" y="7"/>
                                </a:lnTo>
                                <a:close/>
                                <a:moveTo>
                                  <a:pt x="13" y="7"/>
                                </a:moveTo>
                                <a:cubicBezTo>
                                  <a:pt x="13" y="6"/>
                                  <a:pt x="13" y="6"/>
                                  <a:pt x="13" y="5"/>
                                </a:cubicBezTo>
                                <a:lnTo>
                                  <a:pt x="14" y="5"/>
                                </a:lnTo>
                                <a:cubicBezTo>
                                  <a:pt x="14" y="6"/>
                                  <a:pt x="14" y="6"/>
                                  <a:pt x="14" y="7"/>
                                </a:cubicBezTo>
                                <a:lnTo>
                                  <a:pt x="13" y="7"/>
                                </a:lnTo>
                                <a:close/>
                                <a:moveTo>
                                  <a:pt x="13" y="5"/>
                                </a:moveTo>
                                <a:lnTo>
                                  <a:pt x="13" y="5"/>
                                </a:lnTo>
                                <a:lnTo>
                                  <a:pt x="13" y="5"/>
                                </a:lnTo>
                                <a:close/>
                                <a:moveTo>
                                  <a:pt x="13" y="5"/>
                                </a:moveTo>
                                <a:lnTo>
                                  <a:pt x="13" y="5"/>
                                </a:lnTo>
                                <a:lnTo>
                                  <a:pt x="14" y="5"/>
                                </a:lnTo>
                                <a:lnTo>
                                  <a:pt x="14" y="5"/>
                                </a:lnTo>
                                <a:lnTo>
                                  <a:pt x="13" y="5"/>
                                </a:lnTo>
                                <a:close/>
                                <a:moveTo>
                                  <a:pt x="14" y="5"/>
                                </a:moveTo>
                                <a:lnTo>
                                  <a:pt x="14" y="5"/>
                                </a:lnTo>
                                <a:lnTo>
                                  <a:pt x="13" y="5"/>
                                </a:lnTo>
                                <a:lnTo>
                                  <a:pt x="14" y="5"/>
                                </a:lnTo>
                                <a:close/>
                                <a:moveTo>
                                  <a:pt x="13" y="5"/>
                                </a:moveTo>
                                <a:cubicBezTo>
                                  <a:pt x="12" y="5"/>
                                  <a:pt x="12" y="5"/>
                                  <a:pt x="12" y="4"/>
                                </a:cubicBezTo>
                                <a:lnTo>
                                  <a:pt x="13" y="4"/>
                                </a:lnTo>
                                <a:cubicBezTo>
                                  <a:pt x="14" y="4"/>
                                  <a:pt x="14" y="5"/>
                                  <a:pt x="14" y="5"/>
                                </a:cubicBezTo>
                                <a:lnTo>
                                  <a:pt x="13" y="5"/>
                                </a:lnTo>
                                <a:close/>
                                <a:moveTo>
                                  <a:pt x="12" y="4"/>
                                </a:moveTo>
                                <a:cubicBezTo>
                                  <a:pt x="12" y="4"/>
                                  <a:pt x="12" y="4"/>
                                  <a:pt x="12" y="4"/>
                                </a:cubicBezTo>
                                <a:lnTo>
                                  <a:pt x="13" y="3"/>
                                </a:lnTo>
                                <a:cubicBezTo>
                                  <a:pt x="13" y="3"/>
                                  <a:pt x="13" y="4"/>
                                  <a:pt x="13" y="4"/>
                                </a:cubicBezTo>
                                <a:lnTo>
                                  <a:pt x="12" y="4"/>
                                </a:lnTo>
                                <a:close/>
                                <a:moveTo>
                                  <a:pt x="13" y="3"/>
                                </a:moveTo>
                                <a:lnTo>
                                  <a:pt x="13" y="3"/>
                                </a:lnTo>
                                <a:lnTo>
                                  <a:pt x="12" y="3"/>
                                </a:lnTo>
                                <a:lnTo>
                                  <a:pt x="13" y="3"/>
                                </a:lnTo>
                                <a:close/>
                                <a:moveTo>
                                  <a:pt x="12" y="4"/>
                                </a:moveTo>
                                <a:cubicBezTo>
                                  <a:pt x="11" y="2"/>
                                  <a:pt x="9" y="1"/>
                                  <a:pt x="7" y="1"/>
                                </a:cubicBezTo>
                                <a:lnTo>
                                  <a:pt x="7" y="0"/>
                                </a:lnTo>
                                <a:cubicBezTo>
                                  <a:pt x="9" y="0"/>
                                  <a:pt x="11" y="1"/>
                                  <a:pt x="13" y="3"/>
                                </a:cubicBezTo>
                                <a:lnTo>
                                  <a:pt x="12" y="4"/>
                                </a:lnTo>
                                <a:close/>
                                <a:moveTo>
                                  <a:pt x="7" y="1"/>
                                </a:moveTo>
                                <a:lnTo>
                                  <a:pt x="7" y="1"/>
                                </a:lnTo>
                                <a:lnTo>
                                  <a:pt x="7" y="0"/>
                                </a:lnTo>
                                <a:lnTo>
                                  <a:pt x="7" y="0"/>
                                </a:lnTo>
                                <a:lnTo>
                                  <a:pt x="7" y="1"/>
                                </a:lnTo>
                                <a:close/>
                                <a:moveTo>
                                  <a:pt x="7" y="1"/>
                                </a:moveTo>
                                <a:cubicBezTo>
                                  <a:pt x="5" y="1"/>
                                  <a:pt x="4" y="2"/>
                                  <a:pt x="3" y="3"/>
                                </a:cubicBezTo>
                                <a:lnTo>
                                  <a:pt x="2" y="2"/>
                                </a:lnTo>
                                <a:cubicBezTo>
                                  <a:pt x="3" y="0"/>
                                  <a:pt x="5" y="0"/>
                                  <a:pt x="7" y="0"/>
                                </a:cubicBezTo>
                                <a:lnTo>
                                  <a:pt x="7" y="1"/>
                                </a:lnTo>
                                <a:close/>
                                <a:moveTo>
                                  <a:pt x="3" y="3"/>
                                </a:moveTo>
                                <a:cubicBezTo>
                                  <a:pt x="2" y="4"/>
                                  <a:pt x="1" y="5"/>
                                  <a:pt x="1" y="6"/>
                                </a:cubicBezTo>
                                <a:lnTo>
                                  <a:pt x="0" y="6"/>
                                </a:lnTo>
                                <a:cubicBezTo>
                                  <a:pt x="0" y="5"/>
                                  <a:pt x="1" y="3"/>
                                  <a:pt x="2" y="2"/>
                                </a:cubicBezTo>
                                <a:lnTo>
                                  <a:pt x="3" y="3"/>
                                </a:lnTo>
                                <a:close/>
                                <a:moveTo>
                                  <a:pt x="1" y="6"/>
                                </a:moveTo>
                                <a:lnTo>
                                  <a:pt x="1" y="6"/>
                                </a:lnTo>
                                <a:lnTo>
                                  <a:pt x="0" y="6"/>
                                </a:lnTo>
                                <a:lnTo>
                                  <a:pt x="0" y="6"/>
                                </a:lnTo>
                                <a:lnTo>
                                  <a:pt x="1" y="6"/>
                                </a:lnTo>
                                <a:close/>
                                <a:moveTo>
                                  <a:pt x="1" y="6"/>
                                </a:moveTo>
                                <a:lnTo>
                                  <a:pt x="1" y="6"/>
                                </a:lnTo>
                                <a:lnTo>
                                  <a:pt x="0" y="6"/>
                                </a:lnTo>
                                <a:lnTo>
                                  <a:pt x="0" y="6"/>
                                </a:lnTo>
                                <a:lnTo>
                                  <a:pt x="1" y="6"/>
                                </a:lnTo>
                                <a:close/>
                                <a:moveTo>
                                  <a:pt x="1" y="6"/>
                                </a:moveTo>
                                <a:cubicBezTo>
                                  <a:pt x="1" y="7"/>
                                  <a:pt x="1" y="7"/>
                                  <a:pt x="2" y="8"/>
                                </a:cubicBezTo>
                                <a:lnTo>
                                  <a:pt x="0" y="8"/>
                                </a:lnTo>
                                <a:cubicBezTo>
                                  <a:pt x="0" y="8"/>
                                  <a:pt x="0" y="7"/>
                                  <a:pt x="0" y="6"/>
                                </a:cubicBezTo>
                                <a:lnTo>
                                  <a:pt x="1" y="6"/>
                                </a:lnTo>
                                <a:close/>
                                <a:moveTo>
                                  <a:pt x="2" y="8"/>
                                </a:moveTo>
                                <a:cubicBezTo>
                                  <a:pt x="2" y="8"/>
                                  <a:pt x="2" y="8"/>
                                  <a:pt x="2" y="8"/>
                                </a:cubicBezTo>
                                <a:lnTo>
                                  <a:pt x="0" y="9"/>
                                </a:lnTo>
                                <a:cubicBezTo>
                                  <a:pt x="0" y="9"/>
                                  <a:pt x="0" y="8"/>
                                  <a:pt x="0" y="8"/>
                                </a:cubicBezTo>
                                <a:lnTo>
                                  <a:pt x="2" y="8"/>
                                </a:lnTo>
                                <a:close/>
                                <a:moveTo>
                                  <a:pt x="2" y="8"/>
                                </a:moveTo>
                                <a:lnTo>
                                  <a:pt x="2" y="8"/>
                                </a:lnTo>
                                <a:lnTo>
                                  <a:pt x="1" y="8"/>
                                </a:lnTo>
                                <a:lnTo>
                                  <a:pt x="2" y="8"/>
                                </a:lnTo>
                                <a:close/>
                                <a:moveTo>
                                  <a:pt x="2" y="8"/>
                                </a:moveTo>
                                <a:cubicBezTo>
                                  <a:pt x="2" y="9"/>
                                  <a:pt x="2" y="9"/>
                                  <a:pt x="2" y="9"/>
                                </a:cubicBezTo>
                                <a:lnTo>
                                  <a:pt x="1" y="10"/>
                                </a:lnTo>
                                <a:cubicBezTo>
                                  <a:pt x="1" y="10"/>
                                  <a:pt x="1" y="9"/>
                                  <a:pt x="0" y="9"/>
                                </a:cubicBezTo>
                                <a:lnTo>
                                  <a:pt x="2" y="8"/>
                                </a:lnTo>
                                <a:close/>
                              </a:path>
                            </a:pathLst>
                          </a:custGeom>
                          <a:solidFill>
                            <a:srgbClr val="24211D"/>
                          </a:solidFill>
                          <a:ln w="9525">
                            <a:noFill/>
                            <a:round/>
                            <a:headEnd/>
                            <a:tailEnd/>
                          </a:ln>
                        </wps:spPr>
                        <wps:bodyPr/>
                      </wps:wsp>
                      <wps:wsp>
                        <wps:cNvPr id="128" name="Freeform 62"/>
                        <wps:cNvSpPr>
                          <a:spLocks noEditPoints="1"/>
                        </wps:cNvSpPr>
                        <wps:spPr bwMode="auto">
                          <a:xfrm>
                            <a:off x="454" y="151"/>
                            <a:ext cx="19" cy="15"/>
                          </a:xfrm>
                          <a:custGeom>
                            <a:avLst/>
                            <a:gdLst/>
                            <a:ahLst/>
                            <a:cxnLst>
                              <a:cxn ang="0">
                                <a:pos x="15" y="17"/>
                              </a:cxn>
                              <a:cxn ang="0">
                                <a:pos x="15" y="18"/>
                              </a:cxn>
                              <a:cxn ang="0">
                                <a:pos x="15" y="17"/>
                              </a:cxn>
                              <a:cxn ang="0">
                                <a:pos x="21" y="16"/>
                              </a:cxn>
                              <a:cxn ang="0">
                                <a:pos x="15" y="17"/>
                              </a:cxn>
                              <a:cxn ang="0">
                                <a:pos x="22" y="11"/>
                              </a:cxn>
                              <a:cxn ang="0">
                                <a:pos x="21" y="16"/>
                              </a:cxn>
                              <a:cxn ang="0">
                                <a:pos x="22" y="11"/>
                              </a:cxn>
                              <a:cxn ang="0">
                                <a:pos x="23" y="11"/>
                              </a:cxn>
                              <a:cxn ang="0">
                                <a:pos x="22" y="11"/>
                              </a:cxn>
                              <a:cxn ang="0">
                                <a:pos x="22" y="11"/>
                              </a:cxn>
                              <a:cxn ang="0">
                                <a:pos x="23" y="11"/>
                              </a:cxn>
                              <a:cxn ang="0">
                                <a:pos x="22" y="11"/>
                              </a:cxn>
                              <a:cxn ang="0">
                                <a:pos x="23" y="8"/>
                              </a:cxn>
                              <a:cxn ang="0">
                                <a:pos x="22" y="11"/>
                              </a:cxn>
                              <a:cxn ang="0">
                                <a:pos x="21" y="8"/>
                              </a:cxn>
                              <a:cxn ang="0">
                                <a:pos x="23" y="8"/>
                              </a:cxn>
                              <a:cxn ang="0">
                                <a:pos x="21" y="8"/>
                              </a:cxn>
                              <a:cxn ang="0">
                                <a:pos x="18" y="3"/>
                              </a:cxn>
                              <a:cxn ang="0">
                                <a:pos x="21" y="8"/>
                              </a:cxn>
                              <a:cxn ang="0">
                                <a:pos x="18" y="5"/>
                              </a:cxn>
                              <a:cxn ang="0">
                                <a:pos x="18" y="5"/>
                              </a:cxn>
                              <a:cxn ang="0">
                                <a:pos x="5" y="6"/>
                              </a:cxn>
                              <a:cxn ang="0">
                                <a:pos x="18" y="3"/>
                              </a:cxn>
                              <a:cxn ang="0">
                                <a:pos x="4" y="5"/>
                              </a:cxn>
                              <a:cxn ang="0">
                                <a:pos x="4" y="4"/>
                              </a:cxn>
                              <a:cxn ang="0">
                                <a:pos x="5" y="5"/>
                              </a:cxn>
                              <a:cxn ang="0">
                                <a:pos x="4" y="5"/>
                              </a:cxn>
                              <a:cxn ang="0">
                                <a:pos x="5" y="5"/>
                              </a:cxn>
                              <a:cxn ang="0">
                                <a:pos x="4" y="5"/>
                              </a:cxn>
                              <a:cxn ang="0">
                                <a:pos x="5" y="5"/>
                              </a:cxn>
                              <a:cxn ang="0">
                                <a:pos x="1" y="8"/>
                              </a:cxn>
                              <a:cxn ang="0">
                                <a:pos x="5" y="5"/>
                              </a:cxn>
                              <a:cxn ang="0">
                                <a:pos x="1" y="10"/>
                              </a:cxn>
                              <a:cxn ang="0">
                                <a:pos x="1" y="8"/>
                              </a:cxn>
                            </a:cxnLst>
                            <a:rect l="0" t="0" r="r" b="b"/>
                            <a:pathLst>
                              <a:path w="23" h="18">
                                <a:moveTo>
                                  <a:pt x="15" y="17"/>
                                </a:moveTo>
                                <a:lnTo>
                                  <a:pt x="15" y="17"/>
                                </a:lnTo>
                                <a:lnTo>
                                  <a:pt x="15" y="18"/>
                                </a:lnTo>
                                <a:lnTo>
                                  <a:pt x="15" y="18"/>
                                </a:lnTo>
                                <a:lnTo>
                                  <a:pt x="15" y="17"/>
                                </a:lnTo>
                                <a:close/>
                                <a:moveTo>
                                  <a:pt x="15" y="17"/>
                                </a:moveTo>
                                <a:cubicBezTo>
                                  <a:pt x="17" y="17"/>
                                  <a:pt x="19" y="16"/>
                                  <a:pt x="20" y="15"/>
                                </a:cubicBezTo>
                                <a:lnTo>
                                  <a:pt x="21" y="16"/>
                                </a:lnTo>
                                <a:cubicBezTo>
                                  <a:pt x="19" y="17"/>
                                  <a:pt x="17" y="18"/>
                                  <a:pt x="15" y="18"/>
                                </a:cubicBezTo>
                                <a:lnTo>
                                  <a:pt x="15" y="17"/>
                                </a:lnTo>
                                <a:close/>
                                <a:moveTo>
                                  <a:pt x="20" y="15"/>
                                </a:moveTo>
                                <a:cubicBezTo>
                                  <a:pt x="21" y="14"/>
                                  <a:pt x="22" y="12"/>
                                  <a:pt x="22" y="11"/>
                                </a:cubicBezTo>
                                <a:lnTo>
                                  <a:pt x="23" y="11"/>
                                </a:lnTo>
                                <a:cubicBezTo>
                                  <a:pt x="23" y="13"/>
                                  <a:pt x="22" y="15"/>
                                  <a:pt x="21" y="16"/>
                                </a:cubicBezTo>
                                <a:lnTo>
                                  <a:pt x="20" y="15"/>
                                </a:lnTo>
                                <a:close/>
                                <a:moveTo>
                                  <a:pt x="22" y="11"/>
                                </a:moveTo>
                                <a:lnTo>
                                  <a:pt x="22" y="11"/>
                                </a:lnTo>
                                <a:lnTo>
                                  <a:pt x="23" y="11"/>
                                </a:lnTo>
                                <a:lnTo>
                                  <a:pt x="23" y="11"/>
                                </a:lnTo>
                                <a:lnTo>
                                  <a:pt x="22" y="11"/>
                                </a:lnTo>
                                <a:close/>
                                <a:moveTo>
                                  <a:pt x="22" y="11"/>
                                </a:moveTo>
                                <a:lnTo>
                                  <a:pt x="22" y="11"/>
                                </a:lnTo>
                                <a:lnTo>
                                  <a:pt x="23" y="11"/>
                                </a:lnTo>
                                <a:lnTo>
                                  <a:pt x="23" y="11"/>
                                </a:lnTo>
                                <a:lnTo>
                                  <a:pt x="22" y="11"/>
                                </a:lnTo>
                                <a:close/>
                                <a:moveTo>
                                  <a:pt x="22" y="11"/>
                                </a:moveTo>
                                <a:cubicBezTo>
                                  <a:pt x="22" y="10"/>
                                  <a:pt x="22" y="9"/>
                                  <a:pt x="22" y="8"/>
                                </a:cubicBezTo>
                                <a:lnTo>
                                  <a:pt x="23" y="8"/>
                                </a:lnTo>
                                <a:cubicBezTo>
                                  <a:pt x="23" y="9"/>
                                  <a:pt x="23" y="10"/>
                                  <a:pt x="23" y="11"/>
                                </a:cubicBezTo>
                                <a:lnTo>
                                  <a:pt x="22" y="11"/>
                                </a:lnTo>
                                <a:close/>
                                <a:moveTo>
                                  <a:pt x="22" y="8"/>
                                </a:moveTo>
                                <a:cubicBezTo>
                                  <a:pt x="21" y="8"/>
                                  <a:pt x="21" y="8"/>
                                  <a:pt x="21" y="8"/>
                                </a:cubicBezTo>
                                <a:lnTo>
                                  <a:pt x="22" y="7"/>
                                </a:lnTo>
                                <a:cubicBezTo>
                                  <a:pt x="22" y="7"/>
                                  <a:pt x="23" y="8"/>
                                  <a:pt x="23" y="8"/>
                                </a:cubicBezTo>
                                <a:lnTo>
                                  <a:pt x="22" y="8"/>
                                </a:lnTo>
                                <a:close/>
                                <a:moveTo>
                                  <a:pt x="21" y="8"/>
                                </a:moveTo>
                                <a:cubicBezTo>
                                  <a:pt x="20" y="6"/>
                                  <a:pt x="19" y="5"/>
                                  <a:pt x="18" y="5"/>
                                </a:cubicBezTo>
                                <a:lnTo>
                                  <a:pt x="18" y="3"/>
                                </a:lnTo>
                                <a:cubicBezTo>
                                  <a:pt x="20" y="4"/>
                                  <a:pt x="21" y="5"/>
                                  <a:pt x="22" y="7"/>
                                </a:cubicBezTo>
                                <a:lnTo>
                                  <a:pt x="21" y="8"/>
                                </a:lnTo>
                                <a:close/>
                                <a:moveTo>
                                  <a:pt x="18" y="5"/>
                                </a:moveTo>
                                <a:lnTo>
                                  <a:pt x="18" y="5"/>
                                </a:lnTo>
                                <a:lnTo>
                                  <a:pt x="18" y="4"/>
                                </a:lnTo>
                                <a:lnTo>
                                  <a:pt x="18" y="5"/>
                                </a:lnTo>
                                <a:close/>
                                <a:moveTo>
                                  <a:pt x="18" y="5"/>
                                </a:moveTo>
                                <a:cubicBezTo>
                                  <a:pt x="18" y="5"/>
                                  <a:pt x="11" y="1"/>
                                  <a:pt x="5" y="6"/>
                                </a:cubicBezTo>
                                <a:lnTo>
                                  <a:pt x="4" y="4"/>
                                </a:lnTo>
                                <a:cubicBezTo>
                                  <a:pt x="11" y="0"/>
                                  <a:pt x="18" y="3"/>
                                  <a:pt x="18" y="3"/>
                                </a:cubicBezTo>
                                <a:lnTo>
                                  <a:pt x="18" y="5"/>
                                </a:lnTo>
                                <a:close/>
                                <a:moveTo>
                                  <a:pt x="4" y="5"/>
                                </a:moveTo>
                                <a:lnTo>
                                  <a:pt x="4" y="5"/>
                                </a:lnTo>
                                <a:lnTo>
                                  <a:pt x="4" y="4"/>
                                </a:lnTo>
                                <a:lnTo>
                                  <a:pt x="4" y="5"/>
                                </a:lnTo>
                                <a:close/>
                                <a:moveTo>
                                  <a:pt x="5" y="5"/>
                                </a:moveTo>
                                <a:lnTo>
                                  <a:pt x="5" y="5"/>
                                </a:lnTo>
                                <a:lnTo>
                                  <a:pt x="4" y="5"/>
                                </a:lnTo>
                                <a:lnTo>
                                  <a:pt x="4" y="5"/>
                                </a:lnTo>
                                <a:lnTo>
                                  <a:pt x="5" y="5"/>
                                </a:lnTo>
                                <a:close/>
                                <a:moveTo>
                                  <a:pt x="4" y="5"/>
                                </a:moveTo>
                                <a:lnTo>
                                  <a:pt x="4" y="5"/>
                                </a:lnTo>
                                <a:lnTo>
                                  <a:pt x="4" y="5"/>
                                </a:lnTo>
                                <a:close/>
                                <a:moveTo>
                                  <a:pt x="5" y="5"/>
                                </a:moveTo>
                                <a:cubicBezTo>
                                  <a:pt x="4" y="6"/>
                                  <a:pt x="3" y="8"/>
                                  <a:pt x="2" y="9"/>
                                </a:cubicBezTo>
                                <a:lnTo>
                                  <a:pt x="1" y="8"/>
                                </a:lnTo>
                                <a:cubicBezTo>
                                  <a:pt x="2" y="7"/>
                                  <a:pt x="3" y="6"/>
                                  <a:pt x="4" y="5"/>
                                </a:cubicBezTo>
                                <a:lnTo>
                                  <a:pt x="5" y="5"/>
                                </a:lnTo>
                                <a:close/>
                                <a:moveTo>
                                  <a:pt x="2" y="9"/>
                                </a:moveTo>
                                <a:cubicBezTo>
                                  <a:pt x="2" y="9"/>
                                  <a:pt x="2" y="9"/>
                                  <a:pt x="1" y="10"/>
                                </a:cubicBezTo>
                                <a:lnTo>
                                  <a:pt x="0" y="9"/>
                                </a:lnTo>
                                <a:cubicBezTo>
                                  <a:pt x="0" y="9"/>
                                  <a:pt x="1" y="8"/>
                                  <a:pt x="1" y="8"/>
                                </a:cubicBezTo>
                                <a:lnTo>
                                  <a:pt x="2" y="9"/>
                                </a:lnTo>
                                <a:close/>
                              </a:path>
                            </a:pathLst>
                          </a:custGeom>
                          <a:solidFill>
                            <a:srgbClr val="24211D"/>
                          </a:solidFill>
                          <a:ln w="9525">
                            <a:noFill/>
                            <a:round/>
                            <a:headEnd/>
                            <a:tailEnd/>
                          </a:ln>
                        </wps:spPr>
                        <wps:bodyPr/>
                      </wps:wsp>
                      <wps:wsp>
                        <wps:cNvPr id="129" name="Freeform 63"/>
                        <wps:cNvSpPr>
                          <a:spLocks/>
                        </wps:cNvSpPr>
                        <wps:spPr bwMode="auto">
                          <a:xfrm>
                            <a:off x="436" y="322"/>
                            <a:ext cx="13" cy="6"/>
                          </a:xfrm>
                          <a:custGeom>
                            <a:avLst/>
                            <a:gdLst/>
                            <a:ahLst/>
                            <a:cxnLst>
                              <a:cxn ang="0">
                                <a:pos x="16" y="2"/>
                              </a:cxn>
                              <a:cxn ang="0">
                                <a:pos x="0" y="1"/>
                              </a:cxn>
                              <a:cxn ang="0">
                                <a:pos x="1" y="0"/>
                              </a:cxn>
                              <a:cxn ang="0">
                                <a:pos x="15" y="2"/>
                              </a:cxn>
                              <a:cxn ang="0">
                                <a:pos x="16" y="2"/>
                              </a:cxn>
                            </a:cxnLst>
                            <a:rect l="0" t="0" r="r" b="b"/>
                            <a:pathLst>
                              <a:path w="16" h="7">
                                <a:moveTo>
                                  <a:pt x="16" y="2"/>
                                </a:moveTo>
                                <a:cubicBezTo>
                                  <a:pt x="16" y="2"/>
                                  <a:pt x="12" y="7"/>
                                  <a:pt x="0" y="1"/>
                                </a:cubicBezTo>
                                <a:lnTo>
                                  <a:pt x="1" y="0"/>
                                </a:lnTo>
                                <a:cubicBezTo>
                                  <a:pt x="12" y="6"/>
                                  <a:pt x="15" y="2"/>
                                  <a:pt x="15" y="2"/>
                                </a:cubicBezTo>
                                <a:lnTo>
                                  <a:pt x="16" y="2"/>
                                </a:lnTo>
                                <a:close/>
                              </a:path>
                            </a:pathLst>
                          </a:custGeom>
                          <a:solidFill>
                            <a:srgbClr val="24211D"/>
                          </a:solidFill>
                          <a:ln w="9525">
                            <a:noFill/>
                            <a:round/>
                            <a:headEnd/>
                            <a:tailEnd/>
                          </a:ln>
                        </wps:spPr>
                        <wps:bodyPr/>
                      </wps:wsp>
                      <wps:wsp>
                        <wps:cNvPr id="130" name="Freeform 64"/>
                        <wps:cNvSpPr>
                          <a:spLocks/>
                        </wps:cNvSpPr>
                        <wps:spPr bwMode="auto">
                          <a:xfrm>
                            <a:off x="438" y="317"/>
                            <a:ext cx="12" cy="6"/>
                          </a:xfrm>
                          <a:custGeom>
                            <a:avLst/>
                            <a:gdLst/>
                            <a:ahLst/>
                            <a:cxnLst>
                              <a:cxn ang="0">
                                <a:pos x="14" y="4"/>
                              </a:cxn>
                              <a:cxn ang="0">
                                <a:pos x="0" y="1"/>
                              </a:cxn>
                              <a:cxn ang="0">
                                <a:pos x="0" y="0"/>
                              </a:cxn>
                              <a:cxn ang="0">
                                <a:pos x="14" y="3"/>
                              </a:cxn>
                              <a:cxn ang="0">
                                <a:pos x="14" y="4"/>
                              </a:cxn>
                            </a:cxnLst>
                            <a:rect l="0" t="0" r="r" b="b"/>
                            <a:pathLst>
                              <a:path w="14" h="8">
                                <a:moveTo>
                                  <a:pt x="14" y="4"/>
                                </a:moveTo>
                                <a:cubicBezTo>
                                  <a:pt x="14" y="4"/>
                                  <a:pt x="10" y="8"/>
                                  <a:pt x="0" y="1"/>
                                </a:cubicBezTo>
                                <a:lnTo>
                                  <a:pt x="0" y="0"/>
                                </a:lnTo>
                                <a:cubicBezTo>
                                  <a:pt x="10" y="6"/>
                                  <a:pt x="14" y="3"/>
                                  <a:pt x="14" y="3"/>
                                </a:cubicBezTo>
                                <a:lnTo>
                                  <a:pt x="14" y="4"/>
                                </a:lnTo>
                                <a:close/>
                              </a:path>
                            </a:pathLst>
                          </a:custGeom>
                          <a:solidFill>
                            <a:srgbClr val="24211D"/>
                          </a:solidFill>
                          <a:ln w="9525">
                            <a:noFill/>
                            <a:round/>
                            <a:headEnd/>
                            <a:tailEnd/>
                          </a:ln>
                        </wps:spPr>
                        <wps:bodyPr/>
                      </wps:wsp>
                      <wps:wsp>
                        <wps:cNvPr id="131" name="Freeform 65"/>
                        <wps:cNvSpPr>
                          <a:spLocks/>
                        </wps:cNvSpPr>
                        <wps:spPr bwMode="auto">
                          <a:xfrm>
                            <a:off x="441" y="311"/>
                            <a:ext cx="12" cy="5"/>
                          </a:xfrm>
                          <a:custGeom>
                            <a:avLst/>
                            <a:gdLst/>
                            <a:ahLst/>
                            <a:cxnLst>
                              <a:cxn ang="0">
                                <a:pos x="0" y="0"/>
                              </a:cxn>
                              <a:cxn ang="0">
                                <a:pos x="14" y="2"/>
                              </a:cxn>
                              <a:cxn ang="0">
                                <a:pos x="15" y="3"/>
                              </a:cxn>
                              <a:cxn ang="0">
                                <a:pos x="0" y="1"/>
                              </a:cxn>
                              <a:cxn ang="0">
                                <a:pos x="0" y="0"/>
                              </a:cxn>
                            </a:cxnLst>
                            <a:rect l="0" t="0" r="r" b="b"/>
                            <a:pathLst>
                              <a:path w="15" h="6">
                                <a:moveTo>
                                  <a:pt x="0" y="0"/>
                                </a:moveTo>
                                <a:cubicBezTo>
                                  <a:pt x="0" y="0"/>
                                  <a:pt x="7" y="5"/>
                                  <a:pt x="14" y="2"/>
                                </a:cubicBezTo>
                                <a:lnTo>
                                  <a:pt x="15" y="3"/>
                                </a:lnTo>
                                <a:cubicBezTo>
                                  <a:pt x="7" y="6"/>
                                  <a:pt x="0" y="1"/>
                                  <a:pt x="0" y="1"/>
                                </a:cubicBezTo>
                                <a:lnTo>
                                  <a:pt x="0" y="0"/>
                                </a:lnTo>
                                <a:close/>
                              </a:path>
                            </a:pathLst>
                          </a:custGeom>
                          <a:solidFill>
                            <a:srgbClr val="24211D"/>
                          </a:solidFill>
                          <a:ln w="9525">
                            <a:noFill/>
                            <a:round/>
                            <a:headEnd/>
                            <a:tailEnd/>
                          </a:ln>
                        </wps:spPr>
                        <wps:bodyPr/>
                      </wps:wsp>
                      <wps:wsp>
                        <wps:cNvPr id="132" name="Freeform 66"/>
                        <wps:cNvSpPr>
                          <a:spLocks/>
                        </wps:cNvSpPr>
                        <wps:spPr bwMode="auto">
                          <a:xfrm>
                            <a:off x="443" y="305"/>
                            <a:ext cx="12" cy="6"/>
                          </a:xfrm>
                          <a:custGeom>
                            <a:avLst/>
                            <a:gdLst/>
                            <a:ahLst/>
                            <a:cxnLst>
                              <a:cxn ang="0">
                                <a:pos x="15" y="3"/>
                              </a:cxn>
                              <a:cxn ang="0">
                                <a:pos x="0" y="1"/>
                              </a:cxn>
                              <a:cxn ang="0">
                                <a:pos x="1" y="0"/>
                              </a:cxn>
                              <a:cxn ang="0">
                                <a:pos x="15" y="2"/>
                              </a:cxn>
                              <a:cxn ang="0">
                                <a:pos x="15" y="3"/>
                              </a:cxn>
                            </a:cxnLst>
                            <a:rect l="0" t="0" r="r" b="b"/>
                            <a:pathLst>
                              <a:path w="15" h="7">
                                <a:moveTo>
                                  <a:pt x="15" y="3"/>
                                </a:moveTo>
                                <a:cubicBezTo>
                                  <a:pt x="15" y="3"/>
                                  <a:pt x="9" y="7"/>
                                  <a:pt x="0" y="1"/>
                                </a:cubicBezTo>
                                <a:lnTo>
                                  <a:pt x="1" y="0"/>
                                </a:lnTo>
                                <a:cubicBezTo>
                                  <a:pt x="9" y="5"/>
                                  <a:pt x="15" y="2"/>
                                  <a:pt x="15" y="2"/>
                                </a:cubicBezTo>
                                <a:lnTo>
                                  <a:pt x="15" y="3"/>
                                </a:lnTo>
                                <a:close/>
                              </a:path>
                            </a:pathLst>
                          </a:custGeom>
                          <a:solidFill>
                            <a:srgbClr val="24211D"/>
                          </a:solidFill>
                          <a:ln w="9525">
                            <a:noFill/>
                            <a:round/>
                            <a:headEnd/>
                            <a:tailEnd/>
                          </a:ln>
                        </wps:spPr>
                        <wps:bodyPr/>
                      </wps:wsp>
                      <wps:wsp>
                        <wps:cNvPr id="133" name="Freeform 67"/>
                        <wps:cNvSpPr>
                          <a:spLocks/>
                        </wps:cNvSpPr>
                        <wps:spPr bwMode="auto">
                          <a:xfrm>
                            <a:off x="446" y="301"/>
                            <a:ext cx="14" cy="4"/>
                          </a:xfrm>
                          <a:custGeom>
                            <a:avLst/>
                            <a:gdLst/>
                            <a:ahLst/>
                            <a:cxnLst>
                              <a:cxn ang="0">
                                <a:pos x="16" y="3"/>
                              </a:cxn>
                              <a:cxn ang="0">
                                <a:pos x="0" y="1"/>
                              </a:cxn>
                              <a:cxn ang="0">
                                <a:pos x="1" y="0"/>
                              </a:cxn>
                              <a:cxn ang="0">
                                <a:pos x="16" y="2"/>
                              </a:cxn>
                              <a:cxn ang="0">
                                <a:pos x="16" y="3"/>
                              </a:cxn>
                            </a:cxnLst>
                            <a:rect l="0" t="0" r="r" b="b"/>
                            <a:pathLst>
                              <a:path w="16" h="5">
                                <a:moveTo>
                                  <a:pt x="16" y="3"/>
                                </a:moveTo>
                                <a:cubicBezTo>
                                  <a:pt x="16" y="3"/>
                                  <a:pt x="11" y="5"/>
                                  <a:pt x="0" y="1"/>
                                </a:cubicBezTo>
                                <a:lnTo>
                                  <a:pt x="1" y="0"/>
                                </a:lnTo>
                                <a:cubicBezTo>
                                  <a:pt x="11" y="4"/>
                                  <a:pt x="16" y="2"/>
                                  <a:pt x="16" y="2"/>
                                </a:cubicBezTo>
                                <a:lnTo>
                                  <a:pt x="16" y="3"/>
                                </a:lnTo>
                                <a:close/>
                              </a:path>
                            </a:pathLst>
                          </a:custGeom>
                          <a:solidFill>
                            <a:srgbClr val="24211D"/>
                          </a:solidFill>
                          <a:ln w="9525">
                            <a:noFill/>
                            <a:round/>
                            <a:headEnd/>
                            <a:tailEnd/>
                          </a:ln>
                        </wps:spPr>
                        <wps:bodyPr/>
                      </wps:wsp>
                      <wps:wsp>
                        <wps:cNvPr id="134" name="Freeform 68"/>
                        <wps:cNvSpPr>
                          <a:spLocks/>
                        </wps:cNvSpPr>
                        <wps:spPr bwMode="auto">
                          <a:xfrm>
                            <a:off x="431" y="144"/>
                            <a:ext cx="22" cy="95"/>
                          </a:xfrm>
                          <a:custGeom>
                            <a:avLst/>
                            <a:gdLst/>
                            <a:ahLst/>
                            <a:cxnLst>
                              <a:cxn ang="0">
                                <a:pos x="27" y="4"/>
                              </a:cxn>
                              <a:cxn ang="0">
                                <a:pos x="1" y="116"/>
                              </a:cxn>
                              <a:cxn ang="0">
                                <a:pos x="0" y="116"/>
                              </a:cxn>
                              <a:cxn ang="0">
                                <a:pos x="27" y="3"/>
                              </a:cxn>
                              <a:cxn ang="0">
                                <a:pos x="27" y="4"/>
                              </a:cxn>
                            </a:cxnLst>
                            <a:rect l="0" t="0" r="r" b="b"/>
                            <a:pathLst>
                              <a:path w="27" h="116">
                                <a:moveTo>
                                  <a:pt x="27" y="4"/>
                                </a:moveTo>
                                <a:cubicBezTo>
                                  <a:pt x="27" y="4"/>
                                  <a:pt x="7" y="1"/>
                                  <a:pt x="1" y="116"/>
                                </a:cubicBezTo>
                                <a:lnTo>
                                  <a:pt x="0" y="116"/>
                                </a:lnTo>
                                <a:cubicBezTo>
                                  <a:pt x="5" y="0"/>
                                  <a:pt x="27" y="3"/>
                                  <a:pt x="27" y="3"/>
                                </a:cubicBezTo>
                                <a:lnTo>
                                  <a:pt x="27" y="4"/>
                                </a:lnTo>
                                <a:close/>
                              </a:path>
                            </a:pathLst>
                          </a:custGeom>
                          <a:solidFill>
                            <a:srgbClr val="24211D"/>
                          </a:solidFill>
                          <a:ln w="9525">
                            <a:noFill/>
                            <a:round/>
                            <a:headEnd/>
                            <a:tailEnd/>
                          </a:ln>
                        </wps:spPr>
                        <wps:bodyPr/>
                      </wps:wsp>
                      <wps:wsp>
                        <wps:cNvPr id="135" name="Freeform 69"/>
                        <wps:cNvSpPr>
                          <a:spLocks/>
                        </wps:cNvSpPr>
                        <wps:spPr bwMode="auto">
                          <a:xfrm>
                            <a:off x="438" y="142"/>
                            <a:ext cx="10" cy="10"/>
                          </a:xfrm>
                          <a:custGeom>
                            <a:avLst/>
                            <a:gdLst/>
                            <a:ahLst/>
                            <a:cxnLst>
                              <a:cxn ang="0">
                                <a:pos x="12" y="3"/>
                              </a:cxn>
                              <a:cxn ang="0">
                                <a:pos x="1" y="12"/>
                              </a:cxn>
                              <a:cxn ang="0">
                                <a:pos x="0" y="11"/>
                              </a:cxn>
                              <a:cxn ang="0">
                                <a:pos x="12" y="2"/>
                              </a:cxn>
                              <a:cxn ang="0">
                                <a:pos x="12" y="3"/>
                              </a:cxn>
                            </a:cxnLst>
                            <a:rect l="0" t="0" r="r" b="b"/>
                            <a:pathLst>
                              <a:path w="12" h="12">
                                <a:moveTo>
                                  <a:pt x="12" y="3"/>
                                </a:moveTo>
                                <a:cubicBezTo>
                                  <a:pt x="12" y="3"/>
                                  <a:pt x="7" y="2"/>
                                  <a:pt x="1" y="12"/>
                                </a:cubicBezTo>
                                <a:lnTo>
                                  <a:pt x="0" y="11"/>
                                </a:lnTo>
                                <a:cubicBezTo>
                                  <a:pt x="6" y="0"/>
                                  <a:pt x="12" y="2"/>
                                  <a:pt x="12" y="2"/>
                                </a:cubicBezTo>
                                <a:lnTo>
                                  <a:pt x="12" y="3"/>
                                </a:lnTo>
                                <a:close/>
                              </a:path>
                            </a:pathLst>
                          </a:custGeom>
                          <a:solidFill>
                            <a:srgbClr val="24211D"/>
                          </a:solidFill>
                          <a:ln w="9525">
                            <a:noFill/>
                            <a:round/>
                            <a:headEnd/>
                            <a:tailEnd/>
                          </a:ln>
                        </wps:spPr>
                        <wps:bodyPr/>
                      </wps:wsp>
                      <wps:wsp>
                        <wps:cNvPr id="136" name="Freeform 70"/>
                        <wps:cNvSpPr>
                          <a:spLocks/>
                        </wps:cNvSpPr>
                        <wps:spPr bwMode="auto">
                          <a:xfrm>
                            <a:off x="436" y="137"/>
                            <a:ext cx="10" cy="7"/>
                          </a:xfrm>
                          <a:custGeom>
                            <a:avLst/>
                            <a:gdLst/>
                            <a:ahLst/>
                            <a:cxnLst>
                              <a:cxn ang="0">
                                <a:pos x="11" y="6"/>
                              </a:cxn>
                              <a:cxn ang="0">
                                <a:pos x="1" y="9"/>
                              </a:cxn>
                              <a:cxn ang="0">
                                <a:pos x="0" y="9"/>
                              </a:cxn>
                              <a:cxn ang="0">
                                <a:pos x="12" y="5"/>
                              </a:cxn>
                              <a:cxn ang="0">
                                <a:pos x="11" y="6"/>
                              </a:cxn>
                            </a:cxnLst>
                            <a:rect l="0" t="0" r="r" b="b"/>
                            <a:pathLst>
                              <a:path w="12" h="9">
                                <a:moveTo>
                                  <a:pt x="11" y="6"/>
                                </a:moveTo>
                                <a:cubicBezTo>
                                  <a:pt x="11" y="6"/>
                                  <a:pt x="6" y="2"/>
                                  <a:pt x="1" y="9"/>
                                </a:cubicBezTo>
                                <a:lnTo>
                                  <a:pt x="0" y="9"/>
                                </a:lnTo>
                                <a:cubicBezTo>
                                  <a:pt x="6" y="0"/>
                                  <a:pt x="12" y="5"/>
                                  <a:pt x="12" y="5"/>
                                </a:cubicBezTo>
                                <a:lnTo>
                                  <a:pt x="11" y="6"/>
                                </a:lnTo>
                                <a:close/>
                              </a:path>
                            </a:pathLst>
                          </a:custGeom>
                          <a:solidFill>
                            <a:srgbClr val="24211D"/>
                          </a:solidFill>
                          <a:ln w="9525">
                            <a:noFill/>
                            <a:round/>
                            <a:headEnd/>
                            <a:tailEnd/>
                          </a:ln>
                        </wps:spPr>
                        <wps:bodyPr/>
                      </wps:wsp>
                      <wps:wsp>
                        <wps:cNvPr id="137" name="Freeform 71"/>
                        <wps:cNvSpPr>
                          <a:spLocks/>
                        </wps:cNvSpPr>
                        <wps:spPr bwMode="auto">
                          <a:xfrm>
                            <a:off x="430" y="131"/>
                            <a:ext cx="10" cy="6"/>
                          </a:xfrm>
                          <a:custGeom>
                            <a:avLst/>
                            <a:gdLst/>
                            <a:ahLst/>
                            <a:cxnLst>
                              <a:cxn ang="0">
                                <a:pos x="11" y="7"/>
                              </a:cxn>
                              <a:cxn ang="0">
                                <a:pos x="1" y="7"/>
                              </a:cxn>
                              <a:cxn ang="0">
                                <a:pos x="0" y="6"/>
                              </a:cxn>
                              <a:cxn ang="0">
                                <a:pos x="12" y="7"/>
                              </a:cxn>
                              <a:cxn ang="0">
                                <a:pos x="11" y="7"/>
                              </a:cxn>
                            </a:cxnLst>
                            <a:rect l="0" t="0" r="r" b="b"/>
                            <a:pathLst>
                              <a:path w="12" h="7">
                                <a:moveTo>
                                  <a:pt x="11" y="7"/>
                                </a:moveTo>
                                <a:cubicBezTo>
                                  <a:pt x="11" y="7"/>
                                  <a:pt x="8" y="2"/>
                                  <a:pt x="1" y="7"/>
                                </a:cubicBezTo>
                                <a:lnTo>
                                  <a:pt x="0" y="6"/>
                                </a:lnTo>
                                <a:cubicBezTo>
                                  <a:pt x="9" y="0"/>
                                  <a:pt x="12" y="7"/>
                                  <a:pt x="12" y="7"/>
                                </a:cubicBezTo>
                                <a:lnTo>
                                  <a:pt x="11" y="7"/>
                                </a:lnTo>
                                <a:close/>
                              </a:path>
                            </a:pathLst>
                          </a:custGeom>
                          <a:solidFill>
                            <a:srgbClr val="24211D"/>
                          </a:solidFill>
                          <a:ln w="9525">
                            <a:noFill/>
                            <a:round/>
                            <a:headEnd/>
                            <a:tailEnd/>
                          </a:ln>
                        </wps:spPr>
                        <wps:bodyPr/>
                      </wps:wsp>
                      <wps:wsp>
                        <wps:cNvPr id="138" name="Freeform 72"/>
                        <wps:cNvSpPr>
                          <a:spLocks/>
                        </wps:cNvSpPr>
                        <wps:spPr bwMode="auto">
                          <a:xfrm>
                            <a:off x="425" y="127"/>
                            <a:ext cx="10" cy="4"/>
                          </a:xfrm>
                          <a:custGeom>
                            <a:avLst/>
                            <a:gdLst/>
                            <a:ahLst/>
                            <a:cxnLst>
                              <a:cxn ang="0">
                                <a:pos x="11" y="5"/>
                              </a:cxn>
                              <a:cxn ang="0">
                                <a:pos x="0" y="5"/>
                              </a:cxn>
                              <a:cxn ang="0">
                                <a:pos x="0" y="4"/>
                              </a:cxn>
                              <a:cxn ang="0">
                                <a:pos x="12" y="5"/>
                              </a:cxn>
                              <a:cxn ang="0">
                                <a:pos x="11" y="5"/>
                              </a:cxn>
                            </a:cxnLst>
                            <a:rect l="0" t="0" r="r" b="b"/>
                            <a:pathLst>
                              <a:path w="12" h="5">
                                <a:moveTo>
                                  <a:pt x="11" y="5"/>
                                </a:moveTo>
                                <a:cubicBezTo>
                                  <a:pt x="11" y="5"/>
                                  <a:pt x="10" y="2"/>
                                  <a:pt x="0" y="5"/>
                                </a:cubicBezTo>
                                <a:lnTo>
                                  <a:pt x="0" y="4"/>
                                </a:lnTo>
                                <a:cubicBezTo>
                                  <a:pt x="11" y="0"/>
                                  <a:pt x="12" y="5"/>
                                  <a:pt x="12" y="5"/>
                                </a:cubicBezTo>
                                <a:lnTo>
                                  <a:pt x="11" y="5"/>
                                </a:lnTo>
                                <a:close/>
                              </a:path>
                            </a:pathLst>
                          </a:custGeom>
                          <a:solidFill>
                            <a:srgbClr val="24211D"/>
                          </a:solidFill>
                          <a:ln w="9525">
                            <a:noFill/>
                            <a:round/>
                            <a:headEnd/>
                            <a:tailEnd/>
                          </a:ln>
                        </wps:spPr>
                        <wps:bodyPr/>
                      </wps:wsp>
                      <wps:wsp>
                        <wps:cNvPr id="139" name="Freeform 73"/>
                        <wps:cNvSpPr>
                          <a:spLocks/>
                        </wps:cNvSpPr>
                        <wps:spPr bwMode="auto">
                          <a:xfrm>
                            <a:off x="421" y="123"/>
                            <a:ext cx="11" cy="3"/>
                          </a:xfrm>
                          <a:custGeom>
                            <a:avLst/>
                            <a:gdLst/>
                            <a:ahLst/>
                            <a:cxnLst>
                              <a:cxn ang="0">
                                <a:pos x="11" y="4"/>
                              </a:cxn>
                              <a:cxn ang="0">
                                <a:pos x="1" y="4"/>
                              </a:cxn>
                              <a:cxn ang="0">
                                <a:pos x="0" y="3"/>
                              </a:cxn>
                              <a:cxn ang="0">
                                <a:pos x="13" y="4"/>
                              </a:cxn>
                              <a:cxn ang="0">
                                <a:pos x="11" y="4"/>
                              </a:cxn>
                            </a:cxnLst>
                            <a:rect l="0" t="0" r="r" b="b"/>
                            <a:pathLst>
                              <a:path w="13" h="4">
                                <a:moveTo>
                                  <a:pt x="11" y="4"/>
                                </a:moveTo>
                                <a:cubicBezTo>
                                  <a:pt x="11" y="4"/>
                                  <a:pt x="10" y="1"/>
                                  <a:pt x="1" y="4"/>
                                </a:cubicBezTo>
                                <a:lnTo>
                                  <a:pt x="0" y="3"/>
                                </a:lnTo>
                                <a:cubicBezTo>
                                  <a:pt x="11" y="0"/>
                                  <a:pt x="13" y="4"/>
                                  <a:pt x="13" y="4"/>
                                </a:cubicBezTo>
                                <a:lnTo>
                                  <a:pt x="11" y="4"/>
                                </a:lnTo>
                                <a:close/>
                              </a:path>
                            </a:pathLst>
                          </a:custGeom>
                          <a:solidFill>
                            <a:srgbClr val="24211D"/>
                          </a:solidFill>
                          <a:ln w="9525">
                            <a:noFill/>
                            <a:round/>
                            <a:headEnd/>
                            <a:tailEnd/>
                          </a:ln>
                        </wps:spPr>
                        <wps:bodyPr/>
                      </wps:wsp>
                      <wps:wsp>
                        <wps:cNvPr id="140" name="Freeform 74"/>
                        <wps:cNvSpPr>
                          <a:spLocks/>
                        </wps:cNvSpPr>
                        <wps:spPr bwMode="auto">
                          <a:xfrm>
                            <a:off x="415" y="117"/>
                            <a:ext cx="14" cy="5"/>
                          </a:xfrm>
                          <a:custGeom>
                            <a:avLst/>
                            <a:gdLst/>
                            <a:ahLst/>
                            <a:cxnLst>
                              <a:cxn ang="0">
                                <a:pos x="15" y="7"/>
                              </a:cxn>
                              <a:cxn ang="0">
                                <a:pos x="0" y="5"/>
                              </a:cxn>
                              <a:cxn ang="0">
                                <a:pos x="0" y="4"/>
                              </a:cxn>
                              <a:cxn ang="0">
                                <a:pos x="16" y="7"/>
                              </a:cxn>
                              <a:cxn ang="0">
                                <a:pos x="15" y="7"/>
                              </a:cxn>
                            </a:cxnLst>
                            <a:rect l="0" t="0" r="r" b="b"/>
                            <a:pathLst>
                              <a:path w="17" h="7">
                                <a:moveTo>
                                  <a:pt x="15" y="7"/>
                                </a:moveTo>
                                <a:cubicBezTo>
                                  <a:pt x="15" y="7"/>
                                  <a:pt x="15" y="2"/>
                                  <a:pt x="0" y="5"/>
                                </a:cubicBezTo>
                                <a:lnTo>
                                  <a:pt x="0" y="4"/>
                                </a:lnTo>
                                <a:cubicBezTo>
                                  <a:pt x="17" y="0"/>
                                  <a:pt x="16" y="7"/>
                                  <a:pt x="16" y="7"/>
                                </a:cubicBezTo>
                                <a:lnTo>
                                  <a:pt x="15" y="7"/>
                                </a:lnTo>
                                <a:close/>
                              </a:path>
                            </a:pathLst>
                          </a:custGeom>
                          <a:solidFill>
                            <a:srgbClr val="24211D"/>
                          </a:solidFill>
                          <a:ln w="9525">
                            <a:noFill/>
                            <a:round/>
                            <a:headEnd/>
                            <a:tailEnd/>
                          </a:ln>
                        </wps:spPr>
                        <wps:bodyPr/>
                      </wps:wsp>
                      <wps:wsp>
                        <wps:cNvPr id="141" name="Freeform 75"/>
                        <wps:cNvSpPr>
                          <a:spLocks noEditPoints="1"/>
                        </wps:cNvSpPr>
                        <wps:spPr bwMode="auto">
                          <a:xfrm>
                            <a:off x="249" y="98"/>
                            <a:ext cx="33" cy="41"/>
                          </a:xfrm>
                          <a:custGeom>
                            <a:avLst/>
                            <a:gdLst/>
                            <a:ahLst/>
                            <a:cxnLst>
                              <a:cxn ang="0">
                                <a:pos x="14" y="24"/>
                              </a:cxn>
                              <a:cxn ang="0">
                                <a:pos x="33" y="29"/>
                              </a:cxn>
                              <a:cxn ang="0">
                                <a:pos x="32" y="30"/>
                              </a:cxn>
                              <a:cxn ang="0">
                                <a:pos x="14" y="26"/>
                              </a:cxn>
                              <a:cxn ang="0">
                                <a:pos x="14" y="24"/>
                              </a:cxn>
                              <a:cxn ang="0">
                                <a:pos x="33" y="29"/>
                              </a:cxn>
                              <a:cxn ang="0">
                                <a:pos x="33" y="29"/>
                              </a:cxn>
                              <a:cxn ang="0">
                                <a:pos x="34" y="29"/>
                              </a:cxn>
                              <a:cxn ang="0">
                                <a:pos x="33" y="29"/>
                              </a:cxn>
                              <a:cxn ang="0">
                                <a:pos x="34" y="29"/>
                              </a:cxn>
                              <a:cxn ang="0">
                                <a:pos x="22" y="49"/>
                              </a:cxn>
                              <a:cxn ang="0">
                                <a:pos x="22" y="48"/>
                              </a:cxn>
                              <a:cxn ang="0">
                                <a:pos x="32" y="29"/>
                              </a:cxn>
                              <a:cxn ang="0">
                                <a:pos x="34" y="29"/>
                              </a:cxn>
                              <a:cxn ang="0">
                                <a:pos x="22" y="49"/>
                              </a:cxn>
                              <a:cxn ang="0">
                                <a:pos x="22" y="49"/>
                              </a:cxn>
                              <a:cxn ang="0">
                                <a:pos x="22" y="49"/>
                              </a:cxn>
                              <a:cxn ang="0">
                                <a:pos x="22" y="48"/>
                              </a:cxn>
                              <a:cxn ang="0">
                                <a:pos x="22" y="49"/>
                              </a:cxn>
                              <a:cxn ang="0">
                                <a:pos x="22" y="49"/>
                              </a:cxn>
                              <a:cxn ang="0">
                                <a:pos x="1" y="34"/>
                              </a:cxn>
                              <a:cxn ang="0">
                                <a:pos x="3" y="34"/>
                              </a:cxn>
                              <a:cxn ang="0">
                                <a:pos x="22" y="48"/>
                              </a:cxn>
                              <a:cxn ang="0">
                                <a:pos x="22" y="49"/>
                              </a:cxn>
                              <a:cxn ang="0">
                                <a:pos x="1" y="34"/>
                              </a:cxn>
                              <a:cxn ang="0">
                                <a:pos x="1" y="34"/>
                              </a:cxn>
                              <a:cxn ang="0">
                                <a:pos x="1" y="34"/>
                              </a:cxn>
                              <a:cxn ang="0">
                                <a:pos x="2" y="34"/>
                              </a:cxn>
                              <a:cxn ang="0">
                                <a:pos x="1" y="34"/>
                              </a:cxn>
                              <a:cxn ang="0">
                                <a:pos x="1" y="34"/>
                              </a:cxn>
                              <a:cxn ang="0">
                                <a:pos x="31" y="0"/>
                              </a:cxn>
                              <a:cxn ang="0">
                                <a:pos x="31" y="2"/>
                              </a:cxn>
                              <a:cxn ang="0">
                                <a:pos x="3" y="34"/>
                              </a:cxn>
                              <a:cxn ang="0">
                                <a:pos x="1" y="34"/>
                              </a:cxn>
                            </a:cxnLst>
                            <a:rect l="0" t="0" r="r" b="b"/>
                            <a:pathLst>
                              <a:path w="40" h="51">
                                <a:moveTo>
                                  <a:pt x="14" y="24"/>
                                </a:moveTo>
                                <a:cubicBezTo>
                                  <a:pt x="14" y="24"/>
                                  <a:pt x="28" y="20"/>
                                  <a:pt x="33" y="29"/>
                                </a:cubicBezTo>
                                <a:lnTo>
                                  <a:pt x="32" y="30"/>
                                </a:lnTo>
                                <a:cubicBezTo>
                                  <a:pt x="27" y="21"/>
                                  <a:pt x="14" y="26"/>
                                  <a:pt x="14" y="26"/>
                                </a:cubicBezTo>
                                <a:lnTo>
                                  <a:pt x="14" y="24"/>
                                </a:lnTo>
                                <a:close/>
                                <a:moveTo>
                                  <a:pt x="33" y="29"/>
                                </a:moveTo>
                                <a:lnTo>
                                  <a:pt x="33" y="29"/>
                                </a:lnTo>
                                <a:lnTo>
                                  <a:pt x="34" y="29"/>
                                </a:lnTo>
                                <a:lnTo>
                                  <a:pt x="33" y="29"/>
                                </a:lnTo>
                                <a:close/>
                                <a:moveTo>
                                  <a:pt x="34" y="29"/>
                                </a:moveTo>
                                <a:cubicBezTo>
                                  <a:pt x="34" y="29"/>
                                  <a:pt x="40" y="45"/>
                                  <a:pt x="22" y="49"/>
                                </a:cubicBezTo>
                                <a:lnTo>
                                  <a:pt x="22" y="48"/>
                                </a:lnTo>
                                <a:cubicBezTo>
                                  <a:pt x="38" y="44"/>
                                  <a:pt x="32" y="30"/>
                                  <a:pt x="32" y="29"/>
                                </a:cubicBezTo>
                                <a:lnTo>
                                  <a:pt x="34" y="29"/>
                                </a:lnTo>
                                <a:close/>
                                <a:moveTo>
                                  <a:pt x="22" y="49"/>
                                </a:moveTo>
                                <a:lnTo>
                                  <a:pt x="22" y="49"/>
                                </a:lnTo>
                                <a:lnTo>
                                  <a:pt x="22" y="49"/>
                                </a:lnTo>
                                <a:lnTo>
                                  <a:pt x="22" y="48"/>
                                </a:lnTo>
                                <a:lnTo>
                                  <a:pt x="22" y="49"/>
                                </a:lnTo>
                                <a:close/>
                                <a:moveTo>
                                  <a:pt x="22" y="49"/>
                                </a:moveTo>
                                <a:cubicBezTo>
                                  <a:pt x="22" y="49"/>
                                  <a:pt x="6" y="51"/>
                                  <a:pt x="1" y="34"/>
                                </a:cubicBezTo>
                                <a:lnTo>
                                  <a:pt x="3" y="34"/>
                                </a:lnTo>
                                <a:cubicBezTo>
                                  <a:pt x="7" y="50"/>
                                  <a:pt x="22" y="48"/>
                                  <a:pt x="22" y="48"/>
                                </a:cubicBezTo>
                                <a:lnTo>
                                  <a:pt x="22" y="49"/>
                                </a:lnTo>
                                <a:close/>
                                <a:moveTo>
                                  <a:pt x="1" y="34"/>
                                </a:moveTo>
                                <a:lnTo>
                                  <a:pt x="1" y="34"/>
                                </a:lnTo>
                                <a:lnTo>
                                  <a:pt x="1" y="34"/>
                                </a:lnTo>
                                <a:lnTo>
                                  <a:pt x="2" y="34"/>
                                </a:lnTo>
                                <a:lnTo>
                                  <a:pt x="1" y="34"/>
                                </a:lnTo>
                                <a:close/>
                                <a:moveTo>
                                  <a:pt x="1" y="34"/>
                                </a:moveTo>
                                <a:cubicBezTo>
                                  <a:pt x="0" y="4"/>
                                  <a:pt x="31" y="0"/>
                                  <a:pt x="31" y="0"/>
                                </a:cubicBezTo>
                                <a:lnTo>
                                  <a:pt x="31" y="2"/>
                                </a:lnTo>
                                <a:cubicBezTo>
                                  <a:pt x="31" y="2"/>
                                  <a:pt x="1" y="5"/>
                                  <a:pt x="3" y="34"/>
                                </a:cubicBezTo>
                                <a:lnTo>
                                  <a:pt x="1" y="34"/>
                                </a:lnTo>
                                <a:close/>
                              </a:path>
                            </a:pathLst>
                          </a:custGeom>
                          <a:solidFill>
                            <a:srgbClr val="24211D"/>
                          </a:solidFill>
                          <a:ln w="9525">
                            <a:noFill/>
                            <a:round/>
                            <a:headEnd/>
                            <a:tailEnd/>
                          </a:ln>
                        </wps:spPr>
                        <wps:bodyPr/>
                      </wps:wsp>
                      <wps:wsp>
                        <wps:cNvPr id="142" name="Freeform 76"/>
                        <wps:cNvSpPr>
                          <a:spLocks/>
                        </wps:cNvSpPr>
                        <wps:spPr bwMode="auto">
                          <a:xfrm>
                            <a:off x="319" y="116"/>
                            <a:ext cx="16" cy="10"/>
                          </a:xfrm>
                          <a:custGeom>
                            <a:avLst/>
                            <a:gdLst/>
                            <a:ahLst/>
                            <a:cxnLst>
                              <a:cxn ang="0">
                                <a:pos x="18" y="11"/>
                              </a:cxn>
                              <a:cxn ang="0">
                                <a:pos x="4" y="12"/>
                              </a:cxn>
                              <a:cxn ang="0">
                                <a:pos x="3" y="13"/>
                              </a:cxn>
                              <a:cxn ang="0">
                                <a:pos x="19" y="9"/>
                              </a:cxn>
                              <a:cxn ang="0">
                                <a:pos x="18" y="11"/>
                              </a:cxn>
                            </a:cxnLst>
                            <a:rect l="0" t="0" r="r" b="b"/>
                            <a:pathLst>
                              <a:path w="19" h="13">
                                <a:moveTo>
                                  <a:pt x="18" y="11"/>
                                </a:moveTo>
                                <a:cubicBezTo>
                                  <a:pt x="18" y="10"/>
                                  <a:pt x="2" y="2"/>
                                  <a:pt x="4" y="12"/>
                                </a:cubicBezTo>
                                <a:lnTo>
                                  <a:pt x="3" y="13"/>
                                </a:lnTo>
                                <a:cubicBezTo>
                                  <a:pt x="0" y="0"/>
                                  <a:pt x="19" y="9"/>
                                  <a:pt x="19" y="9"/>
                                </a:cubicBezTo>
                                <a:lnTo>
                                  <a:pt x="18" y="11"/>
                                </a:lnTo>
                                <a:close/>
                              </a:path>
                            </a:pathLst>
                          </a:custGeom>
                          <a:solidFill>
                            <a:srgbClr val="24211D"/>
                          </a:solidFill>
                          <a:ln w="9525">
                            <a:noFill/>
                            <a:round/>
                            <a:headEnd/>
                            <a:tailEnd/>
                          </a:ln>
                        </wps:spPr>
                        <wps:bodyPr/>
                      </wps:wsp>
                      <wps:wsp>
                        <wps:cNvPr id="143" name="Oval 77"/>
                        <wps:cNvSpPr>
                          <a:spLocks noChangeArrowheads="1"/>
                        </wps:cNvSpPr>
                        <wps:spPr bwMode="auto">
                          <a:xfrm>
                            <a:off x="450" y="433"/>
                            <a:ext cx="1" cy="2"/>
                          </a:xfrm>
                          <a:prstGeom prst="ellipse">
                            <a:avLst/>
                          </a:prstGeom>
                          <a:solidFill>
                            <a:srgbClr val="24211D"/>
                          </a:solidFill>
                          <a:ln w="9525">
                            <a:noFill/>
                            <a:round/>
                            <a:headEnd/>
                            <a:tailEnd/>
                          </a:ln>
                        </wps:spPr>
                        <wps:bodyPr/>
                      </wps:wsp>
                      <wps:wsp>
                        <wps:cNvPr id="144" name="Freeform 78"/>
                        <wps:cNvSpPr>
                          <a:spLocks noEditPoints="1"/>
                        </wps:cNvSpPr>
                        <wps:spPr bwMode="auto">
                          <a:xfrm>
                            <a:off x="449" y="432"/>
                            <a:ext cx="3" cy="4"/>
                          </a:xfrm>
                          <a:custGeom>
                            <a:avLst/>
                            <a:gdLst/>
                            <a:ahLst/>
                            <a:cxnLst>
                              <a:cxn ang="0">
                                <a:pos x="2" y="2"/>
                              </a:cxn>
                              <a:cxn ang="0">
                                <a:pos x="2" y="0"/>
                              </a:cxn>
                              <a:cxn ang="0">
                                <a:pos x="2" y="2"/>
                              </a:cxn>
                              <a:cxn ang="0">
                                <a:pos x="1" y="1"/>
                              </a:cxn>
                              <a:cxn ang="0">
                                <a:pos x="2" y="2"/>
                              </a:cxn>
                              <a:cxn ang="0">
                                <a:pos x="2" y="2"/>
                              </a:cxn>
                              <a:cxn ang="0">
                                <a:pos x="1" y="1"/>
                              </a:cxn>
                              <a:cxn ang="0">
                                <a:pos x="0" y="2"/>
                              </a:cxn>
                              <a:cxn ang="0">
                                <a:pos x="1" y="2"/>
                              </a:cxn>
                              <a:cxn ang="0">
                                <a:pos x="2" y="2"/>
                              </a:cxn>
                              <a:cxn ang="0">
                                <a:pos x="0" y="2"/>
                              </a:cxn>
                              <a:cxn ang="0">
                                <a:pos x="2" y="2"/>
                              </a:cxn>
                              <a:cxn ang="0">
                                <a:pos x="2" y="2"/>
                              </a:cxn>
                              <a:cxn ang="0">
                                <a:pos x="0" y="2"/>
                              </a:cxn>
                              <a:cxn ang="0">
                                <a:pos x="2" y="2"/>
                              </a:cxn>
                              <a:cxn ang="0">
                                <a:pos x="1" y="3"/>
                              </a:cxn>
                              <a:cxn ang="0">
                                <a:pos x="2" y="2"/>
                              </a:cxn>
                              <a:cxn ang="0">
                                <a:pos x="2" y="3"/>
                              </a:cxn>
                              <a:cxn ang="0">
                                <a:pos x="1" y="3"/>
                              </a:cxn>
                              <a:cxn ang="0">
                                <a:pos x="2" y="4"/>
                              </a:cxn>
                              <a:cxn ang="0">
                                <a:pos x="2" y="3"/>
                              </a:cxn>
                              <a:cxn ang="0">
                                <a:pos x="2" y="3"/>
                              </a:cxn>
                              <a:cxn ang="0">
                                <a:pos x="2" y="4"/>
                              </a:cxn>
                              <a:cxn ang="0">
                                <a:pos x="2" y="3"/>
                              </a:cxn>
                              <a:cxn ang="0">
                                <a:pos x="2" y="3"/>
                              </a:cxn>
                              <a:cxn ang="0">
                                <a:pos x="2" y="4"/>
                              </a:cxn>
                              <a:cxn ang="0">
                                <a:pos x="2" y="3"/>
                              </a:cxn>
                              <a:cxn ang="0">
                                <a:pos x="3" y="3"/>
                              </a:cxn>
                              <a:cxn ang="0">
                                <a:pos x="2" y="3"/>
                              </a:cxn>
                              <a:cxn ang="0">
                                <a:pos x="2" y="3"/>
                              </a:cxn>
                              <a:cxn ang="0">
                                <a:pos x="2" y="3"/>
                              </a:cxn>
                              <a:cxn ang="0">
                                <a:pos x="3" y="2"/>
                              </a:cxn>
                              <a:cxn ang="0">
                                <a:pos x="3" y="3"/>
                              </a:cxn>
                              <a:cxn ang="0">
                                <a:pos x="4" y="2"/>
                              </a:cxn>
                              <a:cxn ang="0">
                                <a:pos x="3" y="2"/>
                              </a:cxn>
                              <a:cxn ang="0">
                                <a:pos x="3" y="2"/>
                              </a:cxn>
                              <a:cxn ang="0">
                                <a:pos x="4" y="2"/>
                              </a:cxn>
                              <a:cxn ang="0">
                                <a:pos x="3" y="2"/>
                              </a:cxn>
                              <a:cxn ang="0">
                                <a:pos x="3" y="2"/>
                              </a:cxn>
                              <a:cxn ang="0">
                                <a:pos x="4" y="2"/>
                              </a:cxn>
                              <a:cxn ang="0">
                                <a:pos x="3" y="2"/>
                              </a:cxn>
                              <a:cxn ang="0">
                                <a:pos x="3" y="1"/>
                              </a:cxn>
                              <a:cxn ang="0">
                                <a:pos x="3" y="2"/>
                              </a:cxn>
                              <a:cxn ang="0">
                                <a:pos x="2" y="2"/>
                              </a:cxn>
                              <a:cxn ang="0">
                                <a:pos x="2" y="2"/>
                              </a:cxn>
                              <a:cxn ang="0">
                                <a:pos x="2" y="2"/>
                              </a:cxn>
                              <a:cxn ang="0">
                                <a:pos x="3" y="1"/>
                              </a:cxn>
                              <a:cxn ang="0">
                                <a:pos x="2" y="0"/>
                              </a:cxn>
                              <a:cxn ang="0">
                                <a:pos x="2" y="1"/>
                              </a:cxn>
                              <a:cxn ang="0">
                                <a:pos x="2" y="2"/>
                              </a:cxn>
                              <a:cxn ang="0">
                                <a:pos x="2" y="0"/>
                              </a:cxn>
                              <a:cxn ang="0">
                                <a:pos x="2" y="2"/>
                              </a:cxn>
                            </a:cxnLst>
                            <a:rect l="0" t="0" r="r" b="b"/>
                            <a:pathLst>
                              <a:path w="4" h="4">
                                <a:moveTo>
                                  <a:pt x="2" y="2"/>
                                </a:moveTo>
                                <a:lnTo>
                                  <a:pt x="2" y="2"/>
                                </a:lnTo>
                                <a:lnTo>
                                  <a:pt x="2" y="0"/>
                                </a:lnTo>
                                <a:lnTo>
                                  <a:pt x="2" y="0"/>
                                </a:lnTo>
                                <a:lnTo>
                                  <a:pt x="2" y="2"/>
                                </a:lnTo>
                                <a:close/>
                                <a:moveTo>
                                  <a:pt x="2" y="2"/>
                                </a:moveTo>
                                <a:cubicBezTo>
                                  <a:pt x="2" y="2"/>
                                  <a:pt x="2" y="2"/>
                                  <a:pt x="2" y="2"/>
                                </a:cubicBezTo>
                                <a:lnTo>
                                  <a:pt x="1" y="1"/>
                                </a:lnTo>
                                <a:cubicBezTo>
                                  <a:pt x="1" y="0"/>
                                  <a:pt x="2" y="0"/>
                                  <a:pt x="2" y="0"/>
                                </a:cubicBezTo>
                                <a:lnTo>
                                  <a:pt x="2" y="2"/>
                                </a:lnTo>
                                <a:close/>
                                <a:moveTo>
                                  <a:pt x="2" y="2"/>
                                </a:moveTo>
                                <a:cubicBezTo>
                                  <a:pt x="2" y="2"/>
                                  <a:pt x="2" y="2"/>
                                  <a:pt x="2" y="2"/>
                                </a:cubicBezTo>
                                <a:lnTo>
                                  <a:pt x="0" y="2"/>
                                </a:lnTo>
                                <a:cubicBezTo>
                                  <a:pt x="0" y="2"/>
                                  <a:pt x="1" y="1"/>
                                  <a:pt x="1" y="1"/>
                                </a:cubicBezTo>
                                <a:lnTo>
                                  <a:pt x="2" y="2"/>
                                </a:lnTo>
                                <a:close/>
                                <a:moveTo>
                                  <a:pt x="0" y="2"/>
                                </a:moveTo>
                                <a:lnTo>
                                  <a:pt x="0" y="2"/>
                                </a:lnTo>
                                <a:lnTo>
                                  <a:pt x="1" y="2"/>
                                </a:lnTo>
                                <a:lnTo>
                                  <a:pt x="0" y="2"/>
                                </a:lnTo>
                                <a:close/>
                                <a:moveTo>
                                  <a:pt x="2" y="2"/>
                                </a:moveTo>
                                <a:lnTo>
                                  <a:pt x="2" y="2"/>
                                </a:lnTo>
                                <a:lnTo>
                                  <a:pt x="0" y="2"/>
                                </a:lnTo>
                                <a:lnTo>
                                  <a:pt x="0" y="2"/>
                                </a:lnTo>
                                <a:lnTo>
                                  <a:pt x="2" y="2"/>
                                </a:lnTo>
                                <a:close/>
                                <a:moveTo>
                                  <a:pt x="2" y="2"/>
                                </a:moveTo>
                                <a:lnTo>
                                  <a:pt x="2" y="2"/>
                                </a:lnTo>
                                <a:lnTo>
                                  <a:pt x="0" y="2"/>
                                </a:lnTo>
                                <a:lnTo>
                                  <a:pt x="0" y="2"/>
                                </a:lnTo>
                                <a:lnTo>
                                  <a:pt x="2" y="2"/>
                                </a:lnTo>
                                <a:close/>
                                <a:moveTo>
                                  <a:pt x="2" y="2"/>
                                </a:moveTo>
                                <a:cubicBezTo>
                                  <a:pt x="2" y="2"/>
                                  <a:pt x="2" y="2"/>
                                  <a:pt x="2" y="3"/>
                                </a:cubicBezTo>
                                <a:lnTo>
                                  <a:pt x="1" y="3"/>
                                </a:lnTo>
                                <a:cubicBezTo>
                                  <a:pt x="1" y="3"/>
                                  <a:pt x="0" y="3"/>
                                  <a:pt x="0" y="2"/>
                                </a:cubicBezTo>
                                <a:lnTo>
                                  <a:pt x="2" y="2"/>
                                </a:lnTo>
                                <a:close/>
                                <a:moveTo>
                                  <a:pt x="2" y="3"/>
                                </a:moveTo>
                                <a:cubicBezTo>
                                  <a:pt x="2" y="3"/>
                                  <a:pt x="2" y="3"/>
                                  <a:pt x="2" y="3"/>
                                </a:cubicBezTo>
                                <a:lnTo>
                                  <a:pt x="2" y="4"/>
                                </a:lnTo>
                                <a:cubicBezTo>
                                  <a:pt x="2" y="4"/>
                                  <a:pt x="1" y="4"/>
                                  <a:pt x="1" y="3"/>
                                </a:cubicBezTo>
                                <a:lnTo>
                                  <a:pt x="2" y="3"/>
                                </a:lnTo>
                                <a:close/>
                                <a:moveTo>
                                  <a:pt x="2" y="4"/>
                                </a:moveTo>
                                <a:lnTo>
                                  <a:pt x="2" y="4"/>
                                </a:lnTo>
                                <a:lnTo>
                                  <a:pt x="2" y="3"/>
                                </a:lnTo>
                                <a:lnTo>
                                  <a:pt x="2" y="4"/>
                                </a:lnTo>
                                <a:close/>
                                <a:moveTo>
                                  <a:pt x="2" y="3"/>
                                </a:moveTo>
                                <a:lnTo>
                                  <a:pt x="2" y="3"/>
                                </a:lnTo>
                                <a:lnTo>
                                  <a:pt x="2" y="4"/>
                                </a:lnTo>
                                <a:lnTo>
                                  <a:pt x="2" y="4"/>
                                </a:lnTo>
                                <a:lnTo>
                                  <a:pt x="2" y="3"/>
                                </a:lnTo>
                                <a:close/>
                                <a:moveTo>
                                  <a:pt x="2" y="3"/>
                                </a:moveTo>
                                <a:lnTo>
                                  <a:pt x="2" y="3"/>
                                </a:lnTo>
                                <a:lnTo>
                                  <a:pt x="2" y="4"/>
                                </a:lnTo>
                                <a:lnTo>
                                  <a:pt x="2" y="4"/>
                                </a:lnTo>
                                <a:lnTo>
                                  <a:pt x="2" y="3"/>
                                </a:lnTo>
                                <a:close/>
                                <a:moveTo>
                                  <a:pt x="2" y="3"/>
                                </a:moveTo>
                                <a:cubicBezTo>
                                  <a:pt x="2" y="3"/>
                                  <a:pt x="2" y="3"/>
                                  <a:pt x="2" y="3"/>
                                </a:cubicBezTo>
                                <a:lnTo>
                                  <a:pt x="3" y="3"/>
                                </a:lnTo>
                                <a:cubicBezTo>
                                  <a:pt x="3" y="4"/>
                                  <a:pt x="3" y="4"/>
                                  <a:pt x="2" y="4"/>
                                </a:cubicBezTo>
                                <a:lnTo>
                                  <a:pt x="2" y="3"/>
                                </a:lnTo>
                                <a:close/>
                                <a:moveTo>
                                  <a:pt x="2" y="3"/>
                                </a:moveTo>
                                <a:lnTo>
                                  <a:pt x="2" y="3"/>
                                </a:lnTo>
                                <a:lnTo>
                                  <a:pt x="3" y="3"/>
                                </a:lnTo>
                                <a:lnTo>
                                  <a:pt x="2" y="3"/>
                                </a:lnTo>
                                <a:close/>
                                <a:moveTo>
                                  <a:pt x="2" y="3"/>
                                </a:moveTo>
                                <a:cubicBezTo>
                                  <a:pt x="2" y="2"/>
                                  <a:pt x="3" y="2"/>
                                  <a:pt x="3" y="2"/>
                                </a:cubicBezTo>
                                <a:lnTo>
                                  <a:pt x="4" y="2"/>
                                </a:lnTo>
                                <a:cubicBezTo>
                                  <a:pt x="4" y="3"/>
                                  <a:pt x="4" y="3"/>
                                  <a:pt x="3" y="3"/>
                                </a:cubicBezTo>
                                <a:lnTo>
                                  <a:pt x="2" y="3"/>
                                </a:lnTo>
                                <a:close/>
                                <a:moveTo>
                                  <a:pt x="4" y="2"/>
                                </a:moveTo>
                                <a:lnTo>
                                  <a:pt x="4" y="2"/>
                                </a:lnTo>
                                <a:lnTo>
                                  <a:pt x="3" y="2"/>
                                </a:lnTo>
                                <a:lnTo>
                                  <a:pt x="4" y="2"/>
                                </a:lnTo>
                                <a:close/>
                                <a:moveTo>
                                  <a:pt x="3" y="2"/>
                                </a:moveTo>
                                <a:lnTo>
                                  <a:pt x="3" y="2"/>
                                </a:lnTo>
                                <a:lnTo>
                                  <a:pt x="4" y="2"/>
                                </a:lnTo>
                                <a:lnTo>
                                  <a:pt x="4" y="2"/>
                                </a:lnTo>
                                <a:lnTo>
                                  <a:pt x="3" y="2"/>
                                </a:lnTo>
                                <a:close/>
                                <a:moveTo>
                                  <a:pt x="3" y="2"/>
                                </a:moveTo>
                                <a:lnTo>
                                  <a:pt x="3" y="2"/>
                                </a:lnTo>
                                <a:lnTo>
                                  <a:pt x="4" y="2"/>
                                </a:lnTo>
                                <a:lnTo>
                                  <a:pt x="4" y="2"/>
                                </a:lnTo>
                                <a:lnTo>
                                  <a:pt x="3" y="2"/>
                                </a:lnTo>
                                <a:close/>
                                <a:moveTo>
                                  <a:pt x="3" y="2"/>
                                </a:moveTo>
                                <a:cubicBezTo>
                                  <a:pt x="3" y="2"/>
                                  <a:pt x="2" y="2"/>
                                  <a:pt x="2" y="2"/>
                                </a:cubicBezTo>
                                <a:lnTo>
                                  <a:pt x="3" y="1"/>
                                </a:lnTo>
                                <a:cubicBezTo>
                                  <a:pt x="4" y="1"/>
                                  <a:pt x="4" y="2"/>
                                  <a:pt x="4" y="2"/>
                                </a:cubicBezTo>
                                <a:lnTo>
                                  <a:pt x="3" y="2"/>
                                </a:lnTo>
                                <a:close/>
                                <a:moveTo>
                                  <a:pt x="2" y="2"/>
                                </a:moveTo>
                                <a:lnTo>
                                  <a:pt x="2" y="2"/>
                                </a:lnTo>
                                <a:lnTo>
                                  <a:pt x="3" y="1"/>
                                </a:lnTo>
                                <a:lnTo>
                                  <a:pt x="2" y="2"/>
                                </a:lnTo>
                                <a:close/>
                                <a:moveTo>
                                  <a:pt x="2" y="2"/>
                                </a:moveTo>
                                <a:cubicBezTo>
                                  <a:pt x="2" y="2"/>
                                  <a:pt x="2" y="2"/>
                                  <a:pt x="2" y="2"/>
                                </a:cubicBezTo>
                                <a:lnTo>
                                  <a:pt x="2" y="0"/>
                                </a:lnTo>
                                <a:cubicBezTo>
                                  <a:pt x="3" y="0"/>
                                  <a:pt x="3" y="0"/>
                                  <a:pt x="3" y="1"/>
                                </a:cubicBezTo>
                                <a:lnTo>
                                  <a:pt x="2" y="2"/>
                                </a:lnTo>
                                <a:close/>
                                <a:moveTo>
                                  <a:pt x="2" y="0"/>
                                </a:moveTo>
                                <a:lnTo>
                                  <a:pt x="2" y="0"/>
                                </a:lnTo>
                                <a:lnTo>
                                  <a:pt x="2" y="1"/>
                                </a:lnTo>
                                <a:lnTo>
                                  <a:pt x="2" y="0"/>
                                </a:lnTo>
                                <a:close/>
                                <a:moveTo>
                                  <a:pt x="2" y="2"/>
                                </a:moveTo>
                                <a:lnTo>
                                  <a:pt x="2" y="2"/>
                                </a:lnTo>
                                <a:lnTo>
                                  <a:pt x="2" y="0"/>
                                </a:lnTo>
                                <a:lnTo>
                                  <a:pt x="2" y="0"/>
                                </a:lnTo>
                                <a:lnTo>
                                  <a:pt x="2" y="2"/>
                                </a:lnTo>
                                <a:close/>
                              </a:path>
                            </a:pathLst>
                          </a:custGeom>
                          <a:solidFill>
                            <a:srgbClr val="24211D"/>
                          </a:solidFill>
                          <a:ln w="9525">
                            <a:noFill/>
                            <a:round/>
                            <a:headEnd/>
                            <a:tailEnd/>
                          </a:ln>
                        </wps:spPr>
                        <wps:bodyPr/>
                      </wps:wsp>
                      <wps:wsp>
                        <wps:cNvPr id="145" name="Freeform 79"/>
                        <wps:cNvSpPr>
                          <a:spLocks noEditPoints="1"/>
                        </wps:cNvSpPr>
                        <wps:spPr bwMode="auto">
                          <a:xfrm>
                            <a:off x="429" y="415"/>
                            <a:ext cx="16" cy="63"/>
                          </a:xfrm>
                          <a:custGeom>
                            <a:avLst/>
                            <a:gdLst/>
                            <a:ahLst/>
                            <a:cxnLst>
                              <a:cxn ang="0">
                                <a:pos x="17" y="77"/>
                              </a:cxn>
                              <a:cxn ang="0">
                                <a:pos x="9" y="27"/>
                              </a:cxn>
                              <a:cxn ang="0">
                                <a:pos x="10" y="26"/>
                              </a:cxn>
                              <a:cxn ang="0">
                                <a:pos x="18" y="77"/>
                              </a:cxn>
                              <a:cxn ang="0">
                                <a:pos x="17" y="77"/>
                              </a:cxn>
                              <a:cxn ang="0">
                                <a:pos x="10" y="26"/>
                              </a:cxn>
                              <a:cxn ang="0">
                                <a:pos x="10" y="26"/>
                              </a:cxn>
                              <a:cxn ang="0">
                                <a:pos x="9" y="27"/>
                              </a:cxn>
                              <a:cxn ang="0">
                                <a:pos x="10" y="26"/>
                              </a:cxn>
                              <a:cxn ang="0">
                                <a:pos x="9" y="27"/>
                              </a:cxn>
                              <a:cxn ang="0">
                                <a:pos x="0" y="0"/>
                              </a:cxn>
                              <a:cxn ang="0">
                                <a:pos x="1" y="0"/>
                              </a:cxn>
                              <a:cxn ang="0">
                                <a:pos x="10" y="26"/>
                              </a:cxn>
                              <a:cxn ang="0">
                                <a:pos x="9" y="27"/>
                              </a:cxn>
                            </a:cxnLst>
                            <a:rect l="0" t="0" r="r" b="b"/>
                            <a:pathLst>
                              <a:path w="19" h="77">
                                <a:moveTo>
                                  <a:pt x="17" y="77"/>
                                </a:moveTo>
                                <a:cubicBezTo>
                                  <a:pt x="17" y="77"/>
                                  <a:pt x="18" y="39"/>
                                  <a:pt x="9" y="27"/>
                                </a:cubicBezTo>
                                <a:lnTo>
                                  <a:pt x="10" y="26"/>
                                </a:lnTo>
                                <a:cubicBezTo>
                                  <a:pt x="19" y="38"/>
                                  <a:pt x="18" y="77"/>
                                  <a:pt x="18" y="77"/>
                                </a:cubicBezTo>
                                <a:lnTo>
                                  <a:pt x="17" y="77"/>
                                </a:lnTo>
                                <a:close/>
                                <a:moveTo>
                                  <a:pt x="10" y="26"/>
                                </a:moveTo>
                                <a:lnTo>
                                  <a:pt x="10" y="26"/>
                                </a:lnTo>
                                <a:lnTo>
                                  <a:pt x="9" y="27"/>
                                </a:lnTo>
                                <a:lnTo>
                                  <a:pt x="10" y="26"/>
                                </a:lnTo>
                                <a:close/>
                                <a:moveTo>
                                  <a:pt x="9" y="27"/>
                                </a:moveTo>
                                <a:cubicBezTo>
                                  <a:pt x="1" y="17"/>
                                  <a:pt x="0" y="0"/>
                                  <a:pt x="0" y="0"/>
                                </a:cubicBezTo>
                                <a:lnTo>
                                  <a:pt x="1" y="0"/>
                                </a:lnTo>
                                <a:cubicBezTo>
                                  <a:pt x="1" y="0"/>
                                  <a:pt x="2" y="17"/>
                                  <a:pt x="10" y="26"/>
                                </a:cubicBezTo>
                                <a:lnTo>
                                  <a:pt x="9" y="27"/>
                                </a:lnTo>
                                <a:close/>
                              </a:path>
                            </a:pathLst>
                          </a:custGeom>
                          <a:solidFill>
                            <a:srgbClr val="24211D"/>
                          </a:solidFill>
                          <a:ln w="9525">
                            <a:noFill/>
                            <a:round/>
                            <a:headEnd/>
                            <a:tailEnd/>
                          </a:ln>
                        </wps:spPr>
                        <wps:bodyPr/>
                      </wps:wsp>
                      <wps:wsp>
                        <wps:cNvPr id="146" name="Freeform 80"/>
                        <wps:cNvSpPr>
                          <a:spLocks/>
                        </wps:cNvSpPr>
                        <wps:spPr bwMode="auto">
                          <a:xfrm>
                            <a:off x="446" y="427"/>
                            <a:ext cx="8" cy="4"/>
                          </a:xfrm>
                          <a:custGeom>
                            <a:avLst/>
                            <a:gdLst/>
                            <a:ahLst/>
                            <a:cxnLst>
                              <a:cxn ang="0">
                                <a:pos x="9" y="1"/>
                              </a:cxn>
                              <a:cxn ang="0">
                                <a:pos x="0" y="3"/>
                              </a:cxn>
                              <a:cxn ang="0">
                                <a:pos x="0" y="2"/>
                              </a:cxn>
                              <a:cxn ang="0">
                                <a:pos x="8" y="0"/>
                              </a:cxn>
                              <a:cxn ang="0">
                                <a:pos x="9" y="1"/>
                              </a:cxn>
                            </a:cxnLst>
                            <a:rect l="0" t="0" r="r" b="b"/>
                            <a:pathLst>
                              <a:path w="9" h="4">
                                <a:moveTo>
                                  <a:pt x="9" y="1"/>
                                </a:moveTo>
                                <a:cubicBezTo>
                                  <a:pt x="9" y="1"/>
                                  <a:pt x="8" y="4"/>
                                  <a:pt x="0" y="3"/>
                                </a:cubicBezTo>
                                <a:lnTo>
                                  <a:pt x="0" y="2"/>
                                </a:lnTo>
                                <a:cubicBezTo>
                                  <a:pt x="7" y="3"/>
                                  <a:pt x="8" y="0"/>
                                  <a:pt x="8" y="0"/>
                                </a:cubicBezTo>
                                <a:lnTo>
                                  <a:pt x="9" y="1"/>
                                </a:lnTo>
                                <a:close/>
                              </a:path>
                            </a:pathLst>
                          </a:custGeom>
                          <a:solidFill>
                            <a:srgbClr val="24211D"/>
                          </a:solidFill>
                          <a:ln w="9525">
                            <a:noFill/>
                            <a:round/>
                            <a:headEnd/>
                            <a:tailEnd/>
                          </a:ln>
                        </wps:spPr>
                        <wps:bodyPr/>
                      </wps:wsp>
                      <wps:wsp>
                        <wps:cNvPr id="147" name="Freeform 81"/>
                        <wps:cNvSpPr>
                          <a:spLocks/>
                        </wps:cNvSpPr>
                        <wps:spPr bwMode="auto">
                          <a:xfrm>
                            <a:off x="442" y="413"/>
                            <a:ext cx="16" cy="15"/>
                          </a:xfrm>
                          <a:custGeom>
                            <a:avLst/>
                            <a:gdLst/>
                            <a:ahLst/>
                            <a:cxnLst>
                              <a:cxn ang="0">
                                <a:pos x="16" y="0"/>
                              </a:cxn>
                              <a:cxn ang="0">
                                <a:pos x="0" y="14"/>
                              </a:cxn>
                              <a:cxn ang="0">
                                <a:pos x="0" y="13"/>
                              </a:cxn>
                              <a:cxn ang="0">
                                <a:pos x="15" y="0"/>
                              </a:cxn>
                              <a:cxn ang="0">
                                <a:pos x="16" y="0"/>
                              </a:cxn>
                            </a:cxnLst>
                            <a:rect l="0" t="0" r="r" b="b"/>
                            <a:pathLst>
                              <a:path w="19" h="19">
                                <a:moveTo>
                                  <a:pt x="16" y="0"/>
                                </a:moveTo>
                                <a:cubicBezTo>
                                  <a:pt x="16" y="0"/>
                                  <a:pt x="19" y="19"/>
                                  <a:pt x="0" y="14"/>
                                </a:cubicBezTo>
                                <a:lnTo>
                                  <a:pt x="0" y="13"/>
                                </a:lnTo>
                                <a:cubicBezTo>
                                  <a:pt x="17" y="17"/>
                                  <a:pt x="15" y="0"/>
                                  <a:pt x="15" y="0"/>
                                </a:cubicBezTo>
                                <a:lnTo>
                                  <a:pt x="16" y="0"/>
                                </a:lnTo>
                                <a:close/>
                              </a:path>
                            </a:pathLst>
                          </a:custGeom>
                          <a:solidFill>
                            <a:srgbClr val="24211D"/>
                          </a:solidFill>
                          <a:ln w="9525">
                            <a:noFill/>
                            <a:round/>
                            <a:headEnd/>
                            <a:tailEnd/>
                          </a:ln>
                        </wps:spPr>
                        <wps:bodyPr/>
                      </wps:wsp>
                      <wps:wsp>
                        <wps:cNvPr id="148" name="Freeform 82"/>
                        <wps:cNvSpPr>
                          <a:spLocks/>
                        </wps:cNvSpPr>
                        <wps:spPr bwMode="auto">
                          <a:xfrm>
                            <a:off x="428" y="452"/>
                            <a:ext cx="9" cy="12"/>
                          </a:xfrm>
                          <a:custGeom>
                            <a:avLst/>
                            <a:gdLst/>
                            <a:ahLst/>
                            <a:cxnLst>
                              <a:cxn ang="0">
                                <a:pos x="11" y="0"/>
                              </a:cxn>
                              <a:cxn ang="0">
                                <a:pos x="0" y="11"/>
                              </a:cxn>
                              <a:cxn ang="0">
                                <a:pos x="0" y="10"/>
                              </a:cxn>
                              <a:cxn ang="0">
                                <a:pos x="10" y="0"/>
                              </a:cxn>
                              <a:cxn ang="0">
                                <a:pos x="11" y="0"/>
                              </a:cxn>
                            </a:cxnLst>
                            <a:rect l="0" t="0" r="r" b="b"/>
                            <a:pathLst>
                              <a:path w="12" h="14">
                                <a:moveTo>
                                  <a:pt x="11" y="0"/>
                                </a:moveTo>
                                <a:cubicBezTo>
                                  <a:pt x="11" y="0"/>
                                  <a:pt x="12" y="14"/>
                                  <a:pt x="0" y="11"/>
                                </a:cubicBezTo>
                                <a:lnTo>
                                  <a:pt x="0" y="10"/>
                                </a:lnTo>
                                <a:cubicBezTo>
                                  <a:pt x="10" y="13"/>
                                  <a:pt x="10" y="0"/>
                                  <a:pt x="10" y="0"/>
                                </a:cubicBezTo>
                                <a:lnTo>
                                  <a:pt x="11" y="0"/>
                                </a:lnTo>
                                <a:close/>
                              </a:path>
                            </a:pathLst>
                          </a:custGeom>
                          <a:solidFill>
                            <a:srgbClr val="24211D"/>
                          </a:solidFill>
                          <a:ln w="9525">
                            <a:noFill/>
                            <a:round/>
                            <a:headEnd/>
                            <a:tailEnd/>
                          </a:ln>
                        </wps:spPr>
                        <wps:bodyPr/>
                      </wps:wsp>
                      <wps:wsp>
                        <wps:cNvPr id="149" name="Oval 83"/>
                        <wps:cNvSpPr>
                          <a:spLocks noChangeArrowheads="1"/>
                        </wps:cNvSpPr>
                        <wps:spPr bwMode="auto">
                          <a:xfrm>
                            <a:off x="31" y="433"/>
                            <a:ext cx="2" cy="2"/>
                          </a:xfrm>
                          <a:prstGeom prst="ellipse">
                            <a:avLst/>
                          </a:prstGeom>
                          <a:solidFill>
                            <a:srgbClr val="24211D"/>
                          </a:solidFill>
                          <a:ln w="9525">
                            <a:noFill/>
                            <a:round/>
                            <a:headEnd/>
                            <a:tailEnd/>
                          </a:ln>
                        </wps:spPr>
                        <wps:bodyPr/>
                      </wps:wsp>
                      <wps:wsp>
                        <wps:cNvPr id="150" name="Freeform 84"/>
                        <wps:cNvSpPr>
                          <a:spLocks noEditPoints="1"/>
                        </wps:cNvSpPr>
                        <wps:spPr bwMode="auto">
                          <a:xfrm>
                            <a:off x="30" y="432"/>
                            <a:ext cx="3" cy="4"/>
                          </a:xfrm>
                          <a:custGeom>
                            <a:avLst/>
                            <a:gdLst/>
                            <a:ahLst/>
                            <a:cxnLst>
                              <a:cxn ang="0">
                                <a:pos x="2" y="0"/>
                              </a:cxn>
                              <a:cxn ang="0">
                                <a:pos x="2" y="2"/>
                              </a:cxn>
                              <a:cxn ang="0">
                                <a:pos x="2" y="0"/>
                              </a:cxn>
                              <a:cxn ang="0">
                                <a:pos x="2" y="2"/>
                              </a:cxn>
                              <a:cxn ang="0">
                                <a:pos x="2" y="0"/>
                              </a:cxn>
                              <a:cxn ang="0">
                                <a:pos x="3" y="2"/>
                              </a:cxn>
                              <a:cxn ang="0">
                                <a:pos x="2" y="2"/>
                              </a:cxn>
                              <a:cxn ang="0">
                                <a:pos x="3" y="2"/>
                              </a:cxn>
                              <a:cxn ang="0">
                                <a:pos x="3" y="2"/>
                              </a:cxn>
                              <a:cxn ang="0">
                                <a:pos x="3" y="2"/>
                              </a:cxn>
                              <a:cxn ang="0">
                                <a:pos x="2" y="2"/>
                              </a:cxn>
                              <a:cxn ang="0">
                                <a:pos x="3" y="2"/>
                              </a:cxn>
                              <a:cxn ang="0">
                                <a:pos x="2" y="2"/>
                              </a:cxn>
                              <a:cxn ang="0">
                                <a:pos x="3" y="2"/>
                              </a:cxn>
                              <a:cxn ang="0">
                                <a:pos x="3" y="3"/>
                              </a:cxn>
                              <a:cxn ang="0">
                                <a:pos x="2" y="2"/>
                              </a:cxn>
                              <a:cxn ang="0">
                                <a:pos x="3" y="3"/>
                              </a:cxn>
                              <a:cxn ang="0">
                                <a:pos x="2" y="3"/>
                              </a:cxn>
                              <a:cxn ang="0">
                                <a:pos x="3" y="3"/>
                              </a:cxn>
                              <a:cxn ang="0">
                                <a:pos x="2" y="4"/>
                              </a:cxn>
                              <a:cxn ang="0">
                                <a:pos x="2" y="4"/>
                              </a:cxn>
                              <a:cxn ang="0">
                                <a:pos x="2" y="4"/>
                              </a:cxn>
                              <a:cxn ang="0">
                                <a:pos x="2" y="3"/>
                              </a:cxn>
                              <a:cxn ang="0">
                                <a:pos x="2" y="4"/>
                              </a:cxn>
                              <a:cxn ang="0">
                                <a:pos x="2" y="3"/>
                              </a:cxn>
                              <a:cxn ang="0">
                                <a:pos x="2" y="4"/>
                              </a:cxn>
                              <a:cxn ang="0">
                                <a:pos x="1" y="3"/>
                              </a:cxn>
                              <a:cxn ang="0">
                                <a:pos x="2" y="3"/>
                              </a:cxn>
                              <a:cxn ang="0">
                                <a:pos x="1" y="3"/>
                              </a:cxn>
                              <a:cxn ang="0">
                                <a:pos x="1" y="3"/>
                              </a:cxn>
                              <a:cxn ang="0">
                                <a:pos x="0" y="2"/>
                              </a:cxn>
                              <a:cxn ang="0">
                                <a:pos x="1" y="3"/>
                              </a:cxn>
                              <a:cxn ang="0">
                                <a:pos x="0" y="2"/>
                              </a:cxn>
                              <a:cxn ang="0">
                                <a:pos x="0" y="2"/>
                              </a:cxn>
                              <a:cxn ang="0">
                                <a:pos x="0" y="2"/>
                              </a:cxn>
                              <a:cxn ang="0">
                                <a:pos x="1" y="2"/>
                              </a:cxn>
                              <a:cxn ang="0">
                                <a:pos x="0" y="2"/>
                              </a:cxn>
                              <a:cxn ang="0">
                                <a:pos x="1" y="2"/>
                              </a:cxn>
                              <a:cxn ang="0">
                                <a:pos x="0" y="2"/>
                              </a:cxn>
                              <a:cxn ang="0">
                                <a:pos x="1" y="1"/>
                              </a:cxn>
                              <a:cxn ang="0">
                                <a:pos x="1" y="2"/>
                              </a:cxn>
                              <a:cxn ang="0">
                                <a:pos x="1" y="2"/>
                              </a:cxn>
                              <a:cxn ang="0">
                                <a:pos x="1" y="1"/>
                              </a:cxn>
                              <a:cxn ang="0">
                                <a:pos x="1" y="1"/>
                              </a:cxn>
                              <a:cxn ang="0">
                                <a:pos x="2" y="2"/>
                              </a:cxn>
                              <a:cxn ang="0">
                                <a:pos x="1" y="1"/>
                              </a:cxn>
                              <a:cxn ang="0">
                                <a:pos x="2" y="0"/>
                              </a:cxn>
                              <a:cxn ang="0">
                                <a:pos x="2" y="0"/>
                              </a:cxn>
                              <a:cxn ang="0">
                                <a:pos x="2" y="0"/>
                              </a:cxn>
                              <a:cxn ang="0">
                                <a:pos x="2" y="2"/>
                              </a:cxn>
                            </a:cxnLst>
                            <a:rect l="0" t="0" r="r" b="b"/>
                            <a:pathLst>
                              <a:path w="3" h="4">
                                <a:moveTo>
                                  <a:pt x="2" y="0"/>
                                </a:moveTo>
                                <a:lnTo>
                                  <a:pt x="2" y="0"/>
                                </a:lnTo>
                                <a:lnTo>
                                  <a:pt x="2" y="2"/>
                                </a:lnTo>
                                <a:lnTo>
                                  <a:pt x="2" y="2"/>
                                </a:lnTo>
                                <a:lnTo>
                                  <a:pt x="2" y="0"/>
                                </a:lnTo>
                                <a:close/>
                                <a:moveTo>
                                  <a:pt x="2" y="0"/>
                                </a:moveTo>
                                <a:cubicBezTo>
                                  <a:pt x="2" y="0"/>
                                  <a:pt x="3" y="0"/>
                                  <a:pt x="3" y="1"/>
                                </a:cubicBezTo>
                                <a:lnTo>
                                  <a:pt x="2" y="2"/>
                                </a:lnTo>
                                <a:cubicBezTo>
                                  <a:pt x="2" y="2"/>
                                  <a:pt x="2" y="2"/>
                                  <a:pt x="2" y="2"/>
                                </a:cubicBezTo>
                                <a:lnTo>
                                  <a:pt x="2" y="0"/>
                                </a:lnTo>
                                <a:close/>
                                <a:moveTo>
                                  <a:pt x="3" y="1"/>
                                </a:moveTo>
                                <a:cubicBezTo>
                                  <a:pt x="3" y="1"/>
                                  <a:pt x="3" y="2"/>
                                  <a:pt x="3" y="2"/>
                                </a:cubicBezTo>
                                <a:lnTo>
                                  <a:pt x="2" y="2"/>
                                </a:lnTo>
                                <a:cubicBezTo>
                                  <a:pt x="2" y="2"/>
                                  <a:pt x="2" y="2"/>
                                  <a:pt x="2" y="2"/>
                                </a:cubicBezTo>
                                <a:lnTo>
                                  <a:pt x="3" y="1"/>
                                </a:lnTo>
                                <a:close/>
                                <a:moveTo>
                                  <a:pt x="3" y="2"/>
                                </a:moveTo>
                                <a:lnTo>
                                  <a:pt x="3" y="2"/>
                                </a:lnTo>
                                <a:lnTo>
                                  <a:pt x="3" y="2"/>
                                </a:lnTo>
                                <a:close/>
                                <a:moveTo>
                                  <a:pt x="3" y="2"/>
                                </a:moveTo>
                                <a:lnTo>
                                  <a:pt x="3" y="2"/>
                                </a:lnTo>
                                <a:lnTo>
                                  <a:pt x="2" y="2"/>
                                </a:lnTo>
                                <a:lnTo>
                                  <a:pt x="2" y="2"/>
                                </a:lnTo>
                                <a:lnTo>
                                  <a:pt x="3" y="2"/>
                                </a:lnTo>
                                <a:close/>
                                <a:moveTo>
                                  <a:pt x="3" y="2"/>
                                </a:moveTo>
                                <a:lnTo>
                                  <a:pt x="3" y="2"/>
                                </a:lnTo>
                                <a:lnTo>
                                  <a:pt x="2" y="2"/>
                                </a:lnTo>
                                <a:lnTo>
                                  <a:pt x="2" y="2"/>
                                </a:lnTo>
                                <a:lnTo>
                                  <a:pt x="3" y="2"/>
                                </a:lnTo>
                                <a:close/>
                                <a:moveTo>
                                  <a:pt x="3" y="2"/>
                                </a:moveTo>
                                <a:cubicBezTo>
                                  <a:pt x="3" y="3"/>
                                  <a:pt x="3" y="3"/>
                                  <a:pt x="3" y="3"/>
                                </a:cubicBezTo>
                                <a:lnTo>
                                  <a:pt x="2" y="3"/>
                                </a:lnTo>
                                <a:cubicBezTo>
                                  <a:pt x="2" y="2"/>
                                  <a:pt x="2" y="2"/>
                                  <a:pt x="2" y="2"/>
                                </a:cubicBezTo>
                                <a:lnTo>
                                  <a:pt x="3" y="2"/>
                                </a:lnTo>
                                <a:close/>
                                <a:moveTo>
                                  <a:pt x="3" y="3"/>
                                </a:moveTo>
                                <a:cubicBezTo>
                                  <a:pt x="3" y="4"/>
                                  <a:pt x="2" y="4"/>
                                  <a:pt x="2" y="4"/>
                                </a:cubicBezTo>
                                <a:lnTo>
                                  <a:pt x="2" y="3"/>
                                </a:lnTo>
                                <a:cubicBezTo>
                                  <a:pt x="2" y="3"/>
                                  <a:pt x="2" y="3"/>
                                  <a:pt x="2" y="3"/>
                                </a:cubicBezTo>
                                <a:lnTo>
                                  <a:pt x="3" y="3"/>
                                </a:lnTo>
                                <a:close/>
                                <a:moveTo>
                                  <a:pt x="2" y="4"/>
                                </a:moveTo>
                                <a:lnTo>
                                  <a:pt x="2" y="4"/>
                                </a:lnTo>
                                <a:lnTo>
                                  <a:pt x="2" y="3"/>
                                </a:lnTo>
                                <a:lnTo>
                                  <a:pt x="2" y="4"/>
                                </a:lnTo>
                                <a:close/>
                                <a:moveTo>
                                  <a:pt x="2" y="4"/>
                                </a:moveTo>
                                <a:lnTo>
                                  <a:pt x="2" y="4"/>
                                </a:lnTo>
                                <a:lnTo>
                                  <a:pt x="2" y="3"/>
                                </a:lnTo>
                                <a:lnTo>
                                  <a:pt x="2" y="3"/>
                                </a:lnTo>
                                <a:lnTo>
                                  <a:pt x="2" y="4"/>
                                </a:lnTo>
                                <a:close/>
                                <a:moveTo>
                                  <a:pt x="2" y="4"/>
                                </a:moveTo>
                                <a:lnTo>
                                  <a:pt x="2" y="4"/>
                                </a:lnTo>
                                <a:lnTo>
                                  <a:pt x="2" y="3"/>
                                </a:lnTo>
                                <a:lnTo>
                                  <a:pt x="2" y="3"/>
                                </a:lnTo>
                                <a:lnTo>
                                  <a:pt x="2" y="4"/>
                                </a:lnTo>
                                <a:close/>
                                <a:moveTo>
                                  <a:pt x="2" y="4"/>
                                </a:moveTo>
                                <a:cubicBezTo>
                                  <a:pt x="1" y="4"/>
                                  <a:pt x="1" y="4"/>
                                  <a:pt x="1" y="3"/>
                                </a:cubicBezTo>
                                <a:lnTo>
                                  <a:pt x="1" y="3"/>
                                </a:lnTo>
                                <a:cubicBezTo>
                                  <a:pt x="2" y="3"/>
                                  <a:pt x="2" y="3"/>
                                  <a:pt x="2" y="3"/>
                                </a:cubicBezTo>
                                <a:lnTo>
                                  <a:pt x="2" y="4"/>
                                </a:lnTo>
                                <a:close/>
                                <a:moveTo>
                                  <a:pt x="1" y="3"/>
                                </a:moveTo>
                                <a:lnTo>
                                  <a:pt x="1" y="3"/>
                                </a:lnTo>
                                <a:lnTo>
                                  <a:pt x="1" y="3"/>
                                </a:lnTo>
                                <a:close/>
                                <a:moveTo>
                                  <a:pt x="1" y="3"/>
                                </a:moveTo>
                                <a:cubicBezTo>
                                  <a:pt x="0" y="3"/>
                                  <a:pt x="0" y="3"/>
                                  <a:pt x="0" y="2"/>
                                </a:cubicBezTo>
                                <a:lnTo>
                                  <a:pt x="1" y="2"/>
                                </a:lnTo>
                                <a:cubicBezTo>
                                  <a:pt x="1" y="2"/>
                                  <a:pt x="1" y="2"/>
                                  <a:pt x="1" y="3"/>
                                </a:cubicBezTo>
                                <a:close/>
                                <a:moveTo>
                                  <a:pt x="0" y="2"/>
                                </a:moveTo>
                                <a:lnTo>
                                  <a:pt x="0" y="2"/>
                                </a:lnTo>
                                <a:lnTo>
                                  <a:pt x="1" y="2"/>
                                </a:lnTo>
                                <a:lnTo>
                                  <a:pt x="0" y="2"/>
                                </a:lnTo>
                                <a:close/>
                                <a:moveTo>
                                  <a:pt x="0" y="2"/>
                                </a:moveTo>
                                <a:lnTo>
                                  <a:pt x="0" y="2"/>
                                </a:lnTo>
                                <a:lnTo>
                                  <a:pt x="1" y="2"/>
                                </a:lnTo>
                                <a:lnTo>
                                  <a:pt x="1" y="2"/>
                                </a:lnTo>
                                <a:lnTo>
                                  <a:pt x="0" y="2"/>
                                </a:lnTo>
                                <a:close/>
                                <a:moveTo>
                                  <a:pt x="0" y="2"/>
                                </a:moveTo>
                                <a:lnTo>
                                  <a:pt x="0" y="2"/>
                                </a:lnTo>
                                <a:lnTo>
                                  <a:pt x="1" y="2"/>
                                </a:lnTo>
                                <a:lnTo>
                                  <a:pt x="1" y="2"/>
                                </a:lnTo>
                                <a:lnTo>
                                  <a:pt x="0" y="2"/>
                                </a:lnTo>
                                <a:close/>
                                <a:moveTo>
                                  <a:pt x="0" y="2"/>
                                </a:moveTo>
                                <a:cubicBezTo>
                                  <a:pt x="0" y="2"/>
                                  <a:pt x="0" y="1"/>
                                  <a:pt x="1" y="1"/>
                                </a:cubicBezTo>
                                <a:lnTo>
                                  <a:pt x="1" y="2"/>
                                </a:lnTo>
                                <a:cubicBezTo>
                                  <a:pt x="1" y="2"/>
                                  <a:pt x="1" y="2"/>
                                  <a:pt x="1" y="2"/>
                                </a:cubicBezTo>
                                <a:lnTo>
                                  <a:pt x="0" y="2"/>
                                </a:lnTo>
                                <a:close/>
                                <a:moveTo>
                                  <a:pt x="1" y="2"/>
                                </a:moveTo>
                                <a:lnTo>
                                  <a:pt x="1" y="2"/>
                                </a:lnTo>
                                <a:lnTo>
                                  <a:pt x="1" y="1"/>
                                </a:lnTo>
                                <a:lnTo>
                                  <a:pt x="1" y="2"/>
                                </a:lnTo>
                                <a:close/>
                                <a:moveTo>
                                  <a:pt x="1" y="1"/>
                                </a:moveTo>
                                <a:cubicBezTo>
                                  <a:pt x="1" y="0"/>
                                  <a:pt x="1" y="0"/>
                                  <a:pt x="2" y="0"/>
                                </a:cubicBezTo>
                                <a:lnTo>
                                  <a:pt x="2" y="2"/>
                                </a:lnTo>
                                <a:cubicBezTo>
                                  <a:pt x="2" y="2"/>
                                  <a:pt x="2" y="2"/>
                                  <a:pt x="1" y="2"/>
                                </a:cubicBezTo>
                                <a:lnTo>
                                  <a:pt x="1" y="1"/>
                                </a:lnTo>
                                <a:close/>
                                <a:moveTo>
                                  <a:pt x="2" y="0"/>
                                </a:moveTo>
                                <a:lnTo>
                                  <a:pt x="2" y="0"/>
                                </a:lnTo>
                                <a:lnTo>
                                  <a:pt x="2" y="1"/>
                                </a:lnTo>
                                <a:lnTo>
                                  <a:pt x="2" y="0"/>
                                </a:lnTo>
                                <a:close/>
                                <a:moveTo>
                                  <a:pt x="2" y="0"/>
                                </a:moveTo>
                                <a:lnTo>
                                  <a:pt x="2" y="0"/>
                                </a:lnTo>
                                <a:lnTo>
                                  <a:pt x="2" y="2"/>
                                </a:lnTo>
                                <a:lnTo>
                                  <a:pt x="2" y="2"/>
                                </a:lnTo>
                                <a:lnTo>
                                  <a:pt x="2" y="0"/>
                                </a:lnTo>
                                <a:close/>
                              </a:path>
                            </a:pathLst>
                          </a:custGeom>
                          <a:solidFill>
                            <a:srgbClr val="24211D"/>
                          </a:solidFill>
                          <a:ln w="9525">
                            <a:noFill/>
                            <a:round/>
                            <a:headEnd/>
                            <a:tailEnd/>
                          </a:ln>
                        </wps:spPr>
                        <wps:bodyPr/>
                      </wps:wsp>
                      <wps:wsp>
                        <wps:cNvPr id="151" name="Freeform 85"/>
                        <wps:cNvSpPr>
                          <a:spLocks noEditPoints="1"/>
                        </wps:cNvSpPr>
                        <wps:spPr bwMode="auto">
                          <a:xfrm>
                            <a:off x="38" y="415"/>
                            <a:ext cx="15" cy="63"/>
                          </a:xfrm>
                          <a:custGeom>
                            <a:avLst/>
                            <a:gdLst/>
                            <a:ahLst/>
                            <a:cxnLst>
                              <a:cxn ang="0">
                                <a:pos x="0" y="76"/>
                              </a:cxn>
                              <a:cxn ang="0">
                                <a:pos x="9" y="26"/>
                              </a:cxn>
                              <a:cxn ang="0">
                                <a:pos x="10" y="27"/>
                              </a:cxn>
                              <a:cxn ang="0">
                                <a:pos x="1" y="76"/>
                              </a:cxn>
                              <a:cxn ang="0">
                                <a:pos x="0" y="76"/>
                              </a:cxn>
                              <a:cxn ang="0">
                                <a:pos x="9" y="26"/>
                              </a:cxn>
                              <a:cxn ang="0">
                                <a:pos x="9" y="26"/>
                              </a:cxn>
                              <a:cxn ang="0">
                                <a:pos x="10" y="27"/>
                              </a:cxn>
                              <a:cxn ang="0">
                                <a:pos x="9" y="26"/>
                              </a:cxn>
                              <a:cxn ang="0">
                                <a:pos x="9" y="26"/>
                              </a:cxn>
                              <a:cxn ang="0">
                                <a:pos x="18" y="0"/>
                              </a:cxn>
                              <a:cxn ang="0">
                                <a:pos x="19" y="0"/>
                              </a:cxn>
                              <a:cxn ang="0">
                                <a:pos x="10" y="27"/>
                              </a:cxn>
                              <a:cxn ang="0">
                                <a:pos x="9" y="26"/>
                              </a:cxn>
                            </a:cxnLst>
                            <a:rect l="0" t="0" r="r" b="b"/>
                            <a:pathLst>
                              <a:path w="19" h="76">
                                <a:moveTo>
                                  <a:pt x="0" y="76"/>
                                </a:moveTo>
                                <a:cubicBezTo>
                                  <a:pt x="0" y="76"/>
                                  <a:pt x="0" y="38"/>
                                  <a:pt x="9" y="26"/>
                                </a:cubicBezTo>
                                <a:lnTo>
                                  <a:pt x="10" y="27"/>
                                </a:lnTo>
                                <a:cubicBezTo>
                                  <a:pt x="1" y="39"/>
                                  <a:pt x="1" y="76"/>
                                  <a:pt x="1" y="76"/>
                                </a:cubicBezTo>
                                <a:lnTo>
                                  <a:pt x="0" y="76"/>
                                </a:lnTo>
                                <a:close/>
                                <a:moveTo>
                                  <a:pt x="9" y="26"/>
                                </a:moveTo>
                                <a:lnTo>
                                  <a:pt x="9" y="26"/>
                                </a:lnTo>
                                <a:lnTo>
                                  <a:pt x="10" y="27"/>
                                </a:lnTo>
                                <a:lnTo>
                                  <a:pt x="9" y="26"/>
                                </a:lnTo>
                                <a:close/>
                                <a:moveTo>
                                  <a:pt x="9" y="26"/>
                                </a:moveTo>
                                <a:cubicBezTo>
                                  <a:pt x="17" y="17"/>
                                  <a:pt x="18" y="0"/>
                                  <a:pt x="18" y="0"/>
                                </a:cubicBezTo>
                                <a:lnTo>
                                  <a:pt x="19" y="0"/>
                                </a:lnTo>
                                <a:cubicBezTo>
                                  <a:pt x="19" y="0"/>
                                  <a:pt x="18" y="17"/>
                                  <a:pt x="10" y="27"/>
                                </a:cubicBezTo>
                                <a:lnTo>
                                  <a:pt x="9" y="26"/>
                                </a:lnTo>
                                <a:close/>
                              </a:path>
                            </a:pathLst>
                          </a:custGeom>
                          <a:solidFill>
                            <a:srgbClr val="24211D"/>
                          </a:solidFill>
                          <a:ln w="9525">
                            <a:noFill/>
                            <a:round/>
                            <a:headEnd/>
                            <a:tailEnd/>
                          </a:ln>
                        </wps:spPr>
                        <wps:bodyPr/>
                      </wps:wsp>
                      <wps:wsp>
                        <wps:cNvPr id="152" name="Freeform 86"/>
                        <wps:cNvSpPr>
                          <a:spLocks/>
                        </wps:cNvSpPr>
                        <wps:spPr bwMode="auto">
                          <a:xfrm>
                            <a:off x="29" y="427"/>
                            <a:ext cx="7" cy="4"/>
                          </a:xfrm>
                          <a:custGeom>
                            <a:avLst/>
                            <a:gdLst/>
                            <a:ahLst/>
                            <a:cxnLst>
                              <a:cxn ang="0">
                                <a:pos x="1" y="0"/>
                              </a:cxn>
                              <a:cxn ang="0">
                                <a:pos x="9" y="2"/>
                              </a:cxn>
                              <a:cxn ang="0">
                                <a:pos x="9" y="3"/>
                              </a:cxn>
                              <a:cxn ang="0">
                                <a:pos x="0" y="1"/>
                              </a:cxn>
                              <a:cxn ang="0">
                                <a:pos x="1" y="0"/>
                              </a:cxn>
                            </a:cxnLst>
                            <a:rect l="0" t="0" r="r" b="b"/>
                            <a:pathLst>
                              <a:path w="9" h="4">
                                <a:moveTo>
                                  <a:pt x="1" y="0"/>
                                </a:moveTo>
                                <a:cubicBezTo>
                                  <a:pt x="1" y="0"/>
                                  <a:pt x="2" y="3"/>
                                  <a:pt x="9" y="2"/>
                                </a:cubicBezTo>
                                <a:lnTo>
                                  <a:pt x="9" y="3"/>
                                </a:lnTo>
                                <a:cubicBezTo>
                                  <a:pt x="1" y="4"/>
                                  <a:pt x="0" y="1"/>
                                  <a:pt x="0" y="1"/>
                                </a:cubicBezTo>
                                <a:lnTo>
                                  <a:pt x="1" y="0"/>
                                </a:lnTo>
                                <a:close/>
                              </a:path>
                            </a:pathLst>
                          </a:custGeom>
                          <a:solidFill>
                            <a:srgbClr val="24211D"/>
                          </a:solidFill>
                          <a:ln w="9525">
                            <a:noFill/>
                            <a:round/>
                            <a:headEnd/>
                            <a:tailEnd/>
                          </a:ln>
                        </wps:spPr>
                        <wps:bodyPr/>
                      </wps:wsp>
                      <wps:wsp>
                        <wps:cNvPr id="153" name="Freeform 87"/>
                        <wps:cNvSpPr>
                          <a:spLocks/>
                        </wps:cNvSpPr>
                        <wps:spPr bwMode="auto">
                          <a:xfrm>
                            <a:off x="25" y="413"/>
                            <a:ext cx="15" cy="15"/>
                          </a:xfrm>
                          <a:custGeom>
                            <a:avLst/>
                            <a:gdLst/>
                            <a:ahLst/>
                            <a:cxnLst>
                              <a:cxn ang="0">
                                <a:pos x="4" y="0"/>
                              </a:cxn>
                              <a:cxn ang="0">
                                <a:pos x="18" y="13"/>
                              </a:cxn>
                              <a:cxn ang="0">
                                <a:pos x="19" y="14"/>
                              </a:cxn>
                              <a:cxn ang="0">
                                <a:pos x="3" y="0"/>
                              </a:cxn>
                              <a:cxn ang="0">
                                <a:pos x="4" y="0"/>
                              </a:cxn>
                            </a:cxnLst>
                            <a:rect l="0" t="0" r="r" b="b"/>
                            <a:pathLst>
                              <a:path w="19" h="19">
                                <a:moveTo>
                                  <a:pt x="4" y="0"/>
                                </a:moveTo>
                                <a:cubicBezTo>
                                  <a:pt x="4" y="0"/>
                                  <a:pt x="2" y="17"/>
                                  <a:pt x="18" y="13"/>
                                </a:cubicBezTo>
                                <a:lnTo>
                                  <a:pt x="19" y="14"/>
                                </a:lnTo>
                                <a:cubicBezTo>
                                  <a:pt x="0" y="19"/>
                                  <a:pt x="3" y="0"/>
                                  <a:pt x="3" y="0"/>
                                </a:cubicBezTo>
                                <a:lnTo>
                                  <a:pt x="4" y="0"/>
                                </a:lnTo>
                                <a:close/>
                              </a:path>
                            </a:pathLst>
                          </a:custGeom>
                          <a:solidFill>
                            <a:srgbClr val="24211D"/>
                          </a:solidFill>
                          <a:ln w="9525">
                            <a:noFill/>
                            <a:round/>
                            <a:headEnd/>
                            <a:tailEnd/>
                          </a:ln>
                        </wps:spPr>
                        <wps:bodyPr/>
                      </wps:wsp>
                      <wps:wsp>
                        <wps:cNvPr id="154" name="Freeform 88"/>
                        <wps:cNvSpPr>
                          <a:spLocks/>
                        </wps:cNvSpPr>
                        <wps:spPr bwMode="auto">
                          <a:xfrm>
                            <a:off x="45" y="452"/>
                            <a:ext cx="10" cy="12"/>
                          </a:xfrm>
                          <a:custGeom>
                            <a:avLst/>
                            <a:gdLst/>
                            <a:ahLst/>
                            <a:cxnLst>
                              <a:cxn ang="0">
                                <a:pos x="2" y="0"/>
                              </a:cxn>
                              <a:cxn ang="0">
                                <a:pos x="12" y="10"/>
                              </a:cxn>
                              <a:cxn ang="0">
                                <a:pos x="12" y="11"/>
                              </a:cxn>
                              <a:cxn ang="0">
                                <a:pos x="1" y="0"/>
                              </a:cxn>
                              <a:cxn ang="0">
                                <a:pos x="2" y="0"/>
                              </a:cxn>
                            </a:cxnLst>
                            <a:rect l="0" t="0" r="r" b="b"/>
                            <a:pathLst>
                              <a:path w="12" h="14">
                                <a:moveTo>
                                  <a:pt x="2" y="0"/>
                                </a:moveTo>
                                <a:cubicBezTo>
                                  <a:pt x="2" y="0"/>
                                  <a:pt x="1" y="13"/>
                                  <a:pt x="12" y="10"/>
                                </a:cubicBezTo>
                                <a:lnTo>
                                  <a:pt x="12" y="11"/>
                                </a:lnTo>
                                <a:cubicBezTo>
                                  <a:pt x="0" y="14"/>
                                  <a:pt x="1" y="0"/>
                                  <a:pt x="1" y="0"/>
                                </a:cubicBezTo>
                                <a:lnTo>
                                  <a:pt x="2" y="0"/>
                                </a:lnTo>
                                <a:close/>
                              </a:path>
                            </a:pathLst>
                          </a:custGeom>
                          <a:solidFill>
                            <a:srgbClr val="24211D"/>
                          </a:solidFill>
                          <a:ln w="9525">
                            <a:noFill/>
                            <a:round/>
                            <a:headEnd/>
                            <a:tailEnd/>
                          </a:ln>
                        </wps:spPr>
                        <wps:bodyPr/>
                      </wps:wsp>
                      <wps:wsp>
                        <wps:cNvPr id="155" name="Freeform 89"/>
                        <wps:cNvSpPr>
                          <a:spLocks noEditPoints="1"/>
                        </wps:cNvSpPr>
                        <wps:spPr bwMode="auto">
                          <a:xfrm>
                            <a:off x="237" y="121"/>
                            <a:ext cx="8" cy="8"/>
                          </a:xfrm>
                          <a:custGeom>
                            <a:avLst/>
                            <a:gdLst/>
                            <a:ahLst/>
                            <a:cxnLst>
                              <a:cxn ang="0">
                                <a:pos x="5" y="0"/>
                              </a:cxn>
                              <a:cxn ang="0">
                                <a:pos x="5" y="1"/>
                              </a:cxn>
                              <a:cxn ang="0">
                                <a:pos x="5" y="0"/>
                              </a:cxn>
                              <a:cxn ang="0">
                                <a:pos x="8" y="2"/>
                              </a:cxn>
                              <a:cxn ang="0">
                                <a:pos x="5" y="0"/>
                              </a:cxn>
                              <a:cxn ang="0">
                                <a:pos x="10" y="5"/>
                              </a:cxn>
                              <a:cxn ang="0">
                                <a:pos x="8" y="2"/>
                              </a:cxn>
                              <a:cxn ang="0">
                                <a:pos x="10" y="5"/>
                              </a:cxn>
                              <a:cxn ang="0">
                                <a:pos x="9" y="5"/>
                              </a:cxn>
                              <a:cxn ang="0">
                                <a:pos x="10" y="5"/>
                              </a:cxn>
                              <a:cxn ang="0">
                                <a:pos x="10" y="5"/>
                              </a:cxn>
                              <a:cxn ang="0">
                                <a:pos x="9" y="5"/>
                              </a:cxn>
                              <a:cxn ang="0">
                                <a:pos x="10" y="5"/>
                              </a:cxn>
                              <a:cxn ang="0">
                                <a:pos x="8" y="7"/>
                              </a:cxn>
                              <a:cxn ang="0">
                                <a:pos x="10" y="5"/>
                              </a:cxn>
                              <a:cxn ang="0">
                                <a:pos x="5" y="10"/>
                              </a:cxn>
                              <a:cxn ang="0">
                                <a:pos x="8" y="7"/>
                              </a:cxn>
                              <a:cxn ang="0">
                                <a:pos x="5" y="10"/>
                              </a:cxn>
                              <a:cxn ang="0">
                                <a:pos x="5" y="9"/>
                              </a:cxn>
                              <a:cxn ang="0">
                                <a:pos x="5" y="10"/>
                              </a:cxn>
                              <a:cxn ang="0">
                                <a:pos x="5" y="10"/>
                              </a:cxn>
                              <a:cxn ang="0">
                                <a:pos x="5" y="9"/>
                              </a:cxn>
                              <a:cxn ang="0">
                                <a:pos x="5" y="10"/>
                              </a:cxn>
                              <a:cxn ang="0">
                                <a:pos x="2" y="7"/>
                              </a:cxn>
                              <a:cxn ang="0">
                                <a:pos x="5" y="10"/>
                              </a:cxn>
                              <a:cxn ang="0">
                                <a:pos x="0" y="5"/>
                              </a:cxn>
                              <a:cxn ang="0">
                                <a:pos x="2" y="7"/>
                              </a:cxn>
                              <a:cxn ang="0">
                                <a:pos x="0" y="5"/>
                              </a:cxn>
                              <a:cxn ang="0">
                                <a:pos x="1" y="5"/>
                              </a:cxn>
                              <a:cxn ang="0">
                                <a:pos x="0" y="5"/>
                              </a:cxn>
                              <a:cxn ang="0">
                                <a:pos x="0" y="5"/>
                              </a:cxn>
                              <a:cxn ang="0">
                                <a:pos x="1" y="5"/>
                              </a:cxn>
                              <a:cxn ang="0">
                                <a:pos x="0" y="5"/>
                              </a:cxn>
                              <a:cxn ang="0">
                                <a:pos x="2" y="2"/>
                              </a:cxn>
                              <a:cxn ang="0">
                                <a:pos x="0" y="5"/>
                              </a:cxn>
                              <a:cxn ang="0">
                                <a:pos x="5" y="0"/>
                              </a:cxn>
                              <a:cxn ang="0">
                                <a:pos x="2" y="2"/>
                              </a:cxn>
                              <a:cxn ang="0">
                                <a:pos x="5" y="0"/>
                              </a:cxn>
                              <a:cxn ang="0">
                                <a:pos x="5" y="1"/>
                              </a:cxn>
                              <a:cxn ang="0">
                                <a:pos x="5" y="0"/>
                              </a:cxn>
                            </a:cxnLst>
                            <a:rect l="0" t="0" r="r" b="b"/>
                            <a:pathLst>
                              <a:path w="10" h="10">
                                <a:moveTo>
                                  <a:pt x="5" y="0"/>
                                </a:moveTo>
                                <a:lnTo>
                                  <a:pt x="5" y="0"/>
                                </a:lnTo>
                                <a:lnTo>
                                  <a:pt x="5" y="1"/>
                                </a:lnTo>
                                <a:lnTo>
                                  <a:pt x="5" y="1"/>
                                </a:lnTo>
                                <a:lnTo>
                                  <a:pt x="5" y="0"/>
                                </a:lnTo>
                                <a:close/>
                                <a:moveTo>
                                  <a:pt x="5" y="0"/>
                                </a:moveTo>
                                <a:cubicBezTo>
                                  <a:pt x="6" y="0"/>
                                  <a:pt x="8" y="0"/>
                                  <a:pt x="9" y="1"/>
                                </a:cubicBezTo>
                                <a:lnTo>
                                  <a:pt x="8" y="2"/>
                                </a:lnTo>
                                <a:cubicBezTo>
                                  <a:pt x="7" y="1"/>
                                  <a:pt x="6" y="1"/>
                                  <a:pt x="5" y="1"/>
                                </a:cubicBezTo>
                                <a:lnTo>
                                  <a:pt x="5" y="0"/>
                                </a:lnTo>
                                <a:close/>
                                <a:moveTo>
                                  <a:pt x="9" y="1"/>
                                </a:moveTo>
                                <a:cubicBezTo>
                                  <a:pt x="9" y="2"/>
                                  <a:pt x="10" y="3"/>
                                  <a:pt x="10" y="5"/>
                                </a:cubicBezTo>
                                <a:lnTo>
                                  <a:pt x="9" y="5"/>
                                </a:lnTo>
                                <a:cubicBezTo>
                                  <a:pt x="9" y="4"/>
                                  <a:pt x="8" y="3"/>
                                  <a:pt x="8" y="2"/>
                                </a:cubicBezTo>
                                <a:lnTo>
                                  <a:pt x="9" y="1"/>
                                </a:lnTo>
                                <a:close/>
                                <a:moveTo>
                                  <a:pt x="10" y="5"/>
                                </a:moveTo>
                                <a:lnTo>
                                  <a:pt x="10" y="5"/>
                                </a:lnTo>
                                <a:lnTo>
                                  <a:pt x="9" y="5"/>
                                </a:lnTo>
                                <a:lnTo>
                                  <a:pt x="9" y="5"/>
                                </a:lnTo>
                                <a:lnTo>
                                  <a:pt x="10" y="5"/>
                                </a:lnTo>
                                <a:close/>
                                <a:moveTo>
                                  <a:pt x="10" y="5"/>
                                </a:moveTo>
                                <a:lnTo>
                                  <a:pt x="10" y="5"/>
                                </a:lnTo>
                                <a:lnTo>
                                  <a:pt x="9" y="5"/>
                                </a:lnTo>
                                <a:lnTo>
                                  <a:pt x="9" y="5"/>
                                </a:lnTo>
                                <a:lnTo>
                                  <a:pt x="10" y="5"/>
                                </a:lnTo>
                                <a:close/>
                                <a:moveTo>
                                  <a:pt x="10" y="5"/>
                                </a:moveTo>
                                <a:cubicBezTo>
                                  <a:pt x="10" y="6"/>
                                  <a:pt x="9" y="7"/>
                                  <a:pt x="9" y="8"/>
                                </a:cubicBezTo>
                                <a:lnTo>
                                  <a:pt x="8" y="7"/>
                                </a:lnTo>
                                <a:cubicBezTo>
                                  <a:pt x="8" y="7"/>
                                  <a:pt x="9" y="6"/>
                                  <a:pt x="9" y="5"/>
                                </a:cubicBezTo>
                                <a:lnTo>
                                  <a:pt x="10" y="5"/>
                                </a:lnTo>
                                <a:close/>
                                <a:moveTo>
                                  <a:pt x="9" y="8"/>
                                </a:moveTo>
                                <a:cubicBezTo>
                                  <a:pt x="8" y="9"/>
                                  <a:pt x="6" y="10"/>
                                  <a:pt x="5" y="10"/>
                                </a:cubicBezTo>
                                <a:lnTo>
                                  <a:pt x="5" y="9"/>
                                </a:lnTo>
                                <a:cubicBezTo>
                                  <a:pt x="6" y="9"/>
                                  <a:pt x="7" y="8"/>
                                  <a:pt x="8" y="7"/>
                                </a:cubicBezTo>
                                <a:lnTo>
                                  <a:pt x="9" y="8"/>
                                </a:lnTo>
                                <a:close/>
                                <a:moveTo>
                                  <a:pt x="5" y="10"/>
                                </a:moveTo>
                                <a:lnTo>
                                  <a:pt x="5" y="10"/>
                                </a:lnTo>
                                <a:lnTo>
                                  <a:pt x="5" y="9"/>
                                </a:lnTo>
                                <a:lnTo>
                                  <a:pt x="5" y="9"/>
                                </a:lnTo>
                                <a:lnTo>
                                  <a:pt x="5" y="10"/>
                                </a:lnTo>
                                <a:close/>
                                <a:moveTo>
                                  <a:pt x="5" y="10"/>
                                </a:moveTo>
                                <a:lnTo>
                                  <a:pt x="5" y="10"/>
                                </a:lnTo>
                                <a:lnTo>
                                  <a:pt x="5" y="9"/>
                                </a:lnTo>
                                <a:lnTo>
                                  <a:pt x="5" y="9"/>
                                </a:lnTo>
                                <a:lnTo>
                                  <a:pt x="5" y="10"/>
                                </a:lnTo>
                                <a:close/>
                                <a:moveTo>
                                  <a:pt x="5" y="10"/>
                                </a:moveTo>
                                <a:cubicBezTo>
                                  <a:pt x="4" y="10"/>
                                  <a:pt x="2" y="9"/>
                                  <a:pt x="1" y="8"/>
                                </a:cubicBezTo>
                                <a:lnTo>
                                  <a:pt x="2" y="7"/>
                                </a:lnTo>
                                <a:cubicBezTo>
                                  <a:pt x="3" y="8"/>
                                  <a:pt x="4" y="9"/>
                                  <a:pt x="5" y="9"/>
                                </a:cubicBezTo>
                                <a:lnTo>
                                  <a:pt x="5" y="10"/>
                                </a:lnTo>
                                <a:close/>
                                <a:moveTo>
                                  <a:pt x="1" y="8"/>
                                </a:moveTo>
                                <a:cubicBezTo>
                                  <a:pt x="0" y="7"/>
                                  <a:pt x="0" y="6"/>
                                  <a:pt x="0" y="5"/>
                                </a:cubicBezTo>
                                <a:lnTo>
                                  <a:pt x="1" y="5"/>
                                </a:lnTo>
                                <a:cubicBezTo>
                                  <a:pt x="1" y="6"/>
                                  <a:pt x="1" y="7"/>
                                  <a:pt x="2" y="7"/>
                                </a:cubicBezTo>
                                <a:lnTo>
                                  <a:pt x="1" y="8"/>
                                </a:lnTo>
                                <a:close/>
                                <a:moveTo>
                                  <a:pt x="0" y="5"/>
                                </a:moveTo>
                                <a:lnTo>
                                  <a:pt x="0" y="5"/>
                                </a:lnTo>
                                <a:lnTo>
                                  <a:pt x="1" y="5"/>
                                </a:lnTo>
                                <a:lnTo>
                                  <a:pt x="1" y="5"/>
                                </a:lnTo>
                                <a:lnTo>
                                  <a:pt x="0" y="5"/>
                                </a:lnTo>
                                <a:close/>
                                <a:moveTo>
                                  <a:pt x="0" y="5"/>
                                </a:moveTo>
                                <a:lnTo>
                                  <a:pt x="0" y="5"/>
                                </a:lnTo>
                                <a:lnTo>
                                  <a:pt x="1" y="5"/>
                                </a:lnTo>
                                <a:lnTo>
                                  <a:pt x="1" y="5"/>
                                </a:lnTo>
                                <a:lnTo>
                                  <a:pt x="0" y="5"/>
                                </a:lnTo>
                                <a:close/>
                                <a:moveTo>
                                  <a:pt x="0" y="5"/>
                                </a:moveTo>
                                <a:cubicBezTo>
                                  <a:pt x="0" y="3"/>
                                  <a:pt x="0" y="2"/>
                                  <a:pt x="1" y="1"/>
                                </a:cubicBezTo>
                                <a:lnTo>
                                  <a:pt x="2" y="2"/>
                                </a:lnTo>
                                <a:cubicBezTo>
                                  <a:pt x="1" y="3"/>
                                  <a:pt x="1" y="4"/>
                                  <a:pt x="1" y="5"/>
                                </a:cubicBezTo>
                                <a:lnTo>
                                  <a:pt x="0" y="5"/>
                                </a:lnTo>
                                <a:close/>
                                <a:moveTo>
                                  <a:pt x="1" y="1"/>
                                </a:moveTo>
                                <a:cubicBezTo>
                                  <a:pt x="2" y="0"/>
                                  <a:pt x="3" y="0"/>
                                  <a:pt x="5" y="0"/>
                                </a:cubicBezTo>
                                <a:lnTo>
                                  <a:pt x="5" y="1"/>
                                </a:lnTo>
                                <a:cubicBezTo>
                                  <a:pt x="4" y="1"/>
                                  <a:pt x="3" y="1"/>
                                  <a:pt x="2" y="2"/>
                                </a:cubicBezTo>
                                <a:lnTo>
                                  <a:pt x="1" y="1"/>
                                </a:lnTo>
                                <a:close/>
                                <a:moveTo>
                                  <a:pt x="5" y="0"/>
                                </a:moveTo>
                                <a:lnTo>
                                  <a:pt x="5" y="0"/>
                                </a:lnTo>
                                <a:lnTo>
                                  <a:pt x="5" y="1"/>
                                </a:lnTo>
                                <a:lnTo>
                                  <a:pt x="5" y="1"/>
                                </a:lnTo>
                                <a:lnTo>
                                  <a:pt x="5" y="0"/>
                                </a:lnTo>
                                <a:close/>
                              </a:path>
                            </a:pathLst>
                          </a:custGeom>
                          <a:solidFill>
                            <a:srgbClr val="24211D"/>
                          </a:solidFill>
                          <a:ln w="9525">
                            <a:noFill/>
                            <a:round/>
                            <a:headEnd/>
                            <a:tailEnd/>
                          </a:ln>
                        </wps:spPr>
                        <wps:bodyPr/>
                      </wps:wsp>
                      <wps:wsp>
                        <wps:cNvPr id="156" name="Freeform 90"/>
                        <wps:cNvSpPr>
                          <a:spLocks noEditPoints="1"/>
                        </wps:cNvSpPr>
                        <wps:spPr bwMode="auto">
                          <a:xfrm>
                            <a:off x="229" y="130"/>
                            <a:ext cx="25" cy="12"/>
                          </a:xfrm>
                          <a:custGeom>
                            <a:avLst/>
                            <a:gdLst/>
                            <a:ahLst/>
                            <a:cxnLst>
                              <a:cxn ang="0">
                                <a:pos x="1" y="0"/>
                              </a:cxn>
                              <a:cxn ang="0">
                                <a:pos x="4" y="7"/>
                              </a:cxn>
                              <a:cxn ang="0">
                                <a:pos x="3" y="8"/>
                              </a:cxn>
                              <a:cxn ang="0">
                                <a:pos x="0" y="0"/>
                              </a:cxn>
                              <a:cxn ang="0">
                                <a:pos x="1" y="0"/>
                              </a:cxn>
                              <a:cxn ang="0">
                                <a:pos x="4" y="8"/>
                              </a:cxn>
                              <a:cxn ang="0">
                                <a:pos x="3" y="8"/>
                              </a:cxn>
                              <a:cxn ang="0">
                                <a:pos x="3" y="8"/>
                              </a:cxn>
                              <a:cxn ang="0">
                                <a:pos x="4" y="7"/>
                              </a:cxn>
                              <a:cxn ang="0">
                                <a:pos x="4" y="8"/>
                              </a:cxn>
                              <a:cxn ang="0">
                                <a:pos x="3" y="7"/>
                              </a:cxn>
                              <a:cxn ang="0">
                                <a:pos x="9" y="3"/>
                              </a:cxn>
                              <a:cxn ang="0">
                                <a:pos x="10" y="4"/>
                              </a:cxn>
                              <a:cxn ang="0">
                                <a:pos x="4" y="8"/>
                              </a:cxn>
                              <a:cxn ang="0">
                                <a:pos x="3" y="7"/>
                              </a:cxn>
                              <a:cxn ang="0">
                                <a:pos x="9" y="3"/>
                              </a:cxn>
                              <a:cxn ang="0">
                                <a:pos x="10" y="2"/>
                              </a:cxn>
                              <a:cxn ang="0">
                                <a:pos x="11" y="3"/>
                              </a:cxn>
                              <a:cxn ang="0">
                                <a:pos x="10" y="3"/>
                              </a:cxn>
                              <a:cxn ang="0">
                                <a:pos x="9" y="3"/>
                              </a:cxn>
                              <a:cxn ang="0">
                                <a:pos x="11" y="3"/>
                              </a:cxn>
                              <a:cxn ang="0">
                                <a:pos x="16" y="13"/>
                              </a:cxn>
                              <a:cxn ang="0">
                                <a:pos x="15" y="14"/>
                              </a:cxn>
                              <a:cxn ang="0">
                                <a:pos x="9" y="3"/>
                              </a:cxn>
                              <a:cxn ang="0">
                                <a:pos x="11" y="3"/>
                              </a:cxn>
                              <a:cxn ang="0">
                                <a:pos x="16" y="14"/>
                              </a:cxn>
                              <a:cxn ang="0">
                                <a:pos x="15" y="14"/>
                              </a:cxn>
                              <a:cxn ang="0">
                                <a:pos x="15" y="14"/>
                              </a:cxn>
                              <a:cxn ang="0">
                                <a:pos x="15" y="13"/>
                              </a:cxn>
                              <a:cxn ang="0">
                                <a:pos x="16" y="14"/>
                              </a:cxn>
                              <a:cxn ang="0">
                                <a:pos x="15" y="13"/>
                              </a:cxn>
                              <a:cxn ang="0">
                                <a:pos x="20" y="3"/>
                              </a:cxn>
                              <a:cxn ang="0">
                                <a:pos x="21" y="4"/>
                              </a:cxn>
                              <a:cxn ang="0">
                                <a:pos x="16" y="14"/>
                              </a:cxn>
                              <a:cxn ang="0">
                                <a:pos x="15" y="13"/>
                              </a:cxn>
                              <a:cxn ang="0">
                                <a:pos x="20" y="3"/>
                              </a:cxn>
                              <a:cxn ang="0">
                                <a:pos x="20" y="2"/>
                              </a:cxn>
                              <a:cxn ang="0">
                                <a:pos x="21" y="3"/>
                              </a:cxn>
                              <a:cxn ang="0">
                                <a:pos x="20" y="3"/>
                              </a:cxn>
                              <a:cxn ang="0">
                                <a:pos x="21" y="3"/>
                              </a:cxn>
                              <a:cxn ang="0">
                                <a:pos x="27" y="7"/>
                              </a:cxn>
                              <a:cxn ang="0">
                                <a:pos x="26" y="8"/>
                              </a:cxn>
                              <a:cxn ang="0">
                                <a:pos x="20" y="4"/>
                              </a:cxn>
                              <a:cxn ang="0">
                                <a:pos x="21" y="3"/>
                              </a:cxn>
                              <a:cxn ang="0">
                                <a:pos x="27" y="8"/>
                              </a:cxn>
                              <a:cxn ang="0">
                                <a:pos x="27" y="8"/>
                              </a:cxn>
                              <a:cxn ang="0">
                                <a:pos x="26" y="8"/>
                              </a:cxn>
                              <a:cxn ang="0">
                                <a:pos x="26" y="7"/>
                              </a:cxn>
                              <a:cxn ang="0">
                                <a:pos x="27" y="8"/>
                              </a:cxn>
                              <a:cxn ang="0">
                                <a:pos x="26" y="7"/>
                              </a:cxn>
                              <a:cxn ang="0">
                                <a:pos x="29" y="0"/>
                              </a:cxn>
                              <a:cxn ang="0">
                                <a:pos x="30" y="0"/>
                              </a:cxn>
                              <a:cxn ang="0">
                                <a:pos x="27" y="8"/>
                              </a:cxn>
                              <a:cxn ang="0">
                                <a:pos x="26" y="7"/>
                              </a:cxn>
                            </a:cxnLst>
                            <a:rect l="0" t="0" r="r" b="b"/>
                            <a:pathLst>
                              <a:path w="30" h="14">
                                <a:moveTo>
                                  <a:pt x="1" y="0"/>
                                </a:moveTo>
                                <a:cubicBezTo>
                                  <a:pt x="1" y="0"/>
                                  <a:pt x="1" y="4"/>
                                  <a:pt x="4" y="7"/>
                                </a:cubicBezTo>
                                <a:lnTo>
                                  <a:pt x="3" y="8"/>
                                </a:lnTo>
                                <a:cubicBezTo>
                                  <a:pt x="0" y="4"/>
                                  <a:pt x="0" y="0"/>
                                  <a:pt x="0" y="0"/>
                                </a:cubicBezTo>
                                <a:lnTo>
                                  <a:pt x="1" y="0"/>
                                </a:lnTo>
                                <a:close/>
                                <a:moveTo>
                                  <a:pt x="4" y="8"/>
                                </a:moveTo>
                                <a:lnTo>
                                  <a:pt x="3" y="8"/>
                                </a:lnTo>
                                <a:lnTo>
                                  <a:pt x="3" y="8"/>
                                </a:lnTo>
                                <a:lnTo>
                                  <a:pt x="4" y="7"/>
                                </a:lnTo>
                                <a:lnTo>
                                  <a:pt x="4" y="8"/>
                                </a:lnTo>
                                <a:close/>
                                <a:moveTo>
                                  <a:pt x="3" y="7"/>
                                </a:moveTo>
                                <a:cubicBezTo>
                                  <a:pt x="7" y="5"/>
                                  <a:pt x="9" y="3"/>
                                  <a:pt x="9" y="3"/>
                                </a:cubicBezTo>
                                <a:lnTo>
                                  <a:pt x="10" y="4"/>
                                </a:lnTo>
                                <a:cubicBezTo>
                                  <a:pt x="10" y="4"/>
                                  <a:pt x="8" y="6"/>
                                  <a:pt x="4" y="8"/>
                                </a:cubicBezTo>
                                <a:lnTo>
                                  <a:pt x="3" y="7"/>
                                </a:lnTo>
                                <a:close/>
                                <a:moveTo>
                                  <a:pt x="9" y="3"/>
                                </a:moveTo>
                                <a:lnTo>
                                  <a:pt x="10" y="2"/>
                                </a:lnTo>
                                <a:lnTo>
                                  <a:pt x="11" y="3"/>
                                </a:lnTo>
                                <a:lnTo>
                                  <a:pt x="10" y="3"/>
                                </a:lnTo>
                                <a:lnTo>
                                  <a:pt x="9" y="3"/>
                                </a:lnTo>
                                <a:close/>
                                <a:moveTo>
                                  <a:pt x="11" y="3"/>
                                </a:moveTo>
                                <a:cubicBezTo>
                                  <a:pt x="11" y="9"/>
                                  <a:pt x="16" y="13"/>
                                  <a:pt x="16" y="13"/>
                                </a:cubicBezTo>
                                <a:lnTo>
                                  <a:pt x="15" y="14"/>
                                </a:lnTo>
                                <a:cubicBezTo>
                                  <a:pt x="15" y="14"/>
                                  <a:pt x="10" y="10"/>
                                  <a:pt x="9" y="3"/>
                                </a:cubicBezTo>
                                <a:lnTo>
                                  <a:pt x="11" y="3"/>
                                </a:lnTo>
                                <a:close/>
                                <a:moveTo>
                                  <a:pt x="16" y="14"/>
                                </a:moveTo>
                                <a:lnTo>
                                  <a:pt x="15" y="14"/>
                                </a:lnTo>
                                <a:lnTo>
                                  <a:pt x="15" y="14"/>
                                </a:lnTo>
                                <a:lnTo>
                                  <a:pt x="15" y="13"/>
                                </a:lnTo>
                                <a:lnTo>
                                  <a:pt x="16" y="14"/>
                                </a:lnTo>
                                <a:close/>
                                <a:moveTo>
                                  <a:pt x="15" y="13"/>
                                </a:moveTo>
                                <a:cubicBezTo>
                                  <a:pt x="15" y="13"/>
                                  <a:pt x="19" y="9"/>
                                  <a:pt x="20" y="3"/>
                                </a:cubicBezTo>
                                <a:lnTo>
                                  <a:pt x="21" y="4"/>
                                </a:lnTo>
                                <a:cubicBezTo>
                                  <a:pt x="20" y="10"/>
                                  <a:pt x="16" y="14"/>
                                  <a:pt x="16" y="14"/>
                                </a:cubicBezTo>
                                <a:lnTo>
                                  <a:pt x="15" y="13"/>
                                </a:lnTo>
                                <a:close/>
                                <a:moveTo>
                                  <a:pt x="20" y="3"/>
                                </a:moveTo>
                                <a:lnTo>
                                  <a:pt x="20" y="2"/>
                                </a:lnTo>
                                <a:lnTo>
                                  <a:pt x="21" y="3"/>
                                </a:lnTo>
                                <a:lnTo>
                                  <a:pt x="20" y="3"/>
                                </a:lnTo>
                                <a:close/>
                                <a:moveTo>
                                  <a:pt x="21" y="3"/>
                                </a:moveTo>
                                <a:cubicBezTo>
                                  <a:pt x="21" y="3"/>
                                  <a:pt x="23" y="5"/>
                                  <a:pt x="27" y="7"/>
                                </a:cubicBezTo>
                                <a:lnTo>
                                  <a:pt x="26" y="8"/>
                                </a:lnTo>
                                <a:cubicBezTo>
                                  <a:pt x="22" y="7"/>
                                  <a:pt x="20" y="4"/>
                                  <a:pt x="20" y="4"/>
                                </a:cubicBezTo>
                                <a:lnTo>
                                  <a:pt x="21" y="3"/>
                                </a:lnTo>
                                <a:close/>
                                <a:moveTo>
                                  <a:pt x="27" y="8"/>
                                </a:moveTo>
                                <a:lnTo>
                                  <a:pt x="27" y="8"/>
                                </a:lnTo>
                                <a:lnTo>
                                  <a:pt x="26" y="8"/>
                                </a:lnTo>
                                <a:lnTo>
                                  <a:pt x="26" y="7"/>
                                </a:lnTo>
                                <a:lnTo>
                                  <a:pt x="27" y="8"/>
                                </a:lnTo>
                                <a:close/>
                                <a:moveTo>
                                  <a:pt x="26" y="7"/>
                                </a:moveTo>
                                <a:cubicBezTo>
                                  <a:pt x="29" y="4"/>
                                  <a:pt x="29" y="0"/>
                                  <a:pt x="29" y="0"/>
                                </a:cubicBezTo>
                                <a:lnTo>
                                  <a:pt x="30" y="0"/>
                                </a:lnTo>
                                <a:cubicBezTo>
                                  <a:pt x="30" y="0"/>
                                  <a:pt x="30" y="4"/>
                                  <a:pt x="27" y="8"/>
                                </a:cubicBezTo>
                                <a:lnTo>
                                  <a:pt x="26" y="7"/>
                                </a:lnTo>
                                <a:close/>
                              </a:path>
                            </a:pathLst>
                          </a:custGeom>
                          <a:solidFill>
                            <a:srgbClr val="24211D"/>
                          </a:solidFill>
                          <a:ln w="9525">
                            <a:noFill/>
                            <a:round/>
                            <a:headEnd/>
                            <a:tailEnd/>
                          </a:ln>
                        </wps:spPr>
                        <wps:bodyPr/>
                      </wps:wsp>
                      <wps:wsp>
                        <wps:cNvPr id="157" name="Freeform 91"/>
                        <wps:cNvSpPr>
                          <a:spLocks noEditPoints="1"/>
                        </wps:cNvSpPr>
                        <wps:spPr bwMode="auto">
                          <a:xfrm>
                            <a:off x="237" y="579"/>
                            <a:ext cx="10" cy="17"/>
                          </a:xfrm>
                          <a:custGeom>
                            <a:avLst/>
                            <a:gdLst/>
                            <a:ahLst/>
                            <a:cxnLst>
                              <a:cxn ang="0">
                                <a:pos x="0" y="6"/>
                              </a:cxn>
                              <a:cxn ang="0">
                                <a:pos x="6" y="19"/>
                              </a:cxn>
                              <a:cxn ang="0">
                                <a:pos x="2" y="6"/>
                              </a:cxn>
                              <a:cxn ang="0">
                                <a:pos x="1" y="6"/>
                              </a:cxn>
                              <a:cxn ang="0">
                                <a:pos x="0" y="6"/>
                              </a:cxn>
                              <a:cxn ang="0">
                                <a:pos x="2" y="6"/>
                              </a:cxn>
                              <a:cxn ang="0">
                                <a:pos x="0" y="6"/>
                              </a:cxn>
                              <a:cxn ang="0">
                                <a:pos x="2" y="6"/>
                              </a:cxn>
                              <a:cxn ang="0">
                                <a:pos x="2" y="6"/>
                              </a:cxn>
                              <a:cxn ang="0">
                                <a:pos x="1" y="4"/>
                              </a:cxn>
                              <a:cxn ang="0">
                                <a:pos x="2" y="6"/>
                              </a:cxn>
                              <a:cxn ang="0">
                                <a:pos x="1" y="4"/>
                              </a:cxn>
                              <a:cxn ang="0">
                                <a:pos x="2" y="4"/>
                              </a:cxn>
                              <a:cxn ang="0">
                                <a:pos x="1" y="4"/>
                              </a:cxn>
                              <a:cxn ang="0">
                                <a:pos x="6" y="0"/>
                              </a:cxn>
                              <a:cxn ang="0">
                                <a:pos x="2" y="4"/>
                              </a:cxn>
                              <a:cxn ang="0">
                                <a:pos x="6" y="0"/>
                              </a:cxn>
                              <a:cxn ang="0">
                                <a:pos x="6" y="1"/>
                              </a:cxn>
                              <a:cxn ang="0">
                                <a:pos x="6" y="0"/>
                              </a:cxn>
                              <a:cxn ang="0">
                                <a:pos x="10" y="2"/>
                              </a:cxn>
                              <a:cxn ang="0">
                                <a:pos x="6" y="1"/>
                              </a:cxn>
                              <a:cxn ang="0">
                                <a:pos x="10" y="2"/>
                              </a:cxn>
                              <a:cxn ang="0">
                                <a:pos x="10" y="6"/>
                              </a:cxn>
                              <a:cxn ang="0">
                                <a:pos x="10" y="2"/>
                              </a:cxn>
                              <a:cxn ang="0">
                                <a:pos x="12" y="6"/>
                              </a:cxn>
                              <a:cxn ang="0">
                                <a:pos x="10" y="6"/>
                              </a:cxn>
                              <a:cxn ang="0">
                                <a:pos x="10" y="6"/>
                              </a:cxn>
                              <a:cxn ang="0">
                                <a:pos x="11" y="6"/>
                              </a:cxn>
                              <a:cxn ang="0">
                                <a:pos x="12" y="6"/>
                              </a:cxn>
                              <a:cxn ang="0">
                                <a:pos x="5" y="19"/>
                              </a:cxn>
                              <a:cxn ang="0">
                                <a:pos x="12" y="6"/>
                              </a:cxn>
                              <a:cxn ang="0">
                                <a:pos x="6" y="20"/>
                              </a:cxn>
                              <a:cxn ang="0">
                                <a:pos x="6" y="20"/>
                              </a:cxn>
                            </a:cxnLst>
                            <a:rect l="0" t="0" r="r" b="b"/>
                            <a:pathLst>
                              <a:path w="12" h="20">
                                <a:moveTo>
                                  <a:pt x="5" y="20"/>
                                </a:moveTo>
                                <a:cubicBezTo>
                                  <a:pt x="0" y="16"/>
                                  <a:pt x="0" y="6"/>
                                  <a:pt x="0" y="6"/>
                                </a:cubicBezTo>
                                <a:lnTo>
                                  <a:pt x="2" y="6"/>
                                </a:lnTo>
                                <a:cubicBezTo>
                                  <a:pt x="2" y="6"/>
                                  <a:pt x="1" y="15"/>
                                  <a:pt x="6" y="19"/>
                                </a:cubicBezTo>
                                <a:lnTo>
                                  <a:pt x="5" y="20"/>
                                </a:lnTo>
                                <a:close/>
                                <a:moveTo>
                                  <a:pt x="2" y="6"/>
                                </a:moveTo>
                                <a:lnTo>
                                  <a:pt x="2" y="6"/>
                                </a:lnTo>
                                <a:lnTo>
                                  <a:pt x="1" y="6"/>
                                </a:lnTo>
                                <a:lnTo>
                                  <a:pt x="2" y="6"/>
                                </a:lnTo>
                                <a:close/>
                                <a:moveTo>
                                  <a:pt x="0" y="6"/>
                                </a:moveTo>
                                <a:cubicBezTo>
                                  <a:pt x="0" y="6"/>
                                  <a:pt x="0" y="6"/>
                                  <a:pt x="0" y="6"/>
                                </a:cubicBezTo>
                                <a:lnTo>
                                  <a:pt x="2" y="6"/>
                                </a:lnTo>
                                <a:cubicBezTo>
                                  <a:pt x="2" y="6"/>
                                  <a:pt x="2" y="6"/>
                                  <a:pt x="2" y="6"/>
                                </a:cubicBezTo>
                                <a:lnTo>
                                  <a:pt x="0" y="6"/>
                                </a:lnTo>
                                <a:close/>
                                <a:moveTo>
                                  <a:pt x="2" y="6"/>
                                </a:moveTo>
                                <a:lnTo>
                                  <a:pt x="2" y="6"/>
                                </a:lnTo>
                                <a:lnTo>
                                  <a:pt x="1" y="6"/>
                                </a:lnTo>
                                <a:lnTo>
                                  <a:pt x="2" y="6"/>
                                </a:lnTo>
                                <a:close/>
                                <a:moveTo>
                                  <a:pt x="0" y="6"/>
                                </a:moveTo>
                                <a:cubicBezTo>
                                  <a:pt x="0" y="5"/>
                                  <a:pt x="0" y="5"/>
                                  <a:pt x="1" y="4"/>
                                </a:cubicBezTo>
                                <a:lnTo>
                                  <a:pt x="2" y="5"/>
                                </a:lnTo>
                                <a:cubicBezTo>
                                  <a:pt x="2" y="5"/>
                                  <a:pt x="2" y="5"/>
                                  <a:pt x="2" y="6"/>
                                </a:cubicBezTo>
                                <a:lnTo>
                                  <a:pt x="0" y="6"/>
                                </a:lnTo>
                                <a:close/>
                                <a:moveTo>
                                  <a:pt x="1" y="4"/>
                                </a:moveTo>
                                <a:cubicBezTo>
                                  <a:pt x="1" y="4"/>
                                  <a:pt x="1" y="4"/>
                                  <a:pt x="1" y="3"/>
                                </a:cubicBezTo>
                                <a:lnTo>
                                  <a:pt x="2" y="4"/>
                                </a:lnTo>
                                <a:cubicBezTo>
                                  <a:pt x="2" y="4"/>
                                  <a:pt x="2" y="4"/>
                                  <a:pt x="2" y="5"/>
                                </a:cubicBezTo>
                                <a:lnTo>
                                  <a:pt x="1" y="4"/>
                                </a:lnTo>
                                <a:close/>
                                <a:moveTo>
                                  <a:pt x="1" y="3"/>
                                </a:moveTo>
                                <a:cubicBezTo>
                                  <a:pt x="2" y="1"/>
                                  <a:pt x="4" y="0"/>
                                  <a:pt x="6" y="0"/>
                                </a:cubicBezTo>
                                <a:lnTo>
                                  <a:pt x="6" y="1"/>
                                </a:lnTo>
                                <a:cubicBezTo>
                                  <a:pt x="4" y="1"/>
                                  <a:pt x="3" y="2"/>
                                  <a:pt x="2" y="4"/>
                                </a:cubicBezTo>
                                <a:lnTo>
                                  <a:pt x="1" y="3"/>
                                </a:lnTo>
                                <a:close/>
                                <a:moveTo>
                                  <a:pt x="6" y="0"/>
                                </a:moveTo>
                                <a:lnTo>
                                  <a:pt x="6" y="0"/>
                                </a:lnTo>
                                <a:lnTo>
                                  <a:pt x="6" y="1"/>
                                </a:lnTo>
                                <a:lnTo>
                                  <a:pt x="6" y="1"/>
                                </a:lnTo>
                                <a:lnTo>
                                  <a:pt x="6" y="0"/>
                                </a:lnTo>
                                <a:close/>
                                <a:moveTo>
                                  <a:pt x="6" y="0"/>
                                </a:moveTo>
                                <a:cubicBezTo>
                                  <a:pt x="7" y="0"/>
                                  <a:pt x="9" y="1"/>
                                  <a:pt x="10" y="2"/>
                                </a:cubicBezTo>
                                <a:lnTo>
                                  <a:pt x="9" y="3"/>
                                </a:lnTo>
                                <a:cubicBezTo>
                                  <a:pt x="8" y="2"/>
                                  <a:pt x="7" y="1"/>
                                  <a:pt x="6" y="1"/>
                                </a:cubicBezTo>
                                <a:lnTo>
                                  <a:pt x="6" y="0"/>
                                </a:lnTo>
                                <a:close/>
                                <a:moveTo>
                                  <a:pt x="10" y="2"/>
                                </a:moveTo>
                                <a:cubicBezTo>
                                  <a:pt x="11" y="3"/>
                                  <a:pt x="12" y="4"/>
                                  <a:pt x="12" y="6"/>
                                </a:cubicBezTo>
                                <a:lnTo>
                                  <a:pt x="10" y="6"/>
                                </a:lnTo>
                                <a:cubicBezTo>
                                  <a:pt x="10" y="4"/>
                                  <a:pt x="10" y="3"/>
                                  <a:pt x="9" y="3"/>
                                </a:cubicBezTo>
                                <a:lnTo>
                                  <a:pt x="10" y="2"/>
                                </a:lnTo>
                                <a:close/>
                                <a:moveTo>
                                  <a:pt x="12" y="6"/>
                                </a:moveTo>
                                <a:lnTo>
                                  <a:pt x="12" y="6"/>
                                </a:lnTo>
                                <a:lnTo>
                                  <a:pt x="10" y="6"/>
                                </a:lnTo>
                                <a:lnTo>
                                  <a:pt x="10" y="6"/>
                                </a:lnTo>
                                <a:lnTo>
                                  <a:pt x="12" y="6"/>
                                </a:lnTo>
                                <a:close/>
                                <a:moveTo>
                                  <a:pt x="10" y="6"/>
                                </a:moveTo>
                                <a:lnTo>
                                  <a:pt x="10" y="6"/>
                                </a:lnTo>
                                <a:lnTo>
                                  <a:pt x="11" y="6"/>
                                </a:lnTo>
                                <a:lnTo>
                                  <a:pt x="10" y="6"/>
                                </a:lnTo>
                                <a:close/>
                                <a:moveTo>
                                  <a:pt x="12" y="6"/>
                                </a:moveTo>
                                <a:cubicBezTo>
                                  <a:pt x="12" y="6"/>
                                  <a:pt x="12" y="16"/>
                                  <a:pt x="6" y="20"/>
                                </a:cubicBezTo>
                                <a:lnTo>
                                  <a:pt x="5" y="19"/>
                                </a:lnTo>
                                <a:cubicBezTo>
                                  <a:pt x="11" y="15"/>
                                  <a:pt x="10" y="6"/>
                                  <a:pt x="10" y="6"/>
                                </a:cubicBezTo>
                                <a:lnTo>
                                  <a:pt x="12" y="6"/>
                                </a:lnTo>
                                <a:close/>
                                <a:moveTo>
                                  <a:pt x="6" y="20"/>
                                </a:moveTo>
                                <a:lnTo>
                                  <a:pt x="6" y="20"/>
                                </a:lnTo>
                                <a:lnTo>
                                  <a:pt x="5" y="20"/>
                                </a:lnTo>
                                <a:lnTo>
                                  <a:pt x="6" y="20"/>
                                </a:lnTo>
                                <a:close/>
                              </a:path>
                            </a:pathLst>
                          </a:custGeom>
                          <a:solidFill>
                            <a:srgbClr val="24211D"/>
                          </a:solidFill>
                          <a:ln w="9525">
                            <a:noFill/>
                            <a:round/>
                            <a:headEnd/>
                            <a:tailEnd/>
                          </a:ln>
                        </wps:spPr>
                        <wps:bodyPr/>
                      </wps:wsp>
                      <wps:wsp>
                        <wps:cNvPr id="158" name="Freeform 92"/>
                        <wps:cNvSpPr>
                          <a:spLocks/>
                        </wps:cNvSpPr>
                        <wps:spPr bwMode="auto">
                          <a:xfrm>
                            <a:off x="223" y="596"/>
                            <a:ext cx="6" cy="10"/>
                          </a:xfrm>
                          <a:custGeom>
                            <a:avLst/>
                            <a:gdLst/>
                            <a:ahLst/>
                            <a:cxnLst>
                              <a:cxn ang="0">
                                <a:pos x="1" y="0"/>
                              </a:cxn>
                              <a:cxn ang="0">
                                <a:pos x="6" y="3"/>
                              </a:cxn>
                              <a:cxn ang="0">
                                <a:pos x="7" y="4"/>
                              </a:cxn>
                              <a:cxn ang="0">
                                <a:pos x="0" y="1"/>
                              </a:cxn>
                              <a:cxn ang="0">
                                <a:pos x="1" y="0"/>
                              </a:cxn>
                            </a:cxnLst>
                            <a:rect l="0" t="0" r="r" b="b"/>
                            <a:pathLst>
                              <a:path w="7" h="12">
                                <a:moveTo>
                                  <a:pt x="1" y="0"/>
                                </a:moveTo>
                                <a:cubicBezTo>
                                  <a:pt x="1" y="0"/>
                                  <a:pt x="2" y="8"/>
                                  <a:pt x="6" y="3"/>
                                </a:cubicBezTo>
                                <a:lnTo>
                                  <a:pt x="7" y="4"/>
                                </a:lnTo>
                                <a:cubicBezTo>
                                  <a:pt x="2" y="12"/>
                                  <a:pt x="0" y="1"/>
                                  <a:pt x="0" y="1"/>
                                </a:cubicBezTo>
                                <a:lnTo>
                                  <a:pt x="1" y="0"/>
                                </a:lnTo>
                                <a:close/>
                              </a:path>
                            </a:pathLst>
                          </a:custGeom>
                          <a:solidFill>
                            <a:srgbClr val="24211D"/>
                          </a:solidFill>
                          <a:ln w="9525">
                            <a:noFill/>
                            <a:round/>
                            <a:headEnd/>
                            <a:tailEnd/>
                          </a:ln>
                        </wps:spPr>
                        <wps:bodyPr/>
                      </wps:wsp>
                      <wps:wsp>
                        <wps:cNvPr id="159" name="Freeform 93"/>
                        <wps:cNvSpPr>
                          <a:spLocks/>
                        </wps:cNvSpPr>
                        <wps:spPr bwMode="auto">
                          <a:xfrm>
                            <a:off x="254" y="597"/>
                            <a:ext cx="6" cy="9"/>
                          </a:xfrm>
                          <a:custGeom>
                            <a:avLst/>
                            <a:gdLst/>
                            <a:ahLst/>
                            <a:cxnLst>
                              <a:cxn ang="0">
                                <a:pos x="7" y="0"/>
                              </a:cxn>
                              <a:cxn ang="0">
                                <a:pos x="0" y="3"/>
                              </a:cxn>
                              <a:cxn ang="0">
                                <a:pos x="1" y="2"/>
                              </a:cxn>
                              <a:cxn ang="0">
                                <a:pos x="6" y="0"/>
                              </a:cxn>
                              <a:cxn ang="0">
                                <a:pos x="7" y="0"/>
                              </a:cxn>
                            </a:cxnLst>
                            <a:rect l="0" t="0" r="r" b="b"/>
                            <a:pathLst>
                              <a:path w="7" h="11">
                                <a:moveTo>
                                  <a:pt x="7" y="0"/>
                                </a:moveTo>
                                <a:cubicBezTo>
                                  <a:pt x="7" y="0"/>
                                  <a:pt x="5" y="11"/>
                                  <a:pt x="0" y="3"/>
                                </a:cubicBezTo>
                                <a:lnTo>
                                  <a:pt x="1" y="2"/>
                                </a:lnTo>
                                <a:cubicBezTo>
                                  <a:pt x="5" y="8"/>
                                  <a:pt x="6" y="0"/>
                                  <a:pt x="6" y="0"/>
                                </a:cubicBezTo>
                                <a:lnTo>
                                  <a:pt x="7" y="0"/>
                                </a:lnTo>
                                <a:close/>
                              </a:path>
                            </a:pathLst>
                          </a:custGeom>
                          <a:solidFill>
                            <a:srgbClr val="24211D"/>
                          </a:solidFill>
                          <a:ln w="9525">
                            <a:noFill/>
                            <a:round/>
                            <a:headEnd/>
                            <a:tailEnd/>
                          </a:ln>
                        </wps:spPr>
                        <wps:bodyPr/>
                      </wps:wsp>
                      <wps:wsp>
                        <wps:cNvPr id="160" name="Freeform 94"/>
                        <wps:cNvSpPr>
                          <a:spLocks/>
                        </wps:cNvSpPr>
                        <wps:spPr bwMode="auto">
                          <a:xfrm>
                            <a:off x="175" y="112"/>
                            <a:ext cx="15" cy="11"/>
                          </a:xfrm>
                          <a:custGeom>
                            <a:avLst/>
                            <a:gdLst/>
                            <a:ahLst/>
                            <a:cxnLst>
                              <a:cxn ang="0">
                                <a:pos x="14" y="14"/>
                              </a:cxn>
                              <a:cxn ang="0">
                                <a:pos x="1" y="10"/>
                              </a:cxn>
                              <a:cxn ang="0">
                                <a:pos x="0" y="9"/>
                              </a:cxn>
                              <a:cxn ang="0">
                                <a:pos x="15" y="14"/>
                              </a:cxn>
                              <a:cxn ang="0">
                                <a:pos x="14" y="14"/>
                              </a:cxn>
                            </a:cxnLst>
                            <a:rect l="0" t="0" r="r" b="b"/>
                            <a:pathLst>
                              <a:path w="18" h="14">
                                <a:moveTo>
                                  <a:pt x="14" y="14"/>
                                </a:moveTo>
                                <a:cubicBezTo>
                                  <a:pt x="14" y="14"/>
                                  <a:pt x="17" y="3"/>
                                  <a:pt x="1" y="10"/>
                                </a:cubicBezTo>
                                <a:lnTo>
                                  <a:pt x="0" y="9"/>
                                </a:lnTo>
                                <a:cubicBezTo>
                                  <a:pt x="18" y="0"/>
                                  <a:pt x="15" y="14"/>
                                  <a:pt x="15" y="14"/>
                                </a:cubicBezTo>
                                <a:lnTo>
                                  <a:pt x="14" y="14"/>
                                </a:lnTo>
                                <a:close/>
                              </a:path>
                            </a:pathLst>
                          </a:custGeom>
                          <a:solidFill>
                            <a:srgbClr val="24211D"/>
                          </a:solidFill>
                          <a:ln w="9525">
                            <a:noFill/>
                            <a:round/>
                            <a:headEnd/>
                            <a:tailEnd/>
                          </a:ln>
                        </wps:spPr>
                        <wps:bodyPr/>
                      </wps:wsp>
                      <wps:wsp>
                        <wps:cNvPr id="161" name="Freeform 95"/>
                        <wps:cNvSpPr>
                          <a:spLocks/>
                        </wps:cNvSpPr>
                        <wps:spPr bwMode="auto">
                          <a:xfrm>
                            <a:off x="292" y="112"/>
                            <a:ext cx="16" cy="11"/>
                          </a:xfrm>
                          <a:custGeom>
                            <a:avLst/>
                            <a:gdLst/>
                            <a:ahLst/>
                            <a:cxnLst>
                              <a:cxn ang="0">
                                <a:pos x="4" y="14"/>
                              </a:cxn>
                              <a:cxn ang="0">
                                <a:pos x="19" y="9"/>
                              </a:cxn>
                              <a:cxn ang="0">
                                <a:pos x="18" y="10"/>
                              </a:cxn>
                              <a:cxn ang="0">
                                <a:pos x="5" y="14"/>
                              </a:cxn>
                              <a:cxn ang="0">
                                <a:pos x="4" y="14"/>
                              </a:cxn>
                            </a:cxnLst>
                            <a:rect l="0" t="0" r="r" b="b"/>
                            <a:pathLst>
                              <a:path w="19" h="14">
                                <a:moveTo>
                                  <a:pt x="4" y="14"/>
                                </a:moveTo>
                                <a:cubicBezTo>
                                  <a:pt x="4" y="14"/>
                                  <a:pt x="0" y="0"/>
                                  <a:pt x="19" y="9"/>
                                </a:cubicBezTo>
                                <a:lnTo>
                                  <a:pt x="18" y="10"/>
                                </a:lnTo>
                                <a:cubicBezTo>
                                  <a:pt x="2" y="3"/>
                                  <a:pt x="5" y="14"/>
                                  <a:pt x="5" y="14"/>
                                </a:cubicBezTo>
                                <a:lnTo>
                                  <a:pt x="4" y="14"/>
                                </a:lnTo>
                                <a:close/>
                              </a:path>
                            </a:pathLst>
                          </a:custGeom>
                          <a:solidFill>
                            <a:srgbClr val="24211D"/>
                          </a:solidFill>
                          <a:ln w="9525">
                            <a:noFill/>
                            <a:round/>
                            <a:headEnd/>
                            <a:tailEnd/>
                          </a:ln>
                        </wps:spPr>
                        <wps:bodyPr/>
                      </wps:wsp>
                      <wps:wsp>
                        <wps:cNvPr id="162" name="Freeform 96"/>
                        <wps:cNvSpPr>
                          <a:spLocks/>
                        </wps:cNvSpPr>
                        <wps:spPr bwMode="auto">
                          <a:xfrm>
                            <a:off x="162" y="117"/>
                            <a:ext cx="5" cy="3"/>
                          </a:xfrm>
                          <a:custGeom>
                            <a:avLst/>
                            <a:gdLst/>
                            <a:ahLst/>
                            <a:cxnLst>
                              <a:cxn ang="0">
                                <a:pos x="1" y="4"/>
                              </a:cxn>
                              <a:cxn ang="0">
                                <a:pos x="6" y="0"/>
                              </a:cxn>
                              <a:cxn ang="0">
                                <a:pos x="6" y="2"/>
                              </a:cxn>
                              <a:cxn ang="0">
                                <a:pos x="2" y="4"/>
                              </a:cxn>
                              <a:cxn ang="0">
                                <a:pos x="1" y="4"/>
                              </a:cxn>
                            </a:cxnLst>
                            <a:rect l="0" t="0" r="r" b="b"/>
                            <a:pathLst>
                              <a:path w="6" h="4">
                                <a:moveTo>
                                  <a:pt x="1" y="4"/>
                                </a:moveTo>
                                <a:cubicBezTo>
                                  <a:pt x="1" y="4"/>
                                  <a:pt x="0" y="0"/>
                                  <a:pt x="6" y="0"/>
                                </a:cubicBezTo>
                                <a:lnTo>
                                  <a:pt x="6" y="2"/>
                                </a:lnTo>
                                <a:cubicBezTo>
                                  <a:pt x="1" y="2"/>
                                  <a:pt x="2" y="4"/>
                                  <a:pt x="2" y="4"/>
                                </a:cubicBezTo>
                                <a:lnTo>
                                  <a:pt x="1" y="4"/>
                                </a:lnTo>
                                <a:close/>
                              </a:path>
                            </a:pathLst>
                          </a:custGeom>
                          <a:solidFill>
                            <a:srgbClr val="24211D"/>
                          </a:solidFill>
                          <a:ln w="9525">
                            <a:noFill/>
                            <a:round/>
                            <a:headEnd/>
                            <a:tailEnd/>
                          </a:ln>
                        </wps:spPr>
                        <wps:bodyPr/>
                      </wps:wsp>
                      <wps:wsp>
                        <wps:cNvPr id="163" name="Freeform 97"/>
                        <wps:cNvSpPr>
                          <a:spLocks/>
                        </wps:cNvSpPr>
                        <wps:spPr bwMode="auto">
                          <a:xfrm>
                            <a:off x="185" y="112"/>
                            <a:ext cx="5" cy="4"/>
                          </a:xfrm>
                          <a:custGeom>
                            <a:avLst/>
                            <a:gdLst/>
                            <a:ahLst/>
                            <a:cxnLst>
                              <a:cxn ang="0">
                                <a:pos x="5" y="5"/>
                              </a:cxn>
                              <a:cxn ang="0">
                                <a:pos x="0" y="1"/>
                              </a:cxn>
                              <a:cxn ang="0">
                                <a:pos x="0" y="0"/>
                              </a:cxn>
                              <a:cxn ang="0">
                                <a:pos x="7" y="5"/>
                              </a:cxn>
                              <a:cxn ang="0">
                                <a:pos x="5" y="5"/>
                              </a:cxn>
                            </a:cxnLst>
                            <a:rect l="0" t="0" r="r" b="b"/>
                            <a:pathLst>
                              <a:path w="7" h="5">
                                <a:moveTo>
                                  <a:pt x="5" y="5"/>
                                </a:moveTo>
                                <a:cubicBezTo>
                                  <a:pt x="5" y="5"/>
                                  <a:pt x="6" y="1"/>
                                  <a:pt x="0" y="1"/>
                                </a:cubicBezTo>
                                <a:lnTo>
                                  <a:pt x="0" y="0"/>
                                </a:lnTo>
                                <a:cubicBezTo>
                                  <a:pt x="7" y="0"/>
                                  <a:pt x="7" y="5"/>
                                  <a:pt x="7" y="5"/>
                                </a:cubicBezTo>
                                <a:lnTo>
                                  <a:pt x="5" y="5"/>
                                </a:lnTo>
                                <a:close/>
                              </a:path>
                            </a:pathLst>
                          </a:custGeom>
                          <a:solidFill>
                            <a:srgbClr val="24211D"/>
                          </a:solidFill>
                          <a:ln w="9525">
                            <a:noFill/>
                            <a:round/>
                            <a:headEnd/>
                            <a:tailEnd/>
                          </a:ln>
                        </wps:spPr>
                        <wps:bodyPr/>
                      </wps:wsp>
                      <wps:wsp>
                        <wps:cNvPr id="164" name="Freeform 98"/>
                        <wps:cNvSpPr>
                          <a:spLocks/>
                        </wps:cNvSpPr>
                        <wps:spPr bwMode="auto">
                          <a:xfrm>
                            <a:off x="315" y="117"/>
                            <a:ext cx="5" cy="3"/>
                          </a:xfrm>
                          <a:custGeom>
                            <a:avLst/>
                            <a:gdLst/>
                            <a:ahLst/>
                            <a:cxnLst>
                              <a:cxn ang="0">
                                <a:pos x="4" y="4"/>
                              </a:cxn>
                              <a:cxn ang="0">
                                <a:pos x="0" y="2"/>
                              </a:cxn>
                              <a:cxn ang="0">
                                <a:pos x="0" y="0"/>
                              </a:cxn>
                              <a:cxn ang="0">
                                <a:pos x="5" y="4"/>
                              </a:cxn>
                              <a:cxn ang="0">
                                <a:pos x="4" y="4"/>
                              </a:cxn>
                            </a:cxnLst>
                            <a:rect l="0" t="0" r="r" b="b"/>
                            <a:pathLst>
                              <a:path w="6" h="4">
                                <a:moveTo>
                                  <a:pt x="4" y="4"/>
                                </a:moveTo>
                                <a:cubicBezTo>
                                  <a:pt x="4" y="4"/>
                                  <a:pt x="5" y="2"/>
                                  <a:pt x="0" y="2"/>
                                </a:cubicBezTo>
                                <a:lnTo>
                                  <a:pt x="0" y="0"/>
                                </a:lnTo>
                                <a:cubicBezTo>
                                  <a:pt x="6" y="0"/>
                                  <a:pt x="5" y="4"/>
                                  <a:pt x="5" y="4"/>
                                </a:cubicBezTo>
                                <a:lnTo>
                                  <a:pt x="4" y="4"/>
                                </a:lnTo>
                                <a:close/>
                              </a:path>
                            </a:pathLst>
                          </a:custGeom>
                          <a:solidFill>
                            <a:srgbClr val="24211D"/>
                          </a:solidFill>
                          <a:ln w="9525">
                            <a:noFill/>
                            <a:round/>
                            <a:headEnd/>
                            <a:tailEnd/>
                          </a:ln>
                        </wps:spPr>
                        <wps:bodyPr/>
                      </wps:wsp>
                      <wps:wsp>
                        <wps:cNvPr id="165" name="Freeform 99"/>
                        <wps:cNvSpPr>
                          <a:spLocks/>
                        </wps:cNvSpPr>
                        <wps:spPr bwMode="auto">
                          <a:xfrm>
                            <a:off x="292" y="112"/>
                            <a:ext cx="6" cy="4"/>
                          </a:xfrm>
                          <a:custGeom>
                            <a:avLst/>
                            <a:gdLst/>
                            <a:ahLst/>
                            <a:cxnLst>
                              <a:cxn ang="0">
                                <a:pos x="0" y="5"/>
                              </a:cxn>
                              <a:cxn ang="0">
                                <a:pos x="7" y="0"/>
                              </a:cxn>
                              <a:cxn ang="0">
                                <a:pos x="7" y="1"/>
                              </a:cxn>
                              <a:cxn ang="0">
                                <a:pos x="2" y="5"/>
                              </a:cxn>
                              <a:cxn ang="0">
                                <a:pos x="0" y="5"/>
                              </a:cxn>
                            </a:cxnLst>
                            <a:rect l="0" t="0" r="r" b="b"/>
                            <a:pathLst>
                              <a:path w="7" h="5">
                                <a:moveTo>
                                  <a:pt x="0" y="5"/>
                                </a:moveTo>
                                <a:cubicBezTo>
                                  <a:pt x="0" y="5"/>
                                  <a:pt x="0" y="0"/>
                                  <a:pt x="7" y="0"/>
                                </a:cubicBezTo>
                                <a:lnTo>
                                  <a:pt x="7" y="1"/>
                                </a:lnTo>
                                <a:cubicBezTo>
                                  <a:pt x="1" y="1"/>
                                  <a:pt x="2" y="5"/>
                                  <a:pt x="2" y="5"/>
                                </a:cubicBezTo>
                                <a:lnTo>
                                  <a:pt x="0" y="5"/>
                                </a:lnTo>
                                <a:close/>
                              </a:path>
                            </a:pathLst>
                          </a:custGeom>
                          <a:solidFill>
                            <a:srgbClr val="24211D"/>
                          </a:solidFill>
                          <a:ln w="9525">
                            <a:noFill/>
                            <a:round/>
                            <a:headEnd/>
                            <a:tailEnd/>
                          </a:ln>
                        </wps:spPr>
                        <wps:bodyPr/>
                      </wps:wsp>
                      <wps:wsp>
                        <wps:cNvPr id="166" name="Freeform 100"/>
                        <wps:cNvSpPr>
                          <a:spLocks/>
                        </wps:cNvSpPr>
                        <wps:spPr bwMode="auto">
                          <a:xfrm>
                            <a:off x="70" y="149"/>
                            <a:ext cx="342" cy="418"/>
                          </a:xfrm>
                          <a:custGeom>
                            <a:avLst/>
                            <a:gdLst/>
                            <a:ahLst/>
                            <a:cxnLst>
                              <a:cxn ang="0">
                                <a:pos x="417" y="0"/>
                              </a:cxn>
                              <a:cxn ang="0">
                                <a:pos x="0" y="0"/>
                              </a:cxn>
                              <a:cxn ang="0">
                                <a:pos x="0" y="310"/>
                              </a:cxn>
                              <a:cxn ang="0">
                                <a:pos x="168" y="500"/>
                              </a:cxn>
                              <a:cxn ang="0">
                                <a:pos x="250" y="500"/>
                              </a:cxn>
                              <a:cxn ang="0">
                                <a:pos x="417" y="310"/>
                              </a:cxn>
                              <a:cxn ang="0">
                                <a:pos x="417" y="0"/>
                              </a:cxn>
                            </a:cxnLst>
                            <a:rect l="0" t="0" r="r" b="b"/>
                            <a:pathLst>
                              <a:path w="417" h="510">
                                <a:moveTo>
                                  <a:pt x="417" y="0"/>
                                </a:moveTo>
                                <a:lnTo>
                                  <a:pt x="0" y="0"/>
                                </a:lnTo>
                                <a:lnTo>
                                  <a:pt x="0" y="310"/>
                                </a:lnTo>
                                <a:cubicBezTo>
                                  <a:pt x="21" y="468"/>
                                  <a:pt x="168" y="500"/>
                                  <a:pt x="168" y="500"/>
                                </a:cubicBezTo>
                                <a:cubicBezTo>
                                  <a:pt x="168" y="500"/>
                                  <a:pt x="200" y="510"/>
                                  <a:pt x="250" y="500"/>
                                </a:cubicBezTo>
                                <a:cubicBezTo>
                                  <a:pt x="250" y="500"/>
                                  <a:pt x="396" y="468"/>
                                  <a:pt x="417" y="310"/>
                                </a:cubicBezTo>
                                <a:lnTo>
                                  <a:pt x="417" y="0"/>
                                </a:lnTo>
                                <a:close/>
                              </a:path>
                            </a:pathLst>
                          </a:custGeom>
                          <a:solidFill>
                            <a:srgbClr val="0089E1"/>
                          </a:solidFill>
                          <a:ln w="9525">
                            <a:noFill/>
                            <a:round/>
                            <a:headEnd/>
                            <a:tailEnd/>
                          </a:ln>
                        </wps:spPr>
                        <wps:bodyPr/>
                      </wps:wsp>
                      <wps:wsp>
                        <wps:cNvPr id="167" name="Freeform 101"/>
                        <wps:cNvSpPr>
                          <a:spLocks/>
                        </wps:cNvSpPr>
                        <wps:spPr bwMode="auto">
                          <a:xfrm>
                            <a:off x="130" y="2"/>
                            <a:ext cx="222" cy="110"/>
                          </a:xfrm>
                          <a:custGeom>
                            <a:avLst/>
                            <a:gdLst/>
                            <a:ahLst/>
                            <a:cxnLst>
                              <a:cxn ang="0">
                                <a:pos x="39" y="134"/>
                              </a:cxn>
                              <a:cxn ang="0">
                                <a:pos x="136" y="115"/>
                              </a:cxn>
                              <a:cxn ang="0">
                                <a:pos x="231" y="133"/>
                              </a:cxn>
                              <a:cxn ang="0">
                                <a:pos x="233" y="118"/>
                              </a:cxn>
                              <a:cxn ang="0">
                                <a:pos x="228" y="116"/>
                              </a:cxn>
                              <a:cxn ang="0">
                                <a:pos x="238" y="76"/>
                              </a:cxn>
                              <a:cxn ang="0">
                                <a:pos x="261" y="68"/>
                              </a:cxn>
                              <a:cxn ang="0">
                                <a:pos x="271" y="24"/>
                              </a:cxn>
                              <a:cxn ang="0">
                                <a:pos x="210" y="10"/>
                              </a:cxn>
                              <a:cxn ang="0">
                                <a:pos x="182" y="33"/>
                              </a:cxn>
                              <a:cxn ang="0">
                                <a:pos x="181" y="63"/>
                              </a:cxn>
                              <a:cxn ang="0">
                                <a:pos x="157" y="63"/>
                              </a:cxn>
                              <a:cxn ang="0">
                                <a:pos x="168" y="49"/>
                              </a:cxn>
                              <a:cxn ang="0">
                                <a:pos x="172" y="3"/>
                              </a:cxn>
                              <a:cxn ang="0">
                                <a:pos x="135" y="0"/>
                              </a:cxn>
                              <a:cxn ang="0">
                                <a:pos x="99" y="3"/>
                              </a:cxn>
                              <a:cxn ang="0">
                                <a:pos x="102" y="50"/>
                              </a:cxn>
                              <a:cxn ang="0">
                                <a:pos x="114" y="62"/>
                              </a:cxn>
                              <a:cxn ang="0">
                                <a:pos x="90" y="64"/>
                              </a:cxn>
                              <a:cxn ang="0">
                                <a:pos x="88" y="33"/>
                              </a:cxn>
                              <a:cxn ang="0">
                                <a:pos x="61" y="10"/>
                              </a:cxn>
                              <a:cxn ang="0">
                                <a:pos x="0" y="24"/>
                              </a:cxn>
                              <a:cxn ang="0">
                                <a:pos x="10" y="68"/>
                              </a:cxn>
                              <a:cxn ang="0">
                                <a:pos x="33" y="76"/>
                              </a:cxn>
                              <a:cxn ang="0">
                                <a:pos x="43" y="116"/>
                              </a:cxn>
                              <a:cxn ang="0">
                                <a:pos x="38" y="118"/>
                              </a:cxn>
                              <a:cxn ang="0">
                                <a:pos x="39" y="134"/>
                              </a:cxn>
                            </a:cxnLst>
                            <a:rect l="0" t="0" r="r" b="b"/>
                            <a:pathLst>
                              <a:path w="271" h="134">
                                <a:moveTo>
                                  <a:pt x="39" y="134"/>
                                </a:moveTo>
                                <a:cubicBezTo>
                                  <a:pt x="65" y="123"/>
                                  <a:pt x="101" y="115"/>
                                  <a:pt x="136" y="115"/>
                                </a:cubicBezTo>
                                <a:cubicBezTo>
                                  <a:pt x="171" y="115"/>
                                  <a:pt x="206" y="122"/>
                                  <a:pt x="231" y="133"/>
                                </a:cubicBezTo>
                                <a:lnTo>
                                  <a:pt x="233" y="118"/>
                                </a:lnTo>
                                <a:cubicBezTo>
                                  <a:pt x="233" y="118"/>
                                  <a:pt x="232" y="116"/>
                                  <a:pt x="228" y="116"/>
                                </a:cubicBezTo>
                                <a:lnTo>
                                  <a:pt x="238" y="76"/>
                                </a:lnTo>
                                <a:lnTo>
                                  <a:pt x="261" y="68"/>
                                </a:lnTo>
                                <a:lnTo>
                                  <a:pt x="271" y="24"/>
                                </a:lnTo>
                                <a:lnTo>
                                  <a:pt x="210" y="10"/>
                                </a:lnTo>
                                <a:lnTo>
                                  <a:pt x="182" y="33"/>
                                </a:lnTo>
                                <a:lnTo>
                                  <a:pt x="181" y="63"/>
                                </a:lnTo>
                                <a:cubicBezTo>
                                  <a:pt x="175" y="62"/>
                                  <a:pt x="157" y="63"/>
                                  <a:pt x="157" y="63"/>
                                </a:cubicBezTo>
                                <a:lnTo>
                                  <a:pt x="168" y="49"/>
                                </a:lnTo>
                                <a:lnTo>
                                  <a:pt x="172" y="3"/>
                                </a:lnTo>
                                <a:cubicBezTo>
                                  <a:pt x="163" y="1"/>
                                  <a:pt x="149" y="0"/>
                                  <a:pt x="135" y="0"/>
                                </a:cubicBezTo>
                                <a:cubicBezTo>
                                  <a:pt x="122" y="0"/>
                                  <a:pt x="108" y="1"/>
                                  <a:pt x="99" y="3"/>
                                </a:cubicBezTo>
                                <a:lnTo>
                                  <a:pt x="102" y="50"/>
                                </a:lnTo>
                                <a:lnTo>
                                  <a:pt x="114" y="62"/>
                                </a:lnTo>
                                <a:cubicBezTo>
                                  <a:pt x="114" y="62"/>
                                  <a:pt x="96" y="62"/>
                                  <a:pt x="90" y="64"/>
                                </a:cubicBezTo>
                                <a:lnTo>
                                  <a:pt x="88" y="33"/>
                                </a:lnTo>
                                <a:lnTo>
                                  <a:pt x="61" y="10"/>
                                </a:lnTo>
                                <a:lnTo>
                                  <a:pt x="0" y="24"/>
                                </a:lnTo>
                                <a:lnTo>
                                  <a:pt x="10" y="68"/>
                                </a:lnTo>
                                <a:lnTo>
                                  <a:pt x="33" y="76"/>
                                </a:lnTo>
                                <a:lnTo>
                                  <a:pt x="43" y="116"/>
                                </a:lnTo>
                                <a:cubicBezTo>
                                  <a:pt x="39" y="117"/>
                                  <a:pt x="38" y="118"/>
                                  <a:pt x="38" y="118"/>
                                </a:cubicBezTo>
                                <a:lnTo>
                                  <a:pt x="39" y="134"/>
                                </a:lnTo>
                                <a:close/>
                              </a:path>
                            </a:pathLst>
                          </a:custGeom>
                          <a:solidFill>
                            <a:srgbClr val="A9A8A7"/>
                          </a:solidFill>
                          <a:ln w="9525">
                            <a:noFill/>
                            <a:round/>
                            <a:headEnd/>
                            <a:tailEnd/>
                          </a:ln>
                        </wps:spPr>
                        <wps:bodyPr/>
                      </wps:wsp>
                      <wps:wsp>
                        <wps:cNvPr id="168" name="Freeform 102"/>
                        <wps:cNvSpPr>
                          <a:spLocks noEditPoints="1"/>
                        </wps:cNvSpPr>
                        <wps:spPr bwMode="auto">
                          <a:xfrm>
                            <a:off x="128" y="1"/>
                            <a:ext cx="226" cy="113"/>
                          </a:xfrm>
                          <a:custGeom>
                            <a:avLst/>
                            <a:gdLst/>
                            <a:ahLst/>
                            <a:cxnLst>
                              <a:cxn ang="0">
                                <a:pos x="41" y="135"/>
                              </a:cxn>
                              <a:cxn ang="0">
                                <a:pos x="41" y="135"/>
                              </a:cxn>
                              <a:cxn ang="0">
                                <a:pos x="41" y="135"/>
                              </a:cxn>
                              <a:cxn ang="0">
                                <a:pos x="52" y="130"/>
                              </a:cxn>
                              <a:cxn ang="0">
                                <a:pos x="64" y="126"/>
                              </a:cxn>
                              <a:cxn ang="0">
                                <a:pos x="138" y="116"/>
                              </a:cxn>
                              <a:cxn ang="0">
                                <a:pos x="138" y="116"/>
                              </a:cxn>
                              <a:cxn ang="0">
                                <a:pos x="190" y="121"/>
                              </a:cxn>
                              <a:cxn ang="0">
                                <a:pos x="198" y="123"/>
                              </a:cxn>
                              <a:cxn ang="0">
                                <a:pos x="235" y="135"/>
                              </a:cxn>
                              <a:cxn ang="0">
                                <a:pos x="232" y="135"/>
                              </a:cxn>
                              <a:cxn ang="0">
                                <a:pos x="236" y="120"/>
                              </a:cxn>
                              <a:cxn ang="0">
                                <a:pos x="234" y="121"/>
                              </a:cxn>
                              <a:cxn ang="0">
                                <a:pos x="230" y="119"/>
                              </a:cxn>
                              <a:cxn ang="0">
                                <a:pos x="229" y="117"/>
                              </a:cxn>
                              <a:cxn ang="0">
                                <a:pos x="239" y="78"/>
                              </a:cxn>
                              <a:cxn ang="0">
                                <a:pos x="240" y="77"/>
                              </a:cxn>
                              <a:cxn ang="0">
                                <a:pos x="264" y="71"/>
                              </a:cxn>
                              <a:cxn ang="0">
                                <a:pos x="262" y="70"/>
                              </a:cxn>
                              <a:cxn ang="0">
                                <a:pos x="274" y="24"/>
                              </a:cxn>
                              <a:cxn ang="0">
                                <a:pos x="273" y="27"/>
                              </a:cxn>
                              <a:cxn ang="0">
                                <a:pos x="212" y="11"/>
                              </a:cxn>
                              <a:cxn ang="0">
                                <a:pos x="213" y="13"/>
                              </a:cxn>
                              <a:cxn ang="0">
                                <a:pos x="183" y="35"/>
                              </a:cxn>
                              <a:cxn ang="0">
                                <a:pos x="186" y="35"/>
                              </a:cxn>
                              <a:cxn ang="0">
                                <a:pos x="184" y="66"/>
                              </a:cxn>
                              <a:cxn ang="0">
                                <a:pos x="183" y="67"/>
                              </a:cxn>
                              <a:cxn ang="0">
                                <a:pos x="159" y="66"/>
                              </a:cxn>
                              <a:cxn ang="0">
                                <a:pos x="158" y="64"/>
                              </a:cxn>
                              <a:cxn ang="0">
                                <a:pos x="172" y="51"/>
                              </a:cxn>
                              <a:cxn ang="0">
                                <a:pos x="169" y="51"/>
                              </a:cxn>
                              <a:cxn ang="0">
                                <a:pos x="174" y="3"/>
                              </a:cxn>
                              <a:cxn ang="0">
                                <a:pos x="174" y="6"/>
                              </a:cxn>
                              <a:cxn ang="0">
                                <a:pos x="174" y="6"/>
                              </a:cxn>
                              <a:cxn ang="0">
                                <a:pos x="170" y="5"/>
                              </a:cxn>
                              <a:cxn ang="0">
                                <a:pos x="165" y="4"/>
                              </a:cxn>
                              <a:cxn ang="0">
                                <a:pos x="137" y="3"/>
                              </a:cxn>
                              <a:cxn ang="0">
                                <a:pos x="137" y="3"/>
                              </a:cxn>
                              <a:cxn ang="0">
                                <a:pos x="117" y="4"/>
                              </a:cxn>
                              <a:cxn ang="0">
                                <a:pos x="115" y="4"/>
                              </a:cxn>
                              <a:cxn ang="0">
                                <a:pos x="100" y="5"/>
                              </a:cxn>
                              <a:cxn ang="0">
                                <a:pos x="102" y="5"/>
                              </a:cxn>
                              <a:cxn ang="0">
                                <a:pos x="104" y="52"/>
                              </a:cxn>
                              <a:cxn ang="0">
                                <a:pos x="117" y="64"/>
                              </a:cxn>
                              <a:cxn ang="0">
                                <a:pos x="119" y="66"/>
                              </a:cxn>
                              <a:cxn ang="0">
                                <a:pos x="92" y="67"/>
                              </a:cxn>
                              <a:cxn ang="0">
                                <a:pos x="91" y="67"/>
                              </a:cxn>
                              <a:cxn ang="0">
                                <a:pos x="89" y="35"/>
                              </a:cxn>
                              <a:cxn ang="0">
                                <a:pos x="92" y="34"/>
                              </a:cxn>
                              <a:cxn ang="0">
                                <a:pos x="62" y="13"/>
                              </a:cxn>
                              <a:cxn ang="0">
                                <a:pos x="63" y="10"/>
                              </a:cxn>
                              <a:cxn ang="0">
                                <a:pos x="2" y="27"/>
                              </a:cxn>
                              <a:cxn ang="0">
                                <a:pos x="0" y="25"/>
                              </a:cxn>
                              <a:cxn ang="0">
                                <a:pos x="13" y="70"/>
                              </a:cxn>
                              <a:cxn ang="0">
                                <a:pos x="11" y="71"/>
                              </a:cxn>
                              <a:cxn ang="0">
                                <a:pos x="35" y="77"/>
                              </a:cxn>
                              <a:cxn ang="0">
                                <a:pos x="36" y="77"/>
                              </a:cxn>
                              <a:cxn ang="0">
                                <a:pos x="46" y="118"/>
                              </a:cxn>
                              <a:cxn ang="0">
                                <a:pos x="46" y="119"/>
                              </a:cxn>
                              <a:cxn ang="0">
                                <a:pos x="41" y="121"/>
                              </a:cxn>
                              <a:cxn ang="0">
                                <a:pos x="38" y="120"/>
                              </a:cxn>
                              <a:cxn ang="0">
                                <a:pos x="42" y="136"/>
                              </a:cxn>
                              <a:cxn ang="0">
                                <a:pos x="40" y="138"/>
                              </a:cxn>
                            </a:cxnLst>
                            <a:rect l="0" t="0" r="r" b="b"/>
                            <a:pathLst>
                              <a:path w="275" h="138">
                                <a:moveTo>
                                  <a:pt x="41" y="135"/>
                                </a:moveTo>
                                <a:cubicBezTo>
                                  <a:pt x="41" y="135"/>
                                  <a:pt x="40" y="135"/>
                                  <a:pt x="41" y="135"/>
                                </a:cubicBezTo>
                                <a:lnTo>
                                  <a:pt x="42" y="137"/>
                                </a:lnTo>
                                <a:cubicBezTo>
                                  <a:pt x="42" y="137"/>
                                  <a:pt x="42" y="137"/>
                                  <a:pt x="42" y="137"/>
                                </a:cubicBezTo>
                                <a:lnTo>
                                  <a:pt x="41" y="135"/>
                                </a:lnTo>
                                <a:close/>
                                <a:moveTo>
                                  <a:pt x="41" y="135"/>
                                </a:moveTo>
                                <a:lnTo>
                                  <a:pt x="41" y="135"/>
                                </a:lnTo>
                                <a:lnTo>
                                  <a:pt x="41" y="135"/>
                                </a:lnTo>
                                <a:lnTo>
                                  <a:pt x="41" y="136"/>
                                </a:lnTo>
                                <a:lnTo>
                                  <a:pt x="41" y="135"/>
                                </a:lnTo>
                                <a:close/>
                                <a:moveTo>
                                  <a:pt x="41" y="135"/>
                                </a:moveTo>
                                <a:cubicBezTo>
                                  <a:pt x="44" y="133"/>
                                  <a:pt x="48" y="132"/>
                                  <a:pt x="52" y="130"/>
                                </a:cubicBezTo>
                                <a:lnTo>
                                  <a:pt x="53" y="133"/>
                                </a:lnTo>
                                <a:cubicBezTo>
                                  <a:pt x="49" y="134"/>
                                  <a:pt x="45" y="136"/>
                                  <a:pt x="42" y="137"/>
                                </a:cubicBezTo>
                                <a:lnTo>
                                  <a:pt x="41" y="135"/>
                                </a:lnTo>
                                <a:close/>
                                <a:moveTo>
                                  <a:pt x="52" y="130"/>
                                </a:moveTo>
                                <a:cubicBezTo>
                                  <a:pt x="56" y="129"/>
                                  <a:pt x="60" y="128"/>
                                  <a:pt x="64" y="126"/>
                                </a:cubicBezTo>
                                <a:lnTo>
                                  <a:pt x="65" y="129"/>
                                </a:lnTo>
                                <a:cubicBezTo>
                                  <a:pt x="61" y="130"/>
                                  <a:pt x="57" y="131"/>
                                  <a:pt x="53" y="133"/>
                                </a:cubicBezTo>
                                <a:lnTo>
                                  <a:pt x="52" y="130"/>
                                </a:lnTo>
                                <a:close/>
                                <a:moveTo>
                                  <a:pt x="64" y="126"/>
                                </a:moveTo>
                                <a:cubicBezTo>
                                  <a:pt x="87" y="120"/>
                                  <a:pt x="113" y="116"/>
                                  <a:pt x="138" y="116"/>
                                </a:cubicBezTo>
                                <a:lnTo>
                                  <a:pt x="138" y="119"/>
                                </a:lnTo>
                                <a:cubicBezTo>
                                  <a:pt x="113" y="119"/>
                                  <a:pt x="87" y="122"/>
                                  <a:pt x="65" y="129"/>
                                </a:cubicBezTo>
                                <a:lnTo>
                                  <a:pt x="64" y="126"/>
                                </a:lnTo>
                                <a:close/>
                                <a:moveTo>
                                  <a:pt x="138" y="116"/>
                                </a:moveTo>
                                <a:lnTo>
                                  <a:pt x="138" y="116"/>
                                </a:lnTo>
                                <a:lnTo>
                                  <a:pt x="138" y="119"/>
                                </a:lnTo>
                                <a:lnTo>
                                  <a:pt x="138" y="119"/>
                                </a:lnTo>
                                <a:lnTo>
                                  <a:pt x="138" y="116"/>
                                </a:lnTo>
                                <a:close/>
                                <a:moveTo>
                                  <a:pt x="138" y="116"/>
                                </a:moveTo>
                                <a:cubicBezTo>
                                  <a:pt x="156" y="116"/>
                                  <a:pt x="173" y="118"/>
                                  <a:pt x="190" y="121"/>
                                </a:cubicBezTo>
                                <a:lnTo>
                                  <a:pt x="189" y="123"/>
                                </a:lnTo>
                                <a:cubicBezTo>
                                  <a:pt x="173" y="120"/>
                                  <a:pt x="156" y="119"/>
                                  <a:pt x="138" y="119"/>
                                </a:cubicBezTo>
                                <a:lnTo>
                                  <a:pt x="138" y="116"/>
                                </a:lnTo>
                                <a:close/>
                                <a:moveTo>
                                  <a:pt x="190" y="121"/>
                                </a:moveTo>
                                <a:cubicBezTo>
                                  <a:pt x="192" y="121"/>
                                  <a:pt x="195" y="122"/>
                                  <a:pt x="198" y="123"/>
                                </a:cubicBezTo>
                                <a:lnTo>
                                  <a:pt x="197" y="125"/>
                                </a:lnTo>
                                <a:cubicBezTo>
                                  <a:pt x="195" y="124"/>
                                  <a:pt x="192" y="124"/>
                                  <a:pt x="189" y="123"/>
                                </a:cubicBezTo>
                                <a:lnTo>
                                  <a:pt x="190" y="121"/>
                                </a:lnTo>
                                <a:close/>
                                <a:moveTo>
                                  <a:pt x="198" y="123"/>
                                </a:moveTo>
                                <a:cubicBezTo>
                                  <a:pt x="211" y="125"/>
                                  <a:pt x="223" y="129"/>
                                  <a:pt x="234" y="134"/>
                                </a:cubicBezTo>
                                <a:lnTo>
                                  <a:pt x="233" y="136"/>
                                </a:lnTo>
                                <a:cubicBezTo>
                                  <a:pt x="223" y="132"/>
                                  <a:pt x="210" y="128"/>
                                  <a:pt x="197" y="125"/>
                                </a:cubicBezTo>
                                <a:lnTo>
                                  <a:pt x="198" y="123"/>
                                </a:lnTo>
                                <a:close/>
                                <a:moveTo>
                                  <a:pt x="235" y="135"/>
                                </a:moveTo>
                                <a:lnTo>
                                  <a:pt x="234" y="137"/>
                                </a:lnTo>
                                <a:lnTo>
                                  <a:pt x="233" y="136"/>
                                </a:lnTo>
                                <a:lnTo>
                                  <a:pt x="233" y="135"/>
                                </a:lnTo>
                                <a:lnTo>
                                  <a:pt x="235" y="135"/>
                                </a:lnTo>
                                <a:close/>
                                <a:moveTo>
                                  <a:pt x="232" y="135"/>
                                </a:moveTo>
                                <a:lnTo>
                                  <a:pt x="234" y="120"/>
                                </a:lnTo>
                                <a:lnTo>
                                  <a:pt x="236" y="120"/>
                                </a:lnTo>
                                <a:lnTo>
                                  <a:pt x="235" y="135"/>
                                </a:lnTo>
                                <a:lnTo>
                                  <a:pt x="232" y="135"/>
                                </a:lnTo>
                                <a:close/>
                                <a:moveTo>
                                  <a:pt x="236" y="120"/>
                                </a:moveTo>
                                <a:lnTo>
                                  <a:pt x="236" y="120"/>
                                </a:lnTo>
                                <a:lnTo>
                                  <a:pt x="236" y="120"/>
                                </a:lnTo>
                                <a:lnTo>
                                  <a:pt x="235" y="120"/>
                                </a:lnTo>
                                <a:lnTo>
                                  <a:pt x="236" y="120"/>
                                </a:lnTo>
                                <a:close/>
                                <a:moveTo>
                                  <a:pt x="234" y="121"/>
                                </a:moveTo>
                                <a:cubicBezTo>
                                  <a:pt x="234" y="121"/>
                                  <a:pt x="233" y="119"/>
                                  <a:pt x="230" y="119"/>
                                </a:cubicBezTo>
                                <a:lnTo>
                                  <a:pt x="231" y="116"/>
                                </a:lnTo>
                                <a:cubicBezTo>
                                  <a:pt x="235" y="117"/>
                                  <a:pt x="236" y="120"/>
                                  <a:pt x="236" y="120"/>
                                </a:cubicBezTo>
                                <a:lnTo>
                                  <a:pt x="234" y="121"/>
                                </a:lnTo>
                                <a:close/>
                                <a:moveTo>
                                  <a:pt x="230" y="119"/>
                                </a:moveTo>
                                <a:lnTo>
                                  <a:pt x="229" y="119"/>
                                </a:lnTo>
                                <a:lnTo>
                                  <a:pt x="229" y="117"/>
                                </a:lnTo>
                                <a:lnTo>
                                  <a:pt x="230" y="118"/>
                                </a:lnTo>
                                <a:lnTo>
                                  <a:pt x="230" y="119"/>
                                </a:lnTo>
                                <a:close/>
                                <a:moveTo>
                                  <a:pt x="229" y="117"/>
                                </a:moveTo>
                                <a:lnTo>
                                  <a:pt x="239" y="78"/>
                                </a:lnTo>
                                <a:lnTo>
                                  <a:pt x="241" y="78"/>
                                </a:lnTo>
                                <a:lnTo>
                                  <a:pt x="232" y="118"/>
                                </a:lnTo>
                                <a:lnTo>
                                  <a:pt x="229" y="117"/>
                                </a:lnTo>
                                <a:close/>
                                <a:moveTo>
                                  <a:pt x="239" y="78"/>
                                </a:moveTo>
                                <a:lnTo>
                                  <a:pt x="239" y="77"/>
                                </a:lnTo>
                                <a:lnTo>
                                  <a:pt x="240" y="77"/>
                                </a:lnTo>
                                <a:lnTo>
                                  <a:pt x="240" y="78"/>
                                </a:lnTo>
                                <a:lnTo>
                                  <a:pt x="239" y="78"/>
                                </a:lnTo>
                                <a:close/>
                                <a:moveTo>
                                  <a:pt x="240" y="77"/>
                                </a:moveTo>
                                <a:lnTo>
                                  <a:pt x="262" y="69"/>
                                </a:lnTo>
                                <a:lnTo>
                                  <a:pt x="263" y="71"/>
                                </a:lnTo>
                                <a:lnTo>
                                  <a:pt x="241" y="79"/>
                                </a:lnTo>
                                <a:lnTo>
                                  <a:pt x="240" y="77"/>
                                </a:lnTo>
                                <a:close/>
                                <a:moveTo>
                                  <a:pt x="264" y="71"/>
                                </a:moveTo>
                                <a:lnTo>
                                  <a:pt x="264" y="71"/>
                                </a:lnTo>
                                <a:lnTo>
                                  <a:pt x="263" y="71"/>
                                </a:lnTo>
                                <a:lnTo>
                                  <a:pt x="263" y="70"/>
                                </a:lnTo>
                                <a:lnTo>
                                  <a:pt x="264" y="71"/>
                                </a:lnTo>
                                <a:close/>
                                <a:moveTo>
                                  <a:pt x="262" y="70"/>
                                </a:moveTo>
                                <a:lnTo>
                                  <a:pt x="272" y="25"/>
                                </a:lnTo>
                                <a:lnTo>
                                  <a:pt x="275" y="26"/>
                                </a:lnTo>
                                <a:lnTo>
                                  <a:pt x="264" y="71"/>
                                </a:lnTo>
                                <a:lnTo>
                                  <a:pt x="262" y="70"/>
                                </a:lnTo>
                                <a:close/>
                                <a:moveTo>
                                  <a:pt x="274" y="24"/>
                                </a:moveTo>
                                <a:lnTo>
                                  <a:pt x="275" y="25"/>
                                </a:lnTo>
                                <a:lnTo>
                                  <a:pt x="275" y="26"/>
                                </a:lnTo>
                                <a:lnTo>
                                  <a:pt x="273" y="26"/>
                                </a:lnTo>
                                <a:lnTo>
                                  <a:pt x="274" y="24"/>
                                </a:lnTo>
                                <a:close/>
                                <a:moveTo>
                                  <a:pt x="273" y="27"/>
                                </a:moveTo>
                                <a:lnTo>
                                  <a:pt x="212" y="13"/>
                                </a:lnTo>
                                <a:lnTo>
                                  <a:pt x="213" y="10"/>
                                </a:lnTo>
                                <a:lnTo>
                                  <a:pt x="274" y="24"/>
                                </a:lnTo>
                                <a:lnTo>
                                  <a:pt x="273" y="27"/>
                                </a:lnTo>
                                <a:close/>
                                <a:moveTo>
                                  <a:pt x="212" y="11"/>
                                </a:moveTo>
                                <a:lnTo>
                                  <a:pt x="212" y="10"/>
                                </a:lnTo>
                                <a:lnTo>
                                  <a:pt x="213" y="10"/>
                                </a:lnTo>
                                <a:lnTo>
                                  <a:pt x="212" y="12"/>
                                </a:lnTo>
                                <a:lnTo>
                                  <a:pt x="212" y="11"/>
                                </a:lnTo>
                                <a:close/>
                                <a:moveTo>
                                  <a:pt x="213" y="13"/>
                                </a:moveTo>
                                <a:lnTo>
                                  <a:pt x="185" y="36"/>
                                </a:lnTo>
                                <a:lnTo>
                                  <a:pt x="184" y="34"/>
                                </a:lnTo>
                                <a:lnTo>
                                  <a:pt x="212" y="11"/>
                                </a:lnTo>
                                <a:lnTo>
                                  <a:pt x="213" y="13"/>
                                </a:lnTo>
                                <a:close/>
                                <a:moveTo>
                                  <a:pt x="183" y="35"/>
                                </a:moveTo>
                                <a:lnTo>
                                  <a:pt x="183" y="34"/>
                                </a:lnTo>
                                <a:lnTo>
                                  <a:pt x="184" y="34"/>
                                </a:lnTo>
                                <a:lnTo>
                                  <a:pt x="184" y="35"/>
                                </a:lnTo>
                                <a:lnTo>
                                  <a:pt x="183" y="35"/>
                                </a:lnTo>
                                <a:close/>
                                <a:moveTo>
                                  <a:pt x="186" y="35"/>
                                </a:moveTo>
                                <a:lnTo>
                                  <a:pt x="184" y="66"/>
                                </a:lnTo>
                                <a:lnTo>
                                  <a:pt x="182" y="65"/>
                                </a:lnTo>
                                <a:lnTo>
                                  <a:pt x="183" y="35"/>
                                </a:lnTo>
                                <a:lnTo>
                                  <a:pt x="186" y="35"/>
                                </a:lnTo>
                                <a:close/>
                                <a:moveTo>
                                  <a:pt x="184" y="66"/>
                                </a:moveTo>
                                <a:lnTo>
                                  <a:pt x="184" y="67"/>
                                </a:lnTo>
                                <a:lnTo>
                                  <a:pt x="183" y="67"/>
                                </a:lnTo>
                                <a:lnTo>
                                  <a:pt x="183" y="65"/>
                                </a:lnTo>
                                <a:lnTo>
                                  <a:pt x="184" y="66"/>
                                </a:lnTo>
                                <a:close/>
                                <a:moveTo>
                                  <a:pt x="183" y="67"/>
                                </a:moveTo>
                                <a:cubicBezTo>
                                  <a:pt x="177" y="65"/>
                                  <a:pt x="159" y="66"/>
                                  <a:pt x="159" y="66"/>
                                </a:cubicBezTo>
                                <a:lnTo>
                                  <a:pt x="159" y="63"/>
                                </a:lnTo>
                                <a:cubicBezTo>
                                  <a:pt x="159" y="63"/>
                                  <a:pt x="177" y="63"/>
                                  <a:pt x="183" y="64"/>
                                </a:cubicBezTo>
                                <a:lnTo>
                                  <a:pt x="183" y="67"/>
                                </a:lnTo>
                                <a:close/>
                                <a:moveTo>
                                  <a:pt x="159" y="66"/>
                                </a:moveTo>
                                <a:lnTo>
                                  <a:pt x="156" y="66"/>
                                </a:lnTo>
                                <a:lnTo>
                                  <a:pt x="158" y="64"/>
                                </a:lnTo>
                                <a:lnTo>
                                  <a:pt x="159" y="65"/>
                                </a:lnTo>
                                <a:lnTo>
                                  <a:pt x="159" y="66"/>
                                </a:lnTo>
                                <a:close/>
                                <a:moveTo>
                                  <a:pt x="158" y="64"/>
                                </a:moveTo>
                                <a:lnTo>
                                  <a:pt x="170" y="51"/>
                                </a:lnTo>
                                <a:lnTo>
                                  <a:pt x="171" y="52"/>
                                </a:lnTo>
                                <a:lnTo>
                                  <a:pt x="160" y="65"/>
                                </a:lnTo>
                                <a:lnTo>
                                  <a:pt x="158" y="64"/>
                                </a:lnTo>
                                <a:close/>
                                <a:moveTo>
                                  <a:pt x="172" y="51"/>
                                </a:moveTo>
                                <a:lnTo>
                                  <a:pt x="172" y="52"/>
                                </a:lnTo>
                                <a:lnTo>
                                  <a:pt x="171" y="52"/>
                                </a:lnTo>
                                <a:lnTo>
                                  <a:pt x="170" y="51"/>
                                </a:lnTo>
                                <a:lnTo>
                                  <a:pt x="172" y="51"/>
                                </a:lnTo>
                                <a:close/>
                                <a:moveTo>
                                  <a:pt x="169" y="51"/>
                                </a:moveTo>
                                <a:lnTo>
                                  <a:pt x="173" y="5"/>
                                </a:lnTo>
                                <a:lnTo>
                                  <a:pt x="175" y="5"/>
                                </a:lnTo>
                                <a:lnTo>
                                  <a:pt x="172" y="51"/>
                                </a:lnTo>
                                <a:lnTo>
                                  <a:pt x="169" y="51"/>
                                </a:lnTo>
                                <a:close/>
                                <a:moveTo>
                                  <a:pt x="174" y="3"/>
                                </a:moveTo>
                                <a:lnTo>
                                  <a:pt x="175" y="4"/>
                                </a:lnTo>
                                <a:lnTo>
                                  <a:pt x="175" y="5"/>
                                </a:lnTo>
                                <a:lnTo>
                                  <a:pt x="174" y="5"/>
                                </a:lnTo>
                                <a:lnTo>
                                  <a:pt x="174" y="3"/>
                                </a:lnTo>
                                <a:close/>
                                <a:moveTo>
                                  <a:pt x="174" y="6"/>
                                </a:moveTo>
                                <a:lnTo>
                                  <a:pt x="174" y="6"/>
                                </a:lnTo>
                                <a:lnTo>
                                  <a:pt x="174" y="3"/>
                                </a:lnTo>
                                <a:lnTo>
                                  <a:pt x="174" y="3"/>
                                </a:lnTo>
                                <a:lnTo>
                                  <a:pt x="174" y="6"/>
                                </a:lnTo>
                                <a:close/>
                                <a:moveTo>
                                  <a:pt x="174" y="3"/>
                                </a:moveTo>
                                <a:lnTo>
                                  <a:pt x="174" y="3"/>
                                </a:lnTo>
                                <a:lnTo>
                                  <a:pt x="174" y="5"/>
                                </a:lnTo>
                                <a:lnTo>
                                  <a:pt x="174" y="3"/>
                                </a:lnTo>
                                <a:close/>
                                <a:moveTo>
                                  <a:pt x="174" y="6"/>
                                </a:moveTo>
                                <a:cubicBezTo>
                                  <a:pt x="172" y="6"/>
                                  <a:pt x="171" y="5"/>
                                  <a:pt x="170" y="5"/>
                                </a:cubicBezTo>
                                <a:lnTo>
                                  <a:pt x="170" y="3"/>
                                </a:lnTo>
                                <a:cubicBezTo>
                                  <a:pt x="172" y="3"/>
                                  <a:pt x="173" y="3"/>
                                  <a:pt x="174" y="3"/>
                                </a:cubicBezTo>
                                <a:lnTo>
                                  <a:pt x="174" y="6"/>
                                </a:lnTo>
                                <a:close/>
                                <a:moveTo>
                                  <a:pt x="170" y="5"/>
                                </a:moveTo>
                                <a:cubicBezTo>
                                  <a:pt x="168" y="5"/>
                                  <a:pt x="167" y="5"/>
                                  <a:pt x="165" y="4"/>
                                </a:cubicBezTo>
                                <a:lnTo>
                                  <a:pt x="165" y="2"/>
                                </a:lnTo>
                                <a:cubicBezTo>
                                  <a:pt x="167" y="2"/>
                                  <a:pt x="168" y="2"/>
                                  <a:pt x="170" y="3"/>
                                </a:cubicBezTo>
                                <a:lnTo>
                                  <a:pt x="170" y="5"/>
                                </a:lnTo>
                                <a:close/>
                                <a:moveTo>
                                  <a:pt x="165" y="4"/>
                                </a:moveTo>
                                <a:cubicBezTo>
                                  <a:pt x="157" y="3"/>
                                  <a:pt x="147" y="3"/>
                                  <a:pt x="137" y="3"/>
                                </a:cubicBezTo>
                                <a:lnTo>
                                  <a:pt x="137" y="0"/>
                                </a:lnTo>
                                <a:cubicBezTo>
                                  <a:pt x="147" y="0"/>
                                  <a:pt x="157" y="1"/>
                                  <a:pt x="165" y="2"/>
                                </a:cubicBezTo>
                                <a:lnTo>
                                  <a:pt x="165" y="4"/>
                                </a:lnTo>
                                <a:close/>
                                <a:moveTo>
                                  <a:pt x="137" y="3"/>
                                </a:moveTo>
                                <a:lnTo>
                                  <a:pt x="137" y="3"/>
                                </a:lnTo>
                                <a:lnTo>
                                  <a:pt x="137" y="0"/>
                                </a:lnTo>
                                <a:lnTo>
                                  <a:pt x="137" y="0"/>
                                </a:lnTo>
                                <a:lnTo>
                                  <a:pt x="137" y="3"/>
                                </a:lnTo>
                                <a:close/>
                                <a:moveTo>
                                  <a:pt x="137" y="3"/>
                                </a:moveTo>
                                <a:cubicBezTo>
                                  <a:pt x="130" y="3"/>
                                  <a:pt x="124" y="3"/>
                                  <a:pt x="117" y="4"/>
                                </a:cubicBezTo>
                                <a:lnTo>
                                  <a:pt x="117" y="1"/>
                                </a:lnTo>
                                <a:cubicBezTo>
                                  <a:pt x="124" y="1"/>
                                  <a:pt x="130" y="0"/>
                                  <a:pt x="137" y="0"/>
                                </a:cubicBezTo>
                                <a:lnTo>
                                  <a:pt x="137" y="3"/>
                                </a:lnTo>
                                <a:close/>
                                <a:moveTo>
                                  <a:pt x="117" y="4"/>
                                </a:moveTo>
                                <a:cubicBezTo>
                                  <a:pt x="117" y="4"/>
                                  <a:pt x="116" y="4"/>
                                  <a:pt x="115" y="4"/>
                                </a:cubicBezTo>
                                <a:lnTo>
                                  <a:pt x="114" y="2"/>
                                </a:lnTo>
                                <a:cubicBezTo>
                                  <a:pt x="115" y="2"/>
                                  <a:pt x="116" y="1"/>
                                  <a:pt x="117" y="1"/>
                                </a:cubicBezTo>
                                <a:lnTo>
                                  <a:pt x="117" y="4"/>
                                </a:lnTo>
                                <a:close/>
                                <a:moveTo>
                                  <a:pt x="115" y="4"/>
                                </a:moveTo>
                                <a:cubicBezTo>
                                  <a:pt x="110" y="5"/>
                                  <a:pt x="105" y="5"/>
                                  <a:pt x="101" y="6"/>
                                </a:cubicBezTo>
                                <a:lnTo>
                                  <a:pt x="101" y="4"/>
                                </a:lnTo>
                                <a:cubicBezTo>
                                  <a:pt x="105" y="3"/>
                                  <a:pt x="109" y="2"/>
                                  <a:pt x="114" y="2"/>
                                </a:cubicBezTo>
                                <a:lnTo>
                                  <a:pt x="115" y="4"/>
                                </a:lnTo>
                                <a:close/>
                                <a:moveTo>
                                  <a:pt x="100" y="5"/>
                                </a:moveTo>
                                <a:lnTo>
                                  <a:pt x="100" y="4"/>
                                </a:lnTo>
                                <a:lnTo>
                                  <a:pt x="101" y="4"/>
                                </a:lnTo>
                                <a:lnTo>
                                  <a:pt x="101" y="5"/>
                                </a:lnTo>
                                <a:lnTo>
                                  <a:pt x="100" y="5"/>
                                </a:lnTo>
                                <a:close/>
                                <a:moveTo>
                                  <a:pt x="102" y="5"/>
                                </a:moveTo>
                                <a:lnTo>
                                  <a:pt x="106" y="52"/>
                                </a:lnTo>
                                <a:lnTo>
                                  <a:pt x="103" y="52"/>
                                </a:lnTo>
                                <a:lnTo>
                                  <a:pt x="100" y="5"/>
                                </a:lnTo>
                                <a:lnTo>
                                  <a:pt x="102" y="5"/>
                                </a:lnTo>
                                <a:close/>
                                <a:moveTo>
                                  <a:pt x="104" y="52"/>
                                </a:moveTo>
                                <a:lnTo>
                                  <a:pt x="103" y="52"/>
                                </a:lnTo>
                                <a:lnTo>
                                  <a:pt x="103" y="52"/>
                                </a:lnTo>
                                <a:lnTo>
                                  <a:pt x="104" y="52"/>
                                </a:lnTo>
                                <a:close/>
                                <a:moveTo>
                                  <a:pt x="105" y="51"/>
                                </a:moveTo>
                                <a:lnTo>
                                  <a:pt x="117" y="64"/>
                                </a:lnTo>
                                <a:lnTo>
                                  <a:pt x="115" y="65"/>
                                </a:lnTo>
                                <a:lnTo>
                                  <a:pt x="104" y="52"/>
                                </a:lnTo>
                                <a:lnTo>
                                  <a:pt x="105" y="51"/>
                                </a:lnTo>
                                <a:close/>
                                <a:moveTo>
                                  <a:pt x="117" y="64"/>
                                </a:moveTo>
                                <a:lnTo>
                                  <a:pt x="119" y="66"/>
                                </a:lnTo>
                                <a:lnTo>
                                  <a:pt x="116" y="66"/>
                                </a:lnTo>
                                <a:lnTo>
                                  <a:pt x="116" y="64"/>
                                </a:lnTo>
                                <a:lnTo>
                                  <a:pt x="117" y="64"/>
                                </a:lnTo>
                                <a:close/>
                                <a:moveTo>
                                  <a:pt x="116" y="66"/>
                                </a:moveTo>
                                <a:cubicBezTo>
                                  <a:pt x="116" y="66"/>
                                  <a:pt x="98" y="66"/>
                                  <a:pt x="92" y="67"/>
                                </a:cubicBezTo>
                                <a:lnTo>
                                  <a:pt x="92" y="64"/>
                                </a:lnTo>
                                <a:cubicBezTo>
                                  <a:pt x="97" y="63"/>
                                  <a:pt x="116" y="63"/>
                                  <a:pt x="116" y="63"/>
                                </a:cubicBezTo>
                                <a:lnTo>
                                  <a:pt x="116" y="66"/>
                                </a:lnTo>
                                <a:close/>
                                <a:moveTo>
                                  <a:pt x="92" y="67"/>
                                </a:moveTo>
                                <a:lnTo>
                                  <a:pt x="91" y="67"/>
                                </a:lnTo>
                                <a:lnTo>
                                  <a:pt x="91" y="66"/>
                                </a:lnTo>
                                <a:lnTo>
                                  <a:pt x="92" y="66"/>
                                </a:lnTo>
                                <a:lnTo>
                                  <a:pt x="92" y="67"/>
                                </a:lnTo>
                                <a:close/>
                                <a:moveTo>
                                  <a:pt x="91" y="66"/>
                                </a:moveTo>
                                <a:lnTo>
                                  <a:pt x="89" y="35"/>
                                </a:lnTo>
                                <a:lnTo>
                                  <a:pt x="92" y="35"/>
                                </a:lnTo>
                                <a:lnTo>
                                  <a:pt x="93" y="66"/>
                                </a:lnTo>
                                <a:lnTo>
                                  <a:pt x="91" y="66"/>
                                </a:lnTo>
                                <a:close/>
                                <a:moveTo>
                                  <a:pt x="91" y="34"/>
                                </a:moveTo>
                                <a:lnTo>
                                  <a:pt x="92" y="34"/>
                                </a:lnTo>
                                <a:lnTo>
                                  <a:pt x="92" y="35"/>
                                </a:lnTo>
                                <a:lnTo>
                                  <a:pt x="90" y="35"/>
                                </a:lnTo>
                                <a:lnTo>
                                  <a:pt x="91" y="34"/>
                                </a:lnTo>
                                <a:close/>
                                <a:moveTo>
                                  <a:pt x="90" y="36"/>
                                </a:moveTo>
                                <a:lnTo>
                                  <a:pt x="62" y="13"/>
                                </a:lnTo>
                                <a:lnTo>
                                  <a:pt x="63" y="11"/>
                                </a:lnTo>
                                <a:lnTo>
                                  <a:pt x="91" y="34"/>
                                </a:lnTo>
                                <a:lnTo>
                                  <a:pt x="90" y="36"/>
                                </a:lnTo>
                                <a:close/>
                                <a:moveTo>
                                  <a:pt x="62" y="11"/>
                                </a:moveTo>
                                <a:lnTo>
                                  <a:pt x="63" y="10"/>
                                </a:lnTo>
                                <a:lnTo>
                                  <a:pt x="63" y="11"/>
                                </a:lnTo>
                                <a:lnTo>
                                  <a:pt x="63" y="12"/>
                                </a:lnTo>
                                <a:lnTo>
                                  <a:pt x="62" y="11"/>
                                </a:lnTo>
                                <a:close/>
                                <a:moveTo>
                                  <a:pt x="63" y="13"/>
                                </a:moveTo>
                                <a:lnTo>
                                  <a:pt x="2" y="27"/>
                                </a:lnTo>
                                <a:lnTo>
                                  <a:pt x="1" y="25"/>
                                </a:lnTo>
                                <a:lnTo>
                                  <a:pt x="62" y="11"/>
                                </a:lnTo>
                                <a:lnTo>
                                  <a:pt x="63" y="13"/>
                                </a:lnTo>
                                <a:close/>
                                <a:moveTo>
                                  <a:pt x="0" y="26"/>
                                </a:moveTo>
                                <a:lnTo>
                                  <a:pt x="0" y="25"/>
                                </a:lnTo>
                                <a:lnTo>
                                  <a:pt x="1" y="25"/>
                                </a:lnTo>
                                <a:lnTo>
                                  <a:pt x="2" y="26"/>
                                </a:lnTo>
                                <a:lnTo>
                                  <a:pt x="0" y="26"/>
                                </a:lnTo>
                                <a:close/>
                                <a:moveTo>
                                  <a:pt x="3" y="26"/>
                                </a:moveTo>
                                <a:lnTo>
                                  <a:pt x="13" y="70"/>
                                </a:lnTo>
                                <a:lnTo>
                                  <a:pt x="11" y="71"/>
                                </a:lnTo>
                                <a:lnTo>
                                  <a:pt x="0" y="26"/>
                                </a:lnTo>
                                <a:lnTo>
                                  <a:pt x="3" y="26"/>
                                </a:lnTo>
                                <a:close/>
                                <a:moveTo>
                                  <a:pt x="12" y="72"/>
                                </a:moveTo>
                                <a:lnTo>
                                  <a:pt x="11" y="71"/>
                                </a:lnTo>
                                <a:lnTo>
                                  <a:pt x="11" y="71"/>
                                </a:lnTo>
                                <a:lnTo>
                                  <a:pt x="12" y="70"/>
                                </a:lnTo>
                                <a:lnTo>
                                  <a:pt x="12" y="72"/>
                                </a:lnTo>
                                <a:close/>
                                <a:moveTo>
                                  <a:pt x="13" y="69"/>
                                </a:moveTo>
                                <a:lnTo>
                                  <a:pt x="35" y="77"/>
                                </a:lnTo>
                                <a:lnTo>
                                  <a:pt x="34" y="79"/>
                                </a:lnTo>
                                <a:lnTo>
                                  <a:pt x="12" y="72"/>
                                </a:lnTo>
                                <a:lnTo>
                                  <a:pt x="13" y="69"/>
                                </a:lnTo>
                                <a:close/>
                                <a:moveTo>
                                  <a:pt x="35" y="77"/>
                                </a:moveTo>
                                <a:lnTo>
                                  <a:pt x="36" y="77"/>
                                </a:lnTo>
                                <a:lnTo>
                                  <a:pt x="36" y="78"/>
                                </a:lnTo>
                                <a:lnTo>
                                  <a:pt x="35" y="78"/>
                                </a:lnTo>
                                <a:lnTo>
                                  <a:pt x="35" y="77"/>
                                </a:lnTo>
                                <a:close/>
                                <a:moveTo>
                                  <a:pt x="36" y="78"/>
                                </a:moveTo>
                                <a:lnTo>
                                  <a:pt x="46" y="118"/>
                                </a:lnTo>
                                <a:lnTo>
                                  <a:pt x="43" y="118"/>
                                </a:lnTo>
                                <a:lnTo>
                                  <a:pt x="34" y="79"/>
                                </a:lnTo>
                                <a:lnTo>
                                  <a:pt x="36" y="78"/>
                                </a:lnTo>
                                <a:close/>
                                <a:moveTo>
                                  <a:pt x="46" y="118"/>
                                </a:moveTo>
                                <a:lnTo>
                                  <a:pt x="46" y="119"/>
                                </a:lnTo>
                                <a:lnTo>
                                  <a:pt x="45" y="119"/>
                                </a:lnTo>
                                <a:lnTo>
                                  <a:pt x="45" y="118"/>
                                </a:lnTo>
                                <a:lnTo>
                                  <a:pt x="46" y="118"/>
                                </a:lnTo>
                                <a:close/>
                                <a:moveTo>
                                  <a:pt x="45" y="119"/>
                                </a:moveTo>
                                <a:cubicBezTo>
                                  <a:pt x="42" y="120"/>
                                  <a:pt x="41" y="121"/>
                                  <a:pt x="41" y="121"/>
                                </a:cubicBezTo>
                                <a:lnTo>
                                  <a:pt x="39" y="120"/>
                                </a:lnTo>
                                <a:cubicBezTo>
                                  <a:pt x="39" y="120"/>
                                  <a:pt x="40" y="117"/>
                                  <a:pt x="44" y="117"/>
                                </a:cubicBezTo>
                                <a:lnTo>
                                  <a:pt x="45" y="119"/>
                                </a:lnTo>
                                <a:close/>
                                <a:moveTo>
                                  <a:pt x="38" y="121"/>
                                </a:moveTo>
                                <a:lnTo>
                                  <a:pt x="38" y="120"/>
                                </a:lnTo>
                                <a:lnTo>
                                  <a:pt x="39" y="120"/>
                                </a:lnTo>
                                <a:lnTo>
                                  <a:pt x="40" y="120"/>
                                </a:lnTo>
                                <a:lnTo>
                                  <a:pt x="38" y="121"/>
                                </a:lnTo>
                                <a:close/>
                                <a:moveTo>
                                  <a:pt x="41" y="120"/>
                                </a:moveTo>
                                <a:lnTo>
                                  <a:pt x="42" y="136"/>
                                </a:lnTo>
                                <a:lnTo>
                                  <a:pt x="40" y="136"/>
                                </a:lnTo>
                                <a:lnTo>
                                  <a:pt x="38" y="121"/>
                                </a:lnTo>
                                <a:lnTo>
                                  <a:pt x="41" y="120"/>
                                </a:lnTo>
                                <a:close/>
                                <a:moveTo>
                                  <a:pt x="42" y="137"/>
                                </a:moveTo>
                                <a:lnTo>
                                  <a:pt x="40" y="138"/>
                                </a:lnTo>
                                <a:lnTo>
                                  <a:pt x="40" y="136"/>
                                </a:lnTo>
                                <a:lnTo>
                                  <a:pt x="41" y="136"/>
                                </a:lnTo>
                                <a:lnTo>
                                  <a:pt x="42" y="137"/>
                                </a:lnTo>
                                <a:close/>
                              </a:path>
                            </a:pathLst>
                          </a:custGeom>
                          <a:solidFill>
                            <a:srgbClr val="24211D"/>
                          </a:solidFill>
                          <a:ln w="9525">
                            <a:noFill/>
                            <a:round/>
                            <a:headEnd/>
                            <a:tailEnd/>
                          </a:ln>
                        </wps:spPr>
                        <wps:bodyPr/>
                      </wps:wsp>
                      <wps:wsp>
                        <wps:cNvPr id="169" name="Freeform 103"/>
                        <wps:cNvSpPr>
                          <a:spLocks noEditPoints="1"/>
                        </wps:cNvSpPr>
                        <wps:spPr bwMode="auto">
                          <a:xfrm>
                            <a:off x="164" y="85"/>
                            <a:ext cx="154" cy="13"/>
                          </a:xfrm>
                          <a:custGeom>
                            <a:avLst/>
                            <a:gdLst/>
                            <a:ahLst/>
                            <a:cxnLst>
                              <a:cxn ang="0">
                                <a:pos x="0" y="14"/>
                              </a:cxn>
                              <a:cxn ang="0">
                                <a:pos x="0" y="14"/>
                              </a:cxn>
                              <a:cxn ang="0">
                                <a:pos x="1" y="16"/>
                              </a:cxn>
                              <a:cxn ang="0">
                                <a:pos x="1" y="16"/>
                              </a:cxn>
                              <a:cxn ang="0">
                                <a:pos x="0" y="14"/>
                              </a:cxn>
                              <a:cxn ang="0">
                                <a:pos x="1" y="16"/>
                              </a:cxn>
                              <a:cxn ang="0">
                                <a:pos x="1" y="16"/>
                              </a:cxn>
                              <a:cxn ang="0">
                                <a:pos x="1" y="15"/>
                              </a:cxn>
                              <a:cxn ang="0">
                                <a:pos x="1" y="16"/>
                              </a:cxn>
                              <a:cxn ang="0">
                                <a:pos x="0" y="14"/>
                              </a:cxn>
                              <a:cxn ang="0">
                                <a:pos x="12" y="10"/>
                              </a:cxn>
                              <a:cxn ang="0">
                                <a:pos x="12" y="13"/>
                              </a:cxn>
                              <a:cxn ang="0">
                                <a:pos x="1" y="16"/>
                              </a:cxn>
                              <a:cxn ang="0">
                                <a:pos x="0" y="14"/>
                              </a:cxn>
                              <a:cxn ang="0">
                                <a:pos x="12" y="10"/>
                              </a:cxn>
                              <a:cxn ang="0">
                                <a:pos x="24" y="7"/>
                              </a:cxn>
                              <a:cxn ang="0">
                                <a:pos x="24" y="10"/>
                              </a:cxn>
                              <a:cxn ang="0">
                                <a:pos x="12" y="13"/>
                              </a:cxn>
                              <a:cxn ang="0">
                                <a:pos x="12" y="10"/>
                              </a:cxn>
                              <a:cxn ang="0">
                                <a:pos x="24" y="7"/>
                              </a:cxn>
                              <a:cxn ang="0">
                                <a:pos x="95" y="0"/>
                              </a:cxn>
                              <a:cxn ang="0">
                                <a:pos x="95" y="3"/>
                              </a:cxn>
                              <a:cxn ang="0">
                                <a:pos x="24" y="10"/>
                              </a:cxn>
                              <a:cxn ang="0">
                                <a:pos x="24" y="7"/>
                              </a:cxn>
                              <a:cxn ang="0">
                                <a:pos x="95" y="0"/>
                              </a:cxn>
                              <a:cxn ang="0">
                                <a:pos x="95" y="0"/>
                              </a:cxn>
                              <a:cxn ang="0">
                                <a:pos x="95" y="3"/>
                              </a:cxn>
                              <a:cxn ang="0">
                                <a:pos x="95" y="3"/>
                              </a:cxn>
                              <a:cxn ang="0">
                                <a:pos x="95" y="0"/>
                              </a:cxn>
                              <a:cxn ang="0">
                                <a:pos x="95" y="0"/>
                              </a:cxn>
                              <a:cxn ang="0">
                                <a:pos x="143" y="3"/>
                              </a:cxn>
                              <a:cxn ang="0">
                                <a:pos x="143" y="6"/>
                              </a:cxn>
                              <a:cxn ang="0">
                                <a:pos x="95" y="3"/>
                              </a:cxn>
                              <a:cxn ang="0">
                                <a:pos x="95" y="0"/>
                              </a:cxn>
                              <a:cxn ang="0">
                                <a:pos x="143" y="3"/>
                              </a:cxn>
                              <a:cxn ang="0">
                                <a:pos x="151" y="5"/>
                              </a:cxn>
                              <a:cxn ang="0">
                                <a:pos x="151" y="7"/>
                              </a:cxn>
                              <a:cxn ang="0">
                                <a:pos x="143" y="6"/>
                              </a:cxn>
                              <a:cxn ang="0">
                                <a:pos x="143" y="3"/>
                              </a:cxn>
                              <a:cxn ang="0">
                                <a:pos x="151" y="5"/>
                              </a:cxn>
                              <a:cxn ang="0">
                                <a:pos x="187" y="13"/>
                              </a:cxn>
                              <a:cxn ang="0">
                                <a:pos x="186" y="15"/>
                              </a:cxn>
                              <a:cxn ang="0">
                                <a:pos x="151" y="7"/>
                              </a:cxn>
                              <a:cxn ang="0">
                                <a:pos x="151" y="5"/>
                              </a:cxn>
                            </a:cxnLst>
                            <a:rect l="0" t="0" r="r" b="b"/>
                            <a:pathLst>
                              <a:path w="187" h="16">
                                <a:moveTo>
                                  <a:pt x="0" y="14"/>
                                </a:moveTo>
                                <a:lnTo>
                                  <a:pt x="0" y="14"/>
                                </a:lnTo>
                                <a:lnTo>
                                  <a:pt x="1" y="16"/>
                                </a:lnTo>
                                <a:lnTo>
                                  <a:pt x="1" y="16"/>
                                </a:lnTo>
                                <a:lnTo>
                                  <a:pt x="0" y="14"/>
                                </a:lnTo>
                                <a:close/>
                                <a:moveTo>
                                  <a:pt x="1" y="16"/>
                                </a:moveTo>
                                <a:lnTo>
                                  <a:pt x="1" y="16"/>
                                </a:lnTo>
                                <a:lnTo>
                                  <a:pt x="1" y="15"/>
                                </a:lnTo>
                                <a:lnTo>
                                  <a:pt x="1" y="16"/>
                                </a:lnTo>
                                <a:close/>
                                <a:moveTo>
                                  <a:pt x="0" y="14"/>
                                </a:moveTo>
                                <a:cubicBezTo>
                                  <a:pt x="4" y="12"/>
                                  <a:pt x="8" y="11"/>
                                  <a:pt x="12" y="10"/>
                                </a:cubicBezTo>
                                <a:lnTo>
                                  <a:pt x="12" y="13"/>
                                </a:lnTo>
                                <a:cubicBezTo>
                                  <a:pt x="8" y="14"/>
                                  <a:pt x="5" y="15"/>
                                  <a:pt x="1" y="16"/>
                                </a:cubicBezTo>
                                <a:lnTo>
                                  <a:pt x="0" y="14"/>
                                </a:lnTo>
                                <a:close/>
                                <a:moveTo>
                                  <a:pt x="12" y="10"/>
                                </a:moveTo>
                                <a:cubicBezTo>
                                  <a:pt x="15" y="9"/>
                                  <a:pt x="20" y="8"/>
                                  <a:pt x="24" y="7"/>
                                </a:cubicBezTo>
                                <a:lnTo>
                                  <a:pt x="24" y="10"/>
                                </a:lnTo>
                                <a:cubicBezTo>
                                  <a:pt x="20" y="11"/>
                                  <a:pt x="16" y="12"/>
                                  <a:pt x="12" y="13"/>
                                </a:cubicBezTo>
                                <a:lnTo>
                                  <a:pt x="12" y="10"/>
                                </a:lnTo>
                                <a:close/>
                                <a:moveTo>
                                  <a:pt x="24" y="7"/>
                                </a:moveTo>
                                <a:cubicBezTo>
                                  <a:pt x="45" y="3"/>
                                  <a:pt x="70" y="0"/>
                                  <a:pt x="95" y="0"/>
                                </a:cubicBezTo>
                                <a:lnTo>
                                  <a:pt x="95" y="3"/>
                                </a:lnTo>
                                <a:cubicBezTo>
                                  <a:pt x="70" y="3"/>
                                  <a:pt x="45" y="5"/>
                                  <a:pt x="24" y="10"/>
                                </a:cubicBezTo>
                                <a:lnTo>
                                  <a:pt x="24" y="7"/>
                                </a:lnTo>
                                <a:close/>
                                <a:moveTo>
                                  <a:pt x="95" y="0"/>
                                </a:moveTo>
                                <a:lnTo>
                                  <a:pt x="95" y="0"/>
                                </a:lnTo>
                                <a:lnTo>
                                  <a:pt x="95" y="3"/>
                                </a:lnTo>
                                <a:lnTo>
                                  <a:pt x="95" y="3"/>
                                </a:lnTo>
                                <a:lnTo>
                                  <a:pt x="95" y="0"/>
                                </a:lnTo>
                                <a:close/>
                                <a:moveTo>
                                  <a:pt x="95" y="0"/>
                                </a:moveTo>
                                <a:cubicBezTo>
                                  <a:pt x="111" y="0"/>
                                  <a:pt x="128" y="1"/>
                                  <a:pt x="143" y="3"/>
                                </a:cubicBezTo>
                                <a:lnTo>
                                  <a:pt x="143" y="6"/>
                                </a:lnTo>
                                <a:cubicBezTo>
                                  <a:pt x="128" y="4"/>
                                  <a:pt x="111" y="3"/>
                                  <a:pt x="95" y="3"/>
                                </a:cubicBezTo>
                                <a:lnTo>
                                  <a:pt x="95" y="0"/>
                                </a:lnTo>
                                <a:close/>
                                <a:moveTo>
                                  <a:pt x="143" y="3"/>
                                </a:moveTo>
                                <a:cubicBezTo>
                                  <a:pt x="146" y="4"/>
                                  <a:pt x="149" y="4"/>
                                  <a:pt x="151" y="5"/>
                                </a:cubicBezTo>
                                <a:lnTo>
                                  <a:pt x="151" y="7"/>
                                </a:lnTo>
                                <a:cubicBezTo>
                                  <a:pt x="148" y="7"/>
                                  <a:pt x="146" y="6"/>
                                  <a:pt x="143" y="6"/>
                                </a:cubicBezTo>
                                <a:lnTo>
                                  <a:pt x="143" y="3"/>
                                </a:lnTo>
                                <a:close/>
                                <a:moveTo>
                                  <a:pt x="151" y="5"/>
                                </a:moveTo>
                                <a:cubicBezTo>
                                  <a:pt x="164" y="7"/>
                                  <a:pt x="176" y="9"/>
                                  <a:pt x="187" y="13"/>
                                </a:cubicBezTo>
                                <a:lnTo>
                                  <a:pt x="186" y="15"/>
                                </a:lnTo>
                                <a:cubicBezTo>
                                  <a:pt x="175" y="12"/>
                                  <a:pt x="163" y="9"/>
                                  <a:pt x="151" y="7"/>
                                </a:cubicBezTo>
                                <a:lnTo>
                                  <a:pt x="151" y="5"/>
                                </a:lnTo>
                                <a:close/>
                              </a:path>
                            </a:pathLst>
                          </a:custGeom>
                          <a:solidFill>
                            <a:srgbClr val="24211D"/>
                          </a:solidFill>
                          <a:ln w="9525">
                            <a:noFill/>
                            <a:round/>
                            <a:headEnd/>
                            <a:tailEnd/>
                          </a:ln>
                        </wps:spPr>
                        <wps:bodyPr/>
                      </wps:wsp>
                      <wps:wsp>
                        <wps:cNvPr id="170" name="Freeform 104"/>
                        <wps:cNvSpPr>
                          <a:spLocks noEditPoints="1"/>
                        </wps:cNvSpPr>
                        <wps:spPr bwMode="auto">
                          <a:xfrm>
                            <a:off x="161" y="70"/>
                            <a:ext cx="160" cy="15"/>
                          </a:xfrm>
                          <a:custGeom>
                            <a:avLst/>
                            <a:gdLst/>
                            <a:ahLst/>
                            <a:cxnLst>
                              <a:cxn ang="0">
                                <a:pos x="0" y="16"/>
                              </a:cxn>
                              <a:cxn ang="0">
                                <a:pos x="0" y="16"/>
                              </a:cxn>
                              <a:cxn ang="0">
                                <a:pos x="1" y="18"/>
                              </a:cxn>
                              <a:cxn ang="0">
                                <a:pos x="1" y="18"/>
                              </a:cxn>
                              <a:cxn ang="0">
                                <a:pos x="0" y="16"/>
                              </a:cxn>
                              <a:cxn ang="0">
                                <a:pos x="0" y="16"/>
                              </a:cxn>
                              <a:cxn ang="0">
                                <a:pos x="0" y="16"/>
                              </a:cxn>
                              <a:cxn ang="0">
                                <a:pos x="0" y="17"/>
                              </a:cxn>
                              <a:cxn ang="0">
                                <a:pos x="0" y="16"/>
                              </a:cxn>
                              <a:cxn ang="0">
                                <a:pos x="0" y="16"/>
                              </a:cxn>
                              <a:cxn ang="0">
                                <a:pos x="11" y="12"/>
                              </a:cxn>
                              <a:cxn ang="0">
                                <a:pos x="12" y="14"/>
                              </a:cxn>
                              <a:cxn ang="0">
                                <a:pos x="1" y="18"/>
                              </a:cxn>
                              <a:cxn ang="0">
                                <a:pos x="0" y="16"/>
                              </a:cxn>
                              <a:cxn ang="0">
                                <a:pos x="11" y="12"/>
                              </a:cxn>
                              <a:cxn ang="0">
                                <a:pos x="24" y="9"/>
                              </a:cxn>
                              <a:cxn ang="0">
                                <a:pos x="24" y="11"/>
                              </a:cxn>
                              <a:cxn ang="0">
                                <a:pos x="12" y="14"/>
                              </a:cxn>
                              <a:cxn ang="0">
                                <a:pos x="11" y="12"/>
                              </a:cxn>
                              <a:cxn ang="0">
                                <a:pos x="24" y="9"/>
                              </a:cxn>
                              <a:cxn ang="0">
                                <a:pos x="99" y="0"/>
                              </a:cxn>
                              <a:cxn ang="0">
                                <a:pos x="99" y="3"/>
                              </a:cxn>
                              <a:cxn ang="0">
                                <a:pos x="24" y="11"/>
                              </a:cxn>
                              <a:cxn ang="0">
                                <a:pos x="24" y="9"/>
                              </a:cxn>
                              <a:cxn ang="0">
                                <a:pos x="99" y="0"/>
                              </a:cxn>
                              <a:cxn ang="0">
                                <a:pos x="99" y="0"/>
                              </a:cxn>
                              <a:cxn ang="0">
                                <a:pos x="99" y="3"/>
                              </a:cxn>
                              <a:cxn ang="0">
                                <a:pos x="99" y="3"/>
                              </a:cxn>
                              <a:cxn ang="0">
                                <a:pos x="99" y="0"/>
                              </a:cxn>
                              <a:cxn ang="0">
                                <a:pos x="99" y="0"/>
                              </a:cxn>
                              <a:cxn ang="0">
                                <a:pos x="150" y="4"/>
                              </a:cxn>
                              <a:cxn ang="0">
                                <a:pos x="150" y="7"/>
                              </a:cxn>
                              <a:cxn ang="0">
                                <a:pos x="99" y="3"/>
                              </a:cxn>
                              <a:cxn ang="0">
                                <a:pos x="99" y="0"/>
                              </a:cxn>
                              <a:cxn ang="0">
                                <a:pos x="150" y="4"/>
                              </a:cxn>
                              <a:cxn ang="0">
                                <a:pos x="158" y="5"/>
                              </a:cxn>
                              <a:cxn ang="0">
                                <a:pos x="158" y="8"/>
                              </a:cxn>
                              <a:cxn ang="0">
                                <a:pos x="150" y="7"/>
                              </a:cxn>
                              <a:cxn ang="0">
                                <a:pos x="150" y="4"/>
                              </a:cxn>
                              <a:cxn ang="0">
                                <a:pos x="158" y="5"/>
                              </a:cxn>
                              <a:cxn ang="0">
                                <a:pos x="195" y="15"/>
                              </a:cxn>
                              <a:cxn ang="0">
                                <a:pos x="194" y="17"/>
                              </a:cxn>
                              <a:cxn ang="0">
                                <a:pos x="158" y="8"/>
                              </a:cxn>
                              <a:cxn ang="0">
                                <a:pos x="158" y="5"/>
                              </a:cxn>
                            </a:cxnLst>
                            <a:rect l="0" t="0" r="r" b="b"/>
                            <a:pathLst>
                              <a:path w="195" h="18">
                                <a:moveTo>
                                  <a:pt x="0" y="16"/>
                                </a:moveTo>
                                <a:lnTo>
                                  <a:pt x="0" y="16"/>
                                </a:lnTo>
                                <a:lnTo>
                                  <a:pt x="1" y="18"/>
                                </a:lnTo>
                                <a:lnTo>
                                  <a:pt x="1" y="18"/>
                                </a:lnTo>
                                <a:lnTo>
                                  <a:pt x="0" y="16"/>
                                </a:lnTo>
                                <a:close/>
                                <a:moveTo>
                                  <a:pt x="0" y="16"/>
                                </a:moveTo>
                                <a:lnTo>
                                  <a:pt x="0" y="16"/>
                                </a:lnTo>
                                <a:lnTo>
                                  <a:pt x="0" y="17"/>
                                </a:lnTo>
                                <a:lnTo>
                                  <a:pt x="0" y="16"/>
                                </a:lnTo>
                                <a:close/>
                                <a:moveTo>
                                  <a:pt x="0" y="16"/>
                                </a:moveTo>
                                <a:cubicBezTo>
                                  <a:pt x="3" y="14"/>
                                  <a:pt x="7" y="13"/>
                                  <a:pt x="11" y="12"/>
                                </a:cubicBezTo>
                                <a:lnTo>
                                  <a:pt x="12" y="14"/>
                                </a:lnTo>
                                <a:cubicBezTo>
                                  <a:pt x="8" y="16"/>
                                  <a:pt x="4" y="17"/>
                                  <a:pt x="1" y="18"/>
                                </a:cubicBezTo>
                                <a:lnTo>
                                  <a:pt x="0" y="16"/>
                                </a:lnTo>
                                <a:close/>
                                <a:moveTo>
                                  <a:pt x="11" y="12"/>
                                </a:moveTo>
                                <a:cubicBezTo>
                                  <a:pt x="15" y="11"/>
                                  <a:pt x="19" y="10"/>
                                  <a:pt x="24" y="9"/>
                                </a:cubicBezTo>
                                <a:lnTo>
                                  <a:pt x="24" y="11"/>
                                </a:lnTo>
                                <a:cubicBezTo>
                                  <a:pt x="20" y="12"/>
                                  <a:pt x="16" y="13"/>
                                  <a:pt x="12" y="14"/>
                                </a:cubicBezTo>
                                <a:lnTo>
                                  <a:pt x="11" y="12"/>
                                </a:lnTo>
                                <a:close/>
                                <a:moveTo>
                                  <a:pt x="24" y="9"/>
                                </a:moveTo>
                                <a:cubicBezTo>
                                  <a:pt x="46" y="3"/>
                                  <a:pt x="72" y="0"/>
                                  <a:pt x="99" y="0"/>
                                </a:cubicBezTo>
                                <a:lnTo>
                                  <a:pt x="99" y="3"/>
                                </a:lnTo>
                                <a:cubicBezTo>
                                  <a:pt x="73" y="3"/>
                                  <a:pt x="47" y="6"/>
                                  <a:pt x="24" y="11"/>
                                </a:cubicBezTo>
                                <a:lnTo>
                                  <a:pt x="24" y="9"/>
                                </a:lnTo>
                                <a:close/>
                                <a:moveTo>
                                  <a:pt x="99" y="0"/>
                                </a:moveTo>
                                <a:lnTo>
                                  <a:pt x="99" y="0"/>
                                </a:lnTo>
                                <a:lnTo>
                                  <a:pt x="99" y="3"/>
                                </a:lnTo>
                                <a:lnTo>
                                  <a:pt x="99" y="3"/>
                                </a:lnTo>
                                <a:lnTo>
                                  <a:pt x="99" y="0"/>
                                </a:lnTo>
                                <a:close/>
                                <a:moveTo>
                                  <a:pt x="99" y="0"/>
                                </a:moveTo>
                                <a:cubicBezTo>
                                  <a:pt x="116" y="0"/>
                                  <a:pt x="134" y="2"/>
                                  <a:pt x="150" y="4"/>
                                </a:cubicBezTo>
                                <a:lnTo>
                                  <a:pt x="150" y="7"/>
                                </a:lnTo>
                                <a:cubicBezTo>
                                  <a:pt x="134" y="4"/>
                                  <a:pt x="116" y="3"/>
                                  <a:pt x="99" y="3"/>
                                </a:cubicBezTo>
                                <a:lnTo>
                                  <a:pt x="99" y="0"/>
                                </a:lnTo>
                                <a:close/>
                                <a:moveTo>
                                  <a:pt x="150" y="4"/>
                                </a:moveTo>
                                <a:cubicBezTo>
                                  <a:pt x="153" y="5"/>
                                  <a:pt x="156" y="5"/>
                                  <a:pt x="158" y="5"/>
                                </a:cubicBezTo>
                                <a:lnTo>
                                  <a:pt x="158" y="8"/>
                                </a:lnTo>
                                <a:cubicBezTo>
                                  <a:pt x="155" y="7"/>
                                  <a:pt x="153" y="7"/>
                                  <a:pt x="150" y="7"/>
                                </a:cubicBezTo>
                                <a:lnTo>
                                  <a:pt x="150" y="4"/>
                                </a:lnTo>
                                <a:close/>
                                <a:moveTo>
                                  <a:pt x="158" y="5"/>
                                </a:moveTo>
                                <a:cubicBezTo>
                                  <a:pt x="172" y="8"/>
                                  <a:pt x="184" y="11"/>
                                  <a:pt x="195" y="15"/>
                                </a:cubicBezTo>
                                <a:lnTo>
                                  <a:pt x="194" y="17"/>
                                </a:lnTo>
                                <a:cubicBezTo>
                                  <a:pt x="183" y="13"/>
                                  <a:pt x="171" y="10"/>
                                  <a:pt x="158" y="8"/>
                                </a:cubicBezTo>
                                <a:lnTo>
                                  <a:pt x="158" y="5"/>
                                </a:lnTo>
                                <a:close/>
                              </a:path>
                            </a:pathLst>
                          </a:custGeom>
                          <a:solidFill>
                            <a:srgbClr val="24211D"/>
                          </a:solidFill>
                          <a:ln w="9525">
                            <a:noFill/>
                            <a:round/>
                            <a:headEnd/>
                            <a:tailEnd/>
                          </a:ln>
                        </wps:spPr>
                        <wps:bodyPr/>
                      </wps:wsp>
                      <wps:wsp>
                        <wps:cNvPr id="171" name="Freeform 105"/>
                        <wps:cNvSpPr>
                          <a:spLocks noEditPoints="1"/>
                        </wps:cNvSpPr>
                        <wps:spPr bwMode="auto">
                          <a:xfrm>
                            <a:off x="156" y="53"/>
                            <a:ext cx="48" cy="13"/>
                          </a:xfrm>
                          <a:custGeom>
                            <a:avLst/>
                            <a:gdLst/>
                            <a:ahLst/>
                            <a:cxnLst>
                              <a:cxn ang="0">
                                <a:pos x="0" y="13"/>
                              </a:cxn>
                              <a:cxn ang="0">
                                <a:pos x="0" y="13"/>
                              </a:cxn>
                              <a:cxn ang="0">
                                <a:pos x="0" y="15"/>
                              </a:cxn>
                              <a:cxn ang="0">
                                <a:pos x="0" y="15"/>
                              </a:cxn>
                              <a:cxn ang="0">
                                <a:pos x="0" y="13"/>
                              </a:cxn>
                              <a:cxn ang="0">
                                <a:pos x="0" y="15"/>
                              </a:cxn>
                              <a:cxn ang="0">
                                <a:pos x="0" y="15"/>
                              </a:cxn>
                              <a:cxn ang="0">
                                <a:pos x="0" y="14"/>
                              </a:cxn>
                              <a:cxn ang="0">
                                <a:pos x="0" y="15"/>
                              </a:cxn>
                              <a:cxn ang="0">
                                <a:pos x="0" y="13"/>
                              </a:cxn>
                              <a:cxn ang="0">
                                <a:pos x="7" y="10"/>
                              </a:cxn>
                              <a:cxn ang="0">
                                <a:pos x="7" y="13"/>
                              </a:cxn>
                              <a:cxn ang="0">
                                <a:pos x="0" y="15"/>
                              </a:cxn>
                              <a:cxn ang="0">
                                <a:pos x="0" y="13"/>
                              </a:cxn>
                              <a:cxn ang="0">
                                <a:pos x="7" y="10"/>
                              </a:cxn>
                              <a:cxn ang="0">
                                <a:pos x="14" y="8"/>
                              </a:cxn>
                              <a:cxn ang="0">
                                <a:pos x="15" y="11"/>
                              </a:cxn>
                              <a:cxn ang="0">
                                <a:pos x="7" y="13"/>
                              </a:cxn>
                              <a:cxn ang="0">
                                <a:pos x="7" y="10"/>
                              </a:cxn>
                              <a:cxn ang="0">
                                <a:pos x="14" y="8"/>
                              </a:cxn>
                              <a:cxn ang="0">
                                <a:pos x="58" y="0"/>
                              </a:cxn>
                              <a:cxn ang="0">
                                <a:pos x="59" y="3"/>
                              </a:cxn>
                              <a:cxn ang="0">
                                <a:pos x="15" y="11"/>
                              </a:cxn>
                              <a:cxn ang="0">
                                <a:pos x="14" y="8"/>
                              </a:cxn>
                            </a:cxnLst>
                            <a:rect l="0" t="0" r="r" b="b"/>
                            <a:pathLst>
                              <a:path w="59" h="15">
                                <a:moveTo>
                                  <a:pt x="0" y="13"/>
                                </a:moveTo>
                                <a:lnTo>
                                  <a:pt x="0" y="13"/>
                                </a:lnTo>
                                <a:lnTo>
                                  <a:pt x="0" y="15"/>
                                </a:lnTo>
                                <a:lnTo>
                                  <a:pt x="0" y="15"/>
                                </a:lnTo>
                                <a:lnTo>
                                  <a:pt x="0" y="13"/>
                                </a:lnTo>
                                <a:close/>
                                <a:moveTo>
                                  <a:pt x="0" y="15"/>
                                </a:moveTo>
                                <a:lnTo>
                                  <a:pt x="0" y="15"/>
                                </a:lnTo>
                                <a:lnTo>
                                  <a:pt x="0" y="14"/>
                                </a:lnTo>
                                <a:lnTo>
                                  <a:pt x="0" y="15"/>
                                </a:lnTo>
                                <a:close/>
                                <a:moveTo>
                                  <a:pt x="0" y="13"/>
                                </a:moveTo>
                                <a:cubicBezTo>
                                  <a:pt x="2" y="12"/>
                                  <a:pt x="4" y="11"/>
                                  <a:pt x="7" y="10"/>
                                </a:cubicBezTo>
                                <a:lnTo>
                                  <a:pt x="7" y="13"/>
                                </a:lnTo>
                                <a:cubicBezTo>
                                  <a:pt x="5" y="14"/>
                                  <a:pt x="3" y="14"/>
                                  <a:pt x="0" y="15"/>
                                </a:cubicBezTo>
                                <a:lnTo>
                                  <a:pt x="0" y="13"/>
                                </a:lnTo>
                                <a:close/>
                                <a:moveTo>
                                  <a:pt x="7" y="10"/>
                                </a:moveTo>
                                <a:cubicBezTo>
                                  <a:pt x="9" y="10"/>
                                  <a:pt x="12" y="9"/>
                                  <a:pt x="14" y="8"/>
                                </a:cubicBezTo>
                                <a:lnTo>
                                  <a:pt x="15" y="11"/>
                                </a:lnTo>
                                <a:cubicBezTo>
                                  <a:pt x="12" y="11"/>
                                  <a:pt x="10" y="12"/>
                                  <a:pt x="7" y="13"/>
                                </a:cubicBezTo>
                                <a:lnTo>
                                  <a:pt x="7" y="10"/>
                                </a:lnTo>
                                <a:close/>
                                <a:moveTo>
                                  <a:pt x="14" y="8"/>
                                </a:moveTo>
                                <a:cubicBezTo>
                                  <a:pt x="28" y="5"/>
                                  <a:pt x="42" y="2"/>
                                  <a:pt x="58" y="0"/>
                                </a:cubicBezTo>
                                <a:lnTo>
                                  <a:pt x="59" y="3"/>
                                </a:lnTo>
                                <a:cubicBezTo>
                                  <a:pt x="43" y="5"/>
                                  <a:pt x="28" y="7"/>
                                  <a:pt x="15" y="11"/>
                                </a:cubicBezTo>
                                <a:lnTo>
                                  <a:pt x="14" y="8"/>
                                </a:lnTo>
                                <a:close/>
                              </a:path>
                            </a:pathLst>
                          </a:custGeom>
                          <a:solidFill>
                            <a:srgbClr val="24211D"/>
                          </a:solidFill>
                          <a:ln w="9525">
                            <a:noFill/>
                            <a:round/>
                            <a:headEnd/>
                            <a:tailEnd/>
                          </a:ln>
                        </wps:spPr>
                        <wps:bodyPr/>
                      </wps:wsp>
                      <wps:wsp>
                        <wps:cNvPr id="172" name="Freeform 106"/>
                        <wps:cNvSpPr>
                          <a:spLocks/>
                        </wps:cNvSpPr>
                        <wps:spPr bwMode="auto">
                          <a:xfrm>
                            <a:off x="181" y="77"/>
                            <a:ext cx="3" cy="16"/>
                          </a:xfrm>
                          <a:custGeom>
                            <a:avLst/>
                            <a:gdLst/>
                            <a:ahLst/>
                            <a:cxnLst>
                              <a:cxn ang="0">
                                <a:pos x="1" y="19"/>
                              </a:cxn>
                              <a:cxn ang="0">
                                <a:pos x="0" y="1"/>
                              </a:cxn>
                              <a:cxn ang="0">
                                <a:pos x="2" y="0"/>
                              </a:cxn>
                              <a:cxn ang="0">
                                <a:pos x="3" y="19"/>
                              </a:cxn>
                              <a:cxn ang="0">
                                <a:pos x="1" y="19"/>
                              </a:cxn>
                            </a:cxnLst>
                            <a:rect l="0" t="0" r="r" b="b"/>
                            <a:pathLst>
                              <a:path w="3" h="19">
                                <a:moveTo>
                                  <a:pt x="1" y="19"/>
                                </a:moveTo>
                                <a:lnTo>
                                  <a:pt x="0" y="1"/>
                                </a:lnTo>
                                <a:lnTo>
                                  <a:pt x="2" y="0"/>
                                </a:lnTo>
                                <a:lnTo>
                                  <a:pt x="3" y="19"/>
                                </a:lnTo>
                                <a:lnTo>
                                  <a:pt x="1" y="19"/>
                                </a:lnTo>
                                <a:close/>
                              </a:path>
                            </a:pathLst>
                          </a:custGeom>
                          <a:solidFill>
                            <a:srgbClr val="24211D"/>
                          </a:solidFill>
                          <a:ln w="9525">
                            <a:noFill/>
                            <a:round/>
                            <a:headEnd/>
                            <a:tailEnd/>
                          </a:ln>
                        </wps:spPr>
                        <wps:bodyPr/>
                      </wps:wsp>
                      <wps:wsp>
                        <wps:cNvPr id="173" name="Freeform 107"/>
                        <wps:cNvSpPr>
                          <a:spLocks/>
                        </wps:cNvSpPr>
                        <wps:spPr bwMode="auto">
                          <a:xfrm>
                            <a:off x="298" y="77"/>
                            <a:ext cx="3" cy="16"/>
                          </a:xfrm>
                          <a:custGeom>
                            <a:avLst/>
                            <a:gdLst/>
                            <a:ahLst/>
                            <a:cxnLst>
                              <a:cxn ang="0">
                                <a:pos x="0" y="18"/>
                              </a:cxn>
                              <a:cxn ang="0">
                                <a:pos x="2" y="0"/>
                              </a:cxn>
                              <a:cxn ang="0">
                                <a:pos x="4" y="0"/>
                              </a:cxn>
                              <a:cxn ang="0">
                                <a:pos x="3" y="19"/>
                              </a:cxn>
                              <a:cxn ang="0">
                                <a:pos x="0" y="18"/>
                              </a:cxn>
                            </a:cxnLst>
                            <a:rect l="0" t="0" r="r" b="b"/>
                            <a:pathLst>
                              <a:path w="4" h="19">
                                <a:moveTo>
                                  <a:pt x="0" y="18"/>
                                </a:moveTo>
                                <a:lnTo>
                                  <a:pt x="2" y="0"/>
                                </a:lnTo>
                                <a:lnTo>
                                  <a:pt x="4" y="0"/>
                                </a:lnTo>
                                <a:lnTo>
                                  <a:pt x="3" y="19"/>
                                </a:lnTo>
                                <a:lnTo>
                                  <a:pt x="0" y="18"/>
                                </a:lnTo>
                                <a:close/>
                              </a:path>
                            </a:pathLst>
                          </a:custGeom>
                          <a:solidFill>
                            <a:srgbClr val="24211D"/>
                          </a:solidFill>
                          <a:ln w="9525">
                            <a:noFill/>
                            <a:round/>
                            <a:headEnd/>
                            <a:tailEnd/>
                          </a:ln>
                        </wps:spPr>
                        <wps:bodyPr/>
                      </wps:wsp>
                      <wps:wsp>
                        <wps:cNvPr id="174" name="Rectangle 108"/>
                        <wps:cNvSpPr>
                          <a:spLocks noChangeArrowheads="1"/>
                        </wps:cNvSpPr>
                        <wps:spPr bwMode="auto">
                          <a:xfrm>
                            <a:off x="220" y="72"/>
                            <a:ext cx="2" cy="15"/>
                          </a:xfrm>
                          <a:prstGeom prst="rect">
                            <a:avLst/>
                          </a:prstGeom>
                          <a:solidFill>
                            <a:srgbClr val="24211D"/>
                          </a:solidFill>
                          <a:ln w="9525">
                            <a:noFill/>
                            <a:miter lim="800000"/>
                            <a:headEnd/>
                            <a:tailEnd/>
                          </a:ln>
                        </wps:spPr>
                        <wps:bodyPr/>
                      </wps:wsp>
                      <wps:wsp>
                        <wps:cNvPr id="175" name="Rectangle 109"/>
                        <wps:cNvSpPr>
                          <a:spLocks noChangeArrowheads="1"/>
                        </wps:cNvSpPr>
                        <wps:spPr bwMode="auto">
                          <a:xfrm>
                            <a:off x="260" y="72"/>
                            <a:ext cx="3" cy="15"/>
                          </a:xfrm>
                          <a:prstGeom prst="rect">
                            <a:avLst/>
                          </a:prstGeom>
                          <a:solidFill>
                            <a:srgbClr val="24211D"/>
                          </a:solidFill>
                          <a:ln w="9525">
                            <a:noFill/>
                            <a:miter lim="800000"/>
                            <a:headEnd/>
                            <a:tailEnd/>
                          </a:ln>
                        </wps:spPr>
                        <wps:bodyPr/>
                      </wps:wsp>
                      <wps:wsp>
                        <wps:cNvPr id="176" name="Rectangle 110"/>
                        <wps:cNvSpPr>
                          <a:spLocks noChangeArrowheads="1"/>
                        </wps:cNvSpPr>
                        <wps:spPr bwMode="auto">
                          <a:xfrm>
                            <a:off x="239" y="53"/>
                            <a:ext cx="2" cy="18"/>
                          </a:xfrm>
                          <a:prstGeom prst="rect">
                            <a:avLst/>
                          </a:prstGeom>
                          <a:solidFill>
                            <a:srgbClr val="24211D"/>
                          </a:solidFill>
                          <a:ln w="9525">
                            <a:noFill/>
                            <a:miter lim="800000"/>
                            <a:headEnd/>
                            <a:tailEnd/>
                          </a:ln>
                        </wps:spPr>
                        <wps:bodyPr/>
                      </wps:wsp>
                      <wps:wsp>
                        <wps:cNvPr id="177" name="Freeform 111"/>
                        <wps:cNvSpPr>
                          <a:spLocks/>
                        </wps:cNvSpPr>
                        <wps:spPr bwMode="auto">
                          <a:xfrm>
                            <a:off x="196" y="56"/>
                            <a:ext cx="3" cy="19"/>
                          </a:xfrm>
                          <a:custGeom>
                            <a:avLst/>
                            <a:gdLst/>
                            <a:ahLst/>
                            <a:cxnLst>
                              <a:cxn ang="0">
                                <a:pos x="2" y="23"/>
                              </a:cxn>
                              <a:cxn ang="0">
                                <a:pos x="0" y="0"/>
                              </a:cxn>
                              <a:cxn ang="0">
                                <a:pos x="3" y="0"/>
                              </a:cxn>
                              <a:cxn ang="0">
                                <a:pos x="4" y="23"/>
                              </a:cxn>
                              <a:cxn ang="0">
                                <a:pos x="2" y="23"/>
                              </a:cxn>
                            </a:cxnLst>
                            <a:rect l="0" t="0" r="r" b="b"/>
                            <a:pathLst>
                              <a:path w="4" h="23">
                                <a:moveTo>
                                  <a:pt x="2" y="23"/>
                                </a:moveTo>
                                <a:lnTo>
                                  <a:pt x="0" y="0"/>
                                </a:lnTo>
                                <a:lnTo>
                                  <a:pt x="3" y="0"/>
                                </a:lnTo>
                                <a:lnTo>
                                  <a:pt x="4" y="23"/>
                                </a:lnTo>
                                <a:lnTo>
                                  <a:pt x="2" y="23"/>
                                </a:lnTo>
                                <a:close/>
                              </a:path>
                            </a:pathLst>
                          </a:custGeom>
                          <a:solidFill>
                            <a:srgbClr val="24211D"/>
                          </a:solidFill>
                          <a:ln w="9525">
                            <a:noFill/>
                            <a:round/>
                            <a:headEnd/>
                            <a:tailEnd/>
                          </a:ln>
                        </wps:spPr>
                        <wps:bodyPr/>
                      </wps:wsp>
                      <wps:wsp>
                        <wps:cNvPr id="178" name="Freeform 112"/>
                        <wps:cNvSpPr>
                          <a:spLocks/>
                        </wps:cNvSpPr>
                        <wps:spPr bwMode="auto">
                          <a:xfrm>
                            <a:off x="282" y="56"/>
                            <a:ext cx="4" cy="19"/>
                          </a:xfrm>
                          <a:custGeom>
                            <a:avLst/>
                            <a:gdLst/>
                            <a:ahLst/>
                            <a:cxnLst>
                              <a:cxn ang="0">
                                <a:pos x="0" y="22"/>
                              </a:cxn>
                              <a:cxn ang="0">
                                <a:pos x="1" y="0"/>
                              </a:cxn>
                              <a:cxn ang="0">
                                <a:pos x="4" y="0"/>
                              </a:cxn>
                              <a:cxn ang="0">
                                <a:pos x="2" y="23"/>
                              </a:cxn>
                              <a:cxn ang="0">
                                <a:pos x="0" y="22"/>
                              </a:cxn>
                            </a:cxnLst>
                            <a:rect l="0" t="0" r="r" b="b"/>
                            <a:pathLst>
                              <a:path w="4" h="23">
                                <a:moveTo>
                                  <a:pt x="0" y="22"/>
                                </a:moveTo>
                                <a:lnTo>
                                  <a:pt x="1" y="0"/>
                                </a:lnTo>
                                <a:lnTo>
                                  <a:pt x="4" y="0"/>
                                </a:lnTo>
                                <a:lnTo>
                                  <a:pt x="2" y="23"/>
                                </a:lnTo>
                                <a:lnTo>
                                  <a:pt x="0" y="22"/>
                                </a:lnTo>
                                <a:close/>
                              </a:path>
                            </a:pathLst>
                          </a:custGeom>
                          <a:solidFill>
                            <a:srgbClr val="24211D"/>
                          </a:solidFill>
                          <a:ln w="9525">
                            <a:noFill/>
                            <a:round/>
                            <a:headEnd/>
                            <a:tailEnd/>
                          </a:ln>
                        </wps:spPr>
                        <wps:bodyPr/>
                      </wps:wsp>
                      <wps:wsp>
                        <wps:cNvPr id="179" name="Freeform 113"/>
                        <wps:cNvSpPr>
                          <a:spLocks noEditPoints="1"/>
                        </wps:cNvSpPr>
                        <wps:spPr bwMode="auto">
                          <a:xfrm>
                            <a:off x="223" y="53"/>
                            <a:ext cx="36" cy="2"/>
                          </a:xfrm>
                          <a:custGeom>
                            <a:avLst/>
                            <a:gdLst/>
                            <a:ahLst/>
                            <a:cxnLst>
                              <a:cxn ang="0">
                                <a:pos x="0" y="0"/>
                              </a:cxn>
                              <a:cxn ang="0">
                                <a:pos x="0" y="0"/>
                              </a:cxn>
                              <a:cxn ang="0">
                                <a:pos x="0" y="3"/>
                              </a:cxn>
                              <a:cxn ang="0">
                                <a:pos x="0" y="3"/>
                              </a:cxn>
                              <a:cxn ang="0">
                                <a:pos x="0" y="0"/>
                              </a:cxn>
                              <a:cxn ang="0">
                                <a:pos x="0" y="0"/>
                              </a:cxn>
                              <a:cxn ang="0">
                                <a:pos x="6" y="0"/>
                              </a:cxn>
                              <a:cxn ang="0">
                                <a:pos x="6" y="3"/>
                              </a:cxn>
                              <a:cxn ang="0">
                                <a:pos x="0" y="3"/>
                              </a:cxn>
                              <a:cxn ang="0">
                                <a:pos x="0" y="0"/>
                              </a:cxn>
                              <a:cxn ang="0">
                                <a:pos x="6" y="0"/>
                              </a:cxn>
                              <a:cxn ang="0">
                                <a:pos x="23" y="0"/>
                              </a:cxn>
                              <a:cxn ang="0">
                                <a:pos x="23" y="2"/>
                              </a:cxn>
                              <a:cxn ang="0">
                                <a:pos x="6" y="3"/>
                              </a:cxn>
                              <a:cxn ang="0">
                                <a:pos x="6" y="0"/>
                              </a:cxn>
                              <a:cxn ang="0">
                                <a:pos x="23" y="0"/>
                              </a:cxn>
                              <a:cxn ang="0">
                                <a:pos x="23" y="0"/>
                              </a:cxn>
                              <a:cxn ang="0">
                                <a:pos x="23" y="2"/>
                              </a:cxn>
                              <a:cxn ang="0">
                                <a:pos x="23" y="2"/>
                              </a:cxn>
                              <a:cxn ang="0">
                                <a:pos x="23" y="0"/>
                              </a:cxn>
                              <a:cxn ang="0">
                                <a:pos x="23" y="0"/>
                              </a:cxn>
                              <a:cxn ang="0">
                                <a:pos x="23" y="0"/>
                              </a:cxn>
                              <a:cxn ang="0">
                                <a:pos x="23" y="1"/>
                              </a:cxn>
                              <a:cxn ang="0">
                                <a:pos x="23" y="0"/>
                              </a:cxn>
                              <a:cxn ang="0">
                                <a:pos x="23" y="0"/>
                              </a:cxn>
                              <a:cxn ang="0">
                                <a:pos x="26" y="0"/>
                              </a:cxn>
                              <a:cxn ang="0">
                                <a:pos x="26" y="2"/>
                              </a:cxn>
                              <a:cxn ang="0">
                                <a:pos x="23" y="2"/>
                              </a:cxn>
                              <a:cxn ang="0">
                                <a:pos x="23" y="0"/>
                              </a:cxn>
                              <a:cxn ang="0">
                                <a:pos x="26" y="0"/>
                              </a:cxn>
                              <a:cxn ang="0">
                                <a:pos x="29" y="0"/>
                              </a:cxn>
                              <a:cxn ang="0">
                                <a:pos x="29" y="2"/>
                              </a:cxn>
                              <a:cxn ang="0">
                                <a:pos x="26" y="2"/>
                              </a:cxn>
                              <a:cxn ang="0">
                                <a:pos x="26" y="0"/>
                              </a:cxn>
                              <a:cxn ang="0">
                                <a:pos x="29" y="0"/>
                              </a:cxn>
                              <a:cxn ang="0">
                                <a:pos x="43" y="0"/>
                              </a:cxn>
                              <a:cxn ang="0">
                                <a:pos x="43" y="3"/>
                              </a:cxn>
                              <a:cxn ang="0">
                                <a:pos x="29" y="2"/>
                              </a:cxn>
                              <a:cxn ang="0">
                                <a:pos x="29" y="0"/>
                              </a:cxn>
                            </a:cxnLst>
                            <a:rect l="0" t="0" r="r" b="b"/>
                            <a:pathLst>
                              <a:path w="43" h="3">
                                <a:moveTo>
                                  <a:pt x="0" y="0"/>
                                </a:moveTo>
                                <a:cubicBezTo>
                                  <a:pt x="0" y="0"/>
                                  <a:pt x="0" y="0"/>
                                  <a:pt x="0" y="0"/>
                                </a:cubicBezTo>
                                <a:lnTo>
                                  <a:pt x="0" y="3"/>
                                </a:lnTo>
                                <a:cubicBezTo>
                                  <a:pt x="0" y="3"/>
                                  <a:pt x="0" y="3"/>
                                  <a:pt x="0" y="3"/>
                                </a:cubicBezTo>
                                <a:lnTo>
                                  <a:pt x="0" y="0"/>
                                </a:lnTo>
                                <a:close/>
                                <a:moveTo>
                                  <a:pt x="0" y="0"/>
                                </a:moveTo>
                                <a:cubicBezTo>
                                  <a:pt x="2" y="0"/>
                                  <a:pt x="4" y="0"/>
                                  <a:pt x="6" y="0"/>
                                </a:cubicBezTo>
                                <a:lnTo>
                                  <a:pt x="6" y="3"/>
                                </a:lnTo>
                                <a:cubicBezTo>
                                  <a:pt x="4" y="3"/>
                                  <a:pt x="2" y="3"/>
                                  <a:pt x="0" y="3"/>
                                </a:cubicBezTo>
                                <a:lnTo>
                                  <a:pt x="0" y="0"/>
                                </a:lnTo>
                                <a:close/>
                                <a:moveTo>
                                  <a:pt x="6" y="0"/>
                                </a:moveTo>
                                <a:cubicBezTo>
                                  <a:pt x="11" y="0"/>
                                  <a:pt x="17" y="0"/>
                                  <a:pt x="23" y="0"/>
                                </a:cubicBezTo>
                                <a:lnTo>
                                  <a:pt x="23" y="2"/>
                                </a:lnTo>
                                <a:cubicBezTo>
                                  <a:pt x="17" y="2"/>
                                  <a:pt x="11" y="2"/>
                                  <a:pt x="6" y="3"/>
                                </a:cubicBezTo>
                                <a:lnTo>
                                  <a:pt x="6" y="0"/>
                                </a:lnTo>
                                <a:close/>
                                <a:moveTo>
                                  <a:pt x="23" y="0"/>
                                </a:moveTo>
                                <a:cubicBezTo>
                                  <a:pt x="23" y="0"/>
                                  <a:pt x="23" y="0"/>
                                  <a:pt x="23" y="0"/>
                                </a:cubicBezTo>
                                <a:lnTo>
                                  <a:pt x="23" y="2"/>
                                </a:lnTo>
                                <a:cubicBezTo>
                                  <a:pt x="23" y="2"/>
                                  <a:pt x="23" y="2"/>
                                  <a:pt x="23" y="2"/>
                                </a:cubicBezTo>
                                <a:lnTo>
                                  <a:pt x="23" y="0"/>
                                </a:lnTo>
                                <a:close/>
                                <a:moveTo>
                                  <a:pt x="23" y="0"/>
                                </a:moveTo>
                                <a:lnTo>
                                  <a:pt x="23" y="0"/>
                                </a:lnTo>
                                <a:lnTo>
                                  <a:pt x="23" y="1"/>
                                </a:lnTo>
                                <a:lnTo>
                                  <a:pt x="23" y="0"/>
                                </a:lnTo>
                                <a:close/>
                                <a:moveTo>
                                  <a:pt x="23" y="0"/>
                                </a:moveTo>
                                <a:cubicBezTo>
                                  <a:pt x="24" y="0"/>
                                  <a:pt x="25" y="0"/>
                                  <a:pt x="26" y="0"/>
                                </a:cubicBezTo>
                                <a:lnTo>
                                  <a:pt x="26" y="2"/>
                                </a:lnTo>
                                <a:cubicBezTo>
                                  <a:pt x="25" y="2"/>
                                  <a:pt x="24" y="2"/>
                                  <a:pt x="23" y="2"/>
                                </a:cubicBezTo>
                                <a:lnTo>
                                  <a:pt x="23" y="0"/>
                                </a:lnTo>
                                <a:close/>
                                <a:moveTo>
                                  <a:pt x="26" y="0"/>
                                </a:moveTo>
                                <a:cubicBezTo>
                                  <a:pt x="27" y="0"/>
                                  <a:pt x="28" y="0"/>
                                  <a:pt x="29" y="0"/>
                                </a:cubicBezTo>
                                <a:lnTo>
                                  <a:pt x="29" y="2"/>
                                </a:lnTo>
                                <a:cubicBezTo>
                                  <a:pt x="28" y="2"/>
                                  <a:pt x="27" y="2"/>
                                  <a:pt x="26" y="2"/>
                                </a:cubicBezTo>
                                <a:lnTo>
                                  <a:pt x="26" y="0"/>
                                </a:lnTo>
                                <a:close/>
                                <a:moveTo>
                                  <a:pt x="29" y="0"/>
                                </a:moveTo>
                                <a:cubicBezTo>
                                  <a:pt x="34" y="0"/>
                                  <a:pt x="39" y="0"/>
                                  <a:pt x="43" y="0"/>
                                </a:cubicBezTo>
                                <a:lnTo>
                                  <a:pt x="43" y="3"/>
                                </a:lnTo>
                                <a:cubicBezTo>
                                  <a:pt x="39" y="3"/>
                                  <a:pt x="33" y="3"/>
                                  <a:pt x="29" y="2"/>
                                </a:cubicBezTo>
                                <a:lnTo>
                                  <a:pt x="29" y="0"/>
                                </a:lnTo>
                                <a:close/>
                              </a:path>
                            </a:pathLst>
                          </a:custGeom>
                          <a:solidFill>
                            <a:srgbClr val="24211D"/>
                          </a:solidFill>
                          <a:ln w="9525">
                            <a:noFill/>
                            <a:round/>
                            <a:headEnd/>
                            <a:tailEnd/>
                          </a:ln>
                        </wps:spPr>
                        <wps:bodyPr/>
                      </wps:wsp>
                      <wps:wsp>
                        <wps:cNvPr id="180" name="Freeform 114"/>
                        <wps:cNvSpPr>
                          <a:spLocks noEditPoints="1"/>
                        </wps:cNvSpPr>
                        <wps:spPr bwMode="auto">
                          <a:xfrm>
                            <a:off x="277" y="53"/>
                            <a:ext cx="49" cy="13"/>
                          </a:xfrm>
                          <a:custGeom>
                            <a:avLst/>
                            <a:gdLst/>
                            <a:ahLst/>
                            <a:cxnLst>
                              <a:cxn ang="0">
                                <a:pos x="58" y="15"/>
                              </a:cxn>
                              <a:cxn ang="0">
                                <a:pos x="58" y="15"/>
                              </a:cxn>
                              <a:cxn ang="0">
                                <a:pos x="59" y="12"/>
                              </a:cxn>
                              <a:cxn ang="0">
                                <a:pos x="59" y="12"/>
                              </a:cxn>
                              <a:cxn ang="0">
                                <a:pos x="58" y="15"/>
                              </a:cxn>
                              <a:cxn ang="0">
                                <a:pos x="58" y="15"/>
                              </a:cxn>
                              <a:cxn ang="0">
                                <a:pos x="58" y="15"/>
                              </a:cxn>
                              <a:cxn ang="0">
                                <a:pos x="59" y="14"/>
                              </a:cxn>
                              <a:cxn ang="0">
                                <a:pos x="58" y="15"/>
                              </a:cxn>
                              <a:cxn ang="0">
                                <a:pos x="58" y="15"/>
                              </a:cxn>
                              <a:cxn ang="0">
                                <a:pos x="51" y="13"/>
                              </a:cxn>
                              <a:cxn ang="0">
                                <a:pos x="52" y="10"/>
                              </a:cxn>
                              <a:cxn ang="0">
                                <a:pos x="59" y="12"/>
                              </a:cxn>
                              <a:cxn ang="0">
                                <a:pos x="58" y="15"/>
                              </a:cxn>
                              <a:cxn ang="0">
                                <a:pos x="51" y="13"/>
                              </a:cxn>
                              <a:cxn ang="0">
                                <a:pos x="44" y="11"/>
                              </a:cxn>
                              <a:cxn ang="0">
                                <a:pos x="44" y="8"/>
                              </a:cxn>
                              <a:cxn ang="0">
                                <a:pos x="52" y="10"/>
                              </a:cxn>
                              <a:cxn ang="0">
                                <a:pos x="51" y="13"/>
                              </a:cxn>
                              <a:cxn ang="0">
                                <a:pos x="44" y="11"/>
                              </a:cxn>
                              <a:cxn ang="0">
                                <a:pos x="0" y="3"/>
                              </a:cxn>
                              <a:cxn ang="0">
                                <a:pos x="0" y="0"/>
                              </a:cxn>
                              <a:cxn ang="0">
                                <a:pos x="44" y="8"/>
                              </a:cxn>
                              <a:cxn ang="0">
                                <a:pos x="44" y="11"/>
                              </a:cxn>
                            </a:cxnLst>
                            <a:rect l="0" t="0" r="r" b="b"/>
                            <a:pathLst>
                              <a:path w="59" h="15">
                                <a:moveTo>
                                  <a:pt x="58" y="15"/>
                                </a:moveTo>
                                <a:lnTo>
                                  <a:pt x="58" y="15"/>
                                </a:lnTo>
                                <a:lnTo>
                                  <a:pt x="59" y="12"/>
                                </a:lnTo>
                                <a:lnTo>
                                  <a:pt x="59" y="12"/>
                                </a:lnTo>
                                <a:lnTo>
                                  <a:pt x="58" y="15"/>
                                </a:lnTo>
                                <a:close/>
                                <a:moveTo>
                                  <a:pt x="58" y="15"/>
                                </a:moveTo>
                                <a:lnTo>
                                  <a:pt x="58" y="15"/>
                                </a:lnTo>
                                <a:lnTo>
                                  <a:pt x="59" y="14"/>
                                </a:lnTo>
                                <a:lnTo>
                                  <a:pt x="58" y="15"/>
                                </a:lnTo>
                                <a:close/>
                                <a:moveTo>
                                  <a:pt x="58" y="15"/>
                                </a:moveTo>
                                <a:cubicBezTo>
                                  <a:pt x="56" y="14"/>
                                  <a:pt x="54" y="13"/>
                                  <a:pt x="51" y="13"/>
                                </a:cubicBezTo>
                                <a:lnTo>
                                  <a:pt x="52" y="10"/>
                                </a:lnTo>
                                <a:cubicBezTo>
                                  <a:pt x="54" y="11"/>
                                  <a:pt x="57" y="12"/>
                                  <a:pt x="59" y="12"/>
                                </a:cubicBezTo>
                                <a:lnTo>
                                  <a:pt x="58" y="15"/>
                                </a:lnTo>
                                <a:close/>
                                <a:moveTo>
                                  <a:pt x="51" y="13"/>
                                </a:moveTo>
                                <a:cubicBezTo>
                                  <a:pt x="49" y="12"/>
                                  <a:pt x="46" y="11"/>
                                  <a:pt x="44" y="11"/>
                                </a:cubicBezTo>
                                <a:lnTo>
                                  <a:pt x="44" y="8"/>
                                </a:lnTo>
                                <a:cubicBezTo>
                                  <a:pt x="47" y="9"/>
                                  <a:pt x="49" y="9"/>
                                  <a:pt x="52" y="10"/>
                                </a:cubicBezTo>
                                <a:lnTo>
                                  <a:pt x="51" y="13"/>
                                </a:lnTo>
                                <a:close/>
                                <a:moveTo>
                                  <a:pt x="44" y="11"/>
                                </a:moveTo>
                                <a:cubicBezTo>
                                  <a:pt x="31" y="7"/>
                                  <a:pt x="16" y="4"/>
                                  <a:pt x="0" y="3"/>
                                </a:cubicBezTo>
                                <a:lnTo>
                                  <a:pt x="0" y="0"/>
                                </a:lnTo>
                                <a:cubicBezTo>
                                  <a:pt x="16" y="2"/>
                                  <a:pt x="31" y="5"/>
                                  <a:pt x="44" y="8"/>
                                </a:cubicBezTo>
                                <a:lnTo>
                                  <a:pt x="44" y="11"/>
                                </a:lnTo>
                                <a:close/>
                              </a:path>
                            </a:pathLst>
                          </a:custGeom>
                          <a:solidFill>
                            <a:srgbClr val="24211D"/>
                          </a:solidFill>
                          <a:ln w="9525">
                            <a:noFill/>
                            <a:round/>
                            <a:headEnd/>
                            <a:tailEnd/>
                          </a:ln>
                        </wps:spPr>
                        <wps:bodyPr/>
                      </wps:wsp>
                      <wps:wsp>
                        <wps:cNvPr id="181" name="Freeform 115"/>
                        <wps:cNvSpPr>
                          <a:spLocks noEditPoints="1"/>
                        </wps:cNvSpPr>
                        <wps:spPr bwMode="auto">
                          <a:xfrm>
                            <a:off x="138" y="45"/>
                            <a:ext cx="66" cy="15"/>
                          </a:xfrm>
                          <a:custGeom>
                            <a:avLst/>
                            <a:gdLst/>
                            <a:ahLst/>
                            <a:cxnLst>
                              <a:cxn ang="0">
                                <a:pos x="0" y="15"/>
                              </a:cxn>
                              <a:cxn ang="0">
                                <a:pos x="61" y="0"/>
                              </a:cxn>
                              <a:cxn ang="0">
                                <a:pos x="62" y="2"/>
                              </a:cxn>
                              <a:cxn ang="0">
                                <a:pos x="0" y="18"/>
                              </a:cxn>
                              <a:cxn ang="0">
                                <a:pos x="0" y="15"/>
                              </a:cxn>
                              <a:cxn ang="0">
                                <a:pos x="61" y="0"/>
                              </a:cxn>
                              <a:cxn ang="0">
                                <a:pos x="61" y="0"/>
                              </a:cxn>
                              <a:cxn ang="0">
                                <a:pos x="62" y="0"/>
                              </a:cxn>
                              <a:cxn ang="0">
                                <a:pos x="61" y="1"/>
                              </a:cxn>
                              <a:cxn ang="0">
                                <a:pos x="61" y="0"/>
                              </a:cxn>
                              <a:cxn ang="0">
                                <a:pos x="62" y="0"/>
                              </a:cxn>
                              <a:cxn ang="0">
                                <a:pos x="80" y="11"/>
                              </a:cxn>
                              <a:cxn ang="0">
                                <a:pos x="79" y="13"/>
                              </a:cxn>
                              <a:cxn ang="0">
                                <a:pos x="61" y="2"/>
                              </a:cxn>
                              <a:cxn ang="0">
                                <a:pos x="62" y="0"/>
                              </a:cxn>
                            </a:cxnLst>
                            <a:rect l="0" t="0" r="r" b="b"/>
                            <a:pathLst>
                              <a:path w="80" h="18">
                                <a:moveTo>
                                  <a:pt x="0" y="15"/>
                                </a:moveTo>
                                <a:lnTo>
                                  <a:pt x="61" y="0"/>
                                </a:lnTo>
                                <a:lnTo>
                                  <a:pt x="62" y="2"/>
                                </a:lnTo>
                                <a:lnTo>
                                  <a:pt x="0" y="18"/>
                                </a:lnTo>
                                <a:lnTo>
                                  <a:pt x="0" y="15"/>
                                </a:lnTo>
                                <a:close/>
                                <a:moveTo>
                                  <a:pt x="61" y="0"/>
                                </a:moveTo>
                                <a:lnTo>
                                  <a:pt x="61" y="0"/>
                                </a:lnTo>
                                <a:lnTo>
                                  <a:pt x="62" y="0"/>
                                </a:lnTo>
                                <a:lnTo>
                                  <a:pt x="61" y="1"/>
                                </a:lnTo>
                                <a:lnTo>
                                  <a:pt x="61" y="0"/>
                                </a:lnTo>
                                <a:close/>
                                <a:moveTo>
                                  <a:pt x="62" y="0"/>
                                </a:moveTo>
                                <a:lnTo>
                                  <a:pt x="80" y="11"/>
                                </a:lnTo>
                                <a:lnTo>
                                  <a:pt x="79" y="13"/>
                                </a:lnTo>
                                <a:lnTo>
                                  <a:pt x="61" y="2"/>
                                </a:lnTo>
                                <a:lnTo>
                                  <a:pt x="62" y="0"/>
                                </a:lnTo>
                                <a:close/>
                              </a:path>
                            </a:pathLst>
                          </a:custGeom>
                          <a:solidFill>
                            <a:srgbClr val="24211D"/>
                          </a:solidFill>
                          <a:ln w="9525">
                            <a:noFill/>
                            <a:round/>
                            <a:headEnd/>
                            <a:tailEnd/>
                          </a:ln>
                        </wps:spPr>
                        <wps:bodyPr/>
                      </wps:wsp>
                      <wps:wsp>
                        <wps:cNvPr id="182" name="Freeform 116"/>
                        <wps:cNvSpPr>
                          <a:spLocks/>
                        </wps:cNvSpPr>
                        <wps:spPr bwMode="auto">
                          <a:xfrm>
                            <a:off x="178" y="11"/>
                            <a:ext cx="12" cy="36"/>
                          </a:xfrm>
                          <a:custGeom>
                            <a:avLst/>
                            <a:gdLst/>
                            <a:ahLst/>
                            <a:cxnLst>
                              <a:cxn ang="0">
                                <a:pos x="3" y="0"/>
                              </a:cxn>
                              <a:cxn ang="0">
                                <a:pos x="14" y="43"/>
                              </a:cxn>
                              <a:cxn ang="0">
                                <a:pos x="11" y="44"/>
                              </a:cxn>
                              <a:cxn ang="0">
                                <a:pos x="0" y="0"/>
                              </a:cxn>
                              <a:cxn ang="0">
                                <a:pos x="3" y="0"/>
                              </a:cxn>
                            </a:cxnLst>
                            <a:rect l="0" t="0" r="r" b="b"/>
                            <a:pathLst>
                              <a:path w="14" h="44">
                                <a:moveTo>
                                  <a:pt x="3" y="0"/>
                                </a:moveTo>
                                <a:lnTo>
                                  <a:pt x="14" y="43"/>
                                </a:lnTo>
                                <a:lnTo>
                                  <a:pt x="11" y="44"/>
                                </a:lnTo>
                                <a:lnTo>
                                  <a:pt x="0" y="0"/>
                                </a:lnTo>
                                <a:lnTo>
                                  <a:pt x="3" y="0"/>
                                </a:lnTo>
                                <a:close/>
                              </a:path>
                            </a:pathLst>
                          </a:custGeom>
                          <a:solidFill>
                            <a:srgbClr val="24211D"/>
                          </a:solidFill>
                          <a:ln w="9525">
                            <a:noFill/>
                            <a:round/>
                            <a:headEnd/>
                            <a:tailEnd/>
                          </a:ln>
                        </wps:spPr>
                        <wps:bodyPr/>
                      </wps:wsp>
                      <wps:wsp>
                        <wps:cNvPr id="183" name="Freeform 117"/>
                        <wps:cNvSpPr>
                          <a:spLocks noEditPoints="1"/>
                        </wps:cNvSpPr>
                        <wps:spPr bwMode="auto">
                          <a:xfrm>
                            <a:off x="133" y="27"/>
                            <a:ext cx="71" cy="16"/>
                          </a:xfrm>
                          <a:custGeom>
                            <a:avLst/>
                            <a:gdLst/>
                            <a:ahLst/>
                            <a:cxnLst>
                              <a:cxn ang="0">
                                <a:pos x="0" y="15"/>
                              </a:cxn>
                              <a:cxn ang="0">
                                <a:pos x="61" y="0"/>
                              </a:cxn>
                              <a:cxn ang="0">
                                <a:pos x="62" y="3"/>
                              </a:cxn>
                              <a:cxn ang="0">
                                <a:pos x="1" y="17"/>
                              </a:cxn>
                              <a:cxn ang="0">
                                <a:pos x="0" y="15"/>
                              </a:cxn>
                              <a:cxn ang="0">
                                <a:pos x="61" y="0"/>
                              </a:cxn>
                              <a:cxn ang="0">
                                <a:pos x="62" y="0"/>
                              </a:cxn>
                              <a:cxn ang="0">
                                <a:pos x="62" y="0"/>
                              </a:cxn>
                              <a:cxn ang="0">
                                <a:pos x="61" y="1"/>
                              </a:cxn>
                              <a:cxn ang="0">
                                <a:pos x="61" y="0"/>
                              </a:cxn>
                              <a:cxn ang="0">
                                <a:pos x="62" y="0"/>
                              </a:cxn>
                              <a:cxn ang="0">
                                <a:pos x="86" y="17"/>
                              </a:cxn>
                              <a:cxn ang="0">
                                <a:pos x="85" y="19"/>
                              </a:cxn>
                              <a:cxn ang="0">
                                <a:pos x="61" y="2"/>
                              </a:cxn>
                              <a:cxn ang="0">
                                <a:pos x="62" y="0"/>
                              </a:cxn>
                            </a:cxnLst>
                            <a:rect l="0" t="0" r="r" b="b"/>
                            <a:pathLst>
                              <a:path w="86" h="19">
                                <a:moveTo>
                                  <a:pt x="0" y="15"/>
                                </a:moveTo>
                                <a:lnTo>
                                  <a:pt x="61" y="0"/>
                                </a:lnTo>
                                <a:lnTo>
                                  <a:pt x="62" y="3"/>
                                </a:lnTo>
                                <a:lnTo>
                                  <a:pt x="1" y="17"/>
                                </a:lnTo>
                                <a:lnTo>
                                  <a:pt x="0" y="15"/>
                                </a:lnTo>
                                <a:close/>
                                <a:moveTo>
                                  <a:pt x="61" y="0"/>
                                </a:moveTo>
                                <a:lnTo>
                                  <a:pt x="62" y="0"/>
                                </a:lnTo>
                                <a:lnTo>
                                  <a:pt x="62" y="0"/>
                                </a:lnTo>
                                <a:lnTo>
                                  <a:pt x="61" y="1"/>
                                </a:lnTo>
                                <a:lnTo>
                                  <a:pt x="61" y="0"/>
                                </a:lnTo>
                                <a:close/>
                                <a:moveTo>
                                  <a:pt x="62" y="0"/>
                                </a:moveTo>
                                <a:lnTo>
                                  <a:pt x="86" y="17"/>
                                </a:lnTo>
                                <a:lnTo>
                                  <a:pt x="85" y="19"/>
                                </a:lnTo>
                                <a:lnTo>
                                  <a:pt x="61" y="2"/>
                                </a:lnTo>
                                <a:lnTo>
                                  <a:pt x="62" y="0"/>
                                </a:lnTo>
                                <a:close/>
                              </a:path>
                            </a:pathLst>
                          </a:custGeom>
                          <a:solidFill>
                            <a:srgbClr val="24211D"/>
                          </a:solidFill>
                          <a:ln w="9525">
                            <a:noFill/>
                            <a:round/>
                            <a:headEnd/>
                            <a:tailEnd/>
                          </a:ln>
                        </wps:spPr>
                        <wps:bodyPr/>
                      </wps:wsp>
                      <wps:wsp>
                        <wps:cNvPr id="184" name="Freeform 118"/>
                        <wps:cNvSpPr>
                          <a:spLocks/>
                        </wps:cNvSpPr>
                        <wps:spPr bwMode="auto">
                          <a:xfrm>
                            <a:off x="159" y="15"/>
                            <a:ext cx="7" cy="18"/>
                          </a:xfrm>
                          <a:custGeom>
                            <a:avLst/>
                            <a:gdLst/>
                            <a:ahLst/>
                            <a:cxnLst>
                              <a:cxn ang="0">
                                <a:pos x="2" y="0"/>
                              </a:cxn>
                              <a:cxn ang="0">
                                <a:pos x="8" y="22"/>
                              </a:cxn>
                              <a:cxn ang="0">
                                <a:pos x="5" y="22"/>
                              </a:cxn>
                              <a:cxn ang="0">
                                <a:pos x="0" y="0"/>
                              </a:cxn>
                              <a:cxn ang="0">
                                <a:pos x="2" y="0"/>
                              </a:cxn>
                            </a:cxnLst>
                            <a:rect l="0" t="0" r="r" b="b"/>
                            <a:pathLst>
                              <a:path w="8" h="22">
                                <a:moveTo>
                                  <a:pt x="2" y="0"/>
                                </a:moveTo>
                                <a:lnTo>
                                  <a:pt x="8" y="22"/>
                                </a:lnTo>
                                <a:lnTo>
                                  <a:pt x="5" y="22"/>
                                </a:lnTo>
                                <a:lnTo>
                                  <a:pt x="0" y="0"/>
                                </a:lnTo>
                                <a:lnTo>
                                  <a:pt x="2" y="0"/>
                                </a:lnTo>
                                <a:close/>
                              </a:path>
                            </a:pathLst>
                          </a:custGeom>
                          <a:solidFill>
                            <a:srgbClr val="24211D"/>
                          </a:solidFill>
                          <a:ln w="9525">
                            <a:noFill/>
                            <a:round/>
                            <a:headEnd/>
                            <a:tailEnd/>
                          </a:ln>
                        </wps:spPr>
                        <wps:bodyPr/>
                      </wps:wsp>
                      <wps:wsp>
                        <wps:cNvPr id="185" name="Freeform 119"/>
                        <wps:cNvSpPr>
                          <a:spLocks/>
                        </wps:cNvSpPr>
                        <wps:spPr bwMode="auto">
                          <a:xfrm>
                            <a:off x="149" y="35"/>
                            <a:ext cx="7" cy="19"/>
                          </a:xfrm>
                          <a:custGeom>
                            <a:avLst/>
                            <a:gdLst/>
                            <a:ahLst/>
                            <a:cxnLst>
                              <a:cxn ang="0">
                                <a:pos x="3" y="0"/>
                              </a:cxn>
                              <a:cxn ang="0">
                                <a:pos x="8" y="23"/>
                              </a:cxn>
                              <a:cxn ang="0">
                                <a:pos x="6" y="23"/>
                              </a:cxn>
                              <a:cxn ang="0">
                                <a:pos x="0" y="1"/>
                              </a:cxn>
                              <a:cxn ang="0">
                                <a:pos x="3" y="0"/>
                              </a:cxn>
                            </a:cxnLst>
                            <a:rect l="0" t="0" r="r" b="b"/>
                            <a:pathLst>
                              <a:path w="8" h="23">
                                <a:moveTo>
                                  <a:pt x="3" y="0"/>
                                </a:moveTo>
                                <a:lnTo>
                                  <a:pt x="8" y="23"/>
                                </a:lnTo>
                                <a:lnTo>
                                  <a:pt x="6" y="23"/>
                                </a:lnTo>
                                <a:lnTo>
                                  <a:pt x="0" y="1"/>
                                </a:lnTo>
                                <a:lnTo>
                                  <a:pt x="3" y="0"/>
                                </a:lnTo>
                                <a:close/>
                              </a:path>
                            </a:pathLst>
                          </a:custGeom>
                          <a:solidFill>
                            <a:srgbClr val="24211D"/>
                          </a:solidFill>
                          <a:ln w="9525">
                            <a:noFill/>
                            <a:round/>
                            <a:headEnd/>
                            <a:tailEnd/>
                          </a:ln>
                        </wps:spPr>
                        <wps:bodyPr/>
                      </wps:wsp>
                      <wps:wsp>
                        <wps:cNvPr id="186" name="Freeform 120"/>
                        <wps:cNvSpPr>
                          <a:spLocks noEditPoints="1"/>
                        </wps:cNvSpPr>
                        <wps:spPr bwMode="auto">
                          <a:xfrm>
                            <a:off x="278" y="45"/>
                            <a:ext cx="66" cy="15"/>
                          </a:xfrm>
                          <a:custGeom>
                            <a:avLst/>
                            <a:gdLst/>
                            <a:ahLst/>
                            <a:cxnLst>
                              <a:cxn ang="0">
                                <a:pos x="80" y="18"/>
                              </a:cxn>
                              <a:cxn ang="0">
                                <a:pos x="19" y="2"/>
                              </a:cxn>
                              <a:cxn ang="0">
                                <a:pos x="19" y="0"/>
                              </a:cxn>
                              <a:cxn ang="0">
                                <a:pos x="80" y="15"/>
                              </a:cxn>
                              <a:cxn ang="0">
                                <a:pos x="80" y="18"/>
                              </a:cxn>
                              <a:cxn ang="0">
                                <a:pos x="18" y="0"/>
                              </a:cxn>
                              <a:cxn ang="0">
                                <a:pos x="19" y="0"/>
                              </a:cxn>
                              <a:cxn ang="0">
                                <a:pos x="19" y="0"/>
                              </a:cxn>
                              <a:cxn ang="0">
                                <a:pos x="19" y="1"/>
                              </a:cxn>
                              <a:cxn ang="0">
                                <a:pos x="18" y="0"/>
                              </a:cxn>
                              <a:cxn ang="0">
                                <a:pos x="20" y="2"/>
                              </a:cxn>
                              <a:cxn ang="0">
                                <a:pos x="1" y="13"/>
                              </a:cxn>
                              <a:cxn ang="0">
                                <a:pos x="0" y="11"/>
                              </a:cxn>
                              <a:cxn ang="0">
                                <a:pos x="18" y="0"/>
                              </a:cxn>
                              <a:cxn ang="0">
                                <a:pos x="20" y="2"/>
                              </a:cxn>
                            </a:cxnLst>
                            <a:rect l="0" t="0" r="r" b="b"/>
                            <a:pathLst>
                              <a:path w="80" h="18">
                                <a:moveTo>
                                  <a:pt x="80" y="18"/>
                                </a:moveTo>
                                <a:lnTo>
                                  <a:pt x="19" y="2"/>
                                </a:lnTo>
                                <a:lnTo>
                                  <a:pt x="19" y="0"/>
                                </a:lnTo>
                                <a:lnTo>
                                  <a:pt x="80" y="15"/>
                                </a:lnTo>
                                <a:lnTo>
                                  <a:pt x="80" y="18"/>
                                </a:lnTo>
                                <a:close/>
                                <a:moveTo>
                                  <a:pt x="18" y="0"/>
                                </a:moveTo>
                                <a:lnTo>
                                  <a:pt x="19" y="0"/>
                                </a:lnTo>
                                <a:lnTo>
                                  <a:pt x="19" y="0"/>
                                </a:lnTo>
                                <a:lnTo>
                                  <a:pt x="19" y="1"/>
                                </a:lnTo>
                                <a:lnTo>
                                  <a:pt x="18" y="0"/>
                                </a:lnTo>
                                <a:close/>
                                <a:moveTo>
                                  <a:pt x="20" y="2"/>
                                </a:moveTo>
                                <a:lnTo>
                                  <a:pt x="1" y="13"/>
                                </a:lnTo>
                                <a:lnTo>
                                  <a:pt x="0" y="11"/>
                                </a:lnTo>
                                <a:lnTo>
                                  <a:pt x="18" y="0"/>
                                </a:lnTo>
                                <a:lnTo>
                                  <a:pt x="20" y="2"/>
                                </a:lnTo>
                                <a:close/>
                              </a:path>
                            </a:pathLst>
                          </a:custGeom>
                          <a:solidFill>
                            <a:srgbClr val="24211D"/>
                          </a:solidFill>
                          <a:ln w="9525">
                            <a:noFill/>
                            <a:round/>
                            <a:headEnd/>
                            <a:tailEnd/>
                          </a:ln>
                        </wps:spPr>
                        <wps:bodyPr/>
                      </wps:wsp>
                      <wps:wsp>
                        <wps:cNvPr id="187" name="Freeform 121"/>
                        <wps:cNvSpPr>
                          <a:spLocks/>
                        </wps:cNvSpPr>
                        <wps:spPr bwMode="auto">
                          <a:xfrm>
                            <a:off x="292" y="11"/>
                            <a:ext cx="12" cy="36"/>
                          </a:xfrm>
                          <a:custGeom>
                            <a:avLst/>
                            <a:gdLst/>
                            <a:ahLst/>
                            <a:cxnLst>
                              <a:cxn ang="0">
                                <a:pos x="14" y="0"/>
                              </a:cxn>
                              <a:cxn ang="0">
                                <a:pos x="3" y="44"/>
                              </a:cxn>
                              <a:cxn ang="0">
                                <a:pos x="0" y="43"/>
                              </a:cxn>
                              <a:cxn ang="0">
                                <a:pos x="11" y="0"/>
                              </a:cxn>
                              <a:cxn ang="0">
                                <a:pos x="14" y="0"/>
                              </a:cxn>
                            </a:cxnLst>
                            <a:rect l="0" t="0" r="r" b="b"/>
                            <a:pathLst>
                              <a:path w="14" h="44">
                                <a:moveTo>
                                  <a:pt x="14" y="0"/>
                                </a:moveTo>
                                <a:lnTo>
                                  <a:pt x="3" y="44"/>
                                </a:lnTo>
                                <a:lnTo>
                                  <a:pt x="0" y="43"/>
                                </a:lnTo>
                                <a:lnTo>
                                  <a:pt x="11" y="0"/>
                                </a:lnTo>
                                <a:lnTo>
                                  <a:pt x="14" y="0"/>
                                </a:lnTo>
                                <a:close/>
                              </a:path>
                            </a:pathLst>
                          </a:custGeom>
                          <a:solidFill>
                            <a:srgbClr val="24211D"/>
                          </a:solidFill>
                          <a:ln w="9525">
                            <a:noFill/>
                            <a:round/>
                            <a:headEnd/>
                            <a:tailEnd/>
                          </a:ln>
                        </wps:spPr>
                        <wps:bodyPr/>
                      </wps:wsp>
                      <wps:wsp>
                        <wps:cNvPr id="188" name="Freeform 122"/>
                        <wps:cNvSpPr>
                          <a:spLocks noEditPoints="1"/>
                        </wps:cNvSpPr>
                        <wps:spPr bwMode="auto">
                          <a:xfrm>
                            <a:off x="278" y="27"/>
                            <a:ext cx="71" cy="16"/>
                          </a:xfrm>
                          <a:custGeom>
                            <a:avLst/>
                            <a:gdLst/>
                            <a:ahLst/>
                            <a:cxnLst>
                              <a:cxn ang="0">
                                <a:pos x="85" y="17"/>
                              </a:cxn>
                              <a:cxn ang="0">
                                <a:pos x="24" y="3"/>
                              </a:cxn>
                              <a:cxn ang="0">
                                <a:pos x="25" y="0"/>
                              </a:cxn>
                              <a:cxn ang="0">
                                <a:pos x="86" y="14"/>
                              </a:cxn>
                              <a:cxn ang="0">
                                <a:pos x="85" y="17"/>
                              </a:cxn>
                              <a:cxn ang="0">
                                <a:pos x="24" y="0"/>
                              </a:cxn>
                              <a:cxn ang="0">
                                <a:pos x="25" y="0"/>
                              </a:cxn>
                              <a:cxn ang="0">
                                <a:pos x="25" y="0"/>
                              </a:cxn>
                              <a:cxn ang="0">
                                <a:pos x="25" y="1"/>
                              </a:cxn>
                              <a:cxn ang="0">
                                <a:pos x="24" y="0"/>
                              </a:cxn>
                              <a:cxn ang="0">
                                <a:pos x="25" y="2"/>
                              </a:cxn>
                              <a:cxn ang="0">
                                <a:pos x="1" y="19"/>
                              </a:cxn>
                              <a:cxn ang="0">
                                <a:pos x="0" y="17"/>
                              </a:cxn>
                              <a:cxn ang="0">
                                <a:pos x="24" y="0"/>
                              </a:cxn>
                              <a:cxn ang="0">
                                <a:pos x="25" y="2"/>
                              </a:cxn>
                            </a:cxnLst>
                            <a:rect l="0" t="0" r="r" b="b"/>
                            <a:pathLst>
                              <a:path w="86" h="19">
                                <a:moveTo>
                                  <a:pt x="85" y="17"/>
                                </a:moveTo>
                                <a:lnTo>
                                  <a:pt x="24" y="3"/>
                                </a:lnTo>
                                <a:lnTo>
                                  <a:pt x="25" y="0"/>
                                </a:lnTo>
                                <a:lnTo>
                                  <a:pt x="86" y="14"/>
                                </a:lnTo>
                                <a:lnTo>
                                  <a:pt x="85" y="17"/>
                                </a:lnTo>
                                <a:close/>
                                <a:moveTo>
                                  <a:pt x="24" y="0"/>
                                </a:moveTo>
                                <a:lnTo>
                                  <a:pt x="25" y="0"/>
                                </a:lnTo>
                                <a:lnTo>
                                  <a:pt x="25" y="0"/>
                                </a:lnTo>
                                <a:lnTo>
                                  <a:pt x="25" y="1"/>
                                </a:lnTo>
                                <a:lnTo>
                                  <a:pt x="24" y="0"/>
                                </a:lnTo>
                                <a:close/>
                                <a:moveTo>
                                  <a:pt x="25" y="2"/>
                                </a:moveTo>
                                <a:lnTo>
                                  <a:pt x="1" y="19"/>
                                </a:lnTo>
                                <a:lnTo>
                                  <a:pt x="0" y="17"/>
                                </a:lnTo>
                                <a:lnTo>
                                  <a:pt x="24" y="0"/>
                                </a:lnTo>
                                <a:lnTo>
                                  <a:pt x="25" y="2"/>
                                </a:lnTo>
                                <a:close/>
                              </a:path>
                            </a:pathLst>
                          </a:custGeom>
                          <a:solidFill>
                            <a:srgbClr val="24211D"/>
                          </a:solidFill>
                          <a:ln w="9525">
                            <a:noFill/>
                            <a:round/>
                            <a:headEnd/>
                            <a:tailEnd/>
                          </a:ln>
                        </wps:spPr>
                        <wps:bodyPr/>
                      </wps:wsp>
                      <wps:wsp>
                        <wps:cNvPr id="189" name="Freeform 123"/>
                        <wps:cNvSpPr>
                          <a:spLocks/>
                        </wps:cNvSpPr>
                        <wps:spPr bwMode="auto">
                          <a:xfrm>
                            <a:off x="316" y="15"/>
                            <a:ext cx="7" cy="18"/>
                          </a:xfrm>
                          <a:custGeom>
                            <a:avLst/>
                            <a:gdLst/>
                            <a:ahLst/>
                            <a:cxnLst>
                              <a:cxn ang="0">
                                <a:pos x="8" y="0"/>
                              </a:cxn>
                              <a:cxn ang="0">
                                <a:pos x="3" y="22"/>
                              </a:cxn>
                              <a:cxn ang="0">
                                <a:pos x="0" y="21"/>
                              </a:cxn>
                              <a:cxn ang="0">
                                <a:pos x="6" y="0"/>
                              </a:cxn>
                              <a:cxn ang="0">
                                <a:pos x="8" y="0"/>
                              </a:cxn>
                            </a:cxnLst>
                            <a:rect l="0" t="0" r="r" b="b"/>
                            <a:pathLst>
                              <a:path w="8" h="22">
                                <a:moveTo>
                                  <a:pt x="8" y="0"/>
                                </a:moveTo>
                                <a:lnTo>
                                  <a:pt x="3" y="22"/>
                                </a:lnTo>
                                <a:lnTo>
                                  <a:pt x="0" y="21"/>
                                </a:lnTo>
                                <a:lnTo>
                                  <a:pt x="6" y="0"/>
                                </a:lnTo>
                                <a:lnTo>
                                  <a:pt x="8" y="0"/>
                                </a:lnTo>
                                <a:close/>
                              </a:path>
                            </a:pathLst>
                          </a:custGeom>
                          <a:solidFill>
                            <a:srgbClr val="24211D"/>
                          </a:solidFill>
                          <a:ln w="9525">
                            <a:noFill/>
                            <a:round/>
                            <a:headEnd/>
                            <a:tailEnd/>
                          </a:ln>
                        </wps:spPr>
                        <wps:bodyPr/>
                      </wps:wsp>
                      <wps:wsp>
                        <wps:cNvPr id="190" name="Freeform 124"/>
                        <wps:cNvSpPr>
                          <a:spLocks/>
                        </wps:cNvSpPr>
                        <wps:spPr bwMode="auto">
                          <a:xfrm>
                            <a:off x="326" y="35"/>
                            <a:ext cx="6" cy="19"/>
                          </a:xfrm>
                          <a:custGeom>
                            <a:avLst/>
                            <a:gdLst/>
                            <a:ahLst/>
                            <a:cxnLst>
                              <a:cxn ang="0">
                                <a:pos x="8" y="1"/>
                              </a:cxn>
                              <a:cxn ang="0">
                                <a:pos x="2" y="23"/>
                              </a:cxn>
                              <a:cxn ang="0">
                                <a:pos x="0" y="23"/>
                              </a:cxn>
                              <a:cxn ang="0">
                                <a:pos x="6" y="0"/>
                              </a:cxn>
                              <a:cxn ang="0">
                                <a:pos x="8" y="1"/>
                              </a:cxn>
                            </a:cxnLst>
                            <a:rect l="0" t="0" r="r" b="b"/>
                            <a:pathLst>
                              <a:path w="8" h="23">
                                <a:moveTo>
                                  <a:pt x="8" y="1"/>
                                </a:moveTo>
                                <a:lnTo>
                                  <a:pt x="2" y="23"/>
                                </a:lnTo>
                                <a:lnTo>
                                  <a:pt x="0" y="23"/>
                                </a:lnTo>
                                <a:lnTo>
                                  <a:pt x="6" y="0"/>
                                </a:lnTo>
                                <a:lnTo>
                                  <a:pt x="8" y="1"/>
                                </a:lnTo>
                                <a:close/>
                              </a:path>
                            </a:pathLst>
                          </a:custGeom>
                          <a:solidFill>
                            <a:srgbClr val="24211D"/>
                          </a:solidFill>
                          <a:ln w="9525">
                            <a:noFill/>
                            <a:round/>
                            <a:headEnd/>
                            <a:tailEnd/>
                          </a:ln>
                        </wps:spPr>
                        <wps:bodyPr/>
                      </wps:wsp>
                      <wps:wsp>
                        <wps:cNvPr id="191" name="Rectangle 125"/>
                        <wps:cNvSpPr>
                          <a:spLocks noChangeArrowheads="1"/>
                        </wps:cNvSpPr>
                        <wps:spPr bwMode="auto">
                          <a:xfrm>
                            <a:off x="212" y="22"/>
                            <a:ext cx="58" cy="3"/>
                          </a:xfrm>
                          <a:prstGeom prst="rect">
                            <a:avLst/>
                          </a:prstGeom>
                          <a:solidFill>
                            <a:srgbClr val="24211D"/>
                          </a:solidFill>
                          <a:ln w="9525">
                            <a:noFill/>
                            <a:miter lim="800000"/>
                            <a:headEnd/>
                            <a:tailEnd/>
                          </a:ln>
                        </wps:spPr>
                        <wps:bodyPr/>
                      </wps:wsp>
                      <wps:wsp>
                        <wps:cNvPr id="192" name="Rectangle 126"/>
                        <wps:cNvSpPr>
                          <a:spLocks noChangeArrowheads="1"/>
                        </wps:cNvSpPr>
                        <wps:spPr bwMode="auto">
                          <a:xfrm>
                            <a:off x="231" y="2"/>
                            <a:ext cx="2" cy="21"/>
                          </a:xfrm>
                          <a:prstGeom prst="rect">
                            <a:avLst/>
                          </a:prstGeom>
                          <a:solidFill>
                            <a:srgbClr val="24211D"/>
                          </a:solidFill>
                          <a:ln w="9525">
                            <a:noFill/>
                            <a:miter lim="800000"/>
                            <a:headEnd/>
                            <a:tailEnd/>
                          </a:ln>
                        </wps:spPr>
                        <wps:bodyPr/>
                      </wps:wsp>
                      <wps:wsp>
                        <wps:cNvPr id="193" name="Rectangle 127"/>
                        <wps:cNvSpPr>
                          <a:spLocks noChangeArrowheads="1"/>
                        </wps:cNvSpPr>
                        <wps:spPr bwMode="auto">
                          <a:xfrm>
                            <a:off x="249" y="23"/>
                            <a:ext cx="2" cy="20"/>
                          </a:xfrm>
                          <a:prstGeom prst="rect">
                            <a:avLst/>
                          </a:prstGeom>
                          <a:solidFill>
                            <a:srgbClr val="24211D"/>
                          </a:solidFill>
                          <a:ln w="9525">
                            <a:noFill/>
                            <a:miter lim="800000"/>
                            <a:headEnd/>
                            <a:tailEnd/>
                          </a:ln>
                        </wps:spPr>
                        <wps:bodyPr/>
                      </wps:wsp>
                      <wps:wsp>
                        <wps:cNvPr id="194" name="Rectangle 128"/>
                        <wps:cNvSpPr>
                          <a:spLocks noChangeArrowheads="1"/>
                        </wps:cNvSpPr>
                        <wps:spPr bwMode="auto">
                          <a:xfrm>
                            <a:off x="214" y="42"/>
                            <a:ext cx="54" cy="2"/>
                          </a:xfrm>
                          <a:prstGeom prst="rect">
                            <a:avLst/>
                          </a:prstGeom>
                          <a:solidFill>
                            <a:srgbClr val="24211D"/>
                          </a:solidFill>
                          <a:ln w="9525">
                            <a:noFill/>
                            <a:miter lim="800000"/>
                            <a:headEnd/>
                            <a:tailEnd/>
                          </a:ln>
                        </wps:spPr>
                        <wps:bodyPr/>
                      </wps:wsp>
                      <wps:wsp>
                        <wps:cNvPr id="195" name="Freeform 129"/>
                        <wps:cNvSpPr>
                          <a:spLocks/>
                        </wps:cNvSpPr>
                        <wps:spPr bwMode="auto">
                          <a:xfrm>
                            <a:off x="245" y="43"/>
                            <a:ext cx="6" cy="10"/>
                          </a:xfrm>
                          <a:custGeom>
                            <a:avLst/>
                            <a:gdLst/>
                            <a:ahLst/>
                            <a:cxnLst>
                              <a:cxn ang="0">
                                <a:pos x="0" y="12"/>
                              </a:cxn>
                              <a:cxn ang="0">
                                <a:pos x="5" y="0"/>
                              </a:cxn>
                              <a:cxn ang="0">
                                <a:pos x="8" y="1"/>
                              </a:cxn>
                              <a:cxn ang="0">
                                <a:pos x="2" y="13"/>
                              </a:cxn>
                              <a:cxn ang="0">
                                <a:pos x="0" y="12"/>
                              </a:cxn>
                            </a:cxnLst>
                            <a:rect l="0" t="0" r="r" b="b"/>
                            <a:pathLst>
                              <a:path w="8" h="13">
                                <a:moveTo>
                                  <a:pt x="0" y="12"/>
                                </a:moveTo>
                                <a:lnTo>
                                  <a:pt x="5" y="0"/>
                                </a:lnTo>
                                <a:lnTo>
                                  <a:pt x="8" y="1"/>
                                </a:lnTo>
                                <a:lnTo>
                                  <a:pt x="2" y="13"/>
                                </a:lnTo>
                                <a:lnTo>
                                  <a:pt x="0" y="12"/>
                                </a:lnTo>
                                <a:close/>
                              </a:path>
                            </a:pathLst>
                          </a:custGeom>
                          <a:solidFill>
                            <a:srgbClr val="24211D"/>
                          </a:solidFill>
                          <a:ln w="9525">
                            <a:noFill/>
                            <a:round/>
                            <a:headEnd/>
                            <a:tailEnd/>
                          </a:ln>
                        </wps:spPr>
                        <wps:bodyPr/>
                      </wps:wsp>
                      <wps:wsp>
                        <wps:cNvPr id="196" name="Freeform 130"/>
                        <wps:cNvSpPr>
                          <a:spLocks/>
                        </wps:cNvSpPr>
                        <wps:spPr bwMode="auto">
                          <a:xfrm>
                            <a:off x="109" y="417"/>
                            <a:ext cx="70" cy="71"/>
                          </a:xfrm>
                          <a:custGeom>
                            <a:avLst/>
                            <a:gdLst/>
                            <a:ahLst/>
                            <a:cxnLst>
                              <a:cxn ang="0">
                                <a:pos x="85" y="44"/>
                              </a:cxn>
                              <a:cxn ang="0">
                                <a:pos x="63" y="34"/>
                              </a:cxn>
                              <a:cxn ang="0">
                                <a:pos x="73" y="12"/>
                              </a:cxn>
                              <a:cxn ang="0">
                                <a:pos x="50" y="22"/>
                              </a:cxn>
                              <a:cxn ang="0">
                                <a:pos x="42" y="0"/>
                              </a:cxn>
                              <a:cxn ang="0">
                                <a:pos x="34" y="22"/>
                              </a:cxn>
                              <a:cxn ang="0">
                                <a:pos x="12" y="12"/>
                              </a:cxn>
                              <a:cxn ang="0">
                                <a:pos x="21" y="34"/>
                              </a:cxn>
                              <a:cxn ang="0">
                                <a:pos x="0" y="44"/>
                              </a:cxn>
                              <a:cxn ang="0">
                                <a:pos x="21" y="53"/>
                              </a:cxn>
                              <a:cxn ang="0">
                                <a:pos x="12" y="74"/>
                              </a:cxn>
                              <a:cxn ang="0">
                                <a:pos x="34" y="65"/>
                              </a:cxn>
                              <a:cxn ang="0">
                                <a:pos x="42" y="87"/>
                              </a:cxn>
                              <a:cxn ang="0">
                                <a:pos x="50" y="65"/>
                              </a:cxn>
                              <a:cxn ang="0">
                                <a:pos x="73" y="74"/>
                              </a:cxn>
                              <a:cxn ang="0">
                                <a:pos x="63" y="53"/>
                              </a:cxn>
                              <a:cxn ang="0">
                                <a:pos x="85" y="44"/>
                              </a:cxn>
                            </a:cxnLst>
                            <a:rect l="0" t="0" r="r" b="b"/>
                            <a:pathLst>
                              <a:path w="85" h="87">
                                <a:moveTo>
                                  <a:pt x="85" y="44"/>
                                </a:moveTo>
                                <a:lnTo>
                                  <a:pt x="63" y="34"/>
                                </a:lnTo>
                                <a:lnTo>
                                  <a:pt x="73" y="12"/>
                                </a:lnTo>
                                <a:lnTo>
                                  <a:pt x="50" y="22"/>
                                </a:lnTo>
                                <a:lnTo>
                                  <a:pt x="42" y="0"/>
                                </a:lnTo>
                                <a:lnTo>
                                  <a:pt x="34" y="22"/>
                                </a:lnTo>
                                <a:lnTo>
                                  <a:pt x="12" y="12"/>
                                </a:lnTo>
                                <a:lnTo>
                                  <a:pt x="21" y="34"/>
                                </a:lnTo>
                                <a:lnTo>
                                  <a:pt x="0" y="44"/>
                                </a:lnTo>
                                <a:lnTo>
                                  <a:pt x="21" y="53"/>
                                </a:lnTo>
                                <a:lnTo>
                                  <a:pt x="12" y="74"/>
                                </a:lnTo>
                                <a:lnTo>
                                  <a:pt x="34" y="65"/>
                                </a:lnTo>
                                <a:lnTo>
                                  <a:pt x="42" y="87"/>
                                </a:lnTo>
                                <a:lnTo>
                                  <a:pt x="50" y="65"/>
                                </a:lnTo>
                                <a:lnTo>
                                  <a:pt x="73" y="74"/>
                                </a:lnTo>
                                <a:lnTo>
                                  <a:pt x="63" y="53"/>
                                </a:lnTo>
                                <a:lnTo>
                                  <a:pt x="85" y="44"/>
                                </a:lnTo>
                                <a:close/>
                              </a:path>
                            </a:pathLst>
                          </a:custGeom>
                          <a:solidFill>
                            <a:srgbClr val="FDFA00"/>
                          </a:solidFill>
                          <a:ln w="9525">
                            <a:noFill/>
                            <a:round/>
                            <a:headEnd/>
                            <a:tailEnd/>
                          </a:ln>
                        </wps:spPr>
                        <wps:bodyPr/>
                      </wps:wsp>
                      <wps:wsp>
                        <wps:cNvPr id="197" name="Freeform 131"/>
                        <wps:cNvSpPr>
                          <a:spLocks noEditPoints="1"/>
                        </wps:cNvSpPr>
                        <wps:spPr bwMode="auto">
                          <a:xfrm>
                            <a:off x="108" y="415"/>
                            <a:ext cx="72" cy="75"/>
                          </a:xfrm>
                          <a:custGeom>
                            <a:avLst/>
                            <a:gdLst/>
                            <a:ahLst/>
                            <a:cxnLst>
                              <a:cxn ang="0">
                                <a:pos x="65" y="35"/>
                              </a:cxn>
                              <a:cxn ang="0">
                                <a:pos x="65" y="36"/>
                              </a:cxn>
                              <a:cxn ang="0">
                                <a:pos x="65" y="36"/>
                              </a:cxn>
                              <a:cxn ang="0">
                                <a:pos x="75" y="15"/>
                              </a:cxn>
                              <a:cxn ang="0">
                                <a:pos x="74" y="14"/>
                              </a:cxn>
                              <a:cxn ang="0">
                                <a:pos x="75" y="14"/>
                              </a:cxn>
                              <a:cxn ang="0">
                                <a:pos x="52" y="24"/>
                              </a:cxn>
                              <a:cxn ang="0">
                                <a:pos x="75" y="15"/>
                              </a:cxn>
                              <a:cxn ang="0">
                                <a:pos x="51" y="24"/>
                              </a:cxn>
                              <a:cxn ang="0">
                                <a:pos x="44" y="2"/>
                              </a:cxn>
                              <a:cxn ang="0">
                                <a:pos x="51" y="24"/>
                              </a:cxn>
                              <a:cxn ang="0">
                                <a:pos x="45" y="2"/>
                              </a:cxn>
                              <a:cxn ang="0">
                                <a:pos x="37" y="24"/>
                              </a:cxn>
                              <a:cxn ang="0">
                                <a:pos x="45" y="2"/>
                              </a:cxn>
                              <a:cxn ang="0">
                                <a:pos x="36" y="24"/>
                              </a:cxn>
                              <a:cxn ang="0">
                                <a:pos x="36" y="24"/>
                              </a:cxn>
                              <a:cxn ang="0">
                                <a:pos x="37" y="23"/>
                              </a:cxn>
                              <a:cxn ang="0">
                                <a:pos x="13" y="13"/>
                              </a:cxn>
                              <a:cxn ang="0">
                                <a:pos x="13" y="15"/>
                              </a:cxn>
                              <a:cxn ang="0">
                                <a:pos x="23" y="36"/>
                              </a:cxn>
                              <a:cxn ang="0">
                                <a:pos x="24" y="36"/>
                              </a:cxn>
                              <a:cxn ang="0">
                                <a:pos x="23" y="36"/>
                              </a:cxn>
                              <a:cxn ang="0">
                                <a:pos x="2" y="46"/>
                              </a:cxn>
                              <a:cxn ang="0">
                                <a:pos x="24" y="37"/>
                              </a:cxn>
                              <a:cxn ang="0">
                                <a:pos x="1" y="45"/>
                              </a:cxn>
                              <a:cxn ang="0">
                                <a:pos x="2" y="45"/>
                              </a:cxn>
                              <a:cxn ang="0">
                                <a:pos x="1" y="46"/>
                              </a:cxn>
                              <a:cxn ang="0">
                                <a:pos x="24" y="55"/>
                              </a:cxn>
                              <a:cxn ang="0">
                                <a:pos x="24" y="54"/>
                              </a:cxn>
                              <a:cxn ang="0">
                                <a:pos x="13" y="76"/>
                              </a:cxn>
                              <a:cxn ang="0">
                                <a:pos x="14" y="77"/>
                              </a:cxn>
                              <a:cxn ang="0">
                                <a:pos x="14" y="76"/>
                              </a:cxn>
                              <a:cxn ang="0">
                                <a:pos x="36" y="66"/>
                              </a:cxn>
                              <a:cxn ang="0">
                                <a:pos x="14" y="76"/>
                              </a:cxn>
                              <a:cxn ang="0">
                                <a:pos x="37" y="67"/>
                              </a:cxn>
                              <a:cxn ang="0">
                                <a:pos x="37" y="67"/>
                              </a:cxn>
                              <a:cxn ang="0">
                                <a:pos x="36" y="67"/>
                              </a:cxn>
                              <a:cxn ang="0">
                                <a:pos x="44" y="91"/>
                              </a:cxn>
                              <a:cxn ang="0">
                                <a:pos x="45" y="89"/>
                              </a:cxn>
                              <a:cxn ang="0">
                                <a:pos x="53" y="67"/>
                              </a:cxn>
                              <a:cxn ang="0">
                                <a:pos x="51" y="67"/>
                              </a:cxn>
                              <a:cxn ang="0">
                                <a:pos x="52" y="67"/>
                              </a:cxn>
                              <a:cxn ang="0">
                                <a:pos x="75" y="76"/>
                              </a:cxn>
                              <a:cxn ang="0">
                                <a:pos x="52" y="66"/>
                              </a:cxn>
                              <a:cxn ang="0">
                                <a:pos x="74" y="77"/>
                              </a:cxn>
                              <a:cxn ang="0">
                                <a:pos x="64" y="55"/>
                              </a:cxn>
                              <a:cxn ang="0">
                                <a:pos x="74" y="77"/>
                              </a:cxn>
                              <a:cxn ang="0">
                                <a:pos x="65" y="54"/>
                              </a:cxn>
                              <a:cxn ang="0">
                                <a:pos x="65" y="54"/>
                              </a:cxn>
                              <a:cxn ang="0">
                                <a:pos x="65" y="55"/>
                              </a:cxn>
                              <a:cxn ang="0">
                                <a:pos x="88" y="46"/>
                              </a:cxn>
                              <a:cxn ang="0">
                                <a:pos x="87" y="45"/>
                              </a:cxn>
                            </a:cxnLst>
                            <a:rect l="0" t="0" r="r" b="b"/>
                            <a:pathLst>
                              <a:path w="88" h="91">
                                <a:moveTo>
                                  <a:pt x="86" y="46"/>
                                </a:moveTo>
                                <a:lnTo>
                                  <a:pt x="65" y="36"/>
                                </a:lnTo>
                                <a:lnTo>
                                  <a:pt x="65" y="35"/>
                                </a:lnTo>
                                <a:lnTo>
                                  <a:pt x="87" y="45"/>
                                </a:lnTo>
                                <a:lnTo>
                                  <a:pt x="86" y="46"/>
                                </a:lnTo>
                                <a:close/>
                                <a:moveTo>
                                  <a:pt x="65" y="36"/>
                                </a:moveTo>
                                <a:lnTo>
                                  <a:pt x="64" y="36"/>
                                </a:lnTo>
                                <a:lnTo>
                                  <a:pt x="64" y="36"/>
                                </a:lnTo>
                                <a:lnTo>
                                  <a:pt x="65" y="36"/>
                                </a:lnTo>
                                <a:close/>
                                <a:moveTo>
                                  <a:pt x="64" y="36"/>
                                </a:moveTo>
                                <a:lnTo>
                                  <a:pt x="74" y="14"/>
                                </a:lnTo>
                                <a:lnTo>
                                  <a:pt x="75" y="15"/>
                                </a:lnTo>
                                <a:lnTo>
                                  <a:pt x="66" y="36"/>
                                </a:lnTo>
                                <a:lnTo>
                                  <a:pt x="64" y="36"/>
                                </a:lnTo>
                                <a:close/>
                                <a:moveTo>
                                  <a:pt x="74" y="14"/>
                                </a:moveTo>
                                <a:lnTo>
                                  <a:pt x="76" y="13"/>
                                </a:lnTo>
                                <a:lnTo>
                                  <a:pt x="75" y="15"/>
                                </a:lnTo>
                                <a:lnTo>
                                  <a:pt x="75" y="14"/>
                                </a:lnTo>
                                <a:lnTo>
                                  <a:pt x="74" y="14"/>
                                </a:lnTo>
                                <a:close/>
                                <a:moveTo>
                                  <a:pt x="75" y="15"/>
                                </a:moveTo>
                                <a:lnTo>
                                  <a:pt x="52" y="24"/>
                                </a:lnTo>
                                <a:lnTo>
                                  <a:pt x="52" y="23"/>
                                </a:lnTo>
                                <a:lnTo>
                                  <a:pt x="74" y="14"/>
                                </a:lnTo>
                                <a:lnTo>
                                  <a:pt x="75" y="15"/>
                                </a:lnTo>
                                <a:close/>
                                <a:moveTo>
                                  <a:pt x="52" y="24"/>
                                </a:moveTo>
                                <a:lnTo>
                                  <a:pt x="52" y="25"/>
                                </a:lnTo>
                                <a:lnTo>
                                  <a:pt x="51" y="24"/>
                                </a:lnTo>
                                <a:lnTo>
                                  <a:pt x="52" y="24"/>
                                </a:lnTo>
                                <a:close/>
                                <a:moveTo>
                                  <a:pt x="51" y="24"/>
                                </a:moveTo>
                                <a:lnTo>
                                  <a:pt x="44" y="2"/>
                                </a:lnTo>
                                <a:lnTo>
                                  <a:pt x="45" y="2"/>
                                </a:lnTo>
                                <a:lnTo>
                                  <a:pt x="53" y="24"/>
                                </a:lnTo>
                                <a:lnTo>
                                  <a:pt x="51" y="24"/>
                                </a:lnTo>
                                <a:close/>
                                <a:moveTo>
                                  <a:pt x="44" y="2"/>
                                </a:moveTo>
                                <a:lnTo>
                                  <a:pt x="44" y="0"/>
                                </a:lnTo>
                                <a:lnTo>
                                  <a:pt x="45" y="2"/>
                                </a:lnTo>
                                <a:lnTo>
                                  <a:pt x="44" y="2"/>
                                </a:lnTo>
                                <a:close/>
                                <a:moveTo>
                                  <a:pt x="45" y="2"/>
                                </a:moveTo>
                                <a:lnTo>
                                  <a:pt x="37" y="24"/>
                                </a:lnTo>
                                <a:lnTo>
                                  <a:pt x="36" y="24"/>
                                </a:lnTo>
                                <a:lnTo>
                                  <a:pt x="44" y="2"/>
                                </a:lnTo>
                                <a:lnTo>
                                  <a:pt x="45" y="2"/>
                                </a:lnTo>
                                <a:close/>
                                <a:moveTo>
                                  <a:pt x="37" y="24"/>
                                </a:moveTo>
                                <a:lnTo>
                                  <a:pt x="37" y="25"/>
                                </a:lnTo>
                                <a:lnTo>
                                  <a:pt x="36" y="24"/>
                                </a:lnTo>
                                <a:lnTo>
                                  <a:pt x="36" y="24"/>
                                </a:lnTo>
                                <a:lnTo>
                                  <a:pt x="37" y="24"/>
                                </a:lnTo>
                                <a:close/>
                                <a:moveTo>
                                  <a:pt x="36" y="24"/>
                                </a:moveTo>
                                <a:lnTo>
                                  <a:pt x="14" y="15"/>
                                </a:lnTo>
                                <a:lnTo>
                                  <a:pt x="14" y="14"/>
                                </a:lnTo>
                                <a:lnTo>
                                  <a:pt x="37" y="23"/>
                                </a:lnTo>
                                <a:lnTo>
                                  <a:pt x="36" y="24"/>
                                </a:lnTo>
                                <a:close/>
                                <a:moveTo>
                                  <a:pt x="13" y="15"/>
                                </a:moveTo>
                                <a:lnTo>
                                  <a:pt x="13" y="13"/>
                                </a:lnTo>
                                <a:lnTo>
                                  <a:pt x="14" y="14"/>
                                </a:lnTo>
                                <a:lnTo>
                                  <a:pt x="14" y="14"/>
                                </a:lnTo>
                                <a:lnTo>
                                  <a:pt x="13" y="15"/>
                                </a:lnTo>
                                <a:close/>
                                <a:moveTo>
                                  <a:pt x="14" y="14"/>
                                </a:moveTo>
                                <a:lnTo>
                                  <a:pt x="24" y="36"/>
                                </a:lnTo>
                                <a:lnTo>
                                  <a:pt x="23" y="36"/>
                                </a:lnTo>
                                <a:lnTo>
                                  <a:pt x="13" y="15"/>
                                </a:lnTo>
                                <a:lnTo>
                                  <a:pt x="14" y="14"/>
                                </a:lnTo>
                                <a:close/>
                                <a:moveTo>
                                  <a:pt x="24" y="36"/>
                                </a:moveTo>
                                <a:lnTo>
                                  <a:pt x="24" y="36"/>
                                </a:lnTo>
                                <a:lnTo>
                                  <a:pt x="24" y="37"/>
                                </a:lnTo>
                                <a:lnTo>
                                  <a:pt x="23" y="36"/>
                                </a:lnTo>
                                <a:lnTo>
                                  <a:pt x="24" y="36"/>
                                </a:lnTo>
                                <a:close/>
                                <a:moveTo>
                                  <a:pt x="24" y="37"/>
                                </a:moveTo>
                                <a:lnTo>
                                  <a:pt x="2" y="46"/>
                                </a:lnTo>
                                <a:lnTo>
                                  <a:pt x="1" y="45"/>
                                </a:lnTo>
                                <a:lnTo>
                                  <a:pt x="23" y="35"/>
                                </a:lnTo>
                                <a:lnTo>
                                  <a:pt x="24" y="37"/>
                                </a:lnTo>
                                <a:close/>
                                <a:moveTo>
                                  <a:pt x="1" y="46"/>
                                </a:moveTo>
                                <a:lnTo>
                                  <a:pt x="0" y="46"/>
                                </a:lnTo>
                                <a:lnTo>
                                  <a:pt x="1" y="45"/>
                                </a:lnTo>
                                <a:lnTo>
                                  <a:pt x="2" y="46"/>
                                </a:lnTo>
                                <a:lnTo>
                                  <a:pt x="1" y="46"/>
                                </a:lnTo>
                                <a:close/>
                                <a:moveTo>
                                  <a:pt x="2" y="45"/>
                                </a:moveTo>
                                <a:lnTo>
                                  <a:pt x="24" y="54"/>
                                </a:lnTo>
                                <a:lnTo>
                                  <a:pt x="23" y="55"/>
                                </a:lnTo>
                                <a:lnTo>
                                  <a:pt x="1" y="46"/>
                                </a:lnTo>
                                <a:lnTo>
                                  <a:pt x="2" y="45"/>
                                </a:lnTo>
                                <a:close/>
                                <a:moveTo>
                                  <a:pt x="24" y="54"/>
                                </a:moveTo>
                                <a:lnTo>
                                  <a:pt x="24" y="55"/>
                                </a:lnTo>
                                <a:lnTo>
                                  <a:pt x="24" y="55"/>
                                </a:lnTo>
                                <a:lnTo>
                                  <a:pt x="23" y="55"/>
                                </a:lnTo>
                                <a:lnTo>
                                  <a:pt x="24" y="54"/>
                                </a:lnTo>
                                <a:close/>
                                <a:moveTo>
                                  <a:pt x="24" y="55"/>
                                </a:moveTo>
                                <a:lnTo>
                                  <a:pt x="14" y="77"/>
                                </a:lnTo>
                                <a:lnTo>
                                  <a:pt x="13" y="76"/>
                                </a:lnTo>
                                <a:lnTo>
                                  <a:pt x="23" y="55"/>
                                </a:lnTo>
                                <a:lnTo>
                                  <a:pt x="24" y="55"/>
                                </a:lnTo>
                                <a:close/>
                                <a:moveTo>
                                  <a:pt x="14" y="77"/>
                                </a:moveTo>
                                <a:lnTo>
                                  <a:pt x="13" y="78"/>
                                </a:lnTo>
                                <a:lnTo>
                                  <a:pt x="13" y="76"/>
                                </a:lnTo>
                                <a:lnTo>
                                  <a:pt x="14" y="76"/>
                                </a:lnTo>
                                <a:lnTo>
                                  <a:pt x="14" y="77"/>
                                </a:lnTo>
                                <a:close/>
                                <a:moveTo>
                                  <a:pt x="14" y="76"/>
                                </a:moveTo>
                                <a:lnTo>
                                  <a:pt x="36" y="66"/>
                                </a:lnTo>
                                <a:lnTo>
                                  <a:pt x="37" y="68"/>
                                </a:lnTo>
                                <a:lnTo>
                                  <a:pt x="14" y="77"/>
                                </a:lnTo>
                                <a:lnTo>
                                  <a:pt x="14" y="76"/>
                                </a:lnTo>
                                <a:close/>
                                <a:moveTo>
                                  <a:pt x="36" y="66"/>
                                </a:moveTo>
                                <a:lnTo>
                                  <a:pt x="37" y="66"/>
                                </a:lnTo>
                                <a:lnTo>
                                  <a:pt x="37" y="67"/>
                                </a:lnTo>
                                <a:lnTo>
                                  <a:pt x="36" y="67"/>
                                </a:lnTo>
                                <a:lnTo>
                                  <a:pt x="36" y="66"/>
                                </a:lnTo>
                                <a:close/>
                                <a:moveTo>
                                  <a:pt x="37" y="67"/>
                                </a:moveTo>
                                <a:lnTo>
                                  <a:pt x="45" y="89"/>
                                </a:lnTo>
                                <a:lnTo>
                                  <a:pt x="44" y="89"/>
                                </a:lnTo>
                                <a:lnTo>
                                  <a:pt x="36" y="67"/>
                                </a:lnTo>
                                <a:lnTo>
                                  <a:pt x="37" y="67"/>
                                </a:lnTo>
                                <a:close/>
                                <a:moveTo>
                                  <a:pt x="45" y="89"/>
                                </a:moveTo>
                                <a:lnTo>
                                  <a:pt x="44" y="91"/>
                                </a:lnTo>
                                <a:lnTo>
                                  <a:pt x="44" y="89"/>
                                </a:lnTo>
                                <a:lnTo>
                                  <a:pt x="44" y="89"/>
                                </a:lnTo>
                                <a:lnTo>
                                  <a:pt x="45" y="89"/>
                                </a:lnTo>
                                <a:close/>
                                <a:moveTo>
                                  <a:pt x="44" y="89"/>
                                </a:moveTo>
                                <a:lnTo>
                                  <a:pt x="51" y="67"/>
                                </a:lnTo>
                                <a:lnTo>
                                  <a:pt x="53" y="67"/>
                                </a:lnTo>
                                <a:lnTo>
                                  <a:pt x="45" y="89"/>
                                </a:lnTo>
                                <a:lnTo>
                                  <a:pt x="44" y="89"/>
                                </a:lnTo>
                                <a:close/>
                                <a:moveTo>
                                  <a:pt x="51" y="67"/>
                                </a:moveTo>
                                <a:lnTo>
                                  <a:pt x="52" y="66"/>
                                </a:lnTo>
                                <a:lnTo>
                                  <a:pt x="52" y="66"/>
                                </a:lnTo>
                                <a:lnTo>
                                  <a:pt x="52" y="67"/>
                                </a:lnTo>
                                <a:lnTo>
                                  <a:pt x="51" y="67"/>
                                </a:lnTo>
                                <a:close/>
                                <a:moveTo>
                                  <a:pt x="52" y="66"/>
                                </a:moveTo>
                                <a:lnTo>
                                  <a:pt x="75" y="76"/>
                                </a:lnTo>
                                <a:lnTo>
                                  <a:pt x="74" y="77"/>
                                </a:lnTo>
                                <a:lnTo>
                                  <a:pt x="52" y="67"/>
                                </a:lnTo>
                                <a:lnTo>
                                  <a:pt x="52" y="66"/>
                                </a:lnTo>
                                <a:close/>
                                <a:moveTo>
                                  <a:pt x="75" y="76"/>
                                </a:moveTo>
                                <a:lnTo>
                                  <a:pt x="76" y="78"/>
                                </a:lnTo>
                                <a:lnTo>
                                  <a:pt x="74" y="77"/>
                                </a:lnTo>
                                <a:lnTo>
                                  <a:pt x="75" y="76"/>
                                </a:lnTo>
                                <a:close/>
                                <a:moveTo>
                                  <a:pt x="74" y="77"/>
                                </a:moveTo>
                                <a:lnTo>
                                  <a:pt x="64" y="55"/>
                                </a:lnTo>
                                <a:lnTo>
                                  <a:pt x="66" y="55"/>
                                </a:lnTo>
                                <a:lnTo>
                                  <a:pt x="75" y="76"/>
                                </a:lnTo>
                                <a:lnTo>
                                  <a:pt x="74" y="77"/>
                                </a:lnTo>
                                <a:close/>
                                <a:moveTo>
                                  <a:pt x="64" y="55"/>
                                </a:moveTo>
                                <a:lnTo>
                                  <a:pt x="64" y="54"/>
                                </a:lnTo>
                                <a:lnTo>
                                  <a:pt x="65" y="54"/>
                                </a:lnTo>
                                <a:lnTo>
                                  <a:pt x="65" y="55"/>
                                </a:lnTo>
                                <a:lnTo>
                                  <a:pt x="64" y="55"/>
                                </a:lnTo>
                                <a:close/>
                                <a:moveTo>
                                  <a:pt x="65" y="54"/>
                                </a:moveTo>
                                <a:lnTo>
                                  <a:pt x="86" y="45"/>
                                </a:lnTo>
                                <a:lnTo>
                                  <a:pt x="87" y="46"/>
                                </a:lnTo>
                                <a:lnTo>
                                  <a:pt x="65" y="55"/>
                                </a:lnTo>
                                <a:lnTo>
                                  <a:pt x="65" y="54"/>
                                </a:lnTo>
                                <a:close/>
                                <a:moveTo>
                                  <a:pt x="87" y="45"/>
                                </a:moveTo>
                                <a:lnTo>
                                  <a:pt x="88" y="46"/>
                                </a:lnTo>
                                <a:lnTo>
                                  <a:pt x="87" y="46"/>
                                </a:lnTo>
                                <a:lnTo>
                                  <a:pt x="87" y="46"/>
                                </a:lnTo>
                                <a:lnTo>
                                  <a:pt x="87" y="45"/>
                                </a:lnTo>
                                <a:close/>
                              </a:path>
                            </a:pathLst>
                          </a:custGeom>
                          <a:solidFill>
                            <a:srgbClr val="F47F36"/>
                          </a:solidFill>
                          <a:ln w="9525">
                            <a:noFill/>
                            <a:round/>
                            <a:headEnd/>
                            <a:tailEnd/>
                          </a:ln>
                        </wps:spPr>
                        <wps:bodyPr/>
                      </wps:wsp>
                      <wps:wsp>
                        <wps:cNvPr id="198" name="Freeform 132"/>
                        <wps:cNvSpPr>
                          <a:spLocks/>
                        </wps:cNvSpPr>
                        <wps:spPr bwMode="auto">
                          <a:xfrm>
                            <a:off x="315" y="417"/>
                            <a:ext cx="70" cy="71"/>
                          </a:xfrm>
                          <a:custGeom>
                            <a:avLst/>
                            <a:gdLst/>
                            <a:ahLst/>
                            <a:cxnLst>
                              <a:cxn ang="0">
                                <a:pos x="85" y="44"/>
                              </a:cxn>
                              <a:cxn ang="0">
                                <a:pos x="64" y="34"/>
                              </a:cxn>
                              <a:cxn ang="0">
                                <a:pos x="73" y="13"/>
                              </a:cxn>
                              <a:cxn ang="0">
                                <a:pos x="51" y="22"/>
                              </a:cxn>
                              <a:cxn ang="0">
                                <a:pos x="43" y="0"/>
                              </a:cxn>
                              <a:cxn ang="0">
                                <a:pos x="35" y="22"/>
                              </a:cxn>
                              <a:cxn ang="0">
                                <a:pos x="12" y="13"/>
                              </a:cxn>
                              <a:cxn ang="0">
                                <a:pos x="22" y="34"/>
                              </a:cxn>
                              <a:cxn ang="0">
                                <a:pos x="0" y="44"/>
                              </a:cxn>
                              <a:cxn ang="0">
                                <a:pos x="22" y="53"/>
                              </a:cxn>
                              <a:cxn ang="0">
                                <a:pos x="12" y="75"/>
                              </a:cxn>
                              <a:cxn ang="0">
                                <a:pos x="35" y="65"/>
                              </a:cxn>
                              <a:cxn ang="0">
                                <a:pos x="43" y="87"/>
                              </a:cxn>
                              <a:cxn ang="0">
                                <a:pos x="51" y="65"/>
                              </a:cxn>
                              <a:cxn ang="0">
                                <a:pos x="73" y="75"/>
                              </a:cxn>
                              <a:cxn ang="0">
                                <a:pos x="64" y="53"/>
                              </a:cxn>
                              <a:cxn ang="0">
                                <a:pos x="85" y="44"/>
                              </a:cxn>
                            </a:cxnLst>
                            <a:rect l="0" t="0" r="r" b="b"/>
                            <a:pathLst>
                              <a:path w="85" h="87">
                                <a:moveTo>
                                  <a:pt x="85" y="44"/>
                                </a:moveTo>
                                <a:lnTo>
                                  <a:pt x="64" y="34"/>
                                </a:lnTo>
                                <a:lnTo>
                                  <a:pt x="73" y="13"/>
                                </a:lnTo>
                                <a:lnTo>
                                  <a:pt x="51" y="22"/>
                                </a:lnTo>
                                <a:lnTo>
                                  <a:pt x="43" y="0"/>
                                </a:lnTo>
                                <a:lnTo>
                                  <a:pt x="35" y="22"/>
                                </a:lnTo>
                                <a:lnTo>
                                  <a:pt x="12" y="13"/>
                                </a:lnTo>
                                <a:lnTo>
                                  <a:pt x="22" y="34"/>
                                </a:lnTo>
                                <a:lnTo>
                                  <a:pt x="0" y="44"/>
                                </a:lnTo>
                                <a:lnTo>
                                  <a:pt x="22" y="53"/>
                                </a:lnTo>
                                <a:lnTo>
                                  <a:pt x="12" y="75"/>
                                </a:lnTo>
                                <a:lnTo>
                                  <a:pt x="35" y="65"/>
                                </a:lnTo>
                                <a:lnTo>
                                  <a:pt x="43" y="87"/>
                                </a:lnTo>
                                <a:lnTo>
                                  <a:pt x="51" y="65"/>
                                </a:lnTo>
                                <a:lnTo>
                                  <a:pt x="73" y="75"/>
                                </a:lnTo>
                                <a:lnTo>
                                  <a:pt x="64" y="53"/>
                                </a:lnTo>
                                <a:lnTo>
                                  <a:pt x="85" y="44"/>
                                </a:lnTo>
                                <a:close/>
                              </a:path>
                            </a:pathLst>
                          </a:custGeom>
                          <a:solidFill>
                            <a:srgbClr val="FDFA00"/>
                          </a:solidFill>
                          <a:ln w="9525">
                            <a:noFill/>
                            <a:round/>
                            <a:headEnd/>
                            <a:tailEnd/>
                          </a:ln>
                        </wps:spPr>
                        <wps:bodyPr/>
                      </wps:wsp>
                      <wps:wsp>
                        <wps:cNvPr id="199" name="Freeform 133"/>
                        <wps:cNvSpPr>
                          <a:spLocks noEditPoints="1"/>
                        </wps:cNvSpPr>
                        <wps:spPr bwMode="auto">
                          <a:xfrm>
                            <a:off x="314" y="415"/>
                            <a:ext cx="73" cy="75"/>
                          </a:xfrm>
                          <a:custGeom>
                            <a:avLst/>
                            <a:gdLst/>
                            <a:ahLst/>
                            <a:cxnLst>
                              <a:cxn ang="0">
                                <a:pos x="65" y="36"/>
                              </a:cxn>
                              <a:cxn ang="0">
                                <a:pos x="64" y="37"/>
                              </a:cxn>
                              <a:cxn ang="0">
                                <a:pos x="65" y="36"/>
                              </a:cxn>
                              <a:cxn ang="0">
                                <a:pos x="74" y="14"/>
                              </a:cxn>
                              <a:cxn ang="0">
                                <a:pos x="64" y="36"/>
                              </a:cxn>
                              <a:cxn ang="0">
                                <a:pos x="75" y="15"/>
                              </a:cxn>
                              <a:cxn ang="0">
                                <a:pos x="74" y="15"/>
                              </a:cxn>
                              <a:cxn ang="0">
                                <a:pos x="74" y="14"/>
                              </a:cxn>
                              <a:cxn ang="0">
                                <a:pos x="51" y="25"/>
                              </a:cxn>
                              <a:cxn ang="0">
                                <a:pos x="52" y="25"/>
                              </a:cxn>
                              <a:cxn ang="0">
                                <a:pos x="44" y="2"/>
                              </a:cxn>
                              <a:cxn ang="0">
                                <a:pos x="43" y="2"/>
                              </a:cxn>
                              <a:cxn ang="0">
                                <a:pos x="44" y="2"/>
                              </a:cxn>
                              <a:cxn ang="0">
                                <a:pos x="36" y="24"/>
                              </a:cxn>
                              <a:cxn ang="0">
                                <a:pos x="44" y="2"/>
                              </a:cxn>
                              <a:cxn ang="0">
                                <a:pos x="36" y="25"/>
                              </a:cxn>
                              <a:cxn ang="0">
                                <a:pos x="13" y="15"/>
                              </a:cxn>
                              <a:cxn ang="0">
                                <a:pos x="36" y="25"/>
                              </a:cxn>
                              <a:cxn ang="0">
                                <a:pos x="14" y="14"/>
                              </a:cxn>
                              <a:cxn ang="0">
                                <a:pos x="23" y="36"/>
                              </a:cxn>
                              <a:cxn ang="0">
                                <a:pos x="14" y="14"/>
                              </a:cxn>
                              <a:cxn ang="0">
                                <a:pos x="23" y="37"/>
                              </a:cxn>
                              <a:cxn ang="0">
                                <a:pos x="2" y="46"/>
                              </a:cxn>
                              <a:cxn ang="0">
                                <a:pos x="23" y="37"/>
                              </a:cxn>
                              <a:cxn ang="0">
                                <a:pos x="1" y="45"/>
                              </a:cxn>
                              <a:cxn ang="0">
                                <a:pos x="23" y="54"/>
                              </a:cxn>
                              <a:cxn ang="0">
                                <a:pos x="2" y="45"/>
                              </a:cxn>
                              <a:cxn ang="0">
                                <a:pos x="24" y="55"/>
                              </a:cxn>
                              <a:cxn ang="0">
                                <a:pos x="24" y="55"/>
                              </a:cxn>
                              <a:cxn ang="0">
                                <a:pos x="22" y="55"/>
                              </a:cxn>
                              <a:cxn ang="0">
                                <a:pos x="12" y="78"/>
                              </a:cxn>
                              <a:cxn ang="0">
                                <a:pos x="14" y="77"/>
                              </a:cxn>
                              <a:cxn ang="0">
                                <a:pos x="36" y="68"/>
                              </a:cxn>
                              <a:cxn ang="0">
                                <a:pos x="36" y="67"/>
                              </a:cxn>
                              <a:cxn ang="0">
                                <a:pos x="36" y="67"/>
                              </a:cxn>
                              <a:cxn ang="0">
                                <a:pos x="43" y="89"/>
                              </a:cxn>
                              <a:cxn ang="0">
                                <a:pos x="44" y="89"/>
                              </a:cxn>
                              <a:cxn ang="0">
                                <a:pos x="44" y="89"/>
                              </a:cxn>
                              <a:cxn ang="0">
                                <a:pos x="52" y="67"/>
                              </a:cxn>
                              <a:cxn ang="0">
                                <a:pos x="51" y="67"/>
                              </a:cxn>
                              <a:cxn ang="0">
                                <a:pos x="52" y="67"/>
                              </a:cxn>
                              <a:cxn ang="0">
                                <a:pos x="74" y="76"/>
                              </a:cxn>
                              <a:cxn ang="0">
                                <a:pos x="52" y="67"/>
                              </a:cxn>
                              <a:cxn ang="0">
                                <a:pos x="74" y="77"/>
                              </a:cxn>
                              <a:cxn ang="0">
                                <a:pos x="74" y="77"/>
                              </a:cxn>
                              <a:cxn ang="0">
                                <a:pos x="75" y="76"/>
                              </a:cxn>
                              <a:cxn ang="0">
                                <a:pos x="64" y="55"/>
                              </a:cxn>
                              <a:cxn ang="0">
                                <a:pos x="64" y="55"/>
                              </a:cxn>
                              <a:cxn ang="0">
                                <a:pos x="87" y="46"/>
                              </a:cxn>
                              <a:cxn ang="0">
                                <a:pos x="87" y="45"/>
                              </a:cxn>
                              <a:cxn ang="0">
                                <a:pos x="86" y="46"/>
                              </a:cxn>
                            </a:cxnLst>
                            <a:rect l="0" t="0" r="r" b="b"/>
                            <a:pathLst>
                              <a:path w="88" h="91">
                                <a:moveTo>
                                  <a:pt x="86" y="46"/>
                                </a:moveTo>
                                <a:lnTo>
                                  <a:pt x="64" y="37"/>
                                </a:lnTo>
                                <a:lnTo>
                                  <a:pt x="65" y="36"/>
                                </a:lnTo>
                                <a:lnTo>
                                  <a:pt x="87" y="45"/>
                                </a:lnTo>
                                <a:lnTo>
                                  <a:pt x="86" y="46"/>
                                </a:lnTo>
                                <a:close/>
                                <a:moveTo>
                                  <a:pt x="64" y="37"/>
                                </a:moveTo>
                                <a:lnTo>
                                  <a:pt x="64" y="36"/>
                                </a:lnTo>
                                <a:lnTo>
                                  <a:pt x="64" y="36"/>
                                </a:lnTo>
                                <a:lnTo>
                                  <a:pt x="65" y="36"/>
                                </a:lnTo>
                                <a:lnTo>
                                  <a:pt x="64" y="37"/>
                                </a:lnTo>
                                <a:close/>
                                <a:moveTo>
                                  <a:pt x="64" y="36"/>
                                </a:moveTo>
                                <a:lnTo>
                                  <a:pt x="74" y="14"/>
                                </a:lnTo>
                                <a:lnTo>
                                  <a:pt x="75" y="15"/>
                                </a:lnTo>
                                <a:lnTo>
                                  <a:pt x="65" y="36"/>
                                </a:lnTo>
                                <a:lnTo>
                                  <a:pt x="64" y="36"/>
                                </a:lnTo>
                                <a:close/>
                                <a:moveTo>
                                  <a:pt x="74" y="14"/>
                                </a:moveTo>
                                <a:lnTo>
                                  <a:pt x="75" y="13"/>
                                </a:lnTo>
                                <a:lnTo>
                                  <a:pt x="75" y="15"/>
                                </a:lnTo>
                                <a:lnTo>
                                  <a:pt x="74" y="15"/>
                                </a:lnTo>
                                <a:lnTo>
                                  <a:pt x="74" y="14"/>
                                </a:lnTo>
                                <a:close/>
                                <a:moveTo>
                                  <a:pt x="74" y="15"/>
                                </a:moveTo>
                                <a:lnTo>
                                  <a:pt x="52" y="25"/>
                                </a:lnTo>
                                <a:lnTo>
                                  <a:pt x="51" y="23"/>
                                </a:lnTo>
                                <a:lnTo>
                                  <a:pt x="74" y="14"/>
                                </a:lnTo>
                                <a:lnTo>
                                  <a:pt x="74" y="15"/>
                                </a:lnTo>
                                <a:close/>
                                <a:moveTo>
                                  <a:pt x="52" y="25"/>
                                </a:moveTo>
                                <a:lnTo>
                                  <a:pt x="51" y="25"/>
                                </a:lnTo>
                                <a:lnTo>
                                  <a:pt x="51" y="24"/>
                                </a:lnTo>
                                <a:lnTo>
                                  <a:pt x="52" y="24"/>
                                </a:lnTo>
                                <a:lnTo>
                                  <a:pt x="52" y="25"/>
                                </a:lnTo>
                                <a:close/>
                                <a:moveTo>
                                  <a:pt x="51" y="24"/>
                                </a:moveTo>
                                <a:lnTo>
                                  <a:pt x="43" y="2"/>
                                </a:lnTo>
                                <a:lnTo>
                                  <a:pt x="44" y="2"/>
                                </a:lnTo>
                                <a:lnTo>
                                  <a:pt x="52" y="24"/>
                                </a:lnTo>
                                <a:lnTo>
                                  <a:pt x="51" y="24"/>
                                </a:lnTo>
                                <a:close/>
                                <a:moveTo>
                                  <a:pt x="43" y="2"/>
                                </a:moveTo>
                                <a:lnTo>
                                  <a:pt x="44" y="0"/>
                                </a:lnTo>
                                <a:lnTo>
                                  <a:pt x="44" y="2"/>
                                </a:lnTo>
                                <a:lnTo>
                                  <a:pt x="44" y="2"/>
                                </a:lnTo>
                                <a:lnTo>
                                  <a:pt x="43" y="2"/>
                                </a:lnTo>
                                <a:close/>
                                <a:moveTo>
                                  <a:pt x="44" y="2"/>
                                </a:moveTo>
                                <a:lnTo>
                                  <a:pt x="36" y="24"/>
                                </a:lnTo>
                                <a:lnTo>
                                  <a:pt x="35" y="24"/>
                                </a:lnTo>
                                <a:lnTo>
                                  <a:pt x="43" y="2"/>
                                </a:lnTo>
                                <a:lnTo>
                                  <a:pt x="44" y="2"/>
                                </a:lnTo>
                                <a:close/>
                                <a:moveTo>
                                  <a:pt x="36" y="24"/>
                                </a:moveTo>
                                <a:lnTo>
                                  <a:pt x="36" y="25"/>
                                </a:lnTo>
                                <a:lnTo>
                                  <a:pt x="36" y="25"/>
                                </a:lnTo>
                                <a:lnTo>
                                  <a:pt x="36" y="24"/>
                                </a:lnTo>
                                <a:close/>
                                <a:moveTo>
                                  <a:pt x="36" y="25"/>
                                </a:moveTo>
                                <a:lnTo>
                                  <a:pt x="13" y="15"/>
                                </a:lnTo>
                                <a:lnTo>
                                  <a:pt x="14" y="14"/>
                                </a:lnTo>
                                <a:lnTo>
                                  <a:pt x="36" y="23"/>
                                </a:lnTo>
                                <a:lnTo>
                                  <a:pt x="36" y="25"/>
                                </a:lnTo>
                                <a:close/>
                                <a:moveTo>
                                  <a:pt x="13" y="15"/>
                                </a:moveTo>
                                <a:lnTo>
                                  <a:pt x="12" y="13"/>
                                </a:lnTo>
                                <a:lnTo>
                                  <a:pt x="14" y="14"/>
                                </a:lnTo>
                                <a:lnTo>
                                  <a:pt x="13" y="15"/>
                                </a:lnTo>
                                <a:close/>
                                <a:moveTo>
                                  <a:pt x="14" y="14"/>
                                </a:moveTo>
                                <a:lnTo>
                                  <a:pt x="23" y="36"/>
                                </a:lnTo>
                                <a:lnTo>
                                  <a:pt x="22" y="36"/>
                                </a:lnTo>
                                <a:lnTo>
                                  <a:pt x="13" y="15"/>
                                </a:lnTo>
                                <a:lnTo>
                                  <a:pt x="14" y="14"/>
                                </a:lnTo>
                                <a:close/>
                                <a:moveTo>
                                  <a:pt x="23" y="36"/>
                                </a:moveTo>
                                <a:lnTo>
                                  <a:pt x="24" y="36"/>
                                </a:lnTo>
                                <a:lnTo>
                                  <a:pt x="23" y="37"/>
                                </a:lnTo>
                                <a:lnTo>
                                  <a:pt x="23" y="36"/>
                                </a:lnTo>
                                <a:close/>
                                <a:moveTo>
                                  <a:pt x="23" y="37"/>
                                </a:moveTo>
                                <a:lnTo>
                                  <a:pt x="2" y="46"/>
                                </a:lnTo>
                                <a:lnTo>
                                  <a:pt x="1" y="45"/>
                                </a:lnTo>
                                <a:lnTo>
                                  <a:pt x="23" y="36"/>
                                </a:lnTo>
                                <a:lnTo>
                                  <a:pt x="23" y="37"/>
                                </a:lnTo>
                                <a:close/>
                                <a:moveTo>
                                  <a:pt x="1" y="46"/>
                                </a:moveTo>
                                <a:lnTo>
                                  <a:pt x="0" y="46"/>
                                </a:lnTo>
                                <a:lnTo>
                                  <a:pt x="1" y="45"/>
                                </a:lnTo>
                                <a:lnTo>
                                  <a:pt x="1" y="46"/>
                                </a:lnTo>
                                <a:close/>
                                <a:moveTo>
                                  <a:pt x="2" y="45"/>
                                </a:moveTo>
                                <a:lnTo>
                                  <a:pt x="23" y="54"/>
                                </a:lnTo>
                                <a:lnTo>
                                  <a:pt x="23" y="56"/>
                                </a:lnTo>
                                <a:lnTo>
                                  <a:pt x="1" y="46"/>
                                </a:lnTo>
                                <a:lnTo>
                                  <a:pt x="2" y="45"/>
                                </a:lnTo>
                                <a:close/>
                                <a:moveTo>
                                  <a:pt x="23" y="54"/>
                                </a:moveTo>
                                <a:lnTo>
                                  <a:pt x="24" y="55"/>
                                </a:lnTo>
                                <a:lnTo>
                                  <a:pt x="24" y="55"/>
                                </a:lnTo>
                                <a:lnTo>
                                  <a:pt x="23" y="55"/>
                                </a:lnTo>
                                <a:lnTo>
                                  <a:pt x="23" y="54"/>
                                </a:lnTo>
                                <a:close/>
                                <a:moveTo>
                                  <a:pt x="24" y="55"/>
                                </a:moveTo>
                                <a:lnTo>
                                  <a:pt x="14" y="77"/>
                                </a:lnTo>
                                <a:lnTo>
                                  <a:pt x="13" y="76"/>
                                </a:lnTo>
                                <a:lnTo>
                                  <a:pt x="22" y="55"/>
                                </a:lnTo>
                                <a:lnTo>
                                  <a:pt x="24" y="55"/>
                                </a:lnTo>
                                <a:close/>
                                <a:moveTo>
                                  <a:pt x="14" y="77"/>
                                </a:moveTo>
                                <a:lnTo>
                                  <a:pt x="12" y="78"/>
                                </a:lnTo>
                                <a:lnTo>
                                  <a:pt x="13" y="76"/>
                                </a:lnTo>
                                <a:lnTo>
                                  <a:pt x="13" y="77"/>
                                </a:lnTo>
                                <a:lnTo>
                                  <a:pt x="14" y="77"/>
                                </a:lnTo>
                                <a:close/>
                                <a:moveTo>
                                  <a:pt x="13" y="76"/>
                                </a:moveTo>
                                <a:lnTo>
                                  <a:pt x="36" y="67"/>
                                </a:lnTo>
                                <a:lnTo>
                                  <a:pt x="36" y="68"/>
                                </a:lnTo>
                                <a:lnTo>
                                  <a:pt x="14" y="77"/>
                                </a:lnTo>
                                <a:lnTo>
                                  <a:pt x="13" y="76"/>
                                </a:lnTo>
                                <a:close/>
                                <a:moveTo>
                                  <a:pt x="36" y="67"/>
                                </a:moveTo>
                                <a:lnTo>
                                  <a:pt x="36" y="66"/>
                                </a:lnTo>
                                <a:lnTo>
                                  <a:pt x="37" y="67"/>
                                </a:lnTo>
                                <a:lnTo>
                                  <a:pt x="36" y="67"/>
                                </a:lnTo>
                                <a:close/>
                                <a:moveTo>
                                  <a:pt x="37" y="67"/>
                                </a:moveTo>
                                <a:lnTo>
                                  <a:pt x="44" y="89"/>
                                </a:lnTo>
                                <a:lnTo>
                                  <a:pt x="43" y="89"/>
                                </a:lnTo>
                                <a:lnTo>
                                  <a:pt x="35" y="67"/>
                                </a:lnTo>
                                <a:lnTo>
                                  <a:pt x="37" y="67"/>
                                </a:lnTo>
                                <a:close/>
                                <a:moveTo>
                                  <a:pt x="44" y="89"/>
                                </a:moveTo>
                                <a:lnTo>
                                  <a:pt x="44" y="91"/>
                                </a:lnTo>
                                <a:lnTo>
                                  <a:pt x="43" y="89"/>
                                </a:lnTo>
                                <a:lnTo>
                                  <a:pt x="44" y="89"/>
                                </a:lnTo>
                                <a:close/>
                                <a:moveTo>
                                  <a:pt x="43" y="89"/>
                                </a:moveTo>
                                <a:lnTo>
                                  <a:pt x="51" y="67"/>
                                </a:lnTo>
                                <a:lnTo>
                                  <a:pt x="52" y="67"/>
                                </a:lnTo>
                                <a:lnTo>
                                  <a:pt x="44" y="89"/>
                                </a:lnTo>
                                <a:lnTo>
                                  <a:pt x="43" y="89"/>
                                </a:lnTo>
                                <a:close/>
                                <a:moveTo>
                                  <a:pt x="51" y="67"/>
                                </a:moveTo>
                                <a:lnTo>
                                  <a:pt x="51" y="66"/>
                                </a:lnTo>
                                <a:lnTo>
                                  <a:pt x="52" y="67"/>
                                </a:lnTo>
                                <a:lnTo>
                                  <a:pt x="52" y="67"/>
                                </a:lnTo>
                                <a:lnTo>
                                  <a:pt x="51" y="67"/>
                                </a:lnTo>
                                <a:close/>
                                <a:moveTo>
                                  <a:pt x="52" y="67"/>
                                </a:moveTo>
                                <a:lnTo>
                                  <a:pt x="74" y="76"/>
                                </a:lnTo>
                                <a:lnTo>
                                  <a:pt x="74" y="77"/>
                                </a:lnTo>
                                <a:lnTo>
                                  <a:pt x="51" y="68"/>
                                </a:lnTo>
                                <a:lnTo>
                                  <a:pt x="52" y="67"/>
                                </a:lnTo>
                                <a:close/>
                                <a:moveTo>
                                  <a:pt x="75" y="76"/>
                                </a:moveTo>
                                <a:lnTo>
                                  <a:pt x="75" y="78"/>
                                </a:lnTo>
                                <a:lnTo>
                                  <a:pt x="74" y="77"/>
                                </a:lnTo>
                                <a:lnTo>
                                  <a:pt x="74" y="77"/>
                                </a:lnTo>
                                <a:lnTo>
                                  <a:pt x="75" y="76"/>
                                </a:lnTo>
                                <a:close/>
                                <a:moveTo>
                                  <a:pt x="74" y="77"/>
                                </a:moveTo>
                                <a:lnTo>
                                  <a:pt x="64" y="55"/>
                                </a:lnTo>
                                <a:lnTo>
                                  <a:pt x="65" y="55"/>
                                </a:lnTo>
                                <a:lnTo>
                                  <a:pt x="75" y="76"/>
                                </a:lnTo>
                                <a:lnTo>
                                  <a:pt x="74" y="77"/>
                                </a:lnTo>
                                <a:close/>
                                <a:moveTo>
                                  <a:pt x="64" y="55"/>
                                </a:moveTo>
                                <a:lnTo>
                                  <a:pt x="64" y="55"/>
                                </a:lnTo>
                                <a:lnTo>
                                  <a:pt x="64" y="54"/>
                                </a:lnTo>
                                <a:lnTo>
                                  <a:pt x="65" y="55"/>
                                </a:lnTo>
                                <a:lnTo>
                                  <a:pt x="64" y="55"/>
                                </a:lnTo>
                                <a:close/>
                                <a:moveTo>
                                  <a:pt x="64" y="54"/>
                                </a:moveTo>
                                <a:lnTo>
                                  <a:pt x="86" y="45"/>
                                </a:lnTo>
                                <a:lnTo>
                                  <a:pt x="87" y="46"/>
                                </a:lnTo>
                                <a:lnTo>
                                  <a:pt x="65" y="56"/>
                                </a:lnTo>
                                <a:lnTo>
                                  <a:pt x="64" y="54"/>
                                </a:lnTo>
                                <a:close/>
                                <a:moveTo>
                                  <a:pt x="87" y="45"/>
                                </a:moveTo>
                                <a:lnTo>
                                  <a:pt x="88" y="46"/>
                                </a:lnTo>
                                <a:lnTo>
                                  <a:pt x="87" y="46"/>
                                </a:lnTo>
                                <a:lnTo>
                                  <a:pt x="86" y="46"/>
                                </a:lnTo>
                                <a:lnTo>
                                  <a:pt x="87" y="45"/>
                                </a:lnTo>
                                <a:close/>
                              </a:path>
                            </a:pathLst>
                          </a:custGeom>
                          <a:solidFill>
                            <a:srgbClr val="F47F36"/>
                          </a:solidFill>
                          <a:ln w="9525">
                            <a:noFill/>
                            <a:round/>
                            <a:headEnd/>
                            <a:tailEnd/>
                          </a:ln>
                        </wps:spPr>
                        <wps:bodyPr/>
                      </wps:wsp>
                      <wps:wsp>
                        <wps:cNvPr id="200" name="Freeform 134"/>
                        <wps:cNvSpPr>
                          <a:spLocks/>
                        </wps:cNvSpPr>
                        <wps:spPr bwMode="auto">
                          <a:xfrm>
                            <a:off x="70" y="149"/>
                            <a:ext cx="342" cy="415"/>
                          </a:xfrm>
                          <a:custGeom>
                            <a:avLst/>
                            <a:gdLst/>
                            <a:ahLst/>
                            <a:cxnLst>
                              <a:cxn ang="0">
                                <a:pos x="267" y="243"/>
                              </a:cxn>
                              <a:cxn ang="0">
                                <a:pos x="267" y="495"/>
                              </a:cxn>
                              <a:cxn ang="0">
                                <a:pos x="209" y="504"/>
                              </a:cxn>
                              <a:cxn ang="0">
                                <a:pos x="151" y="494"/>
                              </a:cxn>
                              <a:cxn ang="0">
                                <a:pos x="151" y="243"/>
                              </a:cxn>
                              <a:cxn ang="0">
                                <a:pos x="0" y="94"/>
                              </a:cxn>
                              <a:cxn ang="0">
                                <a:pos x="1" y="0"/>
                              </a:cxn>
                              <a:cxn ang="0">
                                <a:pos x="68" y="0"/>
                              </a:cxn>
                              <a:cxn ang="0">
                                <a:pos x="209" y="140"/>
                              </a:cxn>
                              <a:cxn ang="0">
                                <a:pos x="349" y="0"/>
                              </a:cxn>
                              <a:cxn ang="0">
                                <a:pos x="417" y="0"/>
                              </a:cxn>
                              <a:cxn ang="0">
                                <a:pos x="417" y="94"/>
                              </a:cxn>
                              <a:cxn ang="0">
                                <a:pos x="267" y="243"/>
                              </a:cxn>
                            </a:cxnLst>
                            <a:rect l="0" t="0" r="r" b="b"/>
                            <a:pathLst>
                              <a:path w="417" h="505">
                                <a:moveTo>
                                  <a:pt x="267" y="243"/>
                                </a:moveTo>
                                <a:lnTo>
                                  <a:pt x="267" y="495"/>
                                </a:lnTo>
                                <a:cubicBezTo>
                                  <a:pt x="248" y="501"/>
                                  <a:pt x="231" y="504"/>
                                  <a:pt x="209" y="504"/>
                                </a:cubicBezTo>
                                <a:cubicBezTo>
                                  <a:pt x="188" y="505"/>
                                  <a:pt x="170" y="500"/>
                                  <a:pt x="151" y="494"/>
                                </a:cubicBezTo>
                                <a:lnTo>
                                  <a:pt x="151" y="243"/>
                                </a:lnTo>
                                <a:lnTo>
                                  <a:pt x="0" y="94"/>
                                </a:lnTo>
                                <a:lnTo>
                                  <a:pt x="1" y="0"/>
                                </a:lnTo>
                                <a:lnTo>
                                  <a:pt x="68" y="0"/>
                                </a:lnTo>
                                <a:lnTo>
                                  <a:pt x="209" y="140"/>
                                </a:lnTo>
                                <a:lnTo>
                                  <a:pt x="349" y="0"/>
                                </a:lnTo>
                                <a:lnTo>
                                  <a:pt x="417" y="0"/>
                                </a:lnTo>
                                <a:lnTo>
                                  <a:pt x="417" y="94"/>
                                </a:lnTo>
                                <a:lnTo>
                                  <a:pt x="267" y="243"/>
                                </a:lnTo>
                                <a:close/>
                              </a:path>
                            </a:pathLst>
                          </a:custGeom>
                          <a:solidFill>
                            <a:srgbClr val="C1C0BF"/>
                          </a:solidFill>
                          <a:ln w="9525">
                            <a:noFill/>
                            <a:round/>
                            <a:headEnd/>
                            <a:tailEnd/>
                          </a:ln>
                        </wps:spPr>
                        <wps:bodyPr/>
                      </wps:wsp>
                      <wps:wsp>
                        <wps:cNvPr id="201" name="Freeform 135"/>
                        <wps:cNvSpPr>
                          <a:spLocks/>
                        </wps:cNvSpPr>
                        <wps:spPr bwMode="auto">
                          <a:xfrm>
                            <a:off x="70" y="149"/>
                            <a:ext cx="342" cy="414"/>
                          </a:xfrm>
                          <a:custGeom>
                            <a:avLst/>
                            <a:gdLst/>
                            <a:ahLst/>
                            <a:cxnLst>
                              <a:cxn ang="0">
                                <a:pos x="259" y="498"/>
                              </a:cxn>
                              <a:cxn ang="0">
                                <a:pos x="259" y="241"/>
                              </a:cxn>
                              <a:cxn ang="0">
                                <a:pos x="417" y="83"/>
                              </a:cxn>
                              <a:cxn ang="0">
                                <a:pos x="417" y="0"/>
                              </a:cxn>
                              <a:cxn ang="0">
                                <a:pos x="359" y="0"/>
                              </a:cxn>
                              <a:cxn ang="0">
                                <a:pos x="207" y="151"/>
                              </a:cxn>
                              <a:cxn ang="0">
                                <a:pos x="55" y="0"/>
                              </a:cxn>
                              <a:cxn ang="0">
                                <a:pos x="0" y="0"/>
                              </a:cxn>
                              <a:cxn ang="0">
                                <a:pos x="0" y="83"/>
                              </a:cxn>
                              <a:cxn ang="0">
                                <a:pos x="159" y="240"/>
                              </a:cxn>
                              <a:cxn ang="0">
                                <a:pos x="159" y="498"/>
                              </a:cxn>
                              <a:cxn ang="0">
                                <a:pos x="207" y="505"/>
                              </a:cxn>
                              <a:cxn ang="0">
                                <a:pos x="259" y="498"/>
                              </a:cxn>
                            </a:cxnLst>
                            <a:rect l="0" t="0" r="r" b="b"/>
                            <a:pathLst>
                              <a:path w="417" h="505">
                                <a:moveTo>
                                  <a:pt x="259" y="498"/>
                                </a:moveTo>
                                <a:lnTo>
                                  <a:pt x="259" y="241"/>
                                </a:lnTo>
                                <a:lnTo>
                                  <a:pt x="417" y="83"/>
                                </a:lnTo>
                                <a:lnTo>
                                  <a:pt x="417" y="0"/>
                                </a:lnTo>
                                <a:lnTo>
                                  <a:pt x="359" y="0"/>
                                </a:lnTo>
                                <a:lnTo>
                                  <a:pt x="207" y="151"/>
                                </a:lnTo>
                                <a:lnTo>
                                  <a:pt x="55" y="0"/>
                                </a:lnTo>
                                <a:lnTo>
                                  <a:pt x="0" y="0"/>
                                </a:lnTo>
                                <a:lnTo>
                                  <a:pt x="0" y="83"/>
                                </a:lnTo>
                                <a:lnTo>
                                  <a:pt x="159" y="240"/>
                                </a:lnTo>
                                <a:lnTo>
                                  <a:pt x="159" y="498"/>
                                </a:lnTo>
                                <a:cubicBezTo>
                                  <a:pt x="175" y="503"/>
                                  <a:pt x="190" y="505"/>
                                  <a:pt x="207" y="505"/>
                                </a:cubicBezTo>
                                <a:cubicBezTo>
                                  <a:pt x="225" y="505"/>
                                  <a:pt x="244" y="502"/>
                                  <a:pt x="259" y="498"/>
                                </a:cubicBezTo>
                                <a:close/>
                              </a:path>
                            </a:pathLst>
                          </a:custGeom>
                          <a:solidFill>
                            <a:srgbClr val="EB3D00"/>
                          </a:solidFill>
                          <a:ln w="9525">
                            <a:noFill/>
                            <a:round/>
                            <a:headEnd/>
                            <a:tailEnd/>
                          </a:ln>
                        </wps:spPr>
                        <wps:bodyPr/>
                      </wps:wsp>
                      <wps:wsp>
                        <wps:cNvPr id="202" name="Freeform 136"/>
                        <wps:cNvSpPr>
                          <a:spLocks noEditPoints="1"/>
                        </wps:cNvSpPr>
                        <wps:spPr bwMode="auto">
                          <a:xfrm>
                            <a:off x="69" y="149"/>
                            <a:ext cx="344" cy="415"/>
                          </a:xfrm>
                          <a:custGeom>
                            <a:avLst/>
                            <a:gdLst/>
                            <a:ahLst/>
                            <a:cxnLst>
                              <a:cxn ang="0">
                                <a:pos x="269" y="496"/>
                              </a:cxn>
                              <a:cxn ang="0">
                                <a:pos x="267" y="244"/>
                              </a:cxn>
                              <a:cxn ang="0">
                                <a:pos x="269" y="496"/>
                              </a:cxn>
                              <a:cxn ang="0">
                                <a:pos x="268" y="496"/>
                              </a:cxn>
                              <a:cxn ang="0">
                                <a:pos x="269" y="496"/>
                              </a:cxn>
                              <a:cxn ang="0">
                                <a:pos x="240" y="503"/>
                              </a:cxn>
                              <a:cxn ang="0">
                                <a:pos x="268" y="495"/>
                              </a:cxn>
                              <a:cxn ang="0">
                                <a:pos x="240" y="503"/>
                              </a:cxn>
                              <a:cxn ang="0">
                                <a:pos x="210" y="505"/>
                              </a:cxn>
                              <a:cxn ang="0">
                                <a:pos x="240" y="503"/>
                              </a:cxn>
                              <a:cxn ang="0">
                                <a:pos x="180" y="503"/>
                              </a:cxn>
                              <a:cxn ang="0">
                                <a:pos x="210" y="505"/>
                              </a:cxn>
                              <a:cxn ang="0">
                                <a:pos x="180" y="503"/>
                              </a:cxn>
                              <a:cxn ang="0">
                                <a:pos x="151" y="495"/>
                              </a:cxn>
                              <a:cxn ang="0">
                                <a:pos x="180" y="503"/>
                              </a:cxn>
                              <a:cxn ang="0">
                                <a:pos x="151" y="496"/>
                              </a:cxn>
                              <a:cxn ang="0">
                                <a:pos x="151" y="495"/>
                              </a:cxn>
                              <a:cxn ang="0">
                                <a:pos x="151" y="495"/>
                              </a:cxn>
                              <a:cxn ang="0">
                                <a:pos x="152" y="244"/>
                              </a:cxn>
                              <a:cxn ang="0">
                                <a:pos x="151" y="495"/>
                              </a:cxn>
                              <a:cxn ang="0">
                                <a:pos x="152" y="244"/>
                              </a:cxn>
                              <a:cxn ang="0">
                                <a:pos x="151" y="244"/>
                              </a:cxn>
                              <a:cxn ang="0">
                                <a:pos x="151" y="245"/>
                              </a:cxn>
                              <a:cxn ang="0">
                                <a:pos x="2" y="94"/>
                              </a:cxn>
                              <a:cxn ang="0">
                                <a:pos x="151" y="245"/>
                              </a:cxn>
                              <a:cxn ang="0">
                                <a:pos x="0" y="95"/>
                              </a:cxn>
                              <a:cxn ang="0">
                                <a:pos x="1" y="94"/>
                              </a:cxn>
                              <a:cxn ang="0">
                                <a:pos x="0" y="94"/>
                              </a:cxn>
                              <a:cxn ang="0">
                                <a:pos x="2" y="1"/>
                              </a:cxn>
                              <a:cxn ang="0">
                                <a:pos x="0" y="94"/>
                              </a:cxn>
                              <a:cxn ang="0">
                                <a:pos x="1" y="0"/>
                              </a:cxn>
                              <a:cxn ang="0">
                                <a:pos x="1" y="1"/>
                              </a:cxn>
                              <a:cxn ang="0">
                                <a:pos x="69" y="0"/>
                              </a:cxn>
                              <a:cxn ang="0">
                                <a:pos x="1" y="2"/>
                              </a:cxn>
                              <a:cxn ang="0">
                                <a:pos x="69" y="0"/>
                              </a:cxn>
                              <a:cxn ang="0">
                                <a:pos x="69" y="0"/>
                              </a:cxn>
                              <a:cxn ang="0">
                                <a:pos x="69" y="0"/>
                              </a:cxn>
                              <a:cxn ang="0">
                                <a:pos x="210" y="141"/>
                              </a:cxn>
                              <a:cxn ang="0">
                                <a:pos x="68" y="1"/>
                              </a:cxn>
                              <a:cxn ang="0">
                                <a:pos x="210" y="141"/>
                              </a:cxn>
                              <a:cxn ang="0">
                                <a:pos x="209" y="141"/>
                              </a:cxn>
                              <a:cxn ang="0">
                                <a:pos x="210" y="141"/>
                              </a:cxn>
                              <a:cxn ang="0">
                                <a:pos x="350" y="0"/>
                              </a:cxn>
                              <a:cxn ang="0">
                                <a:pos x="210" y="141"/>
                              </a:cxn>
                              <a:cxn ang="0">
                                <a:pos x="350" y="0"/>
                              </a:cxn>
                              <a:cxn ang="0">
                                <a:pos x="350" y="0"/>
                              </a:cxn>
                              <a:cxn ang="0">
                                <a:pos x="350" y="0"/>
                              </a:cxn>
                              <a:cxn ang="0">
                                <a:pos x="419" y="0"/>
                              </a:cxn>
                              <a:cxn ang="0">
                                <a:pos x="350" y="1"/>
                              </a:cxn>
                              <a:cxn ang="0">
                                <a:pos x="419" y="0"/>
                              </a:cxn>
                              <a:cxn ang="0">
                                <a:pos x="419" y="1"/>
                              </a:cxn>
                              <a:cxn ang="0">
                                <a:pos x="419" y="0"/>
                              </a:cxn>
                              <a:cxn ang="0">
                                <a:pos x="419" y="94"/>
                              </a:cxn>
                              <a:cxn ang="0">
                                <a:pos x="418" y="1"/>
                              </a:cxn>
                              <a:cxn ang="0">
                                <a:pos x="419" y="94"/>
                              </a:cxn>
                              <a:cxn ang="0">
                                <a:pos x="419" y="95"/>
                              </a:cxn>
                              <a:cxn ang="0">
                                <a:pos x="419" y="94"/>
                              </a:cxn>
                              <a:cxn ang="0">
                                <a:pos x="268" y="245"/>
                              </a:cxn>
                              <a:cxn ang="0">
                                <a:pos x="418" y="94"/>
                              </a:cxn>
                              <a:cxn ang="0">
                                <a:pos x="267" y="244"/>
                              </a:cxn>
                              <a:cxn ang="0">
                                <a:pos x="267" y="244"/>
                              </a:cxn>
                              <a:cxn ang="0">
                                <a:pos x="267" y="244"/>
                              </a:cxn>
                            </a:cxnLst>
                            <a:rect l="0" t="0" r="r" b="b"/>
                            <a:pathLst>
                              <a:path w="419" h="506">
                                <a:moveTo>
                                  <a:pt x="268" y="244"/>
                                </a:moveTo>
                                <a:lnTo>
                                  <a:pt x="269" y="496"/>
                                </a:lnTo>
                                <a:lnTo>
                                  <a:pt x="267" y="496"/>
                                </a:lnTo>
                                <a:lnTo>
                                  <a:pt x="267" y="244"/>
                                </a:lnTo>
                                <a:lnTo>
                                  <a:pt x="268" y="244"/>
                                </a:lnTo>
                                <a:close/>
                                <a:moveTo>
                                  <a:pt x="269" y="496"/>
                                </a:moveTo>
                                <a:lnTo>
                                  <a:pt x="269" y="496"/>
                                </a:lnTo>
                                <a:lnTo>
                                  <a:pt x="268" y="496"/>
                                </a:lnTo>
                                <a:lnTo>
                                  <a:pt x="268" y="496"/>
                                </a:lnTo>
                                <a:lnTo>
                                  <a:pt x="269" y="496"/>
                                </a:lnTo>
                                <a:close/>
                                <a:moveTo>
                                  <a:pt x="268" y="496"/>
                                </a:moveTo>
                                <a:cubicBezTo>
                                  <a:pt x="259" y="499"/>
                                  <a:pt x="249" y="502"/>
                                  <a:pt x="240" y="503"/>
                                </a:cubicBezTo>
                                <a:lnTo>
                                  <a:pt x="240" y="502"/>
                                </a:lnTo>
                                <a:cubicBezTo>
                                  <a:pt x="249" y="500"/>
                                  <a:pt x="258" y="498"/>
                                  <a:pt x="268" y="495"/>
                                </a:cubicBezTo>
                                <a:lnTo>
                                  <a:pt x="268" y="496"/>
                                </a:lnTo>
                                <a:close/>
                                <a:moveTo>
                                  <a:pt x="240" y="503"/>
                                </a:moveTo>
                                <a:cubicBezTo>
                                  <a:pt x="230" y="505"/>
                                  <a:pt x="221" y="506"/>
                                  <a:pt x="210" y="506"/>
                                </a:cubicBezTo>
                                <a:lnTo>
                                  <a:pt x="210" y="505"/>
                                </a:lnTo>
                                <a:cubicBezTo>
                                  <a:pt x="221" y="504"/>
                                  <a:pt x="230" y="504"/>
                                  <a:pt x="240" y="502"/>
                                </a:cubicBezTo>
                                <a:lnTo>
                                  <a:pt x="240" y="503"/>
                                </a:lnTo>
                                <a:close/>
                                <a:moveTo>
                                  <a:pt x="210" y="506"/>
                                </a:moveTo>
                                <a:cubicBezTo>
                                  <a:pt x="199" y="506"/>
                                  <a:pt x="189" y="505"/>
                                  <a:pt x="180" y="503"/>
                                </a:cubicBezTo>
                                <a:lnTo>
                                  <a:pt x="180" y="502"/>
                                </a:lnTo>
                                <a:cubicBezTo>
                                  <a:pt x="189" y="504"/>
                                  <a:pt x="199" y="505"/>
                                  <a:pt x="210" y="505"/>
                                </a:cubicBezTo>
                                <a:lnTo>
                                  <a:pt x="210" y="506"/>
                                </a:lnTo>
                                <a:close/>
                                <a:moveTo>
                                  <a:pt x="180" y="503"/>
                                </a:moveTo>
                                <a:cubicBezTo>
                                  <a:pt x="170" y="501"/>
                                  <a:pt x="161" y="499"/>
                                  <a:pt x="151" y="496"/>
                                </a:cubicBezTo>
                                <a:lnTo>
                                  <a:pt x="151" y="495"/>
                                </a:lnTo>
                                <a:cubicBezTo>
                                  <a:pt x="161" y="497"/>
                                  <a:pt x="170" y="500"/>
                                  <a:pt x="180" y="502"/>
                                </a:cubicBezTo>
                                <a:lnTo>
                                  <a:pt x="180" y="503"/>
                                </a:lnTo>
                                <a:close/>
                                <a:moveTo>
                                  <a:pt x="151" y="496"/>
                                </a:moveTo>
                                <a:lnTo>
                                  <a:pt x="151" y="496"/>
                                </a:lnTo>
                                <a:lnTo>
                                  <a:pt x="151" y="495"/>
                                </a:lnTo>
                                <a:lnTo>
                                  <a:pt x="151" y="495"/>
                                </a:lnTo>
                                <a:lnTo>
                                  <a:pt x="151" y="496"/>
                                </a:lnTo>
                                <a:close/>
                                <a:moveTo>
                                  <a:pt x="151" y="495"/>
                                </a:moveTo>
                                <a:lnTo>
                                  <a:pt x="151" y="244"/>
                                </a:lnTo>
                                <a:lnTo>
                                  <a:pt x="152" y="244"/>
                                </a:lnTo>
                                <a:lnTo>
                                  <a:pt x="152" y="495"/>
                                </a:lnTo>
                                <a:lnTo>
                                  <a:pt x="151" y="495"/>
                                </a:lnTo>
                                <a:close/>
                                <a:moveTo>
                                  <a:pt x="152" y="244"/>
                                </a:moveTo>
                                <a:lnTo>
                                  <a:pt x="152" y="244"/>
                                </a:lnTo>
                                <a:lnTo>
                                  <a:pt x="152" y="244"/>
                                </a:lnTo>
                                <a:lnTo>
                                  <a:pt x="151" y="244"/>
                                </a:lnTo>
                                <a:lnTo>
                                  <a:pt x="152" y="244"/>
                                </a:lnTo>
                                <a:close/>
                                <a:moveTo>
                                  <a:pt x="151" y="245"/>
                                </a:moveTo>
                                <a:lnTo>
                                  <a:pt x="1" y="95"/>
                                </a:lnTo>
                                <a:lnTo>
                                  <a:pt x="2" y="94"/>
                                </a:lnTo>
                                <a:lnTo>
                                  <a:pt x="152" y="244"/>
                                </a:lnTo>
                                <a:lnTo>
                                  <a:pt x="151" y="245"/>
                                </a:lnTo>
                                <a:close/>
                                <a:moveTo>
                                  <a:pt x="1" y="95"/>
                                </a:moveTo>
                                <a:lnTo>
                                  <a:pt x="0" y="95"/>
                                </a:lnTo>
                                <a:lnTo>
                                  <a:pt x="0" y="94"/>
                                </a:lnTo>
                                <a:lnTo>
                                  <a:pt x="1" y="94"/>
                                </a:lnTo>
                                <a:lnTo>
                                  <a:pt x="1" y="95"/>
                                </a:lnTo>
                                <a:close/>
                                <a:moveTo>
                                  <a:pt x="0" y="94"/>
                                </a:moveTo>
                                <a:lnTo>
                                  <a:pt x="1" y="1"/>
                                </a:lnTo>
                                <a:lnTo>
                                  <a:pt x="2" y="1"/>
                                </a:lnTo>
                                <a:lnTo>
                                  <a:pt x="2" y="94"/>
                                </a:lnTo>
                                <a:lnTo>
                                  <a:pt x="0" y="94"/>
                                </a:lnTo>
                                <a:close/>
                                <a:moveTo>
                                  <a:pt x="1" y="1"/>
                                </a:moveTo>
                                <a:lnTo>
                                  <a:pt x="1" y="0"/>
                                </a:lnTo>
                                <a:lnTo>
                                  <a:pt x="1" y="0"/>
                                </a:lnTo>
                                <a:lnTo>
                                  <a:pt x="1" y="1"/>
                                </a:lnTo>
                                <a:close/>
                                <a:moveTo>
                                  <a:pt x="1" y="0"/>
                                </a:moveTo>
                                <a:lnTo>
                                  <a:pt x="69" y="0"/>
                                </a:lnTo>
                                <a:lnTo>
                                  <a:pt x="69" y="1"/>
                                </a:lnTo>
                                <a:lnTo>
                                  <a:pt x="1" y="2"/>
                                </a:lnTo>
                                <a:lnTo>
                                  <a:pt x="1" y="0"/>
                                </a:lnTo>
                                <a:close/>
                                <a:moveTo>
                                  <a:pt x="69" y="0"/>
                                </a:moveTo>
                                <a:lnTo>
                                  <a:pt x="69" y="0"/>
                                </a:lnTo>
                                <a:lnTo>
                                  <a:pt x="69" y="0"/>
                                </a:lnTo>
                                <a:lnTo>
                                  <a:pt x="69" y="1"/>
                                </a:lnTo>
                                <a:lnTo>
                                  <a:pt x="69" y="0"/>
                                </a:lnTo>
                                <a:close/>
                                <a:moveTo>
                                  <a:pt x="69" y="0"/>
                                </a:moveTo>
                                <a:lnTo>
                                  <a:pt x="210" y="141"/>
                                </a:lnTo>
                                <a:lnTo>
                                  <a:pt x="209" y="141"/>
                                </a:lnTo>
                                <a:lnTo>
                                  <a:pt x="68" y="1"/>
                                </a:lnTo>
                                <a:lnTo>
                                  <a:pt x="69" y="0"/>
                                </a:lnTo>
                                <a:close/>
                                <a:moveTo>
                                  <a:pt x="210" y="141"/>
                                </a:moveTo>
                                <a:lnTo>
                                  <a:pt x="209" y="142"/>
                                </a:lnTo>
                                <a:lnTo>
                                  <a:pt x="209" y="141"/>
                                </a:lnTo>
                                <a:lnTo>
                                  <a:pt x="209" y="141"/>
                                </a:lnTo>
                                <a:lnTo>
                                  <a:pt x="210" y="141"/>
                                </a:lnTo>
                                <a:close/>
                                <a:moveTo>
                                  <a:pt x="209" y="141"/>
                                </a:moveTo>
                                <a:lnTo>
                                  <a:pt x="350" y="0"/>
                                </a:lnTo>
                                <a:lnTo>
                                  <a:pt x="350" y="1"/>
                                </a:lnTo>
                                <a:lnTo>
                                  <a:pt x="210" y="141"/>
                                </a:lnTo>
                                <a:lnTo>
                                  <a:pt x="209" y="141"/>
                                </a:lnTo>
                                <a:close/>
                                <a:moveTo>
                                  <a:pt x="350" y="0"/>
                                </a:moveTo>
                                <a:lnTo>
                                  <a:pt x="350" y="0"/>
                                </a:lnTo>
                                <a:lnTo>
                                  <a:pt x="350" y="0"/>
                                </a:lnTo>
                                <a:lnTo>
                                  <a:pt x="350" y="1"/>
                                </a:lnTo>
                                <a:lnTo>
                                  <a:pt x="350" y="0"/>
                                </a:lnTo>
                                <a:close/>
                                <a:moveTo>
                                  <a:pt x="350" y="0"/>
                                </a:moveTo>
                                <a:lnTo>
                                  <a:pt x="419" y="0"/>
                                </a:lnTo>
                                <a:lnTo>
                                  <a:pt x="419" y="2"/>
                                </a:lnTo>
                                <a:lnTo>
                                  <a:pt x="350" y="1"/>
                                </a:lnTo>
                                <a:lnTo>
                                  <a:pt x="350" y="0"/>
                                </a:lnTo>
                                <a:close/>
                                <a:moveTo>
                                  <a:pt x="419" y="0"/>
                                </a:moveTo>
                                <a:lnTo>
                                  <a:pt x="419" y="0"/>
                                </a:lnTo>
                                <a:lnTo>
                                  <a:pt x="419" y="1"/>
                                </a:lnTo>
                                <a:lnTo>
                                  <a:pt x="419" y="1"/>
                                </a:lnTo>
                                <a:lnTo>
                                  <a:pt x="419" y="0"/>
                                </a:lnTo>
                                <a:close/>
                                <a:moveTo>
                                  <a:pt x="419" y="1"/>
                                </a:moveTo>
                                <a:lnTo>
                                  <a:pt x="419" y="94"/>
                                </a:lnTo>
                                <a:lnTo>
                                  <a:pt x="418" y="94"/>
                                </a:lnTo>
                                <a:lnTo>
                                  <a:pt x="418" y="1"/>
                                </a:lnTo>
                                <a:lnTo>
                                  <a:pt x="419" y="1"/>
                                </a:lnTo>
                                <a:close/>
                                <a:moveTo>
                                  <a:pt x="419" y="94"/>
                                </a:moveTo>
                                <a:lnTo>
                                  <a:pt x="419" y="95"/>
                                </a:lnTo>
                                <a:lnTo>
                                  <a:pt x="419" y="95"/>
                                </a:lnTo>
                                <a:lnTo>
                                  <a:pt x="418" y="94"/>
                                </a:lnTo>
                                <a:lnTo>
                                  <a:pt x="419" y="94"/>
                                </a:lnTo>
                                <a:close/>
                                <a:moveTo>
                                  <a:pt x="419" y="95"/>
                                </a:moveTo>
                                <a:lnTo>
                                  <a:pt x="268" y="245"/>
                                </a:lnTo>
                                <a:lnTo>
                                  <a:pt x="267" y="244"/>
                                </a:lnTo>
                                <a:lnTo>
                                  <a:pt x="418" y="94"/>
                                </a:lnTo>
                                <a:lnTo>
                                  <a:pt x="419" y="95"/>
                                </a:lnTo>
                                <a:close/>
                                <a:moveTo>
                                  <a:pt x="267" y="244"/>
                                </a:moveTo>
                                <a:lnTo>
                                  <a:pt x="267" y="244"/>
                                </a:lnTo>
                                <a:lnTo>
                                  <a:pt x="267" y="244"/>
                                </a:lnTo>
                                <a:lnTo>
                                  <a:pt x="268" y="244"/>
                                </a:lnTo>
                                <a:lnTo>
                                  <a:pt x="267" y="244"/>
                                </a:lnTo>
                                <a:close/>
                              </a:path>
                            </a:pathLst>
                          </a:custGeom>
                          <a:solidFill>
                            <a:srgbClr val="340E70"/>
                          </a:solidFill>
                          <a:ln w="9525">
                            <a:noFill/>
                            <a:round/>
                            <a:headEnd/>
                            <a:tailEnd/>
                          </a:ln>
                        </wps:spPr>
                        <wps:bodyPr/>
                      </wps:wsp>
                      <wps:wsp>
                        <wps:cNvPr id="203" name="Freeform 137"/>
                        <wps:cNvSpPr>
                          <a:spLocks noEditPoints="1"/>
                        </wps:cNvSpPr>
                        <wps:spPr bwMode="auto">
                          <a:xfrm>
                            <a:off x="65" y="144"/>
                            <a:ext cx="354" cy="431"/>
                          </a:xfrm>
                          <a:custGeom>
                            <a:avLst/>
                            <a:gdLst/>
                            <a:ahLst/>
                            <a:cxnLst>
                              <a:cxn ang="0">
                                <a:pos x="430" y="1"/>
                              </a:cxn>
                              <a:cxn ang="0">
                                <a:pos x="0" y="1"/>
                              </a:cxn>
                              <a:cxn ang="0">
                                <a:pos x="0" y="0"/>
                              </a:cxn>
                              <a:cxn ang="0">
                                <a:pos x="430" y="0"/>
                              </a:cxn>
                              <a:cxn ang="0">
                                <a:pos x="430" y="1"/>
                              </a:cxn>
                              <a:cxn ang="0">
                                <a:pos x="0" y="0"/>
                              </a:cxn>
                              <a:cxn ang="0">
                                <a:pos x="0" y="0"/>
                              </a:cxn>
                              <a:cxn ang="0">
                                <a:pos x="0" y="0"/>
                              </a:cxn>
                              <a:cxn ang="0">
                                <a:pos x="0" y="0"/>
                              </a:cxn>
                              <a:cxn ang="0">
                                <a:pos x="1" y="0"/>
                              </a:cxn>
                              <a:cxn ang="0">
                                <a:pos x="1" y="319"/>
                              </a:cxn>
                              <a:cxn ang="0">
                                <a:pos x="0" y="319"/>
                              </a:cxn>
                              <a:cxn ang="0">
                                <a:pos x="0" y="0"/>
                              </a:cxn>
                              <a:cxn ang="0">
                                <a:pos x="1" y="0"/>
                              </a:cxn>
                              <a:cxn ang="0">
                                <a:pos x="0" y="319"/>
                              </a:cxn>
                              <a:cxn ang="0">
                                <a:pos x="0" y="319"/>
                              </a:cxn>
                              <a:cxn ang="0">
                                <a:pos x="0" y="319"/>
                              </a:cxn>
                              <a:cxn ang="0">
                                <a:pos x="0" y="319"/>
                              </a:cxn>
                              <a:cxn ang="0">
                                <a:pos x="1" y="319"/>
                              </a:cxn>
                              <a:cxn ang="0">
                                <a:pos x="174" y="513"/>
                              </a:cxn>
                              <a:cxn ang="0">
                                <a:pos x="174" y="514"/>
                              </a:cxn>
                              <a:cxn ang="0">
                                <a:pos x="0" y="319"/>
                              </a:cxn>
                              <a:cxn ang="0">
                                <a:pos x="1" y="319"/>
                              </a:cxn>
                              <a:cxn ang="0">
                                <a:pos x="174" y="513"/>
                              </a:cxn>
                              <a:cxn ang="0">
                                <a:pos x="174" y="513"/>
                              </a:cxn>
                              <a:cxn ang="0">
                                <a:pos x="174" y="513"/>
                              </a:cxn>
                              <a:cxn ang="0">
                                <a:pos x="174" y="513"/>
                              </a:cxn>
                              <a:cxn ang="0">
                                <a:pos x="174" y="513"/>
                              </a:cxn>
                              <a:cxn ang="0">
                                <a:pos x="258" y="513"/>
                              </a:cxn>
                              <a:cxn ang="0">
                                <a:pos x="258" y="514"/>
                              </a:cxn>
                              <a:cxn ang="0">
                                <a:pos x="174" y="514"/>
                              </a:cxn>
                              <a:cxn ang="0">
                                <a:pos x="174" y="513"/>
                              </a:cxn>
                              <a:cxn ang="0">
                                <a:pos x="258" y="514"/>
                              </a:cxn>
                              <a:cxn ang="0">
                                <a:pos x="258" y="514"/>
                              </a:cxn>
                              <a:cxn ang="0">
                                <a:pos x="258" y="514"/>
                              </a:cxn>
                              <a:cxn ang="0">
                                <a:pos x="258" y="513"/>
                              </a:cxn>
                              <a:cxn ang="0">
                                <a:pos x="430" y="319"/>
                              </a:cxn>
                              <a:cxn ang="0">
                                <a:pos x="431" y="319"/>
                              </a:cxn>
                              <a:cxn ang="0">
                                <a:pos x="258" y="514"/>
                              </a:cxn>
                              <a:cxn ang="0">
                                <a:pos x="258" y="513"/>
                              </a:cxn>
                              <a:cxn ang="0">
                                <a:pos x="431" y="319"/>
                              </a:cxn>
                              <a:cxn ang="0">
                                <a:pos x="431" y="319"/>
                              </a:cxn>
                              <a:cxn ang="0">
                                <a:pos x="431" y="319"/>
                              </a:cxn>
                              <a:cxn ang="0">
                                <a:pos x="430" y="319"/>
                              </a:cxn>
                              <a:cxn ang="0">
                                <a:pos x="431" y="319"/>
                              </a:cxn>
                              <a:cxn ang="0">
                                <a:pos x="430" y="319"/>
                              </a:cxn>
                              <a:cxn ang="0">
                                <a:pos x="430" y="0"/>
                              </a:cxn>
                              <a:cxn ang="0">
                                <a:pos x="431" y="0"/>
                              </a:cxn>
                              <a:cxn ang="0">
                                <a:pos x="431" y="319"/>
                              </a:cxn>
                              <a:cxn ang="0">
                                <a:pos x="430" y="319"/>
                              </a:cxn>
                              <a:cxn ang="0">
                                <a:pos x="430" y="0"/>
                              </a:cxn>
                              <a:cxn ang="0">
                                <a:pos x="431" y="0"/>
                              </a:cxn>
                              <a:cxn ang="0">
                                <a:pos x="431" y="0"/>
                              </a:cxn>
                              <a:cxn ang="0">
                                <a:pos x="430" y="0"/>
                              </a:cxn>
                            </a:cxnLst>
                            <a:rect l="0" t="0" r="r" b="b"/>
                            <a:pathLst>
                              <a:path w="431" h="525">
                                <a:moveTo>
                                  <a:pt x="430" y="1"/>
                                </a:moveTo>
                                <a:lnTo>
                                  <a:pt x="0" y="1"/>
                                </a:lnTo>
                                <a:lnTo>
                                  <a:pt x="0" y="0"/>
                                </a:lnTo>
                                <a:lnTo>
                                  <a:pt x="430" y="0"/>
                                </a:lnTo>
                                <a:lnTo>
                                  <a:pt x="430" y="1"/>
                                </a:lnTo>
                                <a:close/>
                                <a:moveTo>
                                  <a:pt x="0" y="0"/>
                                </a:moveTo>
                                <a:lnTo>
                                  <a:pt x="0" y="0"/>
                                </a:lnTo>
                                <a:lnTo>
                                  <a:pt x="0" y="0"/>
                                </a:lnTo>
                                <a:lnTo>
                                  <a:pt x="0" y="0"/>
                                </a:lnTo>
                                <a:close/>
                                <a:moveTo>
                                  <a:pt x="1" y="0"/>
                                </a:moveTo>
                                <a:lnTo>
                                  <a:pt x="1" y="319"/>
                                </a:lnTo>
                                <a:lnTo>
                                  <a:pt x="0" y="319"/>
                                </a:lnTo>
                                <a:lnTo>
                                  <a:pt x="0" y="0"/>
                                </a:lnTo>
                                <a:lnTo>
                                  <a:pt x="1" y="0"/>
                                </a:lnTo>
                                <a:close/>
                                <a:moveTo>
                                  <a:pt x="0" y="319"/>
                                </a:moveTo>
                                <a:lnTo>
                                  <a:pt x="0" y="319"/>
                                </a:lnTo>
                                <a:lnTo>
                                  <a:pt x="0" y="319"/>
                                </a:lnTo>
                                <a:lnTo>
                                  <a:pt x="0" y="319"/>
                                </a:lnTo>
                                <a:close/>
                                <a:moveTo>
                                  <a:pt x="1" y="319"/>
                                </a:moveTo>
                                <a:cubicBezTo>
                                  <a:pt x="23" y="481"/>
                                  <a:pt x="174" y="513"/>
                                  <a:pt x="174" y="513"/>
                                </a:cubicBezTo>
                                <a:lnTo>
                                  <a:pt x="174" y="514"/>
                                </a:lnTo>
                                <a:cubicBezTo>
                                  <a:pt x="173" y="514"/>
                                  <a:pt x="22" y="482"/>
                                  <a:pt x="0" y="319"/>
                                </a:cubicBezTo>
                                <a:lnTo>
                                  <a:pt x="1" y="319"/>
                                </a:lnTo>
                                <a:close/>
                                <a:moveTo>
                                  <a:pt x="174" y="513"/>
                                </a:moveTo>
                                <a:lnTo>
                                  <a:pt x="174" y="513"/>
                                </a:lnTo>
                                <a:lnTo>
                                  <a:pt x="174" y="513"/>
                                </a:lnTo>
                                <a:lnTo>
                                  <a:pt x="174" y="513"/>
                                </a:lnTo>
                                <a:close/>
                                <a:moveTo>
                                  <a:pt x="174" y="513"/>
                                </a:moveTo>
                                <a:cubicBezTo>
                                  <a:pt x="174" y="513"/>
                                  <a:pt x="206" y="523"/>
                                  <a:pt x="258" y="513"/>
                                </a:cubicBezTo>
                                <a:lnTo>
                                  <a:pt x="258" y="514"/>
                                </a:lnTo>
                                <a:cubicBezTo>
                                  <a:pt x="206" y="525"/>
                                  <a:pt x="174" y="514"/>
                                  <a:pt x="174" y="514"/>
                                </a:cubicBezTo>
                                <a:lnTo>
                                  <a:pt x="174" y="513"/>
                                </a:lnTo>
                                <a:close/>
                                <a:moveTo>
                                  <a:pt x="258" y="514"/>
                                </a:moveTo>
                                <a:lnTo>
                                  <a:pt x="258" y="514"/>
                                </a:lnTo>
                                <a:lnTo>
                                  <a:pt x="258" y="514"/>
                                </a:lnTo>
                                <a:close/>
                                <a:moveTo>
                                  <a:pt x="258" y="513"/>
                                </a:moveTo>
                                <a:cubicBezTo>
                                  <a:pt x="258" y="513"/>
                                  <a:pt x="408" y="481"/>
                                  <a:pt x="430" y="319"/>
                                </a:cubicBezTo>
                                <a:lnTo>
                                  <a:pt x="431" y="319"/>
                                </a:lnTo>
                                <a:cubicBezTo>
                                  <a:pt x="409" y="482"/>
                                  <a:pt x="258" y="514"/>
                                  <a:pt x="258" y="514"/>
                                </a:cubicBezTo>
                                <a:lnTo>
                                  <a:pt x="258" y="513"/>
                                </a:lnTo>
                                <a:close/>
                                <a:moveTo>
                                  <a:pt x="431" y="319"/>
                                </a:moveTo>
                                <a:lnTo>
                                  <a:pt x="431" y="319"/>
                                </a:lnTo>
                                <a:lnTo>
                                  <a:pt x="431" y="319"/>
                                </a:lnTo>
                                <a:lnTo>
                                  <a:pt x="430" y="319"/>
                                </a:lnTo>
                                <a:lnTo>
                                  <a:pt x="431" y="319"/>
                                </a:lnTo>
                                <a:close/>
                                <a:moveTo>
                                  <a:pt x="430" y="319"/>
                                </a:moveTo>
                                <a:lnTo>
                                  <a:pt x="430" y="0"/>
                                </a:lnTo>
                                <a:lnTo>
                                  <a:pt x="431" y="0"/>
                                </a:lnTo>
                                <a:lnTo>
                                  <a:pt x="431" y="319"/>
                                </a:lnTo>
                                <a:lnTo>
                                  <a:pt x="430" y="319"/>
                                </a:lnTo>
                                <a:close/>
                                <a:moveTo>
                                  <a:pt x="430" y="0"/>
                                </a:moveTo>
                                <a:lnTo>
                                  <a:pt x="431" y="0"/>
                                </a:lnTo>
                                <a:lnTo>
                                  <a:pt x="431" y="0"/>
                                </a:lnTo>
                                <a:lnTo>
                                  <a:pt x="430" y="0"/>
                                </a:lnTo>
                                <a:close/>
                              </a:path>
                            </a:pathLst>
                          </a:custGeom>
                          <a:solidFill>
                            <a:srgbClr val="24211D"/>
                          </a:solidFill>
                          <a:ln w="9525">
                            <a:noFill/>
                            <a:round/>
                            <a:headEnd/>
                            <a:tailEnd/>
                          </a:ln>
                        </wps:spPr>
                        <wps:bodyPr/>
                      </wps:wsp>
                      <wps:wsp>
                        <wps:cNvPr id="204" name="Freeform 138"/>
                        <wps:cNvSpPr>
                          <a:spLocks noEditPoints="1"/>
                        </wps:cNvSpPr>
                        <wps:spPr bwMode="auto">
                          <a:xfrm>
                            <a:off x="69" y="149"/>
                            <a:ext cx="345" cy="420"/>
                          </a:xfrm>
                          <a:custGeom>
                            <a:avLst/>
                            <a:gdLst/>
                            <a:ahLst/>
                            <a:cxnLst>
                              <a:cxn ang="0">
                                <a:pos x="419" y="2"/>
                              </a:cxn>
                              <a:cxn ang="0">
                                <a:pos x="1" y="2"/>
                              </a:cxn>
                              <a:cxn ang="0">
                                <a:pos x="1" y="0"/>
                              </a:cxn>
                              <a:cxn ang="0">
                                <a:pos x="419" y="0"/>
                              </a:cxn>
                              <a:cxn ang="0">
                                <a:pos x="419" y="2"/>
                              </a:cxn>
                              <a:cxn ang="0">
                                <a:pos x="0" y="1"/>
                              </a:cxn>
                              <a:cxn ang="0">
                                <a:pos x="0" y="0"/>
                              </a:cxn>
                              <a:cxn ang="0">
                                <a:pos x="1" y="0"/>
                              </a:cxn>
                              <a:cxn ang="0">
                                <a:pos x="1" y="1"/>
                              </a:cxn>
                              <a:cxn ang="0">
                                <a:pos x="0" y="1"/>
                              </a:cxn>
                              <a:cxn ang="0">
                                <a:pos x="2" y="1"/>
                              </a:cxn>
                              <a:cxn ang="0">
                                <a:pos x="2" y="311"/>
                              </a:cxn>
                              <a:cxn ang="0">
                                <a:pos x="0" y="311"/>
                              </a:cxn>
                              <a:cxn ang="0">
                                <a:pos x="0" y="1"/>
                              </a:cxn>
                              <a:cxn ang="0">
                                <a:pos x="2" y="1"/>
                              </a:cxn>
                              <a:cxn ang="0">
                                <a:pos x="0" y="311"/>
                              </a:cxn>
                              <a:cxn ang="0">
                                <a:pos x="0" y="311"/>
                              </a:cxn>
                              <a:cxn ang="0">
                                <a:pos x="0" y="311"/>
                              </a:cxn>
                              <a:cxn ang="0">
                                <a:pos x="1" y="311"/>
                              </a:cxn>
                              <a:cxn ang="0">
                                <a:pos x="0" y="311"/>
                              </a:cxn>
                              <a:cxn ang="0">
                                <a:pos x="2" y="311"/>
                              </a:cxn>
                              <a:cxn ang="0">
                                <a:pos x="170" y="499"/>
                              </a:cxn>
                              <a:cxn ang="0">
                                <a:pos x="170" y="501"/>
                              </a:cxn>
                              <a:cxn ang="0">
                                <a:pos x="0" y="311"/>
                              </a:cxn>
                              <a:cxn ang="0">
                                <a:pos x="2" y="311"/>
                              </a:cxn>
                              <a:cxn ang="0">
                                <a:pos x="170" y="499"/>
                              </a:cxn>
                              <a:cxn ang="0">
                                <a:pos x="170" y="499"/>
                              </a:cxn>
                              <a:cxn ang="0">
                                <a:pos x="170" y="499"/>
                              </a:cxn>
                              <a:cxn ang="0">
                                <a:pos x="170" y="500"/>
                              </a:cxn>
                              <a:cxn ang="0">
                                <a:pos x="170" y="499"/>
                              </a:cxn>
                              <a:cxn ang="0">
                                <a:pos x="170" y="499"/>
                              </a:cxn>
                              <a:cxn ang="0">
                                <a:pos x="251" y="500"/>
                              </a:cxn>
                              <a:cxn ang="0">
                                <a:pos x="251" y="501"/>
                              </a:cxn>
                              <a:cxn ang="0">
                                <a:pos x="170" y="501"/>
                              </a:cxn>
                              <a:cxn ang="0">
                                <a:pos x="170" y="499"/>
                              </a:cxn>
                              <a:cxn ang="0">
                                <a:pos x="251" y="501"/>
                              </a:cxn>
                              <a:cxn ang="0">
                                <a:pos x="251" y="501"/>
                              </a:cxn>
                              <a:cxn ang="0">
                                <a:pos x="251" y="501"/>
                              </a:cxn>
                              <a:cxn ang="0">
                                <a:pos x="251" y="500"/>
                              </a:cxn>
                              <a:cxn ang="0">
                                <a:pos x="418" y="311"/>
                              </a:cxn>
                              <a:cxn ang="0">
                                <a:pos x="420" y="311"/>
                              </a:cxn>
                              <a:cxn ang="0">
                                <a:pos x="251" y="501"/>
                              </a:cxn>
                              <a:cxn ang="0">
                                <a:pos x="251" y="500"/>
                              </a:cxn>
                              <a:cxn ang="0">
                                <a:pos x="420" y="311"/>
                              </a:cxn>
                              <a:cxn ang="0">
                                <a:pos x="420" y="311"/>
                              </a:cxn>
                              <a:cxn ang="0">
                                <a:pos x="420" y="311"/>
                              </a:cxn>
                              <a:cxn ang="0">
                                <a:pos x="419" y="311"/>
                              </a:cxn>
                              <a:cxn ang="0">
                                <a:pos x="420" y="311"/>
                              </a:cxn>
                              <a:cxn ang="0">
                                <a:pos x="418" y="311"/>
                              </a:cxn>
                              <a:cxn ang="0">
                                <a:pos x="418" y="1"/>
                              </a:cxn>
                              <a:cxn ang="0">
                                <a:pos x="420" y="1"/>
                              </a:cxn>
                              <a:cxn ang="0">
                                <a:pos x="420" y="311"/>
                              </a:cxn>
                              <a:cxn ang="0">
                                <a:pos x="418" y="311"/>
                              </a:cxn>
                              <a:cxn ang="0">
                                <a:pos x="419" y="0"/>
                              </a:cxn>
                              <a:cxn ang="0">
                                <a:pos x="420" y="0"/>
                              </a:cxn>
                              <a:cxn ang="0">
                                <a:pos x="420" y="1"/>
                              </a:cxn>
                              <a:cxn ang="0">
                                <a:pos x="419" y="1"/>
                              </a:cxn>
                              <a:cxn ang="0">
                                <a:pos x="419" y="0"/>
                              </a:cxn>
                            </a:cxnLst>
                            <a:rect l="0" t="0" r="r" b="b"/>
                            <a:pathLst>
                              <a:path w="420" h="512">
                                <a:moveTo>
                                  <a:pt x="419" y="2"/>
                                </a:moveTo>
                                <a:lnTo>
                                  <a:pt x="1" y="2"/>
                                </a:lnTo>
                                <a:lnTo>
                                  <a:pt x="1" y="0"/>
                                </a:lnTo>
                                <a:lnTo>
                                  <a:pt x="419" y="0"/>
                                </a:lnTo>
                                <a:lnTo>
                                  <a:pt x="419" y="2"/>
                                </a:lnTo>
                                <a:close/>
                                <a:moveTo>
                                  <a:pt x="0" y="1"/>
                                </a:moveTo>
                                <a:lnTo>
                                  <a:pt x="0" y="0"/>
                                </a:lnTo>
                                <a:lnTo>
                                  <a:pt x="1" y="0"/>
                                </a:lnTo>
                                <a:lnTo>
                                  <a:pt x="1" y="1"/>
                                </a:lnTo>
                                <a:lnTo>
                                  <a:pt x="0" y="1"/>
                                </a:lnTo>
                                <a:close/>
                                <a:moveTo>
                                  <a:pt x="2" y="1"/>
                                </a:moveTo>
                                <a:lnTo>
                                  <a:pt x="2" y="311"/>
                                </a:lnTo>
                                <a:lnTo>
                                  <a:pt x="0" y="311"/>
                                </a:lnTo>
                                <a:lnTo>
                                  <a:pt x="0" y="1"/>
                                </a:lnTo>
                                <a:lnTo>
                                  <a:pt x="2" y="1"/>
                                </a:lnTo>
                                <a:close/>
                                <a:moveTo>
                                  <a:pt x="0" y="311"/>
                                </a:moveTo>
                                <a:lnTo>
                                  <a:pt x="0" y="311"/>
                                </a:lnTo>
                                <a:lnTo>
                                  <a:pt x="0" y="311"/>
                                </a:lnTo>
                                <a:lnTo>
                                  <a:pt x="1" y="311"/>
                                </a:lnTo>
                                <a:lnTo>
                                  <a:pt x="0" y="311"/>
                                </a:lnTo>
                                <a:close/>
                                <a:moveTo>
                                  <a:pt x="2" y="311"/>
                                </a:moveTo>
                                <a:cubicBezTo>
                                  <a:pt x="24" y="468"/>
                                  <a:pt x="170" y="499"/>
                                  <a:pt x="170" y="499"/>
                                </a:cubicBezTo>
                                <a:lnTo>
                                  <a:pt x="170" y="501"/>
                                </a:lnTo>
                                <a:cubicBezTo>
                                  <a:pt x="169" y="501"/>
                                  <a:pt x="22" y="470"/>
                                  <a:pt x="0" y="311"/>
                                </a:cubicBezTo>
                                <a:lnTo>
                                  <a:pt x="2" y="311"/>
                                </a:lnTo>
                                <a:close/>
                                <a:moveTo>
                                  <a:pt x="170" y="499"/>
                                </a:moveTo>
                                <a:lnTo>
                                  <a:pt x="170" y="499"/>
                                </a:lnTo>
                                <a:lnTo>
                                  <a:pt x="170" y="499"/>
                                </a:lnTo>
                                <a:lnTo>
                                  <a:pt x="170" y="500"/>
                                </a:lnTo>
                                <a:lnTo>
                                  <a:pt x="170" y="499"/>
                                </a:lnTo>
                                <a:close/>
                                <a:moveTo>
                                  <a:pt x="170" y="499"/>
                                </a:moveTo>
                                <a:cubicBezTo>
                                  <a:pt x="170" y="499"/>
                                  <a:pt x="201" y="510"/>
                                  <a:pt x="251" y="500"/>
                                </a:cubicBezTo>
                                <a:lnTo>
                                  <a:pt x="251" y="501"/>
                                </a:lnTo>
                                <a:cubicBezTo>
                                  <a:pt x="201" y="512"/>
                                  <a:pt x="170" y="501"/>
                                  <a:pt x="170" y="501"/>
                                </a:cubicBezTo>
                                <a:lnTo>
                                  <a:pt x="170" y="499"/>
                                </a:lnTo>
                                <a:close/>
                                <a:moveTo>
                                  <a:pt x="251" y="501"/>
                                </a:moveTo>
                                <a:lnTo>
                                  <a:pt x="251" y="501"/>
                                </a:lnTo>
                                <a:lnTo>
                                  <a:pt x="251" y="501"/>
                                </a:lnTo>
                                <a:close/>
                                <a:moveTo>
                                  <a:pt x="251" y="500"/>
                                </a:moveTo>
                                <a:cubicBezTo>
                                  <a:pt x="251" y="500"/>
                                  <a:pt x="396" y="468"/>
                                  <a:pt x="418" y="311"/>
                                </a:cubicBezTo>
                                <a:lnTo>
                                  <a:pt x="420" y="311"/>
                                </a:lnTo>
                                <a:cubicBezTo>
                                  <a:pt x="398" y="470"/>
                                  <a:pt x="252" y="501"/>
                                  <a:pt x="251" y="501"/>
                                </a:cubicBezTo>
                                <a:lnTo>
                                  <a:pt x="251" y="500"/>
                                </a:lnTo>
                                <a:close/>
                                <a:moveTo>
                                  <a:pt x="420" y="311"/>
                                </a:moveTo>
                                <a:lnTo>
                                  <a:pt x="420" y="311"/>
                                </a:lnTo>
                                <a:lnTo>
                                  <a:pt x="420" y="311"/>
                                </a:lnTo>
                                <a:lnTo>
                                  <a:pt x="419" y="311"/>
                                </a:lnTo>
                                <a:lnTo>
                                  <a:pt x="420" y="311"/>
                                </a:lnTo>
                                <a:close/>
                                <a:moveTo>
                                  <a:pt x="418" y="311"/>
                                </a:moveTo>
                                <a:lnTo>
                                  <a:pt x="418" y="1"/>
                                </a:lnTo>
                                <a:lnTo>
                                  <a:pt x="420" y="1"/>
                                </a:lnTo>
                                <a:lnTo>
                                  <a:pt x="420" y="311"/>
                                </a:lnTo>
                                <a:lnTo>
                                  <a:pt x="418" y="311"/>
                                </a:lnTo>
                                <a:close/>
                                <a:moveTo>
                                  <a:pt x="419" y="0"/>
                                </a:moveTo>
                                <a:lnTo>
                                  <a:pt x="420" y="0"/>
                                </a:lnTo>
                                <a:lnTo>
                                  <a:pt x="420" y="1"/>
                                </a:lnTo>
                                <a:lnTo>
                                  <a:pt x="419" y="1"/>
                                </a:lnTo>
                                <a:lnTo>
                                  <a:pt x="419" y="0"/>
                                </a:lnTo>
                                <a:close/>
                              </a:path>
                            </a:pathLst>
                          </a:custGeom>
                          <a:solidFill>
                            <a:srgbClr val="24211D"/>
                          </a:solidFill>
                          <a:ln w="9525">
                            <a:noFill/>
                            <a:round/>
                            <a:headEnd/>
                            <a:tailEnd/>
                          </a:ln>
                        </wps:spPr>
                        <wps:bodyPr/>
                      </wps:wsp>
                      <wps:wsp>
                        <wps:cNvPr id="205" name="Freeform 139"/>
                        <wps:cNvSpPr>
                          <a:spLocks/>
                        </wps:cNvSpPr>
                        <wps:spPr bwMode="auto">
                          <a:xfrm>
                            <a:off x="105" y="201"/>
                            <a:ext cx="295" cy="209"/>
                          </a:xfrm>
                          <a:custGeom>
                            <a:avLst/>
                            <a:gdLst/>
                            <a:ahLst/>
                            <a:cxnLst>
                              <a:cxn ang="0">
                                <a:pos x="170" y="41"/>
                              </a:cxn>
                              <a:cxn ang="0">
                                <a:pos x="198" y="32"/>
                              </a:cxn>
                              <a:cxn ang="0">
                                <a:pos x="284" y="13"/>
                              </a:cxn>
                              <a:cxn ang="0">
                                <a:pos x="273" y="37"/>
                              </a:cxn>
                              <a:cxn ang="0">
                                <a:pos x="268" y="59"/>
                              </a:cxn>
                              <a:cxn ang="0">
                                <a:pos x="265" y="72"/>
                              </a:cxn>
                              <a:cxn ang="0">
                                <a:pos x="252" y="95"/>
                              </a:cxn>
                              <a:cxn ang="0">
                                <a:pos x="236" y="106"/>
                              </a:cxn>
                              <a:cxn ang="0">
                                <a:pos x="270" y="163"/>
                              </a:cxn>
                              <a:cxn ang="0">
                                <a:pos x="294" y="175"/>
                              </a:cxn>
                              <a:cxn ang="0">
                                <a:pos x="334" y="208"/>
                              </a:cxn>
                              <a:cxn ang="0">
                                <a:pos x="353" y="223"/>
                              </a:cxn>
                              <a:cxn ang="0">
                                <a:pos x="344" y="240"/>
                              </a:cxn>
                              <a:cxn ang="0">
                                <a:pos x="317" y="213"/>
                              </a:cxn>
                              <a:cxn ang="0">
                                <a:pos x="282" y="195"/>
                              </a:cxn>
                              <a:cxn ang="0">
                                <a:pos x="309" y="220"/>
                              </a:cxn>
                              <a:cxn ang="0">
                                <a:pos x="319" y="228"/>
                              </a:cxn>
                              <a:cxn ang="0">
                                <a:pos x="303" y="233"/>
                              </a:cxn>
                              <a:cxn ang="0">
                                <a:pos x="268" y="198"/>
                              </a:cxn>
                              <a:cxn ang="0">
                                <a:pos x="202" y="182"/>
                              </a:cxn>
                              <a:cxn ang="0">
                                <a:pos x="125" y="191"/>
                              </a:cxn>
                              <a:cxn ang="0">
                                <a:pos x="86" y="189"/>
                              </a:cxn>
                              <a:cxn ang="0">
                                <a:pos x="67" y="205"/>
                              </a:cxn>
                              <a:cxn ang="0">
                                <a:pos x="49" y="226"/>
                              </a:cxn>
                              <a:cxn ang="0">
                                <a:pos x="48" y="242"/>
                              </a:cxn>
                              <a:cxn ang="0">
                                <a:pos x="42" y="246"/>
                              </a:cxn>
                              <a:cxn ang="0">
                                <a:pos x="28" y="237"/>
                              </a:cxn>
                              <a:cxn ang="0">
                                <a:pos x="53" y="204"/>
                              </a:cxn>
                              <a:cxn ang="0">
                                <a:pos x="64" y="181"/>
                              </a:cxn>
                              <a:cxn ang="0">
                                <a:pos x="42" y="201"/>
                              </a:cxn>
                              <a:cxn ang="0">
                                <a:pos x="29" y="216"/>
                              </a:cxn>
                              <a:cxn ang="0">
                                <a:pos x="22" y="221"/>
                              </a:cxn>
                              <a:cxn ang="0">
                                <a:pos x="4" y="233"/>
                              </a:cxn>
                              <a:cxn ang="0">
                                <a:pos x="17" y="212"/>
                              </a:cxn>
                              <a:cxn ang="0">
                                <a:pos x="55" y="170"/>
                              </a:cxn>
                              <a:cxn ang="0">
                                <a:pos x="89" y="162"/>
                              </a:cxn>
                              <a:cxn ang="0">
                                <a:pos x="87" y="96"/>
                              </a:cxn>
                              <a:cxn ang="0">
                                <a:pos x="57" y="106"/>
                              </a:cxn>
                              <a:cxn ang="0">
                                <a:pos x="53" y="101"/>
                              </a:cxn>
                              <a:cxn ang="0">
                                <a:pos x="53" y="85"/>
                              </a:cxn>
                              <a:cxn ang="0">
                                <a:pos x="67" y="45"/>
                              </a:cxn>
                              <a:cxn ang="0">
                                <a:pos x="81" y="44"/>
                              </a:cxn>
                              <a:cxn ang="0">
                                <a:pos x="101" y="55"/>
                              </a:cxn>
                              <a:cxn ang="0">
                                <a:pos x="162" y="126"/>
                              </a:cxn>
                              <a:cxn ang="0">
                                <a:pos x="164" y="77"/>
                              </a:cxn>
                              <a:cxn ang="0">
                                <a:pos x="161" y="42"/>
                              </a:cxn>
                            </a:cxnLst>
                            <a:rect l="0" t="0" r="r" b="b"/>
                            <a:pathLst>
                              <a:path w="359" h="255">
                                <a:moveTo>
                                  <a:pt x="161" y="42"/>
                                </a:moveTo>
                                <a:cubicBezTo>
                                  <a:pt x="161" y="42"/>
                                  <a:pt x="163" y="40"/>
                                  <a:pt x="170" y="41"/>
                                </a:cubicBezTo>
                                <a:cubicBezTo>
                                  <a:pt x="170" y="41"/>
                                  <a:pt x="181" y="33"/>
                                  <a:pt x="187" y="32"/>
                                </a:cubicBezTo>
                                <a:cubicBezTo>
                                  <a:pt x="198" y="27"/>
                                  <a:pt x="198" y="32"/>
                                  <a:pt x="198" y="32"/>
                                </a:cubicBezTo>
                                <a:cubicBezTo>
                                  <a:pt x="198" y="32"/>
                                  <a:pt x="238" y="16"/>
                                  <a:pt x="277" y="6"/>
                                </a:cubicBezTo>
                                <a:cubicBezTo>
                                  <a:pt x="277" y="6"/>
                                  <a:pt x="286" y="0"/>
                                  <a:pt x="284" y="13"/>
                                </a:cubicBezTo>
                                <a:cubicBezTo>
                                  <a:pt x="284" y="13"/>
                                  <a:pt x="281" y="24"/>
                                  <a:pt x="270" y="30"/>
                                </a:cubicBezTo>
                                <a:cubicBezTo>
                                  <a:pt x="270" y="30"/>
                                  <a:pt x="276" y="27"/>
                                  <a:pt x="273" y="37"/>
                                </a:cubicBezTo>
                                <a:cubicBezTo>
                                  <a:pt x="273" y="37"/>
                                  <a:pt x="274" y="44"/>
                                  <a:pt x="265" y="48"/>
                                </a:cubicBezTo>
                                <a:cubicBezTo>
                                  <a:pt x="265" y="48"/>
                                  <a:pt x="274" y="48"/>
                                  <a:pt x="268" y="59"/>
                                </a:cubicBezTo>
                                <a:cubicBezTo>
                                  <a:pt x="263" y="66"/>
                                  <a:pt x="258" y="67"/>
                                  <a:pt x="258" y="67"/>
                                </a:cubicBezTo>
                                <a:cubicBezTo>
                                  <a:pt x="258" y="67"/>
                                  <a:pt x="266" y="65"/>
                                  <a:pt x="265" y="72"/>
                                </a:cubicBezTo>
                                <a:cubicBezTo>
                                  <a:pt x="261" y="83"/>
                                  <a:pt x="251" y="87"/>
                                  <a:pt x="251" y="87"/>
                                </a:cubicBezTo>
                                <a:cubicBezTo>
                                  <a:pt x="251" y="87"/>
                                  <a:pt x="259" y="87"/>
                                  <a:pt x="252" y="95"/>
                                </a:cubicBezTo>
                                <a:cubicBezTo>
                                  <a:pt x="252" y="95"/>
                                  <a:pt x="247" y="103"/>
                                  <a:pt x="244" y="104"/>
                                </a:cubicBezTo>
                                <a:cubicBezTo>
                                  <a:pt x="244" y="104"/>
                                  <a:pt x="243" y="107"/>
                                  <a:pt x="236" y="106"/>
                                </a:cubicBezTo>
                                <a:cubicBezTo>
                                  <a:pt x="236" y="106"/>
                                  <a:pt x="242" y="105"/>
                                  <a:pt x="240" y="117"/>
                                </a:cubicBezTo>
                                <a:cubicBezTo>
                                  <a:pt x="240" y="117"/>
                                  <a:pt x="285" y="114"/>
                                  <a:pt x="270" y="163"/>
                                </a:cubicBezTo>
                                <a:cubicBezTo>
                                  <a:pt x="270" y="163"/>
                                  <a:pt x="266" y="167"/>
                                  <a:pt x="269" y="175"/>
                                </a:cubicBezTo>
                                <a:cubicBezTo>
                                  <a:pt x="269" y="175"/>
                                  <a:pt x="274" y="181"/>
                                  <a:pt x="294" y="175"/>
                                </a:cubicBezTo>
                                <a:cubicBezTo>
                                  <a:pt x="294" y="175"/>
                                  <a:pt x="307" y="163"/>
                                  <a:pt x="314" y="184"/>
                                </a:cubicBezTo>
                                <a:cubicBezTo>
                                  <a:pt x="314" y="184"/>
                                  <a:pt x="321" y="202"/>
                                  <a:pt x="334" y="208"/>
                                </a:cubicBezTo>
                                <a:cubicBezTo>
                                  <a:pt x="334" y="208"/>
                                  <a:pt x="345" y="209"/>
                                  <a:pt x="341" y="221"/>
                                </a:cubicBezTo>
                                <a:cubicBezTo>
                                  <a:pt x="341" y="221"/>
                                  <a:pt x="349" y="221"/>
                                  <a:pt x="353" y="223"/>
                                </a:cubicBezTo>
                                <a:cubicBezTo>
                                  <a:pt x="353" y="223"/>
                                  <a:pt x="359" y="224"/>
                                  <a:pt x="355" y="243"/>
                                </a:cubicBezTo>
                                <a:cubicBezTo>
                                  <a:pt x="355" y="243"/>
                                  <a:pt x="352" y="250"/>
                                  <a:pt x="344" y="240"/>
                                </a:cubicBezTo>
                                <a:cubicBezTo>
                                  <a:pt x="344" y="240"/>
                                  <a:pt x="339" y="238"/>
                                  <a:pt x="333" y="229"/>
                                </a:cubicBezTo>
                                <a:cubicBezTo>
                                  <a:pt x="333" y="229"/>
                                  <a:pt x="328" y="222"/>
                                  <a:pt x="317" y="213"/>
                                </a:cubicBezTo>
                                <a:cubicBezTo>
                                  <a:pt x="317" y="213"/>
                                  <a:pt x="298" y="201"/>
                                  <a:pt x="295" y="195"/>
                                </a:cubicBezTo>
                                <a:cubicBezTo>
                                  <a:pt x="295" y="195"/>
                                  <a:pt x="293" y="193"/>
                                  <a:pt x="282" y="195"/>
                                </a:cubicBezTo>
                                <a:cubicBezTo>
                                  <a:pt x="282" y="195"/>
                                  <a:pt x="295" y="212"/>
                                  <a:pt x="306" y="211"/>
                                </a:cubicBezTo>
                                <a:cubicBezTo>
                                  <a:pt x="306" y="211"/>
                                  <a:pt x="312" y="214"/>
                                  <a:pt x="309" y="220"/>
                                </a:cubicBezTo>
                                <a:cubicBezTo>
                                  <a:pt x="309" y="220"/>
                                  <a:pt x="306" y="222"/>
                                  <a:pt x="307" y="224"/>
                                </a:cubicBezTo>
                                <a:cubicBezTo>
                                  <a:pt x="307" y="224"/>
                                  <a:pt x="316" y="226"/>
                                  <a:pt x="319" y="228"/>
                                </a:cubicBezTo>
                                <a:cubicBezTo>
                                  <a:pt x="319" y="228"/>
                                  <a:pt x="328" y="229"/>
                                  <a:pt x="320" y="248"/>
                                </a:cubicBezTo>
                                <a:cubicBezTo>
                                  <a:pt x="320" y="248"/>
                                  <a:pt x="313" y="255"/>
                                  <a:pt x="303" y="233"/>
                                </a:cubicBezTo>
                                <a:cubicBezTo>
                                  <a:pt x="303" y="233"/>
                                  <a:pt x="296" y="223"/>
                                  <a:pt x="286" y="216"/>
                                </a:cubicBezTo>
                                <a:cubicBezTo>
                                  <a:pt x="286" y="216"/>
                                  <a:pt x="275" y="209"/>
                                  <a:pt x="268" y="198"/>
                                </a:cubicBezTo>
                                <a:cubicBezTo>
                                  <a:pt x="268" y="198"/>
                                  <a:pt x="244" y="201"/>
                                  <a:pt x="230" y="193"/>
                                </a:cubicBezTo>
                                <a:cubicBezTo>
                                  <a:pt x="230" y="193"/>
                                  <a:pt x="205" y="196"/>
                                  <a:pt x="202" y="182"/>
                                </a:cubicBezTo>
                                <a:cubicBezTo>
                                  <a:pt x="202" y="182"/>
                                  <a:pt x="197" y="180"/>
                                  <a:pt x="161" y="191"/>
                                </a:cubicBezTo>
                                <a:cubicBezTo>
                                  <a:pt x="130" y="197"/>
                                  <a:pt x="125" y="191"/>
                                  <a:pt x="125" y="191"/>
                                </a:cubicBezTo>
                                <a:cubicBezTo>
                                  <a:pt x="116" y="193"/>
                                  <a:pt x="101" y="189"/>
                                  <a:pt x="101" y="189"/>
                                </a:cubicBezTo>
                                <a:cubicBezTo>
                                  <a:pt x="90" y="189"/>
                                  <a:pt x="86" y="189"/>
                                  <a:pt x="86" y="189"/>
                                </a:cubicBezTo>
                                <a:cubicBezTo>
                                  <a:pt x="86" y="189"/>
                                  <a:pt x="85" y="192"/>
                                  <a:pt x="82" y="192"/>
                                </a:cubicBezTo>
                                <a:cubicBezTo>
                                  <a:pt x="82" y="192"/>
                                  <a:pt x="73" y="194"/>
                                  <a:pt x="67" y="205"/>
                                </a:cubicBezTo>
                                <a:cubicBezTo>
                                  <a:pt x="67" y="205"/>
                                  <a:pt x="60" y="223"/>
                                  <a:pt x="58" y="224"/>
                                </a:cubicBezTo>
                                <a:cubicBezTo>
                                  <a:pt x="58" y="224"/>
                                  <a:pt x="57" y="228"/>
                                  <a:pt x="49" y="226"/>
                                </a:cubicBezTo>
                                <a:cubicBezTo>
                                  <a:pt x="49" y="226"/>
                                  <a:pt x="48" y="228"/>
                                  <a:pt x="47" y="228"/>
                                </a:cubicBezTo>
                                <a:cubicBezTo>
                                  <a:pt x="47" y="228"/>
                                  <a:pt x="48" y="239"/>
                                  <a:pt x="48" y="242"/>
                                </a:cubicBezTo>
                                <a:cubicBezTo>
                                  <a:pt x="48" y="242"/>
                                  <a:pt x="48" y="245"/>
                                  <a:pt x="44" y="244"/>
                                </a:cubicBezTo>
                                <a:cubicBezTo>
                                  <a:pt x="43" y="245"/>
                                  <a:pt x="42" y="246"/>
                                  <a:pt x="42" y="246"/>
                                </a:cubicBezTo>
                                <a:cubicBezTo>
                                  <a:pt x="42" y="246"/>
                                  <a:pt x="32" y="247"/>
                                  <a:pt x="28" y="246"/>
                                </a:cubicBezTo>
                                <a:cubicBezTo>
                                  <a:pt x="28" y="246"/>
                                  <a:pt x="24" y="243"/>
                                  <a:pt x="28" y="237"/>
                                </a:cubicBezTo>
                                <a:cubicBezTo>
                                  <a:pt x="28" y="237"/>
                                  <a:pt x="28" y="230"/>
                                  <a:pt x="38" y="225"/>
                                </a:cubicBezTo>
                                <a:cubicBezTo>
                                  <a:pt x="38" y="225"/>
                                  <a:pt x="47" y="208"/>
                                  <a:pt x="53" y="204"/>
                                </a:cubicBezTo>
                                <a:cubicBezTo>
                                  <a:pt x="53" y="204"/>
                                  <a:pt x="63" y="186"/>
                                  <a:pt x="68" y="182"/>
                                </a:cubicBezTo>
                                <a:cubicBezTo>
                                  <a:pt x="68" y="182"/>
                                  <a:pt x="66" y="183"/>
                                  <a:pt x="64" y="181"/>
                                </a:cubicBezTo>
                                <a:cubicBezTo>
                                  <a:pt x="62" y="178"/>
                                  <a:pt x="56" y="185"/>
                                  <a:pt x="56" y="185"/>
                                </a:cubicBezTo>
                                <a:cubicBezTo>
                                  <a:pt x="56" y="185"/>
                                  <a:pt x="47" y="194"/>
                                  <a:pt x="42" y="201"/>
                                </a:cubicBezTo>
                                <a:cubicBezTo>
                                  <a:pt x="42" y="201"/>
                                  <a:pt x="39" y="211"/>
                                  <a:pt x="36" y="215"/>
                                </a:cubicBezTo>
                                <a:cubicBezTo>
                                  <a:pt x="36" y="215"/>
                                  <a:pt x="34" y="221"/>
                                  <a:pt x="29" y="216"/>
                                </a:cubicBezTo>
                                <a:lnTo>
                                  <a:pt x="24" y="217"/>
                                </a:lnTo>
                                <a:cubicBezTo>
                                  <a:pt x="25" y="221"/>
                                  <a:pt x="22" y="221"/>
                                  <a:pt x="22" y="221"/>
                                </a:cubicBezTo>
                                <a:cubicBezTo>
                                  <a:pt x="22" y="221"/>
                                  <a:pt x="23" y="233"/>
                                  <a:pt x="20" y="234"/>
                                </a:cubicBezTo>
                                <a:cubicBezTo>
                                  <a:pt x="20" y="234"/>
                                  <a:pt x="12" y="237"/>
                                  <a:pt x="4" y="233"/>
                                </a:cubicBezTo>
                                <a:cubicBezTo>
                                  <a:pt x="4" y="233"/>
                                  <a:pt x="0" y="232"/>
                                  <a:pt x="1" y="226"/>
                                </a:cubicBezTo>
                                <a:cubicBezTo>
                                  <a:pt x="1" y="226"/>
                                  <a:pt x="9" y="217"/>
                                  <a:pt x="17" y="212"/>
                                </a:cubicBezTo>
                                <a:cubicBezTo>
                                  <a:pt x="22" y="203"/>
                                  <a:pt x="31" y="195"/>
                                  <a:pt x="31" y="195"/>
                                </a:cubicBezTo>
                                <a:lnTo>
                                  <a:pt x="55" y="170"/>
                                </a:lnTo>
                                <a:cubicBezTo>
                                  <a:pt x="55" y="170"/>
                                  <a:pt x="54" y="156"/>
                                  <a:pt x="66" y="163"/>
                                </a:cubicBezTo>
                                <a:cubicBezTo>
                                  <a:pt x="66" y="163"/>
                                  <a:pt x="77" y="160"/>
                                  <a:pt x="89" y="162"/>
                                </a:cubicBezTo>
                                <a:cubicBezTo>
                                  <a:pt x="89" y="162"/>
                                  <a:pt x="87" y="151"/>
                                  <a:pt x="93" y="139"/>
                                </a:cubicBezTo>
                                <a:cubicBezTo>
                                  <a:pt x="98" y="113"/>
                                  <a:pt x="87" y="96"/>
                                  <a:pt x="87" y="96"/>
                                </a:cubicBezTo>
                                <a:cubicBezTo>
                                  <a:pt x="87" y="96"/>
                                  <a:pt x="77" y="97"/>
                                  <a:pt x="70" y="96"/>
                                </a:cubicBezTo>
                                <a:cubicBezTo>
                                  <a:pt x="70" y="96"/>
                                  <a:pt x="69" y="109"/>
                                  <a:pt x="57" y="106"/>
                                </a:cubicBezTo>
                                <a:cubicBezTo>
                                  <a:pt x="57" y="106"/>
                                  <a:pt x="62" y="102"/>
                                  <a:pt x="61" y="95"/>
                                </a:cubicBezTo>
                                <a:cubicBezTo>
                                  <a:pt x="61" y="95"/>
                                  <a:pt x="57" y="100"/>
                                  <a:pt x="53" y="101"/>
                                </a:cubicBezTo>
                                <a:cubicBezTo>
                                  <a:pt x="53" y="101"/>
                                  <a:pt x="48" y="104"/>
                                  <a:pt x="48" y="99"/>
                                </a:cubicBezTo>
                                <a:cubicBezTo>
                                  <a:pt x="48" y="99"/>
                                  <a:pt x="43" y="89"/>
                                  <a:pt x="53" y="85"/>
                                </a:cubicBezTo>
                                <a:cubicBezTo>
                                  <a:pt x="53" y="85"/>
                                  <a:pt x="58" y="71"/>
                                  <a:pt x="69" y="65"/>
                                </a:cubicBezTo>
                                <a:cubicBezTo>
                                  <a:pt x="69" y="65"/>
                                  <a:pt x="79" y="59"/>
                                  <a:pt x="67" y="45"/>
                                </a:cubicBezTo>
                                <a:cubicBezTo>
                                  <a:pt x="78" y="46"/>
                                  <a:pt x="80" y="49"/>
                                  <a:pt x="80" y="49"/>
                                </a:cubicBezTo>
                                <a:cubicBezTo>
                                  <a:pt x="80" y="49"/>
                                  <a:pt x="80" y="45"/>
                                  <a:pt x="81" y="44"/>
                                </a:cubicBezTo>
                                <a:cubicBezTo>
                                  <a:pt x="86" y="46"/>
                                  <a:pt x="88" y="49"/>
                                  <a:pt x="88" y="49"/>
                                </a:cubicBezTo>
                                <a:cubicBezTo>
                                  <a:pt x="88" y="49"/>
                                  <a:pt x="97" y="46"/>
                                  <a:pt x="101" y="55"/>
                                </a:cubicBezTo>
                                <a:cubicBezTo>
                                  <a:pt x="101" y="55"/>
                                  <a:pt x="120" y="59"/>
                                  <a:pt x="133" y="87"/>
                                </a:cubicBezTo>
                                <a:cubicBezTo>
                                  <a:pt x="142" y="115"/>
                                  <a:pt x="162" y="126"/>
                                  <a:pt x="162" y="126"/>
                                </a:cubicBezTo>
                                <a:lnTo>
                                  <a:pt x="163" y="105"/>
                                </a:lnTo>
                                <a:cubicBezTo>
                                  <a:pt x="163" y="105"/>
                                  <a:pt x="177" y="88"/>
                                  <a:pt x="164" y="77"/>
                                </a:cubicBezTo>
                                <a:cubicBezTo>
                                  <a:pt x="164" y="77"/>
                                  <a:pt x="149" y="67"/>
                                  <a:pt x="154" y="49"/>
                                </a:cubicBezTo>
                                <a:cubicBezTo>
                                  <a:pt x="154" y="49"/>
                                  <a:pt x="157" y="44"/>
                                  <a:pt x="161" y="42"/>
                                </a:cubicBezTo>
                                <a:close/>
                              </a:path>
                            </a:pathLst>
                          </a:custGeom>
                          <a:solidFill>
                            <a:srgbClr val="C1C0BF"/>
                          </a:solidFill>
                          <a:ln w="9525">
                            <a:noFill/>
                            <a:round/>
                            <a:headEnd/>
                            <a:tailEnd/>
                          </a:ln>
                        </wps:spPr>
                        <wps:bodyPr/>
                      </wps:wsp>
                      <wps:wsp>
                        <wps:cNvPr id="206" name="Freeform 140"/>
                        <wps:cNvSpPr>
                          <a:spLocks noEditPoints="1"/>
                        </wps:cNvSpPr>
                        <wps:spPr bwMode="auto">
                          <a:xfrm>
                            <a:off x="104" y="200"/>
                            <a:ext cx="296" cy="211"/>
                          </a:xfrm>
                          <a:custGeom>
                            <a:avLst/>
                            <a:gdLst/>
                            <a:ahLst/>
                            <a:cxnLst>
                              <a:cxn ang="0">
                                <a:pos x="170" y="41"/>
                              </a:cxn>
                              <a:cxn ang="0">
                                <a:pos x="199" y="33"/>
                              </a:cxn>
                              <a:cxn ang="0">
                                <a:pos x="284" y="14"/>
                              </a:cxn>
                              <a:cxn ang="0">
                                <a:pos x="271" y="31"/>
                              </a:cxn>
                              <a:cxn ang="0">
                                <a:pos x="275" y="38"/>
                              </a:cxn>
                              <a:cxn ang="0">
                                <a:pos x="270" y="61"/>
                              </a:cxn>
                              <a:cxn ang="0">
                                <a:pos x="267" y="73"/>
                              </a:cxn>
                              <a:cxn ang="0">
                                <a:pos x="252" y="89"/>
                              </a:cxn>
                              <a:cxn ang="0">
                                <a:pos x="253" y="95"/>
                              </a:cxn>
                              <a:cxn ang="0">
                                <a:pos x="237" y="107"/>
                              </a:cxn>
                              <a:cxn ang="0">
                                <a:pos x="271" y="164"/>
                              </a:cxn>
                              <a:cxn ang="0">
                                <a:pos x="269" y="176"/>
                              </a:cxn>
                              <a:cxn ang="0">
                                <a:pos x="294" y="176"/>
                              </a:cxn>
                              <a:cxn ang="0">
                                <a:pos x="334" y="210"/>
                              </a:cxn>
                              <a:cxn ang="0">
                                <a:pos x="342" y="223"/>
                              </a:cxn>
                              <a:cxn ang="0">
                                <a:pos x="353" y="224"/>
                              </a:cxn>
                              <a:cxn ang="0">
                                <a:pos x="345" y="241"/>
                              </a:cxn>
                              <a:cxn ang="0">
                                <a:pos x="318" y="214"/>
                              </a:cxn>
                              <a:cxn ang="0">
                                <a:pos x="297" y="195"/>
                              </a:cxn>
                              <a:cxn ang="0">
                                <a:pos x="282" y="196"/>
                              </a:cxn>
                              <a:cxn ang="0">
                                <a:pos x="307" y="212"/>
                              </a:cxn>
                              <a:cxn ang="0">
                                <a:pos x="308" y="226"/>
                              </a:cxn>
                              <a:cxn ang="0">
                                <a:pos x="320" y="228"/>
                              </a:cxn>
                              <a:cxn ang="0">
                                <a:pos x="304" y="234"/>
                              </a:cxn>
                              <a:cxn ang="0">
                                <a:pos x="287" y="218"/>
                              </a:cxn>
                              <a:cxn ang="0">
                                <a:pos x="232" y="195"/>
                              </a:cxn>
                              <a:cxn ang="0">
                                <a:pos x="162" y="192"/>
                              </a:cxn>
                              <a:cxn ang="0">
                                <a:pos x="126" y="192"/>
                              </a:cxn>
                              <a:cxn ang="0">
                                <a:pos x="102" y="190"/>
                              </a:cxn>
                              <a:cxn ang="0">
                                <a:pos x="83" y="194"/>
                              </a:cxn>
                              <a:cxn ang="0">
                                <a:pos x="68" y="206"/>
                              </a:cxn>
                              <a:cxn ang="0">
                                <a:pos x="50" y="227"/>
                              </a:cxn>
                              <a:cxn ang="0">
                                <a:pos x="48" y="229"/>
                              </a:cxn>
                              <a:cxn ang="0">
                                <a:pos x="45" y="244"/>
                              </a:cxn>
                              <a:cxn ang="0">
                                <a:pos x="29" y="247"/>
                              </a:cxn>
                              <a:cxn ang="0">
                                <a:pos x="29" y="239"/>
                              </a:cxn>
                              <a:cxn ang="0">
                                <a:pos x="54" y="206"/>
                              </a:cxn>
                              <a:cxn ang="0">
                                <a:pos x="73" y="182"/>
                              </a:cxn>
                              <a:cxn ang="0">
                                <a:pos x="58" y="186"/>
                              </a:cxn>
                              <a:cxn ang="0">
                                <a:pos x="42" y="201"/>
                              </a:cxn>
                              <a:cxn ang="0">
                                <a:pos x="37" y="217"/>
                              </a:cxn>
                              <a:cxn ang="0">
                                <a:pos x="24" y="218"/>
                              </a:cxn>
                              <a:cxn ang="0">
                                <a:pos x="22" y="222"/>
                              </a:cxn>
                              <a:cxn ang="0">
                                <a:pos x="20" y="234"/>
                              </a:cxn>
                              <a:cxn ang="0">
                                <a:pos x="2" y="227"/>
                              </a:cxn>
                              <a:cxn ang="0">
                                <a:pos x="33" y="197"/>
                              </a:cxn>
                              <a:cxn ang="0">
                                <a:pos x="57" y="171"/>
                              </a:cxn>
                              <a:cxn ang="0">
                                <a:pos x="67" y="163"/>
                              </a:cxn>
                              <a:cxn ang="0">
                                <a:pos x="95" y="140"/>
                              </a:cxn>
                              <a:cxn ang="0">
                                <a:pos x="88" y="96"/>
                              </a:cxn>
                              <a:cxn ang="0">
                                <a:pos x="57" y="106"/>
                              </a:cxn>
                              <a:cxn ang="0">
                                <a:pos x="54" y="103"/>
                              </a:cxn>
                              <a:cxn ang="0">
                                <a:pos x="49" y="100"/>
                              </a:cxn>
                              <a:cxn ang="0">
                                <a:pos x="53" y="86"/>
                              </a:cxn>
                              <a:cxn ang="0">
                                <a:pos x="68" y="47"/>
                              </a:cxn>
                              <a:cxn ang="0">
                                <a:pos x="80" y="50"/>
                              </a:cxn>
                              <a:cxn ang="0">
                                <a:pos x="82" y="44"/>
                              </a:cxn>
                              <a:cxn ang="0">
                                <a:pos x="102" y="57"/>
                              </a:cxn>
                              <a:cxn ang="0">
                                <a:pos x="164" y="127"/>
                              </a:cxn>
                              <a:cxn ang="0">
                                <a:pos x="164" y="106"/>
                              </a:cxn>
                              <a:cxn ang="0">
                                <a:pos x="165" y="79"/>
                              </a:cxn>
                              <a:cxn ang="0">
                                <a:pos x="162" y="43"/>
                              </a:cxn>
                            </a:cxnLst>
                            <a:rect l="0" t="0" r="r" b="b"/>
                            <a:pathLst>
                              <a:path w="361" h="257">
                                <a:moveTo>
                                  <a:pt x="162" y="43"/>
                                </a:moveTo>
                                <a:cubicBezTo>
                                  <a:pt x="162" y="43"/>
                                  <a:pt x="164" y="40"/>
                                  <a:pt x="171" y="41"/>
                                </a:cubicBezTo>
                                <a:lnTo>
                                  <a:pt x="171" y="42"/>
                                </a:lnTo>
                                <a:cubicBezTo>
                                  <a:pt x="165" y="42"/>
                                  <a:pt x="163" y="44"/>
                                  <a:pt x="163" y="44"/>
                                </a:cubicBezTo>
                                <a:lnTo>
                                  <a:pt x="162" y="43"/>
                                </a:lnTo>
                                <a:close/>
                                <a:moveTo>
                                  <a:pt x="171" y="42"/>
                                </a:moveTo>
                                <a:lnTo>
                                  <a:pt x="171" y="42"/>
                                </a:lnTo>
                                <a:lnTo>
                                  <a:pt x="171" y="42"/>
                                </a:lnTo>
                                <a:lnTo>
                                  <a:pt x="171" y="42"/>
                                </a:lnTo>
                                <a:close/>
                                <a:moveTo>
                                  <a:pt x="170" y="41"/>
                                </a:moveTo>
                                <a:cubicBezTo>
                                  <a:pt x="170" y="41"/>
                                  <a:pt x="182" y="33"/>
                                  <a:pt x="187" y="32"/>
                                </a:cubicBezTo>
                                <a:lnTo>
                                  <a:pt x="188" y="34"/>
                                </a:lnTo>
                                <a:cubicBezTo>
                                  <a:pt x="182" y="35"/>
                                  <a:pt x="171" y="42"/>
                                  <a:pt x="171" y="42"/>
                                </a:cubicBezTo>
                                <a:lnTo>
                                  <a:pt x="170" y="41"/>
                                </a:lnTo>
                                <a:close/>
                                <a:moveTo>
                                  <a:pt x="188" y="34"/>
                                </a:moveTo>
                                <a:lnTo>
                                  <a:pt x="188" y="34"/>
                                </a:lnTo>
                                <a:lnTo>
                                  <a:pt x="188" y="34"/>
                                </a:lnTo>
                                <a:lnTo>
                                  <a:pt x="188" y="33"/>
                                </a:lnTo>
                                <a:lnTo>
                                  <a:pt x="188" y="34"/>
                                </a:lnTo>
                                <a:close/>
                                <a:moveTo>
                                  <a:pt x="187" y="32"/>
                                </a:moveTo>
                                <a:cubicBezTo>
                                  <a:pt x="200" y="27"/>
                                  <a:pt x="199" y="33"/>
                                  <a:pt x="199" y="33"/>
                                </a:cubicBezTo>
                                <a:lnTo>
                                  <a:pt x="198" y="33"/>
                                </a:lnTo>
                                <a:cubicBezTo>
                                  <a:pt x="198" y="33"/>
                                  <a:pt x="198" y="29"/>
                                  <a:pt x="188" y="34"/>
                                </a:cubicBezTo>
                                <a:lnTo>
                                  <a:pt x="187" y="32"/>
                                </a:lnTo>
                                <a:close/>
                                <a:moveTo>
                                  <a:pt x="199" y="34"/>
                                </a:moveTo>
                                <a:lnTo>
                                  <a:pt x="198" y="34"/>
                                </a:lnTo>
                                <a:lnTo>
                                  <a:pt x="198" y="33"/>
                                </a:lnTo>
                                <a:lnTo>
                                  <a:pt x="199" y="33"/>
                                </a:lnTo>
                                <a:lnTo>
                                  <a:pt x="199" y="34"/>
                                </a:lnTo>
                                <a:close/>
                                <a:moveTo>
                                  <a:pt x="199" y="33"/>
                                </a:moveTo>
                                <a:cubicBezTo>
                                  <a:pt x="199" y="33"/>
                                  <a:pt x="239" y="16"/>
                                  <a:pt x="278" y="7"/>
                                </a:cubicBezTo>
                                <a:lnTo>
                                  <a:pt x="278" y="8"/>
                                </a:lnTo>
                                <a:cubicBezTo>
                                  <a:pt x="239" y="18"/>
                                  <a:pt x="199" y="34"/>
                                  <a:pt x="199" y="34"/>
                                </a:cubicBezTo>
                                <a:lnTo>
                                  <a:pt x="199" y="33"/>
                                </a:lnTo>
                                <a:close/>
                                <a:moveTo>
                                  <a:pt x="278" y="8"/>
                                </a:moveTo>
                                <a:lnTo>
                                  <a:pt x="278" y="8"/>
                                </a:lnTo>
                                <a:lnTo>
                                  <a:pt x="278" y="8"/>
                                </a:lnTo>
                                <a:lnTo>
                                  <a:pt x="278" y="7"/>
                                </a:lnTo>
                                <a:lnTo>
                                  <a:pt x="278" y="8"/>
                                </a:lnTo>
                                <a:close/>
                                <a:moveTo>
                                  <a:pt x="278" y="7"/>
                                </a:moveTo>
                                <a:cubicBezTo>
                                  <a:pt x="278" y="7"/>
                                  <a:pt x="288" y="0"/>
                                  <a:pt x="285" y="14"/>
                                </a:cubicBezTo>
                                <a:lnTo>
                                  <a:pt x="284" y="14"/>
                                </a:lnTo>
                                <a:cubicBezTo>
                                  <a:pt x="286" y="3"/>
                                  <a:pt x="278" y="8"/>
                                  <a:pt x="278" y="8"/>
                                </a:cubicBezTo>
                                <a:lnTo>
                                  <a:pt x="278" y="7"/>
                                </a:lnTo>
                                <a:close/>
                                <a:moveTo>
                                  <a:pt x="285" y="14"/>
                                </a:moveTo>
                                <a:lnTo>
                                  <a:pt x="285" y="14"/>
                                </a:lnTo>
                                <a:lnTo>
                                  <a:pt x="285" y="14"/>
                                </a:lnTo>
                                <a:lnTo>
                                  <a:pt x="285" y="14"/>
                                </a:lnTo>
                                <a:close/>
                                <a:moveTo>
                                  <a:pt x="285" y="14"/>
                                </a:moveTo>
                                <a:cubicBezTo>
                                  <a:pt x="285" y="14"/>
                                  <a:pt x="282" y="25"/>
                                  <a:pt x="271" y="31"/>
                                </a:cubicBezTo>
                                <a:lnTo>
                                  <a:pt x="270" y="30"/>
                                </a:lnTo>
                                <a:cubicBezTo>
                                  <a:pt x="281" y="24"/>
                                  <a:pt x="284" y="14"/>
                                  <a:pt x="284" y="13"/>
                                </a:cubicBezTo>
                                <a:lnTo>
                                  <a:pt x="285" y="14"/>
                                </a:lnTo>
                                <a:close/>
                                <a:moveTo>
                                  <a:pt x="271" y="31"/>
                                </a:moveTo>
                                <a:lnTo>
                                  <a:pt x="270" y="30"/>
                                </a:lnTo>
                                <a:lnTo>
                                  <a:pt x="271" y="31"/>
                                </a:lnTo>
                                <a:close/>
                                <a:moveTo>
                                  <a:pt x="270" y="30"/>
                                </a:moveTo>
                                <a:cubicBezTo>
                                  <a:pt x="270" y="30"/>
                                  <a:pt x="278" y="26"/>
                                  <a:pt x="275" y="38"/>
                                </a:cubicBezTo>
                                <a:lnTo>
                                  <a:pt x="274" y="38"/>
                                </a:lnTo>
                                <a:cubicBezTo>
                                  <a:pt x="276" y="29"/>
                                  <a:pt x="271" y="31"/>
                                  <a:pt x="271" y="31"/>
                                </a:cubicBezTo>
                                <a:lnTo>
                                  <a:pt x="270" y="30"/>
                                </a:lnTo>
                                <a:close/>
                                <a:moveTo>
                                  <a:pt x="274" y="38"/>
                                </a:moveTo>
                                <a:lnTo>
                                  <a:pt x="274" y="38"/>
                                </a:lnTo>
                                <a:lnTo>
                                  <a:pt x="274" y="38"/>
                                </a:lnTo>
                                <a:lnTo>
                                  <a:pt x="274" y="38"/>
                                </a:lnTo>
                                <a:close/>
                                <a:moveTo>
                                  <a:pt x="275" y="38"/>
                                </a:moveTo>
                                <a:cubicBezTo>
                                  <a:pt x="275" y="38"/>
                                  <a:pt x="275" y="45"/>
                                  <a:pt x="266" y="50"/>
                                </a:cubicBezTo>
                                <a:lnTo>
                                  <a:pt x="266" y="49"/>
                                </a:lnTo>
                                <a:cubicBezTo>
                                  <a:pt x="274" y="44"/>
                                  <a:pt x="274" y="38"/>
                                  <a:pt x="274" y="38"/>
                                </a:cubicBezTo>
                                <a:lnTo>
                                  <a:pt x="275" y="38"/>
                                </a:lnTo>
                                <a:close/>
                                <a:moveTo>
                                  <a:pt x="266" y="50"/>
                                </a:moveTo>
                                <a:lnTo>
                                  <a:pt x="263" y="50"/>
                                </a:lnTo>
                                <a:lnTo>
                                  <a:pt x="266" y="49"/>
                                </a:lnTo>
                                <a:lnTo>
                                  <a:pt x="266" y="49"/>
                                </a:lnTo>
                                <a:lnTo>
                                  <a:pt x="266" y="50"/>
                                </a:lnTo>
                                <a:close/>
                                <a:moveTo>
                                  <a:pt x="266" y="49"/>
                                </a:moveTo>
                                <a:cubicBezTo>
                                  <a:pt x="266" y="49"/>
                                  <a:pt x="276" y="49"/>
                                  <a:pt x="270" y="61"/>
                                </a:cubicBezTo>
                                <a:lnTo>
                                  <a:pt x="268" y="60"/>
                                </a:lnTo>
                                <a:cubicBezTo>
                                  <a:pt x="274" y="50"/>
                                  <a:pt x="266" y="50"/>
                                  <a:pt x="266" y="50"/>
                                </a:cubicBezTo>
                                <a:lnTo>
                                  <a:pt x="266" y="49"/>
                                </a:lnTo>
                                <a:close/>
                                <a:moveTo>
                                  <a:pt x="270" y="61"/>
                                </a:moveTo>
                                <a:lnTo>
                                  <a:pt x="269" y="61"/>
                                </a:lnTo>
                                <a:lnTo>
                                  <a:pt x="269" y="60"/>
                                </a:lnTo>
                                <a:lnTo>
                                  <a:pt x="270" y="61"/>
                                </a:lnTo>
                                <a:close/>
                                <a:moveTo>
                                  <a:pt x="269" y="61"/>
                                </a:moveTo>
                                <a:cubicBezTo>
                                  <a:pt x="265" y="68"/>
                                  <a:pt x="259" y="68"/>
                                  <a:pt x="259" y="68"/>
                                </a:cubicBezTo>
                                <a:lnTo>
                                  <a:pt x="259" y="67"/>
                                </a:lnTo>
                                <a:cubicBezTo>
                                  <a:pt x="259" y="67"/>
                                  <a:pt x="264" y="67"/>
                                  <a:pt x="268" y="60"/>
                                </a:cubicBezTo>
                                <a:lnTo>
                                  <a:pt x="269" y="61"/>
                                </a:lnTo>
                                <a:close/>
                                <a:moveTo>
                                  <a:pt x="259" y="68"/>
                                </a:moveTo>
                                <a:lnTo>
                                  <a:pt x="259" y="67"/>
                                </a:lnTo>
                                <a:lnTo>
                                  <a:pt x="259" y="68"/>
                                </a:lnTo>
                                <a:close/>
                                <a:moveTo>
                                  <a:pt x="259" y="67"/>
                                </a:moveTo>
                                <a:cubicBezTo>
                                  <a:pt x="259" y="67"/>
                                  <a:pt x="268" y="66"/>
                                  <a:pt x="267" y="73"/>
                                </a:cubicBezTo>
                                <a:lnTo>
                                  <a:pt x="265" y="73"/>
                                </a:lnTo>
                                <a:cubicBezTo>
                                  <a:pt x="266" y="67"/>
                                  <a:pt x="259" y="68"/>
                                  <a:pt x="259" y="68"/>
                                </a:cubicBezTo>
                                <a:lnTo>
                                  <a:pt x="259" y="67"/>
                                </a:lnTo>
                                <a:close/>
                                <a:moveTo>
                                  <a:pt x="267" y="73"/>
                                </a:moveTo>
                                <a:lnTo>
                                  <a:pt x="267" y="73"/>
                                </a:lnTo>
                                <a:lnTo>
                                  <a:pt x="267" y="73"/>
                                </a:lnTo>
                                <a:lnTo>
                                  <a:pt x="266" y="73"/>
                                </a:lnTo>
                                <a:lnTo>
                                  <a:pt x="267" y="73"/>
                                </a:lnTo>
                                <a:close/>
                                <a:moveTo>
                                  <a:pt x="267" y="73"/>
                                </a:moveTo>
                                <a:cubicBezTo>
                                  <a:pt x="263" y="85"/>
                                  <a:pt x="252" y="88"/>
                                  <a:pt x="252" y="88"/>
                                </a:cubicBezTo>
                                <a:lnTo>
                                  <a:pt x="251" y="87"/>
                                </a:lnTo>
                                <a:cubicBezTo>
                                  <a:pt x="251" y="87"/>
                                  <a:pt x="262" y="84"/>
                                  <a:pt x="265" y="73"/>
                                </a:cubicBezTo>
                                <a:lnTo>
                                  <a:pt x="267" y="73"/>
                                </a:lnTo>
                                <a:close/>
                                <a:moveTo>
                                  <a:pt x="252" y="89"/>
                                </a:moveTo>
                                <a:lnTo>
                                  <a:pt x="248" y="89"/>
                                </a:lnTo>
                                <a:lnTo>
                                  <a:pt x="251" y="87"/>
                                </a:lnTo>
                                <a:lnTo>
                                  <a:pt x="252" y="88"/>
                                </a:lnTo>
                                <a:lnTo>
                                  <a:pt x="252" y="89"/>
                                </a:lnTo>
                                <a:close/>
                                <a:moveTo>
                                  <a:pt x="252" y="87"/>
                                </a:moveTo>
                                <a:cubicBezTo>
                                  <a:pt x="252" y="87"/>
                                  <a:pt x="262" y="87"/>
                                  <a:pt x="254" y="96"/>
                                </a:cubicBezTo>
                                <a:lnTo>
                                  <a:pt x="253" y="95"/>
                                </a:lnTo>
                                <a:cubicBezTo>
                                  <a:pt x="259" y="88"/>
                                  <a:pt x="252" y="89"/>
                                  <a:pt x="252" y="89"/>
                                </a:cubicBezTo>
                                <a:lnTo>
                                  <a:pt x="252" y="87"/>
                                </a:lnTo>
                                <a:close/>
                                <a:moveTo>
                                  <a:pt x="253" y="95"/>
                                </a:moveTo>
                                <a:lnTo>
                                  <a:pt x="253" y="95"/>
                                </a:lnTo>
                                <a:lnTo>
                                  <a:pt x="253" y="95"/>
                                </a:lnTo>
                                <a:lnTo>
                                  <a:pt x="253" y="96"/>
                                </a:lnTo>
                                <a:lnTo>
                                  <a:pt x="253" y="95"/>
                                </a:lnTo>
                                <a:close/>
                                <a:moveTo>
                                  <a:pt x="254" y="96"/>
                                </a:moveTo>
                                <a:cubicBezTo>
                                  <a:pt x="254" y="96"/>
                                  <a:pt x="248" y="105"/>
                                  <a:pt x="245" y="106"/>
                                </a:cubicBezTo>
                                <a:lnTo>
                                  <a:pt x="245" y="105"/>
                                </a:lnTo>
                                <a:cubicBezTo>
                                  <a:pt x="247" y="104"/>
                                  <a:pt x="253" y="95"/>
                                  <a:pt x="253" y="95"/>
                                </a:cubicBezTo>
                                <a:lnTo>
                                  <a:pt x="254" y="96"/>
                                </a:lnTo>
                                <a:close/>
                                <a:moveTo>
                                  <a:pt x="244" y="105"/>
                                </a:moveTo>
                                <a:lnTo>
                                  <a:pt x="245" y="105"/>
                                </a:lnTo>
                                <a:lnTo>
                                  <a:pt x="245" y="105"/>
                                </a:lnTo>
                                <a:lnTo>
                                  <a:pt x="245" y="105"/>
                                </a:lnTo>
                                <a:lnTo>
                                  <a:pt x="244" y="105"/>
                                </a:lnTo>
                                <a:close/>
                                <a:moveTo>
                                  <a:pt x="246" y="106"/>
                                </a:moveTo>
                                <a:cubicBezTo>
                                  <a:pt x="246" y="106"/>
                                  <a:pt x="244" y="108"/>
                                  <a:pt x="237" y="108"/>
                                </a:cubicBezTo>
                                <a:lnTo>
                                  <a:pt x="237" y="107"/>
                                </a:lnTo>
                                <a:cubicBezTo>
                                  <a:pt x="244" y="107"/>
                                  <a:pt x="244" y="105"/>
                                  <a:pt x="244" y="105"/>
                                </a:cubicBezTo>
                                <a:lnTo>
                                  <a:pt x="246" y="106"/>
                                </a:lnTo>
                                <a:close/>
                                <a:moveTo>
                                  <a:pt x="237" y="108"/>
                                </a:moveTo>
                                <a:lnTo>
                                  <a:pt x="229" y="107"/>
                                </a:lnTo>
                                <a:lnTo>
                                  <a:pt x="237" y="107"/>
                                </a:lnTo>
                                <a:lnTo>
                                  <a:pt x="237" y="107"/>
                                </a:lnTo>
                                <a:lnTo>
                                  <a:pt x="237" y="108"/>
                                </a:lnTo>
                                <a:close/>
                                <a:moveTo>
                                  <a:pt x="237" y="107"/>
                                </a:moveTo>
                                <a:cubicBezTo>
                                  <a:pt x="237" y="107"/>
                                  <a:pt x="244" y="106"/>
                                  <a:pt x="241" y="118"/>
                                </a:cubicBezTo>
                                <a:lnTo>
                                  <a:pt x="240" y="117"/>
                                </a:lnTo>
                                <a:cubicBezTo>
                                  <a:pt x="242" y="107"/>
                                  <a:pt x="237" y="108"/>
                                  <a:pt x="237" y="108"/>
                                </a:cubicBezTo>
                                <a:lnTo>
                                  <a:pt x="237" y="107"/>
                                </a:lnTo>
                                <a:close/>
                                <a:moveTo>
                                  <a:pt x="241" y="118"/>
                                </a:moveTo>
                                <a:lnTo>
                                  <a:pt x="240" y="118"/>
                                </a:lnTo>
                                <a:lnTo>
                                  <a:pt x="240" y="117"/>
                                </a:lnTo>
                                <a:lnTo>
                                  <a:pt x="241" y="118"/>
                                </a:lnTo>
                                <a:close/>
                                <a:moveTo>
                                  <a:pt x="241" y="117"/>
                                </a:moveTo>
                                <a:cubicBezTo>
                                  <a:pt x="241" y="117"/>
                                  <a:pt x="287" y="114"/>
                                  <a:pt x="272" y="164"/>
                                </a:cubicBezTo>
                                <a:lnTo>
                                  <a:pt x="271" y="164"/>
                                </a:lnTo>
                                <a:cubicBezTo>
                                  <a:pt x="285" y="116"/>
                                  <a:pt x="241" y="118"/>
                                  <a:pt x="241" y="118"/>
                                </a:cubicBezTo>
                                <a:lnTo>
                                  <a:pt x="241" y="117"/>
                                </a:lnTo>
                                <a:close/>
                                <a:moveTo>
                                  <a:pt x="272" y="164"/>
                                </a:moveTo>
                                <a:lnTo>
                                  <a:pt x="272" y="164"/>
                                </a:lnTo>
                                <a:lnTo>
                                  <a:pt x="272" y="164"/>
                                </a:lnTo>
                                <a:lnTo>
                                  <a:pt x="271" y="164"/>
                                </a:lnTo>
                                <a:lnTo>
                                  <a:pt x="272" y="164"/>
                                </a:lnTo>
                                <a:close/>
                                <a:moveTo>
                                  <a:pt x="272" y="164"/>
                                </a:moveTo>
                                <a:cubicBezTo>
                                  <a:pt x="272" y="164"/>
                                  <a:pt x="267" y="168"/>
                                  <a:pt x="270" y="175"/>
                                </a:cubicBezTo>
                                <a:lnTo>
                                  <a:pt x="269" y="176"/>
                                </a:lnTo>
                                <a:cubicBezTo>
                                  <a:pt x="266" y="167"/>
                                  <a:pt x="271" y="163"/>
                                  <a:pt x="271" y="163"/>
                                </a:cubicBezTo>
                                <a:lnTo>
                                  <a:pt x="272" y="164"/>
                                </a:lnTo>
                                <a:close/>
                                <a:moveTo>
                                  <a:pt x="269" y="176"/>
                                </a:moveTo>
                                <a:lnTo>
                                  <a:pt x="269" y="176"/>
                                </a:lnTo>
                                <a:lnTo>
                                  <a:pt x="269" y="176"/>
                                </a:lnTo>
                                <a:lnTo>
                                  <a:pt x="270" y="176"/>
                                </a:lnTo>
                                <a:lnTo>
                                  <a:pt x="269" y="176"/>
                                </a:lnTo>
                                <a:close/>
                                <a:moveTo>
                                  <a:pt x="270" y="175"/>
                                </a:moveTo>
                                <a:cubicBezTo>
                                  <a:pt x="270" y="175"/>
                                  <a:pt x="276" y="181"/>
                                  <a:pt x="295" y="175"/>
                                </a:cubicBezTo>
                                <a:lnTo>
                                  <a:pt x="295" y="177"/>
                                </a:lnTo>
                                <a:cubicBezTo>
                                  <a:pt x="275" y="182"/>
                                  <a:pt x="269" y="176"/>
                                  <a:pt x="269" y="176"/>
                                </a:cubicBezTo>
                                <a:lnTo>
                                  <a:pt x="270" y="175"/>
                                </a:lnTo>
                                <a:close/>
                                <a:moveTo>
                                  <a:pt x="295" y="177"/>
                                </a:moveTo>
                                <a:lnTo>
                                  <a:pt x="295" y="177"/>
                                </a:lnTo>
                                <a:lnTo>
                                  <a:pt x="295" y="177"/>
                                </a:lnTo>
                                <a:lnTo>
                                  <a:pt x="295" y="176"/>
                                </a:lnTo>
                                <a:lnTo>
                                  <a:pt x="295" y="177"/>
                                </a:lnTo>
                                <a:close/>
                                <a:moveTo>
                                  <a:pt x="294" y="176"/>
                                </a:moveTo>
                                <a:cubicBezTo>
                                  <a:pt x="294" y="176"/>
                                  <a:pt x="309" y="163"/>
                                  <a:pt x="316" y="185"/>
                                </a:cubicBezTo>
                                <a:lnTo>
                                  <a:pt x="314" y="185"/>
                                </a:lnTo>
                                <a:cubicBezTo>
                                  <a:pt x="308" y="165"/>
                                  <a:pt x="295" y="177"/>
                                  <a:pt x="295" y="177"/>
                                </a:cubicBezTo>
                                <a:lnTo>
                                  <a:pt x="294" y="176"/>
                                </a:lnTo>
                                <a:close/>
                                <a:moveTo>
                                  <a:pt x="314" y="185"/>
                                </a:moveTo>
                                <a:lnTo>
                                  <a:pt x="314" y="185"/>
                                </a:lnTo>
                                <a:lnTo>
                                  <a:pt x="315" y="185"/>
                                </a:lnTo>
                                <a:lnTo>
                                  <a:pt x="314" y="185"/>
                                </a:lnTo>
                                <a:close/>
                                <a:moveTo>
                                  <a:pt x="316" y="185"/>
                                </a:moveTo>
                                <a:cubicBezTo>
                                  <a:pt x="316" y="185"/>
                                  <a:pt x="322" y="203"/>
                                  <a:pt x="335" y="208"/>
                                </a:cubicBezTo>
                                <a:lnTo>
                                  <a:pt x="334" y="210"/>
                                </a:lnTo>
                                <a:cubicBezTo>
                                  <a:pt x="321" y="204"/>
                                  <a:pt x="314" y="185"/>
                                  <a:pt x="314" y="185"/>
                                </a:cubicBezTo>
                                <a:lnTo>
                                  <a:pt x="316" y="185"/>
                                </a:lnTo>
                                <a:close/>
                                <a:moveTo>
                                  <a:pt x="334" y="210"/>
                                </a:moveTo>
                                <a:lnTo>
                                  <a:pt x="334" y="210"/>
                                </a:lnTo>
                                <a:lnTo>
                                  <a:pt x="334" y="210"/>
                                </a:lnTo>
                                <a:lnTo>
                                  <a:pt x="335" y="209"/>
                                </a:lnTo>
                                <a:lnTo>
                                  <a:pt x="334" y="210"/>
                                </a:lnTo>
                                <a:close/>
                                <a:moveTo>
                                  <a:pt x="335" y="208"/>
                                </a:moveTo>
                                <a:cubicBezTo>
                                  <a:pt x="335" y="208"/>
                                  <a:pt x="347" y="210"/>
                                  <a:pt x="342" y="223"/>
                                </a:cubicBezTo>
                                <a:lnTo>
                                  <a:pt x="341" y="222"/>
                                </a:lnTo>
                                <a:cubicBezTo>
                                  <a:pt x="345" y="211"/>
                                  <a:pt x="334" y="210"/>
                                  <a:pt x="334" y="210"/>
                                </a:cubicBezTo>
                                <a:lnTo>
                                  <a:pt x="335" y="208"/>
                                </a:lnTo>
                                <a:close/>
                                <a:moveTo>
                                  <a:pt x="342" y="223"/>
                                </a:moveTo>
                                <a:lnTo>
                                  <a:pt x="341" y="223"/>
                                </a:lnTo>
                                <a:lnTo>
                                  <a:pt x="341" y="222"/>
                                </a:lnTo>
                                <a:lnTo>
                                  <a:pt x="342" y="222"/>
                                </a:lnTo>
                                <a:lnTo>
                                  <a:pt x="342" y="223"/>
                                </a:lnTo>
                                <a:close/>
                                <a:moveTo>
                                  <a:pt x="342" y="222"/>
                                </a:moveTo>
                                <a:cubicBezTo>
                                  <a:pt x="342" y="222"/>
                                  <a:pt x="350" y="222"/>
                                  <a:pt x="354" y="223"/>
                                </a:cubicBezTo>
                                <a:lnTo>
                                  <a:pt x="353" y="224"/>
                                </a:lnTo>
                                <a:cubicBezTo>
                                  <a:pt x="350" y="223"/>
                                  <a:pt x="342" y="223"/>
                                  <a:pt x="342" y="223"/>
                                </a:cubicBezTo>
                                <a:lnTo>
                                  <a:pt x="342" y="222"/>
                                </a:lnTo>
                                <a:close/>
                                <a:moveTo>
                                  <a:pt x="353" y="224"/>
                                </a:moveTo>
                                <a:lnTo>
                                  <a:pt x="353" y="224"/>
                                </a:lnTo>
                                <a:lnTo>
                                  <a:pt x="353" y="224"/>
                                </a:lnTo>
                                <a:lnTo>
                                  <a:pt x="354" y="224"/>
                                </a:lnTo>
                                <a:lnTo>
                                  <a:pt x="353" y="224"/>
                                </a:lnTo>
                                <a:close/>
                                <a:moveTo>
                                  <a:pt x="354" y="223"/>
                                </a:moveTo>
                                <a:cubicBezTo>
                                  <a:pt x="354" y="223"/>
                                  <a:pt x="361" y="224"/>
                                  <a:pt x="357" y="244"/>
                                </a:cubicBezTo>
                                <a:lnTo>
                                  <a:pt x="355" y="244"/>
                                </a:lnTo>
                                <a:cubicBezTo>
                                  <a:pt x="360" y="225"/>
                                  <a:pt x="353" y="224"/>
                                  <a:pt x="353" y="224"/>
                                </a:cubicBezTo>
                                <a:lnTo>
                                  <a:pt x="354" y="223"/>
                                </a:lnTo>
                                <a:close/>
                                <a:moveTo>
                                  <a:pt x="357" y="244"/>
                                </a:moveTo>
                                <a:lnTo>
                                  <a:pt x="357" y="244"/>
                                </a:lnTo>
                                <a:lnTo>
                                  <a:pt x="357" y="244"/>
                                </a:lnTo>
                                <a:lnTo>
                                  <a:pt x="356" y="244"/>
                                </a:lnTo>
                                <a:lnTo>
                                  <a:pt x="357" y="244"/>
                                </a:lnTo>
                                <a:close/>
                                <a:moveTo>
                                  <a:pt x="357" y="244"/>
                                </a:moveTo>
                                <a:cubicBezTo>
                                  <a:pt x="357" y="244"/>
                                  <a:pt x="353" y="252"/>
                                  <a:pt x="344" y="241"/>
                                </a:cubicBezTo>
                                <a:lnTo>
                                  <a:pt x="345" y="241"/>
                                </a:lnTo>
                                <a:cubicBezTo>
                                  <a:pt x="353" y="250"/>
                                  <a:pt x="355" y="244"/>
                                  <a:pt x="355" y="244"/>
                                </a:cubicBezTo>
                                <a:lnTo>
                                  <a:pt x="357" y="244"/>
                                </a:lnTo>
                                <a:close/>
                                <a:moveTo>
                                  <a:pt x="345" y="240"/>
                                </a:moveTo>
                                <a:lnTo>
                                  <a:pt x="345" y="241"/>
                                </a:lnTo>
                                <a:lnTo>
                                  <a:pt x="345" y="241"/>
                                </a:lnTo>
                                <a:lnTo>
                                  <a:pt x="345" y="241"/>
                                </a:lnTo>
                                <a:lnTo>
                                  <a:pt x="345" y="240"/>
                                </a:lnTo>
                                <a:close/>
                                <a:moveTo>
                                  <a:pt x="345" y="242"/>
                                </a:moveTo>
                                <a:cubicBezTo>
                                  <a:pt x="345" y="242"/>
                                  <a:pt x="339" y="240"/>
                                  <a:pt x="333" y="231"/>
                                </a:cubicBezTo>
                                <a:lnTo>
                                  <a:pt x="334" y="230"/>
                                </a:lnTo>
                                <a:cubicBezTo>
                                  <a:pt x="340" y="239"/>
                                  <a:pt x="345" y="240"/>
                                  <a:pt x="345" y="240"/>
                                </a:cubicBezTo>
                                <a:lnTo>
                                  <a:pt x="345" y="242"/>
                                </a:lnTo>
                                <a:close/>
                                <a:moveTo>
                                  <a:pt x="333" y="231"/>
                                </a:moveTo>
                                <a:lnTo>
                                  <a:pt x="333" y="231"/>
                                </a:lnTo>
                                <a:lnTo>
                                  <a:pt x="333" y="231"/>
                                </a:lnTo>
                                <a:lnTo>
                                  <a:pt x="334" y="230"/>
                                </a:lnTo>
                                <a:lnTo>
                                  <a:pt x="333" y="231"/>
                                </a:lnTo>
                                <a:close/>
                                <a:moveTo>
                                  <a:pt x="333" y="231"/>
                                </a:moveTo>
                                <a:cubicBezTo>
                                  <a:pt x="333" y="231"/>
                                  <a:pt x="329" y="223"/>
                                  <a:pt x="318" y="214"/>
                                </a:cubicBezTo>
                                <a:lnTo>
                                  <a:pt x="318" y="213"/>
                                </a:lnTo>
                                <a:cubicBezTo>
                                  <a:pt x="330" y="223"/>
                                  <a:pt x="334" y="230"/>
                                  <a:pt x="334" y="230"/>
                                </a:cubicBezTo>
                                <a:lnTo>
                                  <a:pt x="333" y="231"/>
                                </a:lnTo>
                                <a:close/>
                                <a:moveTo>
                                  <a:pt x="318" y="213"/>
                                </a:moveTo>
                                <a:lnTo>
                                  <a:pt x="318" y="213"/>
                                </a:lnTo>
                                <a:lnTo>
                                  <a:pt x="318" y="213"/>
                                </a:lnTo>
                                <a:lnTo>
                                  <a:pt x="318" y="214"/>
                                </a:lnTo>
                                <a:lnTo>
                                  <a:pt x="318" y="213"/>
                                </a:lnTo>
                                <a:close/>
                                <a:moveTo>
                                  <a:pt x="318" y="214"/>
                                </a:moveTo>
                                <a:cubicBezTo>
                                  <a:pt x="318" y="214"/>
                                  <a:pt x="299" y="202"/>
                                  <a:pt x="296" y="196"/>
                                </a:cubicBezTo>
                                <a:lnTo>
                                  <a:pt x="297" y="195"/>
                                </a:lnTo>
                                <a:cubicBezTo>
                                  <a:pt x="300" y="201"/>
                                  <a:pt x="318" y="213"/>
                                  <a:pt x="318" y="213"/>
                                </a:cubicBezTo>
                                <a:lnTo>
                                  <a:pt x="318" y="214"/>
                                </a:lnTo>
                                <a:close/>
                                <a:moveTo>
                                  <a:pt x="297" y="195"/>
                                </a:moveTo>
                                <a:lnTo>
                                  <a:pt x="297" y="195"/>
                                </a:lnTo>
                                <a:lnTo>
                                  <a:pt x="297" y="195"/>
                                </a:lnTo>
                                <a:lnTo>
                                  <a:pt x="296" y="196"/>
                                </a:lnTo>
                                <a:lnTo>
                                  <a:pt x="297" y="195"/>
                                </a:lnTo>
                                <a:close/>
                                <a:moveTo>
                                  <a:pt x="296" y="196"/>
                                </a:moveTo>
                                <a:cubicBezTo>
                                  <a:pt x="296" y="196"/>
                                  <a:pt x="294" y="195"/>
                                  <a:pt x="283" y="197"/>
                                </a:cubicBezTo>
                                <a:lnTo>
                                  <a:pt x="282" y="195"/>
                                </a:lnTo>
                                <a:cubicBezTo>
                                  <a:pt x="294" y="193"/>
                                  <a:pt x="297" y="195"/>
                                  <a:pt x="297" y="195"/>
                                </a:cubicBezTo>
                                <a:lnTo>
                                  <a:pt x="296" y="196"/>
                                </a:lnTo>
                                <a:close/>
                                <a:moveTo>
                                  <a:pt x="282" y="196"/>
                                </a:moveTo>
                                <a:lnTo>
                                  <a:pt x="281" y="196"/>
                                </a:lnTo>
                                <a:lnTo>
                                  <a:pt x="282" y="195"/>
                                </a:lnTo>
                                <a:lnTo>
                                  <a:pt x="283" y="196"/>
                                </a:lnTo>
                                <a:lnTo>
                                  <a:pt x="282" y="196"/>
                                </a:lnTo>
                                <a:close/>
                                <a:moveTo>
                                  <a:pt x="283" y="196"/>
                                </a:moveTo>
                                <a:cubicBezTo>
                                  <a:pt x="283" y="196"/>
                                  <a:pt x="296" y="212"/>
                                  <a:pt x="307" y="212"/>
                                </a:cubicBezTo>
                                <a:lnTo>
                                  <a:pt x="307" y="213"/>
                                </a:lnTo>
                                <a:cubicBezTo>
                                  <a:pt x="295" y="214"/>
                                  <a:pt x="282" y="196"/>
                                  <a:pt x="282" y="196"/>
                                </a:cubicBezTo>
                                <a:lnTo>
                                  <a:pt x="283" y="196"/>
                                </a:lnTo>
                                <a:close/>
                                <a:moveTo>
                                  <a:pt x="307" y="212"/>
                                </a:moveTo>
                                <a:lnTo>
                                  <a:pt x="307" y="212"/>
                                </a:lnTo>
                                <a:lnTo>
                                  <a:pt x="307" y="212"/>
                                </a:lnTo>
                                <a:lnTo>
                                  <a:pt x="307" y="212"/>
                                </a:lnTo>
                                <a:close/>
                                <a:moveTo>
                                  <a:pt x="307" y="212"/>
                                </a:moveTo>
                                <a:cubicBezTo>
                                  <a:pt x="307" y="212"/>
                                  <a:pt x="314" y="215"/>
                                  <a:pt x="310" y="221"/>
                                </a:cubicBezTo>
                                <a:lnTo>
                                  <a:pt x="309" y="220"/>
                                </a:lnTo>
                                <a:cubicBezTo>
                                  <a:pt x="312" y="215"/>
                                  <a:pt x="307" y="213"/>
                                  <a:pt x="307" y="213"/>
                                </a:cubicBezTo>
                                <a:lnTo>
                                  <a:pt x="307" y="212"/>
                                </a:lnTo>
                                <a:close/>
                                <a:moveTo>
                                  <a:pt x="310" y="221"/>
                                </a:moveTo>
                                <a:lnTo>
                                  <a:pt x="310" y="221"/>
                                </a:lnTo>
                                <a:lnTo>
                                  <a:pt x="310" y="221"/>
                                </a:lnTo>
                                <a:lnTo>
                                  <a:pt x="310" y="221"/>
                                </a:lnTo>
                                <a:close/>
                                <a:moveTo>
                                  <a:pt x="310" y="221"/>
                                </a:moveTo>
                                <a:cubicBezTo>
                                  <a:pt x="310" y="221"/>
                                  <a:pt x="308" y="223"/>
                                  <a:pt x="309" y="225"/>
                                </a:cubicBezTo>
                                <a:lnTo>
                                  <a:pt x="308" y="226"/>
                                </a:lnTo>
                                <a:cubicBezTo>
                                  <a:pt x="307" y="223"/>
                                  <a:pt x="309" y="220"/>
                                  <a:pt x="309" y="220"/>
                                </a:cubicBezTo>
                                <a:lnTo>
                                  <a:pt x="310" y="221"/>
                                </a:lnTo>
                                <a:close/>
                                <a:moveTo>
                                  <a:pt x="308" y="226"/>
                                </a:moveTo>
                                <a:lnTo>
                                  <a:pt x="308" y="226"/>
                                </a:lnTo>
                                <a:lnTo>
                                  <a:pt x="308" y="226"/>
                                </a:lnTo>
                                <a:lnTo>
                                  <a:pt x="308" y="225"/>
                                </a:lnTo>
                                <a:lnTo>
                                  <a:pt x="308" y="226"/>
                                </a:lnTo>
                                <a:close/>
                                <a:moveTo>
                                  <a:pt x="309" y="225"/>
                                </a:moveTo>
                                <a:cubicBezTo>
                                  <a:pt x="309" y="225"/>
                                  <a:pt x="317" y="227"/>
                                  <a:pt x="320" y="228"/>
                                </a:cubicBezTo>
                                <a:lnTo>
                                  <a:pt x="320" y="229"/>
                                </a:lnTo>
                                <a:cubicBezTo>
                                  <a:pt x="317" y="228"/>
                                  <a:pt x="308" y="226"/>
                                  <a:pt x="308" y="226"/>
                                </a:cubicBezTo>
                                <a:lnTo>
                                  <a:pt x="309" y="225"/>
                                </a:lnTo>
                                <a:close/>
                                <a:moveTo>
                                  <a:pt x="320" y="229"/>
                                </a:moveTo>
                                <a:lnTo>
                                  <a:pt x="320" y="229"/>
                                </a:lnTo>
                                <a:lnTo>
                                  <a:pt x="320" y="229"/>
                                </a:lnTo>
                                <a:lnTo>
                                  <a:pt x="320" y="229"/>
                                </a:lnTo>
                                <a:close/>
                                <a:moveTo>
                                  <a:pt x="320" y="228"/>
                                </a:moveTo>
                                <a:cubicBezTo>
                                  <a:pt x="320" y="228"/>
                                  <a:pt x="330" y="229"/>
                                  <a:pt x="321" y="250"/>
                                </a:cubicBezTo>
                                <a:lnTo>
                                  <a:pt x="320" y="249"/>
                                </a:lnTo>
                                <a:cubicBezTo>
                                  <a:pt x="328" y="230"/>
                                  <a:pt x="320" y="229"/>
                                  <a:pt x="320" y="229"/>
                                </a:cubicBezTo>
                                <a:lnTo>
                                  <a:pt x="320" y="228"/>
                                </a:lnTo>
                                <a:close/>
                                <a:moveTo>
                                  <a:pt x="321" y="250"/>
                                </a:moveTo>
                                <a:lnTo>
                                  <a:pt x="321" y="250"/>
                                </a:lnTo>
                                <a:lnTo>
                                  <a:pt x="321" y="250"/>
                                </a:lnTo>
                                <a:lnTo>
                                  <a:pt x="321" y="249"/>
                                </a:lnTo>
                                <a:lnTo>
                                  <a:pt x="321" y="250"/>
                                </a:lnTo>
                                <a:close/>
                                <a:moveTo>
                                  <a:pt x="321" y="250"/>
                                </a:moveTo>
                                <a:cubicBezTo>
                                  <a:pt x="321" y="250"/>
                                  <a:pt x="314" y="257"/>
                                  <a:pt x="303" y="235"/>
                                </a:cubicBezTo>
                                <a:lnTo>
                                  <a:pt x="304" y="234"/>
                                </a:lnTo>
                                <a:cubicBezTo>
                                  <a:pt x="314" y="255"/>
                                  <a:pt x="320" y="249"/>
                                  <a:pt x="320" y="249"/>
                                </a:cubicBezTo>
                                <a:lnTo>
                                  <a:pt x="321" y="250"/>
                                </a:lnTo>
                                <a:close/>
                                <a:moveTo>
                                  <a:pt x="304" y="234"/>
                                </a:moveTo>
                                <a:lnTo>
                                  <a:pt x="304" y="234"/>
                                </a:lnTo>
                                <a:lnTo>
                                  <a:pt x="304" y="234"/>
                                </a:lnTo>
                                <a:lnTo>
                                  <a:pt x="304" y="234"/>
                                </a:lnTo>
                                <a:close/>
                                <a:moveTo>
                                  <a:pt x="303" y="235"/>
                                </a:moveTo>
                                <a:cubicBezTo>
                                  <a:pt x="303" y="235"/>
                                  <a:pt x="296" y="224"/>
                                  <a:pt x="287" y="218"/>
                                </a:cubicBezTo>
                                <a:lnTo>
                                  <a:pt x="288" y="217"/>
                                </a:lnTo>
                                <a:cubicBezTo>
                                  <a:pt x="297" y="224"/>
                                  <a:pt x="304" y="234"/>
                                  <a:pt x="304" y="234"/>
                                </a:cubicBezTo>
                                <a:lnTo>
                                  <a:pt x="303" y="235"/>
                                </a:lnTo>
                                <a:close/>
                                <a:moveTo>
                                  <a:pt x="288" y="217"/>
                                </a:moveTo>
                                <a:lnTo>
                                  <a:pt x="288" y="217"/>
                                </a:lnTo>
                                <a:lnTo>
                                  <a:pt x="287" y="217"/>
                                </a:lnTo>
                                <a:lnTo>
                                  <a:pt x="288" y="217"/>
                                </a:lnTo>
                                <a:close/>
                                <a:moveTo>
                                  <a:pt x="287" y="218"/>
                                </a:moveTo>
                                <a:cubicBezTo>
                                  <a:pt x="287" y="218"/>
                                  <a:pt x="275" y="211"/>
                                  <a:pt x="268" y="200"/>
                                </a:cubicBezTo>
                                <a:lnTo>
                                  <a:pt x="269" y="199"/>
                                </a:lnTo>
                                <a:cubicBezTo>
                                  <a:pt x="276" y="210"/>
                                  <a:pt x="288" y="217"/>
                                  <a:pt x="288" y="217"/>
                                </a:cubicBezTo>
                                <a:lnTo>
                                  <a:pt x="287" y="218"/>
                                </a:lnTo>
                                <a:close/>
                                <a:moveTo>
                                  <a:pt x="269" y="199"/>
                                </a:moveTo>
                                <a:lnTo>
                                  <a:pt x="269" y="199"/>
                                </a:lnTo>
                                <a:lnTo>
                                  <a:pt x="269" y="199"/>
                                </a:lnTo>
                                <a:lnTo>
                                  <a:pt x="269" y="199"/>
                                </a:lnTo>
                                <a:close/>
                                <a:moveTo>
                                  <a:pt x="269" y="200"/>
                                </a:moveTo>
                                <a:cubicBezTo>
                                  <a:pt x="269" y="200"/>
                                  <a:pt x="244" y="203"/>
                                  <a:pt x="231" y="195"/>
                                </a:cubicBezTo>
                                <a:lnTo>
                                  <a:pt x="232" y="194"/>
                                </a:lnTo>
                                <a:cubicBezTo>
                                  <a:pt x="245" y="202"/>
                                  <a:pt x="268" y="199"/>
                                  <a:pt x="269" y="199"/>
                                </a:cubicBezTo>
                                <a:lnTo>
                                  <a:pt x="269" y="200"/>
                                </a:lnTo>
                                <a:close/>
                                <a:moveTo>
                                  <a:pt x="231" y="194"/>
                                </a:moveTo>
                                <a:lnTo>
                                  <a:pt x="232" y="194"/>
                                </a:lnTo>
                                <a:lnTo>
                                  <a:pt x="232" y="194"/>
                                </a:lnTo>
                                <a:lnTo>
                                  <a:pt x="231" y="194"/>
                                </a:lnTo>
                                <a:close/>
                                <a:moveTo>
                                  <a:pt x="232" y="195"/>
                                </a:moveTo>
                                <a:cubicBezTo>
                                  <a:pt x="231" y="195"/>
                                  <a:pt x="206" y="198"/>
                                  <a:pt x="202" y="184"/>
                                </a:cubicBezTo>
                                <a:lnTo>
                                  <a:pt x="204" y="183"/>
                                </a:lnTo>
                                <a:cubicBezTo>
                                  <a:pt x="207" y="196"/>
                                  <a:pt x="231" y="194"/>
                                  <a:pt x="231" y="194"/>
                                </a:cubicBezTo>
                                <a:lnTo>
                                  <a:pt x="232" y="195"/>
                                </a:lnTo>
                                <a:close/>
                                <a:moveTo>
                                  <a:pt x="203" y="183"/>
                                </a:moveTo>
                                <a:lnTo>
                                  <a:pt x="203" y="183"/>
                                </a:lnTo>
                                <a:lnTo>
                                  <a:pt x="204" y="183"/>
                                </a:lnTo>
                                <a:lnTo>
                                  <a:pt x="203" y="183"/>
                                </a:lnTo>
                                <a:close/>
                                <a:moveTo>
                                  <a:pt x="203" y="184"/>
                                </a:moveTo>
                                <a:cubicBezTo>
                                  <a:pt x="203" y="184"/>
                                  <a:pt x="198" y="182"/>
                                  <a:pt x="162" y="192"/>
                                </a:cubicBezTo>
                                <a:lnTo>
                                  <a:pt x="162" y="191"/>
                                </a:lnTo>
                                <a:cubicBezTo>
                                  <a:pt x="198" y="180"/>
                                  <a:pt x="203" y="183"/>
                                  <a:pt x="203" y="183"/>
                                </a:cubicBezTo>
                                <a:lnTo>
                                  <a:pt x="203" y="184"/>
                                </a:lnTo>
                                <a:close/>
                                <a:moveTo>
                                  <a:pt x="162" y="192"/>
                                </a:moveTo>
                                <a:lnTo>
                                  <a:pt x="162" y="192"/>
                                </a:lnTo>
                                <a:lnTo>
                                  <a:pt x="162" y="192"/>
                                </a:lnTo>
                                <a:lnTo>
                                  <a:pt x="162" y="192"/>
                                </a:lnTo>
                                <a:close/>
                                <a:moveTo>
                                  <a:pt x="162" y="192"/>
                                </a:moveTo>
                                <a:cubicBezTo>
                                  <a:pt x="130" y="198"/>
                                  <a:pt x="126" y="192"/>
                                  <a:pt x="126" y="192"/>
                                </a:cubicBezTo>
                                <a:lnTo>
                                  <a:pt x="127" y="191"/>
                                </a:lnTo>
                                <a:cubicBezTo>
                                  <a:pt x="127" y="191"/>
                                  <a:pt x="131" y="197"/>
                                  <a:pt x="162" y="191"/>
                                </a:cubicBezTo>
                                <a:lnTo>
                                  <a:pt x="162" y="192"/>
                                </a:lnTo>
                                <a:close/>
                                <a:moveTo>
                                  <a:pt x="126" y="191"/>
                                </a:moveTo>
                                <a:lnTo>
                                  <a:pt x="126" y="191"/>
                                </a:lnTo>
                                <a:lnTo>
                                  <a:pt x="127" y="191"/>
                                </a:lnTo>
                                <a:lnTo>
                                  <a:pt x="126" y="192"/>
                                </a:lnTo>
                                <a:lnTo>
                                  <a:pt x="126" y="191"/>
                                </a:lnTo>
                                <a:close/>
                                <a:moveTo>
                                  <a:pt x="126" y="192"/>
                                </a:moveTo>
                                <a:cubicBezTo>
                                  <a:pt x="117" y="195"/>
                                  <a:pt x="102" y="190"/>
                                  <a:pt x="102" y="190"/>
                                </a:cubicBezTo>
                                <a:lnTo>
                                  <a:pt x="102" y="189"/>
                                </a:lnTo>
                                <a:cubicBezTo>
                                  <a:pt x="102" y="189"/>
                                  <a:pt x="117" y="194"/>
                                  <a:pt x="126" y="191"/>
                                </a:cubicBezTo>
                                <a:lnTo>
                                  <a:pt x="126" y="192"/>
                                </a:lnTo>
                                <a:close/>
                                <a:moveTo>
                                  <a:pt x="102" y="189"/>
                                </a:moveTo>
                                <a:lnTo>
                                  <a:pt x="102" y="189"/>
                                </a:lnTo>
                                <a:lnTo>
                                  <a:pt x="102" y="189"/>
                                </a:lnTo>
                                <a:lnTo>
                                  <a:pt x="102" y="190"/>
                                </a:lnTo>
                                <a:lnTo>
                                  <a:pt x="102" y="189"/>
                                </a:lnTo>
                                <a:close/>
                                <a:moveTo>
                                  <a:pt x="102" y="190"/>
                                </a:moveTo>
                                <a:cubicBezTo>
                                  <a:pt x="91" y="191"/>
                                  <a:pt x="87" y="191"/>
                                  <a:pt x="87" y="191"/>
                                </a:cubicBezTo>
                                <a:lnTo>
                                  <a:pt x="87" y="190"/>
                                </a:lnTo>
                                <a:cubicBezTo>
                                  <a:pt x="87" y="190"/>
                                  <a:pt x="91" y="190"/>
                                  <a:pt x="102" y="189"/>
                                </a:cubicBezTo>
                                <a:lnTo>
                                  <a:pt x="102" y="190"/>
                                </a:lnTo>
                                <a:close/>
                                <a:moveTo>
                                  <a:pt x="86" y="190"/>
                                </a:moveTo>
                                <a:lnTo>
                                  <a:pt x="86" y="190"/>
                                </a:lnTo>
                                <a:lnTo>
                                  <a:pt x="87" y="190"/>
                                </a:lnTo>
                                <a:lnTo>
                                  <a:pt x="87" y="190"/>
                                </a:lnTo>
                                <a:lnTo>
                                  <a:pt x="86" y="190"/>
                                </a:lnTo>
                                <a:close/>
                                <a:moveTo>
                                  <a:pt x="87" y="191"/>
                                </a:moveTo>
                                <a:cubicBezTo>
                                  <a:pt x="87" y="191"/>
                                  <a:pt x="87" y="193"/>
                                  <a:pt x="83" y="194"/>
                                </a:cubicBezTo>
                                <a:lnTo>
                                  <a:pt x="83" y="193"/>
                                </a:lnTo>
                                <a:cubicBezTo>
                                  <a:pt x="86" y="192"/>
                                  <a:pt x="86" y="190"/>
                                  <a:pt x="86" y="190"/>
                                </a:cubicBezTo>
                                <a:lnTo>
                                  <a:pt x="87" y="191"/>
                                </a:lnTo>
                                <a:close/>
                                <a:moveTo>
                                  <a:pt x="83" y="193"/>
                                </a:moveTo>
                                <a:lnTo>
                                  <a:pt x="83" y="193"/>
                                </a:lnTo>
                                <a:lnTo>
                                  <a:pt x="83" y="193"/>
                                </a:lnTo>
                                <a:close/>
                                <a:moveTo>
                                  <a:pt x="83" y="194"/>
                                </a:moveTo>
                                <a:cubicBezTo>
                                  <a:pt x="83" y="194"/>
                                  <a:pt x="75" y="196"/>
                                  <a:pt x="68" y="206"/>
                                </a:cubicBezTo>
                                <a:lnTo>
                                  <a:pt x="67" y="206"/>
                                </a:lnTo>
                                <a:cubicBezTo>
                                  <a:pt x="74" y="194"/>
                                  <a:pt x="83" y="193"/>
                                  <a:pt x="83" y="193"/>
                                </a:cubicBezTo>
                                <a:lnTo>
                                  <a:pt x="83" y="194"/>
                                </a:lnTo>
                                <a:close/>
                                <a:moveTo>
                                  <a:pt x="67" y="206"/>
                                </a:moveTo>
                                <a:lnTo>
                                  <a:pt x="67" y="206"/>
                                </a:lnTo>
                                <a:lnTo>
                                  <a:pt x="67" y="206"/>
                                </a:lnTo>
                                <a:lnTo>
                                  <a:pt x="68" y="206"/>
                                </a:lnTo>
                                <a:lnTo>
                                  <a:pt x="67" y="206"/>
                                </a:lnTo>
                                <a:close/>
                                <a:moveTo>
                                  <a:pt x="68" y="206"/>
                                </a:moveTo>
                                <a:cubicBezTo>
                                  <a:pt x="68" y="206"/>
                                  <a:pt x="62" y="225"/>
                                  <a:pt x="59" y="226"/>
                                </a:cubicBezTo>
                                <a:lnTo>
                                  <a:pt x="59" y="225"/>
                                </a:lnTo>
                                <a:cubicBezTo>
                                  <a:pt x="61" y="224"/>
                                  <a:pt x="67" y="206"/>
                                  <a:pt x="67" y="206"/>
                                </a:cubicBezTo>
                                <a:lnTo>
                                  <a:pt x="68" y="206"/>
                                </a:lnTo>
                                <a:close/>
                                <a:moveTo>
                                  <a:pt x="58" y="225"/>
                                </a:moveTo>
                                <a:lnTo>
                                  <a:pt x="58" y="225"/>
                                </a:lnTo>
                                <a:lnTo>
                                  <a:pt x="59" y="225"/>
                                </a:lnTo>
                                <a:lnTo>
                                  <a:pt x="59" y="225"/>
                                </a:lnTo>
                                <a:lnTo>
                                  <a:pt x="58" y="225"/>
                                </a:lnTo>
                                <a:close/>
                                <a:moveTo>
                                  <a:pt x="59" y="225"/>
                                </a:moveTo>
                                <a:cubicBezTo>
                                  <a:pt x="59" y="225"/>
                                  <a:pt x="59" y="229"/>
                                  <a:pt x="50" y="228"/>
                                </a:cubicBezTo>
                                <a:lnTo>
                                  <a:pt x="50" y="226"/>
                                </a:lnTo>
                                <a:cubicBezTo>
                                  <a:pt x="58" y="228"/>
                                  <a:pt x="58" y="225"/>
                                  <a:pt x="58" y="225"/>
                                </a:cubicBezTo>
                                <a:lnTo>
                                  <a:pt x="59" y="225"/>
                                </a:lnTo>
                                <a:close/>
                                <a:moveTo>
                                  <a:pt x="49" y="227"/>
                                </a:moveTo>
                                <a:lnTo>
                                  <a:pt x="49" y="226"/>
                                </a:lnTo>
                                <a:lnTo>
                                  <a:pt x="50" y="226"/>
                                </a:lnTo>
                                <a:lnTo>
                                  <a:pt x="50" y="227"/>
                                </a:lnTo>
                                <a:lnTo>
                                  <a:pt x="49" y="227"/>
                                </a:lnTo>
                                <a:close/>
                                <a:moveTo>
                                  <a:pt x="50" y="227"/>
                                </a:moveTo>
                                <a:cubicBezTo>
                                  <a:pt x="50" y="227"/>
                                  <a:pt x="50" y="229"/>
                                  <a:pt x="49" y="230"/>
                                </a:cubicBezTo>
                                <a:lnTo>
                                  <a:pt x="48" y="229"/>
                                </a:lnTo>
                                <a:cubicBezTo>
                                  <a:pt x="49" y="228"/>
                                  <a:pt x="49" y="227"/>
                                  <a:pt x="49" y="227"/>
                                </a:cubicBezTo>
                                <a:lnTo>
                                  <a:pt x="50" y="227"/>
                                </a:lnTo>
                                <a:close/>
                                <a:moveTo>
                                  <a:pt x="48" y="229"/>
                                </a:moveTo>
                                <a:lnTo>
                                  <a:pt x="48" y="229"/>
                                </a:lnTo>
                                <a:lnTo>
                                  <a:pt x="48" y="229"/>
                                </a:lnTo>
                                <a:lnTo>
                                  <a:pt x="48" y="229"/>
                                </a:lnTo>
                                <a:close/>
                                <a:moveTo>
                                  <a:pt x="49" y="229"/>
                                </a:moveTo>
                                <a:cubicBezTo>
                                  <a:pt x="49" y="229"/>
                                  <a:pt x="49" y="240"/>
                                  <a:pt x="49" y="243"/>
                                </a:cubicBezTo>
                                <a:lnTo>
                                  <a:pt x="48" y="243"/>
                                </a:lnTo>
                                <a:cubicBezTo>
                                  <a:pt x="48" y="240"/>
                                  <a:pt x="48" y="229"/>
                                  <a:pt x="48" y="229"/>
                                </a:cubicBezTo>
                                <a:lnTo>
                                  <a:pt x="49" y="229"/>
                                </a:lnTo>
                                <a:close/>
                                <a:moveTo>
                                  <a:pt x="48" y="243"/>
                                </a:moveTo>
                                <a:lnTo>
                                  <a:pt x="48" y="243"/>
                                </a:lnTo>
                                <a:lnTo>
                                  <a:pt x="48" y="243"/>
                                </a:lnTo>
                                <a:lnTo>
                                  <a:pt x="49" y="243"/>
                                </a:lnTo>
                                <a:lnTo>
                                  <a:pt x="48" y="243"/>
                                </a:lnTo>
                                <a:close/>
                                <a:moveTo>
                                  <a:pt x="49" y="243"/>
                                </a:moveTo>
                                <a:cubicBezTo>
                                  <a:pt x="49" y="243"/>
                                  <a:pt x="49" y="247"/>
                                  <a:pt x="45" y="245"/>
                                </a:cubicBezTo>
                                <a:lnTo>
                                  <a:pt x="45" y="244"/>
                                </a:lnTo>
                                <a:cubicBezTo>
                                  <a:pt x="48" y="245"/>
                                  <a:pt x="48" y="243"/>
                                  <a:pt x="48" y="243"/>
                                </a:cubicBezTo>
                                <a:lnTo>
                                  <a:pt x="49" y="243"/>
                                </a:lnTo>
                                <a:close/>
                                <a:moveTo>
                                  <a:pt x="44" y="245"/>
                                </a:moveTo>
                                <a:lnTo>
                                  <a:pt x="45" y="244"/>
                                </a:lnTo>
                                <a:lnTo>
                                  <a:pt x="45" y="244"/>
                                </a:lnTo>
                                <a:lnTo>
                                  <a:pt x="45" y="245"/>
                                </a:lnTo>
                                <a:lnTo>
                                  <a:pt x="44" y="245"/>
                                </a:lnTo>
                                <a:close/>
                                <a:moveTo>
                                  <a:pt x="45" y="245"/>
                                </a:moveTo>
                                <a:cubicBezTo>
                                  <a:pt x="44" y="247"/>
                                  <a:pt x="43" y="247"/>
                                  <a:pt x="43" y="247"/>
                                </a:cubicBezTo>
                                <a:lnTo>
                                  <a:pt x="42" y="246"/>
                                </a:lnTo>
                                <a:cubicBezTo>
                                  <a:pt x="42" y="246"/>
                                  <a:pt x="43" y="246"/>
                                  <a:pt x="44" y="245"/>
                                </a:cubicBezTo>
                                <a:lnTo>
                                  <a:pt x="45" y="245"/>
                                </a:lnTo>
                                <a:close/>
                                <a:moveTo>
                                  <a:pt x="43" y="247"/>
                                </a:moveTo>
                                <a:lnTo>
                                  <a:pt x="43" y="247"/>
                                </a:lnTo>
                                <a:lnTo>
                                  <a:pt x="43" y="247"/>
                                </a:lnTo>
                                <a:lnTo>
                                  <a:pt x="43" y="247"/>
                                </a:lnTo>
                                <a:close/>
                                <a:moveTo>
                                  <a:pt x="43" y="247"/>
                                </a:moveTo>
                                <a:cubicBezTo>
                                  <a:pt x="43" y="247"/>
                                  <a:pt x="33" y="249"/>
                                  <a:pt x="29" y="248"/>
                                </a:cubicBezTo>
                                <a:lnTo>
                                  <a:pt x="29" y="247"/>
                                </a:lnTo>
                                <a:cubicBezTo>
                                  <a:pt x="33" y="247"/>
                                  <a:pt x="43" y="246"/>
                                  <a:pt x="43" y="246"/>
                                </a:cubicBezTo>
                                <a:lnTo>
                                  <a:pt x="43" y="247"/>
                                </a:lnTo>
                                <a:close/>
                                <a:moveTo>
                                  <a:pt x="29" y="248"/>
                                </a:moveTo>
                                <a:lnTo>
                                  <a:pt x="29" y="248"/>
                                </a:lnTo>
                                <a:lnTo>
                                  <a:pt x="28" y="248"/>
                                </a:lnTo>
                                <a:lnTo>
                                  <a:pt x="29" y="247"/>
                                </a:lnTo>
                                <a:lnTo>
                                  <a:pt x="29" y="248"/>
                                </a:lnTo>
                                <a:close/>
                                <a:moveTo>
                                  <a:pt x="28" y="248"/>
                                </a:moveTo>
                                <a:cubicBezTo>
                                  <a:pt x="28" y="248"/>
                                  <a:pt x="24" y="244"/>
                                  <a:pt x="28" y="238"/>
                                </a:cubicBezTo>
                                <a:lnTo>
                                  <a:pt x="29" y="239"/>
                                </a:lnTo>
                                <a:cubicBezTo>
                                  <a:pt x="26" y="244"/>
                                  <a:pt x="29" y="247"/>
                                  <a:pt x="29" y="247"/>
                                </a:cubicBezTo>
                                <a:lnTo>
                                  <a:pt x="28" y="248"/>
                                </a:lnTo>
                                <a:close/>
                                <a:moveTo>
                                  <a:pt x="29" y="238"/>
                                </a:moveTo>
                                <a:lnTo>
                                  <a:pt x="29" y="239"/>
                                </a:lnTo>
                                <a:lnTo>
                                  <a:pt x="29" y="239"/>
                                </a:lnTo>
                                <a:lnTo>
                                  <a:pt x="29" y="238"/>
                                </a:lnTo>
                                <a:close/>
                                <a:moveTo>
                                  <a:pt x="28" y="238"/>
                                </a:moveTo>
                                <a:cubicBezTo>
                                  <a:pt x="28" y="238"/>
                                  <a:pt x="29" y="231"/>
                                  <a:pt x="38" y="225"/>
                                </a:cubicBezTo>
                                <a:lnTo>
                                  <a:pt x="39" y="226"/>
                                </a:lnTo>
                                <a:cubicBezTo>
                                  <a:pt x="30" y="232"/>
                                  <a:pt x="29" y="238"/>
                                  <a:pt x="29" y="238"/>
                                </a:cubicBezTo>
                                <a:lnTo>
                                  <a:pt x="28" y="238"/>
                                </a:lnTo>
                                <a:close/>
                                <a:moveTo>
                                  <a:pt x="39" y="226"/>
                                </a:moveTo>
                                <a:lnTo>
                                  <a:pt x="39" y="226"/>
                                </a:lnTo>
                                <a:lnTo>
                                  <a:pt x="39" y="226"/>
                                </a:lnTo>
                                <a:lnTo>
                                  <a:pt x="39" y="226"/>
                                </a:lnTo>
                                <a:close/>
                                <a:moveTo>
                                  <a:pt x="38" y="226"/>
                                </a:moveTo>
                                <a:cubicBezTo>
                                  <a:pt x="38" y="226"/>
                                  <a:pt x="48" y="209"/>
                                  <a:pt x="54" y="205"/>
                                </a:cubicBezTo>
                                <a:lnTo>
                                  <a:pt x="54" y="206"/>
                                </a:lnTo>
                                <a:cubicBezTo>
                                  <a:pt x="49" y="210"/>
                                  <a:pt x="39" y="226"/>
                                  <a:pt x="39" y="226"/>
                                </a:cubicBezTo>
                                <a:lnTo>
                                  <a:pt x="38" y="226"/>
                                </a:lnTo>
                                <a:close/>
                                <a:moveTo>
                                  <a:pt x="55" y="206"/>
                                </a:moveTo>
                                <a:lnTo>
                                  <a:pt x="55" y="206"/>
                                </a:lnTo>
                                <a:lnTo>
                                  <a:pt x="54" y="206"/>
                                </a:lnTo>
                                <a:lnTo>
                                  <a:pt x="54" y="205"/>
                                </a:lnTo>
                                <a:lnTo>
                                  <a:pt x="55" y="206"/>
                                </a:lnTo>
                                <a:close/>
                                <a:moveTo>
                                  <a:pt x="53" y="205"/>
                                </a:moveTo>
                                <a:cubicBezTo>
                                  <a:pt x="54" y="205"/>
                                  <a:pt x="63" y="186"/>
                                  <a:pt x="69" y="183"/>
                                </a:cubicBezTo>
                                <a:lnTo>
                                  <a:pt x="70" y="184"/>
                                </a:lnTo>
                                <a:cubicBezTo>
                                  <a:pt x="64" y="187"/>
                                  <a:pt x="55" y="206"/>
                                  <a:pt x="55" y="206"/>
                                </a:cubicBezTo>
                                <a:lnTo>
                                  <a:pt x="53" y="205"/>
                                </a:lnTo>
                                <a:close/>
                                <a:moveTo>
                                  <a:pt x="69" y="183"/>
                                </a:moveTo>
                                <a:lnTo>
                                  <a:pt x="73" y="182"/>
                                </a:lnTo>
                                <a:lnTo>
                                  <a:pt x="70" y="184"/>
                                </a:lnTo>
                                <a:lnTo>
                                  <a:pt x="69" y="183"/>
                                </a:lnTo>
                                <a:close/>
                                <a:moveTo>
                                  <a:pt x="70" y="184"/>
                                </a:moveTo>
                                <a:cubicBezTo>
                                  <a:pt x="70" y="184"/>
                                  <a:pt x="67" y="185"/>
                                  <a:pt x="64" y="183"/>
                                </a:cubicBezTo>
                                <a:lnTo>
                                  <a:pt x="65" y="182"/>
                                </a:lnTo>
                                <a:cubicBezTo>
                                  <a:pt x="67" y="183"/>
                                  <a:pt x="69" y="183"/>
                                  <a:pt x="69" y="183"/>
                                </a:cubicBezTo>
                                <a:lnTo>
                                  <a:pt x="70" y="184"/>
                                </a:lnTo>
                                <a:close/>
                                <a:moveTo>
                                  <a:pt x="64" y="183"/>
                                </a:moveTo>
                                <a:lnTo>
                                  <a:pt x="64" y="183"/>
                                </a:lnTo>
                                <a:lnTo>
                                  <a:pt x="64" y="182"/>
                                </a:lnTo>
                                <a:lnTo>
                                  <a:pt x="65" y="182"/>
                                </a:lnTo>
                                <a:lnTo>
                                  <a:pt x="64" y="183"/>
                                </a:lnTo>
                                <a:close/>
                                <a:moveTo>
                                  <a:pt x="64" y="182"/>
                                </a:moveTo>
                                <a:cubicBezTo>
                                  <a:pt x="63" y="180"/>
                                  <a:pt x="58" y="186"/>
                                  <a:pt x="58" y="186"/>
                                </a:cubicBezTo>
                                <a:lnTo>
                                  <a:pt x="57" y="186"/>
                                </a:lnTo>
                                <a:cubicBezTo>
                                  <a:pt x="57" y="186"/>
                                  <a:pt x="63" y="178"/>
                                  <a:pt x="65" y="182"/>
                                </a:cubicBezTo>
                                <a:lnTo>
                                  <a:pt x="64" y="182"/>
                                </a:lnTo>
                                <a:close/>
                                <a:moveTo>
                                  <a:pt x="58" y="186"/>
                                </a:moveTo>
                                <a:lnTo>
                                  <a:pt x="58" y="186"/>
                                </a:lnTo>
                                <a:lnTo>
                                  <a:pt x="57" y="186"/>
                                </a:lnTo>
                                <a:lnTo>
                                  <a:pt x="58" y="186"/>
                                </a:lnTo>
                                <a:close/>
                                <a:moveTo>
                                  <a:pt x="58" y="186"/>
                                </a:moveTo>
                                <a:cubicBezTo>
                                  <a:pt x="58" y="186"/>
                                  <a:pt x="49" y="195"/>
                                  <a:pt x="43" y="202"/>
                                </a:cubicBezTo>
                                <a:lnTo>
                                  <a:pt x="42" y="201"/>
                                </a:lnTo>
                                <a:cubicBezTo>
                                  <a:pt x="48" y="194"/>
                                  <a:pt x="57" y="186"/>
                                  <a:pt x="57" y="186"/>
                                </a:cubicBezTo>
                                <a:lnTo>
                                  <a:pt x="58" y="186"/>
                                </a:lnTo>
                                <a:close/>
                                <a:moveTo>
                                  <a:pt x="42" y="202"/>
                                </a:moveTo>
                                <a:lnTo>
                                  <a:pt x="42" y="201"/>
                                </a:lnTo>
                                <a:lnTo>
                                  <a:pt x="42" y="201"/>
                                </a:lnTo>
                                <a:lnTo>
                                  <a:pt x="43" y="202"/>
                                </a:lnTo>
                                <a:lnTo>
                                  <a:pt x="42" y="202"/>
                                </a:lnTo>
                                <a:close/>
                                <a:moveTo>
                                  <a:pt x="44" y="202"/>
                                </a:moveTo>
                                <a:cubicBezTo>
                                  <a:pt x="44" y="202"/>
                                  <a:pt x="40" y="212"/>
                                  <a:pt x="37" y="217"/>
                                </a:cubicBezTo>
                                <a:lnTo>
                                  <a:pt x="36" y="216"/>
                                </a:lnTo>
                                <a:cubicBezTo>
                                  <a:pt x="39" y="212"/>
                                  <a:pt x="42" y="202"/>
                                  <a:pt x="42" y="202"/>
                                </a:cubicBezTo>
                                <a:lnTo>
                                  <a:pt x="44" y="202"/>
                                </a:lnTo>
                                <a:close/>
                                <a:moveTo>
                                  <a:pt x="36" y="216"/>
                                </a:moveTo>
                                <a:lnTo>
                                  <a:pt x="36" y="216"/>
                                </a:lnTo>
                                <a:lnTo>
                                  <a:pt x="36" y="216"/>
                                </a:lnTo>
                                <a:lnTo>
                                  <a:pt x="37" y="216"/>
                                </a:lnTo>
                                <a:lnTo>
                                  <a:pt x="36" y="216"/>
                                </a:lnTo>
                                <a:close/>
                                <a:moveTo>
                                  <a:pt x="37" y="217"/>
                                </a:moveTo>
                                <a:cubicBezTo>
                                  <a:pt x="37" y="217"/>
                                  <a:pt x="35" y="223"/>
                                  <a:pt x="29" y="218"/>
                                </a:cubicBezTo>
                                <a:lnTo>
                                  <a:pt x="30" y="217"/>
                                </a:lnTo>
                                <a:cubicBezTo>
                                  <a:pt x="34" y="221"/>
                                  <a:pt x="36" y="216"/>
                                  <a:pt x="36" y="216"/>
                                </a:cubicBezTo>
                                <a:lnTo>
                                  <a:pt x="37" y="217"/>
                                </a:lnTo>
                                <a:close/>
                                <a:moveTo>
                                  <a:pt x="30" y="217"/>
                                </a:moveTo>
                                <a:lnTo>
                                  <a:pt x="30" y="217"/>
                                </a:lnTo>
                                <a:lnTo>
                                  <a:pt x="30" y="217"/>
                                </a:lnTo>
                                <a:lnTo>
                                  <a:pt x="30" y="217"/>
                                </a:lnTo>
                                <a:close/>
                                <a:moveTo>
                                  <a:pt x="30" y="218"/>
                                </a:moveTo>
                                <a:lnTo>
                                  <a:pt x="25" y="218"/>
                                </a:lnTo>
                                <a:lnTo>
                                  <a:pt x="25" y="217"/>
                                </a:lnTo>
                                <a:lnTo>
                                  <a:pt x="30" y="217"/>
                                </a:lnTo>
                                <a:lnTo>
                                  <a:pt x="30" y="218"/>
                                </a:lnTo>
                                <a:close/>
                                <a:moveTo>
                                  <a:pt x="24" y="218"/>
                                </a:moveTo>
                                <a:lnTo>
                                  <a:pt x="24" y="217"/>
                                </a:lnTo>
                                <a:lnTo>
                                  <a:pt x="25" y="217"/>
                                </a:lnTo>
                                <a:lnTo>
                                  <a:pt x="25" y="218"/>
                                </a:lnTo>
                                <a:lnTo>
                                  <a:pt x="24" y="218"/>
                                </a:lnTo>
                                <a:close/>
                                <a:moveTo>
                                  <a:pt x="25" y="217"/>
                                </a:moveTo>
                                <a:cubicBezTo>
                                  <a:pt x="27" y="222"/>
                                  <a:pt x="23" y="223"/>
                                  <a:pt x="23" y="223"/>
                                </a:cubicBezTo>
                                <a:lnTo>
                                  <a:pt x="23" y="222"/>
                                </a:lnTo>
                                <a:cubicBezTo>
                                  <a:pt x="23" y="222"/>
                                  <a:pt x="25" y="221"/>
                                  <a:pt x="24" y="218"/>
                                </a:cubicBezTo>
                                <a:lnTo>
                                  <a:pt x="25" y="217"/>
                                </a:lnTo>
                                <a:close/>
                                <a:moveTo>
                                  <a:pt x="22" y="222"/>
                                </a:moveTo>
                                <a:lnTo>
                                  <a:pt x="22" y="222"/>
                                </a:lnTo>
                                <a:lnTo>
                                  <a:pt x="23" y="222"/>
                                </a:lnTo>
                                <a:lnTo>
                                  <a:pt x="23" y="222"/>
                                </a:lnTo>
                                <a:lnTo>
                                  <a:pt x="22" y="222"/>
                                </a:lnTo>
                                <a:close/>
                                <a:moveTo>
                                  <a:pt x="23" y="222"/>
                                </a:moveTo>
                                <a:cubicBezTo>
                                  <a:pt x="23" y="222"/>
                                  <a:pt x="24" y="235"/>
                                  <a:pt x="21" y="236"/>
                                </a:cubicBezTo>
                                <a:lnTo>
                                  <a:pt x="20" y="234"/>
                                </a:lnTo>
                                <a:cubicBezTo>
                                  <a:pt x="23" y="234"/>
                                  <a:pt x="22" y="222"/>
                                  <a:pt x="22" y="222"/>
                                </a:cubicBezTo>
                                <a:lnTo>
                                  <a:pt x="23" y="222"/>
                                </a:lnTo>
                                <a:close/>
                                <a:moveTo>
                                  <a:pt x="20" y="234"/>
                                </a:moveTo>
                                <a:lnTo>
                                  <a:pt x="20" y="234"/>
                                </a:lnTo>
                                <a:lnTo>
                                  <a:pt x="20" y="234"/>
                                </a:lnTo>
                                <a:lnTo>
                                  <a:pt x="21" y="235"/>
                                </a:lnTo>
                                <a:lnTo>
                                  <a:pt x="20" y="234"/>
                                </a:lnTo>
                                <a:close/>
                                <a:moveTo>
                                  <a:pt x="21" y="236"/>
                                </a:moveTo>
                                <a:cubicBezTo>
                                  <a:pt x="21" y="236"/>
                                  <a:pt x="12" y="238"/>
                                  <a:pt x="5" y="235"/>
                                </a:cubicBezTo>
                                <a:lnTo>
                                  <a:pt x="5" y="234"/>
                                </a:lnTo>
                                <a:cubicBezTo>
                                  <a:pt x="13" y="237"/>
                                  <a:pt x="20" y="234"/>
                                  <a:pt x="20" y="234"/>
                                </a:cubicBezTo>
                                <a:lnTo>
                                  <a:pt x="21" y="236"/>
                                </a:lnTo>
                                <a:close/>
                                <a:moveTo>
                                  <a:pt x="5" y="234"/>
                                </a:moveTo>
                                <a:lnTo>
                                  <a:pt x="5" y="234"/>
                                </a:lnTo>
                                <a:lnTo>
                                  <a:pt x="5" y="234"/>
                                </a:lnTo>
                                <a:close/>
                                <a:moveTo>
                                  <a:pt x="5" y="235"/>
                                </a:moveTo>
                                <a:cubicBezTo>
                                  <a:pt x="5" y="235"/>
                                  <a:pt x="0" y="233"/>
                                  <a:pt x="2" y="227"/>
                                </a:cubicBezTo>
                                <a:lnTo>
                                  <a:pt x="3" y="228"/>
                                </a:lnTo>
                                <a:cubicBezTo>
                                  <a:pt x="2" y="233"/>
                                  <a:pt x="5" y="234"/>
                                  <a:pt x="5" y="234"/>
                                </a:cubicBezTo>
                                <a:lnTo>
                                  <a:pt x="5" y="235"/>
                                </a:lnTo>
                                <a:close/>
                                <a:moveTo>
                                  <a:pt x="2" y="227"/>
                                </a:moveTo>
                                <a:lnTo>
                                  <a:pt x="2" y="227"/>
                                </a:lnTo>
                                <a:lnTo>
                                  <a:pt x="2" y="227"/>
                                </a:lnTo>
                                <a:lnTo>
                                  <a:pt x="2" y="227"/>
                                </a:lnTo>
                                <a:close/>
                                <a:moveTo>
                                  <a:pt x="2" y="227"/>
                                </a:moveTo>
                                <a:cubicBezTo>
                                  <a:pt x="2" y="227"/>
                                  <a:pt x="10" y="218"/>
                                  <a:pt x="18" y="212"/>
                                </a:cubicBezTo>
                                <a:lnTo>
                                  <a:pt x="18" y="213"/>
                                </a:lnTo>
                                <a:cubicBezTo>
                                  <a:pt x="11" y="219"/>
                                  <a:pt x="3" y="228"/>
                                  <a:pt x="3" y="228"/>
                                </a:cubicBezTo>
                                <a:lnTo>
                                  <a:pt x="2" y="227"/>
                                </a:lnTo>
                                <a:close/>
                                <a:moveTo>
                                  <a:pt x="18" y="213"/>
                                </a:moveTo>
                                <a:lnTo>
                                  <a:pt x="18" y="213"/>
                                </a:lnTo>
                                <a:lnTo>
                                  <a:pt x="18" y="213"/>
                                </a:lnTo>
                                <a:lnTo>
                                  <a:pt x="18" y="213"/>
                                </a:lnTo>
                                <a:close/>
                                <a:moveTo>
                                  <a:pt x="17" y="213"/>
                                </a:moveTo>
                                <a:cubicBezTo>
                                  <a:pt x="22" y="203"/>
                                  <a:pt x="32" y="196"/>
                                  <a:pt x="32" y="196"/>
                                </a:cubicBezTo>
                                <a:lnTo>
                                  <a:pt x="33" y="197"/>
                                </a:lnTo>
                                <a:cubicBezTo>
                                  <a:pt x="33" y="197"/>
                                  <a:pt x="23" y="204"/>
                                  <a:pt x="18" y="213"/>
                                </a:cubicBezTo>
                                <a:lnTo>
                                  <a:pt x="17" y="213"/>
                                </a:lnTo>
                                <a:close/>
                                <a:moveTo>
                                  <a:pt x="33" y="197"/>
                                </a:moveTo>
                                <a:lnTo>
                                  <a:pt x="33" y="197"/>
                                </a:lnTo>
                                <a:lnTo>
                                  <a:pt x="33" y="197"/>
                                </a:lnTo>
                                <a:lnTo>
                                  <a:pt x="32" y="196"/>
                                </a:lnTo>
                                <a:lnTo>
                                  <a:pt x="33" y="197"/>
                                </a:lnTo>
                                <a:close/>
                                <a:moveTo>
                                  <a:pt x="32" y="196"/>
                                </a:moveTo>
                                <a:lnTo>
                                  <a:pt x="56" y="170"/>
                                </a:lnTo>
                                <a:lnTo>
                                  <a:pt x="57" y="171"/>
                                </a:lnTo>
                                <a:lnTo>
                                  <a:pt x="33" y="197"/>
                                </a:lnTo>
                                <a:lnTo>
                                  <a:pt x="32" y="196"/>
                                </a:lnTo>
                                <a:close/>
                                <a:moveTo>
                                  <a:pt x="57" y="171"/>
                                </a:moveTo>
                                <a:lnTo>
                                  <a:pt x="57" y="171"/>
                                </a:lnTo>
                                <a:lnTo>
                                  <a:pt x="57" y="171"/>
                                </a:lnTo>
                                <a:lnTo>
                                  <a:pt x="56" y="171"/>
                                </a:lnTo>
                                <a:lnTo>
                                  <a:pt x="57" y="171"/>
                                </a:lnTo>
                                <a:close/>
                                <a:moveTo>
                                  <a:pt x="56" y="171"/>
                                </a:moveTo>
                                <a:cubicBezTo>
                                  <a:pt x="56" y="171"/>
                                  <a:pt x="54" y="156"/>
                                  <a:pt x="67" y="163"/>
                                </a:cubicBezTo>
                                <a:lnTo>
                                  <a:pt x="67" y="164"/>
                                </a:lnTo>
                                <a:cubicBezTo>
                                  <a:pt x="56" y="158"/>
                                  <a:pt x="57" y="171"/>
                                  <a:pt x="57" y="171"/>
                                </a:cubicBezTo>
                                <a:lnTo>
                                  <a:pt x="56" y="171"/>
                                </a:lnTo>
                                <a:close/>
                                <a:moveTo>
                                  <a:pt x="67" y="164"/>
                                </a:moveTo>
                                <a:lnTo>
                                  <a:pt x="67" y="164"/>
                                </a:lnTo>
                                <a:lnTo>
                                  <a:pt x="67" y="164"/>
                                </a:lnTo>
                                <a:lnTo>
                                  <a:pt x="67" y="164"/>
                                </a:lnTo>
                                <a:close/>
                                <a:moveTo>
                                  <a:pt x="67" y="163"/>
                                </a:moveTo>
                                <a:cubicBezTo>
                                  <a:pt x="67" y="163"/>
                                  <a:pt x="78" y="160"/>
                                  <a:pt x="90" y="163"/>
                                </a:cubicBezTo>
                                <a:lnTo>
                                  <a:pt x="90" y="164"/>
                                </a:lnTo>
                                <a:cubicBezTo>
                                  <a:pt x="78" y="161"/>
                                  <a:pt x="67" y="164"/>
                                  <a:pt x="67" y="164"/>
                                </a:cubicBezTo>
                                <a:lnTo>
                                  <a:pt x="67" y="163"/>
                                </a:lnTo>
                                <a:close/>
                                <a:moveTo>
                                  <a:pt x="90" y="163"/>
                                </a:moveTo>
                                <a:lnTo>
                                  <a:pt x="91" y="164"/>
                                </a:lnTo>
                                <a:lnTo>
                                  <a:pt x="90" y="164"/>
                                </a:lnTo>
                                <a:lnTo>
                                  <a:pt x="90" y="163"/>
                                </a:lnTo>
                                <a:close/>
                                <a:moveTo>
                                  <a:pt x="89" y="164"/>
                                </a:moveTo>
                                <a:cubicBezTo>
                                  <a:pt x="89" y="164"/>
                                  <a:pt x="88" y="152"/>
                                  <a:pt x="94" y="140"/>
                                </a:cubicBezTo>
                                <a:lnTo>
                                  <a:pt x="95" y="141"/>
                                </a:lnTo>
                                <a:cubicBezTo>
                                  <a:pt x="89" y="152"/>
                                  <a:pt x="90" y="163"/>
                                  <a:pt x="90" y="163"/>
                                </a:cubicBezTo>
                                <a:lnTo>
                                  <a:pt x="89" y="164"/>
                                </a:lnTo>
                                <a:close/>
                                <a:moveTo>
                                  <a:pt x="95" y="140"/>
                                </a:moveTo>
                                <a:lnTo>
                                  <a:pt x="95" y="140"/>
                                </a:lnTo>
                                <a:lnTo>
                                  <a:pt x="95" y="141"/>
                                </a:lnTo>
                                <a:lnTo>
                                  <a:pt x="94" y="140"/>
                                </a:lnTo>
                                <a:lnTo>
                                  <a:pt x="95" y="140"/>
                                </a:lnTo>
                                <a:close/>
                                <a:moveTo>
                                  <a:pt x="93" y="140"/>
                                </a:moveTo>
                                <a:cubicBezTo>
                                  <a:pt x="98" y="115"/>
                                  <a:pt x="88" y="97"/>
                                  <a:pt x="88" y="97"/>
                                </a:cubicBezTo>
                                <a:lnTo>
                                  <a:pt x="89" y="96"/>
                                </a:lnTo>
                                <a:cubicBezTo>
                                  <a:pt x="89" y="96"/>
                                  <a:pt x="100" y="114"/>
                                  <a:pt x="95" y="140"/>
                                </a:cubicBezTo>
                                <a:lnTo>
                                  <a:pt x="93" y="140"/>
                                </a:lnTo>
                                <a:close/>
                                <a:moveTo>
                                  <a:pt x="88" y="96"/>
                                </a:moveTo>
                                <a:lnTo>
                                  <a:pt x="89" y="96"/>
                                </a:lnTo>
                                <a:lnTo>
                                  <a:pt x="89" y="96"/>
                                </a:lnTo>
                                <a:lnTo>
                                  <a:pt x="88" y="97"/>
                                </a:lnTo>
                                <a:lnTo>
                                  <a:pt x="88" y="96"/>
                                </a:lnTo>
                                <a:close/>
                                <a:moveTo>
                                  <a:pt x="89" y="97"/>
                                </a:moveTo>
                                <a:cubicBezTo>
                                  <a:pt x="89" y="97"/>
                                  <a:pt x="78" y="99"/>
                                  <a:pt x="71" y="97"/>
                                </a:cubicBezTo>
                                <a:lnTo>
                                  <a:pt x="71" y="96"/>
                                </a:lnTo>
                                <a:cubicBezTo>
                                  <a:pt x="78" y="97"/>
                                  <a:pt x="88" y="96"/>
                                  <a:pt x="88" y="96"/>
                                </a:cubicBezTo>
                                <a:lnTo>
                                  <a:pt x="89" y="97"/>
                                </a:lnTo>
                                <a:close/>
                                <a:moveTo>
                                  <a:pt x="70" y="97"/>
                                </a:moveTo>
                                <a:lnTo>
                                  <a:pt x="70" y="96"/>
                                </a:lnTo>
                                <a:lnTo>
                                  <a:pt x="71" y="96"/>
                                </a:lnTo>
                                <a:lnTo>
                                  <a:pt x="71" y="97"/>
                                </a:lnTo>
                                <a:lnTo>
                                  <a:pt x="70" y="97"/>
                                </a:lnTo>
                                <a:close/>
                                <a:moveTo>
                                  <a:pt x="71" y="97"/>
                                </a:moveTo>
                                <a:cubicBezTo>
                                  <a:pt x="71" y="97"/>
                                  <a:pt x="71" y="111"/>
                                  <a:pt x="57" y="107"/>
                                </a:cubicBezTo>
                                <a:lnTo>
                                  <a:pt x="58" y="106"/>
                                </a:lnTo>
                                <a:cubicBezTo>
                                  <a:pt x="70" y="109"/>
                                  <a:pt x="70" y="97"/>
                                  <a:pt x="70" y="97"/>
                                </a:cubicBezTo>
                                <a:lnTo>
                                  <a:pt x="71" y="97"/>
                                </a:lnTo>
                                <a:close/>
                                <a:moveTo>
                                  <a:pt x="57" y="107"/>
                                </a:moveTo>
                                <a:lnTo>
                                  <a:pt x="56" y="107"/>
                                </a:lnTo>
                                <a:lnTo>
                                  <a:pt x="57" y="106"/>
                                </a:lnTo>
                                <a:lnTo>
                                  <a:pt x="58" y="107"/>
                                </a:lnTo>
                                <a:lnTo>
                                  <a:pt x="57" y="107"/>
                                </a:lnTo>
                                <a:close/>
                                <a:moveTo>
                                  <a:pt x="57" y="106"/>
                                </a:moveTo>
                                <a:cubicBezTo>
                                  <a:pt x="57" y="106"/>
                                  <a:pt x="62" y="103"/>
                                  <a:pt x="61" y="96"/>
                                </a:cubicBezTo>
                                <a:lnTo>
                                  <a:pt x="62" y="96"/>
                                </a:lnTo>
                                <a:cubicBezTo>
                                  <a:pt x="63" y="103"/>
                                  <a:pt x="58" y="107"/>
                                  <a:pt x="58" y="107"/>
                                </a:cubicBezTo>
                                <a:lnTo>
                                  <a:pt x="57" y="106"/>
                                </a:lnTo>
                                <a:close/>
                                <a:moveTo>
                                  <a:pt x="61" y="95"/>
                                </a:moveTo>
                                <a:lnTo>
                                  <a:pt x="62" y="94"/>
                                </a:lnTo>
                                <a:lnTo>
                                  <a:pt x="62" y="96"/>
                                </a:lnTo>
                                <a:lnTo>
                                  <a:pt x="62" y="96"/>
                                </a:lnTo>
                                <a:lnTo>
                                  <a:pt x="61" y="95"/>
                                </a:lnTo>
                                <a:close/>
                                <a:moveTo>
                                  <a:pt x="62" y="96"/>
                                </a:moveTo>
                                <a:cubicBezTo>
                                  <a:pt x="62" y="96"/>
                                  <a:pt x="59" y="101"/>
                                  <a:pt x="54" y="103"/>
                                </a:cubicBezTo>
                                <a:lnTo>
                                  <a:pt x="53" y="101"/>
                                </a:lnTo>
                                <a:cubicBezTo>
                                  <a:pt x="58" y="100"/>
                                  <a:pt x="61" y="95"/>
                                  <a:pt x="61" y="95"/>
                                </a:cubicBezTo>
                                <a:lnTo>
                                  <a:pt x="62" y="96"/>
                                </a:lnTo>
                                <a:close/>
                                <a:moveTo>
                                  <a:pt x="53" y="101"/>
                                </a:moveTo>
                                <a:lnTo>
                                  <a:pt x="53" y="101"/>
                                </a:lnTo>
                                <a:lnTo>
                                  <a:pt x="53" y="101"/>
                                </a:lnTo>
                                <a:lnTo>
                                  <a:pt x="54" y="102"/>
                                </a:lnTo>
                                <a:lnTo>
                                  <a:pt x="53" y="101"/>
                                </a:lnTo>
                                <a:close/>
                                <a:moveTo>
                                  <a:pt x="54" y="103"/>
                                </a:moveTo>
                                <a:cubicBezTo>
                                  <a:pt x="54" y="103"/>
                                  <a:pt x="48" y="106"/>
                                  <a:pt x="48" y="100"/>
                                </a:cubicBezTo>
                                <a:lnTo>
                                  <a:pt x="49" y="100"/>
                                </a:lnTo>
                                <a:cubicBezTo>
                                  <a:pt x="49" y="104"/>
                                  <a:pt x="53" y="101"/>
                                  <a:pt x="53" y="101"/>
                                </a:cubicBezTo>
                                <a:lnTo>
                                  <a:pt x="54" y="103"/>
                                </a:lnTo>
                                <a:close/>
                                <a:moveTo>
                                  <a:pt x="49" y="100"/>
                                </a:moveTo>
                                <a:lnTo>
                                  <a:pt x="49" y="100"/>
                                </a:lnTo>
                                <a:lnTo>
                                  <a:pt x="49" y="100"/>
                                </a:lnTo>
                                <a:lnTo>
                                  <a:pt x="49" y="100"/>
                                </a:lnTo>
                                <a:close/>
                                <a:moveTo>
                                  <a:pt x="48" y="100"/>
                                </a:moveTo>
                                <a:cubicBezTo>
                                  <a:pt x="48" y="100"/>
                                  <a:pt x="43" y="90"/>
                                  <a:pt x="54" y="86"/>
                                </a:cubicBezTo>
                                <a:lnTo>
                                  <a:pt x="54" y="87"/>
                                </a:lnTo>
                                <a:cubicBezTo>
                                  <a:pt x="44" y="90"/>
                                  <a:pt x="49" y="100"/>
                                  <a:pt x="49" y="100"/>
                                </a:cubicBezTo>
                                <a:lnTo>
                                  <a:pt x="48" y="100"/>
                                </a:lnTo>
                                <a:close/>
                                <a:moveTo>
                                  <a:pt x="54" y="87"/>
                                </a:moveTo>
                                <a:lnTo>
                                  <a:pt x="54" y="87"/>
                                </a:lnTo>
                                <a:lnTo>
                                  <a:pt x="54" y="87"/>
                                </a:lnTo>
                                <a:lnTo>
                                  <a:pt x="54" y="86"/>
                                </a:lnTo>
                                <a:lnTo>
                                  <a:pt x="54" y="87"/>
                                </a:lnTo>
                                <a:close/>
                                <a:moveTo>
                                  <a:pt x="53" y="86"/>
                                </a:moveTo>
                                <a:cubicBezTo>
                                  <a:pt x="53" y="86"/>
                                  <a:pt x="59" y="72"/>
                                  <a:pt x="69" y="66"/>
                                </a:cubicBezTo>
                                <a:lnTo>
                                  <a:pt x="70" y="67"/>
                                </a:lnTo>
                                <a:cubicBezTo>
                                  <a:pt x="60" y="73"/>
                                  <a:pt x="54" y="87"/>
                                  <a:pt x="54" y="87"/>
                                </a:cubicBezTo>
                                <a:lnTo>
                                  <a:pt x="53" y="86"/>
                                </a:lnTo>
                                <a:close/>
                                <a:moveTo>
                                  <a:pt x="70" y="67"/>
                                </a:moveTo>
                                <a:lnTo>
                                  <a:pt x="70" y="67"/>
                                </a:lnTo>
                                <a:lnTo>
                                  <a:pt x="70" y="66"/>
                                </a:lnTo>
                                <a:lnTo>
                                  <a:pt x="70" y="67"/>
                                </a:lnTo>
                                <a:close/>
                                <a:moveTo>
                                  <a:pt x="69" y="66"/>
                                </a:moveTo>
                                <a:cubicBezTo>
                                  <a:pt x="69" y="65"/>
                                  <a:pt x="79" y="60"/>
                                  <a:pt x="68" y="47"/>
                                </a:cubicBezTo>
                                <a:lnTo>
                                  <a:pt x="69" y="46"/>
                                </a:lnTo>
                                <a:cubicBezTo>
                                  <a:pt x="81" y="60"/>
                                  <a:pt x="70" y="67"/>
                                  <a:pt x="70" y="67"/>
                                </a:cubicBezTo>
                                <a:lnTo>
                                  <a:pt x="69" y="66"/>
                                </a:lnTo>
                                <a:close/>
                                <a:moveTo>
                                  <a:pt x="68" y="47"/>
                                </a:moveTo>
                                <a:lnTo>
                                  <a:pt x="67" y="46"/>
                                </a:lnTo>
                                <a:lnTo>
                                  <a:pt x="68" y="46"/>
                                </a:lnTo>
                                <a:lnTo>
                                  <a:pt x="68" y="46"/>
                                </a:lnTo>
                                <a:lnTo>
                                  <a:pt x="68" y="47"/>
                                </a:lnTo>
                                <a:close/>
                                <a:moveTo>
                                  <a:pt x="68" y="46"/>
                                </a:moveTo>
                                <a:cubicBezTo>
                                  <a:pt x="79" y="46"/>
                                  <a:pt x="81" y="49"/>
                                  <a:pt x="81" y="49"/>
                                </a:cubicBezTo>
                                <a:lnTo>
                                  <a:pt x="80" y="50"/>
                                </a:lnTo>
                                <a:cubicBezTo>
                                  <a:pt x="80" y="50"/>
                                  <a:pt x="78" y="47"/>
                                  <a:pt x="68" y="47"/>
                                </a:cubicBezTo>
                                <a:lnTo>
                                  <a:pt x="68" y="46"/>
                                </a:lnTo>
                                <a:close/>
                                <a:moveTo>
                                  <a:pt x="81" y="50"/>
                                </a:moveTo>
                                <a:lnTo>
                                  <a:pt x="81" y="52"/>
                                </a:lnTo>
                                <a:lnTo>
                                  <a:pt x="80" y="50"/>
                                </a:lnTo>
                                <a:lnTo>
                                  <a:pt x="81" y="50"/>
                                </a:lnTo>
                                <a:close/>
                                <a:moveTo>
                                  <a:pt x="80" y="50"/>
                                </a:moveTo>
                                <a:cubicBezTo>
                                  <a:pt x="80" y="50"/>
                                  <a:pt x="81" y="46"/>
                                  <a:pt x="81" y="44"/>
                                </a:cubicBezTo>
                                <a:lnTo>
                                  <a:pt x="83" y="45"/>
                                </a:lnTo>
                                <a:cubicBezTo>
                                  <a:pt x="82" y="46"/>
                                  <a:pt x="81" y="50"/>
                                  <a:pt x="81" y="50"/>
                                </a:cubicBezTo>
                                <a:lnTo>
                                  <a:pt x="80" y="50"/>
                                </a:lnTo>
                                <a:close/>
                                <a:moveTo>
                                  <a:pt x="81" y="44"/>
                                </a:moveTo>
                                <a:lnTo>
                                  <a:pt x="82" y="44"/>
                                </a:lnTo>
                                <a:lnTo>
                                  <a:pt x="82" y="44"/>
                                </a:lnTo>
                                <a:lnTo>
                                  <a:pt x="82" y="45"/>
                                </a:lnTo>
                                <a:lnTo>
                                  <a:pt x="81" y="44"/>
                                </a:lnTo>
                                <a:close/>
                                <a:moveTo>
                                  <a:pt x="82" y="44"/>
                                </a:moveTo>
                                <a:cubicBezTo>
                                  <a:pt x="88" y="47"/>
                                  <a:pt x="89" y="49"/>
                                  <a:pt x="89" y="49"/>
                                </a:cubicBezTo>
                                <a:lnTo>
                                  <a:pt x="88" y="50"/>
                                </a:lnTo>
                                <a:cubicBezTo>
                                  <a:pt x="88" y="50"/>
                                  <a:pt x="87" y="48"/>
                                  <a:pt x="82" y="45"/>
                                </a:cubicBezTo>
                                <a:lnTo>
                                  <a:pt x="82" y="44"/>
                                </a:lnTo>
                                <a:close/>
                                <a:moveTo>
                                  <a:pt x="89" y="50"/>
                                </a:moveTo>
                                <a:lnTo>
                                  <a:pt x="89" y="50"/>
                                </a:lnTo>
                                <a:lnTo>
                                  <a:pt x="88" y="50"/>
                                </a:lnTo>
                                <a:lnTo>
                                  <a:pt x="89" y="50"/>
                                </a:lnTo>
                                <a:close/>
                                <a:moveTo>
                                  <a:pt x="89" y="49"/>
                                </a:moveTo>
                                <a:cubicBezTo>
                                  <a:pt x="89" y="49"/>
                                  <a:pt x="98" y="47"/>
                                  <a:pt x="102" y="56"/>
                                </a:cubicBezTo>
                                <a:lnTo>
                                  <a:pt x="101" y="56"/>
                                </a:lnTo>
                                <a:cubicBezTo>
                                  <a:pt x="97" y="48"/>
                                  <a:pt x="89" y="50"/>
                                  <a:pt x="89" y="50"/>
                                </a:cubicBezTo>
                                <a:lnTo>
                                  <a:pt x="89" y="49"/>
                                </a:lnTo>
                                <a:close/>
                                <a:moveTo>
                                  <a:pt x="102" y="57"/>
                                </a:moveTo>
                                <a:lnTo>
                                  <a:pt x="101" y="56"/>
                                </a:lnTo>
                                <a:lnTo>
                                  <a:pt x="101" y="56"/>
                                </a:lnTo>
                                <a:lnTo>
                                  <a:pt x="102" y="56"/>
                                </a:lnTo>
                                <a:lnTo>
                                  <a:pt x="102" y="57"/>
                                </a:lnTo>
                                <a:close/>
                                <a:moveTo>
                                  <a:pt x="102" y="55"/>
                                </a:moveTo>
                                <a:cubicBezTo>
                                  <a:pt x="102" y="55"/>
                                  <a:pt x="122" y="60"/>
                                  <a:pt x="134" y="88"/>
                                </a:cubicBezTo>
                                <a:lnTo>
                                  <a:pt x="133" y="88"/>
                                </a:lnTo>
                                <a:cubicBezTo>
                                  <a:pt x="121" y="61"/>
                                  <a:pt x="102" y="57"/>
                                  <a:pt x="102" y="57"/>
                                </a:cubicBezTo>
                                <a:lnTo>
                                  <a:pt x="102" y="55"/>
                                </a:lnTo>
                                <a:close/>
                                <a:moveTo>
                                  <a:pt x="134" y="88"/>
                                </a:moveTo>
                                <a:lnTo>
                                  <a:pt x="134" y="88"/>
                                </a:lnTo>
                                <a:lnTo>
                                  <a:pt x="134" y="88"/>
                                </a:lnTo>
                                <a:close/>
                                <a:moveTo>
                                  <a:pt x="134" y="88"/>
                                </a:moveTo>
                                <a:cubicBezTo>
                                  <a:pt x="143" y="115"/>
                                  <a:pt x="164" y="126"/>
                                  <a:pt x="164" y="126"/>
                                </a:cubicBezTo>
                                <a:lnTo>
                                  <a:pt x="163" y="127"/>
                                </a:lnTo>
                                <a:cubicBezTo>
                                  <a:pt x="163" y="127"/>
                                  <a:pt x="142" y="116"/>
                                  <a:pt x="133" y="88"/>
                                </a:cubicBezTo>
                                <a:lnTo>
                                  <a:pt x="134" y="88"/>
                                </a:lnTo>
                                <a:close/>
                                <a:moveTo>
                                  <a:pt x="164" y="127"/>
                                </a:moveTo>
                                <a:lnTo>
                                  <a:pt x="164" y="128"/>
                                </a:lnTo>
                                <a:lnTo>
                                  <a:pt x="163" y="127"/>
                                </a:lnTo>
                                <a:lnTo>
                                  <a:pt x="163" y="127"/>
                                </a:lnTo>
                                <a:lnTo>
                                  <a:pt x="164" y="127"/>
                                </a:lnTo>
                                <a:close/>
                                <a:moveTo>
                                  <a:pt x="163" y="127"/>
                                </a:moveTo>
                                <a:lnTo>
                                  <a:pt x="164" y="106"/>
                                </a:lnTo>
                                <a:lnTo>
                                  <a:pt x="165" y="106"/>
                                </a:lnTo>
                                <a:lnTo>
                                  <a:pt x="164" y="127"/>
                                </a:lnTo>
                                <a:lnTo>
                                  <a:pt x="163" y="127"/>
                                </a:lnTo>
                                <a:close/>
                                <a:moveTo>
                                  <a:pt x="164" y="106"/>
                                </a:moveTo>
                                <a:lnTo>
                                  <a:pt x="164" y="106"/>
                                </a:lnTo>
                                <a:lnTo>
                                  <a:pt x="164" y="106"/>
                                </a:lnTo>
                                <a:lnTo>
                                  <a:pt x="164" y="106"/>
                                </a:lnTo>
                                <a:close/>
                                <a:moveTo>
                                  <a:pt x="164" y="106"/>
                                </a:moveTo>
                                <a:cubicBezTo>
                                  <a:pt x="164" y="106"/>
                                  <a:pt x="177" y="89"/>
                                  <a:pt x="165" y="79"/>
                                </a:cubicBezTo>
                                <a:lnTo>
                                  <a:pt x="166" y="78"/>
                                </a:lnTo>
                                <a:cubicBezTo>
                                  <a:pt x="179" y="89"/>
                                  <a:pt x="165" y="106"/>
                                  <a:pt x="165" y="106"/>
                                </a:cubicBezTo>
                                <a:lnTo>
                                  <a:pt x="164" y="106"/>
                                </a:lnTo>
                                <a:close/>
                                <a:moveTo>
                                  <a:pt x="166" y="78"/>
                                </a:moveTo>
                                <a:lnTo>
                                  <a:pt x="166" y="78"/>
                                </a:lnTo>
                                <a:lnTo>
                                  <a:pt x="166" y="78"/>
                                </a:lnTo>
                                <a:lnTo>
                                  <a:pt x="165" y="78"/>
                                </a:lnTo>
                                <a:lnTo>
                                  <a:pt x="166" y="78"/>
                                </a:lnTo>
                                <a:close/>
                                <a:moveTo>
                                  <a:pt x="165" y="79"/>
                                </a:moveTo>
                                <a:cubicBezTo>
                                  <a:pt x="165" y="79"/>
                                  <a:pt x="149" y="68"/>
                                  <a:pt x="154" y="50"/>
                                </a:cubicBezTo>
                                <a:lnTo>
                                  <a:pt x="155" y="51"/>
                                </a:lnTo>
                                <a:cubicBezTo>
                                  <a:pt x="150" y="67"/>
                                  <a:pt x="166" y="78"/>
                                  <a:pt x="166" y="78"/>
                                </a:cubicBezTo>
                                <a:lnTo>
                                  <a:pt x="165" y="79"/>
                                </a:lnTo>
                                <a:close/>
                                <a:moveTo>
                                  <a:pt x="154" y="50"/>
                                </a:moveTo>
                                <a:lnTo>
                                  <a:pt x="154" y="50"/>
                                </a:lnTo>
                                <a:lnTo>
                                  <a:pt x="154" y="50"/>
                                </a:lnTo>
                                <a:lnTo>
                                  <a:pt x="155" y="50"/>
                                </a:lnTo>
                                <a:lnTo>
                                  <a:pt x="154" y="50"/>
                                </a:lnTo>
                                <a:close/>
                                <a:moveTo>
                                  <a:pt x="154" y="50"/>
                                </a:moveTo>
                                <a:cubicBezTo>
                                  <a:pt x="154" y="50"/>
                                  <a:pt x="158" y="45"/>
                                  <a:pt x="162" y="43"/>
                                </a:cubicBezTo>
                                <a:lnTo>
                                  <a:pt x="162" y="44"/>
                                </a:lnTo>
                                <a:cubicBezTo>
                                  <a:pt x="159" y="46"/>
                                  <a:pt x="155" y="51"/>
                                  <a:pt x="155" y="51"/>
                                </a:cubicBezTo>
                                <a:lnTo>
                                  <a:pt x="154" y="50"/>
                                </a:lnTo>
                                <a:close/>
                                <a:moveTo>
                                  <a:pt x="163" y="44"/>
                                </a:moveTo>
                                <a:lnTo>
                                  <a:pt x="163" y="44"/>
                                </a:lnTo>
                                <a:lnTo>
                                  <a:pt x="162" y="44"/>
                                </a:lnTo>
                                <a:lnTo>
                                  <a:pt x="162" y="43"/>
                                </a:lnTo>
                                <a:lnTo>
                                  <a:pt x="163" y="44"/>
                                </a:lnTo>
                                <a:close/>
                              </a:path>
                            </a:pathLst>
                          </a:custGeom>
                          <a:solidFill>
                            <a:srgbClr val="605D5C"/>
                          </a:solidFill>
                          <a:ln w="9525">
                            <a:noFill/>
                            <a:round/>
                            <a:headEnd/>
                            <a:tailEnd/>
                          </a:ln>
                        </wps:spPr>
                        <wps:bodyPr/>
                      </wps:wsp>
                      <wps:wsp>
                        <wps:cNvPr id="207" name="Freeform 141"/>
                        <wps:cNvSpPr>
                          <a:spLocks/>
                        </wps:cNvSpPr>
                        <wps:spPr bwMode="auto">
                          <a:xfrm>
                            <a:off x="176" y="269"/>
                            <a:ext cx="13" cy="11"/>
                          </a:xfrm>
                          <a:custGeom>
                            <a:avLst/>
                            <a:gdLst/>
                            <a:ahLst/>
                            <a:cxnLst>
                              <a:cxn ang="0">
                                <a:pos x="15" y="0"/>
                              </a:cxn>
                              <a:cxn ang="0">
                                <a:pos x="1" y="13"/>
                              </a:cxn>
                              <a:cxn ang="0">
                                <a:pos x="0" y="12"/>
                              </a:cxn>
                              <a:cxn ang="0">
                                <a:pos x="14" y="0"/>
                              </a:cxn>
                              <a:cxn ang="0">
                                <a:pos x="15" y="0"/>
                              </a:cxn>
                            </a:cxnLst>
                            <a:rect l="0" t="0" r="r" b="b"/>
                            <a:pathLst>
                              <a:path w="15" h="13">
                                <a:moveTo>
                                  <a:pt x="15" y="0"/>
                                </a:moveTo>
                                <a:cubicBezTo>
                                  <a:pt x="15" y="0"/>
                                  <a:pt x="12" y="10"/>
                                  <a:pt x="1" y="13"/>
                                </a:cubicBezTo>
                                <a:lnTo>
                                  <a:pt x="0" y="12"/>
                                </a:lnTo>
                                <a:cubicBezTo>
                                  <a:pt x="11" y="9"/>
                                  <a:pt x="14" y="0"/>
                                  <a:pt x="14" y="0"/>
                                </a:cubicBezTo>
                                <a:lnTo>
                                  <a:pt x="15" y="0"/>
                                </a:lnTo>
                                <a:close/>
                              </a:path>
                            </a:pathLst>
                          </a:custGeom>
                          <a:solidFill>
                            <a:srgbClr val="605D5C"/>
                          </a:solidFill>
                          <a:ln w="9525">
                            <a:noFill/>
                            <a:round/>
                            <a:headEnd/>
                            <a:tailEnd/>
                          </a:ln>
                        </wps:spPr>
                        <wps:bodyPr/>
                      </wps:wsp>
                      <wps:wsp>
                        <wps:cNvPr id="208" name="Freeform 142"/>
                        <wps:cNvSpPr>
                          <a:spLocks noEditPoints="1"/>
                        </wps:cNvSpPr>
                        <wps:spPr bwMode="auto">
                          <a:xfrm>
                            <a:off x="233" y="234"/>
                            <a:ext cx="32" cy="73"/>
                          </a:xfrm>
                          <a:custGeom>
                            <a:avLst/>
                            <a:gdLst/>
                            <a:ahLst/>
                            <a:cxnLst>
                              <a:cxn ang="0">
                                <a:pos x="4" y="88"/>
                              </a:cxn>
                              <a:cxn ang="0">
                                <a:pos x="20" y="29"/>
                              </a:cxn>
                              <a:cxn ang="0">
                                <a:pos x="21" y="28"/>
                              </a:cxn>
                              <a:cxn ang="0">
                                <a:pos x="5" y="89"/>
                              </a:cxn>
                              <a:cxn ang="0">
                                <a:pos x="4" y="88"/>
                              </a:cxn>
                              <a:cxn ang="0">
                                <a:pos x="21" y="28"/>
                              </a:cxn>
                              <a:cxn ang="0">
                                <a:pos x="21" y="28"/>
                              </a:cxn>
                              <a:cxn ang="0">
                                <a:pos x="21" y="28"/>
                              </a:cxn>
                              <a:cxn ang="0">
                                <a:pos x="20" y="28"/>
                              </a:cxn>
                              <a:cxn ang="0">
                                <a:pos x="21" y="28"/>
                              </a:cxn>
                              <a:cxn ang="0">
                                <a:pos x="20" y="29"/>
                              </a:cxn>
                              <a:cxn ang="0">
                                <a:pos x="14" y="0"/>
                              </a:cxn>
                              <a:cxn ang="0">
                                <a:pos x="14" y="1"/>
                              </a:cxn>
                              <a:cxn ang="0">
                                <a:pos x="21" y="28"/>
                              </a:cxn>
                              <a:cxn ang="0">
                                <a:pos x="20" y="29"/>
                              </a:cxn>
                            </a:cxnLst>
                            <a:rect l="0" t="0" r="r" b="b"/>
                            <a:pathLst>
                              <a:path w="39" h="89">
                                <a:moveTo>
                                  <a:pt x="4" y="88"/>
                                </a:moveTo>
                                <a:cubicBezTo>
                                  <a:pt x="4" y="88"/>
                                  <a:pt x="37" y="54"/>
                                  <a:pt x="20" y="29"/>
                                </a:cubicBezTo>
                                <a:lnTo>
                                  <a:pt x="21" y="28"/>
                                </a:lnTo>
                                <a:cubicBezTo>
                                  <a:pt x="39" y="54"/>
                                  <a:pt x="5" y="89"/>
                                  <a:pt x="5" y="89"/>
                                </a:cubicBezTo>
                                <a:lnTo>
                                  <a:pt x="4" y="88"/>
                                </a:lnTo>
                                <a:close/>
                                <a:moveTo>
                                  <a:pt x="21" y="28"/>
                                </a:moveTo>
                                <a:lnTo>
                                  <a:pt x="21" y="28"/>
                                </a:lnTo>
                                <a:lnTo>
                                  <a:pt x="21" y="28"/>
                                </a:lnTo>
                                <a:lnTo>
                                  <a:pt x="20" y="28"/>
                                </a:lnTo>
                                <a:lnTo>
                                  <a:pt x="21" y="28"/>
                                </a:lnTo>
                                <a:close/>
                                <a:moveTo>
                                  <a:pt x="20" y="29"/>
                                </a:moveTo>
                                <a:cubicBezTo>
                                  <a:pt x="0" y="11"/>
                                  <a:pt x="14" y="0"/>
                                  <a:pt x="14" y="0"/>
                                </a:cubicBezTo>
                                <a:lnTo>
                                  <a:pt x="14" y="1"/>
                                </a:lnTo>
                                <a:cubicBezTo>
                                  <a:pt x="14" y="1"/>
                                  <a:pt x="2" y="11"/>
                                  <a:pt x="21" y="28"/>
                                </a:cubicBezTo>
                                <a:lnTo>
                                  <a:pt x="20" y="29"/>
                                </a:lnTo>
                                <a:close/>
                              </a:path>
                            </a:pathLst>
                          </a:custGeom>
                          <a:solidFill>
                            <a:srgbClr val="605D5C"/>
                          </a:solidFill>
                          <a:ln w="9525">
                            <a:noFill/>
                            <a:round/>
                            <a:headEnd/>
                            <a:tailEnd/>
                          </a:ln>
                        </wps:spPr>
                        <wps:bodyPr/>
                      </wps:wsp>
                      <wps:wsp>
                        <wps:cNvPr id="209" name="Freeform 143"/>
                        <wps:cNvSpPr>
                          <a:spLocks noEditPoints="1"/>
                        </wps:cNvSpPr>
                        <wps:spPr bwMode="auto">
                          <a:xfrm>
                            <a:off x="161" y="332"/>
                            <a:ext cx="34" cy="19"/>
                          </a:xfrm>
                          <a:custGeom>
                            <a:avLst/>
                            <a:gdLst/>
                            <a:ahLst/>
                            <a:cxnLst>
                              <a:cxn ang="0">
                                <a:pos x="36" y="0"/>
                              </a:cxn>
                              <a:cxn ang="0">
                                <a:pos x="40" y="13"/>
                              </a:cxn>
                              <a:cxn ang="0">
                                <a:pos x="0" y="23"/>
                              </a:cxn>
                              <a:cxn ang="0">
                                <a:pos x="4" y="20"/>
                              </a:cxn>
                              <a:cxn ang="0">
                                <a:pos x="15" y="14"/>
                              </a:cxn>
                              <a:cxn ang="0">
                                <a:pos x="22" y="15"/>
                              </a:cxn>
                              <a:cxn ang="0">
                                <a:pos x="41" y="11"/>
                              </a:cxn>
                            </a:cxnLst>
                            <a:rect l="0" t="0" r="r" b="b"/>
                            <a:pathLst>
                              <a:path w="41" h="23">
                                <a:moveTo>
                                  <a:pt x="36" y="0"/>
                                </a:moveTo>
                                <a:cubicBezTo>
                                  <a:pt x="36" y="0"/>
                                  <a:pt x="38" y="8"/>
                                  <a:pt x="40" y="13"/>
                                </a:cubicBezTo>
                                <a:moveTo>
                                  <a:pt x="0" y="23"/>
                                </a:moveTo>
                                <a:cubicBezTo>
                                  <a:pt x="0" y="23"/>
                                  <a:pt x="3" y="22"/>
                                  <a:pt x="4" y="20"/>
                                </a:cubicBezTo>
                                <a:cubicBezTo>
                                  <a:pt x="4" y="20"/>
                                  <a:pt x="6" y="6"/>
                                  <a:pt x="15" y="14"/>
                                </a:cubicBezTo>
                                <a:cubicBezTo>
                                  <a:pt x="15" y="14"/>
                                  <a:pt x="18" y="15"/>
                                  <a:pt x="22" y="15"/>
                                </a:cubicBezTo>
                                <a:cubicBezTo>
                                  <a:pt x="22" y="15"/>
                                  <a:pt x="33" y="11"/>
                                  <a:pt x="41" y="11"/>
                                </a:cubicBezTo>
                              </a:path>
                            </a:pathLst>
                          </a:custGeom>
                          <a:noFill/>
                          <a:ln w="1588" cap="rnd">
                            <a:solidFill>
                              <a:srgbClr val="605D5C"/>
                            </a:solidFill>
                            <a:prstDash val="solid"/>
                            <a:round/>
                            <a:headEnd/>
                            <a:tailEnd/>
                          </a:ln>
                        </wps:spPr>
                        <wps:bodyPr/>
                      </wps:wsp>
                      <wps:wsp>
                        <wps:cNvPr id="210" name="Freeform 144"/>
                        <wps:cNvSpPr>
                          <a:spLocks noEditPoints="1"/>
                        </wps:cNvSpPr>
                        <wps:spPr bwMode="auto">
                          <a:xfrm>
                            <a:off x="207" y="343"/>
                            <a:ext cx="11" cy="16"/>
                          </a:xfrm>
                          <a:custGeom>
                            <a:avLst/>
                            <a:gdLst/>
                            <a:ahLst/>
                            <a:cxnLst>
                              <a:cxn ang="0">
                                <a:pos x="12" y="0"/>
                              </a:cxn>
                              <a:cxn ang="0">
                                <a:pos x="13" y="0"/>
                              </a:cxn>
                              <a:cxn ang="0">
                                <a:pos x="13" y="1"/>
                              </a:cxn>
                              <a:cxn ang="0">
                                <a:pos x="12" y="0"/>
                              </a:cxn>
                              <a:cxn ang="0">
                                <a:pos x="13" y="1"/>
                              </a:cxn>
                              <a:cxn ang="0">
                                <a:pos x="1" y="18"/>
                              </a:cxn>
                              <a:cxn ang="0">
                                <a:pos x="0" y="17"/>
                              </a:cxn>
                              <a:cxn ang="0">
                                <a:pos x="12" y="0"/>
                              </a:cxn>
                              <a:cxn ang="0">
                                <a:pos x="13" y="1"/>
                              </a:cxn>
                              <a:cxn ang="0">
                                <a:pos x="1" y="18"/>
                              </a:cxn>
                              <a:cxn ang="0">
                                <a:pos x="0" y="18"/>
                              </a:cxn>
                              <a:cxn ang="0">
                                <a:pos x="0" y="17"/>
                              </a:cxn>
                              <a:cxn ang="0">
                                <a:pos x="1" y="18"/>
                              </a:cxn>
                            </a:cxnLst>
                            <a:rect l="0" t="0" r="r" b="b"/>
                            <a:pathLst>
                              <a:path w="14" h="19">
                                <a:moveTo>
                                  <a:pt x="12" y="0"/>
                                </a:moveTo>
                                <a:cubicBezTo>
                                  <a:pt x="12" y="0"/>
                                  <a:pt x="13" y="0"/>
                                  <a:pt x="13" y="0"/>
                                </a:cubicBezTo>
                                <a:cubicBezTo>
                                  <a:pt x="13" y="0"/>
                                  <a:pt x="14" y="0"/>
                                  <a:pt x="13" y="1"/>
                                </a:cubicBezTo>
                                <a:lnTo>
                                  <a:pt x="12" y="0"/>
                                </a:lnTo>
                                <a:close/>
                                <a:moveTo>
                                  <a:pt x="13" y="1"/>
                                </a:moveTo>
                                <a:cubicBezTo>
                                  <a:pt x="13" y="1"/>
                                  <a:pt x="8" y="12"/>
                                  <a:pt x="1" y="18"/>
                                </a:cubicBezTo>
                                <a:lnTo>
                                  <a:pt x="0" y="17"/>
                                </a:lnTo>
                                <a:cubicBezTo>
                                  <a:pt x="7" y="11"/>
                                  <a:pt x="12" y="0"/>
                                  <a:pt x="12" y="0"/>
                                </a:cubicBezTo>
                                <a:lnTo>
                                  <a:pt x="13" y="1"/>
                                </a:lnTo>
                                <a:close/>
                                <a:moveTo>
                                  <a:pt x="1" y="18"/>
                                </a:moveTo>
                                <a:cubicBezTo>
                                  <a:pt x="1" y="19"/>
                                  <a:pt x="0" y="19"/>
                                  <a:pt x="0" y="18"/>
                                </a:cubicBezTo>
                                <a:cubicBezTo>
                                  <a:pt x="0" y="18"/>
                                  <a:pt x="0" y="18"/>
                                  <a:pt x="0" y="17"/>
                                </a:cubicBezTo>
                                <a:lnTo>
                                  <a:pt x="1" y="18"/>
                                </a:lnTo>
                                <a:close/>
                              </a:path>
                            </a:pathLst>
                          </a:custGeom>
                          <a:solidFill>
                            <a:srgbClr val="605D5C"/>
                          </a:solidFill>
                          <a:ln w="9525">
                            <a:noFill/>
                            <a:round/>
                            <a:headEnd/>
                            <a:tailEnd/>
                          </a:ln>
                        </wps:spPr>
                        <wps:bodyPr/>
                      </wps:wsp>
                      <wps:wsp>
                        <wps:cNvPr id="211" name="Freeform 145"/>
                        <wps:cNvSpPr>
                          <a:spLocks noEditPoints="1"/>
                        </wps:cNvSpPr>
                        <wps:spPr bwMode="auto">
                          <a:xfrm>
                            <a:off x="283" y="344"/>
                            <a:ext cx="14" cy="17"/>
                          </a:xfrm>
                          <a:custGeom>
                            <a:avLst/>
                            <a:gdLst/>
                            <a:ahLst/>
                            <a:cxnLst>
                              <a:cxn ang="0">
                                <a:pos x="1" y="0"/>
                              </a:cxn>
                              <a:cxn ang="0">
                                <a:pos x="3" y="7"/>
                              </a:cxn>
                              <a:cxn ang="0">
                                <a:pos x="2" y="7"/>
                              </a:cxn>
                              <a:cxn ang="0">
                                <a:pos x="0" y="1"/>
                              </a:cxn>
                              <a:cxn ang="0">
                                <a:pos x="1" y="0"/>
                              </a:cxn>
                              <a:cxn ang="0">
                                <a:pos x="3" y="7"/>
                              </a:cxn>
                              <a:cxn ang="0">
                                <a:pos x="3" y="7"/>
                              </a:cxn>
                              <a:cxn ang="0">
                                <a:pos x="2" y="7"/>
                              </a:cxn>
                              <a:cxn ang="0">
                                <a:pos x="2" y="7"/>
                              </a:cxn>
                              <a:cxn ang="0">
                                <a:pos x="3" y="7"/>
                              </a:cxn>
                              <a:cxn ang="0">
                                <a:pos x="3" y="7"/>
                              </a:cxn>
                              <a:cxn ang="0">
                                <a:pos x="4" y="9"/>
                              </a:cxn>
                              <a:cxn ang="0">
                                <a:pos x="3" y="9"/>
                              </a:cxn>
                              <a:cxn ang="0">
                                <a:pos x="2" y="7"/>
                              </a:cxn>
                              <a:cxn ang="0">
                                <a:pos x="3" y="7"/>
                              </a:cxn>
                              <a:cxn ang="0">
                                <a:pos x="4" y="9"/>
                              </a:cxn>
                              <a:cxn ang="0">
                                <a:pos x="5" y="11"/>
                              </a:cxn>
                              <a:cxn ang="0">
                                <a:pos x="4" y="11"/>
                              </a:cxn>
                              <a:cxn ang="0">
                                <a:pos x="3" y="9"/>
                              </a:cxn>
                              <a:cxn ang="0">
                                <a:pos x="4" y="9"/>
                              </a:cxn>
                              <a:cxn ang="0">
                                <a:pos x="5" y="11"/>
                              </a:cxn>
                              <a:cxn ang="0">
                                <a:pos x="17" y="20"/>
                              </a:cxn>
                              <a:cxn ang="0">
                                <a:pos x="17" y="21"/>
                              </a:cxn>
                              <a:cxn ang="0">
                                <a:pos x="4" y="11"/>
                              </a:cxn>
                              <a:cxn ang="0">
                                <a:pos x="5" y="11"/>
                              </a:cxn>
                            </a:cxnLst>
                            <a:rect l="0" t="0" r="r" b="b"/>
                            <a:pathLst>
                              <a:path w="17" h="21">
                                <a:moveTo>
                                  <a:pt x="1" y="0"/>
                                </a:moveTo>
                                <a:cubicBezTo>
                                  <a:pt x="1" y="0"/>
                                  <a:pt x="1" y="3"/>
                                  <a:pt x="3" y="7"/>
                                </a:cubicBezTo>
                                <a:lnTo>
                                  <a:pt x="2" y="7"/>
                                </a:lnTo>
                                <a:cubicBezTo>
                                  <a:pt x="0" y="4"/>
                                  <a:pt x="0" y="1"/>
                                  <a:pt x="0" y="1"/>
                                </a:cubicBezTo>
                                <a:lnTo>
                                  <a:pt x="1" y="0"/>
                                </a:lnTo>
                                <a:close/>
                                <a:moveTo>
                                  <a:pt x="3" y="7"/>
                                </a:moveTo>
                                <a:lnTo>
                                  <a:pt x="3" y="7"/>
                                </a:lnTo>
                                <a:lnTo>
                                  <a:pt x="2" y="7"/>
                                </a:lnTo>
                                <a:lnTo>
                                  <a:pt x="2" y="7"/>
                                </a:lnTo>
                                <a:lnTo>
                                  <a:pt x="3" y="7"/>
                                </a:lnTo>
                                <a:close/>
                                <a:moveTo>
                                  <a:pt x="3" y="7"/>
                                </a:moveTo>
                                <a:cubicBezTo>
                                  <a:pt x="3" y="7"/>
                                  <a:pt x="3" y="8"/>
                                  <a:pt x="4" y="9"/>
                                </a:cubicBezTo>
                                <a:lnTo>
                                  <a:pt x="3" y="9"/>
                                </a:lnTo>
                                <a:cubicBezTo>
                                  <a:pt x="2" y="9"/>
                                  <a:pt x="2" y="8"/>
                                  <a:pt x="2" y="7"/>
                                </a:cubicBezTo>
                                <a:lnTo>
                                  <a:pt x="3" y="7"/>
                                </a:lnTo>
                                <a:close/>
                                <a:moveTo>
                                  <a:pt x="4" y="9"/>
                                </a:moveTo>
                                <a:cubicBezTo>
                                  <a:pt x="4" y="9"/>
                                  <a:pt x="5" y="10"/>
                                  <a:pt x="5" y="11"/>
                                </a:cubicBezTo>
                                <a:lnTo>
                                  <a:pt x="4" y="11"/>
                                </a:lnTo>
                                <a:cubicBezTo>
                                  <a:pt x="4" y="11"/>
                                  <a:pt x="3" y="10"/>
                                  <a:pt x="3" y="9"/>
                                </a:cubicBezTo>
                                <a:lnTo>
                                  <a:pt x="4" y="9"/>
                                </a:lnTo>
                                <a:close/>
                                <a:moveTo>
                                  <a:pt x="5" y="11"/>
                                </a:moveTo>
                                <a:cubicBezTo>
                                  <a:pt x="8" y="14"/>
                                  <a:pt x="11" y="18"/>
                                  <a:pt x="17" y="20"/>
                                </a:cubicBezTo>
                                <a:lnTo>
                                  <a:pt x="17" y="21"/>
                                </a:lnTo>
                                <a:cubicBezTo>
                                  <a:pt x="11" y="19"/>
                                  <a:pt x="7" y="15"/>
                                  <a:pt x="4" y="11"/>
                                </a:cubicBezTo>
                                <a:lnTo>
                                  <a:pt x="5" y="11"/>
                                </a:lnTo>
                                <a:close/>
                              </a:path>
                            </a:pathLst>
                          </a:custGeom>
                          <a:solidFill>
                            <a:srgbClr val="605D5C"/>
                          </a:solidFill>
                          <a:ln w="9525">
                            <a:noFill/>
                            <a:round/>
                            <a:headEnd/>
                            <a:tailEnd/>
                          </a:ln>
                        </wps:spPr>
                        <wps:bodyPr/>
                      </wps:wsp>
                      <wps:wsp>
                        <wps:cNvPr id="212" name="Freeform 146"/>
                        <wps:cNvSpPr>
                          <a:spLocks/>
                        </wps:cNvSpPr>
                        <wps:spPr bwMode="auto">
                          <a:xfrm>
                            <a:off x="270" y="349"/>
                            <a:ext cx="15" cy="2"/>
                          </a:xfrm>
                          <a:custGeom>
                            <a:avLst/>
                            <a:gdLst/>
                            <a:ahLst/>
                            <a:cxnLst>
                              <a:cxn ang="0">
                                <a:pos x="0" y="2"/>
                              </a:cxn>
                              <a:cxn ang="0">
                                <a:pos x="18" y="1"/>
                              </a:cxn>
                              <a:cxn ang="0">
                                <a:pos x="18" y="2"/>
                              </a:cxn>
                              <a:cxn ang="0">
                                <a:pos x="0" y="3"/>
                              </a:cxn>
                              <a:cxn ang="0">
                                <a:pos x="0" y="2"/>
                              </a:cxn>
                            </a:cxnLst>
                            <a:rect l="0" t="0" r="r" b="b"/>
                            <a:pathLst>
                              <a:path w="18" h="3">
                                <a:moveTo>
                                  <a:pt x="0" y="2"/>
                                </a:moveTo>
                                <a:cubicBezTo>
                                  <a:pt x="0" y="2"/>
                                  <a:pt x="15" y="0"/>
                                  <a:pt x="18" y="1"/>
                                </a:cubicBezTo>
                                <a:lnTo>
                                  <a:pt x="18" y="2"/>
                                </a:lnTo>
                                <a:cubicBezTo>
                                  <a:pt x="15" y="1"/>
                                  <a:pt x="0" y="3"/>
                                  <a:pt x="0" y="3"/>
                                </a:cubicBezTo>
                                <a:lnTo>
                                  <a:pt x="0" y="2"/>
                                </a:lnTo>
                                <a:close/>
                              </a:path>
                            </a:pathLst>
                          </a:custGeom>
                          <a:solidFill>
                            <a:srgbClr val="605D5C"/>
                          </a:solidFill>
                          <a:ln w="9525">
                            <a:noFill/>
                            <a:round/>
                            <a:headEnd/>
                            <a:tailEnd/>
                          </a:ln>
                        </wps:spPr>
                        <wps:bodyPr/>
                      </wps:wsp>
                      <wps:wsp>
                        <wps:cNvPr id="213" name="Freeform 147"/>
                        <wps:cNvSpPr>
                          <a:spLocks/>
                        </wps:cNvSpPr>
                        <wps:spPr bwMode="auto">
                          <a:xfrm>
                            <a:off x="324" y="360"/>
                            <a:ext cx="12" cy="4"/>
                          </a:xfrm>
                          <a:custGeom>
                            <a:avLst/>
                            <a:gdLst/>
                            <a:ahLst/>
                            <a:cxnLst>
                              <a:cxn ang="0">
                                <a:pos x="0" y="4"/>
                              </a:cxn>
                              <a:cxn ang="0">
                                <a:pos x="15" y="0"/>
                              </a:cxn>
                              <a:cxn ang="0">
                                <a:pos x="15" y="2"/>
                              </a:cxn>
                              <a:cxn ang="0">
                                <a:pos x="1" y="5"/>
                              </a:cxn>
                              <a:cxn ang="0">
                                <a:pos x="0" y="4"/>
                              </a:cxn>
                            </a:cxnLst>
                            <a:rect l="0" t="0" r="r" b="b"/>
                            <a:pathLst>
                              <a:path w="15" h="5">
                                <a:moveTo>
                                  <a:pt x="0" y="4"/>
                                </a:moveTo>
                                <a:cubicBezTo>
                                  <a:pt x="0" y="4"/>
                                  <a:pt x="14" y="0"/>
                                  <a:pt x="15" y="0"/>
                                </a:cubicBezTo>
                                <a:lnTo>
                                  <a:pt x="15" y="2"/>
                                </a:lnTo>
                                <a:cubicBezTo>
                                  <a:pt x="14" y="2"/>
                                  <a:pt x="1" y="5"/>
                                  <a:pt x="1" y="5"/>
                                </a:cubicBezTo>
                                <a:lnTo>
                                  <a:pt x="0" y="4"/>
                                </a:lnTo>
                                <a:close/>
                              </a:path>
                            </a:pathLst>
                          </a:custGeom>
                          <a:solidFill>
                            <a:srgbClr val="605D5C"/>
                          </a:solidFill>
                          <a:ln w="9525">
                            <a:noFill/>
                            <a:round/>
                            <a:headEnd/>
                            <a:tailEnd/>
                          </a:ln>
                        </wps:spPr>
                        <wps:bodyPr/>
                      </wps:wsp>
                      <wps:wsp>
                        <wps:cNvPr id="214" name="Freeform 148"/>
                        <wps:cNvSpPr>
                          <a:spLocks/>
                        </wps:cNvSpPr>
                        <wps:spPr bwMode="auto">
                          <a:xfrm>
                            <a:off x="170" y="240"/>
                            <a:ext cx="3" cy="8"/>
                          </a:xfrm>
                          <a:custGeom>
                            <a:avLst/>
                            <a:gdLst/>
                            <a:ahLst/>
                            <a:cxnLst>
                              <a:cxn ang="0">
                                <a:pos x="3" y="10"/>
                              </a:cxn>
                              <a:cxn ang="0">
                                <a:pos x="0" y="0"/>
                              </a:cxn>
                              <a:cxn ang="0">
                                <a:pos x="1" y="1"/>
                              </a:cxn>
                              <a:cxn ang="0">
                                <a:pos x="4" y="9"/>
                              </a:cxn>
                              <a:cxn ang="0">
                                <a:pos x="3" y="10"/>
                              </a:cxn>
                            </a:cxnLst>
                            <a:rect l="0" t="0" r="r" b="b"/>
                            <a:pathLst>
                              <a:path w="4" h="10">
                                <a:moveTo>
                                  <a:pt x="3" y="10"/>
                                </a:moveTo>
                                <a:cubicBezTo>
                                  <a:pt x="3" y="10"/>
                                  <a:pt x="0" y="6"/>
                                  <a:pt x="0" y="0"/>
                                </a:cubicBezTo>
                                <a:lnTo>
                                  <a:pt x="1" y="1"/>
                                </a:lnTo>
                                <a:cubicBezTo>
                                  <a:pt x="1" y="5"/>
                                  <a:pt x="4" y="9"/>
                                  <a:pt x="4" y="9"/>
                                </a:cubicBezTo>
                                <a:lnTo>
                                  <a:pt x="3" y="10"/>
                                </a:lnTo>
                                <a:close/>
                              </a:path>
                            </a:pathLst>
                          </a:custGeom>
                          <a:solidFill>
                            <a:srgbClr val="605D5C"/>
                          </a:solidFill>
                          <a:ln w="9525">
                            <a:noFill/>
                            <a:round/>
                            <a:headEnd/>
                            <a:tailEnd/>
                          </a:ln>
                        </wps:spPr>
                        <wps:bodyPr/>
                      </wps:wsp>
                      <wps:wsp>
                        <wps:cNvPr id="215" name="Freeform 149"/>
                        <wps:cNvSpPr>
                          <a:spLocks noEditPoints="1"/>
                        </wps:cNvSpPr>
                        <wps:spPr bwMode="auto">
                          <a:xfrm>
                            <a:off x="176" y="241"/>
                            <a:ext cx="8" cy="8"/>
                          </a:xfrm>
                          <a:custGeom>
                            <a:avLst/>
                            <a:gdLst/>
                            <a:ahLst/>
                            <a:cxnLst>
                              <a:cxn ang="0">
                                <a:pos x="2" y="0"/>
                              </a:cxn>
                              <a:cxn ang="0">
                                <a:pos x="3" y="0"/>
                              </a:cxn>
                              <a:cxn ang="0">
                                <a:pos x="2" y="1"/>
                              </a:cxn>
                              <a:cxn ang="0">
                                <a:pos x="0" y="0"/>
                              </a:cxn>
                              <a:cxn ang="0">
                                <a:pos x="2" y="0"/>
                              </a:cxn>
                              <a:cxn ang="0">
                                <a:pos x="3" y="0"/>
                              </a:cxn>
                              <a:cxn ang="0">
                                <a:pos x="4" y="2"/>
                              </a:cxn>
                              <a:cxn ang="0">
                                <a:pos x="4" y="3"/>
                              </a:cxn>
                              <a:cxn ang="0">
                                <a:pos x="2" y="1"/>
                              </a:cxn>
                              <a:cxn ang="0">
                                <a:pos x="3" y="0"/>
                              </a:cxn>
                              <a:cxn ang="0">
                                <a:pos x="4" y="2"/>
                              </a:cxn>
                              <a:cxn ang="0">
                                <a:pos x="9" y="10"/>
                              </a:cxn>
                              <a:cxn ang="0">
                                <a:pos x="8" y="10"/>
                              </a:cxn>
                              <a:cxn ang="0">
                                <a:pos x="4" y="3"/>
                              </a:cxn>
                              <a:cxn ang="0">
                                <a:pos x="4" y="2"/>
                              </a:cxn>
                            </a:cxnLst>
                            <a:rect l="0" t="0" r="r" b="b"/>
                            <a:pathLst>
                              <a:path w="9" h="10">
                                <a:moveTo>
                                  <a:pt x="2" y="0"/>
                                </a:moveTo>
                                <a:cubicBezTo>
                                  <a:pt x="2" y="0"/>
                                  <a:pt x="2" y="0"/>
                                  <a:pt x="3" y="0"/>
                                </a:cubicBezTo>
                                <a:lnTo>
                                  <a:pt x="2" y="1"/>
                                </a:lnTo>
                                <a:cubicBezTo>
                                  <a:pt x="1" y="1"/>
                                  <a:pt x="0" y="0"/>
                                  <a:pt x="0" y="0"/>
                                </a:cubicBezTo>
                                <a:lnTo>
                                  <a:pt x="2" y="0"/>
                                </a:lnTo>
                                <a:close/>
                                <a:moveTo>
                                  <a:pt x="3" y="0"/>
                                </a:moveTo>
                                <a:cubicBezTo>
                                  <a:pt x="3" y="1"/>
                                  <a:pt x="4" y="1"/>
                                  <a:pt x="4" y="2"/>
                                </a:cubicBezTo>
                                <a:lnTo>
                                  <a:pt x="4" y="3"/>
                                </a:lnTo>
                                <a:cubicBezTo>
                                  <a:pt x="3" y="2"/>
                                  <a:pt x="2" y="2"/>
                                  <a:pt x="2" y="1"/>
                                </a:cubicBezTo>
                                <a:lnTo>
                                  <a:pt x="3" y="0"/>
                                </a:lnTo>
                                <a:close/>
                                <a:moveTo>
                                  <a:pt x="4" y="2"/>
                                </a:moveTo>
                                <a:cubicBezTo>
                                  <a:pt x="6" y="3"/>
                                  <a:pt x="8" y="6"/>
                                  <a:pt x="9" y="10"/>
                                </a:cubicBezTo>
                                <a:lnTo>
                                  <a:pt x="8" y="10"/>
                                </a:lnTo>
                                <a:cubicBezTo>
                                  <a:pt x="7" y="7"/>
                                  <a:pt x="5" y="4"/>
                                  <a:pt x="4" y="3"/>
                                </a:cubicBezTo>
                                <a:lnTo>
                                  <a:pt x="4" y="2"/>
                                </a:lnTo>
                                <a:close/>
                              </a:path>
                            </a:pathLst>
                          </a:custGeom>
                          <a:solidFill>
                            <a:srgbClr val="605D5C"/>
                          </a:solidFill>
                          <a:ln w="9525">
                            <a:noFill/>
                            <a:round/>
                            <a:headEnd/>
                            <a:tailEnd/>
                          </a:ln>
                        </wps:spPr>
                        <wps:bodyPr/>
                      </wps:wsp>
                      <wps:wsp>
                        <wps:cNvPr id="216" name="Freeform 150"/>
                        <wps:cNvSpPr>
                          <a:spLocks/>
                        </wps:cNvSpPr>
                        <wps:spPr bwMode="auto">
                          <a:xfrm>
                            <a:off x="265" y="225"/>
                            <a:ext cx="62" cy="15"/>
                          </a:xfrm>
                          <a:custGeom>
                            <a:avLst/>
                            <a:gdLst/>
                            <a:ahLst/>
                            <a:cxnLst>
                              <a:cxn ang="0">
                                <a:pos x="75" y="1"/>
                              </a:cxn>
                              <a:cxn ang="0">
                                <a:pos x="0" y="18"/>
                              </a:cxn>
                              <a:cxn ang="0">
                                <a:pos x="0" y="17"/>
                              </a:cxn>
                              <a:cxn ang="0">
                                <a:pos x="75" y="0"/>
                              </a:cxn>
                              <a:cxn ang="0">
                                <a:pos x="75" y="1"/>
                              </a:cxn>
                            </a:cxnLst>
                            <a:rect l="0" t="0" r="r" b="b"/>
                            <a:pathLst>
                              <a:path w="75" h="18">
                                <a:moveTo>
                                  <a:pt x="75" y="1"/>
                                </a:moveTo>
                                <a:lnTo>
                                  <a:pt x="0" y="18"/>
                                </a:lnTo>
                                <a:lnTo>
                                  <a:pt x="0" y="17"/>
                                </a:lnTo>
                                <a:lnTo>
                                  <a:pt x="75" y="0"/>
                                </a:lnTo>
                                <a:lnTo>
                                  <a:pt x="75" y="1"/>
                                </a:lnTo>
                                <a:close/>
                              </a:path>
                            </a:pathLst>
                          </a:custGeom>
                          <a:solidFill>
                            <a:srgbClr val="605D5C"/>
                          </a:solidFill>
                          <a:ln w="9525">
                            <a:noFill/>
                            <a:round/>
                            <a:headEnd/>
                            <a:tailEnd/>
                          </a:ln>
                        </wps:spPr>
                        <wps:bodyPr/>
                      </wps:wsp>
                      <wps:wsp>
                        <wps:cNvPr id="217" name="Freeform 151"/>
                        <wps:cNvSpPr>
                          <a:spLocks/>
                        </wps:cNvSpPr>
                        <wps:spPr bwMode="auto">
                          <a:xfrm>
                            <a:off x="261" y="240"/>
                            <a:ext cx="62" cy="13"/>
                          </a:xfrm>
                          <a:custGeom>
                            <a:avLst/>
                            <a:gdLst/>
                            <a:ahLst/>
                            <a:cxnLst>
                              <a:cxn ang="0">
                                <a:pos x="75" y="1"/>
                              </a:cxn>
                              <a:cxn ang="0">
                                <a:pos x="1" y="15"/>
                              </a:cxn>
                              <a:cxn ang="0">
                                <a:pos x="0" y="14"/>
                              </a:cxn>
                              <a:cxn ang="0">
                                <a:pos x="75" y="0"/>
                              </a:cxn>
                              <a:cxn ang="0">
                                <a:pos x="75" y="1"/>
                              </a:cxn>
                            </a:cxnLst>
                            <a:rect l="0" t="0" r="r" b="b"/>
                            <a:pathLst>
                              <a:path w="75" h="15">
                                <a:moveTo>
                                  <a:pt x="75" y="1"/>
                                </a:moveTo>
                                <a:cubicBezTo>
                                  <a:pt x="75" y="1"/>
                                  <a:pt x="5" y="13"/>
                                  <a:pt x="1" y="15"/>
                                </a:cubicBezTo>
                                <a:lnTo>
                                  <a:pt x="0" y="14"/>
                                </a:lnTo>
                                <a:cubicBezTo>
                                  <a:pt x="5" y="12"/>
                                  <a:pt x="75" y="0"/>
                                  <a:pt x="75" y="0"/>
                                </a:cubicBezTo>
                                <a:lnTo>
                                  <a:pt x="75" y="1"/>
                                </a:lnTo>
                                <a:close/>
                              </a:path>
                            </a:pathLst>
                          </a:custGeom>
                          <a:solidFill>
                            <a:srgbClr val="605D5C"/>
                          </a:solidFill>
                          <a:ln w="9525">
                            <a:noFill/>
                            <a:round/>
                            <a:headEnd/>
                            <a:tailEnd/>
                          </a:ln>
                        </wps:spPr>
                        <wps:bodyPr/>
                      </wps:wsp>
                      <wps:wsp>
                        <wps:cNvPr id="218" name="Freeform 152"/>
                        <wps:cNvSpPr>
                          <a:spLocks/>
                        </wps:cNvSpPr>
                        <wps:spPr bwMode="auto">
                          <a:xfrm>
                            <a:off x="267" y="255"/>
                            <a:ext cx="51" cy="7"/>
                          </a:xfrm>
                          <a:custGeom>
                            <a:avLst/>
                            <a:gdLst/>
                            <a:ahLst/>
                            <a:cxnLst>
                              <a:cxn ang="0">
                                <a:pos x="62" y="1"/>
                              </a:cxn>
                              <a:cxn ang="0">
                                <a:pos x="0" y="8"/>
                              </a:cxn>
                              <a:cxn ang="0">
                                <a:pos x="0" y="7"/>
                              </a:cxn>
                              <a:cxn ang="0">
                                <a:pos x="62" y="0"/>
                              </a:cxn>
                              <a:cxn ang="0">
                                <a:pos x="62" y="1"/>
                              </a:cxn>
                            </a:cxnLst>
                            <a:rect l="0" t="0" r="r" b="b"/>
                            <a:pathLst>
                              <a:path w="62" h="8">
                                <a:moveTo>
                                  <a:pt x="62" y="1"/>
                                </a:moveTo>
                                <a:cubicBezTo>
                                  <a:pt x="62" y="1"/>
                                  <a:pt x="4" y="8"/>
                                  <a:pt x="0" y="8"/>
                                </a:cubicBezTo>
                                <a:lnTo>
                                  <a:pt x="0" y="7"/>
                                </a:lnTo>
                                <a:cubicBezTo>
                                  <a:pt x="4" y="7"/>
                                  <a:pt x="61" y="0"/>
                                  <a:pt x="62" y="0"/>
                                </a:cubicBezTo>
                                <a:lnTo>
                                  <a:pt x="62" y="1"/>
                                </a:lnTo>
                                <a:close/>
                              </a:path>
                            </a:pathLst>
                          </a:custGeom>
                          <a:solidFill>
                            <a:srgbClr val="605D5C"/>
                          </a:solidFill>
                          <a:ln w="9525">
                            <a:noFill/>
                            <a:round/>
                            <a:headEnd/>
                            <a:tailEnd/>
                          </a:ln>
                        </wps:spPr>
                        <wps:bodyPr/>
                      </wps:wsp>
                      <wps:wsp>
                        <wps:cNvPr id="219" name="Freeform 153"/>
                        <wps:cNvSpPr>
                          <a:spLocks/>
                        </wps:cNvSpPr>
                        <wps:spPr bwMode="auto">
                          <a:xfrm>
                            <a:off x="266" y="272"/>
                            <a:ext cx="46" cy="2"/>
                          </a:xfrm>
                          <a:custGeom>
                            <a:avLst/>
                            <a:gdLst/>
                            <a:ahLst/>
                            <a:cxnLst>
                              <a:cxn ang="0">
                                <a:pos x="56" y="2"/>
                              </a:cxn>
                              <a:cxn ang="0">
                                <a:pos x="0" y="3"/>
                              </a:cxn>
                              <a:cxn ang="0">
                                <a:pos x="0" y="1"/>
                              </a:cxn>
                              <a:cxn ang="0">
                                <a:pos x="56" y="0"/>
                              </a:cxn>
                              <a:cxn ang="0">
                                <a:pos x="56" y="2"/>
                              </a:cxn>
                            </a:cxnLst>
                            <a:rect l="0" t="0" r="r" b="b"/>
                            <a:pathLst>
                              <a:path w="56" h="3">
                                <a:moveTo>
                                  <a:pt x="56" y="2"/>
                                </a:moveTo>
                                <a:lnTo>
                                  <a:pt x="0" y="3"/>
                                </a:lnTo>
                                <a:lnTo>
                                  <a:pt x="0" y="1"/>
                                </a:lnTo>
                                <a:lnTo>
                                  <a:pt x="56" y="0"/>
                                </a:lnTo>
                                <a:lnTo>
                                  <a:pt x="56" y="2"/>
                                </a:lnTo>
                                <a:close/>
                              </a:path>
                            </a:pathLst>
                          </a:custGeom>
                          <a:solidFill>
                            <a:srgbClr val="605D5C"/>
                          </a:solidFill>
                          <a:ln w="9525">
                            <a:noFill/>
                            <a:round/>
                            <a:headEnd/>
                            <a:tailEnd/>
                          </a:ln>
                        </wps:spPr>
                        <wps:bodyPr/>
                      </wps:wsp>
                      <wps:wsp>
                        <wps:cNvPr id="220" name="Freeform 154"/>
                        <wps:cNvSpPr>
                          <a:spLocks/>
                        </wps:cNvSpPr>
                        <wps:spPr bwMode="auto">
                          <a:xfrm>
                            <a:off x="264" y="284"/>
                            <a:ext cx="38" cy="6"/>
                          </a:xfrm>
                          <a:custGeom>
                            <a:avLst/>
                            <a:gdLst/>
                            <a:ahLst/>
                            <a:cxnLst>
                              <a:cxn ang="0">
                                <a:pos x="46" y="7"/>
                              </a:cxn>
                              <a:cxn ang="0">
                                <a:pos x="0" y="1"/>
                              </a:cxn>
                              <a:cxn ang="0">
                                <a:pos x="0" y="0"/>
                              </a:cxn>
                              <a:cxn ang="0">
                                <a:pos x="46" y="6"/>
                              </a:cxn>
                              <a:cxn ang="0">
                                <a:pos x="46" y="7"/>
                              </a:cxn>
                            </a:cxnLst>
                            <a:rect l="0" t="0" r="r" b="b"/>
                            <a:pathLst>
                              <a:path w="46" h="7">
                                <a:moveTo>
                                  <a:pt x="46" y="7"/>
                                </a:moveTo>
                                <a:cubicBezTo>
                                  <a:pt x="45" y="7"/>
                                  <a:pt x="16" y="2"/>
                                  <a:pt x="0" y="1"/>
                                </a:cubicBezTo>
                                <a:lnTo>
                                  <a:pt x="0" y="0"/>
                                </a:lnTo>
                                <a:cubicBezTo>
                                  <a:pt x="16" y="0"/>
                                  <a:pt x="46" y="6"/>
                                  <a:pt x="46" y="6"/>
                                </a:cubicBezTo>
                                <a:lnTo>
                                  <a:pt x="46" y="7"/>
                                </a:lnTo>
                                <a:close/>
                              </a:path>
                            </a:pathLst>
                          </a:custGeom>
                          <a:solidFill>
                            <a:srgbClr val="605D5C"/>
                          </a:solidFill>
                          <a:ln w="9525">
                            <a:noFill/>
                            <a:round/>
                            <a:headEnd/>
                            <a:tailEnd/>
                          </a:ln>
                        </wps:spPr>
                        <wps:bodyPr/>
                      </wps:wsp>
                      <wps:wsp>
                        <wps:cNvPr id="221" name="Freeform 155"/>
                        <wps:cNvSpPr>
                          <a:spLocks noEditPoints="1"/>
                        </wps:cNvSpPr>
                        <wps:spPr bwMode="auto">
                          <a:xfrm>
                            <a:off x="259" y="294"/>
                            <a:ext cx="44" cy="20"/>
                          </a:xfrm>
                          <a:custGeom>
                            <a:avLst/>
                            <a:gdLst/>
                            <a:ahLst/>
                            <a:cxnLst>
                              <a:cxn ang="0">
                                <a:pos x="4" y="0"/>
                              </a:cxn>
                              <a:cxn ang="0">
                                <a:pos x="36" y="12"/>
                              </a:cxn>
                              <a:cxn ang="0">
                                <a:pos x="36" y="13"/>
                              </a:cxn>
                              <a:cxn ang="0">
                                <a:pos x="3" y="1"/>
                              </a:cxn>
                              <a:cxn ang="0">
                                <a:pos x="4" y="0"/>
                              </a:cxn>
                              <a:cxn ang="0">
                                <a:pos x="36" y="12"/>
                              </a:cxn>
                              <a:cxn ang="0">
                                <a:pos x="37" y="12"/>
                              </a:cxn>
                              <a:cxn ang="0">
                                <a:pos x="37" y="12"/>
                              </a:cxn>
                              <a:cxn ang="0">
                                <a:pos x="36" y="12"/>
                              </a:cxn>
                              <a:cxn ang="0">
                                <a:pos x="37" y="12"/>
                              </a:cxn>
                              <a:cxn ang="0">
                                <a:pos x="27" y="22"/>
                              </a:cxn>
                              <a:cxn ang="0">
                                <a:pos x="26" y="21"/>
                              </a:cxn>
                              <a:cxn ang="0">
                                <a:pos x="36" y="12"/>
                              </a:cxn>
                              <a:cxn ang="0">
                                <a:pos x="37" y="12"/>
                              </a:cxn>
                              <a:cxn ang="0">
                                <a:pos x="27" y="22"/>
                              </a:cxn>
                              <a:cxn ang="0">
                                <a:pos x="27" y="22"/>
                              </a:cxn>
                              <a:cxn ang="0">
                                <a:pos x="27" y="22"/>
                              </a:cxn>
                              <a:cxn ang="0">
                                <a:pos x="27" y="22"/>
                              </a:cxn>
                              <a:cxn ang="0">
                                <a:pos x="0" y="14"/>
                              </a:cxn>
                              <a:cxn ang="0">
                                <a:pos x="0" y="13"/>
                              </a:cxn>
                              <a:cxn ang="0">
                                <a:pos x="26" y="21"/>
                              </a:cxn>
                              <a:cxn ang="0">
                                <a:pos x="27" y="22"/>
                              </a:cxn>
                              <a:cxn ang="0">
                                <a:pos x="54" y="3"/>
                              </a:cxn>
                              <a:cxn ang="0">
                                <a:pos x="35" y="12"/>
                              </a:cxn>
                              <a:cxn ang="0">
                                <a:pos x="35" y="11"/>
                              </a:cxn>
                              <a:cxn ang="0">
                                <a:pos x="52" y="3"/>
                              </a:cxn>
                              <a:cxn ang="0">
                                <a:pos x="54" y="3"/>
                              </a:cxn>
                            </a:cxnLst>
                            <a:rect l="0" t="0" r="r" b="b"/>
                            <a:pathLst>
                              <a:path w="54" h="25">
                                <a:moveTo>
                                  <a:pt x="4" y="0"/>
                                </a:moveTo>
                                <a:cubicBezTo>
                                  <a:pt x="27" y="5"/>
                                  <a:pt x="36" y="12"/>
                                  <a:pt x="36" y="12"/>
                                </a:cubicBezTo>
                                <a:lnTo>
                                  <a:pt x="36" y="13"/>
                                </a:lnTo>
                                <a:cubicBezTo>
                                  <a:pt x="36" y="13"/>
                                  <a:pt x="26" y="6"/>
                                  <a:pt x="3" y="1"/>
                                </a:cubicBezTo>
                                <a:lnTo>
                                  <a:pt x="4" y="0"/>
                                </a:lnTo>
                                <a:close/>
                                <a:moveTo>
                                  <a:pt x="36" y="12"/>
                                </a:moveTo>
                                <a:lnTo>
                                  <a:pt x="37" y="12"/>
                                </a:lnTo>
                                <a:lnTo>
                                  <a:pt x="37" y="12"/>
                                </a:lnTo>
                                <a:lnTo>
                                  <a:pt x="36" y="12"/>
                                </a:lnTo>
                                <a:close/>
                                <a:moveTo>
                                  <a:pt x="37" y="12"/>
                                </a:moveTo>
                                <a:cubicBezTo>
                                  <a:pt x="37" y="12"/>
                                  <a:pt x="41" y="19"/>
                                  <a:pt x="27" y="22"/>
                                </a:cubicBezTo>
                                <a:lnTo>
                                  <a:pt x="26" y="21"/>
                                </a:lnTo>
                                <a:cubicBezTo>
                                  <a:pt x="39" y="18"/>
                                  <a:pt x="36" y="12"/>
                                  <a:pt x="36" y="12"/>
                                </a:cubicBezTo>
                                <a:lnTo>
                                  <a:pt x="37" y="12"/>
                                </a:lnTo>
                                <a:close/>
                                <a:moveTo>
                                  <a:pt x="27" y="22"/>
                                </a:moveTo>
                                <a:lnTo>
                                  <a:pt x="27" y="22"/>
                                </a:lnTo>
                                <a:lnTo>
                                  <a:pt x="27" y="22"/>
                                </a:lnTo>
                                <a:close/>
                                <a:moveTo>
                                  <a:pt x="27" y="22"/>
                                </a:moveTo>
                                <a:cubicBezTo>
                                  <a:pt x="10" y="25"/>
                                  <a:pt x="0" y="14"/>
                                  <a:pt x="0" y="14"/>
                                </a:cubicBezTo>
                                <a:lnTo>
                                  <a:pt x="0" y="13"/>
                                </a:lnTo>
                                <a:cubicBezTo>
                                  <a:pt x="0" y="13"/>
                                  <a:pt x="10" y="24"/>
                                  <a:pt x="26" y="21"/>
                                </a:cubicBezTo>
                                <a:lnTo>
                                  <a:pt x="27" y="22"/>
                                </a:lnTo>
                                <a:close/>
                                <a:moveTo>
                                  <a:pt x="54" y="3"/>
                                </a:moveTo>
                                <a:cubicBezTo>
                                  <a:pt x="54" y="3"/>
                                  <a:pt x="51" y="12"/>
                                  <a:pt x="35" y="12"/>
                                </a:cubicBezTo>
                                <a:lnTo>
                                  <a:pt x="35" y="11"/>
                                </a:lnTo>
                                <a:cubicBezTo>
                                  <a:pt x="50" y="11"/>
                                  <a:pt x="52" y="3"/>
                                  <a:pt x="52" y="3"/>
                                </a:cubicBezTo>
                                <a:lnTo>
                                  <a:pt x="54" y="3"/>
                                </a:lnTo>
                                <a:close/>
                              </a:path>
                            </a:pathLst>
                          </a:custGeom>
                          <a:solidFill>
                            <a:srgbClr val="605D5C"/>
                          </a:solidFill>
                          <a:ln w="9525">
                            <a:noFill/>
                            <a:round/>
                            <a:headEnd/>
                            <a:tailEnd/>
                          </a:ln>
                        </wps:spPr>
                        <wps:bodyPr/>
                      </wps:wsp>
                      <wps:wsp>
                        <wps:cNvPr id="222" name="Freeform 156"/>
                        <wps:cNvSpPr>
                          <a:spLocks noEditPoints="1"/>
                        </wps:cNvSpPr>
                        <wps:spPr bwMode="auto">
                          <a:xfrm>
                            <a:off x="256" y="228"/>
                            <a:ext cx="19" cy="74"/>
                          </a:xfrm>
                          <a:custGeom>
                            <a:avLst/>
                            <a:gdLst/>
                            <a:ahLst/>
                            <a:cxnLst>
                              <a:cxn ang="0">
                                <a:pos x="14" y="0"/>
                              </a:cxn>
                              <a:cxn ang="0">
                                <a:pos x="4" y="16"/>
                              </a:cxn>
                              <a:cxn ang="0">
                                <a:pos x="17" y="15"/>
                              </a:cxn>
                              <a:cxn ang="0">
                                <a:pos x="19" y="20"/>
                              </a:cxn>
                              <a:cxn ang="0">
                                <a:pos x="18" y="24"/>
                              </a:cxn>
                              <a:cxn ang="0">
                                <a:pos x="7" y="29"/>
                              </a:cxn>
                              <a:cxn ang="0">
                                <a:pos x="21" y="33"/>
                              </a:cxn>
                              <a:cxn ang="0">
                                <a:pos x="10" y="41"/>
                              </a:cxn>
                              <a:cxn ang="0">
                                <a:pos x="23" y="47"/>
                              </a:cxn>
                              <a:cxn ang="0">
                                <a:pos x="9" y="55"/>
                              </a:cxn>
                              <a:cxn ang="0">
                                <a:pos x="19" y="62"/>
                              </a:cxn>
                              <a:cxn ang="0">
                                <a:pos x="5" y="68"/>
                              </a:cxn>
                              <a:cxn ang="0">
                                <a:pos x="6" y="80"/>
                              </a:cxn>
                              <a:cxn ang="0">
                                <a:pos x="8" y="82"/>
                              </a:cxn>
                              <a:cxn ang="0">
                                <a:pos x="1" y="90"/>
                              </a:cxn>
                              <a:cxn ang="0">
                                <a:pos x="0" y="78"/>
                              </a:cxn>
                              <a:cxn ang="0">
                                <a:pos x="3" y="80"/>
                              </a:cxn>
                              <a:cxn ang="0">
                                <a:pos x="6" y="80"/>
                              </a:cxn>
                              <a:cxn ang="0">
                                <a:pos x="12" y="73"/>
                              </a:cxn>
                              <a:cxn ang="0">
                                <a:pos x="10" y="68"/>
                              </a:cxn>
                            </a:cxnLst>
                            <a:rect l="0" t="0" r="r" b="b"/>
                            <a:pathLst>
                              <a:path w="23" h="90">
                                <a:moveTo>
                                  <a:pt x="14" y="0"/>
                                </a:moveTo>
                                <a:cubicBezTo>
                                  <a:pt x="12" y="16"/>
                                  <a:pt x="4" y="16"/>
                                  <a:pt x="4" y="16"/>
                                </a:cubicBezTo>
                                <a:cubicBezTo>
                                  <a:pt x="13" y="12"/>
                                  <a:pt x="17" y="15"/>
                                  <a:pt x="17" y="15"/>
                                </a:cubicBezTo>
                                <a:cubicBezTo>
                                  <a:pt x="18" y="16"/>
                                  <a:pt x="19" y="18"/>
                                  <a:pt x="19" y="20"/>
                                </a:cubicBezTo>
                                <a:cubicBezTo>
                                  <a:pt x="19" y="22"/>
                                  <a:pt x="18" y="23"/>
                                  <a:pt x="18" y="24"/>
                                </a:cubicBezTo>
                                <a:cubicBezTo>
                                  <a:pt x="16" y="28"/>
                                  <a:pt x="7" y="29"/>
                                  <a:pt x="7" y="29"/>
                                </a:cubicBezTo>
                                <a:cubicBezTo>
                                  <a:pt x="7" y="29"/>
                                  <a:pt x="23" y="27"/>
                                  <a:pt x="21" y="33"/>
                                </a:cubicBezTo>
                                <a:cubicBezTo>
                                  <a:pt x="19" y="39"/>
                                  <a:pt x="10" y="41"/>
                                  <a:pt x="10" y="41"/>
                                </a:cubicBezTo>
                                <a:cubicBezTo>
                                  <a:pt x="10" y="41"/>
                                  <a:pt x="23" y="40"/>
                                  <a:pt x="23" y="47"/>
                                </a:cubicBezTo>
                                <a:cubicBezTo>
                                  <a:pt x="21" y="54"/>
                                  <a:pt x="9" y="55"/>
                                  <a:pt x="9" y="55"/>
                                </a:cubicBezTo>
                                <a:cubicBezTo>
                                  <a:pt x="9" y="55"/>
                                  <a:pt x="21" y="54"/>
                                  <a:pt x="19" y="62"/>
                                </a:cubicBezTo>
                                <a:cubicBezTo>
                                  <a:pt x="16" y="70"/>
                                  <a:pt x="5" y="68"/>
                                  <a:pt x="5" y="68"/>
                                </a:cubicBezTo>
                                <a:moveTo>
                                  <a:pt x="6" y="80"/>
                                </a:moveTo>
                                <a:cubicBezTo>
                                  <a:pt x="6" y="80"/>
                                  <a:pt x="7" y="81"/>
                                  <a:pt x="8" y="82"/>
                                </a:cubicBezTo>
                                <a:cubicBezTo>
                                  <a:pt x="9" y="88"/>
                                  <a:pt x="1" y="90"/>
                                  <a:pt x="1" y="90"/>
                                </a:cubicBezTo>
                                <a:moveTo>
                                  <a:pt x="0" y="78"/>
                                </a:moveTo>
                                <a:cubicBezTo>
                                  <a:pt x="0" y="78"/>
                                  <a:pt x="2" y="79"/>
                                  <a:pt x="3" y="80"/>
                                </a:cubicBezTo>
                                <a:cubicBezTo>
                                  <a:pt x="4" y="80"/>
                                  <a:pt x="6" y="80"/>
                                  <a:pt x="6" y="80"/>
                                </a:cubicBezTo>
                                <a:cubicBezTo>
                                  <a:pt x="10" y="80"/>
                                  <a:pt x="13" y="77"/>
                                  <a:pt x="12" y="73"/>
                                </a:cubicBezTo>
                                <a:cubicBezTo>
                                  <a:pt x="12" y="71"/>
                                  <a:pt x="11" y="69"/>
                                  <a:pt x="10" y="68"/>
                                </a:cubicBezTo>
                              </a:path>
                            </a:pathLst>
                          </a:custGeom>
                          <a:noFill/>
                          <a:ln w="3175" cap="flat">
                            <a:solidFill>
                              <a:srgbClr val="605D5C"/>
                            </a:solidFill>
                            <a:prstDash val="solid"/>
                            <a:round/>
                            <a:headEnd/>
                            <a:tailEnd/>
                          </a:ln>
                        </wps:spPr>
                        <wps:bodyPr/>
                      </wps:wsp>
                      <wps:wsp>
                        <wps:cNvPr id="223" name="Freeform 157"/>
                        <wps:cNvSpPr>
                          <a:spLocks noEditPoints="1"/>
                        </wps:cNvSpPr>
                        <wps:spPr bwMode="auto">
                          <a:xfrm>
                            <a:off x="146" y="274"/>
                            <a:ext cx="3" cy="6"/>
                          </a:xfrm>
                          <a:custGeom>
                            <a:avLst/>
                            <a:gdLst/>
                            <a:ahLst/>
                            <a:cxnLst>
                              <a:cxn ang="0">
                                <a:pos x="3" y="2"/>
                              </a:cxn>
                              <a:cxn ang="0">
                                <a:pos x="4" y="0"/>
                              </a:cxn>
                              <a:cxn ang="0">
                                <a:pos x="3" y="2"/>
                              </a:cxn>
                              <a:cxn ang="0">
                                <a:pos x="3" y="0"/>
                              </a:cxn>
                              <a:cxn ang="0">
                                <a:pos x="3" y="2"/>
                              </a:cxn>
                              <a:cxn ang="0">
                                <a:pos x="3" y="2"/>
                              </a:cxn>
                              <a:cxn ang="0">
                                <a:pos x="3" y="0"/>
                              </a:cxn>
                              <a:cxn ang="0">
                                <a:pos x="3" y="0"/>
                              </a:cxn>
                              <a:cxn ang="0">
                                <a:pos x="3" y="1"/>
                              </a:cxn>
                              <a:cxn ang="0">
                                <a:pos x="3" y="2"/>
                              </a:cxn>
                              <a:cxn ang="0">
                                <a:pos x="3" y="0"/>
                              </a:cxn>
                              <a:cxn ang="0">
                                <a:pos x="3" y="2"/>
                              </a:cxn>
                              <a:cxn ang="0">
                                <a:pos x="3" y="0"/>
                              </a:cxn>
                              <a:cxn ang="0">
                                <a:pos x="3" y="0"/>
                              </a:cxn>
                              <a:cxn ang="0">
                                <a:pos x="3" y="2"/>
                              </a:cxn>
                              <a:cxn ang="0">
                                <a:pos x="3" y="0"/>
                              </a:cxn>
                              <a:cxn ang="0">
                                <a:pos x="3" y="2"/>
                              </a:cxn>
                              <a:cxn ang="0">
                                <a:pos x="0" y="4"/>
                              </a:cxn>
                              <a:cxn ang="0">
                                <a:pos x="3" y="2"/>
                              </a:cxn>
                              <a:cxn ang="0">
                                <a:pos x="1" y="4"/>
                              </a:cxn>
                              <a:cxn ang="0">
                                <a:pos x="0" y="4"/>
                              </a:cxn>
                              <a:cxn ang="0">
                                <a:pos x="1" y="4"/>
                              </a:cxn>
                              <a:cxn ang="0">
                                <a:pos x="1" y="6"/>
                              </a:cxn>
                              <a:cxn ang="0">
                                <a:pos x="1" y="4"/>
                              </a:cxn>
                              <a:cxn ang="0">
                                <a:pos x="2" y="6"/>
                              </a:cxn>
                              <a:cxn ang="0">
                                <a:pos x="1" y="6"/>
                              </a:cxn>
                              <a:cxn ang="0">
                                <a:pos x="2" y="6"/>
                              </a:cxn>
                              <a:cxn ang="0">
                                <a:pos x="2" y="6"/>
                              </a:cxn>
                              <a:cxn ang="0">
                                <a:pos x="3" y="6"/>
                              </a:cxn>
                              <a:cxn ang="0">
                                <a:pos x="2" y="7"/>
                              </a:cxn>
                              <a:cxn ang="0">
                                <a:pos x="3" y="6"/>
                              </a:cxn>
                              <a:cxn ang="0">
                                <a:pos x="3" y="7"/>
                              </a:cxn>
                              <a:cxn ang="0">
                                <a:pos x="3" y="6"/>
                              </a:cxn>
                              <a:cxn ang="0">
                                <a:pos x="3" y="7"/>
                              </a:cxn>
                              <a:cxn ang="0">
                                <a:pos x="3" y="7"/>
                              </a:cxn>
                              <a:cxn ang="0">
                                <a:pos x="3" y="6"/>
                              </a:cxn>
                              <a:cxn ang="0">
                                <a:pos x="3" y="7"/>
                              </a:cxn>
                              <a:cxn ang="0">
                                <a:pos x="3" y="6"/>
                              </a:cxn>
                              <a:cxn ang="0">
                                <a:pos x="3" y="7"/>
                              </a:cxn>
                              <a:cxn ang="0">
                                <a:pos x="3" y="6"/>
                              </a:cxn>
                              <a:cxn ang="0">
                                <a:pos x="3" y="6"/>
                              </a:cxn>
                              <a:cxn ang="0">
                                <a:pos x="3" y="7"/>
                              </a:cxn>
                            </a:cxnLst>
                            <a:rect l="0" t="0" r="r" b="b"/>
                            <a:pathLst>
                              <a:path w="4" h="7">
                                <a:moveTo>
                                  <a:pt x="4" y="2"/>
                                </a:moveTo>
                                <a:cubicBezTo>
                                  <a:pt x="3" y="2"/>
                                  <a:pt x="3" y="2"/>
                                  <a:pt x="3" y="2"/>
                                </a:cubicBezTo>
                                <a:lnTo>
                                  <a:pt x="4" y="0"/>
                                </a:lnTo>
                                <a:cubicBezTo>
                                  <a:pt x="4" y="0"/>
                                  <a:pt x="4" y="0"/>
                                  <a:pt x="4" y="0"/>
                                </a:cubicBezTo>
                                <a:lnTo>
                                  <a:pt x="4" y="2"/>
                                </a:lnTo>
                                <a:close/>
                                <a:moveTo>
                                  <a:pt x="3" y="2"/>
                                </a:moveTo>
                                <a:cubicBezTo>
                                  <a:pt x="3" y="2"/>
                                  <a:pt x="3" y="2"/>
                                  <a:pt x="3" y="2"/>
                                </a:cubicBezTo>
                                <a:lnTo>
                                  <a:pt x="3" y="0"/>
                                </a:lnTo>
                                <a:cubicBezTo>
                                  <a:pt x="3" y="0"/>
                                  <a:pt x="3" y="0"/>
                                  <a:pt x="4" y="0"/>
                                </a:cubicBezTo>
                                <a:lnTo>
                                  <a:pt x="3" y="2"/>
                                </a:lnTo>
                                <a:close/>
                                <a:moveTo>
                                  <a:pt x="3" y="2"/>
                                </a:moveTo>
                                <a:lnTo>
                                  <a:pt x="3" y="2"/>
                                </a:lnTo>
                                <a:lnTo>
                                  <a:pt x="3" y="0"/>
                                </a:lnTo>
                                <a:lnTo>
                                  <a:pt x="3" y="0"/>
                                </a:lnTo>
                                <a:lnTo>
                                  <a:pt x="3" y="2"/>
                                </a:lnTo>
                                <a:close/>
                                <a:moveTo>
                                  <a:pt x="3" y="0"/>
                                </a:moveTo>
                                <a:lnTo>
                                  <a:pt x="3" y="0"/>
                                </a:lnTo>
                                <a:lnTo>
                                  <a:pt x="3" y="1"/>
                                </a:lnTo>
                                <a:lnTo>
                                  <a:pt x="3" y="0"/>
                                </a:lnTo>
                                <a:close/>
                                <a:moveTo>
                                  <a:pt x="3" y="2"/>
                                </a:moveTo>
                                <a:cubicBezTo>
                                  <a:pt x="3" y="2"/>
                                  <a:pt x="3" y="2"/>
                                  <a:pt x="3" y="2"/>
                                </a:cubicBezTo>
                                <a:lnTo>
                                  <a:pt x="3" y="0"/>
                                </a:lnTo>
                                <a:cubicBezTo>
                                  <a:pt x="3" y="0"/>
                                  <a:pt x="3" y="0"/>
                                  <a:pt x="3" y="0"/>
                                </a:cubicBezTo>
                                <a:lnTo>
                                  <a:pt x="3" y="2"/>
                                </a:lnTo>
                                <a:close/>
                                <a:moveTo>
                                  <a:pt x="3" y="0"/>
                                </a:moveTo>
                                <a:lnTo>
                                  <a:pt x="3" y="0"/>
                                </a:lnTo>
                                <a:lnTo>
                                  <a:pt x="3" y="1"/>
                                </a:lnTo>
                                <a:lnTo>
                                  <a:pt x="3" y="0"/>
                                </a:lnTo>
                                <a:close/>
                                <a:moveTo>
                                  <a:pt x="3" y="2"/>
                                </a:moveTo>
                                <a:cubicBezTo>
                                  <a:pt x="3" y="2"/>
                                  <a:pt x="3" y="2"/>
                                  <a:pt x="3" y="2"/>
                                </a:cubicBezTo>
                                <a:lnTo>
                                  <a:pt x="2" y="1"/>
                                </a:lnTo>
                                <a:cubicBezTo>
                                  <a:pt x="2" y="1"/>
                                  <a:pt x="2" y="0"/>
                                  <a:pt x="3" y="0"/>
                                </a:cubicBezTo>
                                <a:lnTo>
                                  <a:pt x="3" y="2"/>
                                </a:lnTo>
                                <a:close/>
                                <a:moveTo>
                                  <a:pt x="3" y="2"/>
                                </a:moveTo>
                                <a:cubicBezTo>
                                  <a:pt x="2" y="2"/>
                                  <a:pt x="1" y="3"/>
                                  <a:pt x="1" y="4"/>
                                </a:cubicBezTo>
                                <a:lnTo>
                                  <a:pt x="0" y="4"/>
                                </a:lnTo>
                                <a:cubicBezTo>
                                  <a:pt x="0" y="2"/>
                                  <a:pt x="1" y="1"/>
                                  <a:pt x="2" y="1"/>
                                </a:cubicBezTo>
                                <a:lnTo>
                                  <a:pt x="3" y="2"/>
                                </a:lnTo>
                                <a:close/>
                                <a:moveTo>
                                  <a:pt x="1" y="4"/>
                                </a:moveTo>
                                <a:cubicBezTo>
                                  <a:pt x="1" y="4"/>
                                  <a:pt x="1" y="4"/>
                                  <a:pt x="1" y="4"/>
                                </a:cubicBezTo>
                                <a:lnTo>
                                  <a:pt x="0" y="4"/>
                                </a:lnTo>
                                <a:cubicBezTo>
                                  <a:pt x="0" y="4"/>
                                  <a:pt x="0" y="4"/>
                                  <a:pt x="0" y="4"/>
                                </a:cubicBezTo>
                                <a:lnTo>
                                  <a:pt x="1" y="4"/>
                                </a:lnTo>
                                <a:close/>
                                <a:moveTo>
                                  <a:pt x="1" y="4"/>
                                </a:moveTo>
                                <a:cubicBezTo>
                                  <a:pt x="1" y="5"/>
                                  <a:pt x="1" y="5"/>
                                  <a:pt x="2" y="5"/>
                                </a:cubicBezTo>
                                <a:lnTo>
                                  <a:pt x="1" y="6"/>
                                </a:lnTo>
                                <a:cubicBezTo>
                                  <a:pt x="0" y="5"/>
                                  <a:pt x="0" y="5"/>
                                  <a:pt x="0" y="4"/>
                                </a:cubicBezTo>
                                <a:lnTo>
                                  <a:pt x="1" y="4"/>
                                </a:lnTo>
                                <a:close/>
                                <a:moveTo>
                                  <a:pt x="2" y="5"/>
                                </a:moveTo>
                                <a:cubicBezTo>
                                  <a:pt x="2" y="5"/>
                                  <a:pt x="2" y="6"/>
                                  <a:pt x="2" y="6"/>
                                </a:cubicBezTo>
                                <a:lnTo>
                                  <a:pt x="2" y="7"/>
                                </a:lnTo>
                                <a:cubicBezTo>
                                  <a:pt x="2" y="7"/>
                                  <a:pt x="1" y="6"/>
                                  <a:pt x="1" y="6"/>
                                </a:cubicBezTo>
                                <a:lnTo>
                                  <a:pt x="2" y="5"/>
                                </a:lnTo>
                                <a:close/>
                                <a:moveTo>
                                  <a:pt x="2" y="6"/>
                                </a:moveTo>
                                <a:lnTo>
                                  <a:pt x="2" y="6"/>
                                </a:lnTo>
                                <a:lnTo>
                                  <a:pt x="2" y="6"/>
                                </a:lnTo>
                                <a:close/>
                                <a:moveTo>
                                  <a:pt x="2" y="6"/>
                                </a:moveTo>
                                <a:cubicBezTo>
                                  <a:pt x="2" y="6"/>
                                  <a:pt x="2" y="6"/>
                                  <a:pt x="3" y="6"/>
                                </a:cubicBezTo>
                                <a:lnTo>
                                  <a:pt x="3" y="7"/>
                                </a:lnTo>
                                <a:cubicBezTo>
                                  <a:pt x="2" y="7"/>
                                  <a:pt x="2" y="7"/>
                                  <a:pt x="2" y="7"/>
                                </a:cubicBezTo>
                                <a:lnTo>
                                  <a:pt x="2" y="6"/>
                                </a:lnTo>
                                <a:close/>
                                <a:moveTo>
                                  <a:pt x="3" y="6"/>
                                </a:moveTo>
                                <a:lnTo>
                                  <a:pt x="3" y="6"/>
                                </a:lnTo>
                                <a:lnTo>
                                  <a:pt x="3" y="7"/>
                                </a:lnTo>
                                <a:lnTo>
                                  <a:pt x="3" y="7"/>
                                </a:lnTo>
                                <a:lnTo>
                                  <a:pt x="3" y="6"/>
                                </a:lnTo>
                                <a:close/>
                                <a:moveTo>
                                  <a:pt x="3" y="7"/>
                                </a:moveTo>
                                <a:lnTo>
                                  <a:pt x="3" y="7"/>
                                </a:lnTo>
                                <a:lnTo>
                                  <a:pt x="3" y="6"/>
                                </a:lnTo>
                                <a:lnTo>
                                  <a:pt x="3" y="7"/>
                                </a:lnTo>
                                <a:close/>
                                <a:moveTo>
                                  <a:pt x="3" y="6"/>
                                </a:moveTo>
                                <a:cubicBezTo>
                                  <a:pt x="3" y="6"/>
                                  <a:pt x="3" y="6"/>
                                  <a:pt x="3" y="6"/>
                                </a:cubicBezTo>
                                <a:lnTo>
                                  <a:pt x="3" y="7"/>
                                </a:lnTo>
                                <a:cubicBezTo>
                                  <a:pt x="3" y="7"/>
                                  <a:pt x="3" y="7"/>
                                  <a:pt x="3" y="7"/>
                                </a:cubicBezTo>
                                <a:lnTo>
                                  <a:pt x="3" y="6"/>
                                </a:lnTo>
                                <a:close/>
                                <a:moveTo>
                                  <a:pt x="3" y="6"/>
                                </a:moveTo>
                                <a:cubicBezTo>
                                  <a:pt x="3" y="6"/>
                                  <a:pt x="3" y="6"/>
                                  <a:pt x="3" y="6"/>
                                </a:cubicBezTo>
                                <a:lnTo>
                                  <a:pt x="3" y="7"/>
                                </a:lnTo>
                                <a:cubicBezTo>
                                  <a:pt x="3" y="7"/>
                                  <a:pt x="3" y="7"/>
                                  <a:pt x="3" y="7"/>
                                </a:cubicBezTo>
                                <a:lnTo>
                                  <a:pt x="3" y="6"/>
                                </a:lnTo>
                                <a:close/>
                                <a:moveTo>
                                  <a:pt x="3" y="6"/>
                                </a:moveTo>
                                <a:cubicBezTo>
                                  <a:pt x="3" y="6"/>
                                  <a:pt x="3" y="6"/>
                                  <a:pt x="3" y="6"/>
                                </a:cubicBezTo>
                                <a:lnTo>
                                  <a:pt x="4" y="7"/>
                                </a:lnTo>
                                <a:cubicBezTo>
                                  <a:pt x="3" y="7"/>
                                  <a:pt x="3" y="7"/>
                                  <a:pt x="3" y="7"/>
                                </a:cubicBezTo>
                                <a:lnTo>
                                  <a:pt x="3" y="6"/>
                                </a:lnTo>
                                <a:close/>
                              </a:path>
                            </a:pathLst>
                          </a:custGeom>
                          <a:solidFill>
                            <a:srgbClr val="605D5C"/>
                          </a:solidFill>
                          <a:ln w="9525">
                            <a:noFill/>
                            <a:round/>
                            <a:headEnd/>
                            <a:tailEnd/>
                          </a:ln>
                        </wps:spPr>
                        <wps:bodyPr/>
                      </wps:wsp>
                      <wps:wsp>
                        <wps:cNvPr id="224" name="Freeform 158"/>
                        <wps:cNvSpPr>
                          <a:spLocks/>
                        </wps:cNvSpPr>
                        <wps:spPr bwMode="auto">
                          <a:xfrm>
                            <a:off x="109" y="383"/>
                            <a:ext cx="8" cy="4"/>
                          </a:xfrm>
                          <a:custGeom>
                            <a:avLst/>
                            <a:gdLst/>
                            <a:ahLst/>
                            <a:cxnLst>
                              <a:cxn ang="0">
                                <a:pos x="1" y="0"/>
                              </a:cxn>
                              <a:cxn ang="0">
                                <a:pos x="10" y="4"/>
                              </a:cxn>
                              <a:cxn ang="0">
                                <a:pos x="10" y="5"/>
                              </a:cxn>
                              <a:cxn ang="0">
                                <a:pos x="0" y="0"/>
                              </a:cxn>
                              <a:cxn ang="0">
                                <a:pos x="1" y="0"/>
                              </a:cxn>
                            </a:cxnLst>
                            <a:rect l="0" t="0" r="r" b="b"/>
                            <a:pathLst>
                              <a:path w="10" h="5">
                                <a:moveTo>
                                  <a:pt x="1" y="0"/>
                                </a:moveTo>
                                <a:cubicBezTo>
                                  <a:pt x="1" y="0"/>
                                  <a:pt x="1" y="3"/>
                                  <a:pt x="10" y="4"/>
                                </a:cubicBezTo>
                                <a:lnTo>
                                  <a:pt x="10" y="5"/>
                                </a:lnTo>
                                <a:cubicBezTo>
                                  <a:pt x="0" y="5"/>
                                  <a:pt x="0" y="0"/>
                                  <a:pt x="0" y="0"/>
                                </a:cubicBezTo>
                                <a:lnTo>
                                  <a:pt x="1" y="0"/>
                                </a:lnTo>
                                <a:close/>
                              </a:path>
                            </a:pathLst>
                          </a:custGeom>
                          <a:solidFill>
                            <a:srgbClr val="605D5C"/>
                          </a:solidFill>
                          <a:ln w="9525">
                            <a:noFill/>
                            <a:round/>
                            <a:headEnd/>
                            <a:tailEnd/>
                          </a:ln>
                        </wps:spPr>
                        <wps:bodyPr/>
                      </wps:wsp>
                      <wps:wsp>
                        <wps:cNvPr id="225" name="Freeform 159"/>
                        <wps:cNvSpPr>
                          <a:spLocks/>
                        </wps:cNvSpPr>
                        <wps:spPr bwMode="auto">
                          <a:xfrm>
                            <a:off x="127" y="395"/>
                            <a:ext cx="12" cy="4"/>
                          </a:xfrm>
                          <a:custGeom>
                            <a:avLst/>
                            <a:gdLst/>
                            <a:ahLst/>
                            <a:cxnLst>
                              <a:cxn ang="0">
                                <a:pos x="2" y="0"/>
                              </a:cxn>
                              <a:cxn ang="0">
                                <a:pos x="14" y="1"/>
                              </a:cxn>
                              <a:cxn ang="0">
                                <a:pos x="14" y="2"/>
                              </a:cxn>
                              <a:cxn ang="0">
                                <a:pos x="0" y="0"/>
                              </a:cxn>
                              <a:cxn ang="0">
                                <a:pos x="2" y="0"/>
                              </a:cxn>
                            </a:cxnLst>
                            <a:rect l="0" t="0" r="r" b="b"/>
                            <a:pathLst>
                              <a:path w="14" h="4">
                                <a:moveTo>
                                  <a:pt x="2" y="0"/>
                                </a:moveTo>
                                <a:cubicBezTo>
                                  <a:pt x="2" y="0"/>
                                  <a:pt x="2" y="2"/>
                                  <a:pt x="14" y="1"/>
                                </a:cubicBezTo>
                                <a:lnTo>
                                  <a:pt x="14" y="2"/>
                                </a:lnTo>
                                <a:cubicBezTo>
                                  <a:pt x="2" y="4"/>
                                  <a:pt x="0" y="0"/>
                                  <a:pt x="0" y="0"/>
                                </a:cubicBezTo>
                                <a:lnTo>
                                  <a:pt x="2" y="0"/>
                                </a:lnTo>
                                <a:close/>
                              </a:path>
                            </a:pathLst>
                          </a:custGeom>
                          <a:solidFill>
                            <a:srgbClr val="605D5C"/>
                          </a:solidFill>
                          <a:ln w="9525">
                            <a:noFill/>
                            <a:round/>
                            <a:headEnd/>
                            <a:tailEnd/>
                          </a:ln>
                        </wps:spPr>
                        <wps:bodyPr/>
                      </wps:wsp>
                      <wps:wsp>
                        <wps:cNvPr id="226" name="Freeform 160"/>
                        <wps:cNvSpPr>
                          <a:spLocks/>
                        </wps:cNvSpPr>
                        <wps:spPr bwMode="auto">
                          <a:xfrm>
                            <a:off x="358" y="394"/>
                            <a:ext cx="5" cy="7"/>
                          </a:xfrm>
                          <a:custGeom>
                            <a:avLst/>
                            <a:gdLst/>
                            <a:ahLst/>
                            <a:cxnLst>
                              <a:cxn ang="0">
                                <a:pos x="0" y="8"/>
                              </a:cxn>
                              <a:cxn ang="0">
                                <a:pos x="5" y="0"/>
                              </a:cxn>
                              <a:cxn ang="0">
                                <a:pos x="6" y="1"/>
                              </a:cxn>
                              <a:cxn ang="0">
                                <a:pos x="1" y="9"/>
                              </a:cxn>
                              <a:cxn ang="0">
                                <a:pos x="0" y="8"/>
                              </a:cxn>
                            </a:cxnLst>
                            <a:rect l="0" t="0" r="r" b="b"/>
                            <a:pathLst>
                              <a:path w="6" h="9">
                                <a:moveTo>
                                  <a:pt x="0" y="8"/>
                                </a:moveTo>
                                <a:cubicBezTo>
                                  <a:pt x="0" y="8"/>
                                  <a:pt x="5" y="4"/>
                                  <a:pt x="5" y="0"/>
                                </a:cubicBezTo>
                                <a:lnTo>
                                  <a:pt x="6" y="1"/>
                                </a:lnTo>
                                <a:cubicBezTo>
                                  <a:pt x="6" y="4"/>
                                  <a:pt x="1" y="9"/>
                                  <a:pt x="1" y="9"/>
                                </a:cubicBezTo>
                                <a:lnTo>
                                  <a:pt x="0" y="8"/>
                                </a:lnTo>
                                <a:close/>
                              </a:path>
                            </a:pathLst>
                          </a:custGeom>
                          <a:solidFill>
                            <a:srgbClr val="605D5C"/>
                          </a:solidFill>
                          <a:ln w="9525">
                            <a:noFill/>
                            <a:round/>
                            <a:headEnd/>
                            <a:tailEnd/>
                          </a:ln>
                        </wps:spPr>
                        <wps:bodyPr/>
                      </wps:wsp>
                      <wps:wsp>
                        <wps:cNvPr id="227" name="Freeform 161"/>
                        <wps:cNvSpPr>
                          <a:spLocks/>
                        </wps:cNvSpPr>
                        <wps:spPr bwMode="auto">
                          <a:xfrm>
                            <a:off x="387" y="389"/>
                            <a:ext cx="5" cy="10"/>
                          </a:xfrm>
                          <a:custGeom>
                            <a:avLst/>
                            <a:gdLst/>
                            <a:ahLst/>
                            <a:cxnLst>
                              <a:cxn ang="0">
                                <a:pos x="0" y="10"/>
                              </a:cxn>
                              <a:cxn ang="0">
                                <a:pos x="5" y="0"/>
                              </a:cxn>
                              <a:cxn ang="0">
                                <a:pos x="6" y="0"/>
                              </a:cxn>
                              <a:cxn ang="0">
                                <a:pos x="0" y="12"/>
                              </a:cxn>
                              <a:cxn ang="0">
                                <a:pos x="0" y="10"/>
                              </a:cxn>
                            </a:cxnLst>
                            <a:rect l="0" t="0" r="r" b="b"/>
                            <a:pathLst>
                              <a:path w="6" h="12">
                                <a:moveTo>
                                  <a:pt x="0" y="10"/>
                                </a:moveTo>
                                <a:cubicBezTo>
                                  <a:pt x="0" y="10"/>
                                  <a:pt x="3" y="10"/>
                                  <a:pt x="5" y="0"/>
                                </a:cubicBezTo>
                                <a:lnTo>
                                  <a:pt x="6" y="0"/>
                                </a:lnTo>
                                <a:cubicBezTo>
                                  <a:pt x="4" y="11"/>
                                  <a:pt x="0" y="12"/>
                                  <a:pt x="0" y="12"/>
                                </a:cubicBezTo>
                                <a:lnTo>
                                  <a:pt x="0" y="10"/>
                                </a:lnTo>
                                <a:close/>
                              </a:path>
                            </a:pathLst>
                          </a:custGeom>
                          <a:solidFill>
                            <a:srgbClr val="605D5C"/>
                          </a:solidFill>
                          <a:ln w="9525">
                            <a:noFill/>
                            <a:round/>
                            <a:headEnd/>
                            <a:tailEnd/>
                          </a:ln>
                        </wps:spPr>
                        <wps:bodyPr/>
                      </wps:wsp>
                      <wps:wsp>
                        <wps:cNvPr id="228" name="Freeform 162"/>
                        <wps:cNvSpPr>
                          <a:spLocks/>
                        </wps:cNvSpPr>
                        <wps:spPr bwMode="auto">
                          <a:xfrm>
                            <a:off x="164" y="255"/>
                            <a:ext cx="7" cy="6"/>
                          </a:xfrm>
                          <a:custGeom>
                            <a:avLst/>
                            <a:gdLst/>
                            <a:ahLst/>
                            <a:cxnLst>
                              <a:cxn ang="0">
                                <a:pos x="7" y="0"/>
                              </a:cxn>
                              <a:cxn ang="0">
                                <a:pos x="0" y="7"/>
                              </a:cxn>
                              <a:cxn ang="0">
                                <a:pos x="7" y="7"/>
                              </a:cxn>
                              <a:cxn ang="0">
                                <a:pos x="7" y="0"/>
                              </a:cxn>
                            </a:cxnLst>
                            <a:rect l="0" t="0" r="r" b="b"/>
                            <a:pathLst>
                              <a:path w="8" h="7">
                                <a:moveTo>
                                  <a:pt x="7" y="0"/>
                                </a:moveTo>
                                <a:cubicBezTo>
                                  <a:pt x="7" y="0"/>
                                  <a:pt x="3" y="2"/>
                                  <a:pt x="0" y="7"/>
                                </a:cubicBezTo>
                                <a:cubicBezTo>
                                  <a:pt x="0" y="7"/>
                                  <a:pt x="4" y="6"/>
                                  <a:pt x="7" y="7"/>
                                </a:cubicBezTo>
                                <a:cubicBezTo>
                                  <a:pt x="8" y="4"/>
                                  <a:pt x="7" y="0"/>
                                  <a:pt x="7" y="0"/>
                                </a:cubicBezTo>
                                <a:close/>
                              </a:path>
                            </a:pathLst>
                          </a:custGeom>
                          <a:solidFill>
                            <a:srgbClr val="FFFFFF"/>
                          </a:solidFill>
                          <a:ln w="9525">
                            <a:noFill/>
                            <a:round/>
                            <a:headEnd/>
                            <a:tailEnd/>
                          </a:ln>
                        </wps:spPr>
                        <wps:bodyPr/>
                      </wps:wsp>
                      <wps:wsp>
                        <wps:cNvPr id="229" name="Freeform 163"/>
                        <wps:cNvSpPr>
                          <a:spLocks noEditPoints="1"/>
                        </wps:cNvSpPr>
                        <wps:spPr bwMode="auto">
                          <a:xfrm>
                            <a:off x="162" y="254"/>
                            <a:ext cx="10" cy="9"/>
                          </a:xfrm>
                          <a:custGeom>
                            <a:avLst/>
                            <a:gdLst/>
                            <a:ahLst/>
                            <a:cxnLst>
                              <a:cxn ang="0">
                                <a:pos x="10" y="2"/>
                              </a:cxn>
                              <a:cxn ang="0">
                                <a:pos x="3" y="10"/>
                              </a:cxn>
                              <a:cxn ang="0">
                                <a:pos x="2" y="9"/>
                              </a:cxn>
                              <a:cxn ang="0">
                                <a:pos x="9" y="1"/>
                              </a:cxn>
                              <a:cxn ang="0">
                                <a:pos x="10" y="2"/>
                              </a:cxn>
                              <a:cxn ang="0">
                                <a:pos x="3" y="10"/>
                              </a:cxn>
                              <a:cxn ang="0">
                                <a:pos x="0" y="11"/>
                              </a:cxn>
                              <a:cxn ang="0">
                                <a:pos x="2" y="9"/>
                              </a:cxn>
                              <a:cxn ang="0">
                                <a:pos x="2" y="9"/>
                              </a:cxn>
                              <a:cxn ang="0">
                                <a:pos x="3" y="10"/>
                              </a:cxn>
                              <a:cxn ang="0">
                                <a:pos x="2" y="8"/>
                              </a:cxn>
                              <a:cxn ang="0">
                                <a:pos x="10" y="8"/>
                              </a:cxn>
                              <a:cxn ang="0">
                                <a:pos x="9" y="10"/>
                              </a:cxn>
                              <a:cxn ang="0">
                                <a:pos x="3" y="10"/>
                              </a:cxn>
                              <a:cxn ang="0">
                                <a:pos x="2" y="8"/>
                              </a:cxn>
                              <a:cxn ang="0">
                                <a:pos x="10" y="9"/>
                              </a:cxn>
                              <a:cxn ang="0">
                                <a:pos x="10" y="10"/>
                              </a:cxn>
                              <a:cxn ang="0">
                                <a:pos x="9" y="10"/>
                              </a:cxn>
                              <a:cxn ang="0">
                                <a:pos x="9" y="9"/>
                              </a:cxn>
                              <a:cxn ang="0">
                                <a:pos x="10" y="9"/>
                              </a:cxn>
                              <a:cxn ang="0">
                                <a:pos x="8" y="8"/>
                              </a:cxn>
                              <a:cxn ang="0">
                                <a:pos x="9" y="2"/>
                              </a:cxn>
                              <a:cxn ang="0">
                                <a:pos x="10" y="1"/>
                              </a:cxn>
                              <a:cxn ang="0">
                                <a:pos x="10" y="9"/>
                              </a:cxn>
                              <a:cxn ang="0">
                                <a:pos x="8" y="8"/>
                              </a:cxn>
                              <a:cxn ang="0">
                                <a:pos x="9" y="1"/>
                              </a:cxn>
                              <a:cxn ang="0">
                                <a:pos x="10" y="0"/>
                              </a:cxn>
                              <a:cxn ang="0">
                                <a:pos x="10" y="1"/>
                              </a:cxn>
                              <a:cxn ang="0">
                                <a:pos x="9" y="2"/>
                              </a:cxn>
                              <a:cxn ang="0">
                                <a:pos x="9" y="1"/>
                              </a:cxn>
                            </a:cxnLst>
                            <a:rect l="0" t="0" r="r" b="b"/>
                            <a:pathLst>
                              <a:path w="11" h="11">
                                <a:moveTo>
                                  <a:pt x="10" y="2"/>
                                </a:moveTo>
                                <a:cubicBezTo>
                                  <a:pt x="10" y="2"/>
                                  <a:pt x="6" y="5"/>
                                  <a:pt x="3" y="10"/>
                                </a:cubicBezTo>
                                <a:lnTo>
                                  <a:pt x="2" y="9"/>
                                </a:lnTo>
                                <a:cubicBezTo>
                                  <a:pt x="5" y="3"/>
                                  <a:pt x="9" y="1"/>
                                  <a:pt x="9" y="1"/>
                                </a:cubicBezTo>
                                <a:lnTo>
                                  <a:pt x="10" y="2"/>
                                </a:lnTo>
                                <a:close/>
                                <a:moveTo>
                                  <a:pt x="3" y="10"/>
                                </a:moveTo>
                                <a:lnTo>
                                  <a:pt x="0" y="11"/>
                                </a:lnTo>
                                <a:lnTo>
                                  <a:pt x="2" y="9"/>
                                </a:lnTo>
                                <a:lnTo>
                                  <a:pt x="2" y="9"/>
                                </a:lnTo>
                                <a:lnTo>
                                  <a:pt x="3" y="10"/>
                                </a:lnTo>
                                <a:close/>
                                <a:moveTo>
                                  <a:pt x="2" y="8"/>
                                </a:moveTo>
                                <a:cubicBezTo>
                                  <a:pt x="2" y="8"/>
                                  <a:pt x="6" y="7"/>
                                  <a:pt x="10" y="8"/>
                                </a:cubicBezTo>
                                <a:lnTo>
                                  <a:pt x="9" y="10"/>
                                </a:lnTo>
                                <a:cubicBezTo>
                                  <a:pt x="6" y="9"/>
                                  <a:pt x="3" y="10"/>
                                  <a:pt x="3" y="10"/>
                                </a:cubicBezTo>
                                <a:lnTo>
                                  <a:pt x="2" y="8"/>
                                </a:lnTo>
                                <a:close/>
                                <a:moveTo>
                                  <a:pt x="10" y="9"/>
                                </a:moveTo>
                                <a:lnTo>
                                  <a:pt x="10" y="10"/>
                                </a:lnTo>
                                <a:lnTo>
                                  <a:pt x="9" y="10"/>
                                </a:lnTo>
                                <a:lnTo>
                                  <a:pt x="9" y="9"/>
                                </a:lnTo>
                                <a:lnTo>
                                  <a:pt x="10" y="9"/>
                                </a:lnTo>
                                <a:close/>
                                <a:moveTo>
                                  <a:pt x="8" y="8"/>
                                </a:moveTo>
                                <a:cubicBezTo>
                                  <a:pt x="9" y="6"/>
                                  <a:pt x="9" y="2"/>
                                  <a:pt x="9" y="2"/>
                                </a:cubicBezTo>
                                <a:lnTo>
                                  <a:pt x="10" y="1"/>
                                </a:lnTo>
                                <a:cubicBezTo>
                                  <a:pt x="10" y="1"/>
                                  <a:pt x="11" y="6"/>
                                  <a:pt x="10" y="9"/>
                                </a:cubicBezTo>
                                <a:lnTo>
                                  <a:pt x="8" y="8"/>
                                </a:lnTo>
                                <a:close/>
                                <a:moveTo>
                                  <a:pt x="9" y="1"/>
                                </a:moveTo>
                                <a:lnTo>
                                  <a:pt x="10" y="0"/>
                                </a:lnTo>
                                <a:lnTo>
                                  <a:pt x="10" y="1"/>
                                </a:lnTo>
                                <a:lnTo>
                                  <a:pt x="9" y="2"/>
                                </a:lnTo>
                                <a:lnTo>
                                  <a:pt x="9" y="1"/>
                                </a:lnTo>
                                <a:close/>
                              </a:path>
                            </a:pathLst>
                          </a:custGeom>
                          <a:solidFill>
                            <a:srgbClr val="605D5C"/>
                          </a:solidFill>
                          <a:ln w="9525">
                            <a:noFill/>
                            <a:round/>
                            <a:headEnd/>
                            <a:tailEnd/>
                          </a:ln>
                        </wps:spPr>
                        <wps:bodyPr/>
                      </wps:wsp>
                      <wps:wsp>
                        <wps:cNvPr id="230" name="Freeform 164"/>
                        <wps:cNvSpPr>
                          <a:spLocks/>
                        </wps:cNvSpPr>
                        <wps:spPr bwMode="auto">
                          <a:xfrm>
                            <a:off x="328" y="263"/>
                            <a:ext cx="78" cy="67"/>
                          </a:xfrm>
                          <a:custGeom>
                            <a:avLst/>
                            <a:gdLst/>
                            <a:ahLst/>
                            <a:cxnLst>
                              <a:cxn ang="0">
                                <a:pos x="1" y="64"/>
                              </a:cxn>
                              <a:cxn ang="0">
                                <a:pos x="6" y="63"/>
                              </a:cxn>
                              <a:cxn ang="0">
                                <a:pos x="50" y="54"/>
                              </a:cxn>
                              <a:cxn ang="0">
                                <a:pos x="69" y="46"/>
                              </a:cxn>
                              <a:cxn ang="0">
                                <a:pos x="95" y="36"/>
                              </a:cxn>
                              <a:cxn ang="0">
                                <a:pos x="70" y="25"/>
                              </a:cxn>
                              <a:cxn ang="0">
                                <a:pos x="25" y="34"/>
                              </a:cxn>
                              <a:cxn ang="0">
                                <a:pos x="25" y="41"/>
                              </a:cxn>
                              <a:cxn ang="0">
                                <a:pos x="23" y="47"/>
                              </a:cxn>
                              <a:cxn ang="0">
                                <a:pos x="3" y="60"/>
                              </a:cxn>
                              <a:cxn ang="0">
                                <a:pos x="1" y="60"/>
                              </a:cxn>
                              <a:cxn ang="0">
                                <a:pos x="1" y="64"/>
                              </a:cxn>
                            </a:cxnLst>
                            <a:rect l="0" t="0" r="r" b="b"/>
                            <a:pathLst>
                              <a:path w="95" h="82">
                                <a:moveTo>
                                  <a:pt x="1" y="64"/>
                                </a:moveTo>
                                <a:cubicBezTo>
                                  <a:pt x="1" y="64"/>
                                  <a:pt x="3" y="62"/>
                                  <a:pt x="6" y="63"/>
                                </a:cubicBezTo>
                                <a:cubicBezTo>
                                  <a:pt x="36" y="82"/>
                                  <a:pt x="50" y="54"/>
                                  <a:pt x="50" y="54"/>
                                </a:cubicBezTo>
                                <a:cubicBezTo>
                                  <a:pt x="57" y="39"/>
                                  <a:pt x="69" y="46"/>
                                  <a:pt x="69" y="46"/>
                                </a:cubicBezTo>
                                <a:cubicBezTo>
                                  <a:pt x="93" y="50"/>
                                  <a:pt x="95" y="36"/>
                                  <a:pt x="95" y="36"/>
                                </a:cubicBezTo>
                                <a:cubicBezTo>
                                  <a:pt x="83" y="42"/>
                                  <a:pt x="70" y="25"/>
                                  <a:pt x="70" y="25"/>
                                </a:cubicBezTo>
                                <a:cubicBezTo>
                                  <a:pt x="36" y="0"/>
                                  <a:pt x="26" y="32"/>
                                  <a:pt x="25" y="34"/>
                                </a:cubicBezTo>
                                <a:cubicBezTo>
                                  <a:pt x="25" y="34"/>
                                  <a:pt x="25" y="38"/>
                                  <a:pt x="25" y="41"/>
                                </a:cubicBezTo>
                                <a:cubicBezTo>
                                  <a:pt x="25" y="41"/>
                                  <a:pt x="24" y="46"/>
                                  <a:pt x="23" y="47"/>
                                </a:cubicBezTo>
                                <a:cubicBezTo>
                                  <a:pt x="20" y="55"/>
                                  <a:pt x="12" y="60"/>
                                  <a:pt x="3" y="60"/>
                                </a:cubicBezTo>
                                <a:cubicBezTo>
                                  <a:pt x="2" y="60"/>
                                  <a:pt x="1" y="60"/>
                                  <a:pt x="1" y="60"/>
                                </a:cubicBezTo>
                                <a:cubicBezTo>
                                  <a:pt x="1" y="60"/>
                                  <a:pt x="0" y="63"/>
                                  <a:pt x="1" y="64"/>
                                </a:cubicBezTo>
                                <a:close/>
                              </a:path>
                            </a:pathLst>
                          </a:custGeom>
                          <a:solidFill>
                            <a:srgbClr val="FDFA00"/>
                          </a:solidFill>
                          <a:ln w="1588" cap="flat">
                            <a:solidFill>
                              <a:srgbClr val="605D5C"/>
                            </a:solidFill>
                            <a:prstDash val="solid"/>
                            <a:round/>
                            <a:headEnd/>
                            <a:tailEnd/>
                          </a:ln>
                        </wps:spPr>
                        <wps:bodyPr/>
                      </wps:wsp>
                      <wps:wsp>
                        <wps:cNvPr id="231" name="Freeform 165"/>
                        <wps:cNvSpPr>
                          <a:spLocks/>
                        </wps:cNvSpPr>
                        <wps:spPr bwMode="auto">
                          <a:xfrm>
                            <a:off x="188" y="242"/>
                            <a:ext cx="61" cy="62"/>
                          </a:xfrm>
                          <a:custGeom>
                            <a:avLst/>
                            <a:gdLst/>
                            <a:ahLst/>
                            <a:cxnLst>
                              <a:cxn ang="0">
                                <a:pos x="55" y="49"/>
                              </a:cxn>
                              <a:cxn ang="0">
                                <a:pos x="75" y="55"/>
                              </a:cxn>
                              <a:cxn ang="0">
                                <a:pos x="62" y="75"/>
                              </a:cxn>
                              <a:cxn ang="0">
                                <a:pos x="33" y="39"/>
                              </a:cxn>
                              <a:cxn ang="0">
                                <a:pos x="0" y="4"/>
                              </a:cxn>
                              <a:cxn ang="0">
                                <a:pos x="18" y="3"/>
                              </a:cxn>
                              <a:cxn ang="0">
                                <a:pos x="40" y="8"/>
                              </a:cxn>
                              <a:cxn ang="0">
                                <a:pos x="31" y="17"/>
                              </a:cxn>
                              <a:cxn ang="0">
                                <a:pos x="53" y="27"/>
                              </a:cxn>
                              <a:cxn ang="0">
                                <a:pos x="44" y="32"/>
                              </a:cxn>
                              <a:cxn ang="0">
                                <a:pos x="56" y="38"/>
                              </a:cxn>
                              <a:cxn ang="0">
                                <a:pos x="65" y="41"/>
                              </a:cxn>
                              <a:cxn ang="0">
                                <a:pos x="55" y="49"/>
                              </a:cxn>
                            </a:cxnLst>
                            <a:rect l="0" t="0" r="r" b="b"/>
                            <a:pathLst>
                              <a:path w="75" h="75">
                                <a:moveTo>
                                  <a:pt x="55" y="49"/>
                                </a:moveTo>
                                <a:cubicBezTo>
                                  <a:pt x="67" y="59"/>
                                  <a:pt x="75" y="55"/>
                                  <a:pt x="75" y="55"/>
                                </a:cubicBezTo>
                                <a:cubicBezTo>
                                  <a:pt x="73" y="62"/>
                                  <a:pt x="62" y="75"/>
                                  <a:pt x="62" y="75"/>
                                </a:cubicBezTo>
                                <a:cubicBezTo>
                                  <a:pt x="62" y="75"/>
                                  <a:pt x="43" y="66"/>
                                  <a:pt x="33" y="39"/>
                                </a:cubicBezTo>
                                <a:cubicBezTo>
                                  <a:pt x="22" y="11"/>
                                  <a:pt x="0" y="4"/>
                                  <a:pt x="0" y="4"/>
                                </a:cubicBezTo>
                                <a:cubicBezTo>
                                  <a:pt x="0" y="4"/>
                                  <a:pt x="9" y="0"/>
                                  <a:pt x="18" y="3"/>
                                </a:cubicBezTo>
                                <a:cubicBezTo>
                                  <a:pt x="27" y="7"/>
                                  <a:pt x="26" y="8"/>
                                  <a:pt x="40" y="8"/>
                                </a:cubicBezTo>
                                <a:cubicBezTo>
                                  <a:pt x="34" y="12"/>
                                  <a:pt x="31" y="17"/>
                                  <a:pt x="31" y="17"/>
                                </a:cubicBezTo>
                                <a:cubicBezTo>
                                  <a:pt x="43" y="20"/>
                                  <a:pt x="53" y="27"/>
                                  <a:pt x="53" y="27"/>
                                </a:cubicBezTo>
                                <a:cubicBezTo>
                                  <a:pt x="50" y="27"/>
                                  <a:pt x="44" y="32"/>
                                  <a:pt x="44" y="32"/>
                                </a:cubicBezTo>
                                <a:cubicBezTo>
                                  <a:pt x="54" y="35"/>
                                  <a:pt x="56" y="38"/>
                                  <a:pt x="56" y="38"/>
                                </a:cubicBezTo>
                                <a:cubicBezTo>
                                  <a:pt x="61" y="41"/>
                                  <a:pt x="65" y="41"/>
                                  <a:pt x="65" y="41"/>
                                </a:cubicBezTo>
                                <a:cubicBezTo>
                                  <a:pt x="58" y="44"/>
                                  <a:pt x="55" y="49"/>
                                  <a:pt x="55" y="49"/>
                                </a:cubicBezTo>
                                <a:close/>
                              </a:path>
                            </a:pathLst>
                          </a:custGeom>
                          <a:solidFill>
                            <a:srgbClr val="FDFA00"/>
                          </a:solidFill>
                          <a:ln w="9525">
                            <a:noFill/>
                            <a:round/>
                            <a:headEnd/>
                            <a:tailEnd/>
                          </a:ln>
                        </wps:spPr>
                        <wps:bodyPr/>
                      </wps:wsp>
                      <wps:wsp>
                        <wps:cNvPr id="232" name="Freeform 166"/>
                        <wps:cNvSpPr>
                          <a:spLocks noEditPoints="1"/>
                        </wps:cNvSpPr>
                        <wps:spPr bwMode="auto">
                          <a:xfrm>
                            <a:off x="188" y="241"/>
                            <a:ext cx="62" cy="50"/>
                          </a:xfrm>
                          <a:custGeom>
                            <a:avLst/>
                            <a:gdLst/>
                            <a:ahLst/>
                            <a:cxnLst>
                              <a:cxn ang="0">
                                <a:pos x="18" y="4"/>
                              </a:cxn>
                              <a:cxn ang="0">
                                <a:pos x="1" y="6"/>
                              </a:cxn>
                              <a:cxn ang="0">
                                <a:pos x="18" y="4"/>
                              </a:cxn>
                              <a:cxn ang="0">
                                <a:pos x="22" y="7"/>
                              </a:cxn>
                              <a:cxn ang="0">
                                <a:pos x="18" y="4"/>
                              </a:cxn>
                              <a:cxn ang="0">
                                <a:pos x="40" y="9"/>
                              </a:cxn>
                              <a:cxn ang="0">
                                <a:pos x="22" y="7"/>
                              </a:cxn>
                              <a:cxn ang="0">
                                <a:pos x="40" y="9"/>
                              </a:cxn>
                              <a:cxn ang="0">
                                <a:pos x="40" y="10"/>
                              </a:cxn>
                              <a:cxn ang="0">
                                <a:pos x="40" y="10"/>
                              </a:cxn>
                              <a:cxn ang="0">
                                <a:pos x="31" y="18"/>
                              </a:cxn>
                              <a:cxn ang="0">
                                <a:pos x="40" y="10"/>
                              </a:cxn>
                              <a:cxn ang="0">
                                <a:pos x="30" y="19"/>
                              </a:cxn>
                              <a:cxn ang="0">
                                <a:pos x="31" y="18"/>
                              </a:cxn>
                              <a:cxn ang="0">
                                <a:pos x="32" y="17"/>
                              </a:cxn>
                              <a:cxn ang="0">
                                <a:pos x="53" y="28"/>
                              </a:cxn>
                              <a:cxn ang="0">
                                <a:pos x="32" y="17"/>
                              </a:cxn>
                              <a:cxn ang="0">
                                <a:pos x="55" y="28"/>
                              </a:cxn>
                              <a:cxn ang="0">
                                <a:pos x="53" y="28"/>
                              </a:cxn>
                              <a:cxn ang="0">
                                <a:pos x="53" y="29"/>
                              </a:cxn>
                              <a:cxn ang="0">
                                <a:pos x="43" y="33"/>
                              </a:cxn>
                              <a:cxn ang="0">
                                <a:pos x="53" y="29"/>
                              </a:cxn>
                              <a:cxn ang="0">
                                <a:pos x="42" y="34"/>
                              </a:cxn>
                              <a:cxn ang="0">
                                <a:pos x="44" y="34"/>
                              </a:cxn>
                              <a:cxn ang="0">
                                <a:pos x="56" y="39"/>
                              </a:cxn>
                              <a:cxn ang="0">
                                <a:pos x="44" y="34"/>
                              </a:cxn>
                              <a:cxn ang="0">
                                <a:pos x="55" y="40"/>
                              </a:cxn>
                              <a:cxn ang="0">
                                <a:pos x="55" y="40"/>
                              </a:cxn>
                              <a:cxn ang="0">
                                <a:pos x="55" y="40"/>
                              </a:cxn>
                              <a:cxn ang="0">
                                <a:pos x="64" y="42"/>
                              </a:cxn>
                              <a:cxn ang="0">
                                <a:pos x="55" y="40"/>
                              </a:cxn>
                              <a:cxn ang="0">
                                <a:pos x="64" y="42"/>
                              </a:cxn>
                              <a:cxn ang="0">
                                <a:pos x="64" y="43"/>
                              </a:cxn>
                              <a:cxn ang="0">
                                <a:pos x="64" y="43"/>
                              </a:cxn>
                              <a:cxn ang="0">
                                <a:pos x="55" y="50"/>
                              </a:cxn>
                              <a:cxn ang="0">
                                <a:pos x="64" y="43"/>
                              </a:cxn>
                              <a:cxn ang="0">
                                <a:pos x="55" y="51"/>
                              </a:cxn>
                              <a:cxn ang="0">
                                <a:pos x="56" y="51"/>
                              </a:cxn>
                              <a:cxn ang="0">
                                <a:pos x="56" y="50"/>
                              </a:cxn>
                              <a:cxn ang="0">
                                <a:pos x="76" y="56"/>
                              </a:cxn>
                              <a:cxn ang="0">
                                <a:pos x="56" y="50"/>
                              </a:cxn>
                            </a:cxnLst>
                            <a:rect l="0" t="0" r="r" b="b"/>
                            <a:pathLst>
                              <a:path w="76" h="61">
                                <a:moveTo>
                                  <a:pt x="0" y="5"/>
                                </a:moveTo>
                                <a:cubicBezTo>
                                  <a:pt x="0" y="5"/>
                                  <a:pt x="9" y="0"/>
                                  <a:pt x="18" y="4"/>
                                </a:cubicBezTo>
                                <a:lnTo>
                                  <a:pt x="18" y="5"/>
                                </a:lnTo>
                                <a:cubicBezTo>
                                  <a:pt x="9" y="2"/>
                                  <a:pt x="1" y="6"/>
                                  <a:pt x="1" y="6"/>
                                </a:cubicBezTo>
                                <a:lnTo>
                                  <a:pt x="0" y="5"/>
                                </a:lnTo>
                                <a:close/>
                                <a:moveTo>
                                  <a:pt x="18" y="4"/>
                                </a:moveTo>
                                <a:cubicBezTo>
                                  <a:pt x="20" y="5"/>
                                  <a:pt x="21" y="5"/>
                                  <a:pt x="22" y="6"/>
                                </a:cubicBezTo>
                                <a:lnTo>
                                  <a:pt x="22" y="7"/>
                                </a:lnTo>
                                <a:cubicBezTo>
                                  <a:pt x="20" y="6"/>
                                  <a:pt x="19" y="6"/>
                                  <a:pt x="18" y="5"/>
                                </a:cubicBezTo>
                                <a:lnTo>
                                  <a:pt x="18" y="4"/>
                                </a:lnTo>
                                <a:close/>
                                <a:moveTo>
                                  <a:pt x="22" y="6"/>
                                </a:moveTo>
                                <a:cubicBezTo>
                                  <a:pt x="27" y="8"/>
                                  <a:pt x="29" y="8"/>
                                  <a:pt x="40" y="9"/>
                                </a:cubicBezTo>
                                <a:lnTo>
                                  <a:pt x="40" y="10"/>
                                </a:lnTo>
                                <a:cubicBezTo>
                                  <a:pt x="28" y="10"/>
                                  <a:pt x="27" y="9"/>
                                  <a:pt x="22" y="7"/>
                                </a:cubicBezTo>
                                <a:lnTo>
                                  <a:pt x="22" y="6"/>
                                </a:lnTo>
                                <a:close/>
                                <a:moveTo>
                                  <a:pt x="40" y="9"/>
                                </a:moveTo>
                                <a:lnTo>
                                  <a:pt x="42" y="9"/>
                                </a:lnTo>
                                <a:lnTo>
                                  <a:pt x="40" y="10"/>
                                </a:lnTo>
                                <a:lnTo>
                                  <a:pt x="40" y="9"/>
                                </a:lnTo>
                                <a:close/>
                                <a:moveTo>
                                  <a:pt x="40" y="10"/>
                                </a:moveTo>
                                <a:cubicBezTo>
                                  <a:pt x="35" y="14"/>
                                  <a:pt x="32" y="18"/>
                                  <a:pt x="32" y="18"/>
                                </a:cubicBezTo>
                                <a:lnTo>
                                  <a:pt x="31" y="18"/>
                                </a:lnTo>
                                <a:cubicBezTo>
                                  <a:pt x="31" y="18"/>
                                  <a:pt x="34" y="13"/>
                                  <a:pt x="40" y="9"/>
                                </a:cubicBezTo>
                                <a:lnTo>
                                  <a:pt x="40" y="10"/>
                                </a:lnTo>
                                <a:close/>
                                <a:moveTo>
                                  <a:pt x="31" y="19"/>
                                </a:moveTo>
                                <a:lnTo>
                                  <a:pt x="30" y="19"/>
                                </a:lnTo>
                                <a:lnTo>
                                  <a:pt x="31" y="18"/>
                                </a:lnTo>
                                <a:lnTo>
                                  <a:pt x="31" y="18"/>
                                </a:lnTo>
                                <a:lnTo>
                                  <a:pt x="31" y="19"/>
                                </a:lnTo>
                                <a:close/>
                                <a:moveTo>
                                  <a:pt x="32" y="17"/>
                                </a:moveTo>
                                <a:cubicBezTo>
                                  <a:pt x="43" y="20"/>
                                  <a:pt x="53" y="27"/>
                                  <a:pt x="53" y="27"/>
                                </a:cubicBezTo>
                                <a:lnTo>
                                  <a:pt x="53" y="28"/>
                                </a:lnTo>
                                <a:cubicBezTo>
                                  <a:pt x="53" y="28"/>
                                  <a:pt x="43" y="21"/>
                                  <a:pt x="31" y="19"/>
                                </a:cubicBezTo>
                                <a:lnTo>
                                  <a:pt x="32" y="17"/>
                                </a:lnTo>
                                <a:close/>
                                <a:moveTo>
                                  <a:pt x="53" y="27"/>
                                </a:moveTo>
                                <a:lnTo>
                                  <a:pt x="55" y="28"/>
                                </a:lnTo>
                                <a:lnTo>
                                  <a:pt x="53" y="29"/>
                                </a:lnTo>
                                <a:lnTo>
                                  <a:pt x="53" y="28"/>
                                </a:lnTo>
                                <a:lnTo>
                                  <a:pt x="53" y="27"/>
                                </a:lnTo>
                                <a:close/>
                                <a:moveTo>
                                  <a:pt x="53" y="29"/>
                                </a:moveTo>
                                <a:cubicBezTo>
                                  <a:pt x="51" y="29"/>
                                  <a:pt x="44" y="34"/>
                                  <a:pt x="44" y="34"/>
                                </a:cubicBezTo>
                                <a:lnTo>
                                  <a:pt x="43" y="33"/>
                                </a:lnTo>
                                <a:cubicBezTo>
                                  <a:pt x="44" y="33"/>
                                  <a:pt x="50" y="28"/>
                                  <a:pt x="53" y="27"/>
                                </a:cubicBezTo>
                                <a:lnTo>
                                  <a:pt x="53" y="29"/>
                                </a:lnTo>
                                <a:close/>
                                <a:moveTo>
                                  <a:pt x="44" y="34"/>
                                </a:moveTo>
                                <a:lnTo>
                                  <a:pt x="42" y="34"/>
                                </a:lnTo>
                                <a:lnTo>
                                  <a:pt x="43" y="33"/>
                                </a:lnTo>
                                <a:lnTo>
                                  <a:pt x="44" y="34"/>
                                </a:lnTo>
                                <a:close/>
                                <a:moveTo>
                                  <a:pt x="44" y="33"/>
                                </a:moveTo>
                                <a:cubicBezTo>
                                  <a:pt x="54" y="35"/>
                                  <a:pt x="56" y="39"/>
                                  <a:pt x="56" y="39"/>
                                </a:cubicBezTo>
                                <a:lnTo>
                                  <a:pt x="55" y="40"/>
                                </a:lnTo>
                                <a:cubicBezTo>
                                  <a:pt x="55" y="40"/>
                                  <a:pt x="54" y="36"/>
                                  <a:pt x="44" y="34"/>
                                </a:cubicBezTo>
                                <a:lnTo>
                                  <a:pt x="44" y="33"/>
                                </a:lnTo>
                                <a:close/>
                                <a:moveTo>
                                  <a:pt x="55" y="40"/>
                                </a:moveTo>
                                <a:lnTo>
                                  <a:pt x="55" y="40"/>
                                </a:lnTo>
                                <a:lnTo>
                                  <a:pt x="55" y="40"/>
                                </a:lnTo>
                                <a:lnTo>
                                  <a:pt x="56" y="39"/>
                                </a:lnTo>
                                <a:lnTo>
                                  <a:pt x="55" y="40"/>
                                </a:lnTo>
                                <a:close/>
                                <a:moveTo>
                                  <a:pt x="56" y="39"/>
                                </a:moveTo>
                                <a:cubicBezTo>
                                  <a:pt x="62" y="42"/>
                                  <a:pt x="64" y="42"/>
                                  <a:pt x="64" y="42"/>
                                </a:cubicBezTo>
                                <a:lnTo>
                                  <a:pt x="64" y="43"/>
                                </a:lnTo>
                                <a:cubicBezTo>
                                  <a:pt x="64" y="43"/>
                                  <a:pt x="61" y="43"/>
                                  <a:pt x="55" y="40"/>
                                </a:cubicBezTo>
                                <a:lnTo>
                                  <a:pt x="56" y="39"/>
                                </a:lnTo>
                                <a:close/>
                                <a:moveTo>
                                  <a:pt x="64" y="42"/>
                                </a:moveTo>
                                <a:lnTo>
                                  <a:pt x="67" y="41"/>
                                </a:lnTo>
                                <a:lnTo>
                                  <a:pt x="64" y="43"/>
                                </a:lnTo>
                                <a:lnTo>
                                  <a:pt x="64" y="42"/>
                                </a:lnTo>
                                <a:close/>
                                <a:moveTo>
                                  <a:pt x="64" y="43"/>
                                </a:moveTo>
                                <a:cubicBezTo>
                                  <a:pt x="58" y="46"/>
                                  <a:pt x="56" y="51"/>
                                  <a:pt x="56" y="51"/>
                                </a:cubicBezTo>
                                <a:lnTo>
                                  <a:pt x="55" y="50"/>
                                </a:lnTo>
                                <a:cubicBezTo>
                                  <a:pt x="55" y="50"/>
                                  <a:pt x="57" y="45"/>
                                  <a:pt x="64" y="42"/>
                                </a:cubicBezTo>
                                <a:lnTo>
                                  <a:pt x="64" y="43"/>
                                </a:lnTo>
                                <a:close/>
                                <a:moveTo>
                                  <a:pt x="55" y="51"/>
                                </a:moveTo>
                                <a:lnTo>
                                  <a:pt x="55" y="51"/>
                                </a:lnTo>
                                <a:lnTo>
                                  <a:pt x="55" y="50"/>
                                </a:lnTo>
                                <a:lnTo>
                                  <a:pt x="56" y="51"/>
                                </a:lnTo>
                                <a:lnTo>
                                  <a:pt x="55" y="51"/>
                                </a:lnTo>
                                <a:close/>
                                <a:moveTo>
                                  <a:pt x="56" y="50"/>
                                </a:moveTo>
                                <a:cubicBezTo>
                                  <a:pt x="68" y="59"/>
                                  <a:pt x="76" y="55"/>
                                  <a:pt x="76" y="55"/>
                                </a:cubicBezTo>
                                <a:lnTo>
                                  <a:pt x="76" y="56"/>
                                </a:lnTo>
                                <a:cubicBezTo>
                                  <a:pt x="76" y="56"/>
                                  <a:pt x="67" y="61"/>
                                  <a:pt x="55" y="51"/>
                                </a:cubicBezTo>
                                <a:lnTo>
                                  <a:pt x="56" y="50"/>
                                </a:lnTo>
                                <a:close/>
                              </a:path>
                            </a:pathLst>
                          </a:custGeom>
                          <a:solidFill>
                            <a:srgbClr val="605D5C"/>
                          </a:solidFill>
                          <a:ln w="9525">
                            <a:noFill/>
                            <a:round/>
                            <a:headEnd/>
                            <a:tailEnd/>
                          </a:ln>
                        </wps:spPr>
                        <wps:bodyPr/>
                      </wps:wsp>
                      <wps:wsp>
                        <wps:cNvPr id="233" name="Freeform 167"/>
                        <wps:cNvSpPr>
                          <a:spLocks/>
                        </wps:cNvSpPr>
                        <wps:spPr bwMode="auto">
                          <a:xfrm>
                            <a:off x="162" y="243"/>
                            <a:ext cx="13" cy="14"/>
                          </a:xfrm>
                          <a:custGeom>
                            <a:avLst/>
                            <a:gdLst/>
                            <a:ahLst/>
                            <a:cxnLst>
                              <a:cxn ang="0">
                                <a:pos x="4" y="6"/>
                              </a:cxn>
                              <a:cxn ang="0">
                                <a:pos x="11" y="3"/>
                              </a:cxn>
                              <a:cxn ang="0">
                                <a:pos x="15" y="6"/>
                              </a:cxn>
                              <a:cxn ang="0">
                                <a:pos x="9" y="13"/>
                              </a:cxn>
                              <a:cxn ang="0">
                                <a:pos x="1" y="14"/>
                              </a:cxn>
                              <a:cxn ang="0">
                                <a:pos x="2" y="10"/>
                              </a:cxn>
                              <a:cxn ang="0">
                                <a:pos x="4" y="6"/>
                              </a:cxn>
                            </a:cxnLst>
                            <a:rect l="0" t="0" r="r" b="b"/>
                            <a:pathLst>
                              <a:path w="16" h="17">
                                <a:moveTo>
                                  <a:pt x="4" y="6"/>
                                </a:moveTo>
                                <a:cubicBezTo>
                                  <a:pt x="5" y="2"/>
                                  <a:pt x="11" y="3"/>
                                  <a:pt x="11" y="3"/>
                                </a:cubicBezTo>
                                <a:cubicBezTo>
                                  <a:pt x="11" y="3"/>
                                  <a:pt x="16" y="0"/>
                                  <a:pt x="15" y="6"/>
                                </a:cubicBezTo>
                                <a:cubicBezTo>
                                  <a:pt x="7" y="7"/>
                                  <a:pt x="11" y="9"/>
                                  <a:pt x="9" y="13"/>
                                </a:cubicBezTo>
                                <a:cubicBezTo>
                                  <a:pt x="6" y="17"/>
                                  <a:pt x="1" y="14"/>
                                  <a:pt x="1" y="14"/>
                                </a:cubicBezTo>
                                <a:cubicBezTo>
                                  <a:pt x="1" y="14"/>
                                  <a:pt x="0" y="11"/>
                                  <a:pt x="2" y="10"/>
                                </a:cubicBezTo>
                                <a:cubicBezTo>
                                  <a:pt x="1" y="7"/>
                                  <a:pt x="4" y="6"/>
                                  <a:pt x="4" y="6"/>
                                </a:cubicBezTo>
                                <a:close/>
                              </a:path>
                            </a:pathLst>
                          </a:custGeom>
                          <a:solidFill>
                            <a:srgbClr val="FDFA00"/>
                          </a:solidFill>
                          <a:ln w="9525">
                            <a:noFill/>
                            <a:round/>
                            <a:headEnd/>
                            <a:tailEnd/>
                          </a:ln>
                        </wps:spPr>
                        <wps:bodyPr/>
                      </wps:wsp>
                      <wps:wsp>
                        <wps:cNvPr id="234" name="Freeform 168"/>
                        <wps:cNvSpPr>
                          <a:spLocks noEditPoints="1"/>
                        </wps:cNvSpPr>
                        <wps:spPr bwMode="auto">
                          <a:xfrm>
                            <a:off x="162" y="242"/>
                            <a:ext cx="14" cy="15"/>
                          </a:xfrm>
                          <a:custGeom>
                            <a:avLst/>
                            <a:gdLst/>
                            <a:ahLst/>
                            <a:cxnLst>
                              <a:cxn ang="0">
                                <a:pos x="3" y="7"/>
                              </a:cxn>
                              <a:cxn ang="0">
                                <a:pos x="11" y="3"/>
                              </a:cxn>
                              <a:cxn ang="0">
                                <a:pos x="11" y="4"/>
                              </a:cxn>
                              <a:cxn ang="0">
                                <a:pos x="5" y="7"/>
                              </a:cxn>
                              <a:cxn ang="0">
                                <a:pos x="3" y="7"/>
                              </a:cxn>
                              <a:cxn ang="0">
                                <a:pos x="11" y="4"/>
                              </a:cxn>
                              <a:cxn ang="0">
                                <a:pos x="11" y="4"/>
                              </a:cxn>
                              <a:cxn ang="0">
                                <a:pos x="11" y="4"/>
                              </a:cxn>
                              <a:cxn ang="0">
                                <a:pos x="11" y="4"/>
                              </a:cxn>
                              <a:cxn ang="0">
                                <a:pos x="11" y="3"/>
                              </a:cxn>
                              <a:cxn ang="0">
                                <a:pos x="15" y="7"/>
                              </a:cxn>
                              <a:cxn ang="0">
                                <a:pos x="14" y="7"/>
                              </a:cxn>
                              <a:cxn ang="0">
                                <a:pos x="11" y="4"/>
                              </a:cxn>
                              <a:cxn ang="0">
                                <a:pos x="11" y="3"/>
                              </a:cxn>
                              <a:cxn ang="0">
                                <a:pos x="15" y="7"/>
                              </a:cxn>
                              <a:cxn ang="0">
                                <a:pos x="15" y="7"/>
                              </a:cxn>
                              <a:cxn ang="0">
                                <a:pos x="15" y="7"/>
                              </a:cxn>
                              <a:cxn ang="0">
                                <a:pos x="15" y="7"/>
                              </a:cxn>
                              <a:cxn ang="0">
                                <a:pos x="15" y="7"/>
                              </a:cxn>
                              <a:cxn ang="0">
                                <a:pos x="10" y="10"/>
                              </a:cxn>
                              <a:cxn ang="0">
                                <a:pos x="9" y="10"/>
                              </a:cxn>
                              <a:cxn ang="0">
                                <a:pos x="15" y="6"/>
                              </a:cxn>
                              <a:cxn ang="0">
                                <a:pos x="15" y="7"/>
                              </a:cxn>
                              <a:cxn ang="0">
                                <a:pos x="10" y="10"/>
                              </a:cxn>
                              <a:cxn ang="0">
                                <a:pos x="9" y="14"/>
                              </a:cxn>
                              <a:cxn ang="0">
                                <a:pos x="8" y="13"/>
                              </a:cxn>
                              <a:cxn ang="0">
                                <a:pos x="9" y="10"/>
                              </a:cxn>
                              <a:cxn ang="0">
                                <a:pos x="10" y="10"/>
                              </a:cxn>
                              <a:cxn ang="0">
                                <a:pos x="9" y="14"/>
                              </a:cxn>
                              <a:cxn ang="0">
                                <a:pos x="0" y="15"/>
                              </a:cxn>
                              <a:cxn ang="0">
                                <a:pos x="1" y="14"/>
                              </a:cxn>
                              <a:cxn ang="0">
                                <a:pos x="8" y="13"/>
                              </a:cxn>
                              <a:cxn ang="0">
                                <a:pos x="9" y="14"/>
                              </a:cxn>
                              <a:cxn ang="0">
                                <a:pos x="0" y="15"/>
                              </a:cxn>
                              <a:cxn ang="0">
                                <a:pos x="0" y="15"/>
                              </a:cxn>
                              <a:cxn ang="0">
                                <a:pos x="0" y="15"/>
                              </a:cxn>
                              <a:cxn ang="0">
                                <a:pos x="1" y="15"/>
                              </a:cxn>
                              <a:cxn ang="0">
                                <a:pos x="0" y="15"/>
                              </a:cxn>
                              <a:cxn ang="0">
                                <a:pos x="0" y="15"/>
                              </a:cxn>
                              <a:cxn ang="0">
                                <a:pos x="2" y="10"/>
                              </a:cxn>
                              <a:cxn ang="0">
                                <a:pos x="2" y="12"/>
                              </a:cxn>
                              <a:cxn ang="0">
                                <a:pos x="1" y="15"/>
                              </a:cxn>
                              <a:cxn ang="0">
                                <a:pos x="0" y="15"/>
                              </a:cxn>
                              <a:cxn ang="0">
                                <a:pos x="3" y="11"/>
                              </a:cxn>
                              <a:cxn ang="0">
                                <a:pos x="3" y="11"/>
                              </a:cxn>
                              <a:cxn ang="0">
                                <a:pos x="2" y="12"/>
                              </a:cxn>
                              <a:cxn ang="0">
                                <a:pos x="2" y="11"/>
                              </a:cxn>
                              <a:cxn ang="0">
                                <a:pos x="3" y="11"/>
                              </a:cxn>
                              <a:cxn ang="0">
                                <a:pos x="1" y="11"/>
                              </a:cxn>
                              <a:cxn ang="0">
                                <a:pos x="4" y="6"/>
                              </a:cxn>
                              <a:cxn ang="0">
                                <a:pos x="4" y="7"/>
                              </a:cxn>
                              <a:cxn ang="0">
                                <a:pos x="3" y="11"/>
                              </a:cxn>
                              <a:cxn ang="0">
                                <a:pos x="1" y="11"/>
                              </a:cxn>
                              <a:cxn ang="0">
                                <a:pos x="5" y="7"/>
                              </a:cxn>
                              <a:cxn ang="0">
                                <a:pos x="5" y="7"/>
                              </a:cxn>
                              <a:cxn ang="0">
                                <a:pos x="4" y="7"/>
                              </a:cxn>
                              <a:cxn ang="0">
                                <a:pos x="4" y="7"/>
                              </a:cxn>
                              <a:cxn ang="0">
                                <a:pos x="5" y="7"/>
                              </a:cxn>
                            </a:cxnLst>
                            <a:rect l="0" t="0" r="r" b="b"/>
                            <a:pathLst>
                              <a:path w="17" h="18">
                                <a:moveTo>
                                  <a:pt x="3" y="7"/>
                                </a:moveTo>
                                <a:cubicBezTo>
                                  <a:pt x="5" y="2"/>
                                  <a:pt x="11" y="3"/>
                                  <a:pt x="11" y="3"/>
                                </a:cubicBezTo>
                                <a:lnTo>
                                  <a:pt x="11" y="4"/>
                                </a:lnTo>
                                <a:cubicBezTo>
                                  <a:pt x="11" y="4"/>
                                  <a:pt x="5" y="3"/>
                                  <a:pt x="5" y="7"/>
                                </a:cubicBezTo>
                                <a:lnTo>
                                  <a:pt x="3" y="7"/>
                                </a:lnTo>
                                <a:close/>
                                <a:moveTo>
                                  <a:pt x="11" y="4"/>
                                </a:moveTo>
                                <a:lnTo>
                                  <a:pt x="11" y="4"/>
                                </a:lnTo>
                                <a:lnTo>
                                  <a:pt x="11" y="4"/>
                                </a:lnTo>
                                <a:lnTo>
                                  <a:pt x="11" y="4"/>
                                </a:lnTo>
                                <a:close/>
                                <a:moveTo>
                                  <a:pt x="11" y="3"/>
                                </a:moveTo>
                                <a:cubicBezTo>
                                  <a:pt x="11" y="3"/>
                                  <a:pt x="17" y="0"/>
                                  <a:pt x="15" y="7"/>
                                </a:cubicBezTo>
                                <a:lnTo>
                                  <a:pt x="14" y="7"/>
                                </a:lnTo>
                                <a:cubicBezTo>
                                  <a:pt x="15" y="3"/>
                                  <a:pt x="11" y="4"/>
                                  <a:pt x="11" y="4"/>
                                </a:cubicBezTo>
                                <a:lnTo>
                                  <a:pt x="11" y="3"/>
                                </a:lnTo>
                                <a:close/>
                                <a:moveTo>
                                  <a:pt x="15" y="7"/>
                                </a:moveTo>
                                <a:lnTo>
                                  <a:pt x="15" y="7"/>
                                </a:lnTo>
                                <a:lnTo>
                                  <a:pt x="15" y="7"/>
                                </a:lnTo>
                                <a:lnTo>
                                  <a:pt x="15" y="7"/>
                                </a:lnTo>
                                <a:close/>
                                <a:moveTo>
                                  <a:pt x="15" y="7"/>
                                </a:moveTo>
                                <a:cubicBezTo>
                                  <a:pt x="10" y="8"/>
                                  <a:pt x="10" y="9"/>
                                  <a:pt x="10" y="10"/>
                                </a:cubicBezTo>
                                <a:lnTo>
                                  <a:pt x="9" y="10"/>
                                </a:lnTo>
                                <a:cubicBezTo>
                                  <a:pt x="9" y="8"/>
                                  <a:pt x="9" y="7"/>
                                  <a:pt x="15" y="6"/>
                                </a:cubicBezTo>
                                <a:lnTo>
                                  <a:pt x="15" y="7"/>
                                </a:lnTo>
                                <a:close/>
                                <a:moveTo>
                                  <a:pt x="10" y="10"/>
                                </a:moveTo>
                                <a:cubicBezTo>
                                  <a:pt x="10" y="11"/>
                                  <a:pt x="10" y="13"/>
                                  <a:pt x="9" y="14"/>
                                </a:cubicBezTo>
                                <a:lnTo>
                                  <a:pt x="8" y="13"/>
                                </a:lnTo>
                                <a:cubicBezTo>
                                  <a:pt x="9" y="12"/>
                                  <a:pt x="9" y="11"/>
                                  <a:pt x="9" y="10"/>
                                </a:cubicBezTo>
                                <a:lnTo>
                                  <a:pt x="10" y="10"/>
                                </a:lnTo>
                                <a:close/>
                                <a:moveTo>
                                  <a:pt x="9" y="14"/>
                                </a:moveTo>
                                <a:cubicBezTo>
                                  <a:pt x="6" y="18"/>
                                  <a:pt x="0" y="15"/>
                                  <a:pt x="0" y="15"/>
                                </a:cubicBezTo>
                                <a:lnTo>
                                  <a:pt x="1" y="14"/>
                                </a:lnTo>
                                <a:cubicBezTo>
                                  <a:pt x="1" y="14"/>
                                  <a:pt x="6" y="17"/>
                                  <a:pt x="8" y="13"/>
                                </a:cubicBezTo>
                                <a:lnTo>
                                  <a:pt x="9" y="14"/>
                                </a:lnTo>
                                <a:close/>
                                <a:moveTo>
                                  <a:pt x="0" y="15"/>
                                </a:moveTo>
                                <a:lnTo>
                                  <a:pt x="0" y="15"/>
                                </a:lnTo>
                                <a:lnTo>
                                  <a:pt x="0" y="15"/>
                                </a:lnTo>
                                <a:lnTo>
                                  <a:pt x="1" y="15"/>
                                </a:lnTo>
                                <a:lnTo>
                                  <a:pt x="0" y="15"/>
                                </a:lnTo>
                                <a:close/>
                                <a:moveTo>
                                  <a:pt x="0" y="15"/>
                                </a:moveTo>
                                <a:cubicBezTo>
                                  <a:pt x="0" y="15"/>
                                  <a:pt x="0" y="11"/>
                                  <a:pt x="2" y="10"/>
                                </a:cubicBezTo>
                                <a:lnTo>
                                  <a:pt x="2" y="12"/>
                                </a:lnTo>
                                <a:cubicBezTo>
                                  <a:pt x="1" y="12"/>
                                  <a:pt x="1" y="15"/>
                                  <a:pt x="1" y="15"/>
                                </a:cubicBezTo>
                                <a:lnTo>
                                  <a:pt x="0" y="15"/>
                                </a:lnTo>
                                <a:close/>
                                <a:moveTo>
                                  <a:pt x="3" y="11"/>
                                </a:moveTo>
                                <a:lnTo>
                                  <a:pt x="3" y="11"/>
                                </a:lnTo>
                                <a:lnTo>
                                  <a:pt x="2" y="12"/>
                                </a:lnTo>
                                <a:lnTo>
                                  <a:pt x="2" y="11"/>
                                </a:lnTo>
                                <a:lnTo>
                                  <a:pt x="3" y="11"/>
                                </a:lnTo>
                                <a:close/>
                                <a:moveTo>
                                  <a:pt x="1" y="11"/>
                                </a:moveTo>
                                <a:cubicBezTo>
                                  <a:pt x="0" y="7"/>
                                  <a:pt x="4" y="6"/>
                                  <a:pt x="4" y="6"/>
                                </a:cubicBezTo>
                                <a:lnTo>
                                  <a:pt x="4" y="7"/>
                                </a:lnTo>
                                <a:cubicBezTo>
                                  <a:pt x="4" y="7"/>
                                  <a:pt x="2" y="8"/>
                                  <a:pt x="3" y="11"/>
                                </a:cubicBezTo>
                                <a:lnTo>
                                  <a:pt x="1" y="11"/>
                                </a:lnTo>
                                <a:close/>
                                <a:moveTo>
                                  <a:pt x="5" y="7"/>
                                </a:moveTo>
                                <a:lnTo>
                                  <a:pt x="5" y="7"/>
                                </a:lnTo>
                                <a:lnTo>
                                  <a:pt x="4" y="7"/>
                                </a:lnTo>
                                <a:lnTo>
                                  <a:pt x="4" y="7"/>
                                </a:lnTo>
                                <a:lnTo>
                                  <a:pt x="5" y="7"/>
                                </a:lnTo>
                                <a:close/>
                              </a:path>
                            </a:pathLst>
                          </a:custGeom>
                          <a:solidFill>
                            <a:srgbClr val="605D5C"/>
                          </a:solidFill>
                          <a:ln w="9525">
                            <a:noFill/>
                            <a:round/>
                            <a:headEnd/>
                            <a:tailEnd/>
                          </a:ln>
                        </wps:spPr>
                        <wps:bodyPr/>
                      </wps:wsp>
                    </wpg:wgp>
                  </a:graphicData>
                </a:graphic>
                <wp14:sizeRelV relativeFrom="margin">
                  <wp14:pctHeight>0</wp14:pctHeight>
                </wp14:sizeRelV>
              </wp:anchor>
            </w:drawing>
          </mc:Choice>
          <mc:Fallback>
            <w:pict>
              <v:group w14:anchorId="25F149C4" id="Group 11" o:spid="_x0000_s1026" style="position:absolute;margin-left:200.75pt;margin-top:-22.7pt;width:80.25pt;height:101.35pt;z-index:251664384;mso-height-relative:margin" coordorigin="-35" coordsize="553,6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">
                <v:rect id="AutoShape 10" o:spid="_x0000_s1027" style="position:absolute;width:483;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" filled="f" stroked="f">
                  <o:lock v:ext="edit" aspectratio="t" text="t"/>
                </v:rect>
                <v:shape id="Freeform 12" o:spid="_x0000_s1028" style="position:absolute;left:-34;top:95;width:551;height:527;visibility:visible;mso-wrap-style:square;v-text-anchor:top" coordsize="672,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" path="m336,642v,,-10,-5,-13,-19c323,623,322,629,316,631v,,-6,-3,-6,-17c310,614,298,613,289,621v,,-5,-31,-63,-56c226,565,213,560,172,540,,445,92,306,92,306,76,299,78,287,78,287v,,1,-8,6,-4c84,283,79,252,58,245,50,244,45,236,45,228v,-11,7,-19,16,-19c68,209,75,215,77,223v,,3,11,12,5c94,206,76,207,76,207v,,1,-11,12,-7c88,200,88,193,84,187v,,-4,-6,-13,-1l71,186v,,2,-2,5,1c78,190,76,193,76,193v-5,6,-12,1,-12,1c64,194,57,180,71,176v,,-3,-10,5,-20c76,156,77,169,92,174v,,-4,-81,-13,-89c68,99,56,96,56,96,49,92,44,85,44,77,44,66,53,57,65,57v5,,10,2,14,6c79,63,99,49,108,33v,-1,,-3,,-4c108,27,108,25,108,23v1,-7,9,-12,19,-12c137,11,146,17,146,24v,,,,1,c147,24,155,9,166,12v,,-6,8,,20c171,39,183,45,208,36v,,5,-2,29,-14c237,22,275,,336,1v60,-1,98,21,98,21c458,34,463,36,463,36v26,9,38,3,42,-4c511,20,506,12,506,12v11,-3,19,12,19,12c526,25,526,24,526,24v,-7,9,-13,19,-13c555,11,563,16,564,23v,2,,4,,6c564,30,564,32,564,33v9,16,29,30,29,30c597,59,602,57,607,57v12,,21,9,21,21c628,85,623,92,616,96v,,-12,3,-23,-10c584,94,580,175,580,175v15,-6,16,-19,16,-19c604,166,601,176,601,176v14,4,7,18,7,18c608,194,601,199,596,193v,,-2,-3,,-6c599,184,601,186,601,186r,c592,181,588,187,588,187v-4,6,-4,13,-4,13c595,197,596,207,596,207v,,-18,-1,-13,22c592,234,595,223,595,223v2,-8,9,-14,16,-14c620,209,627,218,627,228v,8,-5,16,-13,18c593,252,588,283,588,283v5,-4,6,5,6,5c594,288,596,299,580,306v,,92,139,-80,234c459,560,446,565,446,565v-58,25,-63,56,-63,56c374,613,362,614,362,614v,14,-6,18,-6,18c350,629,349,623,349,623v-3,14,-13,19,-13,19xe" fillcolor="#f48000" stroked="f">
                  <v:path arrowok="t" o:connecttype="custom" o:connectlocs="323,623;310,614;226,565;92,306;84,283;45,228;77,223;76,207;84,187;71,186;76,193;71,176;92,174;56,96;65,57;108,33;108,23;146,24;166,12;208,36;336,1;463,36;506,12;526,24;564,23;564,33;607,57;616,96;580,175;601,176;596,193;601,186;588,187;596,207;595,223;627,228;588,283;580,306;446,565;362,614;349,623" o:connectangles="0,0,0,0,0,0,0,0,0,0,0,0,0,0,0,0,0,0,0,0,0,0,0,0,0,0,0,0,0,0,0,0,0,0,0,0,0,0,0,0,0"/>
                </v:shape>
                <v:shape id="Freeform 13" o:spid="_x0000_s1029" style="position:absolute;left:-35;top:95;width:553;height:528;visibility:visible;mso-wrap-style:square;v-text-anchor:top" coordsize="674,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" path="m337,642v,,-10,-5,-13,-19l325,623v3,13,12,18,12,18l337,642xm324,622r,-2l325,623r-1,l324,622xm325,623v,,-2,6,-7,9l317,631v5,-3,7,-8,7,-9l325,623xm318,632r-1,l317,632r,-1l318,632xm317,632v,,-6,-4,-7,-18l311,614v1,14,7,17,7,17l317,632xm311,613r,l311,614r,l311,613xm311,615v,,-12,-1,-20,7l290,621v9,-9,21,-8,21,-8l311,615xm291,622r-1,l290,621r,l291,622xm290,621v,,-6,-31,-63,-55l227,565v58,24,64,56,64,56l290,621xm227,566r,l227,565r,1xm227,566v,,-14,-6,-54,-26l174,539v40,20,53,26,53,26l227,566xm173,540r,l173,540xm173,540c,445,92,306,92,306r1,c93,307,2,445,174,539r-1,1xm93,306r1,l93,306r,xm92,307c77,299,79,287,79,287r1,1c80,288,78,298,93,306r-1,1xm80,287r,l80,288r-1,-1l80,287xm79,287v,,,-9,7,-5l85,283v-5,-3,-5,4,-5,4l79,287xm86,283r,1l85,283r,l86,283xm85,283v,,-5,-30,-27,-37l59,245v22,7,27,38,27,38l85,283xm59,245r,l59,245xm58,246r,l59,245r,l58,246xm59,245r,l59,245xm58,246v-1,,-2,-1,-3,-1l56,244v1,,2,1,3,1l58,246xm55,245r,l56,244r-1,1xm55,245v-1,-1,-2,-1,-2,-2l53,242v1,1,2,1,3,2l55,245xm53,243v-5,-3,-8,-9,-8,-15l47,228v,5,2,11,6,14l53,243xm45,228r,l47,228r,l45,228xm45,228v,-6,2,-10,5,-14l51,215v-3,3,-4,8,-4,13l45,228xm50,214v3,-3,8,-6,12,-6l62,210v-4,,-8,2,-11,5l50,214xm62,208r,l62,210r,l62,208xm62,208r,l62,210r,l62,208xm62,208v2,,3,1,4,1l66,210v-1,,-2,,-4,l62,208xm66,209r,l66,210r,-1xm66,209v1,,2,1,3,1l68,211v,,-1,,-2,-1l66,209xm69,210v4,2,8,7,10,12l77,223v-1,-5,-4,-10,-9,-12l69,210xm79,222r,l78,223r1,-1xm79,222v,,2,11,11,6l90,229v-9,6,-13,-6,-13,-6l79,222xm90,229r,l90,229r,-1l90,229xm89,228c94,207,77,208,77,208r,-1c77,207,96,205,90,229r-1,-1xm77,208r-1,l76,207r1,l77,208xm76,207v,,1,-11,13,-7l89,201v-11,-4,-11,6,-11,6l76,207xm90,200r,1l89,201r,-1l90,200xm88,200v,,,-7,-3,-13l86,187v4,6,4,13,4,13l88,200xm86,187r,l85,187r1,xm85,187v,,-4,-6,-13,l71,185v11,-5,15,2,15,2l85,187xm71,186r,l71,185r1,1l71,186xm72,186r,l71,186r,l72,186xm72,187r-1,1l71,186r1,l72,187xm71,186v,,3,-3,6,l76,187v-2,-2,-4,,-4,l71,186xm77,186r,l77,186r,1l77,186xm77,186v3,4,1,8,1,8l77,193v,,1,-3,-1,-6l77,186xm78,194r,l78,194r-1,-1l78,194xm78,194v-6,6,-13,,-13,l66,193v,,6,5,11,l78,194xm65,194r,l65,194r,xm65,194v,,-8,-14,7,-19l72,176v-14,4,-6,18,-6,18l65,194xm73,176r,l72,176r,l73,176xm71,176v,,-3,-10,5,-21l77,156v-7,10,-4,20,-4,20l71,176xm76,155r1,-1l77,156r,l76,155xm77,156v,,2,12,16,18l93,175c77,169,76,156,76,156r1,xm94,174r,1l93,175r,-1l94,174xm92,175c92,174,88,94,80,86r1,-1c90,93,94,174,94,174r-2,1xm80,85r,l81,85r-1,xm81,86c70,100,57,96,57,96r,-1c57,95,69,98,80,85r1,1xm57,96r,l57,96r,xm57,96r,l57,95r,l57,96xm57,96v-1,,-2,-1,-3,-1l54,94v1,,2,1,3,1l57,96xm54,95c53,94,52,93,51,93r1,-1c53,92,54,93,54,94r,1xm51,93c47,89,44,83,44,77r2,c46,83,48,88,52,92r-1,1xm44,77r,l46,77r,l44,77xm44,77v,-5,3,-11,7,-14l52,64v-4,3,-6,8,-6,13l44,77xm51,63v4,-4,9,-6,15,-6l66,58v-6,,-11,2,-14,6l51,63xm66,57r,l66,58r,l66,57xm66,57r,l66,58r,l66,57xm66,57v3,,5,,8,1l73,59c71,58,68,58,66,58r,-1xm74,58v,,1,,1,1l74,60v,,,-1,-1,-1l74,58xm75,59v2,,4,2,6,3l80,63c78,62,76,61,74,60r1,-1xm80,63r,l80,63r,xm80,62v,,20,-13,29,-29l110,33c101,50,80,63,80,63r,-1xm110,33r,l110,33r-1,l110,33xm109,33v,,,,,l110,33v,,,,,l109,33xm109,33r,l109,33xm109,33v,,,,,l110,32v,,,1,,1l109,33xm109,33v,-1,,-1,-1,-1l110,32v,,,,,l109,33xm108,32v,-1,,-2,,-3l109,29v,1,1,2,1,3l108,32xm108,29r,l109,29r,l108,29xm108,29v,,,-1,,-1l109,28v,,,1,,1l108,29xm108,28v,,,-1,,-1l109,27v,,,1,,1l108,28xm108,27v,-1,,-3,,-4l110,23v-1,1,-1,3,-1,4l108,27xm110,23r,l109,23r1,xm108,23r,l110,23r,l108,23xm108,23r,l109,23r-1,xm108,23v1,-1,1,-2,1,-3l110,21v,,,1,,2l108,23xm109,20v1,-1,1,-2,2,-3l112,18v-1,1,-1,2,-2,3l109,20xm111,17v3,-4,10,-7,17,-7l128,12v-7,,-13,2,-16,6l111,17xm128,10v,,,,,l128,12v,,,,,l128,10xm128,10v2,,3,,5,1l132,12v-1,,-2,,-4,l128,10xm133,11v1,,2,,4,1l136,13v-1,-1,-2,-1,-4,-1l133,11xm137,12v6,2,10,6,11,12l146,24v,-5,-4,-9,-10,-11l137,12xm148,24r,l148,24r-1,l148,24xm148,24v,,,,,l148,25v-2,,-2,-1,-2,-1l148,24xm148,24r,1l148,25r,-1xm147,24v,,9,-16,20,-13l166,12c156,9,148,24,148,24r-1,xm167,11r1,l167,12r,l167,11xm167,12v,,-5,8,1,19l166,32v-5,-12,,-21,,-21l167,12xm167,32r-1,l166,32r1,xm168,31r,l167,32r,l168,31xm167,32r,l167,32xm168,31v,1,1,2,2,3l169,35v-1,-1,-2,-2,-2,-3l168,31xm170,34v1,1,2,2,3,3l172,38v-1,-1,-2,-2,-3,-3l170,34xm173,37v7,4,18,5,36,-1l209,37v-18,6,-30,5,-37,1l173,37xm209,37r,l209,37r,-1l209,37xm209,36v,,4,-2,29,-14l238,23c215,34,210,37,209,37r,-1xm238,23r,l238,22r,1xm238,22v,,38,-22,99,-22l337,2c276,1,238,23,238,23r,-1xm337,2r,l337,1r,1xm337,v60,,99,22,99,22l435,23v,,-38,-22,-98,-21l337,xm435,23r,l435,22r,1xm436,22v24,12,28,14,28,14l464,37v,,-6,-3,-29,-14l436,22xm464,37r,l464,37r,-1l464,37xm464,36r,l464,37r,l464,36xm464,36r,l464,36xm464,36v4,1,7,2,10,3l474,40v-3,-1,-7,-2,-10,-3l464,36xm474,39v3,,6,1,9,1l482,41v-2,,-5,-1,-8,-1l474,39xm483,40v12,1,19,-3,23,-9l507,32v-4,6,-11,10,-25,9l483,40xm507,32r,l507,32r-1,l507,32xm506,31v5,-11,1,-19,1,-19l508,12v,,5,8,-1,20l506,31xm507,12r-1,l507,11r,1xm507,11v11,-3,20,13,20,13l526,25v,,-8,-15,-19,-12l507,11xm526,25r,l526,25r,-1l526,25xm526,24v,,,,,l528,24v,,,1,-2,1l526,24xm526,24r,l526,24r1,l526,24xm526,24v,,,,,l528,24v,,,,,l526,24xm526,24r,l527,24r-1,xm526,24v,-1,1,-2,1,-3l528,21v,1,,2,,3l526,24xm527,21v,-1,1,-2,2,-3l530,19v-1,,-1,1,-2,2l527,21xm529,18v3,-5,9,-8,17,-8l546,12v-7,,-13,3,-16,7l529,18xm546,10r,l546,12r,l546,10xm546,10v1,,3,1,4,1l550,12v-1,,-3,,-4,l546,10xm550,11v1,,3,,4,1l553,13v-1,-1,-2,-1,-3,-1l550,11xm554,12v6,2,11,6,12,11l564,23v,-4,-5,-8,-11,-10l554,12xm564,23r,l565,23r-1,xm566,23r,l564,23r,l566,23xm566,23v,,,1,,1l564,24v,,,,,-1l566,23xm566,24v,,,,,1l565,25v,,,-1,-1,-1l566,24xm566,25v,1,,3,,4l565,29v,-1,,-3,,-4l566,25xm566,29r,l565,29r,l566,29xm566,29r,l565,29r1,xm566,29v,,,,,1l565,29v,,,,,l566,29xm566,30v,,,,,l565,30v,,,,,-1l566,30xm566,30v,1,-1,2,-1,3l564,33v,-1,,-2,1,-3l566,30xm564,33r,l564,33r1,l564,33xm565,33v9,16,29,29,29,29l594,63v,,-21,-13,-30,-30l565,33xm594,63r,l594,63r,xm594,62r,l594,63r,l594,62xm594,63r,l594,63xm594,62v,,1,-1,1,-1l596,62v-1,,-1,1,-2,1l594,62xm595,61v1,-1,1,-1,2,-1l598,61v-1,,-1,,-2,1l595,61xm597,60v3,-2,7,-3,11,-3l608,58v-4,,-7,1,-10,3l597,60xm608,57r,l608,58r,l608,57xm608,57v6,,11,2,15,6l622,64v-3,-4,-8,-6,-14,-6l608,57xm623,63v4,4,7,9,7,15l628,78v,-6,-2,-11,-6,-14l623,63xm630,78r,l628,78r,l630,78xm630,78r,l628,78r,l630,78xm630,78v,2,-1,5,-2,7l627,85v1,-3,1,-5,1,-7l630,78xm628,85r,l628,85xm628,85v,1,-1,2,-1,3l626,87v,-1,1,-2,1,-2l628,85xm627,88v-2,3,-6,6,-10,8l617,95v4,-2,7,-5,9,-8l627,88xm617,96r,l617,96r,xm617,96v,,-13,4,-24,-10l594,85v11,13,23,10,23,10l617,96xm593,85r1,l594,85r,1l593,85xm594,86v-8,8,-12,88,-12,89l580,175v,-1,4,-82,13,-90l594,86xm581,175r-1,1l580,175r1,xm581,174v14,-6,16,-18,16,-18l598,156v,,-1,13,-17,19l581,174xm597,156r,-2l598,155r-1,1xm598,155v8,11,5,21,5,21l601,176v,,3,-10,-4,-20l598,155xm602,176r-1,l601,176r1,xm602,175v15,5,7,19,7,19l608,194v,,8,-13,-6,-18l602,175xm609,194r,l609,195r,-1xm609,195v,,-7,5,-13,-1l597,193v5,5,11,1,11,1l609,195xm596,194r,l596,194r1,-1l596,194xm596,194v,,-2,-4,1,-8l598,187v-2,3,-1,6,-1,6l596,194xm597,186r,l597,186r,1l597,186xm597,186v3,-3,6,,6,l602,187v,,-2,-2,-4,l597,186xm603,186r,2l602,187r,-1l603,186xm602,186r,l603,186r,l602,186xm603,186r,l603,186r-1,l603,186xm602,187v-9,-5,-13,,-13,l588,187v,,4,-7,15,-1l602,187xm588,187r,l589,187r-1,xm589,187v-3,6,-3,13,-3,13l584,200v,,,-7,4,-13l589,187xm585,201r-1,l584,200r1,l585,201xm585,200v12,-4,13,7,13,7l596,207v,,,-10,-11,-6l585,200xm598,207r,1l597,208r,-1l598,207xm597,208v,,-17,-1,-12,20l584,229v-6,-24,13,-22,13,-22l597,208xm584,229r,l584,229r,xm584,228v9,5,11,-6,11,-6l597,223v,,-4,12,-13,6l584,228xm595,222r,l596,223r-1,-1xm595,222r,l597,223r,l595,222xm595,222v1,-1,1,-2,2,-3l598,220v-1,1,-1,2,-1,3l595,222xm597,219v,-1,1,-2,1,-3l599,217v,1,-1,2,-1,3l597,219xm598,216v3,-4,8,-7,14,-7l612,210v-5,,-10,3,-13,7l598,216xm612,209r,l612,210r,l612,209xm612,209v4,,9,2,12,5l623,215v-3,-3,-7,-5,-11,-5l612,209xm624,214v3,4,5,8,5,14l627,228v,-5,-1,-10,-4,-13l624,214xm629,228r,l627,228r,l629,228xm629,228r,l627,228r,l629,228xm629,228v,1,-1,3,-1,4l627,232v,-1,,-3,,-4l629,228xm628,232v,1,,2,-1,3l626,235v,-1,1,-2,1,-3l628,232xm627,235v-2,6,-6,10,-11,11l615,245v5,-1,9,-5,11,-10l627,235xm615,245r,l615,246r,-1xm616,246v-22,7,-27,37,-27,37l588,283v,,5,-31,27,-38l616,246xm589,283r-1,1l588,283r1,xm588,282v7,-4,7,5,7,5l594,288v,,,-8,-5,-5l588,282xm594,288r,l594,288r1,l594,288xm595,287v,,2,12,-13,20l581,306v15,-7,13,-18,13,-18l595,287xm581,307r-1,-1l581,306r,l581,307xm582,306v,,92,140,-81,234l500,539c672,445,581,307,581,307r1,-1xm501,540r,l501,540xm501,540v-40,20,-54,26,-54,26l447,565v,,13,-6,53,-26l501,540xm447,566r,l447,565r,1xm447,566v-57,24,-63,55,-63,55l383,621v,,6,-32,64,-56l447,566xm384,621r,1l383,622r1,-1xm383,622v-8,-8,-20,-7,-20,-7l363,614v,,12,-1,21,7l383,622xm363,614r,l363,614r,xm364,614v-1,15,-7,18,-7,18l356,631v,,6,-3,7,-17l364,614xm357,632r,l356,632r1,xm356,632v-5,-3,-7,-9,-7,-9l350,623v,,2,5,7,8l356,632xm349,623r1,-3l350,623r,l349,623xm350,623v-3,14,-13,19,-13,19l337,641v,,9,-4,12,-18l350,623xm337,642r,1l337,642r,xe" fillcolor="#24211d" stroked="f">
                  <v:path arrowok="t" o:connecttype="custom" o:connectlocs="317,632;291,622;227,566;80,287;86,283;55,245;45,228;62,210;79,222;89,228;89,200;71,185;77,186;77,193;77,156;92,175;57,96;52,92;66,57;74,58;109,33;110,32;108,27;108,23;111,17;146,24;167,11;168,31;173,37;238,23;435,23;464,36;507,32;526,25;526,24;530,19;566,23;566,24;566,29;564,33;594,63;608,57;630,78;628,85;594,86;598,155;609,195;597,186;602,186;588,187;585,228;595,222;598,216;627,228;627,235;588,282;581,306;447,566;363,614;350,623" o:connectangles="0,0,0,0,0,0,0,0,0,0,0,0,0,0,0,0,0,0,0,0,0,0,0,0,0,0,0,0,0,0,0,0,0,0,0,0,0,0,0,0,0,0,0,0,0,0,0,0,0,0,0,0,0,0,0,0,0,0,0,0"/>
                  <o:lock v:ext="edit" verticies="t"/>
                </v:shape>
                <v:shape id="Freeform 14" o:spid="_x0000_s1030" style="position:absolute;left:28;top:158;width:5;height:12;visibility:visible;mso-wrap-style:square;v-text-anchor:top" coordsize="6,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" path="m,c5,7,6,14,6,14,3,10,,11,,11,2,5,,,,xe" fillcolor="#24211d" stroked="f">
                  <v:path arrowok="t" o:connecttype="custom" o:connectlocs="0,0;6,14;0,11;0,0" o:connectangles="0,0,0,0"/>
                </v:shape>
                <v:shape id="Freeform 15" o:spid="_x0000_s1031" style="position:absolute;left:26;top:156;width:8;height:16;visibility:visible;mso-wrap-style:square;v-text-anchor:top" coordsize="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" path="m3,3v5,7,6,14,6,14l7,17v,,,-7,-5,-13l3,3xm9,17r,3l8,18r,-1l9,17xm8,18c5,14,2,15,2,15r,-1c2,14,6,13,9,17l8,18xm2,15r-1,l2,14r,l2,15xm2,14c3,8,2,4,2,4l3,3v,,1,5,,11l2,14xm2,4l,,3,3,2,3r,1xe" fillcolor="#24211d" stroked="f">
                  <v:path arrowok="t" o:connecttype="custom" o:connectlocs="3,3;9,17;7,17;2,4;3,3;9,17;9,20;8,18;8,17;9,17;8,18;2,15;2,14;9,17;8,18;2,15;1,15;2,14;2,14;2,15;2,14;2,4;3,3;3,14;2,14;2,4;0,0;3,3;2,3;2,4" o:connectangles="0,0,0,0,0,0,0,0,0,0,0,0,0,0,0,0,0,0,0,0,0,0,0,0,0,0,0,0,0,0"/>
                  <o:lock v:ext="edit" verticies="t"/>
                </v:shape>
                <v:shape id="Freeform 16" o:spid="_x0000_s1032" style="position:absolute;left:14;top:279;width:25;height:11;visibility:visible;mso-wrap-style:square;v-text-anchor:top" coordsize="30,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" path="m30,3v,,-5,9,-18,11c8,14,5,14,,13v,,1,,1,c1,13,1,13,1,13,8,14,12,12,14,9,16,7,17,5,18,3v,-2,,-3,,-3c18,,19,1,19,1v1,2,6,8,11,2xe" fillcolor="#24211d" strokecolor="#24211d" strokeweight=".04411mm">
                  <v:path arrowok="t" o:connecttype="custom" o:connectlocs="30,3;12,14;0,13;1,13;1,13;14,9;18,3;18,0;19,1;30,3" o:connectangles="0,0,0,0,0,0,0,0,0,0"/>
                </v:shape>
                <v:shape id="Freeform 17" o:spid="_x0000_s1033" style="position:absolute;left:90;top:106;width:136;height:38;visibility:visible;mso-wrap-style:square;v-text-anchor:top" coordsize="16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" path="m2,11v,,-1,15,11,21l12,33c,26,1,11,1,11r1,xm13,32r1,1l13,33r-1,l13,32xm13,33c8,36,5,34,5,34l6,33v,,2,2,6,-1l13,33xm5,34r,l5,34xm5,34v,,,-1,,l4,34v,-3,2,-1,2,-1l5,34xm4,34r,l4,34r1,l4,34xm5,33v,,12,10,34,-1l40,34c17,45,4,34,4,34l5,33xm39,32r,l39,32r1,1l39,32xm39,32v,,3,,5,l43,34v-1,-1,-3,,-3,l39,32xm44,32r,l44,32r,1l44,32xm44,32v5,5,-5,9,-5,9l39,40v,,7,-4,4,-7l44,32xm39,41l38,40r1,l39,40r,1xm39,40v,,9,4,29,-11l69,30c48,46,39,41,39,41r,-1xm68,29r,l68,29xm68,29v,,8,-6,9,-1l76,28v-1,-3,-7,2,-7,2l68,29xm77,28r,l77,28r-1,l77,28xm77,28v,,,6,-8,10l69,37v7,-4,7,-9,7,-9l77,28xm69,38r-2,l69,37r,1xm69,37v,,23,5,39,-16l109,21c93,44,69,39,69,38r,-1xm108,21r1,-2l109,21r,l108,21xm109,21v,,-3,23,21,17l130,39c104,45,108,21,108,21r1,xm131,38r,1l130,39r,l131,38xm130,39v,,-8,-16,2,-27l133,13v-10,10,-2,25,-2,25l130,39xm132,12r,l132,12r,xm132,12v,,12,-12,28,3l159,16c144,2,133,13,133,13r-1,-1xm159,16r,l159,16r1,-1l159,16xm160,15v,,5,3,2,12l161,27v3,-8,-2,-11,-2,-11l160,15xm162,27r,l162,27xm162,27r,l161,27r,l162,27xm162,27r,l162,27xm162,27v,,,1,,1l161,27v,,,,,l162,27xm162,28v-1,,-1,1,-1,1l160,28v,,,,1,-1l162,28xm161,29v-1,1,-3,2,-5,2l156,30v1,,3,-1,4,-2l161,29xm156,31r,l156,30r,l156,31xm156,31v-2,,-4,-1,-5,-2l152,28v1,1,2,2,4,2l156,31xm151,29v-1,-1,-2,-3,-2,-4l150,25v,1,1,2,2,3l151,29xm149,25r,l150,25r,l149,25xm149,25r,l150,25r,l149,25xm149,25v,-1,,-2,,-3l151,23v-1,,-1,1,-1,2l149,25xm149,22v,,,,1,l151,22v,,,1,,1l149,22xm150,22v,-1,,-1,1,-2l152,21v-1,,-1,1,-1,1l150,22xe" fillcolor="#24211d" stroked="f">
                  <v:path arrowok="t" o:connecttype="custom" o:connectlocs="1,11;13,33;5,34;5,34;5,34;4,34;4,34;4,34;39,32;44,32;44,32;44,32;43,33;39,40;68,29;68,29;77,28;77,28;77,28;76,28;69,37;109,21;109,19;109,21;109,21;130,39;133,13;132,12;160,15;159,16;159,16;159,16;162,27;161,27;162,27;161,27;160,28;156,31;156,31;156,31;156,30;150,25;149,25;149,25;149,25;150,25;151,22;151,20" o:connectangles="0,0,0,0,0,0,0,0,0,0,0,0,0,0,0,0,0,0,0,0,0,0,0,0,0,0,0,0,0,0,0,0,0,0,0,0,0,0,0,0,0,0,0,0,0,0,0,0"/>
                  <o:lock v:ext="edit" verticies="t"/>
                </v:shape>
                <v:shape id="Freeform 18" o:spid="_x0000_s1034" style="position:absolute;left:43;top:249;width:9;height:14;visibility:visible;mso-wrap-style:square;v-text-anchor:top" coordsize="1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" path="m10,v,,1,6,,11l9,10c10,6,9,,9,r1,xm10,11r,l10,11r-1,l10,11xm10,11c5,18,,12,,12l1,11v,,4,5,8,-1l10,11xe" fillcolor="#24211d" stroked="f">
                  <v:path arrowok="t" o:connecttype="custom" o:connectlocs="10,0;10,11;9,10;9,0;10,0;10,11;10,11;10,11;9,11;10,11;10,11;0,12;1,11;9,10;10,11" o:connectangles="0,0,0,0,0,0,0,0,0,0,0,0,0,0,0"/>
                  <o:lock v:ext="edit" verticies="t"/>
                </v:shape>
                <v:shape id="Freeform 19" o:spid="_x0000_s1035" style="position:absolute;left:43;top:263;width:6;height:5;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" path="m1,v,,4,5,6,l8,1c5,7,,1,,1l1,xe" fillcolor="#24211d" stroked="f">
                  <v:path arrowok="t" o:connecttype="custom" o:connectlocs="1,0;7,0;8,1;0,1;1,0" o:connectangles="0,0,0,0,0"/>
                </v:shape>
                <v:shape id="Freeform 20" o:spid="_x0000_s1036" style="position:absolute;left:18;top:234;width:43;height:70;visibility:visible;mso-wrap-style:square;v-text-anchor:top" coordsize="5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" path="m,79v,,47,5,47,-59l49,20c48,86,,80,,80l,79xm49,20r,l48,20r1,xm47,20v,,,-8,2,-10l50,11v-2,2,-1,9,-1,9l47,20xm50,11r,l50,11,49,10r1,1xm49,10c51,5,51,1,51,1r1,c52,1,52,5,50,11l49,10xm52,r,l52,1r,l52,xm52,1v,,-8,1,-15,7l36,7c44,1,52,,52,r,1xm36,7r,l37,8,36,7xm37,8v-5,5,-5,17,-5,17l31,25v,,-1,-12,5,-18l37,8xe" fillcolor="#24211d" stroked="f">
                  <v:path arrowok="t" o:connecttype="custom" o:connectlocs="0,79;47,20;49,20;0,80;0,79;49,20;49,20;48,20;49,20;47,20;49,10;50,11;49,20;47,20;50,11;50,11;50,11;49,10;50,11;49,10;51,1;52,1;50,11;49,10;52,0;52,0;52,1;52,1;52,0;52,1;37,8;36,7;52,0;52,1;36,7;36,7;37,8;36,7;37,8;32,25;31,25;36,7;37,8" o:connectangles="0,0,0,0,0,0,0,0,0,0,0,0,0,0,0,0,0,0,0,0,0,0,0,0,0,0,0,0,0,0,0,0,0,0,0,0,0,0,0,0,0,0,0"/>
                  <o:lock v:ext="edit" verticies="t"/>
                </v:shape>
                <v:shape id="Freeform 21" o:spid="_x0000_s1037" style="position:absolute;left:53;top:462;width:9;height:40;visibility:visible;mso-wrap-style:square;v-text-anchor:top" coordsize="1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" path="m5,49c5,49,,12,9,r1,1c1,13,6,49,6,49r-1,xe" fillcolor="#24211d" stroked="f">
                  <v:path arrowok="t" o:connecttype="custom" o:connectlocs="5,49;9,0;10,1;6,49;5,49" o:connectangles="0,0,0,0,0"/>
                </v:shape>
                <v:shape id="Freeform 22" o:spid="_x0000_s1038" style="position:absolute;left:35;top:372;width:6;height:14;visibility:visible;mso-wrap-style:square;v-text-anchor:top" coordsize="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" path="m3,c3,,1,14,7,13r,1c,16,2,,2,l3,xe" fillcolor="#24211d" stroked="f">
                  <v:path arrowok="t" o:connecttype="custom" o:connectlocs="3,0;7,13;7,14;2,0;3,0" o:connectangles="0,0,0,0,0"/>
                </v:shape>
                <v:shape id="Freeform 23" o:spid="_x0000_s1039" style="position:absolute;left:35;top:382;width:7;height:13;visibility:visible;mso-wrap-style:square;v-text-anchor:top" coordsize="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" path="m,14c,14,7,11,7,l8,c8,12,1,16,1,16l,14xe" fillcolor="#24211d" stroked="f">
                  <v:path arrowok="t" o:connecttype="custom" o:connectlocs="0,14;7,0;8,0;1,16;0,14" o:connectangles="0,0,0,0,0"/>
                </v:shape>
                <v:shape id="Freeform 24" o:spid="_x0000_s1040" style="position:absolute;left:35;top:343;width:20;height:9;visibility:visible;mso-wrap-style:square;v-text-anchor:top" coordsize="2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" path="m1,v,,11,9,22,l24,1c12,11,,1,,1l1,xe" fillcolor="#24211d" stroked="f">
                  <v:path arrowok="t" o:connecttype="custom" o:connectlocs="1,0;23,0;24,1;0,1;1,0" o:connectangles="0,0,0,0,0"/>
                </v:shape>
                <v:shape id="Freeform 25" o:spid="_x0000_s1041" style="position:absolute;left:33;top:346;width:39;height:111;visibility:visible;mso-wrap-style:square;v-text-anchor:top" coordsize="48,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" path="m16,v1,,2,1,2,2l17,2v,,-1,,-2,-1l16,xm18,2v1,,1,1,1,2l18,4v,-1,,-1,-1,-2l18,2xm19,4v,1,,2,,2l18,6v,-1,,-1,,-2l19,4xm19,6v,1,,1,,2l17,7c18,6,18,6,18,6r1,xm19,8r,l19,8,18,7r1,1xm19,8v,,-4,4,-3,6l15,15c13,12,18,7,18,7r1,1xm15,15r,l15,15r1,l15,15xm16,14v,,4,2,8,-2l25,12v-4,6,-10,3,-10,3l16,14xm24,12r,-2l25,12r-1,xm25,12v,,2,5,-11,18l13,30c25,17,23,12,23,12r2,xm13,30r,l14,30r-1,xm14,30v-2,2,-1,5,-1,5l12,35v,,-1,-3,1,-5l14,30xm13,35r,l12,35r1,xm13,35r,l12,35r,l13,35xm12,35r,l12,35xm13,35v,1,,1,,1l12,36v,,,,,-1l13,35xm13,36v,,,1,,1l12,37v,,,,,-1l13,36xm13,37v1,1,2,2,4,2l17,40v-2,,-4,-1,-5,-3l13,37xm17,39r,l17,40r,l17,39xm17,39v1,,2,-1,2,-2l20,38v,1,-2,2,-3,2l17,39xm19,37v1,-1,2,-2,2,-3l22,34v,1,-1,3,-2,4l19,37xm21,34r,l22,34r,l21,34xm21,34v,-1,,-1,,-1l21,34v,,1,-1,1,l21,34xm21,33v1,,1,,1,1l21,34v,,1,,,l21,33xm22,34v,,,,-1,l21,33v1,,,1,,1l22,34xm21,33r,l21,34r,-1xm21,34v,1,,,,l22,34v,,-1,-1,-1,-1l21,34xm21,34r1,l21,34xm22,34v,,2,12,-5,22l16,56c23,46,21,34,21,34r1,xm16,56r,l17,56r-1,xm17,56c12,64,5,70,5,70l4,69v,,7,-5,12,-13l17,56xm4,69r,l4,69r1,1l4,69xm5,70c1,75,1,83,1,83l,83v,,,-8,4,-14l5,70xm1,83r,l1,83xm1,83r,l,83r,l1,83xm1,83r,l,83r,l1,83xm1,83v,2,1,2,1,3l1,87c1,86,,85,,83r1,xm2,86v1,1,2,1,3,1l5,88v-2,,-3,,-4,-1l2,86xm5,87r,l5,88r,l5,87xm5,87r,l5,88r,l5,87xm5,87v1,,2,,2,-1l8,87c7,88,6,88,5,88r,-1xm7,86c8,85,8,85,8,83r2,c10,85,9,86,8,87l7,86xm8,83r,l10,83r,l8,83xm8,83v,,,,,l10,84v,,,-1,,-1l8,83xm10,83r,1l9,83r1,xm8,83v,,,,,l10,83v,,,,,l8,83xm8,83v,,,,,l10,82v,1,,1,,1l8,83xm8,83r,l8,82r1,1l8,83xm8,82v1,-6,,-9,,-9l9,73v,,1,3,1,10l8,82xm9,72r,l9,73r,l9,72xm8,73v,,-2,-1,1,-1l9,73v-1,,,-1,,-1l8,73xm9,72r,l10,72r-1,xm10,72v5,5,8,1,8,1l19,73v,,-4,6,-10,l10,72xm19,73r,l19,73r,xm18,73c18,52,32,53,32,53r-1,2c31,55,19,54,19,73r-1,xm32,53r1,1l32,54r,l32,53xm32,54v-5,10,1,19,1,19l32,73v,,-6,-9,-1,-19l32,54xm33,73r,l33,73r-1,l33,73xm33,73v15,35,-7,52,-7,52l25,124v,,21,-16,7,-51l33,73xm25,124r,l25,124r,xm26,124v-2,3,-2,7,-2,7l23,131v,,,-4,2,-7l26,124xm24,131r,l24,131r,xm24,131v,,,,,l23,131v,,,,,l24,131xm24,131r,l24,131xm24,131v,,,,1,l23,132v,-1,,-1,,-1l24,131xm25,131v,1,,1,,1l24,133v-1,-1,-1,-1,-1,-1l25,131xm25,132v,1,1,2,2,2l27,135v-1,,-3,-1,-3,-2l25,132xm27,134v,,,,,l28,135v-1,,-1,,-1,l27,134xm27,134v1,,1,,1,l28,135v,,,,,l27,134xm28,134v,,1,,1,-1l29,135v,,,,-1,l28,134xm29,135r,l29,134r,1xm29,133v1,,1,-1,1,-3l32,131v,1,-1,3,-3,4l29,133xm30,130r,l30,130r1,l30,130xm30,130v1,-2,1,-5,1,-5l32,125v,,,3,,6l30,130xm31,125r,l32,125r-1,xm31,125v,,,,,l32,125v,,,,,l31,125xm31,125v,,,-1,,-1l32,124v,1,,1,,1l31,125xm31,124v,,,-1,1,-1l33,124v,,,,-1,l31,124xm32,123v,-1,2,-2,3,-2l35,122v-1,,-2,1,-2,2l32,123xm35,121r,l35,122r,l35,121xm35,121v1,,1,,2,l36,122v,,-1,,-1,l35,121xm37,121v,,,,,l36,122v,,,,,l37,121xm37,121v1,1,1,1,1,2l37,124v,-1,,-1,-1,-2l37,121xe" fillcolor="#24211d" stroked="f">
                  <v:path arrowok="t" o:connecttype="custom" o:connectlocs="19,4;18,4;19,8;15,15;15,15;24,10;25,12;12,35;13,35;12,35;13,37;12,37;17,39;22,34;21,34;22,34;21,34;21,34;22,34;17,56;4,69;0,83;1,83;0,83;2,86;5,88;5,87;8,83;10,83;10,83;10,83;8,83;9,73;9,72;9,72;10,72;31,55;32,53;33,73;32,73;24,131;24,131;24,131;25,131;27,135;27,134;29,133;29,135;30,130;32,131;31,125;32,125;32,123;35,122;35,121;38,123" o:connectangles="0,0,0,0,0,0,0,0,0,0,0,0,0,0,0,0,0,0,0,0,0,0,0,0,0,0,0,0,0,0,0,0,0,0,0,0,0,0,0,0,0,0,0,0,0,0,0,0,0,0,0,0,0,0,0,0"/>
                  <o:lock v:ext="edit" verticies="t"/>
                </v:shape>
                <v:shape id="Freeform 26" o:spid="_x0000_s1042" style="position:absolute;left:63;top:444;width:18;height:27;visibility:visible;mso-wrap-style:square;v-text-anchor:top" coordsize="22,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" path="m10,32v,,10,-10,2,-21l13,11v9,11,-2,22,-2,22l10,32xm12,11r,l12,11r,xm12,11v,,,-5,-2,-7l11,3v2,2,2,8,2,8l12,11xm11,3r,l11,3r,1l11,3xm10,4v,,-5,-2,-8,6l1,10c4,,11,3,11,3l10,4xm2,10r-1,l1,10r1,xm1,10c1,10,2,7,,5l1,4v2,3,1,6,1,6l1,10xe" fillcolor="#24211d" stroked="f">
                  <v:path arrowok="t" o:connecttype="custom" o:connectlocs="10,32;12,11;13,11;11,33;10,32;12,11;12,11;12,11;12,11;12,11;10,4;11,3;13,11;12,11;11,3;11,3;11,3;11,4;11,3;10,4;2,10;1,10;11,3;10,4;2,10;1,10;1,10;2,10;1,10;0,5;1,4;2,10;1,10" o:connectangles="0,0,0,0,0,0,0,0,0,0,0,0,0,0,0,0,0,0,0,0,0,0,0,0,0,0,0,0,0,0,0,0,0"/>
                  <o:lock v:ext="edit" verticies="t"/>
                </v:shape>
                <v:shape id="Freeform 27" o:spid="_x0000_s1043" style="position:absolute;left:39;top:346;width:4;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" path="m6,1v,,-1,,-1,l5,v,,,,1,l6,1xm5,1c4,1,2,2,1,3l,3c1,,3,,5,r,1xe" fillcolor="#24211d" stroked="f">
                  <v:path arrowok="t" o:connecttype="custom" o:connectlocs="6,1;5,1;5,0;6,0;6,1;5,1;1,3;0,3;5,0;5,1" o:connectangles="0,0,0,0,0,0,0,0,0,0"/>
                  <o:lock v:ext="edit" verticies="t"/>
                </v:shape>
                <v:shape id="Freeform 28" o:spid="_x0000_s1044" style="position:absolute;left:34;top:325;width:25;height:18;visibility:visible;mso-wrap-style:square;v-text-anchor:top" coordsize="3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" path="m31,8c31,8,13,22,,3l1,2c13,21,30,7,30,7r1,1xm,3l,2r,l,2,,3xm,2c,,1,1,1,1r,1c1,2,1,2,1,3l,2xm1,1c7,7,19,4,19,4r,1c19,5,6,8,1,2l1,1xe" fillcolor="#24211d" stroked="f">
                  <v:path arrowok="t" o:connecttype="custom" o:connectlocs="31,8;0,3;1,2;30,7;31,8;0,3;0,2;0,2;0,2;0,3;0,2;1,1;1,2;1,3;0,2;1,1;19,4;19,5;1,2;1,1" o:connectangles="0,0,0,0,0,0,0,0,0,0,0,0,0,0,0,0,0,0,0,0"/>
                  <o:lock v:ext="edit" verticies="t"/>
                </v:shape>
                <v:shape id="Freeform 29" o:spid="_x0000_s1045" style="position:absolute;left:10;top:275;width:11;height:15;visibility:visible;mso-wrap-style:square;v-text-anchor:top" coordsize="1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" path="m5,19v,,,,,l6,18v,,,,,l5,19xm6,18r,l6,18xm5,19v,,-1,-1,-1,-1l5,17v,,,,1,1l5,19xm4,18v,,-1,,-1,-1l4,16v,1,,1,1,1l4,18xm3,17c1,15,,12,,9r1,c1,12,2,15,4,16l3,17xm,9r,l1,9r,l,9xm,9c,8,,8,,7r1,c1,8,1,8,1,9l,9xm,7v,,,,,l1,7v,,,,,l,7xm,7c,6,,6,,5r1,c1,6,1,6,1,7l,7xm1,5r,l1,5xm,5r,l1,5r,l,5xm,5r,l1,5,,5xm,5c,5,,4,1,4r1,c2,5,1,5,1,5l,5xm1,4v,,,-1,,-1l2,4v,,,,,l1,4xm1,3r,l2,3,1,3xm1,3c3,1,5,,7,r,1c5,1,3,2,2,4l1,3xm7,r,l7,1r,l7,xm7,v2,,4,,5,2l11,3c10,2,9,1,7,1l7,xm12,2v1,1,2,3,2,4l13,6c13,5,12,4,11,3l12,2xm14,6r,l13,6r,l14,6xm14,6r,l13,6r,l14,6xm14,6v,1,,2,,2l12,8v,-1,1,-1,1,-2l14,6xm14,8v-1,,-1,1,-1,1l12,8v,,,,,l14,8xm12,8r,l13,8r-1,xm13,9v,,,1,,1l12,9v,,,,,-1l13,9xe" fillcolor="#24211d" stroked="f">
                  <v:path arrowok="t" o:connecttype="custom" o:connectlocs="5,19;6,18;6,18;6,18;4,18;6,18;4,18;4,16;4,18;0,9;4,16;0,9;1,9;0,9;0,7;1,9;0,7;1,7;0,7;0,5;1,7;1,5;1,5;0,5;1,5;0,5;1,5;0,5;2,4;0,5;1,3;2,4;1,3;2,3;1,3;7,1;1,3;7,0;7,1;7,0;11,3;7,0;14,6;11,3;14,6;13,6;14,6;14,6;13,6;14,6;12,8;14,6;13,9;12,8;12,8;13,8;13,9;12,9;13,9" o:connectangles="0,0,0,0,0,0,0,0,0,0,0,0,0,0,0,0,0,0,0,0,0,0,0,0,0,0,0,0,0,0,0,0,0,0,0,0,0,0,0,0,0,0,0,0,0,0,0,0,0,0,0,0,0,0,0,0,0,0,0"/>
                  <o:lock v:ext="edit" verticies="t"/>
                </v:shape>
                <v:shape id="Freeform 30" o:spid="_x0000_s1046" style="position:absolute;left:10;top:151;width:19;height:15;visibility:visible;mso-wrap-style:square;v-text-anchor:top" coordsize="2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" path="m8,18r,l8,17r,l8,18xm8,18c6,18,4,17,2,16l3,15v1,1,3,2,5,2l8,18xm2,16c1,15,,13,,11r1,c1,12,2,14,3,15l2,16xm,11r,l1,11r,l,11xm,11r,l1,11r,l,11xm,11c,10,,9,,8r1,c1,9,1,10,1,11l,11xm,8c,8,,7,1,7l2,8v,,-1,,-1,l,8xm1,7c1,5,3,4,5,3r,2c4,5,2,6,2,8l1,7xm5,5r,l5,4r,1xm5,3v,,7,-3,14,1l18,6c12,1,5,5,5,5l5,3xm19,4r,1l19,5r,l19,4xm19,5r,l18,5r,l19,5xm19,5r,l19,5xm19,5v1,1,2,2,3,3l21,9c20,8,19,6,18,5r1,xm22,8v,,1,1,1,1l22,10c21,9,21,9,21,9l22,8xe" fillcolor="#24211d" stroked="f">
                  <v:path arrowok="t" o:connecttype="custom" o:connectlocs="8,18;8,17;8,18;3,15;8,18;0,11;3,15;0,11;1,11;0,11;0,11;1,11;0,11;1,8;0,11;1,7;1,8;1,7;5,5;1,7;5,5;5,5;19,4;5,5;19,4;19,5;19,4;19,5;18,5;19,5;19,5;22,8;18,5;22,8;22,10;22,8" o:connectangles="0,0,0,0,0,0,0,0,0,0,0,0,0,0,0,0,0,0,0,0,0,0,0,0,0,0,0,0,0,0,0,0,0,0,0,0"/>
                  <o:lock v:ext="edit" verticies="t"/>
                </v:shape>
                <v:shape id="Freeform 31" o:spid="_x0000_s1047" style="position:absolute;left:34;top:322;width:13;height:6;visibility:visible;mso-wrap-style:square;v-text-anchor:top" coordsize="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" path="m1,2c1,2,4,6,15,r1,1c4,7,,2,,2r1,xe" fillcolor="#24211d" stroked="f">
                  <v:path arrowok="t" o:connecttype="custom" o:connectlocs="1,2;15,0;16,1;0,2;1,2" o:connectangles="0,0,0,0,0"/>
                </v:shape>
                <v:shape id="Freeform 32" o:spid="_x0000_s1048" style="position:absolute;left:32;top:317;width:12;height:6;visibility:visible;mso-wrap-style:square;v-text-anchor:top" coordsize="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" path="m1,3c1,3,5,6,15,r,1c5,8,,4,,4l1,3xe" fillcolor="#24211d" stroked="f">
                  <v:path arrowok="t" o:connecttype="custom" o:connectlocs="1,3;15,0;15,1;0,4;1,3" o:connectangles="0,0,0,0,0"/>
                </v:shape>
                <v:shape id="Freeform 33" o:spid="_x0000_s1049" style="position:absolute;left:30;top:311;width:12;height:5;visibility:visible;mso-wrap-style:square;v-text-anchor:top" coordsize="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" path="m15,1c15,1,8,6,,3l1,2c7,5,15,,15,r,1xe" fillcolor="#24211d" stroked="f">
                  <v:path arrowok="t" o:connecttype="custom" o:connectlocs="15,1;0,3;1,2;15,0;15,1" o:connectangles="0,0,0,0,0"/>
                </v:shape>
                <v:shape id="Freeform 34" o:spid="_x0000_s1050" style="position:absolute;left:26;top:305;width:13;height:6;visibility:visible;mso-wrap-style:square;v-text-anchor:top" coordsize="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" path="m1,2c1,2,7,5,15,r1,1c7,7,,3,,3l1,2xe" fillcolor="#24211d" stroked="f">
                  <v:path arrowok="t" o:connecttype="custom" o:connectlocs="1,2;15,0;16,1;0,3;1,2" o:connectangles="0,0,0,0,0"/>
                </v:shape>
                <v:shape id="Freeform 35" o:spid="_x0000_s1051" style="position:absolute;left:23;top:301;width:13;height:4;visibility:visible;mso-wrap-style:square;v-text-anchor:top" coordsize="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" path="m,2c,2,5,4,15,r1,1c5,5,,3,,3l,2xe" fillcolor="#24211d" stroked="f">
                  <v:path arrowok="t" o:connecttype="custom" o:connectlocs="0,2;15,0;16,1;0,3;0,2" o:connectangles="0,0,0,0,0"/>
                </v:shape>
                <v:shape id="Freeform 36" o:spid="_x0000_s1052" style="position:absolute;left:30;top:144;width:22;height:95;visibility:visible;mso-wrap-style:square;v-text-anchor:top" coordsize="27,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" path="m,3c,3,22,,27,116r-2,c20,1,,4,,4l,3xe" fillcolor="#24211d" stroked="f">
                  <v:path arrowok="t" o:connecttype="custom" o:connectlocs="0,3;27,116;25,116;0,4;0,3" o:connectangles="0,0,0,0,0"/>
                </v:shape>
                <v:shape id="Freeform 37" o:spid="_x0000_s1053" style="position:absolute;left:34;top:142;width:10;height:10;visibility:visible;mso-wrap-style:square;v-text-anchor:top" coordsize="1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" path="m,2c,2,7,,13,11r-1,1c6,2,1,3,1,3l,2xe" fillcolor="#24211d" stroked="f">
                  <v:path arrowok="t" o:connecttype="custom" o:connectlocs="0,2;13,11;12,12;1,3;0,2" o:connectangles="0,0,0,0,0"/>
                </v:shape>
                <v:shape id="Freeform 38" o:spid="_x0000_s1054" style="position:absolute;left:37;top:137;width:10;height:7;visibility:visible;mso-wrap-style:square;v-text-anchor:top" coordsize="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" path="m,5c,5,6,,12,9r-1,c5,2,1,6,1,6l,5xe" fillcolor="#24211d" stroked="f">
                  <v:path arrowok="t" o:connecttype="custom" o:connectlocs="0,5;12,9;11,9;1,6;0,5" o:connectangles="0,0,0,0,0"/>
                </v:shape>
                <v:shape id="Freeform 39" o:spid="_x0000_s1055" style="position:absolute;left:43;top:131;width:9;height:6;visibility:visible;mso-wrap-style:square;v-text-anchor:top" coordsize="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" path="m,7c,7,3,,11,6r,1c4,2,1,7,1,7l,7xe" fillcolor="#24211d" stroked="f">
                  <v:path arrowok="t" o:connecttype="custom" o:connectlocs="0,7;11,6;11,7;1,7;0,7" o:connectangles="0,0,0,0,0"/>
                </v:shape>
                <v:shape id="Freeform 40" o:spid="_x0000_s1056" style="position:absolute;left:48;top:127;width:9;height:4;visibility:visible;mso-wrap-style:square;v-text-anchor:top" coordsize="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" path="m,5c,5,1,,12,4r,1c2,2,1,5,1,5l,5xe" fillcolor="#24211d" stroked="f">
                  <v:path arrowok="t" o:connecttype="custom" o:connectlocs="0,5;12,4;12,5;1,5;0,5" o:connectangles="0,0,0,0,0"/>
                </v:shape>
                <v:shape id="Freeform 41" o:spid="_x0000_s1057" style="position:absolute;left:51;top:123;width:11;height:3;visibility:visible;mso-wrap-style:square;v-text-anchor:top" coordsize="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" path="m,4c,4,2,,13,3l12,4c3,1,1,4,1,4l,4xe" fillcolor="#24211d" stroked="f">
                  <v:path arrowok="t" o:connecttype="custom" o:connectlocs="0,4;13,3;12,4;1,4;0,4" o:connectangles="0,0,0,0,0"/>
                </v:shape>
                <v:shape id="Freeform 42" o:spid="_x0000_s1058" style="position:absolute;left:53;top:117;width:14;height:5;visibility:visible;mso-wrap-style:square;v-text-anchor:top" coordsize="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" path="m1,7c1,7,,,17,4r,1c1,2,2,7,2,7l1,7xe" fillcolor="#24211d" stroked="f">
                  <v:path arrowok="t" o:connecttype="custom" o:connectlocs="1,7;17,4;17,5;2,7;1,7" o:connectangles="0,0,0,0,0"/>
                </v:shape>
                <v:shape id="Freeform 43" o:spid="_x0000_s1059" style="position:absolute;left:200;top:98;width:33;height:41;visibility:visible;mso-wrap-style:square;v-text-anchor:top" coordsize="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" path="m25,26v,,-12,-5,-18,4l6,29v6,-9,20,-5,20,-5l25,26xm6,29r,l6,29r1,l6,29xm8,29v,1,-6,15,10,19l17,49c,45,6,29,6,29r2,xm17,49r,l17,49r1,-1l17,49xm18,48v,,15,2,19,-14l38,34c34,51,18,49,17,49r1,-1xm38,34r,l38,34r,xm37,34c39,5,9,2,9,2l9,v,,31,4,29,34l37,34xe" fillcolor="#24211d" stroked="f">
                  <v:path arrowok="t" o:connecttype="custom" o:connectlocs="25,26;7,30;6,29;26,24;25,26;6,29;6,29;6,29;7,29;6,29;8,29;18,48;17,49;6,29;8,29;17,49;17,49;17,49;18,48;17,49;18,48;37,34;38,34;17,49;18,48;38,34;38,34;38,34;38,34;37,34;9,2;9,0;38,34;37,34" o:connectangles="0,0,0,0,0,0,0,0,0,0,0,0,0,0,0,0,0,0,0,0,0,0,0,0,0,0,0,0,0,0,0,0,0,0"/>
                  <o:lock v:ext="edit" verticies="t"/>
                </v:shape>
                <v:shape id="Freeform 44" o:spid="_x0000_s1060" style="position:absolute;left:148;top:116;width:15;height:10;visibility:visible;mso-wrap-style:square;v-text-anchor:top" coordsize="1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" path="m,9c,9,19,,16,13l15,12c17,2,1,10,1,11l,9xe" fillcolor="#24211d" stroked="f">
                  <v:path arrowok="t" o:connecttype="custom" o:connectlocs="0,9;16,13;15,12;1,11;0,9" o:connectangles="0,0,0,0,0"/>
                </v:shape>
                <v:shape id="Freeform 45" o:spid="_x0000_s1061" style="position:absolute;left:61;top:470;width:363;height:139;visibility:visible;mso-wrap-style:square;v-text-anchor:top" coordsize="443,1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" path="m48,65v,,1,-1,1,-4l50,61v1,4,-2,5,-2,5l48,65xm418,28v-4,-14,,-19,2,-21l421,8v-2,2,-5,6,-2,19l418,28xm420,7v,,,,,l421,8v,,,,,l420,7xm420,7v2,-3,4,,4,l423,8v,,-1,-2,-2,l420,7xm424,8r,2l423,8r,l424,8xm423,8v,,,-1,,-1l424,7v,,,,,1l423,8xm423,7v,,,,,-1l424,6v,1,,1,,1l423,7xm423,6r,l424,6r,l423,6xm423,6v,-1,,-3,1,-4l425,3v-1,1,-1,2,-1,3l423,6xm424,2v1,-1,3,-2,4,-2l428,1v-1,,-2,1,-3,2l424,2xm428,r,l428,1r,l428,xm428,v,,1,,1,l429,1v,,-1,,-1,l428,xm429,v,,,,,l429,1v,,,,,l429,xm429,r,l429,r,1l429,xm429,r,l429,1r,l429,xm429,r,l429,1r,-1xm429,v,,1,,1,l430,2c429,1,429,1,429,1r,-1xm430,v1,1,1,1,1,1l431,2v-1,,-1,,-1,l430,xm431,1r,l431,2r,-1xm431,1v2,1,3,3,3,5l433,6v,-1,-1,-3,-2,-4l431,1xm434,6v,1,,1,,1l433,7v,,,,,-1l434,6xm434,7v,,,1,,1l433,8v,-1,,-1,,-1l434,7xm412,49v,,10,-4,5,-25l419,24v4,21,-7,26,-7,26l412,49xm418,24r,l419,24r-1,xm418,25v,,-19,-5,-29,23l387,47c399,19,418,24,418,24r,1xm387,47r,l387,47r1,l387,47xm389,48v-6,35,-56,50,-56,50l332,96v,,50,-14,55,-49l389,48xm332,96r,l332,97r,-1xm333,98v-66,23,-72,54,-72,55l259,152v,,7,-32,73,-56l333,98xm261,153r-1,l260,153r,-1l261,153xm260,153v,,-17,-7,-25,-5l234,147v9,-2,26,5,26,5l260,153xm234,147r,l234,147r1,l234,147xm235,147v-4,16,-14,22,-14,22l220,168v,,10,-6,14,-21l235,147xm221,169r,l220,169r1,xm220,169v,,-8,-6,-13,-22l209,147v4,15,12,21,12,21l220,169xm208,147r1,l209,147r-1,xm208,148v-8,-2,-25,5,-25,5l182,152v,,17,-8,26,-5l208,148xm183,153r-1,l182,153r1,-1l183,153xm182,153v,-1,-7,-32,-72,-55l110,96v66,24,73,56,73,56l182,153xm110,96r,l110,97r,-1xm110,98v,,-50,-15,-56,-50l55,47v6,35,55,49,55,49l110,98xm55,47r,l55,47r,xm54,48c43,20,25,25,25,25l24,24v1,,20,-5,31,23l54,48xm24,24r,l24,24r1,l24,24xm25,24v-4,21,6,25,6,25l30,50v,,-11,-5,-6,-26l25,24xm443,9v,,-2,8,-12,6l431,13v9,2,11,-4,11,-4l443,9xm441,19v,,-1,4,-6,3l435,20v4,2,5,-1,5,-1l441,19xm413,55v,,-15,4,-9,-12l406,44v-6,13,7,10,7,10l413,55xm404,62v,,-9,-1,-7,-10l398,53v-1,7,6,8,6,8l404,62xm395,66v,,-3,-1,-3,-5l394,61v-1,3,1,4,1,4l395,66xm23,27c27,14,24,10,22,8l23,7v2,2,5,7,2,21l23,27xm22,8v,,,,,l23,7v,,,,,l22,8xm22,8v-1,-2,-2,,-2,l19,7v,,2,-3,4,l22,8xm20,8r-2,2l19,8r,l20,8xm19,8v,-1,,-1,,-1l20,7v,,,1,,1l19,8xm19,7v,,,,,-1l20,6v,1,,1,,1l19,7xm19,6r,l20,6r,l19,6xm19,6c19,5,18,4,17,3l18,2v1,1,2,3,2,4l19,6xm17,3c17,2,15,1,14,1l14,v2,,3,1,4,2l17,3xm14,1r,l14,r,l14,1xm14,1v,,,,,l14,v,,,,,l14,1xm14,1v,,,,,l14,v,,,,,l14,1xm14,r,l14,r,1l14,xm14,1r,l14,r,l14,1xm14,r,l14,1,14,xm14,1v-1,,-1,,-1,1l12,v1,,1,,2,l14,1xm13,2v,,-1,,-1,l11,1v1,,1,,1,-1l13,2xm11,1r,l12,2,11,1xm12,2c11,3,10,5,10,6l8,6c8,4,10,2,11,1r1,1xm10,6v,1,,1,,1l8,7v,,,,,-1l10,6xm10,7v,,,,,1l9,8c9,8,9,7,8,7r2,xm1,9v,,2,6,10,4l12,15c2,17,,9,,9r1,xm3,19v,,,3,4,1l8,22c2,23,1,19,1,19r2,xm30,54v,,12,3,7,-10l38,43v6,16,-8,12,-8,12l30,54xm38,61v1,,8,-1,7,-8l46,52v1,9,-7,10,-7,10l38,61xe" fillcolor="#24211d" stroked="f">
                  <v:path arrowok="t" o:connecttype="custom" o:connectlocs="418,28;420,7;423,8;423,8;423,8;423,6;424,2;428,1;428,1;428,0;429,0;429,0;429,1;429,0;431,1;433,6;433,6;434,7;418,24;387,47;388,47;389,48;261,153;260,153;260,152;234,147;221,169;209,147;208,147;183,153;110,98;110,97;110,98;25,25;24,24;24,24;443,9;413,55;397,52;394,61;25,28;22,8;20,8;19,7;20,6;20,6;19,6;14,1;14,1;14,0;14,1;14,1;13,2;11,1;11,1;10,6;10,8;12,15;1,19;30,54" o:connectangles="0,0,0,0,0,0,0,0,0,0,0,0,0,0,0,0,0,0,0,0,0,0,0,0,0,0,0,0,0,0,0,0,0,0,0,0,0,0,0,0,0,0,0,0,0,0,0,0,0,0,0,0,0,0,0,0,0,0,0,0"/>
                  <o:lock v:ext="edit" verticies="t"/>
                </v:shape>
                <v:shape id="Freeform 46" o:spid="_x0000_s1062" style="position:absolute;left:450;top:158;width:5;height:12;visibility:visible;mso-wrap-style:square;v-text-anchor:top" coordsize="6,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" path="m6,c1,7,,14,,14,2,10,6,11,6,11,4,5,6,,6,xe" fillcolor="#24211d" stroked="f">
                  <v:path arrowok="t" o:connecttype="custom" o:connectlocs="6,0;0,14;6,11;6,0" o:connectangles="0,0,0,0"/>
                </v:shape>
                <v:shape id="Freeform 47" o:spid="_x0000_s1063" style="position:absolute;left:449;top:156;width:6;height:16;visibility:visible;mso-wrap-style:square;v-text-anchor:top" coordsize="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" path="m7,4c2,10,1,17,1,17l,17c,17,1,10,6,3l7,4xm1,18l,20,,17r1,l1,18xm,17c3,13,7,14,7,14l6,15v,,-2,-1,-5,3l,17xm7,14r,1l6,15,7,14xm6,14c5,8,6,3,6,3l7,4v,,-1,4,,10l6,14xm6,3l8,,7,4,7,3,6,3xe" fillcolor="#24211d" stroked="f">
                  <v:path arrowok="t" o:connecttype="custom" o:connectlocs="7,4;1,17;0,17;6,3;7,4;1,18;0,20;0,17;1,17;1,18;0,17;7,14;6,15;1,18;0,17;7,14;7,15;6,15;7,14;6,14;6,3;7,4;7,14;6,14;6,3;8,0;7,4;7,3;6,3" o:connectangles="0,0,0,0,0,0,0,0,0,0,0,0,0,0,0,0,0,0,0,0,0,0,0,0,0,0,0,0,0"/>
                  <o:lock v:ext="edit" verticies="t"/>
                </v:shape>
                <v:shape id="Freeform 48" o:spid="_x0000_s1064" style="position:absolute;left:444;top:279;width:24;height:11;visibility:visible;mso-wrap-style:square;v-text-anchor:top" coordsize="2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" path="m,3v,,5,9,18,11c22,14,25,14,29,13v,,,,,c29,13,29,13,29,13,22,14,18,12,15,9,14,7,13,5,12,3,12,1,11,,11,v,,,1,,1c10,3,5,9,,3xe" fillcolor="#24211d" strokecolor="#24211d" strokeweight=".04411mm">
                  <v:path arrowok="t" o:connecttype="custom" o:connectlocs="0,3;18,14;29,13;29,13;29,13;15,9;12,3;11,0;11,1;0,3" o:connectangles="0,0,0,0,0,0,0,0,0,0"/>
                </v:shape>
                <v:shape id="Freeform 49" o:spid="_x0000_s1065" style="position:absolute;left:256;top:106;width:136;height:38;visibility:visible;mso-wrap-style:square;v-text-anchor:top" coordsize="166,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" path="m165,11v,,1,15,-11,22l153,32v11,-6,11,-21,11,-21l165,11xm153,33r-1,l153,32r1,1l153,33xm154,32v4,3,6,1,6,1l161,34v,,-3,2,-8,-1l154,32xm161,34r,l160,34r1,xm160,33v,,2,-2,2,1l161,34v,-1,,,,l160,33xm162,34r,l162,34r-1,l162,34xm162,34v,,-13,11,-36,l127,32v22,11,34,1,34,1l162,34xm127,32r,l127,32r-1,1l127,32xm126,34v,,-2,-1,-4,l122,32v2,,5,,5,l126,34xm122,32r,l122,32r,1l122,32xm123,33v-4,3,4,7,4,7l127,41v,,-10,-4,-5,-9l123,33xm127,40r1,l127,41r,-1xm127,41v,,-9,5,-30,-11l98,29v20,15,28,11,29,11l127,41xm98,29r,l97,29r1,xm97,30v,,-6,-5,-7,-2l89,28v1,-5,9,1,9,1l97,30xm89,28r,l89,28r1,l89,28xm90,28v,,,5,7,9l96,38c89,34,89,28,89,28r1,xm97,37r1,1l97,38r,l97,37xm97,38v,1,-24,6,-40,-17l58,21c74,42,96,37,97,37r,1xm57,21l56,19r2,2l57,21xm58,21v,,4,24,-22,18l36,38c60,44,57,21,57,21r1,xm36,39r-1,l35,38r1,1xm35,38v,,7,-15,-2,-25l34,12v10,11,2,27,2,27l35,38xm34,12r,l34,12r-1,l34,12xm33,13c33,13,22,2,7,16l6,15c22,,34,12,34,12r-1,1xm7,16r,l7,16,6,15r1,1xm7,16c6,16,2,19,5,27r-1,c,18,6,15,6,15r1,1xm4,27r,l4,27xm5,27r,l4,27r,l5,27xm4,27r,l4,27xm5,27v,,,,,l4,28v,,,-1,,-1l5,27xm5,27v,1,1,1,1,1l5,29v,,-1,-1,-1,-1l5,27xm6,28v1,1,2,2,4,2l10,31c8,31,6,30,5,29l6,28xm10,30r,l10,31r,l10,30xm10,30v2,,3,-1,4,-2l15,29v-1,1,-3,2,-5,2l10,30xm14,28v1,-1,2,-2,2,-3l17,25v,1,-1,3,-2,4l14,28xm16,25r,l17,25r,l16,25xm16,25r,l17,25r,l16,25xm16,25v,-1,,-2,-1,-2l16,22v1,1,1,2,1,3l16,25xm15,23v,,,-1,,-1l16,22v,,,,,l15,23xm15,22v,,,-1,-1,-1l15,20v1,1,1,1,1,2l15,22xe" fillcolor="#24211d" stroked="f">
                  <v:path arrowok="t" o:connecttype="custom" o:connectlocs="164,11;153,32;160,33;161,34;160,33;160,33;161,34;127,32;127,32;126,34;126,34;122,33;127,41;128,40;97,30;98,29;97,30;97,30;90,28;96,38;98,38;97,38;97,38;57,21;57,21;35,38;34,12;34,12;33,13;33,13;6,15;4,27;4,27;4,27;4,27;4,28;6,28;6,28;6,28;10,31;15,29;16,25;16,25;16,25;17,25;16,22;15,22;15,22;15,22" o:connectangles="0,0,0,0,0,0,0,0,0,0,0,0,0,0,0,0,0,0,0,0,0,0,0,0,0,0,0,0,0,0,0,0,0,0,0,0,0,0,0,0,0,0,0,0,0,0,0,0,0"/>
                  <o:lock v:ext="edit" verticies="t"/>
                </v:shape>
                <v:shape id="Freeform 50" o:spid="_x0000_s1066" style="position:absolute;left:430;top:249;width:10;height:14;visibility:visible;mso-wrap-style:square;v-text-anchor:top" coordsize="1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" path="m3,v,,-1,6,,10l2,11c,6,2,,2,l3,xm2,11r,l2,11r,xm3,10v4,6,8,1,8,1l12,12v,,-5,6,-10,-1l3,10xe" fillcolor="#24211d" stroked="f">
                  <v:path arrowok="t" o:connecttype="custom" o:connectlocs="3,0;3,10;2,11;2,0;3,0;2,11;2,11;2,11;2,11;3,10;11,11;12,12;2,11;3,10" o:connectangles="0,0,0,0,0,0,0,0,0,0,0,0,0,0"/>
                  <o:lock v:ext="edit" verticies="t"/>
                </v:shape>
                <v:shape id="Freeform 51" o:spid="_x0000_s1067" style="position:absolute;left:433;top:263;width:7;height:5;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" path="m8,1c8,1,3,7,,1l1,c3,5,7,,7,l8,1xe" fillcolor="#24211d" stroked="f">
                  <v:path arrowok="t" o:connecttype="custom" o:connectlocs="8,1;0,1;1,0;7,0;8,1" o:connectangles="0,0,0,0,0"/>
                </v:shape>
                <v:shape id="Freeform 52" o:spid="_x0000_s1068" style="position:absolute;left:421;top:234;width:44;height:70;visibility:visible;mso-wrap-style:square;v-text-anchor:top" coordsize="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" path="m53,80c53,80,5,86,4,20r1,c6,84,52,79,53,79r,1xm4,20r,l5,20r-1,xm4,20v,,1,-7,-1,-9l4,10v2,2,1,10,1,10l4,20xm3,11r,l3,11,4,10,3,11xm3,11c,5,1,1,1,1r1,c2,1,2,5,4,10l3,11xm1,1l1,r,l1,1xm1,v,,8,1,15,7l16,8c9,2,1,1,1,1l1,xm16,7r1,l16,8r,-1xm17,7v5,6,5,18,5,18l21,25v,,,-12,-5,-17l17,7xe" fillcolor="#24211d" stroked="f">
                  <v:path arrowok="t" o:connecttype="custom" o:connectlocs="53,80;4,20;5,20;53,79;53,80;4,20;4,20;5,20;4,20;4,20;3,11;4,10;5,20;4,20;3,11;3,11;3,11;4,10;3,11;3,11;1,1;2,1;4,10;3,11;1,1;1,0;1,0;1,1;1,0;16,7;16,8;1,1;1,0;16,7;17,7;16,8;16,7;17,7;22,25;21,25;16,8;17,7" o:connectangles="0,0,0,0,0,0,0,0,0,0,0,0,0,0,0,0,0,0,0,0,0,0,0,0,0,0,0,0,0,0,0,0,0,0,0,0,0,0,0,0,0,0"/>
                  <o:lock v:ext="edit" verticies="t"/>
                </v:shape>
                <v:shape id="Freeform 53" o:spid="_x0000_s1069" style="position:absolute;left:421;top:462;width:8;height:41;visibility:visible;mso-wrap-style:square;v-text-anchor:top" coordsize="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" path="m3,50c3,50,8,13,,1l1,v9,12,3,50,3,50l3,50xe" fillcolor="#24211d" stroked="f">
                  <v:path arrowok="t" o:connecttype="custom" o:connectlocs="3,50;0,1;1,0;4,50;3,50" o:connectangles="0,0,0,0,0"/>
                </v:shape>
                <v:shape id="Freeform 54" o:spid="_x0000_s1070" style="position:absolute;left:442;top:372;width:5;height:14;visibility:visible;mso-wrap-style:square;v-text-anchor:top" coordsize="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" path="m5,c5,,7,16,,14l,13c5,14,4,,4,l5,xe" fillcolor="#24211d" stroked="f">
                  <v:path arrowok="t" o:connecttype="custom" o:connectlocs="5,0;0,14;0,13;4,0;5,0" o:connectangles="0,0,0,0,0"/>
                </v:shape>
                <v:shape id="Freeform 55" o:spid="_x0000_s1071" style="position:absolute;left:440;top:382;width:7;height:13;visibility:visible;mso-wrap-style:square;v-text-anchor:top" coordsize="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" path="m8,16c8,16,,12,1,l2,v,11,7,14,7,14l8,16xe" fillcolor="#24211d" stroked="f">
                  <v:path arrowok="t" o:connecttype="custom" o:connectlocs="8,16;1,0;2,0;9,14;8,16" o:connectangles="0,0,0,0,0"/>
                </v:shape>
                <v:shape id="Freeform 56" o:spid="_x0000_s1072" style="position:absolute;left:428;top:343;width:18;height:9;visibility:visible;mso-wrap-style:square;v-text-anchor:top" coordsize="2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" path="m23,1c23,1,12,11,,1l,c12,9,23,,23,r,1xe" fillcolor="#24211d" stroked="f">
                  <v:path arrowok="t" o:connecttype="custom" o:connectlocs="23,1;0,1;0,0;23,0;23,1" o:connectangles="0,0,0,0,0"/>
                </v:shape>
                <v:shape id="Freeform 57" o:spid="_x0000_s1073" style="position:absolute;left:410;top:346;width:40;height:111;visibility:visible;mso-wrap-style:square;v-text-anchor:top" coordsize="48,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" path="m33,1c32,2,31,2,30,2r,c30,1,31,,32,r1,1xm30,2v,1,,1,,2l28,4v,-1,1,-2,2,-2xm30,4v,1,,1,,2l29,6c28,6,28,5,28,4r2,xm30,6v,,,,,1l29,8v,-1,,-1,,-2l30,6xm29,8r,l29,8,30,7,29,8xm30,7v,,5,5,3,8l32,14c33,12,29,8,29,8l30,7xm33,15r,l32,15r,l33,15xm32,15v,,-5,3,-9,-3l24,12v3,4,8,2,8,2l32,15xm23,12r1,-2l24,12r,l23,12xm24,12v,,-1,5,11,18l34,30c21,17,23,12,23,12r1,xm35,30r,l34,30r1,xm35,30v2,2,1,5,1,5l35,35v,,,-3,-1,-5l35,30xm35,35r,l36,35r-1,xm36,35r,l35,35r,l36,35xm36,35r,l36,35xm36,35v,1,,1,,1l35,36v,,,,,-1l36,35xm36,36v,1,,1,,1l35,37v,,,-1,,-1l36,36xm36,37v-1,2,-3,3,-5,3l31,39v2,,3,-1,4,-2l36,37xm31,40r,l31,39r,l31,40xm31,40v-1,,-3,-1,-4,-2l28,37v1,1,2,2,3,2l31,40xm27,38c26,37,26,35,26,34r1,c27,35,28,36,28,37r-1,1xm26,34r,l27,34r,l26,34xm26,34v,-1,1,,,l26,33v1,,1,,1,1l26,34xm26,34v,,1,,1,l26,34v,-1,,-1,,-1l26,34xm27,34v,,-1,-1,,-1l26,34v,,,,,l27,34xm27,33r,l26,34r1,-1xm27,33v,,-1,1,-1,1l27,34v,,,1,-1,l27,33xm26,34r1,l26,34xm27,34v,,-2,12,5,22l31,56c24,46,26,34,26,34r1,xm32,56r,l31,56r1,xm32,56v5,8,11,13,11,13l43,70v,,-7,-6,-12,-14l32,56xm43,69r,l43,69r,1l43,69xm43,69v5,6,5,14,5,14l47,83v,,,-8,-4,-13l43,69xm47,83r,l47,83xm48,83r,l47,83r,l48,83xm48,83r,l47,83r,l48,83xm48,83v,2,-1,3,-2,4l46,86v,-1,1,-1,1,-3l48,83xm46,87v,1,-2,1,-3,1l43,87v1,,2,,3,-1l46,87xm43,88r,l43,87r,l43,88xm43,88r,l43,87r,l43,88xm43,88v-1,,-2,,-3,-1l41,86v,1,1,1,2,1l43,88xm40,87c39,86,38,85,38,83r2,c40,85,40,85,41,86r-1,1xm38,83r,l40,83r,l38,83xm38,83v,,,1,,1l40,83v,,,,,l38,83xm38,84r,-1l39,83r-1,1xm38,83v,,,,,l40,83v,,,,,l38,83xm38,83v,,,,,-1l39,83v,,1,,1,l38,83xm39,82r,1l39,83r,l39,82xm38,83c37,76,39,73,39,73r1,c40,73,39,76,39,82r-1,1xm39,73r,-1l39,72r,1xm39,72v,,1,1,,1l39,72v3,,1,1,1,1l39,72xm38,72r1,l39,72r,l38,72xm39,73v-6,6,-10,,-11,l30,73v,,3,4,8,-1l39,73xm28,73r,l28,73r1,l28,73xm28,73c29,54,16,55,16,55r,-2c16,53,30,52,30,73r-2,xm16,54r-1,l16,53r,1xm17,54v5,10,-1,19,-1,19l15,73v,,6,-9,1,-19l17,54xm15,73r,l15,73r,xm16,73v-15,35,7,51,7,51l22,125v,,-22,-17,-7,-52l16,73xm23,124r,l23,124r-1,l23,124xm23,124v2,3,2,7,2,7l23,131v,,1,-4,-1,-7l23,124xm23,131r,l23,131r1,l23,131xm25,131v,,,,,l23,131v,,,,,l25,131xm23,131r,l24,131r-1,xm25,131v,,,,,1l23,131v,,,,,l25,131xm25,132v-1,,-1,,-1,1l23,132v,,,,,-1l25,132xm24,133v-1,1,-2,2,-4,2l20,134v2,,3,-1,3,-2l24,133xm20,135v,,,,,l20,134v,,,,,l20,135xm20,135v,,,,-1,l20,134v,,,,,l20,135xm19,135v,,,,,l19,133v,1,1,1,1,1l19,135xm19,135r,l19,134r,1xm19,135v-2,-1,-3,-3,-3,-4l17,130v,2,1,3,2,3l19,135xm17,130r,l17,130r,xm16,131v-1,-3,-1,-6,-1,-6l17,125v,,,3,,5l16,131xm17,125r,l16,125r1,xm15,125v,,,,,l17,125v,,,,,l15,125xm15,125v,,,,,-1l17,124v,,,1,,1l15,125xm15,124v,,,,,l16,123v,,1,1,1,1l15,124xm15,124v,-1,-1,-2,-2,-2l13,121v1,,3,1,3,2l15,124xm13,122r,l13,121r,l13,122xm13,122v-1,,-1,,-1,l11,121v1,,1,,2,l13,122xm12,122v,,,,,l11,121v,,,,,l12,122xm12,122v-1,1,-1,1,-1,2l9,123v1,-1,1,-1,2,-2l12,122xe" fillcolor="#24211d" stroked="f">
                  <v:path arrowok="t" o:connecttype="custom" o:connectlocs="30,4;30,4;29,8;29,8;32,15;24,12;24,12;35,35;36,35;36,35;36,37;35,37;31,40;27,34;26,34;27,34;26,34;26,34;27,34;31,56;43,69;47,83;48,83;47,83;46,87;43,87;43,88;38,83;40,83;38,84;40,83;39,82;40,73;39,72;39,72;39,73;16,55;16,54;15,73;16,73;25,131;24,131;23,131;23,131;24,133;20,134;20,135;19,135;19,135;17,125;15,125;17,124;15,124;13,122;13,121;12,122" o:connectangles="0,0,0,0,0,0,0,0,0,0,0,0,0,0,0,0,0,0,0,0,0,0,0,0,0,0,0,0,0,0,0,0,0,0,0,0,0,0,0,0,0,0,0,0,0,0,0,0,0,0,0,0,0,0,0,0"/>
                  <o:lock v:ext="edit" verticies="t"/>
                </v:shape>
                <v:shape id="Freeform 58" o:spid="_x0000_s1074" style="position:absolute;left:401;top:444;width:18;height:27;visibility:visible;mso-wrap-style:square;v-text-anchor:top" coordsize="22,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" path="m11,33c11,33,,22,9,11r1,c2,22,12,32,12,32r-1,1xm10,11r,l10,11r,xm9,11v,,,-6,2,-8l12,4v-2,2,-2,7,-2,7l9,11xm11,3r,l11,3r,1l11,3xm11,3v,,7,-3,10,7l20,10c17,2,12,4,12,4l11,3xm21,10r-1,l21,10xm20,10v,,-1,-3,1,-6l22,5v-2,2,-1,5,-1,5l20,10xe" fillcolor="#24211d" stroked="f">
                  <v:path arrowok="t" o:connecttype="custom" o:connectlocs="11,33;9,11;10,11;12,32;11,33;10,11;10,11;10,11;10,11;9,11;11,3;12,4;10,11;9,11;11,3;11,3;11,3;11,4;11,3;11,3;21,10;20,10;12,4;11,3;21,10;20,10;21,10;20,10;21,4;22,5;21,10;20,10" o:connectangles="0,0,0,0,0,0,0,0,0,0,0,0,0,0,0,0,0,0,0,0,0,0,0,0,0,0,0,0,0,0,0,0"/>
                  <o:lock v:ext="edit" verticies="t"/>
                </v:shape>
                <v:shape id="Freeform 59" o:spid="_x0000_s1075" style="position:absolute;left:439;top:346;width:4;height:3;visibility:visible;mso-wrap-style:square;v-text-anchor:top" coordsize="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" path="m,c1,,1,,1,r,1c1,1,,1,,1l,xm1,c3,,4,,5,3l4,3c3,2,2,1,1,1l1,xe" fillcolor="#24211d" stroked="f">
                  <v:path arrowok="t" o:connecttype="custom" o:connectlocs="0,0;1,0;1,1;0,1;0,0;1,0;5,3;4,3;1,1;1,0" o:connectangles="0,0,0,0,0,0,0,0,0,0"/>
                  <o:lock v:ext="edit" verticies="t"/>
                </v:shape>
                <v:shape id="Freeform 60" o:spid="_x0000_s1076" style="position:absolute;left:423;top:325;width:26;height:18;visibility:visible;mso-wrap-style:square;v-text-anchor:top" coordsize="3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" path="m1,7v,,17,14,29,-5l31,3c18,22,,8,,8l1,7xm31,2r,l31,3,30,2r1,xm30,3v,-1,,-1,,-1l29,1v,,1,-1,2,1l30,3xm30,2c25,8,12,5,12,5r,-1c12,4,24,7,29,1r1,1xe" fillcolor="#24211d" stroked="f">
                  <v:path arrowok="t" o:connecttype="custom" o:connectlocs="1,7;30,2;31,3;0,8;1,7;31,2;31,2;31,3;30,2;31,2;30,3;30,2;29,1;31,2;30,3;30,2;12,5;12,4;29,1;30,2" o:connectangles="0,0,0,0,0,0,0,0,0,0,0,0,0,0,0,0,0,0,0,0"/>
                  <o:lock v:ext="edit" verticies="t"/>
                </v:shape>
                <v:shape id="Freeform 61" o:spid="_x0000_s1077" style="position:absolute;left:461;top:275;width:12;height:15;visibility:visible;mso-wrap-style:square;v-text-anchor:top" coordsize="1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" path="m8,18v,,,,,l8,19v,,,,,l8,18xm8,18r,l8,18xm8,18v,-1,1,-1,1,-1l10,18v-1,,-1,1,-2,1l8,18xm9,17v,,1,,1,-1l11,17v,1,-1,1,-1,1l9,17xm10,16v2,-1,3,-4,3,-7l14,9v,3,-1,6,-3,8l10,16xm13,9r,l14,9r,l13,9xm13,9v,-1,,-1,,-2l14,7v,1,,1,,2l13,9xm13,7v,,,,,l14,7v,,,,,l13,7xm13,7v,-1,,-1,,-2l14,5v,1,,1,,2l13,7xm13,5r,l13,5xm13,5r,l14,5r,l13,5xm14,5r,l13,5r1,xm13,5v-1,,-1,,-1,-1l13,4v1,,1,1,1,1l13,5xm12,4v,,,,,l13,3v,,,1,,1l12,4xm13,3r,l12,3r1,xm12,4c11,2,9,1,7,1l7,v2,,4,1,6,3l12,4xm7,1r,l7,r,l7,1xm7,1c5,1,4,2,3,3l2,2c3,,5,,7,r,1xm3,3c2,4,1,5,1,6l,6c,5,1,3,2,2l3,3xm1,6r,l,6r,l1,6xm1,6r,l,6r,l1,6xm1,6v,1,,1,1,2l,8c,8,,7,,6r1,xm2,8v,,,,,l,9c,9,,8,,8r2,xm2,8r,l1,8r1,xm2,8v,1,,1,,1l1,10c1,10,1,9,,9l2,8xe" fillcolor="#24211d" stroked="f">
                  <v:path arrowok="t" o:connecttype="custom" o:connectlocs="8,18;8,19;8,18;8,18;9,17;8,19;9,17;11,17;9,17;13,9;11,17;13,9;14,9;13,9;13,7;14,9;13,7;14,7;13,7;13,5;14,7;13,5;13,5;13,5;14,5;14,5;13,5;13,5;13,4;13,5;12,4;13,4;13,3;12,3;12,4;7,0;12,4;7,1;7,0;7,1;2,2;7,1;1,6;2,2;1,6;0,6;1,6;1,6;0,6;1,6;0,8;1,6;2,8;0,8;2,8;1,8;2,8;1,10;2,8" o:connectangles="0,0,0,0,0,0,0,0,0,0,0,0,0,0,0,0,0,0,0,0,0,0,0,0,0,0,0,0,0,0,0,0,0,0,0,0,0,0,0,0,0,0,0,0,0,0,0,0,0,0,0,0,0,0,0,0,0,0,0"/>
                  <o:lock v:ext="edit" verticies="t"/>
                </v:shape>
                <v:shape id="Freeform 62" o:spid="_x0000_s1078" style="position:absolute;left:454;top:151;width:19;height:15;visibility:visible;mso-wrap-style:square;v-text-anchor:top" coordsize="2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" path="m15,17r,l15,18r,l15,17xm15,17v2,,4,-1,5,-2l21,16v-2,1,-4,2,-6,2l15,17xm20,15v1,-1,2,-3,2,-4l23,11v,2,-1,4,-2,5l20,15xm22,11r,l23,11r,l22,11xm22,11r,l23,11r,l22,11xm22,11v,-1,,-2,,-3l23,8v,1,,2,,3l22,11xm22,8v-1,,-1,,-1,l22,7v,,1,1,1,1l22,8xm21,8c20,6,19,5,18,5r,-2c20,4,21,5,22,7l21,8xm18,5r,l18,4r,1xm18,5c18,5,11,1,5,6l4,4c11,,18,3,18,3r,2xm4,5r,l4,4r,1xm5,5r,l4,5r,l5,5xm4,5r,l4,5xm5,5c4,6,3,8,2,9l1,8c2,7,3,6,4,5r1,xm2,9v,,,,-1,1l,9c,9,1,8,1,8l2,9xe" fillcolor="#24211d" stroked="f">
                  <v:path arrowok="t" o:connecttype="custom" o:connectlocs="15,17;15,18;15,17;21,16;15,17;22,11;21,16;22,11;23,11;22,11;22,11;23,11;22,11;23,8;22,11;21,8;23,8;21,8;18,3;21,8;18,5;18,5;5,6;18,3;4,5;4,4;5,5;4,5;5,5;4,5;5,5;1,8;5,5;1,10;1,8" o:connectangles="0,0,0,0,0,0,0,0,0,0,0,0,0,0,0,0,0,0,0,0,0,0,0,0,0,0,0,0,0,0,0,0,0,0,0"/>
                  <o:lock v:ext="edit" verticies="t"/>
                </v:shape>
                <v:shape id="Freeform 63" o:spid="_x0000_s1079" style="position:absolute;left:436;top:322;width:13;height:6;visibility:visible;mso-wrap-style:square;v-text-anchor:top" coordsize="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" path="m16,2c16,2,12,7,,1l1,c12,6,15,2,15,2r1,xe" fillcolor="#24211d" stroked="f">
                  <v:path arrowok="t" o:connecttype="custom" o:connectlocs="16,2;0,1;1,0;15,2;16,2" o:connectangles="0,0,0,0,0"/>
                </v:shape>
                <v:shape id="Freeform 64" o:spid="_x0000_s1080" style="position:absolute;left:438;top:317;width:12;height:6;visibility:visible;mso-wrap-style:square;v-text-anchor:top" coordsize="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" path="m14,4c14,4,10,8,,1l,c10,6,14,3,14,3r,1xe" fillcolor="#24211d" stroked="f">
                  <v:path arrowok="t" o:connecttype="custom" o:connectlocs="14,4;0,1;0,0;14,3;14,4" o:connectangles="0,0,0,0,0"/>
                </v:shape>
                <v:shape id="Freeform 65" o:spid="_x0000_s1081" style="position:absolute;left:441;top:311;width:12;height:5;visibility:visible;mso-wrap-style:square;v-text-anchor:top" coordsize="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" path="m,c,,7,5,14,2r1,1c7,6,,1,,1l,xe" fillcolor="#24211d" stroked="f">
                  <v:path arrowok="t" o:connecttype="custom" o:connectlocs="0,0;14,2;15,3;0,1;0,0" o:connectangles="0,0,0,0,0"/>
                </v:shape>
                <v:shape id="Freeform 66" o:spid="_x0000_s1082" style="position:absolute;left:443;top:305;width:12;height:6;visibility:visible;mso-wrap-style:square;v-text-anchor:top" coordsize="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" path="m15,3c15,3,9,7,,1l1,c9,5,15,2,15,2r,1xe" fillcolor="#24211d" stroked="f">
                  <v:path arrowok="t" o:connecttype="custom" o:connectlocs="15,3;0,1;1,0;15,2;15,3" o:connectangles="0,0,0,0,0"/>
                </v:shape>
                <v:shape id="Freeform 67" o:spid="_x0000_s1083" style="position:absolute;left:446;top:301;width:14;height:4;visibility:visible;mso-wrap-style:square;v-text-anchor:top" coordsize="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" path="m16,3c16,3,11,5,,1l1,c11,4,16,2,16,2r,1xe" fillcolor="#24211d" stroked="f">
                  <v:path arrowok="t" o:connecttype="custom" o:connectlocs="16,3;0,1;1,0;16,2;16,3" o:connectangles="0,0,0,0,0"/>
                </v:shape>
                <v:shape id="Freeform 68" o:spid="_x0000_s1084" style="position:absolute;left:431;top:144;width:22;height:95;visibility:visible;mso-wrap-style:square;v-text-anchor:top" coordsize="27,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" path="m27,4c27,4,7,1,1,116r-1,c5,,27,3,27,3r,1xe" fillcolor="#24211d" stroked="f">
                  <v:path arrowok="t" o:connecttype="custom" o:connectlocs="27,4;1,116;0,116;27,3;27,4" o:connectangles="0,0,0,0,0"/>
                </v:shape>
                <v:shape id="Freeform 69" o:spid="_x0000_s1085" style="position:absolute;left:438;top:142;width:10;height:10;visibility:visible;mso-wrap-style:square;v-text-anchor:top" coordsize="1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" path="m12,3c12,3,7,2,1,12l,11c6,,12,2,12,2r,1xe" fillcolor="#24211d" stroked="f">
                  <v:path arrowok="t" o:connecttype="custom" o:connectlocs="12,3;1,12;0,11;12,2;12,3" o:connectangles="0,0,0,0,0"/>
                </v:shape>
                <v:shape id="Freeform 70" o:spid="_x0000_s1086" style="position:absolute;left:436;top:137;width:10;height:7;visibility:visible;mso-wrap-style:square;v-text-anchor:top" coordsize="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" path="m11,6c11,6,6,2,1,9l,9c6,,12,5,12,5l11,6xe" fillcolor="#24211d" stroked="f">
                  <v:path arrowok="t" o:connecttype="custom" o:connectlocs="11,6;1,9;0,9;12,5;11,6" o:connectangles="0,0,0,0,0"/>
                </v:shape>
                <v:shape id="Freeform 71" o:spid="_x0000_s1087" style="position:absolute;left:430;top:131;width:10;height:6;visibility:visible;mso-wrap-style:square;v-text-anchor:top" coordsize="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" path="m11,7c11,7,8,2,1,7l,6c9,,12,7,12,7r-1,xe" fillcolor="#24211d" stroked="f">
                  <v:path arrowok="t" o:connecttype="custom" o:connectlocs="11,7;1,7;0,6;12,7;11,7" o:connectangles="0,0,0,0,0"/>
                </v:shape>
                <v:shape id="Freeform 72" o:spid="_x0000_s1088" style="position:absolute;left:425;top:127;width:10;height:4;visibility:visible;mso-wrap-style:square;v-text-anchor:top" coordsize="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" path="m11,5c11,5,10,2,,5l,4c11,,12,5,12,5r-1,xe" fillcolor="#24211d" stroked="f">
                  <v:path arrowok="t" o:connecttype="custom" o:connectlocs="11,5;0,5;0,4;12,5;11,5" o:connectangles="0,0,0,0,0"/>
                </v:shape>
                <v:shape id="Freeform 73" o:spid="_x0000_s1089" style="position:absolute;left:421;top:123;width:11;height:3;visibility:visible;mso-wrap-style:square;v-text-anchor:top" coordsize="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" path="m11,4v,,-1,-3,-10,l,3c11,,13,4,13,4r-2,xe" fillcolor="#24211d" stroked="f">
                  <v:path arrowok="t" o:connecttype="custom" o:connectlocs="11,4;1,4;0,3;13,4;11,4" o:connectangles="0,0,0,0,0"/>
                </v:shape>
                <v:shape id="Freeform 74" o:spid="_x0000_s1090" style="position:absolute;left:415;top:117;width:14;height:5;visibility:visible;mso-wrap-style:square;v-text-anchor:top" coordsize="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" path="m15,7c15,7,15,2,,5l,4c17,,16,7,16,7r-1,xe" fillcolor="#24211d" stroked="f">
                  <v:path arrowok="t" o:connecttype="custom" o:connectlocs="15,7;0,5;0,4;16,7;15,7" o:connectangles="0,0,0,0,0"/>
                </v:shape>
                <v:shape id="Freeform 75" o:spid="_x0000_s1091" style="position:absolute;left:249;top:98;width:33;height:41;visibility:visible;mso-wrap-style:square;v-text-anchor:top" coordsize="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" path="m14,24v,,14,-4,19,5l32,30c27,21,14,26,14,26r,-2xm33,29r,l34,29r-1,xm34,29v,,6,16,-12,20l22,48c38,44,32,30,32,29r2,xm22,49r,l22,49r,-1l22,49xm22,49c22,49,6,51,1,34r2,c7,50,22,48,22,48r,1xm1,34r,l1,34r1,l1,34xm1,34c,4,31,,31,r,2c31,2,1,5,3,34r-2,xe" fillcolor="#24211d" stroked="f">
                  <v:path arrowok="t" o:connecttype="custom" o:connectlocs="14,24;33,29;32,30;14,26;14,24;33,29;33,29;34,29;33,29;34,29;22,49;22,48;32,29;34,29;22,49;22,49;22,49;22,48;22,49;22,49;1,34;3,34;22,48;22,49;1,34;1,34;1,34;2,34;1,34;1,34;31,0;31,2;3,34;1,34" o:connectangles="0,0,0,0,0,0,0,0,0,0,0,0,0,0,0,0,0,0,0,0,0,0,0,0,0,0,0,0,0,0,0,0,0,0"/>
                  <o:lock v:ext="edit" verticies="t"/>
                </v:shape>
                <v:shape id="Freeform 76" o:spid="_x0000_s1092" style="position:absolute;left:319;top:116;width:16;height:10;visibility:visible;mso-wrap-style:square;v-text-anchor:top" coordsize="1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" path="m18,11c18,10,2,2,4,12l3,13c,,19,9,19,9r-1,2xe" fillcolor="#24211d" stroked="f">
                  <v:path arrowok="t" o:connecttype="custom" o:connectlocs="18,11;4,12;3,13;19,9;18,11" o:connectangles="0,0,0,0,0"/>
                </v:shape>
                <v:oval id="Oval 77" o:spid="_x0000_s1093" style="position:absolute;left:450;top:433;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" fillcolor="#24211d" stroked="f"/>
                <v:shape id="Freeform 78" o:spid="_x0000_s1094" style="position:absolute;left:449;top:432;width:3;height:4;visibility:visible;mso-wrap-style:square;v-text-anchor:top" coordsize="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" path="m2,2r,l2,r,l2,2xm2,2v,,,,,l1,1c1,,2,,2,r,2xm2,2v,,,,,l,2c,2,1,1,1,1l2,2xm,2r,l1,2,,2xm2,2r,l,2r,l2,2xm2,2r,l,2r,l2,2xm2,2v,,,,,1l1,3c1,3,,3,,2r2,xm2,3v,,,,,l2,4c2,4,1,4,1,3r1,xm2,4r,l2,3r,1xm2,3r,l2,4r,l2,3xm2,3r,l2,4r,l2,3xm2,3v,,,,,l3,3v,1,,1,-1,1l2,3xm2,3r,l3,3,2,3xm2,3c2,2,3,2,3,2r1,c4,3,4,3,3,3l2,3xm4,2r,l3,2r1,xm3,2r,l4,2r,l3,2xm3,2r,l4,2r,l3,2xm3,2v,,-1,,-1,l3,1v1,,1,1,1,1l3,2xm2,2r,l3,1,2,2xm2,2v,,,,,l2,c3,,3,,3,1l2,2xm2,r,l2,1,2,xm2,2r,l2,r,l2,2xe" fillcolor="#24211d" stroked="f">
                  <v:path arrowok="t" o:connecttype="custom" o:connectlocs="2,2;2,0;2,2;1,1;2,2;2,2;1,1;0,2;1,2;2,2;0,2;2,2;2,2;0,2;2,2;1,3;2,2;2,3;1,3;2,4;2,3;2,3;2,4;2,3;2,3;2,4;2,3;3,3;2,3;2,3;2,3;3,2;3,3;4,2;3,2;3,2;4,2;3,2;3,2;4,2;3,2;3,1;3,2;2,2;2,2;2,2;3,1;2,0;2,1;2,2;2,0;2,2" o:connectangles="0,0,0,0,0,0,0,0,0,0,0,0,0,0,0,0,0,0,0,0,0,0,0,0,0,0,0,0,0,0,0,0,0,0,0,0,0,0,0,0,0,0,0,0,0,0,0,0,0,0,0,0"/>
                  <o:lock v:ext="edit" verticies="t"/>
                </v:shape>
                <v:shape id="Freeform 79" o:spid="_x0000_s1095" style="position:absolute;left:429;top:415;width:16;height:63;visibility:visible;mso-wrap-style:square;v-text-anchor:top" coordsize="1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" path="m17,77v,,1,-38,-8,-50l10,26v9,12,8,51,8,51l17,77xm10,26r,l9,27r1,-1xm9,27c1,17,,,,l1,v,,1,17,9,26l9,27xe" fillcolor="#24211d" stroked="f">
                  <v:path arrowok="t" o:connecttype="custom" o:connectlocs="17,77;9,27;10,26;18,77;17,77;10,26;10,26;9,27;10,26;9,27;0,0;1,0;10,26;9,27" o:connectangles="0,0,0,0,0,0,0,0,0,0,0,0,0,0"/>
                  <o:lock v:ext="edit" verticies="t"/>
                </v:shape>
                <v:shape id="Freeform 80" o:spid="_x0000_s1096" style="position:absolute;left:446;top:427;width:8;height:4;visibility:visible;mso-wrap-style:square;v-text-anchor:top" coordsize="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" path="m9,1c9,1,8,4,,3l,2c7,3,8,,8,l9,1xe" fillcolor="#24211d" stroked="f">
                  <v:path arrowok="t" o:connecttype="custom" o:connectlocs="9,1;0,3;0,2;8,0;9,1" o:connectangles="0,0,0,0,0"/>
                </v:shape>
                <v:shape id="Freeform 81" o:spid="_x0000_s1097" style="position:absolute;left:442;top:413;width:16;height:15;visibility:visible;mso-wrap-style:square;v-text-anchor:top" coordsize="1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" path="m16,c16,,19,19,,14l,13c17,17,15,,15,r1,xe" fillcolor="#24211d" stroked="f">
                  <v:path arrowok="t" o:connecttype="custom" o:connectlocs="16,0;0,14;0,13;15,0;16,0" o:connectangles="0,0,0,0,0"/>
                </v:shape>
                <v:shape id="Freeform 82" o:spid="_x0000_s1098" style="position:absolute;left:428;top:452;width:9;height:12;visibility:visible;mso-wrap-style:square;v-text-anchor:top" coordsize="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" path="m11,c11,,12,14,,11l,10c10,13,10,,10,r1,xe" fillcolor="#24211d" stroked="f">
                  <v:path arrowok="t" o:connecttype="custom" o:connectlocs="11,0;0,11;0,10;10,0;11,0" o:connectangles="0,0,0,0,0"/>
                </v:shape>
                <v:oval id="Oval 83" o:spid="_x0000_s1099" style="position:absolute;left:31;top:433;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" fillcolor="#24211d" stroked="f"/>
                <v:shape id="Freeform 84" o:spid="_x0000_s1100" style="position:absolute;left:30;top:432;width:3;height:4;visibility:visible;mso-wrap-style:square;v-text-anchor:top" coordsize="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" path="m2,r,l2,2r,l2,xm2,v,,1,,1,1l2,2v,,,,,l2,xm3,1v,,,1,,1l2,2v,,,,,l3,1xm3,2r,l3,2xm3,2r,l2,2r,l3,2xm3,2r,l2,2r,l3,2xm3,2v,1,,1,,1l2,3c2,2,2,2,2,2r1,xm3,3c3,4,2,4,2,4l2,3v,,,,,l3,3xm2,4r,l2,3r,1xm2,4r,l2,3r,l2,4xm2,4r,l2,3r,l2,4xm2,4c1,4,1,4,1,3r,c2,3,2,3,2,3r,1xm1,3r,l1,3xm1,3c,3,,3,,2r1,c1,2,1,2,1,3xm,2r,l1,2,,2xm,2r,l1,2r,l,2xm,2r,l1,2r,l,2xm,2c,2,,1,1,1r,1c1,2,1,2,1,2l,2xm1,2r,l1,1r,1xm1,1c1,,1,,2,r,2c2,2,2,2,1,2l1,1xm2,r,l2,1,2,xm2,r,l2,2r,l2,xe" fillcolor="#24211d" stroked="f">
                  <v:path arrowok="t" o:connecttype="custom" o:connectlocs="2,0;2,2;2,0;2,2;2,0;3,2;2,2;3,2;3,2;3,2;2,2;3,2;2,2;3,2;3,3;2,2;3,3;2,3;3,3;2,4;2,4;2,4;2,3;2,4;2,3;2,4;1,3;2,3;1,3;1,3;0,2;1,3;0,2;0,2;0,2;1,2;0,2;1,2;0,2;1,1;1,2;1,2;1,1;1,1;2,2;1,1;2,0;2,0;2,0;2,2" o:connectangles="0,0,0,0,0,0,0,0,0,0,0,0,0,0,0,0,0,0,0,0,0,0,0,0,0,0,0,0,0,0,0,0,0,0,0,0,0,0,0,0,0,0,0,0,0,0,0,0,0,0"/>
                  <o:lock v:ext="edit" verticies="t"/>
                </v:shape>
                <v:shape id="Freeform 85" o:spid="_x0000_s1101" style="position:absolute;left:38;top:415;width:15;height:63;visibility:visible;mso-wrap-style:square;v-text-anchor:top" coordsize="19,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" path="m,76c,76,,38,9,26r1,1c1,39,1,76,1,76l,76xm9,26r,l10,27,9,26xm9,26c17,17,18,,18,r1,c19,,18,17,10,27l9,26xe" fillcolor="#24211d" stroked="f">
                  <v:path arrowok="t" o:connecttype="custom" o:connectlocs="0,76;9,26;10,27;1,76;0,76;9,26;9,26;10,27;9,26;9,26;18,0;19,0;10,27;9,26" o:connectangles="0,0,0,0,0,0,0,0,0,0,0,0,0,0"/>
                  <o:lock v:ext="edit" verticies="t"/>
                </v:shape>
                <v:shape id="Freeform 86" o:spid="_x0000_s1102" style="position:absolute;left:29;top:427;width:7;height:4;visibility:visible;mso-wrap-style:square;v-text-anchor:top" coordsize="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" path="m1,v,,1,3,8,2l9,3c1,4,,1,,1l1,xe" fillcolor="#24211d" stroked="f">
                  <v:path arrowok="t" o:connecttype="custom" o:connectlocs="1,0;9,2;9,3;0,1;1,0" o:connectangles="0,0,0,0,0"/>
                </v:shape>
                <v:shape id="Freeform 87" o:spid="_x0000_s1103" style="position:absolute;left:25;top:413;width:15;height:15;visibility:visible;mso-wrap-style:square;v-text-anchor:top" coordsize="1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" path="m4,c4,,2,17,18,13r1,1c,19,3,,3,l4,xe" fillcolor="#24211d" stroked="f">
                  <v:path arrowok="t" o:connecttype="custom" o:connectlocs="4,0;18,13;19,14;3,0;4,0" o:connectangles="0,0,0,0,0"/>
                </v:shape>
                <v:shape id="Freeform 88" o:spid="_x0000_s1104" style="position:absolute;left:45;top:452;width:10;height:12;visibility:visible;mso-wrap-style:square;v-text-anchor:top" coordsize="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" path="m2,c2,,1,13,12,10r,1c,14,1,,1,l2,xe" fillcolor="#24211d" stroked="f">
                  <v:path arrowok="t" o:connecttype="custom" o:connectlocs="2,0;12,10;12,11;1,0;2,0" o:connectangles="0,0,0,0,0"/>
                </v:shape>
                <v:shape id="Freeform 89" o:spid="_x0000_s1105" style="position:absolute;left:237;top:121;width:8;height:8;visibility:visible;mso-wrap-style:square;v-text-anchor:top" coordsize="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" path="m5,r,l5,1r,l5,xm5,c6,,8,,9,1l8,2c7,1,6,1,5,1l5,xm9,1v,1,1,2,1,4l9,5c9,4,8,3,8,2l9,1xm10,5r,l9,5r,l10,5xm10,5r,l9,5r,l10,5xm10,5c10,6,9,7,9,8l8,7c8,7,9,6,9,5r1,xm9,8c8,9,6,10,5,10l5,9c6,9,7,8,8,7l9,8xm5,10r,l5,9r,l5,10xm5,10r,l5,9r,l5,10xm5,10c4,10,2,9,1,8l2,7c3,8,4,9,5,9r,1xm1,8c,7,,6,,5r1,c1,6,1,7,2,7l1,8xm,5r,l1,5r,l,5xm,5r,l1,5r,l,5xm,5c,3,,2,1,1l2,2c1,3,1,4,1,5l,5xm1,1c2,,3,,5,r,1c4,1,3,1,2,2l1,1xm5,r,l5,1r,l5,xe" fillcolor="#24211d" stroked="f">
                  <v:path arrowok="t" o:connecttype="custom" o:connectlocs="5,0;5,1;5,0;8,2;5,0;10,5;8,2;10,5;9,5;10,5;10,5;9,5;10,5;8,7;10,5;5,10;8,7;5,10;5,9;5,10;5,10;5,9;5,10;2,7;5,10;0,5;2,7;0,5;1,5;0,5;0,5;1,5;0,5;2,2;0,5;5,0;2,2;5,0;5,1;5,0" o:connectangles="0,0,0,0,0,0,0,0,0,0,0,0,0,0,0,0,0,0,0,0,0,0,0,0,0,0,0,0,0,0,0,0,0,0,0,0,0,0,0,0"/>
                  <o:lock v:ext="edit" verticies="t"/>
                </v:shape>
                <v:shape id="Freeform 90" o:spid="_x0000_s1106" style="position:absolute;left:229;top:130;width:25;height:12;visibility:visible;mso-wrap-style:square;v-text-anchor:top" coordsize="30,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" path="m1,v,,,4,3,7l3,8c,4,,,,l1,xm4,8l3,8r,l4,7r,1xm3,7c7,5,9,3,9,3r1,1c10,4,8,6,4,8l3,7xm9,3l10,2r1,1l10,3,9,3xm11,3v,6,5,10,5,10l15,14v,,-5,-4,-6,-11l11,3xm16,14r-1,l15,14r,-1l16,14xm15,13v,,4,-4,5,-10l21,4v-1,6,-5,10,-5,10l15,13xm20,3r,-1l21,3r-1,xm21,3v,,2,2,6,4l26,8c22,7,20,4,20,4l21,3xm27,8r,l26,8r,-1l27,8xm26,7c29,4,29,,29,r1,c30,,30,4,27,8l26,7xe" fillcolor="#24211d" stroked="f">
                  <v:path arrowok="t" o:connecttype="custom" o:connectlocs="1,0;4,7;3,8;0,0;1,0;4,8;3,8;3,8;4,7;4,8;3,7;9,3;10,4;4,8;3,7;9,3;10,2;11,3;10,3;9,3;11,3;16,13;15,14;9,3;11,3;16,14;15,14;15,14;15,13;16,14;15,13;20,3;21,4;16,14;15,13;20,3;20,2;21,3;20,3;21,3;27,7;26,8;20,4;21,3;27,8;27,8;26,8;26,7;27,8;26,7;29,0;30,0;27,8;26,7" o:connectangles="0,0,0,0,0,0,0,0,0,0,0,0,0,0,0,0,0,0,0,0,0,0,0,0,0,0,0,0,0,0,0,0,0,0,0,0,0,0,0,0,0,0,0,0,0,0,0,0,0,0,0,0,0,0"/>
                  <o:lock v:ext="edit" verticies="t"/>
                </v:shape>
                <v:shape id="Freeform 91" o:spid="_x0000_s1107" style="position:absolute;left:237;top:579;width:10;height:17;visibility:visible;mso-wrap-style:square;v-text-anchor:top" coordsize="1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" path="m5,20c,16,,6,,6r2,c2,6,1,15,6,19l5,20xm2,6r,l1,6r1,xm,6v,,,,,l2,6v,,,,,l,6xm2,6r,l1,6r1,xm,6c,5,,5,1,4l2,5v,,,,,1l,6xm1,4v,,,,,-1l2,4v,,,,,1l1,4xm1,3c2,1,4,,6,r,1c4,1,3,2,2,4l1,3xm6,r,l6,1r,l6,xm6,v1,,3,1,4,2l9,3c8,2,7,1,6,1l6,xm10,2v1,1,2,2,2,4l10,6c10,4,10,3,9,3l10,2xm12,6r,l10,6r,l12,6xm10,6r,l11,6r-1,xm12,6v,,,10,-6,14l5,19c11,15,10,6,10,6r2,xm6,20r,l5,20r1,xe" fillcolor="#24211d" stroked="f">
                  <v:path arrowok="t" o:connecttype="custom" o:connectlocs="0,6;6,19;2,6;1,6;0,6;2,6;0,6;2,6;2,6;1,4;2,6;1,4;2,4;1,4;6,0;2,4;6,0;6,1;6,0;10,2;6,1;10,2;10,6;10,2;12,6;10,6;10,6;11,6;12,6;5,19;12,6;6,20;6,20" o:connectangles="0,0,0,0,0,0,0,0,0,0,0,0,0,0,0,0,0,0,0,0,0,0,0,0,0,0,0,0,0,0,0,0,0"/>
                  <o:lock v:ext="edit" verticies="t"/>
                </v:shape>
                <v:shape id="Freeform 92" o:spid="_x0000_s1108" style="position:absolute;left:223;top:596;width:6;height:10;visibility:visible;mso-wrap-style:square;v-text-anchor:top" coordsize="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" path="m1,v,,1,8,5,3l7,4c2,12,,1,,1l1,xe" fillcolor="#24211d" stroked="f">
                  <v:path arrowok="t" o:connecttype="custom" o:connectlocs="1,0;6,3;7,4;0,1;1,0" o:connectangles="0,0,0,0,0"/>
                </v:shape>
                <v:shape id="Freeform 93" o:spid="_x0000_s1109" style="position:absolute;left:254;top:597;width:6;height:9;visibility:visible;mso-wrap-style:square;v-text-anchor:top" coordsize="7,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" path="m7,c7,,5,11,,3l1,2c5,8,6,,6,l7,xe" fillcolor="#24211d" stroked="f">
                  <v:path arrowok="t" o:connecttype="custom" o:connectlocs="7,0;0,3;1,2;6,0;7,0" o:connectangles="0,0,0,0,0"/>
                </v:shape>
                <v:shape id="Freeform 94" o:spid="_x0000_s1110" style="position:absolute;left:175;top:112;width:15;height:11;visibility:visible;mso-wrap-style:square;v-text-anchor:top" coordsize="1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" path="m14,14v,,3,-11,-13,-4l,9c18,,15,14,15,14r-1,xe" fillcolor="#24211d" stroked="f">
                  <v:path arrowok="t" o:connecttype="custom" o:connectlocs="14,14;1,10;0,9;15,14;14,14" o:connectangles="0,0,0,0,0"/>
                </v:shape>
                <v:shape id="Freeform 95" o:spid="_x0000_s1111" style="position:absolute;left:292;top:112;width:16;height:11;visibility:visible;mso-wrap-style:square;v-text-anchor:top" coordsize="1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" path="m4,14c4,14,,,19,9r-1,1c2,3,5,14,5,14r-1,xe" fillcolor="#24211d" stroked="f">
                  <v:path arrowok="t" o:connecttype="custom" o:connectlocs="4,14;19,9;18,10;5,14;4,14" o:connectangles="0,0,0,0,0"/>
                </v:shape>
                <v:shape id="Freeform 96" o:spid="_x0000_s1112" style="position:absolute;left:162;top:117;width:5;height:3;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" path="m1,4c1,4,,,6,r,2c1,2,2,4,2,4l1,4xe" fillcolor="#24211d" stroked="f">
                  <v:path arrowok="t" o:connecttype="custom" o:connectlocs="1,4;6,0;6,2;2,4;1,4" o:connectangles="0,0,0,0,0"/>
                </v:shape>
                <v:shape id="Freeform 97" o:spid="_x0000_s1113" style="position:absolute;left:185;top:112;width:5;height:4;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" path="m5,5c5,5,6,1,,1l,c7,,7,5,7,5l5,5xe" fillcolor="#24211d" stroked="f">
                  <v:path arrowok="t" o:connecttype="custom" o:connectlocs="5,5;0,1;0,0;7,5;5,5" o:connectangles="0,0,0,0,0"/>
                </v:shape>
                <v:shape id="Freeform 98" o:spid="_x0000_s1114" style="position:absolute;left:315;top:117;width:5;height:3;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" path="m4,4c4,4,5,2,,2l,c6,,5,4,5,4l4,4xe" fillcolor="#24211d" stroked="f">
                  <v:path arrowok="t" o:connecttype="custom" o:connectlocs="4,4;0,2;0,0;5,4;4,4" o:connectangles="0,0,0,0,0"/>
                </v:shape>
                <v:shape id="Freeform 99" o:spid="_x0000_s1115" style="position:absolute;left:292;top:112;width:6;height:4;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" path="m,5c,5,,,7,r,1c1,1,2,5,2,5l,5xe" fillcolor="#24211d" stroked="f">
                  <v:path arrowok="t" o:connecttype="custom" o:connectlocs="0,5;7,0;7,1;2,5;0,5" o:connectangles="0,0,0,0,0"/>
                </v:shape>
                <v:shape id="Freeform 100" o:spid="_x0000_s1116" style="position:absolute;left:70;top:149;width:342;height:418;visibility:visible;mso-wrap-style:square;v-text-anchor:top" coordsize="417,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" path="m417,l,,,310c21,468,168,500,168,500v,,32,10,82,c250,500,396,468,417,310l417,xe" fillcolor="#0089e1" stroked="f">
                  <v:path arrowok="t" o:connecttype="custom" o:connectlocs="417,0;0,0;0,310;168,500;250,500;417,310;417,0" o:connectangles="0,0,0,0,0,0,0"/>
                </v:shape>
                <v:shape id="Freeform 101" o:spid="_x0000_s1117" style="position:absolute;left:130;top:2;width:222;height:110;visibility:visible;mso-wrap-style:square;v-text-anchor:top" coordsize="271,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" path="m39,134v26,-11,62,-19,97,-19c171,115,206,122,231,133r2,-15c233,118,232,116,228,116l238,76r23,-8l271,24,210,10,182,33r-1,30c175,62,157,63,157,63l168,49,172,3c163,1,149,,135,,122,,108,1,99,3r3,47l114,62v,,-18,,-24,2l88,33,61,10,,24,10,68r23,8l43,116v-4,1,-5,2,-5,2l39,134xe" fillcolor="#a9a8a7" stroked="f">
                  <v:path arrowok="t" o:connecttype="custom" o:connectlocs="39,134;136,115;231,133;233,118;228,116;238,76;261,68;271,24;210,10;182,33;181,63;157,63;168,49;172,3;135,0;99,3;102,50;114,62;90,64;88,33;61,10;0,24;10,68;33,76;43,116;38,118;39,134" o:connectangles="0,0,0,0,0,0,0,0,0,0,0,0,0,0,0,0,0,0,0,0,0,0,0,0,0,0,0"/>
                </v:shape>
                <v:shape id="Freeform 102" o:spid="_x0000_s1118" style="position:absolute;left:128;top:1;width:226;height:113;visibility:visible;mso-wrap-style:square;v-text-anchor:top" coordsize="275,1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" path="m41,135v,,-1,,,l42,137v,,,,,l41,135xm41,135r,l41,135r,1l41,135xm41,135v3,-2,7,-3,11,-5l53,133v-4,1,-8,3,-11,4l41,135xm52,130v4,-1,8,-2,12,-4l65,129v-4,1,-8,2,-12,4l52,130xm64,126v23,-6,49,-10,74,-10l138,119v-25,,-51,3,-73,10l64,126xm138,116r,l138,119r,l138,116xm138,116v18,,35,2,52,5l189,123v-16,-3,-33,-4,-51,-4l138,116xm190,121v2,,5,1,8,2l197,125v-2,-1,-5,-1,-8,-2l190,121xm198,123v13,2,25,6,36,11l233,136v-10,-4,-23,-8,-36,-11l198,123xm235,135r-1,2l233,136r,-1l235,135xm232,135r2,-15l236,120r-1,15l232,135xm236,120r,l236,120r-1,l236,120xm234,121v,,-1,-2,-4,-2l231,116v4,1,5,4,5,4l234,121xm230,119r-1,l229,117r1,1l230,119xm229,117l239,78r2,l232,118r-3,-1xm239,78r,-1l240,77r,1l239,78xm240,77r22,-8l263,71r-22,8l240,77xm264,71r,l263,71r,-1l264,71xm262,70l272,25r3,1l264,71r-2,-1xm274,24r1,1l275,26r-2,l274,24xm273,27l212,13r1,-3l274,24r-1,3xm212,11r,-1l213,10r-1,2l212,11xm213,13l185,36r-1,-2l212,11r1,2xm183,35r,-1l184,34r,1l183,35xm186,35r-2,31l182,65r1,-30l186,35xm184,66r,1l183,67r,-2l184,66xm183,67v-6,-2,-24,-1,-24,-1l159,63v,,18,,24,1l183,67xm159,66r-3,l158,64r1,1l159,66xm158,64l170,51r1,1l160,65r-2,-1xm172,51r,1l171,52r-1,-1l172,51xm169,51l173,5r2,l172,51r-3,xm174,3r1,1l175,5r-1,l174,3xm174,6r,l174,3r,l174,6xm174,3r,l174,5r,-2xm174,6v-2,,-3,-1,-4,-1l170,3v2,,3,,4,l174,6xm170,5v-2,,-3,,-5,-1l165,2v2,,3,,5,1l170,5xm165,4c157,3,147,3,137,3r,-3c147,,157,1,165,2r,2xm137,3r,l137,r,l137,3xm137,3v-7,,-13,,-20,1l117,1v7,,13,-1,20,-1l137,3xm117,4v,,-1,,-2,l114,2v1,,2,-1,3,-1l117,4xm115,4v-5,1,-10,1,-14,2l101,4v4,-1,8,-2,13,-2l115,4xm100,5r,-1l101,4r,1l100,5xm102,5r4,47l103,52,100,5r2,xm104,52r-1,l103,52r1,xm105,51r12,13l115,65,104,52r1,-1xm117,64r2,2l116,66r,-2l117,64xm116,66v,,-18,,-24,1l92,64v5,-1,24,-1,24,-1l116,66xm92,67r-1,l91,66r1,l92,67xm91,66l89,35r3,l93,66r-2,xm91,34r1,l92,35r-2,l91,34xm90,36l62,13r1,-2l91,34r-1,2xm62,11r1,-1l63,11r,1l62,11xm63,13l2,27,1,25,62,11r1,2xm,26l,25r1,l2,26,,26xm3,26l13,70r-2,1l,26r3,xm12,72l11,71r,l12,70r,2xm13,69r22,8l34,79,12,72r1,-3xm35,77r1,l36,78r-1,l35,77xm36,78r10,40l43,118,34,79r2,-1xm46,118r,1l45,119r,-1l46,118xm45,119v-3,1,-4,2,-4,2l39,120v,,1,-3,5,-3l45,119xm38,121r,-1l39,120r1,l38,121xm41,120r1,16l40,136,38,121r3,-1xm42,137r-2,1l40,136r1,l42,137xe" fillcolor="#24211d" stroked="f">
                  <v:path arrowok="t" o:connecttype="custom" o:connectlocs="41,135;41,135;41,135;52,130;64,126;138,116;138,116;190,121;198,123;235,135;232,135;236,120;234,121;230,119;229,117;239,78;240,77;264,71;262,70;274,24;273,27;212,11;213,13;183,35;186,35;184,66;183,67;159,66;158,64;172,51;169,51;174,3;174,6;174,6;170,5;165,4;137,3;137,3;117,4;115,4;100,5;102,5;104,52;117,64;119,66;92,67;91,67;89,35;92,34;62,13;63,10;2,27;0,25;13,70;11,71;35,77;36,77;46,118;46,119;41,121;38,120;42,136;40,138" o:connectangles="0,0,0,0,0,0,0,0,0,0,0,0,0,0,0,0,0,0,0,0,0,0,0,0,0,0,0,0,0,0,0,0,0,0,0,0,0,0,0,0,0,0,0,0,0,0,0,0,0,0,0,0,0,0,0,0,0,0,0,0,0,0,0"/>
                  <o:lock v:ext="edit" verticies="t"/>
                </v:shape>
                <v:shape id="Freeform 103" o:spid="_x0000_s1119" style="position:absolute;left:164;top:85;width:154;height:13;visibility:visible;mso-wrap-style:square;v-text-anchor:top" coordsize="18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" path="m,14r,l1,16r,l,14xm1,16r,l1,15r,1xm,14c4,12,8,11,12,10r,3c8,14,5,15,1,16l,14xm12,10c15,9,20,8,24,7r,3c20,11,16,12,12,13r,-3xm24,7c45,3,70,,95,r,3c70,3,45,5,24,10r,-3xm95,r,l95,3r,l95,xm95,v16,,33,1,48,3l143,6c128,4,111,3,95,3l95,xm143,3v3,1,6,1,8,2l151,7v-3,,-5,-1,-8,-1l143,3xm151,5v13,2,25,4,36,8l186,15c175,12,163,9,151,7r,-2xe" fillcolor="#24211d" stroked="f">
                  <v:path arrowok="t" o:connecttype="custom" o:connectlocs="0,14;0,14;1,16;1,16;0,14;1,16;1,16;1,15;1,16;0,14;12,10;12,13;1,16;0,14;12,10;24,7;24,10;12,13;12,10;24,7;95,0;95,3;24,10;24,7;95,0;95,0;95,3;95,3;95,0;95,0;143,3;143,6;95,3;95,0;143,3;151,5;151,7;143,6;143,3;151,5;187,13;186,15;151,7;151,5" o:connectangles="0,0,0,0,0,0,0,0,0,0,0,0,0,0,0,0,0,0,0,0,0,0,0,0,0,0,0,0,0,0,0,0,0,0,0,0,0,0,0,0,0,0,0,0"/>
                  <o:lock v:ext="edit" verticies="t"/>
                </v:shape>
                <v:shape id="Freeform 104" o:spid="_x0000_s1120" style="position:absolute;left:161;top:70;width:160;height:15;visibility:visible;mso-wrap-style:square;v-text-anchor:top" coordsize="195,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" path="m,16r,l1,18r,l,16xm,16r,l,17,,16xm,16c3,14,7,13,11,12r1,2c8,16,4,17,1,18l,16xm11,12v4,-1,8,-2,13,-3l24,11v-4,1,-8,2,-12,3l11,12xm24,9c46,3,72,,99,r,3c73,3,47,6,24,11r,-2xm99,r,l99,3r,l99,xm99,v17,,35,2,51,4l150,7c134,4,116,3,99,3l99,xm150,4v3,1,6,1,8,1l158,8c155,7,153,7,150,7r,-3xm158,5v14,3,26,6,37,10l194,17c183,13,171,10,158,8r,-3xe" fillcolor="#24211d" stroked="f">
                  <v:path arrowok="t" o:connecttype="custom" o:connectlocs="0,16;0,16;1,18;1,18;0,16;0,16;0,16;0,17;0,16;0,16;11,12;12,14;1,18;0,16;11,12;24,9;24,11;12,14;11,12;24,9;99,0;99,3;24,11;24,9;99,0;99,0;99,3;99,3;99,0;99,0;150,4;150,7;99,3;99,0;150,4;158,5;158,8;150,7;150,4;158,5;195,15;194,17;158,8;158,5" o:connectangles="0,0,0,0,0,0,0,0,0,0,0,0,0,0,0,0,0,0,0,0,0,0,0,0,0,0,0,0,0,0,0,0,0,0,0,0,0,0,0,0,0,0,0,0"/>
                  <o:lock v:ext="edit" verticies="t"/>
                </v:shape>
                <v:shape id="Freeform 105" o:spid="_x0000_s1121" style="position:absolute;left:156;top:53;width:48;height:13;visibility:visible;mso-wrap-style:square;v-text-anchor:top" coordsize="5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" path="m,13r,l,15r,l,13xm,15r,l,14r,1xm,13c2,12,4,11,7,10r,3c5,14,3,14,,15l,13xm7,10v2,,5,-1,7,-2l15,11v-3,,-5,1,-8,2l7,10xm14,8c28,5,42,2,58,r1,3c43,5,28,7,15,11l14,8xe" fillcolor="#24211d" stroked="f">
                  <v:path arrowok="t" o:connecttype="custom" o:connectlocs="0,13;0,13;0,15;0,15;0,13;0,15;0,15;0,14;0,15;0,13;7,10;7,13;0,15;0,13;7,10;14,8;15,11;7,13;7,10;14,8;58,0;59,3;15,11;14,8" o:connectangles="0,0,0,0,0,0,0,0,0,0,0,0,0,0,0,0,0,0,0,0,0,0,0,0"/>
                  <o:lock v:ext="edit" verticies="t"/>
                </v:shape>
                <v:shape id="Freeform 106" o:spid="_x0000_s1122" style="position:absolute;left:181;top:77;width:3;height:16;visibility:visible;mso-wrap-style:square;v-text-anchor:top" coordsize="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" path="m1,19l,1,2,,3,19r-2,xe" fillcolor="#24211d" stroked="f">
                  <v:path arrowok="t" o:connecttype="custom" o:connectlocs="1,19;0,1;2,0;3,19;1,19" o:connectangles="0,0,0,0,0"/>
                </v:shape>
                <v:shape id="Freeform 107" o:spid="_x0000_s1123" style="position:absolute;left:298;top:77;width:3;height:16;visibility:visible;mso-wrap-style:square;v-text-anchor:top" coordsize="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" path="m,18l2,,4,,3,19,,18xe" fillcolor="#24211d" stroked="f">
                  <v:path arrowok="t" o:connecttype="custom" o:connectlocs="0,18;2,0;4,0;3,19;0,18" o:connectangles="0,0,0,0,0"/>
                </v:shape>
                <v:rect id="Rectangle 108" o:spid="_x0000_s1124" style="position:absolute;left:220;top:72;width:2;height: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" fillcolor="#24211d" stroked="f"/>
                <v:rect id="Rectangle 109" o:spid="_x0000_s1125" style="position:absolute;left:260;top:72;width:3;height: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" fillcolor="#24211d" stroked="f"/>
                <v:rect id="Rectangle 110" o:spid="_x0000_s1126" style="position:absolute;left:239;top:53;width:2;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" fillcolor="#24211d" stroked="f"/>
                <v:shape id="Freeform 111" o:spid="_x0000_s1127" style="position:absolute;left:196;top:56;width:3;height:19;visibility:visible;mso-wrap-style:square;v-text-anchor:top" coordsize="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" path="m2,23l,,3,,4,23r-2,xe" fillcolor="#24211d" stroked="f">
                  <v:path arrowok="t" o:connecttype="custom" o:connectlocs="2,23;0,0;3,0;4,23;2,23" o:connectangles="0,0,0,0,0"/>
                </v:shape>
                <v:shape id="Freeform 112" o:spid="_x0000_s1128" style="position:absolute;left:282;top:56;width:4;height:19;visibility:visible;mso-wrap-style:square;v-text-anchor:top" coordsize="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" path="m,22l1,,4,,2,23,,22xe" fillcolor="#24211d" stroked="f">
                  <v:path arrowok="t" o:connecttype="custom" o:connectlocs="0,22;1,0;4,0;2,23;0,22" o:connectangles="0,0,0,0,0"/>
                </v:shape>
                <v:shape id="Freeform 113" o:spid="_x0000_s1129" style="position:absolute;left:223;top:53;width:36;height:2;visibility:visible;mso-wrap-style:square;v-text-anchor:top" coordsize="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" path="m,c,,,,,l,3v,,,,,l,xm,c2,,4,,6,r,3c4,3,2,3,,3l,xm6,v5,,11,,17,l23,2c17,2,11,2,6,3l6,xm23,v,,,,,l23,2v,,,,,l23,xm23,r,l23,1,23,xm23,v1,,2,,3,l26,2v-1,,-2,,-3,l23,xm26,v1,,2,,3,l29,2v-1,,-2,,-3,l26,xm29,v5,,10,,14,l43,3c39,3,33,3,29,2l29,xe" fillcolor="#24211d" stroked="f">
                  <v:path arrowok="t" o:connecttype="custom" o:connectlocs="0,0;0,0;0,3;0,3;0,0;0,0;6,0;6,3;0,3;0,0;6,0;23,0;23,2;6,3;6,0;23,0;23,0;23,2;23,2;23,0;23,0;23,0;23,1;23,0;23,0;26,0;26,2;23,2;23,0;26,0;29,0;29,2;26,2;26,0;29,0;43,0;43,3;29,2;29,0" o:connectangles="0,0,0,0,0,0,0,0,0,0,0,0,0,0,0,0,0,0,0,0,0,0,0,0,0,0,0,0,0,0,0,0,0,0,0,0,0,0,0"/>
                  <o:lock v:ext="edit" verticies="t"/>
                </v:shape>
                <v:shape id="Freeform 114" o:spid="_x0000_s1130" style="position:absolute;left:277;top:53;width:49;height:13;visibility:visible;mso-wrap-style:square;v-text-anchor:top" coordsize="5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" path="m58,15r,l59,12r,l58,15xm58,15r,l59,14r-1,1xm58,15c56,14,54,13,51,13r1,-3c54,11,57,12,59,12r-1,3xm51,13c49,12,46,11,44,11r,-3c47,9,49,9,52,10r-1,3xm44,11c31,7,16,4,,3l,c16,2,31,5,44,8r,3xe" fillcolor="#24211d" stroked="f">
                  <v:path arrowok="t" o:connecttype="custom" o:connectlocs="58,15;58,15;59,12;59,12;58,15;58,15;58,15;59,14;58,15;58,15;51,13;52,10;59,12;58,15;51,13;44,11;44,8;52,10;51,13;44,11;0,3;0,0;44,8;44,11" o:connectangles="0,0,0,0,0,0,0,0,0,0,0,0,0,0,0,0,0,0,0,0,0,0,0,0"/>
                  <o:lock v:ext="edit" verticies="t"/>
                </v:shape>
                <v:shape id="Freeform 115" o:spid="_x0000_s1131" style="position:absolute;left:138;top:45;width:66;height:15;visibility:visible;mso-wrap-style:square;v-text-anchor:top" coordsize="8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" path="m,15l61,r1,2l,18,,15xm61,r,l62,,61,1,61,xm62,l80,11r-1,2l61,2,62,xe" fillcolor="#24211d" stroked="f">
                  <v:path arrowok="t" o:connecttype="custom" o:connectlocs="0,15;61,0;62,2;0,18;0,15;61,0;61,0;62,0;61,1;61,0;62,0;80,11;79,13;61,2;62,0" o:connectangles="0,0,0,0,0,0,0,0,0,0,0,0,0,0,0"/>
                  <o:lock v:ext="edit" verticies="t"/>
                </v:shape>
                <v:shape id="Freeform 116" o:spid="_x0000_s1132" style="position:absolute;left:178;top:11;width:12;height:36;visibility:visible;mso-wrap-style:square;v-text-anchor:top" coordsize="1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" path="m3,l14,43r-3,1l,,3,xe" fillcolor="#24211d" stroked="f">
                  <v:path arrowok="t" o:connecttype="custom" o:connectlocs="3,0;14,43;11,44;0,0;3,0" o:connectangles="0,0,0,0,0"/>
                </v:shape>
                <v:shape id="Freeform 117" o:spid="_x0000_s1133" style="position:absolute;left:133;top:27;width:71;height:16;visibility:visible;mso-wrap-style:square;v-text-anchor:top" coordsize="8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" path="m,15l61,r1,3l1,17,,15xm61,r1,l62,,61,1,61,xm62,l86,17r-1,2l61,2,62,xe" fillcolor="#24211d" stroked="f">
                  <v:path arrowok="t" o:connecttype="custom" o:connectlocs="0,15;61,0;62,3;1,17;0,15;61,0;62,0;62,0;61,1;61,0;62,0;86,17;85,19;61,2;62,0" o:connectangles="0,0,0,0,0,0,0,0,0,0,0,0,0,0,0"/>
                  <o:lock v:ext="edit" verticies="t"/>
                </v:shape>
                <v:shape id="Freeform 118" o:spid="_x0000_s1134" style="position:absolute;left:159;top:15;width:7;height:18;visibility:visible;mso-wrap-style:square;v-text-anchor:top" coordsize="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" path="m2,l8,22r-3,l,,2,xe" fillcolor="#24211d" stroked="f">
                  <v:path arrowok="t" o:connecttype="custom" o:connectlocs="2,0;8,22;5,22;0,0;2,0" o:connectangles="0,0,0,0,0"/>
                </v:shape>
                <v:shape id="Freeform 119" o:spid="_x0000_s1135" style="position:absolute;left:149;top:35;width:7;height:19;visibility:visible;mso-wrap-style:square;v-text-anchor:top" coordsize="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" path="m3,l8,23r-2,l,1,3,xe" fillcolor="#24211d" stroked="f">
                  <v:path arrowok="t" o:connecttype="custom" o:connectlocs="3,0;8,23;6,23;0,1;3,0" o:connectangles="0,0,0,0,0"/>
                </v:shape>
                <v:shape id="Freeform 120" o:spid="_x0000_s1136" style="position:absolute;left:278;top:45;width:66;height:15;visibility:visible;mso-wrap-style:square;v-text-anchor:top" coordsize="8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" path="m80,18l19,2,19,,80,15r,3xm18,r1,l19,r,1l18,xm20,2l1,13,,11,18,r2,2xe" fillcolor="#24211d" stroked="f">
                  <v:path arrowok="t" o:connecttype="custom" o:connectlocs="80,18;19,2;19,0;80,15;80,18;18,0;19,0;19,0;19,1;18,0;20,2;1,13;0,11;18,0;20,2" o:connectangles="0,0,0,0,0,0,0,0,0,0,0,0,0,0,0"/>
                  <o:lock v:ext="edit" verticies="t"/>
                </v:shape>
                <v:shape id="Freeform 121" o:spid="_x0000_s1137" style="position:absolute;left:292;top:11;width:12;height:36;visibility:visible;mso-wrap-style:square;v-text-anchor:top" coordsize="1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" path="m14,l3,44,,43,11,r3,xe" fillcolor="#24211d" stroked="f">
                  <v:path arrowok="t" o:connecttype="custom" o:connectlocs="14,0;3,44;0,43;11,0;14,0" o:connectangles="0,0,0,0,0"/>
                </v:shape>
                <v:shape id="Freeform 122" o:spid="_x0000_s1138" style="position:absolute;left:278;top:27;width:71;height:16;visibility:visible;mso-wrap-style:square;v-text-anchor:top" coordsize="8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" path="m85,17l24,3,25,,86,14r-1,3xm24,r1,l25,r,1l24,xm25,2l1,19,,17,24,r1,2xe" fillcolor="#24211d" stroked="f">
                  <v:path arrowok="t" o:connecttype="custom" o:connectlocs="85,17;24,3;25,0;86,14;85,17;24,0;25,0;25,0;25,1;24,0;25,2;1,19;0,17;24,0;25,2" o:connectangles="0,0,0,0,0,0,0,0,0,0,0,0,0,0,0"/>
                  <o:lock v:ext="edit" verticies="t"/>
                </v:shape>
                <v:shape id="Freeform 123" o:spid="_x0000_s1139" style="position:absolute;left:316;top:15;width:7;height:18;visibility:visible;mso-wrap-style:square;v-text-anchor:top" coordsize="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" path="m8,l3,22,,21,6,,8,xe" fillcolor="#24211d" stroked="f">
                  <v:path arrowok="t" o:connecttype="custom" o:connectlocs="8,0;3,22;0,21;6,0;8,0" o:connectangles="0,0,0,0,0"/>
                </v:shape>
                <v:shape id="Freeform 124" o:spid="_x0000_s1140" style="position:absolute;left:326;top:35;width:6;height:19;visibility:visible;mso-wrap-style:square;v-text-anchor:top" coordsize="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" path="m8,1l2,23,,23,6,,8,1xe" fillcolor="#24211d" stroked="f">
                  <v:path arrowok="t" o:connecttype="custom" o:connectlocs="8,1;2,23;0,23;6,0;8,1" o:connectangles="0,0,0,0,0"/>
                </v:shape>
                <v:rect id="Rectangle 125" o:spid="_x0000_s1141" style="position:absolute;left:212;top:22;width:58;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" fillcolor="#24211d" stroked="f"/>
                <v:rect id="Rectangle 126" o:spid="_x0000_s1142" style="position:absolute;left:231;top:2;width:2;height: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" fillcolor="#24211d" stroked="f"/>
                <v:rect id="Rectangle 127" o:spid="_x0000_s1143" style="position:absolute;left:249;top:23;width:2;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" fillcolor="#24211d" stroked="f"/>
                <v:rect id="Rectangle 128" o:spid="_x0000_s1144" style="position:absolute;left:214;top:42;width:54;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" fillcolor="#24211d" stroked="f"/>
                <v:shape id="Freeform 129" o:spid="_x0000_s1145" style="position:absolute;left:245;top:43;width:6;height:10;visibility:visible;mso-wrap-style:square;v-text-anchor:top" coordsize="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" path="m,12l5,,8,1,2,13,,12xe" fillcolor="#24211d" stroked="f">
                  <v:path arrowok="t" o:connecttype="custom" o:connectlocs="0,12;5,0;8,1;2,13;0,12" o:connectangles="0,0,0,0,0"/>
                </v:shape>
                <v:shape id="Freeform 130" o:spid="_x0000_s1146" style="position:absolute;left:109;top:417;width:70;height:71;visibility:visible;mso-wrap-style:square;v-text-anchor:top" coordsize="8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" path="m85,44l63,34,73,12,50,22,42,,34,22,12,12r9,22l,44r21,9l12,74,34,65r8,22l50,65r23,9l63,53,85,44xe" fillcolor="#fdfa00" stroked="f">
                  <v:path arrowok="t" o:connecttype="custom" o:connectlocs="85,44;63,34;73,12;50,22;42,0;34,22;12,12;21,34;0,44;21,53;12,74;34,65;42,87;50,65;73,74;63,53;85,44" o:connectangles="0,0,0,0,0,0,0,0,0,0,0,0,0,0,0,0,0"/>
                </v:shape>
                <v:shape id="Freeform 131" o:spid="_x0000_s1147" style="position:absolute;left:108;top:415;width:72;height:75;visibility:visible;mso-wrap-style:square;v-text-anchor:top" coordsize="8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" path="m86,46l65,36r,-1l87,45r-1,1xm65,36r-1,l64,36r1,xm64,36l74,14r1,1l66,36r-2,xm74,14r2,-1l75,15r,-1l74,14xm75,15l52,24r,-1l74,14r1,1xm52,24r,1l51,24r1,xm51,24l44,2r1,l53,24r-2,xm44,2l44,r1,2l44,2xm45,2l37,24r-1,l44,2r1,xm37,24r,1l36,24r,l37,24xm36,24l14,15r,-1l37,23r-1,1xm13,15r,-2l14,14r,l13,15xm14,14l24,36r-1,l13,15r1,-1xm24,36r,l24,37,23,36r1,xm24,37l2,46,1,45,23,35r1,2xm1,46l,46,1,45r1,1l1,46xm2,45r22,9l23,55,1,46,2,45xm24,54r,1l24,55r-1,l24,54xm24,55l14,77,13,76,23,55r1,xm14,77r-1,1l13,76r1,l14,77xm14,76l36,66r1,2l14,77r,-1xm36,66r1,l37,67r-1,l36,66xm37,67r8,22l44,89,36,67r1,xm45,89r-1,2l44,89r,l45,89xm44,89l51,67r2,l45,89r-1,xm51,67r1,-1l52,66r,1l51,67xm52,66l75,76r-1,1l52,67r,-1xm75,76r1,2l74,77r1,-1xm74,77l64,55r2,l75,76r-1,1xm64,55r,-1l65,54r,1l64,55xm65,54l86,45r1,1l65,55r,-1xm87,45r1,1l87,46r,l87,45xe" fillcolor="#f47f36" stroked="f">
                  <v:path arrowok="t" o:connecttype="custom" o:connectlocs="65,35;65,36;65,36;75,15;74,14;75,14;52,24;75,15;51,24;44,2;51,24;45,2;37,24;45,2;36,24;36,24;37,23;13,13;13,15;23,36;24,36;23,36;2,46;24,37;1,45;2,45;1,46;24,55;24,54;13,76;14,77;14,76;36,66;14,76;37,67;37,67;36,67;44,91;45,89;53,67;51,67;52,67;75,76;52,66;74,77;64,55;74,77;65,54;65,54;65,55;88,46;87,45" o:connectangles="0,0,0,0,0,0,0,0,0,0,0,0,0,0,0,0,0,0,0,0,0,0,0,0,0,0,0,0,0,0,0,0,0,0,0,0,0,0,0,0,0,0,0,0,0,0,0,0,0,0,0,0"/>
                  <o:lock v:ext="edit" verticies="t"/>
                </v:shape>
                <v:shape id="Freeform 132" o:spid="_x0000_s1148" style="position:absolute;left:315;top:417;width:70;height:71;visibility:visible;mso-wrap-style:square;v-text-anchor:top" coordsize="8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" path="m85,44l64,34,73,13,51,22,43,,35,22,12,13,22,34,,44r22,9l12,75,35,65r8,22l51,65,73,75,64,53,85,44xe" fillcolor="#fdfa00" stroked="f">
                  <v:path arrowok="t" o:connecttype="custom" o:connectlocs="85,44;64,34;73,13;51,22;43,0;35,22;12,13;22,34;0,44;22,53;12,75;35,65;43,87;51,65;73,75;64,53;85,44" o:connectangles="0,0,0,0,0,0,0,0,0,0,0,0,0,0,0,0,0"/>
                </v:shape>
                <v:shape id="Freeform 133" o:spid="_x0000_s1149" style="position:absolute;left:314;top:415;width:73;height:75;visibility:visible;mso-wrap-style:square;v-text-anchor:top" coordsize="8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" path="m86,46l64,37r1,-1l87,45r-1,1xm64,37r,-1l64,36r1,l64,37xm64,36l74,14r1,1l65,36r-1,xm74,14r1,-1l75,15r-1,l74,14xm74,15l52,25,51,23,74,14r,1xm52,25r-1,l51,24r1,l52,25xm51,24l43,2r1,l52,24r-1,xm43,2l44,r,2l44,2r-1,xm44,2l36,24r-1,l43,2r1,xm36,24r,1l36,25r,-1xm36,25l13,15r1,-1l36,23r,2xm13,15l12,13r2,1l13,15xm14,14r9,22l22,36,13,15r1,-1xm23,36r1,l23,37r,-1xm23,37l2,46,1,45,23,36r,1xm1,46l,46,1,45r,1xm2,45r21,9l23,56,1,46,2,45xm23,54r1,1l24,55r-1,l23,54xm24,55l14,77,13,76,22,55r2,xm14,77r-2,1l13,76r,1l14,77xm13,76l36,67r,1l14,77,13,76xm36,67r,-1l37,67r-1,xm37,67r7,22l43,89,35,67r2,xm44,89r,2l43,89r1,xm43,89l51,67r1,l44,89r-1,xm51,67r,-1l52,67r,l51,67xm52,67r22,9l74,77,51,68r1,-1xm75,76r,2l74,77r,l75,76xm74,77l64,55r1,l75,76r-1,1xm64,55r,l64,54r1,1l64,55xm64,54l86,45r1,1l65,56,64,54xm87,45r1,1l87,46r-1,l87,45xe" fillcolor="#f47f36" stroked="f">
                  <v:path arrowok="t" o:connecttype="custom" o:connectlocs="65,36;64,37;65,36;74,14;64,36;75,15;74,15;74,14;51,25;52,25;44,2;43,2;44,2;36,24;44,2;36,25;13,15;36,25;14,14;23,36;14,14;23,37;2,46;23,37;1,45;23,54;2,45;24,55;24,55;22,55;12,78;14,77;36,68;36,67;36,67;43,89;44,89;44,89;52,67;51,67;52,67;74,76;52,67;74,77;74,77;75,76;64,55;64,55;87,46;87,45;86,46" o:connectangles="0,0,0,0,0,0,0,0,0,0,0,0,0,0,0,0,0,0,0,0,0,0,0,0,0,0,0,0,0,0,0,0,0,0,0,0,0,0,0,0,0,0,0,0,0,0,0,0,0,0,0"/>
                  <o:lock v:ext="edit" verticies="t"/>
                </v:shape>
                <v:shape id="Freeform 134" o:spid="_x0000_s1150" style="position:absolute;left:70;top:149;width:342;height:415;visibility:visible;mso-wrap-style:square;v-text-anchor:top" coordsize="417,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" path="m267,243r,252c248,501,231,504,209,504v-21,1,-39,-4,-58,-10l151,243,,94,1,,68,,209,140,349,r68,l417,94,267,243xe" fillcolor="#c1c0bf" stroked="f">
                  <v:path arrowok="t" o:connecttype="custom" o:connectlocs="267,243;267,495;209,504;151,494;151,243;0,94;1,0;68,0;209,140;349,0;417,0;417,94;267,243" o:connectangles="0,0,0,0,0,0,0,0,0,0,0,0,0"/>
                </v:shape>
                <v:shape id="Freeform 135" o:spid="_x0000_s1151" style="position:absolute;left:70;top:149;width:342;height:414;visibility:visible;mso-wrap-style:square;v-text-anchor:top" coordsize="417,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" path="m259,498r,-257l417,83,417,,359,,207,151,55,,,,,83,159,240r,258c175,503,190,505,207,505v18,,37,-3,52,-7xe" fillcolor="#eb3d00" stroked="f">
                  <v:path arrowok="t" o:connecttype="custom" o:connectlocs="259,498;259,241;417,83;417,0;359,0;207,151;55,0;0,0;0,83;159,240;159,498;207,505;259,498" o:connectangles="0,0,0,0,0,0,0,0,0,0,0,0,0"/>
                </v:shape>
                <v:shape id="Freeform 136" o:spid="_x0000_s1152" style="position:absolute;left:69;top:149;width:344;height:415;visibility:visible;mso-wrap-style:square;v-text-anchor:top" coordsize="419,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" path="m268,244r1,252l267,496r,-252l268,244xm269,496r,l268,496r,l269,496xm268,496v-9,3,-19,6,-28,7l240,502v9,-2,18,-4,28,-7l268,496xm240,503v-10,2,-19,3,-30,3l210,505v11,-1,20,-1,30,-3l240,503xm210,506v-11,,-21,-1,-30,-3l180,502v9,2,19,3,30,3l210,506xm180,503v-10,-2,-19,-4,-29,-7l151,495v10,2,19,5,29,7l180,503xm151,496r,l151,495r,l151,496xm151,495r,-251l152,244r,251l151,495xm152,244r,l152,244r-1,l152,244xm151,245l1,95,2,94,152,244r-1,1xm1,95l,95,,94r1,l1,95xm,94l1,1r1,l2,94,,94xm1,1l1,r,l1,1xm1,l69,r,1l1,2,1,xm69,r,l69,r,1l69,xm69,l210,141r-1,l68,1,69,xm210,141r-1,1l209,141r,l210,141xm209,141l350,r,1l210,141r-1,xm350,r,l350,r,1l350,xm350,r69,l419,2,350,1r,-1xm419,r,l419,1r,l419,xm419,1r,93l418,94r,-93l419,1xm419,94r,1l419,95r-1,-1l419,94xm419,95l268,245r-1,-1l418,94r1,1xm267,244r,l267,244r1,l267,244xe" fillcolor="#340e70" stroked="f">
                  <v:path arrowok="t" o:connecttype="custom" o:connectlocs="269,496;267,244;269,496;268,496;269,496;240,503;268,495;240,503;210,505;240,503;180,503;210,505;180,503;151,495;180,503;151,496;151,495;151,495;152,244;151,495;152,244;151,244;151,245;2,94;151,245;0,95;1,94;0,94;2,1;0,94;1,0;1,1;69,0;1,2;69,0;69,0;69,0;210,141;68,1;210,141;209,141;210,141;350,0;210,141;350,0;350,0;350,0;419,0;350,1;419,0;419,1;419,0;419,94;418,1;419,94;419,95;419,94;268,245;418,94;267,244;267,244;267,244" o:connectangles="0,0,0,0,0,0,0,0,0,0,0,0,0,0,0,0,0,0,0,0,0,0,0,0,0,0,0,0,0,0,0,0,0,0,0,0,0,0,0,0,0,0,0,0,0,0,0,0,0,0,0,0,0,0,0,0,0,0,0,0,0,0"/>
                  <o:lock v:ext="edit" verticies="t"/>
                </v:shape>
                <v:shape id="Freeform 137" o:spid="_x0000_s1153" style="position:absolute;left:65;top:144;width:354;height:431;visibility:visible;mso-wrap-style:square;v-text-anchor:top" coordsize="4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" path="m430,1l,1,,,430,r,1xm,l,,,,,xm1,r,319l,319,,,1,xm,319r,l,319r,xm1,319c23,481,174,513,174,513r,1c173,514,22,482,,319r1,xm174,513r,l174,513r,xm174,513v,,32,10,84,l258,514v-52,11,-84,,-84,l174,513xm258,514r,l258,514xm258,513v,,150,-32,172,-194l431,319c409,482,258,514,258,514r,-1xm431,319r,l431,319r-1,l431,319xm430,319l430,r1,l431,319r-1,xm430,r1,l431,r-1,xe" fillcolor="#24211d" stroked="f">
                  <v:path arrowok="t" o:connecttype="custom" o:connectlocs="430,1;0,1;0,0;430,0;430,1;0,0;0,0;0,0;0,0;1,0;1,319;0,319;0,0;1,0;0,319;0,319;0,319;0,319;1,319;174,513;174,514;0,319;1,319;174,513;174,513;174,513;174,513;174,513;258,513;258,514;174,514;174,513;258,514;258,514;258,514;258,513;430,319;431,319;258,514;258,513;431,319;431,319;431,319;430,319;431,319;430,319;430,0;431,0;431,319;430,319;430,0;431,0;431,0;430,0" o:connectangles="0,0,0,0,0,0,0,0,0,0,0,0,0,0,0,0,0,0,0,0,0,0,0,0,0,0,0,0,0,0,0,0,0,0,0,0,0,0,0,0,0,0,0,0,0,0,0,0,0,0,0,0,0,0"/>
                  <o:lock v:ext="edit" verticies="t"/>
                </v:shape>
                <v:shape id="Freeform 138" o:spid="_x0000_s1154" style="position:absolute;left:69;top:149;width:345;height:420;visibility:visible;mso-wrap-style:square;v-text-anchor:top" coordsize="420,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" path="m419,2l1,2,1,,419,r,2xm,1l,,1,r,1l,1xm2,1r,310l,311,,1r2,xm,311r,l,311r1,l,311xm2,311c24,468,170,499,170,499r,2c169,501,22,470,,311r2,xm170,499r,l170,499r,1l170,499xm170,499v,,31,11,81,1l251,501v-50,11,-81,,-81,l170,499xm251,501r,l251,501xm251,500v,,145,-32,167,-189l420,311c398,470,252,501,251,501r,-1xm420,311r,l420,311r-1,l420,311xm418,311l418,1r2,l420,311r-2,xm419,r1,l420,1r-1,l419,xe" fillcolor="#24211d" stroked="f">
                  <v:path arrowok="t" o:connecttype="custom" o:connectlocs="419,2;1,2;1,0;419,0;419,2;0,1;0,0;1,0;1,1;0,1;2,1;2,311;0,311;0,1;2,1;0,311;0,311;0,311;1,311;0,311;2,311;170,499;170,501;0,311;2,311;170,499;170,499;170,499;170,500;170,499;170,499;251,500;251,501;170,501;170,499;251,501;251,501;251,501;251,500;418,311;420,311;251,501;251,500;420,311;420,311;420,311;419,311;420,311;418,311;418,1;420,1;420,311;418,311;419,0;420,0;420,1;419,1;419,0" o:connectangles="0,0,0,0,0,0,0,0,0,0,0,0,0,0,0,0,0,0,0,0,0,0,0,0,0,0,0,0,0,0,0,0,0,0,0,0,0,0,0,0,0,0,0,0,0,0,0,0,0,0,0,0,0,0,0,0,0,0"/>
                  <o:lock v:ext="edit" verticies="t"/>
                </v:shape>
                <v:shape id="Freeform 139" o:spid="_x0000_s1155" style="position:absolute;left:105;top:201;width:295;height:209;visibility:visible;mso-wrap-style:square;v-text-anchor:top" coordsize="359,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" path="m161,42v,,2,-2,9,-1c170,41,181,33,187,32v11,-5,11,,11,c198,32,238,16,277,6v,,9,-6,7,7c284,13,281,24,270,30v,,6,-3,3,7c273,37,274,44,265,48v,,9,,3,11c263,66,258,67,258,67v,,8,-2,7,5c261,83,251,87,251,87v,,8,,1,8c252,95,247,103,244,104v,,-1,3,-8,2c236,106,242,105,240,117v,,45,-3,30,46c270,163,266,167,269,175v,,5,6,25,c294,175,307,163,314,184v,,7,18,20,24c334,208,345,209,341,221v,,8,,12,2c353,223,359,224,355,243v,,-3,7,-11,-3c344,240,339,238,333,229v,,-5,-7,-16,-16c317,213,298,201,295,195v,,-2,-2,-13,c282,195,295,212,306,211v,,6,3,3,9c309,220,306,222,307,224v,,9,2,12,4c319,228,328,229,320,248v,,-7,7,-17,-15c303,233,296,223,286,216v,,-11,-7,-18,-18c268,198,244,201,230,193v,,-25,3,-28,-11c202,182,197,180,161,191v-31,6,-36,,-36,c116,193,101,189,101,189v-11,,-15,,-15,c86,189,85,192,82,192v,,-9,2,-15,13c67,205,60,223,58,224v,,-1,4,-9,2c49,226,48,228,47,228v,,1,11,1,14c48,242,48,245,44,244v-1,1,-2,2,-2,2c42,246,32,247,28,246v,,-4,-3,,-9c28,237,28,230,38,225v,,9,-17,15,-21c53,204,63,186,68,182v,,-2,1,-4,-1c62,178,56,185,56,185v,,-9,9,-14,16c42,201,39,211,36,215v,,-2,6,-7,1l24,217v1,4,-2,4,-2,4c22,221,23,233,20,234v,,-8,3,-16,-1c4,233,,232,1,226v,,8,-9,16,-14c22,203,31,195,31,195l55,170v,,-1,-14,11,-7c66,163,77,160,89,162v,,-2,-11,4,-23c98,113,87,96,87,96v,,-10,1,-17,c70,96,69,109,57,106v,,5,-4,4,-11c61,95,57,100,53,101v,,-5,3,-5,-2c48,99,43,89,53,85v,,5,-14,16,-20c69,65,79,59,67,45v11,1,13,4,13,4c80,49,80,45,81,44v5,2,7,5,7,5c88,49,97,46,101,55v,,19,4,32,32c142,115,162,126,162,126r1,-21c163,105,177,88,164,77v,,-15,-10,-10,-28c154,49,157,44,161,42xe" fillcolor="#c1c0bf" stroked="f">
                  <v:path arrowok="t" o:connecttype="custom" o:connectlocs="170,41;198,32;284,13;273,37;268,59;265,72;252,95;236,106;270,163;294,175;334,208;353,223;344,240;317,213;282,195;309,220;319,228;303,233;268,198;202,182;125,191;86,189;67,205;49,226;48,242;42,246;28,237;53,204;64,181;42,201;29,216;22,221;4,233;17,212;55,170;89,162;87,96;57,106;53,101;53,85;67,45;81,44;101,55;162,126;164,77;161,42" o:connectangles="0,0,0,0,0,0,0,0,0,0,0,0,0,0,0,0,0,0,0,0,0,0,0,0,0,0,0,0,0,0,0,0,0,0,0,0,0,0,0,0,0,0,0,0,0,0"/>
                </v:shape>
                <v:shape id="Freeform 140" o:spid="_x0000_s1156" style="position:absolute;left:104;top:200;width:296;height:211;visibility:visible;mso-wrap-style:square;v-text-anchor:top" coordsize="361,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" path="m162,43v,,2,-3,9,-2l171,42v-6,,-8,2,-8,2l162,43xm171,42r,l171,42r,xm170,41v,,12,-8,17,-9l188,34v-6,1,-17,8,-17,8l170,41xm188,34r,l188,34r,-1l188,34xm187,32v13,-5,12,1,12,1l198,33v,,,-4,-10,1l187,32xm199,34r-1,l198,33r1,l199,34xm199,33v,,40,-17,79,-26l278,8c239,18,199,34,199,34r,-1xm278,8r,l278,8r,-1l278,8xm278,7v,,10,-7,7,7l284,14c286,3,278,8,278,8r,-1xm285,14r,l285,14r,xm285,14v,,-3,11,-14,17l270,30v11,-6,14,-16,14,-17l285,14xm271,31r-1,-1l271,31xm270,30v,,8,-4,5,8l274,38v2,-9,-3,-7,-3,-7l270,30xm274,38r,l274,38r,xm275,38v,,,7,-9,12l266,49v8,-5,8,-11,8,-11l275,38xm266,50r-3,l266,49r,l266,50xm266,49v,,10,,4,12l268,60v6,-10,-2,-10,-2,-10l266,49xm270,61r-1,l269,60r1,1xm269,61v-4,7,-10,7,-10,7l259,67v,,5,,9,-7l269,61xm259,68r,-1l259,68xm259,67v,,9,-1,8,6l265,73v1,-6,-6,-5,-6,-5l259,67xm267,73r,l267,73r-1,l267,73xm267,73v-4,12,-15,15,-15,15l251,87v,,11,-3,14,-14l267,73xm252,89r-4,l251,87r1,1l252,89xm252,87v,,10,,2,9l253,95v6,-7,-1,-6,-1,-6l252,87xm253,95r,l253,95r,1l253,95xm254,96v,,-6,9,-9,10l245,105v2,-1,8,-10,8,-10l254,96xm244,105r1,l245,105r,l244,105xm246,106v,,-2,2,-9,2l237,107v7,,7,-2,7,-2l246,106xm237,108r-8,-1l237,107r,l237,108xm237,107v,,7,-1,4,11l240,117v2,-10,-3,-9,-3,-9l237,107xm241,118r-1,l240,117r1,1xm241,117v,,46,-3,31,47l271,164v14,-48,-30,-46,-30,-46l241,117xm272,164r,l272,164r-1,l272,164xm272,164v,,-5,4,-2,11l269,176v-3,-9,2,-13,2,-13l272,164xm269,176r,l269,176r1,l269,176xm270,175v,,6,6,25,l295,177v-20,5,-26,-1,-26,-1l270,175xm295,177r,l295,177r,-1l295,177xm294,176v,,15,-13,22,9l314,185v-6,-20,-19,-8,-19,-8l294,176xm314,185r,l315,185r-1,xm316,185v,,6,18,19,23l334,210v-13,-6,-20,-25,-20,-25l316,185xm334,210r,l334,210r1,-1l334,210xm335,208v,,12,2,7,15l341,222v4,-11,-7,-12,-7,-12l335,208xm342,223r-1,l341,222r1,l342,223xm342,222v,,8,,12,1l353,224v-3,-1,-11,-1,-11,-1l342,222xm353,224r,l353,224r1,l353,224xm354,223v,,7,1,3,21l355,244v5,-19,-2,-20,-2,-20l354,223xm357,244r,l357,244r-1,l357,244xm357,244v,,-4,8,-13,-3l345,241v8,9,10,3,10,3l357,244xm345,240r,1l345,241r,l345,240xm345,242v,,-6,-2,-12,-11l334,230v6,9,11,10,11,10l345,242xm333,231r,l333,231r1,-1l333,231xm333,231v,,-4,-8,-15,-17l318,213v12,10,16,17,16,17l333,231xm318,213r,l318,213r,1l318,213xm318,214v,,-19,-12,-22,-18l297,195v3,6,21,18,21,18l318,214xm297,195r,l297,195r-1,1l297,195xm296,196v,,-2,-1,-13,1l282,195v12,-2,15,,15,l296,196xm282,196r-1,l282,195r1,1l282,196xm283,196v,,13,16,24,16l307,213v-12,1,-25,-17,-25,-17l283,196xm307,212r,l307,212r,xm307,212v,,7,3,3,9l309,220v3,-5,-2,-7,-2,-7l307,212xm310,221r,l310,221r,xm310,221v,,-2,2,-1,4l308,226v-1,-3,1,-6,1,-6l310,221xm308,226r,l308,226r,-1l308,226xm309,225v,,8,2,11,3l320,229v-3,-1,-12,-3,-12,-3l309,225xm320,229r,l320,229r,xm320,228v,,10,1,1,22l320,249v8,-19,,-20,,-20l320,228xm321,250r,l321,250r,-1l321,250xm321,250v,,-7,7,-18,-15l304,234v10,21,16,15,16,15l321,250xm304,234r,l304,234r,xm303,235v,,-7,-11,-16,-17l288,217v9,7,16,17,16,17l303,235xm288,217r,l287,217r1,xm287,218v,,-12,-7,-19,-18l269,199v7,11,19,18,19,18l287,218xm269,199r,l269,199r,xm269,200v,,-25,3,-38,-5l232,194v13,8,36,5,37,5l269,200xm231,194r1,l232,194r-1,xm232,195v-1,,-26,3,-30,-11l204,183v3,13,27,11,27,11l232,195xm203,183r,l204,183r-1,xm203,184v,,-5,-2,-41,8l162,191v36,-11,41,-8,41,-8l203,184xm162,192r,l162,192r,xm162,192v-32,6,-36,,-36,l127,191v,,4,6,35,l162,192xm126,191r,l127,191r-1,1l126,191xm126,192v-9,3,-24,-2,-24,-2l102,189v,,15,5,24,2l126,192xm102,189r,l102,189r,1l102,189xm102,190v-11,1,-15,1,-15,1l87,190v,,4,,15,-1l102,190xm86,190r,l87,190r,l86,190xm87,191v,,,2,-4,3l83,193v3,-1,3,-3,3,-3l87,191xm83,193r,l83,193xm83,194v,,-8,2,-15,12l67,206v7,-12,16,-13,16,-13l83,194xm67,206r,l67,206r1,l67,206xm68,206v,,-6,19,-9,20l59,225v2,-1,8,-19,8,-19l68,206xm58,225r,l59,225r,l58,225xm59,225v,,,4,-9,3l50,226v8,2,8,-1,8,-1l59,225xm49,227r,-1l50,226r,1l49,227xm50,227v,,,2,-1,3l48,229v1,-1,1,-2,1,-2l50,227xm48,229r,l48,229r,xm49,229v,,,11,,14l48,243v,-3,,-14,,-14l49,229xm48,243r,l48,243r1,l48,243xm49,243v,,,4,-4,2l45,244v3,1,3,-1,3,-1l49,243xm44,245r1,-1l45,244r,1l44,245xm45,245v-1,2,-2,2,-2,2l42,246v,,1,,2,-1l45,245xm43,247r,l43,247r,xm43,247v,,-10,2,-14,1l29,247v4,,14,-1,14,-1l43,247xm29,248r,l28,248r1,-1l29,248xm28,248v,,-4,-4,,-10l29,239v-3,5,,8,,8l28,248xm29,238r,1l29,239r,-1xm28,238v,,1,-7,10,-13l39,226v-9,6,-10,12,-10,12l28,238xm39,226r,l39,226r,xm38,226v,,10,-17,16,-21l54,206v-5,4,-15,20,-15,20l38,226xm55,206r,l54,206r,-1l55,206xm53,205v1,,10,-19,16,-22l70,184v-6,3,-15,22,-15,22l53,205xm69,183r4,-1l70,184r-1,-1xm70,184v,,-3,1,-6,-1l65,182v2,1,4,1,4,1l70,184xm64,183r,l64,182r1,l64,183xm64,182v-1,-2,-6,4,-6,4l57,186v,,6,-8,8,-4l64,182xm58,186r,l57,186r1,xm58,186v,,-9,9,-15,16l42,201v6,-7,15,-15,15,-15l58,186xm42,202r,-1l42,201r1,1l42,202xm44,202v,,-4,10,-7,15l36,216v3,-4,6,-14,6,-14l44,202xm36,216r,l36,216r1,l36,216xm37,217v,,-2,6,-8,1l30,217v4,4,6,-1,6,-1l37,217xm30,217r,l30,217r,xm30,218r-5,l25,217r5,l30,218xm24,218r,-1l25,217r,1l24,218xm25,217v2,5,-2,6,-2,6l23,222v,,2,-1,1,-4l25,217xm22,222r,l23,222r,l22,222xm23,222v,,1,13,-2,14l20,234v3,,2,-12,2,-12l23,222xm20,234r,l20,234r1,1l20,234xm21,236v,,-9,2,-16,-1l5,234v8,3,15,,15,l21,236xm5,234r,l5,234xm5,235v,,-5,-2,-3,-8l3,228v-1,5,2,6,2,6l5,235xm2,227r,l2,227r,xm2,227v,,8,-9,16,-15l18,213c11,219,3,228,3,228l2,227xm18,213r,l18,213r,xm17,213v5,-10,15,-17,15,-17l33,197v,,-10,7,-15,16l17,213xm33,197r,l33,197r-1,-1l33,197xm32,196l56,170r1,1l33,197r-1,-1xm57,171r,l57,171r-1,l57,171xm56,171v,,-2,-15,11,-8l67,164v-11,-6,-10,7,-10,7l56,171xm67,164r,l67,164r,xm67,163v,,11,-3,23,l90,164v-12,-3,-23,,-23,l67,163xm90,163r1,1l90,164r,-1xm89,164v,,-1,-12,5,-24l95,141v-6,11,-5,22,-5,22l89,164xm95,140r,l95,141r-1,-1l95,140xm93,140c98,115,88,97,88,97r1,-1c89,96,100,114,95,140r-2,xm88,96r1,l89,96r-1,1l88,96xm89,97v,,-11,2,-18,l71,96v7,1,17,,17,l89,97xm70,97r,-1l71,96r,1l70,97xm71,97v,,,14,-14,10l58,106v12,3,12,-9,12,-9l71,97xm57,107r-1,l57,106r1,1l57,107xm57,106v,,5,-3,4,-10l62,96v1,7,-4,11,-4,11l57,106xm61,95r1,-1l62,96r,l61,95xm62,96v,,-3,5,-8,7l53,101v5,-1,8,-6,8,-6l62,96xm53,101r,l53,101r1,1l53,101xm54,103v,,-6,3,-6,-3l49,100v,4,4,1,4,1l54,103xm49,100r,l49,100r,xm48,100v,,-5,-10,6,-14l54,87v-10,3,-5,13,-5,13l48,100xm54,87r,l54,87r,-1l54,87xm53,86v,,6,-14,16,-20l70,67c60,73,54,87,54,87l53,86xm70,67r,l70,66r,1xm69,66v,-1,10,-6,-1,-19l69,46v12,14,1,21,1,21l69,66xm68,47l67,46r1,l68,46r,1xm68,46v11,,13,3,13,3l80,50v,,-2,-3,-12,-3l68,46xm81,50r,2l80,50r1,xm80,50v,,1,-4,1,-6l83,45v-1,1,-2,5,-2,5l80,50xm81,44r1,l82,44r,1l81,44xm82,44v6,3,7,5,7,5l88,50v,,-1,-2,-6,-5l82,44xm89,50r,l88,50r1,xm89,49v,,9,-2,13,7l101,56c97,48,89,50,89,50r,-1xm102,57r-1,-1l101,56r1,l102,57xm102,55v,,20,5,32,33l133,88c121,61,102,57,102,57r,-2xm134,88r,l134,88xm134,88v9,27,30,38,30,38l163,127v,,-21,-11,-30,-39l134,88xm164,127r,1l163,127r,l164,127xm163,127r1,-21l165,106r-1,21l163,127xm164,106r,l164,106r,xm164,106v,,13,-17,1,-27l166,78v13,11,-1,28,-1,28l164,106xm166,78r,l166,78r-1,l166,78xm165,79v,,-16,-11,-11,-29l155,51v-5,16,11,27,11,27l165,79xm154,50r,l154,50r1,l154,50xm154,50v,,4,-5,8,-7l162,44v-3,2,-7,7,-7,7l154,50xm163,44r,l162,44r,-1l163,44xe" fillcolor="#605d5c" stroked="f">
                  <v:path arrowok="t" o:connecttype="custom" o:connectlocs="170,41;199,33;284,14;271,31;275,38;270,61;267,73;252,89;253,95;237,107;271,164;269,176;294,176;334,210;342,223;353,224;345,241;318,214;297,195;282,196;307,212;308,226;320,228;304,234;287,218;232,195;162,192;126,192;102,190;83,194;68,206;50,227;48,229;45,244;29,247;29,239;54,206;73,182;58,186;42,201;37,217;24,218;22,222;20,234;2,227;33,197;57,171;67,163;95,140;88,96;57,106;54,103;49,100;53,86;68,47;80,50;82,44;102,57;164,127;164,106;165,79;162,43" o:connectangles="0,0,0,0,0,0,0,0,0,0,0,0,0,0,0,0,0,0,0,0,0,0,0,0,0,0,0,0,0,0,0,0,0,0,0,0,0,0,0,0,0,0,0,0,0,0,0,0,0,0,0,0,0,0,0,0,0,0,0,0,0,0"/>
                  <o:lock v:ext="edit" verticies="t"/>
                </v:shape>
                <v:shape id="Freeform 141" o:spid="_x0000_s1157" style="position:absolute;left:176;top:269;width:13;height:11;visibility:visible;mso-wrap-style:square;v-text-anchor:top" coordsize="1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" path="m15,c15,,12,10,1,13l,12c11,9,14,,14,r1,xe" fillcolor="#605d5c" stroked="f">
                  <v:path arrowok="t" o:connecttype="custom" o:connectlocs="15,0;1,13;0,12;14,0;15,0" o:connectangles="0,0,0,0,0"/>
                </v:shape>
                <v:shape id="Freeform 142" o:spid="_x0000_s1158" style="position:absolute;left:233;top:234;width:32;height:73;visibility:visible;mso-wrap-style:square;v-text-anchor:top" coordsize="3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" path="m4,88v,,33,-34,16,-59l21,28c39,54,5,89,5,89l4,88xm21,28r,l21,28r-1,l21,28xm20,29c,11,14,,14,r,1c14,1,2,11,21,28r-1,1xe" fillcolor="#605d5c" stroked="f">
                  <v:path arrowok="t" o:connecttype="custom" o:connectlocs="4,88;20,29;21,28;5,89;4,88;21,28;21,28;21,28;20,28;21,28;20,29;14,0;14,1;21,28;20,29" o:connectangles="0,0,0,0,0,0,0,0,0,0,0,0,0,0,0"/>
                  <o:lock v:ext="edit" verticies="t"/>
                </v:shape>
                <v:shape id="Freeform 143" o:spid="_x0000_s1159" style="position:absolute;left:161;top:332;width:34;height:19;visibility:visible;mso-wrap-style:square;v-text-anchor:top" coordsize="4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" path="m36,v,,2,8,4,13m,23v,,3,-1,4,-3c4,20,6,6,15,14v,,3,1,7,1c22,15,33,11,41,11e" filled="f" strokecolor="#605d5c" strokeweight=".04411mm">
                  <v:stroke endcap="round"/>
                  <v:path arrowok="t" o:connecttype="custom" o:connectlocs="36,0;40,13;0,23;4,20;15,14;22,15;41,11" o:connectangles="0,0,0,0,0,0,0"/>
                  <o:lock v:ext="edit" verticies="t"/>
                </v:shape>
                <v:shape id="Freeform 144" o:spid="_x0000_s1160" style="position:absolute;left:207;top:343;width:11;height:16;visibility:visible;mso-wrap-style:square;v-text-anchor:top" coordsize="1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" path="m12,v,,1,,1,c13,,14,,13,1l12,xm13,1c13,1,8,12,1,18l,17c7,11,12,,12,r1,1xm1,18v,1,-1,1,-1,c,18,,18,,17r1,1xe" fillcolor="#605d5c" stroked="f">
                  <v:path arrowok="t" o:connecttype="custom" o:connectlocs="12,0;13,0;13,1;12,0;13,1;1,18;0,17;12,0;13,1;1,18;0,18;0,17;1,18" o:connectangles="0,0,0,0,0,0,0,0,0,0,0,0,0"/>
                  <o:lock v:ext="edit" verticies="t"/>
                </v:shape>
                <v:shape id="Freeform 145" o:spid="_x0000_s1161" style="position:absolute;left:283;top:344;width:14;height:17;visibility:visible;mso-wrap-style:square;v-text-anchor:top" coordsize="17,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" path="m1,v,,,3,2,7l2,7c,4,,1,,1l1,xm3,7r,l2,7r,l3,7xm3,7v,,,1,1,2l3,9c2,9,2,8,2,7r1,xm4,9v,,1,1,1,2l4,11c4,11,3,10,3,9r1,xm5,11v3,3,6,7,12,9l17,21c11,19,7,15,4,11r1,xe" fillcolor="#605d5c" stroked="f">
                  <v:path arrowok="t" o:connecttype="custom" o:connectlocs="1,0;3,7;2,7;0,1;1,0;3,7;3,7;2,7;2,7;3,7;3,7;4,9;3,9;2,7;3,7;4,9;5,11;4,11;3,9;4,9;5,11;17,20;17,21;4,11;5,11" o:connectangles="0,0,0,0,0,0,0,0,0,0,0,0,0,0,0,0,0,0,0,0,0,0,0,0,0"/>
                  <o:lock v:ext="edit" verticies="t"/>
                </v:shape>
                <v:shape id="Freeform 146" o:spid="_x0000_s1162" style="position:absolute;left:270;top:349;width:15;height:2;visibility:visible;mso-wrap-style:square;v-text-anchor:top" coordsize="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" path="m,2c,2,15,,18,1r,1c15,1,,3,,3l,2xe" fillcolor="#605d5c" stroked="f">
                  <v:path arrowok="t" o:connecttype="custom" o:connectlocs="0,2;18,1;18,2;0,3;0,2" o:connectangles="0,0,0,0,0"/>
                </v:shape>
                <v:shape id="Freeform 147" o:spid="_x0000_s1163" style="position:absolute;left:324;top:360;width:12;height:4;visibility:visible;mso-wrap-style:square;v-text-anchor:top" coordsize="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" path="m,4c,4,14,,15,r,2c14,2,1,5,1,5l,4xe" fillcolor="#605d5c" stroked="f">
                  <v:path arrowok="t" o:connecttype="custom" o:connectlocs="0,4;15,0;15,2;1,5;0,4" o:connectangles="0,0,0,0,0"/>
                </v:shape>
                <v:shape id="Freeform 148" o:spid="_x0000_s1164" style="position:absolute;left:170;top:240;width:3;height:8;visibility:visible;mso-wrap-style:square;v-text-anchor:top" coordsize="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" path="m3,10c3,10,,6,,l1,1v,4,3,8,3,8l3,10xe" fillcolor="#605d5c" stroked="f">
                  <v:path arrowok="t" o:connecttype="custom" o:connectlocs="3,10;0,0;1,1;4,9;3,10" o:connectangles="0,0,0,0,0"/>
                </v:shape>
                <v:shape id="Freeform 149" o:spid="_x0000_s1165" style="position:absolute;left:176;top:241;width:8;height:8;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" path="m2,v,,,,1,l2,1c1,1,,,,l2,xm3,v,1,1,1,1,2l4,3c3,2,2,2,2,1l3,xm4,2v2,1,4,4,5,8l8,10c7,7,5,4,4,3l4,2xe" fillcolor="#605d5c" stroked="f">
                  <v:path arrowok="t" o:connecttype="custom" o:connectlocs="2,0;3,0;2,1;0,0;2,0;3,0;4,2;4,3;2,1;3,0;4,2;9,10;8,10;4,3;4,2" o:connectangles="0,0,0,0,0,0,0,0,0,0,0,0,0,0,0"/>
                  <o:lock v:ext="edit" verticies="t"/>
                </v:shape>
                <v:shape id="Freeform 150" o:spid="_x0000_s1166" style="position:absolute;left:265;top:225;width:62;height:15;visibility:visible;mso-wrap-style:square;v-text-anchor:top" coordsize="75,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" path="m75,1l,18,,17,75,r,1xe" fillcolor="#605d5c" stroked="f">
                  <v:path arrowok="t" o:connecttype="custom" o:connectlocs="75,1;0,18;0,17;75,0;75,1" o:connectangles="0,0,0,0,0"/>
                </v:shape>
                <v:shape id="Freeform 151" o:spid="_x0000_s1167" style="position:absolute;left:261;top:240;width:62;height:13;visibility:visible;mso-wrap-style:square;v-text-anchor:top" coordsize="7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" path="m75,1c75,1,5,13,1,15l,14c5,12,75,,75,r,1xe" fillcolor="#605d5c" stroked="f">
                  <v:path arrowok="t" o:connecttype="custom" o:connectlocs="75,1;1,15;0,14;75,0;75,1" o:connectangles="0,0,0,0,0"/>
                </v:shape>
                <v:shape id="Freeform 152" o:spid="_x0000_s1168" style="position:absolute;left:267;top:255;width:51;height:7;visibility:visible;mso-wrap-style:square;v-text-anchor:top" coordsize="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" path="m62,1c62,1,4,8,,8l,7c4,7,61,,62,r,1xe" fillcolor="#605d5c" stroked="f">
                  <v:path arrowok="t" o:connecttype="custom" o:connectlocs="62,1;0,8;0,7;62,0;62,1" o:connectangles="0,0,0,0,0"/>
                </v:shape>
                <v:shape id="Freeform 153" o:spid="_x0000_s1169" style="position:absolute;left:266;top:272;width:46;height:2;visibility:visible;mso-wrap-style:square;v-text-anchor:top" coordsize="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" path="m56,2l,3,,1,56,r,2xe" fillcolor="#605d5c" stroked="f">
                  <v:path arrowok="t" o:connecttype="custom" o:connectlocs="56,2;0,3;0,1;56,0;56,2" o:connectangles="0,0,0,0,0"/>
                </v:shape>
                <v:shape id="Freeform 154" o:spid="_x0000_s1170" style="position:absolute;left:264;top:284;width:38;height:6;visibility:visible;mso-wrap-style:square;v-text-anchor:top" coordsize="4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" path="m46,7c45,7,16,2,,1l,c16,,46,6,46,6r,1xe" fillcolor="#605d5c" stroked="f">
                  <v:path arrowok="t" o:connecttype="custom" o:connectlocs="46,7;0,1;0,0;46,6;46,7" o:connectangles="0,0,0,0,0"/>
                </v:shape>
                <v:shape id="Freeform 155" o:spid="_x0000_s1171" style="position:absolute;left:259;top:294;width:44;height:20;visibility:visible;mso-wrap-style:square;v-text-anchor:top" coordsize="5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" path="m4,c27,5,36,12,36,12r,1c36,13,26,6,3,1l4,xm36,12r1,l37,12r-1,xm37,12v,,4,7,-10,10l26,21c39,18,36,12,36,12r1,xm27,22r,l27,22xm27,22c10,25,,14,,14l,13v,,10,11,26,8l27,22xm54,3v,,-3,9,-19,9l35,11c50,11,52,3,52,3r2,xe" fillcolor="#605d5c" stroked="f">
                  <v:path arrowok="t" o:connecttype="custom" o:connectlocs="4,0;36,12;36,13;3,1;4,0;36,12;37,12;37,12;36,12;37,12;27,22;26,21;36,12;37,12;27,22;27,22;27,22;27,22;0,14;0,13;26,21;27,22;54,3;35,12;35,11;52,3;54,3" o:connectangles="0,0,0,0,0,0,0,0,0,0,0,0,0,0,0,0,0,0,0,0,0,0,0,0,0,0,0"/>
                  <o:lock v:ext="edit" verticies="t"/>
                </v:shape>
                <v:shape id="Freeform 156" o:spid="_x0000_s1172" style="position:absolute;left:256;top:228;width:19;height:74;visibility:visible;mso-wrap-style:square;v-text-anchor:top" coordsize="2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" path="m14,c12,16,4,16,4,16v9,-4,13,-1,13,-1c18,16,19,18,19,20v,2,-1,3,-1,4c16,28,7,29,7,29v,,16,-2,14,4c19,39,10,41,10,41v,,13,-1,13,6c21,54,9,55,9,55v,,12,-1,10,7c16,70,5,68,5,68m6,80v,,1,1,2,2c9,88,1,90,1,90m,78v,,2,1,3,2c4,80,6,80,6,80v4,,7,-3,6,-7c12,71,11,69,10,68e" filled="f" strokecolor="#605d5c" strokeweight=".25pt">
                  <v:path arrowok="t" o:connecttype="custom" o:connectlocs="14,0;4,16;17,15;19,20;18,24;7,29;21,33;10,41;23,47;9,55;19,62;5,68;6,80;8,82;1,90;0,78;3,80;6,80;12,73;10,68" o:connectangles="0,0,0,0,0,0,0,0,0,0,0,0,0,0,0,0,0,0,0,0"/>
                  <o:lock v:ext="edit" verticies="t"/>
                </v:shape>
                <v:shape id="Freeform 157" o:spid="_x0000_s1173" style="position:absolute;left:146;top:274;width:3;height:6;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" path="m4,2c3,2,3,2,3,2l4,v,,,,,l4,2xm3,2v,,,,,l3,v,,,,1,l3,2xm3,2r,l3,r,l3,2xm3,r,l3,1,3,xm3,2v,,,,,l3,v,,,,,l3,2xm3,r,l3,1,3,xm3,2v,,,,,l2,1c2,1,2,,3,r,2xm3,2c2,2,1,3,1,4l,4c,2,1,1,2,1l3,2xm1,4v,,,,,l,4v,,,,,l1,4xm1,4v,1,,1,1,1l1,6c,5,,5,,4r1,xm2,5v,,,1,,1l2,7c2,7,1,6,1,6l2,5xm2,6r,l2,6xm2,6v,,,,1,l3,7c2,7,2,7,2,7l2,6xm3,6r,l3,7r,l3,6xm3,7r,l3,6r,1xm3,6v,,,,,l3,7v,,,,,l3,6xm3,6v,,,,,l3,7v,,,,,l3,6xm3,6v,,,,,l4,7c3,7,3,7,3,7l3,6xe" fillcolor="#605d5c" stroked="f">
                  <v:path arrowok="t" o:connecttype="custom" o:connectlocs="3,2;4,0;3,2;3,0;3,2;3,2;3,0;3,0;3,1;3,2;3,0;3,2;3,0;3,0;3,2;3,0;3,2;0,4;3,2;1,4;0,4;1,4;1,6;1,4;2,6;1,6;2,6;2,6;3,6;2,7;3,6;3,7;3,6;3,7;3,7;3,6;3,7;3,6;3,7;3,6;3,6;3,7" o:connectangles="0,0,0,0,0,0,0,0,0,0,0,0,0,0,0,0,0,0,0,0,0,0,0,0,0,0,0,0,0,0,0,0,0,0,0,0,0,0,0,0,0,0"/>
                  <o:lock v:ext="edit" verticies="t"/>
                </v:shape>
                <v:shape id="Freeform 158" o:spid="_x0000_s1174" style="position:absolute;left:109;top:383;width:8;height:4;visibility:visible;mso-wrap-style:square;v-text-anchor:top" coordsize="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" path="m1,v,,,3,9,4l10,5c,5,,,,l1,xe" fillcolor="#605d5c" stroked="f">
                  <v:path arrowok="t" o:connecttype="custom" o:connectlocs="1,0;10,4;10,5;0,0;1,0" o:connectangles="0,0,0,0,0"/>
                </v:shape>
                <v:shape id="Freeform 159" o:spid="_x0000_s1175" style="position:absolute;left:127;top:395;width:12;height:4;visibility:visible;mso-wrap-style:square;v-text-anchor:top" coordsize="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" path="m2,v,,,2,12,1l14,2c2,4,,,,l2,xe" fillcolor="#605d5c" stroked="f">
                  <v:path arrowok="t" o:connecttype="custom" o:connectlocs="2,0;14,1;14,2;0,0;2,0" o:connectangles="0,0,0,0,0"/>
                </v:shape>
                <v:shape id="Freeform 160" o:spid="_x0000_s1176" style="position:absolute;left:358;top:394;width:5;height:7;visibility:visible;mso-wrap-style:square;v-text-anchor:top" coordsize="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" path="m,8c,8,5,4,5,l6,1c6,4,1,9,1,9l,8xe" fillcolor="#605d5c" stroked="f">
                  <v:path arrowok="t" o:connecttype="custom" o:connectlocs="0,8;5,0;6,1;1,9;0,8" o:connectangles="0,0,0,0,0"/>
                </v:shape>
                <v:shape id="Freeform 161" o:spid="_x0000_s1177" style="position:absolute;left:387;top:389;width:5;height:10;visibility:visible;mso-wrap-style:square;v-text-anchor:top" coordsize="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" path="m,10v,,3,,5,-10l6,c4,11,,12,,12l,10xe" fillcolor="#605d5c" stroked="f">
                  <v:path arrowok="t" o:connecttype="custom" o:connectlocs="0,10;5,0;6,0;0,12;0,10" o:connectangles="0,0,0,0,0"/>
                </v:shape>
                <v:shape id="Freeform 162" o:spid="_x0000_s1178" style="position:absolute;left:164;top:255;width:7;height:6;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" path="m7,c7,,3,2,,7v,,4,-1,7,c8,4,7,,7,xe" stroked="f">
                  <v:path arrowok="t" o:connecttype="custom" o:connectlocs="7,0;0,7;7,7;7,0" o:connectangles="0,0,0,0"/>
                </v:shape>
                <v:shape id="Freeform 163" o:spid="_x0000_s1179" style="position:absolute;left:162;top:254;width:10;height:9;visibility:visible;mso-wrap-style:square;v-text-anchor:top" coordsize="1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" path="m10,2v,,-4,3,-7,8l2,9c5,3,9,1,9,1r1,1xm3,10l,11,2,9r,l3,10xm2,8v,,4,-1,8,l9,10c6,9,3,10,3,10l2,8xm10,9r,1l9,10,9,9r1,xm8,8c9,6,9,2,9,2l10,1v,,1,5,,8l8,8xm9,1l10,r,1l9,2,9,1xe" fillcolor="#605d5c" stroked="f">
                  <v:path arrowok="t" o:connecttype="custom" o:connectlocs="10,2;3,10;2,9;9,1;10,2;3,10;0,11;2,9;2,9;3,10;2,8;10,8;9,10;3,10;2,8;10,9;10,10;9,10;9,9;10,9;8,8;9,2;10,1;10,9;8,8;9,1;10,0;10,1;9,2;9,1" o:connectangles="0,0,0,0,0,0,0,0,0,0,0,0,0,0,0,0,0,0,0,0,0,0,0,0,0,0,0,0,0,0"/>
                  <o:lock v:ext="edit" verticies="t"/>
                </v:shape>
                <v:shape id="Freeform 164" o:spid="_x0000_s1180" style="position:absolute;left:328;top:263;width:78;height:67;visibility:visible;mso-wrap-style:square;v-text-anchor:top" coordsize="9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" path="m1,64v,,2,-2,5,-1c36,82,50,54,50,54,57,39,69,46,69,46,93,50,95,36,95,36,83,42,70,25,70,25,36,,26,32,25,34v,,,4,,7c25,41,24,46,23,47,20,55,12,60,3,60v-1,,-2,,-2,c1,60,,63,1,64xe" fillcolor="#fdfa00" strokecolor="#605d5c" strokeweight=".04411mm">
                  <v:path arrowok="t" o:connecttype="custom" o:connectlocs="1,64;6,63;50,54;69,46;95,36;70,25;25,34;25,41;23,47;3,60;1,60;1,64" o:connectangles="0,0,0,0,0,0,0,0,0,0,0,0"/>
                </v:shape>
                <v:shape id="Freeform 165" o:spid="_x0000_s1181" style="position:absolute;left:188;top:242;width:61;height:62;visibility:visible;mso-wrap-style:square;v-text-anchor:top" coordsize="7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" path="m55,49v12,10,20,6,20,6c73,62,62,75,62,75v,,-19,-9,-29,-36c22,11,,4,,4,,4,9,,18,3v9,4,8,5,22,5c34,12,31,17,31,17v12,3,22,10,22,10c50,27,44,32,44,32v10,3,12,6,12,6c61,41,65,41,65,41v-7,3,-10,8,-10,8xe" fillcolor="#fdfa00" stroked="f">
                  <v:path arrowok="t" o:connecttype="custom" o:connectlocs="55,49;75,55;62,75;33,39;0,4;18,3;40,8;31,17;53,27;44,32;56,38;65,41;55,49" o:connectangles="0,0,0,0,0,0,0,0,0,0,0,0,0"/>
                </v:shape>
                <v:shape id="Freeform 166" o:spid="_x0000_s1182" style="position:absolute;left:188;top:241;width:62;height:50;visibility:visible;mso-wrap-style:square;v-text-anchor:top" coordsize="76,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" path="m,5c,5,9,,18,4r,1c9,2,1,6,1,6l,5xm18,4v2,1,3,1,4,2l22,7c20,6,19,6,18,5r,-1xm22,6v5,2,7,2,18,3l40,10c28,10,27,9,22,7r,-1xm40,9r2,l40,10r,-1xm40,10v-5,4,-8,8,-8,8l31,18v,,3,-5,9,-9l40,10xm31,19r-1,l31,18r,l31,19xm32,17v11,3,21,10,21,10l53,28v,,-10,-7,-22,-9l32,17xm53,27r2,1l53,29r,-1l53,27xm53,29v-2,,-9,5,-9,5l43,33v1,,7,-5,10,-6l53,29xm44,34r-2,l43,33r1,1xm44,33v10,2,12,6,12,6l55,40v,,-1,-4,-11,-6l44,33xm55,40r,l55,40r1,-1l55,40xm56,39v6,3,8,3,8,3l64,43v,,-3,,-9,-3l56,39xm64,42r3,-1l64,43r,-1xm64,43v-6,3,-8,8,-8,8l55,50v,,2,-5,9,-8l64,43xm55,51r,l55,50r1,1l55,51xm56,50v12,9,20,5,20,5l76,56v,,-9,5,-21,-5l56,50xe" fillcolor="#605d5c" stroked="f">
                  <v:path arrowok="t" o:connecttype="custom" o:connectlocs="18,4;1,6;18,4;22,7;18,4;40,9;22,7;40,9;40,10;40,10;31,18;40,10;30,19;31,18;32,17;53,28;32,17;55,28;53,28;53,29;43,33;53,29;42,34;44,34;56,39;44,34;55,40;55,40;55,40;64,42;55,40;64,42;64,43;64,43;55,50;64,43;55,51;56,51;56,50;76,56;56,50" o:connectangles="0,0,0,0,0,0,0,0,0,0,0,0,0,0,0,0,0,0,0,0,0,0,0,0,0,0,0,0,0,0,0,0,0,0,0,0,0,0,0,0,0"/>
                  <o:lock v:ext="edit" verticies="t"/>
                </v:shape>
                <v:shape id="Freeform 167" o:spid="_x0000_s1183" style="position:absolute;left:162;top:243;width:13;height:14;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" path="m4,6c5,2,11,3,11,3v,,5,-3,4,3c7,7,11,9,9,13,6,17,1,14,1,14v,,-1,-3,1,-4c1,7,4,6,4,6xe" fillcolor="#fdfa00" stroked="f">
                  <v:path arrowok="t" o:connecttype="custom" o:connectlocs="4,6;11,3;15,6;9,13;1,14;2,10;4,6" o:connectangles="0,0,0,0,0,0,0"/>
                </v:shape>
                <v:shape id="Freeform 168" o:spid="_x0000_s1184" style="position:absolute;left:162;top:242;width:14;height:15;visibility:visible;mso-wrap-style:square;v-text-anchor:top" coordsize="1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" path="m3,7c5,2,11,3,11,3r,1c11,4,5,3,5,7l3,7xm11,4r,l11,4r,xm11,3v,,6,-3,4,4l14,7c15,3,11,4,11,4r,-1xm15,7r,l15,7r,xm15,7v-5,1,-5,2,-5,3l9,10c9,8,9,7,15,6r,1xm10,10v,1,,3,-1,4l8,13c9,12,9,11,9,10r1,xm9,14c6,18,,15,,15l1,14v,,5,3,7,-1l9,14xm,15r,l,15r1,l,15xm,15v,,,-4,2,-5l2,12v-1,,-1,3,-1,3l,15xm3,11r,l2,12r,-1l3,11xm1,11c,7,4,6,4,6r,1c4,7,2,8,3,11r-2,xm5,7r,l4,7r,l5,7xe" fillcolor="#605d5c" stroked="f">
                  <v:path arrowok="t" o:connecttype="custom" o:connectlocs="3,7;11,3;11,4;5,7;3,7;11,4;11,4;11,4;11,4;11,3;15,7;14,7;11,4;11,3;15,7;15,7;15,7;15,7;15,7;10,10;9,10;15,6;15,7;10,10;9,14;8,13;9,10;10,10;9,14;0,15;1,14;8,13;9,14;0,15;0,15;0,15;1,15;0,15;0,15;2,10;2,12;1,15;0,15;3,11;3,11;2,12;2,11;3,11;1,11;4,6;4,7;3,11;1,11;5,7;5,7;4,7;4,7;5,7" o:connectangles="0,0,0,0,0,0,0,0,0,0,0,0,0,0,0,0,0,0,0,0,0,0,0,0,0,0,0,0,0,0,0,0,0,0,0,0,0,0,0,0,0,0,0,0,0,0,0,0,0,0,0,0,0,0,0,0,0,0"/>
                  <o:lock v:ext="edit" verticies="t"/>
                </v:shape>
              </v:group>
            </w:pict>
          </mc:Fallback>
        </mc:AlternateContent>
      </w:r>
      <w:r w:rsidR="00891AB5" w:rsidRPr="00C2587D">
        <w:rPr>
          <w:rFonts w:cs="Arial"/>
          <w:noProof/>
          <w:lang w:val="ru-RU"/>
        </w:rPr>
        <mc:AlternateContent>
          <mc:Choice Requires="wps">
            <w:drawing>
              <wp:anchor distT="0" distB="0" distL="114300" distR="114300" simplePos="0" relativeHeight="251659264" behindDoc="0" locked="0" layoutInCell="1" allowOverlap="1" wp14:anchorId="3A7D3D92" wp14:editId="08C8EB5D">
                <wp:simplePos x="0" y="0"/>
                <wp:positionH relativeFrom="column">
                  <wp:posOffset>3971925</wp:posOffset>
                </wp:positionH>
                <wp:positionV relativeFrom="paragraph">
                  <wp:posOffset>-409575</wp:posOffset>
                </wp:positionV>
                <wp:extent cx="2586355" cy="790575"/>
                <wp:effectExtent l="0" t="0" r="0" b="0"/>
                <wp:wrapNone/>
                <wp:docPr id="10" name="Надпись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6355" cy="790575"/>
                        </a:xfrm>
                        <a:prstGeom prst="rect">
                          <a:avLst/>
                        </a:prstGeom>
                        <a:solidFill>
                          <a:srgbClr val="FFFFFF"/>
                        </a:solidFill>
                        <a:ln>
                          <a:noFill/>
                        </a:ln>
                      </wps:spPr>
                      <wps:txbx>
                        <w:txbxContent>
                          <w:p w14:paraId="65717ACE" w14:textId="77777777" w:rsidR="00FC48E5" w:rsidRPr="00AE5A67" w:rsidRDefault="00FC48E5" w:rsidP="00DE603D">
                            <w:pPr>
                              <w:ind w:left="6521"/>
                            </w:pPr>
                            <w:r w:rsidRPr="00AE5A67">
                              <w:t>Д</w:t>
                            </w:r>
                          </w:p>
                          <w:p w14:paraId="4D811E9B" w14:textId="77777777" w:rsidR="00FC48E5" w:rsidRDefault="00FC48E5" w:rsidP="00DE603D">
                            <w:pPr>
                              <w:jc w:val="center"/>
                            </w:pPr>
                            <w:r>
                              <w:t>Додаток</w:t>
                            </w:r>
                          </w:p>
                          <w:p w14:paraId="6D7FFE1E" w14:textId="0F6C1818" w:rsidR="00FC48E5" w:rsidRDefault="009E6540" w:rsidP="00DE603D">
                            <w:pPr>
                              <w:jc w:val="center"/>
                            </w:pPr>
                            <w:r>
                              <w:t>до рішення 68</w:t>
                            </w:r>
                            <w:r w:rsidR="00FC48E5">
                              <w:t xml:space="preserve"> сесії 8 скликання</w:t>
                            </w:r>
                          </w:p>
                          <w:p w14:paraId="6244AE9F" w14:textId="0DBBCB65" w:rsidR="00FC48E5" w:rsidRPr="00AE5A67" w:rsidRDefault="009E6540" w:rsidP="00DE603D">
                            <w:pPr>
                              <w:jc w:val="center"/>
                            </w:pPr>
                            <w:r>
                              <w:t>від 24 жовтня 2025 року №1563</w:t>
                            </w:r>
                            <w:bookmarkStart w:id="0" w:name="_GoBack"/>
                            <w:bookmarkEnd w:id="0"/>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A7D3D92" id="_x0000_t202" coordsize="21600,21600" o:spt="202" path="m,l,21600r21600,l21600,xe">
                <v:stroke joinstyle="miter"/>
                <v:path gradientshapeok="t" o:connecttype="rect"/>
              </v:shapetype>
              <v:shape id="Надпись 10" o:spid="_x0000_s1026" type="#_x0000_t202" style="position:absolute;left:0;text-align:left;margin-left:312.75pt;margin-top:-32.25pt;width:203.65pt;height:62.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" stroked="f">
                <v:textbox>
                  <w:txbxContent>
                    <w:p w14:paraId="65717ACE" w14:textId="77777777" w:rsidR="00FC48E5" w:rsidRPr="00AE5A67" w:rsidRDefault="00FC48E5" w:rsidP="00DE603D">
                      <w:pPr>
                        <w:ind w:left="6521"/>
                      </w:pPr>
                      <w:r w:rsidRPr="00AE5A67">
                        <w:t>Д</w:t>
                      </w:r>
                    </w:p>
                    <w:p w14:paraId="4D811E9B" w14:textId="77777777" w:rsidR="00FC48E5" w:rsidRDefault="00FC48E5" w:rsidP="00DE603D">
                      <w:pPr>
                        <w:jc w:val="center"/>
                      </w:pPr>
                      <w:r>
                        <w:t>Додаток</w:t>
                      </w:r>
                    </w:p>
                    <w:p w14:paraId="6D7FFE1E" w14:textId="0F6C1818" w:rsidR="00FC48E5" w:rsidRDefault="009E6540" w:rsidP="00DE603D">
                      <w:pPr>
                        <w:jc w:val="center"/>
                      </w:pPr>
                      <w:r>
                        <w:t>до рішення 68</w:t>
                      </w:r>
                      <w:r w:rsidR="00FC48E5">
                        <w:t xml:space="preserve"> сесії 8 скликання</w:t>
                      </w:r>
                    </w:p>
                    <w:p w14:paraId="6244AE9F" w14:textId="0DBBCB65" w:rsidR="00FC48E5" w:rsidRPr="00AE5A67" w:rsidRDefault="009E6540" w:rsidP="00DE603D">
                      <w:pPr>
                        <w:jc w:val="center"/>
                      </w:pPr>
                      <w:r>
                        <w:t>від 24 жовтня 2025 року №1563</w:t>
                      </w:r>
                      <w:bookmarkStart w:id="1" w:name="_GoBack"/>
                      <w:bookmarkEnd w:id="1"/>
                    </w:p>
                  </w:txbxContent>
                </v:textbox>
              </v:shape>
            </w:pict>
          </mc:Fallback>
        </mc:AlternateContent>
      </w:r>
    </w:p>
    <w:p w14:paraId="4946BE19" w14:textId="77777777" w:rsidR="00DA3A15" w:rsidRPr="00C2587D" w:rsidRDefault="00DA3A15" w:rsidP="00DA3A15">
      <w:pPr>
        <w:spacing w:after="120"/>
        <w:jc w:val="center"/>
        <w:rPr>
          <w:rFonts w:cs="Arial"/>
          <w:color w:val="0D0D0D"/>
          <w:sz w:val="28"/>
        </w:rPr>
      </w:pPr>
    </w:p>
    <w:p w14:paraId="39F7A272" w14:textId="77777777" w:rsidR="00DA3A15" w:rsidRPr="00C2587D" w:rsidRDefault="00DA3A15" w:rsidP="00DA3A15">
      <w:pPr>
        <w:spacing w:after="120"/>
        <w:jc w:val="center"/>
        <w:rPr>
          <w:rFonts w:cs="Arial"/>
          <w:color w:val="0D0D0D"/>
          <w:sz w:val="28"/>
        </w:rPr>
      </w:pPr>
    </w:p>
    <w:p w14:paraId="6C1FAF53" w14:textId="77777777" w:rsidR="00241E73" w:rsidRPr="00C2587D" w:rsidRDefault="00241E73" w:rsidP="00241E73">
      <w:pPr>
        <w:spacing w:after="120"/>
        <w:ind w:left="-284"/>
        <w:jc w:val="center"/>
        <w:rPr>
          <w:rFonts w:cs="Arial"/>
          <w:color w:val="0D0D0D"/>
        </w:rPr>
      </w:pPr>
    </w:p>
    <w:p w14:paraId="16960109" w14:textId="45E09CFD" w:rsidR="00241E73" w:rsidRPr="00C2587D" w:rsidRDefault="00891AB5" w:rsidP="00396197">
      <w:pPr>
        <w:spacing w:after="120"/>
        <w:ind w:left="-1417" w:right="-800" w:hanging="1"/>
        <w:rPr>
          <w:rFonts w:cs="Arial"/>
          <w:color w:val="0D0D0D"/>
        </w:rPr>
      </w:pPr>
      <w:r w:rsidRPr="00C2587D">
        <w:rPr>
          <w:rFonts w:cs="Arial"/>
          <w:noProof/>
          <w:color w:val="0D0D0D"/>
          <w:lang w:val="ru-RU"/>
        </w:rPr>
        <mc:AlternateContent>
          <mc:Choice Requires="wps">
            <w:drawing>
              <wp:inline distT="0" distB="0" distL="0" distR="0" wp14:anchorId="5C61EBAF" wp14:editId="63120898">
                <wp:extent cx="7776210" cy="128270"/>
                <wp:effectExtent l="3175" t="1270" r="2540" b="3810"/>
                <wp:docPr id="3" name="Прямокутник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6210" cy="128270"/>
                        </a:xfrm>
                        <a:prstGeom prst="rect">
                          <a:avLst/>
                        </a:prstGeom>
                        <a:solidFill>
                          <a:srgbClr val="85D3D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93C48F6" w14:textId="77777777" w:rsidR="00FC48E5" w:rsidRDefault="00FC48E5" w:rsidP="00241E73">
                            <w:pPr>
                              <w:ind w:left="-1560"/>
                            </w:pPr>
                          </w:p>
                        </w:txbxContent>
                      </wps:txbx>
                      <wps:bodyPr rot="0" vert="horz" wrap="square" lIns="91440" tIns="45720" rIns="91440" bIns="45720" anchor="t" anchorCtr="0" upright="1">
                        <a:noAutofit/>
                      </wps:bodyPr>
                    </wps:wsp>
                  </a:graphicData>
                </a:graphic>
              </wp:inline>
            </w:drawing>
          </mc:Choice>
          <mc:Fallback>
            <w:pict>
              <v:rect w14:anchorId="5C61EBAF" id="Прямокутник 15" o:spid="_x0000_s1027" style="width:612.3pt;height:10.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" fillcolor="#85d3d7" stroked="f">
                <v:textbox>
                  <w:txbxContent>
                    <w:p w14:paraId="193C48F6" w14:textId="77777777" w:rsidR="00FC48E5" w:rsidRDefault="00FC48E5" w:rsidP="00241E73">
                      <w:pPr>
                        <w:ind w:left="-1560"/>
                      </w:pPr>
                    </w:p>
                  </w:txbxContent>
                </v:textbox>
                <w10:anchorlock/>
              </v:rect>
            </w:pict>
          </mc:Fallback>
        </mc:AlternateContent>
      </w:r>
    </w:p>
    <w:p w14:paraId="1B7DAE18" w14:textId="073575DA" w:rsidR="00241E73" w:rsidRPr="00C2587D" w:rsidRDefault="00891AB5" w:rsidP="00241E73">
      <w:pPr>
        <w:spacing w:after="120"/>
        <w:rPr>
          <w:rFonts w:cs="Arial"/>
          <w:color w:val="0D0D0D"/>
        </w:rPr>
      </w:pPr>
      <w:r w:rsidRPr="00C2587D">
        <w:rPr>
          <w:rFonts w:cs="Arial"/>
          <w:noProof/>
          <w:color w:val="0D0D0D"/>
          <w:lang w:val="ru-RU"/>
        </w:rPr>
        <mc:AlternateContent>
          <mc:Choice Requires="wps">
            <w:drawing>
              <wp:anchor distT="0" distB="0" distL="114300" distR="114300" simplePos="0" relativeHeight="251655680" behindDoc="0" locked="0" layoutInCell="1" allowOverlap="1" wp14:anchorId="339B7557" wp14:editId="548BC3F1">
                <wp:simplePos x="0" y="0"/>
                <wp:positionH relativeFrom="column">
                  <wp:posOffset>-64770</wp:posOffset>
                </wp:positionH>
                <wp:positionV relativeFrom="paragraph">
                  <wp:posOffset>2646045</wp:posOffset>
                </wp:positionV>
                <wp:extent cx="6512560" cy="2565400"/>
                <wp:effectExtent l="0" t="0" r="0" b="0"/>
                <wp:wrapNone/>
                <wp:docPr id="9" name="Текстове 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12560" cy="2565400"/>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14:paraId="64DC5C2B" w14:textId="77777777" w:rsidR="00FC48E5" w:rsidRPr="00757EAD" w:rsidRDefault="00FC48E5" w:rsidP="006D5CE1">
                            <w:pPr>
                              <w:jc w:val="center"/>
                              <w:rPr>
                                <w:b/>
                                <w:color w:val="4F6228" w:themeColor="accent3" w:themeShade="80"/>
                                <w:sz w:val="52"/>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57EAD">
                              <w:rPr>
                                <w:rFonts w:ascii="Times New Roman" w:hAnsi="Times New Roman"/>
                                <w:sz w:val="28"/>
                                <w:szCs w:val="28"/>
                              </w:rPr>
                              <w:t xml:space="preserve"> </w:t>
                            </w:r>
                            <w:r w:rsidRPr="00757EAD">
                              <w:rPr>
                                <w:b/>
                                <w:color w:val="4F6228" w:themeColor="accent3" w:themeShade="80"/>
                                <w:sz w:val="52"/>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ПЛАН </w:t>
                            </w:r>
                          </w:p>
                          <w:p w14:paraId="74C8C94A" w14:textId="43FA621F" w:rsidR="00FC48E5" w:rsidRPr="00757EAD" w:rsidRDefault="00FC48E5" w:rsidP="006D5CE1">
                            <w:pPr>
                              <w:jc w:val="center"/>
                              <w:rPr>
                                <w:b/>
                                <w:color w:val="4F6228" w:themeColor="accent3" w:themeShade="80"/>
                                <w:sz w:val="52"/>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57EAD">
                              <w:rPr>
                                <w:b/>
                                <w:color w:val="4F6228" w:themeColor="accent3" w:themeShade="80"/>
                                <w:sz w:val="52"/>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заходів з реалізації у 2025-2028 роках Стратегії розвитку Жмеринської міської територіальної громади до 2030 року</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39B7557" id="Текстове поле 2" o:spid="_x0000_s1028" type="#_x0000_t202" style="position:absolute;margin-left:-5.1pt;margin-top:208.35pt;width:512.8pt;height:202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" filled="f" stroked="f" strokeweight="2pt">
                <v:textbox>
                  <w:txbxContent>
                    <w:p w14:paraId="64DC5C2B" w14:textId="77777777" w:rsidR="00FC48E5" w:rsidRPr="00757EAD" w:rsidRDefault="00FC48E5" w:rsidP="006D5CE1">
                      <w:pPr>
                        <w:jc w:val="center"/>
                        <w:rPr>
                          <w:b/>
                          <w:color w:val="4F6228" w:themeColor="accent3" w:themeShade="80"/>
                          <w:sz w:val="52"/>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57EAD">
                        <w:rPr>
                          <w:rFonts w:ascii="Times New Roman" w:hAnsi="Times New Roman"/>
                          <w:sz w:val="28"/>
                          <w:szCs w:val="28"/>
                        </w:rPr>
                        <w:t xml:space="preserve"> </w:t>
                      </w:r>
                      <w:r w:rsidRPr="00757EAD">
                        <w:rPr>
                          <w:b/>
                          <w:color w:val="4F6228" w:themeColor="accent3" w:themeShade="80"/>
                          <w:sz w:val="52"/>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ПЛАН </w:t>
                      </w:r>
                    </w:p>
                    <w:p w14:paraId="74C8C94A" w14:textId="43FA621F" w:rsidR="00FC48E5" w:rsidRPr="00757EAD" w:rsidRDefault="00FC48E5" w:rsidP="006D5CE1">
                      <w:pPr>
                        <w:jc w:val="center"/>
                        <w:rPr>
                          <w:b/>
                          <w:color w:val="4F6228" w:themeColor="accent3" w:themeShade="80"/>
                          <w:sz w:val="52"/>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57EAD">
                        <w:rPr>
                          <w:b/>
                          <w:color w:val="4F6228" w:themeColor="accent3" w:themeShade="80"/>
                          <w:sz w:val="52"/>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заходів з реалізації у 2025-2028 роках Стратегії розвитку Жмеринської міської територіальної громади до 2030 року</w:t>
                      </w:r>
                    </w:p>
                  </w:txbxContent>
                </v:textbox>
              </v:shape>
            </w:pict>
          </mc:Fallback>
        </mc:AlternateContent>
      </w:r>
      <w:r w:rsidR="00975716" w:rsidRPr="00C2587D">
        <w:rPr>
          <w:rFonts w:cs="Arial"/>
          <w:noProof/>
          <w:color w:val="0D0D0D"/>
          <w:lang w:val="ru-RU"/>
        </w:rPr>
        <w:drawing>
          <wp:anchor distT="0" distB="0" distL="114300" distR="114300" simplePos="0" relativeHeight="251658240" behindDoc="1" locked="0" layoutInCell="1" allowOverlap="1" wp14:anchorId="6DF15023" wp14:editId="6545CF07">
            <wp:simplePos x="0" y="0"/>
            <wp:positionH relativeFrom="margin">
              <wp:align>center</wp:align>
            </wp:positionH>
            <wp:positionV relativeFrom="paragraph">
              <wp:posOffset>47625</wp:posOffset>
            </wp:positionV>
            <wp:extent cx="6610985" cy="2542540"/>
            <wp:effectExtent l="0" t="0" r="0" b="0"/>
            <wp:wrapTight wrapText="bothSides">
              <wp:wrapPolygon edited="0">
                <wp:start x="0" y="0"/>
                <wp:lineTo x="0" y="21363"/>
                <wp:lineTo x="21536" y="21363"/>
                <wp:lineTo x="21536" y="0"/>
                <wp:lineTo x="0" y="0"/>
              </wp:wrapPolygon>
            </wp:wrapTight>
            <wp:docPr id="7" name="Picture 7" descr="https://m.day.kyiv.ua/sites/default/files/main/articles/16082018/8zhmerin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m.day.kyiv.ua/sites/default/files/main/articles/16082018/8zhmerinka.jpg"/>
                    <pic:cNvPicPr>
                      <a:picLocks noChangeAspect="1" noChangeArrowheads="1"/>
                    </pic:cNvPicPr>
                  </pic:nvPicPr>
                  <pic:blipFill>
                    <a:blip r:embed="rId8" r:link="rId9" cstate="print">
                      <a:extLst>
                        <a:ext uri="{28A0092B-C50C-407E-A947-70E740481C1C}">
                          <a14:useLocalDpi xmlns:a14="http://schemas.microsoft.com/office/drawing/2010/main" val="0"/>
                        </a:ext>
                      </a:extLst>
                    </a:blip>
                    <a:srcRect/>
                    <a:stretch>
                      <a:fillRect/>
                    </a:stretch>
                  </pic:blipFill>
                  <pic:spPr bwMode="auto">
                    <a:xfrm>
                      <a:off x="0" y="0"/>
                      <a:ext cx="6610985" cy="2542540"/>
                    </a:xfrm>
                    <a:prstGeom prst="rect">
                      <a:avLst/>
                    </a:prstGeom>
                    <a:noFill/>
                    <a:ln>
                      <a:noFill/>
                    </a:ln>
                  </pic:spPr>
                </pic:pic>
              </a:graphicData>
            </a:graphic>
          </wp:anchor>
        </w:drawing>
      </w:r>
    </w:p>
    <w:p w14:paraId="3F8C948D" w14:textId="77777777" w:rsidR="00241E73" w:rsidRPr="00C2587D" w:rsidRDefault="00241E73" w:rsidP="00241E73">
      <w:pPr>
        <w:spacing w:after="120"/>
        <w:rPr>
          <w:rFonts w:cs="Arial"/>
          <w:color w:val="0D0D0D"/>
        </w:rPr>
      </w:pPr>
    </w:p>
    <w:p w14:paraId="0F2BCA28" w14:textId="77777777" w:rsidR="00854BCE" w:rsidRPr="00C2587D" w:rsidRDefault="00854BCE" w:rsidP="00241E73">
      <w:pPr>
        <w:pStyle w:val="a6"/>
        <w:tabs>
          <w:tab w:val="left" w:pos="4820"/>
        </w:tabs>
        <w:spacing w:after="120"/>
        <w:jc w:val="both"/>
        <w:rPr>
          <w:rFonts w:ascii="Arial" w:hAnsi="Arial" w:cs="Arial"/>
          <w:color w:val="0D0D0D"/>
          <w:sz w:val="22"/>
          <w:szCs w:val="22"/>
          <w:lang w:val="uk-UA"/>
        </w:rPr>
      </w:pPr>
    </w:p>
    <w:p w14:paraId="1DF70759" w14:textId="77777777" w:rsidR="00EE08F3" w:rsidRPr="00C2587D" w:rsidRDefault="00EE08F3">
      <w:pPr>
        <w:rPr>
          <w:rFonts w:cs="Arial"/>
          <w:color w:val="0D0D0D"/>
          <w:szCs w:val="22"/>
        </w:rPr>
      </w:pPr>
      <w:r w:rsidRPr="00C2587D">
        <w:rPr>
          <w:rFonts w:cs="Arial"/>
          <w:color w:val="0D0D0D"/>
          <w:szCs w:val="22"/>
        </w:rPr>
        <w:br w:type="page"/>
      </w:r>
    </w:p>
    <w:p w14:paraId="5939B9D1" w14:textId="3305613B" w:rsidR="00083BE9" w:rsidRDefault="00083BE9" w:rsidP="00083BE9">
      <w:pPr>
        <w:spacing w:after="240"/>
        <w:jc w:val="center"/>
        <w:rPr>
          <w:rFonts w:cs="Arial"/>
          <w:b/>
          <w:bCs/>
          <w:kern w:val="32"/>
          <w:sz w:val="32"/>
          <w:szCs w:val="32"/>
        </w:rPr>
      </w:pPr>
      <w:r w:rsidRPr="00C2587D">
        <w:rPr>
          <w:rFonts w:cs="Arial"/>
          <w:b/>
          <w:bCs/>
          <w:kern w:val="32"/>
          <w:sz w:val="32"/>
          <w:szCs w:val="32"/>
        </w:rPr>
        <w:lastRenderedPageBreak/>
        <w:t>Зміст</w:t>
      </w:r>
    </w:p>
    <w:tbl>
      <w:tblPr>
        <w:tblStyle w:val="39"/>
        <w:tblW w:w="9923" w:type="dxa"/>
        <w:tblInd w:w="-5" w:type="dxa"/>
        <w:tblLook w:val="04A0" w:firstRow="1" w:lastRow="0" w:firstColumn="1" w:lastColumn="0" w:noHBand="0" w:noVBand="1"/>
      </w:tblPr>
      <w:tblGrid>
        <w:gridCol w:w="993"/>
        <w:gridCol w:w="7796"/>
        <w:gridCol w:w="1134"/>
      </w:tblGrid>
      <w:tr w:rsidR="00A041B2" w:rsidRPr="00C542BB" w14:paraId="146F3086" w14:textId="77777777" w:rsidTr="00A041B2">
        <w:tc>
          <w:tcPr>
            <w:tcW w:w="993" w:type="dxa"/>
            <w:vAlign w:val="center"/>
          </w:tcPr>
          <w:p w14:paraId="180B23F1" w14:textId="77777777" w:rsidR="00A041B2" w:rsidRPr="00C542BB" w:rsidRDefault="00A041B2" w:rsidP="00A041B2">
            <w:pPr>
              <w:spacing w:before="120" w:after="120"/>
              <w:jc w:val="center"/>
              <w:rPr>
                <w:rFonts w:cs="Arial"/>
                <w:bCs/>
                <w:kern w:val="32"/>
                <w:sz w:val="20"/>
                <w:szCs w:val="20"/>
              </w:rPr>
            </w:pPr>
            <w:r w:rsidRPr="00C542BB">
              <w:rPr>
                <w:rFonts w:cs="Arial"/>
                <w:bCs/>
                <w:kern w:val="32"/>
                <w:sz w:val="20"/>
                <w:szCs w:val="20"/>
              </w:rPr>
              <w:t>1.</w:t>
            </w:r>
          </w:p>
        </w:tc>
        <w:tc>
          <w:tcPr>
            <w:tcW w:w="7796" w:type="dxa"/>
            <w:vAlign w:val="center"/>
          </w:tcPr>
          <w:p w14:paraId="7E6E81CE" w14:textId="77777777" w:rsidR="00A041B2" w:rsidRPr="00C542BB" w:rsidRDefault="00A041B2" w:rsidP="00A041B2">
            <w:pPr>
              <w:spacing w:before="120" w:after="120"/>
              <w:ind w:right="34"/>
              <w:jc w:val="both"/>
              <w:rPr>
                <w:rFonts w:cs="Arial"/>
                <w:bCs/>
                <w:kern w:val="32"/>
                <w:sz w:val="20"/>
                <w:szCs w:val="20"/>
              </w:rPr>
            </w:pPr>
            <w:r w:rsidRPr="00C542BB">
              <w:rPr>
                <w:rFonts w:cs="Arial"/>
                <w:sz w:val="20"/>
                <w:szCs w:val="20"/>
              </w:rPr>
              <w:t>Розділ 1. Методологія та процес підготовки Плану заходів з реалізації  у 2025-2028 роках Стратегії розвитку  Жмеринської міської територіальної громади до 2030 року</w:t>
            </w:r>
          </w:p>
        </w:tc>
        <w:tc>
          <w:tcPr>
            <w:tcW w:w="1134" w:type="dxa"/>
            <w:vAlign w:val="center"/>
          </w:tcPr>
          <w:p w14:paraId="7076B0F2" w14:textId="77777777" w:rsidR="00A041B2" w:rsidRPr="00C542BB" w:rsidRDefault="00A041B2" w:rsidP="00A041B2">
            <w:pPr>
              <w:spacing w:before="120" w:after="120"/>
              <w:jc w:val="center"/>
              <w:rPr>
                <w:rFonts w:cs="Arial"/>
                <w:bCs/>
                <w:kern w:val="32"/>
                <w:sz w:val="20"/>
                <w:szCs w:val="20"/>
              </w:rPr>
            </w:pPr>
            <w:r w:rsidRPr="00C542BB">
              <w:rPr>
                <w:rFonts w:cs="Arial"/>
                <w:bCs/>
                <w:kern w:val="32"/>
                <w:sz w:val="20"/>
                <w:szCs w:val="20"/>
              </w:rPr>
              <w:t>3</w:t>
            </w:r>
          </w:p>
        </w:tc>
      </w:tr>
      <w:tr w:rsidR="00A041B2" w:rsidRPr="00C542BB" w14:paraId="34F9DBAF" w14:textId="77777777" w:rsidTr="00A041B2">
        <w:trPr>
          <w:trHeight w:val="533"/>
        </w:trPr>
        <w:tc>
          <w:tcPr>
            <w:tcW w:w="993" w:type="dxa"/>
            <w:vAlign w:val="center"/>
          </w:tcPr>
          <w:p w14:paraId="08A53ADB" w14:textId="77777777" w:rsidR="00A041B2" w:rsidRPr="00C542BB" w:rsidRDefault="00A041B2" w:rsidP="00A041B2">
            <w:pPr>
              <w:spacing w:before="120" w:after="120"/>
              <w:jc w:val="center"/>
              <w:rPr>
                <w:rFonts w:cs="Arial"/>
                <w:bCs/>
                <w:kern w:val="32"/>
                <w:sz w:val="20"/>
                <w:szCs w:val="20"/>
              </w:rPr>
            </w:pPr>
            <w:r w:rsidRPr="00C542BB">
              <w:rPr>
                <w:rFonts w:cs="Arial"/>
                <w:sz w:val="20"/>
                <w:szCs w:val="20"/>
                <w:lang w:eastAsia="en-US"/>
              </w:rPr>
              <w:t>2.</w:t>
            </w:r>
          </w:p>
        </w:tc>
        <w:tc>
          <w:tcPr>
            <w:tcW w:w="7796" w:type="dxa"/>
            <w:vAlign w:val="center"/>
          </w:tcPr>
          <w:p w14:paraId="45CFA38C" w14:textId="77777777" w:rsidR="00A041B2" w:rsidRPr="00C542BB" w:rsidRDefault="00A041B2" w:rsidP="00A041B2">
            <w:pPr>
              <w:spacing w:before="120" w:after="120"/>
              <w:ind w:right="34"/>
              <w:jc w:val="both"/>
              <w:rPr>
                <w:rFonts w:cs="Arial"/>
                <w:bCs/>
                <w:kern w:val="32"/>
                <w:sz w:val="20"/>
                <w:szCs w:val="20"/>
              </w:rPr>
            </w:pPr>
            <w:r w:rsidRPr="00C542BB">
              <w:rPr>
                <w:rFonts w:cs="Arial"/>
                <w:sz w:val="20"/>
                <w:szCs w:val="20"/>
              </w:rPr>
              <w:t>Розділ 2. Стратегічні, оперативні цілі та завдання Стратегії розвитку  Жмеринської міської територіальної громади до 2030 року</w:t>
            </w:r>
          </w:p>
        </w:tc>
        <w:tc>
          <w:tcPr>
            <w:tcW w:w="1134" w:type="dxa"/>
            <w:vAlign w:val="center"/>
          </w:tcPr>
          <w:p w14:paraId="49C21058" w14:textId="505FC381" w:rsidR="00A041B2" w:rsidRPr="00C542BB" w:rsidRDefault="00820A36" w:rsidP="00A041B2">
            <w:pPr>
              <w:spacing w:before="120" w:after="120"/>
              <w:jc w:val="center"/>
              <w:rPr>
                <w:rFonts w:cs="Arial"/>
                <w:bCs/>
                <w:kern w:val="32"/>
                <w:sz w:val="20"/>
                <w:szCs w:val="20"/>
              </w:rPr>
            </w:pPr>
            <w:r>
              <w:rPr>
                <w:rFonts w:cs="Arial"/>
                <w:bCs/>
                <w:kern w:val="32"/>
                <w:sz w:val="20"/>
                <w:szCs w:val="20"/>
              </w:rPr>
              <w:t>5</w:t>
            </w:r>
          </w:p>
        </w:tc>
      </w:tr>
      <w:tr w:rsidR="00A041B2" w:rsidRPr="00C542BB" w14:paraId="160C31AA" w14:textId="77777777" w:rsidTr="00A041B2">
        <w:trPr>
          <w:trHeight w:val="533"/>
        </w:trPr>
        <w:tc>
          <w:tcPr>
            <w:tcW w:w="993" w:type="dxa"/>
            <w:vAlign w:val="center"/>
          </w:tcPr>
          <w:p w14:paraId="706D88A3" w14:textId="77777777" w:rsidR="00A041B2" w:rsidRPr="00C542BB" w:rsidRDefault="00A041B2" w:rsidP="00A041B2">
            <w:pPr>
              <w:spacing w:before="120" w:after="120"/>
              <w:jc w:val="center"/>
              <w:rPr>
                <w:rFonts w:cs="Arial"/>
                <w:sz w:val="20"/>
                <w:szCs w:val="20"/>
                <w:lang w:eastAsia="en-US"/>
              </w:rPr>
            </w:pPr>
            <w:r w:rsidRPr="00C542BB">
              <w:rPr>
                <w:rFonts w:cs="Arial"/>
                <w:sz w:val="20"/>
                <w:szCs w:val="20"/>
                <w:lang w:eastAsia="en-US"/>
              </w:rPr>
              <w:t>3.</w:t>
            </w:r>
          </w:p>
        </w:tc>
        <w:tc>
          <w:tcPr>
            <w:tcW w:w="7796" w:type="dxa"/>
            <w:vAlign w:val="center"/>
          </w:tcPr>
          <w:p w14:paraId="351FBAAB" w14:textId="77777777" w:rsidR="00A041B2" w:rsidRPr="00C542BB" w:rsidRDefault="00A041B2" w:rsidP="00A041B2">
            <w:pPr>
              <w:spacing w:before="120" w:after="120"/>
              <w:ind w:right="34"/>
              <w:jc w:val="both"/>
              <w:rPr>
                <w:rFonts w:cs="Arial"/>
                <w:sz w:val="20"/>
                <w:szCs w:val="20"/>
              </w:rPr>
            </w:pPr>
            <w:r w:rsidRPr="00C542BB">
              <w:rPr>
                <w:rFonts w:cs="Arial"/>
                <w:sz w:val="20"/>
                <w:szCs w:val="20"/>
              </w:rPr>
              <w:t>Розділ 3. Стратегічні напрямки Плану заходів з реалізації у 2025-2028 роках Стратегії розвитку Жмеринської міської територіальної громади до 2030 р.</w:t>
            </w:r>
          </w:p>
        </w:tc>
        <w:tc>
          <w:tcPr>
            <w:tcW w:w="1134" w:type="dxa"/>
            <w:vAlign w:val="center"/>
          </w:tcPr>
          <w:p w14:paraId="1D4909DD" w14:textId="77777777" w:rsidR="00A041B2" w:rsidRPr="00C542BB" w:rsidRDefault="00A041B2" w:rsidP="00A041B2">
            <w:pPr>
              <w:spacing w:before="120" w:after="120"/>
              <w:jc w:val="center"/>
              <w:rPr>
                <w:rFonts w:cs="Arial"/>
                <w:bCs/>
                <w:kern w:val="32"/>
                <w:sz w:val="20"/>
                <w:szCs w:val="20"/>
              </w:rPr>
            </w:pPr>
            <w:r w:rsidRPr="00C542BB">
              <w:rPr>
                <w:rFonts w:cs="Arial"/>
                <w:bCs/>
                <w:kern w:val="32"/>
                <w:sz w:val="20"/>
                <w:szCs w:val="20"/>
              </w:rPr>
              <w:t>24</w:t>
            </w:r>
          </w:p>
        </w:tc>
      </w:tr>
      <w:tr w:rsidR="00A041B2" w:rsidRPr="00C542BB" w14:paraId="4AC95E5E" w14:textId="77777777" w:rsidTr="00A041B2">
        <w:trPr>
          <w:trHeight w:val="533"/>
        </w:trPr>
        <w:tc>
          <w:tcPr>
            <w:tcW w:w="993" w:type="dxa"/>
            <w:vAlign w:val="center"/>
          </w:tcPr>
          <w:p w14:paraId="6CD9FA15" w14:textId="77777777" w:rsidR="00A041B2" w:rsidRPr="00C542BB" w:rsidRDefault="00A041B2" w:rsidP="00A041B2">
            <w:pPr>
              <w:spacing w:before="120" w:after="120"/>
              <w:jc w:val="center"/>
              <w:rPr>
                <w:rFonts w:cs="Arial"/>
                <w:sz w:val="20"/>
                <w:szCs w:val="20"/>
                <w:lang w:eastAsia="en-US"/>
              </w:rPr>
            </w:pPr>
            <w:r w:rsidRPr="00C542BB">
              <w:rPr>
                <w:rFonts w:cs="Arial"/>
                <w:sz w:val="20"/>
                <w:szCs w:val="20"/>
                <w:lang w:eastAsia="en-US"/>
              </w:rPr>
              <w:t>3.1</w:t>
            </w:r>
          </w:p>
        </w:tc>
        <w:tc>
          <w:tcPr>
            <w:tcW w:w="7796" w:type="dxa"/>
            <w:vAlign w:val="center"/>
          </w:tcPr>
          <w:p w14:paraId="015BE1BB" w14:textId="77777777" w:rsidR="00A041B2" w:rsidRPr="00C542BB" w:rsidRDefault="00A041B2" w:rsidP="00A041B2">
            <w:pPr>
              <w:spacing w:before="120" w:after="120"/>
              <w:ind w:right="34"/>
              <w:jc w:val="both"/>
              <w:rPr>
                <w:rFonts w:cs="Arial"/>
                <w:sz w:val="20"/>
                <w:szCs w:val="20"/>
              </w:rPr>
            </w:pPr>
            <w:r w:rsidRPr="00C542BB">
              <w:rPr>
                <w:rFonts w:cs="Arial"/>
                <w:sz w:val="20"/>
                <w:szCs w:val="20"/>
              </w:rPr>
              <w:t>Програма Стратегічного напряму  А:  «Інвестиційно приваблива громада із розвиненим експортно - орієнтованим бізнесом»</w:t>
            </w:r>
          </w:p>
        </w:tc>
        <w:tc>
          <w:tcPr>
            <w:tcW w:w="1134" w:type="dxa"/>
            <w:vAlign w:val="center"/>
          </w:tcPr>
          <w:p w14:paraId="3CEF7E34" w14:textId="77777777" w:rsidR="00A041B2" w:rsidRPr="00C542BB" w:rsidRDefault="00A041B2" w:rsidP="00A041B2">
            <w:pPr>
              <w:spacing w:before="120" w:after="120"/>
              <w:jc w:val="center"/>
              <w:rPr>
                <w:rFonts w:cs="Arial"/>
                <w:bCs/>
                <w:kern w:val="32"/>
                <w:sz w:val="20"/>
                <w:szCs w:val="20"/>
              </w:rPr>
            </w:pPr>
            <w:r w:rsidRPr="00C542BB">
              <w:rPr>
                <w:rFonts w:cs="Arial"/>
                <w:bCs/>
                <w:kern w:val="32"/>
                <w:sz w:val="20"/>
                <w:szCs w:val="20"/>
              </w:rPr>
              <w:t>24</w:t>
            </w:r>
          </w:p>
        </w:tc>
      </w:tr>
      <w:tr w:rsidR="00A041B2" w:rsidRPr="00C542BB" w14:paraId="2886CD82" w14:textId="77777777" w:rsidTr="00A041B2">
        <w:trPr>
          <w:trHeight w:val="533"/>
        </w:trPr>
        <w:tc>
          <w:tcPr>
            <w:tcW w:w="993" w:type="dxa"/>
            <w:vAlign w:val="center"/>
          </w:tcPr>
          <w:p w14:paraId="2A361A69" w14:textId="77777777" w:rsidR="00A041B2" w:rsidRPr="00C542BB" w:rsidRDefault="00A041B2" w:rsidP="00A041B2">
            <w:pPr>
              <w:spacing w:before="120" w:after="120"/>
              <w:jc w:val="center"/>
              <w:rPr>
                <w:rFonts w:cs="Arial"/>
                <w:sz w:val="20"/>
                <w:szCs w:val="20"/>
                <w:lang w:eastAsia="en-US"/>
              </w:rPr>
            </w:pPr>
            <w:r w:rsidRPr="00C542BB">
              <w:rPr>
                <w:rFonts w:cs="Arial"/>
                <w:sz w:val="20"/>
                <w:szCs w:val="20"/>
                <w:lang w:eastAsia="en-US"/>
              </w:rPr>
              <w:t>3.2</w:t>
            </w:r>
          </w:p>
        </w:tc>
        <w:tc>
          <w:tcPr>
            <w:tcW w:w="7796" w:type="dxa"/>
            <w:vAlign w:val="center"/>
          </w:tcPr>
          <w:p w14:paraId="789FF4F3" w14:textId="77777777" w:rsidR="00A041B2" w:rsidRPr="00C542BB" w:rsidRDefault="00A041B2" w:rsidP="00A041B2">
            <w:pPr>
              <w:spacing w:before="120" w:after="120"/>
              <w:ind w:right="34"/>
              <w:jc w:val="both"/>
              <w:rPr>
                <w:rFonts w:cs="Arial"/>
                <w:sz w:val="20"/>
                <w:szCs w:val="20"/>
              </w:rPr>
            </w:pPr>
            <w:r w:rsidRPr="00C542BB">
              <w:rPr>
                <w:rFonts w:cs="Arial"/>
                <w:sz w:val="20"/>
                <w:szCs w:val="20"/>
              </w:rPr>
              <w:t>Орієнтовний фінансовий план Програми Стратегічного напрямку А. «Інвестиційно приваблива громада із розвиненим експортно - орієнтованим бізнесом»</w:t>
            </w:r>
          </w:p>
        </w:tc>
        <w:tc>
          <w:tcPr>
            <w:tcW w:w="1134" w:type="dxa"/>
            <w:vAlign w:val="center"/>
          </w:tcPr>
          <w:p w14:paraId="2B850112" w14:textId="77777777" w:rsidR="00A041B2" w:rsidRPr="00C542BB" w:rsidRDefault="00A041B2" w:rsidP="00A041B2">
            <w:pPr>
              <w:spacing w:before="120" w:after="120"/>
              <w:jc w:val="center"/>
              <w:rPr>
                <w:rFonts w:cs="Arial"/>
                <w:bCs/>
                <w:kern w:val="32"/>
                <w:sz w:val="20"/>
                <w:szCs w:val="20"/>
              </w:rPr>
            </w:pPr>
            <w:r w:rsidRPr="00C542BB">
              <w:rPr>
                <w:rFonts w:cs="Arial"/>
                <w:bCs/>
                <w:kern w:val="32"/>
                <w:sz w:val="20"/>
                <w:szCs w:val="20"/>
              </w:rPr>
              <w:t>30</w:t>
            </w:r>
          </w:p>
        </w:tc>
      </w:tr>
      <w:tr w:rsidR="00A041B2" w:rsidRPr="00C542BB" w14:paraId="5145E89F" w14:textId="77777777" w:rsidTr="00A041B2">
        <w:trPr>
          <w:trHeight w:val="533"/>
        </w:trPr>
        <w:tc>
          <w:tcPr>
            <w:tcW w:w="993" w:type="dxa"/>
            <w:vAlign w:val="center"/>
          </w:tcPr>
          <w:p w14:paraId="5686B005" w14:textId="77777777" w:rsidR="00A041B2" w:rsidRPr="00C542BB" w:rsidRDefault="00A041B2" w:rsidP="00A041B2">
            <w:pPr>
              <w:spacing w:before="120" w:after="120"/>
              <w:jc w:val="center"/>
              <w:rPr>
                <w:rFonts w:cs="Arial"/>
                <w:sz w:val="20"/>
                <w:szCs w:val="20"/>
                <w:lang w:eastAsia="en-US"/>
              </w:rPr>
            </w:pPr>
            <w:r w:rsidRPr="00C542BB">
              <w:rPr>
                <w:rFonts w:cs="Arial"/>
                <w:sz w:val="20"/>
                <w:szCs w:val="20"/>
                <w:lang w:eastAsia="en-US"/>
              </w:rPr>
              <w:t>3.3</w:t>
            </w:r>
          </w:p>
        </w:tc>
        <w:tc>
          <w:tcPr>
            <w:tcW w:w="7796" w:type="dxa"/>
            <w:vAlign w:val="center"/>
          </w:tcPr>
          <w:p w14:paraId="081B87B6" w14:textId="77777777" w:rsidR="00A041B2" w:rsidRPr="00C542BB" w:rsidRDefault="00A041B2" w:rsidP="00A041B2">
            <w:pPr>
              <w:spacing w:before="120" w:after="120"/>
              <w:ind w:right="34"/>
              <w:jc w:val="both"/>
              <w:rPr>
                <w:rFonts w:cs="Arial"/>
                <w:sz w:val="20"/>
                <w:szCs w:val="20"/>
              </w:rPr>
            </w:pPr>
            <w:r w:rsidRPr="00C542BB">
              <w:rPr>
                <w:rFonts w:cs="Arial"/>
                <w:sz w:val="20"/>
                <w:szCs w:val="20"/>
              </w:rPr>
              <w:t>Програма Стратегічного напряму В. «Комфортна громада»</w:t>
            </w:r>
          </w:p>
        </w:tc>
        <w:tc>
          <w:tcPr>
            <w:tcW w:w="1134" w:type="dxa"/>
            <w:vAlign w:val="center"/>
          </w:tcPr>
          <w:p w14:paraId="23320711" w14:textId="77777777" w:rsidR="00A041B2" w:rsidRPr="00C542BB" w:rsidRDefault="00A041B2" w:rsidP="00A041B2">
            <w:pPr>
              <w:spacing w:before="120" w:after="120"/>
              <w:jc w:val="center"/>
              <w:rPr>
                <w:rFonts w:cs="Arial"/>
                <w:bCs/>
                <w:kern w:val="32"/>
                <w:sz w:val="20"/>
                <w:szCs w:val="20"/>
              </w:rPr>
            </w:pPr>
            <w:r w:rsidRPr="00C542BB">
              <w:rPr>
                <w:rFonts w:cs="Arial"/>
                <w:bCs/>
                <w:kern w:val="32"/>
                <w:sz w:val="20"/>
                <w:szCs w:val="20"/>
              </w:rPr>
              <w:t>32</w:t>
            </w:r>
          </w:p>
        </w:tc>
      </w:tr>
      <w:tr w:rsidR="00A041B2" w:rsidRPr="00C542BB" w14:paraId="3A888CB7" w14:textId="77777777" w:rsidTr="00A041B2">
        <w:trPr>
          <w:trHeight w:val="533"/>
        </w:trPr>
        <w:tc>
          <w:tcPr>
            <w:tcW w:w="993" w:type="dxa"/>
            <w:vAlign w:val="center"/>
          </w:tcPr>
          <w:p w14:paraId="01FA069D" w14:textId="77777777" w:rsidR="00A041B2" w:rsidRPr="00C542BB" w:rsidRDefault="00A041B2" w:rsidP="00A041B2">
            <w:pPr>
              <w:spacing w:before="120" w:after="120"/>
              <w:jc w:val="center"/>
              <w:rPr>
                <w:rFonts w:cs="Arial"/>
                <w:sz w:val="20"/>
                <w:szCs w:val="20"/>
                <w:lang w:eastAsia="en-US"/>
              </w:rPr>
            </w:pPr>
            <w:r w:rsidRPr="00C542BB">
              <w:rPr>
                <w:rFonts w:cs="Arial"/>
                <w:sz w:val="20"/>
                <w:szCs w:val="20"/>
                <w:lang w:eastAsia="en-US"/>
              </w:rPr>
              <w:t>3.4</w:t>
            </w:r>
          </w:p>
        </w:tc>
        <w:tc>
          <w:tcPr>
            <w:tcW w:w="7796" w:type="dxa"/>
            <w:vAlign w:val="center"/>
          </w:tcPr>
          <w:p w14:paraId="6FDC6942" w14:textId="77777777" w:rsidR="00A041B2" w:rsidRPr="00C542BB" w:rsidRDefault="00A041B2" w:rsidP="00A041B2">
            <w:pPr>
              <w:spacing w:before="120" w:after="120"/>
              <w:ind w:right="34"/>
              <w:jc w:val="both"/>
              <w:rPr>
                <w:rFonts w:cs="Arial"/>
                <w:sz w:val="20"/>
                <w:szCs w:val="20"/>
              </w:rPr>
            </w:pPr>
            <w:r w:rsidRPr="00C542BB">
              <w:rPr>
                <w:rFonts w:cs="Arial"/>
                <w:sz w:val="20"/>
                <w:szCs w:val="20"/>
              </w:rPr>
              <w:t>Орієнтовний фінансовий план Програми Стратегічного напрямку В. «Комфортна громада»</w:t>
            </w:r>
          </w:p>
        </w:tc>
        <w:tc>
          <w:tcPr>
            <w:tcW w:w="1134" w:type="dxa"/>
            <w:vAlign w:val="center"/>
          </w:tcPr>
          <w:p w14:paraId="75BEF9F8" w14:textId="77777777" w:rsidR="00A041B2" w:rsidRPr="00C542BB" w:rsidRDefault="00A041B2" w:rsidP="00A041B2">
            <w:pPr>
              <w:spacing w:before="120" w:after="120"/>
              <w:jc w:val="center"/>
              <w:rPr>
                <w:rFonts w:cs="Arial"/>
                <w:bCs/>
                <w:kern w:val="32"/>
                <w:sz w:val="20"/>
                <w:szCs w:val="20"/>
              </w:rPr>
            </w:pPr>
            <w:r w:rsidRPr="00C542BB">
              <w:rPr>
                <w:rFonts w:cs="Arial"/>
                <w:bCs/>
                <w:kern w:val="32"/>
                <w:sz w:val="20"/>
                <w:szCs w:val="20"/>
              </w:rPr>
              <w:t>38</w:t>
            </w:r>
          </w:p>
        </w:tc>
      </w:tr>
      <w:tr w:rsidR="00A041B2" w:rsidRPr="00C542BB" w14:paraId="28F19C70" w14:textId="77777777" w:rsidTr="00A041B2">
        <w:trPr>
          <w:trHeight w:val="533"/>
        </w:trPr>
        <w:tc>
          <w:tcPr>
            <w:tcW w:w="993" w:type="dxa"/>
            <w:vAlign w:val="center"/>
          </w:tcPr>
          <w:p w14:paraId="238B186E" w14:textId="77777777" w:rsidR="00A041B2" w:rsidRPr="00C542BB" w:rsidRDefault="00A041B2" w:rsidP="00A041B2">
            <w:pPr>
              <w:spacing w:before="120" w:after="120"/>
              <w:jc w:val="center"/>
              <w:rPr>
                <w:rFonts w:cs="Arial"/>
                <w:sz w:val="20"/>
                <w:szCs w:val="20"/>
                <w:lang w:eastAsia="en-US"/>
              </w:rPr>
            </w:pPr>
            <w:r w:rsidRPr="00C542BB">
              <w:rPr>
                <w:rFonts w:cs="Arial"/>
                <w:sz w:val="20"/>
                <w:szCs w:val="20"/>
                <w:lang w:eastAsia="en-US"/>
              </w:rPr>
              <w:t>3.5</w:t>
            </w:r>
          </w:p>
        </w:tc>
        <w:tc>
          <w:tcPr>
            <w:tcW w:w="7796" w:type="dxa"/>
            <w:vAlign w:val="center"/>
          </w:tcPr>
          <w:p w14:paraId="2A350689" w14:textId="77777777" w:rsidR="00A041B2" w:rsidRPr="00C542BB" w:rsidRDefault="00A041B2" w:rsidP="00A041B2">
            <w:pPr>
              <w:spacing w:before="120" w:after="120"/>
              <w:ind w:right="34"/>
              <w:jc w:val="both"/>
              <w:rPr>
                <w:rFonts w:cs="Arial"/>
                <w:sz w:val="20"/>
                <w:szCs w:val="20"/>
              </w:rPr>
            </w:pPr>
            <w:r w:rsidRPr="00C542BB">
              <w:rPr>
                <w:rFonts w:cs="Arial"/>
                <w:sz w:val="20"/>
                <w:szCs w:val="20"/>
              </w:rPr>
              <w:t>Програма Стратегічного напряму С. «Доступна громада»</w:t>
            </w:r>
          </w:p>
        </w:tc>
        <w:tc>
          <w:tcPr>
            <w:tcW w:w="1134" w:type="dxa"/>
            <w:vAlign w:val="center"/>
          </w:tcPr>
          <w:p w14:paraId="4F486FB0" w14:textId="77777777" w:rsidR="00A041B2" w:rsidRPr="00C542BB" w:rsidRDefault="00A041B2" w:rsidP="00A041B2">
            <w:pPr>
              <w:spacing w:before="120" w:after="120"/>
              <w:jc w:val="center"/>
              <w:rPr>
                <w:rFonts w:cs="Arial"/>
                <w:bCs/>
                <w:kern w:val="32"/>
                <w:sz w:val="20"/>
                <w:szCs w:val="20"/>
              </w:rPr>
            </w:pPr>
            <w:r w:rsidRPr="00C542BB">
              <w:rPr>
                <w:rFonts w:cs="Arial"/>
                <w:bCs/>
                <w:kern w:val="32"/>
                <w:sz w:val="20"/>
                <w:szCs w:val="20"/>
              </w:rPr>
              <w:t>43</w:t>
            </w:r>
          </w:p>
        </w:tc>
      </w:tr>
      <w:tr w:rsidR="00A041B2" w:rsidRPr="00C542BB" w14:paraId="4ADC2248" w14:textId="77777777" w:rsidTr="00A041B2">
        <w:trPr>
          <w:trHeight w:val="533"/>
        </w:trPr>
        <w:tc>
          <w:tcPr>
            <w:tcW w:w="993" w:type="dxa"/>
            <w:vAlign w:val="center"/>
          </w:tcPr>
          <w:p w14:paraId="580B44EF" w14:textId="77777777" w:rsidR="00A041B2" w:rsidRPr="00C542BB" w:rsidRDefault="00A041B2" w:rsidP="00A041B2">
            <w:pPr>
              <w:spacing w:before="120" w:after="120"/>
              <w:jc w:val="center"/>
              <w:rPr>
                <w:rFonts w:cs="Arial"/>
                <w:sz w:val="20"/>
                <w:szCs w:val="20"/>
                <w:lang w:eastAsia="en-US"/>
              </w:rPr>
            </w:pPr>
            <w:r w:rsidRPr="00C542BB">
              <w:rPr>
                <w:rFonts w:cs="Arial"/>
                <w:sz w:val="20"/>
                <w:szCs w:val="20"/>
                <w:lang w:eastAsia="en-US"/>
              </w:rPr>
              <w:t>3.6</w:t>
            </w:r>
          </w:p>
        </w:tc>
        <w:tc>
          <w:tcPr>
            <w:tcW w:w="7796" w:type="dxa"/>
            <w:vAlign w:val="center"/>
          </w:tcPr>
          <w:p w14:paraId="43607345" w14:textId="77777777" w:rsidR="00A041B2" w:rsidRPr="00C542BB" w:rsidRDefault="00A041B2" w:rsidP="00A041B2">
            <w:pPr>
              <w:spacing w:before="120" w:after="120"/>
              <w:ind w:right="34"/>
              <w:jc w:val="both"/>
              <w:rPr>
                <w:rFonts w:cs="Arial"/>
                <w:sz w:val="20"/>
                <w:szCs w:val="20"/>
              </w:rPr>
            </w:pPr>
            <w:r w:rsidRPr="00C542BB">
              <w:rPr>
                <w:rFonts w:cs="Arial"/>
                <w:sz w:val="20"/>
                <w:szCs w:val="20"/>
              </w:rPr>
              <w:t>Орієнтовний фінансовий план Програми Стратегічного напрямку С. «Доступна громада»</w:t>
            </w:r>
          </w:p>
        </w:tc>
        <w:tc>
          <w:tcPr>
            <w:tcW w:w="1134" w:type="dxa"/>
            <w:vAlign w:val="center"/>
          </w:tcPr>
          <w:p w14:paraId="6632EDDD" w14:textId="77777777" w:rsidR="00A041B2" w:rsidRPr="00C542BB" w:rsidRDefault="00A041B2" w:rsidP="00A041B2">
            <w:pPr>
              <w:spacing w:before="120" w:after="120"/>
              <w:jc w:val="center"/>
              <w:rPr>
                <w:rFonts w:cs="Arial"/>
                <w:bCs/>
                <w:kern w:val="32"/>
                <w:sz w:val="20"/>
                <w:szCs w:val="20"/>
              </w:rPr>
            </w:pPr>
            <w:r w:rsidRPr="00C542BB">
              <w:rPr>
                <w:rFonts w:cs="Arial"/>
                <w:bCs/>
                <w:kern w:val="32"/>
                <w:sz w:val="20"/>
                <w:szCs w:val="20"/>
              </w:rPr>
              <w:t>49</w:t>
            </w:r>
          </w:p>
        </w:tc>
      </w:tr>
      <w:tr w:rsidR="00A041B2" w:rsidRPr="00C542BB" w14:paraId="6AC89110" w14:textId="77777777" w:rsidTr="00A041B2">
        <w:trPr>
          <w:trHeight w:val="629"/>
        </w:trPr>
        <w:tc>
          <w:tcPr>
            <w:tcW w:w="993" w:type="dxa"/>
            <w:vAlign w:val="center"/>
          </w:tcPr>
          <w:p w14:paraId="7A1C0CAE" w14:textId="77777777" w:rsidR="00A041B2" w:rsidRPr="00C542BB" w:rsidRDefault="00A041B2" w:rsidP="00A041B2">
            <w:pPr>
              <w:spacing w:before="120" w:after="120"/>
              <w:jc w:val="center"/>
              <w:rPr>
                <w:rFonts w:cs="Arial"/>
                <w:bCs/>
                <w:kern w:val="32"/>
                <w:sz w:val="20"/>
                <w:szCs w:val="20"/>
              </w:rPr>
            </w:pPr>
            <w:r w:rsidRPr="00C542BB">
              <w:rPr>
                <w:rFonts w:cs="Arial"/>
                <w:sz w:val="20"/>
                <w:szCs w:val="20"/>
                <w:lang w:eastAsia="en-US"/>
              </w:rPr>
              <w:t>4.</w:t>
            </w:r>
          </w:p>
        </w:tc>
        <w:tc>
          <w:tcPr>
            <w:tcW w:w="7796" w:type="dxa"/>
            <w:vAlign w:val="center"/>
          </w:tcPr>
          <w:p w14:paraId="211F57F7" w14:textId="77777777" w:rsidR="00A041B2" w:rsidRPr="00C542BB" w:rsidRDefault="00A041B2" w:rsidP="00A041B2">
            <w:pPr>
              <w:spacing w:before="120" w:after="120"/>
              <w:ind w:right="34"/>
              <w:jc w:val="both"/>
              <w:outlineLvl w:val="2"/>
              <w:rPr>
                <w:rFonts w:cs="Arial"/>
                <w:kern w:val="32"/>
                <w:sz w:val="20"/>
                <w:szCs w:val="20"/>
              </w:rPr>
            </w:pPr>
            <w:r w:rsidRPr="00C542BB">
              <w:rPr>
                <w:rFonts w:cs="Arial"/>
                <w:sz w:val="20"/>
                <w:szCs w:val="20"/>
              </w:rPr>
              <w:t>Розділ 4. Фінансове забезпечення Плану заходів</w:t>
            </w:r>
            <w:r w:rsidRPr="00C542BB">
              <w:rPr>
                <w:rFonts w:eastAsia="Times New Roman" w:cs="Arial"/>
                <w:sz w:val="20"/>
                <w:szCs w:val="20"/>
              </w:rPr>
              <w:t xml:space="preserve"> </w:t>
            </w:r>
            <w:r w:rsidRPr="00C542BB">
              <w:rPr>
                <w:rFonts w:cs="Arial"/>
                <w:sz w:val="20"/>
                <w:szCs w:val="20"/>
              </w:rPr>
              <w:t>з реалізації  у 2025-2028 роках Стратегії розвитку  Жмеринської міської територіальної громади до 2030 року</w:t>
            </w:r>
          </w:p>
        </w:tc>
        <w:tc>
          <w:tcPr>
            <w:tcW w:w="1134" w:type="dxa"/>
            <w:vAlign w:val="center"/>
          </w:tcPr>
          <w:p w14:paraId="4A7E4FCF" w14:textId="77777777" w:rsidR="00A041B2" w:rsidRPr="00C542BB" w:rsidRDefault="00A041B2" w:rsidP="00A041B2">
            <w:pPr>
              <w:spacing w:before="120" w:after="120"/>
              <w:jc w:val="center"/>
              <w:rPr>
                <w:rFonts w:cs="Arial"/>
                <w:bCs/>
                <w:kern w:val="32"/>
                <w:sz w:val="20"/>
                <w:szCs w:val="20"/>
              </w:rPr>
            </w:pPr>
            <w:r w:rsidRPr="00C542BB">
              <w:rPr>
                <w:rFonts w:cs="Arial"/>
                <w:bCs/>
                <w:kern w:val="32"/>
                <w:sz w:val="20"/>
                <w:szCs w:val="20"/>
              </w:rPr>
              <w:t>54</w:t>
            </w:r>
          </w:p>
        </w:tc>
      </w:tr>
      <w:tr w:rsidR="00A041B2" w:rsidRPr="00C542BB" w14:paraId="4F3108F4" w14:textId="77777777" w:rsidTr="00A041B2">
        <w:trPr>
          <w:trHeight w:val="553"/>
        </w:trPr>
        <w:tc>
          <w:tcPr>
            <w:tcW w:w="993" w:type="dxa"/>
            <w:vAlign w:val="center"/>
          </w:tcPr>
          <w:p w14:paraId="2B71FCFD" w14:textId="77777777" w:rsidR="00A041B2" w:rsidRPr="00C542BB" w:rsidRDefault="00A041B2" w:rsidP="00A041B2">
            <w:pPr>
              <w:spacing w:before="120" w:after="120"/>
              <w:jc w:val="center"/>
              <w:rPr>
                <w:rFonts w:cs="Arial"/>
                <w:bCs/>
                <w:kern w:val="32"/>
                <w:sz w:val="20"/>
                <w:szCs w:val="20"/>
              </w:rPr>
            </w:pPr>
            <w:r w:rsidRPr="00C542BB">
              <w:rPr>
                <w:rFonts w:cs="Arial"/>
                <w:sz w:val="20"/>
                <w:szCs w:val="20"/>
                <w:lang w:eastAsia="en-US"/>
              </w:rPr>
              <w:t>5.</w:t>
            </w:r>
          </w:p>
        </w:tc>
        <w:tc>
          <w:tcPr>
            <w:tcW w:w="7796" w:type="dxa"/>
            <w:vAlign w:val="center"/>
          </w:tcPr>
          <w:p w14:paraId="4F033839" w14:textId="77777777" w:rsidR="00A041B2" w:rsidRPr="00C542BB" w:rsidRDefault="00A041B2" w:rsidP="00A041B2">
            <w:pPr>
              <w:spacing w:before="120" w:after="120"/>
              <w:ind w:right="34"/>
              <w:jc w:val="both"/>
              <w:outlineLvl w:val="1"/>
              <w:rPr>
                <w:rFonts w:cs="Arial"/>
                <w:kern w:val="32"/>
                <w:sz w:val="20"/>
                <w:szCs w:val="20"/>
              </w:rPr>
            </w:pPr>
            <w:r w:rsidRPr="00C542BB">
              <w:rPr>
                <w:rFonts w:cs="Arial"/>
                <w:sz w:val="20"/>
                <w:szCs w:val="20"/>
              </w:rPr>
              <w:t>Розділ 5. Моніторинг та оцінювання реалізації Плану заходів</w:t>
            </w:r>
            <w:r w:rsidRPr="00C542BB">
              <w:rPr>
                <w:rFonts w:eastAsia="Times New Roman" w:cs="Arial"/>
                <w:sz w:val="20"/>
                <w:szCs w:val="20"/>
              </w:rPr>
              <w:t xml:space="preserve"> </w:t>
            </w:r>
            <w:r w:rsidRPr="00C542BB">
              <w:rPr>
                <w:rFonts w:cs="Arial"/>
                <w:sz w:val="20"/>
                <w:szCs w:val="20"/>
              </w:rPr>
              <w:t xml:space="preserve">з реалізації  у 2025-2028 роках Стратегії розвитку  Жмеринської міської територіальної громади до 2030 року </w:t>
            </w:r>
          </w:p>
        </w:tc>
        <w:tc>
          <w:tcPr>
            <w:tcW w:w="1134" w:type="dxa"/>
            <w:vAlign w:val="center"/>
          </w:tcPr>
          <w:p w14:paraId="4990B308" w14:textId="77777777" w:rsidR="00A041B2" w:rsidRPr="00C542BB" w:rsidRDefault="00A041B2" w:rsidP="00A041B2">
            <w:pPr>
              <w:spacing w:before="120" w:after="120"/>
              <w:jc w:val="center"/>
              <w:rPr>
                <w:rFonts w:cs="Arial"/>
                <w:bCs/>
                <w:kern w:val="32"/>
                <w:sz w:val="20"/>
                <w:szCs w:val="20"/>
              </w:rPr>
            </w:pPr>
            <w:r w:rsidRPr="00C542BB">
              <w:rPr>
                <w:rFonts w:cs="Arial"/>
                <w:bCs/>
                <w:kern w:val="32"/>
                <w:sz w:val="20"/>
                <w:szCs w:val="20"/>
              </w:rPr>
              <w:t>98</w:t>
            </w:r>
          </w:p>
        </w:tc>
      </w:tr>
      <w:tr w:rsidR="00A041B2" w:rsidRPr="00C542BB" w14:paraId="0B3E2180" w14:textId="77777777" w:rsidTr="00A041B2">
        <w:trPr>
          <w:trHeight w:val="553"/>
        </w:trPr>
        <w:tc>
          <w:tcPr>
            <w:tcW w:w="993" w:type="dxa"/>
            <w:vAlign w:val="center"/>
          </w:tcPr>
          <w:p w14:paraId="27316AAF" w14:textId="77777777" w:rsidR="00A041B2" w:rsidRPr="00C542BB" w:rsidRDefault="00A041B2" w:rsidP="00A041B2">
            <w:pPr>
              <w:spacing w:before="120" w:after="120"/>
              <w:jc w:val="center"/>
              <w:rPr>
                <w:rFonts w:cs="Arial"/>
                <w:sz w:val="20"/>
                <w:szCs w:val="20"/>
                <w:lang w:eastAsia="en-US"/>
              </w:rPr>
            </w:pPr>
            <w:r w:rsidRPr="00C542BB">
              <w:rPr>
                <w:rFonts w:cs="Arial"/>
                <w:sz w:val="20"/>
                <w:szCs w:val="20"/>
                <w:lang w:eastAsia="en-US"/>
              </w:rPr>
              <w:t>5.1</w:t>
            </w:r>
          </w:p>
        </w:tc>
        <w:tc>
          <w:tcPr>
            <w:tcW w:w="7796" w:type="dxa"/>
            <w:vAlign w:val="center"/>
          </w:tcPr>
          <w:p w14:paraId="2DD68096" w14:textId="77777777" w:rsidR="00A041B2" w:rsidRPr="00C542BB" w:rsidRDefault="00A041B2" w:rsidP="00A041B2">
            <w:pPr>
              <w:spacing w:before="120" w:after="120"/>
              <w:ind w:right="34"/>
              <w:jc w:val="both"/>
              <w:outlineLvl w:val="1"/>
              <w:rPr>
                <w:rFonts w:cs="Arial"/>
                <w:sz w:val="20"/>
                <w:szCs w:val="20"/>
              </w:rPr>
            </w:pPr>
            <w:r w:rsidRPr="00C542BB">
              <w:rPr>
                <w:rFonts w:cs="Arial"/>
                <w:sz w:val="20"/>
                <w:szCs w:val="20"/>
              </w:rPr>
              <w:t>Таблиця 5.1. Перелік проєктів місцевого розвитку до  Плану заходів на 2025-2028 роки  з реалізації Стратегії розвитку Жмеринської міської територіальної громади до 2030 року</w:t>
            </w:r>
          </w:p>
        </w:tc>
        <w:tc>
          <w:tcPr>
            <w:tcW w:w="1134" w:type="dxa"/>
            <w:vAlign w:val="center"/>
          </w:tcPr>
          <w:p w14:paraId="190FB923" w14:textId="77777777" w:rsidR="00A041B2" w:rsidRPr="00C542BB" w:rsidRDefault="00A041B2" w:rsidP="00A041B2">
            <w:pPr>
              <w:spacing w:before="120" w:after="120"/>
              <w:jc w:val="center"/>
              <w:rPr>
                <w:rFonts w:cs="Arial"/>
                <w:bCs/>
                <w:kern w:val="32"/>
                <w:sz w:val="20"/>
                <w:szCs w:val="20"/>
              </w:rPr>
            </w:pPr>
            <w:r w:rsidRPr="00C542BB">
              <w:rPr>
                <w:rFonts w:cs="Arial"/>
                <w:bCs/>
                <w:kern w:val="32"/>
                <w:sz w:val="20"/>
                <w:szCs w:val="20"/>
              </w:rPr>
              <w:t>100</w:t>
            </w:r>
          </w:p>
        </w:tc>
      </w:tr>
      <w:tr w:rsidR="00A041B2" w:rsidRPr="00C542BB" w14:paraId="6EB714A8" w14:textId="77777777" w:rsidTr="00A041B2">
        <w:tc>
          <w:tcPr>
            <w:tcW w:w="993" w:type="dxa"/>
            <w:vAlign w:val="center"/>
          </w:tcPr>
          <w:p w14:paraId="6997DE4D" w14:textId="77777777" w:rsidR="00A041B2" w:rsidRPr="00C542BB" w:rsidRDefault="00A041B2" w:rsidP="00A041B2">
            <w:pPr>
              <w:spacing w:before="120" w:after="120"/>
              <w:jc w:val="center"/>
              <w:rPr>
                <w:rFonts w:cs="Arial"/>
                <w:bCs/>
                <w:kern w:val="32"/>
                <w:sz w:val="20"/>
                <w:szCs w:val="20"/>
              </w:rPr>
            </w:pPr>
          </w:p>
        </w:tc>
        <w:tc>
          <w:tcPr>
            <w:tcW w:w="7796" w:type="dxa"/>
            <w:vAlign w:val="center"/>
          </w:tcPr>
          <w:p w14:paraId="02380FA9" w14:textId="77777777" w:rsidR="00A041B2" w:rsidRPr="00C542BB" w:rsidRDefault="00A041B2" w:rsidP="00A041B2">
            <w:pPr>
              <w:widowControl w:val="0"/>
              <w:spacing w:before="120" w:after="120"/>
              <w:ind w:right="34"/>
              <w:jc w:val="both"/>
              <w:rPr>
                <w:rFonts w:cs="Arial"/>
                <w:bCs/>
                <w:kern w:val="32"/>
                <w:sz w:val="20"/>
                <w:szCs w:val="20"/>
              </w:rPr>
            </w:pPr>
            <w:r w:rsidRPr="00C542BB">
              <w:rPr>
                <w:rFonts w:cs="Arial"/>
                <w:bCs/>
                <w:kern w:val="32"/>
                <w:sz w:val="20"/>
                <w:szCs w:val="20"/>
              </w:rPr>
              <w:t xml:space="preserve">Додатки: </w:t>
            </w:r>
          </w:p>
        </w:tc>
        <w:tc>
          <w:tcPr>
            <w:tcW w:w="1134" w:type="dxa"/>
            <w:vAlign w:val="center"/>
          </w:tcPr>
          <w:p w14:paraId="3BBD7826" w14:textId="77777777" w:rsidR="00A041B2" w:rsidRPr="00C542BB" w:rsidRDefault="00A041B2" w:rsidP="00A041B2">
            <w:pPr>
              <w:spacing w:before="120" w:after="120"/>
              <w:jc w:val="center"/>
              <w:rPr>
                <w:rFonts w:cs="Arial"/>
                <w:bCs/>
                <w:kern w:val="32"/>
                <w:sz w:val="20"/>
                <w:szCs w:val="20"/>
              </w:rPr>
            </w:pPr>
          </w:p>
        </w:tc>
      </w:tr>
      <w:tr w:rsidR="00A041B2" w:rsidRPr="00C542BB" w14:paraId="27722D40" w14:textId="77777777" w:rsidTr="00A041B2">
        <w:tc>
          <w:tcPr>
            <w:tcW w:w="993" w:type="dxa"/>
            <w:vAlign w:val="center"/>
          </w:tcPr>
          <w:p w14:paraId="00A0737C" w14:textId="77777777" w:rsidR="00A041B2" w:rsidRPr="00C542BB" w:rsidRDefault="00A041B2" w:rsidP="00A041B2">
            <w:pPr>
              <w:spacing w:before="120" w:after="120"/>
              <w:jc w:val="center"/>
              <w:rPr>
                <w:rFonts w:cs="Arial"/>
                <w:bCs/>
                <w:kern w:val="32"/>
                <w:sz w:val="20"/>
                <w:szCs w:val="20"/>
              </w:rPr>
            </w:pPr>
          </w:p>
        </w:tc>
        <w:tc>
          <w:tcPr>
            <w:tcW w:w="7796" w:type="dxa"/>
            <w:vAlign w:val="center"/>
          </w:tcPr>
          <w:p w14:paraId="267B18AA" w14:textId="591DEDAA" w:rsidR="00A041B2" w:rsidRPr="00C542BB" w:rsidRDefault="00E524F9" w:rsidP="00A041B2">
            <w:pPr>
              <w:widowControl w:val="0"/>
              <w:spacing w:before="120" w:after="120"/>
              <w:ind w:right="34"/>
              <w:jc w:val="both"/>
              <w:rPr>
                <w:rFonts w:cs="Arial"/>
                <w:bCs/>
                <w:kern w:val="32"/>
                <w:sz w:val="20"/>
                <w:szCs w:val="20"/>
              </w:rPr>
            </w:pPr>
            <w:r>
              <w:rPr>
                <w:rFonts w:cs="Arial"/>
                <w:bCs/>
                <w:kern w:val="32"/>
                <w:sz w:val="20"/>
                <w:szCs w:val="20"/>
              </w:rPr>
              <w:t xml:space="preserve"> Каталог технічних завдань проє</w:t>
            </w:r>
            <w:r w:rsidR="00A041B2" w:rsidRPr="00C542BB">
              <w:rPr>
                <w:rFonts w:cs="Arial"/>
                <w:bCs/>
                <w:kern w:val="32"/>
                <w:sz w:val="20"/>
                <w:szCs w:val="20"/>
              </w:rPr>
              <w:t>ктів до Програми А. «Інвестиційно приваблива громада із розвиненим експортно - орієнтованим бізнесом»</w:t>
            </w:r>
          </w:p>
        </w:tc>
        <w:tc>
          <w:tcPr>
            <w:tcW w:w="1134" w:type="dxa"/>
            <w:vAlign w:val="center"/>
          </w:tcPr>
          <w:p w14:paraId="5B6E0993" w14:textId="0977492F" w:rsidR="00A041B2" w:rsidRPr="00C542BB" w:rsidRDefault="00A041B2" w:rsidP="00A041B2">
            <w:pPr>
              <w:spacing w:before="120" w:after="120"/>
              <w:jc w:val="center"/>
              <w:rPr>
                <w:rFonts w:cs="Arial"/>
                <w:bCs/>
                <w:kern w:val="32"/>
                <w:sz w:val="20"/>
                <w:szCs w:val="20"/>
              </w:rPr>
            </w:pPr>
            <w:r>
              <w:rPr>
                <w:rFonts w:cs="Arial"/>
                <w:bCs/>
                <w:kern w:val="32"/>
                <w:szCs w:val="20"/>
              </w:rPr>
              <w:t>14</w:t>
            </w:r>
            <w:r w:rsidR="00820A36">
              <w:rPr>
                <w:rFonts w:cs="Arial"/>
                <w:bCs/>
                <w:kern w:val="32"/>
                <w:szCs w:val="20"/>
              </w:rPr>
              <w:t>8</w:t>
            </w:r>
          </w:p>
        </w:tc>
      </w:tr>
      <w:tr w:rsidR="00A041B2" w:rsidRPr="00C542BB" w14:paraId="260D4A6B" w14:textId="77777777" w:rsidTr="00A041B2">
        <w:tc>
          <w:tcPr>
            <w:tcW w:w="993" w:type="dxa"/>
            <w:vAlign w:val="center"/>
          </w:tcPr>
          <w:p w14:paraId="623EAE24" w14:textId="77777777" w:rsidR="00A041B2" w:rsidRPr="00C542BB" w:rsidRDefault="00A041B2" w:rsidP="00A041B2">
            <w:pPr>
              <w:spacing w:before="120" w:after="120"/>
              <w:jc w:val="center"/>
              <w:rPr>
                <w:rFonts w:cs="Arial"/>
                <w:bCs/>
                <w:kern w:val="32"/>
                <w:sz w:val="20"/>
                <w:szCs w:val="20"/>
              </w:rPr>
            </w:pPr>
          </w:p>
        </w:tc>
        <w:tc>
          <w:tcPr>
            <w:tcW w:w="7796" w:type="dxa"/>
            <w:vAlign w:val="center"/>
          </w:tcPr>
          <w:p w14:paraId="19AB7645" w14:textId="105207C9" w:rsidR="00A041B2" w:rsidRPr="00C542BB" w:rsidRDefault="00E524F9" w:rsidP="00A041B2">
            <w:pPr>
              <w:widowControl w:val="0"/>
              <w:spacing w:before="120" w:after="120"/>
              <w:ind w:right="34"/>
              <w:jc w:val="both"/>
              <w:rPr>
                <w:rFonts w:cs="Arial"/>
                <w:bCs/>
                <w:kern w:val="32"/>
                <w:sz w:val="20"/>
                <w:szCs w:val="20"/>
              </w:rPr>
            </w:pPr>
            <w:r>
              <w:rPr>
                <w:rFonts w:cs="Arial"/>
                <w:bCs/>
                <w:kern w:val="32"/>
                <w:szCs w:val="20"/>
              </w:rPr>
              <w:t>Каталог технічних завдань проє</w:t>
            </w:r>
            <w:r w:rsidR="00A041B2" w:rsidRPr="009938AC">
              <w:rPr>
                <w:rFonts w:cs="Arial"/>
                <w:bCs/>
                <w:kern w:val="32"/>
                <w:szCs w:val="20"/>
              </w:rPr>
              <w:t>ктів до Програми В. «Комфортна громада»</w:t>
            </w:r>
          </w:p>
        </w:tc>
        <w:tc>
          <w:tcPr>
            <w:tcW w:w="1134" w:type="dxa"/>
            <w:vAlign w:val="center"/>
          </w:tcPr>
          <w:p w14:paraId="61E4EAB7" w14:textId="77777777" w:rsidR="00A041B2" w:rsidRPr="00C542BB" w:rsidRDefault="00A041B2" w:rsidP="00A041B2">
            <w:pPr>
              <w:spacing w:before="120" w:after="120"/>
              <w:jc w:val="center"/>
              <w:rPr>
                <w:rFonts w:cs="Arial"/>
                <w:bCs/>
                <w:kern w:val="32"/>
                <w:sz w:val="20"/>
                <w:szCs w:val="20"/>
              </w:rPr>
            </w:pPr>
            <w:r>
              <w:rPr>
                <w:rFonts w:cs="Arial"/>
                <w:bCs/>
                <w:kern w:val="32"/>
                <w:szCs w:val="20"/>
              </w:rPr>
              <w:t>179</w:t>
            </w:r>
          </w:p>
        </w:tc>
      </w:tr>
      <w:tr w:rsidR="00A041B2" w:rsidRPr="00C542BB" w14:paraId="261CE5FA" w14:textId="77777777" w:rsidTr="00A041B2">
        <w:tc>
          <w:tcPr>
            <w:tcW w:w="993" w:type="dxa"/>
            <w:vAlign w:val="center"/>
          </w:tcPr>
          <w:p w14:paraId="66ECBFD6" w14:textId="77777777" w:rsidR="00A041B2" w:rsidRPr="00C542BB" w:rsidRDefault="00A041B2" w:rsidP="00A041B2">
            <w:pPr>
              <w:spacing w:before="120" w:after="120"/>
              <w:jc w:val="center"/>
              <w:rPr>
                <w:rFonts w:cs="Arial"/>
                <w:bCs/>
                <w:kern w:val="32"/>
                <w:sz w:val="20"/>
                <w:szCs w:val="20"/>
              </w:rPr>
            </w:pPr>
          </w:p>
        </w:tc>
        <w:tc>
          <w:tcPr>
            <w:tcW w:w="7796" w:type="dxa"/>
            <w:vAlign w:val="center"/>
          </w:tcPr>
          <w:p w14:paraId="23887433" w14:textId="6EC59349" w:rsidR="00A041B2" w:rsidRPr="00C542BB" w:rsidRDefault="00E524F9" w:rsidP="00A041B2">
            <w:pPr>
              <w:widowControl w:val="0"/>
              <w:spacing w:before="120" w:after="120"/>
              <w:ind w:right="34"/>
              <w:jc w:val="both"/>
              <w:rPr>
                <w:rFonts w:cs="Arial"/>
                <w:bCs/>
                <w:kern w:val="32"/>
                <w:sz w:val="20"/>
                <w:szCs w:val="20"/>
              </w:rPr>
            </w:pPr>
            <w:r>
              <w:rPr>
                <w:rFonts w:cs="Arial"/>
                <w:bCs/>
                <w:kern w:val="32"/>
                <w:szCs w:val="20"/>
              </w:rPr>
              <w:t>Каталог технічних завдань проє</w:t>
            </w:r>
            <w:r w:rsidR="00A041B2" w:rsidRPr="009938AC">
              <w:rPr>
                <w:rFonts w:cs="Arial"/>
                <w:bCs/>
                <w:kern w:val="32"/>
                <w:szCs w:val="20"/>
              </w:rPr>
              <w:t>ктів до Програми С. «Доступна громада»</w:t>
            </w:r>
          </w:p>
        </w:tc>
        <w:tc>
          <w:tcPr>
            <w:tcW w:w="1134" w:type="dxa"/>
            <w:vAlign w:val="center"/>
          </w:tcPr>
          <w:p w14:paraId="44DE7AE1" w14:textId="77777777" w:rsidR="00A041B2" w:rsidRPr="00C542BB" w:rsidRDefault="00A041B2" w:rsidP="00A041B2">
            <w:pPr>
              <w:spacing w:before="120" w:after="120"/>
              <w:jc w:val="center"/>
              <w:rPr>
                <w:rFonts w:cs="Arial"/>
                <w:bCs/>
                <w:kern w:val="32"/>
                <w:sz w:val="20"/>
                <w:szCs w:val="20"/>
              </w:rPr>
            </w:pPr>
            <w:r>
              <w:rPr>
                <w:rFonts w:cs="Arial"/>
                <w:bCs/>
                <w:kern w:val="32"/>
                <w:szCs w:val="20"/>
              </w:rPr>
              <w:t>247</w:t>
            </w:r>
          </w:p>
        </w:tc>
      </w:tr>
      <w:tr w:rsidR="00A041B2" w:rsidRPr="00C542BB" w14:paraId="4E159255" w14:textId="77777777" w:rsidTr="00A041B2">
        <w:tc>
          <w:tcPr>
            <w:tcW w:w="993" w:type="dxa"/>
            <w:vAlign w:val="center"/>
          </w:tcPr>
          <w:p w14:paraId="3DAF724D" w14:textId="309208FF" w:rsidR="00A041B2" w:rsidRPr="00C542BB" w:rsidRDefault="005A3A2C" w:rsidP="00A041B2">
            <w:pPr>
              <w:spacing w:before="120" w:after="120"/>
              <w:jc w:val="center"/>
              <w:rPr>
                <w:rFonts w:cs="Arial"/>
                <w:bCs/>
                <w:kern w:val="32"/>
                <w:sz w:val="20"/>
                <w:szCs w:val="20"/>
              </w:rPr>
            </w:pPr>
            <w:r>
              <w:rPr>
                <w:rFonts w:cs="Arial"/>
                <w:bCs/>
                <w:kern w:val="32"/>
                <w:sz w:val="20"/>
                <w:szCs w:val="20"/>
              </w:rPr>
              <w:t>6</w:t>
            </w:r>
          </w:p>
        </w:tc>
        <w:tc>
          <w:tcPr>
            <w:tcW w:w="7796" w:type="dxa"/>
            <w:vAlign w:val="center"/>
          </w:tcPr>
          <w:p w14:paraId="0EC0BC95" w14:textId="2680032A" w:rsidR="00A041B2" w:rsidRPr="00C542BB" w:rsidRDefault="005A3A2C" w:rsidP="00A041B2">
            <w:pPr>
              <w:widowControl w:val="0"/>
              <w:spacing w:before="120" w:after="120"/>
              <w:ind w:right="34"/>
              <w:jc w:val="both"/>
              <w:rPr>
                <w:rFonts w:cs="Arial"/>
                <w:bCs/>
                <w:kern w:val="32"/>
                <w:sz w:val="20"/>
                <w:szCs w:val="20"/>
              </w:rPr>
            </w:pPr>
            <w:r>
              <w:rPr>
                <w:rFonts w:cs="Arial"/>
                <w:bCs/>
                <w:kern w:val="32"/>
                <w:sz w:val="20"/>
                <w:szCs w:val="20"/>
              </w:rPr>
              <w:t>Припущення та ризики</w:t>
            </w:r>
          </w:p>
        </w:tc>
        <w:tc>
          <w:tcPr>
            <w:tcW w:w="1134" w:type="dxa"/>
            <w:vAlign w:val="center"/>
          </w:tcPr>
          <w:p w14:paraId="130F53FB" w14:textId="57CFB5B8" w:rsidR="00A041B2" w:rsidRPr="00C542BB" w:rsidRDefault="005A3A2C" w:rsidP="00A041B2">
            <w:pPr>
              <w:spacing w:before="120" w:after="120"/>
              <w:jc w:val="center"/>
              <w:rPr>
                <w:rFonts w:cs="Arial"/>
                <w:bCs/>
                <w:kern w:val="32"/>
                <w:sz w:val="20"/>
                <w:szCs w:val="20"/>
              </w:rPr>
            </w:pPr>
            <w:r>
              <w:rPr>
                <w:rFonts w:cs="Arial"/>
                <w:bCs/>
                <w:kern w:val="32"/>
                <w:sz w:val="20"/>
                <w:szCs w:val="20"/>
              </w:rPr>
              <w:t>35</w:t>
            </w:r>
            <w:r w:rsidR="00820A36">
              <w:rPr>
                <w:rFonts w:cs="Arial"/>
                <w:bCs/>
                <w:kern w:val="32"/>
                <w:sz w:val="20"/>
                <w:szCs w:val="20"/>
              </w:rPr>
              <w:t>6</w:t>
            </w:r>
          </w:p>
        </w:tc>
      </w:tr>
      <w:tr w:rsidR="005A3A2C" w:rsidRPr="00C542BB" w14:paraId="7A7A15BE" w14:textId="77777777" w:rsidTr="00A041B2">
        <w:tc>
          <w:tcPr>
            <w:tcW w:w="993" w:type="dxa"/>
            <w:vAlign w:val="center"/>
          </w:tcPr>
          <w:p w14:paraId="17F403A1" w14:textId="407943B4" w:rsidR="005A3A2C" w:rsidRPr="00C542BB" w:rsidRDefault="005A3A2C" w:rsidP="00A041B2">
            <w:pPr>
              <w:spacing w:before="120" w:after="120"/>
              <w:jc w:val="center"/>
              <w:rPr>
                <w:rFonts w:cs="Arial"/>
                <w:bCs/>
                <w:kern w:val="32"/>
                <w:sz w:val="20"/>
                <w:szCs w:val="20"/>
              </w:rPr>
            </w:pPr>
            <w:r>
              <w:rPr>
                <w:rFonts w:cs="Arial"/>
                <w:bCs/>
                <w:kern w:val="32"/>
                <w:sz w:val="20"/>
                <w:szCs w:val="20"/>
              </w:rPr>
              <w:t>7</w:t>
            </w:r>
          </w:p>
        </w:tc>
        <w:tc>
          <w:tcPr>
            <w:tcW w:w="7796" w:type="dxa"/>
            <w:vAlign w:val="center"/>
          </w:tcPr>
          <w:p w14:paraId="073C092A" w14:textId="725167EE" w:rsidR="005A3A2C" w:rsidRDefault="005A3A2C" w:rsidP="00A041B2">
            <w:pPr>
              <w:widowControl w:val="0"/>
              <w:spacing w:before="120" w:after="120"/>
              <w:ind w:right="34"/>
              <w:jc w:val="both"/>
              <w:rPr>
                <w:rFonts w:cs="Arial"/>
                <w:bCs/>
                <w:kern w:val="32"/>
                <w:sz w:val="20"/>
                <w:szCs w:val="20"/>
              </w:rPr>
            </w:pPr>
            <w:r>
              <w:rPr>
                <w:rFonts w:cs="Arial"/>
                <w:bCs/>
                <w:kern w:val="32"/>
                <w:sz w:val="20"/>
                <w:szCs w:val="20"/>
              </w:rPr>
              <w:t>Рекомендації</w:t>
            </w:r>
          </w:p>
        </w:tc>
        <w:tc>
          <w:tcPr>
            <w:tcW w:w="1134" w:type="dxa"/>
            <w:vAlign w:val="center"/>
          </w:tcPr>
          <w:p w14:paraId="25384349" w14:textId="515C71CE" w:rsidR="005A3A2C" w:rsidRDefault="005A3A2C" w:rsidP="00A041B2">
            <w:pPr>
              <w:spacing w:before="120" w:after="120"/>
              <w:jc w:val="center"/>
              <w:rPr>
                <w:rFonts w:cs="Arial"/>
                <w:bCs/>
                <w:kern w:val="32"/>
                <w:sz w:val="20"/>
                <w:szCs w:val="20"/>
              </w:rPr>
            </w:pPr>
            <w:r>
              <w:rPr>
                <w:rFonts w:cs="Arial"/>
                <w:bCs/>
                <w:kern w:val="32"/>
                <w:sz w:val="20"/>
                <w:szCs w:val="20"/>
              </w:rPr>
              <w:t>35</w:t>
            </w:r>
            <w:r w:rsidR="00640DB8">
              <w:rPr>
                <w:rFonts w:cs="Arial"/>
                <w:bCs/>
                <w:kern w:val="32"/>
                <w:sz w:val="20"/>
                <w:szCs w:val="20"/>
              </w:rPr>
              <w:t>8</w:t>
            </w:r>
          </w:p>
        </w:tc>
      </w:tr>
    </w:tbl>
    <w:p w14:paraId="706FE67A" w14:textId="77777777" w:rsidR="00A041B2" w:rsidRPr="00C2587D" w:rsidRDefault="00A041B2" w:rsidP="00083BE9">
      <w:pPr>
        <w:spacing w:after="240"/>
        <w:jc w:val="center"/>
        <w:rPr>
          <w:rFonts w:cs="Arial"/>
          <w:b/>
          <w:bCs/>
          <w:kern w:val="32"/>
          <w:sz w:val="32"/>
          <w:szCs w:val="32"/>
        </w:rPr>
      </w:pPr>
    </w:p>
    <w:p w14:paraId="1627AD85" w14:textId="27EC1608" w:rsidR="005C1591" w:rsidRPr="00C2587D" w:rsidRDefault="00544816" w:rsidP="007A7373">
      <w:pPr>
        <w:pStyle w:val="10"/>
        <w:jc w:val="center"/>
        <w:rPr>
          <w:rFonts w:eastAsia="SimSun"/>
          <w:lang w:eastAsia="zh-CN"/>
        </w:rPr>
      </w:pPr>
      <w:bookmarkStart w:id="2" w:name="_Toc309511496"/>
      <w:bookmarkStart w:id="3" w:name="_Toc435013309"/>
      <w:bookmarkStart w:id="4" w:name="_Toc440997269"/>
      <w:bookmarkStart w:id="5" w:name="_Toc1743577"/>
      <w:bookmarkStart w:id="6" w:name="_Toc299775501"/>
      <w:r w:rsidRPr="00C2587D">
        <w:lastRenderedPageBreak/>
        <w:t>1.</w:t>
      </w:r>
      <w:r w:rsidR="00461529" w:rsidRPr="00C2587D">
        <w:tab/>
      </w:r>
      <w:r w:rsidR="005C6249" w:rsidRPr="00C2587D">
        <w:t xml:space="preserve">Методологія </w:t>
      </w:r>
      <w:r w:rsidR="00CD4B92" w:rsidRPr="00C2587D">
        <w:t>та пр</w:t>
      </w:r>
      <w:r w:rsidR="00700600" w:rsidRPr="00C2587D">
        <w:t>оцес підготовки Плану заходів з реалізації  у 2025-2028 роках Стратегії розвитку  Жмеринської міської територіальної громади                  до 2030 року</w:t>
      </w:r>
      <w:r w:rsidR="005C6249" w:rsidRPr="00C2587D">
        <w:t xml:space="preserve"> </w:t>
      </w:r>
      <w:bookmarkEnd w:id="2"/>
      <w:bookmarkEnd w:id="3"/>
      <w:bookmarkEnd w:id="4"/>
      <w:bookmarkEnd w:id="5"/>
    </w:p>
    <w:p w14:paraId="294E7486" w14:textId="358FE663" w:rsidR="007A7373" w:rsidRPr="00C2587D" w:rsidRDefault="007A7373" w:rsidP="00073198">
      <w:pPr>
        <w:pStyle w:val="af1"/>
        <w:spacing w:before="120" w:after="120"/>
        <w:ind w:firstLine="567"/>
        <w:rPr>
          <w:rFonts w:cs="Arial"/>
          <w:iCs/>
          <w:lang w:val="uk-UA"/>
        </w:rPr>
      </w:pPr>
      <w:r w:rsidRPr="00C2587D">
        <w:rPr>
          <w:rFonts w:cs="Arial"/>
          <w:iCs/>
          <w:lang w:val="uk-UA"/>
        </w:rPr>
        <w:t xml:space="preserve">План заходів з реалізації у 2025-2028 роках Стратегії розвитку Жмеринської міської територіальної громади до 2030 року (далі – План заходів) розроблено з урахуванням пріоритетів, цілей та завдань, що визначені Державною стратегією регіонального розвитку на 2021-2027 роки, </w:t>
      </w:r>
      <w:r w:rsidR="002E645F" w:rsidRPr="00C2587D">
        <w:rPr>
          <w:rFonts w:cs="Arial"/>
          <w:iCs/>
          <w:lang w:val="uk-UA"/>
        </w:rPr>
        <w:t xml:space="preserve">оновленою </w:t>
      </w:r>
      <w:r w:rsidRPr="00C2587D">
        <w:rPr>
          <w:rFonts w:cs="Arial"/>
          <w:iCs/>
          <w:lang w:val="uk-UA"/>
        </w:rPr>
        <w:t>Стратегією збалансованого регіонального розвитку Вінницької області на періо</w:t>
      </w:r>
      <w:r w:rsidR="00403969">
        <w:rPr>
          <w:rFonts w:cs="Arial"/>
          <w:iCs/>
          <w:lang w:val="uk-UA"/>
        </w:rPr>
        <w:t xml:space="preserve">д до 2027 року, та складається </w:t>
      </w:r>
      <w:r w:rsidRPr="00C2587D">
        <w:rPr>
          <w:rFonts w:cs="Arial"/>
          <w:iCs/>
          <w:lang w:val="uk-UA"/>
        </w:rPr>
        <w:t>з організаційних заходів і проєктів місцевого (регіонального) розвитку, місцевих програм розвитку, відповідно до завдань, основою для яких є стратегічні та оперативні цілі визначені Стратегією розвитку Жмеринської міської територіальної громади до 2030 року</w:t>
      </w:r>
      <w:r w:rsidR="00B56067" w:rsidRPr="00C2587D">
        <w:rPr>
          <w:rFonts w:cs="Arial"/>
          <w:iCs/>
          <w:lang w:val="uk-UA"/>
        </w:rPr>
        <w:t xml:space="preserve"> (далі-Стратегія).</w:t>
      </w:r>
      <w:r w:rsidRPr="00C2587D">
        <w:rPr>
          <w:rFonts w:cs="Arial"/>
          <w:iCs/>
          <w:lang w:val="uk-UA"/>
        </w:rPr>
        <w:t xml:space="preserve"> </w:t>
      </w:r>
    </w:p>
    <w:p w14:paraId="3CA73A23" w14:textId="0E2C522C" w:rsidR="00B56067" w:rsidRPr="00C2587D" w:rsidRDefault="007A7373" w:rsidP="00073198">
      <w:pPr>
        <w:spacing w:after="95"/>
        <w:ind w:right="82" w:firstLine="567"/>
        <w:jc w:val="both"/>
        <w:rPr>
          <w:rFonts w:cs="Arial"/>
          <w:iCs/>
          <w:szCs w:val="22"/>
        </w:rPr>
      </w:pPr>
      <w:r w:rsidRPr="00C2587D">
        <w:rPr>
          <w:rFonts w:cs="Arial"/>
          <w:iCs/>
          <w:szCs w:val="22"/>
        </w:rPr>
        <w:t>План заходів розроблений на підставі Закону України «Про засади держ</w:t>
      </w:r>
      <w:r w:rsidR="00700600" w:rsidRPr="00C2587D">
        <w:rPr>
          <w:rFonts w:cs="Arial"/>
          <w:iCs/>
          <w:szCs w:val="22"/>
        </w:rPr>
        <w:t>авної регіональної політики» (зі</w:t>
      </w:r>
      <w:r w:rsidRPr="00C2587D">
        <w:rPr>
          <w:rFonts w:cs="Arial"/>
          <w:iCs/>
          <w:szCs w:val="22"/>
        </w:rPr>
        <w:t xml:space="preserve"> змінами), Методичних рекомендацій щодо порядку розроблення, затвердження, реалізації, проведення моніторингу та оцінювання реалізації стратегій розвитку територіальних громад, затверджених наказом Міністерства розвитку громад та територій України від 21.12.2022 № 265.</w:t>
      </w:r>
    </w:p>
    <w:p w14:paraId="7688CDE0" w14:textId="39C6B170" w:rsidR="00B56067" w:rsidRPr="00C2587D" w:rsidRDefault="00B56067" w:rsidP="00073198">
      <w:pPr>
        <w:spacing w:after="95"/>
        <w:ind w:right="82" w:firstLine="567"/>
        <w:jc w:val="both"/>
        <w:rPr>
          <w:rFonts w:eastAsia="Arial" w:cs="Arial"/>
          <w:color w:val="000000"/>
          <w:szCs w:val="22"/>
          <w:lang w:eastAsia="uk-UA"/>
        </w:rPr>
      </w:pPr>
      <w:r w:rsidRPr="00C2587D">
        <w:rPr>
          <w:rFonts w:eastAsia="Arial" w:cs="Arial"/>
          <w:color w:val="000000"/>
          <w:szCs w:val="22"/>
          <w:lang w:eastAsia="uk-UA"/>
        </w:rPr>
        <w:t xml:space="preserve">Розробка та ефективна реалізація Плану заходів передбачає налагодження партнерства між органами місцевого самоврядування, населенням, бізнесом, організаціями громадянського суспільства Жмеринської міської територіальної громади для врахування інтересів та забезпечення суспільної підтримки реалізації заходів та проєктів Стратегії. </w:t>
      </w:r>
    </w:p>
    <w:p w14:paraId="794EEEED" w14:textId="0EB71B5E" w:rsidR="00B56067" w:rsidRPr="00C2587D" w:rsidRDefault="00B56067" w:rsidP="00073198">
      <w:pPr>
        <w:spacing w:after="126"/>
        <w:ind w:right="82" w:firstLine="567"/>
        <w:jc w:val="both"/>
        <w:rPr>
          <w:rFonts w:eastAsia="Arial" w:cs="Arial"/>
          <w:color w:val="000000"/>
          <w:szCs w:val="22"/>
          <w:lang w:eastAsia="uk-UA"/>
        </w:rPr>
      </w:pPr>
      <w:r w:rsidRPr="00C2587D">
        <w:rPr>
          <w:rFonts w:eastAsia="Arial" w:cs="Arial"/>
          <w:color w:val="000000"/>
          <w:szCs w:val="22"/>
          <w:lang w:eastAsia="uk-UA"/>
        </w:rPr>
        <w:t xml:space="preserve">План заходів розроблено у співпраці Робочої групи з розробки Стратегії розвитку Жмеринської міської територіальної громади та Плану заходів з її реалізації (склад Робочої групи затверджено розпорядженням секретаря міської ради № 312-р від 11 листопада 2024 року), підприємств, установ, організацій та жителів громади. </w:t>
      </w:r>
    </w:p>
    <w:p w14:paraId="44A63D3D" w14:textId="38533974" w:rsidR="00B56067" w:rsidRPr="00C2587D" w:rsidRDefault="00B56067" w:rsidP="00073198">
      <w:pPr>
        <w:spacing w:after="126"/>
        <w:ind w:right="82" w:firstLine="567"/>
        <w:jc w:val="both"/>
        <w:rPr>
          <w:rFonts w:eastAsia="Arial" w:cs="Arial"/>
          <w:color w:val="000000"/>
          <w:szCs w:val="22"/>
          <w:lang w:eastAsia="uk-UA"/>
        </w:rPr>
      </w:pPr>
      <w:r w:rsidRPr="00C2587D">
        <w:rPr>
          <w:rFonts w:eastAsia="Arial" w:cs="Arial"/>
          <w:color w:val="000000"/>
          <w:szCs w:val="22"/>
          <w:lang w:eastAsia="uk-UA"/>
        </w:rPr>
        <w:t xml:space="preserve">З метою розробки проєкту Плану заходів Жмеринською міською радою було оголошено збір проєктних ідей від зацікавлених суб’єктів розвитку громади, що тривав впродовж </w:t>
      </w:r>
      <w:r w:rsidR="008C5543" w:rsidRPr="00C2587D">
        <w:rPr>
          <w:rFonts w:eastAsia="Arial" w:cs="Arial"/>
          <w:color w:val="000000"/>
          <w:szCs w:val="22"/>
          <w:lang w:eastAsia="uk-UA"/>
        </w:rPr>
        <w:t xml:space="preserve">травня 2025 </w:t>
      </w:r>
      <w:r w:rsidRPr="00C2587D">
        <w:rPr>
          <w:rFonts w:eastAsia="Arial" w:cs="Arial"/>
          <w:color w:val="000000"/>
          <w:szCs w:val="22"/>
          <w:lang w:eastAsia="uk-UA"/>
        </w:rPr>
        <w:t>року. На сайті зацікавленим особам було запропоновано форму подання проєктних ідей та</w:t>
      </w:r>
      <w:r w:rsidR="008C5543" w:rsidRPr="00C2587D">
        <w:rPr>
          <w:rFonts w:eastAsia="Arial" w:cs="Arial"/>
          <w:color w:val="000000"/>
          <w:szCs w:val="22"/>
          <w:lang w:eastAsia="uk-UA"/>
        </w:rPr>
        <w:t xml:space="preserve"> основні</w:t>
      </w:r>
      <w:r w:rsidRPr="00C2587D">
        <w:rPr>
          <w:rFonts w:eastAsia="Arial" w:cs="Arial"/>
          <w:color w:val="000000"/>
          <w:szCs w:val="22"/>
          <w:lang w:eastAsia="uk-UA"/>
        </w:rPr>
        <w:t xml:space="preserve"> критерії відбору. </w:t>
      </w:r>
    </w:p>
    <w:p w14:paraId="216B42F5" w14:textId="168CCBE1" w:rsidR="008C5543" w:rsidRPr="00C2587D" w:rsidRDefault="008C5543" w:rsidP="00073198">
      <w:pPr>
        <w:spacing w:after="126"/>
        <w:ind w:right="82" w:firstLine="567"/>
        <w:jc w:val="both"/>
        <w:rPr>
          <w:rFonts w:eastAsia="Arial" w:cs="Arial"/>
          <w:color w:val="000000"/>
          <w:szCs w:val="22"/>
          <w:lang w:eastAsia="uk-UA"/>
        </w:rPr>
      </w:pPr>
      <w:r w:rsidRPr="00C2587D">
        <w:rPr>
          <w:rFonts w:eastAsia="Arial" w:cs="Arial"/>
          <w:color w:val="000000"/>
          <w:szCs w:val="22"/>
          <w:lang w:eastAsia="uk-UA"/>
        </w:rPr>
        <w:t xml:space="preserve">23 травня </w:t>
      </w:r>
      <w:r w:rsidR="00B56067" w:rsidRPr="00C2587D">
        <w:rPr>
          <w:rFonts w:eastAsia="Arial" w:cs="Arial"/>
          <w:color w:val="000000"/>
          <w:szCs w:val="22"/>
          <w:lang w:eastAsia="uk-UA"/>
        </w:rPr>
        <w:t>202</w:t>
      </w:r>
      <w:r w:rsidRPr="00C2587D">
        <w:rPr>
          <w:rFonts w:eastAsia="Arial" w:cs="Arial"/>
          <w:color w:val="000000"/>
          <w:szCs w:val="22"/>
          <w:lang w:eastAsia="uk-UA"/>
        </w:rPr>
        <w:t>5</w:t>
      </w:r>
      <w:r w:rsidR="00B56067" w:rsidRPr="00C2587D">
        <w:rPr>
          <w:rFonts w:eastAsia="Arial" w:cs="Arial"/>
          <w:color w:val="000000"/>
          <w:szCs w:val="22"/>
          <w:lang w:eastAsia="uk-UA"/>
        </w:rPr>
        <w:t xml:space="preserve"> року збір ідей проєктів до Плану заходів був завершений. Всього надійшло </w:t>
      </w:r>
      <w:r w:rsidR="005B2FE3" w:rsidRPr="00C2587D">
        <w:rPr>
          <w:rFonts w:eastAsia="Arial" w:cs="Arial"/>
          <w:color w:val="000000"/>
          <w:szCs w:val="22"/>
          <w:lang w:eastAsia="uk-UA"/>
        </w:rPr>
        <w:t>123 заявки</w:t>
      </w:r>
      <w:r w:rsidR="00B56067" w:rsidRPr="00C2587D">
        <w:rPr>
          <w:rFonts w:eastAsia="Arial" w:cs="Arial"/>
          <w:color w:val="000000"/>
          <w:szCs w:val="22"/>
          <w:lang w:eastAsia="uk-UA"/>
        </w:rPr>
        <w:t xml:space="preserve"> – проєктних ідей від представників громади (фізичних осіб,</w:t>
      </w:r>
      <w:r w:rsidR="00700600" w:rsidRPr="00C2587D">
        <w:rPr>
          <w:rFonts w:eastAsia="Arial" w:cs="Arial"/>
          <w:color w:val="000000"/>
          <w:szCs w:val="22"/>
          <w:lang w:eastAsia="uk-UA"/>
        </w:rPr>
        <w:t xml:space="preserve"> громадських організацій, органів</w:t>
      </w:r>
      <w:r w:rsidR="00B56067" w:rsidRPr="00C2587D">
        <w:rPr>
          <w:rFonts w:eastAsia="Arial" w:cs="Arial"/>
          <w:color w:val="000000"/>
          <w:szCs w:val="22"/>
          <w:lang w:eastAsia="uk-UA"/>
        </w:rPr>
        <w:t xml:space="preserve"> місцевого самоврядування) тощо. </w:t>
      </w:r>
      <w:r w:rsidRPr="00C2587D">
        <w:rPr>
          <w:rFonts w:eastAsia="Arial" w:cs="Arial"/>
          <w:color w:val="000000"/>
          <w:szCs w:val="22"/>
          <w:lang w:eastAsia="uk-UA"/>
        </w:rPr>
        <w:t xml:space="preserve"> </w:t>
      </w:r>
    </w:p>
    <w:p w14:paraId="4D0385B0" w14:textId="07735612" w:rsidR="00DD3B81" w:rsidRPr="00C2587D" w:rsidRDefault="00DD3B81" w:rsidP="00073198">
      <w:pPr>
        <w:spacing w:after="126"/>
        <w:ind w:right="82" w:firstLine="567"/>
        <w:jc w:val="both"/>
        <w:rPr>
          <w:rFonts w:eastAsia="Arial" w:cs="Arial"/>
          <w:color w:val="000000"/>
          <w:szCs w:val="22"/>
          <w:lang w:eastAsia="uk-UA"/>
        </w:rPr>
      </w:pPr>
      <w:r w:rsidRPr="00C2587D">
        <w:rPr>
          <w:rFonts w:eastAsia="Arial" w:cs="Arial"/>
          <w:color w:val="000000"/>
          <w:szCs w:val="22"/>
          <w:lang w:eastAsia="uk-UA"/>
        </w:rPr>
        <w:t xml:space="preserve">На робочій зустрічі членів Робочої групи в червні 2025 року було прийняте рішення про включення всіх проєктних ідей/ проєктів місцевого розвитку до проєкту Плану заходів </w:t>
      </w:r>
      <w:r w:rsidR="002E645F" w:rsidRPr="00C2587D">
        <w:rPr>
          <w:rFonts w:eastAsia="Arial" w:cs="Arial"/>
          <w:color w:val="000000"/>
          <w:szCs w:val="22"/>
          <w:lang w:eastAsia="uk-UA"/>
        </w:rPr>
        <w:t>та підготовлено їх</w:t>
      </w:r>
      <w:r w:rsidRPr="00C2587D">
        <w:rPr>
          <w:rFonts w:eastAsia="Arial" w:cs="Arial"/>
          <w:color w:val="000000"/>
          <w:szCs w:val="22"/>
          <w:lang w:eastAsia="uk-UA"/>
        </w:rPr>
        <w:t xml:space="preserve"> для проведення громадського обговорення. </w:t>
      </w:r>
    </w:p>
    <w:p w14:paraId="2AF48334" w14:textId="20F5FC31" w:rsidR="008C5543" w:rsidRPr="00C2587D" w:rsidRDefault="008C5543" w:rsidP="00073198">
      <w:pPr>
        <w:spacing w:after="126"/>
        <w:ind w:right="82" w:firstLine="567"/>
        <w:jc w:val="both"/>
        <w:rPr>
          <w:rFonts w:eastAsia="Arial" w:cs="Arial"/>
          <w:color w:val="000000"/>
          <w:szCs w:val="22"/>
          <w:lang w:eastAsia="uk-UA"/>
        </w:rPr>
      </w:pPr>
      <w:r w:rsidRPr="00C2587D">
        <w:rPr>
          <w:rFonts w:eastAsia="Arial" w:cs="Arial"/>
          <w:color w:val="000000"/>
          <w:szCs w:val="22"/>
          <w:lang w:eastAsia="uk-UA"/>
        </w:rPr>
        <w:t>У фазі розробки Плану заходів, про</w:t>
      </w:r>
      <w:r w:rsidR="002E645F" w:rsidRPr="00C2587D">
        <w:rPr>
          <w:rFonts w:eastAsia="Arial" w:cs="Arial"/>
          <w:color w:val="000000"/>
          <w:szCs w:val="22"/>
          <w:lang w:eastAsia="uk-UA"/>
        </w:rPr>
        <w:t>єктні ідеї були зібрані в три тематичні стратегічні напрямки</w:t>
      </w:r>
      <w:r w:rsidRPr="00C2587D">
        <w:rPr>
          <w:rFonts w:eastAsia="Arial" w:cs="Arial"/>
          <w:color w:val="000000"/>
          <w:szCs w:val="22"/>
          <w:lang w:eastAsia="uk-UA"/>
        </w:rPr>
        <w:t xml:space="preserve"> з урахуванням їх взаємного посилення і</w:t>
      </w:r>
      <w:r w:rsidR="00822684">
        <w:rPr>
          <w:rFonts w:eastAsia="Arial" w:cs="Arial"/>
          <w:color w:val="000000"/>
          <w:szCs w:val="22"/>
          <w:lang w:eastAsia="uk-UA"/>
        </w:rPr>
        <w:t xml:space="preserve"> доповнення. Проєктні ідеї </w:t>
      </w:r>
      <w:r w:rsidRPr="00C2587D">
        <w:rPr>
          <w:rFonts w:eastAsia="Arial" w:cs="Arial"/>
          <w:color w:val="000000"/>
          <w:szCs w:val="22"/>
          <w:lang w:eastAsia="uk-UA"/>
        </w:rPr>
        <w:t>перевірен</w:t>
      </w:r>
      <w:r w:rsidR="00822684">
        <w:rPr>
          <w:rFonts w:eastAsia="Arial" w:cs="Arial"/>
          <w:color w:val="000000"/>
          <w:szCs w:val="22"/>
          <w:lang w:eastAsia="uk-UA"/>
        </w:rPr>
        <w:t>о</w:t>
      </w:r>
      <w:r w:rsidRPr="00C2587D">
        <w:rPr>
          <w:rFonts w:eastAsia="Arial" w:cs="Arial"/>
          <w:color w:val="000000"/>
          <w:szCs w:val="22"/>
          <w:lang w:eastAsia="uk-UA"/>
        </w:rPr>
        <w:t xml:space="preserve"> на предмет відповідності до</w:t>
      </w:r>
      <w:r w:rsidR="00FF1823" w:rsidRPr="00C2587D">
        <w:rPr>
          <w:rFonts w:cs="Arial"/>
          <w:iCs/>
        </w:rPr>
        <w:t xml:space="preserve"> </w:t>
      </w:r>
      <w:r w:rsidR="00FF1823" w:rsidRPr="00C2587D">
        <w:rPr>
          <w:rFonts w:eastAsia="Arial" w:cs="Arial"/>
          <w:iCs/>
          <w:color w:val="000000"/>
          <w:szCs w:val="22"/>
          <w:lang w:eastAsia="uk-UA"/>
        </w:rPr>
        <w:t>Стратегії розвитку Жмеринської міської територіальної громади до 2030 року,</w:t>
      </w:r>
      <w:r w:rsidRPr="00C2587D">
        <w:rPr>
          <w:rFonts w:eastAsia="Arial" w:cs="Arial"/>
          <w:color w:val="000000"/>
          <w:szCs w:val="22"/>
          <w:lang w:eastAsia="uk-UA"/>
        </w:rPr>
        <w:t xml:space="preserve"> Державної стратегії регіонального розвитку на 2021-2027 роки,</w:t>
      </w:r>
      <w:r w:rsidR="002E645F" w:rsidRPr="00C2587D">
        <w:rPr>
          <w:rFonts w:cs="Arial"/>
          <w:iCs/>
        </w:rPr>
        <w:t xml:space="preserve"> </w:t>
      </w:r>
      <w:r w:rsidR="00F16379" w:rsidRPr="00C2587D">
        <w:rPr>
          <w:rFonts w:eastAsia="Arial" w:cs="Arial"/>
          <w:iCs/>
          <w:color w:val="000000"/>
          <w:szCs w:val="22"/>
          <w:lang w:eastAsia="uk-UA"/>
        </w:rPr>
        <w:t>оновленої Стратегії</w:t>
      </w:r>
      <w:r w:rsidR="002E645F" w:rsidRPr="00C2587D">
        <w:rPr>
          <w:rFonts w:eastAsia="Arial" w:cs="Arial"/>
          <w:iCs/>
          <w:color w:val="000000"/>
          <w:szCs w:val="22"/>
          <w:lang w:eastAsia="uk-UA"/>
        </w:rPr>
        <w:t xml:space="preserve"> збалансованого регіонального розвитку Вінницької області на період до 2027 року</w:t>
      </w:r>
      <w:r w:rsidRPr="00C2587D">
        <w:rPr>
          <w:rFonts w:eastAsia="Arial" w:cs="Arial"/>
          <w:color w:val="000000"/>
          <w:szCs w:val="22"/>
          <w:lang w:eastAsia="uk-UA"/>
        </w:rPr>
        <w:t xml:space="preserve">. </w:t>
      </w:r>
    </w:p>
    <w:p w14:paraId="24A9E0B6" w14:textId="6979EE2D" w:rsidR="002E645F" w:rsidRPr="00C2587D" w:rsidRDefault="002E645F" w:rsidP="00073198">
      <w:pPr>
        <w:pStyle w:val="af1"/>
        <w:spacing w:before="120" w:after="120"/>
        <w:ind w:firstLine="567"/>
        <w:rPr>
          <w:rFonts w:cs="Arial"/>
          <w:iCs/>
          <w:lang w:val="uk-UA"/>
        </w:rPr>
      </w:pPr>
      <w:r w:rsidRPr="00C2587D">
        <w:rPr>
          <w:rFonts w:cs="Arial"/>
          <w:iCs/>
          <w:lang w:val="uk-UA"/>
        </w:rPr>
        <w:t xml:space="preserve">На досягнення цілей та виконання завдань, визначених у Стратегії розвитку Жмеринської міської територіальної громади до 2030 року, до Плану заходів включено чинні місцеві програми розвитку, що впроваджуються, а також проєкти місцевих програм розвитку. </w:t>
      </w:r>
    </w:p>
    <w:p w14:paraId="0A2B1A16" w14:textId="21BAD634" w:rsidR="00F16379" w:rsidRPr="00C2587D" w:rsidRDefault="00F16379" w:rsidP="00F16379">
      <w:pPr>
        <w:pStyle w:val="af1"/>
        <w:spacing w:before="120" w:after="120"/>
        <w:ind w:firstLine="567"/>
        <w:rPr>
          <w:rFonts w:cs="Arial"/>
          <w:iCs/>
          <w:lang w:val="uk-UA"/>
        </w:rPr>
      </w:pPr>
      <w:r w:rsidRPr="00C2587D">
        <w:rPr>
          <w:rFonts w:cs="Arial"/>
          <w:iCs/>
          <w:lang w:val="uk-UA"/>
        </w:rPr>
        <w:t>В ході процесу підготовки Плану реалізації максимально застосо</w:t>
      </w:r>
      <w:r w:rsidR="00403969">
        <w:rPr>
          <w:rFonts w:cs="Arial"/>
          <w:iCs/>
          <w:lang w:val="uk-UA"/>
        </w:rPr>
        <w:t>вувалися методологічні підходи та</w:t>
      </w:r>
      <w:r w:rsidR="00EF72B9">
        <w:rPr>
          <w:rFonts w:cs="Arial"/>
          <w:iCs/>
          <w:lang w:val="uk-UA"/>
        </w:rPr>
        <w:t xml:space="preserve"> інструменти для стратегічного й</w:t>
      </w:r>
      <w:r w:rsidRPr="00C2587D">
        <w:rPr>
          <w:rFonts w:cs="Arial"/>
          <w:iCs/>
          <w:lang w:val="uk-UA"/>
        </w:rPr>
        <w:t xml:space="preserve"> операційного планування, що застосовуються в країнах ЄС із врахуванням особливостей України. Принципи та інструменти, які застосовувалися для визначення сфер втручання, передбачали:</w:t>
      </w:r>
    </w:p>
    <w:p w14:paraId="32946F4C" w14:textId="77777777" w:rsidR="00F16379" w:rsidRPr="00C2587D" w:rsidRDefault="00F16379" w:rsidP="00F16379">
      <w:pPr>
        <w:pStyle w:val="af1"/>
        <w:spacing w:before="120" w:after="120"/>
        <w:ind w:firstLine="567"/>
        <w:rPr>
          <w:rFonts w:cs="Arial"/>
          <w:iCs/>
          <w:lang w:val="uk-UA"/>
        </w:rPr>
      </w:pPr>
      <w:r w:rsidRPr="00C2587D">
        <w:rPr>
          <w:rFonts w:cs="Arial"/>
          <w:iCs/>
          <w:lang w:val="uk-UA"/>
        </w:rPr>
        <w:t>•</w:t>
      </w:r>
      <w:r w:rsidRPr="00C2587D">
        <w:rPr>
          <w:rFonts w:cs="Arial"/>
          <w:iCs/>
          <w:lang w:val="uk-UA"/>
        </w:rPr>
        <w:tab/>
        <w:t>Партнерство – домовленість про спільні цілі шляхом консультацій та на основі консенсусу з представниками влади, ділових кіл, освітніх установ, організацій громадянського суспільства та інших відповідних зацікавлених сторін.</w:t>
      </w:r>
    </w:p>
    <w:p w14:paraId="037E9504" w14:textId="3BAD1AAC" w:rsidR="00F16379" w:rsidRPr="00C2587D" w:rsidRDefault="00F16379" w:rsidP="00F16379">
      <w:pPr>
        <w:pStyle w:val="af1"/>
        <w:spacing w:before="120" w:after="120"/>
        <w:ind w:firstLine="567"/>
        <w:rPr>
          <w:rFonts w:cs="Arial"/>
          <w:iCs/>
          <w:lang w:val="uk-UA"/>
        </w:rPr>
      </w:pPr>
      <w:r w:rsidRPr="00C2587D">
        <w:rPr>
          <w:rFonts w:cs="Arial"/>
          <w:iCs/>
          <w:lang w:val="uk-UA"/>
        </w:rPr>
        <w:lastRenderedPageBreak/>
        <w:t>•</w:t>
      </w:r>
      <w:r w:rsidRPr="00C2587D">
        <w:rPr>
          <w:rFonts w:cs="Arial"/>
          <w:iCs/>
          <w:lang w:val="uk-UA"/>
        </w:rPr>
        <w:tab/>
        <w:t>Участь та спільна зацікавленість – забезпечення широкої соціальної згоди, чіткої громадської підтримки реалізації, зацікавленості діяти в напрямку спільних цілей, взаємної дові</w:t>
      </w:r>
      <w:r w:rsidR="00403969">
        <w:rPr>
          <w:rFonts w:cs="Arial"/>
          <w:iCs/>
          <w:lang w:val="uk-UA"/>
        </w:rPr>
        <w:t xml:space="preserve">ри, спільної відповідальності та </w:t>
      </w:r>
      <w:r w:rsidRPr="00C2587D">
        <w:rPr>
          <w:rFonts w:cs="Arial"/>
          <w:iCs/>
          <w:lang w:val="uk-UA"/>
        </w:rPr>
        <w:t>підзвітності, а також захист від спроб окремих суб’єктів розвитку реалізовувати лише власні інтереси.</w:t>
      </w:r>
    </w:p>
    <w:p w14:paraId="2A275996" w14:textId="77777777" w:rsidR="00F16379" w:rsidRPr="00C2587D" w:rsidRDefault="00F16379" w:rsidP="00F16379">
      <w:pPr>
        <w:pStyle w:val="af1"/>
        <w:spacing w:before="120" w:after="120"/>
        <w:ind w:firstLine="567"/>
        <w:rPr>
          <w:rFonts w:cs="Arial"/>
          <w:iCs/>
          <w:lang w:val="uk-UA"/>
        </w:rPr>
      </w:pPr>
      <w:r w:rsidRPr="00C2587D">
        <w:rPr>
          <w:rFonts w:cs="Arial"/>
          <w:iCs/>
          <w:lang w:val="uk-UA"/>
        </w:rPr>
        <w:t>•</w:t>
      </w:r>
      <w:r w:rsidRPr="00C2587D">
        <w:rPr>
          <w:rFonts w:cs="Arial"/>
          <w:iCs/>
          <w:lang w:val="uk-UA"/>
        </w:rPr>
        <w:tab/>
        <w:t>Сталість – результат застосування уставлених принципів і методологічних інструментів, таких як баланс і узгодженість стратегічних і операційних елементів (цілей, заходів, програм).</w:t>
      </w:r>
    </w:p>
    <w:p w14:paraId="42A4A83F" w14:textId="77777777" w:rsidR="00F16379" w:rsidRPr="00C2587D" w:rsidRDefault="00F16379" w:rsidP="00F16379">
      <w:pPr>
        <w:pStyle w:val="af1"/>
        <w:spacing w:before="120" w:after="120"/>
        <w:ind w:firstLine="567"/>
        <w:rPr>
          <w:rFonts w:cs="Arial"/>
          <w:iCs/>
          <w:lang w:val="uk-UA"/>
        </w:rPr>
      </w:pPr>
      <w:r w:rsidRPr="00C2587D">
        <w:rPr>
          <w:rFonts w:cs="Arial"/>
          <w:iCs/>
          <w:lang w:val="uk-UA"/>
        </w:rPr>
        <w:t>•</w:t>
      </w:r>
      <w:r w:rsidRPr="00C2587D">
        <w:rPr>
          <w:rFonts w:cs="Arial"/>
          <w:iCs/>
          <w:lang w:val="uk-UA"/>
        </w:rPr>
        <w:tab/>
        <w:t>Інтеграцію – досягнуту завдяки широкій участі усіх зацікавлених сторін та забезпеченню їх потреб на місцевому рівні через розробку спільних заходів.</w:t>
      </w:r>
    </w:p>
    <w:p w14:paraId="41D7456D" w14:textId="46BAD4A1" w:rsidR="00F16379" w:rsidRPr="00C2587D" w:rsidRDefault="00F16379" w:rsidP="00F16379">
      <w:pPr>
        <w:pStyle w:val="af1"/>
        <w:spacing w:before="120" w:after="120"/>
        <w:ind w:firstLine="567"/>
        <w:rPr>
          <w:rFonts w:cs="Arial"/>
          <w:iCs/>
          <w:lang w:val="uk-UA"/>
        </w:rPr>
      </w:pPr>
      <w:r w:rsidRPr="00C2587D">
        <w:rPr>
          <w:rFonts w:cs="Arial"/>
          <w:iCs/>
          <w:lang w:val="uk-UA"/>
        </w:rPr>
        <w:t>•</w:t>
      </w:r>
      <w:r w:rsidRPr="00C2587D">
        <w:rPr>
          <w:rFonts w:cs="Arial"/>
          <w:iCs/>
          <w:lang w:val="uk-UA"/>
        </w:rPr>
        <w:tab/>
        <w:t>Інновацію – визначення оптимальн</w:t>
      </w:r>
      <w:r w:rsidR="00622E9B">
        <w:rPr>
          <w:rFonts w:cs="Arial"/>
          <w:iCs/>
          <w:lang w:val="uk-UA"/>
        </w:rPr>
        <w:t>их і оригінальних втручань (проє</w:t>
      </w:r>
      <w:r w:rsidRPr="00C2587D">
        <w:rPr>
          <w:rFonts w:cs="Arial"/>
          <w:iCs/>
          <w:lang w:val="uk-UA"/>
        </w:rPr>
        <w:t>ктів) з метою забезпечення найбільш ефективного використання наявних ресурсів.</w:t>
      </w:r>
    </w:p>
    <w:p w14:paraId="47C98A40" w14:textId="7A8F4228" w:rsidR="00F16379" w:rsidRPr="00C2587D" w:rsidRDefault="00F16379" w:rsidP="00F16379">
      <w:pPr>
        <w:pStyle w:val="af1"/>
        <w:spacing w:before="120" w:after="120"/>
        <w:ind w:firstLine="567"/>
        <w:rPr>
          <w:rFonts w:cs="Arial"/>
          <w:iCs/>
          <w:lang w:val="uk-UA"/>
        </w:rPr>
      </w:pPr>
      <w:r w:rsidRPr="00C2587D">
        <w:rPr>
          <w:rFonts w:cs="Arial"/>
          <w:iCs/>
          <w:lang w:val="uk-UA"/>
        </w:rPr>
        <w:t>•</w:t>
      </w:r>
      <w:r w:rsidRPr="00C2587D">
        <w:rPr>
          <w:rFonts w:cs="Arial"/>
          <w:iCs/>
          <w:lang w:val="uk-UA"/>
        </w:rPr>
        <w:tab/>
        <w:t>Узгодженість, ієрархію та взаємопов’язаність – передбачення у планувальних документах нижчого рівня узгодженості з планами вищого рівня з можливою більшою конкретизацією.</w:t>
      </w:r>
    </w:p>
    <w:p w14:paraId="52417846" w14:textId="65DBA38A" w:rsidR="007A7373" w:rsidRPr="00C2587D" w:rsidRDefault="002E645F" w:rsidP="00073198">
      <w:pPr>
        <w:pStyle w:val="af1"/>
        <w:spacing w:before="120" w:after="120"/>
        <w:ind w:firstLine="567"/>
        <w:rPr>
          <w:rFonts w:cs="Arial"/>
          <w:iCs/>
          <w:lang w:val="uk-UA"/>
        </w:rPr>
      </w:pPr>
      <w:r w:rsidRPr="00C2587D">
        <w:rPr>
          <w:rFonts w:cs="Arial"/>
          <w:iCs/>
          <w:lang w:val="uk-UA"/>
        </w:rPr>
        <w:t>Для забезпечення публічності та прозорості підготовки Плану заходів проводили</w:t>
      </w:r>
      <w:r w:rsidR="00AA15E2">
        <w:rPr>
          <w:rFonts w:cs="Arial"/>
          <w:iCs/>
          <w:lang w:val="uk-UA"/>
        </w:rPr>
        <w:t xml:space="preserve">сь консультації з зацікавленими </w:t>
      </w:r>
      <w:r w:rsidRPr="00C2587D">
        <w:rPr>
          <w:rFonts w:cs="Arial"/>
          <w:iCs/>
          <w:lang w:val="uk-UA"/>
        </w:rPr>
        <w:t>сторонами для узгодження позицій щодо місцевих програм розвитку та проєктів місцевого розвитку, які пропонувались для включення до Плану заходів</w:t>
      </w:r>
    </w:p>
    <w:p w14:paraId="58DCAFA1" w14:textId="33C0283E" w:rsidR="002E645F" w:rsidRPr="00C2587D" w:rsidRDefault="002E645F" w:rsidP="00073198">
      <w:pPr>
        <w:pStyle w:val="af1"/>
        <w:spacing w:before="120" w:after="120"/>
        <w:ind w:firstLine="567"/>
        <w:rPr>
          <w:rFonts w:cs="Arial"/>
          <w:iCs/>
          <w:lang w:val="uk-UA"/>
        </w:rPr>
      </w:pPr>
      <w:r w:rsidRPr="00C2587D">
        <w:rPr>
          <w:rFonts w:cs="Arial"/>
          <w:iCs/>
          <w:lang w:val="uk-UA"/>
        </w:rPr>
        <w:t xml:space="preserve">План заходів узгоджено з наявними </w:t>
      </w:r>
      <w:r w:rsidR="00AA15E2">
        <w:rPr>
          <w:rFonts w:cs="Arial"/>
          <w:iCs/>
          <w:lang w:val="uk-UA"/>
        </w:rPr>
        <w:t>й</w:t>
      </w:r>
      <w:r w:rsidRPr="00C2587D">
        <w:rPr>
          <w:rFonts w:cs="Arial"/>
          <w:iCs/>
          <w:lang w:val="uk-UA"/>
        </w:rPr>
        <w:t xml:space="preserve"> передбачуваними джерелами фінансування і можливостями для реалізації проєктів місцевого розвитку та місцевих програм розвитку. </w:t>
      </w:r>
    </w:p>
    <w:p w14:paraId="254A9353" w14:textId="35BB8C57" w:rsidR="002E645F" w:rsidRPr="00C2587D" w:rsidRDefault="002E645F" w:rsidP="00073198">
      <w:pPr>
        <w:pStyle w:val="af1"/>
        <w:spacing w:before="120" w:after="120"/>
        <w:ind w:firstLine="567"/>
        <w:rPr>
          <w:rFonts w:cs="Arial"/>
          <w:iCs/>
          <w:lang w:val="uk-UA"/>
        </w:rPr>
      </w:pPr>
      <w:r w:rsidRPr="00C2587D">
        <w:rPr>
          <w:rFonts w:cs="Arial"/>
          <w:iCs/>
          <w:lang w:val="uk-UA"/>
        </w:rPr>
        <w:t xml:space="preserve">Фінансове забезпечення реалізації Стратегії та Плану заходів здійснюється </w:t>
      </w:r>
      <w:r w:rsidR="00AA15E2">
        <w:rPr>
          <w:rFonts w:cs="Arial"/>
          <w:iCs/>
          <w:lang w:val="uk-UA"/>
        </w:rPr>
        <w:t>коштом</w:t>
      </w:r>
      <w:r w:rsidRPr="00C2587D">
        <w:rPr>
          <w:rFonts w:cs="Arial"/>
          <w:iCs/>
          <w:lang w:val="uk-UA"/>
        </w:rPr>
        <w:t xml:space="preserve">: </w:t>
      </w:r>
    </w:p>
    <w:p w14:paraId="390296D8" w14:textId="62A6CEAF" w:rsidR="002E645F" w:rsidRPr="00C2587D" w:rsidRDefault="00AA15E2" w:rsidP="00073198">
      <w:pPr>
        <w:pStyle w:val="af1"/>
        <w:spacing w:before="120" w:after="120"/>
        <w:ind w:firstLine="567"/>
        <w:rPr>
          <w:rFonts w:cs="Arial"/>
          <w:iCs/>
          <w:lang w:val="uk-UA"/>
        </w:rPr>
      </w:pPr>
      <w:r>
        <w:rPr>
          <w:rFonts w:cs="Arial"/>
          <w:iCs/>
          <w:lang w:val="uk-UA"/>
        </w:rPr>
        <w:t xml:space="preserve">- </w:t>
      </w:r>
      <w:r w:rsidR="002E645F" w:rsidRPr="00C2587D">
        <w:rPr>
          <w:rFonts w:cs="Arial"/>
          <w:iCs/>
          <w:lang w:val="uk-UA"/>
        </w:rPr>
        <w:t>бюджету місько</w:t>
      </w:r>
      <w:r w:rsidR="00073198" w:rsidRPr="00C2587D">
        <w:rPr>
          <w:rFonts w:cs="Arial"/>
          <w:iCs/>
          <w:lang w:val="uk-UA"/>
        </w:rPr>
        <w:t xml:space="preserve">ї </w:t>
      </w:r>
      <w:r w:rsidR="002E645F" w:rsidRPr="00C2587D">
        <w:rPr>
          <w:rFonts w:cs="Arial"/>
          <w:iCs/>
          <w:lang w:val="uk-UA"/>
        </w:rPr>
        <w:t xml:space="preserve">територіальної громади; </w:t>
      </w:r>
    </w:p>
    <w:p w14:paraId="33619F15" w14:textId="3453F866" w:rsidR="002E645F" w:rsidRPr="00C2587D" w:rsidRDefault="00073198" w:rsidP="00073198">
      <w:pPr>
        <w:pStyle w:val="af1"/>
        <w:spacing w:before="120" w:after="120"/>
        <w:ind w:firstLine="567"/>
        <w:rPr>
          <w:rFonts w:cs="Arial"/>
          <w:iCs/>
          <w:lang w:val="uk-UA"/>
        </w:rPr>
      </w:pPr>
      <w:r w:rsidRPr="00C2587D">
        <w:rPr>
          <w:rFonts w:cs="Arial"/>
          <w:iCs/>
          <w:lang w:val="uk-UA"/>
        </w:rPr>
        <w:t xml:space="preserve">- </w:t>
      </w:r>
      <w:r w:rsidR="002E645F" w:rsidRPr="00C2587D">
        <w:rPr>
          <w:rFonts w:cs="Arial"/>
          <w:iCs/>
          <w:lang w:val="uk-UA"/>
        </w:rPr>
        <w:t xml:space="preserve">державного бюджету, в тому числі міжбюджетних трансфертів з державного бюджету місцевим бюджетам; </w:t>
      </w:r>
    </w:p>
    <w:p w14:paraId="4320AE76" w14:textId="146D3F51" w:rsidR="002E645F" w:rsidRPr="00C2587D" w:rsidRDefault="00073198" w:rsidP="00073198">
      <w:pPr>
        <w:pStyle w:val="af1"/>
        <w:spacing w:before="120" w:after="120"/>
        <w:ind w:firstLine="567"/>
        <w:rPr>
          <w:rFonts w:cs="Arial"/>
          <w:iCs/>
          <w:lang w:val="uk-UA"/>
        </w:rPr>
      </w:pPr>
      <w:r w:rsidRPr="00C2587D">
        <w:rPr>
          <w:rFonts w:cs="Arial"/>
          <w:iCs/>
          <w:lang w:val="uk-UA"/>
        </w:rPr>
        <w:t>-</w:t>
      </w:r>
      <w:r w:rsidR="002E645F" w:rsidRPr="00C2587D">
        <w:rPr>
          <w:rFonts w:cs="Arial"/>
          <w:iCs/>
          <w:lang w:val="uk-UA"/>
        </w:rPr>
        <w:t xml:space="preserve"> </w:t>
      </w:r>
      <w:r w:rsidRPr="00C2587D">
        <w:rPr>
          <w:rFonts w:cs="Arial"/>
          <w:iCs/>
          <w:lang w:val="uk-UA"/>
        </w:rPr>
        <w:t>обласного</w:t>
      </w:r>
      <w:r w:rsidR="002E645F" w:rsidRPr="00C2587D">
        <w:rPr>
          <w:rFonts w:cs="Arial"/>
          <w:iCs/>
          <w:lang w:val="uk-UA"/>
        </w:rPr>
        <w:t xml:space="preserve"> бюджету; </w:t>
      </w:r>
    </w:p>
    <w:p w14:paraId="57D1C9CB" w14:textId="2FD5C72C" w:rsidR="002E645F" w:rsidRPr="00C2587D" w:rsidRDefault="00073198" w:rsidP="00073198">
      <w:pPr>
        <w:pStyle w:val="af1"/>
        <w:spacing w:before="120" w:after="120"/>
        <w:ind w:firstLine="567"/>
        <w:rPr>
          <w:rFonts w:cs="Arial"/>
          <w:iCs/>
          <w:lang w:val="uk-UA"/>
        </w:rPr>
      </w:pPr>
      <w:r w:rsidRPr="00C2587D">
        <w:rPr>
          <w:rFonts w:cs="Arial"/>
          <w:iCs/>
          <w:lang w:val="uk-UA"/>
        </w:rPr>
        <w:t>-</w:t>
      </w:r>
      <w:r w:rsidR="002E645F" w:rsidRPr="00C2587D">
        <w:rPr>
          <w:rFonts w:cs="Arial"/>
          <w:iCs/>
          <w:lang w:val="uk-UA"/>
        </w:rPr>
        <w:t xml:space="preserve"> </w:t>
      </w:r>
      <w:r w:rsidR="00AA15E2">
        <w:rPr>
          <w:rFonts w:cs="Arial"/>
          <w:iCs/>
          <w:lang w:val="uk-UA"/>
        </w:rPr>
        <w:t>фінансовим ресурсом, який надходи</w:t>
      </w:r>
      <w:r w:rsidRPr="00C2587D">
        <w:rPr>
          <w:rFonts w:cs="Arial"/>
          <w:iCs/>
          <w:lang w:val="uk-UA"/>
        </w:rPr>
        <w:t>ть до бюджету</w:t>
      </w:r>
      <w:r w:rsidR="00AA15E2">
        <w:rPr>
          <w:rFonts w:cs="Arial"/>
          <w:iCs/>
          <w:lang w:val="uk-UA"/>
        </w:rPr>
        <w:t xml:space="preserve"> в рамках програм допомоги та</w:t>
      </w:r>
      <w:r w:rsidR="002E645F" w:rsidRPr="00C2587D">
        <w:rPr>
          <w:rFonts w:cs="Arial"/>
          <w:iCs/>
          <w:lang w:val="uk-UA"/>
        </w:rPr>
        <w:t xml:space="preserve"> грантів Європейського Союзу, урядів іноземних держав, міжнародних організацій, донорських установ</w:t>
      </w:r>
      <w:r w:rsidRPr="00C2587D">
        <w:rPr>
          <w:rFonts w:cs="Arial"/>
          <w:iCs/>
          <w:lang w:val="uk-UA"/>
        </w:rPr>
        <w:t xml:space="preserve"> і т.д.</w:t>
      </w:r>
      <w:r w:rsidR="002E645F" w:rsidRPr="00C2587D">
        <w:rPr>
          <w:rFonts w:cs="Arial"/>
          <w:iCs/>
          <w:lang w:val="uk-UA"/>
        </w:rPr>
        <w:t xml:space="preserve">; </w:t>
      </w:r>
    </w:p>
    <w:p w14:paraId="2637644A" w14:textId="28572548" w:rsidR="002E645F" w:rsidRPr="00C2587D" w:rsidRDefault="00073198" w:rsidP="00073198">
      <w:pPr>
        <w:pStyle w:val="af1"/>
        <w:spacing w:before="120" w:after="120"/>
        <w:ind w:firstLine="567"/>
        <w:rPr>
          <w:rFonts w:cs="Arial"/>
          <w:iCs/>
          <w:lang w:val="uk-UA"/>
        </w:rPr>
      </w:pPr>
      <w:r w:rsidRPr="00C2587D">
        <w:rPr>
          <w:rFonts w:cs="Arial"/>
          <w:iCs/>
          <w:lang w:val="uk-UA"/>
        </w:rPr>
        <w:t>-</w:t>
      </w:r>
      <w:r w:rsidR="002E645F" w:rsidRPr="00C2587D">
        <w:rPr>
          <w:rFonts w:cs="Arial"/>
          <w:iCs/>
          <w:lang w:val="uk-UA"/>
        </w:rPr>
        <w:t xml:space="preserve"> інших джерел, не заборонених законодавством. </w:t>
      </w:r>
    </w:p>
    <w:p w14:paraId="5EE83A3B" w14:textId="77777777" w:rsidR="00073198" w:rsidRPr="00C2587D" w:rsidRDefault="00073198" w:rsidP="005C1591">
      <w:pPr>
        <w:pStyle w:val="af1"/>
        <w:spacing w:before="120" w:after="120"/>
        <w:ind w:firstLine="567"/>
        <w:rPr>
          <w:rFonts w:cs="Arial"/>
          <w:b/>
          <w:bCs/>
          <w:iCs/>
          <w:sz w:val="32"/>
          <w:szCs w:val="32"/>
          <w:lang w:val="uk-UA"/>
        </w:rPr>
      </w:pPr>
    </w:p>
    <w:p w14:paraId="0E0ED123" w14:textId="77777777" w:rsidR="00073198" w:rsidRDefault="00073198" w:rsidP="005C1591">
      <w:pPr>
        <w:pStyle w:val="af1"/>
        <w:spacing w:before="120" w:after="120"/>
        <w:ind w:firstLine="567"/>
        <w:rPr>
          <w:rFonts w:cs="Arial"/>
          <w:b/>
          <w:bCs/>
          <w:iCs/>
          <w:sz w:val="32"/>
          <w:szCs w:val="32"/>
          <w:lang w:val="uk-UA"/>
        </w:rPr>
      </w:pPr>
    </w:p>
    <w:p w14:paraId="51FD55A6" w14:textId="77777777" w:rsidR="00FC48E5" w:rsidRDefault="00FC48E5" w:rsidP="005C1591">
      <w:pPr>
        <w:pStyle w:val="af1"/>
        <w:spacing w:before="120" w:after="120"/>
        <w:ind w:firstLine="567"/>
        <w:rPr>
          <w:rFonts w:cs="Arial"/>
          <w:b/>
          <w:bCs/>
          <w:iCs/>
          <w:sz w:val="32"/>
          <w:szCs w:val="32"/>
          <w:lang w:val="uk-UA"/>
        </w:rPr>
      </w:pPr>
    </w:p>
    <w:p w14:paraId="7ECBAD0C" w14:textId="77777777" w:rsidR="00FC48E5" w:rsidRDefault="00FC48E5" w:rsidP="005C1591">
      <w:pPr>
        <w:pStyle w:val="af1"/>
        <w:spacing w:before="120" w:after="120"/>
        <w:ind w:firstLine="567"/>
        <w:rPr>
          <w:rFonts w:cs="Arial"/>
          <w:b/>
          <w:bCs/>
          <w:iCs/>
          <w:sz w:val="32"/>
          <w:szCs w:val="32"/>
          <w:lang w:val="uk-UA"/>
        </w:rPr>
      </w:pPr>
    </w:p>
    <w:p w14:paraId="66BAAD34" w14:textId="77777777" w:rsidR="00FC48E5" w:rsidRDefault="00FC48E5" w:rsidP="005C1591">
      <w:pPr>
        <w:pStyle w:val="af1"/>
        <w:spacing w:before="120" w:after="120"/>
        <w:ind w:firstLine="567"/>
        <w:rPr>
          <w:rFonts w:cs="Arial"/>
          <w:b/>
          <w:bCs/>
          <w:iCs/>
          <w:sz w:val="32"/>
          <w:szCs w:val="32"/>
          <w:lang w:val="uk-UA"/>
        </w:rPr>
      </w:pPr>
    </w:p>
    <w:p w14:paraId="111CEBA8" w14:textId="00FC7B26" w:rsidR="00FC48E5" w:rsidRDefault="00FC48E5" w:rsidP="005C1591">
      <w:pPr>
        <w:pStyle w:val="af1"/>
        <w:spacing w:before="120" w:after="120"/>
        <w:ind w:firstLine="567"/>
        <w:rPr>
          <w:rFonts w:cs="Arial"/>
          <w:b/>
          <w:bCs/>
          <w:iCs/>
          <w:sz w:val="32"/>
          <w:szCs w:val="32"/>
          <w:lang w:val="uk-UA"/>
        </w:rPr>
      </w:pPr>
    </w:p>
    <w:p w14:paraId="710D05F7" w14:textId="77777777" w:rsidR="00FC48E5" w:rsidRDefault="00FC48E5" w:rsidP="005C1591">
      <w:pPr>
        <w:pStyle w:val="af1"/>
        <w:spacing w:before="120" w:after="120"/>
        <w:ind w:firstLine="567"/>
        <w:rPr>
          <w:rFonts w:cs="Arial"/>
          <w:b/>
          <w:bCs/>
          <w:iCs/>
          <w:sz w:val="32"/>
          <w:szCs w:val="32"/>
          <w:lang w:val="uk-UA"/>
        </w:rPr>
      </w:pPr>
    </w:p>
    <w:p w14:paraId="1BAAD888" w14:textId="77777777" w:rsidR="00FC48E5" w:rsidRDefault="00FC48E5" w:rsidP="005C1591">
      <w:pPr>
        <w:pStyle w:val="af1"/>
        <w:spacing w:before="120" w:after="120"/>
        <w:ind w:firstLine="567"/>
        <w:rPr>
          <w:rFonts w:cs="Arial"/>
          <w:b/>
          <w:bCs/>
          <w:iCs/>
          <w:sz w:val="32"/>
          <w:szCs w:val="32"/>
          <w:lang w:val="uk-UA"/>
        </w:rPr>
      </w:pPr>
    </w:p>
    <w:p w14:paraId="0441ABE8" w14:textId="77777777" w:rsidR="00FC48E5" w:rsidRDefault="00FC48E5" w:rsidP="005C1591">
      <w:pPr>
        <w:pStyle w:val="af1"/>
        <w:spacing w:before="120" w:after="120"/>
        <w:ind w:firstLine="567"/>
        <w:rPr>
          <w:rFonts w:cs="Arial"/>
          <w:b/>
          <w:bCs/>
          <w:iCs/>
          <w:sz w:val="32"/>
          <w:szCs w:val="32"/>
          <w:lang w:val="uk-UA"/>
        </w:rPr>
      </w:pPr>
    </w:p>
    <w:p w14:paraId="666C963B" w14:textId="77777777" w:rsidR="00FC48E5" w:rsidRDefault="00FC48E5" w:rsidP="005C1591">
      <w:pPr>
        <w:pStyle w:val="af1"/>
        <w:spacing w:before="120" w:after="120"/>
        <w:ind w:firstLine="567"/>
        <w:rPr>
          <w:rFonts w:cs="Arial"/>
          <w:b/>
          <w:bCs/>
          <w:iCs/>
          <w:sz w:val="32"/>
          <w:szCs w:val="32"/>
          <w:lang w:val="uk-UA"/>
        </w:rPr>
      </w:pPr>
    </w:p>
    <w:p w14:paraId="6ECC430D" w14:textId="77777777" w:rsidR="00FC48E5" w:rsidRPr="00C2587D" w:rsidRDefault="00FC48E5" w:rsidP="005C1591">
      <w:pPr>
        <w:pStyle w:val="af1"/>
        <w:spacing w:before="120" w:after="120"/>
        <w:ind w:firstLine="567"/>
        <w:rPr>
          <w:rFonts w:cs="Arial"/>
          <w:b/>
          <w:bCs/>
          <w:iCs/>
          <w:sz w:val="32"/>
          <w:szCs w:val="32"/>
          <w:lang w:val="uk-UA"/>
        </w:rPr>
      </w:pPr>
    </w:p>
    <w:p w14:paraId="5C75CEA8" w14:textId="59384627" w:rsidR="007A7373" w:rsidRPr="00A041B2" w:rsidRDefault="00073198" w:rsidP="005C1591">
      <w:pPr>
        <w:pStyle w:val="af1"/>
        <w:spacing w:before="120" w:after="120"/>
        <w:ind w:firstLine="567"/>
        <w:rPr>
          <w:rFonts w:cs="Arial"/>
          <w:iCs/>
          <w:sz w:val="28"/>
          <w:szCs w:val="32"/>
          <w:lang w:val="uk-UA"/>
        </w:rPr>
      </w:pPr>
      <w:r w:rsidRPr="00A041B2">
        <w:rPr>
          <w:rFonts w:cs="Arial"/>
          <w:b/>
          <w:bCs/>
          <w:iCs/>
          <w:sz w:val="28"/>
          <w:szCs w:val="32"/>
          <w:lang w:val="uk-UA"/>
        </w:rPr>
        <w:lastRenderedPageBreak/>
        <w:t>2. СТРАТЕГІЧНІ, ОПЕРАТИВНІ ЦІЛІ ТА ЗАВДАННЯ СТРАТЕГІЇ РОЗВИТКУ ЖМЕРИНСЬКОЇ МІСЬКОЇ ТЕРИТОРІАЛЬНОЇ ГРОМАДИ ДО 2030 РОКУ</w:t>
      </w:r>
    </w:p>
    <w:p w14:paraId="2E85F90B" w14:textId="77777777" w:rsidR="007A7373" w:rsidRPr="00C2587D" w:rsidRDefault="007A7373" w:rsidP="005C1591">
      <w:pPr>
        <w:pStyle w:val="af1"/>
        <w:spacing w:before="120" w:after="120"/>
        <w:ind w:firstLine="567"/>
        <w:rPr>
          <w:rFonts w:cs="Arial"/>
          <w:iCs/>
          <w:lang w:val="uk-UA"/>
        </w:rPr>
      </w:pPr>
    </w:p>
    <w:p w14:paraId="0B3877CC" w14:textId="0B40A0C0" w:rsidR="00CD4B92" w:rsidRPr="00C2587D" w:rsidRDefault="00073198" w:rsidP="005C1591">
      <w:pPr>
        <w:pStyle w:val="af1"/>
        <w:spacing w:before="120" w:after="120"/>
        <w:ind w:firstLine="567"/>
        <w:rPr>
          <w:rFonts w:cs="Arial"/>
          <w:iCs/>
          <w:lang w:val="uk-UA"/>
        </w:rPr>
      </w:pPr>
      <w:r w:rsidRPr="00C2587D">
        <w:rPr>
          <w:lang w:val="uk-UA"/>
        </w:rPr>
        <w:t xml:space="preserve">План заходів сформований у відповідності до </w:t>
      </w:r>
      <w:r w:rsidRPr="00C2587D">
        <w:rPr>
          <w:b/>
          <w:bCs/>
          <w:lang w:val="uk-UA"/>
        </w:rPr>
        <w:t xml:space="preserve">стратегічного бачення </w:t>
      </w:r>
      <w:r w:rsidRPr="00C2587D">
        <w:rPr>
          <w:lang w:val="uk-UA"/>
        </w:rPr>
        <w:t>громади:</w:t>
      </w:r>
    </w:p>
    <w:tbl>
      <w:tblPr>
        <w:tblW w:w="9781" w:type="dxa"/>
        <w:tblInd w:w="108" w:type="dxa"/>
        <w:tblBorders>
          <w:top w:val="single" w:sz="4" w:space="0" w:color="678C94"/>
          <w:left w:val="single" w:sz="4" w:space="0" w:color="678C94"/>
          <w:bottom w:val="single" w:sz="4" w:space="0" w:color="678C94"/>
          <w:right w:val="single" w:sz="4" w:space="0" w:color="678C94"/>
          <w:insideH w:val="single" w:sz="4" w:space="0" w:color="678C94"/>
          <w:insideV w:val="single" w:sz="4" w:space="0" w:color="678C94"/>
        </w:tblBorders>
        <w:tblLayout w:type="fixed"/>
        <w:tblLook w:val="01E0" w:firstRow="1" w:lastRow="1" w:firstColumn="1" w:lastColumn="1" w:noHBand="0" w:noVBand="0"/>
      </w:tblPr>
      <w:tblGrid>
        <w:gridCol w:w="9781"/>
      </w:tblGrid>
      <w:tr w:rsidR="00EA441B" w:rsidRPr="00C2587D" w14:paraId="314949A3" w14:textId="77777777" w:rsidTr="00B34356">
        <w:trPr>
          <w:trHeight w:val="369"/>
        </w:trPr>
        <w:tc>
          <w:tcPr>
            <w:tcW w:w="9781" w:type="dxa"/>
            <w:shd w:val="clear" w:color="auto" w:fill="678C94"/>
            <w:vAlign w:val="center"/>
          </w:tcPr>
          <w:p w14:paraId="10589498" w14:textId="77777777" w:rsidR="00EA441B" w:rsidRPr="00C2587D" w:rsidRDefault="00EA441B" w:rsidP="00EA441B">
            <w:pPr>
              <w:keepNext/>
              <w:widowControl w:val="0"/>
              <w:suppressAutoHyphens/>
              <w:snapToGrid w:val="0"/>
              <w:spacing w:before="40" w:after="40"/>
              <w:jc w:val="both"/>
              <w:rPr>
                <w:rFonts w:eastAsia="Calibri" w:cs="Arial"/>
                <w:szCs w:val="22"/>
                <w:lang w:eastAsia="en-US"/>
              </w:rPr>
            </w:pPr>
            <w:r w:rsidRPr="00C2587D">
              <w:rPr>
                <w:rFonts w:eastAsia="Calibri" w:cs="Arial"/>
                <w:b/>
                <w:bCs/>
                <w:szCs w:val="22"/>
                <w:lang w:eastAsia="en-US"/>
              </w:rPr>
              <w:t xml:space="preserve">Жмеринська міська територіальна громада –2030 </w:t>
            </w:r>
            <w:r w:rsidRPr="00C2587D">
              <w:rPr>
                <w:rFonts w:eastAsia="Calibri" w:cs="Arial"/>
                <w:szCs w:val="22"/>
                <w:lang w:eastAsia="en-US"/>
              </w:rPr>
              <w:t>–</w:t>
            </w:r>
            <w:r w:rsidRPr="00C2587D">
              <w:rPr>
                <w:rFonts w:eastAsia="Calibri" w:cs="Arial"/>
                <w:b/>
                <w:bCs/>
                <w:szCs w:val="22"/>
                <w:lang w:eastAsia="en-US"/>
              </w:rPr>
              <w:t xml:space="preserve"> </w:t>
            </w:r>
            <w:r w:rsidRPr="00C2587D">
              <w:rPr>
                <w:rFonts w:eastAsia="Calibri" w:cs="Arial"/>
                <w:szCs w:val="22"/>
                <w:lang w:eastAsia="en-US"/>
              </w:rPr>
              <w:t xml:space="preserve">міжнародний мультимодальний транспортно-логістичний порт Вінниччини у складі Південно-Західної залізниці; </w:t>
            </w:r>
          </w:p>
        </w:tc>
      </w:tr>
      <w:tr w:rsidR="00EA441B" w:rsidRPr="00C2587D" w14:paraId="6183E035" w14:textId="77777777" w:rsidTr="00B34356">
        <w:trPr>
          <w:trHeight w:val="1975"/>
        </w:trPr>
        <w:tc>
          <w:tcPr>
            <w:tcW w:w="9781" w:type="dxa"/>
            <w:shd w:val="clear" w:color="auto" w:fill="C3E9EB"/>
          </w:tcPr>
          <w:p w14:paraId="639AB174" w14:textId="77777777" w:rsidR="00EA441B" w:rsidRPr="00C2587D" w:rsidRDefault="00EA441B" w:rsidP="00150BEC">
            <w:pPr>
              <w:widowControl w:val="0"/>
              <w:numPr>
                <w:ilvl w:val="0"/>
                <w:numId w:val="9"/>
              </w:numPr>
              <w:tabs>
                <w:tab w:val="left" w:pos="567"/>
              </w:tabs>
              <w:suppressAutoHyphens/>
              <w:snapToGrid w:val="0"/>
              <w:spacing w:before="40" w:after="40"/>
              <w:ind w:left="604" w:hanging="567"/>
              <w:jc w:val="both"/>
              <w:rPr>
                <w:rFonts w:eastAsia="Calibri" w:cs="Arial"/>
                <w:szCs w:val="22"/>
                <w:lang w:eastAsia="en-US"/>
              </w:rPr>
            </w:pPr>
            <w:r w:rsidRPr="00C2587D">
              <w:rPr>
                <w:rFonts w:eastAsia="Calibri" w:cs="Arial"/>
                <w:szCs w:val="22"/>
                <w:lang w:eastAsia="en-US"/>
              </w:rPr>
              <w:t>економічно-спроможний та культурно-історичний центр Поділля;</w:t>
            </w:r>
          </w:p>
          <w:p w14:paraId="409694AB" w14:textId="77777777" w:rsidR="00EA441B" w:rsidRPr="00C2587D" w:rsidRDefault="00EA441B" w:rsidP="00150BEC">
            <w:pPr>
              <w:widowControl w:val="0"/>
              <w:numPr>
                <w:ilvl w:val="0"/>
                <w:numId w:val="9"/>
              </w:numPr>
              <w:tabs>
                <w:tab w:val="left" w:pos="567"/>
              </w:tabs>
              <w:suppressAutoHyphens/>
              <w:snapToGrid w:val="0"/>
              <w:spacing w:before="40" w:after="40"/>
              <w:ind w:left="604" w:hanging="567"/>
              <w:jc w:val="both"/>
              <w:rPr>
                <w:rFonts w:eastAsia="Calibri" w:cs="Arial"/>
                <w:szCs w:val="22"/>
                <w:lang w:eastAsia="en-US"/>
              </w:rPr>
            </w:pPr>
            <w:r w:rsidRPr="00C2587D">
              <w:rPr>
                <w:rFonts w:eastAsia="Calibri" w:cs="Arial"/>
                <w:szCs w:val="22"/>
                <w:lang w:eastAsia="en-US"/>
              </w:rPr>
              <w:t>громада розвиненого промислового та аграрного виробництва з сприятливим інвестиційним кліматом;</w:t>
            </w:r>
          </w:p>
          <w:p w14:paraId="6BD242AE" w14:textId="77777777" w:rsidR="00EA441B" w:rsidRPr="00C2587D" w:rsidRDefault="00EA441B" w:rsidP="00150BEC">
            <w:pPr>
              <w:widowControl w:val="0"/>
              <w:numPr>
                <w:ilvl w:val="0"/>
                <w:numId w:val="9"/>
              </w:numPr>
              <w:tabs>
                <w:tab w:val="left" w:pos="567"/>
              </w:tabs>
              <w:suppressAutoHyphens/>
              <w:snapToGrid w:val="0"/>
              <w:spacing w:before="40" w:after="40"/>
              <w:ind w:left="604" w:hanging="567"/>
              <w:jc w:val="both"/>
              <w:rPr>
                <w:rFonts w:eastAsia="Calibri" w:cs="Arial"/>
                <w:szCs w:val="22"/>
                <w:lang w:eastAsia="en-US"/>
              </w:rPr>
            </w:pPr>
            <w:r w:rsidRPr="00C2587D">
              <w:rPr>
                <w:rFonts w:eastAsia="Calibri" w:cs="Arial"/>
                <w:szCs w:val="22"/>
                <w:lang w:eastAsia="en-US"/>
              </w:rPr>
              <w:t>громада затишна і комфортна для проживання, ведення бізнесу, з  гарними умовами для освіти, відпочинку та дозвілля;</w:t>
            </w:r>
          </w:p>
          <w:p w14:paraId="7C54EFE3" w14:textId="77777777" w:rsidR="00EA441B" w:rsidRPr="00C2587D" w:rsidRDefault="00EA441B" w:rsidP="00150BEC">
            <w:pPr>
              <w:widowControl w:val="0"/>
              <w:numPr>
                <w:ilvl w:val="0"/>
                <w:numId w:val="9"/>
              </w:numPr>
              <w:tabs>
                <w:tab w:val="left" w:pos="567"/>
              </w:tabs>
              <w:suppressAutoHyphens/>
              <w:snapToGrid w:val="0"/>
              <w:spacing w:before="40" w:after="40"/>
              <w:ind w:left="604" w:hanging="567"/>
              <w:jc w:val="both"/>
              <w:rPr>
                <w:rFonts w:eastAsia="Calibri" w:cs="Arial"/>
                <w:szCs w:val="22"/>
                <w:lang w:eastAsia="en-US"/>
              </w:rPr>
            </w:pPr>
            <w:r w:rsidRPr="00C2587D">
              <w:rPr>
                <w:rFonts w:eastAsia="Calibri" w:cs="Arial"/>
                <w:szCs w:val="22"/>
                <w:lang w:eastAsia="en-US"/>
              </w:rPr>
              <w:t>відкрита, безпечна, гостинна та екологічно-дружня територія.</w:t>
            </w:r>
          </w:p>
        </w:tc>
      </w:tr>
    </w:tbl>
    <w:p w14:paraId="1B3D3E21" w14:textId="77777777" w:rsidR="00EA441B" w:rsidRPr="00C2587D" w:rsidRDefault="00EA441B" w:rsidP="00EA441B"/>
    <w:p w14:paraId="1785288B" w14:textId="09AAD7C9" w:rsidR="00835FD9" w:rsidRPr="00C2587D" w:rsidRDefault="00A96C5A" w:rsidP="00CD4B92">
      <w:pPr>
        <w:pStyle w:val="af1"/>
        <w:spacing w:before="120"/>
        <w:rPr>
          <w:rFonts w:cs="Arial"/>
          <w:iCs/>
          <w:lang w:val="uk-UA"/>
        </w:rPr>
      </w:pPr>
      <w:r w:rsidRPr="00C2587D">
        <w:rPr>
          <w:rFonts w:cs="Arial"/>
          <w:iCs/>
          <w:lang w:val="uk-UA"/>
        </w:rPr>
        <w:t>Стратегія реалізується</w:t>
      </w:r>
      <w:r w:rsidR="00CD4B92" w:rsidRPr="00C2587D">
        <w:rPr>
          <w:rFonts w:cs="Arial"/>
          <w:iCs/>
          <w:lang w:val="uk-UA"/>
        </w:rPr>
        <w:t xml:space="preserve"> у </w:t>
      </w:r>
      <w:r w:rsidR="00F262D9" w:rsidRPr="00C2587D">
        <w:rPr>
          <w:rFonts w:cs="Arial"/>
          <w:iCs/>
          <w:lang w:val="uk-UA"/>
        </w:rPr>
        <w:t>три</w:t>
      </w:r>
      <w:r w:rsidR="00CD4B92" w:rsidRPr="00C2587D">
        <w:rPr>
          <w:rFonts w:cs="Arial"/>
          <w:iCs/>
          <w:lang w:val="uk-UA"/>
        </w:rPr>
        <w:t xml:space="preserve"> етап</w:t>
      </w:r>
      <w:r w:rsidR="00BC27A5" w:rsidRPr="00C2587D">
        <w:rPr>
          <w:rFonts w:cs="Arial"/>
          <w:iCs/>
          <w:lang w:val="uk-UA"/>
        </w:rPr>
        <w:t>и</w:t>
      </w:r>
      <w:r w:rsidR="00CD4B92" w:rsidRPr="00C2587D">
        <w:rPr>
          <w:rFonts w:cs="Arial"/>
          <w:iCs/>
          <w:lang w:val="uk-UA"/>
        </w:rPr>
        <w:t>:</w:t>
      </w:r>
    </w:p>
    <w:p w14:paraId="6A712AF2" w14:textId="77777777" w:rsidR="00835FD9" w:rsidRPr="00C2587D" w:rsidRDefault="00835FD9" w:rsidP="00150BEC">
      <w:pPr>
        <w:pStyle w:val="af1"/>
        <w:numPr>
          <w:ilvl w:val="0"/>
          <w:numId w:val="8"/>
        </w:numPr>
        <w:spacing w:before="120"/>
        <w:ind w:left="567" w:hanging="567"/>
        <w:rPr>
          <w:rFonts w:cs="Arial"/>
          <w:iCs/>
          <w:lang w:val="uk-UA"/>
        </w:rPr>
      </w:pPr>
      <w:r w:rsidRPr="00C2587D">
        <w:rPr>
          <w:rFonts w:cs="Arial"/>
          <w:iCs/>
          <w:lang w:val="uk-UA"/>
        </w:rPr>
        <w:t xml:space="preserve">1 етап: </w:t>
      </w:r>
      <w:r w:rsidR="006D5CE1" w:rsidRPr="00C2587D">
        <w:rPr>
          <w:rFonts w:cs="Arial"/>
          <w:iCs/>
          <w:lang w:val="uk-UA"/>
        </w:rPr>
        <w:t>202</w:t>
      </w:r>
      <w:r w:rsidR="00F262D9" w:rsidRPr="00C2587D">
        <w:rPr>
          <w:rFonts w:cs="Arial"/>
          <w:iCs/>
          <w:lang w:val="uk-UA"/>
        </w:rPr>
        <w:t>1</w:t>
      </w:r>
      <w:r w:rsidR="006D5CE1" w:rsidRPr="00C2587D">
        <w:rPr>
          <w:rFonts w:cs="Arial"/>
          <w:iCs/>
          <w:lang w:val="uk-UA"/>
        </w:rPr>
        <w:t xml:space="preserve"> – 202</w:t>
      </w:r>
      <w:r w:rsidR="00F262D9" w:rsidRPr="00C2587D">
        <w:rPr>
          <w:rFonts w:cs="Arial"/>
          <w:iCs/>
          <w:lang w:val="uk-UA"/>
        </w:rPr>
        <w:t>4</w:t>
      </w:r>
      <w:r w:rsidRPr="00C2587D">
        <w:rPr>
          <w:rFonts w:cs="Arial"/>
          <w:iCs/>
          <w:lang w:val="uk-UA"/>
        </w:rPr>
        <w:t xml:space="preserve"> роки</w:t>
      </w:r>
      <w:r w:rsidR="00BC27A5" w:rsidRPr="00C2587D">
        <w:rPr>
          <w:rFonts w:cs="Arial"/>
          <w:iCs/>
          <w:lang w:val="uk-UA"/>
        </w:rPr>
        <w:t>,</w:t>
      </w:r>
    </w:p>
    <w:p w14:paraId="12896693" w14:textId="55F5FC16" w:rsidR="00835FD9" w:rsidRPr="00C2587D" w:rsidRDefault="00835FD9" w:rsidP="00150BEC">
      <w:pPr>
        <w:pStyle w:val="af1"/>
        <w:numPr>
          <w:ilvl w:val="0"/>
          <w:numId w:val="8"/>
        </w:numPr>
        <w:spacing w:before="120"/>
        <w:ind w:left="567" w:hanging="567"/>
        <w:rPr>
          <w:rFonts w:cs="Arial"/>
          <w:iCs/>
          <w:lang w:val="uk-UA"/>
        </w:rPr>
      </w:pPr>
      <w:r w:rsidRPr="00C2587D">
        <w:rPr>
          <w:rFonts w:cs="Arial"/>
          <w:iCs/>
          <w:lang w:val="uk-UA"/>
        </w:rPr>
        <w:t>2 етап:</w:t>
      </w:r>
      <w:r w:rsidR="00CD4B92" w:rsidRPr="00C2587D">
        <w:rPr>
          <w:rFonts w:cs="Arial"/>
          <w:iCs/>
          <w:lang w:val="uk-UA"/>
        </w:rPr>
        <w:t xml:space="preserve"> </w:t>
      </w:r>
      <w:r w:rsidR="003070CE" w:rsidRPr="00C2587D">
        <w:rPr>
          <w:rFonts w:cs="Arial"/>
          <w:iCs/>
          <w:lang w:val="uk-UA"/>
        </w:rPr>
        <w:t>202</w:t>
      </w:r>
      <w:r w:rsidR="00F262D9" w:rsidRPr="00C2587D">
        <w:rPr>
          <w:rFonts w:cs="Arial"/>
          <w:iCs/>
          <w:lang w:val="uk-UA"/>
        </w:rPr>
        <w:t>5</w:t>
      </w:r>
      <w:r w:rsidR="00CD4B92" w:rsidRPr="00C2587D">
        <w:rPr>
          <w:rFonts w:cs="Arial"/>
          <w:iCs/>
          <w:lang w:val="uk-UA"/>
        </w:rPr>
        <w:t xml:space="preserve"> – 202</w:t>
      </w:r>
      <w:r w:rsidR="00A96C5A" w:rsidRPr="00C2587D">
        <w:rPr>
          <w:rFonts w:cs="Arial"/>
          <w:iCs/>
          <w:lang w:val="uk-UA"/>
        </w:rPr>
        <w:t>8</w:t>
      </w:r>
      <w:r w:rsidR="00F262D9" w:rsidRPr="00C2587D">
        <w:rPr>
          <w:rFonts w:cs="Arial"/>
          <w:iCs/>
          <w:lang w:val="uk-UA"/>
        </w:rPr>
        <w:t xml:space="preserve"> </w:t>
      </w:r>
      <w:r w:rsidRPr="00C2587D">
        <w:rPr>
          <w:rFonts w:cs="Arial"/>
          <w:iCs/>
          <w:lang w:val="uk-UA"/>
        </w:rPr>
        <w:t>роки,</w:t>
      </w:r>
    </w:p>
    <w:p w14:paraId="3C30D504" w14:textId="76C4BB5C" w:rsidR="00835FD9" w:rsidRPr="00C2587D" w:rsidRDefault="00835FD9" w:rsidP="00150BEC">
      <w:pPr>
        <w:pStyle w:val="af1"/>
        <w:numPr>
          <w:ilvl w:val="0"/>
          <w:numId w:val="8"/>
        </w:numPr>
        <w:spacing w:before="120"/>
        <w:ind w:left="567" w:hanging="567"/>
        <w:rPr>
          <w:rFonts w:cs="Arial"/>
          <w:iCs/>
          <w:lang w:val="uk-UA"/>
        </w:rPr>
      </w:pPr>
      <w:r w:rsidRPr="00C2587D">
        <w:rPr>
          <w:rFonts w:cs="Arial"/>
          <w:iCs/>
          <w:lang w:val="uk-UA"/>
        </w:rPr>
        <w:t>3 етап:</w:t>
      </w:r>
      <w:r w:rsidR="00BC27A5" w:rsidRPr="00C2587D">
        <w:rPr>
          <w:rFonts w:cs="Arial"/>
          <w:iCs/>
          <w:lang w:val="uk-UA"/>
        </w:rPr>
        <w:t xml:space="preserve"> 202</w:t>
      </w:r>
      <w:r w:rsidR="00A96C5A" w:rsidRPr="00C2587D">
        <w:rPr>
          <w:rFonts w:cs="Arial"/>
          <w:iCs/>
          <w:lang w:val="uk-UA"/>
        </w:rPr>
        <w:t>9</w:t>
      </w:r>
      <w:r w:rsidR="00BC27A5" w:rsidRPr="00C2587D">
        <w:rPr>
          <w:rFonts w:cs="Arial"/>
          <w:iCs/>
          <w:lang w:val="uk-UA"/>
        </w:rPr>
        <w:t xml:space="preserve"> </w:t>
      </w:r>
      <w:r w:rsidR="00A22931" w:rsidRPr="00C2587D">
        <w:rPr>
          <w:rFonts w:cs="Arial"/>
          <w:iCs/>
          <w:lang w:val="uk-UA"/>
        </w:rPr>
        <w:t>–</w:t>
      </w:r>
      <w:r w:rsidR="006D5CE1" w:rsidRPr="00C2587D">
        <w:rPr>
          <w:rFonts w:cs="Arial"/>
          <w:iCs/>
          <w:lang w:val="uk-UA"/>
        </w:rPr>
        <w:t xml:space="preserve"> 20</w:t>
      </w:r>
      <w:r w:rsidR="00F262D9" w:rsidRPr="00C2587D">
        <w:rPr>
          <w:rFonts w:cs="Arial"/>
          <w:iCs/>
          <w:lang w:val="uk-UA"/>
        </w:rPr>
        <w:t>30</w:t>
      </w:r>
      <w:r w:rsidR="00A22931" w:rsidRPr="00C2587D">
        <w:rPr>
          <w:rFonts w:cs="Arial"/>
          <w:iCs/>
          <w:lang w:val="uk-UA"/>
        </w:rPr>
        <w:t xml:space="preserve"> роки</w:t>
      </w:r>
      <w:r w:rsidR="00CD4B92" w:rsidRPr="00C2587D">
        <w:rPr>
          <w:rFonts w:cs="Arial"/>
          <w:iCs/>
          <w:lang w:val="uk-UA"/>
        </w:rPr>
        <w:t>.</w:t>
      </w:r>
    </w:p>
    <w:p w14:paraId="13048B32" w14:textId="683D7870" w:rsidR="00A96C5A" w:rsidRPr="00C2587D" w:rsidRDefault="00CD4B92" w:rsidP="005C1591">
      <w:pPr>
        <w:pStyle w:val="af1"/>
        <w:spacing w:before="120"/>
        <w:ind w:firstLine="567"/>
        <w:rPr>
          <w:rFonts w:cs="Arial"/>
          <w:iCs/>
          <w:lang w:val="uk-UA"/>
        </w:rPr>
      </w:pPr>
      <w:r w:rsidRPr="00C2587D">
        <w:rPr>
          <w:rFonts w:cs="Arial"/>
          <w:iCs/>
          <w:lang w:val="uk-UA"/>
        </w:rPr>
        <w:t>Перший етап</w:t>
      </w:r>
      <w:r w:rsidR="00A96C5A" w:rsidRPr="00C2587D">
        <w:rPr>
          <w:rFonts w:cs="Arial"/>
          <w:iCs/>
          <w:lang w:val="uk-UA"/>
        </w:rPr>
        <w:t xml:space="preserve"> був передбачений у попередньому</w:t>
      </w:r>
      <w:r w:rsidRPr="00C2587D">
        <w:rPr>
          <w:rFonts w:cs="Arial"/>
          <w:iCs/>
          <w:lang w:val="uk-UA"/>
        </w:rPr>
        <w:t xml:space="preserve"> П</w:t>
      </w:r>
      <w:r w:rsidR="00C241E6" w:rsidRPr="00C2587D">
        <w:rPr>
          <w:rFonts w:cs="Arial"/>
          <w:iCs/>
          <w:lang w:val="uk-UA"/>
        </w:rPr>
        <w:t>лані</w:t>
      </w:r>
      <w:r w:rsidR="00F262D9" w:rsidRPr="00C2587D">
        <w:rPr>
          <w:rFonts w:cs="Arial"/>
          <w:iCs/>
          <w:lang w:val="uk-UA"/>
        </w:rPr>
        <w:t xml:space="preserve"> заходів з </w:t>
      </w:r>
      <w:r w:rsidR="00C241E6" w:rsidRPr="00C2587D">
        <w:rPr>
          <w:rFonts w:cs="Arial"/>
          <w:iCs/>
          <w:lang w:val="uk-UA"/>
        </w:rPr>
        <w:t>реалізації</w:t>
      </w:r>
      <w:r w:rsidR="00F262D9" w:rsidRPr="00C2587D">
        <w:rPr>
          <w:rFonts w:cs="Arial"/>
          <w:iCs/>
          <w:lang w:val="uk-UA"/>
        </w:rPr>
        <w:t xml:space="preserve"> у 2021-2024 роках</w:t>
      </w:r>
      <w:r w:rsidR="00C241E6" w:rsidRPr="00C2587D">
        <w:rPr>
          <w:rFonts w:cs="Arial"/>
          <w:iCs/>
          <w:lang w:val="uk-UA"/>
        </w:rPr>
        <w:t xml:space="preserve"> Стратегії </w:t>
      </w:r>
      <w:r w:rsidR="00F262D9" w:rsidRPr="00C2587D">
        <w:rPr>
          <w:rFonts w:cs="Arial"/>
          <w:iCs/>
          <w:lang w:val="uk-UA"/>
        </w:rPr>
        <w:t>розвитку Жмеринської міської тери</w:t>
      </w:r>
      <w:r w:rsidR="00CC3090" w:rsidRPr="00C2587D">
        <w:rPr>
          <w:rFonts w:cs="Arial"/>
          <w:iCs/>
          <w:lang w:val="uk-UA"/>
        </w:rPr>
        <w:t xml:space="preserve">торіальної громади до 2030 року і </w:t>
      </w:r>
      <w:r w:rsidR="00A96C5A" w:rsidRPr="00C2587D">
        <w:rPr>
          <w:rFonts w:cs="Arial"/>
          <w:iCs/>
          <w:lang w:val="uk-UA"/>
        </w:rPr>
        <w:t xml:space="preserve">він передбачав виконання 152 технічних завдань за трьома стратегічними напрямами. </w:t>
      </w:r>
      <w:r w:rsidR="00CC3090" w:rsidRPr="00C2587D">
        <w:rPr>
          <w:rFonts w:cs="Arial"/>
          <w:iCs/>
          <w:lang w:val="uk-UA"/>
        </w:rPr>
        <w:t>За підсумками реалізації</w:t>
      </w:r>
      <w:r w:rsidR="00A96C5A" w:rsidRPr="00C2587D">
        <w:rPr>
          <w:rFonts w:cs="Arial"/>
          <w:iCs/>
          <w:lang w:val="uk-UA"/>
        </w:rPr>
        <w:t xml:space="preserve"> Плану</w:t>
      </w:r>
      <w:r w:rsidR="00CC3090" w:rsidRPr="00C2587D">
        <w:rPr>
          <w:rFonts w:cs="Arial"/>
          <w:iCs/>
          <w:lang w:val="uk-UA"/>
        </w:rPr>
        <w:t xml:space="preserve"> заходів</w:t>
      </w:r>
      <w:r w:rsidR="00A96C5A" w:rsidRPr="00C2587D">
        <w:rPr>
          <w:rFonts w:cs="Arial"/>
          <w:iCs/>
          <w:lang w:val="uk-UA"/>
        </w:rPr>
        <w:t xml:space="preserve"> цілком виконано було 64 завдання, що становить 42% від запланованих, 13 – виконано частково, що становить 9 %, та 75 – не виконано, що становить 49%. Якщо «частково виконані» завдання віднести до «виконаних», то загальний відсоток виконання технічних завдань передбачених Планом заходів становить 51%. Однак цей показник не є сталим для всіх стратегічних цілей.</w:t>
      </w:r>
    </w:p>
    <w:p w14:paraId="3868DC76" w14:textId="1847F822" w:rsidR="00CD4B92" w:rsidRPr="00C2587D" w:rsidRDefault="00CC3090" w:rsidP="005C1591">
      <w:pPr>
        <w:pStyle w:val="af1"/>
        <w:spacing w:before="120"/>
        <w:ind w:firstLine="567"/>
        <w:rPr>
          <w:rFonts w:cs="Arial"/>
          <w:iCs/>
          <w:lang w:val="uk-UA"/>
        </w:rPr>
      </w:pPr>
      <w:r w:rsidRPr="00C2587D">
        <w:rPr>
          <w:rFonts w:cs="Arial"/>
          <w:iCs/>
          <w:lang w:val="uk-UA"/>
        </w:rPr>
        <w:t>Друг</w:t>
      </w:r>
      <w:r w:rsidR="00A96C5A" w:rsidRPr="00C2587D">
        <w:rPr>
          <w:rFonts w:cs="Arial"/>
          <w:iCs/>
          <w:lang w:val="uk-UA"/>
        </w:rPr>
        <w:t xml:space="preserve">ий етап </w:t>
      </w:r>
      <w:r w:rsidRPr="00C2587D">
        <w:rPr>
          <w:rFonts w:cs="Arial"/>
          <w:iCs/>
          <w:lang w:val="uk-UA"/>
        </w:rPr>
        <w:t xml:space="preserve">передбачений у </w:t>
      </w:r>
      <w:r w:rsidR="00A96C5A" w:rsidRPr="00C2587D">
        <w:rPr>
          <w:rFonts w:cs="Arial"/>
          <w:iCs/>
          <w:lang w:val="uk-UA"/>
        </w:rPr>
        <w:t>Плані заходів з реал</w:t>
      </w:r>
      <w:r w:rsidRPr="00C2587D">
        <w:rPr>
          <w:rFonts w:cs="Arial"/>
          <w:iCs/>
          <w:lang w:val="uk-UA"/>
        </w:rPr>
        <w:t>ізації у 2025-2028</w:t>
      </w:r>
      <w:r w:rsidR="00A96C5A" w:rsidRPr="00C2587D">
        <w:rPr>
          <w:rFonts w:cs="Arial"/>
          <w:iCs/>
          <w:lang w:val="uk-UA"/>
        </w:rPr>
        <w:t xml:space="preserve"> роках </w:t>
      </w:r>
      <w:r w:rsidRPr="00C2587D">
        <w:rPr>
          <w:rFonts w:cs="Arial"/>
          <w:iCs/>
          <w:lang w:val="uk-UA"/>
        </w:rPr>
        <w:t>представляє наші</w:t>
      </w:r>
      <w:r w:rsidR="00CD4B92" w:rsidRPr="00C2587D">
        <w:rPr>
          <w:rFonts w:cs="Arial"/>
          <w:iCs/>
          <w:lang w:val="uk-UA"/>
        </w:rPr>
        <w:t xml:space="preserve"> зусилля </w:t>
      </w:r>
      <w:r w:rsidR="00A22931" w:rsidRPr="00C2587D">
        <w:rPr>
          <w:rFonts w:cs="Arial"/>
          <w:iCs/>
          <w:lang w:val="uk-UA"/>
        </w:rPr>
        <w:t>щодо</w:t>
      </w:r>
      <w:r w:rsidRPr="00C2587D">
        <w:rPr>
          <w:rFonts w:cs="Arial"/>
          <w:iCs/>
          <w:lang w:val="uk-UA"/>
        </w:rPr>
        <w:t xml:space="preserve"> продовження</w:t>
      </w:r>
      <w:r w:rsidR="00CD4B92" w:rsidRPr="00C2587D">
        <w:rPr>
          <w:rFonts w:cs="Arial"/>
          <w:iCs/>
          <w:lang w:val="uk-UA"/>
        </w:rPr>
        <w:t xml:space="preserve"> перетворенн</w:t>
      </w:r>
      <w:r w:rsidR="00A22931" w:rsidRPr="00C2587D">
        <w:rPr>
          <w:rFonts w:cs="Arial"/>
          <w:iCs/>
          <w:lang w:val="uk-UA"/>
        </w:rPr>
        <w:t>я</w:t>
      </w:r>
      <w:r w:rsidR="00CD4B92" w:rsidRPr="00C2587D">
        <w:rPr>
          <w:rFonts w:cs="Arial"/>
          <w:iCs/>
          <w:lang w:val="uk-UA"/>
        </w:rPr>
        <w:t xml:space="preserve"> поставлених </w:t>
      </w:r>
      <w:r w:rsidR="00A22931" w:rsidRPr="00C2587D">
        <w:rPr>
          <w:rFonts w:cs="Arial"/>
          <w:iCs/>
          <w:lang w:val="uk-UA"/>
        </w:rPr>
        <w:t>с</w:t>
      </w:r>
      <w:r w:rsidR="00CD4B92" w:rsidRPr="00C2587D">
        <w:rPr>
          <w:rFonts w:cs="Arial"/>
          <w:iCs/>
          <w:lang w:val="uk-UA"/>
        </w:rPr>
        <w:t>тратегічних цілей в дета</w:t>
      </w:r>
      <w:r w:rsidR="00622E9B">
        <w:rPr>
          <w:rFonts w:cs="Arial"/>
          <w:iCs/>
          <w:lang w:val="uk-UA"/>
        </w:rPr>
        <w:t xml:space="preserve">льні втручання – програми </w:t>
      </w:r>
      <w:r w:rsidR="00BC53DB">
        <w:rPr>
          <w:rFonts w:cs="Arial"/>
          <w:iCs/>
          <w:lang w:val="uk-UA"/>
        </w:rPr>
        <w:t>та</w:t>
      </w:r>
      <w:r w:rsidR="00622E9B">
        <w:rPr>
          <w:rFonts w:cs="Arial"/>
          <w:iCs/>
          <w:lang w:val="uk-UA"/>
        </w:rPr>
        <w:t xml:space="preserve"> проє</w:t>
      </w:r>
      <w:r w:rsidR="00CD4B92" w:rsidRPr="00C2587D">
        <w:rPr>
          <w:rFonts w:cs="Arial"/>
          <w:iCs/>
          <w:lang w:val="uk-UA"/>
        </w:rPr>
        <w:t>кти з визначеними засобами реалізації, відповідальністю і часовими рамками впровадження.</w:t>
      </w:r>
    </w:p>
    <w:p w14:paraId="53CEB0D8" w14:textId="6D4AC7A1" w:rsidR="00CD4B92" w:rsidRPr="00C2587D" w:rsidRDefault="00CD4B92" w:rsidP="00DD77B0">
      <w:pPr>
        <w:pStyle w:val="af1"/>
        <w:spacing w:before="120"/>
        <w:ind w:firstLine="567"/>
        <w:rPr>
          <w:rFonts w:cs="Arial"/>
          <w:iCs/>
          <w:lang w:val="uk-UA"/>
        </w:rPr>
      </w:pPr>
      <w:r w:rsidRPr="00C2587D">
        <w:rPr>
          <w:rFonts w:cs="Arial"/>
          <w:iCs/>
          <w:lang w:val="uk-UA"/>
        </w:rPr>
        <w:t xml:space="preserve">Програми Плану реалізації повністю </w:t>
      </w:r>
      <w:r w:rsidR="00BC53DB" w:rsidRPr="00BC53DB">
        <w:rPr>
          <w:rFonts w:cs="Arial"/>
          <w:iCs/>
          <w:lang w:val="uk-UA"/>
        </w:rPr>
        <w:t xml:space="preserve">збігаються </w:t>
      </w:r>
      <w:r w:rsidRPr="00C2587D">
        <w:rPr>
          <w:rFonts w:cs="Arial"/>
          <w:iCs/>
          <w:lang w:val="uk-UA"/>
        </w:rPr>
        <w:t>з</w:t>
      </w:r>
      <w:r w:rsidR="00835FD9" w:rsidRPr="00C2587D">
        <w:rPr>
          <w:rFonts w:cs="Arial"/>
          <w:iCs/>
          <w:lang w:val="uk-UA"/>
        </w:rPr>
        <w:t xml:space="preserve"> напрямами розвитку і</w:t>
      </w:r>
      <w:r w:rsidRPr="00C2587D">
        <w:rPr>
          <w:rFonts w:cs="Arial"/>
          <w:iCs/>
          <w:lang w:val="uk-UA"/>
        </w:rPr>
        <w:t xml:space="preserve"> стратегічними цілями Стратегії:</w:t>
      </w:r>
    </w:p>
    <w:p w14:paraId="3B631F2B" w14:textId="77777777" w:rsidR="00CD4B92" w:rsidRPr="00C2587D" w:rsidRDefault="00A91702" w:rsidP="00150BEC">
      <w:pPr>
        <w:pStyle w:val="af1"/>
        <w:numPr>
          <w:ilvl w:val="0"/>
          <w:numId w:val="8"/>
        </w:numPr>
        <w:spacing w:before="120"/>
        <w:ind w:left="567" w:hanging="567"/>
        <w:rPr>
          <w:rFonts w:cs="Arial"/>
          <w:iCs/>
          <w:lang w:val="uk-UA"/>
        </w:rPr>
      </w:pPr>
      <w:r w:rsidRPr="00C2587D">
        <w:rPr>
          <w:rFonts w:cs="Arial"/>
          <w:iCs/>
          <w:lang w:val="uk-UA"/>
        </w:rPr>
        <w:t>Стратегічний н</w:t>
      </w:r>
      <w:r w:rsidR="00835FD9" w:rsidRPr="00C2587D">
        <w:rPr>
          <w:rFonts w:cs="Arial"/>
          <w:iCs/>
          <w:lang w:val="uk-UA"/>
        </w:rPr>
        <w:t xml:space="preserve">апрям </w:t>
      </w:r>
      <w:r w:rsidR="00CD4B92" w:rsidRPr="00C2587D">
        <w:rPr>
          <w:rFonts w:cs="Arial"/>
          <w:iCs/>
          <w:lang w:val="uk-UA"/>
        </w:rPr>
        <w:t xml:space="preserve"> </w:t>
      </w:r>
      <w:r w:rsidRPr="00C2587D">
        <w:rPr>
          <w:rFonts w:cs="Arial"/>
          <w:iCs/>
          <w:lang w:val="uk-UA"/>
        </w:rPr>
        <w:t>А</w:t>
      </w:r>
      <w:r w:rsidR="00CD4B92" w:rsidRPr="00C2587D">
        <w:rPr>
          <w:rFonts w:cs="Arial"/>
          <w:iCs/>
          <w:lang w:val="uk-UA"/>
        </w:rPr>
        <w:t>:</w:t>
      </w:r>
      <w:r w:rsidR="001C25A3" w:rsidRPr="00C2587D">
        <w:rPr>
          <w:rFonts w:cs="Arial"/>
          <w:iCs/>
          <w:lang w:val="uk-UA"/>
        </w:rPr>
        <w:t xml:space="preserve"> </w:t>
      </w:r>
      <w:r w:rsidR="00DD77B0" w:rsidRPr="00C2587D">
        <w:rPr>
          <w:szCs w:val="24"/>
          <w:lang w:val="uk-UA"/>
        </w:rPr>
        <w:t>Інвестиційна приваблива громада із розвиненим експортно-орієнтованим бізнесом.</w:t>
      </w:r>
    </w:p>
    <w:p w14:paraId="64AF8026" w14:textId="77777777" w:rsidR="00CD4B92" w:rsidRPr="00C2587D" w:rsidRDefault="00541158" w:rsidP="00150BEC">
      <w:pPr>
        <w:pStyle w:val="af1"/>
        <w:numPr>
          <w:ilvl w:val="0"/>
          <w:numId w:val="8"/>
        </w:numPr>
        <w:spacing w:before="120"/>
        <w:ind w:left="567" w:hanging="567"/>
        <w:rPr>
          <w:rFonts w:cs="Arial"/>
          <w:iCs/>
          <w:lang w:val="uk-UA"/>
        </w:rPr>
      </w:pPr>
      <w:r w:rsidRPr="00C2587D">
        <w:rPr>
          <w:rFonts w:cs="Arial"/>
          <w:iCs/>
          <w:lang w:val="uk-UA"/>
        </w:rPr>
        <w:t>Стратегічний напрям  Б:</w:t>
      </w:r>
      <w:r w:rsidR="00FF1029" w:rsidRPr="00C2587D">
        <w:rPr>
          <w:rFonts w:cs="Arial"/>
          <w:szCs w:val="24"/>
          <w:lang w:val="uk-UA"/>
        </w:rPr>
        <w:t xml:space="preserve"> Комфортна громада</w:t>
      </w:r>
      <w:r w:rsidR="001D04D8" w:rsidRPr="00C2587D">
        <w:rPr>
          <w:rFonts w:cs="Arial"/>
          <w:iCs/>
          <w:lang w:val="uk-UA"/>
        </w:rPr>
        <w:t>.</w:t>
      </w:r>
    </w:p>
    <w:p w14:paraId="3BD40F3E" w14:textId="77777777" w:rsidR="00FF1029" w:rsidRPr="00C2587D" w:rsidRDefault="00FF1029" w:rsidP="00150BEC">
      <w:pPr>
        <w:pStyle w:val="af1"/>
        <w:numPr>
          <w:ilvl w:val="0"/>
          <w:numId w:val="8"/>
        </w:numPr>
        <w:spacing w:before="120"/>
        <w:ind w:left="567" w:hanging="567"/>
        <w:rPr>
          <w:rFonts w:cs="Arial"/>
          <w:iCs/>
          <w:lang w:val="uk-UA"/>
        </w:rPr>
      </w:pPr>
      <w:r w:rsidRPr="00C2587D">
        <w:rPr>
          <w:rFonts w:cs="Arial"/>
          <w:iCs/>
          <w:lang w:val="uk-UA"/>
        </w:rPr>
        <w:t>Стратегічний напрям  С:</w:t>
      </w:r>
      <w:r w:rsidRPr="00C2587D">
        <w:rPr>
          <w:rFonts w:cs="Arial"/>
          <w:szCs w:val="24"/>
          <w:lang w:val="uk-UA"/>
        </w:rPr>
        <w:t xml:space="preserve"> Доступна  громада</w:t>
      </w:r>
      <w:r w:rsidRPr="00C2587D">
        <w:rPr>
          <w:rFonts w:cs="Arial"/>
          <w:iCs/>
          <w:lang w:val="uk-UA"/>
        </w:rPr>
        <w:t>.</w:t>
      </w:r>
    </w:p>
    <w:p w14:paraId="4BCA8554" w14:textId="5DB33445" w:rsidR="004C0F91" w:rsidRPr="00C2587D" w:rsidRDefault="004C0F91" w:rsidP="004C0F91">
      <w:pPr>
        <w:spacing w:before="120"/>
        <w:ind w:firstLine="567"/>
        <w:jc w:val="both"/>
        <w:rPr>
          <w:rFonts w:cs="Arial"/>
          <w:szCs w:val="22"/>
        </w:rPr>
      </w:pPr>
      <w:r w:rsidRPr="00C2587D">
        <w:rPr>
          <w:rFonts w:cs="Arial"/>
          <w:szCs w:val="28"/>
        </w:rPr>
        <w:t>Стратегічні напрями А «</w:t>
      </w:r>
      <w:r w:rsidRPr="00C2587D">
        <w:rPr>
          <w:rFonts w:cs="Arial"/>
          <w:bCs/>
          <w:szCs w:val="22"/>
        </w:rPr>
        <w:t>Інвестиційно приваблива громада із розвиненим експортно - орієнтованим бізнесом</w:t>
      </w:r>
      <w:r w:rsidRPr="00C2587D">
        <w:rPr>
          <w:rFonts w:cs="Arial"/>
          <w:szCs w:val="28"/>
        </w:rPr>
        <w:t>»</w:t>
      </w:r>
      <w:r w:rsidRPr="00C2587D">
        <w:rPr>
          <w:rFonts w:cs="Arial"/>
          <w:szCs w:val="22"/>
        </w:rPr>
        <w:t xml:space="preserve">, В </w:t>
      </w:r>
      <w:r w:rsidRPr="00C2587D">
        <w:rPr>
          <w:rFonts w:cs="Arial"/>
          <w:bCs/>
          <w:szCs w:val="22"/>
        </w:rPr>
        <w:t>«Комфортна громада» та С «Доступна громада»</w:t>
      </w:r>
      <w:r w:rsidRPr="00C2587D">
        <w:rPr>
          <w:rFonts w:cs="Arial"/>
          <w:szCs w:val="28"/>
        </w:rPr>
        <w:t xml:space="preserve"> </w:t>
      </w:r>
      <w:r w:rsidRPr="00C2587D">
        <w:rPr>
          <w:rFonts w:cs="Arial"/>
          <w:bCs/>
          <w:szCs w:val="22"/>
        </w:rPr>
        <w:t xml:space="preserve">добре </w:t>
      </w:r>
      <w:r w:rsidR="00284193" w:rsidRPr="00C2587D">
        <w:rPr>
          <w:rFonts w:cs="Arial"/>
          <w:bCs/>
          <w:szCs w:val="22"/>
        </w:rPr>
        <w:t>координую</w:t>
      </w:r>
      <w:r w:rsidRPr="00C2587D">
        <w:rPr>
          <w:rFonts w:cs="Arial"/>
          <w:bCs/>
          <w:szCs w:val="22"/>
        </w:rPr>
        <w:t xml:space="preserve">ться </w:t>
      </w:r>
      <w:r w:rsidR="00284193" w:rsidRPr="00C2587D">
        <w:rPr>
          <w:rFonts w:cs="Arial"/>
          <w:bCs/>
          <w:szCs w:val="22"/>
        </w:rPr>
        <w:t xml:space="preserve"> між собою</w:t>
      </w:r>
      <w:r w:rsidRPr="00C2587D">
        <w:rPr>
          <w:rFonts w:cs="Arial"/>
          <w:szCs w:val="22"/>
        </w:rPr>
        <w:t>.</w:t>
      </w:r>
    </w:p>
    <w:p w14:paraId="51598468" w14:textId="68D96565" w:rsidR="00CD4B92" w:rsidRDefault="00835FD9" w:rsidP="00FF1029">
      <w:pPr>
        <w:pStyle w:val="af1"/>
        <w:spacing w:before="120" w:after="120"/>
        <w:ind w:firstLine="567"/>
        <w:rPr>
          <w:rFonts w:cs="Arial"/>
          <w:iCs/>
          <w:lang w:val="uk-UA"/>
        </w:rPr>
      </w:pPr>
      <w:r w:rsidRPr="00C2587D">
        <w:rPr>
          <w:rFonts w:cs="Arial"/>
          <w:lang w:val="uk-UA"/>
        </w:rPr>
        <w:t>Напрями розвитку і с</w:t>
      </w:r>
      <w:r w:rsidR="00CD4B92" w:rsidRPr="00C2587D">
        <w:rPr>
          <w:rFonts w:cs="Arial"/>
          <w:lang w:val="uk-UA"/>
        </w:rPr>
        <w:t xml:space="preserve">тратегічні цілі є загальними, тому вони залишаються релевантними після завершення першого програмного циклу, виробленого в цьому Плані реалізації. </w:t>
      </w:r>
      <w:r w:rsidR="00CD4B92" w:rsidRPr="00C2587D">
        <w:rPr>
          <w:rFonts w:cs="Arial"/>
          <w:iCs/>
          <w:lang w:val="uk-UA"/>
        </w:rPr>
        <w:t>На операційному рівні, кожна з</w:t>
      </w:r>
      <w:r w:rsidR="00BC53DB">
        <w:rPr>
          <w:rFonts w:cs="Arial"/>
          <w:iCs/>
          <w:lang w:val="uk-UA"/>
        </w:rPr>
        <w:t>і</w:t>
      </w:r>
      <w:r w:rsidR="00CD4B92" w:rsidRPr="00C2587D">
        <w:rPr>
          <w:rFonts w:cs="Arial"/>
          <w:iCs/>
          <w:lang w:val="uk-UA"/>
        </w:rPr>
        <w:t xml:space="preserve"> стратегічних цілей складається з кількох опера</w:t>
      </w:r>
      <w:r w:rsidRPr="00C2587D">
        <w:rPr>
          <w:rFonts w:cs="Arial"/>
          <w:iCs/>
          <w:lang w:val="uk-UA"/>
        </w:rPr>
        <w:t>тивн</w:t>
      </w:r>
      <w:r w:rsidR="00CD4B92" w:rsidRPr="00C2587D">
        <w:rPr>
          <w:rFonts w:cs="Arial"/>
          <w:iCs/>
          <w:lang w:val="uk-UA"/>
        </w:rPr>
        <w:t>их цілей.</w:t>
      </w:r>
    </w:p>
    <w:p w14:paraId="2D353FF6" w14:textId="77777777" w:rsidR="00FC48E5" w:rsidRDefault="00FC48E5" w:rsidP="00FF1029">
      <w:pPr>
        <w:pStyle w:val="af1"/>
        <w:spacing w:before="120" w:after="120"/>
        <w:ind w:firstLine="567"/>
        <w:rPr>
          <w:rFonts w:cs="Arial"/>
          <w:iCs/>
          <w:lang w:val="uk-UA"/>
        </w:rPr>
      </w:pPr>
    </w:p>
    <w:p w14:paraId="6EE38C1E" w14:textId="77777777" w:rsidR="00FC48E5" w:rsidRPr="00C2587D" w:rsidRDefault="00FC48E5" w:rsidP="00FF1029">
      <w:pPr>
        <w:pStyle w:val="af1"/>
        <w:spacing w:before="120" w:after="120"/>
        <w:ind w:firstLine="567"/>
        <w:rPr>
          <w:rFonts w:cs="Arial"/>
          <w:iCs/>
          <w:lang w:val="uk-UA"/>
        </w:rPr>
      </w:pPr>
    </w:p>
    <w:tbl>
      <w:tblPr>
        <w:tblW w:w="9639" w:type="dxa"/>
        <w:tblCellSpacing w:w="42" w:type="dxa"/>
        <w:tblInd w:w="1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3261"/>
        <w:gridCol w:w="3118"/>
        <w:gridCol w:w="3260"/>
      </w:tblGrid>
      <w:tr w:rsidR="00FF1029" w:rsidRPr="00C2587D" w14:paraId="1DB8678F" w14:textId="77777777" w:rsidTr="00B34356">
        <w:trPr>
          <w:trHeight w:val="333"/>
          <w:tblCellSpacing w:w="42" w:type="dxa"/>
        </w:trPr>
        <w:tc>
          <w:tcPr>
            <w:tcW w:w="9471" w:type="dxa"/>
            <w:gridSpan w:val="3"/>
            <w:tcBorders>
              <w:top w:val="nil"/>
              <w:left w:val="nil"/>
              <w:bottom w:val="nil"/>
              <w:right w:val="nil"/>
            </w:tcBorders>
            <w:shd w:val="clear" w:color="auto" w:fill="8496B0"/>
            <w:vAlign w:val="center"/>
            <w:hideMark/>
          </w:tcPr>
          <w:p w14:paraId="72395D2C" w14:textId="77777777" w:rsidR="00FF1029" w:rsidRPr="00C2587D" w:rsidRDefault="00FF1029" w:rsidP="00FF1029">
            <w:pPr>
              <w:jc w:val="center"/>
              <w:rPr>
                <w:rFonts w:cs="Arial"/>
                <w:b/>
                <w:sz w:val="28"/>
                <w:szCs w:val="28"/>
              </w:rPr>
            </w:pPr>
            <w:r w:rsidRPr="00C2587D">
              <w:rPr>
                <w:rFonts w:cs="Arial"/>
                <w:b/>
                <w:sz w:val="28"/>
                <w:szCs w:val="28"/>
              </w:rPr>
              <w:lastRenderedPageBreak/>
              <w:t>СТРАТЕГІЧНІ НАПРЯМИ РОЗВИТКУ</w:t>
            </w:r>
          </w:p>
        </w:tc>
      </w:tr>
      <w:tr w:rsidR="00FF1029" w:rsidRPr="00C2587D" w14:paraId="045D7941" w14:textId="77777777" w:rsidTr="00B34356">
        <w:trPr>
          <w:tblCellSpacing w:w="42" w:type="dxa"/>
        </w:trPr>
        <w:tc>
          <w:tcPr>
            <w:tcW w:w="3135" w:type="dxa"/>
            <w:tcBorders>
              <w:top w:val="nil"/>
              <w:left w:val="nil"/>
              <w:bottom w:val="nil"/>
              <w:right w:val="nil"/>
            </w:tcBorders>
            <w:shd w:val="clear" w:color="auto" w:fill="B6DDE8"/>
            <w:vAlign w:val="center"/>
            <w:hideMark/>
          </w:tcPr>
          <w:p w14:paraId="4669951E" w14:textId="77777777" w:rsidR="00FF1029" w:rsidRPr="00C2587D" w:rsidRDefault="00FF1029" w:rsidP="00FF1029">
            <w:pPr>
              <w:autoSpaceDE w:val="0"/>
              <w:autoSpaceDN w:val="0"/>
              <w:adjustRightInd w:val="0"/>
              <w:jc w:val="center"/>
              <w:rPr>
                <w:rFonts w:cs="Arial"/>
                <w:b/>
                <w:szCs w:val="22"/>
              </w:rPr>
            </w:pPr>
            <w:r w:rsidRPr="00C2587D">
              <w:rPr>
                <w:rFonts w:cs="Arial"/>
                <w:b/>
                <w:szCs w:val="22"/>
              </w:rPr>
              <w:t>А. Інвестиційна приваблива громада із розвиненим експортно-орієнтованим бізнесом</w:t>
            </w:r>
          </w:p>
        </w:tc>
        <w:tc>
          <w:tcPr>
            <w:tcW w:w="3034" w:type="dxa"/>
            <w:tcBorders>
              <w:top w:val="nil"/>
              <w:left w:val="nil"/>
              <w:bottom w:val="nil"/>
              <w:right w:val="nil"/>
            </w:tcBorders>
            <w:shd w:val="clear" w:color="auto" w:fill="B6DDE8"/>
            <w:vAlign w:val="center"/>
          </w:tcPr>
          <w:p w14:paraId="5B8A7444" w14:textId="77777777" w:rsidR="00FF1029" w:rsidRPr="00C2587D" w:rsidRDefault="00FF1029" w:rsidP="00FF1029">
            <w:pPr>
              <w:autoSpaceDE w:val="0"/>
              <w:autoSpaceDN w:val="0"/>
              <w:adjustRightInd w:val="0"/>
              <w:jc w:val="center"/>
              <w:rPr>
                <w:rFonts w:cs="Arial"/>
                <w:b/>
                <w:szCs w:val="22"/>
              </w:rPr>
            </w:pPr>
            <w:r w:rsidRPr="00C2587D">
              <w:rPr>
                <w:rFonts w:cs="Arial"/>
                <w:b/>
                <w:szCs w:val="22"/>
              </w:rPr>
              <w:t>В. Комфортна громада</w:t>
            </w:r>
          </w:p>
        </w:tc>
        <w:tc>
          <w:tcPr>
            <w:tcW w:w="3134" w:type="dxa"/>
            <w:tcBorders>
              <w:top w:val="nil"/>
              <w:left w:val="nil"/>
              <w:bottom w:val="nil"/>
              <w:right w:val="nil"/>
            </w:tcBorders>
            <w:shd w:val="clear" w:color="auto" w:fill="B6DDE8"/>
            <w:vAlign w:val="center"/>
            <w:hideMark/>
          </w:tcPr>
          <w:p w14:paraId="699B42C5" w14:textId="77777777" w:rsidR="00FF1029" w:rsidRPr="00C2587D" w:rsidRDefault="00FF1029" w:rsidP="00FF1029">
            <w:pPr>
              <w:autoSpaceDE w:val="0"/>
              <w:autoSpaceDN w:val="0"/>
              <w:adjustRightInd w:val="0"/>
              <w:jc w:val="center"/>
              <w:rPr>
                <w:rFonts w:cs="Arial"/>
                <w:b/>
                <w:szCs w:val="22"/>
              </w:rPr>
            </w:pPr>
            <w:r w:rsidRPr="00C2587D">
              <w:rPr>
                <w:rFonts w:cs="Arial"/>
                <w:b/>
                <w:szCs w:val="22"/>
              </w:rPr>
              <w:t>С. Доступна громада</w:t>
            </w:r>
          </w:p>
        </w:tc>
      </w:tr>
      <w:tr w:rsidR="00FF1029" w:rsidRPr="00C2587D" w14:paraId="7D9F530F" w14:textId="77777777" w:rsidTr="00B34356">
        <w:trPr>
          <w:trHeight w:val="313"/>
          <w:tblCellSpacing w:w="42" w:type="dxa"/>
        </w:trPr>
        <w:tc>
          <w:tcPr>
            <w:tcW w:w="9471" w:type="dxa"/>
            <w:gridSpan w:val="3"/>
            <w:tcBorders>
              <w:top w:val="nil"/>
              <w:left w:val="nil"/>
              <w:bottom w:val="nil"/>
              <w:right w:val="nil"/>
            </w:tcBorders>
            <w:shd w:val="clear" w:color="auto" w:fill="8496B0"/>
            <w:hideMark/>
          </w:tcPr>
          <w:p w14:paraId="1101657E" w14:textId="77777777" w:rsidR="00FF1029" w:rsidRPr="00C2587D" w:rsidRDefault="00FF1029" w:rsidP="00FF1029">
            <w:pPr>
              <w:jc w:val="center"/>
              <w:rPr>
                <w:rFonts w:cs="Arial"/>
                <w:b/>
                <w:szCs w:val="22"/>
              </w:rPr>
            </w:pPr>
            <w:r w:rsidRPr="00C2587D">
              <w:rPr>
                <w:rFonts w:cs="Arial"/>
                <w:b/>
                <w:szCs w:val="22"/>
              </w:rPr>
              <w:t>Стратегічні цілі</w:t>
            </w:r>
          </w:p>
        </w:tc>
      </w:tr>
      <w:tr w:rsidR="00FF1029" w:rsidRPr="00C2587D" w14:paraId="0856AEF1" w14:textId="77777777" w:rsidTr="00B34356">
        <w:trPr>
          <w:tblCellSpacing w:w="42" w:type="dxa"/>
        </w:trPr>
        <w:tc>
          <w:tcPr>
            <w:tcW w:w="3135" w:type="dxa"/>
            <w:tcBorders>
              <w:top w:val="nil"/>
              <w:left w:val="nil"/>
              <w:bottom w:val="nil"/>
              <w:right w:val="nil"/>
            </w:tcBorders>
            <w:shd w:val="clear" w:color="auto" w:fill="B6DDE8"/>
            <w:vAlign w:val="center"/>
            <w:hideMark/>
          </w:tcPr>
          <w:p w14:paraId="644260CE" w14:textId="77777777" w:rsidR="00FF1029" w:rsidRPr="00C2587D" w:rsidRDefault="00FF1029" w:rsidP="00FF1029">
            <w:pPr>
              <w:autoSpaceDE w:val="0"/>
              <w:autoSpaceDN w:val="0"/>
              <w:adjustRightInd w:val="0"/>
              <w:jc w:val="center"/>
              <w:rPr>
                <w:rFonts w:cs="Arial"/>
                <w:b/>
                <w:szCs w:val="22"/>
              </w:rPr>
            </w:pPr>
            <w:r w:rsidRPr="00C2587D">
              <w:rPr>
                <w:rFonts w:cs="Arial"/>
                <w:b/>
                <w:szCs w:val="22"/>
              </w:rPr>
              <w:t>А.1. Розвиток громади як транспортно-логістичного вузла та промислового центру</w:t>
            </w:r>
          </w:p>
        </w:tc>
        <w:tc>
          <w:tcPr>
            <w:tcW w:w="3034" w:type="dxa"/>
            <w:tcBorders>
              <w:top w:val="nil"/>
              <w:left w:val="nil"/>
              <w:bottom w:val="nil"/>
              <w:right w:val="nil"/>
            </w:tcBorders>
            <w:shd w:val="clear" w:color="auto" w:fill="B6DDE8"/>
            <w:vAlign w:val="center"/>
            <w:hideMark/>
          </w:tcPr>
          <w:p w14:paraId="6188B080" w14:textId="77777777" w:rsidR="00FF1029" w:rsidRPr="00C2587D" w:rsidRDefault="00FF1029" w:rsidP="00FF1029">
            <w:pPr>
              <w:autoSpaceDE w:val="0"/>
              <w:autoSpaceDN w:val="0"/>
              <w:adjustRightInd w:val="0"/>
              <w:jc w:val="center"/>
              <w:rPr>
                <w:rFonts w:cs="Arial"/>
                <w:b/>
                <w:szCs w:val="22"/>
              </w:rPr>
            </w:pPr>
            <w:r w:rsidRPr="00C2587D">
              <w:rPr>
                <w:rFonts w:cs="Arial"/>
                <w:b/>
                <w:szCs w:val="22"/>
              </w:rPr>
              <w:t>В.1. Покращення технічної інфраструктури та благоустрою громади</w:t>
            </w:r>
          </w:p>
        </w:tc>
        <w:tc>
          <w:tcPr>
            <w:tcW w:w="3134" w:type="dxa"/>
            <w:tcBorders>
              <w:top w:val="nil"/>
              <w:left w:val="nil"/>
              <w:bottom w:val="nil"/>
              <w:right w:val="nil"/>
            </w:tcBorders>
            <w:shd w:val="clear" w:color="auto" w:fill="B6DDE8"/>
            <w:vAlign w:val="center"/>
            <w:hideMark/>
          </w:tcPr>
          <w:p w14:paraId="53E80D65" w14:textId="77777777" w:rsidR="00FF1029" w:rsidRPr="00C2587D" w:rsidRDefault="00FF1029" w:rsidP="00FF1029">
            <w:pPr>
              <w:jc w:val="center"/>
              <w:rPr>
                <w:rFonts w:cs="Arial"/>
                <w:b/>
                <w:szCs w:val="22"/>
              </w:rPr>
            </w:pPr>
            <w:r w:rsidRPr="00C2587D">
              <w:rPr>
                <w:rFonts w:cs="Arial"/>
                <w:b/>
                <w:szCs w:val="22"/>
              </w:rPr>
              <w:t>С.1. Підвищення рівня надання освітніх послуг</w:t>
            </w:r>
          </w:p>
        </w:tc>
      </w:tr>
      <w:tr w:rsidR="00FF1029" w:rsidRPr="00C2587D" w14:paraId="6F87B31D" w14:textId="77777777" w:rsidTr="00B34356">
        <w:trPr>
          <w:tblCellSpacing w:w="42" w:type="dxa"/>
        </w:trPr>
        <w:tc>
          <w:tcPr>
            <w:tcW w:w="3135" w:type="dxa"/>
            <w:tcBorders>
              <w:top w:val="nil"/>
              <w:left w:val="nil"/>
              <w:bottom w:val="nil"/>
              <w:right w:val="nil"/>
            </w:tcBorders>
            <w:shd w:val="clear" w:color="auto" w:fill="B6DDE8"/>
            <w:vAlign w:val="center"/>
          </w:tcPr>
          <w:p w14:paraId="0081FF77" w14:textId="77777777" w:rsidR="00FF1029" w:rsidRPr="00C2587D" w:rsidRDefault="00FF1029" w:rsidP="00FF1029">
            <w:pPr>
              <w:autoSpaceDE w:val="0"/>
              <w:autoSpaceDN w:val="0"/>
              <w:adjustRightInd w:val="0"/>
              <w:jc w:val="center"/>
              <w:rPr>
                <w:rFonts w:cs="Arial"/>
                <w:b/>
                <w:szCs w:val="22"/>
              </w:rPr>
            </w:pPr>
          </w:p>
          <w:p w14:paraId="16321648" w14:textId="77777777" w:rsidR="00FF1029" w:rsidRPr="00C2587D" w:rsidRDefault="00FF1029" w:rsidP="00FF1029">
            <w:pPr>
              <w:autoSpaceDE w:val="0"/>
              <w:autoSpaceDN w:val="0"/>
              <w:adjustRightInd w:val="0"/>
              <w:jc w:val="center"/>
              <w:rPr>
                <w:rFonts w:cs="Arial"/>
                <w:b/>
                <w:szCs w:val="22"/>
              </w:rPr>
            </w:pPr>
            <w:r w:rsidRPr="00C2587D">
              <w:rPr>
                <w:rFonts w:cs="Arial"/>
                <w:b/>
                <w:szCs w:val="22"/>
              </w:rPr>
              <w:t>А.2. Розвиток агропромислового виробництва</w:t>
            </w:r>
          </w:p>
          <w:p w14:paraId="1A8D756B" w14:textId="77777777" w:rsidR="00FF1029" w:rsidRPr="00C2587D" w:rsidRDefault="00FF1029" w:rsidP="00FF1029">
            <w:pPr>
              <w:widowControl w:val="0"/>
              <w:tabs>
                <w:tab w:val="left" w:pos="0"/>
                <w:tab w:val="left" w:pos="720"/>
              </w:tabs>
              <w:autoSpaceDE w:val="0"/>
              <w:autoSpaceDN w:val="0"/>
              <w:adjustRightInd w:val="0"/>
              <w:jc w:val="center"/>
              <w:rPr>
                <w:rFonts w:cs="Arial"/>
                <w:b/>
                <w:szCs w:val="22"/>
              </w:rPr>
            </w:pPr>
          </w:p>
        </w:tc>
        <w:tc>
          <w:tcPr>
            <w:tcW w:w="3034" w:type="dxa"/>
            <w:tcBorders>
              <w:top w:val="nil"/>
              <w:left w:val="nil"/>
              <w:bottom w:val="nil"/>
              <w:right w:val="nil"/>
            </w:tcBorders>
            <w:shd w:val="clear" w:color="auto" w:fill="B6DDE8"/>
            <w:vAlign w:val="center"/>
            <w:hideMark/>
          </w:tcPr>
          <w:p w14:paraId="3FDE3DC2" w14:textId="77777777" w:rsidR="00FF1029" w:rsidRPr="00C2587D" w:rsidRDefault="00FF1029" w:rsidP="00FF1029">
            <w:pPr>
              <w:autoSpaceDE w:val="0"/>
              <w:autoSpaceDN w:val="0"/>
              <w:adjustRightInd w:val="0"/>
              <w:jc w:val="center"/>
              <w:rPr>
                <w:rFonts w:cs="Arial"/>
                <w:b/>
                <w:szCs w:val="22"/>
              </w:rPr>
            </w:pPr>
            <w:r w:rsidRPr="00C2587D">
              <w:rPr>
                <w:rFonts w:cs="Arial"/>
                <w:b/>
                <w:szCs w:val="22"/>
              </w:rPr>
              <w:t>В.2. Забезпечення підвищення енергоефективності в громаді</w:t>
            </w:r>
          </w:p>
        </w:tc>
        <w:tc>
          <w:tcPr>
            <w:tcW w:w="3134" w:type="dxa"/>
            <w:tcBorders>
              <w:top w:val="nil"/>
              <w:left w:val="nil"/>
              <w:bottom w:val="nil"/>
              <w:right w:val="nil"/>
            </w:tcBorders>
            <w:shd w:val="clear" w:color="auto" w:fill="B6DDE8"/>
            <w:vAlign w:val="center"/>
            <w:hideMark/>
          </w:tcPr>
          <w:p w14:paraId="4BF4204B" w14:textId="77777777" w:rsidR="00FF1029" w:rsidRPr="00C2587D" w:rsidRDefault="00FF1029" w:rsidP="00FF1029">
            <w:pPr>
              <w:widowControl w:val="0"/>
              <w:autoSpaceDE w:val="0"/>
              <w:autoSpaceDN w:val="0"/>
              <w:ind w:right="-6"/>
              <w:jc w:val="center"/>
              <w:rPr>
                <w:rFonts w:cs="Arial"/>
                <w:b/>
                <w:szCs w:val="22"/>
              </w:rPr>
            </w:pPr>
            <w:r w:rsidRPr="00C2587D">
              <w:rPr>
                <w:rFonts w:cs="Arial"/>
                <w:b/>
                <w:szCs w:val="22"/>
              </w:rPr>
              <w:t>С.2. Забезпечення доступу  до якісної системи охорони здоров’я та популяризація  здорового способу життя</w:t>
            </w:r>
          </w:p>
        </w:tc>
      </w:tr>
      <w:tr w:rsidR="00FF1029" w:rsidRPr="00C2587D" w14:paraId="55891288" w14:textId="77777777" w:rsidTr="00B34356">
        <w:trPr>
          <w:tblCellSpacing w:w="42" w:type="dxa"/>
        </w:trPr>
        <w:tc>
          <w:tcPr>
            <w:tcW w:w="3135" w:type="dxa"/>
            <w:tcBorders>
              <w:top w:val="nil"/>
              <w:left w:val="nil"/>
              <w:bottom w:val="nil"/>
              <w:right w:val="nil"/>
            </w:tcBorders>
            <w:shd w:val="clear" w:color="auto" w:fill="B6DDE8"/>
            <w:vAlign w:val="center"/>
          </w:tcPr>
          <w:p w14:paraId="43EF3F85" w14:textId="77777777" w:rsidR="00FF1029" w:rsidRPr="00C2587D" w:rsidRDefault="00FF1029" w:rsidP="00FF1029">
            <w:pPr>
              <w:autoSpaceDE w:val="0"/>
              <w:autoSpaceDN w:val="0"/>
              <w:adjustRightInd w:val="0"/>
              <w:jc w:val="center"/>
              <w:rPr>
                <w:rFonts w:cs="Arial"/>
                <w:b/>
                <w:szCs w:val="22"/>
              </w:rPr>
            </w:pPr>
            <w:r w:rsidRPr="00C2587D">
              <w:rPr>
                <w:rFonts w:cs="Arial"/>
                <w:b/>
                <w:szCs w:val="22"/>
              </w:rPr>
              <w:t>А.3. Розвиток підприємницького потенціалу громади</w:t>
            </w:r>
          </w:p>
          <w:p w14:paraId="4C649F04" w14:textId="77777777" w:rsidR="00FF1029" w:rsidRPr="00C2587D" w:rsidRDefault="00FF1029" w:rsidP="00FF1029">
            <w:pPr>
              <w:autoSpaceDE w:val="0"/>
              <w:autoSpaceDN w:val="0"/>
              <w:adjustRightInd w:val="0"/>
              <w:jc w:val="center"/>
              <w:rPr>
                <w:rFonts w:cs="Arial"/>
                <w:b/>
                <w:szCs w:val="22"/>
              </w:rPr>
            </w:pPr>
          </w:p>
        </w:tc>
        <w:tc>
          <w:tcPr>
            <w:tcW w:w="3034" w:type="dxa"/>
            <w:tcBorders>
              <w:top w:val="nil"/>
              <w:left w:val="nil"/>
              <w:bottom w:val="nil"/>
              <w:right w:val="nil"/>
            </w:tcBorders>
            <w:shd w:val="clear" w:color="auto" w:fill="B6DDE8"/>
            <w:vAlign w:val="center"/>
          </w:tcPr>
          <w:p w14:paraId="4B354427" w14:textId="77777777" w:rsidR="00FF1029" w:rsidRPr="00C2587D" w:rsidRDefault="00FF1029" w:rsidP="00FF1029">
            <w:pPr>
              <w:autoSpaceDE w:val="0"/>
              <w:autoSpaceDN w:val="0"/>
              <w:adjustRightInd w:val="0"/>
              <w:jc w:val="center"/>
              <w:rPr>
                <w:rFonts w:cs="Arial"/>
                <w:b/>
                <w:szCs w:val="22"/>
              </w:rPr>
            </w:pPr>
            <w:r w:rsidRPr="00C2587D">
              <w:rPr>
                <w:rFonts w:cs="Arial"/>
                <w:b/>
                <w:szCs w:val="22"/>
              </w:rPr>
              <w:t>В.3. Поліпшення екологічного стану навколишнього середовища</w:t>
            </w:r>
          </w:p>
        </w:tc>
        <w:tc>
          <w:tcPr>
            <w:tcW w:w="3134" w:type="dxa"/>
            <w:tcBorders>
              <w:top w:val="nil"/>
              <w:left w:val="nil"/>
              <w:bottom w:val="nil"/>
              <w:right w:val="nil"/>
            </w:tcBorders>
            <w:shd w:val="clear" w:color="auto" w:fill="B6DDE8"/>
            <w:vAlign w:val="center"/>
          </w:tcPr>
          <w:p w14:paraId="558474FE" w14:textId="77777777" w:rsidR="00FF1029" w:rsidRPr="00C2587D" w:rsidRDefault="00FF1029" w:rsidP="00FF1029">
            <w:pPr>
              <w:autoSpaceDE w:val="0"/>
              <w:autoSpaceDN w:val="0"/>
              <w:adjustRightInd w:val="0"/>
              <w:jc w:val="center"/>
              <w:rPr>
                <w:rFonts w:cs="Arial"/>
                <w:b/>
                <w:szCs w:val="22"/>
              </w:rPr>
            </w:pPr>
            <w:r w:rsidRPr="00C2587D">
              <w:rPr>
                <w:rFonts w:cs="Arial"/>
                <w:b/>
                <w:szCs w:val="22"/>
              </w:rPr>
              <w:t>С.3. Забезпечення можливостей для активного відпочинку  та змістовного дозвілля мешканців громади</w:t>
            </w:r>
          </w:p>
        </w:tc>
      </w:tr>
      <w:tr w:rsidR="00FF1029" w:rsidRPr="00C2587D" w14:paraId="57E2BD55" w14:textId="77777777" w:rsidTr="00B34356">
        <w:trPr>
          <w:tblCellSpacing w:w="42" w:type="dxa"/>
        </w:trPr>
        <w:tc>
          <w:tcPr>
            <w:tcW w:w="3135" w:type="dxa"/>
            <w:tcBorders>
              <w:top w:val="nil"/>
              <w:left w:val="nil"/>
              <w:bottom w:val="nil"/>
              <w:right w:val="nil"/>
            </w:tcBorders>
            <w:shd w:val="clear" w:color="auto" w:fill="B6DDE8"/>
            <w:vAlign w:val="center"/>
            <w:hideMark/>
          </w:tcPr>
          <w:p w14:paraId="0698D895" w14:textId="77777777" w:rsidR="00FF1029" w:rsidRPr="00C2587D" w:rsidRDefault="00FF1029" w:rsidP="00FF1029">
            <w:pPr>
              <w:autoSpaceDE w:val="0"/>
              <w:autoSpaceDN w:val="0"/>
              <w:adjustRightInd w:val="0"/>
              <w:jc w:val="center"/>
              <w:rPr>
                <w:rFonts w:cs="Arial"/>
                <w:b/>
                <w:szCs w:val="22"/>
              </w:rPr>
            </w:pPr>
            <w:r w:rsidRPr="00C2587D">
              <w:rPr>
                <w:rFonts w:cs="Arial"/>
                <w:b/>
                <w:szCs w:val="22"/>
              </w:rPr>
              <w:t>А.4. Ефективна інвестиційна політика та маркетинг території</w:t>
            </w:r>
          </w:p>
        </w:tc>
        <w:tc>
          <w:tcPr>
            <w:tcW w:w="3034" w:type="dxa"/>
            <w:vMerge w:val="restart"/>
            <w:tcBorders>
              <w:top w:val="nil"/>
              <w:left w:val="nil"/>
              <w:right w:val="nil"/>
            </w:tcBorders>
            <w:shd w:val="clear" w:color="auto" w:fill="B6DDE8"/>
            <w:vAlign w:val="center"/>
            <w:hideMark/>
          </w:tcPr>
          <w:p w14:paraId="30B97232" w14:textId="77777777" w:rsidR="00FF1029" w:rsidRPr="00C2587D" w:rsidRDefault="00FF1029" w:rsidP="00FF1029">
            <w:pPr>
              <w:autoSpaceDE w:val="0"/>
              <w:autoSpaceDN w:val="0"/>
              <w:adjustRightInd w:val="0"/>
              <w:jc w:val="center"/>
              <w:rPr>
                <w:rFonts w:cs="Arial"/>
                <w:b/>
                <w:szCs w:val="22"/>
              </w:rPr>
            </w:pPr>
            <w:r w:rsidRPr="00C2587D">
              <w:rPr>
                <w:rFonts w:cs="Arial"/>
                <w:b/>
                <w:szCs w:val="22"/>
              </w:rPr>
              <w:t>В.4. Ефективна система безпеки громади</w:t>
            </w:r>
          </w:p>
          <w:p w14:paraId="555EA621" w14:textId="77777777" w:rsidR="00FF1029" w:rsidRPr="00C2587D" w:rsidRDefault="00FF1029" w:rsidP="00FF1029">
            <w:pPr>
              <w:widowControl w:val="0"/>
              <w:tabs>
                <w:tab w:val="left" w:pos="0"/>
                <w:tab w:val="left" w:pos="720"/>
              </w:tabs>
              <w:autoSpaceDE w:val="0"/>
              <w:autoSpaceDN w:val="0"/>
              <w:adjustRightInd w:val="0"/>
              <w:jc w:val="center"/>
              <w:rPr>
                <w:rFonts w:cs="Arial"/>
                <w:b/>
                <w:szCs w:val="22"/>
              </w:rPr>
            </w:pPr>
          </w:p>
        </w:tc>
        <w:tc>
          <w:tcPr>
            <w:tcW w:w="3134" w:type="dxa"/>
            <w:tcBorders>
              <w:top w:val="nil"/>
              <w:left w:val="nil"/>
              <w:bottom w:val="nil"/>
              <w:right w:val="nil"/>
            </w:tcBorders>
            <w:shd w:val="clear" w:color="auto" w:fill="B6DDE8"/>
            <w:vAlign w:val="center"/>
            <w:hideMark/>
          </w:tcPr>
          <w:p w14:paraId="2B182225" w14:textId="77777777" w:rsidR="00FF1029" w:rsidRPr="00C2587D" w:rsidRDefault="00FF1029" w:rsidP="00FF1029">
            <w:pPr>
              <w:autoSpaceDE w:val="0"/>
              <w:autoSpaceDN w:val="0"/>
              <w:adjustRightInd w:val="0"/>
              <w:jc w:val="center"/>
              <w:rPr>
                <w:rFonts w:cs="Arial"/>
                <w:b/>
                <w:szCs w:val="22"/>
              </w:rPr>
            </w:pPr>
            <w:r w:rsidRPr="00C2587D">
              <w:rPr>
                <w:rFonts w:cs="Arial"/>
                <w:b/>
                <w:szCs w:val="22"/>
              </w:rPr>
              <w:t>С.4. Забезпечення високих стандартів надання якісних адміністративних та соціальних послуг</w:t>
            </w:r>
          </w:p>
        </w:tc>
      </w:tr>
      <w:tr w:rsidR="00FF1029" w:rsidRPr="00C2587D" w14:paraId="2F4D1F18" w14:textId="77777777" w:rsidTr="00B34356">
        <w:trPr>
          <w:tblCellSpacing w:w="42" w:type="dxa"/>
        </w:trPr>
        <w:tc>
          <w:tcPr>
            <w:tcW w:w="3135" w:type="dxa"/>
            <w:tcBorders>
              <w:top w:val="nil"/>
              <w:left w:val="nil"/>
              <w:bottom w:val="nil"/>
              <w:right w:val="nil"/>
            </w:tcBorders>
            <w:shd w:val="clear" w:color="auto" w:fill="B6DDE8"/>
            <w:vAlign w:val="center"/>
            <w:hideMark/>
          </w:tcPr>
          <w:p w14:paraId="30864231" w14:textId="77777777" w:rsidR="00FF1029" w:rsidRPr="00C2587D" w:rsidRDefault="00FF1029" w:rsidP="00FF1029">
            <w:pPr>
              <w:jc w:val="center"/>
              <w:rPr>
                <w:rFonts w:cs="Arial"/>
                <w:b/>
                <w:szCs w:val="22"/>
                <w:lang w:eastAsia="uk-UA"/>
              </w:rPr>
            </w:pPr>
            <w:r w:rsidRPr="00C2587D">
              <w:rPr>
                <w:rFonts w:cs="Arial"/>
                <w:b/>
                <w:szCs w:val="22"/>
              </w:rPr>
              <w:t>А.5. Регіональний туристичний, культурно-історичний центр</w:t>
            </w:r>
          </w:p>
        </w:tc>
        <w:tc>
          <w:tcPr>
            <w:tcW w:w="3034" w:type="dxa"/>
            <w:vMerge/>
            <w:tcBorders>
              <w:left w:val="nil"/>
              <w:bottom w:val="nil"/>
              <w:right w:val="nil"/>
            </w:tcBorders>
            <w:shd w:val="clear" w:color="auto" w:fill="B6DDE8"/>
            <w:vAlign w:val="center"/>
          </w:tcPr>
          <w:p w14:paraId="29A62340" w14:textId="77777777" w:rsidR="00FF1029" w:rsidRPr="00C2587D" w:rsidRDefault="00FF1029" w:rsidP="00FF1029">
            <w:pPr>
              <w:widowControl w:val="0"/>
              <w:tabs>
                <w:tab w:val="left" w:pos="0"/>
                <w:tab w:val="left" w:pos="720"/>
              </w:tabs>
              <w:autoSpaceDE w:val="0"/>
              <w:autoSpaceDN w:val="0"/>
              <w:adjustRightInd w:val="0"/>
              <w:jc w:val="center"/>
              <w:rPr>
                <w:rFonts w:cs="Arial"/>
                <w:b/>
                <w:szCs w:val="22"/>
              </w:rPr>
            </w:pPr>
          </w:p>
        </w:tc>
        <w:tc>
          <w:tcPr>
            <w:tcW w:w="3134" w:type="dxa"/>
            <w:tcBorders>
              <w:top w:val="nil"/>
              <w:left w:val="nil"/>
              <w:bottom w:val="nil"/>
              <w:right w:val="nil"/>
            </w:tcBorders>
            <w:shd w:val="clear" w:color="auto" w:fill="B6DDE8"/>
            <w:vAlign w:val="center"/>
          </w:tcPr>
          <w:p w14:paraId="65A312BC" w14:textId="77777777" w:rsidR="00FF1029" w:rsidRPr="00C2587D" w:rsidRDefault="00FF1029" w:rsidP="00FF1029">
            <w:pPr>
              <w:autoSpaceDE w:val="0"/>
              <w:autoSpaceDN w:val="0"/>
              <w:adjustRightInd w:val="0"/>
              <w:jc w:val="center"/>
              <w:rPr>
                <w:rFonts w:cs="Arial"/>
                <w:b/>
                <w:szCs w:val="22"/>
              </w:rPr>
            </w:pPr>
            <w:r w:rsidRPr="00C2587D">
              <w:rPr>
                <w:rFonts w:cs="Arial"/>
                <w:b/>
                <w:szCs w:val="22"/>
              </w:rPr>
              <w:t>С.5. Ефективне управління громадою</w:t>
            </w:r>
          </w:p>
          <w:p w14:paraId="3C1290E3" w14:textId="77777777" w:rsidR="00FF1029" w:rsidRPr="00C2587D" w:rsidRDefault="00FF1029" w:rsidP="00FF1029">
            <w:pPr>
              <w:autoSpaceDE w:val="0"/>
              <w:autoSpaceDN w:val="0"/>
              <w:adjustRightInd w:val="0"/>
              <w:jc w:val="center"/>
              <w:rPr>
                <w:rFonts w:cs="Arial"/>
                <w:b/>
                <w:szCs w:val="22"/>
              </w:rPr>
            </w:pPr>
          </w:p>
        </w:tc>
      </w:tr>
    </w:tbl>
    <w:p w14:paraId="3CAEB243" w14:textId="301544E8" w:rsidR="00541158" w:rsidRPr="00C2587D" w:rsidRDefault="00F16379" w:rsidP="00F16379">
      <w:pPr>
        <w:pStyle w:val="af1"/>
        <w:spacing w:before="120" w:after="120"/>
        <w:rPr>
          <w:rFonts w:cs="Arial"/>
          <w:iCs/>
          <w:lang w:val="uk-UA"/>
        </w:rPr>
      </w:pPr>
      <w:r w:rsidRPr="00C2587D">
        <w:rPr>
          <w:rFonts w:cs="Arial"/>
          <w:iCs/>
          <w:lang w:val="uk-UA"/>
        </w:rPr>
        <w:tab/>
        <w:t>Впровадження Стратегії розвитку територіальної громади на період до 2030 року здійснюватиметься через реалізацію комплексу організаційних, фінансових та інформаційних заходів, які будуть здійснюватися відповідно до Плану її реалізації та інших місцевих програм, які випливають зі Стратегії, а також рішень міської ради, що приймаються для досягнення стратегічних цілей</w:t>
      </w:r>
      <w:r w:rsidR="0073106E">
        <w:rPr>
          <w:rFonts w:cs="Arial"/>
          <w:iCs/>
          <w:lang w:val="uk-UA"/>
        </w:rPr>
        <w:t xml:space="preserve"> з урахуванням антикорупційного законодавства</w:t>
      </w:r>
      <w:r w:rsidRPr="00C2587D">
        <w:rPr>
          <w:rFonts w:cs="Arial"/>
          <w:iCs/>
          <w:lang w:val="uk-UA"/>
        </w:rPr>
        <w:t>.</w:t>
      </w:r>
    </w:p>
    <w:p w14:paraId="29F49BBA" w14:textId="64E9F762" w:rsidR="00CD4B92" w:rsidRPr="00C2587D" w:rsidRDefault="00CD4B92" w:rsidP="00EF1267">
      <w:pPr>
        <w:pStyle w:val="af1"/>
        <w:spacing w:before="120"/>
        <w:ind w:firstLine="567"/>
        <w:rPr>
          <w:rFonts w:cs="Arial"/>
          <w:lang w:val="uk-UA"/>
        </w:rPr>
      </w:pPr>
      <w:r w:rsidRPr="00C2587D">
        <w:rPr>
          <w:rFonts w:cs="Arial"/>
          <w:iCs/>
          <w:lang w:val="uk-UA"/>
        </w:rPr>
        <w:t xml:space="preserve">План </w:t>
      </w:r>
      <w:r w:rsidR="00EA37F0" w:rsidRPr="00C2587D">
        <w:rPr>
          <w:rFonts w:cs="Arial"/>
          <w:iCs/>
          <w:lang w:val="uk-UA"/>
        </w:rPr>
        <w:t xml:space="preserve">реалізації </w:t>
      </w:r>
      <w:r w:rsidRPr="00C2587D">
        <w:rPr>
          <w:rFonts w:cs="Arial"/>
          <w:iCs/>
          <w:lang w:val="uk-UA"/>
        </w:rPr>
        <w:t xml:space="preserve">націлений на використання основних економічних можливостей наявних у </w:t>
      </w:r>
      <w:r w:rsidR="00EF1267" w:rsidRPr="00C2587D">
        <w:rPr>
          <w:rFonts w:cs="Arial"/>
          <w:iCs/>
          <w:lang w:val="uk-UA"/>
        </w:rPr>
        <w:t>громаді</w:t>
      </w:r>
      <w:r w:rsidR="00EA37F0" w:rsidRPr="00C2587D">
        <w:rPr>
          <w:rFonts w:cs="Arial"/>
          <w:iCs/>
          <w:lang w:val="uk-UA"/>
        </w:rPr>
        <w:t>. Він</w:t>
      </w:r>
      <w:r w:rsidRPr="00C2587D">
        <w:rPr>
          <w:rFonts w:cs="Arial"/>
          <w:iCs/>
          <w:lang w:val="uk-UA"/>
        </w:rPr>
        <w:t xml:space="preserve"> також враховує оптимальні способи сприяння сталості – соціальну інтеграцію, доступність і захист довкілля з урахуванням збереження</w:t>
      </w:r>
      <w:r w:rsidR="00F16379" w:rsidRPr="00C2587D">
        <w:rPr>
          <w:rFonts w:cs="Arial"/>
          <w:iCs/>
          <w:lang w:val="uk-UA"/>
        </w:rPr>
        <w:t xml:space="preserve"> трудових,</w:t>
      </w:r>
      <w:r w:rsidRPr="00C2587D">
        <w:rPr>
          <w:rFonts w:cs="Arial"/>
          <w:iCs/>
          <w:lang w:val="uk-UA"/>
        </w:rPr>
        <w:t xml:space="preserve"> природних, культурних і історичних ресурсів та </w:t>
      </w:r>
      <w:r w:rsidRPr="00C2587D">
        <w:rPr>
          <w:rFonts w:cs="Arial"/>
          <w:lang w:val="uk-UA"/>
        </w:rPr>
        <w:t>надбань.</w:t>
      </w:r>
    </w:p>
    <w:p w14:paraId="2806F59B" w14:textId="77777777" w:rsidR="003356A1" w:rsidRPr="00C2587D" w:rsidRDefault="003356A1">
      <w:pPr>
        <w:rPr>
          <w:rFonts w:cs="Arial"/>
        </w:rPr>
      </w:pPr>
    </w:p>
    <w:p w14:paraId="2E08F647" w14:textId="77777777" w:rsidR="003356A1" w:rsidRPr="00C2587D" w:rsidRDefault="003356A1" w:rsidP="00566BD0">
      <w:pPr>
        <w:jc w:val="center"/>
        <w:rPr>
          <w:rFonts w:cs="Arial"/>
          <w:color w:val="000000"/>
          <w:szCs w:val="22"/>
          <w:lang w:eastAsia="uk-UA"/>
        </w:rPr>
        <w:sectPr w:rsidR="003356A1" w:rsidRPr="00C2587D" w:rsidSect="00C60A15">
          <w:headerReference w:type="even" r:id="rId10"/>
          <w:headerReference w:type="default" r:id="rId11"/>
          <w:footerReference w:type="even" r:id="rId12"/>
          <w:footerReference w:type="default" r:id="rId13"/>
          <w:pgSz w:w="11906" w:h="16838" w:code="9"/>
          <w:pgMar w:top="1134" w:right="1134" w:bottom="1134" w:left="1134" w:header="794" w:footer="794" w:gutter="0"/>
          <w:cols w:space="708"/>
          <w:titlePg/>
          <w:docGrid w:linePitch="360"/>
        </w:sectPr>
      </w:pPr>
    </w:p>
    <w:p w14:paraId="28DCD9C3" w14:textId="3325649A" w:rsidR="00077603" w:rsidRPr="00C2587D" w:rsidRDefault="00077603" w:rsidP="00FE7690">
      <w:pPr>
        <w:pStyle w:val="TableTitle"/>
      </w:pPr>
      <w:bookmarkStart w:id="7" w:name="_Toc1743587"/>
      <w:r w:rsidRPr="00C2587D">
        <w:lastRenderedPageBreak/>
        <w:t>Таблиця 1. Структура цілей Стратегії розвитку Жмерин</w:t>
      </w:r>
      <w:bookmarkEnd w:id="7"/>
      <w:r w:rsidR="008E3789" w:rsidRPr="00C2587D">
        <w:t>ської міської територіальної громади</w:t>
      </w:r>
    </w:p>
    <w:tbl>
      <w:tblPr>
        <w:tblW w:w="15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2693"/>
        <w:gridCol w:w="2840"/>
        <w:gridCol w:w="7655"/>
      </w:tblGrid>
      <w:tr w:rsidR="003356A1" w:rsidRPr="00C2587D" w14:paraId="3B3DB978" w14:textId="77777777" w:rsidTr="00F21066">
        <w:trPr>
          <w:trHeight w:val="315"/>
          <w:tblHeader/>
        </w:trPr>
        <w:tc>
          <w:tcPr>
            <w:tcW w:w="1975" w:type="dxa"/>
            <w:shd w:val="clear" w:color="auto" w:fill="auto"/>
            <w:noWrap/>
            <w:vAlign w:val="center"/>
            <w:hideMark/>
          </w:tcPr>
          <w:p w14:paraId="3B9ACAC2" w14:textId="77777777" w:rsidR="003356A1" w:rsidRPr="00C2587D" w:rsidRDefault="003356A1" w:rsidP="002E392A">
            <w:pPr>
              <w:jc w:val="center"/>
              <w:rPr>
                <w:rFonts w:cs="Arial"/>
                <w:b/>
                <w:sz w:val="20"/>
                <w:szCs w:val="20"/>
                <w:lang w:eastAsia="uk-UA"/>
              </w:rPr>
            </w:pPr>
            <w:bookmarkStart w:id="8" w:name="_Hlk75336158"/>
            <w:r w:rsidRPr="00C2587D">
              <w:rPr>
                <w:rFonts w:cs="Arial"/>
                <w:b/>
                <w:sz w:val="20"/>
                <w:szCs w:val="20"/>
                <w:lang w:eastAsia="uk-UA"/>
              </w:rPr>
              <w:t>Стратегічні напрямки</w:t>
            </w:r>
          </w:p>
        </w:tc>
        <w:tc>
          <w:tcPr>
            <w:tcW w:w="2693" w:type="dxa"/>
            <w:shd w:val="clear" w:color="auto" w:fill="auto"/>
            <w:noWrap/>
            <w:vAlign w:val="center"/>
            <w:hideMark/>
          </w:tcPr>
          <w:p w14:paraId="3C6141CE" w14:textId="77777777" w:rsidR="003356A1" w:rsidRPr="00C2587D" w:rsidRDefault="003356A1" w:rsidP="002E392A">
            <w:pPr>
              <w:jc w:val="center"/>
              <w:rPr>
                <w:rFonts w:cs="Arial"/>
                <w:b/>
                <w:color w:val="000000"/>
                <w:sz w:val="20"/>
                <w:szCs w:val="20"/>
                <w:lang w:eastAsia="uk-UA"/>
              </w:rPr>
            </w:pPr>
            <w:r w:rsidRPr="00C2587D">
              <w:rPr>
                <w:rFonts w:cs="Arial"/>
                <w:b/>
                <w:color w:val="000000"/>
                <w:sz w:val="20"/>
                <w:szCs w:val="20"/>
                <w:lang w:eastAsia="uk-UA"/>
              </w:rPr>
              <w:t>Стратегічні цілі</w:t>
            </w:r>
          </w:p>
        </w:tc>
        <w:tc>
          <w:tcPr>
            <w:tcW w:w="2840" w:type="dxa"/>
            <w:shd w:val="clear" w:color="auto" w:fill="auto"/>
            <w:vAlign w:val="center"/>
            <w:hideMark/>
          </w:tcPr>
          <w:p w14:paraId="7A2640B1" w14:textId="77777777" w:rsidR="003356A1" w:rsidRPr="00C2587D" w:rsidRDefault="003356A1" w:rsidP="002E392A">
            <w:pPr>
              <w:jc w:val="center"/>
              <w:rPr>
                <w:rFonts w:cs="Arial"/>
                <w:b/>
                <w:color w:val="000000"/>
                <w:sz w:val="20"/>
                <w:szCs w:val="20"/>
                <w:lang w:eastAsia="uk-UA"/>
              </w:rPr>
            </w:pPr>
            <w:r w:rsidRPr="00C2587D">
              <w:rPr>
                <w:rFonts w:cs="Arial"/>
                <w:b/>
                <w:color w:val="000000"/>
                <w:sz w:val="20"/>
                <w:szCs w:val="20"/>
                <w:lang w:eastAsia="uk-UA"/>
              </w:rPr>
              <w:t>Операційні цілі</w:t>
            </w:r>
          </w:p>
        </w:tc>
        <w:tc>
          <w:tcPr>
            <w:tcW w:w="7655" w:type="dxa"/>
            <w:shd w:val="clear" w:color="auto" w:fill="auto"/>
            <w:noWrap/>
            <w:vAlign w:val="center"/>
            <w:hideMark/>
          </w:tcPr>
          <w:p w14:paraId="288CC3BC" w14:textId="77777777" w:rsidR="003356A1" w:rsidRPr="00C2587D" w:rsidRDefault="003356A1" w:rsidP="002E392A">
            <w:pPr>
              <w:jc w:val="center"/>
              <w:rPr>
                <w:rFonts w:cs="Arial"/>
                <w:b/>
                <w:color w:val="000000"/>
                <w:sz w:val="20"/>
                <w:szCs w:val="20"/>
                <w:lang w:eastAsia="uk-UA"/>
              </w:rPr>
            </w:pPr>
            <w:r w:rsidRPr="00C2587D">
              <w:rPr>
                <w:rFonts w:cs="Arial"/>
                <w:b/>
                <w:color w:val="000000"/>
                <w:sz w:val="20"/>
                <w:szCs w:val="20"/>
                <w:lang w:eastAsia="uk-UA"/>
              </w:rPr>
              <w:t>Завдання</w:t>
            </w:r>
          </w:p>
        </w:tc>
      </w:tr>
      <w:tr w:rsidR="00CC6C3D" w:rsidRPr="00C2587D" w14:paraId="67A0D362" w14:textId="77777777" w:rsidTr="002E392A">
        <w:trPr>
          <w:trHeight w:val="548"/>
        </w:trPr>
        <w:tc>
          <w:tcPr>
            <w:tcW w:w="1975" w:type="dxa"/>
            <w:vMerge w:val="restart"/>
            <w:shd w:val="clear" w:color="auto" w:fill="auto"/>
            <w:vAlign w:val="center"/>
            <w:hideMark/>
          </w:tcPr>
          <w:p w14:paraId="4A0116F2" w14:textId="01DA3074" w:rsidR="00CC6C3D" w:rsidRPr="00C2587D" w:rsidRDefault="00CC6C3D" w:rsidP="002E392A">
            <w:pPr>
              <w:rPr>
                <w:rFonts w:cs="Arial"/>
                <w:b/>
                <w:sz w:val="20"/>
                <w:szCs w:val="20"/>
                <w:lang w:eastAsia="uk-UA"/>
              </w:rPr>
            </w:pPr>
            <w:bookmarkStart w:id="9" w:name="_Hlk75258153"/>
            <w:r w:rsidRPr="00C2587D">
              <w:rPr>
                <w:rFonts w:cs="Arial"/>
                <w:b/>
                <w:sz w:val="20"/>
                <w:szCs w:val="20"/>
                <w:lang w:eastAsia="uk-UA"/>
              </w:rPr>
              <w:t>А. Інвестиційно приваблива громада із розвиненим експортно - орієнтованим бізнесом</w:t>
            </w:r>
            <w:bookmarkEnd w:id="9"/>
          </w:p>
        </w:tc>
        <w:tc>
          <w:tcPr>
            <w:tcW w:w="2693" w:type="dxa"/>
            <w:vMerge w:val="restart"/>
            <w:shd w:val="clear" w:color="auto" w:fill="auto"/>
            <w:vAlign w:val="center"/>
            <w:hideMark/>
          </w:tcPr>
          <w:p w14:paraId="39B4B734" w14:textId="77777777" w:rsidR="00CC6C3D" w:rsidRPr="00C2587D" w:rsidRDefault="00CC6C3D" w:rsidP="002E392A">
            <w:pPr>
              <w:rPr>
                <w:rFonts w:cs="Arial"/>
                <w:b/>
                <w:bCs/>
                <w:color w:val="000000"/>
                <w:sz w:val="20"/>
                <w:szCs w:val="20"/>
                <w:lang w:eastAsia="uk-UA"/>
              </w:rPr>
            </w:pPr>
            <w:r w:rsidRPr="00C2587D">
              <w:rPr>
                <w:rFonts w:cs="Arial"/>
                <w:b/>
                <w:bCs/>
                <w:color w:val="000000"/>
                <w:sz w:val="20"/>
                <w:szCs w:val="20"/>
                <w:lang w:eastAsia="uk-UA"/>
              </w:rPr>
              <w:t>А.1. Розвиток громади як транспортно-логістичного вузла та промислового центру</w:t>
            </w:r>
          </w:p>
          <w:p w14:paraId="64E51E01" w14:textId="77777777" w:rsidR="00CC6C3D" w:rsidRPr="00C2587D" w:rsidRDefault="00CC6C3D" w:rsidP="002E392A">
            <w:pPr>
              <w:rPr>
                <w:rFonts w:cs="Arial"/>
                <w:color w:val="000000"/>
                <w:sz w:val="20"/>
                <w:szCs w:val="20"/>
                <w:lang w:eastAsia="uk-UA"/>
              </w:rPr>
            </w:pPr>
          </w:p>
        </w:tc>
        <w:tc>
          <w:tcPr>
            <w:tcW w:w="2840" w:type="dxa"/>
            <w:shd w:val="clear" w:color="auto" w:fill="auto"/>
            <w:vAlign w:val="center"/>
            <w:hideMark/>
          </w:tcPr>
          <w:p w14:paraId="21590237" w14:textId="77777777" w:rsidR="00CC6C3D" w:rsidRPr="00C2587D" w:rsidRDefault="00CC6C3D" w:rsidP="002E392A">
            <w:pPr>
              <w:rPr>
                <w:rFonts w:cs="Arial"/>
                <w:bCs/>
                <w:color w:val="000000"/>
                <w:sz w:val="20"/>
                <w:szCs w:val="20"/>
                <w:lang w:eastAsia="uk-UA"/>
              </w:rPr>
            </w:pPr>
            <w:r w:rsidRPr="00C2587D">
              <w:rPr>
                <w:rFonts w:cs="Arial"/>
                <w:bCs/>
                <w:color w:val="000000"/>
                <w:sz w:val="20"/>
                <w:szCs w:val="20"/>
                <w:lang w:eastAsia="uk-UA"/>
              </w:rPr>
              <w:t>А.1.1. Розроблення Концепції міжнародного мультимодального транспортно-логістичного порту «Жмеринка» та підготовка  інвестиційних пропозицій</w:t>
            </w:r>
          </w:p>
        </w:tc>
        <w:tc>
          <w:tcPr>
            <w:tcW w:w="7655" w:type="dxa"/>
            <w:shd w:val="clear" w:color="auto" w:fill="auto"/>
            <w:hideMark/>
          </w:tcPr>
          <w:p w14:paraId="6EB6BD96" w14:textId="77777777" w:rsidR="005A116C" w:rsidRPr="00C2587D" w:rsidRDefault="00CC6C3D" w:rsidP="002E392A">
            <w:pPr>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А.1.1.1. </w:t>
            </w:r>
            <w:r w:rsidR="005A116C" w:rsidRPr="00C2587D">
              <w:rPr>
                <w:rFonts w:eastAsia="Lucida Sans Unicode" w:cs="Arial"/>
                <w:kern w:val="1"/>
                <w:sz w:val="20"/>
                <w:szCs w:val="20"/>
                <w:lang w:eastAsia="ar-SA"/>
              </w:rPr>
              <w:t>Розроблення Концепції міжнародного мультимодального транспортно-логістичного порту «Жмеринка».</w:t>
            </w:r>
          </w:p>
          <w:p w14:paraId="739419E0" w14:textId="77777777" w:rsidR="005A116C" w:rsidRPr="00C2587D" w:rsidRDefault="005A116C"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А.1.1.2. Підготовка інвестиційних пропозицій, пов’язаних з розвитком транспортно-логістичного порту «Жмеринка».</w:t>
            </w:r>
          </w:p>
          <w:p w14:paraId="2144CE08" w14:textId="7CDCC1C9" w:rsidR="00CC6C3D" w:rsidRPr="00C2587D" w:rsidRDefault="005A116C" w:rsidP="002E392A">
            <w:pPr>
              <w:jc w:val="both"/>
              <w:rPr>
                <w:rFonts w:cs="Arial"/>
                <w:color w:val="000000"/>
                <w:sz w:val="20"/>
                <w:szCs w:val="20"/>
                <w:lang w:eastAsia="uk-UA"/>
              </w:rPr>
            </w:pPr>
            <w:r w:rsidRPr="00C2587D">
              <w:rPr>
                <w:rFonts w:eastAsia="Lucida Sans Unicode" w:cs="Arial"/>
                <w:kern w:val="1"/>
                <w:sz w:val="20"/>
                <w:szCs w:val="20"/>
                <w:lang w:eastAsia="ar-SA"/>
              </w:rPr>
              <w:t>А.1.1.3. Промоційна діяльність для залучення інвестицій в транспортно-логістичний порт «Жмеринка».</w:t>
            </w:r>
          </w:p>
        </w:tc>
      </w:tr>
      <w:tr w:rsidR="00CC6C3D" w:rsidRPr="00C2587D" w14:paraId="2E690C68" w14:textId="77777777" w:rsidTr="002E392A">
        <w:trPr>
          <w:trHeight w:val="2066"/>
        </w:trPr>
        <w:tc>
          <w:tcPr>
            <w:tcW w:w="1975" w:type="dxa"/>
            <w:vMerge/>
            <w:vAlign w:val="center"/>
            <w:hideMark/>
          </w:tcPr>
          <w:p w14:paraId="1FDA4593" w14:textId="77777777" w:rsidR="00CC6C3D" w:rsidRPr="00C2587D" w:rsidRDefault="00CC6C3D" w:rsidP="002E392A">
            <w:pPr>
              <w:rPr>
                <w:rFonts w:cs="Arial"/>
                <w:b/>
                <w:sz w:val="20"/>
                <w:szCs w:val="20"/>
                <w:lang w:eastAsia="uk-UA"/>
              </w:rPr>
            </w:pPr>
          </w:p>
        </w:tc>
        <w:tc>
          <w:tcPr>
            <w:tcW w:w="2693" w:type="dxa"/>
            <w:vMerge/>
            <w:vAlign w:val="center"/>
            <w:hideMark/>
          </w:tcPr>
          <w:p w14:paraId="13ABCC41" w14:textId="77777777" w:rsidR="00CC6C3D" w:rsidRPr="00C2587D" w:rsidRDefault="00CC6C3D" w:rsidP="002E392A">
            <w:pPr>
              <w:rPr>
                <w:rFonts w:cs="Arial"/>
                <w:color w:val="000000"/>
                <w:sz w:val="20"/>
                <w:szCs w:val="20"/>
                <w:lang w:eastAsia="uk-UA"/>
              </w:rPr>
            </w:pPr>
          </w:p>
        </w:tc>
        <w:tc>
          <w:tcPr>
            <w:tcW w:w="2840" w:type="dxa"/>
            <w:shd w:val="clear" w:color="auto" w:fill="auto"/>
            <w:vAlign w:val="center"/>
            <w:hideMark/>
          </w:tcPr>
          <w:p w14:paraId="4510C832" w14:textId="77777777" w:rsidR="00CC6C3D" w:rsidRPr="00C2587D" w:rsidRDefault="00CC6C3D" w:rsidP="002E392A">
            <w:pPr>
              <w:rPr>
                <w:rFonts w:cs="Arial"/>
                <w:bCs/>
                <w:color w:val="000000"/>
                <w:sz w:val="20"/>
                <w:szCs w:val="20"/>
                <w:lang w:eastAsia="uk-UA"/>
              </w:rPr>
            </w:pPr>
            <w:r w:rsidRPr="00C2587D">
              <w:rPr>
                <w:rFonts w:cs="Arial"/>
                <w:bCs/>
                <w:color w:val="000000"/>
                <w:sz w:val="20"/>
                <w:szCs w:val="20"/>
                <w:lang w:eastAsia="uk-UA"/>
              </w:rPr>
              <w:t>А.1.2. Інноваційний розвиток промислового сектору громади</w:t>
            </w:r>
          </w:p>
        </w:tc>
        <w:tc>
          <w:tcPr>
            <w:tcW w:w="7655" w:type="dxa"/>
            <w:shd w:val="clear" w:color="auto" w:fill="auto"/>
            <w:hideMark/>
          </w:tcPr>
          <w:p w14:paraId="2FDCF165" w14:textId="77777777" w:rsidR="005C431E" w:rsidRPr="00C2587D" w:rsidRDefault="00CC6C3D" w:rsidP="002E392A">
            <w:pPr>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А.1.2.1. </w:t>
            </w:r>
            <w:r w:rsidR="005C431E" w:rsidRPr="00C2587D">
              <w:rPr>
                <w:rFonts w:eastAsia="Lucida Sans Unicode" w:cs="Arial"/>
                <w:kern w:val="1"/>
                <w:sz w:val="20"/>
                <w:szCs w:val="20"/>
                <w:lang w:eastAsia="ar-SA"/>
              </w:rPr>
              <w:t>Утримання існуючих підприємств, сприяння їхньому закріпленню та розширенню.</w:t>
            </w:r>
          </w:p>
          <w:p w14:paraId="4A257141" w14:textId="77777777" w:rsidR="005C431E" w:rsidRPr="00C2587D" w:rsidRDefault="005C431E" w:rsidP="002E392A">
            <w:pPr>
              <w:widowControl w:val="0"/>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А.1.2.2. </w:t>
            </w:r>
            <w:r w:rsidRPr="00C2587D">
              <w:rPr>
                <w:rFonts w:eastAsia="Lucida Sans Unicode" w:cs="Arial"/>
                <w:kern w:val="1"/>
                <w:sz w:val="20"/>
                <w:szCs w:val="20"/>
                <w:lang w:eastAsia="ar-SA"/>
              </w:rPr>
              <w:t>Сприяння будівництву та реконструкції промислових підприємств в тому числі по переробці сільськогосподарської продукції.</w:t>
            </w:r>
          </w:p>
          <w:p w14:paraId="1976A1FB" w14:textId="77777777" w:rsidR="005C431E" w:rsidRPr="00C2587D" w:rsidRDefault="005C431E" w:rsidP="002E392A">
            <w:pPr>
              <w:widowControl w:val="0"/>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А.1.2.3. </w:t>
            </w:r>
            <w:r w:rsidRPr="00C2587D">
              <w:rPr>
                <w:rFonts w:eastAsia="Lucida Sans Unicode" w:cs="Arial"/>
                <w:iCs/>
                <w:kern w:val="1"/>
                <w:sz w:val="20"/>
                <w:szCs w:val="20"/>
                <w:lang w:eastAsia="ar-SA"/>
              </w:rPr>
              <w:t>Сприяння створенню нових  підприємств по виробництву будівельних матеріалів з місцевої сировини, в т.ч. розробці  гранітного сховища в смт.Браїлів, розробці вапнякових та піщаних родовищ в селах Жуківці,  та Кармалюково використання сировинної бази вапнякового кар’єру для виробництва цементу в с. Рів, та ін.</w:t>
            </w:r>
          </w:p>
          <w:p w14:paraId="7730EC14" w14:textId="77777777" w:rsidR="005C431E" w:rsidRPr="00C2587D" w:rsidRDefault="005C431E" w:rsidP="002E392A">
            <w:pPr>
              <w:widowControl w:val="0"/>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А.1.2.4. </w:t>
            </w:r>
            <w:r w:rsidRPr="00C2587D">
              <w:rPr>
                <w:rFonts w:eastAsia="Lucida Sans Unicode" w:cs="Arial"/>
                <w:kern w:val="1"/>
                <w:sz w:val="20"/>
                <w:szCs w:val="20"/>
                <w:lang w:eastAsia="ar-SA"/>
              </w:rPr>
              <w:t>Визначення секторальних можливостей та пріоритетів економічного розвитку.</w:t>
            </w:r>
          </w:p>
          <w:p w14:paraId="2ADDA990" w14:textId="77777777" w:rsidR="005C431E" w:rsidRPr="00C2587D" w:rsidRDefault="005C431E" w:rsidP="002E392A">
            <w:pPr>
              <w:widowControl w:val="0"/>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А.1.2.5. </w:t>
            </w:r>
            <w:r w:rsidRPr="00C2587D">
              <w:rPr>
                <w:rFonts w:eastAsia="Lucida Sans Unicode" w:cs="Arial"/>
                <w:kern w:val="1"/>
                <w:sz w:val="20"/>
                <w:szCs w:val="20"/>
                <w:lang w:eastAsia="ar-SA"/>
              </w:rPr>
              <w:t xml:space="preserve"> Підтримка кластерів.</w:t>
            </w:r>
          </w:p>
          <w:p w14:paraId="14BEBB2D" w14:textId="77777777" w:rsidR="005C431E" w:rsidRPr="00C2587D" w:rsidRDefault="005C431E" w:rsidP="002E392A">
            <w:pPr>
              <w:widowControl w:val="0"/>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А.1.2.6. </w:t>
            </w:r>
            <w:r w:rsidRPr="00C2587D">
              <w:rPr>
                <w:rFonts w:eastAsia="Lucida Sans Unicode" w:cs="Arial"/>
                <w:kern w:val="1"/>
                <w:sz w:val="20"/>
                <w:szCs w:val="20"/>
                <w:lang w:eastAsia="ar-SA"/>
              </w:rPr>
              <w:t>Залучення експертного та академічного середовища до розробок високотехнологічної продукції.</w:t>
            </w:r>
          </w:p>
          <w:p w14:paraId="741F7A39" w14:textId="77777777" w:rsidR="005C431E" w:rsidRPr="00C2587D" w:rsidRDefault="005C431E" w:rsidP="002E392A">
            <w:pPr>
              <w:widowControl w:val="0"/>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А.1.2.7. </w:t>
            </w:r>
            <w:r w:rsidRPr="00C2587D">
              <w:rPr>
                <w:rFonts w:eastAsia="Lucida Sans Unicode" w:cs="Arial"/>
                <w:kern w:val="1"/>
                <w:sz w:val="20"/>
                <w:szCs w:val="20"/>
                <w:lang w:eastAsia="ar-SA"/>
              </w:rPr>
              <w:t xml:space="preserve">Підтримка розвитку стартапів. </w:t>
            </w:r>
          </w:p>
          <w:p w14:paraId="76A0C47B" w14:textId="77777777" w:rsidR="005C431E" w:rsidRPr="00C2587D" w:rsidRDefault="005C431E" w:rsidP="002E392A">
            <w:pPr>
              <w:jc w:val="both"/>
              <w:rPr>
                <w:rFonts w:cs="Arial"/>
                <w:color w:val="000000"/>
                <w:sz w:val="20"/>
                <w:szCs w:val="20"/>
                <w:lang w:eastAsia="uk-UA"/>
              </w:rPr>
            </w:pPr>
            <w:r w:rsidRPr="00C2587D">
              <w:rPr>
                <w:rFonts w:cs="Arial"/>
                <w:color w:val="000000"/>
                <w:sz w:val="20"/>
                <w:szCs w:val="20"/>
                <w:lang w:eastAsia="uk-UA"/>
              </w:rPr>
              <w:t xml:space="preserve">А.1.2.8. </w:t>
            </w:r>
            <w:r w:rsidRPr="00C2587D">
              <w:rPr>
                <w:rFonts w:eastAsia="Lucida Sans Unicode" w:cs="Arial"/>
                <w:kern w:val="1"/>
                <w:sz w:val="20"/>
                <w:szCs w:val="20"/>
                <w:lang w:eastAsia="ar-SA"/>
              </w:rPr>
              <w:t>Створення фонду підтримки інноваційного підприємництва.</w:t>
            </w:r>
          </w:p>
          <w:p w14:paraId="109E928E" w14:textId="77777777" w:rsidR="00CC6C3D" w:rsidRPr="00C2587D" w:rsidRDefault="00CC6C3D" w:rsidP="002E392A">
            <w:pPr>
              <w:jc w:val="both"/>
              <w:rPr>
                <w:rFonts w:cs="Arial"/>
                <w:color w:val="000000"/>
                <w:sz w:val="20"/>
                <w:szCs w:val="20"/>
                <w:lang w:eastAsia="uk-UA"/>
              </w:rPr>
            </w:pPr>
          </w:p>
        </w:tc>
      </w:tr>
      <w:tr w:rsidR="00CC6C3D" w:rsidRPr="00C2587D" w14:paraId="77CF4FFA" w14:textId="77777777" w:rsidTr="002E392A">
        <w:trPr>
          <w:trHeight w:val="1349"/>
        </w:trPr>
        <w:tc>
          <w:tcPr>
            <w:tcW w:w="1975" w:type="dxa"/>
            <w:vMerge/>
            <w:vAlign w:val="center"/>
            <w:hideMark/>
          </w:tcPr>
          <w:p w14:paraId="0F0DBBD0" w14:textId="77777777" w:rsidR="00CC6C3D" w:rsidRPr="00C2587D" w:rsidRDefault="00CC6C3D" w:rsidP="002E392A">
            <w:pPr>
              <w:rPr>
                <w:rFonts w:cs="Arial"/>
                <w:b/>
                <w:sz w:val="20"/>
                <w:szCs w:val="20"/>
                <w:lang w:eastAsia="uk-UA"/>
              </w:rPr>
            </w:pPr>
          </w:p>
        </w:tc>
        <w:tc>
          <w:tcPr>
            <w:tcW w:w="2693" w:type="dxa"/>
            <w:vMerge/>
            <w:vAlign w:val="center"/>
            <w:hideMark/>
          </w:tcPr>
          <w:p w14:paraId="1CEADFB9" w14:textId="77777777" w:rsidR="00CC6C3D" w:rsidRPr="00C2587D" w:rsidRDefault="00CC6C3D" w:rsidP="002E392A">
            <w:pPr>
              <w:rPr>
                <w:rFonts w:cs="Arial"/>
                <w:color w:val="000000"/>
                <w:sz w:val="20"/>
                <w:szCs w:val="20"/>
                <w:lang w:eastAsia="uk-UA"/>
              </w:rPr>
            </w:pPr>
          </w:p>
        </w:tc>
        <w:tc>
          <w:tcPr>
            <w:tcW w:w="2840" w:type="dxa"/>
            <w:shd w:val="clear" w:color="auto" w:fill="auto"/>
            <w:noWrap/>
            <w:vAlign w:val="center"/>
            <w:hideMark/>
          </w:tcPr>
          <w:p w14:paraId="57B3BB46" w14:textId="77777777" w:rsidR="00CC6C3D" w:rsidRPr="00C2587D" w:rsidRDefault="00CC6C3D" w:rsidP="002E392A">
            <w:pPr>
              <w:rPr>
                <w:rFonts w:cs="Arial"/>
                <w:color w:val="000000"/>
                <w:sz w:val="20"/>
                <w:szCs w:val="20"/>
                <w:lang w:eastAsia="uk-UA"/>
              </w:rPr>
            </w:pPr>
            <w:r w:rsidRPr="00C2587D">
              <w:rPr>
                <w:rFonts w:cs="Arial"/>
                <w:sz w:val="20"/>
                <w:szCs w:val="22"/>
                <w:lang w:eastAsia="uk-UA"/>
              </w:rPr>
              <w:t>А.1.3. Розвиток людських ресурсів</w:t>
            </w:r>
          </w:p>
        </w:tc>
        <w:tc>
          <w:tcPr>
            <w:tcW w:w="7655" w:type="dxa"/>
            <w:shd w:val="clear" w:color="auto" w:fill="auto"/>
            <w:hideMark/>
          </w:tcPr>
          <w:p w14:paraId="252462D1" w14:textId="77777777" w:rsidR="00CC6C3D" w:rsidRPr="00C2587D" w:rsidRDefault="00CC6C3D" w:rsidP="002E392A">
            <w:pPr>
              <w:jc w:val="both"/>
              <w:rPr>
                <w:rFonts w:cs="Arial"/>
                <w:color w:val="000000"/>
                <w:sz w:val="20"/>
                <w:szCs w:val="20"/>
                <w:lang w:eastAsia="uk-UA"/>
              </w:rPr>
            </w:pPr>
            <w:r w:rsidRPr="00C2587D">
              <w:rPr>
                <w:rFonts w:cs="Arial"/>
                <w:color w:val="000000"/>
                <w:sz w:val="20"/>
                <w:szCs w:val="20"/>
                <w:lang w:eastAsia="uk-UA"/>
              </w:rPr>
              <w:t>А.1.3.1. Організація підготовки персоналу під потреби ринку праці</w:t>
            </w:r>
            <w:r w:rsidR="006E42EF" w:rsidRPr="00C2587D">
              <w:rPr>
                <w:rFonts w:cs="Arial"/>
                <w:color w:val="000000"/>
                <w:sz w:val="20"/>
                <w:szCs w:val="20"/>
                <w:lang w:eastAsia="uk-UA"/>
              </w:rPr>
              <w:t>.</w:t>
            </w:r>
          </w:p>
          <w:p w14:paraId="7FEFC576" w14:textId="77777777" w:rsidR="00147946" w:rsidRPr="00C2587D" w:rsidRDefault="00CC6C3D" w:rsidP="002E392A">
            <w:pPr>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А.1.3.2</w:t>
            </w:r>
            <w:r w:rsidR="00147946" w:rsidRPr="00C2587D">
              <w:rPr>
                <w:rFonts w:cs="Arial"/>
                <w:color w:val="000000"/>
                <w:sz w:val="20"/>
                <w:szCs w:val="20"/>
                <w:lang w:eastAsia="uk-UA"/>
              </w:rPr>
              <w:t>.</w:t>
            </w:r>
            <w:r w:rsidR="002C5851" w:rsidRPr="00C2587D">
              <w:rPr>
                <w:rFonts w:cs="Arial"/>
                <w:color w:val="000000"/>
                <w:sz w:val="20"/>
                <w:szCs w:val="20"/>
                <w:lang w:eastAsia="uk-UA"/>
              </w:rPr>
              <w:t xml:space="preserve"> </w:t>
            </w:r>
            <w:r w:rsidR="00147946" w:rsidRPr="00C2587D">
              <w:rPr>
                <w:rFonts w:eastAsia="Lucida Sans Unicode" w:cs="Arial"/>
                <w:kern w:val="1"/>
                <w:sz w:val="20"/>
                <w:szCs w:val="20"/>
                <w:lang w:eastAsia="ar-SA"/>
              </w:rPr>
              <w:t>Впровадження навчальних програм з підприємництва для молоді.</w:t>
            </w:r>
          </w:p>
          <w:p w14:paraId="2C774265" w14:textId="77777777" w:rsidR="00147946" w:rsidRPr="00C2587D" w:rsidRDefault="00147946" w:rsidP="002E392A">
            <w:pPr>
              <w:suppressAutoHyphens/>
              <w:spacing w:before="20" w:after="20"/>
              <w:jc w:val="both"/>
              <w:rPr>
                <w:rFonts w:eastAsia="Andale Sans UI" w:cs="Arial"/>
                <w:kern w:val="1"/>
                <w:sz w:val="20"/>
                <w:szCs w:val="20"/>
                <w:lang w:eastAsia="ja-JP" w:bidi="fa-IR"/>
              </w:rPr>
            </w:pPr>
            <w:r w:rsidRPr="00C2587D">
              <w:rPr>
                <w:rFonts w:cs="Arial"/>
                <w:color w:val="000000"/>
                <w:sz w:val="20"/>
                <w:szCs w:val="20"/>
                <w:lang w:eastAsia="uk-UA"/>
              </w:rPr>
              <w:t>А.1.3.</w:t>
            </w:r>
            <w:r w:rsidR="006E42EF" w:rsidRPr="00C2587D">
              <w:rPr>
                <w:rFonts w:cs="Arial"/>
                <w:color w:val="000000"/>
                <w:sz w:val="20"/>
                <w:szCs w:val="20"/>
                <w:lang w:eastAsia="uk-UA"/>
              </w:rPr>
              <w:t>3</w:t>
            </w:r>
            <w:r w:rsidRPr="00C2587D">
              <w:rPr>
                <w:rFonts w:cs="Arial"/>
                <w:color w:val="000000"/>
                <w:sz w:val="20"/>
                <w:szCs w:val="20"/>
                <w:lang w:eastAsia="uk-UA"/>
              </w:rPr>
              <w:t>.</w:t>
            </w:r>
            <w:r w:rsidR="006E42EF" w:rsidRPr="00C2587D">
              <w:rPr>
                <w:rFonts w:cs="Arial"/>
                <w:color w:val="000000"/>
                <w:sz w:val="20"/>
                <w:szCs w:val="20"/>
                <w:lang w:eastAsia="uk-UA"/>
              </w:rPr>
              <w:t xml:space="preserve"> </w:t>
            </w:r>
            <w:r w:rsidRPr="00C2587D">
              <w:rPr>
                <w:rFonts w:eastAsia="Lucida Sans Unicode" w:cs="Arial"/>
                <w:kern w:val="1"/>
                <w:sz w:val="20"/>
                <w:szCs w:val="20"/>
                <w:lang w:eastAsia="ar-SA"/>
              </w:rPr>
              <w:t>Підвищення кваліфікації працівників на регулярній основі.</w:t>
            </w:r>
          </w:p>
          <w:p w14:paraId="763AE059" w14:textId="77777777" w:rsidR="00147946" w:rsidRPr="00C2587D" w:rsidRDefault="006E42EF" w:rsidP="002E392A">
            <w:pPr>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А.1.3.4. </w:t>
            </w:r>
            <w:r w:rsidR="00147946" w:rsidRPr="00C2587D">
              <w:rPr>
                <w:rFonts w:eastAsia="Lucida Sans Unicode" w:cs="Arial"/>
                <w:kern w:val="1"/>
                <w:sz w:val="20"/>
                <w:szCs w:val="20"/>
                <w:lang w:eastAsia="ar-SA"/>
              </w:rPr>
              <w:t>Застосування новітніх технологій в підготовці кадрів для розвитку інноваційних бізнесів.</w:t>
            </w:r>
          </w:p>
          <w:p w14:paraId="4BBDB75C" w14:textId="77777777" w:rsidR="00147946" w:rsidRPr="00C2587D" w:rsidRDefault="006E42EF" w:rsidP="002E392A">
            <w:pPr>
              <w:suppressAutoHyphens/>
              <w:spacing w:before="20" w:after="20"/>
              <w:jc w:val="both"/>
              <w:rPr>
                <w:rFonts w:cs="Arial"/>
                <w:color w:val="000000"/>
                <w:sz w:val="20"/>
                <w:szCs w:val="20"/>
                <w:lang w:eastAsia="uk-UA"/>
              </w:rPr>
            </w:pPr>
            <w:r w:rsidRPr="00C2587D">
              <w:rPr>
                <w:rFonts w:cs="Arial"/>
                <w:color w:val="000000"/>
                <w:sz w:val="20"/>
                <w:szCs w:val="20"/>
                <w:lang w:eastAsia="uk-UA"/>
              </w:rPr>
              <w:t xml:space="preserve">А.1.3.5. </w:t>
            </w:r>
            <w:r w:rsidR="00147946" w:rsidRPr="00C2587D">
              <w:rPr>
                <w:rFonts w:eastAsia="Lucida Sans Unicode" w:cs="Arial"/>
                <w:kern w:val="1"/>
                <w:sz w:val="20"/>
                <w:szCs w:val="20"/>
                <w:lang w:eastAsia="ar-SA"/>
              </w:rPr>
              <w:t>Підвищення рівня обізнаності керівників підприємств і жителів громади з питань охорони довкілля та екологічної безпеки</w:t>
            </w:r>
            <w:r w:rsidRPr="00C2587D">
              <w:rPr>
                <w:rFonts w:eastAsia="Lucida Sans Unicode" w:cs="Arial"/>
                <w:kern w:val="1"/>
                <w:sz w:val="20"/>
                <w:szCs w:val="20"/>
                <w:lang w:eastAsia="ar-SA"/>
              </w:rPr>
              <w:t>.</w:t>
            </w:r>
          </w:p>
          <w:p w14:paraId="4830162B" w14:textId="77777777" w:rsidR="00CC6C3D" w:rsidRPr="00C2587D" w:rsidRDefault="00CC6C3D" w:rsidP="002E392A">
            <w:pPr>
              <w:jc w:val="both"/>
              <w:rPr>
                <w:rFonts w:cs="Arial"/>
                <w:color w:val="000000"/>
                <w:sz w:val="20"/>
                <w:szCs w:val="20"/>
                <w:lang w:eastAsia="uk-UA"/>
              </w:rPr>
            </w:pPr>
          </w:p>
        </w:tc>
      </w:tr>
      <w:tr w:rsidR="00CC6C3D" w:rsidRPr="00C2587D" w14:paraId="7E51EB66" w14:textId="77777777" w:rsidTr="002E392A">
        <w:trPr>
          <w:trHeight w:val="1125"/>
        </w:trPr>
        <w:tc>
          <w:tcPr>
            <w:tcW w:w="1975" w:type="dxa"/>
            <w:vMerge/>
            <w:vAlign w:val="center"/>
            <w:hideMark/>
          </w:tcPr>
          <w:p w14:paraId="673C1A49" w14:textId="77777777" w:rsidR="00CC6C3D" w:rsidRPr="00C2587D" w:rsidRDefault="00CC6C3D" w:rsidP="002E392A">
            <w:pPr>
              <w:rPr>
                <w:rFonts w:cs="Arial"/>
                <w:b/>
                <w:sz w:val="20"/>
                <w:szCs w:val="20"/>
                <w:lang w:eastAsia="uk-UA"/>
              </w:rPr>
            </w:pPr>
          </w:p>
        </w:tc>
        <w:tc>
          <w:tcPr>
            <w:tcW w:w="2693" w:type="dxa"/>
            <w:vMerge w:val="restart"/>
            <w:shd w:val="clear" w:color="auto" w:fill="auto"/>
            <w:vAlign w:val="center"/>
            <w:hideMark/>
          </w:tcPr>
          <w:p w14:paraId="02EB3B9C" w14:textId="77777777" w:rsidR="00CC6C3D" w:rsidRPr="00C2587D" w:rsidRDefault="00CC6C3D" w:rsidP="002E392A">
            <w:pPr>
              <w:rPr>
                <w:rFonts w:cs="Arial"/>
                <w:b/>
                <w:bCs/>
                <w:color w:val="000000"/>
                <w:sz w:val="20"/>
                <w:szCs w:val="20"/>
                <w:lang w:eastAsia="uk-UA"/>
              </w:rPr>
            </w:pPr>
            <w:r w:rsidRPr="00C2587D">
              <w:rPr>
                <w:rFonts w:cs="Arial"/>
                <w:b/>
                <w:bCs/>
                <w:color w:val="000000"/>
                <w:sz w:val="20"/>
                <w:szCs w:val="20"/>
                <w:lang w:eastAsia="uk-UA"/>
              </w:rPr>
              <w:t>А.2. Розвиток агропромислового виробництва</w:t>
            </w:r>
          </w:p>
        </w:tc>
        <w:tc>
          <w:tcPr>
            <w:tcW w:w="2840" w:type="dxa"/>
            <w:shd w:val="clear" w:color="auto" w:fill="auto"/>
            <w:vAlign w:val="center"/>
            <w:hideMark/>
          </w:tcPr>
          <w:p w14:paraId="2F672311" w14:textId="77777777" w:rsidR="00CC6C3D" w:rsidRPr="00C2587D" w:rsidRDefault="00CC6C3D" w:rsidP="002E392A">
            <w:pPr>
              <w:rPr>
                <w:rFonts w:cs="Arial"/>
                <w:color w:val="000000"/>
                <w:sz w:val="20"/>
                <w:szCs w:val="20"/>
                <w:lang w:eastAsia="uk-UA"/>
              </w:rPr>
            </w:pPr>
            <w:r w:rsidRPr="00C2587D">
              <w:rPr>
                <w:rFonts w:cs="Arial"/>
                <w:color w:val="000000"/>
                <w:sz w:val="20"/>
                <w:szCs w:val="20"/>
                <w:lang w:eastAsia="uk-UA"/>
              </w:rPr>
              <w:t>А.2.1. Сприяння підвищенню продуктивності та ефективності сільгоспвиробництва</w:t>
            </w:r>
          </w:p>
        </w:tc>
        <w:tc>
          <w:tcPr>
            <w:tcW w:w="7655" w:type="dxa"/>
            <w:shd w:val="clear" w:color="auto" w:fill="auto"/>
            <w:hideMark/>
          </w:tcPr>
          <w:p w14:paraId="22B90185" w14:textId="77777777" w:rsidR="00C60E8A" w:rsidRPr="00C2587D" w:rsidRDefault="00CC6C3D" w:rsidP="002E392A">
            <w:pPr>
              <w:jc w:val="both"/>
              <w:rPr>
                <w:rFonts w:eastAsia="Lucida Sans Unicode" w:cs="Arial"/>
                <w:bCs/>
                <w:kern w:val="1"/>
                <w:sz w:val="20"/>
                <w:szCs w:val="20"/>
                <w:lang w:eastAsia="ar-SA"/>
              </w:rPr>
            </w:pPr>
            <w:r w:rsidRPr="00C2587D">
              <w:rPr>
                <w:rFonts w:cs="Arial"/>
                <w:color w:val="000000"/>
                <w:sz w:val="20"/>
                <w:szCs w:val="20"/>
                <w:lang w:eastAsia="uk-UA"/>
              </w:rPr>
              <w:t>А.2.1.1.</w:t>
            </w:r>
            <w:r w:rsidR="00C60E8A" w:rsidRPr="00C2587D">
              <w:rPr>
                <w:rFonts w:eastAsia="Lucida Sans Unicode" w:cs="Arial"/>
                <w:bCs/>
                <w:kern w:val="1"/>
                <w:sz w:val="20"/>
                <w:szCs w:val="20"/>
                <w:lang w:eastAsia="ar-SA"/>
              </w:rPr>
              <w:t>Організація інформаційно-аналітичної мережі, що забезпечуватиме фермерам та їх партнерам можливість комунікації з питань придбання і використання виробничих ресурсів, реалізації продукції.</w:t>
            </w:r>
          </w:p>
          <w:p w14:paraId="2E7C0397" w14:textId="77777777" w:rsidR="00C60E8A" w:rsidRPr="00C2587D" w:rsidRDefault="00C60E8A" w:rsidP="002E392A">
            <w:pPr>
              <w:widowControl w:val="0"/>
              <w:suppressAutoHyphens/>
              <w:spacing w:before="20" w:after="20"/>
              <w:jc w:val="both"/>
              <w:rPr>
                <w:rFonts w:eastAsia="Lucida Sans Unicode" w:cs="Arial"/>
                <w:bCs/>
                <w:kern w:val="1"/>
                <w:sz w:val="20"/>
                <w:szCs w:val="20"/>
                <w:lang w:eastAsia="ar-SA"/>
              </w:rPr>
            </w:pPr>
            <w:r w:rsidRPr="00C2587D">
              <w:rPr>
                <w:rFonts w:cs="Arial"/>
                <w:color w:val="000000"/>
                <w:sz w:val="20"/>
                <w:szCs w:val="20"/>
                <w:lang w:eastAsia="uk-UA"/>
              </w:rPr>
              <w:t>А.2.1.2.</w:t>
            </w:r>
            <w:r w:rsidRPr="00C2587D">
              <w:rPr>
                <w:rFonts w:eastAsia="Lucida Sans Unicode" w:cs="Arial"/>
                <w:bCs/>
                <w:kern w:val="1"/>
                <w:sz w:val="20"/>
                <w:szCs w:val="20"/>
                <w:lang w:eastAsia="ar-SA"/>
              </w:rPr>
              <w:t>Організація обміну досвідом, вирішення юридичних, фінансових та інших питань.</w:t>
            </w:r>
          </w:p>
          <w:p w14:paraId="66A27B24" w14:textId="77777777" w:rsidR="00C60E8A" w:rsidRPr="00C2587D" w:rsidRDefault="00C60E8A" w:rsidP="002E392A">
            <w:pPr>
              <w:widowControl w:val="0"/>
              <w:suppressAutoHyphens/>
              <w:spacing w:before="20" w:after="20"/>
              <w:jc w:val="both"/>
              <w:rPr>
                <w:rFonts w:eastAsia="Lucida Sans Unicode" w:cs="Arial"/>
                <w:bCs/>
                <w:kern w:val="1"/>
                <w:sz w:val="20"/>
                <w:szCs w:val="20"/>
                <w:lang w:eastAsia="ar-SA"/>
              </w:rPr>
            </w:pPr>
            <w:r w:rsidRPr="00C2587D">
              <w:rPr>
                <w:rFonts w:cs="Arial"/>
                <w:color w:val="000000"/>
                <w:sz w:val="20"/>
                <w:szCs w:val="20"/>
                <w:lang w:eastAsia="uk-UA"/>
              </w:rPr>
              <w:t>А.2.1.3.</w:t>
            </w:r>
            <w:r w:rsidRPr="00C2587D">
              <w:rPr>
                <w:rFonts w:eastAsia="Lucida Sans Unicode" w:cs="Arial"/>
                <w:bCs/>
                <w:kern w:val="1"/>
                <w:sz w:val="20"/>
                <w:szCs w:val="20"/>
                <w:lang w:eastAsia="ar-SA"/>
              </w:rPr>
              <w:t>Сприяння реалізації державної аграрної політики та державних цільових програм щодо підтримки сільгосптоваровиробників усіх форм власності.</w:t>
            </w:r>
          </w:p>
          <w:p w14:paraId="025AF244" w14:textId="77777777" w:rsidR="00C60E8A" w:rsidRPr="00C2587D" w:rsidRDefault="00C60E8A" w:rsidP="002E392A">
            <w:pPr>
              <w:widowControl w:val="0"/>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А.2.1.4. Організація навчання, підтримка створення та діяльності  сільськогосподарських кооперативів.</w:t>
            </w:r>
          </w:p>
          <w:p w14:paraId="760CDA8A" w14:textId="77777777" w:rsidR="00C60E8A" w:rsidRPr="00C2587D" w:rsidRDefault="00C60E8A" w:rsidP="002E392A">
            <w:pPr>
              <w:widowControl w:val="0"/>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А.2.1.5.</w:t>
            </w:r>
            <w:r w:rsidR="002C5851" w:rsidRPr="00C2587D">
              <w:rPr>
                <w:rFonts w:cs="Arial"/>
                <w:color w:val="000000"/>
                <w:sz w:val="20"/>
                <w:szCs w:val="20"/>
                <w:lang w:eastAsia="uk-UA"/>
              </w:rPr>
              <w:t xml:space="preserve"> </w:t>
            </w:r>
            <w:r w:rsidRPr="00C2587D">
              <w:rPr>
                <w:rFonts w:eastAsia="Lucida Sans Unicode" w:cs="Arial"/>
                <w:kern w:val="1"/>
                <w:sz w:val="20"/>
                <w:szCs w:val="20"/>
                <w:lang w:eastAsia="ar-SA"/>
              </w:rPr>
              <w:t>Інформаційно-методична підтримка створення та діяльності сімейних фермерських господарств.</w:t>
            </w:r>
          </w:p>
          <w:p w14:paraId="6628D70B" w14:textId="77777777" w:rsidR="00C60E8A" w:rsidRPr="00C2587D" w:rsidRDefault="00C60E8A" w:rsidP="002E392A">
            <w:pPr>
              <w:widowControl w:val="0"/>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А.2.1.6.</w:t>
            </w:r>
            <w:r w:rsidR="002C5851" w:rsidRPr="00C2587D">
              <w:rPr>
                <w:rFonts w:cs="Arial"/>
                <w:color w:val="000000"/>
                <w:sz w:val="20"/>
                <w:szCs w:val="20"/>
                <w:lang w:eastAsia="uk-UA"/>
              </w:rPr>
              <w:t xml:space="preserve"> </w:t>
            </w:r>
            <w:r w:rsidRPr="00C2587D">
              <w:rPr>
                <w:rFonts w:eastAsia="Lucida Sans Unicode" w:cs="Arial"/>
                <w:kern w:val="1"/>
                <w:sz w:val="20"/>
                <w:szCs w:val="20"/>
                <w:lang w:eastAsia="ar-SA"/>
              </w:rPr>
              <w:t>Підтримка розвитку органічного сектору сільськогосподарського виробництва.</w:t>
            </w:r>
          </w:p>
          <w:p w14:paraId="47CEBBF4" w14:textId="77777777" w:rsidR="00C60E8A" w:rsidRPr="00C2587D" w:rsidRDefault="00C60E8A" w:rsidP="002E392A">
            <w:pPr>
              <w:widowControl w:val="0"/>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А.2.1.7. </w:t>
            </w:r>
            <w:r w:rsidRPr="00C2587D">
              <w:rPr>
                <w:rFonts w:eastAsia="Lucida Sans Unicode" w:cs="Arial"/>
                <w:iCs/>
                <w:kern w:val="1"/>
                <w:sz w:val="20"/>
                <w:szCs w:val="20"/>
                <w:lang w:eastAsia="ar-SA"/>
              </w:rPr>
              <w:t>Сприяння впровадженню енерго- і ресурсозберігаючих технологій шляхом застосування високопродуктивної техніки.</w:t>
            </w:r>
          </w:p>
          <w:p w14:paraId="610D5C40" w14:textId="77777777" w:rsidR="00C60E8A" w:rsidRPr="00C2587D" w:rsidRDefault="00C60E8A" w:rsidP="002E392A">
            <w:pPr>
              <w:jc w:val="both"/>
              <w:rPr>
                <w:rFonts w:cs="Arial"/>
                <w:color w:val="000000"/>
                <w:sz w:val="20"/>
                <w:szCs w:val="20"/>
                <w:lang w:eastAsia="uk-UA"/>
              </w:rPr>
            </w:pPr>
            <w:r w:rsidRPr="00C2587D">
              <w:rPr>
                <w:rFonts w:cs="Arial"/>
                <w:color w:val="000000"/>
                <w:sz w:val="20"/>
                <w:szCs w:val="20"/>
                <w:lang w:eastAsia="uk-UA"/>
              </w:rPr>
              <w:t>А.2.1.8.</w:t>
            </w:r>
            <w:r w:rsidR="002C5851" w:rsidRPr="00C2587D">
              <w:rPr>
                <w:rFonts w:cs="Arial"/>
                <w:color w:val="000000"/>
                <w:sz w:val="20"/>
                <w:szCs w:val="20"/>
                <w:lang w:eastAsia="uk-UA"/>
              </w:rPr>
              <w:t xml:space="preserve"> </w:t>
            </w:r>
            <w:r w:rsidRPr="00C2587D">
              <w:rPr>
                <w:rFonts w:eastAsia="Lucida Sans Unicode" w:cs="Arial"/>
                <w:kern w:val="1"/>
                <w:sz w:val="20"/>
                <w:szCs w:val="20"/>
                <w:lang w:eastAsia="ar-SA"/>
              </w:rPr>
              <w:t>Підвищення компетенцій місцевих операторів ринку харчових продуктів щодо запровадження міжнародних систем забезпечення безпеки та якості харчових продуктів.</w:t>
            </w:r>
          </w:p>
          <w:p w14:paraId="5898F092" w14:textId="77777777" w:rsidR="00CC6C3D" w:rsidRPr="00C2587D" w:rsidRDefault="00CC6C3D" w:rsidP="002E392A">
            <w:pPr>
              <w:jc w:val="both"/>
              <w:rPr>
                <w:rFonts w:cs="Arial"/>
                <w:color w:val="000000"/>
                <w:sz w:val="20"/>
                <w:szCs w:val="20"/>
                <w:lang w:eastAsia="uk-UA"/>
              </w:rPr>
            </w:pPr>
          </w:p>
        </w:tc>
      </w:tr>
      <w:tr w:rsidR="00CC6C3D" w:rsidRPr="00C2587D" w14:paraId="4387929D" w14:textId="77777777" w:rsidTr="002E392A">
        <w:trPr>
          <w:trHeight w:val="1032"/>
        </w:trPr>
        <w:tc>
          <w:tcPr>
            <w:tcW w:w="1975" w:type="dxa"/>
            <w:vMerge/>
            <w:vAlign w:val="center"/>
            <w:hideMark/>
          </w:tcPr>
          <w:p w14:paraId="27C0AA82" w14:textId="77777777" w:rsidR="00CC6C3D" w:rsidRPr="00C2587D" w:rsidRDefault="00CC6C3D" w:rsidP="002E392A">
            <w:pPr>
              <w:rPr>
                <w:rFonts w:cs="Arial"/>
                <w:b/>
                <w:sz w:val="20"/>
                <w:szCs w:val="20"/>
                <w:lang w:eastAsia="uk-UA"/>
              </w:rPr>
            </w:pPr>
          </w:p>
        </w:tc>
        <w:tc>
          <w:tcPr>
            <w:tcW w:w="2693" w:type="dxa"/>
            <w:vMerge/>
            <w:vAlign w:val="center"/>
            <w:hideMark/>
          </w:tcPr>
          <w:p w14:paraId="2559F9D8" w14:textId="77777777" w:rsidR="00CC6C3D" w:rsidRPr="00C2587D" w:rsidRDefault="00CC6C3D" w:rsidP="002E392A">
            <w:pPr>
              <w:rPr>
                <w:rFonts w:cs="Arial"/>
                <w:color w:val="000000"/>
                <w:sz w:val="20"/>
                <w:szCs w:val="20"/>
                <w:lang w:eastAsia="uk-UA"/>
              </w:rPr>
            </w:pPr>
          </w:p>
        </w:tc>
        <w:tc>
          <w:tcPr>
            <w:tcW w:w="2840" w:type="dxa"/>
            <w:shd w:val="clear" w:color="auto" w:fill="auto"/>
            <w:vAlign w:val="center"/>
            <w:hideMark/>
          </w:tcPr>
          <w:p w14:paraId="0A955CAC" w14:textId="5AB8540F" w:rsidR="00CC6C3D" w:rsidRPr="00C2587D" w:rsidRDefault="00CC6C3D" w:rsidP="002E392A">
            <w:pPr>
              <w:rPr>
                <w:rFonts w:cs="Arial"/>
                <w:color w:val="000000"/>
                <w:sz w:val="20"/>
                <w:szCs w:val="20"/>
                <w:lang w:eastAsia="uk-UA"/>
              </w:rPr>
            </w:pPr>
            <w:r w:rsidRPr="00C2587D">
              <w:rPr>
                <w:rFonts w:cs="Arial"/>
                <w:color w:val="000000"/>
                <w:sz w:val="20"/>
                <w:szCs w:val="20"/>
                <w:lang w:eastAsia="uk-UA"/>
              </w:rPr>
              <w:t>А.2.2. Стимулювання виробників сільськогосподарської продукції до переробки цієї продукції та створення високої доданої вартості</w:t>
            </w:r>
          </w:p>
        </w:tc>
        <w:tc>
          <w:tcPr>
            <w:tcW w:w="7655" w:type="dxa"/>
            <w:shd w:val="clear" w:color="auto" w:fill="auto"/>
            <w:hideMark/>
          </w:tcPr>
          <w:p w14:paraId="1F10E0CB" w14:textId="77777777" w:rsidR="002C5851" w:rsidRPr="00C2587D" w:rsidRDefault="00CC6C3D" w:rsidP="002E392A">
            <w:pPr>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А.2.2.1. </w:t>
            </w:r>
            <w:r w:rsidR="002C5851" w:rsidRPr="00C2587D">
              <w:rPr>
                <w:rFonts w:eastAsia="Lucida Sans Unicode" w:cs="Arial"/>
                <w:iCs/>
                <w:kern w:val="1"/>
                <w:sz w:val="20"/>
                <w:szCs w:val="20"/>
                <w:lang w:eastAsia="ar-SA"/>
              </w:rPr>
              <w:t>Сприяння формуванню кластеру виробництва та переробки сільськогосподарської продукції.</w:t>
            </w:r>
          </w:p>
          <w:p w14:paraId="658C88F6" w14:textId="77777777" w:rsidR="002C5851" w:rsidRPr="00C2587D" w:rsidRDefault="002C5851" w:rsidP="002E392A">
            <w:pPr>
              <w:widowControl w:val="0"/>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А.2.2.2. </w:t>
            </w:r>
            <w:r w:rsidRPr="00C2587D">
              <w:rPr>
                <w:rFonts w:eastAsia="Lucida Sans Unicode" w:cs="Arial"/>
                <w:kern w:val="1"/>
                <w:sz w:val="20"/>
                <w:szCs w:val="20"/>
                <w:lang w:eastAsia="ar-SA"/>
              </w:rPr>
              <w:t>Сприяння розвитку  галузі садівництва, ягідництва з подальшою переробкою продукції.</w:t>
            </w:r>
          </w:p>
          <w:p w14:paraId="5B6F2E91" w14:textId="77777777" w:rsidR="002C5851" w:rsidRPr="00C2587D" w:rsidRDefault="002C5851" w:rsidP="002E392A">
            <w:pPr>
              <w:widowControl w:val="0"/>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А.2.2.3. </w:t>
            </w:r>
            <w:r w:rsidRPr="00C2587D">
              <w:rPr>
                <w:rFonts w:eastAsia="Lucida Sans Unicode" w:cs="Arial"/>
                <w:kern w:val="1"/>
                <w:sz w:val="20"/>
                <w:szCs w:val="20"/>
                <w:lang w:eastAsia="ar-SA"/>
              </w:rPr>
              <w:t>Сприяння будівництву нових та реконструкції вільних приміщень, що не використовуються під базові овочесховища та фруктосховища;</w:t>
            </w:r>
          </w:p>
          <w:p w14:paraId="48857934" w14:textId="3DA7E2F7" w:rsidR="00CC6C3D" w:rsidRPr="00C2587D" w:rsidRDefault="002C5851" w:rsidP="002E392A">
            <w:pPr>
              <w:widowControl w:val="0"/>
              <w:suppressAutoHyphens/>
              <w:spacing w:before="20" w:after="20"/>
              <w:jc w:val="both"/>
              <w:rPr>
                <w:rFonts w:cs="Arial"/>
                <w:color w:val="000000"/>
                <w:sz w:val="20"/>
                <w:szCs w:val="20"/>
                <w:lang w:eastAsia="uk-UA"/>
              </w:rPr>
            </w:pPr>
            <w:r w:rsidRPr="00C2587D">
              <w:rPr>
                <w:rFonts w:cs="Arial"/>
                <w:color w:val="000000"/>
                <w:sz w:val="20"/>
                <w:szCs w:val="20"/>
                <w:lang w:eastAsia="uk-UA"/>
              </w:rPr>
              <w:t xml:space="preserve">А.2.2.4. </w:t>
            </w:r>
            <w:r w:rsidRPr="00C2587D">
              <w:rPr>
                <w:rFonts w:eastAsia="Lucida Sans Unicode" w:cs="Arial"/>
                <w:kern w:val="1"/>
                <w:sz w:val="20"/>
                <w:szCs w:val="20"/>
                <w:lang w:eastAsia="ar-SA"/>
              </w:rPr>
              <w:t>Сприяння відновленню роботи міні пекарень та  міні крупорушок по населених пунктах громади.</w:t>
            </w:r>
          </w:p>
        </w:tc>
      </w:tr>
      <w:tr w:rsidR="00CC6C3D" w:rsidRPr="00C2587D" w14:paraId="7FF26DFF" w14:textId="77777777" w:rsidTr="002E392A">
        <w:trPr>
          <w:trHeight w:val="108"/>
        </w:trPr>
        <w:tc>
          <w:tcPr>
            <w:tcW w:w="1975" w:type="dxa"/>
            <w:vMerge/>
            <w:vAlign w:val="center"/>
          </w:tcPr>
          <w:p w14:paraId="431058E4" w14:textId="77777777" w:rsidR="00CC6C3D" w:rsidRPr="00C2587D" w:rsidRDefault="00CC6C3D" w:rsidP="002E392A">
            <w:pPr>
              <w:rPr>
                <w:rFonts w:cs="Arial"/>
                <w:b/>
                <w:sz w:val="20"/>
                <w:szCs w:val="20"/>
                <w:lang w:eastAsia="uk-UA"/>
              </w:rPr>
            </w:pPr>
          </w:p>
        </w:tc>
        <w:tc>
          <w:tcPr>
            <w:tcW w:w="2693" w:type="dxa"/>
            <w:vMerge/>
            <w:vAlign w:val="center"/>
          </w:tcPr>
          <w:p w14:paraId="652F0415" w14:textId="77777777" w:rsidR="00CC6C3D" w:rsidRPr="00C2587D" w:rsidRDefault="00CC6C3D" w:rsidP="002E392A">
            <w:pPr>
              <w:rPr>
                <w:rFonts w:cs="Arial"/>
                <w:color w:val="000000"/>
                <w:sz w:val="20"/>
                <w:szCs w:val="20"/>
                <w:lang w:eastAsia="uk-UA"/>
              </w:rPr>
            </w:pPr>
          </w:p>
        </w:tc>
        <w:tc>
          <w:tcPr>
            <w:tcW w:w="2840" w:type="dxa"/>
            <w:shd w:val="clear" w:color="auto" w:fill="auto"/>
            <w:vAlign w:val="center"/>
          </w:tcPr>
          <w:p w14:paraId="6ADDDF2C" w14:textId="77777777" w:rsidR="00CC6C3D" w:rsidRPr="00C2587D" w:rsidRDefault="00CC6C3D" w:rsidP="002E392A">
            <w:pPr>
              <w:rPr>
                <w:rFonts w:cs="Arial"/>
                <w:color w:val="000000"/>
                <w:sz w:val="20"/>
                <w:szCs w:val="20"/>
                <w:lang w:eastAsia="uk-UA"/>
              </w:rPr>
            </w:pPr>
            <w:r w:rsidRPr="00C2587D">
              <w:rPr>
                <w:rFonts w:cs="Arial"/>
                <w:color w:val="000000"/>
                <w:sz w:val="20"/>
                <w:szCs w:val="20"/>
                <w:lang w:eastAsia="uk-UA"/>
              </w:rPr>
              <w:t>А.2.3. Підтримка раціонального використання  земельних ресурсів та водного фонду для фінансової стабільності  громади</w:t>
            </w:r>
          </w:p>
        </w:tc>
        <w:tc>
          <w:tcPr>
            <w:tcW w:w="7655" w:type="dxa"/>
            <w:shd w:val="clear" w:color="auto" w:fill="auto"/>
          </w:tcPr>
          <w:p w14:paraId="5CC79A96" w14:textId="77777777" w:rsidR="00030AFF" w:rsidRPr="00C2587D" w:rsidRDefault="002C5851" w:rsidP="002E392A">
            <w:pPr>
              <w:suppressAutoHyphens/>
              <w:spacing w:before="20" w:after="20"/>
              <w:jc w:val="both"/>
              <w:rPr>
                <w:rFonts w:eastAsia="Lucida Sans Unicode" w:cs="Arial"/>
                <w:kern w:val="1"/>
                <w:sz w:val="20"/>
                <w:szCs w:val="20"/>
                <w:lang w:eastAsia="ar-SA"/>
              </w:rPr>
            </w:pPr>
            <w:r w:rsidRPr="00C2587D">
              <w:rPr>
                <w:rFonts w:cs="Arial"/>
                <w:color w:val="000000"/>
                <w:sz w:val="20"/>
                <w:szCs w:val="20"/>
              </w:rPr>
              <w:t xml:space="preserve">А.2.3.1. </w:t>
            </w:r>
            <w:r w:rsidR="00030AFF" w:rsidRPr="00C2587D">
              <w:rPr>
                <w:rFonts w:cs="Arial"/>
                <w:color w:val="000000"/>
                <w:sz w:val="20"/>
                <w:szCs w:val="20"/>
              </w:rPr>
              <w:t>Здійснення повного комплексу заходів щодо передачі земель сільськогосподарського призначення державної власності у комунальну власність міської територіальної громади.</w:t>
            </w:r>
          </w:p>
          <w:p w14:paraId="70825337" w14:textId="77777777" w:rsidR="00030AFF" w:rsidRPr="00C2587D" w:rsidRDefault="00030AFF" w:rsidP="002E392A">
            <w:pPr>
              <w:suppressAutoHyphens/>
              <w:spacing w:before="20" w:after="20"/>
              <w:jc w:val="both"/>
              <w:rPr>
                <w:rFonts w:eastAsia="Lucida Sans Unicode" w:cs="Arial"/>
                <w:kern w:val="1"/>
                <w:sz w:val="20"/>
                <w:szCs w:val="20"/>
                <w:lang w:eastAsia="ar-SA"/>
              </w:rPr>
            </w:pPr>
            <w:r w:rsidRPr="00C2587D">
              <w:rPr>
                <w:rFonts w:cs="Arial"/>
                <w:color w:val="000000"/>
                <w:sz w:val="20"/>
                <w:szCs w:val="20"/>
              </w:rPr>
              <w:t>А.2.3.</w:t>
            </w:r>
            <w:r w:rsidR="00420352" w:rsidRPr="00C2587D">
              <w:rPr>
                <w:rFonts w:cs="Arial"/>
                <w:color w:val="000000"/>
                <w:sz w:val="20"/>
                <w:szCs w:val="20"/>
              </w:rPr>
              <w:t>2.</w:t>
            </w:r>
            <w:r w:rsidRPr="00C2587D">
              <w:rPr>
                <w:rFonts w:cs="Arial"/>
                <w:color w:val="000000"/>
                <w:sz w:val="20"/>
                <w:szCs w:val="20"/>
              </w:rPr>
              <w:t xml:space="preserve"> Проведення інвентаризації всіх земель, що знаходяться на території громади.</w:t>
            </w:r>
          </w:p>
          <w:p w14:paraId="52BF664E" w14:textId="77777777" w:rsidR="00030AFF" w:rsidRPr="00C2587D" w:rsidRDefault="00030AFF" w:rsidP="002E392A">
            <w:pPr>
              <w:suppressAutoHyphens/>
              <w:spacing w:before="20" w:after="20"/>
              <w:jc w:val="both"/>
              <w:rPr>
                <w:rFonts w:eastAsia="Lucida Sans Unicode" w:cs="Arial"/>
                <w:kern w:val="1"/>
                <w:sz w:val="20"/>
                <w:szCs w:val="20"/>
                <w:lang w:eastAsia="ar-SA"/>
              </w:rPr>
            </w:pPr>
            <w:r w:rsidRPr="00C2587D">
              <w:rPr>
                <w:rFonts w:cs="Arial"/>
                <w:color w:val="000000"/>
                <w:sz w:val="20"/>
                <w:szCs w:val="20"/>
              </w:rPr>
              <w:t>А.2.3.</w:t>
            </w:r>
            <w:r w:rsidR="00420352" w:rsidRPr="00C2587D">
              <w:rPr>
                <w:rFonts w:cs="Arial"/>
                <w:color w:val="000000"/>
                <w:sz w:val="20"/>
                <w:szCs w:val="20"/>
              </w:rPr>
              <w:t>3</w:t>
            </w:r>
            <w:r w:rsidRPr="00C2587D">
              <w:rPr>
                <w:rFonts w:cs="Arial"/>
                <w:color w:val="000000"/>
                <w:sz w:val="20"/>
                <w:szCs w:val="20"/>
              </w:rPr>
              <w:t>. Проведення організаційної роботи щодо укладання договорів оренди земельних ділянок, які використовуються без правових підстав.</w:t>
            </w:r>
            <w:r w:rsidRPr="00C2587D">
              <w:t xml:space="preserve"> </w:t>
            </w:r>
          </w:p>
          <w:p w14:paraId="13C4ABF6" w14:textId="77777777" w:rsidR="00030AFF" w:rsidRPr="00C2587D" w:rsidRDefault="00030AFF" w:rsidP="002E392A">
            <w:pPr>
              <w:suppressAutoHyphens/>
              <w:spacing w:before="20" w:after="20"/>
              <w:jc w:val="both"/>
              <w:rPr>
                <w:rFonts w:eastAsia="Lucida Sans Unicode" w:cs="Arial"/>
                <w:kern w:val="1"/>
                <w:sz w:val="20"/>
                <w:szCs w:val="20"/>
                <w:lang w:eastAsia="ar-SA"/>
              </w:rPr>
            </w:pPr>
            <w:r w:rsidRPr="00C2587D">
              <w:rPr>
                <w:rFonts w:cs="Arial"/>
                <w:color w:val="000000"/>
                <w:sz w:val="20"/>
                <w:szCs w:val="20"/>
              </w:rPr>
              <w:t>А.2.3.</w:t>
            </w:r>
            <w:r w:rsidR="00420352" w:rsidRPr="00C2587D">
              <w:rPr>
                <w:rFonts w:cs="Arial"/>
                <w:color w:val="000000"/>
                <w:sz w:val="20"/>
                <w:szCs w:val="20"/>
              </w:rPr>
              <w:t>4</w:t>
            </w:r>
            <w:r w:rsidRPr="00C2587D">
              <w:rPr>
                <w:rFonts w:cs="Arial"/>
                <w:color w:val="000000"/>
                <w:sz w:val="20"/>
                <w:szCs w:val="20"/>
              </w:rPr>
              <w:t>. Ініціювання припинення в установленому законодавством порядку користування земельними ділянками особами та суб’єктами господарювання, які систематично не сплачують земельний податок або орендну плату за землю.</w:t>
            </w:r>
          </w:p>
          <w:p w14:paraId="7B05A5E0" w14:textId="77777777" w:rsidR="00030AFF" w:rsidRPr="00C2587D" w:rsidRDefault="00030AFF" w:rsidP="002E392A">
            <w:pPr>
              <w:suppressAutoHyphens/>
              <w:spacing w:before="20" w:after="20"/>
              <w:jc w:val="both"/>
              <w:rPr>
                <w:rFonts w:eastAsia="Lucida Sans Unicode" w:cs="Arial"/>
                <w:kern w:val="1"/>
                <w:sz w:val="20"/>
                <w:szCs w:val="20"/>
                <w:lang w:eastAsia="ar-SA"/>
              </w:rPr>
            </w:pPr>
            <w:r w:rsidRPr="00C2587D">
              <w:rPr>
                <w:rFonts w:cs="Arial"/>
                <w:color w:val="000000"/>
                <w:sz w:val="20"/>
                <w:szCs w:val="20"/>
              </w:rPr>
              <w:lastRenderedPageBreak/>
              <w:t>А.2.3.</w:t>
            </w:r>
            <w:r w:rsidR="00420352" w:rsidRPr="00C2587D">
              <w:rPr>
                <w:rFonts w:cs="Arial"/>
                <w:color w:val="000000"/>
                <w:sz w:val="20"/>
                <w:szCs w:val="20"/>
              </w:rPr>
              <w:t>5</w:t>
            </w:r>
            <w:r w:rsidRPr="00C2587D">
              <w:rPr>
                <w:rFonts w:cs="Arial"/>
                <w:color w:val="000000"/>
                <w:sz w:val="20"/>
                <w:szCs w:val="20"/>
              </w:rPr>
              <w:t xml:space="preserve">. </w:t>
            </w:r>
            <w:r w:rsidRPr="00C2587D">
              <w:rPr>
                <w:rFonts w:eastAsia="Lucida Sans Unicode" w:cs="Arial"/>
                <w:color w:val="000000"/>
                <w:kern w:val="1"/>
                <w:sz w:val="20"/>
                <w:szCs w:val="20"/>
              </w:rPr>
              <w:t>Проведення інвентаризації лісів та встановлення площі  і стану лісомеліоративних насаджень (лісосмуг) на території Жмеринської МТГ.</w:t>
            </w:r>
          </w:p>
          <w:p w14:paraId="22B97458" w14:textId="23592962" w:rsidR="00030AFF" w:rsidRPr="00C2587D" w:rsidRDefault="00030AFF" w:rsidP="002E392A">
            <w:pPr>
              <w:suppressAutoHyphens/>
              <w:spacing w:before="20" w:after="20"/>
              <w:jc w:val="both"/>
              <w:rPr>
                <w:rFonts w:eastAsia="Lucida Sans Unicode" w:cs="Arial"/>
                <w:kern w:val="1"/>
                <w:sz w:val="20"/>
                <w:szCs w:val="20"/>
                <w:lang w:eastAsia="ar-SA"/>
              </w:rPr>
            </w:pPr>
            <w:r w:rsidRPr="00C2587D">
              <w:rPr>
                <w:rFonts w:cs="Arial"/>
                <w:color w:val="000000"/>
                <w:sz w:val="20"/>
                <w:szCs w:val="20"/>
              </w:rPr>
              <w:t>А.2.3.</w:t>
            </w:r>
            <w:r w:rsidR="00420352" w:rsidRPr="00C2587D">
              <w:rPr>
                <w:rFonts w:cs="Arial"/>
                <w:color w:val="000000"/>
                <w:sz w:val="20"/>
                <w:szCs w:val="20"/>
              </w:rPr>
              <w:t>6</w:t>
            </w:r>
            <w:r w:rsidRPr="00C2587D">
              <w:rPr>
                <w:rFonts w:cs="Arial"/>
                <w:color w:val="000000"/>
                <w:sz w:val="20"/>
                <w:szCs w:val="20"/>
              </w:rPr>
              <w:t xml:space="preserve">. </w:t>
            </w:r>
            <w:r w:rsidRPr="00C2587D">
              <w:rPr>
                <w:rFonts w:eastAsia="Lucida Sans Unicode" w:cs="Arial"/>
                <w:kern w:val="1"/>
                <w:sz w:val="20"/>
                <w:szCs w:val="20"/>
              </w:rPr>
              <w:t xml:space="preserve">Виготовлення </w:t>
            </w:r>
            <w:r w:rsidR="00314B9D">
              <w:rPr>
                <w:rFonts w:eastAsia="Lucida Sans Unicode" w:cs="Arial"/>
                <w:kern w:val="1"/>
                <w:sz w:val="20"/>
                <w:szCs w:val="20"/>
              </w:rPr>
              <w:t>проєкт</w:t>
            </w:r>
            <w:r w:rsidRPr="00C2587D">
              <w:rPr>
                <w:rFonts w:eastAsia="Lucida Sans Unicode" w:cs="Arial"/>
                <w:kern w:val="1"/>
                <w:sz w:val="20"/>
                <w:szCs w:val="20"/>
              </w:rPr>
              <w:t>ів відведення визначених лісових та лісомеліоративних ділянок з виділенням в натурі.</w:t>
            </w:r>
          </w:p>
          <w:p w14:paraId="3FB11216" w14:textId="77777777" w:rsidR="00030AFF" w:rsidRPr="00C2587D" w:rsidRDefault="00030AFF" w:rsidP="002E392A">
            <w:pPr>
              <w:suppressAutoHyphens/>
              <w:spacing w:before="20" w:after="20"/>
              <w:jc w:val="both"/>
              <w:rPr>
                <w:rFonts w:eastAsia="Lucida Sans Unicode" w:cs="Arial"/>
                <w:kern w:val="1"/>
                <w:sz w:val="20"/>
                <w:szCs w:val="20"/>
                <w:lang w:eastAsia="ar-SA"/>
              </w:rPr>
            </w:pPr>
            <w:r w:rsidRPr="00C2587D">
              <w:rPr>
                <w:rFonts w:cs="Arial"/>
                <w:color w:val="000000"/>
                <w:sz w:val="20"/>
                <w:szCs w:val="20"/>
              </w:rPr>
              <w:t>А.2.3.</w:t>
            </w:r>
            <w:r w:rsidR="00420352" w:rsidRPr="00C2587D">
              <w:rPr>
                <w:rFonts w:cs="Arial"/>
                <w:color w:val="000000"/>
                <w:sz w:val="20"/>
                <w:szCs w:val="20"/>
              </w:rPr>
              <w:t>7</w:t>
            </w:r>
            <w:r w:rsidRPr="00C2587D">
              <w:rPr>
                <w:rFonts w:cs="Arial"/>
                <w:color w:val="000000"/>
                <w:sz w:val="20"/>
                <w:szCs w:val="20"/>
              </w:rPr>
              <w:t xml:space="preserve">. </w:t>
            </w:r>
            <w:r w:rsidRPr="00C2587D">
              <w:rPr>
                <w:rFonts w:eastAsia="Lucida Sans Unicode" w:cs="Arial"/>
                <w:kern w:val="1"/>
                <w:sz w:val="20"/>
                <w:szCs w:val="20"/>
              </w:rPr>
              <w:t>Проведення консервації наявних деградованих  земель та неугідь на території громади шляхом заліснення.</w:t>
            </w:r>
          </w:p>
          <w:p w14:paraId="070F9FBA" w14:textId="77777777" w:rsidR="00030AFF" w:rsidRPr="00C2587D" w:rsidRDefault="00030AFF" w:rsidP="002E392A">
            <w:pPr>
              <w:suppressAutoHyphens/>
              <w:spacing w:before="20" w:after="20"/>
              <w:jc w:val="both"/>
              <w:rPr>
                <w:rFonts w:eastAsia="Lucida Sans Unicode" w:cs="Arial"/>
                <w:kern w:val="1"/>
                <w:sz w:val="20"/>
                <w:szCs w:val="20"/>
                <w:lang w:eastAsia="ar-SA"/>
              </w:rPr>
            </w:pPr>
            <w:r w:rsidRPr="00C2587D">
              <w:rPr>
                <w:rFonts w:cs="Arial"/>
                <w:color w:val="000000"/>
                <w:sz w:val="20"/>
                <w:szCs w:val="20"/>
              </w:rPr>
              <w:t>А.2.3.</w:t>
            </w:r>
            <w:r w:rsidR="00420352" w:rsidRPr="00C2587D">
              <w:rPr>
                <w:rFonts w:cs="Arial"/>
                <w:color w:val="000000"/>
                <w:sz w:val="20"/>
                <w:szCs w:val="20"/>
              </w:rPr>
              <w:t>8</w:t>
            </w:r>
            <w:r w:rsidRPr="00C2587D">
              <w:rPr>
                <w:rFonts w:cs="Arial"/>
                <w:color w:val="000000"/>
                <w:sz w:val="20"/>
                <w:szCs w:val="20"/>
              </w:rPr>
              <w:t xml:space="preserve">. </w:t>
            </w:r>
            <w:r w:rsidRPr="00C2587D">
              <w:rPr>
                <w:rFonts w:eastAsia="Lucida Sans Unicode" w:cs="Arial"/>
                <w:kern w:val="1"/>
                <w:sz w:val="20"/>
                <w:szCs w:val="20"/>
              </w:rPr>
              <w:t>Проведення  відновлення та реконструкції існуючих лісових насаджень шляхом заміни малоцінних порід на довговічні, високопродуктивні.</w:t>
            </w:r>
          </w:p>
          <w:p w14:paraId="7D6F4BDA" w14:textId="77777777" w:rsidR="00030AFF" w:rsidRPr="00C2587D" w:rsidRDefault="00420352" w:rsidP="002E392A">
            <w:pPr>
              <w:suppressAutoHyphens/>
              <w:spacing w:before="20" w:after="20"/>
              <w:jc w:val="both"/>
              <w:rPr>
                <w:rFonts w:eastAsia="Lucida Sans Unicode" w:cs="Arial"/>
                <w:kern w:val="1"/>
                <w:sz w:val="20"/>
                <w:szCs w:val="20"/>
                <w:lang w:eastAsia="ar-SA"/>
              </w:rPr>
            </w:pPr>
            <w:r w:rsidRPr="00C2587D">
              <w:rPr>
                <w:rFonts w:cs="Arial"/>
                <w:color w:val="000000"/>
                <w:sz w:val="20"/>
                <w:szCs w:val="20"/>
              </w:rPr>
              <w:t xml:space="preserve">А.2.3.9. </w:t>
            </w:r>
            <w:r w:rsidR="00030AFF" w:rsidRPr="00C2587D">
              <w:rPr>
                <w:rFonts w:cs="Arial"/>
                <w:color w:val="000000"/>
                <w:sz w:val="20"/>
                <w:szCs w:val="20"/>
              </w:rPr>
              <w:t>Впорядкування реєстру водних об’єктів громади.</w:t>
            </w:r>
          </w:p>
          <w:p w14:paraId="31BDED9F" w14:textId="77777777" w:rsidR="00030AFF" w:rsidRPr="00C2587D" w:rsidRDefault="00420352" w:rsidP="002E392A">
            <w:pPr>
              <w:suppressAutoHyphens/>
              <w:spacing w:before="20" w:after="20"/>
              <w:jc w:val="both"/>
              <w:rPr>
                <w:rFonts w:eastAsia="Lucida Sans Unicode" w:cs="Arial"/>
                <w:kern w:val="1"/>
                <w:sz w:val="20"/>
                <w:szCs w:val="20"/>
                <w:lang w:eastAsia="ar-SA"/>
              </w:rPr>
            </w:pPr>
            <w:r w:rsidRPr="00C2587D">
              <w:rPr>
                <w:rFonts w:cs="Arial"/>
                <w:color w:val="000000"/>
                <w:sz w:val="20"/>
                <w:szCs w:val="20"/>
              </w:rPr>
              <w:t xml:space="preserve">А.2.3.10. </w:t>
            </w:r>
            <w:r w:rsidR="00030AFF" w:rsidRPr="00C2587D">
              <w:rPr>
                <w:rFonts w:cs="Arial"/>
                <w:color w:val="000000"/>
                <w:sz w:val="20"/>
                <w:szCs w:val="20"/>
              </w:rPr>
              <w:t>Сприяння приведенню документації щодо оренди водних об’єктів суб’єктами господарювання у відповідність до чинних нормативно-правових актів (виготовлення паспортів водних об’єктів, укладання договорів оренди, додаткових угод, інше).</w:t>
            </w:r>
          </w:p>
          <w:p w14:paraId="5E51B750" w14:textId="77777777" w:rsidR="00CC6C3D" w:rsidRPr="00C2587D" w:rsidRDefault="00420352" w:rsidP="002E392A">
            <w:pPr>
              <w:widowControl w:val="0"/>
              <w:suppressAutoHyphens/>
              <w:spacing w:before="20" w:after="20"/>
              <w:jc w:val="both"/>
              <w:rPr>
                <w:rFonts w:cs="Arial"/>
                <w:color w:val="000000"/>
                <w:sz w:val="20"/>
                <w:szCs w:val="20"/>
                <w:lang w:eastAsia="uk-UA"/>
              </w:rPr>
            </w:pPr>
            <w:r w:rsidRPr="00C2587D">
              <w:rPr>
                <w:rFonts w:cs="Arial"/>
                <w:color w:val="000000"/>
                <w:sz w:val="20"/>
                <w:szCs w:val="20"/>
              </w:rPr>
              <w:t xml:space="preserve">А.2.3.11. </w:t>
            </w:r>
            <w:r w:rsidR="00030AFF" w:rsidRPr="00C2587D">
              <w:rPr>
                <w:rFonts w:eastAsia="Lucida Sans Unicode" w:cs="Arial"/>
                <w:color w:val="000000"/>
                <w:kern w:val="1"/>
                <w:sz w:val="20"/>
                <w:szCs w:val="20"/>
              </w:rPr>
              <w:t>Формування та ведення реєстру водних об’єктів, сприяння укладенню договорів оренди з урахуванням нормативно-грошової оцінки у розмірі не менше 3%.</w:t>
            </w:r>
          </w:p>
        </w:tc>
      </w:tr>
      <w:tr w:rsidR="00CC6C3D" w:rsidRPr="00C2587D" w14:paraId="67665589" w14:textId="77777777" w:rsidTr="002E392A">
        <w:trPr>
          <w:trHeight w:val="1796"/>
        </w:trPr>
        <w:tc>
          <w:tcPr>
            <w:tcW w:w="1975" w:type="dxa"/>
            <w:vMerge/>
            <w:vAlign w:val="center"/>
            <w:hideMark/>
          </w:tcPr>
          <w:p w14:paraId="1272CC19" w14:textId="77777777" w:rsidR="00CC6C3D" w:rsidRPr="00C2587D" w:rsidRDefault="00CC6C3D" w:rsidP="002E392A">
            <w:pPr>
              <w:rPr>
                <w:rFonts w:cs="Arial"/>
                <w:b/>
                <w:sz w:val="20"/>
                <w:szCs w:val="20"/>
                <w:lang w:eastAsia="uk-UA"/>
              </w:rPr>
            </w:pPr>
          </w:p>
        </w:tc>
        <w:tc>
          <w:tcPr>
            <w:tcW w:w="2693" w:type="dxa"/>
            <w:vMerge w:val="restart"/>
            <w:shd w:val="clear" w:color="auto" w:fill="auto"/>
            <w:vAlign w:val="center"/>
            <w:hideMark/>
          </w:tcPr>
          <w:p w14:paraId="227D7294" w14:textId="77777777" w:rsidR="00CC6C3D" w:rsidRPr="00C2587D" w:rsidRDefault="00CC6C3D" w:rsidP="002E392A">
            <w:pPr>
              <w:rPr>
                <w:rFonts w:cs="Arial"/>
                <w:color w:val="000000"/>
                <w:sz w:val="20"/>
                <w:szCs w:val="20"/>
                <w:lang w:eastAsia="uk-UA"/>
              </w:rPr>
            </w:pPr>
            <w:r w:rsidRPr="00C2587D">
              <w:rPr>
                <w:rFonts w:cs="Arial"/>
                <w:b/>
                <w:bCs/>
                <w:color w:val="000000"/>
                <w:sz w:val="20"/>
                <w:szCs w:val="20"/>
                <w:lang w:eastAsia="uk-UA"/>
              </w:rPr>
              <w:t>А.3. Розвиток підприємницького потенціалу громади</w:t>
            </w:r>
          </w:p>
        </w:tc>
        <w:tc>
          <w:tcPr>
            <w:tcW w:w="2840" w:type="dxa"/>
            <w:shd w:val="clear" w:color="auto" w:fill="auto"/>
            <w:vAlign w:val="center"/>
            <w:hideMark/>
          </w:tcPr>
          <w:p w14:paraId="64BBAA06" w14:textId="77777777" w:rsidR="00CC6C3D" w:rsidRPr="00C2587D" w:rsidRDefault="00CC6C3D" w:rsidP="002E392A">
            <w:pPr>
              <w:rPr>
                <w:rFonts w:cs="Arial"/>
                <w:color w:val="000000"/>
                <w:sz w:val="20"/>
                <w:szCs w:val="20"/>
                <w:lang w:eastAsia="uk-UA"/>
              </w:rPr>
            </w:pPr>
            <w:r w:rsidRPr="00C2587D">
              <w:rPr>
                <w:rFonts w:cs="Arial"/>
                <w:color w:val="000000"/>
                <w:sz w:val="20"/>
                <w:szCs w:val="20"/>
                <w:lang w:eastAsia="uk-UA"/>
              </w:rPr>
              <w:t>А.3.1. Ефективна інфраструктура для підтримки бізнесу</w:t>
            </w:r>
          </w:p>
        </w:tc>
        <w:tc>
          <w:tcPr>
            <w:tcW w:w="7655" w:type="dxa"/>
            <w:shd w:val="clear" w:color="auto" w:fill="auto"/>
            <w:hideMark/>
          </w:tcPr>
          <w:p w14:paraId="0E7693A1" w14:textId="77777777" w:rsidR="002C5851" w:rsidRPr="00C2587D" w:rsidRDefault="00CC6C3D" w:rsidP="002E392A">
            <w:pPr>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А.3.1.1. </w:t>
            </w:r>
            <w:r w:rsidR="002C5851" w:rsidRPr="00C2587D">
              <w:rPr>
                <w:rFonts w:eastAsia="Lucida Sans Unicode" w:cs="Arial"/>
                <w:kern w:val="1"/>
                <w:sz w:val="20"/>
                <w:szCs w:val="20"/>
                <w:lang w:eastAsia="ar-SA"/>
              </w:rPr>
              <w:t>Створення сучасного ХАБу для підтримки малого та середнього бізнесу.</w:t>
            </w:r>
          </w:p>
          <w:p w14:paraId="760A4D18" w14:textId="77777777" w:rsidR="002C5851" w:rsidRPr="00C2587D" w:rsidRDefault="002C5851" w:rsidP="002E392A">
            <w:pPr>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А.3.1.2. </w:t>
            </w:r>
            <w:r w:rsidRPr="00C2587D">
              <w:rPr>
                <w:rFonts w:ascii="Calibri" w:eastAsia="Lucida Sans Unicode" w:hAnsi="Calibri" w:cs="font231"/>
                <w:kern w:val="1"/>
                <w:szCs w:val="22"/>
                <w:lang w:eastAsia="ar-SA"/>
              </w:rPr>
              <w:t xml:space="preserve"> </w:t>
            </w:r>
            <w:r w:rsidRPr="00C2587D">
              <w:rPr>
                <w:rFonts w:eastAsia="Lucida Sans Unicode" w:cs="Arial"/>
                <w:kern w:val="1"/>
                <w:sz w:val="20"/>
                <w:szCs w:val="20"/>
                <w:lang w:eastAsia="ar-SA"/>
              </w:rPr>
              <w:t>Створення Агенції місцевого економічного розвитку громади.</w:t>
            </w:r>
          </w:p>
          <w:p w14:paraId="043C881C" w14:textId="77777777" w:rsidR="002C5851" w:rsidRPr="00C2587D" w:rsidRDefault="002C5851" w:rsidP="002E392A">
            <w:pPr>
              <w:widowControl w:val="0"/>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А.3.1.3. </w:t>
            </w:r>
            <w:r w:rsidRPr="00C2587D">
              <w:rPr>
                <w:rFonts w:eastAsia="Lucida Sans Unicode" w:cs="Arial"/>
                <w:kern w:val="1"/>
                <w:sz w:val="20"/>
                <w:szCs w:val="20"/>
                <w:lang w:eastAsia="ar-SA"/>
              </w:rPr>
              <w:t>Організація на базі інституцій МЕР надання консультаційних, інформаційних, освітніх послуг для підприємців.</w:t>
            </w:r>
          </w:p>
          <w:p w14:paraId="213E4D5A" w14:textId="77777777" w:rsidR="002C5851" w:rsidRPr="00C2587D" w:rsidRDefault="002C5851" w:rsidP="002E392A">
            <w:pPr>
              <w:widowControl w:val="0"/>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А.3.1.3. </w:t>
            </w:r>
            <w:r w:rsidRPr="00C2587D">
              <w:rPr>
                <w:rFonts w:eastAsia="Lucida Sans Unicode" w:cs="Arial"/>
                <w:kern w:val="1"/>
                <w:sz w:val="20"/>
                <w:szCs w:val="20"/>
                <w:lang w:eastAsia="ar-SA"/>
              </w:rPr>
              <w:t>Налагодження  співпраці  з міжнародними бізнес-асоціаціями та торгово-промисловими палатами.</w:t>
            </w:r>
          </w:p>
          <w:p w14:paraId="6E2A2B7E" w14:textId="77777777" w:rsidR="002C5851" w:rsidRPr="00C2587D" w:rsidRDefault="002C5851" w:rsidP="002E392A">
            <w:pPr>
              <w:widowControl w:val="0"/>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А.3.1.4. </w:t>
            </w:r>
            <w:r w:rsidRPr="00C2587D">
              <w:rPr>
                <w:rFonts w:eastAsia="Lucida Sans Unicode" w:cs="Arial"/>
                <w:kern w:val="1"/>
                <w:sz w:val="20"/>
                <w:szCs w:val="20"/>
                <w:lang w:eastAsia="ar-SA"/>
              </w:rPr>
              <w:t>Підтримка виставкової та ярмаркової діяльності.</w:t>
            </w:r>
          </w:p>
          <w:p w14:paraId="62D36AA5" w14:textId="77777777" w:rsidR="002C5851" w:rsidRPr="00C2587D" w:rsidRDefault="002C5851" w:rsidP="002E392A">
            <w:pPr>
              <w:widowControl w:val="0"/>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А.3.1.5. </w:t>
            </w:r>
            <w:r w:rsidRPr="00C2587D">
              <w:rPr>
                <w:rFonts w:eastAsia="Lucida Sans Unicode" w:cs="Arial"/>
                <w:kern w:val="1"/>
                <w:sz w:val="20"/>
                <w:szCs w:val="20"/>
                <w:lang w:eastAsia="ar-SA"/>
              </w:rPr>
              <w:t>Підтримка співпраці між секторами влада-бізнес-громада.</w:t>
            </w:r>
          </w:p>
          <w:p w14:paraId="63AF2F1B" w14:textId="77777777" w:rsidR="002C5851" w:rsidRPr="00C2587D" w:rsidRDefault="002C5851" w:rsidP="002E392A">
            <w:pPr>
              <w:widowControl w:val="0"/>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А.3.1.6. </w:t>
            </w:r>
            <w:r w:rsidRPr="00C2587D">
              <w:rPr>
                <w:rFonts w:eastAsia="Lucida Sans Unicode" w:cs="Arial"/>
                <w:kern w:val="1"/>
                <w:sz w:val="20"/>
                <w:szCs w:val="20"/>
                <w:lang w:eastAsia="ar-SA"/>
              </w:rPr>
              <w:t>Встановлення партнерства між Центром зайнятості, Асоціаціями підприємців, міжнародними донорськими організаціями.</w:t>
            </w:r>
          </w:p>
          <w:p w14:paraId="52AEFF9D" w14:textId="77777777" w:rsidR="002C5851" w:rsidRPr="00C2587D" w:rsidRDefault="002C5851" w:rsidP="002E392A">
            <w:pPr>
              <w:widowControl w:val="0"/>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А.3.1.7. </w:t>
            </w:r>
            <w:r w:rsidRPr="00C2587D">
              <w:rPr>
                <w:rFonts w:eastAsia="Lucida Sans Unicode" w:cs="Arial"/>
                <w:kern w:val="1"/>
                <w:sz w:val="20"/>
                <w:szCs w:val="20"/>
                <w:lang w:eastAsia="ar-SA"/>
              </w:rPr>
              <w:t>Проведення тренінгів для представників малого та середнього бізнесу з питань «зеленого» бізнесу, енергоменеджменту альтернативної енергетики та збалансованих моделей споживання і виробництва.</w:t>
            </w:r>
          </w:p>
          <w:p w14:paraId="1E911DF4" w14:textId="77777777" w:rsidR="002C5851" w:rsidRPr="00C2587D" w:rsidRDefault="002C5851" w:rsidP="002E392A">
            <w:pPr>
              <w:widowControl w:val="0"/>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А.3.1.8. </w:t>
            </w:r>
            <w:r w:rsidR="00EE7D4D" w:rsidRPr="00C2587D">
              <w:rPr>
                <w:rFonts w:eastAsia="MS Mincho" w:cs="Arial"/>
                <w:kern w:val="1"/>
                <w:sz w:val="20"/>
                <w:szCs w:val="20"/>
                <w:lang w:eastAsia="ar-SA"/>
              </w:rPr>
              <w:t xml:space="preserve">Розроблення </w:t>
            </w:r>
            <w:r w:rsidRPr="00C2587D">
              <w:rPr>
                <w:rFonts w:eastAsia="MS Mincho" w:cs="Arial"/>
                <w:kern w:val="1"/>
                <w:sz w:val="20"/>
                <w:szCs w:val="20"/>
                <w:lang w:eastAsia="ar-SA"/>
              </w:rPr>
              <w:t>заход</w:t>
            </w:r>
            <w:r w:rsidR="00EE7D4D" w:rsidRPr="00C2587D">
              <w:rPr>
                <w:rFonts w:eastAsia="MS Mincho" w:cs="Arial"/>
                <w:kern w:val="1"/>
                <w:sz w:val="20"/>
                <w:szCs w:val="20"/>
                <w:lang w:eastAsia="ar-SA"/>
              </w:rPr>
              <w:t>ів</w:t>
            </w:r>
            <w:r w:rsidRPr="00C2587D">
              <w:rPr>
                <w:rFonts w:eastAsia="MS Mincho" w:cs="Arial"/>
                <w:kern w:val="1"/>
                <w:sz w:val="20"/>
                <w:szCs w:val="20"/>
                <w:lang w:eastAsia="ar-SA"/>
              </w:rPr>
              <w:t xml:space="preserve"> для підтримки підприємців-початківців. </w:t>
            </w:r>
          </w:p>
          <w:p w14:paraId="1164E9B4" w14:textId="43E78215" w:rsidR="00CC6C3D" w:rsidRPr="00C2587D" w:rsidRDefault="002C5851" w:rsidP="002E392A">
            <w:pPr>
              <w:jc w:val="both"/>
              <w:rPr>
                <w:rFonts w:cs="Arial"/>
                <w:color w:val="000000"/>
                <w:sz w:val="20"/>
                <w:szCs w:val="20"/>
                <w:lang w:eastAsia="uk-UA"/>
              </w:rPr>
            </w:pPr>
            <w:r w:rsidRPr="00C2587D">
              <w:rPr>
                <w:rFonts w:cs="Arial"/>
                <w:color w:val="000000"/>
                <w:sz w:val="20"/>
                <w:szCs w:val="20"/>
                <w:lang w:eastAsia="uk-UA"/>
              </w:rPr>
              <w:t xml:space="preserve">А.3.1.9. </w:t>
            </w:r>
            <w:r w:rsidRPr="00C2587D">
              <w:rPr>
                <w:rFonts w:eastAsia="Lucida Sans Unicode" w:cs="Arial"/>
                <w:kern w:val="1"/>
                <w:sz w:val="20"/>
                <w:szCs w:val="20"/>
                <w:lang w:eastAsia="ar-SA"/>
              </w:rPr>
              <w:t>Розроб</w:t>
            </w:r>
            <w:r w:rsidR="00EE7D4D" w:rsidRPr="00C2587D">
              <w:rPr>
                <w:rFonts w:eastAsia="Lucida Sans Unicode" w:cs="Arial"/>
                <w:kern w:val="1"/>
                <w:sz w:val="20"/>
                <w:szCs w:val="20"/>
                <w:lang w:eastAsia="ar-SA"/>
              </w:rPr>
              <w:t>лення</w:t>
            </w:r>
            <w:r w:rsidRPr="00C2587D">
              <w:rPr>
                <w:rFonts w:eastAsia="Lucida Sans Unicode" w:cs="Arial"/>
                <w:kern w:val="1"/>
                <w:sz w:val="20"/>
                <w:szCs w:val="20"/>
                <w:lang w:eastAsia="ar-SA"/>
              </w:rPr>
              <w:t xml:space="preserve"> заходів по підтримці соціального підприємництва.</w:t>
            </w:r>
          </w:p>
        </w:tc>
      </w:tr>
      <w:tr w:rsidR="00CC6C3D" w:rsidRPr="00C2587D" w14:paraId="4C2A0A3A" w14:textId="77777777" w:rsidTr="002E392A">
        <w:trPr>
          <w:trHeight w:val="1795"/>
        </w:trPr>
        <w:tc>
          <w:tcPr>
            <w:tcW w:w="1975" w:type="dxa"/>
            <w:vMerge/>
            <w:vAlign w:val="center"/>
            <w:hideMark/>
          </w:tcPr>
          <w:p w14:paraId="5BEC5CFB" w14:textId="77777777" w:rsidR="00CC6C3D" w:rsidRPr="00C2587D" w:rsidRDefault="00CC6C3D" w:rsidP="002E392A">
            <w:pPr>
              <w:rPr>
                <w:rFonts w:cs="Arial"/>
                <w:b/>
                <w:sz w:val="20"/>
                <w:szCs w:val="20"/>
                <w:lang w:eastAsia="uk-UA"/>
              </w:rPr>
            </w:pPr>
          </w:p>
        </w:tc>
        <w:tc>
          <w:tcPr>
            <w:tcW w:w="2693" w:type="dxa"/>
            <w:vMerge/>
            <w:vAlign w:val="center"/>
            <w:hideMark/>
          </w:tcPr>
          <w:p w14:paraId="15B7FED3" w14:textId="77777777" w:rsidR="00CC6C3D" w:rsidRPr="00C2587D" w:rsidRDefault="00CC6C3D" w:rsidP="002E392A">
            <w:pPr>
              <w:rPr>
                <w:rFonts w:cs="Arial"/>
                <w:color w:val="000000"/>
                <w:sz w:val="20"/>
                <w:szCs w:val="20"/>
                <w:lang w:eastAsia="uk-UA"/>
              </w:rPr>
            </w:pPr>
          </w:p>
        </w:tc>
        <w:tc>
          <w:tcPr>
            <w:tcW w:w="2840" w:type="dxa"/>
            <w:shd w:val="clear" w:color="auto" w:fill="auto"/>
            <w:vAlign w:val="center"/>
            <w:hideMark/>
          </w:tcPr>
          <w:p w14:paraId="3AB3F707" w14:textId="77777777" w:rsidR="00CC6C3D" w:rsidRPr="00C2587D" w:rsidRDefault="00CC6C3D" w:rsidP="002E392A">
            <w:pPr>
              <w:rPr>
                <w:rFonts w:cs="Arial"/>
                <w:color w:val="000000"/>
                <w:sz w:val="20"/>
                <w:szCs w:val="20"/>
                <w:lang w:eastAsia="uk-UA"/>
              </w:rPr>
            </w:pPr>
            <w:r w:rsidRPr="00C2587D">
              <w:rPr>
                <w:rFonts w:cs="Arial"/>
                <w:color w:val="000000"/>
                <w:sz w:val="20"/>
                <w:szCs w:val="20"/>
                <w:lang w:eastAsia="uk-UA"/>
              </w:rPr>
              <w:t>А.3.2. Сприяння  експортерам  малих і середніх підприємств</w:t>
            </w:r>
          </w:p>
        </w:tc>
        <w:tc>
          <w:tcPr>
            <w:tcW w:w="7655" w:type="dxa"/>
            <w:shd w:val="clear" w:color="auto" w:fill="auto"/>
            <w:hideMark/>
          </w:tcPr>
          <w:p w14:paraId="25189193" w14:textId="77777777" w:rsidR="00055151" w:rsidRPr="00C2587D" w:rsidRDefault="00CC6C3D" w:rsidP="002E392A">
            <w:pPr>
              <w:suppressAutoHyphens/>
              <w:spacing w:before="20" w:after="20"/>
              <w:jc w:val="both"/>
              <w:rPr>
                <w:rFonts w:eastAsia="Lucida Sans Unicode" w:cs="Arial"/>
                <w:kern w:val="1"/>
                <w:sz w:val="20"/>
                <w:szCs w:val="20"/>
                <w:lang w:eastAsia="ar-SA"/>
              </w:rPr>
            </w:pPr>
            <w:r w:rsidRPr="00C2587D">
              <w:rPr>
                <w:rFonts w:cs="Arial"/>
                <w:sz w:val="20"/>
                <w:szCs w:val="20"/>
                <w:lang w:eastAsia="uk-UA"/>
              </w:rPr>
              <w:t xml:space="preserve">А.3.2.1. </w:t>
            </w:r>
            <w:r w:rsidR="00055151" w:rsidRPr="00C2587D">
              <w:rPr>
                <w:rFonts w:eastAsia="Lucida Sans Unicode" w:cs="Arial"/>
                <w:kern w:val="1"/>
                <w:sz w:val="20"/>
                <w:szCs w:val="20"/>
                <w:lang w:eastAsia="ar-SA"/>
              </w:rPr>
              <w:t>Створення Спілки експортерів малих і середніх підприємств.</w:t>
            </w:r>
          </w:p>
          <w:p w14:paraId="3A957990" w14:textId="77777777" w:rsidR="00055151" w:rsidRPr="00C2587D" w:rsidRDefault="00055151" w:rsidP="002E392A">
            <w:pPr>
              <w:widowControl w:val="0"/>
              <w:suppressAutoHyphens/>
              <w:spacing w:before="20" w:after="20"/>
              <w:jc w:val="both"/>
              <w:rPr>
                <w:rFonts w:eastAsia="Lucida Sans Unicode" w:cs="Arial"/>
                <w:kern w:val="1"/>
                <w:sz w:val="20"/>
                <w:szCs w:val="20"/>
                <w:lang w:eastAsia="ar-SA"/>
              </w:rPr>
            </w:pPr>
            <w:r w:rsidRPr="00C2587D">
              <w:rPr>
                <w:rFonts w:cs="Arial"/>
                <w:sz w:val="20"/>
                <w:szCs w:val="20"/>
                <w:lang w:eastAsia="uk-UA"/>
              </w:rPr>
              <w:t>А.3.2.2.</w:t>
            </w:r>
            <w:r w:rsidRPr="00C2587D">
              <w:rPr>
                <w:rFonts w:eastAsia="Lucida Sans Unicode" w:cs="Arial"/>
                <w:kern w:val="1"/>
                <w:sz w:val="20"/>
                <w:szCs w:val="20"/>
                <w:lang w:eastAsia="ar-SA"/>
              </w:rPr>
              <w:t>Формування інформаційних матеріалів для експортерів: бази даних, аналітики пріоритетних ринків та індустрій.</w:t>
            </w:r>
          </w:p>
          <w:p w14:paraId="136555E4" w14:textId="77777777" w:rsidR="00055151" w:rsidRPr="00C2587D" w:rsidRDefault="00055151" w:rsidP="002E392A">
            <w:pPr>
              <w:widowControl w:val="0"/>
              <w:suppressAutoHyphens/>
              <w:spacing w:before="20" w:after="20"/>
              <w:jc w:val="both"/>
              <w:rPr>
                <w:rFonts w:eastAsia="Lucida Sans Unicode" w:cs="Arial"/>
                <w:kern w:val="1"/>
                <w:sz w:val="20"/>
                <w:szCs w:val="20"/>
                <w:lang w:eastAsia="ar-SA"/>
              </w:rPr>
            </w:pPr>
            <w:r w:rsidRPr="00C2587D">
              <w:rPr>
                <w:rFonts w:cs="Arial"/>
                <w:sz w:val="20"/>
                <w:szCs w:val="20"/>
                <w:lang w:eastAsia="uk-UA"/>
              </w:rPr>
              <w:t xml:space="preserve">А.3.2.3. </w:t>
            </w:r>
            <w:r w:rsidRPr="00C2587D">
              <w:rPr>
                <w:rFonts w:eastAsia="Lucida Sans Unicode" w:cs="Arial"/>
                <w:kern w:val="1"/>
                <w:sz w:val="20"/>
                <w:szCs w:val="20"/>
                <w:lang w:eastAsia="ar-SA"/>
              </w:rPr>
              <w:t>Освіта для експортерів: тренінги, семінари, вебінари.</w:t>
            </w:r>
          </w:p>
          <w:p w14:paraId="319CD7BB" w14:textId="77777777" w:rsidR="00055151" w:rsidRPr="00C2587D" w:rsidRDefault="00055151" w:rsidP="002E392A">
            <w:pPr>
              <w:widowControl w:val="0"/>
              <w:suppressAutoHyphens/>
              <w:spacing w:before="20" w:after="20"/>
              <w:jc w:val="both"/>
              <w:rPr>
                <w:rFonts w:eastAsia="Lucida Sans Unicode" w:cs="Arial"/>
                <w:kern w:val="1"/>
                <w:sz w:val="20"/>
                <w:szCs w:val="20"/>
                <w:lang w:eastAsia="ar-SA"/>
              </w:rPr>
            </w:pPr>
            <w:r w:rsidRPr="00C2587D">
              <w:rPr>
                <w:rFonts w:cs="Arial"/>
                <w:sz w:val="20"/>
                <w:szCs w:val="20"/>
                <w:lang w:eastAsia="uk-UA"/>
              </w:rPr>
              <w:t xml:space="preserve">А.3.2.4. </w:t>
            </w:r>
            <w:r w:rsidRPr="00C2587D">
              <w:rPr>
                <w:rFonts w:eastAsia="Lucida Sans Unicode" w:cs="Arial"/>
                <w:kern w:val="1"/>
                <w:sz w:val="20"/>
                <w:szCs w:val="20"/>
                <w:lang w:eastAsia="ar-SA"/>
              </w:rPr>
              <w:t>Співпраця з Вінницькою Торгово-промисловою Палатою.</w:t>
            </w:r>
          </w:p>
          <w:p w14:paraId="32002F79" w14:textId="455A11A3" w:rsidR="00CC6C3D" w:rsidRPr="00C2587D" w:rsidRDefault="00055151" w:rsidP="002E392A">
            <w:pPr>
              <w:jc w:val="both"/>
              <w:rPr>
                <w:rFonts w:cs="Arial"/>
                <w:color w:val="000000"/>
                <w:sz w:val="20"/>
                <w:szCs w:val="20"/>
                <w:lang w:eastAsia="uk-UA"/>
              </w:rPr>
            </w:pPr>
            <w:r w:rsidRPr="00C2587D">
              <w:rPr>
                <w:rFonts w:cs="Arial"/>
                <w:sz w:val="20"/>
                <w:szCs w:val="20"/>
                <w:lang w:eastAsia="uk-UA"/>
              </w:rPr>
              <w:t xml:space="preserve">А.3.2.5. </w:t>
            </w:r>
            <w:r w:rsidRPr="00C2587D">
              <w:rPr>
                <w:rFonts w:eastAsia="MS Mincho" w:cs="Arial"/>
                <w:sz w:val="20"/>
                <w:szCs w:val="20"/>
              </w:rPr>
              <w:t>Сприяти в наданні допомоги бізнесу в отриманні інформації та знань, необхідних для виходу на зовнішні ринки.</w:t>
            </w:r>
          </w:p>
        </w:tc>
      </w:tr>
      <w:tr w:rsidR="00CC6C3D" w:rsidRPr="00C2587D" w14:paraId="2FCD5410" w14:textId="77777777" w:rsidTr="004D1921">
        <w:trPr>
          <w:trHeight w:val="300"/>
        </w:trPr>
        <w:tc>
          <w:tcPr>
            <w:tcW w:w="1975" w:type="dxa"/>
            <w:vMerge/>
            <w:vAlign w:val="center"/>
          </w:tcPr>
          <w:p w14:paraId="03D721AD" w14:textId="77777777" w:rsidR="00CC6C3D" w:rsidRPr="00C2587D" w:rsidRDefault="00CC6C3D" w:rsidP="002E392A">
            <w:pPr>
              <w:rPr>
                <w:rFonts w:cs="Arial"/>
                <w:b/>
                <w:sz w:val="20"/>
                <w:szCs w:val="20"/>
                <w:lang w:eastAsia="uk-UA"/>
              </w:rPr>
            </w:pPr>
          </w:p>
        </w:tc>
        <w:tc>
          <w:tcPr>
            <w:tcW w:w="2693" w:type="dxa"/>
            <w:vMerge/>
            <w:vAlign w:val="center"/>
          </w:tcPr>
          <w:p w14:paraId="6F338BB6" w14:textId="77777777" w:rsidR="00CC6C3D" w:rsidRPr="00C2587D" w:rsidRDefault="00CC6C3D" w:rsidP="002E392A">
            <w:pPr>
              <w:rPr>
                <w:rFonts w:cs="Arial"/>
                <w:color w:val="000000"/>
                <w:sz w:val="20"/>
                <w:szCs w:val="20"/>
                <w:lang w:eastAsia="uk-UA"/>
              </w:rPr>
            </w:pPr>
          </w:p>
        </w:tc>
        <w:tc>
          <w:tcPr>
            <w:tcW w:w="2840" w:type="dxa"/>
            <w:shd w:val="clear" w:color="auto" w:fill="auto"/>
            <w:vAlign w:val="center"/>
          </w:tcPr>
          <w:p w14:paraId="46E78B4A" w14:textId="0E1B7FDD" w:rsidR="00CC6C3D" w:rsidRPr="00C2587D" w:rsidRDefault="00CC6C3D" w:rsidP="002E392A">
            <w:pPr>
              <w:rPr>
                <w:rFonts w:cs="Arial"/>
                <w:color w:val="000000"/>
                <w:sz w:val="20"/>
                <w:szCs w:val="20"/>
                <w:lang w:eastAsia="uk-UA"/>
              </w:rPr>
            </w:pPr>
            <w:r w:rsidRPr="00C2587D">
              <w:rPr>
                <w:rFonts w:cs="Arial"/>
                <w:color w:val="000000"/>
                <w:sz w:val="20"/>
                <w:szCs w:val="20"/>
                <w:lang w:eastAsia="uk-UA"/>
              </w:rPr>
              <w:t>А.3.3. Активна діалогова платформа з питань підприємництва</w:t>
            </w:r>
          </w:p>
        </w:tc>
        <w:tc>
          <w:tcPr>
            <w:tcW w:w="7655" w:type="dxa"/>
            <w:shd w:val="clear" w:color="auto" w:fill="auto"/>
          </w:tcPr>
          <w:p w14:paraId="3BD76768" w14:textId="77777777" w:rsidR="00055151" w:rsidRPr="00C2587D" w:rsidRDefault="00055151" w:rsidP="002E392A">
            <w:pPr>
              <w:suppressAutoHyphens/>
              <w:spacing w:before="20" w:after="20"/>
              <w:jc w:val="both"/>
              <w:rPr>
                <w:rFonts w:eastAsia="Lucida Sans Unicode" w:cs="Arial"/>
                <w:kern w:val="1"/>
                <w:sz w:val="20"/>
                <w:szCs w:val="20"/>
                <w:lang w:eastAsia="ar-SA"/>
              </w:rPr>
            </w:pPr>
            <w:r w:rsidRPr="00C2587D">
              <w:rPr>
                <w:rFonts w:cs="Arial"/>
                <w:sz w:val="20"/>
                <w:szCs w:val="20"/>
                <w:lang w:eastAsia="uk-UA"/>
              </w:rPr>
              <w:t xml:space="preserve">А.3.3.1. </w:t>
            </w:r>
            <w:r w:rsidRPr="00C2587D">
              <w:rPr>
                <w:rFonts w:eastAsia="Lucida Sans Unicode" w:cs="Arial"/>
                <w:kern w:val="1"/>
                <w:sz w:val="20"/>
                <w:szCs w:val="20"/>
                <w:lang w:eastAsia="ar-SA"/>
              </w:rPr>
              <w:t>Створення Координаційної ради з питань  підприємництва при міській раді.</w:t>
            </w:r>
          </w:p>
          <w:p w14:paraId="51A6CC3C" w14:textId="34E6004B" w:rsidR="00055151" w:rsidRPr="00C2587D" w:rsidRDefault="00055151" w:rsidP="002E392A">
            <w:pPr>
              <w:suppressAutoHyphens/>
              <w:spacing w:before="20" w:after="20"/>
              <w:jc w:val="both"/>
              <w:rPr>
                <w:rFonts w:eastAsia="Lucida Sans Unicode" w:cs="Arial"/>
                <w:kern w:val="1"/>
                <w:sz w:val="20"/>
                <w:szCs w:val="20"/>
                <w:lang w:eastAsia="ar-SA"/>
              </w:rPr>
            </w:pPr>
            <w:r w:rsidRPr="00C2587D">
              <w:rPr>
                <w:rFonts w:cs="Arial"/>
                <w:sz w:val="20"/>
                <w:szCs w:val="20"/>
                <w:lang w:eastAsia="uk-UA"/>
              </w:rPr>
              <w:t xml:space="preserve">А.3.3.2. </w:t>
            </w:r>
            <w:r w:rsidRPr="00C2587D">
              <w:rPr>
                <w:rFonts w:eastAsia="Lucida Sans Unicode" w:cs="Arial"/>
                <w:kern w:val="1"/>
                <w:sz w:val="20"/>
                <w:szCs w:val="20"/>
                <w:lang w:eastAsia="ar-SA"/>
              </w:rPr>
              <w:t xml:space="preserve">Обговорення спільних </w:t>
            </w:r>
            <w:r w:rsidR="00314B9D">
              <w:rPr>
                <w:rFonts w:eastAsia="Lucida Sans Unicode" w:cs="Arial"/>
                <w:kern w:val="1"/>
                <w:sz w:val="20"/>
                <w:szCs w:val="20"/>
                <w:lang w:eastAsia="ar-SA"/>
              </w:rPr>
              <w:t>проєкт</w:t>
            </w:r>
            <w:r w:rsidRPr="00C2587D">
              <w:rPr>
                <w:rFonts w:eastAsia="Lucida Sans Unicode" w:cs="Arial"/>
                <w:kern w:val="1"/>
                <w:sz w:val="20"/>
                <w:szCs w:val="20"/>
                <w:lang w:eastAsia="ar-SA"/>
              </w:rPr>
              <w:t>ів і програм розвитку громади, впровадження соціального партнерства.</w:t>
            </w:r>
          </w:p>
          <w:p w14:paraId="06F5F045" w14:textId="5C747CCD" w:rsidR="00055151" w:rsidRPr="00C2587D" w:rsidRDefault="00055151" w:rsidP="002E392A">
            <w:pPr>
              <w:suppressAutoHyphens/>
              <w:spacing w:before="20" w:after="20"/>
              <w:jc w:val="both"/>
              <w:rPr>
                <w:rFonts w:eastAsia="Lucida Sans Unicode" w:cs="Arial"/>
                <w:kern w:val="1"/>
                <w:sz w:val="20"/>
                <w:szCs w:val="20"/>
                <w:lang w:eastAsia="ar-SA"/>
              </w:rPr>
            </w:pPr>
            <w:r w:rsidRPr="00C2587D">
              <w:rPr>
                <w:rFonts w:cs="Arial"/>
                <w:sz w:val="20"/>
                <w:szCs w:val="20"/>
                <w:lang w:eastAsia="uk-UA"/>
              </w:rPr>
              <w:t xml:space="preserve">А.3.3.3. </w:t>
            </w:r>
            <w:r w:rsidRPr="00C2587D">
              <w:rPr>
                <w:rFonts w:eastAsia="Lucida Sans Unicode" w:cs="Arial"/>
                <w:kern w:val="1"/>
                <w:sz w:val="20"/>
                <w:szCs w:val="20"/>
                <w:lang w:eastAsia="ar-SA"/>
              </w:rPr>
              <w:t xml:space="preserve">Запровадити проведення регулярних зустрічей, </w:t>
            </w:r>
            <w:r w:rsidR="00A35982" w:rsidRPr="00C2587D">
              <w:rPr>
                <w:rFonts w:eastAsia="Lucida Sans Unicode" w:cs="Arial"/>
                <w:kern w:val="1"/>
                <w:sz w:val="20"/>
                <w:szCs w:val="20"/>
                <w:lang w:eastAsia="ar-SA"/>
              </w:rPr>
              <w:t xml:space="preserve">«круглих столів», гарячих ліній, </w:t>
            </w:r>
            <w:r w:rsidRPr="00C2587D">
              <w:rPr>
                <w:rFonts w:eastAsia="Lucida Sans Unicode" w:cs="Arial"/>
                <w:kern w:val="1"/>
                <w:sz w:val="20"/>
                <w:szCs w:val="20"/>
                <w:lang w:eastAsia="ar-SA"/>
              </w:rPr>
              <w:t xml:space="preserve">а також застосовувати інші інструменти взаємодії між владою та бізнесом для спільного вирішення проблем ведення підприємницької діяльності в громаді, реалізації внутрішніх інвестиційних </w:t>
            </w:r>
            <w:r w:rsidR="00314B9D">
              <w:rPr>
                <w:rFonts w:eastAsia="Lucida Sans Unicode" w:cs="Arial"/>
                <w:kern w:val="1"/>
                <w:sz w:val="20"/>
                <w:szCs w:val="20"/>
                <w:lang w:eastAsia="ar-SA"/>
              </w:rPr>
              <w:t>проєкт</w:t>
            </w:r>
            <w:r w:rsidRPr="00C2587D">
              <w:rPr>
                <w:rFonts w:eastAsia="Lucida Sans Unicode" w:cs="Arial"/>
                <w:kern w:val="1"/>
                <w:sz w:val="20"/>
                <w:szCs w:val="20"/>
                <w:lang w:eastAsia="ar-SA"/>
              </w:rPr>
              <w:t>ів та пропозицій бізнесу щодо подальшого розвитку</w:t>
            </w:r>
            <w:r w:rsidR="00A35982" w:rsidRPr="00C2587D">
              <w:rPr>
                <w:rFonts w:eastAsia="Lucida Sans Unicode" w:cs="Arial"/>
                <w:kern w:val="1"/>
                <w:sz w:val="20"/>
                <w:szCs w:val="20"/>
                <w:lang w:eastAsia="ar-SA"/>
              </w:rPr>
              <w:t>.</w:t>
            </w:r>
          </w:p>
          <w:p w14:paraId="240F2BB5" w14:textId="77777777" w:rsidR="00055151" w:rsidRPr="00C2587D" w:rsidRDefault="00055151" w:rsidP="002E392A">
            <w:pPr>
              <w:suppressAutoHyphens/>
              <w:spacing w:before="20" w:after="20"/>
              <w:jc w:val="both"/>
              <w:rPr>
                <w:rFonts w:eastAsia="Lucida Sans Unicode" w:cs="Arial"/>
                <w:kern w:val="1"/>
                <w:sz w:val="20"/>
                <w:szCs w:val="20"/>
                <w:lang w:eastAsia="ar-SA"/>
              </w:rPr>
            </w:pPr>
            <w:r w:rsidRPr="00C2587D">
              <w:rPr>
                <w:rFonts w:cs="Arial"/>
                <w:sz w:val="20"/>
                <w:szCs w:val="20"/>
                <w:lang w:eastAsia="uk-UA"/>
              </w:rPr>
              <w:t xml:space="preserve">А.3.3.4. </w:t>
            </w:r>
            <w:r w:rsidRPr="00C2587D">
              <w:rPr>
                <w:rFonts w:cs="Arial"/>
                <w:sz w:val="20"/>
                <w:szCs w:val="20"/>
              </w:rPr>
              <w:t>Проведення круглих столів, робочих зустрічей за участі митних, податкових, органів санітарно-епідеміологічного, ветеринарно-санітарного, фітосанітарного, екологічного, радіологічного контролю, міської ради, а також недержавних інституцій підтримки МСП для обговорення проблемних питань розвитку підприємництва</w:t>
            </w:r>
            <w:r w:rsidRPr="00C2587D">
              <w:rPr>
                <w:rFonts w:eastAsia="Lucida Sans Unicode" w:cs="Arial"/>
                <w:kern w:val="1"/>
                <w:sz w:val="20"/>
                <w:szCs w:val="20"/>
                <w:lang w:eastAsia="ar-SA"/>
              </w:rPr>
              <w:t>.</w:t>
            </w:r>
          </w:p>
          <w:p w14:paraId="750C91C6" w14:textId="77777777" w:rsidR="00055151" w:rsidRPr="00C2587D" w:rsidRDefault="00055151" w:rsidP="002E392A">
            <w:pPr>
              <w:suppressAutoHyphens/>
              <w:spacing w:before="20" w:after="20"/>
              <w:jc w:val="both"/>
              <w:rPr>
                <w:rFonts w:eastAsia="Lucida Sans Unicode" w:cs="Arial"/>
                <w:kern w:val="1"/>
                <w:sz w:val="20"/>
                <w:szCs w:val="20"/>
                <w:lang w:eastAsia="ar-SA"/>
              </w:rPr>
            </w:pPr>
            <w:r w:rsidRPr="00C2587D">
              <w:rPr>
                <w:rFonts w:cs="Arial"/>
                <w:sz w:val="20"/>
                <w:szCs w:val="20"/>
                <w:lang w:eastAsia="uk-UA"/>
              </w:rPr>
              <w:t xml:space="preserve">А.3.3.5. </w:t>
            </w:r>
            <w:r w:rsidRPr="00C2587D">
              <w:rPr>
                <w:rFonts w:cs="Arial"/>
                <w:sz w:val="20"/>
                <w:szCs w:val="20"/>
              </w:rPr>
              <w:t>Створити відкритий віртуальний майданчик для бізнесу на сайті міської ради з інформацією, актуальною для ведення їх діяльності (у т. ч. перспективні сфери) з можливістю отримання зворотного зв’язку.</w:t>
            </w:r>
          </w:p>
          <w:p w14:paraId="7E413CA8" w14:textId="77777777" w:rsidR="00055151" w:rsidRPr="00C2587D" w:rsidRDefault="00055151" w:rsidP="002E392A">
            <w:pPr>
              <w:suppressAutoHyphens/>
              <w:spacing w:before="20" w:after="20"/>
              <w:jc w:val="both"/>
              <w:rPr>
                <w:rFonts w:eastAsia="Lucida Sans Unicode" w:cs="Arial"/>
                <w:kern w:val="1"/>
                <w:sz w:val="20"/>
                <w:szCs w:val="20"/>
                <w:lang w:eastAsia="ar-SA"/>
              </w:rPr>
            </w:pPr>
            <w:r w:rsidRPr="00C2587D">
              <w:rPr>
                <w:rFonts w:cs="Arial"/>
                <w:sz w:val="20"/>
                <w:szCs w:val="20"/>
                <w:lang w:eastAsia="uk-UA"/>
              </w:rPr>
              <w:t xml:space="preserve">А.3.3.6. </w:t>
            </w:r>
            <w:r w:rsidRPr="00C2587D">
              <w:rPr>
                <w:rFonts w:cs="Arial"/>
                <w:sz w:val="20"/>
                <w:szCs w:val="20"/>
              </w:rPr>
              <w:t>Створення та оприлюднення баз даних (реєстрів нерухомості) на веб-сторінці.</w:t>
            </w:r>
          </w:p>
          <w:p w14:paraId="27C0F03E" w14:textId="77777777" w:rsidR="00CC6C3D" w:rsidRPr="00C2587D" w:rsidRDefault="00055151" w:rsidP="002E392A">
            <w:pPr>
              <w:jc w:val="both"/>
              <w:rPr>
                <w:rFonts w:cs="Arial"/>
                <w:color w:val="000000"/>
                <w:sz w:val="20"/>
                <w:szCs w:val="20"/>
                <w:lang w:eastAsia="uk-UA"/>
              </w:rPr>
            </w:pPr>
            <w:r w:rsidRPr="00C2587D">
              <w:rPr>
                <w:rFonts w:cs="Arial"/>
                <w:sz w:val="20"/>
                <w:szCs w:val="20"/>
                <w:lang w:eastAsia="uk-UA"/>
              </w:rPr>
              <w:t xml:space="preserve">А.3.3.7. </w:t>
            </w:r>
            <w:r w:rsidRPr="00C2587D">
              <w:rPr>
                <w:rFonts w:cs="Arial"/>
                <w:sz w:val="20"/>
                <w:szCs w:val="20"/>
              </w:rPr>
              <w:t>Розміщення на сайті актуальної інформації про законодавчі та нормативно-правові акти для підприємництва, діючі конкурси міжнародних донорських організацій.</w:t>
            </w:r>
          </w:p>
        </w:tc>
      </w:tr>
      <w:tr w:rsidR="00350543" w:rsidRPr="00C2587D" w14:paraId="649E6CC5" w14:textId="77777777" w:rsidTr="004D1921">
        <w:trPr>
          <w:trHeight w:val="320"/>
        </w:trPr>
        <w:tc>
          <w:tcPr>
            <w:tcW w:w="1975" w:type="dxa"/>
            <w:vMerge w:val="restart"/>
            <w:tcBorders>
              <w:top w:val="nil"/>
            </w:tcBorders>
            <w:shd w:val="clear" w:color="auto" w:fill="auto"/>
            <w:vAlign w:val="center"/>
          </w:tcPr>
          <w:p w14:paraId="731EC5F9" w14:textId="77777777" w:rsidR="00350543" w:rsidRPr="00C2587D" w:rsidRDefault="00350543" w:rsidP="002E392A">
            <w:pPr>
              <w:rPr>
                <w:rFonts w:cs="Arial"/>
                <w:b/>
                <w:sz w:val="20"/>
                <w:szCs w:val="20"/>
                <w:lang w:eastAsia="uk-UA"/>
              </w:rPr>
            </w:pPr>
          </w:p>
        </w:tc>
        <w:tc>
          <w:tcPr>
            <w:tcW w:w="2693" w:type="dxa"/>
            <w:vMerge w:val="restart"/>
            <w:shd w:val="clear" w:color="auto" w:fill="auto"/>
            <w:vAlign w:val="center"/>
          </w:tcPr>
          <w:p w14:paraId="76C5693E" w14:textId="52DE21CB" w:rsidR="00350543" w:rsidRPr="00C2587D" w:rsidRDefault="00350543" w:rsidP="002E392A">
            <w:pPr>
              <w:rPr>
                <w:rFonts w:cs="Arial"/>
                <w:color w:val="000000"/>
                <w:sz w:val="20"/>
                <w:szCs w:val="20"/>
                <w:lang w:eastAsia="uk-UA"/>
              </w:rPr>
            </w:pPr>
            <w:r w:rsidRPr="00C2587D">
              <w:rPr>
                <w:rFonts w:cs="Arial"/>
                <w:b/>
                <w:bCs/>
                <w:color w:val="000000"/>
                <w:sz w:val="20"/>
                <w:szCs w:val="20"/>
                <w:lang w:eastAsia="uk-UA"/>
              </w:rPr>
              <w:t>А.4. Ефективна інвестиційна політика та маркетинг території</w:t>
            </w:r>
          </w:p>
        </w:tc>
        <w:tc>
          <w:tcPr>
            <w:tcW w:w="2840" w:type="dxa"/>
            <w:shd w:val="clear" w:color="auto" w:fill="auto"/>
            <w:vAlign w:val="center"/>
          </w:tcPr>
          <w:p w14:paraId="25DE1FF4" w14:textId="77777777" w:rsidR="00350543" w:rsidRPr="00C2587D" w:rsidRDefault="00350543" w:rsidP="002E392A">
            <w:pPr>
              <w:rPr>
                <w:rFonts w:cs="Arial"/>
                <w:color w:val="000000"/>
                <w:sz w:val="20"/>
                <w:szCs w:val="20"/>
                <w:lang w:eastAsia="uk-UA"/>
              </w:rPr>
            </w:pPr>
            <w:r w:rsidRPr="00C2587D">
              <w:rPr>
                <w:rFonts w:cs="Arial"/>
                <w:sz w:val="20"/>
                <w:szCs w:val="22"/>
                <w:lang w:eastAsia="uk-UA"/>
              </w:rPr>
              <w:t>А.4.1.Сучасне просторове планування</w:t>
            </w:r>
          </w:p>
        </w:tc>
        <w:tc>
          <w:tcPr>
            <w:tcW w:w="7655" w:type="dxa"/>
            <w:shd w:val="clear" w:color="auto" w:fill="auto"/>
          </w:tcPr>
          <w:p w14:paraId="557CA8C2" w14:textId="77777777" w:rsidR="007E2B85" w:rsidRPr="00C2587D" w:rsidRDefault="007E2B85" w:rsidP="002E392A">
            <w:pPr>
              <w:suppressAutoHyphens/>
              <w:spacing w:before="20" w:after="20"/>
              <w:jc w:val="both"/>
              <w:rPr>
                <w:rFonts w:eastAsia="Lucida Sans Unicode" w:cs="Arial"/>
                <w:bCs/>
                <w:kern w:val="1"/>
                <w:sz w:val="20"/>
                <w:szCs w:val="20"/>
                <w:lang w:eastAsia="ar-SA"/>
              </w:rPr>
            </w:pPr>
            <w:r w:rsidRPr="00C2587D">
              <w:rPr>
                <w:rFonts w:eastAsia="Lucida Sans Unicode" w:cs="Arial"/>
                <w:bCs/>
                <w:kern w:val="1"/>
                <w:sz w:val="20"/>
                <w:szCs w:val="20"/>
                <w:lang w:eastAsia="ar-SA"/>
              </w:rPr>
              <w:t>А.4.1.1. Розробка Комплексного плану просторового  розвитку території Жмеринської міської територіальної громади.</w:t>
            </w:r>
          </w:p>
          <w:p w14:paraId="2A630181" w14:textId="77777777" w:rsidR="007E2B85" w:rsidRPr="00C2587D" w:rsidRDefault="007E2B85" w:rsidP="002E392A">
            <w:pPr>
              <w:suppressAutoHyphens/>
              <w:spacing w:before="20" w:after="20"/>
              <w:jc w:val="both"/>
              <w:rPr>
                <w:rFonts w:eastAsia="Lucida Sans Unicode" w:cs="Arial"/>
                <w:bCs/>
                <w:kern w:val="1"/>
                <w:sz w:val="20"/>
                <w:szCs w:val="20"/>
                <w:lang w:eastAsia="ar-SA"/>
              </w:rPr>
            </w:pPr>
            <w:r w:rsidRPr="00C2587D">
              <w:rPr>
                <w:rFonts w:eastAsia="Lucida Sans Unicode" w:cs="Arial"/>
                <w:bCs/>
                <w:kern w:val="1"/>
                <w:sz w:val="20"/>
                <w:szCs w:val="20"/>
                <w:lang w:eastAsia="ar-SA"/>
              </w:rPr>
              <w:t>А.4.1.2. Розробка Генеральних планів з планами зонування території населених пунктів громади</w:t>
            </w:r>
            <w:r w:rsidRPr="00C2587D">
              <w:rPr>
                <w:rFonts w:eastAsia="Lucida Sans Unicode" w:cs="Arial"/>
                <w:kern w:val="1"/>
                <w:sz w:val="20"/>
                <w:szCs w:val="20"/>
                <w:lang w:eastAsia="ar-SA"/>
              </w:rPr>
              <w:t>.</w:t>
            </w:r>
          </w:p>
          <w:p w14:paraId="333D8256" w14:textId="77777777" w:rsidR="007E2B85" w:rsidRPr="00C2587D" w:rsidRDefault="007E2B85" w:rsidP="002E392A">
            <w:pPr>
              <w:suppressAutoHyphens/>
              <w:spacing w:before="20" w:after="20"/>
              <w:jc w:val="both"/>
              <w:rPr>
                <w:rFonts w:eastAsia="Lucida Sans Unicode" w:cs="Arial"/>
                <w:kern w:val="1"/>
                <w:sz w:val="20"/>
                <w:szCs w:val="20"/>
                <w:lang w:eastAsia="ar-SA"/>
              </w:rPr>
            </w:pPr>
            <w:r w:rsidRPr="00C2587D">
              <w:rPr>
                <w:rFonts w:eastAsia="Lucida Sans Unicode" w:cs="Arial"/>
                <w:bCs/>
                <w:kern w:val="1"/>
                <w:sz w:val="20"/>
                <w:szCs w:val="20"/>
                <w:lang w:eastAsia="ar-SA"/>
              </w:rPr>
              <w:t>А.4.1.3. Розроблення детальних планів території.</w:t>
            </w:r>
          </w:p>
          <w:p w14:paraId="59BDFA3A" w14:textId="77777777" w:rsidR="007E2B85" w:rsidRPr="00C2587D" w:rsidRDefault="007E2B85" w:rsidP="002E392A">
            <w:pPr>
              <w:suppressAutoHyphens/>
              <w:spacing w:before="20" w:after="20"/>
              <w:jc w:val="both"/>
              <w:rPr>
                <w:rFonts w:eastAsia="Lucida Sans Unicode" w:cs="Arial"/>
                <w:kern w:val="1"/>
                <w:sz w:val="20"/>
                <w:szCs w:val="20"/>
                <w:lang w:eastAsia="ar-SA"/>
              </w:rPr>
            </w:pPr>
            <w:r w:rsidRPr="00C2587D">
              <w:rPr>
                <w:rFonts w:eastAsia="Lucida Sans Unicode" w:cs="Arial"/>
                <w:bCs/>
                <w:kern w:val="1"/>
                <w:sz w:val="20"/>
                <w:szCs w:val="20"/>
                <w:lang w:eastAsia="ar-SA"/>
              </w:rPr>
              <w:t>А.4.1.4. Створення містобудівного кадастру для забезпечення прозорого всебічного вивчення інвестиційної привабливості території громади.</w:t>
            </w:r>
          </w:p>
          <w:p w14:paraId="68356CDE" w14:textId="77777777" w:rsidR="00350543" w:rsidRPr="00C2587D" w:rsidRDefault="007E2B85" w:rsidP="002E392A">
            <w:pPr>
              <w:jc w:val="both"/>
              <w:rPr>
                <w:rFonts w:cs="Arial"/>
                <w:color w:val="000000"/>
                <w:sz w:val="20"/>
                <w:szCs w:val="20"/>
                <w:lang w:eastAsia="uk-UA"/>
              </w:rPr>
            </w:pPr>
            <w:r w:rsidRPr="00C2587D">
              <w:rPr>
                <w:rFonts w:eastAsia="Lucida Sans Unicode" w:cs="Arial"/>
                <w:bCs/>
                <w:kern w:val="1"/>
                <w:sz w:val="20"/>
                <w:szCs w:val="20"/>
                <w:lang w:eastAsia="ar-SA"/>
              </w:rPr>
              <w:t xml:space="preserve">А.4.1.5. </w:t>
            </w:r>
            <w:r w:rsidRPr="00C2587D">
              <w:rPr>
                <w:rFonts w:cs="Arial"/>
                <w:bCs/>
                <w:sz w:val="20"/>
                <w:szCs w:val="20"/>
              </w:rPr>
              <w:t>Розробка історико-архітектурного опорного плану смт.Браїлів.</w:t>
            </w:r>
          </w:p>
        </w:tc>
      </w:tr>
      <w:tr w:rsidR="00350543" w:rsidRPr="00C2587D" w14:paraId="484CC592" w14:textId="77777777" w:rsidTr="004D1921">
        <w:trPr>
          <w:trHeight w:val="288"/>
        </w:trPr>
        <w:tc>
          <w:tcPr>
            <w:tcW w:w="1975" w:type="dxa"/>
            <w:vMerge/>
            <w:shd w:val="clear" w:color="auto" w:fill="auto"/>
            <w:vAlign w:val="center"/>
          </w:tcPr>
          <w:p w14:paraId="2CBF9F87" w14:textId="77777777" w:rsidR="00350543" w:rsidRPr="00C2587D" w:rsidRDefault="00350543" w:rsidP="002E392A">
            <w:pPr>
              <w:rPr>
                <w:rFonts w:cs="Arial"/>
                <w:b/>
                <w:sz w:val="20"/>
                <w:szCs w:val="20"/>
                <w:lang w:eastAsia="uk-UA"/>
              </w:rPr>
            </w:pPr>
          </w:p>
        </w:tc>
        <w:tc>
          <w:tcPr>
            <w:tcW w:w="2693" w:type="dxa"/>
            <w:vMerge/>
            <w:shd w:val="clear" w:color="auto" w:fill="auto"/>
          </w:tcPr>
          <w:p w14:paraId="4E57CF57" w14:textId="77777777" w:rsidR="00350543" w:rsidRPr="00C2587D" w:rsidRDefault="00350543" w:rsidP="002E392A">
            <w:pPr>
              <w:rPr>
                <w:rFonts w:cs="Arial"/>
                <w:b/>
                <w:bCs/>
                <w:color w:val="000000"/>
                <w:sz w:val="20"/>
                <w:szCs w:val="20"/>
                <w:lang w:eastAsia="uk-UA"/>
              </w:rPr>
            </w:pPr>
          </w:p>
        </w:tc>
        <w:tc>
          <w:tcPr>
            <w:tcW w:w="2840" w:type="dxa"/>
            <w:shd w:val="clear" w:color="auto" w:fill="auto"/>
            <w:vAlign w:val="center"/>
          </w:tcPr>
          <w:p w14:paraId="474AFDE6" w14:textId="1CB3A90C" w:rsidR="00350543" w:rsidRPr="00C2587D" w:rsidRDefault="00350543" w:rsidP="002E392A">
            <w:pPr>
              <w:rPr>
                <w:rFonts w:cs="Arial"/>
                <w:color w:val="000000"/>
                <w:sz w:val="20"/>
                <w:szCs w:val="20"/>
                <w:lang w:eastAsia="uk-UA"/>
              </w:rPr>
            </w:pPr>
            <w:r w:rsidRPr="00C2587D">
              <w:rPr>
                <w:rFonts w:cs="Arial"/>
                <w:sz w:val="20"/>
                <w:szCs w:val="22"/>
                <w:lang w:eastAsia="uk-UA"/>
              </w:rPr>
              <w:t>А.4.2. Розробка бренду та маркетингової стратегії громади</w:t>
            </w:r>
          </w:p>
        </w:tc>
        <w:tc>
          <w:tcPr>
            <w:tcW w:w="7655" w:type="dxa"/>
            <w:shd w:val="clear" w:color="auto" w:fill="auto"/>
          </w:tcPr>
          <w:p w14:paraId="22FB2BB6" w14:textId="77777777" w:rsidR="00465162" w:rsidRPr="00C2587D" w:rsidRDefault="00465162"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А.4.2.1. Формування цілісної інвестиційної пропозиції громади.</w:t>
            </w:r>
          </w:p>
          <w:p w14:paraId="18C89FB7" w14:textId="77777777" w:rsidR="00465162" w:rsidRPr="00C2587D" w:rsidRDefault="00465162"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А.4.2.</w:t>
            </w:r>
            <w:r w:rsidR="00AF7C2D" w:rsidRPr="00C2587D">
              <w:rPr>
                <w:rFonts w:eastAsia="Lucida Sans Unicode" w:cs="Arial"/>
                <w:kern w:val="1"/>
                <w:sz w:val="20"/>
                <w:szCs w:val="20"/>
                <w:lang w:eastAsia="ar-SA"/>
              </w:rPr>
              <w:t>2</w:t>
            </w:r>
            <w:r w:rsidRPr="00C2587D">
              <w:rPr>
                <w:rFonts w:eastAsia="Lucida Sans Unicode" w:cs="Arial"/>
                <w:kern w:val="1"/>
                <w:sz w:val="20"/>
                <w:szCs w:val="20"/>
                <w:lang w:eastAsia="ar-SA"/>
              </w:rPr>
              <w:t>. Розробка інвестиційного бренду громади.</w:t>
            </w:r>
          </w:p>
          <w:p w14:paraId="63A3E49A" w14:textId="77777777" w:rsidR="00465162" w:rsidRPr="00C2587D" w:rsidRDefault="00465162"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А.4.2.</w:t>
            </w:r>
            <w:r w:rsidR="00AF7C2D" w:rsidRPr="00C2587D">
              <w:rPr>
                <w:rFonts w:eastAsia="Lucida Sans Unicode" w:cs="Arial"/>
                <w:kern w:val="1"/>
                <w:sz w:val="20"/>
                <w:szCs w:val="20"/>
                <w:lang w:eastAsia="ar-SA"/>
              </w:rPr>
              <w:t>3</w:t>
            </w:r>
            <w:r w:rsidRPr="00C2587D">
              <w:rPr>
                <w:rFonts w:eastAsia="Lucida Sans Unicode" w:cs="Arial"/>
                <w:kern w:val="1"/>
                <w:sz w:val="20"/>
                <w:szCs w:val="20"/>
                <w:lang w:eastAsia="ar-SA"/>
              </w:rPr>
              <w:t xml:space="preserve">. </w:t>
            </w:r>
            <w:r w:rsidRPr="00C2587D">
              <w:rPr>
                <w:rFonts w:eastAsia="Lucida Sans Unicode" w:cs="Arial"/>
                <w:kern w:val="1"/>
                <w:sz w:val="20"/>
                <w:szCs w:val="20"/>
                <w:lang w:eastAsia="it-IT"/>
              </w:rPr>
              <w:t>Формування привабливого іміджу громади.</w:t>
            </w:r>
          </w:p>
          <w:p w14:paraId="2185DFD5" w14:textId="77777777" w:rsidR="00465162" w:rsidRPr="00C2587D" w:rsidRDefault="00465162"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А.4.2.</w:t>
            </w:r>
            <w:r w:rsidR="00AF7C2D" w:rsidRPr="00C2587D">
              <w:rPr>
                <w:rFonts w:eastAsia="Lucida Sans Unicode" w:cs="Arial"/>
                <w:kern w:val="1"/>
                <w:sz w:val="20"/>
                <w:szCs w:val="20"/>
                <w:lang w:eastAsia="ar-SA"/>
              </w:rPr>
              <w:t>4</w:t>
            </w:r>
            <w:r w:rsidRPr="00C2587D">
              <w:rPr>
                <w:rFonts w:eastAsia="Lucida Sans Unicode" w:cs="Arial"/>
                <w:kern w:val="1"/>
                <w:sz w:val="20"/>
                <w:szCs w:val="20"/>
                <w:lang w:eastAsia="ar-SA"/>
              </w:rPr>
              <w:t xml:space="preserve">. </w:t>
            </w:r>
            <w:r w:rsidRPr="00C2587D">
              <w:rPr>
                <w:rFonts w:eastAsia="Lucida Sans Unicode" w:cs="Arial"/>
                <w:kern w:val="1"/>
                <w:sz w:val="20"/>
                <w:szCs w:val="20"/>
                <w:lang w:eastAsia="it-IT"/>
              </w:rPr>
              <w:t>Підготовка промоматеріалів про громаду (буклет, відео-ролик).</w:t>
            </w:r>
          </w:p>
          <w:p w14:paraId="27E8B9D5" w14:textId="77777777" w:rsidR="00465162" w:rsidRPr="00C2587D" w:rsidRDefault="00465162"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А.4.2.</w:t>
            </w:r>
            <w:r w:rsidR="00AF7C2D" w:rsidRPr="00C2587D">
              <w:rPr>
                <w:rFonts w:eastAsia="Lucida Sans Unicode" w:cs="Arial"/>
                <w:kern w:val="1"/>
                <w:sz w:val="20"/>
                <w:szCs w:val="20"/>
                <w:lang w:eastAsia="ar-SA"/>
              </w:rPr>
              <w:t>5</w:t>
            </w:r>
            <w:r w:rsidRPr="00C2587D">
              <w:rPr>
                <w:rFonts w:eastAsia="Lucida Sans Unicode" w:cs="Arial"/>
                <w:kern w:val="1"/>
                <w:sz w:val="20"/>
                <w:szCs w:val="20"/>
                <w:lang w:eastAsia="ar-SA"/>
              </w:rPr>
              <w:t xml:space="preserve">. </w:t>
            </w:r>
            <w:r w:rsidRPr="00C2587D">
              <w:rPr>
                <w:rFonts w:eastAsia="Lucida Sans Unicode" w:cs="Arial"/>
                <w:kern w:val="1"/>
                <w:sz w:val="20"/>
                <w:szCs w:val="20"/>
                <w:lang w:eastAsia="it-IT"/>
              </w:rPr>
              <w:t>Виготовлення сувенірної продукції із використанням бренду.</w:t>
            </w:r>
          </w:p>
          <w:p w14:paraId="262DF6D9" w14:textId="77777777" w:rsidR="00465162" w:rsidRPr="00C2587D" w:rsidRDefault="00465162"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А.4.2.</w:t>
            </w:r>
            <w:r w:rsidR="00AF7C2D" w:rsidRPr="00C2587D">
              <w:rPr>
                <w:rFonts w:eastAsia="Lucida Sans Unicode" w:cs="Arial"/>
                <w:kern w:val="1"/>
                <w:sz w:val="20"/>
                <w:szCs w:val="20"/>
                <w:lang w:eastAsia="ar-SA"/>
              </w:rPr>
              <w:t>6</w:t>
            </w:r>
            <w:r w:rsidRPr="00C2587D">
              <w:rPr>
                <w:rFonts w:eastAsia="Lucida Sans Unicode" w:cs="Arial"/>
                <w:kern w:val="1"/>
                <w:sz w:val="20"/>
                <w:szCs w:val="20"/>
                <w:lang w:eastAsia="ar-SA"/>
              </w:rPr>
              <w:t>. Промоція інвестиційних можливостей громади</w:t>
            </w:r>
            <w:r w:rsidR="00AF7C2D" w:rsidRPr="00C2587D">
              <w:rPr>
                <w:rFonts w:eastAsia="Lucida Sans Unicode" w:cs="Arial"/>
                <w:kern w:val="1"/>
                <w:sz w:val="20"/>
                <w:szCs w:val="20"/>
                <w:lang w:eastAsia="ar-SA"/>
              </w:rPr>
              <w:t>.</w:t>
            </w:r>
          </w:p>
          <w:p w14:paraId="4C63ADD6" w14:textId="77777777" w:rsidR="00465162" w:rsidRPr="00C2587D" w:rsidRDefault="00465162"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А.4.2.</w:t>
            </w:r>
            <w:r w:rsidR="00AF7C2D" w:rsidRPr="00C2587D">
              <w:rPr>
                <w:rFonts w:eastAsia="Lucida Sans Unicode" w:cs="Arial"/>
                <w:kern w:val="1"/>
                <w:sz w:val="20"/>
                <w:szCs w:val="20"/>
                <w:lang w:eastAsia="ar-SA"/>
              </w:rPr>
              <w:t>7</w:t>
            </w:r>
            <w:r w:rsidRPr="00C2587D">
              <w:rPr>
                <w:rFonts w:eastAsia="Lucida Sans Unicode" w:cs="Arial"/>
                <w:kern w:val="1"/>
                <w:sz w:val="20"/>
                <w:szCs w:val="20"/>
                <w:lang w:eastAsia="ar-SA"/>
              </w:rPr>
              <w:t>. Створення реєстру інвестиційних об’єктів громади.</w:t>
            </w:r>
          </w:p>
          <w:p w14:paraId="2710BDC4" w14:textId="77777777" w:rsidR="00350543" w:rsidRPr="00C2587D" w:rsidRDefault="00465162" w:rsidP="002E392A">
            <w:pPr>
              <w:jc w:val="both"/>
              <w:rPr>
                <w:rFonts w:cs="Arial"/>
                <w:color w:val="000000"/>
                <w:sz w:val="20"/>
                <w:szCs w:val="20"/>
                <w:lang w:eastAsia="uk-UA"/>
              </w:rPr>
            </w:pPr>
            <w:r w:rsidRPr="00C2587D">
              <w:rPr>
                <w:rFonts w:eastAsia="Lucida Sans Unicode" w:cs="Arial"/>
                <w:kern w:val="1"/>
                <w:sz w:val="20"/>
                <w:szCs w:val="20"/>
                <w:lang w:eastAsia="ar-SA"/>
              </w:rPr>
              <w:t>А.4.2.</w:t>
            </w:r>
            <w:r w:rsidR="00AF7C2D" w:rsidRPr="00C2587D">
              <w:rPr>
                <w:rFonts w:eastAsia="Lucida Sans Unicode" w:cs="Arial"/>
                <w:kern w:val="1"/>
                <w:sz w:val="20"/>
                <w:szCs w:val="20"/>
                <w:lang w:eastAsia="ar-SA"/>
              </w:rPr>
              <w:t>8</w:t>
            </w:r>
            <w:r w:rsidRPr="00C2587D">
              <w:rPr>
                <w:rFonts w:eastAsia="Lucida Sans Unicode" w:cs="Arial"/>
                <w:kern w:val="1"/>
                <w:sz w:val="20"/>
                <w:szCs w:val="20"/>
                <w:lang w:eastAsia="ar-SA"/>
              </w:rPr>
              <w:t xml:space="preserve">. </w:t>
            </w:r>
            <w:r w:rsidRPr="00C2587D">
              <w:rPr>
                <w:rFonts w:cs="Arial"/>
                <w:sz w:val="20"/>
                <w:szCs w:val="20"/>
              </w:rPr>
              <w:t>Створення інвестиційного порталу.</w:t>
            </w:r>
          </w:p>
        </w:tc>
      </w:tr>
      <w:tr w:rsidR="00350543" w:rsidRPr="00C2587D" w14:paraId="75656B50" w14:textId="77777777" w:rsidTr="004D1921">
        <w:trPr>
          <w:trHeight w:val="220"/>
        </w:trPr>
        <w:tc>
          <w:tcPr>
            <w:tcW w:w="1975" w:type="dxa"/>
            <w:vMerge/>
            <w:shd w:val="clear" w:color="auto" w:fill="auto"/>
            <w:vAlign w:val="center"/>
          </w:tcPr>
          <w:p w14:paraId="444442D0" w14:textId="77777777" w:rsidR="00350543" w:rsidRPr="00C2587D" w:rsidRDefault="00350543" w:rsidP="002E392A">
            <w:pPr>
              <w:rPr>
                <w:rFonts w:cs="Arial"/>
                <w:b/>
                <w:sz w:val="20"/>
                <w:szCs w:val="20"/>
                <w:lang w:eastAsia="uk-UA"/>
              </w:rPr>
            </w:pPr>
          </w:p>
        </w:tc>
        <w:tc>
          <w:tcPr>
            <w:tcW w:w="2693" w:type="dxa"/>
            <w:vMerge/>
            <w:shd w:val="clear" w:color="auto" w:fill="auto"/>
          </w:tcPr>
          <w:p w14:paraId="09C3F810" w14:textId="77777777" w:rsidR="00350543" w:rsidRPr="00C2587D" w:rsidRDefault="00350543" w:rsidP="002E392A">
            <w:pPr>
              <w:rPr>
                <w:rFonts w:cs="Arial"/>
                <w:b/>
                <w:bCs/>
                <w:color w:val="000000"/>
                <w:sz w:val="20"/>
                <w:szCs w:val="20"/>
                <w:lang w:eastAsia="uk-UA"/>
              </w:rPr>
            </w:pPr>
          </w:p>
        </w:tc>
        <w:tc>
          <w:tcPr>
            <w:tcW w:w="2840" w:type="dxa"/>
            <w:shd w:val="clear" w:color="auto" w:fill="auto"/>
            <w:vAlign w:val="center"/>
          </w:tcPr>
          <w:p w14:paraId="1954B765" w14:textId="5D746299" w:rsidR="00350543" w:rsidRPr="004D1921" w:rsidRDefault="00350543" w:rsidP="002E392A">
            <w:pPr>
              <w:rPr>
                <w:rFonts w:cs="Arial"/>
                <w:sz w:val="20"/>
                <w:szCs w:val="22"/>
                <w:lang w:eastAsia="uk-UA"/>
              </w:rPr>
            </w:pPr>
            <w:r w:rsidRPr="00C2587D">
              <w:rPr>
                <w:rFonts w:cs="Arial"/>
                <w:sz w:val="20"/>
                <w:szCs w:val="22"/>
                <w:lang w:eastAsia="uk-UA"/>
              </w:rPr>
              <w:t>А.4.3. Підготовка  якісних інвестиційних продуктів</w:t>
            </w:r>
          </w:p>
        </w:tc>
        <w:tc>
          <w:tcPr>
            <w:tcW w:w="7655" w:type="dxa"/>
            <w:shd w:val="clear" w:color="auto" w:fill="auto"/>
          </w:tcPr>
          <w:p w14:paraId="620C5403" w14:textId="77777777" w:rsidR="00AF7C2D" w:rsidRPr="00C2587D" w:rsidRDefault="00AF7C2D" w:rsidP="002E392A">
            <w:pPr>
              <w:spacing w:before="20" w:after="20"/>
              <w:jc w:val="both"/>
              <w:rPr>
                <w:rFonts w:cs="Arial"/>
                <w:sz w:val="20"/>
                <w:szCs w:val="20"/>
              </w:rPr>
            </w:pPr>
            <w:r w:rsidRPr="00C2587D">
              <w:rPr>
                <w:rFonts w:cs="Arial"/>
                <w:sz w:val="20"/>
                <w:szCs w:val="20"/>
              </w:rPr>
              <w:t>А.4.3.1.Підготовка інвестиційних пропозицій (Каталог) та їх оприлюднення.</w:t>
            </w:r>
          </w:p>
          <w:p w14:paraId="0DFFEB62" w14:textId="77777777" w:rsidR="00AF7C2D" w:rsidRPr="00C2587D" w:rsidRDefault="00AF7C2D" w:rsidP="002E392A">
            <w:pPr>
              <w:spacing w:before="20" w:after="20"/>
              <w:jc w:val="both"/>
              <w:rPr>
                <w:rFonts w:cs="Arial"/>
                <w:sz w:val="20"/>
                <w:szCs w:val="20"/>
              </w:rPr>
            </w:pPr>
            <w:r w:rsidRPr="00C2587D">
              <w:rPr>
                <w:rFonts w:cs="Arial"/>
                <w:sz w:val="20"/>
                <w:szCs w:val="20"/>
              </w:rPr>
              <w:t>А.4.3.2.Розробка інвестиційних продуктів.</w:t>
            </w:r>
          </w:p>
          <w:p w14:paraId="2DF5BE7B" w14:textId="77777777" w:rsidR="00AF7C2D" w:rsidRPr="00C2587D" w:rsidRDefault="00AF7C2D" w:rsidP="002E392A">
            <w:pPr>
              <w:spacing w:before="20" w:after="20"/>
              <w:jc w:val="both"/>
              <w:rPr>
                <w:rFonts w:cs="Arial"/>
                <w:sz w:val="20"/>
                <w:szCs w:val="20"/>
              </w:rPr>
            </w:pPr>
            <w:r w:rsidRPr="00C2587D">
              <w:rPr>
                <w:rFonts w:cs="Arial"/>
                <w:sz w:val="20"/>
                <w:szCs w:val="20"/>
              </w:rPr>
              <w:t>А.4.3.3. Пошук фінансування (фандрайзинг).</w:t>
            </w:r>
          </w:p>
          <w:p w14:paraId="47995125" w14:textId="0F129849" w:rsidR="00AF7C2D" w:rsidRPr="00C2587D" w:rsidRDefault="00AF7C2D" w:rsidP="002E392A">
            <w:pPr>
              <w:spacing w:before="20" w:after="20"/>
              <w:jc w:val="both"/>
              <w:rPr>
                <w:rFonts w:cs="Arial"/>
                <w:sz w:val="20"/>
                <w:szCs w:val="20"/>
              </w:rPr>
            </w:pPr>
            <w:r w:rsidRPr="00C2587D">
              <w:rPr>
                <w:rFonts w:cs="Arial"/>
                <w:sz w:val="20"/>
                <w:szCs w:val="20"/>
              </w:rPr>
              <w:t xml:space="preserve">А.4.3.4.Залучення коштів міжнародної технічної допомоги та реалізація </w:t>
            </w:r>
            <w:r w:rsidR="00314B9D">
              <w:rPr>
                <w:rFonts w:cs="Arial"/>
                <w:sz w:val="20"/>
                <w:szCs w:val="20"/>
              </w:rPr>
              <w:t>проєкт</w:t>
            </w:r>
            <w:r w:rsidRPr="00C2587D">
              <w:rPr>
                <w:rFonts w:cs="Arial"/>
                <w:sz w:val="20"/>
                <w:szCs w:val="20"/>
              </w:rPr>
              <w:t>ів МТД.</w:t>
            </w:r>
          </w:p>
          <w:p w14:paraId="5FCAD7D3" w14:textId="6EDD7F83" w:rsidR="00AF7C2D" w:rsidRPr="00C2587D" w:rsidRDefault="00AF7C2D" w:rsidP="002E392A">
            <w:pPr>
              <w:spacing w:before="20" w:after="20"/>
              <w:jc w:val="both"/>
              <w:rPr>
                <w:rFonts w:cs="Arial"/>
                <w:sz w:val="20"/>
                <w:szCs w:val="20"/>
              </w:rPr>
            </w:pPr>
            <w:r w:rsidRPr="00C2587D">
              <w:rPr>
                <w:rFonts w:cs="Arial"/>
                <w:sz w:val="20"/>
                <w:szCs w:val="20"/>
              </w:rPr>
              <w:t xml:space="preserve">А.4.3.5.Розроблення критеріїв екологічної безпечності інвестиційних </w:t>
            </w:r>
            <w:r w:rsidR="00314B9D">
              <w:rPr>
                <w:rFonts w:cs="Arial"/>
                <w:sz w:val="20"/>
                <w:szCs w:val="20"/>
              </w:rPr>
              <w:t>проєкт</w:t>
            </w:r>
            <w:r w:rsidRPr="00C2587D">
              <w:rPr>
                <w:rFonts w:cs="Arial"/>
                <w:sz w:val="20"/>
                <w:szCs w:val="20"/>
              </w:rPr>
              <w:t>ів і застосування цих критеріїв під час підготовки та відбору інвестиційних пропозицій.</w:t>
            </w:r>
          </w:p>
          <w:p w14:paraId="03C69C43" w14:textId="77777777" w:rsidR="00350543" w:rsidRPr="00C2587D" w:rsidRDefault="00AF7C2D" w:rsidP="002E392A">
            <w:pPr>
              <w:jc w:val="both"/>
              <w:rPr>
                <w:rFonts w:cs="Arial"/>
                <w:color w:val="000000"/>
                <w:sz w:val="20"/>
                <w:szCs w:val="20"/>
                <w:lang w:eastAsia="uk-UA"/>
              </w:rPr>
            </w:pPr>
            <w:r w:rsidRPr="00C2587D">
              <w:rPr>
                <w:rFonts w:cs="Arial"/>
                <w:sz w:val="20"/>
                <w:szCs w:val="20"/>
              </w:rPr>
              <w:t>А.4.3.6.Розвиток  та облаштування індустріального парку.</w:t>
            </w:r>
          </w:p>
        </w:tc>
      </w:tr>
      <w:tr w:rsidR="00350543" w:rsidRPr="00C2587D" w14:paraId="06337ED4" w14:textId="77777777" w:rsidTr="004D1921">
        <w:trPr>
          <w:trHeight w:val="228"/>
        </w:trPr>
        <w:tc>
          <w:tcPr>
            <w:tcW w:w="1975" w:type="dxa"/>
            <w:vMerge/>
            <w:shd w:val="clear" w:color="auto" w:fill="auto"/>
            <w:vAlign w:val="center"/>
          </w:tcPr>
          <w:p w14:paraId="4ED2C603" w14:textId="77777777" w:rsidR="00350543" w:rsidRPr="00C2587D" w:rsidRDefault="00350543" w:rsidP="002E392A">
            <w:pPr>
              <w:rPr>
                <w:rFonts w:cs="Arial"/>
                <w:b/>
                <w:sz w:val="20"/>
                <w:szCs w:val="20"/>
                <w:lang w:eastAsia="uk-UA"/>
              </w:rPr>
            </w:pPr>
          </w:p>
        </w:tc>
        <w:tc>
          <w:tcPr>
            <w:tcW w:w="2693" w:type="dxa"/>
            <w:vMerge/>
            <w:shd w:val="clear" w:color="auto" w:fill="auto"/>
          </w:tcPr>
          <w:p w14:paraId="070334F0" w14:textId="77777777" w:rsidR="00350543" w:rsidRPr="00C2587D" w:rsidRDefault="00350543" w:rsidP="002E392A">
            <w:pPr>
              <w:rPr>
                <w:rFonts w:cs="Arial"/>
                <w:b/>
                <w:bCs/>
                <w:color w:val="000000"/>
                <w:sz w:val="20"/>
                <w:szCs w:val="20"/>
                <w:lang w:eastAsia="uk-UA"/>
              </w:rPr>
            </w:pPr>
          </w:p>
        </w:tc>
        <w:tc>
          <w:tcPr>
            <w:tcW w:w="2840" w:type="dxa"/>
            <w:shd w:val="clear" w:color="auto" w:fill="auto"/>
            <w:vAlign w:val="center"/>
          </w:tcPr>
          <w:p w14:paraId="4281D447" w14:textId="77777777" w:rsidR="00350543" w:rsidRPr="00C2587D" w:rsidRDefault="00350543" w:rsidP="002E392A">
            <w:pPr>
              <w:rPr>
                <w:rFonts w:cs="Arial"/>
                <w:color w:val="000000"/>
                <w:sz w:val="20"/>
                <w:szCs w:val="20"/>
                <w:lang w:eastAsia="uk-UA"/>
              </w:rPr>
            </w:pPr>
            <w:r w:rsidRPr="00C2587D">
              <w:rPr>
                <w:rFonts w:cs="Arial"/>
                <w:sz w:val="20"/>
                <w:szCs w:val="22"/>
                <w:lang w:eastAsia="uk-UA"/>
              </w:rPr>
              <w:t>А.4.4. Міжнародне співробітництво</w:t>
            </w:r>
          </w:p>
        </w:tc>
        <w:tc>
          <w:tcPr>
            <w:tcW w:w="7655" w:type="dxa"/>
            <w:shd w:val="clear" w:color="auto" w:fill="auto"/>
          </w:tcPr>
          <w:p w14:paraId="09B984DC" w14:textId="00D1BC8B" w:rsidR="00AF7C2D" w:rsidRPr="00C2587D" w:rsidRDefault="00AF7C2D" w:rsidP="002E392A">
            <w:pPr>
              <w:spacing w:before="20" w:after="20"/>
              <w:jc w:val="both"/>
              <w:rPr>
                <w:rFonts w:cs="Arial"/>
                <w:sz w:val="20"/>
                <w:szCs w:val="20"/>
              </w:rPr>
            </w:pPr>
            <w:r w:rsidRPr="00C2587D">
              <w:rPr>
                <w:rFonts w:cs="Arial"/>
                <w:sz w:val="20"/>
                <w:szCs w:val="20"/>
              </w:rPr>
              <w:t>А.4.4.1. Здійснення заходів з поглиблення співпраці з містами побратимами з якими Жмеринською міською територіальною громадою  укладено угоди (протоколи) про співробітництво, зокрема, обмін делегаціями, проведення робочих зустрічей, «круглих столів», конференцій</w:t>
            </w:r>
            <w:r w:rsidR="004539CD" w:rsidRPr="00C2587D">
              <w:rPr>
                <w:rFonts w:cs="Arial"/>
                <w:sz w:val="20"/>
                <w:szCs w:val="20"/>
              </w:rPr>
              <w:t>,</w:t>
            </w:r>
            <w:r w:rsidRPr="00C2587D">
              <w:rPr>
                <w:rFonts w:cs="Arial"/>
                <w:sz w:val="20"/>
                <w:szCs w:val="20"/>
              </w:rPr>
              <w:t xml:space="preserve"> бізнес - форумів тощо.</w:t>
            </w:r>
          </w:p>
          <w:p w14:paraId="2D2A8FF7" w14:textId="77777777" w:rsidR="00AF7C2D" w:rsidRPr="00C2587D" w:rsidRDefault="00AF7C2D" w:rsidP="002E392A">
            <w:pPr>
              <w:spacing w:before="20" w:after="20"/>
              <w:jc w:val="both"/>
              <w:rPr>
                <w:rFonts w:cs="Arial"/>
                <w:sz w:val="20"/>
                <w:szCs w:val="20"/>
              </w:rPr>
            </w:pPr>
            <w:r w:rsidRPr="00C2587D">
              <w:rPr>
                <w:rFonts w:cs="Arial"/>
                <w:sz w:val="20"/>
                <w:szCs w:val="20"/>
              </w:rPr>
              <w:t>А.4.4.2. Формування позитивного іміджу та популяризація Жмеринської міської територіальної громади на міжнародному рівні.</w:t>
            </w:r>
          </w:p>
          <w:p w14:paraId="54E1B85E" w14:textId="77777777" w:rsidR="00AF7C2D" w:rsidRPr="00C2587D" w:rsidRDefault="00AF7C2D" w:rsidP="002E392A">
            <w:pPr>
              <w:spacing w:before="20" w:after="20"/>
              <w:jc w:val="both"/>
              <w:rPr>
                <w:rFonts w:cs="Arial"/>
                <w:sz w:val="20"/>
                <w:szCs w:val="20"/>
              </w:rPr>
            </w:pPr>
            <w:r w:rsidRPr="00C2587D">
              <w:rPr>
                <w:rFonts w:cs="Arial"/>
                <w:sz w:val="20"/>
                <w:szCs w:val="20"/>
              </w:rPr>
              <w:t>А.4.4.3. Пошук контактів з іноземними посольствами та зарубіжними організаціями, обмін інформацією та встановлення партнерських стосунків між закордонними громадами.</w:t>
            </w:r>
          </w:p>
          <w:p w14:paraId="726ACC7B" w14:textId="77777777" w:rsidR="00350543" w:rsidRPr="00C2587D" w:rsidRDefault="00AF7C2D" w:rsidP="002E392A">
            <w:pPr>
              <w:jc w:val="both"/>
              <w:rPr>
                <w:rFonts w:cs="Arial"/>
                <w:color w:val="000000"/>
                <w:sz w:val="20"/>
                <w:szCs w:val="20"/>
                <w:lang w:eastAsia="uk-UA"/>
              </w:rPr>
            </w:pPr>
            <w:r w:rsidRPr="00C2587D">
              <w:rPr>
                <w:rFonts w:cs="Arial"/>
                <w:sz w:val="20"/>
                <w:szCs w:val="20"/>
              </w:rPr>
              <w:t>А.4.4.4. Посилення міжнародної співпраці у сферах: культури, освіти, спорту та інших.</w:t>
            </w:r>
          </w:p>
        </w:tc>
      </w:tr>
      <w:tr w:rsidR="00350543" w:rsidRPr="00C2587D" w14:paraId="7EF18B7A" w14:textId="77777777" w:rsidTr="00CA089A">
        <w:trPr>
          <w:trHeight w:val="284"/>
        </w:trPr>
        <w:tc>
          <w:tcPr>
            <w:tcW w:w="1975" w:type="dxa"/>
            <w:vMerge/>
            <w:shd w:val="clear" w:color="auto" w:fill="auto"/>
            <w:vAlign w:val="center"/>
          </w:tcPr>
          <w:p w14:paraId="00952D1D" w14:textId="77777777" w:rsidR="00350543" w:rsidRPr="00C2587D" w:rsidRDefault="00350543" w:rsidP="002E392A">
            <w:pPr>
              <w:rPr>
                <w:rFonts w:cs="Arial"/>
                <w:b/>
                <w:sz w:val="20"/>
                <w:szCs w:val="20"/>
                <w:lang w:eastAsia="uk-UA"/>
              </w:rPr>
            </w:pPr>
          </w:p>
        </w:tc>
        <w:tc>
          <w:tcPr>
            <w:tcW w:w="2693" w:type="dxa"/>
            <w:vMerge w:val="restart"/>
            <w:shd w:val="clear" w:color="auto" w:fill="auto"/>
            <w:vAlign w:val="center"/>
          </w:tcPr>
          <w:p w14:paraId="5E9B40A2" w14:textId="77777777" w:rsidR="00350543" w:rsidRPr="00C2587D" w:rsidRDefault="00350543" w:rsidP="002E392A">
            <w:pPr>
              <w:rPr>
                <w:rFonts w:cs="Arial"/>
                <w:b/>
                <w:bCs/>
                <w:color w:val="000000"/>
                <w:sz w:val="20"/>
                <w:szCs w:val="20"/>
                <w:lang w:eastAsia="uk-UA"/>
              </w:rPr>
            </w:pPr>
            <w:r w:rsidRPr="00C2587D">
              <w:rPr>
                <w:rFonts w:cs="Arial"/>
                <w:b/>
                <w:bCs/>
                <w:color w:val="000000"/>
                <w:sz w:val="20"/>
                <w:szCs w:val="20"/>
                <w:lang w:eastAsia="uk-UA"/>
              </w:rPr>
              <w:t>А.5. Регіональний  туристичний, культурно-історичний центр</w:t>
            </w:r>
          </w:p>
        </w:tc>
        <w:tc>
          <w:tcPr>
            <w:tcW w:w="2840" w:type="dxa"/>
            <w:shd w:val="clear" w:color="auto" w:fill="auto"/>
            <w:vAlign w:val="center"/>
          </w:tcPr>
          <w:p w14:paraId="5EA4DFC6" w14:textId="77777777" w:rsidR="00350543" w:rsidRPr="00C2587D" w:rsidRDefault="00350543" w:rsidP="002E392A">
            <w:pPr>
              <w:rPr>
                <w:rFonts w:cs="Arial"/>
                <w:bCs/>
                <w:color w:val="000000"/>
                <w:sz w:val="20"/>
                <w:szCs w:val="20"/>
                <w:lang w:eastAsia="uk-UA"/>
              </w:rPr>
            </w:pPr>
            <w:r w:rsidRPr="00C2587D">
              <w:rPr>
                <w:rFonts w:cs="Arial"/>
                <w:bCs/>
                <w:sz w:val="20"/>
                <w:szCs w:val="22"/>
              </w:rPr>
              <w:t>А.5.1. Маркетингова діяльність у сфері туризму та створення конкурентних  туристичних продуктів та маршрутів</w:t>
            </w:r>
          </w:p>
        </w:tc>
        <w:tc>
          <w:tcPr>
            <w:tcW w:w="7655" w:type="dxa"/>
            <w:shd w:val="clear" w:color="auto" w:fill="auto"/>
          </w:tcPr>
          <w:p w14:paraId="7629A311" w14:textId="77777777" w:rsidR="007C071C" w:rsidRPr="00C2587D" w:rsidRDefault="001B0660" w:rsidP="002E392A">
            <w:pPr>
              <w:suppressAutoHyphens/>
              <w:spacing w:before="20" w:after="20"/>
              <w:jc w:val="both"/>
              <w:rPr>
                <w:rFonts w:eastAsia="Lucida Sans Unicode" w:cs="Arial"/>
                <w:kern w:val="1"/>
                <w:sz w:val="20"/>
                <w:szCs w:val="20"/>
                <w:lang w:eastAsia="ar-SA"/>
              </w:rPr>
            </w:pPr>
            <w:r w:rsidRPr="00C2587D">
              <w:rPr>
                <w:rFonts w:cs="Arial"/>
                <w:sz w:val="20"/>
                <w:szCs w:val="20"/>
              </w:rPr>
              <w:t xml:space="preserve">А.5.1.1. </w:t>
            </w:r>
            <w:r w:rsidR="007C071C" w:rsidRPr="00C2587D">
              <w:rPr>
                <w:rFonts w:cs="Arial"/>
                <w:sz w:val="20"/>
                <w:szCs w:val="20"/>
              </w:rPr>
              <w:t>Збір, вивчення та систематизація матеріалів щодо історичних і туристичних об’єктів  на території Жмеринської МТГ.</w:t>
            </w:r>
          </w:p>
          <w:p w14:paraId="3661B1D9" w14:textId="3C513BFB" w:rsidR="007C071C" w:rsidRPr="00C2587D" w:rsidRDefault="001B0660" w:rsidP="002E392A">
            <w:pPr>
              <w:suppressAutoHyphens/>
              <w:spacing w:before="20" w:after="20"/>
              <w:jc w:val="both"/>
              <w:rPr>
                <w:rFonts w:eastAsia="Lucida Sans Unicode" w:cs="Arial"/>
                <w:kern w:val="1"/>
                <w:sz w:val="20"/>
                <w:szCs w:val="20"/>
                <w:lang w:eastAsia="ar-SA"/>
              </w:rPr>
            </w:pPr>
            <w:r w:rsidRPr="00C2587D">
              <w:rPr>
                <w:rFonts w:cs="Arial"/>
                <w:sz w:val="20"/>
                <w:szCs w:val="20"/>
              </w:rPr>
              <w:t xml:space="preserve">А.5.1.2. </w:t>
            </w:r>
            <w:r w:rsidR="007C071C" w:rsidRPr="00C2587D">
              <w:rPr>
                <w:rFonts w:eastAsia="Lucida Sans Unicode" w:cs="Arial"/>
                <w:kern w:val="1"/>
                <w:sz w:val="20"/>
                <w:szCs w:val="20"/>
                <w:lang w:eastAsia="ar-SA"/>
              </w:rPr>
              <w:t>Розвиток започаткованих та створення нових рег</w:t>
            </w:r>
            <w:r w:rsidR="00D57E4E" w:rsidRPr="00C2587D">
              <w:rPr>
                <w:rFonts w:eastAsia="Lucida Sans Unicode" w:cs="Arial"/>
                <w:kern w:val="1"/>
                <w:sz w:val="20"/>
                <w:szCs w:val="20"/>
                <w:lang w:eastAsia="ar-SA"/>
              </w:rPr>
              <w:t>іональних туристичних продуктів</w:t>
            </w:r>
            <w:r w:rsidR="007C071C" w:rsidRPr="00C2587D">
              <w:rPr>
                <w:rFonts w:eastAsia="Lucida Sans Unicode" w:cs="Arial"/>
                <w:kern w:val="1"/>
                <w:sz w:val="20"/>
                <w:szCs w:val="20"/>
                <w:lang w:eastAsia="ar-SA"/>
              </w:rPr>
              <w:t xml:space="preserve"> (пов</w:t>
            </w:r>
            <w:r w:rsidR="007C071C" w:rsidRPr="00C2587D">
              <w:rPr>
                <w:rFonts w:eastAsia="Lucida Sans Unicode" w:cs="Arial"/>
                <w:kern w:val="1"/>
                <w:sz w:val="20"/>
                <w:szCs w:val="20"/>
                <w:lang w:eastAsia="it-IT"/>
              </w:rPr>
              <w:t>’</w:t>
            </w:r>
            <w:r w:rsidR="007C071C" w:rsidRPr="00C2587D">
              <w:rPr>
                <w:rFonts w:eastAsia="Lucida Sans Unicode" w:cs="Arial"/>
                <w:kern w:val="1"/>
                <w:sz w:val="20"/>
                <w:szCs w:val="20"/>
                <w:lang w:eastAsia="ar-SA"/>
              </w:rPr>
              <w:t>язаних з Остапом Бендером, фестивально подієвих).</w:t>
            </w:r>
          </w:p>
          <w:p w14:paraId="5CF0903F" w14:textId="77777777" w:rsidR="007C071C" w:rsidRPr="00C2587D" w:rsidRDefault="001B0660" w:rsidP="002E392A">
            <w:pPr>
              <w:suppressAutoHyphens/>
              <w:spacing w:before="20" w:after="20"/>
              <w:jc w:val="both"/>
              <w:rPr>
                <w:rFonts w:eastAsia="Lucida Sans Unicode" w:cs="Arial"/>
                <w:kern w:val="1"/>
                <w:sz w:val="20"/>
                <w:szCs w:val="20"/>
                <w:lang w:eastAsia="ar-SA"/>
              </w:rPr>
            </w:pPr>
            <w:r w:rsidRPr="00C2587D">
              <w:rPr>
                <w:rFonts w:cs="Arial"/>
                <w:sz w:val="20"/>
                <w:szCs w:val="20"/>
              </w:rPr>
              <w:t xml:space="preserve">А.5.1.3. </w:t>
            </w:r>
            <w:r w:rsidR="007C071C" w:rsidRPr="00C2587D">
              <w:rPr>
                <w:rFonts w:cs="Arial"/>
                <w:sz w:val="20"/>
                <w:szCs w:val="20"/>
              </w:rPr>
              <w:t>Розробка туристичних маршрутів відповідно до інформаційної бази та видання інформаційних матеріалів щодо туристичної привабливості Жмеринської МТГ.</w:t>
            </w:r>
          </w:p>
          <w:p w14:paraId="13DAA67E" w14:textId="77777777" w:rsidR="007C071C" w:rsidRPr="00C2587D" w:rsidRDefault="001B0660" w:rsidP="002E392A">
            <w:pPr>
              <w:suppressAutoHyphens/>
              <w:spacing w:before="20" w:after="20"/>
              <w:jc w:val="both"/>
              <w:rPr>
                <w:rFonts w:eastAsia="Lucida Sans Unicode" w:cs="Arial"/>
                <w:kern w:val="1"/>
                <w:sz w:val="20"/>
                <w:szCs w:val="20"/>
                <w:lang w:eastAsia="ar-SA"/>
              </w:rPr>
            </w:pPr>
            <w:r w:rsidRPr="00C2587D">
              <w:rPr>
                <w:rFonts w:cs="Arial"/>
                <w:sz w:val="20"/>
                <w:szCs w:val="20"/>
              </w:rPr>
              <w:lastRenderedPageBreak/>
              <w:t xml:space="preserve">А.5.1.4. </w:t>
            </w:r>
            <w:r w:rsidR="007C071C" w:rsidRPr="00C2587D">
              <w:rPr>
                <w:rFonts w:cs="Arial"/>
                <w:sz w:val="20"/>
                <w:szCs w:val="20"/>
              </w:rPr>
              <w:t>Створення туристично привабливих об’єктів (придбання та встановлення на території міста збільшених копій робіт мікромініатюриста  М.Маслюка).</w:t>
            </w:r>
          </w:p>
          <w:p w14:paraId="4631EEF0" w14:textId="77777777" w:rsidR="007C071C" w:rsidRPr="00C2587D" w:rsidRDefault="001B0660" w:rsidP="002E392A">
            <w:pPr>
              <w:suppressAutoHyphens/>
              <w:spacing w:before="20" w:after="20"/>
              <w:jc w:val="both"/>
              <w:rPr>
                <w:rFonts w:eastAsia="Lucida Sans Unicode" w:cs="Arial"/>
                <w:kern w:val="1"/>
                <w:sz w:val="20"/>
                <w:szCs w:val="20"/>
                <w:lang w:eastAsia="ar-SA"/>
              </w:rPr>
            </w:pPr>
            <w:r w:rsidRPr="00C2587D">
              <w:rPr>
                <w:rFonts w:cs="Arial"/>
                <w:sz w:val="20"/>
                <w:szCs w:val="20"/>
              </w:rPr>
              <w:t xml:space="preserve">А.5.1.5. </w:t>
            </w:r>
            <w:r w:rsidR="007C071C" w:rsidRPr="00C2587D">
              <w:rPr>
                <w:rFonts w:eastAsia="Lucida Sans Unicode" w:cs="Arial"/>
                <w:kern w:val="1"/>
                <w:sz w:val="20"/>
                <w:szCs w:val="20"/>
                <w:lang w:eastAsia="it-IT"/>
              </w:rPr>
              <w:t xml:space="preserve">Популяризація творчості відомого мікромініатюриста </w:t>
            </w:r>
            <w:r w:rsidR="007C071C" w:rsidRPr="00C2587D">
              <w:rPr>
                <w:rFonts w:eastAsia="Lucida Sans Unicode" w:cs="Arial"/>
                <w:kern w:val="1"/>
                <w:sz w:val="20"/>
                <w:szCs w:val="20"/>
                <w:shd w:val="clear" w:color="auto" w:fill="FFFFFF"/>
                <w:lang w:eastAsia="ar-SA"/>
              </w:rPr>
              <w:t>М. Маслюка.</w:t>
            </w:r>
          </w:p>
          <w:p w14:paraId="04A84BC0" w14:textId="77777777" w:rsidR="007C071C" w:rsidRPr="00C2587D" w:rsidRDefault="001B0660" w:rsidP="002E392A">
            <w:pPr>
              <w:suppressAutoHyphens/>
              <w:spacing w:before="20" w:after="20"/>
              <w:jc w:val="both"/>
              <w:rPr>
                <w:rFonts w:eastAsia="Lucida Sans Unicode" w:cs="Arial"/>
                <w:kern w:val="1"/>
                <w:sz w:val="20"/>
                <w:szCs w:val="20"/>
                <w:lang w:eastAsia="ar-SA"/>
              </w:rPr>
            </w:pPr>
            <w:r w:rsidRPr="00C2587D">
              <w:rPr>
                <w:rFonts w:cs="Arial"/>
                <w:sz w:val="20"/>
                <w:szCs w:val="20"/>
              </w:rPr>
              <w:t xml:space="preserve">А.5.1.6. </w:t>
            </w:r>
            <w:r w:rsidR="007C071C" w:rsidRPr="00C2587D">
              <w:rPr>
                <w:rFonts w:eastAsia="Lucida Sans Unicode" w:cs="Arial"/>
                <w:kern w:val="1"/>
                <w:sz w:val="20"/>
                <w:szCs w:val="20"/>
                <w:shd w:val="clear" w:color="auto" w:fill="FFFFFF"/>
                <w:lang w:eastAsia="ar-SA"/>
              </w:rPr>
              <w:t>Популяризація міжнародного музичного фестивалю П.І.Чайковського в смт.Браїлів.</w:t>
            </w:r>
            <w:r w:rsidR="007C071C" w:rsidRPr="00C2587D">
              <w:rPr>
                <w:rFonts w:eastAsia="Lucida Sans Unicode" w:cs="Arial"/>
                <w:kern w:val="1"/>
                <w:sz w:val="20"/>
                <w:szCs w:val="20"/>
                <w:lang w:eastAsia="en-US"/>
              </w:rPr>
              <w:t xml:space="preserve"> </w:t>
            </w:r>
          </w:p>
          <w:p w14:paraId="476EC111" w14:textId="77777777" w:rsidR="00350543" w:rsidRPr="00C2587D" w:rsidRDefault="001B0660" w:rsidP="002E392A">
            <w:pPr>
              <w:jc w:val="both"/>
              <w:rPr>
                <w:rFonts w:cs="Arial"/>
                <w:color w:val="000000"/>
                <w:sz w:val="20"/>
                <w:szCs w:val="20"/>
                <w:lang w:eastAsia="uk-UA"/>
              </w:rPr>
            </w:pPr>
            <w:r w:rsidRPr="00C2587D">
              <w:rPr>
                <w:rFonts w:cs="Arial"/>
                <w:sz w:val="20"/>
                <w:szCs w:val="20"/>
              </w:rPr>
              <w:t xml:space="preserve">А.5.1.7. </w:t>
            </w:r>
            <w:r w:rsidR="007C071C" w:rsidRPr="00C2587D">
              <w:rPr>
                <w:rFonts w:cs="Arial"/>
                <w:sz w:val="20"/>
                <w:szCs w:val="20"/>
                <w:lang w:eastAsia="en-US"/>
              </w:rPr>
              <w:t xml:space="preserve">Моделювання віртуальної </w:t>
            </w:r>
            <w:r w:rsidR="007C071C" w:rsidRPr="00C2587D">
              <w:rPr>
                <w:rFonts w:cs="Arial"/>
                <w:sz w:val="20"/>
                <w:szCs w:val="20"/>
                <w:lang w:eastAsia="it-IT"/>
              </w:rPr>
              <w:t>3D карти громади з нанесенням на неї туристичних маршрутів.</w:t>
            </w:r>
          </w:p>
        </w:tc>
      </w:tr>
      <w:tr w:rsidR="00350543" w:rsidRPr="00C2587D" w14:paraId="397E478F" w14:textId="77777777" w:rsidTr="00CA089A">
        <w:trPr>
          <w:trHeight w:val="216"/>
        </w:trPr>
        <w:tc>
          <w:tcPr>
            <w:tcW w:w="1975" w:type="dxa"/>
            <w:vMerge/>
            <w:shd w:val="clear" w:color="auto" w:fill="auto"/>
            <w:vAlign w:val="center"/>
          </w:tcPr>
          <w:p w14:paraId="1380D384" w14:textId="77777777" w:rsidR="00350543" w:rsidRPr="00C2587D" w:rsidRDefault="00350543" w:rsidP="002E392A">
            <w:pPr>
              <w:rPr>
                <w:rFonts w:cs="Arial"/>
                <w:b/>
                <w:sz w:val="20"/>
                <w:szCs w:val="20"/>
                <w:lang w:eastAsia="uk-UA"/>
              </w:rPr>
            </w:pPr>
          </w:p>
        </w:tc>
        <w:tc>
          <w:tcPr>
            <w:tcW w:w="2693" w:type="dxa"/>
            <w:vMerge/>
            <w:shd w:val="clear" w:color="auto" w:fill="auto"/>
          </w:tcPr>
          <w:p w14:paraId="503F1CBC" w14:textId="77777777" w:rsidR="00350543" w:rsidRPr="00C2587D" w:rsidRDefault="00350543" w:rsidP="002E392A">
            <w:pPr>
              <w:rPr>
                <w:rFonts w:cs="Arial"/>
                <w:b/>
                <w:bCs/>
                <w:color w:val="000000"/>
                <w:sz w:val="20"/>
                <w:szCs w:val="20"/>
                <w:lang w:eastAsia="uk-UA"/>
              </w:rPr>
            </w:pPr>
          </w:p>
        </w:tc>
        <w:tc>
          <w:tcPr>
            <w:tcW w:w="2840" w:type="dxa"/>
            <w:shd w:val="clear" w:color="auto" w:fill="auto"/>
            <w:vAlign w:val="center"/>
          </w:tcPr>
          <w:p w14:paraId="5B7FBFF3" w14:textId="77777777" w:rsidR="00350543" w:rsidRPr="00C2587D" w:rsidRDefault="00350543" w:rsidP="002E392A">
            <w:pPr>
              <w:rPr>
                <w:rFonts w:cs="Arial"/>
                <w:bCs/>
                <w:color w:val="000000"/>
                <w:sz w:val="20"/>
                <w:szCs w:val="20"/>
                <w:lang w:eastAsia="uk-UA"/>
              </w:rPr>
            </w:pPr>
            <w:r w:rsidRPr="00C2587D">
              <w:rPr>
                <w:rFonts w:cs="Arial"/>
                <w:bCs/>
                <w:sz w:val="20"/>
                <w:szCs w:val="22"/>
                <w:lang w:eastAsia="uk-UA"/>
              </w:rPr>
              <w:t>А.5.2. Розвиток  туристичної інфраструктури,</w:t>
            </w:r>
            <w:r w:rsidRPr="00C2587D">
              <w:rPr>
                <w:rFonts w:cs="Arial"/>
                <w:bCs/>
                <w:sz w:val="20"/>
                <w:szCs w:val="22"/>
              </w:rPr>
              <w:t xml:space="preserve"> </w:t>
            </w:r>
            <w:r w:rsidRPr="00C2587D">
              <w:rPr>
                <w:rFonts w:cs="Arial"/>
                <w:bCs/>
                <w:sz w:val="20"/>
                <w:szCs w:val="22"/>
                <w:lang w:eastAsia="uk-UA"/>
              </w:rPr>
              <w:t>брендінг та промоція</w:t>
            </w:r>
          </w:p>
        </w:tc>
        <w:tc>
          <w:tcPr>
            <w:tcW w:w="7655" w:type="dxa"/>
            <w:shd w:val="clear" w:color="auto" w:fill="auto"/>
          </w:tcPr>
          <w:p w14:paraId="4EF3B940" w14:textId="77777777" w:rsidR="001B0660" w:rsidRPr="00C2587D" w:rsidRDefault="001B0660"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А.5.2.1. Розвиток туристичної інфраструктури.</w:t>
            </w:r>
          </w:p>
          <w:p w14:paraId="77169C45" w14:textId="77777777" w:rsidR="001B0660" w:rsidRPr="00C2587D" w:rsidRDefault="001B0660"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 xml:space="preserve">А.5.2.2. </w:t>
            </w:r>
            <w:r w:rsidRPr="00C2587D">
              <w:rPr>
                <w:rFonts w:eastAsia="Lucida Sans Unicode" w:cs="Arial"/>
                <w:kern w:val="1"/>
                <w:sz w:val="20"/>
                <w:szCs w:val="20"/>
                <w:lang w:eastAsia="it-IT"/>
              </w:rPr>
              <w:t>Сприяння будівництву та реконструкції готелів.</w:t>
            </w:r>
          </w:p>
          <w:p w14:paraId="397602F8" w14:textId="77777777" w:rsidR="001B0660" w:rsidRPr="00C2587D" w:rsidRDefault="001B0660"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 xml:space="preserve">А.5.2.3. </w:t>
            </w:r>
            <w:r w:rsidRPr="00C2587D">
              <w:rPr>
                <w:rFonts w:eastAsia="Lucida Sans Unicode" w:cs="Arial"/>
                <w:kern w:val="1"/>
                <w:sz w:val="20"/>
                <w:szCs w:val="20"/>
                <w:lang w:eastAsia="it-IT"/>
              </w:rPr>
              <w:t>Збільшення кількості та підвищення класу комфортності місць розміщення.</w:t>
            </w:r>
          </w:p>
          <w:p w14:paraId="7F5CC054" w14:textId="77777777" w:rsidR="001B0660" w:rsidRPr="00C2587D" w:rsidRDefault="001B0660"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 xml:space="preserve">А.5.2.4. Брендінг, маркетинг та промоція культурно-історичних можливостей громади. </w:t>
            </w:r>
          </w:p>
          <w:p w14:paraId="244B475C" w14:textId="77777777" w:rsidR="001B0660" w:rsidRPr="00C2587D" w:rsidRDefault="001B0660"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А.5.2.5. Підготовка промоційних матеріалів та їх поширення серед цільової аудиторії.</w:t>
            </w:r>
          </w:p>
          <w:p w14:paraId="76FD5D2D" w14:textId="77777777" w:rsidR="001B0660" w:rsidRPr="00C2587D" w:rsidRDefault="001B0660"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 xml:space="preserve">А.5.2.6. Організація паркування в громаді для туристичних автобусів. </w:t>
            </w:r>
          </w:p>
          <w:p w14:paraId="70EC6F7F" w14:textId="48D72AC4" w:rsidR="00350543" w:rsidRPr="00C2587D" w:rsidRDefault="001B0660" w:rsidP="002E392A">
            <w:pPr>
              <w:jc w:val="both"/>
              <w:rPr>
                <w:rFonts w:cs="Arial"/>
                <w:color w:val="000000"/>
                <w:sz w:val="20"/>
                <w:szCs w:val="20"/>
                <w:lang w:eastAsia="uk-UA"/>
              </w:rPr>
            </w:pPr>
            <w:r w:rsidRPr="00C2587D">
              <w:rPr>
                <w:rFonts w:eastAsia="Lucida Sans Unicode" w:cs="Arial"/>
                <w:kern w:val="1"/>
                <w:sz w:val="20"/>
                <w:szCs w:val="20"/>
                <w:lang w:eastAsia="ar-SA"/>
              </w:rPr>
              <w:t xml:space="preserve">А.5.2.7. </w:t>
            </w:r>
            <w:r w:rsidRPr="00C2587D">
              <w:rPr>
                <w:rFonts w:cs="Arial"/>
                <w:sz w:val="20"/>
                <w:szCs w:val="20"/>
              </w:rPr>
              <w:t>Підготовка місцевих фахівців туристичного супроводу/гідів</w:t>
            </w:r>
            <w:r w:rsidR="00F30F6F" w:rsidRPr="00C2587D">
              <w:rPr>
                <w:rFonts w:cs="Arial"/>
                <w:sz w:val="20"/>
                <w:szCs w:val="20"/>
              </w:rPr>
              <w:t>.</w:t>
            </w:r>
          </w:p>
        </w:tc>
      </w:tr>
      <w:tr w:rsidR="00350543" w:rsidRPr="00C2587D" w14:paraId="703C188A" w14:textId="77777777" w:rsidTr="00CA089A">
        <w:trPr>
          <w:trHeight w:val="228"/>
        </w:trPr>
        <w:tc>
          <w:tcPr>
            <w:tcW w:w="1975" w:type="dxa"/>
            <w:vMerge/>
            <w:shd w:val="clear" w:color="auto" w:fill="auto"/>
            <w:vAlign w:val="center"/>
          </w:tcPr>
          <w:p w14:paraId="3C8C0C7F" w14:textId="77777777" w:rsidR="00350543" w:rsidRPr="00C2587D" w:rsidRDefault="00350543" w:rsidP="002E392A">
            <w:pPr>
              <w:rPr>
                <w:rFonts w:cs="Arial"/>
                <w:b/>
                <w:sz w:val="20"/>
                <w:szCs w:val="20"/>
                <w:lang w:eastAsia="uk-UA"/>
              </w:rPr>
            </w:pPr>
          </w:p>
        </w:tc>
        <w:tc>
          <w:tcPr>
            <w:tcW w:w="2693" w:type="dxa"/>
            <w:vMerge/>
            <w:shd w:val="clear" w:color="auto" w:fill="auto"/>
          </w:tcPr>
          <w:p w14:paraId="63C82BEB" w14:textId="77777777" w:rsidR="00350543" w:rsidRPr="00C2587D" w:rsidRDefault="00350543" w:rsidP="002E392A">
            <w:pPr>
              <w:rPr>
                <w:rFonts w:cs="Arial"/>
                <w:b/>
                <w:bCs/>
                <w:color w:val="000000"/>
                <w:sz w:val="20"/>
                <w:szCs w:val="20"/>
                <w:lang w:eastAsia="uk-UA"/>
              </w:rPr>
            </w:pPr>
          </w:p>
        </w:tc>
        <w:tc>
          <w:tcPr>
            <w:tcW w:w="2840" w:type="dxa"/>
            <w:shd w:val="clear" w:color="auto" w:fill="auto"/>
            <w:vAlign w:val="center"/>
          </w:tcPr>
          <w:p w14:paraId="0E48723B" w14:textId="77777777" w:rsidR="00350543" w:rsidRPr="00C2587D" w:rsidRDefault="00350543" w:rsidP="002E392A">
            <w:pPr>
              <w:rPr>
                <w:rFonts w:cs="Arial"/>
                <w:bCs/>
                <w:color w:val="000000"/>
                <w:sz w:val="20"/>
                <w:szCs w:val="20"/>
                <w:lang w:eastAsia="uk-UA"/>
              </w:rPr>
            </w:pPr>
            <w:r w:rsidRPr="00C2587D">
              <w:rPr>
                <w:rFonts w:cs="Arial"/>
                <w:bCs/>
                <w:sz w:val="20"/>
                <w:szCs w:val="22"/>
                <w:lang w:eastAsia="uk-UA"/>
              </w:rPr>
              <w:t>А.5.3. Розвиток зеленого туризму</w:t>
            </w:r>
          </w:p>
        </w:tc>
        <w:tc>
          <w:tcPr>
            <w:tcW w:w="7655" w:type="dxa"/>
            <w:shd w:val="clear" w:color="auto" w:fill="auto"/>
          </w:tcPr>
          <w:p w14:paraId="0C52F9C8" w14:textId="77777777" w:rsidR="001B0660" w:rsidRPr="00C2587D" w:rsidRDefault="001B0660" w:rsidP="002E392A">
            <w:pPr>
              <w:suppressAutoHyphens/>
              <w:spacing w:before="20" w:after="20"/>
              <w:jc w:val="both"/>
              <w:rPr>
                <w:rFonts w:eastAsia="Lucida Sans Unicode" w:cs="Arial"/>
                <w:kern w:val="1"/>
                <w:sz w:val="20"/>
                <w:szCs w:val="20"/>
                <w:lang w:eastAsia="ar-SA"/>
              </w:rPr>
            </w:pPr>
            <w:r w:rsidRPr="00C2587D">
              <w:rPr>
                <w:rFonts w:cs="Arial"/>
                <w:sz w:val="20"/>
                <w:szCs w:val="20"/>
              </w:rPr>
              <w:t>А.5.3.1. Вивчення потенціалу щодо розвитку зеленого туризму на території Жмеринської МТГ</w:t>
            </w:r>
            <w:r w:rsidRPr="00C2587D">
              <w:rPr>
                <w:rFonts w:eastAsia="Lucida Sans Unicode" w:cs="Arial"/>
                <w:kern w:val="1"/>
                <w:sz w:val="20"/>
                <w:szCs w:val="20"/>
                <w:lang w:eastAsia="ar-SA"/>
              </w:rPr>
              <w:t>.</w:t>
            </w:r>
          </w:p>
          <w:p w14:paraId="664537E8" w14:textId="77777777" w:rsidR="001B0660" w:rsidRPr="00C2587D" w:rsidRDefault="001B0660" w:rsidP="002E392A">
            <w:pPr>
              <w:suppressAutoHyphens/>
              <w:spacing w:before="20" w:after="20"/>
              <w:jc w:val="both"/>
              <w:rPr>
                <w:rFonts w:eastAsia="Lucida Sans Unicode" w:cs="Arial"/>
                <w:kern w:val="1"/>
                <w:sz w:val="20"/>
                <w:szCs w:val="20"/>
                <w:lang w:eastAsia="ar-SA"/>
              </w:rPr>
            </w:pPr>
            <w:r w:rsidRPr="00C2587D">
              <w:rPr>
                <w:rFonts w:cs="Arial"/>
                <w:sz w:val="20"/>
                <w:szCs w:val="20"/>
              </w:rPr>
              <w:t>А.5.3.</w:t>
            </w:r>
            <w:r w:rsidR="00C36AE6" w:rsidRPr="00C2587D">
              <w:rPr>
                <w:rFonts w:cs="Arial"/>
                <w:sz w:val="20"/>
                <w:szCs w:val="20"/>
              </w:rPr>
              <w:t>2</w:t>
            </w:r>
            <w:r w:rsidRPr="00C2587D">
              <w:rPr>
                <w:rFonts w:cs="Arial"/>
                <w:sz w:val="20"/>
                <w:szCs w:val="20"/>
              </w:rPr>
              <w:t>. Співпраця із старостинськими округами та домогосподарствами щодо створення бази зеленого туризму.</w:t>
            </w:r>
          </w:p>
          <w:p w14:paraId="087EBFB6" w14:textId="77777777" w:rsidR="001B0660" w:rsidRPr="00C2587D" w:rsidRDefault="001B0660" w:rsidP="002E392A">
            <w:pPr>
              <w:suppressAutoHyphens/>
              <w:spacing w:before="20" w:after="20"/>
              <w:jc w:val="both"/>
              <w:rPr>
                <w:rFonts w:eastAsia="Lucida Sans Unicode" w:cs="Arial"/>
                <w:kern w:val="1"/>
                <w:sz w:val="20"/>
                <w:szCs w:val="20"/>
                <w:lang w:eastAsia="ar-SA"/>
              </w:rPr>
            </w:pPr>
            <w:r w:rsidRPr="00C2587D">
              <w:rPr>
                <w:rFonts w:cs="Arial"/>
                <w:sz w:val="20"/>
                <w:szCs w:val="20"/>
              </w:rPr>
              <w:t>А.5.3.</w:t>
            </w:r>
            <w:r w:rsidR="00C36AE6" w:rsidRPr="00C2587D">
              <w:rPr>
                <w:rFonts w:cs="Arial"/>
                <w:sz w:val="20"/>
                <w:szCs w:val="20"/>
              </w:rPr>
              <w:t>3</w:t>
            </w:r>
            <w:r w:rsidRPr="00C2587D">
              <w:rPr>
                <w:rFonts w:cs="Arial"/>
                <w:sz w:val="20"/>
                <w:szCs w:val="20"/>
              </w:rPr>
              <w:t xml:space="preserve">. </w:t>
            </w:r>
            <w:r w:rsidRPr="00C2587D">
              <w:rPr>
                <w:rFonts w:eastAsia="Calibri" w:cs="Arial"/>
                <w:kern w:val="1"/>
                <w:sz w:val="20"/>
                <w:szCs w:val="20"/>
                <w:lang w:eastAsia="en-US"/>
              </w:rPr>
              <w:t>Підтримка створення «зелених садиб».</w:t>
            </w:r>
          </w:p>
          <w:p w14:paraId="018D6956" w14:textId="77777777" w:rsidR="001B0660" w:rsidRPr="00C2587D" w:rsidRDefault="001B0660" w:rsidP="002E392A">
            <w:pPr>
              <w:suppressAutoHyphens/>
              <w:spacing w:before="20" w:after="20"/>
              <w:jc w:val="both"/>
              <w:rPr>
                <w:rFonts w:eastAsia="Lucida Sans Unicode" w:cs="Arial"/>
                <w:kern w:val="1"/>
                <w:sz w:val="20"/>
                <w:szCs w:val="20"/>
                <w:lang w:eastAsia="ar-SA"/>
              </w:rPr>
            </w:pPr>
            <w:r w:rsidRPr="00C2587D">
              <w:rPr>
                <w:rFonts w:cs="Arial"/>
                <w:sz w:val="20"/>
                <w:szCs w:val="20"/>
              </w:rPr>
              <w:t>А.5.3.</w:t>
            </w:r>
            <w:r w:rsidR="00C36AE6" w:rsidRPr="00C2587D">
              <w:rPr>
                <w:rFonts w:cs="Arial"/>
                <w:sz w:val="20"/>
                <w:szCs w:val="20"/>
              </w:rPr>
              <w:t>4</w:t>
            </w:r>
            <w:r w:rsidRPr="00C2587D">
              <w:rPr>
                <w:rFonts w:cs="Arial"/>
                <w:sz w:val="20"/>
                <w:szCs w:val="20"/>
              </w:rPr>
              <w:t xml:space="preserve">. </w:t>
            </w:r>
            <w:r w:rsidRPr="00C2587D">
              <w:rPr>
                <w:rFonts w:eastAsia="Arial" w:cs="Arial"/>
                <w:kern w:val="1"/>
                <w:sz w:val="20"/>
                <w:szCs w:val="20"/>
              </w:rPr>
              <w:t>Організація виставки сувенірів та продукції народних ремесел.</w:t>
            </w:r>
          </w:p>
          <w:p w14:paraId="290EAEE8" w14:textId="77777777" w:rsidR="001B0660" w:rsidRPr="00C2587D" w:rsidRDefault="001B0660" w:rsidP="002E392A">
            <w:pPr>
              <w:suppressAutoHyphens/>
              <w:spacing w:before="20" w:after="20"/>
              <w:jc w:val="both"/>
              <w:rPr>
                <w:rFonts w:eastAsia="Lucida Sans Unicode" w:cs="Arial"/>
                <w:kern w:val="1"/>
                <w:sz w:val="20"/>
                <w:szCs w:val="20"/>
                <w:lang w:eastAsia="ar-SA"/>
              </w:rPr>
            </w:pPr>
            <w:r w:rsidRPr="00C2587D">
              <w:rPr>
                <w:rFonts w:cs="Arial"/>
                <w:sz w:val="20"/>
                <w:szCs w:val="20"/>
              </w:rPr>
              <w:t>А.5.3.</w:t>
            </w:r>
            <w:r w:rsidR="00C36AE6" w:rsidRPr="00C2587D">
              <w:rPr>
                <w:rFonts w:cs="Arial"/>
                <w:sz w:val="20"/>
                <w:szCs w:val="20"/>
              </w:rPr>
              <w:t>5</w:t>
            </w:r>
            <w:r w:rsidRPr="00C2587D">
              <w:rPr>
                <w:rFonts w:cs="Arial"/>
                <w:sz w:val="20"/>
                <w:szCs w:val="20"/>
              </w:rPr>
              <w:t xml:space="preserve">. </w:t>
            </w:r>
            <w:r w:rsidRPr="00C2587D">
              <w:rPr>
                <w:rFonts w:eastAsia="Arial" w:cs="Arial"/>
                <w:kern w:val="1"/>
                <w:sz w:val="20"/>
                <w:szCs w:val="20"/>
              </w:rPr>
              <w:t>Відтворення домашньої української кухні, виготовлення страв та проведення</w:t>
            </w:r>
            <w:r w:rsidRPr="00C2587D">
              <w:rPr>
                <w:rFonts w:eastAsia="Arial" w:cs="Arial"/>
                <w:spacing w:val="-1"/>
                <w:kern w:val="1"/>
                <w:sz w:val="20"/>
                <w:szCs w:val="20"/>
              </w:rPr>
              <w:t xml:space="preserve"> </w:t>
            </w:r>
            <w:r w:rsidRPr="00C2587D">
              <w:rPr>
                <w:rFonts w:eastAsia="Arial" w:cs="Arial"/>
                <w:kern w:val="1"/>
                <w:sz w:val="20"/>
                <w:szCs w:val="20"/>
              </w:rPr>
              <w:t>майстер-класів.</w:t>
            </w:r>
          </w:p>
          <w:p w14:paraId="3358C9A2" w14:textId="77777777" w:rsidR="00350543" w:rsidRPr="00C2587D" w:rsidRDefault="001B0660" w:rsidP="002E392A">
            <w:pPr>
              <w:jc w:val="both"/>
              <w:rPr>
                <w:rFonts w:cs="Arial"/>
                <w:color w:val="000000"/>
                <w:sz w:val="20"/>
                <w:szCs w:val="20"/>
                <w:lang w:eastAsia="uk-UA"/>
              </w:rPr>
            </w:pPr>
            <w:r w:rsidRPr="00C2587D">
              <w:rPr>
                <w:rFonts w:cs="Arial"/>
                <w:sz w:val="20"/>
                <w:szCs w:val="20"/>
              </w:rPr>
              <w:t>А.5.3.</w:t>
            </w:r>
            <w:r w:rsidR="00C36AE6" w:rsidRPr="00C2587D">
              <w:rPr>
                <w:rFonts w:cs="Arial"/>
                <w:sz w:val="20"/>
                <w:szCs w:val="20"/>
              </w:rPr>
              <w:t>6</w:t>
            </w:r>
            <w:r w:rsidRPr="00C2587D">
              <w:rPr>
                <w:rFonts w:cs="Arial"/>
                <w:sz w:val="20"/>
                <w:szCs w:val="20"/>
              </w:rPr>
              <w:t xml:space="preserve">. </w:t>
            </w:r>
            <w:r w:rsidRPr="00C2587D">
              <w:rPr>
                <w:rFonts w:cs="Arial"/>
                <w:sz w:val="20"/>
                <w:szCs w:val="20"/>
                <w:lang w:eastAsia="en-US"/>
              </w:rPr>
              <w:t>Створення нових туристичних маршрутів, зокрема екологічних</w:t>
            </w:r>
            <w:r w:rsidR="00C36AE6" w:rsidRPr="00C2587D">
              <w:rPr>
                <w:rFonts w:cs="Arial"/>
                <w:sz w:val="20"/>
                <w:szCs w:val="20"/>
                <w:lang w:eastAsia="en-US"/>
              </w:rPr>
              <w:t>.</w:t>
            </w:r>
          </w:p>
        </w:tc>
      </w:tr>
      <w:tr w:rsidR="00350543" w:rsidRPr="00C2587D" w14:paraId="59A1AA0D" w14:textId="77777777" w:rsidTr="00CA089A">
        <w:trPr>
          <w:trHeight w:val="156"/>
        </w:trPr>
        <w:tc>
          <w:tcPr>
            <w:tcW w:w="1975" w:type="dxa"/>
            <w:vMerge/>
            <w:shd w:val="clear" w:color="auto" w:fill="auto"/>
            <w:vAlign w:val="center"/>
          </w:tcPr>
          <w:p w14:paraId="4C864FAB" w14:textId="77777777" w:rsidR="00350543" w:rsidRPr="00C2587D" w:rsidRDefault="00350543" w:rsidP="002E392A">
            <w:pPr>
              <w:rPr>
                <w:rFonts w:cs="Arial"/>
                <w:b/>
                <w:sz w:val="20"/>
                <w:szCs w:val="20"/>
                <w:lang w:eastAsia="uk-UA"/>
              </w:rPr>
            </w:pPr>
          </w:p>
        </w:tc>
        <w:tc>
          <w:tcPr>
            <w:tcW w:w="2693" w:type="dxa"/>
            <w:vMerge/>
            <w:shd w:val="clear" w:color="auto" w:fill="auto"/>
          </w:tcPr>
          <w:p w14:paraId="57AB3A25" w14:textId="77777777" w:rsidR="00350543" w:rsidRPr="00C2587D" w:rsidRDefault="00350543" w:rsidP="002E392A">
            <w:pPr>
              <w:rPr>
                <w:rFonts w:cs="Arial"/>
                <w:b/>
                <w:bCs/>
                <w:color w:val="000000"/>
                <w:sz w:val="20"/>
                <w:szCs w:val="20"/>
                <w:lang w:eastAsia="uk-UA"/>
              </w:rPr>
            </w:pPr>
          </w:p>
        </w:tc>
        <w:tc>
          <w:tcPr>
            <w:tcW w:w="2840" w:type="dxa"/>
            <w:shd w:val="clear" w:color="auto" w:fill="auto"/>
            <w:vAlign w:val="center"/>
          </w:tcPr>
          <w:p w14:paraId="5EE29447" w14:textId="77777777" w:rsidR="00350543" w:rsidRPr="00C2587D" w:rsidRDefault="00350543" w:rsidP="002E392A">
            <w:pPr>
              <w:rPr>
                <w:rFonts w:cs="Arial"/>
                <w:bCs/>
                <w:color w:val="000000"/>
                <w:sz w:val="20"/>
                <w:szCs w:val="20"/>
                <w:lang w:eastAsia="uk-UA"/>
              </w:rPr>
            </w:pPr>
            <w:r w:rsidRPr="00C2587D">
              <w:rPr>
                <w:rFonts w:cs="Arial"/>
                <w:bCs/>
                <w:sz w:val="20"/>
                <w:szCs w:val="22"/>
                <w:lang w:eastAsia="uk-UA"/>
              </w:rPr>
              <w:t>А.5.4. Збереження та реставрація  пам’яток архітектури  та історико-культурної спадщини</w:t>
            </w:r>
          </w:p>
        </w:tc>
        <w:tc>
          <w:tcPr>
            <w:tcW w:w="7655" w:type="dxa"/>
            <w:shd w:val="clear" w:color="auto" w:fill="auto"/>
          </w:tcPr>
          <w:p w14:paraId="355F44C8" w14:textId="77777777" w:rsidR="00220F90" w:rsidRPr="00C2587D" w:rsidRDefault="00220F90" w:rsidP="002E392A">
            <w:pPr>
              <w:suppressAutoHyphens/>
              <w:spacing w:before="20" w:after="20"/>
              <w:jc w:val="both"/>
              <w:rPr>
                <w:rFonts w:cs="Arial"/>
                <w:kern w:val="1"/>
                <w:sz w:val="20"/>
                <w:szCs w:val="20"/>
                <w:lang w:eastAsia="ar-SA"/>
              </w:rPr>
            </w:pPr>
            <w:r w:rsidRPr="00C2587D">
              <w:rPr>
                <w:rFonts w:cs="Arial"/>
                <w:sz w:val="20"/>
                <w:szCs w:val="20"/>
              </w:rPr>
              <w:t>А.5.4.1. Проведення інвентаризації та паспортизація пам’яток культурної спадщини.</w:t>
            </w:r>
            <w:r w:rsidRPr="00C2587D">
              <w:rPr>
                <w:rFonts w:eastAsia="Calibri" w:cs="Arial"/>
                <w:kern w:val="1"/>
                <w:sz w:val="24"/>
                <w:szCs w:val="22"/>
                <w:lang w:eastAsia="en-US"/>
              </w:rPr>
              <w:t xml:space="preserve"> </w:t>
            </w:r>
          </w:p>
          <w:p w14:paraId="22DE7018" w14:textId="77777777" w:rsidR="00220F90" w:rsidRPr="00C2587D" w:rsidRDefault="00220F90" w:rsidP="002E392A">
            <w:pPr>
              <w:suppressAutoHyphens/>
              <w:spacing w:before="20" w:after="20"/>
              <w:jc w:val="both"/>
              <w:rPr>
                <w:rFonts w:cs="Arial"/>
                <w:kern w:val="1"/>
                <w:sz w:val="20"/>
                <w:szCs w:val="20"/>
                <w:lang w:eastAsia="ar-SA"/>
              </w:rPr>
            </w:pPr>
            <w:r w:rsidRPr="00C2587D">
              <w:rPr>
                <w:rFonts w:cs="Arial"/>
                <w:sz w:val="20"/>
                <w:szCs w:val="20"/>
              </w:rPr>
              <w:t xml:space="preserve">А.5.4.2. </w:t>
            </w:r>
            <w:r w:rsidRPr="00C2587D">
              <w:rPr>
                <w:rFonts w:cs="Arial"/>
                <w:kern w:val="1"/>
                <w:sz w:val="20"/>
                <w:szCs w:val="20"/>
                <w:lang w:eastAsia="ar-SA"/>
              </w:rPr>
              <w:t>Створення реєстру історико-культурних об’єктів та об’єктів природно-заповідного фонду (пам’яток природи тощо).</w:t>
            </w:r>
          </w:p>
          <w:p w14:paraId="4A7F0E7A" w14:textId="77777777" w:rsidR="00220F90" w:rsidRPr="00C2587D" w:rsidRDefault="00220F90" w:rsidP="002E392A">
            <w:pPr>
              <w:suppressAutoHyphens/>
              <w:spacing w:before="20" w:after="20"/>
              <w:jc w:val="both"/>
              <w:rPr>
                <w:rFonts w:cs="Arial"/>
                <w:kern w:val="1"/>
                <w:sz w:val="20"/>
                <w:szCs w:val="20"/>
                <w:lang w:eastAsia="ar-SA"/>
              </w:rPr>
            </w:pPr>
            <w:r w:rsidRPr="00C2587D">
              <w:rPr>
                <w:rFonts w:cs="Arial"/>
                <w:sz w:val="20"/>
                <w:szCs w:val="20"/>
              </w:rPr>
              <w:t xml:space="preserve">А.5.4.3. </w:t>
            </w:r>
            <w:r w:rsidRPr="00C2587D">
              <w:rPr>
                <w:rFonts w:cs="Arial"/>
                <w:kern w:val="1"/>
                <w:sz w:val="20"/>
                <w:szCs w:val="20"/>
                <w:lang w:eastAsia="ar-SA"/>
              </w:rPr>
              <w:t>Відео та фото зйомка історико-культурних об’єктів та об’єктів природно-заповідного фонду (пам’яток природи тощо).</w:t>
            </w:r>
          </w:p>
          <w:p w14:paraId="075B3C49" w14:textId="77777777" w:rsidR="00220F90" w:rsidRPr="00C2587D" w:rsidRDefault="00220F90" w:rsidP="002E392A">
            <w:pPr>
              <w:suppressAutoHyphens/>
              <w:spacing w:before="20" w:after="20"/>
              <w:jc w:val="both"/>
              <w:rPr>
                <w:rFonts w:eastAsia="Lucida Sans Unicode" w:cs="Arial"/>
                <w:kern w:val="1"/>
                <w:sz w:val="20"/>
                <w:szCs w:val="20"/>
                <w:lang w:eastAsia="ar-SA"/>
              </w:rPr>
            </w:pPr>
            <w:r w:rsidRPr="00C2587D">
              <w:rPr>
                <w:rFonts w:cs="Arial"/>
                <w:sz w:val="20"/>
                <w:szCs w:val="20"/>
              </w:rPr>
              <w:t>А.5.4.4. Придбання та встановлення пам’ятного знаку в с. Межирів.</w:t>
            </w:r>
          </w:p>
          <w:p w14:paraId="52246774" w14:textId="77777777" w:rsidR="00350543" w:rsidRPr="00C2587D" w:rsidRDefault="00220F90" w:rsidP="002E392A">
            <w:pPr>
              <w:jc w:val="both"/>
              <w:rPr>
                <w:rFonts w:cs="Arial"/>
                <w:color w:val="000000"/>
                <w:sz w:val="20"/>
                <w:szCs w:val="20"/>
                <w:lang w:eastAsia="uk-UA"/>
              </w:rPr>
            </w:pPr>
            <w:r w:rsidRPr="00C2587D">
              <w:rPr>
                <w:rFonts w:cs="Arial"/>
                <w:sz w:val="20"/>
                <w:szCs w:val="20"/>
              </w:rPr>
              <w:t xml:space="preserve">А.5.4.5. </w:t>
            </w:r>
            <w:r w:rsidRPr="00C2587D">
              <w:rPr>
                <w:rFonts w:eastAsia="Calibri" w:cs="Arial"/>
                <w:sz w:val="20"/>
                <w:szCs w:val="20"/>
                <w:lang w:eastAsia="en-US"/>
              </w:rPr>
              <w:t>Складання супровідних текстів до культурно-історичних пам’яток та об’єктів природно-заповідного фонду (пам’яток природи тощо).</w:t>
            </w:r>
          </w:p>
        </w:tc>
      </w:tr>
      <w:tr w:rsidR="00EE6085" w:rsidRPr="00C2587D" w14:paraId="159E46CC" w14:textId="77777777" w:rsidTr="00CA089A">
        <w:trPr>
          <w:trHeight w:val="540"/>
        </w:trPr>
        <w:tc>
          <w:tcPr>
            <w:tcW w:w="1975" w:type="dxa"/>
            <w:vMerge w:val="restart"/>
            <w:shd w:val="clear" w:color="auto" w:fill="auto"/>
            <w:vAlign w:val="center"/>
            <w:hideMark/>
          </w:tcPr>
          <w:p w14:paraId="776EA4B9" w14:textId="77777777" w:rsidR="00EE6085" w:rsidRPr="00C2587D" w:rsidRDefault="00EE6085" w:rsidP="002E392A">
            <w:pPr>
              <w:rPr>
                <w:rFonts w:cs="Arial"/>
                <w:b/>
                <w:sz w:val="20"/>
                <w:szCs w:val="20"/>
                <w:lang w:eastAsia="uk-UA"/>
              </w:rPr>
            </w:pPr>
            <w:bookmarkStart w:id="10" w:name="_Hlk75339213"/>
            <w:bookmarkEnd w:id="8"/>
            <w:r w:rsidRPr="00C2587D">
              <w:rPr>
                <w:rFonts w:cs="Arial"/>
                <w:b/>
                <w:sz w:val="20"/>
                <w:szCs w:val="20"/>
                <w:lang w:eastAsia="uk-UA"/>
              </w:rPr>
              <w:lastRenderedPageBreak/>
              <w:t>В. Комфортна  громада</w:t>
            </w:r>
          </w:p>
        </w:tc>
        <w:tc>
          <w:tcPr>
            <w:tcW w:w="2693" w:type="dxa"/>
            <w:vMerge w:val="restart"/>
            <w:shd w:val="clear" w:color="auto" w:fill="auto"/>
            <w:vAlign w:val="center"/>
          </w:tcPr>
          <w:p w14:paraId="60A8BEC1" w14:textId="77777777" w:rsidR="00EE6085" w:rsidRPr="00C2587D" w:rsidRDefault="00EE6085" w:rsidP="002E392A">
            <w:pPr>
              <w:rPr>
                <w:rFonts w:cs="Arial"/>
                <w:b/>
                <w:sz w:val="20"/>
                <w:szCs w:val="20"/>
                <w:lang w:eastAsia="uk-UA"/>
              </w:rPr>
            </w:pPr>
            <w:r w:rsidRPr="00C2587D">
              <w:rPr>
                <w:rFonts w:cs="Arial"/>
                <w:b/>
                <w:sz w:val="20"/>
                <w:szCs w:val="20"/>
                <w:lang w:eastAsia="uk-UA"/>
              </w:rPr>
              <w:t>В.1. Покращення  технічної інфраструктури та благоустрою громади</w:t>
            </w:r>
          </w:p>
          <w:p w14:paraId="44AAE43B" w14:textId="77777777" w:rsidR="00EE6085" w:rsidRPr="00C2587D" w:rsidRDefault="00EE6085" w:rsidP="002E392A">
            <w:pPr>
              <w:rPr>
                <w:rFonts w:cs="Arial"/>
                <w:color w:val="000000"/>
                <w:sz w:val="20"/>
                <w:szCs w:val="20"/>
                <w:lang w:eastAsia="uk-UA"/>
              </w:rPr>
            </w:pPr>
          </w:p>
        </w:tc>
        <w:tc>
          <w:tcPr>
            <w:tcW w:w="2840" w:type="dxa"/>
            <w:shd w:val="clear" w:color="auto" w:fill="auto"/>
            <w:vAlign w:val="center"/>
          </w:tcPr>
          <w:p w14:paraId="03B60CB0" w14:textId="77777777" w:rsidR="00EE6085" w:rsidRPr="00C2587D" w:rsidRDefault="00EE6085" w:rsidP="002E392A">
            <w:pPr>
              <w:widowControl w:val="0"/>
              <w:tabs>
                <w:tab w:val="left" w:pos="0"/>
                <w:tab w:val="left" w:pos="720"/>
              </w:tabs>
              <w:autoSpaceDE w:val="0"/>
              <w:autoSpaceDN w:val="0"/>
              <w:adjustRightInd w:val="0"/>
              <w:rPr>
                <w:rFonts w:cs="Arial"/>
                <w:bCs/>
                <w:sz w:val="20"/>
                <w:szCs w:val="20"/>
              </w:rPr>
            </w:pPr>
            <w:r w:rsidRPr="00C2587D">
              <w:rPr>
                <w:rFonts w:cs="Arial"/>
                <w:bCs/>
                <w:sz w:val="20"/>
                <w:szCs w:val="20"/>
              </w:rPr>
              <w:t>В.1.1. Розбудова дорожньої інфраструктури</w:t>
            </w:r>
          </w:p>
          <w:p w14:paraId="7A115B54" w14:textId="77777777" w:rsidR="00EE6085" w:rsidRPr="00C2587D" w:rsidRDefault="00EE6085" w:rsidP="002E392A">
            <w:pPr>
              <w:rPr>
                <w:rFonts w:cs="Arial"/>
                <w:bCs/>
                <w:color w:val="000000"/>
                <w:sz w:val="20"/>
                <w:szCs w:val="20"/>
                <w:lang w:eastAsia="uk-UA"/>
              </w:rPr>
            </w:pPr>
          </w:p>
        </w:tc>
        <w:tc>
          <w:tcPr>
            <w:tcW w:w="7655" w:type="dxa"/>
            <w:shd w:val="clear" w:color="auto" w:fill="auto"/>
          </w:tcPr>
          <w:p w14:paraId="06E9A9D8" w14:textId="77777777" w:rsidR="004A4D12" w:rsidRPr="00C2587D" w:rsidRDefault="004A4D12"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В.1.1.1. Створення реєстру пріоритетності проведення капітальних ремонтних робіт та будівництва доріг.</w:t>
            </w:r>
          </w:p>
          <w:p w14:paraId="4D256E8D" w14:textId="77777777" w:rsidR="004A4D12" w:rsidRPr="00C2587D" w:rsidRDefault="004A4D12"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В.1.1.2. Розробка ПКД.</w:t>
            </w:r>
          </w:p>
          <w:p w14:paraId="300F0212" w14:textId="77777777" w:rsidR="004A4D12" w:rsidRPr="00C2587D" w:rsidRDefault="004A4D12"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 xml:space="preserve">В.1.1.3. Проведення будівництва, реконструкції та капітального ремонту дорожнього покриття вулиць  та тротуарів в населених пунктах територіальної громади. </w:t>
            </w:r>
          </w:p>
          <w:p w14:paraId="4ACF4721" w14:textId="77777777" w:rsidR="004A4D12" w:rsidRPr="00C2587D" w:rsidRDefault="004A4D12"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В.1.1.4. Будівництво тротуарних доріжок та велодоріжок.</w:t>
            </w:r>
          </w:p>
          <w:p w14:paraId="0CE8879F" w14:textId="77777777" w:rsidR="004A4D12" w:rsidRPr="00C2587D" w:rsidRDefault="004A4D12"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В.1.1.5. Облаштування місць для паркування автомобілів.</w:t>
            </w:r>
          </w:p>
          <w:p w14:paraId="4FA78EF1" w14:textId="77777777" w:rsidR="004A4D12" w:rsidRPr="00C2587D" w:rsidRDefault="004A4D12"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В.1.1.6. Облаштування велопарковок.</w:t>
            </w:r>
          </w:p>
          <w:p w14:paraId="6A238585" w14:textId="4EB39DAE" w:rsidR="004A4D12" w:rsidRPr="00C2587D" w:rsidRDefault="00622E9B" w:rsidP="002E392A">
            <w:pPr>
              <w:suppressAutoHyphens/>
              <w:spacing w:before="20" w:after="20"/>
              <w:jc w:val="both"/>
              <w:rPr>
                <w:rFonts w:eastAsia="Lucida Sans Unicode" w:cs="Arial"/>
                <w:kern w:val="1"/>
                <w:sz w:val="20"/>
                <w:szCs w:val="20"/>
                <w:lang w:eastAsia="ar-SA"/>
              </w:rPr>
            </w:pPr>
            <w:r>
              <w:rPr>
                <w:rFonts w:eastAsia="Lucida Sans Unicode" w:cs="Arial"/>
                <w:kern w:val="1"/>
                <w:sz w:val="20"/>
                <w:szCs w:val="20"/>
                <w:lang w:eastAsia="ar-SA"/>
              </w:rPr>
              <w:t>В.1.1.7. Подання проє</w:t>
            </w:r>
            <w:r w:rsidR="004A4D12" w:rsidRPr="00C2587D">
              <w:rPr>
                <w:rFonts w:eastAsia="Lucida Sans Unicode" w:cs="Arial"/>
                <w:kern w:val="1"/>
                <w:sz w:val="20"/>
                <w:szCs w:val="20"/>
                <w:lang w:eastAsia="ar-SA"/>
              </w:rPr>
              <w:t xml:space="preserve">ктів пов’язаних з будівництвом, реконструкцією, ремонтом і утриманням автомобільних доріг на фінансування з Дорожнього фонду. </w:t>
            </w:r>
          </w:p>
          <w:p w14:paraId="6FC63494" w14:textId="539FAB30" w:rsidR="004A4D12" w:rsidRPr="00C2587D" w:rsidRDefault="001B402D"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В.1.1.8. Будівництво</w:t>
            </w:r>
            <w:r w:rsidR="004A4D12" w:rsidRPr="00C2587D">
              <w:rPr>
                <w:rFonts w:eastAsia="Lucida Sans Unicode" w:cs="Arial"/>
                <w:kern w:val="1"/>
                <w:sz w:val="20"/>
                <w:szCs w:val="20"/>
                <w:lang w:eastAsia="ar-SA"/>
              </w:rPr>
              <w:t xml:space="preserve"> мереж закритої дощової каналізації.</w:t>
            </w:r>
          </w:p>
          <w:p w14:paraId="21DBF5DF" w14:textId="7B52E214" w:rsidR="004A4D12" w:rsidRPr="00C2587D" w:rsidRDefault="004A4D12"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 xml:space="preserve">В.1.1.9. При проведені капітального ремонту дорожнього покриття, планувати роботи в комплексі, а саме передбачати роботи по заміні старих комунікаційних мереж водопостачання та водовідведення, при можливості </w:t>
            </w:r>
            <w:r w:rsidR="00314B9D">
              <w:rPr>
                <w:rFonts w:eastAsia="Lucida Sans Unicode" w:cs="Arial"/>
                <w:kern w:val="1"/>
                <w:sz w:val="20"/>
                <w:szCs w:val="20"/>
                <w:lang w:eastAsia="ar-SA"/>
              </w:rPr>
              <w:t>проєкту</w:t>
            </w:r>
            <w:r w:rsidRPr="00C2587D">
              <w:rPr>
                <w:rFonts w:eastAsia="Lucida Sans Unicode" w:cs="Arial"/>
                <w:kern w:val="1"/>
                <w:sz w:val="20"/>
                <w:szCs w:val="20"/>
                <w:lang w:eastAsia="ar-SA"/>
              </w:rPr>
              <w:t xml:space="preserve">вати їх на зелених зонах.   </w:t>
            </w:r>
          </w:p>
          <w:p w14:paraId="0E743944" w14:textId="0DDAFDC3" w:rsidR="004A4D12" w:rsidRPr="00C2587D" w:rsidRDefault="004A4D12"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В.1.1.10. Будівництво об’їзної дороги навколо м. Жмеринка</w:t>
            </w:r>
            <w:r w:rsidR="00B94801" w:rsidRPr="00C2587D">
              <w:rPr>
                <w:rFonts w:eastAsia="Lucida Sans Unicode" w:cs="Arial"/>
                <w:kern w:val="1"/>
                <w:sz w:val="20"/>
                <w:szCs w:val="20"/>
                <w:lang w:eastAsia="ar-SA"/>
              </w:rPr>
              <w:t>,</w:t>
            </w:r>
            <w:r w:rsidRPr="00C2587D">
              <w:rPr>
                <w:rFonts w:eastAsia="Lucida Sans Unicode" w:cs="Arial"/>
                <w:kern w:val="1"/>
                <w:sz w:val="20"/>
                <w:szCs w:val="20"/>
                <w:lang w:eastAsia="ar-SA"/>
              </w:rPr>
              <w:t xml:space="preserve"> яка сполучатиме міжнародну трасу М21 в районі між селами Коростівці та Слобода Носківецька з дорогою територіального значення Т0218 в районі між селами Мала Жмеринка та Станіславчик.</w:t>
            </w:r>
          </w:p>
          <w:p w14:paraId="1BC5A399" w14:textId="44C031C0" w:rsidR="004A4D12" w:rsidRPr="00C2587D" w:rsidRDefault="004A4D12"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В.1.1.11. Капітальний ремонт, реконструкція автошляхів</w:t>
            </w:r>
            <w:r w:rsidR="00BB31D0" w:rsidRPr="00C2587D">
              <w:rPr>
                <w:rFonts w:eastAsia="Lucida Sans Unicode" w:cs="Arial"/>
                <w:kern w:val="1"/>
                <w:sz w:val="20"/>
                <w:szCs w:val="20"/>
                <w:lang w:eastAsia="ar-SA"/>
              </w:rPr>
              <w:t>,</w:t>
            </w:r>
            <w:r w:rsidRPr="00C2587D">
              <w:rPr>
                <w:rFonts w:eastAsia="Lucida Sans Unicode" w:cs="Arial"/>
                <w:kern w:val="1"/>
                <w:sz w:val="20"/>
                <w:szCs w:val="20"/>
                <w:lang w:eastAsia="ar-SA"/>
              </w:rPr>
              <w:t xml:space="preserve"> що з’єднують сільські населені пункти і місто, як центр територіальної громади.</w:t>
            </w:r>
          </w:p>
          <w:p w14:paraId="0821D969" w14:textId="77777777" w:rsidR="00EE6085" w:rsidRPr="00C2587D" w:rsidRDefault="004A4D12" w:rsidP="002E392A">
            <w:pPr>
              <w:jc w:val="both"/>
              <w:rPr>
                <w:rFonts w:cs="Arial"/>
                <w:color w:val="000000"/>
                <w:sz w:val="20"/>
                <w:szCs w:val="20"/>
                <w:lang w:eastAsia="uk-UA"/>
              </w:rPr>
            </w:pPr>
            <w:r w:rsidRPr="00C2587D">
              <w:rPr>
                <w:rFonts w:eastAsia="Lucida Sans Unicode" w:cs="Arial"/>
                <w:kern w:val="1"/>
                <w:sz w:val="20"/>
                <w:szCs w:val="20"/>
                <w:lang w:eastAsia="ar-SA"/>
              </w:rPr>
              <w:t xml:space="preserve">В.1.1.12. </w:t>
            </w:r>
            <w:r w:rsidRPr="00C2587D">
              <w:rPr>
                <w:rFonts w:cs="Arial"/>
                <w:sz w:val="20"/>
                <w:szCs w:val="20"/>
              </w:rPr>
              <w:t>Ініціювання дій щодо визначення балансової приналежності шляхопроводів на території м. Жмеринка.</w:t>
            </w:r>
          </w:p>
        </w:tc>
      </w:tr>
      <w:tr w:rsidR="00EE6085" w:rsidRPr="00C2587D" w14:paraId="1FFC5BAB" w14:textId="77777777" w:rsidTr="00CA089A">
        <w:trPr>
          <w:trHeight w:val="378"/>
        </w:trPr>
        <w:tc>
          <w:tcPr>
            <w:tcW w:w="1975" w:type="dxa"/>
            <w:vMerge/>
            <w:vAlign w:val="center"/>
            <w:hideMark/>
          </w:tcPr>
          <w:p w14:paraId="740EB5AE" w14:textId="77777777" w:rsidR="00EE6085" w:rsidRPr="00C2587D" w:rsidRDefault="00EE6085" w:rsidP="002E392A">
            <w:pPr>
              <w:rPr>
                <w:rFonts w:cs="Arial"/>
                <w:b/>
                <w:sz w:val="20"/>
                <w:szCs w:val="20"/>
                <w:lang w:eastAsia="uk-UA"/>
              </w:rPr>
            </w:pPr>
          </w:p>
        </w:tc>
        <w:tc>
          <w:tcPr>
            <w:tcW w:w="2693" w:type="dxa"/>
            <w:vMerge/>
            <w:vAlign w:val="center"/>
          </w:tcPr>
          <w:p w14:paraId="735CCF8A" w14:textId="77777777" w:rsidR="00EE6085" w:rsidRPr="00C2587D" w:rsidRDefault="00EE6085" w:rsidP="002E392A">
            <w:pPr>
              <w:rPr>
                <w:rFonts w:cs="Arial"/>
                <w:color w:val="000000"/>
                <w:sz w:val="20"/>
                <w:szCs w:val="20"/>
                <w:lang w:eastAsia="uk-UA"/>
              </w:rPr>
            </w:pPr>
          </w:p>
        </w:tc>
        <w:tc>
          <w:tcPr>
            <w:tcW w:w="2840" w:type="dxa"/>
            <w:shd w:val="clear" w:color="auto" w:fill="auto"/>
            <w:vAlign w:val="center"/>
          </w:tcPr>
          <w:p w14:paraId="243C7720" w14:textId="77777777" w:rsidR="00EE6085" w:rsidRPr="00C2587D" w:rsidRDefault="00EE6085" w:rsidP="002E392A">
            <w:pPr>
              <w:rPr>
                <w:rFonts w:cs="Arial"/>
                <w:bCs/>
                <w:color w:val="000000"/>
                <w:sz w:val="20"/>
                <w:szCs w:val="20"/>
                <w:lang w:eastAsia="uk-UA"/>
              </w:rPr>
            </w:pPr>
            <w:r w:rsidRPr="00C2587D">
              <w:rPr>
                <w:rFonts w:cs="Arial"/>
                <w:bCs/>
                <w:sz w:val="20"/>
                <w:szCs w:val="20"/>
                <w:lang w:eastAsia="uk-UA"/>
              </w:rPr>
              <w:t>В.1.2. Розвиток громадських просторів та благоустрій громади</w:t>
            </w:r>
          </w:p>
        </w:tc>
        <w:tc>
          <w:tcPr>
            <w:tcW w:w="7655" w:type="dxa"/>
            <w:shd w:val="clear" w:color="auto" w:fill="auto"/>
          </w:tcPr>
          <w:p w14:paraId="3EB2D4A0" w14:textId="77777777" w:rsidR="007F099C" w:rsidRPr="00C2587D" w:rsidRDefault="007F099C"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В.1.2.1. Розвиток комфортного вуличного простору шляхом реконструкції площ, парків, пішохідних алей, скверів, набережних, зелених зон. На даних об’єктах передбачити поєднання сучасного архітектурного середовища та ландшафту, вільні зони WI-FI,  встановлення дитячих, спортивних майданчиків з відповідним покриттям, облаштування скейт-парків, будівництво фонтанів, зонування територій відпочинку, з метою врахування потреб різних верств населення.</w:t>
            </w:r>
          </w:p>
          <w:p w14:paraId="6D93DB55" w14:textId="1FC1D004" w:rsidR="007F099C" w:rsidRPr="00C2587D" w:rsidRDefault="007F099C"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В.1.2.2. Створення комфортних санітарних умов перебування на територіях загального користув</w:t>
            </w:r>
            <w:r w:rsidR="00EF7E16" w:rsidRPr="00C2587D">
              <w:rPr>
                <w:rFonts w:eastAsia="Lucida Sans Unicode" w:cs="Arial"/>
                <w:kern w:val="1"/>
                <w:sz w:val="20"/>
                <w:szCs w:val="20"/>
                <w:lang w:eastAsia="ar-SA"/>
              </w:rPr>
              <w:t>ання (мережа громадських вбирале</w:t>
            </w:r>
            <w:r w:rsidRPr="00C2587D">
              <w:rPr>
                <w:rFonts w:eastAsia="Lucida Sans Unicode" w:cs="Arial"/>
                <w:kern w:val="1"/>
                <w:sz w:val="20"/>
                <w:szCs w:val="20"/>
                <w:lang w:eastAsia="ar-SA"/>
              </w:rPr>
              <w:t>нь).</w:t>
            </w:r>
          </w:p>
          <w:p w14:paraId="5C524A95" w14:textId="77777777" w:rsidR="007F099C" w:rsidRPr="00C2587D" w:rsidRDefault="007F099C"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В.1.2.3. Облаштування в парках зон активності для усіх вікових груп.</w:t>
            </w:r>
          </w:p>
          <w:p w14:paraId="5C0415F6" w14:textId="77777777" w:rsidR="007F099C" w:rsidRPr="00C2587D" w:rsidRDefault="007F099C"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В.1.2.4. Збільшення площі зелених насаджень міста, смт.Браїлів та інших сільських населених пунктів.</w:t>
            </w:r>
          </w:p>
          <w:p w14:paraId="23CB646C" w14:textId="77777777" w:rsidR="00CB55AF" w:rsidRPr="00C2587D" w:rsidRDefault="00CB55AF"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В.1.2.5. Поводження з безпритульними тваринами.</w:t>
            </w:r>
          </w:p>
          <w:p w14:paraId="4CD845D8" w14:textId="77777777" w:rsidR="00EE6085" w:rsidRPr="00C2587D" w:rsidRDefault="007F099C" w:rsidP="002E392A">
            <w:pPr>
              <w:jc w:val="both"/>
              <w:rPr>
                <w:rFonts w:cs="Arial"/>
                <w:color w:val="000000"/>
                <w:sz w:val="20"/>
                <w:szCs w:val="20"/>
                <w:lang w:eastAsia="uk-UA"/>
              </w:rPr>
            </w:pPr>
            <w:r w:rsidRPr="00C2587D">
              <w:rPr>
                <w:rFonts w:eastAsia="Lucida Sans Unicode" w:cs="Arial"/>
                <w:kern w:val="1"/>
                <w:sz w:val="20"/>
                <w:szCs w:val="20"/>
                <w:lang w:eastAsia="ar-SA"/>
              </w:rPr>
              <w:t xml:space="preserve">В.1.2.5. </w:t>
            </w:r>
            <w:r w:rsidRPr="00C2587D">
              <w:rPr>
                <w:rFonts w:cs="Arial"/>
                <w:sz w:val="20"/>
                <w:szCs w:val="20"/>
              </w:rPr>
              <w:t>Стерилізація та контроль за безпритульними тваринами.</w:t>
            </w:r>
          </w:p>
        </w:tc>
      </w:tr>
      <w:tr w:rsidR="00EE6085" w:rsidRPr="00C2587D" w14:paraId="65C41901" w14:textId="77777777" w:rsidTr="00CA089A">
        <w:trPr>
          <w:trHeight w:val="1214"/>
        </w:trPr>
        <w:tc>
          <w:tcPr>
            <w:tcW w:w="1975" w:type="dxa"/>
            <w:vMerge/>
            <w:vAlign w:val="center"/>
          </w:tcPr>
          <w:p w14:paraId="2F556DB0" w14:textId="77777777" w:rsidR="00EE6085" w:rsidRPr="00C2587D" w:rsidRDefault="00EE6085" w:rsidP="002E392A">
            <w:pPr>
              <w:rPr>
                <w:rFonts w:cs="Arial"/>
                <w:b/>
                <w:sz w:val="20"/>
                <w:szCs w:val="20"/>
                <w:lang w:eastAsia="uk-UA"/>
              </w:rPr>
            </w:pPr>
          </w:p>
        </w:tc>
        <w:tc>
          <w:tcPr>
            <w:tcW w:w="2693" w:type="dxa"/>
            <w:vMerge/>
            <w:vAlign w:val="center"/>
          </w:tcPr>
          <w:p w14:paraId="7B5DC61C" w14:textId="77777777" w:rsidR="00EE6085" w:rsidRPr="00C2587D" w:rsidRDefault="00EE6085" w:rsidP="002E392A">
            <w:pPr>
              <w:rPr>
                <w:rFonts w:cs="Arial"/>
                <w:color w:val="000000"/>
                <w:sz w:val="20"/>
                <w:szCs w:val="20"/>
                <w:lang w:eastAsia="uk-UA"/>
              </w:rPr>
            </w:pPr>
          </w:p>
        </w:tc>
        <w:tc>
          <w:tcPr>
            <w:tcW w:w="2840" w:type="dxa"/>
            <w:shd w:val="clear" w:color="auto" w:fill="auto"/>
            <w:vAlign w:val="center"/>
          </w:tcPr>
          <w:p w14:paraId="23D0CBBC" w14:textId="77777777" w:rsidR="00EE6085" w:rsidRPr="00C2587D" w:rsidRDefault="00EE6085" w:rsidP="002E392A">
            <w:pPr>
              <w:rPr>
                <w:rFonts w:cs="Arial"/>
                <w:bCs/>
                <w:sz w:val="20"/>
                <w:szCs w:val="20"/>
                <w:lang w:eastAsia="uk-UA"/>
              </w:rPr>
            </w:pPr>
            <w:r w:rsidRPr="00C2587D">
              <w:rPr>
                <w:rFonts w:cs="Arial"/>
                <w:bCs/>
                <w:sz w:val="20"/>
                <w:szCs w:val="20"/>
              </w:rPr>
              <w:t>В.1.3 Модернізація інженерних мереж</w:t>
            </w:r>
          </w:p>
        </w:tc>
        <w:tc>
          <w:tcPr>
            <w:tcW w:w="7655" w:type="dxa"/>
            <w:shd w:val="clear" w:color="auto" w:fill="auto"/>
          </w:tcPr>
          <w:p w14:paraId="1C24B375" w14:textId="77777777" w:rsidR="000B0DC4" w:rsidRPr="00C2587D" w:rsidRDefault="000B0DC4"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 xml:space="preserve">В.1.3.1. Будівництво нових, реконструкція, капітальний ремонт, модернізація мереж централізованої системи водопостачання, водовідведення та каналізації. </w:t>
            </w:r>
          </w:p>
          <w:p w14:paraId="47053FE8" w14:textId="77777777" w:rsidR="000B0DC4" w:rsidRPr="00C2587D" w:rsidRDefault="000B0DC4"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В.1.3.2. Реконструкція, модернізація та капітальний ремонт  очисних споруд каналізації.</w:t>
            </w:r>
            <w:r w:rsidRPr="00C2587D">
              <w:rPr>
                <w:rFonts w:eastAsia="Calibri" w:cs="Arial"/>
                <w:kern w:val="1"/>
                <w:sz w:val="20"/>
                <w:szCs w:val="20"/>
                <w:shd w:val="clear" w:color="auto" w:fill="FFFFFF"/>
                <w:lang w:eastAsia="ar-SA"/>
              </w:rPr>
              <w:t xml:space="preserve"> </w:t>
            </w:r>
          </w:p>
          <w:p w14:paraId="2F718E29" w14:textId="77777777" w:rsidR="000B0DC4" w:rsidRPr="00C2587D" w:rsidRDefault="000B0DC4"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В.1.3.</w:t>
            </w:r>
            <w:r w:rsidR="00101981" w:rsidRPr="00C2587D">
              <w:rPr>
                <w:rFonts w:eastAsia="Lucida Sans Unicode" w:cs="Arial"/>
                <w:kern w:val="1"/>
                <w:sz w:val="20"/>
                <w:szCs w:val="20"/>
                <w:lang w:eastAsia="ar-SA"/>
              </w:rPr>
              <w:t>3</w:t>
            </w:r>
            <w:r w:rsidRPr="00C2587D">
              <w:rPr>
                <w:rFonts w:eastAsia="Lucida Sans Unicode" w:cs="Arial"/>
                <w:kern w:val="1"/>
                <w:sz w:val="20"/>
                <w:szCs w:val="20"/>
                <w:lang w:eastAsia="ar-SA"/>
              </w:rPr>
              <w:t>. Реконструкція головної насосної станції м. Жмеринка.</w:t>
            </w:r>
          </w:p>
          <w:p w14:paraId="32677D6F" w14:textId="2FAE48B0" w:rsidR="000B0DC4" w:rsidRPr="00C2587D" w:rsidRDefault="000B0DC4"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В.1.3.</w:t>
            </w:r>
            <w:r w:rsidR="00101981" w:rsidRPr="00C2587D">
              <w:rPr>
                <w:rFonts w:eastAsia="Lucida Sans Unicode" w:cs="Arial"/>
                <w:kern w:val="1"/>
                <w:sz w:val="20"/>
                <w:szCs w:val="20"/>
                <w:lang w:eastAsia="ar-SA"/>
              </w:rPr>
              <w:t>4</w:t>
            </w:r>
            <w:r w:rsidRPr="00C2587D">
              <w:rPr>
                <w:rFonts w:eastAsia="Lucida Sans Unicode" w:cs="Arial"/>
                <w:kern w:val="1"/>
                <w:sz w:val="20"/>
                <w:szCs w:val="20"/>
                <w:lang w:eastAsia="ar-SA"/>
              </w:rPr>
              <w:t>. Капітальний ремонт нап</w:t>
            </w:r>
            <w:r w:rsidR="00F269CF" w:rsidRPr="00C2587D">
              <w:rPr>
                <w:rFonts w:eastAsia="Lucida Sans Unicode" w:cs="Arial"/>
                <w:kern w:val="1"/>
                <w:sz w:val="20"/>
                <w:szCs w:val="20"/>
                <w:lang w:eastAsia="ar-SA"/>
              </w:rPr>
              <w:t>ірного каналізаційного колектору</w:t>
            </w:r>
            <w:r w:rsidRPr="00C2587D">
              <w:rPr>
                <w:rFonts w:eastAsia="Lucida Sans Unicode" w:cs="Arial"/>
                <w:kern w:val="1"/>
                <w:sz w:val="20"/>
                <w:szCs w:val="20"/>
                <w:lang w:eastAsia="ar-SA"/>
              </w:rPr>
              <w:t>.</w:t>
            </w:r>
          </w:p>
          <w:p w14:paraId="4743CA30" w14:textId="77777777" w:rsidR="000B0DC4" w:rsidRPr="00C2587D" w:rsidRDefault="000B0DC4"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В.1.3.</w:t>
            </w:r>
            <w:r w:rsidR="00101981" w:rsidRPr="00C2587D">
              <w:rPr>
                <w:rFonts w:eastAsia="Lucida Sans Unicode" w:cs="Arial"/>
                <w:kern w:val="1"/>
                <w:sz w:val="20"/>
                <w:szCs w:val="20"/>
                <w:lang w:eastAsia="ar-SA"/>
              </w:rPr>
              <w:t>5</w:t>
            </w:r>
            <w:r w:rsidRPr="00C2587D">
              <w:rPr>
                <w:rFonts w:eastAsia="Lucida Sans Unicode" w:cs="Arial"/>
                <w:kern w:val="1"/>
                <w:sz w:val="20"/>
                <w:szCs w:val="20"/>
                <w:lang w:eastAsia="ar-SA"/>
              </w:rPr>
              <w:t>. Заміна обладнання насосних станцій.</w:t>
            </w:r>
          </w:p>
          <w:p w14:paraId="0EB07C7E" w14:textId="7E675E1C" w:rsidR="000B0DC4" w:rsidRPr="00C2587D" w:rsidRDefault="000B0DC4"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В.1.3.</w:t>
            </w:r>
            <w:r w:rsidR="00101981" w:rsidRPr="00C2587D">
              <w:rPr>
                <w:rFonts w:eastAsia="Lucida Sans Unicode" w:cs="Arial"/>
                <w:kern w:val="1"/>
                <w:sz w:val="20"/>
                <w:szCs w:val="20"/>
                <w:lang w:eastAsia="ar-SA"/>
              </w:rPr>
              <w:t>6</w:t>
            </w:r>
            <w:r w:rsidRPr="00C2587D">
              <w:rPr>
                <w:rFonts w:eastAsia="Lucida Sans Unicode" w:cs="Arial"/>
                <w:kern w:val="1"/>
                <w:sz w:val="20"/>
                <w:szCs w:val="20"/>
                <w:lang w:eastAsia="ar-SA"/>
              </w:rPr>
              <w:t>. Заміна застарілого та ене</w:t>
            </w:r>
            <w:r w:rsidR="00F269CF" w:rsidRPr="00C2587D">
              <w:rPr>
                <w:rFonts w:eastAsia="Lucida Sans Unicode" w:cs="Arial"/>
                <w:kern w:val="1"/>
                <w:sz w:val="20"/>
                <w:szCs w:val="20"/>
                <w:lang w:eastAsia="ar-SA"/>
              </w:rPr>
              <w:t>ргоємного насосного обладнання н</w:t>
            </w:r>
            <w:r w:rsidRPr="00C2587D">
              <w:rPr>
                <w:rFonts w:eastAsia="Lucida Sans Unicode" w:cs="Arial"/>
                <w:kern w:val="1"/>
                <w:sz w:val="20"/>
                <w:szCs w:val="20"/>
                <w:lang w:eastAsia="ar-SA"/>
              </w:rPr>
              <w:t>а нове та сучасне.</w:t>
            </w:r>
          </w:p>
          <w:p w14:paraId="23A49437" w14:textId="77777777" w:rsidR="000B0DC4" w:rsidRPr="00C2587D" w:rsidRDefault="000B0DC4"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В.1.3.</w:t>
            </w:r>
            <w:r w:rsidR="00101981" w:rsidRPr="00C2587D">
              <w:rPr>
                <w:rFonts w:eastAsia="Lucida Sans Unicode" w:cs="Arial"/>
                <w:kern w:val="1"/>
                <w:sz w:val="20"/>
                <w:szCs w:val="20"/>
                <w:lang w:eastAsia="ar-SA"/>
              </w:rPr>
              <w:t>7</w:t>
            </w:r>
            <w:r w:rsidRPr="00C2587D">
              <w:rPr>
                <w:rFonts w:eastAsia="Lucida Sans Unicode" w:cs="Arial"/>
                <w:kern w:val="1"/>
                <w:sz w:val="20"/>
                <w:szCs w:val="20"/>
                <w:lang w:eastAsia="ar-SA"/>
              </w:rPr>
              <w:t>. Проведення капітальних ремонтів головних водопровідних мереж громади.</w:t>
            </w:r>
          </w:p>
          <w:p w14:paraId="7BD6BC6C" w14:textId="77777777" w:rsidR="000B0DC4" w:rsidRPr="00C2587D" w:rsidRDefault="000B0DC4"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В.1.3.</w:t>
            </w:r>
            <w:r w:rsidR="00101981" w:rsidRPr="00C2587D">
              <w:rPr>
                <w:rFonts w:eastAsia="Lucida Sans Unicode" w:cs="Arial"/>
                <w:kern w:val="1"/>
                <w:sz w:val="20"/>
                <w:szCs w:val="20"/>
                <w:lang w:eastAsia="ar-SA"/>
              </w:rPr>
              <w:t>8</w:t>
            </w:r>
            <w:r w:rsidRPr="00C2587D">
              <w:rPr>
                <w:rFonts w:eastAsia="Lucida Sans Unicode" w:cs="Arial"/>
                <w:kern w:val="1"/>
                <w:sz w:val="20"/>
                <w:szCs w:val="20"/>
                <w:lang w:eastAsia="ar-SA"/>
              </w:rPr>
              <w:t>. Придбання сучасної спеціалізованої техніки для обслуговування водопровідно-каналізаційних мереж громади.</w:t>
            </w:r>
          </w:p>
          <w:p w14:paraId="78076F25" w14:textId="77777777" w:rsidR="000B0DC4" w:rsidRPr="00C2587D" w:rsidRDefault="000B0DC4"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В.1.3.</w:t>
            </w:r>
            <w:r w:rsidR="00101981" w:rsidRPr="00C2587D">
              <w:rPr>
                <w:rFonts w:eastAsia="Lucida Sans Unicode" w:cs="Arial"/>
                <w:kern w:val="1"/>
                <w:sz w:val="20"/>
                <w:szCs w:val="20"/>
                <w:lang w:eastAsia="ar-SA"/>
              </w:rPr>
              <w:t>9</w:t>
            </w:r>
            <w:r w:rsidRPr="00C2587D">
              <w:rPr>
                <w:rFonts w:eastAsia="Lucida Sans Unicode" w:cs="Arial"/>
                <w:kern w:val="1"/>
                <w:sz w:val="20"/>
                <w:szCs w:val="20"/>
                <w:lang w:eastAsia="ar-SA"/>
              </w:rPr>
              <w:t>. Реконструкція, капітальний ремонт  та модернізація мереж теплопостачання.</w:t>
            </w:r>
          </w:p>
          <w:p w14:paraId="503FDEA5" w14:textId="77777777" w:rsidR="000B0DC4" w:rsidRPr="00C2587D" w:rsidRDefault="000B0DC4"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В.1.3.</w:t>
            </w:r>
            <w:r w:rsidR="00101981" w:rsidRPr="00C2587D">
              <w:rPr>
                <w:rFonts w:eastAsia="Lucida Sans Unicode" w:cs="Arial"/>
                <w:kern w:val="1"/>
                <w:sz w:val="20"/>
                <w:szCs w:val="20"/>
                <w:lang w:eastAsia="ar-SA"/>
              </w:rPr>
              <w:t>10</w:t>
            </w:r>
            <w:r w:rsidRPr="00C2587D">
              <w:rPr>
                <w:rFonts w:eastAsia="Lucida Sans Unicode" w:cs="Arial"/>
                <w:kern w:val="1"/>
                <w:sz w:val="20"/>
                <w:szCs w:val="20"/>
                <w:lang w:eastAsia="ar-SA"/>
              </w:rPr>
              <w:t>. Модернізація та розбудова системи зовнішнього освітлення із застосуванням альтернативних джерел енергії, на основі світлодіодних світильників.</w:t>
            </w:r>
          </w:p>
          <w:p w14:paraId="3D4D31B0" w14:textId="77777777" w:rsidR="000B0DC4" w:rsidRPr="00C2587D" w:rsidRDefault="000B0DC4"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В.1.3.</w:t>
            </w:r>
            <w:r w:rsidR="00101981" w:rsidRPr="00C2587D">
              <w:rPr>
                <w:rFonts w:eastAsia="Lucida Sans Unicode" w:cs="Arial"/>
                <w:kern w:val="1"/>
                <w:sz w:val="20"/>
                <w:szCs w:val="20"/>
                <w:lang w:eastAsia="ar-SA"/>
              </w:rPr>
              <w:t>11</w:t>
            </w:r>
            <w:r w:rsidRPr="00C2587D">
              <w:rPr>
                <w:rFonts w:eastAsia="Lucida Sans Unicode" w:cs="Arial"/>
                <w:kern w:val="1"/>
                <w:sz w:val="20"/>
                <w:szCs w:val="20"/>
                <w:lang w:eastAsia="ar-SA"/>
              </w:rPr>
              <w:t>. Формування системи освітлення з врахуванням гендерно-безпекових потреб мешканців міського та сільського населення.</w:t>
            </w:r>
          </w:p>
          <w:p w14:paraId="55780D4B" w14:textId="6F426CB3" w:rsidR="000B0DC4" w:rsidRPr="00C2587D" w:rsidRDefault="000B0DC4" w:rsidP="002E392A">
            <w:pPr>
              <w:contextualSpacing/>
              <w:jc w:val="both"/>
              <w:rPr>
                <w:rFonts w:eastAsia="Lucida Sans Unicode" w:cs="Arial"/>
                <w:kern w:val="1"/>
                <w:sz w:val="20"/>
                <w:szCs w:val="20"/>
                <w:lang w:eastAsia="ar-SA"/>
              </w:rPr>
            </w:pPr>
            <w:r w:rsidRPr="00C2587D">
              <w:rPr>
                <w:rFonts w:eastAsia="Lucida Sans Unicode" w:cs="Arial"/>
                <w:kern w:val="1"/>
                <w:sz w:val="20"/>
                <w:szCs w:val="20"/>
                <w:lang w:eastAsia="ar-SA"/>
              </w:rPr>
              <w:t>В.1.3.</w:t>
            </w:r>
            <w:r w:rsidR="00101981" w:rsidRPr="00C2587D">
              <w:rPr>
                <w:rFonts w:eastAsia="Lucida Sans Unicode" w:cs="Arial"/>
                <w:kern w:val="1"/>
                <w:sz w:val="20"/>
                <w:szCs w:val="20"/>
                <w:lang w:eastAsia="ar-SA"/>
              </w:rPr>
              <w:t>12</w:t>
            </w:r>
            <w:r w:rsidRPr="00C2587D">
              <w:rPr>
                <w:rFonts w:eastAsia="Lucida Sans Unicode" w:cs="Arial"/>
                <w:kern w:val="1"/>
                <w:sz w:val="20"/>
                <w:szCs w:val="20"/>
                <w:lang w:eastAsia="ar-SA"/>
              </w:rPr>
              <w:t>. Будівництв</w:t>
            </w:r>
            <w:r w:rsidR="00B02DBF" w:rsidRPr="00C2587D">
              <w:rPr>
                <w:rFonts w:eastAsia="Lucida Sans Unicode" w:cs="Arial"/>
                <w:kern w:val="1"/>
                <w:sz w:val="20"/>
                <w:szCs w:val="20"/>
                <w:lang w:eastAsia="ar-SA"/>
              </w:rPr>
              <w:t>о</w:t>
            </w:r>
            <w:r w:rsidRPr="00C2587D">
              <w:rPr>
                <w:rFonts w:eastAsia="Lucida Sans Unicode" w:cs="Arial"/>
                <w:kern w:val="1"/>
                <w:sz w:val="20"/>
                <w:szCs w:val="20"/>
                <w:lang w:eastAsia="ar-SA"/>
              </w:rPr>
              <w:t>, реконструкція мереж вуличного освітлення</w:t>
            </w:r>
          </w:p>
          <w:p w14:paraId="79A2E6B6" w14:textId="2AFB6B0B" w:rsidR="000B0DC4" w:rsidRPr="00C2587D" w:rsidRDefault="000B0DC4" w:rsidP="002E392A">
            <w:pPr>
              <w:contextualSpacing/>
              <w:jc w:val="both"/>
              <w:rPr>
                <w:rFonts w:eastAsia="Lucida Sans Unicode" w:cs="Arial"/>
                <w:kern w:val="1"/>
                <w:sz w:val="20"/>
                <w:szCs w:val="20"/>
                <w:lang w:eastAsia="ar-SA"/>
              </w:rPr>
            </w:pPr>
            <w:r w:rsidRPr="00C2587D">
              <w:rPr>
                <w:rFonts w:eastAsia="Lucida Sans Unicode" w:cs="Arial"/>
                <w:kern w:val="1"/>
                <w:sz w:val="20"/>
                <w:szCs w:val="20"/>
                <w:lang w:eastAsia="ar-SA"/>
              </w:rPr>
              <w:t>В.1.3.</w:t>
            </w:r>
            <w:r w:rsidR="00101981" w:rsidRPr="00C2587D">
              <w:rPr>
                <w:rFonts w:eastAsia="Lucida Sans Unicode" w:cs="Arial"/>
                <w:kern w:val="1"/>
                <w:sz w:val="20"/>
                <w:szCs w:val="20"/>
                <w:lang w:eastAsia="ar-SA"/>
              </w:rPr>
              <w:t>13</w:t>
            </w:r>
            <w:r w:rsidRPr="00C2587D">
              <w:rPr>
                <w:rFonts w:eastAsia="Lucida Sans Unicode" w:cs="Arial"/>
                <w:kern w:val="1"/>
                <w:sz w:val="20"/>
                <w:szCs w:val="20"/>
                <w:lang w:eastAsia="ar-SA"/>
              </w:rPr>
              <w:t>. Встановлення додаткових джерел світла, та збільш</w:t>
            </w:r>
            <w:r w:rsidR="00203B45" w:rsidRPr="00C2587D">
              <w:rPr>
                <w:rFonts w:eastAsia="Lucida Sans Unicode" w:cs="Arial"/>
                <w:kern w:val="1"/>
                <w:sz w:val="20"/>
                <w:szCs w:val="20"/>
                <w:lang w:eastAsia="ar-SA"/>
              </w:rPr>
              <w:t>ення протяжності існуючих мереж</w:t>
            </w:r>
            <w:r w:rsidRPr="00C2587D">
              <w:rPr>
                <w:rFonts w:eastAsia="Lucida Sans Unicode" w:cs="Arial"/>
                <w:kern w:val="1"/>
                <w:sz w:val="20"/>
                <w:szCs w:val="20"/>
                <w:lang w:eastAsia="ar-SA"/>
              </w:rPr>
              <w:t>.</w:t>
            </w:r>
          </w:p>
          <w:p w14:paraId="7979C69B" w14:textId="77777777" w:rsidR="000B0DC4" w:rsidRPr="00C2587D" w:rsidRDefault="000B0DC4" w:rsidP="002E392A">
            <w:pPr>
              <w:contextualSpacing/>
              <w:jc w:val="both"/>
              <w:rPr>
                <w:rFonts w:eastAsia="Lucida Sans Unicode" w:cs="Arial"/>
                <w:kern w:val="1"/>
                <w:sz w:val="20"/>
                <w:szCs w:val="20"/>
                <w:lang w:eastAsia="ar-SA"/>
              </w:rPr>
            </w:pPr>
            <w:r w:rsidRPr="00C2587D">
              <w:rPr>
                <w:rFonts w:eastAsia="Lucida Sans Unicode" w:cs="Arial"/>
                <w:kern w:val="1"/>
                <w:sz w:val="20"/>
                <w:szCs w:val="20"/>
                <w:lang w:eastAsia="ar-SA"/>
              </w:rPr>
              <w:t>В.1.3.</w:t>
            </w:r>
            <w:r w:rsidR="00101981" w:rsidRPr="00C2587D">
              <w:rPr>
                <w:rFonts w:eastAsia="Lucida Sans Unicode" w:cs="Arial"/>
                <w:kern w:val="1"/>
                <w:sz w:val="20"/>
                <w:szCs w:val="20"/>
                <w:lang w:eastAsia="ar-SA"/>
              </w:rPr>
              <w:t>14</w:t>
            </w:r>
            <w:r w:rsidRPr="00C2587D">
              <w:rPr>
                <w:rFonts w:eastAsia="Lucida Sans Unicode" w:cs="Arial"/>
                <w:kern w:val="1"/>
                <w:sz w:val="20"/>
                <w:szCs w:val="20"/>
                <w:lang w:eastAsia="ar-SA"/>
              </w:rPr>
              <w:t>. Запровадження диспетчерської служби по зовнішньому освітленню.</w:t>
            </w:r>
          </w:p>
          <w:p w14:paraId="4FC51720" w14:textId="459D6CD9" w:rsidR="000B0DC4" w:rsidRPr="00C2587D" w:rsidRDefault="000B0DC4" w:rsidP="002E392A">
            <w:pPr>
              <w:contextualSpacing/>
              <w:jc w:val="both"/>
              <w:rPr>
                <w:rFonts w:eastAsia="Lucida Sans Unicode" w:cs="Arial"/>
                <w:kern w:val="1"/>
                <w:sz w:val="20"/>
                <w:szCs w:val="20"/>
                <w:lang w:eastAsia="ar-SA"/>
              </w:rPr>
            </w:pPr>
            <w:r w:rsidRPr="00C2587D">
              <w:rPr>
                <w:rFonts w:eastAsia="Lucida Sans Unicode" w:cs="Arial"/>
                <w:kern w:val="1"/>
                <w:sz w:val="20"/>
                <w:szCs w:val="20"/>
                <w:lang w:eastAsia="ar-SA"/>
              </w:rPr>
              <w:t>В.1.3.</w:t>
            </w:r>
            <w:r w:rsidR="00101981" w:rsidRPr="00C2587D">
              <w:rPr>
                <w:rFonts w:eastAsia="Lucida Sans Unicode" w:cs="Arial"/>
                <w:kern w:val="1"/>
                <w:sz w:val="20"/>
                <w:szCs w:val="20"/>
                <w:lang w:eastAsia="ar-SA"/>
              </w:rPr>
              <w:t>15</w:t>
            </w:r>
            <w:r w:rsidRPr="00C2587D">
              <w:rPr>
                <w:rFonts w:eastAsia="Lucida Sans Unicode" w:cs="Arial"/>
                <w:kern w:val="1"/>
                <w:sz w:val="20"/>
                <w:szCs w:val="20"/>
                <w:lang w:eastAsia="ar-SA"/>
              </w:rPr>
              <w:t xml:space="preserve">. Запровадження </w:t>
            </w:r>
            <w:r w:rsidR="00203B45" w:rsidRPr="00C2587D">
              <w:rPr>
                <w:rFonts w:cs="Arial"/>
                <w:kern w:val="1"/>
                <w:sz w:val="20"/>
                <w:szCs w:val="20"/>
              </w:rPr>
              <w:t>автоматизованої</w:t>
            </w:r>
            <w:r w:rsidRPr="00C2587D">
              <w:rPr>
                <w:rFonts w:cs="Arial"/>
                <w:kern w:val="1"/>
                <w:sz w:val="20"/>
                <w:szCs w:val="20"/>
              </w:rPr>
              <w:t xml:space="preserve"> системи комерційного обліку електричної енергії</w:t>
            </w:r>
            <w:r w:rsidRPr="00C2587D">
              <w:rPr>
                <w:rFonts w:eastAsia="Lucida Sans Unicode" w:cs="Arial"/>
                <w:kern w:val="1"/>
                <w:sz w:val="20"/>
                <w:szCs w:val="20"/>
                <w:lang w:eastAsia="ar-SA"/>
              </w:rPr>
              <w:t>.</w:t>
            </w:r>
          </w:p>
          <w:p w14:paraId="57151957" w14:textId="77777777" w:rsidR="000B0DC4" w:rsidRPr="00C2587D" w:rsidRDefault="000B0DC4"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В.1.3.</w:t>
            </w:r>
            <w:r w:rsidR="00101981" w:rsidRPr="00C2587D">
              <w:rPr>
                <w:rFonts w:eastAsia="Lucida Sans Unicode" w:cs="Arial"/>
                <w:kern w:val="1"/>
                <w:sz w:val="20"/>
                <w:szCs w:val="20"/>
                <w:lang w:eastAsia="ar-SA"/>
              </w:rPr>
              <w:t>16</w:t>
            </w:r>
            <w:r w:rsidRPr="00C2587D">
              <w:rPr>
                <w:rFonts w:eastAsia="Lucida Sans Unicode" w:cs="Arial"/>
                <w:kern w:val="1"/>
                <w:sz w:val="20"/>
                <w:szCs w:val="20"/>
                <w:lang w:eastAsia="ar-SA"/>
              </w:rPr>
              <w:t>. Запровадження енергозберігаючих технологій та обладнання.</w:t>
            </w:r>
          </w:p>
          <w:p w14:paraId="5F79FBF7" w14:textId="77777777" w:rsidR="00EE6085" w:rsidRPr="00C2587D" w:rsidRDefault="000B0DC4" w:rsidP="002E392A">
            <w:pPr>
              <w:jc w:val="both"/>
              <w:rPr>
                <w:rFonts w:cs="Arial"/>
                <w:color w:val="000000"/>
                <w:sz w:val="20"/>
                <w:szCs w:val="20"/>
                <w:lang w:eastAsia="uk-UA"/>
              </w:rPr>
            </w:pPr>
            <w:r w:rsidRPr="00C2587D">
              <w:rPr>
                <w:rFonts w:eastAsia="Lucida Sans Unicode" w:cs="Arial"/>
                <w:kern w:val="1"/>
                <w:sz w:val="20"/>
                <w:szCs w:val="20"/>
                <w:lang w:eastAsia="ar-SA"/>
              </w:rPr>
              <w:t>В.1.3.</w:t>
            </w:r>
            <w:r w:rsidR="00101981" w:rsidRPr="00C2587D">
              <w:rPr>
                <w:rFonts w:eastAsia="Lucida Sans Unicode" w:cs="Arial"/>
                <w:kern w:val="1"/>
                <w:sz w:val="20"/>
                <w:szCs w:val="20"/>
                <w:lang w:eastAsia="ar-SA"/>
              </w:rPr>
              <w:t>17</w:t>
            </w:r>
            <w:r w:rsidRPr="00C2587D">
              <w:rPr>
                <w:rFonts w:eastAsia="Lucida Sans Unicode" w:cs="Arial"/>
                <w:kern w:val="1"/>
                <w:sz w:val="20"/>
                <w:szCs w:val="20"/>
                <w:lang w:eastAsia="ar-SA"/>
              </w:rPr>
              <w:t xml:space="preserve">. </w:t>
            </w:r>
            <w:r w:rsidRPr="00C2587D">
              <w:rPr>
                <w:rFonts w:cs="Arial"/>
                <w:color w:val="202122"/>
                <w:sz w:val="20"/>
                <w:szCs w:val="20"/>
                <w:shd w:val="clear" w:color="auto" w:fill="FFFFFF"/>
              </w:rPr>
              <w:t>Модернізація інформаційної мережі послуг зв'язку</w:t>
            </w:r>
            <w:r w:rsidRPr="00C2587D">
              <w:rPr>
                <w:rFonts w:cs="Arial"/>
                <w:sz w:val="20"/>
                <w:szCs w:val="20"/>
              </w:rPr>
              <w:t xml:space="preserve"> .</w:t>
            </w:r>
          </w:p>
        </w:tc>
      </w:tr>
      <w:tr w:rsidR="00EE6085" w:rsidRPr="00C2587D" w14:paraId="12904EF3" w14:textId="77777777" w:rsidTr="002E392A">
        <w:trPr>
          <w:trHeight w:val="803"/>
        </w:trPr>
        <w:tc>
          <w:tcPr>
            <w:tcW w:w="1975" w:type="dxa"/>
            <w:vMerge/>
            <w:vAlign w:val="center"/>
          </w:tcPr>
          <w:p w14:paraId="2F00393F" w14:textId="77777777" w:rsidR="00EE6085" w:rsidRPr="00C2587D" w:rsidRDefault="00EE6085" w:rsidP="002E392A">
            <w:pPr>
              <w:rPr>
                <w:rFonts w:cs="Arial"/>
                <w:b/>
                <w:sz w:val="20"/>
                <w:szCs w:val="20"/>
                <w:lang w:eastAsia="uk-UA"/>
              </w:rPr>
            </w:pPr>
          </w:p>
        </w:tc>
        <w:tc>
          <w:tcPr>
            <w:tcW w:w="2693" w:type="dxa"/>
            <w:vMerge/>
            <w:vAlign w:val="center"/>
          </w:tcPr>
          <w:p w14:paraId="36A0DF5C" w14:textId="77777777" w:rsidR="00EE6085" w:rsidRPr="00C2587D" w:rsidRDefault="00EE6085" w:rsidP="002E392A">
            <w:pPr>
              <w:rPr>
                <w:rFonts w:cs="Arial"/>
                <w:color w:val="000000"/>
                <w:sz w:val="20"/>
                <w:szCs w:val="20"/>
                <w:lang w:eastAsia="uk-UA"/>
              </w:rPr>
            </w:pPr>
          </w:p>
        </w:tc>
        <w:tc>
          <w:tcPr>
            <w:tcW w:w="2840" w:type="dxa"/>
            <w:shd w:val="clear" w:color="auto" w:fill="auto"/>
            <w:vAlign w:val="center"/>
          </w:tcPr>
          <w:p w14:paraId="7EE86A41" w14:textId="77777777" w:rsidR="00EE6085" w:rsidRPr="00C2587D" w:rsidRDefault="00EE6085" w:rsidP="002E392A">
            <w:pPr>
              <w:rPr>
                <w:rFonts w:cs="Arial"/>
                <w:bCs/>
                <w:sz w:val="20"/>
                <w:szCs w:val="20"/>
              </w:rPr>
            </w:pPr>
            <w:r w:rsidRPr="00C2587D">
              <w:rPr>
                <w:rFonts w:cs="Arial"/>
                <w:bCs/>
                <w:sz w:val="20"/>
                <w:szCs w:val="20"/>
              </w:rPr>
              <w:t>В.1.4. Організація громадського транспорту</w:t>
            </w:r>
          </w:p>
        </w:tc>
        <w:tc>
          <w:tcPr>
            <w:tcW w:w="7655" w:type="dxa"/>
            <w:shd w:val="clear" w:color="auto" w:fill="auto"/>
          </w:tcPr>
          <w:p w14:paraId="35413B79" w14:textId="3455FAA2" w:rsidR="008042C7" w:rsidRPr="00C2587D" w:rsidRDefault="006925DC"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 xml:space="preserve">В.1.4.1. </w:t>
            </w:r>
            <w:r w:rsidR="002E392A">
              <w:rPr>
                <w:rFonts w:eastAsia="Lucida Sans Unicode" w:cs="Arial"/>
                <w:kern w:val="1"/>
                <w:sz w:val="20"/>
                <w:szCs w:val="20"/>
                <w:lang w:eastAsia="ar-SA"/>
              </w:rPr>
              <w:t>Запровадження двох-</w:t>
            </w:r>
            <w:r w:rsidR="008042C7" w:rsidRPr="00C2587D">
              <w:rPr>
                <w:rFonts w:eastAsia="Lucida Sans Unicode" w:cs="Arial"/>
                <w:kern w:val="1"/>
                <w:sz w:val="20"/>
                <w:szCs w:val="20"/>
                <w:lang w:eastAsia="ar-SA"/>
              </w:rPr>
              <w:t>модальної системи перевезень на автомобільному транспорті: громадські та комерційні послуги з перевезення пасажирів.</w:t>
            </w:r>
          </w:p>
          <w:p w14:paraId="22934E2D" w14:textId="77777777" w:rsidR="008042C7" w:rsidRPr="00C2587D" w:rsidRDefault="006925DC"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 xml:space="preserve">В.1.4.2. </w:t>
            </w:r>
            <w:r w:rsidR="008042C7" w:rsidRPr="00C2587D">
              <w:rPr>
                <w:rFonts w:eastAsia="Lucida Sans Unicode" w:cs="Arial"/>
                <w:kern w:val="1"/>
                <w:sz w:val="20"/>
                <w:szCs w:val="20"/>
                <w:lang w:eastAsia="ar-SA"/>
              </w:rPr>
              <w:t>Оновлення рухомого складу пасажирського транспорту на більш екологічні та зручніші моделі, що відповідають вимогам інклюзивності.</w:t>
            </w:r>
          </w:p>
          <w:p w14:paraId="082AD730" w14:textId="09E56872" w:rsidR="008042C7" w:rsidRPr="00C2587D" w:rsidRDefault="006925DC"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 xml:space="preserve">В.1.4.3. </w:t>
            </w:r>
            <w:r w:rsidR="008042C7" w:rsidRPr="00C2587D">
              <w:rPr>
                <w:rFonts w:eastAsia="Lucida Sans Unicode" w:cs="Arial"/>
                <w:bCs/>
                <w:color w:val="000000"/>
                <w:kern w:val="1"/>
                <w:sz w:val="20"/>
                <w:szCs w:val="20"/>
                <w:shd w:val="clear" w:color="auto" w:fill="FFFFFF"/>
                <w:lang w:eastAsia="ar-SA"/>
              </w:rPr>
              <w:t>Організація належного рівня сервісу для пасажирів ( уніфікація та адаптація  автобусних зупинок для людей з інвалідністю з розміщенням , інформації пр</w:t>
            </w:r>
            <w:r w:rsidR="000A46E9" w:rsidRPr="00C2587D">
              <w:rPr>
                <w:rFonts w:eastAsia="Lucida Sans Unicode" w:cs="Arial"/>
                <w:bCs/>
                <w:color w:val="000000"/>
                <w:kern w:val="1"/>
                <w:sz w:val="20"/>
                <w:szCs w:val="20"/>
                <w:shd w:val="clear" w:color="auto" w:fill="FFFFFF"/>
                <w:lang w:eastAsia="ar-SA"/>
              </w:rPr>
              <w:t>о схему та розклад руху автобусів.</w:t>
            </w:r>
          </w:p>
          <w:p w14:paraId="6E8E00CF" w14:textId="77777777" w:rsidR="008042C7" w:rsidRPr="00C2587D" w:rsidRDefault="006925DC"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 xml:space="preserve">В.1.4.4. </w:t>
            </w:r>
            <w:r w:rsidR="008042C7" w:rsidRPr="00C2587D">
              <w:rPr>
                <w:rFonts w:eastAsia="Lucida Sans Unicode" w:cs="Arial"/>
                <w:bCs/>
                <w:kern w:val="1"/>
                <w:sz w:val="20"/>
                <w:szCs w:val="20"/>
                <w:lang w:eastAsia="ar-SA"/>
              </w:rPr>
              <w:t>Запровадження дорожньої навігації  (GPS  моніторингу всіх перевезень та забезпечення  онлайн зв’язку  між диспетчером, водієм та пасажиром.</w:t>
            </w:r>
          </w:p>
          <w:p w14:paraId="58C20420" w14:textId="2E2A3D83" w:rsidR="008042C7" w:rsidRPr="00C2587D" w:rsidRDefault="006925DC"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lastRenderedPageBreak/>
              <w:t xml:space="preserve">В.1.4.5. </w:t>
            </w:r>
            <w:r w:rsidR="008042C7" w:rsidRPr="00C2587D">
              <w:rPr>
                <w:rFonts w:eastAsia="Lucida Sans Unicode" w:cs="Arial"/>
                <w:bCs/>
                <w:kern w:val="1"/>
                <w:sz w:val="20"/>
                <w:szCs w:val="20"/>
                <w:lang w:eastAsia="ar-SA"/>
              </w:rPr>
              <w:t>Оптимізація мережі маршрутів громадського транспорту</w:t>
            </w:r>
            <w:r w:rsidR="00E41A9A" w:rsidRPr="00C2587D">
              <w:rPr>
                <w:rFonts w:eastAsia="Lucida Sans Unicode" w:cs="Arial"/>
                <w:bCs/>
                <w:kern w:val="1"/>
                <w:sz w:val="20"/>
                <w:szCs w:val="20"/>
                <w:lang w:eastAsia="ar-SA"/>
              </w:rPr>
              <w:t>.</w:t>
            </w:r>
          </w:p>
          <w:p w14:paraId="26253471" w14:textId="77777777" w:rsidR="008042C7" w:rsidRPr="00C2587D" w:rsidRDefault="006925DC"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В.1.4.6. С</w:t>
            </w:r>
            <w:r w:rsidR="008042C7" w:rsidRPr="00C2587D">
              <w:rPr>
                <w:rFonts w:eastAsia="Lucida Sans Unicode" w:cs="Arial"/>
                <w:kern w:val="1"/>
                <w:sz w:val="20"/>
                <w:szCs w:val="20"/>
                <w:lang w:eastAsia="ar-SA"/>
              </w:rPr>
              <w:t>творення зручних та комфортних зупинок.</w:t>
            </w:r>
          </w:p>
          <w:p w14:paraId="7C598D57" w14:textId="77777777" w:rsidR="00EE6085" w:rsidRPr="00C2587D" w:rsidRDefault="006925DC" w:rsidP="002E392A">
            <w:pPr>
              <w:jc w:val="both"/>
              <w:rPr>
                <w:rFonts w:cs="Arial"/>
                <w:color w:val="000000"/>
                <w:sz w:val="20"/>
                <w:szCs w:val="20"/>
                <w:lang w:eastAsia="uk-UA"/>
              </w:rPr>
            </w:pPr>
            <w:r w:rsidRPr="00C2587D">
              <w:rPr>
                <w:rFonts w:eastAsia="Lucida Sans Unicode" w:cs="Arial"/>
                <w:kern w:val="1"/>
                <w:sz w:val="20"/>
                <w:szCs w:val="20"/>
                <w:lang w:eastAsia="ar-SA"/>
              </w:rPr>
              <w:t xml:space="preserve">В.1.4.7. </w:t>
            </w:r>
            <w:r w:rsidR="008042C7" w:rsidRPr="00C2587D">
              <w:rPr>
                <w:rFonts w:cs="Arial"/>
                <w:sz w:val="20"/>
                <w:szCs w:val="20"/>
              </w:rPr>
              <w:t>Вивч</w:t>
            </w:r>
            <w:r w:rsidRPr="00C2587D">
              <w:rPr>
                <w:rFonts w:cs="Arial"/>
                <w:sz w:val="20"/>
                <w:szCs w:val="20"/>
              </w:rPr>
              <w:t>ення</w:t>
            </w:r>
            <w:r w:rsidR="008042C7" w:rsidRPr="00C2587D">
              <w:rPr>
                <w:rFonts w:cs="Arial"/>
                <w:sz w:val="20"/>
                <w:szCs w:val="20"/>
              </w:rPr>
              <w:t xml:space="preserve"> можлив</w:t>
            </w:r>
            <w:r w:rsidRPr="00C2587D">
              <w:rPr>
                <w:rFonts w:cs="Arial"/>
                <w:sz w:val="20"/>
                <w:szCs w:val="20"/>
              </w:rPr>
              <w:t>о</w:t>
            </w:r>
            <w:r w:rsidR="008042C7" w:rsidRPr="00C2587D">
              <w:rPr>
                <w:rFonts w:cs="Arial"/>
                <w:sz w:val="20"/>
                <w:szCs w:val="20"/>
              </w:rPr>
              <w:t>ст</w:t>
            </w:r>
            <w:r w:rsidRPr="00C2587D">
              <w:rPr>
                <w:rFonts w:cs="Arial"/>
                <w:sz w:val="20"/>
                <w:szCs w:val="20"/>
              </w:rPr>
              <w:t>і</w:t>
            </w:r>
            <w:r w:rsidR="008042C7" w:rsidRPr="00C2587D">
              <w:rPr>
                <w:rFonts w:cs="Arial"/>
                <w:sz w:val="20"/>
                <w:szCs w:val="20"/>
              </w:rPr>
              <w:t xml:space="preserve"> будівництва автобусної станції в м.Жмеринка.</w:t>
            </w:r>
          </w:p>
        </w:tc>
      </w:tr>
      <w:tr w:rsidR="00EE6085" w:rsidRPr="00C2587D" w14:paraId="5650B93A" w14:textId="77777777" w:rsidTr="00CA089A">
        <w:trPr>
          <w:trHeight w:val="842"/>
        </w:trPr>
        <w:tc>
          <w:tcPr>
            <w:tcW w:w="1975" w:type="dxa"/>
            <w:vMerge/>
            <w:vAlign w:val="center"/>
            <w:hideMark/>
          </w:tcPr>
          <w:p w14:paraId="45317BFF" w14:textId="77777777" w:rsidR="00EE6085" w:rsidRPr="00C2587D" w:rsidRDefault="00EE6085" w:rsidP="002E392A">
            <w:pPr>
              <w:rPr>
                <w:rFonts w:cs="Arial"/>
                <w:b/>
                <w:sz w:val="20"/>
                <w:szCs w:val="20"/>
                <w:lang w:eastAsia="uk-UA"/>
              </w:rPr>
            </w:pPr>
          </w:p>
        </w:tc>
        <w:tc>
          <w:tcPr>
            <w:tcW w:w="2693" w:type="dxa"/>
            <w:vMerge/>
            <w:vAlign w:val="center"/>
          </w:tcPr>
          <w:p w14:paraId="166EB690" w14:textId="77777777" w:rsidR="00EE6085" w:rsidRPr="00C2587D" w:rsidRDefault="00EE6085" w:rsidP="002E392A">
            <w:pPr>
              <w:rPr>
                <w:rFonts w:cs="Arial"/>
                <w:color w:val="000000"/>
                <w:sz w:val="20"/>
                <w:szCs w:val="20"/>
                <w:lang w:eastAsia="uk-UA"/>
              </w:rPr>
            </w:pPr>
          </w:p>
        </w:tc>
        <w:tc>
          <w:tcPr>
            <w:tcW w:w="2840" w:type="dxa"/>
            <w:shd w:val="clear" w:color="auto" w:fill="auto"/>
            <w:vAlign w:val="center"/>
          </w:tcPr>
          <w:p w14:paraId="40D326B7" w14:textId="77777777" w:rsidR="00EE6085" w:rsidRPr="00C2587D" w:rsidRDefault="00EE6085" w:rsidP="002E392A">
            <w:pPr>
              <w:rPr>
                <w:rFonts w:cs="Arial"/>
                <w:bCs/>
                <w:color w:val="000000"/>
                <w:sz w:val="20"/>
                <w:szCs w:val="20"/>
                <w:lang w:eastAsia="uk-UA"/>
              </w:rPr>
            </w:pPr>
            <w:r w:rsidRPr="00C2587D">
              <w:rPr>
                <w:rFonts w:cs="Arial"/>
                <w:bCs/>
                <w:sz w:val="20"/>
                <w:szCs w:val="20"/>
              </w:rPr>
              <w:t>В.1.5. Модернізація житлового фонду, покращення якості житлово-комунальних послуг</w:t>
            </w:r>
          </w:p>
        </w:tc>
        <w:tc>
          <w:tcPr>
            <w:tcW w:w="7655" w:type="dxa"/>
            <w:shd w:val="clear" w:color="auto" w:fill="auto"/>
          </w:tcPr>
          <w:p w14:paraId="7F810DF2" w14:textId="4C71BEFB" w:rsidR="006925DC" w:rsidRPr="00C2587D" w:rsidRDefault="006925DC" w:rsidP="002E392A">
            <w:pPr>
              <w:spacing w:before="20" w:after="20"/>
              <w:contextualSpacing/>
              <w:jc w:val="both"/>
              <w:rPr>
                <w:rFonts w:eastAsia="Lucida Sans Unicode" w:cs="Arial"/>
                <w:kern w:val="1"/>
                <w:sz w:val="20"/>
                <w:szCs w:val="20"/>
                <w:lang w:eastAsia="ar-SA"/>
              </w:rPr>
            </w:pPr>
            <w:r w:rsidRPr="00C2587D">
              <w:rPr>
                <w:rFonts w:eastAsia="Lucida Sans Unicode" w:cs="Arial"/>
                <w:kern w:val="1"/>
                <w:sz w:val="20"/>
                <w:szCs w:val="20"/>
                <w:lang w:eastAsia="ar-SA"/>
              </w:rPr>
              <w:t>В.1.5.1. Створення ефективної сучасної сис</w:t>
            </w:r>
            <w:r w:rsidR="006B0893" w:rsidRPr="00C2587D">
              <w:rPr>
                <w:rFonts w:eastAsia="Lucida Sans Unicode" w:cs="Arial"/>
                <w:kern w:val="1"/>
                <w:sz w:val="20"/>
                <w:szCs w:val="20"/>
                <w:lang w:eastAsia="ar-SA"/>
              </w:rPr>
              <w:t>теми утримання багатоквартирного житлового фонду</w:t>
            </w:r>
            <w:r w:rsidRPr="00C2587D">
              <w:rPr>
                <w:rFonts w:eastAsia="Lucida Sans Unicode" w:cs="Arial"/>
                <w:kern w:val="1"/>
                <w:sz w:val="20"/>
                <w:szCs w:val="20"/>
                <w:lang w:eastAsia="ar-SA"/>
              </w:rPr>
              <w:t>, шляхом розширення мережі житла, що обслуговується ОСББ.</w:t>
            </w:r>
          </w:p>
          <w:p w14:paraId="15010A75" w14:textId="77777777" w:rsidR="006925DC" w:rsidRPr="00C2587D" w:rsidRDefault="006925DC" w:rsidP="002E392A">
            <w:pPr>
              <w:spacing w:before="20" w:after="20"/>
              <w:contextualSpacing/>
              <w:jc w:val="both"/>
              <w:rPr>
                <w:rFonts w:eastAsia="Lucida Sans Unicode" w:cs="Arial"/>
                <w:kern w:val="1"/>
                <w:sz w:val="20"/>
                <w:szCs w:val="20"/>
                <w:lang w:eastAsia="ar-SA"/>
              </w:rPr>
            </w:pPr>
            <w:r w:rsidRPr="00C2587D">
              <w:rPr>
                <w:rFonts w:eastAsia="Lucida Sans Unicode" w:cs="Arial"/>
                <w:kern w:val="1"/>
                <w:sz w:val="20"/>
                <w:szCs w:val="20"/>
                <w:lang w:eastAsia="ar-SA"/>
              </w:rPr>
              <w:t>В.1.5.</w:t>
            </w:r>
            <w:r w:rsidR="00621D8B" w:rsidRPr="00C2587D">
              <w:rPr>
                <w:rFonts w:eastAsia="Lucida Sans Unicode" w:cs="Arial"/>
                <w:kern w:val="1"/>
                <w:sz w:val="20"/>
                <w:szCs w:val="20"/>
                <w:lang w:eastAsia="ar-SA"/>
              </w:rPr>
              <w:t>2</w:t>
            </w:r>
            <w:r w:rsidRPr="00C2587D">
              <w:rPr>
                <w:rFonts w:eastAsia="Lucida Sans Unicode" w:cs="Arial"/>
                <w:kern w:val="1"/>
                <w:sz w:val="20"/>
                <w:szCs w:val="20"/>
                <w:lang w:eastAsia="ar-SA"/>
              </w:rPr>
              <w:t xml:space="preserve">. Розроблення програми щодо надання одноразової фінансової допомоги для підтримки об’єднання співвласників багатоквартирних будинків територіальної громади. </w:t>
            </w:r>
          </w:p>
          <w:p w14:paraId="63FAE2A0" w14:textId="77777777" w:rsidR="006925DC" w:rsidRPr="00C2587D" w:rsidRDefault="006925DC" w:rsidP="002E392A">
            <w:pPr>
              <w:spacing w:before="20" w:after="20"/>
              <w:contextualSpacing/>
              <w:jc w:val="both"/>
              <w:rPr>
                <w:rFonts w:eastAsia="Lucida Sans Unicode" w:cs="Arial"/>
                <w:kern w:val="1"/>
                <w:sz w:val="20"/>
                <w:szCs w:val="20"/>
                <w:lang w:eastAsia="ar-SA"/>
              </w:rPr>
            </w:pPr>
            <w:r w:rsidRPr="00C2587D">
              <w:rPr>
                <w:rFonts w:eastAsia="Lucida Sans Unicode" w:cs="Arial"/>
                <w:kern w:val="1"/>
                <w:sz w:val="20"/>
                <w:szCs w:val="20"/>
                <w:lang w:eastAsia="ar-SA"/>
              </w:rPr>
              <w:t>В.1.5.</w:t>
            </w:r>
            <w:r w:rsidR="00621D8B" w:rsidRPr="00C2587D">
              <w:rPr>
                <w:rFonts w:eastAsia="Lucida Sans Unicode" w:cs="Arial"/>
                <w:kern w:val="1"/>
                <w:sz w:val="20"/>
                <w:szCs w:val="20"/>
                <w:lang w:eastAsia="ar-SA"/>
              </w:rPr>
              <w:t>3</w:t>
            </w:r>
            <w:r w:rsidRPr="00C2587D">
              <w:rPr>
                <w:rFonts w:eastAsia="Lucida Sans Unicode" w:cs="Arial"/>
                <w:kern w:val="1"/>
                <w:sz w:val="20"/>
                <w:szCs w:val="20"/>
                <w:lang w:eastAsia="ar-SA"/>
              </w:rPr>
              <w:t>. Модернізація конструктивних елементів багатоповерхових будинків.</w:t>
            </w:r>
          </w:p>
          <w:p w14:paraId="2AD4EFD7" w14:textId="77777777" w:rsidR="006925DC" w:rsidRPr="00C2587D" w:rsidRDefault="006925DC" w:rsidP="002E392A">
            <w:pPr>
              <w:spacing w:before="20" w:after="20"/>
              <w:contextualSpacing/>
              <w:jc w:val="both"/>
              <w:rPr>
                <w:rFonts w:eastAsia="Lucida Sans Unicode" w:cs="Arial"/>
                <w:kern w:val="1"/>
                <w:sz w:val="20"/>
                <w:szCs w:val="20"/>
                <w:lang w:eastAsia="ar-SA"/>
              </w:rPr>
            </w:pPr>
            <w:r w:rsidRPr="00C2587D">
              <w:rPr>
                <w:rFonts w:eastAsia="Lucida Sans Unicode" w:cs="Arial"/>
                <w:kern w:val="1"/>
                <w:sz w:val="20"/>
                <w:szCs w:val="20"/>
                <w:lang w:eastAsia="ar-SA"/>
              </w:rPr>
              <w:t>В.1.5.</w:t>
            </w:r>
            <w:r w:rsidR="00621D8B" w:rsidRPr="00C2587D">
              <w:rPr>
                <w:rFonts w:eastAsia="Lucida Sans Unicode" w:cs="Arial"/>
                <w:kern w:val="1"/>
                <w:sz w:val="20"/>
                <w:szCs w:val="20"/>
                <w:lang w:eastAsia="ar-SA"/>
              </w:rPr>
              <w:t>4</w:t>
            </w:r>
            <w:r w:rsidRPr="00C2587D">
              <w:rPr>
                <w:rFonts w:eastAsia="Lucida Sans Unicode" w:cs="Arial"/>
                <w:kern w:val="1"/>
                <w:sz w:val="20"/>
                <w:szCs w:val="20"/>
                <w:lang w:eastAsia="ar-SA"/>
              </w:rPr>
              <w:t>. Утеплення під'їздів та будинків.</w:t>
            </w:r>
          </w:p>
          <w:p w14:paraId="4601CB2B" w14:textId="77777777" w:rsidR="006925DC" w:rsidRPr="00C2587D" w:rsidRDefault="006925DC" w:rsidP="002E392A">
            <w:pPr>
              <w:spacing w:before="20" w:after="20"/>
              <w:contextualSpacing/>
              <w:jc w:val="both"/>
              <w:rPr>
                <w:rFonts w:eastAsia="Lucida Sans Unicode" w:cs="Arial"/>
                <w:kern w:val="1"/>
                <w:sz w:val="20"/>
                <w:szCs w:val="20"/>
                <w:lang w:eastAsia="ar-SA"/>
              </w:rPr>
            </w:pPr>
            <w:r w:rsidRPr="00C2587D">
              <w:rPr>
                <w:rFonts w:eastAsia="Lucida Sans Unicode" w:cs="Arial"/>
                <w:kern w:val="1"/>
                <w:sz w:val="20"/>
                <w:szCs w:val="20"/>
                <w:lang w:eastAsia="ar-SA"/>
              </w:rPr>
              <w:t>В.1.5.</w:t>
            </w:r>
            <w:r w:rsidR="00621D8B" w:rsidRPr="00C2587D">
              <w:rPr>
                <w:rFonts w:eastAsia="Lucida Sans Unicode" w:cs="Arial"/>
                <w:kern w:val="1"/>
                <w:sz w:val="20"/>
                <w:szCs w:val="20"/>
                <w:lang w:eastAsia="ar-SA"/>
              </w:rPr>
              <w:t>5</w:t>
            </w:r>
            <w:r w:rsidRPr="00C2587D">
              <w:rPr>
                <w:rFonts w:eastAsia="Lucida Sans Unicode" w:cs="Arial"/>
                <w:kern w:val="1"/>
                <w:sz w:val="20"/>
                <w:szCs w:val="20"/>
                <w:lang w:eastAsia="ar-SA"/>
              </w:rPr>
              <w:t>. Модернізація внутрішньобудинкових електромереж.</w:t>
            </w:r>
          </w:p>
          <w:p w14:paraId="4DDC1613" w14:textId="77777777" w:rsidR="006925DC" w:rsidRPr="00C2587D" w:rsidRDefault="006925DC" w:rsidP="002E392A">
            <w:pPr>
              <w:spacing w:before="20" w:after="20"/>
              <w:contextualSpacing/>
              <w:jc w:val="both"/>
              <w:rPr>
                <w:rFonts w:eastAsia="Lucida Sans Unicode" w:cs="Arial"/>
                <w:kern w:val="1"/>
                <w:sz w:val="20"/>
                <w:szCs w:val="20"/>
                <w:lang w:eastAsia="ar-SA"/>
              </w:rPr>
            </w:pPr>
            <w:r w:rsidRPr="00C2587D">
              <w:rPr>
                <w:rFonts w:eastAsia="Lucida Sans Unicode" w:cs="Arial"/>
                <w:kern w:val="1"/>
                <w:sz w:val="20"/>
                <w:szCs w:val="20"/>
                <w:lang w:eastAsia="ar-SA"/>
              </w:rPr>
              <w:t>В.1.5.</w:t>
            </w:r>
            <w:r w:rsidR="00621D8B" w:rsidRPr="00C2587D">
              <w:rPr>
                <w:rFonts w:eastAsia="Lucida Sans Unicode" w:cs="Arial"/>
                <w:kern w:val="1"/>
                <w:sz w:val="20"/>
                <w:szCs w:val="20"/>
                <w:lang w:eastAsia="ar-SA"/>
              </w:rPr>
              <w:t>6</w:t>
            </w:r>
            <w:r w:rsidRPr="00C2587D">
              <w:rPr>
                <w:rFonts w:eastAsia="Lucida Sans Unicode" w:cs="Arial"/>
                <w:kern w:val="1"/>
                <w:sz w:val="20"/>
                <w:szCs w:val="20"/>
                <w:lang w:eastAsia="ar-SA"/>
              </w:rPr>
              <w:t>. Капітальний ремонт внутрішньбудинкових систем водопостачання та водовідведення.</w:t>
            </w:r>
          </w:p>
          <w:p w14:paraId="0F47AE7F" w14:textId="77777777" w:rsidR="006925DC" w:rsidRPr="00C2587D" w:rsidRDefault="006925DC" w:rsidP="002E392A">
            <w:pPr>
              <w:spacing w:before="20" w:after="20"/>
              <w:contextualSpacing/>
              <w:jc w:val="both"/>
              <w:rPr>
                <w:rFonts w:eastAsia="Lucida Sans Unicode" w:cs="Arial"/>
                <w:kern w:val="1"/>
                <w:sz w:val="20"/>
                <w:szCs w:val="20"/>
                <w:lang w:eastAsia="ar-SA"/>
              </w:rPr>
            </w:pPr>
            <w:r w:rsidRPr="00C2587D">
              <w:rPr>
                <w:rFonts w:eastAsia="Lucida Sans Unicode" w:cs="Arial"/>
                <w:kern w:val="1"/>
                <w:sz w:val="20"/>
                <w:szCs w:val="20"/>
                <w:lang w:eastAsia="ar-SA"/>
              </w:rPr>
              <w:t>В.1.5.</w:t>
            </w:r>
            <w:r w:rsidR="00621D8B" w:rsidRPr="00C2587D">
              <w:rPr>
                <w:rFonts w:eastAsia="Lucida Sans Unicode" w:cs="Arial"/>
                <w:kern w:val="1"/>
                <w:sz w:val="20"/>
                <w:szCs w:val="20"/>
                <w:lang w:eastAsia="ar-SA"/>
              </w:rPr>
              <w:t>7</w:t>
            </w:r>
            <w:r w:rsidRPr="00C2587D">
              <w:rPr>
                <w:rFonts w:eastAsia="Lucida Sans Unicode" w:cs="Arial"/>
                <w:kern w:val="1"/>
                <w:sz w:val="20"/>
                <w:szCs w:val="20"/>
                <w:lang w:eastAsia="ar-SA"/>
              </w:rPr>
              <w:t>. Модернізація ліфтового господарства.</w:t>
            </w:r>
          </w:p>
          <w:p w14:paraId="4BFDFE93" w14:textId="77777777" w:rsidR="006925DC" w:rsidRPr="00C2587D" w:rsidRDefault="006925DC" w:rsidP="002E392A">
            <w:pPr>
              <w:spacing w:before="20" w:after="20"/>
              <w:contextualSpacing/>
              <w:jc w:val="both"/>
              <w:rPr>
                <w:rFonts w:eastAsia="Lucida Sans Unicode" w:cs="Arial"/>
                <w:kern w:val="1"/>
                <w:sz w:val="20"/>
                <w:szCs w:val="20"/>
                <w:lang w:eastAsia="ar-SA"/>
              </w:rPr>
            </w:pPr>
            <w:r w:rsidRPr="00C2587D">
              <w:rPr>
                <w:rFonts w:eastAsia="Lucida Sans Unicode" w:cs="Arial"/>
                <w:kern w:val="1"/>
                <w:sz w:val="20"/>
                <w:szCs w:val="20"/>
                <w:lang w:eastAsia="ar-SA"/>
              </w:rPr>
              <w:t>В.1.5.</w:t>
            </w:r>
            <w:r w:rsidR="00621D8B" w:rsidRPr="00C2587D">
              <w:rPr>
                <w:rFonts w:eastAsia="Lucida Sans Unicode" w:cs="Arial"/>
                <w:kern w:val="1"/>
                <w:sz w:val="20"/>
                <w:szCs w:val="20"/>
                <w:lang w:eastAsia="ar-SA"/>
              </w:rPr>
              <w:t>8</w:t>
            </w:r>
            <w:r w:rsidRPr="00C2587D">
              <w:rPr>
                <w:rFonts w:eastAsia="Lucida Sans Unicode" w:cs="Arial"/>
                <w:kern w:val="1"/>
                <w:sz w:val="20"/>
                <w:szCs w:val="20"/>
                <w:lang w:eastAsia="ar-SA"/>
              </w:rPr>
              <w:t>. Капітальний ремонт прибудинкових територій.</w:t>
            </w:r>
          </w:p>
          <w:p w14:paraId="6A1C2F55" w14:textId="77777777" w:rsidR="00EE6085" w:rsidRPr="00C2587D" w:rsidRDefault="006925DC" w:rsidP="002E392A">
            <w:pPr>
              <w:jc w:val="both"/>
              <w:rPr>
                <w:rFonts w:cs="Arial"/>
                <w:color w:val="000000"/>
                <w:sz w:val="20"/>
                <w:szCs w:val="20"/>
                <w:lang w:eastAsia="uk-UA"/>
              </w:rPr>
            </w:pPr>
            <w:r w:rsidRPr="00C2587D">
              <w:rPr>
                <w:rFonts w:eastAsia="Lucida Sans Unicode" w:cs="Arial"/>
                <w:kern w:val="1"/>
                <w:sz w:val="20"/>
                <w:szCs w:val="20"/>
                <w:lang w:eastAsia="ar-SA"/>
              </w:rPr>
              <w:t>В.1.5.</w:t>
            </w:r>
            <w:r w:rsidR="00621D8B" w:rsidRPr="00C2587D">
              <w:rPr>
                <w:rFonts w:eastAsia="Lucida Sans Unicode" w:cs="Arial"/>
                <w:kern w:val="1"/>
                <w:sz w:val="20"/>
                <w:szCs w:val="20"/>
                <w:lang w:eastAsia="ar-SA"/>
              </w:rPr>
              <w:t>9</w:t>
            </w:r>
            <w:r w:rsidRPr="00C2587D">
              <w:rPr>
                <w:rFonts w:eastAsia="Lucida Sans Unicode" w:cs="Arial"/>
                <w:kern w:val="1"/>
                <w:sz w:val="20"/>
                <w:szCs w:val="20"/>
                <w:lang w:eastAsia="ar-SA"/>
              </w:rPr>
              <w:t xml:space="preserve">. </w:t>
            </w:r>
            <w:r w:rsidRPr="00C2587D">
              <w:rPr>
                <w:rFonts w:cs="Arial"/>
                <w:sz w:val="20"/>
                <w:szCs w:val="20"/>
              </w:rPr>
              <w:t>Покращення благоустрою прибудинкових територій.</w:t>
            </w:r>
          </w:p>
        </w:tc>
      </w:tr>
      <w:tr w:rsidR="00EE6085" w:rsidRPr="00C2587D" w14:paraId="30F34392" w14:textId="77777777" w:rsidTr="00CA089A">
        <w:trPr>
          <w:trHeight w:val="1130"/>
        </w:trPr>
        <w:tc>
          <w:tcPr>
            <w:tcW w:w="1975" w:type="dxa"/>
            <w:vMerge/>
            <w:vAlign w:val="center"/>
            <w:hideMark/>
          </w:tcPr>
          <w:p w14:paraId="71DECEBE" w14:textId="77777777" w:rsidR="00EE6085" w:rsidRPr="00C2587D" w:rsidRDefault="00EE6085" w:rsidP="002E392A">
            <w:pPr>
              <w:rPr>
                <w:rFonts w:cs="Arial"/>
                <w:b/>
                <w:sz w:val="20"/>
                <w:szCs w:val="20"/>
                <w:lang w:eastAsia="uk-UA"/>
              </w:rPr>
            </w:pPr>
          </w:p>
        </w:tc>
        <w:tc>
          <w:tcPr>
            <w:tcW w:w="2693" w:type="dxa"/>
            <w:vMerge w:val="restart"/>
            <w:shd w:val="clear" w:color="auto" w:fill="auto"/>
            <w:noWrap/>
            <w:vAlign w:val="center"/>
          </w:tcPr>
          <w:p w14:paraId="0BAE45B7" w14:textId="77777777" w:rsidR="00373DF4" w:rsidRPr="00C2587D" w:rsidRDefault="00373DF4" w:rsidP="002E392A">
            <w:pPr>
              <w:rPr>
                <w:rFonts w:cs="Arial"/>
                <w:b/>
                <w:sz w:val="20"/>
                <w:szCs w:val="20"/>
                <w:lang w:eastAsia="uk-UA"/>
              </w:rPr>
            </w:pPr>
            <w:bookmarkStart w:id="11" w:name="_Hlk67642270"/>
          </w:p>
          <w:p w14:paraId="37B5262B" w14:textId="77777777" w:rsidR="00373DF4" w:rsidRPr="00C2587D" w:rsidRDefault="00373DF4" w:rsidP="002E392A">
            <w:pPr>
              <w:rPr>
                <w:rFonts w:cs="Arial"/>
                <w:b/>
                <w:sz w:val="20"/>
                <w:szCs w:val="20"/>
                <w:lang w:eastAsia="uk-UA"/>
              </w:rPr>
            </w:pPr>
          </w:p>
          <w:p w14:paraId="3B860B4D" w14:textId="77777777" w:rsidR="00373DF4" w:rsidRPr="00C2587D" w:rsidRDefault="00373DF4" w:rsidP="002E392A">
            <w:pPr>
              <w:rPr>
                <w:rFonts w:cs="Arial"/>
                <w:b/>
                <w:sz w:val="20"/>
                <w:szCs w:val="20"/>
                <w:lang w:eastAsia="uk-UA"/>
              </w:rPr>
            </w:pPr>
          </w:p>
          <w:p w14:paraId="206C4DFC" w14:textId="77777777" w:rsidR="00373DF4" w:rsidRPr="00C2587D" w:rsidRDefault="00373DF4" w:rsidP="002E392A">
            <w:pPr>
              <w:rPr>
                <w:rFonts w:cs="Arial"/>
                <w:b/>
                <w:sz w:val="20"/>
                <w:szCs w:val="20"/>
                <w:lang w:eastAsia="uk-UA"/>
              </w:rPr>
            </w:pPr>
          </w:p>
          <w:p w14:paraId="75F87B2F" w14:textId="77777777" w:rsidR="00373DF4" w:rsidRPr="00C2587D" w:rsidRDefault="00373DF4" w:rsidP="002E392A">
            <w:pPr>
              <w:rPr>
                <w:rFonts w:cs="Arial"/>
                <w:b/>
                <w:sz w:val="20"/>
                <w:szCs w:val="20"/>
                <w:lang w:eastAsia="uk-UA"/>
              </w:rPr>
            </w:pPr>
          </w:p>
          <w:p w14:paraId="589AB495" w14:textId="77777777" w:rsidR="00373DF4" w:rsidRPr="00C2587D" w:rsidRDefault="00373DF4" w:rsidP="002E392A">
            <w:pPr>
              <w:rPr>
                <w:rFonts w:cs="Arial"/>
                <w:b/>
                <w:sz w:val="20"/>
                <w:szCs w:val="20"/>
                <w:lang w:eastAsia="uk-UA"/>
              </w:rPr>
            </w:pPr>
          </w:p>
          <w:p w14:paraId="420E915E" w14:textId="77777777" w:rsidR="00373DF4" w:rsidRPr="00C2587D" w:rsidRDefault="00373DF4" w:rsidP="002E392A">
            <w:pPr>
              <w:rPr>
                <w:rFonts w:cs="Arial"/>
                <w:b/>
                <w:sz w:val="20"/>
                <w:szCs w:val="20"/>
                <w:lang w:eastAsia="uk-UA"/>
              </w:rPr>
            </w:pPr>
          </w:p>
          <w:p w14:paraId="42B86FD6" w14:textId="77777777" w:rsidR="006B0893" w:rsidRPr="00C2587D" w:rsidRDefault="006B0893" w:rsidP="002E392A">
            <w:pPr>
              <w:rPr>
                <w:rFonts w:cs="Arial"/>
                <w:b/>
                <w:sz w:val="20"/>
                <w:szCs w:val="20"/>
                <w:lang w:eastAsia="uk-UA"/>
              </w:rPr>
            </w:pPr>
          </w:p>
          <w:p w14:paraId="43EBA9CD" w14:textId="77777777" w:rsidR="00373DF4" w:rsidRPr="00C2587D" w:rsidRDefault="00373DF4" w:rsidP="002E392A">
            <w:pPr>
              <w:rPr>
                <w:rFonts w:cs="Arial"/>
                <w:b/>
                <w:sz w:val="20"/>
                <w:szCs w:val="20"/>
                <w:lang w:eastAsia="uk-UA"/>
              </w:rPr>
            </w:pPr>
          </w:p>
          <w:p w14:paraId="42DDF178" w14:textId="77777777" w:rsidR="00373DF4" w:rsidRPr="00C2587D" w:rsidRDefault="00373DF4" w:rsidP="002E392A">
            <w:pPr>
              <w:rPr>
                <w:rFonts w:cs="Arial"/>
                <w:b/>
                <w:sz w:val="20"/>
                <w:szCs w:val="20"/>
                <w:lang w:eastAsia="uk-UA"/>
              </w:rPr>
            </w:pPr>
          </w:p>
          <w:p w14:paraId="578553D2" w14:textId="77777777" w:rsidR="00EE6085" w:rsidRPr="00C2587D" w:rsidRDefault="00EE6085" w:rsidP="002E392A">
            <w:pPr>
              <w:rPr>
                <w:rFonts w:cs="Arial"/>
                <w:color w:val="000000"/>
                <w:sz w:val="20"/>
                <w:szCs w:val="20"/>
                <w:lang w:eastAsia="uk-UA"/>
              </w:rPr>
            </w:pPr>
            <w:r w:rsidRPr="00C2587D">
              <w:rPr>
                <w:rFonts w:cs="Arial"/>
                <w:b/>
                <w:sz w:val="20"/>
                <w:szCs w:val="20"/>
                <w:lang w:eastAsia="uk-UA"/>
              </w:rPr>
              <w:t>В.2. Забезпечення підвищення енергоефективності в громаді</w:t>
            </w:r>
            <w:bookmarkEnd w:id="11"/>
          </w:p>
        </w:tc>
        <w:tc>
          <w:tcPr>
            <w:tcW w:w="2840" w:type="dxa"/>
            <w:shd w:val="clear" w:color="auto" w:fill="auto"/>
            <w:vAlign w:val="center"/>
          </w:tcPr>
          <w:p w14:paraId="6EB076F7" w14:textId="77777777" w:rsidR="00EE6085" w:rsidRPr="00C2587D" w:rsidRDefault="00EE6085" w:rsidP="002E392A">
            <w:pPr>
              <w:rPr>
                <w:rFonts w:cs="Arial"/>
                <w:bCs/>
                <w:color w:val="000000"/>
                <w:sz w:val="20"/>
                <w:szCs w:val="20"/>
                <w:lang w:eastAsia="uk-UA"/>
              </w:rPr>
            </w:pPr>
            <w:r w:rsidRPr="00C2587D">
              <w:rPr>
                <w:rFonts w:cs="Arial"/>
                <w:bCs/>
                <w:sz w:val="20"/>
                <w:szCs w:val="20"/>
              </w:rPr>
              <w:t>В.2.1. Ефективний муніципальний енергоменеджмент, енергомоніторинг та реалізація заходів ПДСЕР і К</w:t>
            </w:r>
          </w:p>
        </w:tc>
        <w:tc>
          <w:tcPr>
            <w:tcW w:w="7655" w:type="dxa"/>
            <w:shd w:val="clear" w:color="auto" w:fill="auto"/>
          </w:tcPr>
          <w:p w14:paraId="02D0C983" w14:textId="77777777" w:rsidR="00621D8B" w:rsidRPr="00C2587D" w:rsidRDefault="00621D8B"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it-IT"/>
              </w:rPr>
              <w:t>В.2.1.1. Вдосконалення системи муніципального енергоменеджменту, фахова освіта та підготовка енергоменеджерів (відповідальних осіб).</w:t>
            </w:r>
          </w:p>
          <w:p w14:paraId="1ECF49BC" w14:textId="77777777" w:rsidR="00621D8B" w:rsidRPr="00C2587D" w:rsidRDefault="00621D8B"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it-IT"/>
              </w:rPr>
              <w:t>В.2.1.2. Впровадження інформаційної системи енергомоніторингу, аналіз виконання та розробка плану дій сталого енергетичного розвитку  ПДСЕР і К.</w:t>
            </w:r>
          </w:p>
          <w:p w14:paraId="114C6C0C" w14:textId="77777777" w:rsidR="00621D8B" w:rsidRPr="00C2587D" w:rsidRDefault="00621D8B"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it-IT"/>
              </w:rPr>
              <w:t>В.2.1.3. Створення інвестиційної платформи для запровадження енергосервісу.</w:t>
            </w:r>
          </w:p>
          <w:p w14:paraId="3BD9BC0F" w14:textId="77777777" w:rsidR="00621D8B" w:rsidRPr="00C2587D" w:rsidRDefault="00621D8B"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it-IT"/>
              </w:rPr>
              <w:t xml:space="preserve">В.2.1.4. </w:t>
            </w:r>
            <w:r w:rsidRPr="00C2587D">
              <w:rPr>
                <w:rFonts w:eastAsia="Lucida Sans Unicode" w:cs="Arial"/>
                <w:kern w:val="1"/>
                <w:sz w:val="20"/>
                <w:szCs w:val="20"/>
                <w:lang w:eastAsia="ar-SA"/>
              </w:rPr>
              <w:t>Проведення масово-роз`яснювальної роботи серед дітей молодшого віку, учнів, молоді та жителів громади щодо енергозбереження та запобігання змінам клімату.</w:t>
            </w:r>
          </w:p>
          <w:p w14:paraId="2B107207" w14:textId="77777777" w:rsidR="00EE6085" w:rsidRPr="00C2587D" w:rsidRDefault="00621D8B" w:rsidP="002E392A">
            <w:pPr>
              <w:spacing w:before="20" w:after="20"/>
              <w:jc w:val="both"/>
              <w:rPr>
                <w:rFonts w:cs="Arial"/>
                <w:color w:val="000000"/>
                <w:sz w:val="20"/>
                <w:szCs w:val="20"/>
                <w:lang w:eastAsia="uk-UA"/>
              </w:rPr>
            </w:pPr>
            <w:r w:rsidRPr="00C2587D">
              <w:rPr>
                <w:rFonts w:eastAsia="Lucida Sans Unicode" w:cs="Arial"/>
                <w:kern w:val="1"/>
                <w:sz w:val="20"/>
                <w:szCs w:val="20"/>
                <w:lang w:eastAsia="it-IT"/>
              </w:rPr>
              <w:t xml:space="preserve">В.2.1.5. </w:t>
            </w:r>
            <w:r w:rsidRPr="00C2587D">
              <w:rPr>
                <w:rFonts w:cs="Arial"/>
                <w:sz w:val="20"/>
                <w:szCs w:val="20"/>
                <w:lang w:eastAsia="it-IT"/>
              </w:rPr>
              <w:t>Розробка енергопаспортів на будівлі</w:t>
            </w:r>
            <w:r w:rsidRPr="00C2587D">
              <w:rPr>
                <w:rFonts w:cs="Arial"/>
                <w:sz w:val="20"/>
                <w:szCs w:val="20"/>
              </w:rPr>
              <w:t xml:space="preserve"> </w:t>
            </w:r>
            <w:r w:rsidRPr="00C2587D">
              <w:rPr>
                <w:rFonts w:cs="Arial"/>
                <w:sz w:val="20"/>
                <w:szCs w:val="20"/>
                <w:lang w:eastAsia="it-IT"/>
              </w:rPr>
              <w:t>бюджетної та комунальної сфери</w:t>
            </w:r>
          </w:p>
        </w:tc>
      </w:tr>
      <w:tr w:rsidR="00EE6085" w:rsidRPr="00C2587D" w14:paraId="1CAF5991" w14:textId="77777777" w:rsidTr="00CA089A">
        <w:trPr>
          <w:trHeight w:val="1042"/>
        </w:trPr>
        <w:tc>
          <w:tcPr>
            <w:tcW w:w="1975" w:type="dxa"/>
            <w:vMerge/>
            <w:vAlign w:val="center"/>
            <w:hideMark/>
          </w:tcPr>
          <w:p w14:paraId="7F740762" w14:textId="77777777" w:rsidR="00EE6085" w:rsidRPr="00C2587D" w:rsidRDefault="00EE6085" w:rsidP="002E392A">
            <w:pPr>
              <w:rPr>
                <w:rFonts w:cs="Arial"/>
                <w:b/>
                <w:sz w:val="20"/>
                <w:szCs w:val="20"/>
                <w:lang w:eastAsia="uk-UA"/>
              </w:rPr>
            </w:pPr>
          </w:p>
        </w:tc>
        <w:tc>
          <w:tcPr>
            <w:tcW w:w="2693" w:type="dxa"/>
            <w:vMerge/>
            <w:vAlign w:val="center"/>
          </w:tcPr>
          <w:p w14:paraId="214C4885" w14:textId="77777777" w:rsidR="00EE6085" w:rsidRPr="00C2587D" w:rsidRDefault="00EE6085" w:rsidP="002E392A">
            <w:pPr>
              <w:rPr>
                <w:rFonts w:cs="Arial"/>
                <w:color w:val="000000"/>
                <w:sz w:val="20"/>
                <w:szCs w:val="20"/>
                <w:lang w:eastAsia="uk-UA"/>
              </w:rPr>
            </w:pPr>
          </w:p>
        </w:tc>
        <w:tc>
          <w:tcPr>
            <w:tcW w:w="2840" w:type="dxa"/>
            <w:shd w:val="clear" w:color="auto" w:fill="auto"/>
            <w:vAlign w:val="center"/>
          </w:tcPr>
          <w:p w14:paraId="40801034" w14:textId="5E25AB92" w:rsidR="00EE6085" w:rsidRPr="00C2587D" w:rsidRDefault="00EE6085" w:rsidP="002E392A">
            <w:pPr>
              <w:autoSpaceDE w:val="0"/>
              <w:autoSpaceDN w:val="0"/>
              <w:adjustRightInd w:val="0"/>
              <w:rPr>
                <w:rFonts w:cs="Arial"/>
                <w:bCs/>
                <w:color w:val="000000"/>
                <w:sz w:val="20"/>
                <w:szCs w:val="20"/>
                <w:lang w:eastAsia="uk-UA"/>
              </w:rPr>
            </w:pPr>
            <w:bookmarkStart w:id="12" w:name="_Hlk67645982"/>
            <w:r w:rsidRPr="00C2587D">
              <w:rPr>
                <w:rFonts w:cs="Arial"/>
                <w:bCs/>
                <w:sz w:val="20"/>
                <w:szCs w:val="20"/>
              </w:rPr>
              <w:t>В.2.2. Енергоефективні будівлі бюджетної, комунальної, житлової сфери та енергоаудит</w:t>
            </w:r>
            <w:bookmarkEnd w:id="12"/>
          </w:p>
        </w:tc>
        <w:tc>
          <w:tcPr>
            <w:tcW w:w="7655" w:type="dxa"/>
            <w:shd w:val="clear" w:color="auto" w:fill="auto"/>
          </w:tcPr>
          <w:p w14:paraId="0BFA7256" w14:textId="77777777" w:rsidR="008E26B8" w:rsidRPr="00C2587D" w:rsidRDefault="008E26B8" w:rsidP="002E392A">
            <w:pPr>
              <w:spacing w:before="20" w:after="20"/>
              <w:jc w:val="both"/>
              <w:rPr>
                <w:rFonts w:cs="Arial"/>
                <w:sz w:val="20"/>
                <w:szCs w:val="20"/>
              </w:rPr>
            </w:pPr>
            <w:r w:rsidRPr="00C2587D">
              <w:rPr>
                <w:rFonts w:cs="Arial"/>
                <w:sz w:val="20"/>
                <w:szCs w:val="20"/>
                <w:lang w:eastAsia="it-IT"/>
              </w:rPr>
              <w:t>В.2.2.1. Енергоаудит будівель комунальної власності (освіта, охорона здоров’я).</w:t>
            </w:r>
          </w:p>
          <w:p w14:paraId="2200FFBF" w14:textId="77777777" w:rsidR="008E26B8" w:rsidRPr="00C2587D" w:rsidRDefault="008E26B8" w:rsidP="002E392A">
            <w:pPr>
              <w:spacing w:before="20" w:after="20"/>
              <w:jc w:val="both"/>
              <w:rPr>
                <w:rFonts w:cs="Arial"/>
                <w:sz w:val="20"/>
                <w:szCs w:val="20"/>
                <w:lang w:eastAsia="it-IT"/>
              </w:rPr>
            </w:pPr>
            <w:r w:rsidRPr="00C2587D">
              <w:rPr>
                <w:rFonts w:cs="Arial"/>
                <w:sz w:val="20"/>
                <w:szCs w:val="20"/>
                <w:lang w:eastAsia="it-IT"/>
              </w:rPr>
              <w:t>В.2.2.</w:t>
            </w:r>
            <w:r w:rsidR="008A3B4C" w:rsidRPr="00C2587D">
              <w:rPr>
                <w:rFonts w:cs="Arial"/>
                <w:sz w:val="20"/>
                <w:szCs w:val="20"/>
                <w:lang w:eastAsia="it-IT"/>
              </w:rPr>
              <w:t>2</w:t>
            </w:r>
            <w:r w:rsidRPr="00C2587D">
              <w:rPr>
                <w:rFonts w:cs="Arial"/>
                <w:sz w:val="20"/>
                <w:szCs w:val="20"/>
                <w:lang w:eastAsia="it-IT"/>
              </w:rPr>
              <w:t>. Енергоаудит житлового сектору.</w:t>
            </w:r>
          </w:p>
          <w:p w14:paraId="1B600633" w14:textId="77777777" w:rsidR="008E26B8" w:rsidRPr="00C2587D" w:rsidRDefault="008E26B8" w:rsidP="002E392A">
            <w:pPr>
              <w:spacing w:before="20" w:after="20"/>
              <w:jc w:val="both"/>
              <w:rPr>
                <w:rFonts w:cs="Arial"/>
                <w:sz w:val="20"/>
                <w:szCs w:val="20"/>
                <w:lang w:eastAsia="it-IT"/>
              </w:rPr>
            </w:pPr>
            <w:r w:rsidRPr="00C2587D">
              <w:rPr>
                <w:rFonts w:cs="Arial"/>
                <w:sz w:val="20"/>
                <w:szCs w:val="20"/>
                <w:lang w:eastAsia="it-IT"/>
              </w:rPr>
              <w:t>В.2.2.</w:t>
            </w:r>
            <w:r w:rsidR="008A3B4C" w:rsidRPr="00C2587D">
              <w:rPr>
                <w:rFonts w:cs="Arial"/>
                <w:sz w:val="20"/>
                <w:szCs w:val="20"/>
                <w:lang w:eastAsia="it-IT"/>
              </w:rPr>
              <w:t>3</w:t>
            </w:r>
            <w:r w:rsidRPr="00C2587D">
              <w:rPr>
                <w:rFonts w:cs="Arial"/>
                <w:sz w:val="20"/>
                <w:szCs w:val="20"/>
                <w:lang w:eastAsia="it-IT"/>
              </w:rPr>
              <w:t>. Впровадження енергоефективних заходів та обладнання на об’єктах комунальної власності громади, забезпечення термомодернізації об’єктів комунальної власності.</w:t>
            </w:r>
          </w:p>
          <w:p w14:paraId="4DDA94C3" w14:textId="77777777" w:rsidR="008E26B8" w:rsidRPr="00C2587D" w:rsidRDefault="008E26B8" w:rsidP="002E392A">
            <w:pPr>
              <w:spacing w:before="20" w:after="20"/>
              <w:jc w:val="both"/>
              <w:rPr>
                <w:rFonts w:cs="Arial"/>
                <w:sz w:val="20"/>
                <w:szCs w:val="20"/>
                <w:lang w:eastAsia="it-IT"/>
              </w:rPr>
            </w:pPr>
            <w:r w:rsidRPr="00C2587D">
              <w:rPr>
                <w:rFonts w:cs="Arial"/>
                <w:sz w:val="20"/>
                <w:szCs w:val="20"/>
                <w:lang w:eastAsia="it-IT"/>
              </w:rPr>
              <w:t>В.2.2.</w:t>
            </w:r>
            <w:r w:rsidR="002C22A5" w:rsidRPr="00C2587D">
              <w:rPr>
                <w:rFonts w:cs="Arial"/>
                <w:sz w:val="20"/>
                <w:szCs w:val="20"/>
                <w:lang w:eastAsia="it-IT"/>
              </w:rPr>
              <w:t>4</w:t>
            </w:r>
            <w:r w:rsidRPr="00C2587D">
              <w:rPr>
                <w:rFonts w:cs="Arial"/>
                <w:sz w:val="20"/>
                <w:szCs w:val="20"/>
                <w:lang w:eastAsia="it-IT"/>
              </w:rPr>
              <w:t>. Сприяння у використані «теплих кредитів» для населення громади.</w:t>
            </w:r>
          </w:p>
          <w:p w14:paraId="5589EC8F" w14:textId="77777777" w:rsidR="008E26B8" w:rsidRPr="00C2587D" w:rsidRDefault="008E26B8" w:rsidP="002E392A">
            <w:pPr>
              <w:spacing w:before="20" w:after="20"/>
              <w:jc w:val="both"/>
              <w:rPr>
                <w:rFonts w:cs="Arial"/>
                <w:sz w:val="20"/>
                <w:szCs w:val="20"/>
              </w:rPr>
            </w:pPr>
            <w:r w:rsidRPr="00C2587D">
              <w:rPr>
                <w:rFonts w:cs="Arial"/>
                <w:sz w:val="20"/>
                <w:szCs w:val="20"/>
                <w:lang w:eastAsia="it-IT"/>
              </w:rPr>
              <w:t>В.2.2.</w:t>
            </w:r>
            <w:r w:rsidR="002C22A5" w:rsidRPr="00C2587D">
              <w:rPr>
                <w:rFonts w:cs="Arial"/>
                <w:sz w:val="20"/>
                <w:szCs w:val="20"/>
                <w:lang w:eastAsia="it-IT"/>
              </w:rPr>
              <w:t>5.</w:t>
            </w:r>
            <w:r w:rsidRPr="00C2587D">
              <w:rPr>
                <w:rFonts w:cs="Arial"/>
                <w:sz w:val="20"/>
                <w:szCs w:val="20"/>
                <w:lang w:eastAsia="it-IT"/>
              </w:rPr>
              <w:t xml:space="preserve"> Забезпечення житлового фонду та бюджетних установ приладами обліку для обліку споживання енергоносіїв.</w:t>
            </w:r>
          </w:p>
          <w:p w14:paraId="2744FD1F" w14:textId="77777777" w:rsidR="00EE6085" w:rsidRPr="00C2587D" w:rsidRDefault="008E26B8" w:rsidP="002E392A">
            <w:pPr>
              <w:jc w:val="both"/>
              <w:rPr>
                <w:rFonts w:cs="Arial"/>
                <w:color w:val="000000"/>
                <w:sz w:val="20"/>
                <w:szCs w:val="20"/>
                <w:lang w:eastAsia="uk-UA"/>
              </w:rPr>
            </w:pPr>
            <w:r w:rsidRPr="00C2587D">
              <w:rPr>
                <w:rFonts w:cs="Arial"/>
                <w:sz w:val="20"/>
                <w:szCs w:val="20"/>
                <w:lang w:eastAsia="it-IT"/>
              </w:rPr>
              <w:t>В.2.2.</w:t>
            </w:r>
            <w:r w:rsidR="002C22A5" w:rsidRPr="00C2587D">
              <w:rPr>
                <w:rFonts w:cs="Arial"/>
                <w:sz w:val="20"/>
                <w:szCs w:val="20"/>
                <w:lang w:eastAsia="it-IT"/>
              </w:rPr>
              <w:t>6</w:t>
            </w:r>
            <w:r w:rsidRPr="00C2587D">
              <w:rPr>
                <w:rFonts w:cs="Arial"/>
                <w:sz w:val="20"/>
                <w:szCs w:val="20"/>
                <w:lang w:eastAsia="it-IT"/>
              </w:rPr>
              <w:t xml:space="preserve">. </w:t>
            </w:r>
            <w:r w:rsidRPr="00C2587D">
              <w:rPr>
                <w:rFonts w:cs="Arial"/>
                <w:bCs/>
                <w:sz w:val="20"/>
                <w:szCs w:val="20"/>
              </w:rPr>
              <w:t>Впровадження альтернативної енергетики.</w:t>
            </w:r>
          </w:p>
        </w:tc>
      </w:tr>
      <w:tr w:rsidR="00EE6085" w:rsidRPr="00C2587D" w14:paraId="18FAFA99" w14:textId="77777777" w:rsidTr="00CA089A">
        <w:trPr>
          <w:trHeight w:val="1042"/>
        </w:trPr>
        <w:tc>
          <w:tcPr>
            <w:tcW w:w="1975" w:type="dxa"/>
            <w:vMerge/>
            <w:vAlign w:val="center"/>
          </w:tcPr>
          <w:p w14:paraId="0E0BD836" w14:textId="77777777" w:rsidR="00EE6085" w:rsidRPr="00C2587D" w:rsidRDefault="00EE6085" w:rsidP="002E392A">
            <w:pPr>
              <w:rPr>
                <w:rFonts w:cs="Arial"/>
                <w:b/>
                <w:sz w:val="20"/>
                <w:szCs w:val="20"/>
                <w:lang w:eastAsia="uk-UA"/>
              </w:rPr>
            </w:pPr>
          </w:p>
        </w:tc>
        <w:tc>
          <w:tcPr>
            <w:tcW w:w="2693" w:type="dxa"/>
            <w:vMerge/>
            <w:vAlign w:val="center"/>
          </w:tcPr>
          <w:p w14:paraId="77723C7F" w14:textId="77777777" w:rsidR="00EE6085" w:rsidRPr="00C2587D" w:rsidRDefault="00EE6085" w:rsidP="002E392A">
            <w:pPr>
              <w:rPr>
                <w:rFonts w:cs="Arial"/>
                <w:color w:val="000000"/>
                <w:sz w:val="20"/>
                <w:szCs w:val="20"/>
                <w:lang w:eastAsia="uk-UA"/>
              </w:rPr>
            </w:pPr>
          </w:p>
        </w:tc>
        <w:tc>
          <w:tcPr>
            <w:tcW w:w="2840" w:type="dxa"/>
            <w:shd w:val="clear" w:color="auto" w:fill="auto"/>
            <w:vAlign w:val="center"/>
          </w:tcPr>
          <w:p w14:paraId="170E0254" w14:textId="77777777" w:rsidR="00EE6085" w:rsidRPr="00C2587D" w:rsidRDefault="00EE6085" w:rsidP="002E392A">
            <w:pPr>
              <w:rPr>
                <w:rFonts w:cs="Arial"/>
                <w:bCs/>
                <w:color w:val="000000"/>
                <w:sz w:val="20"/>
                <w:szCs w:val="20"/>
                <w:lang w:eastAsia="uk-UA"/>
              </w:rPr>
            </w:pPr>
            <w:r w:rsidRPr="00C2587D">
              <w:rPr>
                <w:rFonts w:cs="Arial"/>
                <w:bCs/>
                <w:sz w:val="20"/>
                <w:szCs w:val="20"/>
              </w:rPr>
              <w:t>В.2.3. Енергоефективна освітня та діалогова платформа</w:t>
            </w:r>
          </w:p>
        </w:tc>
        <w:tc>
          <w:tcPr>
            <w:tcW w:w="7655" w:type="dxa"/>
            <w:shd w:val="clear" w:color="auto" w:fill="auto"/>
          </w:tcPr>
          <w:p w14:paraId="0F7BFB87" w14:textId="77777777" w:rsidR="00CF4D7E" w:rsidRPr="00C2587D" w:rsidRDefault="00CF4D7E"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В.2.3.1. Проведення Днів енергії.</w:t>
            </w:r>
          </w:p>
          <w:p w14:paraId="226D2790" w14:textId="77777777" w:rsidR="00CF4D7E" w:rsidRPr="00C2587D" w:rsidRDefault="00CF4D7E"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 xml:space="preserve">В.2.3.2. Впровадження системи навчання населення з питань енергоефективності. </w:t>
            </w:r>
          </w:p>
          <w:p w14:paraId="509377A8" w14:textId="77777777" w:rsidR="00CF4D7E" w:rsidRPr="00C2587D" w:rsidRDefault="00CF4D7E"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В.2.3.3. Проведення Форумів, виставок.</w:t>
            </w:r>
          </w:p>
          <w:p w14:paraId="446258A6" w14:textId="77777777" w:rsidR="00CF4D7E" w:rsidRPr="00C2587D" w:rsidRDefault="00CF4D7E"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В.2.3.4. Проведення інформаційної кампанії серед дітей, молоді та жителів громади щодо енергозбереження та запобігання змінам клімату.</w:t>
            </w:r>
          </w:p>
          <w:p w14:paraId="0BEFB25F" w14:textId="77777777" w:rsidR="00CF4D7E" w:rsidRPr="00C2587D" w:rsidRDefault="00CF4D7E"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В.2.3.5. Запровадження просвітницьких компаній щодо запровадження кредитних механізмів енергоефективності для населення «Теплі кредити».</w:t>
            </w:r>
          </w:p>
          <w:p w14:paraId="059AA6BB" w14:textId="091764C2" w:rsidR="00EE6085" w:rsidRPr="00C2587D" w:rsidRDefault="00CF4D7E" w:rsidP="002E392A">
            <w:pPr>
              <w:jc w:val="both"/>
              <w:rPr>
                <w:rFonts w:cs="Arial"/>
                <w:color w:val="000000"/>
                <w:sz w:val="20"/>
                <w:szCs w:val="20"/>
                <w:lang w:eastAsia="uk-UA"/>
              </w:rPr>
            </w:pPr>
            <w:r w:rsidRPr="00C2587D">
              <w:rPr>
                <w:rFonts w:eastAsia="Lucida Sans Unicode" w:cs="Arial"/>
                <w:kern w:val="1"/>
                <w:sz w:val="20"/>
                <w:szCs w:val="20"/>
                <w:lang w:eastAsia="ar-SA"/>
              </w:rPr>
              <w:t xml:space="preserve">В.2.3.6. </w:t>
            </w:r>
            <w:r w:rsidR="00314B9D">
              <w:rPr>
                <w:rFonts w:cs="Arial"/>
                <w:sz w:val="20"/>
                <w:szCs w:val="20"/>
              </w:rPr>
              <w:t>Проєкт</w:t>
            </w:r>
            <w:r w:rsidRPr="00C2587D">
              <w:rPr>
                <w:rFonts w:cs="Arial"/>
                <w:sz w:val="20"/>
                <w:szCs w:val="20"/>
              </w:rPr>
              <w:t xml:space="preserve">ний менеджмент в сфері енергоефективності, залучення міжнародної технічної допомоги для впровадження енергоефективних </w:t>
            </w:r>
            <w:r w:rsidR="00314B9D">
              <w:rPr>
                <w:rFonts w:cs="Arial"/>
                <w:sz w:val="20"/>
                <w:szCs w:val="20"/>
              </w:rPr>
              <w:t>проєкт</w:t>
            </w:r>
            <w:r w:rsidRPr="00C2587D">
              <w:rPr>
                <w:rFonts w:cs="Arial"/>
                <w:sz w:val="20"/>
                <w:szCs w:val="20"/>
              </w:rPr>
              <w:t>ів в житлових будівлях.</w:t>
            </w:r>
          </w:p>
        </w:tc>
      </w:tr>
      <w:tr w:rsidR="00EE6085" w:rsidRPr="00C2587D" w14:paraId="41ADAA61" w14:textId="77777777" w:rsidTr="00CA089A">
        <w:trPr>
          <w:trHeight w:val="360"/>
        </w:trPr>
        <w:tc>
          <w:tcPr>
            <w:tcW w:w="1975" w:type="dxa"/>
            <w:vMerge/>
            <w:vAlign w:val="center"/>
          </w:tcPr>
          <w:p w14:paraId="6F6C8EEE" w14:textId="77777777" w:rsidR="00EE6085" w:rsidRPr="00C2587D" w:rsidRDefault="00EE6085" w:rsidP="002E392A">
            <w:pPr>
              <w:rPr>
                <w:rFonts w:cs="Arial"/>
                <w:b/>
                <w:sz w:val="20"/>
                <w:szCs w:val="20"/>
                <w:lang w:eastAsia="uk-UA"/>
              </w:rPr>
            </w:pPr>
          </w:p>
        </w:tc>
        <w:tc>
          <w:tcPr>
            <w:tcW w:w="2693" w:type="dxa"/>
            <w:vMerge w:val="restart"/>
            <w:vAlign w:val="center"/>
          </w:tcPr>
          <w:p w14:paraId="32B42803" w14:textId="77777777" w:rsidR="00EE6085" w:rsidRPr="00C2587D" w:rsidRDefault="00EE6085" w:rsidP="002E392A">
            <w:pPr>
              <w:rPr>
                <w:rFonts w:cs="Arial"/>
                <w:color w:val="000000"/>
                <w:sz w:val="20"/>
                <w:szCs w:val="20"/>
                <w:lang w:eastAsia="uk-UA"/>
              </w:rPr>
            </w:pPr>
            <w:r w:rsidRPr="00C2587D">
              <w:rPr>
                <w:rFonts w:cs="Arial"/>
                <w:b/>
                <w:sz w:val="20"/>
                <w:szCs w:val="20"/>
                <w:lang w:eastAsia="uk-UA"/>
              </w:rPr>
              <w:t>В.3. Поліпшення  екологічного стану  навколишнього середовища</w:t>
            </w:r>
          </w:p>
        </w:tc>
        <w:tc>
          <w:tcPr>
            <w:tcW w:w="2840" w:type="dxa"/>
            <w:shd w:val="clear" w:color="auto" w:fill="auto"/>
            <w:vAlign w:val="center"/>
          </w:tcPr>
          <w:p w14:paraId="139D647F" w14:textId="1B40A397" w:rsidR="00EE6085" w:rsidRPr="00C2587D" w:rsidRDefault="00EE6085" w:rsidP="002E392A">
            <w:pPr>
              <w:autoSpaceDE w:val="0"/>
              <w:autoSpaceDN w:val="0"/>
              <w:adjustRightInd w:val="0"/>
              <w:rPr>
                <w:rFonts w:cs="Arial"/>
                <w:bCs/>
                <w:color w:val="000000"/>
                <w:sz w:val="20"/>
                <w:szCs w:val="20"/>
                <w:lang w:eastAsia="uk-UA"/>
              </w:rPr>
            </w:pPr>
            <w:r w:rsidRPr="00C2587D">
              <w:rPr>
                <w:rFonts w:cs="Arial"/>
                <w:bCs/>
                <w:sz w:val="20"/>
                <w:szCs w:val="20"/>
              </w:rPr>
              <w:t>В.3.1. Сприяння збереження екосистеми громади</w:t>
            </w:r>
          </w:p>
        </w:tc>
        <w:tc>
          <w:tcPr>
            <w:tcW w:w="7655" w:type="dxa"/>
            <w:shd w:val="clear" w:color="auto" w:fill="auto"/>
          </w:tcPr>
          <w:p w14:paraId="18251A8E" w14:textId="77777777" w:rsidR="00580EA4" w:rsidRPr="00C2587D" w:rsidRDefault="00580EA4"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В.3.1.1. Поліпшення екологічного стану річок і водойм громади.</w:t>
            </w:r>
          </w:p>
          <w:p w14:paraId="627878D3" w14:textId="77777777" w:rsidR="00580EA4" w:rsidRPr="00C2587D" w:rsidRDefault="00580EA4"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В.3.1.2. Впровадження сучасних технологій очищення стічних вод.</w:t>
            </w:r>
          </w:p>
          <w:p w14:paraId="42C01C2E" w14:textId="77777777" w:rsidR="00580EA4" w:rsidRPr="00C2587D" w:rsidRDefault="00580EA4"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В.3.1.3. Покращення охорони водних ресурсів.</w:t>
            </w:r>
          </w:p>
          <w:p w14:paraId="5F05EF45" w14:textId="0A304198" w:rsidR="00580EA4" w:rsidRPr="00C2587D" w:rsidRDefault="006B0893"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В.3.1.4. Очищення та дезінфекція громадських криниць</w:t>
            </w:r>
            <w:r w:rsidR="00580EA4" w:rsidRPr="00C2587D">
              <w:rPr>
                <w:rFonts w:eastAsia="Lucida Sans Unicode" w:cs="Arial"/>
                <w:kern w:val="1"/>
                <w:sz w:val="20"/>
                <w:szCs w:val="20"/>
                <w:lang w:eastAsia="ar-SA"/>
              </w:rPr>
              <w:t>.</w:t>
            </w:r>
          </w:p>
          <w:p w14:paraId="01B90CC0" w14:textId="77777777" w:rsidR="00580EA4" w:rsidRPr="00C2587D" w:rsidRDefault="00580EA4"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В.3.1.5. Збільшення площі зелених насаджень в населених пунктах громади.</w:t>
            </w:r>
          </w:p>
          <w:p w14:paraId="332ADDB2" w14:textId="77777777" w:rsidR="00580EA4" w:rsidRPr="00C2587D" w:rsidRDefault="00580EA4"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В.3.1.6. Збільшення щорічно площі заліснення території громади шляхом лісорозведення та створення захисних лісових насаджень.</w:t>
            </w:r>
          </w:p>
          <w:p w14:paraId="0E87B522" w14:textId="77777777" w:rsidR="00580EA4" w:rsidRPr="00C2587D" w:rsidRDefault="00580EA4"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В.3.1.7. Охорона наявних лісових угідь від пожеж та самовільних рубок.</w:t>
            </w:r>
          </w:p>
          <w:p w14:paraId="073C9E11" w14:textId="12CFF454" w:rsidR="00580EA4" w:rsidRPr="00C2587D" w:rsidRDefault="00580EA4"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В.3.1</w:t>
            </w:r>
            <w:r w:rsidR="006B0893" w:rsidRPr="00C2587D">
              <w:rPr>
                <w:rFonts w:eastAsia="Lucida Sans Unicode" w:cs="Arial"/>
                <w:kern w:val="1"/>
                <w:sz w:val="20"/>
                <w:szCs w:val="20"/>
                <w:lang w:eastAsia="ar-SA"/>
              </w:rPr>
              <w:t xml:space="preserve">.8. Покращення </w:t>
            </w:r>
            <w:r w:rsidRPr="00C2587D">
              <w:rPr>
                <w:rFonts w:eastAsia="Lucida Sans Unicode" w:cs="Arial"/>
                <w:kern w:val="1"/>
                <w:sz w:val="20"/>
                <w:szCs w:val="20"/>
                <w:lang w:eastAsia="ar-SA"/>
              </w:rPr>
              <w:t>охорон</w:t>
            </w:r>
            <w:r w:rsidR="006B0893" w:rsidRPr="00C2587D">
              <w:rPr>
                <w:rFonts w:eastAsia="Lucida Sans Unicode" w:cs="Arial"/>
                <w:kern w:val="1"/>
                <w:sz w:val="20"/>
                <w:szCs w:val="20"/>
                <w:lang w:eastAsia="ar-SA"/>
              </w:rPr>
              <w:t>и</w:t>
            </w:r>
            <w:r w:rsidRPr="00C2587D">
              <w:rPr>
                <w:rFonts w:eastAsia="Lucida Sans Unicode" w:cs="Arial"/>
                <w:kern w:val="1"/>
                <w:sz w:val="20"/>
                <w:szCs w:val="20"/>
                <w:lang w:eastAsia="ar-SA"/>
              </w:rPr>
              <w:t xml:space="preserve"> природно-заповідного фонду.</w:t>
            </w:r>
          </w:p>
          <w:p w14:paraId="3B8894F1" w14:textId="5069D685" w:rsidR="00580EA4" w:rsidRPr="00C2587D" w:rsidRDefault="00580EA4"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В.3.1.9. Забезпеч</w:t>
            </w:r>
            <w:r w:rsidR="006B0893" w:rsidRPr="00C2587D">
              <w:rPr>
                <w:rFonts w:eastAsia="Lucida Sans Unicode" w:cs="Arial"/>
                <w:kern w:val="1"/>
                <w:sz w:val="20"/>
                <w:szCs w:val="20"/>
                <w:lang w:eastAsia="ar-SA"/>
              </w:rPr>
              <w:t>ення</w:t>
            </w:r>
            <w:r w:rsidRPr="00C2587D">
              <w:rPr>
                <w:rFonts w:eastAsia="Lucida Sans Unicode" w:cs="Arial"/>
                <w:kern w:val="1"/>
                <w:sz w:val="20"/>
                <w:szCs w:val="20"/>
                <w:lang w:eastAsia="ar-SA"/>
              </w:rPr>
              <w:t xml:space="preserve"> раціональн</w:t>
            </w:r>
            <w:r w:rsidR="006B0893" w:rsidRPr="00C2587D">
              <w:rPr>
                <w:rFonts w:eastAsia="Lucida Sans Unicode" w:cs="Arial"/>
                <w:kern w:val="1"/>
                <w:sz w:val="20"/>
                <w:szCs w:val="20"/>
                <w:lang w:eastAsia="ar-SA"/>
              </w:rPr>
              <w:t>ого</w:t>
            </w:r>
            <w:r w:rsidRPr="00C2587D">
              <w:rPr>
                <w:rFonts w:eastAsia="Lucida Sans Unicode" w:cs="Arial"/>
                <w:kern w:val="1"/>
                <w:sz w:val="20"/>
                <w:szCs w:val="20"/>
                <w:lang w:eastAsia="ar-SA"/>
              </w:rPr>
              <w:t xml:space="preserve"> використання та охорон</w:t>
            </w:r>
            <w:r w:rsidR="006B0893" w:rsidRPr="00C2587D">
              <w:rPr>
                <w:rFonts w:eastAsia="Lucida Sans Unicode" w:cs="Arial"/>
                <w:kern w:val="1"/>
                <w:sz w:val="20"/>
                <w:szCs w:val="20"/>
                <w:lang w:eastAsia="ar-SA"/>
              </w:rPr>
              <w:t>и</w:t>
            </w:r>
            <w:r w:rsidRPr="00C2587D">
              <w:rPr>
                <w:rFonts w:eastAsia="Lucida Sans Unicode" w:cs="Arial"/>
                <w:kern w:val="1"/>
                <w:sz w:val="20"/>
                <w:szCs w:val="20"/>
                <w:lang w:eastAsia="ar-SA"/>
              </w:rPr>
              <w:t xml:space="preserve">  земель.</w:t>
            </w:r>
          </w:p>
          <w:p w14:paraId="01C6C62F" w14:textId="2C7B5417" w:rsidR="00EE6085" w:rsidRPr="00C2587D" w:rsidRDefault="00580EA4" w:rsidP="002E392A">
            <w:pPr>
              <w:jc w:val="both"/>
              <w:rPr>
                <w:rFonts w:cs="Arial"/>
                <w:color w:val="000000"/>
                <w:sz w:val="20"/>
                <w:szCs w:val="20"/>
                <w:lang w:eastAsia="uk-UA"/>
              </w:rPr>
            </w:pPr>
            <w:r w:rsidRPr="00C2587D">
              <w:rPr>
                <w:rFonts w:eastAsia="Lucida Sans Unicode" w:cs="Arial"/>
                <w:kern w:val="1"/>
                <w:sz w:val="20"/>
                <w:szCs w:val="20"/>
                <w:lang w:eastAsia="ar-SA"/>
              </w:rPr>
              <w:t>В.3.1.10. Сприя</w:t>
            </w:r>
            <w:r w:rsidR="006B0893" w:rsidRPr="00C2587D">
              <w:rPr>
                <w:rFonts w:eastAsia="Lucida Sans Unicode" w:cs="Arial"/>
                <w:kern w:val="1"/>
                <w:sz w:val="20"/>
                <w:szCs w:val="20"/>
                <w:lang w:eastAsia="ar-SA"/>
              </w:rPr>
              <w:t>ння</w:t>
            </w:r>
            <w:r w:rsidRPr="00C2587D">
              <w:rPr>
                <w:rFonts w:eastAsia="Lucida Sans Unicode" w:cs="Arial"/>
                <w:kern w:val="1"/>
                <w:sz w:val="20"/>
                <w:szCs w:val="20"/>
                <w:lang w:eastAsia="ar-SA"/>
              </w:rPr>
              <w:t xml:space="preserve"> зменшенню забруднення атмосферного повітря.</w:t>
            </w:r>
          </w:p>
        </w:tc>
      </w:tr>
      <w:tr w:rsidR="00EE6085" w:rsidRPr="00C2587D" w14:paraId="52369BEE" w14:textId="77777777" w:rsidTr="00CA089A">
        <w:trPr>
          <w:trHeight w:val="348"/>
        </w:trPr>
        <w:tc>
          <w:tcPr>
            <w:tcW w:w="1975" w:type="dxa"/>
            <w:vMerge/>
            <w:vAlign w:val="center"/>
          </w:tcPr>
          <w:p w14:paraId="3E6E12A6" w14:textId="77777777" w:rsidR="00EE6085" w:rsidRPr="00C2587D" w:rsidRDefault="00EE6085" w:rsidP="002E392A">
            <w:pPr>
              <w:rPr>
                <w:rFonts w:cs="Arial"/>
                <w:b/>
                <w:sz w:val="20"/>
                <w:szCs w:val="20"/>
                <w:lang w:eastAsia="uk-UA"/>
              </w:rPr>
            </w:pPr>
          </w:p>
        </w:tc>
        <w:tc>
          <w:tcPr>
            <w:tcW w:w="2693" w:type="dxa"/>
            <w:vMerge/>
            <w:vAlign w:val="center"/>
          </w:tcPr>
          <w:p w14:paraId="1FCE38C2" w14:textId="77777777" w:rsidR="00EE6085" w:rsidRPr="00C2587D" w:rsidRDefault="00EE6085" w:rsidP="002E392A">
            <w:pPr>
              <w:rPr>
                <w:rFonts w:cs="Arial"/>
                <w:b/>
                <w:sz w:val="20"/>
                <w:szCs w:val="20"/>
                <w:lang w:eastAsia="uk-UA"/>
              </w:rPr>
            </w:pPr>
          </w:p>
        </w:tc>
        <w:tc>
          <w:tcPr>
            <w:tcW w:w="2840" w:type="dxa"/>
            <w:shd w:val="clear" w:color="auto" w:fill="auto"/>
            <w:vAlign w:val="center"/>
          </w:tcPr>
          <w:p w14:paraId="2CF77D6E" w14:textId="77777777" w:rsidR="00EE6085" w:rsidRPr="00C2587D" w:rsidRDefault="00EE6085" w:rsidP="002E392A">
            <w:pPr>
              <w:rPr>
                <w:rFonts w:cs="Arial"/>
                <w:bCs/>
                <w:color w:val="000000"/>
                <w:sz w:val="20"/>
                <w:szCs w:val="20"/>
                <w:lang w:eastAsia="uk-UA"/>
              </w:rPr>
            </w:pPr>
            <w:r w:rsidRPr="00C2587D">
              <w:rPr>
                <w:rFonts w:cs="Arial"/>
                <w:bCs/>
                <w:sz w:val="20"/>
                <w:szCs w:val="20"/>
                <w:lang w:eastAsia="uk-UA"/>
              </w:rPr>
              <w:t>В.3.2.</w:t>
            </w:r>
            <w:r w:rsidRPr="00C2587D">
              <w:rPr>
                <w:rFonts w:cs="Arial"/>
                <w:bCs/>
                <w:sz w:val="20"/>
                <w:szCs w:val="20"/>
              </w:rPr>
              <w:t>Комплексне ресурсоефективне  поводження з твердими побутовими відходами</w:t>
            </w:r>
          </w:p>
        </w:tc>
        <w:tc>
          <w:tcPr>
            <w:tcW w:w="7655" w:type="dxa"/>
            <w:shd w:val="clear" w:color="auto" w:fill="auto"/>
          </w:tcPr>
          <w:p w14:paraId="2D93A2C7" w14:textId="77777777" w:rsidR="00734A4D" w:rsidRPr="00C2587D" w:rsidRDefault="00734A4D"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В.3.2.1. Створення системи роздільного збирання та переробки сміття.</w:t>
            </w:r>
          </w:p>
          <w:p w14:paraId="13D88084" w14:textId="77777777" w:rsidR="00734A4D" w:rsidRPr="00C2587D" w:rsidRDefault="00734A4D"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В.3.2.2. Рекультивація міського сміттєзвалища та сміттєзвалища в смт. Браїлів.</w:t>
            </w:r>
          </w:p>
          <w:p w14:paraId="73C701B8" w14:textId="77777777" w:rsidR="00734A4D" w:rsidRPr="00C2587D" w:rsidRDefault="00734A4D"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В.3.2.3. Налагодження організованої</w:t>
            </w:r>
            <w:r w:rsidRPr="00C2587D">
              <w:rPr>
                <w:rFonts w:eastAsia="Calibri" w:cs="Arial"/>
                <w:szCs w:val="22"/>
                <w:lang w:eastAsia="en-US"/>
              </w:rPr>
              <w:t xml:space="preserve"> </w:t>
            </w:r>
            <w:r w:rsidRPr="00C2587D">
              <w:rPr>
                <w:rFonts w:eastAsia="Lucida Sans Unicode" w:cs="Arial"/>
                <w:kern w:val="1"/>
                <w:sz w:val="20"/>
                <w:szCs w:val="20"/>
                <w:lang w:eastAsia="ar-SA"/>
              </w:rPr>
              <w:t>системи вивезення ТПВ по всіх населених пунктах.</w:t>
            </w:r>
          </w:p>
          <w:p w14:paraId="3499F1C5" w14:textId="77777777" w:rsidR="00734A4D" w:rsidRPr="00C2587D" w:rsidRDefault="00734A4D"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В.3.2.4. Сприяння створенню потужностей з переробки та утилізації ТПВ і рослинних відходів.</w:t>
            </w:r>
          </w:p>
          <w:p w14:paraId="10DCEB36" w14:textId="77777777" w:rsidR="00734A4D" w:rsidRPr="00C2587D" w:rsidRDefault="00734A4D"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 xml:space="preserve">В.3.2.5. </w:t>
            </w:r>
            <w:r w:rsidRPr="00C2587D">
              <w:rPr>
                <w:rFonts w:eastAsia="Lucida Sans Unicode" w:cs="Arial"/>
                <w:bCs/>
                <w:kern w:val="1"/>
                <w:sz w:val="20"/>
                <w:szCs w:val="20"/>
                <w:lang w:eastAsia="ar-SA"/>
              </w:rPr>
              <w:t xml:space="preserve">Проведення конкурсу на виконавця послуг із збирання, вивезення та утилізації ТПВ. </w:t>
            </w:r>
          </w:p>
          <w:p w14:paraId="06382587" w14:textId="77777777" w:rsidR="00734A4D" w:rsidRPr="00C2587D" w:rsidRDefault="00734A4D"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 xml:space="preserve">В.3.2.6. Підтримка бізнесу в сфері поводження з ТПВ. </w:t>
            </w:r>
          </w:p>
          <w:p w14:paraId="33045448" w14:textId="00B9647F" w:rsidR="00734A4D" w:rsidRPr="00C2587D" w:rsidRDefault="00734A4D" w:rsidP="002E392A">
            <w:pPr>
              <w:suppressAutoHyphens/>
              <w:spacing w:before="20" w:after="20"/>
              <w:jc w:val="both"/>
              <w:rPr>
                <w:rFonts w:eastAsia="Lucida Sans Unicode" w:cs="Arial"/>
                <w:bCs/>
                <w:kern w:val="1"/>
                <w:sz w:val="20"/>
                <w:szCs w:val="20"/>
                <w:lang w:eastAsia="ar-SA"/>
              </w:rPr>
            </w:pPr>
            <w:r w:rsidRPr="00C2587D">
              <w:rPr>
                <w:rFonts w:eastAsia="Lucida Sans Unicode" w:cs="Arial"/>
                <w:kern w:val="1"/>
                <w:sz w:val="20"/>
                <w:szCs w:val="20"/>
                <w:lang w:eastAsia="ar-SA"/>
              </w:rPr>
              <w:t>В.3.2.7. Запобігання утворенн</w:t>
            </w:r>
            <w:r w:rsidR="006B0893" w:rsidRPr="00C2587D">
              <w:rPr>
                <w:rFonts w:eastAsia="Lucida Sans Unicode" w:cs="Arial"/>
                <w:kern w:val="1"/>
                <w:sz w:val="20"/>
                <w:szCs w:val="20"/>
                <w:lang w:eastAsia="ar-SA"/>
              </w:rPr>
              <w:t>ю</w:t>
            </w:r>
            <w:r w:rsidRPr="00C2587D">
              <w:rPr>
                <w:rFonts w:eastAsia="Lucida Sans Unicode" w:cs="Arial"/>
                <w:kern w:val="1"/>
                <w:sz w:val="20"/>
                <w:szCs w:val="20"/>
                <w:lang w:eastAsia="ar-SA"/>
              </w:rPr>
              <w:t xml:space="preserve"> стихійних сміттєзвалищ.</w:t>
            </w:r>
          </w:p>
          <w:p w14:paraId="48221663" w14:textId="77777777" w:rsidR="00734A4D" w:rsidRPr="00C2587D" w:rsidRDefault="00734A4D" w:rsidP="002E392A">
            <w:pPr>
              <w:suppressAutoHyphens/>
              <w:spacing w:before="20" w:after="20"/>
              <w:jc w:val="both"/>
              <w:rPr>
                <w:rFonts w:eastAsia="Lucida Sans Unicode" w:cs="Arial"/>
                <w:bCs/>
                <w:kern w:val="1"/>
                <w:sz w:val="20"/>
                <w:szCs w:val="20"/>
                <w:lang w:eastAsia="ar-SA"/>
              </w:rPr>
            </w:pPr>
            <w:r w:rsidRPr="00C2587D">
              <w:rPr>
                <w:rFonts w:eastAsia="Lucida Sans Unicode" w:cs="Arial"/>
                <w:kern w:val="1"/>
                <w:sz w:val="20"/>
                <w:szCs w:val="20"/>
                <w:lang w:eastAsia="ar-SA"/>
              </w:rPr>
              <w:t xml:space="preserve">В.3.2.8. </w:t>
            </w:r>
            <w:r w:rsidRPr="00C2587D">
              <w:rPr>
                <w:rFonts w:eastAsia="Lucida Sans Unicode" w:cs="Arial"/>
                <w:bCs/>
                <w:kern w:val="1"/>
                <w:sz w:val="20"/>
                <w:szCs w:val="20"/>
                <w:lang w:eastAsia="ar-SA"/>
              </w:rPr>
              <w:t xml:space="preserve">Затвердження економічно-обґрунтованих тарифів на послуги з поводження з побутовими відходами. </w:t>
            </w:r>
          </w:p>
          <w:p w14:paraId="5EC1B1B3" w14:textId="77777777" w:rsidR="00734A4D" w:rsidRPr="00C2587D" w:rsidRDefault="00734A4D" w:rsidP="002E392A">
            <w:pPr>
              <w:suppressAutoHyphens/>
              <w:spacing w:before="20" w:after="20"/>
              <w:jc w:val="both"/>
              <w:rPr>
                <w:rFonts w:eastAsia="Lucida Sans Unicode" w:cs="Arial"/>
                <w:bCs/>
                <w:kern w:val="1"/>
                <w:sz w:val="20"/>
                <w:szCs w:val="20"/>
                <w:lang w:eastAsia="ar-SA"/>
              </w:rPr>
            </w:pPr>
            <w:r w:rsidRPr="00C2587D">
              <w:rPr>
                <w:rFonts w:eastAsia="Lucida Sans Unicode" w:cs="Arial"/>
                <w:kern w:val="1"/>
                <w:sz w:val="20"/>
                <w:szCs w:val="20"/>
                <w:lang w:eastAsia="ar-SA"/>
              </w:rPr>
              <w:t xml:space="preserve">В.3.2.9. </w:t>
            </w:r>
            <w:r w:rsidRPr="00C2587D">
              <w:rPr>
                <w:rFonts w:eastAsia="Lucida Sans Unicode" w:cs="Arial"/>
                <w:bCs/>
                <w:kern w:val="1"/>
                <w:sz w:val="20"/>
                <w:szCs w:val="20"/>
                <w:lang w:eastAsia="ar-SA"/>
              </w:rPr>
              <w:t>Облаштування майданчиків для роздільного збору ТПВ, закупівля контейнерів із роздільного збору ТПВ.</w:t>
            </w:r>
          </w:p>
          <w:p w14:paraId="47CB02C8" w14:textId="77777777" w:rsidR="00EE6085" w:rsidRPr="00C2587D" w:rsidRDefault="00734A4D" w:rsidP="002E392A">
            <w:pPr>
              <w:jc w:val="both"/>
              <w:rPr>
                <w:rFonts w:cs="Arial"/>
                <w:color w:val="000000"/>
                <w:sz w:val="20"/>
                <w:szCs w:val="20"/>
                <w:lang w:eastAsia="uk-UA"/>
              </w:rPr>
            </w:pPr>
            <w:r w:rsidRPr="00C2587D">
              <w:rPr>
                <w:rFonts w:eastAsia="Lucida Sans Unicode" w:cs="Arial"/>
                <w:kern w:val="1"/>
                <w:sz w:val="20"/>
                <w:szCs w:val="20"/>
                <w:lang w:eastAsia="ar-SA"/>
              </w:rPr>
              <w:t xml:space="preserve">В.3.2.10. </w:t>
            </w:r>
            <w:r w:rsidRPr="00C2587D">
              <w:rPr>
                <w:rFonts w:eastAsia="Lucida Sans Unicode" w:cs="Arial"/>
                <w:bCs/>
                <w:kern w:val="1"/>
                <w:sz w:val="20"/>
                <w:szCs w:val="20"/>
                <w:lang w:eastAsia="ar-SA"/>
              </w:rPr>
              <w:t>Оновлення спецтехніки.</w:t>
            </w:r>
          </w:p>
        </w:tc>
      </w:tr>
      <w:tr w:rsidR="00EE6085" w:rsidRPr="00C2587D" w14:paraId="7CC0B42D" w14:textId="77777777" w:rsidTr="00CA089A">
        <w:trPr>
          <w:trHeight w:val="360"/>
        </w:trPr>
        <w:tc>
          <w:tcPr>
            <w:tcW w:w="1975" w:type="dxa"/>
            <w:vMerge/>
            <w:vAlign w:val="center"/>
          </w:tcPr>
          <w:p w14:paraId="1408DB2C" w14:textId="77777777" w:rsidR="00EE6085" w:rsidRPr="00C2587D" w:rsidRDefault="00EE6085" w:rsidP="002E392A">
            <w:pPr>
              <w:rPr>
                <w:rFonts w:cs="Arial"/>
                <w:b/>
                <w:sz w:val="20"/>
                <w:szCs w:val="20"/>
                <w:lang w:eastAsia="uk-UA"/>
              </w:rPr>
            </w:pPr>
          </w:p>
        </w:tc>
        <w:tc>
          <w:tcPr>
            <w:tcW w:w="2693" w:type="dxa"/>
            <w:vMerge/>
            <w:vAlign w:val="center"/>
          </w:tcPr>
          <w:p w14:paraId="32CCD511" w14:textId="77777777" w:rsidR="00EE6085" w:rsidRPr="00C2587D" w:rsidRDefault="00EE6085" w:rsidP="002E392A">
            <w:pPr>
              <w:rPr>
                <w:rFonts w:cs="Arial"/>
                <w:b/>
                <w:sz w:val="20"/>
                <w:szCs w:val="20"/>
                <w:lang w:eastAsia="uk-UA"/>
              </w:rPr>
            </w:pPr>
          </w:p>
        </w:tc>
        <w:tc>
          <w:tcPr>
            <w:tcW w:w="2840" w:type="dxa"/>
            <w:shd w:val="clear" w:color="auto" w:fill="auto"/>
            <w:vAlign w:val="center"/>
          </w:tcPr>
          <w:p w14:paraId="592874DF" w14:textId="5B4A4B90" w:rsidR="00EE6085" w:rsidRPr="00C2587D" w:rsidRDefault="00EE6085" w:rsidP="002E392A">
            <w:pPr>
              <w:rPr>
                <w:rFonts w:cs="Arial"/>
                <w:bCs/>
                <w:color w:val="000000"/>
                <w:sz w:val="20"/>
                <w:szCs w:val="20"/>
                <w:lang w:eastAsia="uk-UA"/>
              </w:rPr>
            </w:pPr>
            <w:r w:rsidRPr="00C2587D">
              <w:rPr>
                <w:rFonts w:cs="Arial"/>
                <w:bCs/>
                <w:sz w:val="20"/>
                <w:szCs w:val="20"/>
              </w:rPr>
              <w:t>В.3.3. Озеленення громади, організація зон рекреації</w:t>
            </w:r>
          </w:p>
        </w:tc>
        <w:tc>
          <w:tcPr>
            <w:tcW w:w="7655" w:type="dxa"/>
            <w:shd w:val="clear" w:color="auto" w:fill="auto"/>
          </w:tcPr>
          <w:p w14:paraId="001882DB" w14:textId="77777777" w:rsidR="00EB7B16" w:rsidRPr="00C2587D" w:rsidRDefault="00EB7B16" w:rsidP="002E392A">
            <w:pPr>
              <w:spacing w:before="20" w:after="20"/>
              <w:jc w:val="both"/>
              <w:rPr>
                <w:rFonts w:cs="Arial"/>
                <w:sz w:val="20"/>
                <w:szCs w:val="20"/>
              </w:rPr>
            </w:pPr>
            <w:r w:rsidRPr="00C2587D">
              <w:rPr>
                <w:rFonts w:cs="Arial"/>
                <w:sz w:val="20"/>
                <w:szCs w:val="20"/>
              </w:rPr>
              <w:t>В.3.3.1. Придбання спецтехніки для проведення робіт з благоустрою.</w:t>
            </w:r>
          </w:p>
          <w:p w14:paraId="4760B7FE" w14:textId="77777777" w:rsidR="00EB7B16" w:rsidRPr="00C2587D" w:rsidRDefault="00EB7B16" w:rsidP="002E392A">
            <w:pPr>
              <w:spacing w:before="20" w:after="20"/>
              <w:jc w:val="both"/>
              <w:rPr>
                <w:rFonts w:cs="Arial"/>
                <w:sz w:val="20"/>
                <w:szCs w:val="20"/>
              </w:rPr>
            </w:pPr>
            <w:r w:rsidRPr="00C2587D">
              <w:rPr>
                <w:rFonts w:cs="Arial"/>
                <w:sz w:val="20"/>
                <w:szCs w:val="20"/>
              </w:rPr>
              <w:t>В.3.3.2. Придбання та посадка зелених насаджень (дерева та кущі).</w:t>
            </w:r>
          </w:p>
          <w:p w14:paraId="647F5A19" w14:textId="77777777" w:rsidR="00EB7B16" w:rsidRPr="00C2587D" w:rsidRDefault="00EB7B16" w:rsidP="002E392A">
            <w:pPr>
              <w:spacing w:before="20" w:after="20"/>
              <w:jc w:val="both"/>
              <w:rPr>
                <w:rFonts w:cs="Arial"/>
                <w:sz w:val="20"/>
                <w:szCs w:val="20"/>
              </w:rPr>
            </w:pPr>
            <w:r w:rsidRPr="00C2587D">
              <w:rPr>
                <w:rFonts w:cs="Arial"/>
                <w:sz w:val="20"/>
                <w:szCs w:val="20"/>
              </w:rPr>
              <w:t xml:space="preserve">В.3.3.3. Проведення планування прибудинкових територій, облаштування клумб, вуличних вазонів,  фонтанів, декоративних та ігрових скульптур, огорож, воріт тощо. </w:t>
            </w:r>
          </w:p>
          <w:p w14:paraId="04B05BDC" w14:textId="77777777" w:rsidR="00EE6085" w:rsidRPr="00C2587D" w:rsidRDefault="00EB7B16" w:rsidP="002E392A">
            <w:pPr>
              <w:jc w:val="both"/>
              <w:rPr>
                <w:rFonts w:cs="Arial"/>
                <w:color w:val="000000"/>
                <w:sz w:val="20"/>
                <w:szCs w:val="20"/>
                <w:lang w:eastAsia="uk-UA"/>
              </w:rPr>
            </w:pPr>
            <w:r w:rsidRPr="00C2587D">
              <w:rPr>
                <w:rFonts w:cs="Arial"/>
                <w:sz w:val="20"/>
                <w:szCs w:val="20"/>
              </w:rPr>
              <w:t>В.3.3.4. Боротьба з карантинними рослинами.</w:t>
            </w:r>
          </w:p>
        </w:tc>
      </w:tr>
      <w:tr w:rsidR="00EE6085" w:rsidRPr="00C2587D" w14:paraId="30C0AD65" w14:textId="77777777" w:rsidTr="00CA089A">
        <w:trPr>
          <w:trHeight w:val="318"/>
        </w:trPr>
        <w:tc>
          <w:tcPr>
            <w:tcW w:w="1975" w:type="dxa"/>
            <w:vMerge/>
            <w:vAlign w:val="center"/>
          </w:tcPr>
          <w:p w14:paraId="07CD1777" w14:textId="77777777" w:rsidR="00EE6085" w:rsidRPr="00C2587D" w:rsidRDefault="00EE6085" w:rsidP="002E392A">
            <w:pPr>
              <w:rPr>
                <w:rFonts w:cs="Arial"/>
                <w:b/>
                <w:sz w:val="20"/>
                <w:szCs w:val="20"/>
                <w:lang w:eastAsia="uk-UA"/>
              </w:rPr>
            </w:pPr>
          </w:p>
        </w:tc>
        <w:tc>
          <w:tcPr>
            <w:tcW w:w="2693" w:type="dxa"/>
            <w:vMerge/>
            <w:vAlign w:val="center"/>
          </w:tcPr>
          <w:p w14:paraId="6209E01C" w14:textId="77777777" w:rsidR="00EE6085" w:rsidRPr="00C2587D" w:rsidRDefault="00EE6085" w:rsidP="002E392A">
            <w:pPr>
              <w:rPr>
                <w:rFonts w:cs="Arial"/>
                <w:b/>
                <w:sz w:val="20"/>
                <w:szCs w:val="20"/>
                <w:lang w:eastAsia="uk-UA"/>
              </w:rPr>
            </w:pPr>
          </w:p>
        </w:tc>
        <w:tc>
          <w:tcPr>
            <w:tcW w:w="2840" w:type="dxa"/>
            <w:shd w:val="clear" w:color="auto" w:fill="auto"/>
            <w:vAlign w:val="center"/>
          </w:tcPr>
          <w:p w14:paraId="2FFCA6C2" w14:textId="77777777" w:rsidR="00EE6085" w:rsidRPr="00C2587D" w:rsidRDefault="00EE6085" w:rsidP="002E392A">
            <w:pPr>
              <w:rPr>
                <w:rFonts w:cs="Arial"/>
                <w:bCs/>
                <w:color w:val="000000"/>
                <w:sz w:val="20"/>
                <w:szCs w:val="20"/>
                <w:lang w:eastAsia="uk-UA"/>
              </w:rPr>
            </w:pPr>
            <w:r w:rsidRPr="00C2587D">
              <w:rPr>
                <w:rFonts w:cs="Arial"/>
                <w:bCs/>
                <w:sz w:val="20"/>
                <w:szCs w:val="20"/>
                <w:lang w:eastAsia="uk-UA"/>
              </w:rPr>
              <w:t>В.3.4. Підвищення рівня екологічної свідомості, екологічної культури мешканців громади</w:t>
            </w:r>
          </w:p>
        </w:tc>
        <w:tc>
          <w:tcPr>
            <w:tcW w:w="7655" w:type="dxa"/>
            <w:shd w:val="clear" w:color="auto" w:fill="auto"/>
          </w:tcPr>
          <w:p w14:paraId="0A962411" w14:textId="77777777" w:rsidR="00EB7B16" w:rsidRPr="00C2587D" w:rsidRDefault="00EB7B16"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В.3.4.1. Формування у мешканців громади навичок щодо збереження довкілля.</w:t>
            </w:r>
          </w:p>
          <w:p w14:paraId="3CF24D82" w14:textId="77777777" w:rsidR="00EB7B16" w:rsidRPr="00C2587D" w:rsidRDefault="00EB7B16"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В.3.4.2. Створення системи залучення жителів громади до розв’язання екологічних проблем.</w:t>
            </w:r>
          </w:p>
          <w:p w14:paraId="369449F2" w14:textId="77777777" w:rsidR="00EB7B16" w:rsidRPr="00C2587D" w:rsidRDefault="00EB7B16"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В.3.4.3. Підтримка діяльності міського екологічного клубу.</w:t>
            </w:r>
          </w:p>
          <w:p w14:paraId="71E59AF5" w14:textId="77777777" w:rsidR="00EB7B16" w:rsidRPr="00C2587D" w:rsidRDefault="00EB7B16"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В.3.4.4. Проведення агітаційно-роз’яснювальної роботи серед населення громади щодо роздільного збирання ресурсоцінних компонентів побутових відходів.</w:t>
            </w:r>
          </w:p>
          <w:p w14:paraId="1076A53D" w14:textId="77777777" w:rsidR="00EB7B16" w:rsidRPr="00C2587D" w:rsidRDefault="00EB7B16"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В.3.4.5. Запровадження бонусів при сплаті за вивезення ТПВ.</w:t>
            </w:r>
          </w:p>
          <w:p w14:paraId="32ADCEEE" w14:textId="77777777" w:rsidR="00EB7B16" w:rsidRPr="00C2587D" w:rsidRDefault="00EB7B16"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В.3.4.6. Проведення масово-роз’яснювальної роботи серед жителів громади, особливо дітей молодшого віку, учнів і молоді щодо енергозбереження та запобігання зміни клімату.</w:t>
            </w:r>
          </w:p>
          <w:p w14:paraId="50E85C06" w14:textId="77777777" w:rsidR="00EB7B16" w:rsidRPr="00C2587D" w:rsidRDefault="00EB7B16" w:rsidP="002E392A">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В.3.4.7. Розроблення для навчальних закладів громади програм екологічної освіти  та освіти для збалансованого  (сталого) розвитку.</w:t>
            </w:r>
          </w:p>
          <w:p w14:paraId="7D1F2AAB" w14:textId="536AC2C6" w:rsidR="00EE6085" w:rsidRPr="00C2587D" w:rsidRDefault="00EB7B16" w:rsidP="002E392A">
            <w:pPr>
              <w:jc w:val="both"/>
              <w:rPr>
                <w:rFonts w:cs="Arial"/>
                <w:sz w:val="20"/>
                <w:szCs w:val="20"/>
                <w:lang w:eastAsia="it-IT"/>
              </w:rPr>
            </w:pPr>
            <w:r w:rsidRPr="00C2587D">
              <w:rPr>
                <w:rFonts w:eastAsia="Lucida Sans Unicode" w:cs="Arial"/>
                <w:kern w:val="1"/>
                <w:sz w:val="20"/>
                <w:szCs w:val="20"/>
                <w:lang w:eastAsia="ar-SA"/>
              </w:rPr>
              <w:t xml:space="preserve">В.3.4.8. </w:t>
            </w:r>
            <w:r w:rsidRPr="00C2587D">
              <w:rPr>
                <w:rFonts w:cs="Arial"/>
                <w:sz w:val="20"/>
                <w:szCs w:val="20"/>
                <w:lang w:eastAsia="en-US"/>
              </w:rPr>
              <w:t>Проведення екологічних акцій</w:t>
            </w:r>
            <w:r w:rsidRPr="00C2587D">
              <w:rPr>
                <w:rFonts w:cs="Arial"/>
                <w:sz w:val="20"/>
                <w:szCs w:val="20"/>
                <w:lang w:eastAsia="it-IT"/>
              </w:rPr>
              <w:t xml:space="preserve"> очищення берегів річок та озер, терит</w:t>
            </w:r>
            <w:r w:rsidR="006B0893" w:rsidRPr="00C2587D">
              <w:rPr>
                <w:rFonts w:cs="Arial"/>
                <w:sz w:val="20"/>
                <w:szCs w:val="20"/>
                <w:lang w:eastAsia="it-IT"/>
              </w:rPr>
              <w:t>орії лісосмуг, розчищення й розм</w:t>
            </w:r>
            <w:r w:rsidRPr="00C2587D">
              <w:rPr>
                <w:rFonts w:cs="Arial"/>
                <w:sz w:val="20"/>
                <w:szCs w:val="20"/>
                <w:lang w:eastAsia="it-IT"/>
              </w:rPr>
              <w:t>улення джерел тощо</w:t>
            </w:r>
          </w:p>
          <w:p w14:paraId="2FB4CFD1" w14:textId="77777777" w:rsidR="00EB7B16" w:rsidRPr="00C2587D" w:rsidRDefault="00EB7B16" w:rsidP="002E392A">
            <w:pPr>
              <w:spacing w:before="20" w:after="20"/>
              <w:jc w:val="both"/>
              <w:rPr>
                <w:rFonts w:cs="Arial"/>
                <w:sz w:val="20"/>
                <w:szCs w:val="20"/>
              </w:rPr>
            </w:pPr>
            <w:r w:rsidRPr="00C2587D">
              <w:rPr>
                <w:rFonts w:eastAsia="Lucida Sans Unicode" w:cs="Arial"/>
                <w:kern w:val="1"/>
                <w:sz w:val="20"/>
                <w:szCs w:val="20"/>
                <w:lang w:eastAsia="ar-SA"/>
              </w:rPr>
              <w:t xml:space="preserve">В.3.4.9. </w:t>
            </w:r>
            <w:r w:rsidRPr="00C2587D">
              <w:rPr>
                <w:rFonts w:cs="Arial"/>
                <w:sz w:val="20"/>
                <w:szCs w:val="20"/>
              </w:rPr>
              <w:t>Проведення загальноміських толок з прибирання населених пунктів, озеленення скверів.</w:t>
            </w:r>
          </w:p>
          <w:p w14:paraId="46955BC5" w14:textId="77777777" w:rsidR="00EB7B16" w:rsidRPr="00C2587D" w:rsidRDefault="00EB7B16" w:rsidP="002E392A">
            <w:pPr>
              <w:spacing w:before="20" w:after="20"/>
              <w:jc w:val="both"/>
              <w:rPr>
                <w:rFonts w:cs="Arial"/>
                <w:sz w:val="20"/>
                <w:szCs w:val="20"/>
              </w:rPr>
            </w:pPr>
            <w:r w:rsidRPr="00C2587D">
              <w:rPr>
                <w:rFonts w:eastAsia="Lucida Sans Unicode" w:cs="Arial"/>
                <w:kern w:val="1"/>
                <w:sz w:val="20"/>
                <w:szCs w:val="20"/>
                <w:lang w:eastAsia="ar-SA"/>
              </w:rPr>
              <w:t xml:space="preserve">В.3.4.10. </w:t>
            </w:r>
            <w:r w:rsidRPr="00C2587D">
              <w:rPr>
                <w:rFonts w:cs="Arial"/>
                <w:sz w:val="20"/>
                <w:szCs w:val="20"/>
              </w:rPr>
              <w:t>Продовження діяльності міського екологічного клубу.</w:t>
            </w:r>
          </w:p>
          <w:p w14:paraId="6AEE5C0C" w14:textId="77777777" w:rsidR="00EB7B16" w:rsidRPr="00C2587D" w:rsidRDefault="00EB7B16" w:rsidP="002E392A">
            <w:pPr>
              <w:spacing w:before="20" w:after="20"/>
              <w:jc w:val="both"/>
              <w:rPr>
                <w:rFonts w:cs="Arial"/>
                <w:sz w:val="20"/>
                <w:szCs w:val="20"/>
              </w:rPr>
            </w:pPr>
            <w:r w:rsidRPr="00C2587D">
              <w:rPr>
                <w:rFonts w:eastAsia="Lucida Sans Unicode" w:cs="Arial"/>
                <w:kern w:val="1"/>
                <w:sz w:val="20"/>
                <w:szCs w:val="20"/>
                <w:lang w:eastAsia="ar-SA"/>
              </w:rPr>
              <w:t xml:space="preserve">В.3.4.11. </w:t>
            </w:r>
            <w:r w:rsidRPr="00C2587D">
              <w:rPr>
                <w:rFonts w:cs="Arial"/>
                <w:sz w:val="20"/>
                <w:szCs w:val="20"/>
              </w:rPr>
              <w:t>Проведення семінарів, тренінгів  з ознайомленням з кращими практиками екологічної роботи.</w:t>
            </w:r>
          </w:p>
          <w:p w14:paraId="554E1D23" w14:textId="77777777" w:rsidR="00EB7B16" w:rsidRPr="00C2587D" w:rsidRDefault="00EB7B16" w:rsidP="002E392A">
            <w:pPr>
              <w:jc w:val="both"/>
              <w:rPr>
                <w:rFonts w:cs="Arial"/>
                <w:color w:val="000000"/>
                <w:sz w:val="20"/>
                <w:szCs w:val="20"/>
                <w:lang w:eastAsia="uk-UA"/>
              </w:rPr>
            </w:pPr>
            <w:r w:rsidRPr="00C2587D">
              <w:rPr>
                <w:rFonts w:eastAsia="Lucida Sans Unicode" w:cs="Arial"/>
                <w:kern w:val="1"/>
                <w:sz w:val="20"/>
                <w:szCs w:val="20"/>
                <w:lang w:eastAsia="ar-SA"/>
              </w:rPr>
              <w:t xml:space="preserve">В.3.4.12. </w:t>
            </w:r>
            <w:r w:rsidRPr="00C2587D">
              <w:rPr>
                <w:rFonts w:cs="Arial"/>
                <w:sz w:val="20"/>
                <w:szCs w:val="20"/>
              </w:rPr>
              <w:t>Щорічне проведення Тижнів сталої енергії.</w:t>
            </w:r>
          </w:p>
        </w:tc>
      </w:tr>
      <w:tr w:rsidR="00EE6085" w:rsidRPr="00C2587D" w14:paraId="33EAA660" w14:textId="77777777" w:rsidTr="00CA089A">
        <w:trPr>
          <w:trHeight w:val="540"/>
        </w:trPr>
        <w:tc>
          <w:tcPr>
            <w:tcW w:w="1975" w:type="dxa"/>
            <w:vMerge/>
            <w:vAlign w:val="center"/>
          </w:tcPr>
          <w:p w14:paraId="6AC8C1D2" w14:textId="77777777" w:rsidR="00EE6085" w:rsidRPr="00C2587D" w:rsidRDefault="00EE6085" w:rsidP="002E392A">
            <w:pPr>
              <w:rPr>
                <w:rFonts w:cs="Arial"/>
                <w:b/>
                <w:sz w:val="20"/>
                <w:szCs w:val="20"/>
                <w:lang w:eastAsia="uk-UA"/>
              </w:rPr>
            </w:pPr>
          </w:p>
        </w:tc>
        <w:tc>
          <w:tcPr>
            <w:tcW w:w="2693" w:type="dxa"/>
            <w:vMerge w:val="restart"/>
            <w:vAlign w:val="center"/>
          </w:tcPr>
          <w:p w14:paraId="32C09618" w14:textId="77777777" w:rsidR="00EE6085" w:rsidRPr="00C2587D" w:rsidRDefault="00EE6085" w:rsidP="002E392A">
            <w:pPr>
              <w:rPr>
                <w:rFonts w:cs="Arial"/>
                <w:color w:val="000000"/>
                <w:sz w:val="20"/>
                <w:szCs w:val="20"/>
                <w:lang w:eastAsia="uk-UA"/>
              </w:rPr>
            </w:pPr>
            <w:r w:rsidRPr="00C2587D">
              <w:rPr>
                <w:rFonts w:cs="Arial"/>
                <w:b/>
                <w:sz w:val="20"/>
                <w:szCs w:val="20"/>
                <w:lang w:eastAsia="uk-UA"/>
              </w:rPr>
              <w:t>В.4. Ефективна система безпеки громади</w:t>
            </w:r>
          </w:p>
        </w:tc>
        <w:tc>
          <w:tcPr>
            <w:tcW w:w="2840" w:type="dxa"/>
            <w:shd w:val="clear" w:color="auto" w:fill="auto"/>
            <w:vAlign w:val="center"/>
          </w:tcPr>
          <w:p w14:paraId="2251F84B" w14:textId="77777777" w:rsidR="00EE6085" w:rsidRPr="00C2587D" w:rsidRDefault="00EE6085" w:rsidP="002E392A">
            <w:pPr>
              <w:autoSpaceDE w:val="0"/>
              <w:autoSpaceDN w:val="0"/>
              <w:adjustRightInd w:val="0"/>
              <w:rPr>
                <w:rFonts w:cs="Arial"/>
                <w:bCs/>
                <w:sz w:val="20"/>
                <w:szCs w:val="20"/>
              </w:rPr>
            </w:pPr>
            <w:r w:rsidRPr="00C2587D">
              <w:rPr>
                <w:rFonts w:cs="Arial"/>
                <w:bCs/>
                <w:sz w:val="20"/>
                <w:szCs w:val="20"/>
              </w:rPr>
              <w:t>В.4.1. Впровадження  Центру безпеки та активної безпекової платформи</w:t>
            </w:r>
          </w:p>
          <w:p w14:paraId="3DAF1263" w14:textId="77777777" w:rsidR="00EE6085" w:rsidRPr="00C2587D" w:rsidRDefault="00EE6085" w:rsidP="002E392A">
            <w:pPr>
              <w:rPr>
                <w:rFonts w:cs="Arial"/>
                <w:bCs/>
                <w:color w:val="000000"/>
                <w:sz w:val="20"/>
                <w:szCs w:val="20"/>
                <w:lang w:eastAsia="uk-UA"/>
              </w:rPr>
            </w:pPr>
          </w:p>
        </w:tc>
        <w:tc>
          <w:tcPr>
            <w:tcW w:w="7655" w:type="dxa"/>
            <w:shd w:val="clear" w:color="auto" w:fill="auto"/>
          </w:tcPr>
          <w:p w14:paraId="00614233" w14:textId="77777777" w:rsidR="006A7E0A" w:rsidRPr="00C2587D" w:rsidRDefault="006A7E0A" w:rsidP="002E392A">
            <w:pPr>
              <w:spacing w:before="20" w:after="20"/>
              <w:jc w:val="both"/>
              <w:rPr>
                <w:rFonts w:cs="Arial"/>
                <w:sz w:val="20"/>
                <w:szCs w:val="20"/>
              </w:rPr>
            </w:pPr>
            <w:r w:rsidRPr="00C2587D">
              <w:rPr>
                <w:rFonts w:cs="Arial"/>
                <w:sz w:val="20"/>
                <w:szCs w:val="20"/>
              </w:rPr>
              <w:t>В.4.1.1. Створення Центру безпеки.</w:t>
            </w:r>
          </w:p>
          <w:p w14:paraId="2E355706" w14:textId="77777777" w:rsidR="006A7E0A" w:rsidRPr="00C2587D" w:rsidRDefault="006A7E0A" w:rsidP="002E392A">
            <w:pPr>
              <w:spacing w:before="20" w:after="20"/>
              <w:jc w:val="both"/>
              <w:rPr>
                <w:rFonts w:cs="Arial"/>
                <w:sz w:val="20"/>
                <w:szCs w:val="20"/>
              </w:rPr>
            </w:pPr>
            <w:r w:rsidRPr="00C2587D">
              <w:rPr>
                <w:rFonts w:cs="Arial"/>
                <w:sz w:val="20"/>
                <w:szCs w:val="20"/>
              </w:rPr>
              <w:t>В.4.1.2. Започаткування практики проведення засідань Робочої групи з безпеки із залученням дільничних, міської ради, громадських організацій, представників правозахисних структур громади для забезпечення найвищого рівня взаємодії усіх зацікавлених сторін.</w:t>
            </w:r>
          </w:p>
          <w:p w14:paraId="4F58595F" w14:textId="77777777" w:rsidR="006A7E0A" w:rsidRPr="00C2587D" w:rsidRDefault="006A7E0A" w:rsidP="002E392A">
            <w:pPr>
              <w:spacing w:before="20" w:after="20"/>
              <w:jc w:val="both"/>
              <w:rPr>
                <w:rFonts w:cs="Arial"/>
                <w:sz w:val="20"/>
                <w:szCs w:val="20"/>
              </w:rPr>
            </w:pPr>
            <w:r w:rsidRPr="00C2587D">
              <w:rPr>
                <w:rFonts w:cs="Arial"/>
                <w:sz w:val="20"/>
                <w:szCs w:val="20"/>
              </w:rPr>
              <w:t>В.4.1.3. Інформування громади про розповсюджені види правопорушень,  планування та реалізація спільних заходів з їх запобігання.</w:t>
            </w:r>
          </w:p>
          <w:p w14:paraId="0B6971B9" w14:textId="77777777" w:rsidR="006A7E0A" w:rsidRPr="00C2587D" w:rsidRDefault="006A7E0A" w:rsidP="002E392A">
            <w:pPr>
              <w:spacing w:before="20" w:after="20"/>
              <w:jc w:val="both"/>
              <w:rPr>
                <w:rFonts w:cs="Arial"/>
                <w:sz w:val="20"/>
                <w:szCs w:val="20"/>
              </w:rPr>
            </w:pPr>
            <w:r w:rsidRPr="00C2587D">
              <w:rPr>
                <w:rFonts w:cs="Arial"/>
                <w:sz w:val="20"/>
                <w:szCs w:val="20"/>
              </w:rPr>
              <w:t>В.4.1.4. Просвітницька кампанія серед учнівської молоді з питань протидії соціальним захворюванням та правопорушенням (алкоголізм, наркоманія, агресивна поведінка тощо).</w:t>
            </w:r>
          </w:p>
          <w:p w14:paraId="673C825F" w14:textId="77777777" w:rsidR="006A7E0A" w:rsidRPr="00C2587D" w:rsidRDefault="006A7E0A" w:rsidP="002E392A">
            <w:pPr>
              <w:spacing w:before="20" w:after="20"/>
              <w:jc w:val="both"/>
              <w:rPr>
                <w:rFonts w:cs="Arial"/>
                <w:sz w:val="20"/>
                <w:szCs w:val="20"/>
              </w:rPr>
            </w:pPr>
            <w:r w:rsidRPr="00C2587D">
              <w:rPr>
                <w:rFonts w:cs="Arial"/>
                <w:sz w:val="20"/>
                <w:szCs w:val="20"/>
              </w:rPr>
              <w:lastRenderedPageBreak/>
              <w:t xml:space="preserve">В.4.1.5. </w:t>
            </w:r>
            <w:r w:rsidRPr="00C2587D">
              <w:rPr>
                <w:rFonts w:cs="Arial"/>
                <w:sz w:val="20"/>
                <w:szCs w:val="20"/>
                <w:lang w:eastAsia="it-IT"/>
              </w:rPr>
              <w:t>Відновлення громадських формувань для охорони громадського порядку.</w:t>
            </w:r>
          </w:p>
          <w:p w14:paraId="1762713F" w14:textId="77777777" w:rsidR="006A7E0A" w:rsidRPr="00C2587D" w:rsidRDefault="006A7E0A" w:rsidP="002E392A">
            <w:pPr>
              <w:spacing w:before="20" w:after="20"/>
              <w:jc w:val="both"/>
              <w:rPr>
                <w:rFonts w:cs="Arial"/>
                <w:sz w:val="20"/>
                <w:szCs w:val="20"/>
              </w:rPr>
            </w:pPr>
            <w:r w:rsidRPr="00C2587D">
              <w:rPr>
                <w:rFonts w:cs="Arial"/>
                <w:sz w:val="20"/>
                <w:szCs w:val="20"/>
              </w:rPr>
              <w:t xml:space="preserve">В.4.1.6. </w:t>
            </w:r>
            <w:r w:rsidRPr="00C2587D">
              <w:rPr>
                <w:rFonts w:cs="Arial"/>
                <w:sz w:val="20"/>
                <w:szCs w:val="20"/>
                <w:lang w:eastAsia="it-IT"/>
              </w:rPr>
              <w:t>Впровадження комплексу програмно-апаратних та організаційних заходів для посилення безпеки мешканців громади, захисту об’єктів забезпечення життєдіяльності громади, безпеки дорожнього руху із встановлення сучасних систем, здатних здійснювати інтелектуальну обробку зображення, забезпечувати контроль та оповіщення проблем.</w:t>
            </w:r>
          </w:p>
          <w:p w14:paraId="369F4598" w14:textId="77777777" w:rsidR="006A7E0A" w:rsidRPr="00C2587D" w:rsidRDefault="006A7E0A" w:rsidP="002E392A">
            <w:pPr>
              <w:spacing w:before="20" w:after="20"/>
              <w:jc w:val="both"/>
              <w:rPr>
                <w:rFonts w:cs="Arial"/>
                <w:sz w:val="20"/>
                <w:szCs w:val="20"/>
              </w:rPr>
            </w:pPr>
            <w:r w:rsidRPr="00C2587D">
              <w:rPr>
                <w:rFonts w:cs="Arial"/>
                <w:sz w:val="20"/>
                <w:szCs w:val="20"/>
              </w:rPr>
              <w:t xml:space="preserve">В.4.1.7. </w:t>
            </w:r>
            <w:r w:rsidRPr="00C2587D">
              <w:rPr>
                <w:rFonts w:cs="Arial"/>
                <w:sz w:val="20"/>
                <w:szCs w:val="20"/>
                <w:lang w:eastAsia="it-IT"/>
              </w:rPr>
              <w:t>Придбання та встановлення систем відеоспостереження: відеокамери; серверу із програмним забезпеченням.</w:t>
            </w:r>
          </w:p>
          <w:p w14:paraId="173DAB8B" w14:textId="41BEFC79" w:rsidR="00EE6085" w:rsidRPr="00C2587D" w:rsidRDefault="006A7E0A" w:rsidP="002E392A">
            <w:pPr>
              <w:jc w:val="both"/>
              <w:rPr>
                <w:rFonts w:cs="Arial"/>
                <w:color w:val="000000"/>
                <w:sz w:val="20"/>
                <w:szCs w:val="20"/>
                <w:lang w:eastAsia="uk-UA"/>
              </w:rPr>
            </w:pPr>
            <w:r w:rsidRPr="00C2587D">
              <w:rPr>
                <w:rFonts w:cs="Arial"/>
                <w:sz w:val="20"/>
                <w:szCs w:val="20"/>
              </w:rPr>
              <w:t xml:space="preserve">В.4.1.8. </w:t>
            </w:r>
            <w:r w:rsidRPr="00C2587D">
              <w:rPr>
                <w:rFonts w:cs="Arial"/>
                <w:sz w:val="20"/>
                <w:szCs w:val="20"/>
                <w:lang w:eastAsia="it-IT"/>
              </w:rPr>
              <w:t>Проведення робіт по прокладці мережі відеоспостереження з урахування</w:t>
            </w:r>
            <w:r w:rsidR="006B0893" w:rsidRPr="00C2587D">
              <w:rPr>
                <w:rFonts w:cs="Arial"/>
                <w:sz w:val="20"/>
                <w:szCs w:val="20"/>
                <w:lang w:eastAsia="it-IT"/>
              </w:rPr>
              <w:t>м</w:t>
            </w:r>
            <w:r w:rsidRPr="00C2587D">
              <w:rPr>
                <w:rFonts w:cs="Arial"/>
                <w:sz w:val="20"/>
                <w:szCs w:val="20"/>
                <w:lang w:eastAsia="it-IT"/>
              </w:rPr>
              <w:t xml:space="preserve"> потреб населення конкретних населених пунктів</w:t>
            </w:r>
          </w:p>
        </w:tc>
      </w:tr>
      <w:tr w:rsidR="00EE6085" w:rsidRPr="00C2587D" w14:paraId="0AB94F73" w14:textId="77777777" w:rsidTr="00F21066">
        <w:trPr>
          <w:trHeight w:val="490"/>
        </w:trPr>
        <w:tc>
          <w:tcPr>
            <w:tcW w:w="1975" w:type="dxa"/>
            <w:vMerge/>
            <w:vAlign w:val="center"/>
          </w:tcPr>
          <w:p w14:paraId="4BFD712A" w14:textId="77777777" w:rsidR="00EE6085" w:rsidRPr="00C2587D" w:rsidRDefault="00EE6085" w:rsidP="002E392A">
            <w:pPr>
              <w:rPr>
                <w:rFonts w:cs="Arial"/>
                <w:b/>
                <w:sz w:val="20"/>
                <w:szCs w:val="20"/>
                <w:lang w:eastAsia="uk-UA"/>
              </w:rPr>
            </w:pPr>
          </w:p>
        </w:tc>
        <w:tc>
          <w:tcPr>
            <w:tcW w:w="2693" w:type="dxa"/>
            <w:vMerge/>
            <w:vAlign w:val="center"/>
          </w:tcPr>
          <w:p w14:paraId="54EB2C40" w14:textId="77777777" w:rsidR="00EE6085" w:rsidRPr="00C2587D" w:rsidRDefault="00EE6085" w:rsidP="002E392A">
            <w:pPr>
              <w:rPr>
                <w:rFonts w:cs="Arial"/>
                <w:b/>
                <w:sz w:val="20"/>
                <w:szCs w:val="20"/>
                <w:lang w:eastAsia="uk-UA"/>
              </w:rPr>
            </w:pPr>
          </w:p>
        </w:tc>
        <w:tc>
          <w:tcPr>
            <w:tcW w:w="2840" w:type="dxa"/>
            <w:shd w:val="clear" w:color="auto" w:fill="auto"/>
          </w:tcPr>
          <w:p w14:paraId="5D0D84D7" w14:textId="77777777" w:rsidR="00EE6085" w:rsidRPr="00C2587D" w:rsidRDefault="00EE6085" w:rsidP="002E392A">
            <w:pPr>
              <w:rPr>
                <w:rFonts w:cs="Arial"/>
                <w:bCs/>
                <w:color w:val="000000"/>
                <w:sz w:val="20"/>
                <w:szCs w:val="20"/>
                <w:lang w:eastAsia="uk-UA"/>
              </w:rPr>
            </w:pPr>
            <w:r w:rsidRPr="00C2587D">
              <w:rPr>
                <w:rFonts w:cs="Arial"/>
                <w:bCs/>
                <w:sz w:val="20"/>
                <w:szCs w:val="20"/>
              </w:rPr>
              <w:t>В</w:t>
            </w:r>
            <w:r w:rsidRPr="00C2587D">
              <w:rPr>
                <w:rFonts w:cs="Arial"/>
                <w:bCs/>
                <w:sz w:val="20"/>
                <w:szCs w:val="20"/>
                <w:lang w:eastAsia="it-IT"/>
              </w:rPr>
              <w:t>.4.2. Вдосконалення  системи цивільного захисту та забезпечення протипожежної  безпеки</w:t>
            </w:r>
          </w:p>
        </w:tc>
        <w:tc>
          <w:tcPr>
            <w:tcW w:w="7655" w:type="dxa"/>
            <w:shd w:val="clear" w:color="auto" w:fill="auto"/>
          </w:tcPr>
          <w:p w14:paraId="6AAE1407" w14:textId="77777777" w:rsidR="006A7E0A" w:rsidRPr="00C2587D" w:rsidRDefault="006A7E0A" w:rsidP="002E392A">
            <w:pPr>
              <w:spacing w:before="20" w:after="20"/>
              <w:jc w:val="both"/>
              <w:rPr>
                <w:rFonts w:cs="Arial"/>
                <w:sz w:val="20"/>
                <w:szCs w:val="20"/>
              </w:rPr>
            </w:pPr>
            <w:r w:rsidRPr="00C2587D">
              <w:rPr>
                <w:rFonts w:cs="Arial"/>
                <w:sz w:val="20"/>
                <w:szCs w:val="20"/>
              </w:rPr>
              <w:t>В.4.2.1. Поліпшення системи реагування на надзвичайні ситуації.</w:t>
            </w:r>
          </w:p>
          <w:p w14:paraId="33434E46" w14:textId="77777777" w:rsidR="006A7E0A" w:rsidRPr="00C2587D" w:rsidRDefault="006A7E0A" w:rsidP="002E392A">
            <w:pPr>
              <w:spacing w:before="20" w:after="20"/>
              <w:jc w:val="both"/>
              <w:rPr>
                <w:rFonts w:cs="Arial"/>
                <w:sz w:val="20"/>
                <w:szCs w:val="20"/>
              </w:rPr>
            </w:pPr>
            <w:r w:rsidRPr="00C2587D">
              <w:rPr>
                <w:rFonts w:cs="Arial"/>
                <w:sz w:val="20"/>
                <w:szCs w:val="20"/>
              </w:rPr>
              <w:t>В.4.2.2. Забезпечення протипожежної безпеки на об’єктах комунальної власності та  комунальної сфери.</w:t>
            </w:r>
          </w:p>
          <w:p w14:paraId="381EA554" w14:textId="77777777" w:rsidR="00EE6085" w:rsidRPr="00C2587D" w:rsidRDefault="006A7E0A" w:rsidP="002E392A">
            <w:pPr>
              <w:jc w:val="both"/>
              <w:rPr>
                <w:rFonts w:cs="Arial"/>
                <w:color w:val="000000"/>
                <w:sz w:val="20"/>
                <w:szCs w:val="20"/>
                <w:lang w:eastAsia="uk-UA"/>
              </w:rPr>
            </w:pPr>
            <w:r w:rsidRPr="00C2587D">
              <w:rPr>
                <w:rFonts w:cs="Arial"/>
                <w:sz w:val="20"/>
                <w:szCs w:val="20"/>
              </w:rPr>
              <w:t>В.4.2.3. Забезпечення укриття населення  в захисних спорудах всіх типів.</w:t>
            </w:r>
          </w:p>
        </w:tc>
      </w:tr>
      <w:tr w:rsidR="005734DC" w:rsidRPr="00C2587D" w14:paraId="59F01D70" w14:textId="77777777" w:rsidTr="00F21066">
        <w:trPr>
          <w:trHeight w:val="498"/>
        </w:trPr>
        <w:tc>
          <w:tcPr>
            <w:tcW w:w="1975" w:type="dxa"/>
            <w:vMerge w:val="restart"/>
            <w:tcBorders>
              <w:top w:val="nil"/>
            </w:tcBorders>
            <w:vAlign w:val="center"/>
          </w:tcPr>
          <w:p w14:paraId="0229B0A5" w14:textId="77777777" w:rsidR="005734DC" w:rsidRPr="00C2587D" w:rsidRDefault="005734DC" w:rsidP="002E392A">
            <w:pPr>
              <w:rPr>
                <w:rFonts w:cs="Arial"/>
                <w:b/>
                <w:bCs/>
                <w:sz w:val="20"/>
                <w:szCs w:val="20"/>
                <w:lang w:eastAsia="uk-UA"/>
              </w:rPr>
            </w:pPr>
            <w:bookmarkStart w:id="13" w:name="_Hlk75351043"/>
            <w:bookmarkEnd w:id="10"/>
            <w:r w:rsidRPr="00C2587D">
              <w:rPr>
                <w:rFonts w:cs="Arial"/>
                <w:b/>
                <w:bCs/>
                <w:szCs w:val="22"/>
              </w:rPr>
              <w:t>С. Доступна громада</w:t>
            </w:r>
          </w:p>
        </w:tc>
        <w:tc>
          <w:tcPr>
            <w:tcW w:w="2693" w:type="dxa"/>
            <w:vMerge w:val="restart"/>
            <w:vAlign w:val="center"/>
          </w:tcPr>
          <w:p w14:paraId="4D9D59EB" w14:textId="77777777" w:rsidR="005734DC" w:rsidRPr="00C2587D" w:rsidRDefault="005734DC" w:rsidP="002E392A">
            <w:pPr>
              <w:rPr>
                <w:rFonts w:cs="Arial"/>
                <w:color w:val="000000"/>
                <w:sz w:val="20"/>
                <w:szCs w:val="20"/>
                <w:lang w:eastAsia="uk-UA"/>
              </w:rPr>
            </w:pPr>
            <w:r w:rsidRPr="00C2587D">
              <w:rPr>
                <w:rFonts w:cs="Arial"/>
                <w:b/>
                <w:sz w:val="20"/>
                <w:szCs w:val="22"/>
                <w:lang w:eastAsia="uk-UA"/>
              </w:rPr>
              <w:t>С.1. Підвищення рівня надання освітніх послуг</w:t>
            </w:r>
          </w:p>
        </w:tc>
        <w:tc>
          <w:tcPr>
            <w:tcW w:w="2840" w:type="dxa"/>
            <w:vAlign w:val="center"/>
          </w:tcPr>
          <w:p w14:paraId="1191FC80" w14:textId="566E9141" w:rsidR="005734DC" w:rsidRPr="00C2587D" w:rsidRDefault="005734DC" w:rsidP="002E392A">
            <w:pPr>
              <w:widowControl w:val="0"/>
              <w:tabs>
                <w:tab w:val="left" w:pos="0"/>
                <w:tab w:val="left" w:pos="720"/>
              </w:tabs>
              <w:autoSpaceDE w:val="0"/>
              <w:autoSpaceDN w:val="0"/>
              <w:adjustRightInd w:val="0"/>
              <w:rPr>
                <w:rFonts w:cs="Arial"/>
                <w:bCs/>
                <w:color w:val="000000"/>
                <w:sz w:val="20"/>
                <w:szCs w:val="20"/>
                <w:lang w:eastAsia="uk-UA"/>
              </w:rPr>
            </w:pPr>
            <w:r w:rsidRPr="00C2587D">
              <w:rPr>
                <w:rFonts w:cs="Arial"/>
                <w:bCs/>
                <w:sz w:val="20"/>
                <w:szCs w:val="20"/>
              </w:rPr>
              <w:t>С.1.1. Створення  системи  конкурентоспроможної  освіти відповідно до потреб ринку праці та розвитку особистості</w:t>
            </w:r>
          </w:p>
        </w:tc>
        <w:tc>
          <w:tcPr>
            <w:tcW w:w="7655" w:type="dxa"/>
            <w:shd w:val="clear" w:color="auto" w:fill="auto"/>
          </w:tcPr>
          <w:p w14:paraId="28908342" w14:textId="77777777" w:rsidR="009D742D" w:rsidRPr="00C2587D" w:rsidRDefault="009D742D" w:rsidP="002E392A">
            <w:pPr>
              <w:jc w:val="both"/>
              <w:rPr>
                <w:rFonts w:cs="Arial"/>
                <w:sz w:val="20"/>
                <w:szCs w:val="20"/>
              </w:rPr>
            </w:pPr>
            <w:r w:rsidRPr="00C2587D">
              <w:rPr>
                <w:rFonts w:cs="Arial"/>
                <w:sz w:val="20"/>
                <w:szCs w:val="20"/>
              </w:rPr>
              <w:t>С.1.1.1. Забезпечення динамічного розвитку дошкільної, загальної середньої та позашкільної освіти.</w:t>
            </w:r>
          </w:p>
          <w:p w14:paraId="4B083CC3" w14:textId="77777777" w:rsidR="009D742D" w:rsidRPr="00C2587D" w:rsidRDefault="009D742D" w:rsidP="002E392A">
            <w:pPr>
              <w:jc w:val="both"/>
              <w:rPr>
                <w:rFonts w:cs="Arial"/>
                <w:sz w:val="20"/>
                <w:szCs w:val="20"/>
              </w:rPr>
            </w:pPr>
            <w:r w:rsidRPr="00C2587D">
              <w:rPr>
                <w:rFonts w:cs="Arial"/>
                <w:sz w:val="20"/>
                <w:szCs w:val="20"/>
              </w:rPr>
              <w:t>С.1.1.2. Розвиток освітньої інфраструктури територіальної громади відповідно до вимог часу.</w:t>
            </w:r>
          </w:p>
          <w:p w14:paraId="160FF11D" w14:textId="77777777" w:rsidR="009D742D" w:rsidRPr="00C2587D" w:rsidRDefault="009D742D" w:rsidP="002E392A">
            <w:pPr>
              <w:jc w:val="both"/>
              <w:rPr>
                <w:rFonts w:cs="Arial"/>
                <w:sz w:val="20"/>
                <w:szCs w:val="20"/>
              </w:rPr>
            </w:pPr>
            <w:r w:rsidRPr="00C2587D">
              <w:rPr>
                <w:rFonts w:cs="Arial"/>
                <w:sz w:val="20"/>
                <w:szCs w:val="20"/>
              </w:rPr>
              <w:t>С.1.1.3. Модернізація   навчально-методичної бази закладів освіти.</w:t>
            </w:r>
          </w:p>
          <w:p w14:paraId="7CA1AB11" w14:textId="77777777" w:rsidR="009D742D" w:rsidRPr="00C2587D" w:rsidRDefault="009D742D" w:rsidP="002E392A">
            <w:pPr>
              <w:jc w:val="both"/>
              <w:rPr>
                <w:rFonts w:cs="Arial"/>
                <w:sz w:val="20"/>
                <w:szCs w:val="20"/>
              </w:rPr>
            </w:pPr>
            <w:r w:rsidRPr="00C2587D">
              <w:rPr>
                <w:rFonts w:cs="Arial"/>
                <w:sz w:val="20"/>
                <w:szCs w:val="20"/>
              </w:rPr>
              <w:t>С.1.1.4. Діджиталізація освіти.</w:t>
            </w:r>
          </w:p>
          <w:p w14:paraId="612C9A98" w14:textId="77777777" w:rsidR="009D742D" w:rsidRPr="00C2587D" w:rsidRDefault="009D742D" w:rsidP="002E392A">
            <w:pPr>
              <w:jc w:val="both"/>
              <w:rPr>
                <w:rFonts w:cs="Arial"/>
                <w:sz w:val="20"/>
                <w:szCs w:val="20"/>
              </w:rPr>
            </w:pPr>
            <w:r w:rsidRPr="00C2587D">
              <w:rPr>
                <w:rFonts w:cs="Arial"/>
                <w:sz w:val="20"/>
                <w:szCs w:val="20"/>
              </w:rPr>
              <w:t xml:space="preserve">С.1.1.5. Стимулювання інноваційного розвитку освіти  Жмеринської міської ТГ.   </w:t>
            </w:r>
          </w:p>
          <w:p w14:paraId="073396F5" w14:textId="77777777" w:rsidR="009D742D" w:rsidRPr="00C2587D" w:rsidRDefault="009D742D" w:rsidP="002E392A">
            <w:pPr>
              <w:jc w:val="both"/>
              <w:rPr>
                <w:rFonts w:cs="Arial"/>
                <w:sz w:val="20"/>
                <w:szCs w:val="20"/>
              </w:rPr>
            </w:pPr>
            <w:r w:rsidRPr="00C2587D">
              <w:rPr>
                <w:rFonts w:cs="Arial"/>
                <w:sz w:val="20"/>
                <w:szCs w:val="20"/>
              </w:rPr>
              <w:t>С.1.1.6. Підвищення орієнтації  галузі освіти на потреби ринку праці.</w:t>
            </w:r>
          </w:p>
          <w:p w14:paraId="6132F165" w14:textId="77777777" w:rsidR="009D742D" w:rsidRPr="00C2587D" w:rsidRDefault="009D742D" w:rsidP="002E392A">
            <w:pPr>
              <w:jc w:val="both"/>
              <w:rPr>
                <w:rFonts w:cs="Arial"/>
                <w:sz w:val="20"/>
                <w:szCs w:val="20"/>
              </w:rPr>
            </w:pPr>
            <w:r w:rsidRPr="00C2587D">
              <w:rPr>
                <w:rFonts w:cs="Arial"/>
                <w:sz w:val="20"/>
                <w:szCs w:val="20"/>
              </w:rPr>
              <w:t>С.1.1.7. Створення привабливих умов для залучення інвестицій в освіту ТГ та міжнародної донорської допомоги.</w:t>
            </w:r>
            <w:r w:rsidRPr="00C2587D">
              <w:rPr>
                <w:sz w:val="20"/>
                <w:szCs w:val="20"/>
              </w:rPr>
              <w:t xml:space="preserve"> </w:t>
            </w:r>
          </w:p>
          <w:p w14:paraId="7A6398F6" w14:textId="77777777" w:rsidR="005734DC" w:rsidRPr="00C2587D" w:rsidRDefault="009D742D" w:rsidP="002E392A">
            <w:pPr>
              <w:jc w:val="both"/>
              <w:rPr>
                <w:rFonts w:cs="Arial"/>
                <w:color w:val="000000"/>
                <w:sz w:val="20"/>
                <w:szCs w:val="20"/>
                <w:lang w:eastAsia="uk-UA"/>
              </w:rPr>
            </w:pPr>
            <w:r w:rsidRPr="00C2587D">
              <w:rPr>
                <w:rFonts w:cs="Arial"/>
                <w:sz w:val="20"/>
                <w:szCs w:val="20"/>
              </w:rPr>
              <w:t>С.1.1.8. Розвиток та поглиблення міжнародного та міжрегіонального співробітництва в галузі освіти.</w:t>
            </w:r>
          </w:p>
        </w:tc>
      </w:tr>
      <w:tr w:rsidR="005734DC" w:rsidRPr="00C2587D" w14:paraId="38466D0C" w14:textId="77777777" w:rsidTr="00F21066">
        <w:trPr>
          <w:trHeight w:val="504"/>
        </w:trPr>
        <w:tc>
          <w:tcPr>
            <w:tcW w:w="1975" w:type="dxa"/>
            <w:vMerge/>
            <w:vAlign w:val="center"/>
          </w:tcPr>
          <w:p w14:paraId="6BA62621" w14:textId="77777777" w:rsidR="005734DC" w:rsidRPr="00C2587D" w:rsidRDefault="005734DC" w:rsidP="002E392A">
            <w:pPr>
              <w:rPr>
                <w:rFonts w:cs="Arial"/>
                <w:b/>
                <w:bCs/>
                <w:szCs w:val="22"/>
              </w:rPr>
            </w:pPr>
          </w:p>
        </w:tc>
        <w:tc>
          <w:tcPr>
            <w:tcW w:w="2693" w:type="dxa"/>
            <w:vMerge/>
            <w:vAlign w:val="center"/>
          </w:tcPr>
          <w:p w14:paraId="6011B506" w14:textId="77777777" w:rsidR="005734DC" w:rsidRPr="00C2587D" w:rsidRDefault="005734DC" w:rsidP="002E392A">
            <w:pPr>
              <w:rPr>
                <w:rFonts w:cs="Arial"/>
                <w:color w:val="000000"/>
                <w:sz w:val="20"/>
                <w:szCs w:val="20"/>
                <w:lang w:eastAsia="uk-UA"/>
              </w:rPr>
            </w:pPr>
          </w:p>
        </w:tc>
        <w:tc>
          <w:tcPr>
            <w:tcW w:w="2840" w:type="dxa"/>
            <w:vAlign w:val="center"/>
          </w:tcPr>
          <w:p w14:paraId="3A316A21" w14:textId="77D60846" w:rsidR="005734DC" w:rsidRPr="00C2587D" w:rsidRDefault="005734DC" w:rsidP="002E392A">
            <w:pPr>
              <w:rPr>
                <w:rFonts w:cs="Arial"/>
                <w:bCs/>
                <w:color w:val="000000"/>
                <w:sz w:val="20"/>
                <w:szCs w:val="20"/>
                <w:lang w:eastAsia="uk-UA"/>
              </w:rPr>
            </w:pPr>
            <w:r w:rsidRPr="00C2587D">
              <w:rPr>
                <w:rFonts w:cs="Arial"/>
                <w:bCs/>
                <w:sz w:val="20"/>
                <w:szCs w:val="20"/>
                <w:lang w:eastAsia="uk-UA"/>
              </w:rPr>
              <w:t>С.1.2. Забезпечення комфортних і безпечних умов навчання та праці</w:t>
            </w:r>
          </w:p>
        </w:tc>
        <w:tc>
          <w:tcPr>
            <w:tcW w:w="7655" w:type="dxa"/>
            <w:shd w:val="clear" w:color="auto" w:fill="auto"/>
          </w:tcPr>
          <w:p w14:paraId="14C13421" w14:textId="77777777" w:rsidR="005A6E1D" w:rsidRPr="00C2587D" w:rsidRDefault="005A6E1D" w:rsidP="002E392A">
            <w:pPr>
              <w:jc w:val="both"/>
              <w:rPr>
                <w:rFonts w:cs="Arial"/>
                <w:sz w:val="20"/>
                <w:szCs w:val="20"/>
              </w:rPr>
            </w:pPr>
            <w:bookmarkStart w:id="14" w:name="_Toc422815093"/>
            <w:r w:rsidRPr="00C2587D">
              <w:rPr>
                <w:rFonts w:cs="Arial"/>
                <w:sz w:val="20"/>
                <w:szCs w:val="20"/>
              </w:rPr>
              <w:t>С.1.2.1. Підвищення рівня громадської безпеки</w:t>
            </w:r>
            <w:bookmarkEnd w:id="14"/>
            <w:r w:rsidRPr="00C2587D">
              <w:rPr>
                <w:rFonts w:cs="Arial"/>
                <w:sz w:val="20"/>
                <w:szCs w:val="20"/>
              </w:rPr>
              <w:t xml:space="preserve"> в закладах освіти.</w:t>
            </w:r>
          </w:p>
          <w:p w14:paraId="52F99C0C" w14:textId="77777777" w:rsidR="005A6E1D" w:rsidRPr="00C2587D" w:rsidRDefault="005A6E1D" w:rsidP="002E392A">
            <w:pPr>
              <w:jc w:val="both"/>
              <w:rPr>
                <w:rFonts w:cs="Arial"/>
                <w:sz w:val="20"/>
                <w:szCs w:val="20"/>
              </w:rPr>
            </w:pPr>
            <w:r w:rsidRPr="00C2587D">
              <w:rPr>
                <w:rFonts w:cs="Arial"/>
                <w:sz w:val="20"/>
                <w:szCs w:val="20"/>
              </w:rPr>
              <w:t>С.1.2.2. Створення освітнього середовища, вільного від будь-яких форм насильства та дискримінації.</w:t>
            </w:r>
          </w:p>
          <w:p w14:paraId="4CE44BD4" w14:textId="77777777" w:rsidR="005A6E1D" w:rsidRPr="00C2587D" w:rsidRDefault="005A6E1D" w:rsidP="002E392A">
            <w:pPr>
              <w:jc w:val="both"/>
              <w:rPr>
                <w:rFonts w:cs="Arial"/>
                <w:sz w:val="20"/>
                <w:szCs w:val="20"/>
              </w:rPr>
            </w:pPr>
            <w:r w:rsidRPr="00C2587D">
              <w:rPr>
                <w:rFonts w:cs="Arial"/>
                <w:sz w:val="20"/>
                <w:szCs w:val="20"/>
              </w:rPr>
              <w:t>С.1.2.3. Інтернет безпека та медіа грамотність</w:t>
            </w:r>
            <w:bookmarkStart w:id="15" w:name="_Toc422815109"/>
            <w:r w:rsidRPr="00C2587D">
              <w:rPr>
                <w:rFonts w:cs="Arial"/>
                <w:sz w:val="20"/>
                <w:szCs w:val="20"/>
              </w:rPr>
              <w:t>.</w:t>
            </w:r>
          </w:p>
          <w:p w14:paraId="6D3DEB30" w14:textId="77777777" w:rsidR="005A6E1D" w:rsidRPr="00C2587D" w:rsidRDefault="005A6E1D" w:rsidP="002E392A">
            <w:pPr>
              <w:jc w:val="both"/>
              <w:rPr>
                <w:rFonts w:cs="Arial"/>
                <w:sz w:val="20"/>
                <w:szCs w:val="20"/>
              </w:rPr>
            </w:pPr>
            <w:r w:rsidRPr="00C2587D">
              <w:rPr>
                <w:rFonts w:cs="Arial"/>
                <w:sz w:val="20"/>
                <w:szCs w:val="20"/>
              </w:rPr>
              <w:t>С.1.2.4. Підвищення рівня санітарної безпеки закладів освіти</w:t>
            </w:r>
            <w:bookmarkStart w:id="16" w:name="_Toc422815101"/>
            <w:bookmarkEnd w:id="15"/>
            <w:r w:rsidRPr="00C2587D">
              <w:rPr>
                <w:rFonts w:cs="Arial"/>
                <w:sz w:val="20"/>
                <w:szCs w:val="20"/>
              </w:rPr>
              <w:t>.</w:t>
            </w:r>
          </w:p>
          <w:p w14:paraId="7B749535" w14:textId="77777777" w:rsidR="005A6E1D" w:rsidRPr="00C2587D" w:rsidRDefault="005A6E1D" w:rsidP="002E392A">
            <w:pPr>
              <w:jc w:val="both"/>
              <w:rPr>
                <w:rFonts w:cs="Arial"/>
                <w:sz w:val="20"/>
                <w:szCs w:val="20"/>
              </w:rPr>
            </w:pPr>
            <w:r w:rsidRPr="00C2587D">
              <w:rPr>
                <w:rFonts w:cs="Arial"/>
                <w:sz w:val="20"/>
                <w:szCs w:val="20"/>
              </w:rPr>
              <w:t>С.1.2.5. Підвищення рівня безпечності та якості організації харчування</w:t>
            </w:r>
            <w:bookmarkEnd w:id="16"/>
            <w:r w:rsidRPr="00C2587D">
              <w:rPr>
                <w:rFonts w:cs="Arial"/>
                <w:sz w:val="20"/>
                <w:szCs w:val="20"/>
              </w:rPr>
              <w:t>, створення умов для здорового способу життя.</w:t>
            </w:r>
          </w:p>
          <w:p w14:paraId="428D0D5C" w14:textId="77777777" w:rsidR="005734DC" w:rsidRPr="00C2587D" w:rsidRDefault="005A6E1D" w:rsidP="002E392A">
            <w:pPr>
              <w:jc w:val="both"/>
              <w:rPr>
                <w:rFonts w:cs="Arial"/>
                <w:color w:val="000000"/>
                <w:sz w:val="20"/>
                <w:szCs w:val="20"/>
                <w:lang w:eastAsia="uk-UA"/>
              </w:rPr>
            </w:pPr>
            <w:r w:rsidRPr="00C2587D">
              <w:rPr>
                <w:rFonts w:cs="Arial"/>
                <w:sz w:val="20"/>
                <w:szCs w:val="20"/>
              </w:rPr>
              <w:t>С.1.2.6. Удосконалення екологічної політики та підвищення рівня екологічної безпеки закладів освіти.</w:t>
            </w:r>
          </w:p>
        </w:tc>
      </w:tr>
      <w:tr w:rsidR="005734DC" w:rsidRPr="00C2587D" w14:paraId="5C99A2A7" w14:textId="77777777" w:rsidTr="00F21066">
        <w:trPr>
          <w:trHeight w:val="564"/>
        </w:trPr>
        <w:tc>
          <w:tcPr>
            <w:tcW w:w="1975" w:type="dxa"/>
            <w:vMerge/>
            <w:vAlign w:val="center"/>
          </w:tcPr>
          <w:p w14:paraId="00D22B0C" w14:textId="77777777" w:rsidR="005734DC" w:rsidRPr="00C2587D" w:rsidRDefault="005734DC" w:rsidP="002E392A">
            <w:pPr>
              <w:rPr>
                <w:rFonts w:cs="Arial"/>
                <w:b/>
                <w:bCs/>
                <w:szCs w:val="22"/>
              </w:rPr>
            </w:pPr>
          </w:p>
        </w:tc>
        <w:tc>
          <w:tcPr>
            <w:tcW w:w="2693" w:type="dxa"/>
            <w:vMerge/>
            <w:vAlign w:val="center"/>
          </w:tcPr>
          <w:p w14:paraId="19CA1BFE" w14:textId="77777777" w:rsidR="005734DC" w:rsidRPr="00C2587D" w:rsidRDefault="005734DC" w:rsidP="002E392A">
            <w:pPr>
              <w:rPr>
                <w:rFonts w:cs="Arial"/>
                <w:color w:val="000000"/>
                <w:sz w:val="20"/>
                <w:szCs w:val="20"/>
                <w:lang w:eastAsia="uk-UA"/>
              </w:rPr>
            </w:pPr>
          </w:p>
        </w:tc>
        <w:tc>
          <w:tcPr>
            <w:tcW w:w="2840" w:type="dxa"/>
            <w:vAlign w:val="center"/>
          </w:tcPr>
          <w:p w14:paraId="35FE5A56" w14:textId="4CF24BE8" w:rsidR="005734DC" w:rsidRPr="00C2587D" w:rsidRDefault="005734DC" w:rsidP="002E392A">
            <w:pPr>
              <w:rPr>
                <w:rFonts w:cs="Arial"/>
                <w:bCs/>
                <w:color w:val="000000"/>
                <w:sz w:val="20"/>
                <w:szCs w:val="20"/>
                <w:lang w:eastAsia="uk-UA"/>
              </w:rPr>
            </w:pPr>
            <w:r w:rsidRPr="00C2587D">
              <w:rPr>
                <w:rFonts w:cs="Arial"/>
                <w:bCs/>
                <w:sz w:val="20"/>
                <w:szCs w:val="20"/>
              </w:rPr>
              <w:t>С.1.3</w:t>
            </w:r>
            <w:r w:rsidR="001E4BC5" w:rsidRPr="00C2587D">
              <w:rPr>
                <w:rFonts w:cs="Arial"/>
                <w:bCs/>
                <w:sz w:val="20"/>
                <w:szCs w:val="20"/>
              </w:rPr>
              <w:t>.</w:t>
            </w:r>
            <w:r w:rsidRPr="00C2587D">
              <w:rPr>
                <w:rFonts w:cs="Arial"/>
                <w:bCs/>
                <w:sz w:val="20"/>
                <w:szCs w:val="20"/>
              </w:rPr>
              <w:t xml:space="preserve"> Забезпечення якості освіти та освітньої діяльності</w:t>
            </w:r>
          </w:p>
        </w:tc>
        <w:tc>
          <w:tcPr>
            <w:tcW w:w="7655" w:type="dxa"/>
            <w:shd w:val="clear" w:color="auto" w:fill="auto"/>
          </w:tcPr>
          <w:p w14:paraId="79DC6B68" w14:textId="77777777" w:rsidR="001E4BC5" w:rsidRPr="00C2587D" w:rsidRDefault="001E4BC5" w:rsidP="002E392A">
            <w:pPr>
              <w:jc w:val="both"/>
              <w:rPr>
                <w:rFonts w:cs="Arial"/>
                <w:sz w:val="20"/>
                <w:szCs w:val="20"/>
              </w:rPr>
            </w:pPr>
            <w:r w:rsidRPr="00C2587D">
              <w:rPr>
                <w:rFonts w:cs="Arial"/>
                <w:sz w:val="20"/>
                <w:szCs w:val="20"/>
              </w:rPr>
              <w:t>С.1.3.1. Забезпечення доступу до якісних освітніх послуг в тому числі для дітей з особливими освітніми потребами.</w:t>
            </w:r>
          </w:p>
          <w:p w14:paraId="181170A4" w14:textId="77777777" w:rsidR="001E4BC5" w:rsidRPr="00C2587D" w:rsidRDefault="001E4BC5" w:rsidP="002E392A">
            <w:pPr>
              <w:jc w:val="both"/>
              <w:rPr>
                <w:rFonts w:cs="Arial"/>
                <w:sz w:val="20"/>
                <w:szCs w:val="20"/>
              </w:rPr>
            </w:pPr>
            <w:r w:rsidRPr="00C2587D">
              <w:rPr>
                <w:rFonts w:cs="Arial"/>
                <w:sz w:val="20"/>
                <w:szCs w:val="20"/>
              </w:rPr>
              <w:lastRenderedPageBreak/>
              <w:t>С.1.3.2. Запровадження в освітній процес закладів освіти інновацій, в тому числі інформаційно-комунікаційних та «Smart» технологій.</w:t>
            </w:r>
          </w:p>
          <w:p w14:paraId="701B00CB" w14:textId="77777777" w:rsidR="001E4BC5" w:rsidRPr="00C2587D" w:rsidRDefault="001E4BC5" w:rsidP="002E392A">
            <w:pPr>
              <w:jc w:val="both"/>
              <w:rPr>
                <w:rFonts w:cs="Arial"/>
                <w:sz w:val="20"/>
                <w:szCs w:val="20"/>
              </w:rPr>
            </w:pPr>
            <w:r w:rsidRPr="00C2587D">
              <w:rPr>
                <w:rFonts w:cs="Arial"/>
                <w:sz w:val="20"/>
                <w:szCs w:val="20"/>
              </w:rPr>
              <w:t>С.1.3.3. Формування  відкритої, прозорої системи оцінювання навчальних досягнень.</w:t>
            </w:r>
          </w:p>
          <w:p w14:paraId="56FA54F2" w14:textId="77777777" w:rsidR="005734DC" w:rsidRPr="00C2587D" w:rsidRDefault="001E4BC5" w:rsidP="002E392A">
            <w:pPr>
              <w:jc w:val="both"/>
              <w:rPr>
                <w:rFonts w:cs="Arial"/>
                <w:color w:val="000000"/>
                <w:sz w:val="20"/>
                <w:szCs w:val="20"/>
                <w:lang w:eastAsia="uk-UA"/>
              </w:rPr>
            </w:pPr>
            <w:r w:rsidRPr="00C2587D">
              <w:rPr>
                <w:rFonts w:cs="Arial"/>
                <w:sz w:val="20"/>
                <w:szCs w:val="20"/>
              </w:rPr>
              <w:t>С.1.3.4. Створення нового освітнього простору як необхідної передумови підвищення якості освіти.</w:t>
            </w:r>
          </w:p>
        </w:tc>
      </w:tr>
      <w:tr w:rsidR="005734DC" w:rsidRPr="00C2587D" w14:paraId="6A17F6AB" w14:textId="77777777" w:rsidTr="00F21066">
        <w:trPr>
          <w:trHeight w:val="468"/>
        </w:trPr>
        <w:tc>
          <w:tcPr>
            <w:tcW w:w="1975" w:type="dxa"/>
            <w:vMerge/>
            <w:vAlign w:val="center"/>
          </w:tcPr>
          <w:p w14:paraId="0D01B93D" w14:textId="77777777" w:rsidR="005734DC" w:rsidRPr="00C2587D" w:rsidRDefault="005734DC" w:rsidP="002E392A">
            <w:pPr>
              <w:rPr>
                <w:rFonts w:cs="Arial"/>
                <w:b/>
                <w:bCs/>
                <w:szCs w:val="22"/>
              </w:rPr>
            </w:pPr>
          </w:p>
        </w:tc>
        <w:tc>
          <w:tcPr>
            <w:tcW w:w="2693" w:type="dxa"/>
            <w:vMerge/>
            <w:vAlign w:val="center"/>
          </w:tcPr>
          <w:p w14:paraId="162C011A" w14:textId="77777777" w:rsidR="005734DC" w:rsidRPr="00C2587D" w:rsidRDefault="005734DC" w:rsidP="002E392A">
            <w:pPr>
              <w:rPr>
                <w:rFonts w:cs="Arial"/>
                <w:color w:val="000000"/>
                <w:sz w:val="20"/>
                <w:szCs w:val="20"/>
                <w:lang w:eastAsia="uk-UA"/>
              </w:rPr>
            </w:pPr>
          </w:p>
        </w:tc>
        <w:tc>
          <w:tcPr>
            <w:tcW w:w="2840" w:type="dxa"/>
            <w:vAlign w:val="center"/>
          </w:tcPr>
          <w:p w14:paraId="0A001CB2" w14:textId="022F3D98" w:rsidR="005734DC" w:rsidRPr="00C2587D" w:rsidRDefault="005734DC" w:rsidP="002E392A">
            <w:pPr>
              <w:widowControl w:val="0"/>
              <w:tabs>
                <w:tab w:val="left" w:pos="0"/>
                <w:tab w:val="left" w:pos="720"/>
              </w:tabs>
              <w:autoSpaceDE w:val="0"/>
              <w:autoSpaceDN w:val="0"/>
              <w:adjustRightInd w:val="0"/>
              <w:rPr>
                <w:rFonts w:cs="Arial"/>
                <w:bCs/>
                <w:color w:val="000000"/>
                <w:sz w:val="20"/>
                <w:szCs w:val="20"/>
                <w:lang w:eastAsia="uk-UA"/>
              </w:rPr>
            </w:pPr>
            <w:r w:rsidRPr="00C2587D">
              <w:rPr>
                <w:rFonts w:cs="Arial"/>
                <w:bCs/>
                <w:sz w:val="20"/>
                <w:szCs w:val="20"/>
              </w:rPr>
              <w:t>С.1.4. Ефективне управління в галузі освіти</w:t>
            </w:r>
          </w:p>
        </w:tc>
        <w:tc>
          <w:tcPr>
            <w:tcW w:w="7655" w:type="dxa"/>
            <w:shd w:val="clear" w:color="auto" w:fill="auto"/>
          </w:tcPr>
          <w:p w14:paraId="4159938F" w14:textId="77777777" w:rsidR="009F1B2D" w:rsidRPr="00C2587D" w:rsidRDefault="009F1B2D" w:rsidP="002E392A">
            <w:pPr>
              <w:jc w:val="both"/>
              <w:rPr>
                <w:rFonts w:cs="Arial"/>
                <w:sz w:val="20"/>
                <w:szCs w:val="20"/>
              </w:rPr>
            </w:pPr>
            <w:r w:rsidRPr="00C2587D">
              <w:rPr>
                <w:rFonts w:cs="Arial"/>
                <w:sz w:val="20"/>
                <w:szCs w:val="20"/>
              </w:rPr>
              <w:t>С.1.4.1. Здійснення заходів щодо реорганізації  системи управління, фінансування та менеджменту освіти.</w:t>
            </w:r>
          </w:p>
          <w:p w14:paraId="247EA5F3" w14:textId="77777777" w:rsidR="009F1B2D" w:rsidRPr="00C2587D" w:rsidRDefault="009F1B2D" w:rsidP="002E392A">
            <w:pPr>
              <w:jc w:val="both"/>
              <w:rPr>
                <w:rFonts w:cs="Arial"/>
                <w:sz w:val="20"/>
                <w:szCs w:val="20"/>
              </w:rPr>
            </w:pPr>
            <w:r w:rsidRPr="00C2587D">
              <w:rPr>
                <w:rFonts w:cs="Arial"/>
                <w:sz w:val="20"/>
                <w:szCs w:val="20"/>
              </w:rPr>
              <w:t>С.1.4.2. Ефективне управління освітньої мережею, що забезпечує доступ до якісної освіти на всіх її рівнях.</w:t>
            </w:r>
          </w:p>
          <w:p w14:paraId="29B11C51" w14:textId="77777777" w:rsidR="009F1B2D" w:rsidRPr="00C2587D" w:rsidRDefault="009F1B2D" w:rsidP="002E392A">
            <w:pPr>
              <w:jc w:val="both"/>
              <w:rPr>
                <w:rFonts w:cs="Arial"/>
                <w:sz w:val="20"/>
                <w:szCs w:val="20"/>
              </w:rPr>
            </w:pPr>
            <w:r w:rsidRPr="00C2587D">
              <w:rPr>
                <w:rFonts w:cs="Arial"/>
                <w:sz w:val="20"/>
                <w:szCs w:val="20"/>
              </w:rPr>
              <w:t>С.1.4.3. Впровадження сучасних інформаційно-цифрових технологій управління освітою.</w:t>
            </w:r>
          </w:p>
          <w:p w14:paraId="0A981C61" w14:textId="77777777" w:rsidR="009F1B2D" w:rsidRPr="00C2587D" w:rsidRDefault="009F1B2D" w:rsidP="002E392A">
            <w:pPr>
              <w:jc w:val="both"/>
              <w:rPr>
                <w:rFonts w:cs="Arial"/>
                <w:sz w:val="20"/>
                <w:szCs w:val="20"/>
              </w:rPr>
            </w:pPr>
            <w:r w:rsidRPr="00C2587D">
              <w:rPr>
                <w:rFonts w:cs="Arial"/>
                <w:sz w:val="20"/>
                <w:szCs w:val="20"/>
              </w:rPr>
              <w:t>С.1.4.4. Кадровий менеджмент та забезпечення можливостей для професійного зростання педагогів.</w:t>
            </w:r>
          </w:p>
          <w:p w14:paraId="08857D9F" w14:textId="77777777" w:rsidR="009F1B2D" w:rsidRPr="00C2587D" w:rsidRDefault="009F1B2D" w:rsidP="002E392A">
            <w:pPr>
              <w:jc w:val="both"/>
              <w:rPr>
                <w:rFonts w:cs="Arial"/>
                <w:sz w:val="20"/>
                <w:szCs w:val="20"/>
              </w:rPr>
            </w:pPr>
            <w:r w:rsidRPr="00C2587D">
              <w:rPr>
                <w:rFonts w:cs="Arial"/>
                <w:sz w:val="20"/>
                <w:szCs w:val="20"/>
              </w:rPr>
              <w:t>С.1.4.5. Формування та розвиток спроможної освітньої мережі, що забезпечує рівний доступ до якісної освіти на всіх її рівнях для всієї громади</w:t>
            </w:r>
            <w:r w:rsidRPr="00C2587D">
              <w:rPr>
                <w:rFonts w:cs="Arial"/>
                <w:i/>
                <w:sz w:val="20"/>
                <w:szCs w:val="20"/>
              </w:rPr>
              <w:t>.</w:t>
            </w:r>
          </w:p>
          <w:p w14:paraId="04310213" w14:textId="77777777" w:rsidR="009F1B2D" w:rsidRPr="00C2587D" w:rsidRDefault="009F1B2D" w:rsidP="002E392A">
            <w:pPr>
              <w:jc w:val="both"/>
              <w:rPr>
                <w:rFonts w:cs="Arial"/>
                <w:sz w:val="20"/>
                <w:szCs w:val="20"/>
              </w:rPr>
            </w:pPr>
            <w:r w:rsidRPr="00C2587D">
              <w:rPr>
                <w:rFonts w:cs="Arial"/>
                <w:sz w:val="20"/>
                <w:szCs w:val="20"/>
              </w:rPr>
              <w:t>С.1.4.6. Забезпечення системності та безперервності надання освітніх послуг (дошкільна, загальна середня та позашкільна освіта).</w:t>
            </w:r>
          </w:p>
          <w:p w14:paraId="6729470D" w14:textId="77777777" w:rsidR="009F1B2D" w:rsidRPr="00C2587D" w:rsidRDefault="009F1B2D" w:rsidP="002E392A">
            <w:pPr>
              <w:jc w:val="both"/>
              <w:rPr>
                <w:rFonts w:cs="Arial"/>
                <w:sz w:val="20"/>
                <w:szCs w:val="20"/>
              </w:rPr>
            </w:pPr>
            <w:r w:rsidRPr="00C2587D">
              <w:rPr>
                <w:rFonts w:cs="Arial"/>
                <w:sz w:val="20"/>
                <w:szCs w:val="20"/>
              </w:rPr>
              <w:t>С.1.4.7. Ефективне використання ресурсів (кадрових, інфраструктурних, фінансових, матеріально-технічних тощо).</w:t>
            </w:r>
          </w:p>
          <w:p w14:paraId="3597A7BF" w14:textId="77777777" w:rsidR="009F1B2D" w:rsidRPr="00C2587D" w:rsidRDefault="009F1B2D" w:rsidP="002E392A">
            <w:pPr>
              <w:widowControl w:val="0"/>
              <w:jc w:val="both"/>
              <w:rPr>
                <w:rFonts w:cs="Arial"/>
                <w:sz w:val="20"/>
                <w:szCs w:val="20"/>
              </w:rPr>
            </w:pPr>
            <w:r w:rsidRPr="00C2587D">
              <w:rPr>
                <w:rFonts w:cs="Arial"/>
                <w:sz w:val="20"/>
                <w:szCs w:val="20"/>
              </w:rPr>
              <w:t xml:space="preserve">С.1.4.8. </w:t>
            </w:r>
            <w:r w:rsidRPr="00C2587D">
              <w:rPr>
                <w:rFonts w:cs="Arial"/>
                <w:sz w:val="20"/>
                <w:szCs w:val="20"/>
                <w:lang w:eastAsia="uk-UA"/>
              </w:rPr>
              <w:t>Створення в закладах дошкільної, загальної середньої, позашкільної освіти умов для перебування, виховання та навчання дітей з особливими освітніми потребами (їх соціальний супровід).</w:t>
            </w:r>
          </w:p>
          <w:p w14:paraId="160B250E" w14:textId="77777777" w:rsidR="009F1B2D" w:rsidRPr="00C2587D" w:rsidRDefault="009F1B2D" w:rsidP="002E392A">
            <w:pPr>
              <w:widowControl w:val="0"/>
              <w:jc w:val="both"/>
              <w:rPr>
                <w:rFonts w:cs="Arial"/>
                <w:sz w:val="20"/>
                <w:szCs w:val="20"/>
              </w:rPr>
            </w:pPr>
            <w:r w:rsidRPr="00C2587D">
              <w:rPr>
                <w:rFonts w:cs="Arial"/>
                <w:sz w:val="20"/>
                <w:szCs w:val="20"/>
              </w:rPr>
              <w:t>С.1.4.9. Створення рівних умов розвитку закладів освіти всіх форм власності.</w:t>
            </w:r>
          </w:p>
          <w:p w14:paraId="44993552" w14:textId="77777777" w:rsidR="009F1B2D" w:rsidRPr="00C2587D" w:rsidRDefault="009F1B2D" w:rsidP="002E392A">
            <w:pPr>
              <w:widowControl w:val="0"/>
              <w:jc w:val="both"/>
              <w:rPr>
                <w:rFonts w:cs="Arial"/>
                <w:sz w:val="20"/>
                <w:szCs w:val="20"/>
              </w:rPr>
            </w:pPr>
            <w:r w:rsidRPr="00C2587D">
              <w:rPr>
                <w:rFonts w:cs="Arial"/>
                <w:sz w:val="20"/>
                <w:szCs w:val="20"/>
              </w:rPr>
              <w:t>С.1.4.10. Забезпечення належного та безпечного підвезення учнів та учителів.</w:t>
            </w:r>
          </w:p>
          <w:p w14:paraId="449F5D36" w14:textId="77777777" w:rsidR="009F1B2D" w:rsidRPr="00C2587D" w:rsidRDefault="009F1B2D" w:rsidP="002E392A">
            <w:pPr>
              <w:widowControl w:val="0"/>
              <w:jc w:val="both"/>
              <w:rPr>
                <w:rFonts w:cs="Arial"/>
                <w:sz w:val="20"/>
                <w:szCs w:val="20"/>
              </w:rPr>
            </w:pPr>
            <w:r w:rsidRPr="00C2587D">
              <w:rPr>
                <w:rFonts w:cs="Arial"/>
                <w:sz w:val="20"/>
                <w:szCs w:val="20"/>
              </w:rPr>
              <w:t>С.1.4.11. Ефективне використання ресурсів (кадрових, інфраструктурних, фінансових.</w:t>
            </w:r>
          </w:p>
          <w:p w14:paraId="30C7B2F7" w14:textId="77777777" w:rsidR="009F1B2D" w:rsidRPr="00C2587D" w:rsidRDefault="009F1B2D" w:rsidP="002E392A">
            <w:pPr>
              <w:widowControl w:val="0"/>
              <w:jc w:val="both"/>
              <w:rPr>
                <w:rFonts w:cs="Arial"/>
                <w:sz w:val="20"/>
                <w:szCs w:val="20"/>
              </w:rPr>
            </w:pPr>
            <w:r w:rsidRPr="00C2587D">
              <w:rPr>
                <w:rFonts w:cs="Arial"/>
                <w:sz w:val="20"/>
                <w:szCs w:val="20"/>
              </w:rPr>
              <w:t xml:space="preserve">С.1.4.12. Впровадження профільної освіти </w:t>
            </w:r>
            <w:r w:rsidRPr="00C2587D">
              <w:rPr>
                <w:rFonts w:cs="Arial"/>
                <w:iCs/>
                <w:sz w:val="20"/>
                <w:szCs w:val="20"/>
              </w:rPr>
              <w:t>академічного спрямування із поглибленим вивченням окремих предметів з орієнтацією на продовження навчання у закладах вищої освіти</w:t>
            </w:r>
            <w:r w:rsidRPr="00C2587D">
              <w:rPr>
                <w:rFonts w:cs="Arial"/>
                <w:i/>
                <w:iCs/>
                <w:sz w:val="20"/>
                <w:szCs w:val="20"/>
              </w:rPr>
              <w:t>.</w:t>
            </w:r>
            <w:r w:rsidRPr="00C2587D">
              <w:rPr>
                <w:rFonts w:cs="Arial"/>
                <w:sz w:val="20"/>
                <w:szCs w:val="20"/>
              </w:rPr>
              <w:t xml:space="preserve">  </w:t>
            </w:r>
          </w:p>
          <w:p w14:paraId="7829791B" w14:textId="77777777" w:rsidR="005734DC" w:rsidRPr="00C2587D" w:rsidRDefault="005734DC" w:rsidP="002E392A">
            <w:pPr>
              <w:jc w:val="both"/>
              <w:rPr>
                <w:rFonts w:cs="Arial"/>
                <w:color w:val="000000"/>
                <w:sz w:val="20"/>
                <w:szCs w:val="20"/>
                <w:lang w:eastAsia="uk-UA"/>
              </w:rPr>
            </w:pPr>
          </w:p>
        </w:tc>
      </w:tr>
      <w:tr w:rsidR="005734DC" w:rsidRPr="00C2587D" w14:paraId="78B2477B" w14:textId="77777777" w:rsidTr="00F21066">
        <w:trPr>
          <w:trHeight w:val="648"/>
        </w:trPr>
        <w:tc>
          <w:tcPr>
            <w:tcW w:w="1975" w:type="dxa"/>
            <w:vMerge/>
            <w:vAlign w:val="center"/>
          </w:tcPr>
          <w:p w14:paraId="345EF3AF" w14:textId="77777777" w:rsidR="005734DC" w:rsidRPr="00C2587D" w:rsidRDefault="005734DC" w:rsidP="002E392A">
            <w:pPr>
              <w:rPr>
                <w:rFonts w:cs="Arial"/>
                <w:b/>
                <w:sz w:val="20"/>
                <w:szCs w:val="20"/>
                <w:lang w:eastAsia="uk-UA"/>
              </w:rPr>
            </w:pPr>
          </w:p>
        </w:tc>
        <w:tc>
          <w:tcPr>
            <w:tcW w:w="2693" w:type="dxa"/>
            <w:vMerge w:val="restart"/>
            <w:vAlign w:val="center"/>
          </w:tcPr>
          <w:p w14:paraId="4A0BC691" w14:textId="57D0C2AC" w:rsidR="005734DC" w:rsidRPr="00C2587D" w:rsidRDefault="005734DC" w:rsidP="002E392A">
            <w:pPr>
              <w:rPr>
                <w:rFonts w:cs="Arial"/>
                <w:color w:val="000000"/>
                <w:sz w:val="20"/>
                <w:szCs w:val="20"/>
                <w:lang w:eastAsia="uk-UA"/>
              </w:rPr>
            </w:pPr>
            <w:r w:rsidRPr="00C2587D">
              <w:rPr>
                <w:rFonts w:cs="Arial"/>
                <w:b/>
                <w:sz w:val="20"/>
                <w:szCs w:val="22"/>
                <w:lang w:eastAsia="uk-UA"/>
              </w:rPr>
              <w:t>С.2. Забезпечення доступу до якісної системи охорони здоров’я</w:t>
            </w:r>
          </w:p>
        </w:tc>
        <w:tc>
          <w:tcPr>
            <w:tcW w:w="2840" w:type="dxa"/>
            <w:vAlign w:val="center"/>
          </w:tcPr>
          <w:p w14:paraId="40CD8E6E" w14:textId="77777777" w:rsidR="005734DC" w:rsidRPr="00C2587D" w:rsidRDefault="005734DC" w:rsidP="002E392A">
            <w:pPr>
              <w:rPr>
                <w:rFonts w:cs="Arial"/>
                <w:bCs/>
                <w:color w:val="000000"/>
                <w:sz w:val="20"/>
                <w:szCs w:val="20"/>
                <w:lang w:eastAsia="uk-UA"/>
              </w:rPr>
            </w:pPr>
            <w:r w:rsidRPr="00C2587D">
              <w:rPr>
                <w:rFonts w:cs="Arial"/>
                <w:bCs/>
                <w:sz w:val="20"/>
                <w:szCs w:val="20"/>
              </w:rPr>
              <w:t>С.2.1. Створення ефективної системи надання первинної медико-санітарної допомоги</w:t>
            </w:r>
          </w:p>
        </w:tc>
        <w:tc>
          <w:tcPr>
            <w:tcW w:w="7655" w:type="dxa"/>
            <w:shd w:val="clear" w:color="auto" w:fill="auto"/>
          </w:tcPr>
          <w:p w14:paraId="28DDDF10" w14:textId="77777777" w:rsidR="007B3943" w:rsidRPr="00C2587D" w:rsidRDefault="007B3943" w:rsidP="002E392A">
            <w:pPr>
              <w:jc w:val="both"/>
              <w:rPr>
                <w:rFonts w:cs="Arial"/>
                <w:sz w:val="20"/>
                <w:szCs w:val="20"/>
              </w:rPr>
            </w:pPr>
            <w:r w:rsidRPr="00C2587D">
              <w:rPr>
                <w:rFonts w:cs="Arial"/>
                <w:sz w:val="20"/>
                <w:szCs w:val="20"/>
                <w:lang w:eastAsia="en-US"/>
              </w:rPr>
              <w:t>С.2.1.1. Створення ефективної структури та управління ЦПМСД на принцип доступності (амбулаторії, матеріально-технічне забезпечення, забезпечення персоналом).</w:t>
            </w:r>
          </w:p>
          <w:p w14:paraId="62C33F21" w14:textId="77777777" w:rsidR="007B3943" w:rsidRPr="00C2587D" w:rsidRDefault="007B3943" w:rsidP="002E392A">
            <w:pPr>
              <w:jc w:val="both"/>
              <w:rPr>
                <w:rFonts w:cs="Arial"/>
                <w:sz w:val="20"/>
                <w:szCs w:val="20"/>
              </w:rPr>
            </w:pPr>
            <w:r w:rsidRPr="00C2587D">
              <w:rPr>
                <w:rFonts w:cs="Arial"/>
                <w:sz w:val="20"/>
                <w:szCs w:val="20"/>
                <w:lang w:eastAsia="en-US"/>
              </w:rPr>
              <w:t>С.2.1.2. Забезпечення кадрами, перепідготовка та підвищення кваліфікації кадрів (лікар ПМД – сімейний лікар).</w:t>
            </w:r>
          </w:p>
          <w:p w14:paraId="7759B86A" w14:textId="77777777" w:rsidR="007B3943" w:rsidRPr="00C2587D" w:rsidRDefault="007B3943" w:rsidP="002E392A">
            <w:pPr>
              <w:jc w:val="both"/>
              <w:rPr>
                <w:rFonts w:cs="Arial"/>
                <w:sz w:val="20"/>
                <w:szCs w:val="20"/>
              </w:rPr>
            </w:pPr>
            <w:r w:rsidRPr="00C2587D">
              <w:rPr>
                <w:rFonts w:cs="Arial"/>
                <w:sz w:val="20"/>
                <w:szCs w:val="20"/>
                <w:lang w:eastAsia="en-US"/>
              </w:rPr>
              <w:t>С.2.1.3. Осучаснення сервісу, орієнтованого на потреби пацієнта, запровадження стандартів пацієнтського сервісу.</w:t>
            </w:r>
          </w:p>
          <w:p w14:paraId="4804BC22" w14:textId="77777777" w:rsidR="005734DC" w:rsidRPr="00C2587D" w:rsidRDefault="007B3943" w:rsidP="002E392A">
            <w:pPr>
              <w:jc w:val="both"/>
              <w:rPr>
                <w:rFonts w:cs="Arial"/>
                <w:color w:val="000000"/>
                <w:sz w:val="20"/>
                <w:szCs w:val="20"/>
                <w:lang w:eastAsia="uk-UA"/>
              </w:rPr>
            </w:pPr>
            <w:r w:rsidRPr="00C2587D">
              <w:rPr>
                <w:rFonts w:cs="Arial"/>
                <w:sz w:val="20"/>
                <w:szCs w:val="20"/>
                <w:lang w:eastAsia="en-US"/>
              </w:rPr>
              <w:lastRenderedPageBreak/>
              <w:t>С.2.1.4. Обладнання відкритого та комфортного простору рецепцій, впровадження медичної інформаційної системи та надання електронних сервісів (електронна черга тощо).</w:t>
            </w:r>
          </w:p>
        </w:tc>
      </w:tr>
      <w:tr w:rsidR="005734DC" w:rsidRPr="00C2587D" w14:paraId="5A89F32B" w14:textId="77777777" w:rsidTr="00F21066">
        <w:trPr>
          <w:trHeight w:val="492"/>
        </w:trPr>
        <w:tc>
          <w:tcPr>
            <w:tcW w:w="1975" w:type="dxa"/>
            <w:vMerge/>
            <w:vAlign w:val="center"/>
          </w:tcPr>
          <w:p w14:paraId="6A6D1F6F" w14:textId="77777777" w:rsidR="005734DC" w:rsidRPr="00C2587D" w:rsidRDefault="005734DC" w:rsidP="002E392A">
            <w:pPr>
              <w:rPr>
                <w:rFonts w:cs="Arial"/>
                <w:b/>
                <w:sz w:val="20"/>
                <w:szCs w:val="20"/>
                <w:lang w:eastAsia="uk-UA"/>
              </w:rPr>
            </w:pPr>
          </w:p>
        </w:tc>
        <w:tc>
          <w:tcPr>
            <w:tcW w:w="2693" w:type="dxa"/>
            <w:vMerge/>
            <w:vAlign w:val="center"/>
          </w:tcPr>
          <w:p w14:paraId="775BD8EF" w14:textId="77777777" w:rsidR="005734DC" w:rsidRPr="00C2587D" w:rsidRDefault="005734DC" w:rsidP="002E392A">
            <w:pPr>
              <w:rPr>
                <w:rFonts w:cs="Arial"/>
                <w:b/>
                <w:sz w:val="20"/>
                <w:szCs w:val="22"/>
                <w:lang w:eastAsia="uk-UA"/>
              </w:rPr>
            </w:pPr>
          </w:p>
        </w:tc>
        <w:tc>
          <w:tcPr>
            <w:tcW w:w="2840" w:type="dxa"/>
            <w:vAlign w:val="center"/>
          </w:tcPr>
          <w:p w14:paraId="4C62F6C5" w14:textId="5A17C680" w:rsidR="005734DC" w:rsidRPr="00CA089A" w:rsidRDefault="005734DC" w:rsidP="002E392A">
            <w:pPr>
              <w:autoSpaceDE w:val="0"/>
              <w:autoSpaceDN w:val="0"/>
              <w:adjustRightInd w:val="0"/>
              <w:rPr>
                <w:rFonts w:cs="Arial"/>
                <w:bCs/>
                <w:sz w:val="20"/>
                <w:szCs w:val="20"/>
              </w:rPr>
            </w:pPr>
            <w:r w:rsidRPr="00C2587D">
              <w:rPr>
                <w:rFonts w:cs="Arial"/>
                <w:bCs/>
                <w:sz w:val="20"/>
                <w:szCs w:val="20"/>
              </w:rPr>
              <w:t>С.2.2. Розбудова ефективної системи вторинної ланки медицини</w:t>
            </w:r>
          </w:p>
        </w:tc>
        <w:tc>
          <w:tcPr>
            <w:tcW w:w="7655" w:type="dxa"/>
            <w:shd w:val="clear" w:color="auto" w:fill="auto"/>
          </w:tcPr>
          <w:p w14:paraId="0BA1D084" w14:textId="77777777" w:rsidR="005051FB" w:rsidRPr="00C2587D" w:rsidRDefault="005051FB" w:rsidP="002E392A">
            <w:pPr>
              <w:jc w:val="both"/>
              <w:rPr>
                <w:rFonts w:cs="Arial"/>
                <w:sz w:val="20"/>
                <w:szCs w:val="20"/>
                <w:lang w:eastAsia="en-US"/>
              </w:rPr>
            </w:pPr>
            <w:r w:rsidRPr="00C2587D">
              <w:rPr>
                <w:rFonts w:cs="Arial"/>
                <w:sz w:val="20"/>
                <w:szCs w:val="20"/>
                <w:lang w:eastAsia="en-US"/>
              </w:rPr>
              <w:t>С.2.2.1. Формування  пацієнт-орієнтованої системи охорони здоров’я.</w:t>
            </w:r>
          </w:p>
          <w:p w14:paraId="59C90F79" w14:textId="77777777" w:rsidR="005051FB" w:rsidRPr="00C2587D" w:rsidRDefault="005051FB" w:rsidP="002E392A">
            <w:pPr>
              <w:jc w:val="both"/>
              <w:rPr>
                <w:rFonts w:cs="Arial"/>
                <w:sz w:val="20"/>
                <w:szCs w:val="20"/>
                <w:lang w:eastAsia="en-US"/>
              </w:rPr>
            </w:pPr>
            <w:r w:rsidRPr="00C2587D">
              <w:rPr>
                <w:rFonts w:cs="Arial"/>
                <w:sz w:val="20"/>
                <w:szCs w:val="20"/>
                <w:lang w:eastAsia="en-US"/>
              </w:rPr>
              <w:t>С.2.2.2. Забезпечення повним пакетом медичних послуг населення громади з урахуванням  гендерного аспекту.</w:t>
            </w:r>
          </w:p>
          <w:p w14:paraId="116385A7" w14:textId="77777777" w:rsidR="005051FB" w:rsidRPr="00C2587D" w:rsidRDefault="005051FB" w:rsidP="002E392A">
            <w:pPr>
              <w:jc w:val="both"/>
              <w:rPr>
                <w:rFonts w:cs="Arial"/>
                <w:sz w:val="20"/>
                <w:szCs w:val="20"/>
                <w:lang w:eastAsia="en-US"/>
              </w:rPr>
            </w:pPr>
            <w:r w:rsidRPr="00C2587D">
              <w:rPr>
                <w:rFonts w:cs="Arial"/>
                <w:sz w:val="20"/>
                <w:szCs w:val="20"/>
                <w:lang w:eastAsia="en-US"/>
              </w:rPr>
              <w:t>С.2.2.3. Удосконалення системи екстреної медичної допомоги.</w:t>
            </w:r>
          </w:p>
          <w:p w14:paraId="320B1257" w14:textId="77777777" w:rsidR="005051FB" w:rsidRPr="00C2587D" w:rsidRDefault="005051FB" w:rsidP="002E392A">
            <w:pPr>
              <w:jc w:val="both"/>
              <w:rPr>
                <w:rFonts w:cs="Arial"/>
                <w:sz w:val="20"/>
                <w:szCs w:val="20"/>
                <w:lang w:eastAsia="en-US"/>
              </w:rPr>
            </w:pPr>
            <w:r w:rsidRPr="00C2587D">
              <w:rPr>
                <w:rFonts w:cs="Arial"/>
                <w:sz w:val="20"/>
                <w:szCs w:val="20"/>
                <w:lang w:eastAsia="en-US"/>
              </w:rPr>
              <w:t>С.2.2.4. Впровадження системи телеметричних послуг для пацієнтів та лікарів.</w:t>
            </w:r>
          </w:p>
          <w:p w14:paraId="6DCB4FB2" w14:textId="77777777" w:rsidR="005051FB" w:rsidRPr="00C2587D" w:rsidRDefault="005051FB" w:rsidP="002E392A">
            <w:pPr>
              <w:jc w:val="both"/>
              <w:rPr>
                <w:rFonts w:cs="Arial"/>
                <w:sz w:val="20"/>
                <w:szCs w:val="20"/>
                <w:lang w:eastAsia="en-US"/>
              </w:rPr>
            </w:pPr>
            <w:r w:rsidRPr="00C2587D">
              <w:rPr>
                <w:rFonts w:cs="Arial"/>
                <w:sz w:val="20"/>
                <w:szCs w:val="20"/>
                <w:lang w:eastAsia="en-US"/>
              </w:rPr>
              <w:t>С.2.2.5. Участь у роботі Госпітальної ради.</w:t>
            </w:r>
          </w:p>
          <w:p w14:paraId="2BBD536E" w14:textId="77777777" w:rsidR="005051FB" w:rsidRPr="00C2587D" w:rsidRDefault="005051FB" w:rsidP="002E392A">
            <w:pPr>
              <w:jc w:val="both"/>
              <w:rPr>
                <w:rFonts w:cs="Arial"/>
                <w:sz w:val="20"/>
                <w:szCs w:val="20"/>
              </w:rPr>
            </w:pPr>
            <w:r w:rsidRPr="00C2587D">
              <w:rPr>
                <w:rFonts w:cs="Arial"/>
                <w:sz w:val="20"/>
                <w:szCs w:val="20"/>
                <w:lang w:eastAsia="en-US"/>
              </w:rPr>
              <w:t>С.2.2.6. Автономізація закладів вторинної ланки медицини, визначення переліку медичних послуг, матеріально – технічне забезпечення, встановлення інформаційно-комунікаційних систем.</w:t>
            </w:r>
          </w:p>
          <w:p w14:paraId="5847EE33" w14:textId="3F9D37AB" w:rsidR="005734DC" w:rsidRPr="00C2587D" w:rsidRDefault="005051FB" w:rsidP="002E392A">
            <w:pPr>
              <w:jc w:val="both"/>
              <w:rPr>
                <w:rFonts w:cs="Arial"/>
                <w:color w:val="000000"/>
                <w:sz w:val="20"/>
                <w:szCs w:val="20"/>
                <w:lang w:eastAsia="uk-UA"/>
              </w:rPr>
            </w:pPr>
            <w:r w:rsidRPr="00C2587D">
              <w:rPr>
                <w:rFonts w:cs="Arial"/>
                <w:sz w:val="20"/>
                <w:szCs w:val="20"/>
                <w:lang w:eastAsia="en-US"/>
              </w:rPr>
              <w:t>С.2.2.7. Підвищення рівня знань та компетенцій управлінського персоналу комунальних медичних закладів з актуальних питань менеджменту, забезпечення кадрами, перепідготовка та підвищення кваліфікації кадрів.</w:t>
            </w:r>
          </w:p>
        </w:tc>
      </w:tr>
      <w:tr w:rsidR="005734DC" w:rsidRPr="00C2587D" w14:paraId="2AED8C87" w14:textId="77777777" w:rsidTr="00F21066">
        <w:trPr>
          <w:trHeight w:val="548"/>
        </w:trPr>
        <w:tc>
          <w:tcPr>
            <w:tcW w:w="1975" w:type="dxa"/>
            <w:vMerge/>
            <w:vAlign w:val="center"/>
          </w:tcPr>
          <w:p w14:paraId="79428DE3" w14:textId="77777777" w:rsidR="005734DC" w:rsidRPr="00C2587D" w:rsidRDefault="005734DC" w:rsidP="002E392A">
            <w:pPr>
              <w:rPr>
                <w:rFonts w:cs="Arial"/>
                <w:b/>
                <w:sz w:val="20"/>
                <w:szCs w:val="20"/>
                <w:lang w:eastAsia="uk-UA"/>
              </w:rPr>
            </w:pPr>
          </w:p>
        </w:tc>
        <w:tc>
          <w:tcPr>
            <w:tcW w:w="2693" w:type="dxa"/>
            <w:vMerge w:val="restart"/>
            <w:vAlign w:val="center"/>
          </w:tcPr>
          <w:p w14:paraId="2CFC0B69" w14:textId="0D2FC08C" w:rsidR="005734DC" w:rsidRPr="00C2587D" w:rsidRDefault="005734DC" w:rsidP="002E392A">
            <w:pPr>
              <w:rPr>
                <w:rFonts w:cs="Arial"/>
                <w:color w:val="000000"/>
                <w:sz w:val="20"/>
                <w:szCs w:val="20"/>
                <w:lang w:eastAsia="uk-UA"/>
              </w:rPr>
            </w:pPr>
            <w:r w:rsidRPr="00C2587D">
              <w:rPr>
                <w:rFonts w:cs="Arial"/>
                <w:b/>
                <w:sz w:val="20"/>
                <w:szCs w:val="22"/>
                <w:lang w:eastAsia="uk-UA"/>
              </w:rPr>
              <w:t>С.3. Забезпечення можливостей  для активного відпочинку, змістовного дозвілля мешканців громади та популяризація здорового способу життя</w:t>
            </w:r>
          </w:p>
        </w:tc>
        <w:tc>
          <w:tcPr>
            <w:tcW w:w="2840" w:type="dxa"/>
            <w:vAlign w:val="center"/>
          </w:tcPr>
          <w:p w14:paraId="5C4E736A" w14:textId="77777777" w:rsidR="005734DC" w:rsidRPr="00C2587D" w:rsidRDefault="005734DC" w:rsidP="002E392A">
            <w:pPr>
              <w:autoSpaceDE w:val="0"/>
              <w:autoSpaceDN w:val="0"/>
              <w:adjustRightInd w:val="0"/>
              <w:rPr>
                <w:rFonts w:cs="Arial"/>
                <w:bCs/>
                <w:color w:val="000000"/>
                <w:sz w:val="20"/>
                <w:szCs w:val="20"/>
                <w:lang w:eastAsia="uk-UA"/>
              </w:rPr>
            </w:pPr>
            <w:r w:rsidRPr="00C2587D">
              <w:rPr>
                <w:rFonts w:cs="Arial"/>
                <w:bCs/>
                <w:sz w:val="20"/>
                <w:szCs w:val="20"/>
              </w:rPr>
              <w:t xml:space="preserve">С.3.1. Впровадження сучасної моделі культурно-мистецького  обслуговування населення громади  </w:t>
            </w:r>
          </w:p>
        </w:tc>
        <w:tc>
          <w:tcPr>
            <w:tcW w:w="7655" w:type="dxa"/>
            <w:shd w:val="clear" w:color="auto" w:fill="auto"/>
          </w:tcPr>
          <w:p w14:paraId="48AE9328" w14:textId="77777777" w:rsidR="00755944" w:rsidRPr="00C2587D" w:rsidRDefault="00755944" w:rsidP="002E392A">
            <w:pPr>
              <w:jc w:val="both"/>
              <w:rPr>
                <w:rFonts w:cs="Arial"/>
                <w:sz w:val="20"/>
                <w:szCs w:val="20"/>
              </w:rPr>
            </w:pPr>
            <w:r w:rsidRPr="00C2587D">
              <w:rPr>
                <w:rFonts w:cs="Arial"/>
                <w:sz w:val="20"/>
                <w:szCs w:val="20"/>
              </w:rPr>
              <w:t>С.3.1.1. Зміцнення матеріально-технічної бази закладів культури, оновлення їх технічного ресурсу.</w:t>
            </w:r>
          </w:p>
          <w:p w14:paraId="6C5043B7" w14:textId="77777777" w:rsidR="00755944" w:rsidRPr="00C2587D" w:rsidRDefault="00755944" w:rsidP="002E392A">
            <w:pPr>
              <w:jc w:val="both"/>
              <w:rPr>
                <w:rFonts w:cs="Arial"/>
                <w:sz w:val="20"/>
                <w:szCs w:val="20"/>
              </w:rPr>
            </w:pPr>
            <w:r w:rsidRPr="00C2587D">
              <w:rPr>
                <w:rFonts w:cs="Arial"/>
                <w:sz w:val="20"/>
                <w:szCs w:val="20"/>
              </w:rPr>
              <w:t>С.3.1.2. Створення на базі клубних закладів центрів дозвілля з філіями у населених пунктах громади, їх модернізація та оснащення.</w:t>
            </w:r>
          </w:p>
          <w:p w14:paraId="5E42A9AE" w14:textId="77777777" w:rsidR="00755944" w:rsidRPr="00C2587D" w:rsidRDefault="00755944" w:rsidP="002E392A">
            <w:pPr>
              <w:jc w:val="both"/>
              <w:rPr>
                <w:rFonts w:cs="Arial"/>
                <w:sz w:val="20"/>
                <w:szCs w:val="20"/>
              </w:rPr>
            </w:pPr>
            <w:r w:rsidRPr="00C2587D">
              <w:rPr>
                <w:rFonts w:cs="Arial"/>
                <w:sz w:val="20"/>
                <w:szCs w:val="20"/>
              </w:rPr>
              <w:t>С.3.1.3. Проведення видовищних заходів з відпочинку та дозвілля.</w:t>
            </w:r>
          </w:p>
          <w:p w14:paraId="3E746F1F" w14:textId="77777777" w:rsidR="00755944" w:rsidRPr="00C2587D" w:rsidRDefault="00755944" w:rsidP="002E392A">
            <w:pPr>
              <w:jc w:val="both"/>
              <w:rPr>
                <w:rFonts w:cs="Arial"/>
                <w:sz w:val="20"/>
                <w:szCs w:val="20"/>
              </w:rPr>
            </w:pPr>
            <w:r w:rsidRPr="00C2587D">
              <w:rPr>
                <w:rFonts w:cs="Arial"/>
                <w:sz w:val="20"/>
                <w:szCs w:val="20"/>
              </w:rPr>
              <w:t>С.3.1.4. Розвиток дитячої музичної школи.</w:t>
            </w:r>
          </w:p>
          <w:p w14:paraId="13D7DC38" w14:textId="77777777" w:rsidR="00755944" w:rsidRPr="00C2587D" w:rsidRDefault="00755944" w:rsidP="002E392A">
            <w:pPr>
              <w:jc w:val="both"/>
              <w:rPr>
                <w:rFonts w:cs="Arial"/>
                <w:sz w:val="20"/>
                <w:szCs w:val="20"/>
              </w:rPr>
            </w:pPr>
            <w:r w:rsidRPr="00C2587D">
              <w:rPr>
                <w:rFonts w:cs="Arial"/>
                <w:sz w:val="20"/>
                <w:szCs w:val="20"/>
              </w:rPr>
              <w:t>С.3.1.5. Збереження та розвиток мережі музейних закладів.</w:t>
            </w:r>
          </w:p>
          <w:p w14:paraId="5B280FA8" w14:textId="77777777" w:rsidR="005734DC" w:rsidRPr="00C2587D" w:rsidRDefault="00755944" w:rsidP="002E392A">
            <w:pPr>
              <w:spacing w:before="20" w:after="20"/>
              <w:jc w:val="both"/>
              <w:rPr>
                <w:rFonts w:cs="Arial"/>
                <w:sz w:val="20"/>
                <w:szCs w:val="20"/>
              </w:rPr>
            </w:pPr>
            <w:r w:rsidRPr="00C2587D">
              <w:rPr>
                <w:rFonts w:cs="Arial"/>
                <w:sz w:val="20"/>
                <w:szCs w:val="20"/>
              </w:rPr>
              <w:t>С.3.1.6. Розвиток  креативних індустрій та культурних стартапів.</w:t>
            </w:r>
          </w:p>
        </w:tc>
      </w:tr>
      <w:tr w:rsidR="005734DC" w:rsidRPr="00C2587D" w14:paraId="5E07DE4A" w14:textId="77777777" w:rsidTr="00F21066">
        <w:trPr>
          <w:trHeight w:val="564"/>
        </w:trPr>
        <w:tc>
          <w:tcPr>
            <w:tcW w:w="1975" w:type="dxa"/>
            <w:vMerge/>
            <w:vAlign w:val="center"/>
          </w:tcPr>
          <w:p w14:paraId="7634F17A" w14:textId="77777777" w:rsidR="005734DC" w:rsidRPr="00C2587D" w:rsidRDefault="005734DC" w:rsidP="002E392A">
            <w:pPr>
              <w:rPr>
                <w:rFonts w:cs="Arial"/>
                <w:b/>
                <w:sz w:val="20"/>
                <w:szCs w:val="20"/>
                <w:lang w:eastAsia="uk-UA"/>
              </w:rPr>
            </w:pPr>
          </w:p>
        </w:tc>
        <w:tc>
          <w:tcPr>
            <w:tcW w:w="2693" w:type="dxa"/>
            <w:vMerge/>
            <w:vAlign w:val="center"/>
          </w:tcPr>
          <w:p w14:paraId="6820DEBD" w14:textId="77777777" w:rsidR="005734DC" w:rsidRPr="00C2587D" w:rsidRDefault="005734DC" w:rsidP="002E392A">
            <w:pPr>
              <w:rPr>
                <w:rFonts w:cs="Arial"/>
                <w:color w:val="000000"/>
                <w:sz w:val="20"/>
                <w:szCs w:val="20"/>
                <w:lang w:eastAsia="uk-UA"/>
              </w:rPr>
            </w:pPr>
          </w:p>
        </w:tc>
        <w:tc>
          <w:tcPr>
            <w:tcW w:w="2840" w:type="dxa"/>
            <w:vAlign w:val="center"/>
          </w:tcPr>
          <w:p w14:paraId="500DD798" w14:textId="77777777" w:rsidR="005734DC" w:rsidRPr="00C2587D" w:rsidRDefault="005734DC" w:rsidP="002E392A">
            <w:pPr>
              <w:rPr>
                <w:rFonts w:cs="Arial"/>
                <w:bCs/>
                <w:color w:val="000000"/>
                <w:sz w:val="20"/>
                <w:szCs w:val="20"/>
                <w:lang w:eastAsia="uk-UA"/>
              </w:rPr>
            </w:pPr>
            <w:r w:rsidRPr="00C2587D">
              <w:rPr>
                <w:rFonts w:cs="Arial"/>
                <w:bCs/>
                <w:sz w:val="20"/>
                <w:szCs w:val="20"/>
                <w:lang w:eastAsia="uk-UA"/>
              </w:rPr>
              <w:t>С.3.2. Розвиток народної та  аматорської творчості</w:t>
            </w:r>
          </w:p>
        </w:tc>
        <w:tc>
          <w:tcPr>
            <w:tcW w:w="7655" w:type="dxa"/>
            <w:shd w:val="clear" w:color="auto" w:fill="auto"/>
          </w:tcPr>
          <w:p w14:paraId="3E14C161" w14:textId="77777777" w:rsidR="006D58BC" w:rsidRPr="00C2587D" w:rsidRDefault="006D58BC" w:rsidP="002E392A">
            <w:pPr>
              <w:jc w:val="both"/>
              <w:rPr>
                <w:rFonts w:cs="Arial"/>
                <w:sz w:val="20"/>
                <w:szCs w:val="20"/>
              </w:rPr>
            </w:pPr>
            <w:r w:rsidRPr="00C2587D">
              <w:rPr>
                <w:rFonts w:cs="Arial"/>
                <w:sz w:val="20"/>
                <w:szCs w:val="20"/>
              </w:rPr>
              <w:t>С.3.2.1. Збереження та розвиток аматорських колективів територіальної громади. Придбання оснащення та обладнання.</w:t>
            </w:r>
          </w:p>
          <w:p w14:paraId="3D4B73F0" w14:textId="77777777" w:rsidR="006D58BC" w:rsidRPr="00C2587D" w:rsidRDefault="006D58BC" w:rsidP="002E392A">
            <w:pPr>
              <w:jc w:val="both"/>
              <w:rPr>
                <w:rFonts w:cs="Arial"/>
                <w:sz w:val="20"/>
              </w:rPr>
            </w:pPr>
            <w:r w:rsidRPr="00C2587D">
              <w:rPr>
                <w:rFonts w:cs="Arial"/>
                <w:sz w:val="20"/>
              </w:rPr>
              <w:t xml:space="preserve">С.3.2.2. </w:t>
            </w:r>
            <w:r w:rsidRPr="00C2587D">
              <w:rPr>
                <w:rFonts w:cs="Arial"/>
                <w:sz w:val="20"/>
                <w:szCs w:val="20"/>
              </w:rPr>
              <w:t>Популяризація аматорського мистецтва шляхом  виступів аматорських колективів на території ТГ та участі у обмінних концертах.</w:t>
            </w:r>
          </w:p>
          <w:p w14:paraId="12ABA5E4" w14:textId="77777777" w:rsidR="005734DC" w:rsidRPr="00C2587D" w:rsidRDefault="006D58BC" w:rsidP="002E392A">
            <w:pPr>
              <w:spacing w:before="20" w:after="20"/>
              <w:jc w:val="both"/>
              <w:rPr>
                <w:rFonts w:cs="Arial"/>
                <w:sz w:val="20"/>
                <w:szCs w:val="20"/>
              </w:rPr>
            </w:pPr>
            <w:r w:rsidRPr="00C2587D">
              <w:rPr>
                <w:rFonts w:cs="Arial"/>
                <w:sz w:val="20"/>
                <w:szCs w:val="20"/>
              </w:rPr>
              <w:t>С.3.2.3. Участь аматорських колективів у обласних, Всеукраїнських та Міжнародних конкурсах і фестивалях.</w:t>
            </w:r>
          </w:p>
        </w:tc>
      </w:tr>
      <w:tr w:rsidR="005734DC" w:rsidRPr="00C2587D" w14:paraId="0BBF00D3" w14:textId="77777777" w:rsidTr="00F21066">
        <w:trPr>
          <w:trHeight w:val="624"/>
        </w:trPr>
        <w:tc>
          <w:tcPr>
            <w:tcW w:w="1975" w:type="dxa"/>
            <w:vMerge/>
            <w:vAlign w:val="center"/>
          </w:tcPr>
          <w:p w14:paraId="6EE79B24" w14:textId="77777777" w:rsidR="005734DC" w:rsidRPr="00C2587D" w:rsidRDefault="005734DC" w:rsidP="002E392A">
            <w:pPr>
              <w:rPr>
                <w:rFonts w:cs="Arial"/>
                <w:b/>
                <w:sz w:val="20"/>
                <w:szCs w:val="20"/>
                <w:lang w:eastAsia="uk-UA"/>
              </w:rPr>
            </w:pPr>
          </w:p>
        </w:tc>
        <w:tc>
          <w:tcPr>
            <w:tcW w:w="2693" w:type="dxa"/>
            <w:vMerge/>
            <w:vAlign w:val="center"/>
          </w:tcPr>
          <w:p w14:paraId="4637A140" w14:textId="77777777" w:rsidR="005734DC" w:rsidRPr="00C2587D" w:rsidRDefault="005734DC" w:rsidP="002E392A">
            <w:pPr>
              <w:rPr>
                <w:rFonts w:cs="Arial"/>
                <w:color w:val="000000"/>
                <w:sz w:val="20"/>
                <w:szCs w:val="20"/>
                <w:lang w:eastAsia="uk-UA"/>
              </w:rPr>
            </w:pPr>
          </w:p>
        </w:tc>
        <w:tc>
          <w:tcPr>
            <w:tcW w:w="2840" w:type="dxa"/>
            <w:vAlign w:val="center"/>
          </w:tcPr>
          <w:p w14:paraId="5F31E0C0" w14:textId="77777777" w:rsidR="005734DC" w:rsidRPr="00C2587D" w:rsidRDefault="005734DC" w:rsidP="002E392A">
            <w:pPr>
              <w:rPr>
                <w:rFonts w:cs="Arial"/>
                <w:bCs/>
                <w:color w:val="000000"/>
                <w:sz w:val="20"/>
                <w:szCs w:val="20"/>
                <w:lang w:eastAsia="uk-UA"/>
              </w:rPr>
            </w:pPr>
            <w:r w:rsidRPr="00C2587D">
              <w:rPr>
                <w:rFonts w:cs="Arial"/>
                <w:bCs/>
                <w:sz w:val="20"/>
                <w:szCs w:val="20"/>
              </w:rPr>
              <w:t>С.3.3. Новітня бібліотека</w:t>
            </w:r>
          </w:p>
        </w:tc>
        <w:tc>
          <w:tcPr>
            <w:tcW w:w="7655" w:type="dxa"/>
            <w:shd w:val="clear" w:color="auto" w:fill="auto"/>
          </w:tcPr>
          <w:p w14:paraId="1788110D" w14:textId="77777777" w:rsidR="006D58BC" w:rsidRPr="00C2587D" w:rsidRDefault="006D58BC" w:rsidP="002E392A">
            <w:pPr>
              <w:jc w:val="both"/>
              <w:rPr>
                <w:rFonts w:cs="Arial"/>
                <w:sz w:val="20"/>
                <w:szCs w:val="20"/>
              </w:rPr>
            </w:pPr>
            <w:r w:rsidRPr="00C2587D">
              <w:rPr>
                <w:rFonts w:cs="Arial"/>
                <w:sz w:val="20"/>
                <w:szCs w:val="20"/>
              </w:rPr>
              <w:t>С.3.3.1. Бібліотека, як громадський центр.</w:t>
            </w:r>
          </w:p>
          <w:p w14:paraId="5A02D765" w14:textId="77777777" w:rsidR="006D58BC" w:rsidRPr="00C2587D" w:rsidRDefault="006D58BC" w:rsidP="002E392A">
            <w:pPr>
              <w:jc w:val="both"/>
              <w:rPr>
                <w:rFonts w:cs="Arial"/>
                <w:sz w:val="20"/>
                <w:szCs w:val="20"/>
              </w:rPr>
            </w:pPr>
            <w:r w:rsidRPr="00C2587D">
              <w:rPr>
                <w:rFonts w:cs="Arial"/>
                <w:sz w:val="20"/>
                <w:szCs w:val="20"/>
              </w:rPr>
              <w:t>С.3.3.2. Пошук нових форм роботи.</w:t>
            </w:r>
          </w:p>
          <w:p w14:paraId="3A0E15F5" w14:textId="77777777" w:rsidR="006D58BC" w:rsidRPr="00C2587D" w:rsidRDefault="006D58BC" w:rsidP="002E392A">
            <w:pPr>
              <w:jc w:val="both"/>
              <w:rPr>
                <w:rFonts w:cs="Arial"/>
                <w:sz w:val="20"/>
                <w:szCs w:val="20"/>
              </w:rPr>
            </w:pPr>
            <w:r w:rsidRPr="00C2587D">
              <w:rPr>
                <w:rFonts w:cs="Arial"/>
                <w:sz w:val="20"/>
                <w:szCs w:val="20"/>
              </w:rPr>
              <w:t xml:space="preserve">С.3.3.3. </w:t>
            </w:r>
            <w:r w:rsidRPr="00C2587D">
              <w:rPr>
                <w:rFonts w:eastAsia="Calibri" w:cs="Arial"/>
                <w:sz w:val="20"/>
                <w:szCs w:val="20"/>
                <w:lang w:eastAsia="it-IT"/>
              </w:rPr>
              <w:t>Облаштування бібліотек, як сучасного, креативного та комфортного простору для жителів громади.</w:t>
            </w:r>
          </w:p>
          <w:p w14:paraId="496D30CB" w14:textId="77777777" w:rsidR="006D58BC" w:rsidRPr="00C2587D" w:rsidRDefault="006D58BC" w:rsidP="002E392A">
            <w:pPr>
              <w:jc w:val="both"/>
              <w:rPr>
                <w:rFonts w:cs="Arial"/>
                <w:sz w:val="20"/>
                <w:szCs w:val="20"/>
              </w:rPr>
            </w:pPr>
            <w:r w:rsidRPr="00C2587D">
              <w:rPr>
                <w:rFonts w:cs="Arial"/>
                <w:sz w:val="20"/>
                <w:szCs w:val="20"/>
              </w:rPr>
              <w:t xml:space="preserve">С.3.3.4. </w:t>
            </w:r>
            <w:r w:rsidRPr="00C2587D">
              <w:rPr>
                <w:rFonts w:eastAsia="Calibri" w:cs="Arial"/>
                <w:sz w:val="20"/>
                <w:szCs w:val="20"/>
                <w:lang w:eastAsia="it-IT"/>
              </w:rPr>
              <w:t>Забезпечення доступності та корисності ресурсів та послуг бібліотек, доступ користувачів до бібліотечних ресурсів в режимі он-лайн</w:t>
            </w:r>
            <w:r w:rsidRPr="00C2587D">
              <w:rPr>
                <w:rFonts w:cs="Arial"/>
                <w:sz w:val="20"/>
                <w:szCs w:val="20"/>
              </w:rPr>
              <w:t>.</w:t>
            </w:r>
          </w:p>
          <w:p w14:paraId="7CF5BEF3" w14:textId="77777777" w:rsidR="006D58BC" w:rsidRPr="00C2587D" w:rsidRDefault="006D58BC" w:rsidP="002E392A">
            <w:pPr>
              <w:jc w:val="both"/>
              <w:rPr>
                <w:rFonts w:cs="Arial"/>
                <w:sz w:val="20"/>
                <w:szCs w:val="20"/>
              </w:rPr>
            </w:pPr>
            <w:r w:rsidRPr="00C2587D">
              <w:rPr>
                <w:rFonts w:cs="Arial"/>
                <w:sz w:val="20"/>
                <w:szCs w:val="20"/>
              </w:rPr>
              <w:t xml:space="preserve">С.3.3.5. </w:t>
            </w:r>
            <w:r w:rsidRPr="00C2587D">
              <w:rPr>
                <w:rFonts w:eastAsia="Calibri" w:cs="Arial"/>
                <w:sz w:val="20"/>
                <w:szCs w:val="20"/>
                <w:lang w:eastAsia="it-IT"/>
              </w:rPr>
              <w:t>Підтримка та збереження фонду знань та інформаційного потенціалу для нинішніх і майбутніх поколінь.</w:t>
            </w:r>
          </w:p>
          <w:p w14:paraId="7AAB5CFF" w14:textId="3B297D42" w:rsidR="006D58BC" w:rsidRPr="00C2587D" w:rsidRDefault="006D58BC" w:rsidP="002E392A">
            <w:pPr>
              <w:jc w:val="both"/>
              <w:rPr>
                <w:rFonts w:cs="Arial"/>
                <w:sz w:val="20"/>
                <w:szCs w:val="20"/>
              </w:rPr>
            </w:pPr>
            <w:r w:rsidRPr="00C2587D">
              <w:rPr>
                <w:rFonts w:cs="Arial"/>
                <w:sz w:val="20"/>
                <w:szCs w:val="20"/>
              </w:rPr>
              <w:t xml:space="preserve">С.3.3.6. </w:t>
            </w:r>
            <w:r w:rsidRPr="00C2587D">
              <w:rPr>
                <w:rFonts w:eastAsia="Calibri" w:cs="Arial"/>
                <w:sz w:val="20"/>
                <w:szCs w:val="20"/>
                <w:lang w:eastAsia="it-IT"/>
              </w:rPr>
              <w:t xml:space="preserve">Створення сучасної </w:t>
            </w:r>
            <w:r w:rsidR="002E392A" w:rsidRPr="00C2587D">
              <w:rPr>
                <w:rFonts w:eastAsia="Calibri" w:cs="Arial"/>
                <w:sz w:val="20"/>
                <w:szCs w:val="20"/>
                <w:lang w:eastAsia="it-IT"/>
              </w:rPr>
              <w:t>медіа</w:t>
            </w:r>
            <w:r w:rsidR="002E392A">
              <w:rPr>
                <w:rFonts w:eastAsia="Calibri" w:cs="Arial"/>
                <w:sz w:val="20"/>
                <w:szCs w:val="20"/>
                <w:lang w:eastAsia="it-IT"/>
              </w:rPr>
              <w:t>-</w:t>
            </w:r>
            <w:r w:rsidR="002E392A" w:rsidRPr="00C2587D">
              <w:rPr>
                <w:rFonts w:eastAsia="Calibri" w:cs="Arial"/>
                <w:sz w:val="20"/>
                <w:szCs w:val="20"/>
                <w:lang w:eastAsia="it-IT"/>
              </w:rPr>
              <w:t>теки</w:t>
            </w:r>
            <w:r w:rsidRPr="00C2587D">
              <w:rPr>
                <w:rFonts w:eastAsia="Calibri" w:cs="Arial"/>
                <w:sz w:val="20"/>
                <w:szCs w:val="20"/>
                <w:lang w:eastAsia="it-IT"/>
              </w:rPr>
              <w:t>.</w:t>
            </w:r>
          </w:p>
          <w:p w14:paraId="1B1B920F" w14:textId="77777777" w:rsidR="005734DC" w:rsidRPr="00C2587D" w:rsidRDefault="006D58BC" w:rsidP="002E392A">
            <w:pPr>
              <w:spacing w:before="20" w:after="20"/>
              <w:jc w:val="both"/>
              <w:rPr>
                <w:rFonts w:cs="Arial"/>
                <w:sz w:val="20"/>
                <w:szCs w:val="20"/>
              </w:rPr>
            </w:pPr>
            <w:r w:rsidRPr="00C2587D">
              <w:rPr>
                <w:rFonts w:cs="Arial"/>
                <w:sz w:val="20"/>
                <w:szCs w:val="20"/>
              </w:rPr>
              <w:lastRenderedPageBreak/>
              <w:t>С.3.3.7. Покращення доступу людей старшого віку до інструментів електронної демократії і до отримання послуг в мережі інтернет.</w:t>
            </w:r>
          </w:p>
        </w:tc>
      </w:tr>
      <w:tr w:rsidR="005734DC" w:rsidRPr="00C2587D" w14:paraId="0E3494CB" w14:textId="77777777" w:rsidTr="00CA089A">
        <w:trPr>
          <w:trHeight w:val="492"/>
        </w:trPr>
        <w:tc>
          <w:tcPr>
            <w:tcW w:w="1975" w:type="dxa"/>
            <w:vMerge/>
            <w:vAlign w:val="center"/>
          </w:tcPr>
          <w:p w14:paraId="398F5B0C" w14:textId="77777777" w:rsidR="005734DC" w:rsidRPr="00C2587D" w:rsidRDefault="005734DC" w:rsidP="002E392A">
            <w:pPr>
              <w:rPr>
                <w:rFonts w:cs="Arial"/>
                <w:b/>
                <w:sz w:val="20"/>
                <w:szCs w:val="20"/>
                <w:lang w:eastAsia="uk-UA"/>
              </w:rPr>
            </w:pPr>
          </w:p>
        </w:tc>
        <w:tc>
          <w:tcPr>
            <w:tcW w:w="2693" w:type="dxa"/>
            <w:vMerge/>
            <w:vAlign w:val="center"/>
          </w:tcPr>
          <w:p w14:paraId="4BA49E45" w14:textId="77777777" w:rsidR="005734DC" w:rsidRPr="00C2587D" w:rsidRDefault="005734DC" w:rsidP="002E392A">
            <w:pPr>
              <w:rPr>
                <w:rFonts w:cs="Arial"/>
                <w:color w:val="000000"/>
                <w:sz w:val="20"/>
                <w:szCs w:val="20"/>
                <w:lang w:eastAsia="uk-UA"/>
              </w:rPr>
            </w:pPr>
          </w:p>
        </w:tc>
        <w:tc>
          <w:tcPr>
            <w:tcW w:w="2840" w:type="dxa"/>
            <w:vAlign w:val="center"/>
          </w:tcPr>
          <w:p w14:paraId="33CFE660" w14:textId="77777777" w:rsidR="005734DC" w:rsidRPr="00C2587D" w:rsidRDefault="005734DC" w:rsidP="002E392A">
            <w:pPr>
              <w:rPr>
                <w:rFonts w:cs="Arial"/>
                <w:bCs/>
                <w:color w:val="000000"/>
                <w:sz w:val="20"/>
                <w:szCs w:val="20"/>
                <w:lang w:eastAsia="uk-UA"/>
              </w:rPr>
            </w:pPr>
            <w:r w:rsidRPr="00C2587D">
              <w:rPr>
                <w:rFonts w:cs="Arial"/>
                <w:bCs/>
                <w:sz w:val="20"/>
                <w:szCs w:val="20"/>
                <w:lang w:eastAsia="uk-UA"/>
              </w:rPr>
              <w:t>С.3.</w:t>
            </w:r>
            <w:r w:rsidRPr="00C2587D">
              <w:rPr>
                <w:rFonts w:cs="Arial"/>
                <w:bCs/>
                <w:sz w:val="20"/>
                <w:szCs w:val="20"/>
              </w:rPr>
              <w:t xml:space="preserve">4. </w:t>
            </w:r>
            <w:r w:rsidRPr="00C2587D">
              <w:rPr>
                <w:rFonts w:cs="Arial"/>
                <w:bCs/>
                <w:sz w:val="20"/>
                <w:szCs w:val="20"/>
                <w:lang w:eastAsia="uk-UA"/>
              </w:rPr>
              <w:t>Розбудова мережі сучасних спортивних закладів та споруд</w:t>
            </w:r>
          </w:p>
          <w:p w14:paraId="49C5BF8D" w14:textId="77777777" w:rsidR="005734DC" w:rsidRPr="00C2587D" w:rsidRDefault="005734DC" w:rsidP="002E392A">
            <w:pPr>
              <w:rPr>
                <w:rFonts w:cs="Arial"/>
                <w:bCs/>
                <w:color w:val="000000"/>
                <w:sz w:val="20"/>
                <w:szCs w:val="20"/>
                <w:lang w:eastAsia="uk-UA"/>
              </w:rPr>
            </w:pPr>
          </w:p>
        </w:tc>
        <w:tc>
          <w:tcPr>
            <w:tcW w:w="7655" w:type="dxa"/>
            <w:shd w:val="clear" w:color="auto" w:fill="auto"/>
          </w:tcPr>
          <w:p w14:paraId="4252536C" w14:textId="77777777" w:rsidR="006D58BC" w:rsidRPr="00C2587D" w:rsidRDefault="00564298" w:rsidP="002E392A">
            <w:pPr>
              <w:autoSpaceDE w:val="0"/>
              <w:autoSpaceDN w:val="0"/>
              <w:spacing w:before="20" w:after="20"/>
              <w:jc w:val="both"/>
              <w:rPr>
                <w:rFonts w:cs="Arial"/>
                <w:sz w:val="20"/>
                <w:szCs w:val="20"/>
                <w:lang w:eastAsia="en-US"/>
              </w:rPr>
            </w:pPr>
            <w:r w:rsidRPr="00C2587D">
              <w:rPr>
                <w:rFonts w:cs="Arial"/>
                <w:sz w:val="20"/>
                <w:szCs w:val="20"/>
                <w:lang w:eastAsia="en-US"/>
              </w:rPr>
              <w:t xml:space="preserve">С.3.4.1. </w:t>
            </w:r>
            <w:r w:rsidR="006D58BC" w:rsidRPr="00C2587D">
              <w:rPr>
                <w:rFonts w:cs="Arial"/>
                <w:sz w:val="20"/>
                <w:szCs w:val="20"/>
                <w:lang w:eastAsia="en-US"/>
              </w:rPr>
              <w:t>Вдосконалення спортивного розвитку та самореалізації дітей, молоді, населення середнього та пенсійного віку.</w:t>
            </w:r>
          </w:p>
          <w:p w14:paraId="6B572FD9" w14:textId="77777777" w:rsidR="006D58BC" w:rsidRPr="00C2587D" w:rsidRDefault="00564298" w:rsidP="002E392A">
            <w:pPr>
              <w:autoSpaceDE w:val="0"/>
              <w:autoSpaceDN w:val="0"/>
              <w:spacing w:before="20" w:after="20"/>
              <w:jc w:val="both"/>
              <w:rPr>
                <w:rFonts w:cs="Arial"/>
                <w:sz w:val="20"/>
                <w:szCs w:val="20"/>
                <w:lang w:eastAsia="en-US"/>
              </w:rPr>
            </w:pPr>
            <w:r w:rsidRPr="00C2587D">
              <w:rPr>
                <w:rFonts w:cs="Arial"/>
                <w:sz w:val="20"/>
                <w:szCs w:val="20"/>
                <w:lang w:eastAsia="en-US"/>
              </w:rPr>
              <w:t xml:space="preserve">С.3.4.2. </w:t>
            </w:r>
            <w:r w:rsidR="006D58BC" w:rsidRPr="00C2587D">
              <w:rPr>
                <w:rFonts w:cs="Arial"/>
                <w:sz w:val="20"/>
                <w:szCs w:val="20"/>
                <w:lang w:eastAsia="en-US"/>
              </w:rPr>
              <w:t>Будівництво, реконструкція інфраструктури спорту з урахуванням гендерного аспекту.</w:t>
            </w:r>
          </w:p>
          <w:p w14:paraId="0AD37AF7" w14:textId="7337D34F" w:rsidR="006D58BC" w:rsidRPr="00C2587D" w:rsidRDefault="00564298" w:rsidP="002E392A">
            <w:pPr>
              <w:autoSpaceDE w:val="0"/>
              <w:autoSpaceDN w:val="0"/>
              <w:spacing w:before="20" w:after="20"/>
              <w:jc w:val="both"/>
              <w:rPr>
                <w:rFonts w:cs="Arial"/>
                <w:sz w:val="20"/>
                <w:szCs w:val="20"/>
                <w:lang w:eastAsia="en-US"/>
              </w:rPr>
            </w:pPr>
            <w:r w:rsidRPr="00C2587D">
              <w:rPr>
                <w:rFonts w:cs="Arial"/>
                <w:sz w:val="20"/>
                <w:szCs w:val="20"/>
                <w:lang w:eastAsia="en-US"/>
              </w:rPr>
              <w:t xml:space="preserve">С.3.4.3. </w:t>
            </w:r>
            <w:r w:rsidR="006D58BC" w:rsidRPr="00C2587D">
              <w:rPr>
                <w:rFonts w:cs="Arial"/>
                <w:sz w:val="20"/>
                <w:szCs w:val="20"/>
                <w:lang w:eastAsia="en-US"/>
              </w:rPr>
              <w:t xml:space="preserve">Реконструкція та капітальний ремонт приміщень, </w:t>
            </w:r>
            <w:r w:rsidR="00825F1D" w:rsidRPr="00C2587D">
              <w:rPr>
                <w:rFonts w:cs="Arial"/>
                <w:sz w:val="20"/>
                <w:szCs w:val="20"/>
                <w:lang w:eastAsia="en-US"/>
              </w:rPr>
              <w:t>які віднося</w:t>
            </w:r>
            <w:r w:rsidR="006D58BC" w:rsidRPr="00C2587D">
              <w:rPr>
                <w:rFonts w:cs="Arial"/>
                <w:sz w:val="20"/>
                <w:szCs w:val="20"/>
                <w:lang w:eastAsia="en-US"/>
              </w:rPr>
              <w:t>ться до КЗ «ЖДЮСШ.</w:t>
            </w:r>
          </w:p>
          <w:p w14:paraId="6E211531" w14:textId="77777777" w:rsidR="006D58BC" w:rsidRPr="00C2587D" w:rsidRDefault="00564298" w:rsidP="002E392A">
            <w:pPr>
              <w:autoSpaceDE w:val="0"/>
              <w:autoSpaceDN w:val="0"/>
              <w:spacing w:before="20" w:after="20"/>
              <w:jc w:val="both"/>
              <w:rPr>
                <w:rFonts w:cs="Arial"/>
                <w:sz w:val="20"/>
                <w:szCs w:val="20"/>
                <w:lang w:eastAsia="en-US"/>
              </w:rPr>
            </w:pPr>
            <w:r w:rsidRPr="00C2587D">
              <w:rPr>
                <w:rFonts w:cs="Arial"/>
                <w:sz w:val="20"/>
                <w:szCs w:val="20"/>
                <w:lang w:eastAsia="en-US"/>
              </w:rPr>
              <w:t xml:space="preserve">С.3.4.4. </w:t>
            </w:r>
            <w:r w:rsidR="006D58BC" w:rsidRPr="00C2587D">
              <w:rPr>
                <w:rFonts w:cs="Arial"/>
                <w:sz w:val="20"/>
                <w:szCs w:val="20"/>
                <w:lang w:eastAsia="en-US"/>
              </w:rPr>
              <w:t>Облаштування спортивних залів матеріально-технічною базою.</w:t>
            </w:r>
          </w:p>
          <w:p w14:paraId="0636F33D" w14:textId="77777777" w:rsidR="006D58BC" w:rsidRPr="00C2587D" w:rsidRDefault="00564298" w:rsidP="002E392A">
            <w:pPr>
              <w:autoSpaceDE w:val="0"/>
              <w:autoSpaceDN w:val="0"/>
              <w:spacing w:before="20" w:after="20"/>
              <w:jc w:val="both"/>
              <w:rPr>
                <w:rFonts w:cs="Arial"/>
                <w:sz w:val="20"/>
                <w:szCs w:val="20"/>
                <w:lang w:eastAsia="en-US"/>
              </w:rPr>
            </w:pPr>
            <w:r w:rsidRPr="00C2587D">
              <w:rPr>
                <w:rFonts w:cs="Arial"/>
                <w:sz w:val="20"/>
                <w:szCs w:val="20"/>
                <w:lang w:eastAsia="en-US"/>
              </w:rPr>
              <w:t xml:space="preserve">С.3.4.5. </w:t>
            </w:r>
            <w:r w:rsidR="006D58BC" w:rsidRPr="00C2587D">
              <w:rPr>
                <w:rFonts w:cs="Arial"/>
                <w:sz w:val="20"/>
                <w:szCs w:val="20"/>
                <w:lang w:eastAsia="en-US"/>
              </w:rPr>
              <w:t>Участь у всеукраїнських та регіональних спортивних змаганнях, турнірах тощо.</w:t>
            </w:r>
          </w:p>
          <w:p w14:paraId="051E1726" w14:textId="77777777" w:rsidR="006D58BC" w:rsidRPr="00C2587D" w:rsidRDefault="00564298" w:rsidP="002E392A">
            <w:pPr>
              <w:autoSpaceDE w:val="0"/>
              <w:autoSpaceDN w:val="0"/>
              <w:spacing w:before="20" w:after="20"/>
              <w:jc w:val="both"/>
              <w:rPr>
                <w:rFonts w:cs="Arial"/>
                <w:sz w:val="20"/>
                <w:szCs w:val="20"/>
                <w:lang w:eastAsia="en-US"/>
              </w:rPr>
            </w:pPr>
            <w:r w:rsidRPr="00C2587D">
              <w:rPr>
                <w:rFonts w:cs="Arial"/>
                <w:sz w:val="20"/>
                <w:szCs w:val="20"/>
                <w:lang w:eastAsia="en-US"/>
              </w:rPr>
              <w:t xml:space="preserve">С.3.4.6. </w:t>
            </w:r>
            <w:r w:rsidR="006D58BC" w:rsidRPr="00C2587D">
              <w:rPr>
                <w:rFonts w:cs="Arial"/>
                <w:sz w:val="20"/>
                <w:szCs w:val="20"/>
                <w:lang w:eastAsia="en-US"/>
              </w:rPr>
              <w:t>Створення футбольних полів із штучним покриттям.</w:t>
            </w:r>
          </w:p>
          <w:p w14:paraId="6E6AB1D1" w14:textId="77777777" w:rsidR="005734DC" w:rsidRPr="00C2587D" w:rsidRDefault="00564298" w:rsidP="002E392A">
            <w:pPr>
              <w:spacing w:before="20" w:after="20"/>
              <w:jc w:val="both"/>
              <w:rPr>
                <w:rFonts w:cs="Arial"/>
                <w:sz w:val="20"/>
                <w:szCs w:val="20"/>
              </w:rPr>
            </w:pPr>
            <w:r w:rsidRPr="00C2587D">
              <w:rPr>
                <w:rFonts w:cs="Arial"/>
                <w:sz w:val="20"/>
                <w:szCs w:val="20"/>
                <w:lang w:eastAsia="en-US"/>
              </w:rPr>
              <w:t>С.3.4.7. Облаштування сучасних спортивних закладів, відкриття спортивних секцій.</w:t>
            </w:r>
          </w:p>
        </w:tc>
      </w:tr>
      <w:tr w:rsidR="005734DC" w:rsidRPr="00C2587D" w14:paraId="09ACBA8A" w14:textId="77777777" w:rsidTr="00F21066">
        <w:trPr>
          <w:trHeight w:val="420"/>
        </w:trPr>
        <w:tc>
          <w:tcPr>
            <w:tcW w:w="1975" w:type="dxa"/>
            <w:vMerge/>
            <w:vAlign w:val="center"/>
          </w:tcPr>
          <w:p w14:paraId="123CD896" w14:textId="77777777" w:rsidR="005734DC" w:rsidRPr="00C2587D" w:rsidRDefault="005734DC" w:rsidP="002E392A">
            <w:pPr>
              <w:rPr>
                <w:rFonts w:cs="Arial"/>
                <w:b/>
                <w:sz w:val="20"/>
                <w:szCs w:val="20"/>
                <w:lang w:eastAsia="uk-UA"/>
              </w:rPr>
            </w:pPr>
          </w:p>
        </w:tc>
        <w:tc>
          <w:tcPr>
            <w:tcW w:w="2693" w:type="dxa"/>
            <w:vMerge/>
            <w:vAlign w:val="center"/>
          </w:tcPr>
          <w:p w14:paraId="434DA5BE" w14:textId="77777777" w:rsidR="005734DC" w:rsidRPr="00C2587D" w:rsidRDefault="005734DC" w:rsidP="002E392A">
            <w:pPr>
              <w:rPr>
                <w:rFonts w:cs="Arial"/>
                <w:color w:val="000000"/>
                <w:sz w:val="20"/>
                <w:szCs w:val="20"/>
                <w:lang w:eastAsia="uk-UA"/>
              </w:rPr>
            </w:pPr>
          </w:p>
        </w:tc>
        <w:tc>
          <w:tcPr>
            <w:tcW w:w="2840" w:type="dxa"/>
            <w:vAlign w:val="center"/>
          </w:tcPr>
          <w:p w14:paraId="14DC4D28" w14:textId="77777777" w:rsidR="005734DC" w:rsidRPr="00C2587D" w:rsidRDefault="005734DC" w:rsidP="002E392A">
            <w:pPr>
              <w:rPr>
                <w:rFonts w:cs="Arial"/>
                <w:bCs/>
                <w:color w:val="000000"/>
                <w:sz w:val="20"/>
                <w:szCs w:val="20"/>
                <w:lang w:eastAsia="uk-UA"/>
              </w:rPr>
            </w:pPr>
            <w:r w:rsidRPr="00C2587D">
              <w:rPr>
                <w:rFonts w:cs="Arial"/>
                <w:bCs/>
                <w:sz w:val="20"/>
                <w:szCs w:val="20"/>
                <w:lang w:eastAsia="uk-UA"/>
              </w:rPr>
              <w:t>С.3.5. Створення  активного молодіжного та громадського середовища</w:t>
            </w:r>
          </w:p>
        </w:tc>
        <w:tc>
          <w:tcPr>
            <w:tcW w:w="7655" w:type="dxa"/>
            <w:shd w:val="clear" w:color="auto" w:fill="auto"/>
          </w:tcPr>
          <w:p w14:paraId="6288B6EB" w14:textId="77777777" w:rsidR="00F912C0" w:rsidRPr="00C2587D" w:rsidRDefault="00F912C0" w:rsidP="002E392A">
            <w:pPr>
              <w:autoSpaceDE w:val="0"/>
              <w:autoSpaceDN w:val="0"/>
              <w:spacing w:before="20" w:after="20"/>
              <w:jc w:val="both"/>
              <w:rPr>
                <w:rFonts w:cs="Arial"/>
                <w:sz w:val="20"/>
                <w:szCs w:val="20"/>
                <w:lang w:eastAsia="en-US"/>
              </w:rPr>
            </w:pPr>
            <w:r w:rsidRPr="00C2587D">
              <w:rPr>
                <w:rFonts w:cs="Arial"/>
                <w:sz w:val="20"/>
                <w:szCs w:val="20"/>
                <w:lang w:eastAsia="en-US"/>
              </w:rPr>
              <w:t>С.3.5.1. Створення умов для  самореалізації та участі дітей, молоді   у житті громади.</w:t>
            </w:r>
          </w:p>
          <w:p w14:paraId="31DE48D6" w14:textId="77777777" w:rsidR="00F912C0" w:rsidRPr="00C2587D" w:rsidRDefault="00F912C0" w:rsidP="002E392A">
            <w:pPr>
              <w:jc w:val="both"/>
              <w:rPr>
                <w:rFonts w:cs="Arial"/>
                <w:sz w:val="20"/>
                <w:szCs w:val="20"/>
              </w:rPr>
            </w:pPr>
            <w:r w:rsidRPr="00C2587D">
              <w:rPr>
                <w:rFonts w:cs="Arial"/>
                <w:sz w:val="20"/>
                <w:szCs w:val="20"/>
                <w:lang w:eastAsia="en-US"/>
              </w:rPr>
              <w:t xml:space="preserve">С.3.5.2. </w:t>
            </w:r>
            <w:r w:rsidRPr="00C2587D">
              <w:rPr>
                <w:rFonts w:cs="Arial"/>
                <w:sz w:val="20"/>
                <w:szCs w:val="20"/>
              </w:rPr>
              <w:t>Розвиток  місцевої інфраструктури з урахуванням думки та дотриманням прав дітей та молоді.</w:t>
            </w:r>
          </w:p>
          <w:p w14:paraId="379D100F" w14:textId="77777777" w:rsidR="00F912C0" w:rsidRPr="00C2587D" w:rsidRDefault="00F912C0" w:rsidP="002E392A">
            <w:pPr>
              <w:jc w:val="both"/>
              <w:rPr>
                <w:rFonts w:cs="Arial"/>
                <w:sz w:val="20"/>
                <w:szCs w:val="20"/>
              </w:rPr>
            </w:pPr>
            <w:r w:rsidRPr="00C2587D">
              <w:rPr>
                <w:rFonts w:cs="Arial"/>
                <w:sz w:val="20"/>
                <w:szCs w:val="20"/>
                <w:lang w:eastAsia="en-US"/>
              </w:rPr>
              <w:t xml:space="preserve">С.3.5.3. </w:t>
            </w:r>
            <w:r w:rsidRPr="00C2587D">
              <w:rPr>
                <w:rFonts w:cs="Arial"/>
                <w:sz w:val="20"/>
                <w:szCs w:val="20"/>
              </w:rPr>
              <w:t>Відкриття молодіжних центрів та установ, що працюють з молоддю.</w:t>
            </w:r>
          </w:p>
          <w:p w14:paraId="1F7DF2E2" w14:textId="77777777" w:rsidR="00F912C0" w:rsidRPr="00C2587D" w:rsidRDefault="00F912C0" w:rsidP="002E392A">
            <w:pPr>
              <w:jc w:val="both"/>
              <w:rPr>
                <w:rFonts w:cs="Arial"/>
                <w:sz w:val="20"/>
                <w:szCs w:val="20"/>
              </w:rPr>
            </w:pPr>
            <w:r w:rsidRPr="00C2587D">
              <w:rPr>
                <w:rFonts w:cs="Arial"/>
                <w:sz w:val="20"/>
                <w:szCs w:val="20"/>
                <w:lang w:eastAsia="en-US"/>
              </w:rPr>
              <w:t xml:space="preserve">С.3.5.4. </w:t>
            </w:r>
            <w:r w:rsidRPr="00C2587D">
              <w:rPr>
                <w:rFonts w:cs="Arial"/>
                <w:sz w:val="20"/>
                <w:szCs w:val="20"/>
              </w:rPr>
              <w:t>Забезпечення розвитку системи національно-патріотичного виховання дітей  і молоді.</w:t>
            </w:r>
          </w:p>
          <w:p w14:paraId="3DDB7D00" w14:textId="77777777" w:rsidR="00F912C0" w:rsidRPr="00C2587D" w:rsidRDefault="00F912C0" w:rsidP="002E392A">
            <w:pPr>
              <w:jc w:val="both"/>
              <w:rPr>
                <w:rFonts w:cs="Arial"/>
                <w:sz w:val="20"/>
                <w:szCs w:val="20"/>
              </w:rPr>
            </w:pPr>
            <w:r w:rsidRPr="00C2587D">
              <w:rPr>
                <w:rFonts w:cs="Arial"/>
                <w:sz w:val="20"/>
                <w:szCs w:val="20"/>
                <w:lang w:eastAsia="en-US"/>
              </w:rPr>
              <w:t xml:space="preserve">С.3.5.5. </w:t>
            </w:r>
            <w:r w:rsidRPr="00C2587D">
              <w:rPr>
                <w:rFonts w:cs="Arial"/>
                <w:iCs/>
                <w:sz w:val="20"/>
                <w:szCs w:val="20"/>
              </w:rPr>
              <w:t>Підвищення безпечності середовища та посилення життєстійкості молоді.</w:t>
            </w:r>
          </w:p>
          <w:p w14:paraId="28574BFB" w14:textId="77777777" w:rsidR="00F912C0" w:rsidRPr="00C2587D" w:rsidRDefault="00F912C0" w:rsidP="002E392A">
            <w:pPr>
              <w:jc w:val="both"/>
              <w:rPr>
                <w:rFonts w:cs="Arial"/>
                <w:sz w:val="20"/>
                <w:szCs w:val="20"/>
              </w:rPr>
            </w:pPr>
            <w:r w:rsidRPr="00C2587D">
              <w:rPr>
                <w:rFonts w:cs="Arial"/>
                <w:sz w:val="20"/>
                <w:szCs w:val="20"/>
                <w:lang w:eastAsia="en-US"/>
              </w:rPr>
              <w:t xml:space="preserve">С.3.5.6. </w:t>
            </w:r>
            <w:r w:rsidRPr="00C2587D">
              <w:rPr>
                <w:rFonts w:cs="Arial"/>
                <w:iCs/>
                <w:sz w:val="20"/>
                <w:szCs w:val="20"/>
              </w:rPr>
              <w:t>Формування навичок здорового способу життя, розвиток фізичної культури, культури здорового харчування та психогігієни.</w:t>
            </w:r>
          </w:p>
          <w:p w14:paraId="380AB400" w14:textId="77777777" w:rsidR="00F912C0" w:rsidRPr="00C2587D" w:rsidRDefault="00F912C0" w:rsidP="002E392A">
            <w:pPr>
              <w:jc w:val="both"/>
              <w:rPr>
                <w:rFonts w:cs="Arial"/>
                <w:sz w:val="20"/>
                <w:szCs w:val="20"/>
              </w:rPr>
            </w:pPr>
            <w:r w:rsidRPr="00C2587D">
              <w:rPr>
                <w:rFonts w:cs="Arial"/>
                <w:sz w:val="20"/>
                <w:szCs w:val="20"/>
                <w:lang w:eastAsia="en-US"/>
              </w:rPr>
              <w:t xml:space="preserve">С.3.5.7. </w:t>
            </w:r>
            <w:r w:rsidRPr="00C2587D">
              <w:rPr>
                <w:rFonts w:cs="Arial"/>
                <w:iCs/>
                <w:sz w:val="20"/>
                <w:szCs w:val="20"/>
              </w:rPr>
              <w:t>Підвищення мобільності, соціальної і культурної інтеграції молоді в суспільне життя.</w:t>
            </w:r>
          </w:p>
          <w:p w14:paraId="0DA83959" w14:textId="77777777" w:rsidR="005734DC" w:rsidRPr="00C2587D" w:rsidRDefault="00F912C0" w:rsidP="002E392A">
            <w:pPr>
              <w:spacing w:before="20" w:after="20"/>
              <w:jc w:val="both"/>
              <w:rPr>
                <w:rFonts w:cs="Arial"/>
                <w:sz w:val="20"/>
                <w:szCs w:val="20"/>
              </w:rPr>
            </w:pPr>
            <w:r w:rsidRPr="00C2587D">
              <w:rPr>
                <w:rFonts w:cs="Arial"/>
                <w:sz w:val="20"/>
                <w:szCs w:val="20"/>
                <w:lang w:eastAsia="en-US"/>
              </w:rPr>
              <w:t xml:space="preserve">С.3.5.8. </w:t>
            </w:r>
            <w:r w:rsidRPr="00C2587D">
              <w:rPr>
                <w:rFonts w:cs="Arial"/>
                <w:iCs/>
                <w:sz w:val="20"/>
                <w:szCs w:val="20"/>
              </w:rPr>
              <w:t>Реалізація молодіжних ініціатив щодо здорового способу життя, молодіжних акцій, флешмобів, нових видів спорту.</w:t>
            </w:r>
          </w:p>
        </w:tc>
      </w:tr>
      <w:tr w:rsidR="005734DC" w:rsidRPr="00C2587D" w14:paraId="61F6E0A6" w14:textId="77777777" w:rsidTr="00F21066">
        <w:trPr>
          <w:trHeight w:val="458"/>
        </w:trPr>
        <w:tc>
          <w:tcPr>
            <w:tcW w:w="1975" w:type="dxa"/>
            <w:vMerge/>
            <w:vAlign w:val="center"/>
          </w:tcPr>
          <w:p w14:paraId="427D043E" w14:textId="77777777" w:rsidR="005734DC" w:rsidRPr="00C2587D" w:rsidRDefault="005734DC" w:rsidP="002E392A">
            <w:pPr>
              <w:rPr>
                <w:rFonts w:cs="Arial"/>
                <w:b/>
                <w:sz w:val="20"/>
                <w:szCs w:val="20"/>
                <w:lang w:eastAsia="uk-UA"/>
              </w:rPr>
            </w:pPr>
          </w:p>
        </w:tc>
        <w:tc>
          <w:tcPr>
            <w:tcW w:w="2693" w:type="dxa"/>
            <w:vMerge w:val="restart"/>
            <w:vAlign w:val="center"/>
          </w:tcPr>
          <w:p w14:paraId="51189CA2" w14:textId="77777777" w:rsidR="005734DC" w:rsidRPr="00C2587D" w:rsidRDefault="005734DC" w:rsidP="002E392A">
            <w:pPr>
              <w:rPr>
                <w:rFonts w:cs="Arial"/>
                <w:color w:val="000000"/>
                <w:sz w:val="20"/>
                <w:szCs w:val="20"/>
                <w:lang w:eastAsia="uk-UA"/>
              </w:rPr>
            </w:pPr>
            <w:r w:rsidRPr="00C2587D">
              <w:rPr>
                <w:rFonts w:cs="Arial"/>
                <w:b/>
                <w:sz w:val="20"/>
                <w:szCs w:val="22"/>
                <w:lang w:eastAsia="uk-UA"/>
              </w:rPr>
              <w:t>С.4. Забезпечення  високих стандартів надання якісних адміністративних і соціальних послуг</w:t>
            </w:r>
          </w:p>
          <w:p w14:paraId="383DD216" w14:textId="77777777" w:rsidR="005734DC" w:rsidRPr="00C2587D" w:rsidRDefault="005734DC" w:rsidP="002E392A">
            <w:pPr>
              <w:rPr>
                <w:rFonts w:cs="Arial"/>
                <w:color w:val="000000"/>
                <w:sz w:val="20"/>
                <w:szCs w:val="20"/>
                <w:lang w:eastAsia="uk-UA"/>
              </w:rPr>
            </w:pPr>
          </w:p>
          <w:p w14:paraId="36B16AA9" w14:textId="77777777" w:rsidR="005734DC" w:rsidRPr="00C2587D" w:rsidRDefault="005734DC" w:rsidP="002E392A">
            <w:pPr>
              <w:rPr>
                <w:rFonts w:cs="Arial"/>
                <w:color w:val="000000"/>
                <w:sz w:val="20"/>
                <w:szCs w:val="20"/>
                <w:lang w:eastAsia="uk-UA"/>
              </w:rPr>
            </w:pPr>
          </w:p>
        </w:tc>
        <w:tc>
          <w:tcPr>
            <w:tcW w:w="2840" w:type="dxa"/>
            <w:vAlign w:val="center"/>
          </w:tcPr>
          <w:p w14:paraId="4F55B8F9" w14:textId="77777777" w:rsidR="005734DC" w:rsidRPr="00C2587D" w:rsidRDefault="005734DC" w:rsidP="002E392A">
            <w:pPr>
              <w:rPr>
                <w:rFonts w:cs="Arial"/>
                <w:bCs/>
                <w:color w:val="000000"/>
                <w:sz w:val="20"/>
                <w:szCs w:val="20"/>
                <w:lang w:eastAsia="uk-UA"/>
              </w:rPr>
            </w:pPr>
            <w:r w:rsidRPr="00C2587D">
              <w:rPr>
                <w:rFonts w:cs="Arial"/>
                <w:bCs/>
                <w:sz w:val="20"/>
                <w:szCs w:val="20"/>
              </w:rPr>
              <w:t>С.4.1. Удосконалення системи надання  адміністративних послуг</w:t>
            </w:r>
          </w:p>
        </w:tc>
        <w:tc>
          <w:tcPr>
            <w:tcW w:w="7655" w:type="dxa"/>
            <w:shd w:val="clear" w:color="auto" w:fill="auto"/>
          </w:tcPr>
          <w:p w14:paraId="26A611A9" w14:textId="77777777" w:rsidR="00EA1707" w:rsidRPr="00C2587D" w:rsidRDefault="00EA1707" w:rsidP="002E392A">
            <w:pPr>
              <w:autoSpaceDE w:val="0"/>
              <w:autoSpaceDN w:val="0"/>
              <w:spacing w:before="20" w:after="20"/>
              <w:jc w:val="both"/>
              <w:rPr>
                <w:rFonts w:cs="Arial"/>
                <w:sz w:val="20"/>
                <w:szCs w:val="20"/>
                <w:lang w:eastAsia="en-US"/>
              </w:rPr>
            </w:pPr>
            <w:r w:rsidRPr="00C2587D">
              <w:rPr>
                <w:rFonts w:cs="Arial"/>
                <w:sz w:val="20"/>
                <w:szCs w:val="20"/>
                <w:lang w:eastAsia="en-US"/>
              </w:rPr>
              <w:t>С.4.1.1. Облаштування ЦНАП відповідно до сучасних ергономічних норм.</w:t>
            </w:r>
            <w:r w:rsidRPr="00C2587D">
              <w:rPr>
                <w:rFonts w:ascii="Times New Roman" w:eastAsia="Calibri" w:hAnsi="Times New Roman"/>
                <w:sz w:val="24"/>
                <w:lang w:eastAsia="en-US"/>
              </w:rPr>
              <w:t xml:space="preserve"> </w:t>
            </w:r>
          </w:p>
          <w:p w14:paraId="4C0034C5" w14:textId="77777777" w:rsidR="00EA1707" w:rsidRPr="00C2587D" w:rsidRDefault="00EA1707" w:rsidP="002E392A">
            <w:pPr>
              <w:autoSpaceDE w:val="0"/>
              <w:autoSpaceDN w:val="0"/>
              <w:spacing w:before="20" w:after="20"/>
              <w:jc w:val="both"/>
              <w:rPr>
                <w:rFonts w:cs="Arial"/>
                <w:sz w:val="20"/>
                <w:szCs w:val="20"/>
                <w:lang w:eastAsia="en-US"/>
              </w:rPr>
            </w:pPr>
            <w:r w:rsidRPr="00C2587D">
              <w:rPr>
                <w:rFonts w:cs="Arial"/>
                <w:sz w:val="20"/>
                <w:szCs w:val="20"/>
                <w:lang w:eastAsia="en-US"/>
              </w:rPr>
              <w:t>С.4.1.2. Доступність до адміністративних послуг.</w:t>
            </w:r>
          </w:p>
          <w:p w14:paraId="3EF54222" w14:textId="77777777" w:rsidR="005734DC" w:rsidRPr="00C2587D" w:rsidRDefault="00EA1707" w:rsidP="002E392A">
            <w:pPr>
              <w:spacing w:before="20" w:after="20"/>
              <w:jc w:val="both"/>
              <w:rPr>
                <w:rFonts w:cs="Arial"/>
                <w:sz w:val="20"/>
                <w:szCs w:val="20"/>
              </w:rPr>
            </w:pPr>
            <w:r w:rsidRPr="00C2587D">
              <w:rPr>
                <w:rFonts w:cs="Arial"/>
                <w:iCs/>
                <w:sz w:val="20"/>
                <w:szCs w:val="20"/>
              </w:rPr>
              <w:t>С.4.1.3. Інформованість та популяризація ЦНАП.</w:t>
            </w:r>
          </w:p>
        </w:tc>
      </w:tr>
      <w:tr w:rsidR="005734DC" w:rsidRPr="00C2587D" w14:paraId="418EBF63" w14:textId="77777777" w:rsidTr="00F21066">
        <w:trPr>
          <w:trHeight w:val="420"/>
        </w:trPr>
        <w:tc>
          <w:tcPr>
            <w:tcW w:w="1975" w:type="dxa"/>
            <w:vMerge/>
            <w:vAlign w:val="center"/>
          </w:tcPr>
          <w:p w14:paraId="57153963" w14:textId="77777777" w:rsidR="005734DC" w:rsidRPr="00C2587D" w:rsidRDefault="005734DC" w:rsidP="002E392A">
            <w:pPr>
              <w:rPr>
                <w:rFonts w:cs="Arial"/>
                <w:b/>
                <w:sz w:val="20"/>
                <w:szCs w:val="20"/>
                <w:lang w:eastAsia="uk-UA"/>
              </w:rPr>
            </w:pPr>
          </w:p>
        </w:tc>
        <w:tc>
          <w:tcPr>
            <w:tcW w:w="2693" w:type="dxa"/>
            <w:vMerge/>
            <w:vAlign w:val="center"/>
          </w:tcPr>
          <w:p w14:paraId="6447792F" w14:textId="77777777" w:rsidR="005734DC" w:rsidRPr="00C2587D" w:rsidRDefault="005734DC" w:rsidP="002E392A">
            <w:pPr>
              <w:rPr>
                <w:rFonts w:cs="Arial"/>
                <w:b/>
                <w:sz w:val="20"/>
                <w:szCs w:val="22"/>
                <w:lang w:eastAsia="uk-UA"/>
              </w:rPr>
            </w:pPr>
          </w:p>
        </w:tc>
        <w:tc>
          <w:tcPr>
            <w:tcW w:w="2840" w:type="dxa"/>
            <w:vAlign w:val="center"/>
          </w:tcPr>
          <w:p w14:paraId="2500E155" w14:textId="77777777" w:rsidR="005734DC" w:rsidRPr="00C2587D" w:rsidRDefault="005734DC" w:rsidP="002E392A">
            <w:pPr>
              <w:rPr>
                <w:rFonts w:cs="Arial"/>
                <w:bCs/>
                <w:color w:val="000000"/>
                <w:sz w:val="20"/>
                <w:szCs w:val="20"/>
                <w:lang w:eastAsia="uk-UA"/>
              </w:rPr>
            </w:pPr>
            <w:r w:rsidRPr="00C2587D">
              <w:rPr>
                <w:rFonts w:cs="Arial"/>
                <w:bCs/>
                <w:sz w:val="20"/>
                <w:szCs w:val="20"/>
              </w:rPr>
              <w:t>С.4.2. Покращення якості та доступності  соціальних  послуг</w:t>
            </w:r>
          </w:p>
        </w:tc>
        <w:tc>
          <w:tcPr>
            <w:tcW w:w="7655" w:type="dxa"/>
            <w:shd w:val="clear" w:color="auto" w:fill="auto"/>
          </w:tcPr>
          <w:p w14:paraId="2DD14AE1" w14:textId="77777777" w:rsidR="00EA1707" w:rsidRPr="00C2587D" w:rsidRDefault="00EA1707" w:rsidP="002E392A">
            <w:pPr>
              <w:jc w:val="both"/>
              <w:rPr>
                <w:rFonts w:cs="Arial"/>
                <w:iCs/>
                <w:sz w:val="20"/>
                <w:szCs w:val="20"/>
              </w:rPr>
            </w:pPr>
            <w:r w:rsidRPr="00C2587D">
              <w:rPr>
                <w:rFonts w:cs="Arial"/>
                <w:iCs/>
                <w:sz w:val="20"/>
                <w:szCs w:val="20"/>
              </w:rPr>
              <w:t>С.4.2.1. Утворення оптимальної  мережі суб’єктів, що надають соціальні послуги.</w:t>
            </w:r>
          </w:p>
          <w:p w14:paraId="51325AC6" w14:textId="77777777" w:rsidR="00EA1707" w:rsidRPr="00C2587D" w:rsidRDefault="00EA1707" w:rsidP="002E392A">
            <w:pPr>
              <w:jc w:val="both"/>
              <w:rPr>
                <w:rFonts w:cs="Arial"/>
                <w:iCs/>
                <w:sz w:val="20"/>
                <w:szCs w:val="20"/>
              </w:rPr>
            </w:pPr>
            <w:r w:rsidRPr="00C2587D">
              <w:rPr>
                <w:rFonts w:cs="Arial"/>
                <w:iCs/>
                <w:sz w:val="20"/>
                <w:szCs w:val="20"/>
              </w:rPr>
              <w:t>С.4.2.2. Розвиток механізмів фінансування надавачів соціальних послуг.</w:t>
            </w:r>
          </w:p>
          <w:p w14:paraId="13D1513F" w14:textId="77777777" w:rsidR="00EA1707" w:rsidRPr="00C2587D" w:rsidRDefault="00EA1707" w:rsidP="002E392A">
            <w:pPr>
              <w:jc w:val="both"/>
              <w:rPr>
                <w:rFonts w:cs="Arial"/>
                <w:sz w:val="20"/>
                <w:szCs w:val="20"/>
              </w:rPr>
            </w:pPr>
            <w:r w:rsidRPr="00C2587D">
              <w:rPr>
                <w:rFonts w:cs="Arial"/>
                <w:iCs/>
                <w:sz w:val="20"/>
                <w:szCs w:val="20"/>
              </w:rPr>
              <w:t>С.4.2.3. Розвиток кадрового потенціалу соціальної сфери.</w:t>
            </w:r>
          </w:p>
          <w:p w14:paraId="6026A644" w14:textId="4E21BEB5" w:rsidR="00EA1707" w:rsidRPr="00C2587D" w:rsidRDefault="00EA1707" w:rsidP="002E392A">
            <w:pPr>
              <w:jc w:val="both"/>
              <w:rPr>
                <w:rFonts w:cs="Arial"/>
                <w:sz w:val="20"/>
                <w:szCs w:val="20"/>
              </w:rPr>
            </w:pPr>
            <w:r w:rsidRPr="00C2587D">
              <w:rPr>
                <w:rFonts w:cs="Arial"/>
                <w:iCs/>
                <w:sz w:val="20"/>
                <w:szCs w:val="20"/>
              </w:rPr>
              <w:t xml:space="preserve">С.4.2.4. </w:t>
            </w:r>
            <w:r w:rsidRPr="00C2587D">
              <w:rPr>
                <w:rFonts w:cs="Arial"/>
                <w:sz w:val="20"/>
                <w:szCs w:val="20"/>
              </w:rPr>
              <w:t>Протидія домашньо</w:t>
            </w:r>
            <w:r w:rsidR="00825F1D" w:rsidRPr="00C2587D">
              <w:rPr>
                <w:rFonts w:cs="Arial"/>
                <w:sz w:val="20"/>
                <w:szCs w:val="20"/>
              </w:rPr>
              <w:t>му</w:t>
            </w:r>
            <w:r w:rsidRPr="00C2587D">
              <w:rPr>
                <w:rFonts w:cs="Arial"/>
                <w:sz w:val="20"/>
                <w:szCs w:val="20"/>
              </w:rPr>
              <w:t xml:space="preserve"> нас</w:t>
            </w:r>
            <w:r w:rsidR="00825F1D" w:rsidRPr="00C2587D">
              <w:rPr>
                <w:rFonts w:cs="Arial"/>
                <w:sz w:val="20"/>
                <w:szCs w:val="20"/>
              </w:rPr>
              <w:t>ильству, насильству за ознакою статі, насильству</w:t>
            </w:r>
            <w:r w:rsidRPr="00C2587D">
              <w:rPr>
                <w:rFonts w:cs="Arial"/>
                <w:sz w:val="20"/>
                <w:szCs w:val="20"/>
              </w:rPr>
              <w:t xml:space="preserve"> стосовно дітей.</w:t>
            </w:r>
          </w:p>
          <w:p w14:paraId="45C56A60" w14:textId="77777777" w:rsidR="005734DC" w:rsidRPr="00C2587D" w:rsidRDefault="00EA1707" w:rsidP="002E392A">
            <w:pPr>
              <w:spacing w:before="20" w:after="20"/>
              <w:jc w:val="both"/>
              <w:rPr>
                <w:rFonts w:cs="Arial"/>
                <w:sz w:val="20"/>
                <w:szCs w:val="20"/>
              </w:rPr>
            </w:pPr>
            <w:r w:rsidRPr="00C2587D">
              <w:rPr>
                <w:rFonts w:cs="Arial"/>
                <w:iCs/>
                <w:sz w:val="20"/>
                <w:szCs w:val="20"/>
              </w:rPr>
              <w:lastRenderedPageBreak/>
              <w:t xml:space="preserve">С.4.2.5. </w:t>
            </w:r>
            <w:r w:rsidRPr="00C2587D">
              <w:rPr>
                <w:rFonts w:cs="Arial"/>
                <w:sz w:val="20"/>
                <w:szCs w:val="20"/>
              </w:rPr>
              <w:t>Забезпечення рівних прав та можливостей жінок і чоловіків у всіх сферах життя суспільства та впровадження європейських стандартів рівності на території Жмеринської МТГ.</w:t>
            </w:r>
          </w:p>
        </w:tc>
      </w:tr>
      <w:tr w:rsidR="005734DC" w:rsidRPr="00C2587D" w14:paraId="18D9AFEE" w14:textId="77777777" w:rsidTr="00F21066">
        <w:trPr>
          <w:trHeight w:val="300"/>
        </w:trPr>
        <w:tc>
          <w:tcPr>
            <w:tcW w:w="1975" w:type="dxa"/>
            <w:vMerge/>
            <w:vAlign w:val="center"/>
          </w:tcPr>
          <w:p w14:paraId="1C5122FE" w14:textId="77777777" w:rsidR="005734DC" w:rsidRPr="00C2587D" w:rsidRDefault="005734DC" w:rsidP="002E392A">
            <w:pPr>
              <w:rPr>
                <w:rFonts w:cs="Arial"/>
                <w:b/>
                <w:sz w:val="20"/>
                <w:szCs w:val="20"/>
                <w:lang w:eastAsia="uk-UA"/>
              </w:rPr>
            </w:pPr>
          </w:p>
        </w:tc>
        <w:tc>
          <w:tcPr>
            <w:tcW w:w="2693" w:type="dxa"/>
            <w:vMerge/>
            <w:vAlign w:val="center"/>
          </w:tcPr>
          <w:p w14:paraId="6FB81E92" w14:textId="77777777" w:rsidR="005734DC" w:rsidRPr="00C2587D" w:rsidRDefault="005734DC" w:rsidP="002E392A">
            <w:pPr>
              <w:rPr>
                <w:rFonts w:cs="Arial"/>
                <w:b/>
                <w:sz w:val="20"/>
                <w:szCs w:val="22"/>
                <w:lang w:eastAsia="uk-UA"/>
              </w:rPr>
            </w:pPr>
          </w:p>
        </w:tc>
        <w:tc>
          <w:tcPr>
            <w:tcW w:w="2840" w:type="dxa"/>
            <w:vAlign w:val="center"/>
          </w:tcPr>
          <w:p w14:paraId="0579BF01" w14:textId="77777777" w:rsidR="005734DC" w:rsidRPr="00C2587D" w:rsidRDefault="005734DC" w:rsidP="002E392A">
            <w:pPr>
              <w:rPr>
                <w:rFonts w:cs="Arial"/>
                <w:bCs/>
                <w:color w:val="000000"/>
                <w:sz w:val="20"/>
                <w:szCs w:val="20"/>
                <w:lang w:eastAsia="uk-UA"/>
              </w:rPr>
            </w:pPr>
            <w:r w:rsidRPr="00C2587D">
              <w:rPr>
                <w:rFonts w:cs="Arial"/>
                <w:bCs/>
                <w:sz w:val="20"/>
                <w:szCs w:val="20"/>
              </w:rPr>
              <w:t>С.4.3. Формування території громади, сприятливої для маломобільних груп населення</w:t>
            </w:r>
          </w:p>
        </w:tc>
        <w:tc>
          <w:tcPr>
            <w:tcW w:w="7655" w:type="dxa"/>
            <w:shd w:val="clear" w:color="auto" w:fill="auto"/>
          </w:tcPr>
          <w:p w14:paraId="2AA1357F" w14:textId="77777777" w:rsidR="001F5B35" w:rsidRPr="00C2587D" w:rsidRDefault="001F5B35" w:rsidP="002E392A">
            <w:pPr>
              <w:jc w:val="both"/>
              <w:rPr>
                <w:rFonts w:cs="Arial"/>
                <w:sz w:val="20"/>
                <w:szCs w:val="20"/>
              </w:rPr>
            </w:pPr>
            <w:r w:rsidRPr="00C2587D">
              <w:rPr>
                <w:rFonts w:cs="Arial"/>
                <w:sz w:val="20"/>
                <w:szCs w:val="20"/>
              </w:rPr>
              <w:t>С.4.3.1. Реконструкція об'єктів загального користування для доступності маломобільних груп населення.</w:t>
            </w:r>
          </w:p>
          <w:p w14:paraId="058E2275" w14:textId="77777777" w:rsidR="001F5B35" w:rsidRPr="00C2587D" w:rsidRDefault="001F5B35" w:rsidP="002E392A">
            <w:pPr>
              <w:jc w:val="both"/>
              <w:rPr>
                <w:rFonts w:cs="Arial"/>
                <w:sz w:val="20"/>
                <w:szCs w:val="20"/>
              </w:rPr>
            </w:pPr>
            <w:r w:rsidRPr="00C2587D">
              <w:rPr>
                <w:rFonts w:cs="Arial"/>
                <w:sz w:val="20"/>
                <w:szCs w:val="20"/>
              </w:rPr>
              <w:t>С.4.3.2. Адаптація усіх публічних послуг на території громади для маломобільних груп населення.</w:t>
            </w:r>
          </w:p>
          <w:p w14:paraId="38CC8366" w14:textId="77777777" w:rsidR="005734DC" w:rsidRPr="00C2587D" w:rsidRDefault="00A96633" w:rsidP="002E392A">
            <w:pPr>
              <w:spacing w:before="20" w:after="20"/>
              <w:jc w:val="both"/>
              <w:rPr>
                <w:rFonts w:cs="Arial"/>
                <w:sz w:val="20"/>
                <w:szCs w:val="20"/>
              </w:rPr>
            </w:pPr>
            <w:r w:rsidRPr="00C2587D">
              <w:rPr>
                <w:rFonts w:cs="Arial"/>
                <w:sz w:val="20"/>
                <w:szCs w:val="20"/>
              </w:rPr>
              <w:t xml:space="preserve">С.4.3.3. </w:t>
            </w:r>
            <w:r w:rsidR="001F5B35" w:rsidRPr="00C2587D">
              <w:rPr>
                <w:rFonts w:cs="Arial"/>
                <w:sz w:val="20"/>
                <w:szCs w:val="20"/>
              </w:rPr>
              <w:t>Організація навчання персоналу з надання послуг для осіб з інвалідністю.</w:t>
            </w:r>
          </w:p>
        </w:tc>
      </w:tr>
      <w:tr w:rsidR="005734DC" w:rsidRPr="00C2587D" w14:paraId="239A192C" w14:textId="77777777" w:rsidTr="00F21066">
        <w:trPr>
          <w:trHeight w:val="396"/>
        </w:trPr>
        <w:tc>
          <w:tcPr>
            <w:tcW w:w="1975" w:type="dxa"/>
            <w:vMerge/>
            <w:vAlign w:val="center"/>
          </w:tcPr>
          <w:p w14:paraId="723F0910" w14:textId="77777777" w:rsidR="005734DC" w:rsidRPr="00C2587D" w:rsidRDefault="005734DC" w:rsidP="002E392A">
            <w:pPr>
              <w:rPr>
                <w:rFonts w:cs="Arial"/>
                <w:b/>
                <w:sz w:val="20"/>
                <w:szCs w:val="20"/>
                <w:lang w:eastAsia="uk-UA"/>
              </w:rPr>
            </w:pPr>
          </w:p>
        </w:tc>
        <w:tc>
          <w:tcPr>
            <w:tcW w:w="2693" w:type="dxa"/>
            <w:vMerge/>
            <w:vAlign w:val="center"/>
          </w:tcPr>
          <w:p w14:paraId="774B8F37" w14:textId="77777777" w:rsidR="005734DC" w:rsidRPr="00C2587D" w:rsidRDefault="005734DC" w:rsidP="002E392A">
            <w:pPr>
              <w:rPr>
                <w:rFonts w:cs="Arial"/>
                <w:b/>
                <w:sz w:val="20"/>
                <w:szCs w:val="22"/>
                <w:lang w:eastAsia="uk-UA"/>
              </w:rPr>
            </w:pPr>
          </w:p>
        </w:tc>
        <w:tc>
          <w:tcPr>
            <w:tcW w:w="2840" w:type="dxa"/>
            <w:vAlign w:val="center"/>
          </w:tcPr>
          <w:p w14:paraId="28C21A1B" w14:textId="77777777" w:rsidR="005734DC" w:rsidRPr="00C2587D" w:rsidRDefault="005734DC" w:rsidP="002E392A">
            <w:pPr>
              <w:rPr>
                <w:rFonts w:cs="Arial"/>
                <w:bCs/>
                <w:color w:val="000000"/>
                <w:sz w:val="20"/>
                <w:szCs w:val="20"/>
                <w:lang w:eastAsia="uk-UA"/>
              </w:rPr>
            </w:pPr>
            <w:r w:rsidRPr="00C2587D">
              <w:rPr>
                <w:rFonts w:cs="Arial"/>
                <w:bCs/>
                <w:sz w:val="20"/>
                <w:szCs w:val="20"/>
              </w:rPr>
              <w:t>С.4.4.  Захист прав, свобод і законних інтересів дітей</w:t>
            </w:r>
          </w:p>
        </w:tc>
        <w:tc>
          <w:tcPr>
            <w:tcW w:w="7655" w:type="dxa"/>
            <w:shd w:val="clear" w:color="auto" w:fill="auto"/>
          </w:tcPr>
          <w:p w14:paraId="397051A7" w14:textId="77777777" w:rsidR="00A96633" w:rsidRPr="00C2587D" w:rsidRDefault="00A96633" w:rsidP="002E392A">
            <w:pPr>
              <w:jc w:val="both"/>
              <w:rPr>
                <w:rFonts w:cs="Arial"/>
                <w:iCs/>
                <w:sz w:val="20"/>
                <w:szCs w:val="20"/>
              </w:rPr>
            </w:pPr>
            <w:r w:rsidRPr="00C2587D">
              <w:rPr>
                <w:rFonts w:cs="Arial"/>
                <w:iCs/>
                <w:sz w:val="20"/>
                <w:szCs w:val="20"/>
              </w:rPr>
              <w:t>С.4.4.1. Забезпечення збільшення усиновлення дітей-сиріт та дітей, позбавлених батьківського піклування, громадянами України.</w:t>
            </w:r>
          </w:p>
          <w:p w14:paraId="24F95753" w14:textId="77777777" w:rsidR="00A96633" w:rsidRPr="00C2587D" w:rsidRDefault="00A96633" w:rsidP="002E392A">
            <w:pPr>
              <w:jc w:val="both"/>
              <w:rPr>
                <w:rFonts w:cs="Arial"/>
                <w:iCs/>
                <w:sz w:val="20"/>
                <w:szCs w:val="20"/>
              </w:rPr>
            </w:pPr>
            <w:r w:rsidRPr="00C2587D">
              <w:rPr>
                <w:rFonts w:cs="Arial"/>
                <w:iCs/>
                <w:sz w:val="20"/>
                <w:szCs w:val="20"/>
              </w:rPr>
              <w:t>С.4.4.2. Забезпечення влаштування дітей-сиріт та дітей, позбавлених батьківського піклування, до сімейних форм виховання (опіка, піклування, прийомна сім’я, дитячий будинок сімейного типу).</w:t>
            </w:r>
          </w:p>
          <w:p w14:paraId="0C97D4F6" w14:textId="77777777" w:rsidR="00A96633" w:rsidRPr="00C2587D" w:rsidRDefault="00A96633" w:rsidP="002E392A">
            <w:pPr>
              <w:jc w:val="both"/>
              <w:rPr>
                <w:rFonts w:cs="Arial"/>
                <w:iCs/>
                <w:sz w:val="20"/>
                <w:szCs w:val="20"/>
              </w:rPr>
            </w:pPr>
            <w:r w:rsidRPr="00C2587D">
              <w:rPr>
                <w:rFonts w:cs="Arial"/>
                <w:iCs/>
                <w:sz w:val="20"/>
                <w:szCs w:val="20"/>
              </w:rPr>
              <w:t>С.4.4.3. Здійснення контролю за додержанням вимог законодавства щодо захисту майнових (житлових) прав неповнолітніх.</w:t>
            </w:r>
          </w:p>
          <w:p w14:paraId="37D1919F" w14:textId="77777777" w:rsidR="00A96633" w:rsidRPr="00C2587D" w:rsidRDefault="00A96633" w:rsidP="002E392A">
            <w:pPr>
              <w:jc w:val="both"/>
              <w:rPr>
                <w:rFonts w:cs="Arial"/>
                <w:iCs/>
                <w:sz w:val="20"/>
                <w:szCs w:val="20"/>
              </w:rPr>
            </w:pPr>
            <w:r w:rsidRPr="00C2587D">
              <w:rPr>
                <w:rFonts w:cs="Arial"/>
                <w:iCs/>
                <w:sz w:val="20"/>
                <w:szCs w:val="20"/>
              </w:rPr>
              <w:t>С.4.4.4. Сприяння своєчасній постановці дітей-сиріт та дітей позбавлених батьківського піклування, які не мають житла на квартирний облік.</w:t>
            </w:r>
          </w:p>
          <w:p w14:paraId="7DCC59B3" w14:textId="77777777" w:rsidR="005734DC" w:rsidRPr="00C2587D" w:rsidRDefault="00A96633" w:rsidP="002E392A">
            <w:pPr>
              <w:spacing w:before="20" w:after="20"/>
              <w:jc w:val="both"/>
              <w:rPr>
                <w:rFonts w:cs="Arial"/>
                <w:sz w:val="20"/>
                <w:szCs w:val="20"/>
              </w:rPr>
            </w:pPr>
            <w:r w:rsidRPr="00C2587D">
              <w:rPr>
                <w:rFonts w:cs="Arial"/>
                <w:iCs/>
                <w:sz w:val="20"/>
                <w:szCs w:val="20"/>
              </w:rPr>
              <w:t>С.4.4.5. Оздоровлення та відпочинок дітей.</w:t>
            </w:r>
          </w:p>
        </w:tc>
      </w:tr>
      <w:tr w:rsidR="005734DC" w:rsidRPr="00C2587D" w14:paraId="1763227B" w14:textId="77777777" w:rsidTr="00F21066">
        <w:trPr>
          <w:trHeight w:val="336"/>
        </w:trPr>
        <w:tc>
          <w:tcPr>
            <w:tcW w:w="1975" w:type="dxa"/>
            <w:vMerge/>
            <w:vAlign w:val="center"/>
          </w:tcPr>
          <w:p w14:paraId="69C46B3F" w14:textId="77777777" w:rsidR="005734DC" w:rsidRPr="00C2587D" w:rsidRDefault="005734DC" w:rsidP="002E392A">
            <w:pPr>
              <w:rPr>
                <w:rFonts w:cs="Arial"/>
                <w:b/>
                <w:sz w:val="20"/>
                <w:szCs w:val="20"/>
                <w:lang w:eastAsia="uk-UA"/>
              </w:rPr>
            </w:pPr>
          </w:p>
        </w:tc>
        <w:tc>
          <w:tcPr>
            <w:tcW w:w="2693" w:type="dxa"/>
            <w:vMerge w:val="restart"/>
            <w:vAlign w:val="center"/>
          </w:tcPr>
          <w:p w14:paraId="2F534DEB" w14:textId="77777777" w:rsidR="005734DC" w:rsidRPr="00C2587D" w:rsidRDefault="005734DC" w:rsidP="002E392A">
            <w:pPr>
              <w:rPr>
                <w:rFonts w:cs="Arial"/>
                <w:color w:val="000000"/>
                <w:sz w:val="20"/>
                <w:szCs w:val="20"/>
                <w:lang w:eastAsia="uk-UA"/>
              </w:rPr>
            </w:pPr>
            <w:r w:rsidRPr="00C2587D">
              <w:rPr>
                <w:rFonts w:cs="Arial"/>
                <w:b/>
                <w:sz w:val="20"/>
                <w:szCs w:val="22"/>
                <w:lang w:eastAsia="uk-UA"/>
              </w:rPr>
              <w:t>С.5. Ефективне управління громадою</w:t>
            </w:r>
          </w:p>
        </w:tc>
        <w:tc>
          <w:tcPr>
            <w:tcW w:w="2840" w:type="dxa"/>
            <w:vAlign w:val="center"/>
          </w:tcPr>
          <w:p w14:paraId="29E0F7C8" w14:textId="77777777" w:rsidR="005734DC" w:rsidRPr="00C2587D" w:rsidRDefault="005734DC" w:rsidP="002E392A">
            <w:pPr>
              <w:autoSpaceDE w:val="0"/>
              <w:autoSpaceDN w:val="0"/>
              <w:adjustRightInd w:val="0"/>
              <w:rPr>
                <w:rFonts w:cs="Arial"/>
                <w:bCs/>
                <w:color w:val="000000"/>
                <w:sz w:val="20"/>
                <w:szCs w:val="20"/>
                <w:lang w:eastAsia="uk-UA"/>
              </w:rPr>
            </w:pPr>
            <w:r w:rsidRPr="00C2587D">
              <w:rPr>
                <w:rFonts w:cs="Arial"/>
                <w:bCs/>
                <w:sz w:val="20"/>
                <w:szCs w:val="20"/>
              </w:rPr>
              <w:t>С.5.1. Підвищення ефективності та прозорості  роботи  міських органів влади</w:t>
            </w:r>
          </w:p>
        </w:tc>
        <w:tc>
          <w:tcPr>
            <w:tcW w:w="7655" w:type="dxa"/>
            <w:shd w:val="clear" w:color="auto" w:fill="auto"/>
          </w:tcPr>
          <w:p w14:paraId="368E6B1B" w14:textId="77777777" w:rsidR="00D90D71" w:rsidRPr="00C2587D" w:rsidRDefault="00D90D71" w:rsidP="002E392A">
            <w:pPr>
              <w:jc w:val="both"/>
              <w:rPr>
                <w:rFonts w:cs="Arial"/>
                <w:iCs/>
                <w:sz w:val="20"/>
                <w:szCs w:val="20"/>
              </w:rPr>
            </w:pPr>
            <w:r w:rsidRPr="00C2587D">
              <w:rPr>
                <w:rFonts w:cs="Arial"/>
                <w:iCs/>
                <w:sz w:val="20"/>
                <w:szCs w:val="20"/>
              </w:rPr>
              <w:t>С.5.1.1. Підтримка розвитку  електронних публічних послуг та сервісів області (автоматизація  ЦНАП, впровадження  регіонального порталу публічних послуг та сервісів. Проведення  навчання, тренінгів, семінарів з питань формування цифрових навичок.</w:t>
            </w:r>
          </w:p>
          <w:p w14:paraId="10AFAE2C" w14:textId="77777777" w:rsidR="00D90D71" w:rsidRPr="00C2587D" w:rsidRDefault="00D90D71" w:rsidP="002E392A">
            <w:pPr>
              <w:jc w:val="both"/>
              <w:rPr>
                <w:rFonts w:cs="Arial"/>
                <w:iCs/>
                <w:sz w:val="20"/>
                <w:szCs w:val="20"/>
              </w:rPr>
            </w:pPr>
            <w:r w:rsidRPr="00C2587D">
              <w:rPr>
                <w:rFonts w:cs="Arial"/>
                <w:iCs/>
                <w:sz w:val="20"/>
                <w:szCs w:val="20"/>
              </w:rPr>
              <w:t>С.5.1.2. Впровадження  технологій  е –урядування.</w:t>
            </w:r>
          </w:p>
          <w:p w14:paraId="3EB98CC6" w14:textId="77777777" w:rsidR="00D90D71" w:rsidRPr="00C2587D" w:rsidRDefault="00D90D71" w:rsidP="002E392A">
            <w:pPr>
              <w:jc w:val="both"/>
              <w:rPr>
                <w:rFonts w:cs="Arial"/>
                <w:iCs/>
                <w:sz w:val="20"/>
                <w:szCs w:val="20"/>
              </w:rPr>
            </w:pPr>
            <w:r w:rsidRPr="00C2587D">
              <w:rPr>
                <w:rFonts w:cs="Arial"/>
                <w:iCs/>
                <w:sz w:val="20"/>
                <w:szCs w:val="20"/>
              </w:rPr>
              <w:t>С.5.1.3. Створення планів розвитку електронного урядування та демократії, підключення електронних сервісів та інструментів (е-петиції, бюджет участі електронні консультації, відкрите  місто та ін.)</w:t>
            </w:r>
          </w:p>
          <w:p w14:paraId="6F5A6A02" w14:textId="77777777" w:rsidR="00D90D71" w:rsidRPr="00C2587D" w:rsidRDefault="00D90D71" w:rsidP="002E392A">
            <w:pPr>
              <w:jc w:val="both"/>
              <w:rPr>
                <w:rFonts w:cs="Arial"/>
                <w:iCs/>
                <w:sz w:val="20"/>
                <w:szCs w:val="20"/>
              </w:rPr>
            </w:pPr>
            <w:r w:rsidRPr="00C2587D">
              <w:rPr>
                <w:rFonts w:cs="Arial"/>
                <w:iCs/>
                <w:sz w:val="20"/>
                <w:szCs w:val="20"/>
              </w:rPr>
              <w:t>С.5.1.4. Покращення  інтерактивності веб-сайту міської ради.</w:t>
            </w:r>
          </w:p>
          <w:p w14:paraId="7AA1C602" w14:textId="77777777" w:rsidR="00D90D71" w:rsidRPr="00C2587D" w:rsidRDefault="00D90D71" w:rsidP="002E392A">
            <w:pPr>
              <w:jc w:val="both"/>
              <w:rPr>
                <w:rFonts w:cs="Arial"/>
                <w:iCs/>
                <w:sz w:val="20"/>
                <w:szCs w:val="20"/>
              </w:rPr>
            </w:pPr>
            <w:r w:rsidRPr="00C2587D">
              <w:rPr>
                <w:rFonts w:cs="Arial"/>
                <w:iCs/>
                <w:sz w:val="20"/>
                <w:szCs w:val="20"/>
              </w:rPr>
              <w:t>С.5.1.5. Подальше проведення  он-лайн трансляцій засідань органів місцевого самоврядування.</w:t>
            </w:r>
          </w:p>
          <w:p w14:paraId="2B364186" w14:textId="77777777" w:rsidR="00D90D71" w:rsidRPr="00C2587D" w:rsidRDefault="00D90D71" w:rsidP="002E392A">
            <w:pPr>
              <w:jc w:val="both"/>
              <w:rPr>
                <w:rFonts w:cs="Arial"/>
                <w:iCs/>
                <w:sz w:val="20"/>
                <w:szCs w:val="20"/>
              </w:rPr>
            </w:pPr>
            <w:r w:rsidRPr="00C2587D">
              <w:rPr>
                <w:rFonts w:cs="Arial"/>
                <w:iCs/>
                <w:sz w:val="20"/>
                <w:szCs w:val="20"/>
              </w:rPr>
              <w:t>С.5.1.6. Покращення інструменту  розміщення на  офіційному  веб-сайті основних актів міської ради, що регламентують роботу ОМС та розвиток громади.</w:t>
            </w:r>
          </w:p>
          <w:p w14:paraId="5B7C82D3" w14:textId="77777777" w:rsidR="00D90D71" w:rsidRPr="00C2587D" w:rsidRDefault="00D90D71" w:rsidP="002E392A">
            <w:pPr>
              <w:jc w:val="both"/>
              <w:rPr>
                <w:rFonts w:cs="Arial"/>
                <w:iCs/>
                <w:sz w:val="20"/>
                <w:szCs w:val="20"/>
              </w:rPr>
            </w:pPr>
            <w:r w:rsidRPr="00C2587D">
              <w:rPr>
                <w:rFonts w:cs="Arial"/>
                <w:iCs/>
                <w:sz w:val="20"/>
                <w:szCs w:val="20"/>
              </w:rPr>
              <w:t>С.5.1.7. Сприяння забезпеченню прозорості роботи депутатів міської ради.</w:t>
            </w:r>
          </w:p>
          <w:p w14:paraId="52B3CDFD" w14:textId="77777777" w:rsidR="00D90D71" w:rsidRPr="00C2587D" w:rsidRDefault="00D90D71" w:rsidP="002E392A">
            <w:pPr>
              <w:jc w:val="both"/>
              <w:rPr>
                <w:rFonts w:cs="Arial"/>
                <w:iCs/>
                <w:sz w:val="20"/>
                <w:szCs w:val="20"/>
              </w:rPr>
            </w:pPr>
            <w:r w:rsidRPr="00C2587D">
              <w:rPr>
                <w:rFonts w:cs="Arial"/>
                <w:iCs/>
                <w:sz w:val="20"/>
                <w:szCs w:val="20"/>
              </w:rPr>
              <w:t>С.5.1.8. Забезпечення відкритості  інформації про роботу  міської ради та її виконавчих органів.</w:t>
            </w:r>
          </w:p>
          <w:p w14:paraId="56F24DFB" w14:textId="77777777" w:rsidR="00D90D71" w:rsidRPr="00C2587D" w:rsidRDefault="00D90D71" w:rsidP="002E392A">
            <w:pPr>
              <w:jc w:val="both"/>
              <w:rPr>
                <w:rFonts w:cs="Arial"/>
                <w:iCs/>
                <w:sz w:val="20"/>
                <w:szCs w:val="20"/>
              </w:rPr>
            </w:pPr>
            <w:r w:rsidRPr="00C2587D">
              <w:rPr>
                <w:rFonts w:cs="Arial"/>
                <w:iCs/>
                <w:sz w:val="20"/>
                <w:szCs w:val="20"/>
              </w:rPr>
              <w:t>С.5.1.9. Забезпечення відкритості інформації про прийом  мешканців громади.</w:t>
            </w:r>
          </w:p>
          <w:p w14:paraId="28A685AE" w14:textId="77777777" w:rsidR="005734DC" w:rsidRPr="00C2587D" w:rsidRDefault="00D90D71" w:rsidP="002E392A">
            <w:pPr>
              <w:spacing w:before="20" w:after="20"/>
              <w:jc w:val="both"/>
              <w:rPr>
                <w:rFonts w:cs="Arial"/>
                <w:sz w:val="20"/>
                <w:szCs w:val="20"/>
              </w:rPr>
            </w:pPr>
            <w:r w:rsidRPr="00C2587D">
              <w:rPr>
                <w:rFonts w:cs="Arial"/>
                <w:iCs/>
                <w:sz w:val="20"/>
                <w:szCs w:val="20"/>
              </w:rPr>
              <w:t>С.5.1.10.Забезпечення підзвітності органів  і посадових осіб перед громадою.</w:t>
            </w:r>
          </w:p>
        </w:tc>
      </w:tr>
      <w:tr w:rsidR="005734DC" w:rsidRPr="00C2587D" w14:paraId="17B23EF4" w14:textId="77777777" w:rsidTr="00F21066">
        <w:trPr>
          <w:trHeight w:val="312"/>
        </w:trPr>
        <w:tc>
          <w:tcPr>
            <w:tcW w:w="1975" w:type="dxa"/>
            <w:vMerge/>
            <w:vAlign w:val="center"/>
          </w:tcPr>
          <w:p w14:paraId="512E79FC" w14:textId="77777777" w:rsidR="005734DC" w:rsidRPr="00C2587D" w:rsidRDefault="005734DC" w:rsidP="002E392A">
            <w:pPr>
              <w:rPr>
                <w:rFonts w:cs="Arial"/>
                <w:b/>
                <w:sz w:val="20"/>
                <w:szCs w:val="20"/>
                <w:lang w:eastAsia="uk-UA"/>
              </w:rPr>
            </w:pPr>
          </w:p>
        </w:tc>
        <w:tc>
          <w:tcPr>
            <w:tcW w:w="2693" w:type="dxa"/>
            <w:vMerge/>
            <w:vAlign w:val="center"/>
          </w:tcPr>
          <w:p w14:paraId="7F0AA650" w14:textId="77777777" w:rsidR="005734DC" w:rsidRPr="00C2587D" w:rsidRDefault="005734DC" w:rsidP="002E392A">
            <w:pPr>
              <w:rPr>
                <w:rFonts w:cs="Arial"/>
                <w:b/>
                <w:sz w:val="20"/>
                <w:szCs w:val="22"/>
                <w:lang w:eastAsia="uk-UA"/>
              </w:rPr>
            </w:pPr>
          </w:p>
        </w:tc>
        <w:tc>
          <w:tcPr>
            <w:tcW w:w="2840" w:type="dxa"/>
            <w:vAlign w:val="center"/>
          </w:tcPr>
          <w:p w14:paraId="569B4F3C" w14:textId="77777777" w:rsidR="005734DC" w:rsidRPr="00C2587D" w:rsidRDefault="005734DC" w:rsidP="002E392A">
            <w:pPr>
              <w:rPr>
                <w:rFonts w:cs="Arial"/>
                <w:bCs/>
                <w:color w:val="000000"/>
                <w:sz w:val="20"/>
                <w:szCs w:val="20"/>
                <w:lang w:eastAsia="uk-UA"/>
              </w:rPr>
            </w:pPr>
            <w:r w:rsidRPr="00C2587D">
              <w:rPr>
                <w:rFonts w:cs="Arial"/>
                <w:bCs/>
                <w:sz w:val="20"/>
                <w:szCs w:val="20"/>
              </w:rPr>
              <w:t>С.5.2. Створення активного громадського середовища</w:t>
            </w:r>
          </w:p>
        </w:tc>
        <w:tc>
          <w:tcPr>
            <w:tcW w:w="7655" w:type="dxa"/>
            <w:shd w:val="clear" w:color="auto" w:fill="auto"/>
          </w:tcPr>
          <w:p w14:paraId="1F3B9A86" w14:textId="77777777" w:rsidR="00D90D71" w:rsidRPr="00C2587D" w:rsidRDefault="009C698A" w:rsidP="002E392A">
            <w:pPr>
              <w:jc w:val="both"/>
              <w:rPr>
                <w:rFonts w:cs="Arial"/>
                <w:iCs/>
                <w:sz w:val="20"/>
                <w:szCs w:val="20"/>
              </w:rPr>
            </w:pPr>
            <w:r w:rsidRPr="00C2587D">
              <w:rPr>
                <w:rFonts w:cs="Arial"/>
                <w:iCs/>
                <w:sz w:val="20"/>
                <w:szCs w:val="20"/>
              </w:rPr>
              <w:t xml:space="preserve">С.5.2.1. </w:t>
            </w:r>
            <w:r w:rsidR="00D90D71" w:rsidRPr="00C2587D">
              <w:rPr>
                <w:rFonts w:cs="Arial"/>
                <w:iCs/>
                <w:sz w:val="20"/>
                <w:szCs w:val="20"/>
              </w:rPr>
              <w:t>Активне залучення мешканців до планування та ухвалення рішень ОМС Жмеринської міської територіальної громади.</w:t>
            </w:r>
          </w:p>
          <w:p w14:paraId="4CA3C578" w14:textId="77777777" w:rsidR="00D90D71" w:rsidRPr="00C2587D" w:rsidRDefault="009C698A" w:rsidP="002E392A">
            <w:pPr>
              <w:jc w:val="both"/>
              <w:rPr>
                <w:rFonts w:cs="Arial"/>
                <w:iCs/>
                <w:sz w:val="20"/>
                <w:szCs w:val="20"/>
              </w:rPr>
            </w:pPr>
            <w:r w:rsidRPr="00C2587D">
              <w:rPr>
                <w:rFonts w:cs="Arial"/>
                <w:iCs/>
                <w:sz w:val="20"/>
                <w:szCs w:val="20"/>
              </w:rPr>
              <w:t>С.5.2.</w:t>
            </w:r>
            <w:r w:rsidR="000D4BE6" w:rsidRPr="00C2587D">
              <w:rPr>
                <w:rFonts w:cs="Arial"/>
                <w:iCs/>
                <w:sz w:val="20"/>
                <w:szCs w:val="20"/>
              </w:rPr>
              <w:t>2</w:t>
            </w:r>
            <w:r w:rsidRPr="00C2587D">
              <w:rPr>
                <w:rFonts w:cs="Arial"/>
                <w:iCs/>
                <w:sz w:val="20"/>
                <w:szCs w:val="20"/>
              </w:rPr>
              <w:t xml:space="preserve">. </w:t>
            </w:r>
            <w:r w:rsidR="00D90D71" w:rsidRPr="00C2587D">
              <w:rPr>
                <w:rFonts w:cs="Arial"/>
                <w:iCs/>
                <w:sz w:val="20"/>
                <w:szCs w:val="20"/>
              </w:rPr>
              <w:t>Покращення правового регулювання інструментів місцевої демократії, а саме:  порядку внесення  місцевої ініціативи.</w:t>
            </w:r>
          </w:p>
          <w:p w14:paraId="41DB6EAD" w14:textId="77777777" w:rsidR="00D90D71" w:rsidRPr="00C2587D" w:rsidRDefault="009C698A" w:rsidP="002E392A">
            <w:pPr>
              <w:jc w:val="both"/>
              <w:rPr>
                <w:rFonts w:cs="Arial"/>
                <w:iCs/>
                <w:sz w:val="20"/>
                <w:szCs w:val="20"/>
              </w:rPr>
            </w:pPr>
            <w:r w:rsidRPr="00C2587D">
              <w:rPr>
                <w:rFonts w:cs="Arial"/>
                <w:iCs/>
                <w:sz w:val="20"/>
                <w:szCs w:val="20"/>
              </w:rPr>
              <w:t>С.5.2.</w:t>
            </w:r>
            <w:r w:rsidR="000D4BE6" w:rsidRPr="00C2587D">
              <w:rPr>
                <w:rFonts w:cs="Arial"/>
                <w:iCs/>
                <w:sz w:val="20"/>
                <w:szCs w:val="20"/>
              </w:rPr>
              <w:t>3</w:t>
            </w:r>
            <w:r w:rsidRPr="00C2587D">
              <w:rPr>
                <w:rFonts w:cs="Arial"/>
                <w:iCs/>
                <w:sz w:val="20"/>
                <w:szCs w:val="20"/>
              </w:rPr>
              <w:t xml:space="preserve">. </w:t>
            </w:r>
            <w:r w:rsidR="00D90D71" w:rsidRPr="00C2587D">
              <w:rPr>
                <w:rFonts w:cs="Arial"/>
                <w:iCs/>
                <w:sz w:val="20"/>
                <w:szCs w:val="20"/>
              </w:rPr>
              <w:t>Удосконалення та покращення  правового регулювання громадських слухань.</w:t>
            </w:r>
          </w:p>
          <w:p w14:paraId="1A31B3C6" w14:textId="77777777" w:rsidR="00D90D71" w:rsidRPr="00C2587D" w:rsidRDefault="009C698A" w:rsidP="002E392A">
            <w:pPr>
              <w:jc w:val="both"/>
              <w:rPr>
                <w:rFonts w:cs="Arial"/>
                <w:iCs/>
                <w:sz w:val="20"/>
                <w:szCs w:val="20"/>
              </w:rPr>
            </w:pPr>
            <w:r w:rsidRPr="00C2587D">
              <w:rPr>
                <w:rFonts w:cs="Arial"/>
                <w:iCs/>
                <w:sz w:val="20"/>
                <w:szCs w:val="20"/>
              </w:rPr>
              <w:t>С.5.2.</w:t>
            </w:r>
            <w:r w:rsidR="000D4BE6" w:rsidRPr="00C2587D">
              <w:rPr>
                <w:rFonts w:cs="Arial"/>
                <w:iCs/>
                <w:sz w:val="20"/>
                <w:szCs w:val="20"/>
              </w:rPr>
              <w:t>4</w:t>
            </w:r>
            <w:r w:rsidRPr="00C2587D">
              <w:rPr>
                <w:rFonts w:cs="Arial"/>
                <w:iCs/>
                <w:sz w:val="20"/>
                <w:szCs w:val="20"/>
              </w:rPr>
              <w:t xml:space="preserve">. </w:t>
            </w:r>
            <w:r w:rsidR="00D90D71" w:rsidRPr="00C2587D">
              <w:rPr>
                <w:rFonts w:cs="Arial"/>
                <w:iCs/>
                <w:sz w:val="20"/>
                <w:szCs w:val="20"/>
              </w:rPr>
              <w:t>Удосконалення  та забезпечення проведення  загальних зборів громадян за місцем  проживання.</w:t>
            </w:r>
          </w:p>
          <w:p w14:paraId="7FCA6CFF" w14:textId="77777777" w:rsidR="00D90D71" w:rsidRPr="00C2587D" w:rsidRDefault="009C698A" w:rsidP="002E392A">
            <w:pPr>
              <w:jc w:val="both"/>
              <w:rPr>
                <w:rFonts w:cs="Arial"/>
                <w:iCs/>
                <w:sz w:val="20"/>
                <w:szCs w:val="20"/>
              </w:rPr>
            </w:pPr>
            <w:r w:rsidRPr="00C2587D">
              <w:rPr>
                <w:rFonts w:cs="Arial"/>
                <w:iCs/>
                <w:sz w:val="20"/>
                <w:szCs w:val="20"/>
              </w:rPr>
              <w:t>С.5.2.</w:t>
            </w:r>
            <w:r w:rsidR="000D4BE6" w:rsidRPr="00C2587D">
              <w:rPr>
                <w:rFonts w:cs="Arial"/>
                <w:iCs/>
                <w:sz w:val="20"/>
                <w:szCs w:val="20"/>
              </w:rPr>
              <w:t>5.</w:t>
            </w:r>
            <w:r w:rsidRPr="00C2587D">
              <w:rPr>
                <w:rFonts w:cs="Arial"/>
                <w:iCs/>
                <w:sz w:val="20"/>
                <w:szCs w:val="20"/>
              </w:rPr>
              <w:t xml:space="preserve"> </w:t>
            </w:r>
            <w:r w:rsidR="00D90D71" w:rsidRPr="00C2587D">
              <w:rPr>
                <w:rFonts w:cs="Arial"/>
                <w:iCs/>
                <w:sz w:val="20"/>
                <w:szCs w:val="20"/>
              </w:rPr>
              <w:t>Проведення  та удосконалення правового регулювання  публічних  та  електронних консультацій з громадськістю.</w:t>
            </w:r>
          </w:p>
          <w:p w14:paraId="13C46A13" w14:textId="77777777" w:rsidR="00D90D71" w:rsidRPr="00C2587D" w:rsidRDefault="009C698A" w:rsidP="002E392A">
            <w:pPr>
              <w:jc w:val="both"/>
              <w:rPr>
                <w:rFonts w:cs="Arial"/>
                <w:iCs/>
                <w:sz w:val="20"/>
                <w:szCs w:val="20"/>
              </w:rPr>
            </w:pPr>
            <w:r w:rsidRPr="00C2587D">
              <w:rPr>
                <w:rFonts w:cs="Arial"/>
                <w:iCs/>
                <w:sz w:val="20"/>
                <w:szCs w:val="20"/>
              </w:rPr>
              <w:t>С.5.2.</w:t>
            </w:r>
            <w:r w:rsidR="000D4BE6" w:rsidRPr="00C2587D">
              <w:rPr>
                <w:rFonts w:cs="Arial"/>
                <w:iCs/>
                <w:sz w:val="20"/>
                <w:szCs w:val="20"/>
              </w:rPr>
              <w:t>6</w:t>
            </w:r>
            <w:r w:rsidRPr="00C2587D">
              <w:rPr>
                <w:rFonts w:cs="Arial"/>
                <w:iCs/>
                <w:sz w:val="20"/>
                <w:szCs w:val="20"/>
              </w:rPr>
              <w:t xml:space="preserve">. </w:t>
            </w:r>
            <w:r w:rsidR="00D90D71" w:rsidRPr="00C2587D">
              <w:rPr>
                <w:rFonts w:cs="Arial"/>
                <w:iCs/>
                <w:sz w:val="20"/>
                <w:szCs w:val="20"/>
              </w:rPr>
              <w:t>Покращення  правового регулювання електронних петицій.</w:t>
            </w:r>
          </w:p>
          <w:p w14:paraId="7126230E" w14:textId="77777777" w:rsidR="00D90D71" w:rsidRPr="00C2587D" w:rsidRDefault="009C698A" w:rsidP="002E392A">
            <w:pPr>
              <w:jc w:val="both"/>
              <w:rPr>
                <w:rFonts w:cs="Arial"/>
                <w:iCs/>
                <w:sz w:val="20"/>
                <w:szCs w:val="20"/>
              </w:rPr>
            </w:pPr>
            <w:r w:rsidRPr="00C2587D">
              <w:rPr>
                <w:rFonts w:cs="Arial"/>
                <w:iCs/>
                <w:sz w:val="20"/>
                <w:szCs w:val="20"/>
              </w:rPr>
              <w:t>С.5.2.</w:t>
            </w:r>
            <w:r w:rsidR="000D4BE6" w:rsidRPr="00C2587D">
              <w:rPr>
                <w:rFonts w:cs="Arial"/>
                <w:iCs/>
                <w:sz w:val="20"/>
                <w:szCs w:val="20"/>
              </w:rPr>
              <w:t>7</w:t>
            </w:r>
            <w:r w:rsidRPr="00C2587D">
              <w:rPr>
                <w:rFonts w:cs="Arial"/>
                <w:iCs/>
                <w:sz w:val="20"/>
                <w:szCs w:val="20"/>
              </w:rPr>
              <w:t xml:space="preserve">. </w:t>
            </w:r>
            <w:r w:rsidR="00D90D71" w:rsidRPr="00C2587D">
              <w:rPr>
                <w:rFonts w:cs="Arial"/>
                <w:iCs/>
                <w:sz w:val="20"/>
                <w:szCs w:val="20"/>
              </w:rPr>
              <w:t>Проведення  та удосконалення правового регулювання громадського бюджету.</w:t>
            </w:r>
          </w:p>
          <w:p w14:paraId="5F1BCD37" w14:textId="77777777" w:rsidR="00D90D71" w:rsidRPr="00C2587D" w:rsidRDefault="009C698A" w:rsidP="002E392A">
            <w:pPr>
              <w:jc w:val="both"/>
              <w:rPr>
                <w:rFonts w:cs="Arial"/>
                <w:iCs/>
                <w:sz w:val="20"/>
                <w:szCs w:val="20"/>
              </w:rPr>
            </w:pPr>
            <w:r w:rsidRPr="00C2587D">
              <w:rPr>
                <w:rFonts w:cs="Arial"/>
                <w:iCs/>
                <w:sz w:val="20"/>
                <w:szCs w:val="20"/>
              </w:rPr>
              <w:t>С.5.2.</w:t>
            </w:r>
            <w:r w:rsidR="000D4BE6" w:rsidRPr="00C2587D">
              <w:rPr>
                <w:rFonts w:cs="Arial"/>
                <w:iCs/>
                <w:sz w:val="20"/>
                <w:szCs w:val="20"/>
              </w:rPr>
              <w:t>8</w:t>
            </w:r>
            <w:r w:rsidRPr="00C2587D">
              <w:rPr>
                <w:rFonts w:cs="Arial"/>
                <w:iCs/>
                <w:sz w:val="20"/>
                <w:szCs w:val="20"/>
              </w:rPr>
              <w:t xml:space="preserve">. </w:t>
            </w:r>
            <w:r w:rsidR="00D90D71" w:rsidRPr="00C2587D">
              <w:rPr>
                <w:rFonts w:cs="Arial"/>
                <w:iCs/>
                <w:sz w:val="20"/>
                <w:szCs w:val="20"/>
              </w:rPr>
              <w:t>Проведення громадської експертизи діяльності  виконавчих органів міської ради.</w:t>
            </w:r>
          </w:p>
          <w:p w14:paraId="489C9E02" w14:textId="77777777" w:rsidR="00D90D71" w:rsidRPr="00C2587D" w:rsidRDefault="009C698A" w:rsidP="002E392A">
            <w:pPr>
              <w:jc w:val="both"/>
              <w:rPr>
                <w:rFonts w:cs="Arial"/>
                <w:iCs/>
                <w:sz w:val="20"/>
                <w:szCs w:val="20"/>
              </w:rPr>
            </w:pPr>
            <w:r w:rsidRPr="00C2587D">
              <w:rPr>
                <w:rFonts w:cs="Arial"/>
                <w:iCs/>
                <w:sz w:val="20"/>
                <w:szCs w:val="20"/>
              </w:rPr>
              <w:t>С.5.2.</w:t>
            </w:r>
            <w:r w:rsidR="000D4BE6" w:rsidRPr="00C2587D">
              <w:rPr>
                <w:rFonts w:cs="Arial"/>
                <w:iCs/>
                <w:sz w:val="20"/>
                <w:szCs w:val="20"/>
              </w:rPr>
              <w:t>9</w:t>
            </w:r>
            <w:r w:rsidRPr="00C2587D">
              <w:rPr>
                <w:rFonts w:cs="Arial"/>
                <w:iCs/>
                <w:sz w:val="20"/>
                <w:szCs w:val="20"/>
              </w:rPr>
              <w:t xml:space="preserve">. </w:t>
            </w:r>
            <w:r w:rsidR="00D90D71" w:rsidRPr="00C2587D">
              <w:rPr>
                <w:rFonts w:cs="Arial"/>
                <w:iCs/>
                <w:sz w:val="20"/>
                <w:szCs w:val="20"/>
              </w:rPr>
              <w:t>Покращення  інтерактивності веб-сайту міської ради.</w:t>
            </w:r>
          </w:p>
          <w:p w14:paraId="3B668333" w14:textId="77777777" w:rsidR="00D90D71" w:rsidRPr="00C2587D" w:rsidRDefault="009C698A" w:rsidP="002E392A">
            <w:pPr>
              <w:jc w:val="both"/>
              <w:rPr>
                <w:rFonts w:cs="Arial"/>
                <w:iCs/>
                <w:sz w:val="20"/>
                <w:szCs w:val="20"/>
              </w:rPr>
            </w:pPr>
            <w:r w:rsidRPr="00C2587D">
              <w:rPr>
                <w:rFonts w:cs="Arial"/>
                <w:iCs/>
                <w:sz w:val="20"/>
                <w:szCs w:val="20"/>
              </w:rPr>
              <w:t>С.5.2.1</w:t>
            </w:r>
            <w:r w:rsidR="000D4BE6" w:rsidRPr="00C2587D">
              <w:rPr>
                <w:rFonts w:cs="Arial"/>
                <w:iCs/>
                <w:sz w:val="20"/>
                <w:szCs w:val="20"/>
              </w:rPr>
              <w:t>0</w:t>
            </w:r>
            <w:r w:rsidRPr="00C2587D">
              <w:rPr>
                <w:rFonts w:cs="Arial"/>
                <w:iCs/>
                <w:sz w:val="20"/>
                <w:szCs w:val="20"/>
              </w:rPr>
              <w:t xml:space="preserve">. </w:t>
            </w:r>
            <w:r w:rsidR="00D90D71" w:rsidRPr="00C2587D">
              <w:rPr>
                <w:rFonts w:cs="Arial"/>
                <w:iCs/>
                <w:sz w:val="20"/>
                <w:szCs w:val="20"/>
              </w:rPr>
              <w:t>Підтримка та розвиток діяльності органів самоорганізації населення.</w:t>
            </w:r>
          </w:p>
          <w:p w14:paraId="66C41883" w14:textId="77777777" w:rsidR="00D90D71" w:rsidRPr="00C2587D" w:rsidRDefault="009C698A" w:rsidP="002E392A">
            <w:pPr>
              <w:jc w:val="both"/>
              <w:rPr>
                <w:rFonts w:cs="Arial"/>
                <w:iCs/>
                <w:sz w:val="20"/>
                <w:szCs w:val="20"/>
              </w:rPr>
            </w:pPr>
            <w:r w:rsidRPr="00C2587D">
              <w:rPr>
                <w:rFonts w:cs="Arial"/>
                <w:iCs/>
                <w:sz w:val="20"/>
                <w:szCs w:val="20"/>
              </w:rPr>
              <w:t>С.5.2.1</w:t>
            </w:r>
            <w:r w:rsidR="000D4BE6" w:rsidRPr="00C2587D">
              <w:rPr>
                <w:rFonts w:cs="Arial"/>
                <w:iCs/>
                <w:sz w:val="20"/>
                <w:szCs w:val="20"/>
              </w:rPr>
              <w:t>1</w:t>
            </w:r>
            <w:r w:rsidRPr="00C2587D">
              <w:rPr>
                <w:rFonts w:cs="Arial"/>
                <w:iCs/>
                <w:sz w:val="20"/>
                <w:szCs w:val="20"/>
              </w:rPr>
              <w:t xml:space="preserve">. </w:t>
            </w:r>
            <w:r w:rsidR="00D90D71" w:rsidRPr="00C2587D">
              <w:rPr>
                <w:rFonts w:cs="Arial"/>
                <w:iCs/>
                <w:sz w:val="20"/>
                <w:szCs w:val="20"/>
              </w:rPr>
              <w:t>Сприяння роботі  консультативно-дорадчих органів.</w:t>
            </w:r>
          </w:p>
          <w:p w14:paraId="0BED4364" w14:textId="77777777" w:rsidR="00D90D71" w:rsidRPr="00C2587D" w:rsidRDefault="009C698A" w:rsidP="002E392A">
            <w:pPr>
              <w:jc w:val="both"/>
              <w:rPr>
                <w:rFonts w:cs="Arial"/>
                <w:iCs/>
                <w:sz w:val="20"/>
                <w:szCs w:val="20"/>
              </w:rPr>
            </w:pPr>
            <w:r w:rsidRPr="00C2587D">
              <w:rPr>
                <w:rFonts w:cs="Arial"/>
                <w:iCs/>
                <w:sz w:val="20"/>
                <w:szCs w:val="20"/>
              </w:rPr>
              <w:t>С.5.2.1</w:t>
            </w:r>
            <w:r w:rsidR="000D4BE6" w:rsidRPr="00C2587D">
              <w:rPr>
                <w:rFonts w:cs="Arial"/>
                <w:iCs/>
                <w:sz w:val="20"/>
                <w:szCs w:val="20"/>
              </w:rPr>
              <w:t>2</w:t>
            </w:r>
            <w:r w:rsidRPr="00C2587D">
              <w:rPr>
                <w:rFonts w:cs="Arial"/>
                <w:iCs/>
                <w:sz w:val="20"/>
                <w:szCs w:val="20"/>
              </w:rPr>
              <w:t xml:space="preserve">. </w:t>
            </w:r>
            <w:r w:rsidR="00D90D71" w:rsidRPr="00C2587D">
              <w:rPr>
                <w:rFonts w:cs="Arial"/>
                <w:iCs/>
                <w:sz w:val="20"/>
                <w:szCs w:val="20"/>
              </w:rPr>
              <w:t>Ухвалення міських програм сприяння  розвитку громадянського суспільства та громадської участі.</w:t>
            </w:r>
          </w:p>
          <w:p w14:paraId="283F1917" w14:textId="77777777" w:rsidR="005734DC" w:rsidRPr="00C2587D" w:rsidRDefault="000D4BE6" w:rsidP="002E392A">
            <w:pPr>
              <w:spacing w:before="20" w:after="20"/>
              <w:jc w:val="both"/>
              <w:rPr>
                <w:rFonts w:cs="Arial"/>
                <w:sz w:val="20"/>
                <w:szCs w:val="20"/>
              </w:rPr>
            </w:pPr>
            <w:r w:rsidRPr="00C2587D">
              <w:rPr>
                <w:rFonts w:cs="Arial"/>
                <w:iCs/>
                <w:sz w:val="20"/>
                <w:szCs w:val="20"/>
              </w:rPr>
              <w:t xml:space="preserve">С.5.2.13. </w:t>
            </w:r>
            <w:r w:rsidR="00D90D71" w:rsidRPr="00C2587D">
              <w:rPr>
                <w:rFonts w:cs="Arial"/>
                <w:iCs/>
                <w:sz w:val="20"/>
                <w:szCs w:val="20"/>
              </w:rPr>
              <w:t>Залучення мешканців до формування місцевого бюджету/ бюджетний регламент.</w:t>
            </w:r>
          </w:p>
        </w:tc>
      </w:tr>
      <w:bookmarkEnd w:id="13"/>
    </w:tbl>
    <w:p w14:paraId="2C25E7F0" w14:textId="77777777" w:rsidR="0069511A" w:rsidRPr="00C2587D" w:rsidRDefault="0069511A" w:rsidP="00F5412B">
      <w:pPr>
        <w:jc w:val="center"/>
        <w:rPr>
          <w:rFonts w:cs="Arial"/>
          <w:color w:val="000000"/>
          <w:szCs w:val="22"/>
          <w:lang w:eastAsia="uk-UA"/>
        </w:rPr>
      </w:pPr>
    </w:p>
    <w:p w14:paraId="504F380D" w14:textId="77777777" w:rsidR="0069511A" w:rsidRPr="00C2587D" w:rsidRDefault="0069511A" w:rsidP="00F5412B">
      <w:pPr>
        <w:jc w:val="center"/>
        <w:rPr>
          <w:rFonts w:cs="Arial"/>
          <w:color w:val="000000"/>
          <w:szCs w:val="22"/>
          <w:lang w:eastAsia="uk-UA"/>
        </w:rPr>
      </w:pPr>
    </w:p>
    <w:p w14:paraId="0A261F8C" w14:textId="77777777" w:rsidR="00F5412B" w:rsidRPr="00C2587D" w:rsidRDefault="00F5412B" w:rsidP="00835FD9">
      <w:pPr>
        <w:pStyle w:val="af1"/>
        <w:spacing w:before="120"/>
        <w:rPr>
          <w:rFonts w:cs="Arial"/>
          <w:lang w:val="uk-UA"/>
        </w:rPr>
        <w:sectPr w:rsidR="00F5412B" w:rsidRPr="00C2587D" w:rsidSect="00C60A15">
          <w:pgSz w:w="16838" w:h="11906" w:orient="landscape" w:code="9"/>
          <w:pgMar w:top="1134" w:right="1134" w:bottom="1134" w:left="1134" w:header="720" w:footer="720" w:gutter="0"/>
          <w:cols w:space="708"/>
          <w:docGrid w:linePitch="360"/>
        </w:sectPr>
      </w:pPr>
    </w:p>
    <w:p w14:paraId="7394E2A5" w14:textId="72CD4B01" w:rsidR="005C6249" w:rsidRPr="00C2587D" w:rsidRDefault="0022642C" w:rsidP="00077603">
      <w:pPr>
        <w:pStyle w:val="10"/>
      </w:pPr>
      <w:bookmarkStart w:id="17" w:name="_Toc309511497"/>
      <w:bookmarkStart w:id="18" w:name="_Toc435013310"/>
      <w:bookmarkStart w:id="19" w:name="_Toc440997270"/>
      <w:bookmarkStart w:id="20" w:name="_Toc1743578"/>
      <w:r w:rsidRPr="00C2587D">
        <w:lastRenderedPageBreak/>
        <w:t>3</w:t>
      </w:r>
      <w:r w:rsidR="006D08C4" w:rsidRPr="00C2587D">
        <w:t>.</w:t>
      </w:r>
      <w:r w:rsidR="00036034" w:rsidRPr="00C2587D">
        <w:tab/>
      </w:r>
      <w:r w:rsidR="004C0F91" w:rsidRPr="00C2587D">
        <w:t>Стратегічні напрямки</w:t>
      </w:r>
      <w:r w:rsidR="00017658" w:rsidRPr="00C2587D">
        <w:t xml:space="preserve"> </w:t>
      </w:r>
      <w:r w:rsidR="00E740DC" w:rsidRPr="00C2587D">
        <w:t>П</w:t>
      </w:r>
      <w:r w:rsidR="0092749E" w:rsidRPr="00C2587D">
        <w:t xml:space="preserve">лану </w:t>
      </w:r>
      <w:r w:rsidR="00426704" w:rsidRPr="00C2587D">
        <w:t xml:space="preserve">заходів з </w:t>
      </w:r>
      <w:r w:rsidR="0092749E" w:rsidRPr="00C2587D">
        <w:t xml:space="preserve">реалізації </w:t>
      </w:r>
      <w:r w:rsidRPr="00C2587D">
        <w:t>у 2025-2028</w:t>
      </w:r>
      <w:r w:rsidR="00426704" w:rsidRPr="00C2587D">
        <w:t xml:space="preserve"> роках </w:t>
      </w:r>
      <w:r w:rsidR="0092749E" w:rsidRPr="00C2587D">
        <w:t>Стратегії</w:t>
      </w:r>
      <w:bookmarkEnd w:id="17"/>
      <w:bookmarkEnd w:id="18"/>
      <w:bookmarkEnd w:id="19"/>
      <w:r w:rsidR="003C3C49" w:rsidRPr="00C2587D">
        <w:t xml:space="preserve"> розвитку </w:t>
      </w:r>
      <w:r w:rsidR="00426704" w:rsidRPr="00C2587D">
        <w:t>Жмеринської міської територіальної громади до 2030 р</w:t>
      </w:r>
      <w:r w:rsidR="003C3C49" w:rsidRPr="00C2587D">
        <w:t>.</w:t>
      </w:r>
      <w:bookmarkEnd w:id="20"/>
    </w:p>
    <w:p w14:paraId="31C7DB43" w14:textId="38D343EB" w:rsidR="00847E8D" w:rsidRPr="00C2587D" w:rsidRDefault="0022642C" w:rsidP="00077603">
      <w:pPr>
        <w:pStyle w:val="2"/>
      </w:pPr>
      <w:bookmarkStart w:id="21" w:name="_Toc1743579"/>
      <w:r w:rsidRPr="00C2587D">
        <w:t>3</w:t>
      </w:r>
      <w:r w:rsidR="006D08C4" w:rsidRPr="00C2587D">
        <w:t>.1.</w:t>
      </w:r>
      <w:r w:rsidR="005D39E8" w:rsidRPr="00C2587D">
        <w:tab/>
      </w:r>
      <w:r w:rsidR="002E705C">
        <w:t xml:space="preserve">Програма </w:t>
      </w:r>
      <w:r w:rsidR="00847E8D" w:rsidRPr="00C2587D">
        <w:t>Стратегічн</w:t>
      </w:r>
      <w:r w:rsidR="002E705C">
        <w:t>ого</w:t>
      </w:r>
      <w:r w:rsidR="004C0F91" w:rsidRPr="00C2587D">
        <w:t xml:space="preserve"> напрям</w:t>
      </w:r>
      <w:r w:rsidR="002E705C">
        <w:t>у</w:t>
      </w:r>
      <w:r w:rsidR="00847E8D" w:rsidRPr="00C2587D">
        <w:t xml:space="preserve">  А: </w:t>
      </w:r>
      <w:bookmarkEnd w:id="21"/>
      <w:r w:rsidR="00426704" w:rsidRPr="00C2587D">
        <w:t xml:space="preserve"> </w:t>
      </w:r>
      <w:r w:rsidR="002E705C">
        <w:t>«</w:t>
      </w:r>
      <w:r w:rsidR="00426704" w:rsidRPr="00C2587D">
        <w:t>Інвестиційно приваблива громада із розвиненим експортно - орієнтованим бізнесом</w:t>
      </w:r>
      <w:r w:rsidR="002E705C">
        <w:t>»</w:t>
      </w:r>
    </w:p>
    <w:p w14:paraId="5B3374FA" w14:textId="5301F21F" w:rsidR="00743089" w:rsidRPr="00C2587D" w:rsidRDefault="004C0F91" w:rsidP="00426704">
      <w:pPr>
        <w:spacing w:before="120"/>
        <w:ind w:firstLine="567"/>
        <w:jc w:val="both"/>
        <w:rPr>
          <w:rFonts w:cs="Arial"/>
          <w:szCs w:val="28"/>
        </w:rPr>
      </w:pPr>
      <w:r w:rsidRPr="00C2587D">
        <w:rPr>
          <w:rFonts w:cs="Arial"/>
          <w:szCs w:val="28"/>
        </w:rPr>
        <w:t>Основна мета напряму</w:t>
      </w:r>
      <w:r w:rsidR="00743089" w:rsidRPr="00C2587D">
        <w:rPr>
          <w:rFonts w:cs="Arial"/>
          <w:szCs w:val="28"/>
        </w:rPr>
        <w:t xml:space="preserve"> – </w:t>
      </w:r>
      <w:r w:rsidR="003F14B2" w:rsidRPr="00C2587D">
        <w:rPr>
          <w:rFonts w:cs="Arial"/>
          <w:szCs w:val="28"/>
        </w:rPr>
        <w:t xml:space="preserve">забезпечення </w:t>
      </w:r>
      <w:r w:rsidR="00743089" w:rsidRPr="00C2587D">
        <w:rPr>
          <w:rFonts w:cs="Arial"/>
          <w:szCs w:val="28"/>
        </w:rPr>
        <w:t xml:space="preserve">умов для </w:t>
      </w:r>
      <w:r w:rsidR="003C3C49" w:rsidRPr="00C2587D">
        <w:rPr>
          <w:rFonts w:cs="Arial"/>
          <w:szCs w:val="28"/>
        </w:rPr>
        <w:t>створення нових робочих місць, підвищення рівня зайнятості та рівня доходів населення</w:t>
      </w:r>
      <w:r w:rsidR="00743089" w:rsidRPr="00C2587D">
        <w:rPr>
          <w:rFonts w:cs="Arial"/>
          <w:szCs w:val="28"/>
        </w:rPr>
        <w:t>.</w:t>
      </w:r>
    </w:p>
    <w:p w14:paraId="192EDF5F" w14:textId="06DFEEC1" w:rsidR="00743089" w:rsidRPr="00C2587D" w:rsidRDefault="00743089" w:rsidP="003532C9">
      <w:pPr>
        <w:spacing w:before="120"/>
        <w:ind w:firstLine="567"/>
        <w:jc w:val="both"/>
        <w:rPr>
          <w:rFonts w:cs="Arial"/>
          <w:szCs w:val="28"/>
        </w:rPr>
      </w:pPr>
      <w:r w:rsidRPr="00C2587D">
        <w:rPr>
          <w:rFonts w:cs="Arial"/>
          <w:szCs w:val="28"/>
        </w:rPr>
        <w:t>Д</w:t>
      </w:r>
      <w:r w:rsidR="004C0F91" w:rsidRPr="00C2587D">
        <w:rPr>
          <w:rFonts w:cs="Arial"/>
          <w:szCs w:val="28"/>
        </w:rPr>
        <w:t>осягнення цього напряму</w:t>
      </w:r>
      <w:r w:rsidR="002E1AC9" w:rsidRPr="00C2587D">
        <w:rPr>
          <w:rFonts w:cs="Arial"/>
          <w:szCs w:val="28"/>
        </w:rPr>
        <w:t xml:space="preserve"> у період 202</w:t>
      </w:r>
      <w:r w:rsidR="004C0F91" w:rsidRPr="00C2587D">
        <w:rPr>
          <w:rFonts w:cs="Arial"/>
          <w:szCs w:val="28"/>
        </w:rPr>
        <w:t>5</w:t>
      </w:r>
      <w:r w:rsidR="002E1AC9" w:rsidRPr="00C2587D">
        <w:rPr>
          <w:rFonts w:cs="Arial"/>
          <w:szCs w:val="28"/>
        </w:rPr>
        <w:t>-202</w:t>
      </w:r>
      <w:r w:rsidR="004C0F91" w:rsidRPr="00C2587D">
        <w:rPr>
          <w:rFonts w:cs="Arial"/>
          <w:szCs w:val="28"/>
        </w:rPr>
        <w:t>8</w:t>
      </w:r>
      <w:r w:rsidRPr="00C2587D">
        <w:rPr>
          <w:rFonts w:cs="Arial"/>
          <w:szCs w:val="28"/>
        </w:rPr>
        <w:t xml:space="preserve"> рок</w:t>
      </w:r>
      <w:r w:rsidR="003C6C40" w:rsidRPr="00C2587D">
        <w:rPr>
          <w:rFonts w:cs="Arial"/>
          <w:szCs w:val="28"/>
        </w:rPr>
        <w:t>ів</w:t>
      </w:r>
      <w:r w:rsidRPr="00C2587D">
        <w:rPr>
          <w:rFonts w:cs="Arial"/>
          <w:szCs w:val="28"/>
        </w:rPr>
        <w:t xml:space="preserve"> передбачається реалізувати через </w:t>
      </w:r>
      <w:r w:rsidR="00787DAF" w:rsidRPr="00C2587D">
        <w:rPr>
          <w:rFonts w:cs="Arial"/>
          <w:szCs w:val="28"/>
        </w:rPr>
        <w:t xml:space="preserve">5 </w:t>
      </w:r>
      <w:r w:rsidRPr="00C2587D">
        <w:rPr>
          <w:rFonts w:cs="Arial"/>
          <w:szCs w:val="28"/>
        </w:rPr>
        <w:t xml:space="preserve">відповідних </w:t>
      </w:r>
      <w:r w:rsidR="00835FD9" w:rsidRPr="00C2587D">
        <w:rPr>
          <w:rFonts w:cs="Arial"/>
          <w:szCs w:val="28"/>
        </w:rPr>
        <w:t>стратегічні цілі</w:t>
      </w:r>
      <w:r w:rsidRPr="00C2587D">
        <w:rPr>
          <w:rFonts w:cs="Arial"/>
          <w:szCs w:val="28"/>
        </w:rPr>
        <w:t xml:space="preserve"> та </w:t>
      </w:r>
      <w:r w:rsidR="0009362A" w:rsidRPr="00C2587D">
        <w:rPr>
          <w:rFonts w:cs="Arial"/>
          <w:szCs w:val="28"/>
        </w:rPr>
        <w:t>зазначені</w:t>
      </w:r>
      <w:r w:rsidR="000A7F80">
        <w:rPr>
          <w:rFonts w:cs="Arial"/>
          <w:szCs w:val="28"/>
        </w:rPr>
        <w:t xml:space="preserve"> проє</w:t>
      </w:r>
      <w:r w:rsidRPr="00C2587D">
        <w:rPr>
          <w:rFonts w:cs="Arial"/>
          <w:szCs w:val="28"/>
        </w:rPr>
        <w:t>кт</w:t>
      </w:r>
      <w:r w:rsidR="0009362A" w:rsidRPr="00C2587D">
        <w:rPr>
          <w:rFonts w:cs="Arial"/>
          <w:szCs w:val="28"/>
        </w:rPr>
        <w:t>и</w:t>
      </w:r>
      <w:r w:rsidRPr="00C2587D">
        <w:rPr>
          <w:rFonts w:cs="Arial"/>
          <w:szCs w:val="28"/>
        </w:rPr>
        <w:t>.</w:t>
      </w:r>
    </w:p>
    <w:p w14:paraId="6A46AB71" w14:textId="1C2019AE" w:rsidR="003C6C40" w:rsidRPr="00C2587D" w:rsidRDefault="00284193" w:rsidP="00DE3362">
      <w:pPr>
        <w:spacing w:before="120"/>
        <w:jc w:val="both"/>
        <w:rPr>
          <w:rFonts w:cs="Arial"/>
          <w:szCs w:val="28"/>
        </w:rPr>
      </w:pPr>
      <w:r w:rsidRPr="00C2587D">
        <w:rPr>
          <w:rFonts w:cs="Arial"/>
          <w:szCs w:val="28"/>
        </w:rPr>
        <w:t xml:space="preserve">Напрям </w:t>
      </w:r>
      <w:r w:rsidR="00743089" w:rsidRPr="00C2587D">
        <w:rPr>
          <w:rFonts w:cs="Arial"/>
          <w:szCs w:val="28"/>
        </w:rPr>
        <w:t>складається з</w:t>
      </w:r>
      <w:r w:rsidR="001F598D" w:rsidRPr="00C2587D">
        <w:rPr>
          <w:rFonts w:cs="Arial"/>
          <w:szCs w:val="28"/>
        </w:rPr>
        <w:t xml:space="preserve"> п’яти</w:t>
      </w:r>
      <w:r w:rsidR="00743089" w:rsidRPr="00C2587D">
        <w:rPr>
          <w:rFonts w:cs="Arial"/>
          <w:szCs w:val="28"/>
        </w:rPr>
        <w:t xml:space="preserve"> </w:t>
      </w:r>
      <w:r w:rsidR="00683B44" w:rsidRPr="00C2587D">
        <w:rPr>
          <w:rFonts w:cs="Arial"/>
          <w:szCs w:val="28"/>
        </w:rPr>
        <w:t>стратегічних цілей</w:t>
      </w:r>
      <w:r w:rsidR="00743089" w:rsidRPr="00C2587D">
        <w:rPr>
          <w:rFonts w:cs="Arial"/>
          <w:szCs w:val="28"/>
        </w:rPr>
        <w:t>, які</w:t>
      </w:r>
      <w:r w:rsidR="000A7F80">
        <w:rPr>
          <w:rFonts w:cs="Arial"/>
          <w:szCs w:val="28"/>
        </w:rPr>
        <w:t xml:space="preserve"> містять</w:t>
      </w:r>
      <w:r w:rsidR="00743089" w:rsidRPr="00C2587D">
        <w:rPr>
          <w:rFonts w:cs="Arial"/>
          <w:szCs w:val="28"/>
        </w:rPr>
        <w:t>:</w:t>
      </w:r>
    </w:p>
    <w:p w14:paraId="342C0856" w14:textId="77777777" w:rsidR="003B58E0" w:rsidRPr="00C2587D" w:rsidRDefault="001F598D" w:rsidP="00150BEC">
      <w:pPr>
        <w:pStyle w:val="af4"/>
        <w:numPr>
          <w:ilvl w:val="0"/>
          <w:numId w:val="6"/>
        </w:numPr>
        <w:tabs>
          <w:tab w:val="left" w:pos="567"/>
        </w:tabs>
        <w:spacing w:before="120" w:after="0" w:line="240" w:lineRule="auto"/>
        <w:ind w:left="567" w:hanging="567"/>
        <w:rPr>
          <w:rFonts w:ascii="Arial" w:hAnsi="Arial" w:cs="Arial"/>
          <w:iCs/>
          <w:szCs w:val="20"/>
        </w:rPr>
      </w:pPr>
      <w:bookmarkStart w:id="22" w:name="_Hlk75337036"/>
      <w:r w:rsidRPr="00C2587D">
        <w:rPr>
          <w:rFonts w:ascii="Arial" w:hAnsi="Arial" w:cs="Arial"/>
          <w:iCs/>
          <w:szCs w:val="20"/>
        </w:rPr>
        <w:t>А.1. Розвиток громади як транспортно-логістичного вузла та промислового центру;</w:t>
      </w:r>
    </w:p>
    <w:p w14:paraId="18488F81" w14:textId="77777777" w:rsidR="003B58E0" w:rsidRPr="00C2587D" w:rsidRDefault="001F598D" w:rsidP="00150BEC">
      <w:pPr>
        <w:pStyle w:val="af4"/>
        <w:numPr>
          <w:ilvl w:val="0"/>
          <w:numId w:val="6"/>
        </w:numPr>
        <w:tabs>
          <w:tab w:val="left" w:pos="567"/>
        </w:tabs>
        <w:spacing w:before="120" w:after="0" w:line="240" w:lineRule="auto"/>
        <w:ind w:left="567" w:hanging="567"/>
        <w:rPr>
          <w:rFonts w:ascii="Arial" w:hAnsi="Arial" w:cs="Arial"/>
          <w:iCs/>
          <w:szCs w:val="20"/>
        </w:rPr>
      </w:pPr>
      <w:r w:rsidRPr="00C2587D">
        <w:rPr>
          <w:rFonts w:ascii="Arial" w:hAnsi="Arial" w:cs="Arial"/>
          <w:iCs/>
          <w:szCs w:val="20"/>
        </w:rPr>
        <w:t>А.2. Розвиток агропромислового виробництва;</w:t>
      </w:r>
    </w:p>
    <w:p w14:paraId="32B60D8C" w14:textId="77777777" w:rsidR="003B58E0" w:rsidRPr="00C2587D" w:rsidRDefault="001F598D" w:rsidP="00150BEC">
      <w:pPr>
        <w:pStyle w:val="af4"/>
        <w:numPr>
          <w:ilvl w:val="0"/>
          <w:numId w:val="6"/>
        </w:numPr>
        <w:tabs>
          <w:tab w:val="left" w:pos="567"/>
        </w:tabs>
        <w:spacing w:before="120" w:after="0" w:line="240" w:lineRule="auto"/>
        <w:ind w:left="567" w:hanging="567"/>
        <w:rPr>
          <w:rFonts w:ascii="Arial" w:hAnsi="Arial" w:cs="Arial"/>
          <w:iCs/>
          <w:szCs w:val="20"/>
        </w:rPr>
      </w:pPr>
      <w:r w:rsidRPr="00C2587D">
        <w:rPr>
          <w:rFonts w:ascii="Arial" w:hAnsi="Arial" w:cs="Arial"/>
          <w:iCs/>
          <w:szCs w:val="20"/>
        </w:rPr>
        <w:t>А.3. Розвиток підприємницького потенціалу громади;</w:t>
      </w:r>
    </w:p>
    <w:p w14:paraId="0D328ADB" w14:textId="77777777" w:rsidR="001F598D" w:rsidRPr="00C2587D" w:rsidRDefault="001F598D" w:rsidP="00150BEC">
      <w:pPr>
        <w:pStyle w:val="af4"/>
        <w:numPr>
          <w:ilvl w:val="0"/>
          <w:numId w:val="6"/>
        </w:numPr>
        <w:tabs>
          <w:tab w:val="left" w:pos="567"/>
        </w:tabs>
        <w:spacing w:before="120" w:after="0" w:line="240" w:lineRule="auto"/>
        <w:ind w:left="567" w:hanging="567"/>
        <w:rPr>
          <w:rFonts w:ascii="Arial" w:hAnsi="Arial" w:cs="Arial"/>
          <w:iCs/>
          <w:szCs w:val="20"/>
        </w:rPr>
      </w:pPr>
      <w:r w:rsidRPr="00C2587D">
        <w:rPr>
          <w:rFonts w:ascii="Arial" w:hAnsi="Arial" w:cs="Arial"/>
          <w:iCs/>
          <w:szCs w:val="20"/>
        </w:rPr>
        <w:t>А.4. Ефективна інвестиційна політика та маркетинг території;</w:t>
      </w:r>
    </w:p>
    <w:p w14:paraId="6705A29D" w14:textId="77777777" w:rsidR="001F598D" w:rsidRPr="00C2587D" w:rsidRDefault="001F598D" w:rsidP="00150BEC">
      <w:pPr>
        <w:pStyle w:val="af4"/>
        <w:numPr>
          <w:ilvl w:val="0"/>
          <w:numId w:val="6"/>
        </w:numPr>
        <w:tabs>
          <w:tab w:val="left" w:pos="567"/>
        </w:tabs>
        <w:spacing w:before="120" w:after="0" w:line="240" w:lineRule="auto"/>
        <w:ind w:left="567" w:hanging="567"/>
        <w:rPr>
          <w:rFonts w:ascii="Arial" w:hAnsi="Arial" w:cs="Arial"/>
          <w:iCs/>
          <w:szCs w:val="20"/>
        </w:rPr>
      </w:pPr>
      <w:r w:rsidRPr="00C2587D">
        <w:rPr>
          <w:rFonts w:ascii="Arial" w:hAnsi="Arial" w:cs="Arial"/>
          <w:iCs/>
          <w:szCs w:val="20"/>
        </w:rPr>
        <w:t>А.5. Регіональний туристичний, культурно-історичний центр.</w:t>
      </w:r>
    </w:p>
    <w:bookmarkEnd w:id="22"/>
    <w:p w14:paraId="5E3C3D92" w14:textId="77777777" w:rsidR="003356A1" w:rsidRPr="00C2587D" w:rsidRDefault="003356A1" w:rsidP="00A078A9">
      <w:pPr>
        <w:spacing w:before="120" w:after="120"/>
        <w:jc w:val="both"/>
        <w:rPr>
          <w:rFonts w:cs="Arial"/>
          <w:b/>
          <w:i/>
          <w:color w:val="455E63"/>
          <w:sz w:val="24"/>
          <w:szCs w:val="28"/>
          <w:lang w:eastAsia="ar-SA"/>
        </w:rPr>
      </w:pPr>
    </w:p>
    <w:p w14:paraId="4812F064" w14:textId="77777777" w:rsidR="003356A1" w:rsidRPr="00C2587D" w:rsidRDefault="003356A1" w:rsidP="00A078A9">
      <w:pPr>
        <w:spacing w:before="120" w:after="120"/>
        <w:jc w:val="both"/>
        <w:rPr>
          <w:rFonts w:cs="Arial"/>
          <w:b/>
          <w:i/>
          <w:color w:val="455E63"/>
          <w:sz w:val="24"/>
          <w:szCs w:val="28"/>
          <w:lang w:eastAsia="ar-SA"/>
        </w:rPr>
      </w:pPr>
    </w:p>
    <w:p w14:paraId="199D0AD1" w14:textId="77777777" w:rsidR="003356A1" w:rsidRPr="00C2587D" w:rsidRDefault="003356A1" w:rsidP="00566BD0">
      <w:pPr>
        <w:jc w:val="center"/>
        <w:rPr>
          <w:rFonts w:cs="Arial"/>
          <w:color w:val="000000"/>
          <w:szCs w:val="22"/>
          <w:lang w:eastAsia="uk-UA"/>
        </w:rPr>
        <w:sectPr w:rsidR="003356A1" w:rsidRPr="00C2587D" w:rsidSect="00C60A15">
          <w:pgSz w:w="11906" w:h="16838" w:code="9"/>
          <w:pgMar w:top="1134" w:right="1134" w:bottom="1134" w:left="1134" w:header="794" w:footer="794" w:gutter="0"/>
          <w:cols w:space="708"/>
          <w:docGrid w:linePitch="360"/>
        </w:sectPr>
      </w:pPr>
    </w:p>
    <w:p w14:paraId="6D3803E8" w14:textId="66207D46" w:rsidR="00FE7690" w:rsidRPr="00C2587D" w:rsidRDefault="00077603" w:rsidP="00FE7690">
      <w:pPr>
        <w:pStyle w:val="TableTitle"/>
      </w:pPr>
      <w:bookmarkStart w:id="23" w:name="_Toc1743588"/>
      <w:r w:rsidRPr="00C2587D">
        <w:lastRenderedPageBreak/>
        <w:t xml:space="preserve">Таблиця 2. Структура цілей стратегічного напрямку  А. </w:t>
      </w:r>
      <w:bookmarkStart w:id="24" w:name="_Hlk75336417"/>
      <w:bookmarkEnd w:id="23"/>
      <w:r w:rsidR="001F598D" w:rsidRPr="00C2587D">
        <w:t xml:space="preserve">Інвестиційно приваблива громада із розвиненим експортно </w:t>
      </w:r>
      <w:r w:rsidR="00370989" w:rsidRPr="00C2587D">
        <w:t>–</w:t>
      </w:r>
      <w:r w:rsidR="001F598D" w:rsidRPr="00C2587D">
        <w:t xml:space="preserve"> орієнтованим</w:t>
      </w:r>
      <w:r w:rsidR="00370989" w:rsidRPr="00C2587D">
        <w:t xml:space="preserve"> </w:t>
      </w:r>
      <w:r w:rsidR="001F598D" w:rsidRPr="00C2587D">
        <w:t>бізнесом</w:t>
      </w:r>
      <w:bookmarkEnd w:id="24"/>
    </w:p>
    <w:tbl>
      <w:tblPr>
        <w:tblW w:w="150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3539"/>
        <w:gridCol w:w="8789"/>
      </w:tblGrid>
      <w:tr w:rsidR="0086261C" w:rsidRPr="00C2587D" w14:paraId="2420AB2F" w14:textId="77777777" w:rsidTr="00CA089A">
        <w:trPr>
          <w:trHeight w:val="520"/>
          <w:tblHeader/>
        </w:trPr>
        <w:tc>
          <w:tcPr>
            <w:tcW w:w="2693" w:type="dxa"/>
            <w:shd w:val="clear" w:color="auto" w:fill="auto"/>
            <w:noWrap/>
            <w:vAlign w:val="center"/>
            <w:hideMark/>
          </w:tcPr>
          <w:p w14:paraId="18BEFCB9" w14:textId="77777777" w:rsidR="0086261C" w:rsidRPr="00C2587D" w:rsidRDefault="0086261C" w:rsidP="00D55A29">
            <w:pPr>
              <w:jc w:val="center"/>
              <w:rPr>
                <w:rFonts w:cs="Arial"/>
                <w:b/>
                <w:color w:val="000000"/>
                <w:sz w:val="20"/>
                <w:szCs w:val="20"/>
                <w:lang w:eastAsia="uk-UA"/>
              </w:rPr>
            </w:pPr>
            <w:r w:rsidRPr="00C2587D">
              <w:rPr>
                <w:rFonts w:cs="Arial"/>
                <w:b/>
                <w:color w:val="000000"/>
                <w:sz w:val="20"/>
                <w:szCs w:val="20"/>
                <w:lang w:eastAsia="uk-UA"/>
              </w:rPr>
              <w:t>Стратегічні цілі</w:t>
            </w:r>
          </w:p>
        </w:tc>
        <w:tc>
          <w:tcPr>
            <w:tcW w:w="3539" w:type="dxa"/>
            <w:shd w:val="clear" w:color="auto" w:fill="auto"/>
            <w:vAlign w:val="center"/>
            <w:hideMark/>
          </w:tcPr>
          <w:p w14:paraId="71F1F4A2" w14:textId="77777777" w:rsidR="0086261C" w:rsidRPr="00C2587D" w:rsidRDefault="0086261C" w:rsidP="00D55A29">
            <w:pPr>
              <w:jc w:val="center"/>
              <w:rPr>
                <w:rFonts w:cs="Arial"/>
                <w:b/>
                <w:color w:val="000000"/>
                <w:sz w:val="20"/>
                <w:szCs w:val="20"/>
                <w:lang w:eastAsia="uk-UA"/>
              </w:rPr>
            </w:pPr>
            <w:r w:rsidRPr="00C2587D">
              <w:rPr>
                <w:rFonts w:cs="Arial"/>
                <w:b/>
                <w:color w:val="000000"/>
                <w:sz w:val="20"/>
                <w:szCs w:val="20"/>
                <w:lang w:eastAsia="uk-UA"/>
              </w:rPr>
              <w:t>Операційні цілі</w:t>
            </w:r>
          </w:p>
        </w:tc>
        <w:tc>
          <w:tcPr>
            <w:tcW w:w="8789" w:type="dxa"/>
            <w:shd w:val="clear" w:color="auto" w:fill="auto"/>
            <w:noWrap/>
            <w:vAlign w:val="center"/>
            <w:hideMark/>
          </w:tcPr>
          <w:p w14:paraId="6A42EA3A" w14:textId="77777777" w:rsidR="0086261C" w:rsidRPr="00C2587D" w:rsidRDefault="0086261C" w:rsidP="00724AF7">
            <w:pPr>
              <w:jc w:val="center"/>
              <w:rPr>
                <w:rFonts w:cs="Arial"/>
                <w:b/>
                <w:color w:val="000000"/>
                <w:sz w:val="20"/>
                <w:szCs w:val="20"/>
                <w:lang w:eastAsia="uk-UA"/>
              </w:rPr>
            </w:pPr>
            <w:r w:rsidRPr="00C2587D">
              <w:rPr>
                <w:rFonts w:cs="Arial"/>
                <w:b/>
                <w:color w:val="000000"/>
                <w:sz w:val="20"/>
                <w:szCs w:val="20"/>
                <w:lang w:eastAsia="uk-UA"/>
              </w:rPr>
              <w:t>Завдання</w:t>
            </w:r>
          </w:p>
        </w:tc>
      </w:tr>
      <w:tr w:rsidR="0086261C" w:rsidRPr="00C2587D" w14:paraId="1A03B933" w14:textId="77777777" w:rsidTr="00CA089A">
        <w:trPr>
          <w:trHeight w:val="548"/>
        </w:trPr>
        <w:tc>
          <w:tcPr>
            <w:tcW w:w="2693" w:type="dxa"/>
            <w:vMerge w:val="restart"/>
            <w:shd w:val="clear" w:color="auto" w:fill="auto"/>
            <w:vAlign w:val="center"/>
            <w:hideMark/>
          </w:tcPr>
          <w:p w14:paraId="046F88E9" w14:textId="77777777" w:rsidR="0086261C" w:rsidRPr="00C2587D" w:rsidRDefault="0086261C" w:rsidP="00CA089A">
            <w:pPr>
              <w:rPr>
                <w:rFonts w:cs="Arial"/>
                <w:b/>
                <w:bCs/>
                <w:color w:val="000000"/>
                <w:sz w:val="20"/>
                <w:szCs w:val="20"/>
                <w:lang w:eastAsia="uk-UA"/>
              </w:rPr>
            </w:pPr>
            <w:r w:rsidRPr="00C2587D">
              <w:rPr>
                <w:rFonts w:cs="Arial"/>
                <w:b/>
                <w:bCs/>
                <w:color w:val="000000"/>
                <w:sz w:val="20"/>
                <w:szCs w:val="20"/>
                <w:lang w:eastAsia="uk-UA"/>
              </w:rPr>
              <w:t>А.1. Розвиток громади як транспортно-логістичного вузла та промислового центру</w:t>
            </w:r>
          </w:p>
          <w:p w14:paraId="45E3F6AF" w14:textId="77777777" w:rsidR="0086261C" w:rsidRPr="00C2587D" w:rsidRDefault="0086261C" w:rsidP="00CA089A">
            <w:pPr>
              <w:rPr>
                <w:rFonts w:cs="Arial"/>
                <w:color w:val="000000"/>
                <w:sz w:val="20"/>
                <w:szCs w:val="20"/>
                <w:lang w:eastAsia="uk-UA"/>
              </w:rPr>
            </w:pPr>
          </w:p>
        </w:tc>
        <w:tc>
          <w:tcPr>
            <w:tcW w:w="3539" w:type="dxa"/>
            <w:shd w:val="clear" w:color="auto" w:fill="auto"/>
            <w:vAlign w:val="center"/>
            <w:hideMark/>
          </w:tcPr>
          <w:p w14:paraId="7DDA08BC" w14:textId="77777777" w:rsidR="0086261C" w:rsidRPr="00C2587D" w:rsidRDefault="0086261C" w:rsidP="00CA089A">
            <w:pPr>
              <w:rPr>
                <w:rFonts w:cs="Arial"/>
                <w:bCs/>
                <w:color w:val="000000"/>
                <w:sz w:val="20"/>
                <w:szCs w:val="20"/>
                <w:lang w:eastAsia="uk-UA"/>
              </w:rPr>
            </w:pPr>
            <w:r w:rsidRPr="00C2587D">
              <w:rPr>
                <w:rFonts w:cs="Arial"/>
                <w:bCs/>
                <w:color w:val="000000"/>
                <w:sz w:val="20"/>
                <w:szCs w:val="20"/>
                <w:lang w:eastAsia="uk-UA"/>
              </w:rPr>
              <w:t>А.1.1. Розроблення Концепції міжнародного мультимодального транспортно-логістичного порту «Жмеринка» та підготовка  інвестиційних пропозицій</w:t>
            </w:r>
          </w:p>
        </w:tc>
        <w:tc>
          <w:tcPr>
            <w:tcW w:w="8789" w:type="dxa"/>
            <w:shd w:val="clear" w:color="auto" w:fill="auto"/>
            <w:hideMark/>
          </w:tcPr>
          <w:p w14:paraId="308E0870"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А.1.1.1. </w:t>
            </w:r>
            <w:r w:rsidRPr="00C2587D">
              <w:rPr>
                <w:rFonts w:eastAsia="Lucida Sans Unicode" w:cs="Arial"/>
                <w:kern w:val="1"/>
                <w:sz w:val="20"/>
                <w:szCs w:val="20"/>
                <w:lang w:eastAsia="ar-SA"/>
              </w:rPr>
              <w:t>Розроблення Концепції міжнародного мультимодального транспортно-логістичного порту «Жмеринка».</w:t>
            </w:r>
          </w:p>
          <w:p w14:paraId="53E67924"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А.1.1.2. Підготовка інвестиційних пропозицій, пов’язаних з розвитком транспортно-логістичного порту «Жмеринка».</w:t>
            </w:r>
          </w:p>
          <w:p w14:paraId="7806053C" w14:textId="5134A65C" w:rsidR="0086261C" w:rsidRPr="00C2587D" w:rsidRDefault="0086261C" w:rsidP="00724AF7">
            <w:pPr>
              <w:jc w:val="both"/>
              <w:rPr>
                <w:rFonts w:cs="Arial"/>
                <w:color w:val="000000"/>
                <w:sz w:val="20"/>
                <w:szCs w:val="20"/>
                <w:lang w:eastAsia="uk-UA"/>
              </w:rPr>
            </w:pPr>
            <w:r w:rsidRPr="00C2587D">
              <w:rPr>
                <w:rFonts w:eastAsia="Lucida Sans Unicode" w:cs="Arial"/>
                <w:kern w:val="1"/>
                <w:sz w:val="20"/>
                <w:szCs w:val="20"/>
                <w:lang w:eastAsia="ar-SA"/>
              </w:rPr>
              <w:t>А.1.1.3. Промоційна діяльність для залучення інвестицій в транспортно-логістичний порт «Жмеринка».</w:t>
            </w:r>
          </w:p>
        </w:tc>
      </w:tr>
      <w:tr w:rsidR="0086261C" w:rsidRPr="00C2587D" w14:paraId="1A53E189" w14:textId="77777777" w:rsidTr="00CA089A">
        <w:trPr>
          <w:trHeight w:val="2066"/>
        </w:trPr>
        <w:tc>
          <w:tcPr>
            <w:tcW w:w="2693" w:type="dxa"/>
            <w:vMerge/>
            <w:vAlign w:val="center"/>
            <w:hideMark/>
          </w:tcPr>
          <w:p w14:paraId="299AB5B1" w14:textId="77777777" w:rsidR="0086261C" w:rsidRPr="00C2587D" w:rsidRDefault="0086261C" w:rsidP="00D55A29">
            <w:pPr>
              <w:rPr>
                <w:rFonts w:cs="Arial"/>
                <w:color w:val="000000"/>
                <w:sz w:val="20"/>
                <w:szCs w:val="20"/>
                <w:lang w:eastAsia="uk-UA"/>
              </w:rPr>
            </w:pPr>
          </w:p>
        </w:tc>
        <w:tc>
          <w:tcPr>
            <w:tcW w:w="3539" w:type="dxa"/>
            <w:shd w:val="clear" w:color="auto" w:fill="auto"/>
            <w:vAlign w:val="center"/>
            <w:hideMark/>
          </w:tcPr>
          <w:p w14:paraId="2EE4DF3B" w14:textId="77777777" w:rsidR="0086261C" w:rsidRPr="00C2587D" w:rsidRDefault="0086261C" w:rsidP="00CA089A">
            <w:pPr>
              <w:rPr>
                <w:rFonts w:cs="Arial"/>
                <w:bCs/>
                <w:color w:val="000000"/>
                <w:sz w:val="20"/>
                <w:szCs w:val="20"/>
                <w:lang w:eastAsia="uk-UA"/>
              </w:rPr>
            </w:pPr>
            <w:r w:rsidRPr="00C2587D">
              <w:rPr>
                <w:rFonts w:cs="Arial"/>
                <w:bCs/>
                <w:color w:val="000000"/>
                <w:sz w:val="20"/>
                <w:szCs w:val="20"/>
                <w:lang w:eastAsia="uk-UA"/>
              </w:rPr>
              <w:t>А.1.2. Інноваційний розвиток промислового сектору громади</w:t>
            </w:r>
          </w:p>
        </w:tc>
        <w:tc>
          <w:tcPr>
            <w:tcW w:w="8789" w:type="dxa"/>
            <w:shd w:val="clear" w:color="auto" w:fill="auto"/>
            <w:hideMark/>
          </w:tcPr>
          <w:p w14:paraId="1D549F98"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А.1.2.1. </w:t>
            </w:r>
            <w:r w:rsidRPr="00C2587D">
              <w:rPr>
                <w:rFonts w:eastAsia="Lucida Sans Unicode" w:cs="Arial"/>
                <w:kern w:val="1"/>
                <w:sz w:val="20"/>
                <w:szCs w:val="20"/>
                <w:lang w:eastAsia="ar-SA"/>
              </w:rPr>
              <w:t>Утримання існуючих підприємств, сприяння їхньому закріпленню та розширенню.</w:t>
            </w:r>
          </w:p>
          <w:p w14:paraId="527B56CB" w14:textId="77777777" w:rsidR="0086261C" w:rsidRPr="00C2587D" w:rsidRDefault="0086261C" w:rsidP="00724AF7">
            <w:pPr>
              <w:widowControl w:val="0"/>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А.1.2.2. </w:t>
            </w:r>
            <w:r w:rsidRPr="00C2587D">
              <w:rPr>
                <w:rFonts w:eastAsia="Lucida Sans Unicode" w:cs="Arial"/>
                <w:kern w:val="1"/>
                <w:sz w:val="20"/>
                <w:szCs w:val="20"/>
                <w:lang w:eastAsia="ar-SA"/>
              </w:rPr>
              <w:t>Сприяння будівництву та реконструкції промислових підприємств в тому числі по переробці сільськогосподарської продукції.</w:t>
            </w:r>
          </w:p>
          <w:p w14:paraId="60BD9C03" w14:textId="77777777" w:rsidR="0086261C" w:rsidRPr="00C2587D" w:rsidRDefault="0086261C" w:rsidP="00724AF7">
            <w:pPr>
              <w:widowControl w:val="0"/>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А.1.2.3. </w:t>
            </w:r>
            <w:r w:rsidRPr="00C2587D">
              <w:rPr>
                <w:rFonts w:eastAsia="Lucida Sans Unicode" w:cs="Arial"/>
                <w:iCs/>
                <w:kern w:val="1"/>
                <w:sz w:val="20"/>
                <w:szCs w:val="20"/>
                <w:lang w:eastAsia="ar-SA"/>
              </w:rPr>
              <w:t>Сприяння створенню нових  підприємств по виробництву будівельних матеріалів з місцевої сировини, в т.ч. розробці  гранітного сховища в смт.Браїлів, розробці вапнякових та піщаних родовищ в селах Жуківці,  та Кармалюково використання сировинної бази вапнякового кар’єру для виробництва цементу в с. Рів, та ін.</w:t>
            </w:r>
          </w:p>
          <w:p w14:paraId="6516F900" w14:textId="77777777" w:rsidR="0086261C" w:rsidRPr="00C2587D" w:rsidRDefault="0086261C" w:rsidP="00724AF7">
            <w:pPr>
              <w:widowControl w:val="0"/>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А.1.2.4. </w:t>
            </w:r>
            <w:r w:rsidRPr="00C2587D">
              <w:rPr>
                <w:rFonts w:eastAsia="Lucida Sans Unicode" w:cs="Arial"/>
                <w:kern w:val="1"/>
                <w:sz w:val="20"/>
                <w:szCs w:val="20"/>
                <w:lang w:eastAsia="ar-SA"/>
              </w:rPr>
              <w:t>Визначення секторальних можливостей та пріоритетів економічного розвитку.</w:t>
            </w:r>
          </w:p>
          <w:p w14:paraId="3D5B7401" w14:textId="77777777" w:rsidR="0086261C" w:rsidRPr="00C2587D" w:rsidRDefault="0086261C" w:rsidP="00724AF7">
            <w:pPr>
              <w:widowControl w:val="0"/>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А.1.2.5. </w:t>
            </w:r>
            <w:r w:rsidRPr="00C2587D">
              <w:rPr>
                <w:rFonts w:eastAsia="Lucida Sans Unicode" w:cs="Arial"/>
                <w:kern w:val="1"/>
                <w:sz w:val="20"/>
                <w:szCs w:val="20"/>
                <w:lang w:eastAsia="ar-SA"/>
              </w:rPr>
              <w:t xml:space="preserve"> Підтримка кластерів.</w:t>
            </w:r>
          </w:p>
          <w:p w14:paraId="787E1FA1" w14:textId="77777777" w:rsidR="0086261C" w:rsidRPr="00C2587D" w:rsidRDefault="0086261C" w:rsidP="00724AF7">
            <w:pPr>
              <w:widowControl w:val="0"/>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А.1.2.6. </w:t>
            </w:r>
            <w:r w:rsidRPr="00C2587D">
              <w:rPr>
                <w:rFonts w:eastAsia="Lucida Sans Unicode" w:cs="Arial"/>
                <w:kern w:val="1"/>
                <w:sz w:val="20"/>
                <w:szCs w:val="20"/>
                <w:lang w:eastAsia="ar-SA"/>
              </w:rPr>
              <w:t>Залучення експертного та академічного середовища до розробок високотехнологічної продукції.</w:t>
            </w:r>
          </w:p>
          <w:p w14:paraId="19905874" w14:textId="77777777" w:rsidR="0086261C" w:rsidRPr="00C2587D" w:rsidRDefault="0086261C" w:rsidP="00724AF7">
            <w:pPr>
              <w:widowControl w:val="0"/>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А.1.2.7. </w:t>
            </w:r>
            <w:r w:rsidRPr="00C2587D">
              <w:rPr>
                <w:rFonts w:eastAsia="Lucida Sans Unicode" w:cs="Arial"/>
                <w:kern w:val="1"/>
                <w:sz w:val="20"/>
                <w:szCs w:val="20"/>
                <w:lang w:eastAsia="ar-SA"/>
              </w:rPr>
              <w:t xml:space="preserve">Підтримка розвитку стартапів. </w:t>
            </w:r>
          </w:p>
          <w:p w14:paraId="3A9C541E" w14:textId="3661466A" w:rsidR="0086261C" w:rsidRPr="00C2587D" w:rsidRDefault="0086261C" w:rsidP="00724AF7">
            <w:pPr>
              <w:jc w:val="both"/>
              <w:rPr>
                <w:rFonts w:cs="Arial"/>
                <w:color w:val="000000"/>
                <w:sz w:val="20"/>
                <w:szCs w:val="20"/>
                <w:lang w:eastAsia="uk-UA"/>
              </w:rPr>
            </w:pPr>
            <w:r w:rsidRPr="00C2587D">
              <w:rPr>
                <w:rFonts w:cs="Arial"/>
                <w:color w:val="000000"/>
                <w:sz w:val="20"/>
                <w:szCs w:val="20"/>
                <w:lang w:eastAsia="uk-UA"/>
              </w:rPr>
              <w:t xml:space="preserve">А.1.2.8. </w:t>
            </w:r>
            <w:r w:rsidRPr="00C2587D">
              <w:rPr>
                <w:rFonts w:eastAsia="Lucida Sans Unicode" w:cs="Arial"/>
                <w:kern w:val="1"/>
                <w:sz w:val="20"/>
                <w:szCs w:val="20"/>
                <w:lang w:eastAsia="ar-SA"/>
              </w:rPr>
              <w:t>Створення фонду підтримки інноваційного підприємництва.</w:t>
            </w:r>
          </w:p>
        </w:tc>
      </w:tr>
      <w:tr w:rsidR="0086261C" w:rsidRPr="00C2587D" w14:paraId="2380AA6B" w14:textId="77777777" w:rsidTr="00CA089A">
        <w:trPr>
          <w:trHeight w:val="1349"/>
        </w:trPr>
        <w:tc>
          <w:tcPr>
            <w:tcW w:w="2693" w:type="dxa"/>
            <w:vMerge/>
            <w:vAlign w:val="center"/>
            <w:hideMark/>
          </w:tcPr>
          <w:p w14:paraId="5F41DF45" w14:textId="77777777" w:rsidR="0086261C" w:rsidRPr="00C2587D" w:rsidRDefault="0086261C" w:rsidP="00D55A29">
            <w:pPr>
              <w:rPr>
                <w:rFonts w:cs="Arial"/>
                <w:color w:val="000000"/>
                <w:sz w:val="20"/>
                <w:szCs w:val="20"/>
                <w:lang w:eastAsia="uk-UA"/>
              </w:rPr>
            </w:pPr>
          </w:p>
        </w:tc>
        <w:tc>
          <w:tcPr>
            <w:tcW w:w="3539" w:type="dxa"/>
            <w:shd w:val="clear" w:color="auto" w:fill="auto"/>
            <w:noWrap/>
            <w:vAlign w:val="center"/>
            <w:hideMark/>
          </w:tcPr>
          <w:p w14:paraId="78E3C919" w14:textId="77777777" w:rsidR="0086261C" w:rsidRPr="00C2587D" w:rsidRDefault="0086261C" w:rsidP="00CA089A">
            <w:pPr>
              <w:rPr>
                <w:rFonts w:cs="Arial"/>
                <w:color w:val="000000"/>
                <w:sz w:val="20"/>
                <w:szCs w:val="20"/>
                <w:lang w:eastAsia="uk-UA"/>
              </w:rPr>
            </w:pPr>
            <w:r w:rsidRPr="00C2587D">
              <w:rPr>
                <w:rFonts w:cs="Arial"/>
                <w:sz w:val="20"/>
                <w:szCs w:val="22"/>
                <w:lang w:eastAsia="uk-UA"/>
              </w:rPr>
              <w:t>А.1.3. Розвиток людських ресурсів</w:t>
            </w:r>
          </w:p>
        </w:tc>
        <w:tc>
          <w:tcPr>
            <w:tcW w:w="8789" w:type="dxa"/>
            <w:shd w:val="clear" w:color="auto" w:fill="auto"/>
            <w:hideMark/>
          </w:tcPr>
          <w:p w14:paraId="55A6C4CF" w14:textId="77777777" w:rsidR="0086261C" w:rsidRPr="00C2587D" w:rsidRDefault="0086261C" w:rsidP="00724AF7">
            <w:pPr>
              <w:jc w:val="both"/>
              <w:rPr>
                <w:rFonts w:cs="Arial"/>
                <w:color w:val="000000"/>
                <w:sz w:val="20"/>
                <w:szCs w:val="20"/>
                <w:lang w:eastAsia="uk-UA"/>
              </w:rPr>
            </w:pPr>
            <w:r w:rsidRPr="00C2587D">
              <w:rPr>
                <w:rFonts w:cs="Arial"/>
                <w:color w:val="000000"/>
                <w:sz w:val="20"/>
                <w:szCs w:val="20"/>
                <w:lang w:eastAsia="uk-UA"/>
              </w:rPr>
              <w:t>А.1.3.1. Організація підготовки персоналу під потреби ринку праці.</w:t>
            </w:r>
          </w:p>
          <w:p w14:paraId="79D9156F"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А.1.3.2. </w:t>
            </w:r>
            <w:r w:rsidRPr="00C2587D">
              <w:rPr>
                <w:rFonts w:eastAsia="Lucida Sans Unicode" w:cs="Arial"/>
                <w:kern w:val="1"/>
                <w:sz w:val="20"/>
                <w:szCs w:val="20"/>
                <w:lang w:eastAsia="ar-SA"/>
              </w:rPr>
              <w:t>Впровадження навчальних програм з підприємництва для молоді.</w:t>
            </w:r>
          </w:p>
          <w:p w14:paraId="1818342B" w14:textId="77777777" w:rsidR="0086261C" w:rsidRPr="00C2587D" w:rsidRDefault="0086261C" w:rsidP="00724AF7">
            <w:pPr>
              <w:suppressAutoHyphens/>
              <w:spacing w:before="20" w:after="20"/>
              <w:jc w:val="both"/>
              <w:rPr>
                <w:rFonts w:eastAsia="Andale Sans UI" w:cs="Arial"/>
                <w:kern w:val="1"/>
                <w:sz w:val="20"/>
                <w:szCs w:val="20"/>
                <w:lang w:eastAsia="ja-JP" w:bidi="fa-IR"/>
              </w:rPr>
            </w:pPr>
            <w:r w:rsidRPr="00C2587D">
              <w:rPr>
                <w:rFonts w:cs="Arial"/>
                <w:color w:val="000000"/>
                <w:sz w:val="20"/>
                <w:szCs w:val="20"/>
                <w:lang w:eastAsia="uk-UA"/>
              </w:rPr>
              <w:t xml:space="preserve">А.1.3.3. </w:t>
            </w:r>
            <w:r w:rsidRPr="00C2587D">
              <w:rPr>
                <w:rFonts w:eastAsia="Lucida Sans Unicode" w:cs="Arial"/>
                <w:kern w:val="1"/>
                <w:sz w:val="20"/>
                <w:szCs w:val="20"/>
                <w:lang w:eastAsia="ar-SA"/>
              </w:rPr>
              <w:t>Підвищення кваліфікації працівників на регулярній основі.</w:t>
            </w:r>
          </w:p>
          <w:p w14:paraId="73961E60"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А.1.3.4. </w:t>
            </w:r>
            <w:r w:rsidRPr="00C2587D">
              <w:rPr>
                <w:rFonts w:eastAsia="Lucida Sans Unicode" w:cs="Arial"/>
                <w:kern w:val="1"/>
                <w:sz w:val="20"/>
                <w:szCs w:val="20"/>
                <w:lang w:eastAsia="ar-SA"/>
              </w:rPr>
              <w:t>Застосування новітніх технологій в підготовці кадрів для розвитку інноваційних бізнесів.</w:t>
            </w:r>
          </w:p>
          <w:p w14:paraId="781D9F99" w14:textId="16DFFA77" w:rsidR="0086261C" w:rsidRPr="00C2587D" w:rsidRDefault="0086261C" w:rsidP="00724AF7">
            <w:pPr>
              <w:suppressAutoHyphens/>
              <w:spacing w:before="20" w:after="20"/>
              <w:jc w:val="both"/>
              <w:rPr>
                <w:rFonts w:cs="Arial"/>
                <w:color w:val="000000"/>
                <w:sz w:val="20"/>
                <w:szCs w:val="20"/>
                <w:lang w:eastAsia="uk-UA"/>
              </w:rPr>
            </w:pPr>
            <w:r w:rsidRPr="00C2587D">
              <w:rPr>
                <w:rFonts w:cs="Arial"/>
                <w:color w:val="000000"/>
                <w:sz w:val="20"/>
                <w:szCs w:val="20"/>
                <w:lang w:eastAsia="uk-UA"/>
              </w:rPr>
              <w:t xml:space="preserve">А.1.3.5. </w:t>
            </w:r>
            <w:r w:rsidRPr="00C2587D">
              <w:rPr>
                <w:rFonts w:eastAsia="Lucida Sans Unicode" w:cs="Arial"/>
                <w:kern w:val="1"/>
                <w:sz w:val="20"/>
                <w:szCs w:val="20"/>
                <w:lang w:eastAsia="ar-SA"/>
              </w:rPr>
              <w:t>Підвищення рівня обізнаності керівників підприємств і жителів громади з питань охорони довкілля та екологічної безпеки.</w:t>
            </w:r>
          </w:p>
        </w:tc>
      </w:tr>
      <w:tr w:rsidR="0086261C" w:rsidRPr="00C2587D" w14:paraId="05D94457" w14:textId="77777777" w:rsidTr="00CA089A">
        <w:trPr>
          <w:trHeight w:val="1125"/>
        </w:trPr>
        <w:tc>
          <w:tcPr>
            <w:tcW w:w="2693" w:type="dxa"/>
            <w:vMerge w:val="restart"/>
            <w:shd w:val="clear" w:color="auto" w:fill="auto"/>
            <w:vAlign w:val="center"/>
            <w:hideMark/>
          </w:tcPr>
          <w:p w14:paraId="41B8A6C5" w14:textId="77777777" w:rsidR="0086261C" w:rsidRPr="00C2587D" w:rsidRDefault="0086261C" w:rsidP="00CA089A">
            <w:pPr>
              <w:rPr>
                <w:rFonts w:cs="Arial"/>
                <w:b/>
                <w:bCs/>
                <w:color w:val="000000"/>
                <w:sz w:val="20"/>
                <w:szCs w:val="20"/>
                <w:lang w:eastAsia="uk-UA"/>
              </w:rPr>
            </w:pPr>
          </w:p>
          <w:p w14:paraId="63E29A86" w14:textId="77777777" w:rsidR="0086261C" w:rsidRPr="00C2587D" w:rsidRDefault="0086261C" w:rsidP="00CA089A">
            <w:pPr>
              <w:rPr>
                <w:rFonts w:cs="Arial"/>
                <w:b/>
                <w:bCs/>
                <w:color w:val="000000"/>
                <w:sz w:val="20"/>
                <w:szCs w:val="20"/>
                <w:lang w:eastAsia="uk-UA"/>
              </w:rPr>
            </w:pPr>
          </w:p>
          <w:p w14:paraId="074EE10C" w14:textId="77777777" w:rsidR="0086261C" w:rsidRPr="00C2587D" w:rsidRDefault="0086261C" w:rsidP="00CA089A">
            <w:pPr>
              <w:rPr>
                <w:rFonts w:cs="Arial"/>
                <w:b/>
                <w:bCs/>
                <w:color w:val="000000"/>
                <w:sz w:val="20"/>
                <w:szCs w:val="20"/>
                <w:lang w:eastAsia="uk-UA"/>
              </w:rPr>
            </w:pPr>
          </w:p>
          <w:p w14:paraId="781C3F14" w14:textId="77777777" w:rsidR="0086261C" w:rsidRPr="00C2587D" w:rsidRDefault="0086261C" w:rsidP="00CA089A">
            <w:pPr>
              <w:rPr>
                <w:rFonts w:cs="Arial"/>
                <w:b/>
                <w:bCs/>
                <w:color w:val="000000"/>
                <w:sz w:val="20"/>
                <w:szCs w:val="20"/>
                <w:lang w:eastAsia="uk-UA"/>
              </w:rPr>
            </w:pPr>
          </w:p>
          <w:p w14:paraId="6EACEB88" w14:textId="77777777" w:rsidR="0086261C" w:rsidRPr="00C2587D" w:rsidRDefault="0086261C" w:rsidP="00CA089A">
            <w:pPr>
              <w:rPr>
                <w:rFonts w:cs="Arial"/>
                <w:b/>
                <w:bCs/>
                <w:color w:val="000000"/>
                <w:sz w:val="20"/>
                <w:szCs w:val="20"/>
                <w:lang w:eastAsia="uk-UA"/>
              </w:rPr>
            </w:pPr>
          </w:p>
          <w:p w14:paraId="7AD4B79D" w14:textId="77777777" w:rsidR="0086261C" w:rsidRPr="00C2587D" w:rsidRDefault="0086261C" w:rsidP="00CA089A">
            <w:pPr>
              <w:rPr>
                <w:rFonts w:cs="Arial"/>
                <w:b/>
                <w:bCs/>
                <w:color w:val="000000"/>
                <w:sz w:val="20"/>
                <w:szCs w:val="20"/>
                <w:lang w:eastAsia="uk-UA"/>
              </w:rPr>
            </w:pPr>
          </w:p>
          <w:p w14:paraId="4D9501F0" w14:textId="77777777" w:rsidR="0086261C" w:rsidRPr="00C2587D" w:rsidRDefault="0086261C" w:rsidP="00CA089A">
            <w:pPr>
              <w:rPr>
                <w:rFonts w:cs="Arial"/>
                <w:b/>
                <w:bCs/>
                <w:color w:val="000000"/>
                <w:sz w:val="20"/>
                <w:szCs w:val="20"/>
                <w:lang w:eastAsia="uk-UA"/>
              </w:rPr>
            </w:pPr>
          </w:p>
          <w:p w14:paraId="6878306C" w14:textId="77777777" w:rsidR="0086261C" w:rsidRPr="00C2587D" w:rsidRDefault="0086261C" w:rsidP="00CA089A">
            <w:pPr>
              <w:rPr>
                <w:rFonts w:cs="Arial"/>
                <w:b/>
                <w:bCs/>
                <w:color w:val="000000"/>
                <w:sz w:val="20"/>
                <w:szCs w:val="20"/>
                <w:lang w:eastAsia="uk-UA"/>
              </w:rPr>
            </w:pPr>
          </w:p>
          <w:p w14:paraId="65E69013" w14:textId="77777777" w:rsidR="0086261C" w:rsidRPr="00C2587D" w:rsidRDefault="0086261C" w:rsidP="00CA089A">
            <w:pPr>
              <w:rPr>
                <w:rFonts w:cs="Arial"/>
                <w:b/>
                <w:bCs/>
                <w:color w:val="000000"/>
                <w:sz w:val="20"/>
                <w:szCs w:val="20"/>
                <w:lang w:eastAsia="uk-UA"/>
              </w:rPr>
            </w:pPr>
          </w:p>
          <w:p w14:paraId="593217DF" w14:textId="77777777" w:rsidR="0086261C" w:rsidRPr="00C2587D" w:rsidRDefault="0086261C" w:rsidP="00CA089A">
            <w:pPr>
              <w:rPr>
                <w:rFonts w:cs="Arial"/>
                <w:b/>
                <w:bCs/>
                <w:color w:val="000000"/>
                <w:sz w:val="20"/>
                <w:szCs w:val="20"/>
                <w:lang w:eastAsia="uk-UA"/>
              </w:rPr>
            </w:pPr>
            <w:r w:rsidRPr="00C2587D">
              <w:rPr>
                <w:rFonts w:cs="Arial"/>
                <w:b/>
                <w:bCs/>
                <w:color w:val="000000"/>
                <w:sz w:val="20"/>
                <w:szCs w:val="20"/>
                <w:lang w:eastAsia="uk-UA"/>
              </w:rPr>
              <w:lastRenderedPageBreak/>
              <w:t>А.2. Розвиток агропромислового виробництва</w:t>
            </w:r>
          </w:p>
        </w:tc>
        <w:tc>
          <w:tcPr>
            <w:tcW w:w="3539" w:type="dxa"/>
            <w:shd w:val="clear" w:color="auto" w:fill="auto"/>
            <w:vAlign w:val="center"/>
            <w:hideMark/>
          </w:tcPr>
          <w:p w14:paraId="5CDEED66" w14:textId="77777777" w:rsidR="0086261C" w:rsidRPr="00C2587D" w:rsidRDefault="0086261C" w:rsidP="00CA089A">
            <w:pPr>
              <w:rPr>
                <w:rFonts w:cs="Arial"/>
                <w:color w:val="000000"/>
                <w:sz w:val="20"/>
                <w:szCs w:val="20"/>
                <w:lang w:eastAsia="uk-UA"/>
              </w:rPr>
            </w:pPr>
            <w:r w:rsidRPr="00C2587D">
              <w:rPr>
                <w:rFonts w:cs="Arial"/>
                <w:color w:val="000000"/>
                <w:sz w:val="20"/>
                <w:szCs w:val="20"/>
                <w:lang w:eastAsia="uk-UA"/>
              </w:rPr>
              <w:lastRenderedPageBreak/>
              <w:t>А.2.1. Сприяння підвищенню продуктивності та ефективності сільгоспвиробництва</w:t>
            </w:r>
          </w:p>
        </w:tc>
        <w:tc>
          <w:tcPr>
            <w:tcW w:w="8789" w:type="dxa"/>
            <w:shd w:val="clear" w:color="auto" w:fill="auto"/>
            <w:hideMark/>
          </w:tcPr>
          <w:p w14:paraId="6F465538" w14:textId="77777777" w:rsidR="0086261C" w:rsidRPr="00C2587D" w:rsidRDefault="0086261C" w:rsidP="00724AF7">
            <w:pPr>
              <w:jc w:val="both"/>
              <w:rPr>
                <w:rFonts w:eastAsia="Lucida Sans Unicode" w:cs="Arial"/>
                <w:bCs/>
                <w:kern w:val="1"/>
                <w:sz w:val="20"/>
                <w:szCs w:val="20"/>
                <w:lang w:eastAsia="ar-SA"/>
              </w:rPr>
            </w:pPr>
            <w:r w:rsidRPr="00C2587D">
              <w:rPr>
                <w:rFonts w:cs="Arial"/>
                <w:color w:val="000000"/>
                <w:sz w:val="20"/>
                <w:szCs w:val="20"/>
                <w:lang w:eastAsia="uk-UA"/>
              </w:rPr>
              <w:t>А.2.1.1.</w:t>
            </w:r>
            <w:r w:rsidRPr="00C2587D">
              <w:rPr>
                <w:rFonts w:eastAsia="Lucida Sans Unicode" w:cs="Arial"/>
                <w:bCs/>
                <w:kern w:val="1"/>
                <w:sz w:val="20"/>
                <w:szCs w:val="20"/>
                <w:lang w:eastAsia="ar-SA"/>
              </w:rPr>
              <w:t>Організація інформаційно-аналітичної мережі, що забезпечуватиме фермерам та їх партнерам можливість комунікації з питань придбання і використання виробничих ресурсів, реалізації продукції.</w:t>
            </w:r>
          </w:p>
          <w:p w14:paraId="78402626" w14:textId="77777777" w:rsidR="0086261C" w:rsidRPr="00C2587D" w:rsidRDefault="0086261C" w:rsidP="00724AF7">
            <w:pPr>
              <w:widowControl w:val="0"/>
              <w:suppressAutoHyphens/>
              <w:spacing w:before="20" w:after="20"/>
              <w:jc w:val="both"/>
              <w:rPr>
                <w:rFonts w:eastAsia="Lucida Sans Unicode" w:cs="Arial"/>
                <w:bCs/>
                <w:kern w:val="1"/>
                <w:sz w:val="20"/>
                <w:szCs w:val="20"/>
                <w:lang w:eastAsia="ar-SA"/>
              </w:rPr>
            </w:pPr>
            <w:r w:rsidRPr="00C2587D">
              <w:rPr>
                <w:rFonts w:cs="Arial"/>
                <w:color w:val="000000"/>
                <w:sz w:val="20"/>
                <w:szCs w:val="20"/>
                <w:lang w:eastAsia="uk-UA"/>
              </w:rPr>
              <w:t>А.2.1.2.</w:t>
            </w:r>
            <w:r w:rsidRPr="00C2587D">
              <w:rPr>
                <w:rFonts w:eastAsia="Lucida Sans Unicode" w:cs="Arial"/>
                <w:bCs/>
                <w:kern w:val="1"/>
                <w:sz w:val="20"/>
                <w:szCs w:val="20"/>
                <w:lang w:eastAsia="ar-SA"/>
              </w:rPr>
              <w:t>Організація обміну досвідом, вирішення юридичних, фінансових та інших питань.</w:t>
            </w:r>
          </w:p>
          <w:p w14:paraId="500473B8" w14:textId="77777777" w:rsidR="0086261C" w:rsidRPr="00C2587D" w:rsidRDefault="0086261C" w:rsidP="00724AF7">
            <w:pPr>
              <w:widowControl w:val="0"/>
              <w:suppressAutoHyphens/>
              <w:spacing w:before="20" w:after="20"/>
              <w:jc w:val="both"/>
              <w:rPr>
                <w:rFonts w:eastAsia="Lucida Sans Unicode" w:cs="Arial"/>
                <w:bCs/>
                <w:kern w:val="1"/>
                <w:sz w:val="20"/>
                <w:szCs w:val="20"/>
                <w:lang w:eastAsia="ar-SA"/>
              </w:rPr>
            </w:pPr>
            <w:r w:rsidRPr="00C2587D">
              <w:rPr>
                <w:rFonts w:cs="Arial"/>
                <w:color w:val="000000"/>
                <w:sz w:val="20"/>
                <w:szCs w:val="20"/>
                <w:lang w:eastAsia="uk-UA"/>
              </w:rPr>
              <w:t>А.2.1.3.</w:t>
            </w:r>
            <w:r w:rsidRPr="00C2587D">
              <w:rPr>
                <w:rFonts w:eastAsia="Lucida Sans Unicode" w:cs="Arial"/>
                <w:bCs/>
                <w:kern w:val="1"/>
                <w:sz w:val="20"/>
                <w:szCs w:val="20"/>
                <w:lang w:eastAsia="ar-SA"/>
              </w:rPr>
              <w:t>Сприяння реалізації державної аграрної політики та державних цільових програм щодо підтримки сільгосптоваровиробників усіх форм власності.</w:t>
            </w:r>
          </w:p>
          <w:p w14:paraId="55D833AF" w14:textId="77777777" w:rsidR="0086261C" w:rsidRPr="00C2587D" w:rsidRDefault="0086261C" w:rsidP="00724AF7">
            <w:pPr>
              <w:widowControl w:val="0"/>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А.2.1.4. Організація навчання, підтримка створення та діяльності  сільськогосподарських кооперативів.</w:t>
            </w:r>
          </w:p>
          <w:p w14:paraId="6243923F" w14:textId="77777777" w:rsidR="0086261C" w:rsidRPr="00C2587D" w:rsidRDefault="0086261C" w:rsidP="00724AF7">
            <w:pPr>
              <w:widowControl w:val="0"/>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А.2.1.5. </w:t>
            </w:r>
            <w:r w:rsidRPr="00C2587D">
              <w:rPr>
                <w:rFonts w:eastAsia="Lucida Sans Unicode" w:cs="Arial"/>
                <w:kern w:val="1"/>
                <w:sz w:val="20"/>
                <w:szCs w:val="20"/>
                <w:lang w:eastAsia="ar-SA"/>
              </w:rPr>
              <w:t xml:space="preserve">Інформаційно-методична підтримка створення та діяльності сімейних фермерських </w:t>
            </w:r>
            <w:r w:rsidRPr="00C2587D">
              <w:rPr>
                <w:rFonts w:eastAsia="Lucida Sans Unicode" w:cs="Arial"/>
                <w:kern w:val="1"/>
                <w:sz w:val="20"/>
                <w:szCs w:val="20"/>
                <w:lang w:eastAsia="ar-SA"/>
              </w:rPr>
              <w:lastRenderedPageBreak/>
              <w:t>господарств.</w:t>
            </w:r>
          </w:p>
          <w:p w14:paraId="554E5446" w14:textId="77777777" w:rsidR="0086261C" w:rsidRPr="00C2587D" w:rsidRDefault="0086261C" w:rsidP="00724AF7">
            <w:pPr>
              <w:widowControl w:val="0"/>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А.2.1.6. </w:t>
            </w:r>
            <w:r w:rsidRPr="00C2587D">
              <w:rPr>
                <w:rFonts w:eastAsia="Lucida Sans Unicode" w:cs="Arial"/>
                <w:kern w:val="1"/>
                <w:sz w:val="20"/>
                <w:szCs w:val="20"/>
                <w:lang w:eastAsia="ar-SA"/>
              </w:rPr>
              <w:t>Підтримка розвитку органічного сектору сільськогосподарського виробництва.</w:t>
            </w:r>
          </w:p>
          <w:p w14:paraId="3903F605" w14:textId="77777777" w:rsidR="0086261C" w:rsidRPr="00C2587D" w:rsidRDefault="0086261C" w:rsidP="00724AF7">
            <w:pPr>
              <w:widowControl w:val="0"/>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А.2.1.7. </w:t>
            </w:r>
            <w:r w:rsidRPr="00C2587D">
              <w:rPr>
                <w:rFonts w:eastAsia="Lucida Sans Unicode" w:cs="Arial"/>
                <w:iCs/>
                <w:kern w:val="1"/>
                <w:sz w:val="20"/>
                <w:szCs w:val="20"/>
                <w:lang w:eastAsia="ar-SA"/>
              </w:rPr>
              <w:t>Сприяння впровадженню енерго- і ресурсозберігаючих технологій шляхом застосування високопродуктивної техніки.</w:t>
            </w:r>
          </w:p>
          <w:p w14:paraId="2C6A5205" w14:textId="721F30EE" w:rsidR="0086261C" w:rsidRPr="00C2587D" w:rsidRDefault="0086261C" w:rsidP="00724AF7">
            <w:pPr>
              <w:jc w:val="both"/>
              <w:rPr>
                <w:rFonts w:cs="Arial"/>
                <w:color w:val="000000"/>
                <w:sz w:val="20"/>
                <w:szCs w:val="20"/>
                <w:lang w:eastAsia="uk-UA"/>
              </w:rPr>
            </w:pPr>
            <w:r w:rsidRPr="00C2587D">
              <w:rPr>
                <w:rFonts w:cs="Arial"/>
                <w:color w:val="000000"/>
                <w:sz w:val="20"/>
                <w:szCs w:val="20"/>
                <w:lang w:eastAsia="uk-UA"/>
              </w:rPr>
              <w:t xml:space="preserve">А.2.1.8. </w:t>
            </w:r>
            <w:r w:rsidRPr="00C2587D">
              <w:rPr>
                <w:rFonts w:eastAsia="Lucida Sans Unicode" w:cs="Arial"/>
                <w:kern w:val="1"/>
                <w:sz w:val="20"/>
                <w:szCs w:val="20"/>
                <w:lang w:eastAsia="ar-SA"/>
              </w:rPr>
              <w:t>Підвищення компетенцій місцевих операторів ринку харчових продуктів щодо запровадження міжнародних систем забезпечення безпеки та якості харчових продуктів.</w:t>
            </w:r>
          </w:p>
        </w:tc>
      </w:tr>
      <w:tr w:rsidR="0086261C" w:rsidRPr="00C2587D" w14:paraId="4C0A1865" w14:textId="77777777" w:rsidTr="00CA089A">
        <w:trPr>
          <w:trHeight w:val="2064"/>
        </w:trPr>
        <w:tc>
          <w:tcPr>
            <w:tcW w:w="2693" w:type="dxa"/>
            <w:vMerge/>
            <w:vAlign w:val="center"/>
            <w:hideMark/>
          </w:tcPr>
          <w:p w14:paraId="7F75ED7B" w14:textId="77777777" w:rsidR="0086261C" w:rsidRPr="00C2587D" w:rsidRDefault="0086261C" w:rsidP="00D55A29">
            <w:pPr>
              <w:rPr>
                <w:rFonts w:cs="Arial"/>
                <w:color w:val="000000"/>
                <w:sz w:val="20"/>
                <w:szCs w:val="20"/>
                <w:lang w:eastAsia="uk-UA"/>
              </w:rPr>
            </w:pPr>
          </w:p>
        </w:tc>
        <w:tc>
          <w:tcPr>
            <w:tcW w:w="3539" w:type="dxa"/>
            <w:shd w:val="clear" w:color="auto" w:fill="auto"/>
            <w:vAlign w:val="center"/>
            <w:hideMark/>
          </w:tcPr>
          <w:p w14:paraId="20DAFFE7" w14:textId="77777777" w:rsidR="0086261C" w:rsidRPr="00C2587D" w:rsidRDefault="0086261C" w:rsidP="00CA089A">
            <w:pPr>
              <w:rPr>
                <w:rFonts w:cs="Arial"/>
                <w:color w:val="000000"/>
                <w:sz w:val="20"/>
                <w:szCs w:val="20"/>
                <w:lang w:eastAsia="uk-UA"/>
              </w:rPr>
            </w:pPr>
            <w:r w:rsidRPr="00C2587D">
              <w:rPr>
                <w:rFonts w:cs="Arial"/>
                <w:color w:val="000000"/>
                <w:sz w:val="20"/>
                <w:szCs w:val="20"/>
                <w:lang w:eastAsia="uk-UA"/>
              </w:rPr>
              <w:t>А.2.2. Стимулювання виробників сільськогосподарської продукції до переробки цієї продукції та створення високої доданої вартості</w:t>
            </w:r>
          </w:p>
          <w:p w14:paraId="0C9813DE" w14:textId="77777777" w:rsidR="0086261C" w:rsidRPr="00C2587D" w:rsidRDefault="0086261C" w:rsidP="00CA089A">
            <w:pPr>
              <w:rPr>
                <w:rFonts w:cs="Arial"/>
                <w:color w:val="000000"/>
                <w:sz w:val="20"/>
                <w:szCs w:val="20"/>
                <w:lang w:eastAsia="uk-UA"/>
              </w:rPr>
            </w:pPr>
          </w:p>
        </w:tc>
        <w:tc>
          <w:tcPr>
            <w:tcW w:w="8789" w:type="dxa"/>
            <w:shd w:val="clear" w:color="auto" w:fill="auto"/>
            <w:hideMark/>
          </w:tcPr>
          <w:p w14:paraId="413EE20C"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А.2.2.1. </w:t>
            </w:r>
            <w:r w:rsidRPr="00C2587D">
              <w:rPr>
                <w:rFonts w:eastAsia="Lucida Sans Unicode" w:cs="Arial"/>
                <w:iCs/>
                <w:kern w:val="1"/>
                <w:sz w:val="20"/>
                <w:szCs w:val="20"/>
                <w:lang w:eastAsia="ar-SA"/>
              </w:rPr>
              <w:t>Сприяння формуванню кластеру виробництва та переробки сільськогосподарської продукції.</w:t>
            </w:r>
          </w:p>
          <w:p w14:paraId="2472BB41" w14:textId="77777777" w:rsidR="0086261C" w:rsidRPr="00C2587D" w:rsidRDefault="0086261C" w:rsidP="00724AF7">
            <w:pPr>
              <w:widowControl w:val="0"/>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А.2.2.2. </w:t>
            </w:r>
            <w:r w:rsidRPr="00C2587D">
              <w:rPr>
                <w:rFonts w:eastAsia="Lucida Sans Unicode" w:cs="Arial"/>
                <w:kern w:val="1"/>
                <w:sz w:val="20"/>
                <w:szCs w:val="20"/>
                <w:lang w:eastAsia="ar-SA"/>
              </w:rPr>
              <w:t>Сприяння розвитку  галузі садівництва, ягідництва з подальшою переробкою продукції.</w:t>
            </w:r>
          </w:p>
          <w:p w14:paraId="60867EBC" w14:textId="77777777" w:rsidR="0086261C" w:rsidRPr="00C2587D" w:rsidRDefault="0086261C" w:rsidP="00724AF7">
            <w:pPr>
              <w:widowControl w:val="0"/>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А.2.2.3. </w:t>
            </w:r>
            <w:r w:rsidRPr="00C2587D">
              <w:rPr>
                <w:rFonts w:eastAsia="Lucida Sans Unicode" w:cs="Arial"/>
                <w:kern w:val="1"/>
                <w:sz w:val="20"/>
                <w:szCs w:val="20"/>
                <w:lang w:eastAsia="ar-SA"/>
              </w:rPr>
              <w:t>Сприяння будівництву нових та реконструкції вільних приміщень, що не використовуються під базові овочесховища та фруктосховища;</w:t>
            </w:r>
          </w:p>
          <w:p w14:paraId="3FC036FB" w14:textId="40451C73" w:rsidR="0086261C" w:rsidRPr="00C2587D" w:rsidRDefault="0086261C" w:rsidP="00724AF7">
            <w:pPr>
              <w:widowControl w:val="0"/>
              <w:suppressAutoHyphens/>
              <w:spacing w:before="20" w:after="20"/>
              <w:jc w:val="both"/>
              <w:rPr>
                <w:rFonts w:cs="Arial"/>
                <w:color w:val="000000"/>
                <w:sz w:val="20"/>
                <w:szCs w:val="20"/>
                <w:lang w:eastAsia="uk-UA"/>
              </w:rPr>
            </w:pPr>
            <w:r w:rsidRPr="00C2587D">
              <w:rPr>
                <w:rFonts w:cs="Arial"/>
                <w:color w:val="000000"/>
                <w:sz w:val="20"/>
                <w:szCs w:val="20"/>
                <w:lang w:eastAsia="uk-UA"/>
              </w:rPr>
              <w:t xml:space="preserve">А.2.2.4. </w:t>
            </w:r>
            <w:r w:rsidRPr="00C2587D">
              <w:rPr>
                <w:rFonts w:eastAsia="Lucida Sans Unicode" w:cs="Arial"/>
                <w:kern w:val="1"/>
                <w:sz w:val="20"/>
                <w:szCs w:val="20"/>
                <w:lang w:eastAsia="ar-SA"/>
              </w:rPr>
              <w:t>Сприяння відновленню роботи міні пекарень та  міні крупорушок по населених пунктах громади.</w:t>
            </w:r>
          </w:p>
        </w:tc>
      </w:tr>
      <w:tr w:rsidR="0086261C" w:rsidRPr="00C2587D" w14:paraId="4D41C3B5" w14:textId="77777777" w:rsidTr="00CA089A">
        <w:trPr>
          <w:trHeight w:val="108"/>
        </w:trPr>
        <w:tc>
          <w:tcPr>
            <w:tcW w:w="2693" w:type="dxa"/>
            <w:vMerge/>
            <w:vAlign w:val="center"/>
          </w:tcPr>
          <w:p w14:paraId="2B1F19AB" w14:textId="77777777" w:rsidR="0086261C" w:rsidRPr="00C2587D" w:rsidRDefault="0086261C" w:rsidP="00D55A29">
            <w:pPr>
              <w:rPr>
                <w:rFonts w:cs="Arial"/>
                <w:color w:val="000000"/>
                <w:sz w:val="20"/>
                <w:szCs w:val="20"/>
                <w:lang w:eastAsia="uk-UA"/>
              </w:rPr>
            </w:pPr>
          </w:p>
        </w:tc>
        <w:tc>
          <w:tcPr>
            <w:tcW w:w="3539" w:type="dxa"/>
            <w:shd w:val="clear" w:color="auto" w:fill="auto"/>
            <w:vAlign w:val="center"/>
          </w:tcPr>
          <w:p w14:paraId="25FA4B15" w14:textId="77777777" w:rsidR="0086261C" w:rsidRPr="00C2587D" w:rsidRDefault="0086261C" w:rsidP="00CA089A">
            <w:pPr>
              <w:rPr>
                <w:rFonts w:cs="Arial"/>
                <w:color w:val="000000"/>
                <w:sz w:val="20"/>
                <w:szCs w:val="20"/>
                <w:lang w:eastAsia="uk-UA"/>
              </w:rPr>
            </w:pPr>
            <w:r w:rsidRPr="00C2587D">
              <w:rPr>
                <w:rFonts w:cs="Arial"/>
                <w:color w:val="000000"/>
                <w:sz w:val="20"/>
                <w:szCs w:val="20"/>
                <w:lang w:eastAsia="uk-UA"/>
              </w:rPr>
              <w:t>А.2.3. Підтримка раціонального використання  земельних ресурсів та водного фонду для фінансової стабільності  громади</w:t>
            </w:r>
          </w:p>
        </w:tc>
        <w:tc>
          <w:tcPr>
            <w:tcW w:w="8789" w:type="dxa"/>
            <w:shd w:val="clear" w:color="auto" w:fill="auto"/>
          </w:tcPr>
          <w:p w14:paraId="0E1F3495"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cs="Arial"/>
                <w:color w:val="000000"/>
                <w:sz w:val="20"/>
                <w:szCs w:val="20"/>
              </w:rPr>
              <w:t>А.2.3.1. Здійснення повного комплексу заходів щодо передачі земель сільськогосподарського призначення державної власності у комунальну власність міської територіальної громади.</w:t>
            </w:r>
          </w:p>
          <w:p w14:paraId="5E30E456"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cs="Arial"/>
                <w:color w:val="000000"/>
                <w:sz w:val="20"/>
                <w:szCs w:val="20"/>
              </w:rPr>
              <w:t>А.2.3.2. Проведення інвентаризації всіх земель, що знаходяться на території громади.</w:t>
            </w:r>
          </w:p>
          <w:p w14:paraId="14B49787"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cs="Arial"/>
                <w:color w:val="000000"/>
                <w:sz w:val="20"/>
                <w:szCs w:val="20"/>
              </w:rPr>
              <w:t>А.2.3.3. Проведення організаційної роботи щодо укладання договорів оренди земельних ділянок, які використовуються без правових підстав.</w:t>
            </w:r>
            <w:r w:rsidRPr="00C2587D">
              <w:t xml:space="preserve"> </w:t>
            </w:r>
          </w:p>
          <w:p w14:paraId="6F25D92D"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cs="Arial"/>
                <w:color w:val="000000"/>
                <w:sz w:val="20"/>
                <w:szCs w:val="20"/>
              </w:rPr>
              <w:t>А.2.3.4. Ініціювання припинення в установленому законодавством порядку користування земельними ділянками особами та суб’єктами господарювання, які систематично не сплачують земельний податок або орендну плату за землю.</w:t>
            </w:r>
          </w:p>
          <w:p w14:paraId="1A0989F6"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cs="Arial"/>
                <w:color w:val="000000"/>
                <w:sz w:val="20"/>
                <w:szCs w:val="20"/>
              </w:rPr>
              <w:t xml:space="preserve">А.2.3.5. </w:t>
            </w:r>
            <w:r w:rsidRPr="00C2587D">
              <w:rPr>
                <w:rFonts w:eastAsia="Lucida Sans Unicode" w:cs="Arial"/>
                <w:color w:val="000000"/>
                <w:kern w:val="1"/>
                <w:sz w:val="20"/>
                <w:szCs w:val="20"/>
              </w:rPr>
              <w:t>Проведення інвентаризації лісів та встановлення площі  і стану лісомеліоративних насаджень (лісосмуг) на території Жмеринської МТГ.</w:t>
            </w:r>
          </w:p>
          <w:p w14:paraId="7AFE6A85" w14:textId="31D30B8C"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cs="Arial"/>
                <w:color w:val="000000"/>
                <w:sz w:val="20"/>
                <w:szCs w:val="20"/>
              </w:rPr>
              <w:t xml:space="preserve">А.2.3.6. </w:t>
            </w:r>
            <w:r w:rsidRPr="00C2587D">
              <w:rPr>
                <w:rFonts w:eastAsia="Lucida Sans Unicode" w:cs="Arial"/>
                <w:kern w:val="1"/>
                <w:sz w:val="20"/>
                <w:szCs w:val="20"/>
              </w:rPr>
              <w:t xml:space="preserve">Виготовлення </w:t>
            </w:r>
            <w:r w:rsidR="00314B9D">
              <w:rPr>
                <w:rFonts w:eastAsia="Lucida Sans Unicode" w:cs="Arial"/>
                <w:kern w:val="1"/>
                <w:sz w:val="20"/>
                <w:szCs w:val="20"/>
              </w:rPr>
              <w:t>проєкт</w:t>
            </w:r>
            <w:r w:rsidRPr="00C2587D">
              <w:rPr>
                <w:rFonts w:eastAsia="Lucida Sans Unicode" w:cs="Arial"/>
                <w:kern w:val="1"/>
                <w:sz w:val="20"/>
                <w:szCs w:val="20"/>
              </w:rPr>
              <w:t>ів відведення визначених лісових та лісомеліоративних ділянок з виділенням в натурі.</w:t>
            </w:r>
          </w:p>
          <w:p w14:paraId="0D496D73"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cs="Arial"/>
                <w:color w:val="000000"/>
                <w:sz w:val="20"/>
                <w:szCs w:val="20"/>
              </w:rPr>
              <w:t xml:space="preserve">А.2.3.7. </w:t>
            </w:r>
            <w:r w:rsidRPr="00C2587D">
              <w:rPr>
                <w:rFonts w:eastAsia="Lucida Sans Unicode" w:cs="Arial"/>
                <w:kern w:val="1"/>
                <w:sz w:val="20"/>
                <w:szCs w:val="20"/>
              </w:rPr>
              <w:t>Проведення консервації наявних деградованих  земель та неугідь на території громади шляхом заліснення.</w:t>
            </w:r>
          </w:p>
          <w:p w14:paraId="54F89571"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cs="Arial"/>
                <w:color w:val="000000"/>
                <w:sz w:val="20"/>
                <w:szCs w:val="20"/>
              </w:rPr>
              <w:t xml:space="preserve">А.2.3.8. </w:t>
            </w:r>
            <w:r w:rsidRPr="00C2587D">
              <w:rPr>
                <w:rFonts w:eastAsia="Lucida Sans Unicode" w:cs="Arial"/>
                <w:kern w:val="1"/>
                <w:sz w:val="20"/>
                <w:szCs w:val="20"/>
              </w:rPr>
              <w:t>Проведення  відновлення та реконструкції існуючих лісових насаджень шляхом заміни малоцінних порід на довговічні, високопродуктивні.</w:t>
            </w:r>
          </w:p>
          <w:p w14:paraId="5F89E086"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cs="Arial"/>
                <w:color w:val="000000"/>
                <w:sz w:val="20"/>
                <w:szCs w:val="20"/>
              </w:rPr>
              <w:t>А.2.3.9. Впорядкування реєстру водних об’єктів громади.</w:t>
            </w:r>
          </w:p>
          <w:p w14:paraId="477751AA"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cs="Arial"/>
                <w:color w:val="000000"/>
                <w:sz w:val="20"/>
                <w:szCs w:val="20"/>
              </w:rPr>
              <w:t>А.2.3.10. Сприяння приведенню документації щодо оренди водних об’єктів суб’єктами господарювання у відповідність до чинних нормативно-правових актів (виготовлення паспортів водних об’єктів, укладання договорів оренди, додаткових угод, інше).</w:t>
            </w:r>
          </w:p>
          <w:p w14:paraId="4784D08E" w14:textId="77777777" w:rsidR="0086261C" w:rsidRPr="00C2587D" w:rsidRDefault="0086261C" w:rsidP="00724AF7">
            <w:pPr>
              <w:widowControl w:val="0"/>
              <w:suppressAutoHyphens/>
              <w:spacing w:before="20" w:after="20"/>
              <w:jc w:val="both"/>
              <w:rPr>
                <w:rFonts w:cs="Arial"/>
                <w:color w:val="000000"/>
                <w:sz w:val="20"/>
                <w:szCs w:val="20"/>
                <w:lang w:eastAsia="uk-UA"/>
              </w:rPr>
            </w:pPr>
            <w:r w:rsidRPr="00C2587D">
              <w:rPr>
                <w:rFonts w:cs="Arial"/>
                <w:color w:val="000000"/>
                <w:sz w:val="20"/>
                <w:szCs w:val="20"/>
              </w:rPr>
              <w:t xml:space="preserve">А.2.3.11. </w:t>
            </w:r>
            <w:r w:rsidRPr="00C2587D">
              <w:rPr>
                <w:rFonts w:eastAsia="Lucida Sans Unicode" w:cs="Arial"/>
                <w:color w:val="000000"/>
                <w:kern w:val="1"/>
                <w:sz w:val="20"/>
                <w:szCs w:val="20"/>
              </w:rPr>
              <w:t>Формування та ведення реєстру водних об’єктів, сприяння укладенню договорів оренди з урахуванням нормативно-грошової оцінки у розмірі не менше 3%.</w:t>
            </w:r>
          </w:p>
        </w:tc>
      </w:tr>
      <w:tr w:rsidR="0086261C" w:rsidRPr="00C2587D" w14:paraId="154636EF" w14:textId="77777777" w:rsidTr="00CA089A">
        <w:trPr>
          <w:trHeight w:val="1512"/>
        </w:trPr>
        <w:tc>
          <w:tcPr>
            <w:tcW w:w="2693" w:type="dxa"/>
            <w:vMerge w:val="restart"/>
            <w:shd w:val="clear" w:color="auto" w:fill="auto"/>
            <w:vAlign w:val="center"/>
            <w:hideMark/>
          </w:tcPr>
          <w:p w14:paraId="0C81D566" w14:textId="77777777" w:rsidR="0086261C" w:rsidRPr="00C2587D" w:rsidRDefault="0086261C" w:rsidP="00CA089A">
            <w:pPr>
              <w:rPr>
                <w:rFonts w:cs="Arial"/>
                <w:color w:val="000000"/>
                <w:sz w:val="20"/>
                <w:szCs w:val="20"/>
                <w:lang w:eastAsia="uk-UA"/>
              </w:rPr>
            </w:pPr>
            <w:r w:rsidRPr="00C2587D">
              <w:rPr>
                <w:rFonts w:cs="Arial"/>
                <w:b/>
                <w:bCs/>
                <w:color w:val="000000"/>
                <w:sz w:val="20"/>
                <w:szCs w:val="20"/>
                <w:lang w:eastAsia="uk-UA"/>
              </w:rPr>
              <w:lastRenderedPageBreak/>
              <w:t>А.3. Розвиток підприємницького потенціалу громади</w:t>
            </w:r>
          </w:p>
        </w:tc>
        <w:tc>
          <w:tcPr>
            <w:tcW w:w="3539" w:type="dxa"/>
            <w:shd w:val="clear" w:color="auto" w:fill="auto"/>
            <w:vAlign w:val="center"/>
            <w:hideMark/>
          </w:tcPr>
          <w:p w14:paraId="42DB3F8F" w14:textId="77777777" w:rsidR="0086261C" w:rsidRPr="00C2587D" w:rsidRDefault="0086261C" w:rsidP="00CA089A">
            <w:pPr>
              <w:rPr>
                <w:rFonts w:cs="Arial"/>
                <w:color w:val="000000"/>
                <w:sz w:val="20"/>
                <w:szCs w:val="20"/>
                <w:lang w:eastAsia="uk-UA"/>
              </w:rPr>
            </w:pPr>
            <w:r w:rsidRPr="00C2587D">
              <w:rPr>
                <w:rFonts w:cs="Arial"/>
                <w:color w:val="000000"/>
                <w:sz w:val="20"/>
                <w:szCs w:val="20"/>
                <w:lang w:eastAsia="uk-UA"/>
              </w:rPr>
              <w:t>А.3.1. Ефективна інфраструктура для підтримки бізнесу</w:t>
            </w:r>
          </w:p>
        </w:tc>
        <w:tc>
          <w:tcPr>
            <w:tcW w:w="8789" w:type="dxa"/>
            <w:shd w:val="clear" w:color="auto" w:fill="auto"/>
            <w:hideMark/>
          </w:tcPr>
          <w:p w14:paraId="702218BA"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А.3.1.1. </w:t>
            </w:r>
            <w:r w:rsidRPr="00C2587D">
              <w:rPr>
                <w:rFonts w:eastAsia="Lucida Sans Unicode" w:cs="Arial"/>
                <w:kern w:val="1"/>
                <w:sz w:val="20"/>
                <w:szCs w:val="20"/>
                <w:lang w:eastAsia="ar-SA"/>
              </w:rPr>
              <w:t>Створення сучасного ХАБу для підтримки малого та середнього бізнесу.</w:t>
            </w:r>
          </w:p>
          <w:p w14:paraId="671B9838"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А.3.1.2. </w:t>
            </w:r>
            <w:r w:rsidRPr="00C2587D">
              <w:rPr>
                <w:rFonts w:ascii="Calibri" w:eastAsia="Lucida Sans Unicode" w:hAnsi="Calibri" w:cs="font231"/>
                <w:kern w:val="1"/>
                <w:szCs w:val="22"/>
                <w:lang w:eastAsia="ar-SA"/>
              </w:rPr>
              <w:t xml:space="preserve"> </w:t>
            </w:r>
            <w:r w:rsidRPr="00C2587D">
              <w:rPr>
                <w:rFonts w:eastAsia="Lucida Sans Unicode" w:cs="Arial"/>
                <w:kern w:val="1"/>
                <w:sz w:val="20"/>
                <w:szCs w:val="20"/>
                <w:lang w:eastAsia="ar-SA"/>
              </w:rPr>
              <w:t>Створення Агенції місцевого економічного розвитку громади.</w:t>
            </w:r>
          </w:p>
          <w:p w14:paraId="28AB97E7" w14:textId="77777777" w:rsidR="0086261C" w:rsidRPr="00C2587D" w:rsidRDefault="0086261C" w:rsidP="00724AF7">
            <w:pPr>
              <w:widowControl w:val="0"/>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А.3.1.3. </w:t>
            </w:r>
            <w:r w:rsidRPr="00C2587D">
              <w:rPr>
                <w:rFonts w:eastAsia="Lucida Sans Unicode" w:cs="Arial"/>
                <w:kern w:val="1"/>
                <w:sz w:val="20"/>
                <w:szCs w:val="20"/>
                <w:lang w:eastAsia="ar-SA"/>
              </w:rPr>
              <w:t>Організація на базі інституцій МЕР надання консультаційних, інформаційних, освітніх послуг для підприємців.</w:t>
            </w:r>
          </w:p>
          <w:p w14:paraId="59EF408C" w14:textId="77777777" w:rsidR="0086261C" w:rsidRPr="00C2587D" w:rsidRDefault="0086261C" w:rsidP="00724AF7">
            <w:pPr>
              <w:widowControl w:val="0"/>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А.3.1.3. </w:t>
            </w:r>
            <w:r w:rsidRPr="00C2587D">
              <w:rPr>
                <w:rFonts w:eastAsia="Lucida Sans Unicode" w:cs="Arial"/>
                <w:kern w:val="1"/>
                <w:sz w:val="20"/>
                <w:szCs w:val="20"/>
                <w:lang w:eastAsia="ar-SA"/>
              </w:rPr>
              <w:t>Налагодження  співпраці  з міжнародними бізнес-асоціаціями та торгово-промисловими палатами.</w:t>
            </w:r>
          </w:p>
          <w:p w14:paraId="4A8C2D93" w14:textId="77777777" w:rsidR="0086261C" w:rsidRPr="00C2587D" w:rsidRDefault="0086261C" w:rsidP="00724AF7">
            <w:pPr>
              <w:widowControl w:val="0"/>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А.3.1.4. </w:t>
            </w:r>
            <w:r w:rsidRPr="00C2587D">
              <w:rPr>
                <w:rFonts w:eastAsia="Lucida Sans Unicode" w:cs="Arial"/>
                <w:kern w:val="1"/>
                <w:sz w:val="20"/>
                <w:szCs w:val="20"/>
                <w:lang w:eastAsia="ar-SA"/>
              </w:rPr>
              <w:t>Підтримка виставкової та ярмаркової діяльності.</w:t>
            </w:r>
          </w:p>
          <w:p w14:paraId="7EBD3DC2" w14:textId="77777777" w:rsidR="0086261C" w:rsidRPr="00C2587D" w:rsidRDefault="0086261C" w:rsidP="00724AF7">
            <w:pPr>
              <w:widowControl w:val="0"/>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А.3.1.5. </w:t>
            </w:r>
            <w:r w:rsidRPr="00C2587D">
              <w:rPr>
                <w:rFonts w:eastAsia="Lucida Sans Unicode" w:cs="Arial"/>
                <w:kern w:val="1"/>
                <w:sz w:val="20"/>
                <w:szCs w:val="20"/>
                <w:lang w:eastAsia="ar-SA"/>
              </w:rPr>
              <w:t>Підтримка співпраці між секторами влада-бізнес-громада.</w:t>
            </w:r>
          </w:p>
          <w:p w14:paraId="3CF7481E" w14:textId="77777777" w:rsidR="0086261C" w:rsidRPr="00C2587D" w:rsidRDefault="0086261C" w:rsidP="00724AF7">
            <w:pPr>
              <w:widowControl w:val="0"/>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А.3.1.6. </w:t>
            </w:r>
            <w:r w:rsidRPr="00C2587D">
              <w:rPr>
                <w:rFonts w:eastAsia="Lucida Sans Unicode" w:cs="Arial"/>
                <w:kern w:val="1"/>
                <w:sz w:val="20"/>
                <w:szCs w:val="20"/>
                <w:lang w:eastAsia="ar-SA"/>
              </w:rPr>
              <w:t>Встановлення партнерства між Центром зайнятості, Асоціаціями підприємців, міжнародними донорськими організаціями.</w:t>
            </w:r>
          </w:p>
          <w:p w14:paraId="75967E7D" w14:textId="77777777" w:rsidR="0086261C" w:rsidRPr="00C2587D" w:rsidRDefault="0086261C" w:rsidP="00724AF7">
            <w:pPr>
              <w:widowControl w:val="0"/>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А.3.1.7. </w:t>
            </w:r>
            <w:r w:rsidRPr="00C2587D">
              <w:rPr>
                <w:rFonts w:eastAsia="Lucida Sans Unicode" w:cs="Arial"/>
                <w:kern w:val="1"/>
                <w:sz w:val="20"/>
                <w:szCs w:val="20"/>
                <w:lang w:eastAsia="ar-SA"/>
              </w:rPr>
              <w:t>Проведення тренінгів для представників малого та середнього бізнесу з питань «зеленого» бізнесу, енергоменеджменту альтернативної енергетики та збалансованих моделей споживання і виробництва.</w:t>
            </w:r>
          </w:p>
          <w:p w14:paraId="297F6837" w14:textId="77777777" w:rsidR="0086261C" w:rsidRPr="00C2587D" w:rsidRDefault="0086261C" w:rsidP="00724AF7">
            <w:pPr>
              <w:widowControl w:val="0"/>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А.3.1.8. </w:t>
            </w:r>
            <w:r w:rsidRPr="00C2587D">
              <w:rPr>
                <w:rFonts w:eastAsia="MS Mincho" w:cs="Arial"/>
                <w:kern w:val="1"/>
                <w:sz w:val="20"/>
                <w:szCs w:val="20"/>
                <w:lang w:eastAsia="ar-SA"/>
              </w:rPr>
              <w:t xml:space="preserve">Розроблення заходів для підтримки підприємців-початківців. </w:t>
            </w:r>
          </w:p>
          <w:p w14:paraId="4B870135" w14:textId="5FD96A47" w:rsidR="0086261C" w:rsidRPr="00C2587D" w:rsidRDefault="0086261C" w:rsidP="00682193">
            <w:pPr>
              <w:jc w:val="both"/>
              <w:rPr>
                <w:rFonts w:cs="Arial"/>
                <w:color w:val="000000"/>
                <w:sz w:val="20"/>
                <w:szCs w:val="20"/>
                <w:lang w:eastAsia="uk-UA"/>
              </w:rPr>
            </w:pPr>
            <w:r w:rsidRPr="00C2587D">
              <w:rPr>
                <w:rFonts w:cs="Arial"/>
                <w:color w:val="000000"/>
                <w:sz w:val="20"/>
                <w:szCs w:val="20"/>
                <w:lang w:eastAsia="uk-UA"/>
              </w:rPr>
              <w:t xml:space="preserve">А.3.1.9. </w:t>
            </w:r>
            <w:r w:rsidRPr="00C2587D">
              <w:rPr>
                <w:rFonts w:eastAsia="Lucida Sans Unicode" w:cs="Arial"/>
                <w:kern w:val="1"/>
                <w:sz w:val="20"/>
                <w:szCs w:val="20"/>
                <w:lang w:eastAsia="ar-SA"/>
              </w:rPr>
              <w:t>Розроблення заходів по підтримці соціального підприємництва.</w:t>
            </w:r>
          </w:p>
        </w:tc>
      </w:tr>
      <w:tr w:rsidR="0086261C" w:rsidRPr="00C2587D" w14:paraId="32051DCC" w14:textId="77777777" w:rsidTr="00682193">
        <w:trPr>
          <w:trHeight w:val="1749"/>
        </w:trPr>
        <w:tc>
          <w:tcPr>
            <w:tcW w:w="2693" w:type="dxa"/>
            <w:vMerge/>
            <w:vAlign w:val="center"/>
            <w:hideMark/>
          </w:tcPr>
          <w:p w14:paraId="01E1A613" w14:textId="77777777" w:rsidR="0086261C" w:rsidRPr="00C2587D" w:rsidRDefault="0086261C" w:rsidP="00D55A29">
            <w:pPr>
              <w:rPr>
                <w:rFonts w:cs="Arial"/>
                <w:color w:val="000000"/>
                <w:sz w:val="20"/>
                <w:szCs w:val="20"/>
                <w:lang w:eastAsia="uk-UA"/>
              </w:rPr>
            </w:pPr>
          </w:p>
        </w:tc>
        <w:tc>
          <w:tcPr>
            <w:tcW w:w="3539" w:type="dxa"/>
            <w:shd w:val="clear" w:color="auto" w:fill="auto"/>
            <w:vAlign w:val="center"/>
            <w:hideMark/>
          </w:tcPr>
          <w:p w14:paraId="6A378977" w14:textId="77777777" w:rsidR="0086261C" w:rsidRPr="00C2587D" w:rsidRDefault="0086261C" w:rsidP="00CA089A">
            <w:pPr>
              <w:rPr>
                <w:rFonts w:cs="Arial"/>
                <w:color w:val="000000"/>
                <w:sz w:val="20"/>
                <w:szCs w:val="20"/>
                <w:lang w:eastAsia="uk-UA"/>
              </w:rPr>
            </w:pPr>
            <w:r w:rsidRPr="00C2587D">
              <w:rPr>
                <w:rFonts w:cs="Arial"/>
                <w:color w:val="000000"/>
                <w:sz w:val="20"/>
                <w:szCs w:val="20"/>
                <w:lang w:eastAsia="uk-UA"/>
              </w:rPr>
              <w:t>А.3.2. Сприяння  експортерам  малих і середніх підприємств</w:t>
            </w:r>
          </w:p>
        </w:tc>
        <w:tc>
          <w:tcPr>
            <w:tcW w:w="8789" w:type="dxa"/>
            <w:shd w:val="clear" w:color="auto" w:fill="auto"/>
            <w:hideMark/>
          </w:tcPr>
          <w:p w14:paraId="6FA19ABB"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cs="Arial"/>
                <w:sz w:val="20"/>
                <w:szCs w:val="20"/>
                <w:lang w:eastAsia="uk-UA"/>
              </w:rPr>
              <w:t xml:space="preserve">А.3.2.1. </w:t>
            </w:r>
            <w:r w:rsidRPr="00C2587D">
              <w:rPr>
                <w:rFonts w:eastAsia="Lucida Sans Unicode" w:cs="Arial"/>
                <w:kern w:val="1"/>
                <w:sz w:val="20"/>
                <w:szCs w:val="20"/>
                <w:lang w:eastAsia="ar-SA"/>
              </w:rPr>
              <w:t>Створення Спілки експортерів малих і середніх підприємств.</w:t>
            </w:r>
          </w:p>
          <w:p w14:paraId="25B9E57B" w14:textId="77777777" w:rsidR="0086261C" w:rsidRPr="00C2587D" w:rsidRDefault="0086261C" w:rsidP="00724AF7">
            <w:pPr>
              <w:widowControl w:val="0"/>
              <w:suppressAutoHyphens/>
              <w:spacing w:before="20" w:after="20"/>
              <w:jc w:val="both"/>
              <w:rPr>
                <w:rFonts w:eastAsia="Lucida Sans Unicode" w:cs="Arial"/>
                <w:kern w:val="1"/>
                <w:sz w:val="20"/>
                <w:szCs w:val="20"/>
                <w:lang w:eastAsia="ar-SA"/>
              </w:rPr>
            </w:pPr>
            <w:r w:rsidRPr="00C2587D">
              <w:rPr>
                <w:rFonts w:cs="Arial"/>
                <w:sz w:val="20"/>
                <w:szCs w:val="20"/>
                <w:lang w:eastAsia="uk-UA"/>
              </w:rPr>
              <w:t>А.3.2.2.</w:t>
            </w:r>
            <w:r w:rsidRPr="00C2587D">
              <w:rPr>
                <w:rFonts w:eastAsia="Lucida Sans Unicode" w:cs="Arial"/>
                <w:kern w:val="1"/>
                <w:sz w:val="20"/>
                <w:szCs w:val="20"/>
                <w:lang w:eastAsia="ar-SA"/>
              </w:rPr>
              <w:t>Формування інформаційних матеріалів для експортерів: бази даних, аналітики пріоритетних ринків та індустрій.</w:t>
            </w:r>
          </w:p>
          <w:p w14:paraId="67A568BD" w14:textId="77777777" w:rsidR="0086261C" w:rsidRPr="00C2587D" w:rsidRDefault="0086261C" w:rsidP="00724AF7">
            <w:pPr>
              <w:widowControl w:val="0"/>
              <w:suppressAutoHyphens/>
              <w:spacing w:before="20" w:after="20"/>
              <w:jc w:val="both"/>
              <w:rPr>
                <w:rFonts w:eastAsia="Lucida Sans Unicode" w:cs="Arial"/>
                <w:kern w:val="1"/>
                <w:sz w:val="20"/>
                <w:szCs w:val="20"/>
                <w:lang w:eastAsia="ar-SA"/>
              </w:rPr>
            </w:pPr>
            <w:r w:rsidRPr="00C2587D">
              <w:rPr>
                <w:rFonts w:cs="Arial"/>
                <w:sz w:val="20"/>
                <w:szCs w:val="20"/>
                <w:lang w:eastAsia="uk-UA"/>
              </w:rPr>
              <w:t xml:space="preserve">А.3.2.3. </w:t>
            </w:r>
            <w:r w:rsidRPr="00C2587D">
              <w:rPr>
                <w:rFonts w:eastAsia="Lucida Sans Unicode" w:cs="Arial"/>
                <w:kern w:val="1"/>
                <w:sz w:val="20"/>
                <w:szCs w:val="20"/>
                <w:lang w:eastAsia="ar-SA"/>
              </w:rPr>
              <w:t>Освіта для експортерів: тренінги, семінари, вебінари.</w:t>
            </w:r>
          </w:p>
          <w:p w14:paraId="4FAFF852" w14:textId="77777777" w:rsidR="0086261C" w:rsidRPr="00C2587D" w:rsidRDefault="0086261C" w:rsidP="00724AF7">
            <w:pPr>
              <w:widowControl w:val="0"/>
              <w:suppressAutoHyphens/>
              <w:spacing w:before="20" w:after="20"/>
              <w:jc w:val="both"/>
              <w:rPr>
                <w:rFonts w:eastAsia="Lucida Sans Unicode" w:cs="Arial"/>
                <w:kern w:val="1"/>
                <w:sz w:val="20"/>
                <w:szCs w:val="20"/>
                <w:lang w:eastAsia="ar-SA"/>
              </w:rPr>
            </w:pPr>
            <w:r w:rsidRPr="00C2587D">
              <w:rPr>
                <w:rFonts w:cs="Arial"/>
                <w:sz w:val="20"/>
                <w:szCs w:val="20"/>
                <w:lang w:eastAsia="uk-UA"/>
              </w:rPr>
              <w:t xml:space="preserve">А.3.2.4. </w:t>
            </w:r>
            <w:r w:rsidRPr="00C2587D">
              <w:rPr>
                <w:rFonts w:eastAsia="Lucida Sans Unicode" w:cs="Arial"/>
                <w:kern w:val="1"/>
                <w:sz w:val="20"/>
                <w:szCs w:val="20"/>
                <w:lang w:eastAsia="ar-SA"/>
              </w:rPr>
              <w:t>Співпраця з Вінницькою Торгово-промисловою Палатою.</w:t>
            </w:r>
          </w:p>
          <w:p w14:paraId="2CD63D94" w14:textId="77777777" w:rsidR="0086261C" w:rsidRPr="00C2587D" w:rsidRDefault="0086261C" w:rsidP="00724AF7">
            <w:pPr>
              <w:jc w:val="both"/>
              <w:rPr>
                <w:rFonts w:cs="Arial"/>
                <w:color w:val="000000"/>
                <w:sz w:val="20"/>
                <w:szCs w:val="20"/>
                <w:lang w:eastAsia="uk-UA"/>
              </w:rPr>
            </w:pPr>
            <w:r w:rsidRPr="00C2587D">
              <w:rPr>
                <w:rFonts w:cs="Arial"/>
                <w:sz w:val="20"/>
                <w:szCs w:val="20"/>
                <w:lang w:eastAsia="uk-UA"/>
              </w:rPr>
              <w:t xml:space="preserve">А.3.2.5. </w:t>
            </w:r>
            <w:r w:rsidRPr="00C2587D">
              <w:rPr>
                <w:rFonts w:eastAsia="MS Mincho" w:cs="Arial"/>
                <w:sz w:val="20"/>
                <w:szCs w:val="20"/>
              </w:rPr>
              <w:t>Сприяти в наданні допомоги бізнесу в отриманні інформації та знань, необхідних для виходу на зовнішні ринки.</w:t>
            </w:r>
          </w:p>
        </w:tc>
      </w:tr>
      <w:tr w:rsidR="0086261C" w:rsidRPr="00C2587D" w14:paraId="6C50F4E8" w14:textId="77777777" w:rsidTr="00CA089A">
        <w:trPr>
          <w:trHeight w:val="300"/>
        </w:trPr>
        <w:tc>
          <w:tcPr>
            <w:tcW w:w="2693" w:type="dxa"/>
            <w:vMerge/>
            <w:vAlign w:val="center"/>
          </w:tcPr>
          <w:p w14:paraId="1C655305" w14:textId="77777777" w:rsidR="0086261C" w:rsidRPr="00C2587D" w:rsidRDefault="0086261C" w:rsidP="00D55A29">
            <w:pPr>
              <w:rPr>
                <w:rFonts w:cs="Arial"/>
                <w:color w:val="000000"/>
                <w:sz w:val="20"/>
                <w:szCs w:val="20"/>
                <w:lang w:eastAsia="uk-UA"/>
              </w:rPr>
            </w:pPr>
          </w:p>
        </w:tc>
        <w:tc>
          <w:tcPr>
            <w:tcW w:w="3539" w:type="dxa"/>
            <w:shd w:val="clear" w:color="auto" w:fill="auto"/>
            <w:vAlign w:val="center"/>
          </w:tcPr>
          <w:p w14:paraId="1836ED3D" w14:textId="77777777" w:rsidR="0086261C" w:rsidRPr="00C2587D" w:rsidRDefault="0086261C" w:rsidP="00CA089A">
            <w:pPr>
              <w:rPr>
                <w:rFonts w:cs="Arial"/>
                <w:color w:val="000000"/>
                <w:sz w:val="20"/>
                <w:szCs w:val="20"/>
                <w:lang w:eastAsia="uk-UA"/>
              </w:rPr>
            </w:pPr>
            <w:r w:rsidRPr="00C2587D">
              <w:rPr>
                <w:rFonts w:cs="Arial"/>
                <w:color w:val="000000"/>
                <w:sz w:val="20"/>
                <w:szCs w:val="20"/>
                <w:lang w:eastAsia="uk-UA"/>
              </w:rPr>
              <w:t>А.3.3. Активна діалогова платформа з питань підприємництва</w:t>
            </w:r>
          </w:p>
          <w:p w14:paraId="0E37EE3E" w14:textId="77777777" w:rsidR="0086261C" w:rsidRPr="00C2587D" w:rsidRDefault="0086261C" w:rsidP="00CA089A">
            <w:pPr>
              <w:rPr>
                <w:rFonts w:cs="Arial"/>
                <w:color w:val="000000"/>
                <w:sz w:val="20"/>
                <w:szCs w:val="20"/>
                <w:lang w:eastAsia="uk-UA"/>
              </w:rPr>
            </w:pPr>
          </w:p>
        </w:tc>
        <w:tc>
          <w:tcPr>
            <w:tcW w:w="8789" w:type="dxa"/>
            <w:shd w:val="clear" w:color="auto" w:fill="auto"/>
          </w:tcPr>
          <w:p w14:paraId="12BB7307"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cs="Arial"/>
                <w:sz w:val="20"/>
                <w:szCs w:val="20"/>
                <w:lang w:eastAsia="uk-UA"/>
              </w:rPr>
              <w:t xml:space="preserve">А.3.3.1. </w:t>
            </w:r>
            <w:r w:rsidRPr="00C2587D">
              <w:rPr>
                <w:rFonts w:eastAsia="Lucida Sans Unicode" w:cs="Arial"/>
                <w:kern w:val="1"/>
                <w:sz w:val="20"/>
                <w:szCs w:val="20"/>
                <w:lang w:eastAsia="ar-SA"/>
              </w:rPr>
              <w:t>Створення Координаційної ради з питань  підприємництва при міській раді.</w:t>
            </w:r>
          </w:p>
          <w:p w14:paraId="3C38975B" w14:textId="1A35DFD2"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cs="Arial"/>
                <w:sz w:val="20"/>
                <w:szCs w:val="20"/>
                <w:lang w:eastAsia="uk-UA"/>
              </w:rPr>
              <w:t xml:space="preserve">А.3.3.2. </w:t>
            </w:r>
            <w:r w:rsidRPr="00C2587D">
              <w:rPr>
                <w:rFonts w:eastAsia="Lucida Sans Unicode" w:cs="Arial"/>
                <w:kern w:val="1"/>
                <w:sz w:val="20"/>
                <w:szCs w:val="20"/>
                <w:lang w:eastAsia="ar-SA"/>
              </w:rPr>
              <w:t xml:space="preserve">Обговорення спільних </w:t>
            </w:r>
            <w:r w:rsidR="00314B9D">
              <w:rPr>
                <w:rFonts w:eastAsia="Lucida Sans Unicode" w:cs="Arial"/>
                <w:kern w:val="1"/>
                <w:sz w:val="20"/>
                <w:szCs w:val="20"/>
                <w:lang w:eastAsia="ar-SA"/>
              </w:rPr>
              <w:t>проєкт</w:t>
            </w:r>
            <w:r w:rsidRPr="00C2587D">
              <w:rPr>
                <w:rFonts w:eastAsia="Lucida Sans Unicode" w:cs="Arial"/>
                <w:kern w:val="1"/>
                <w:sz w:val="20"/>
                <w:szCs w:val="20"/>
                <w:lang w:eastAsia="ar-SA"/>
              </w:rPr>
              <w:t>ів і програм розвитку громади, впровадження соціального партнерства.</w:t>
            </w:r>
          </w:p>
          <w:p w14:paraId="6213404B" w14:textId="4521F462"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cs="Arial"/>
                <w:sz w:val="20"/>
                <w:szCs w:val="20"/>
                <w:lang w:eastAsia="uk-UA"/>
              </w:rPr>
              <w:t xml:space="preserve">А.3.3.3. </w:t>
            </w:r>
            <w:r w:rsidRPr="00C2587D">
              <w:rPr>
                <w:rFonts w:eastAsia="Lucida Sans Unicode" w:cs="Arial"/>
                <w:kern w:val="1"/>
                <w:sz w:val="20"/>
                <w:szCs w:val="20"/>
                <w:lang w:eastAsia="ar-SA"/>
              </w:rPr>
              <w:t xml:space="preserve">Запровадити проведення регулярних зустрічей, «круглих столів», гарячих ліній, а також застосовувати інші інструменти взаємодії між владою та бізнесом для спільного вирішення проблем ведення підприємницької діяльності в громаді, реалізації внутрішніх інвестиційних </w:t>
            </w:r>
            <w:r w:rsidR="00314B9D">
              <w:rPr>
                <w:rFonts w:eastAsia="Lucida Sans Unicode" w:cs="Arial"/>
                <w:kern w:val="1"/>
                <w:sz w:val="20"/>
                <w:szCs w:val="20"/>
                <w:lang w:eastAsia="ar-SA"/>
              </w:rPr>
              <w:t>проєкт</w:t>
            </w:r>
            <w:r w:rsidRPr="00C2587D">
              <w:rPr>
                <w:rFonts w:eastAsia="Lucida Sans Unicode" w:cs="Arial"/>
                <w:kern w:val="1"/>
                <w:sz w:val="20"/>
                <w:szCs w:val="20"/>
                <w:lang w:eastAsia="ar-SA"/>
              </w:rPr>
              <w:t>ів та пропозицій бізнесу щодо подальшого розвитку.</w:t>
            </w:r>
          </w:p>
          <w:p w14:paraId="17966CF8"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cs="Arial"/>
                <w:sz w:val="20"/>
                <w:szCs w:val="20"/>
                <w:lang w:eastAsia="uk-UA"/>
              </w:rPr>
              <w:t xml:space="preserve">А.3.3.4. </w:t>
            </w:r>
            <w:r w:rsidRPr="00C2587D">
              <w:rPr>
                <w:rFonts w:cs="Arial"/>
                <w:sz w:val="20"/>
                <w:szCs w:val="20"/>
              </w:rPr>
              <w:t>Проведення круглих столів, робочих зустрічей за участі митних, податкових, органів санітарно-епідеміологічного, ветеринарно-санітарного, фітосанітарного, екологічного, радіологічного контролю, міської ради, а також недержавних інституцій підтримки МСП для обговорення проблемних питань розвитку підприємництва</w:t>
            </w:r>
            <w:r w:rsidRPr="00C2587D">
              <w:rPr>
                <w:rFonts w:eastAsia="Lucida Sans Unicode" w:cs="Arial"/>
                <w:kern w:val="1"/>
                <w:sz w:val="20"/>
                <w:szCs w:val="20"/>
                <w:lang w:eastAsia="ar-SA"/>
              </w:rPr>
              <w:t>.</w:t>
            </w:r>
          </w:p>
          <w:p w14:paraId="00DF12E8"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cs="Arial"/>
                <w:sz w:val="20"/>
                <w:szCs w:val="20"/>
                <w:lang w:eastAsia="uk-UA"/>
              </w:rPr>
              <w:t xml:space="preserve">А.3.3.5. </w:t>
            </w:r>
            <w:r w:rsidRPr="00C2587D">
              <w:rPr>
                <w:rFonts w:cs="Arial"/>
                <w:sz w:val="20"/>
                <w:szCs w:val="20"/>
              </w:rPr>
              <w:t>Створити відкритий віртуальний майданчик для бізнесу на сайті міської ради з інформацією, актуальною для ведення їх діяльності (у т. ч. перспективні сфери) з можливістю отримання зворотного зв’язку.</w:t>
            </w:r>
          </w:p>
          <w:p w14:paraId="08E4F339"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cs="Arial"/>
                <w:sz w:val="20"/>
                <w:szCs w:val="20"/>
                <w:lang w:eastAsia="uk-UA"/>
              </w:rPr>
              <w:t xml:space="preserve">А.3.3.6. </w:t>
            </w:r>
            <w:r w:rsidRPr="00C2587D">
              <w:rPr>
                <w:rFonts w:cs="Arial"/>
                <w:sz w:val="20"/>
                <w:szCs w:val="20"/>
              </w:rPr>
              <w:t>Створення та оприлюднення баз даних (реєстрів нерухомості) на веб-сторінці.</w:t>
            </w:r>
          </w:p>
          <w:p w14:paraId="52539A3D" w14:textId="77777777" w:rsidR="0086261C" w:rsidRPr="00C2587D" w:rsidRDefault="0086261C" w:rsidP="00724AF7">
            <w:pPr>
              <w:jc w:val="both"/>
              <w:rPr>
                <w:rFonts w:cs="Arial"/>
                <w:color w:val="000000"/>
                <w:sz w:val="20"/>
                <w:szCs w:val="20"/>
                <w:lang w:eastAsia="uk-UA"/>
              </w:rPr>
            </w:pPr>
            <w:r w:rsidRPr="00C2587D">
              <w:rPr>
                <w:rFonts w:cs="Arial"/>
                <w:sz w:val="20"/>
                <w:szCs w:val="20"/>
                <w:lang w:eastAsia="uk-UA"/>
              </w:rPr>
              <w:lastRenderedPageBreak/>
              <w:t xml:space="preserve">А.3.3.7. </w:t>
            </w:r>
            <w:r w:rsidRPr="00C2587D">
              <w:rPr>
                <w:rFonts w:cs="Arial"/>
                <w:sz w:val="20"/>
                <w:szCs w:val="20"/>
              </w:rPr>
              <w:t>Розміщення на сайті актуальної інформації про законодавчі та нормативно-правові акти для підприємництва, діючі конкурси міжнародних донорських організацій.</w:t>
            </w:r>
          </w:p>
        </w:tc>
      </w:tr>
      <w:tr w:rsidR="0086261C" w:rsidRPr="00C2587D" w14:paraId="31723B4C" w14:textId="77777777" w:rsidTr="00CA089A">
        <w:trPr>
          <w:trHeight w:val="320"/>
        </w:trPr>
        <w:tc>
          <w:tcPr>
            <w:tcW w:w="2693" w:type="dxa"/>
            <w:vMerge w:val="restart"/>
            <w:shd w:val="clear" w:color="auto" w:fill="auto"/>
            <w:vAlign w:val="center"/>
          </w:tcPr>
          <w:p w14:paraId="79A1453B" w14:textId="77777777" w:rsidR="0086261C" w:rsidRPr="00C2587D" w:rsidRDefault="0086261C" w:rsidP="00CA089A">
            <w:pPr>
              <w:rPr>
                <w:rFonts w:cs="Arial"/>
                <w:color w:val="000000"/>
                <w:sz w:val="20"/>
                <w:szCs w:val="20"/>
                <w:lang w:eastAsia="uk-UA"/>
              </w:rPr>
            </w:pPr>
            <w:r w:rsidRPr="00C2587D">
              <w:rPr>
                <w:rFonts w:cs="Arial"/>
                <w:b/>
                <w:bCs/>
                <w:color w:val="000000"/>
                <w:sz w:val="20"/>
                <w:szCs w:val="20"/>
                <w:lang w:eastAsia="uk-UA"/>
              </w:rPr>
              <w:lastRenderedPageBreak/>
              <w:t>А.4. Ефективна інвестиційна політика та маркетинг території</w:t>
            </w:r>
          </w:p>
          <w:p w14:paraId="3AE9CF03" w14:textId="77777777" w:rsidR="0086261C" w:rsidRPr="00C2587D" w:rsidRDefault="0086261C" w:rsidP="00CA089A">
            <w:pPr>
              <w:rPr>
                <w:rFonts w:cs="Arial"/>
                <w:color w:val="000000"/>
                <w:sz w:val="20"/>
                <w:szCs w:val="20"/>
                <w:lang w:eastAsia="uk-UA"/>
              </w:rPr>
            </w:pPr>
          </w:p>
        </w:tc>
        <w:tc>
          <w:tcPr>
            <w:tcW w:w="3539" w:type="dxa"/>
            <w:shd w:val="clear" w:color="auto" w:fill="auto"/>
            <w:vAlign w:val="center"/>
          </w:tcPr>
          <w:p w14:paraId="150BBE40" w14:textId="77777777" w:rsidR="0086261C" w:rsidRPr="00C2587D" w:rsidRDefault="0086261C" w:rsidP="00CA089A">
            <w:pPr>
              <w:rPr>
                <w:rFonts w:cs="Arial"/>
                <w:color w:val="000000"/>
                <w:sz w:val="20"/>
                <w:szCs w:val="20"/>
                <w:lang w:eastAsia="uk-UA"/>
              </w:rPr>
            </w:pPr>
            <w:r w:rsidRPr="00C2587D">
              <w:rPr>
                <w:rFonts w:cs="Arial"/>
                <w:sz w:val="20"/>
                <w:szCs w:val="22"/>
                <w:lang w:eastAsia="uk-UA"/>
              </w:rPr>
              <w:t>А.4.1.Сучасне просторове планування</w:t>
            </w:r>
          </w:p>
        </w:tc>
        <w:tc>
          <w:tcPr>
            <w:tcW w:w="8789" w:type="dxa"/>
            <w:shd w:val="clear" w:color="auto" w:fill="auto"/>
          </w:tcPr>
          <w:p w14:paraId="7E8E4C3A" w14:textId="77777777" w:rsidR="0086261C" w:rsidRPr="00C2587D" w:rsidRDefault="0086261C" w:rsidP="00724AF7">
            <w:pPr>
              <w:suppressAutoHyphens/>
              <w:spacing w:before="20" w:after="20"/>
              <w:jc w:val="both"/>
              <w:rPr>
                <w:rFonts w:eastAsia="Lucida Sans Unicode" w:cs="Arial"/>
                <w:bCs/>
                <w:kern w:val="1"/>
                <w:sz w:val="20"/>
                <w:szCs w:val="20"/>
                <w:lang w:eastAsia="ar-SA"/>
              </w:rPr>
            </w:pPr>
            <w:r w:rsidRPr="00C2587D">
              <w:rPr>
                <w:rFonts w:eastAsia="Lucida Sans Unicode" w:cs="Arial"/>
                <w:bCs/>
                <w:kern w:val="1"/>
                <w:sz w:val="20"/>
                <w:szCs w:val="20"/>
                <w:lang w:eastAsia="ar-SA"/>
              </w:rPr>
              <w:t>А.4.1.1. Розробка Комплексного плану просторового  розвитку території Жмеринської міської територіальної громади.</w:t>
            </w:r>
          </w:p>
          <w:p w14:paraId="340F4901" w14:textId="77777777" w:rsidR="0086261C" w:rsidRPr="00C2587D" w:rsidRDefault="0086261C" w:rsidP="00724AF7">
            <w:pPr>
              <w:suppressAutoHyphens/>
              <w:spacing w:before="20" w:after="20"/>
              <w:jc w:val="both"/>
              <w:rPr>
                <w:rFonts w:eastAsia="Lucida Sans Unicode" w:cs="Arial"/>
                <w:bCs/>
                <w:kern w:val="1"/>
                <w:sz w:val="20"/>
                <w:szCs w:val="20"/>
                <w:lang w:eastAsia="ar-SA"/>
              </w:rPr>
            </w:pPr>
            <w:r w:rsidRPr="00C2587D">
              <w:rPr>
                <w:rFonts w:eastAsia="Lucida Sans Unicode" w:cs="Arial"/>
                <w:bCs/>
                <w:kern w:val="1"/>
                <w:sz w:val="20"/>
                <w:szCs w:val="20"/>
                <w:lang w:eastAsia="ar-SA"/>
              </w:rPr>
              <w:t>А.4.1.2. Розробка Генеральних планів з планами зонування території населених пунктів громади</w:t>
            </w:r>
            <w:r w:rsidRPr="00C2587D">
              <w:rPr>
                <w:rFonts w:eastAsia="Lucida Sans Unicode" w:cs="Arial"/>
                <w:kern w:val="1"/>
                <w:sz w:val="20"/>
                <w:szCs w:val="20"/>
                <w:lang w:eastAsia="ar-SA"/>
              </w:rPr>
              <w:t>.</w:t>
            </w:r>
          </w:p>
          <w:p w14:paraId="49706F9F"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eastAsia="Lucida Sans Unicode" w:cs="Arial"/>
                <w:bCs/>
                <w:kern w:val="1"/>
                <w:sz w:val="20"/>
                <w:szCs w:val="20"/>
                <w:lang w:eastAsia="ar-SA"/>
              </w:rPr>
              <w:t>А.4.1.3. Розроблення детальних планів території.</w:t>
            </w:r>
          </w:p>
          <w:p w14:paraId="797712CE"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eastAsia="Lucida Sans Unicode" w:cs="Arial"/>
                <w:bCs/>
                <w:kern w:val="1"/>
                <w:sz w:val="20"/>
                <w:szCs w:val="20"/>
                <w:lang w:eastAsia="ar-SA"/>
              </w:rPr>
              <w:t>А.4.1.4. Створення містобудівного кадастру для забезпечення прозорого всебічного вивчення інвестиційної привабливості території громади.</w:t>
            </w:r>
          </w:p>
          <w:p w14:paraId="68196630" w14:textId="77777777" w:rsidR="0086261C" w:rsidRPr="00C2587D" w:rsidRDefault="0086261C" w:rsidP="00724AF7">
            <w:pPr>
              <w:jc w:val="both"/>
              <w:rPr>
                <w:rFonts w:cs="Arial"/>
                <w:color w:val="000000"/>
                <w:sz w:val="20"/>
                <w:szCs w:val="20"/>
                <w:lang w:eastAsia="uk-UA"/>
              </w:rPr>
            </w:pPr>
            <w:r w:rsidRPr="00C2587D">
              <w:rPr>
                <w:rFonts w:eastAsia="Lucida Sans Unicode" w:cs="Arial"/>
                <w:bCs/>
                <w:kern w:val="1"/>
                <w:sz w:val="20"/>
                <w:szCs w:val="20"/>
                <w:lang w:eastAsia="ar-SA"/>
              </w:rPr>
              <w:t xml:space="preserve">А.4.1.5. </w:t>
            </w:r>
            <w:r w:rsidRPr="00C2587D">
              <w:rPr>
                <w:rFonts w:cs="Arial"/>
                <w:bCs/>
                <w:sz w:val="20"/>
                <w:szCs w:val="20"/>
              </w:rPr>
              <w:t>Розробка історико-архітектурного опорного плану смт.Браїлів.</w:t>
            </w:r>
          </w:p>
        </w:tc>
      </w:tr>
      <w:tr w:rsidR="0086261C" w:rsidRPr="00C2587D" w14:paraId="2ADC5231" w14:textId="77777777" w:rsidTr="00CA089A">
        <w:trPr>
          <w:trHeight w:val="288"/>
        </w:trPr>
        <w:tc>
          <w:tcPr>
            <w:tcW w:w="2693" w:type="dxa"/>
            <w:vMerge/>
            <w:shd w:val="clear" w:color="auto" w:fill="auto"/>
          </w:tcPr>
          <w:p w14:paraId="34EC9AFB" w14:textId="77777777" w:rsidR="0086261C" w:rsidRPr="00C2587D" w:rsidRDefault="0086261C" w:rsidP="00D55A29">
            <w:pPr>
              <w:rPr>
                <w:rFonts w:cs="Arial"/>
                <w:b/>
                <w:bCs/>
                <w:color w:val="000000"/>
                <w:sz w:val="20"/>
                <w:szCs w:val="20"/>
                <w:lang w:eastAsia="uk-UA"/>
              </w:rPr>
            </w:pPr>
          </w:p>
        </w:tc>
        <w:tc>
          <w:tcPr>
            <w:tcW w:w="3539" w:type="dxa"/>
            <w:shd w:val="clear" w:color="auto" w:fill="auto"/>
            <w:vAlign w:val="center"/>
          </w:tcPr>
          <w:p w14:paraId="2CAC3E36" w14:textId="16365F1D" w:rsidR="0086261C" w:rsidRPr="00CA089A" w:rsidRDefault="0086261C" w:rsidP="00CA089A">
            <w:pPr>
              <w:rPr>
                <w:rFonts w:cs="Arial"/>
                <w:sz w:val="20"/>
                <w:szCs w:val="22"/>
                <w:lang w:eastAsia="uk-UA"/>
              </w:rPr>
            </w:pPr>
            <w:r w:rsidRPr="00C2587D">
              <w:rPr>
                <w:rFonts w:cs="Arial"/>
                <w:sz w:val="20"/>
                <w:szCs w:val="22"/>
                <w:lang w:eastAsia="uk-UA"/>
              </w:rPr>
              <w:t>А.4.2. Розробка бренду та маркетингової стратегії громади</w:t>
            </w:r>
          </w:p>
        </w:tc>
        <w:tc>
          <w:tcPr>
            <w:tcW w:w="8789" w:type="dxa"/>
            <w:shd w:val="clear" w:color="auto" w:fill="auto"/>
          </w:tcPr>
          <w:p w14:paraId="66DB6A7E"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А.4.2.1. Формування цілісної інвестиційної пропозиції громади.</w:t>
            </w:r>
          </w:p>
          <w:p w14:paraId="0A914B8D"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А.4.2.2. Розробка інвестиційного бренду громади.</w:t>
            </w:r>
          </w:p>
          <w:p w14:paraId="030C29A8"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 xml:space="preserve">А.4.2.3. </w:t>
            </w:r>
            <w:r w:rsidRPr="00C2587D">
              <w:rPr>
                <w:rFonts w:eastAsia="Lucida Sans Unicode" w:cs="Arial"/>
                <w:kern w:val="1"/>
                <w:sz w:val="20"/>
                <w:szCs w:val="20"/>
                <w:lang w:eastAsia="it-IT"/>
              </w:rPr>
              <w:t>Формування привабливого іміджу громади.</w:t>
            </w:r>
          </w:p>
          <w:p w14:paraId="04A6C5D0"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 xml:space="preserve">А.4.2.4. </w:t>
            </w:r>
            <w:r w:rsidRPr="00C2587D">
              <w:rPr>
                <w:rFonts w:eastAsia="Lucida Sans Unicode" w:cs="Arial"/>
                <w:kern w:val="1"/>
                <w:sz w:val="20"/>
                <w:szCs w:val="20"/>
                <w:lang w:eastAsia="it-IT"/>
              </w:rPr>
              <w:t>Підготовка промоматеріалів про громаду (буклет, відео-ролик).</w:t>
            </w:r>
          </w:p>
          <w:p w14:paraId="0CFF5D63"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 xml:space="preserve">А.4.2.5. </w:t>
            </w:r>
            <w:r w:rsidRPr="00C2587D">
              <w:rPr>
                <w:rFonts w:eastAsia="Lucida Sans Unicode" w:cs="Arial"/>
                <w:kern w:val="1"/>
                <w:sz w:val="20"/>
                <w:szCs w:val="20"/>
                <w:lang w:eastAsia="it-IT"/>
              </w:rPr>
              <w:t>Виготовлення сувенірної продукції із використанням бренду.</w:t>
            </w:r>
          </w:p>
          <w:p w14:paraId="3BAE5880"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А.4.2.6. Промоція інвестиційних можливостей громади.</w:t>
            </w:r>
          </w:p>
          <w:p w14:paraId="2A860444"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А.4.2.7. Створення реєстру інвестиційних об’єктів громади.</w:t>
            </w:r>
          </w:p>
          <w:p w14:paraId="725E6883" w14:textId="77777777" w:rsidR="0086261C" w:rsidRPr="00C2587D" w:rsidRDefault="0086261C" w:rsidP="00724AF7">
            <w:pPr>
              <w:jc w:val="both"/>
              <w:rPr>
                <w:rFonts w:cs="Arial"/>
                <w:color w:val="000000"/>
                <w:sz w:val="20"/>
                <w:szCs w:val="20"/>
                <w:lang w:eastAsia="uk-UA"/>
              </w:rPr>
            </w:pPr>
            <w:r w:rsidRPr="00C2587D">
              <w:rPr>
                <w:rFonts w:eastAsia="Lucida Sans Unicode" w:cs="Arial"/>
                <w:kern w:val="1"/>
                <w:sz w:val="20"/>
                <w:szCs w:val="20"/>
                <w:lang w:eastAsia="ar-SA"/>
              </w:rPr>
              <w:t xml:space="preserve">А.4.2.8. </w:t>
            </w:r>
            <w:r w:rsidRPr="00C2587D">
              <w:rPr>
                <w:rFonts w:cs="Arial"/>
                <w:sz w:val="20"/>
                <w:szCs w:val="20"/>
              </w:rPr>
              <w:t>Створення інвестиційного порталу.</w:t>
            </w:r>
          </w:p>
        </w:tc>
      </w:tr>
      <w:tr w:rsidR="0086261C" w:rsidRPr="00C2587D" w14:paraId="18826965" w14:textId="77777777" w:rsidTr="00CA089A">
        <w:trPr>
          <w:trHeight w:val="220"/>
        </w:trPr>
        <w:tc>
          <w:tcPr>
            <w:tcW w:w="2693" w:type="dxa"/>
            <w:vMerge/>
            <w:shd w:val="clear" w:color="auto" w:fill="auto"/>
          </w:tcPr>
          <w:p w14:paraId="6BCF30B3" w14:textId="77777777" w:rsidR="0086261C" w:rsidRPr="00C2587D" w:rsidRDefault="0086261C" w:rsidP="00D55A29">
            <w:pPr>
              <w:rPr>
                <w:rFonts w:cs="Arial"/>
                <w:b/>
                <w:bCs/>
                <w:color w:val="000000"/>
                <w:sz w:val="20"/>
                <w:szCs w:val="20"/>
                <w:lang w:eastAsia="uk-UA"/>
              </w:rPr>
            </w:pPr>
          </w:p>
        </w:tc>
        <w:tc>
          <w:tcPr>
            <w:tcW w:w="3539" w:type="dxa"/>
            <w:shd w:val="clear" w:color="auto" w:fill="auto"/>
            <w:vAlign w:val="center"/>
          </w:tcPr>
          <w:p w14:paraId="3A792E06" w14:textId="2E74AE03" w:rsidR="0086261C" w:rsidRPr="00CA089A" w:rsidRDefault="0086261C" w:rsidP="00CA089A">
            <w:pPr>
              <w:rPr>
                <w:rFonts w:cs="Arial"/>
                <w:sz w:val="20"/>
                <w:szCs w:val="22"/>
                <w:lang w:eastAsia="uk-UA"/>
              </w:rPr>
            </w:pPr>
            <w:r w:rsidRPr="00C2587D">
              <w:rPr>
                <w:rFonts w:cs="Arial"/>
                <w:sz w:val="20"/>
                <w:szCs w:val="22"/>
                <w:lang w:eastAsia="uk-UA"/>
              </w:rPr>
              <w:t>А.4.3. Підготовка  якісних інвестиційних продуктів</w:t>
            </w:r>
          </w:p>
        </w:tc>
        <w:tc>
          <w:tcPr>
            <w:tcW w:w="8789" w:type="dxa"/>
            <w:shd w:val="clear" w:color="auto" w:fill="auto"/>
          </w:tcPr>
          <w:p w14:paraId="55E77B30" w14:textId="77777777" w:rsidR="0086261C" w:rsidRPr="00C2587D" w:rsidRDefault="0086261C" w:rsidP="00724AF7">
            <w:pPr>
              <w:spacing w:before="20" w:after="20"/>
              <w:jc w:val="both"/>
              <w:rPr>
                <w:rFonts w:cs="Arial"/>
                <w:sz w:val="20"/>
                <w:szCs w:val="20"/>
              </w:rPr>
            </w:pPr>
            <w:r w:rsidRPr="00C2587D">
              <w:rPr>
                <w:rFonts w:cs="Arial"/>
                <w:sz w:val="20"/>
                <w:szCs w:val="20"/>
              </w:rPr>
              <w:t>А.4.3.1.Підготовка інвестиційних пропозицій (Каталог) та їх оприлюднення.</w:t>
            </w:r>
          </w:p>
          <w:p w14:paraId="2C6DC691" w14:textId="77777777" w:rsidR="0086261C" w:rsidRPr="00C2587D" w:rsidRDefault="0086261C" w:rsidP="00724AF7">
            <w:pPr>
              <w:spacing w:before="20" w:after="20"/>
              <w:jc w:val="both"/>
              <w:rPr>
                <w:rFonts w:cs="Arial"/>
                <w:sz w:val="20"/>
                <w:szCs w:val="20"/>
              </w:rPr>
            </w:pPr>
            <w:r w:rsidRPr="00C2587D">
              <w:rPr>
                <w:rFonts w:cs="Arial"/>
                <w:sz w:val="20"/>
                <w:szCs w:val="20"/>
              </w:rPr>
              <w:t>А.4.3.2.Розробка інвестиційних продуктів.</w:t>
            </w:r>
          </w:p>
          <w:p w14:paraId="0A677242" w14:textId="77777777" w:rsidR="0086261C" w:rsidRPr="00C2587D" w:rsidRDefault="0086261C" w:rsidP="00724AF7">
            <w:pPr>
              <w:spacing w:before="20" w:after="20"/>
              <w:jc w:val="both"/>
              <w:rPr>
                <w:rFonts w:cs="Arial"/>
                <w:sz w:val="20"/>
                <w:szCs w:val="20"/>
              </w:rPr>
            </w:pPr>
            <w:r w:rsidRPr="00C2587D">
              <w:rPr>
                <w:rFonts w:cs="Arial"/>
                <w:sz w:val="20"/>
                <w:szCs w:val="20"/>
              </w:rPr>
              <w:t>А.4.3.3. Пошук фінансування (фандрайзинг).</w:t>
            </w:r>
          </w:p>
          <w:p w14:paraId="3D970FB0" w14:textId="6D1C126C" w:rsidR="0086261C" w:rsidRPr="00C2587D" w:rsidRDefault="0086261C" w:rsidP="00724AF7">
            <w:pPr>
              <w:spacing w:before="20" w:after="20"/>
              <w:jc w:val="both"/>
              <w:rPr>
                <w:rFonts w:cs="Arial"/>
                <w:sz w:val="20"/>
                <w:szCs w:val="20"/>
              </w:rPr>
            </w:pPr>
            <w:r w:rsidRPr="00C2587D">
              <w:rPr>
                <w:rFonts w:cs="Arial"/>
                <w:sz w:val="20"/>
                <w:szCs w:val="20"/>
              </w:rPr>
              <w:t xml:space="preserve">А.4.3.4.Залучення коштів міжнародної технічної допомоги та реалізація </w:t>
            </w:r>
            <w:r w:rsidR="00314B9D">
              <w:rPr>
                <w:rFonts w:cs="Arial"/>
                <w:sz w:val="20"/>
                <w:szCs w:val="20"/>
              </w:rPr>
              <w:t>проєкт</w:t>
            </w:r>
            <w:r w:rsidRPr="00C2587D">
              <w:rPr>
                <w:rFonts w:cs="Arial"/>
                <w:sz w:val="20"/>
                <w:szCs w:val="20"/>
              </w:rPr>
              <w:t>ів МТД.</w:t>
            </w:r>
          </w:p>
          <w:p w14:paraId="6741B83D" w14:textId="192E903B" w:rsidR="0086261C" w:rsidRPr="00C2587D" w:rsidRDefault="0086261C" w:rsidP="00724AF7">
            <w:pPr>
              <w:spacing w:before="20" w:after="20"/>
              <w:jc w:val="both"/>
              <w:rPr>
                <w:rFonts w:cs="Arial"/>
                <w:sz w:val="20"/>
                <w:szCs w:val="20"/>
              </w:rPr>
            </w:pPr>
            <w:r w:rsidRPr="00C2587D">
              <w:rPr>
                <w:rFonts w:cs="Arial"/>
                <w:sz w:val="20"/>
                <w:szCs w:val="20"/>
              </w:rPr>
              <w:t xml:space="preserve">А.4.3.5.Розроблення критеріїв екологічної безпечності інвестиційних </w:t>
            </w:r>
            <w:r w:rsidR="00314B9D">
              <w:rPr>
                <w:rFonts w:cs="Arial"/>
                <w:sz w:val="20"/>
                <w:szCs w:val="20"/>
              </w:rPr>
              <w:t>проєкт</w:t>
            </w:r>
            <w:r w:rsidRPr="00C2587D">
              <w:rPr>
                <w:rFonts w:cs="Arial"/>
                <w:sz w:val="20"/>
                <w:szCs w:val="20"/>
              </w:rPr>
              <w:t>ів і застосування цих критеріїв під час підготовки та відбору інвестиційних пропозицій.</w:t>
            </w:r>
          </w:p>
          <w:p w14:paraId="5F45EC2D" w14:textId="77777777" w:rsidR="0086261C" w:rsidRPr="00C2587D" w:rsidRDefault="0086261C" w:rsidP="00724AF7">
            <w:pPr>
              <w:jc w:val="both"/>
              <w:rPr>
                <w:rFonts w:cs="Arial"/>
                <w:color w:val="000000"/>
                <w:sz w:val="20"/>
                <w:szCs w:val="20"/>
                <w:lang w:eastAsia="uk-UA"/>
              </w:rPr>
            </w:pPr>
            <w:r w:rsidRPr="00C2587D">
              <w:rPr>
                <w:rFonts w:cs="Arial"/>
                <w:sz w:val="20"/>
                <w:szCs w:val="20"/>
              </w:rPr>
              <w:t>А.4.3.6.Розвиток  та облаштування індустріального парку.</w:t>
            </w:r>
          </w:p>
        </w:tc>
      </w:tr>
      <w:tr w:rsidR="0086261C" w:rsidRPr="00C2587D" w14:paraId="301CD343" w14:textId="77777777" w:rsidTr="00CA089A">
        <w:trPr>
          <w:trHeight w:val="228"/>
        </w:trPr>
        <w:tc>
          <w:tcPr>
            <w:tcW w:w="2693" w:type="dxa"/>
            <w:vMerge/>
            <w:shd w:val="clear" w:color="auto" w:fill="auto"/>
          </w:tcPr>
          <w:p w14:paraId="73F7259E" w14:textId="77777777" w:rsidR="0086261C" w:rsidRPr="00C2587D" w:rsidRDefault="0086261C" w:rsidP="00D55A29">
            <w:pPr>
              <w:rPr>
                <w:rFonts w:cs="Arial"/>
                <w:b/>
                <w:bCs/>
                <w:color w:val="000000"/>
                <w:sz w:val="20"/>
                <w:szCs w:val="20"/>
                <w:lang w:eastAsia="uk-UA"/>
              </w:rPr>
            </w:pPr>
          </w:p>
        </w:tc>
        <w:tc>
          <w:tcPr>
            <w:tcW w:w="3539" w:type="dxa"/>
            <w:shd w:val="clear" w:color="auto" w:fill="auto"/>
            <w:vAlign w:val="center"/>
          </w:tcPr>
          <w:p w14:paraId="74063436" w14:textId="77777777" w:rsidR="0086261C" w:rsidRPr="00C2587D" w:rsidRDefault="0086261C" w:rsidP="00CA089A">
            <w:pPr>
              <w:rPr>
                <w:rFonts w:cs="Arial"/>
                <w:color w:val="000000"/>
                <w:sz w:val="20"/>
                <w:szCs w:val="20"/>
                <w:lang w:eastAsia="uk-UA"/>
              </w:rPr>
            </w:pPr>
            <w:r w:rsidRPr="00C2587D">
              <w:rPr>
                <w:rFonts w:cs="Arial"/>
                <w:sz w:val="20"/>
                <w:szCs w:val="22"/>
                <w:lang w:eastAsia="uk-UA"/>
              </w:rPr>
              <w:t>А.4.4. Міжнародне співробітництво</w:t>
            </w:r>
          </w:p>
        </w:tc>
        <w:tc>
          <w:tcPr>
            <w:tcW w:w="8789" w:type="dxa"/>
            <w:shd w:val="clear" w:color="auto" w:fill="auto"/>
          </w:tcPr>
          <w:p w14:paraId="2D0DF06F" w14:textId="77777777" w:rsidR="0086261C" w:rsidRPr="00C2587D" w:rsidRDefault="0086261C" w:rsidP="00724AF7">
            <w:pPr>
              <w:spacing w:before="20" w:after="20"/>
              <w:jc w:val="both"/>
              <w:rPr>
                <w:rFonts w:cs="Arial"/>
                <w:sz w:val="20"/>
                <w:szCs w:val="20"/>
              </w:rPr>
            </w:pPr>
            <w:r w:rsidRPr="00C2587D">
              <w:rPr>
                <w:rFonts w:cs="Arial"/>
                <w:sz w:val="20"/>
                <w:szCs w:val="20"/>
              </w:rPr>
              <w:t>А.4.4.1. Здійснення заходів з поглиблення співпраці з містами побратимами з якими Жмеринською міською територіальною громадою  укладено угоди (протоколи) про співробітництво, зокрема, обмін делегаціями, проведення робочих зустрічей, «круглих столів», конференцій, бізнес - форумів тощо.</w:t>
            </w:r>
          </w:p>
          <w:p w14:paraId="0ACD8CB2" w14:textId="77777777" w:rsidR="0086261C" w:rsidRPr="00C2587D" w:rsidRDefault="0086261C" w:rsidP="00724AF7">
            <w:pPr>
              <w:spacing w:before="20" w:after="20"/>
              <w:jc w:val="both"/>
              <w:rPr>
                <w:rFonts w:cs="Arial"/>
                <w:sz w:val="20"/>
                <w:szCs w:val="20"/>
              </w:rPr>
            </w:pPr>
            <w:r w:rsidRPr="00C2587D">
              <w:rPr>
                <w:rFonts w:cs="Arial"/>
                <w:sz w:val="20"/>
                <w:szCs w:val="20"/>
              </w:rPr>
              <w:t>А.4.4.2. Формування позитивного іміджу та популяризація Жмеринської міської територіальної громади на міжнародному рівні.</w:t>
            </w:r>
          </w:p>
          <w:p w14:paraId="0A9B4F40" w14:textId="77777777" w:rsidR="0086261C" w:rsidRPr="00C2587D" w:rsidRDefault="0086261C" w:rsidP="00724AF7">
            <w:pPr>
              <w:spacing w:before="20" w:after="20"/>
              <w:jc w:val="both"/>
              <w:rPr>
                <w:rFonts w:cs="Arial"/>
                <w:sz w:val="20"/>
                <w:szCs w:val="20"/>
              </w:rPr>
            </w:pPr>
            <w:r w:rsidRPr="00C2587D">
              <w:rPr>
                <w:rFonts w:cs="Arial"/>
                <w:sz w:val="20"/>
                <w:szCs w:val="20"/>
              </w:rPr>
              <w:t>А.4.4.3. Пошук контактів з іноземними посольствами та зарубіжними організаціями, обмін інформацією та встановлення партнерських стосунків між закордонними громадами.</w:t>
            </w:r>
          </w:p>
          <w:p w14:paraId="033C01C7" w14:textId="77777777" w:rsidR="0086261C" w:rsidRPr="00C2587D" w:rsidRDefault="0086261C" w:rsidP="00724AF7">
            <w:pPr>
              <w:jc w:val="both"/>
              <w:rPr>
                <w:rFonts w:cs="Arial"/>
                <w:color w:val="000000"/>
                <w:sz w:val="20"/>
                <w:szCs w:val="20"/>
                <w:lang w:eastAsia="uk-UA"/>
              </w:rPr>
            </w:pPr>
            <w:r w:rsidRPr="00C2587D">
              <w:rPr>
                <w:rFonts w:cs="Arial"/>
                <w:sz w:val="20"/>
                <w:szCs w:val="20"/>
              </w:rPr>
              <w:t>А.4.4.4. Посилення міжнародної співпраці у сферах: культури, освіти, спорту та інших.</w:t>
            </w:r>
          </w:p>
        </w:tc>
      </w:tr>
      <w:tr w:rsidR="0086261C" w:rsidRPr="00C2587D" w14:paraId="3E74DFB6" w14:textId="77777777" w:rsidTr="00CA089A">
        <w:trPr>
          <w:trHeight w:val="284"/>
        </w:trPr>
        <w:tc>
          <w:tcPr>
            <w:tcW w:w="2693" w:type="dxa"/>
            <w:vMerge w:val="restart"/>
            <w:shd w:val="clear" w:color="auto" w:fill="auto"/>
            <w:vAlign w:val="center"/>
          </w:tcPr>
          <w:p w14:paraId="1CA98B95" w14:textId="1A3A4B31" w:rsidR="0086261C" w:rsidRPr="00C2587D" w:rsidRDefault="0086261C" w:rsidP="00CA089A">
            <w:pPr>
              <w:rPr>
                <w:rFonts w:cs="Arial"/>
                <w:b/>
                <w:bCs/>
                <w:color w:val="000000"/>
                <w:sz w:val="20"/>
                <w:szCs w:val="20"/>
                <w:lang w:eastAsia="uk-UA"/>
              </w:rPr>
            </w:pPr>
            <w:r w:rsidRPr="00C2587D">
              <w:rPr>
                <w:rFonts w:cs="Arial"/>
                <w:b/>
                <w:bCs/>
                <w:color w:val="000000"/>
                <w:sz w:val="20"/>
                <w:szCs w:val="20"/>
                <w:lang w:eastAsia="uk-UA"/>
              </w:rPr>
              <w:t xml:space="preserve">А.5. Регіональний  туристичний, </w:t>
            </w:r>
            <w:r w:rsidRPr="00C2587D">
              <w:rPr>
                <w:rFonts w:cs="Arial"/>
                <w:b/>
                <w:bCs/>
                <w:color w:val="000000"/>
                <w:sz w:val="20"/>
                <w:szCs w:val="20"/>
                <w:lang w:eastAsia="uk-UA"/>
              </w:rPr>
              <w:lastRenderedPageBreak/>
              <w:t>культурно-історичний центр</w:t>
            </w:r>
          </w:p>
        </w:tc>
        <w:tc>
          <w:tcPr>
            <w:tcW w:w="3539" w:type="dxa"/>
            <w:shd w:val="clear" w:color="auto" w:fill="auto"/>
            <w:vAlign w:val="center"/>
          </w:tcPr>
          <w:p w14:paraId="27CD3997" w14:textId="625D0013" w:rsidR="0086261C" w:rsidRPr="00C2587D" w:rsidRDefault="0086261C" w:rsidP="00CA089A">
            <w:pPr>
              <w:rPr>
                <w:rFonts w:cs="Arial"/>
                <w:bCs/>
                <w:color w:val="000000"/>
                <w:sz w:val="20"/>
                <w:szCs w:val="20"/>
                <w:lang w:eastAsia="uk-UA"/>
              </w:rPr>
            </w:pPr>
            <w:r w:rsidRPr="00C2587D">
              <w:rPr>
                <w:rFonts w:cs="Arial"/>
                <w:bCs/>
                <w:sz w:val="20"/>
                <w:szCs w:val="22"/>
              </w:rPr>
              <w:lastRenderedPageBreak/>
              <w:t xml:space="preserve">А.5.1. Маркетингова діяльність у сфері туризму та створення </w:t>
            </w:r>
            <w:r w:rsidRPr="00C2587D">
              <w:rPr>
                <w:rFonts w:cs="Arial"/>
                <w:bCs/>
                <w:sz w:val="20"/>
                <w:szCs w:val="22"/>
              </w:rPr>
              <w:lastRenderedPageBreak/>
              <w:t>конкурентних  туристичних продуктів та маршрутів</w:t>
            </w:r>
          </w:p>
        </w:tc>
        <w:tc>
          <w:tcPr>
            <w:tcW w:w="8789" w:type="dxa"/>
            <w:shd w:val="clear" w:color="auto" w:fill="auto"/>
          </w:tcPr>
          <w:p w14:paraId="07270FDB"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cs="Arial"/>
                <w:sz w:val="20"/>
                <w:szCs w:val="20"/>
              </w:rPr>
              <w:lastRenderedPageBreak/>
              <w:t>А.5.1.1. Збір, вивчення та систематизація матеріалів щодо історичних і туристичних об’єктів  на території Жмеринської МТГ.</w:t>
            </w:r>
          </w:p>
          <w:p w14:paraId="0097E84E"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cs="Arial"/>
                <w:sz w:val="20"/>
                <w:szCs w:val="20"/>
              </w:rPr>
              <w:lastRenderedPageBreak/>
              <w:t xml:space="preserve">А.5.1.2. </w:t>
            </w:r>
            <w:r w:rsidRPr="00C2587D">
              <w:rPr>
                <w:rFonts w:eastAsia="Lucida Sans Unicode" w:cs="Arial"/>
                <w:kern w:val="1"/>
                <w:sz w:val="20"/>
                <w:szCs w:val="20"/>
                <w:lang w:eastAsia="ar-SA"/>
              </w:rPr>
              <w:t>Розвиток започаткованих та створення нових регіональних туристичних продуктів (пов</w:t>
            </w:r>
            <w:r w:rsidRPr="00C2587D">
              <w:rPr>
                <w:rFonts w:eastAsia="Lucida Sans Unicode" w:cs="Arial"/>
                <w:kern w:val="1"/>
                <w:sz w:val="20"/>
                <w:szCs w:val="20"/>
                <w:lang w:eastAsia="it-IT"/>
              </w:rPr>
              <w:t>’</w:t>
            </w:r>
            <w:r w:rsidRPr="00C2587D">
              <w:rPr>
                <w:rFonts w:eastAsia="Lucida Sans Unicode" w:cs="Arial"/>
                <w:kern w:val="1"/>
                <w:sz w:val="20"/>
                <w:szCs w:val="20"/>
                <w:lang w:eastAsia="ar-SA"/>
              </w:rPr>
              <w:t>язаних з Остапом Бендером, фестивально подієвих).</w:t>
            </w:r>
          </w:p>
          <w:p w14:paraId="5EB79E19"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cs="Arial"/>
                <w:sz w:val="20"/>
                <w:szCs w:val="20"/>
              </w:rPr>
              <w:t>А.5.1.3. Розробка туристичних маршрутів відповідно до інформаційної бази та видання інформаційних матеріалів щодо туристичної привабливості Жмеринської МТГ.</w:t>
            </w:r>
          </w:p>
          <w:p w14:paraId="453913E7"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cs="Arial"/>
                <w:sz w:val="20"/>
                <w:szCs w:val="20"/>
              </w:rPr>
              <w:t>А.5.1.4. Створення туристично привабливих об’єктів (придбання та встановлення на території міста збільшених копій робіт мікромініатюриста  М.Маслюка).</w:t>
            </w:r>
          </w:p>
          <w:p w14:paraId="39BD5CA9"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cs="Arial"/>
                <w:sz w:val="20"/>
                <w:szCs w:val="20"/>
              </w:rPr>
              <w:t xml:space="preserve">А.5.1.5. </w:t>
            </w:r>
            <w:r w:rsidRPr="00C2587D">
              <w:rPr>
                <w:rFonts w:eastAsia="Lucida Sans Unicode" w:cs="Arial"/>
                <w:kern w:val="1"/>
                <w:sz w:val="20"/>
                <w:szCs w:val="20"/>
                <w:lang w:eastAsia="it-IT"/>
              </w:rPr>
              <w:t xml:space="preserve">Популяризація творчості відомого мікромініатюриста </w:t>
            </w:r>
            <w:r w:rsidRPr="00C2587D">
              <w:rPr>
                <w:rFonts w:eastAsia="Lucida Sans Unicode" w:cs="Arial"/>
                <w:kern w:val="1"/>
                <w:sz w:val="20"/>
                <w:szCs w:val="20"/>
                <w:shd w:val="clear" w:color="auto" w:fill="FFFFFF"/>
                <w:lang w:eastAsia="ar-SA"/>
              </w:rPr>
              <w:t>М. Маслюка.</w:t>
            </w:r>
          </w:p>
          <w:p w14:paraId="30988DC5"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cs="Arial"/>
                <w:sz w:val="20"/>
                <w:szCs w:val="20"/>
              </w:rPr>
              <w:t xml:space="preserve">А.5.1.6. </w:t>
            </w:r>
            <w:r w:rsidRPr="00C2587D">
              <w:rPr>
                <w:rFonts w:eastAsia="Lucida Sans Unicode" w:cs="Arial"/>
                <w:kern w:val="1"/>
                <w:sz w:val="20"/>
                <w:szCs w:val="20"/>
                <w:shd w:val="clear" w:color="auto" w:fill="FFFFFF"/>
                <w:lang w:eastAsia="ar-SA"/>
              </w:rPr>
              <w:t>Популяризація міжнародного музичного фестивалю П.І.Чайковського в смт.Браїлів.</w:t>
            </w:r>
            <w:r w:rsidRPr="00C2587D">
              <w:rPr>
                <w:rFonts w:eastAsia="Lucida Sans Unicode" w:cs="Arial"/>
                <w:kern w:val="1"/>
                <w:sz w:val="20"/>
                <w:szCs w:val="20"/>
                <w:lang w:eastAsia="en-US"/>
              </w:rPr>
              <w:t xml:space="preserve"> </w:t>
            </w:r>
          </w:p>
          <w:p w14:paraId="67839841" w14:textId="77777777" w:rsidR="0086261C" w:rsidRPr="00C2587D" w:rsidRDefault="0086261C" w:rsidP="00724AF7">
            <w:pPr>
              <w:jc w:val="both"/>
              <w:rPr>
                <w:rFonts w:cs="Arial"/>
                <w:color w:val="000000"/>
                <w:sz w:val="20"/>
                <w:szCs w:val="20"/>
                <w:lang w:eastAsia="uk-UA"/>
              </w:rPr>
            </w:pPr>
            <w:r w:rsidRPr="00C2587D">
              <w:rPr>
                <w:rFonts w:cs="Arial"/>
                <w:sz w:val="20"/>
                <w:szCs w:val="20"/>
              </w:rPr>
              <w:t xml:space="preserve">А.5.1.7. </w:t>
            </w:r>
            <w:r w:rsidRPr="00C2587D">
              <w:rPr>
                <w:rFonts w:cs="Arial"/>
                <w:sz w:val="20"/>
                <w:szCs w:val="20"/>
                <w:lang w:eastAsia="en-US"/>
              </w:rPr>
              <w:t xml:space="preserve">Моделювання віртуальної </w:t>
            </w:r>
            <w:r w:rsidRPr="00C2587D">
              <w:rPr>
                <w:rFonts w:cs="Arial"/>
                <w:sz w:val="20"/>
                <w:szCs w:val="20"/>
                <w:lang w:eastAsia="it-IT"/>
              </w:rPr>
              <w:t>3D карти громади з нанесенням на неї туристичних маршрутів.</w:t>
            </w:r>
          </w:p>
        </w:tc>
      </w:tr>
      <w:tr w:rsidR="0086261C" w:rsidRPr="00C2587D" w14:paraId="68FFE4C7" w14:textId="77777777" w:rsidTr="00CA089A">
        <w:trPr>
          <w:trHeight w:val="216"/>
        </w:trPr>
        <w:tc>
          <w:tcPr>
            <w:tcW w:w="2693" w:type="dxa"/>
            <w:vMerge/>
            <w:shd w:val="clear" w:color="auto" w:fill="auto"/>
          </w:tcPr>
          <w:p w14:paraId="21EFD53A" w14:textId="77777777" w:rsidR="0086261C" w:rsidRPr="00C2587D" w:rsidRDefault="0086261C" w:rsidP="00D55A29">
            <w:pPr>
              <w:rPr>
                <w:rFonts w:cs="Arial"/>
                <w:b/>
                <w:bCs/>
                <w:color w:val="000000"/>
                <w:sz w:val="20"/>
                <w:szCs w:val="20"/>
                <w:lang w:eastAsia="uk-UA"/>
              </w:rPr>
            </w:pPr>
          </w:p>
        </w:tc>
        <w:tc>
          <w:tcPr>
            <w:tcW w:w="3539" w:type="dxa"/>
            <w:shd w:val="clear" w:color="auto" w:fill="auto"/>
            <w:vAlign w:val="center"/>
          </w:tcPr>
          <w:p w14:paraId="73D3923B" w14:textId="77777777" w:rsidR="0086261C" w:rsidRPr="00C2587D" w:rsidRDefault="0086261C" w:rsidP="00CA089A">
            <w:pPr>
              <w:rPr>
                <w:rFonts w:cs="Arial"/>
                <w:bCs/>
                <w:color w:val="000000"/>
                <w:sz w:val="20"/>
                <w:szCs w:val="20"/>
                <w:lang w:eastAsia="uk-UA"/>
              </w:rPr>
            </w:pPr>
            <w:r w:rsidRPr="00C2587D">
              <w:rPr>
                <w:rFonts w:cs="Arial"/>
                <w:bCs/>
                <w:sz w:val="20"/>
                <w:szCs w:val="22"/>
                <w:lang w:eastAsia="uk-UA"/>
              </w:rPr>
              <w:t>А.5.2. Розвиток  туристичної інфраструктури,</w:t>
            </w:r>
            <w:r w:rsidRPr="00C2587D">
              <w:rPr>
                <w:rFonts w:cs="Arial"/>
                <w:bCs/>
                <w:sz w:val="20"/>
                <w:szCs w:val="22"/>
              </w:rPr>
              <w:t xml:space="preserve"> </w:t>
            </w:r>
            <w:r w:rsidRPr="00C2587D">
              <w:rPr>
                <w:rFonts w:cs="Arial"/>
                <w:bCs/>
                <w:sz w:val="20"/>
                <w:szCs w:val="22"/>
                <w:lang w:eastAsia="uk-UA"/>
              </w:rPr>
              <w:t>брендінг та промоція</w:t>
            </w:r>
          </w:p>
        </w:tc>
        <w:tc>
          <w:tcPr>
            <w:tcW w:w="8789" w:type="dxa"/>
            <w:shd w:val="clear" w:color="auto" w:fill="auto"/>
          </w:tcPr>
          <w:p w14:paraId="169DE682"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А.5.2.1. Розвиток туристичної інфраструктури.</w:t>
            </w:r>
          </w:p>
          <w:p w14:paraId="42A0D37B"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 xml:space="preserve">А.5.2.2. </w:t>
            </w:r>
            <w:r w:rsidRPr="00C2587D">
              <w:rPr>
                <w:rFonts w:eastAsia="Lucida Sans Unicode" w:cs="Arial"/>
                <w:kern w:val="1"/>
                <w:sz w:val="20"/>
                <w:szCs w:val="20"/>
                <w:lang w:eastAsia="it-IT"/>
              </w:rPr>
              <w:t>Сприяння будівництву та реконструкції готелів.</w:t>
            </w:r>
          </w:p>
          <w:p w14:paraId="2EDDEFC0"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 xml:space="preserve">А.5.2.3. </w:t>
            </w:r>
            <w:r w:rsidRPr="00C2587D">
              <w:rPr>
                <w:rFonts w:eastAsia="Lucida Sans Unicode" w:cs="Arial"/>
                <w:kern w:val="1"/>
                <w:sz w:val="20"/>
                <w:szCs w:val="20"/>
                <w:lang w:eastAsia="it-IT"/>
              </w:rPr>
              <w:t>Збільшення кількості та підвищення класу комфортності місць розміщення.</w:t>
            </w:r>
          </w:p>
          <w:p w14:paraId="134358F7"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 xml:space="preserve">А.5.2.4. Брендінг, маркетинг та промоція культурно-історичних можливостей громади. </w:t>
            </w:r>
          </w:p>
          <w:p w14:paraId="19B8C8C2"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А.5.2.5. Підготовка промоційних матеріалів та їх поширення серед цільової аудиторії.</w:t>
            </w:r>
          </w:p>
          <w:p w14:paraId="60FA89D3"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 xml:space="preserve">А.5.2.6. Організація паркування в громаді для туристичних автобусів. </w:t>
            </w:r>
          </w:p>
          <w:p w14:paraId="06864B35" w14:textId="77777777" w:rsidR="0086261C" w:rsidRPr="00C2587D" w:rsidRDefault="0086261C" w:rsidP="00724AF7">
            <w:pPr>
              <w:jc w:val="both"/>
              <w:rPr>
                <w:rFonts w:cs="Arial"/>
                <w:color w:val="000000"/>
                <w:sz w:val="20"/>
                <w:szCs w:val="20"/>
                <w:lang w:eastAsia="uk-UA"/>
              </w:rPr>
            </w:pPr>
            <w:r w:rsidRPr="00C2587D">
              <w:rPr>
                <w:rFonts w:eastAsia="Lucida Sans Unicode" w:cs="Arial"/>
                <w:kern w:val="1"/>
                <w:sz w:val="20"/>
                <w:szCs w:val="20"/>
                <w:lang w:eastAsia="ar-SA"/>
              </w:rPr>
              <w:t xml:space="preserve">А.5.2.7. </w:t>
            </w:r>
            <w:r w:rsidRPr="00C2587D">
              <w:rPr>
                <w:rFonts w:cs="Arial"/>
                <w:sz w:val="20"/>
                <w:szCs w:val="20"/>
              </w:rPr>
              <w:t>Підготовка місцевих фахівців туристичного супроводу/гідів.</w:t>
            </w:r>
          </w:p>
        </w:tc>
      </w:tr>
      <w:tr w:rsidR="0086261C" w:rsidRPr="00C2587D" w14:paraId="0141B022" w14:textId="77777777" w:rsidTr="00CA089A">
        <w:trPr>
          <w:trHeight w:val="228"/>
        </w:trPr>
        <w:tc>
          <w:tcPr>
            <w:tcW w:w="2693" w:type="dxa"/>
            <w:vMerge/>
            <w:shd w:val="clear" w:color="auto" w:fill="auto"/>
          </w:tcPr>
          <w:p w14:paraId="493E342B" w14:textId="77777777" w:rsidR="0086261C" w:rsidRPr="00C2587D" w:rsidRDefault="0086261C" w:rsidP="00D55A29">
            <w:pPr>
              <w:rPr>
                <w:rFonts w:cs="Arial"/>
                <w:b/>
                <w:bCs/>
                <w:color w:val="000000"/>
                <w:sz w:val="20"/>
                <w:szCs w:val="20"/>
                <w:lang w:eastAsia="uk-UA"/>
              </w:rPr>
            </w:pPr>
          </w:p>
        </w:tc>
        <w:tc>
          <w:tcPr>
            <w:tcW w:w="3539" w:type="dxa"/>
            <w:shd w:val="clear" w:color="auto" w:fill="auto"/>
            <w:vAlign w:val="center"/>
          </w:tcPr>
          <w:p w14:paraId="17369503" w14:textId="77777777" w:rsidR="0086261C" w:rsidRPr="00C2587D" w:rsidRDefault="0086261C" w:rsidP="00CA089A">
            <w:pPr>
              <w:rPr>
                <w:rFonts w:cs="Arial"/>
                <w:bCs/>
                <w:color w:val="000000"/>
                <w:sz w:val="20"/>
                <w:szCs w:val="20"/>
                <w:lang w:eastAsia="uk-UA"/>
              </w:rPr>
            </w:pPr>
            <w:r w:rsidRPr="00C2587D">
              <w:rPr>
                <w:rFonts w:cs="Arial"/>
                <w:bCs/>
                <w:sz w:val="20"/>
                <w:szCs w:val="22"/>
                <w:lang w:eastAsia="uk-UA"/>
              </w:rPr>
              <w:t>А.5.3. Розвиток зеленого туризму</w:t>
            </w:r>
          </w:p>
        </w:tc>
        <w:tc>
          <w:tcPr>
            <w:tcW w:w="8789" w:type="dxa"/>
            <w:shd w:val="clear" w:color="auto" w:fill="auto"/>
          </w:tcPr>
          <w:p w14:paraId="23FF5488"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cs="Arial"/>
                <w:sz w:val="20"/>
                <w:szCs w:val="20"/>
              </w:rPr>
              <w:t>А.5.3.1. Вивчення потенціалу щодо розвитку зеленого туризму на території Жмеринської МТГ</w:t>
            </w:r>
            <w:r w:rsidRPr="00C2587D">
              <w:rPr>
                <w:rFonts w:eastAsia="Lucida Sans Unicode" w:cs="Arial"/>
                <w:kern w:val="1"/>
                <w:sz w:val="20"/>
                <w:szCs w:val="20"/>
                <w:lang w:eastAsia="ar-SA"/>
              </w:rPr>
              <w:t>.</w:t>
            </w:r>
          </w:p>
          <w:p w14:paraId="155AA0FA"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cs="Arial"/>
                <w:sz w:val="20"/>
                <w:szCs w:val="20"/>
              </w:rPr>
              <w:t>А.5.3.2. Співпраця із старостинськими округами та домогосподарствами щодо створення бази зеленого туризму.</w:t>
            </w:r>
          </w:p>
          <w:p w14:paraId="50DE59CE"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cs="Arial"/>
                <w:sz w:val="20"/>
                <w:szCs w:val="20"/>
              </w:rPr>
              <w:t xml:space="preserve">А.5.3.3. </w:t>
            </w:r>
            <w:r w:rsidRPr="00C2587D">
              <w:rPr>
                <w:rFonts w:eastAsia="Calibri" w:cs="Arial"/>
                <w:kern w:val="1"/>
                <w:sz w:val="20"/>
                <w:szCs w:val="20"/>
                <w:lang w:eastAsia="en-US"/>
              </w:rPr>
              <w:t>Підтримка створення «зелених садиб».</w:t>
            </w:r>
          </w:p>
          <w:p w14:paraId="7D281C82"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cs="Arial"/>
                <w:sz w:val="20"/>
                <w:szCs w:val="20"/>
              </w:rPr>
              <w:t xml:space="preserve">А.5.3.4. </w:t>
            </w:r>
            <w:r w:rsidRPr="00C2587D">
              <w:rPr>
                <w:rFonts w:eastAsia="Arial" w:cs="Arial"/>
                <w:kern w:val="1"/>
                <w:sz w:val="20"/>
                <w:szCs w:val="20"/>
              </w:rPr>
              <w:t>Організація виставки сувенірів та продукції народних ремесел.</w:t>
            </w:r>
          </w:p>
          <w:p w14:paraId="06DA9DEB"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cs="Arial"/>
                <w:sz w:val="20"/>
                <w:szCs w:val="20"/>
              </w:rPr>
              <w:t xml:space="preserve">А.5.3.5. </w:t>
            </w:r>
            <w:r w:rsidRPr="00C2587D">
              <w:rPr>
                <w:rFonts w:eastAsia="Arial" w:cs="Arial"/>
                <w:kern w:val="1"/>
                <w:sz w:val="20"/>
                <w:szCs w:val="20"/>
              </w:rPr>
              <w:t>Відтворення домашньої української кухні, виготовлення страв та проведення</w:t>
            </w:r>
            <w:r w:rsidRPr="00C2587D">
              <w:rPr>
                <w:rFonts w:eastAsia="Arial" w:cs="Arial"/>
                <w:spacing w:val="-1"/>
                <w:kern w:val="1"/>
                <w:sz w:val="20"/>
                <w:szCs w:val="20"/>
              </w:rPr>
              <w:t xml:space="preserve"> </w:t>
            </w:r>
            <w:r w:rsidRPr="00C2587D">
              <w:rPr>
                <w:rFonts w:eastAsia="Arial" w:cs="Arial"/>
                <w:kern w:val="1"/>
                <w:sz w:val="20"/>
                <w:szCs w:val="20"/>
              </w:rPr>
              <w:t>майстер-класів.</w:t>
            </w:r>
          </w:p>
          <w:p w14:paraId="0BE8E910" w14:textId="77777777" w:rsidR="0086261C" w:rsidRPr="00C2587D" w:rsidRDefault="0086261C" w:rsidP="00724AF7">
            <w:pPr>
              <w:jc w:val="both"/>
              <w:rPr>
                <w:rFonts w:cs="Arial"/>
                <w:color w:val="000000"/>
                <w:sz w:val="20"/>
                <w:szCs w:val="20"/>
                <w:lang w:eastAsia="uk-UA"/>
              </w:rPr>
            </w:pPr>
            <w:r w:rsidRPr="00C2587D">
              <w:rPr>
                <w:rFonts w:cs="Arial"/>
                <w:sz w:val="20"/>
                <w:szCs w:val="20"/>
              </w:rPr>
              <w:t xml:space="preserve">А.5.3.6. </w:t>
            </w:r>
            <w:r w:rsidRPr="00C2587D">
              <w:rPr>
                <w:rFonts w:cs="Arial"/>
                <w:sz w:val="20"/>
                <w:szCs w:val="20"/>
                <w:lang w:eastAsia="en-US"/>
              </w:rPr>
              <w:t>Створення нових туристичних маршрутів, зокрема екологічних.</w:t>
            </w:r>
          </w:p>
        </w:tc>
      </w:tr>
      <w:tr w:rsidR="0086261C" w:rsidRPr="00C2587D" w14:paraId="49031096" w14:textId="77777777" w:rsidTr="00CA089A">
        <w:trPr>
          <w:trHeight w:val="156"/>
        </w:trPr>
        <w:tc>
          <w:tcPr>
            <w:tcW w:w="2693" w:type="dxa"/>
            <w:vMerge/>
            <w:shd w:val="clear" w:color="auto" w:fill="auto"/>
          </w:tcPr>
          <w:p w14:paraId="5D2969A4" w14:textId="77777777" w:rsidR="0086261C" w:rsidRPr="00C2587D" w:rsidRDefault="0086261C" w:rsidP="00D55A29">
            <w:pPr>
              <w:rPr>
                <w:rFonts w:cs="Arial"/>
                <w:b/>
                <w:bCs/>
                <w:color w:val="000000"/>
                <w:sz w:val="20"/>
                <w:szCs w:val="20"/>
                <w:lang w:eastAsia="uk-UA"/>
              </w:rPr>
            </w:pPr>
          </w:p>
        </w:tc>
        <w:tc>
          <w:tcPr>
            <w:tcW w:w="3539" w:type="dxa"/>
            <w:shd w:val="clear" w:color="auto" w:fill="auto"/>
            <w:vAlign w:val="center"/>
          </w:tcPr>
          <w:p w14:paraId="18C69830" w14:textId="77777777" w:rsidR="0086261C" w:rsidRPr="00C2587D" w:rsidRDefault="0086261C" w:rsidP="00CA089A">
            <w:pPr>
              <w:rPr>
                <w:rFonts w:cs="Arial"/>
                <w:bCs/>
                <w:color w:val="000000"/>
                <w:sz w:val="20"/>
                <w:szCs w:val="20"/>
                <w:lang w:eastAsia="uk-UA"/>
              </w:rPr>
            </w:pPr>
            <w:r w:rsidRPr="00C2587D">
              <w:rPr>
                <w:rFonts w:cs="Arial"/>
                <w:bCs/>
                <w:sz w:val="20"/>
                <w:szCs w:val="22"/>
                <w:lang w:eastAsia="uk-UA"/>
              </w:rPr>
              <w:t>А.5.4. Збереження та реставрація  пам’яток архітектури  та історико-культурної спадщини</w:t>
            </w:r>
          </w:p>
        </w:tc>
        <w:tc>
          <w:tcPr>
            <w:tcW w:w="8789" w:type="dxa"/>
            <w:shd w:val="clear" w:color="auto" w:fill="auto"/>
          </w:tcPr>
          <w:p w14:paraId="15C93A96" w14:textId="77777777" w:rsidR="0086261C" w:rsidRPr="00C2587D" w:rsidRDefault="0086261C" w:rsidP="00724AF7">
            <w:pPr>
              <w:suppressAutoHyphens/>
              <w:spacing w:before="20" w:after="20"/>
              <w:jc w:val="both"/>
              <w:rPr>
                <w:rFonts w:cs="Arial"/>
                <w:kern w:val="1"/>
                <w:sz w:val="20"/>
                <w:szCs w:val="20"/>
                <w:lang w:eastAsia="ar-SA"/>
              </w:rPr>
            </w:pPr>
            <w:r w:rsidRPr="00C2587D">
              <w:rPr>
                <w:rFonts w:cs="Arial"/>
                <w:sz w:val="20"/>
                <w:szCs w:val="20"/>
              </w:rPr>
              <w:t>А.5.4.1. Проведення інвентаризації та паспортизація пам’яток культурної спадщини.</w:t>
            </w:r>
            <w:r w:rsidRPr="00C2587D">
              <w:rPr>
                <w:rFonts w:eastAsia="Calibri" w:cs="Arial"/>
                <w:kern w:val="1"/>
                <w:sz w:val="24"/>
                <w:szCs w:val="22"/>
                <w:lang w:eastAsia="en-US"/>
              </w:rPr>
              <w:t xml:space="preserve"> </w:t>
            </w:r>
          </w:p>
          <w:p w14:paraId="63D95B77" w14:textId="77777777" w:rsidR="0086261C" w:rsidRPr="00C2587D" w:rsidRDefault="0086261C" w:rsidP="00724AF7">
            <w:pPr>
              <w:suppressAutoHyphens/>
              <w:spacing w:before="20" w:after="20"/>
              <w:jc w:val="both"/>
              <w:rPr>
                <w:rFonts w:cs="Arial"/>
                <w:kern w:val="1"/>
                <w:sz w:val="20"/>
                <w:szCs w:val="20"/>
                <w:lang w:eastAsia="ar-SA"/>
              </w:rPr>
            </w:pPr>
            <w:r w:rsidRPr="00C2587D">
              <w:rPr>
                <w:rFonts w:cs="Arial"/>
                <w:sz w:val="20"/>
                <w:szCs w:val="20"/>
              </w:rPr>
              <w:t xml:space="preserve">А.5.4.2. </w:t>
            </w:r>
            <w:r w:rsidRPr="00C2587D">
              <w:rPr>
                <w:rFonts w:cs="Arial"/>
                <w:kern w:val="1"/>
                <w:sz w:val="20"/>
                <w:szCs w:val="20"/>
                <w:lang w:eastAsia="ar-SA"/>
              </w:rPr>
              <w:t>Створення реєстру історико-культурних об’єктів та об’єктів природно-заповідного фонду (пам’яток природи тощо).</w:t>
            </w:r>
          </w:p>
          <w:p w14:paraId="2496CF4E" w14:textId="77777777" w:rsidR="0086261C" w:rsidRPr="00C2587D" w:rsidRDefault="0086261C" w:rsidP="00724AF7">
            <w:pPr>
              <w:suppressAutoHyphens/>
              <w:spacing w:before="20" w:after="20"/>
              <w:jc w:val="both"/>
              <w:rPr>
                <w:rFonts w:cs="Arial"/>
                <w:kern w:val="1"/>
                <w:sz w:val="20"/>
                <w:szCs w:val="20"/>
                <w:lang w:eastAsia="ar-SA"/>
              </w:rPr>
            </w:pPr>
            <w:r w:rsidRPr="00C2587D">
              <w:rPr>
                <w:rFonts w:cs="Arial"/>
                <w:sz w:val="20"/>
                <w:szCs w:val="20"/>
              </w:rPr>
              <w:t xml:space="preserve">А.5.4.3. </w:t>
            </w:r>
            <w:r w:rsidRPr="00C2587D">
              <w:rPr>
                <w:rFonts w:cs="Arial"/>
                <w:kern w:val="1"/>
                <w:sz w:val="20"/>
                <w:szCs w:val="20"/>
                <w:lang w:eastAsia="ar-SA"/>
              </w:rPr>
              <w:t>Відео та фото зйомка історико-культурних об’єктів та об’єктів природно-заповідного фонду (пам’яток природи тощо).</w:t>
            </w:r>
          </w:p>
          <w:p w14:paraId="489BAC77" w14:textId="77777777" w:rsidR="0086261C" w:rsidRPr="00C2587D" w:rsidRDefault="0086261C" w:rsidP="00724AF7">
            <w:pPr>
              <w:suppressAutoHyphens/>
              <w:spacing w:before="20" w:after="20"/>
              <w:jc w:val="both"/>
              <w:rPr>
                <w:rFonts w:eastAsia="Lucida Sans Unicode" w:cs="Arial"/>
                <w:kern w:val="1"/>
                <w:sz w:val="20"/>
                <w:szCs w:val="20"/>
                <w:lang w:eastAsia="ar-SA"/>
              </w:rPr>
            </w:pPr>
            <w:r w:rsidRPr="00C2587D">
              <w:rPr>
                <w:rFonts w:cs="Arial"/>
                <w:sz w:val="20"/>
                <w:szCs w:val="20"/>
              </w:rPr>
              <w:t>А.5.4.4. Придбання та встановлення пам’ятного знаку в с. Межирів.</w:t>
            </w:r>
          </w:p>
          <w:p w14:paraId="173435DD" w14:textId="77777777" w:rsidR="0086261C" w:rsidRPr="00C2587D" w:rsidRDefault="0086261C" w:rsidP="00724AF7">
            <w:pPr>
              <w:jc w:val="both"/>
              <w:rPr>
                <w:rFonts w:cs="Arial"/>
                <w:color w:val="000000"/>
                <w:sz w:val="20"/>
                <w:szCs w:val="20"/>
                <w:lang w:eastAsia="uk-UA"/>
              </w:rPr>
            </w:pPr>
            <w:r w:rsidRPr="00C2587D">
              <w:rPr>
                <w:rFonts w:cs="Arial"/>
                <w:sz w:val="20"/>
                <w:szCs w:val="20"/>
              </w:rPr>
              <w:t xml:space="preserve">А.5.4.5. </w:t>
            </w:r>
            <w:r w:rsidRPr="00C2587D">
              <w:rPr>
                <w:rFonts w:eastAsia="Calibri" w:cs="Arial"/>
                <w:sz w:val="20"/>
                <w:szCs w:val="20"/>
                <w:lang w:eastAsia="en-US"/>
              </w:rPr>
              <w:t>Складання супровідних текстів до культурно-історичних пам’яток та об’єктів природно-заповідного фонду (пам’яток природи тощо).</w:t>
            </w:r>
          </w:p>
        </w:tc>
      </w:tr>
    </w:tbl>
    <w:p w14:paraId="6D1D2897" w14:textId="77777777" w:rsidR="00370989" w:rsidRPr="00C2587D" w:rsidRDefault="00370989" w:rsidP="00FE7690">
      <w:pPr>
        <w:rPr>
          <w:lang w:eastAsia="en-US"/>
        </w:rPr>
        <w:sectPr w:rsidR="00370989" w:rsidRPr="00C2587D" w:rsidSect="00C60A15">
          <w:pgSz w:w="16838" w:h="11906" w:orient="landscape" w:code="9"/>
          <w:pgMar w:top="1134" w:right="678" w:bottom="1134" w:left="1134" w:header="720" w:footer="720" w:gutter="0"/>
          <w:cols w:space="708"/>
          <w:docGrid w:linePitch="360"/>
        </w:sectPr>
      </w:pPr>
    </w:p>
    <w:p w14:paraId="18FADA23" w14:textId="2C967873" w:rsidR="00D60D4D" w:rsidRPr="00C2587D" w:rsidRDefault="0086261C" w:rsidP="004E46F6">
      <w:pPr>
        <w:pStyle w:val="30"/>
      </w:pPr>
      <w:bookmarkStart w:id="25" w:name="_Toc1743580"/>
      <w:r w:rsidRPr="00C2587D">
        <w:lastRenderedPageBreak/>
        <w:t>3</w:t>
      </w:r>
      <w:r w:rsidR="004E46F6" w:rsidRPr="00C2587D">
        <w:t>.1.1.</w:t>
      </w:r>
      <w:r w:rsidR="004E46F6" w:rsidRPr="00C2587D">
        <w:tab/>
      </w:r>
      <w:r w:rsidR="00D60D4D" w:rsidRPr="00C2587D">
        <w:t>Орієнтовний фінансовий план Програми</w:t>
      </w:r>
      <w:r w:rsidR="00931676" w:rsidRPr="00C2587D">
        <w:t xml:space="preserve"> Стратегічного напрямку</w:t>
      </w:r>
      <w:r w:rsidR="00D60D4D" w:rsidRPr="00C2587D">
        <w:t xml:space="preserve"> А. </w:t>
      </w:r>
      <w:bookmarkStart w:id="26" w:name="_Hlk75337726"/>
      <w:r w:rsidR="00D60D4D" w:rsidRPr="00C2587D">
        <w:t>«</w:t>
      </w:r>
      <w:r w:rsidR="00370989" w:rsidRPr="00C2587D">
        <w:t>Інвестиційно приваблива громада із розвиненим експортно - орієнтованим бізнесом</w:t>
      </w:r>
      <w:r w:rsidR="00D60D4D" w:rsidRPr="00C2587D">
        <w:t>»</w:t>
      </w:r>
      <w:bookmarkEnd w:id="25"/>
      <w:bookmarkEnd w:id="26"/>
    </w:p>
    <w:tbl>
      <w:tblPr>
        <w:tblW w:w="10681" w:type="dxa"/>
        <w:jc w:val="center"/>
        <w:tblLook w:val="04A0" w:firstRow="1" w:lastRow="0" w:firstColumn="1" w:lastColumn="0" w:noHBand="0" w:noVBand="1"/>
      </w:tblPr>
      <w:tblGrid>
        <w:gridCol w:w="709"/>
        <w:gridCol w:w="3964"/>
        <w:gridCol w:w="1191"/>
        <w:gridCol w:w="1219"/>
        <w:gridCol w:w="1217"/>
        <w:gridCol w:w="1191"/>
        <w:gridCol w:w="1165"/>
        <w:gridCol w:w="25"/>
      </w:tblGrid>
      <w:tr w:rsidR="003A0BF7" w:rsidRPr="00C2587D" w14:paraId="3F3FED39" w14:textId="77777777" w:rsidTr="00987B8D">
        <w:trPr>
          <w:trHeight w:val="542"/>
          <w:jc w:val="center"/>
        </w:trPr>
        <w:tc>
          <w:tcPr>
            <w:tcW w:w="1068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A7B1776" w14:textId="77777777" w:rsidR="003A0BF7" w:rsidRPr="00C2587D" w:rsidRDefault="003A0BF7" w:rsidP="00987B8D">
            <w:pPr>
              <w:spacing w:before="20" w:after="20"/>
              <w:rPr>
                <w:rFonts w:cs="Arial"/>
                <w:b/>
                <w:bCs/>
                <w:color w:val="000000"/>
                <w:sz w:val="20"/>
                <w:szCs w:val="20"/>
                <w:lang w:eastAsia="uk-UA"/>
              </w:rPr>
            </w:pPr>
            <w:r w:rsidRPr="00C2587D">
              <w:rPr>
                <w:rFonts w:cs="Arial"/>
                <w:b/>
                <w:bCs/>
                <w:sz w:val="20"/>
                <w:szCs w:val="20"/>
                <w:lang w:eastAsia="uk-UA"/>
              </w:rPr>
              <w:t>Програма А. «Інвестиційно приваблива громада із розвиненим експортно - орієнтованим бізнесом»</w:t>
            </w:r>
          </w:p>
        </w:tc>
      </w:tr>
      <w:tr w:rsidR="003A0BF7" w:rsidRPr="00C2587D" w14:paraId="1ABCC2F7" w14:textId="77777777" w:rsidTr="00C2587D">
        <w:trPr>
          <w:gridAfter w:val="1"/>
          <w:wAfter w:w="25" w:type="dxa"/>
          <w:jc w:val="center"/>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27C8664" w14:textId="77777777" w:rsidR="003A0BF7" w:rsidRPr="00C2587D" w:rsidRDefault="003A0BF7" w:rsidP="00A85F25">
            <w:pPr>
              <w:spacing w:before="20" w:after="20"/>
              <w:jc w:val="center"/>
              <w:rPr>
                <w:rFonts w:cs="Arial"/>
                <w:b/>
                <w:bCs/>
                <w:color w:val="000000"/>
                <w:sz w:val="20"/>
                <w:szCs w:val="20"/>
                <w:lang w:eastAsia="uk-UA"/>
              </w:rPr>
            </w:pPr>
            <w:r w:rsidRPr="00C2587D">
              <w:rPr>
                <w:rFonts w:cs="Arial"/>
                <w:b/>
                <w:bCs/>
                <w:color w:val="000000"/>
                <w:sz w:val="20"/>
                <w:szCs w:val="20"/>
                <w:lang w:eastAsia="uk-UA"/>
              </w:rPr>
              <w:t>№ п/п</w:t>
            </w:r>
          </w:p>
        </w:tc>
        <w:tc>
          <w:tcPr>
            <w:tcW w:w="3964" w:type="dxa"/>
            <w:tcBorders>
              <w:top w:val="nil"/>
              <w:left w:val="nil"/>
              <w:bottom w:val="single" w:sz="4" w:space="0" w:color="auto"/>
              <w:right w:val="single" w:sz="4" w:space="0" w:color="auto"/>
            </w:tcBorders>
            <w:shd w:val="clear" w:color="auto" w:fill="auto"/>
            <w:vAlign w:val="center"/>
            <w:hideMark/>
          </w:tcPr>
          <w:p w14:paraId="4E3C6645" w14:textId="0F938B53" w:rsidR="003A0BF7" w:rsidRPr="00C2587D" w:rsidRDefault="0044674D" w:rsidP="00A85F25">
            <w:pPr>
              <w:spacing w:before="20" w:after="20"/>
              <w:jc w:val="center"/>
              <w:rPr>
                <w:rFonts w:cs="Arial"/>
                <w:b/>
                <w:bCs/>
                <w:color w:val="000000"/>
                <w:sz w:val="20"/>
                <w:szCs w:val="20"/>
                <w:lang w:eastAsia="uk-UA"/>
              </w:rPr>
            </w:pPr>
            <w:r w:rsidRPr="00C2587D">
              <w:rPr>
                <w:rFonts w:cs="Arial"/>
                <w:b/>
                <w:bCs/>
                <w:color w:val="000000"/>
                <w:sz w:val="20"/>
                <w:szCs w:val="20"/>
                <w:lang w:eastAsia="uk-UA"/>
              </w:rPr>
              <w:t>Назва проє</w:t>
            </w:r>
            <w:r w:rsidR="003A0BF7" w:rsidRPr="00C2587D">
              <w:rPr>
                <w:rFonts w:cs="Arial"/>
                <w:b/>
                <w:bCs/>
                <w:color w:val="000000"/>
                <w:sz w:val="20"/>
                <w:szCs w:val="20"/>
                <w:lang w:eastAsia="uk-UA"/>
              </w:rPr>
              <w:t>кту</w:t>
            </w:r>
          </w:p>
        </w:tc>
        <w:tc>
          <w:tcPr>
            <w:tcW w:w="1191" w:type="dxa"/>
            <w:tcBorders>
              <w:top w:val="nil"/>
              <w:left w:val="nil"/>
              <w:bottom w:val="single" w:sz="4" w:space="0" w:color="auto"/>
              <w:right w:val="single" w:sz="4" w:space="0" w:color="auto"/>
            </w:tcBorders>
            <w:shd w:val="clear" w:color="auto" w:fill="auto"/>
            <w:noWrap/>
            <w:vAlign w:val="center"/>
            <w:hideMark/>
          </w:tcPr>
          <w:p w14:paraId="7E2C4AE4" w14:textId="6154647D" w:rsidR="003A0BF7" w:rsidRPr="00C2587D" w:rsidRDefault="003A0BF7" w:rsidP="00A85F25">
            <w:pPr>
              <w:spacing w:before="20" w:after="20"/>
              <w:jc w:val="center"/>
              <w:rPr>
                <w:rFonts w:cs="Arial"/>
                <w:b/>
                <w:bCs/>
                <w:sz w:val="20"/>
                <w:szCs w:val="20"/>
                <w:lang w:eastAsia="uk-UA"/>
              </w:rPr>
            </w:pPr>
            <w:r w:rsidRPr="00C2587D">
              <w:rPr>
                <w:rFonts w:cs="Arial"/>
                <w:b/>
                <w:bCs/>
                <w:sz w:val="20"/>
                <w:szCs w:val="20"/>
                <w:lang w:eastAsia="uk-UA"/>
              </w:rPr>
              <w:t>202</w:t>
            </w:r>
            <w:r w:rsidR="0086261C" w:rsidRPr="00C2587D">
              <w:rPr>
                <w:rFonts w:cs="Arial"/>
                <w:b/>
                <w:bCs/>
                <w:sz w:val="20"/>
                <w:szCs w:val="20"/>
                <w:lang w:eastAsia="uk-UA"/>
              </w:rPr>
              <w:t>5</w:t>
            </w:r>
          </w:p>
        </w:tc>
        <w:tc>
          <w:tcPr>
            <w:tcW w:w="1219" w:type="dxa"/>
            <w:tcBorders>
              <w:top w:val="nil"/>
              <w:left w:val="nil"/>
              <w:bottom w:val="single" w:sz="4" w:space="0" w:color="auto"/>
              <w:right w:val="single" w:sz="4" w:space="0" w:color="auto"/>
            </w:tcBorders>
            <w:shd w:val="clear" w:color="auto" w:fill="auto"/>
            <w:noWrap/>
            <w:vAlign w:val="center"/>
            <w:hideMark/>
          </w:tcPr>
          <w:p w14:paraId="04420744" w14:textId="7FAF1546" w:rsidR="003A0BF7" w:rsidRPr="00C2587D" w:rsidRDefault="003A0BF7" w:rsidP="00A85F25">
            <w:pPr>
              <w:spacing w:before="20" w:after="20"/>
              <w:jc w:val="center"/>
              <w:rPr>
                <w:rFonts w:cs="Arial"/>
                <w:b/>
                <w:bCs/>
                <w:sz w:val="20"/>
                <w:szCs w:val="20"/>
                <w:lang w:eastAsia="uk-UA"/>
              </w:rPr>
            </w:pPr>
            <w:r w:rsidRPr="00C2587D">
              <w:rPr>
                <w:rFonts w:cs="Arial"/>
                <w:b/>
                <w:bCs/>
                <w:sz w:val="20"/>
                <w:szCs w:val="20"/>
                <w:lang w:eastAsia="uk-UA"/>
              </w:rPr>
              <w:t>202</w:t>
            </w:r>
            <w:r w:rsidR="0086261C" w:rsidRPr="00C2587D">
              <w:rPr>
                <w:rFonts w:cs="Arial"/>
                <w:b/>
                <w:bCs/>
                <w:sz w:val="20"/>
                <w:szCs w:val="20"/>
                <w:lang w:eastAsia="uk-UA"/>
              </w:rPr>
              <w:t>6</w:t>
            </w:r>
          </w:p>
        </w:tc>
        <w:tc>
          <w:tcPr>
            <w:tcW w:w="1217" w:type="dxa"/>
            <w:tcBorders>
              <w:top w:val="nil"/>
              <w:left w:val="nil"/>
              <w:bottom w:val="single" w:sz="4" w:space="0" w:color="auto"/>
              <w:right w:val="single" w:sz="4" w:space="0" w:color="auto"/>
            </w:tcBorders>
            <w:shd w:val="clear" w:color="auto" w:fill="auto"/>
            <w:noWrap/>
            <w:vAlign w:val="center"/>
            <w:hideMark/>
          </w:tcPr>
          <w:p w14:paraId="741D67AF" w14:textId="1CD802BD" w:rsidR="003A0BF7" w:rsidRPr="00C2587D" w:rsidRDefault="003A0BF7" w:rsidP="00A85F25">
            <w:pPr>
              <w:spacing w:before="20" w:after="20"/>
              <w:jc w:val="center"/>
              <w:rPr>
                <w:rFonts w:cs="Arial"/>
                <w:b/>
                <w:bCs/>
                <w:sz w:val="20"/>
                <w:szCs w:val="20"/>
                <w:lang w:eastAsia="uk-UA"/>
              </w:rPr>
            </w:pPr>
            <w:r w:rsidRPr="00C2587D">
              <w:rPr>
                <w:rFonts w:cs="Arial"/>
                <w:b/>
                <w:bCs/>
                <w:sz w:val="20"/>
                <w:szCs w:val="20"/>
                <w:lang w:eastAsia="uk-UA"/>
              </w:rPr>
              <w:t>202</w:t>
            </w:r>
            <w:r w:rsidR="0086261C" w:rsidRPr="00C2587D">
              <w:rPr>
                <w:rFonts w:cs="Arial"/>
                <w:b/>
                <w:bCs/>
                <w:sz w:val="20"/>
                <w:szCs w:val="20"/>
                <w:lang w:eastAsia="uk-UA"/>
              </w:rPr>
              <w:t>7</w:t>
            </w:r>
          </w:p>
        </w:tc>
        <w:tc>
          <w:tcPr>
            <w:tcW w:w="1191" w:type="dxa"/>
            <w:tcBorders>
              <w:top w:val="nil"/>
              <w:left w:val="nil"/>
              <w:bottom w:val="single" w:sz="4" w:space="0" w:color="auto"/>
              <w:right w:val="single" w:sz="4" w:space="0" w:color="auto"/>
            </w:tcBorders>
            <w:shd w:val="clear" w:color="auto" w:fill="auto"/>
            <w:noWrap/>
            <w:vAlign w:val="center"/>
            <w:hideMark/>
          </w:tcPr>
          <w:p w14:paraId="271F9651" w14:textId="3071A80A" w:rsidR="003A0BF7" w:rsidRPr="00C2587D" w:rsidRDefault="003A0BF7" w:rsidP="00A85F25">
            <w:pPr>
              <w:spacing w:before="20" w:after="20"/>
              <w:jc w:val="center"/>
              <w:rPr>
                <w:rFonts w:cs="Arial"/>
                <w:b/>
                <w:bCs/>
                <w:sz w:val="20"/>
                <w:szCs w:val="20"/>
                <w:lang w:eastAsia="uk-UA"/>
              </w:rPr>
            </w:pPr>
            <w:r w:rsidRPr="00C2587D">
              <w:rPr>
                <w:rFonts w:cs="Arial"/>
                <w:b/>
                <w:bCs/>
                <w:sz w:val="20"/>
                <w:szCs w:val="20"/>
                <w:lang w:eastAsia="uk-UA"/>
              </w:rPr>
              <w:t>202</w:t>
            </w:r>
            <w:r w:rsidR="0086261C" w:rsidRPr="00C2587D">
              <w:rPr>
                <w:rFonts w:cs="Arial"/>
                <w:b/>
                <w:bCs/>
                <w:sz w:val="20"/>
                <w:szCs w:val="20"/>
                <w:lang w:eastAsia="uk-UA"/>
              </w:rPr>
              <w:t>8</w:t>
            </w:r>
          </w:p>
        </w:tc>
        <w:tc>
          <w:tcPr>
            <w:tcW w:w="1165" w:type="dxa"/>
            <w:tcBorders>
              <w:top w:val="nil"/>
              <w:left w:val="nil"/>
              <w:bottom w:val="single" w:sz="4" w:space="0" w:color="auto"/>
              <w:right w:val="single" w:sz="4" w:space="0" w:color="auto"/>
            </w:tcBorders>
            <w:vAlign w:val="center"/>
          </w:tcPr>
          <w:p w14:paraId="01D67114" w14:textId="77777777" w:rsidR="003A0BF7" w:rsidRPr="00C2587D" w:rsidRDefault="003A0BF7" w:rsidP="00A85F25">
            <w:pPr>
              <w:spacing w:before="20" w:after="20"/>
              <w:jc w:val="center"/>
              <w:rPr>
                <w:rFonts w:cs="Arial"/>
                <w:b/>
                <w:bCs/>
                <w:sz w:val="20"/>
                <w:szCs w:val="20"/>
                <w:lang w:eastAsia="uk-UA"/>
              </w:rPr>
            </w:pPr>
            <w:r w:rsidRPr="00C2587D">
              <w:rPr>
                <w:rFonts w:cs="Arial"/>
                <w:b/>
                <w:bCs/>
                <w:sz w:val="20"/>
                <w:szCs w:val="20"/>
                <w:lang w:eastAsia="uk-UA"/>
              </w:rPr>
              <w:t>ВСЬОГО</w:t>
            </w:r>
          </w:p>
        </w:tc>
      </w:tr>
      <w:tr w:rsidR="003A0BF7" w:rsidRPr="00C2587D" w14:paraId="782C3F5A" w14:textId="77777777" w:rsidTr="00C2587D">
        <w:trPr>
          <w:jc w:val="center"/>
        </w:trPr>
        <w:tc>
          <w:tcPr>
            <w:tcW w:w="10681" w:type="dxa"/>
            <w:gridSpan w:val="8"/>
            <w:tcBorders>
              <w:top w:val="single" w:sz="4" w:space="0" w:color="auto"/>
              <w:left w:val="single" w:sz="4" w:space="0" w:color="auto"/>
              <w:bottom w:val="single" w:sz="4" w:space="0" w:color="auto"/>
              <w:right w:val="single" w:sz="4" w:space="0" w:color="auto"/>
            </w:tcBorders>
            <w:shd w:val="clear" w:color="auto" w:fill="auto"/>
            <w:vAlign w:val="bottom"/>
            <w:hideMark/>
          </w:tcPr>
          <w:p w14:paraId="56904823" w14:textId="5410C9C2" w:rsidR="003A0BF7" w:rsidRPr="00987B8D" w:rsidRDefault="003A0BF7" w:rsidP="00FC7873">
            <w:pPr>
              <w:spacing w:before="20" w:after="20"/>
              <w:jc w:val="both"/>
              <w:rPr>
                <w:rFonts w:cs="Arial"/>
                <w:b/>
                <w:bCs/>
                <w:i/>
                <w:iCs/>
                <w:sz w:val="20"/>
                <w:szCs w:val="20"/>
                <w:lang w:eastAsia="uk-UA"/>
              </w:rPr>
            </w:pPr>
            <w:r w:rsidRPr="00987B8D">
              <w:rPr>
                <w:rFonts w:cs="Arial"/>
                <w:b/>
                <w:bCs/>
                <w:i/>
                <w:iCs/>
                <w:sz w:val="20"/>
                <w:szCs w:val="20"/>
                <w:lang w:eastAsia="uk-UA"/>
              </w:rPr>
              <w:t>Стратегічна ціль А.1. Розвиток громади як транспортно-логістичного вузла та промислового центру</w:t>
            </w:r>
          </w:p>
        </w:tc>
      </w:tr>
      <w:tr w:rsidR="005F2345" w:rsidRPr="00C2587D" w14:paraId="6C105145" w14:textId="77777777" w:rsidTr="00C2587D">
        <w:trPr>
          <w:gridAfter w:val="1"/>
          <w:wAfter w:w="25" w:type="dxa"/>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4875B53" w14:textId="502B7C0D" w:rsidR="003A0BF7" w:rsidRPr="00C2587D" w:rsidRDefault="008237F1" w:rsidP="00A85F25">
            <w:pPr>
              <w:spacing w:before="20" w:after="20"/>
              <w:jc w:val="center"/>
              <w:rPr>
                <w:rFonts w:cs="Arial"/>
                <w:szCs w:val="22"/>
                <w:lang w:eastAsia="uk-UA"/>
              </w:rPr>
            </w:pPr>
            <w:r w:rsidRPr="00C2587D">
              <w:rPr>
                <w:rFonts w:cs="Arial"/>
                <w:szCs w:val="22"/>
                <w:lang w:eastAsia="uk-UA"/>
              </w:rPr>
              <w:t>1.</w:t>
            </w:r>
          </w:p>
        </w:tc>
        <w:tc>
          <w:tcPr>
            <w:tcW w:w="3964" w:type="dxa"/>
            <w:tcBorders>
              <w:top w:val="nil"/>
              <w:left w:val="nil"/>
              <w:bottom w:val="single" w:sz="4" w:space="0" w:color="auto"/>
              <w:right w:val="single" w:sz="4" w:space="0" w:color="auto"/>
            </w:tcBorders>
            <w:shd w:val="clear" w:color="auto" w:fill="auto"/>
            <w:vAlign w:val="bottom"/>
            <w:hideMark/>
          </w:tcPr>
          <w:p w14:paraId="67C77443" w14:textId="63D22242" w:rsidR="003A0BF7" w:rsidRPr="00C2587D" w:rsidRDefault="0086261C" w:rsidP="005306AF">
            <w:pPr>
              <w:spacing w:before="20" w:after="20"/>
              <w:jc w:val="both"/>
              <w:rPr>
                <w:rFonts w:cs="Arial"/>
                <w:szCs w:val="22"/>
                <w:lang w:eastAsia="uk-UA"/>
              </w:rPr>
            </w:pPr>
            <w:r w:rsidRPr="00C2587D">
              <w:rPr>
                <w:rFonts w:cs="Arial"/>
                <w:szCs w:val="22"/>
              </w:rPr>
              <w:t>Розроблення Концепції мульти</w:t>
            </w:r>
            <w:r w:rsidR="005306AF" w:rsidRPr="00C2587D">
              <w:rPr>
                <w:rFonts w:cs="Arial"/>
                <w:szCs w:val="22"/>
              </w:rPr>
              <w:t>-</w:t>
            </w:r>
            <w:r w:rsidRPr="00C2587D">
              <w:rPr>
                <w:rFonts w:cs="Arial"/>
                <w:szCs w:val="22"/>
              </w:rPr>
              <w:t>модального транспортно-логістичного порту «Жмеринка» та підготовка інвестиційних пропозицій</w:t>
            </w:r>
          </w:p>
        </w:tc>
        <w:tc>
          <w:tcPr>
            <w:tcW w:w="1191" w:type="dxa"/>
            <w:tcBorders>
              <w:top w:val="nil"/>
              <w:left w:val="nil"/>
              <w:bottom w:val="single" w:sz="4" w:space="0" w:color="auto"/>
              <w:right w:val="single" w:sz="4" w:space="0" w:color="auto"/>
            </w:tcBorders>
            <w:shd w:val="clear" w:color="auto" w:fill="auto"/>
            <w:vAlign w:val="center"/>
          </w:tcPr>
          <w:p w14:paraId="69C42ADE" w14:textId="031DAA03" w:rsidR="003A0BF7" w:rsidRPr="00C2587D" w:rsidRDefault="003A0BF7" w:rsidP="00A85F25">
            <w:pPr>
              <w:spacing w:before="20" w:after="20"/>
              <w:jc w:val="center"/>
              <w:rPr>
                <w:rFonts w:cs="Arial"/>
                <w:bCs/>
                <w:szCs w:val="22"/>
                <w:lang w:eastAsia="uk-UA"/>
              </w:rPr>
            </w:pPr>
          </w:p>
        </w:tc>
        <w:tc>
          <w:tcPr>
            <w:tcW w:w="1219" w:type="dxa"/>
            <w:tcBorders>
              <w:top w:val="nil"/>
              <w:left w:val="nil"/>
              <w:bottom w:val="single" w:sz="4" w:space="0" w:color="auto"/>
              <w:right w:val="single" w:sz="4" w:space="0" w:color="auto"/>
            </w:tcBorders>
            <w:shd w:val="clear" w:color="auto" w:fill="auto"/>
            <w:vAlign w:val="center"/>
          </w:tcPr>
          <w:p w14:paraId="25AD8282" w14:textId="0FFBFEE1" w:rsidR="003A0BF7" w:rsidRPr="00C2587D" w:rsidRDefault="003A0BF7" w:rsidP="00A85F25">
            <w:pPr>
              <w:spacing w:before="20" w:after="20"/>
              <w:jc w:val="center"/>
              <w:rPr>
                <w:rFonts w:cs="Arial"/>
                <w:bCs/>
                <w:szCs w:val="22"/>
                <w:lang w:eastAsia="uk-UA"/>
              </w:rPr>
            </w:pPr>
          </w:p>
        </w:tc>
        <w:tc>
          <w:tcPr>
            <w:tcW w:w="1217" w:type="dxa"/>
            <w:tcBorders>
              <w:top w:val="nil"/>
              <w:left w:val="nil"/>
              <w:bottom w:val="single" w:sz="4" w:space="0" w:color="auto"/>
              <w:right w:val="single" w:sz="4" w:space="0" w:color="auto"/>
            </w:tcBorders>
            <w:shd w:val="clear" w:color="auto" w:fill="auto"/>
            <w:vAlign w:val="center"/>
          </w:tcPr>
          <w:p w14:paraId="0C74725F" w14:textId="7C567D48" w:rsidR="003A0BF7" w:rsidRPr="00C2587D" w:rsidRDefault="0086261C" w:rsidP="00A85F25">
            <w:pPr>
              <w:spacing w:before="20" w:after="20"/>
              <w:jc w:val="center"/>
              <w:rPr>
                <w:rFonts w:cs="Arial"/>
                <w:bCs/>
                <w:szCs w:val="22"/>
                <w:lang w:eastAsia="uk-UA"/>
              </w:rPr>
            </w:pPr>
            <w:r w:rsidRPr="00C2587D">
              <w:rPr>
                <w:rFonts w:cs="Arial"/>
                <w:bCs/>
                <w:szCs w:val="22"/>
                <w:lang w:eastAsia="uk-UA"/>
              </w:rPr>
              <w:t>1</w:t>
            </w:r>
            <w:r w:rsidR="003A0BF7" w:rsidRPr="00C2587D">
              <w:rPr>
                <w:rFonts w:cs="Arial"/>
                <w:bCs/>
                <w:szCs w:val="22"/>
                <w:lang w:eastAsia="uk-UA"/>
              </w:rPr>
              <w:t>00</w:t>
            </w:r>
            <w:r w:rsidR="00AD31B3" w:rsidRPr="00C2587D">
              <w:rPr>
                <w:rFonts w:cs="Arial"/>
                <w:bCs/>
                <w:szCs w:val="22"/>
                <w:lang w:eastAsia="uk-UA"/>
              </w:rPr>
              <w:t>,00</w:t>
            </w:r>
          </w:p>
        </w:tc>
        <w:tc>
          <w:tcPr>
            <w:tcW w:w="1191" w:type="dxa"/>
            <w:tcBorders>
              <w:top w:val="nil"/>
              <w:left w:val="nil"/>
              <w:bottom w:val="single" w:sz="4" w:space="0" w:color="auto"/>
              <w:right w:val="single" w:sz="4" w:space="0" w:color="auto"/>
            </w:tcBorders>
            <w:shd w:val="clear" w:color="auto" w:fill="auto"/>
            <w:vAlign w:val="center"/>
          </w:tcPr>
          <w:p w14:paraId="6A546261" w14:textId="37EC222B" w:rsidR="003A0BF7" w:rsidRPr="00C2587D" w:rsidRDefault="0086261C" w:rsidP="00A85F25">
            <w:pPr>
              <w:spacing w:before="20" w:after="20"/>
              <w:jc w:val="center"/>
              <w:rPr>
                <w:rFonts w:cs="Arial"/>
                <w:bCs/>
                <w:szCs w:val="22"/>
                <w:lang w:eastAsia="uk-UA"/>
              </w:rPr>
            </w:pPr>
            <w:r w:rsidRPr="00C2587D">
              <w:rPr>
                <w:rFonts w:cs="Arial"/>
                <w:bCs/>
                <w:szCs w:val="22"/>
                <w:lang w:eastAsia="uk-UA"/>
              </w:rPr>
              <w:t>1</w:t>
            </w:r>
            <w:r w:rsidR="003A0BF7" w:rsidRPr="00C2587D">
              <w:rPr>
                <w:rFonts w:cs="Arial"/>
                <w:bCs/>
                <w:szCs w:val="22"/>
                <w:lang w:eastAsia="uk-UA"/>
              </w:rPr>
              <w:t>00</w:t>
            </w:r>
            <w:r w:rsidR="00AD31B3" w:rsidRPr="00C2587D">
              <w:rPr>
                <w:rFonts w:cs="Arial"/>
                <w:bCs/>
                <w:szCs w:val="22"/>
                <w:lang w:eastAsia="uk-UA"/>
              </w:rPr>
              <w:t>,00</w:t>
            </w:r>
          </w:p>
        </w:tc>
        <w:tc>
          <w:tcPr>
            <w:tcW w:w="1165" w:type="dxa"/>
            <w:tcBorders>
              <w:top w:val="nil"/>
              <w:left w:val="nil"/>
              <w:bottom w:val="single" w:sz="4" w:space="0" w:color="auto"/>
              <w:right w:val="single" w:sz="4" w:space="0" w:color="auto"/>
            </w:tcBorders>
            <w:vAlign w:val="center"/>
          </w:tcPr>
          <w:p w14:paraId="424F0219" w14:textId="7828DD2B" w:rsidR="003A0BF7" w:rsidRPr="00C2587D" w:rsidRDefault="0046017F" w:rsidP="00A85F25">
            <w:pPr>
              <w:spacing w:before="20" w:after="20"/>
              <w:jc w:val="center"/>
              <w:rPr>
                <w:rFonts w:cs="Arial"/>
                <w:b/>
                <w:bCs/>
                <w:szCs w:val="22"/>
                <w:lang w:eastAsia="uk-UA"/>
              </w:rPr>
            </w:pPr>
            <w:r w:rsidRPr="00C2587D">
              <w:rPr>
                <w:rFonts w:cs="Arial"/>
                <w:b/>
                <w:bCs/>
                <w:szCs w:val="22"/>
                <w:lang w:eastAsia="uk-UA"/>
              </w:rPr>
              <w:t>2</w:t>
            </w:r>
            <w:r w:rsidR="003A0BF7" w:rsidRPr="00C2587D">
              <w:rPr>
                <w:rFonts w:cs="Arial"/>
                <w:b/>
                <w:bCs/>
                <w:szCs w:val="22"/>
                <w:lang w:eastAsia="uk-UA"/>
              </w:rPr>
              <w:t>00</w:t>
            </w:r>
            <w:r w:rsidR="00AD31B3" w:rsidRPr="00C2587D">
              <w:rPr>
                <w:rFonts w:cs="Arial"/>
                <w:b/>
                <w:bCs/>
                <w:szCs w:val="22"/>
                <w:lang w:eastAsia="uk-UA"/>
              </w:rPr>
              <w:t>,00</w:t>
            </w:r>
          </w:p>
        </w:tc>
      </w:tr>
      <w:tr w:rsidR="002829A2" w:rsidRPr="00C2587D" w14:paraId="2B2F033B" w14:textId="77777777" w:rsidTr="00C2587D">
        <w:trPr>
          <w:gridAfter w:val="1"/>
          <w:wAfter w:w="25" w:type="dxa"/>
          <w:jc w:val="center"/>
        </w:trPr>
        <w:tc>
          <w:tcPr>
            <w:tcW w:w="709" w:type="dxa"/>
            <w:tcBorders>
              <w:top w:val="nil"/>
              <w:left w:val="single" w:sz="4" w:space="0" w:color="auto"/>
              <w:bottom w:val="single" w:sz="4" w:space="0" w:color="auto"/>
              <w:right w:val="single" w:sz="4" w:space="0" w:color="auto"/>
            </w:tcBorders>
            <w:shd w:val="clear" w:color="auto" w:fill="auto"/>
            <w:noWrap/>
            <w:vAlign w:val="center"/>
          </w:tcPr>
          <w:p w14:paraId="49D9C957" w14:textId="2F42E65A" w:rsidR="002829A2" w:rsidRPr="00C2587D" w:rsidRDefault="002829A2" w:rsidP="002829A2">
            <w:pPr>
              <w:spacing w:before="20" w:after="20"/>
              <w:jc w:val="center"/>
              <w:rPr>
                <w:rFonts w:cs="Arial"/>
                <w:szCs w:val="22"/>
                <w:lang w:eastAsia="uk-UA"/>
              </w:rPr>
            </w:pPr>
            <w:r w:rsidRPr="00C2587D">
              <w:rPr>
                <w:rFonts w:cs="Arial"/>
                <w:szCs w:val="22"/>
                <w:lang w:eastAsia="uk-UA"/>
              </w:rPr>
              <w:t>2.</w:t>
            </w:r>
          </w:p>
        </w:tc>
        <w:tc>
          <w:tcPr>
            <w:tcW w:w="3964" w:type="dxa"/>
            <w:tcBorders>
              <w:top w:val="nil"/>
              <w:left w:val="nil"/>
              <w:bottom w:val="single" w:sz="4" w:space="0" w:color="auto"/>
              <w:right w:val="single" w:sz="4" w:space="0" w:color="auto"/>
            </w:tcBorders>
            <w:shd w:val="clear" w:color="auto" w:fill="auto"/>
          </w:tcPr>
          <w:p w14:paraId="430DFBC7" w14:textId="042A61DA" w:rsidR="002829A2" w:rsidRPr="00C2587D" w:rsidRDefault="002829A2" w:rsidP="005306AF">
            <w:pPr>
              <w:spacing w:before="20" w:after="20"/>
              <w:jc w:val="both"/>
              <w:rPr>
                <w:rFonts w:cs="Arial"/>
                <w:szCs w:val="22"/>
                <w:lang w:eastAsia="uk-UA"/>
              </w:rPr>
            </w:pPr>
            <w:r w:rsidRPr="00C2587D">
              <w:rPr>
                <w:bCs/>
                <w:szCs w:val="22"/>
                <w:lang w:eastAsia="uk-UA"/>
              </w:rPr>
              <w:t>Підтримка підприємств з виробництва будівельних матеріалів із місцевої сировини</w:t>
            </w:r>
          </w:p>
        </w:tc>
        <w:tc>
          <w:tcPr>
            <w:tcW w:w="1191" w:type="dxa"/>
            <w:tcBorders>
              <w:top w:val="nil"/>
              <w:left w:val="nil"/>
              <w:bottom w:val="single" w:sz="4" w:space="0" w:color="auto"/>
              <w:right w:val="single" w:sz="4" w:space="0" w:color="auto"/>
            </w:tcBorders>
            <w:shd w:val="clear" w:color="auto" w:fill="auto"/>
            <w:vAlign w:val="center"/>
          </w:tcPr>
          <w:p w14:paraId="0A80CDB9" w14:textId="240FE306" w:rsidR="002829A2" w:rsidRPr="00C2587D" w:rsidRDefault="002829A2" w:rsidP="002829A2">
            <w:pPr>
              <w:spacing w:before="20" w:after="20"/>
              <w:jc w:val="center"/>
              <w:rPr>
                <w:rFonts w:cs="Arial"/>
                <w:bCs/>
                <w:szCs w:val="22"/>
                <w:lang w:eastAsia="uk-UA"/>
              </w:rPr>
            </w:pPr>
          </w:p>
        </w:tc>
        <w:tc>
          <w:tcPr>
            <w:tcW w:w="1219" w:type="dxa"/>
            <w:tcBorders>
              <w:top w:val="nil"/>
              <w:left w:val="nil"/>
              <w:bottom w:val="single" w:sz="4" w:space="0" w:color="auto"/>
              <w:right w:val="single" w:sz="4" w:space="0" w:color="auto"/>
            </w:tcBorders>
            <w:shd w:val="clear" w:color="auto" w:fill="auto"/>
            <w:vAlign w:val="center"/>
          </w:tcPr>
          <w:p w14:paraId="0A60F02D" w14:textId="68F8A569" w:rsidR="002829A2" w:rsidRPr="00C2587D" w:rsidRDefault="002829A2" w:rsidP="002829A2">
            <w:pPr>
              <w:spacing w:before="20" w:after="20"/>
              <w:jc w:val="center"/>
              <w:rPr>
                <w:rFonts w:cs="Arial"/>
                <w:bCs/>
                <w:szCs w:val="22"/>
                <w:lang w:eastAsia="uk-UA"/>
              </w:rPr>
            </w:pPr>
            <w:r w:rsidRPr="00C2587D">
              <w:rPr>
                <w:rFonts w:cs="Arial"/>
                <w:color w:val="000000"/>
                <w:szCs w:val="22"/>
                <w:lang w:eastAsia="it-IT"/>
              </w:rPr>
              <w:t>50,0</w:t>
            </w:r>
          </w:p>
        </w:tc>
        <w:tc>
          <w:tcPr>
            <w:tcW w:w="1217" w:type="dxa"/>
            <w:tcBorders>
              <w:top w:val="nil"/>
              <w:left w:val="nil"/>
              <w:bottom w:val="single" w:sz="4" w:space="0" w:color="auto"/>
              <w:right w:val="single" w:sz="4" w:space="0" w:color="auto"/>
            </w:tcBorders>
            <w:shd w:val="clear" w:color="auto" w:fill="auto"/>
            <w:vAlign w:val="center"/>
          </w:tcPr>
          <w:p w14:paraId="43EAAA24" w14:textId="25EE9659" w:rsidR="002829A2" w:rsidRPr="00C2587D" w:rsidRDefault="002829A2" w:rsidP="002829A2">
            <w:pPr>
              <w:spacing w:before="20" w:after="20"/>
              <w:jc w:val="center"/>
              <w:rPr>
                <w:rFonts w:cs="Arial"/>
                <w:bCs/>
                <w:szCs w:val="22"/>
                <w:lang w:eastAsia="uk-UA"/>
              </w:rPr>
            </w:pPr>
            <w:r w:rsidRPr="00C2587D">
              <w:rPr>
                <w:rFonts w:cs="Arial"/>
                <w:color w:val="000000"/>
                <w:szCs w:val="22"/>
                <w:lang w:eastAsia="it-IT"/>
              </w:rPr>
              <w:t>100,0</w:t>
            </w:r>
          </w:p>
        </w:tc>
        <w:tc>
          <w:tcPr>
            <w:tcW w:w="1191" w:type="dxa"/>
            <w:tcBorders>
              <w:top w:val="nil"/>
              <w:left w:val="nil"/>
              <w:bottom w:val="single" w:sz="4" w:space="0" w:color="auto"/>
              <w:right w:val="single" w:sz="4" w:space="0" w:color="auto"/>
            </w:tcBorders>
            <w:shd w:val="clear" w:color="auto" w:fill="auto"/>
            <w:vAlign w:val="center"/>
          </w:tcPr>
          <w:p w14:paraId="1C8DFEF9" w14:textId="4D0A88B5" w:rsidR="002829A2" w:rsidRPr="00C2587D" w:rsidRDefault="002829A2" w:rsidP="002829A2">
            <w:pPr>
              <w:spacing w:before="20" w:after="20"/>
              <w:jc w:val="center"/>
              <w:rPr>
                <w:rFonts w:cs="Arial"/>
                <w:bCs/>
                <w:szCs w:val="22"/>
                <w:lang w:eastAsia="uk-UA"/>
              </w:rPr>
            </w:pPr>
            <w:r w:rsidRPr="00C2587D">
              <w:rPr>
                <w:rFonts w:cs="Arial"/>
                <w:color w:val="000000"/>
                <w:szCs w:val="22"/>
                <w:lang w:eastAsia="it-IT"/>
              </w:rPr>
              <w:t>100,0</w:t>
            </w:r>
          </w:p>
        </w:tc>
        <w:tc>
          <w:tcPr>
            <w:tcW w:w="1165" w:type="dxa"/>
            <w:tcBorders>
              <w:top w:val="nil"/>
              <w:left w:val="nil"/>
              <w:bottom w:val="single" w:sz="4" w:space="0" w:color="auto"/>
              <w:right w:val="single" w:sz="4" w:space="0" w:color="auto"/>
            </w:tcBorders>
            <w:vAlign w:val="center"/>
          </w:tcPr>
          <w:p w14:paraId="0E7B4C69" w14:textId="282B6052" w:rsidR="002829A2" w:rsidRPr="00C2587D" w:rsidRDefault="002829A2" w:rsidP="002829A2">
            <w:pPr>
              <w:spacing w:before="20" w:after="20"/>
              <w:jc w:val="center"/>
              <w:rPr>
                <w:rFonts w:cs="Arial"/>
                <w:b/>
                <w:bCs/>
                <w:szCs w:val="22"/>
                <w:lang w:eastAsia="uk-UA"/>
              </w:rPr>
            </w:pPr>
            <w:r w:rsidRPr="00C2587D">
              <w:rPr>
                <w:rFonts w:cs="Arial"/>
                <w:b/>
                <w:color w:val="000000"/>
                <w:szCs w:val="22"/>
                <w:lang w:eastAsia="it-IT"/>
              </w:rPr>
              <w:t>250,0</w:t>
            </w:r>
          </w:p>
        </w:tc>
      </w:tr>
      <w:tr w:rsidR="005418DB" w:rsidRPr="00C2587D" w14:paraId="614B2E8A" w14:textId="77777777" w:rsidTr="00C2587D">
        <w:trPr>
          <w:gridAfter w:val="1"/>
          <w:wAfter w:w="25" w:type="dxa"/>
          <w:trHeight w:val="355"/>
          <w:jc w:val="center"/>
        </w:trPr>
        <w:tc>
          <w:tcPr>
            <w:tcW w:w="709" w:type="dxa"/>
            <w:tcBorders>
              <w:top w:val="nil"/>
              <w:left w:val="single" w:sz="4" w:space="0" w:color="auto"/>
              <w:bottom w:val="single" w:sz="4" w:space="0" w:color="auto"/>
              <w:right w:val="single" w:sz="4" w:space="0" w:color="auto"/>
            </w:tcBorders>
            <w:shd w:val="clear" w:color="auto" w:fill="auto"/>
            <w:noWrap/>
            <w:vAlign w:val="center"/>
          </w:tcPr>
          <w:p w14:paraId="6DB6804F" w14:textId="77777777" w:rsidR="005418DB" w:rsidRPr="00C2587D" w:rsidRDefault="005418DB" w:rsidP="005418DB">
            <w:pPr>
              <w:spacing w:before="20" w:after="20"/>
              <w:jc w:val="center"/>
              <w:rPr>
                <w:rFonts w:cs="Arial"/>
                <w:color w:val="FF0000"/>
                <w:szCs w:val="22"/>
                <w:lang w:eastAsia="uk-UA"/>
              </w:rPr>
            </w:pPr>
          </w:p>
        </w:tc>
        <w:tc>
          <w:tcPr>
            <w:tcW w:w="3964" w:type="dxa"/>
            <w:tcBorders>
              <w:top w:val="nil"/>
              <w:left w:val="nil"/>
              <w:bottom w:val="single" w:sz="4" w:space="0" w:color="auto"/>
              <w:right w:val="single" w:sz="4" w:space="0" w:color="auto"/>
            </w:tcBorders>
            <w:shd w:val="clear" w:color="auto" w:fill="auto"/>
            <w:noWrap/>
            <w:vAlign w:val="center"/>
          </w:tcPr>
          <w:p w14:paraId="0D653F01" w14:textId="2318EDCC" w:rsidR="005418DB" w:rsidRPr="00C2587D" w:rsidRDefault="005418DB" w:rsidP="00682193">
            <w:pPr>
              <w:spacing w:before="20" w:after="20"/>
              <w:jc w:val="both"/>
              <w:rPr>
                <w:rFonts w:cs="Arial"/>
                <w:b/>
                <w:color w:val="FF0000"/>
                <w:szCs w:val="22"/>
                <w:lang w:eastAsia="uk-UA"/>
              </w:rPr>
            </w:pPr>
            <w:r w:rsidRPr="00C2587D">
              <w:rPr>
                <w:rFonts w:cs="Arial"/>
                <w:b/>
                <w:bCs/>
                <w:szCs w:val="22"/>
                <w:lang w:eastAsia="uk-UA"/>
              </w:rPr>
              <w:t>Всього по А.1.</w:t>
            </w:r>
            <w:r w:rsidRPr="00C2587D">
              <w:rPr>
                <w:rFonts w:cs="Arial"/>
                <w:b/>
                <w:szCs w:val="22"/>
                <w:lang w:eastAsia="uk-UA"/>
              </w:rPr>
              <w:t xml:space="preserve"> </w:t>
            </w:r>
            <w:r w:rsidR="00C6613C" w:rsidRPr="00C2587D">
              <w:rPr>
                <w:rFonts w:cs="Arial"/>
                <w:b/>
                <w:bCs/>
                <w:iCs/>
                <w:szCs w:val="22"/>
                <w:lang w:eastAsia="uk-UA"/>
              </w:rPr>
              <w:t>Розвиток громади як транспортно-логістичного вузла та промислового центру</w:t>
            </w:r>
          </w:p>
        </w:tc>
        <w:tc>
          <w:tcPr>
            <w:tcW w:w="1191" w:type="dxa"/>
            <w:tcBorders>
              <w:top w:val="nil"/>
              <w:left w:val="nil"/>
              <w:bottom w:val="single" w:sz="4" w:space="0" w:color="auto"/>
              <w:right w:val="single" w:sz="4" w:space="0" w:color="auto"/>
            </w:tcBorders>
            <w:shd w:val="clear" w:color="auto" w:fill="auto"/>
            <w:vAlign w:val="center"/>
          </w:tcPr>
          <w:p w14:paraId="002EB6D9" w14:textId="4D3B3B48" w:rsidR="005418DB" w:rsidRPr="00C2587D" w:rsidRDefault="005418DB" w:rsidP="005418DB">
            <w:pPr>
              <w:spacing w:before="20" w:after="20"/>
              <w:jc w:val="center"/>
              <w:rPr>
                <w:rFonts w:cs="Arial"/>
                <w:b/>
                <w:bCs/>
                <w:szCs w:val="22"/>
                <w:lang w:eastAsia="uk-UA"/>
              </w:rPr>
            </w:pPr>
          </w:p>
        </w:tc>
        <w:tc>
          <w:tcPr>
            <w:tcW w:w="1219" w:type="dxa"/>
            <w:tcBorders>
              <w:top w:val="nil"/>
              <w:left w:val="nil"/>
              <w:bottom w:val="single" w:sz="4" w:space="0" w:color="auto"/>
              <w:right w:val="single" w:sz="4" w:space="0" w:color="auto"/>
            </w:tcBorders>
            <w:shd w:val="clear" w:color="auto" w:fill="auto"/>
            <w:vAlign w:val="center"/>
          </w:tcPr>
          <w:p w14:paraId="1B296020" w14:textId="52B9A47E" w:rsidR="005418DB" w:rsidRPr="00C2587D" w:rsidRDefault="005F01F2" w:rsidP="005418DB">
            <w:pPr>
              <w:spacing w:before="20" w:after="20"/>
              <w:jc w:val="center"/>
              <w:rPr>
                <w:rFonts w:cs="Arial"/>
                <w:b/>
                <w:bCs/>
                <w:szCs w:val="22"/>
                <w:lang w:eastAsia="uk-UA"/>
              </w:rPr>
            </w:pPr>
            <w:r w:rsidRPr="00C2587D">
              <w:rPr>
                <w:rFonts w:cs="Arial"/>
                <w:b/>
                <w:bCs/>
                <w:szCs w:val="22"/>
                <w:lang w:eastAsia="uk-UA"/>
              </w:rPr>
              <w:t>5</w:t>
            </w:r>
            <w:r w:rsidR="00A741CE" w:rsidRPr="00C2587D">
              <w:rPr>
                <w:rFonts w:cs="Arial"/>
                <w:b/>
                <w:bCs/>
                <w:szCs w:val="22"/>
                <w:lang w:eastAsia="uk-UA"/>
              </w:rPr>
              <w:t>0,00</w:t>
            </w:r>
          </w:p>
        </w:tc>
        <w:tc>
          <w:tcPr>
            <w:tcW w:w="1217" w:type="dxa"/>
            <w:tcBorders>
              <w:top w:val="nil"/>
              <w:left w:val="nil"/>
              <w:bottom w:val="single" w:sz="4" w:space="0" w:color="auto"/>
              <w:right w:val="single" w:sz="4" w:space="0" w:color="auto"/>
            </w:tcBorders>
            <w:shd w:val="clear" w:color="auto" w:fill="auto"/>
            <w:vAlign w:val="center"/>
          </w:tcPr>
          <w:p w14:paraId="1D59756F" w14:textId="2B39FA00" w:rsidR="005418DB" w:rsidRPr="00C2587D" w:rsidRDefault="005F01F2" w:rsidP="005418DB">
            <w:pPr>
              <w:spacing w:before="20" w:after="20"/>
              <w:jc w:val="center"/>
              <w:rPr>
                <w:rFonts w:cs="Arial"/>
                <w:b/>
                <w:bCs/>
                <w:szCs w:val="22"/>
                <w:lang w:eastAsia="uk-UA"/>
              </w:rPr>
            </w:pPr>
            <w:r w:rsidRPr="00C2587D">
              <w:rPr>
                <w:rFonts w:cs="Arial"/>
                <w:b/>
                <w:bCs/>
                <w:szCs w:val="22"/>
                <w:lang w:eastAsia="uk-UA"/>
              </w:rPr>
              <w:t>2</w:t>
            </w:r>
            <w:r w:rsidR="00A741CE" w:rsidRPr="00C2587D">
              <w:rPr>
                <w:rFonts w:cs="Arial"/>
                <w:b/>
                <w:bCs/>
                <w:szCs w:val="22"/>
                <w:lang w:eastAsia="uk-UA"/>
              </w:rPr>
              <w:t>00,00</w:t>
            </w:r>
          </w:p>
        </w:tc>
        <w:tc>
          <w:tcPr>
            <w:tcW w:w="1191" w:type="dxa"/>
            <w:tcBorders>
              <w:top w:val="nil"/>
              <w:left w:val="nil"/>
              <w:bottom w:val="single" w:sz="4" w:space="0" w:color="auto"/>
              <w:right w:val="single" w:sz="4" w:space="0" w:color="auto"/>
            </w:tcBorders>
            <w:shd w:val="clear" w:color="auto" w:fill="auto"/>
            <w:vAlign w:val="center"/>
          </w:tcPr>
          <w:p w14:paraId="0BFAE1F8" w14:textId="16FACFC3" w:rsidR="005418DB" w:rsidRPr="00C2587D" w:rsidRDefault="005F01F2" w:rsidP="005418DB">
            <w:pPr>
              <w:spacing w:before="20" w:after="20"/>
              <w:jc w:val="center"/>
              <w:rPr>
                <w:rFonts w:cs="Arial"/>
                <w:b/>
                <w:bCs/>
                <w:szCs w:val="22"/>
                <w:lang w:eastAsia="uk-UA"/>
              </w:rPr>
            </w:pPr>
            <w:r w:rsidRPr="00C2587D">
              <w:rPr>
                <w:rFonts w:cs="Arial"/>
                <w:b/>
                <w:bCs/>
                <w:szCs w:val="22"/>
                <w:lang w:eastAsia="uk-UA"/>
              </w:rPr>
              <w:t>2</w:t>
            </w:r>
            <w:r w:rsidR="00A741CE" w:rsidRPr="00C2587D">
              <w:rPr>
                <w:rFonts w:cs="Arial"/>
                <w:b/>
                <w:bCs/>
                <w:szCs w:val="22"/>
                <w:lang w:eastAsia="uk-UA"/>
              </w:rPr>
              <w:t>00,00</w:t>
            </w:r>
          </w:p>
        </w:tc>
        <w:tc>
          <w:tcPr>
            <w:tcW w:w="1165" w:type="dxa"/>
            <w:tcBorders>
              <w:top w:val="nil"/>
              <w:left w:val="nil"/>
              <w:bottom w:val="single" w:sz="4" w:space="0" w:color="auto"/>
              <w:right w:val="single" w:sz="4" w:space="0" w:color="auto"/>
            </w:tcBorders>
            <w:vAlign w:val="center"/>
          </w:tcPr>
          <w:p w14:paraId="32BB94E0" w14:textId="0D0EA000" w:rsidR="005418DB" w:rsidRPr="00C2587D" w:rsidRDefault="0046017F" w:rsidP="005418DB">
            <w:pPr>
              <w:spacing w:before="20" w:after="20"/>
              <w:jc w:val="center"/>
              <w:rPr>
                <w:rFonts w:cs="Arial"/>
                <w:b/>
                <w:bCs/>
                <w:szCs w:val="22"/>
                <w:lang w:eastAsia="uk-UA"/>
              </w:rPr>
            </w:pPr>
            <w:r w:rsidRPr="00C2587D">
              <w:rPr>
                <w:rFonts w:cs="Arial"/>
                <w:b/>
                <w:bCs/>
                <w:szCs w:val="22"/>
                <w:lang w:eastAsia="uk-UA"/>
              </w:rPr>
              <w:t>4</w:t>
            </w:r>
            <w:r w:rsidR="00A741CE" w:rsidRPr="00C2587D">
              <w:rPr>
                <w:rFonts w:cs="Arial"/>
                <w:b/>
                <w:bCs/>
                <w:szCs w:val="22"/>
                <w:lang w:eastAsia="uk-UA"/>
              </w:rPr>
              <w:t>50,00</w:t>
            </w:r>
          </w:p>
        </w:tc>
      </w:tr>
      <w:tr w:rsidR="005418DB" w:rsidRPr="00C2587D" w14:paraId="2847810B" w14:textId="77777777" w:rsidTr="00987B8D">
        <w:trPr>
          <w:trHeight w:val="527"/>
          <w:jc w:val="center"/>
        </w:trPr>
        <w:tc>
          <w:tcPr>
            <w:tcW w:w="10681" w:type="dxa"/>
            <w:gridSpan w:val="8"/>
            <w:tcBorders>
              <w:top w:val="nil"/>
              <w:left w:val="single" w:sz="4" w:space="0" w:color="auto"/>
              <w:bottom w:val="single" w:sz="4" w:space="0" w:color="auto"/>
              <w:right w:val="single" w:sz="4" w:space="0" w:color="auto"/>
            </w:tcBorders>
            <w:shd w:val="clear" w:color="auto" w:fill="auto"/>
            <w:noWrap/>
            <w:vAlign w:val="center"/>
            <w:hideMark/>
          </w:tcPr>
          <w:p w14:paraId="1C4543D2" w14:textId="77777777" w:rsidR="005418DB" w:rsidRPr="00987B8D" w:rsidRDefault="005418DB" w:rsidP="00987B8D">
            <w:pPr>
              <w:spacing w:before="20" w:after="20"/>
              <w:rPr>
                <w:rFonts w:cs="Arial"/>
                <w:b/>
                <w:bCs/>
                <w:i/>
                <w:iCs/>
                <w:sz w:val="20"/>
                <w:szCs w:val="20"/>
                <w:lang w:eastAsia="uk-UA"/>
              </w:rPr>
            </w:pPr>
            <w:r w:rsidRPr="00987B8D">
              <w:rPr>
                <w:rFonts w:cs="Arial"/>
                <w:b/>
                <w:bCs/>
                <w:i/>
                <w:iCs/>
                <w:sz w:val="20"/>
                <w:szCs w:val="20"/>
                <w:lang w:eastAsia="uk-UA"/>
              </w:rPr>
              <w:t>Стратегічна ціль А.2.</w:t>
            </w:r>
            <w:r w:rsidRPr="00987B8D">
              <w:rPr>
                <w:rFonts w:cs="Arial"/>
                <w:sz w:val="20"/>
                <w:szCs w:val="20"/>
              </w:rPr>
              <w:t xml:space="preserve"> </w:t>
            </w:r>
            <w:r w:rsidRPr="00987B8D">
              <w:rPr>
                <w:rFonts w:cs="Arial"/>
                <w:b/>
                <w:bCs/>
                <w:i/>
                <w:iCs/>
                <w:sz w:val="20"/>
                <w:szCs w:val="20"/>
                <w:lang w:eastAsia="uk-UA"/>
              </w:rPr>
              <w:t>Розвиток агропромислового виробництва</w:t>
            </w:r>
          </w:p>
        </w:tc>
      </w:tr>
      <w:tr w:rsidR="00814288" w:rsidRPr="00C2587D" w14:paraId="1B24BC58" w14:textId="77777777" w:rsidTr="00C2587D">
        <w:trPr>
          <w:gridAfter w:val="1"/>
          <w:wAfter w:w="25" w:type="dxa"/>
          <w:jc w:val="center"/>
        </w:trPr>
        <w:tc>
          <w:tcPr>
            <w:tcW w:w="709" w:type="dxa"/>
            <w:tcBorders>
              <w:top w:val="nil"/>
              <w:left w:val="single" w:sz="4" w:space="0" w:color="auto"/>
              <w:bottom w:val="single" w:sz="4" w:space="0" w:color="auto"/>
              <w:right w:val="single" w:sz="4" w:space="0" w:color="auto"/>
            </w:tcBorders>
            <w:shd w:val="clear" w:color="auto" w:fill="auto"/>
            <w:noWrap/>
            <w:vAlign w:val="center"/>
          </w:tcPr>
          <w:p w14:paraId="5A2E4DD9" w14:textId="713F01D1" w:rsidR="00814288" w:rsidRPr="00C2587D" w:rsidRDefault="00814288" w:rsidP="00814288">
            <w:pPr>
              <w:spacing w:before="20" w:after="20"/>
              <w:jc w:val="center"/>
              <w:rPr>
                <w:rFonts w:cs="Arial"/>
                <w:sz w:val="20"/>
                <w:szCs w:val="20"/>
                <w:lang w:eastAsia="uk-UA"/>
              </w:rPr>
            </w:pPr>
            <w:r w:rsidRPr="00C2587D">
              <w:rPr>
                <w:rFonts w:cs="Arial"/>
                <w:sz w:val="20"/>
                <w:szCs w:val="20"/>
                <w:lang w:eastAsia="uk-UA"/>
              </w:rPr>
              <w:t>1.</w:t>
            </w:r>
          </w:p>
        </w:tc>
        <w:tc>
          <w:tcPr>
            <w:tcW w:w="3964" w:type="dxa"/>
            <w:tcBorders>
              <w:top w:val="nil"/>
              <w:left w:val="nil"/>
              <w:bottom w:val="single" w:sz="4" w:space="0" w:color="auto"/>
              <w:right w:val="single" w:sz="4" w:space="0" w:color="auto"/>
            </w:tcBorders>
            <w:shd w:val="clear" w:color="auto" w:fill="auto"/>
          </w:tcPr>
          <w:p w14:paraId="3D6D6948" w14:textId="50CD65C5" w:rsidR="00814288" w:rsidRPr="00C2587D" w:rsidRDefault="00814288" w:rsidP="005306AF">
            <w:pPr>
              <w:spacing w:before="20" w:after="20"/>
              <w:jc w:val="both"/>
              <w:rPr>
                <w:rFonts w:cs="Arial"/>
                <w:sz w:val="20"/>
                <w:szCs w:val="20"/>
                <w:lang w:eastAsia="uk-UA"/>
              </w:rPr>
            </w:pPr>
            <w:r w:rsidRPr="00C2587D">
              <w:t xml:space="preserve">Встановлення (коригування) меж населеного пункту </w:t>
            </w:r>
          </w:p>
        </w:tc>
        <w:tc>
          <w:tcPr>
            <w:tcW w:w="1191" w:type="dxa"/>
            <w:tcBorders>
              <w:top w:val="nil"/>
              <w:left w:val="nil"/>
              <w:bottom w:val="single" w:sz="4" w:space="0" w:color="auto"/>
              <w:right w:val="single" w:sz="4" w:space="0" w:color="auto"/>
            </w:tcBorders>
            <w:shd w:val="clear" w:color="auto" w:fill="auto"/>
            <w:vAlign w:val="center"/>
          </w:tcPr>
          <w:p w14:paraId="296CB4C4" w14:textId="5DA8A968" w:rsidR="00814288" w:rsidRPr="00C2587D" w:rsidRDefault="00814288" w:rsidP="00814288">
            <w:pPr>
              <w:jc w:val="center"/>
              <w:rPr>
                <w:rFonts w:cs="Arial"/>
                <w:color w:val="000000"/>
                <w:sz w:val="20"/>
                <w:szCs w:val="20"/>
                <w:lang w:eastAsia="it-IT"/>
              </w:rPr>
            </w:pPr>
            <w:r w:rsidRPr="00C2587D">
              <w:rPr>
                <w:rFonts w:cs="Arial"/>
                <w:color w:val="000000"/>
                <w:sz w:val="20"/>
                <w:szCs w:val="20"/>
                <w:lang w:eastAsia="it-IT"/>
              </w:rPr>
              <w:t>700,0</w:t>
            </w:r>
          </w:p>
        </w:tc>
        <w:tc>
          <w:tcPr>
            <w:tcW w:w="1219" w:type="dxa"/>
            <w:tcBorders>
              <w:top w:val="nil"/>
              <w:left w:val="nil"/>
              <w:bottom w:val="single" w:sz="4" w:space="0" w:color="auto"/>
              <w:right w:val="single" w:sz="4" w:space="0" w:color="auto"/>
            </w:tcBorders>
            <w:shd w:val="clear" w:color="auto" w:fill="auto"/>
            <w:vAlign w:val="center"/>
          </w:tcPr>
          <w:p w14:paraId="4A5F933A" w14:textId="607D94D5" w:rsidR="00814288" w:rsidRPr="00C2587D" w:rsidRDefault="00814288" w:rsidP="00814288">
            <w:pPr>
              <w:jc w:val="center"/>
              <w:rPr>
                <w:rFonts w:cs="Arial"/>
                <w:color w:val="000000"/>
                <w:sz w:val="20"/>
                <w:szCs w:val="20"/>
                <w:lang w:eastAsia="it-IT"/>
              </w:rPr>
            </w:pPr>
            <w:r w:rsidRPr="00C2587D">
              <w:rPr>
                <w:rFonts w:cs="Arial"/>
                <w:color w:val="000000"/>
                <w:sz w:val="20"/>
                <w:szCs w:val="20"/>
                <w:lang w:eastAsia="it-IT"/>
              </w:rPr>
              <w:t>700,0</w:t>
            </w:r>
          </w:p>
        </w:tc>
        <w:tc>
          <w:tcPr>
            <w:tcW w:w="1217" w:type="dxa"/>
            <w:tcBorders>
              <w:top w:val="nil"/>
              <w:left w:val="nil"/>
              <w:bottom w:val="single" w:sz="4" w:space="0" w:color="auto"/>
              <w:right w:val="single" w:sz="4" w:space="0" w:color="auto"/>
            </w:tcBorders>
            <w:shd w:val="clear" w:color="auto" w:fill="auto"/>
            <w:vAlign w:val="center"/>
          </w:tcPr>
          <w:p w14:paraId="4F9FF19C" w14:textId="4CC38E16" w:rsidR="00814288" w:rsidRPr="00C2587D" w:rsidRDefault="00814288" w:rsidP="00814288">
            <w:pPr>
              <w:jc w:val="center"/>
              <w:rPr>
                <w:rFonts w:cs="Arial"/>
                <w:color w:val="000000"/>
                <w:sz w:val="20"/>
                <w:szCs w:val="20"/>
                <w:lang w:eastAsia="it-IT"/>
              </w:rPr>
            </w:pPr>
            <w:r w:rsidRPr="00C2587D">
              <w:rPr>
                <w:rFonts w:cs="Arial"/>
                <w:color w:val="000000"/>
                <w:sz w:val="20"/>
                <w:szCs w:val="20"/>
                <w:lang w:eastAsia="it-IT"/>
              </w:rPr>
              <w:t>700,0</w:t>
            </w:r>
          </w:p>
        </w:tc>
        <w:tc>
          <w:tcPr>
            <w:tcW w:w="1191" w:type="dxa"/>
            <w:tcBorders>
              <w:top w:val="nil"/>
              <w:left w:val="nil"/>
              <w:bottom w:val="single" w:sz="4" w:space="0" w:color="auto"/>
              <w:right w:val="single" w:sz="4" w:space="0" w:color="auto"/>
            </w:tcBorders>
            <w:shd w:val="clear" w:color="auto" w:fill="auto"/>
            <w:vAlign w:val="center"/>
          </w:tcPr>
          <w:p w14:paraId="4604C9D5" w14:textId="052ED29D" w:rsidR="00814288" w:rsidRPr="00C2587D" w:rsidRDefault="00814288" w:rsidP="00814288">
            <w:pPr>
              <w:jc w:val="center"/>
              <w:rPr>
                <w:rFonts w:cs="Arial"/>
                <w:color w:val="000000"/>
                <w:sz w:val="20"/>
                <w:szCs w:val="20"/>
                <w:lang w:eastAsia="it-IT"/>
              </w:rPr>
            </w:pPr>
            <w:r w:rsidRPr="00C2587D">
              <w:rPr>
                <w:rFonts w:cs="Arial"/>
                <w:color w:val="000000"/>
                <w:sz w:val="20"/>
                <w:szCs w:val="20"/>
                <w:lang w:eastAsia="it-IT"/>
              </w:rPr>
              <w:t>700,0</w:t>
            </w:r>
          </w:p>
        </w:tc>
        <w:tc>
          <w:tcPr>
            <w:tcW w:w="1165" w:type="dxa"/>
            <w:tcBorders>
              <w:top w:val="nil"/>
              <w:left w:val="nil"/>
              <w:bottom w:val="single" w:sz="4" w:space="0" w:color="auto"/>
              <w:right w:val="single" w:sz="4" w:space="0" w:color="auto"/>
            </w:tcBorders>
            <w:vAlign w:val="center"/>
          </w:tcPr>
          <w:p w14:paraId="40BFDA41" w14:textId="28BB06E0" w:rsidR="00814288" w:rsidRPr="00C2587D" w:rsidRDefault="00814288" w:rsidP="00814288">
            <w:pPr>
              <w:jc w:val="center"/>
              <w:rPr>
                <w:rFonts w:cs="Arial"/>
                <w:b/>
                <w:color w:val="000000"/>
                <w:sz w:val="20"/>
                <w:szCs w:val="20"/>
                <w:lang w:eastAsia="it-IT"/>
              </w:rPr>
            </w:pPr>
            <w:r w:rsidRPr="00C2587D">
              <w:rPr>
                <w:rFonts w:cs="Arial"/>
                <w:b/>
                <w:color w:val="000000"/>
                <w:sz w:val="20"/>
                <w:szCs w:val="20"/>
                <w:lang w:eastAsia="it-IT"/>
              </w:rPr>
              <w:t>2 800,0</w:t>
            </w:r>
          </w:p>
        </w:tc>
      </w:tr>
      <w:tr w:rsidR="00814288" w:rsidRPr="00C2587D" w14:paraId="0F679CF1" w14:textId="77777777" w:rsidTr="00C2587D">
        <w:trPr>
          <w:gridAfter w:val="1"/>
          <w:wAfter w:w="25" w:type="dxa"/>
          <w:jc w:val="center"/>
        </w:trPr>
        <w:tc>
          <w:tcPr>
            <w:tcW w:w="709" w:type="dxa"/>
            <w:tcBorders>
              <w:top w:val="nil"/>
              <w:left w:val="single" w:sz="4" w:space="0" w:color="auto"/>
              <w:bottom w:val="single" w:sz="4" w:space="0" w:color="auto"/>
              <w:right w:val="single" w:sz="4" w:space="0" w:color="auto"/>
            </w:tcBorders>
            <w:shd w:val="clear" w:color="auto" w:fill="auto"/>
            <w:noWrap/>
            <w:vAlign w:val="center"/>
          </w:tcPr>
          <w:p w14:paraId="6B5A2F71" w14:textId="19359BB9" w:rsidR="00814288" w:rsidRPr="00C2587D" w:rsidRDefault="00814288" w:rsidP="00814288">
            <w:pPr>
              <w:spacing w:before="20" w:after="20"/>
              <w:jc w:val="center"/>
              <w:rPr>
                <w:rFonts w:cs="Arial"/>
                <w:sz w:val="20"/>
                <w:szCs w:val="20"/>
                <w:lang w:eastAsia="uk-UA"/>
              </w:rPr>
            </w:pPr>
            <w:r w:rsidRPr="00C2587D">
              <w:rPr>
                <w:rFonts w:cs="Arial"/>
                <w:sz w:val="20"/>
                <w:szCs w:val="20"/>
                <w:lang w:eastAsia="uk-UA"/>
              </w:rPr>
              <w:t>2.</w:t>
            </w:r>
          </w:p>
        </w:tc>
        <w:tc>
          <w:tcPr>
            <w:tcW w:w="3964" w:type="dxa"/>
            <w:tcBorders>
              <w:top w:val="nil"/>
              <w:left w:val="nil"/>
              <w:bottom w:val="single" w:sz="4" w:space="0" w:color="auto"/>
              <w:right w:val="single" w:sz="4" w:space="0" w:color="auto"/>
            </w:tcBorders>
            <w:shd w:val="clear" w:color="auto" w:fill="auto"/>
          </w:tcPr>
          <w:p w14:paraId="7DDAFA15" w14:textId="72C61233" w:rsidR="00814288" w:rsidRPr="00C2587D" w:rsidRDefault="00814288" w:rsidP="005306AF">
            <w:pPr>
              <w:spacing w:before="20" w:after="20"/>
              <w:jc w:val="both"/>
              <w:rPr>
                <w:rFonts w:cs="Arial"/>
                <w:sz w:val="20"/>
                <w:szCs w:val="20"/>
                <w:lang w:eastAsia="uk-UA"/>
              </w:rPr>
            </w:pPr>
            <w:r w:rsidRPr="00C2587D">
              <w:t>Встановлення меж територіальної громади</w:t>
            </w:r>
          </w:p>
        </w:tc>
        <w:tc>
          <w:tcPr>
            <w:tcW w:w="1191" w:type="dxa"/>
            <w:tcBorders>
              <w:top w:val="nil"/>
              <w:left w:val="nil"/>
              <w:bottom w:val="single" w:sz="4" w:space="0" w:color="auto"/>
              <w:right w:val="single" w:sz="4" w:space="0" w:color="auto"/>
            </w:tcBorders>
            <w:shd w:val="clear" w:color="auto" w:fill="auto"/>
            <w:vAlign w:val="center"/>
          </w:tcPr>
          <w:p w14:paraId="54B8F788" w14:textId="2BF88503" w:rsidR="00814288" w:rsidRPr="00C2587D" w:rsidRDefault="00814288" w:rsidP="00814288">
            <w:pPr>
              <w:jc w:val="center"/>
              <w:rPr>
                <w:rFonts w:cs="Arial"/>
                <w:color w:val="000000"/>
                <w:sz w:val="20"/>
                <w:szCs w:val="20"/>
                <w:lang w:eastAsia="it-IT"/>
              </w:rPr>
            </w:pPr>
          </w:p>
        </w:tc>
        <w:tc>
          <w:tcPr>
            <w:tcW w:w="1219" w:type="dxa"/>
            <w:tcBorders>
              <w:top w:val="nil"/>
              <w:left w:val="nil"/>
              <w:bottom w:val="single" w:sz="4" w:space="0" w:color="auto"/>
              <w:right w:val="single" w:sz="4" w:space="0" w:color="auto"/>
            </w:tcBorders>
            <w:shd w:val="clear" w:color="auto" w:fill="auto"/>
            <w:vAlign w:val="center"/>
          </w:tcPr>
          <w:p w14:paraId="56FCF8A4" w14:textId="2399EF35" w:rsidR="00814288" w:rsidRPr="00C2587D" w:rsidRDefault="00036530" w:rsidP="00814288">
            <w:pPr>
              <w:jc w:val="center"/>
              <w:rPr>
                <w:rFonts w:cs="Arial"/>
                <w:color w:val="000000"/>
                <w:sz w:val="20"/>
                <w:szCs w:val="20"/>
                <w:lang w:eastAsia="it-IT"/>
              </w:rPr>
            </w:pPr>
            <w:r w:rsidRPr="00C2587D">
              <w:rPr>
                <w:rFonts w:cs="Arial"/>
                <w:color w:val="000000"/>
                <w:sz w:val="20"/>
                <w:szCs w:val="20"/>
                <w:lang w:eastAsia="it-IT"/>
              </w:rPr>
              <w:t>1 000,0</w:t>
            </w:r>
          </w:p>
        </w:tc>
        <w:tc>
          <w:tcPr>
            <w:tcW w:w="1217" w:type="dxa"/>
            <w:tcBorders>
              <w:top w:val="nil"/>
              <w:left w:val="nil"/>
              <w:bottom w:val="single" w:sz="4" w:space="0" w:color="auto"/>
              <w:right w:val="single" w:sz="4" w:space="0" w:color="auto"/>
            </w:tcBorders>
            <w:shd w:val="clear" w:color="auto" w:fill="auto"/>
            <w:vAlign w:val="center"/>
          </w:tcPr>
          <w:p w14:paraId="41DB9C6C" w14:textId="64C1164E" w:rsidR="00814288" w:rsidRPr="00C2587D" w:rsidRDefault="00814288" w:rsidP="00814288">
            <w:pPr>
              <w:jc w:val="center"/>
              <w:rPr>
                <w:rFonts w:cs="Arial"/>
                <w:color w:val="000000"/>
                <w:sz w:val="20"/>
                <w:szCs w:val="20"/>
                <w:lang w:eastAsia="it-IT"/>
              </w:rPr>
            </w:pPr>
          </w:p>
        </w:tc>
        <w:tc>
          <w:tcPr>
            <w:tcW w:w="1191" w:type="dxa"/>
            <w:tcBorders>
              <w:top w:val="nil"/>
              <w:left w:val="nil"/>
              <w:bottom w:val="single" w:sz="4" w:space="0" w:color="auto"/>
              <w:right w:val="single" w:sz="4" w:space="0" w:color="auto"/>
            </w:tcBorders>
            <w:shd w:val="clear" w:color="auto" w:fill="auto"/>
            <w:vAlign w:val="center"/>
          </w:tcPr>
          <w:p w14:paraId="210CA3D8" w14:textId="053887DF" w:rsidR="00814288" w:rsidRPr="00C2587D" w:rsidRDefault="00814288" w:rsidP="00814288">
            <w:pPr>
              <w:jc w:val="center"/>
              <w:rPr>
                <w:rFonts w:cs="Arial"/>
                <w:color w:val="000000"/>
                <w:sz w:val="20"/>
                <w:szCs w:val="20"/>
                <w:lang w:eastAsia="it-IT"/>
              </w:rPr>
            </w:pPr>
          </w:p>
        </w:tc>
        <w:tc>
          <w:tcPr>
            <w:tcW w:w="1165" w:type="dxa"/>
            <w:tcBorders>
              <w:top w:val="nil"/>
              <w:left w:val="nil"/>
              <w:bottom w:val="single" w:sz="4" w:space="0" w:color="auto"/>
              <w:right w:val="single" w:sz="4" w:space="0" w:color="auto"/>
            </w:tcBorders>
            <w:vAlign w:val="center"/>
          </w:tcPr>
          <w:p w14:paraId="7CF64951" w14:textId="6DAEC2D3" w:rsidR="00814288" w:rsidRPr="00C2587D" w:rsidRDefault="00036530" w:rsidP="00814288">
            <w:pPr>
              <w:jc w:val="center"/>
              <w:rPr>
                <w:rFonts w:cs="Arial"/>
                <w:b/>
                <w:color w:val="000000"/>
                <w:sz w:val="20"/>
                <w:szCs w:val="20"/>
                <w:lang w:eastAsia="it-IT"/>
              </w:rPr>
            </w:pPr>
            <w:r w:rsidRPr="00C2587D">
              <w:rPr>
                <w:rFonts w:cs="Arial"/>
                <w:b/>
                <w:color w:val="000000"/>
                <w:sz w:val="20"/>
                <w:szCs w:val="20"/>
                <w:lang w:eastAsia="it-IT"/>
              </w:rPr>
              <w:t>1 000,0</w:t>
            </w:r>
          </w:p>
        </w:tc>
      </w:tr>
      <w:tr w:rsidR="00814288" w:rsidRPr="00C2587D" w14:paraId="25F04E24" w14:textId="77777777" w:rsidTr="00987B8D">
        <w:trPr>
          <w:gridAfter w:val="1"/>
          <w:wAfter w:w="25" w:type="dxa"/>
          <w:trHeight w:val="721"/>
          <w:jc w:val="center"/>
        </w:trPr>
        <w:tc>
          <w:tcPr>
            <w:tcW w:w="709" w:type="dxa"/>
            <w:tcBorders>
              <w:top w:val="nil"/>
              <w:left w:val="single" w:sz="4" w:space="0" w:color="auto"/>
              <w:bottom w:val="single" w:sz="4" w:space="0" w:color="auto"/>
              <w:right w:val="single" w:sz="4" w:space="0" w:color="auto"/>
            </w:tcBorders>
            <w:shd w:val="clear" w:color="auto" w:fill="auto"/>
            <w:noWrap/>
            <w:vAlign w:val="center"/>
          </w:tcPr>
          <w:p w14:paraId="14FC8E6A" w14:textId="38A3D828" w:rsidR="00814288" w:rsidRPr="00C2587D" w:rsidRDefault="00814288" w:rsidP="00814288">
            <w:pPr>
              <w:spacing w:before="20" w:after="20"/>
              <w:jc w:val="center"/>
              <w:rPr>
                <w:rFonts w:cs="Arial"/>
                <w:sz w:val="20"/>
                <w:szCs w:val="20"/>
                <w:lang w:eastAsia="uk-UA"/>
              </w:rPr>
            </w:pPr>
            <w:r w:rsidRPr="00C2587D">
              <w:rPr>
                <w:rFonts w:cs="Arial"/>
                <w:sz w:val="20"/>
                <w:szCs w:val="20"/>
                <w:lang w:eastAsia="uk-UA"/>
              </w:rPr>
              <w:t>3.</w:t>
            </w:r>
          </w:p>
        </w:tc>
        <w:tc>
          <w:tcPr>
            <w:tcW w:w="3964" w:type="dxa"/>
            <w:tcBorders>
              <w:top w:val="nil"/>
              <w:left w:val="nil"/>
              <w:bottom w:val="single" w:sz="4" w:space="0" w:color="auto"/>
              <w:right w:val="single" w:sz="4" w:space="0" w:color="auto"/>
            </w:tcBorders>
            <w:shd w:val="clear" w:color="auto" w:fill="auto"/>
            <w:vAlign w:val="center"/>
          </w:tcPr>
          <w:p w14:paraId="37F02936" w14:textId="33B5345A" w:rsidR="00814288" w:rsidRPr="00C2587D" w:rsidRDefault="00814288" w:rsidP="00682193">
            <w:pPr>
              <w:spacing w:before="20" w:after="20"/>
              <w:jc w:val="both"/>
              <w:rPr>
                <w:rFonts w:cs="Arial"/>
                <w:sz w:val="20"/>
                <w:szCs w:val="20"/>
                <w:lang w:eastAsia="uk-UA"/>
              </w:rPr>
            </w:pPr>
            <w:r w:rsidRPr="00C2587D">
              <w:t>Нормативна грошова оцінка земельних ділянок</w:t>
            </w:r>
          </w:p>
        </w:tc>
        <w:tc>
          <w:tcPr>
            <w:tcW w:w="1191" w:type="dxa"/>
            <w:tcBorders>
              <w:top w:val="nil"/>
              <w:left w:val="nil"/>
              <w:bottom w:val="single" w:sz="4" w:space="0" w:color="auto"/>
              <w:right w:val="single" w:sz="4" w:space="0" w:color="auto"/>
            </w:tcBorders>
            <w:shd w:val="clear" w:color="auto" w:fill="auto"/>
            <w:vAlign w:val="center"/>
          </w:tcPr>
          <w:p w14:paraId="1369D902" w14:textId="6475145B" w:rsidR="00814288" w:rsidRPr="00C2587D" w:rsidRDefault="00036530" w:rsidP="00814288">
            <w:pPr>
              <w:jc w:val="center"/>
              <w:rPr>
                <w:rFonts w:cs="Arial"/>
                <w:color w:val="000000"/>
                <w:sz w:val="20"/>
                <w:szCs w:val="20"/>
                <w:lang w:eastAsia="it-IT"/>
              </w:rPr>
            </w:pPr>
            <w:r w:rsidRPr="00C2587D">
              <w:rPr>
                <w:rFonts w:cs="Arial"/>
                <w:color w:val="000000"/>
                <w:sz w:val="20"/>
                <w:szCs w:val="20"/>
                <w:lang w:eastAsia="it-IT"/>
              </w:rPr>
              <w:t>500,0</w:t>
            </w:r>
          </w:p>
        </w:tc>
        <w:tc>
          <w:tcPr>
            <w:tcW w:w="1219" w:type="dxa"/>
            <w:tcBorders>
              <w:top w:val="nil"/>
              <w:left w:val="nil"/>
              <w:bottom w:val="single" w:sz="4" w:space="0" w:color="auto"/>
              <w:right w:val="single" w:sz="4" w:space="0" w:color="auto"/>
            </w:tcBorders>
            <w:shd w:val="clear" w:color="auto" w:fill="auto"/>
            <w:vAlign w:val="center"/>
          </w:tcPr>
          <w:p w14:paraId="5EB6D3C7" w14:textId="7A9AE310" w:rsidR="00814288" w:rsidRPr="00C2587D" w:rsidRDefault="00036530" w:rsidP="00814288">
            <w:pPr>
              <w:jc w:val="center"/>
              <w:rPr>
                <w:rFonts w:cs="Arial"/>
                <w:color w:val="000000"/>
                <w:sz w:val="20"/>
                <w:szCs w:val="20"/>
                <w:lang w:eastAsia="it-IT"/>
              </w:rPr>
            </w:pPr>
            <w:r w:rsidRPr="00C2587D">
              <w:rPr>
                <w:rFonts w:cs="Arial"/>
                <w:color w:val="000000"/>
                <w:sz w:val="20"/>
                <w:szCs w:val="20"/>
                <w:lang w:eastAsia="it-IT"/>
              </w:rPr>
              <w:t>300,0</w:t>
            </w:r>
          </w:p>
        </w:tc>
        <w:tc>
          <w:tcPr>
            <w:tcW w:w="1217" w:type="dxa"/>
            <w:tcBorders>
              <w:top w:val="nil"/>
              <w:left w:val="nil"/>
              <w:bottom w:val="single" w:sz="4" w:space="0" w:color="auto"/>
              <w:right w:val="single" w:sz="4" w:space="0" w:color="auto"/>
            </w:tcBorders>
            <w:shd w:val="clear" w:color="auto" w:fill="auto"/>
            <w:vAlign w:val="center"/>
          </w:tcPr>
          <w:p w14:paraId="26E76006" w14:textId="2305CE42" w:rsidR="00814288" w:rsidRPr="00C2587D" w:rsidRDefault="00036530" w:rsidP="00814288">
            <w:pPr>
              <w:jc w:val="center"/>
              <w:rPr>
                <w:rFonts w:cs="Arial"/>
                <w:color w:val="000000"/>
                <w:sz w:val="20"/>
                <w:szCs w:val="20"/>
                <w:lang w:eastAsia="it-IT"/>
              </w:rPr>
            </w:pPr>
            <w:r w:rsidRPr="00C2587D">
              <w:rPr>
                <w:rFonts w:cs="Arial"/>
                <w:color w:val="000000"/>
                <w:sz w:val="20"/>
                <w:szCs w:val="20"/>
                <w:lang w:eastAsia="it-IT"/>
              </w:rPr>
              <w:t>300,0</w:t>
            </w:r>
          </w:p>
        </w:tc>
        <w:tc>
          <w:tcPr>
            <w:tcW w:w="1191" w:type="dxa"/>
            <w:tcBorders>
              <w:top w:val="nil"/>
              <w:left w:val="nil"/>
              <w:bottom w:val="single" w:sz="4" w:space="0" w:color="auto"/>
              <w:right w:val="single" w:sz="4" w:space="0" w:color="auto"/>
            </w:tcBorders>
            <w:shd w:val="clear" w:color="auto" w:fill="auto"/>
            <w:vAlign w:val="center"/>
          </w:tcPr>
          <w:p w14:paraId="155B7AC8" w14:textId="30C66DC1" w:rsidR="00814288" w:rsidRPr="00C2587D" w:rsidRDefault="00036530" w:rsidP="00814288">
            <w:pPr>
              <w:jc w:val="center"/>
              <w:rPr>
                <w:rFonts w:cs="Arial"/>
                <w:color w:val="000000"/>
                <w:sz w:val="20"/>
                <w:szCs w:val="20"/>
                <w:lang w:eastAsia="it-IT"/>
              </w:rPr>
            </w:pPr>
            <w:r w:rsidRPr="00C2587D">
              <w:rPr>
                <w:rFonts w:cs="Arial"/>
                <w:color w:val="000000"/>
                <w:sz w:val="20"/>
                <w:szCs w:val="20"/>
                <w:lang w:eastAsia="it-IT"/>
              </w:rPr>
              <w:t>80,0</w:t>
            </w:r>
          </w:p>
        </w:tc>
        <w:tc>
          <w:tcPr>
            <w:tcW w:w="1165" w:type="dxa"/>
            <w:tcBorders>
              <w:top w:val="nil"/>
              <w:left w:val="nil"/>
              <w:bottom w:val="single" w:sz="4" w:space="0" w:color="auto"/>
              <w:right w:val="single" w:sz="4" w:space="0" w:color="auto"/>
            </w:tcBorders>
            <w:vAlign w:val="center"/>
          </w:tcPr>
          <w:p w14:paraId="718211C3" w14:textId="4714C884" w:rsidR="00814288" w:rsidRPr="00C2587D" w:rsidRDefault="00036530" w:rsidP="00814288">
            <w:pPr>
              <w:jc w:val="center"/>
              <w:rPr>
                <w:rFonts w:cs="Arial"/>
                <w:b/>
                <w:color w:val="000000"/>
                <w:sz w:val="20"/>
                <w:szCs w:val="20"/>
                <w:lang w:eastAsia="it-IT"/>
              </w:rPr>
            </w:pPr>
            <w:r w:rsidRPr="00C2587D">
              <w:rPr>
                <w:rFonts w:cs="Arial"/>
                <w:b/>
                <w:color w:val="000000"/>
                <w:sz w:val="20"/>
                <w:szCs w:val="20"/>
                <w:lang w:eastAsia="it-IT"/>
              </w:rPr>
              <w:t>1 180,0</w:t>
            </w:r>
          </w:p>
        </w:tc>
      </w:tr>
      <w:tr w:rsidR="00814288" w:rsidRPr="00C2587D" w14:paraId="136A9F94" w14:textId="77777777" w:rsidTr="00C2587D">
        <w:trPr>
          <w:gridAfter w:val="1"/>
          <w:wAfter w:w="25" w:type="dxa"/>
          <w:jc w:val="center"/>
        </w:trPr>
        <w:tc>
          <w:tcPr>
            <w:tcW w:w="709" w:type="dxa"/>
            <w:tcBorders>
              <w:top w:val="nil"/>
              <w:left w:val="single" w:sz="4" w:space="0" w:color="auto"/>
              <w:bottom w:val="single" w:sz="4" w:space="0" w:color="auto"/>
              <w:right w:val="single" w:sz="4" w:space="0" w:color="auto"/>
            </w:tcBorders>
            <w:shd w:val="clear" w:color="auto" w:fill="auto"/>
            <w:noWrap/>
            <w:vAlign w:val="center"/>
          </w:tcPr>
          <w:p w14:paraId="0EF28EED" w14:textId="00A8491B" w:rsidR="00814288" w:rsidRPr="00C2587D" w:rsidRDefault="00814288" w:rsidP="00814288">
            <w:pPr>
              <w:spacing w:before="20" w:after="20"/>
              <w:jc w:val="center"/>
              <w:rPr>
                <w:rFonts w:cs="Arial"/>
                <w:sz w:val="20"/>
                <w:szCs w:val="20"/>
                <w:lang w:eastAsia="uk-UA"/>
              </w:rPr>
            </w:pPr>
            <w:r w:rsidRPr="00C2587D">
              <w:rPr>
                <w:rFonts w:cs="Arial"/>
                <w:sz w:val="20"/>
                <w:szCs w:val="20"/>
                <w:lang w:eastAsia="uk-UA"/>
              </w:rPr>
              <w:t>4.</w:t>
            </w:r>
          </w:p>
        </w:tc>
        <w:tc>
          <w:tcPr>
            <w:tcW w:w="3964" w:type="dxa"/>
            <w:tcBorders>
              <w:top w:val="nil"/>
              <w:left w:val="nil"/>
              <w:bottom w:val="single" w:sz="4" w:space="0" w:color="auto"/>
              <w:right w:val="single" w:sz="4" w:space="0" w:color="auto"/>
            </w:tcBorders>
            <w:shd w:val="clear" w:color="auto" w:fill="auto"/>
          </w:tcPr>
          <w:p w14:paraId="0A61D765" w14:textId="49A6240E" w:rsidR="00814288" w:rsidRPr="00C2587D" w:rsidRDefault="00814288" w:rsidP="00814288">
            <w:pPr>
              <w:spacing w:before="40" w:after="40"/>
              <w:jc w:val="both"/>
              <w:rPr>
                <w:rFonts w:cs="Arial"/>
                <w:sz w:val="20"/>
                <w:szCs w:val="20"/>
              </w:rPr>
            </w:pPr>
            <w:r w:rsidRPr="00C2587D">
              <w:t>Складання плану земельно-господарського устрою населеного пункту</w:t>
            </w:r>
          </w:p>
        </w:tc>
        <w:tc>
          <w:tcPr>
            <w:tcW w:w="1191" w:type="dxa"/>
            <w:tcBorders>
              <w:top w:val="nil"/>
              <w:left w:val="nil"/>
              <w:bottom w:val="single" w:sz="4" w:space="0" w:color="auto"/>
              <w:right w:val="single" w:sz="4" w:space="0" w:color="auto"/>
            </w:tcBorders>
            <w:shd w:val="clear" w:color="auto" w:fill="auto"/>
            <w:vAlign w:val="center"/>
          </w:tcPr>
          <w:p w14:paraId="6690E121" w14:textId="4EB71766" w:rsidR="00814288" w:rsidRPr="00C2587D" w:rsidRDefault="00814288" w:rsidP="00814288">
            <w:pPr>
              <w:jc w:val="center"/>
              <w:rPr>
                <w:rFonts w:cs="Arial"/>
                <w:color w:val="000000"/>
                <w:sz w:val="20"/>
                <w:szCs w:val="20"/>
                <w:lang w:eastAsia="it-IT"/>
              </w:rPr>
            </w:pPr>
          </w:p>
        </w:tc>
        <w:tc>
          <w:tcPr>
            <w:tcW w:w="1219" w:type="dxa"/>
            <w:tcBorders>
              <w:top w:val="nil"/>
              <w:left w:val="nil"/>
              <w:bottom w:val="single" w:sz="4" w:space="0" w:color="auto"/>
              <w:right w:val="single" w:sz="4" w:space="0" w:color="auto"/>
            </w:tcBorders>
            <w:shd w:val="clear" w:color="auto" w:fill="auto"/>
            <w:vAlign w:val="center"/>
          </w:tcPr>
          <w:p w14:paraId="5F19ABF8" w14:textId="035D3FAE" w:rsidR="00814288" w:rsidRPr="00C2587D" w:rsidRDefault="00036530" w:rsidP="00814288">
            <w:pPr>
              <w:jc w:val="center"/>
              <w:rPr>
                <w:rFonts w:cs="Arial"/>
                <w:color w:val="000000"/>
                <w:sz w:val="20"/>
                <w:szCs w:val="20"/>
                <w:lang w:eastAsia="it-IT"/>
              </w:rPr>
            </w:pPr>
            <w:r w:rsidRPr="00C2587D">
              <w:rPr>
                <w:rFonts w:cs="Arial"/>
                <w:color w:val="000000"/>
                <w:sz w:val="20"/>
                <w:szCs w:val="20"/>
                <w:lang w:eastAsia="it-IT"/>
              </w:rPr>
              <w:t>200,0</w:t>
            </w:r>
          </w:p>
        </w:tc>
        <w:tc>
          <w:tcPr>
            <w:tcW w:w="1217" w:type="dxa"/>
            <w:tcBorders>
              <w:top w:val="nil"/>
              <w:left w:val="nil"/>
              <w:bottom w:val="single" w:sz="4" w:space="0" w:color="auto"/>
              <w:right w:val="single" w:sz="4" w:space="0" w:color="auto"/>
            </w:tcBorders>
            <w:shd w:val="clear" w:color="auto" w:fill="auto"/>
            <w:vAlign w:val="center"/>
          </w:tcPr>
          <w:p w14:paraId="76E72208" w14:textId="56A9712D" w:rsidR="00814288" w:rsidRPr="00C2587D" w:rsidRDefault="00814288" w:rsidP="00814288">
            <w:pPr>
              <w:jc w:val="center"/>
              <w:rPr>
                <w:rFonts w:cs="Arial"/>
                <w:color w:val="000000"/>
                <w:sz w:val="20"/>
                <w:szCs w:val="20"/>
                <w:lang w:eastAsia="it-IT"/>
              </w:rPr>
            </w:pPr>
          </w:p>
        </w:tc>
        <w:tc>
          <w:tcPr>
            <w:tcW w:w="1191" w:type="dxa"/>
            <w:tcBorders>
              <w:top w:val="nil"/>
              <w:left w:val="nil"/>
              <w:bottom w:val="single" w:sz="4" w:space="0" w:color="auto"/>
              <w:right w:val="single" w:sz="4" w:space="0" w:color="auto"/>
            </w:tcBorders>
            <w:shd w:val="clear" w:color="auto" w:fill="auto"/>
            <w:vAlign w:val="center"/>
          </w:tcPr>
          <w:p w14:paraId="1C117E0D" w14:textId="1752984D" w:rsidR="00814288" w:rsidRPr="00C2587D" w:rsidRDefault="00814288" w:rsidP="00814288">
            <w:pPr>
              <w:jc w:val="center"/>
              <w:rPr>
                <w:rFonts w:cs="Arial"/>
                <w:color w:val="000000"/>
                <w:sz w:val="20"/>
                <w:szCs w:val="20"/>
                <w:lang w:eastAsia="it-IT"/>
              </w:rPr>
            </w:pPr>
          </w:p>
        </w:tc>
        <w:tc>
          <w:tcPr>
            <w:tcW w:w="1165" w:type="dxa"/>
            <w:tcBorders>
              <w:top w:val="nil"/>
              <w:left w:val="nil"/>
              <w:bottom w:val="single" w:sz="4" w:space="0" w:color="auto"/>
              <w:right w:val="single" w:sz="4" w:space="0" w:color="auto"/>
            </w:tcBorders>
            <w:vAlign w:val="center"/>
          </w:tcPr>
          <w:p w14:paraId="661D76FC" w14:textId="2B60B3E1" w:rsidR="00814288" w:rsidRPr="00C2587D" w:rsidRDefault="00036530" w:rsidP="00814288">
            <w:pPr>
              <w:jc w:val="center"/>
              <w:rPr>
                <w:rFonts w:cs="Arial"/>
                <w:b/>
                <w:color w:val="000000"/>
                <w:sz w:val="20"/>
                <w:szCs w:val="20"/>
                <w:lang w:eastAsia="it-IT"/>
              </w:rPr>
            </w:pPr>
            <w:r w:rsidRPr="00C2587D">
              <w:rPr>
                <w:rFonts w:cs="Arial"/>
                <w:b/>
                <w:color w:val="000000"/>
                <w:sz w:val="20"/>
                <w:szCs w:val="20"/>
                <w:lang w:eastAsia="it-IT"/>
              </w:rPr>
              <w:t>200,0</w:t>
            </w:r>
          </w:p>
        </w:tc>
      </w:tr>
      <w:tr w:rsidR="00814288" w:rsidRPr="00C2587D" w14:paraId="5C671671" w14:textId="77777777" w:rsidTr="00C2587D">
        <w:trPr>
          <w:gridAfter w:val="1"/>
          <w:wAfter w:w="25" w:type="dxa"/>
          <w:jc w:val="center"/>
        </w:trPr>
        <w:tc>
          <w:tcPr>
            <w:tcW w:w="709" w:type="dxa"/>
            <w:tcBorders>
              <w:top w:val="nil"/>
              <w:left w:val="single" w:sz="4" w:space="0" w:color="auto"/>
              <w:bottom w:val="single" w:sz="4" w:space="0" w:color="auto"/>
              <w:right w:val="single" w:sz="4" w:space="0" w:color="auto"/>
            </w:tcBorders>
            <w:shd w:val="clear" w:color="auto" w:fill="auto"/>
            <w:noWrap/>
            <w:vAlign w:val="center"/>
          </w:tcPr>
          <w:p w14:paraId="7C78B82B" w14:textId="53094ABA" w:rsidR="00814288" w:rsidRPr="00C2587D" w:rsidRDefault="00814288" w:rsidP="00814288">
            <w:pPr>
              <w:spacing w:before="20" w:after="20"/>
              <w:jc w:val="center"/>
              <w:rPr>
                <w:rFonts w:cs="Arial"/>
                <w:sz w:val="20"/>
                <w:szCs w:val="20"/>
                <w:lang w:eastAsia="uk-UA"/>
              </w:rPr>
            </w:pPr>
            <w:r w:rsidRPr="00C2587D">
              <w:rPr>
                <w:rFonts w:cs="Arial"/>
                <w:sz w:val="20"/>
                <w:szCs w:val="20"/>
                <w:lang w:eastAsia="uk-UA"/>
              </w:rPr>
              <w:t>5.</w:t>
            </w:r>
          </w:p>
        </w:tc>
        <w:tc>
          <w:tcPr>
            <w:tcW w:w="3964" w:type="dxa"/>
            <w:tcBorders>
              <w:top w:val="nil"/>
              <w:left w:val="nil"/>
              <w:bottom w:val="single" w:sz="4" w:space="0" w:color="auto"/>
              <w:right w:val="single" w:sz="4" w:space="0" w:color="auto"/>
            </w:tcBorders>
            <w:shd w:val="clear" w:color="auto" w:fill="auto"/>
          </w:tcPr>
          <w:p w14:paraId="3E3E4DCC" w14:textId="05C2123E" w:rsidR="00814288" w:rsidRPr="00C2587D" w:rsidRDefault="00814288" w:rsidP="00814288">
            <w:pPr>
              <w:spacing w:before="40" w:after="40"/>
              <w:jc w:val="both"/>
              <w:rPr>
                <w:rFonts w:cs="Arial"/>
                <w:sz w:val="20"/>
                <w:szCs w:val="20"/>
              </w:rPr>
            </w:pPr>
            <w:r w:rsidRPr="00C2587D">
              <w:t>Проведення експертної оцінки земельних ділянок комунальної власності при продажу земельних ділянок</w:t>
            </w:r>
          </w:p>
        </w:tc>
        <w:tc>
          <w:tcPr>
            <w:tcW w:w="1191" w:type="dxa"/>
            <w:tcBorders>
              <w:top w:val="nil"/>
              <w:left w:val="nil"/>
              <w:bottom w:val="single" w:sz="4" w:space="0" w:color="auto"/>
              <w:right w:val="single" w:sz="4" w:space="0" w:color="auto"/>
            </w:tcBorders>
            <w:shd w:val="clear" w:color="auto" w:fill="auto"/>
            <w:vAlign w:val="center"/>
          </w:tcPr>
          <w:p w14:paraId="773B4E78" w14:textId="37E18506" w:rsidR="00814288" w:rsidRPr="00C2587D" w:rsidRDefault="00036530" w:rsidP="00814288">
            <w:pPr>
              <w:jc w:val="center"/>
              <w:rPr>
                <w:rFonts w:cs="Arial"/>
                <w:color w:val="000000"/>
                <w:sz w:val="20"/>
                <w:szCs w:val="20"/>
                <w:lang w:eastAsia="it-IT"/>
              </w:rPr>
            </w:pPr>
            <w:r w:rsidRPr="00C2587D">
              <w:rPr>
                <w:rFonts w:cs="Arial"/>
                <w:color w:val="000000"/>
                <w:sz w:val="20"/>
                <w:szCs w:val="20"/>
                <w:lang w:eastAsia="it-IT"/>
              </w:rPr>
              <w:t>130,0</w:t>
            </w:r>
          </w:p>
        </w:tc>
        <w:tc>
          <w:tcPr>
            <w:tcW w:w="1219" w:type="dxa"/>
            <w:tcBorders>
              <w:top w:val="nil"/>
              <w:left w:val="nil"/>
              <w:bottom w:val="single" w:sz="4" w:space="0" w:color="auto"/>
              <w:right w:val="single" w:sz="4" w:space="0" w:color="auto"/>
            </w:tcBorders>
            <w:shd w:val="clear" w:color="auto" w:fill="auto"/>
            <w:vAlign w:val="center"/>
          </w:tcPr>
          <w:p w14:paraId="393E36BF" w14:textId="61B8F931" w:rsidR="00814288" w:rsidRPr="00C2587D" w:rsidRDefault="00036530" w:rsidP="00814288">
            <w:pPr>
              <w:jc w:val="center"/>
              <w:rPr>
                <w:rFonts w:cs="Arial"/>
                <w:color w:val="000000"/>
                <w:sz w:val="20"/>
                <w:szCs w:val="20"/>
                <w:lang w:eastAsia="it-IT"/>
              </w:rPr>
            </w:pPr>
            <w:r w:rsidRPr="00C2587D">
              <w:rPr>
                <w:rFonts w:cs="Arial"/>
                <w:color w:val="000000"/>
                <w:sz w:val="20"/>
                <w:szCs w:val="20"/>
                <w:lang w:eastAsia="it-IT"/>
              </w:rPr>
              <w:t>130,0</w:t>
            </w:r>
          </w:p>
        </w:tc>
        <w:tc>
          <w:tcPr>
            <w:tcW w:w="1217" w:type="dxa"/>
            <w:tcBorders>
              <w:top w:val="nil"/>
              <w:left w:val="nil"/>
              <w:bottom w:val="single" w:sz="4" w:space="0" w:color="auto"/>
              <w:right w:val="single" w:sz="4" w:space="0" w:color="auto"/>
            </w:tcBorders>
            <w:shd w:val="clear" w:color="auto" w:fill="auto"/>
            <w:vAlign w:val="center"/>
          </w:tcPr>
          <w:p w14:paraId="22C71F9F" w14:textId="103CA79E" w:rsidR="00814288" w:rsidRPr="00C2587D" w:rsidRDefault="00036530" w:rsidP="00814288">
            <w:pPr>
              <w:jc w:val="center"/>
              <w:rPr>
                <w:rFonts w:cs="Arial"/>
                <w:color w:val="000000"/>
                <w:sz w:val="20"/>
                <w:szCs w:val="20"/>
                <w:lang w:eastAsia="it-IT"/>
              </w:rPr>
            </w:pPr>
            <w:r w:rsidRPr="00C2587D">
              <w:rPr>
                <w:rFonts w:cs="Arial"/>
                <w:color w:val="000000"/>
                <w:sz w:val="20"/>
                <w:szCs w:val="20"/>
                <w:lang w:eastAsia="it-IT"/>
              </w:rPr>
              <w:t>130,0</w:t>
            </w:r>
          </w:p>
        </w:tc>
        <w:tc>
          <w:tcPr>
            <w:tcW w:w="1191" w:type="dxa"/>
            <w:tcBorders>
              <w:top w:val="nil"/>
              <w:left w:val="nil"/>
              <w:bottom w:val="single" w:sz="4" w:space="0" w:color="auto"/>
              <w:right w:val="single" w:sz="4" w:space="0" w:color="auto"/>
            </w:tcBorders>
            <w:shd w:val="clear" w:color="auto" w:fill="auto"/>
            <w:vAlign w:val="center"/>
          </w:tcPr>
          <w:p w14:paraId="4C14CF42" w14:textId="01F71193" w:rsidR="00814288" w:rsidRPr="00C2587D" w:rsidRDefault="00036530" w:rsidP="00814288">
            <w:pPr>
              <w:jc w:val="center"/>
              <w:rPr>
                <w:rFonts w:cs="Arial"/>
                <w:color w:val="000000"/>
                <w:sz w:val="20"/>
                <w:szCs w:val="20"/>
                <w:lang w:eastAsia="it-IT"/>
              </w:rPr>
            </w:pPr>
            <w:r w:rsidRPr="00C2587D">
              <w:rPr>
                <w:rFonts w:cs="Arial"/>
                <w:color w:val="000000"/>
                <w:sz w:val="20"/>
                <w:szCs w:val="20"/>
                <w:lang w:eastAsia="it-IT"/>
              </w:rPr>
              <w:t>130,0</w:t>
            </w:r>
          </w:p>
        </w:tc>
        <w:tc>
          <w:tcPr>
            <w:tcW w:w="1165" w:type="dxa"/>
            <w:tcBorders>
              <w:top w:val="nil"/>
              <w:left w:val="nil"/>
              <w:bottom w:val="single" w:sz="4" w:space="0" w:color="auto"/>
              <w:right w:val="single" w:sz="4" w:space="0" w:color="auto"/>
            </w:tcBorders>
            <w:vAlign w:val="center"/>
          </w:tcPr>
          <w:p w14:paraId="555FEF2B" w14:textId="7E69D837" w:rsidR="00814288" w:rsidRPr="00C2587D" w:rsidRDefault="00036530" w:rsidP="00814288">
            <w:pPr>
              <w:jc w:val="center"/>
              <w:rPr>
                <w:rFonts w:cs="Arial"/>
                <w:b/>
                <w:color w:val="000000"/>
                <w:sz w:val="20"/>
                <w:szCs w:val="20"/>
                <w:lang w:eastAsia="it-IT"/>
              </w:rPr>
            </w:pPr>
            <w:r w:rsidRPr="00C2587D">
              <w:rPr>
                <w:rFonts w:cs="Arial"/>
                <w:b/>
                <w:color w:val="000000"/>
                <w:sz w:val="20"/>
                <w:szCs w:val="20"/>
                <w:lang w:eastAsia="it-IT"/>
              </w:rPr>
              <w:t>520,0</w:t>
            </w:r>
          </w:p>
        </w:tc>
      </w:tr>
      <w:tr w:rsidR="00814288" w:rsidRPr="00C2587D" w14:paraId="59841DA7" w14:textId="77777777" w:rsidTr="00C2587D">
        <w:trPr>
          <w:gridAfter w:val="1"/>
          <w:wAfter w:w="25" w:type="dxa"/>
          <w:jc w:val="center"/>
        </w:trPr>
        <w:tc>
          <w:tcPr>
            <w:tcW w:w="709" w:type="dxa"/>
            <w:tcBorders>
              <w:top w:val="nil"/>
              <w:left w:val="single" w:sz="4" w:space="0" w:color="auto"/>
              <w:bottom w:val="single" w:sz="4" w:space="0" w:color="auto"/>
              <w:right w:val="single" w:sz="4" w:space="0" w:color="auto"/>
            </w:tcBorders>
            <w:shd w:val="clear" w:color="auto" w:fill="auto"/>
            <w:noWrap/>
            <w:vAlign w:val="center"/>
          </w:tcPr>
          <w:p w14:paraId="79D4D460" w14:textId="2684AB13" w:rsidR="00814288" w:rsidRPr="00C2587D" w:rsidRDefault="00814288" w:rsidP="00814288">
            <w:pPr>
              <w:spacing w:before="20" w:after="20"/>
              <w:jc w:val="center"/>
              <w:rPr>
                <w:rFonts w:cs="Arial"/>
                <w:sz w:val="20"/>
                <w:szCs w:val="20"/>
                <w:lang w:eastAsia="uk-UA"/>
              </w:rPr>
            </w:pPr>
            <w:r w:rsidRPr="00C2587D">
              <w:rPr>
                <w:rFonts w:cs="Arial"/>
                <w:sz w:val="20"/>
                <w:szCs w:val="20"/>
                <w:lang w:eastAsia="uk-UA"/>
              </w:rPr>
              <w:t>6.</w:t>
            </w:r>
          </w:p>
        </w:tc>
        <w:tc>
          <w:tcPr>
            <w:tcW w:w="3964" w:type="dxa"/>
            <w:tcBorders>
              <w:top w:val="nil"/>
              <w:left w:val="nil"/>
              <w:bottom w:val="single" w:sz="4" w:space="0" w:color="auto"/>
              <w:right w:val="single" w:sz="4" w:space="0" w:color="auto"/>
            </w:tcBorders>
            <w:shd w:val="clear" w:color="auto" w:fill="auto"/>
          </w:tcPr>
          <w:p w14:paraId="74E45338" w14:textId="0142903F" w:rsidR="00814288" w:rsidRPr="00C2587D" w:rsidRDefault="00814288" w:rsidP="00814288">
            <w:pPr>
              <w:spacing w:before="40" w:after="40"/>
              <w:jc w:val="both"/>
              <w:rPr>
                <w:rFonts w:cs="Arial"/>
                <w:sz w:val="20"/>
                <w:szCs w:val="20"/>
              </w:rPr>
            </w:pPr>
            <w:r w:rsidRPr="00C2587D">
              <w:t>Виготовлення документації із землеустрою</w:t>
            </w:r>
          </w:p>
        </w:tc>
        <w:tc>
          <w:tcPr>
            <w:tcW w:w="1191" w:type="dxa"/>
            <w:tcBorders>
              <w:top w:val="nil"/>
              <w:left w:val="nil"/>
              <w:bottom w:val="single" w:sz="4" w:space="0" w:color="auto"/>
              <w:right w:val="single" w:sz="4" w:space="0" w:color="auto"/>
            </w:tcBorders>
            <w:shd w:val="clear" w:color="auto" w:fill="auto"/>
            <w:vAlign w:val="center"/>
          </w:tcPr>
          <w:p w14:paraId="76597E5B" w14:textId="3D98AF71" w:rsidR="00814288" w:rsidRPr="00C2587D" w:rsidRDefault="00036530" w:rsidP="00814288">
            <w:pPr>
              <w:jc w:val="center"/>
              <w:rPr>
                <w:rFonts w:cs="Arial"/>
                <w:color w:val="000000"/>
                <w:sz w:val="20"/>
                <w:szCs w:val="20"/>
                <w:lang w:eastAsia="it-IT"/>
              </w:rPr>
            </w:pPr>
            <w:r w:rsidRPr="00C2587D">
              <w:rPr>
                <w:rFonts w:cs="Arial"/>
                <w:color w:val="000000"/>
                <w:sz w:val="20"/>
                <w:szCs w:val="20"/>
                <w:lang w:eastAsia="it-IT"/>
              </w:rPr>
              <w:t>120,0</w:t>
            </w:r>
          </w:p>
        </w:tc>
        <w:tc>
          <w:tcPr>
            <w:tcW w:w="1219" w:type="dxa"/>
            <w:tcBorders>
              <w:top w:val="nil"/>
              <w:left w:val="nil"/>
              <w:bottom w:val="single" w:sz="4" w:space="0" w:color="auto"/>
              <w:right w:val="single" w:sz="4" w:space="0" w:color="auto"/>
            </w:tcBorders>
            <w:shd w:val="clear" w:color="auto" w:fill="auto"/>
            <w:vAlign w:val="center"/>
          </w:tcPr>
          <w:p w14:paraId="6251625E" w14:textId="258F5D64" w:rsidR="00814288" w:rsidRPr="00C2587D" w:rsidRDefault="00036530" w:rsidP="00814288">
            <w:pPr>
              <w:jc w:val="center"/>
              <w:rPr>
                <w:rFonts w:cs="Arial"/>
                <w:color w:val="000000"/>
                <w:sz w:val="20"/>
                <w:szCs w:val="20"/>
                <w:lang w:eastAsia="it-IT"/>
              </w:rPr>
            </w:pPr>
            <w:r w:rsidRPr="00C2587D">
              <w:rPr>
                <w:rFonts w:cs="Arial"/>
                <w:color w:val="000000"/>
                <w:sz w:val="20"/>
                <w:szCs w:val="20"/>
                <w:lang w:eastAsia="it-IT"/>
              </w:rPr>
              <w:t>120,0</w:t>
            </w:r>
          </w:p>
        </w:tc>
        <w:tc>
          <w:tcPr>
            <w:tcW w:w="1217" w:type="dxa"/>
            <w:tcBorders>
              <w:top w:val="nil"/>
              <w:left w:val="nil"/>
              <w:bottom w:val="single" w:sz="4" w:space="0" w:color="auto"/>
              <w:right w:val="single" w:sz="4" w:space="0" w:color="auto"/>
            </w:tcBorders>
            <w:shd w:val="clear" w:color="auto" w:fill="auto"/>
            <w:vAlign w:val="center"/>
          </w:tcPr>
          <w:p w14:paraId="67378CFC" w14:textId="07FE88EB" w:rsidR="00814288" w:rsidRPr="00C2587D" w:rsidRDefault="00036530" w:rsidP="00814288">
            <w:pPr>
              <w:jc w:val="center"/>
              <w:rPr>
                <w:rFonts w:cs="Arial"/>
                <w:color w:val="000000"/>
                <w:sz w:val="20"/>
                <w:szCs w:val="20"/>
                <w:lang w:eastAsia="it-IT"/>
              </w:rPr>
            </w:pPr>
            <w:r w:rsidRPr="00C2587D">
              <w:rPr>
                <w:rFonts w:cs="Arial"/>
                <w:color w:val="000000"/>
                <w:sz w:val="20"/>
                <w:szCs w:val="20"/>
                <w:lang w:eastAsia="it-IT"/>
              </w:rPr>
              <w:t>120,0</w:t>
            </w:r>
          </w:p>
        </w:tc>
        <w:tc>
          <w:tcPr>
            <w:tcW w:w="1191" w:type="dxa"/>
            <w:tcBorders>
              <w:top w:val="nil"/>
              <w:left w:val="nil"/>
              <w:bottom w:val="single" w:sz="4" w:space="0" w:color="auto"/>
              <w:right w:val="single" w:sz="4" w:space="0" w:color="auto"/>
            </w:tcBorders>
            <w:shd w:val="clear" w:color="auto" w:fill="auto"/>
            <w:vAlign w:val="center"/>
          </w:tcPr>
          <w:p w14:paraId="59287B68" w14:textId="4AD74CB4" w:rsidR="00814288" w:rsidRPr="00C2587D" w:rsidRDefault="00036530" w:rsidP="00814288">
            <w:pPr>
              <w:jc w:val="center"/>
              <w:rPr>
                <w:rFonts w:cs="Arial"/>
                <w:color w:val="000000"/>
                <w:sz w:val="20"/>
                <w:szCs w:val="20"/>
                <w:lang w:eastAsia="it-IT"/>
              </w:rPr>
            </w:pPr>
            <w:r w:rsidRPr="00C2587D">
              <w:rPr>
                <w:rFonts w:cs="Arial"/>
                <w:color w:val="000000"/>
                <w:sz w:val="20"/>
                <w:szCs w:val="20"/>
                <w:lang w:eastAsia="it-IT"/>
              </w:rPr>
              <w:t>120,0</w:t>
            </w:r>
          </w:p>
        </w:tc>
        <w:tc>
          <w:tcPr>
            <w:tcW w:w="1165" w:type="dxa"/>
            <w:tcBorders>
              <w:top w:val="nil"/>
              <w:left w:val="nil"/>
              <w:bottom w:val="single" w:sz="4" w:space="0" w:color="auto"/>
              <w:right w:val="single" w:sz="4" w:space="0" w:color="auto"/>
            </w:tcBorders>
            <w:vAlign w:val="center"/>
          </w:tcPr>
          <w:p w14:paraId="01133926" w14:textId="40A66B1C" w:rsidR="00814288" w:rsidRPr="00C2587D" w:rsidRDefault="00036530" w:rsidP="00814288">
            <w:pPr>
              <w:jc w:val="center"/>
              <w:rPr>
                <w:rFonts w:cs="Arial"/>
                <w:b/>
                <w:color w:val="000000"/>
                <w:sz w:val="20"/>
                <w:szCs w:val="20"/>
                <w:lang w:eastAsia="it-IT"/>
              </w:rPr>
            </w:pPr>
            <w:r w:rsidRPr="00C2587D">
              <w:rPr>
                <w:rFonts w:cs="Arial"/>
                <w:b/>
                <w:color w:val="000000"/>
                <w:sz w:val="20"/>
                <w:szCs w:val="20"/>
                <w:lang w:eastAsia="it-IT"/>
              </w:rPr>
              <w:t>480,0</w:t>
            </w:r>
          </w:p>
        </w:tc>
      </w:tr>
      <w:tr w:rsidR="00814288" w:rsidRPr="00C2587D" w14:paraId="14EBFC3C" w14:textId="77777777" w:rsidTr="00987B8D">
        <w:trPr>
          <w:gridAfter w:val="1"/>
          <w:wAfter w:w="25" w:type="dxa"/>
          <w:trHeight w:val="468"/>
          <w:jc w:val="center"/>
        </w:trPr>
        <w:tc>
          <w:tcPr>
            <w:tcW w:w="709" w:type="dxa"/>
            <w:tcBorders>
              <w:top w:val="nil"/>
              <w:left w:val="single" w:sz="4" w:space="0" w:color="auto"/>
              <w:bottom w:val="single" w:sz="4" w:space="0" w:color="auto"/>
              <w:right w:val="single" w:sz="4" w:space="0" w:color="auto"/>
            </w:tcBorders>
            <w:shd w:val="clear" w:color="auto" w:fill="auto"/>
            <w:noWrap/>
            <w:vAlign w:val="center"/>
          </w:tcPr>
          <w:p w14:paraId="584C965D" w14:textId="52E4289F" w:rsidR="00814288" w:rsidRPr="00C2587D" w:rsidRDefault="00814288" w:rsidP="00814288">
            <w:pPr>
              <w:spacing w:before="20" w:after="20"/>
              <w:jc w:val="center"/>
              <w:rPr>
                <w:rFonts w:cs="Arial"/>
                <w:sz w:val="20"/>
                <w:szCs w:val="20"/>
                <w:lang w:eastAsia="uk-UA"/>
              </w:rPr>
            </w:pPr>
            <w:r w:rsidRPr="00C2587D">
              <w:rPr>
                <w:rFonts w:cs="Arial"/>
                <w:sz w:val="20"/>
                <w:szCs w:val="20"/>
                <w:lang w:eastAsia="uk-UA"/>
              </w:rPr>
              <w:t>7.</w:t>
            </w:r>
          </w:p>
        </w:tc>
        <w:tc>
          <w:tcPr>
            <w:tcW w:w="3964" w:type="dxa"/>
            <w:tcBorders>
              <w:top w:val="nil"/>
              <w:left w:val="nil"/>
              <w:bottom w:val="single" w:sz="4" w:space="0" w:color="auto"/>
              <w:right w:val="single" w:sz="4" w:space="0" w:color="auto"/>
            </w:tcBorders>
            <w:shd w:val="clear" w:color="auto" w:fill="auto"/>
            <w:vAlign w:val="center"/>
          </w:tcPr>
          <w:p w14:paraId="0D31617A" w14:textId="71A46B71" w:rsidR="00814288" w:rsidRPr="00C2587D" w:rsidRDefault="00814288" w:rsidP="00987B8D">
            <w:pPr>
              <w:spacing w:before="40" w:after="40"/>
              <w:rPr>
                <w:rFonts w:cs="Arial"/>
                <w:sz w:val="20"/>
                <w:szCs w:val="20"/>
              </w:rPr>
            </w:pPr>
            <w:r w:rsidRPr="00C2587D">
              <w:t>Паспорт водного об'єкту</w:t>
            </w:r>
          </w:p>
        </w:tc>
        <w:tc>
          <w:tcPr>
            <w:tcW w:w="1191" w:type="dxa"/>
            <w:tcBorders>
              <w:top w:val="nil"/>
              <w:left w:val="nil"/>
              <w:bottom w:val="single" w:sz="4" w:space="0" w:color="auto"/>
              <w:right w:val="single" w:sz="4" w:space="0" w:color="auto"/>
            </w:tcBorders>
            <w:shd w:val="clear" w:color="auto" w:fill="auto"/>
            <w:vAlign w:val="center"/>
          </w:tcPr>
          <w:p w14:paraId="3A754A2E" w14:textId="4B67E338" w:rsidR="00814288" w:rsidRPr="00C2587D" w:rsidRDefault="00036530" w:rsidP="00814288">
            <w:pPr>
              <w:jc w:val="center"/>
              <w:rPr>
                <w:rFonts w:cs="Arial"/>
                <w:color w:val="000000"/>
                <w:sz w:val="20"/>
                <w:szCs w:val="20"/>
                <w:lang w:eastAsia="it-IT"/>
              </w:rPr>
            </w:pPr>
            <w:r w:rsidRPr="00C2587D">
              <w:rPr>
                <w:rFonts w:cs="Arial"/>
                <w:color w:val="000000"/>
                <w:sz w:val="20"/>
                <w:szCs w:val="20"/>
                <w:lang w:eastAsia="it-IT"/>
              </w:rPr>
              <w:t>150,0</w:t>
            </w:r>
          </w:p>
        </w:tc>
        <w:tc>
          <w:tcPr>
            <w:tcW w:w="1219" w:type="dxa"/>
            <w:tcBorders>
              <w:top w:val="nil"/>
              <w:left w:val="nil"/>
              <w:bottom w:val="single" w:sz="4" w:space="0" w:color="auto"/>
              <w:right w:val="single" w:sz="4" w:space="0" w:color="auto"/>
            </w:tcBorders>
            <w:shd w:val="clear" w:color="auto" w:fill="auto"/>
            <w:vAlign w:val="center"/>
          </w:tcPr>
          <w:p w14:paraId="40AB9DC7" w14:textId="6B84B136" w:rsidR="00814288" w:rsidRPr="00C2587D" w:rsidRDefault="00036530" w:rsidP="00814288">
            <w:pPr>
              <w:jc w:val="center"/>
              <w:rPr>
                <w:rFonts w:cs="Arial"/>
                <w:color w:val="000000"/>
                <w:sz w:val="20"/>
                <w:szCs w:val="20"/>
                <w:lang w:eastAsia="it-IT"/>
              </w:rPr>
            </w:pPr>
            <w:r w:rsidRPr="00C2587D">
              <w:rPr>
                <w:rFonts w:cs="Arial"/>
                <w:color w:val="000000"/>
                <w:sz w:val="20"/>
                <w:szCs w:val="20"/>
                <w:lang w:eastAsia="it-IT"/>
              </w:rPr>
              <w:t>150,0</w:t>
            </w:r>
          </w:p>
        </w:tc>
        <w:tc>
          <w:tcPr>
            <w:tcW w:w="1217" w:type="dxa"/>
            <w:tcBorders>
              <w:top w:val="nil"/>
              <w:left w:val="nil"/>
              <w:bottom w:val="single" w:sz="4" w:space="0" w:color="auto"/>
              <w:right w:val="single" w:sz="4" w:space="0" w:color="auto"/>
            </w:tcBorders>
            <w:shd w:val="clear" w:color="auto" w:fill="auto"/>
            <w:vAlign w:val="center"/>
          </w:tcPr>
          <w:p w14:paraId="12D0B7AF" w14:textId="5C8F4499" w:rsidR="00814288" w:rsidRPr="00C2587D" w:rsidRDefault="00036530" w:rsidP="00814288">
            <w:pPr>
              <w:jc w:val="center"/>
              <w:rPr>
                <w:rFonts w:cs="Arial"/>
                <w:color w:val="000000"/>
                <w:sz w:val="20"/>
                <w:szCs w:val="20"/>
                <w:lang w:eastAsia="it-IT"/>
              </w:rPr>
            </w:pPr>
            <w:r w:rsidRPr="00C2587D">
              <w:rPr>
                <w:rFonts w:cs="Arial"/>
                <w:color w:val="000000"/>
                <w:sz w:val="20"/>
                <w:szCs w:val="20"/>
                <w:lang w:eastAsia="it-IT"/>
              </w:rPr>
              <w:t>50,0</w:t>
            </w:r>
          </w:p>
        </w:tc>
        <w:tc>
          <w:tcPr>
            <w:tcW w:w="1191" w:type="dxa"/>
            <w:tcBorders>
              <w:top w:val="nil"/>
              <w:left w:val="nil"/>
              <w:bottom w:val="single" w:sz="4" w:space="0" w:color="auto"/>
              <w:right w:val="single" w:sz="4" w:space="0" w:color="auto"/>
            </w:tcBorders>
            <w:shd w:val="clear" w:color="auto" w:fill="auto"/>
            <w:vAlign w:val="center"/>
          </w:tcPr>
          <w:p w14:paraId="6C2366A0" w14:textId="7F4795A4" w:rsidR="00814288" w:rsidRPr="00C2587D" w:rsidRDefault="00036530" w:rsidP="00814288">
            <w:pPr>
              <w:jc w:val="center"/>
              <w:rPr>
                <w:rFonts w:cs="Arial"/>
                <w:color w:val="000000"/>
                <w:sz w:val="20"/>
                <w:szCs w:val="20"/>
                <w:lang w:eastAsia="it-IT"/>
              </w:rPr>
            </w:pPr>
            <w:r w:rsidRPr="00C2587D">
              <w:rPr>
                <w:rFonts w:cs="Arial"/>
                <w:color w:val="000000"/>
                <w:sz w:val="20"/>
                <w:szCs w:val="20"/>
                <w:lang w:eastAsia="it-IT"/>
              </w:rPr>
              <w:t>50,0</w:t>
            </w:r>
          </w:p>
        </w:tc>
        <w:tc>
          <w:tcPr>
            <w:tcW w:w="1165" w:type="dxa"/>
            <w:tcBorders>
              <w:top w:val="nil"/>
              <w:left w:val="nil"/>
              <w:bottom w:val="single" w:sz="4" w:space="0" w:color="auto"/>
              <w:right w:val="single" w:sz="4" w:space="0" w:color="auto"/>
            </w:tcBorders>
            <w:vAlign w:val="center"/>
          </w:tcPr>
          <w:p w14:paraId="2524EEDB" w14:textId="7844C2A4" w:rsidR="00814288" w:rsidRPr="00C2587D" w:rsidRDefault="00036530" w:rsidP="00814288">
            <w:pPr>
              <w:jc w:val="center"/>
              <w:rPr>
                <w:rFonts w:cs="Arial"/>
                <w:b/>
                <w:color w:val="000000"/>
                <w:sz w:val="20"/>
                <w:szCs w:val="20"/>
                <w:lang w:eastAsia="it-IT"/>
              </w:rPr>
            </w:pPr>
            <w:r w:rsidRPr="00C2587D">
              <w:rPr>
                <w:rFonts w:cs="Arial"/>
                <w:b/>
                <w:color w:val="000000"/>
                <w:sz w:val="20"/>
                <w:szCs w:val="20"/>
                <w:lang w:eastAsia="it-IT"/>
              </w:rPr>
              <w:t>400,0</w:t>
            </w:r>
          </w:p>
        </w:tc>
      </w:tr>
      <w:tr w:rsidR="00814288" w:rsidRPr="00C2587D" w14:paraId="40E7E315" w14:textId="77777777" w:rsidTr="00987B8D">
        <w:trPr>
          <w:gridAfter w:val="1"/>
          <w:wAfter w:w="25" w:type="dxa"/>
          <w:trHeight w:val="2955"/>
          <w:jc w:val="center"/>
        </w:trPr>
        <w:tc>
          <w:tcPr>
            <w:tcW w:w="709" w:type="dxa"/>
            <w:tcBorders>
              <w:top w:val="nil"/>
              <w:left w:val="single" w:sz="4" w:space="0" w:color="auto"/>
              <w:bottom w:val="single" w:sz="4" w:space="0" w:color="auto"/>
              <w:right w:val="single" w:sz="4" w:space="0" w:color="auto"/>
            </w:tcBorders>
            <w:shd w:val="clear" w:color="auto" w:fill="auto"/>
            <w:noWrap/>
            <w:vAlign w:val="center"/>
          </w:tcPr>
          <w:p w14:paraId="153579B9" w14:textId="49F52DEA" w:rsidR="00814288" w:rsidRPr="00C2587D" w:rsidRDefault="00814288" w:rsidP="00814288">
            <w:pPr>
              <w:spacing w:before="20" w:after="20"/>
              <w:jc w:val="center"/>
              <w:rPr>
                <w:rFonts w:cs="Arial"/>
                <w:sz w:val="20"/>
                <w:szCs w:val="20"/>
                <w:lang w:eastAsia="uk-UA"/>
              </w:rPr>
            </w:pPr>
            <w:r w:rsidRPr="00C2587D">
              <w:rPr>
                <w:rFonts w:cs="Arial"/>
                <w:sz w:val="20"/>
                <w:szCs w:val="20"/>
                <w:lang w:eastAsia="uk-UA"/>
              </w:rPr>
              <w:t>8.</w:t>
            </w:r>
          </w:p>
        </w:tc>
        <w:tc>
          <w:tcPr>
            <w:tcW w:w="3964" w:type="dxa"/>
            <w:tcBorders>
              <w:top w:val="nil"/>
              <w:left w:val="nil"/>
              <w:bottom w:val="single" w:sz="4" w:space="0" w:color="auto"/>
              <w:right w:val="single" w:sz="4" w:space="0" w:color="auto"/>
            </w:tcBorders>
            <w:shd w:val="clear" w:color="auto" w:fill="auto"/>
          </w:tcPr>
          <w:p w14:paraId="3F8B7191" w14:textId="3D68EB45" w:rsidR="00814288" w:rsidRPr="00C2587D" w:rsidRDefault="00814288" w:rsidP="00814288">
            <w:pPr>
              <w:spacing w:before="40" w:after="40"/>
              <w:jc w:val="both"/>
              <w:rPr>
                <w:rFonts w:cs="Arial"/>
                <w:sz w:val="20"/>
                <w:szCs w:val="20"/>
              </w:rPr>
            </w:pPr>
            <w:r w:rsidRPr="00C2587D">
              <w:t xml:space="preserve">Виготовлення </w:t>
            </w:r>
            <w:r w:rsidR="00314B9D">
              <w:t>проєкт</w:t>
            </w:r>
            <w:r w:rsidRPr="00C2587D">
              <w:t>ів землеустрою щодо організації і встановлення меж територій природно-заповідного фонду та іншого природоохоронного призначення, оздоровчого, рекреаційного, історико-культурного, лісогосподарського призначення, земель</w:t>
            </w:r>
            <w:r w:rsidR="005C2821" w:rsidRPr="00C2587D">
              <w:t xml:space="preserve"> </w:t>
            </w:r>
            <w:r w:rsidRPr="00C2587D">
              <w:t>водного фонду та водоохоронних зон, обмежень у використанні земель та їх режимо-утворюючих об'єктів</w:t>
            </w:r>
          </w:p>
        </w:tc>
        <w:tc>
          <w:tcPr>
            <w:tcW w:w="1191" w:type="dxa"/>
            <w:tcBorders>
              <w:top w:val="nil"/>
              <w:left w:val="nil"/>
              <w:bottom w:val="single" w:sz="4" w:space="0" w:color="auto"/>
              <w:right w:val="single" w:sz="4" w:space="0" w:color="auto"/>
            </w:tcBorders>
            <w:shd w:val="clear" w:color="auto" w:fill="auto"/>
            <w:vAlign w:val="center"/>
          </w:tcPr>
          <w:p w14:paraId="6390ACD4" w14:textId="00EBF668" w:rsidR="00814288" w:rsidRPr="00C2587D" w:rsidRDefault="00036530" w:rsidP="00814288">
            <w:pPr>
              <w:jc w:val="center"/>
              <w:rPr>
                <w:rFonts w:cs="Arial"/>
                <w:color w:val="000000"/>
                <w:sz w:val="20"/>
                <w:szCs w:val="20"/>
                <w:lang w:eastAsia="it-IT"/>
              </w:rPr>
            </w:pPr>
            <w:r w:rsidRPr="00C2587D">
              <w:rPr>
                <w:rFonts w:cs="Arial"/>
                <w:color w:val="000000"/>
                <w:sz w:val="20"/>
                <w:szCs w:val="20"/>
                <w:lang w:eastAsia="it-IT"/>
              </w:rPr>
              <w:t>105</w:t>
            </w:r>
          </w:p>
        </w:tc>
        <w:tc>
          <w:tcPr>
            <w:tcW w:w="1219" w:type="dxa"/>
            <w:tcBorders>
              <w:top w:val="nil"/>
              <w:left w:val="nil"/>
              <w:bottom w:val="single" w:sz="4" w:space="0" w:color="auto"/>
              <w:right w:val="single" w:sz="4" w:space="0" w:color="auto"/>
            </w:tcBorders>
            <w:shd w:val="clear" w:color="auto" w:fill="auto"/>
            <w:vAlign w:val="center"/>
          </w:tcPr>
          <w:p w14:paraId="40432319" w14:textId="7758ABC0" w:rsidR="00814288" w:rsidRPr="00C2587D" w:rsidRDefault="00036530" w:rsidP="00814288">
            <w:pPr>
              <w:jc w:val="center"/>
              <w:rPr>
                <w:rFonts w:cs="Arial"/>
                <w:color w:val="000000"/>
                <w:sz w:val="20"/>
                <w:szCs w:val="20"/>
                <w:lang w:eastAsia="it-IT"/>
              </w:rPr>
            </w:pPr>
            <w:r w:rsidRPr="00C2587D">
              <w:rPr>
                <w:rFonts w:cs="Arial"/>
                <w:color w:val="000000"/>
                <w:sz w:val="20"/>
                <w:szCs w:val="20"/>
                <w:lang w:eastAsia="it-IT"/>
              </w:rPr>
              <w:t>105,0</w:t>
            </w:r>
          </w:p>
        </w:tc>
        <w:tc>
          <w:tcPr>
            <w:tcW w:w="1217" w:type="dxa"/>
            <w:tcBorders>
              <w:top w:val="nil"/>
              <w:left w:val="nil"/>
              <w:bottom w:val="single" w:sz="4" w:space="0" w:color="auto"/>
              <w:right w:val="single" w:sz="4" w:space="0" w:color="auto"/>
            </w:tcBorders>
            <w:shd w:val="clear" w:color="auto" w:fill="auto"/>
            <w:vAlign w:val="center"/>
          </w:tcPr>
          <w:p w14:paraId="6AA64701" w14:textId="77777777" w:rsidR="00814288" w:rsidRPr="00C2587D" w:rsidRDefault="00814288" w:rsidP="00814288">
            <w:pPr>
              <w:jc w:val="center"/>
              <w:rPr>
                <w:rFonts w:cs="Arial"/>
                <w:color w:val="000000"/>
                <w:sz w:val="20"/>
                <w:szCs w:val="20"/>
                <w:lang w:eastAsia="it-IT"/>
              </w:rPr>
            </w:pPr>
          </w:p>
        </w:tc>
        <w:tc>
          <w:tcPr>
            <w:tcW w:w="1191" w:type="dxa"/>
            <w:tcBorders>
              <w:top w:val="nil"/>
              <w:left w:val="nil"/>
              <w:bottom w:val="single" w:sz="4" w:space="0" w:color="auto"/>
              <w:right w:val="single" w:sz="4" w:space="0" w:color="auto"/>
            </w:tcBorders>
            <w:shd w:val="clear" w:color="auto" w:fill="auto"/>
            <w:vAlign w:val="center"/>
          </w:tcPr>
          <w:p w14:paraId="07FED1CD" w14:textId="77777777" w:rsidR="00814288" w:rsidRPr="00C2587D" w:rsidRDefault="00814288" w:rsidP="00814288">
            <w:pPr>
              <w:jc w:val="center"/>
              <w:rPr>
                <w:rFonts w:cs="Arial"/>
                <w:color w:val="000000"/>
                <w:sz w:val="20"/>
                <w:szCs w:val="20"/>
                <w:lang w:eastAsia="it-IT"/>
              </w:rPr>
            </w:pPr>
          </w:p>
        </w:tc>
        <w:tc>
          <w:tcPr>
            <w:tcW w:w="1165" w:type="dxa"/>
            <w:tcBorders>
              <w:top w:val="nil"/>
              <w:left w:val="nil"/>
              <w:bottom w:val="single" w:sz="4" w:space="0" w:color="auto"/>
              <w:right w:val="single" w:sz="4" w:space="0" w:color="auto"/>
            </w:tcBorders>
            <w:vAlign w:val="center"/>
          </w:tcPr>
          <w:p w14:paraId="55C3502E" w14:textId="1FC1D8E4" w:rsidR="00814288" w:rsidRPr="00C2587D" w:rsidRDefault="00036530" w:rsidP="00814288">
            <w:pPr>
              <w:jc w:val="center"/>
              <w:rPr>
                <w:rFonts w:cs="Arial"/>
                <w:b/>
                <w:color w:val="000000"/>
                <w:sz w:val="20"/>
                <w:szCs w:val="20"/>
                <w:lang w:eastAsia="it-IT"/>
              </w:rPr>
            </w:pPr>
            <w:r w:rsidRPr="00C2587D">
              <w:rPr>
                <w:rFonts w:cs="Arial"/>
                <w:b/>
                <w:color w:val="000000"/>
                <w:sz w:val="20"/>
                <w:szCs w:val="20"/>
                <w:lang w:eastAsia="it-IT"/>
              </w:rPr>
              <w:t>210,0</w:t>
            </w:r>
          </w:p>
        </w:tc>
      </w:tr>
      <w:tr w:rsidR="005418DB" w:rsidRPr="00C2587D" w14:paraId="630F483D" w14:textId="77777777" w:rsidTr="00987B8D">
        <w:trPr>
          <w:gridAfter w:val="1"/>
          <w:wAfter w:w="25" w:type="dxa"/>
          <w:trHeight w:val="701"/>
          <w:jc w:val="center"/>
        </w:trPr>
        <w:tc>
          <w:tcPr>
            <w:tcW w:w="709" w:type="dxa"/>
            <w:tcBorders>
              <w:top w:val="nil"/>
              <w:left w:val="single" w:sz="4" w:space="0" w:color="auto"/>
              <w:bottom w:val="single" w:sz="4" w:space="0" w:color="auto"/>
              <w:right w:val="single" w:sz="4" w:space="0" w:color="auto"/>
            </w:tcBorders>
            <w:shd w:val="clear" w:color="auto" w:fill="auto"/>
            <w:noWrap/>
            <w:vAlign w:val="center"/>
          </w:tcPr>
          <w:p w14:paraId="3C726803" w14:textId="4D2C92ED" w:rsidR="005418DB" w:rsidRPr="00C2587D" w:rsidRDefault="005418DB" w:rsidP="005418DB">
            <w:pPr>
              <w:spacing w:before="20" w:after="20"/>
              <w:jc w:val="center"/>
              <w:rPr>
                <w:rFonts w:cs="Arial"/>
                <w:sz w:val="20"/>
                <w:szCs w:val="20"/>
                <w:lang w:eastAsia="uk-UA"/>
              </w:rPr>
            </w:pPr>
          </w:p>
        </w:tc>
        <w:tc>
          <w:tcPr>
            <w:tcW w:w="3964" w:type="dxa"/>
            <w:tcBorders>
              <w:top w:val="nil"/>
              <w:left w:val="nil"/>
              <w:bottom w:val="single" w:sz="4" w:space="0" w:color="auto"/>
              <w:right w:val="single" w:sz="4" w:space="0" w:color="auto"/>
            </w:tcBorders>
            <w:shd w:val="clear" w:color="auto" w:fill="auto"/>
            <w:vAlign w:val="center"/>
          </w:tcPr>
          <w:p w14:paraId="0C0CFFF4" w14:textId="47776F9C" w:rsidR="005418DB" w:rsidRPr="00C2587D" w:rsidRDefault="005418DB" w:rsidP="005C2821">
            <w:pPr>
              <w:spacing w:before="20" w:after="20"/>
              <w:jc w:val="both"/>
              <w:rPr>
                <w:rFonts w:cs="Arial"/>
                <w:color w:val="FF0000"/>
                <w:sz w:val="20"/>
                <w:szCs w:val="20"/>
                <w:lang w:eastAsia="uk-UA"/>
              </w:rPr>
            </w:pPr>
            <w:r w:rsidRPr="00C2587D">
              <w:rPr>
                <w:rFonts w:cs="Arial"/>
                <w:b/>
                <w:bCs/>
                <w:sz w:val="20"/>
                <w:szCs w:val="20"/>
                <w:lang w:eastAsia="uk-UA"/>
              </w:rPr>
              <w:t>Всього по А.2.</w:t>
            </w:r>
            <w:r w:rsidR="00C6613C" w:rsidRPr="00C2587D">
              <w:rPr>
                <w:rFonts w:cs="Arial"/>
                <w:b/>
                <w:bCs/>
                <w:iCs/>
                <w:sz w:val="20"/>
                <w:szCs w:val="20"/>
                <w:lang w:eastAsia="uk-UA"/>
              </w:rPr>
              <w:t xml:space="preserve"> Розвиток агропромислового виробництва</w:t>
            </w:r>
          </w:p>
        </w:tc>
        <w:tc>
          <w:tcPr>
            <w:tcW w:w="1191" w:type="dxa"/>
            <w:tcBorders>
              <w:top w:val="nil"/>
              <w:left w:val="nil"/>
              <w:bottom w:val="single" w:sz="4" w:space="0" w:color="auto"/>
              <w:right w:val="single" w:sz="4" w:space="0" w:color="auto"/>
            </w:tcBorders>
            <w:shd w:val="clear" w:color="auto" w:fill="auto"/>
            <w:vAlign w:val="center"/>
          </w:tcPr>
          <w:p w14:paraId="69C3E457" w14:textId="34357DEA" w:rsidR="005418DB" w:rsidRPr="00C2587D" w:rsidRDefault="00036530" w:rsidP="005418DB">
            <w:pPr>
              <w:spacing w:before="20" w:after="20"/>
              <w:jc w:val="center"/>
              <w:rPr>
                <w:rFonts w:cs="Arial"/>
                <w:b/>
                <w:bCs/>
                <w:sz w:val="20"/>
                <w:szCs w:val="20"/>
                <w:lang w:eastAsia="uk-UA"/>
              </w:rPr>
            </w:pPr>
            <w:r w:rsidRPr="00C2587D">
              <w:rPr>
                <w:rFonts w:cs="Arial"/>
                <w:b/>
                <w:bCs/>
                <w:sz w:val="20"/>
                <w:szCs w:val="20"/>
                <w:lang w:eastAsia="uk-UA"/>
              </w:rPr>
              <w:t>1 705</w:t>
            </w:r>
            <w:r w:rsidR="001E09D5" w:rsidRPr="00C2587D">
              <w:rPr>
                <w:rFonts w:cs="Arial"/>
                <w:b/>
                <w:bCs/>
                <w:sz w:val="20"/>
                <w:szCs w:val="20"/>
                <w:lang w:eastAsia="uk-UA"/>
              </w:rPr>
              <w:t>,0</w:t>
            </w:r>
          </w:p>
        </w:tc>
        <w:tc>
          <w:tcPr>
            <w:tcW w:w="1219" w:type="dxa"/>
            <w:tcBorders>
              <w:top w:val="nil"/>
              <w:left w:val="nil"/>
              <w:bottom w:val="single" w:sz="4" w:space="0" w:color="auto"/>
              <w:right w:val="single" w:sz="4" w:space="0" w:color="auto"/>
            </w:tcBorders>
            <w:shd w:val="clear" w:color="auto" w:fill="auto"/>
            <w:vAlign w:val="center"/>
          </w:tcPr>
          <w:p w14:paraId="1B1BE05C" w14:textId="1F485018" w:rsidR="005418DB" w:rsidRPr="00C2587D" w:rsidRDefault="00036530" w:rsidP="005418DB">
            <w:pPr>
              <w:spacing w:before="20" w:after="20"/>
              <w:jc w:val="center"/>
              <w:rPr>
                <w:rFonts w:cs="Arial"/>
                <w:b/>
                <w:bCs/>
                <w:sz w:val="20"/>
                <w:szCs w:val="20"/>
                <w:lang w:eastAsia="uk-UA"/>
              </w:rPr>
            </w:pPr>
            <w:r w:rsidRPr="00C2587D">
              <w:rPr>
                <w:rFonts w:cs="Arial"/>
                <w:b/>
                <w:bCs/>
                <w:sz w:val="20"/>
                <w:szCs w:val="20"/>
                <w:lang w:eastAsia="uk-UA"/>
              </w:rPr>
              <w:t>2 705</w:t>
            </w:r>
            <w:r w:rsidR="001E09D5" w:rsidRPr="00C2587D">
              <w:rPr>
                <w:rFonts w:cs="Arial"/>
                <w:b/>
                <w:bCs/>
                <w:sz w:val="20"/>
                <w:szCs w:val="20"/>
                <w:lang w:eastAsia="uk-UA"/>
              </w:rPr>
              <w:t>,0</w:t>
            </w:r>
          </w:p>
        </w:tc>
        <w:tc>
          <w:tcPr>
            <w:tcW w:w="1217" w:type="dxa"/>
            <w:tcBorders>
              <w:top w:val="nil"/>
              <w:left w:val="nil"/>
              <w:bottom w:val="single" w:sz="4" w:space="0" w:color="auto"/>
              <w:right w:val="single" w:sz="4" w:space="0" w:color="auto"/>
            </w:tcBorders>
            <w:shd w:val="clear" w:color="auto" w:fill="auto"/>
            <w:vAlign w:val="center"/>
          </w:tcPr>
          <w:p w14:paraId="177ADB7A" w14:textId="58D28515" w:rsidR="005418DB" w:rsidRPr="00C2587D" w:rsidRDefault="00036530" w:rsidP="00036530">
            <w:pPr>
              <w:spacing w:before="20" w:after="20"/>
              <w:jc w:val="center"/>
              <w:rPr>
                <w:rFonts w:cs="Arial"/>
                <w:b/>
                <w:bCs/>
                <w:sz w:val="20"/>
                <w:szCs w:val="20"/>
                <w:lang w:eastAsia="uk-UA"/>
              </w:rPr>
            </w:pPr>
            <w:r w:rsidRPr="00C2587D">
              <w:rPr>
                <w:rFonts w:cs="Arial"/>
                <w:b/>
                <w:bCs/>
                <w:sz w:val="20"/>
                <w:szCs w:val="20"/>
                <w:lang w:eastAsia="uk-UA"/>
              </w:rPr>
              <w:t>1 300</w:t>
            </w:r>
            <w:r w:rsidR="001E09D5" w:rsidRPr="00C2587D">
              <w:rPr>
                <w:rFonts w:cs="Arial"/>
                <w:b/>
                <w:bCs/>
                <w:sz w:val="20"/>
                <w:szCs w:val="20"/>
                <w:lang w:eastAsia="uk-UA"/>
              </w:rPr>
              <w:t>,0</w:t>
            </w:r>
          </w:p>
        </w:tc>
        <w:tc>
          <w:tcPr>
            <w:tcW w:w="1191" w:type="dxa"/>
            <w:tcBorders>
              <w:top w:val="nil"/>
              <w:left w:val="nil"/>
              <w:bottom w:val="single" w:sz="4" w:space="0" w:color="auto"/>
              <w:right w:val="single" w:sz="4" w:space="0" w:color="auto"/>
            </w:tcBorders>
            <w:shd w:val="clear" w:color="auto" w:fill="auto"/>
            <w:vAlign w:val="center"/>
          </w:tcPr>
          <w:p w14:paraId="5F4297AF" w14:textId="2789496C" w:rsidR="005418DB" w:rsidRPr="00C2587D" w:rsidRDefault="00036530" w:rsidP="005418DB">
            <w:pPr>
              <w:spacing w:before="20" w:after="20"/>
              <w:jc w:val="center"/>
              <w:rPr>
                <w:rFonts w:cs="Arial"/>
                <w:b/>
                <w:bCs/>
                <w:sz w:val="20"/>
                <w:szCs w:val="20"/>
                <w:lang w:eastAsia="uk-UA"/>
              </w:rPr>
            </w:pPr>
            <w:r w:rsidRPr="00C2587D">
              <w:rPr>
                <w:rFonts w:cs="Arial"/>
                <w:b/>
                <w:bCs/>
                <w:sz w:val="20"/>
                <w:szCs w:val="20"/>
                <w:lang w:eastAsia="uk-UA"/>
              </w:rPr>
              <w:t>1 080</w:t>
            </w:r>
            <w:r w:rsidR="001E09D5" w:rsidRPr="00C2587D">
              <w:rPr>
                <w:rFonts w:cs="Arial"/>
                <w:b/>
                <w:bCs/>
                <w:sz w:val="20"/>
                <w:szCs w:val="20"/>
                <w:lang w:eastAsia="uk-UA"/>
              </w:rPr>
              <w:t>,0</w:t>
            </w:r>
          </w:p>
        </w:tc>
        <w:tc>
          <w:tcPr>
            <w:tcW w:w="1165" w:type="dxa"/>
            <w:tcBorders>
              <w:top w:val="nil"/>
              <w:left w:val="nil"/>
              <w:bottom w:val="single" w:sz="4" w:space="0" w:color="auto"/>
              <w:right w:val="single" w:sz="4" w:space="0" w:color="auto"/>
            </w:tcBorders>
            <w:vAlign w:val="center"/>
          </w:tcPr>
          <w:p w14:paraId="18C1EF8A" w14:textId="3D921054" w:rsidR="005418DB" w:rsidRPr="00C2587D" w:rsidRDefault="00036530" w:rsidP="005418DB">
            <w:pPr>
              <w:spacing w:before="20" w:after="20"/>
              <w:jc w:val="center"/>
              <w:rPr>
                <w:rFonts w:cs="Arial"/>
                <w:b/>
                <w:bCs/>
                <w:sz w:val="20"/>
                <w:szCs w:val="20"/>
                <w:lang w:eastAsia="uk-UA"/>
              </w:rPr>
            </w:pPr>
            <w:r w:rsidRPr="00C2587D">
              <w:rPr>
                <w:rFonts w:cs="Arial"/>
                <w:b/>
                <w:bCs/>
                <w:sz w:val="20"/>
                <w:szCs w:val="20"/>
                <w:lang w:eastAsia="uk-UA"/>
              </w:rPr>
              <w:t>6 790</w:t>
            </w:r>
            <w:r w:rsidR="001E09D5" w:rsidRPr="00C2587D">
              <w:rPr>
                <w:rFonts w:cs="Arial"/>
                <w:b/>
                <w:bCs/>
                <w:sz w:val="20"/>
                <w:szCs w:val="20"/>
                <w:lang w:eastAsia="uk-UA"/>
              </w:rPr>
              <w:t>,0</w:t>
            </w:r>
          </w:p>
        </w:tc>
      </w:tr>
      <w:tr w:rsidR="005418DB" w:rsidRPr="00C2587D" w14:paraId="7F1066B5" w14:textId="77777777" w:rsidTr="00987B8D">
        <w:trPr>
          <w:trHeight w:val="389"/>
          <w:jc w:val="center"/>
        </w:trPr>
        <w:tc>
          <w:tcPr>
            <w:tcW w:w="1068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533475" w14:textId="77777777" w:rsidR="005418DB" w:rsidRPr="00987B8D" w:rsidRDefault="005418DB" w:rsidP="00987B8D">
            <w:pPr>
              <w:spacing w:before="20" w:after="20"/>
              <w:rPr>
                <w:rFonts w:cs="Arial"/>
                <w:b/>
                <w:bCs/>
                <w:i/>
                <w:iCs/>
                <w:sz w:val="20"/>
                <w:szCs w:val="20"/>
                <w:lang w:eastAsia="uk-UA"/>
              </w:rPr>
            </w:pPr>
            <w:r w:rsidRPr="00987B8D">
              <w:rPr>
                <w:rFonts w:cs="Arial"/>
                <w:b/>
                <w:bCs/>
                <w:i/>
                <w:iCs/>
                <w:sz w:val="20"/>
                <w:szCs w:val="20"/>
                <w:lang w:eastAsia="uk-UA"/>
              </w:rPr>
              <w:lastRenderedPageBreak/>
              <w:t>Стратегічна ціль А.3. Розвиток підприємницького потенціалу громади</w:t>
            </w:r>
          </w:p>
        </w:tc>
      </w:tr>
      <w:tr w:rsidR="002829A2" w:rsidRPr="00C2587D" w14:paraId="42268ABD" w14:textId="77777777" w:rsidTr="00C2587D">
        <w:trPr>
          <w:gridAfter w:val="1"/>
          <w:wAfter w:w="25" w:type="dxa"/>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34137C6" w14:textId="64F3517D" w:rsidR="002829A2" w:rsidRPr="00C2587D" w:rsidRDefault="002829A2" w:rsidP="002829A2">
            <w:pPr>
              <w:spacing w:before="20" w:after="20"/>
              <w:jc w:val="center"/>
              <w:rPr>
                <w:rFonts w:cs="Arial"/>
                <w:sz w:val="20"/>
                <w:szCs w:val="20"/>
                <w:lang w:eastAsia="uk-UA"/>
              </w:rPr>
            </w:pPr>
            <w:r w:rsidRPr="00C2587D">
              <w:rPr>
                <w:rFonts w:cs="Arial"/>
                <w:sz w:val="20"/>
                <w:szCs w:val="20"/>
                <w:lang w:eastAsia="uk-UA"/>
              </w:rPr>
              <w:t>1.</w:t>
            </w:r>
          </w:p>
        </w:tc>
        <w:tc>
          <w:tcPr>
            <w:tcW w:w="3964" w:type="dxa"/>
            <w:tcBorders>
              <w:top w:val="nil"/>
              <w:left w:val="nil"/>
              <w:bottom w:val="single" w:sz="4" w:space="0" w:color="auto"/>
              <w:right w:val="single" w:sz="4" w:space="0" w:color="auto"/>
            </w:tcBorders>
            <w:shd w:val="clear" w:color="auto" w:fill="auto"/>
          </w:tcPr>
          <w:p w14:paraId="680570E2" w14:textId="054E7085" w:rsidR="002829A2" w:rsidRPr="00C2587D" w:rsidRDefault="002829A2" w:rsidP="002829A2">
            <w:pPr>
              <w:jc w:val="both"/>
              <w:rPr>
                <w:rFonts w:cs="Arial"/>
                <w:sz w:val="20"/>
                <w:szCs w:val="20"/>
              </w:rPr>
            </w:pPr>
            <w:r w:rsidRPr="00C2587D">
              <w:rPr>
                <w:bCs/>
                <w:color w:val="000000"/>
                <w:lang w:eastAsia="uk-UA"/>
              </w:rPr>
              <w:t>Створення ефективної інфраструктури для розвитку бізнесу в громаді</w:t>
            </w:r>
          </w:p>
        </w:tc>
        <w:tc>
          <w:tcPr>
            <w:tcW w:w="1191" w:type="dxa"/>
            <w:tcBorders>
              <w:top w:val="nil"/>
              <w:left w:val="nil"/>
              <w:bottom w:val="single" w:sz="4" w:space="0" w:color="auto"/>
              <w:right w:val="single" w:sz="4" w:space="0" w:color="auto"/>
            </w:tcBorders>
            <w:shd w:val="clear" w:color="auto" w:fill="auto"/>
            <w:vAlign w:val="center"/>
          </w:tcPr>
          <w:p w14:paraId="33C872A8" w14:textId="610D86D4" w:rsidR="002829A2" w:rsidRPr="00C2587D" w:rsidRDefault="002829A2" w:rsidP="002829A2">
            <w:pPr>
              <w:suppressAutoHyphens/>
              <w:snapToGrid w:val="0"/>
              <w:jc w:val="center"/>
              <w:rPr>
                <w:rFonts w:cs="Arial"/>
                <w:sz w:val="20"/>
                <w:szCs w:val="20"/>
                <w:lang w:eastAsia="zh-CN"/>
              </w:rPr>
            </w:pPr>
          </w:p>
        </w:tc>
        <w:tc>
          <w:tcPr>
            <w:tcW w:w="1219" w:type="dxa"/>
            <w:tcBorders>
              <w:top w:val="nil"/>
              <w:left w:val="nil"/>
              <w:bottom w:val="single" w:sz="4" w:space="0" w:color="auto"/>
              <w:right w:val="single" w:sz="4" w:space="0" w:color="auto"/>
            </w:tcBorders>
            <w:shd w:val="clear" w:color="auto" w:fill="auto"/>
            <w:vAlign w:val="center"/>
          </w:tcPr>
          <w:p w14:paraId="2BE367BB" w14:textId="2D3F4462" w:rsidR="002829A2" w:rsidRPr="00C2587D" w:rsidRDefault="002829A2" w:rsidP="002829A2">
            <w:pPr>
              <w:suppressAutoHyphens/>
              <w:snapToGrid w:val="0"/>
              <w:jc w:val="center"/>
              <w:rPr>
                <w:rFonts w:cs="Arial"/>
                <w:color w:val="000000"/>
                <w:sz w:val="20"/>
                <w:szCs w:val="20"/>
                <w:lang w:eastAsia="it-IT"/>
              </w:rPr>
            </w:pPr>
            <w:r w:rsidRPr="00C2587D">
              <w:rPr>
                <w:rFonts w:cs="Arial"/>
                <w:color w:val="000000"/>
                <w:sz w:val="20"/>
                <w:szCs w:val="20"/>
                <w:lang w:eastAsia="it-IT"/>
              </w:rPr>
              <w:t>50,0</w:t>
            </w:r>
          </w:p>
        </w:tc>
        <w:tc>
          <w:tcPr>
            <w:tcW w:w="1217" w:type="dxa"/>
            <w:tcBorders>
              <w:top w:val="nil"/>
              <w:left w:val="nil"/>
              <w:bottom w:val="single" w:sz="4" w:space="0" w:color="auto"/>
              <w:right w:val="single" w:sz="4" w:space="0" w:color="auto"/>
            </w:tcBorders>
            <w:shd w:val="clear" w:color="auto" w:fill="auto"/>
            <w:vAlign w:val="center"/>
          </w:tcPr>
          <w:p w14:paraId="4E0F3C76" w14:textId="6F2F2191" w:rsidR="002829A2" w:rsidRPr="00C2587D" w:rsidRDefault="002829A2" w:rsidP="002829A2">
            <w:pPr>
              <w:suppressAutoHyphens/>
              <w:snapToGrid w:val="0"/>
              <w:jc w:val="center"/>
              <w:rPr>
                <w:rFonts w:cs="Arial"/>
                <w:color w:val="000000"/>
                <w:sz w:val="20"/>
                <w:szCs w:val="20"/>
                <w:lang w:eastAsia="it-IT"/>
              </w:rPr>
            </w:pPr>
            <w:r w:rsidRPr="00C2587D">
              <w:rPr>
                <w:rFonts w:cs="Arial"/>
                <w:color w:val="000000"/>
                <w:sz w:val="20"/>
                <w:szCs w:val="20"/>
                <w:lang w:eastAsia="it-IT"/>
              </w:rPr>
              <w:t>100,0</w:t>
            </w:r>
          </w:p>
        </w:tc>
        <w:tc>
          <w:tcPr>
            <w:tcW w:w="1191" w:type="dxa"/>
            <w:tcBorders>
              <w:top w:val="nil"/>
              <w:left w:val="nil"/>
              <w:bottom w:val="single" w:sz="4" w:space="0" w:color="auto"/>
              <w:right w:val="single" w:sz="4" w:space="0" w:color="auto"/>
            </w:tcBorders>
            <w:shd w:val="clear" w:color="auto" w:fill="auto"/>
            <w:vAlign w:val="center"/>
          </w:tcPr>
          <w:p w14:paraId="398F584E" w14:textId="7E2799D4" w:rsidR="002829A2" w:rsidRPr="00C2587D" w:rsidRDefault="002829A2" w:rsidP="002829A2">
            <w:pPr>
              <w:suppressAutoHyphens/>
              <w:snapToGrid w:val="0"/>
              <w:jc w:val="center"/>
              <w:rPr>
                <w:rFonts w:cs="Arial"/>
                <w:color w:val="000000"/>
                <w:sz w:val="20"/>
                <w:szCs w:val="20"/>
                <w:lang w:eastAsia="it-IT"/>
              </w:rPr>
            </w:pPr>
            <w:r w:rsidRPr="00C2587D">
              <w:rPr>
                <w:rFonts w:cs="Arial"/>
                <w:color w:val="000000"/>
                <w:sz w:val="20"/>
                <w:szCs w:val="20"/>
                <w:lang w:eastAsia="it-IT"/>
              </w:rPr>
              <w:t>100,0</w:t>
            </w:r>
          </w:p>
        </w:tc>
        <w:tc>
          <w:tcPr>
            <w:tcW w:w="1165" w:type="dxa"/>
            <w:tcBorders>
              <w:top w:val="nil"/>
              <w:left w:val="nil"/>
              <w:bottom w:val="single" w:sz="4" w:space="0" w:color="auto"/>
              <w:right w:val="single" w:sz="4" w:space="0" w:color="auto"/>
            </w:tcBorders>
            <w:vAlign w:val="center"/>
          </w:tcPr>
          <w:p w14:paraId="4B3B6F38" w14:textId="5045586B" w:rsidR="002829A2" w:rsidRPr="00C2587D" w:rsidRDefault="002829A2" w:rsidP="002829A2">
            <w:pPr>
              <w:suppressAutoHyphens/>
              <w:snapToGrid w:val="0"/>
              <w:jc w:val="center"/>
              <w:rPr>
                <w:rFonts w:cs="Arial"/>
                <w:b/>
                <w:color w:val="000000"/>
                <w:sz w:val="20"/>
                <w:szCs w:val="20"/>
                <w:lang w:eastAsia="it-IT"/>
              </w:rPr>
            </w:pPr>
            <w:r w:rsidRPr="00C2587D">
              <w:rPr>
                <w:rFonts w:cs="Arial"/>
                <w:b/>
                <w:color w:val="000000"/>
                <w:sz w:val="20"/>
                <w:szCs w:val="20"/>
                <w:lang w:eastAsia="it-IT"/>
              </w:rPr>
              <w:t>250,0</w:t>
            </w:r>
          </w:p>
        </w:tc>
      </w:tr>
      <w:tr w:rsidR="004D146A" w:rsidRPr="00C2587D" w14:paraId="308B884E" w14:textId="77777777" w:rsidTr="00C2587D">
        <w:trPr>
          <w:gridAfter w:val="1"/>
          <w:wAfter w:w="25" w:type="dxa"/>
          <w:trHeight w:val="439"/>
          <w:jc w:val="center"/>
        </w:trPr>
        <w:tc>
          <w:tcPr>
            <w:tcW w:w="709" w:type="dxa"/>
            <w:tcBorders>
              <w:top w:val="nil"/>
              <w:left w:val="single" w:sz="4" w:space="0" w:color="auto"/>
              <w:bottom w:val="single" w:sz="4" w:space="0" w:color="auto"/>
              <w:right w:val="single" w:sz="4" w:space="0" w:color="auto"/>
            </w:tcBorders>
            <w:shd w:val="clear" w:color="auto" w:fill="auto"/>
            <w:noWrap/>
            <w:vAlign w:val="center"/>
          </w:tcPr>
          <w:p w14:paraId="40B1BF62" w14:textId="77777777" w:rsidR="004D146A" w:rsidRPr="00C2587D" w:rsidRDefault="004D146A" w:rsidP="004D146A">
            <w:pPr>
              <w:spacing w:before="20" w:after="20"/>
              <w:jc w:val="center"/>
              <w:rPr>
                <w:rFonts w:cs="Arial"/>
                <w:color w:val="FF0000"/>
                <w:sz w:val="20"/>
                <w:szCs w:val="20"/>
                <w:lang w:eastAsia="uk-UA"/>
              </w:rPr>
            </w:pPr>
          </w:p>
        </w:tc>
        <w:tc>
          <w:tcPr>
            <w:tcW w:w="3964" w:type="dxa"/>
            <w:tcBorders>
              <w:top w:val="nil"/>
              <w:left w:val="nil"/>
              <w:bottom w:val="single" w:sz="4" w:space="0" w:color="auto"/>
              <w:right w:val="single" w:sz="4" w:space="0" w:color="auto"/>
            </w:tcBorders>
            <w:shd w:val="clear" w:color="auto" w:fill="auto"/>
            <w:noWrap/>
            <w:vAlign w:val="center"/>
          </w:tcPr>
          <w:p w14:paraId="7E07F893" w14:textId="77EB2865" w:rsidR="004D146A" w:rsidRPr="00C2587D" w:rsidRDefault="004D146A" w:rsidP="00682193">
            <w:pPr>
              <w:pStyle w:val="afffa"/>
              <w:jc w:val="both"/>
              <w:rPr>
                <w:sz w:val="20"/>
                <w:szCs w:val="20"/>
              </w:rPr>
            </w:pPr>
            <w:r w:rsidRPr="00C2587D">
              <w:rPr>
                <w:b/>
                <w:bCs/>
                <w:sz w:val="20"/>
                <w:szCs w:val="20"/>
                <w:lang w:eastAsia="uk-UA"/>
              </w:rPr>
              <w:t>Всього по А.3.</w:t>
            </w:r>
            <w:r w:rsidRPr="00C2587D">
              <w:rPr>
                <w:b/>
                <w:bCs/>
                <w:iCs/>
                <w:sz w:val="20"/>
                <w:szCs w:val="20"/>
                <w:lang w:eastAsia="uk-UA"/>
              </w:rPr>
              <w:t xml:space="preserve"> Розвиток підприємницького потенціалу громади</w:t>
            </w:r>
          </w:p>
        </w:tc>
        <w:tc>
          <w:tcPr>
            <w:tcW w:w="1191" w:type="dxa"/>
            <w:tcBorders>
              <w:top w:val="nil"/>
              <w:left w:val="nil"/>
              <w:bottom w:val="single" w:sz="4" w:space="0" w:color="auto"/>
              <w:right w:val="single" w:sz="4" w:space="0" w:color="auto"/>
            </w:tcBorders>
            <w:shd w:val="clear" w:color="auto" w:fill="auto"/>
            <w:vAlign w:val="center"/>
          </w:tcPr>
          <w:p w14:paraId="12D827C6" w14:textId="2911B5EB" w:rsidR="004D146A" w:rsidRPr="00C2587D" w:rsidRDefault="004D146A" w:rsidP="004D146A">
            <w:pPr>
              <w:suppressAutoHyphens/>
              <w:snapToGrid w:val="0"/>
              <w:jc w:val="center"/>
              <w:rPr>
                <w:rFonts w:cs="Arial"/>
                <w:b/>
                <w:bCs/>
                <w:color w:val="000000"/>
                <w:sz w:val="20"/>
                <w:szCs w:val="20"/>
                <w:lang w:eastAsia="it-IT"/>
              </w:rPr>
            </w:pPr>
          </w:p>
        </w:tc>
        <w:tc>
          <w:tcPr>
            <w:tcW w:w="1219" w:type="dxa"/>
            <w:tcBorders>
              <w:top w:val="nil"/>
              <w:left w:val="nil"/>
              <w:bottom w:val="single" w:sz="4" w:space="0" w:color="auto"/>
              <w:right w:val="single" w:sz="4" w:space="0" w:color="auto"/>
            </w:tcBorders>
            <w:shd w:val="clear" w:color="auto" w:fill="auto"/>
            <w:vAlign w:val="center"/>
          </w:tcPr>
          <w:p w14:paraId="097AA0E3" w14:textId="52A24945" w:rsidR="004D146A" w:rsidRPr="00C2587D" w:rsidRDefault="004D146A" w:rsidP="004D146A">
            <w:pPr>
              <w:jc w:val="center"/>
              <w:rPr>
                <w:rFonts w:cs="Arial"/>
                <w:b/>
                <w:color w:val="000000"/>
                <w:sz w:val="20"/>
                <w:szCs w:val="20"/>
                <w:lang w:eastAsia="it-IT"/>
              </w:rPr>
            </w:pPr>
            <w:r w:rsidRPr="00C2587D">
              <w:rPr>
                <w:rFonts w:cs="Arial"/>
                <w:b/>
                <w:color w:val="000000"/>
                <w:sz w:val="20"/>
                <w:szCs w:val="20"/>
                <w:lang w:eastAsia="it-IT"/>
              </w:rPr>
              <w:t>50,0</w:t>
            </w:r>
          </w:p>
        </w:tc>
        <w:tc>
          <w:tcPr>
            <w:tcW w:w="1217" w:type="dxa"/>
            <w:tcBorders>
              <w:top w:val="nil"/>
              <w:left w:val="nil"/>
              <w:bottom w:val="single" w:sz="4" w:space="0" w:color="auto"/>
              <w:right w:val="single" w:sz="4" w:space="0" w:color="auto"/>
            </w:tcBorders>
            <w:shd w:val="clear" w:color="auto" w:fill="auto"/>
            <w:vAlign w:val="center"/>
          </w:tcPr>
          <w:p w14:paraId="407AE2A8" w14:textId="36E1B3F5" w:rsidR="004D146A" w:rsidRPr="00C2587D" w:rsidRDefault="004D146A" w:rsidP="004D146A">
            <w:pPr>
              <w:pStyle w:val="Default"/>
              <w:jc w:val="center"/>
              <w:rPr>
                <w:rFonts w:ascii="Arial" w:hAnsi="Arial" w:cs="Arial"/>
                <w:b/>
                <w:sz w:val="20"/>
                <w:szCs w:val="20"/>
                <w:lang w:val="uk-UA" w:eastAsia="it-IT"/>
              </w:rPr>
            </w:pPr>
            <w:r w:rsidRPr="00C2587D">
              <w:rPr>
                <w:rFonts w:ascii="Arial" w:hAnsi="Arial" w:cs="Arial"/>
                <w:b/>
                <w:sz w:val="20"/>
                <w:szCs w:val="20"/>
                <w:lang w:val="uk-UA" w:eastAsia="it-IT"/>
              </w:rPr>
              <w:t>100,0</w:t>
            </w:r>
          </w:p>
        </w:tc>
        <w:tc>
          <w:tcPr>
            <w:tcW w:w="1191" w:type="dxa"/>
            <w:tcBorders>
              <w:top w:val="nil"/>
              <w:left w:val="nil"/>
              <w:bottom w:val="single" w:sz="4" w:space="0" w:color="auto"/>
              <w:right w:val="single" w:sz="4" w:space="0" w:color="auto"/>
            </w:tcBorders>
            <w:shd w:val="clear" w:color="auto" w:fill="auto"/>
            <w:vAlign w:val="center"/>
          </w:tcPr>
          <w:p w14:paraId="455617BB" w14:textId="0BC19A52" w:rsidR="004D146A" w:rsidRPr="00C2587D" w:rsidRDefault="004D146A" w:rsidP="004D146A">
            <w:pPr>
              <w:jc w:val="center"/>
              <w:rPr>
                <w:rFonts w:cs="Arial"/>
                <w:b/>
                <w:color w:val="000000"/>
                <w:sz w:val="20"/>
                <w:szCs w:val="20"/>
                <w:lang w:eastAsia="it-IT"/>
              </w:rPr>
            </w:pPr>
            <w:r w:rsidRPr="00C2587D">
              <w:rPr>
                <w:rFonts w:cs="Arial"/>
                <w:b/>
                <w:color w:val="000000"/>
                <w:sz w:val="20"/>
                <w:szCs w:val="20"/>
                <w:lang w:eastAsia="it-IT"/>
              </w:rPr>
              <w:t>100,0</w:t>
            </w:r>
          </w:p>
        </w:tc>
        <w:tc>
          <w:tcPr>
            <w:tcW w:w="1165" w:type="dxa"/>
            <w:tcBorders>
              <w:top w:val="nil"/>
              <w:left w:val="nil"/>
              <w:bottom w:val="single" w:sz="4" w:space="0" w:color="auto"/>
              <w:right w:val="single" w:sz="4" w:space="0" w:color="auto"/>
            </w:tcBorders>
            <w:vAlign w:val="center"/>
          </w:tcPr>
          <w:p w14:paraId="12D92C77" w14:textId="1D49E6E0" w:rsidR="004D146A" w:rsidRPr="00C2587D" w:rsidRDefault="004D146A" w:rsidP="004D146A">
            <w:pPr>
              <w:pStyle w:val="Default"/>
              <w:jc w:val="center"/>
              <w:rPr>
                <w:rFonts w:ascii="Arial" w:hAnsi="Arial" w:cs="Arial"/>
                <w:b/>
                <w:sz w:val="20"/>
                <w:szCs w:val="20"/>
                <w:lang w:val="uk-UA" w:eastAsia="it-IT"/>
              </w:rPr>
            </w:pPr>
            <w:r w:rsidRPr="00C2587D">
              <w:rPr>
                <w:rFonts w:ascii="Arial" w:hAnsi="Arial" w:cs="Arial"/>
                <w:b/>
                <w:sz w:val="20"/>
                <w:szCs w:val="20"/>
                <w:lang w:val="uk-UA" w:eastAsia="it-IT"/>
              </w:rPr>
              <w:t>250,0</w:t>
            </w:r>
          </w:p>
        </w:tc>
      </w:tr>
      <w:tr w:rsidR="005418DB" w:rsidRPr="00C2587D" w14:paraId="2D983ABE" w14:textId="77777777" w:rsidTr="00987B8D">
        <w:trPr>
          <w:trHeight w:val="496"/>
          <w:jc w:val="center"/>
        </w:trPr>
        <w:tc>
          <w:tcPr>
            <w:tcW w:w="10681" w:type="dxa"/>
            <w:gridSpan w:val="8"/>
            <w:tcBorders>
              <w:top w:val="nil"/>
              <w:left w:val="single" w:sz="4" w:space="0" w:color="auto"/>
              <w:bottom w:val="single" w:sz="4" w:space="0" w:color="auto"/>
              <w:right w:val="single" w:sz="4" w:space="0" w:color="auto"/>
            </w:tcBorders>
            <w:shd w:val="clear" w:color="auto" w:fill="auto"/>
            <w:noWrap/>
            <w:vAlign w:val="center"/>
          </w:tcPr>
          <w:p w14:paraId="73F8DF37" w14:textId="77777777" w:rsidR="005418DB" w:rsidRPr="00987B8D" w:rsidRDefault="005418DB" w:rsidP="005418DB">
            <w:pPr>
              <w:spacing w:before="20" w:after="20"/>
              <w:rPr>
                <w:rFonts w:cs="Arial"/>
                <w:b/>
                <w:bCs/>
                <w:i/>
                <w:iCs/>
                <w:sz w:val="20"/>
                <w:szCs w:val="20"/>
                <w:lang w:eastAsia="uk-UA"/>
              </w:rPr>
            </w:pPr>
            <w:r w:rsidRPr="00987B8D">
              <w:rPr>
                <w:rFonts w:cs="Arial"/>
                <w:b/>
                <w:bCs/>
                <w:i/>
                <w:iCs/>
                <w:sz w:val="20"/>
                <w:szCs w:val="20"/>
                <w:lang w:eastAsia="uk-UA"/>
              </w:rPr>
              <w:t xml:space="preserve">Стратегічна  ціль  А.4. </w:t>
            </w:r>
            <w:r w:rsidRPr="00987B8D">
              <w:rPr>
                <w:rFonts w:cs="Arial"/>
                <w:b/>
                <w:sz w:val="20"/>
                <w:szCs w:val="20"/>
              </w:rPr>
              <w:t>Ефективна інвестиційна політика та маркетинг  території</w:t>
            </w:r>
          </w:p>
        </w:tc>
      </w:tr>
      <w:tr w:rsidR="005418DB" w:rsidRPr="00C2587D" w14:paraId="0E9585B4" w14:textId="77777777" w:rsidTr="00C2587D">
        <w:trPr>
          <w:gridAfter w:val="1"/>
          <w:wAfter w:w="25" w:type="dxa"/>
          <w:jc w:val="center"/>
        </w:trPr>
        <w:tc>
          <w:tcPr>
            <w:tcW w:w="709" w:type="dxa"/>
            <w:tcBorders>
              <w:top w:val="nil"/>
              <w:left w:val="single" w:sz="4" w:space="0" w:color="auto"/>
              <w:bottom w:val="single" w:sz="4" w:space="0" w:color="auto"/>
              <w:right w:val="single" w:sz="4" w:space="0" w:color="auto"/>
            </w:tcBorders>
            <w:shd w:val="clear" w:color="auto" w:fill="auto"/>
            <w:noWrap/>
            <w:vAlign w:val="center"/>
          </w:tcPr>
          <w:p w14:paraId="441244F1" w14:textId="6B8D6268" w:rsidR="005418DB" w:rsidRPr="00C2587D" w:rsidRDefault="008237F1" w:rsidP="006478C2">
            <w:pPr>
              <w:spacing w:before="20" w:after="20"/>
              <w:jc w:val="center"/>
              <w:rPr>
                <w:rFonts w:cs="Arial"/>
                <w:color w:val="FF0000"/>
                <w:sz w:val="20"/>
                <w:szCs w:val="20"/>
                <w:lang w:eastAsia="uk-UA"/>
              </w:rPr>
            </w:pPr>
            <w:r w:rsidRPr="00C2587D">
              <w:rPr>
                <w:rFonts w:cs="Arial"/>
                <w:sz w:val="20"/>
                <w:szCs w:val="20"/>
                <w:lang w:eastAsia="uk-UA"/>
              </w:rPr>
              <w:t>1.</w:t>
            </w:r>
          </w:p>
        </w:tc>
        <w:tc>
          <w:tcPr>
            <w:tcW w:w="3964" w:type="dxa"/>
            <w:tcBorders>
              <w:top w:val="single" w:sz="4" w:space="0" w:color="auto"/>
              <w:left w:val="nil"/>
              <w:bottom w:val="single" w:sz="4" w:space="0" w:color="auto"/>
              <w:right w:val="single" w:sz="4" w:space="0" w:color="auto"/>
            </w:tcBorders>
            <w:shd w:val="clear" w:color="auto" w:fill="auto"/>
            <w:noWrap/>
            <w:vAlign w:val="bottom"/>
          </w:tcPr>
          <w:p w14:paraId="0BEBBB0E" w14:textId="77777777" w:rsidR="005418DB" w:rsidRPr="00C2587D" w:rsidRDefault="005418DB" w:rsidP="005418DB">
            <w:pPr>
              <w:spacing w:before="20" w:after="20"/>
              <w:jc w:val="both"/>
              <w:rPr>
                <w:rFonts w:cs="Arial"/>
                <w:color w:val="FF0000"/>
                <w:sz w:val="20"/>
                <w:szCs w:val="20"/>
                <w:lang w:eastAsia="uk-UA"/>
              </w:rPr>
            </w:pPr>
            <w:r w:rsidRPr="00C2587D">
              <w:rPr>
                <w:rFonts w:cs="Arial"/>
                <w:sz w:val="20"/>
                <w:szCs w:val="20"/>
                <w:lang w:eastAsia="uk-UA"/>
              </w:rPr>
              <w:t>Розроблення містобудівної та наукової документації на території Жмеринської міської територіальної громади</w:t>
            </w:r>
          </w:p>
        </w:tc>
        <w:tc>
          <w:tcPr>
            <w:tcW w:w="1191" w:type="dxa"/>
            <w:tcBorders>
              <w:top w:val="nil"/>
              <w:left w:val="nil"/>
              <w:bottom w:val="single" w:sz="4" w:space="0" w:color="auto"/>
              <w:right w:val="single" w:sz="4" w:space="0" w:color="auto"/>
            </w:tcBorders>
            <w:shd w:val="clear" w:color="auto" w:fill="auto"/>
            <w:vAlign w:val="center"/>
          </w:tcPr>
          <w:p w14:paraId="6D73B1F8" w14:textId="7FB83292" w:rsidR="005418DB" w:rsidRPr="00C2587D" w:rsidRDefault="00D122B2" w:rsidP="005418DB">
            <w:pPr>
              <w:jc w:val="center"/>
              <w:rPr>
                <w:rFonts w:cs="Arial"/>
                <w:color w:val="000000"/>
                <w:sz w:val="20"/>
                <w:szCs w:val="20"/>
                <w:lang w:eastAsia="it-IT"/>
              </w:rPr>
            </w:pPr>
            <w:r w:rsidRPr="00C2587D">
              <w:rPr>
                <w:rFonts w:cs="Arial"/>
                <w:color w:val="000000"/>
                <w:sz w:val="20"/>
                <w:szCs w:val="20"/>
                <w:lang w:eastAsia="it-IT"/>
              </w:rPr>
              <w:t>596</w:t>
            </w:r>
            <w:r w:rsidR="002A710D" w:rsidRPr="00C2587D">
              <w:rPr>
                <w:rFonts w:cs="Arial"/>
                <w:color w:val="000000"/>
                <w:sz w:val="20"/>
                <w:szCs w:val="20"/>
                <w:lang w:eastAsia="it-IT"/>
              </w:rPr>
              <w:t>,50</w:t>
            </w:r>
          </w:p>
        </w:tc>
        <w:tc>
          <w:tcPr>
            <w:tcW w:w="1219" w:type="dxa"/>
            <w:tcBorders>
              <w:top w:val="nil"/>
              <w:left w:val="nil"/>
              <w:bottom w:val="single" w:sz="4" w:space="0" w:color="auto"/>
              <w:right w:val="single" w:sz="4" w:space="0" w:color="auto"/>
            </w:tcBorders>
            <w:shd w:val="clear" w:color="auto" w:fill="auto"/>
            <w:vAlign w:val="center"/>
          </w:tcPr>
          <w:p w14:paraId="0A7F658B" w14:textId="7C16685C" w:rsidR="005418DB" w:rsidRPr="00C2587D" w:rsidRDefault="002A710D" w:rsidP="005418DB">
            <w:pPr>
              <w:jc w:val="center"/>
              <w:rPr>
                <w:rFonts w:cs="Arial"/>
                <w:color w:val="000000"/>
                <w:sz w:val="20"/>
                <w:szCs w:val="20"/>
                <w:lang w:eastAsia="it-IT"/>
              </w:rPr>
            </w:pPr>
            <w:r w:rsidRPr="00C2587D">
              <w:rPr>
                <w:rFonts w:cs="Arial"/>
                <w:color w:val="000000"/>
                <w:sz w:val="20"/>
                <w:szCs w:val="20"/>
                <w:lang w:eastAsia="it-IT"/>
              </w:rPr>
              <w:t>23 995,12</w:t>
            </w:r>
          </w:p>
        </w:tc>
        <w:tc>
          <w:tcPr>
            <w:tcW w:w="1217" w:type="dxa"/>
            <w:tcBorders>
              <w:top w:val="nil"/>
              <w:left w:val="nil"/>
              <w:bottom w:val="single" w:sz="4" w:space="0" w:color="auto"/>
              <w:right w:val="single" w:sz="4" w:space="0" w:color="auto"/>
            </w:tcBorders>
            <w:shd w:val="clear" w:color="auto" w:fill="auto"/>
            <w:vAlign w:val="center"/>
          </w:tcPr>
          <w:p w14:paraId="54672F15" w14:textId="02AE7CA6" w:rsidR="005418DB" w:rsidRPr="00C2587D" w:rsidRDefault="002A710D" w:rsidP="005418DB">
            <w:pPr>
              <w:jc w:val="center"/>
              <w:rPr>
                <w:rFonts w:cs="Arial"/>
                <w:color w:val="000000"/>
                <w:sz w:val="20"/>
                <w:szCs w:val="20"/>
                <w:lang w:eastAsia="it-IT"/>
              </w:rPr>
            </w:pPr>
            <w:r w:rsidRPr="00C2587D">
              <w:rPr>
                <w:rFonts w:cs="Arial"/>
                <w:color w:val="000000"/>
                <w:sz w:val="20"/>
                <w:szCs w:val="20"/>
                <w:lang w:eastAsia="it-IT"/>
              </w:rPr>
              <w:t>219,72</w:t>
            </w:r>
          </w:p>
        </w:tc>
        <w:tc>
          <w:tcPr>
            <w:tcW w:w="1191" w:type="dxa"/>
            <w:tcBorders>
              <w:top w:val="nil"/>
              <w:left w:val="nil"/>
              <w:bottom w:val="single" w:sz="4" w:space="0" w:color="auto"/>
              <w:right w:val="single" w:sz="4" w:space="0" w:color="auto"/>
            </w:tcBorders>
            <w:shd w:val="clear" w:color="auto" w:fill="auto"/>
            <w:vAlign w:val="center"/>
          </w:tcPr>
          <w:p w14:paraId="15860B34" w14:textId="05B39FE3" w:rsidR="005418DB" w:rsidRPr="00C2587D" w:rsidRDefault="005418DB" w:rsidP="005418DB">
            <w:pPr>
              <w:jc w:val="center"/>
              <w:rPr>
                <w:rFonts w:cs="Arial"/>
                <w:color w:val="000000"/>
                <w:sz w:val="20"/>
                <w:szCs w:val="20"/>
                <w:lang w:eastAsia="it-IT"/>
              </w:rPr>
            </w:pPr>
          </w:p>
        </w:tc>
        <w:tc>
          <w:tcPr>
            <w:tcW w:w="1165" w:type="dxa"/>
            <w:tcBorders>
              <w:top w:val="nil"/>
              <w:left w:val="nil"/>
              <w:bottom w:val="single" w:sz="4" w:space="0" w:color="auto"/>
              <w:right w:val="single" w:sz="4" w:space="0" w:color="auto"/>
            </w:tcBorders>
            <w:vAlign w:val="center"/>
          </w:tcPr>
          <w:p w14:paraId="526883CF" w14:textId="4F487117" w:rsidR="005418DB" w:rsidRPr="00C2587D" w:rsidRDefault="00F81121" w:rsidP="005418DB">
            <w:pPr>
              <w:jc w:val="center"/>
              <w:rPr>
                <w:rFonts w:cs="Arial"/>
                <w:b/>
                <w:color w:val="000000"/>
                <w:sz w:val="20"/>
                <w:szCs w:val="20"/>
                <w:lang w:eastAsia="it-IT"/>
              </w:rPr>
            </w:pPr>
            <w:r w:rsidRPr="00C2587D">
              <w:rPr>
                <w:rFonts w:cs="Arial"/>
                <w:b/>
                <w:color w:val="000000"/>
                <w:sz w:val="20"/>
                <w:szCs w:val="20"/>
                <w:lang w:eastAsia="it-IT"/>
              </w:rPr>
              <w:t>24 811</w:t>
            </w:r>
            <w:r w:rsidR="002A710D" w:rsidRPr="00C2587D">
              <w:rPr>
                <w:rFonts w:cs="Arial"/>
                <w:b/>
                <w:color w:val="000000"/>
                <w:sz w:val="20"/>
                <w:szCs w:val="20"/>
                <w:lang w:eastAsia="it-IT"/>
              </w:rPr>
              <w:t>,34</w:t>
            </w:r>
          </w:p>
        </w:tc>
      </w:tr>
      <w:tr w:rsidR="005418DB" w:rsidRPr="00C2587D" w14:paraId="5F94EF4A" w14:textId="77777777" w:rsidTr="00C2587D">
        <w:trPr>
          <w:gridAfter w:val="1"/>
          <w:wAfter w:w="25" w:type="dxa"/>
          <w:jc w:val="center"/>
        </w:trPr>
        <w:tc>
          <w:tcPr>
            <w:tcW w:w="709" w:type="dxa"/>
            <w:tcBorders>
              <w:top w:val="nil"/>
              <w:left w:val="single" w:sz="4" w:space="0" w:color="auto"/>
              <w:bottom w:val="single" w:sz="4" w:space="0" w:color="auto"/>
              <w:right w:val="single" w:sz="4" w:space="0" w:color="auto"/>
            </w:tcBorders>
            <w:shd w:val="clear" w:color="auto" w:fill="auto"/>
            <w:noWrap/>
            <w:vAlign w:val="center"/>
          </w:tcPr>
          <w:p w14:paraId="1936F447" w14:textId="2A051DED" w:rsidR="005418DB" w:rsidRPr="00C2587D" w:rsidRDefault="008237F1" w:rsidP="006478C2">
            <w:pPr>
              <w:spacing w:before="20" w:after="20"/>
              <w:jc w:val="center"/>
              <w:rPr>
                <w:rFonts w:cs="Arial"/>
                <w:sz w:val="20"/>
                <w:szCs w:val="20"/>
                <w:lang w:eastAsia="uk-UA"/>
              </w:rPr>
            </w:pPr>
            <w:r w:rsidRPr="00C2587D">
              <w:rPr>
                <w:rFonts w:cs="Arial"/>
                <w:sz w:val="20"/>
                <w:szCs w:val="20"/>
                <w:lang w:eastAsia="uk-UA"/>
              </w:rPr>
              <w:t>2.</w:t>
            </w:r>
          </w:p>
        </w:tc>
        <w:tc>
          <w:tcPr>
            <w:tcW w:w="3964" w:type="dxa"/>
            <w:tcBorders>
              <w:top w:val="nil"/>
              <w:left w:val="nil"/>
              <w:bottom w:val="single" w:sz="4" w:space="0" w:color="auto"/>
              <w:right w:val="single" w:sz="4" w:space="0" w:color="auto"/>
            </w:tcBorders>
            <w:shd w:val="clear" w:color="auto" w:fill="auto"/>
            <w:noWrap/>
            <w:vAlign w:val="bottom"/>
          </w:tcPr>
          <w:p w14:paraId="6C460FDF" w14:textId="77777777" w:rsidR="005418DB" w:rsidRPr="00C2587D" w:rsidRDefault="005418DB" w:rsidP="005418DB">
            <w:pPr>
              <w:spacing w:before="20" w:after="20"/>
              <w:jc w:val="both"/>
              <w:rPr>
                <w:rFonts w:cs="Arial"/>
                <w:color w:val="FF0000"/>
                <w:sz w:val="20"/>
                <w:szCs w:val="20"/>
                <w:lang w:eastAsia="uk-UA"/>
              </w:rPr>
            </w:pPr>
            <w:r w:rsidRPr="00C2587D">
              <w:rPr>
                <w:rFonts w:cs="Arial"/>
                <w:iCs/>
                <w:sz w:val="20"/>
                <w:szCs w:val="20"/>
                <w:lang w:eastAsia="it-IT"/>
              </w:rPr>
              <w:t>Розвиток містобудівного кадастру на території Жмеринської міської територіальної громади</w:t>
            </w:r>
          </w:p>
        </w:tc>
        <w:tc>
          <w:tcPr>
            <w:tcW w:w="1191" w:type="dxa"/>
            <w:tcBorders>
              <w:top w:val="nil"/>
              <w:left w:val="nil"/>
              <w:bottom w:val="single" w:sz="4" w:space="0" w:color="auto"/>
              <w:right w:val="single" w:sz="4" w:space="0" w:color="auto"/>
            </w:tcBorders>
            <w:shd w:val="clear" w:color="auto" w:fill="auto"/>
            <w:vAlign w:val="center"/>
          </w:tcPr>
          <w:p w14:paraId="56DBD42C" w14:textId="30710649" w:rsidR="005418DB" w:rsidRPr="00C2587D" w:rsidRDefault="002A710D" w:rsidP="005418DB">
            <w:pPr>
              <w:jc w:val="center"/>
              <w:rPr>
                <w:rFonts w:cs="Arial"/>
                <w:color w:val="000000"/>
                <w:sz w:val="20"/>
                <w:szCs w:val="20"/>
                <w:lang w:eastAsia="it-IT"/>
              </w:rPr>
            </w:pPr>
            <w:r w:rsidRPr="00C2587D">
              <w:rPr>
                <w:rFonts w:cs="Arial"/>
                <w:color w:val="000000"/>
                <w:sz w:val="20"/>
                <w:szCs w:val="20"/>
                <w:lang w:eastAsia="it-IT"/>
              </w:rPr>
              <w:t>15 306,4</w:t>
            </w:r>
          </w:p>
        </w:tc>
        <w:tc>
          <w:tcPr>
            <w:tcW w:w="1219" w:type="dxa"/>
            <w:tcBorders>
              <w:top w:val="nil"/>
              <w:left w:val="nil"/>
              <w:bottom w:val="single" w:sz="4" w:space="0" w:color="auto"/>
              <w:right w:val="single" w:sz="4" w:space="0" w:color="auto"/>
            </w:tcBorders>
            <w:shd w:val="clear" w:color="auto" w:fill="auto"/>
            <w:vAlign w:val="center"/>
          </w:tcPr>
          <w:p w14:paraId="4A67870E" w14:textId="6BA7F877" w:rsidR="005418DB" w:rsidRPr="00C2587D" w:rsidRDefault="002A710D" w:rsidP="005418DB">
            <w:pPr>
              <w:jc w:val="center"/>
              <w:rPr>
                <w:rFonts w:cs="Arial"/>
                <w:color w:val="000000"/>
                <w:sz w:val="20"/>
                <w:szCs w:val="20"/>
                <w:lang w:eastAsia="it-IT"/>
              </w:rPr>
            </w:pPr>
            <w:r w:rsidRPr="00C2587D">
              <w:rPr>
                <w:rFonts w:cs="Arial"/>
                <w:color w:val="000000"/>
                <w:sz w:val="20"/>
                <w:szCs w:val="20"/>
                <w:lang w:eastAsia="it-IT"/>
              </w:rPr>
              <w:t>3 345,56</w:t>
            </w:r>
          </w:p>
        </w:tc>
        <w:tc>
          <w:tcPr>
            <w:tcW w:w="1217" w:type="dxa"/>
            <w:tcBorders>
              <w:top w:val="nil"/>
              <w:left w:val="nil"/>
              <w:bottom w:val="single" w:sz="4" w:space="0" w:color="auto"/>
              <w:right w:val="single" w:sz="4" w:space="0" w:color="auto"/>
            </w:tcBorders>
            <w:shd w:val="clear" w:color="auto" w:fill="auto"/>
            <w:vAlign w:val="center"/>
          </w:tcPr>
          <w:p w14:paraId="00B51395" w14:textId="3590A44F" w:rsidR="005418DB" w:rsidRPr="00C2587D" w:rsidRDefault="002A710D" w:rsidP="005418DB">
            <w:pPr>
              <w:jc w:val="center"/>
              <w:rPr>
                <w:rFonts w:cs="Arial"/>
                <w:color w:val="000000"/>
                <w:sz w:val="20"/>
                <w:szCs w:val="20"/>
                <w:lang w:eastAsia="it-IT"/>
              </w:rPr>
            </w:pPr>
            <w:r w:rsidRPr="00C2587D">
              <w:rPr>
                <w:rFonts w:cs="Arial"/>
                <w:color w:val="000000"/>
                <w:sz w:val="20"/>
                <w:szCs w:val="20"/>
                <w:lang w:eastAsia="it-IT"/>
              </w:rPr>
              <w:t>1 400,0</w:t>
            </w:r>
          </w:p>
        </w:tc>
        <w:tc>
          <w:tcPr>
            <w:tcW w:w="1191" w:type="dxa"/>
            <w:tcBorders>
              <w:top w:val="nil"/>
              <w:left w:val="nil"/>
              <w:bottom w:val="single" w:sz="4" w:space="0" w:color="auto"/>
              <w:right w:val="single" w:sz="4" w:space="0" w:color="auto"/>
            </w:tcBorders>
            <w:shd w:val="clear" w:color="auto" w:fill="auto"/>
            <w:vAlign w:val="center"/>
          </w:tcPr>
          <w:p w14:paraId="3DBCF965" w14:textId="5DE71EF8" w:rsidR="005418DB" w:rsidRPr="00C2587D" w:rsidRDefault="005418DB" w:rsidP="005418DB">
            <w:pPr>
              <w:jc w:val="center"/>
              <w:rPr>
                <w:rFonts w:cs="Arial"/>
                <w:color w:val="000000"/>
                <w:sz w:val="20"/>
                <w:szCs w:val="20"/>
                <w:lang w:eastAsia="it-IT"/>
              </w:rPr>
            </w:pPr>
          </w:p>
        </w:tc>
        <w:tc>
          <w:tcPr>
            <w:tcW w:w="1165" w:type="dxa"/>
            <w:tcBorders>
              <w:top w:val="nil"/>
              <w:left w:val="nil"/>
              <w:bottom w:val="single" w:sz="4" w:space="0" w:color="auto"/>
              <w:right w:val="single" w:sz="4" w:space="0" w:color="auto"/>
            </w:tcBorders>
            <w:vAlign w:val="center"/>
          </w:tcPr>
          <w:p w14:paraId="15B86F5D" w14:textId="7DE6D147" w:rsidR="005418DB" w:rsidRPr="00C2587D" w:rsidRDefault="002A710D" w:rsidP="005418DB">
            <w:pPr>
              <w:jc w:val="center"/>
              <w:rPr>
                <w:rFonts w:cs="Arial"/>
                <w:b/>
                <w:color w:val="000000"/>
                <w:sz w:val="20"/>
                <w:szCs w:val="20"/>
                <w:lang w:eastAsia="it-IT"/>
              </w:rPr>
            </w:pPr>
            <w:r w:rsidRPr="00C2587D">
              <w:rPr>
                <w:rFonts w:cs="Arial"/>
                <w:b/>
                <w:color w:val="000000"/>
                <w:sz w:val="20"/>
                <w:szCs w:val="20"/>
                <w:lang w:eastAsia="it-IT"/>
              </w:rPr>
              <w:t>20 051,96</w:t>
            </w:r>
          </w:p>
        </w:tc>
      </w:tr>
      <w:tr w:rsidR="002829A2" w:rsidRPr="00C2587D" w14:paraId="340925AC" w14:textId="77777777" w:rsidTr="004B3BEE">
        <w:trPr>
          <w:gridAfter w:val="1"/>
          <w:wAfter w:w="25" w:type="dxa"/>
          <w:trHeight w:val="441"/>
          <w:jc w:val="center"/>
        </w:trPr>
        <w:tc>
          <w:tcPr>
            <w:tcW w:w="709" w:type="dxa"/>
            <w:tcBorders>
              <w:top w:val="nil"/>
              <w:left w:val="single" w:sz="4" w:space="0" w:color="auto"/>
              <w:bottom w:val="single" w:sz="4" w:space="0" w:color="auto"/>
              <w:right w:val="single" w:sz="4" w:space="0" w:color="auto"/>
            </w:tcBorders>
            <w:shd w:val="clear" w:color="auto" w:fill="auto"/>
            <w:noWrap/>
            <w:vAlign w:val="center"/>
          </w:tcPr>
          <w:p w14:paraId="48C0251F" w14:textId="10A56716" w:rsidR="002829A2" w:rsidRPr="00C2587D" w:rsidRDefault="00956315" w:rsidP="006478C2">
            <w:pPr>
              <w:spacing w:before="20" w:after="20"/>
              <w:jc w:val="center"/>
              <w:rPr>
                <w:rFonts w:cs="Arial"/>
                <w:sz w:val="20"/>
                <w:szCs w:val="20"/>
                <w:lang w:eastAsia="uk-UA"/>
              </w:rPr>
            </w:pPr>
            <w:r w:rsidRPr="00C2587D">
              <w:rPr>
                <w:rFonts w:cs="Arial"/>
                <w:sz w:val="20"/>
                <w:szCs w:val="20"/>
                <w:lang w:eastAsia="uk-UA"/>
              </w:rPr>
              <w:t>3</w:t>
            </w:r>
            <w:r w:rsidR="002829A2" w:rsidRPr="00C2587D">
              <w:rPr>
                <w:rFonts w:cs="Arial"/>
                <w:sz w:val="20"/>
                <w:szCs w:val="20"/>
                <w:lang w:eastAsia="uk-UA"/>
              </w:rPr>
              <w:t>.</w:t>
            </w:r>
          </w:p>
        </w:tc>
        <w:tc>
          <w:tcPr>
            <w:tcW w:w="3964" w:type="dxa"/>
            <w:tcBorders>
              <w:top w:val="nil"/>
              <w:left w:val="nil"/>
              <w:bottom w:val="single" w:sz="4" w:space="0" w:color="auto"/>
              <w:right w:val="single" w:sz="4" w:space="0" w:color="auto"/>
            </w:tcBorders>
            <w:shd w:val="clear" w:color="auto" w:fill="auto"/>
            <w:noWrap/>
            <w:vAlign w:val="center"/>
          </w:tcPr>
          <w:p w14:paraId="0E5D04EF" w14:textId="67D1C5FE" w:rsidR="002829A2" w:rsidRPr="00C2587D" w:rsidRDefault="00C95615" w:rsidP="004B3BEE">
            <w:pPr>
              <w:spacing w:before="20" w:after="20"/>
              <w:rPr>
                <w:sz w:val="20"/>
                <w:szCs w:val="20"/>
              </w:rPr>
            </w:pPr>
            <w:r w:rsidRPr="00C2587D">
              <w:rPr>
                <w:rFonts w:cs="Arial"/>
                <w:bCs/>
                <w:sz w:val="20"/>
                <w:szCs w:val="20"/>
                <w:lang w:eastAsia="uk-UA"/>
              </w:rPr>
              <w:t>Створення індустріальних парків</w:t>
            </w:r>
          </w:p>
        </w:tc>
        <w:tc>
          <w:tcPr>
            <w:tcW w:w="1191" w:type="dxa"/>
            <w:tcBorders>
              <w:top w:val="nil"/>
              <w:left w:val="nil"/>
              <w:bottom w:val="single" w:sz="4" w:space="0" w:color="auto"/>
              <w:right w:val="single" w:sz="4" w:space="0" w:color="auto"/>
            </w:tcBorders>
            <w:shd w:val="clear" w:color="auto" w:fill="auto"/>
            <w:vAlign w:val="center"/>
          </w:tcPr>
          <w:p w14:paraId="2193032B" w14:textId="3BE4AEEA" w:rsidR="002829A2" w:rsidRPr="00C2587D" w:rsidRDefault="002829A2" w:rsidP="004B3BEE">
            <w:pPr>
              <w:rPr>
                <w:rFonts w:cs="Arial"/>
                <w:sz w:val="20"/>
                <w:szCs w:val="20"/>
                <w:lang w:eastAsia="it-IT"/>
              </w:rPr>
            </w:pPr>
          </w:p>
        </w:tc>
        <w:tc>
          <w:tcPr>
            <w:tcW w:w="1219" w:type="dxa"/>
            <w:tcBorders>
              <w:top w:val="nil"/>
              <w:left w:val="nil"/>
              <w:bottom w:val="single" w:sz="4" w:space="0" w:color="auto"/>
              <w:right w:val="single" w:sz="4" w:space="0" w:color="auto"/>
            </w:tcBorders>
            <w:shd w:val="clear" w:color="auto" w:fill="auto"/>
            <w:vAlign w:val="center"/>
          </w:tcPr>
          <w:p w14:paraId="1FED40E5" w14:textId="736262DA" w:rsidR="002829A2" w:rsidRPr="00C2587D" w:rsidRDefault="00C95615" w:rsidP="004B3BEE">
            <w:pPr>
              <w:jc w:val="center"/>
              <w:rPr>
                <w:rFonts w:cs="Arial"/>
                <w:sz w:val="20"/>
                <w:szCs w:val="20"/>
                <w:lang w:eastAsia="it-IT"/>
              </w:rPr>
            </w:pPr>
            <w:r w:rsidRPr="00C2587D">
              <w:rPr>
                <w:rFonts w:cs="Arial"/>
                <w:sz w:val="20"/>
                <w:szCs w:val="20"/>
                <w:lang w:eastAsia="it-IT"/>
              </w:rPr>
              <w:t>161000,0</w:t>
            </w:r>
          </w:p>
        </w:tc>
        <w:tc>
          <w:tcPr>
            <w:tcW w:w="1217" w:type="dxa"/>
            <w:tcBorders>
              <w:top w:val="nil"/>
              <w:left w:val="nil"/>
              <w:bottom w:val="single" w:sz="4" w:space="0" w:color="auto"/>
              <w:right w:val="single" w:sz="4" w:space="0" w:color="auto"/>
            </w:tcBorders>
            <w:shd w:val="clear" w:color="auto" w:fill="auto"/>
            <w:vAlign w:val="center"/>
          </w:tcPr>
          <w:p w14:paraId="6BDF547A" w14:textId="4A776ECA" w:rsidR="002829A2" w:rsidRPr="00C2587D" w:rsidRDefault="002829A2" w:rsidP="004B3BEE">
            <w:pPr>
              <w:jc w:val="center"/>
              <w:rPr>
                <w:rFonts w:cs="Arial"/>
                <w:sz w:val="20"/>
                <w:szCs w:val="20"/>
                <w:lang w:eastAsia="it-IT"/>
              </w:rPr>
            </w:pPr>
            <w:r w:rsidRPr="00C2587D">
              <w:rPr>
                <w:rFonts w:cs="Arial"/>
                <w:bCs/>
                <w:sz w:val="20"/>
                <w:szCs w:val="20"/>
                <w:lang w:eastAsia="uk-UA"/>
              </w:rPr>
              <w:t>1</w:t>
            </w:r>
            <w:r w:rsidR="00C95615" w:rsidRPr="00C2587D">
              <w:rPr>
                <w:rFonts w:cs="Arial"/>
                <w:bCs/>
                <w:sz w:val="20"/>
                <w:szCs w:val="20"/>
                <w:lang w:eastAsia="uk-UA"/>
              </w:rPr>
              <w:t>57000</w:t>
            </w:r>
            <w:r w:rsidRPr="00C2587D">
              <w:rPr>
                <w:rFonts w:cs="Arial"/>
                <w:bCs/>
                <w:sz w:val="20"/>
                <w:szCs w:val="20"/>
                <w:lang w:eastAsia="uk-UA"/>
              </w:rPr>
              <w:t>,0</w:t>
            </w:r>
          </w:p>
        </w:tc>
        <w:tc>
          <w:tcPr>
            <w:tcW w:w="1191" w:type="dxa"/>
            <w:tcBorders>
              <w:top w:val="nil"/>
              <w:left w:val="nil"/>
              <w:bottom w:val="single" w:sz="4" w:space="0" w:color="auto"/>
              <w:right w:val="single" w:sz="4" w:space="0" w:color="auto"/>
            </w:tcBorders>
            <w:shd w:val="clear" w:color="auto" w:fill="auto"/>
            <w:vAlign w:val="center"/>
          </w:tcPr>
          <w:p w14:paraId="71B8AA81" w14:textId="62E21C7D" w:rsidR="002829A2" w:rsidRPr="00C2587D" w:rsidRDefault="00C95615" w:rsidP="004B3BEE">
            <w:pPr>
              <w:jc w:val="center"/>
              <w:rPr>
                <w:rFonts w:cs="Arial"/>
                <w:sz w:val="20"/>
                <w:szCs w:val="20"/>
                <w:lang w:eastAsia="it-IT"/>
              </w:rPr>
            </w:pPr>
            <w:r w:rsidRPr="00C2587D">
              <w:rPr>
                <w:rFonts w:cs="Arial"/>
                <w:sz w:val="20"/>
                <w:szCs w:val="20"/>
                <w:lang w:eastAsia="it-IT"/>
              </w:rPr>
              <w:t>132000,0</w:t>
            </w:r>
          </w:p>
        </w:tc>
        <w:tc>
          <w:tcPr>
            <w:tcW w:w="1165" w:type="dxa"/>
            <w:tcBorders>
              <w:top w:val="nil"/>
              <w:left w:val="nil"/>
              <w:bottom w:val="single" w:sz="4" w:space="0" w:color="auto"/>
              <w:right w:val="single" w:sz="4" w:space="0" w:color="auto"/>
            </w:tcBorders>
            <w:vAlign w:val="center"/>
          </w:tcPr>
          <w:p w14:paraId="5471FD24" w14:textId="70032C06" w:rsidR="002829A2" w:rsidRPr="00C2587D" w:rsidRDefault="00C95615" w:rsidP="004B3BEE">
            <w:pPr>
              <w:jc w:val="center"/>
              <w:rPr>
                <w:rFonts w:cs="Arial"/>
                <w:b/>
                <w:sz w:val="20"/>
                <w:szCs w:val="20"/>
                <w:lang w:eastAsia="it-IT"/>
              </w:rPr>
            </w:pPr>
            <w:r w:rsidRPr="00C2587D">
              <w:rPr>
                <w:rFonts w:cs="Arial"/>
                <w:b/>
                <w:sz w:val="20"/>
                <w:szCs w:val="20"/>
                <w:lang w:eastAsia="it-IT"/>
              </w:rPr>
              <w:t>450</w:t>
            </w:r>
            <w:r w:rsidR="002A710D" w:rsidRPr="00C2587D">
              <w:rPr>
                <w:rFonts w:cs="Arial"/>
                <w:b/>
                <w:sz w:val="20"/>
                <w:szCs w:val="20"/>
                <w:lang w:eastAsia="it-IT"/>
              </w:rPr>
              <w:t> 000,0</w:t>
            </w:r>
          </w:p>
        </w:tc>
      </w:tr>
      <w:tr w:rsidR="00C95615" w:rsidRPr="00C2587D" w14:paraId="28588828" w14:textId="77777777" w:rsidTr="00C2587D">
        <w:trPr>
          <w:gridAfter w:val="1"/>
          <w:wAfter w:w="25" w:type="dxa"/>
          <w:jc w:val="center"/>
        </w:trPr>
        <w:tc>
          <w:tcPr>
            <w:tcW w:w="709" w:type="dxa"/>
            <w:tcBorders>
              <w:top w:val="nil"/>
              <w:left w:val="single" w:sz="4" w:space="0" w:color="auto"/>
              <w:bottom w:val="single" w:sz="4" w:space="0" w:color="auto"/>
              <w:right w:val="single" w:sz="4" w:space="0" w:color="auto"/>
            </w:tcBorders>
            <w:shd w:val="clear" w:color="auto" w:fill="auto"/>
            <w:noWrap/>
            <w:vAlign w:val="center"/>
          </w:tcPr>
          <w:p w14:paraId="44357421" w14:textId="7F6A064D" w:rsidR="00C95615" w:rsidRPr="00C2587D" w:rsidRDefault="006D10CF" w:rsidP="006478C2">
            <w:pPr>
              <w:spacing w:before="20" w:after="20"/>
              <w:jc w:val="center"/>
              <w:rPr>
                <w:rFonts w:cs="Arial"/>
                <w:sz w:val="20"/>
                <w:szCs w:val="20"/>
                <w:lang w:eastAsia="uk-UA"/>
              </w:rPr>
            </w:pPr>
            <w:r w:rsidRPr="00C2587D">
              <w:rPr>
                <w:rFonts w:cs="Arial"/>
                <w:sz w:val="20"/>
                <w:szCs w:val="20"/>
                <w:lang w:eastAsia="uk-UA"/>
              </w:rPr>
              <w:t>4.</w:t>
            </w:r>
          </w:p>
        </w:tc>
        <w:tc>
          <w:tcPr>
            <w:tcW w:w="3964" w:type="dxa"/>
            <w:tcBorders>
              <w:top w:val="nil"/>
              <w:left w:val="nil"/>
              <w:bottom w:val="single" w:sz="4" w:space="0" w:color="auto"/>
              <w:right w:val="single" w:sz="4" w:space="0" w:color="auto"/>
            </w:tcBorders>
            <w:shd w:val="clear" w:color="auto" w:fill="auto"/>
            <w:noWrap/>
            <w:vAlign w:val="bottom"/>
          </w:tcPr>
          <w:p w14:paraId="51B4EA22" w14:textId="0461B3AC" w:rsidR="00C95615" w:rsidRPr="00C2587D" w:rsidRDefault="00C95615" w:rsidP="00C95615">
            <w:pPr>
              <w:spacing w:before="20" w:after="20"/>
              <w:jc w:val="both"/>
              <w:rPr>
                <w:rFonts w:cs="Arial"/>
                <w:bCs/>
                <w:sz w:val="20"/>
                <w:szCs w:val="20"/>
                <w:lang w:eastAsia="uk-UA"/>
              </w:rPr>
            </w:pPr>
            <w:r w:rsidRPr="00C2587D">
              <w:rPr>
                <w:rFonts w:cs="Arial"/>
                <w:bCs/>
                <w:sz w:val="20"/>
                <w:szCs w:val="20"/>
                <w:lang w:eastAsia="uk-UA"/>
              </w:rPr>
              <w:t>Розробка та затвердження маркетингової стратегії Жмеринської міської територіальної громади</w:t>
            </w:r>
          </w:p>
        </w:tc>
        <w:tc>
          <w:tcPr>
            <w:tcW w:w="1191" w:type="dxa"/>
            <w:tcBorders>
              <w:top w:val="nil"/>
              <w:left w:val="nil"/>
              <w:bottom w:val="single" w:sz="4" w:space="0" w:color="auto"/>
              <w:right w:val="single" w:sz="4" w:space="0" w:color="auto"/>
            </w:tcBorders>
            <w:shd w:val="clear" w:color="auto" w:fill="auto"/>
            <w:vAlign w:val="center"/>
          </w:tcPr>
          <w:p w14:paraId="2486F385" w14:textId="77777777" w:rsidR="00C95615" w:rsidRPr="00C2587D" w:rsidRDefault="00C95615" w:rsidP="002829A2">
            <w:pPr>
              <w:jc w:val="center"/>
              <w:rPr>
                <w:rFonts w:cs="Arial"/>
                <w:sz w:val="20"/>
                <w:szCs w:val="20"/>
                <w:lang w:eastAsia="it-IT"/>
              </w:rPr>
            </w:pPr>
          </w:p>
        </w:tc>
        <w:tc>
          <w:tcPr>
            <w:tcW w:w="1219" w:type="dxa"/>
            <w:tcBorders>
              <w:top w:val="nil"/>
              <w:left w:val="nil"/>
              <w:bottom w:val="single" w:sz="4" w:space="0" w:color="auto"/>
              <w:right w:val="single" w:sz="4" w:space="0" w:color="auto"/>
            </w:tcBorders>
            <w:shd w:val="clear" w:color="auto" w:fill="auto"/>
            <w:vAlign w:val="center"/>
          </w:tcPr>
          <w:p w14:paraId="6838EEA2" w14:textId="3336866E" w:rsidR="00C95615" w:rsidRPr="00C2587D" w:rsidRDefault="00C95615" w:rsidP="002829A2">
            <w:pPr>
              <w:jc w:val="center"/>
              <w:rPr>
                <w:rFonts w:cs="Arial"/>
                <w:sz w:val="20"/>
                <w:szCs w:val="20"/>
                <w:lang w:eastAsia="it-IT"/>
              </w:rPr>
            </w:pPr>
            <w:r w:rsidRPr="00C2587D">
              <w:rPr>
                <w:rFonts w:cs="Arial"/>
                <w:sz w:val="20"/>
                <w:szCs w:val="20"/>
                <w:lang w:eastAsia="it-IT"/>
              </w:rPr>
              <w:t>600,0</w:t>
            </w:r>
          </w:p>
        </w:tc>
        <w:tc>
          <w:tcPr>
            <w:tcW w:w="1217" w:type="dxa"/>
            <w:tcBorders>
              <w:top w:val="nil"/>
              <w:left w:val="nil"/>
              <w:bottom w:val="single" w:sz="4" w:space="0" w:color="auto"/>
              <w:right w:val="single" w:sz="4" w:space="0" w:color="auto"/>
            </w:tcBorders>
            <w:shd w:val="clear" w:color="auto" w:fill="auto"/>
            <w:vAlign w:val="center"/>
          </w:tcPr>
          <w:p w14:paraId="6B27BB54" w14:textId="77777777" w:rsidR="00C95615" w:rsidRPr="00C2587D" w:rsidRDefault="00C95615" w:rsidP="00C95615">
            <w:pPr>
              <w:jc w:val="center"/>
              <w:rPr>
                <w:rFonts w:cs="Arial"/>
                <w:bCs/>
                <w:sz w:val="20"/>
                <w:szCs w:val="20"/>
                <w:lang w:eastAsia="uk-UA"/>
              </w:rPr>
            </w:pPr>
          </w:p>
        </w:tc>
        <w:tc>
          <w:tcPr>
            <w:tcW w:w="1191" w:type="dxa"/>
            <w:tcBorders>
              <w:top w:val="nil"/>
              <w:left w:val="nil"/>
              <w:bottom w:val="single" w:sz="4" w:space="0" w:color="auto"/>
              <w:right w:val="single" w:sz="4" w:space="0" w:color="auto"/>
            </w:tcBorders>
            <w:shd w:val="clear" w:color="auto" w:fill="auto"/>
            <w:vAlign w:val="center"/>
          </w:tcPr>
          <w:p w14:paraId="6E4A76BB" w14:textId="77777777" w:rsidR="00C95615" w:rsidRPr="00C2587D" w:rsidRDefault="00C95615" w:rsidP="002829A2">
            <w:pPr>
              <w:jc w:val="center"/>
              <w:rPr>
                <w:rFonts w:cs="Arial"/>
                <w:sz w:val="20"/>
                <w:szCs w:val="20"/>
                <w:lang w:eastAsia="it-IT"/>
              </w:rPr>
            </w:pPr>
          </w:p>
        </w:tc>
        <w:tc>
          <w:tcPr>
            <w:tcW w:w="1165" w:type="dxa"/>
            <w:tcBorders>
              <w:top w:val="nil"/>
              <w:left w:val="nil"/>
              <w:bottom w:val="single" w:sz="4" w:space="0" w:color="auto"/>
              <w:right w:val="single" w:sz="4" w:space="0" w:color="auto"/>
            </w:tcBorders>
            <w:vAlign w:val="center"/>
          </w:tcPr>
          <w:p w14:paraId="39B9CF75" w14:textId="4DD00599" w:rsidR="00C95615" w:rsidRPr="00C2587D" w:rsidRDefault="00C95615" w:rsidP="002829A2">
            <w:pPr>
              <w:jc w:val="center"/>
              <w:rPr>
                <w:rFonts w:cs="Arial"/>
                <w:b/>
                <w:sz w:val="20"/>
                <w:szCs w:val="20"/>
                <w:lang w:eastAsia="it-IT"/>
              </w:rPr>
            </w:pPr>
            <w:r w:rsidRPr="00C2587D">
              <w:rPr>
                <w:rFonts w:cs="Arial"/>
                <w:b/>
                <w:sz w:val="20"/>
                <w:szCs w:val="20"/>
                <w:lang w:eastAsia="it-IT"/>
              </w:rPr>
              <w:t>600,0</w:t>
            </w:r>
          </w:p>
        </w:tc>
      </w:tr>
      <w:tr w:rsidR="00C95615" w:rsidRPr="00C2587D" w14:paraId="26085D8F" w14:textId="77777777" w:rsidTr="00C2587D">
        <w:trPr>
          <w:gridAfter w:val="1"/>
          <w:wAfter w:w="25" w:type="dxa"/>
          <w:jc w:val="center"/>
        </w:trPr>
        <w:tc>
          <w:tcPr>
            <w:tcW w:w="709" w:type="dxa"/>
            <w:tcBorders>
              <w:top w:val="nil"/>
              <w:left w:val="single" w:sz="4" w:space="0" w:color="auto"/>
              <w:bottom w:val="single" w:sz="4" w:space="0" w:color="auto"/>
              <w:right w:val="single" w:sz="4" w:space="0" w:color="auto"/>
            </w:tcBorders>
            <w:shd w:val="clear" w:color="auto" w:fill="auto"/>
            <w:noWrap/>
            <w:vAlign w:val="center"/>
          </w:tcPr>
          <w:p w14:paraId="5F7CF459" w14:textId="2180C1B1" w:rsidR="00C95615" w:rsidRPr="00C2587D" w:rsidRDefault="006D10CF" w:rsidP="006478C2">
            <w:pPr>
              <w:spacing w:before="20" w:after="20"/>
              <w:jc w:val="center"/>
              <w:rPr>
                <w:rFonts w:cs="Arial"/>
                <w:sz w:val="20"/>
                <w:szCs w:val="20"/>
                <w:lang w:eastAsia="uk-UA"/>
              </w:rPr>
            </w:pPr>
            <w:r w:rsidRPr="00C2587D">
              <w:rPr>
                <w:rFonts w:cs="Arial"/>
                <w:sz w:val="20"/>
                <w:szCs w:val="20"/>
                <w:lang w:eastAsia="uk-UA"/>
              </w:rPr>
              <w:t>5.</w:t>
            </w:r>
          </w:p>
        </w:tc>
        <w:tc>
          <w:tcPr>
            <w:tcW w:w="3964" w:type="dxa"/>
            <w:tcBorders>
              <w:top w:val="nil"/>
              <w:left w:val="nil"/>
              <w:bottom w:val="single" w:sz="4" w:space="0" w:color="auto"/>
              <w:right w:val="single" w:sz="4" w:space="0" w:color="auto"/>
            </w:tcBorders>
            <w:shd w:val="clear" w:color="auto" w:fill="auto"/>
            <w:noWrap/>
            <w:vAlign w:val="bottom"/>
          </w:tcPr>
          <w:p w14:paraId="57B6ECF9" w14:textId="5685E1B9" w:rsidR="00C95615" w:rsidRPr="00C2587D" w:rsidRDefault="00C95615" w:rsidP="00C95615">
            <w:pPr>
              <w:spacing w:before="20" w:after="20"/>
              <w:jc w:val="both"/>
              <w:rPr>
                <w:rFonts w:cs="Arial"/>
                <w:bCs/>
                <w:sz w:val="20"/>
                <w:szCs w:val="20"/>
                <w:lang w:eastAsia="uk-UA"/>
              </w:rPr>
            </w:pPr>
            <w:r w:rsidRPr="00C2587D">
              <w:rPr>
                <w:rFonts w:cs="Arial"/>
                <w:bCs/>
                <w:sz w:val="20"/>
                <w:szCs w:val="20"/>
                <w:lang w:eastAsia="uk-UA"/>
              </w:rPr>
              <w:t>Розробка і впровадження Програми поглиблення міжнародного та міжмуніципального співробітництва Жмеринської міської територіальної громади з громадами -партнерами</w:t>
            </w:r>
          </w:p>
        </w:tc>
        <w:tc>
          <w:tcPr>
            <w:tcW w:w="1191" w:type="dxa"/>
            <w:tcBorders>
              <w:top w:val="single" w:sz="4" w:space="0" w:color="auto"/>
              <w:bottom w:val="single" w:sz="4" w:space="0" w:color="auto"/>
              <w:right w:val="single" w:sz="4" w:space="0" w:color="auto"/>
            </w:tcBorders>
            <w:vAlign w:val="center"/>
          </w:tcPr>
          <w:p w14:paraId="1FADE2DA" w14:textId="64C2C8BC" w:rsidR="00C95615" w:rsidRPr="00C2587D" w:rsidRDefault="00C95615" w:rsidP="00C95615">
            <w:pPr>
              <w:jc w:val="center"/>
              <w:rPr>
                <w:rFonts w:cs="Arial"/>
                <w:sz w:val="20"/>
                <w:szCs w:val="20"/>
                <w:lang w:eastAsia="it-IT"/>
              </w:rPr>
            </w:pPr>
            <w:r w:rsidRPr="00C2587D">
              <w:rPr>
                <w:lang w:eastAsia="it-IT"/>
              </w:rPr>
              <w:t>300,0</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14:paraId="6CE4893A" w14:textId="1F9BB3E8" w:rsidR="00C95615" w:rsidRPr="00C2587D" w:rsidRDefault="00C95615" w:rsidP="00C95615">
            <w:pPr>
              <w:jc w:val="center"/>
              <w:rPr>
                <w:rFonts w:cs="Arial"/>
                <w:sz w:val="20"/>
                <w:szCs w:val="20"/>
                <w:lang w:eastAsia="it-IT"/>
              </w:rPr>
            </w:pPr>
            <w:r w:rsidRPr="00C2587D">
              <w:rPr>
                <w:lang w:eastAsia="it-IT"/>
              </w:rPr>
              <w:t>500,0</w:t>
            </w:r>
          </w:p>
        </w:tc>
        <w:tc>
          <w:tcPr>
            <w:tcW w:w="1217" w:type="dxa"/>
            <w:tcBorders>
              <w:top w:val="single" w:sz="4" w:space="0" w:color="auto"/>
              <w:left w:val="single" w:sz="4" w:space="0" w:color="auto"/>
              <w:bottom w:val="single" w:sz="4" w:space="0" w:color="auto"/>
              <w:right w:val="single" w:sz="4" w:space="0" w:color="auto"/>
            </w:tcBorders>
            <w:shd w:val="clear" w:color="auto" w:fill="auto"/>
            <w:vAlign w:val="center"/>
          </w:tcPr>
          <w:p w14:paraId="16717394" w14:textId="33519C6E" w:rsidR="00C95615" w:rsidRPr="00C2587D" w:rsidRDefault="00C95615" w:rsidP="00C95615">
            <w:pPr>
              <w:jc w:val="center"/>
              <w:rPr>
                <w:rFonts w:cs="Arial"/>
                <w:bCs/>
                <w:sz w:val="20"/>
                <w:szCs w:val="20"/>
                <w:lang w:eastAsia="uk-UA"/>
              </w:rPr>
            </w:pPr>
            <w:r w:rsidRPr="00C2587D">
              <w:rPr>
                <w:lang w:eastAsia="it-IT"/>
              </w:rPr>
              <w:t>500,0</w:t>
            </w:r>
          </w:p>
        </w:tc>
        <w:tc>
          <w:tcPr>
            <w:tcW w:w="1191" w:type="dxa"/>
            <w:tcBorders>
              <w:top w:val="single" w:sz="4" w:space="0" w:color="auto"/>
              <w:left w:val="single" w:sz="4" w:space="0" w:color="auto"/>
              <w:bottom w:val="single" w:sz="4" w:space="0" w:color="auto"/>
              <w:right w:val="single" w:sz="4" w:space="0" w:color="auto"/>
            </w:tcBorders>
            <w:shd w:val="clear" w:color="auto" w:fill="FFFFFF"/>
            <w:vAlign w:val="center"/>
          </w:tcPr>
          <w:p w14:paraId="196BB1D6" w14:textId="5CEAF6EF" w:rsidR="00C95615" w:rsidRPr="00C2587D" w:rsidRDefault="00C95615" w:rsidP="00C95615">
            <w:pPr>
              <w:jc w:val="center"/>
              <w:rPr>
                <w:rFonts w:cs="Arial"/>
                <w:sz w:val="20"/>
                <w:szCs w:val="20"/>
                <w:lang w:eastAsia="it-IT"/>
              </w:rPr>
            </w:pPr>
            <w:r w:rsidRPr="00C2587D">
              <w:rPr>
                <w:lang w:eastAsia="it-IT"/>
              </w:rPr>
              <w:t>500,0</w:t>
            </w:r>
          </w:p>
        </w:tc>
        <w:tc>
          <w:tcPr>
            <w:tcW w:w="1165" w:type="dxa"/>
            <w:tcBorders>
              <w:top w:val="single" w:sz="4" w:space="0" w:color="auto"/>
              <w:left w:val="single" w:sz="4" w:space="0" w:color="auto"/>
              <w:bottom w:val="single" w:sz="4" w:space="0" w:color="auto"/>
              <w:right w:val="single" w:sz="4" w:space="0" w:color="auto"/>
            </w:tcBorders>
            <w:shd w:val="clear" w:color="auto" w:fill="FFFFFF"/>
            <w:vAlign w:val="center"/>
          </w:tcPr>
          <w:p w14:paraId="539213A4" w14:textId="3D1019E6" w:rsidR="00C95615" w:rsidRPr="00C2587D" w:rsidRDefault="00C95615" w:rsidP="00C95615">
            <w:pPr>
              <w:jc w:val="center"/>
              <w:rPr>
                <w:rFonts w:cs="Arial"/>
                <w:b/>
                <w:sz w:val="20"/>
                <w:szCs w:val="20"/>
                <w:lang w:eastAsia="it-IT"/>
              </w:rPr>
            </w:pPr>
            <w:r w:rsidRPr="00C2587D">
              <w:rPr>
                <w:b/>
                <w:lang w:eastAsia="it-IT"/>
              </w:rPr>
              <w:t>1800,0</w:t>
            </w:r>
          </w:p>
        </w:tc>
      </w:tr>
      <w:tr w:rsidR="00C95615" w:rsidRPr="00C2587D" w14:paraId="6E73678F" w14:textId="77777777" w:rsidTr="00C2587D">
        <w:trPr>
          <w:gridAfter w:val="1"/>
          <w:wAfter w:w="25" w:type="dxa"/>
          <w:jc w:val="center"/>
        </w:trPr>
        <w:tc>
          <w:tcPr>
            <w:tcW w:w="709" w:type="dxa"/>
            <w:tcBorders>
              <w:top w:val="nil"/>
              <w:left w:val="single" w:sz="4" w:space="0" w:color="auto"/>
              <w:bottom w:val="single" w:sz="4" w:space="0" w:color="auto"/>
              <w:right w:val="single" w:sz="4" w:space="0" w:color="auto"/>
            </w:tcBorders>
            <w:shd w:val="clear" w:color="auto" w:fill="auto"/>
            <w:noWrap/>
            <w:vAlign w:val="center"/>
          </w:tcPr>
          <w:p w14:paraId="34C92993" w14:textId="639377BE" w:rsidR="00C95615" w:rsidRPr="00C2587D" w:rsidRDefault="006D10CF" w:rsidP="006478C2">
            <w:pPr>
              <w:spacing w:before="20" w:after="20"/>
              <w:jc w:val="center"/>
              <w:rPr>
                <w:rFonts w:cs="Arial"/>
                <w:sz w:val="20"/>
                <w:szCs w:val="20"/>
                <w:lang w:eastAsia="uk-UA"/>
              </w:rPr>
            </w:pPr>
            <w:r w:rsidRPr="00C2587D">
              <w:rPr>
                <w:rFonts w:cs="Arial"/>
                <w:sz w:val="20"/>
                <w:szCs w:val="20"/>
                <w:lang w:eastAsia="uk-UA"/>
              </w:rPr>
              <w:t>6.</w:t>
            </w:r>
          </w:p>
        </w:tc>
        <w:tc>
          <w:tcPr>
            <w:tcW w:w="3964" w:type="dxa"/>
            <w:tcBorders>
              <w:top w:val="nil"/>
              <w:left w:val="nil"/>
              <w:bottom w:val="single" w:sz="4" w:space="0" w:color="auto"/>
              <w:right w:val="single" w:sz="4" w:space="0" w:color="auto"/>
            </w:tcBorders>
            <w:shd w:val="clear" w:color="auto" w:fill="auto"/>
            <w:noWrap/>
            <w:vAlign w:val="bottom"/>
          </w:tcPr>
          <w:p w14:paraId="244CAD24" w14:textId="1C3B452B" w:rsidR="00C95615" w:rsidRPr="00C2587D" w:rsidRDefault="00C95615" w:rsidP="00C95615">
            <w:pPr>
              <w:spacing w:before="20" w:after="20"/>
              <w:jc w:val="both"/>
              <w:rPr>
                <w:rFonts w:cs="Arial"/>
                <w:bCs/>
                <w:sz w:val="20"/>
                <w:szCs w:val="20"/>
                <w:lang w:eastAsia="uk-UA"/>
              </w:rPr>
            </w:pPr>
            <w:r w:rsidRPr="00C2587D">
              <w:rPr>
                <w:rFonts w:cs="Arial"/>
                <w:bCs/>
                <w:sz w:val="20"/>
                <w:szCs w:val="20"/>
                <w:lang w:eastAsia="uk-UA"/>
              </w:rPr>
              <w:t>Актуалізація Інвестиційного паспорту Жмеринської міської територіальної громади</w:t>
            </w:r>
          </w:p>
        </w:tc>
        <w:tc>
          <w:tcPr>
            <w:tcW w:w="1191" w:type="dxa"/>
            <w:tcBorders>
              <w:top w:val="single" w:sz="4" w:space="0" w:color="auto"/>
              <w:left w:val="nil"/>
              <w:bottom w:val="single" w:sz="4" w:space="0" w:color="auto"/>
              <w:right w:val="single" w:sz="4" w:space="0" w:color="auto"/>
            </w:tcBorders>
            <w:shd w:val="clear" w:color="auto" w:fill="auto"/>
            <w:vAlign w:val="center"/>
          </w:tcPr>
          <w:p w14:paraId="2C9B1585" w14:textId="77777777" w:rsidR="00C95615" w:rsidRPr="00C2587D" w:rsidRDefault="00C95615" w:rsidP="002829A2">
            <w:pPr>
              <w:jc w:val="center"/>
              <w:rPr>
                <w:rFonts w:cs="Arial"/>
                <w:sz w:val="20"/>
                <w:szCs w:val="20"/>
                <w:lang w:eastAsia="it-IT"/>
              </w:rPr>
            </w:pPr>
          </w:p>
        </w:tc>
        <w:tc>
          <w:tcPr>
            <w:tcW w:w="1219" w:type="dxa"/>
            <w:tcBorders>
              <w:top w:val="single" w:sz="4" w:space="0" w:color="auto"/>
              <w:left w:val="nil"/>
              <w:bottom w:val="single" w:sz="4" w:space="0" w:color="auto"/>
              <w:right w:val="single" w:sz="4" w:space="0" w:color="auto"/>
            </w:tcBorders>
            <w:shd w:val="clear" w:color="auto" w:fill="auto"/>
            <w:vAlign w:val="center"/>
          </w:tcPr>
          <w:p w14:paraId="5495682E" w14:textId="28D93965" w:rsidR="00C95615" w:rsidRPr="00C2587D" w:rsidRDefault="00C95615" w:rsidP="002829A2">
            <w:pPr>
              <w:jc w:val="center"/>
              <w:rPr>
                <w:rFonts w:cs="Arial"/>
                <w:sz w:val="20"/>
                <w:szCs w:val="20"/>
                <w:lang w:eastAsia="it-IT"/>
              </w:rPr>
            </w:pPr>
            <w:r w:rsidRPr="00C2587D">
              <w:rPr>
                <w:rFonts w:cs="Arial"/>
                <w:sz w:val="20"/>
                <w:szCs w:val="20"/>
                <w:lang w:eastAsia="it-IT"/>
              </w:rPr>
              <w:t>300,0</w:t>
            </w:r>
          </w:p>
        </w:tc>
        <w:tc>
          <w:tcPr>
            <w:tcW w:w="1217" w:type="dxa"/>
            <w:tcBorders>
              <w:top w:val="single" w:sz="4" w:space="0" w:color="auto"/>
              <w:left w:val="nil"/>
              <w:bottom w:val="single" w:sz="4" w:space="0" w:color="auto"/>
              <w:right w:val="single" w:sz="4" w:space="0" w:color="auto"/>
            </w:tcBorders>
            <w:shd w:val="clear" w:color="auto" w:fill="auto"/>
            <w:vAlign w:val="center"/>
          </w:tcPr>
          <w:p w14:paraId="02CA96E3" w14:textId="77777777" w:rsidR="00C95615" w:rsidRPr="00C2587D" w:rsidRDefault="00C95615" w:rsidP="00C95615">
            <w:pPr>
              <w:jc w:val="center"/>
              <w:rPr>
                <w:rFonts w:cs="Arial"/>
                <w:bCs/>
                <w:sz w:val="20"/>
                <w:szCs w:val="20"/>
                <w:lang w:eastAsia="uk-UA"/>
              </w:rPr>
            </w:pPr>
          </w:p>
        </w:tc>
        <w:tc>
          <w:tcPr>
            <w:tcW w:w="1191" w:type="dxa"/>
            <w:tcBorders>
              <w:top w:val="single" w:sz="4" w:space="0" w:color="auto"/>
              <w:left w:val="nil"/>
              <w:bottom w:val="single" w:sz="4" w:space="0" w:color="auto"/>
              <w:right w:val="single" w:sz="4" w:space="0" w:color="auto"/>
            </w:tcBorders>
            <w:shd w:val="clear" w:color="auto" w:fill="auto"/>
            <w:vAlign w:val="center"/>
          </w:tcPr>
          <w:p w14:paraId="310B44B4" w14:textId="5EEABF48" w:rsidR="00C95615" w:rsidRPr="00C2587D" w:rsidRDefault="00C95615" w:rsidP="002829A2">
            <w:pPr>
              <w:jc w:val="center"/>
              <w:rPr>
                <w:rFonts w:cs="Arial"/>
                <w:sz w:val="20"/>
                <w:szCs w:val="20"/>
                <w:lang w:eastAsia="it-IT"/>
              </w:rPr>
            </w:pPr>
          </w:p>
        </w:tc>
        <w:tc>
          <w:tcPr>
            <w:tcW w:w="1165" w:type="dxa"/>
            <w:tcBorders>
              <w:top w:val="single" w:sz="4" w:space="0" w:color="auto"/>
              <w:left w:val="nil"/>
              <w:bottom w:val="single" w:sz="4" w:space="0" w:color="auto"/>
              <w:right w:val="single" w:sz="4" w:space="0" w:color="auto"/>
            </w:tcBorders>
            <w:vAlign w:val="center"/>
          </w:tcPr>
          <w:p w14:paraId="185776C0" w14:textId="307BA911" w:rsidR="00C95615" w:rsidRPr="00C2587D" w:rsidRDefault="00C95615" w:rsidP="002829A2">
            <w:pPr>
              <w:jc w:val="center"/>
              <w:rPr>
                <w:rFonts w:cs="Arial"/>
                <w:b/>
                <w:sz w:val="20"/>
                <w:szCs w:val="20"/>
                <w:lang w:eastAsia="it-IT"/>
              </w:rPr>
            </w:pPr>
            <w:r w:rsidRPr="00C2587D">
              <w:rPr>
                <w:rFonts w:cs="Arial"/>
                <w:b/>
                <w:sz w:val="20"/>
                <w:szCs w:val="20"/>
                <w:lang w:eastAsia="it-IT"/>
              </w:rPr>
              <w:t>300,0</w:t>
            </w:r>
          </w:p>
        </w:tc>
      </w:tr>
      <w:tr w:rsidR="005418DB" w:rsidRPr="00C2587D" w14:paraId="24C1B816" w14:textId="77777777" w:rsidTr="00C2587D">
        <w:trPr>
          <w:gridAfter w:val="1"/>
          <w:wAfter w:w="25" w:type="dxa"/>
          <w:trHeight w:val="473"/>
          <w:jc w:val="center"/>
        </w:trPr>
        <w:tc>
          <w:tcPr>
            <w:tcW w:w="709" w:type="dxa"/>
            <w:tcBorders>
              <w:top w:val="nil"/>
              <w:left w:val="single" w:sz="4" w:space="0" w:color="auto"/>
              <w:bottom w:val="single" w:sz="4" w:space="0" w:color="auto"/>
              <w:right w:val="single" w:sz="4" w:space="0" w:color="auto"/>
            </w:tcBorders>
            <w:shd w:val="clear" w:color="auto" w:fill="auto"/>
            <w:noWrap/>
            <w:vAlign w:val="center"/>
          </w:tcPr>
          <w:p w14:paraId="7A653A10" w14:textId="77777777" w:rsidR="005418DB" w:rsidRPr="00C2587D" w:rsidRDefault="005418DB" w:rsidP="006478C2">
            <w:pPr>
              <w:spacing w:before="20" w:after="20"/>
              <w:jc w:val="center"/>
              <w:rPr>
                <w:rFonts w:cs="Arial"/>
                <w:color w:val="FF0000"/>
                <w:sz w:val="20"/>
                <w:szCs w:val="20"/>
                <w:lang w:eastAsia="uk-UA"/>
              </w:rPr>
            </w:pPr>
          </w:p>
        </w:tc>
        <w:tc>
          <w:tcPr>
            <w:tcW w:w="3964" w:type="dxa"/>
            <w:tcBorders>
              <w:top w:val="nil"/>
              <w:left w:val="nil"/>
              <w:bottom w:val="single" w:sz="4" w:space="0" w:color="auto"/>
              <w:right w:val="single" w:sz="4" w:space="0" w:color="auto"/>
            </w:tcBorders>
            <w:shd w:val="clear" w:color="auto" w:fill="auto"/>
            <w:noWrap/>
            <w:vAlign w:val="center"/>
          </w:tcPr>
          <w:p w14:paraId="1871710D" w14:textId="42B563EE" w:rsidR="005418DB" w:rsidRPr="00C2587D" w:rsidRDefault="005418DB" w:rsidP="00C2587D">
            <w:pPr>
              <w:spacing w:before="20" w:after="20"/>
              <w:jc w:val="both"/>
              <w:rPr>
                <w:rFonts w:cs="Arial"/>
                <w:color w:val="FF0000"/>
                <w:sz w:val="20"/>
                <w:szCs w:val="20"/>
                <w:lang w:eastAsia="uk-UA"/>
              </w:rPr>
            </w:pPr>
            <w:r w:rsidRPr="00C2587D">
              <w:rPr>
                <w:rFonts w:cs="Arial"/>
                <w:b/>
                <w:bCs/>
                <w:sz w:val="20"/>
                <w:szCs w:val="20"/>
                <w:lang w:eastAsia="uk-UA"/>
              </w:rPr>
              <w:t>Всього по А.4.</w:t>
            </w:r>
            <w:r w:rsidR="00AD31B3" w:rsidRPr="00C2587D">
              <w:rPr>
                <w:rFonts w:cs="Arial"/>
                <w:b/>
                <w:sz w:val="20"/>
                <w:szCs w:val="20"/>
              </w:rPr>
              <w:t xml:space="preserve"> Ефективна інвестиційна політика та маркетинг  території</w:t>
            </w:r>
          </w:p>
        </w:tc>
        <w:tc>
          <w:tcPr>
            <w:tcW w:w="1191" w:type="dxa"/>
            <w:tcBorders>
              <w:top w:val="nil"/>
              <w:left w:val="nil"/>
              <w:bottom w:val="single" w:sz="4" w:space="0" w:color="auto"/>
              <w:right w:val="single" w:sz="4" w:space="0" w:color="auto"/>
            </w:tcBorders>
            <w:shd w:val="clear" w:color="auto" w:fill="auto"/>
            <w:vAlign w:val="center"/>
          </w:tcPr>
          <w:p w14:paraId="530AAF4D" w14:textId="372AEE60" w:rsidR="005418DB" w:rsidRPr="00C2587D" w:rsidRDefault="002A710D" w:rsidP="006D10CF">
            <w:pPr>
              <w:spacing w:before="20" w:after="20"/>
              <w:jc w:val="center"/>
              <w:rPr>
                <w:rFonts w:cs="Arial"/>
                <w:b/>
                <w:bCs/>
                <w:sz w:val="20"/>
                <w:szCs w:val="20"/>
                <w:lang w:eastAsia="uk-UA"/>
              </w:rPr>
            </w:pPr>
            <w:r w:rsidRPr="00C2587D">
              <w:rPr>
                <w:rFonts w:cs="Arial"/>
                <w:b/>
                <w:bCs/>
                <w:sz w:val="20"/>
                <w:szCs w:val="20"/>
                <w:lang w:eastAsia="uk-UA"/>
              </w:rPr>
              <w:t>1</w:t>
            </w:r>
            <w:r w:rsidR="006D10CF" w:rsidRPr="00C2587D">
              <w:rPr>
                <w:rFonts w:cs="Arial"/>
                <w:b/>
                <w:bCs/>
                <w:sz w:val="20"/>
                <w:szCs w:val="20"/>
                <w:lang w:eastAsia="uk-UA"/>
              </w:rPr>
              <w:t>6</w:t>
            </w:r>
            <w:r w:rsidR="00C2587D" w:rsidRPr="00C2587D">
              <w:rPr>
                <w:rFonts w:cs="Arial"/>
                <w:b/>
                <w:bCs/>
                <w:sz w:val="20"/>
                <w:szCs w:val="20"/>
                <w:lang w:eastAsia="uk-UA"/>
              </w:rPr>
              <w:t xml:space="preserve"> </w:t>
            </w:r>
            <w:r w:rsidR="006D10CF" w:rsidRPr="00C2587D">
              <w:rPr>
                <w:rFonts w:cs="Arial"/>
                <w:b/>
                <w:bCs/>
                <w:sz w:val="20"/>
                <w:szCs w:val="20"/>
                <w:lang w:eastAsia="uk-UA"/>
              </w:rPr>
              <w:t>20</w:t>
            </w:r>
            <w:r w:rsidR="00D122B2" w:rsidRPr="00C2587D">
              <w:rPr>
                <w:rFonts w:cs="Arial"/>
                <w:b/>
                <w:bCs/>
                <w:sz w:val="20"/>
                <w:szCs w:val="20"/>
                <w:lang w:eastAsia="uk-UA"/>
              </w:rPr>
              <w:t>2</w:t>
            </w:r>
            <w:r w:rsidRPr="00C2587D">
              <w:rPr>
                <w:rFonts w:cs="Arial"/>
                <w:b/>
                <w:bCs/>
                <w:sz w:val="20"/>
                <w:szCs w:val="20"/>
                <w:lang w:eastAsia="uk-UA"/>
              </w:rPr>
              <w:t>,9</w:t>
            </w:r>
          </w:p>
        </w:tc>
        <w:tc>
          <w:tcPr>
            <w:tcW w:w="1219" w:type="dxa"/>
            <w:tcBorders>
              <w:top w:val="nil"/>
              <w:left w:val="nil"/>
              <w:bottom w:val="single" w:sz="4" w:space="0" w:color="auto"/>
              <w:right w:val="single" w:sz="4" w:space="0" w:color="auto"/>
            </w:tcBorders>
            <w:shd w:val="clear" w:color="auto" w:fill="auto"/>
            <w:vAlign w:val="center"/>
          </w:tcPr>
          <w:p w14:paraId="5BF403EC" w14:textId="08181E0D" w:rsidR="005418DB" w:rsidRPr="00C2587D" w:rsidRDefault="006D10CF" w:rsidP="006D10CF">
            <w:pPr>
              <w:spacing w:before="20" w:after="20"/>
              <w:jc w:val="center"/>
              <w:rPr>
                <w:rFonts w:cs="Arial"/>
                <w:b/>
                <w:bCs/>
                <w:sz w:val="20"/>
                <w:szCs w:val="20"/>
                <w:lang w:eastAsia="uk-UA"/>
              </w:rPr>
            </w:pPr>
            <w:r w:rsidRPr="00C2587D">
              <w:rPr>
                <w:rFonts w:cs="Arial"/>
                <w:b/>
                <w:bCs/>
                <w:sz w:val="20"/>
                <w:szCs w:val="20"/>
                <w:lang w:eastAsia="uk-UA"/>
              </w:rPr>
              <w:t>189740,68</w:t>
            </w:r>
          </w:p>
        </w:tc>
        <w:tc>
          <w:tcPr>
            <w:tcW w:w="1217" w:type="dxa"/>
            <w:tcBorders>
              <w:top w:val="nil"/>
              <w:left w:val="nil"/>
              <w:bottom w:val="single" w:sz="4" w:space="0" w:color="auto"/>
              <w:right w:val="single" w:sz="4" w:space="0" w:color="auto"/>
            </w:tcBorders>
            <w:shd w:val="clear" w:color="auto" w:fill="auto"/>
            <w:vAlign w:val="center"/>
          </w:tcPr>
          <w:p w14:paraId="3B47649A" w14:textId="58806625" w:rsidR="005418DB" w:rsidRPr="00C2587D" w:rsidRDefault="002A710D" w:rsidP="006D10CF">
            <w:pPr>
              <w:spacing w:before="20" w:after="20"/>
              <w:jc w:val="center"/>
              <w:rPr>
                <w:rFonts w:cs="Arial"/>
                <w:b/>
                <w:bCs/>
                <w:sz w:val="20"/>
                <w:szCs w:val="20"/>
                <w:lang w:eastAsia="uk-UA"/>
              </w:rPr>
            </w:pPr>
            <w:r w:rsidRPr="00C2587D">
              <w:rPr>
                <w:rFonts w:cs="Arial"/>
                <w:b/>
                <w:bCs/>
                <w:sz w:val="20"/>
                <w:szCs w:val="20"/>
                <w:lang w:eastAsia="uk-UA"/>
              </w:rPr>
              <w:t>1</w:t>
            </w:r>
            <w:r w:rsidR="006D10CF" w:rsidRPr="00C2587D">
              <w:rPr>
                <w:rFonts w:cs="Arial"/>
                <w:b/>
                <w:bCs/>
                <w:sz w:val="20"/>
                <w:szCs w:val="20"/>
                <w:lang w:eastAsia="uk-UA"/>
              </w:rPr>
              <w:t>59119,72</w:t>
            </w:r>
          </w:p>
        </w:tc>
        <w:tc>
          <w:tcPr>
            <w:tcW w:w="1191" w:type="dxa"/>
            <w:tcBorders>
              <w:top w:val="nil"/>
              <w:left w:val="nil"/>
              <w:bottom w:val="single" w:sz="4" w:space="0" w:color="auto"/>
              <w:right w:val="single" w:sz="4" w:space="0" w:color="auto"/>
            </w:tcBorders>
            <w:shd w:val="clear" w:color="auto" w:fill="auto"/>
            <w:vAlign w:val="center"/>
          </w:tcPr>
          <w:p w14:paraId="3CEB490E" w14:textId="7ED57B5E" w:rsidR="005418DB" w:rsidRPr="00C2587D" w:rsidRDefault="003D4776" w:rsidP="005418DB">
            <w:pPr>
              <w:spacing w:before="20" w:after="20"/>
              <w:jc w:val="center"/>
              <w:rPr>
                <w:rFonts w:cs="Arial"/>
                <w:b/>
                <w:bCs/>
                <w:sz w:val="20"/>
                <w:szCs w:val="20"/>
                <w:lang w:eastAsia="uk-UA"/>
              </w:rPr>
            </w:pPr>
            <w:r w:rsidRPr="00C2587D">
              <w:rPr>
                <w:rFonts w:cs="Arial"/>
                <w:b/>
                <w:bCs/>
                <w:sz w:val="20"/>
                <w:szCs w:val="20"/>
                <w:lang w:eastAsia="uk-UA"/>
              </w:rPr>
              <w:t>132500,0</w:t>
            </w:r>
          </w:p>
        </w:tc>
        <w:tc>
          <w:tcPr>
            <w:tcW w:w="1165" w:type="dxa"/>
            <w:tcBorders>
              <w:top w:val="nil"/>
              <w:left w:val="nil"/>
              <w:bottom w:val="single" w:sz="4" w:space="0" w:color="auto"/>
              <w:right w:val="single" w:sz="4" w:space="0" w:color="auto"/>
            </w:tcBorders>
            <w:vAlign w:val="center"/>
          </w:tcPr>
          <w:p w14:paraId="295E6126" w14:textId="67E5CA31" w:rsidR="005418DB" w:rsidRPr="00C2587D" w:rsidRDefault="00F81121" w:rsidP="005418DB">
            <w:pPr>
              <w:spacing w:before="20" w:after="20"/>
              <w:jc w:val="center"/>
              <w:rPr>
                <w:rFonts w:cs="Arial"/>
                <w:b/>
                <w:bCs/>
                <w:sz w:val="20"/>
                <w:szCs w:val="20"/>
                <w:lang w:eastAsia="uk-UA"/>
              </w:rPr>
            </w:pPr>
            <w:r w:rsidRPr="00C2587D">
              <w:rPr>
                <w:rFonts w:cs="Arial"/>
                <w:b/>
                <w:bCs/>
                <w:sz w:val="20"/>
                <w:szCs w:val="20"/>
                <w:lang w:eastAsia="uk-UA"/>
              </w:rPr>
              <w:t>497563</w:t>
            </w:r>
            <w:r w:rsidR="003D4776" w:rsidRPr="00C2587D">
              <w:rPr>
                <w:rFonts w:cs="Arial"/>
                <w:b/>
                <w:bCs/>
                <w:sz w:val="20"/>
                <w:szCs w:val="20"/>
                <w:lang w:eastAsia="uk-UA"/>
              </w:rPr>
              <w:t>,3</w:t>
            </w:r>
          </w:p>
        </w:tc>
      </w:tr>
      <w:tr w:rsidR="005418DB" w:rsidRPr="00C2587D" w14:paraId="7C6E7D96" w14:textId="77777777" w:rsidTr="00987B8D">
        <w:trPr>
          <w:trHeight w:val="559"/>
          <w:jc w:val="center"/>
        </w:trPr>
        <w:tc>
          <w:tcPr>
            <w:tcW w:w="10681" w:type="dxa"/>
            <w:gridSpan w:val="8"/>
            <w:tcBorders>
              <w:top w:val="nil"/>
              <w:left w:val="single" w:sz="4" w:space="0" w:color="auto"/>
              <w:bottom w:val="single" w:sz="4" w:space="0" w:color="auto"/>
              <w:right w:val="single" w:sz="4" w:space="0" w:color="auto"/>
            </w:tcBorders>
            <w:shd w:val="clear" w:color="auto" w:fill="auto"/>
            <w:noWrap/>
            <w:vAlign w:val="center"/>
          </w:tcPr>
          <w:p w14:paraId="36BFF032" w14:textId="77777777" w:rsidR="005418DB" w:rsidRPr="00987B8D" w:rsidRDefault="005418DB" w:rsidP="005418DB">
            <w:pPr>
              <w:spacing w:before="20" w:after="20"/>
              <w:rPr>
                <w:rFonts w:cs="Arial"/>
                <w:b/>
                <w:bCs/>
                <w:i/>
                <w:iCs/>
                <w:sz w:val="20"/>
                <w:szCs w:val="20"/>
                <w:lang w:eastAsia="uk-UA"/>
              </w:rPr>
            </w:pPr>
            <w:r w:rsidRPr="00987B8D">
              <w:rPr>
                <w:rFonts w:cs="Arial"/>
                <w:b/>
                <w:bCs/>
                <w:i/>
                <w:iCs/>
                <w:sz w:val="20"/>
                <w:szCs w:val="20"/>
                <w:lang w:eastAsia="uk-UA"/>
              </w:rPr>
              <w:t>Стратегічна  ціль А.5. Регіональний туристичний, культурно-історичний центр</w:t>
            </w:r>
          </w:p>
        </w:tc>
      </w:tr>
      <w:tr w:rsidR="00B73D4F" w:rsidRPr="00C2587D" w14:paraId="3ACCEBBF" w14:textId="77777777" w:rsidTr="00C2587D">
        <w:trPr>
          <w:gridAfter w:val="1"/>
          <w:wAfter w:w="25" w:type="dxa"/>
          <w:jc w:val="center"/>
        </w:trPr>
        <w:tc>
          <w:tcPr>
            <w:tcW w:w="709" w:type="dxa"/>
            <w:tcBorders>
              <w:top w:val="nil"/>
              <w:left w:val="single" w:sz="4" w:space="0" w:color="auto"/>
              <w:bottom w:val="single" w:sz="4" w:space="0" w:color="auto"/>
              <w:right w:val="single" w:sz="4" w:space="0" w:color="auto"/>
            </w:tcBorders>
            <w:shd w:val="clear" w:color="auto" w:fill="auto"/>
            <w:noWrap/>
            <w:vAlign w:val="center"/>
          </w:tcPr>
          <w:p w14:paraId="57671A72" w14:textId="17D27EA3" w:rsidR="00B73D4F" w:rsidRPr="00C2587D" w:rsidRDefault="00B73D4F" w:rsidP="00B73D4F">
            <w:pPr>
              <w:spacing w:before="20" w:after="20"/>
              <w:jc w:val="center"/>
              <w:rPr>
                <w:rFonts w:cs="Arial"/>
                <w:sz w:val="20"/>
                <w:szCs w:val="20"/>
                <w:lang w:eastAsia="uk-UA"/>
              </w:rPr>
            </w:pPr>
            <w:r w:rsidRPr="00C2587D">
              <w:rPr>
                <w:rFonts w:cs="Arial"/>
                <w:sz w:val="20"/>
                <w:szCs w:val="20"/>
                <w:lang w:eastAsia="uk-UA"/>
              </w:rPr>
              <w:t>1.</w:t>
            </w:r>
          </w:p>
        </w:tc>
        <w:tc>
          <w:tcPr>
            <w:tcW w:w="3964" w:type="dxa"/>
            <w:tcBorders>
              <w:top w:val="nil"/>
              <w:left w:val="nil"/>
              <w:bottom w:val="single" w:sz="4" w:space="0" w:color="auto"/>
              <w:right w:val="single" w:sz="4" w:space="0" w:color="auto"/>
            </w:tcBorders>
            <w:shd w:val="clear" w:color="auto" w:fill="auto"/>
            <w:noWrap/>
            <w:vAlign w:val="center"/>
          </w:tcPr>
          <w:p w14:paraId="296E7A95" w14:textId="1B1B5E4B" w:rsidR="00B73D4F" w:rsidRPr="00C2587D" w:rsidRDefault="00B73D4F" w:rsidP="00C2587D">
            <w:pPr>
              <w:spacing w:before="40" w:after="40"/>
              <w:jc w:val="both"/>
              <w:rPr>
                <w:rFonts w:cs="Arial"/>
                <w:sz w:val="20"/>
                <w:szCs w:val="20"/>
                <w:lang w:eastAsia="it-IT"/>
              </w:rPr>
            </w:pPr>
            <w:r w:rsidRPr="00C2587D">
              <w:rPr>
                <w:rFonts w:cs="Arial"/>
                <w:sz w:val="20"/>
                <w:szCs w:val="20"/>
                <w:lang w:eastAsia="it-IT"/>
              </w:rPr>
              <w:t xml:space="preserve">«Кармелюків край: спадок нескореного духу» </w:t>
            </w:r>
          </w:p>
        </w:tc>
        <w:tc>
          <w:tcPr>
            <w:tcW w:w="1191" w:type="dxa"/>
            <w:tcBorders>
              <w:top w:val="single" w:sz="4" w:space="0" w:color="auto"/>
              <w:bottom w:val="single" w:sz="4" w:space="0" w:color="auto"/>
              <w:right w:val="single" w:sz="4" w:space="0" w:color="auto"/>
            </w:tcBorders>
            <w:vAlign w:val="center"/>
          </w:tcPr>
          <w:p w14:paraId="0E616094" w14:textId="1DA0A221" w:rsidR="00B73D4F" w:rsidRPr="00C2587D" w:rsidRDefault="00B73D4F" w:rsidP="00B73D4F">
            <w:pPr>
              <w:jc w:val="center"/>
              <w:rPr>
                <w:rFonts w:cs="Arial"/>
                <w:color w:val="000000"/>
                <w:sz w:val="20"/>
                <w:szCs w:val="20"/>
                <w:lang w:eastAsia="it-IT"/>
              </w:rPr>
            </w:pPr>
            <w:r w:rsidRPr="00C2587D">
              <w:rPr>
                <w:rFonts w:cs="Arial"/>
                <w:color w:val="000000"/>
                <w:sz w:val="20"/>
                <w:szCs w:val="20"/>
                <w:lang w:eastAsia="it-IT"/>
              </w:rPr>
              <w:t>217,0</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14:paraId="48C2B4F4" w14:textId="4A0F0644" w:rsidR="00B73D4F" w:rsidRPr="00C2587D" w:rsidRDefault="00B73D4F" w:rsidP="00B73D4F">
            <w:pPr>
              <w:jc w:val="center"/>
              <w:rPr>
                <w:rFonts w:cs="Arial"/>
                <w:color w:val="000000"/>
                <w:sz w:val="20"/>
                <w:szCs w:val="20"/>
                <w:lang w:eastAsia="it-IT"/>
              </w:rPr>
            </w:pPr>
            <w:r w:rsidRPr="00C2587D">
              <w:rPr>
                <w:rFonts w:cs="Arial"/>
                <w:color w:val="000000"/>
                <w:sz w:val="20"/>
                <w:szCs w:val="20"/>
                <w:lang w:eastAsia="it-IT"/>
              </w:rPr>
              <w:t>113,0</w:t>
            </w:r>
          </w:p>
        </w:tc>
        <w:tc>
          <w:tcPr>
            <w:tcW w:w="1217" w:type="dxa"/>
            <w:tcBorders>
              <w:top w:val="single" w:sz="4" w:space="0" w:color="auto"/>
              <w:left w:val="single" w:sz="4" w:space="0" w:color="auto"/>
              <w:bottom w:val="single" w:sz="4" w:space="0" w:color="auto"/>
              <w:right w:val="single" w:sz="4" w:space="0" w:color="auto"/>
            </w:tcBorders>
            <w:shd w:val="clear" w:color="auto" w:fill="auto"/>
            <w:vAlign w:val="center"/>
          </w:tcPr>
          <w:p w14:paraId="70A4CE67" w14:textId="130B3722" w:rsidR="00B73D4F" w:rsidRPr="00C2587D" w:rsidRDefault="00B73D4F" w:rsidP="00B73D4F">
            <w:pPr>
              <w:jc w:val="center"/>
              <w:rPr>
                <w:rFonts w:cs="Arial"/>
                <w:color w:val="000000"/>
                <w:sz w:val="20"/>
                <w:szCs w:val="20"/>
                <w:lang w:eastAsia="it-IT"/>
              </w:rPr>
            </w:pPr>
            <w:r w:rsidRPr="00C2587D">
              <w:rPr>
                <w:rFonts w:cs="Arial"/>
                <w:color w:val="000000"/>
                <w:sz w:val="20"/>
                <w:szCs w:val="20"/>
                <w:lang w:eastAsia="it-IT"/>
              </w:rPr>
              <w:t>150,0</w:t>
            </w:r>
          </w:p>
        </w:tc>
        <w:tc>
          <w:tcPr>
            <w:tcW w:w="1191" w:type="dxa"/>
            <w:tcBorders>
              <w:top w:val="single" w:sz="4" w:space="0" w:color="auto"/>
              <w:left w:val="single" w:sz="4" w:space="0" w:color="auto"/>
              <w:bottom w:val="single" w:sz="4" w:space="0" w:color="auto"/>
              <w:right w:val="single" w:sz="4" w:space="0" w:color="auto"/>
            </w:tcBorders>
            <w:shd w:val="clear" w:color="auto" w:fill="FFFFFF"/>
            <w:vAlign w:val="center"/>
          </w:tcPr>
          <w:p w14:paraId="7D8F367B" w14:textId="5793772E" w:rsidR="00B73D4F" w:rsidRPr="00C2587D" w:rsidRDefault="00B73D4F" w:rsidP="00B73D4F">
            <w:pPr>
              <w:jc w:val="center"/>
              <w:rPr>
                <w:rFonts w:cs="Arial"/>
                <w:color w:val="000000"/>
                <w:sz w:val="20"/>
                <w:szCs w:val="20"/>
                <w:lang w:eastAsia="it-IT"/>
              </w:rPr>
            </w:pPr>
            <w:r w:rsidRPr="00C2587D">
              <w:rPr>
                <w:rFonts w:cs="Arial"/>
                <w:color w:val="000000"/>
                <w:sz w:val="20"/>
                <w:szCs w:val="20"/>
                <w:lang w:eastAsia="it-IT"/>
              </w:rPr>
              <w:t>4000,0</w:t>
            </w:r>
          </w:p>
        </w:tc>
        <w:tc>
          <w:tcPr>
            <w:tcW w:w="1165" w:type="dxa"/>
            <w:tcBorders>
              <w:top w:val="single" w:sz="4" w:space="0" w:color="auto"/>
              <w:left w:val="single" w:sz="4" w:space="0" w:color="auto"/>
              <w:bottom w:val="single" w:sz="4" w:space="0" w:color="auto"/>
              <w:right w:val="single" w:sz="4" w:space="0" w:color="auto"/>
            </w:tcBorders>
            <w:shd w:val="clear" w:color="auto" w:fill="FFFFFF"/>
            <w:vAlign w:val="center"/>
          </w:tcPr>
          <w:p w14:paraId="7A2A10A1" w14:textId="4C27F0BF" w:rsidR="00B73D4F" w:rsidRPr="00C2587D" w:rsidRDefault="00B73D4F" w:rsidP="00B73D4F">
            <w:pPr>
              <w:jc w:val="center"/>
              <w:rPr>
                <w:rFonts w:cs="Arial"/>
                <w:b/>
                <w:color w:val="000000"/>
                <w:sz w:val="20"/>
                <w:szCs w:val="20"/>
                <w:lang w:eastAsia="it-IT"/>
              </w:rPr>
            </w:pPr>
            <w:r w:rsidRPr="00C2587D">
              <w:rPr>
                <w:rFonts w:cs="Arial"/>
                <w:b/>
                <w:color w:val="000000"/>
                <w:sz w:val="20"/>
                <w:szCs w:val="20"/>
                <w:lang w:eastAsia="it-IT"/>
              </w:rPr>
              <w:t>4480,0</w:t>
            </w:r>
          </w:p>
        </w:tc>
      </w:tr>
      <w:tr w:rsidR="00B73D4F" w:rsidRPr="00C2587D" w14:paraId="1D986F84" w14:textId="77777777" w:rsidTr="00C2587D">
        <w:trPr>
          <w:gridAfter w:val="1"/>
          <w:wAfter w:w="25" w:type="dxa"/>
          <w:jc w:val="center"/>
        </w:trPr>
        <w:tc>
          <w:tcPr>
            <w:tcW w:w="709" w:type="dxa"/>
            <w:tcBorders>
              <w:top w:val="nil"/>
              <w:left w:val="single" w:sz="4" w:space="0" w:color="auto"/>
              <w:bottom w:val="single" w:sz="4" w:space="0" w:color="auto"/>
              <w:right w:val="single" w:sz="4" w:space="0" w:color="auto"/>
            </w:tcBorders>
            <w:shd w:val="clear" w:color="auto" w:fill="auto"/>
            <w:noWrap/>
            <w:vAlign w:val="center"/>
          </w:tcPr>
          <w:p w14:paraId="35D4D203" w14:textId="0150FD79" w:rsidR="00B73D4F" w:rsidRPr="00C2587D" w:rsidRDefault="00B73D4F" w:rsidP="00B73D4F">
            <w:pPr>
              <w:spacing w:before="20" w:after="20"/>
              <w:jc w:val="center"/>
              <w:rPr>
                <w:rFonts w:cs="Arial"/>
                <w:sz w:val="20"/>
                <w:szCs w:val="20"/>
                <w:lang w:eastAsia="uk-UA"/>
              </w:rPr>
            </w:pPr>
            <w:r w:rsidRPr="00C2587D">
              <w:rPr>
                <w:rFonts w:cs="Arial"/>
                <w:sz w:val="20"/>
                <w:szCs w:val="20"/>
                <w:lang w:eastAsia="uk-UA"/>
              </w:rPr>
              <w:t>2.</w:t>
            </w:r>
          </w:p>
        </w:tc>
        <w:tc>
          <w:tcPr>
            <w:tcW w:w="3964" w:type="dxa"/>
            <w:tcBorders>
              <w:top w:val="nil"/>
              <w:left w:val="nil"/>
              <w:bottom w:val="single" w:sz="4" w:space="0" w:color="auto"/>
              <w:right w:val="single" w:sz="4" w:space="0" w:color="auto"/>
            </w:tcBorders>
            <w:shd w:val="clear" w:color="auto" w:fill="auto"/>
            <w:noWrap/>
            <w:vAlign w:val="center"/>
          </w:tcPr>
          <w:p w14:paraId="408993EF" w14:textId="2F663CD4" w:rsidR="00B73D4F" w:rsidRPr="00C2587D" w:rsidRDefault="00B73D4F" w:rsidP="00C2587D">
            <w:pPr>
              <w:spacing w:before="40" w:after="40"/>
              <w:jc w:val="both"/>
              <w:rPr>
                <w:rFonts w:cs="Arial"/>
                <w:sz w:val="20"/>
                <w:szCs w:val="20"/>
                <w:lang w:eastAsia="it-IT"/>
              </w:rPr>
            </w:pPr>
            <w:r w:rsidRPr="00C2587D">
              <w:rPr>
                <w:rFonts w:cs="Arial"/>
                <w:sz w:val="20"/>
                <w:szCs w:val="20"/>
                <w:lang w:eastAsia="it-IT"/>
              </w:rPr>
              <w:t>«Заповіт великого майстра: розвиток культурного туризму та музеєфікація спадщини М. Г. Маслюка»</w:t>
            </w:r>
          </w:p>
        </w:tc>
        <w:tc>
          <w:tcPr>
            <w:tcW w:w="1191" w:type="dxa"/>
            <w:tcBorders>
              <w:top w:val="single" w:sz="4" w:space="0" w:color="auto"/>
              <w:bottom w:val="single" w:sz="4" w:space="0" w:color="auto"/>
              <w:right w:val="single" w:sz="4" w:space="0" w:color="auto"/>
            </w:tcBorders>
            <w:vAlign w:val="center"/>
          </w:tcPr>
          <w:p w14:paraId="78FCFF4D" w14:textId="1E938B6F" w:rsidR="00B73D4F" w:rsidRPr="00C2587D" w:rsidRDefault="00B73D4F" w:rsidP="00B73D4F">
            <w:pPr>
              <w:jc w:val="center"/>
              <w:rPr>
                <w:rFonts w:cs="Arial"/>
                <w:color w:val="000000"/>
                <w:sz w:val="20"/>
                <w:szCs w:val="20"/>
                <w:lang w:eastAsia="it-IT"/>
              </w:rPr>
            </w:pPr>
            <w:r w:rsidRPr="00C2587D">
              <w:rPr>
                <w:rFonts w:cs="Arial"/>
                <w:color w:val="000000"/>
                <w:sz w:val="20"/>
                <w:szCs w:val="20"/>
                <w:lang w:eastAsia="it-IT"/>
              </w:rPr>
              <w:t>50,0</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14:paraId="1CDB381E" w14:textId="758C3B43" w:rsidR="00B73D4F" w:rsidRPr="00C2587D" w:rsidRDefault="00B73D4F" w:rsidP="00B73D4F">
            <w:pPr>
              <w:jc w:val="center"/>
              <w:rPr>
                <w:rFonts w:cs="Arial"/>
                <w:color w:val="000000"/>
                <w:sz w:val="20"/>
                <w:szCs w:val="20"/>
                <w:lang w:eastAsia="it-IT"/>
              </w:rPr>
            </w:pPr>
            <w:r w:rsidRPr="00C2587D">
              <w:rPr>
                <w:rFonts w:cs="Arial"/>
                <w:color w:val="000000"/>
                <w:sz w:val="20"/>
                <w:szCs w:val="20"/>
                <w:lang w:eastAsia="it-IT"/>
              </w:rPr>
              <w:t>150,0</w:t>
            </w:r>
          </w:p>
        </w:tc>
        <w:tc>
          <w:tcPr>
            <w:tcW w:w="1217" w:type="dxa"/>
            <w:tcBorders>
              <w:top w:val="single" w:sz="4" w:space="0" w:color="auto"/>
              <w:left w:val="single" w:sz="4" w:space="0" w:color="auto"/>
              <w:bottom w:val="single" w:sz="4" w:space="0" w:color="auto"/>
              <w:right w:val="single" w:sz="4" w:space="0" w:color="auto"/>
            </w:tcBorders>
            <w:shd w:val="clear" w:color="auto" w:fill="auto"/>
            <w:vAlign w:val="center"/>
          </w:tcPr>
          <w:p w14:paraId="21049637" w14:textId="31A64949" w:rsidR="00B73D4F" w:rsidRPr="00C2587D" w:rsidRDefault="00B73D4F" w:rsidP="00B73D4F">
            <w:pPr>
              <w:jc w:val="center"/>
              <w:rPr>
                <w:rFonts w:cs="Arial"/>
                <w:color w:val="000000"/>
                <w:sz w:val="20"/>
                <w:szCs w:val="20"/>
                <w:lang w:eastAsia="it-IT"/>
              </w:rPr>
            </w:pPr>
            <w:r w:rsidRPr="00C2587D">
              <w:rPr>
                <w:rFonts w:cs="Arial"/>
                <w:color w:val="000000"/>
                <w:sz w:val="20"/>
                <w:szCs w:val="20"/>
                <w:lang w:eastAsia="it-IT"/>
              </w:rPr>
              <w:t>140,0</w:t>
            </w:r>
          </w:p>
        </w:tc>
        <w:tc>
          <w:tcPr>
            <w:tcW w:w="1191" w:type="dxa"/>
            <w:tcBorders>
              <w:top w:val="single" w:sz="4" w:space="0" w:color="auto"/>
              <w:left w:val="single" w:sz="4" w:space="0" w:color="auto"/>
              <w:bottom w:val="single" w:sz="4" w:space="0" w:color="auto"/>
              <w:right w:val="single" w:sz="4" w:space="0" w:color="auto"/>
            </w:tcBorders>
            <w:shd w:val="clear" w:color="auto" w:fill="FFFFFF"/>
            <w:vAlign w:val="center"/>
          </w:tcPr>
          <w:p w14:paraId="4803821D" w14:textId="2DCE1506" w:rsidR="00B73D4F" w:rsidRPr="00C2587D" w:rsidRDefault="00B73D4F" w:rsidP="00B73D4F">
            <w:pPr>
              <w:jc w:val="center"/>
              <w:rPr>
                <w:rFonts w:cs="Arial"/>
                <w:color w:val="000000"/>
                <w:sz w:val="20"/>
                <w:szCs w:val="20"/>
                <w:lang w:eastAsia="it-IT"/>
              </w:rPr>
            </w:pPr>
            <w:r w:rsidRPr="00C2587D">
              <w:rPr>
                <w:rFonts w:cs="Arial"/>
                <w:color w:val="000000"/>
                <w:sz w:val="20"/>
                <w:szCs w:val="20"/>
                <w:lang w:eastAsia="it-IT"/>
              </w:rPr>
              <w:t>300,0</w:t>
            </w:r>
          </w:p>
        </w:tc>
        <w:tc>
          <w:tcPr>
            <w:tcW w:w="1165" w:type="dxa"/>
            <w:tcBorders>
              <w:top w:val="single" w:sz="4" w:space="0" w:color="auto"/>
              <w:left w:val="single" w:sz="4" w:space="0" w:color="auto"/>
              <w:bottom w:val="single" w:sz="4" w:space="0" w:color="auto"/>
              <w:right w:val="single" w:sz="4" w:space="0" w:color="auto"/>
            </w:tcBorders>
            <w:shd w:val="clear" w:color="auto" w:fill="FFFFFF"/>
            <w:vAlign w:val="center"/>
          </w:tcPr>
          <w:p w14:paraId="49A36CF9" w14:textId="3CF65B5D" w:rsidR="00B73D4F" w:rsidRPr="00C2587D" w:rsidRDefault="00B73D4F" w:rsidP="00B73D4F">
            <w:pPr>
              <w:jc w:val="center"/>
              <w:rPr>
                <w:rFonts w:cs="Arial"/>
                <w:b/>
                <w:color w:val="000000"/>
                <w:sz w:val="20"/>
                <w:szCs w:val="20"/>
                <w:lang w:eastAsia="it-IT"/>
              </w:rPr>
            </w:pPr>
            <w:r w:rsidRPr="00C2587D">
              <w:rPr>
                <w:rFonts w:cs="Arial"/>
                <w:b/>
                <w:color w:val="000000"/>
                <w:sz w:val="20"/>
                <w:szCs w:val="20"/>
                <w:lang w:eastAsia="it-IT"/>
              </w:rPr>
              <w:t>640,0</w:t>
            </w:r>
          </w:p>
        </w:tc>
      </w:tr>
      <w:tr w:rsidR="00B73D4F" w:rsidRPr="00C2587D" w14:paraId="76DCF42C" w14:textId="77777777" w:rsidTr="00C2587D">
        <w:trPr>
          <w:gridAfter w:val="1"/>
          <w:wAfter w:w="25" w:type="dxa"/>
          <w:jc w:val="center"/>
        </w:trPr>
        <w:tc>
          <w:tcPr>
            <w:tcW w:w="709" w:type="dxa"/>
            <w:tcBorders>
              <w:top w:val="nil"/>
              <w:left w:val="single" w:sz="4" w:space="0" w:color="auto"/>
              <w:bottom w:val="single" w:sz="4" w:space="0" w:color="auto"/>
              <w:right w:val="single" w:sz="4" w:space="0" w:color="auto"/>
            </w:tcBorders>
            <w:shd w:val="clear" w:color="auto" w:fill="auto"/>
            <w:noWrap/>
            <w:vAlign w:val="center"/>
          </w:tcPr>
          <w:p w14:paraId="6E8F0182" w14:textId="1B18BEA9" w:rsidR="00B73D4F" w:rsidRPr="00C2587D" w:rsidRDefault="00B73D4F" w:rsidP="00B73D4F">
            <w:pPr>
              <w:spacing w:before="20" w:after="20"/>
              <w:jc w:val="center"/>
              <w:rPr>
                <w:rFonts w:cs="Arial"/>
                <w:sz w:val="20"/>
                <w:szCs w:val="20"/>
                <w:lang w:eastAsia="uk-UA"/>
              </w:rPr>
            </w:pPr>
            <w:r w:rsidRPr="00C2587D">
              <w:rPr>
                <w:rFonts w:cs="Arial"/>
                <w:sz w:val="20"/>
                <w:szCs w:val="20"/>
                <w:lang w:eastAsia="uk-UA"/>
              </w:rPr>
              <w:t>3.</w:t>
            </w:r>
          </w:p>
        </w:tc>
        <w:tc>
          <w:tcPr>
            <w:tcW w:w="3964" w:type="dxa"/>
            <w:tcBorders>
              <w:top w:val="nil"/>
              <w:left w:val="nil"/>
              <w:bottom w:val="single" w:sz="4" w:space="0" w:color="auto"/>
              <w:right w:val="single" w:sz="4" w:space="0" w:color="auto"/>
            </w:tcBorders>
            <w:shd w:val="clear" w:color="auto" w:fill="auto"/>
            <w:noWrap/>
            <w:vAlign w:val="center"/>
          </w:tcPr>
          <w:p w14:paraId="7F39C206" w14:textId="17C83C06" w:rsidR="00B73D4F" w:rsidRPr="00C2587D" w:rsidRDefault="00B73D4F" w:rsidP="00C2587D">
            <w:pPr>
              <w:spacing w:before="40" w:after="40"/>
              <w:jc w:val="both"/>
              <w:rPr>
                <w:rFonts w:cs="Arial"/>
                <w:sz w:val="20"/>
                <w:szCs w:val="20"/>
                <w:lang w:eastAsia="it-IT"/>
              </w:rPr>
            </w:pPr>
            <w:r w:rsidRPr="00C2587D">
              <w:rPr>
                <w:rFonts w:cs="Arial"/>
                <w:sz w:val="20"/>
                <w:szCs w:val="20"/>
                <w:lang w:eastAsia="it-IT"/>
              </w:rPr>
              <w:t xml:space="preserve">Українська народна кухня – культурна спадщина нашого народу </w:t>
            </w:r>
          </w:p>
        </w:tc>
        <w:tc>
          <w:tcPr>
            <w:tcW w:w="1191" w:type="dxa"/>
            <w:tcBorders>
              <w:top w:val="single" w:sz="4" w:space="0" w:color="auto"/>
              <w:bottom w:val="single" w:sz="4" w:space="0" w:color="auto"/>
              <w:right w:val="single" w:sz="4" w:space="0" w:color="auto"/>
            </w:tcBorders>
            <w:vAlign w:val="center"/>
          </w:tcPr>
          <w:p w14:paraId="65D54C4D" w14:textId="285C51ED" w:rsidR="00B73D4F" w:rsidRPr="00C2587D" w:rsidRDefault="00B73D4F" w:rsidP="00B73D4F">
            <w:pPr>
              <w:jc w:val="center"/>
              <w:rPr>
                <w:rFonts w:cs="Arial"/>
                <w:color w:val="000000"/>
                <w:sz w:val="20"/>
                <w:szCs w:val="20"/>
                <w:lang w:eastAsia="it-IT"/>
              </w:rPr>
            </w:pP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14:paraId="42DD0402" w14:textId="4A90AD18" w:rsidR="00B73D4F" w:rsidRPr="00C2587D" w:rsidRDefault="00B73D4F" w:rsidP="00B73D4F">
            <w:pPr>
              <w:jc w:val="center"/>
              <w:rPr>
                <w:rFonts w:cs="Arial"/>
                <w:color w:val="000000"/>
                <w:sz w:val="20"/>
                <w:szCs w:val="20"/>
                <w:lang w:eastAsia="it-IT"/>
              </w:rPr>
            </w:pPr>
            <w:r w:rsidRPr="00C2587D">
              <w:rPr>
                <w:rFonts w:cs="Arial"/>
                <w:color w:val="000000"/>
                <w:sz w:val="20"/>
                <w:szCs w:val="20"/>
                <w:lang w:eastAsia="it-IT"/>
              </w:rPr>
              <w:t>45,0</w:t>
            </w:r>
          </w:p>
        </w:tc>
        <w:tc>
          <w:tcPr>
            <w:tcW w:w="1217" w:type="dxa"/>
            <w:tcBorders>
              <w:top w:val="single" w:sz="4" w:space="0" w:color="auto"/>
              <w:left w:val="single" w:sz="4" w:space="0" w:color="auto"/>
              <w:bottom w:val="single" w:sz="4" w:space="0" w:color="auto"/>
              <w:right w:val="single" w:sz="4" w:space="0" w:color="auto"/>
            </w:tcBorders>
            <w:shd w:val="clear" w:color="auto" w:fill="auto"/>
            <w:vAlign w:val="center"/>
          </w:tcPr>
          <w:p w14:paraId="33EF98FE" w14:textId="4D8F732F" w:rsidR="00B73D4F" w:rsidRPr="00C2587D" w:rsidRDefault="00B73D4F" w:rsidP="00B73D4F">
            <w:pPr>
              <w:jc w:val="center"/>
              <w:rPr>
                <w:rFonts w:cs="Arial"/>
                <w:color w:val="000000"/>
                <w:sz w:val="20"/>
                <w:szCs w:val="20"/>
                <w:lang w:eastAsia="it-IT"/>
              </w:rPr>
            </w:pPr>
            <w:r w:rsidRPr="00C2587D">
              <w:rPr>
                <w:rFonts w:cs="Arial"/>
                <w:color w:val="000000"/>
                <w:sz w:val="20"/>
                <w:szCs w:val="20"/>
                <w:lang w:eastAsia="it-IT"/>
              </w:rPr>
              <w:t>50,0</w:t>
            </w:r>
          </w:p>
        </w:tc>
        <w:tc>
          <w:tcPr>
            <w:tcW w:w="1191" w:type="dxa"/>
            <w:tcBorders>
              <w:top w:val="single" w:sz="4" w:space="0" w:color="auto"/>
              <w:left w:val="single" w:sz="4" w:space="0" w:color="auto"/>
              <w:bottom w:val="single" w:sz="4" w:space="0" w:color="auto"/>
              <w:right w:val="single" w:sz="4" w:space="0" w:color="auto"/>
            </w:tcBorders>
            <w:shd w:val="clear" w:color="auto" w:fill="FFFFFF"/>
            <w:vAlign w:val="center"/>
          </w:tcPr>
          <w:p w14:paraId="09CD2111" w14:textId="002E9D28" w:rsidR="00B73D4F" w:rsidRPr="00C2587D" w:rsidRDefault="00B73D4F" w:rsidP="00B73D4F">
            <w:pPr>
              <w:jc w:val="center"/>
              <w:rPr>
                <w:rFonts w:cs="Arial"/>
                <w:color w:val="000000"/>
                <w:sz w:val="20"/>
                <w:szCs w:val="20"/>
                <w:lang w:eastAsia="it-IT"/>
              </w:rPr>
            </w:pPr>
            <w:r w:rsidRPr="00C2587D">
              <w:rPr>
                <w:rFonts w:cs="Arial"/>
                <w:color w:val="000000"/>
                <w:sz w:val="20"/>
                <w:szCs w:val="20"/>
                <w:lang w:eastAsia="it-IT"/>
              </w:rPr>
              <w:t>56,0</w:t>
            </w:r>
          </w:p>
        </w:tc>
        <w:tc>
          <w:tcPr>
            <w:tcW w:w="1165" w:type="dxa"/>
            <w:tcBorders>
              <w:top w:val="single" w:sz="4" w:space="0" w:color="auto"/>
              <w:left w:val="single" w:sz="4" w:space="0" w:color="auto"/>
              <w:bottom w:val="single" w:sz="4" w:space="0" w:color="auto"/>
              <w:right w:val="single" w:sz="4" w:space="0" w:color="auto"/>
            </w:tcBorders>
            <w:shd w:val="clear" w:color="auto" w:fill="FFFFFF"/>
            <w:vAlign w:val="center"/>
          </w:tcPr>
          <w:p w14:paraId="1D7A4605" w14:textId="6A165E44" w:rsidR="00B73D4F" w:rsidRPr="00C2587D" w:rsidRDefault="00B73D4F" w:rsidP="00B73D4F">
            <w:pPr>
              <w:jc w:val="center"/>
              <w:rPr>
                <w:rFonts w:cs="Arial"/>
                <w:b/>
                <w:color w:val="000000"/>
                <w:sz w:val="20"/>
                <w:szCs w:val="20"/>
                <w:lang w:eastAsia="it-IT"/>
              </w:rPr>
            </w:pPr>
            <w:r w:rsidRPr="00C2587D">
              <w:rPr>
                <w:rFonts w:cs="Arial"/>
                <w:b/>
                <w:color w:val="000000"/>
                <w:sz w:val="20"/>
                <w:szCs w:val="20"/>
                <w:lang w:eastAsia="it-IT"/>
              </w:rPr>
              <w:t>151,0</w:t>
            </w:r>
          </w:p>
        </w:tc>
      </w:tr>
      <w:tr w:rsidR="00B73D4F" w:rsidRPr="00C2587D" w14:paraId="20DA43C3" w14:textId="77777777" w:rsidTr="00C2587D">
        <w:trPr>
          <w:gridAfter w:val="1"/>
          <w:wAfter w:w="25" w:type="dxa"/>
          <w:jc w:val="center"/>
        </w:trPr>
        <w:tc>
          <w:tcPr>
            <w:tcW w:w="709" w:type="dxa"/>
            <w:tcBorders>
              <w:top w:val="nil"/>
              <w:left w:val="single" w:sz="4" w:space="0" w:color="auto"/>
              <w:bottom w:val="single" w:sz="4" w:space="0" w:color="auto"/>
              <w:right w:val="single" w:sz="4" w:space="0" w:color="auto"/>
            </w:tcBorders>
            <w:shd w:val="clear" w:color="auto" w:fill="auto"/>
            <w:noWrap/>
            <w:vAlign w:val="center"/>
          </w:tcPr>
          <w:p w14:paraId="7BFAD35F" w14:textId="1F57199D" w:rsidR="00B73D4F" w:rsidRPr="00C2587D" w:rsidRDefault="00B73D4F" w:rsidP="00B73D4F">
            <w:pPr>
              <w:spacing w:before="20" w:after="20"/>
              <w:jc w:val="center"/>
              <w:rPr>
                <w:rFonts w:cs="Arial"/>
                <w:sz w:val="20"/>
                <w:szCs w:val="20"/>
                <w:lang w:eastAsia="uk-UA"/>
              </w:rPr>
            </w:pPr>
            <w:r w:rsidRPr="00C2587D">
              <w:rPr>
                <w:rFonts w:cs="Arial"/>
                <w:sz w:val="20"/>
                <w:szCs w:val="20"/>
                <w:lang w:eastAsia="uk-UA"/>
              </w:rPr>
              <w:t>4.</w:t>
            </w:r>
          </w:p>
        </w:tc>
        <w:tc>
          <w:tcPr>
            <w:tcW w:w="3964" w:type="dxa"/>
            <w:tcBorders>
              <w:top w:val="nil"/>
              <w:left w:val="nil"/>
              <w:bottom w:val="single" w:sz="4" w:space="0" w:color="auto"/>
              <w:right w:val="single" w:sz="4" w:space="0" w:color="auto"/>
            </w:tcBorders>
            <w:shd w:val="clear" w:color="auto" w:fill="auto"/>
            <w:noWrap/>
            <w:vAlign w:val="center"/>
          </w:tcPr>
          <w:p w14:paraId="608BDB18" w14:textId="1A804208" w:rsidR="00B73D4F" w:rsidRPr="00C2587D" w:rsidRDefault="00B73D4F" w:rsidP="00C2587D">
            <w:pPr>
              <w:spacing w:before="20" w:after="20"/>
              <w:jc w:val="both"/>
              <w:rPr>
                <w:rFonts w:cs="Arial"/>
                <w:color w:val="FF0000"/>
                <w:sz w:val="20"/>
                <w:szCs w:val="20"/>
                <w:lang w:eastAsia="uk-UA"/>
              </w:rPr>
            </w:pPr>
            <w:r w:rsidRPr="00C2587D">
              <w:rPr>
                <w:rFonts w:cs="Arial"/>
                <w:sz w:val="20"/>
                <w:szCs w:val="20"/>
                <w:lang w:eastAsia="it-IT"/>
              </w:rPr>
              <w:t>«Води живильної ковток – у чистоту Духовну крок»</w:t>
            </w:r>
          </w:p>
        </w:tc>
        <w:tc>
          <w:tcPr>
            <w:tcW w:w="1191" w:type="dxa"/>
            <w:tcBorders>
              <w:top w:val="single" w:sz="4" w:space="0" w:color="auto"/>
              <w:bottom w:val="single" w:sz="4" w:space="0" w:color="auto"/>
              <w:right w:val="single" w:sz="4" w:space="0" w:color="auto"/>
            </w:tcBorders>
            <w:vAlign w:val="center"/>
          </w:tcPr>
          <w:p w14:paraId="70612406" w14:textId="78BFC098" w:rsidR="00B73D4F" w:rsidRPr="00C2587D" w:rsidRDefault="00B73D4F" w:rsidP="00B73D4F">
            <w:pPr>
              <w:jc w:val="center"/>
              <w:rPr>
                <w:rFonts w:cs="Arial"/>
                <w:color w:val="000000"/>
                <w:sz w:val="20"/>
                <w:szCs w:val="20"/>
                <w:lang w:eastAsia="it-IT"/>
              </w:rPr>
            </w:pP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14:paraId="59AFE121" w14:textId="2B8660B3" w:rsidR="00B73D4F" w:rsidRPr="00C2587D" w:rsidRDefault="00B73D4F" w:rsidP="00B73D4F">
            <w:pPr>
              <w:jc w:val="center"/>
              <w:rPr>
                <w:rFonts w:cs="Arial"/>
                <w:sz w:val="20"/>
                <w:szCs w:val="20"/>
                <w:lang w:eastAsia="it-IT"/>
              </w:rPr>
            </w:pPr>
            <w:r w:rsidRPr="00C2587D">
              <w:rPr>
                <w:rFonts w:cs="Arial"/>
                <w:color w:val="000000"/>
                <w:sz w:val="20"/>
                <w:szCs w:val="20"/>
                <w:lang w:eastAsia="it-IT"/>
              </w:rPr>
              <w:t>200,0</w:t>
            </w:r>
          </w:p>
        </w:tc>
        <w:tc>
          <w:tcPr>
            <w:tcW w:w="1217" w:type="dxa"/>
            <w:tcBorders>
              <w:top w:val="single" w:sz="4" w:space="0" w:color="auto"/>
              <w:left w:val="single" w:sz="4" w:space="0" w:color="auto"/>
              <w:bottom w:val="single" w:sz="4" w:space="0" w:color="auto"/>
              <w:right w:val="single" w:sz="4" w:space="0" w:color="auto"/>
            </w:tcBorders>
            <w:shd w:val="clear" w:color="auto" w:fill="auto"/>
            <w:vAlign w:val="center"/>
          </w:tcPr>
          <w:p w14:paraId="4B5C9F01" w14:textId="597620E0" w:rsidR="00B73D4F" w:rsidRPr="00C2587D" w:rsidRDefault="00B73D4F" w:rsidP="00B73D4F">
            <w:pPr>
              <w:jc w:val="center"/>
              <w:rPr>
                <w:rFonts w:cs="Arial"/>
                <w:sz w:val="20"/>
                <w:szCs w:val="20"/>
                <w:lang w:eastAsia="it-IT"/>
              </w:rPr>
            </w:pPr>
            <w:r w:rsidRPr="00C2587D">
              <w:rPr>
                <w:rFonts w:cs="Arial"/>
                <w:color w:val="000000"/>
                <w:sz w:val="20"/>
                <w:szCs w:val="20"/>
                <w:lang w:eastAsia="it-IT"/>
              </w:rPr>
              <w:t>200,0</w:t>
            </w:r>
          </w:p>
        </w:tc>
        <w:tc>
          <w:tcPr>
            <w:tcW w:w="1191" w:type="dxa"/>
            <w:tcBorders>
              <w:top w:val="single" w:sz="4" w:space="0" w:color="auto"/>
              <w:left w:val="single" w:sz="4" w:space="0" w:color="auto"/>
              <w:bottom w:val="single" w:sz="4" w:space="0" w:color="auto"/>
              <w:right w:val="single" w:sz="4" w:space="0" w:color="auto"/>
            </w:tcBorders>
            <w:shd w:val="clear" w:color="auto" w:fill="FFFFFF"/>
            <w:vAlign w:val="center"/>
          </w:tcPr>
          <w:p w14:paraId="3B4CD868" w14:textId="35FEA2F1" w:rsidR="00B73D4F" w:rsidRPr="00C2587D" w:rsidRDefault="00B73D4F" w:rsidP="00B73D4F">
            <w:pPr>
              <w:jc w:val="center"/>
              <w:rPr>
                <w:rFonts w:cs="Arial"/>
                <w:sz w:val="20"/>
                <w:szCs w:val="20"/>
                <w:lang w:eastAsia="it-IT"/>
              </w:rPr>
            </w:pPr>
            <w:r w:rsidRPr="00C2587D">
              <w:rPr>
                <w:rFonts w:cs="Arial"/>
                <w:color w:val="000000"/>
                <w:sz w:val="20"/>
                <w:szCs w:val="20"/>
                <w:lang w:eastAsia="it-IT"/>
              </w:rPr>
              <w:t>200,0</w:t>
            </w:r>
          </w:p>
        </w:tc>
        <w:tc>
          <w:tcPr>
            <w:tcW w:w="1165" w:type="dxa"/>
            <w:tcBorders>
              <w:top w:val="single" w:sz="4" w:space="0" w:color="auto"/>
              <w:left w:val="single" w:sz="4" w:space="0" w:color="auto"/>
              <w:bottom w:val="single" w:sz="4" w:space="0" w:color="auto"/>
              <w:right w:val="single" w:sz="4" w:space="0" w:color="auto"/>
            </w:tcBorders>
            <w:shd w:val="clear" w:color="auto" w:fill="FFFFFF"/>
            <w:vAlign w:val="center"/>
          </w:tcPr>
          <w:p w14:paraId="0E16EEF7" w14:textId="7F3F5035" w:rsidR="00B73D4F" w:rsidRPr="00C2587D" w:rsidRDefault="00B73D4F" w:rsidP="00B73D4F">
            <w:pPr>
              <w:jc w:val="center"/>
              <w:rPr>
                <w:rFonts w:cs="Arial"/>
                <w:b/>
                <w:sz w:val="20"/>
                <w:szCs w:val="20"/>
                <w:lang w:eastAsia="it-IT"/>
              </w:rPr>
            </w:pPr>
            <w:r w:rsidRPr="00C2587D">
              <w:rPr>
                <w:rFonts w:cs="Arial"/>
                <w:b/>
                <w:color w:val="000000"/>
                <w:sz w:val="20"/>
                <w:szCs w:val="20"/>
                <w:lang w:eastAsia="it-IT"/>
              </w:rPr>
              <w:t>600,0</w:t>
            </w:r>
          </w:p>
        </w:tc>
      </w:tr>
      <w:tr w:rsidR="00B73D4F" w:rsidRPr="00C2587D" w14:paraId="7BE66749" w14:textId="77777777" w:rsidTr="00CA089A">
        <w:trPr>
          <w:gridAfter w:val="1"/>
          <w:wAfter w:w="25" w:type="dxa"/>
          <w:trHeight w:val="593"/>
          <w:jc w:val="center"/>
        </w:trPr>
        <w:tc>
          <w:tcPr>
            <w:tcW w:w="709" w:type="dxa"/>
            <w:tcBorders>
              <w:top w:val="nil"/>
              <w:left w:val="single" w:sz="4" w:space="0" w:color="auto"/>
              <w:bottom w:val="single" w:sz="4" w:space="0" w:color="auto"/>
              <w:right w:val="single" w:sz="4" w:space="0" w:color="auto"/>
            </w:tcBorders>
            <w:shd w:val="clear" w:color="auto" w:fill="auto"/>
            <w:noWrap/>
            <w:vAlign w:val="center"/>
          </w:tcPr>
          <w:p w14:paraId="091DCAF7" w14:textId="46290B89" w:rsidR="00B73D4F" w:rsidRPr="00C2587D" w:rsidRDefault="00B73D4F" w:rsidP="00B73D4F">
            <w:pPr>
              <w:spacing w:before="20" w:after="20"/>
              <w:jc w:val="center"/>
              <w:rPr>
                <w:rFonts w:cs="Arial"/>
                <w:sz w:val="20"/>
                <w:szCs w:val="20"/>
                <w:lang w:eastAsia="uk-UA"/>
              </w:rPr>
            </w:pPr>
            <w:r w:rsidRPr="00C2587D">
              <w:rPr>
                <w:rFonts w:cs="Arial"/>
                <w:sz w:val="20"/>
                <w:szCs w:val="20"/>
                <w:lang w:eastAsia="uk-UA"/>
              </w:rPr>
              <w:t>5.</w:t>
            </w:r>
          </w:p>
        </w:tc>
        <w:tc>
          <w:tcPr>
            <w:tcW w:w="3964" w:type="dxa"/>
            <w:tcBorders>
              <w:top w:val="nil"/>
              <w:left w:val="nil"/>
              <w:bottom w:val="single" w:sz="4" w:space="0" w:color="auto"/>
              <w:right w:val="single" w:sz="4" w:space="0" w:color="auto"/>
            </w:tcBorders>
            <w:shd w:val="clear" w:color="auto" w:fill="auto"/>
            <w:noWrap/>
            <w:vAlign w:val="center"/>
          </w:tcPr>
          <w:p w14:paraId="57002545" w14:textId="3794E7FF" w:rsidR="00B73D4F" w:rsidRPr="00C2587D" w:rsidRDefault="00B73D4F" w:rsidP="00CA089A">
            <w:pPr>
              <w:jc w:val="both"/>
              <w:rPr>
                <w:rFonts w:cs="Arial"/>
                <w:color w:val="FF0000"/>
                <w:sz w:val="20"/>
                <w:szCs w:val="20"/>
                <w:lang w:eastAsia="uk-UA"/>
              </w:rPr>
            </w:pPr>
            <w:r w:rsidRPr="00C2587D">
              <w:rPr>
                <w:lang w:eastAsia="it-IT"/>
              </w:rPr>
              <w:t>«Збереження історико-культурної спадщини Жмеринщини»</w:t>
            </w:r>
          </w:p>
        </w:tc>
        <w:tc>
          <w:tcPr>
            <w:tcW w:w="1191" w:type="dxa"/>
            <w:tcBorders>
              <w:top w:val="single" w:sz="4" w:space="0" w:color="auto"/>
              <w:bottom w:val="single" w:sz="4" w:space="0" w:color="auto"/>
              <w:right w:val="single" w:sz="4" w:space="0" w:color="auto"/>
            </w:tcBorders>
            <w:vAlign w:val="center"/>
          </w:tcPr>
          <w:p w14:paraId="3BA2A31B" w14:textId="6F4C7CB4" w:rsidR="00B73D4F" w:rsidRPr="00C2587D" w:rsidRDefault="00B73D4F" w:rsidP="00B73D4F">
            <w:pPr>
              <w:jc w:val="center"/>
              <w:rPr>
                <w:rFonts w:cs="Arial"/>
                <w:color w:val="000000"/>
                <w:sz w:val="20"/>
                <w:szCs w:val="20"/>
                <w:lang w:eastAsia="it-IT"/>
              </w:rPr>
            </w:pP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14:paraId="695810E2" w14:textId="77C3A951" w:rsidR="00B73D4F" w:rsidRPr="00C2587D" w:rsidRDefault="00B73D4F" w:rsidP="00B73D4F">
            <w:pPr>
              <w:jc w:val="center"/>
              <w:rPr>
                <w:rFonts w:cs="Arial"/>
                <w:color w:val="000000"/>
                <w:sz w:val="20"/>
                <w:szCs w:val="20"/>
                <w:lang w:eastAsia="it-IT"/>
              </w:rPr>
            </w:pPr>
            <w:r w:rsidRPr="00C2587D">
              <w:rPr>
                <w:rFonts w:cs="Arial"/>
                <w:color w:val="000000"/>
                <w:sz w:val="20"/>
                <w:szCs w:val="20"/>
                <w:lang w:eastAsia="it-IT"/>
              </w:rPr>
              <w:t>57,0</w:t>
            </w:r>
          </w:p>
        </w:tc>
        <w:tc>
          <w:tcPr>
            <w:tcW w:w="1217" w:type="dxa"/>
            <w:tcBorders>
              <w:top w:val="single" w:sz="4" w:space="0" w:color="auto"/>
              <w:left w:val="single" w:sz="4" w:space="0" w:color="auto"/>
              <w:bottom w:val="single" w:sz="4" w:space="0" w:color="auto"/>
              <w:right w:val="single" w:sz="4" w:space="0" w:color="auto"/>
            </w:tcBorders>
            <w:shd w:val="clear" w:color="auto" w:fill="auto"/>
            <w:vAlign w:val="center"/>
          </w:tcPr>
          <w:p w14:paraId="728C9247" w14:textId="3E652246" w:rsidR="00B73D4F" w:rsidRPr="00C2587D" w:rsidRDefault="00B73D4F" w:rsidP="00B73D4F">
            <w:pPr>
              <w:jc w:val="center"/>
              <w:rPr>
                <w:rFonts w:cs="Arial"/>
                <w:color w:val="000000"/>
                <w:sz w:val="20"/>
                <w:szCs w:val="20"/>
                <w:lang w:eastAsia="it-IT"/>
              </w:rPr>
            </w:pPr>
            <w:r w:rsidRPr="00C2587D">
              <w:rPr>
                <w:rFonts w:cs="Arial"/>
                <w:color w:val="000000"/>
                <w:sz w:val="20"/>
                <w:szCs w:val="20"/>
                <w:lang w:eastAsia="it-IT"/>
              </w:rPr>
              <w:t>50,0</w:t>
            </w:r>
          </w:p>
        </w:tc>
        <w:tc>
          <w:tcPr>
            <w:tcW w:w="1191" w:type="dxa"/>
            <w:tcBorders>
              <w:top w:val="single" w:sz="4" w:space="0" w:color="auto"/>
              <w:left w:val="single" w:sz="4" w:space="0" w:color="auto"/>
              <w:bottom w:val="single" w:sz="4" w:space="0" w:color="auto"/>
              <w:right w:val="single" w:sz="4" w:space="0" w:color="auto"/>
            </w:tcBorders>
            <w:shd w:val="clear" w:color="auto" w:fill="FFFFFF"/>
            <w:vAlign w:val="center"/>
          </w:tcPr>
          <w:p w14:paraId="15D4A861" w14:textId="6C5FB3DE" w:rsidR="00B73D4F" w:rsidRPr="00C2587D" w:rsidRDefault="00B73D4F" w:rsidP="00B73D4F">
            <w:pPr>
              <w:jc w:val="center"/>
              <w:rPr>
                <w:rFonts w:cs="Arial"/>
                <w:color w:val="000000"/>
                <w:sz w:val="20"/>
                <w:szCs w:val="20"/>
                <w:lang w:eastAsia="it-IT"/>
              </w:rPr>
            </w:pPr>
            <w:r w:rsidRPr="00C2587D">
              <w:rPr>
                <w:rFonts w:cs="Arial"/>
                <w:color w:val="000000"/>
                <w:sz w:val="20"/>
                <w:szCs w:val="20"/>
                <w:lang w:eastAsia="it-IT"/>
              </w:rPr>
              <w:t>100,0</w:t>
            </w:r>
          </w:p>
        </w:tc>
        <w:tc>
          <w:tcPr>
            <w:tcW w:w="1165" w:type="dxa"/>
            <w:tcBorders>
              <w:top w:val="single" w:sz="4" w:space="0" w:color="auto"/>
              <w:left w:val="single" w:sz="4" w:space="0" w:color="auto"/>
              <w:bottom w:val="single" w:sz="4" w:space="0" w:color="auto"/>
              <w:right w:val="single" w:sz="4" w:space="0" w:color="auto"/>
            </w:tcBorders>
            <w:shd w:val="clear" w:color="auto" w:fill="FFFFFF"/>
            <w:vAlign w:val="center"/>
          </w:tcPr>
          <w:p w14:paraId="1A4C4B03" w14:textId="24789AB5" w:rsidR="00B73D4F" w:rsidRPr="00C2587D" w:rsidRDefault="00B73D4F" w:rsidP="00B73D4F">
            <w:pPr>
              <w:jc w:val="center"/>
              <w:rPr>
                <w:rFonts w:cs="Arial"/>
                <w:b/>
                <w:color w:val="000000"/>
                <w:sz w:val="20"/>
                <w:szCs w:val="20"/>
                <w:lang w:eastAsia="it-IT"/>
              </w:rPr>
            </w:pPr>
            <w:r w:rsidRPr="00C2587D">
              <w:rPr>
                <w:rFonts w:cs="Arial"/>
                <w:b/>
                <w:color w:val="000000"/>
                <w:sz w:val="20"/>
                <w:szCs w:val="20"/>
                <w:lang w:eastAsia="it-IT"/>
              </w:rPr>
              <w:t>207,0</w:t>
            </w:r>
          </w:p>
        </w:tc>
      </w:tr>
      <w:tr w:rsidR="005418DB" w:rsidRPr="00C2587D" w14:paraId="16C18ABE" w14:textId="77777777" w:rsidTr="00C2587D">
        <w:trPr>
          <w:gridAfter w:val="1"/>
          <w:wAfter w:w="25" w:type="dxa"/>
          <w:trHeight w:val="410"/>
          <w:jc w:val="center"/>
        </w:trPr>
        <w:tc>
          <w:tcPr>
            <w:tcW w:w="709" w:type="dxa"/>
            <w:tcBorders>
              <w:top w:val="nil"/>
              <w:left w:val="single" w:sz="4" w:space="0" w:color="auto"/>
              <w:bottom w:val="single" w:sz="4" w:space="0" w:color="auto"/>
              <w:right w:val="single" w:sz="4" w:space="0" w:color="auto"/>
            </w:tcBorders>
            <w:shd w:val="clear" w:color="auto" w:fill="auto"/>
            <w:noWrap/>
            <w:vAlign w:val="center"/>
          </w:tcPr>
          <w:p w14:paraId="50B61055" w14:textId="77777777" w:rsidR="005418DB" w:rsidRPr="00C2587D" w:rsidRDefault="005418DB" w:rsidP="005418DB">
            <w:pPr>
              <w:spacing w:before="20" w:after="20"/>
              <w:jc w:val="center"/>
              <w:rPr>
                <w:rFonts w:cs="Arial"/>
                <w:color w:val="FF0000"/>
                <w:sz w:val="20"/>
                <w:szCs w:val="20"/>
                <w:lang w:eastAsia="uk-UA"/>
              </w:rPr>
            </w:pPr>
          </w:p>
        </w:tc>
        <w:tc>
          <w:tcPr>
            <w:tcW w:w="3964" w:type="dxa"/>
            <w:tcBorders>
              <w:top w:val="nil"/>
              <w:left w:val="nil"/>
              <w:bottom w:val="single" w:sz="4" w:space="0" w:color="auto"/>
              <w:right w:val="single" w:sz="4" w:space="0" w:color="auto"/>
            </w:tcBorders>
            <w:shd w:val="clear" w:color="auto" w:fill="auto"/>
            <w:noWrap/>
            <w:vAlign w:val="center"/>
          </w:tcPr>
          <w:p w14:paraId="739D7B3F" w14:textId="3824CB9E" w:rsidR="005418DB" w:rsidRPr="00C2587D" w:rsidRDefault="005418DB" w:rsidP="00C2587D">
            <w:pPr>
              <w:spacing w:before="20" w:after="20"/>
              <w:jc w:val="both"/>
              <w:rPr>
                <w:rFonts w:cs="Arial"/>
                <w:color w:val="FF0000"/>
                <w:sz w:val="20"/>
                <w:szCs w:val="20"/>
                <w:lang w:eastAsia="uk-UA"/>
              </w:rPr>
            </w:pPr>
            <w:r w:rsidRPr="00C2587D">
              <w:rPr>
                <w:rFonts w:cs="Arial"/>
                <w:b/>
                <w:bCs/>
                <w:sz w:val="20"/>
                <w:szCs w:val="20"/>
                <w:lang w:eastAsia="uk-UA"/>
              </w:rPr>
              <w:t>Всього по А.5.</w:t>
            </w:r>
            <w:r w:rsidR="00AD31B3" w:rsidRPr="00C2587D">
              <w:rPr>
                <w:rFonts w:cs="Arial"/>
                <w:b/>
                <w:bCs/>
                <w:iCs/>
                <w:sz w:val="20"/>
                <w:szCs w:val="20"/>
                <w:lang w:eastAsia="uk-UA"/>
              </w:rPr>
              <w:t xml:space="preserve"> Регіональний туристичний, культурно-історичний центр</w:t>
            </w:r>
          </w:p>
        </w:tc>
        <w:tc>
          <w:tcPr>
            <w:tcW w:w="1191" w:type="dxa"/>
            <w:tcBorders>
              <w:top w:val="single" w:sz="4" w:space="0" w:color="auto"/>
              <w:left w:val="nil"/>
              <w:bottom w:val="single" w:sz="4" w:space="0" w:color="auto"/>
              <w:right w:val="single" w:sz="4" w:space="0" w:color="auto"/>
            </w:tcBorders>
            <w:shd w:val="clear" w:color="auto" w:fill="auto"/>
            <w:vAlign w:val="center"/>
          </w:tcPr>
          <w:p w14:paraId="7B8E0F14" w14:textId="62DDF9AF" w:rsidR="005418DB" w:rsidRPr="00C2587D" w:rsidRDefault="00956315" w:rsidP="005418DB">
            <w:pPr>
              <w:spacing w:before="20" w:after="20"/>
              <w:jc w:val="center"/>
              <w:rPr>
                <w:rFonts w:cs="Arial"/>
                <w:b/>
                <w:bCs/>
                <w:sz w:val="20"/>
                <w:szCs w:val="20"/>
                <w:lang w:eastAsia="uk-UA"/>
              </w:rPr>
            </w:pPr>
            <w:r w:rsidRPr="00C2587D">
              <w:rPr>
                <w:rFonts w:cs="Arial"/>
                <w:b/>
                <w:bCs/>
                <w:sz w:val="20"/>
                <w:szCs w:val="20"/>
                <w:lang w:eastAsia="uk-UA"/>
              </w:rPr>
              <w:t>267,0</w:t>
            </w:r>
          </w:p>
        </w:tc>
        <w:tc>
          <w:tcPr>
            <w:tcW w:w="1219" w:type="dxa"/>
            <w:tcBorders>
              <w:top w:val="single" w:sz="4" w:space="0" w:color="auto"/>
              <w:left w:val="nil"/>
              <w:bottom w:val="single" w:sz="4" w:space="0" w:color="auto"/>
              <w:right w:val="single" w:sz="4" w:space="0" w:color="auto"/>
            </w:tcBorders>
            <w:shd w:val="clear" w:color="auto" w:fill="auto"/>
            <w:vAlign w:val="center"/>
          </w:tcPr>
          <w:p w14:paraId="13E56163" w14:textId="78C0905A" w:rsidR="005418DB" w:rsidRPr="00C2587D" w:rsidRDefault="00956315" w:rsidP="005418DB">
            <w:pPr>
              <w:spacing w:before="20" w:after="20"/>
              <w:jc w:val="center"/>
              <w:rPr>
                <w:rFonts w:cs="Arial"/>
                <w:b/>
                <w:bCs/>
                <w:sz w:val="20"/>
                <w:szCs w:val="20"/>
                <w:lang w:eastAsia="uk-UA"/>
              </w:rPr>
            </w:pPr>
            <w:r w:rsidRPr="00C2587D">
              <w:rPr>
                <w:rFonts w:cs="Arial"/>
                <w:b/>
                <w:bCs/>
                <w:sz w:val="20"/>
                <w:szCs w:val="20"/>
                <w:lang w:eastAsia="uk-UA"/>
              </w:rPr>
              <w:t>565,0</w:t>
            </w:r>
          </w:p>
        </w:tc>
        <w:tc>
          <w:tcPr>
            <w:tcW w:w="1217" w:type="dxa"/>
            <w:tcBorders>
              <w:top w:val="single" w:sz="4" w:space="0" w:color="auto"/>
              <w:left w:val="nil"/>
              <w:bottom w:val="single" w:sz="4" w:space="0" w:color="auto"/>
              <w:right w:val="single" w:sz="4" w:space="0" w:color="auto"/>
            </w:tcBorders>
            <w:shd w:val="clear" w:color="auto" w:fill="auto"/>
            <w:vAlign w:val="center"/>
          </w:tcPr>
          <w:p w14:paraId="61D5D4D3" w14:textId="653F9358" w:rsidR="005418DB" w:rsidRPr="00C2587D" w:rsidRDefault="00F81121" w:rsidP="005418DB">
            <w:pPr>
              <w:spacing w:before="20" w:after="20"/>
              <w:jc w:val="center"/>
              <w:rPr>
                <w:rFonts w:cs="Arial"/>
                <w:b/>
                <w:bCs/>
                <w:sz w:val="20"/>
                <w:szCs w:val="20"/>
                <w:lang w:eastAsia="uk-UA"/>
              </w:rPr>
            </w:pPr>
            <w:r w:rsidRPr="00C2587D">
              <w:rPr>
                <w:rFonts w:cs="Arial"/>
                <w:b/>
                <w:bCs/>
                <w:sz w:val="20"/>
                <w:szCs w:val="20"/>
                <w:lang w:eastAsia="uk-UA"/>
              </w:rPr>
              <w:t>59</w:t>
            </w:r>
            <w:r w:rsidR="00956315" w:rsidRPr="00C2587D">
              <w:rPr>
                <w:rFonts w:cs="Arial"/>
                <w:b/>
                <w:bCs/>
                <w:sz w:val="20"/>
                <w:szCs w:val="20"/>
                <w:lang w:eastAsia="uk-UA"/>
              </w:rPr>
              <w:t>0,0</w:t>
            </w:r>
          </w:p>
        </w:tc>
        <w:tc>
          <w:tcPr>
            <w:tcW w:w="1191" w:type="dxa"/>
            <w:tcBorders>
              <w:top w:val="single" w:sz="4" w:space="0" w:color="auto"/>
              <w:left w:val="nil"/>
              <w:bottom w:val="single" w:sz="4" w:space="0" w:color="auto"/>
              <w:right w:val="single" w:sz="4" w:space="0" w:color="auto"/>
            </w:tcBorders>
            <w:shd w:val="clear" w:color="auto" w:fill="auto"/>
            <w:vAlign w:val="center"/>
          </w:tcPr>
          <w:p w14:paraId="635295E4" w14:textId="7095D6C2" w:rsidR="005418DB" w:rsidRPr="00C2587D" w:rsidRDefault="00F81121" w:rsidP="005418DB">
            <w:pPr>
              <w:spacing w:before="20" w:after="20"/>
              <w:jc w:val="center"/>
              <w:rPr>
                <w:rFonts w:cs="Arial"/>
                <w:b/>
                <w:bCs/>
                <w:sz w:val="20"/>
                <w:szCs w:val="20"/>
                <w:lang w:eastAsia="uk-UA"/>
              </w:rPr>
            </w:pPr>
            <w:r w:rsidRPr="00C2587D">
              <w:rPr>
                <w:rFonts w:cs="Arial"/>
                <w:b/>
                <w:bCs/>
                <w:sz w:val="20"/>
                <w:szCs w:val="20"/>
                <w:lang w:eastAsia="uk-UA"/>
              </w:rPr>
              <w:t>4656</w:t>
            </w:r>
            <w:r w:rsidR="00956315" w:rsidRPr="00C2587D">
              <w:rPr>
                <w:rFonts w:cs="Arial"/>
                <w:b/>
                <w:bCs/>
                <w:sz w:val="20"/>
                <w:szCs w:val="20"/>
                <w:lang w:eastAsia="uk-UA"/>
              </w:rPr>
              <w:t>,0</w:t>
            </w:r>
          </w:p>
        </w:tc>
        <w:tc>
          <w:tcPr>
            <w:tcW w:w="1165" w:type="dxa"/>
            <w:tcBorders>
              <w:top w:val="single" w:sz="4" w:space="0" w:color="auto"/>
              <w:left w:val="nil"/>
              <w:bottom w:val="single" w:sz="4" w:space="0" w:color="auto"/>
              <w:right w:val="single" w:sz="4" w:space="0" w:color="auto"/>
            </w:tcBorders>
            <w:vAlign w:val="center"/>
          </w:tcPr>
          <w:p w14:paraId="724D339A" w14:textId="30056E27" w:rsidR="005418DB" w:rsidRPr="00C2587D" w:rsidRDefault="00F81121" w:rsidP="005418DB">
            <w:pPr>
              <w:spacing w:before="20" w:after="20"/>
              <w:jc w:val="center"/>
              <w:rPr>
                <w:rFonts w:cs="Arial"/>
                <w:b/>
                <w:bCs/>
                <w:sz w:val="20"/>
                <w:szCs w:val="20"/>
                <w:lang w:eastAsia="uk-UA"/>
              </w:rPr>
            </w:pPr>
            <w:r w:rsidRPr="00C2587D">
              <w:rPr>
                <w:rFonts w:cs="Arial"/>
                <w:b/>
                <w:bCs/>
                <w:sz w:val="20"/>
                <w:szCs w:val="20"/>
                <w:lang w:eastAsia="uk-UA"/>
              </w:rPr>
              <w:t>6078</w:t>
            </w:r>
            <w:r w:rsidR="00BB0E85" w:rsidRPr="00C2587D">
              <w:rPr>
                <w:rFonts w:cs="Arial"/>
                <w:b/>
                <w:bCs/>
                <w:sz w:val="20"/>
                <w:szCs w:val="20"/>
                <w:lang w:eastAsia="uk-UA"/>
              </w:rPr>
              <w:t>,0</w:t>
            </w:r>
          </w:p>
        </w:tc>
      </w:tr>
      <w:tr w:rsidR="005418DB" w:rsidRPr="00C2587D" w14:paraId="39B93B7D" w14:textId="77777777" w:rsidTr="00C2587D">
        <w:trPr>
          <w:gridAfter w:val="1"/>
          <w:wAfter w:w="25" w:type="dxa"/>
          <w:trHeight w:val="402"/>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9F44ECD" w14:textId="77777777" w:rsidR="005418DB" w:rsidRPr="00C2587D" w:rsidRDefault="005418DB" w:rsidP="005418DB">
            <w:pPr>
              <w:spacing w:before="20" w:after="20"/>
              <w:jc w:val="center"/>
              <w:rPr>
                <w:rFonts w:cs="Arial"/>
                <w:b/>
                <w:bCs/>
                <w:color w:val="FF0000"/>
                <w:sz w:val="20"/>
                <w:szCs w:val="20"/>
                <w:lang w:eastAsia="uk-UA"/>
              </w:rPr>
            </w:pPr>
          </w:p>
        </w:tc>
        <w:tc>
          <w:tcPr>
            <w:tcW w:w="3964" w:type="dxa"/>
            <w:tcBorders>
              <w:top w:val="nil"/>
              <w:left w:val="nil"/>
              <w:bottom w:val="single" w:sz="4" w:space="0" w:color="auto"/>
              <w:right w:val="single" w:sz="4" w:space="0" w:color="auto"/>
            </w:tcBorders>
            <w:shd w:val="clear" w:color="auto" w:fill="auto"/>
            <w:noWrap/>
            <w:vAlign w:val="center"/>
            <w:hideMark/>
          </w:tcPr>
          <w:p w14:paraId="4C7FD5A7" w14:textId="06A9B140" w:rsidR="005418DB" w:rsidRPr="00C2587D" w:rsidRDefault="005418DB" w:rsidP="00C2587D">
            <w:pPr>
              <w:spacing w:before="20" w:after="20"/>
              <w:jc w:val="both"/>
              <w:rPr>
                <w:rFonts w:cs="Arial"/>
                <w:b/>
                <w:bCs/>
                <w:color w:val="FF0000"/>
                <w:sz w:val="20"/>
                <w:szCs w:val="20"/>
                <w:lang w:eastAsia="uk-UA"/>
              </w:rPr>
            </w:pPr>
            <w:r w:rsidRPr="00C2587D">
              <w:rPr>
                <w:rFonts w:cs="Arial"/>
                <w:b/>
                <w:bCs/>
                <w:color w:val="FF0000"/>
                <w:sz w:val="20"/>
                <w:szCs w:val="20"/>
                <w:lang w:eastAsia="uk-UA"/>
              </w:rPr>
              <w:t> </w:t>
            </w:r>
            <w:r w:rsidR="00C2587D" w:rsidRPr="00C2587D">
              <w:rPr>
                <w:rFonts w:cs="Arial"/>
                <w:b/>
                <w:bCs/>
                <w:sz w:val="20"/>
                <w:szCs w:val="20"/>
                <w:lang w:eastAsia="uk-UA"/>
              </w:rPr>
              <w:t xml:space="preserve">ВСЬОГО по </w:t>
            </w:r>
            <w:r w:rsidRPr="00C2587D">
              <w:rPr>
                <w:rFonts w:cs="Arial"/>
                <w:b/>
                <w:bCs/>
                <w:sz w:val="20"/>
                <w:szCs w:val="20"/>
                <w:lang w:eastAsia="uk-UA"/>
              </w:rPr>
              <w:t>А</w:t>
            </w:r>
            <w:r w:rsidR="004965D6" w:rsidRPr="00C2587D">
              <w:rPr>
                <w:rFonts w:cs="Arial"/>
                <w:b/>
                <w:bCs/>
                <w:sz w:val="20"/>
                <w:szCs w:val="20"/>
                <w:lang w:eastAsia="uk-UA"/>
              </w:rPr>
              <w:t xml:space="preserve"> «Інвестиційно приваблива громада із розвиненим експортно - орієнтованим бізнесом»</w:t>
            </w:r>
          </w:p>
        </w:tc>
        <w:tc>
          <w:tcPr>
            <w:tcW w:w="1191" w:type="dxa"/>
            <w:tcBorders>
              <w:top w:val="nil"/>
              <w:left w:val="nil"/>
              <w:bottom w:val="single" w:sz="4" w:space="0" w:color="auto"/>
              <w:right w:val="single" w:sz="4" w:space="0" w:color="auto"/>
            </w:tcBorders>
            <w:shd w:val="clear" w:color="auto" w:fill="auto"/>
            <w:noWrap/>
            <w:vAlign w:val="center"/>
          </w:tcPr>
          <w:p w14:paraId="5F3456EF" w14:textId="01C15289" w:rsidR="005418DB" w:rsidRPr="00C2587D" w:rsidRDefault="0021481A" w:rsidP="0021481A">
            <w:pPr>
              <w:spacing w:before="20" w:after="20"/>
              <w:jc w:val="center"/>
              <w:rPr>
                <w:rFonts w:cs="Arial"/>
                <w:b/>
                <w:bCs/>
                <w:sz w:val="20"/>
                <w:szCs w:val="20"/>
                <w:lang w:eastAsia="uk-UA"/>
              </w:rPr>
            </w:pPr>
            <w:r w:rsidRPr="00C2587D">
              <w:rPr>
                <w:rFonts w:cs="Arial"/>
                <w:b/>
                <w:bCs/>
                <w:sz w:val="20"/>
                <w:szCs w:val="20"/>
                <w:lang w:eastAsia="uk-UA"/>
              </w:rPr>
              <w:t>18</w:t>
            </w:r>
            <w:r w:rsidR="008268C8" w:rsidRPr="00C2587D">
              <w:rPr>
                <w:rFonts w:cs="Arial"/>
                <w:b/>
                <w:bCs/>
                <w:sz w:val="20"/>
                <w:szCs w:val="20"/>
                <w:lang w:eastAsia="uk-UA"/>
              </w:rPr>
              <w:t> </w:t>
            </w:r>
            <w:r w:rsidRPr="00C2587D">
              <w:rPr>
                <w:rFonts w:cs="Arial"/>
                <w:b/>
                <w:bCs/>
                <w:sz w:val="20"/>
                <w:szCs w:val="20"/>
                <w:lang w:eastAsia="uk-UA"/>
              </w:rPr>
              <w:t>1</w:t>
            </w:r>
            <w:r w:rsidR="00D122B2" w:rsidRPr="00C2587D">
              <w:rPr>
                <w:rFonts w:cs="Arial"/>
                <w:b/>
                <w:bCs/>
                <w:sz w:val="20"/>
                <w:szCs w:val="20"/>
                <w:lang w:eastAsia="uk-UA"/>
              </w:rPr>
              <w:t>74</w:t>
            </w:r>
            <w:r w:rsidR="008268C8" w:rsidRPr="00C2587D">
              <w:rPr>
                <w:rFonts w:cs="Arial"/>
                <w:b/>
                <w:bCs/>
                <w:sz w:val="20"/>
                <w:szCs w:val="20"/>
                <w:lang w:eastAsia="uk-UA"/>
              </w:rPr>
              <w:t>,9</w:t>
            </w:r>
          </w:p>
        </w:tc>
        <w:tc>
          <w:tcPr>
            <w:tcW w:w="1219" w:type="dxa"/>
            <w:tcBorders>
              <w:top w:val="nil"/>
              <w:left w:val="nil"/>
              <w:bottom w:val="single" w:sz="4" w:space="0" w:color="auto"/>
              <w:right w:val="single" w:sz="4" w:space="0" w:color="auto"/>
            </w:tcBorders>
            <w:shd w:val="clear" w:color="auto" w:fill="auto"/>
            <w:noWrap/>
            <w:vAlign w:val="center"/>
          </w:tcPr>
          <w:p w14:paraId="75F804E9" w14:textId="4A34A3F6" w:rsidR="005418DB" w:rsidRPr="00C2587D" w:rsidRDefault="0046017F" w:rsidP="0021481A">
            <w:pPr>
              <w:spacing w:before="20" w:after="20"/>
              <w:jc w:val="center"/>
              <w:rPr>
                <w:rFonts w:cs="Arial"/>
                <w:b/>
                <w:bCs/>
                <w:sz w:val="20"/>
                <w:szCs w:val="20"/>
                <w:lang w:eastAsia="uk-UA"/>
              </w:rPr>
            </w:pPr>
            <w:r w:rsidRPr="00C2587D">
              <w:rPr>
                <w:rFonts w:cs="Arial"/>
                <w:b/>
                <w:bCs/>
                <w:sz w:val="20"/>
                <w:szCs w:val="20"/>
                <w:lang w:eastAsia="uk-UA"/>
              </w:rPr>
              <w:t>193</w:t>
            </w:r>
            <w:r w:rsidR="00C2587D" w:rsidRPr="00C2587D">
              <w:rPr>
                <w:rFonts w:cs="Arial"/>
                <w:b/>
                <w:bCs/>
                <w:sz w:val="20"/>
                <w:szCs w:val="20"/>
                <w:lang w:eastAsia="uk-UA"/>
              </w:rPr>
              <w:t xml:space="preserve"> </w:t>
            </w:r>
            <w:r w:rsidRPr="00C2587D">
              <w:rPr>
                <w:rFonts w:cs="Arial"/>
                <w:b/>
                <w:bCs/>
                <w:sz w:val="20"/>
                <w:szCs w:val="20"/>
                <w:lang w:eastAsia="uk-UA"/>
              </w:rPr>
              <w:t>1</w:t>
            </w:r>
            <w:r w:rsidR="0021481A" w:rsidRPr="00C2587D">
              <w:rPr>
                <w:rFonts w:cs="Arial"/>
                <w:b/>
                <w:bCs/>
                <w:sz w:val="20"/>
                <w:szCs w:val="20"/>
                <w:lang w:eastAsia="uk-UA"/>
              </w:rPr>
              <w:t>10,68</w:t>
            </w:r>
          </w:p>
        </w:tc>
        <w:tc>
          <w:tcPr>
            <w:tcW w:w="1217" w:type="dxa"/>
            <w:tcBorders>
              <w:top w:val="nil"/>
              <w:left w:val="nil"/>
              <w:bottom w:val="single" w:sz="4" w:space="0" w:color="auto"/>
              <w:right w:val="single" w:sz="4" w:space="0" w:color="auto"/>
            </w:tcBorders>
            <w:shd w:val="clear" w:color="auto" w:fill="auto"/>
            <w:noWrap/>
            <w:vAlign w:val="center"/>
          </w:tcPr>
          <w:p w14:paraId="46E142AC" w14:textId="50FEB61D" w:rsidR="005418DB" w:rsidRPr="00C2587D" w:rsidRDefault="0021481A" w:rsidP="00F81121">
            <w:pPr>
              <w:spacing w:before="20" w:after="20"/>
              <w:jc w:val="center"/>
              <w:rPr>
                <w:rFonts w:cs="Arial"/>
                <w:b/>
                <w:bCs/>
                <w:sz w:val="20"/>
                <w:szCs w:val="20"/>
                <w:lang w:eastAsia="uk-UA"/>
              </w:rPr>
            </w:pPr>
            <w:r w:rsidRPr="00C2587D">
              <w:rPr>
                <w:rFonts w:cs="Arial"/>
                <w:b/>
                <w:bCs/>
                <w:sz w:val="20"/>
                <w:szCs w:val="20"/>
                <w:lang w:eastAsia="uk-UA"/>
              </w:rPr>
              <w:t>161</w:t>
            </w:r>
            <w:r w:rsidR="00F81121" w:rsidRPr="00C2587D">
              <w:rPr>
                <w:rFonts w:cs="Arial"/>
                <w:b/>
                <w:bCs/>
                <w:sz w:val="20"/>
                <w:szCs w:val="20"/>
                <w:lang w:eastAsia="uk-UA"/>
              </w:rPr>
              <w:t xml:space="preserve"> 309</w:t>
            </w:r>
            <w:r w:rsidRPr="00C2587D">
              <w:rPr>
                <w:rFonts w:cs="Arial"/>
                <w:b/>
                <w:bCs/>
                <w:sz w:val="20"/>
                <w:szCs w:val="20"/>
                <w:lang w:eastAsia="uk-UA"/>
              </w:rPr>
              <w:t>,7</w:t>
            </w:r>
          </w:p>
        </w:tc>
        <w:tc>
          <w:tcPr>
            <w:tcW w:w="1191" w:type="dxa"/>
            <w:tcBorders>
              <w:top w:val="nil"/>
              <w:left w:val="nil"/>
              <w:bottom w:val="single" w:sz="4" w:space="0" w:color="auto"/>
              <w:right w:val="single" w:sz="4" w:space="0" w:color="auto"/>
            </w:tcBorders>
            <w:shd w:val="clear" w:color="auto" w:fill="auto"/>
            <w:noWrap/>
            <w:vAlign w:val="center"/>
          </w:tcPr>
          <w:p w14:paraId="4AC7AD34" w14:textId="22586A1A" w:rsidR="005418DB" w:rsidRPr="00C2587D" w:rsidRDefault="0021481A" w:rsidP="00F81121">
            <w:pPr>
              <w:spacing w:before="20" w:after="20"/>
              <w:jc w:val="center"/>
              <w:rPr>
                <w:rFonts w:cs="Arial"/>
                <w:b/>
                <w:bCs/>
                <w:sz w:val="20"/>
                <w:szCs w:val="20"/>
                <w:lang w:eastAsia="uk-UA"/>
              </w:rPr>
            </w:pPr>
            <w:r w:rsidRPr="00C2587D">
              <w:rPr>
                <w:rFonts w:cs="Arial"/>
                <w:b/>
                <w:bCs/>
                <w:sz w:val="20"/>
                <w:szCs w:val="20"/>
                <w:lang w:eastAsia="uk-UA"/>
              </w:rPr>
              <w:t>1</w:t>
            </w:r>
            <w:r w:rsidR="00F81121" w:rsidRPr="00C2587D">
              <w:rPr>
                <w:rFonts w:cs="Arial"/>
                <w:b/>
                <w:bCs/>
                <w:sz w:val="20"/>
                <w:szCs w:val="20"/>
                <w:lang w:eastAsia="uk-UA"/>
              </w:rPr>
              <w:t>38 53</w:t>
            </w:r>
            <w:r w:rsidRPr="00C2587D">
              <w:rPr>
                <w:rFonts w:cs="Arial"/>
                <w:b/>
                <w:bCs/>
                <w:sz w:val="20"/>
                <w:szCs w:val="20"/>
                <w:lang w:eastAsia="uk-UA"/>
              </w:rPr>
              <w:t>6,0</w:t>
            </w:r>
          </w:p>
        </w:tc>
        <w:tc>
          <w:tcPr>
            <w:tcW w:w="1165" w:type="dxa"/>
            <w:tcBorders>
              <w:top w:val="nil"/>
              <w:left w:val="nil"/>
              <w:bottom w:val="single" w:sz="4" w:space="0" w:color="auto"/>
              <w:right w:val="single" w:sz="4" w:space="0" w:color="auto"/>
            </w:tcBorders>
            <w:vAlign w:val="center"/>
          </w:tcPr>
          <w:p w14:paraId="694C933B" w14:textId="3458E2BA" w:rsidR="005418DB" w:rsidRPr="00C2587D" w:rsidRDefault="00F81121" w:rsidP="005418DB">
            <w:pPr>
              <w:spacing w:before="20" w:after="20"/>
              <w:jc w:val="center"/>
              <w:rPr>
                <w:rFonts w:cs="Arial"/>
                <w:b/>
                <w:bCs/>
                <w:sz w:val="20"/>
                <w:szCs w:val="20"/>
                <w:lang w:eastAsia="uk-UA"/>
              </w:rPr>
            </w:pPr>
            <w:r w:rsidRPr="00C2587D">
              <w:rPr>
                <w:rFonts w:cs="Arial"/>
                <w:b/>
                <w:bCs/>
                <w:sz w:val="20"/>
                <w:szCs w:val="20"/>
                <w:lang w:eastAsia="uk-UA"/>
              </w:rPr>
              <w:t>511 131,3</w:t>
            </w:r>
          </w:p>
        </w:tc>
      </w:tr>
    </w:tbl>
    <w:p w14:paraId="3BCD78E1" w14:textId="0F95A711" w:rsidR="009045B1" w:rsidRPr="00C2587D" w:rsidRDefault="009045B1" w:rsidP="007C45C7">
      <w:pPr>
        <w:jc w:val="both"/>
        <w:rPr>
          <w:lang w:eastAsia="uk-UA"/>
        </w:rPr>
      </w:pPr>
      <w:bookmarkStart w:id="27" w:name="_Toc1743581"/>
    </w:p>
    <w:p w14:paraId="7B36EC72" w14:textId="6E4BD190" w:rsidR="009045B1" w:rsidRPr="00C2587D" w:rsidRDefault="00682193" w:rsidP="007C45C7">
      <w:pPr>
        <w:jc w:val="both"/>
        <w:rPr>
          <w:lang w:eastAsia="uk-UA"/>
        </w:rPr>
      </w:pPr>
      <w:r>
        <w:rPr>
          <w:noProof/>
          <w:lang w:val="ru-RU"/>
        </w:rPr>
        <w:lastRenderedPageBreak/>
        <w:drawing>
          <wp:inline distT="0" distB="0" distL="0" distR="0" wp14:anchorId="41AE63DB" wp14:editId="25EBA960">
            <wp:extent cx="6272112" cy="3196424"/>
            <wp:effectExtent l="0" t="0" r="0" b="444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277375" cy="3199106"/>
                    </a:xfrm>
                    <a:prstGeom prst="rect">
                      <a:avLst/>
                    </a:prstGeom>
                    <a:noFill/>
                  </pic:spPr>
                </pic:pic>
              </a:graphicData>
            </a:graphic>
          </wp:inline>
        </w:drawing>
      </w:r>
    </w:p>
    <w:p w14:paraId="747C772F" w14:textId="77777777" w:rsidR="002D5D62" w:rsidRPr="00C2587D" w:rsidRDefault="002D5D62" w:rsidP="007C45C7">
      <w:pPr>
        <w:jc w:val="both"/>
        <w:rPr>
          <w:lang w:eastAsia="uk-UA"/>
        </w:rPr>
      </w:pPr>
    </w:p>
    <w:p w14:paraId="509A2316" w14:textId="77777777" w:rsidR="002D5D62" w:rsidRPr="00C2587D" w:rsidRDefault="002D5D62" w:rsidP="007C45C7">
      <w:pPr>
        <w:jc w:val="both"/>
        <w:rPr>
          <w:lang w:eastAsia="uk-UA"/>
        </w:rPr>
      </w:pPr>
    </w:p>
    <w:p w14:paraId="25A0818E" w14:textId="78A5E6D6" w:rsidR="00931676" w:rsidRPr="00BF4C16" w:rsidRDefault="007C45C7" w:rsidP="007C45C7">
      <w:pPr>
        <w:jc w:val="both"/>
        <w:rPr>
          <w:szCs w:val="18"/>
        </w:rPr>
      </w:pPr>
      <w:r w:rsidRPr="00BF4C16">
        <w:rPr>
          <w:szCs w:val="18"/>
        </w:rPr>
        <w:t xml:space="preserve">   </w:t>
      </w:r>
      <w:r w:rsidR="00A340F4" w:rsidRPr="00BF4C16">
        <w:rPr>
          <w:szCs w:val="18"/>
        </w:rPr>
        <w:t xml:space="preserve"> Рис.1. </w:t>
      </w:r>
      <w:r w:rsidR="00931676" w:rsidRPr="00BF4C16">
        <w:rPr>
          <w:szCs w:val="18"/>
        </w:rPr>
        <w:t>Графік порів</w:t>
      </w:r>
      <w:r w:rsidR="009045B1" w:rsidRPr="00BF4C16">
        <w:rPr>
          <w:szCs w:val="18"/>
        </w:rPr>
        <w:t>няння кількості та вартості проє</w:t>
      </w:r>
      <w:r w:rsidR="00931676" w:rsidRPr="00BF4C16">
        <w:rPr>
          <w:szCs w:val="18"/>
        </w:rPr>
        <w:t>ктів Програми Стратегічного напрямку А. «</w:t>
      </w:r>
      <w:r w:rsidR="008F2D95" w:rsidRPr="00BF4C16">
        <w:rPr>
          <w:szCs w:val="18"/>
        </w:rPr>
        <w:t>Інвестиційно приваблива громада із розвиненим експортно - орієнтованим бізнесом</w:t>
      </w:r>
      <w:r w:rsidR="00931676" w:rsidRPr="00BF4C16">
        <w:rPr>
          <w:szCs w:val="18"/>
        </w:rPr>
        <w:t>»</w:t>
      </w:r>
      <w:bookmarkEnd w:id="27"/>
    </w:p>
    <w:p w14:paraId="249A61B2" w14:textId="77777777" w:rsidR="00620F7D" w:rsidRPr="00C2587D" w:rsidRDefault="00620F7D" w:rsidP="007C45C7">
      <w:pPr>
        <w:jc w:val="both"/>
        <w:rPr>
          <w:i/>
          <w:sz w:val="18"/>
          <w:szCs w:val="18"/>
        </w:rPr>
      </w:pPr>
    </w:p>
    <w:p w14:paraId="465AC91C" w14:textId="1B7C321B" w:rsidR="00620F7D" w:rsidRPr="00C2587D" w:rsidRDefault="00620F7D" w:rsidP="00620F7D">
      <w:pPr>
        <w:keepNext/>
        <w:keepLines/>
        <w:tabs>
          <w:tab w:val="left" w:pos="567"/>
        </w:tabs>
        <w:spacing w:before="240" w:after="60"/>
        <w:ind w:left="567" w:hanging="567"/>
        <w:outlineLvl w:val="1"/>
        <w:rPr>
          <w:b/>
          <w:bCs/>
          <w:color w:val="455E63"/>
          <w:sz w:val="28"/>
          <w:szCs w:val="28"/>
          <w:lang w:eastAsia="en-US"/>
        </w:rPr>
      </w:pPr>
      <w:bookmarkStart w:id="28" w:name="_Toc1743583"/>
      <w:r w:rsidRPr="00C2587D">
        <w:rPr>
          <w:b/>
          <w:bCs/>
          <w:color w:val="455E63"/>
          <w:sz w:val="28"/>
          <w:szCs w:val="28"/>
          <w:lang w:eastAsia="en-US"/>
        </w:rPr>
        <w:t>3.2.</w:t>
      </w:r>
      <w:r w:rsidRPr="00C2587D">
        <w:rPr>
          <w:b/>
          <w:bCs/>
          <w:color w:val="455E63"/>
          <w:sz w:val="28"/>
          <w:szCs w:val="28"/>
          <w:lang w:eastAsia="en-US"/>
        </w:rPr>
        <w:tab/>
        <w:t xml:space="preserve">Програма Стратегічного напряму </w:t>
      </w:r>
      <w:bookmarkStart w:id="29" w:name="_Hlk75339061"/>
      <w:bookmarkEnd w:id="28"/>
      <w:r w:rsidRPr="00C2587D">
        <w:rPr>
          <w:b/>
          <w:bCs/>
          <w:color w:val="455E63"/>
          <w:sz w:val="28"/>
          <w:szCs w:val="28"/>
          <w:lang w:eastAsia="en-US"/>
        </w:rPr>
        <w:t xml:space="preserve">В. </w:t>
      </w:r>
      <w:r w:rsidR="002E705C">
        <w:rPr>
          <w:b/>
          <w:bCs/>
          <w:color w:val="455E63"/>
          <w:sz w:val="28"/>
          <w:szCs w:val="28"/>
          <w:lang w:eastAsia="en-US"/>
        </w:rPr>
        <w:t>«</w:t>
      </w:r>
      <w:r w:rsidRPr="00C2587D">
        <w:rPr>
          <w:b/>
          <w:bCs/>
          <w:color w:val="455E63"/>
          <w:sz w:val="28"/>
          <w:szCs w:val="28"/>
          <w:lang w:eastAsia="en-US"/>
        </w:rPr>
        <w:t>Комфортна громада</w:t>
      </w:r>
      <w:bookmarkEnd w:id="29"/>
      <w:r w:rsidR="00856FF1">
        <w:rPr>
          <w:b/>
          <w:bCs/>
          <w:color w:val="455E63"/>
          <w:sz w:val="28"/>
          <w:szCs w:val="28"/>
          <w:lang w:eastAsia="en-US"/>
        </w:rPr>
        <w:t>»</w:t>
      </w:r>
    </w:p>
    <w:p w14:paraId="23E20819" w14:textId="77777777" w:rsidR="00620F7D" w:rsidRPr="00C2587D" w:rsidRDefault="00620F7D" w:rsidP="00620F7D">
      <w:pPr>
        <w:spacing w:before="120"/>
        <w:ind w:firstLine="567"/>
        <w:jc w:val="both"/>
        <w:rPr>
          <w:rFonts w:cs="Arial"/>
          <w:szCs w:val="28"/>
        </w:rPr>
      </w:pPr>
      <w:r w:rsidRPr="00C2587D">
        <w:rPr>
          <w:rFonts w:cs="Arial"/>
          <w:szCs w:val="28"/>
        </w:rPr>
        <w:t>Основна мета Програми – покращення умов життя мешканців, туристів і гостей громади шляхом удосконалення  інфраструктури усіх населених пунктів громади та створення безпечного громадського простору.</w:t>
      </w:r>
    </w:p>
    <w:p w14:paraId="315D6127" w14:textId="77777777" w:rsidR="00620F7D" w:rsidRPr="00C2587D" w:rsidRDefault="00620F7D" w:rsidP="00620F7D">
      <w:pPr>
        <w:spacing w:before="120"/>
        <w:ind w:firstLine="567"/>
        <w:jc w:val="both"/>
        <w:rPr>
          <w:rFonts w:cs="Arial"/>
          <w:szCs w:val="28"/>
        </w:rPr>
      </w:pPr>
      <w:r w:rsidRPr="00C2587D">
        <w:rPr>
          <w:rFonts w:cs="Arial"/>
          <w:szCs w:val="28"/>
        </w:rPr>
        <w:t>Програма В відповідає Стратегічному напряму розвитку  «</w:t>
      </w:r>
      <w:r w:rsidRPr="00C2587D">
        <w:t>Комфортна громада</w:t>
      </w:r>
      <w:r w:rsidRPr="00C2587D">
        <w:rPr>
          <w:rFonts w:cs="Arial"/>
          <w:szCs w:val="28"/>
        </w:rPr>
        <w:t>».</w:t>
      </w:r>
    </w:p>
    <w:p w14:paraId="6664E63D" w14:textId="64E67119" w:rsidR="00620F7D" w:rsidRPr="00C2587D" w:rsidRDefault="00620F7D" w:rsidP="00620F7D">
      <w:pPr>
        <w:spacing w:before="120"/>
        <w:ind w:firstLine="567"/>
        <w:jc w:val="both"/>
        <w:rPr>
          <w:rFonts w:cs="Arial"/>
          <w:szCs w:val="28"/>
        </w:rPr>
      </w:pPr>
      <w:r w:rsidRPr="00C2587D">
        <w:rPr>
          <w:rFonts w:cs="Arial"/>
          <w:szCs w:val="28"/>
        </w:rPr>
        <w:t xml:space="preserve">Для досягнення цієї цілі у період 2025-2028 років передбачається реалізувати 4 відповідних стратегічних цілі та зазначені </w:t>
      </w:r>
      <w:r w:rsidR="00314B9D">
        <w:rPr>
          <w:rFonts w:cs="Arial"/>
          <w:szCs w:val="28"/>
        </w:rPr>
        <w:t>проєкт</w:t>
      </w:r>
      <w:r w:rsidRPr="00C2587D">
        <w:rPr>
          <w:rFonts w:cs="Arial"/>
          <w:szCs w:val="28"/>
        </w:rPr>
        <w:t>и.</w:t>
      </w:r>
    </w:p>
    <w:p w14:paraId="47E1A088" w14:textId="2E672699" w:rsidR="00620F7D" w:rsidRPr="00C2587D" w:rsidRDefault="00620F7D" w:rsidP="00620F7D">
      <w:pPr>
        <w:spacing w:before="120"/>
        <w:ind w:firstLine="567"/>
        <w:jc w:val="both"/>
        <w:rPr>
          <w:rFonts w:cs="Arial"/>
          <w:szCs w:val="28"/>
        </w:rPr>
      </w:pPr>
      <w:r w:rsidRPr="00C2587D">
        <w:rPr>
          <w:rFonts w:cs="Arial"/>
          <w:szCs w:val="28"/>
        </w:rPr>
        <w:t>Програма «</w:t>
      </w:r>
      <w:r w:rsidRPr="00C2587D">
        <w:t>Комфортна громада</w:t>
      </w:r>
      <w:r w:rsidRPr="00C2587D">
        <w:rPr>
          <w:rFonts w:cs="Arial"/>
          <w:szCs w:val="28"/>
        </w:rPr>
        <w:t>» добре координується з програмами «</w:t>
      </w:r>
      <w:r w:rsidRPr="00C2587D">
        <w:rPr>
          <w:rFonts w:cs="Arial"/>
          <w:bCs/>
          <w:iCs/>
        </w:rPr>
        <w:t>Інвестиційна приваблива громада із розвиненим експортно-орієнтованим бізнесом</w:t>
      </w:r>
      <w:r w:rsidRPr="00C2587D">
        <w:rPr>
          <w:rFonts w:cs="Arial"/>
          <w:szCs w:val="28"/>
        </w:rPr>
        <w:t xml:space="preserve">» (Програма А) та </w:t>
      </w:r>
      <w:r w:rsidR="00BC53DB">
        <w:rPr>
          <w:rFonts w:cs="Arial"/>
          <w:szCs w:val="28"/>
        </w:rPr>
        <w:t>«Доступна громада» (Програма С)</w:t>
      </w:r>
      <w:r w:rsidRPr="00C2587D">
        <w:rPr>
          <w:rFonts w:cs="Arial"/>
          <w:szCs w:val="28"/>
        </w:rPr>
        <w:t>.</w:t>
      </w:r>
    </w:p>
    <w:p w14:paraId="35D84A3D" w14:textId="77777777" w:rsidR="00620F7D" w:rsidRPr="00C2587D" w:rsidRDefault="00620F7D" w:rsidP="00620F7D">
      <w:pPr>
        <w:spacing w:before="120"/>
        <w:ind w:firstLine="567"/>
        <w:jc w:val="both"/>
        <w:rPr>
          <w:rFonts w:cs="Arial"/>
          <w:b/>
          <w:i/>
          <w:color w:val="455E63"/>
          <w:sz w:val="24"/>
          <w:szCs w:val="28"/>
        </w:rPr>
      </w:pPr>
      <w:r w:rsidRPr="00C2587D">
        <w:rPr>
          <w:rFonts w:cs="Arial"/>
          <w:b/>
          <w:i/>
          <w:color w:val="455E63"/>
          <w:sz w:val="24"/>
          <w:szCs w:val="28"/>
        </w:rPr>
        <w:t>Структура Програми</w:t>
      </w:r>
    </w:p>
    <w:p w14:paraId="45A4CEEA" w14:textId="147E6E3B" w:rsidR="00620F7D" w:rsidRPr="00C2587D" w:rsidRDefault="00620F7D" w:rsidP="00620F7D">
      <w:pPr>
        <w:spacing w:before="120"/>
        <w:ind w:firstLine="567"/>
        <w:jc w:val="both"/>
        <w:rPr>
          <w:rFonts w:cs="Arial"/>
          <w:szCs w:val="28"/>
        </w:rPr>
      </w:pPr>
      <w:r w:rsidRPr="00C2587D">
        <w:rPr>
          <w:rFonts w:cs="Arial"/>
          <w:szCs w:val="28"/>
        </w:rPr>
        <w:t xml:space="preserve">В основу програми входять </w:t>
      </w:r>
      <w:r w:rsidR="00314B9D">
        <w:rPr>
          <w:rFonts w:cs="Arial"/>
          <w:szCs w:val="28"/>
        </w:rPr>
        <w:t>проєкт</w:t>
      </w:r>
      <w:r w:rsidRPr="00C2587D">
        <w:rPr>
          <w:rFonts w:cs="Arial"/>
          <w:szCs w:val="28"/>
        </w:rPr>
        <w:t xml:space="preserve">ні ідеї, відібрані та доопрацьовані робочою групою на основі пропозицій, що надійшли від підприємств, установ та організацій громади, структурних підрозділів міської ради, представників бізнесу, громадських організацій та населення. </w:t>
      </w:r>
    </w:p>
    <w:p w14:paraId="5EA2CF28" w14:textId="1D04DEB9" w:rsidR="00620F7D" w:rsidRPr="00C2587D" w:rsidRDefault="00620F7D" w:rsidP="00620F7D">
      <w:pPr>
        <w:spacing w:before="120"/>
        <w:jc w:val="both"/>
        <w:rPr>
          <w:rFonts w:cs="Arial"/>
          <w:szCs w:val="28"/>
        </w:rPr>
      </w:pPr>
      <w:r w:rsidRPr="00C2587D">
        <w:rPr>
          <w:rFonts w:cs="Arial"/>
          <w:szCs w:val="28"/>
        </w:rPr>
        <w:t>Програма складається з чо</w:t>
      </w:r>
      <w:r w:rsidR="00BC53DB">
        <w:rPr>
          <w:rFonts w:cs="Arial"/>
          <w:szCs w:val="28"/>
        </w:rPr>
        <w:t>тирьох стратегічних цілей, які охоплюють</w:t>
      </w:r>
      <w:r w:rsidRPr="00C2587D">
        <w:rPr>
          <w:rFonts w:cs="Arial"/>
          <w:szCs w:val="28"/>
        </w:rPr>
        <w:t>:</w:t>
      </w:r>
    </w:p>
    <w:tbl>
      <w:tblPr>
        <w:tblW w:w="9089" w:type="dxa"/>
        <w:tblInd w:w="108" w:type="dxa"/>
        <w:tblLook w:val="04A0" w:firstRow="1" w:lastRow="0" w:firstColumn="1" w:lastColumn="0" w:noHBand="0" w:noVBand="1"/>
      </w:tblPr>
      <w:tblGrid>
        <w:gridCol w:w="9089"/>
      </w:tblGrid>
      <w:tr w:rsidR="00620F7D" w:rsidRPr="00C2587D" w14:paraId="316E2D5F" w14:textId="77777777" w:rsidTr="00620F7D">
        <w:tc>
          <w:tcPr>
            <w:tcW w:w="9089" w:type="dxa"/>
            <w:shd w:val="clear" w:color="auto" w:fill="auto"/>
          </w:tcPr>
          <w:p w14:paraId="26F21DCE" w14:textId="77777777" w:rsidR="00620F7D" w:rsidRPr="00C2587D" w:rsidRDefault="00620F7D" w:rsidP="00150BEC">
            <w:pPr>
              <w:numPr>
                <w:ilvl w:val="0"/>
                <w:numId w:val="7"/>
              </w:numPr>
              <w:tabs>
                <w:tab w:val="left" w:pos="372"/>
              </w:tabs>
              <w:suppressAutoHyphens/>
              <w:spacing w:before="120"/>
              <w:rPr>
                <w:rFonts w:eastAsia="Lucida Sans Unicode" w:cs="Arial"/>
                <w:iCs/>
                <w:kern w:val="1"/>
                <w:szCs w:val="20"/>
                <w:lang w:eastAsia="ar-SA"/>
              </w:rPr>
            </w:pPr>
            <w:bookmarkStart w:id="30" w:name="_Hlk75339281"/>
            <w:r w:rsidRPr="00C2587D">
              <w:rPr>
                <w:rFonts w:eastAsia="Lucida Sans Unicode" w:cs="Arial"/>
                <w:iCs/>
                <w:kern w:val="1"/>
                <w:szCs w:val="20"/>
                <w:lang w:eastAsia="ar-SA"/>
              </w:rPr>
              <w:t>В.1. Покращення технічної інфраструктури та благоустрою громади;</w:t>
            </w:r>
          </w:p>
        </w:tc>
      </w:tr>
      <w:tr w:rsidR="00620F7D" w:rsidRPr="00C2587D" w14:paraId="17A64AAF" w14:textId="77777777" w:rsidTr="00620F7D">
        <w:tc>
          <w:tcPr>
            <w:tcW w:w="9089" w:type="dxa"/>
            <w:shd w:val="clear" w:color="auto" w:fill="auto"/>
          </w:tcPr>
          <w:p w14:paraId="6ACF5E91" w14:textId="77777777" w:rsidR="00620F7D" w:rsidRPr="00C2587D" w:rsidRDefault="00620F7D" w:rsidP="00150BEC">
            <w:pPr>
              <w:numPr>
                <w:ilvl w:val="0"/>
                <w:numId w:val="7"/>
              </w:numPr>
              <w:tabs>
                <w:tab w:val="left" w:pos="372"/>
              </w:tabs>
              <w:suppressAutoHyphens/>
              <w:spacing w:before="120"/>
              <w:rPr>
                <w:rFonts w:eastAsia="Lucida Sans Unicode" w:cs="Arial"/>
                <w:iCs/>
                <w:kern w:val="1"/>
                <w:szCs w:val="20"/>
                <w:lang w:eastAsia="ar-SA"/>
              </w:rPr>
            </w:pPr>
            <w:r w:rsidRPr="00C2587D">
              <w:rPr>
                <w:rFonts w:eastAsia="Lucida Sans Unicode" w:cs="Arial"/>
                <w:iCs/>
                <w:kern w:val="1"/>
                <w:szCs w:val="20"/>
                <w:lang w:eastAsia="ar-SA"/>
              </w:rPr>
              <w:t>В.2. Забезпечення підвищення енергоефективності в громаді;</w:t>
            </w:r>
          </w:p>
          <w:p w14:paraId="306BBE56" w14:textId="77777777" w:rsidR="00620F7D" w:rsidRPr="00C2587D" w:rsidRDefault="00620F7D" w:rsidP="00150BEC">
            <w:pPr>
              <w:numPr>
                <w:ilvl w:val="0"/>
                <w:numId w:val="7"/>
              </w:numPr>
              <w:tabs>
                <w:tab w:val="left" w:pos="372"/>
              </w:tabs>
              <w:suppressAutoHyphens/>
              <w:spacing w:before="120"/>
              <w:rPr>
                <w:rFonts w:eastAsia="Lucida Sans Unicode" w:cs="Arial"/>
                <w:iCs/>
                <w:kern w:val="1"/>
                <w:szCs w:val="20"/>
                <w:lang w:eastAsia="ar-SA"/>
              </w:rPr>
            </w:pPr>
            <w:r w:rsidRPr="00C2587D">
              <w:rPr>
                <w:rFonts w:eastAsia="Lucida Sans Unicode" w:cs="Arial"/>
                <w:iCs/>
                <w:kern w:val="1"/>
                <w:szCs w:val="20"/>
                <w:lang w:eastAsia="ar-SA"/>
              </w:rPr>
              <w:t>В.3. Поліпшення екологічного стану навколишнього середовища;</w:t>
            </w:r>
          </w:p>
          <w:p w14:paraId="3071C52E" w14:textId="77777777" w:rsidR="00620F7D" w:rsidRPr="00C2587D" w:rsidRDefault="00620F7D" w:rsidP="00150BEC">
            <w:pPr>
              <w:numPr>
                <w:ilvl w:val="0"/>
                <w:numId w:val="7"/>
              </w:numPr>
              <w:tabs>
                <w:tab w:val="left" w:pos="372"/>
              </w:tabs>
              <w:suppressAutoHyphens/>
              <w:spacing w:before="120"/>
              <w:rPr>
                <w:rFonts w:eastAsia="Lucida Sans Unicode" w:cs="Arial"/>
                <w:iCs/>
                <w:kern w:val="1"/>
                <w:szCs w:val="20"/>
                <w:lang w:eastAsia="ar-SA"/>
              </w:rPr>
            </w:pPr>
            <w:r w:rsidRPr="00C2587D">
              <w:rPr>
                <w:rFonts w:eastAsia="Lucida Sans Unicode" w:cs="Arial"/>
                <w:iCs/>
                <w:kern w:val="1"/>
                <w:szCs w:val="20"/>
                <w:lang w:eastAsia="ar-SA"/>
              </w:rPr>
              <w:t>В.4. Ефективна система безпеки громади.</w:t>
            </w:r>
          </w:p>
        </w:tc>
      </w:tr>
      <w:bookmarkEnd w:id="30"/>
    </w:tbl>
    <w:p w14:paraId="1A664CD4" w14:textId="77777777" w:rsidR="00620F7D" w:rsidRPr="00C2587D" w:rsidRDefault="00620F7D" w:rsidP="00620F7D">
      <w:pPr>
        <w:rPr>
          <w:rFonts w:cs="Arial"/>
        </w:rPr>
      </w:pPr>
    </w:p>
    <w:p w14:paraId="619E299F" w14:textId="77777777" w:rsidR="00620F7D" w:rsidRPr="00C2587D" w:rsidRDefault="00620F7D" w:rsidP="00620F7D">
      <w:pPr>
        <w:jc w:val="center"/>
        <w:rPr>
          <w:rFonts w:cs="Arial"/>
          <w:color w:val="000000"/>
          <w:szCs w:val="22"/>
          <w:lang w:eastAsia="uk-UA"/>
        </w:rPr>
        <w:sectPr w:rsidR="00620F7D" w:rsidRPr="00C2587D" w:rsidSect="00C60A15">
          <w:headerReference w:type="even" r:id="rId15"/>
          <w:headerReference w:type="default" r:id="rId16"/>
          <w:footerReference w:type="even" r:id="rId17"/>
          <w:footerReference w:type="default" r:id="rId18"/>
          <w:pgSz w:w="11906" w:h="16838" w:code="9"/>
          <w:pgMar w:top="1134" w:right="1134" w:bottom="1134" w:left="1134" w:header="794" w:footer="794" w:gutter="0"/>
          <w:cols w:space="708"/>
          <w:docGrid w:linePitch="360"/>
        </w:sectPr>
      </w:pPr>
    </w:p>
    <w:p w14:paraId="0BAF92FB" w14:textId="7D91F3F0" w:rsidR="00620F7D" w:rsidRPr="00C2587D" w:rsidRDefault="00620F7D" w:rsidP="00620F7D">
      <w:pPr>
        <w:keepNext/>
        <w:keepLines/>
        <w:tabs>
          <w:tab w:val="num" w:pos="567"/>
        </w:tabs>
        <w:suppressAutoHyphens/>
        <w:spacing w:before="120" w:after="120"/>
        <w:ind w:left="567" w:hanging="567"/>
        <w:rPr>
          <w:rFonts w:cs="Arial"/>
          <w:b/>
          <w:sz w:val="20"/>
          <w:szCs w:val="20"/>
          <w:lang w:eastAsia="en-US"/>
        </w:rPr>
      </w:pPr>
      <w:bookmarkStart w:id="31" w:name="_Toc1743589"/>
      <w:r w:rsidRPr="00C2587D">
        <w:rPr>
          <w:rFonts w:cs="Arial"/>
          <w:b/>
          <w:sz w:val="20"/>
          <w:szCs w:val="20"/>
          <w:lang w:eastAsia="en-US"/>
        </w:rPr>
        <w:lastRenderedPageBreak/>
        <w:t xml:space="preserve">Таблиця 3. Структура цілей стратегічного напрямку  </w:t>
      </w:r>
      <w:bookmarkStart w:id="32" w:name="_Hlk75339308"/>
      <w:bookmarkEnd w:id="31"/>
      <w:r w:rsidRPr="00C2587D">
        <w:rPr>
          <w:rFonts w:cs="Arial"/>
          <w:b/>
          <w:sz w:val="20"/>
          <w:szCs w:val="20"/>
          <w:lang w:eastAsia="en-US"/>
        </w:rPr>
        <w:t>В. Комфортна громада</w:t>
      </w:r>
      <w:bookmarkEnd w:id="32"/>
    </w:p>
    <w:tbl>
      <w:tblPr>
        <w:tblW w:w="14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2840"/>
        <w:gridCol w:w="9204"/>
      </w:tblGrid>
      <w:tr w:rsidR="00620F7D" w:rsidRPr="00C2587D" w14:paraId="473B141B" w14:textId="77777777" w:rsidTr="00620F7D">
        <w:trPr>
          <w:trHeight w:val="540"/>
        </w:trPr>
        <w:tc>
          <w:tcPr>
            <w:tcW w:w="2693" w:type="dxa"/>
            <w:shd w:val="clear" w:color="auto" w:fill="auto"/>
            <w:vAlign w:val="center"/>
          </w:tcPr>
          <w:p w14:paraId="2C306B3E" w14:textId="77777777" w:rsidR="00620F7D" w:rsidRPr="00C2587D" w:rsidRDefault="00620F7D" w:rsidP="00620F7D">
            <w:pPr>
              <w:jc w:val="center"/>
              <w:rPr>
                <w:rFonts w:cs="Arial"/>
                <w:b/>
                <w:color w:val="000000"/>
                <w:sz w:val="20"/>
                <w:szCs w:val="20"/>
                <w:lang w:eastAsia="uk-UA"/>
              </w:rPr>
            </w:pPr>
            <w:r w:rsidRPr="00C2587D">
              <w:rPr>
                <w:rFonts w:cs="Arial"/>
                <w:b/>
                <w:color w:val="000000"/>
                <w:sz w:val="20"/>
                <w:szCs w:val="20"/>
                <w:lang w:eastAsia="uk-UA"/>
              </w:rPr>
              <w:t>Стратегічні цілі</w:t>
            </w:r>
          </w:p>
        </w:tc>
        <w:tc>
          <w:tcPr>
            <w:tcW w:w="2840" w:type="dxa"/>
            <w:shd w:val="clear" w:color="auto" w:fill="auto"/>
            <w:vAlign w:val="center"/>
          </w:tcPr>
          <w:p w14:paraId="588EF99F" w14:textId="77777777" w:rsidR="00620F7D" w:rsidRPr="00C2587D" w:rsidRDefault="00620F7D" w:rsidP="00620F7D">
            <w:pPr>
              <w:jc w:val="center"/>
              <w:rPr>
                <w:rFonts w:cs="Arial"/>
                <w:b/>
                <w:color w:val="000000"/>
                <w:sz w:val="20"/>
                <w:szCs w:val="20"/>
                <w:lang w:eastAsia="uk-UA"/>
              </w:rPr>
            </w:pPr>
            <w:r w:rsidRPr="00C2587D">
              <w:rPr>
                <w:rFonts w:cs="Arial"/>
                <w:b/>
                <w:color w:val="000000"/>
                <w:sz w:val="20"/>
                <w:szCs w:val="20"/>
                <w:lang w:eastAsia="uk-UA"/>
              </w:rPr>
              <w:t>Операційні цілі</w:t>
            </w:r>
          </w:p>
        </w:tc>
        <w:tc>
          <w:tcPr>
            <w:tcW w:w="9204" w:type="dxa"/>
            <w:shd w:val="clear" w:color="auto" w:fill="auto"/>
            <w:vAlign w:val="center"/>
          </w:tcPr>
          <w:p w14:paraId="000B2946" w14:textId="77777777" w:rsidR="00620F7D" w:rsidRPr="00C2587D" w:rsidRDefault="00620F7D" w:rsidP="00682193">
            <w:pPr>
              <w:jc w:val="center"/>
              <w:rPr>
                <w:rFonts w:cs="Arial"/>
                <w:b/>
                <w:color w:val="000000"/>
                <w:sz w:val="20"/>
                <w:szCs w:val="20"/>
                <w:lang w:eastAsia="uk-UA"/>
              </w:rPr>
            </w:pPr>
            <w:r w:rsidRPr="00C2587D">
              <w:rPr>
                <w:rFonts w:cs="Arial"/>
                <w:b/>
                <w:color w:val="000000"/>
                <w:sz w:val="20"/>
                <w:szCs w:val="20"/>
                <w:lang w:eastAsia="uk-UA"/>
              </w:rPr>
              <w:t>Завдання</w:t>
            </w:r>
          </w:p>
        </w:tc>
      </w:tr>
      <w:tr w:rsidR="00620F7D" w:rsidRPr="00C2587D" w14:paraId="27D9A793" w14:textId="77777777" w:rsidTr="00987B8D">
        <w:trPr>
          <w:trHeight w:val="540"/>
        </w:trPr>
        <w:tc>
          <w:tcPr>
            <w:tcW w:w="2693" w:type="dxa"/>
            <w:vMerge w:val="restart"/>
            <w:shd w:val="clear" w:color="auto" w:fill="auto"/>
            <w:vAlign w:val="center"/>
          </w:tcPr>
          <w:p w14:paraId="497E1566" w14:textId="23E9B7FB" w:rsidR="00620F7D" w:rsidRPr="00C2587D" w:rsidRDefault="00620F7D" w:rsidP="00987B8D">
            <w:pPr>
              <w:rPr>
                <w:rFonts w:cs="Arial"/>
                <w:color w:val="000000"/>
                <w:sz w:val="20"/>
                <w:szCs w:val="20"/>
                <w:lang w:eastAsia="uk-UA"/>
              </w:rPr>
            </w:pPr>
            <w:r w:rsidRPr="00C2587D">
              <w:rPr>
                <w:rFonts w:cs="Arial"/>
                <w:b/>
                <w:sz w:val="20"/>
                <w:szCs w:val="20"/>
                <w:lang w:eastAsia="uk-UA"/>
              </w:rPr>
              <w:t xml:space="preserve">В.1. </w:t>
            </w:r>
            <w:bookmarkStart w:id="33" w:name="_Hlk75339893"/>
            <w:r w:rsidRPr="00C2587D">
              <w:rPr>
                <w:rFonts w:cs="Arial"/>
                <w:b/>
                <w:sz w:val="20"/>
                <w:szCs w:val="20"/>
                <w:lang w:eastAsia="uk-UA"/>
              </w:rPr>
              <w:t>Покращення  технічної інфраструктури та благоустрою громади</w:t>
            </w:r>
            <w:bookmarkEnd w:id="33"/>
          </w:p>
        </w:tc>
        <w:tc>
          <w:tcPr>
            <w:tcW w:w="2840" w:type="dxa"/>
            <w:shd w:val="clear" w:color="auto" w:fill="auto"/>
            <w:vAlign w:val="center"/>
          </w:tcPr>
          <w:p w14:paraId="5C841886" w14:textId="12A92206" w:rsidR="00620F7D" w:rsidRPr="00987B8D" w:rsidRDefault="00620F7D" w:rsidP="00987B8D">
            <w:pPr>
              <w:widowControl w:val="0"/>
              <w:tabs>
                <w:tab w:val="left" w:pos="0"/>
                <w:tab w:val="left" w:pos="720"/>
              </w:tabs>
              <w:autoSpaceDE w:val="0"/>
              <w:autoSpaceDN w:val="0"/>
              <w:adjustRightInd w:val="0"/>
              <w:rPr>
                <w:rFonts w:cs="Arial"/>
                <w:bCs/>
                <w:sz w:val="20"/>
                <w:szCs w:val="20"/>
              </w:rPr>
            </w:pPr>
            <w:r w:rsidRPr="00C2587D">
              <w:rPr>
                <w:rFonts w:cs="Arial"/>
                <w:bCs/>
                <w:sz w:val="20"/>
                <w:szCs w:val="20"/>
              </w:rPr>
              <w:t>В.1.1. Розбудова дорожньої інфраструктури</w:t>
            </w:r>
          </w:p>
        </w:tc>
        <w:tc>
          <w:tcPr>
            <w:tcW w:w="9204" w:type="dxa"/>
            <w:shd w:val="clear" w:color="auto" w:fill="auto"/>
          </w:tcPr>
          <w:p w14:paraId="52ADA59E"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В.1.1.1. Створення реєстру пріоритетності проведення капітальних ремонтних робіт та будівництва доріг.</w:t>
            </w:r>
          </w:p>
          <w:p w14:paraId="6AB78F8A"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В.1.1.2. Розробка ПКД.</w:t>
            </w:r>
          </w:p>
          <w:p w14:paraId="1F0A859D"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 xml:space="preserve">В.1.1.3. Проведення будівництва, реконструкції та капітального ремонту дорожнього покриття вулиць  та тротуарів в населених пунктах територіальної громади. </w:t>
            </w:r>
          </w:p>
          <w:p w14:paraId="71B4A1C3"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В.1.1.4. Будівництво тротуарних доріжок та велодоріжок.</w:t>
            </w:r>
          </w:p>
          <w:p w14:paraId="39AEABDA"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В.1.1.5. Облаштування місць для паркування автомобілів.</w:t>
            </w:r>
          </w:p>
          <w:p w14:paraId="7D03A754"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В.1.1.6. Облаштування велопарковок.</w:t>
            </w:r>
          </w:p>
          <w:p w14:paraId="10373941" w14:textId="26C527A0"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 xml:space="preserve">В.1.1.7. Подання </w:t>
            </w:r>
            <w:r w:rsidR="00314B9D">
              <w:rPr>
                <w:rFonts w:eastAsia="Lucida Sans Unicode" w:cs="Arial"/>
                <w:kern w:val="1"/>
                <w:sz w:val="20"/>
                <w:szCs w:val="20"/>
                <w:lang w:eastAsia="ar-SA"/>
              </w:rPr>
              <w:t>проєкт</w:t>
            </w:r>
            <w:r w:rsidRPr="00C2587D">
              <w:rPr>
                <w:rFonts w:eastAsia="Lucida Sans Unicode" w:cs="Arial"/>
                <w:kern w:val="1"/>
                <w:sz w:val="20"/>
                <w:szCs w:val="20"/>
                <w:lang w:eastAsia="ar-SA"/>
              </w:rPr>
              <w:t xml:space="preserve">ів пов’язаних з будівництвом, реконструкцією, ремонтом і утриманням автомобільних доріг на фінансування з Дорожнього фонду. </w:t>
            </w:r>
          </w:p>
          <w:p w14:paraId="319C3048"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В.1.1.8. Будівництво мереж закритої дощової каналізації.</w:t>
            </w:r>
          </w:p>
          <w:p w14:paraId="4FF50070" w14:textId="73B5B6C1"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 xml:space="preserve">В.1.1.9. При проведені капітального ремонту дорожнього покриття, планувати роботи в комплексі, а саме передбачати роботи по заміні старих комунікаційних мереж водопостачання та водовідведення, при можливості </w:t>
            </w:r>
            <w:r w:rsidR="00314B9D">
              <w:rPr>
                <w:rFonts w:eastAsia="Lucida Sans Unicode" w:cs="Arial"/>
                <w:kern w:val="1"/>
                <w:sz w:val="20"/>
                <w:szCs w:val="20"/>
                <w:lang w:eastAsia="ar-SA"/>
              </w:rPr>
              <w:t>проєкту</w:t>
            </w:r>
            <w:r w:rsidRPr="00C2587D">
              <w:rPr>
                <w:rFonts w:eastAsia="Lucida Sans Unicode" w:cs="Arial"/>
                <w:kern w:val="1"/>
                <w:sz w:val="20"/>
                <w:szCs w:val="20"/>
                <w:lang w:eastAsia="ar-SA"/>
              </w:rPr>
              <w:t xml:space="preserve">вати їх на зелених зонах.   </w:t>
            </w:r>
          </w:p>
          <w:p w14:paraId="051EB111"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В.1.1.10. Будівництво об’їзної дороги навколо м. Жмеринка, яка сполучатиме міжнародну трасу М21 в районі між селами Коростівці та Слобода Носківецька з дорогою територіального значення Т0218 в районі між селами Мала Жмеринка та Станіславчик.</w:t>
            </w:r>
          </w:p>
          <w:p w14:paraId="057B8DA1"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В.1.1.11. Капітальний ремонт, реконструкція автошляхів, що з’єднують сільські населені пункти і місто, як центр територіальної громади.</w:t>
            </w:r>
          </w:p>
          <w:p w14:paraId="6FF512A8" w14:textId="77777777" w:rsidR="00620F7D" w:rsidRPr="00C2587D" w:rsidRDefault="00620F7D" w:rsidP="00682193">
            <w:pPr>
              <w:jc w:val="both"/>
              <w:rPr>
                <w:rFonts w:cs="Arial"/>
                <w:color w:val="000000"/>
                <w:sz w:val="20"/>
                <w:szCs w:val="20"/>
                <w:lang w:eastAsia="uk-UA"/>
              </w:rPr>
            </w:pPr>
            <w:r w:rsidRPr="00C2587D">
              <w:rPr>
                <w:rFonts w:eastAsia="Lucida Sans Unicode" w:cs="Arial"/>
                <w:kern w:val="1"/>
                <w:sz w:val="20"/>
                <w:szCs w:val="20"/>
                <w:lang w:eastAsia="ar-SA"/>
              </w:rPr>
              <w:t xml:space="preserve">В.1.1.12. </w:t>
            </w:r>
            <w:r w:rsidRPr="00C2587D">
              <w:rPr>
                <w:rFonts w:cs="Arial"/>
                <w:sz w:val="20"/>
                <w:szCs w:val="20"/>
              </w:rPr>
              <w:t>Ініціювання дій щодо визначення балансової приналежності шляхопроводів на території м. Жмеринка.</w:t>
            </w:r>
          </w:p>
        </w:tc>
      </w:tr>
      <w:tr w:rsidR="00620F7D" w:rsidRPr="00C2587D" w14:paraId="0119586D" w14:textId="77777777" w:rsidTr="00987B8D">
        <w:trPr>
          <w:trHeight w:val="1214"/>
        </w:trPr>
        <w:tc>
          <w:tcPr>
            <w:tcW w:w="2693" w:type="dxa"/>
            <w:vMerge/>
            <w:vAlign w:val="center"/>
          </w:tcPr>
          <w:p w14:paraId="365A0394" w14:textId="77777777" w:rsidR="00620F7D" w:rsidRPr="00C2587D" w:rsidRDefault="00620F7D" w:rsidP="00620F7D">
            <w:pPr>
              <w:rPr>
                <w:rFonts w:cs="Arial"/>
                <w:color w:val="000000"/>
                <w:sz w:val="20"/>
                <w:szCs w:val="20"/>
                <w:lang w:eastAsia="uk-UA"/>
              </w:rPr>
            </w:pPr>
          </w:p>
        </w:tc>
        <w:tc>
          <w:tcPr>
            <w:tcW w:w="2840" w:type="dxa"/>
            <w:shd w:val="clear" w:color="auto" w:fill="auto"/>
            <w:vAlign w:val="center"/>
          </w:tcPr>
          <w:p w14:paraId="36B50CB5" w14:textId="77777777" w:rsidR="00620F7D" w:rsidRPr="00C2587D" w:rsidRDefault="00620F7D" w:rsidP="00987B8D">
            <w:pPr>
              <w:rPr>
                <w:rFonts w:cs="Arial"/>
                <w:bCs/>
                <w:color w:val="000000"/>
                <w:sz w:val="20"/>
                <w:szCs w:val="20"/>
                <w:lang w:eastAsia="uk-UA"/>
              </w:rPr>
            </w:pPr>
            <w:r w:rsidRPr="00C2587D">
              <w:rPr>
                <w:rFonts w:cs="Arial"/>
                <w:bCs/>
                <w:sz w:val="20"/>
                <w:szCs w:val="20"/>
                <w:lang w:eastAsia="uk-UA"/>
              </w:rPr>
              <w:t>В.1.2. Розвиток громадських просторів та благоустрій громади</w:t>
            </w:r>
          </w:p>
        </w:tc>
        <w:tc>
          <w:tcPr>
            <w:tcW w:w="9204" w:type="dxa"/>
            <w:shd w:val="clear" w:color="auto" w:fill="auto"/>
          </w:tcPr>
          <w:p w14:paraId="5AB55F42"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В.1.2.1. Розвиток комфортного вуличного простору шляхом реконструкції площ, парків, пішохідних алей, скверів, набережних, зелених зон. На даних об’єктах передбачити поєднання сучасного архітектурного середовища та ландшафту, вільні зони WI-FI,  встановлення дитячих, спортивних майданчиків з відповідним покриттям, облаштування скейт-парків, будівництво фонтанів, зонування територій відпочинку, з метою врахування потреб різних верств населення.</w:t>
            </w:r>
          </w:p>
          <w:p w14:paraId="7B144934" w14:textId="1666D5D6"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 xml:space="preserve">В.1.2.2. Створення комфортних санітарних умов перебування на територіях загального користування (мережа громадських </w:t>
            </w:r>
            <w:r w:rsidR="00A041B2" w:rsidRPr="00C2587D">
              <w:rPr>
                <w:rFonts w:eastAsia="Lucida Sans Unicode" w:cs="Arial"/>
                <w:kern w:val="1"/>
                <w:sz w:val="20"/>
                <w:szCs w:val="20"/>
                <w:lang w:eastAsia="ar-SA"/>
              </w:rPr>
              <w:t>вбиральнь</w:t>
            </w:r>
            <w:r w:rsidRPr="00C2587D">
              <w:rPr>
                <w:rFonts w:eastAsia="Lucida Sans Unicode" w:cs="Arial"/>
                <w:kern w:val="1"/>
                <w:sz w:val="20"/>
                <w:szCs w:val="20"/>
                <w:lang w:eastAsia="ar-SA"/>
              </w:rPr>
              <w:t>).</w:t>
            </w:r>
          </w:p>
          <w:p w14:paraId="5449551D"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В.1.2.3. Облаштування в парках зон активності для усіх вікових груп.</w:t>
            </w:r>
          </w:p>
          <w:p w14:paraId="1C5311E1"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В.1.2.4. Збільшення площі зелених насаджень міста, смт.Браїлів та інших сільських населених пунктів.</w:t>
            </w:r>
          </w:p>
          <w:p w14:paraId="39E19E22"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В.1.2.5. Поводження з безпритульними тваринами.</w:t>
            </w:r>
          </w:p>
          <w:p w14:paraId="1F7C5D70" w14:textId="77777777" w:rsidR="00620F7D" w:rsidRPr="00C2587D" w:rsidRDefault="00620F7D" w:rsidP="00682193">
            <w:pPr>
              <w:jc w:val="both"/>
              <w:rPr>
                <w:rFonts w:cs="Arial"/>
                <w:color w:val="000000"/>
                <w:sz w:val="20"/>
                <w:szCs w:val="20"/>
                <w:lang w:eastAsia="uk-UA"/>
              </w:rPr>
            </w:pPr>
            <w:r w:rsidRPr="00C2587D">
              <w:rPr>
                <w:rFonts w:eastAsia="Lucida Sans Unicode" w:cs="Arial"/>
                <w:kern w:val="1"/>
                <w:sz w:val="20"/>
                <w:szCs w:val="20"/>
                <w:lang w:eastAsia="ar-SA"/>
              </w:rPr>
              <w:t xml:space="preserve">В.1.2.5. </w:t>
            </w:r>
            <w:r w:rsidRPr="00C2587D">
              <w:rPr>
                <w:rFonts w:cs="Arial"/>
                <w:sz w:val="20"/>
                <w:szCs w:val="20"/>
              </w:rPr>
              <w:t>Стерилізація та контроль за безпритульними тваринами.</w:t>
            </w:r>
          </w:p>
        </w:tc>
      </w:tr>
      <w:tr w:rsidR="00620F7D" w:rsidRPr="00C2587D" w14:paraId="1D758889" w14:textId="77777777" w:rsidTr="00987B8D">
        <w:trPr>
          <w:trHeight w:val="1214"/>
        </w:trPr>
        <w:tc>
          <w:tcPr>
            <w:tcW w:w="2693" w:type="dxa"/>
            <w:vMerge/>
            <w:vAlign w:val="center"/>
          </w:tcPr>
          <w:p w14:paraId="7BC22AC0" w14:textId="77777777" w:rsidR="00620F7D" w:rsidRPr="00C2587D" w:rsidRDefault="00620F7D" w:rsidP="00620F7D">
            <w:pPr>
              <w:rPr>
                <w:rFonts w:cs="Arial"/>
                <w:color w:val="000000"/>
                <w:sz w:val="20"/>
                <w:szCs w:val="20"/>
                <w:lang w:eastAsia="uk-UA"/>
              </w:rPr>
            </w:pPr>
          </w:p>
        </w:tc>
        <w:tc>
          <w:tcPr>
            <w:tcW w:w="2840" w:type="dxa"/>
            <w:shd w:val="clear" w:color="auto" w:fill="auto"/>
            <w:vAlign w:val="center"/>
          </w:tcPr>
          <w:p w14:paraId="0412CC51" w14:textId="77777777" w:rsidR="00620F7D" w:rsidRPr="00C2587D" w:rsidRDefault="00620F7D" w:rsidP="00987B8D">
            <w:pPr>
              <w:rPr>
                <w:rFonts w:cs="Arial"/>
                <w:bCs/>
                <w:sz w:val="20"/>
                <w:szCs w:val="20"/>
                <w:lang w:eastAsia="uk-UA"/>
              </w:rPr>
            </w:pPr>
            <w:r w:rsidRPr="00C2587D">
              <w:rPr>
                <w:rFonts w:cs="Arial"/>
                <w:bCs/>
                <w:sz w:val="20"/>
                <w:szCs w:val="20"/>
              </w:rPr>
              <w:t>В.1.3 Модернізація інженерних мереж</w:t>
            </w:r>
          </w:p>
        </w:tc>
        <w:tc>
          <w:tcPr>
            <w:tcW w:w="9204" w:type="dxa"/>
            <w:shd w:val="clear" w:color="auto" w:fill="auto"/>
          </w:tcPr>
          <w:p w14:paraId="6034EA5C"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 xml:space="preserve">В.1.3.1. Будівництво нових, реконструкція, капітальний ремонт, модернізація мереж централізованої системи водопостачання, водовідведення та каналізації. </w:t>
            </w:r>
          </w:p>
          <w:p w14:paraId="690FA855"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В.1.3.2. Реконструкція, модернізація та капітальний ремонт  очисних споруд каналізації.</w:t>
            </w:r>
            <w:r w:rsidRPr="00C2587D">
              <w:rPr>
                <w:rFonts w:eastAsia="Calibri" w:cs="Arial"/>
                <w:kern w:val="1"/>
                <w:sz w:val="20"/>
                <w:szCs w:val="20"/>
                <w:shd w:val="clear" w:color="auto" w:fill="FFFFFF"/>
                <w:lang w:eastAsia="ar-SA"/>
              </w:rPr>
              <w:t xml:space="preserve"> </w:t>
            </w:r>
          </w:p>
          <w:p w14:paraId="18B9A7B6"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В.1.3.3. Реконструкція головної насосної станції м. Жмеринка.</w:t>
            </w:r>
          </w:p>
          <w:p w14:paraId="2563BB00"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В.1.3.4. Капітальний ремонт напірного каналізаційного колектору.</w:t>
            </w:r>
          </w:p>
          <w:p w14:paraId="7E09A638"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В.1.3.5. Заміна обладнання насосних станцій.</w:t>
            </w:r>
          </w:p>
          <w:p w14:paraId="533AAD86"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В.1.3.6. Заміна застарілого та енергоємного насосного обладнання на нове та сучасне.</w:t>
            </w:r>
          </w:p>
          <w:p w14:paraId="0D1FDF33"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В.1.3.7. Проведення капітальних ремонтів головних водопровідних мереж громади.</w:t>
            </w:r>
          </w:p>
          <w:p w14:paraId="1AC26220"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В.1.3.8. Придбання сучасної спеціалізованої техніки для обслуговування водопровідно-каналізаційних мереж громади.</w:t>
            </w:r>
          </w:p>
          <w:p w14:paraId="2E3B1AC0"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В.1.3.9. Реконструкція, капітальний ремонт  та модернізація мереж теплопостачання.</w:t>
            </w:r>
          </w:p>
          <w:p w14:paraId="2C7E0946"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В.1.3.10. Модернізація та розбудова системи зовнішнього освітлення із застосуванням альтернативних джерел енергії, на основі світлодіодних світильників.</w:t>
            </w:r>
          </w:p>
          <w:p w14:paraId="7A368DE1"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В.1.3.11. Формування системи освітлення з врахуванням гендерно-безпекових потреб мешканців міського та сільського населення.</w:t>
            </w:r>
          </w:p>
          <w:p w14:paraId="19EDED92" w14:textId="77777777" w:rsidR="00620F7D" w:rsidRPr="00C2587D" w:rsidRDefault="00620F7D" w:rsidP="00682193">
            <w:pPr>
              <w:contextualSpacing/>
              <w:jc w:val="both"/>
              <w:rPr>
                <w:rFonts w:eastAsia="Lucida Sans Unicode" w:cs="Arial"/>
                <w:kern w:val="1"/>
                <w:sz w:val="20"/>
                <w:szCs w:val="20"/>
                <w:lang w:eastAsia="ar-SA"/>
              </w:rPr>
            </w:pPr>
            <w:r w:rsidRPr="00C2587D">
              <w:rPr>
                <w:rFonts w:eastAsia="Lucida Sans Unicode" w:cs="Arial"/>
                <w:kern w:val="1"/>
                <w:sz w:val="20"/>
                <w:szCs w:val="20"/>
                <w:lang w:eastAsia="ar-SA"/>
              </w:rPr>
              <w:t>В.1.3.12. Будівництво, реконструкція мереж вуличного освітлення</w:t>
            </w:r>
          </w:p>
          <w:p w14:paraId="57BFC531" w14:textId="77777777" w:rsidR="00620F7D" w:rsidRPr="00C2587D" w:rsidRDefault="00620F7D" w:rsidP="00682193">
            <w:pPr>
              <w:contextualSpacing/>
              <w:jc w:val="both"/>
              <w:rPr>
                <w:rFonts w:eastAsia="Lucida Sans Unicode" w:cs="Arial"/>
                <w:kern w:val="1"/>
                <w:sz w:val="20"/>
                <w:szCs w:val="20"/>
                <w:lang w:eastAsia="ar-SA"/>
              </w:rPr>
            </w:pPr>
            <w:r w:rsidRPr="00C2587D">
              <w:rPr>
                <w:rFonts w:eastAsia="Lucida Sans Unicode" w:cs="Arial"/>
                <w:kern w:val="1"/>
                <w:sz w:val="20"/>
                <w:szCs w:val="20"/>
                <w:lang w:eastAsia="ar-SA"/>
              </w:rPr>
              <w:t>В.1.3.13. Встановлення додаткових джерел світла, та збільшення протяжності існуючих мереж.</w:t>
            </w:r>
          </w:p>
          <w:p w14:paraId="72FCC9C1" w14:textId="77777777" w:rsidR="00620F7D" w:rsidRPr="00C2587D" w:rsidRDefault="00620F7D" w:rsidP="00682193">
            <w:pPr>
              <w:contextualSpacing/>
              <w:jc w:val="both"/>
              <w:rPr>
                <w:rFonts w:eastAsia="Lucida Sans Unicode" w:cs="Arial"/>
                <w:kern w:val="1"/>
                <w:sz w:val="20"/>
                <w:szCs w:val="20"/>
                <w:lang w:eastAsia="ar-SA"/>
              </w:rPr>
            </w:pPr>
            <w:r w:rsidRPr="00C2587D">
              <w:rPr>
                <w:rFonts w:eastAsia="Lucida Sans Unicode" w:cs="Arial"/>
                <w:kern w:val="1"/>
                <w:sz w:val="20"/>
                <w:szCs w:val="20"/>
                <w:lang w:eastAsia="ar-SA"/>
              </w:rPr>
              <w:t>В.1.3.14. Запровадження диспетчерської служби по зовнішньому освітленню.</w:t>
            </w:r>
          </w:p>
          <w:p w14:paraId="66D4F2F6" w14:textId="77777777" w:rsidR="00620F7D" w:rsidRPr="00C2587D" w:rsidRDefault="00620F7D" w:rsidP="00682193">
            <w:pPr>
              <w:contextualSpacing/>
              <w:jc w:val="both"/>
              <w:rPr>
                <w:rFonts w:eastAsia="Lucida Sans Unicode" w:cs="Arial"/>
                <w:kern w:val="1"/>
                <w:sz w:val="20"/>
                <w:szCs w:val="20"/>
                <w:lang w:eastAsia="ar-SA"/>
              </w:rPr>
            </w:pPr>
            <w:r w:rsidRPr="00C2587D">
              <w:rPr>
                <w:rFonts w:eastAsia="Lucida Sans Unicode" w:cs="Arial"/>
                <w:kern w:val="1"/>
                <w:sz w:val="20"/>
                <w:szCs w:val="20"/>
                <w:lang w:eastAsia="ar-SA"/>
              </w:rPr>
              <w:t xml:space="preserve">В.1.3.15. Запровадження </w:t>
            </w:r>
            <w:r w:rsidRPr="00C2587D">
              <w:rPr>
                <w:rFonts w:cs="Arial"/>
                <w:kern w:val="1"/>
                <w:sz w:val="20"/>
                <w:szCs w:val="20"/>
              </w:rPr>
              <w:t>автоматизованої системи комерційного обліку електричної енергії</w:t>
            </w:r>
            <w:r w:rsidRPr="00C2587D">
              <w:rPr>
                <w:rFonts w:eastAsia="Lucida Sans Unicode" w:cs="Arial"/>
                <w:kern w:val="1"/>
                <w:sz w:val="20"/>
                <w:szCs w:val="20"/>
                <w:lang w:eastAsia="ar-SA"/>
              </w:rPr>
              <w:t>.</w:t>
            </w:r>
          </w:p>
          <w:p w14:paraId="1279BF55"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В.1.3.16. Запровадження енергозберігаючих технологій та обладнання.</w:t>
            </w:r>
          </w:p>
          <w:p w14:paraId="63ADCBEF" w14:textId="77777777" w:rsidR="00620F7D" w:rsidRPr="00C2587D" w:rsidRDefault="00620F7D" w:rsidP="00682193">
            <w:pPr>
              <w:jc w:val="both"/>
              <w:rPr>
                <w:rFonts w:cs="Arial"/>
                <w:color w:val="000000"/>
                <w:sz w:val="20"/>
                <w:szCs w:val="20"/>
                <w:lang w:eastAsia="uk-UA"/>
              </w:rPr>
            </w:pPr>
            <w:r w:rsidRPr="00C2587D">
              <w:rPr>
                <w:rFonts w:eastAsia="Lucida Sans Unicode" w:cs="Arial"/>
                <w:kern w:val="1"/>
                <w:sz w:val="20"/>
                <w:szCs w:val="20"/>
                <w:lang w:eastAsia="ar-SA"/>
              </w:rPr>
              <w:t xml:space="preserve">В.1.3.17. </w:t>
            </w:r>
            <w:r w:rsidRPr="00C2587D">
              <w:rPr>
                <w:rFonts w:cs="Arial"/>
                <w:color w:val="202122"/>
                <w:sz w:val="20"/>
                <w:szCs w:val="20"/>
                <w:shd w:val="clear" w:color="auto" w:fill="FFFFFF"/>
              </w:rPr>
              <w:t>Модернізація інформаційної мережі послуг зв'язку</w:t>
            </w:r>
            <w:r w:rsidRPr="00C2587D">
              <w:rPr>
                <w:rFonts w:cs="Arial"/>
                <w:sz w:val="20"/>
                <w:szCs w:val="20"/>
              </w:rPr>
              <w:t xml:space="preserve"> .</w:t>
            </w:r>
          </w:p>
        </w:tc>
      </w:tr>
      <w:tr w:rsidR="00620F7D" w:rsidRPr="00C2587D" w14:paraId="244D2C48" w14:textId="77777777" w:rsidTr="004B3BEE">
        <w:trPr>
          <w:trHeight w:val="2939"/>
        </w:trPr>
        <w:tc>
          <w:tcPr>
            <w:tcW w:w="2693" w:type="dxa"/>
            <w:vMerge/>
            <w:vAlign w:val="center"/>
          </w:tcPr>
          <w:p w14:paraId="472F704E" w14:textId="77777777" w:rsidR="00620F7D" w:rsidRPr="00C2587D" w:rsidRDefault="00620F7D" w:rsidP="00620F7D">
            <w:pPr>
              <w:rPr>
                <w:rFonts w:cs="Arial"/>
                <w:color w:val="000000"/>
                <w:sz w:val="20"/>
                <w:szCs w:val="20"/>
                <w:lang w:eastAsia="uk-UA"/>
              </w:rPr>
            </w:pPr>
          </w:p>
        </w:tc>
        <w:tc>
          <w:tcPr>
            <w:tcW w:w="2840" w:type="dxa"/>
            <w:shd w:val="clear" w:color="auto" w:fill="auto"/>
            <w:vAlign w:val="center"/>
          </w:tcPr>
          <w:p w14:paraId="1D1C31EA" w14:textId="77777777" w:rsidR="00620F7D" w:rsidRPr="00C2587D" w:rsidRDefault="00620F7D" w:rsidP="00987B8D">
            <w:pPr>
              <w:rPr>
                <w:rFonts w:cs="Arial"/>
                <w:bCs/>
                <w:sz w:val="20"/>
                <w:szCs w:val="20"/>
              </w:rPr>
            </w:pPr>
            <w:r w:rsidRPr="00C2587D">
              <w:rPr>
                <w:rFonts w:cs="Arial"/>
                <w:bCs/>
                <w:sz w:val="20"/>
                <w:szCs w:val="20"/>
              </w:rPr>
              <w:t>В.1.4. Організація громадського транспорту</w:t>
            </w:r>
          </w:p>
        </w:tc>
        <w:tc>
          <w:tcPr>
            <w:tcW w:w="9204" w:type="dxa"/>
            <w:shd w:val="clear" w:color="auto" w:fill="auto"/>
          </w:tcPr>
          <w:p w14:paraId="5DB3AC15" w14:textId="25F41578" w:rsidR="00620F7D" w:rsidRPr="00C2587D" w:rsidRDefault="004B3BEE" w:rsidP="00682193">
            <w:pPr>
              <w:suppressAutoHyphens/>
              <w:spacing w:before="20" w:after="20"/>
              <w:jc w:val="both"/>
              <w:rPr>
                <w:rFonts w:eastAsia="Lucida Sans Unicode" w:cs="Arial"/>
                <w:kern w:val="1"/>
                <w:sz w:val="20"/>
                <w:szCs w:val="20"/>
                <w:lang w:eastAsia="ar-SA"/>
              </w:rPr>
            </w:pPr>
            <w:r>
              <w:rPr>
                <w:rFonts w:eastAsia="Lucida Sans Unicode" w:cs="Arial"/>
                <w:kern w:val="1"/>
                <w:sz w:val="20"/>
                <w:szCs w:val="20"/>
                <w:lang w:eastAsia="ar-SA"/>
              </w:rPr>
              <w:t>В.1.4.1. Запровадження дво</w:t>
            </w:r>
            <w:r w:rsidR="00620F7D" w:rsidRPr="00C2587D">
              <w:rPr>
                <w:rFonts w:eastAsia="Lucida Sans Unicode" w:cs="Arial"/>
                <w:kern w:val="1"/>
                <w:sz w:val="20"/>
                <w:szCs w:val="20"/>
                <w:lang w:eastAsia="ar-SA"/>
              </w:rPr>
              <w:t>модальної системи перевезень на автомобільному транспорті: громадські та комерційні послуги з перевезення пасажирів.</w:t>
            </w:r>
          </w:p>
          <w:p w14:paraId="50DD85CF"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В.1.4.2. Оновлення рухомого складу пасажирського транспорту на більш екологічні та зручніші моделі, що відповідають вимогам інклюзивності.</w:t>
            </w:r>
          </w:p>
          <w:p w14:paraId="5D632A6B"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 xml:space="preserve">В.1.4.3. </w:t>
            </w:r>
            <w:r w:rsidRPr="00C2587D">
              <w:rPr>
                <w:rFonts w:eastAsia="Lucida Sans Unicode" w:cs="Arial"/>
                <w:bCs/>
                <w:color w:val="000000"/>
                <w:kern w:val="1"/>
                <w:sz w:val="20"/>
                <w:szCs w:val="20"/>
                <w:shd w:val="clear" w:color="auto" w:fill="FFFFFF"/>
                <w:lang w:eastAsia="ar-SA"/>
              </w:rPr>
              <w:t>Організація належного рівня сервісу для пасажирів ( уніфікація та адаптація  автобусних зупинок для людей з інвалідністю з розміщенням , інформації про схему та розклад руху автобусів.</w:t>
            </w:r>
          </w:p>
          <w:p w14:paraId="405F2B01"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 xml:space="preserve">В.1.4.4. </w:t>
            </w:r>
            <w:r w:rsidRPr="00C2587D">
              <w:rPr>
                <w:rFonts w:eastAsia="Lucida Sans Unicode" w:cs="Arial"/>
                <w:bCs/>
                <w:kern w:val="1"/>
                <w:sz w:val="20"/>
                <w:szCs w:val="20"/>
                <w:lang w:eastAsia="ar-SA"/>
              </w:rPr>
              <w:t>Запровадження дорожньої навігації  (GPS  моніторингу всіх перевезень та забезпечення  онлайн зв’язку  між диспетчером, водієм та пасажиром.</w:t>
            </w:r>
          </w:p>
          <w:p w14:paraId="1E01A0EE"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 xml:space="preserve">В.1.4.5. </w:t>
            </w:r>
            <w:r w:rsidRPr="00C2587D">
              <w:rPr>
                <w:rFonts w:eastAsia="Lucida Sans Unicode" w:cs="Arial"/>
                <w:bCs/>
                <w:kern w:val="1"/>
                <w:sz w:val="20"/>
                <w:szCs w:val="20"/>
                <w:lang w:eastAsia="ar-SA"/>
              </w:rPr>
              <w:t>Оптимізація мережі маршрутів громадського транспорту.</w:t>
            </w:r>
          </w:p>
          <w:p w14:paraId="3F877C97"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В.1.4.6. Створення зручних та комфортних зупинок.</w:t>
            </w:r>
          </w:p>
          <w:p w14:paraId="4BC37430" w14:textId="77777777" w:rsidR="00620F7D" w:rsidRPr="00C2587D" w:rsidRDefault="00620F7D" w:rsidP="00682193">
            <w:pPr>
              <w:jc w:val="both"/>
              <w:rPr>
                <w:rFonts w:cs="Arial"/>
                <w:color w:val="000000"/>
                <w:sz w:val="20"/>
                <w:szCs w:val="20"/>
                <w:lang w:eastAsia="uk-UA"/>
              </w:rPr>
            </w:pPr>
            <w:r w:rsidRPr="00C2587D">
              <w:rPr>
                <w:rFonts w:eastAsia="Lucida Sans Unicode" w:cs="Arial"/>
                <w:kern w:val="1"/>
                <w:sz w:val="20"/>
                <w:szCs w:val="20"/>
                <w:lang w:eastAsia="ar-SA"/>
              </w:rPr>
              <w:t xml:space="preserve">В.1.4.7. </w:t>
            </w:r>
            <w:r w:rsidRPr="00C2587D">
              <w:rPr>
                <w:rFonts w:cs="Arial"/>
                <w:sz w:val="20"/>
                <w:szCs w:val="20"/>
              </w:rPr>
              <w:t>Вивчення можливості будівництва автобусної станції в м.Жмеринка.</w:t>
            </w:r>
          </w:p>
        </w:tc>
      </w:tr>
      <w:tr w:rsidR="00620F7D" w:rsidRPr="00C2587D" w14:paraId="7C6B22C2" w14:textId="77777777" w:rsidTr="004B3BEE">
        <w:trPr>
          <w:trHeight w:val="1265"/>
        </w:trPr>
        <w:tc>
          <w:tcPr>
            <w:tcW w:w="2693" w:type="dxa"/>
            <w:vMerge/>
            <w:vAlign w:val="center"/>
          </w:tcPr>
          <w:p w14:paraId="404E8AFE" w14:textId="77777777" w:rsidR="00620F7D" w:rsidRPr="00C2587D" w:rsidRDefault="00620F7D" w:rsidP="00620F7D">
            <w:pPr>
              <w:rPr>
                <w:rFonts w:cs="Arial"/>
                <w:color w:val="000000"/>
                <w:sz w:val="20"/>
                <w:szCs w:val="20"/>
                <w:lang w:eastAsia="uk-UA"/>
              </w:rPr>
            </w:pPr>
          </w:p>
        </w:tc>
        <w:tc>
          <w:tcPr>
            <w:tcW w:w="2840" w:type="dxa"/>
            <w:shd w:val="clear" w:color="auto" w:fill="auto"/>
            <w:vAlign w:val="center"/>
          </w:tcPr>
          <w:p w14:paraId="6DEEB20C" w14:textId="77777777" w:rsidR="00620F7D" w:rsidRPr="00C2587D" w:rsidRDefault="00620F7D" w:rsidP="00987B8D">
            <w:pPr>
              <w:rPr>
                <w:rFonts w:cs="Arial"/>
                <w:bCs/>
                <w:color w:val="000000"/>
                <w:sz w:val="20"/>
                <w:szCs w:val="20"/>
                <w:lang w:eastAsia="uk-UA"/>
              </w:rPr>
            </w:pPr>
            <w:r w:rsidRPr="00C2587D">
              <w:rPr>
                <w:rFonts w:cs="Arial"/>
                <w:bCs/>
                <w:sz w:val="20"/>
                <w:szCs w:val="20"/>
              </w:rPr>
              <w:t>В.1.5. Модернізація житлового фонду, покращення якості житлово-комунальних послуг</w:t>
            </w:r>
          </w:p>
        </w:tc>
        <w:tc>
          <w:tcPr>
            <w:tcW w:w="9204" w:type="dxa"/>
            <w:shd w:val="clear" w:color="auto" w:fill="auto"/>
          </w:tcPr>
          <w:p w14:paraId="79315F68" w14:textId="77777777" w:rsidR="00620F7D" w:rsidRPr="00C2587D" w:rsidRDefault="00620F7D" w:rsidP="00682193">
            <w:pPr>
              <w:spacing w:before="20" w:after="20"/>
              <w:contextualSpacing/>
              <w:jc w:val="both"/>
              <w:rPr>
                <w:rFonts w:eastAsia="Lucida Sans Unicode" w:cs="Arial"/>
                <w:kern w:val="1"/>
                <w:sz w:val="20"/>
                <w:szCs w:val="20"/>
                <w:lang w:eastAsia="ar-SA"/>
              </w:rPr>
            </w:pPr>
            <w:r w:rsidRPr="00C2587D">
              <w:rPr>
                <w:rFonts w:eastAsia="Lucida Sans Unicode" w:cs="Arial"/>
                <w:kern w:val="1"/>
                <w:sz w:val="20"/>
                <w:szCs w:val="20"/>
                <w:lang w:eastAsia="ar-SA"/>
              </w:rPr>
              <w:t>В.1.5.1. Створення ефективної сучасної системи утримання багатоквартирного житлового фонду, шляхом розширення мережі житла, що обслуговується ОСББ.</w:t>
            </w:r>
          </w:p>
          <w:p w14:paraId="76260C18" w14:textId="77777777" w:rsidR="00620F7D" w:rsidRPr="00C2587D" w:rsidRDefault="00620F7D" w:rsidP="00682193">
            <w:pPr>
              <w:spacing w:before="20" w:after="20"/>
              <w:contextualSpacing/>
              <w:jc w:val="both"/>
              <w:rPr>
                <w:rFonts w:eastAsia="Lucida Sans Unicode" w:cs="Arial"/>
                <w:kern w:val="1"/>
                <w:sz w:val="20"/>
                <w:szCs w:val="20"/>
                <w:lang w:eastAsia="ar-SA"/>
              </w:rPr>
            </w:pPr>
            <w:r w:rsidRPr="00C2587D">
              <w:rPr>
                <w:rFonts w:eastAsia="Lucida Sans Unicode" w:cs="Arial"/>
                <w:kern w:val="1"/>
                <w:sz w:val="20"/>
                <w:szCs w:val="20"/>
                <w:lang w:eastAsia="ar-SA"/>
              </w:rPr>
              <w:t xml:space="preserve">В.1.5.2. Розроблення програми щодо надання одноразової фінансової допомоги для підтримки об’єднання співвласників багатоквартирних будинків територіальної громади. </w:t>
            </w:r>
          </w:p>
          <w:p w14:paraId="2CAAE38A" w14:textId="77777777" w:rsidR="00620F7D" w:rsidRPr="00C2587D" w:rsidRDefault="00620F7D" w:rsidP="00682193">
            <w:pPr>
              <w:spacing w:before="20" w:after="20"/>
              <w:contextualSpacing/>
              <w:jc w:val="both"/>
              <w:rPr>
                <w:rFonts w:eastAsia="Lucida Sans Unicode" w:cs="Arial"/>
                <w:kern w:val="1"/>
                <w:sz w:val="20"/>
                <w:szCs w:val="20"/>
                <w:lang w:eastAsia="ar-SA"/>
              </w:rPr>
            </w:pPr>
            <w:r w:rsidRPr="00C2587D">
              <w:rPr>
                <w:rFonts w:eastAsia="Lucida Sans Unicode" w:cs="Arial"/>
                <w:kern w:val="1"/>
                <w:sz w:val="20"/>
                <w:szCs w:val="20"/>
                <w:lang w:eastAsia="ar-SA"/>
              </w:rPr>
              <w:t>В.1.5.3. Модернізація конструктивних елементів багатоповерхових будинків.</w:t>
            </w:r>
          </w:p>
          <w:p w14:paraId="32E7F17C" w14:textId="77777777" w:rsidR="00620F7D" w:rsidRPr="00C2587D" w:rsidRDefault="00620F7D" w:rsidP="00682193">
            <w:pPr>
              <w:spacing w:before="20" w:after="20"/>
              <w:contextualSpacing/>
              <w:jc w:val="both"/>
              <w:rPr>
                <w:rFonts w:eastAsia="Lucida Sans Unicode" w:cs="Arial"/>
                <w:kern w:val="1"/>
                <w:sz w:val="20"/>
                <w:szCs w:val="20"/>
                <w:lang w:eastAsia="ar-SA"/>
              </w:rPr>
            </w:pPr>
            <w:r w:rsidRPr="00C2587D">
              <w:rPr>
                <w:rFonts w:eastAsia="Lucida Sans Unicode" w:cs="Arial"/>
                <w:kern w:val="1"/>
                <w:sz w:val="20"/>
                <w:szCs w:val="20"/>
                <w:lang w:eastAsia="ar-SA"/>
              </w:rPr>
              <w:t>В.1.5.4. Утеплення під'їздів та будинків.</w:t>
            </w:r>
          </w:p>
          <w:p w14:paraId="0727FF69" w14:textId="77777777" w:rsidR="00620F7D" w:rsidRPr="00C2587D" w:rsidRDefault="00620F7D" w:rsidP="00682193">
            <w:pPr>
              <w:spacing w:before="20" w:after="20"/>
              <w:contextualSpacing/>
              <w:jc w:val="both"/>
              <w:rPr>
                <w:rFonts w:eastAsia="Lucida Sans Unicode" w:cs="Arial"/>
                <w:kern w:val="1"/>
                <w:sz w:val="20"/>
                <w:szCs w:val="20"/>
                <w:lang w:eastAsia="ar-SA"/>
              </w:rPr>
            </w:pPr>
            <w:r w:rsidRPr="00C2587D">
              <w:rPr>
                <w:rFonts w:eastAsia="Lucida Sans Unicode" w:cs="Arial"/>
                <w:kern w:val="1"/>
                <w:sz w:val="20"/>
                <w:szCs w:val="20"/>
                <w:lang w:eastAsia="ar-SA"/>
              </w:rPr>
              <w:lastRenderedPageBreak/>
              <w:t>В.1.5.5. Модернізація внутрішньобудинкових електромереж.</w:t>
            </w:r>
          </w:p>
          <w:p w14:paraId="247E1F0F" w14:textId="0F03EA43" w:rsidR="00620F7D" w:rsidRPr="00C2587D" w:rsidRDefault="00620F7D" w:rsidP="00682193">
            <w:pPr>
              <w:spacing w:before="20" w:after="20"/>
              <w:contextualSpacing/>
              <w:jc w:val="both"/>
              <w:rPr>
                <w:rFonts w:eastAsia="Lucida Sans Unicode" w:cs="Arial"/>
                <w:kern w:val="1"/>
                <w:sz w:val="20"/>
                <w:szCs w:val="20"/>
                <w:lang w:eastAsia="ar-SA"/>
              </w:rPr>
            </w:pPr>
            <w:r w:rsidRPr="00C2587D">
              <w:rPr>
                <w:rFonts w:eastAsia="Lucida Sans Unicode" w:cs="Arial"/>
                <w:kern w:val="1"/>
                <w:sz w:val="20"/>
                <w:szCs w:val="20"/>
                <w:lang w:eastAsia="ar-SA"/>
              </w:rPr>
              <w:t xml:space="preserve">В.1.5.6. Капітальний ремонт </w:t>
            </w:r>
            <w:r w:rsidR="00A041B2" w:rsidRPr="00C2587D">
              <w:rPr>
                <w:rFonts w:eastAsia="Lucida Sans Unicode" w:cs="Arial"/>
                <w:kern w:val="1"/>
                <w:sz w:val="20"/>
                <w:szCs w:val="20"/>
                <w:lang w:eastAsia="ar-SA"/>
              </w:rPr>
              <w:t>внутрішньобудинкових</w:t>
            </w:r>
            <w:r w:rsidRPr="00C2587D">
              <w:rPr>
                <w:rFonts w:eastAsia="Lucida Sans Unicode" w:cs="Arial"/>
                <w:kern w:val="1"/>
                <w:sz w:val="20"/>
                <w:szCs w:val="20"/>
                <w:lang w:eastAsia="ar-SA"/>
              </w:rPr>
              <w:t xml:space="preserve"> систем водопостачання та водовідведення.</w:t>
            </w:r>
          </w:p>
          <w:p w14:paraId="157A59F8" w14:textId="77777777" w:rsidR="00620F7D" w:rsidRPr="00C2587D" w:rsidRDefault="00620F7D" w:rsidP="00682193">
            <w:pPr>
              <w:spacing w:before="20" w:after="20"/>
              <w:contextualSpacing/>
              <w:jc w:val="both"/>
              <w:rPr>
                <w:rFonts w:eastAsia="Lucida Sans Unicode" w:cs="Arial"/>
                <w:kern w:val="1"/>
                <w:sz w:val="20"/>
                <w:szCs w:val="20"/>
                <w:lang w:eastAsia="ar-SA"/>
              </w:rPr>
            </w:pPr>
            <w:r w:rsidRPr="00C2587D">
              <w:rPr>
                <w:rFonts w:eastAsia="Lucida Sans Unicode" w:cs="Arial"/>
                <w:kern w:val="1"/>
                <w:sz w:val="20"/>
                <w:szCs w:val="20"/>
                <w:lang w:eastAsia="ar-SA"/>
              </w:rPr>
              <w:t>В.1.5.7. Модернізація ліфтового господарства.</w:t>
            </w:r>
          </w:p>
          <w:p w14:paraId="11DA3891" w14:textId="77777777" w:rsidR="00620F7D" w:rsidRPr="00C2587D" w:rsidRDefault="00620F7D" w:rsidP="00682193">
            <w:pPr>
              <w:spacing w:before="20" w:after="20"/>
              <w:contextualSpacing/>
              <w:jc w:val="both"/>
              <w:rPr>
                <w:rFonts w:eastAsia="Lucida Sans Unicode" w:cs="Arial"/>
                <w:kern w:val="1"/>
                <w:sz w:val="20"/>
                <w:szCs w:val="20"/>
                <w:lang w:eastAsia="ar-SA"/>
              </w:rPr>
            </w:pPr>
            <w:r w:rsidRPr="00C2587D">
              <w:rPr>
                <w:rFonts w:eastAsia="Lucida Sans Unicode" w:cs="Arial"/>
                <w:kern w:val="1"/>
                <w:sz w:val="20"/>
                <w:szCs w:val="20"/>
                <w:lang w:eastAsia="ar-SA"/>
              </w:rPr>
              <w:t>В.1.5.8. Капітальний ремонт прибудинкових територій.</w:t>
            </w:r>
          </w:p>
          <w:p w14:paraId="7BB8D25D" w14:textId="77777777" w:rsidR="00620F7D" w:rsidRPr="00C2587D" w:rsidRDefault="00620F7D" w:rsidP="00682193">
            <w:pPr>
              <w:jc w:val="both"/>
              <w:rPr>
                <w:rFonts w:cs="Arial"/>
                <w:color w:val="000000"/>
                <w:sz w:val="20"/>
                <w:szCs w:val="20"/>
                <w:lang w:eastAsia="uk-UA"/>
              </w:rPr>
            </w:pPr>
            <w:r w:rsidRPr="00C2587D">
              <w:rPr>
                <w:rFonts w:eastAsia="Lucida Sans Unicode" w:cs="Arial"/>
                <w:kern w:val="1"/>
                <w:sz w:val="20"/>
                <w:szCs w:val="20"/>
                <w:lang w:eastAsia="ar-SA"/>
              </w:rPr>
              <w:t xml:space="preserve">В.1.5.9. </w:t>
            </w:r>
            <w:r w:rsidRPr="00C2587D">
              <w:rPr>
                <w:rFonts w:cs="Arial"/>
                <w:sz w:val="20"/>
                <w:szCs w:val="20"/>
              </w:rPr>
              <w:t>Покращення благоустрою прибудинкових територій.</w:t>
            </w:r>
          </w:p>
        </w:tc>
      </w:tr>
      <w:tr w:rsidR="00620F7D" w:rsidRPr="00C2587D" w14:paraId="7E890581" w14:textId="77777777" w:rsidTr="004B3BEE">
        <w:trPr>
          <w:trHeight w:val="2089"/>
        </w:trPr>
        <w:tc>
          <w:tcPr>
            <w:tcW w:w="2693" w:type="dxa"/>
            <w:vMerge w:val="restart"/>
            <w:shd w:val="clear" w:color="auto" w:fill="auto"/>
            <w:noWrap/>
            <w:vAlign w:val="center"/>
          </w:tcPr>
          <w:p w14:paraId="3353590C" w14:textId="77777777" w:rsidR="00620F7D" w:rsidRPr="00C2587D" w:rsidRDefault="00620F7D" w:rsidP="00987B8D">
            <w:pPr>
              <w:rPr>
                <w:rFonts w:cs="Arial"/>
                <w:color w:val="000000"/>
                <w:sz w:val="20"/>
                <w:szCs w:val="20"/>
                <w:lang w:eastAsia="uk-UA"/>
              </w:rPr>
            </w:pPr>
            <w:r w:rsidRPr="00C2587D">
              <w:rPr>
                <w:rFonts w:cs="Arial"/>
                <w:b/>
                <w:sz w:val="20"/>
                <w:szCs w:val="20"/>
                <w:lang w:eastAsia="uk-UA"/>
              </w:rPr>
              <w:lastRenderedPageBreak/>
              <w:t>В.2. Забезпечення підвищення енергоефективності в громаді</w:t>
            </w:r>
          </w:p>
        </w:tc>
        <w:tc>
          <w:tcPr>
            <w:tcW w:w="2840" w:type="dxa"/>
            <w:shd w:val="clear" w:color="auto" w:fill="auto"/>
            <w:vAlign w:val="center"/>
          </w:tcPr>
          <w:p w14:paraId="6188AB78" w14:textId="77777777" w:rsidR="00620F7D" w:rsidRPr="00C2587D" w:rsidRDefault="00620F7D" w:rsidP="00987B8D">
            <w:pPr>
              <w:rPr>
                <w:rFonts w:cs="Arial"/>
                <w:bCs/>
                <w:color w:val="000000"/>
                <w:sz w:val="20"/>
                <w:szCs w:val="20"/>
                <w:lang w:eastAsia="uk-UA"/>
              </w:rPr>
            </w:pPr>
            <w:r w:rsidRPr="00C2587D">
              <w:rPr>
                <w:rFonts w:cs="Arial"/>
                <w:bCs/>
                <w:sz w:val="20"/>
                <w:szCs w:val="20"/>
              </w:rPr>
              <w:t>В.2.1. Ефективний муніципальний енергоменеджмент, енергомоніторинг та реалізація заходів ПДСЕР і К</w:t>
            </w:r>
          </w:p>
        </w:tc>
        <w:tc>
          <w:tcPr>
            <w:tcW w:w="9204" w:type="dxa"/>
            <w:shd w:val="clear" w:color="auto" w:fill="auto"/>
          </w:tcPr>
          <w:p w14:paraId="5327157A"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it-IT"/>
              </w:rPr>
              <w:t>В.2.1.1. Вдосконалення системи муніципального енергоменеджменту, фахова освіта та підготовка енергоменеджерів (відповідальних осіб).</w:t>
            </w:r>
          </w:p>
          <w:p w14:paraId="1D6FBEF7"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it-IT"/>
              </w:rPr>
              <w:t>В.2.1.2. Впровадження інформаційної системи енергомоніторингу, аналіз виконання та розробка плану дій сталого енергетичного розвитку  ПДСЕР і К.</w:t>
            </w:r>
          </w:p>
          <w:p w14:paraId="62FDD4CF"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it-IT"/>
              </w:rPr>
              <w:t>В.2.1.3. Створення інвестиційної платформи для запровадження енергосервісу.</w:t>
            </w:r>
          </w:p>
          <w:p w14:paraId="3ED9E330"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it-IT"/>
              </w:rPr>
              <w:t xml:space="preserve">В.2.1.4. </w:t>
            </w:r>
            <w:r w:rsidRPr="00C2587D">
              <w:rPr>
                <w:rFonts w:eastAsia="Lucida Sans Unicode" w:cs="Arial"/>
                <w:kern w:val="1"/>
                <w:sz w:val="20"/>
                <w:szCs w:val="20"/>
                <w:lang w:eastAsia="ar-SA"/>
              </w:rPr>
              <w:t>Проведення масово-роз`яснювальної роботи серед дітей молодшого віку, учнів, молоді та жителів громади щодо енергозбереження та запобігання змінам клімату.</w:t>
            </w:r>
          </w:p>
          <w:p w14:paraId="47ED880C" w14:textId="77777777" w:rsidR="00620F7D" w:rsidRPr="00C2587D" w:rsidRDefault="00620F7D" w:rsidP="00682193">
            <w:pPr>
              <w:spacing w:before="20" w:after="20"/>
              <w:jc w:val="both"/>
              <w:rPr>
                <w:rFonts w:cs="Arial"/>
                <w:color w:val="000000"/>
                <w:sz w:val="20"/>
                <w:szCs w:val="20"/>
                <w:lang w:eastAsia="uk-UA"/>
              </w:rPr>
            </w:pPr>
            <w:r w:rsidRPr="00C2587D">
              <w:rPr>
                <w:rFonts w:eastAsia="Lucida Sans Unicode" w:cs="Arial"/>
                <w:kern w:val="1"/>
                <w:sz w:val="20"/>
                <w:szCs w:val="20"/>
                <w:lang w:eastAsia="it-IT"/>
              </w:rPr>
              <w:t xml:space="preserve">В.2.1.5. </w:t>
            </w:r>
            <w:r w:rsidRPr="00C2587D">
              <w:rPr>
                <w:rFonts w:cs="Arial"/>
                <w:sz w:val="20"/>
                <w:szCs w:val="20"/>
                <w:lang w:eastAsia="it-IT"/>
              </w:rPr>
              <w:t>Розробка енергопаспортів на будівлі</w:t>
            </w:r>
            <w:r w:rsidRPr="00C2587D">
              <w:rPr>
                <w:rFonts w:cs="Arial"/>
                <w:sz w:val="20"/>
                <w:szCs w:val="20"/>
              </w:rPr>
              <w:t xml:space="preserve"> </w:t>
            </w:r>
            <w:r w:rsidRPr="00C2587D">
              <w:rPr>
                <w:rFonts w:cs="Arial"/>
                <w:sz w:val="20"/>
                <w:szCs w:val="20"/>
                <w:lang w:eastAsia="it-IT"/>
              </w:rPr>
              <w:t>бюджетної та комунальної сфери</w:t>
            </w:r>
          </w:p>
        </w:tc>
      </w:tr>
      <w:tr w:rsidR="00620F7D" w:rsidRPr="00C2587D" w14:paraId="2A4BAC79" w14:textId="77777777" w:rsidTr="004B3BEE">
        <w:trPr>
          <w:trHeight w:val="2102"/>
        </w:trPr>
        <w:tc>
          <w:tcPr>
            <w:tcW w:w="2693" w:type="dxa"/>
            <w:vMerge/>
            <w:vAlign w:val="center"/>
          </w:tcPr>
          <w:p w14:paraId="7E115EBF" w14:textId="77777777" w:rsidR="00620F7D" w:rsidRPr="00C2587D" w:rsidRDefault="00620F7D" w:rsidP="00620F7D">
            <w:pPr>
              <w:rPr>
                <w:rFonts w:cs="Arial"/>
                <w:color w:val="000000"/>
                <w:sz w:val="20"/>
                <w:szCs w:val="20"/>
                <w:lang w:eastAsia="uk-UA"/>
              </w:rPr>
            </w:pPr>
          </w:p>
        </w:tc>
        <w:tc>
          <w:tcPr>
            <w:tcW w:w="2840" w:type="dxa"/>
            <w:shd w:val="clear" w:color="auto" w:fill="auto"/>
            <w:vAlign w:val="center"/>
          </w:tcPr>
          <w:p w14:paraId="0BA82BB4" w14:textId="77777777" w:rsidR="00620F7D" w:rsidRPr="00C2587D" w:rsidRDefault="00620F7D" w:rsidP="00987B8D">
            <w:pPr>
              <w:autoSpaceDE w:val="0"/>
              <w:autoSpaceDN w:val="0"/>
              <w:adjustRightInd w:val="0"/>
              <w:rPr>
                <w:rFonts w:cs="Arial"/>
                <w:bCs/>
                <w:color w:val="000000"/>
                <w:sz w:val="20"/>
                <w:szCs w:val="20"/>
                <w:lang w:eastAsia="uk-UA"/>
              </w:rPr>
            </w:pPr>
            <w:r w:rsidRPr="00C2587D">
              <w:rPr>
                <w:rFonts w:cs="Arial"/>
                <w:bCs/>
                <w:sz w:val="20"/>
                <w:szCs w:val="20"/>
              </w:rPr>
              <w:t>В.2.2. Енергоефективні будівлі бюджетної, комунальної, житлової сфери та енергоаудит</w:t>
            </w:r>
          </w:p>
        </w:tc>
        <w:tc>
          <w:tcPr>
            <w:tcW w:w="9204" w:type="dxa"/>
            <w:shd w:val="clear" w:color="auto" w:fill="auto"/>
          </w:tcPr>
          <w:p w14:paraId="4DA149C5" w14:textId="77777777" w:rsidR="00620F7D" w:rsidRPr="00C2587D" w:rsidRDefault="00620F7D" w:rsidP="00682193">
            <w:pPr>
              <w:spacing w:before="20" w:after="20"/>
              <w:jc w:val="both"/>
              <w:rPr>
                <w:rFonts w:cs="Arial"/>
                <w:sz w:val="20"/>
                <w:szCs w:val="20"/>
              </w:rPr>
            </w:pPr>
            <w:r w:rsidRPr="00C2587D">
              <w:rPr>
                <w:rFonts w:cs="Arial"/>
                <w:sz w:val="20"/>
                <w:szCs w:val="20"/>
                <w:lang w:eastAsia="it-IT"/>
              </w:rPr>
              <w:t>В.2.2.1. Енергоаудит будівель комунальної власності (освіта, охорона здоров’я).</w:t>
            </w:r>
          </w:p>
          <w:p w14:paraId="3F97D8F1" w14:textId="77777777" w:rsidR="00620F7D" w:rsidRPr="00C2587D" w:rsidRDefault="00620F7D" w:rsidP="00682193">
            <w:pPr>
              <w:spacing w:before="20" w:after="20"/>
              <w:jc w:val="both"/>
              <w:rPr>
                <w:rFonts w:cs="Arial"/>
                <w:sz w:val="20"/>
                <w:szCs w:val="20"/>
                <w:lang w:eastAsia="it-IT"/>
              </w:rPr>
            </w:pPr>
            <w:r w:rsidRPr="00C2587D">
              <w:rPr>
                <w:rFonts w:cs="Arial"/>
                <w:sz w:val="20"/>
                <w:szCs w:val="20"/>
                <w:lang w:eastAsia="it-IT"/>
              </w:rPr>
              <w:t>В.2.2.2. Енергоаудит житлового сектору.</w:t>
            </w:r>
          </w:p>
          <w:p w14:paraId="3F6A6F3E" w14:textId="77777777" w:rsidR="00620F7D" w:rsidRPr="00C2587D" w:rsidRDefault="00620F7D" w:rsidP="00682193">
            <w:pPr>
              <w:spacing w:before="20" w:after="20"/>
              <w:jc w:val="both"/>
              <w:rPr>
                <w:rFonts w:cs="Arial"/>
                <w:sz w:val="20"/>
                <w:szCs w:val="20"/>
                <w:lang w:eastAsia="it-IT"/>
              </w:rPr>
            </w:pPr>
            <w:r w:rsidRPr="00C2587D">
              <w:rPr>
                <w:rFonts w:cs="Arial"/>
                <w:sz w:val="20"/>
                <w:szCs w:val="20"/>
                <w:lang w:eastAsia="it-IT"/>
              </w:rPr>
              <w:t>В.2.2.3. Впровадження енергоефективних заходів та обладнання на об’єктах комунальної власності громади, забезпечення термомодернізації об’єктів комунальної власності.</w:t>
            </w:r>
          </w:p>
          <w:p w14:paraId="713A6142" w14:textId="77777777" w:rsidR="00620F7D" w:rsidRPr="00C2587D" w:rsidRDefault="00620F7D" w:rsidP="00682193">
            <w:pPr>
              <w:spacing w:before="20" w:after="20"/>
              <w:jc w:val="both"/>
              <w:rPr>
                <w:rFonts w:cs="Arial"/>
                <w:sz w:val="20"/>
                <w:szCs w:val="20"/>
                <w:lang w:eastAsia="it-IT"/>
              </w:rPr>
            </w:pPr>
            <w:r w:rsidRPr="00C2587D">
              <w:rPr>
                <w:rFonts w:cs="Arial"/>
                <w:sz w:val="20"/>
                <w:szCs w:val="20"/>
                <w:lang w:eastAsia="it-IT"/>
              </w:rPr>
              <w:t>В.2.2.4. Сприяння у використані «теплих кредитів» для населення громади.</w:t>
            </w:r>
          </w:p>
          <w:p w14:paraId="67B2029B" w14:textId="77777777" w:rsidR="00620F7D" w:rsidRPr="00C2587D" w:rsidRDefault="00620F7D" w:rsidP="00682193">
            <w:pPr>
              <w:spacing w:before="20" w:after="20"/>
              <w:jc w:val="both"/>
              <w:rPr>
                <w:rFonts w:cs="Arial"/>
                <w:sz w:val="20"/>
                <w:szCs w:val="20"/>
              </w:rPr>
            </w:pPr>
            <w:r w:rsidRPr="00C2587D">
              <w:rPr>
                <w:rFonts w:cs="Arial"/>
                <w:sz w:val="20"/>
                <w:szCs w:val="20"/>
                <w:lang w:eastAsia="it-IT"/>
              </w:rPr>
              <w:t>В.2.2.5. Забезпечення житлового фонду та бюджетних установ приладами обліку для обліку споживання енергоносіїв.</w:t>
            </w:r>
          </w:p>
          <w:p w14:paraId="331AE839" w14:textId="77777777" w:rsidR="00620F7D" w:rsidRPr="00C2587D" w:rsidRDefault="00620F7D" w:rsidP="00682193">
            <w:pPr>
              <w:jc w:val="both"/>
              <w:rPr>
                <w:rFonts w:cs="Arial"/>
                <w:color w:val="000000"/>
                <w:sz w:val="20"/>
                <w:szCs w:val="20"/>
                <w:lang w:eastAsia="uk-UA"/>
              </w:rPr>
            </w:pPr>
            <w:r w:rsidRPr="00C2587D">
              <w:rPr>
                <w:rFonts w:cs="Arial"/>
                <w:sz w:val="20"/>
                <w:szCs w:val="20"/>
                <w:lang w:eastAsia="it-IT"/>
              </w:rPr>
              <w:t xml:space="preserve">В.2.2.6. </w:t>
            </w:r>
            <w:r w:rsidRPr="00C2587D">
              <w:rPr>
                <w:rFonts w:cs="Arial"/>
                <w:bCs/>
                <w:sz w:val="20"/>
                <w:szCs w:val="20"/>
              </w:rPr>
              <w:t>Впровадження альтернативної енергетики.</w:t>
            </w:r>
          </w:p>
        </w:tc>
      </w:tr>
      <w:tr w:rsidR="00620F7D" w:rsidRPr="00C2587D" w14:paraId="7FAFFA7F" w14:textId="77777777" w:rsidTr="004B3BEE">
        <w:trPr>
          <w:trHeight w:val="2244"/>
        </w:trPr>
        <w:tc>
          <w:tcPr>
            <w:tcW w:w="2693" w:type="dxa"/>
            <w:vMerge/>
            <w:vAlign w:val="center"/>
          </w:tcPr>
          <w:p w14:paraId="73CFF8E7" w14:textId="77777777" w:rsidR="00620F7D" w:rsidRPr="00C2587D" w:rsidRDefault="00620F7D" w:rsidP="00620F7D">
            <w:pPr>
              <w:rPr>
                <w:rFonts w:cs="Arial"/>
                <w:color w:val="000000"/>
                <w:sz w:val="20"/>
                <w:szCs w:val="20"/>
                <w:lang w:eastAsia="uk-UA"/>
              </w:rPr>
            </w:pPr>
          </w:p>
        </w:tc>
        <w:tc>
          <w:tcPr>
            <w:tcW w:w="2840" w:type="dxa"/>
            <w:shd w:val="clear" w:color="auto" w:fill="auto"/>
            <w:vAlign w:val="center"/>
          </w:tcPr>
          <w:p w14:paraId="67132B77" w14:textId="77777777" w:rsidR="00620F7D" w:rsidRPr="00C2587D" w:rsidRDefault="00620F7D" w:rsidP="00987B8D">
            <w:pPr>
              <w:rPr>
                <w:rFonts w:cs="Arial"/>
                <w:bCs/>
                <w:color w:val="000000"/>
                <w:sz w:val="20"/>
                <w:szCs w:val="20"/>
                <w:lang w:eastAsia="uk-UA"/>
              </w:rPr>
            </w:pPr>
            <w:r w:rsidRPr="00C2587D">
              <w:rPr>
                <w:rFonts w:cs="Arial"/>
                <w:bCs/>
                <w:sz w:val="20"/>
                <w:szCs w:val="20"/>
              </w:rPr>
              <w:t>В.2.3. Енергоефективна освітня та діалогова платформа</w:t>
            </w:r>
          </w:p>
        </w:tc>
        <w:tc>
          <w:tcPr>
            <w:tcW w:w="9204" w:type="dxa"/>
            <w:shd w:val="clear" w:color="auto" w:fill="auto"/>
          </w:tcPr>
          <w:p w14:paraId="65775B68"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В.2.3.1. Проведення Днів енергії.</w:t>
            </w:r>
          </w:p>
          <w:p w14:paraId="2EFA8331"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 xml:space="preserve">В.2.3.2. Впровадження системи навчання населення з питань енергоефективності. </w:t>
            </w:r>
          </w:p>
          <w:p w14:paraId="5B87C38B"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В.2.3.3. Проведення Форумів, виставок.</w:t>
            </w:r>
          </w:p>
          <w:p w14:paraId="0265960C"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В.2.3.4. Проведення інформаційної кампанії серед дітей, молоді та жителів громади щодо енергозбереження та запобігання змінам клімату.</w:t>
            </w:r>
          </w:p>
          <w:p w14:paraId="0E3A0914"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В.2.3.5. Запровадження просвітницьких компаній щодо запровадження кредитних механізмів енергоефективності для населення «Теплі кредити».</w:t>
            </w:r>
          </w:p>
          <w:p w14:paraId="637AF904" w14:textId="755139BD" w:rsidR="00620F7D" w:rsidRPr="00C2587D" w:rsidRDefault="00620F7D" w:rsidP="00682193">
            <w:pPr>
              <w:jc w:val="both"/>
              <w:rPr>
                <w:rFonts w:cs="Arial"/>
                <w:color w:val="000000"/>
                <w:sz w:val="20"/>
                <w:szCs w:val="20"/>
                <w:lang w:eastAsia="uk-UA"/>
              </w:rPr>
            </w:pPr>
            <w:r w:rsidRPr="00C2587D">
              <w:rPr>
                <w:rFonts w:eastAsia="Lucida Sans Unicode" w:cs="Arial"/>
                <w:kern w:val="1"/>
                <w:sz w:val="20"/>
                <w:szCs w:val="20"/>
                <w:lang w:eastAsia="ar-SA"/>
              </w:rPr>
              <w:t xml:space="preserve">В.2.3.6. </w:t>
            </w:r>
            <w:r w:rsidR="00314B9D">
              <w:rPr>
                <w:rFonts w:cs="Arial"/>
                <w:sz w:val="20"/>
                <w:szCs w:val="20"/>
              </w:rPr>
              <w:t>Проєкт</w:t>
            </w:r>
            <w:r w:rsidRPr="00C2587D">
              <w:rPr>
                <w:rFonts w:cs="Arial"/>
                <w:sz w:val="20"/>
                <w:szCs w:val="20"/>
              </w:rPr>
              <w:t xml:space="preserve">ний менеджмент в сфері енергоефективності, залучення міжнародної технічної допомоги для впровадження енергоефективних </w:t>
            </w:r>
            <w:r w:rsidR="00314B9D">
              <w:rPr>
                <w:rFonts w:cs="Arial"/>
                <w:sz w:val="20"/>
                <w:szCs w:val="20"/>
              </w:rPr>
              <w:t>проєкт</w:t>
            </w:r>
            <w:r w:rsidRPr="00C2587D">
              <w:rPr>
                <w:rFonts w:cs="Arial"/>
                <w:sz w:val="20"/>
                <w:szCs w:val="20"/>
              </w:rPr>
              <w:t>ів в житлових будівлях.</w:t>
            </w:r>
          </w:p>
        </w:tc>
      </w:tr>
      <w:tr w:rsidR="00620F7D" w:rsidRPr="00C2587D" w14:paraId="1201F745" w14:textId="77777777" w:rsidTr="004B3BEE">
        <w:trPr>
          <w:trHeight w:val="556"/>
        </w:trPr>
        <w:tc>
          <w:tcPr>
            <w:tcW w:w="2693" w:type="dxa"/>
            <w:vMerge w:val="restart"/>
            <w:vAlign w:val="center"/>
          </w:tcPr>
          <w:p w14:paraId="693CD244" w14:textId="77777777" w:rsidR="00620F7D" w:rsidRPr="00C2587D" w:rsidRDefault="00620F7D" w:rsidP="00620F7D">
            <w:pPr>
              <w:rPr>
                <w:rFonts w:cs="Arial"/>
                <w:color w:val="000000"/>
                <w:sz w:val="20"/>
                <w:szCs w:val="20"/>
                <w:lang w:eastAsia="uk-UA"/>
              </w:rPr>
            </w:pPr>
            <w:r w:rsidRPr="00C2587D">
              <w:rPr>
                <w:rFonts w:cs="Arial"/>
                <w:b/>
                <w:sz w:val="20"/>
                <w:szCs w:val="20"/>
                <w:lang w:eastAsia="uk-UA"/>
              </w:rPr>
              <w:t>В.3. Поліпшення  екологічного стану  навколишнього середовища</w:t>
            </w:r>
          </w:p>
        </w:tc>
        <w:tc>
          <w:tcPr>
            <w:tcW w:w="2840" w:type="dxa"/>
            <w:shd w:val="clear" w:color="auto" w:fill="auto"/>
            <w:vAlign w:val="center"/>
          </w:tcPr>
          <w:p w14:paraId="1A03E47E" w14:textId="73727D9C" w:rsidR="00620F7D" w:rsidRPr="00C2587D" w:rsidRDefault="00620F7D" w:rsidP="00987B8D">
            <w:pPr>
              <w:autoSpaceDE w:val="0"/>
              <w:autoSpaceDN w:val="0"/>
              <w:adjustRightInd w:val="0"/>
              <w:rPr>
                <w:rFonts w:cs="Arial"/>
                <w:bCs/>
                <w:color w:val="000000"/>
                <w:sz w:val="20"/>
                <w:szCs w:val="20"/>
                <w:lang w:eastAsia="uk-UA"/>
              </w:rPr>
            </w:pPr>
            <w:r w:rsidRPr="00C2587D">
              <w:rPr>
                <w:rFonts w:cs="Arial"/>
                <w:bCs/>
                <w:sz w:val="20"/>
                <w:szCs w:val="20"/>
              </w:rPr>
              <w:t>В.3.1. Сприяння збереження екосистеми громади</w:t>
            </w:r>
          </w:p>
        </w:tc>
        <w:tc>
          <w:tcPr>
            <w:tcW w:w="9204" w:type="dxa"/>
            <w:shd w:val="clear" w:color="auto" w:fill="auto"/>
          </w:tcPr>
          <w:p w14:paraId="226177A3"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В.3.1.1. Поліпшення екологічного стану річок і водойм громади.</w:t>
            </w:r>
          </w:p>
          <w:p w14:paraId="10377518"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В.3.1.2. Впровадження сучасних технологій очищення стічних вод.</w:t>
            </w:r>
          </w:p>
          <w:p w14:paraId="3A93DB22"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В.3.1.3. Покращення охорони водних ресурсів.</w:t>
            </w:r>
          </w:p>
          <w:p w14:paraId="554A70C8"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В.3.1.4. Очищення та дезінфекція громадських криниць.</w:t>
            </w:r>
          </w:p>
          <w:p w14:paraId="23D582CC"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В.3.1.5. Збільшення площі зелених насаджень в населених пунктах громади.</w:t>
            </w:r>
          </w:p>
          <w:p w14:paraId="5107934A"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В.3.1.6. Збільшення щорічно площі заліснення території громади шляхом лісорозведення та створення захисних лісових насаджень.</w:t>
            </w:r>
          </w:p>
          <w:p w14:paraId="2AAA6D27"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lastRenderedPageBreak/>
              <w:t>В.3.1.7. Охорона наявних лісових угідь від пожеж та самовільних рубок.</w:t>
            </w:r>
          </w:p>
          <w:p w14:paraId="672A40E4"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В.3.1.8. Покращення охорони природно-заповідного фонду.</w:t>
            </w:r>
          </w:p>
          <w:p w14:paraId="5B084EDB"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В.3.1.9. Забезпечення раціонального використання та охорони  земель.</w:t>
            </w:r>
          </w:p>
          <w:p w14:paraId="68C61434" w14:textId="77777777" w:rsidR="00620F7D" w:rsidRPr="00C2587D" w:rsidRDefault="00620F7D" w:rsidP="00682193">
            <w:pPr>
              <w:jc w:val="both"/>
              <w:rPr>
                <w:rFonts w:cs="Arial"/>
                <w:color w:val="000000"/>
                <w:sz w:val="20"/>
                <w:szCs w:val="20"/>
                <w:lang w:eastAsia="uk-UA"/>
              </w:rPr>
            </w:pPr>
            <w:r w:rsidRPr="00C2587D">
              <w:rPr>
                <w:rFonts w:eastAsia="Lucida Sans Unicode" w:cs="Arial"/>
                <w:kern w:val="1"/>
                <w:sz w:val="20"/>
                <w:szCs w:val="20"/>
                <w:lang w:eastAsia="ar-SA"/>
              </w:rPr>
              <w:t>В.3.1.10. Сприяння зменшенню забруднення атмосферного повітря.</w:t>
            </w:r>
          </w:p>
        </w:tc>
      </w:tr>
      <w:tr w:rsidR="00620F7D" w:rsidRPr="00C2587D" w14:paraId="7871F510" w14:textId="77777777" w:rsidTr="004B3BEE">
        <w:trPr>
          <w:trHeight w:val="3043"/>
        </w:trPr>
        <w:tc>
          <w:tcPr>
            <w:tcW w:w="2693" w:type="dxa"/>
            <w:vMerge/>
            <w:vAlign w:val="center"/>
          </w:tcPr>
          <w:p w14:paraId="3E07957D" w14:textId="77777777" w:rsidR="00620F7D" w:rsidRPr="00C2587D" w:rsidRDefault="00620F7D" w:rsidP="00620F7D">
            <w:pPr>
              <w:rPr>
                <w:rFonts w:cs="Arial"/>
                <w:b/>
                <w:sz w:val="20"/>
                <w:szCs w:val="20"/>
                <w:lang w:eastAsia="uk-UA"/>
              </w:rPr>
            </w:pPr>
          </w:p>
        </w:tc>
        <w:tc>
          <w:tcPr>
            <w:tcW w:w="2840" w:type="dxa"/>
            <w:shd w:val="clear" w:color="auto" w:fill="auto"/>
            <w:vAlign w:val="center"/>
          </w:tcPr>
          <w:p w14:paraId="2A6B51B7" w14:textId="77777777" w:rsidR="00620F7D" w:rsidRPr="00C2587D" w:rsidRDefault="00620F7D" w:rsidP="00987B8D">
            <w:pPr>
              <w:rPr>
                <w:rFonts w:cs="Arial"/>
                <w:bCs/>
                <w:color w:val="000000"/>
                <w:sz w:val="20"/>
                <w:szCs w:val="20"/>
                <w:lang w:eastAsia="uk-UA"/>
              </w:rPr>
            </w:pPr>
            <w:r w:rsidRPr="00C2587D">
              <w:rPr>
                <w:rFonts w:cs="Arial"/>
                <w:bCs/>
                <w:sz w:val="20"/>
                <w:szCs w:val="20"/>
                <w:lang w:eastAsia="uk-UA"/>
              </w:rPr>
              <w:t>В.3.2.</w:t>
            </w:r>
            <w:r w:rsidRPr="00C2587D">
              <w:rPr>
                <w:rFonts w:cs="Arial"/>
                <w:bCs/>
                <w:sz w:val="20"/>
                <w:szCs w:val="20"/>
              </w:rPr>
              <w:t>Комплексне ресурсоефективне  поводження з твердими побутовими відходами</w:t>
            </w:r>
          </w:p>
        </w:tc>
        <w:tc>
          <w:tcPr>
            <w:tcW w:w="9204" w:type="dxa"/>
            <w:shd w:val="clear" w:color="auto" w:fill="auto"/>
          </w:tcPr>
          <w:p w14:paraId="722AB45E"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В.3.2.1. Створення системи роздільного збирання та переробки сміття.</w:t>
            </w:r>
          </w:p>
          <w:p w14:paraId="6B5660A6"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В.3.2.2. Рекультивація міського сміттєзвалища та сміттєзвалища в смт. Браїлів.</w:t>
            </w:r>
          </w:p>
          <w:p w14:paraId="6BC6ACB9"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В.3.2.3. Налагодження організованої</w:t>
            </w:r>
            <w:r w:rsidRPr="00C2587D">
              <w:rPr>
                <w:rFonts w:eastAsia="Calibri" w:cs="Arial"/>
                <w:szCs w:val="22"/>
                <w:lang w:eastAsia="en-US"/>
              </w:rPr>
              <w:t xml:space="preserve"> </w:t>
            </w:r>
            <w:r w:rsidRPr="00C2587D">
              <w:rPr>
                <w:rFonts w:eastAsia="Lucida Sans Unicode" w:cs="Arial"/>
                <w:kern w:val="1"/>
                <w:sz w:val="20"/>
                <w:szCs w:val="20"/>
                <w:lang w:eastAsia="ar-SA"/>
              </w:rPr>
              <w:t>системи вивезення ТПВ по всіх населених пунктах.</w:t>
            </w:r>
          </w:p>
          <w:p w14:paraId="3FDD2F1E"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В.3.2.4. Сприяння створенню потужностей з переробки та утилізації ТПВ і рослинних відходів.</w:t>
            </w:r>
          </w:p>
          <w:p w14:paraId="236559C2"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 xml:space="preserve">В.3.2.5. </w:t>
            </w:r>
            <w:r w:rsidRPr="00C2587D">
              <w:rPr>
                <w:rFonts w:eastAsia="Lucida Sans Unicode" w:cs="Arial"/>
                <w:bCs/>
                <w:kern w:val="1"/>
                <w:sz w:val="20"/>
                <w:szCs w:val="20"/>
                <w:lang w:eastAsia="ar-SA"/>
              </w:rPr>
              <w:t xml:space="preserve">Проведення конкурсу на виконавця послуг із збирання, вивезення та утилізації ТПВ. </w:t>
            </w:r>
          </w:p>
          <w:p w14:paraId="02312260"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 xml:space="preserve">В.3.2.6. Підтримка бізнесу в сфері поводження з ТПВ. </w:t>
            </w:r>
          </w:p>
          <w:p w14:paraId="32006783" w14:textId="77777777" w:rsidR="00620F7D" w:rsidRPr="00C2587D" w:rsidRDefault="00620F7D" w:rsidP="00682193">
            <w:pPr>
              <w:suppressAutoHyphens/>
              <w:spacing w:before="20" w:after="20"/>
              <w:jc w:val="both"/>
              <w:rPr>
                <w:rFonts w:eastAsia="Lucida Sans Unicode" w:cs="Arial"/>
                <w:bCs/>
                <w:kern w:val="1"/>
                <w:sz w:val="20"/>
                <w:szCs w:val="20"/>
                <w:lang w:eastAsia="ar-SA"/>
              </w:rPr>
            </w:pPr>
            <w:r w:rsidRPr="00C2587D">
              <w:rPr>
                <w:rFonts w:eastAsia="Lucida Sans Unicode" w:cs="Arial"/>
                <w:kern w:val="1"/>
                <w:sz w:val="20"/>
                <w:szCs w:val="20"/>
                <w:lang w:eastAsia="ar-SA"/>
              </w:rPr>
              <w:t>В.3.2.7. Запобігання утворенню стихійних сміттєзвалищ.</w:t>
            </w:r>
          </w:p>
          <w:p w14:paraId="548FCDA1" w14:textId="77777777" w:rsidR="00620F7D" w:rsidRPr="00C2587D" w:rsidRDefault="00620F7D" w:rsidP="00682193">
            <w:pPr>
              <w:suppressAutoHyphens/>
              <w:spacing w:before="20" w:after="20"/>
              <w:jc w:val="both"/>
              <w:rPr>
                <w:rFonts w:eastAsia="Lucida Sans Unicode" w:cs="Arial"/>
                <w:bCs/>
                <w:kern w:val="1"/>
                <w:sz w:val="20"/>
                <w:szCs w:val="20"/>
                <w:lang w:eastAsia="ar-SA"/>
              </w:rPr>
            </w:pPr>
            <w:r w:rsidRPr="00C2587D">
              <w:rPr>
                <w:rFonts w:eastAsia="Lucida Sans Unicode" w:cs="Arial"/>
                <w:kern w:val="1"/>
                <w:sz w:val="20"/>
                <w:szCs w:val="20"/>
                <w:lang w:eastAsia="ar-SA"/>
              </w:rPr>
              <w:t xml:space="preserve">В.3.2.8. </w:t>
            </w:r>
            <w:r w:rsidRPr="00C2587D">
              <w:rPr>
                <w:rFonts w:eastAsia="Lucida Sans Unicode" w:cs="Arial"/>
                <w:bCs/>
                <w:kern w:val="1"/>
                <w:sz w:val="20"/>
                <w:szCs w:val="20"/>
                <w:lang w:eastAsia="ar-SA"/>
              </w:rPr>
              <w:t xml:space="preserve">Затвердження економічно-обґрунтованих тарифів на послуги з поводження з побутовими відходами. </w:t>
            </w:r>
          </w:p>
          <w:p w14:paraId="2BD07D72" w14:textId="77777777" w:rsidR="00620F7D" w:rsidRPr="00C2587D" w:rsidRDefault="00620F7D" w:rsidP="00682193">
            <w:pPr>
              <w:suppressAutoHyphens/>
              <w:spacing w:before="20" w:after="20"/>
              <w:jc w:val="both"/>
              <w:rPr>
                <w:rFonts w:eastAsia="Lucida Sans Unicode" w:cs="Arial"/>
                <w:bCs/>
                <w:kern w:val="1"/>
                <w:sz w:val="20"/>
                <w:szCs w:val="20"/>
                <w:lang w:eastAsia="ar-SA"/>
              </w:rPr>
            </w:pPr>
            <w:r w:rsidRPr="00C2587D">
              <w:rPr>
                <w:rFonts w:eastAsia="Lucida Sans Unicode" w:cs="Arial"/>
                <w:kern w:val="1"/>
                <w:sz w:val="20"/>
                <w:szCs w:val="20"/>
                <w:lang w:eastAsia="ar-SA"/>
              </w:rPr>
              <w:t xml:space="preserve">В.3.2.9. </w:t>
            </w:r>
            <w:r w:rsidRPr="00C2587D">
              <w:rPr>
                <w:rFonts w:eastAsia="Lucida Sans Unicode" w:cs="Arial"/>
                <w:bCs/>
                <w:kern w:val="1"/>
                <w:sz w:val="20"/>
                <w:szCs w:val="20"/>
                <w:lang w:eastAsia="ar-SA"/>
              </w:rPr>
              <w:t>Облаштування майданчиків для роздільного збору ТПВ, закупівля контейнерів із роздільного збору ТПВ.</w:t>
            </w:r>
          </w:p>
          <w:p w14:paraId="78693DBA" w14:textId="77777777" w:rsidR="00620F7D" w:rsidRPr="00C2587D" w:rsidRDefault="00620F7D" w:rsidP="00682193">
            <w:pPr>
              <w:jc w:val="both"/>
              <w:rPr>
                <w:rFonts w:cs="Arial"/>
                <w:color w:val="000000"/>
                <w:sz w:val="20"/>
                <w:szCs w:val="20"/>
                <w:lang w:eastAsia="uk-UA"/>
              </w:rPr>
            </w:pPr>
            <w:r w:rsidRPr="00C2587D">
              <w:rPr>
                <w:rFonts w:eastAsia="Lucida Sans Unicode" w:cs="Arial"/>
                <w:kern w:val="1"/>
                <w:sz w:val="20"/>
                <w:szCs w:val="20"/>
                <w:lang w:eastAsia="ar-SA"/>
              </w:rPr>
              <w:t xml:space="preserve">В.3.2.10. </w:t>
            </w:r>
            <w:r w:rsidRPr="00C2587D">
              <w:rPr>
                <w:rFonts w:eastAsia="Lucida Sans Unicode" w:cs="Arial"/>
                <w:bCs/>
                <w:kern w:val="1"/>
                <w:sz w:val="20"/>
                <w:szCs w:val="20"/>
                <w:lang w:eastAsia="ar-SA"/>
              </w:rPr>
              <w:t>Оновлення спецтехніки.</w:t>
            </w:r>
          </w:p>
        </w:tc>
      </w:tr>
      <w:tr w:rsidR="00620F7D" w:rsidRPr="00C2587D" w14:paraId="0A142097" w14:textId="77777777" w:rsidTr="004B3BEE">
        <w:trPr>
          <w:trHeight w:val="1342"/>
        </w:trPr>
        <w:tc>
          <w:tcPr>
            <w:tcW w:w="2693" w:type="dxa"/>
            <w:vMerge/>
            <w:vAlign w:val="center"/>
          </w:tcPr>
          <w:p w14:paraId="373AD52B" w14:textId="77777777" w:rsidR="00620F7D" w:rsidRPr="00C2587D" w:rsidRDefault="00620F7D" w:rsidP="00620F7D">
            <w:pPr>
              <w:rPr>
                <w:rFonts w:cs="Arial"/>
                <w:b/>
                <w:sz w:val="20"/>
                <w:szCs w:val="20"/>
                <w:lang w:eastAsia="uk-UA"/>
              </w:rPr>
            </w:pPr>
          </w:p>
        </w:tc>
        <w:tc>
          <w:tcPr>
            <w:tcW w:w="2840" w:type="dxa"/>
            <w:shd w:val="clear" w:color="auto" w:fill="auto"/>
            <w:vAlign w:val="center"/>
          </w:tcPr>
          <w:p w14:paraId="01443256" w14:textId="2A4F79D8" w:rsidR="00620F7D" w:rsidRPr="00C2587D" w:rsidRDefault="00620F7D" w:rsidP="00987B8D">
            <w:pPr>
              <w:rPr>
                <w:rFonts w:cs="Arial"/>
                <w:bCs/>
                <w:color w:val="000000"/>
                <w:sz w:val="20"/>
                <w:szCs w:val="20"/>
                <w:lang w:eastAsia="uk-UA"/>
              </w:rPr>
            </w:pPr>
            <w:r w:rsidRPr="00C2587D">
              <w:rPr>
                <w:rFonts w:cs="Arial"/>
                <w:bCs/>
                <w:sz w:val="20"/>
                <w:szCs w:val="20"/>
              </w:rPr>
              <w:t>В.3.3. Озеленення громади, організація зон рекреації</w:t>
            </w:r>
          </w:p>
        </w:tc>
        <w:tc>
          <w:tcPr>
            <w:tcW w:w="9204" w:type="dxa"/>
            <w:shd w:val="clear" w:color="auto" w:fill="auto"/>
          </w:tcPr>
          <w:p w14:paraId="304BB2C8" w14:textId="77777777" w:rsidR="00620F7D" w:rsidRPr="00C2587D" w:rsidRDefault="00620F7D" w:rsidP="00682193">
            <w:pPr>
              <w:spacing w:before="20" w:after="20"/>
              <w:jc w:val="both"/>
              <w:rPr>
                <w:rFonts w:cs="Arial"/>
                <w:sz w:val="20"/>
                <w:szCs w:val="20"/>
              </w:rPr>
            </w:pPr>
            <w:r w:rsidRPr="00C2587D">
              <w:rPr>
                <w:rFonts w:cs="Arial"/>
                <w:sz w:val="20"/>
                <w:szCs w:val="20"/>
              </w:rPr>
              <w:t>В.3.3.1. Придбання спецтехніки для проведення робіт з благоустрою.</w:t>
            </w:r>
          </w:p>
          <w:p w14:paraId="63167C92" w14:textId="77777777" w:rsidR="00620F7D" w:rsidRPr="00C2587D" w:rsidRDefault="00620F7D" w:rsidP="00682193">
            <w:pPr>
              <w:spacing w:before="20" w:after="20"/>
              <w:jc w:val="both"/>
              <w:rPr>
                <w:rFonts w:cs="Arial"/>
                <w:sz w:val="20"/>
                <w:szCs w:val="20"/>
              </w:rPr>
            </w:pPr>
            <w:r w:rsidRPr="00C2587D">
              <w:rPr>
                <w:rFonts w:cs="Arial"/>
                <w:sz w:val="20"/>
                <w:szCs w:val="20"/>
              </w:rPr>
              <w:t>В.3.3.2. Придбання та посадка зелених насаджень (дерева та кущі).</w:t>
            </w:r>
          </w:p>
          <w:p w14:paraId="70B5D12E" w14:textId="77777777" w:rsidR="00620F7D" w:rsidRPr="00C2587D" w:rsidRDefault="00620F7D" w:rsidP="00682193">
            <w:pPr>
              <w:spacing w:before="20" w:after="20"/>
              <w:jc w:val="both"/>
              <w:rPr>
                <w:rFonts w:cs="Arial"/>
                <w:sz w:val="20"/>
                <w:szCs w:val="20"/>
              </w:rPr>
            </w:pPr>
            <w:r w:rsidRPr="00C2587D">
              <w:rPr>
                <w:rFonts w:cs="Arial"/>
                <w:sz w:val="20"/>
                <w:szCs w:val="20"/>
              </w:rPr>
              <w:t xml:space="preserve">В.3.3.3. Проведення планування прибудинкових територій, облаштування клумб, вуличних вазонів,  фонтанів, декоративних та ігрових скульптур, огорож, воріт тощо. </w:t>
            </w:r>
          </w:p>
          <w:p w14:paraId="0A26B5AB" w14:textId="77777777" w:rsidR="00620F7D" w:rsidRPr="00C2587D" w:rsidRDefault="00620F7D" w:rsidP="00682193">
            <w:pPr>
              <w:jc w:val="both"/>
              <w:rPr>
                <w:rFonts w:cs="Arial"/>
                <w:color w:val="000000"/>
                <w:sz w:val="20"/>
                <w:szCs w:val="20"/>
                <w:lang w:eastAsia="uk-UA"/>
              </w:rPr>
            </w:pPr>
            <w:r w:rsidRPr="00C2587D">
              <w:rPr>
                <w:rFonts w:cs="Arial"/>
                <w:sz w:val="20"/>
                <w:szCs w:val="20"/>
              </w:rPr>
              <w:t>В.3.3.4. Боротьба з карантинними рослинами.</w:t>
            </w:r>
          </w:p>
        </w:tc>
      </w:tr>
      <w:tr w:rsidR="00620F7D" w:rsidRPr="00C2587D" w14:paraId="4815C050" w14:textId="77777777" w:rsidTr="00987B8D">
        <w:trPr>
          <w:trHeight w:val="318"/>
        </w:trPr>
        <w:tc>
          <w:tcPr>
            <w:tcW w:w="2693" w:type="dxa"/>
            <w:vMerge/>
            <w:vAlign w:val="center"/>
          </w:tcPr>
          <w:p w14:paraId="59F6DC82" w14:textId="77777777" w:rsidR="00620F7D" w:rsidRPr="00C2587D" w:rsidRDefault="00620F7D" w:rsidP="00620F7D">
            <w:pPr>
              <w:rPr>
                <w:rFonts w:cs="Arial"/>
                <w:b/>
                <w:sz w:val="20"/>
                <w:szCs w:val="20"/>
                <w:lang w:eastAsia="uk-UA"/>
              </w:rPr>
            </w:pPr>
          </w:p>
        </w:tc>
        <w:tc>
          <w:tcPr>
            <w:tcW w:w="2840" w:type="dxa"/>
            <w:shd w:val="clear" w:color="auto" w:fill="auto"/>
            <w:vAlign w:val="center"/>
          </w:tcPr>
          <w:p w14:paraId="70C2DC7A" w14:textId="77777777" w:rsidR="00620F7D" w:rsidRPr="00C2587D" w:rsidRDefault="00620F7D" w:rsidP="00987B8D">
            <w:pPr>
              <w:rPr>
                <w:rFonts w:cs="Arial"/>
                <w:bCs/>
                <w:color w:val="000000"/>
                <w:sz w:val="20"/>
                <w:szCs w:val="20"/>
                <w:lang w:eastAsia="uk-UA"/>
              </w:rPr>
            </w:pPr>
            <w:r w:rsidRPr="00C2587D">
              <w:rPr>
                <w:rFonts w:cs="Arial"/>
                <w:bCs/>
                <w:sz w:val="20"/>
                <w:szCs w:val="20"/>
                <w:lang w:eastAsia="uk-UA"/>
              </w:rPr>
              <w:t>В.3.4. Підвищення рівня екологічної свідомості, екологічної культури мешканців громади</w:t>
            </w:r>
          </w:p>
        </w:tc>
        <w:tc>
          <w:tcPr>
            <w:tcW w:w="9204" w:type="dxa"/>
            <w:shd w:val="clear" w:color="auto" w:fill="auto"/>
          </w:tcPr>
          <w:p w14:paraId="7E912B61"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В.3.4.1. Формування у мешканців громади навичок щодо збереження довкілля.</w:t>
            </w:r>
          </w:p>
          <w:p w14:paraId="223A1A35"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В.3.4.2. Створення системи залучення жителів громади до розв’язання екологічних проблем.</w:t>
            </w:r>
          </w:p>
          <w:p w14:paraId="2A0C215F"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В.3.4.3. Підтримка діяльності міського екологічного клубу.</w:t>
            </w:r>
          </w:p>
          <w:p w14:paraId="2E69033E"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В.3.4.4. Проведення агітаційно-роз’яснювальної роботи серед населення громади щодо роздільного збирання ресурсоцінних компонентів побутових відходів.</w:t>
            </w:r>
          </w:p>
          <w:p w14:paraId="0DAE312D"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В.3.4.5. Запровадження бонусів при сплаті за вивезення ТПВ.</w:t>
            </w:r>
          </w:p>
          <w:p w14:paraId="6EA1420B"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В.3.4.6. Проведення масово-роз’яснювальної роботи серед жителів громади, особливо дітей молодшого віку, учнів і молоді щодо енергозбереження та запобігання зміни клімату.</w:t>
            </w:r>
          </w:p>
          <w:p w14:paraId="3B6F90C4" w14:textId="77777777" w:rsidR="00620F7D" w:rsidRPr="00C2587D" w:rsidRDefault="00620F7D" w:rsidP="00682193">
            <w:pPr>
              <w:suppressAutoHyphens/>
              <w:spacing w:before="20" w:after="20"/>
              <w:jc w:val="both"/>
              <w:rPr>
                <w:rFonts w:eastAsia="Lucida Sans Unicode" w:cs="Arial"/>
                <w:kern w:val="1"/>
                <w:sz w:val="20"/>
                <w:szCs w:val="20"/>
                <w:lang w:eastAsia="ar-SA"/>
              </w:rPr>
            </w:pPr>
            <w:r w:rsidRPr="00C2587D">
              <w:rPr>
                <w:rFonts w:eastAsia="Lucida Sans Unicode" w:cs="Arial"/>
                <w:kern w:val="1"/>
                <w:sz w:val="20"/>
                <w:szCs w:val="20"/>
                <w:lang w:eastAsia="ar-SA"/>
              </w:rPr>
              <w:t>В.3.4.7. Розроблення для навчальних закладів громади програм екологічної освіти  та освіти для збалансованого  (сталого) розвитку.</w:t>
            </w:r>
          </w:p>
          <w:p w14:paraId="421170EA" w14:textId="77777777" w:rsidR="00620F7D" w:rsidRPr="00C2587D" w:rsidRDefault="00620F7D" w:rsidP="00682193">
            <w:pPr>
              <w:jc w:val="both"/>
              <w:rPr>
                <w:rFonts w:cs="Arial"/>
                <w:sz w:val="20"/>
                <w:szCs w:val="20"/>
                <w:lang w:eastAsia="it-IT"/>
              </w:rPr>
            </w:pPr>
            <w:r w:rsidRPr="00C2587D">
              <w:rPr>
                <w:rFonts w:eastAsia="Lucida Sans Unicode" w:cs="Arial"/>
                <w:kern w:val="1"/>
                <w:sz w:val="20"/>
                <w:szCs w:val="20"/>
                <w:lang w:eastAsia="ar-SA"/>
              </w:rPr>
              <w:t xml:space="preserve">В.3.4.8. </w:t>
            </w:r>
            <w:r w:rsidRPr="00C2587D">
              <w:rPr>
                <w:rFonts w:cs="Arial"/>
                <w:sz w:val="20"/>
                <w:szCs w:val="20"/>
                <w:lang w:eastAsia="en-US"/>
              </w:rPr>
              <w:t>Проведення екологічних акцій</w:t>
            </w:r>
            <w:r w:rsidRPr="00C2587D">
              <w:rPr>
                <w:rFonts w:cs="Arial"/>
                <w:sz w:val="20"/>
                <w:szCs w:val="20"/>
                <w:lang w:eastAsia="it-IT"/>
              </w:rPr>
              <w:t xml:space="preserve"> очищення берегів річок та озер, території лісосмуг, розчищення й розмулення  джерел, тощо.</w:t>
            </w:r>
          </w:p>
          <w:p w14:paraId="3225A650" w14:textId="77777777" w:rsidR="00620F7D" w:rsidRPr="00C2587D" w:rsidRDefault="00620F7D" w:rsidP="00682193">
            <w:pPr>
              <w:spacing w:before="20" w:after="20"/>
              <w:jc w:val="both"/>
              <w:rPr>
                <w:rFonts w:cs="Arial"/>
                <w:sz w:val="20"/>
                <w:szCs w:val="20"/>
              </w:rPr>
            </w:pPr>
            <w:r w:rsidRPr="00C2587D">
              <w:rPr>
                <w:rFonts w:eastAsia="Lucida Sans Unicode" w:cs="Arial"/>
                <w:kern w:val="1"/>
                <w:sz w:val="20"/>
                <w:szCs w:val="20"/>
                <w:lang w:eastAsia="ar-SA"/>
              </w:rPr>
              <w:t xml:space="preserve">В.3.4.9. </w:t>
            </w:r>
            <w:r w:rsidRPr="00C2587D">
              <w:rPr>
                <w:rFonts w:cs="Arial"/>
                <w:sz w:val="20"/>
                <w:szCs w:val="20"/>
              </w:rPr>
              <w:t>Проведення загальноміських толок з прибирання населених пунктів, озеленення скверів.</w:t>
            </w:r>
          </w:p>
          <w:p w14:paraId="696A14B7" w14:textId="77777777" w:rsidR="00620F7D" w:rsidRPr="00C2587D" w:rsidRDefault="00620F7D" w:rsidP="00682193">
            <w:pPr>
              <w:spacing w:before="20" w:after="20"/>
              <w:jc w:val="both"/>
              <w:rPr>
                <w:rFonts w:cs="Arial"/>
                <w:sz w:val="20"/>
                <w:szCs w:val="20"/>
              </w:rPr>
            </w:pPr>
            <w:r w:rsidRPr="00C2587D">
              <w:rPr>
                <w:rFonts w:eastAsia="Lucida Sans Unicode" w:cs="Arial"/>
                <w:kern w:val="1"/>
                <w:sz w:val="20"/>
                <w:szCs w:val="20"/>
                <w:lang w:eastAsia="ar-SA"/>
              </w:rPr>
              <w:t xml:space="preserve">В.3.4.10. </w:t>
            </w:r>
            <w:r w:rsidRPr="00C2587D">
              <w:rPr>
                <w:rFonts w:cs="Arial"/>
                <w:sz w:val="20"/>
                <w:szCs w:val="20"/>
              </w:rPr>
              <w:t>Продовження діяльності міського екологічного клубу.</w:t>
            </w:r>
          </w:p>
          <w:p w14:paraId="25A99F87" w14:textId="77777777" w:rsidR="00620F7D" w:rsidRPr="00C2587D" w:rsidRDefault="00620F7D" w:rsidP="00682193">
            <w:pPr>
              <w:spacing w:before="20" w:after="20"/>
              <w:jc w:val="both"/>
              <w:rPr>
                <w:rFonts w:cs="Arial"/>
                <w:sz w:val="20"/>
                <w:szCs w:val="20"/>
              </w:rPr>
            </w:pPr>
            <w:r w:rsidRPr="00C2587D">
              <w:rPr>
                <w:rFonts w:eastAsia="Lucida Sans Unicode" w:cs="Arial"/>
                <w:kern w:val="1"/>
                <w:sz w:val="20"/>
                <w:szCs w:val="20"/>
                <w:lang w:eastAsia="ar-SA"/>
              </w:rPr>
              <w:t xml:space="preserve">В.3.4.11. </w:t>
            </w:r>
            <w:r w:rsidRPr="00C2587D">
              <w:rPr>
                <w:rFonts w:cs="Arial"/>
                <w:sz w:val="20"/>
                <w:szCs w:val="20"/>
              </w:rPr>
              <w:t>Проведення семінарів, тренінгів  з ознайомленням з кращими практиками екологічної роботи.</w:t>
            </w:r>
          </w:p>
          <w:p w14:paraId="7759B8DC" w14:textId="77777777" w:rsidR="00620F7D" w:rsidRPr="00C2587D" w:rsidRDefault="00620F7D" w:rsidP="00682193">
            <w:pPr>
              <w:jc w:val="both"/>
              <w:rPr>
                <w:rFonts w:cs="Arial"/>
                <w:color w:val="000000"/>
                <w:sz w:val="20"/>
                <w:szCs w:val="20"/>
                <w:lang w:eastAsia="uk-UA"/>
              </w:rPr>
            </w:pPr>
            <w:r w:rsidRPr="00C2587D">
              <w:rPr>
                <w:rFonts w:eastAsia="Lucida Sans Unicode" w:cs="Arial"/>
                <w:kern w:val="1"/>
                <w:sz w:val="20"/>
                <w:szCs w:val="20"/>
                <w:lang w:eastAsia="ar-SA"/>
              </w:rPr>
              <w:t xml:space="preserve">В.3.4.12. </w:t>
            </w:r>
            <w:r w:rsidRPr="00C2587D">
              <w:rPr>
                <w:rFonts w:cs="Arial"/>
                <w:sz w:val="20"/>
                <w:szCs w:val="20"/>
              </w:rPr>
              <w:t>Щорічне проведення Тижнів сталої енергії.</w:t>
            </w:r>
          </w:p>
        </w:tc>
      </w:tr>
      <w:tr w:rsidR="00620F7D" w:rsidRPr="00C2587D" w14:paraId="0D70AA5A" w14:textId="77777777" w:rsidTr="004B3BEE">
        <w:trPr>
          <w:trHeight w:val="3958"/>
        </w:trPr>
        <w:tc>
          <w:tcPr>
            <w:tcW w:w="2693" w:type="dxa"/>
            <w:vMerge w:val="restart"/>
            <w:vAlign w:val="center"/>
          </w:tcPr>
          <w:p w14:paraId="0D734F13" w14:textId="77777777" w:rsidR="00620F7D" w:rsidRPr="00C2587D" w:rsidRDefault="00620F7D" w:rsidP="00987B8D">
            <w:pPr>
              <w:rPr>
                <w:rFonts w:cs="Arial"/>
                <w:color w:val="000000"/>
                <w:sz w:val="20"/>
                <w:szCs w:val="20"/>
                <w:lang w:eastAsia="uk-UA"/>
              </w:rPr>
            </w:pPr>
            <w:r w:rsidRPr="00C2587D">
              <w:rPr>
                <w:rFonts w:cs="Arial"/>
                <w:b/>
                <w:sz w:val="20"/>
                <w:szCs w:val="20"/>
                <w:lang w:eastAsia="uk-UA"/>
              </w:rPr>
              <w:lastRenderedPageBreak/>
              <w:t>В.4. Ефективна система безпеки громади</w:t>
            </w:r>
          </w:p>
        </w:tc>
        <w:tc>
          <w:tcPr>
            <w:tcW w:w="2840" w:type="dxa"/>
            <w:shd w:val="clear" w:color="auto" w:fill="auto"/>
            <w:vAlign w:val="center"/>
          </w:tcPr>
          <w:p w14:paraId="5C960E5A" w14:textId="77777777" w:rsidR="00620F7D" w:rsidRPr="00C2587D" w:rsidRDefault="00620F7D" w:rsidP="00987B8D">
            <w:pPr>
              <w:autoSpaceDE w:val="0"/>
              <w:autoSpaceDN w:val="0"/>
              <w:adjustRightInd w:val="0"/>
              <w:rPr>
                <w:rFonts w:cs="Arial"/>
                <w:bCs/>
                <w:sz w:val="20"/>
                <w:szCs w:val="20"/>
              </w:rPr>
            </w:pPr>
            <w:r w:rsidRPr="00C2587D">
              <w:rPr>
                <w:rFonts w:cs="Arial"/>
                <w:bCs/>
                <w:sz w:val="20"/>
                <w:szCs w:val="20"/>
              </w:rPr>
              <w:t>В.4.1. Впровадження  Центру безпеки та активної безпекової платформи</w:t>
            </w:r>
          </w:p>
          <w:p w14:paraId="03B18544" w14:textId="77777777" w:rsidR="00620F7D" w:rsidRPr="00C2587D" w:rsidRDefault="00620F7D" w:rsidP="00987B8D">
            <w:pPr>
              <w:rPr>
                <w:rFonts w:cs="Arial"/>
                <w:bCs/>
                <w:color w:val="000000"/>
                <w:sz w:val="20"/>
                <w:szCs w:val="20"/>
                <w:lang w:eastAsia="uk-UA"/>
              </w:rPr>
            </w:pPr>
          </w:p>
        </w:tc>
        <w:tc>
          <w:tcPr>
            <w:tcW w:w="9204" w:type="dxa"/>
            <w:shd w:val="clear" w:color="auto" w:fill="auto"/>
          </w:tcPr>
          <w:p w14:paraId="4C522AC3" w14:textId="77777777" w:rsidR="00620F7D" w:rsidRPr="00C2587D" w:rsidRDefault="00620F7D" w:rsidP="00682193">
            <w:pPr>
              <w:spacing w:before="20" w:after="20"/>
              <w:jc w:val="both"/>
              <w:rPr>
                <w:rFonts w:cs="Arial"/>
                <w:sz w:val="20"/>
                <w:szCs w:val="20"/>
              </w:rPr>
            </w:pPr>
            <w:r w:rsidRPr="00C2587D">
              <w:rPr>
                <w:rFonts w:cs="Arial"/>
                <w:sz w:val="20"/>
                <w:szCs w:val="20"/>
              </w:rPr>
              <w:t>В.4.1.1. Створення Центру безпеки.</w:t>
            </w:r>
          </w:p>
          <w:p w14:paraId="073F695D" w14:textId="77777777" w:rsidR="00620F7D" w:rsidRPr="00C2587D" w:rsidRDefault="00620F7D" w:rsidP="00682193">
            <w:pPr>
              <w:spacing w:before="20" w:after="20"/>
              <w:jc w:val="both"/>
              <w:rPr>
                <w:rFonts w:cs="Arial"/>
                <w:sz w:val="20"/>
                <w:szCs w:val="20"/>
              </w:rPr>
            </w:pPr>
            <w:r w:rsidRPr="00C2587D">
              <w:rPr>
                <w:rFonts w:cs="Arial"/>
                <w:sz w:val="20"/>
                <w:szCs w:val="20"/>
              </w:rPr>
              <w:t>В.4.1.2. Започаткування практики проведення засідань Робочої групи з безпеки із залученням дільничних, міської ради, громадських організацій, представників правозахисних структур громади для забезпечення найвищого рівня взаємодії усіх зацікавлених сторін.</w:t>
            </w:r>
          </w:p>
          <w:p w14:paraId="26B9C531" w14:textId="77777777" w:rsidR="00620F7D" w:rsidRPr="00C2587D" w:rsidRDefault="00620F7D" w:rsidP="00682193">
            <w:pPr>
              <w:spacing w:before="20" w:after="20"/>
              <w:jc w:val="both"/>
              <w:rPr>
                <w:rFonts w:cs="Arial"/>
                <w:sz w:val="20"/>
                <w:szCs w:val="20"/>
              </w:rPr>
            </w:pPr>
            <w:r w:rsidRPr="00C2587D">
              <w:rPr>
                <w:rFonts w:cs="Arial"/>
                <w:sz w:val="20"/>
                <w:szCs w:val="20"/>
              </w:rPr>
              <w:t>В.4.1.3. Інформування громади про розповсюджені види правопорушень,  планування та реалізація спільних заходів з їх запобігання.</w:t>
            </w:r>
          </w:p>
          <w:p w14:paraId="3FCEA950" w14:textId="77777777" w:rsidR="00620F7D" w:rsidRPr="00C2587D" w:rsidRDefault="00620F7D" w:rsidP="00682193">
            <w:pPr>
              <w:spacing w:before="20" w:after="20"/>
              <w:jc w:val="both"/>
              <w:rPr>
                <w:rFonts w:cs="Arial"/>
                <w:sz w:val="20"/>
                <w:szCs w:val="20"/>
              </w:rPr>
            </w:pPr>
            <w:r w:rsidRPr="00C2587D">
              <w:rPr>
                <w:rFonts w:cs="Arial"/>
                <w:sz w:val="20"/>
                <w:szCs w:val="20"/>
              </w:rPr>
              <w:t>В.4.1.4. Просвітницька кампанія серед учнівської молоді з питань протидії соціальним захворюванням та правопорушенням (алкоголізм, наркоманія, агресивна поведінка тощо).</w:t>
            </w:r>
          </w:p>
          <w:p w14:paraId="76424AF6" w14:textId="77777777" w:rsidR="00620F7D" w:rsidRPr="00C2587D" w:rsidRDefault="00620F7D" w:rsidP="00682193">
            <w:pPr>
              <w:spacing w:before="20" w:after="20"/>
              <w:jc w:val="both"/>
              <w:rPr>
                <w:rFonts w:cs="Arial"/>
                <w:sz w:val="20"/>
                <w:szCs w:val="20"/>
              </w:rPr>
            </w:pPr>
            <w:r w:rsidRPr="00C2587D">
              <w:rPr>
                <w:rFonts w:cs="Arial"/>
                <w:sz w:val="20"/>
                <w:szCs w:val="20"/>
              </w:rPr>
              <w:t xml:space="preserve">В.4.1.5. </w:t>
            </w:r>
            <w:r w:rsidRPr="00C2587D">
              <w:rPr>
                <w:rFonts w:cs="Arial"/>
                <w:sz w:val="20"/>
                <w:szCs w:val="20"/>
                <w:lang w:eastAsia="it-IT"/>
              </w:rPr>
              <w:t>Відновлення громадських формувань для охорони громадського порядку.</w:t>
            </w:r>
          </w:p>
          <w:p w14:paraId="6842A498" w14:textId="77777777" w:rsidR="00620F7D" w:rsidRPr="00C2587D" w:rsidRDefault="00620F7D" w:rsidP="00682193">
            <w:pPr>
              <w:spacing w:before="20" w:after="20"/>
              <w:jc w:val="both"/>
              <w:rPr>
                <w:rFonts w:cs="Arial"/>
                <w:sz w:val="20"/>
                <w:szCs w:val="20"/>
              </w:rPr>
            </w:pPr>
            <w:r w:rsidRPr="00C2587D">
              <w:rPr>
                <w:rFonts w:cs="Arial"/>
                <w:sz w:val="20"/>
                <w:szCs w:val="20"/>
              </w:rPr>
              <w:t xml:space="preserve">В.4.1.6. </w:t>
            </w:r>
            <w:r w:rsidRPr="00C2587D">
              <w:rPr>
                <w:rFonts w:cs="Arial"/>
                <w:sz w:val="20"/>
                <w:szCs w:val="20"/>
                <w:lang w:eastAsia="it-IT"/>
              </w:rPr>
              <w:t>Впровадження комплексу програмно-апаратних та організаційних заходів для посилення безпеки мешканців громади, захисту об’єктів забезпечення життєдіяльності громади, безпеки дорожнього руху із встановлення сучасних систем, здатних здійснювати інтелектуальну обробку зображення, забезпечувати контроль та оповіщення проблем.</w:t>
            </w:r>
          </w:p>
          <w:p w14:paraId="5FB14457" w14:textId="77777777" w:rsidR="00620F7D" w:rsidRPr="00C2587D" w:rsidRDefault="00620F7D" w:rsidP="00682193">
            <w:pPr>
              <w:spacing w:before="20" w:after="20"/>
              <w:jc w:val="both"/>
              <w:rPr>
                <w:rFonts w:cs="Arial"/>
                <w:sz w:val="20"/>
                <w:szCs w:val="20"/>
              </w:rPr>
            </w:pPr>
            <w:r w:rsidRPr="00C2587D">
              <w:rPr>
                <w:rFonts w:cs="Arial"/>
                <w:sz w:val="20"/>
                <w:szCs w:val="20"/>
              </w:rPr>
              <w:t xml:space="preserve">В.4.1.7. </w:t>
            </w:r>
            <w:r w:rsidRPr="00C2587D">
              <w:rPr>
                <w:rFonts w:cs="Arial"/>
                <w:sz w:val="20"/>
                <w:szCs w:val="20"/>
                <w:lang w:eastAsia="it-IT"/>
              </w:rPr>
              <w:t>Придбання та встановлення систем відеоспостереження: відеокамери; серверу із програмним забезпеченням.</w:t>
            </w:r>
          </w:p>
          <w:p w14:paraId="2E97B7BD" w14:textId="77777777" w:rsidR="00620F7D" w:rsidRPr="00C2587D" w:rsidRDefault="00620F7D" w:rsidP="00682193">
            <w:pPr>
              <w:jc w:val="both"/>
              <w:rPr>
                <w:rFonts w:cs="Arial"/>
                <w:color w:val="000000"/>
                <w:sz w:val="20"/>
                <w:szCs w:val="20"/>
                <w:lang w:eastAsia="uk-UA"/>
              </w:rPr>
            </w:pPr>
            <w:r w:rsidRPr="00C2587D">
              <w:rPr>
                <w:rFonts w:cs="Arial"/>
                <w:sz w:val="20"/>
                <w:szCs w:val="20"/>
              </w:rPr>
              <w:t xml:space="preserve">В.4.1.8. </w:t>
            </w:r>
            <w:r w:rsidRPr="00C2587D">
              <w:rPr>
                <w:rFonts w:cs="Arial"/>
                <w:sz w:val="20"/>
                <w:szCs w:val="20"/>
                <w:lang w:eastAsia="it-IT"/>
              </w:rPr>
              <w:t>Проведення робіт по прокладці мережі відеоспостереження з урахуванням потреб населення конкретних населених пунктів</w:t>
            </w:r>
          </w:p>
        </w:tc>
      </w:tr>
      <w:tr w:rsidR="00620F7D" w:rsidRPr="00C2587D" w14:paraId="1C3215FC" w14:textId="77777777" w:rsidTr="004B3BEE">
        <w:trPr>
          <w:trHeight w:val="1134"/>
        </w:trPr>
        <w:tc>
          <w:tcPr>
            <w:tcW w:w="2693" w:type="dxa"/>
            <w:vMerge/>
            <w:vAlign w:val="center"/>
          </w:tcPr>
          <w:p w14:paraId="65E54838" w14:textId="77777777" w:rsidR="00620F7D" w:rsidRPr="00C2587D" w:rsidRDefault="00620F7D" w:rsidP="00620F7D">
            <w:pPr>
              <w:rPr>
                <w:rFonts w:cs="Arial"/>
                <w:b/>
                <w:sz w:val="20"/>
                <w:szCs w:val="20"/>
                <w:lang w:eastAsia="uk-UA"/>
              </w:rPr>
            </w:pPr>
          </w:p>
        </w:tc>
        <w:tc>
          <w:tcPr>
            <w:tcW w:w="2840" w:type="dxa"/>
            <w:shd w:val="clear" w:color="auto" w:fill="auto"/>
            <w:vAlign w:val="center"/>
          </w:tcPr>
          <w:p w14:paraId="281068CF" w14:textId="77777777" w:rsidR="00620F7D" w:rsidRPr="00C2587D" w:rsidRDefault="00620F7D" w:rsidP="00987B8D">
            <w:pPr>
              <w:rPr>
                <w:rFonts w:cs="Arial"/>
                <w:bCs/>
                <w:color w:val="000000"/>
                <w:sz w:val="20"/>
                <w:szCs w:val="20"/>
                <w:lang w:eastAsia="uk-UA"/>
              </w:rPr>
            </w:pPr>
            <w:r w:rsidRPr="00C2587D">
              <w:rPr>
                <w:rFonts w:cs="Arial"/>
                <w:bCs/>
                <w:sz w:val="20"/>
                <w:szCs w:val="20"/>
              </w:rPr>
              <w:t>В</w:t>
            </w:r>
            <w:r w:rsidRPr="00C2587D">
              <w:rPr>
                <w:rFonts w:cs="Arial"/>
                <w:bCs/>
                <w:sz w:val="20"/>
                <w:szCs w:val="20"/>
                <w:lang w:eastAsia="it-IT"/>
              </w:rPr>
              <w:t>.4.2. Вдосконалення  системи цивільного захисту та забезпечення протипожежної  безпеки</w:t>
            </w:r>
          </w:p>
        </w:tc>
        <w:tc>
          <w:tcPr>
            <w:tcW w:w="9204" w:type="dxa"/>
            <w:shd w:val="clear" w:color="auto" w:fill="auto"/>
          </w:tcPr>
          <w:p w14:paraId="18918639" w14:textId="77777777" w:rsidR="00620F7D" w:rsidRPr="00C2587D" w:rsidRDefault="00620F7D" w:rsidP="00682193">
            <w:pPr>
              <w:spacing w:before="20" w:after="20"/>
              <w:jc w:val="both"/>
              <w:rPr>
                <w:rFonts w:cs="Arial"/>
                <w:sz w:val="20"/>
                <w:szCs w:val="20"/>
              </w:rPr>
            </w:pPr>
            <w:r w:rsidRPr="00C2587D">
              <w:rPr>
                <w:rFonts w:cs="Arial"/>
                <w:sz w:val="20"/>
                <w:szCs w:val="20"/>
              </w:rPr>
              <w:t>В.4.2.1. Поліпшення системи реагування на надзвичайні ситуації.</w:t>
            </w:r>
          </w:p>
          <w:p w14:paraId="21D6F4F4" w14:textId="77777777" w:rsidR="00620F7D" w:rsidRPr="00C2587D" w:rsidRDefault="00620F7D" w:rsidP="00682193">
            <w:pPr>
              <w:spacing w:before="20" w:after="20"/>
              <w:jc w:val="both"/>
              <w:rPr>
                <w:rFonts w:cs="Arial"/>
                <w:sz w:val="20"/>
                <w:szCs w:val="20"/>
              </w:rPr>
            </w:pPr>
            <w:r w:rsidRPr="00C2587D">
              <w:rPr>
                <w:rFonts w:cs="Arial"/>
                <w:sz w:val="20"/>
                <w:szCs w:val="20"/>
              </w:rPr>
              <w:t>В.4.2.2. Забезпечення протипожежної безпеки на об’єктах комунальної власності та  комунальної сфери.</w:t>
            </w:r>
          </w:p>
          <w:p w14:paraId="4E7FE99D" w14:textId="77777777" w:rsidR="00620F7D" w:rsidRPr="00C2587D" w:rsidRDefault="00620F7D" w:rsidP="00682193">
            <w:pPr>
              <w:jc w:val="both"/>
              <w:rPr>
                <w:rFonts w:cs="Arial"/>
                <w:color w:val="000000"/>
                <w:sz w:val="20"/>
                <w:szCs w:val="20"/>
                <w:lang w:eastAsia="uk-UA"/>
              </w:rPr>
            </w:pPr>
            <w:r w:rsidRPr="00C2587D">
              <w:rPr>
                <w:rFonts w:cs="Arial"/>
                <w:sz w:val="20"/>
                <w:szCs w:val="20"/>
              </w:rPr>
              <w:t>В.4.2.3. Забезпечення укриття населення  в захисних спорудах всіх типів.</w:t>
            </w:r>
          </w:p>
        </w:tc>
      </w:tr>
    </w:tbl>
    <w:p w14:paraId="4882383E" w14:textId="77777777" w:rsidR="00620F7D" w:rsidRPr="00C2587D" w:rsidRDefault="00620F7D" w:rsidP="00620F7D">
      <w:pPr>
        <w:spacing w:before="120" w:after="120"/>
        <w:jc w:val="both"/>
        <w:rPr>
          <w:rFonts w:cs="Arial"/>
        </w:rPr>
        <w:sectPr w:rsidR="00620F7D" w:rsidRPr="00C2587D" w:rsidSect="00C60A15">
          <w:pgSz w:w="16838" w:h="11906" w:orient="landscape" w:code="9"/>
          <w:pgMar w:top="1134" w:right="1134" w:bottom="1134" w:left="1134" w:header="794" w:footer="794" w:gutter="0"/>
          <w:cols w:space="708"/>
          <w:docGrid w:linePitch="360"/>
        </w:sectPr>
      </w:pPr>
    </w:p>
    <w:p w14:paraId="46B4783E" w14:textId="0AD2750C" w:rsidR="00620F7D" w:rsidRPr="00C2587D" w:rsidRDefault="00620F7D" w:rsidP="00620F7D">
      <w:pPr>
        <w:keepNext/>
        <w:tabs>
          <w:tab w:val="left" w:pos="851"/>
        </w:tabs>
        <w:spacing w:before="120" w:after="60"/>
        <w:ind w:left="851" w:hanging="851"/>
        <w:outlineLvl w:val="2"/>
        <w:rPr>
          <w:b/>
          <w:bCs/>
          <w:i/>
          <w:color w:val="455E63"/>
          <w:sz w:val="24"/>
          <w:lang w:eastAsia="ar-SA"/>
        </w:rPr>
      </w:pPr>
      <w:bookmarkStart w:id="34" w:name="_Toc1743584"/>
      <w:r w:rsidRPr="00C2587D">
        <w:rPr>
          <w:b/>
          <w:bCs/>
          <w:i/>
          <w:color w:val="455E63"/>
          <w:sz w:val="24"/>
          <w:lang w:eastAsia="ar-SA"/>
        </w:rPr>
        <w:lastRenderedPageBreak/>
        <w:tab/>
        <w:t xml:space="preserve">Орієнтовний фінансовий план Програми Стратегічного напрямку </w:t>
      </w:r>
      <w:r w:rsidRPr="00C2587D">
        <w:rPr>
          <w:b/>
          <w:bCs/>
          <w:i/>
          <w:color w:val="455E63"/>
          <w:sz w:val="24"/>
          <w:lang w:eastAsia="ar-SA"/>
        </w:rPr>
        <w:br/>
        <w:t>В</w:t>
      </w:r>
      <w:bookmarkStart w:id="35" w:name="_Hlk75339781"/>
      <w:r w:rsidRPr="00C2587D">
        <w:rPr>
          <w:b/>
          <w:bCs/>
          <w:i/>
          <w:color w:val="455E63"/>
          <w:sz w:val="24"/>
          <w:lang w:eastAsia="ar-SA"/>
        </w:rPr>
        <w:t>. «Комфортна громада»</w:t>
      </w:r>
      <w:bookmarkEnd w:id="34"/>
      <w:bookmarkEnd w:id="35"/>
    </w:p>
    <w:tbl>
      <w:tblPr>
        <w:tblW w:w="11326" w:type="dxa"/>
        <w:jc w:val="center"/>
        <w:tblLook w:val="04A0" w:firstRow="1" w:lastRow="0" w:firstColumn="1" w:lastColumn="0" w:noHBand="0" w:noVBand="1"/>
      </w:tblPr>
      <w:tblGrid>
        <w:gridCol w:w="551"/>
        <w:gridCol w:w="4521"/>
        <w:gridCol w:w="1162"/>
        <w:gridCol w:w="1329"/>
        <w:gridCol w:w="1273"/>
        <w:gridCol w:w="1273"/>
        <w:gridCol w:w="1217"/>
      </w:tblGrid>
      <w:tr w:rsidR="00620F7D" w:rsidRPr="00C2587D" w14:paraId="029D1AE9" w14:textId="77777777" w:rsidTr="00620F7D">
        <w:trPr>
          <w:jc w:val="center"/>
        </w:trPr>
        <w:tc>
          <w:tcPr>
            <w:tcW w:w="11326"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75B493" w14:textId="77777777" w:rsidR="00620F7D" w:rsidRPr="00C2587D" w:rsidRDefault="00620F7D" w:rsidP="00620F7D">
            <w:pPr>
              <w:rPr>
                <w:rFonts w:cs="Arial"/>
                <w:b/>
                <w:bCs/>
                <w:sz w:val="20"/>
                <w:szCs w:val="20"/>
                <w:lang w:eastAsia="uk-UA"/>
              </w:rPr>
            </w:pPr>
            <w:r w:rsidRPr="00C2587D">
              <w:rPr>
                <w:rFonts w:cs="Arial"/>
                <w:b/>
                <w:bCs/>
                <w:sz w:val="20"/>
                <w:szCs w:val="20"/>
                <w:lang w:eastAsia="uk-UA"/>
              </w:rPr>
              <w:t>Програма В. Комфортна громада</w:t>
            </w:r>
          </w:p>
        </w:tc>
      </w:tr>
      <w:tr w:rsidR="00620F7D" w:rsidRPr="00C2587D" w14:paraId="7B88CC25" w14:textId="77777777" w:rsidTr="009A5765">
        <w:trPr>
          <w:jc w:val="center"/>
        </w:trPr>
        <w:tc>
          <w:tcPr>
            <w:tcW w:w="551" w:type="dxa"/>
            <w:tcBorders>
              <w:top w:val="nil"/>
              <w:left w:val="single" w:sz="4" w:space="0" w:color="auto"/>
              <w:bottom w:val="single" w:sz="4" w:space="0" w:color="auto"/>
              <w:right w:val="single" w:sz="4" w:space="0" w:color="auto"/>
            </w:tcBorders>
            <w:shd w:val="clear" w:color="auto" w:fill="auto"/>
            <w:vAlign w:val="center"/>
            <w:hideMark/>
          </w:tcPr>
          <w:p w14:paraId="601E1643" w14:textId="77777777" w:rsidR="00620F7D" w:rsidRPr="00C2587D" w:rsidRDefault="00620F7D" w:rsidP="00C2587D">
            <w:pPr>
              <w:jc w:val="center"/>
              <w:rPr>
                <w:rFonts w:cs="Arial"/>
                <w:b/>
                <w:bCs/>
                <w:color w:val="FF0000"/>
                <w:sz w:val="20"/>
                <w:szCs w:val="20"/>
                <w:lang w:eastAsia="uk-UA"/>
              </w:rPr>
            </w:pPr>
            <w:r w:rsidRPr="00C2587D">
              <w:rPr>
                <w:rFonts w:cs="Arial"/>
                <w:b/>
                <w:bCs/>
                <w:sz w:val="20"/>
                <w:szCs w:val="20"/>
                <w:lang w:eastAsia="uk-UA"/>
              </w:rPr>
              <w:t>№ п/п</w:t>
            </w:r>
          </w:p>
        </w:tc>
        <w:tc>
          <w:tcPr>
            <w:tcW w:w="4521" w:type="dxa"/>
            <w:tcBorders>
              <w:top w:val="nil"/>
              <w:left w:val="nil"/>
              <w:bottom w:val="single" w:sz="4" w:space="0" w:color="auto"/>
              <w:right w:val="single" w:sz="4" w:space="0" w:color="auto"/>
            </w:tcBorders>
            <w:shd w:val="clear" w:color="auto" w:fill="auto"/>
            <w:vAlign w:val="center"/>
            <w:hideMark/>
          </w:tcPr>
          <w:p w14:paraId="7D48FC54" w14:textId="36A39CB9" w:rsidR="00620F7D" w:rsidRPr="00C2587D" w:rsidRDefault="0044674D" w:rsidP="00C2587D">
            <w:pPr>
              <w:jc w:val="center"/>
              <w:rPr>
                <w:rFonts w:cs="Arial"/>
                <w:b/>
                <w:bCs/>
                <w:sz w:val="20"/>
                <w:szCs w:val="20"/>
                <w:lang w:eastAsia="uk-UA"/>
              </w:rPr>
            </w:pPr>
            <w:r w:rsidRPr="00C2587D">
              <w:rPr>
                <w:rFonts w:cs="Arial"/>
                <w:b/>
                <w:bCs/>
                <w:sz w:val="20"/>
                <w:szCs w:val="20"/>
                <w:lang w:eastAsia="uk-UA"/>
              </w:rPr>
              <w:t>Назва проє</w:t>
            </w:r>
            <w:r w:rsidR="00620F7D" w:rsidRPr="00C2587D">
              <w:rPr>
                <w:rFonts w:cs="Arial"/>
                <w:b/>
                <w:bCs/>
                <w:sz w:val="20"/>
                <w:szCs w:val="20"/>
                <w:lang w:eastAsia="uk-UA"/>
              </w:rPr>
              <w:t>кту</w:t>
            </w:r>
          </w:p>
        </w:tc>
        <w:tc>
          <w:tcPr>
            <w:tcW w:w="1162" w:type="dxa"/>
            <w:tcBorders>
              <w:top w:val="nil"/>
              <w:left w:val="nil"/>
              <w:bottom w:val="single" w:sz="4" w:space="0" w:color="auto"/>
              <w:right w:val="single" w:sz="4" w:space="0" w:color="auto"/>
            </w:tcBorders>
            <w:shd w:val="clear" w:color="auto" w:fill="auto"/>
            <w:noWrap/>
            <w:vAlign w:val="center"/>
            <w:hideMark/>
          </w:tcPr>
          <w:p w14:paraId="74051A40" w14:textId="4E1F15F3" w:rsidR="00620F7D" w:rsidRPr="00C2587D" w:rsidRDefault="00620F7D" w:rsidP="00C2587D">
            <w:pPr>
              <w:jc w:val="center"/>
              <w:rPr>
                <w:rFonts w:cs="Arial"/>
                <w:b/>
                <w:bCs/>
                <w:sz w:val="20"/>
                <w:szCs w:val="20"/>
                <w:lang w:eastAsia="uk-UA"/>
              </w:rPr>
            </w:pPr>
            <w:r w:rsidRPr="00C2587D">
              <w:rPr>
                <w:rFonts w:cs="Arial"/>
                <w:b/>
                <w:bCs/>
                <w:sz w:val="20"/>
                <w:szCs w:val="20"/>
                <w:lang w:eastAsia="uk-UA"/>
              </w:rPr>
              <w:t>2025</w:t>
            </w:r>
          </w:p>
        </w:tc>
        <w:tc>
          <w:tcPr>
            <w:tcW w:w="1329" w:type="dxa"/>
            <w:tcBorders>
              <w:top w:val="nil"/>
              <w:left w:val="nil"/>
              <w:bottom w:val="single" w:sz="4" w:space="0" w:color="auto"/>
              <w:right w:val="single" w:sz="4" w:space="0" w:color="auto"/>
            </w:tcBorders>
            <w:shd w:val="clear" w:color="auto" w:fill="auto"/>
            <w:noWrap/>
            <w:vAlign w:val="center"/>
            <w:hideMark/>
          </w:tcPr>
          <w:p w14:paraId="02CCED49" w14:textId="3F482976" w:rsidR="00620F7D" w:rsidRPr="00C2587D" w:rsidRDefault="00620F7D" w:rsidP="00C2587D">
            <w:pPr>
              <w:jc w:val="center"/>
              <w:rPr>
                <w:rFonts w:cs="Arial"/>
                <w:b/>
                <w:bCs/>
                <w:sz w:val="20"/>
                <w:szCs w:val="20"/>
                <w:lang w:eastAsia="uk-UA"/>
              </w:rPr>
            </w:pPr>
            <w:r w:rsidRPr="00C2587D">
              <w:rPr>
                <w:rFonts w:cs="Arial"/>
                <w:b/>
                <w:bCs/>
                <w:sz w:val="20"/>
                <w:szCs w:val="20"/>
                <w:lang w:eastAsia="uk-UA"/>
              </w:rPr>
              <w:t>2026</w:t>
            </w:r>
          </w:p>
        </w:tc>
        <w:tc>
          <w:tcPr>
            <w:tcW w:w="1273" w:type="dxa"/>
            <w:tcBorders>
              <w:top w:val="nil"/>
              <w:left w:val="nil"/>
              <w:bottom w:val="single" w:sz="4" w:space="0" w:color="auto"/>
              <w:right w:val="single" w:sz="4" w:space="0" w:color="auto"/>
            </w:tcBorders>
            <w:shd w:val="clear" w:color="auto" w:fill="auto"/>
            <w:noWrap/>
            <w:vAlign w:val="center"/>
            <w:hideMark/>
          </w:tcPr>
          <w:p w14:paraId="0AB7A984" w14:textId="07B908D2" w:rsidR="00620F7D" w:rsidRPr="00C2587D" w:rsidRDefault="00620F7D" w:rsidP="00C2587D">
            <w:pPr>
              <w:jc w:val="center"/>
              <w:rPr>
                <w:rFonts w:cs="Arial"/>
                <w:b/>
                <w:bCs/>
                <w:sz w:val="20"/>
                <w:szCs w:val="20"/>
                <w:lang w:eastAsia="uk-UA"/>
              </w:rPr>
            </w:pPr>
            <w:r w:rsidRPr="00C2587D">
              <w:rPr>
                <w:rFonts w:cs="Arial"/>
                <w:b/>
                <w:bCs/>
                <w:sz w:val="20"/>
                <w:szCs w:val="20"/>
                <w:lang w:eastAsia="uk-UA"/>
              </w:rPr>
              <w:t>2027</w:t>
            </w:r>
          </w:p>
        </w:tc>
        <w:tc>
          <w:tcPr>
            <w:tcW w:w="1273" w:type="dxa"/>
            <w:tcBorders>
              <w:top w:val="nil"/>
              <w:left w:val="nil"/>
              <w:bottom w:val="single" w:sz="4" w:space="0" w:color="auto"/>
              <w:right w:val="single" w:sz="4" w:space="0" w:color="auto"/>
            </w:tcBorders>
            <w:shd w:val="clear" w:color="auto" w:fill="auto"/>
            <w:noWrap/>
            <w:vAlign w:val="center"/>
            <w:hideMark/>
          </w:tcPr>
          <w:p w14:paraId="42EEF5F0" w14:textId="2D1D287D" w:rsidR="00620F7D" w:rsidRPr="00C2587D" w:rsidRDefault="00620F7D" w:rsidP="00C2587D">
            <w:pPr>
              <w:jc w:val="center"/>
              <w:rPr>
                <w:rFonts w:cs="Arial"/>
                <w:b/>
                <w:bCs/>
                <w:sz w:val="20"/>
                <w:szCs w:val="20"/>
                <w:lang w:eastAsia="uk-UA"/>
              </w:rPr>
            </w:pPr>
            <w:r w:rsidRPr="00C2587D">
              <w:rPr>
                <w:rFonts w:cs="Arial"/>
                <w:b/>
                <w:bCs/>
                <w:sz w:val="20"/>
                <w:szCs w:val="20"/>
                <w:lang w:eastAsia="uk-UA"/>
              </w:rPr>
              <w:t>2028</w:t>
            </w:r>
          </w:p>
        </w:tc>
        <w:tc>
          <w:tcPr>
            <w:tcW w:w="1217" w:type="dxa"/>
            <w:tcBorders>
              <w:top w:val="nil"/>
              <w:left w:val="nil"/>
              <w:bottom w:val="single" w:sz="4" w:space="0" w:color="auto"/>
              <w:right w:val="single" w:sz="4" w:space="0" w:color="auto"/>
            </w:tcBorders>
            <w:vAlign w:val="center"/>
          </w:tcPr>
          <w:p w14:paraId="645DBF82" w14:textId="77777777" w:rsidR="00620F7D" w:rsidRPr="00C2587D" w:rsidRDefault="00620F7D" w:rsidP="00C2587D">
            <w:pPr>
              <w:jc w:val="center"/>
              <w:rPr>
                <w:rFonts w:cs="Arial"/>
                <w:b/>
                <w:bCs/>
                <w:sz w:val="20"/>
                <w:szCs w:val="20"/>
                <w:lang w:eastAsia="uk-UA"/>
              </w:rPr>
            </w:pPr>
            <w:r w:rsidRPr="00C2587D">
              <w:rPr>
                <w:rFonts w:cs="Arial"/>
                <w:b/>
                <w:bCs/>
                <w:sz w:val="20"/>
                <w:szCs w:val="20"/>
                <w:lang w:eastAsia="uk-UA"/>
              </w:rPr>
              <w:t>ВСЬОГО</w:t>
            </w:r>
          </w:p>
        </w:tc>
      </w:tr>
      <w:tr w:rsidR="00620F7D" w:rsidRPr="00C2587D" w14:paraId="5F777A11" w14:textId="77777777" w:rsidTr="00620F7D">
        <w:trPr>
          <w:jc w:val="center"/>
        </w:trPr>
        <w:tc>
          <w:tcPr>
            <w:tcW w:w="11326"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0C9330" w14:textId="77777777" w:rsidR="00620F7D" w:rsidRPr="00987B8D" w:rsidRDefault="00620F7D" w:rsidP="00620F7D">
            <w:pPr>
              <w:rPr>
                <w:rFonts w:cs="Arial"/>
                <w:b/>
                <w:bCs/>
                <w:i/>
                <w:iCs/>
                <w:sz w:val="20"/>
                <w:szCs w:val="20"/>
                <w:lang w:eastAsia="uk-UA"/>
              </w:rPr>
            </w:pPr>
            <w:r w:rsidRPr="00987B8D">
              <w:rPr>
                <w:rFonts w:cs="Arial"/>
                <w:b/>
                <w:bCs/>
                <w:i/>
                <w:iCs/>
                <w:sz w:val="20"/>
                <w:szCs w:val="20"/>
                <w:lang w:eastAsia="uk-UA"/>
              </w:rPr>
              <w:t>Стратегічна ціль В.1. Покращення технічної інфраструктури та благоустрою громади</w:t>
            </w:r>
          </w:p>
        </w:tc>
      </w:tr>
      <w:tr w:rsidR="002B7823" w:rsidRPr="00C2587D" w14:paraId="7A01E60C" w14:textId="77777777" w:rsidTr="006478C2">
        <w:trPr>
          <w:jc w:val="center"/>
        </w:trPr>
        <w:tc>
          <w:tcPr>
            <w:tcW w:w="551" w:type="dxa"/>
            <w:tcBorders>
              <w:top w:val="nil"/>
              <w:left w:val="single" w:sz="4" w:space="0" w:color="auto"/>
              <w:bottom w:val="single" w:sz="4" w:space="0" w:color="auto"/>
              <w:right w:val="single" w:sz="4" w:space="0" w:color="auto"/>
            </w:tcBorders>
            <w:shd w:val="clear" w:color="auto" w:fill="auto"/>
            <w:noWrap/>
            <w:vAlign w:val="center"/>
          </w:tcPr>
          <w:p w14:paraId="0592D205" w14:textId="77777777" w:rsidR="002B7823" w:rsidRPr="00C2587D" w:rsidRDefault="002B7823" w:rsidP="006478C2">
            <w:pPr>
              <w:rPr>
                <w:rFonts w:cs="Arial"/>
                <w:sz w:val="20"/>
                <w:szCs w:val="20"/>
                <w:lang w:eastAsia="uk-UA"/>
              </w:rPr>
            </w:pPr>
            <w:r w:rsidRPr="00C2587D">
              <w:rPr>
                <w:rFonts w:cs="Arial"/>
                <w:sz w:val="20"/>
                <w:szCs w:val="20"/>
                <w:lang w:eastAsia="uk-UA"/>
              </w:rPr>
              <w:t>1.</w:t>
            </w:r>
          </w:p>
        </w:tc>
        <w:tc>
          <w:tcPr>
            <w:tcW w:w="4521" w:type="dxa"/>
            <w:tcBorders>
              <w:top w:val="single" w:sz="4" w:space="0" w:color="auto"/>
              <w:left w:val="nil"/>
              <w:bottom w:val="single" w:sz="4" w:space="0" w:color="auto"/>
              <w:right w:val="single" w:sz="4" w:space="0" w:color="auto"/>
            </w:tcBorders>
            <w:shd w:val="clear" w:color="auto" w:fill="auto"/>
            <w:noWrap/>
            <w:vAlign w:val="center"/>
          </w:tcPr>
          <w:p w14:paraId="6C8FB63F" w14:textId="6180DC7D" w:rsidR="002B7823" w:rsidRPr="00C2587D" w:rsidRDefault="002B7823" w:rsidP="006478C2">
            <w:pPr>
              <w:spacing w:before="40" w:after="40"/>
              <w:jc w:val="both"/>
              <w:rPr>
                <w:rFonts w:cs="Arial"/>
                <w:sz w:val="20"/>
                <w:szCs w:val="20"/>
                <w:lang w:eastAsia="it-IT"/>
              </w:rPr>
            </w:pPr>
            <w:r w:rsidRPr="00C2587D">
              <w:rPr>
                <w:rFonts w:cs="Arial"/>
                <w:sz w:val="20"/>
                <w:szCs w:val="20"/>
                <w:lang w:eastAsia="it-IT"/>
              </w:rPr>
              <w:t>Капітальний ремонт дорожнього покриття по вул. Шевченка (від вул. І.Франка до вул. Свободи) в м. Жмеринка Вінницької області</w:t>
            </w:r>
          </w:p>
        </w:tc>
        <w:tc>
          <w:tcPr>
            <w:tcW w:w="1162" w:type="dxa"/>
            <w:tcBorders>
              <w:top w:val="nil"/>
              <w:left w:val="nil"/>
              <w:bottom w:val="single" w:sz="4" w:space="0" w:color="auto"/>
              <w:right w:val="single" w:sz="4" w:space="0" w:color="auto"/>
            </w:tcBorders>
            <w:shd w:val="clear" w:color="auto" w:fill="auto"/>
            <w:vAlign w:val="center"/>
          </w:tcPr>
          <w:p w14:paraId="604F8413" w14:textId="5A41A107" w:rsidR="002B7823" w:rsidRPr="00C2587D" w:rsidRDefault="002B7823" w:rsidP="002B7823">
            <w:pPr>
              <w:jc w:val="center"/>
              <w:rPr>
                <w:rFonts w:cs="Arial"/>
                <w:color w:val="000000"/>
                <w:sz w:val="20"/>
                <w:szCs w:val="20"/>
                <w:lang w:eastAsia="it-IT"/>
              </w:rPr>
            </w:pPr>
          </w:p>
        </w:tc>
        <w:tc>
          <w:tcPr>
            <w:tcW w:w="1329" w:type="dxa"/>
            <w:tcBorders>
              <w:top w:val="nil"/>
              <w:left w:val="nil"/>
              <w:bottom w:val="single" w:sz="4" w:space="0" w:color="auto"/>
              <w:right w:val="single" w:sz="4" w:space="0" w:color="auto"/>
            </w:tcBorders>
            <w:shd w:val="clear" w:color="auto" w:fill="auto"/>
            <w:vAlign w:val="center"/>
          </w:tcPr>
          <w:p w14:paraId="658AAA09" w14:textId="7B295BB4" w:rsidR="002B7823" w:rsidRPr="00C2587D" w:rsidRDefault="002B7823" w:rsidP="002B7823">
            <w:pPr>
              <w:jc w:val="center"/>
              <w:rPr>
                <w:rFonts w:cs="Arial"/>
                <w:color w:val="000000"/>
                <w:sz w:val="20"/>
                <w:szCs w:val="20"/>
                <w:lang w:eastAsia="it-IT"/>
              </w:rPr>
            </w:pPr>
            <w:r w:rsidRPr="00C2587D">
              <w:rPr>
                <w:rFonts w:cs="Arial"/>
                <w:color w:val="000000"/>
                <w:sz w:val="20"/>
                <w:szCs w:val="20"/>
                <w:lang w:eastAsia="it-IT"/>
              </w:rPr>
              <w:t>12 000,0</w:t>
            </w:r>
          </w:p>
        </w:tc>
        <w:tc>
          <w:tcPr>
            <w:tcW w:w="1273" w:type="dxa"/>
            <w:tcBorders>
              <w:top w:val="nil"/>
              <w:left w:val="nil"/>
              <w:bottom w:val="single" w:sz="4" w:space="0" w:color="auto"/>
              <w:right w:val="single" w:sz="4" w:space="0" w:color="auto"/>
            </w:tcBorders>
            <w:shd w:val="clear" w:color="auto" w:fill="auto"/>
            <w:vAlign w:val="center"/>
          </w:tcPr>
          <w:p w14:paraId="13AA1302" w14:textId="515E3E62" w:rsidR="002B7823" w:rsidRPr="00C2587D" w:rsidRDefault="002B7823" w:rsidP="002B7823">
            <w:pPr>
              <w:jc w:val="center"/>
              <w:rPr>
                <w:rFonts w:cs="Arial"/>
                <w:color w:val="000000"/>
                <w:sz w:val="20"/>
                <w:szCs w:val="20"/>
                <w:lang w:eastAsia="it-IT"/>
              </w:rPr>
            </w:pPr>
          </w:p>
        </w:tc>
        <w:tc>
          <w:tcPr>
            <w:tcW w:w="1273" w:type="dxa"/>
            <w:tcBorders>
              <w:top w:val="nil"/>
              <w:left w:val="nil"/>
              <w:bottom w:val="single" w:sz="4" w:space="0" w:color="auto"/>
              <w:right w:val="single" w:sz="4" w:space="0" w:color="auto"/>
            </w:tcBorders>
            <w:shd w:val="clear" w:color="auto" w:fill="auto"/>
            <w:vAlign w:val="center"/>
          </w:tcPr>
          <w:p w14:paraId="7EA7F13D" w14:textId="44AC67F0" w:rsidR="002B7823" w:rsidRPr="00C2587D" w:rsidRDefault="002B7823" w:rsidP="002B7823">
            <w:pPr>
              <w:jc w:val="center"/>
              <w:rPr>
                <w:rFonts w:cs="Arial"/>
                <w:color w:val="000000"/>
                <w:sz w:val="20"/>
                <w:szCs w:val="20"/>
                <w:lang w:eastAsia="it-IT"/>
              </w:rPr>
            </w:pPr>
          </w:p>
        </w:tc>
        <w:tc>
          <w:tcPr>
            <w:tcW w:w="1217" w:type="dxa"/>
            <w:tcBorders>
              <w:top w:val="nil"/>
              <w:left w:val="nil"/>
              <w:bottom w:val="single" w:sz="4" w:space="0" w:color="auto"/>
              <w:right w:val="single" w:sz="4" w:space="0" w:color="auto"/>
            </w:tcBorders>
            <w:vAlign w:val="center"/>
          </w:tcPr>
          <w:p w14:paraId="0BDEB63C" w14:textId="7CAFF57C" w:rsidR="002B7823" w:rsidRPr="00C2587D" w:rsidRDefault="002B7823" w:rsidP="002B7823">
            <w:pPr>
              <w:jc w:val="center"/>
              <w:rPr>
                <w:rFonts w:cs="Arial"/>
                <w:b/>
                <w:color w:val="000000"/>
                <w:sz w:val="20"/>
                <w:szCs w:val="20"/>
                <w:lang w:eastAsia="it-IT"/>
              </w:rPr>
            </w:pPr>
            <w:r w:rsidRPr="00C2587D">
              <w:rPr>
                <w:rFonts w:cs="Arial"/>
                <w:b/>
                <w:color w:val="000000"/>
                <w:sz w:val="20"/>
                <w:szCs w:val="20"/>
                <w:lang w:eastAsia="it-IT"/>
              </w:rPr>
              <w:t>12 000,0</w:t>
            </w:r>
          </w:p>
        </w:tc>
      </w:tr>
      <w:tr w:rsidR="002B7823" w:rsidRPr="00C2587D" w14:paraId="2B234109" w14:textId="77777777" w:rsidTr="006478C2">
        <w:trPr>
          <w:jc w:val="center"/>
        </w:trPr>
        <w:tc>
          <w:tcPr>
            <w:tcW w:w="551" w:type="dxa"/>
            <w:tcBorders>
              <w:top w:val="nil"/>
              <w:left w:val="single" w:sz="4" w:space="0" w:color="auto"/>
              <w:bottom w:val="single" w:sz="4" w:space="0" w:color="auto"/>
              <w:right w:val="single" w:sz="4" w:space="0" w:color="auto"/>
            </w:tcBorders>
            <w:shd w:val="clear" w:color="auto" w:fill="auto"/>
            <w:noWrap/>
            <w:vAlign w:val="center"/>
          </w:tcPr>
          <w:p w14:paraId="35E35ACA" w14:textId="77777777" w:rsidR="002B7823" w:rsidRPr="00C2587D" w:rsidRDefault="002B7823" w:rsidP="006478C2">
            <w:pPr>
              <w:rPr>
                <w:rFonts w:cs="Arial"/>
                <w:sz w:val="20"/>
                <w:szCs w:val="20"/>
                <w:lang w:eastAsia="uk-UA"/>
              </w:rPr>
            </w:pPr>
            <w:r w:rsidRPr="00C2587D">
              <w:rPr>
                <w:rFonts w:cs="Arial"/>
                <w:sz w:val="20"/>
                <w:szCs w:val="20"/>
                <w:lang w:eastAsia="uk-UA"/>
              </w:rPr>
              <w:t>2.</w:t>
            </w:r>
          </w:p>
        </w:tc>
        <w:tc>
          <w:tcPr>
            <w:tcW w:w="4521" w:type="dxa"/>
            <w:tcBorders>
              <w:top w:val="single" w:sz="4" w:space="0" w:color="auto"/>
              <w:bottom w:val="single" w:sz="4" w:space="0" w:color="auto"/>
              <w:right w:val="single" w:sz="4" w:space="0" w:color="auto"/>
            </w:tcBorders>
            <w:shd w:val="clear" w:color="auto" w:fill="auto"/>
            <w:noWrap/>
            <w:vAlign w:val="center"/>
          </w:tcPr>
          <w:p w14:paraId="6E1EB7BE" w14:textId="056981DF" w:rsidR="002B7823" w:rsidRPr="00C2587D" w:rsidRDefault="002B7823" w:rsidP="006478C2">
            <w:pPr>
              <w:spacing w:before="40" w:after="40"/>
              <w:jc w:val="both"/>
              <w:rPr>
                <w:rFonts w:cs="Arial"/>
                <w:sz w:val="20"/>
                <w:szCs w:val="20"/>
                <w:lang w:eastAsia="it-IT"/>
              </w:rPr>
            </w:pPr>
            <w:r w:rsidRPr="00C2587D">
              <w:rPr>
                <w:rFonts w:eastAsia="Arial"/>
                <w:sz w:val="20"/>
                <w:szCs w:val="20"/>
              </w:rPr>
              <w:t>Реконструкція частини вулиці Коцюбинського (від вул. Свободи до вул. Глінки) в м. Жмеринка Вінницької області</w:t>
            </w:r>
          </w:p>
        </w:tc>
        <w:tc>
          <w:tcPr>
            <w:tcW w:w="1162" w:type="dxa"/>
            <w:tcBorders>
              <w:top w:val="nil"/>
              <w:left w:val="single" w:sz="4" w:space="0" w:color="auto"/>
              <w:bottom w:val="single" w:sz="4" w:space="0" w:color="auto"/>
              <w:right w:val="single" w:sz="4" w:space="0" w:color="auto"/>
            </w:tcBorders>
            <w:shd w:val="clear" w:color="auto" w:fill="auto"/>
            <w:noWrap/>
            <w:vAlign w:val="center"/>
          </w:tcPr>
          <w:p w14:paraId="2B7BF55A" w14:textId="386B6ECD" w:rsidR="002B7823" w:rsidRPr="00C2587D" w:rsidRDefault="002B7823" w:rsidP="002B7823">
            <w:pPr>
              <w:jc w:val="center"/>
              <w:rPr>
                <w:rFonts w:cs="Arial"/>
                <w:color w:val="000000"/>
                <w:sz w:val="20"/>
                <w:szCs w:val="20"/>
                <w:lang w:eastAsia="it-IT"/>
              </w:rPr>
            </w:pPr>
          </w:p>
        </w:tc>
        <w:tc>
          <w:tcPr>
            <w:tcW w:w="1329" w:type="dxa"/>
            <w:tcBorders>
              <w:top w:val="nil"/>
              <w:left w:val="nil"/>
              <w:bottom w:val="single" w:sz="4" w:space="0" w:color="auto"/>
              <w:right w:val="single" w:sz="4" w:space="0" w:color="auto"/>
            </w:tcBorders>
            <w:shd w:val="clear" w:color="auto" w:fill="auto"/>
            <w:noWrap/>
            <w:vAlign w:val="center"/>
          </w:tcPr>
          <w:p w14:paraId="4D8044F4" w14:textId="3BA80A2D" w:rsidR="002B7823" w:rsidRPr="00C2587D" w:rsidRDefault="002B7823" w:rsidP="002B7823">
            <w:pPr>
              <w:jc w:val="center"/>
              <w:rPr>
                <w:rFonts w:cs="Arial"/>
                <w:color w:val="000000"/>
                <w:sz w:val="20"/>
                <w:szCs w:val="20"/>
                <w:lang w:eastAsia="it-IT"/>
              </w:rPr>
            </w:pPr>
            <w:r w:rsidRPr="00C2587D">
              <w:rPr>
                <w:rFonts w:cs="Arial"/>
                <w:color w:val="000000"/>
                <w:sz w:val="20"/>
                <w:szCs w:val="20"/>
                <w:lang w:eastAsia="it-IT"/>
              </w:rPr>
              <w:t>5 337,8</w:t>
            </w:r>
          </w:p>
        </w:tc>
        <w:tc>
          <w:tcPr>
            <w:tcW w:w="1273" w:type="dxa"/>
            <w:tcBorders>
              <w:top w:val="nil"/>
              <w:left w:val="nil"/>
              <w:bottom w:val="single" w:sz="4" w:space="0" w:color="auto"/>
              <w:right w:val="single" w:sz="4" w:space="0" w:color="auto"/>
            </w:tcBorders>
            <w:shd w:val="clear" w:color="auto" w:fill="auto"/>
            <w:noWrap/>
            <w:vAlign w:val="center"/>
          </w:tcPr>
          <w:p w14:paraId="4CE21484" w14:textId="0EC5F526" w:rsidR="002B7823" w:rsidRPr="00C2587D" w:rsidRDefault="002B7823" w:rsidP="002B7823">
            <w:pPr>
              <w:jc w:val="center"/>
              <w:rPr>
                <w:rFonts w:cs="Arial"/>
                <w:color w:val="000000"/>
                <w:sz w:val="20"/>
                <w:szCs w:val="20"/>
                <w:lang w:eastAsia="it-IT"/>
              </w:rPr>
            </w:pPr>
          </w:p>
        </w:tc>
        <w:tc>
          <w:tcPr>
            <w:tcW w:w="1273" w:type="dxa"/>
            <w:tcBorders>
              <w:top w:val="nil"/>
              <w:left w:val="nil"/>
              <w:bottom w:val="single" w:sz="4" w:space="0" w:color="auto"/>
              <w:right w:val="single" w:sz="4" w:space="0" w:color="auto"/>
            </w:tcBorders>
            <w:shd w:val="clear" w:color="auto" w:fill="auto"/>
            <w:vAlign w:val="center"/>
          </w:tcPr>
          <w:p w14:paraId="1839D78F" w14:textId="0460C082" w:rsidR="002B7823" w:rsidRPr="00C2587D" w:rsidRDefault="002B7823" w:rsidP="002B7823">
            <w:pPr>
              <w:jc w:val="center"/>
              <w:rPr>
                <w:rFonts w:cs="Arial"/>
                <w:color w:val="000000"/>
                <w:sz w:val="20"/>
                <w:szCs w:val="20"/>
                <w:lang w:eastAsia="it-IT"/>
              </w:rPr>
            </w:pPr>
          </w:p>
        </w:tc>
        <w:tc>
          <w:tcPr>
            <w:tcW w:w="1217" w:type="dxa"/>
            <w:tcBorders>
              <w:top w:val="nil"/>
              <w:left w:val="nil"/>
              <w:bottom w:val="single" w:sz="4" w:space="0" w:color="auto"/>
              <w:right w:val="single" w:sz="4" w:space="0" w:color="auto"/>
            </w:tcBorders>
            <w:vAlign w:val="center"/>
          </w:tcPr>
          <w:p w14:paraId="7E0F46FD" w14:textId="389B22BC" w:rsidR="002B7823" w:rsidRPr="00C2587D" w:rsidRDefault="002B7823" w:rsidP="002B7823">
            <w:pPr>
              <w:jc w:val="center"/>
              <w:rPr>
                <w:rFonts w:cs="Arial"/>
                <w:b/>
                <w:color w:val="000000"/>
                <w:sz w:val="20"/>
                <w:szCs w:val="20"/>
                <w:lang w:eastAsia="it-IT"/>
              </w:rPr>
            </w:pPr>
            <w:r w:rsidRPr="00C2587D">
              <w:rPr>
                <w:rFonts w:cs="Arial"/>
                <w:b/>
                <w:color w:val="000000"/>
                <w:sz w:val="20"/>
                <w:szCs w:val="20"/>
                <w:lang w:eastAsia="it-IT"/>
              </w:rPr>
              <w:t>5 337,8</w:t>
            </w:r>
          </w:p>
        </w:tc>
      </w:tr>
      <w:tr w:rsidR="002B7823" w:rsidRPr="00C2587D" w14:paraId="7EEC314B" w14:textId="77777777" w:rsidTr="006478C2">
        <w:trPr>
          <w:jc w:val="center"/>
        </w:trPr>
        <w:tc>
          <w:tcPr>
            <w:tcW w:w="551" w:type="dxa"/>
            <w:tcBorders>
              <w:top w:val="nil"/>
              <w:left w:val="single" w:sz="4" w:space="0" w:color="auto"/>
              <w:bottom w:val="single" w:sz="4" w:space="0" w:color="auto"/>
              <w:right w:val="single" w:sz="4" w:space="0" w:color="auto"/>
            </w:tcBorders>
            <w:shd w:val="clear" w:color="auto" w:fill="auto"/>
            <w:noWrap/>
            <w:vAlign w:val="center"/>
          </w:tcPr>
          <w:p w14:paraId="2D19E80D" w14:textId="4336202F" w:rsidR="002B7823" w:rsidRPr="00C2587D" w:rsidRDefault="002B7823" w:rsidP="006478C2">
            <w:pPr>
              <w:rPr>
                <w:rFonts w:cs="Arial"/>
                <w:sz w:val="20"/>
                <w:szCs w:val="20"/>
                <w:lang w:eastAsia="uk-UA"/>
              </w:rPr>
            </w:pPr>
            <w:r w:rsidRPr="00C2587D">
              <w:rPr>
                <w:rFonts w:cs="Arial"/>
                <w:sz w:val="20"/>
                <w:szCs w:val="20"/>
                <w:lang w:eastAsia="uk-UA"/>
              </w:rPr>
              <w:t>3.</w:t>
            </w:r>
          </w:p>
        </w:tc>
        <w:tc>
          <w:tcPr>
            <w:tcW w:w="4521" w:type="dxa"/>
            <w:tcBorders>
              <w:top w:val="single" w:sz="4" w:space="0" w:color="auto"/>
              <w:bottom w:val="single" w:sz="4" w:space="0" w:color="auto"/>
              <w:right w:val="single" w:sz="4" w:space="0" w:color="auto"/>
            </w:tcBorders>
            <w:shd w:val="clear" w:color="auto" w:fill="auto"/>
            <w:noWrap/>
            <w:vAlign w:val="center"/>
          </w:tcPr>
          <w:p w14:paraId="55E80E6B" w14:textId="32905D97" w:rsidR="002B7823" w:rsidRPr="00C2587D" w:rsidRDefault="002B7823" w:rsidP="006478C2">
            <w:pPr>
              <w:spacing w:before="40" w:after="40"/>
              <w:jc w:val="both"/>
              <w:rPr>
                <w:rFonts w:cs="Arial"/>
                <w:sz w:val="20"/>
                <w:szCs w:val="20"/>
                <w:lang w:eastAsia="it-IT"/>
              </w:rPr>
            </w:pPr>
            <w:r w:rsidRPr="00C2587D">
              <w:rPr>
                <w:rFonts w:eastAsia="Arial"/>
                <w:sz w:val="20"/>
                <w:szCs w:val="20"/>
              </w:rPr>
              <w:t>Капітальний ремонт дорожнього покриття по вул. Вишнева, Покровська, Шкільна в с. Сьомаки Жмеринського району Вінницької області (коригування)</w:t>
            </w:r>
          </w:p>
        </w:tc>
        <w:tc>
          <w:tcPr>
            <w:tcW w:w="1162" w:type="dxa"/>
            <w:tcBorders>
              <w:top w:val="nil"/>
              <w:left w:val="single" w:sz="4" w:space="0" w:color="auto"/>
              <w:bottom w:val="single" w:sz="4" w:space="0" w:color="auto"/>
              <w:right w:val="single" w:sz="4" w:space="0" w:color="auto"/>
            </w:tcBorders>
            <w:shd w:val="clear" w:color="auto" w:fill="auto"/>
            <w:noWrap/>
            <w:vAlign w:val="center"/>
          </w:tcPr>
          <w:p w14:paraId="427DF497" w14:textId="77777777" w:rsidR="002B7823" w:rsidRPr="00C2587D" w:rsidRDefault="002B7823" w:rsidP="002B7823">
            <w:pPr>
              <w:jc w:val="center"/>
              <w:rPr>
                <w:rFonts w:cs="Arial"/>
                <w:color w:val="000000"/>
                <w:sz w:val="20"/>
                <w:szCs w:val="20"/>
                <w:lang w:eastAsia="it-IT"/>
              </w:rPr>
            </w:pPr>
          </w:p>
        </w:tc>
        <w:tc>
          <w:tcPr>
            <w:tcW w:w="1329" w:type="dxa"/>
            <w:tcBorders>
              <w:top w:val="nil"/>
              <w:left w:val="nil"/>
              <w:bottom w:val="single" w:sz="4" w:space="0" w:color="auto"/>
              <w:right w:val="single" w:sz="4" w:space="0" w:color="auto"/>
            </w:tcBorders>
            <w:shd w:val="clear" w:color="auto" w:fill="auto"/>
            <w:noWrap/>
            <w:vAlign w:val="center"/>
          </w:tcPr>
          <w:p w14:paraId="751D16E6" w14:textId="676334C8" w:rsidR="002B7823" w:rsidRPr="00C2587D" w:rsidRDefault="002B7823" w:rsidP="002B7823">
            <w:pPr>
              <w:jc w:val="center"/>
              <w:rPr>
                <w:rFonts w:cs="Arial"/>
                <w:color w:val="000000"/>
                <w:sz w:val="20"/>
                <w:szCs w:val="20"/>
                <w:lang w:eastAsia="it-IT"/>
              </w:rPr>
            </w:pPr>
            <w:r w:rsidRPr="00C2587D">
              <w:rPr>
                <w:rFonts w:cs="Arial"/>
                <w:color w:val="000000"/>
                <w:sz w:val="20"/>
                <w:szCs w:val="20"/>
                <w:lang w:eastAsia="it-IT"/>
              </w:rPr>
              <w:t>2 217,5</w:t>
            </w:r>
          </w:p>
        </w:tc>
        <w:tc>
          <w:tcPr>
            <w:tcW w:w="1273" w:type="dxa"/>
            <w:tcBorders>
              <w:top w:val="nil"/>
              <w:left w:val="nil"/>
              <w:bottom w:val="single" w:sz="4" w:space="0" w:color="auto"/>
              <w:right w:val="single" w:sz="4" w:space="0" w:color="auto"/>
            </w:tcBorders>
            <w:shd w:val="clear" w:color="auto" w:fill="auto"/>
            <w:noWrap/>
            <w:vAlign w:val="center"/>
          </w:tcPr>
          <w:p w14:paraId="780471C8" w14:textId="77777777" w:rsidR="002B7823" w:rsidRPr="00C2587D" w:rsidRDefault="002B7823" w:rsidP="002B7823">
            <w:pPr>
              <w:jc w:val="center"/>
              <w:rPr>
                <w:rFonts w:cs="Arial"/>
                <w:color w:val="000000"/>
                <w:sz w:val="20"/>
                <w:szCs w:val="20"/>
                <w:lang w:eastAsia="it-IT"/>
              </w:rPr>
            </w:pPr>
          </w:p>
        </w:tc>
        <w:tc>
          <w:tcPr>
            <w:tcW w:w="1273" w:type="dxa"/>
            <w:tcBorders>
              <w:top w:val="nil"/>
              <w:left w:val="nil"/>
              <w:bottom w:val="single" w:sz="4" w:space="0" w:color="auto"/>
              <w:right w:val="single" w:sz="4" w:space="0" w:color="auto"/>
            </w:tcBorders>
            <w:shd w:val="clear" w:color="auto" w:fill="auto"/>
            <w:vAlign w:val="center"/>
          </w:tcPr>
          <w:p w14:paraId="5D8E0C27" w14:textId="77777777" w:rsidR="002B7823" w:rsidRPr="00C2587D" w:rsidRDefault="002B7823" w:rsidP="002B7823">
            <w:pPr>
              <w:jc w:val="center"/>
              <w:rPr>
                <w:rFonts w:cs="Arial"/>
                <w:color w:val="000000"/>
                <w:sz w:val="20"/>
                <w:szCs w:val="20"/>
                <w:lang w:eastAsia="it-IT"/>
              </w:rPr>
            </w:pPr>
          </w:p>
        </w:tc>
        <w:tc>
          <w:tcPr>
            <w:tcW w:w="1217" w:type="dxa"/>
            <w:tcBorders>
              <w:top w:val="nil"/>
              <w:left w:val="nil"/>
              <w:bottom w:val="single" w:sz="4" w:space="0" w:color="auto"/>
              <w:right w:val="single" w:sz="4" w:space="0" w:color="auto"/>
            </w:tcBorders>
            <w:vAlign w:val="center"/>
          </w:tcPr>
          <w:p w14:paraId="2D750FCF" w14:textId="63ECCF12" w:rsidR="002B7823" w:rsidRPr="00C2587D" w:rsidRDefault="002B7823" w:rsidP="002B7823">
            <w:pPr>
              <w:jc w:val="center"/>
              <w:rPr>
                <w:rFonts w:cs="Arial"/>
                <w:b/>
                <w:color w:val="000000"/>
                <w:sz w:val="20"/>
                <w:szCs w:val="20"/>
                <w:lang w:eastAsia="it-IT"/>
              </w:rPr>
            </w:pPr>
            <w:r w:rsidRPr="00C2587D">
              <w:rPr>
                <w:rFonts w:cs="Arial"/>
                <w:b/>
                <w:color w:val="000000"/>
                <w:sz w:val="20"/>
                <w:szCs w:val="20"/>
                <w:lang w:eastAsia="it-IT"/>
              </w:rPr>
              <w:t>2 217,5</w:t>
            </w:r>
          </w:p>
        </w:tc>
      </w:tr>
      <w:tr w:rsidR="002B7823" w:rsidRPr="00C2587D" w14:paraId="13DAF3FA" w14:textId="77777777" w:rsidTr="006478C2">
        <w:trPr>
          <w:jc w:val="center"/>
        </w:trPr>
        <w:tc>
          <w:tcPr>
            <w:tcW w:w="551" w:type="dxa"/>
            <w:tcBorders>
              <w:top w:val="nil"/>
              <w:left w:val="single" w:sz="4" w:space="0" w:color="auto"/>
              <w:bottom w:val="single" w:sz="4" w:space="0" w:color="auto"/>
              <w:right w:val="single" w:sz="4" w:space="0" w:color="auto"/>
            </w:tcBorders>
            <w:shd w:val="clear" w:color="auto" w:fill="auto"/>
            <w:noWrap/>
            <w:vAlign w:val="center"/>
          </w:tcPr>
          <w:p w14:paraId="45DD4737" w14:textId="0E7D8AC3" w:rsidR="002B7823" w:rsidRPr="00C2587D" w:rsidRDefault="002B7823" w:rsidP="006478C2">
            <w:pPr>
              <w:rPr>
                <w:rFonts w:cs="Arial"/>
                <w:sz w:val="20"/>
                <w:szCs w:val="20"/>
                <w:lang w:eastAsia="uk-UA"/>
              </w:rPr>
            </w:pPr>
            <w:r w:rsidRPr="00C2587D">
              <w:rPr>
                <w:rFonts w:cs="Arial"/>
                <w:sz w:val="20"/>
                <w:szCs w:val="20"/>
                <w:lang w:eastAsia="uk-UA"/>
              </w:rPr>
              <w:t>4.</w:t>
            </w:r>
          </w:p>
        </w:tc>
        <w:tc>
          <w:tcPr>
            <w:tcW w:w="4521" w:type="dxa"/>
            <w:tcBorders>
              <w:top w:val="single" w:sz="4" w:space="0" w:color="auto"/>
              <w:bottom w:val="single" w:sz="4" w:space="0" w:color="auto"/>
              <w:right w:val="single" w:sz="4" w:space="0" w:color="auto"/>
            </w:tcBorders>
            <w:shd w:val="clear" w:color="auto" w:fill="auto"/>
            <w:noWrap/>
            <w:vAlign w:val="center"/>
          </w:tcPr>
          <w:p w14:paraId="5501F4CD" w14:textId="3223CC69" w:rsidR="002B7823" w:rsidRPr="00C2587D" w:rsidRDefault="002B7823" w:rsidP="006478C2">
            <w:pPr>
              <w:spacing w:before="40" w:after="40"/>
              <w:jc w:val="both"/>
              <w:rPr>
                <w:rFonts w:cs="Arial"/>
                <w:sz w:val="20"/>
                <w:szCs w:val="20"/>
                <w:lang w:eastAsia="it-IT"/>
              </w:rPr>
            </w:pPr>
            <w:r w:rsidRPr="00C2587D">
              <w:rPr>
                <w:rFonts w:eastAsia="Arial"/>
                <w:sz w:val="20"/>
                <w:szCs w:val="20"/>
              </w:rPr>
              <w:t xml:space="preserve">Капітальний ремонт дорожнього покриття </w:t>
            </w:r>
            <w:r w:rsidR="00C2587D" w:rsidRPr="00C2587D">
              <w:rPr>
                <w:rFonts w:eastAsia="Arial"/>
                <w:sz w:val="20"/>
                <w:szCs w:val="20"/>
              </w:rPr>
              <w:t>по вул. Кармелюка (від перехрестя з</w:t>
            </w:r>
            <w:r w:rsidRPr="00C2587D">
              <w:rPr>
                <w:rFonts w:eastAsia="Arial"/>
                <w:sz w:val="20"/>
                <w:szCs w:val="20"/>
              </w:rPr>
              <w:t xml:space="preserve"> вул. Центральна до перехрестя з вул. Базарна) в с. Кармалюкове, Жмеринського району</w:t>
            </w:r>
          </w:p>
        </w:tc>
        <w:tc>
          <w:tcPr>
            <w:tcW w:w="1162" w:type="dxa"/>
            <w:tcBorders>
              <w:top w:val="nil"/>
              <w:left w:val="single" w:sz="4" w:space="0" w:color="auto"/>
              <w:bottom w:val="single" w:sz="4" w:space="0" w:color="auto"/>
              <w:right w:val="single" w:sz="4" w:space="0" w:color="auto"/>
            </w:tcBorders>
            <w:shd w:val="clear" w:color="auto" w:fill="auto"/>
            <w:noWrap/>
            <w:vAlign w:val="center"/>
          </w:tcPr>
          <w:p w14:paraId="471944EC" w14:textId="77777777" w:rsidR="002B7823" w:rsidRPr="00C2587D" w:rsidRDefault="002B7823" w:rsidP="002B7823">
            <w:pPr>
              <w:jc w:val="center"/>
              <w:rPr>
                <w:rFonts w:cs="Arial"/>
                <w:color w:val="000000"/>
                <w:sz w:val="20"/>
                <w:szCs w:val="20"/>
                <w:lang w:eastAsia="it-IT"/>
              </w:rPr>
            </w:pPr>
          </w:p>
        </w:tc>
        <w:tc>
          <w:tcPr>
            <w:tcW w:w="1329" w:type="dxa"/>
            <w:tcBorders>
              <w:top w:val="nil"/>
              <w:left w:val="nil"/>
              <w:bottom w:val="single" w:sz="4" w:space="0" w:color="auto"/>
              <w:right w:val="single" w:sz="4" w:space="0" w:color="auto"/>
            </w:tcBorders>
            <w:shd w:val="clear" w:color="auto" w:fill="auto"/>
            <w:noWrap/>
            <w:vAlign w:val="center"/>
          </w:tcPr>
          <w:p w14:paraId="2F75F384" w14:textId="7B6445B9" w:rsidR="002B7823" w:rsidRPr="00C2587D" w:rsidRDefault="002B7823" w:rsidP="002B7823">
            <w:pPr>
              <w:jc w:val="center"/>
              <w:rPr>
                <w:rFonts w:cs="Arial"/>
                <w:color w:val="000000"/>
                <w:sz w:val="20"/>
                <w:szCs w:val="20"/>
                <w:lang w:eastAsia="it-IT"/>
              </w:rPr>
            </w:pPr>
            <w:r w:rsidRPr="00C2587D">
              <w:rPr>
                <w:rFonts w:cs="Arial"/>
                <w:color w:val="000000"/>
                <w:sz w:val="20"/>
                <w:szCs w:val="20"/>
                <w:lang w:eastAsia="it-IT"/>
              </w:rPr>
              <w:t>1 263,9</w:t>
            </w:r>
          </w:p>
        </w:tc>
        <w:tc>
          <w:tcPr>
            <w:tcW w:w="1273" w:type="dxa"/>
            <w:tcBorders>
              <w:top w:val="nil"/>
              <w:left w:val="nil"/>
              <w:bottom w:val="single" w:sz="4" w:space="0" w:color="auto"/>
              <w:right w:val="single" w:sz="4" w:space="0" w:color="auto"/>
            </w:tcBorders>
            <w:shd w:val="clear" w:color="auto" w:fill="auto"/>
            <w:noWrap/>
            <w:vAlign w:val="center"/>
          </w:tcPr>
          <w:p w14:paraId="5B0BEA5D" w14:textId="77777777" w:rsidR="002B7823" w:rsidRPr="00C2587D" w:rsidRDefault="002B7823" w:rsidP="002B7823">
            <w:pPr>
              <w:jc w:val="center"/>
              <w:rPr>
                <w:rFonts w:cs="Arial"/>
                <w:color w:val="000000"/>
                <w:sz w:val="20"/>
                <w:szCs w:val="20"/>
                <w:lang w:eastAsia="it-IT"/>
              </w:rPr>
            </w:pPr>
          </w:p>
        </w:tc>
        <w:tc>
          <w:tcPr>
            <w:tcW w:w="1273" w:type="dxa"/>
            <w:tcBorders>
              <w:top w:val="nil"/>
              <w:left w:val="nil"/>
              <w:bottom w:val="single" w:sz="4" w:space="0" w:color="auto"/>
              <w:right w:val="single" w:sz="4" w:space="0" w:color="auto"/>
            </w:tcBorders>
            <w:shd w:val="clear" w:color="auto" w:fill="auto"/>
            <w:vAlign w:val="center"/>
          </w:tcPr>
          <w:p w14:paraId="732AE2B3" w14:textId="77777777" w:rsidR="002B7823" w:rsidRPr="00C2587D" w:rsidRDefault="002B7823" w:rsidP="002B7823">
            <w:pPr>
              <w:jc w:val="center"/>
              <w:rPr>
                <w:rFonts w:cs="Arial"/>
                <w:color w:val="000000"/>
                <w:sz w:val="20"/>
                <w:szCs w:val="20"/>
                <w:lang w:eastAsia="it-IT"/>
              </w:rPr>
            </w:pPr>
          </w:p>
        </w:tc>
        <w:tc>
          <w:tcPr>
            <w:tcW w:w="1217" w:type="dxa"/>
            <w:tcBorders>
              <w:top w:val="nil"/>
              <w:left w:val="nil"/>
              <w:bottom w:val="single" w:sz="4" w:space="0" w:color="auto"/>
              <w:right w:val="single" w:sz="4" w:space="0" w:color="auto"/>
            </w:tcBorders>
            <w:vAlign w:val="center"/>
          </w:tcPr>
          <w:p w14:paraId="4F47E2F7" w14:textId="50D3C696" w:rsidR="002B7823" w:rsidRPr="00C2587D" w:rsidRDefault="002B7823" w:rsidP="002B7823">
            <w:pPr>
              <w:jc w:val="center"/>
              <w:rPr>
                <w:rFonts w:cs="Arial"/>
                <w:b/>
                <w:color w:val="000000"/>
                <w:sz w:val="20"/>
                <w:szCs w:val="20"/>
                <w:lang w:eastAsia="it-IT"/>
              </w:rPr>
            </w:pPr>
            <w:r w:rsidRPr="00C2587D">
              <w:rPr>
                <w:rFonts w:cs="Arial"/>
                <w:b/>
                <w:color w:val="000000"/>
                <w:sz w:val="20"/>
                <w:szCs w:val="20"/>
                <w:lang w:eastAsia="it-IT"/>
              </w:rPr>
              <w:t>1 263,9</w:t>
            </w:r>
          </w:p>
        </w:tc>
      </w:tr>
      <w:tr w:rsidR="002B7823" w:rsidRPr="00C2587D" w14:paraId="65E6CE3A" w14:textId="77777777" w:rsidTr="006478C2">
        <w:trPr>
          <w:jc w:val="center"/>
        </w:trPr>
        <w:tc>
          <w:tcPr>
            <w:tcW w:w="551" w:type="dxa"/>
            <w:tcBorders>
              <w:top w:val="nil"/>
              <w:left w:val="single" w:sz="4" w:space="0" w:color="auto"/>
              <w:bottom w:val="single" w:sz="4" w:space="0" w:color="auto"/>
              <w:right w:val="single" w:sz="4" w:space="0" w:color="auto"/>
            </w:tcBorders>
            <w:shd w:val="clear" w:color="auto" w:fill="auto"/>
            <w:noWrap/>
            <w:vAlign w:val="center"/>
          </w:tcPr>
          <w:p w14:paraId="59FA90F3" w14:textId="01410C99" w:rsidR="002B7823" w:rsidRPr="00C2587D" w:rsidRDefault="002B7823" w:rsidP="006478C2">
            <w:pPr>
              <w:rPr>
                <w:rFonts w:cs="Arial"/>
                <w:sz w:val="20"/>
                <w:szCs w:val="20"/>
                <w:lang w:eastAsia="uk-UA"/>
              </w:rPr>
            </w:pPr>
            <w:r w:rsidRPr="00C2587D">
              <w:rPr>
                <w:rFonts w:cs="Arial"/>
                <w:sz w:val="20"/>
                <w:szCs w:val="20"/>
                <w:lang w:eastAsia="uk-UA"/>
              </w:rPr>
              <w:t>5.</w:t>
            </w:r>
          </w:p>
        </w:tc>
        <w:tc>
          <w:tcPr>
            <w:tcW w:w="4521" w:type="dxa"/>
            <w:tcBorders>
              <w:top w:val="single" w:sz="4" w:space="0" w:color="auto"/>
              <w:bottom w:val="single" w:sz="4" w:space="0" w:color="auto"/>
              <w:right w:val="single" w:sz="4" w:space="0" w:color="auto"/>
            </w:tcBorders>
            <w:shd w:val="clear" w:color="auto" w:fill="auto"/>
            <w:noWrap/>
            <w:vAlign w:val="center"/>
          </w:tcPr>
          <w:p w14:paraId="7C979024" w14:textId="67765669" w:rsidR="002B7823" w:rsidRPr="00C2587D" w:rsidRDefault="002B7823" w:rsidP="006478C2">
            <w:pPr>
              <w:spacing w:before="40" w:after="40"/>
              <w:jc w:val="both"/>
              <w:rPr>
                <w:rFonts w:cs="Arial"/>
                <w:sz w:val="20"/>
                <w:szCs w:val="20"/>
                <w:lang w:eastAsia="it-IT"/>
              </w:rPr>
            </w:pPr>
            <w:r w:rsidRPr="00C2587D">
              <w:rPr>
                <w:rFonts w:eastAsia="Arial"/>
                <w:sz w:val="20"/>
                <w:szCs w:val="20"/>
              </w:rPr>
              <w:t>Капітальний ремонт дорожнього покриття по вул. Олега Кандирала в с. Дубова, Жмеринського району</w:t>
            </w:r>
          </w:p>
        </w:tc>
        <w:tc>
          <w:tcPr>
            <w:tcW w:w="1162" w:type="dxa"/>
            <w:tcBorders>
              <w:top w:val="nil"/>
              <w:left w:val="single" w:sz="4" w:space="0" w:color="auto"/>
              <w:bottom w:val="single" w:sz="4" w:space="0" w:color="auto"/>
              <w:right w:val="single" w:sz="4" w:space="0" w:color="auto"/>
            </w:tcBorders>
            <w:shd w:val="clear" w:color="auto" w:fill="auto"/>
            <w:noWrap/>
            <w:vAlign w:val="center"/>
          </w:tcPr>
          <w:p w14:paraId="5D81BB6C" w14:textId="77777777" w:rsidR="002B7823" w:rsidRPr="00C2587D" w:rsidRDefault="002B7823" w:rsidP="002B7823">
            <w:pPr>
              <w:jc w:val="center"/>
              <w:rPr>
                <w:rFonts w:cs="Arial"/>
                <w:color w:val="000000"/>
                <w:sz w:val="20"/>
                <w:szCs w:val="20"/>
                <w:lang w:eastAsia="it-IT"/>
              </w:rPr>
            </w:pPr>
          </w:p>
        </w:tc>
        <w:tc>
          <w:tcPr>
            <w:tcW w:w="1329" w:type="dxa"/>
            <w:tcBorders>
              <w:top w:val="nil"/>
              <w:left w:val="nil"/>
              <w:bottom w:val="single" w:sz="4" w:space="0" w:color="auto"/>
              <w:right w:val="single" w:sz="4" w:space="0" w:color="auto"/>
            </w:tcBorders>
            <w:shd w:val="clear" w:color="auto" w:fill="auto"/>
            <w:noWrap/>
            <w:vAlign w:val="center"/>
          </w:tcPr>
          <w:p w14:paraId="5500124C" w14:textId="41DDE5E4" w:rsidR="002B7823" w:rsidRPr="00C2587D" w:rsidRDefault="002B7823" w:rsidP="002B7823">
            <w:pPr>
              <w:jc w:val="center"/>
              <w:rPr>
                <w:rFonts w:cs="Arial"/>
                <w:color w:val="000000"/>
                <w:sz w:val="20"/>
                <w:szCs w:val="20"/>
                <w:lang w:eastAsia="it-IT"/>
              </w:rPr>
            </w:pPr>
            <w:r w:rsidRPr="00C2587D">
              <w:rPr>
                <w:rFonts w:cs="Arial"/>
                <w:color w:val="000000"/>
                <w:sz w:val="20"/>
                <w:szCs w:val="20"/>
                <w:lang w:eastAsia="it-IT"/>
              </w:rPr>
              <w:t>1 495,1</w:t>
            </w:r>
          </w:p>
        </w:tc>
        <w:tc>
          <w:tcPr>
            <w:tcW w:w="1273" w:type="dxa"/>
            <w:tcBorders>
              <w:top w:val="nil"/>
              <w:left w:val="nil"/>
              <w:bottom w:val="single" w:sz="4" w:space="0" w:color="auto"/>
              <w:right w:val="single" w:sz="4" w:space="0" w:color="auto"/>
            </w:tcBorders>
            <w:shd w:val="clear" w:color="auto" w:fill="auto"/>
            <w:noWrap/>
            <w:vAlign w:val="center"/>
          </w:tcPr>
          <w:p w14:paraId="7ECAD54E" w14:textId="77777777" w:rsidR="002B7823" w:rsidRPr="00C2587D" w:rsidRDefault="002B7823" w:rsidP="002B7823">
            <w:pPr>
              <w:jc w:val="center"/>
              <w:rPr>
                <w:rFonts w:cs="Arial"/>
                <w:color w:val="000000"/>
                <w:sz w:val="20"/>
                <w:szCs w:val="20"/>
                <w:lang w:eastAsia="it-IT"/>
              </w:rPr>
            </w:pPr>
          </w:p>
        </w:tc>
        <w:tc>
          <w:tcPr>
            <w:tcW w:w="1273" w:type="dxa"/>
            <w:tcBorders>
              <w:top w:val="nil"/>
              <w:left w:val="nil"/>
              <w:bottom w:val="single" w:sz="4" w:space="0" w:color="auto"/>
              <w:right w:val="single" w:sz="4" w:space="0" w:color="auto"/>
            </w:tcBorders>
            <w:shd w:val="clear" w:color="auto" w:fill="auto"/>
            <w:vAlign w:val="center"/>
          </w:tcPr>
          <w:p w14:paraId="46662086" w14:textId="77777777" w:rsidR="002B7823" w:rsidRPr="00C2587D" w:rsidRDefault="002B7823" w:rsidP="002B7823">
            <w:pPr>
              <w:jc w:val="center"/>
              <w:rPr>
                <w:rFonts w:cs="Arial"/>
                <w:color w:val="000000"/>
                <w:sz w:val="20"/>
                <w:szCs w:val="20"/>
                <w:lang w:eastAsia="it-IT"/>
              </w:rPr>
            </w:pPr>
          </w:p>
        </w:tc>
        <w:tc>
          <w:tcPr>
            <w:tcW w:w="1217" w:type="dxa"/>
            <w:tcBorders>
              <w:top w:val="nil"/>
              <w:left w:val="nil"/>
              <w:bottom w:val="single" w:sz="4" w:space="0" w:color="auto"/>
              <w:right w:val="single" w:sz="4" w:space="0" w:color="auto"/>
            </w:tcBorders>
            <w:vAlign w:val="center"/>
          </w:tcPr>
          <w:p w14:paraId="56FA9303" w14:textId="78C93D4F" w:rsidR="002B7823" w:rsidRPr="00C2587D" w:rsidRDefault="002B7823" w:rsidP="002B7823">
            <w:pPr>
              <w:jc w:val="center"/>
              <w:rPr>
                <w:rFonts w:cs="Arial"/>
                <w:b/>
                <w:color w:val="000000"/>
                <w:sz w:val="20"/>
                <w:szCs w:val="20"/>
                <w:lang w:eastAsia="it-IT"/>
              </w:rPr>
            </w:pPr>
            <w:r w:rsidRPr="00C2587D">
              <w:rPr>
                <w:rFonts w:cs="Arial"/>
                <w:b/>
                <w:color w:val="000000"/>
                <w:sz w:val="20"/>
                <w:szCs w:val="20"/>
                <w:lang w:eastAsia="it-IT"/>
              </w:rPr>
              <w:t>1 495,1</w:t>
            </w:r>
          </w:p>
        </w:tc>
      </w:tr>
      <w:tr w:rsidR="002B7823" w:rsidRPr="00C2587D" w14:paraId="723DFBF6" w14:textId="77777777" w:rsidTr="006478C2">
        <w:trPr>
          <w:jc w:val="center"/>
        </w:trPr>
        <w:tc>
          <w:tcPr>
            <w:tcW w:w="551" w:type="dxa"/>
            <w:tcBorders>
              <w:top w:val="nil"/>
              <w:left w:val="single" w:sz="4" w:space="0" w:color="auto"/>
              <w:bottom w:val="single" w:sz="4" w:space="0" w:color="auto"/>
              <w:right w:val="single" w:sz="4" w:space="0" w:color="auto"/>
            </w:tcBorders>
            <w:shd w:val="clear" w:color="auto" w:fill="auto"/>
            <w:noWrap/>
            <w:vAlign w:val="center"/>
          </w:tcPr>
          <w:p w14:paraId="61563A08" w14:textId="378CEE13" w:rsidR="002B7823" w:rsidRPr="00C2587D" w:rsidRDefault="002B7823" w:rsidP="006478C2">
            <w:pPr>
              <w:rPr>
                <w:rFonts w:cs="Arial"/>
                <w:sz w:val="20"/>
                <w:szCs w:val="20"/>
                <w:lang w:eastAsia="uk-UA"/>
              </w:rPr>
            </w:pPr>
            <w:r w:rsidRPr="00C2587D">
              <w:rPr>
                <w:rFonts w:cs="Arial"/>
                <w:sz w:val="20"/>
                <w:szCs w:val="20"/>
                <w:lang w:eastAsia="uk-UA"/>
              </w:rPr>
              <w:t>6.</w:t>
            </w:r>
          </w:p>
        </w:tc>
        <w:tc>
          <w:tcPr>
            <w:tcW w:w="4521" w:type="dxa"/>
            <w:tcBorders>
              <w:top w:val="single" w:sz="4" w:space="0" w:color="auto"/>
              <w:bottom w:val="single" w:sz="4" w:space="0" w:color="auto"/>
              <w:right w:val="single" w:sz="4" w:space="0" w:color="auto"/>
            </w:tcBorders>
            <w:shd w:val="clear" w:color="auto" w:fill="auto"/>
            <w:noWrap/>
            <w:vAlign w:val="center"/>
          </w:tcPr>
          <w:p w14:paraId="43FD2AF5" w14:textId="5B41E59A" w:rsidR="002B7823" w:rsidRPr="00C2587D" w:rsidRDefault="002B7823" w:rsidP="006478C2">
            <w:pPr>
              <w:spacing w:before="40" w:after="40"/>
              <w:jc w:val="both"/>
              <w:rPr>
                <w:rFonts w:cs="Arial"/>
                <w:sz w:val="20"/>
                <w:szCs w:val="20"/>
                <w:lang w:eastAsia="it-IT"/>
              </w:rPr>
            </w:pPr>
            <w:r w:rsidRPr="00C2587D">
              <w:rPr>
                <w:rFonts w:eastAsia="Arial"/>
                <w:sz w:val="20"/>
                <w:szCs w:val="20"/>
              </w:rPr>
              <w:t>Капітальний ремонт дорожнього покриття по вул. Шкільна (від буд. №5), вул. Космонавтів (буд. №39-буд. №42), вул. Соборна (до буд. №86 по вул. Жовтнева) в с. Людавка Жмеринського району Вінницької області (коригування)</w:t>
            </w:r>
          </w:p>
        </w:tc>
        <w:tc>
          <w:tcPr>
            <w:tcW w:w="1162" w:type="dxa"/>
            <w:tcBorders>
              <w:top w:val="nil"/>
              <w:left w:val="single" w:sz="4" w:space="0" w:color="auto"/>
              <w:bottom w:val="single" w:sz="4" w:space="0" w:color="auto"/>
              <w:right w:val="single" w:sz="4" w:space="0" w:color="auto"/>
            </w:tcBorders>
            <w:shd w:val="clear" w:color="auto" w:fill="auto"/>
            <w:noWrap/>
            <w:vAlign w:val="center"/>
          </w:tcPr>
          <w:p w14:paraId="6265E1FA" w14:textId="77777777" w:rsidR="002B7823" w:rsidRPr="00C2587D" w:rsidRDefault="002B7823" w:rsidP="002B7823">
            <w:pPr>
              <w:jc w:val="center"/>
              <w:rPr>
                <w:rFonts w:cs="Arial"/>
                <w:color w:val="000000"/>
                <w:sz w:val="20"/>
                <w:szCs w:val="20"/>
                <w:lang w:eastAsia="it-IT"/>
              </w:rPr>
            </w:pPr>
          </w:p>
        </w:tc>
        <w:tc>
          <w:tcPr>
            <w:tcW w:w="1329" w:type="dxa"/>
            <w:tcBorders>
              <w:top w:val="nil"/>
              <w:left w:val="nil"/>
              <w:bottom w:val="single" w:sz="4" w:space="0" w:color="auto"/>
              <w:right w:val="single" w:sz="4" w:space="0" w:color="auto"/>
            </w:tcBorders>
            <w:shd w:val="clear" w:color="auto" w:fill="auto"/>
            <w:noWrap/>
            <w:vAlign w:val="center"/>
          </w:tcPr>
          <w:p w14:paraId="799B2003" w14:textId="0A121FFD" w:rsidR="002B7823" w:rsidRPr="00C2587D" w:rsidRDefault="002B7823" w:rsidP="002B7823">
            <w:pPr>
              <w:jc w:val="center"/>
              <w:rPr>
                <w:rFonts w:cs="Arial"/>
                <w:color w:val="000000"/>
                <w:sz w:val="20"/>
                <w:szCs w:val="20"/>
                <w:lang w:eastAsia="it-IT"/>
              </w:rPr>
            </w:pPr>
            <w:r w:rsidRPr="00C2587D">
              <w:rPr>
                <w:rFonts w:cs="Arial"/>
                <w:color w:val="000000"/>
                <w:sz w:val="20"/>
                <w:szCs w:val="20"/>
                <w:lang w:eastAsia="it-IT"/>
              </w:rPr>
              <w:t>2 157,8</w:t>
            </w:r>
          </w:p>
        </w:tc>
        <w:tc>
          <w:tcPr>
            <w:tcW w:w="1273" w:type="dxa"/>
            <w:tcBorders>
              <w:top w:val="nil"/>
              <w:left w:val="nil"/>
              <w:bottom w:val="single" w:sz="4" w:space="0" w:color="auto"/>
              <w:right w:val="single" w:sz="4" w:space="0" w:color="auto"/>
            </w:tcBorders>
            <w:shd w:val="clear" w:color="auto" w:fill="auto"/>
            <w:noWrap/>
            <w:vAlign w:val="center"/>
          </w:tcPr>
          <w:p w14:paraId="4F281E62" w14:textId="77777777" w:rsidR="002B7823" w:rsidRPr="00C2587D" w:rsidRDefault="002B7823" w:rsidP="002B7823">
            <w:pPr>
              <w:jc w:val="center"/>
              <w:rPr>
                <w:rFonts w:cs="Arial"/>
                <w:color w:val="000000"/>
                <w:sz w:val="20"/>
                <w:szCs w:val="20"/>
                <w:lang w:eastAsia="it-IT"/>
              </w:rPr>
            </w:pPr>
          </w:p>
        </w:tc>
        <w:tc>
          <w:tcPr>
            <w:tcW w:w="1273" w:type="dxa"/>
            <w:tcBorders>
              <w:top w:val="nil"/>
              <w:left w:val="nil"/>
              <w:bottom w:val="single" w:sz="4" w:space="0" w:color="auto"/>
              <w:right w:val="single" w:sz="4" w:space="0" w:color="auto"/>
            </w:tcBorders>
            <w:shd w:val="clear" w:color="auto" w:fill="auto"/>
            <w:vAlign w:val="center"/>
          </w:tcPr>
          <w:p w14:paraId="512262DA" w14:textId="77777777" w:rsidR="002B7823" w:rsidRPr="00C2587D" w:rsidRDefault="002B7823" w:rsidP="002B7823">
            <w:pPr>
              <w:jc w:val="center"/>
              <w:rPr>
                <w:rFonts w:cs="Arial"/>
                <w:color w:val="000000"/>
                <w:sz w:val="20"/>
                <w:szCs w:val="20"/>
                <w:lang w:eastAsia="it-IT"/>
              </w:rPr>
            </w:pPr>
          </w:p>
        </w:tc>
        <w:tc>
          <w:tcPr>
            <w:tcW w:w="1217" w:type="dxa"/>
            <w:tcBorders>
              <w:top w:val="nil"/>
              <w:left w:val="nil"/>
              <w:bottom w:val="single" w:sz="4" w:space="0" w:color="auto"/>
              <w:right w:val="single" w:sz="4" w:space="0" w:color="auto"/>
            </w:tcBorders>
            <w:vAlign w:val="center"/>
          </w:tcPr>
          <w:p w14:paraId="2F372973" w14:textId="7461D49F" w:rsidR="002B7823" w:rsidRPr="00C2587D" w:rsidRDefault="002B7823" w:rsidP="002B7823">
            <w:pPr>
              <w:jc w:val="center"/>
              <w:rPr>
                <w:rFonts w:cs="Arial"/>
                <w:b/>
                <w:color w:val="000000"/>
                <w:sz w:val="20"/>
                <w:szCs w:val="20"/>
                <w:lang w:eastAsia="it-IT"/>
              </w:rPr>
            </w:pPr>
            <w:r w:rsidRPr="00C2587D">
              <w:rPr>
                <w:rFonts w:cs="Arial"/>
                <w:b/>
                <w:color w:val="000000"/>
                <w:sz w:val="20"/>
                <w:szCs w:val="20"/>
                <w:lang w:eastAsia="it-IT"/>
              </w:rPr>
              <w:t>2 157,8</w:t>
            </w:r>
          </w:p>
        </w:tc>
      </w:tr>
      <w:tr w:rsidR="002B7823" w:rsidRPr="00C2587D" w14:paraId="6208EE4D" w14:textId="77777777" w:rsidTr="006478C2">
        <w:trPr>
          <w:jc w:val="center"/>
        </w:trPr>
        <w:tc>
          <w:tcPr>
            <w:tcW w:w="551" w:type="dxa"/>
            <w:tcBorders>
              <w:top w:val="nil"/>
              <w:left w:val="single" w:sz="4" w:space="0" w:color="auto"/>
              <w:bottom w:val="single" w:sz="4" w:space="0" w:color="auto"/>
              <w:right w:val="single" w:sz="4" w:space="0" w:color="auto"/>
            </w:tcBorders>
            <w:shd w:val="clear" w:color="auto" w:fill="auto"/>
            <w:noWrap/>
            <w:vAlign w:val="center"/>
          </w:tcPr>
          <w:p w14:paraId="0BF0DA4E" w14:textId="349613FD" w:rsidR="002B7823" w:rsidRPr="00C2587D" w:rsidRDefault="002B7823" w:rsidP="006478C2">
            <w:pPr>
              <w:rPr>
                <w:rFonts w:cs="Arial"/>
                <w:sz w:val="20"/>
                <w:szCs w:val="20"/>
                <w:lang w:eastAsia="uk-UA"/>
              </w:rPr>
            </w:pPr>
            <w:r w:rsidRPr="00C2587D">
              <w:rPr>
                <w:rFonts w:cs="Arial"/>
                <w:sz w:val="20"/>
                <w:szCs w:val="20"/>
                <w:lang w:eastAsia="uk-UA"/>
              </w:rPr>
              <w:t>7.</w:t>
            </w:r>
          </w:p>
        </w:tc>
        <w:tc>
          <w:tcPr>
            <w:tcW w:w="4521" w:type="dxa"/>
            <w:tcBorders>
              <w:top w:val="single" w:sz="4" w:space="0" w:color="auto"/>
              <w:bottom w:val="single" w:sz="4" w:space="0" w:color="auto"/>
              <w:right w:val="single" w:sz="4" w:space="0" w:color="auto"/>
            </w:tcBorders>
            <w:shd w:val="clear" w:color="auto" w:fill="auto"/>
            <w:noWrap/>
            <w:vAlign w:val="center"/>
          </w:tcPr>
          <w:p w14:paraId="31F3A420" w14:textId="6826BBF0" w:rsidR="002B7823" w:rsidRPr="00C2587D" w:rsidRDefault="002B7823" w:rsidP="006478C2">
            <w:pPr>
              <w:spacing w:before="40" w:after="40"/>
              <w:jc w:val="both"/>
              <w:rPr>
                <w:rFonts w:cs="Arial"/>
                <w:sz w:val="20"/>
                <w:szCs w:val="20"/>
                <w:lang w:eastAsia="it-IT"/>
              </w:rPr>
            </w:pPr>
            <w:r w:rsidRPr="00C2587D">
              <w:rPr>
                <w:rFonts w:eastAsia="Arial"/>
                <w:sz w:val="20"/>
                <w:szCs w:val="20"/>
              </w:rPr>
              <w:t>Капітальний ремонт дорожнього покриття по вул. Достоєвського в м. Жмеринка Вінницької області</w:t>
            </w:r>
          </w:p>
        </w:tc>
        <w:tc>
          <w:tcPr>
            <w:tcW w:w="1162" w:type="dxa"/>
            <w:tcBorders>
              <w:top w:val="nil"/>
              <w:left w:val="single" w:sz="4" w:space="0" w:color="auto"/>
              <w:bottom w:val="single" w:sz="4" w:space="0" w:color="auto"/>
              <w:right w:val="single" w:sz="4" w:space="0" w:color="auto"/>
            </w:tcBorders>
            <w:shd w:val="clear" w:color="auto" w:fill="auto"/>
            <w:noWrap/>
            <w:vAlign w:val="center"/>
          </w:tcPr>
          <w:p w14:paraId="6AEC2588" w14:textId="77777777" w:rsidR="002B7823" w:rsidRPr="00C2587D" w:rsidRDefault="002B7823" w:rsidP="002B7823">
            <w:pPr>
              <w:jc w:val="center"/>
              <w:rPr>
                <w:rFonts w:cs="Arial"/>
                <w:color w:val="000000"/>
                <w:sz w:val="20"/>
                <w:szCs w:val="20"/>
                <w:lang w:eastAsia="it-IT"/>
              </w:rPr>
            </w:pPr>
          </w:p>
        </w:tc>
        <w:tc>
          <w:tcPr>
            <w:tcW w:w="1329" w:type="dxa"/>
            <w:tcBorders>
              <w:top w:val="nil"/>
              <w:left w:val="nil"/>
              <w:bottom w:val="single" w:sz="4" w:space="0" w:color="auto"/>
              <w:right w:val="single" w:sz="4" w:space="0" w:color="auto"/>
            </w:tcBorders>
            <w:shd w:val="clear" w:color="auto" w:fill="auto"/>
            <w:noWrap/>
            <w:vAlign w:val="center"/>
          </w:tcPr>
          <w:p w14:paraId="0068BE4F" w14:textId="3104E0D9" w:rsidR="002B7823" w:rsidRPr="00C2587D" w:rsidRDefault="002B7823" w:rsidP="002B7823">
            <w:pPr>
              <w:jc w:val="center"/>
              <w:rPr>
                <w:rFonts w:cs="Arial"/>
                <w:color w:val="000000"/>
                <w:sz w:val="20"/>
                <w:szCs w:val="20"/>
                <w:lang w:eastAsia="it-IT"/>
              </w:rPr>
            </w:pPr>
            <w:r w:rsidRPr="00C2587D">
              <w:rPr>
                <w:rFonts w:cs="Arial"/>
                <w:color w:val="000000"/>
                <w:sz w:val="20"/>
                <w:szCs w:val="20"/>
                <w:lang w:eastAsia="it-IT"/>
              </w:rPr>
              <w:t>491,7</w:t>
            </w:r>
          </w:p>
        </w:tc>
        <w:tc>
          <w:tcPr>
            <w:tcW w:w="1273" w:type="dxa"/>
            <w:tcBorders>
              <w:top w:val="nil"/>
              <w:left w:val="nil"/>
              <w:bottom w:val="single" w:sz="4" w:space="0" w:color="auto"/>
              <w:right w:val="single" w:sz="4" w:space="0" w:color="auto"/>
            </w:tcBorders>
            <w:shd w:val="clear" w:color="auto" w:fill="auto"/>
            <w:noWrap/>
            <w:vAlign w:val="center"/>
          </w:tcPr>
          <w:p w14:paraId="4D597F64" w14:textId="77777777" w:rsidR="002B7823" w:rsidRPr="00C2587D" w:rsidRDefault="002B7823" w:rsidP="002B7823">
            <w:pPr>
              <w:jc w:val="center"/>
              <w:rPr>
                <w:rFonts w:cs="Arial"/>
                <w:color w:val="000000"/>
                <w:sz w:val="20"/>
                <w:szCs w:val="20"/>
                <w:lang w:eastAsia="it-IT"/>
              </w:rPr>
            </w:pPr>
          </w:p>
        </w:tc>
        <w:tc>
          <w:tcPr>
            <w:tcW w:w="1273" w:type="dxa"/>
            <w:tcBorders>
              <w:top w:val="nil"/>
              <w:left w:val="nil"/>
              <w:bottom w:val="single" w:sz="4" w:space="0" w:color="auto"/>
              <w:right w:val="single" w:sz="4" w:space="0" w:color="auto"/>
            </w:tcBorders>
            <w:shd w:val="clear" w:color="auto" w:fill="auto"/>
            <w:vAlign w:val="center"/>
          </w:tcPr>
          <w:p w14:paraId="7D78FCFD" w14:textId="77777777" w:rsidR="002B7823" w:rsidRPr="00C2587D" w:rsidRDefault="002B7823" w:rsidP="002B7823">
            <w:pPr>
              <w:jc w:val="center"/>
              <w:rPr>
                <w:rFonts w:cs="Arial"/>
                <w:color w:val="000000"/>
                <w:sz w:val="20"/>
                <w:szCs w:val="20"/>
                <w:lang w:eastAsia="it-IT"/>
              </w:rPr>
            </w:pPr>
          </w:p>
        </w:tc>
        <w:tc>
          <w:tcPr>
            <w:tcW w:w="1217" w:type="dxa"/>
            <w:tcBorders>
              <w:top w:val="nil"/>
              <w:left w:val="nil"/>
              <w:bottom w:val="single" w:sz="4" w:space="0" w:color="auto"/>
              <w:right w:val="single" w:sz="4" w:space="0" w:color="auto"/>
            </w:tcBorders>
            <w:vAlign w:val="center"/>
          </w:tcPr>
          <w:p w14:paraId="258E6016" w14:textId="2332A592" w:rsidR="002B7823" w:rsidRPr="00C2587D" w:rsidRDefault="002B7823" w:rsidP="002B7823">
            <w:pPr>
              <w:jc w:val="center"/>
              <w:rPr>
                <w:rFonts w:cs="Arial"/>
                <w:b/>
                <w:color w:val="000000"/>
                <w:sz w:val="20"/>
                <w:szCs w:val="20"/>
                <w:lang w:eastAsia="it-IT"/>
              </w:rPr>
            </w:pPr>
            <w:r w:rsidRPr="00C2587D">
              <w:rPr>
                <w:rFonts w:cs="Arial"/>
                <w:b/>
                <w:color w:val="000000"/>
                <w:sz w:val="20"/>
                <w:szCs w:val="20"/>
                <w:lang w:eastAsia="it-IT"/>
              </w:rPr>
              <w:t>491,7</w:t>
            </w:r>
          </w:p>
        </w:tc>
      </w:tr>
      <w:tr w:rsidR="002B7823" w:rsidRPr="00C2587D" w14:paraId="317ED790" w14:textId="77777777" w:rsidTr="006478C2">
        <w:trPr>
          <w:jc w:val="center"/>
        </w:trPr>
        <w:tc>
          <w:tcPr>
            <w:tcW w:w="551" w:type="dxa"/>
            <w:tcBorders>
              <w:top w:val="nil"/>
              <w:left w:val="single" w:sz="4" w:space="0" w:color="auto"/>
              <w:bottom w:val="single" w:sz="4" w:space="0" w:color="auto"/>
              <w:right w:val="single" w:sz="4" w:space="0" w:color="auto"/>
            </w:tcBorders>
            <w:shd w:val="clear" w:color="auto" w:fill="auto"/>
            <w:noWrap/>
            <w:vAlign w:val="center"/>
          </w:tcPr>
          <w:p w14:paraId="22C12ABC" w14:textId="7C89A1FB" w:rsidR="002B7823" w:rsidRPr="00C2587D" w:rsidRDefault="002B7823" w:rsidP="006478C2">
            <w:pPr>
              <w:rPr>
                <w:rFonts w:cs="Arial"/>
                <w:sz w:val="20"/>
                <w:szCs w:val="20"/>
                <w:lang w:eastAsia="uk-UA"/>
              </w:rPr>
            </w:pPr>
            <w:r w:rsidRPr="00C2587D">
              <w:rPr>
                <w:rFonts w:cs="Arial"/>
                <w:sz w:val="20"/>
                <w:szCs w:val="20"/>
                <w:lang w:eastAsia="uk-UA"/>
              </w:rPr>
              <w:t>8.</w:t>
            </w:r>
          </w:p>
        </w:tc>
        <w:tc>
          <w:tcPr>
            <w:tcW w:w="4521" w:type="dxa"/>
            <w:tcBorders>
              <w:top w:val="single" w:sz="4" w:space="0" w:color="auto"/>
              <w:bottom w:val="single" w:sz="4" w:space="0" w:color="auto"/>
              <w:right w:val="single" w:sz="4" w:space="0" w:color="auto"/>
            </w:tcBorders>
            <w:shd w:val="clear" w:color="auto" w:fill="auto"/>
            <w:noWrap/>
            <w:vAlign w:val="center"/>
          </w:tcPr>
          <w:p w14:paraId="6791424A" w14:textId="6906A97A" w:rsidR="002B7823" w:rsidRPr="00C2587D" w:rsidRDefault="002B7823" w:rsidP="006478C2">
            <w:pPr>
              <w:spacing w:before="40" w:after="40"/>
              <w:jc w:val="both"/>
              <w:rPr>
                <w:rFonts w:cs="Arial"/>
                <w:sz w:val="20"/>
                <w:szCs w:val="20"/>
                <w:lang w:eastAsia="it-IT"/>
              </w:rPr>
            </w:pPr>
            <w:r w:rsidRPr="00C2587D">
              <w:rPr>
                <w:rFonts w:eastAsia="Arial"/>
                <w:sz w:val="20"/>
                <w:szCs w:val="20"/>
              </w:rPr>
              <w:t xml:space="preserve">Капітальний ремонт дорожнього покриття по вул. Садова (від буд. №20 до вул. Центральної та від вул. Центральної до буд. №25) в с. Почапинці Жмеринського району Вінницької області (коригування) </w:t>
            </w:r>
          </w:p>
        </w:tc>
        <w:tc>
          <w:tcPr>
            <w:tcW w:w="1162" w:type="dxa"/>
            <w:tcBorders>
              <w:top w:val="nil"/>
              <w:left w:val="single" w:sz="4" w:space="0" w:color="auto"/>
              <w:bottom w:val="single" w:sz="4" w:space="0" w:color="auto"/>
              <w:right w:val="single" w:sz="4" w:space="0" w:color="auto"/>
            </w:tcBorders>
            <w:shd w:val="clear" w:color="auto" w:fill="auto"/>
            <w:noWrap/>
            <w:vAlign w:val="center"/>
          </w:tcPr>
          <w:p w14:paraId="4AA90279" w14:textId="77777777" w:rsidR="002B7823" w:rsidRPr="00C2587D" w:rsidRDefault="002B7823" w:rsidP="002B7823">
            <w:pPr>
              <w:jc w:val="center"/>
              <w:rPr>
                <w:rFonts w:cs="Arial"/>
                <w:color w:val="000000"/>
                <w:sz w:val="20"/>
                <w:szCs w:val="20"/>
                <w:lang w:eastAsia="it-IT"/>
              </w:rPr>
            </w:pPr>
          </w:p>
        </w:tc>
        <w:tc>
          <w:tcPr>
            <w:tcW w:w="1329" w:type="dxa"/>
            <w:tcBorders>
              <w:top w:val="nil"/>
              <w:left w:val="nil"/>
              <w:bottom w:val="single" w:sz="4" w:space="0" w:color="auto"/>
              <w:right w:val="single" w:sz="4" w:space="0" w:color="auto"/>
            </w:tcBorders>
            <w:shd w:val="clear" w:color="auto" w:fill="auto"/>
            <w:noWrap/>
            <w:vAlign w:val="center"/>
          </w:tcPr>
          <w:p w14:paraId="50D0C3E2" w14:textId="3FA0AC8D" w:rsidR="002B7823" w:rsidRPr="00C2587D" w:rsidRDefault="002B7823" w:rsidP="002B7823">
            <w:pPr>
              <w:jc w:val="center"/>
              <w:rPr>
                <w:rFonts w:cs="Arial"/>
                <w:color w:val="000000"/>
                <w:sz w:val="20"/>
                <w:szCs w:val="20"/>
                <w:lang w:eastAsia="it-IT"/>
              </w:rPr>
            </w:pPr>
            <w:r w:rsidRPr="00C2587D">
              <w:rPr>
                <w:rFonts w:cs="Arial"/>
                <w:color w:val="000000"/>
                <w:sz w:val="20"/>
                <w:szCs w:val="20"/>
                <w:lang w:eastAsia="it-IT"/>
              </w:rPr>
              <w:t>1 529,7</w:t>
            </w:r>
          </w:p>
        </w:tc>
        <w:tc>
          <w:tcPr>
            <w:tcW w:w="1273" w:type="dxa"/>
            <w:tcBorders>
              <w:top w:val="nil"/>
              <w:left w:val="nil"/>
              <w:bottom w:val="single" w:sz="4" w:space="0" w:color="auto"/>
              <w:right w:val="single" w:sz="4" w:space="0" w:color="auto"/>
            </w:tcBorders>
            <w:shd w:val="clear" w:color="auto" w:fill="auto"/>
            <w:noWrap/>
            <w:vAlign w:val="center"/>
          </w:tcPr>
          <w:p w14:paraId="73F78C77" w14:textId="77777777" w:rsidR="002B7823" w:rsidRPr="00C2587D" w:rsidRDefault="002B7823" w:rsidP="002B7823">
            <w:pPr>
              <w:jc w:val="center"/>
              <w:rPr>
                <w:rFonts w:cs="Arial"/>
                <w:color w:val="000000"/>
                <w:sz w:val="20"/>
                <w:szCs w:val="20"/>
                <w:lang w:eastAsia="it-IT"/>
              </w:rPr>
            </w:pPr>
          </w:p>
        </w:tc>
        <w:tc>
          <w:tcPr>
            <w:tcW w:w="1273" w:type="dxa"/>
            <w:tcBorders>
              <w:top w:val="nil"/>
              <w:left w:val="nil"/>
              <w:bottom w:val="single" w:sz="4" w:space="0" w:color="auto"/>
              <w:right w:val="single" w:sz="4" w:space="0" w:color="auto"/>
            </w:tcBorders>
            <w:shd w:val="clear" w:color="auto" w:fill="auto"/>
            <w:vAlign w:val="center"/>
          </w:tcPr>
          <w:p w14:paraId="7AD4A97D" w14:textId="77777777" w:rsidR="002B7823" w:rsidRPr="00C2587D" w:rsidRDefault="002B7823" w:rsidP="002B7823">
            <w:pPr>
              <w:jc w:val="center"/>
              <w:rPr>
                <w:rFonts w:cs="Arial"/>
                <w:color w:val="000000"/>
                <w:sz w:val="20"/>
                <w:szCs w:val="20"/>
                <w:lang w:eastAsia="it-IT"/>
              </w:rPr>
            </w:pPr>
          </w:p>
        </w:tc>
        <w:tc>
          <w:tcPr>
            <w:tcW w:w="1217" w:type="dxa"/>
            <w:tcBorders>
              <w:top w:val="nil"/>
              <w:left w:val="nil"/>
              <w:bottom w:val="single" w:sz="4" w:space="0" w:color="auto"/>
              <w:right w:val="single" w:sz="4" w:space="0" w:color="auto"/>
            </w:tcBorders>
            <w:vAlign w:val="center"/>
          </w:tcPr>
          <w:p w14:paraId="4B770EC7" w14:textId="12086109" w:rsidR="002B7823" w:rsidRPr="00C2587D" w:rsidRDefault="002B7823" w:rsidP="002B7823">
            <w:pPr>
              <w:jc w:val="center"/>
              <w:rPr>
                <w:rFonts w:cs="Arial"/>
                <w:b/>
                <w:color w:val="000000"/>
                <w:sz w:val="20"/>
                <w:szCs w:val="20"/>
                <w:lang w:eastAsia="it-IT"/>
              </w:rPr>
            </w:pPr>
            <w:r w:rsidRPr="00C2587D">
              <w:rPr>
                <w:rFonts w:cs="Arial"/>
                <w:b/>
                <w:color w:val="000000"/>
                <w:sz w:val="20"/>
                <w:szCs w:val="20"/>
                <w:lang w:eastAsia="it-IT"/>
              </w:rPr>
              <w:t>1 529,7</w:t>
            </w:r>
          </w:p>
        </w:tc>
      </w:tr>
      <w:tr w:rsidR="002B7823" w:rsidRPr="00C2587D" w14:paraId="3F27B230" w14:textId="77777777" w:rsidTr="006478C2">
        <w:trPr>
          <w:jc w:val="center"/>
        </w:trPr>
        <w:tc>
          <w:tcPr>
            <w:tcW w:w="551" w:type="dxa"/>
            <w:tcBorders>
              <w:top w:val="nil"/>
              <w:left w:val="single" w:sz="4" w:space="0" w:color="auto"/>
              <w:bottom w:val="single" w:sz="4" w:space="0" w:color="auto"/>
              <w:right w:val="single" w:sz="4" w:space="0" w:color="auto"/>
            </w:tcBorders>
            <w:shd w:val="clear" w:color="auto" w:fill="auto"/>
            <w:noWrap/>
            <w:vAlign w:val="center"/>
          </w:tcPr>
          <w:p w14:paraId="3FF8C881" w14:textId="4718088E" w:rsidR="002B7823" w:rsidRPr="00C2587D" w:rsidRDefault="002B7823" w:rsidP="006478C2">
            <w:pPr>
              <w:rPr>
                <w:rFonts w:cs="Arial"/>
                <w:sz w:val="20"/>
                <w:szCs w:val="20"/>
                <w:lang w:eastAsia="uk-UA"/>
              </w:rPr>
            </w:pPr>
            <w:r w:rsidRPr="00C2587D">
              <w:rPr>
                <w:rFonts w:cs="Arial"/>
                <w:sz w:val="20"/>
                <w:szCs w:val="20"/>
                <w:lang w:eastAsia="uk-UA"/>
              </w:rPr>
              <w:t>9.</w:t>
            </w:r>
          </w:p>
        </w:tc>
        <w:tc>
          <w:tcPr>
            <w:tcW w:w="4521" w:type="dxa"/>
            <w:tcBorders>
              <w:top w:val="single" w:sz="4" w:space="0" w:color="auto"/>
              <w:bottom w:val="single" w:sz="4" w:space="0" w:color="auto"/>
              <w:right w:val="single" w:sz="4" w:space="0" w:color="auto"/>
            </w:tcBorders>
            <w:shd w:val="clear" w:color="auto" w:fill="auto"/>
            <w:noWrap/>
            <w:vAlign w:val="center"/>
          </w:tcPr>
          <w:p w14:paraId="4630E58A" w14:textId="667F5881" w:rsidR="002B7823" w:rsidRPr="00C2587D" w:rsidRDefault="002B7823" w:rsidP="006478C2">
            <w:pPr>
              <w:spacing w:before="40" w:after="40"/>
              <w:jc w:val="both"/>
              <w:rPr>
                <w:rFonts w:cs="Arial"/>
                <w:sz w:val="20"/>
                <w:szCs w:val="20"/>
                <w:lang w:eastAsia="it-IT"/>
              </w:rPr>
            </w:pPr>
            <w:r w:rsidRPr="00C2587D">
              <w:rPr>
                <w:rFonts w:cs="Arial"/>
                <w:sz w:val="20"/>
                <w:szCs w:val="20"/>
                <w:lang w:eastAsia="it-IT"/>
              </w:rPr>
              <w:t>Капітальний ремонт дорожнього покриття по вул. Мельнична в м. Жмеринка (Коригування 2)</w:t>
            </w:r>
          </w:p>
        </w:tc>
        <w:tc>
          <w:tcPr>
            <w:tcW w:w="1162" w:type="dxa"/>
            <w:tcBorders>
              <w:top w:val="nil"/>
              <w:left w:val="single" w:sz="4" w:space="0" w:color="auto"/>
              <w:bottom w:val="single" w:sz="4" w:space="0" w:color="auto"/>
              <w:right w:val="single" w:sz="4" w:space="0" w:color="auto"/>
            </w:tcBorders>
            <w:shd w:val="clear" w:color="auto" w:fill="auto"/>
            <w:noWrap/>
            <w:vAlign w:val="center"/>
          </w:tcPr>
          <w:p w14:paraId="5CE2AF74" w14:textId="77777777" w:rsidR="002B7823" w:rsidRPr="00C2587D" w:rsidRDefault="002B7823" w:rsidP="002B7823">
            <w:pPr>
              <w:jc w:val="center"/>
              <w:rPr>
                <w:rFonts w:cs="Arial"/>
                <w:color w:val="000000"/>
                <w:sz w:val="20"/>
                <w:szCs w:val="20"/>
                <w:lang w:eastAsia="it-IT"/>
              </w:rPr>
            </w:pPr>
          </w:p>
        </w:tc>
        <w:tc>
          <w:tcPr>
            <w:tcW w:w="1329" w:type="dxa"/>
            <w:tcBorders>
              <w:top w:val="nil"/>
              <w:left w:val="nil"/>
              <w:bottom w:val="single" w:sz="4" w:space="0" w:color="auto"/>
              <w:right w:val="single" w:sz="4" w:space="0" w:color="auto"/>
            </w:tcBorders>
            <w:shd w:val="clear" w:color="auto" w:fill="auto"/>
            <w:noWrap/>
            <w:vAlign w:val="center"/>
          </w:tcPr>
          <w:p w14:paraId="7F71EA8D" w14:textId="6E363FFE" w:rsidR="002B7823" w:rsidRPr="00C2587D" w:rsidRDefault="002B7823" w:rsidP="002B7823">
            <w:pPr>
              <w:jc w:val="center"/>
              <w:rPr>
                <w:rFonts w:cs="Arial"/>
                <w:color w:val="000000"/>
                <w:sz w:val="20"/>
                <w:szCs w:val="20"/>
                <w:lang w:eastAsia="it-IT"/>
              </w:rPr>
            </w:pPr>
          </w:p>
        </w:tc>
        <w:tc>
          <w:tcPr>
            <w:tcW w:w="1273" w:type="dxa"/>
            <w:tcBorders>
              <w:top w:val="nil"/>
              <w:left w:val="nil"/>
              <w:bottom w:val="single" w:sz="4" w:space="0" w:color="auto"/>
              <w:right w:val="single" w:sz="4" w:space="0" w:color="auto"/>
            </w:tcBorders>
            <w:shd w:val="clear" w:color="auto" w:fill="auto"/>
            <w:noWrap/>
            <w:vAlign w:val="center"/>
          </w:tcPr>
          <w:p w14:paraId="50401543" w14:textId="3E733C95" w:rsidR="002B7823" w:rsidRPr="00C2587D" w:rsidRDefault="002B7823" w:rsidP="002B7823">
            <w:pPr>
              <w:jc w:val="center"/>
              <w:rPr>
                <w:rFonts w:cs="Arial"/>
                <w:color w:val="000000"/>
                <w:sz w:val="20"/>
                <w:szCs w:val="20"/>
                <w:lang w:eastAsia="it-IT"/>
              </w:rPr>
            </w:pPr>
            <w:r w:rsidRPr="00C2587D">
              <w:rPr>
                <w:rFonts w:cs="Arial"/>
                <w:color w:val="000000"/>
                <w:sz w:val="20"/>
                <w:szCs w:val="20"/>
                <w:lang w:eastAsia="it-IT"/>
              </w:rPr>
              <w:t>14 000,0</w:t>
            </w:r>
          </w:p>
        </w:tc>
        <w:tc>
          <w:tcPr>
            <w:tcW w:w="1273" w:type="dxa"/>
            <w:tcBorders>
              <w:top w:val="nil"/>
              <w:left w:val="nil"/>
              <w:bottom w:val="single" w:sz="4" w:space="0" w:color="auto"/>
              <w:right w:val="single" w:sz="4" w:space="0" w:color="auto"/>
            </w:tcBorders>
            <w:shd w:val="clear" w:color="auto" w:fill="auto"/>
            <w:vAlign w:val="center"/>
          </w:tcPr>
          <w:p w14:paraId="457C96DD" w14:textId="77777777" w:rsidR="002B7823" w:rsidRPr="00C2587D" w:rsidRDefault="002B7823" w:rsidP="002B7823">
            <w:pPr>
              <w:jc w:val="center"/>
              <w:rPr>
                <w:rFonts w:cs="Arial"/>
                <w:color w:val="000000"/>
                <w:sz w:val="20"/>
                <w:szCs w:val="20"/>
                <w:lang w:eastAsia="it-IT"/>
              </w:rPr>
            </w:pPr>
          </w:p>
        </w:tc>
        <w:tc>
          <w:tcPr>
            <w:tcW w:w="1217" w:type="dxa"/>
            <w:tcBorders>
              <w:top w:val="nil"/>
              <w:left w:val="nil"/>
              <w:bottom w:val="single" w:sz="4" w:space="0" w:color="auto"/>
              <w:right w:val="single" w:sz="4" w:space="0" w:color="auto"/>
            </w:tcBorders>
            <w:vAlign w:val="center"/>
          </w:tcPr>
          <w:p w14:paraId="57B468DC" w14:textId="65E7F34C" w:rsidR="002B7823" w:rsidRPr="00C2587D" w:rsidRDefault="002B7823" w:rsidP="002B7823">
            <w:pPr>
              <w:jc w:val="center"/>
              <w:rPr>
                <w:rFonts w:cs="Arial"/>
                <w:b/>
                <w:color w:val="000000"/>
                <w:sz w:val="20"/>
                <w:szCs w:val="20"/>
                <w:lang w:eastAsia="it-IT"/>
              </w:rPr>
            </w:pPr>
            <w:r w:rsidRPr="00C2587D">
              <w:rPr>
                <w:rFonts w:cs="Arial"/>
                <w:b/>
                <w:color w:val="000000"/>
                <w:sz w:val="20"/>
                <w:szCs w:val="20"/>
                <w:lang w:eastAsia="it-IT"/>
              </w:rPr>
              <w:t>14 000,0</w:t>
            </w:r>
          </w:p>
        </w:tc>
      </w:tr>
      <w:tr w:rsidR="002B7823" w:rsidRPr="00C2587D" w14:paraId="229DA818" w14:textId="77777777" w:rsidTr="006478C2">
        <w:trPr>
          <w:jc w:val="center"/>
        </w:trPr>
        <w:tc>
          <w:tcPr>
            <w:tcW w:w="551" w:type="dxa"/>
            <w:tcBorders>
              <w:top w:val="nil"/>
              <w:left w:val="single" w:sz="4" w:space="0" w:color="auto"/>
              <w:bottom w:val="single" w:sz="4" w:space="0" w:color="auto"/>
              <w:right w:val="single" w:sz="4" w:space="0" w:color="auto"/>
            </w:tcBorders>
            <w:shd w:val="clear" w:color="auto" w:fill="auto"/>
            <w:noWrap/>
            <w:vAlign w:val="center"/>
          </w:tcPr>
          <w:p w14:paraId="47985AD2" w14:textId="000CF87F" w:rsidR="002B7823" w:rsidRPr="00C2587D" w:rsidRDefault="002B7823" w:rsidP="006478C2">
            <w:pPr>
              <w:rPr>
                <w:rFonts w:cs="Arial"/>
                <w:sz w:val="20"/>
                <w:szCs w:val="20"/>
                <w:lang w:eastAsia="uk-UA"/>
              </w:rPr>
            </w:pPr>
            <w:r w:rsidRPr="00C2587D">
              <w:rPr>
                <w:rFonts w:cs="Arial"/>
                <w:sz w:val="20"/>
                <w:szCs w:val="20"/>
                <w:lang w:eastAsia="uk-UA"/>
              </w:rPr>
              <w:t>10.</w:t>
            </w:r>
          </w:p>
        </w:tc>
        <w:tc>
          <w:tcPr>
            <w:tcW w:w="4521" w:type="dxa"/>
            <w:tcBorders>
              <w:top w:val="single" w:sz="4" w:space="0" w:color="auto"/>
              <w:bottom w:val="single" w:sz="4" w:space="0" w:color="auto"/>
              <w:right w:val="single" w:sz="4" w:space="0" w:color="auto"/>
            </w:tcBorders>
            <w:shd w:val="clear" w:color="auto" w:fill="auto"/>
            <w:noWrap/>
            <w:vAlign w:val="center"/>
          </w:tcPr>
          <w:p w14:paraId="3AE117D6" w14:textId="0E6D9C47" w:rsidR="002B7823" w:rsidRPr="00C2587D" w:rsidRDefault="002B7823" w:rsidP="006478C2">
            <w:pPr>
              <w:spacing w:before="40" w:after="40"/>
              <w:jc w:val="both"/>
              <w:rPr>
                <w:rFonts w:eastAsia="Arial"/>
                <w:sz w:val="20"/>
                <w:szCs w:val="20"/>
              </w:rPr>
            </w:pPr>
            <w:r w:rsidRPr="00C2587D">
              <w:rPr>
                <w:rFonts w:eastAsia="Arial"/>
                <w:sz w:val="20"/>
                <w:szCs w:val="20"/>
              </w:rPr>
              <w:t>Капітальний ремонт дорожнього покриття прибудинкової території по вул. 151 Стрілецької дивізії, 6 в м. Жмеринка Вінницької області</w:t>
            </w:r>
          </w:p>
        </w:tc>
        <w:tc>
          <w:tcPr>
            <w:tcW w:w="1162" w:type="dxa"/>
            <w:tcBorders>
              <w:top w:val="nil"/>
              <w:left w:val="single" w:sz="4" w:space="0" w:color="auto"/>
              <w:bottom w:val="single" w:sz="4" w:space="0" w:color="auto"/>
              <w:right w:val="single" w:sz="4" w:space="0" w:color="auto"/>
            </w:tcBorders>
            <w:shd w:val="clear" w:color="auto" w:fill="auto"/>
            <w:noWrap/>
            <w:vAlign w:val="center"/>
          </w:tcPr>
          <w:p w14:paraId="685C35A5" w14:textId="77777777" w:rsidR="002B7823" w:rsidRPr="00C2587D" w:rsidRDefault="002B7823" w:rsidP="002B7823">
            <w:pPr>
              <w:jc w:val="center"/>
              <w:rPr>
                <w:rFonts w:cs="Arial"/>
                <w:color w:val="000000"/>
                <w:sz w:val="20"/>
                <w:szCs w:val="20"/>
                <w:lang w:eastAsia="it-IT"/>
              </w:rPr>
            </w:pPr>
          </w:p>
        </w:tc>
        <w:tc>
          <w:tcPr>
            <w:tcW w:w="1329" w:type="dxa"/>
            <w:tcBorders>
              <w:top w:val="nil"/>
              <w:left w:val="nil"/>
              <w:bottom w:val="single" w:sz="4" w:space="0" w:color="auto"/>
              <w:right w:val="single" w:sz="4" w:space="0" w:color="auto"/>
            </w:tcBorders>
            <w:shd w:val="clear" w:color="auto" w:fill="auto"/>
            <w:noWrap/>
            <w:vAlign w:val="center"/>
          </w:tcPr>
          <w:p w14:paraId="3482F108" w14:textId="1E111853" w:rsidR="002B7823" w:rsidRPr="00C2587D" w:rsidRDefault="002B7823" w:rsidP="002B7823">
            <w:pPr>
              <w:jc w:val="center"/>
              <w:rPr>
                <w:rFonts w:cs="Arial"/>
                <w:color w:val="000000"/>
                <w:sz w:val="20"/>
                <w:szCs w:val="20"/>
                <w:lang w:eastAsia="it-IT"/>
              </w:rPr>
            </w:pPr>
            <w:r w:rsidRPr="00C2587D">
              <w:rPr>
                <w:rFonts w:cs="Arial"/>
                <w:color w:val="000000"/>
                <w:sz w:val="20"/>
                <w:szCs w:val="20"/>
                <w:lang w:eastAsia="it-IT"/>
              </w:rPr>
              <w:t>1 370,9</w:t>
            </w:r>
          </w:p>
        </w:tc>
        <w:tc>
          <w:tcPr>
            <w:tcW w:w="1273" w:type="dxa"/>
            <w:tcBorders>
              <w:top w:val="nil"/>
              <w:left w:val="nil"/>
              <w:bottom w:val="single" w:sz="4" w:space="0" w:color="auto"/>
              <w:right w:val="single" w:sz="4" w:space="0" w:color="auto"/>
            </w:tcBorders>
            <w:shd w:val="clear" w:color="auto" w:fill="auto"/>
            <w:noWrap/>
            <w:vAlign w:val="center"/>
          </w:tcPr>
          <w:p w14:paraId="1E657D93" w14:textId="45B171B7" w:rsidR="002B7823" w:rsidRPr="00C2587D" w:rsidRDefault="002B7823" w:rsidP="002B7823">
            <w:pPr>
              <w:jc w:val="center"/>
              <w:rPr>
                <w:rFonts w:cs="Arial"/>
                <w:color w:val="000000"/>
                <w:sz w:val="20"/>
                <w:szCs w:val="20"/>
                <w:lang w:eastAsia="it-IT"/>
              </w:rPr>
            </w:pPr>
          </w:p>
        </w:tc>
        <w:tc>
          <w:tcPr>
            <w:tcW w:w="1273" w:type="dxa"/>
            <w:tcBorders>
              <w:top w:val="nil"/>
              <w:left w:val="nil"/>
              <w:bottom w:val="single" w:sz="4" w:space="0" w:color="auto"/>
              <w:right w:val="single" w:sz="4" w:space="0" w:color="auto"/>
            </w:tcBorders>
            <w:shd w:val="clear" w:color="auto" w:fill="auto"/>
            <w:vAlign w:val="center"/>
          </w:tcPr>
          <w:p w14:paraId="368F36B0" w14:textId="77777777" w:rsidR="002B7823" w:rsidRPr="00C2587D" w:rsidRDefault="002B7823" w:rsidP="002B7823">
            <w:pPr>
              <w:jc w:val="center"/>
              <w:rPr>
                <w:rFonts w:cs="Arial"/>
                <w:color w:val="000000"/>
                <w:sz w:val="20"/>
                <w:szCs w:val="20"/>
                <w:lang w:eastAsia="it-IT"/>
              </w:rPr>
            </w:pPr>
          </w:p>
        </w:tc>
        <w:tc>
          <w:tcPr>
            <w:tcW w:w="1217" w:type="dxa"/>
            <w:tcBorders>
              <w:top w:val="nil"/>
              <w:left w:val="nil"/>
              <w:bottom w:val="single" w:sz="4" w:space="0" w:color="auto"/>
              <w:right w:val="single" w:sz="4" w:space="0" w:color="auto"/>
            </w:tcBorders>
            <w:vAlign w:val="center"/>
          </w:tcPr>
          <w:p w14:paraId="2F31BFF3" w14:textId="10DEFB67" w:rsidR="002B7823" w:rsidRPr="00C2587D" w:rsidRDefault="002B7823" w:rsidP="002B7823">
            <w:pPr>
              <w:jc w:val="center"/>
              <w:rPr>
                <w:rFonts w:cs="Arial"/>
                <w:b/>
                <w:color w:val="000000"/>
                <w:sz w:val="20"/>
                <w:szCs w:val="20"/>
                <w:lang w:eastAsia="it-IT"/>
              </w:rPr>
            </w:pPr>
            <w:r w:rsidRPr="00C2587D">
              <w:rPr>
                <w:rFonts w:cs="Arial"/>
                <w:b/>
                <w:color w:val="000000"/>
                <w:sz w:val="20"/>
                <w:szCs w:val="20"/>
                <w:lang w:eastAsia="it-IT"/>
              </w:rPr>
              <w:t>1 370,9</w:t>
            </w:r>
          </w:p>
        </w:tc>
      </w:tr>
      <w:tr w:rsidR="002B7823" w:rsidRPr="00C2587D" w14:paraId="5E1E8A2E" w14:textId="77777777" w:rsidTr="006478C2">
        <w:trPr>
          <w:jc w:val="center"/>
        </w:trPr>
        <w:tc>
          <w:tcPr>
            <w:tcW w:w="551" w:type="dxa"/>
            <w:tcBorders>
              <w:top w:val="nil"/>
              <w:left w:val="single" w:sz="4" w:space="0" w:color="auto"/>
              <w:bottom w:val="single" w:sz="4" w:space="0" w:color="auto"/>
              <w:right w:val="single" w:sz="4" w:space="0" w:color="auto"/>
            </w:tcBorders>
            <w:shd w:val="clear" w:color="auto" w:fill="auto"/>
            <w:noWrap/>
            <w:vAlign w:val="center"/>
          </w:tcPr>
          <w:p w14:paraId="5E734EF3" w14:textId="0CA5C980" w:rsidR="002B7823" w:rsidRPr="00C2587D" w:rsidRDefault="002B7823" w:rsidP="006478C2">
            <w:pPr>
              <w:rPr>
                <w:rFonts w:cs="Arial"/>
                <w:sz w:val="20"/>
                <w:szCs w:val="20"/>
                <w:lang w:eastAsia="uk-UA"/>
              </w:rPr>
            </w:pPr>
            <w:r w:rsidRPr="00C2587D">
              <w:rPr>
                <w:rFonts w:cs="Arial"/>
                <w:sz w:val="20"/>
                <w:szCs w:val="20"/>
                <w:lang w:eastAsia="uk-UA"/>
              </w:rPr>
              <w:t>11.</w:t>
            </w:r>
          </w:p>
        </w:tc>
        <w:tc>
          <w:tcPr>
            <w:tcW w:w="4521" w:type="dxa"/>
            <w:tcBorders>
              <w:top w:val="single" w:sz="4" w:space="0" w:color="auto"/>
              <w:bottom w:val="single" w:sz="4" w:space="0" w:color="auto"/>
              <w:right w:val="single" w:sz="4" w:space="0" w:color="auto"/>
            </w:tcBorders>
            <w:shd w:val="clear" w:color="auto" w:fill="auto"/>
            <w:noWrap/>
            <w:vAlign w:val="center"/>
          </w:tcPr>
          <w:p w14:paraId="08A8A44F" w14:textId="00397880" w:rsidR="002B7823" w:rsidRPr="00C2587D" w:rsidRDefault="002B7823" w:rsidP="006478C2">
            <w:pPr>
              <w:spacing w:before="40" w:after="40"/>
              <w:jc w:val="both"/>
              <w:rPr>
                <w:rFonts w:cs="Arial"/>
                <w:sz w:val="20"/>
                <w:szCs w:val="20"/>
                <w:lang w:eastAsia="it-IT"/>
              </w:rPr>
            </w:pPr>
            <w:r w:rsidRPr="00C2587D">
              <w:rPr>
                <w:rFonts w:eastAsia="Arial"/>
                <w:sz w:val="20"/>
                <w:szCs w:val="20"/>
              </w:rPr>
              <w:t>Капітальний ремонт дорожнього покриття прибудинкової території по вул. Соборна, 10,</w:t>
            </w:r>
            <w:r w:rsidR="00C2587D" w:rsidRPr="00C2587D">
              <w:rPr>
                <w:rFonts w:eastAsia="Arial"/>
                <w:sz w:val="20"/>
                <w:szCs w:val="20"/>
              </w:rPr>
              <w:t xml:space="preserve"> </w:t>
            </w:r>
            <w:r w:rsidRPr="00C2587D">
              <w:rPr>
                <w:rFonts w:eastAsia="Arial"/>
                <w:sz w:val="20"/>
                <w:szCs w:val="20"/>
              </w:rPr>
              <w:t>12 в м.Жмеринка Вінницької області</w:t>
            </w:r>
            <w:r w:rsidR="00C2587D" w:rsidRPr="00C2587D">
              <w:rPr>
                <w:rFonts w:eastAsia="Arial"/>
                <w:sz w:val="20"/>
                <w:szCs w:val="20"/>
              </w:rPr>
              <w:t xml:space="preserve"> </w:t>
            </w:r>
            <w:r w:rsidRPr="00C2587D">
              <w:rPr>
                <w:rFonts w:eastAsia="Arial"/>
                <w:sz w:val="20"/>
                <w:szCs w:val="20"/>
              </w:rPr>
              <w:t>(Коригування)</w:t>
            </w:r>
          </w:p>
        </w:tc>
        <w:tc>
          <w:tcPr>
            <w:tcW w:w="1162" w:type="dxa"/>
            <w:tcBorders>
              <w:top w:val="nil"/>
              <w:left w:val="single" w:sz="4" w:space="0" w:color="auto"/>
              <w:bottom w:val="single" w:sz="4" w:space="0" w:color="auto"/>
              <w:right w:val="single" w:sz="4" w:space="0" w:color="auto"/>
            </w:tcBorders>
            <w:shd w:val="clear" w:color="auto" w:fill="auto"/>
            <w:noWrap/>
            <w:vAlign w:val="center"/>
          </w:tcPr>
          <w:p w14:paraId="48B430FB" w14:textId="77777777" w:rsidR="002B7823" w:rsidRPr="00C2587D" w:rsidRDefault="002B7823" w:rsidP="002B7823">
            <w:pPr>
              <w:jc w:val="center"/>
              <w:rPr>
                <w:rFonts w:cs="Arial"/>
                <w:color w:val="000000"/>
                <w:sz w:val="20"/>
                <w:szCs w:val="20"/>
                <w:lang w:eastAsia="it-IT"/>
              </w:rPr>
            </w:pPr>
          </w:p>
        </w:tc>
        <w:tc>
          <w:tcPr>
            <w:tcW w:w="1329" w:type="dxa"/>
            <w:tcBorders>
              <w:top w:val="nil"/>
              <w:left w:val="nil"/>
              <w:bottom w:val="single" w:sz="4" w:space="0" w:color="auto"/>
              <w:right w:val="single" w:sz="4" w:space="0" w:color="auto"/>
            </w:tcBorders>
            <w:shd w:val="clear" w:color="auto" w:fill="auto"/>
            <w:noWrap/>
            <w:vAlign w:val="center"/>
          </w:tcPr>
          <w:p w14:paraId="43C7F58F" w14:textId="43B33CED" w:rsidR="002B7823" w:rsidRPr="00C2587D" w:rsidRDefault="002B7823" w:rsidP="002B7823">
            <w:pPr>
              <w:jc w:val="center"/>
              <w:rPr>
                <w:rFonts w:cs="Arial"/>
                <w:color w:val="000000"/>
                <w:sz w:val="20"/>
                <w:szCs w:val="20"/>
                <w:lang w:eastAsia="it-IT"/>
              </w:rPr>
            </w:pPr>
            <w:r w:rsidRPr="00C2587D">
              <w:rPr>
                <w:rFonts w:cs="Arial"/>
                <w:color w:val="000000"/>
                <w:sz w:val="20"/>
                <w:szCs w:val="20"/>
                <w:lang w:eastAsia="it-IT"/>
              </w:rPr>
              <w:t>9 881,8</w:t>
            </w:r>
          </w:p>
        </w:tc>
        <w:tc>
          <w:tcPr>
            <w:tcW w:w="1273" w:type="dxa"/>
            <w:tcBorders>
              <w:top w:val="nil"/>
              <w:left w:val="nil"/>
              <w:bottom w:val="single" w:sz="4" w:space="0" w:color="auto"/>
              <w:right w:val="single" w:sz="4" w:space="0" w:color="auto"/>
            </w:tcBorders>
            <w:shd w:val="clear" w:color="auto" w:fill="auto"/>
            <w:noWrap/>
            <w:vAlign w:val="center"/>
          </w:tcPr>
          <w:p w14:paraId="692449C3" w14:textId="77777777" w:rsidR="002B7823" w:rsidRPr="00C2587D" w:rsidRDefault="002B7823" w:rsidP="002B7823">
            <w:pPr>
              <w:jc w:val="center"/>
              <w:rPr>
                <w:rFonts w:cs="Arial"/>
                <w:color w:val="000000"/>
                <w:sz w:val="20"/>
                <w:szCs w:val="20"/>
                <w:lang w:eastAsia="it-IT"/>
              </w:rPr>
            </w:pPr>
          </w:p>
        </w:tc>
        <w:tc>
          <w:tcPr>
            <w:tcW w:w="1273" w:type="dxa"/>
            <w:tcBorders>
              <w:top w:val="nil"/>
              <w:left w:val="nil"/>
              <w:bottom w:val="single" w:sz="4" w:space="0" w:color="auto"/>
              <w:right w:val="single" w:sz="4" w:space="0" w:color="auto"/>
            </w:tcBorders>
            <w:shd w:val="clear" w:color="auto" w:fill="auto"/>
            <w:vAlign w:val="center"/>
          </w:tcPr>
          <w:p w14:paraId="302E9D60" w14:textId="77777777" w:rsidR="002B7823" w:rsidRPr="00C2587D" w:rsidRDefault="002B7823" w:rsidP="002B7823">
            <w:pPr>
              <w:jc w:val="center"/>
              <w:rPr>
                <w:rFonts w:cs="Arial"/>
                <w:color w:val="000000"/>
                <w:sz w:val="20"/>
                <w:szCs w:val="20"/>
                <w:lang w:eastAsia="it-IT"/>
              </w:rPr>
            </w:pPr>
          </w:p>
        </w:tc>
        <w:tc>
          <w:tcPr>
            <w:tcW w:w="1217" w:type="dxa"/>
            <w:tcBorders>
              <w:top w:val="nil"/>
              <w:left w:val="nil"/>
              <w:bottom w:val="single" w:sz="4" w:space="0" w:color="auto"/>
              <w:right w:val="single" w:sz="4" w:space="0" w:color="auto"/>
            </w:tcBorders>
            <w:vAlign w:val="center"/>
          </w:tcPr>
          <w:p w14:paraId="0758360F" w14:textId="4E3523B8" w:rsidR="002B7823" w:rsidRPr="00C2587D" w:rsidRDefault="002B7823" w:rsidP="002B7823">
            <w:pPr>
              <w:jc w:val="center"/>
              <w:rPr>
                <w:rFonts w:cs="Arial"/>
                <w:b/>
                <w:color w:val="000000"/>
                <w:sz w:val="20"/>
                <w:szCs w:val="20"/>
                <w:lang w:eastAsia="it-IT"/>
              </w:rPr>
            </w:pPr>
            <w:r w:rsidRPr="00C2587D">
              <w:rPr>
                <w:rFonts w:cs="Arial"/>
                <w:b/>
                <w:color w:val="000000"/>
                <w:sz w:val="20"/>
                <w:szCs w:val="20"/>
                <w:lang w:eastAsia="it-IT"/>
              </w:rPr>
              <w:t>9 881,8</w:t>
            </w:r>
          </w:p>
        </w:tc>
      </w:tr>
      <w:tr w:rsidR="002B7823" w:rsidRPr="00C2587D" w14:paraId="5F8463B6" w14:textId="77777777" w:rsidTr="006478C2">
        <w:trPr>
          <w:jc w:val="center"/>
        </w:trPr>
        <w:tc>
          <w:tcPr>
            <w:tcW w:w="551" w:type="dxa"/>
            <w:tcBorders>
              <w:top w:val="nil"/>
              <w:left w:val="single" w:sz="4" w:space="0" w:color="auto"/>
              <w:bottom w:val="single" w:sz="4" w:space="0" w:color="auto"/>
              <w:right w:val="single" w:sz="4" w:space="0" w:color="auto"/>
            </w:tcBorders>
            <w:shd w:val="clear" w:color="auto" w:fill="auto"/>
            <w:noWrap/>
            <w:vAlign w:val="center"/>
          </w:tcPr>
          <w:p w14:paraId="719467DF" w14:textId="4F2FF12B" w:rsidR="002B7823" w:rsidRPr="00C2587D" w:rsidRDefault="002B7823" w:rsidP="006478C2">
            <w:pPr>
              <w:rPr>
                <w:rFonts w:cs="Arial"/>
                <w:sz w:val="20"/>
                <w:szCs w:val="20"/>
                <w:lang w:eastAsia="uk-UA"/>
              </w:rPr>
            </w:pPr>
            <w:r w:rsidRPr="00C2587D">
              <w:rPr>
                <w:rFonts w:cs="Arial"/>
                <w:sz w:val="20"/>
                <w:szCs w:val="20"/>
                <w:lang w:eastAsia="uk-UA"/>
              </w:rPr>
              <w:t>12.</w:t>
            </w:r>
          </w:p>
        </w:tc>
        <w:tc>
          <w:tcPr>
            <w:tcW w:w="4521" w:type="dxa"/>
            <w:tcBorders>
              <w:top w:val="single" w:sz="4" w:space="0" w:color="auto"/>
              <w:bottom w:val="single" w:sz="4" w:space="0" w:color="auto"/>
              <w:right w:val="single" w:sz="4" w:space="0" w:color="auto"/>
            </w:tcBorders>
            <w:shd w:val="clear" w:color="auto" w:fill="auto"/>
            <w:noWrap/>
            <w:vAlign w:val="center"/>
          </w:tcPr>
          <w:p w14:paraId="6561C521" w14:textId="67A81897" w:rsidR="002B7823" w:rsidRPr="00C2587D" w:rsidRDefault="002B7823" w:rsidP="006478C2">
            <w:pPr>
              <w:spacing w:before="40" w:after="40"/>
              <w:jc w:val="both"/>
              <w:rPr>
                <w:rFonts w:cs="Arial"/>
                <w:sz w:val="20"/>
                <w:szCs w:val="20"/>
                <w:lang w:eastAsia="it-IT"/>
              </w:rPr>
            </w:pPr>
            <w:r w:rsidRPr="00C2587D">
              <w:rPr>
                <w:rFonts w:eastAsia="Arial"/>
                <w:sz w:val="20"/>
                <w:szCs w:val="20"/>
              </w:rPr>
              <w:t>Капітальний ремонт дорожнього покриття прибудинкової території по вул. Будівельників, 5 в м. Жмеринка Вінницької області</w:t>
            </w:r>
          </w:p>
        </w:tc>
        <w:tc>
          <w:tcPr>
            <w:tcW w:w="1162" w:type="dxa"/>
            <w:tcBorders>
              <w:top w:val="nil"/>
              <w:left w:val="single" w:sz="4" w:space="0" w:color="auto"/>
              <w:bottom w:val="single" w:sz="4" w:space="0" w:color="auto"/>
              <w:right w:val="single" w:sz="4" w:space="0" w:color="auto"/>
            </w:tcBorders>
            <w:shd w:val="clear" w:color="auto" w:fill="auto"/>
            <w:noWrap/>
            <w:vAlign w:val="center"/>
          </w:tcPr>
          <w:p w14:paraId="72D46B36" w14:textId="77777777" w:rsidR="002B7823" w:rsidRPr="00C2587D" w:rsidRDefault="002B7823" w:rsidP="002B7823">
            <w:pPr>
              <w:jc w:val="center"/>
              <w:rPr>
                <w:rFonts w:cs="Arial"/>
                <w:color w:val="000000"/>
                <w:sz w:val="20"/>
                <w:szCs w:val="20"/>
                <w:lang w:eastAsia="it-IT"/>
              </w:rPr>
            </w:pPr>
          </w:p>
        </w:tc>
        <w:tc>
          <w:tcPr>
            <w:tcW w:w="1329" w:type="dxa"/>
            <w:tcBorders>
              <w:top w:val="nil"/>
              <w:left w:val="nil"/>
              <w:bottom w:val="single" w:sz="4" w:space="0" w:color="auto"/>
              <w:right w:val="single" w:sz="4" w:space="0" w:color="auto"/>
            </w:tcBorders>
            <w:shd w:val="clear" w:color="auto" w:fill="auto"/>
            <w:noWrap/>
            <w:vAlign w:val="center"/>
          </w:tcPr>
          <w:p w14:paraId="5A21E9DB" w14:textId="36C45563" w:rsidR="002B7823" w:rsidRPr="00C2587D" w:rsidRDefault="002B7823" w:rsidP="002B7823">
            <w:pPr>
              <w:jc w:val="center"/>
              <w:rPr>
                <w:rFonts w:cs="Arial"/>
                <w:color w:val="000000"/>
                <w:sz w:val="20"/>
                <w:szCs w:val="20"/>
                <w:lang w:eastAsia="it-IT"/>
              </w:rPr>
            </w:pPr>
            <w:r w:rsidRPr="00C2587D">
              <w:rPr>
                <w:rFonts w:cs="Arial"/>
                <w:color w:val="000000"/>
                <w:sz w:val="20"/>
                <w:szCs w:val="20"/>
                <w:lang w:eastAsia="it-IT"/>
              </w:rPr>
              <w:t>1 181,0</w:t>
            </w:r>
          </w:p>
        </w:tc>
        <w:tc>
          <w:tcPr>
            <w:tcW w:w="1273" w:type="dxa"/>
            <w:tcBorders>
              <w:top w:val="nil"/>
              <w:left w:val="nil"/>
              <w:bottom w:val="single" w:sz="4" w:space="0" w:color="auto"/>
              <w:right w:val="single" w:sz="4" w:space="0" w:color="auto"/>
            </w:tcBorders>
            <w:shd w:val="clear" w:color="auto" w:fill="auto"/>
            <w:noWrap/>
            <w:vAlign w:val="center"/>
          </w:tcPr>
          <w:p w14:paraId="62155E7B" w14:textId="77777777" w:rsidR="002B7823" w:rsidRPr="00C2587D" w:rsidRDefault="002B7823" w:rsidP="002B7823">
            <w:pPr>
              <w:jc w:val="center"/>
              <w:rPr>
                <w:rFonts w:cs="Arial"/>
                <w:color w:val="000000"/>
                <w:sz w:val="20"/>
                <w:szCs w:val="20"/>
                <w:lang w:eastAsia="it-IT"/>
              </w:rPr>
            </w:pPr>
          </w:p>
        </w:tc>
        <w:tc>
          <w:tcPr>
            <w:tcW w:w="1273" w:type="dxa"/>
            <w:tcBorders>
              <w:top w:val="nil"/>
              <w:left w:val="nil"/>
              <w:bottom w:val="single" w:sz="4" w:space="0" w:color="auto"/>
              <w:right w:val="single" w:sz="4" w:space="0" w:color="auto"/>
            </w:tcBorders>
            <w:shd w:val="clear" w:color="auto" w:fill="auto"/>
            <w:vAlign w:val="center"/>
          </w:tcPr>
          <w:p w14:paraId="68D69269" w14:textId="77777777" w:rsidR="002B7823" w:rsidRPr="00C2587D" w:rsidRDefault="002B7823" w:rsidP="002B7823">
            <w:pPr>
              <w:jc w:val="center"/>
              <w:rPr>
                <w:rFonts w:cs="Arial"/>
                <w:color w:val="000000"/>
                <w:sz w:val="20"/>
                <w:szCs w:val="20"/>
                <w:lang w:eastAsia="it-IT"/>
              </w:rPr>
            </w:pPr>
          </w:p>
        </w:tc>
        <w:tc>
          <w:tcPr>
            <w:tcW w:w="1217" w:type="dxa"/>
            <w:tcBorders>
              <w:top w:val="nil"/>
              <w:left w:val="nil"/>
              <w:bottom w:val="single" w:sz="4" w:space="0" w:color="auto"/>
              <w:right w:val="single" w:sz="4" w:space="0" w:color="auto"/>
            </w:tcBorders>
            <w:vAlign w:val="center"/>
          </w:tcPr>
          <w:p w14:paraId="0ABBBE68" w14:textId="250C8C76" w:rsidR="002B7823" w:rsidRPr="00C2587D" w:rsidRDefault="002B7823" w:rsidP="002B7823">
            <w:pPr>
              <w:jc w:val="center"/>
              <w:rPr>
                <w:rFonts w:cs="Arial"/>
                <w:b/>
                <w:color w:val="000000"/>
                <w:sz w:val="20"/>
                <w:szCs w:val="20"/>
                <w:lang w:eastAsia="it-IT"/>
              </w:rPr>
            </w:pPr>
            <w:r w:rsidRPr="00C2587D">
              <w:rPr>
                <w:rFonts w:cs="Arial"/>
                <w:b/>
                <w:color w:val="000000"/>
                <w:sz w:val="20"/>
                <w:szCs w:val="20"/>
                <w:lang w:eastAsia="it-IT"/>
              </w:rPr>
              <w:t>1 181,0</w:t>
            </w:r>
          </w:p>
        </w:tc>
      </w:tr>
      <w:tr w:rsidR="002B7823" w:rsidRPr="00C2587D" w14:paraId="6962596F" w14:textId="77777777" w:rsidTr="006478C2">
        <w:trPr>
          <w:jc w:val="center"/>
        </w:trPr>
        <w:tc>
          <w:tcPr>
            <w:tcW w:w="551" w:type="dxa"/>
            <w:tcBorders>
              <w:top w:val="nil"/>
              <w:left w:val="single" w:sz="4" w:space="0" w:color="auto"/>
              <w:bottom w:val="single" w:sz="4" w:space="0" w:color="auto"/>
              <w:right w:val="single" w:sz="4" w:space="0" w:color="auto"/>
            </w:tcBorders>
            <w:shd w:val="clear" w:color="auto" w:fill="auto"/>
            <w:noWrap/>
            <w:vAlign w:val="center"/>
          </w:tcPr>
          <w:p w14:paraId="5A285FC5" w14:textId="7D43D28E" w:rsidR="002B7823" w:rsidRPr="00C2587D" w:rsidRDefault="002B7823" w:rsidP="006478C2">
            <w:pPr>
              <w:rPr>
                <w:rFonts w:cs="Arial"/>
                <w:sz w:val="20"/>
                <w:szCs w:val="20"/>
                <w:lang w:eastAsia="uk-UA"/>
              </w:rPr>
            </w:pPr>
            <w:r w:rsidRPr="00C2587D">
              <w:rPr>
                <w:rFonts w:cs="Arial"/>
                <w:sz w:val="20"/>
                <w:szCs w:val="20"/>
                <w:lang w:eastAsia="uk-UA"/>
              </w:rPr>
              <w:t>13.</w:t>
            </w:r>
          </w:p>
        </w:tc>
        <w:tc>
          <w:tcPr>
            <w:tcW w:w="4521" w:type="dxa"/>
            <w:tcBorders>
              <w:top w:val="single" w:sz="4" w:space="0" w:color="auto"/>
              <w:bottom w:val="single" w:sz="4" w:space="0" w:color="auto"/>
              <w:right w:val="single" w:sz="4" w:space="0" w:color="auto"/>
            </w:tcBorders>
            <w:shd w:val="clear" w:color="auto" w:fill="auto"/>
            <w:noWrap/>
            <w:vAlign w:val="center"/>
          </w:tcPr>
          <w:p w14:paraId="59EEDD16" w14:textId="6D754802" w:rsidR="002B7823" w:rsidRPr="00C2587D" w:rsidRDefault="002B7823" w:rsidP="006478C2">
            <w:pPr>
              <w:spacing w:before="40" w:after="40"/>
              <w:jc w:val="both"/>
              <w:rPr>
                <w:rFonts w:cs="Arial"/>
                <w:sz w:val="20"/>
                <w:szCs w:val="20"/>
                <w:lang w:eastAsia="it-IT"/>
              </w:rPr>
            </w:pPr>
            <w:r w:rsidRPr="00C2587D">
              <w:rPr>
                <w:rFonts w:eastAsia="Arial"/>
                <w:sz w:val="20"/>
                <w:szCs w:val="20"/>
              </w:rPr>
              <w:t>Капітальний ремонт вулиці Валерія Брезденюка (від вул. М. Грушевського до вул. Центральна)</w:t>
            </w:r>
          </w:p>
        </w:tc>
        <w:tc>
          <w:tcPr>
            <w:tcW w:w="1162" w:type="dxa"/>
            <w:tcBorders>
              <w:top w:val="nil"/>
              <w:left w:val="single" w:sz="4" w:space="0" w:color="auto"/>
              <w:bottom w:val="single" w:sz="4" w:space="0" w:color="auto"/>
              <w:right w:val="single" w:sz="4" w:space="0" w:color="auto"/>
            </w:tcBorders>
            <w:shd w:val="clear" w:color="auto" w:fill="auto"/>
            <w:noWrap/>
            <w:vAlign w:val="center"/>
          </w:tcPr>
          <w:p w14:paraId="3BA46AA3" w14:textId="77777777" w:rsidR="002B7823" w:rsidRPr="00C2587D" w:rsidRDefault="002B7823" w:rsidP="002B7823">
            <w:pPr>
              <w:jc w:val="center"/>
              <w:rPr>
                <w:rFonts w:cs="Arial"/>
                <w:color w:val="000000"/>
                <w:sz w:val="20"/>
                <w:szCs w:val="20"/>
                <w:lang w:eastAsia="it-IT"/>
              </w:rPr>
            </w:pPr>
          </w:p>
        </w:tc>
        <w:tc>
          <w:tcPr>
            <w:tcW w:w="1329" w:type="dxa"/>
            <w:tcBorders>
              <w:top w:val="nil"/>
              <w:left w:val="nil"/>
              <w:bottom w:val="single" w:sz="4" w:space="0" w:color="auto"/>
              <w:right w:val="single" w:sz="4" w:space="0" w:color="auto"/>
            </w:tcBorders>
            <w:shd w:val="clear" w:color="auto" w:fill="auto"/>
            <w:noWrap/>
            <w:vAlign w:val="center"/>
          </w:tcPr>
          <w:p w14:paraId="2D9BBA4B" w14:textId="475856F5" w:rsidR="002B7823" w:rsidRPr="00C2587D" w:rsidRDefault="002B7823" w:rsidP="002B7823">
            <w:pPr>
              <w:jc w:val="center"/>
              <w:rPr>
                <w:rFonts w:cs="Arial"/>
                <w:color w:val="000000"/>
                <w:sz w:val="20"/>
                <w:szCs w:val="20"/>
                <w:lang w:eastAsia="it-IT"/>
              </w:rPr>
            </w:pPr>
            <w:r w:rsidRPr="00C2587D">
              <w:rPr>
                <w:rFonts w:cs="Arial"/>
                <w:color w:val="000000"/>
                <w:sz w:val="20"/>
                <w:szCs w:val="20"/>
                <w:lang w:eastAsia="it-IT"/>
              </w:rPr>
              <w:t>7 216,8</w:t>
            </w:r>
          </w:p>
        </w:tc>
        <w:tc>
          <w:tcPr>
            <w:tcW w:w="1273" w:type="dxa"/>
            <w:tcBorders>
              <w:top w:val="nil"/>
              <w:left w:val="nil"/>
              <w:bottom w:val="single" w:sz="4" w:space="0" w:color="auto"/>
              <w:right w:val="single" w:sz="4" w:space="0" w:color="auto"/>
            </w:tcBorders>
            <w:shd w:val="clear" w:color="auto" w:fill="auto"/>
            <w:noWrap/>
            <w:vAlign w:val="center"/>
          </w:tcPr>
          <w:p w14:paraId="4A46A93C" w14:textId="77777777" w:rsidR="002B7823" w:rsidRPr="00C2587D" w:rsidRDefault="002B7823" w:rsidP="002B7823">
            <w:pPr>
              <w:jc w:val="center"/>
              <w:rPr>
                <w:rFonts w:cs="Arial"/>
                <w:color w:val="000000"/>
                <w:sz w:val="20"/>
                <w:szCs w:val="20"/>
                <w:lang w:eastAsia="it-IT"/>
              </w:rPr>
            </w:pPr>
          </w:p>
        </w:tc>
        <w:tc>
          <w:tcPr>
            <w:tcW w:w="1273" w:type="dxa"/>
            <w:tcBorders>
              <w:top w:val="nil"/>
              <w:left w:val="nil"/>
              <w:bottom w:val="single" w:sz="4" w:space="0" w:color="auto"/>
              <w:right w:val="single" w:sz="4" w:space="0" w:color="auto"/>
            </w:tcBorders>
            <w:shd w:val="clear" w:color="auto" w:fill="auto"/>
            <w:vAlign w:val="center"/>
          </w:tcPr>
          <w:p w14:paraId="13D74269" w14:textId="77777777" w:rsidR="002B7823" w:rsidRPr="00C2587D" w:rsidRDefault="002B7823" w:rsidP="002B7823">
            <w:pPr>
              <w:jc w:val="center"/>
              <w:rPr>
                <w:rFonts w:cs="Arial"/>
                <w:color w:val="000000"/>
                <w:sz w:val="20"/>
                <w:szCs w:val="20"/>
                <w:lang w:eastAsia="it-IT"/>
              </w:rPr>
            </w:pPr>
          </w:p>
        </w:tc>
        <w:tc>
          <w:tcPr>
            <w:tcW w:w="1217" w:type="dxa"/>
            <w:tcBorders>
              <w:top w:val="nil"/>
              <w:left w:val="nil"/>
              <w:bottom w:val="single" w:sz="4" w:space="0" w:color="auto"/>
              <w:right w:val="single" w:sz="4" w:space="0" w:color="auto"/>
            </w:tcBorders>
            <w:vAlign w:val="center"/>
          </w:tcPr>
          <w:p w14:paraId="441B60EE" w14:textId="230CD3F1" w:rsidR="002B7823" w:rsidRPr="00C2587D" w:rsidRDefault="002B7823" w:rsidP="002B7823">
            <w:pPr>
              <w:jc w:val="center"/>
              <w:rPr>
                <w:rFonts w:cs="Arial"/>
                <w:b/>
                <w:color w:val="000000"/>
                <w:sz w:val="20"/>
                <w:szCs w:val="20"/>
                <w:lang w:eastAsia="it-IT"/>
              </w:rPr>
            </w:pPr>
            <w:r w:rsidRPr="00C2587D">
              <w:rPr>
                <w:rFonts w:cs="Arial"/>
                <w:b/>
                <w:color w:val="000000"/>
                <w:sz w:val="20"/>
                <w:szCs w:val="20"/>
                <w:lang w:eastAsia="it-IT"/>
              </w:rPr>
              <w:t>7 216,8</w:t>
            </w:r>
          </w:p>
        </w:tc>
      </w:tr>
      <w:tr w:rsidR="002B7823" w:rsidRPr="00C2587D" w14:paraId="695250AD" w14:textId="77777777" w:rsidTr="006478C2">
        <w:trPr>
          <w:jc w:val="center"/>
        </w:trPr>
        <w:tc>
          <w:tcPr>
            <w:tcW w:w="551" w:type="dxa"/>
            <w:tcBorders>
              <w:top w:val="nil"/>
              <w:left w:val="single" w:sz="4" w:space="0" w:color="auto"/>
              <w:bottom w:val="single" w:sz="4" w:space="0" w:color="auto"/>
              <w:right w:val="single" w:sz="4" w:space="0" w:color="auto"/>
            </w:tcBorders>
            <w:shd w:val="clear" w:color="auto" w:fill="auto"/>
            <w:noWrap/>
            <w:vAlign w:val="center"/>
          </w:tcPr>
          <w:p w14:paraId="1EB3A82B" w14:textId="2DF19AB5" w:rsidR="002B7823" w:rsidRPr="00C2587D" w:rsidRDefault="002B7823" w:rsidP="006478C2">
            <w:pPr>
              <w:rPr>
                <w:rFonts w:cs="Arial"/>
                <w:sz w:val="20"/>
                <w:szCs w:val="20"/>
                <w:lang w:eastAsia="uk-UA"/>
              </w:rPr>
            </w:pPr>
            <w:r w:rsidRPr="00C2587D">
              <w:rPr>
                <w:rFonts w:cs="Arial"/>
                <w:sz w:val="20"/>
                <w:szCs w:val="20"/>
                <w:lang w:eastAsia="uk-UA"/>
              </w:rPr>
              <w:t>14.</w:t>
            </w:r>
          </w:p>
        </w:tc>
        <w:tc>
          <w:tcPr>
            <w:tcW w:w="4521" w:type="dxa"/>
            <w:tcBorders>
              <w:top w:val="single" w:sz="4" w:space="0" w:color="auto"/>
              <w:bottom w:val="single" w:sz="4" w:space="0" w:color="auto"/>
              <w:right w:val="single" w:sz="4" w:space="0" w:color="auto"/>
            </w:tcBorders>
            <w:shd w:val="clear" w:color="auto" w:fill="auto"/>
            <w:noWrap/>
            <w:vAlign w:val="center"/>
          </w:tcPr>
          <w:p w14:paraId="6D473556" w14:textId="3E2B7D59" w:rsidR="002B7823" w:rsidRPr="00C2587D" w:rsidRDefault="002B7823" w:rsidP="006478C2">
            <w:pPr>
              <w:spacing w:before="40" w:after="40"/>
              <w:jc w:val="both"/>
              <w:rPr>
                <w:rFonts w:cs="Arial"/>
                <w:sz w:val="20"/>
                <w:szCs w:val="20"/>
                <w:lang w:eastAsia="it-IT"/>
              </w:rPr>
            </w:pPr>
            <w:r w:rsidRPr="00C2587D">
              <w:rPr>
                <w:rFonts w:eastAsia="Arial"/>
                <w:sz w:val="20"/>
                <w:szCs w:val="20"/>
              </w:rPr>
              <w:t>Капітальний ремонт доріг (асфальтування) смт.Браїлів</w:t>
            </w:r>
          </w:p>
        </w:tc>
        <w:tc>
          <w:tcPr>
            <w:tcW w:w="1162" w:type="dxa"/>
            <w:tcBorders>
              <w:top w:val="nil"/>
              <w:left w:val="single" w:sz="4" w:space="0" w:color="auto"/>
              <w:bottom w:val="single" w:sz="4" w:space="0" w:color="auto"/>
              <w:right w:val="single" w:sz="4" w:space="0" w:color="auto"/>
            </w:tcBorders>
            <w:shd w:val="clear" w:color="auto" w:fill="auto"/>
            <w:noWrap/>
            <w:vAlign w:val="center"/>
          </w:tcPr>
          <w:p w14:paraId="5FD61B87" w14:textId="77777777" w:rsidR="002B7823" w:rsidRPr="00C2587D" w:rsidRDefault="002B7823" w:rsidP="002B7823">
            <w:pPr>
              <w:jc w:val="center"/>
              <w:rPr>
                <w:rFonts w:cs="Arial"/>
                <w:color w:val="000000"/>
                <w:sz w:val="20"/>
                <w:szCs w:val="20"/>
                <w:lang w:eastAsia="it-IT"/>
              </w:rPr>
            </w:pPr>
          </w:p>
        </w:tc>
        <w:tc>
          <w:tcPr>
            <w:tcW w:w="1329" w:type="dxa"/>
            <w:tcBorders>
              <w:top w:val="nil"/>
              <w:left w:val="nil"/>
              <w:bottom w:val="single" w:sz="4" w:space="0" w:color="auto"/>
              <w:right w:val="single" w:sz="4" w:space="0" w:color="auto"/>
            </w:tcBorders>
            <w:shd w:val="clear" w:color="auto" w:fill="auto"/>
            <w:noWrap/>
            <w:vAlign w:val="center"/>
          </w:tcPr>
          <w:p w14:paraId="33EAEA7A" w14:textId="25748D09" w:rsidR="002B7823" w:rsidRPr="00C2587D" w:rsidRDefault="002B7823" w:rsidP="002B7823">
            <w:pPr>
              <w:jc w:val="center"/>
              <w:rPr>
                <w:rFonts w:cs="Arial"/>
                <w:color w:val="000000"/>
                <w:sz w:val="20"/>
                <w:szCs w:val="20"/>
                <w:lang w:eastAsia="it-IT"/>
              </w:rPr>
            </w:pPr>
            <w:r w:rsidRPr="00C2587D">
              <w:rPr>
                <w:rFonts w:cs="Arial"/>
                <w:color w:val="000000"/>
                <w:sz w:val="20"/>
                <w:szCs w:val="20"/>
                <w:lang w:eastAsia="it-IT"/>
              </w:rPr>
              <w:t>5 827,9</w:t>
            </w:r>
          </w:p>
        </w:tc>
        <w:tc>
          <w:tcPr>
            <w:tcW w:w="1273" w:type="dxa"/>
            <w:tcBorders>
              <w:top w:val="nil"/>
              <w:left w:val="nil"/>
              <w:bottom w:val="single" w:sz="4" w:space="0" w:color="auto"/>
              <w:right w:val="single" w:sz="4" w:space="0" w:color="auto"/>
            </w:tcBorders>
            <w:shd w:val="clear" w:color="auto" w:fill="auto"/>
            <w:noWrap/>
            <w:vAlign w:val="center"/>
          </w:tcPr>
          <w:p w14:paraId="56321B64" w14:textId="77777777" w:rsidR="002B7823" w:rsidRPr="00C2587D" w:rsidRDefault="002B7823" w:rsidP="002B7823">
            <w:pPr>
              <w:jc w:val="center"/>
              <w:rPr>
                <w:rFonts w:cs="Arial"/>
                <w:color w:val="000000"/>
                <w:sz w:val="20"/>
                <w:szCs w:val="20"/>
                <w:lang w:eastAsia="it-IT"/>
              </w:rPr>
            </w:pPr>
          </w:p>
        </w:tc>
        <w:tc>
          <w:tcPr>
            <w:tcW w:w="1273" w:type="dxa"/>
            <w:tcBorders>
              <w:top w:val="nil"/>
              <w:left w:val="nil"/>
              <w:bottom w:val="single" w:sz="4" w:space="0" w:color="auto"/>
              <w:right w:val="single" w:sz="4" w:space="0" w:color="auto"/>
            </w:tcBorders>
            <w:shd w:val="clear" w:color="auto" w:fill="auto"/>
            <w:vAlign w:val="center"/>
          </w:tcPr>
          <w:p w14:paraId="5B51B9B2" w14:textId="77777777" w:rsidR="002B7823" w:rsidRPr="00C2587D" w:rsidRDefault="002B7823" w:rsidP="002B7823">
            <w:pPr>
              <w:jc w:val="center"/>
              <w:rPr>
                <w:rFonts w:cs="Arial"/>
                <w:color w:val="000000"/>
                <w:sz w:val="20"/>
                <w:szCs w:val="20"/>
                <w:lang w:eastAsia="it-IT"/>
              </w:rPr>
            </w:pPr>
          </w:p>
        </w:tc>
        <w:tc>
          <w:tcPr>
            <w:tcW w:w="1217" w:type="dxa"/>
            <w:tcBorders>
              <w:top w:val="nil"/>
              <w:left w:val="nil"/>
              <w:bottom w:val="single" w:sz="4" w:space="0" w:color="auto"/>
              <w:right w:val="single" w:sz="4" w:space="0" w:color="auto"/>
            </w:tcBorders>
            <w:vAlign w:val="center"/>
          </w:tcPr>
          <w:p w14:paraId="694DD0DB" w14:textId="0353539C" w:rsidR="002B7823" w:rsidRPr="00C2587D" w:rsidRDefault="002B7823" w:rsidP="002B7823">
            <w:pPr>
              <w:jc w:val="center"/>
              <w:rPr>
                <w:rFonts w:cs="Arial"/>
                <w:b/>
                <w:color w:val="000000"/>
                <w:sz w:val="20"/>
                <w:szCs w:val="20"/>
                <w:lang w:eastAsia="it-IT"/>
              </w:rPr>
            </w:pPr>
            <w:r w:rsidRPr="00C2587D">
              <w:rPr>
                <w:rFonts w:cs="Arial"/>
                <w:b/>
                <w:color w:val="000000"/>
                <w:sz w:val="20"/>
                <w:szCs w:val="20"/>
                <w:lang w:eastAsia="it-IT"/>
              </w:rPr>
              <w:t>5 827,9</w:t>
            </w:r>
          </w:p>
        </w:tc>
      </w:tr>
      <w:tr w:rsidR="002B7823" w:rsidRPr="00C2587D" w14:paraId="675E2B59" w14:textId="77777777" w:rsidTr="006478C2">
        <w:trPr>
          <w:jc w:val="center"/>
        </w:trPr>
        <w:tc>
          <w:tcPr>
            <w:tcW w:w="551" w:type="dxa"/>
            <w:tcBorders>
              <w:top w:val="nil"/>
              <w:left w:val="single" w:sz="4" w:space="0" w:color="auto"/>
              <w:bottom w:val="single" w:sz="4" w:space="0" w:color="auto"/>
              <w:right w:val="single" w:sz="4" w:space="0" w:color="auto"/>
            </w:tcBorders>
            <w:shd w:val="clear" w:color="auto" w:fill="auto"/>
            <w:noWrap/>
            <w:vAlign w:val="center"/>
          </w:tcPr>
          <w:p w14:paraId="4B90AA58" w14:textId="28C8D4D1" w:rsidR="002B7823" w:rsidRPr="00C2587D" w:rsidRDefault="002B7823" w:rsidP="006478C2">
            <w:pPr>
              <w:rPr>
                <w:rFonts w:cs="Arial"/>
                <w:sz w:val="20"/>
                <w:szCs w:val="20"/>
                <w:lang w:eastAsia="uk-UA"/>
              </w:rPr>
            </w:pPr>
            <w:r w:rsidRPr="00C2587D">
              <w:rPr>
                <w:rFonts w:cs="Arial"/>
                <w:sz w:val="20"/>
                <w:szCs w:val="20"/>
                <w:lang w:eastAsia="uk-UA"/>
              </w:rPr>
              <w:lastRenderedPageBreak/>
              <w:t>15.</w:t>
            </w:r>
          </w:p>
        </w:tc>
        <w:tc>
          <w:tcPr>
            <w:tcW w:w="452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E3D182" w14:textId="1593356B" w:rsidR="002B7823" w:rsidRPr="00C2587D" w:rsidRDefault="002B7823" w:rsidP="006478C2">
            <w:pPr>
              <w:spacing w:before="40" w:after="40"/>
              <w:jc w:val="both"/>
              <w:rPr>
                <w:rFonts w:eastAsia="Arial"/>
                <w:sz w:val="20"/>
                <w:szCs w:val="20"/>
              </w:rPr>
            </w:pPr>
            <w:r w:rsidRPr="00C2587D">
              <w:rPr>
                <w:bCs/>
                <w:spacing w:val="-5"/>
                <w:sz w:val="20"/>
                <w:szCs w:val="20"/>
              </w:rPr>
              <w:t xml:space="preserve">Капітальний ремонт тротуару по вул. Київська (від "АЗС ОККО" до вул. </w:t>
            </w:r>
            <w:r w:rsidR="00A041B2" w:rsidRPr="00C2587D">
              <w:rPr>
                <w:bCs/>
                <w:spacing w:val="-5"/>
                <w:sz w:val="20"/>
                <w:szCs w:val="20"/>
              </w:rPr>
              <w:t>Гришина</w:t>
            </w:r>
            <w:r w:rsidRPr="00C2587D">
              <w:rPr>
                <w:bCs/>
                <w:spacing w:val="-5"/>
                <w:sz w:val="20"/>
                <w:szCs w:val="20"/>
              </w:rPr>
              <w:t>) в м. Жмеринка Вінницької області</w:t>
            </w:r>
          </w:p>
        </w:tc>
        <w:tc>
          <w:tcPr>
            <w:tcW w:w="11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E90C0B" w14:textId="77777777" w:rsidR="002B7823" w:rsidRPr="00C2587D" w:rsidRDefault="002B7823" w:rsidP="002B7823">
            <w:pPr>
              <w:jc w:val="center"/>
              <w:rPr>
                <w:rFonts w:cs="Arial"/>
                <w:color w:val="000000"/>
                <w:sz w:val="20"/>
                <w:szCs w:val="20"/>
                <w:lang w:eastAsia="it-IT"/>
              </w:rPr>
            </w:pPr>
          </w:p>
        </w:tc>
        <w:tc>
          <w:tcPr>
            <w:tcW w:w="13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7FD518" w14:textId="6217D89D" w:rsidR="002B7823" w:rsidRPr="00C2587D" w:rsidRDefault="002B7823" w:rsidP="002B7823">
            <w:pPr>
              <w:jc w:val="center"/>
              <w:rPr>
                <w:rFonts w:cs="Arial"/>
                <w:color w:val="000000"/>
                <w:sz w:val="20"/>
                <w:szCs w:val="20"/>
                <w:lang w:eastAsia="it-IT"/>
              </w:rPr>
            </w:pPr>
            <w:r w:rsidRPr="00C2587D">
              <w:rPr>
                <w:rFonts w:cs="Arial"/>
                <w:color w:val="000000"/>
                <w:sz w:val="20"/>
                <w:szCs w:val="20"/>
                <w:lang w:eastAsia="it-IT"/>
              </w:rPr>
              <w:t>9 881,8</w:t>
            </w:r>
          </w:p>
        </w:tc>
        <w:tc>
          <w:tcPr>
            <w:tcW w:w="12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1EBE0E" w14:textId="77777777" w:rsidR="002B7823" w:rsidRPr="00C2587D" w:rsidRDefault="002B7823" w:rsidP="002B7823">
            <w:pPr>
              <w:jc w:val="center"/>
              <w:rPr>
                <w:rFonts w:cs="Arial"/>
                <w:color w:val="000000"/>
                <w:sz w:val="20"/>
                <w:szCs w:val="20"/>
                <w:lang w:eastAsia="it-IT"/>
              </w:rPr>
            </w:pPr>
          </w:p>
        </w:tc>
        <w:tc>
          <w:tcPr>
            <w:tcW w:w="1273" w:type="dxa"/>
            <w:tcBorders>
              <w:top w:val="single" w:sz="4" w:space="0" w:color="auto"/>
              <w:left w:val="single" w:sz="4" w:space="0" w:color="auto"/>
              <w:bottom w:val="single" w:sz="4" w:space="0" w:color="auto"/>
              <w:right w:val="single" w:sz="4" w:space="0" w:color="auto"/>
            </w:tcBorders>
            <w:shd w:val="clear" w:color="auto" w:fill="auto"/>
            <w:vAlign w:val="center"/>
          </w:tcPr>
          <w:p w14:paraId="796DEBBC" w14:textId="77777777" w:rsidR="002B7823" w:rsidRPr="00C2587D" w:rsidRDefault="002B7823" w:rsidP="002B7823">
            <w:pPr>
              <w:jc w:val="center"/>
              <w:rPr>
                <w:rFonts w:cs="Arial"/>
                <w:color w:val="000000"/>
                <w:sz w:val="20"/>
                <w:szCs w:val="20"/>
                <w:lang w:eastAsia="it-IT"/>
              </w:rPr>
            </w:pPr>
          </w:p>
        </w:tc>
        <w:tc>
          <w:tcPr>
            <w:tcW w:w="1217" w:type="dxa"/>
            <w:tcBorders>
              <w:top w:val="single" w:sz="4" w:space="0" w:color="auto"/>
              <w:left w:val="single" w:sz="4" w:space="0" w:color="auto"/>
              <w:bottom w:val="single" w:sz="4" w:space="0" w:color="auto"/>
              <w:right w:val="single" w:sz="4" w:space="0" w:color="auto"/>
            </w:tcBorders>
            <w:vAlign w:val="center"/>
          </w:tcPr>
          <w:p w14:paraId="08F98489" w14:textId="47DDDCD8" w:rsidR="002B7823" w:rsidRPr="00C2587D" w:rsidRDefault="002B7823" w:rsidP="002B7823">
            <w:pPr>
              <w:jc w:val="center"/>
              <w:rPr>
                <w:rFonts w:cs="Arial"/>
                <w:b/>
                <w:color w:val="000000"/>
                <w:sz w:val="20"/>
                <w:szCs w:val="20"/>
                <w:lang w:eastAsia="it-IT"/>
              </w:rPr>
            </w:pPr>
            <w:r w:rsidRPr="00C2587D">
              <w:rPr>
                <w:rFonts w:cs="Arial"/>
                <w:b/>
                <w:color w:val="000000"/>
                <w:sz w:val="20"/>
                <w:szCs w:val="20"/>
                <w:lang w:eastAsia="it-IT"/>
              </w:rPr>
              <w:t>9 881,8</w:t>
            </w:r>
          </w:p>
        </w:tc>
      </w:tr>
      <w:tr w:rsidR="002B7823" w:rsidRPr="00C2587D" w14:paraId="19590BAA" w14:textId="77777777" w:rsidTr="006478C2">
        <w:trPr>
          <w:jc w:val="center"/>
        </w:trPr>
        <w:tc>
          <w:tcPr>
            <w:tcW w:w="551" w:type="dxa"/>
            <w:tcBorders>
              <w:top w:val="nil"/>
              <w:left w:val="single" w:sz="4" w:space="0" w:color="auto"/>
              <w:bottom w:val="single" w:sz="4" w:space="0" w:color="auto"/>
              <w:right w:val="single" w:sz="4" w:space="0" w:color="auto"/>
            </w:tcBorders>
            <w:shd w:val="clear" w:color="auto" w:fill="auto"/>
            <w:noWrap/>
            <w:vAlign w:val="center"/>
          </w:tcPr>
          <w:p w14:paraId="14651E29" w14:textId="3B991F35" w:rsidR="002B7823" w:rsidRPr="00C2587D" w:rsidRDefault="002B7823" w:rsidP="006478C2">
            <w:pPr>
              <w:rPr>
                <w:rFonts w:cs="Arial"/>
                <w:sz w:val="20"/>
                <w:szCs w:val="20"/>
                <w:lang w:eastAsia="uk-UA"/>
              </w:rPr>
            </w:pPr>
            <w:r w:rsidRPr="00C2587D">
              <w:rPr>
                <w:rFonts w:cs="Arial"/>
                <w:sz w:val="20"/>
                <w:szCs w:val="20"/>
                <w:lang w:eastAsia="uk-UA"/>
              </w:rPr>
              <w:t>16.</w:t>
            </w:r>
          </w:p>
        </w:tc>
        <w:tc>
          <w:tcPr>
            <w:tcW w:w="4521" w:type="dxa"/>
            <w:tcBorders>
              <w:top w:val="single" w:sz="4" w:space="0" w:color="auto"/>
              <w:bottom w:val="single" w:sz="4" w:space="0" w:color="auto"/>
              <w:right w:val="single" w:sz="4" w:space="0" w:color="auto"/>
            </w:tcBorders>
            <w:shd w:val="clear" w:color="auto" w:fill="auto"/>
            <w:noWrap/>
            <w:vAlign w:val="center"/>
          </w:tcPr>
          <w:p w14:paraId="0642BC80" w14:textId="23D9AC37" w:rsidR="002B7823" w:rsidRPr="00C2587D" w:rsidRDefault="002B7823" w:rsidP="006478C2">
            <w:pPr>
              <w:spacing w:before="40" w:after="40"/>
              <w:jc w:val="both"/>
              <w:rPr>
                <w:rFonts w:cs="Arial"/>
                <w:sz w:val="20"/>
                <w:szCs w:val="20"/>
                <w:lang w:eastAsia="it-IT"/>
              </w:rPr>
            </w:pPr>
            <w:r w:rsidRPr="00C2587D">
              <w:rPr>
                <w:rFonts w:eastAsia="Arial"/>
                <w:sz w:val="20"/>
                <w:szCs w:val="20"/>
              </w:rPr>
              <w:t xml:space="preserve">Капітальний ремонт дорожнього покриття по вул. Січових стрільців та вул. </w:t>
            </w:r>
            <w:r w:rsidR="00A041B2" w:rsidRPr="00C2587D">
              <w:rPr>
                <w:rFonts w:eastAsia="Arial"/>
                <w:sz w:val="20"/>
                <w:szCs w:val="20"/>
              </w:rPr>
              <w:t>Литвиненка</w:t>
            </w:r>
            <w:r w:rsidRPr="00C2587D">
              <w:rPr>
                <w:rFonts w:eastAsia="Arial"/>
                <w:sz w:val="20"/>
                <w:szCs w:val="20"/>
              </w:rPr>
              <w:t xml:space="preserve"> (від вул. Шевченка до вул. Січових Стрільців) в м. Жмеринка</w:t>
            </w:r>
          </w:p>
        </w:tc>
        <w:tc>
          <w:tcPr>
            <w:tcW w:w="11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46376B" w14:textId="77777777" w:rsidR="002B7823" w:rsidRPr="00C2587D" w:rsidRDefault="002B7823" w:rsidP="002B7823">
            <w:pPr>
              <w:jc w:val="center"/>
              <w:rPr>
                <w:rFonts w:cs="Arial"/>
                <w:color w:val="000000"/>
                <w:sz w:val="20"/>
                <w:szCs w:val="20"/>
                <w:lang w:eastAsia="it-IT"/>
              </w:rPr>
            </w:pPr>
          </w:p>
        </w:tc>
        <w:tc>
          <w:tcPr>
            <w:tcW w:w="1329" w:type="dxa"/>
            <w:tcBorders>
              <w:top w:val="single" w:sz="4" w:space="0" w:color="auto"/>
              <w:left w:val="nil"/>
              <w:bottom w:val="single" w:sz="4" w:space="0" w:color="auto"/>
              <w:right w:val="single" w:sz="4" w:space="0" w:color="auto"/>
            </w:tcBorders>
            <w:shd w:val="clear" w:color="auto" w:fill="auto"/>
            <w:noWrap/>
            <w:vAlign w:val="center"/>
          </w:tcPr>
          <w:p w14:paraId="25C8D133" w14:textId="0FD520F5" w:rsidR="002B7823" w:rsidRPr="00C2587D" w:rsidRDefault="002B7823" w:rsidP="002B7823">
            <w:pPr>
              <w:jc w:val="center"/>
              <w:rPr>
                <w:rFonts w:cs="Arial"/>
                <w:color w:val="000000"/>
                <w:sz w:val="20"/>
                <w:szCs w:val="20"/>
                <w:lang w:eastAsia="it-IT"/>
              </w:rPr>
            </w:pPr>
            <w:r w:rsidRPr="00C2587D">
              <w:rPr>
                <w:rFonts w:cs="Arial"/>
                <w:color w:val="000000"/>
                <w:sz w:val="20"/>
                <w:szCs w:val="20"/>
                <w:lang w:eastAsia="it-IT"/>
              </w:rPr>
              <w:t>3 648,1</w:t>
            </w:r>
          </w:p>
        </w:tc>
        <w:tc>
          <w:tcPr>
            <w:tcW w:w="1273" w:type="dxa"/>
            <w:tcBorders>
              <w:top w:val="single" w:sz="4" w:space="0" w:color="auto"/>
              <w:left w:val="nil"/>
              <w:bottom w:val="single" w:sz="4" w:space="0" w:color="auto"/>
              <w:right w:val="single" w:sz="4" w:space="0" w:color="auto"/>
            </w:tcBorders>
            <w:shd w:val="clear" w:color="auto" w:fill="auto"/>
            <w:noWrap/>
            <w:vAlign w:val="center"/>
          </w:tcPr>
          <w:p w14:paraId="240E5663" w14:textId="77777777" w:rsidR="002B7823" w:rsidRPr="00C2587D" w:rsidRDefault="002B7823" w:rsidP="002B7823">
            <w:pPr>
              <w:jc w:val="center"/>
              <w:rPr>
                <w:rFonts w:cs="Arial"/>
                <w:color w:val="000000"/>
                <w:sz w:val="20"/>
                <w:szCs w:val="20"/>
                <w:lang w:eastAsia="it-IT"/>
              </w:rPr>
            </w:pPr>
          </w:p>
        </w:tc>
        <w:tc>
          <w:tcPr>
            <w:tcW w:w="1273" w:type="dxa"/>
            <w:tcBorders>
              <w:top w:val="single" w:sz="4" w:space="0" w:color="auto"/>
              <w:left w:val="nil"/>
              <w:bottom w:val="single" w:sz="4" w:space="0" w:color="auto"/>
              <w:right w:val="single" w:sz="4" w:space="0" w:color="auto"/>
            </w:tcBorders>
            <w:shd w:val="clear" w:color="auto" w:fill="auto"/>
            <w:vAlign w:val="center"/>
          </w:tcPr>
          <w:p w14:paraId="5514EB08" w14:textId="77777777" w:rsidR="002B7823" w:rsidRPr="00C2587D" w:rsidRDefault="002B7823" w:rsidP="002B7823">
            <w:pPr>
              <w:jc w:val="center"/>
              <w:rPr>
                <w:rFonts w:cs="Arial"/>
                <w:color w:val="000000"/>
                <w:sz w:val="20"/>
                <w:szCs w:val="20"/>
                <w:lang w:eastAsia="it-IT"/>
              </w:rPr>
            </w:pPr>
          </w:p>
        </w:tc>
        <w:tc>
          <w:tcPr>
            <w:tcW w:w="1217" w:type="dxa"/>
            <w:tcBorders>
              <w:top w:val="single" w:sz="4" w:space="0" w:color="auto"/>
              <w:left w:val="nil"/>
              <w:bottom w:val="single" w:sz="4" w:space="0" w:color="auto"/>
              <w:right w:val="single" w:sz="4" w:space="0" w:color="auto"/>
            </w:tcBorders>
            <w:vAlign w:val="center"/>
          </w:tcPr>
          <w:p w14:paraId="1E896E4C" w14:textId="7E5E12B8" w:rsidR="002B7823" w:rsidRPr="00C2587D" w:rsidRDefault="002B7823" w:rsidP="002B7823">
            <w:pPr>
              <w:jc w:val="center"/>
              <w:rPr>
                <w:rFonts w:cs="Arial"/>
                <w:b/>
                <w:color w:val="000000"/>
                <w:sz w:val="20"/>
                <w:szCs w:val="20"/>
                <w:lang w:eastAsia="it-IT"/>
              </w:rPr>
            </w:pPr>
            <w:r w:rsidRPr="00C2587D">
              <w:rPr>
                <w:rFonts w:cs="Arial"/>
                <w:b/>
                <w:color w:val="000000"/>
                <w:sz w:val="20"/>
                <w:szCs w:val="20"/>
                <w:lang w:eastAsia="it-IT"/>
              </w:rPr>
              <w:t>3 648,1</w:t>
            </w:r>
          </w:p>
        </w:tc>
      </w:tr>
      <w:tr w:rsidR="002B7823" w:rsidRPr="00C2587D" w14:paraId="1E121084" w14:textId="77777777" w:rsidTr="006478C2">
        <w:trPr>
          <w:jc w:val="center"/>
        </w:trPr>
        <w:tc>
          <w:tcPr>
            <w:tcW w:w="551" w:type="dxa"/>
            <w:tcBorders>
              <w:top w:val="nil"/>
              <w:left w:val="single" w:sz="4" w:space="0" w:color="auto"/>
              <w:bottom w:val="single" w:sz="4" w:space="0" w:color="auto"/>
              <w:right w:val="single" w:sz="4" w:space="0" w:color="auto"/>
            </w:tcBorders>
            <w:shd w:val="clear" w:color="auto" w:fill="auto"/>
            <w:noWrap/>
            <w:vAlign w:val="center"/>
          </w:tcPr>
          <w:p w14:paraId="73C4A8AC" w14:textId="7C4F0074" w:rsidR="002B7823" w:rsidRPr="00C2587D" w:rsidRDefault="002B7823" w:rsidP="006478C2">
            <w:pPr>
              <w:rPr>
                <w:rFonts w:cs="Arial"/>
                <w:sz w:val="20"/>
                <w:szCs w:val="20"/>
                <w:lang w:eastAsia="uk-UA"/>
              </w:rPr>
            </w:pPr>
            <w:r w:rsidRPr="00C2587D">
              <w:rPr>
                <w:rFonts w:cs="Arial"/>
                <w:sz w:val="20"/>
                <w:szCs w:val="20"/>
                <w:lang w:eastAsia="uk-UA"/>
              </w:rPr>
              <w:t>17.</w:t>
            </w:r>
          </w:p>
        </w:tc>
        <w:tc>
          <w:tcPr>
            <w:tcW w:w="4521" w:type="dxa"/>
            <w:tcBorders>
              <w:top w:val="single" w:sz="4" w:space="0" w:color="auto"/>
              <w:bottom w:val="single" w:sz="4" w:space="0" w:color="auto"/>
              <w:right w:val="single" w:sz="4" w:space="0" w:color="auto"/>
            </w:tcBorders>
            <w:shd w:val="clear" w:color="auto" w:fill="auto"/>
            <w:noWrap/>
            <w:vAlign w:val="center"/>
          </w:tcPr>
          <w:p w14:paraId="5A87B5A9" w14:textId="7A011420" w:rsidR="002B7823" w:rsidRPr="00C2587D" w:rsidRDefault="002B7823" w:rsidP="006478C2">
            <w:pPr>
              <w:spacing w:before="40" w:after="40"/>
              <w:jc w:val="both"/>
              <w:rPr>
                <w:rFonts w:cs="Arial"/>
                <w:sz w:val="20"/>
                <w:szCs w:val="20"/>
                <w:lang w:eastAsia="it-IT"/>
              </w:rPr>
            </w:pPr>
            <w:r w:rsidRPr="00C2587D">
              <w:rPr>
                <w:rFonts w:eastAsia="Arial"/>
                <w:sz w:val="20"/>
                <w:szCs w:val="20"/>
              </w:rPr>
              <w:t>Капітальний ремонт дорожнього покриття по вул. Козацька в смт. Браїлів Жмеринського району, Вінницької області (Коригування)</w:t>
            </w:r>
          </w:p>
        </w:tc>
        <w:tc>
          <w:tcPr>
            <w:tcW w:w="1162" w:type="dxa"/>
            <w:tcBorders>
              <w:top w:val="nil"/>
              <w:left w:val="single" w:sz="4" w:space="0" w:color="auto"/>
              <w:bottom w:val="single" w:sz="4" w:space="0" w:color="auto"/>
              <w:right w:val="single" w:sz="4" w:space="0" w:color="auto"/>
            </w:tcBorders>
            <w:shd w:val="clear" w:color="auto" w:fill="auto"/>
            <w:noWrap/>
            <w:vAlign w:val="center"/>
          </w:tcPr>
          <w:p w14:paraId="2350F2E2" w14:textId="77777777" w:rsidR="002B7823" w:rsidRPr="00C2587D" w:rsidRDefault="002B7823" w:rsidP="002B7823">
            <w:pPr>
              <w:jc w:val="center"/>
              <w:rPr>
                <w:rFonts w:cs="Arial"/>
                <w:color w:val="000000"/>
                <w:sz w:val="20"/>
                <w:szCs w:val="20"/>
                <w:lang w:eastAsia="it-IT"/>
              </w:rPr>
            </w:pPr>
          </w:p>
        </w:tc>
        <w:tc>
          <w:tcPr>
            <w:tcW w:w="1329" w:type="dxa"/>
            <w:tcBorders>
              <w:top w:val="nil"/>
              <w:left w:val="nil"/>
              <w:bottom w:val="single" w:sz="4" w:space="0" w:color="auto"/>
              <w:right w:val="single" w:sz="4" w:space="0" w:color="auto"/>
            </w:tcBorders>
            <w:shd w:val="clear" w:color="auto" w:fill="auto"/>
            <w:noWrap/>
            <w:vAlign w:val="center"/>
          </w:tcPr>
          <w:p w14:paraId="73827D73" w14:textId="166E166D" w:rsidR="002B7823" w:rsidRPr="00C2587D" w:rsidRDefault="002B7823" w:rsidP="002B7823">
            <w:pPr>
              <w:jc w:val="center"/>
              <w:rPr>
                <w:rFonts w:cs="Arial"/>
                <w:color w:val="000000"/>
                <w:sz w:val="20"/>
                <w:szCs w:val="20"/>
                <w:lang w:eastAsia="it-IT"/>
              </w:rPr>
            </w:pPr>
            <w:r w:rsidRPr="00C2587D">
              <w:rPr>
                <w:rFonts w:cs="Arial"/>
                <w:color w:val="000000"/>
                <w:sz w:val="20"/>
                <w:szCs w:val="20"/>
                <w:lang w:eastAsia="it-IT"/>
              </w:rPr>
              <w:t>1 889,2</w:t>
            </w:r>
          </w:p>
        </w:tc>
        <w:tc>
          <w:tcPr>
            <w:tcW w:w="1273" w:type="dxa"/>
            <w:tcBorders>
              <w:top w:val="nil"/>
              <w:left w:val="nil"/>
              <w:bottom w:val="single" w:sz="4" w:space="0" w:color="auto"/>
              <w:right w:val="single" w:sz="4" w:space="0" w:color="auto"/>
            </w:tcBorders>
            <w:shd w:val="clear" w:color="auto" w:fill="auto"/>
            <w:noWrap/>
            <w:vAlign w:val="center"/>
          </w:tcPr>
          <w:p w14:paraId="70138B34" w14:textId="77777777" w:rsidR="002B7823" w:rsidRPr="00C2587D" w:rsidRDefault="002B7823" w:rsidP="002B7823">
            <w:pPr>
              <w:jc w:val="center"/>
              <w:rPr>
                <w:rFonts w:cs="Arial"/>
                <w:color w:val="000000"/>
                <w:sz w:val="20"/>
                <w:szCs w:val="20"/>
                <w:lang w:eastAsia="it-IT"/>
              </w:rPr>
            </w:pPr>
          </w:p>
        </w:tc>
        <w:tc>
          <w:tcPr>
            <w:tcW w:w="1273" w:type="dxa"/>
            <w:tcBorders>
              <w:top w:val="nil"/>
              <w:left w:val="nil"/>
              <w:bottom w:val="single" w:sz="4" w:space="0" w:color="auto"/>
              <w:right w:val="single" w:sz="4" w:space="0" w:color="auto"/>
            </w:tcBorders>
            <w:shd w:val="clear" w:color="auto" w:fill="auto"/>
            <w:vAlign w:val="center"/>
          </w:tcPr>
          <w:p w14:paraId="38D02F6B" w14:textId="77777777" w:rsidR="002B7823" w:rsidRPr="00C2587D" w:rsidRDefault="002B7823" w:rsidP="002B7823">
            <w:pPr>
              <w:jc w:val="center"/>
              <w:rPr>
                <w:rFonts w:cs="Arial"/>
                <w:color w:val="000000"/>
                <w:sz w:val="20"/>
                <w:szCs w:val="20"/>
                <w:lang w:eastAsia="it-IT"/>
              </w:rPr>
            </w:pPr>
          </w:p>
        </w:tc>
        <w:tc>
          <w:tcPr>
            <w:tcW w:w="1217" w:type="dxa"/>
            <w:tcBorders>
              <w:top w:val="nil"/>
              <w:left w:val="nil"/>
              <w:bottom w:val="single" w:sz="4" w:space="0" w:color="auto"/>
              <w:right w:val="single" w:sz="4" w:space="0" w:color="auto"/>
            </w:tcBorders>
            <w:vAlign w:val="center"/>
          </w:tcPr>
          <w:p w14:paraId="25B7FA82" w14:textId="185EFE62" w:rsidR="002B7823" w:rsidRPr="00C2587D" w:rsidRDefault="002B7823" w:rsidP="002B7823">
            <w:pPr>
              <w:jc w:val="center"/>
              <w:rPr>
                <w:rFonts w:cs="Arial"/>
                <w:b/>
                <w:color w:val="000000"/>
                <w:sz w:val="20"/>
                <w:szCs w:val="20"/>
                <w:lang w:eastAsia="it-IT"/>
              </w:rPr>
            </w:pPr>
            <w:r w:rsidRPr="00C2587D">
              <w:rPr>
                <w:rFonts w:cs="Arial"/>
                <w:b/>
                <w:color w:val="000000"/>
                <w:sz w:val="20"/>
                <w:szCs w:val="20"/>
                <w:lang w:eastAsia="it-IT"/>
              </w:rPr>
              <w:t>1 889,2</w:t>
            </w:r>
          </w:p>
        </w:tc>
      </w:tr>
      <w:tr w:rsidR="002B7823" w:rsidRPr="00C2587D" w14:paraId="5900BDDB" w14:textId="77777777" w:rsidTr="006478C2">
        <w:trPr>
          <w:jc w:val="center"/>
        </w:trPr>
        <w:tc>
          <w:tcPr>
            <w:tcW w:w="551" w:type="dxa"/>
            <w:tcBorders>
              <w:top w:val="nil"/>
              <w:left w:val="single" w:sz="4" w:space="0" w:color="auto"/>
              <w:bottom w:val="single" w:sz="4" w:space="0" w:color="auto"/>
              <w:right w:val="single" w:sz="4" w:space="0" w:color="auto"/>
            </w:tcBorders>
            <w:shd w:val="clear" w:color="auto" w:fill="auto"/>
            <w:noWrap/>
            <w:vAlign w:val="center"/>
          </w:tcPr>
          <w:p w14:paraId="271A7D0C" w14:textId="7DD157ED" w:rsidR="002B7823" w:rsidRPr="00C2587D" w:rsidRDefault="002B7823" w:rsidP="006478C2">
            <w:pPr>
              <w:rPr>
                <w:rFonts w:cs="Arial"/>
                <w:sz w:val="20"/>
                <w:szCs w:val="20"/>
                <w:lang w:eastAsia="uk-UA"/>
              </w:rPr>
            </w:pPr>
            <w:r w:rsidRPr="00C2587D">
              <w:rPr>
                <w:rFonts w:cs="Arial"/>
                <w:sz w:val="20"/>
                <w:szCs w:val="20"/>
                <w:lang w:eastAsia="uk-UA"/>
              </w:rPr>
              <w:t>18.</w:t>
            </w:r>
          </w:p>
        </w:tc>
        <w:tc>
          <w:tcPr>
            <w:tcW w:w="4521" w:type="dxa"/>
            <w:tcBorders>
              <w:top w:val="single" w:sz="4" w:space="0" w:color="auto"/>
              <w:bottom w:val="single" w:sz="4" w:space="0" w:color="auto"/>
              <w:right w:val="single" w:sz="4" w:space="0" w:color="auto"/>
            </w:tcBorders>
            <w:shd w:val="clear" w:color="auto" w:fill="auto"/>
            <w:noWrap/>
            <w:vAlign w:val="center"/>
          </w:tcPr>
          <w:p w14:paraId="3E3BF4D3" w14:textId="0F51C494" w:rsidR="002B7823" w:rsidRPr="00C2587D" w:rsidRDefault="002B7823" w:rsidP="006478C2">
            <w:pPr>
              <w:spacing w:before="40" w:after="40"/>
              <w:jc w:val="both"/>
              <w:rPr>
                <w:rFonts w:cs="Arial"/>
                <w:sz w:val="20"/>
                <w:szCs w:val="20"/>
                <w:lang w:eastAsia="it-IT"/>
              </w:rPr>
            </w:pPr>
            <w:r w:rsidRPr="00C2587D">
              <w:rPr>
                <w:rFonts w:eastAsia="Arial"/>
                <w:sz w:val="20"/>
                <w:szCs w:val="20"/>
              </w:rPr>
              <w:t>Капітальний ремонт дорожнього покриття по вул. Образцова в м. Жмеринка Вінницької області</w:t>
            </w:r>
          </w:p>
        </w:tc>
        <w:tc>
          <w:tcPr>
            <w:tcW w:w="1162" w:type="dxa"/>
            <w:tcBorders>
              <w:top w:val="nil"/>
              <w:left w:val="single" w:sz="4" w:space="0" w:color="auto"/>
              <w:bottom w:val="single" w:sz="4" w:space="0" w:color="auto"/>
              <w:right w:val="single" w:sz="4" w:space="0" w:color="auto"/>
            </w:tcBorders>
            <w:shd w:val="clear" w:color="auto" w:fill="auto"/>
            <w:noWrap/>
            <w:vAlign w:val="center"/>
          </w:tcPr>
          <w:p w14:paraId="1D2C16B9" w14:textId="77777777" w:rsidR="002B7823" w:rsidRPr="00C2587D" w:rsidRDefault="002B7823" w:rsidP="002B7823">
            <w:pPr>
              <w:jc w:val="center"/>
              <w:rPr>
                <w:rFonts w:cs="Arial"/>
                <w:color w:val="000000"/>
                <w:sz w:val="20"/>
                <w:szCs w:val="20"/>
                <w:lang w:eastAsia="it-IT"/>
              </w:rPr>
            </w:pPr>
          </w:p>
        </w:tc>
        <w:tc>
          <w:tcPr>
            <w:tcW w:w="1329" w:type="dxa"/>
            <w:tcBorders>
              <w:top w:val="nil"/>
              <w:left w:val="nil"/>
              <w:bottom w:val="single" w:sz="4" w:space="0" w:color="auto"/>
              <w:right w:val="single" w:sz="4" w:space="0" w:color="auto"/>
            </w:tcBorders>
            <w:shd w:val="clear" w:color="auto" w:fill="auto"/>
            <w:noWrap/>
            <w:vAlign w:val="center"/>
          </w:tcPr>
          <w:p w14:paraId="3F708967" w14:textId="4EEF2679" w:rsidR="002B7823" w:rsidRPr="00C2587D" w:rsidRDefault="002B7823" w:rsidP="002B7823">
            <w:pPr>
              <w:jc w:val="center"/>
              <w:rPr>
                <w:rFonts w:cs="Arial"/>
                <w:color w:val="000000"/>
                <w:sz w:val="20"/>
                <w:szCs w:val="20"/>
                <w:lang w:eastAsia="it-IT"/>
              </w:rPr>
            </w:pPr>
            <w:r w:rsidRPr="00C2587D">
              <w:rPr>
                <w:rFonts w:cs="Arial"/>
                <w:color w:val="000000"/>
                <w:sz w:val="20"/>
                <w:szCs w:val="20"/>
                <w:lang w:eastAsia="it-IT"/>
              </w:rPr>
              <w:t>2 002,5</w:t>
            </w:r>
          </w:p>
        </w:tc>
        <w:tc>
          <w:tcPr>
            <w:tcW w:w="1273" w:type="dxa"/>
            <w:tcBorders>
              <w:top w:val="nil"/>
              <w:left w:val="nil"/>
              <w:bottom w:val="single" w:sz="4" w:space="0" w:color="auto"/>
              <w:right w:val="single" w:sz="4" w:space="0" w:color="auto"/>
            </w:tcBorders>
            <w:shd w:val="clear" w:color="auto" w:fill="auto"/>
            <w:noWrap/>
            <w:vAlign w:val="center"/>
          </w:tcPr>
          <w:p w14:paraId="5B541839" w14:textId="77777777" w:rsidR="002B7823" w:rsidRPr="00C2587D" w:rsidRDefault="002B7823" w:rsidP="002B7823">
            <w:pPr>
              <w:jc w:val="center"/>
              <w:rPr>
                <w:rFonts w:cs="Arial"/>
                <w:color w:val="000000"/>
                <w:sz w:val="20"/>
                <w:szCs w:val="20"/>
                <w:lang w:eastAsia="it-IT"/>
              </w:rPr>
            </w:pPr>
          </w:p>
        </w:tc>
        <w:tc>
          <w:tcPr>
            <w:tcW w:w="1273" w:type="dxa"/>
            <w:tcBorders>
              <w:top w:val="nil"/>
              <w:left w:val="nil"/>
              <w:bottom w:val="single" w:sz="4" w:space="0" w:color="auto"/>
              <w:right w:val="single" w:sz="4" w:space="0" w:color="auto"/>
            </w:tcBorders>
            <w:shd w:val="clear" w:color="auto" w:fill="auto"/>
            <w:vAlign w:val="center"/>
          </w:tcPr>
          <w:p w14:paraId="44321A73" w14:textId="77777777" w:rsidR="002B7823" w:rsidRPr="00C2587D" w:rsidRDefault="002B7823" w:rsidP="002B7823">
            <w:pPr>
              <w:jc w:val="center"/>
              <w:rPr>
                <w:rFonts w:cs="Arial"/>
                <w:color w:val="000000"/>
                <w:sz w:val="20"/>
                <w:szCs w:val="20"/>
                <w:lang w:eastAsia="it-IT"/>
              </w:rPr>
            </w:pPr>
          </w:p>
        </w:tc>
        <w:tc>
          <w:tcPr>
            <w:tcW w:w="1217" w:type="dxa"/>
            <w:tcBorders>
              <w:top w:val="nil"/>
              <w:left w:val="nil"/>
              <w:bottom w:val="single" w:sz="4" w:space="0" w:color="auto"/>
              <w:right w:val="single" w:sz="4" w:space="0" w:color="auto"/>
            </w:tcBorders>
            <w:vAlign w:val="center"/>
          </w:tcPr>
          <w:p w14:paraId="512D7C27" w14:textId="47A3DF73" w:rsidR="002B7823" w:rsidRPr="00C2587D" w:rsidRDefault="002B7823" w:rsidP="002B7823">
            <w:pPr>
              <w:jc w:val="center"/>
              <w:rPr>
                <w:rFonts w:cs="Arial"/>
                <w:b/>
                <w:color w:val="000000"/>
                <w:sz w:val="20"/>
                <w:szCs w:val="20"/>
                <w:lang w:eastAsia="it-IT"/>
              </w:rPr>
            </w:pPr>
            <w:r w:rsidRPr="00C2587D">
              <w:rPr>
                <w:rFonts w:cs="Arial"/>
                <w:b/>
                <w:color w:val="000000"/>
                <w:sz w:val="20"/>
                <w:szCs w:val="20"/>
                <w:lang w:eastAsia="it-IT"/>
              </w:rPr>
              <w:t>2 002,5</w:t>
            </w:r>
          </w:p>
        </w:tc>
      </w:tr>
      <w:tr w:rsidR="002B7823" w:rsidRPr="00C2587D" w14:paraId="4199D885" w14:textId="77777777" w:rsidTr="006478C2">
        <w:trPr>
          <w:jc w:val="center"/>
        </w:trPr>
        <w:tc>
          <w:tcPr>
            <w:tcW w:w="551" w:type="dxa"/>
            <w:tcBorders>
              <w:top w:val="nil"/>
              <w:left w:val="single" w:sz="4" w:space="0" w:color="auto"/>
              <w:bottom w:val="single" w:sz="4" w:space="0" w:color="auto"/>
              <w:right w:val="single" w:sz="4" w:space="0" w:color="auto"/>
            </w:tcBorders>
            <w:shd w:val="clear" w:color="auto" w:fill="auto"/>
            <w:noWrap/>
            <w:vAlign w:val="center"/>
          </w:tcPr>
          <w:p w14:paraId="23CC2817" w14:textId="63270D9D" w:rsidR="002B7823" w:rsidRPr="00C2587D" w:rsidRDefault="002B7823" w:rsidP="006478C2">
            <w:pPr>
              <w:rPr>
                <w:rFonts w:cs="Arial"/>
                <w:sz w:val="20"/>
                <w:szCs w:val="20"/>
                <w:lang w:eastAsia="uk-UA"/>
              </w:rPr>
            </w:pPr>
            <w:r w:rsidRPr="00C2587D">
              <w:rPr>
                <w:rFonts w:cs="Arial"/>
                <w:sz w:val="20"/>
                <w:szCs w:val="20"/>
                <w:lang w:eastAsia="uk-UA"/>
              </w:rPr>
              <w:t>19.</w:t>
            </w:r>
          </w:p>
        </w:tc>
        <w:tc>
          <w:tcPr>
            <w:tcW w:w="4521" w:type="dxa"/>
            <w:tcBorders>
              <w:top w:val="single" w:sz="4" w:space="0" w:color="auto"/>
              <w:bottom w:val="single" w:sz="4" w:space="0" w:color="auto"/>
              <w:right w:val="single" w:sz="4" w:space="0" w:color="auto"/>
            </w:tcBorders>
            <w:shd w:val="clear" w:color="auto" w:fill="auto"/>
            <w:noWrap/>
            <w:vAlign w:val="center"/>
          </w:tcPr>
          <w:p w14:paraId="6A2AB2B3" w14:textId="74C02367" w:rsidR="002B7823" w:rsidRPr="00C2587D" w:rsidRDefault="002B7823" w:rsidP="006478C2">
            <w:pPr>
              <w:spacing w:before="40" w:after="40"/>
              <w:jc w:val="both"/>
              <w:rPr>
                <w:rFonts w:cs="Arial"/>
                <w:sz w:val="20"/>
                <w:szCs w:val="20"/>
                <w:lang w:eastAsia="it-IT"/>
              </w:rPr>
            </w:pPr>
            <w:r w:rsidRPr="00C2587D">
              <w:rPr>
                <w:rFonts w:eastAsia="Arial"/>
                <w:sz w:val="20"/>
                <w:szCs w:val="20"/>
              </w:rPr>
              <w:t>Реконструкція площі по вул. Б. Хмельницького в м. Жмеринка Вінницької області</w:t>
            </w:r>
          </w:p>
        </w:tc>
        <w:tc>
          <w:tcPr>
            <w:tcW w:w="1162" w:type="dxa"/>
            <w:tcBorders>
              <w:top w:val="nil"/>
              <w:left w:val="single" w:sz="4" w:space="0" w:color="auto"/>
              <w:bottom w:val="single" w:sz="4" w:space="0" w:color="auto"/>
              <w:right w:val="single" w:sz="4" w:space="0" w:color="auto"/>
            </w:tcBorders>
            <w:shd w:val="clear" w:color="auto" w:fill="auto"/>
            <w:noWrap/>
            <w:vAlign w:val="center"/>
          </w:tcPr>
          <w:p w14:paraId="03166DA6" w14:textId="77777777" w:rsidR="002B7823" w:rsidRPr="00C2587D" w:rsidRDefault="002B7823" w:rsidP="002B7823">
            <w:pPr>
              <w:jc w:val="center"/>
              <w:rPr>
                <w:rFonts w:cs="Arial"/>
                <w:color w:val="000000"/>
                <w:sz w:val="20"/>
                <w:szCs w:val="20"/>
                <w:lang w:eastAsia="it-IT"/>
              </w:rPr>
            </w:pPr>
          </w:p>
        </w:tc>
        <w:tc>
          <w:tcPr>
            <w:tcW w:w="1329" w:type="dxa"/>
            <w:tcBorders>
              <w:top w:val="nil"/>
              <w:left w:val="nil"/>
              <w:bottom w:val="single" w:sz="4" w:space="0" w:color="auto"/>
              <w:right w:val="single" w:sz="4" w:space="0" w:color="auto"/>
            </w:tcBorders>
            <w:shd w:val="clear" w:color="auto" w:fill="auto"/>
            <w:noWrap/>
            <w:vAlign w:val="center"/>
          </w:tcPr>
          <w:p w14:paraId="0E792D02" w14:textId="0A1B2473" w:rsidR="002B7823" w:rsidRPr="00C2587D" w:rsidRDefault="002B7823" w:rsidP="002B7823">
            <w:pPr>
              <w:jc w:val="center"/>
              <w:rPr>
                <w:rFonts w:cs="Arial"/>
                <w:color w:val="000000"/>
                <w:sz w:val="20"/>
                <w:szCs w:val="20"/>
                <w:lang w:eastAsia="it-IT"/>
              </w:rPr>
            </w:pPr>
            <w:r w:rsidRPr="00C2587D">
              <w:rPr>
                <w:rFonts w:cs="Arial"/>
                <w:color w:val="000000"/>
                <w:sz w:val="20"/>
                <w:szCs w:val="20"/>
                <w:lang w:eastAsia="it-IT"/>
              </w:rPr>
              <w:t>3 131,5</w:t>
            </w:r>
          </w:p>
        </w:tc>
        <w:tc>
          <w:tcPr>
            <w:tcW w:w="1273" w:type="dxa"/>
            <w:tcBorders>
              <w:top w:val="nil"/>
              <w:left w:val="nil"/>
              <w:bottom w:val="single" w:sz="4" w:space="0" w:color="auto"/>
              <w:right w:val="single" w:sz="4" w:space="0" w:color="auto"/>
            </w:tcBorders>
            <w:shd w:val="clear" w:color="auto" w:fill="auto"/>
            <w:noWrap/>
            <w:vAlign w:val="center"/>
          </w:tcPr>
          <w:p w14:paraId="59C065F1" w14:textId="77777777" w:rsidR="002B7823" w:rsidRPr="00C2587D" w:rsidRDefault="002B7823" w:rsidP="002B7823">
            <w:pPr>
              <w:jc w:val="center"/>
              <w:rPr>
                <w:rFonts w:cs="Arial"/>
                <w:color w:val="000000"/>
                <w:sz w:val="20"/>
                <w:szCs w:val="20"/>
                <w:lang w:eastAsia="it-IT"/>
              </w:rPr>
            </w:pPr>
          </w:p>
        </w:tc>
        <w:tc>
          <w:tcPr>
            <w:tcW w:w="1273" w:type="dxa"/>
            <w:tcBorders>
              <w:top w:val="nil"/>
              <w:left w:val="nil"/>
              <w:bottom w:val="single" w:sz="4" w:space="0" w:color="auto"/>
              <w:right w:val="single" w:sz="4" w:space="0" w:color="auto"/>
            </w:tcBorders>
            <w:shd w:val="clear" w:color="auto" w:fill="auto"/>
            <w:vAlign w:val="center"/>
          </w:tcPr>
          <w:p w14:paraId="4513B294" w14:textId="77777777" w:rsidR="002B7823" w:rsidRPr="00C2587D" w:rsidRDefault="002B7823" w:rsidP="002B7823">
            <w:pPr>
              <w:jc w:val="center"/>
              <w:rPr>
                <w:rFonts w:cs="Arial"/>
                <w:color w:val="000000"/>
                <w:sz w:val="20"/>
                <w:szCs w:val="20"/>
                <w:lang w:eastAsia="it-IT"/>
              </w:rPr>
            </w:pPr>
          </w:p>
        </w:tc>
        <w:tc>
          <w:tcPr>
            <w:tcW w:w="1217" w:type="dxa"/>
            <w:tcBorders>
              <w:top w:val="nil"/>
              <w:left w:val="nil"/>
              <w:bottom w:val="single" w:sz="4" w:space="0" w:color="auto"/>
              <w:right w:val="single" w:sz="4" w:space="0" w:color="auto"/>
            </w:tcBorders>
            <w:vAlign w:val="center"/>
          </w:tcPr>
          <w:p w14:paraId="1FB6C46A" w14:textId="4E521755" w:rsidR="002B7823" w:rsidRPr="00C2587D" w:rsidRDefault="002B7823" w:rsidP="002B7823">
            <w:pPr>
              <w:jc w:val="center"/>
              <w:rPr>
                <w:rFonts w:cs="Arial"/>
                <w:b/>
                <w:color w:val="000000"/>
                <w:sz w:val="20"/>
                <w:szCs w:val="20"/>
                <w:lang w:eastAsia="it-IT"/>
              </w:rPr>
            </w:pPr>
            <w:r w:rsidRPr="00C2587D">
              <w:rPr>
                <w:rFonts w:cs="Arial"/>
                <w:b/>
                <w:color w:val="000000"/>
                <w:sz w:val="20"/>
                <w:szCs w:val="20"/>
                <w:lang w:eastAsia="it-IT"/>
              </w:rPr>
              <w:t>3 131,5</w:t>
            </w:r>
          </w:p>
        </w:tc>
      </w:tr>
      <w:tr w:rsidR="002B7823" w:rsidRPr="00C2587D" w14:paraId="303A7EEB" w14:textId="77777777" w:rsidTr="006478C2">
        <w:trPr>
          <w:jc w:val="center"/>
        </w:trPr>
        <w:tc>
          <w:tcPr>
            <w:tcW w:w="551" w:type="dxa"/>
            <w:tcBorders>
              <w:top w:val="nil"/>
              <w:left w:val="single" w:sz="4" w:space="0" w:color="auto"/>
              <w:bottom w:val="single" w:sz="4" w:space="0" w:color="auto"/>
              <w:right w:val="single" w:sz="4" w:space="0" w:color="auto"/>
            </w:tcBorders>
            <w:shd w:val="clear" w:color="auto" w:fill="auto"/>
            <w:noWrap/>
            <w:vAlign w:val="center"/>
          </w:tcPr>
          <w:p w14:paraId="253190B0" w14:textId="6C423D3D" w:rsidR="002B7823" w:rsidRPr="00C2587D" w:rsidRDefault="002B7823" w:rsidP="006478C2">
            <w:pPr>
              <w:rPr>
                <w:rFonts w:cs="Arial"/>
                <w:sz w:val="20"/>
                <w:szCs w:val="20"/>
                <w:lang w:eastAsia="uk-UA"/>
              </w:rPr>
            </w:pPr>
            <w:r w:rsidRPr="00C2587D">
              <w:rPr>
                <w:rFonts w:cs="Arial"/>
                <w:sz w:val="20"/>
                <w:szCs w:val="20"/>
                <w:lang w:eastAsia="uk-UA"/>
              </w:rPr>
              <w:t>20.</w:t>
            </w:r>
          </w:p>
        </w:tc>
        <w:tc>
          <w:tcPr>
            <w:tcW w:w="4521" w:type="dxa"/>
            <w:tcBorders>
              <w:top w:val="single" w:sz="4" w:space="0" w:color="auto"/>
              <w:bottom w:val="single" w:sz="4" w:space="0" w:color="auto"/>
              <w:right w:val="single" w:sz="4" w:space="0" w:color="auto"/>
            </w:tcBorders>
            <w:shd w:val="clear" w:color="auto" w:fill="auto"/>
            <w:noWrap/>
            <w:vAlign w:val="center"/>
          </w:tcPr>
          <w:p w14:paraId="79888906" w14:textId="3E5603A0" w:rsidR="002B7823" w:rsidRPr="00C2587D" w:rsidRDefault="002B7823" w:rsidP="006478C2">
            <w:pPr>
              <w:spacing w:before="40" w:after="40"/>
              <w:jc w:val="both"/>
              <w:rPr>
                <w:rFonts w:cs="Arial"/>
                <w:sz w:val="20"/>
                <w:szCs w:val="20"/>
                <w:lang w:eastAsia="it-IT"/>
              </w:rPr>
            </w:pPr>
            <w:r w:rsidRPr="00C2587D">
              <w:rPr>
                <w:rFonts w:eastAsia="Arial"/>
                <w:sz w:val="20"/>
                <w:szCs w:val="20"/>
              </w:rPr>
              <w:t>Капітальний ремонт площі Яна Бжехви в м. Жмеринка Вінницької області</w:t>
            </w:r>
          </w:p>
        </w:tc>
        <w:tc>
          <w:tcPr>
            <w:tcW w:w="1162" w:type="dxa"/>
            <w:tcBorders>
              <w:top w:val="nil"/>
              <w:left w:val="single" w:sz="4" w:space="0" w:color="auto"/>
              <w:bottom w:val="single" w:sz="4" w:space="0" w:color="auto"/>
              <w:right w:val="single" w:sz="4" w:space="0" w:color="auto"/>
            </w:tcBorders>
            <w:shd w:val="clear" w:color="auto" w:fill="auto"/>
            <w:noWrap/>
            <w:vAlign w:val="center"/>
          </w:tcPr>
          <w:p w14:paraId="05FDAA43" w14:textId="77777777" w:rsidR="002B7823" w:rsidRPr="00C2587D" w:rsidRDefault="002B7823" w:rsidP="002B7823">
            <w:pPr>
              <w:jc w:val="center"/>
              <w:rPr>
                <w:rFonts w:cs="Arial"/>
                <w:color w:val="000000"/>
                <w:sz w:val="20"/>
                <w:szCs w:val="20"/>
                <w:lang w:eastAsia="it-IT"/>
              </w:rPr>
            </w:pPr>
          </w:p>
        </w:tc>
        <w:tc>
          <w:tcPr>
            <w:tcW w:w="1329" w:type="dxa"/>
            <w:tcBorders>
              <w:top w:val="nil"/>
              <w:left w:val="nil"/>
              <w:bottom w:val="single" w:sz="4" w:space="0" w:color="auto"/>
              <w:right w:val="single" w:sz="4" w:space="0" w:color="auto"/>
            </w:tcBorders>
            <w:shd w:val="clear" w:color="auto" w:fill="auto"/>
            <w:noWrap/>
            <w:vAlign w:val="center"/>
          </w:tcPr>
          <w:p w14:paraId="6F798236" w14:textId="1E4DFB8C" w:rsidR="002B7823" w:rsidRPr="00C2587D" w:rsidRDefault="005306AF" w:rsidP="002B7823">
            <w:pPr>
              <w:jc w:val="center"/>
              <w:rPr>
                <w:rFonts w:cs="Arial"/>
                <w:color w:val="000000"/>
                <w:sz w:val="20"/>
                <w:szCs w:val="20"/>
                <w:lang w:eastAsia="it-IT"/>
              </w:rPr>
            </w:pPr>
            <w:r w:rsidRPr="00C2587D">
              <w:rPr>
                <w:rFonts w:cs="Arial"/>
                <w:color w:val="000000"/>
                <w:sz w:val="20"/>
                <w:szCs w:val="20"/>
                <w:lang w:eastAsia="it-IT"/>
              </w:rPr>
              <w:t>6646,5</w:t>
            </w:r>
          </w:p>
        </w:tc>
        <w:tc>
          <w:tcPr>
            <w:tcW w:w="1273" w:type="dxa"/>
            <w:tcBorders>
              <w:top w:val="nil"/>
              <w:left w:val="nil"/>
              <w:bottom w:val="single" w:sz="4" w:space="0" w:color="auto"/>
              <w:right w:val="single" w:sz="4" w:space="0" w:color="auto"/>
            </w:tcBorders>
            <w:shd w:val="clear" w:color="auto" w:fill="auto"/>
            <w:noWrap/>
            <w:vAlign w:val="center"/>
          </w:tcPr>
          <w:p w14:paraId="23854276" w14:textId="77777777" w:rsidR="002B7823" w:rsidRPr="00C2587D" w:rsidRDefault="002B7823" w:rsidP="002B7823">
            <w:pPr>
              <w:jc w:val="center"/>
              <w:rPr>
                <w:rFonts w:cs="Arial"/>
                <w:color w:val="000000"/>
                <w:sz w:val="20"/>
                <w:szCs w:val="20"/>
                <w:lang w:eastAsia="it-IT"/>
              </w:rPr>
            </w:pPr>
          </w:p>
        </w:tc>
        <w:tc>
          <w:tcPr>
            <w:tcW w:w="1273" w:type="dxa"/>
            <w:tcBorders>
              <w:top w:val="nil"/>
              <w:left w:val="nil"/>
              <w:bottom w:val="single" w:sz="4" w:space="0" w:color="auto"/>
              <w:right w:val="single" w:sz="4" w:space="0" w:color="auto"/>
            </w:tcBorders>
            <w:shd w:val="clear" w:color="auto" w:fill="auto"/>
            <w:vAlign w:val="center"/>
          </w:tcPr>
          <w:p w14:paraId="4A53719F" w14:textId="77777777" w:rsidR="002B7823" w:rsidRPr="00C2587D" w:rsidRDefault="002B7823" w:rsidP="002B7823">
            <w:pPr>
              <w:jc w:val="center"/>
              <w:rPr>
                <w:rFonts w:cs="Arial"/>
                <w:color w:val="000000"/>
                <w:sz w:val="20"/>
                <w:szCs w:val="20"/>
                <w:lang w:eastAsia="it-IT"/>
              </w:rPr>
            </w:pPr>
          </w:p>
        </w:tc>
        <w:tc>
          <w:tcPr>
            <w:tcW w:w="1217" w:type="dxa"/>
            <w:tcBorders>
              <w:top w:val="nil"/>
              <w:left w:val="nil"/>
              <w:bottom w:val="single" w:sz="4" w:space="0" w:color="auto"/>
              <w:right w:val="single" w:sz="4" w:space="0" w:color="auto"/>
            </w:tcBorders>
            <w:vAlign w:val="center"/>
          </w:tcPr>
          <w:p w14:paraId="7E3AC8E9" w14:textId="1CF8CB23" w:rsidR="002B7823" w:rsidRPr="00C2587D" w:rsidRDefault="005306AF" w:rsidP="002B7823">
            <w:pPr>
              <w:jc w:val="center"/>
              <w:rPr>
                <w:rFonts w:cs="Arial"/>
                <w:b/>
                <w:color w:val="000000"/>
                <w:sz w:val="20"/>
                <w:szCs w:val="20"/>
                <w:lang w:eastAsia="it-IT"/>
              </w:rPr>
            </w:pPr>
            <w:r w:rsidRPr="00C2587D">
              <w:rPr>
                <w:rFonts w:cs="Arial"/>
                <w:b/>
                <w:color w:val="000000"/>
                <w:sz w:val="20"/>
                <w:szCs w:val="20"/>
                <w:lang w:eastAsia="it-IT"/>
              </w:rPr>
              <w:t>6646,5</w:t>
            </w:r>
          </w:p>
        </w:tc>
      </w:tr>
      <w:tr w:rsidR="002B7823" w:rsidRPr="00C2587D" w14:paraId="2D442497" w14:textId="77777777" w:rsidTr="006478C2">
        <w:trPr>
          <w:jc w:val="center"/>
        </w:trPr>
        <w:tc>
          <w:tcPr>
            <w:tcW w:w="551" w:type="dxa"/>
            <w:tcBorders>
              <w:top w:val="nil"/>
              <w:left w:val="single" w:sz="4" w:space="0" w:color="auto"/>
              <w:bottom w:val="single" w:sz="4" w:space="0" w:color="auto"/>
              <w:right w:val="single" w:sz="4" w:space="0" w:color="auto"/>
            </w:tcBorders>
            <w:shd w:val="clear" w:color="auto" w:fill="auto"/>
            <w:noWrap/>
            <w:vAlign w:val="center"/>
          </w:tcPr>
          <w:p w14:paraId="7DC21D98" w14:textId="44343B01" w:rsidR="002B7823" w:rsidRPr="00C2587D" w:rsidRDefault="002B7823" w:rsidP="006478C2">
            <w:pPr>
              <w:rPr>
                <w:rFonts w:cs="Arial"/>
                <w:sz w:val="20"/>
                <w:szCs w:val="20"/>
                <w:lang w:eastAsia="uk-UA"/>
              </w:rPr>
            </w:pPr>
            <w:r w:rsidRPr="00C2587D">
              <w:rPr>
                <w:rFonts w:cs="Arial"/>
                <w:sz w:val="20"/>
                <w:szCs w:val="20"/>
                <w:lang w:eastAsia="uk-UA"/>
              </w:rPr>
              <w:t>21.</w:t>
            </w:r>
          </w:p>
        </w:tc>
        <w:tc>
          <w:tcPr>
            <w:tcW w:w="4521" w:type="dxa"/>
            <w:tcBorders>
              <w:top w:val="single" w:sz="4" w:space="0" w:color="auto"/>
              <w:bottom w:val="single" w:sz="4" w:space="0" w:color="auto"/>
              <w:right w:val="single" w:sz="4" w:space="0" w:color="auto"/>
            </w:tcBorders>
            <w:shd w:val="clear" w:color="auto" w:fill="auto"/>
            <w:noWrap/>
            <w:vAlign w:val="center"/>
          </w:tcPr>
          <w:p w14:paraId="1AF64FF9" w14:textId="58984811" w:rsidR="002B7823" w:rsidRPr="00C2587D" w:rsidRDefault="002B7823" w:rsidP="006478C2">
            <w:pPr>
              <w:spacing w:before="40" w:after="40"/>
              <w:jc w:val="both"/>
              <w:rPr>
                <w:rFonts w:cs="Arial"/>
                <w:sz w:val="20"/>
                <w:szCs w:val="20"/>
                <w:lang w:eastAsia="it-IT"/>
              </w:rPr>
            </w:pPr>
            <w:r w:rsidRPr="00C2587D">
              <w:rPr>
                <w:rFonts w:eastAsia="Arial"/>
                <w:sz w:val="20"/>
                <w:szCs w:val="20"/>
              </w:rPr>
              <w:t>Капітальний ремонт з облаштуванням благоустрою території місць поховань полеглих захисників України по вул. Одеська в м. Жмеринка Вінницької області (Коригуванн</w:t>
            </w:r>
            <w:r w:rsidR="00C2587D" w:rsidRPr="00C2587D">
              <w:rPr>
                <w:rFonts w:eastAsia="Arial"/>
                <w:sz w:val="20"/>
                <w:szCs w:val="20"/>
              </w:rPr>
              <w:t>я</w:t>
            </w:r>
            <w:r w:rsidRPr="00C2587D">
              <w:rPr>
                <w:rFonts w:eastAsia="Arial"/>
                <w:sz w:val="20"/>
                <w:szCs w:val="20"/>
              </w:rPr>
              <w:t>)</w:t>
            </w:r>
          </w:p>
        </w:tc>
        <w:tc>
          <w:tcPr>
            <w:tcW w:w="1162" w:type="dxa"/>
            <w:tcBorders>
              <w:top w:val="nil"/>
              <w:left w:val="single" w:sz="4" w:space="0" w:color="auto"/>
              <w:bottom w:val="single" w:sz="4" w:space="0" w:color="auto"/>
              <w:right w:val="single" w:sz="4" w:space="0" w:color="auto"/>
            </w:tcBorders>
            <w:shd w:val="clear" w:color="auto" w:fill="auto"/>
            <w:noWrap/>
            <w:vAlign w:val="center"/>
          </w:tcPr>
          <w:p w14:paraId="7666D1C1" w14:textId="77777777" w:rsidR="002B7823" w:rsidRPr="00C2587D" w:rsidRDefault="002B7823" w:rsidP="002B7823">
            <w:pPr>
              <w:jc w:val="center"/>
              <w:rPr>
                <w:rFonts w:cs="Arial"/>
                <w:color w:val="000000"/>
                <w:sz w:val="20"/>
                <w:szCs w:val="20"/>
                <w:lang w:eastAsia="it-IT"/>
              </w:rPr>
            </w:pPr>
          </w:p>
        </w:tc>
        <w:tc>
          <w:tcPr>
            <w:tcW w:w="1329" w:type="dxa"/>
            <w:tcBorders>
              <w:top w:val="nil"/>
              <w:left w:val="nil"/>
              <w:bottom w:val="single" w:sz="4" w:space="0" w:color="auto"/>
              <w:right w:val="single" w:sz="4" w:space="0" w:color="auto"/>
            </w:tcBorders>
            <w:shd w:val="clear" w:color="auto" w:fill="auto"/>
            <w:noWrap/>
            <w:vAlign w:val="center"/>
          </w:tcPr>
          <w:p w14:paraId="6189D232" w14:textId="1BE8BF1C" w:rsidR="002B7823" w:rsidRPr="00C2587D" w:rsidRDefault="002B7823" w:rsidP="002B7823">
            <w:pPr>
              <w:jc w:val="center"/>
              <w:rPr>
                <w:rFonts w:cs="Arial"/>
                <w:color w:val="000000"/>
                <w:sz w:val="20"/>
                <w:szCs w:val="20"/>
                <w:lang w:eastAsia="it-IT"/>
              </w:rPr>
            </w:pPr>
            <w:r w:rsidRPr="00C2587D">
              <w:rPr>
                <w:rFonts w:cs="Arial"/>
                <w:color w:val="000000"/>
                <w:sz w:val="20"/>
                <w:szCs w:val="20"/>
                <w:lang w:eastAsia="it-IT"/>
              </w:rPr>
              <w:t>7 865,4</w:t>
            </w:r>
          </w:p>
        </w:tc>
        <w:tc>
          <w:tcPr>
            <w:tcW w:w="1273" w:type="dxa"/>
            <w:tcBorders>
              <w:top w:val="nil"/>
              <w:left w:val="nil"/>
              <w:bottom w:val="single" w:sz="4" w:space="0" w:color="auto"/>
              <w:right w:val="single" w:sz="4" w:space="0" w:color="auto"/>
            </w:tcBorders>
            <w:shd w:val="clear" w:color="auto" w:fill="auto"/>
            <w:noWrap/>
            <w:vAlign w:val="center"/>
          </w:tcPr>
          <w:p w14:paraId="7F51B661" w14:textId="77777777" w:rsidR="002B7823" w:rsidRPr="00C2587D" w:rsidRDefault="002B7823" w:rsidP="002B7823">
            <w:pPr>
              <w:jc w:val="center"/>
              <w:rPr>
                <w:rFonts w:cs="Arial"/>
                <w:color w:val="000000"/>
                <w:sz w:val="20"/>
                <w:szCs w:val="20"/>
                <w:lang w:eastAsia="it-IT"/>
              </w:rPr>
            </w:pPr>
          </w:p>
        </w:tc>
        <w:tc>
          <w:tcPr>
            <w:tcW w:w="1273" w:type="dxa"/>
            <w:tcBorders>
              <w:top w:val="nil"/>
              <w:left w:val="nil"/>
              <w:bottom w:val="single" w:sz="4" w:space="0" w:color="auto"/>
              <w:right w:val="single" w:sz="4" w:space="0" w:color="auto"/>
            </w:tcBorders>
            <w:shd w:val="clear" w:color="auto" w:fill="auto"/>
            <w:vAlign w:val="center"/>
          </w:tcPr>
          <w:p w14:paraId="7CCEAEDB" w14:textId="77777777" w:rsidR="002B7823" w:rsidRPr="00C2587D" w:rsidRDefault="002B7823" w:rsidP="002B7823">
            <w:pPr>
              <w:jc w:val="center"/>
              <w:rPr>
                <w:rFonts w:cs="Arial"/>
                <w:color w:val="000000"/>
                <w:sz w:val="20"/>
                <w:szCs w:val="20"/>
                <w:lang w:eastAsia="it-IT"/>
              </w:rPr>
            </w:pPr>
          </w:p>
        </w:tc>
        <w:tc>
          <w:tcPr>
            <w:tcW w:w="1217" w:type="dxa"/>
            <w:tcBorders>
              <w:top w:val="nil"/>
              <w:left w:val="nil"/>
              <w:bottom w:val="single" w:sz="4" w:space="0" w:color="auto"/>
              <w:right w:val="single" w:sz="4" w:space="0" w:color="auto"/>
            </w:tcBorders>
            <w:vAlign w:val="center"/>
          </w:tcPr>
          <w:p w14:paraId="2016FF12" w14:textId="4AF852FD" w:rsidR="002B7823" w:rsidRPr="00C2587D" w:rsidRDefault="002B7823" w:rsidP="002B7823">
            <w:pPr>
              <w:jc w:val="center"/>
              <w:rPr>
                <w:rFonts w:cs="Arial"/>
                <w:b/>
                <w:color w:val="000000"/>
                <w:sz w:val="20"/>
                <w:szCs w:val="20"/>
                <w:lang w:eastAsia="it-IT"/>
              </w:rPr>
            </w:pPr>
            <w:r w:rsidRPr="00C2587D">
              <w:rPr>
                <w:rFonts w:cs="Arial"/>
                <w:b/>
                <w:color w:val="000000"/>
                <w:sz w:val="20"/>
                <w:szCs w:val="20"/>
                <w:lang w:eastAsia="it-IT"/>
              </w:rPr>
              <w:t>7 865,4</w:t>
            </w:r>
          </w:p>
        </w:tc>
      </w:tr>
      <w:tr w:rsidR="002B7823" w:rsidRPr="00C2587D" w14:paraId="11FC7C00" w14:textId="77777777" w:rsidTr="006478C2">
        <w:trPr>
          <w:jc w:val="center"/>
        </w:trPr>
        <w:tc>
          <w:tcPr>
            <w:tcW w:w="551" w:type="dxa"/>
            <w:tcBorders>
              <w:top w:val="nil"/>
              <w:left w:val="single" w:sz="4" w:space="0" w:color="auto"/>
              <w:bottom w:val="single" w:sz="4" w:space="0" w:color="auto"/>
              <w:right w:val="single" w:sz="4" w:space="0" w:color="auto"/>
            </w:tcBorders>
            <w:shd w:val="clear" w:color="auto" w:fill="auto"/>
            <w:noWrap/>
            <w:vAlign w:val="center"/>
          </w:tcPr>
          <w:p w14:paraId="7776D1D8" w14:textId="5BCE7885" w:rsidR="002B7823" w:rsidRPr="00C2587D" w:rsidRDefault="002B7823" w:rsidP="006478C2">
            <w:pPr>
              <w:rPr>
                <w:rFonts w:cs="Arial"/>
                <w:sz w:val="20"/>
                <w:szCs w:val="20"/>
                <w:lang w:eastAsia="uk-UA"/>
              </w:rPr>
            </w:pPr>
            <w:r w:rsidRPr="00C2587D">
              <w:rPr>
                <w:rFonts w:cs="Arial"/>
                <w:sz w:val="20"/>
                <w:szCs w:val="20"/>
                <w:lang w:eastAsia="uk-UA"/>
              </w:rPr>
              <w:t>22.</w:t>
            </w:r>
          </w:p>
        </w:tc>
        <w:tc>
          <w:tcPr>
            <w:tcW w:w="4521" w:type="dxa"/>
            <w:tcBorders>
              <w:top w:val="single" w:sz="4" w:space="0" w:color="auto"/>
              <w:left w:val="nil"/>
              <w:bottom w:val="single" w:sz="4" w:space="0" w:color="auto"/>
              <w:right w:val="single" w:sz="4" w:space="0" w:color="auto"/>
            </w:tcBorders>
            <w:shd w:val="clear" w:color="auto" w:fill="auto"/>
            <w:noWrap/>
            <w:vAlign w:val="center"/>
          </w:tcPr>
          <w:p w14:paraId="245D51F8" w14:textId="33948821" w:rsidR="002B7823" w:rsidRPr="00C2587D" w:rsidRDefault="002B7823" w:rsidP="006478C2">
            <w:pPr>
              <w:spacing w:before="40" w:after="40"/>
              <w:jc w:val="both"/>
              <w:rPr>
                <w:rFonts w:eastAsia="Arial"/>
                <w:sz w:val="20"/>
                <w:szCs w:val="20"/>
              </w:rPr>
            </w:pPr>
            <w:r w:rsidRPr="00C2587D">
              <w:rPr>
                <w:rFonts w:cs="Arial"/>
                <w:sz w:val="20"/>
                <w:szCs w:val="20"/>
                <w:lang w:eastAsia="it-IT"/>
              </w:rPr>
              <w:t>Капітальний ремонт водопровідної мережі по вул. Центральній, с. Леляки, Жмеринського району Вінницької області</w:t>
            </w:r>
          </w:p>
        </w:tc>
        <w:tc>
          <w:tcPr>
            <w:tcW w:w="1162" w:type="dxa"/>
            <w:tcBorders>
              <w:top w:val="nil"/>
              <w:left w:val="nil"/>
              <w:bottom w:val="single" w:sz="4" w:space="0" w:color="auto"/>
              <w:right w:val="single" w:sz="4" w:space="0" w:color="auto"/>
            </w:tcBorders>
            <w:shd w:val="clear" w:color="auto" w:fill="auto"/>
            <w:noWrap/>
            <w:vAlign w:val="center"/>
          </w:tcPr>
          <w:p w14:paraId="2B1E4C5F" w14:textId="77777777" w:rsidR="002B7823" w:rsidRPr="00C2587D" w:rsidRDefault="002B7823" w:rsidP="002B7823">
            <w:pPr>
              <w:jc w:val="center"/>
              <w:rPr>
                <w:rFonts w:cs="Arial"/>
                <w:color w:val="000000"/>
                <w:sz w:val="20"/>
                <w:szCs w:val="20"/>
                <w:lang w:eastAsia="it-IT"/>
              </w:rPr>
            </w:pPr>
          </w:p>
        </w:tc>
        <w:tc>
          <w:tcPr>
            <w:tcW w:w="1329" w:type="dxa"/>
            <w:tcBorders>
              <w:top w:val="nil"/>
              <w:left w:val="nil"/>
              <w:bottom w:val="single" w:sz="4" w:space="0" w:color="auto"/>
              <w:right w:val="single" w:sz="4" w:space="0" w:color="auto"/>
            </w:tcBorders>
            <w:shd w:val="clear" w:color="auto" w:fill="auto"/>
            <w:noWrap/>
            <w:vAlign w:val="center"/>
          </w:tcPr>
          <w:p w14:paraId="4464919B" w14:textId="64373A1F" w:rsidR="002B7823" w:rsidRPr="00C2587D" w:rsidRDefault="002B7823" w:rsidP="002B7823">
            <w:pPr>
              <w:jc w:val="center"/>
              <w:rPr>
                <w:rFonts w:cs="Arial"/>
                <w:color w:val="000000"/>
                <w:sz w:val="20"/>
                <w:szCs w:val="20"/>
                <w:lang w:eastAsia="it-IT"/>
              </w:rPr>
            </w:pPr>
            <w:r w:rsidRPr="00C2587D">
              <w:rPr>
                <w:rFonts w:cs="Arial"/>
                <w:color w:val="000000"/>
                <w:sz w:val="20"/>
                <w:szCs w:val="20"/>
                <w:lang w:eastAsia="it-IT"/>
              </w:rPr>
              <w:t>619,2</w:t>
            </w:r>
          </w:p>
        </w:tc>
        <w:tc>
          <w:tcPr>
            <w:tcW w:w="1273" w:type="dxa"/>
            <w:tcBorders>
              <w:top w:val="nil"/>
              <w:left w:val="nil"/>
              <w:bottom w:val="single" w:sz="4" w:space="0" w:color="auto"/>
              <w:right w:val="single" w:sz="4" w:space="0" w:color="auto"/>
            </w:tcBorders>
            <w:shd w:val="clear" w:color="auto" w:fill="auto"/>
            <w:noWrap/>
            <w:vAlign w:val="center"/>
          </w:tcPr>
          <w:p w14:paraId="6132D0E1" w14:textId="77777777" w:rsidR="002B7823" w:rsidRPr="00C2587D" w:rsidRDefault="002B7823" w:rsidP="002B7823">
            <w:pPr>
              <w:jc w:val="center"/>
              <w:rPr>
                <w:rFonts w:cs="Arial"/>
                <w:color w:val="000000"/>
                <w:sz w:val="20"/>
                <w:szCs w:val="20"/>
                <w:lang w:eastAsia="it-IT"/>
              </w:rPr>
            </w:pPr>
          </w:p>
        </w:tc>
        <w:tc>
          <w:tcPr>
            <w:tcW w:w="1273" w:type="dxa"/>
            <w:tcBorders>
              <w:top w:val="nil"/>
              <w:left w:val="nil"/>
              <w:bottom w:val="single" w:sz="4" w:space="0" w:color="auto"/>
              <w:right w:val="single" w:sz="4" w:space="0" w:color="auto"/>
            </w:tcBorders>
            <w:shd w:val="clear" w:color="auto" w:fill="auto"/>
            <w:vAlign w:val="center"/>
          </w:tcPr>
          <w:p w14:paraId="75844551" w14:textId="77777777" w:rsidR="002B7823" w:rsidRPr="00C2587D" w:rsidRDefault="002B7823" w:rsidP="002B7823">
            <w:pPr>
              <w:jc w:val="center"/>
              <w:rPr>
                <w:rFonts w:cs="Arial"/>
                <w:color w:val="000000"/>
                <w:sz w:val="20"/>
                <w:szCs w:val="20"/>
                <w:lang w:eastAsia="it-IT"/>
              </w:rPr>
            </w:pPr>
          </w:p>
        </w:tc>
        <w:tc>
          <w:tcPr>
            <w:tcW w:w="1217" w:type="dxa"/>
            <w:tcBorders>
              <w:top w:val="nil"/>
              <w:left w:val="nil"/>
              <w:bottom w:val="single" w:sz="4" w:space="0" w:color="auto"/>
              <w:right w:val="single" w:sz="4" w:space="0" w:color="auto"/>
            </w:tcBorders>
            <w:vAlign w:val="center"/>
          </w:tcPr>
          <w:p w14:paraId="6E641EBF" w14:textId="35BD92D3" w:rsidR="002B7823" w:rsidRPr="00C2587D" w:rsidRDefault="002B7823" w:rsidP="002B7823">
            <w:pPr>
              <w:jc w:val="center"/>
              <w:rPr>
                <w:rFonts w:cs="Arial"/>
                <w:b/>
                <w:color w:val="000000"/>
                <w:sz w:val="20"/>
                <w:szCs w:val="20"/>
                <w:lang w:eastAsia="it-IT"/>
              </w:rPr>
            </w:pPr>
            <w:r w:rsidRPr="00C2587D">
              <w:rPr>
                <w:rFonts w:cs="Arial"/>
                <w:b/>
                <w:color w:val="000000"/>
                <w:sz w:val="20"/>
                <w:szCs w:val="20"/>
                <w:lang w:eastAsia="it-IT"/>
              </w:rPr>
              <w:t>619,2</w:t>
            </w:r>
          </w:p>
        </w:tc>
      </w:tr>
      <w:tr w:rsidR="002B7823" w:rsidRPr="00C2587D" w14:paraId="42F2EFD7" w14:textId="77777777" w:rsidTr="006478C2">
        <w:trPr>
          <w:jc w:val="center"/>
        </w:trPr>
        <w:tc>
          <w:tcPr>
            <w:tcW w:w="551" w:type="dxa"/>
            <w:tcBorders>
              <w:top w:val="nil"/>
              <w:left w:val="single" w:sz="4" w:space="0" w:color="auto"/>
              <w:bottom w:val="single" w:sz="4" w:space="0" w:color="auto"/>
              <w:right w:val="single" w:sz="4" w:space="0" w:color="auto"/>
            </w:tcBorders>
            <w:shd w:val="clear" w:color="auto" w:fill="auto"/>
            <w:noWrap/>
            <w:vAlign w:val="center"/>
          </w:tcPr>
          <w:p w14:paraId="14252F95" w14:textId="00085C6D" w:rsidR="002B7823" w:rsidRPr="00C2587D" w:rsidRDefault="002B7823" w:rsidP="006478C2">
            <w:pPr>
              <w:rPr>
                <w:rFonts w:cs="Arial"/>
                <w:sz w:val="20"/>
                <w:szCs w:val="20"/>
                <w:lang w:eastAsia="uk-UA"/>
              </w:rPr>
            </w:pPr>
            <w:r w:rsidRPr="00C2587D">
              <w:rPr>
                <w:rFonts w:cs="Arial"/>
                <w:sz w:val="20"/>
                <w:szCs w:val="20"/>
                <w:lang w:eastAsia="uk-UA"/>
              </w:rPr>
              <w:t>23.</w:t>
            </w:r>
          </w:p>
        </w:tc>
        <w:tc>
          <w:tcPr>
            <w:tcW w:w="4521" w:type="dxa"/>
            <w:tcBorders>
              <w:top w:val="single" w:sz="4" w:space="0" w:color="auto"/>
              <w:bottom w:val="single" w:sz="4" w:space="0" w:color="auto"/>
            </w:tcBorders>
            <w:shd w:val="clear" w:color="auto" w:fill="auto"/>
            <w:noWrap/>
            <w:vAlign w:val="center"/>
          </w:tcPr>
          <w:p w14:paraId="719F2445" w14:textId="44B68125" w:rsidR="002B7823" w:rsidRPr="00C2587D" w:rsidRDefault="002B7823" w:rsidP="006478C2">
            <w:pPr>
              <w:spacing w:before="40" w:after="40"/>
              <w:jc w:val="both"/>
              <w:rPr>
                <w:rFonts w:cs="Arial"/>
                <w:sz w:val="20"/>
                <w:szCs w:val="20"/>
                <w:lang w:eastAsia="it-IT"/>
              </w:rPr>
            </w:pPr>
            <w:r w:rsidRPr="00C2587D">
              <w:rPr>
                <w:rFonts w:eastAsia="Arial"/>
                <w:sz w:val="20"/>
                <w:szCs w:val="20"/>
              </w:rPr>
              <w:t>Капітальний ремонт мережі водопостачання по вул. Київська в м. Жмеринка Вінницької області</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14:paraId="013F4D4D" w14:textId="77777777" w:rsidR="002B7823" w:rsidRPr="00C2587D" w:rsidRDefault="002B7823" w:rsidP="002B7823">
            <w:pPr>
              <w:jc w:val="center"/>
              <w:rPr>
                <w:rFonts w:cs="Arial"/>
                <w:color w:val="000000"/>
                <w:sz w:val="20"/>
                <w:szCs w:val="20"/>
                <w:lang w:eastAsia="it-IT"/>
              </w:rPr>
            </w:pP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tcPr>
          <w:p w14:paraId="74853B8A" w14:textId="1939A693" w:rsidR="002B7823" w:rsidRPr="00C2587D" w:rsidRDefault="002B7823" w:rsidP="002B7823">
            <w:pPr>
              <w:jc w:val="center"/>
              <w:rPr>
                <w:rFonts w:cs="Arial"/>
                <w:color w:val="000000"/>
                <w:sz w:val="20"/>
                <w:szCs w:val="20"/>
                <w:lang w:eastAsia="it-IT"/>
              </w:rPr>
            </w:pPr>
          </w:p>
        </w:tc>
        <w:tc>
          <w:tcPr>
            <w:tcW w:w="1273" w:type="dxa"/>
            <w:tcBorders>
              <w:top w:val="nil"/>
              <w:left w:val="single" w:sz="4" w:space="0" w:color="auto"/>
              <w:bottom w:val="single" w:sz="4" w:space="0" w:color="auto"/>
              <w:right w:val="single" w:sz="4" w:space="0" w:color="auto"/>
            </w:tcBorders>
            <w:shd w:val="clear" w:color="auto" w:fill="auto"/>
            <w:vAlign w:val="center"/>
          </w:tcPr>
          <w:p w14:paraId="364A22A8" w14:textId="28852FC6" w:rsidR="002B7823" w:rsidRPr="00C2587D" w:rsidRDefault="002B7823" w:rsidP="002B7823">
            <w:pPr>
              <w:jc w:val="center"/>
              <w:rPr>
                <w:rFonts w:cs="Arial"/>
                <w:color w:val="000000"/>
                <w:sz w:val="20"/>
                <w:szCs w:val="20"/>
                <w:lang w:eastAsia="it-IT"/>
              </w:rPr>
            </w:pPr>
            <w:r w:rsidRPr="00C2587D">
              <w:rPr>
                <w:rFonts w:cs="Arial"/>
                <w:color w:val="000000"/>
                <w:sz w:val="20"/>
                <w:szCs w:val="20"/>
                <w:lang w:eastAsia="it-IT"/>
              </w:rPr>
              <w:t>17 000,0</w:t>
            </w:r>
          </w:p>
        </w:tc>
        <w:tc>
          <w:tcPr>
            <w:tcW w:w="1273" w:type="dxa"/>
            <w:tcBorders>
              <w:top w:val="nil"/>
              <w:left w:val="nil"/>
              <w:bottom w:val="single" w:sz="4" w:space="0" w:color="auto"/>
              <w:right w:val="single" w:sz="4" w:space="0" w:color="auto"/>
            </w:tcBorders>
            <w:shd w:val="clear" w:color="auto" w:fill="auto"/>
            <w:vAlign w:val="center"/>
          </w:tcPr>
          <w:p w14:paraId="55206045" w14:textId="77777777" w:rsidR="002B7823" w:rsidRPr="00C2587D" w:rsidRDefault="002B7823" w:rsidP="002B7823">
            <w:pPr>
              <w:jc w:val="center"/>
              <w:rPr>
                <w:rFonts w:cs="Arial"/>
                <w:color w:val="000000"/>
                <w:sz w:val="20"/>
                <w:szCs w:val="20"/>
                <w:lang w:eastAsia="it-IT"/>
              </w:rPr>
            </w:pPr>
          </w:p>
        </w:tc>
        <w:tc>
          <w:tcPr>
            <w:tcW w:w="1217" w:type="dxa"/>
            <w:tcBorders>
              <w:top w:val="nil"/>
              <w:left w:val="nil"/>
              <w:bottom w:val="single" w:sz="4" w:space="0" w:color="auto"/>
              <w:right w:val="single" w:sz="4" w:space="0" w:color="auto"/>
            </w:tcBorders>
            <w:vAlign w:val="center"/>
          </w:tcPr>
          <w:p w14:paraId="561A1DB8" w14:textId="188695C6" w:rsidR="002B7823" w:rsidRPr="00C2587D" w:rsidRDefault="002B7823" w:rsidP="002B7823">
            <w:pPr>
              <w:jc w:val="center"/>
              <w:rPr>
                <w:rFonts w:cs="Arial"/>
                <w:b/>
                <w:color w:val="000000"/>
                <w:sz w:val="20"/>
                <w:szCs w:val="20"/>
                <w:lang w:eastAsia="it-IT"/>
              </w:rPr>
            </w:pPr>
            <w:r w:rsidRPr="00C2587D">
              <w:rPr>
                <w:rFonts w:cs="Arial"/>
                <w:b/>
                <w:color w:val="000000"/>
                <w:sz w:val="20"/>
                <w:szCs w:val="20"/>
                <w:lang w:eastAsia="it-IT"/>
              </w:rPr>
              <w:t>17 000,0</w:t>
            </w:r>
          </w:p>
        </w:tc>
      </w:tr>
      <w:tr w:rsidR="002B7823" w:rsidRPr="00C2587D" w14:paraId="4BF12AF6" w14:textId="77777777" w:rsidTr="006478C2">
        <w:trPr>
          <w:jc w:val="center"/>
        </w:trPr>
        <w:tc>
          <w:tcPr>
            <w:tcW w:w="551" w:type="dxa"/>
            <w:tcBorders>
              <w:top w:val="nil"/>
              <w:left w:val="single" w:sz="4" w:space="0" w:color="auto"/>
              <w:bottom w:val="single" w:sz="4" w:space="0" w:color="auto"/>
              <w:right w:val="single" w:sz="4" w:space="0" w:color="auto"/>
            </w:tcBorders>
            <w:shd w:val="clear" w:color="auto" w:fill="auto"/>
            <w:noWrap/>
            <w:vAlign w:val="center"/>
          </w:tcPr>
          <w:p w14:paraId="177DD5D7" w14:textId="60319466" w:rsidR="002B7823" w:rsidRPr="00C2587D" w:rsidRDefault="002B7823" w:rsidP="006478C2">
            <w:pPr>
              <w:rPr>
                <w:rFonts w:cs="Arial"/>
                <w:sz w:val="20"/>
                <w:szCs w:val="20"/>
                <w:lang w:eastAsia="uk-UA"/>
              </w:rPr>
            </w:pPr>
            <w:r w:rsidRPr="00C2587D">
              <w:rPr>
                <w:rFonts w:cs="Arial"/>
                <w:sz w:val="20"/>
                <w:szCs w:val="20"/>
                <w:lang w:eastAsia="uk-UA"/>
              </w:rPr>
              <w:t>24.</w:t>
            </w:r>
          </w:p>
        </w:tc>
        <w:tc>
          <w:tcPr>
            <w:tcW w:w="4521" w:type="dxa"/>
            <w:tcBorders>
              <w:top w:val="single" w:sz="4" w:space="0" w:color="auto"/>
              <w:bottom w:val="single" w:sz="4" w:space="0" w:color="auto"/>
              <w:right w:val="single" w:sz="4" w:space="0" w:color="auto"/>
            </w:tcBorders>
            <w:shd w:val="clear" w:color="auto" w:fill="auto"/>
            <w:noWrap/>
            <w:vAlign w:val="center"/>
          </w:tcPr>
          <w:p w14:paraId="518167A1" w14:textId="7E2C9468" w:rsidR="002B7823" w:rsidRPr="00C2587D" w:rsidRDefault="002B7823" w:rsidP="006478C2">
            <w:pPr>
              <w:spacing w:before="40" w:after="40"/>
              <w:jc w:val="both"/>
              <w:rPr>
                <w:rFonts w:cs="Arial"/>
                <w:sz w:val="20"/>
                <w:szCs w:val="20"/>
                <w:lang w:eastAsia="it-IT"/>
              </w:rPr>
            </w:pPr>
            <w:r w:rsidRPr="00C2587D">
              <w:rPr>
                <w:rFonts w:eastAsia="Arial"/>
                <w:sz w:val="20"/>
                <w:szCs w:val="20"/>
              </w:rPr>
              <w:t>Нове будівництво мереж водопостачання по вул. Асмолова в м. Жмеринка Вінницької області</w:t>
            </w:r>
          </w:p>
        </w:tc>
        <w:tc>
          <w:tcPr>
            <w:tcW w:w="1162" w:type="dxa"/>
            <w:tcBorders>
              <w:top w:val="nil"/>
              <w:left w:val="single" w:sz="4" w:space="0" w:color="auto"/>
              <w:bottom w:val="single" w:sz="4" w:space="0" w:color="auto"/>
              <w:right w:val="single" w:sz="4" w:space="0" w:color="auto"/>
            </w:tcBorders>
            <w:shd w:val="clear" w:color="auto" w:fill="auto"/>
            <w:vAlign w:val="center"/>
          </w:tcPr>
          <w:p w14:paraId="6C71731D" w14:textId="7C3F5B4B" w:rsidR="002B7823" w:rsidRPr="00C2587D" w:rsidRDefault="002B7823" w:rsidP="002B7823">
            <w:pPr>
              <w:jc w:val="center"/>
              <w:rPr>
                <w:rFonts w:cs="Arial"/>
                <w:color w:val="000000"/>
                <w:sz w:val="20"/>
                <w:szCs w:val="20"/>
                <w:lang w:eastAsia="it-IT"/>
              </w:rPr>
            </w:pPr>
          </w:p>
        </w:tc>
        <w:tc>
          <w:tcPr>
            <w:tcW w:w="1329" w:type="dxa"/>
            <w:tcBorders>
              <w:top w:val="nil"/>
              <w:left w:val="nil"/>
              <w:bottom w:val="single" w:sz="4" w:space="0" w:color="auto"/>
              <w:right w:val="single" w:sz="4" w:space="0" w:color="auto"/>
            </w:tcBorders>
            <w:shd w:val="clear" w:color="auto" w:fill="auto"/>
            <w:vAlign w:val="center"/>
          </w:tcPr>
          <w:p w14:paraId="575A0164" w14:textId="0F4664ED" w:rsidR="002B7823" w:rsidRPr="00C2587D" w:rsidRDefault="002B7823" w:rsidP="002B7823">
            <w:pPr>
              <w:jc w:val="center"/>
              <w:rPr>
                <w:rFonts w:cs="Arial"/>
                <w:color w:val="000000"/>
                <w:sz w:val="20"/>
                <w:szCs w:val="20"/>
                <w:lang w:eastAsia="it-IT"/>
              </w:rPr>
            </w:pPr>
            <w:r w:rsidRPr="00C2587D">
              <w:rPr>
                <w:rFonts w:cs="Arial"/>
                <w:sz w:val="20"/>
                <w:szCs w:val="20"/>
                <w:lang w:eastAsia="it-IT"/>
              </w:rPr>
              <w:t>15 000,0</w:t>
            </w:r>
          </w:p>
        </w:tc>
        <w:tc>
          <w:tcPr>
            <w:tcW w:w="1273" w:type="dxa"/>
            <w:tcBorders>
              <w:top w:val="nil"/>
              <w:left w:val="nil"/>
              <w:bottom w:val="single" w:sz="4" w:space="0" w:color="auto"/>
              <w:right w:val="single" w:sz="4" w:space="0" w:color="auto"/>
            </w:tcBorders>
            <w:shd w:val="clear" w:color="auto" w:fill="auto"/>
            <w:noWrap/>
            <w:vAlign w:val="center"/>
          </w:tcPr>
          <w:p w14:paraId="32F43BDC" w14:textId="4F669240" w:rsidR="002B7823" w:rsidRPr="00C2587D" w:rsidRDefault="002B7823" w:rsidP="002B7823">
            <w:pPr>
              <w:jc w:val="center"/>
              <w:rPr>
                <w:rFonts w:cs="Arial"/>
                <w:color w:val="000000"/>
                <w:sz w:val="20"/>
                <w:szCs w:val="20"/>
                <w:lang w:eastAsia="it-IT"/>
              </w:rPr>
            </w:pPr>
          </w:p>
        </w:tc>
        <w:tc>
          <w:tcPr>
            <w:tcW w:w="1273" w:type="dxa"/>
            <w:tcBorders>
              <w:top w:val="nil"/>
              <w:left w:val="nil"/>
              <w:bottom w:val="single" w:sz="4" w:space="0" w:color="auto"/>
              <w:right w:val="single" w:sz="4" w:space="0" w:color="auto"/>
            </w:tcBorders>
            <w:shd w:val="clear" w:color="auto" w:fill="auto"/>
            <w:vAlign w:val="center"/>
          </w:tcPr>
          <w:p w14:paraId="5EA93B4A" w14:textId="01012208" w:rsidR="002B7823" w:rsidRPr="00C2587D" w:rsidRDefault="002B7823" w:rsidP="002B7823">
            <w:pPr>
              <w:jc w:val="center"/>
              <w:rPr>
                <w:rFonts w:cs="Arial"/>
                <w:color w:val="000000"/>
                <w:sz w:val="20"/>
                <w:szCs w:val="20"/>
                <w:lang w:eastAsia="it-IT"/>
              </w:rPr>
            </w:pPr>
          </w:p>
        </w:tc>
        <w:tc>
          <w:tcPr>
            <w:tcW w:w="1217" w:type="dxa"/>
            <w:tcBorders>
              <w:top w:val="nil"/>
              <w:left w:val="nil"/>
              <w:bottom w:val="single" w:sz="4" w:space="0" w:color="auto"/>
              <w:right w:val="single" w:sz="4" w:space="0" w:color="auto"/>
            </w:tcBorders>
            <w:vAlign w:val="center"/>
          </w:tcPr>
          <w:p w14:paraId="1D5473F4" w14:textId="1A9A976A" w:rsidR="002B7823" w:rsidRPr="00C2587D" w:rsidRDefault="002B7823" w:rsidP="002B7823">
            <w:pPr>
              <w:jc w:val="center"/>
              <w:rPr>
                <w:rFonts w:cs="Arial"/>
                <w:b/>
                <w:color w:val="000000"/>
                <w:sz w:val="20"/>
                <w:szCs w:val="20"/>
                <w:lang w:eastAsia="it-IT"/>
              </w:rPr>
            </w:pPr>
            <w:r w:rsidRPr="00C2587D">
              <w:rPr>
                <w:rFonts w:cs="Arial"/>
                <w:b/>
                <w:sz w:val="20"/>
                <w:szCs w:val="20"/>
                <w:lang w:eastAsia="it-IT"/>
              </w:rPr>
              <w:t>15 000,0</w:t>
            </w:r>
          </w:p>
        </w:tc>
      </w:tr>
      <w:tr w:rsidR="002B7823" w:rsidRPr="00C2587D" w14:paraId="70824B9A" w14:textId="77777777" w:rsidTr="006478C2">
        <w:trPr>
          <w:jc w:val="center"/>
        </w:trPr>
        <w:tc>
          <w:tcPr>
            <w:tcW w:w="5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4768A0" w14:textId="2FD28349" w:rsidR="002B7823" w:rsidRPr="00C2587D" w:rsidRDefault="002B7823" w:rsidP="006478C2">
            <w:pPr>
              <w:rPr>
                <w:rFonts w:cs="Arial"/>
                <w:sz w:val="20"/>
                <w:szCs w:val="20"/>
                <w:lang w:eastAsia="uk-UA"/>
              </w:rPr>
            </w:pPr>
            <w:r w:rsidRPr="00C2587D">
              <w:rPr>
                <w:rFonts w:cs="Arial"/>
                <w:sz w:val="20"/>
                <w:szCs w:val="20"/>
                <w:lang w:eastAsia="uk-UA"/>
              </w:rPr>
              <w:t>25.</w:t>
            </w:r>
          </w:p>
        </w:tc>
        <w:tc>
          <w:tcPr>
            <w:tcW w:w="4521" w:type="dxa"/>
            <w:tcBorders>
              <w:top w:val="single" w:sz="4" w:space="0" w:color="auto"/>
              <w:bottom w:val="single" w:sz="4" w:space="0" w:color="auto"/>
              <w:right w:val="single" w:sz="4" w:space="0" w:color="auto"/>
            </w:tcBorders>
            <w:shd w:val="clear" w:color="auto" w:fill="auto"/>
            <w:vAlign w:val="center"/>
          </w:tcPr>
          <w:p w14:paraId="7485BB5B" w14:textId="37AF83A4" w:rsidR="002B7823" w:rsidRPr="00C2587D" w:rsidRDefault="002B7823" w:rsidP="006478C2">
            <w:pPr>
              <w:spacing w:before="40" w:after="40"/>
              <w:jc w:val="both"/>
              <w:rPr>
                <w:rFonts w:cs="Arial"/>
                <w:sz w:val="20"/>
                <w:szCs w:val="20"/>
                <w:lang w:eastAsia="it-IT"/>
              </w:rPr>
            </w:pPr>
            <w:r w:rsidRPr="00C2587D">
              <w:rPr>
                <w:rFonts w:eastAsia="Arial"/>
                <w:sz w:val="20"/>
                <w:szCs w:val="20"/>
              </w:rPr>
              <w:t>Нове будівництво мереж водопостачання в с Жуківці,  Жмеринського району Вінницької області</w:t>
            </w:r>
          </w:p>
        </w:tc>
        <w:tc>
          <w:tcPr>
            <w:tcW w:w="1162" w:type="dxa"/>
            <w:tcBorders>
              <w:top w:val="nil"/>
              <w:left w:val="single" w:sz="4" w:space="0" w:color="auto"/>
              <w:bottom w:val="single" w:sz="4" w:space="0" w:color="auto"/>
              <w:right w:val="single" w:sz="4" w:space="0" w:color="auto"/>
            </w:tcBorders>
            <w:shd w:val="clear" w:color="auto" w:fill="auto"/>
            <w:vAlign w:val="center"/>
          </w:tcPr>
          <w:p w14:paraId="49718E37" w14:textId="43E2A306" w:rsidR="002B7823" w:rsidRPr="00C2587D" w:rsidRDefault="002B7823" w:rsidP="002B7823">
            <w:pPr>
              <w:jc w:val="center"/>
              <w:rPr>
                <w:rFonts w:cs="Arial"/>
                <w:sz w:val="20"/>
                <w:szCs w:val="20"/>
                <w:lang w:eastAsia="it-IT"/>
              </w:rPr>
            </w:pPr>
          </w:p>
        </w:tc>
        <w:tc>
          <w:tcPr>
            <w:tcW w:w="1329" w:type="dxa"/>
            <w:tcBorders>
              <w:top w:val="nil"/>
              <w:left w:val="nil"/>
              <w:bottom w:val="single" w:sz="4" w:space="0" w:color="auto"/>
              <w:right w:val="single" w:sz="4" w:space="0" w:color="auto"/>
            </w:tcBorders>
            <w:shd w:val="clear" w:color="auto" w:fill="auto"/>
            <w:vAlign w:val="center"/>
          </w:tcPr>
          <w:p w14:paraId="2469AD12" w14:textId="635A0504" w:rsidR="002B7823" w:rsidRPr="00C2587D" w:rsidRDefault="002B7823" w:rsidP="002B7823">
            <w:pPr>
              <w:jc w:val="center"/>
              <w:rPr>
                <w:rFonts w:cs="Arial"/>
                <w:sz w:val="20"/>
                <w:szCs w:val="20"/>
                <w:lang w:eastAsia="it-IT"/>
              </w:rPr>
            </w:pPr>
            <w:r w:rsidRPr="00C2587D">
              <w:rPr>
                <w:rFonts w:cs="Arial"/>
                <w:sz w:val="20"/>
                <w:szCs w:val="20"/>
                <w:lang w:eastAsia="it-IT"/>
              </w:rPr>
              <w:t>10 000,0</w:t>
            </w:r>
          </w:p>
        </w:tc>
        <w:tc>
          <w:tcPr>
            <w:tcW w:w="1273" w:type="dxa"/>
            <w:tcBorders>
              <w:top w:val="nil"/>
              <w:left w:val="nil"/>
              <w:bottom w:val="single" w:sz="4" w:space="0" w:color="auto"/>
              <w:right w:val="single" w:sz="4" w:space="0" w:color="auto"/>
            </w:tcBorders>
            <w:shd w:val="clear" w:color="auto" w:fill="auto"/>
            <w:vAlign w:val="center"/>
          </w:tcPr>
          <w:p w14:paraId="05216442" w14:textId="00C53762" w:rsidR="002B7823" w:rsidRPr="00C2587D" w:rsidRDefault="002B7823" w:rsidP="002B7823">
            <w:pPr>
              <w:jc w:val="center"/>
              <w:rPr>
                <w:rFonts w:cs="Arial"/>
                <w:sz w:val="20"/>
                <w:szCs w:val="20"/>
                <w:lang w:eastAsia="it-IT"/>
              </w:rPr>
            </w:pPr>
          </w:p>
        </w:tc>
        <w:tc>
          <w:tcPr>
            <w:tcW w:w="1273" w:type="dxa"/>
            <w:tcBorders>
              <w:top w:val="nil"/>
              <w:left w:val="nil"/>
              <w:bottom w:val="single" w:sz="4" w:space="0" w:color="auto"/>
              <w:right w:val="single" w:sz="4" w:space="0" w:color="auto"/>
            </w:tcBorders>
            <w:shd w:val="clear" w:color="auto" w:fill="auto"/>
            <w:vAlign w:val="center"/>
          </w:tcPr>
          <w:p w14:paraId="6D0FEDD9" w14:textId="73683BA6" w:rsidR="002B7823" w:rsidRPr="00C2587D" w:rsidRDefault="002B7823" w:rsidP="002B7823">
            <w:pPr>
              <w:jc w:val="center"/>
              <w:rPr>
                <w:rFonts w:cs="Arial"/>
                <w:sz w:val="20"/>
                <w:szCs w:val="20"/>
                <w:lang w:eastAsia="it-IT"/>
              </w:rPr>
            </w:pPr>
          </w:p>
        </w:tc>
        <w:tc>
          <w:tcPr>
            <w:tcW w:w="1217" w:type="dxa"/>
            <w:tcBorders>
              <w:top w:val="nil"/>
              <w:left w:val="nil"/>
              <w:bottom w:val="single" w:sz="4" w:space="0" w:color="auto"/>
              <w:right w:val="single" w:sz="4" w:space="0" w:color="auto"/>
            </w:tcBorders>
            <w:vAlign w:val="center"/>
          </w:tcPr>
          <w:p w14:paraId="17248EAD" w14:textId="0F7F4D83" w:rsidR="002B7823" w:rsidRPr="00C2587D" w:rsidRDefault="002B7823" w:rsidP="002B7823">
            <w:pPr>
              <w:jc w:val="center"/>
              <w:rPr>
                <w:rFonts w:cs="Arial"/>
                <w:b/>
                <w:sz w:val="20"/>
                <w:szCs w:val="20"/>
                <w:lang w:eastAsia="it-IT"/>
              </w:rPr>
            </w:pPr>
            <w:r w:rsidRPr="00C2587D">
              <w:rPr>
                <w:rFonts w:cs="Arial"/>
                <w:b/>
                <w:sz w:val="20"/>
                <w:szCs w:val="20"/>
                <w:lang w:eastAsia="it-IT"/>
              </w:rPr>
              <w:t>10 000,0</w:t>
            </w:r>
          </w:p>
        </w:tc>
      </w:tr>
      <w:tr w:rsidR="002B7823" w:rsidRPr="00C2587D" w14:paraId="381600C9" w14:textId="77777777" w:rsidTr="006478C2">
        <w:trPr>
          <w:jc w:val="center"/>
        </w:trPr>
        <w:tc>
          <w:tcPr>
            <w:tcW w:w="5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16F93F" w14:textId="3A035632" w:rsidR="002B7823" w:rsidRPr="00C2587D" w:rsidRDefault="002B7823" w:rsidP="006478C2">
            <w:pPr>
              <w:rPr>
                <w:rFonts w:cs="Arial"/>
                <w:sz w:val="20"/>
                <w:szCs w:val="20"/>
                <w:lang w:eastAsia="uk-UA"/>
              </w:rPr>
            </w:pPr>
            <w:r w:rsidRPr="00C2587D">
              <w:rPr>
                <w:rFonts w:cs="Arial"/>
                <w:sz w:val="20"/>
                <w:szCs w:val="20"/>
                <w:lang w:eastAsia="uk-UA"/>
              </w:rPr>
              <w:t>26.</w:t>
            </w:r>
          </w:p>
        </w:tc>
        <w:tc>
          <w:tcPr>
            <w:tcW w:w="4521" w:type="dxa"/>
            <w:tcBorders>
              <w:top w:val="single" w:sz="4" w:space="0" w:color="auto"/>
              <w:bottom w:val="single" w:sz="4" w:space="0" w:color="auto"/>
              <w:right w:val="single" w:sz="4" w:space="0" w:color="auto"/>
            </w:tcBorders>
            <w:shd w:val="clear" w:color="auto" w:fill="auto"/>
            <w:vAlign w:val="center"/>
          </w:tcPr>
          <w:p w14:paraId="5E64EDF4" w14:textId="21CD5303" w:rsidR="002B7823" w:rsidRPr="00C2587D" w:rsidRDefault="002B7823" w:rsidP="006478C2">
            <w:pPr>
              <w:spacing w:before="40" w:after="40"/>
              <w:jc w:val="both"/>
              <w:rPr>
                <w:rFonts w:cs="Arial"/>
                <w:sz w:val="20"/>
                <w:szCs w:val="20"/>
                <w:lang w:eastAsia="it-IT"/>
              </w:rPr>
            </w:pPr>
            <w:r w:rsidRPr="00C2587D">
              <w:rPr>
                <w:rFonts w:eastAsia="Arial"/>
                <w:sz w:val="20"/>
                <w:szCs w:val="20"/>
              </w:rPr>
              <w:t>Нове будівництво мереж водопостачання в с Щученці,  Жмеринського району Вінницької області</w:t>
            </w:r>
          </w:p>
        </w:tc>
        <w:tc>
          <w:tcPr>
            <w:tcW w:w="1162" w:type="dxa"/>
            <w:tcBorders>
              <w:top w:val="nil"/>
              <w:left w:val="single" w:sz="4" w:space="0" w:color="auto"/>
              <w:bottom w:val="single" w:sz="4" w:space="0" w:color="auto"/>
              <w:right w:val="single" w:sz="4" w:space="0" w:color="auto"/>
            </w:tcBorders>
            <w:shd w:val="clear" w:color="auto" w:fill="auto"/>
            <w:vAlign w:val="center"/>
          </w:tcPr>
          <w:p w14:paraId="6109A472" w14:textId="77777777" w:rsidR="002B7823" w:rsidRPr="00C2587D" w:rsidRDefault="002B7823" w:rsidP="002B7823">
            <w:pPr>
              <w:jc w:val="center"/>
              <w:rPr>
                <w:rFonts w:cs="Arial"/>
                <w:sz w:val="20"/>
                <w:szCs w:val="20"/>
                <w:lang w:eastAsia="it-IT"/>
              </w:rPr>
            </w:pPr>
          </w:p>
        </w:tc>
        <w:tc>
          <w:tcPr>
            <w:tcW w:w="1329" w:type="dxa"/>
            <w:tcBorders>
              <w:top w:val="nil"/>
              <w:left w:val="nil"/>
              <w:bottom w:val="single" w:sz="4" w:space="0" w:color="auto"/>
              <w:right w:val="single" w:sz="4" w:space="0" w:color="auto"/>
            </w:tcBorders>
            <w:shd w:val="clear" w:color="auto" w:fill="auto"/>
            <w:vAlign w:val="center"/>
          </w:tcPr>
          <w:p w14:paraId="49F69E74" w14:textId="5CF66B50" w:rsidR="002B7823" w:rsidRPr="00C2587D" w:rsidRDefault="002B7823" w:rsidP="002B7823">
            <w:pPr>
              <w:jc w:val="center"/>
              <w:rPr>
                <w:rFonts w:cs="Arial"/>
                <w:sz w:val="20"/>
                <w:szCs w:val="20"/>
                <w:lang w:eastAsia="it-IT"/>
              </w:rPr>
            </w:pPr>
            <w:r w:rsidRPr="00C2587D">
              <w:rPr>
                <w:rFonts w:cs="Arial"/>
                <w:sz w:val="20"/>
                <w:szCs w:val="20"/>
                <w:lang w:eastAsia="it-IT"/>
              </w:rPr>
              <w:t>10 000,0</w:t>
            </w:r>
          </w:p>
        </w:tc>
        <w:tc>
          <w:tcPr>
            <w:tcW w:w="1273" w:type="dxa"/>
            <w:tcBorders>
              <w:top w:val="nil"/>
              <w:left w:val="nil"/>
              <w:bottom w:val="single" w:sz="4" w:space="0" w:color="auto"/>
              <w:right w:val="single" w:sz="4" w:space="0" w:color="auto"/>
            </w:tcBorders>
            <w:shd w:val="clear" w:color="auto" w:fill="auto"/>
            <w:vAlign w:val="center"/>
          </w:tcPr>
          <w:p w14:paraId="15299758" w14:textId="77777777" w:rsidR="002B7823" w:rsidRPr="00C2587D" w:rsidRDefault="002B7823" w:rsidP="002B7823">
            <w:pPr>
              <w:jc w:val="center"/>
              <w:rPr>
                <w:rFonts w:cs="Arial"/>
                <w:sz w:val="20"/>
                <w:szCs w:val="20"/>
                <w:lang w:eastAsia="it-IT"/>
              </w:rPr>
            </w:pPr>
          </w:p>
        </w:tc>
        <w:tc>
          <w:tcPr>
            <w:tcW w:w="1273" w:type="dxa"/>
            <w:tcBorders>
              <w:top w:val="nil"/>
              <w:left w:val="nil"/>
              <w:bottom w:val="single" w:sz="4" w:space="0" w:color="auto"/>
              <w:right w:val="single" w:sz="4" w:space="0" w:color="auto"/>
            </w:tcBorders>
            <w:shd w:val="clear" w:color="auto" w:fill="auto"/>
            <w:vAlign w:val="center"/>
          </w:tcPr>
          <w:p w14:paraId="779FBE37" w14:textId="77777777" w:rsidR="002B7823" w:rsidRPr="00C2587D" w:rsidRDefault="002B7823" w:rsidP="002B7823">
            <w:pPr>
              <w:jc w:val="center"/>
              <w:rPr>
                <w:rFonts w:cs="Arial"/>
                <w:sz w:val="20"/>
                <w:szCs w:val="20"/>
                <w:lang w:eastAsia="it-IT"/>
              </w:rPr>
            </w:pPr>
          </w:p>
        </w:tc>
        <w:tc>
          <w:tcPr>
            <w:tcW w:w="1217" w:type="dxa"/>
            <w:tcBorders>
              <w:top w:val="nil"/>
              <w:left w:val="nil"/>
              <w:bottom w:val="single" w:sz="4" w:space="0" w:color="auto"/>
              <w:right w:val="single" w:sz="4" w:space="0" w:color="auto"/>
            </w:tcBorders>
            <w:vAlign w:val="center"/>
          </w:tcPr>
          <w:p w14:paraId="46514D79" w14:textId="747FB201" w:rsidR="002B7823" w:rsidRPr="00C2587D" w:rsidRDefault="002B7823" w:rsidP="002B7823">
            <w:pPr>
              <w:jc w:val="center"/>
              <w:rPr>
                <w:rFonts w:cs="Arial"/>
                <w:b/>
                <w:sz w:val="20"/>
                <w:szCs w:val="20"/>
                <w:lang w:eastAsia="it-IT"/>
              </w:rPr>
            </w:pPr>
            <w:r w:rsidRPr="00C2587D">
              <w:rPr>
                <w:rFonts w:cs="Arial"/>
                <w:b/>
                <w:sz w:val="20"/>
                <w:szCs w:val="20"/>
                <w:lang w:eastAsia="it-IT"/>
              </w:rPr>
              <w:t>10 000,0</w:t>
            </w:r>
          </w:p>
        </w:tc>
      </w:tr>
      <w:tr w:rsidR="002B7823" w:rsidRPr="00C2587D" w14:paraId="46ADC894" w14:textId="77777777" w:rsidTr="006478C2">
        <w:trPr>
          <w:jc w:val="center"/>
        </w:trPr>
        <w:tc>
          <w:tcPr>
            <w:tcW w:w="5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28F317" w14:textId="2D0E8B5D" w:rsidR="002B7823" w:rsidRPr="00C2587D" w:rsidRDefault="002B7823" w:rsidP="006478C2">
            <w:pPr>
              <w:rPr>
                <w:rFonts w:cs="Arial"/>
                <w:sz w:val="20"/>
                <w:szCs w:val="20"/>
                <w:lang w:eastAsia="uk-UA"/>
              </w:rPr>
            </w:pPr>
            <w:r w:rsidRPr="00C2587D">
              <w:rPr>
                <w:rFonts w:cs="Arial"/>
                <w:sz w:val="20"/>
                <w:szCs w:val="20"/>
                <w:lang w:eastAsia="uk-UA"/>
              </w:rPr>
              <w:t>27.</w:t>
            </w:r>
          </w:p>
        </w:tc>
        <w:tc>
          <w:tcPr>
            <w:tcW w:w="4521" w:type="dxa"/>
            <w:tcBorders>
              <w:top w:val="single" w:sz="4" w:space="0" w:color="auto"/>
              <w:bottom w:val="single" w:sz="4" w:space="0" w:color="auto"/>
              <w:right w:val="single" w:sz="4" w:space="0" w:color="auto"/>
            </w:tcBorders>
            <w:shd w:val="clear" w:color="auto" w:fill="auto"/>
            <w:vAlign w:val="center"/>
          </w:tcPr>
          <w:p w14:paraId="21028B8E" w14:textId="61DCB750" w:rsidR="002B7823" w:rsidRPr="00C2587D" w:rsidRDefault="002B7823" w:rsidP="006478C2">
            <w:pPr>
              <w:spacing w:before="40" w:after="40"/>
              <w:jc w:val="both"/>
              <w:rPr>
                <w:rFonts w:cs="Arial"/>
                <w:sz w:val="20"/>
                <w:szCs w:val="20"/>
                <w:lang w:eastAsia="it-IT"/>
              </w:rPr>
            </w:pPr>
            <w:r w:rsidRPr="00C2587D">
              <w:rPr>
                <w:rFonts w:eastAsia="Arial"/>
                <w:sz w:val="20"/>
                <w:szCs w:val="20"/>
              </w:rPr>
              <w:t>Реконструкція мереж водопостачання по вулиці Центральна, Нова, 8-го Березня, Монастирська, Північна, Миколи Лисинка, Різдвяна та Володимира Забаштанського в селищі Браїлів, Жмеринського району, Вінницької області</w:t>
            </w:r>
          </w:p>
        </w:tc>
        <w:tc>
          <w:tcPr>
            <w:tcW w:w="1162" w:type="dxa"/>
            <w:tcBorders>
              <w:top w:val="nil"/>
              <w:left w:val="single" w:sz="4" w:space="0" w:color="auto"/>
              <w:bottom w:val="single" w:sz="4" w:space="0" w:color="auto"/>
              <w:right w:val="single" w:sz="4" w:space="0" w:color="auto"/>
            </w:tcBorders>
            <w:shd w:val="clear" w:color="auto" w:fill="auto"/>
            <w:vAlign w:val="center"/>
          </w:tcPr>
          <w:p w14:paraId="79B08406" w14:textId="6B716814" w:rsidR="002B7823" w:rsidRPr="00C2587D" w:rsidRDefault="002B7823" w:rsidP="002B7823">
            <w:pPr>
              <w:jc w:val="center"/>
              <w:rPr>
                <w:rFonts w:cs="Arial"/>
                <w:sz w:val="20"/>
                <w:szCs w:val="20"/>
                <w:lang w:eastAsia="it-IT"/>
              </w:rPr>
            </w:pPr>
            <w:r w:rsidRPr="00C2587D">
              <w:rPr>
                <w:rFonts w:cs="Arial"/>
                <w:sz w:val="20"/>
                <w:szCs w:val="20"/>
                <w:lang w:eastAsia="it-IT"/>
              </w:rPr>
              <w:t>400,0</w:t>
            </w:r>
          </w:p>
        </w:tc>
        <w:tc>
          <w:tcPr>
            <w:tcW w:w="1329" w:type="dxa"/>
            <w:tcBorders>
              <w:top w:val="nil"/>
              <w:left w:val="nil"/>
              <w:bottom w:val="single" w:sz="4" w:space="0" w:color="auto"/>
              <w:right w:val="single" w:sz="4" w:space="0" w:color="auto"/>
            </w:tcBorders>
            <w:shd w:val="clear" w:color="auto" w:fill="auto"/>
            <w:vAlign w:val="center"/>
          </w:tcPr>
          <w:p w14:paraId="03C5D84A" w14:textId="78B2B64E" w:rsidR="002B7823" w:rsidRPr="00C2587D" w:rsidRDefault="002B7823" w:rsidP="002B7823">
            <w:pPr>
              <w:jc w:val="center"/>
              <w:rPr>
                <w:rFonts w:cs="Arial"/>
                <w:sz w:val="20"/>
                <w:szCs w:val="20"/>
                <w:lang w:eastAsia="it-IT"/>
              </w:rPr>
            </w:pPr>
            <w:r w:rsidRPr="00C2587D">
              <w:rPr>
                <w:rFonts w:cs="Arial"/>
                <w:sz w:val="20"/>
                <w:szCs w:val="20"/>
                <w:lang w:eastAsia="it-IT"/>
              </w:rPr>
              <w:t>1 000,0</w:t>
            </w:r>
          </w:p>
        </w:tc>
        <w:tc>
          <w:tcPr>
            <w:tcW w:w="1273" w:type="dxa"/>
            <w:tcBorders>
              <w:top w:val="nil"/>
              <w:left w:val="nil"/>
              <w:bottom w:val="single" w:sz="4" w:space="0" w:color="auto"/>
              <w:right w:val="single" w:sz="4" w:space="0" w:color="auto"/>
            </w:tcBorders>
            <w:shd w:val="clear" w:color="auto" w:fill="auto"/>
            <w:vAlign w:val="center"/>
          </w:tcPr>
          <w:p w14:paraId="580736F8" w14:textId="7B08D607" w:rsidR="002B7823" w:rsidRPr="00C2587D" w:rsidRDefault="002B7823" w:rsidP="002B7823">
            <w:pPr>
              <w:jc w:val="center"/>
              <w:rPr>
                <w:rFonts w:cs="Arial"/>
                <w:sz w:val="20"/>
                <w:szCs w:val="20"/>
                <w:lang w:eastAsia="it-IT"/>
              </w:rPr>
            </w:pPr>
            <w:r w:rsidRPr="00C2587D">
              <w:rPr>
                <w:rFonts w:cs="Arial"/>
                <w:sz w:val="20"/>
                <w:szCs w:val="20"/>
                <w:lang w:eastAsia="it-IT"/>
              </w:rPr>
              <w:t>1 000,0</w:t>
            </w:r>
          </w:p>
        </w:tc>
        <w:tc>
          <w:tcPr>
            <w:tcW w:w="1273" w:type="dxa"/>
            <w:tcBorders>
              <w:top w:val="nil"/>
              <w:left w:val="nil"/>
              <w:bottom w:val="single" w:sz="4" w:space="0" w:color="auto"/>
              <w:right w:val="single" w:sz="4" w:space="0" w:color="auto"/>
            </w:tcBorders>
            <w:shd w:val="clear" w:color="auto" w:fill="auto"/>
            <w:vAlign w:val="center"/>
          </w:tcPr>
          <w:p w14:paraId="27D4A8C1" w14:textId="77777777" w:rsidR="002B7823" w:rsidRPr="00C2587D" w:rsidRDefault="002B7823" w:rsidP="002B7823">
            <w:pPr>
              <w:jc w:val="center"/>
              <w:rPr>
                <w:rFonts w:cs="Arial"/>
                <w:sz w:val="20"/>
                <w:szCs w:val="20"/>
                <w:lang w:eastAsia="it-IT"/>
              </w:rPr>
            </w:pPr>
          </w:p>
        </w:tc>
        <w:tc>
          <w:tcPr>
            <w:tcW w:w="1217" w:type="dxa"/>
            <w:tcBorders>
              <w:top w:val="nil"/>
              <w:left w:val="nil"/>
              <w:bottom w:val="single" w:sz="4" w:space="0" w:color="auto"/>
              <w:right w:val="single" w:sz="4" w:space="0" w:color="auto"/>
            </w:tcBorders>
            <w:vAlign w:val="center"/>
          </w:tcPr>
          <w:p w14:paraId="245AB3BB" w14:textId="1D07C8F3" w:rsidR="002B7823" w:rsidRPr="00C2587D" w:rsidRDefault="002B7823" w:rsidP="002B7823">
            <w:pPr>
              <w:jc w:val="center"/>
              <w:rPr>
                <w:rFonts w:cs="Arial"/>
                <w:b/>
                <w:sz w:val="20"/>
                <w:szCs w:val="20"/>
                <w:lang w:eastAsia="it-IT"/>
              </w:rPr>
            </w:pPr>
            <w:r w:rsidRPr="00C2587D">
              <w:rPr>
                <w:rFonts w:cs="Arial"/>
                <w:b/>
                <w:sz w:val="20"/>
                <w:szCs w:val="20"/>
                <w:lang w:eastAsia="it-IT"/>
              </w:rPr>
              <w:t>2 400,0</w:t>
            </w:r>
          </w:p>
        </w:tc>
      </w:tr>
      <w:tr w:rsidR="002B7823" w:rsidRPr="00C2587D" w14:paraId="2D1B48FA" w14:textId="77777777" w:rsidTr="006478C2">
        <w:trPr>
          <w:jc w:val="center"/>
        </w:trPr>
        <w:tc>
          <w:tcPr>
            <w:tcW w:w="5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703CF1" w14:textId="22054867" w:rsidR="002B7823" w:rsidRPr="00C2587D" w:rsidRDefault="002B7823" w:rsidP="006478C2">
            <w:pPr>
              <w:rPr>
                <w:rFonts w:cs="Arial"/>
                <w:sz w:val="20"/>
                <w:szCs w:val="20"/>
                <w:lang w:eastAsia="uk-UA"/>
              </w:rPr>
            </w:pPr>
            <w:r w:rsidRPr="00C2587D">
              <w:rPr>
                <w:rFonts w:cs="Arial"/>
                <w:sz w:val="20"/>
                <w:szCs w:val="20"/>
                <w:lang w:eastAsia="uk-UA"/>
              </w:rPr>
              <w:t>28.</w:t>
            </w:r>
          </w:p>
        </w:tc>
        <w:tc>
          <w:tcPr>
            <w:tcW w:w="4521" w:type="dxa"/>
            <w:tcBorders>
              <w:top w:val="single" w:sz="4" w:space="0" w:color="auto"/>
              <w:bottom w:val="single" w:sz="4" w:space="0" w:color="auto"/>
              <w:right w:val="single" w:sz="4" w:space="0" w:color="auto"/>
            </w:tcBorders>
            <w:shd w:val="clear" w:color="auto" w:fill="auto"/>
            <w:vAlign w:val="center"/>
          </w:tcPr>
          <w:p w14:paraId="28DED5E6" w14:textId="4EB4D63D" w:rsidR="002B7823" w:rsidRPr="00C2587D" w:rsidRDefault="002B7823" w:rsidP="006478C2">
            <w:pPr>
              <w:spacing w:before="40" w:after="40"/>
              <w:jc w:val="both"/>
              <w:rPr>
                <w:rFonts w:eastAsia="Arial"/>
                <w:sz w:val="20"/>
                <w:szCs w:val="20"/>
              </w:rPr>
            </w:pPr>
            <w:r w:rsidRPr="00C2587D">
              <w:rPr>
                <w:rFonts w:eastAsia="Arial"/>
                <w:sz w:val="20"/>
                <w:szCs w:val="20"/>
              </w:rPr>
              <w:t xml:space="preserve">Реконструкція мереж водопостачання по вулиці Чайковського, Набережна, Садова та Лісова в селі Рів Жмеринського району, Вінницької області.  </w:t>
            </w:r>
          </w:p>
        </w:tc>
        <w:tc>
          <w:tcPr>
            <w:tcW w:w="1162" w:type="dxa"/>
            <w:tcBorders>
              <w:top w:val="nil"/>
              <w:left w:val="single" w:sz="4" w:space="0" w:color="auto"/>
              <w:bottom w:val="single" w:sz="4" w:space="0" w:color="auto"/>
              <w:right w:val="single" w:sz="4" w:space="0" w:color="auto"/>
            </w:tcBorders>
            <w:shd w:val="clear" w:color="auto" w:fill="auto"/>
            <w:vAlign w:val="center"/>
          </w:tcPr>
          <w:p w14:paraId="07C0A536" w14:textId="261D167F" w:rsidR="002B7823" w:rsidRPr="00C2587D" w:rsidRDefault="002B7823" w:rsidP="002B7823">
            <w:pPr>
              <w:jc w:val="center"/>
              <w:rPr>
                <w:rFonts w:cs="Arial"/>
                <w:sz w:val="20"/>
                <w:szCs w:val="20"/>
                <w:lang w:eastAsia="it-IT"/>
              </w:rPr>
            </w:pPr>
          </w:p>
        </w:tc>
        <w:tc>
          <w:tcPr>
            <w:tcW w:w="1329" w:type="dxa"/>
            <w:tcBorders>
              <w:top w:val="nil"/>
              <w:left w:val="nil"/>
              <w:bottom w:val="single" w:sz="4" w:space="0" w:color="auto"/>
              <w:right w:val="single" w:sz="4" w:space="0" w:color="auto"/>
            </w:tcBorders>
            <w:shd w:val="clear" w:color="auto" w:fill="auto"/>
            <w:vAlign w:val="center"/>
          </w:tcPr>
          <w:p w14:paraId="048EB521" w14:textId="0A8BB256" w:rsidR="002B7823" w:rsidRPr="00C2587D" w:rsidRDefault="002B7823" w:rsidP="002B7823">
            <w:pPr>
              <w:jc w:val="center"/>
              <w:rPr>
                <w:rFonts w:cs="Arial"/>
                <w:sz w:val="20"/>
                <w:szCs w:val="20"/>
                <w:lang w:eastAsia="it-IT"/>
              </w:rPr>
            </w:pPr>
            <w:r w:rsidRPr="00C2587D">
              <w:rPr>
                <w:rFonts w:cs="Arial"/>
                <w:sz w:val="20"/>
                <w:szCs w:val="20"/>
                <w:lang w:eastAsia="it-IT"/>
              </w:rPr>
              <w:t>200,0</w:t>
            </w:r>
          </w:p>
        </w:tc>
        <w:tc>
          <w:tcPr>
            <w:tcW w:w="1273" w:type="dxa"/>
            <w:tcBorders>
              <w:top w:val="nil"/>
              <w:left w:val="nil"/>
              <w:bottom w:val="single" w:sz="4" w:space="0" w:color="auto"/>
              <w:right w:val="single" w:sz="4" w:space="0" w:color="auto"/>
            </w:tcBorders>
            <w:shd w:val="clear" w:color="auto" w:fill="auto"/>
            <w:vAlign w:val="center"/>
          </w:tcPr>
          <w:p w14:paraId="71C7626A" w14:textId="2C454E5B" w:rsidR="002B7823" w:rsidRPr="00C2587D" w:rsidRDefault="002B7823" w:rsidP="002B7823">
            <w:pPr>
              <w:jc w:val="center"/>
              <w:rPr>
                <w:rFonts w:cs="Arial"/>
                <w:sz w:val="20"/>
                <w:szCs w:val="20"/>
                <w:lang w:eastAsia="it-IT"/>
              </w:rPr>
            </w:pPr>
            <w:r w:rsidRPr="00C2587D">
              <w:rPr>
                <w:rFonts w:cs="Arial"/>
                <w:sz w:val="20"/>
                <w:szCs w:val="20"/>
                <w:lang w:eastAsia="it-IT"/>
              </w:rPr>
              <w:t>1 300,0</w:t>
            </w:r>
          </w:p>
        </w:tc>
        <w:tc>
          <w:tcPr>
            <w:tcW w:w="1273" w:type="dxa"/>
            <w:tcBorders>
              <w:top w:val="nil"/>
              <w:left w:val="nil"/>
              <w:bottom w:val="single" w:sz="4" w:space="0" w:color="auto"/>
              <w:right w:val="single" w:sz="4" w:space="0" w:color="auto"/>
            </w:tcBorders>
            <w:shd w:val="clear" w:color="auto" w:fill="auto"/>
            <w:vAlign w:val="center"/>
          </w:tcPr>
          <w:p w14:paraId="09177BE4" w14:textId="77777777" w:rsidR="002B7823" w:rsidRPr="00C2587D" w:rsidRDefault="002B7823" w:rsidP="002B7823">
            <w:pPr>
              <w:jc w:val="center"/>
              <w:rPr>
                <w:rFonts w:cs="Arial"/>
                <w:sz w:val="20"/>
                <w:szCs w:val="20"/>
                <w:lang w:eastAsia="it-IT"/>
              </w:rPr>
            </w:pPr>
          </w:p>
        </w:tc>
        <w:tc>
          <w:tcPr>
            <w:tcW w:w="1217" w:type="dxa"/>
            <w:tcBorders>
              <w:top w:val="nil"/>
              <w:left w:val="nil"/>
              <w:bottom w:val="single" w:sz="4" w:space="0" w:color="auto"/>
              <w:right w:val="single" w:sz="4" w:space="0" w:color="auto"/>
            </w:tcBorders>
            <w:vAlign w:val="center"/>
          </w:tcPr>
          <w:p w14:paraId="64F88536" w14:textId="79DBCCFA" w:rsidR="002B7823" w:rsidRPr="00C2587D" w:rsidRDefault="002B7823" w:rsidP="002B7823">
            <w:pPr>
              <w:jc w:val="center"/>
              <w:rPr>
                <w:rFonts w:cs="Arial"/>
                <w:b/>
                <w:sz w:val="20"/>
                <w:szCs w:val="20"/>
                <w:lang w:eastAsia="it-IT"/>
              </w:rPr>
            </w:pPr>
            <w:r w:rsidRPr="00C2587D">
              <w:rPr>
                <w:rFonts w:cs="Arial"/>
                <w:b/>
                <w:sz w:val="20"/>
                <w:szCs w:val="20"/>
                <w:lang w:eastAsia="it-IT"/>
              </w:rPr>
              <w:t>1 500,0</w:t>
            </w:r>
          </w:p>
        </w:tc>
      </w:tr>
      <w:tr w:rsidR="002B7823" w:rsidRPr="00C2587D" w14:paraId="71F1DB37" w14:textId="77777777" w:rsidTr="006478C2">
        <w:trPr>
          <w:jc w:val="center"/>
        </w:trPr>
        <w:tc>
          <w:tcPr>
            <w:tcW w:w="5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B06848" w14:textId="3FB7542F" w:rsidR="002B7823" w:rsidRPr="00C2587D" w:rsidRDefault="002B7823" w:rsidP="006478C2">
            <w:pPr>
              <w:rPr>
                <w:rFonts w:cs="Arial"/>
                <w:sz w:val="20"/>
                <w:szCs w:val="20"/>
                <w:lang w:eastAsia="uk-UA"/>
              </w:rPr>
            </w:pPr>
            <w:r w:rsidRPr="00C2587D">
              <w:rPr>
                <w:rFonts w:cs="Arial"/>
                <w:sz w:val="20"/>
                <w:szCs w:val="20"/>
                <w:lang w:eastAsia="uk-UA"/>
              </w:rPr>
              <w:t>29.</w:t>
            </w:r>
          </w:p>
        </w:tc>
        <w:tc>
          <w:tcPr>
            <w:tcW w:w="4521" w:type="dxa"/>
            <w:tcBorders>
              <w:top w:val="single" w:sz="4" w:space="0" w:color="auto"/>
              <w:left w:val="nil"/>
              <w:bottom w:val="single" w:sz="4" w:space="0" w:color="auto"/>
              <w:right w:val="single" w:sz="4" w:space="0" w:color="auto"/>
            </w:tcBorders>
            <w:shd w:val="clear" w:color="auto" w:fill="auto"/>
            <w:vAlign w:val="center"/>
          </w:tcPr>
          <w:p w14:paraId="289D5824" w14:textId="00537D73" w:rsidR="002B7823" w:rsidRPr="00C2587D" w:rsidRDefault="002B7823" w:rsidP="006478C2">
            <w:pPr>
              <w:spacing w:before="40" w:after="40"/>
              <w:jc w:val="both"/>
              <w:rPr>
                <w:rFonts w:eastAsia="Arial"/>
                <w:sz w:val="20"/>
                <w:szCs w:val="20"/>
              </w:rPr>
            </w:pPr>
            <w:r w:rsidRPr="00C2587D">
              <w:rPr>
                <w:sz w:val="20"/>
                <w:szCs w:val="20"/>
                <w:lang w:eastAsia="it-IT"/>
              </w:rPr>
              <w:t>Реконструкція мереж водовідведення в селищі Браїлів, Жмеринського району, Вінницької області</w:t>
            </w:r>
          </w:p>
        </w:tc>
        <w:tc>
          <w:tcPr>
            <w:tcW w:w="1162" w:type="dxa"/>
            <w:tcBorders>
              <w:top w:val="nil"/>
              <w:left w:val="nil"/>
              <w:bottom w:val="single" w:sz="4" w:space="0" w:color="auto"/>
              <w:right w:val="single" w:sz="4" w:space="0" w:color="auto"/>
            </w:tcBorders>
            <w:shd w:val="clear" w:color="auto" w:fill="auto"/>
            <w:vAlign w:val="center"/>
          </w:tcPr>
          <w:p w14:paraId="374B2995" w14:textId="77777777" w:rsidR="002B7823" w:rsidRPr="00C2587D" w:rsidRDefault="002B7823" w:rsidP="002B7823">
            <w:pPr>
              <w:jc w:val="center"/>
              <w:rPr>
                <w:rFonts w:cs="Arial"/>
                <w:sz w:val="20"/>
                <w:szCs w:val="20"/>
                <w:lang w:eastAsia="it-IT"/>
              </w:rPr>
            </w:pPr>
          </w:p>
        </w:tc>
        <w:tc>
          <w:tcPr>
            <w:tcW w:w="1329" w:type="dxa"/>
            <w:tcBorders>
              <w:top w:val="nil"/>
              <w:left w:val="nil"/>
              <w:bottom w:val="single" w:sz="4" w:space="0" w:color="auto"/>
              <w:right w:val="single" w:sz="4" w:space="0" w:color="auto"/>
            </w:tcBorders>
            <w:shd w:val="clear" w:color="auto" w:fill="auto"/>
            <w:vAlign w:val="center"/>
          </w:tcPr>
          <w:p w14:paraId="5986FE10" w14:textId="1E00442D" w:rsidR="002B7823" w:rsidRPr="00C2587D" w:rsidRDefault="002B7823" w:rsidP="002B7823">
            <w:pPr>
              <w:jc w:val="center"/>
              <w:rPr>
                <w:rFonts w:cs="Arial"/>
                <w:sz w:val="20"/>
                <w:szCs w:val="20"/>
                <w:lang w:eastAsia="it-IT"/>
              </w:rPr>
            </w:pPr>
            <w:r w:rsidRPr="00C2587D">
              <w:rPr>
                <w:rFonts w:cs="Arial"/>
                <w:sz w:val="20"/>
                <w:szCs w:val="20"/>
                <w:lang w:eastAsia="it-IT"/>
              </w:rPr>
              <w:t>500,0</w:t>
            </w:r>
          </w:p>
        </w:tc>
        <w:tc>
          <w:tcPr>
            <w:tcW w:w="1273" w:type="dxa"/>
            <w:tcBorders>
              <w:top w:val="nil"/>
              <w:left w:val="nil"/>
              <w:bottom w:val="single" w:sz="4" w:space="0" w:color="auto"/>
              <w:right w:val="single" w:sz="4" w:space="0" w:color="auto"/>
            </w:tcBorders>
            <w:shd w:val="clear" w:color="auto" w:fill="auto"/>
            <w:vAlign w:val="center"/>
          </w:tcPr>
          <w:p w14:paraId="2ACD89D9" w14:textId="0B4429F3" w:rsidR="002B7823" w:rsidRPr="00C2587D" w:rsidRDefault="002B7823" w:rsidP="002B7823">
            <w:pPr>
              <w:jc w:val="center"/>
              <w:rPr>
                <w:rFonts w:cs="Arial"/>
                <w:sz w:val="20"/>
                <w:szCs w:val="20"/>
                <w:lang w:eastAsia="it-IT"/>
              </w:rPr>
            </w:pPr>
            <w:r w:rsidRPr="00C2587D">
              <w:rPr>
                <w:rFonts w:cs="Arial"/>
                <w:sz w:val="20"/>
                <w:szCs w:val="20"/>
                <w:lang w:eastAsia="it-IT"/>
              </w:rPr>
              <w:t>4 000,0</w:t>
            </w:r>
          </w:p>
        </w:tc>
        <w:tc>
          <w:tcPr>
            <w:tcW w:w="1273" w:type="dxa"/>
            <w:tcBorders>
              <w:top w:val="nil"/>
              <w:left w:val="nil"/>
              <w:bottom w:val="single" w:sz="4" w:space="0" w:color="auto"/>
              <w:right w:val="single" w:sz="4" w:space="0" w:color="auto"/>
            </w:tcBorders>
            <w:shd w:val="clear" w:color="auto" w:fill="auto"/>
            <w:vAlign w:val="center"/>
          </w:tcPr>
          <w:p w14:paraId="2A2E2219" w14:textId="77777777" w:rsidR="002B7823" w:rsidRPr="00C2587D" w:rsidRDefault="002B7823" w:rsidP="002B7823">
            <w:pPr>
              <w:jc w:val="center"/>
              <w:rPr>
                <w:rFonts w:cs="Arial"/>
                <w:sz w:val="20"/>
                <w:szCs w:val="20"/>
                <w:lang w:eastAsia="it-IT"/>
              </w:rPr>
            </w:pPr>
          </w:p>
        </w:tc>
        <w:tc>
          <w:tcPr>
            <w:tcW w:w="1217" w:type="dxa"/>
            <w:tcBorders>
              <w:top w:val="nil"/>
              <w:left w:val="nil"/>
              <w:bottom w:val="single" w:sz="4" w:space="0" w:color="auto"/>
              <w:right w:val="single" w:sz="4" w:space="0" w:color="auto"/>
            </w:tcBorders>
            <w:vAlign w:val="center"/>
          </w:tcPr>
          <w:p w14:paraId="46DEF1DF" w14:textId="510A0899" w:rsidR="002B7823" w:rsidRPr="00C2587D" w:rsidRDefault="002B7823" w:rsidP="002B7823">
            <w:pPr>
              <w:jc w:val="center"/>
              <w:rPr>
                <w:rFonts w:cs="Arial"/>
                <w:b/>
                <w:sz w:val="20"/>
                <w:szCs w:val="20"/>
                <w:lang w:eastAsia="it-IT"/>
              </w:rPr>
            </w:pPr>
            <w:r w:rsidRPr="00C2587D">
              <w:rPr>
                <w:rFonts w:cs="Arial"/>
                <w:b/>
                <w:sz w:val="20"/>
                <w:szCs w:val="20"/>
                <w:lang w:eastAsia="it-IT"/>
              </w:rPr>
              <w:t>4 500,0</w:t>
            </w:r>
          </w:p>
        </w:tc>
      </w:tr>
      <w:tr w:rsidR="002B7823" w:rsidRPr="00C2587D" w14:paraId="76B8366B" w14:textId="77777777" w:rsidTr="006478C2">
        <w:trPr>
          <w:jc w:val="center"/>
        </w:trPr>
        <w:tc>
          <w:tcPr>
            <w:tcW w:w="5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F49FB9" w14:textId="772574D3" w:rsidR="002B7823" w:rsidRPr="00C2587D" w:rsidRDefault="002B7823" w:rsidP="006478C2">
            <w:pPr>
              <w:rPr>
                <w:rFonts w:cs="Arial"/>
                <w:sz w:val="20"/>
                <w:szCs w:val="20"/>
                <w:lang w:eastAsia="uk-UA"/>
              </w:rPr>
            </w:pPr>
            <w:r w:rsidRPr="00C2587D">
              <w:rPr>
                <w:rFonts w:cs="Arial"/>
                <w:sz w:val="20"/>
                <w:szCs w:val="20"/>
                <w:lang w:eastAsia="uk-UA"/>
              </w:rPr>
              <w:t>30.</w:t>
            </w:r>
          </w:p>
        </w:tc>
        <w:tc>
          <w:tcPr>
            <w:tcW w:w="4521" w:type="dxa"/>
            <w:tcBorders>
              <w:top w:val="single" w:sz="4" w:space="0" w:color="auto"/>
              <w:left w:val="nil"/>
              <w:bottom w:val="single" w:sz="4" w:space="0" w:color="auto"/>
              <w:right w:val="single" w:sz="4" w:space="0" w:color="auto"/>
            </w:tcBorders>
            <w:shd w:val="clear" w:color="auto" w:fill="auto"/>
            <w:vAlign w:val="center"/>
          </w:tcPr>
          <w:p w14:paraId="2AA03A66" w14:textId="08F8ADB4" w:rsidR="002B7823" w:rsidRPr="00C2587D" w:rsidRDefault="002B7823" w:rsidP="006478C2">
            <w:pPr>
              <w:spacing w:before="40" w:after="40"/>
              <w:jc w:val="both"/>
              <w:rPr>
                <w:rFonts w:cs="Arial"/>
                <w:sz w:val="20"/>
                <w:szCs w:val="20"/>
                <w:lang w:eastAsia="it-IT"/>
              </w:rPr>
            </w:pPr>
            <w:r w:rsidRPr="00C2587D">
              <w:rPr>
                <w:sz w:val="20"/>
                <w:szCs w:val="20"/>
                <w:lang w:eastAsia="it-IT"/>
              </w:rPr>
              <w:t>Реконструкція мереж водовідведення в селі Мартинівка, Жмеринського району, Вінницької області</w:t>
            </w:r>
          </w:p>
        </w:tc>
        <w:tc>
          <w:tcPr>
            <w:tcW w:w="1162" w:type="dxa"/>
            <w:tcBorders>
              <w:top w:val="nil"/>
              <w:left w:val="nil"/>
              <w:bottom w:val="single" w:sz="4" w:space="0" w:color="auto"/>
              <w:right w:val="single" w:sz="4" w:space="0" w:color="auto"/>
            </w:tcBorders>
            <w:shd w:val="clear" w:color="auto" w:fill="auto"/>
            <w:vAlign w:val="center"/>
          </w:tcPr>
          <w:p w14:paraId="5FED2BC0" w14:textId="472C76E1" w:rsidR="002B7823" w:rsidRPr="00C2587D" w:rsidRDefault="002B7823" w:rsidP="002B7823">
            <w:pPr>
              <w:jc w:val="center"/>
              <w:rPr>
                <w:rFonts w:cs="Arial"/>
                <w:sz w:val="20"/>
                <w:szCs w:val="20"/>
                <w:lang w:eastAsia="it-IT"/>
              </w:rPr>
            </w:pPr>
            <w:r w:rsidRPr="00C2587D">
              <w:rPr>
                <w:rFonts w:cs="Arial"/>
                <w:sz w:val="20"/>
                <w:szCs w:val="20"/>
                <w:lang w:eastAsia="it-IT"/>
              </w:rPr>
              <w:t>3 500,0</w:t>
            </w:r>
          </w:p>
        </w:tc>
        <w:tc>
          <w:tcPr>
            <w:tcW w:w="1329" w:type="dxa"/>
            <w:tcBorders>
              <w:top w:val="nil"/>
              <w:left w:val="nil"/>
              <w:bottom w:val="single" w:sz="4" w:space="0" w:color="auto"/>
              <w:right w:val="single" w:sz="4" w:space="0" w:color="auto"/>
            </w:tcBorders>
            <w:shd w:val="clear" w:color="auto" w:fill="auto"/>
            <w:vAlign w:val="center"/>
          </w:tcPr>
          <w:p w14:paraId="28B456A5" w14:textId="39CDEE90" w:rsidR="002B7823" w:rsidRPr="00C2587D" w:rsidRDefault="002B7823" w:rsidP="002B7823">
            <w:pPr>
              <w:jc w:val="center"/>
              <w:rPr>
                <w:rFonts w:cs="Arial"/>
                <w:sz w:val="20"/>
                <w:szCs w:val="20"/>
                <w:lang w:eastAsia="it-IT"/>
              </w:rPr>
            </w:pPr>
          </w:p>
        </w:tc>
        <w:tc>
          <w:tcPr>
            <w:tcW w:w="1273" w:type="dxa"/>
            <w:tcBorders>
              <w:top w:val="nil"/>
              <w:left w:val="nil"/>
              <w:bottom w:val="single" w:sz="4" w:space="0" w:color="auto"/>
              <w:right w:val="single" w:sz="4" w:space="0" w:color="auto"/>
            </w:tcBorders>
            <w:shd w:val="clear" w:color="auto" w:fill="auto"/>
            <w:vAlign w:val="center"/>
          </w:tcPr>
          <w:p w14:paraId="296CAF04" w14:textId="72581FEE" w:rsidR="002B7823" w:rsidRPr="00C2587D" w:rsidRDefault="002B7823" w:rsidP="002B7823">
            <w:pPr>
              <w:jc w:val="center"/>
              <w:rPr>
                <w:rFonts w:cs="Arial"/>
                <w:sz w:val="20"/>
                <w:szCs w:val="20"/>
                <w:lang w:eastAsia="it-IT"/>
              </w:rPr>
            </w:pPr>
          </w:p>
        </w:tc>
        <w:tc>
          <w:tcPr>
            <w:tcW w:w="1273" w:type="dxa"/>
            <w:tcBorders>
              <w:top w:val="nil"/>
              <w:left w:val="nil"/>
              <w:bottom w:val="single" w:sz="4" w:space="0" w:color="auto"/>
              <w:right w:val="single" w:sz="4" w:space="0" w:color="auto"/>
            </w:tcBorders>
            <w:shd w:val="clear" w:color="auto" w:fill="auto"/>
            <w:vAlign w:val="center"/>
          </w:tcPr>
          <w:p w14:paraId="4982F356" w14:textId="77777777" w:rsidR="002B7823" w:rsidRPr="00C2587D" w:rsidRDefault="002B7823" w:rsidP="002B7823">
            <w:pPr>
              <w:jc w:val="center"/>
              <w:rPr>
                <w:rFonts w:cs="Arial"/>
                <w:sz w:val="20"/>
                <w:szCs w:val="20"/>
                <w:lang w:eastAsia="it-IT"/>
              </w:rPr>
            </w:pPr>
          </w:p>
        </w:tc>
        <w:tc>
          <w:tcPr>
            <w:tcW w:w="1217" w:type="dxa"/>
            <w:tcBorders>
              <w:top w:val="nil"/>
              <w:left w:val="nil"/>
              <w:bottom w:val="single" w:sz="4" w:space="0" w:color="auto"/>
              <w:right w:val="single" w:sz="4" w:space="0" w:color="auto"/>
            </w:tcBorders>
            <w:vAlign w:val="center"/>
          </w:tcPr>
          <w:p w14:paraId="3FBDFDA3" w14:textId="0FD98130" w:rsidR="002B7823" w:rsidRPr="00C2587D" w:rsidRDefault="002B7823" w:rsidP="002B7823">
            <w:pPr>
              <w:jc w:val="center"/>
              <w:rPr>
                <w:rFonts w:cs="Arial"/>
                <w:b/>
                <w:sz w:val="20"/>
                <w:szCs w:val="20"/>
                <w:lang w:eastAsia="it-IT"/>
              </w:rPr>
            </w:pPr>
            <w:r w:rsidRPr="00C2587D">
              <w:rPr>
                <w:rFonts w:cs="Arial"/>
                <w:b/>
                <w:sz w:val="20"/>
                <w:szCs w:val="20"/>
                <w:lang w:eastAsia="it-IT"/>
              </w:rPr>
              <w:t>3 500,0</w:t>
            </w:r>
          </w:p>
        </w:tc>
      </w:tr>
      <w:tr w:rsidR="002B7823" w:rsidRPr="00C2587D" w14:paraId="18CB6687" w14:textId="77777777" w:rsidTr="006478C2">
        <w:trPr>
          <w:jc w:val="center"/>
        </w:trPr>
        <w:tc>
          <w:tcPr>
            <w:tcW w:w="5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5FC060" w14:textId="7A8B668D" w:rsidR="002B7823" w:rsidRPr="00C2587D" w:rsidRDefault="008315C4" w:rsidP="006478C2">
            <w:pPr>
              <w:rPr>
                <w:rFonts w:cs="Arial"/>
                <w:sz w:val="20"/>
                <w:szCs w:val="20"/>
                <w:lang w:eastAsia="uk-UA"/>
              </w:rPr>
            </w:pPr>
            <w:r>
              <w:rPr>
                <w:rFonts w:cs="Arial"/>
                <w:sz w:val="20"/>
                <w:szCs w:val="20"/>
                <w:lang w:eastAsia="uk-UA"/>
              </w:rPr>
              <w:t>31</w:t>
            </w:r>
            <w:r w:rsidR="002B7823" w:rsidRPr="00C2587D">
              <w:rPr>
                <w:rFonts w:cs="Arial"/>
                <w:sz w:val="20"/>
                <w:szCs w:val="20"/>
                <w:lang w:eastAsia="uk-UA"/>
              </w:rPr>
              <w:t>.</w:t>
            </w:r>
          </w:p>
        </w:tc>
        <w:tc>
          <w:tcPr>
            <w:tcW w:w="4521" w:type="dxa"/>
            <w:tcBorders>
              <w:top w:val="single" w:sz="4" w:space="0" w:color="auto"/>
              <w:left w:val="nil"/>
              <w:bottom w:val="single" w:sz="4" w:space="0" w:color="auto"/>
              <w:right w:val="single" w:sz="4" w:space="0" w:color="auto"/>
            </w:tcBorders>
            <w:shd w:val="clear" w:color="auto" w:fill="auto"/>
            <w:vAlign w:val="center"/>
          </w:tcPr>
          <w:p w14:paraId="1A641BF6" w14:textId="3EE2A63E" w:rsidR="002B7823" w:rsidRPr="00C2587D" w:rsidRDefault="002B7823" w:rsidP="006478C2">
            <w:pPr>
              <w:spacing w:before="40" w:after="40"/>
              <w:jc w:val="both"/>
              <w:rPr>
                <w:rFonts w:cs="Arial"/>
                <w:sz w:val="20"/>
                <w:szCs w:val="20"/>
                <w:lang w:eastAsia="it-IT"/>
              </w:rPr>
            </w:pPr>
            <w:r w:rsidRPr="00C2587D">
              <w:rPr>
                <w:rFonts w:cs="Arial"/>
                <w:sz w:val="20"/>
                <w:szCs w:val="20"/>
                <w:lang w:eastAsia="it-IT"/>
              </w:rPr>
              <w:t>Нове будівництво самопливної каналізації по площі Базарній, провулку Хлібний та провулку Базарний в м. Жмеринка</w:t>
            </w:r>
          </w:p>
        </w:tc>
        <w:tc>
          <w:tcPr>
            <w:tcW w:w="1162" w:type="dxa"/>
            <w:tcBorders>
              <w:top w:val="nil"/>
              <w:left w:val="nil"/>
              <w:bottom w:val="single" w:sz="4" w:space="0" w:color="auto"/>
              <w:right w:val="single" w:sz="4" w:space="0" w:color="auto"/>
            </w:tcBorders>
            <w:shd w:val="clear" w:color="auto" w:fill="auto"/>
            <w:vAlign w:val="center"/>
          </w:tcPr>
          <w:p w14:paraId="0D91743A" w14:textId="77777777" w:rsidR="002B7823" w:rsidRPr="00C2587D" w:rsidRDefault="002B7823" w:rsidP="002B7823">
            <w:pPr>
              <w:jc w:val="center"/>
              <w:rPr>
                <w:rFonts w:cs="Arial"/>
                <w:sz w:val="20"/>
                <w:szCs w:val="20"/>
                <w:lang w:eastAsia="it-IT"/>
              </w:rPr>
            </w:pPr>
          </w:p>
        </w:tc>
        <w:tc>
          <w:tcPr>
            <w:tcW w:w="1329" w:type="dxa"/>
            <w:tcBorders>
              <w:top w:val="nil"/>
              <w:left w:val="nil"/>
              <w:bottom w:val="single" w:sz="4" w:space="0" w:color="auto"/>
              <w:right w:val="single" w:sz="4" w:space="0" w:color="auto"/>
            </w:tcBorders>
            <w:shd w:val="clear" w:color="auto" w:fill="auto"/>
            <w:vAlign w:val="center"/>
          </w:tcPr>
          <w:p w14:paraId="20248FF7" w14:textId="18105C30" w:rsidR="002B7823" w:rsidRPr="00C2587D" w:rsidRDefault="002B7823" w:rsidP="002B7823">
            <w:pPr>
              <w:jc w:val="center"/>
              <w:rPr>
                <w:rFonts w:cs="Arial"/>
                <w:sz w:val="20"/>
                <w:szCs w:val="20"/>
                <w:lang w:eastAsia="it-IT"/>
              </w:rPr>
            </w:pPr>
            <w:r w:rsidRPr="00C2587D">
              <w:rPr>
                <w:rFonts w:cs="Arial"/>
                <w:sz w:val="20"/>
                <w:szCs w:val="20"/>
                <w:lang w:eastAsia="it-IT"/>
              </w:rPr>
              <w:t>957,8</w:t>
            </w:r>
          </w:p>
        </w:tc>
        <w:tc>
          <w:tcPr>
            <w:tcW w:w="1273" w:type="dxa"/>
            <w:tcBorders>
              <w:top w:val="nil"/>
              <w:left w:val="nil"/>
              <w:bottom w:val="single" w:sz="4" w:space="0" w:color="auto"/>
              <w:right w:val="single" w:sz="4" w:space="0" w:color="auto"/>
            </w:tcBorders>
            <w:shd w:val="clear" w:color="auto" w:fill="auto"/>
            <w:vAlign w:val="center"/>
          </w:tcPr>
          <w:p w14:paraId="35B3C7BB" w14:textId="77777777" w:rsidR="002B7823" w:rsidRPr="00C2587D" w:rsidRDefault="002B7823" w:rsidP="002B7823">
            <w:pPr>
              <w:jc w:val="center"/>
              <w:rPr>
                <w:rFonts w:cs="Arial"/>
                <w:sz w:val="20"/>
                <w:szCs w:val="20"/>
                <w:lang w:eastAsia="it-IT"/>
              </w:rPr>
            </w:pPr>
          </w:p>
        </w:tc>
        <w:tc>
          <w:tcPr>
            <w:tcW w:w="1273" w:type="dxa"/>
            <w:tcBorders>
              <w:top w:val="nil"/>
              <w:left w:val="nil"/>
              <w:bottom w:val="single" w:sz="4" w:space="0" w:color="auto"/>
              <w:right w:val="single" w:sz="4" w:space="0" w:color="auto"/>
            </w:tcBorders>
            <w:shd w:val="clear" w:color="auto" w:fill="auto"/>
            <w:vAlign w:val="center"/>
          </w:tcPr>
          <w:p w14:paraId="4D0211F9" w14:textId="77777777" w:rsidR="002B7823" w:rsidRPr="00C2587D" w:rsidRDefault="002B7823" w:rsidP="002B7823">
            <w:pPr>
              <w:jc w:val="center"/>
              <w:rPr>
                <w:rFonts w:cs="Arial"/>
                <w:sz w:val="20"/>
                <w:szCs w:val="20"/>
                <w:lang w:eastAsia="it-IT"/>
              </w:rPr>
            </w:pPr>
          </w:p>
        </w:tc>
        <w:tc>
          <w:tcPr>
            <w:tcW w:w="1217" w:type="dxa"/>
            <w:tcBorders>
              <w:top w:val="nil"/>
              <w:left w:val="nil"/>
              <w:bottom w:val="single" w:sz="4" w:space="0" w:color="auto"/>
              <w:right w:val="single" w:sz="4" w:space="0" w:color="auto"/>
            </w:tcBorders>
            <w:vAlign w:val="center"/>
          </w:tcPr>
          <w:p w14:paraId="63784A68" w14:textId="46AD51BD" w:rsidR="002B7823" w:rsidRPr="00C2587D" w:rsidRDefault="002B7823" w:rsidP="002B7823">
            <w:pPr>
              <w:jc w:val="center"/>
              <w:rPr>
                <w:rFonts w:cs="Arial"/>
                <w:b/>
                <w:sz w:val="20"/>
                <w:szCs w:val="20"/>
                <w:lang w:eastAsia="it-IT"/>
              </w:rPr>
            </w:pPr>
            <w:r w:rsidRPr="00C2587D">
              <w:rPr>
                <w:rFonts w:cs="Arial"/>
                <w:b/>
                <w:sz w:val="20"/>
                <w:szCs w:val="20"/>
                <w:lang w:eastAsia="it-IT"/>
              </w:rPr>
              <w:t>957,8</w:t>
            </w:r>
          </w:p>
        </w:tc>
      </w:tr>
      <w:tr w:rsidR="002B7823" w:rsidRPr="00C2587D" w14:paraId="2AB94D32" w14:textId="77777777" w:rsidTr="00682193">
        <w:trPr>
          <w:jc w:val="center"/>
        </w:trPr>
        <w:tc>
          <w:tcPr>
            <w:tcW w:w="5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514D1B" w14:textId="099FC1F4" w:rsidR="002B7823" w:rsidRPr="00C2587D" w:rsidRDefault="008315C4" w:rsidP="002B7823">
            <w:pPr>
              <w:jc w:val="both"/>
              <w:rPr>
                <w:rFonts w:cs="Arial"/>
                <w:sz w:val="20"/>
                <w:szCs w:val="20"/>
                <w:lang w:eastAsia="uk-UA"/>
              </w:rPr>
            </w:pPr>
            <w:r>
              <w:rPr>
                <w:rFonts w:cs="Arial"/>
                <w:sz w:val="20"/>
                <w:szCs w:val="20"/>
                <w:lang w:eastAsia="uk-UA"/>
              </w:rPr>
              <w:lastRenderedPageBreak/>
              <w:t>32</w:t>
            </w:r>
            <w:r w:rsidR="002B7823" w:rsidRPr="00C2587D">
              <w:rPr>
                <w:rFonts w:cs="Arial"/>
                <w:sz w:val="20"/>
                <w:szCs w:val="20"/>
                <w:lang w:eastAsia="uk-UA"/>
              </w:rPr>
              <w:t>.</w:t>
            </w:r>
          </w:p>
        </w:tc>
        <w:tc>
          <w:tcPr>
            <w:tcW w:w="4521" w:type="dxa"/>
            <w:tcBorders>
              <w:top w:val="single" w:sz="4" w:space="0" w:color="auto"/>
              <w:bottom w:val="single" w:sz="4" w:space="0" w:color="auto"/>
              <w:right w:val="single" w:sz="4" w:space="0" w:color="auto"/>
            </w:tcBorders>
            <w:shd w:val="clear" w:color="auto" w:fill="auto"/>
          </w:tcPr>
          <w:p w14:paraId="0307BBF6" w14:textId="02259143" w:rsidR="002B7823" w:rsidRPr="00C2587D" w:rsidRDefault="002B7823" w:rsidP="002B7823">
            <w:pPr>
              <w:spacing w:before="40" w:after="40"/>
              <w:jc w:val="both"/>
              <w:rPr>
                <w:rFonts w:cs="Arial"/>
                <w:sz w:val="20"/>
                <w:szCs w:val="20"/>
                <w:lang w:eastAsia="it-IT"/>
              </w:rPr>
            </w:pPr>
            <w:r w:rsidRPr="00C2587D">
              <w:rPr>
                <w:rFonts w:eastAsia="Arial"/>
                <w:sz w:val="20"/>
                <w:szCs w:val="20"/>
              </w:rPr>
              <w:t>Реконструкція каналізаційно-насосної станції по вул. Івана Франка в м. Жмеринка Вінницької області</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14:paraId="5AC273DA" w14:textId="77777777" w:rsidR="002B7823" w:rsidRPr="00C2587D" w:rsidRDefault="002B7823" w:rsidP="002B7823">
            <w:pPr>
              <w:jc w:val="center"/>
              <w:rPr>
                <w:rFonts w:cs="Arial"/>
                <w:sz w:val="20"/>
                <w:szCs w:val="20"/>
                <w:lang w:eastAsia="it-IT"/>
              </w:rPr>
            </w:pP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tcPr>
          <w:p w14:paraId="70E367D5" w14:textId="468D1C64" w:rsidR="002B7823" w:rsidRPr="00C2587D" w:rsidRDefault="002B7823" w:rsidP="002B7823">
            <w:pPr>
              <w:jc w:val="center"/>
              <w:rPr>
                <w:rFonts w:cs="Arial"/>
                <w:sz w:val="20"/>
                <w:szCs w:val="20"/>
                <w:lang w:eastAsia="it-IT"/>
              </w:rPr>
            </w:pPr>
          </w:p>
        </w:tc>
        <w:tc>
          <w:tcPr>
            <w:tcW w:w="1273" w:type="dxa"/>
            <w:tcBorders>
              <w:top w:val="single" w:sz="4" w:space="0" w:color="auto"/>
              <w:left w:val="single" w:sz="4" w:space="0" w:color="auto"/>
              <w:bottom w:val="single" w:sz="4" w:space="0" w:color="auto"/>
              <w:right w:val="single" w:sz="4" w:space="0" w:color="auto"/>
            </w:tcBorders>
            <w:shd w:val="clear" w:color="auto" w:fill="auto"/>
            <w:vAlign w:val="center"/>
          </w:tcPr>
          <w:p w14:paraId="5F134DF6" w14:textId="77777777" w:rsidR="002B7823" w:rsidRPr="00C2587D" w:rsidRDefault="002B7823" w:rsidP="002B7823">
            <w:pPr>
              <w:jc w:val="center"/>
              <w:rPr>
                <w:rFonts w:cs="Arial"/>
                <w:sz w:val="20"/>
                <w:szCs w:val="20"/>
                <w:lang w:eastAsia="it-IT"/>
              </w:rPr>
            </w:pPr>
          </w:p>
        </w:tc>
        <w:tc>
          <w:tcPr>
            <w:tcW w:w="1273" w:type="dxa"/>
            <w:tcBorders>
              <w:top w:val="single" w:sz="4" w:space="0" w:color="auto"/>
              <w:left w:val="single" w:sz="4" w:space="0" w:color="auto"/>
              <w:bottom w:val="single" w:sz="4" w:space="0" w:color="auto"/>
              <w:right w:val="single" w:sz="4" w:space="0" w:color="auto"/>
            </w:tcBorders>
            <w:shd w:val="clear" w:color="auto" w:fill="auto"/>
            <w:vAlign w:val="center"/>
          </w:tcPr>
          <w:p w14:paraId="02A2D2AD" w14:textId="76426365" w:rsidR="002B7823" w:rsidRPr="00C2587D" w:rsidRDefault="002B7823" w:rsidP="002B7823">
            <w:pPr>
              <w:jc w:val="center"/>
              <w:rPr>
                <w:rFonts w:cs="Arial"/>
                <w:sz w:val="20"/>
                <w:szCs w:val="20"/>
                <w:lang w:eastAsia="it-IT"/>
              </w:rPr>
            </w:pPr>
            <w:r w:rsidRPr="00C2587D">
              <w:rPr>
                <w:rFonts w:cs="Arial"/>
                <w:sz w:val="20"/>
                <w:szCs w:val="20"/>
                <w:lang w:eastAsia="it-IT"/>
              </w:rPr>
              <w:t>12 000,0</w:t>
            </w:r>
          </w:p>
        </w:tc>
        <w:tc>
          <w:tcPr>
            <w:tcW w:w="1217" w:type="dxa"/>
            <w:tcBorders>
              <w:top w:val="single" w:sz="4" w:space="0" w:color="auto"/>
              <w:left w:val="single" w:sz="4" w:space="0" w:color="auto"/>
              <w:bottom w:val="single" w:sz="4" w:space="0" w:color="auto"/>
              <w:right w:val="single" w:sz="4" w:space="0" w:color="auto"/>
            </w:tcBorders>
            <w:vAlign w:val="center"/>
          </w:tcPr>
          <w:p w14:paraId="3B78F770" w14:textId="6BEC1267" w:rsidR="002B7823" w:rsidRPr="00C2587D" w:rsidRDefault="002B7823" w:rsidP="002B7823">
            <w:pPr>
              <w:jc w:val="center"/>
              <w:rPr>
                <w:rFonts w:cs="Arial"/>
                <w:b/>
                <w:sz w:val="20"/>
                <w:szCs w:val="20"/>
                <w:lang w:eastAsia="it-IT"/>
              </w:rPr>
            </w:pPr>
            <w:r w:rsidRPr="00C2587D">
              <w:rPr>
                <w:rFonts w:cs="Arial"/>
                <w:b/>
                <w:sz w:val="20"/>
                <w:szCs w:val="20"/>
                <w:lang w:eastAsia="it-IT"/>
              </w:rPr>
              <w:t>12 000,0</w:t>
            </w:r>
          </w:p>
        </w:tc>
      </w:tr>
      <w:tr w:rsidR="002B7823" w:rsidRPr="00C2587D" w14:paraId="736C9371" w14:textId="77777777" w:rsidTr="00682193">
        <w:trPr>
          <w:jc w:val="center"/>
        </w:trPr>
        <w:tc>
          <w:tcPr>
            <w:tcW w:w="5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86EC41" w14:textId="1D39507B" w:rsidR="002B7823" w:rsidRPr="00C2587D" w:rsidRDefault="008315C4" w:rsidP="008315C4">
            <w:pPr>
              <w:jc w:val="both"/>
              <w:rPr>
                <w:rFonts w:cs="Arial"/>
                <w:sz w:val="20"/>
                <w:szCs w:val="20"/>
                <w:lang w:eastAsia="uk-UA"/>
              </w:rPr>
            </w:pPr>
            <w:r>
              <w:rPr>
                <w:rFonts w:cs="Arial"/>
                <w:sz w:val="20"/>
                <w:szCs w:val="20"/>
                <w:lang w:eastAsia="uk-UA"/>
              </w:rPr>
              <w:t>33</w:t>
            </w:r>
            <w:r w:rsidR="002B7823" w:rsidRPr="00C2587D">
              <w:rPr>
                <w:rFonts w:cs="Arial"/>
                <w:sz w:val="20"/>
                <w:szCs w:val="20"/>
                <w:lang w:eastAsia="uk-UA"/>
              </w:rPr>
              <w:t>.</w:t>
            </w:r>
          </w:p>
        </w:tc>
        <w:tc>
          <w:tcPr>
            <w:tcW w:w="4521" w:type="dxa"/>
            <w:tcBorders>
              <w:top w:val="single" w:sz="4" w:space="0" w:color="auto"/>
              <w:left w:val="nil"/>
              <w:bottom w:val="single" w:sz="4" w:space="0" w:color="auto"/>
              <w:right w:val="single" w:sz="4" w:space="0" w:color="auto"/>
            </w:tcBorders>
            <w:shd w:val="clear" w:color="auto" w:fill="auto"/>
          </w:tcPr>
          <w:p w14:paraId="1722273F" w14:textId="31222290" w:rsidR="002B7823" w:rsidRPr="00C2587D" w:rsidRDefault="002B7823" w:rsidP="002B7823">
            <w:pPr>
              <w:spacing w:before="40" w:after="40"/>
              <w:jc w:val="both"/>
              <w:rPr>
                <w:rFonts w:cs="Arial"/>
                <w:sz w:val="20"/>
                <w:szCs w:val="20"/>
                <w:lang w:eastAsia="it-IT"/>
              </w:rPr>
            </w:pPr>
            <w:r w:rsidRPr="00C2587D">
              <w:rPr>
                <w:sz w:val="20"/>
                <w:szCs w:val="20"/>
              </w:rPr>
              <w:t>Нове будівництво розвідувально-експлуатаційної свердловини в с.</w:t>
            </w:r>
            <w:r w:rsidR="00C2587D">
              <w:rPr>
                <w:sz w:val="20"/>
                <w:szCs w:val="20"/>
              </w:rPr>
              <w:t xml:space="preserve"> </w:t>
            </w:r>
            <w:r w:rsidRPr="00C2587D">
              <w:rPr>
                <w:sz w:val="20"/>
                <w:szCs w:val="20"/>
              </w:rPr>
              <w:t>Лопатинці  Жмеринської міської територіальної громади</w:t>
            </w:r>
          </w:p>
        </w:tc>
        <w:tc>
          <w:tcPr>
            <w:tcW w:w="1162" w:type="dxa"/>
            <w:tcBorders>
              <w:top w:val="nil"/>
              <w:left w:val="nil"/>
              <w:bottom w:val="single" w:sz="4" w:space="0" w:color="auto"/>
              <w:right w:val="single" w:sz="4" w:space="0" w:color="auto"/>
            </w:tcBorders>
            <w:shd w:val="clear" w:color="auto" w:fill="auto"/>
            <w:vAlign w:val="center"/>
          </w:tcPr>
          <w:p w14:paraId="1448671E" w14:textId="1C1F0DFC" w:rsidR="002B7823" w:rsidRPr="00C2587D" w:rsidRDefault="002B7823" w:rsidP="002B7823">
            <w:pPr>
              <w:jc w:val="center"/>
              <w:rPr>
                <w:rFonts w:cs="Arial"/>
                <w:sz w:val="20"/>
                <w:szCs w:val="20"/>
                <w:lang w:eastAsia="it-IT"/>
              </w:rPr>
            </w:pPr>
            <w:r w:rsidRPr="00C2587D">
              <w:rPr>
                <w:rFonts w:cs="Arial"/>
                <w:sz w:val="20"/>
                <w:szCs w:val="20"/>
                <w:lang w:eastAsia="it-IT"/>
              </w:rPr>
              <w:t>300,0</w:t>
            </w:r>
          </w:p>
        </w:tc>
        <w:tc>
          <w:tcPr>
            <w:tcW w:w="1329" w:type="dxa"/>
            <w:tcBorders>
              <w:top w:val="single" w:sz="4" w:space="0" w:color="auto"/>
              <w:left w:val="nil"/>
              <w:bottom w:val="single" w:sz="4" w:space="0" w:color="auto"/>
              <w:right w:val="single" w:sz="4" w:space="0" w:color="auto"/>
            </w:tcBorders>
            <w:shd w:val="clear" w:color="auto" w:fill="auto"/>
            <w:vAlign w:val="center"/>
          </w:tcPr>
          <w:p w14:paraId="38A8AB76" w14:textId="6E682D19" w:rsidR="002B7823" w:rsidRPr="00C2587D" w:rsidRDefault="002B7823" w:rsidP="002B7823">
            <w:pPr>
              <w:jc w:val="center"/>
              <w:rPr>
                <w:rFonts w:cs="Arial"/>
                <w:sz w:val="20"/>
                <w:szCs w:val="20"/>
                <w:lang w:eastAsia="it-IT"/>
              </w:rPr>
            </w:pPr>
            <w:r w:rsidRPr="00C2587D">
              <w:rPr>
                <w:rFonts w:cs="Arial"/>
                <w:sz w:val="20"/>
                <w:szCs w:val="20"/>
                <w:lang w:eastAsia="it-IT"/>
              </w:rPr>
              <w:t>1200,0</w:t>
            </w:r>
          </w:p>
        </w:tc>
        <w:tc>
          <w:tcPr>
            <w:tcW w:w="1273" w:type="dxa"/>
            <w:tcBorders>
              <w:top w:val="single" w:sz="4" w:space="0" w:color="auto"/>
              <w:left w:val="nil"/>
              <w:bottom w:val="single" w:sz="4" w:space="0" w:color="auto"/>
              <w:right w:val="single" w:sz="4" w:space="0" w:color="auto"/>
            </w:tcBorders>
            <w:shd w:val="clear" w:color="auto" w:fill="auto"/>
            <w:vAlign w:val="center"/>
          </w:tcPr>
          <w:p w14:paraId="39C6A53C" w14:textId="77777777" w:rsidR="002B7823" w:rsidRPr="00C2587D" w:rsidRDefault="002B7823" w:rsidP="002B7823">
            <w:pPr>
              <w:jc w:val="center"/>
              <w:rPr>
                <w:rFonts w:cs="Arial"/>
                <w:sz w:val="20"/>
                <w:szCs w:val="20"/>
                <w:lang w:eastAsia="it-IT"/>
              </w:rPr>
            </w:pPr>
          </w:p>
        </w:tc>
        <w:tc>
          <w:tcPr>
            <w:tcW w:w="1273" w:type="dxa"/>
            <w:tcBorders>
              <w:top w:val="single" w:sz="4" w:space="0" w:color="auto"/>
              <w:left w:val="nil"/>
              <w:bottom w:val="single" w:sz="4" w:space="0" w:color="auto"/>
              <w:right w:val="single" w:sz="4" w:space="0" w:color="auto"/>
            </w:tcBorders>
            <w:shd w:val="clear" w:color="auto" w:fill="auto"/>
            <w:vAlign w:val="center"/>
          </w:tcPr>
          <w:p w14:paraId="14BDC0B2" w14:textId="119AED12" w:rsidR="002B7823" w:rsidRPr="00C2587D" w:rsidRDefault="002B7823" w:rsidP="002B7823">
            <w:pPr>
              <w:jc w:val="center"/>
              <w:rPr>
                <w:rFonts w:cs="Arial"/>
                <w:sz w:val="20"/>
                <w:szCs w:val="20"/>
                <w:lang w:eastAsia="it-IT"/>
              </w:rPr>
            </w:pPr>
          </w:p>
        </w:tc>
        <w:tc>
          <w:tcPr>
            <w:tcW w:w="1217" w:type="dxa"/>
            <w:tcBorders>
              <w:top w:val="single" w:sz="4" w:space="0" w:color="auto"/>
              <w:left w:val="nil"/>
              <w:bottom w:val="single" w:sz="4" w:space="0" w:color="auto"/>
              <w:right w:val="single" w:sz="4" w:space="0" w:color="auto"/>
            </w:tcBorders>
            <w:vAlign w:val="center"/>
          </w:tcPr>
          <w:p w14:paraId="4E963498" w14:textId="2D970CE6" w:rsidR="002B7823" w:rsidRPr="00C2587D" w:rsidRDefault="002B7823" w:rsidP="002B7823">
            <w:pPr>
              <w:jc w:val="center"/>
              <w:rPr>
                <w:rFonts w:cs="Arial"/>
                <w:b/>
                <w:sz w:val="20"/>
                <w:szCs w:val="20"/>
                <w:lang w:eastAsia="it-IT"/>
              </w:rPr>
            </w:pPr>
            <w:r w:rsidRPr="00C2587D">
              <w:rPr>
                <w:rFonts w:cs="Arial"/>
                <w:b/>
                <w:sz w:val="20"/>
                <w:szCs w:val="20"/>
                <w:lang w:eastAsia="it-IT"/>
              </w:rPr>
              <w:t>1 500,0</w:t>
            </w:r>
          </w:p>
        </w:tc>
      </w:tr>
      <w:tr w:rsidR="002B7823" w:rsidRPr="00C2587D" w14:paraId="5EDC9387" w14:textId="77777777" w:rsidTr="009A5765">
        <w:trPr>
          <w:jc w:val="center"/>
        </w:trPr>
        <w:tc>
          <w:tcPr>
            <w:tcW w:w="5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4058AA" w14:textId="49C449FB" w:rsidR="002B7823" w:rsidRPr="00C2587D" w:rsidRDefault="008315C4" w:rsidP="002B7823">
            <w:pPr>
              <w:jc w:val="both"/>
              <w:rPr>
                <w:rFonts w:cs="Arial"/>
                <w:sz w:val="20"/>
                <w:szCs w:val="20"/>
                <w:lang w:eastAsia="uk-UA"/>
              </w:rPr>
            </w:pPr>
            <w:r>
              <w:rPr>
                <w:rFonts w:cs="Arial"/>
                <w:sz w:val="20"/>
                <w:szCs w:val="20"/>
                <w:lang w:eastAsia="uk-UA"/>
              </w:rPr>
              <w:t>34</w:t>
            </w:r>
            <w:r w:rsidR="002B7823" w:rsidRPr="00C2587D">
              <w:rPr>
                <w:rFonts w:cs="Arial"/>
                <w:sz w:val="20"/>
                <w:szCs w:val="20"/>
                <w:lang w:eastAsia="uk-UA"/>
              </w:rPr>
              <w:t>.</w:t>
            </w:r>
          </w:p>
        </w:tc>
        <w:tc>
          <w:tcPr>
            <w:tcW w:w="4521" w:type="dxa"/>
            <w:tcBorders>
              <w:top w:val="single" w:sz="4" w:space="0" w:color="auto"/>
              <w:left w:val="nil"/>
              <w:bottom w:val="single" w:sz="4" w:space="0" w:color="auto"/>
              <w:right w:val="single" w:sz="4" w:space="0" w:color="auto"/>
            </w:tcBorders>
            <w:shd w:val="clear" w:color="auto" w:fill="auto"/>
          </w:tcPr>
          <w:p w14:paraId="3F96125A" w14:textId="16D68DED" w:rsidR="002B7823" w:rsidRPr="00C2587D" w:rsidRDefault="002B7823" w:rsidP="002B7823">
            <w:pPr>
              <w:spacing w:before="40" w:after="40"/>
              <w:jc w:val="both"/>
              <w:rPr>
                <w:rFonts w:cs="Arial"/>
                <w:sz w:val="20"/>
                <w:szCs w:val="20"/>
                <w:lang w:eastAsia="it-IT"/>
              </w:rPr>
            </w:pPr>
            <w:r w:rsidRPr="00C2587D">
              <w:rPr>
                <w:sz w:val="20"/>
                <w:szCs w:val="20"/>
                <w:lang w:eastAsia="it-IT"/>
              </w:rPr>
              <w:t>Нове будівництво розвідувально-експлуатаційної свердловини по вулиці Козацька в селищі Браїлів, Жмеринського району, Вінницької області</w:t>
            </w:r>
          </w:p>
        </w:tc>
        <w:tc>
          <w:tcPr>
            <w:tcW w:w="1162" w:type="dxa"/>
            <w:tcBorders>
              <w:top w:val="nil"/>
              <w:left w:val="nil"/>
              <w:bottom w:val="single" w:sz="4" w:space="0" w:color="auto"/>
              <w:right w:val="single" w:sz="4" w:space="0" w:color="auto"/>
            </w:tcBorders>
            <w:shd w:val="clear" w:color="auto" w:fill="auto"/>
            <w:vAlign w:val="center"/>
          </w:tcPr>
          <w:p w14:paraId="7B4AE10F" w14:textId="113BF00C" w:rsidR="002B7823" w:rsidRPr="00C2587D" w:rsidRDefault="002B7823" w:rsidP="002B7823">
            <w:pPr>
              <w:jc w:val="center"/>
              <w:rPr>
                <w:rFonts w:cs="Arial"/>
                <w:sz w:val="20"/>
                <w:szCs w:val="20"/>
                <w:lang w:eastAsia="it-IT"/>
              </w:rPr>
            </w:pPr>
          </w:p>
        </w:tc>
        <w:tc>
          <w:tcPr>
            <w:tcW w:w="1329" w:type="dxa"/>
            <w:tcBorders>
              <w:top w:val="nil"/>
              <w:left w:val="nil"/>
              <w:bottom w:val="single" w:sz="4" w:space="0" w:color="auto"/>
              <w:right w:val="single" w:sz="4" w:space="0" w:color="auto"/>
            </w:tcBorders>
            <w:shd w:val="clear" w:color="auto" w:fill="auto"/>
            <w:vAlign w:val="center"/>
          </w:tcPr>
          <w:p w14:paraId="02A8E6ED" w14:textId="400F83AE" w:rsidR="002B7823" w:rsidRPr="00C2587D" w:rsidRDefault="002B7823" w:rsidP="002B7823">
            <w:pPr>
              <w:jc w:val="center"/>
              <w:rPr>
                <w:rFonts w:cs="Arial"/>
                <w:sz w:val="20"/>
                <w:szCs w:val="20"/>
                <w:lang w:eastAsia="it-IT"/>
              </w:rPr>
            </w:pPr>
            <w:r w:rsidRPr="00C2587D">
              <w:rPr>
                <w:rFonts w:cs="Arial"/>
                <w:sz w:val="20"/>
                <w:szCs w:val="20"/>
                <w:lang w:eastAsia="it-IT"/>
              </w:rPr>
              <w:t>1 500,0</w:t>
            </w:r>
          </w:p>
        </w:tc>
        <w:tc>
          <w:tcPr>
            <w:tcW w:w="1273" w:type="dxa"/>
            <w:tcBorders>
              <w:top w:val="nil"/>
              <w:left w:val="nil"/>
              <w:bottom w:val="single" w:sz="4" w:space="0" w:color="auto"/>
              <w:right w:val="single" w:sz="4" w:space="0" w:color="auto"/>
            </w:tcBorders>
            <w:shd w:val="clear" w:color="auto" w:fill="auto"/>
            <w:vAlign w:val="center"/>
          </w:tcPr>
          <w:p w14:paraId="24AFC9EC" w14:textId="77777777" w:rsidR="002B7823" w:rsidRPr="00C2587D" w:rsidRDefault="002B7823" w:rsidP="002B7823">
            <w:pPr>
              <w:jc w:val="center"/>
              <w:rPr>
                <w:rFonts w:cs="Arial"/>
                <w:sz w:val="20"/>
                <w:szCs w:val="20"/>
                <w:lang w:eastAsia="it-IT"/>
              </w:rPr>
            </w:pPr>
          </w:p>
        </w:tc>
        <w:tc>
          <w:tcPr>
            <w:tcW w:w="1273" w:type="dxa"/>
            <w:tcBorders>
              <w:top w:val="nil"/>
              <w:left w:val="nil"/>
              <w:bottom w:val="single" w:sz="4" w:space="0" w:color="auto"/>
              <w:right w:val="single" w:sz="4" w:space="0" w:color="auto"/>
            </w:tcBorders>
            <w:shd w:val="clear" w:color="auto" w:fill="auto"/>
            <w:vAlign w:val="center"/>
          </w:tcPr>
          <w:p w14:paraId="06E22294" w14:textId="77777777" w:rsidR="002B7823" w:rsidRPr="00C2587D" w:rsidRDefault="002B7823" w:rsidP="002B7823">
            <w:pPr>
              <w:jc w:val="center"/>
              <w:rPr>
                <w:rFonts w:cs="Arial"/>
                <w:sz w:val="20"/>
                <w:szCs w:val="20"/>
                <w:lang w:eastAsia="it-IT"/>
              </w:rPr>
            </w:pPr>
          </w:p>
        </w:tc>
        <w:tc>
          <w:tcPr>
            <w:tcW w:w="1217" w:type="dxa"/>
            <w:tcBorders>
              <w:top w:val="nil"/>
              <w:left w:val="nil"/>
              <w:bottom w:val="single" w:sz="4" w:space="0" w:color="auto"/>
              <w:right w:val="single" w:sz="4" w:space="0" w:color="auto"/>
            </w:tcBorders>
            <w:vAlign w:val="center"/>
          </w:tcPr>
          <w:p w14:paraId="2C5548F4" w14:textId="2E3B8819" w:rsidR="002B7823" w:rsidRPr="00C2587D" w:rsidRDefault="002B7823" w:rsidP="002B7823">
            <w:pPr>
              <w:jc w:val="center"/>
              <w:rPr>
                <w:rFonts w:cs="Arial"/>
                <w:b/>
                <w:sz w:val="20"/>
                <w:szCs w:val="20"/>
                <w:lang w:eastAsia="it-IT"/>
              </w:rPr>
            </w:pPr>
            <w:r w:rsidRPr="00C2587D">
              <w:rPr>
                <w:rFonts w:cs="Arial"/>
                <w:b/>
                <w:sz w:val="20"/>
                <w:szCs w:val="20"/>
                <w:lang w:eastAsia="it-IT"/>
              </w:rPr>
              <w:t>1 500,0</w:t>
            </w:r>
          </w:p>
        </w:tc>
      </w:tr>
      <w:tr w:rsidR="002B7823" w:rsidRPr="00C2587D" w14:paraId="08071058" w14:textId="77777777" w:rsidTr="009A5765">
        <w:trPr>
          <w:jc w:val="center"/>
        </w:trPr>
        <w:tc>
          <w:tcPr>
            <w:tcW w:w="5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351CE5" w14:textId="2AAF4FD0" w:rsidR="002B7823" w:rsidRPr="00C2587D" w:rsidRDefault="008315C4" w:rsidP="002B7823">
            <w:pPr>
              <w:jc w:val="both"/>
              <w:rPr>
                <w:rFonts w:cs="Arial"/>
                <w:sz w:val="20"/>
                <w:szCs w:val="20"/>
                <w:lang w:eastAsia="uk-UA"/>
              </w:rPr>
            </w:pPr>
            <w:r>
              <w:rPr>
                <w:rFonts w:cs="Arial"/>
                <w:sz w:val="20"/>
                <w:szCs w:val="20"/>
                <w:lang w:eastAsia="uk-UA"/>
              </w:rPr>
              <w:t>35</w:t>
            </w:r>
            <w:r w:rsidR="002B7823" w:rsidRPr="00C2587D">
              <w:rPr>
                <w:rFonts w:cs="Arial"/>
                <w:sz w:val="20"/>
                <w:szCs w:val="20"/>
                <w:lang w:eastAsia="uk-UA"/>
              </w:rPr>
              <w:t>.</w:t>
            </w:r>
          </w:p>
        </w:tc>
        <w:tc>
          <w:tcPr>
            <w:tcW w:w="4521" w:type="dxa"/>
            <w:tcBorders>
              <w:top w:val="single" w:sz="4" w:space="0" w:color="auto"/>
              <w:left w:val="nil"/>
              <w:bottom w:val="single" w:sz="4" w:space="0" w:color="auto"/>
              <w:right w:val="single" w:sz="4" w:space="0" w:color="auto"/>
            </w:tcBorders>
            <w:shd w:val="clear" w:color="auto" w:fill="auto"/>
          </w:tcPr>
          <w:p w14:paraId="65A25B26" w14:textId="3CE0F169" w:rsidR="002B7823" w:rsidRPr="00C2587D" w:rsidRDefault="002B7823" w:rsidP="002B7823">
            <w:pPr>
              <w:spacing w:before="40" w:after="40"/>
              <w:jc w:val="both"/>
              <w:rPr>
                <w:rFonts w:cs="Arial"/>
                <w:sz w:val="20"/>
                <w:szCs w:val="20"/>
                <w:lang w:eastAsia="it-IT"/>
              </w:rPr>
            </w:pPr>
            <w:r w:rsidRPr="00C2587D">
              <w:rPr>
                <w:bCs/>
                <w:spacing w:val="-3"/>
                <w:sz w:val="20"/>
                <w:szCs w:val="20"/>
              </w:rPr>
              <w:t>Нове будівництво розвідувально-експлуатаційної свердловини в селі Сьомаки, Жмеринського району, Вінницької області</w:t>
            </w:r>
          </w:p>
        </w:tc>
        <w:tc>
          <w:tcPr>
            <w:tcW w:w="1162" w:type="dxa"/>
            <w:tcBorders>
              <w:top w:val="nil"/>
              <w:left w:val="nil"/>
              <w:bottom w:val="single" w:sz="4" w:space="0" w:color="auto"/>
              <w:right w:val="single" w:sz="4" w:space="0" w:color="auto"/>
            </w:tcBorders>
            <w:shd w:val="clear" w:color="auto" w:fill="auto"/>
            <w:vAlign w:val="center"/>
          </w:tcPr>
          <w:p w14:paraId="208FB878" w14:textId="77777777" w:rsidR="002B7823" w:rsidRPr="00C2587D" w:rsidRDefault="002B7823" w:rsidP="002B7823">
            <w:pPr>
              <w:jc w:val="center"/>
              <w:rPr>
                <w:rFonts w:cs="Arial"/>
                <w:sz w:val="20"/>
                <w:szCs w:val="20"/>
                <w:lang w:eastAsia="it-IT"/>
              </w:rPr>
            </w:pPr>
          </w:p>
        </w:tc>
        <w:tc>
          <w:tcPr>
            <w:tcW w:w="1329" w:type="dxa"/>
            <w:tcBorders>
              <w:top w:val="nil"/>
              <w:left w:val="nil"/>
              <w:bottom w:val="single" w:sz="4" w:space="0" w:color="auto"/>
              <w:right w:val="single" w:sz="4" w:space="0" w:color="auto"/>
            </w:tcBorders>
            <w:shd w:val="clear" w:color="auto" w:fill="auto"/>
            <w:vAlign w:val="center"/>
          </w:tcPr>
          <w:p w14:paraId="44A48A24" w14:textId="1C9A2A2E" w:rsidR="002B7823" w:rsidRPr="00C2587D" w:rsidRDefault="002B7823" w:rsidP="002B7823">
            <w:pPr>
              <w:jc w:val="center"/>
              <w:rPr>
                <w:rFonts w:cs="Arial"/>
                <w:sz w:val="20"/>
                <w:szCs w:val="20"/>
                <w:lang w:eastAsia="it-IT"/>
              </w:rPr>
            </w:pPr>
            <w:r w:rsidRPr="00C2587D">
              <w:rPr>
                <w:rFonts w:cs="Arial"/>
                <w:sz w:val="20"/>
                <w:szCs w:val="20"/>
                <w:lang w:eastAsia="it-IT"/>
              </w:rPr>
              <w:t>300,0</w:t>
            </w:r>
          </w:p>
        </w:tc>
        <w:tc>
          <w:tcPr>
            <w:tcW w:w="1273" w:type="dxa"/>
            <w:tcBorders>
              <w:top w:val="nil"/>
              <w:left w:val="nil"/>
              <w:bottom w:val="single" w:sz="4" w:space="0" w:color="auto"/>
              <w:right w:val="single" w:sz="4" w:space="0" w:color="auto"/>
            </w:tcBorders>
            <w:shd w:val="clear" w:color="auto" w:fill="auto"/>
            <w:vAlign w:val="center"/>
          </w:tcPr>
          <w:p w14:paraId="775469E8" w14:textId="6150E2CD" w:rsidR="002B7823" w:rsidRPr="00C2587D" w:rsidRDefault="002B7823" w:rsidP="002B7823">
            <w:pPr>
              <w:jc w:val="center"/>
              <w:rPr>
                <w:rFonts w:cs="Arial"/>
                <w:sz w:val="20"/>
                <w:szCs w:val="20"/>
                <w:lang w:eastAsia="it-IT"/>
              </w:rPr>
            </w:pPr>
            <w:r w:rsidRPr="00C2587D">
              <w:rPr>
                <w:rFonts w:cs="Arial"/>
                <w:sz w:val="20"/>
                <w:szCs w:val="20"/>
                <w:lang w:eastAsia="it-IT"/>
              </w:rPr>
              <w:t>1 200,0</w:t>
            </w:r>
          </w:p>
        </w:tc>
        <w:tc>
          <w:tcPr>
            <w:tcW w:w="1273" w:type="dxa"/>
            <w:tcBorders>
              <w:top w:val="nil"/>
              <w:left w:val="nil"/>
              <w:bottom w:val="single" w:sz="4" w:space="0" w:color="auto"/>
              <w:right w:val="single" w:sz="4" w:space="0" w:color="auto"/>
            </w:tcBorders>
            <w:shd w:val="clear" w:color="auto" w:fill="auto"/>
            <w:vAlign w:val="center"/>
          </w:tcPr>
          <w:p w14:paraId="7C6FD985" w14:textId="77777777" w:rsidR="002B7823" w:rsidRPr="00C2587D" w:rsidRDefault="002B7823" w:rsidP="002B7823">
            <w:pPr>
              <w:jc w:val="center"/>
              <w:rPr>
                <w:rFonts w:cs="Arial"/>
                <w:sz w:val="20"/>
                <w:szCs w:val="20"/>
                <w:lang w:eastAsia="it-IT"/>
              </w:rPr>
            </w:pPr>
          </w:p>
        </w:tc>
        <w:tc>
          <w:tcPr>
            <w:tcW w:w="1217" w:type="dxa"/>
            <w:tcBorders>
              <w:top w:val="nil"/>
              <w:left w:val="nil"/>
              <w:bottom w:val="single" w:sz="4" w:space="0" w:color="auto"/>
              <w:right w:val="single" w:sz="4" w:space="0" w:color="auto"/>
            </w:tcBorders>
            <w:vAlign w:val="center"/>
          </w:tcPr>
          <w:p w14:paraId="69F8C76A" w14:textId="7719C63C" w:rsidR="002B7823" w:rsidRPr="00C2587D" w:rsidRDefault="002B7823" w:rsidP="002B7823">
            <w:pPr>
              <w:jc w:val="center"/>
              <w:rPr>
                <w:rFonts w:cs="Arial"/>
                <w:b/>
                <w:sz w:val="20"/>
                <w:szCs w:val="20"/>
                <w:lang w:eastAsia="it-IT"/>
              </w:rPr>
            </w:pPr>
            <w:r w:rsidRPr="00C2587D">
              <w:rPr>
                <w:rFonts w:cs="Arial"/>
                <w:b/>
                <w:sz w:val="20"/>
                <w:szCs w:val="20"/>
                <w:lang w:eastAsia="it-IT"/>
              </w:rPr>
              <w:t>1 500,0</w:t>
            </w:r>
          </w:p>
        </w:tc>
      </w:tr>
      <w:tr w:rsidR="002B7823" w:rsidRPr="00C2587D" w14:paraId="37B38953" w14:textId="77777777" w:rsidTr="009A5765">
        <w:trPr>
          <w:jc w:val="center"/>
        </w:trPr>
        <w:tc>
          <w:tcPr>
            <w:tcW w:w="5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0BD609" w14:textId="6251A27F" w:rsidR="002B7823" w:rsidRPr="00C2587D" w:rsidRDefault="008315C4" w:rsidP="002B7823">
            <w:pPr>
              <w:jc w:val="both"/>
              <w:rPr>
                <w:rFonts w:cs="Arial"/>
                <w:sz w:val="20"/>
                <w:szCs w:val="20"/>
                <w:lang w:eastAsia="uk-UA"/>
              </w:rPr>
            </w:pPr>
            <w:r>
              <w:rPr>
                <w:rFonts w:cs="Arial"/>
                <w:sz w:val="20"/>
                <w:szCs w:val="20"/>
                <w:lang w:eastAsia="uk-UA"/>
              </w:rPr>
              <w:t>36</w:t>
            </w:r>
            <w:r w:rsidR="002B7823" w:rsidRPr="00C2587D">
              <w:rPr>
                <w:rFonts w:cs="Arial"/>
                <w:sz w:val="20"/>
                <w:szCs w:val="20"/>
                <w:lang w:eastAsia="uk-UA"/>
              </w:rPr>
              <w:t>.</w:t>
            </w:r>
          </w:p>
        </w:tc>
        <w:tc>
          <w:tcPr>
            <w:tcW w:w="4521" w:type="dxa"/>
            <w:tcBorders>
              <w:top w:val="single" w:sz="4" w:space="0" w:color="auto"/>
              <w:left w:val="nil"/>
              <w:bottom w:val="single" w:sz="4" w:space="0" w:color="auto"/>
              <w:right w:val="single" w:sz="4" w:space="0" w:color="auto"/>
            </w:tcBorders>
            <w:shd w:val="clear" w:color="auto" w:fill="auto"/>
          </w:tcPr>
          <w:p w14:paraId="2E1EEBF1" w14:textId="32D6DDFD" w:rsidR="002B7823" w:rsidRPr="00C2587D" w:rsidRDefault="002B7823" w:rsidP="002B7823">
            <w:pPr>
              <w:spacing w:before="40" w:after="40"/>
              <w:jc w:val="both"/>
              <w:rPr>
                <w:bCs/>
                <w:spacing w:val="-3"/>
                <w:sz w:val="20"/>
                <w:szCs w:val="20"/>
              </w:rPr>
            </w:pPr>
            <w:r w:rsidRPr="00C2587D">
              <w:rPr>
                <w:bCs/>
                <w:spacing w:val="-3"/>
                <w:sz w:val="20"/>
                <w:szCs w:val="20"/>
              </w:rPr>
              <w:t>Нове будівництво розвідувально-експлуатаційної свердловини в селі Людавка, Жмеринського району, Вінницької області</w:t>
            </w:r>
          </w:p>
        </w:tc>
        <w:tc>
          <w:tcPr>
            <w:tcW w:w="1162" w:type="dxa"/>
            <w:tcBorders>
              <w:top w:val="nil"/>
              <w:left w:val="nil"/>
              <w:bottom w:val="single" w:sz="4" w:space="0" w:color="auto"/>
              <w:right w:val="single" w:sz="4" w:space="0" w:color="auto"/>
            </w:tcBorders>
            <w:shd w:val="clear" w:color="auto" w:fill="auto"/>
            <w:vAlign w:val="center"/>
          </w:tcPr>
          <w:p w14:paraId="734E39C4" w14:textId="77777777" w:rsidR="002B7823" w:rsidRPr="00C2587D" w:rsidRDefault="002B7823" w:rsidP="002B7823">
            <w:pPr>
              <w:jc w:val="center"/>
              <w:rPr>
                <w:rFonts w:cs="Arial"/>
                <w:sz w:val="20"/>
                <w:szCs w:val="20"/>
                <w:lang w:eastAsia="it-IT"/>
              </w:rPr>
            </w:pPr>
          </w:p>
        </w:tc>
        <w:tc>
          <w:tcPr>
            <w:tcW w:w="1329" w:type="dxa"/>
            <w:tcBorders>
              <w:top w:val="nil"/>
              <w:left w:val="nil"/>
              <w:bottom w:val="single" w:sz="4" w:space="0" w:color="auto"/>
              <w:right w:val="single" w:sz="4" w:space="0" w:color="auto"/>
            </w:tcBorders>
            <w:shd w:val="clear" w:color="auto" w:fill="auto"/>
            <w:vAlign w:val="center"/>
          </w:tcPr>
          <w:p w14:paraId="1B0AFD68" w14:textId="780F05DA" w:rsidR="002B7823" w:rsidRPr="00C2587D" w:rsidRDefault="002B7823" w:rsidP="002B7823">
            <w:pPr>
              <w:jc w:val="center"/>
              <w:rPr>
                <w:rFonts w:cs="Arial"/>
                <w:sz w:val="20"/>
                <w:szCs w:val="20"/>
                <w:lang w:eastAsia="it-IT"/>
              </w:rPr>
            </w:pPr>
            <w:r w:rsidRPr="00C2587D">
              <w:rPr>
                <w:rFonts w:cs="Arial"/>
                <w:sz w:val="20"/>
                <w:szCs w:val="20"/>
                <w:lang w:eastAsia="it-IT"/>
              </w:rPr>
              <w:t>1 500,0</w:t>
            </w:r>
          </w:p>
        </w:tc>
        <w:tc>
          <w:tcPr>
            <w:tcW w:w="1273" w:type="dxa"/>
            <w:tcBorders>
              <w:top w:val="nil"/>
              <w:left w:val="nil"/>
              <w:bottom w:val="single" w:sz="4" w:space="0" w:color="auto"/>
              <w:right w:val="single" w:sz="4" w:space="0" w:color="auto"/>
            </w:tcBorders>
            <w:shd w:val="clear" w:color="auto" w:fill="auto"/>
            <w:vAlign w:val="center"/>
          </w:tcPr>
          <w:p w14:paraId="0FA83329" w14:textId="7EEF078A" w:rsidR="002B7823" w:rsidRPr="00C2587D" w:rsidRDefault="002B7823" w:rsidP="002B7823">
            <w:pPr>
              <w:jc w:val="center"/>
              <w:rPr>
                <w:rFonts w:cs="Arial"/>
                <w:sz w:val="20"/>
                <w:szCs w:val="20"/>
                <w:lang w:eastAsia="it-IT"/>
              </w:rPr>
            </w:pPr>
          </w:p>
        </w:tc>
        <w:tc>
          <w:tcPr>
            <w:tcW w:w="1273" w:type="dxa"/>
            <w:tcBorders>
              <w:top w:val="nil"/>
              <w:left w:val="nil"/>
              <w:bottom w:val="single" w:sz="4" w:space="0" w:color="auto"/>
              <w:right w:val="single" w:sz="4" w:space="0" w:color="auto"/>
            </w:tcBorders>
            <w:shd w:val="clear" w:color="auto" w:fill="auto"/>
            <w:vAlign w:val="center"/>
          </w:tcPr>
          <w:p w14:paraId="42BF5E19" w14:textId="77777777" w:rsidR="002B7823" w:rsidRPr="00C2587D" w:rsidRDefault="002B7823" w:rsidP="002B7823">
            <w:pPr>
              <w:jc w:val="center"/>
              <w:rPr>
                <w:rFonts w:cs="Arial"/>
                <w:sz w:val="20"/>
                <w:szCs w:val="20"/>
                <w:lang w:eastAsia="it-IT"/>
              </w:rPr>
            </w:pPr>
          </w:p>
        </w:tc>
        <w:tc>
          <w:tcPr>
            <w:tcW w:w="1217" w:type="dxa"/>
            <w:tcBorders>
              <w:top w:val="nil"/>
              <w:left w:val="nil"/>
              <w:bottom w:val="single" w:sz="4" w:space="0" w:color="auto"/>
              <w:right w:val="single" w:sz="4" w:space="0" w:color="auto"/>
            </w:tcBorders>
            <w:vAlign w:val="center"/>
          </w:tcPr>
          <w:p w14:paraId="4289B362" w14:textId="73607F51" w:rsidR="002B7823" w:rsidRPr="00C2587D" w:rsidRDefault="002B7823" w:rsidP="002B7823">
            <w:pPr>
              <w:jc w:val="center"/>
              <w:rPr>
                <w:rFonts w:cs="Arial"/>
                <w:b/>
                <w:sz w:val="20"/>
                <w:szCs w:val="20"/>
                <w:lang w:eastAsia="it-IT"/>
              </w:rPr>
            </w:pPr>
            <w:r w:rsidRPr="00C2587D">
              <w:rPr>
                <w:rFonts w:cs="Arial"/>
                <w:b/>
                <w:sz w:val="20"/>
                <w:szCs w:val="20"/>
                <w:lang w:eastAsia="it-IT"/>
              </w:rPr>
              <w:t>1 500,0</w:t>
            </w:r>
          </w:p>
        </w:tc>
      </w:tr>
      <w:tr w:rsidR="002B7823" w:rsidRPr="00C2587D" w14:paraId="6DE1AE2B" w14:textId="77777777" w:rsidTr="009A5765">
        <w:trPr>
          <w:jc w:val="center"/>
        </w:trPr>
        <w:tc>
          <w:tcPr>
            <w:tcW w:w="5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D63809" w14:textId="0E036D57" w:rsidR="002B7823" w:rsidRPr="00C2587D" w:rsidRDefault="008315C4" w:rsidP="002B7823">
            <w:pPr>
              <w:jc w:val="both"/>
              <w:rPr>
                <w:rFonts w:cs="Arial"/>
                <w:sz w:val="20"/>
                <w:szCs w:val="20"/>
                <w:lang w:eastAsia="uk-UA"/>
              </w:rPr>
            </w:pPr>
            <w:r>
              <w:rPr>
                <w:rFonts w:cs="Arial"/>
                <w:sz w:val="20"/>
                <w:szCs w:val="20"/>
                <w:lang w:eastAsia="uk-UA"/>
              </w:rPr>
              <w:t>37</w:t>
            </w:r>
            <w:r w:rsidR="002B7823" w:rsidRPr="00C2587D">
              <w:rPr>
                <w:rFonts w:cs="Arial"/>
                <w:sz w:val="20"/>
                <w:szCs w:val="20"/>
                <w:lang w:eastAsia="uk-UA"/>
              </w:rPr>
              <w:t>.</w:t>
            </w:r>
          </w:p>
        </w:tc>
        <w:tc>
          <w:tcPr>
            <w:tcW w:w="4521" w:type="dxa"/>
            <w:tcBorders>
              <w:top w:val="single" w:sz="4" w:space="0" w:color="auto"/>
              <w:left w:val="nil"/>
              <w:bottom w:val="single" w:sz="4" w:space="0" w:color="auto"/>
              <w:right w:val="single" w:sz="4" w:space="0" w:color="auto"/>
            </w:tcBorders>
            <w:shd w:val="clear" w:color="auto" w:fill="auto"/>
          </w:tcPr>
          <w:p w14:paraId="69308377" w14:textId="580141D5" w:rsidR="002B7823" w:rsidRPr="00C2587D" w:rsidRDefault="002B7823" w:rsidP="002B7823">
            <w:pPr>
              <w:spacing w:before="40" w:after="40"/>
              <w:jc w:val="both"/>
              <w:rPr>
                <w:bCs/>
                <w:spacing w:val="-3"/>
                <w:sz w:val="20"/>
                <w:szCs w:val="20"/>
              </w:rPr>
            </w:pPr>
            <w:r w:rsidRPr="00C2587D">
              <w:rPr>
                <w:rFonts w:eastAsia="Arial"/>
                <w:sz w:val="20"/>
                <w:szCs w:val="20"/>
              </w:rPr>
              <w:t>Капітальний ремонт мережі зовнішнього освітлення по вул. Птахіна в м. Жмеринка</w:t>
            </w:r>
          </w:p>
        </w:tc>
        <w:tc>
          <w:tcPr>
            <w:tcW w:w="1162" w:type="dxa"/>
            <w:tcBorders>
              <w:top w:val="nil"/>
              <w:left w:val="nil"/>
              <w:bottom w:val="single" w:sz="4" w:space="0" w:color="auto"/>
              <w:right w:val="single" w:sz="4" w:space="0" w:color="auto"/>
            </w:tcBorders>
            <w:shd w:val="clear" w:color="auto" w:fill="auto"/>
            <w:vAlign w:val="center"/>
          </w:tcPr>
          <w:p w14:paraId="0530500A" w14:textId="77777777" w:rsidR="002B7823" w:rsidRPr="00C2587D" w:rsidRDefault="002B7823" w:rsidP="002B7823">
            <w:pPr>
              <w:jc w:val="center"/>
              <w:rPr>
                <w:rFonts w:cs="Arial"/>
                <w:sz w:val="20"/>
                <w:szCs w:val="20"/>
                <w:lang w:eastAsia="it-IT"/>
              </w:rPr>
            </w:pPr>
          </w:p>
        </w:tc>
        <w:tc>
          <w:tcPr>
            <w:tcW w:w="1329" w:type="dxa"/>
            <w:tcBorders>
              <w:top w:val="nil"/>
              <w:left w:val="nil"/>
              <w:bottom w:val="single" w:sz="4" w:space="0" w:color="auto"/>
              <w:right w:val="single" w:sz="4" w:space="0" w:color="auto"/>
            </w:tcBorders>
            <w:shd w:val="clear" w:color="auto" w:fill="auto"/>
            <w:vAlign w:val="center"/>
          </w:tcPr>
          <w:p w14:paraId="297B4103" w14:textId="43476883" w:rsidR="002B7823" w:rsidRPr="00C2587D" w:rsidRDefault="002B7823" w:rsidP="002B7823">
            <w:pPr>
              <w:jc w:val="center"/>
              <w:rPr>
                <w:rFonts w:cs="Arial"/>
                <w:sz w:val="20"/>
                <w:szCs w:val="20"/>
                <w:lang w:eastAsia="it-IT"/>
              </w:rPr>
            </w:pPr>
            <w:r w:rsidRPr="00C2587D">
              <w:rPr>
                <w:rFonts w:cs="Arial"/>
                <w:sz w:val="20"/>
                <w:szCs w:val="20"/>
                <w:lang w:eastAsia="it-IT"/>
              </w:rPr>
              <w:t>342,2</w:t>
            </w:r>
          </w:p>
        </w:tc>
        <w:tc>
          <w:tcPr>
            <w:tcW w:w="1273" w:type="dxa"/>
            <w:tcBorders>
              <w:top w:val="nil"/>
              <w:left w:val="nil"/>
              <w:bottom w:val="single" w:sz="4" w:space="0" w:color="auto"/>
              <w:right w:val="single" w:sz="4" w:space="0" w:color="auto"/>
            </w:tcBorders>
            <w:shd w:val="clear" w:color="auto" w:fill="auto"/>
            <w:vAlign w:val="center"/>
          </w:tcPr>
          <w:p w14:paraId="7879DE76" w14:textId="77777777" w:rsidR="002B7823" w:rsidRPr="00C2587D" w:rsidRDefault="002B7823" w:rsidP="002B7823">
            <w:pPr>
              <w:jc w:val="center"/>
              <w:rPr>
                <w:rFonts w:cs="Arial"/>
                <w:sz w:val="20"/>
                <w:szCs w:val="20"/>
                <w:lang w:eastAsia="it-IT"/>
              </w:rPr>
            </w:pPr>
          </w:p>
        </w:tc>
        <w:tc>
          <w:tcPr>
            <w:tcW w:w="1273" w:type="dxa"/>
            <w:tcBorders>
              <w:top w:val="nil"/>
              <w:left w:val="nil"/>
              <w:bottom w:val="single" w:sz="4" w:space="0" w:color="auto"/>
              <w:right w:val="single" w:sz="4" w:space="0" w:color="auto"/>
            </w:tcBorders>
            <w:shd w:val="clear" w:color="auto" w:fill="auto"/>
            <w:vAlign w:val="center"/>
          </w:tcPr>
          <w:p w14:paraId="765854EB" w14:textId="77777777" w:rsidR="002B7823" w:rsidRPr="00C2587D" w:rsidRDefault="002B7823" w:rsidP="002B7823">
            <w:pPr>
              <w:jc w:val="center"/>
              <w:rPr>
                <w:rFonts w:cs="Arial"/>
                <w:sz w:val="20"/>
                <w:szCs w:val="20"/>
                <w:lang w:eastAsia="it-IT"/>
              </w:rPr>
            </w:pPr>
          </w:p>
        </w:tc>
        <w:tc>
          <w:tcPr>
            <w:tcW w:w="1217" w:type="dxa"/>
            <w:tcBorders>
              <w:top w:val="nil"/>
              <w:left w:val="nil"/>
              <w:bottom w:val="single" w:sz="4" w:space="0" w:color="auto"/>
              <w:right w:val="single" w:sz="4" w:space="0" w:color="auto"/>
            </w:tcBorders>
            <w:vAlign w:val="center"/>
          </w:tcPr>
          <w:p w14:paraId="35BEA58C" w14:textId="25814527" w:rsidR="002B7823" w:rsidRPr="00C2587D" w:rsidRDefault="002B7823" w:rsidP="002B7823">
            <w:pPr>
              <w:jc w:val="center"/>
              <w:rPr>
                <w:rFonts w:cs="Arial"/>
                <w:b/>
                <w:sz w:val="20"/>
                <w:szCs w:val="20"/>
                <w:lang w:eastAsia="it-IT"/>
              </w:rPr>
            </w:pPr>
            <w:r w:rsidRPr="00C2587D">
              <w:rPr>
                <w:rFonts w:cs="Arial"/>
                <w:b/>
                <w:sz w:val="20"/>
                <w:szCs w:val="20"/>
                <w:lang w:eastAsia="it-IT"/>
              </w:rPr>
              <w:t>342,2</w:t>
            </w:r>
          </w:p>
        </w:tc>
      </w:tr>
      <w:tr w:rsidR="002B7823" w:rsidRPr="00C2587D" w14:paraId="12AA5569" w14:textId="77777777" w:rsidTr="009A5765">
        <w:trPr>
          <w:jc w:val="center"/>
        </w:trPr>
        <w:tc>
          <w:tcPr>
            <w:tcW w:w="5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01097D" w14:textId="30090B1F" w:rsidR="002B7823" w:rsidRPr="00C2587D" w:rsidRDefault="008315C4" w:rsidP="002B7823">
            <w:pPr>
              <w:jc w:val="both"/>
              <w:rPr>
                <w:rFonts w:cs="Arial"/>
                <w:sz w:val="20"/>
                <w:szCs w:val="20"/>
                <w:lang w:eastAsia="uk-UA"/>
              </w:rPr>
            </w:pPr>
            <w:r>
              <w:rPr>
                <w:rFonts w:cs="Arial"/>
                <w:sz w:val="20"/>
                <w:szCs w:val="20"/>
                <w:lang w:eastAsia="uk-UA"/>
              </w:rPr>
              <w:t>38</w:t>
            </w:r>
            <w:r w:rsidR="002B7823" w:rsidRPr="00C2587D">
              <w:rPr>
                <w:rFonts w:cs="Arial"/>
                <w:sz w:val="20"/>
                <w:szCs w:val="20"/>
                <w:lang w:eastAsia="uk-UA"/>
              </w:rPr>
              <w:t>.</w:t>
            </w:r>
          </w:p>
        </w:tc>
        <w:tc>
          <w:tcPr>
            <w:tcW w:w="4521" w:type="dxa"/>
            <w:tcBorders>
              <w:top w:val="single" w:sz="4" w:space="0" w:color="auto"/>
              <w:left w:val="nil"/>
              <w:bottom w:val="single" w:sz="4" w:space="0" w:color="auto"/>
              <w:right w:val="single" w:sz="4" w:space="0" w:color="auto"/>
            </w:tcBorders>
            <w:shd w:val="clear" w:color="auto" w:fill="auto"/>
          </w:tcPr>
          <w:p w14:paraId="03D5D8C1" w14:textId="6B46C1A8" w:rsidR="002B7823" w:rsidRPr="00C2587D" w:rsidRDefault="002B7823" w:rsidP="002B7823">
            <w:pPr>
              <w:spacing w:before="40" w:after="40"/>
              <w:jc w:val="both"/>
              <w:rPr>
                <w:rFonts w:cs="Arial"/>
                <w:sz w:val="20"/>
                <w:szCs w:val="20"/>
                <w:lang w:eastAsia="it-IT"/>
              </w:rPr>
            </w:pPr>
            <w:r w:rsidRPr="00C2587D">
              <w:rPr>
                <w:rFonts w:eastAsia="Arial"/>
                <w:sz w:val="20"/>
                <w:szCs w:val="20"/>
              </w:rPr>
              <w:t>Реконструкція мережі вуличного освітлення в с. Ярошенка, с. Щученці</w:t>
            </w:r>
          </w:p>
        </w:tc>
        <w:tc>
          <w:tcPr>
            <w:tcW w:w="1162" w:type="dxa"/>
            <w:tcBorders>
              <w:top w:val="nil"/>
              <w:left w:val="nil"/>
              <w:bottom w:val="single" w:sz="4" w:space="0" w:color="auto"/>
              <w:right w:val="single" w:sz="4" w:space="0" w:color="auto"/>
            </w:tcBorders>
            <w:shd w:val="clear" w:color="auto" w:fill="auto"/>
            <w:vAlign w:val="center"/>
          </w:tcPr>
          <w:p w14:paraId="3DE91D82" w14:textId="77777777" w:rsidR="002B7823" w:rsidRPr="00C2587D" w:rsidRDefault="002B7823" w:rsidP="002B7823">
            <w:pPr>
              <w:jc w:val="center"/>
              <w:rPr>
                <w:rFonts w:cs="Arial"/>
                <w:sz w:val="20"/>
                <w:szCs w:val="20"/>
                <w:lang w:eastAsia="it-IT"/>
              </w:rPr>
            </w:pPr>
          </w:p>
        </w:tc>
        <w:tc>
          <w:tcPr>
            <w:tcW w:w="1329" w:type="dxa"/>
            <w:tcBorders>
              <w:top w:val="nil"/>
              <w:left w:val="nil"/>
              <w:bottom w:val="single" w:sz="4" w:space="0" w:color="auto"/>
              <w:right w:val="single" w:sz="4" w:space="0" w:color="auto"/>
            </w:tcBorders>
            <w:shd w:val="clear" w:color="auto" w:fill="auto"/>
            <w:vAlign w:val="center"/>
          </w:tcPr>
          <w:p w14:paraId="331DE350" w14:textId="148037BB" w:rsidR="002B7823" w:rsidRPr="00C2587D" w:rsidRDefault="002B7823" w:rsidP="002B7823">
            <w:pPr>
              <w:jc w:val="center"/>
              <w:rPr>
                <w:rFonts w:cs="Arial"/>
                <w:sz w:val="20"/>
                <w:szCs w:val="20"/>
                <w:lang w:eastAsia="it-IT"/>
              </w:rPr>
            </w:pPr>
            <w:r w:rsidRPr="00C2587D">
              <w:rPr>
                <w:rFonts w:cs="Arial"/>
                <w:sz w:val="20"/>
                <w:szCs w:val="20"/>
                <w:lang w:eastAsia="it-IT"/>
              </w:rPr>
              <w:t>1 257,5</w:t>
            </w:r>
          </w:p>
        </w:tc>
        <w:tc>
          <w:tcPr>
            <w:tcW w:w="1273" w:type="dxa"/>
            <w:tcBorders>
              <w:top w:val="nil"/>
              <w:left w:val="nil"/>
              <w:bottom w:val="single" w:sz="4" w:space="0" w:color="auto"/>
              <w:right w:val="single" w:sz="4" w:space="0" w:color="auto"/>
            </w:tcBorders>
            <w:shd w:val="clear" w:color="auto" w:fill="auto"/>
            <w:vAlign w:val="center"/>
          </w:tcPr>
          <w:p w14:paraId="1CA63ACC" w14:textId="77777777" w:rsidR="002B7823" w:rsidRPr="00C2587D" w:rsidRDefault="002B7823" w:rsidP="002B7823">
            <w:pPr>
              <w:jc w:val="center"/>
              <w:rPr>
                <w:rFonts w:cs="Arial"/>
                <w:sz w:val="20"/>
                <w:szCs w:val="20"/>
                <w:lang w:eastAsia="it-IT"/>
              </w:rPr>
            </w:pPr>
          </w:p>
        </w:tc>
        <w:tc>
          <w:tcPr>
            <w:tcW w:w="1273" w:type="dxa"/>
            <w:tcBorders>
              <w:top w:val="nil"/>
              <w:left w:val="nil"/>
              <w:bottom w:val="single" w:sz="4" w:space="0" w:color="auto"/>
              <w:right w:val="single" w:sz="4" w:space="0" w:color="auto"/>
            </w:tcBorders>
            <w:shd w:val="clear" w:color="auto" w:fill="auto"/>
            <w:vAlign w:val="center"/>
          </w:tcPr>
          <w:p w14:paraId="302A6992" w14:textId="77777777" w:rsidR="002B7823" w:rsidRPr="00C2587D" w:rsidRDefault="002B7823" w:rsidP="002B7823">
            <w:pPr>
              <w:jc w:val="center"/>
              <w:rPr>
                <w:rFonts w:cs="Arial"/>
                <w:sz w:val="20"/>
                <w:szCs w:val="20"/>
                <w:lang w:eastAsia="it-IT"/>
              </w:rPr>
            </w:pPr>
          </w:p>
        </w:tc>
        <w:tc>
          <w:tcPr>
            <w:tcW w:w="1217" w:type="dxa"/>
            <w:tcBorders>
              <w:top w:val="nil"/>
              <w:left w:val="nil"/>
              <w:bottom w:val="single" w:sz="4" w:space="0" w:color="auto"/>
              <w:right w:val="single" w:sz="4" w:space="0" w:color="auto"/>
            </w:tcBorders>
            <w:vAlign w:val="center"/>
          </w:tcPr>
          <w:p w14:paraId="6620C820" w14:textId="15E6B16A" w:rsidR="002B7823" w:rsidRPr="00C2587D" w:rsidRDefault="002B7823" w:rsidP="002B7823">
            <w:pPr>
              <w:jc w:val="center"/>
              <w:rPr>
                <w:rFonts w:cs="Arial"/>
                <w:b/>
                <w:sz w:val="20"/>
                <w:szCs w:val="20"/>
                <w:lang w:eastAsia="it-IT"/>
              </w:rPr>
            </w:pPr>
            <w:r w:rsidRPr="00C2587D">
              <w:rPr>
                <w:rFonts w:cs="Arial"/>
                <w:b/>
                <w:sz w:val="20"/>
                <w:szCs w:val="20"/>
                <w:lang w:eastAsia="it-IT"/>
              </w:rPr>
              <w:t>1 257,5</w:t>
            </w:r>
          </w:p>
        </w:tc>
      </w:tr>
      <w:tr w:rsidR="002B7823" w:rsidRPr="00C2587D" w14:paraId="4D1A8BC6" w14:textId="77777777" w:rsidTr="009A5765">
        <w:trPr>
          <w:jc w:val="center"/>
        </w:trPr>
        <w:tc>
          <w:tcPr>
            <w:tcW w:w="5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9A21ED" w14:textId="6D9C9E7D" w:rsidR="002B7823" w:rsidRPr="00C2587D" w:rsidRDefault="008315C4" w:rsidP="002B7823">
            <w:pPr>
              <w:jc w:val="both"/>
              <w:rPr>
                <w:rFonts w:cs="Arial"/>
                <w:sz w:val="20"/>
                <w:szCs w:val="20"/>
                <w:lang w:eastAsia="uk-UA"/>
              </w:rPr>
            </w:pPr>
            <w:r>
              <w:rPr>
                <w:rFonts w:cs="Arial"/>
                <w:sz w:val="20"/>
                <w:szCs w:val="20"/>
                <w:lang w:eastAsia="uk-UA"/>
              </w:rPr>
              <w:t>39</w:t>
            </w:r>
            <w:r w:rsidR="002B7823" w:rsidRPr="00C2587D">
              <w:rPr>
                <w:rFonts w:cs="Arial"/>
                <w:sz w:val="20"/>
                <w:szCs w:val="20"/>
                <w:lang w:eastAsia="uk-UA"/>
              </w:rPr>
              <w:t>.</w:t>
            </w:r>
          </w:p>
        </w:tc>
        <w:tc>
          <w:tcPr>
            <w:tcW w:w="4521" w:type="dxa"/>
            <w:tcBorders>
              <w:top w:val="single" w:sz="4" w:space="0" w:color="auto"/>
              <w:left w:val="nil"/>
              <w:bottom w:val="single" w:sz="4" w:space="0" w:color="auto"/>
              <w:right w:val="single" w:sz="4" w:space="0" w:color="auto"/>
            </w:tcBorders>
            <w:shd w:val="clear" w:color="auto" w:fill="auto"/>
          </w:tcPr>
          <w:p w14:paraId="28142D62" w14:textId="4E30F6FD" w:rsidR="002B7823" w:rsidRPr="00C2587D" w:rsidRDefault="002B7823" w:rsidP="002B7823">
            <w:pPr>
              <w:spacing w:before="40" w:after="40"/>
              <w:jc w:val="both"/>
              <w:rPr>
                <w:rFonts w:cs="Arial"/>
                <w:sz w:val="20"/>
                <w:szCs w:val="20"/>
                <w:lang w:eastAsia="it-IT"/>
              </w:rPr>
            </w:pPr>
            <w:r w:rsidRPr="00C2587D">
              <w:rPr>
                <w:rFonts w:eastAsia="Arial"/>
                <w:sz w:val="20"/>
                <w:szCs w:val="20"/>
              </w:rPr>
              <w:t>Капітальний ремонт мережі вуличного освітлення частини села Подільське ТП-87 Леляцького старостинського округу Жмеринської територіальної громади</w:t>
            </w:r>
          </w:p>
        </w:tc>
        <w:tc>
          <w:tcPr>
            <w:tcW w:w="1162" w:type="dxa"/>
            <w:tcBorders>
              <w:top w:val="nil"/>
              <w:left w:val="nil"/>
              <w:bottom w:val="single" w:sz="4" w:space="0" w:color="auto"/>
              <w:right w:val="single" w:sz="4" w:space="0" w:color="auto"/>
            </w:tcBorders>
            <w:shd w:val="clear" w:color="auto" w:fill="auto"/>
            <w:vAlign w:val="center"/>
          </w:tcPr>
          <w:p w14:paraId="291DC97E" w14:textId="77777777" w:rsidR="002B7823" w:rsidRPr="00C2587D" w:rsidRDefault="002B7823" w:rsidP="002B7823">
            <w:pPr>
              <w:jc w:val="center"/>
              <w:rPr>
                <w:rFonts w:cs="Arial"/>
                <w:sz w:val="20"/>
                <w:szCs w:val="20"/>
                <w:lang w:eastAsia="it-IT"/>
              </w:rPr>
            </w:pPr>
          </w:p>
        </w:tc>
        <w:tc>
          <w:tcPr>
            <w:tcW w:w="1329" w:type="dxa"/>
            <w:tcBorders>
              <w:top w:val="nil"/>
              <w:left w:val="nil"/>
              <w:bottom w:val="single" w:sz="4" w:space="0" w:color="auto"/>
              <w:right w:val="single" w:sz="4" w:space="0" w:color="auto"/>
            </w:tcBorders>
            <w:shd w:val="clear" w:color="auto" w:fill="auto"/>
            <w:vAlign w:val="center"/>
          </w:tcPr>
          <w:p w14:paraId="76C7A5C9" w14:textId="47802CB0" w:rsidR="002B7823" w:rsidRPr="00C2587D" w:rsidRDefault="002B7823" w:rsidP="002B7823">
            <w:pPr>
              <w:jc w:val="center"/>
              <w:rPr>
                <w:rFonts w:cs="Arial"/>
                <w:sz w:val="20"/>
                <w:szCs w:val="20"/>
                <w:lang w:eastAsia="it-IT"/>
              </w:rPr>
            </w:pPr>
            <w:r w:rsidRPr="00C2587D">
              <w:rPr>
                <w:rFonts w:cs="Arial"/>
                <w:sz w:val="20"/>
                <w:szCs w:val="20"/>
                <w:lang w:eastAsia="it-IT"/>
              </w:rPr>
              <w:t>297,3</w:t>
            </w:r>
          </w:p>
        </w:tc>
        <w:tc>
          <w:tcPr>
            <w:tcW w:w="1273" w:type="dxa"/>
            <w:tcBorders>
              <w:top w:val="nil"/>
              <w:left w:val="nil"/>
              <w:bottom w:val="single" w:sz="4" w:space="0" w:color="auto"/>
              <w:right w:val="single" w:sz="4" w:space="0" w:color="auto"/>
            </w:tcBorders>
            <w:shd w:val="clear" w:color="auto" w:fill="auto"/>
            <w:vAlign w:val="center"/>
          </w:tcPr>
          <w:p w14:paraId="64300701" w14:textId="77777777" w:rsidR="002B7823" w:rsidRPr="00C2587D" w:rsidRDefault="002B7823" w:rsidP="002B7823">
            <w:pPr>
              <w:jc w:val="center"/>
              <w:rPr>
                <w:rFonts w:cs="Arial"/>
                <w:sz w:val="20"/>
                <w:szCs w:val="20"/>
                <w:lang w:eastAsia="it-IT"/>
              </w:rPr>
            </w:pPr>
          </w:p>
        </w:tc>
        <w:tc>
          <w:tcPr>
            <w:tcW w:w="1273" w:type="dxa"/>
            <w:tcBorders>
              <w:top w:val="nil"/>
              <w:left w:val="nil"/>
              <w:bottom w:val="single" w:sz="4" w:space="0" w:color="auto"/>
              <w:right w:val="single" w:sz="4" w:space="0" w:color="auto"/>
            </w:tcBorders>
            <w:shd w:val="clear" w:color="auto" w:fill="auto"/>
            <w:vAlign w:val="center"/>
          </w:tcPr>
          <w:p w14:paraId="21899C4A" w14:textId="77777777" w:rsidR="002B7823" w:rsidRPr="00C2587D" w:rsidRDefault="002B7823" w:rsidP="002B7823">
            <w:pPr>
              <w:jc w:val="center"/>
              <w:rPr>
                <w:rFonts w:cs="Arial"/>
                <w:sz w:val="20"/>
                <w:szCs w:val="20"/>
                <w:lang w:eastAsia="it-IT"/>
              </w:rPr>
            </w:pPr>
          </w:p>
        </w:tc>
        <w:tc>
          <w:tcPr>
            <w:tcW w:w="1217" w:type="dxa"/>
            <w:tcBorders>
              <w:top w:val="nil"/>
              <w:left w:val="nil"/>
              <w:bottom w:val="single" w:sz="4" w:space="0" w:color="auto"/>
              <w:right w:val="single" w:sz="4" w:space="0" w:color="auto"/>
            </w:tcBorders>
            <w:vAlign w:val="center"/>
          </w:tcPr>
          <w:p w14:paraId="373D7E14" w14:textId="1B3F418B" w:rsidR="002B7823" w:rsidRPr="00C2587D" w:rsidRDefault="002B7823" w:rsidP="002B7823">
            <w:pPr>
              <w:jc w:val="center"/>
              <w:rPr>
                <w:rFonts w:cs="Arial"/>
                <w:b/>
                <w:sz w:val="20"/>
                <w:szCs w:val="20"/>
                <w:lang w:eastAsia="it-IT"/>
              </w:rPr>
            </w:pPr>
            <w:r w:rsidRPr="00C2587D">
              <w:rPr>
                <w:rFonts w:cs="Arial"/>
                <w:b/>
                <w:sz w:val="20"/>
                <w:szCs w:val="20"/>
                <w:lang w:eastAsia="it-IT"/>
              </w:rPr>
              <w:t>297,3</w:t>
            </w:r>
          </w:p>
        </w:tc>
      </w:tr>
      <w:tr w:rsidR="002B7823" w:rsidRPr="00C2587D" w14:paraId="4EB5619F" w14:textId="77777777" w:rsidTr="00682193">
        <w:trPr>
          <w:trHeight w:val="560"/>
          <w:jc w:val="center"/>
        </w:trPr>
        <w:tc>
          <w:tcPr>
            <w:tcW w:w="5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0F6225" w14:textId="7E6FFDD8" w:rsidR="002B7823" w:rsidRPr="00C2587D" w:rsidRDefault="008315C4" w:rsidP="002B7823">
            <w:pPr>
              <w:jc w:val="both"/>
              <w:rPr>
                <w:rFonts w:cs="Arial"/>
                <w:sz w:val="20"/>
                <w:szCs w:val="20"/>
                <w:lang w:eastAsia="uk-UA"/>
              </w:rPr>
            </w:pPr>
            <w:r>
              <w:rPr>
                <w:rFonts w:cs="Arial"/>
                <w:sz w:val="20"/>
                <w:szCs w:val="20"/>
                <w:lang w:eastAsia="uk-UA"/>
              </w:rPr>
              <w:t>40</w:t>
            </w:r>
            <w:r w:rsidR="002B7823" w:rsidRPr="00C2587D">
              <w:rPr>
                <w:rFonts w:cs="Arial"/>
                <w:sz w:val="20"/>
                <w:szCs w:val="20"/>
                <w:lang w:eastAsia="uk-UA"/>
              </w:rPr>
              <w:t>.</w:t>
            </w:r>
          </w:p>
        </w:tc>
        <w:tc>
          <w:tcPr>
            <w:tcW w:w="4521" w:type="dxa"/>
            <w:tcBorders>
              <w:top w:val="single" w:sz="4" w:space="0" w:color="auto"/>
              <w:left w:val="nil"/>
              <w:bottom w:val="single" w:sz="4" w:space="0" w:color="auto"/>
              <w:right w:val="single" w:sz="4" w:space="0" w:color="auto"/>
            </w:tcBorders>
            <w:shd w:val="clear" w:color="auto" w:fill="auto"/>
            <w:vAlign w:val="center"/>
          </w:tcPr>
          <w:p w14:paraId="2134D7F2" w14:textId="64C230A9" w:rsidR="002B7823" w:rsidRPr="00C2587D" w:rsidRDefault="002B7823" w:rsidP="002B7823">
            <w:pPr>
              <w:spacing w:before="40" w:after="40"/>
              <w:jc w:val="both"/>
              <w:rPr>
                <w:rFonts w:eastAsia="Arial"/>
                <w:sz w:val="20"/>
                <w:szCs w:val="20"/>
              </w:rPr>
            </w:pPr>
            <w:r w:rsidRPr="00C2587D">
              <w:rPr>
                <w:rFonts w:cs="Arial"/>
                <w:sz w:val="20"/>
                <w:szCs w:val="20"/>
                <w:lang w:eastAsia="it-IT"/>
              </w:rPr>
              <w:t>Встановлення сучасних автобусних зупинок</w:t>
            </w:r>
          </w:p>
        </w:tc>
        <w:tc>
          <w:tcPr>
            <w:tcW w:w="1162" w:type="dxa"/>
            <w:tcBorders>
              <w:top w:val="nil"/>
              <w:left w:val="nil"/>
              <w:bottom w:val="single" w:sz="4" w:space="0" w:color="auto"/>
              <w:right w:val="single" w:sz="4" w:space="0" w:color="auto"/>
            </w:tcBorders>
            <w:shd w:val="clear" w:color="auto" w:fill="auto"/>
            <w:vAlign w:val="center"/>
          </w:tcPr>
          <w:p w14:paraId="034D22BA" w14:textId="08D1A1F5" w:rsidR="002B7823" w:rsidRPr="00C2587D" w:rsidRDefault="002B7823" w:rsidP="002B7823">
            <w:pPr>
              <w:jc w:val="center"/>
              <w:rPr>
                <w:rFonts w:cs="Arial"/>
                <w:sz w:val="20"/>
                <w:szCs w:val="20"/>
                <w:lang w:eastAsia="it-IT"/>
              </w:rPr>
            </w:pPr>
            <w:r w:rsidRPr="00C2587D">
              <w:rPr>
                <w:rFonts w:cs="Arial"/>
                <w:sz w:val="20"/>
                <w:szCs w:val="20"/>
                <w:lang w:eastAsia="it-IT"/>
              </w:rPr>
              <w:t>500,0</w:t>
            </w:r>
          </w:p>
        </w:tc>
        <w:tc>
          <w:tcPr>
            <w:tcW w:w="1329" w:type="dxa"/>
            <w:tcBorders>
              <w:top w:val="nil"/>
              <w:left w:val="nil"/>
              <w:bottom w:val="single" w:sz="4" w:space="0" w:color="auto"/>
              <w:right w:val="single" w:sz="4" w:space="0" w:color="auto"/>
            </w:tcBorders>
            <w:shd w:val="clear" w:color="auto" w:fill="auto"/>
            <w:vAlign w:val="center"/>
          </w:tcPr>
          <w:p w14:paraId="4139FBCF" w14:textId="7ACA9D7B" w:rsidR="002B7823" w:rsidRPr="00C2587D" w:rsidRDefault="002B7823" w:rsidP="002B7823">
            <w:pPr>
              <w:jc w:val="center"/>
              <w:rPr>
                <w:rFonts w:cs="Arial"/>
                <w:sz w:val="20"/>
                <w:szCs w:val="20"/>
                <w:lang w:eastAsia="it-IT"/>
              </w:rPr>
            </w:pPr>
          </w:p>
        </w:tc>
        <w:tc>
          <w:tcPr>
            <w:tcW w:w="1273" w:type="dxa"/>
            <w:tcBorders>
              <w:top w:val="nil"/>
              <w:left w:val="nil"/>
              <w:bottom w:val="single" w:sz="4" w:space="0" w:color="auto"/>
              <w:right w:val="single" w:sz="4" w:space="0" w:color="auto"/>
            </w:tcBorders>
            <w:shd w:val="clear" w:color="auto" w:fill="auto"/>
            <w:vAlign w:val="center"/>
          </w:tcPr>
          <w:p w14:paraId="687DFD8E" w14:textId="77777777" w:rsidR="002B7823" w:rsidRPr="00C2587D" w:rsidRDefault="002B7823" w:rsidP="002B7823">
            <w:pPr>
              <w:jc w:val="center"/>
              <w:rPr>
                <w:rFonts w:cs="Arial"/>
                <w:sz w:val="20"/>
                <w:szCs w:val="20"/>
                <w:lang w:eastAsia="it-IT"/>
              </w:rPr>
            </w:pPr>
          </w:p>
        </w:tc>
        <w:tc>
          <w:tcPr>
            <w:tcW w:w="1273" w:type="dxa"/>
            <w:tcBorders>
              <w:top w:val="nil"/>
              <w:left w:val="nil"/>
              <w:bottom w:val="single" w:sz="4" w:space="0" w:color="auto"/>
              <w:right w:val="single" w:sz="4" w:space="0" w:color="auto"/>
            </w:tcBorders>
            <w:shd w:val="clear" w:color="auto" w:fill="auto"/>
            <w:vAlign w:val="center"/>
          </w:tcPr>
          <w:p w14:paraId="44751AC2" w14:textId="77777777" w:rsidR="002B7823" w:rsidRPr="00C2587D" w:rsidRDefault="002B7823" w:rsidP="002B7823">
            <w:pPr>
              <w:jc w:val="center"/>
              <w:rPr>
                <w:rFonts w:cs="Arial"/>
                <w:sz w:val="20"/>
                <w:szCs w:val="20"/>
                <w:lang w:eastAsia="it-IT"/>
              </w:rPr>
            </w:pPr>
          </w:p>
        </w:tc>
        <w:tc>
          <w:tcPr>
            <w:tcW w:w="1217" w:type="dxa"/>
            <w:tcBorders>
              <w:top w:val="nil"/>
              <w:left w:val="nil"/>
              <w:bottom w:val="single" w:sz="4" w:space="0" w:color="auto"/>
              <w:right w:val="single" w:sz="4" w:space="0" w:color="auto"/>
            </w:tcBorders>
            <w:vAlign w:val="center"/>
          </w:tcPr>
          <w:p w14:paraId="5B906D13" w14:textId="6D3EF052" w:rsidR="002B7823" w:rsidRPr="00C2587D" w:rsidRDefault="002B7823" w:rsidP="002B7823">
            <w:pPr>
              <w:jc w:val="center"/>
              <w:rPr>
                <w:rFonts w:cs="Arial"/>
                <w:b/>
                <w:sz w:val="20"/>
                <w:szCs w:val="20"/>
                <w:lang w:eastAsia="it-IT"/>
              </w:rPr>
            </w:pPr>
            <w:r w:rsidRPr="00C2587D">
              <w:rPr>
                <w:rFonts w:cs="Arial"/>
                <w:b/>
                <w:sz w:val="20"/>
                <w:szCs w:val="20"/>
                <w:lang w:eastAsia="it-IT"/>
              </w:rPr>
              <w:t>500,0</w:t>
            </w:r>
          </w:p>
        </w:tc>
      </w:tr>
      <w:tr w:rsidR="002B7823" w:rsidRPr="00C2587D" w14:paraId="47E5536C" w14:textId="77777777" w:rsidTr="009A5765">
        <w:trPr>
          <w:jc w:val="center"/>
        </w:trPr>
        <w:tc>
          <w:tcPr>
            <w:tcW w:w="5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290E5A" w14:textId="1E65E852" w:rsidR="002B7823" w:rsidRPr="00C2587D" w:rsidRDefault="008315C4" w:rsidP="002B7823">
            <w:pPr>
              <w:jc w:val="both"/>
              <w:rPr>
                <w:rFonts w:cs="Arial"/>
                <w:sz w:val="20"/>
                <w:szCs w:val="20"/>
                <w:lang w:eastAsia="uk-UA"/>
              </w:rPr>
            </w:pPr>
            <w:r>
              <w:rPr>
                <w:rFonts w:cs="Arial"/>
                <w:sz w:val="20"/>
                <w:szCs w:val="20"/>
                <w:lang w:eastAsia="uk-UA"/>
              </w:rPr>
              <w:t>41</w:t>
            </w:r>
            <w:r w:rsidR="002B7823" w:rsidRPr="00C2587D">
              <w:rPr>
                <w:rFonts w:cs="Arial"/>
                <w:sz w:val="20"/>
                <w:szCs w:val="20"/>
                <w:lang w:eastAsia="uk-UA"/>
              </w:rPr>
              <w:t>.</w:t>
            </w:r>
          </w:p>
        </w:tc>
        <w:tc>
          <w:tcPr>
            <w:tcW w:w="4521" w:type="dxa"/>
            <w:tcBorders>
              <w:top w:val="single" w:sz="4" w:space="0" w:color="auto"/>
              <w:left w:val="nil"/>
              <w:bottom w:val="single" w:sz="4" w:space="0" w:color="auto"/>
              <w:right w:val="single" w:sz="4" w:space="0" w:color="auto"/>
            </w:tcBorders>
            <w:shd w:val="clear" w:color="auto" w:fill="auto"/>
          </w:tcPr>
          <w:p w14:paraId="18186D36" w14:textId="22965C19" w:rsidR="002B7823" w:rsidRPr="00C2587D" w:rsidRDefault="002B7823" w:rsidP="002B7823">
            <w:pPr>
              <w:spacing w:before="40" w:after="40"/>
              <w:jc w:val="both"/>
              <w:rPr>
                <w:rFonts w:cs="Arial"/>
                <w:sz w:val="20"/>
                <w:szCs w:val="20"/>
                <w:lang w:eastAsia="it-IT"/>
              </w:rPr>
            </w:pPr>
            <w:r w:rsidRPr="00C2587D">
              <w:rPr>
                <w:rFonts w:eastAsia="Arial"/>
                <w:sz w:val="20"/>
                <w:szCs w:val="20"/>
              </w:rPr>
              <w:t>Капітальний ремонт покрівлі житлового будинку по вул. В. Брезденюка, 53</w:t>
            </w:r>
          </w:p>
        </w:tc>
        <w:tc>
          <w:tcPr>
            <w:tcW w:w="1162" w:type="dxa"/>
            <w:tcBorders>
              <w:top w:val="nil"/>
              <w:left w:val="nil"/>
              <w:bottom w:val="single" w:sz="4" w:space="0" w:color="auto"/>
              <w:right w:val="single" w:sz="4" w:space="0" w:color="auto"/>
            </w:tcBorders>
            <w:shd w:val="clear" w:color="auto" w:fill="auto"/>
            <w:vAlign w:val="center"/>
          </w:tcPr>
          <w:p w14:paraId="7C227446" w14:textId="1CE59BBF" w:rsidR="002B7823" w:rsidRPr="00C2587D" w:rsidRDefault="002B7823" w:rsidP="002B7823">
            <w:pPr>
              <w:jc w:val="center"/>
              <w:rPr>
                <w:rFonts w:cs="Arial"/>
                <w:sz w:val="20"/>
                <w:szCs w:val="20"/>
                <w:lang w:eastAsia="it-IT"/>
              </w:rPr>
            </w:pPr>
          </w:p>
        </w:tc>
        <w:tc>
          <w:tcPr>
            <w:tcW w:w="1329" w:type="dxa"/>
            <w:tcBorders>
              <w:top w:val="nil"/>
              <w:left w:val="nil"/>
              <w:bottom w:val="single" w:sz="4" w:space="0" w:color="auto"/>
              <w:right w:val="single" w:sz="4" w:space="0" w:color="auto"/>
            </w:tcBorders>
            <w:shd w:val="clear" w:color="auto" w:fill="auto"/>
            <w:vAlign w:val="center"/>
          </w:tcPr>
          <w:p w14:paraId="50D3A275" w14:textId="7D57EA8B" w:rsidR="002B7823" w:rsidRPr="00C2587D" w:rsidRDefault="002B7823" w:rsidP="002B7823">
            <w:pPr>
              <w:jc w:val="center"/>
              <w:rPr>
                <w:rFonts w:cs="Arial"/>
                <w:sz w:val="20"/>
                <w:szCs w:val="20"/>
                <w:lang w:eastAsia="it-IT"/>
              </w:rPr>
            </w:pPr>
            <w:r w:rsidRPr="00C2587D">
              <w:rPr>
                <w:rFonts w:cs="Arial"/>
                <w:sz w:val="20"/>
                <w:szCs w:val="20"/>
                <w:lang w:eastAsia="it-IT"/>
              </w:rPr>
              <w:t>229,1</w:t>
            </w:r>
          </w:p>
        </w:tc>
        <w:tc>
          <w:tcPr>
            <w:tcW w:w="1273" w:type="dxa"/>
            <w:tcBorders>
              <w:top w:val="nil"/>
              <w:left w:val="nil"/>
              <w:bottom w:val="single" w:sz="4" w:space="0" w:color="auto"/>
              <w:right w:val="single" w:sz="4" w:space="0" w:color="auto"/>
            </w:tcBorders>
            <w:shd w:val="clear" w:color="auto" w:fill="auto"/>
            <w:vAlign w:val="center"/>
          </w:tcPr>
          <w:p w14:paraId="620C3440" w14:textId="77777777" w:rsidR="002B7823" w:rsidRPr="00C2587D" w:rsidRDefault="002B7823" w:rsidP="002B7823">
            <w:pPr>
              <w:jc w:val="center"/>
              <w:rPr>
                <w:rFonts w:cs="Arial"/>
                <w:sz w:val="20"/>
                <w:szCs w:val="20"/>
                <w:lang w:eastAsia="it-IT"/>
              </w:rPr>
            </w:pPr>
          </w:p>
        </w:tc>
        <w:tc>
          <w:tcPr>
            <w:tcW w:w="1273" w:type="dxa"/>
            <w:tcBorders>
              <w:top w:val="nil"/>
              <w:left w:val="nil"/>
              <w:bottom w:val="single" w:sz="4" w:space="0" w:color="auto"/>
              <w:right w:val="single" w:sz="4" w:space="0" w:color="auto"/>
            </w:tcBorders>
            <w:shd w:val="clear" w:color="auto" w:fill="auto"/>
            <w:vAlign w:val="center"/>
          </w:tcPr>
          <w:p w14:paraId="093D5B9D" w14:textId="77777777" w:rsidR="002B7823" w:rsidRPr="00C2587D" w:rsidRDefault="002B7823" w:rsidP="002B7823">
            <w:pPr>
              <w:jc w:val="center"/>
              <w:rPr>
                <w:rFonts w:cs="Arial"/>
                <w:sz w:val="20"/>
                <w:szCs w:val="20"/>
                <w:lang w:eastAsia="it-IT"/>
              </w:rPr>
            </w:pPr>
          </w:p>
        </w:tc>
        <w:tc>
          <w:tcPr>
            <w:tcW w:w="1217" w:type="dxa"/>
            <w:tcBorders>
              <w:top w:val="nil"/>
              <w:left w:val="nil"/>
              <w:bottom w:val="single" w:sz="4" w:space="0" w:color="auto"/>
              <w:right w:val="single" w:sz="4" w:space="0" w:color="auto"/>
            </w:tcBorders>
            <w:vAlign w:val="center"/>
          </w:tcPr>
          <w:p w14:paraId="11F039C7" w14:textId="30CDD0EE" w:rsidR="002B7823" w:rsidRPr="00C2587D" w:rsidRDefault="002B7823" w:rsidP="002B7823">
            <w:pPr>
              <w:jc w:val="center"/>
              <w:rPr>
                <w:rFonts w:cs="Arial"/>
                <w:b/>
                <w:sz w:val="20"/>
                <w:szCs w:val="20"/>
                <w:lang w:eastAsia="it-IT"/>
              </w:rPr>
            </w:pPr>
            <w:r w:rsidRPr="00C2587D">
              <w:rPr>
                <w:rFonts w:cs="Arial"/>
                <w:b/>
                <w:sz w:val="20"/>
                <w:szCs w:val="20"/>
                <w:lang w:eastAsia="it-IT"/>
              </w:rPr>
              <w:t>229,1</w:t>
            </w:r>
          </w:p>
        </w:tc>
      </w:tr>
      <w:tr w:rsidR="002B7823" w:rsidRPr="00C2587D" w14:paraId="27A76838" w14:textId="77777777" w:rsidTr="009A5765">
        <w:trPr>
          <w:jc w:val="center"/>
        </w:trPr>
        <w:tc>
          <w:tcPr>
            <w:tcW w:w="5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382EF7" w14:textId="02CE7411" w:rsidR="002B7823" w:rsidRPr="00C2587D" w:rsidRDefault="002B7823" w:rsidP="008315C4">
            <w:pPr>
              <w:jc w:val="both"/>
              <w:rPr>
                <w:rFonts w:cs="Arial"/>
                <w:sz w:val="20"/>
                <w:szCs w:val="20"/>
                <w:lang w:eastAsia="uk-UA"/>
              </w:rPr>
            </w:pPr>
            <w:r w:rsidRPr="00C2587D">
              <w:rPr>
                <w:rFonts w:cs="Arial"/>
                <w:sz w:val="20"/>
                <w:szCs w:val="20"/>
                <w:lang w:eastAsia="uk-UA"/>
              </w:rPr>
              <w:t>4</w:t>
            </w:r>
            <w:r w:rsidR="008315C4">
              <w:rPr>
                <w:rFonts w:cs="Arial"/>
                <w:sz w:val="20"/>
                <w:szCs w:val="20"/>
                <w:lang w:eastAsia="uk-UA"/>
              </w:rPr>
              <w:t>2</w:t>
            </w:r>
            <w:r w:rsidRPr="00C2587D">
              <w:rPr>
                <w:rFonts w:cs="Arial"/>
                <w:sz w:val="20"/>
                <w:szCs w:val="20"/>
                <w:lang w:eastAsia="uk-UA"/>
              </w:rPr>
              <w:t>.</w:t>
            </w:r>
          </w:p>
        </w:tc>
        <w:tc>
          <w:tcPr>
            <w:tcW w:w="4521" w:type="dxa"/>
            <w:tcBorders>
              <w:top w:val="single" w:sz="4" w:space="0" w:color="auto"/>
              <w:left w:val="nil"/>
              <w:bottom w:val="single" w:sz="4" w:space="0" w:color="auto"/>
              <w:right w:val="single" w:sz="4" w:space="0" w:color="auto"/>
            </w:tcBorders>
            <w:shd w:val="clear" w:color="auto" w:fill="auto"/>
          </w:tcPr>
          <w:p w14:paraId="246E79F2" w14:textId="62D50CCE" w:rsidR="002B7823" w:rsidRPr="00C2587D" w:rsidRDefault="002B7823" w:rsidP="002B7823">
            <w:pPr>
              <w:spacing w:before="40" w:after="40"/>
              <w:jc w:val="both"/>
              <w:rPr>
                <w:rFonts w:eastAsia="Arial"/>
                <w:sz w:val="20"/>
                <w:szCs w:val="20"/>
              </w:rPr>
            </w:pPr>
            <w:r w:rsidRPr="00C2587D">
              <w:rPr>
                <w:rFonts w:eastAsia="Arial"/>
                <w:sz w:val="20"/>
                <w:szCs w:val="20"/>
              </w:rPr>
              <w:t>Капітальний ремонт багатоквартирного житлового будинку по вул. Пушкіна, 1 в м. Жмеринка Вінницької області (усунення аварійної ситуації)</w:t>
            </w:r>
          </w:p>
        </w:tc>
        <w:tc>
          <w:tcPr>
            <w:tcW w:w="1162" w:type="dxa"/>
            <w:tcBorders>
              <w:top w:val="nil"/>
              <w:left w:val="nil"/>
              <w:bottom w:val="single" w:sz="4" w:space="0" w:color="auto"/>
              <w:right w:val="single" w:sz="4" w:space="0" w:color="auto"/>
            </w:tcBorders>
            <w:shd w:val="clear" w:color="auto" w:fill="auto"/>
            <w:vAlign w:val="center"/>
          </w:tcPr>
          <w:p w14:paraId="3D4905F1" w14:textId="77777777" w:rsidR="002B7823" w:rsidRPr="00C2587D" w:rsidRDefault="002B7823" w:rsidP="002B7823">
            <w:pPr>
              <w:jc w:val="center"/>
              <w:rPr>
                <w:rFonts w:cs="Arial"/>
                <w:sz w:val="20"/>
                <w:szCs w:val="20"/>
                <w:lang w:eastAsia="it-IT"/>
              </w:rPr>
            </w:pPr>
          </w:p>
        </w:tc>
        <w:tc>
          <w:tcPr>
            <w:tcW w:w="1329" w:type="dxa"/>
            <w:tcBorders>
              <w:top w:val="nil"/>
              <w:left w:val="nil"/>
              <w:bottom w:val="single" w:sz="4" w:space="0" w:color="auto"/>
              <w:right w:val="single" w:sz="4" w:space="0" w:color="auto"/>
            </w:tcBorders>
            <w:shd w:val="clear" w:color="auto" w:fill="auto"/>
            <w:vAlign w:val="center"/>
          </w:tcPr>
          <w:p w14:paraId="3575BDE7" w14:textId="22592C94" w:rsidR="002B7823" w:rsidRPr="00C2587D" w:rsidRDefault="002B7823" w:rsidP="002B7823">
            <w:pPr>
              <w:jc w:val="center"/>
              <w:rPr>
                <w:rFonts w:cs="Arial"/>
                <w:sz w:val="20"/>
                <w:szCs w:val="20"/>
                <w:lang w:eastAsia="it-IT"/>
              </w:rPr>
            </w:pPr>
            <w:r w:rsidRPr="00C2587D">
              <w:rPr>
                <w:rFonts w:cs="Arial"/>
                <w:sz w:val="20"/>
                <w:szCs w:val="20"/>
                <w:lang w:eastAsia="it-IT"/>
              </w:rPr>
              <w:t>7 000,0</w:t>
            </w:r>
          </w:p>
        </w:tc>
        <w:tc>
          <w:tcPr>
            <w:tcW w:w="1273" w:type="dxa"/>
            <w:tcBorders>
              <w:top w:val="nil"/>
              <w:left w:val="nil"/>
              <w:bottom w:val="single" w:sz="4" w:space="0" w:color="auto"/>
              <w:right w:val="single" w:sz="4" w:space="0" w:color="auto"/>
            </w:tcBorders>
            <w:shd w:val="clear" w:color="auto" w:fill="auto"/>
            <w:vAlign w:val="center"/>
          </w:tcPr>
          <w:p w14:paraId="0103081C" w14:textId="77777777" w:rsidR="002B7823" w:rsidRPr="00C2587D" w:rsidRDefault="002B7823" w:rsidP="002B7823">
            <w:pPr>
              <w:jc w:val="center"/>
              <w:rPr>
                <w:rFonts w:cs="Arial"/>
                <w:sz w:val="20"/>
                <w:szCs w:val="20"/>
                <w:lang w:eastAsia="it-IT"/>
              </w:rPr>
            </w:pPr>
          </w:p>
        </w:tc>
        <w:tc>
          <w:tcPr>
            <w:tcW w:w="1273" w:type="dxa"/>
            <w:tcBorders>
              <w:top w:val="nil"/>
              <w:left w:val="nil"/>
              <w:bottom w:val="single" w:sz="4" w:space="0" w:color="auto"/>
              <w:right w:val="single" w:sz="4" w:space="0" w:color="auto"/>
            </w:tcBorders>
            <w:shd w:val="clear" w:color="auto" w:fill="auto"/>
            <w:vAlign w:val="center"/>
          </w:tcPr>
          <w:p w14:paraId="6C5ACEB2" w14:textId="77777777" w:rsidR="002B7823" w:rsidRPr="00C2587D" w:rsidRDefault="002B7823" w:rsidP="002B7823">
            <w:pPr>
              <w:jc w:val="center"/>
              <w:rPr>
                <w:rFonts w:cs="Arial"/>
                <w:sz w:val="20"/>
                <w:szCs w:val="20"/>
                <w:lang w:eastAsia="it-IT"/>
              </w:rPr>
            </w:pPr>
          </w:p>
        </w:tc>
        <w:tc>
          <w:tcPr>
            <w:tcW w:w="1217" w:type="dxa"/>
            <w:tcBorders>
              <w:top w:val="nil"/>
              <w:left w:val="nil"/>
              <w:bottom w:val="single" w:sz="4" w:space="0" w:color="auto"/>
              <w:right w:val="single" w:sz="4" w:space="0" w:color="auto"/>
            </w:tcBorders>
            <w:vAlign w:val="center"/>
          </w:tcPr>
          <w:p w14:paraId="72B8692A" w14:textId="520FF944" w:rsidR="002B7823" w:rsidRPr="00C2587D" w:rsidRDefault="002B7823" w:rsidP="002B7823">
            <w:pPr>
              <w:jc w:val="center"/>
              <w:rPr>
                <w:rFonts w:cs="Arial"/>
                <w:b/>
                <w:sz w:val="20"/>
                <w:szCs w:val="20"/>
                <w:lang w:eastAsia="it-IT"/>
              </w:rPr>
            </w:pPr>
            <w:r w:rsidRPr="00C2587D">
              <w:rPr>
                <w:rFonts w:cs="Arial"/>
                <w:b/>
                <w:sz w:val="20"/>
                <w:szCs w:val="20"/>
                <w:lang w:eastAsia="it-IT"/>
              </w:rPr>
              <w:t>7 000,0</w:t>
            </w:r>
          </w:p>
        </w:tc>
      </w:tr>
      <w:tr w:rsidR="002B7823" w:rsidRPr="00C2587D" w14:paraId="7ADB4562" w14:textId="77777777" w:rsidTr="009A5765">
        <w:trPr>
          <w:jc w:val="center"/>
        </w:trPr>
        <w:tc>
          <w:tcPr>
            <w:tcW w:w="5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9B3B18" w14:textId="3D7993B3" w:rsidR="002B7823" w:rsidRPr="00C2587D" w:rsidRDefault="008315C4" w:rsidP="002B7823">
            <w:pPr>
              <w:jc w:val="both"/>
              <w:rPr>
                <w:rFonts w:cs="Arial"/>
                <w:sz w:val="20"/>
                <w:szCs w:val="20"/>
                <w:lang w:eastAsia="uk-UA"/>
              </w:rPr>
            </w:pPr>
            <w:r>
              <w:rPr>
                <w:rFonts w:cs="Arial"/>
                <w:sz w:val="20"/>
                <w:szCs w:val="20"/>
                <w:lang w:eastAsia="uk-UA"/>
              </w:rPr>
              <w:t>43</w:t>
            </w:r>
            <w:r w:rsidR="002B7823" w:rsidRPr="00C2587D">
              <w:rPr>
                <w:rFonts w:cs="Arial"/>
                <w:sz w:val="20"/>
                <w:szCs w:val="20"/>
                <w:lang w:eastAsia="uk-UA"/>
              </w:rPr>
              <w:t>.</w:t>
            </w:r>
          </w:p>
        </w:tc>
        <w:tc>
          <w:tcPr>
            <w:tcW w:w="4521" w:type="dxa"/>
            <w:tcBorders>
              <w:top w:val="single" w:sz="4" w:space="0" w:color="auto"/>
              <w:left w:val="nil"/>
              <w:bottom w:val="single" w:sz="4" w:space="0" w:color="auto"/>
              <w:right w:val="single" w:sz="4" w:space="0" w:color="auto"/>
            </w:tcBorders>
            <w:shd w:val="clear" w:color="auto" w:fill="auto"/>
          </w:tcPr>
          <w:p w14:paraId="4B36F424" w14:textId="49DA74D4" w:rsidR="002B7823" w:rsidRPr="00C2587D" w:rsidRDefault="002B7823" w:rsidP="002B7823">
            <w:pPr>
              <w:spacing w:before="40" w:after="40"/>
              <w:jc w:val="both"/>
              <w:rPr>
                <w:rFonts w:cs="Arial"/>
                <w:iCs/>
                <w:sz w:val="20"/>
                <w:szCs w:val="20"/>
                <w:lang w:eastAsia="it-IT"/>
              </w:rPr>
            </w:pPr>
            <w:r w:rsidRPr="00C2587D">
              <w:rPr>
                <w:rFonts w:eastAsia="Arial"/>
                <w:sz w:val="20"/>
                <w:szCs w:val="20"/>
              </w:rPr>
              <w:t>Капітальний ремонт прибудинкових територій по вул. Горького, 3 та вул. Грушевського, 8 в м. Жмеринка Вінницької області</w:t>
            </w:r>
          </w:p>
        </w:tc>
        <w:tc>
          <w:tcPr>
            <w:tcW w:w="1162" w:type="dxa"/>
            <w:tcBorders>
              <w:top w:val="nil"/>
              <w:left w:val="nil"/>
              <w:bottom w:val="single" w:sz="4" w:space="0" w:color="auto"/>
              <w:right w:val="single" w:sz="4" w:space="0" w:color="auto"/>
            </w:tcBorders>
            <w:shd w:val="clear" w:color="auto" w:fill="auto"/>
            <w:vAlign w:val="center"/>
          </w:tcPr>
          <w:p w14:paraId="1640DC8D" w14:textId="2D1D5B3B" w:rsidR="002B7823" w:rsidRPr="00C2587D" w:rsidRDefault="002B7823" w:rsidP="002B7823">
            <w:pPr>
              <w:jc w:val="center"/>
              <w:rPr>
                <w:rFonts w:cs="Arial"/>
                <w:sz w:val="20"/>
                <w:szCs w:val="20"/>
                <w:lang w:eastAsia="it-IT"/>
              </w:rPr>
            </w:pPr>
          </w:p>
        </w:tc>
        <w:tc>
          <w:tcPr>
            <w:tcW w:w="1329" w:type="dxa"/>
            <w:tcBorders>
              <w:top w:val="nil"/>
              <w:left w:val="nil"/>
              <w:bottom w:val="single" w:sz="4" w:space="0" w:color="auto"/>
              <w:right w:val="single" w:sz="4" w:space="0" w:color="auto"/>
            </w:tcBorders>
            <w:shd w:val="clear" w:color="auto" w:fill="auto"/>
            <w:vAlign w:val="center"/>
          </w:tcPr>
          <w:p w14:paraId="5159CE09" w14:textId="5CC0BBA9" w:rsidR="002B7823" w:rsidRPr="00C2587D" w:rsidRDefault="002B7823" w:rsidP="002B7823">
            <w:pPr>
              <w:jc w:val="center"/>
              <w:rPr>
                <w:rFonts w:cs="Arial"/>
                <w:sz w:val="20"/>
                <w:szCs w:val="20"/>
                <w:lang w:eastAsia="it-IT"/>
              </w:rPr>
            </w:pPr>
            <w:r w:rsidRPr="00C2587D">
              <w:rPr>
                <w:rFonts w:cs="Arial"/>
                <w:sz w:val="20"/>
                <w:szCs w:val="20"/>
                <w:lang w:eastAsia="it-IT"/>
              </w:rPr>
              <w:t>1 492,5</w:t>
            </w:r>
          </w:p>
        </w:tc>
        <w:tc>
          <w:tcPr>
            <w:tcW w:w="1273" w:type="dxa"/>
            <w:tcBorders>
              <w:top w:val="nil"/>
              <w:left w:val="nil"/>
              <w:bottom w:val="single" w:sz="4" w:space="0" w:color="auto"/>
              <w:right w:val="single" w:sz="4" w:space="0" w:color="auto"/>
            </w:tcBorders>
            <w:shd w:val="clear" w:color="auto" w:fill="auto"/>
            <w:vAlign w:val="center"/>
          </w:tcPr>
          <w:p w14:paraId="7D420DAD" w14:textId="1C00A602" w:rsidR="002B7823" w:rsidRPr="00C2587D" w:rsidRDefault="002B7823" w:rsidP="002B7823">
            <w:pPr>
              <w:jc w:val="center"/>
              <w:rPr>
                <w:rFonts w:cs="Arial"/>
                <w:sz w:val="20"/>
                <w:szCs w:val="20"/>
                <w:lang w:eastAsia="it-IT"/>
              </w:rPr>
            </w:pPr>
          </w:p>
        </w:tc>
        <w:tc>
          <w:tcPr>
            <w:tcW w:w="1273" w:type="dxa"/>
            <w:tcBorders>
              <w:top w:val="nil"/>
              <w:left w:val="nil"/>
              <w:bottom w:val="single" w:sz="4" w:space="0" w:color="auto"/>
              <w:right w:val="single" w:sz="4" w:space="0" w:color="auto"/>
            </w:tcBorders>
            <w:shd w:val="clear" w:color="auto" w:fill="auto"/>
            <w:vAlign w:val="center"/>
          </w:tcPr>
          <w:p w14:paraId="6A13A0F4" w14:textId="345E2D67" w:rsidR="002B7823" w:rsidRPr="00C2587D" w:rsidRDefault="002B7823" w:rsidP="002B7823">
            <w:pPr>
              <w:jc w:val="center"/>
              <w:rPr>
                <w:rFonts w:cs="Arial"/>
                <w:sz w:val="20"/>
                <w:szCs w:val="20"/>
                <w:lang w:eastAsia="it-IT"/>
              </w:rPr>
            </w:pPr>
          </w:p>
        </w:tc>
        <w:tc>
          <w:tcPr>
            <w:tcW w:w="1217" w:type="dxa"/>
            <w:tcBorders>
              <w:top w:val="nil"/>
              <w:left w:val="nil"/>
              <w:bottom w:val="single" w:sz="4" w:space="0" w:color="auto"/>
              <w:right w:val="single" w:sz="4" w:space="0" w:color="auto"/>
            </w:tcBorders>
            <w:vAlign w:val="center"/>
          </w:tcPr>
          <w:p w14:paraId="0E129B44" w14:textId="68EC29A5" w:rsidR="002B7823" w:rsidRPr="00C2587D" w:rsidRDefault="002B7823" w:rsidP="002B7823">
            <w:pPr>
              <w:jc w:val="center"/>
              <w:rPr>
                <w:rFonts w:cs="Arial"/>
                <w:b/>
                <w:sz w:val="20"/>
                <w:szCs w:val="20"/>
                <w:lang w:eastAsia="it-IT"/>
              </w:rPr>
            </w:pPr>
            <w:r w:rsidRPr="00C2587D">
              <w:rPr>
                <w:rFonts w:cs="Arial"/>
                <w:b/>
                <w:sz w:val="20"/>
                <w:szCs w:val="20"/>
                <w:lang w:eastAsia="it-IT"/>
              </w:rPr>
              <w:t>1 492,5</w:t>
            </w:r>
          </w:p>
        </w:tc>
      </w:tr>
      <w:tr w:rsidR="002B7823" w:rsidRPr="00C2587D" w14:paraId="16396697" w14:textId="77777777" w:rsidTr="009A5765">
        <w:trPr>
          <w:jc w:val="center"/>
        </w:trPr>
        <w:tc>
          <w:tcPr>
            <w:tcW w:w="5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4E15C2" w14:textId="438A8940" w:rsidR="002B7823" w:rsidRPr="00C2587D" w:rsidRDefault="008315C4" w:rsidP="002B7823">
            <w:pPr>
              <w:jc w:val="both"/>
              <w:rPr>
                <w:rFonts w:cs="Arial"/>
                <w:sz w:val="20"/>
                <w:szCs w:val="20"/>
                <w:lang w:eastAsia="uk-UA"/>
              </w:rPr>
            </w:pPr>
            <w:r>
              <w:rPr>
                <w:rFonts w:cs="Arial"/>
                <w:sz w:val="20"/>
                <w:szCs w:val="20"/>
                <w:lang w:eastAsia="uk-UA"/>
              </w:rPr>
              <w:t>44</w:t>
            </w:r>
            <w:r w:rsidR="002B7823" w:rsidRPr="00C2587D">
              <w:rPr>
                <w:rFonts w:cs="Arial"/>
                <w:sz w:val="20"/>
                <w:szCs w:val="20"/>
                <w:lang w:eastAsia="uk-UA"/>
              </w:rPr>
              <w:t>.</w:t>
            </w:r>
          </w:p>
        </w:tc>
        <w:tc>
          <w:tcPr>
            <w:tcW w:w="4521" w:type="dxa"/>
            <w:tcBorders>
              <w:top w:val="single" w:sz="4" w:space="0" w:color="auto"/>
              <w:left w:val="nil"/>
              <w:bottom w:val="single" w:sz="4" w:space="0" w:color="auto"/>
              <w:right w:val="single" w:sz="4" w:space="0" w:color="auto"/>
            </w:tcBorders>
            <w:shd w:val="clear" w:color="auto" w:fill="auto"/>
          </w:tcPr>
          <w:p w14:paraId="2DA5ABBD" w14:textId="47068452" w:rsidR="002B7823" w:rsidRPr="00C2587D" w:rsidRDefault="002B7823" w:rsidP="002B7823">
            <w:pPr>
              <w:spacing w:before="40" w:after="40"/>
              <w:jc w:val="both"/>
              <w:rPr>
                <w:rFonts w:eastAsia="Arial"/>
                <w:sz w:val="20"/>
                <w:szCs w:val="20"/>
              </w:rPr>
            </w:pPr>
            <w:r w:rsidRPr="00C2587D">
              <w:rPr>
                <w:rFonts w:eastAsia="Arial"/>
                <w:sz w:val="20"/>
                <w:szCs w:val="20"/>
              </w:rPr>
              <w:t>Капітальний ремонт багатоквартирного житлового будинку по вул. Героїв Крут, 21 в м. Жмеринка Вінницької області (усунення аварійної ситуації)</w:t>
            </w:r>
          </w:p>
        </w:tc>
        <w:tc>
          <w:tcPr>
            <w:tcW w:w="1162" w:type="dxa"/>
            <w:tcBorders>
              <w:top w:val="nil"/>
              <w:left w:val="nil"/>
              <w:bottom w:val="single" w:sz="4" w:space="0" w:color="auto"/>
              <w:right w:val="single" w:sz="4" w:space="0" w:color="auto"/>
            </w:tcBorders>
            <w:shd w:val="clear" w:color="auto" w:fill="auto"/>
            <w:vAlign w:val="center"/>
          </w:tcPr>
          <w:p w14:paraId="47BA39AB" w14:textId="77777777" w:rsidR="002B7823" w:rsidRPr="00C2587D" w:rsidRDefault="002B7823" w:rsidP="002B7823">
            <w:pPr>
              <w:jc w:val="center"/>
              <w:rPr>
                <w:rFonts w:cs="Arial"/>
                <w:sz w:val="20"/>
                <w:szCs w:val="20"/>
                <w:lang w:eastAsia="it-IT"/>
              </w:rPr>
            </w:pPr>
          </w:p>
        </w:tc>
        <w:tc>
          <w:tcPr>
            <w:tcW w:w="1329" w:type="dxa"/>
            <w:tcBorders>
              <w:top w:val="nil"/>
              <w:left w:val="nil"/>
              <w:bottom w:val="single" w:sz="4" w:space="0" w:color="auto"/>
              <w:right w:val="single" w:sz="4" w:space="0" w:color="auto"/>
            </w:tcBorders>
            <w:shd w:val="clear" w:color="auto" w:fill="auto"/>
            <w:vAlign w:val="center"/>
          </w:tcPr>
          <w:p w14:paraId="4E431DF3" w14:textId="2E50E92F" w:rsidR="002B7823" w:rsidRPr="00C2587D" w:rsidRDefault="002B7823" w:rsidP="002B7823">
            <w:pPr>
              <w:jc w:val="center"/>
              <w:rPr>
                <w:rFonts w:cs="Arial"/>
                <w:sz w:val="20"/>
                <w:szCs w:val="20"/>
                <w:lang w:eastAsia="it-IT"/>
              </w:rPr>
            </w:pPr>
          </w:p>
        </w:tc>
        <w:tc>
          <w:tcPr>
            <w:tcW w:w="1273" w:type="dxa"/>
            <w:tcBorders>
              <w:top w:val="nil"/>
              <w:left w:val="nil"/>
              <w:bottom w:val="single" w:sz="4" w:space="0" w:color="auto"/>
              <w:right w:val="single" w:sz="4" w:space="0" w:color="auto"/>
            </w:tcBorders>
            <w:shd w:val="clear" w:color="auto" w:fill="auto"/>
            <w:vAlign w:val="center"/>
          </w:tcPr>
          <w:p w14:paraId="7FE0E264" w14:textId="600F0E69" w:rsidR="002B7823" w:rsidRPr="00C2587D" w:rsidRDefault="002B7823" w:rsidP="002B7823">
            <w:pPr>
              <w:jc w:val="center"/>
              <w:rPr>
                <w:rFonts w:cs="Arial"/>
                <w:sz w:val="20"/>
                <w:szCs w:val="20"/>
                <w:lang w:eastAsia="it-IT"/>
              </w:rPr>
            </w:pPr>
            <w:r w:rsidRPr="00C2587D">
              <w:rPr>
                <w:rFonts w:cs="Arial"/>
                <w:sz w:val="20"/>
                <w:szCs w:val="20"/>
                <w:lang w:eastAsia="it-IT"/>
              </w:rPr>
              <w:t>14 000,0</w:t>
            </w:r>
          </w:p>
        </w:tc>
        <w:tc>
          <w:tcPr>
            <w:tcW w:w="1273" w:type="dxa"/>
            <w:tcBorders>
              <w:top w:val="nil"/>
              <w:left w:val="nil"/>
              <w:bottom w:val="single" w:sz="4" w:space="0" w:color="auto"/>
              <w:right w:val="single" w:sz="4" w:space="0" w:color="auto"/>
            </w:tcBorders>
            <w:shd w:val="clear" w:color="auto" w:fill="auto"/>
            <w:vAlign w:val="center"/>
          </w:tcPr>
          <w:p w14:paraId="715A24D7" w14:textId="77777777" w:rsidR="002B7823" w:rsidRPr="00C2587D" w:rsidRDefault="002B7823" w:rsidP="002B7823">
            <w:pPr>
              <w:jc w:val="center"/>
              <w:rPr>
                <w:rFonts w:cs="Arial"/>
                <w:sz w:val="20"/>
                <w:szCs w:val="20"/>
                <w:lang w:eastAsia="it-IT"/>
              </w:rPr>
            </w:pPr>
          </w:p>
        </w:tc>
        <w:tc>
          <w:tcPr>
            <w:tcW w:w="1217" w:type="dxa"/>
            <w:tcBorders>
              <w:top w:val="nil"/>
              <w:left w:val="nil"/>
              <w:bottom w:val="single" w:sz="4" w:space="0" w:color="auto"/>
              <w:right w:val="single" w:sz="4" w:space="0" w:color="auto"/>
            </w:tcBorders>
            <w:vAlign w:val="center"/>
          </w:tcPr>
          <w:p w14:paraId="2A443887" w14:textId="3CA8BD11" w:rsidR="002B7823" w:rsidRPr="00C2587D" w:rsidRDefault="002B7823" w:rsidP="002B7823">
            <w:pPr>
              <w:jc w:val="center"/>
              <w:rPr>
                <w:rFonts w:cs="Arial"/>
                <w:b/>
                <w:sz w:val="20"/>
                <w:szCs w:val="20"/>
                <w:lang w:eastAsia="it-IT"/>
              </w:rPr>
            </w:pPr>
            <w:r w:rsidRPr="00C2587D">
              <w:rPr>
                <w:rFonts w:cs="Arial"/>
                <w:b/>
                <w:sz w:val="20"/>
                <w:szCs w:val="20"/>
                <w:lang w:eastAsia="it-IT"/>
              </w:rPr>
              <w:t>14 000,0</w:t>
            </w:r>
          </w:p>
        </w:tc>
      </w:tr>
      <w:tr w:rsidR="002B7823" w:rsidRPr="00C2587D" w14:paraId="47329402" w14:textId="77777777" w:rsidTr="009A5765">
        <w:trPr>
          <w:jc w:val="center"/>
        </w:trPr>
        <w:tc>
          <w:tcPr>
            <w:tcW w:w="5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AA5B51" w14:textId="30F095FD" w:rsidR="002B7823" w:rsidRPr="00C2587D" w:rsidRDefault="002B7823" w:rsidP="008315C4">
            <w:pPr>
              <w:jc w:val="both"/>
              <w:rPr>
                <w:rFonts w:cs="Arial"/>
                <w:sz w:val="20"/>
                <w:szCs w:val="20"/>
                <w:lang w:eastAsia="uk-UA"/>
              </w:rPr>
            </w:pPr>
            <w:r w:rsidRPr="00C2587D">
              <w:rPr>
                <w:rFonts w:cs="Arial"/>
                <w:sz w:val="20"/>
                <w:szCs w:val="20"/>
                <w:lang w:eastAsia="uk-UA"/>
              </w:rPr>
              <w:t>4</w:t>
            </w:r>
            <w:r w:rsidR="008315C4">
              <w:rPr>
                <w:rFonts w:cs="Arial"/>
                <w:sz w:val="20"/>
                <w:szCs w:val="20"/>
                <w:lang w:eastAsia="uk-UA"/>
              </w:rPr>
              <w:t>5</w:t>
            </w:r>
            <w:r w:rsidRPr="00C2587D">
              <w:rPr>
                <w:rFonts w:cs="Arial"/>
                <w:sz w:val="20"/>
                <w:szCs w:val="20"/>
                <w:lang w:eastAsia="uk-UA"/>
              </w:rPr>
              <w:t>.</w:t>
            </w:r>
          </w:p>
        </w:tc>
        <w:tc>
          <w:tcPr>
            <w:tcW w:w="4521" w:type="dxa"/>
            <w:tcBorders>
              <w:top w:val="single" w:sz="4" w:space="0" w:color="auto"/>
              <w:left w:val="nil"/>
              <w:bottom w:val="single" w:sz="4" w:space="0" w:color="auto"/>
              <w:right w:val="single" w:sz="4" w:space="0" w:color="auto"/>
            </w:tcBorders>
            <w:shd w:val="clear" w:color="auto" w:fill="auto"/>
          </w:tcPr>
          <w:p w14:paraId="0C7E3780" w14:textId="306A16BC" w:rsidR="002B7823" w:rsidRPr="00C2587D" w:rsidRDefault="002B7823" w:rsidP="002B7823">
            <w:pPr>
              <w:spacing w:before="40" w:after="40"/>
              <w:jc w:val="both"/>
              <w:rPr>
                <w:rFonts w:eastAsia="Arial"/>
                <w:sz w:val="20"/>
                <w:szCs w:val="20"/>
              </w:rPr>
            </w:pPr>
            <w:r w:rsidRPr="00C2587D">
              <w:rPr>
                <w:rFonts w:eastAsia="Arial"/>
                <w:sz w:val="20"/>
                <w:szCs w:val="20"/>
              </w:rPr>
              <w:t>Капітальний ремонт багатоквартирного житлового будинку по вул. Шекінська 51А Жмеринка Вінницької області (усунення аварійної ситуації)</w:t>
            </w:r>
          </w:p>
        </w:tc>
        <w:tc>
          <w:tcPr>
            <w:tcW w:w="1162" w:type="dxa"/>
            <w:tcBorders>
              <w:top w:val="nil"/>
              <w:left w:val="nil"/>
              <w:bottom w:val="single" w:sz="4" w:space="0" w:color="auto"/>
              <w:right w:val="single" w:sz="4" w:space="0" w:color="auto"/>
            </w:tcBorders>
            <w:shd w:val="clear" w:color="auto" w:fill="auto"/>
            <w:vAlign w:val="center"/>
          </w:tcPr>
          <w:p w14:paraId="6123F3C1" w14:textId="77777777" w:rsidR="002B7823" w:rsidRPr="00C2587D" w:rsidRDefault="002B7823" w:rsidP="002B7823">
            <w:pPr>
              <w:jc w:val="center"/>
              <w:rPr>
                <w:rFonts w:cs="Arial"/>
                <w:sz w:val="20"/>
                <w:szCs w:val="20"/>
                <w:lang w:eastAsia="it-IT"/>
              </w:rPr>
            </w:pPr>
          </w:p>
        </w:tc>
        <w:tc>
          <w:tcPr>
            <w:tcW w:w="1329" w:type="dxa"/>
            <w:tcBorders>
              <w:top w:val="nil"/>
              <w:left w:val="nil"/>
              <w:bottom w:val="single" w:sz="4" w:space="0" w:color="auto"/>
              <w:right w:val="single" w:sz="4" w:space="0" w:color="auto"/>
            </w:tcBorders>
            <w:shd w:val="clear" w:color="auto" w:fill="auto"/>
            <w:vAlign w:val="center"/>
          </w:tcPr>
          <w:p w14:paraId="3B4B0D2D" w14:textId="77777777" w:rsidR="002B7823" w:rsidRPr="00C2587D" w:rsidRDefault="002B7823" w:rsidP="002B7823">
            <w:pPr>
              <w:jc w:val="center"/>
              <w:rPr>
                <w:rFonts w:cs="Arial"/>
                <w:sz w:val="20"/>
                <w:szCs w:val="20"/>
                <w:lang w:eastAsia="it-IT"/>
              </w:rPr>
            </w:pPr>
          </w:p>
        </w:tc>
        <w:tc>
          <w:tcPr>
            <w:tcW w:w="1273" w:type="dxa"/>
            <w:tcBorders>
              <w:top w:val="nil"/>
              <w:left w:val="nil"/>
              <w:bottom w:val="single" w:sz="4" w:space="0" w:color="auto"/>
              <w:right w:val="single" w:sz="4" w:space="0" w:color="auto"/>
            </w:tcBorders>
            <w:shd w:val="clear" w:color="auto" w:fill="auto"/>
            <w:vAlign w:val="center"/>
          </w:tcPr>
          <w:p w14:paraId="49455DED" w14:textId="46877BEC" w:rsidR="002B7823" w:rsidRPr="00C2587D" w:rsidRDefault="002B7823" w:rsidP="002B7823">
            <w:pPr>
              <w:jc w:val="center"/>
              <w:rPr>
                <w:rFonts w:cs="Arial"/>
                <w:sz w:val="20"/>
                <w:szCs w:val="20"/>
                <w:lang w:eastAsia="it-IT"/>
              </w:rPr>
            </w:pPr>
          </w:p>
        </w:tc>
        <w:tc>
          <w:tcPr>
            <w:tcW w:w="1273" w:type="dxa"/>
            <w:tcBorders>
              <w:top w:val="nil"/>
              <w:left w:val="nil"/>
              <w:bottom w:val="single" w:sz="4" w:space="0" w:color="auto"/>
              <w:right w:val="single" w:sz="4" w:space="0" w:color="auto"/>
            </w:tcBorders>
            <w:shd w:val="clear" w:color="auto" w:fill="auto"/>
            <w:vAlign w:val="center"/>
          </w:tcPr>
          <w:p w14:paraId="05311A21" w14:textId="70F6F0CD" w:rsidR="002B7823" w:rsidRPr="00C2587D" w:rsidRDefault="002B7823" w:rsidP="002B7823">
            <w:pPr>
              <w:jc w:val="center"/>
              <w:rPr>
                <w:rFonts w:cs="Arial"/>
                <w:sz w:val="20"/>
                <w:szCs w:val="20"/>
                <w:lang w:eastAsia="it-IT"/>
              </w:rPr>
            </w:pPr>
            <w:r w:rsidRPr="00C2587D">
              <w:rPr>
                <w:rFonts w:cs="Arial"/>
                <w:sz w:val="20"/>
                <w:szCs w:val="20"/>
                <w:lang w:eastAsia="it-IT"/>
              </w:rPr>
              <w:t>10 000,0</w:t>
            </w:r>
          </w:p>
        </w:tc>
        <w:tc>
          <w:tcPr>
            <w:tcW w:w="1217" w:type="dxa"/>
            <w:tcBorders>
              <w:top w:val="nil"/>
              <w:left w:val="nil"/>
              <w:bottom w:val="single" w:sz="4" w:space="0" w:color="auto"/>
              <w:right w:val="single" w:sz="4" w:space="0" w:color="auto"/>
            </w:tcBorders>
            <w:vAlign w:val="center"/>
          </w:tcPr>
          <w:p w14:paraId="47C40CF9" w14:textId="4C80E5C1" w:rsidR="002B7823" w:rsidRPr="00C2587D" w:rsidRDefault="002B7823" w:rsidP="002B7823">
            <w:pPr>
              <w:jc w:val="center"/>
              <w:rPr>
                <w:rFonts w:cs="Arial"/>
                <w:b/>
                <w:sz w:val="20"/>
                <w:szCs w:val="20"/>
                <w:lang w:eastAsia="it-IT"/>
              </w:rPr>
            </w:pPr>
            <w:r w:rsidRPr="00C2587D">
              <w:rPr>
                <w:rFonts w:cs="Arial"/>
                <w:b/>
                <w:sz w:val="20"/>
                <w:szCs w:val="20"/>
                <w:lang w:eastAsia="it-IT"/>
              </w:rPr>
              <w:t>10 000,0</w:t>
            </w:r>
          </w:p>
        </w:tc>
      </w:tr>
      <w:tr w:rsidR="00EB0F30" w:rsidRPr="00C2587D" w14:paraId="28FC62A0" w14:textId="77777777" w:rsidTr="009A5765">
        <w:trPr>
          <w:trHeight w:val="323"/>
          <w:jc w:val="center"/>
        </w:trPr>
        <w:tc>
          <w:tcPr>
            <w:tcW w:w="551" w:type="dxa"/>
            <w:tcBorders>
              <w:top w:val="nil"/>
              <w:left w:val="single" w:sz="4" w:space="0" w:color="auto"/>
              <w:bottom w:val="single" w:sz="4" w:space="0" w:color="auto"/>
              <w:right w:val="single" w:sz="4" w:space="0" w:color="auto"/>
            </w:tcBorders>
            <w:shd w:val="clear" w:color="auto" w:fill="auto"/>
            <w:noWrap/>
            <w:vAlign w:val="center"/>
            <w:hideMark/>
          </w:tcPr>
          <w:p w14:paraId="49E3DE5B" w14:textId="1914E3BE" w:rsidR="00EB0F30" w:rsidRPr="00C2587D" w:rsidRDefault="00EB0F30" w:rsidP="0029790A">
            <w:pPr>
              <w:rPr>
                <w:rFonts w:cs="Arial"/>
                <w:sz w:val="20"/>
                <w:szCs w:val="20"/>
                <w:lang w:eastAsia="uk-UA"/>
              </w:rPr>
            </w:pPr>
            <w:r w:rsidRPr="00C2587D">
              <w:rPr>
                <w:rFonts w:cs="Arial"/>
                <w:sz w:val="20"/>
                <w:szCs w:val="20"/>
                <w:lang w:eastAsia="uk-UA"/>
              </w:rPr>
              <w:t> </w:t>
            </w:r>
          </w:p>
        </w:tc>
        <w:tc>
          <w:tcPr>
            <w:tcW w:w="4521" w:type="dxa"/>
            <w:tcBorders>
              <w:top w:val="nil"/>
              <w:left w:val="nil"/>
              <w:bottom w:val="single" w:sz="4" w:space="0" w:color="auto"/>
              <w:right w:val="single" w:sz="4" w:space="0" w:color="auto"/>
            </w:tcBorders>
            <w:shd w:val="clear" w:color="auto" w:fill="auto"/>
            <w:vAlign w:val="center"/>
            <w:hideMark/>
          </w:tcPr>
          <w:p w14:paraId="45D62B97" w14:textId="77777777" w:rsidR="00EB0F30" w:rsidRPr="00C2587D" w:rsidRDefault="00EB0F30" w:rsidP="00C2587D">
            <w:pPr>
              <w:jc w:val="both"/>
              <w:rPr>
                <w:rFonts w:cs="Arial"/>
                <w:b/>
                <w:bCs/>
                <w:sz w:val="20"/>
                <w:szCs w:val="20"/>
                <w:lang w:eastAsia="uk-UA"/>
              </w:rPr>
            </w:pPr>
            <w:r w:rsidRPr="00C2587D">
              <w:rPr>
                <w:rFonts w:cs="Arial"/>
                <w:b/>
                <w:bCs/>
                <w:sz w:val="20"/>
                <w:szCs w:val="20"/>
                <w:lang w:eastAsia="uk-UA"/>
              </w:rPr>
              <w:t>Всього по В.1.</w:t>
            </w:r>
            <w:r w:rsidRPr="00C2587D">
              <w:rPr>
                <w:rFonts w:cs="Arial"/>
                <w:b/>
                <w:bCs/>
                <w:iCs/>
                <w:sz w:val="20"/>
                <w:szCs w:val="20"/>
                <w:lang w:eastAsia="uk-UA"/>
              </w:rPr>
              <w:t xml:space="preserve"> Покращення технічної інфраструктури та благоустрою громади</w:t>
            </w:r>
          </w:p>
        </w:tc>
        <w:tc>
          <w:tcPr>
            <w:tcW w:w="1162" w:type="dxa"/>
            <w:tcBorders>
              <w:top w:val="nil"/>
              <w:left w:val="nil"/>
              <w:bottom w:val="single" w:sz="4" w:space="0" w:color="auto"/>
              <w:right w:val="single" w:sz="4" w:space="0" w:color="auto"/>
            </w:tcBorders>
            <w:shd w:val="clear" w:color="auto" w:fill="auto"/>
            <w:vAlign w:val="center"/>
          </w:tcPr>
          <w:p w14:paraId="4453143A" w14:textId="5D36EF38" w:rsidR="00EB0F30" w:rsidRPr="00C2587D" w:rsidRDefault="005F59C2" w:rsidP="00EB0F30">
            <w:pPr>
              <w:jc w:val="center"/>
              <w:rPr>
                <w:rFonts w:cs="Arial"/>
                <w:b/>
                <w:bCs/>
                <w:sz w:val="20"/>
                <w:szCs w:val="20"/>
                <w:lang w:eastAsia="uk-UA"/>
              </w:rPr>
            </w:pPr>
            <w:r w:rsidRPr="00C2587D">
              <w:rPr>
                <w:rFonts w:cs="Arial"/>
                <w:b/>
                <w:bCs/>
                <w:sz w:val="20"/>
                <w:szCs w:val="20"/>
                <w:lang w:eastAsia="uk-UA"/>
              </w:rPr>
              <w:t>4 700,0</w:t>
            </w:r>
          </w:p>
        </w:tc>
        <w:tc>
          <w:tcPr>
            <w:tcW w:w="1329" w:type="dxa"/>
            <w:tcBorders>
              <w:top w:val="nil"/>
              <w:left w:val="nil"/>
              <w:bottom w:val="single" w:sz="4" w:space="0" w:color="auto"/>
              <w:right w:val="single" w:sz="4" w:space="0" w:color="auto"/>
            </w:tcBorders>
            <w:shd w:val="clear" w:color="auto" w:fill="auto"/>
            <w:vAlign w:val="center"/>
          </w:tcPr>
          <w:p w14:paraId="423BBCC7" w14:textId="5D2C5B64" w:rsidR="00EB0F30" w:rsidRPr="00C2587D" w:rsidRDefault="008315C4" w:rsidP="008315C4">
            <w:pPr>
              <w:jc w:val="center"/>
              <w:rPr>
                <w:rFonts w:cs="Arial"/>
                <w:b/>
                <w:bCs/>
                <w:sz w:val="20"/>
                <w:szCs w:val="20"/>
                <w:lang w:eastAsia="uk-UA"/>
              </w:rPr>
            </w:pPr>
            <w:r>
              <w:rPr>
                <w:rFonts w:cs="Arial"/>
                <w:b/>
                <w:bCs/>
                <w:sz w:val="20"/>
                <w:szCs w:val="20"/>
                <w:lang w:eastAsia="uk-UA"/>
              </w:rPr>
              <w:t>140 432,5</w:t>
            </w:r>
          </w:p>
        </w:tc>
        <w:tc>
          <w:tcPr>
            <w:tcW w:w="1273" w:type="dxa"/>
            <w:tcBorders>
              <w:top w:val="nil"/>
              <w:left w:val="nil"/>
              <w:bottom w:val="single" w:sz="4" w:space="0" w:color="auto"/>
              <w:right w:val="single" w:sz="4" w:space="0" w:color="auto"/>
            </w:tcBorders>
            <w:shd w:val="clear" w:color="auto" w:fill="auto"/>
            <w:vAlign w:val="center"/>
          </w:tcPr>
          <w:p w14:paraId="08C5F19E" w14:textId="6045CE75" w:rsidR="00EB0F30" w:rsidRPr="00C2587D" w:rsidRDefault="005F59C2" w:rsidP="00EB0F30">
            <w:pPr>
              <w:jc w:val="center"/>
              <w:rPr>
                <w:rFonts w:cs="Arial"/>
                <w:b/>
                <w:bCs/>
                <w:sz w:val="20"/>
                <w:szCs w:val="20"/>
                <w:lang w:eastAsia="uk-UA"/>
              </w:rPr>
            </w:pPr>
            <w:r w:rsidRPr="00C2587D">
              <w:rPr>
                <w:rFonts w:cs="Arial"/>
                <w:b/>
                <w:bCs/>
                <w:sz w:val="20"/>
                <w:szCs w:val="20"/>
                <w:lang w:eastAsia="uk-UA"/>
              </w:rPr>
              <w:t>52 500,0</w:t>
            </w:r>
          </w:p>
        </w:tc>
        <w:tc>
          <w:tcPr>
            <w:tcW w:w="1273" w:type="dxa"/>
            <w:tcBorders>
              <w:top w:val="nil"/>
              <w:left w:val="nil"/>
              <w:bottom w:val="single" w:sz="4" w:space="0" w:color="auto"/>
              <w:right w:val="single" w:sz="4" w:space="0" w:color="auto"/>
            </w:tcBorders>
            <w:shd w:val="clear" w:color="auto" w:fill="auto"/>
            <w:vAlign w:val="center"/>
          </w:tcPr>
          <w:p w14:paraId="2CD2ED47" w14:textId="006A80DD" w:rsidR="00EB0F30" w:rsidRPr="00C2587D" w:rsidRDefault="005F59C2" w:rsidP="00EB0F30">
            <w:pPr>
              <w:jc w:val="center"/>
              <w:rPr>
                <w:rFonts w:cs="Arial"/>
                <w:b/>
                <w:bCs/>
                <w:sz w:val="20"/>
                <w:szCs w:val="20"/>
                <w:lang w:eastAsia="uk-UA"/>
              </w:rPr>
            </w:pPr>
            <w:r w:rsidRPr="00C2587D">
              <w:rPr>
                <w:rFonts w:cs="Arial"/>
                <w:b/>
                <w:bCs/>
                <w:sz w:val="20"/>
                <w:szCs w:val="20"/>
                <w:lang w:eastAsia="uk-UA"/>
              </w:rPr>
              <w:t>22 000,0</w:t>
            </w:r>
          </w:p>
        </w:tc>
        <w:tc>
          <w:tcPr>
            <w:tcW w:w="1217" w:type="dxa"/>
            <w:tcBorders>
              <w:top w:val="nil"/>
              <w:left w:val="nil"/>
              <w:bottom w:val="single" w:sz="4" w:space="0" w:color="auto"/>
              <w:right w:val="single" w:sz="4" w:space="0" w:color="auto"/>
            </w:tcBorders>
            <w:vAlign w:val="center"/>
          </w:tcPr>
          <w:p w14:paraId="32E57D15" w14:textId="7E026F46" w:rsidR="00EB0F30" w:rsidRPr="00C2587D" w:rsidRDefault="008315C4" w:rsidP="00EB0F30">
            <w:pPr>
              <w:jc w:val="center"/>
              <w:rPr>
                <w:rFonts w:cs="Arial"/>
                <w:b/>
                <w:bCs/>
                <w:sz w:val="20"/>
                <w:szCs w:val="20"/>
                <w:lang w:eastAsia="uk-UA"/>
              </w:rPr>
            </w:pPr>
            <w:r>
              <w:rPr>
                <w:rFonts w:cs="Arial"/>
                <w:b/>
                <w:bCs/>
                <w:sz w:val="20"/>
                <w:szCs w:val="20"/>
                <w:lang w:eastAsia="uk-UA"/>
              </w:rPr>
              <w:t>219 632,5</w:t>
            </w:r>
          </w:p>
        </w:tc>
      </w:tr>
      <w:tr w:rsidR="00EB0F30" w:rsidRPr="00C2587D" w14:paraId="0D36E7A0" w14:textId="77777777" w:rsidTr="00C2587D">
        <w:trPr>
          <w:trHeight w:val="431"/>
          <w:jc w:val="center"/>
        </w:trPr>
        <w:tc>
          <w:tcPr>
            <w:tcW w:w="11326" w:type="dxa"/>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605F5A" w14:textId="77777777" w:rsidR="00EB0F30" w:rsidRPr="00987B8D" w:rsidRDefault="00EB0F30" w:rsidP="00C2587D">
            <w:pPr>
              <w:rPr>
                <w:rFonts w:cs="Arial"/>
                <w:b/>
                <w:bCs/>
                <w:i/>
                <w:iCs/>
                <w:sz w:val="20"/>
                <w:szCs w:val="20"/>
                <w:lang w:eastAsia="uk-UA"/>
              </w:rPr>
            </w:pPr>
            <w:r w:rsidRPr="00987B8D">
              <w:rPr>
                <w:rFonts w:cs="Arial"/>
                <w:b/>
                <w:bCs/>
                <w:i/>
                <w:iCs/>
                <w:sz w:val="20"/>
                <w:szCs w:val="20"/>
                <w:lang w:eastAsia="uk-UA"/>
              </w:rPr>
              <w:t>Стратегічна ціль В.2. Забезпечення підвищення енергоефективності в громаді</w:t>
            </w:r>
          </w:p>
        </w:tc>
      </w:tr>
      <w:tr w:rsidR="00057A77" w:rsidRPr="00C2587D" w14:paraId="6BFE9A7F" w14:textId="77777777" w:rsidTr="009A5765">
        <w:trPr>
          <w:jc w:val="center"/>
        </w:trPr>
        <w:tc>
          <w:tcPr>
            <w:tcW w:w="5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609635" w14:textId="77777777" w:rsidR="00057A77" w:rsidRPr="00C2587D" w:rsidRDefault="00057A77" w:rsidP="00057A77">
            <w:pPr>
              <w:jc w:val="center"/>
              <w:rPr>
                <w:rFonts w:cs="Arial"/>
                <w:sz w:val="20"/>
                <w:szCs w:val="20"/>
                <w:lang w:eastAsia="uk-UA"/>
              </w:rPr>
            </w:pPr>
            <w:r w:rsidRPr="00C2587D">
              <w:rPr>
                <w:rFonts w:cs="Arial"/>
                <w:sz w:val="20"/>
                <w:szCs w:val="20"/>
                <w:lang w:eastAsia="uk-UA"/>
              </w:rPr>
              <w:t>1.</w:t>
            </w:r>
          </w:p>
        </w:tc>
        <w:tc>
          <w:tcPr>
            <w:tcW w:w="4521" w:type="dxa"/>
            <w:tcBorders>
              <w:top w:val="single" w:sz="4" w:space="0" w:color="auto"/>
              <w:left w:val="single" w:sz="4" w:space="0" w:color="auto"/>
              <w:bottom w:val="single" w:sz="4" w:space="0" w:color="auto"/>
              <w:right w:val="single" w:sz="4" w:space="0" w:color="auto"/>
            </w:tcBorders>
            <w:shd w:val="clear" w:color="auto" w:fill="auto"/>
            <w:vAlign w:val="center"/>
          </w:tcPr>
          <w:p w14:paraId="2A6F21C2" w14:textId="5C9F24DA" w:rsidR="00057A77" w:rsidRPr="00C2587D" w:rsidRDefault="00057A77" w:rsidP="00057A77">
            <w:pPr>
              <w:spacing w:before="40" w:after="40"/>
              <w:jc w:val="both"/>
              <w:rPr>
                <w:rFonts w:cs="Arial"/>
                <w:sz w:val="20"/>
                <w:szCs w:val="20"/>
                <w:lang w:eastAsia="it-IT"/>
              </w:rPr>
            </w:pPr>
            <w:r w:rsidRPr="00C2587D">
              <w:rPr>
                <w:rFonts w:cs="Arial"/>
                <w:sz w:val="20"/>
                <w:szCs w:val="20"/>
                <w:lang w:eastAsia="it-IT"/>
              </w:rPr>
              <w:t>Вдосконалення системи муніципального енергоменеджменту, запровадження енергомоніторингу фахова освіта та підготовка енергоменеджерів. Розробка та впровадження Муніципального енергетичного плану.</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14:paraId="046ED34A" w14:textId="526C5892" w:rsidR="00057A77" w:rsidRPr="00C2587D" w:rsidRDefault="00057A77" w:rsidP="00057A77">
            <w:pPr>
              <w:jc w:val="center"/>
              <w:rPr>
                <w:rFonts w:cs="Arial"/>
                <w:color w:val="000000"/>
                <w:sz w:val="20"/>
                <w:szCs w:val="20"/>
                <w:lang w:eastAsia="it-IT"/>
              </w:rPr>
            </w:pP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tcPr>
          <w:p w14:paraId="2AAC801F" w14:textId="38545725" w:rsidR="00057A77" w:rsidRPr="00C2587D" w:rsidRDefault="00057A77" w:rsidP="00057A77">
            <w:pPr>
              <w:jc w:val="center"/>
              <w:rPr>
                <w:rFonts w:cs="Arial"/>
                <w:color w:val="000000"/>
                <w:sz w:val="20"/>
                <w:szCs w:val="20"/>
                <w:lang w:eastAsia="it-IT"/>
              </w:rPr>
            </w:pPr>
            <w:r w:rsidRPr="00C2587D">
              <w:rPr>
                <w:rFonts w:cs="Arial"/>
                <w:color w:val="000000"/>
                <w:sz w:val="20"/>
                <w:szCs w:val="20"/>
                <w:lang w:eastAsia="it-IT"/>
              </w:rPr>
              <w:t>100,0</w:t>
            </w:r>
          </w:p>
        </w:tc>
        <w:tc>
          <w:tcPr>
            <w:tcW w:w="1273" w:type="dxa"/>
            <w:tcBorders>
              <w:top w:val="single" w:sz="4" w:space="0" w:color="auto"/>
              <w:left w:val="single" w:sz="4" w:space="0" w:color="auto"/>
              <w:bottom w:val="single" w:sz="4" w:space="0" w:color="auto"/>
              <w:right w:val="single" w:sz="4" w:space="0" w:color="auto"/>
            </w:tcBorders>
            <w:shd w:val="clear" w:color="auto" w:fill="auto"/>
            <w:vAlign w:val="center"/>
          </w:tcPr>
          <w:p w14:paraId="36BBEE9E" w14:textId="16A006E1" w:rsidR="00057A77" w:rsidRPr="00C2587D" w:rsidRDefault="00057A77" w:rsidP="00057A77">
            <w:pPr>
              <w:jc w:val="center"/>
              <w:rPr>
                <w:rFonts w:cs="Arial"/>
                <w:color w:val="000000"/>
                <w:sz w:val="20"/>
                <w:szCs w:val="20"/>
                <w:lang w:eastAsia="it-IT"/>
              </w:rPr>
            </w:pPr>
            <w:r w:rsidRPr="00C2587D">
              <w:rPr>
                <w:rFonts w:cs="Arial"/>
                <w:color w:val="000000"/>
                <w:sz w:val="20"/>
                <w:szCs w:val="20"/>
                <w:lang w:eastAsia="it-IT"/>
              </w:rPr>
              <w:t>100,0</w:t>
            </w:r>
          </w:p>
        </w:tc>
        <w:tc>
          <w:tcPr>
            <w:tcW w:w="1273" w:type="dxa"/>
            <w:tcBorders>
              <w:top w:val="single" w:sz="4" w:space="0" w:color="auto"/>
              <w:left w:val="single" w:sz="4" w:space="0" w:color="auto"/>
              <w:bottom w:val="single" w:sz="4" w:space="0" w:color="auto"/>
              <w:right w:val="single" w:sz="4" w:space="0" w:color="auto"/>
            </w:tcBorders>
            <w:shd w:val="clear" w:color="auto" w:fill="auto"/>
            <w:vAlign w:val="center"/>
          </w:tcPr>
          <w:p w14:paraId="62BDF691" w14:textId="14349073" w:rsidR="00057A77" w:rsidRPr="00C2587D" w:rsidRDefault="00057A77" w:rsidP="00057A77">
            <w:pPr>
              <w:jc w:val="center"/>
              <w:rPr>
                <w:rFonts w:cs="Arial"/>
                <w:color w:val="000000"/>
                <w:sz w:val="20"/>
                <w:szCs w:val="20"/>
                <w:lang w:eastAsia="it-IT"/>
              </w:rPr>
            </w:pPr>
            <w:r w:rsidRPr="00C2587D">
              <w:rPr>
                <w:rFonts w:cs="Arial"/>
                <w:color w:val="000000"/>
                <w:sz w:val="20"/>
                <w:szCs w:val="20"/>
                <w:lang w:eastAsia="it-IT"/>
              </w:rPr>
              <w:t>120,0</w:t>
            </w:r>
          </w:p>
        </w:tc>
        <w:tc>
          <w:tcPr>
            <w:tcW w:w="1217" w:type="dxa"/>
            <w:tcBorders>
              <w:top w:val="single" w:sz="4" w:space="0" w:color="auto"/>
              <w:left w:val="single" w:sz="4" w:space="0" w:color="auto"/>
              <w:bottom w:val="single" w:sz="4" w:space="0" w:color="auto"/>
              <w:right w:val="single" w:sz="4" w:space="0" w:color="auto"/>
            </w:tcBorders>
            <w:vAlign w:val="center"/>
          </w:tcPr>
          <w:p w14:paraId="2CA90A58" w14:textId="3F9653C9" w:rsidR="00057A77" w:rsidRPr="00C2587D" w:rsidRDefault="00057A77" w:rsidP="00057A77">
            <w:pPr>
              <w:jc w:val="center"/>
              <w:rPr>
                <w:rFonts w:cs="Arial"/>
                <w:b/>
                <w:color w:val="000000"/>
                <w:sz w:val="20"/>
                <w:szCs w:val="20"/>
                <w:lang w:eastAsia="it-IT"/>
              </w:rPr>
            </w:pPr>
            <w:r w:rsidRPr="00C2587D">
              <w:rPr>
                <w:rFonts w:cs="Arial"/>
                <w:b/>
                <w:color w:val="000000"/>
                <w:sz w:val="20"/>
                <w:szCs w:val="20"/>
                <w:lang w:eastAsia="it-IT"/>
              </w:rPr>
              <w:t>320,0</w:t>
            </w:r>
          </w:p>
        </w:tc>
      </w:tr>
      <w:tr w:rsidR="00EB0F30" w:rsidRPr="00C2587D" w14:paraId="3B11A057" w14:textId="77777777" w:rsidTr="009A5765">
        <w:trPr>
          <w:jc w:val="center"/>
        </w:trPr>
        <w:tc>
          <w:tcPr>
            <w:tcW w:w="5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5A4BDA" w14:textId="5EB24CA5" w:rsidR="00EB0F30" w:rsidRPr="00C2587D" w:rsidRDefault="00590B6F" w:rsidP="00EB0F30">
            <w:pPr>
              <w:jc w:val="center"/>
              <w:rPr>
                <w:rFonts w:cs="Arial"/>
                <w:sz w:val="20"/>
                <w:szCs w:val="20"/>
                <w:lang w:eastAsia="uk-UA"/>
              </w:rPr>
            </w:pPr>
            <w:r w:rsidRPr="00C2587D">
              <w:rPr>
                <w:rFonts w:cs="Arial"/>
                <w:sz w:val="20"/>
                <w:szCs w:val="20"/>
                <w:lang w:eastAsia="uk-UA"/>
              </w:rPr>
              <w:t>2</w:t>
            </w:r>
            <w:r w:rsidR="00EB0F30" w:rsidRPr="00C2587D">
              <w:rPr>
                <w:rFonts w:cs="Arial"/>
                <w:sz w:val="20"/>
                <w:szCs w:val="20"/>
                <w:lang w:eastAsia="uk-UA"/>
              </w:rPr>
              <w:t>.</w:t>
            </w:r>
          </w:p>
        </w:tc>
        <w:tc>
          <w:tcPr>
            <w:tcW w:w="4521" w:type="dxa"/>
            <w:tcBorders>
              <w:top w:val="single" w:sz="4" w:space="0" w:color="auto"/>
              <w:left w:val="single" w:sz="4" w:space="0" w:color="auto"/>
              <w:bottom w:val="single" w:sz="4" w:space="0" w:color="auto"/>
              <w:right w:val="single" w:sz="4" w:space="0" w:color="auto"/>
            </w:tcBorders>
            <w:shd w:val="clear" w:color="auto" w:fill="auto"/>
            <w:vAlign w:val="center"/>
          </w:tcPr>
          <w:p w14:paraId="1A1CD51F" w14:textId="5C6885D4" w:rsidR="00EB0F30" w:rsidRPr="00C2587D" w:rsidRDefault="00DD3224" w:rsidP="00EB0F30">
            <w:pPr>
              <w:spacing w:before="40" w:after="40"/>
              <w:jc w:val="both"/>
              <w:rPr>
                <w:rFonts w:cs="Arial"/>
                <w:sz w:val="20"/>
                <w:szCs w:val="20"/>
                <w:lang w:eastAsia="it-IT"/>
              </w:rPr>
            </w:pPr>
            <w:r w:rsidRPr="00C2587D">
              <w:rPr>
                <w:rFonts w:cs="Arial"/>
                <w:sz w:val="20"/>
                <w:szCs w:val="20"/>
                <w:lang w:eastAsia="it-IT"/>
              </w:rPr>
              <w:t>Капітальний ремонт адміністративних будівель (А-ІІІцн та Д-Іцн) та прилеглої території по вул. Училищна, 9 в м. Жмеринка Вінницької області</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14:paraId="5F28C174" w14:textId="28F4E9EE" w:rsidR="00EB0F30" w:rsidRPr="00C2587D" w:rsidRDefault="00EB0F30" w:rsidP="00EB0F30">
            <w:pPr>
              <w:jc w:val="center"/>
              <w:rPr>
                <w:rFonts w:cs="Arial"/>
                <w:color w:val="000000"/>
                <w:sz w:val="20"/>
                <w:szCs w:val="20"/>
                <w:lang w:eastAsia="it-IT"/>
              </w:rPr>
            </w:pP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tcPr>
          <w:p w14:paraId="39926C03" w14:textId="368891E0" w:rsidR="00EB0F30" w:rsidRPr="00C2587D" w:rsidRDefault="00DD3224" w:rsidP="00EB0F30">
            <w:pPr>
              <w:jc w:val="center"/>
              <w:rPr>
                <w:rFonts w:cs="Arial"/>
                <w:color w:val="000000"/>
                <w:sz w:val="20"/>
                <w:szCs w:val="20"/>
                <w:lang w:eastAsia="it-IT"/>
              </w:rPr>
            </w:pPr>
            <w:r w:rsidRPr="00C2587D">
              <w:rPr>
                <w:rFonts w:cs="Arial"/>
                <w:color w:val="000000"/>
                <w:sz w:val="20"/>
                <w:szCs w:val="20"/>
                <w:lang w:eastAsia="it-IT"/>
              </w:rPr>
              <w:t>36 590,9</w:t>
            </w:r>
          </w:p>
        </w:tc>
        <w:tc>
          <w:tcPr>
            <w:tcW w:w="1273" w:type="dxa"/>
            <w:tcBorders>
              <w:top w:val="single" w:sz="4" w:space="0" w:color="auto"/>
              <w:left w:val="single" w:sz="4" w:space="0" w:color="auto"/>
              <w:bottom w:val="single" w:sz="4" w:space="0" w:color="auto"/>
              <w:right w:val="single" w:sz="4" w:space="0" w:color="auto"/>
            </w:tcBorders>
            <w:shd w:val="clear" w:color="auto" w:fill="auto"/>
            <w:vAlign w:val="center"/>
          </w:tcPr>
          <w:p w14:paraId="41468602" w14:textId="7481436B" w:rsidR="00EB0F30" w:rsidRPr="00C2587D" w:rsidRDefault="00EB0F30" w:rsidP="00EB0F30">
            <w:pPr>
              <w:jc w:val="center"/>
              <w:rPr>
                <w:rFonts w:cs="Arial"/>
                <w:color w:val="000000"/>
                <w:sz w:val="20"/>
                <w:szCs w:val="20"/>
                <w:lang w:eastAsia="it-IT"/>
              </w:rPr>
            </w:pPr>
          </w:p>
        </w:tc>
        <w:tc>
          <w:tcPr>
            <w:tcW w:w="1273" w:type="dxa"/>
            <w:tcBorders>
              <w:top w:val="single" w:sz="4" w:space="0" w:color="auto"/>
              <w:left w:val="single" w:sz="4" w:space="0" w:color="auto"/>
              <w:bottom w:val="single" w:sz="4" w:space="0" w:color="auto"/>
              <w:right w:val="single" w:sz="4" w:space="0" w:color="auto"/>
            </w:tcBorders>
            <w:shd w:val="clear" w:color="auto" w:fill="auto"/>
            <w:vAlign w:val="center"/>
          </w:tcPr>
          <w:p w14:paraId="498FC92D" w14:textId="5F30F704" w:rsidR="00EB0F30" w:rsidRPr="00C2587D" w:rsidRDefault="00EB0F30" w:rsidP="00EB0F30">
            <w:pPr>
              <w:jc w:val="center"/>
              <w:rPr>
                <w:rFonts w:cs="Arial"/>
                <w:color w:val="000000"/>
                <w:sz w:val="20"/>
                <w:szCs w:val="20"/>
                <w:lang w:eastAsia="it-IT"/>
              </w:rPr>
            </w:pPr>
          </w:p>
        </w:tc>
        <w:tc>
          <w:tcPr>
            <w:tcW w:w="1217" w:type="dxa"/>
            <w:tcBorders>
              <w:top w:val="single" w:sz="4" w:space="0" w:color="auto"/>
              <w:left w:val="single" w:sz="4" w:space="0" w:color="auto"/>
              <w:bottom w:val="single" w:sz="4" w:space="0" w:color="auto"/>
              <w:right w:val="single" w:sz="4" w:space="0" w:color="auto"/>
            </w:tcBorders>
            <w:vAlign w:val="center"/>
          </w:tcPr>
          <w:p w14:paraId="2C25A402" w14:textId="6D58B8D2" w:rsidR="00EB0F30" w:rsidRPr="00C2587D" w:rsidRDefault="00DD3224" w:rsidP="00EB0F30">
            <w:pPr>
              <w:jc w:val="center"/>
              <w:rPr>
                <w:rFonts w:cs="Arial"/>
                <w:b/>
                <w:color w:val="000000"/>
                <w:sz w:val="20"/>
                <w:szCs w:val="20"/>
                <w:lang w:eastAsia="it-IT"/>
              </w:rPr>
            </w:pPr>
            <w:r w:rsidRPr="00C2587D">
              <w:rPr>
                <w:rFonts w:cs="Arial"/>
                <w:b/>
                <w:color w:val="000000"/>
                <w:sz w:val="20"/>
                <w:szCs w:val="20"/>
                <w:lang w:eastAsia="it-IT"/>
              </w:rPr>
              <w:t>36 590,9</w:t>
            </w:r>
          </w:p>
        </w:tc>
      </w:tr>
      <w:tr w:rsidR="00A3355E" w:rsidRPr="00C2587D" w14:paraId="3278465F" w14:textId="77777777" w:rsidTr="009A5765">
        <w:trPr>
          <w:jc w:val="center"/>
        </w:trPr>
        <w:tc>
          <w:tcPr>
            <w:tcW w:w="5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14E240" w14:textId="79332BE2" w:rsidR="00A3355E" w:rsidRPr="00C2587D" w:rsidRDefault="00590B6F" w:rsidP="00A3355E">
            <w:pPr>
              <w:jc w:val="center"/>
              <w:rPr>
                <w:rFonts w:cs="Arial"/>
                <w:sz w:val="20"/>
                <w:szCs w:val="20"/>
                <w:lang w:eastAsia="uk-UA"/>
              </w:rPr>
            </w:pPr>
            <w:r w:rsidRPr="00C2587D">
              <w:rPr>
                <w:rFonts w:cs="Arial"/>
                <w:sz w:val="20"/>
                <w:szCs w:val="20"/>
                <w:lang w:eastAsia="uk-UA"/>
              </w:rPr>
              <w:lastRenderedPageBreak/>
              <w:t>3.</w:t>
            </w:r>
          </w:p>
        </w:tc>
        <w:tc>
          <w:tcPr>
            <w:tcW w:w="4521" w:type="dxa"/>
            <w:tcBorders>
              <w:top w:val="single" w:sz="4" w:space="0" w:color="auto"/>
              <w:left w:val="single" w:sz="4" w:space="0" w:color="auto"/>
              <w:bottom w:val="single" w:sz="4" w:space="0" w:color="auto"/>
              <w:right w:val="single" w:sz="4" w:space="0" w:color="auto"/>
            </w:tcBorders>
            <w:shd w:val="clear" w:color="auto" w:fill="auto"/>
            <w:vAlign w:val="center"/>
          </w:tcPr>
          <w:p w14:paraId="6D38AF0D" w14:textId="365FD210" w:rsidR="00A3355E" w:rsidRPr="00C2587D" w:rsidRDefault="00A3355E" w:rsidP="00A3355E">
            <w:pPr>
              <w:spacing w:before="40" w:after="40"/>
              <w:jc w:val="both"/>
              <w:rPr>
                <w:rFonts w:cs="Arial"/>
                <w:sz w:val="20"/>
                <w:szCs w:val="20"/>
                <w:lang w:eastAsia="it-IT"/>
              </w:rPr>
            </w:pPr>
            <w:r w:rsidRPr="00C2587D">
              <w:rPr>
                <w:rFonts w:cs="Arial"/>
                <w:sz w:val="20"/>
                <w:szCs w:val="20"/>
                <w:lang w:eastAsia="it-IT"/>
              </w:rPr>
              <w:t>Капітальний ремонт (термомодернізація) будівлі комунального закладу «Жмеринський ліцей №6»</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14:paraId="32A084F4" w14:textId="77777777" w:rsidR="00A3355E" w:rsidRPr="00C2587D" w:rsidRDefault="00A3355E" w:rsidP="00A3355E">
            <w:pPr>
              <w:jc w:val="center"/>
              <w:rPr>
                <w:rFonts w:cs="Arial"/>
                <w:color w:val="000000"/>
                <w:sz w:val="20"/>
                <w:szCs w:val="20"/>
                <w:lang w:eastAsia="it-IT"/>
              </w:rPr>
            </w:pP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tcPr>
          <w:p w14:paraId="5319489A" w14:textId="77777777" w:rsidR="00A3355E" w:rsidRPr="00C2587D" w:rsidRDefault="00A3355E" w:rsidP="00A3355E">
            <w:pPr>
              <w:jc w:val="center"/>
              <w:rPr>
                <w:rFonts w:cs="Arial"/>
                <w:color w:val="000000"/>
                <w:sz w:val="20"/>
                <w:szCs w:val="20"/>
                <w:lang w:eastAsia="it-IT"/>
              </w:rPr>
            </w:pPr>
          </w:p>
        </w:tc>
        <w:tc>
          <w:tcPr>
            <w:tcW w:w="1273" w:type="dxa"/>
            <w:tcBorders>
              <w:top w:val="single" w:sz="4" w:space="0" w:color="auto"/>
              <w:left w:val="single" w:sz="4" w:space="0" w:color="auto"/>
              <w:bottom w:val="single" w:sz="4" w:space="0" w:color="auto"/>
              <w:right w:val="single" w:sz="4" w:space="0" w:color="auto"/>
            </w:tcBorders>
            <w:shd w:val="clear" w:color="auto" w:fill="auto"/>
            <w:vAlign w:val="center"/>
          </w:tcPr>
          <w:p w14:paraId="0C030C1F" w14:textId="6B1B8DB9" w:rsidR="00A3355E" w:rsidRPr="00C2587D" w:rsidRDefault="00A3355E" w:rsidP="00A3355E">
            <w:pPr>
              <w:jc w:val="center"/>
              <w:rPr>
                <w:rFonts w:cs="Arial"/>
                <w:color w:val="000000"/>
                <w:sz w:val="20"/>
                <w:szCs w:val="20"/>
                <w:lang w:eastAsia="it-IT"/>
              </w:rPr>
            </w:pPr>
            <w:r w:rsidRPr="00C2587D">
              <w:rPr>
                <w:rFonts w:cs="Arial"/>
                <w:color w:val="000000"/>
                <w:sz w:val="20"/>
                <w:szCs w:val="20"/>
                <w:lang w:eastAsia="it-IT"/>
              </w:rPr>
              <w:t>30</w:t>
            </w:r>
            <w:r w:rsidR="00682101" w:rsidRPr="00C2587D">
              <w:rPr>
                <w:rFonts w:cs="Arial"/>
                <w:color w:val="000000"/>
                <w:sz w:val="20"/>
                <w:szCs w:val="20"/>
                <w:lang w:eastAsia="it-IT"/>
              </w:rPr>
              <w:t xml:space="preserve"> </w:t>
            </w:r>
            <w:r w:rsidRPr="00C2587D">
              <w:rPr>
                <w:rFonts w:cs="Arial"/>
                <w:color w:val="000000"/>
                <w:sz w:val="20"/>
                <w:szCs w:val="20"/>
                <w:lang w:eastAsia="it-IT"/>
              </w:rPr>
              <w:t>000,0</w:t>
            </w:r>
          </w:p>
        </w:tc>
        <w:tc>
          <w:tcPr>
            <w:tcW w:w="1273" w:type="dxa"/>
            <w:tcBorders>
              <w:top w:val="single" w:sz="4" w:space="0" w:color="auto"/>
              <w:left w:val="single" w:sz="4" w:space="0" w:color="auto"/>
              <w:bottom w:val="single" w:sz="4" w:space="0" w:color="auto"/>
              <w:right w:val="single" w:sz="4" w:space="0" w:color="auto"/>
            </w:tcBorders>
            <w:shd w:val="clear" w:color="auto" w:fill="FFFFFF"/>
            <w:vAlign w:val="center"/>
          </w:tcPr>
          <w:p w14:paraId="6BF4C25F" w14:textId="66F1F39C" w:rsidR="00A3355E" w:rsidRPr="00C2587D" w:rsidRDefault="00A3355E" w:rsidP="00A3355E">
            <w:pPr>
              <w:jc w:val="center"/>
              <w:rPr>
                <w:rFonts w:cs="Arial"/>
                <w:color w:val="000000"/>
                <w:sz w:val="20"/>
                <w:szCs w:val="20"/>
                <w:lang w:eastAsia="it-IT"/>
              </w:rPr>
            </w:pPr>
            <w:r w:rsidRPr="00C2587D">
              <w:rPr>
                <w:rFonts w:cs="Arial"/>
                <w:color w:val="000000"/>
                <w:sz w:val="20"/>
                <w:szCs w:val="20"/>
                <w:lang w:eastAsia="it-IT"/>
              </w:rPr>
              <w:t>30</w:t>
            </w:r>
            <w:r w:rsidR="00682101" w:rsidRPr="00C2587D">
              <w:rPr>
                <w:rFonts w:cs="Arial"/>
                <w:color w:val="000000"/>
                <w:sz w:val="20"/>
                <w:szCs w:val="20"/>
                <w:lang w:eastAsia="it-IT"/>
              </w:rPr>
              <w:t xml:space="preserve"> </w:t>
            </w:r>
            <w:r w:rsidRPr="00C2587D">
              <w:rPr>
                <w:rFonts w:cs="Arial"/>
                <w:color w:val="000000"/>
                <w:sz w:val="20"/>
                <w:szCs w:val="20"/>
                <w:lang w:eastAsia="it-IT"/>
              </w:rPr>
              <w:t>000,0</w:t>
            </w:r>
          </w:p>
        </w:tc>
        <w:tc>
          <w:tcPr>
            <w:tcW w:w="1217" w:type="dxa"/>
            <w:tcBorders>
              <w:top w:val="single" w:sz="4" w:space="0" w:color="auto"/>
              <w:left w:val="single" w:sz="4" w:space="0" w:color="auto"/>
              <w:bottom w:val="single" w:sz="4" w:space="0" w:color="auto"/>
              <w:right w:val="single" w:sz="4" w:space="0" w:color="auto"/>
            </w:tcBorders>
            <w:shd w:val="clear" w:color="auto" w:fill="FFFFFF"/>
            <w:vAlign w:val="center"/>
          </w:tcPr>
          <w:p w14:paraId="27D1B0CC" w14:textId="634C2E4D" w:rsidR="00A3355E" w:rsidRPr="00C2587D" w:rsidRDefault="00A3355E" w:rsidP="00A3355E">
            <w:pPr>
              <w:jc w:val="center"/>
              <w:rPr>
                <w:rFonts w:cs="Arial"/>
                <w:b/>
                <w:color w:val="000000"/>
                <w:sz w:val="20"/>
                <w:szCs w:val="20"/>
                <w:lang w:eastAsia="it-IT"/>
              </w:rPr>
            </w:pPr>
            <w:r w:rsidRPr="00C2587D">
              <w:rPr>
                <w:rFonts w:cs="Arial"/>
                <w:b/>
                <w:color w:val="000000"/>
                <w:sz w:val="20"/>
                <w:szCs w:val="20"/>
                <w:lang w:eastAsia="it-IT"/>
              </w:rPr>
              <w:t>60 000,0</w:t>
            </w:r>
          </w:p>
        </w:tc>
      </w:tr>
      <w:tr w:rsidR="003577B7" w:rsidRPr="00C2587D" w14:paraId="7F88409A" w14:textId="77777777" w:rsidTr="009A5765">
        <w:trPr>
          <w:trHeight w:val="468"/>
          <w:jc w:val="center"/>
        </w:trPr>
        <w:tc>
          <w:tcPr>
            <w:tcW w:w="5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597E45" w14:textId="3B27640E" w:rsidR="003577B7" w:rsidRPr="00C2587D" w:rsidRDefault="00590B6F" w:rsidP="003577B7">
            <w:pPr>
              <w:jc w:val="center"/>
              <w:rPr>
                <w:rFonts w:cs="Arial"/>
                <w:sz w:val="20"/>
                <w:szCs w:val="20"/>
                <w:lang w:eastAsia="uk-UA"/>
              </w:rPr>
            </w:pPr>
            <w:r w:rsidRPr="00C2587D">
              <w:rPr>
                <w:rFonts w:cs="Arial"/>
                <w:sz w:val="20"/>
                <w:szCs w:val="20"/>
                <w:lang w:eastAsia="uk-UA"/>
              </w:rPr>
              <w:t>4.</w:t>
            </w:r>
          </w:p>
        </w:tc>
        <w:tc>
          <w:tcPr>
            <w:tcW w:w="4521" w:type="dxa"/>
            <w:tcBorders>
              <w:top w:val="single" w:sz="4" w:space="0" w:color="auto"/>
              <w:left w:val="single" w:sz="4" w:space="0" w:color="auto"/>
              <w:bottom w:val="single" w:sz="4" w:space="0" w:color="auto"/>
              <w:right w:val="single" w:sz="4" w:space="0" w:color="auto"/>
            </w:tcBorders>
            <w:shd w:val="clear" w:color="auto" w:fill="auto"/>
            <w:vAlign w:val="center"/>
          </w:tcPr>
          <w:p w14:paraId="314DE54C" w14:textId="59BE5D78" w:rsidR="003577B7" w:rsidRPr="00C2587D" w:rsidRDefault="003577B7" w:rsidP="00B446EE">
            <w:pPr>
              <w:spacing w:before="40" w:after="40"/>
              <w:jc w:val="both"/>
              <w:rPr>
                <w:rFonts w:cs="Arial"/>
                <w:sz w:val="20"/>
                <w:szCs w:val="20"/>
                <w:lang w:eastAsia="it-IT"/>
              </w:rPr>
            </w:pPr>
            <w:r w:rsidRPr="00C2587D">
              <w:rPr>
                <w:rFonts w:cs="Arial"/>
                <w:sz w:val="20"/>
                <w:szCs w:val="20"/>
                <w:lang w:eastAsia="it-IT"/>
              </w:rPr>
              <w:t>Модернізація покрівлі  ЗДО № 6 «Казочка»</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14:paraId="14627259" w14:textId="77777777" w:rsidR="003577B7" w:rsidRPr="00C2587D" w:rsidRDefault="003577B7" w:rsidP="003577B7">
            <w:pPr>
              <w:jc w:val="center"/>
              <w:rPr>
                <w:rFonts w:cs="Arial"/>
                <w:color w:val="000000"/>
                <w:sz w:val="20"/>
                <w:szCs w:val="20"/>
                <w:lang w:eastAsia="it-IT"/>
              </w:rPr>
            </w:pPr>
          </w:p>
        </w:tc>
        <w:tc>
          <w:tcPr>
            <w:tcW w:w="1329" w:type="dxa"/>
            <w:tcBorders>
              <w:top w:val="single" w:sz="4" w:space="0" w:color="auto"/>
              <w:left w:val="single" w:sz="4" w:space="0" w:color="auto"/>
              <w:bottom w:val="single" w:sz="4" w:space="0" w:color="auto"/>
              <w:right w:val="single" w:sz="4" w:space="0" w:color="auto"/>
            </w:tcBorders>
            <w:shd w:val="clear" w:color="auto" w:fill="FFFFFF"/>
            <w:vAlign w:val="center"/>
          </w:tcPr>
          <w:p w14:paraId="1FC97CBA" w14:textId="465A992F" w:rsidR="003577B7" w:rsidRPr="00C2587D" w:rsidRDefault="003577B7" w:rsidP="003577B7">
            <w:pPr>
              <w:jc w:val="center"/>
              <w:rPr>
                <w:rFonts w:cs="Arial"/>
                <w:color w:val="000000"/>
                <w:sz w:val="20"/>
                <w:szCs w:val="20"/>
                <w:lang w:eastAsia="it-IT"/>
              </w:rPr>
            </w:pPr>
            <w:r w:rsidRPr="00C2587D">
              <w:rPr>
                <w:rFonts w:cs="Arial"/>
                <w:sz w:val="20"/>
                <w:szCs w:val="20"/>
                <w:lang w:eastAsia="it-IT"/>
              </w:rPr>
              <w:t>6 000,0</w:t>
            </w:r>
          </w:p>
        </w:tc>
        <w:tc>
          <w:tcPr>
            <w:tcW w:w="1273" w:type="dxa"/>
            <w:tcBorders>
              <w:top w:val="single" w:sz="4" w:space="0" w:color="auto"/>
              <w:left w:val="single" w:sz="4" w:space="0" w:color="auto"/>
              <w:bottom w:val="single" w:sz="4" w:space="0" w:color="auto"/>
              <w:right w:val="single" w:sz="4" w:space="0" w:color="auto"/>
            </w:tcBorders>
            <w:shd w:val="clear" w:color="auto" w:fill="auto"/>
            <w:vAlign w:val="center"/>
          </w:tcPr>
          <w:p w14:paraId="0FC2AE7C" w14:textId="77777777" w:rsidR="003577B7" w:rsidRPr="00C2587D" w:rsidRDefault="003577B7" w:rsidP="003577B7">
            <w:pPr>
              <w:jc w:val="center"/>
              <w:rPr>
                <w:rFonts w:cs="Arial"/>
                <w:color w:val="000000"/>
                <w:sz w:val="20"/>
                <w:szCs w:val="20"/>
                <w:lang w:eastAsia="it-IT"/>
              </w:rPr>
            </w:pPr>
          </w:p>
        </w:tc>
        <w:tc>
          <w:tcPr>
            <w:tcW w:w="1273" w:type="dxa"/>
            <w:tcBorders>
              <w:top w:val="single" w:sz="4" w:space="0" w:color="auto"/>
              <w:left w:val="single" w:sz="4" w:space="0" w:color="auto"/>
              <w:bottom w:val="single" w:sz="4" w:space="0" w:color="auto"/>
              <w:right w:val="single" w:sz="4" w:space="0" w:color="auto"/>
            </w:tcBorders>
            <w:shd w:val="clear" w:color="auto" w:fill="FFFFFF"/>
            <w:vAlign w:val="center"/>
          </w:tcPr>
          <w:p w14:paraId="3AAC8664" w14:textId="77777777" w:rsidR="003577B7" w:rsidRPr="00C2587D" w:rsidRDefault="003577B7" w:rsidP="003577B7">
            <w:pPr>
              <w:jc w:val="center"/>
              <w:rPr>
                <w:rFonts w:cs="Arial"/>
                <w:color w:val="000000"/>
                <w:sz w:val="20"/>
                <w:szCs w:val="20"/>
                <w:lang w:eastAsia="it-IT"/>
              </w:rPr>
            </w:pPr>
          </w:p>
        </w:tc>
        <w:tc>
          <w:tcPr>
            <w:tcW w:w="1217" w:type="dxa"/>
            <w:tcBorders>
              <w:top w:val="single" w:sz="4" w:space="0" w:color="auto"/>
              <w:left w:val="single" w:sz="4" w:space="0" w:color="auto"/>
              <w:bottom w:val="single" w:sz="4" w:space="0" w:color="auto"/>
              <w:right w:val="single" w:sz="4" w:space="0" w:color="auto"/>
            </w:tcBorders>
            <w:shd w:val="clear" w:color="auto" w:fill="FFFFFF"/>
            <w:vAlign w:val="center"/>
          </w:tcPr>
          <w:p w14:paraId="07AC7EC7" w14:textId="2AB6EACE" w:rsidR="003577B7" w:rsidRPr="00C2587D" w:rsidRDefault="003577B7" w:rsidP="003577B7">
            <w:pPr>
              <w:jc w:val="center"/>
              <w:rPr>
                <w:rFonts w:cs="Arial"/>
                <w:b/>
                <w:color w:val="000000"/>
                <w:sz w:val="20"/>
                <w:szCs w:val="20"/>
                <w:lang w:eastAsia="it-IT"/>
              </w:rPr>
            </w:pPr>
            <w:r w:rsidRPr="00C2587D">
              <w:rPr>
                <w:rFonts w:cs="Arial"/>
                <w:b/>
                <w:sz w:val="20"/>
                <w:szCs w:val="20"/>
                <w:lang w:eastAsia="it-IT"/>
              </w:rPr>
              <w:t xml:space="preserve">6 000,0 </w:t>
            </w:r>
          </w:p>
        </w:tc>
      </w:tr>
      <w:tr w:rsidR="00A3355E" w:rsidRPr="00C2587D" w14:paraId="341190FF" w14:textId="77777777" w:rsidTr="009A5765">
        <w:trPr>
          <w:trHeight w:val="418"/>
          <w:jc w:val="center"/>
        </w:trPr>
        <w:tc>
          <w:tcPr>
            <w:tcW w:w="5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C0573F" w14:textId="713636BD" w:rsidR="00A3355E" w:rsidRPr="00C2587D" w:rsidRDefault="00590B6F" w:rsidP="00A3355E">
            <w:pPr>
              <w:jc w:val="center"/>
              <w:rPr>
                <w:rFonts w:cs="Arial"/>
                <w:sz w:val="20"/>
                <w:szCs w:val="20"/>
                <w:lang w:eastAsia="uk-UA"/>
              </w:rPr>
            </w:pPr>
            <w:r w:rsidRPr="00C2587D">
              <w:rPr>
                <w:rFonts w:cs="Arial"/>
                <w:sz w:val="20"/>
                <w:szCs w:val="20"/>
                <w:lang w:eastAsia="uk-UA"/>
              </w:rPr>
              <w:t>5.</w:t>
            </w:r>
          </w:p>
        </w:tc>
        <w:tc>
          <w:tcPr>
            <w:tcW w:w="4521" w:type="dxa"/>
            <w:tcBorders>
              <w:top w:val="single" w:sz="4" w:space="0" w:color="auto"/>
              <w:left w:val="single" w:sz="4" w:space="0" w:color="auto"/>
              <w:bottom w:val="single" w:sz="4" w:space="0" w:color="auto"/>
              <w:right w:val="single" w:sz="4" w:space="0" w:color="auto"/>
            </w:tcBorders>
            <w:shd w:val="clear" w:color="auto" w:fill="auto"/>
            <w:vAlign w:val="center"/>
          </w:tcPr>
          <w:p w14:paraId="33E00040" w14:textId="0450A5EC" w:rsidR="00A3355E" w:rsidRPr="00C2587D" w:rsidRDefault="00A3355E" w:rsidP="00B446EE">
            <w:pPr>
              <w:spacing w:before="40" w:after="40"/>
              <w:jc w:val="both"/>
              <w:rPr>
                <w:rFonts w:cs="Arial"/>
                <w:sz w:val="20"/>
                <w:szCs w:val="20"/>
                <w:lang w:eastAsia="it-IT"/>
              </w:rPr>
            </w:pPr>
            <w:r w:rsidRPr="00C2587D">
              <w:rPr>
                <w:rFonts w:cs="Arial"/>
                <w:sz w:val="20"/>
                <w:szCs w:val="20"/>
                <w:lang w:eastAsia="it-IT"/>
              </w:rPr>
              <w:t>Модернізація покрівлі  ЗДО № 2 «Калинка»</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14:paraId="33767489" w14:textId="77777777" w:rsidR="00A3355E" w:rsidRPr="00C2587D" w:rsidRDefault="00A3355E" w:rsidP="00A3355E">
            <w:pPr>
              <w:jc w:val="center"/>
              <w:rPr>
                <w:rFonts w:cs="Arial"/>
                <w:color w:val="000000"/>
                <w:sz w:val="20"/>
                <w:szCs w:val="20"/>
                <w:lang w:eastAsia="it-IT"/>
              </w:rPr>
            </w:pPr>
          </w:p>
        </w:tc>
        <w:tc>
          <w:tcPr>
            <w:tcW w:w="1329" w:type="dxa"/>
            <w:tcBorders>
              <w:top w:val="single" w:sz="4" w:space="0" w:color="auto"/>
              <w:left w:val="single" w:sz="4" w:space="0" w:color="auto"/>
              <w:bottom w:val="single" w:sz="4" w:space="0" w:color="auto"/>
              <w:right w:val="single" w:sz="4" w:space="0" w:color="auto"/>
            </w:tcBorders>
            <w:vAlign w:val="center"/>
          </w:tcPr>
          <w:p w14:paraId="62618B14" w14:textId="2948ADEA" w:rsidR="00A3355E" w:rsidRPr="00C2587D" w:rsidRDefault="00A3355E" w:rsidP="00A3355E">
            <w:pPr>
              <w:jc w:val="center"/>
              <w:rPr>
                <w:rFonts w:cs="Arial"/>
                <w:color w:val="000000"/>
                <w:sz w:val="20"/>
                <w:szCs w:val="20"/>
                <w:lang w:eastAsia="it-IT"/>
              </w:rPr>
            </w:pPr>
            <w:r w:rsidRPr="00C2587D">
              <w:rPr>
                <w:rFonts w:cs="Arial"/>
                <w:sz w:val="20"/>
                <w:szCs w:val="20"/>
                <w:lang w:eastAsia="it-IT"/>
              </w:rPr>
              <w:t>300,00</w:t>
            </w:r>
          </w:p>
        </w:tc>
        <w:tc>
          <w:tcPr>
            <w:tcW w:w="1273" w:type="dxa"/>
            <w:tcBorders>
              <w:top w:val="single" w:sz="4" w:space="0" w:color="auto"/>
              <w:left w:val="single" w:sz="4" w:space="0" w:color="auto"/>
              <w:bottom w:val="single" w:sz="4" w:space="0" w:color="auto"/>
              <w:right w:val="single" w:sz="4" w:space="0" w:color="auto"/>
            </w:tcBorders>
            <w:vAlign w:val="center"/>
          </w:tcPr>
          <w:p w14:paraId="532159E7" w14:textId="3F5C0A1A" w:rsidR="00A3355E" w:rsidRPr="00C2587D" w:rsidRDefault="00A3355E" w:rsidP="00A3355E">
            <w:pPr>
              <w:jc w:val="center"/>
              <w:rPr>
                <w:rFonts w:cs="Arial"/>
                <w:color w:val="000000"/>
                <w:sz w:val="20"/>
                <w:szCs w:val="20"/>
                <w:lang w:eastAsia="it-IT"/>
              </w:rPr>
            </w:pPr>
            <w:r w:rsidRPr="00C2587D">
              <w:rPr>
                <w:rFonts w:cs="Arial"/>
                <w:sz w:val="20"/>
                <w:szCs w:val="20"/>
                <w:lang w:eastAsia="it-IT"/>
              </w:rPr>
              <w:t>6 000,0</w:t>
            </w:r>
          </w:p>
        </w:tc>
        <w:tc>
          <w:tcPr>
            <w:tcW w:w="1273" w:type="dxa"/>
            <w:tcBorders>
              <w:top w:val="single" w:sz="4" w:space="0" w:color="auto"/>
              <w:left w:val="single" w:sz="4" w:space="0" w:color="auto"/>
              <w:bottom w:val="single" w:sz="4" w:space="0" w:color="auto"/>
              <w:right w:val="single" w:sz="4" w:space="0" w:color="auto"/>
            </w:tcBorders>
            <w:vAlign w:val="center"/>
          </w:tcPr>
          <w:p w14:paraId="4182D260" w14:textId="77777777" w:rsidR="00A3355E" w:rsidRPr="00C2587D" w:rsidRDefault="00A3355E" w:rsidP="00A3355E">
            <w:pPr>
              <w:jc w:val="center"/>
              <w:rPr>
                <w:rFonts w:cs="Arial"/>
                <w:color w:val="000000"/>
                <w:sz w:val="20"/>
                <w:szCs w:val="20"/>
                <w:lang w:eastAsia="it-IT"/>
              </w:rPr>
            </w:pPr>
          </w:p>
        </w:tc>
        <w:tc>
          <w:tcPr>
            <w:tcW w:w="1217" w:type="dxa"/>
            <w:tcBorders>
              <w:top w:val="single" w:sz="4" w:space="0" w:color="auto"/>
              <w:left w:val="single" w:sz="4" w:space="0" w:color="auto"/>
              <w:bottom w:val="single" w:sz="4" w:space="0" w:color="auto"/>
              <w:right w:val="single" w:sz="4" w:space="0" w:color="auto"/>
            </w:tcBorders>
            <w:vAlign w:val="center"/>
          </w:tcPr>
          <w:p w14:paraId="52CD9673" w14:textId="3133B657" w:rsidR="00A3355E" w:rsidRPr="00C2587D" w:rsidRDefault="00A3355E" w:rsidP="00A3355E">
            <w:pPr>
              <w:jc w:val="center"/>
              <w:rPr>
                <w:rFonts w:cs="Arial"/>
                <w:b/>
                <w:color w:val="000000"/>
                <w:sz w:val="20"/>
                <w:szCs w:val="20"/>
                <w:lang w:eastAsia="it-IT"/>
              </w:rPr>
            </w:pPr>
            <w:r w:rsidRPr="00C2587D">
              <w:rPr>
                <w:rFonts w:cs="Arial"/>
                <w:b/>
                <w:sz w:val="20"/>
                <w:szCs w:val="20"/>
                <w:lang w:eastAsia="it-IT"/>
              </w:rPr>
              <w:t>6 300, 0</w:t>
            </w:r>
          </w:p>
        </w:tc>
      </w:tr>
      <w:tr w:rsidR="003F712D" w:rsidRPr="00C2587D" w14:paraId="02ECC339" w14:textId="77777777" w:rsidTr="009A5765">
        <w:trPr>
          <w:trHeight w:val="409"/>
          <w:jc w:val="center"/>
        </w:trPr>
        <w:tc>
          <w:tcPr>
            <w:tcW w:w="5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11E97B" w14:textId="47DEDFB4" w:rsidR="003F712D" w:rsidRPr="00C2587D" w:rsidRDefault="00590B6F" w:rsidP="003F712D">
            <w:pPr>
              <w:jc w:val="center"/>
              <w:rPr>
                <w:rFonts w:cs="Arial"/>
                <w:sz w:val="20"/>
                <w:szCs w:val="20"/>
                <w:lang w:eastAsia="uk-UA"/>
              </w:rPr>
            </w:pPr>
            <w:r w:rsidRPr="00C2587D">
              <w:rPr>
                <w:rFonts w:cs="Arial"/>
                <w:sz w:val="20"/>
                <w:szCs w:val="20"/>
                <w:lang w:eastAsia="uk-UA"/>
              </w:rPr>
              <w:t>6.</w:t>
            </w:r>
          </w:p>
        </w:tc>
        <w:tc>
          <w:tcPr>
            <w:tcW w:w="4521" w:type="dxa"/>
            <w:tcBorders>
              <w:top w:val="single" w:sz="4" w:space="0" w:color="auto"/>
              <w:left w:val="single" w:sz="4" w:space="0" w:color="auto"/>
              <w:bottom w:val="single" w:sz="4" w:space="0" w:color="auto"/>
              <w:right w:val="single" w:sz="4" w:space="0" w:color="auto"/>
            </w:tcBorders>
            <w:shd w:val="clear" w:color="auto" w:fill="auto"/>
            <w:vAlign w:val="center"/>
          </w:tcPr>
          <w:p w14:paraId="0436BCD3" w14:textId="0509AADF" w:rsidR="003F712D" w:rsidRPr="00C2587D" w:rsidRDefault="003F712D" w:rsidP="003F712D">
            <w:pPr>
              <w:spacing w:before="40" w:after="40"/>
              <w:jc w:val="both"/>
              <w:rPr>
                <w:rFonts w:cs="Arial"/>
                <w:sz w:val="20"/>
                <w:szCs w:val="20"/>
                <w:lang w:eastAsia="it-IT"/>
              </w:rPr>
            </w:pPr>
            <w:r w:rsidRPr="00C2587D">
              <w:rPr>
                <w:rFonts w:cs="Arial"/>
                <w:sz w:val="20"/>
                <w:szCs w:val="20"/>
                <w:lang w:eastAsia="it-IT"/>
              </w:rPr>
              <w:t>Безпечна школа – запорука якості освіти</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14:paraId="42F6936A" w14:textId="77777777" w:rsidR="003F712D" w:rsidRPr="00C2587D" w:rsidRDefault="003F712D" w:rsidP="003F712D">
            <w:pPr>
              <w:jc w:val="center"/>
              <w:rPr>
                <w:rFonts w:cs="Arial"/>
                <w:color w:val="000000"/>
                <w:sz w:val="20"/>
                <w:szCs w:val="20"/>
                <w:lang w:eastAsia="it-IT"/>
              </w:rPr>
            </w:pPr>
          </w:p>
        </w:tc>
        <w:tc>
          <w:tcPr>
            <w:tcW w:w="1329" w:type="dxa"/>
            <w:tcBorders>
              <w:top w:val="single" w:sz="4" w:space="0" w:color="auto"/>
              <w:left w:val="single" w:sz="4" w:space="0" w:color="auto"/>
              <w:bottom w:val="single" w:sz="4" w:space="0" w:color="auto"/>
              <w:right w:val="single" w:sz="4" w:space="0" w:color="auto"/>
            </w:tcBorders>
            <w:vAlign w:val="center"/>
          </w:tcPr>
          <w:p w14:paraId="08823327" w14:textId="77777777" w:rsidR="003F712D" w:rsidRPr="00C2587D" w:rsidRDefault="003F712D" w:rsidP="003F712D">
            <w:pPr>
              <w:jc w:val="center"/>
              <w:rPr>
                <w:rFonts w:cs="Arial"/>
                <w:sz w:val="20"/>
                <w:szCs w:val="20"/>
                <w:lang w:eastAsia="it-IT"/>
              </w:rPr>
            </w:pPr>
          </w:p>
        </w:tc>
        <w:tc>
          <w:tcPr>
            <w:tcW w:w="1273" w:type="dxa"/>
            <w:tcBorders>
              <w:top w:val="single" w:sz="4" w:space="0" w:color="auto"/>
              <w:left w:val="single" w:sz="4" w:space="0" w:color="auto"/>
              <w:bottom w:val="single" w:sz="4" w:space="0" w:color="auto"/>
              <w:right w:val="single" w:sz="4" w:space="0" w:color="auto"/>
            </w:tcBorders>
            <w:shd w:val="clear" w:color="auto" w:fill="auto"/>
            <w:vAlign w:val="center"/>
          </w:tcPr>
          <w:p w14:paraId="05F107B5" w14:textId="40BF1F48" w:rsidR="003F712D" w:rsidRPr="00C2587D" w:rsidRDefault="003F712D" w:rsidP="003F712D">
            <w:pPr>
              <w:jc w:val="center"/>
              <w:rPr>
                <w:rFonts w:cs="Arial"/>
                <w:sz w:val="20"/>
                <w:szCs w:val="20"/>
                <w:lang w:eastAsia="it-IT"/>
              </w:rPr>
            </w:pPr>
            <w:r w:rsidRPr="00C2587D">
              <w:rPr>
                <w:rFonts w:cs="Arial"/>
                <w:sz w:val="20"/>
                <w:szCs w:val="20"/>
                <w:lang w:eastAsia="it-IT"/>
              </w:rPr>
              <w:t>8 000,0</w:t>
            </w:r>
          </w:p>
        </w:tc>
        <w:tc>
          <w:tcPr>
            <w:tcW w:w="1273" w:type="dxa"/>
            <w:tcBorders>
              <w:top w:val="single" w:sz="4" w:space="0" w:color="auto"/>
              <w:left w:val="single" w:sz="4" w:space="0" w:color="auto"/>
              <w:bottom w:val="single" w:sz="4" w:space="0" w:color="auto"/>
              <w:right w:val="single" w:sz="4" w:space="0" w:color="auto"/>
            </w:tcBorders>
            <w:shd w:val="clear" w:color="auto" w:fill="FFFFFF"/>
            <w:vAlign w:val="center"/>
          </w:tcPr>
          <w:p w14:paraId="0AC16880" w14:textId="52EB3422" w:rsidR="003F712D" w:rsidRPr="00C2587D" w:rsidRDefault="003F712D" w:rsidP="003F712D">
            <w:pPr>
              <w:jc w:val="center"/>
              <w:rPr>
                <w:rFonts w:cs="Arial"/>
                <w:color w:val="000000"/>
                <w:sz w:val="20"/>
                <w:szCs w:val="20"/>
                <w:lang w:eastAsia="it-IT"/>
              </w:rPr>
            </w:pPr>
            <w:r w:rsidRPr="00C2587D">
              <w:rPr>
                <w:rFonts w:cs="Arial"/>
                <w:b/>
                <w:sz w:val="20"/>
                <w:szCs w:val="20"/>
                <w:lang w:eastAsia="it-IT"/>
              </w:rPr>
              <w:t xml:space="preserve"> </w:t>
            </w:r>
          </w:p>
        </w:tc>
        <w:tc>
          <w:tcPr>
            <w:tcW w:w="1217" w:type="dxa"/>
            <w:tcBorders>
              <w:top w:val="single" w:sz="4" w:space="0" w:color="auto"/>
              <w:left w:val="single" w:sz="4" w:space="0" w:color="auto"/>
              <w:bottom w:val="single" w:sz="4" w:space="0" w:color="auto"/>
              <w:right w:val="single" w:sz="4" w:space="0" w:color="auto"/>
            </w:tcBorders>
            <w:shd w:val="clear" w:color="auto" w:fill="FFFFFF"/>
            <w:vAlign w:val="center"/>
          </w:tcPr>
          <w:p w14:paraId="38D29D63" w14:textId="2A635BA2" w:rsidR="003F712D" w:rsidRPr="00C2587D" w:rsidRDefault="003F712D" w:rsidP="003F712D">
            <w:pPr>
              <w:jc w:val="center"/>
              <w:rPr>
                <w:rFonts w:cs="Arial"/>
                <w:b/>
                <w:sz w:val="20"/>
                <w:szCs w:val="20"/>
                <w:lang w:eastAsia="it-IT"/>
              </w:rPr>
            </w:pPr>
            <w:r w:rsidRPr="00C2587D">
              <w:rPr>
                <w:rFonts w:cs="Arial"/>
                <w:b/>
                <w:sz w:val="20"/>
                <w:szCs w:val="20"/>
                <w:lang w:eastAsia="it-IT"/>
              </w:rPr>
              <w:t>8 000,0</w:t>
            </w:r>
          </w:p>
        </w:tc>
      </w:tr>
      <w:tr w:rsidR="00A3355E" w:rsidRPr="00C2587D" w14:paraId="61D60EF9" w14:textId="77777777" w:rsidTr="009A5765">
        <w:trPr>
          <w:jc w:val="center"/>
        </w:trPr>
        <w:tc>
          <w:tcPr>
            <w:tcW w:w="5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C48A26" w14:textId="4C38DDB9" w:rsidR="00A3355E" w:rsidRPr="00C2587D" w:rsidRDefault="00590B6F" w:rsidP="00A3355E">
            <w:pPr>
              <w:jc w:val="center"/>
              <w:rPr>
                <w:rFonts w:cs="Arial"/>
                <w:sz w:val="20"/>
                <w:szCs w:val="20"/>
                <w:lang w:eastAsia="uk-UA"/>
              </w:rPr>
            </w:pPr>
            <w:r w:rsidRPr="00C2587D">
              <w:rPr>
                <w:rFonts w:cs="Arial"/>
                <w:sz w:val="20"/>
                <w:szCs w:val="20"/>
                <w:lang w:eastAsia="uk-UA"/>
              </w:rPr>
              <w:t>7.</w:t>
            </w:r>
          </w:p>
        </w:tc>
        <w:tc>
          <w:tcPr>
            <w:tcW w:w="4521" w:type="dxa"/>
            <w:tcBorders>
              <w:top w:val="single" w:sz="4" w:space="0" w:color="auto"/>
              <w:left w:val="single" w:sz="4" w:space="0" w:color="auto"/>
              <w:bottom w:val="single" w:sz="4" w:space="0" w:color="auto"/>
              <w:right w:val="single" w:sz="4" w:space="0" w:color="auto"/>
            </w:tcBorders>
            <w:shd w:val="clear" w:color="auto" w:fill="auto"/>
            <w:vAlign w:val="center"/>
          </w:tcPr>
          <w:p w14:paraId="1BF4CC11" w14:textId="7AA264DF" w:rsidR="00A3355E" w:rsidRPr="00C2587D" w:rsidRDefault="00A3355E" w:rsidP="00A3355E">
            <w:pPr>
              <w:spacing w:before="40" w:after="40"/>
              <w:jc w:val="both"/>
              <w:rPr>
                <w:rFonts w:cs="Arial"/>
                <w:sz w:val="20"/>
                <w:szCs w:val="20"/>
                <w:lang w:eastAsia="it-IT"/>
              </w:rPr>
            </w:pPr>
            <w:r w:rsidRPr="00C2587D">
              <w:rPr>
                <w:rFonts w:cs="Arial"/>
                <w:sz w:val="20"/>
                <w:szCs w:val="20"/>
                <w:lang w:eastAsia="it-IT"/>
              </w:rPr>
              <w:t>Модернізація покрівлі - важлива складова створення сучасного енергоефективного освітнього простору</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14:paraId="1945702F" w14:textId="77777777" w:rsidR="00A3355E" w:rsidRPr="00C2587D" w:rsidRDefault="00A3355E" w:rsidP="00A3355E">
            <w:pPr>
              <w:jc w:val="center"/>
              <w:rPr>
                <w:rFonts w:cs="Arial"/>
                <w:color w:val="000000"/>
                <w:sz w:val="20"/>
                <w:szCs w:val="20"/>
                <w:lang w:eastAsia="it-IT"/>
              </w:rPr>
            </w:pPr>
          </w:p>
        </w:tc>
        <w:tc>
          <w:tcPr>
            <w:tcW w:w="1329" w:type="dxa"/>
            <w:tcBorders>
              <w:top w:val="single" w:sz="4" w:space="0" w:color="auto"/>
              <w:left w:val="single" w:sz="4" w:space="0" w:color="auto"/>
              <w:bottom w:val="single" w:sz="4" w:space="0" w:color="auto"/>
              <w:right w:val="single" w:sz="4" w:space="0" w:color="auto"/>
            </w:tcBorders>
            <w:vAlign w:val="center"/>
          </w:tcPr>
          <w:p w14:paraId="17ED83E8" w14:textId="77777777" w:rsidR="00A3355E" w:rsidRPr="00C2587D" w:rsidRDefault="00A3355E" w:rsidP="00A3355E">
            <w:pPr>
              <w:jc w:val="center"/>
              <w:rPr>
                <w:rFonts w:cs="Arial"/>
                <w:sz w:val="20"/>
                <w:szCs w:val="20"/>
                <w:lang w:eastAsia="it-IT"/>
              </w:rPr>
            </w:pPr>
          </w:p>
        </w:tc>
        <w:tc>
          <w:tcPr>
            <w:tcW w:w="1273" w:type="dxa"/>
            <w:tcBorders>
              <w:top w:val="single" w:sz="4" w:space="0" w:color="auto"/>
              <w:left w:val="single" w:sz="4" w:space="0" w:color="auto"/>
              <w:bottom w:val="single" w:sz="4" w:space="0" w:color="auto"/>
              <w:right w:val="single" w:sz="4" w:space="0" w:color="auto"/>
            </w:tcBorders>
            <w:shd w:val="clear" w:color="auto" w:fill="auto"/>
            <w:vAlign w:val="center"/>
          </w:tcPr>
          <w:p w14:paraId="0DEA240A" w14:textId="108A5354" w:rsidR="00A3355E" w:rsidRPr="00C2587D" w:rsidRDefault="00A3355E" w:rsidP="00A3355E">
            <w:pPr>
              <w:jc w:val="center"/>
              <w:rPr>
                <w:rFonts w:cs="Arial"/>
                <w:sz w:val="20"/>
                <w:szCs w:val="20"/>
                <w:lang w:eastAsia="it-IT"/>
              </w:rPr>
            </w:pPr>
            <w:r w:rsidRPr="00C2587D">
              <w:rPr>
                <w:rFonts w:cs="Arial"/>
                <w:color w:val="000000"/>
                <w:sz w:val="20"/>
                <w:szCs w:val="20"/>
                <w:lang w:eastAsia="it-IT"/>
              </w:rPr>
              <w:t>200,00</w:t>
            </w:r>
          </w:p>
        </w:tc>
        <w:tc>
          <w:tcPr>
            <w:tcW w:w="1273" w:type="dxa"/>
            <w:tcBorders>
              <w:top w:val="single" w:sz="4" w:space="0" w:color="auto"/>
              <w:left w:val="single" w:sz="4" w:space="0" w:color="auto"/>
              <w:bottom w:val="single" w:sz="4" w:space="0" w:color="auto"/>
              <w:right w:val="single" w:sz="4" w:space="0" w:color="auto"/>
            </w:tcBorders>
            <w:shd w:val="clear" w:color="auto" w:fill="FFFFFF"/>
            <w:vAlign w:val="center"/>
          </w:tcPr>
          <w:p w14:paraId="6A75556B" w14:textId="25AB8693" w:rsidR="00A3355E" w:rsidRPr="00C2587D" w:rsidRDefault="00A3355E" w:rsidP="00A3355E">
            <w:pPr>
              <w:jc w:val="center"/>
              <w:rPr>
                <w:rFonts w:cs="Arial"/>
                <w:color w:val="000000"/>
                <w:sz w:val="20"/>
                <w:szCs w:val="20"/>
                <w:lang w:eastAsia="it-IT"/>
              </w:rPr>
            </w:pPr>
            <w:r w:rsidRPr="00C2587D">
              <w:rPr>
                <w:rFonts w:cs="Arial"/>
                <w:color w:val="000000"/>
                <w:sz w:val="20"/>
                <w:szCs w:val="20"/>
                <w:lang w:eastAsia="it-IT"/>
              </w:rPr>
              <w:t>8  000,00</w:t>
            </w:r>
          </w:p>
        </w:tc>
        <w:tc>
          <w:tcPr>
            <w:tcW w:w="1217" w:type="dxa"/>
            <w:tcBorders>
              <w:top w:val="single" w:sz="4" w:space="0" w:color="auto"/>
              <w:left w:val="single" w:sz="4" w:space="0" w:color="auto"/>
              <w:bottom w:val="single" w:sz="4" w:space="0" w:color="auto"/>
              <w:right w:val="single" w:sz="4" w:space="0" w:color="auto"/>
            </w:tcBorders>
            <w:shd w:val="clear" w:color="auto" w:fill="FFFFFF"/>
            <w:vAlign w:val="center"/>
          </w:tcPr>
          <w:p w14:paraId="325AD625" w14:textId="27E6FB87" w:rsidR="00A3355E" w:rsidRPr="00C2587D" w:rsidRDefault="00A3355E" w:rsidP="00A3355E">
            <w:pPr>
              <w:jc w:val="center"/>
              <w:rPr>
                <w:rFonts w:cs="Arial"/>
                <w:b/>
                <w:sz w:val="20"/>
                <w:szCs w:val="20"/>
                <w:lang w:eastAsia="it-IT"/>
              </w:rPr>
            </w:pPr>
            <w:r w:rsidRPr="00C2587D">
              <w:rPr>
                <w:rFonts w:cs="Arial"/>
                <w:b/>
                <w:color w:val="000000"/>
                <w:sz w:val="20"/>
                <w:szCs w:val="20"/>
                <w:lang w:eastAsia="it-IT"/>
              </w:rPr>
              <w:t>8 200,0</w:t>
            </w:r>
          </w:p>
        </w:tc>
      </w:tr>
      <w:tr w:rsidR="00E46DC9" w:rsidRPr="00C2587D" w14:paraId="118449F0" w14:textId="77777777" w:rsidTr="009A5765">
        <w:trPr>
          <w:jc w:val="center"/>
        </w:trPr>
        <w:tc>
          <w:tcPr>
            <w:tcW w:w="5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15BEB9" w14:textId="3C9EDA2C" w:rsidR="00E46DC9" w:rsidRPr="00C2587D" w:rsidRDefault="00590B6F" w:rsidP="00E46DC9">
            <w:pPr>
              <w:jc w:val="center"/>
              <w:rPr>
                <w:rFonts w:cs="Arial"/>
                <w:sz w:val="20"/>
                <w:szCs w:val="20"/>
                <w:lang w:eastAsia="uk-UA"/>
              </w:rPr>
            </w:pPr>
            <w:r w:rsidRPr="00C2587D">
              <w:rPr>
                <w:rFonts w:cs="Arial"/>
                <w:sz w:val="20"/>
                <w:szCs w:val="20"/>
                <w:lang w:eastAsia="uk-UA"/>
              </w:rPr>
              <w:t>8.</w:t>
            </w:r>
          </w:p>
        </w:tc>
        <w:tc>
          <w:tcPr>
            <w:tcW w:w="4521" w:type="dxa"/>
            <w:tcBorders>
              <w:top w:val="single" w:sz="4" w:space="0" w:color="auto"/>
              <w:left w:val="single" w:sz="4" w:space="0" w:color="auto"/>
              <w:bottom w:val="single" w:sz="4" w:space="0" w:color="auto"/>
              <w:right w:val="single" w:sz="4" w:space="0" w:color="auto"/>
            </w:tcBorders>
            <w:shd w:val="clear" w:color="auto" w:fill="auto"/>
            <w:vAlign w:val="center"/>
          </w:tcPr>
          <w:p w14:paraId="4742BE36" w14:textId="36738C8C" w:rsidR="00E46DC9" w:rsidRPr="00C2587D" w:rsidRDefault="00E46DC9" w:rsidP="00E46DC9">
            <w:pPr>
              <w:spacing w:before="40" w:after="40"/>
              <w:jc w:val="both"/>
              <w:rPr>
                <w:rFonts w:cs="Arial"/>
                <w:sz w:val="20"/>
                <w:szCs w:val="20"/>
                <w:lang w:eastAsia="it-IT"/>
              </w:rPr>
            </w:pPr>
            <w:r w:rsidRPr="00C2587D">
              <w:rPr>
                <w:rFonts w:cs="Arial"/>
                <w:sz w:val="20"/>
                <w:szCs w:val="20"/>
                <w:lang w:eastAsia="it-IT"/>
              </w:rPr>
              <w:t>Реконструкція даху з утепленням фасадів будівлі головного корпусу КНП «Жмеринська ЦРЛ» по вул.</w:t>
            </w:r>
            <w:r w:rsidR="00B446EE">
              <w:rPr>
                <w:rFonts w:cs="Arial"/>
                <w:sz w:val="20"/>
                <w:szCs w:val="20"/>
                <w:lang w:eastAsia="it-IT"/>
              </w:rPr>
              <w:t xml:space="preserve"> </w:t>
            </w:r>
            <w:r w:rsidRPr="00C2587D">
              <w:rPr>
                <w:rFonts w:cs="Arial"/>
                <w:sz w:val="20"/>
                <w:szCs w:val="20"/>
                <w:lang w:eastAsia="it-IT"/>
              </w:rPr>
              <w:t>Київська, 288 в м.Жмеринка Вінницької області</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14:paraId="6687F2F5" w14:textId="77777777" w:rsidR="00E46DC9" w:rsidRPr="00C2587D" w:rsidRDefault="00E46DC9" w:rsidP="00E46DC9">
            <w:pPr>
              <w:jc w:val="center"/>
              <w:rPr>
                <w:rFonts w:cs="Arial"/>
                <w:color w:val="000000"/>
                <w:sz w:val="20"/>
                <w:szCs w:val="20"/>
                <w:lang w:eastAsia="it-IT"/>
              </w:rPr>
            </w:pPr>
          </w:p>
        </w:tc>
        <w:tc>
          <w:tcPr>
            <w:tcW w:w="1329" w:type="dxa"/>
            <w:tcBorders>
              <w:top w:val="single" w:sz="4" w:space="0" w:color="auto"/>
              <w:left w:val="single" w:sz="4" w:space="0" w:color="auto"/>
              <w:bottom w:val="single" w:sz="4" w:space="0" w:color="auto"/>
              <w:right w:val="single" w:sz="4" w:space="0" w:color="auto"/>
            </w:tcBorders>
            <w:shd w:val="clear" w:color="auto" w:fill="FFFFFF"/>
            <w:vAlign w:val="center"/>
          </w:tcPr>
          <w:p w14:paraId="08809CF0" w14:textId="73E4C3CE" w:rsidR="00E46DC9" w:rsidRPr="00C2587D" w:rsidRDefault="00E46DC9" w:rsidP="00E46DC9">
            <w:pPr>
              <w:jc w:val="center"/>
              <w:rPr>
                <w:rFonts w:cs="Arial"/>
                <w:sz w:val="20"/>
                <w:szCs w:val="20"/>
                <w:lang w:eastAsia="it-IT"/>
              </w:rPr>
            </w:pPr>
            <w:r w:rsidRPr="00C2587D">
              <w:rPr>
                <w:rFonts w:cs="Arial"/>
                <w:color w:val="000000"/>
                <w:sz w:val="20"/>
                <w:szCs w:val="20"/>
                <w:lang w:eastAsia="it-IT"/>
              </w:rPr>
              <w:t>8000,0</w:t>
            </w:r>
          </w:p>
        </w:tc>
        <w:tc>
          <w:tcPr>
            <w:tcW w:w="1273" w:type="dxa"/>
            <w:tcBorders>
              <w:top w:val="single" w:sz="4" w:space="0" w:color="auto"/>
              <w:left w:val="single" w:sz="4" w:space="0" w:color="auto"/>
              <w:bottom w:val="single" w:sz="4" w:space="0" w:color="auto"/>
              <w:right w:val="single" w:sz="4" w:space="0" w:color="auto"/>
            </w:tcBorders>
            <w:shd w:val="clear" w:color="auto" w:fill="auto"/>
            <w:vAlign w:val="center"/>
          </w:tcPr>
          <w:p w14:paraId="4911674C" w14:textId="081C43A7" w:rsidR="00E46DC9" w:rsidRPr="00C2587D" w:rsidRDefault="00E46DC9" w:rsidP="00E46DC9">
            <w:pPr>
              <w:jc w:val="center"/>
              <w:rPr>
                <w:rFonts w:cs="Arial"/>
                <w:color w:val="000000"/>
                <w:sz w:val="20"/>
                <w:szCs w:val="20"/>
                <w:lang w:eastAsia="it-IT"/>
              </w:rPr>
            </w:pPr>
            <w:r w:rsidRPr="00C2587D">
              <w:rPr>
                <w:rFonts w:cs="Arial"/>
                <w:color w:val="000000"/>
                <w:sz w:val="20"/>
                <w:szCs w:val="20"/>
                <w:lang w:eastAsia="it-IT"/>
              </w:rPr>
              <w:t>6992,6</w:t>
            </w:r>
          </w:p>
        </w:tc>
        <w:tc>
          <w:tcPr>
            <w:tcW w:w="1273" w:type="dxa"/>
            <w:tcBorders>
              <w:top w:val="single" w:sz="4" w:space="0" w:color="auto"/>
              <w:left w:val="single" w:sz="4" w:space="0" w:color="auto"/>
              <w:bottom w:val="single" w:sz="4" w:space="0" w:color="auto"/>
              <w:right w:val="single" w:sz="4" w:space="0" w:color="auto"/>
            </w:tcBorders>
            <w:shd w:val="clear" w:color="auto" w:fill="FFFFFF"/>
            <w:vAlign w:val="center"/>
          </w:tcPr>
          <w:p w14:paraId="3BB4ACB8" w14:textId="77777777" w:rsidR="00E46DC9" w:rsidRPr="00C2587D" w:rsidRDefault="00E46DC9" w:rsidP="00E46DC9">
            <w:pPr>
              <w:jc w:val="center"/>
              <w:rPr>
                <w:rFonts w:cs="Arial"/>
                <w:color w:val="000000"/>
                <w:sz w:val="20"/>
                <w:szCs w:val="20"/>
                <w:lang w:eastAsia="it-IT"/>
              </w:rPr>
            </w:pPr>
          </w:p>
        </w:tc>
        <w:tc>
          <w:tcPr>
            <w:tcW w:w="1217" w:type="dxa"/>
            <w:tcBorders>
              <w:top w:val="single" w:sz="4" w:space="0" w:color="auto"/>
              <w:left w:val="single" w:sz="4" w:space="0" w:color="auto"/>
              <w:bottom w:val="single" w:sz="4" w:space="0" w:color="auto"/>
              <w:right w:val="single" w:sz="4" w:space="0" w:color="auto"/>
            </w:tcBorders>
            <w:shd w:val="clear" w:color="auto" w:fill="FFFFFF"/>
            <w:vAlign w:val="center"/>
          </w:tcPr>
          <w:p w14:paraId="1D52EE14" w14:textId="27D80644" w:rsidR="00E46DC9" w:rsidRPr="00C2587D" w:rsidRDefault="00E46DC9" w:rsidP="00E46DC9">
            <w:pPr>
              <w:jc w:val="center"/>
              <w:rPr>
                <w:rFonts w:cs="Arial"/>
                <w:b/>
                <w:color w:val="000000"/>
                <w:sz w:val="20"/>
                <w:szCs w:val="20"/>
                <w:lang w:eastAsia="it-IT"/>
              </w:rPr>
            </w:pPr>
            <w:r w:rsidRPr="00C2587D">
              <w:rPr>
                <w:rFonts w:cs="Arial"/>
                <w:b/>
                <w:color w:val="000000"/>
                <w:sz w:val="20"/>
                <w:szCs w:val="20"/>
                <w:lang w:eastAsia="it-IT"/>
              </w:rPr>
              <w:t>14992,6</w:t>
            </w:r>
          </w:p>
        </w:tc>
      </w:tr>
      <w:tr w:rsidR="003577B7" w:rsidRPr="00C2587D" w14:paraId="1083C3D0" w14:textId="77777777" w:rsidTr="009A5765">
        <w:trPr>
          <w:jc w:val="center"/>
        </w:trPr>
        <w:tc>
          <w:tcPr>
            <w:tcW w:w="5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82FADE" w14:textId="3524AD44" w:rsidR="003577B7" w:rsidRPr="00C2587D" w:rsidRDefault="00590B6F" w:rsidP="003577B7">
            <w:pPr>
              <w:jc w:val="center"/>
              <w:rPr>
                <w:rFonts w:cs="Arial"/>
                <w:sz w:val="20"/>
                <w:szCs w:val="20"/>
                <w:lang w:eastAsia="uk-UA"/>
              </w:rPr>
            </w:pPr>
            <w:r w:rsidRPr="00C2587D">
              <w:rPr>
                <w:rFonts w:cs="Arial"/>
                <w:sz w:val="20"/>
                <w:szCs w:val="20"/>
                <w:lang w:eastAsia="uk-UA"/>
              </w:rPr>
              <w:t>9.</w:t>
            </w:r>
          </w:p>
        </w:tc>
        <w:tc>
          <w:tcPr>
            <w:tcW w:w="4521" w:type="dxa"/>
            <w:tcBorders>
              <w:top w:val="single" w:sz="4" w:space="0" w:color="auto"/>
              <w:left w:val="single" w:sz="4" w:space="0" w:color="auto"/>
              <w:bottom w:val="single" w:sz="4" w:space="0" w:color="auto"/>
              <w:right w:val="single" w:sz="4" w:space="0" w:color="auto"/>
            </w:tcBorders>
            <w:shd w:val="clear" w:color="auto" w:fill="auto"/>
            <w:vAlign w:val="center"/>
          </w:tcPr>
          <w:p w14:paraId="6DDEF0C9" w14:textId="6295B5AB" w:rsidR="003577B7" w:rsidRPr="00C2587D" w:rsidRDefault="003577B7" w:rsidP="003577B7">
            <w:pPr>
              <w:spacing w:before="40" w:after="40"/>
              <w:jc w:val="both"/>
              <w:rPr>
                <w:rFonts w:cs="Arial"/>
                <w:sz w:val="20"/>
                <w:szCs w:val="20"/>
                <w:lang w:eastAsia="it-IT"/>
              </w:rPr>
            </w:pPr>
            <w:r w:rsidRPr="00C2587D">
              <w:rPr>
                <w:rFonts w:cs="Arial"/>
                <w:sz w:val="20"/>
                <w:szCs w:val="20"/>
                <w:lang w:eastAsia="it-IT"/>
              </w:rPr>
              <w:t>«Тепло- та енергозбереження закладів культури Жмеринської громади»</w:t>
            </w:r>
          </w:p>
        </w:tc>
        <w:tc>
          <w:tcPr>
            <w:tcW w:w="1162" w:type="dxa"/>
            <w:tcBorders>
              <w:top w:val="single" w:sz="4" w:space="0" w:color="auto"/>
              <w:left w:val="single" w:sz="4" w:space="0" w:color="auto"/>
              <w:bottom w:val="single" w:sz="4" w:space="0" w:color="auto"/>
              <w:right w:val="single" w:sz="4" w:space="0" w:color="auto"/>
            </w:tcBorders>
            <w:vAlign w:val="center"/>
          </w:tcPr>
          <w:p w14:paraId="1CC83C91" w14:textId="01ADEF05" w:rsidR="003577B7" w:rsidRPr="00C2587D" w:rsidRDefault="00970079" w:rsidP="0081474D">
            <w:pPr>
              <w:jc w:val="center"/>
              <w:rPr>
                <w:rFonts w:cs="Arial"/>
                <w:color w:val="000000"/>
                <w:sz w:val="20"/>
                <w:szCs w:val="20"/>
                <w:lang w:eastAsia="it-IT"/>
              </w:rPr>
            </w:pPr>
            <w:r w:rsidRPr="00C2587D">
              <w:rPr>
                <w:rFonts w:cs="Arial"/>
                <w:color w:val="000000"/>
                <w:sz w:val="20"/>
                <w:szCs w:val="20"/>
                <w:lang w:eastAsia="it-IT"/>
              </w:rPr>
              <w:t>632,0</w:t>
            </w:r>
          </w:p>
        </w:tc>
        <w:tc>
          <w:tcPr>
            <w:tcW w:w="1329" w:type="dxa"/>
            <w:tcBorders>
              <w:top w:val="single" w:sz="4" w:space="0" w:color="auto"/>
              <w:left w:val="single" w:sz="4" w:space="0" w:color="auto"/>
              <w:bottom w:val="single" w:sz="4" w:space="0" w:color="auto"/>
              <w:right w:val="single" w:sz="4" w:space="0" w:color="auto"/>
            </w:tcBorders>
            <w:shd w:val="clear" w:color="auto" w:fill="FFFFFF"/>
            <w:vAlign w:val="center"/>
          </w:tcPr>
          <w:p w14:paraId="48C84FBB" w14:textId="08B74852" w:rsidR="003577B7" w:rsidRPr="00C2587D" w:rsidRDefault="00970079" w:rsidP="003577B7">
            <w:pPr>
              <w:jc w:val="center"/>
              <w:rPr>
                <w:rFonts w:cs="Arial"/>
                <w:color w:val="000000"/>
                <w:sz w:val="20"/>
                <w:szCs w:val="20"/>
                <w:lang w:eastAsia="it-IT"/>
              </w:rPr>
            </w:pPr>
            <w:r w:rsidRPr="00C2587D">
              <w:rPr>
                <w:rFonts w:cs="Arial"/>
                <w:color w:val="000000"/>
                <w:sz w:val="20"/>
                <w:szCs w:val="20"/>
                <w:lang w:eastAsia="it-IT"/>
              </w:rPr>
              <w:t>5282,0</w:t>
            </w:r>
          </w:p>
        </w:tc>
        <w:tc>
          <w:tcPr>
            <w:tcW w:w="1273" w:type="dxa"/>
            <w:tcBorders>
              <w:top w:val="single" w:sz="4" w:space="0" w:color="auto"/>
              <w:left w:val="single" w:sz="4" w:space="0" w:color="auto"/>
              <w:bottom w:val="single" w:sz="4" w:space="0" w:color="auto"/>
              <w:right w:val="single" w:sz="4" w:space="0" w:color="auto"/>
            </w:tcBorders>
            <w:shd w:val="clear" w:color="auto" w:fill="auto"/>
            <w:vAlign w:val="center"/>
          </w:tcPr>
          <w:p w14:paraId="47A79698" w14:textId="7A5E196D" w:rsidR="003577B7" w:rsidRPr="00C2587D" w:rsidRDefault="00970079" w:rsidP="003577B7">
            <w:pPr>
              <w:jc w:val="center"/>
              <w:rPr>
                <w:rFonts w:cs="Arial"/>
                <w:color w:val="000000"/>
                <w:sz w:val="20"/>
                <w:szCs w:val="20"/>
                <w:lang w:eastAsia="it-IT"/>
              </w:rPr>
            </w:pPr>
            <w:r w:rsidRPr="00C2587D">
              <w:rPr>
                <w:rFonts w:cs="Arial"/>
                <w:color w:val="000000"/>
                <w:sz w:val="20"/>
                <w:szCs w:val="20"/>
                <w:lang w:eastAsia="it-IT"/>
              </w:rPr>
              <w:t>7760,0</w:t>
            </w:r>
          </w:p>
        </w:tc>
        <w:tc>
          <w:tcPr>
            <w:tcW w:w="1273" w:type="dxa"/>
            <w:tcBorders>
              <w:top w:val="single" w:sz="4" w:space="0" w:color="auto"/>
              <w:left w:val="single" w:sz="4" w:space="0" w:color="auto"/>
              <w:bottom w:val="single" w:sz="4" w:space="0" w:color="auto"/>
              <w:right w:val="single" w:sz="4" w:space="0" w:color="auto"/>
            </w:tcBorders>
            <w:shd w:val="clear" w:color="auto" w:fill="FFFFFF"/>
            <w:vAlign w:val="center"/>
          </w:tcPr>
          <w:p w14:paraId="03492103" w14:textId="0A3FB020" w:rsidR="003577B7" w:rsidRPr="00C2587D" w:rsidRDefault="003577B7" w:rsidP="003577B7">
            <w:pPr>
              <w:jc w:val="center"/>
              <w:rPr>
                <w:rFonts w:cs="Arial"/>
                <w:color w:val="000000"/>
                <w:sz w:val="20"/>
                <w:szCs w:val="20"/>
                <w:lang w:eastAsia="it-IT"/>
              </w:rPr>
            </w:pPr>
          </w:p>
        </w:tc>
        <w:tc>
          <w:tcPr>
            <w:tcW w:w="1217" w:type="dxa"/>
            <w:tcBorders>
              <w:top w:val="single" w:sz="4" w:space="0" w:color="auto"/>
              <w:left w:val="single" w:sz="4" w:space="0" w:color="auto"/>
              <w:bottom w:val="single" w:sz="4" w:space="0" w:color="auto"/>
              <w:right w:val="single" w:sz="4" w:space="0" w:color="auto"/>
            </w:tcBorders>
            <w:shd w:val="clear" w:color="auto" w:fill="FFFFFF"/>
            <w:vAlign w:val="center"/>
          </w:tcPr>
          <w:p w14:paraId="278410C3" w14:textId="07025ECE" w:rsidR="003577B7" w:rsidRPr="00C2587D" w:rsidRDefault="00970079" w:rsidP="003577B7">
            <w:pPr>
              <w:jc w:val="center"/>
              <w:rPr>
                <w:rFonts w:cs="Arial"/>
                <w:b/>
                <w:color w:val="000000"/>
                <w:sz w:val="20"/>
                <w:szCs w:val="20"/>
                <w:lang w:eastAsia="it-IT"/>
              </w:rPr>
            </w:pPr>
            <w:r w:rsidRPr="00C2587D">
              <w:rPr>
                <w:rFonts w:cs="Arial"/>
                <w:b/>
                <w:color w:val="000000"/>
                <w:sz w:val="20"/>
                <w:szCs w:val="20"/>
                <w:lang w:eastAsia="it-IT"/>
              </w:rPr>
              <w:t>13674,0</w:t>
            </w:r>
          </w:p>
        </w:tc>
      </w:tr>
      <w:tr w:rsidR="00E20801" w:rsidRPr="00C2587D" w14:paraId="6C84B1AB" w14:textId="77777777" w:rsidTr="009A5765">
        <w:trPr>
          <w:jc w:val="center"/>
        </w:trPr>
        <w:tc>
          <w:tcPr>
            <w:tcW w:w="5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1A9ED0" w14:textId="5B17D707" w:rsidR="00E20801" w:rsidRPr="00C2587D" w:rsidRDefault="00590B6F" w:rsidP="00E20801">
            <w:pPr>
              <w:jc w:val="center"/>
              <w:rPr>
                <w:rFonts w:cs="Arial"/>
                <w:sz w:val="20"/>
                <w:szCs w:val="20"/>
                <w:lang w:eastAsia="uk-UA"/>
              </w:rPr>
            </w:pPr>
            <w:r w:rsidRPr="00C2587D">
              <w:rPr>
                <w:rFonts w:cs="Arial"/>
                <w:sz w:val="20"/>
                <w:szCs w:val="20"/>
                <w:lang w:eastAsia="uk-UA"/>
              </w:rPr>
              <w:t>10.</w:t>
            </w:r>
          </w:p>
        </w:tc>
        <w:tc>
          <w:tcPr>
            <w:tcW w:w="4521" w:type="dxa"/>
            <w:tcBorders>
              <w:top w:val="single" w:sz="4" w:space="0" w:color="auto"/>
              <w:left w:val="single" w:sz="4" w:space="0" w:color="auto"/>
              <w:bottom w:val="single" w:sz="4" w:space="0" w:color="auto"/>
              <w:right w:val="single" w:sz="4" w:space="0" w:color="auto"/>
            </w:tcBorders>
            <w:shd w:val="clear" w:color="auto" w:fill="auto"/>
            <w:vAlign w:val="center"/>
          </w:tcPr>
          <w:p w14:paraId="474B8746" w14:textId="17061CF1" w:rsidR="00E20801" w:rsidRPr="00C2587D" w:rsidRDefault="00E20801" w:rsidP="00E20801">
            <w:pPr>
              <w:spacing w:before="40" w:after="40"/>
              <w:jc w:val="both"/>
              <w:rPr>
                <w:rFonts w:cs="Arial"/>
                <w:sz w:val="20"/>
                <w:szCs w:val="20"/>
                <w:lang w:eastAsia="it-IT"/>
              </w:rPr>
            </w:pPr>
            <w:r w:rsidRPr="00C2587D">
              <w:rPr>
                <w:rFonts w:cs="Arial"/>
                <w:sz w:val="20"/>
                <w:szCs w:val="20"/>
                <w:lang w:eastAsia="it-IT"/>
              </w:rPr>
              <w:t>Встановлення гібридної СЕС  в КНП «Жмеринська ЦРЛ»</w:t>
            </w:r>
          </w:p>
        </w:tc>
        <w:tc>
          <w:tcPr>
            <w:tcW w:w="1162" w:type="dxa"/>
            <w:tcBorders>
              <w:top w:val="single" w:sz="4" w:space="0" w:color="auto"/>
              <w:left w:val="single" w:sz="4" w:space="0" w:color="auto"/>
              <w:bottom w:val="single" w:sz="4" w:space="0" w:color="auto"/>
              <w:right w:val="single" w:sz="4" w:space="0" w:color="auto"/>
            </w:tcBorders>
            <w:vAlign w:val="center"/>
          </w:tcPr>
          <w:p w14:paraId="3791700E" w14:textId="01A73BE3" w:rsidR="00E20801" w:rsidRPr="00C2587D" w:rsidRDefault="00E20801" w:rsidP="00E20801">
            <w:pPr>
              <w:jc w:val="center"/>
              <w:rPr>
                <w:rFonts w:cs="Arial"/>
                <w:color w:val="000000"/>
                <w:sz w:val="20"/>
                <w:szCs w:val="20"/>
                <w:lang w:eastAsia="it-IT"/>
              </w:rPr>
            </w:pPr>
            <w:r w:rsidRPr="00C2587D">
              <w:rPr>
                <w:rFonts w:cs="Arial"/>
                <w:color w:val="000000"/>
                <w:sz w:val="20"/>
                <w:szCs w:val="20"/>
                <w:lang w:eastAsia="it-IT"/>
              </w:rPr>
              <w:t>150,0</w:t>
            </w:r>
          </w:p>
        </w:tc>
        <w:tc>
          <w:tcPr>
            <w:tcW w:w="1329" w:type="dxa"/>
            <w:tcBorders>
              <w:top w:val="single" w:sz="4" w:space="0" w:color="auto"/>
              <w:left w:val="single" w:sz="4" w:space="0" w:color="auto"/>
              <w:bottom w:val="single" w:sz="4" w:space="0" w:color="auto"/>
              <w:right w:val="single" w:sz="4" w:space="0" w:color="auto"/>
            </w:tcBorders>
            <w:shd w:val="clear" w:color="auto" w:fill="FFFFFF"/>
            <w:vAlign w:val="center"/>
          </w:tcPr>
          <w:p w14:paraId="6184AAF1" w14:textId="07B1315C" w:rsidR="00E20801" w:rsidRPr="00C2587D" w:rsidRDefault="00E20801" w:rsidP="00E20801">
            <w:pPr>
              <w:jc w:val="center"/>
              <w:rPr>
                <w:rFonts w:cs="Arial"/>
                <w:color w:val="000000"/>
                <w:sz w:val="20"/>
                <w:szCs w:val="20"/>
                <w:lang w:eastAsia="it-IT"/>
              </w:rPr>
            </w:pPr>
            <w:r w:rsidRPr="00C2587D">
              <w:rPr>
                <w:rFonts w:eastAsia="Arial" w:cs="Arial"/>
                <w:sz w:val="20"/>
                <w:szCs w:val="20"/>
                <w:lang w:eastAsia="en-US"/>
              </w:rPr>
              <w:t>6692,0</w:t>
            </w:r>
          </w:p>
        </w:tc>
        <w:tc>
          <w:tcPr>
            <w:tcW w:w="1273" w:type="dxa"/>
            <w:tcBorders>
              <w:top w:val="single" w:sz="4" w:space="0" w:color="auto"/>
              <w:left w:val="single" w:sz="4" w:space="0" w:color="auto"/>
              <w:bottom w:val="single" w:sz="4" w:space="0" w:color="auto"/>
              <w:right w:val="single" w:sz="4" w:space="0" w:color="auto"/>
            </w:tcBorders>
            <w:shd w:val="clear" w:color="auto" w:fill="auto"/>
            <w:vAlign w:val="center"/>
          </w:tcPr>
          <w:p w14:paraId="399EC1EF" w14:textId="77777777" w:rsidR="00E20801" w:rsidRPr="00C2587D" w:rsidRDefault="00E20801" w:rsidP="00E20801">
            <w:pPr>
              <w:jc w:val="center"/>
              <w:rPr>
                <w:rFonts w:cs="Arial"/>
                <w:color w:val="000000"/>
                <w:sz w:val="20"/>
                <w:szCs w:val="20"/>
                <w:lang w:eastAsia="it-IT"/>
              </w:rPr>
            </w:pPr>
          </w:p>
        </w:tc>
        <w:tc>
          <w:tcPr>
            <w:tcW w:w="1273" w:type="dxa"/>
            <w:tcBorders>
              <w:top w:val="single" w:sz="4" w:space="0" w:color="auto"/>
              <w:left w:val="single" w:sz="4" w:space="0" w:color="auto"/>
              <w:bottom w:val="single" w:sz="4" w:space="0" w:color="auto"/>
              <w:right w:val="single" w:sz="4" w:space="0" w:color="auto"/>
            </w:tcBorders>
            <w:shd w:val="clear" w:color="auto" w:fill="FFFFFF"/>
            <w:vAlign w:val="center"/>
          </w:tcPr>
          <w:p w14:paraId="1A82B442" w14:textId="77777777" w:rsidR="00E20801" w:rsidRPr="00C2587D" w:rsidRDefault="00E20801" w:rsidP="00E20801">
            <w:pPr>
              <w:jc w:val="center"/>
              <w:rPr>
                <w:rFonts w:cs="Arial"/>
                <w:color w:val="000000"/>
                <w:sz w:val="20"/>
                <w:szCs w:val="20"/>
                <w:lang w:eastAsia="it-IT"/>
              </w:rPr>
            </w:pPr>
          </w:p>
        </w:tc>
        <w:tc>
          <w:tcPr>
            <w:tcW w:w="1217" w:type="dxa"/>
            <w:tcBorders>
              <w:top w:val="single" w:sz="4" w:space="0" w:color="auto"/>
              <w:left w:val="single" w:sz="4" w:space="0" w:color="auto"/>
              <w:bottom w:val="single" w:sz="4" w:space="0" w:color="auto"/>
              <w:right w:val="single" w:sz="4" w:space="0" w:color="auto"/>
            </w:tcBorders>
            <w:shd w:val="clear" w:color="auto" w:fill="FFFFFF"/>
            <w:vAlign w:val="center"/>
          </w:tcPr>
          <w:p w14:paraId="234A17ED" w14:textId="609119ED" w:rsidR="00E20801" w:rsidRPr="00C2587D" w:rsidRDefault="000163BD" w:rsidP="00E20801">
            <w:pPr>
              <w:jc w:val="center"/>
              <w:rPr>
                <w:rFonts w:cs="Arial"/>
                <w:b/>
                <w:color w:val="000000"/>
                <w:sz w:val="20"/>
                <w:szCs w:val="20"/>
                <w:lang w:eastAsia="it-IT"/>
              </w:rPr>
            </w:pPr>
            <w:r w:rsidRPr="00C2587D">
              <w:rPr>
                <w:rFonts w:cs="Arial"/>
                <w:b/>
                <w:color w:val="000000"/>
                <w:sz w:val="20"/>
                <w:szCs w:val="20"/>
                <w:lang w:eastAsia="it-IT"/>
              </w:rPr>
              <w:t>6842,</w:t>
            </w:r>
            <w:r w:rsidR="00E20801" w:rsidRPr="00C2587D">
              <w:rPr>
                <w:rFonts w:cs="Arial"/>
                <w:b/>
                <w:color w:val="000000"/>
                <w:sz w:val="20"/>
                <w:szCs w:val="20"/>
                <w:lang w:eastAsia="it-IT"/>
              </w:rPr>
              <w:t>0</w:t>
            </w:r>
          </w:p>
        </w:tc>
      </w:tr>
      <w:tr w:rsidR="00E20801" w:rsidRPr="00C2587D" w14:paraId="26024461" w14:textId="77777777" w:rsidTr="009A5765">
        <w:trPr>
          <w:trHeight w:val="499"/>
          <w:jc w:val="center"/>
        </w:trPr>
        <w:tc>
          <w:tcPr>
            <w:tcW w:w="5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410B9D" w14:textId="0A59C046" w:rsidR="00E20801" w:rsidRPr="00C2587D" w:rsidRDefault="00590B6F" w:rsidP="00E20801">
            <w:pPr>
              <w:jc w:val="center"/>
              <w:rPr>
                <w:rFonts w:cs="Arial"/>
                <w:sz w:val="20"/>
                <w:szCs w:val="20"/>
                <w:lang w:eastAsia="uk-UA"/>
              </w:rPr>
            </w:pPr>
            <w:r w:rsidRPr="00C2587D">
              <w:rPr>
                <w:rFonts w:cs="Arial"/>
                <w:sz w:val="20"/>
                <w:szCs w:val="20"/>
                <w:lang w:eastAsia="uk-UA"/>
              </w:rPr>
              <w:t>11</w:t>
            </w:r>
            <w:r w:rsidR="00E20801" w:rsidRPr="00C2587D">
              <w:rPr>
                <w:rFonts w:cs="Arial"/>
                <w:sz w:val="20"/>
                <w:szCs w:val="20"/>
                <w:lang w:eastAsia="uk-UA"/>
              </w:rPr>
              <w:t>.</w:t>
            </w:r>
          </w:p>
        </w:tc>
        <w:tc>
          <w:tcPr>
            <w:tcW w:w="452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674FFE" w14:textId="317AC3E0" w:rsidR="00E20801" w:rsidRPr="00C2587D" w:rsidRDefault="00E20801" w:rsidP="00E20801">
            <w:pPr>
              <w:jc w:val="both"/>
              <w:rPr>
                <w:rFonts w:eastAsia="Arial" w:cs="Arial"/>
                <w:sz w:val="20"/>
                <w:szCs w:val="20"/>
              </w:rPr>
            </w:pPr>
            <w:r w:rsidRPr="00C2587D">
              <w:rPr>
                <w:rFonts w:eastAsia="Arial" w:cs="Arial"/>
                <w:sz w:val="20"/>
                <w:szCs w:val="20"/>
              </w:rPr>
              <w:t>Проведення у громаді Днів сталої енергії</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14:paraId="66748176" w14:textId="35C04C95" w:rsidR="00E20801" w:rsidRPr="00C2587D" w:rsidRDefault="00E20801" w:rsidP="00E20801">
            <w:pPr>
              <w:jc w:val="center"/>
              <w:rPr>
                <w:rFonts w:cs="Arial"/>
                <w:color w:val="000000"/>
                <w:sz w:val="20"/>
                <w:szCs w:val="20"/>
                <w:lang w:eastAsia="it-IT"/>
              </w:rPr>
            </w:pP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tcPr>
          <w:p w14:paraId="1E9782EE" w14:textId="70D1A260" w:rsidR="00E20801" w:rsidRPr="00C2587D" w:rsidRDefault="00E20801" w:rsidP="00E20801">
            <w:pPr>
              <w:jc w:val="center"/>
              <w:rPr>
                <w:rFonts w:cs="Arial"/>
                <w:color w:val="000000"/>
                <w:sz w:val="20"/>
                <w:szCs w:val="20"/>
                <w:lang w:eastAsia="it-IT"/>
              </w:rPr>
            </w:pPr>
            <w:r w:rsidRPr="00C2587D">
              <w:rPr>
                <w:rFonts w:cs="Arial"/>
                <w:color w:val="000000"/>
                <w:sz w:val="20"/>
                <w:szCs w:val="20"/>
                <w:lang w:eastAsia="it-IT"/>
              </w:rPr>
              <w:t>100,0</w:t>
            </w:r>
          </w:p>
        </w:tc>
        <w:tc>
          <w:tcPr>
            <w:tcW w:w="1273" w:type="dxa"/>
            <w:tcBorders>
              <w:top w:val="single" w:sz="4" w:space="0" w:color="auto"/>
              <w:left w:val="single" w:sz="4" w:space="0" w:color="auto"/>
              <w:bottom w:val="single" w:sz="4" w:space="0" w:color="auto"/>
              <w:right w:val="single" w:sz="4" w:space="0" w:color="auto"/>
            </w:tcBorders>
            <w:shd w:val="clear" w:color="auto" w:fill="auto"/>
            <w:vAlign w:val="center"/>
          </w:tcPr>
          <w:p w14:paraId="3586AFFD" w14:textId="354F3FED" w:rsidR="00E20801" w:rsidRPr="00C2587D" w:rsidRDefault="00E20801" w:rsidP="00E20801">
            <w:pPr>
              <w:jc w:val="center"/>
              <w:rPr>
                <w:rFonts w:cs="Arial"/>
                <w:color w:val="000000"/>
                <w:sz w:val="20"/>
                <w:szCs w:val="20"/>
                <w:lang w:eastAsia="it-IT"/>
              </w:rPr>
            </w:pPr>
            <w:r w:rsidRPr="00C2587D">
              <w:rPr>
                <w:rFonts w:cs="Arial"/>
                <w:color w:val="000000"/>
                <w:sz w:val="20"/>
                <w:szCs w:val="20"/>
                <w:lang w:eastAsia="it-IT"/>
              </w:rPr>
              <w:t>100,0</w:t>
            </w:r>
          </w:p>
        </w:tc>
        <w:tc>
          <w:tcPr>
            <w:tcW w:w="1273" w:type="dxa"/>
            <w:tcBorders>
              <w:top w:val="single" w:sz="4" w:space="0" w:color="auto"/>
              <w:left w:val="single" w:sz="4" w:space="0" w:color="auto"/>
              <w:bottom w:val="single" w:sz="4" w:space="0" w:color="auto"/>
              <w:right w:val="single" w:sz="4" w:space="0" w:color="auto"/>
            </w:tcBorders>
            <w:shd w:val="clear" w:color="auto" w:fill="auto"/>
            <w:vAlign w:val="center"/>
          </w:tcPr>
          <w:p w14:paraId="0B1A5A59" w14:textId="3C543519" w:rsidR="00E20801" w:rsidRPr="00C2587D" w:rsidRDefault="00E20801" w:rsidP="00E20801">
            <w:pPr>
              <w:jc w:val="center"/>
              <w:rPr>
                <w:rFonts w:cs="Arial"/>
                <w:color w:val="000000"/>
                <w:sz w:val="20"/>
                <w:szCs w:val="20"/>
                <w:lang w:eastAsia="it-IT"/>
              </w:rPr>
            </w:pPr>
            <w:r w:rsidRPr="00C2587D">
              <w:rPr>
                <w:rFonts w:cs="Arial"/>
                <w:color w:val="000000"/>
                <w:sz w:val="20"/>
                <w:szCs w:val="20"/>
                <w:lang w:eastAsia="it-IT"/>
              </w:rPr>
              <w:t>100,0</w:t>
            </w:r>
          </w:p>
        </w:tc>
        <w:tc>
          <w:tcPr>
            <w:tcW w:w="1217" w:type="dxa"/>
            <w:tcBorders>
              <w:top w:val="single" w:sz="4" w:space="0" w:color="auto"/>
              <w:left w:val="single" w:sz="4" w:space="0" w:color="auto"/>
              <w:bottom w:val="single" w:sz="4" w:space="0" w:color="auto"/>
              <w:right w:val="single" w:sz="4" w:space="0" w:color="auto"/>
            </w:tcBorders>
            <w:vAlign w:val="center"/>
          </w:tcPr>
          <w:p w14:paraId="0D08CF38" w14:textId="0585DD4C" w:rsidR="00E20801" w:rsidRPr="00C2587D" w:rsidRDefault="00E20801" w:rsidP="00E20801">
            <w:pPr>
              <w:jc w:val="center"/>
              <w:rPr>
                <w:rFonts w:cs="Arial"/>
                <w:b/>
                <w:color w:val="000000"/>
                <w:sz w:val="20"/>
                <w:szCs w:val="20"/>
                <w:lang w:eastAsia="it-IT"/>
              </w:rPr>
            </w:pPr>
            <w:r w:rsidRPr="00C2587D">
              <w:rPr>
                <w:rFonts w:cs="Arial"/>
                <w:b/>
                <w:color w:val="000000"/>
                <w:sz w:val="20"/>
                <w:szCs w:val="20"/>
                <w:lang w:eastAsia="it-IT"/>
              </w:rPr>
              <w:t>300,0</w:t>
            </w:r>
          </w:p>
        </w:tc>
      </w:tr>
      <w:tr w:rsidR="00B446EE" w:rsidRPr="00B446EE" w14:paraId="160A0122" w14:textId="77777777" w:rsidTr="009A5765">
        <w:trPr>
          <w:trHeight w:val="353"/>
          <w:jc w:val="center"/>
        </w:trPr>
        <w:tc>
          <w:tcPr>
            <w:tcW w:w="551" w:type="dxa"/>
            <w:tcBorders>
              <w:top w:val="nil"/>
              <w:left w:val="single" w:sz="4" w:space="0" w:color="auto"/>
              <w:bottom w:val="single" w:sz="4" w:space="0" w:color="auto"/>
              <w:right w:val="single" w:sz="4" w:space="0" w:color="auto"/>
            </w:tcBorders>
            <w:shd w:val="clear" w:color="auto" w:fill="auto"/>
            <w:noWrap/>
            <w:vAlign w:val="center"/>
            <w:hideMark/>
          </w:tcPr>
          <w:p w14:paraId="47A9699B" w14:textId="77777777" w:rsidR="00EB0F30" w:rsidRPr="00B446EE" w:rsidRDefault="00EB0F30" w:rsidP="00EB0F30">
            <w:pPr>
              <w:rPr>
                <w:rFonts w:cs="Arial"/>
                <w:sz w:val="20"/>
                <w:szCs w:val="20"/>
                <w:lang w:eastAsia="uk-UA"/>
              </w:rPr>
            </w:pPr>
          </w:p>
        </w:tc>
        <w:tc>
          <w:tcPr>
            <w:tcW w:w="4521" w:type="dxa"/>
            <w:tcBorders>
              <w:top w:val="nil"/>
              <w:left w:val="nil"/>
              <w:bottom w:val="single" w:sz="4" w:space="0" w:color="auto"/>
              <w:right w:val="single" w:sz="4" w:space="0" w:color="auto"/>
            </w:tcBorders>
            <w:shd w:val="clear" w:color="auto" w:fill="auto"/>
            <w:noWrap/>
            <w:vAlign w:val="center"/>
            <w:hideMark/>
          </w:tcPr>
          <w:p w14:paraId="49454643" w14:textId="77777777" w:rsidR="00EB0F30" w:rsidRPr="00B446EE" w:rsidRDefault="00EB0F30" w:rsidP="00EB0F30">
            <w:pPr>
              <w:rPr>
                <w:rFonts w:cs="Arial"/>
                <w:sz w:val="20"/>
                <w:szCs w:val="20"/>
                <w:lang w:eastAsia="uk-UA"/>
              </w:rPr>
            </w:pPr>
            <w:r w:rsidRPr="00B446EE">
              <w:rPr>
                <w:rFonts w:cs="Arial"/>
                <w:b/>
                <w:bCs/>
                <w:sz w:val="20"/>
                <w:szCs w:val="20"/>
                <w:lang w:eastAsia="uk-UA"/>
              </w:rPr>
              <w:t>Всього по В.2.</w:t>
            </w:r>
            <w:r w:rsidRPr="00B446EE">
              <w:rPr>
                <w:rFonts w:cs="Arial"/>
                <w:b/>
                <w:bCs/>
                <w:iCs/>
                <w:sz w:val="20"/>
                <w:szCs w:val="20"/>
                <w:lang w:eastAsia="uk-UA"/>
              </w:rPr>
              <w:t xml:space="preserve"> Забезпечення підвищення енергоефективності в громаді</w:t>
            </w:r>
          </w:p>
        </w:tc>
        <w:tc>
          <w:tcPr>
            <w:tcW w:w="1162" w:type="dxa"/>
            <w:tcBorders>
              <w:top w:val="nil"/>
              <w:left w:val="nil"/>
              <w:bottom w:val="single" w:sz="4" w:space="0" w:color="auto"/>
              <w:right w:val="single" w:sz="4" w:space="0" w:color="auto"/>
            </w:tcBorders>
            <w:shd w:val="clear" w:color="auto" w:fill="auto"/>
            <w:noWrap/>
            <w:vAlign w:val="center"/>
          </w:tcPr>
          <w:p w14:paraId="01A541D9" w14:textId="68C78B43" w:rsidR="00EB0F30" w:rsidRPr="00B446EE" w:rsidRDefault="005306AF" w:rsidP="0081474D">
            <w:pPr>
              <w:jc w:val="center"/>
              <w:rPr>
                <w:rFonts w:cs="Arial"/>
                <w:b/>
                <w:sz w:val="20"/>
                <w:szCs w:val="20"/>
                <w:lang w:eastAsia="uk-UA"/>
              </w:rPr>
            </w:pPr>
            <w:r w:rsidRPr="00B446EE">
              <w:rPr>
                <w:rFonts w:cs="Arial"/>
                <w:b/>
                <w:sz w:val="20"/>
                <w:szCs w:val="20"/>
                <w:lang w:eastAsia="uk-UA"/>
              </w:rPr>
              <w:t>782,0</w:t>
            </w:r>
          </w:p>
        </w:tc>
        <w:tc>
          <w:tcPr>
            <w:tcW w:w="1329" w:type="dxa"/>
            <w:tcBorders>
              <w:top w:val="nil"/>
              <w:left w:val="nil"/>
              <w:bottom w:val="single" w:sz="4" w:space="0" w:color="auto"/>
              <w:right w:val="single" w:sz="4" w:space="0" w:color="auto"/>
            </w:tcBorders>
            <w:shd w:val="clear" w:color="auto" w:fill="auto"/>
            <w:noWrap/>
            <w:vAlign w:val="center"/>
          </w:tcPr>
          <w:p w14:paraId="3BDBDC94" w14:textId="4ECCE928" w:rsidR="00EB0F30" w:rsidRPr="00B446EE" w:rsidRDefault="00D0762D" w:rsidP="00EB0F30">
            <w:pPr>
              <w:jc w:val="center"/>
              <w:rPr>
                <w:rFonts w:cs="Arial"/>
                <w:b/>
                <w:sz w:val="20"/>
                <w:szCs w:val="20"/>
                <w:lang w:eastAsia="uk-UA"/>
              </w:rPr>
            </w:pPr>
            <w:r w:rsidRPr="00B446EE">
              <w:rPr>
                <w:rFonts w:cs="Arial"/>
                <w:b/>
                <w:sz w:val="20"/>
                <w:szCs w:val="20"/>
                <w:lang w:eastAsia="uk-UA"/>
              </w:rPr>
              <w:t>63064,9</w:t>
            </w:r>
          </w:p>
        </w:tc>
        <w:tc>
          <w:tcPr>
            <w:tcW w:w="1273" w:type="dxa"/>
            <w:tcBorders>
              <w:top w:val="nil"/>
              <w:left w:val="nil"/>
              <w:bottom w:val="single" w:sz="4" w:space="0" w:color="auto"/>
              <w:right w:val="single" w:sz="4" w:space="0" w:color="auto"/>
            </w:tcBorders>
            <w:shd w:val="clear" w:color="auto" w:fill="auto"/>
            <w:noWrap/>
            <w:vAlign w:val="center"/>
          </w:tcPr>
          <w:p w14:paraId="7CA9DCD3" w14:textId="1F61F93D" w:rsidR="00EB0F30" w:rsidRPr="00B446EE" w:rsidRDefault="00682101" w:rsidP="00682101">
            <w:pPr>
              <w:jc w:val="center"/>
              <w:rPr>
                <w:rFonts w:cs="Arial"/>
                <w:b/>
                <w:sz w:val="20"/>
                <w:szCs w:val="20"/>
                <w:lang w:eastAsia="uk-UA"/>
              </w:rPr>
            </w:pPr>
            <w:r w:rsidRPr="00B446EE">
              <w:rPr>
                <w:rFonts w:cs="Arial"/>
                <w:b/>
                <w:sz w:val="20"/>
                <w:szCs w:val="20"/>
                <w:lang w:eastAsia="uk-UA"/>
              </w:rPr>
              <w:t>59 15</w:t>
            </w:r>
            <w:r w:rsidR="0081474D" w:rsidRPr="00B446EE">
              <w:rPr>
                <w:rFonts w:cs="Arial"/>
                <w:b/>
                <w:sz w:val="20"/>
                <w:szCs w:val="20"/>
                <w:lang w:eastAsia="uk-UA"/>
              </w:rPr>
              <w:t>2</w:t>
            </w:r>
            <w:r w:rsidR="00C727A4" w:rsidRPr="00B446EE">
              <w:rPr>
                <w:rFonts w:cs="Arial"/>
                <w:b/>
                <w:sz w:val="20"/>
                <w:szCs w:val="20"/>
                <w:lang w:eastAsia="uk-UA"/>
              </w:rPr>
              <w:t>,6</w:t>
            </w:r>
          </w:p>
        </w:tc>
        <w:tc>
          <w:tcPr>
            <w:tcW w:w="1273" w:type="dxa"/>
            <w:tcBorders>
              <w:top w:val="nil"/>
              <w:left w:val="nil"/>
              <w:bottom w:val="single" w:sz="4" w:space="0" w:color="auto"/>
              <w:right w:val="single" w:sz="4" w:space="0" w:color="auto"/>
            </w:tcBorders>
            <w:shd w:val="clear" w:color="auto" w:fill="auto"/>
            <w:vAlign w:val="center"/>
          </w:tcPr>
          <w:p w14:paraId="1B8985C3" w14:textId="700A9786" w:rsidR="00EB0F30" w:rsidRPr="00B446EE" w:rsidRDefault="00C727A4" w:rsidP="00C727A4">
            <w:pPr>
              <w:jc w:val="center"/>
              <w:rPr>
                <w:rFonts w:cs="Arial"/>
                <w:b/>
                <w:bCs/>
                <w:sz w:val="20"/>
                <w:szCs w:val="20"/>
                <w:lang w:eastAsia="uk-UA"/>
              </w:rPr>
            </w:pPr>
            <w:r w:rsidRPr="00B446EE">
              <w:rPr>
                <w:rFonts w:cs="Arial"/>
                <w:b/>
                <w:bCs/>
                <w:sz w:val="20"/>
                <w:szCs w:val="20"/>
                <w:lang w:eastAsia="uk-UA"/>
              </w:rPr>
              <w:t>3</w:t>
            </w:r>
            <w:r w:rsidR="00682101" w:rsidRPr="00B446EE">
              <w:rPr>
                <w:rFonts w:cs="Arial"/>
                <w:b/>
                <w:bCs/>
                <w:sz w:val="20"/>
                <w:szCs w:val="20"/>
                <w:lang w:eastAsia="uk-UA"/>
              </w:rPr>
              <w:t>8</w:t>
            </w:r>
            <w:r w:rsidRPr="00B446EE">
              <w:rPr>
                <w:rFonts w:cs="Arial"/>
                <w:b/>
                <w:bCs/>
                <w:sz w:val="20"/>
                <w:szCs w:val="20"/>
                <w:lang w:eastAsia="uk-UA"/>
              </w:rPr>
              <w:t> 220,0</w:t>
            </w:r>
          </w:p>
        </w:tc>
        <w:tc>
          <w:tcPr>
            <w:tcW w:w="1217" w:type="dxa"/>
            <w:tcBorders>
              <w:top w:val="nil"/>
              <w:left w:val="nil"/>
              <w:bottom w:val="single" w:sz="4" w:space="0" w:color="auto"/>
              <w:right w:val="single" w:sz="4" w:space="0" w:color="auto"/>
            </w:tcBorders>
            <w:vAlign w:val="center"/>
          </w:tcPr>
          <w:p w14:paraId="05DD4E1A" w14:textId="2FD199A3" w:rsidR="00EB0F30" w:rsidRPr="00B446EE" w:rsidRDefault="00682101" w:rsidP="00682101">
            <w:pPr>
              <w:jc w:val="center"/>
              <w:rPr>
                <w:rFonts w:cs="Arial"/>
                <w:b/>
                <w:bCs/>
                <w:sz w:val="20"/>
                <w:szCs w:val="20"/>
                <w:lang w:eastAsia="uk-UA"/>
              </w:rPr>
            </w:pPr>
            <w:r w:rsidRPr="00B446EE">
              <w:rPr>
                <w:rFonts w:cs="Arial"/>
                <w:b/>
                <w:bCs/>
                <w:sz w:val="20"/>
                <w:szCs w:val="20"/>
                <w:lang w:eastAsia="uk-UA"/>
              </w:rPr>
              <w:t>161 2</w:t>
            </w:r>
            <w:r w:rsidR="0081474D" w:rsidRPr="00B446EE">
              <w:rPr>
                <w:rFonts w:cs="Arial"/>
                <w:b/>
                <w:bCs/>
                <w:sz w:val="20"/>
                <w:szCs w:val="20"/>
                <w:lang w:eastAsia="uk-UA"/>
              </w:rPr>
              <w:t>1</w:t>
            </w:r>
            <w:r w:rsidRPr="00B446EE">
              <w:rPr>
                <w:rFonts w:cs="Arial"/>
                <w:b/>
                <w:bCs/>
                <w:sz w:val="20"/>
                <w:szCs w:val="20"/>
                <w:lang w:eastAsia="uk-UA"/>
              </w:rPr>
              <w:t>9</w:t>
            </w:r>
            <w:r w:rsidR="003839DB" w:rsidRPr="00B446EE">
              <w:rPr>
                <w:rFonts w:cs="Arial"/>
                <w:b/>
                <w:bCs/>
                <w:sz w:val="20"/>
                <w:szCs w:val="20"/>
                <w:lang w:eastAsia="uk-UA"/>
              </w:rPr>
              <w:t>,5</w:t>
            </w:r>
          </w:p>
        </w:tc>
      </w:tr>
      <w:tr w:rsidR="00EB0F30" w:rsidRPr="00C2587D" w14:paraId="03EFE39B" w14:textId="77777777" w:rsidTr="00987B8D">
        <w:trPr>
          <w:trHeight w:val="385"/>
          <w:jc w:val="center"/>
        </w:trPr>
        <w:tc>
          <w:tcPr>
            <w:tcW w:w="11326" w:type="dxa"/>
            <w:gridSpan w:val="7"/>
            <w:tcBorders>
              <w:top w:val="nil"/>
              <w:left w:val="single" w:sz="4" w:space="0" w:color="auto"/>
              <w:bottom w:val="single" w:sz="4" w:space="0" w:color="auto"/>
              <w:right w:val="single" w:sz="4" w:space="0" w:color="auto"/>
            </w:tcBorders>
            <w:shd w:val="clear" w:color="auto" w:fill="auto"/>
            <w:noWrap/>
            <w:vAlign w:val="center"/>
          </w:tcPr>
          <w:p w14:paraId="18DA25FC" w14:textId="77777777" w:rsidR="00EB0F30" w:rsidRPr="00987B8D" w:rsidRDefault="00EB0F30" w:rsidP="00EB0F30">
            <w:pPr>
              <w:rPr>
                <w:rFonts w:cs="Arial"/>
                <w:b/>
                <w:bCs/>
                <w:i/>
                <w:iCs/>
                <w:sz w:val="20"/>
                <w:szCs w:val="20"/>
                <w:lang w:eastAsia="uk-UA"/>
              </w:rPr>
            </w:pPr>
            <w:r w:rsidRPr="00987B8D">
              <w:rPr>
                <w:rFonts w:cs="Arial"/>
                <w:b/>
                <w:bCs/>
                <w:i/>
                <w:iCs/>
                <w:sz w:val="20"/>
                <w:szCs w:val="20"/>
                <w:lang w:eastAsia="uk-UA"/>
              </w:rPr>
              <w:t>Стратегічна ціль В.3. Поліпшення екологічного стану навколишнього середовища</w:t>
            </w:r>
          </w:p>
        </w:tc>
      </w:tr>
      <w:tr w:rsidR="009A5765" w:rsidRPr="00C2587D" w14:paraId="1A5DCA34" w14:textId="77777777" w:rsidTr="009A5765">
        <w:trPr>
          <w:jc w:val="center"/>
        </w:trPr>
        <w:tc>
          <w:tcPr>
            <w:tcW w:w="551" w:type="dxa"/>
            <w:tcBorders>
              <w:top w:val="nil"/>
              <w:left w:val="single" w:sz="4" w:space="0" w:color="auto"/>
              <w:bottom w:val="single" w:sz="4" w:space="0" w:color="auto"/>
              <w:right w:val="single" w:sz="4" w:space="0" w:color="auto"/>
            </w:tcBorders>
            <w:shd w:val="clear" w:color="auto" w:fill="auto"/>
            <w:noWrap/>
            <w:vAlign w:val="center"/>
          </w:tcPr>
          <w:p w14:paraId="24FB677C" w14:textId="77777777" w:rsidR="009A5765" w:rsidRPr="008315C4" w:rsidRDefault="009A5765" w:rsidP="009A5765">
            <w:pPr>
              <w:jc w:val="center"/>
              <w:rPr>
                <w:rFonts w:cs="Arial"/>
                <w:bCs/>
                <w:sz w:val="20"/>
                <w:szCs w:val="20"/>
                <w:lang w:eastAsia="uk-UA"/>
              </w:rPr>
            </w:pPr>
            <w:r w:rsidRPr="008315C4">
              <w:rPr>
                <w:rFonts w:cs="Arial"/>
                <w:bCs/>
                <w:sz w:val="20"/>
                <w:szCs w:val="20"/>
                <w:lang w:eastAsia="uk-UA"/>
              </w:rPr>
              <w:t>1.</w:t>
            </w:r>
          </w:p>
        </w:tc>
        <w:tc>
          <w:tcPr>
            <w:tcW w:w="4521" w:type="dxa"/>
            <w:tcBorders>
              <w:top w:val="nil"/>
              <w:left w:val="nil"/>
              <w:bottom w:val="single" w:sz="4" w:space="0" w:color="auto"/>
              <w:right w:val="single" w:sz="4" w:space="0" w:color="auto"/>
            </w:tcBorders>
            <w:shd w:val="clear" w:color="auto" w:fill="auto"/>
            <w:noWrap/>
            <w:vAlign w:val="center"/>
          </w:tcPr>
          <w:p w14:paraId="5BBDC009" w14:textId="3B4374B1" w:rsidR="009A5765" w:rsidRPr="008315C4" w:rsidRDefault="009A5765" w:rsidP="009A5765">
            <w:pPr>
              <w:jc w:val="both"/>
              <w:rPr>
                <w:rFonts w:cs="Arial"/>
                <w:bCs/>
                <w:sz w:val="20"/>
                <w:szCs w:val="20"/>
                <w:lang w:eastAsia="uk-UA"/>
              </w:rPr>
            </w:pPr>
            <w:r w:rsidRPr="008315C4">
              <w:rPr>
                <w:rFonts w:cs="Arial"/>
                <w:sz w:val="20"/>
                <w:szCs w:val="20"/>
                <w:lang w:eastAsia="it-IT"/>
              </w:rPr>
              <w:t>Реконструкція очисних споруд каналізації (ОСК) в с. Сідава Жмеринського району Вінницької обл.</w:t>
            </w:r>
          </w:p>
        </w:tc>
        <w:tc>
          <w:tcPr>
            <w:tcW w:w="1162" w:type="dxa"/>
            <w:tcBorders>
              <w:top w:val="nil"/>
              <w:left w:val="nil"/>
              <w:bottom w:val="single" w:sz="4" w:space="0" w:color="auto"/>
              <w:right w:val="single" w:sz="4" w:space="0" w:color="auto"/>
            </w:tcBorders>
            <w:shd w:val="clear" w:color="auto" w:fill="auto"/>
            <w:noWrap/>
            <w:vAlign w:val="center"/>
          </w:tcPr>
          <w:p w14:paraId="197CF7C2" w14:textId="25929F04" w:rsidR="009A5765" w:rsidRPr="008315C4" w:rsidRDefault="009A5765" w:rsidP="009A5765">
            <w:pPr>
              <w:jc w:val="center"/>
              <w:rPr>
                <w:rFonts w:cs="Arial"/>
                <w:bCs/>
                <w:sz w:val="20"/>
                <w:szCs w:val="20"/>
                <w:lang w:eastAsia="uk-UA"/>
              </w:rPr>
            </w:pPr>
          </w:p>
        </w:tc>
        <w:tc>
          <w:tcPr>
            <w:tcW w:w="1329" w:type="dxa"/>
            <w:tcBorders>
              <w:top w:val="nil"/>
              <w:left w:val="nil"/>
              <w:bottom w:val="single" w:sz="4" w:space="0" w:color="auto"/>
              <w:right w:val="single" w:sz="4" w:space="0" w:color="auto"/>
            </w:tcBorders>
            <w:shd w:val="clear" w:color="auto" w:fill="auto"/>
            <w:noWrap/>
            <w:vAlign w:val="center"/>
          </w:tcPr>
          <w:p w14:paraId="6A3982D3" w14:textId="25E0789A" w:rsidR="009A5765" w:rsidRPr="008315C4" w:rsidRDefault="009A5765" w:rsidP="009A5765">
            <w:pPr>
              <w:jc w:val="center"/>
              <w:rPr>
                <w:rFonts w:cs="Arial"/>
                <w:sz w:val="20"/>
                <w:szCs w:val="20"/>
                <w:lang w:eastAsia="it-IT"/>
              </w:rPr>
            </w:pPr>
            <w:r w:rsidRPr="008315C4">
              <w:rPr>
                <w:rFonts w:cs="Arial"/>
                <w:sz w:val="20"/>
                <w:szCs w:val="20"/>
                <w:lang w:eastAsia="it-IT"/>
              </w:rPr>
              <w:t>102 203,7</w:t>
            </w:r>
          </w:p>
        </w:tc>
        <w:tc>
          <w:tcPr>
            <w:tcW w:w="1273" w:type="dxa"/>
            <w:tcBorders>
              <w:top w:val="nil"/>
              <w:left w:val="nil"/>
              <w:bottom w:val="single" w:sz="4" w:space="0" w:color="auto"/>
              <w:right w:val="single" w:sz="4" w:space="0" w:color="auto"/>
            </w:tcBorders>
            <w:shd w:val="clear" w:color="auto" w:fill="auto"/>
            <w:noWrap/>
            <w:vAlign w:val="center"/>
          </w:tcPr>
          <w:p w14:paraId="3B5CBF14" w14:textId="0D7B6FE2" w:rsidR="009A5765" w:rsidRPr="008315C4" w:rsidRDefault="009A5765" w:rsidP="009A5765">
            <w:pPr>
              <w:jc w:val="center"/>
              <w:rPr>
                <w:rFonts w:cs="Arial"/>
                <w:sz w:val="20"/>
                <w:szCs w:val="20"/>
              </w:rPr>
            </w:pPr>
          </w:p>
        </w:tc>
        <w:tc>
          <w:tcPr>
            <w:tcW w:w="1273" w:type="dxa"/>
            <w:tcBorders>
              <w:top w:val="nil"/>
              <w:left w:val="nil"/>
              <w:bottom w:val="single" w:sz="4" w:space="0" w:color="auto"/>
              <w:right w:val="single" w:sz="4" w:space="0" w:color="auto"/>
            </w:tcBorders>
            <w:shd w:val="clear" w:color="auto" w:fill="auto"/>
            <w:noWrap/>
            <w:vAlign w:val="center"/>
          </w:tcPr>
          <w:p w14:paraId="701B47B7" w14:textId="276CA179" w:rsidR="009A5765" w:rsidRPr="008315C4" w:rsidRDefault="009A5765" w:rsidP="009A5765">
            <w:pPr>
              <w:jc w:val="center"/>
              <w:rPr>
                <w:rFonts w:cs="Arial"/>
                <w:sz w:val="20"/>
                <w:szCs w:val="20"/>
              </w:rPr>
            </w:pPr>
          </w:p>
        </w:tc>
        <w:tc>
          <w:tcPr>
            <w:tcW w:w="1217" w:type="dxa"/>
            <w:tcBorders>
              <w:top w:val="nil"/>
              <w:left w:val="nil"/>
              <w:bottom w:val="single" w:sz="4" w:space="0" w:color="auto"/>
              <w:right w:val="single" w:sz="4" w:space="0" w:color="auto"/>
            </w:tcBorders>
            <w:vAlign w:val="center"/>
          </w:tcPr>
          <w:p w14:paraId="619B356F" w14:textId="2F7F7EAB" w:rsidR="009A5765" w:rsidRPr="00C2587D" w:rsidRDefault="009A5765" w:rsidP="009A5765">
            <w:pPr>
              <w:jc w:val="center"/>
              <w:rPr>
                <w:rFonts w:cs="Arial"/>
                <w:sz w:val="20"/>
                <w:szCs w:val="20"/>
                <w:lang w:eastAsia="it-IT"/>
              </w:rPr>
            </w:pPr>
            <w:r w:rsidRPr="008315C4">
              <w:rPr>
                <w:rFonts w:cs="Arial"/>
                <w:b/>
                <w:sz w:val="20"/>
                <w:szCs w:val="20"/>
                <w:lang w:eastAsia="it-IT"/>
              </w:rPr>
              <w:t>102 203,7</w:t>
            </w:r>
          </w:p>
        </w:tc>
      </w:tr>
      <w:tr w:rsidR="009A5765" w:rsidRPr="00C2587D" w14:paraId="56A554A2" w14:textId="77777777" w:rsidTr="009A5765">
        <w:trPr>
          <w:trHeight w:val="405"/>
          <w:jc w:val="center"/>
        </w:trPr>
        <w:tc>
          <w:tcPr>
            <w:tcW w:w="551" w:type="dxa"/>
            <w:tcBorders>
              <w:top w:val="nil"/>
              <w:left w:val="single" w:sz="4" w:space="0" w:color="auto"/>
              <w:bottom w:val="single" w:sz="4" w:space="0" w:color="auto"/>
              <w:right w:val="single" w:sz="4" w:space="0" w:color="auto"/>
            </w:tcBorders>
            <w:shd w:val="clear" w:color="auto" w:fill="auto"/>
            <w:noWrap/>
            <w:vAlign w:val="center"/>
          </w:tcPr>
          <w:p w14:paraId="52434B76" w14:textId="77777777" w:rsidR="009A5765" w:rsidRPr="00C2587D" w:rsidRDefault="009A5765" w:rsidP="009A5765">
            <w:pPr>
              <w:jc w:val="center"/>
              <w:rPr>
                <w:rFonts w:cs="Arial"/>
                <w:bCs/>
                <w:sz w:val="20"/>
                <w:szCs w:val="20"/>
                <w:lang w:eastAsia="uk-UA"/>
              </w:rPr>
            </w:pPr>
          </w:p>
        </w:tc>
        <w:tc>
          <w:tcPr>
            <w:tcW w:w="4521" w:type="dxa"/>
            <w:tcBorders>
              <w:top w:val="nil"/>
              <w:left w:val="nil"/>
              <w:bottom w:val="single" w:sz="4" w:space="0" w:color="auto"/>
              <w:right w:val="single" w:sz="4" w:space="0" w:color="auto"/>
            </w:tcBorders>
            <w:shd w:val="clear" w:color="auto" w:fill="auto"/>
            <w:noWrap/>
            <w:vAlign w:val="center"/>
          </w:tcPr>
          <w:p w14:paraId="7AB2CDFF" w14:textId="77777777" w:rsidR="009A5765" w:rsidRPr="00C2587D" w:rsidRDefault="009A5765" w:rsidP="009A5765">
            <w:pPr>
              <w:rPr>
                <w:rFonts w:cs="Arial"/>
                <w:b/>
                <w:bCs/>
                <w:color w:val="FF0000"/>
                <w:sz w:val="20"/>
                <w:szCs w:val="20"/>
                <w:lang w:eastAsia="uk-UA"/>
              </w:rPr>
            </w:pPr>
            <w:r w:rsidRPr="00C2587D">
              <w:rPr>
                <w:rFonts w:cs="Arial"/>
                <w:b/>
                <w:bCs/>
                <w:sz w:val="20"/>
                <w:szCs w:val="20"/>
                <w:lang w:eastAsia="uk-UA"/>
              </w:rPr>
              <w:t>Всього по В.</w:t>
            </w:r>
            <w:r w:rsidRPr="00C2587D">
              <w:rPr>
                <w:rFonts w:cs="Arial"/>
                <w:b/>
                <w:bCs/>
                <w:iCs/>
                <w:sz w:val="20"/>
                <w:szCs w:val="20"/>
                <w:lang w:eastAsia="uk-UA"/>
              </w:rPr>
              <w:t>3. Поліпшення екологічного стану навколишнього середовища</w:t>
            </w:r>
          </w:p>
        </w:tc>
        <w:tc>
          <w:tcPr>
            <w:tcW w:w="1162" w:type="dxa"/>
            <w:tcBorders>
              <w:top w:val="nil"/>
              <w:left w:val="nil"/>
              <w:bottom w:val="single" w:sz="4" w:space="0" w:color="auto"/>
              <w:right w:val="single" w:sz="4" w:space="0" w:color="auto"/>
            </w:tcBorders>
            <w:shd w:val="clear" w:color="auto" w:fill="auto"/>
            <w:noWrap/>
            <w:vAlign w:val="center"/>
          </w:tcPr>
          <w:p w14:paraId="3895B190" w14:textId="390D309C" w:rsidR="009A5765" w:rsidRPr="00C2587D" w:rsidRDefault="009A5765" w:rsidP="009A5765">
            <w:pPr>
              <w:jc w:val="center"/>
              <w:rPr>
                <w:rFonts w:cs="Arial"/>
                <w:b/>
                <w:bCs/>
                <w:sz w:val="20"/>
                <w:szCs w:val="20"/>
                <w:lang w:eastAsia="uk-UA"/>
              </w:rPr>
            </w:pPr>
          </w:p>
        </w:tc>
        <w:tc>
          <w:tcPr>
            <w:tcW w:w="1329" w:type="dxa"/>
            <w:tcBorders>
              <w:top w:val="nil"/>
              <w:left w:val="nil"/>
              <w:bottom w:val="single" w:sz="4" w:space="0" w:color="auto"/>
              <w:right w:val="single" w:sz="4" w:space="0" w:color="auto"/>
            </w:tcBorders>
            <w:shd w:val="clear" w:color="auto" w:fill="auto"/>
            <w:noWrap/>
            <w:vAlign w:val="center"/>
          </w:tcPr>
          <w:p w14:paraId="61C9B9F3" w14:textId="642C6743" w:rsidR="009A5765" w:rsidRPr="009A5765" w:rsidRDefault="009A5765" w:rsidP="009A5765">
            <w:pPr>
              <w:jc w:val="center"/>
              <w:rPr>
                <w:rFonts w:cs="Arial"/>
                <w:b/>
                <w:bCs/>
                <w:sz w:val="20"/>
                <w:szCs w:val="20"/>
                <w:lang w:eastAsia="uk-UA"/>
              </w:rPr>
            </w:pPr>
            <w:r w:rsidRPr="009A5765">
              <w:rPr>
                <w:rFonts w:cs="Arial"/>
                <w:b/>
                <w:sz w:val="20"/>
                <w:szCs w:val="20"/>
                <w:lang w:eastAsia="it-IT"/>
              </w:rPr>
              <w:t>102 203,7</w:t>
            </w:r>
          </w:p>
        </w:tc>
        <w:tc>
          <w:tcPr>
            <w:tcW w:w="1273" w:type="dxa"/>
            <w:tcBorders>
              <w:top w:val="nil"/>
              <w:left w:val="nil"/>
              <w:bottom w:val="single" w:sz="4" w:space="0" w:color="auto"/>
              <w:right w:val="single" w:sz="4" w:space="0" w:color="auto"/>
            </w:tcBorders>
            <w:shd w:val="clear" w:color="auto" w:fill="auto"/>
            <w:noWrap/>
            <w:vAlign w:val="center"/>
          </w:tcPr>
          <w:p w14:paraId="12EF9AE9" w14:textId="6986FB8A" w:rsidR="009A5765" w:rsidRPr="00C2587D" w:rsidRDefault="009A5765" w:rsidP="009A5765">
            <w:pPr>
              <w:jc w:val="center"/>
              <w:rPr>
                <w:rFonts w:cs="Arial"/>
                <w:b/>
                <w:bCs/>
                <w:sz w:val="20"/>
                <w:szCs w:val="20"/>
                <w:lang w:eastAsia="uk-UA"/>
              </w:rPr>
            </w:pPr>
          </w:p>
        </w:tc>
        <w:tc>
          <w:tcPr>
            <w:tcW w:w="1273" w:type="dxa"/>
            <w:tcBorders>
              <w:top w:val="nil"/>
              <w:left w:val="nil"/>
              <w:bottom w:val="single" w:sz="4" w:space="0" w:color="auto"/>
              <w:right w:val="single" w:sz="4" w:space="0" w:color="auto"/>
            </w:tcBorders>
            <w:shd w:val="clear" w:color="auto" w:fill="auto"/>
            <w:noWrap/>
            <w:vAlign w:val="center"/>
          </w:tcPr>
          <w:p w14:paraId="0D16AB3F" w14:textId="25D14D16" w:rsidR="009A5765" w:rsidRPr="00C2587D" w:rsidRDefault="009A5765" w:rsidP="009A5765">
            <w:pPr>
              <w:jc w:val="center"/>
              <w:rPr>
                <w:rFonts w:cs="Arial"/>
                <w:b/>
                <w:bCs/>
                <w:sz w:val="20"/>
                <w:szCs w:val="20"/>
                <w:lang w:eastAsia="uk-UA"/>
              </w:rPr>
            </w:pPr>
          </w:p>
        </w:tc>
        <w:tc>
          <w:tcPr>
            <w:tcW w:w="1217" w:type="dxa"/>
            <w:tcBorders>
              <w:top w:val="nil"/>
              <w:left w:val="nil"/>
              <w:bottom w:val="single" w:sz="4" w:space="0" w:color="auto"/>
              <w:right w:val="single" w:sz="4" w:space="0" w:color="auto"/>
            </w:tcBorders>
            <w:vAlign w:val="center"/>
          </w:tcPr>
          <w:p w14:paraId="39B4581E" w14:textId="485222C2" w:rsidR="009A5765" w:rsidRPr="00C2587D" w:rsidRDefault="009A5765" w:rsidP="009A5765">
            <w:pPr>
              <w:jc w:val="center"/>
              <w:rPr>
                <w:rFonts w:cs="Arial"/>
                <w:b/>
                <w:bCs/>
                <w:sz w:val="20"/>
                <w:szCs w:val="20"/>
                <w:lang w:eastAsia="uk-UA"/>
              </w:rPr>
            </w:pPr>
            <w:r w:rsidRPr="00C2587D">
              <w:rPr>
                <w:rFonts w:cs="Arial"/>
                <w:b/>
                <w:sz w:val="20"/>
                <w:szCs w:val="20"/>
                <w:lang w:eastAsia="it-IT"/>
              </w:rPr>
              <w:t>102 203,7</w:t>
            </w:r>
          </w:p>
        </w:tc>
      </w:tr>
      <w:tr w:rsidR="009A5765" w:rsidRPr="00C2587D" w14:paraId="3E8CFC95" w14:textId="77777777" w:rsidTr="00987B8D">
        <w:trPr>
          <w:trHeight w:val="521"/>
          <w:jc w:val="center"/>
        </w:trPr>
        <w:tc>
          <w:tcPr>
            <w:tcW w:w="11326" w:type="dxa"/>
            <w:gridSpan w:val="7"/>
            <w:tcBorders>
              <w:top w:val="nil"/>
              <w:left w:val="single" w:sz="4" w:space="0" w:color="auto"/>
              <w:bottom w:val="single" w:sz="4" w:space="0" w:color="auto"/>
              <w:right w:val="single" w:sz="4" w:space="0" w:color="auto"/>
            </w:tcBorders>
            <w:shd w:val="clear" w:color="auto" w:fill="auto"/>
            <w:noWrap/>
            <w:vAlign w:val="center"/>
          </w:tcPr>
          <w:p w14:paraId="1FACAD9C" w14:textId="77777777" w:rsidR="009A5765" w:rsidRPr="00987B8D" w:rsidRDefault="009A5765" w:rsidP="009A5765">
            <w:pPr>
              <w:rPr>
                <w:rFonts w:cs="Arial"/>
                <w:b/>
                <w:bCs/>
                <w:sz w:val="20"/>
                <w:szCs w:val="20"/>
                <w:lang w:eastAsia="uk-UA"/>
              </w:rPr>
            </w:pPr>
            <w:r w:rsidRPr="00987B8D">
              <w:rPr>
                <w:rFonts w:cs="Arial"/>
                <w:b/>
                <w:bCs/>
                <w:sz w:val="20"/>
                <w:szCs w:val="20"/>
                <w:lang w:eastAsia="uk-UA"/>
              </w:rPr>
              <w:t>Стратегічна ціль В.4. Ефективна система безпеки громади</w:t>
            </w:r>
          </w:p>
        </w:tc>
      </w:tr>
      <w:tr w:rsidR="009A5765" w:rsidRPr="00A82B7C" w14:paraId="572D5BF9" w14:textId="77777777" w:rsidTr="009A5765">
        <w:trPr>
          <w:trHeight w:val="459"/>
          <w:jc w:val="center"/>
        </w:trPr>
        <w:tc>
          <w:tcPr>
            <w:tcW w:w="551" w:type="dxa"/>
            <w:tcBorders>
              <w:top w:val="nil"/>
              <w:left w:val="single" w:sz="4" w:space="0" w:color="auto"/>
              <w:bottom w:val="single" w:sz="4" w:space="0" w:color="auto"/>
              <w:right w:val="single" w:sz="4" w:space="0" w:color="auto"/>
            </w:tcBorders>
            <w:shd w:val="clear" w:color="auto" w:fill="auto"/>
            <w:noWrap/>
            <w:vAlign w:val="center"/>
          </w:tcPr>
          <w:p w14:paraId="41C2C1D6" w14:textId="77777777" w:rsidR="009A5765" w:rsidRPr="00A82B7C" w:rsidRDefault="009A5765" w:rsidP="009A5765">
            <w:pPr>
              <w:jc w:val="center"/>
              <w:rPr>
                <w:rFonts w:cs="Arial"/>
                <w:bCs/>
                <w:szCs w:val="20"/>
                <w:lang w:eastAsia="uk-UA"/>
              </w:rPr>
            </w:pPr>
            <w:r w:rsidRPr="00A82B7C">
              <w:rPr>
                <w:rFonts w:cs="Arial"/>
                <w:bCs/>
                <w:szCs w:val="20"/>
                <w:lang w:eastAsia="uk-UA"/>
              </w:rPr>
              <w:t>1.</w:t>
            </w:r>
          </w:p>
        </w:tc>
        <w:tc>
          <w:tcPr>
            <w:tcW w:w="4521" w:type="dxa"/>
            <w:tcBorders>
              <w:top w:val="nil"/>
              <w:left w:val="nil"/>
              <w:bottom w:val="single" w:sz="4" w:space="0" w:color="auto"/>
              <w:right w:val="single" w:sz="4" w:space="0" w:color="auto"/>
            </w:tcBorders>
            <w:shd w:val="clear" w:color="auto" w:fill="auto"/>
            <w:noWrap/>
            <w:vAlign w:val="center"/>
          </w:tcPr>
          <w:p w14:paraId="6793032F" w14:textId="5C9E9D14" w:rsidR="009A5765" w:rsidRPr="00A82B7C" w:rsidRDefault="009A5765" w:rsidP="009A5765">
            <w:pPr>
              <w:rPr>
                <w:rFonts w:cs="Arial"/>
                <w:szCs w:val="20"/>
                <w:lang w:eastAsia="it-IT"/>
              </w:rPr>
            </w:pPr>
            <w:r w:rsidRPr="00A82B7C">
              <w:rPr>
                <w:rFonts w:cs="Arial"/>
                <w:szCs w:val="20"/>
                <w:lang w:eastAsia="it-IT"/>
              </w:rPr>
              <w:t>Безпечна громада</w:t>
            </w:r>
          </w:p>
        </w:tc>
        <w:tc>
          <w:tcPr>
            <w:tcW w:w="1162" w:type="dxa"/>
            <w:tcBorders>
              <w:top w:val="single" w:sz="4" w:space="0" w:color="auto"/>
              <w:bottom w:val="single" w:sz="4" w:space="0" w:color="auto"/>
              <w:right w:val="single" w:sz="4" w:space="0" w:color="auto"/>
            </w:tcBorders>
            <w:noWrap/>
            <w:vAlign w:val="center"/>
          </w:tcPr>
          <w:p w14:paraId="0DEE171E" w14:textId="5CCA932F" w:rsidR="009A5765" w:rsidRPr="00A82B7C" w:rsidRDefault="009A5765" w:rsidP="009A5765">
            <w:pPr>
              <w:jc w:val="center"/>
              <w:rPr>
                <w:rFonts w:cs="Arial"/>
                <w:bCs/>
                <w:color w:val="FF0000"/>
                <w:sz w:val="20"/>
                <w:szCs w:val="20"/>
                <w:lang w:eastAsia="uk-UA"/>
              </w:rPr>
            </w:pPr>
            <w:r w:rsidRPr="00A82B7C">
              <w:rPr>
                <w:sz w:val="20"/>
                <w:szCs w:val="20"/>
              </w:rPr>
              <w:t>1 726,0</w:t>
            </w:r>
          </w:p>
        </w:tc>
        <w:tc>
          <w:tcPr>
            <w:tcW w:w="1329" w:type="dxa"/>
            <w:tcBorders>
              <w:top w:val="single" w:sz="4" w:space="0" w:color="auto"/>
              <w:left w:val="single" w:sz="4" w:space="0" w:color="auto"/>
              <w:bottom w:val="single" w:sz="4" w:space="0" w:color="auto"/>
              <w:right w:val="single" w:sz="4" w:space="0" w:color="auto"/>
            </w:tcBorders>
            <w:noWrap/>
            <w:vAlign w:val="center"/>
          </w:tcPr>
          <w:p w14:paraId="01F982BD" w14:textId="7E76C36A" w:rsidR="009A5765" w:rsidRPr="00A82B7C" w:rsidRDefault="009A5765" w:rsidP="009A5765">
            <w:pPr>
              <w:jc w:val="center"/>
              <w:rPr>
                <w:rFonts w:cs="Arial"/>
                <w:color w:val="000000"/>
                <w:sz w:val="20"/>
                <w:szCs w:val="20"/>
                <w:lang w:eastAsia="it-IT"/>
              </w:rPr>
            </w:pPr>
            <w:r w:rsidRPr="00A82B7C">
              <w:rPr>
                <w:sz w:val="20"/>
                <w:szCs w:val="20"/>
              </w:rPr>
              <w:t>1 540,0</w:t>
            </w:r>
          </w:p>
        </w:tc>
        <w:tc>
          <w:tcPr>
            <w:tcW w:w="127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C193FE9" w14:textId="338DD6B2" w:rsidR="009A5765" w:rsidRPr="00A82B7C" w:rsidRDefault="009A5765" w:rsidP="009A5765">
            <w:pPr>
              <w:jc w:val="center"/>
              <w:rPr>
                <w:rFonts w:cs="Arial"/>
                <w:color w:val="000000"/>
                <w:sz w:val="20"/>
                <w:szCs w:val="20"/>
                <w:lang w:eastAsia="it-IT"/>
              </w:rPr>
            </w:pPr>
            <w:r w:rsidRPr="00A82B7C">
              <w:rPr>
                <w:sz w:val="20"/>
                <w:szCs w:val="20"/>
              </w:rPr>
              <w:t>1 700,0</w:t>
            </w:r>
          </w:p>
        </w:tc>
        <w:tc>
          <w:tcPr>
            <w:tcW w:w="12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B5B0C7" w14:textId="2DE6A6A3" w:rsidR="009A5765" w:rsidRPr="00A82B7C" w:rsidRDefault="009A5765" w:rsidP="009A5765">
            <w:pPr>
              <w:jc w:val="center"/>
              <w:rPr>
                <w:rFonts w:cs="Arial"/>
                <w:color w:val="000000"/>
                <w:sz w:val="20"/>
                <w:szCs w:val="20"/>
                <w:lang w:eastAsia="it-IT"/>
              </w:rPr>
            </w:pPr>
            <w:r w:rsidRPr="00A82B7C">
              <w:rPr>
                <w:color w:val="000000"/>
                <w:sz w:val="20"/>
                <w:szCs w:val="20"/>
                <w:lang w:eastAsia="it-IT"/>
              </w:rPr>
              <w:t>1 700,0</w:t>
            </w:r>
          </w:p>
        </w:tc>
        <w:tc>
          <w:tcPr>
            <w:tcW w:w="1217" w:type="dxa"/>
            <w:tcBorders>
              <w:top w:val="single" w:sz="4" w:space="0" w:color="auto"/>
              <w:left w:val="single" w:sz="4" w:space="0" w:color="auto"/>
              <w:bottom w:val="single" w:sz="4" w:space="0" w:color="auto"/>
              <w:right w:val="single" w:sz="4" w:space="0" w:color="auto"/>
            </w:tcBorders>
            <w:shd w:val="clear" w:color="auto" w:fill="FFFFFF"/>
            <w:vAlign w:val="center"/>
          </w:tcPr>
          <w:p w14:paraId="084B98B0" w14:textId="2A9984FA" w:rsidR="009A5765" w:rsidRPr="00A82B7C" w:rsidRDefault="009A5765" w:rsidP="009A5765">
            <w:pPr>
              <w:jc w:val="center"/>
              <w:rPr>
                <w:rFonts w:cs="Arial"/>
                <w:b/>
                <w:color w:val="000000"/>
                <w:sz w:val="20"/>
                <w:szCs w:val="20"/>
                <w:lang w:eastAsia="it-IT"/>
              </w:rPr>
            </w:pPr>
            <w:r w:rsidRPr="00A82B7C">
              <w:rPr>
                <w:b/>
                <w:sz w:val="20"/>
                <w:szCs w:val="20"/>
              </w:rPr>
              <w:t>6 666,0</w:t>
            </w:r>
          </w:p>
        </w:tc>
      </w:tr>
      <w:tr w:rsidR="009A5765" w:rsidRPr="00C2587D" w14:paraId="021749B2" w14:textId="77777777" w:rsidTr="009A5765">
        <w:trPr>
          <w:jc w:val="center"/>
        </w:trPr>
        <w:tc>
          <w:tcPr>
            <w:tcW w:w="551" w:type="dxa"/>
            <w:tcBorders>
              <w:top w:val="nil"/>
              <w:left w:val="single" w:sz="4" w:space="0" w:color="auto"/>
              <w:bottom w:val="single" w:sz="4" w:space="0" w:color="auto"/>
              <w:right w:val="single" w:sz="4" w:space="0" w:color="auto"/>
            </w:tcBorders>
            <w:shd w:val="clear" w:color="auto" w:fill="auto"/>
            <w:noWrap/>
            <w:vAlign w:val="center"/>
          </w:tcPr>
          <w:p w14:paraId="022E369A" w14:textId="77777777" w:rsidR="009A5765" w:rsidRPr="00C2587D" w:rsidRDefault="009A5765" w:rsidP="009A5765">
            <w:pPr>
              <w:jc w:val="center"/>
              <w:rPr>
                <w:rFonts w:cs="Arial"/>
                <w:bCs/>
                <w:color w:val="FF0000"/>
                <w:sz w:val="20"/>
                <w:szCs w:val="20"/>
                <w:lang w:eastAsia="uk-UA"/>
              </w:rPr>
            </w:pPr>
            <w:r w:rsidRPr="00C2587D">
              <w:rPr>
                <w:rFonts w:cs="Arial"/>
                <w:bCs/>
                <w:sz w:val="20"/>
                <w:szCs w:val="20"/>
                <w:lang w:eastAsia="uk-UA"/>
              </w:rPr>
              <w:t>2.</w:t>
            </w:r>
          </w:p>
        </w:tc>
        <w:tc>
          <w:tcPr>
            <w:tcW w:w="4521" w:type="dxa"/>
            <w:tcBorders>
              <w:top w:val="nil"/>
              <w:left w:val="nil"/>
              <w:bottom w:val="single" w:sz="4" w:space="0" w:color="auto"/>
              <w:right w:val="single" w:sz="4" w:space="0" w:color="auto"/>
            </w:tcBorders>
            <w:shd w:val="clear" w:color="auto" w:fill="auto"/>
            <w:noWrap/>
            <w:vAlign w:val="bottom"/>
          </w:tcPr>
          <w:p w14:paraId="41F16EF0" w14:textId="30B415CB" w:rsidR="009A5765" w:rsidRPr="00C2587D" w:rsidRDefault="009A5765" w:rsidP="009A5765">
            <w:pPr>
              <w:jc w:val="both"/>
              <w:rPr>
                <w:rFonts w:cs="Arial"/>
                <w:bCs/>
                <w:color w:val="FF0000"/>
                <w:sz w:val="20"/>
                <w:szCs w:val="20"/>
                <w:lang w:eastAsia="uk-UA"/>
              </w:rPr>
            </w:pPr>
            <w:r w:rsidRPr="00C2587D">
              <w:rPr>
                <w:lang w:eastAsia="it-IT"/>
              </w:rPr>
              <w:t>«Безпечні громади» (обласний конкурс), підтримка сил безпеки й оборони України Жмеринською міською територіальною громадою</w:t>
            </w:r>
          </w:p>
        </w:tc>
        <w:tc>
          <w:tcPr>
            <w:tcW w:w="1162" w:type="dxa"/>
            <w:tcBorders>
              <w:top w:val="single" w:sz="4" w:space="0" w:color="auto"/>
              <w:left w:val="nil"/>
              <w:bottom w:val="single" w:sz="4" w:space="0" w:color="auto"/>
              <w:right w:val="single" w:sz="4" w:space="0" w:color="auto"/>
            </w:tcBorders>
            <w:shd w:val="clear" w:color="auto" w:fill="auto"/>
            <w:noWrap/>
            <w:vAlign w:val="center"/>
          </w:tcPr>
          <w:p w14:paraId="6639C17B" w14:textId="1EFC350E" w:rsidR="009A5765" w:rsidRPr="00C2587D" w:rsidRDefault="009A5765" w:rsidP="009A5765">
            <w:pPr>
              <w:jc w:val="center"/>
              <w:rPr>
                <w:rFonts w:cs="Arial"/>
                <w:bCs/>
                <w:color w:val="FF0000"/>
                <w:sz w:val="20"/>
                <w:szCs w:val="20"/>
                <w:lang w:eastAsia="uk-UA"/>
              </w:rPr>
            </w:pPr>
          </w:p>
        </w:tc>
        <w:tc>
          <w:tcPr>
            <w:tcW w:w="1329" w:type="dxa"/>
            <w:tcBorders>
              <w:top w:val="single" w:sz="4" w:space="0" w:color="auto"/>
              <w:left w:val="nil"/>
              <w:bottom w:val="single" w:sz="4" w:space="0" w:color="auto"/>
              <w:right w:val="single" w:sz="4" w:space="0" w:color="auto"/>
            </w:tcBorders>
            <w:shd w:val="clear" w:color="auto" w:fill="auto"/>
            <w:noWrap/>
          </w:tcPr>
          <w:p w14:paraId="50C089CA" w14:textId="509465AD" w:rsidR="009A5765" w:rsidRPr="00C2587D" w:rsidRDefault="009A5765" w:rsidP="009A5765">
            <w:pPr>
              <w:spacing w:before="240"/>
              <w:jc w:val="center"/>
              <w:rPr>
                <w:rFonts w:cs="Arial"/>
                <w:bCs/>
                <w:color w:val="FF0000"/>
                <w:sz w:val="20"/>
                <w:szCs w:val="20"/>
                <w:lang w:eastAsia="uk-UA"/>
              </w:rPr>
            </w:pPr>
            <w:r w:rsidRPr="00C2587D">
              <w:rPr>
                <w:sz w:val="20"/>
                <w:szCs w:val="20"/>
              </w:rPr>
              <w:t>8 000,0</w:t>
            </w:r>
          </w:p>
        </w:tc>
        <w:tc>
          <w:tcPr>
            <w:tcW w:w="1273" w:type="dxa"/>
            <w:tcBorders>
              <w:top w:val="single" w:sz="4" w:space="0" w:color="auto"/>
              <w:left w:val="nil"/>
              <w:bottom w:val="single" w:sz="4" w:space="0" w:color="auto"/>
              <w:right w:val="single" w:sz="4" w:space="0" w:color="auto"/>
            </w:tcBorders>
            <w:shd w:val="clear" w:color="auto" w:fill="auto"/>
            <w:noWrap/>
          </w:tcPr>
          <w:p w14:paraId="0572D8C3" w14:textId="680D853F" w:rsidR="009A5765" w:rsidRPr="00C2587D" w:rsidRDefault="009A5765" w:rsidP="009A5765">
            <w:pPr>
              <w:spacing w:before="240"/>
              <w:jc w:val="center"/>
              <w:rPr>
                <w:rFonts w:cs="Arial"/>
                <w:bCs/>
                <w:color w:val="FF0000"/>
                <w:sz w:val="20"/>
                <w:szCs w:val="20"/>
                <w:lang w:eastAsia="uk-UA"/>
              </w:rPr>
            </w:pPr>
            <w:r w:rsidRPr="00C2587D">
              <w:rPr>
                <w:sz w:val="20"/>
                <w:szCs w:val="20"/>
              </w:rPr>
              <w:t>8 000,0</w:t>
            </w:r>
          </w:p>
        </w:tc>
        <w:tc>
          <w:tcPr>
            <w:tcW w:w="1273" w:type="dxa"/>
            <w:tcBorders>
              <w:top w:val="single" w:sz="4" w:space="0" w:color="auto"/>
              <w:left w:val="nil"/>
              <w:bottom w:val="single" w:sz="4" w:space="0" w:color="auto"/>
              <w:right w:val="single" w:sz="4" w:space="0" w:color="auto"/>
            </w:tcBorders>
            <w:shd w:val="clear" w:color="auto" w:fill="auto"/>
            <w:noWrap/>
          </w:tcPr>
          <w:p w14:paraId="21F2642B" w14:textId="69BDB533" w:rsidR="009A5765" w:rsidRPr="00C2587D" w:rsidRDefault="009A5765" w:rsidP="009A5765">
            <w:pPr>
              <w:spacing w:before="240"/>
              <w:jc w:val="center"/>
              <w:rPr>
                <w:rFonts w:cs="Arial"/>
                <w:bCs/>
                <w:color w:val="FF0000"/>
                <w:sz w:val="20"/>
                <w:szCs w:val="20"/>
                <w:lang w:eastAsia="uk-UA"/>
              </w:rPr>
            </w:pPr>
            <w:r w:rsidRPr="00C2587D">
              <w:rPr>
                <w:sz w:val="20"/>
                <w:szCs w:val="20"/>
              </w:rPr>
              <w:t>8 000,0</w:t>
            </w:r>
          </w:p>
        </w:tc>
        <w:tc>
          <w:tcPr>
            <w:tcW w:w="1217" w:type="dxa"/>
            <w:tcBorders>
              <w:top w:val="single" w:sz="4" w:space="0" w:color="auto"/>
              <w:left w:val="nil"/>
              <w:bottom w:val="single" w:sz="4" w:space="0" w:color="auto"/>
              <w:right w:val="single" w:sz="4" w:space="0" w:color="auto"/>
            </w:tcBorders>
          </w:tcPr>
          <w:p w14:paraId="6AF9895B" w14:textId="2DDD5446" w:rsidR="009A5765" w:rsidRPr="00C2587D" w:rsidRDefault="009A5765" w:rsidP="009A5765">
            <w:pPr>
              <w:spacing w:before="240"/>
              <w:jc w:val="center"/>
              <w:rPr>
                <w:rFonts w:cs="Arial"/>
                <w:b/>
                <w:bCs/>
                <w:color w:val="FF0000"/>
                <w:sz w:val="20"/>
                <w:szCs w:val="20"/>
                <w:lang w:eastAsia="uk-UA"/>
              </w:rPr>
            </w:pPr>
            <w:r w:rsidRPr="00C2587D">
              <w:rPr>
                <w:b/>
                <w:sz w:val="20"/>
                <w:szCs w:val="20"/>
              </w:rPr>
              <w:t>24 000,0</w:t>
            </w:r>
          </w:p>
        </w:tc>
      </w:tr>
      <w:tr w:rsidR="009A5765" w:rsidRPr="00C2587D" w14:paraId="46E788DA" w14:textId="77777777" w:rsidTr="009A5765">
        <w:trPr>
          <w:jc w:val="center"/>
        </w:trPr>
        <w:tc>
          <w:tcPr>
            <w:tcW w:w="551" w:type="dxa"/>
            <w:tcBorders>
              <w:top w:val="nil"/>
              <w:left w:val="single" w:sz="4" w:space="0" w:color="auto"/>
              <w:bottom w:val="single" w:sz="4" w:space="0" w:color="auto"/>
              <w:right w:val="single" w:sz="4" w:space="0" w:color="auto"/>
            </w:tcBorders>
            <w:shd w:val="clear" w:color="auto" w:fill="auto"/>
            <w:noWrap/>
            <w:vAlign w:val="center"/>
          </w:tcPr>
          <w:p w14:paraId="2F5140F1" w14:textId="1F124614" w:rsidR="009A5765" w:rsidRPr="00C2587D" w:rsidRDefault="009A5765" w:rsidP="009A5765">
            <w:pPr>
              <w:jc w:val="center"/>
              <w:rPr>
                <w:rFonts w:cs="Arial"/>
                <w:bCs/>
                <w:sz w:val="20"/>
                <w:szCs w:val="20"/>
                <w:lang w:eastAsia="uk-UA"/>
              </w:rPr>
            </w:pPr>
            <w:r w:rsidRPr="00C2587D">
              <w:rPr>
                <w:rFonts w:cs="Arial"/>
                <w:bCs/>
                <w:sz w:val="20"/>
                <w:szCs w:val="20"/>
                <w:lang w:eastAsia="uk-UA"/>
              </w:rPr>
              <w:t>3.</w:t>
            </w:r>
          </w:p>
        </w:tc>
        <w:tc>
          <w:tcPr>
            <w:tcW w:w="4521" w:type="dxa"/>
            <w:tcBorders>
              <w:top w:val="nil"/>
              <w:left w:val="nil"/>
              <w:bottom w:val="single" w:sz="4" w:space="0" w:color="auto"/>
              <w:right w:val="single" w:sz="4" w:space="0" w:color="auto"/>
            </w:tcBorders>
            <w:shd w:val="clear" w:color="auto" w:fill="auto"/>
            <w:noWrap/>
            <w:vAlign w:val="bottom"/>
          </w:tcPr>
          <w:p w14:paraId="5B3523E8" w14:textId="271E784C" w:rsidR="009A5765" w:rsidRPr="00C2587D" w:rsidRDefault="009A5765" w:rsidP="009A5765">
            <w:pPr>
              <w:jc w:val="both"/>
              <w:rPr>
                <w:lang w:eastAsia="it-IT"/>
              </w:rPr>
            </w:pPr>
            <w:r w:rsidRPr="00C2587D">
              <w:rPr>
                <w:lang w:eastAsia="it-IT"/>
              </w:rPr>
              <w:t>«Безпечна культура: облаштування укриття в будинку культури</w:t>
            </w:r>
            <w:r>
              <w:rPr>
                <w:lang w:eastAsia="it-IT"/>
              </w:rPr>
              <w:t xml:space="preserve"> </w:t>
            </w:r>
            <w:r w:rsidRPr="00C2587D">
              <w:rPr>
                <w:lang w:eastAsia="it-IT"/>
              </w:rPr>
              <w:t xml:space="preserve">села Почапинці </w:t>
            </w:r>
          </w:p>
        </w:tc>
        <w:tc>
          <w:tcPr>
            <w:tcW w:w="1162" w:type="dxa"/>
            <w:tcBorders>
              <w:top w:val="nil"/>
              <w:left w:val="nil"/>
              <w:bottom w:val="single" w:sz="4" w:space="0" w:color="auto"/>
              <w:right w:val="single" w:sz="4" w:space="0" w:color="auto"/>
            </w:tcBorders>
            <w:shd w:val="clear" w:color="auto" w:fill="auto"/>
            <w:noWrap/>
            <w:vAlign w:val="center"/>
          </w:tcPr>
          <w:p w14:paraId="20AF6AA0" w14:textId="55F22E00" w:rsidR="009A5765" w:rsidRPr="00C2587D" w:rsidRDefault="009A5765" w:rsidP="009A5765">
            <w:pPr>
              <w:jc w:val="center"/>
              <w:rPr>
                <w:rFonts w:cs="Arial"/>
                <w:bCs/>
                <w:color w:val="FF0000"/>
                <w:sz w:val="20"/>
                <w:szCs w:val="20"/>
                <w:lang w:eastAsia="uk-UA"/>
              </w:rPr>
            </w:pPr>
          </w:p>
        </w:tc>
        <w:tc>
          <w:tcPr>
            <w:tcW w:w="1329" w:type="dxa"/>
            <w:tcBorders>
              <w:top w:val="nil"/>
              <w:left w:val="nil"/>
              <w:bottom w:val="single" w:sz="4" w:space="0" w:color="auto"/>
              <w:right w:val="single" w:sz="4" w:space="0" w:color="auto"/>
            </w:tcBorders>
            <w:shd w:val="clear" w:color="auto" w:fill="auto"/>
            <w:noWrap/>
          </w:tcPr>
          <w:p w14:paraId="049A52D2" w14:textId="41F53C38" w:rsidR="009A5765" w:rsidRPr="00C2587D" w:rsidRDefault="009A5765" w:rsidP="009A5765">
            <w:pPr>
              <w:spacing w:before="240"/>
              <w:jc w:val="center"/>
              <w:rPr>
                <w:sz w:val="20"/>
                <w:szCs w:val="20"/>
              </w:rPr>
            </w:pPr>
            <w:r w:rsidRPr="00C2587D">
              <w:rPr>
                <w:sz w:val="20"/>
                <w:szCs w:val="20"/>
              </w:rPr>
              <w:t>4 700,0</w:t>
            </w:r>
          </w:p>
        </w:tc>
        <w:tc>
          <w:tcPr>
            <w:tcW w:w="1273" w:type="dxa"/>
            <w:tcBorders>
              <w:top w:val="nil"/>
              <w:left w:val="nil"/>
              <w:bottom w:val="single" w:sz="4" w:space="0" w:color="auto"/>
              <w:right w:val="single" w:sz="4" w:space="0" w:color="auto"/>
            </w:tcBorders>
            <w:shd w:val="clear" w:color="auto" w:fill="auto"/>
            <w:noWrap/>
          </w:tcPr>
          <w:p w14:paraId="2F67FBD6" w14:textId="5C822282" w:rsidR="009A5765" w:rsidRPr="00C2587D" w:rsidRDefault="009A5765" w:rsidP="009A5765">
            <w:pPr>
              <w:spacing w:before="240"/>
              <w:jc w:val="center"/>
              <w:rPr>
                <w:sz w:val="20"/>
                <w:szCs w:val="20"/>
              </w:rPr>
            </w:pPr>
          </w:p>
        </w:tc>
        <w:tc>
          <w:tcPr>
            <w:tcW w:w="1273" w:type="dxa"/>
            <w:tcBorders>
              <w:top w:val="nil"/>
              <w:left w:val="nil"/>
              <w:bottom w:val="single" w:sz="4" w:space="0" w:color="auto"/>
              <w:right w:val="single" w:sz="4" w:space="0" w:color="auto"/>
            </w:tcBorders>
            <w:shd w:val="clear" w:color="auto" w:fill="auto"/>
            <w:noWrap/>
          </w:tcPr>
          <w:p w14:paraId="43350766" w14:textId="32BB74F1" w:rsidR="009A5765" w:rsidRPr="00C2587D" w:rsidRDefault="009A5765" w:rsidP="009A5765">
            <w:pPr>
              <w:spacing w:before="240"/>
              <w:jc w:val="center"/>
              <w:rPr>
                <w:sz w:val="20"/>
                <w:szCs w:val="20"/>
              </w:rPr>
            </w:pPr>
          </w:p>
        </w:tc>
        <w:tc>
          <w:tcPr>
            <w:tcW w:w="1217" w:type="dxa"/>
            <w:tcBorders>
              <w:top w:val="nil"/>
              <w:left w:val="nil"/>
              <w:bottom w:val="single" w:sz="4" w:space="0" w:color="auto"/>
              <w:right w:val="single" w:sz="4" w:space="0" w:color="auto"/>
            </w:tcBorders>
          </w:tcPr>
          <w:p w14:paraId="6469B8E8" w14:textId="78140D2D" w:rsidR="009A5765" w:rsidRPr="00C2587D" w:rsidRDefault="009A5765" w:rsidP="009A5765">
            <w:pPr>
              <w:spacing w:before="240"/>
              <w:jc w:val="center"/>
              <w:rPr>
                <w:b/>
                <w:sz w:val="20"/>
                <w:szCs w:val="20"/>
              </w:rPr>
            </w:pPr>
            <w:r w:rsidRPr="00C2587D">
              <w:rPr>
                <w:b/>
                <w:sz w:val="20"/>
                <w:szCs w:val="20"/>
              </w:rPr>
              <w:t>4 700,0</w:t>
            </w:r>
          </w:p>
        </w:tc>
      </w:tr>
      <w:tr w:rsidR="009A5765" w:rsidRPr="00C2587D" w14:paraId="0ADC88C2" w14:textId="77777777" w:rsidTr="009A5765">
        <w:trPr>
          <w:trHeight w:val="605"/>
          <w:jc w:val="center"/>
        </w:trPr>
        <w:tc>
          <w:tcPr>
            <w:tcW w:w="551" w:type="dxa"/>
            <w:tcBorders>
              <w:top w:val="nil"/>
              <w:left w:val="single" w:sz="4" w:space="0" w:color="auto"/>
              <w:bottom w:val="single" w:sz="4" w:space="0" w:color="auto"/>
              <w:right w:val="single" w:sz="4" w:space="0" w:color="auto"/>
            </w:tcBorders>
            <w:shd w:val="clear" w:color="auto" w:fill="auto"/>
            <w:noWrap/>
            <w:vAlign w:val="center"/>
          </w:tcPr>
          <w:p w14:paraId="3CC6AE5F" w14:textId="0330B16B" w:rsidR="009A5765" w:rsidRPr="00C2587D" w:rsidRDefault="009A5765" w:rsidP="009A5765">
            <w:pPr>
              <w:jc w:val="center"/>
              <w:rPr>
                <w:rFonts w:cs="Arial"/>
                <w:bCs/>
                <w:sz w:val="20"/>
                <w:szCs w:val="20"/>
                <w:lang w:eastAsia="uk-UA"/>
              </w:rPr>
            </w:pPr>
            <w:r>
              <w:rPr>
                <w:rFonts w:cs="Arial"/>
                <w:bCs/>
                <w:sz w:val="20"/>
                <w:szCs w:val="20"/>
                <w:lang w:eastAsia="uk-UA"/>
              </w:rPr>
              <w:t>4.</w:t>
            </w:r>
          </w:p>
        </w:tc>
        <w:tc>
          <w:tcPr>
            <w:tcW w:w="4521" w:type="dxa"/>
            <w:tcBorders>
              <w:top w:val="nil"/>
              <w:left w:val="nil"/>
              <w:bottom w:val="single" w:sz="4" w:space="0" w:color="auto"/>
              <w:right w:val="single" w:sz="4" w:space="0" w:color="auto"/>
            </w:tcBorders>
            <w:shd w:val="clear" w:color="auto" w:fill="auto"/>
            <w:noWrap/>
            <w:vAlign w:val="center"/>
          </w:tcPr>
          <w:p w14:paraId="2D1C4B3B" w14:textId="6C031E7B" w:rsidR="009A5765" w:rsidRPr="00C2587D" w:rsidRDefault="009A5765" w:rsidP="009A5765">
            <w:pPr>
              <w:rPr>
                <w:lang w:eastAsia="it-IT"/>
              </w:rPr>
            </w:pPr>
            <w:r w:rsidRPr="00C2587D">
              <w:rPr>
                <w:lang w:eastAsia="it-IT"/>
              </w:rPr>
              <w:t>«Безпечна культура: облаштування укриття в будинку культури</w:t>
            </w:r>
            <w:r>
              <w:rPr>
                <w:lang w:eastAsia="it-IT"/>
              </w:rPr>
              <w:t xml:space="preserve"> </w:t>
            </w:r>
            <w:r w:rsidRPr="00C2587D">
              <w:rPr>
                <w:lang w:eastAsia="it-IT"/>
              </w:rPr>
              <w:t xml:space="preserve">села Біликівці </w:t>
            </w:r>
          </w:p>
        </w:tc>
        <w:tc>
          <w:tcPr>
            <w:tcW w:w="1162" w:type="dxa"/>
            <w:tcBorders>
              <w:top w:val="nil"/>
              <w:left w:val="nil"/>
              <w:bottom w:val="single" w:sz="4" w:space="0" w:color="auto"/>
              <w:right w:val="single" w:sz="4" w:space="0" w:color="auto"/>
            </w:tcBorders>
            <w:shd w:val="clear" w:color="auto" w:fill="auto"/>
            <w:noWrap/>
            <w:vAlign w:val="center"/>
          </w:tcPr>
          <w:p w14:paraId="317EDAB2" w14:textId="77777777" w:rsidR="009A5765" w:rsidRPr="00C2587D" w:rsidRDefault="009A5765" w:rsidP="009A5765">
            <w:pPr>
              <w:rPr>
                <w:rFonts w:cs="Arial"/>
                <w:bCs/>
                <w:color w:val="FF0000"/>
                <w:sz w:val="20"/>
                <w:szCs w:val="20"/>
                <w:lang w:eastAsia="uk-UA"/>
              </w:rPr>
            </w:pPr>
          </w:p>
        </w:tc>
        <w:tc>
          <w:tcPr>
            <w:tcW w:w="1329" w:type="dxa"/>
            <w:tcBorders>
              <w:top w:val="nil"/>
              <w:left w:val="nil"/>
              <w:bottom w:val="single" w:sz="4" w:space="0" w:color="auto"/>
              <w:right w:val="single" w:sz="4" w:space="0" w:color="auto"/>
            </w:tcBorders>
            <w:shd w:val="clear" w:color="auto" w:fill="auto"/>
            <w:noWrap/>
            <w:vAlign w:val="center"/>
          </w:tcPr>
          <w:p w14:paraId="6A98A458" w14:textId="344A7993" w:rsidR="009A5765" w:rsidRPr="00C2587D" w:rsidRDefault="009A5765" w:rsidP="009A5765">
            <w:pPr>
              <w:jc w:val="center"/>
              <w:rPr>
                <w:sz w:val="20"/>
                <w:szCs w:val="20"/>
              </w:rPr>
            </w:pPr>
            <w:r w:rsidRPr="00C2587D">
              <w:rPr>
                <w:sz w:val="20"/>
                <w:szCs w:val="20"/>
              </w:rPr>
              <w:t>10 000,0</w:t>
            </w:r>
          </w:p>
        </w:tc>
        <w:tc>
          <w:tcPr>
            <w:tcW w:w="1273" w:type="dxa"/>
            <w:tcBorders>
              <w:top w:val="nil"/>
              <w:left w:val="nil"/>
              <w:bottom w:val="single" w:sz="4" w:space="0" w:color="auto"/>
              <w:right w:val="single" w:sz="4" w:space="0" w:color="auto"/>
            </w:tcBorders>
            <w:shd w:val="clear" w:color="auto" w:fill="auto"/>
            <w:noWrap/>
            <w:vAlign w:val="center"/>
          </w:tcPr>
          <w:p w14:paraId="7CE5C152" w14:textId="77777777" w:rsidR="009A5765" w:rsidRPr="00C2587D" w:rsidRDefault="009A5765" w:rsidP="009A5765">
            <w:pPr>
              <w:jc w:val="center"/>
              <w:rPr>
                <w:sz w:val="20"/>
                <w:szCs w:val="20"/>
              </w:rPr>
            </w:pPr>
          </w:p>
        </w:tc>
        <w:tc>
          <w:tcPr>
            <w:tcW w:w="1273" w:type="dxa"/>
            <w:tcBorders>
              <w:top w:val="nil"/>
              <w:left w:val="nil"/>
              <w:bottom w:val="single" w:sz="4" w:space="0" w:color="auto"/>
              <w:right w:val="single" w:sz="4" w:space="0" w:color="auto"/>
            </w:tcBorders>
            <w:shd w:val="clear" w:color="auto" w:fill="auto"/>
            <w:noWrap/>
            <w:vAlign w:val="center"/>
          </w:tcPr>
          <w:p w14:paraId="15366293" w14:textId="77777777" w:rsidR="009A5765" w:rsidRPr="00C2587D" w:rsidRDefault="009A5765" w:rsidP="009A5765">
            <w:pPr>
              <w:jc w:val="center"/>
              <w:rPr>
                <w:sz w:val="20"/>
                <w:szCs w:val="20"/>
              </w:rPr>
            </w:pPr>
          </w:p>
        </w:tc>
        <w:tc>
          <w:tcPr>
            <w:tcW w:w="1217" w:type="dxa"/>
            <w:tcBorders>
              <w:top w:val="nil"/>
              <w:left w:val="nil"/>
              <w:bottom w:val="single" w:sz="4" w:space="0" w:color="auto"/>
              <w:right w:val="single" w:sz="4" w:space="0" w:color="auto"/>
            </w:tcBorders>
            <w:vAlign w:val="center"/>
          </w:tcPr>
          <w:p w14:paraId="62705793" w14:textId="2826CA8E" w:rsidR="009A5765" w:rsidRPr="00C2587D" w:rsidRDefault="009A5765" w:rsidP="009A5765">
            <w:pPr>
              <w:jc w:val="center"/>
              <w:rPr>
                <w:b/>
                <w:sz w:val="20"/>
                <w:szCs w:val="20"/>
              </w:rPr>
            </w:pPr>
            <w:r w:rsidRPr="00C2587D">
              <w:rPr>
                <w:b/>
                <w:sz w:val="20"/>
                <w:szCs w:val="20"/>
              </w:rPr>
              <w:t>10 000,0</w:t>
            </w:r>
          </w:p>
        </w:tc>
      </w:tr>
      <w:tr w:rsidR="009A5765" w:rsidRPr="00C2587D" w14:paraId="24AA8A40" w14:textId="77777777" w:rsidTr="009A5765">
        <w:trPr>
          <w:trHeight w:val="557"/>
          <w:jc w:val="center"/>
        </w:trPr>
        <w:tc>
          <w:tcPr>
            <w:tcW w:w="551" w:type="dxa"/>
            <w:tcBorders>
              <w:top w:val="nil"/>
              <w:left w:val="single" w:sz="4" w:space="0" w:color="auto"/>
              <w:bottom w:val="single" w:sz="4" w:space="0" w:color="auto"/>
              <w:right w:val="single" w:sz="4" w:space="0" w:color="auto"/>
            </w:tcBorders>
            <w:shd w:val="clear" w:color="auto" w:fill="auto"/>
            <w:noWrap/>
            <w:vAlign w:val="center"/>
          </w:tcPr>
          <w:p w14:paraId="5272D8DA" w14:textId="2FEF1DB7" w:rsidR="009A5765" w:rsidRPr="00C2587D" w:rsidRDefault="009A5765" w:rsidP="009A5765">
            <w:pPr>
              <w:rPr>
                <w:rFonts w:cs="Arial"/>
                <w:b/>
                <w:bCs/>
                <w:color w:val="FF0000"/>
                <w:sz w:val="20"/>
                <w:szCs w:val="20"/>
                <w:lang w:eastAsia="uk-UA"/>
              </w:rPr>
            </w:pPr>
          </w:p>
        </w:tc>
        <w:tc>
          <w:tcPr>
            <w:tcW w:w="4521" w:type="dxa"/>
            <w:tcBorders>
              <w:top w:val="nil"/>
              <w:left w:val="nil"/>
              <w:bottom w:val="single" w:sz="4" w:space="0" w:color="auto"/>
              <w:right w:val="single" w:sz="4" w:space="0" w:color="auto"/>
            </w:tcBorders>
            <w:shd w:val="clear" w:color="auto" w:fill="auto"/>
            <w:noWrap/>
            <w:vAlign w:val="center"/>
          </w:tcPr>
          <w:p w14:paraId="1AF5FCF7" w14:textId="77777777" w:rsidR="009A5765" w:rsidRPr="00C2587D" w:rsidRDefault="009A5765" w:rsidP="009A5765">
            <w:pPr>
              <w:rPr>
                <w:rFonts w:cs="Arial"/>
                <w:b/>
                <w:bCs/>
                <w:sz w:val="20"/>
                <w:szCs w:val="20"/>
                <w:lang w:eastAsia="uk-UA"/>
              </w:rPr>
            </w:pPr>
            <w:r w:rsidRPr="00C2587D">
              <w:rPr>
                <w:rFonts w:cs="Arial"/>
                <w:b/>
                <w:bCs/>
                <w:sz w:val="20"/>
                <w:szCs w:val="20"/>
                <w:lang w:eastAsia="uk-UA"/>
              </w:rPr>
              <w:t>Всього по В.4. Ефективна система безпеки громади</w:t>
            </w:r>
          </w:p>
        </w:tc>
        <w:tc>
          <w:tcPr>
            <w:tcW w:w="1162" w:type="dxa"/>
            <w:tcBorders>
              <w:top w:val="nil"/>
              <w:left w:val="nil"/>
              <w:bottom w:val="single" w:sz="4" w:space="0" w:color="auto"/>
              <w:right w:val="single" w:sz="4" w:space="0" w:color="auto"/>
            </w:tcBorders>
            <w:shd w:val="clear" w:color="auto" w:fill="auto"/>
            <w:noWrap/>
            <w:vAlign w:val="center"/>
          </w:tcPr>
          <w:p w14:paraId="69F64B12" w14:textId="0E8D6938" w:rsidR="009A5765" w:rsidRPr="00C2587D" w:rsidRDefault="009A5765" w:rsidP="009A5765">
            <w:pPr>
              <w:jc w:val="center"/>
              <w:rPr>
                <w:rFonts w:cs="Arial"/>
                <w:b/>
                <w:bCs/>
                <w:sz w:val="20"/>
                <w:szCs w:val="20"/>
                <w:lang w:eastAsia="uk-UA"/>
              </w:rPr>
            </w:pPr>
            <w:r w:rsidRPr="00C2587D">
              <w:rPr>
                <w:rFonts w:cs="Arial"/>
                <w:b/>
                <w:bCs/>
                <w:sz w:val="20"/>
                <w:szCs w:val="20"/>
                <w:lang w:eastAsia="uk-UA"/>
              </w:rPr>
              <w:t>1726,0</w:t>
            </w:r>
          </w:p>
        </w:tc>
        <w:tc>
          <w:tcPr>
            <w:tcW w:w="1329" w:type="dxa"/>
            <w:tcBorders>
              <w:top w:val="nil"/>
              <w:left w:val="nil"/>
              <w:bottom w:val="single" w:sz="4" w:space="0" w:color="auto"/>
              <w:right w:val="single" w:sz="4" w:space="0" w:color="auto"/>
            </w:tcBorders>
            <w:shd w:val="clear" w:color="auto" w:fill="auto"/>
            <w:noWrap/>
            <w:vAlign w:val="center"/>
          </w:tcPr>
          <w:p w14:paraId="28AAEC59" w14:textId="6227844F" w:rsidR="009A5765" w:rsidRPr="00C2587D" w:rsidRDefault="009A5765" w:rsidP="009A5765">
            <w:pPr>
              <w:jc w:val="center"/>
              <w:rPr>
                <w:rFonts w:cs="Arial"/>
                <w:b/>
                <w:bCs/>
                <w:sz w:val="20"/>
                <w:szCs w:val="20"/>
                <w:lang w:eastAsia="uk-UA"/>
              </w:rPr>
            </w:pPr>
            <w:r w:rsidRPr="00C2587D">
              <w:rPr>
                <w:rFonts w:cs="Arial"/>
                <w:b/>
                <w:bCs/>
                <w:sz w:val="20"/>
                <w:szCs w:val="20"/>
                <w:lang w:eastAsia="uk-UA"/>
              </w:rPr>
              <w:t>24 240,0</w:t>
            </w:r>
          </w:p>
        </w:tc>
        <w:tc>
          <w:tcPr>
            <w:tcW w:w="1273" w:type="dxa"/>
            <w:tcBorders>
              <w:top w:val="nil"/>
              <w:left w:val="nil"/>
              <w:bottom w:val="single" w:sz="4" w:space="0" w:color="auto"/>
              <w:right w:val="single" w:sz="4" w:space="0" w:color="auto"/>
            </w:tcBorders>
            <w:shd w:val="clear" w:color="auto" w:fill="auto"/>
            <w:noWrap/>
            <w:vAlign w:val="center"/>
          </w:tcPr>
          <w:p w14:paraId="4039E102" w14:textId="66EF8DAB" w:rsidR="009A5765" w:rsidRPr="00C2587D" w:rsidRDefault="009A5765" w:rsidP="009A5765">
            <w:pPr>
              <w:jc w:val="center"/>
              <w:rPr>
                <w:rFonts w:cs="Arial"/>
                <w:b/>
                <w:bCs/>
                <w:sz w:val="20"/>
                <w:szCs w:val="20"/>
                <w:lang w:eastAsia="uk-UA"/>
              </w:rPr>
            </w:pPr>
            <w:r w:rsidRPr="00C2587D">
              <w:rPr>
                <w:rFonts w:cs="Arial"/>
                <w:b/>
                <w:bCs/>
                <w:sz w:val="20"/>
                <w:szCs w:val="20"/>
                <w:lang w:eastAsia="uk-UA"/>
              </w:rPr>
              <w:t>9 700,0</w:t>
            </w:r>
          </w:p>
        </w:tc>
        <w:tc>
          <w:tcPr>
            <w:tcW w:w="1273" w:type="dxa"/>
            <w:tcBorders>
              <w:top w:val="nil"/>
              <w:left w:val="nil"/>
              <w:bottom w:val="single" w:sz="4" w:space="0" w:color="auto"/>
              <w:right w:val="single" w:sz="4" w:space="0" w:color="auto"/>
            </w:tcBorders>
            <w:shd w:val="clear" w:color="auto" w:fill="auto"/>
            <w:noWrap/>
            <w:vAlign w:val="center"/>
          </w:tcPr>
          <w:p w14:paraId="0779D8EE" w14:textId="435A3011" w:rsidR="009A5765" w:rsidRPr="00C2587D" w:rsidRDefault="009A5765" w:rsidP="009A5765">
            <w:pPr>
              <w:jc w:val="center"/>
              <w:rPr>
                <w:rFonts w:cs="Arial"/>
                <w:b/>
                <w:bCs/>
                <w:sz w:val="20"/>
                <w:szCs w:val="20"/>
                <w:lang w:eastAsia="uk-UA"/>
              </w:rPr>
            </w:pPr>
            <w:r w:rsidRPr="00C2587D">
              <w:rPr>
                <w:rFonts w:cs="Arial"/>
                <w:b/>
                <w:bCs/>
                <w:sz w:val="20"/>
                <w:szCs w:val="20"/>
                <w:lang w:eastAsia="uk-UA"/>
              </w:rPr>
              <w:t>9 700,0</w:t>
            </w:r>
          </w:p>
        </w:tc>
        <w:tc>
          <w:tcPr>
            <w:tcW w:w="1217" w:type="dxa"/>
            <w:tcBorders>
              <w:top w:val="nil"/>
              <w:left w:val="nil"/>
              <w:bottom w:val="single" w:sz="4" w:space="0" w:color="auto"/>
              <w:right w:val="single" w:sz="4" w:space="0" w:color="auto"/>
            </w:tcBorders>
            <w:vAlign w:val="center"/>
          </w:tcPr>
          <w:p w14:paraId="6883D5B6" w14:textId="346F8E11" w:rsidR="009A5765" w:rsidRPr="00C2587D" w:rsidRDefault="009A5765" w:rsidP="009A5765">
            <w:pPr>
              <w:jc w:val="center"/>
              <w:rPr>
                <w:rFonts w:cs="Arial"/>
                <w:b/>
                <w:bCs/>
                <w:sz w:val="20"/>
                <w:szCs w:val="20"/>
                <w:lang w:eastAsia="uk-UA"/>
              </w:rPr>
            </w:pPr>
            <w:r w:rsidRPr="00C2587D">
              <w:rPr>
                <w:rFonts w:cs="Arial"/>
                <w:b/>
                <w:bCs/>
                <w:sz w:val="20"/>
                <w:szCs w:val="20"/>
                <w:lang w:eastAsia="uk-UA"/>
              </w:rPr>
              <w:t>45 366,0</w:t>
            </w:r>
          </w:p>
        </w:tc>
      </w:tr>
      <w:tr w:rsidR="009A5765" w:rsidRPr="00C2587D" w14:paraId="03D09918" w14:textId="77777777" w:rsidTr="009A5765">
        <w:trPr>
          <w:trHeight w:val="693"/>
          <w:jc w:val="center"/>
        </w:trPr>
        <w:tc>
          <w:tcPr>
            <w:tcW w:w="551" w:type="dxa"/>
            <w:tcBorders>
              <w:top w:val="nil"/>
              <w:left w:val="single" w:sz="4" w:space="0" w:color="auto"/>
              <w:bottom w:val="single" w:sz="4" w:space="0" w:color="auto"/>
              <w:right w:val="single" w:sz="4" w:space="0" w:color="auto"/>
            </w:tcBorders>
            <w:shd w:val="clear" w:color="auto" w:fill="auto"/>
            <w:noWrap/>
            <w:vAlign w:val="center"/>
            <w:hideMark/>
          </w:tcPr>
          <w:p w14:paraId="3D8678A4" w14:textId="0FB4C902" w:rsidR="009A5765" w:rsidRPr="00C2587D" w:rsidRDefault="009A5765" w:rsidP="009A5765">
            <w:pPr>
              <w:rPr>
                <w:rFonts w:cs="Arial"/>
                <w:b/>
                <w:bCs/>
                <w:color w:val="FF0000"/>
                <w:szCs w:val="22"/>
                <w:lang w:eastAsia="uk-UA"/>
              </w:rPr>
            </w:pPr>
          </w:p>
        </w:tc>
        <w:tc>
          <w:tcPr>
            <w:tcW w:w="4521" w:type="dxa"/>
            <w:tcBorders>
              <w:top w:val="nil"/>
              <w:left w:val="nil"/>
              <w:bottom w:val="single" w:sz="4" w:space="0" w:color="auto"/>
              <w:right w:val="single" w:sz="4" w:space="0" w:color="auto"/>
            </w:tcBorders>
            <w:shd w:val="clear" w:color="auto" w:fill="auto"/>
            <w:noWrap/>
            <w:vAlign w:val="center"/>
            <w:hideMark/>
          </w:tcPr>
          <w:p w14:paraId="6ACEF8AD" w14:textId="4C27F857" w:rsidR="009A5765" w:rsidRPr="00A82B7C" w:rsidRDefault="009A5765" w:rsidP="009A5765">
            <w:pPr>
              <w:rPr>
                <w:rFonts w:cs="Arial"/>
                <w:b/>
                <w:bCs/>
                <w:szCs w:val="22"/>
                <w:lang w:eastAsia="uk-UA"/>
              </w:rPr>
            </w:pPr>
            <w:r w:rsidRPr="00C2587D">
              <w:rPr>
                <w:rFonts w:cs="Arial"/>
                <w:b/>
                <w:bCs/>
                <w:color w:val="FF0000"/>
                <w:szCs w:val="22"/>
                <w:lang w:eastAsia="uk-UA"/>
              </w:rPr>
              <w:t> </w:t>
            </w:r>
            <w:r w:rsidRPr="00C2587D">
              <w:rPr>
                <w:rFonts w:cs="Arial"/>
                <w:b/>
                <w:bCs/>
                <w:szCs w:val="22"/>
                <w:lang w:eastAsia="uk-UA"/>
              </w:rPr>
              <w:t>ВСЬОГО по В   «Комфортна громада»</w:t>
            </w:r>
          </w:p>
        </w:tc>
        <w:tc>
          <w:tcPr>
            <w:tcW w:w="1162" w:type="dxa"/>
            <w:tcBorders>
              <w:top w:val="nil"/>
              <w:left w:val="nil"/>
              <w:bottom w:val="single" w:sz="4" w:space="0" w:color="auto"/>
              <w:right w:val="single" w:sz="4" w:space="0" w:color="auto"/>
            </w:tcBorders>
            <w:shd w:val="clear" w:color="auto" w:fill="auto"/>
            <w:noWrap/>
            <w:vAlign w:val="center"/>
          </w:tcPr>
          <w:p w14:paraId="21270188" w14:textId="3A974091" w:rsidR="009A5765" w:rsidRPr="00C2587D" w:rsidRDefault="009A5765" w:rsidP="009A5765">
            <w:pPr>
              <w:jc w:val="center"/>
              <w:rPr>
                <w:rFonts w:cs="Arial"/>
                <w:b/>
                <w:bCs/>
                <w:szCs w:val="22"/>
                <w:lang w:eastAsia="uk-UA"/>
              </w:rPr>
            </w:pPr>
            <w:r w:rsidRPr="00C2587D">
              <w:rPr>
                <w:rFonts w:cs="Arial"/>
                <w:b/>
                <w:bCs/>
                <w:szCs w:val="22"/>
                <w:lang w:eastAsia="uk-UA"/>
              </w:rPr>
              <w:t>7 208,0</w:t>
            </w:r>
          </w:p>
        </w:tc>
        <w:tc>
          <w:tcPr>
            <w:tcW w:w="1329" w:type="dxa"/>
            <w:tcBorders>
              <w:top w:val="nil"/>
              <w:left w:val="nil"/>
              <w:bottom w:val="single" w:sz="4" w:space="0" w:color="auto"/>
              <w:right w:val="single" w:sz="4" w:space="0" w:color="auto"/>
            </w:tcBorders>
            <w:shd w:val="clear" w:color="auto" w:fill="auto"/>
            <w:noWrap/>
            <w:vAlign w:val="center"/>
          </w:tcPr>
          <w:p w14:paraId="70727B78" w14:textId="6CF174F5" w:rsidR="009A5765" w:rsidRPr="00C2587D" w:rsidRDefault="009A5765" w:rsidP="009A5765">
            <w:pPr>
              <w:jc w:val="center"/>
              <w:rPr>
                <w:rFonts w:cs="Arial"/>
                <w:b/>
                <w:bCs/>
                <w:szCs w:val="22"/>
                <w:lang w:eastAsia="uk-UA"/>
              </w:rPr>
            </w:pPr>
            <w:r w:rsidRPr="00C2587D">
              <w:rPr>
                <w:rFonts w:cs="Arial"/>
                <w:b/>
                <w:bCs/>
                <w:szCs w:val="22"/>
                <w:lang w:eastAsia="uk-UA"/>
              </w:rPr>
              <w:t>329 841,1</w:t>
            </w:r>
          </w:p>
        </w:tc>
        <w:tc>
          <w:tcPr>
            <w:tcW w:w="1273" w:type="dxa"/>
            <w:tcBorders>
              <w:top w:val="nil"/>
              <w:left w:val="nil"/>
              <w:bottom w:val="single" w:sz="4" w:space="0" w:color="auto"/>
              <w:right w:val="single" w:sz="4" w:space="0" w:color="auto"/>
            </w:tcBorders>
            <w:shd w:val="clear" w:color="auto" w:fill="auto"/>
            <w:noWrap/>
            <w:vAlign w:val="center"/>
          </w:tcPr>
          <w:p w14:paraId="72F7AC38" w14:textId="73C351AC" w:rsidR="009A5765" w:rsidRPr="00C2587D" w:rsidRDefault="009A5765" w:rsidP="009A5765">
            <w:pPr>
              <w:jc w:val="center"/>
              <w:rPr>
                <w:rFonts w:cs="Arial"/>
                <w:b/>
                <w:bCs/>
                <w:szCs w:val="22"/>
                <w:lang w:eastAsia="uk-UA"/>
              </w:rPr>
            </w:pPr>
            <w:r w:rsidRPr="00C2587D">
              <w:rPr>
                <w:rFonts w:cs="Arial"/>
                <w:b/>
                <w:bCs/>
                <w:szCs w:val="22"/>
                <w:lang w:eastAsia="uk-UA"/>
              </w:rPr>
              <w:t>121 452,6</w:t>
            </w:r>
          </w:p>
        </w:tc>
        <w:tc>
          <w:tcPr>
            <w:tcW w:w="1273" w:type="dxa"/>
            <w:tcBorders>
              <w:top w:val="nil"/>
              <w:left w:val="nil"/>
              <w:bottom w:val="single" w:sz="4" w:space="0" w:color="auto"/>
              <w:right w:val="single" w:sz="4" w:space="0" w:color="auto"/>
            </w:tcBorders>
            <w:shd w:val="clear" w:color="auto" w:fill="auto"/>
            <w:noWrap/>
            <w:vAlign w:val="center"/>
          </w:tcPr>
          <w:p w14:paraId="2296C37A" w14:textId="19D7A855" w:rsidR="009A5765" w:rsidRPr="00C2587D" w:rsidRDefault="009A5765" w:rsidP="009A5765">
            <w:pPr>
              <w:jc w:val="center"/>
              <w:rPr>
                <w:rFonts w:cs="Arial"/>
                <w:b/>
                <w:bCs/>
                <w:szCs w:val="22"/>
                <w:lang w:eastAsia="uk-UA"/>
              </w:rPr>
            </w:pPr>
            <w:r w:rsidRPr="00C2587D">
              <w:rPr>
                <w:rFonts w:cs="Arial"/>
                <w:b/>
                <w:bCs/>
                <w:szCs w:val="22"/>
                <w:lang w:eastAsia="uk-UA"/>
              </w:rPr>
              <w:t>69 920,0</w:t>
            </w:r>
          </w:p>
        </w:tc>
        <w:tc>
          <w:tcPr>
            <w:tcW w:w="1217" w:type="dxa"/>
            <w:tcBorders>
              <w:top w:val="nil"/>
              <w:left w:val="nil"/>
              <w:bottom w:val="single" w:sz="4" w:space="0" w:color="auto"/>
              <w:right w:val="single" w:sz="4" w:space="0" w:color="auto"/>
            </w:tcBorders>
            <w:vAlign w:val="center"/>
          </w:tcPr>
          <w:p w14:paraId="0CD5DECA" w14:textId="13C197D4" w:rsidR="009A5765" w:rsidRPr="00C2587D" w:rsidRDefault="009A5765" w:rsidP="009A5765">
            <w:pPr>
              <w:jc w:val="center"/>
              <w:rPr>
                <w:rFonts w:cs="Arial"/>
                <w:b/>
                <w:bCs/>
                <w:szCs w:val="22"/>
                <w:lang w:eastAsia="uk-UA"/>
              </w:rPr>
            </w:pPr>
            <w:r w:rsidRPr="00C2587D">
              <w:rPr>
                <w:rFonts w:cs="Arial"/>
                <w:b/>
                <w:bCs/>
                <w:szCs w:val="22"/>
                <w:lang w:eastAsia="uk-UA"/>
              </w:rPr>
              <w:t>528 421,7</w:t>
            </w:r>
          </w:p>
        </w:tc>
      </w:tr>
    </w:tbl>
    <w:p w14:paraId="748DD98D" w14:textId="2F60CD69" w:rsidR="00620F7D" w:rsidRPr="00C2587D" w:rsidRDefault="00620F7D" w:rsidP="00620F7D">
      <w:pPr>
        <w:rPr>
          <w:lang w:eastAsia="ar-SA"/>
        </w:rPr>
      </w:pPr>
    </w:p>
    <w:p w14:paraId="00DFDA08" w14:textId="77777777" w:rsidR="00620F7D" w:rsidRPr="00C2587D" w:rsidRDefault="00620F7D" w:rsidP="00620F7D">
      <w:pPr>
        <w:rPr>
          <w:lang w:eastAsia="ar-SA"/>
        </w:rPr>
      </w:pPr>
    </w:p>
    <w:p w14:paraId="26BC1649" w14:textId="38A46A5C" w:rsidR="00620F7D" w:rsidRPr="00C2587D" w:rsidRDefault="00F517B3" w:rsidP="00620F7D">
      <w:pPr>
        <w:suppressAutoHyphens/>
        <w:spacing w:before="120"/>
        <w:jc w:val="both"/>
        <w:rPr>
          <w:rFonts w:cs="Arial"/>
          <w:szCs w:val="28"/>
          <w:lang w:eastAsia="ar-SA"/>
        </w:rPr>
      </w:pPr>
      <w:r>
        <w:rPr>
          <w:rFonts w:cs="Arial"/>
          <w:noProof/>
          <w:szCs w:val="28"/>
          <w:lang w:val="ru-RU"/>
        </w:rPr>
        <w:lastRenderedPageBreak/>
        <w:drawing>
          <wp:inline distT="0" distB="0" distL="0" distR="0" wp14:anchorId="76783C82" wp14:editId="6806CB3C">
            <wp:extent cx="6195974" cy="3207149"/>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06560" cy="3212629"/>
                    </a:xfrm>
                    <a:prstGeom prst="rect">
                      <a:avLst/>
                    </a:prstGeom>
                    <a:noFill/>
                  </pic:spPr>
                </pic:pic>
              </a:graphicData>
            </a:graphic>
          </wp:inline>
        </w:drawing>
      </w:r>
    </w:p>
    <w:p w14:paraId="18AFBCE6" w14:textId="5218713B" w:rsidR="00620F7D" w:rsidRPr="00F517B3" w:rsidRDefault="00620F7D" w:rsidP="00620F7D">
      <w:pPr>
        <w:keepNext/>
        <w:tabs>
          <w:tab w:val="left" w:pos="851"/>
        </w:tabs>
        <w:spacing w:before="120" w:after="60"/>
        <w:ind w:left="851" w:hanging="851"/>
        <w:outlineLvl w:val="2"/>
        <w:rPr>
          <w:bCs/>
          <w:i/>
          <w:sz w:val="18"/>
          <w:szCs w:val="18"/>
          <w:lang w:eastAsia="ar-SA"/>
        </w:rPr>
      </w:pPr>
      <w:bookmarkStart w:id="36" w:name="_Toc1743585"/>
      <w:r w:rsidRPr="00F517B3">
        <w:rPr>
          <w:bCs/>
          <w:i/>
          <w:sz w:val="18"/>
          <w:szCs w:val="18"/>
          <w:lang w:eastAsia="ar-SA"/>
        </w:rPr>
        <w:t>Рис.2.</w:t>
      </w:r>
      <w:r w:rsidRPr="00F517B3">
        <w:rPr>
          <w:bCs/>
          <w:i/>
          <w:sz w:val="18"/>
          <w:szCs w:val="18"/>
          <w:lang w:eastAsia="ar-SA"/>
        </w:rPr>
        <w:tab/>
        <w:t>Графік порівняння кількості та в</w:t>
      </w:r>
      <w:r w:rsidR="007B189E">
        <w:rPr>
          <w:bCs/>
          <w:i/>
          <w:sz w:val="18"/>
          <w:szCs w:val="18"/>
          <w:lang w:eastAsia="ar-SA"/>
        </w:rPr>
        <w:t>артості проє</w:t>
      </w:r>
      <w:r w:rsidRPr="00F517B3">
        <w:rPr>
          <w:bCs/>
          <w:i/>
          <w:sz w:val="18"/>
          <w:szCs w:val="18"/>
          <w:lang w:eastAsia="ar-SA"/>
        </w:rPr>
        <w:t>ктів Програми Стратегічного напрямку В. «Комфортна громада»</w:t>
      </w:r>
      <w:bookmarkEnd w:id="36"/>
    </w:p>
    <w:p w14:paraId="28EE8262" w14:textId="77777777" w:rsidR="00620F7D" w:rsidRPr="00C2587D" w:rsidRDefault="00620F7D" w:rsidP="00620F7D">
      <w:pPr>
        <w:rPr>
          <w:b/>
          <w:bCs/>
          <w:i/>
          <w:color w:val="FF0000"/>
          <w:sz w:val="24"/>
          <w:lang w:eastAsia="ar-SA"/>
        </w:rPr>
      </w:pPr>
      <w:r w:rsidRPr="00C2587D">
        <w:rPr>
          <w:color w:val="FF0000"/>
        </w:rPr>
        <w:br w:type="page"/>
      </w:r>
    </w:p>
    <w:p w14:paraId="51A2B09F" w14:textId="77777777" w:rsidR="00620F7D" w:rsidRPr="00C2587D" w:rsidRDefault="00620F7D" w:rsidP="007C45C7">
      <w:pPr>
        <w:jc w:val="both"/>
        <w:rPr>
          <w:i/>
          <w:sz w:val="18"/>
          <w:szCs w:val="18"/>
        </w:rPr>
      </w:pPr>
    </w:p>
    <w:p w14:paraId="73540F25" w14:textId="77D29AAE" w:rsidR="00A36EB4" w:rsidRPr="00C2587D" w:rsidRDefault="00A36EB4" w:rsidP="00A36EB4">
      <w:pPr>
        <w:keepNext/>
        <w:keepLines/>
        <w:tabs>
          <w:tab w:val="left" w:pos="567"/>
        </w:tabs>
        <w:spacing w:before="240" w:after="60"/>
        <w:ind w:left="567" w:hanging="567"/>
        <w:outlineLvl w:val="1"/>
        <w:rPr>
          <w:b/>
          <w:bCs/>
          <w:color w:val="455E63"/>
          <w:sz w:val="28"/>
          <w:szCs w:val="28"/>
          <w:lang w:eastAsia="en-US"/>
        </w:rPr>
      </w:pPr>
      <w:r w:rsidRPr="00C2587D">
        <w:rPr>
          <w:b/>
          <w:bCs/>
          <w:color w:val="455E63"/>
          <w:sz w:val="28"/>
          <w:szCs w:val="28"/>
          <w:lang w:eastAsia="en-US"/>
        </w:rPr>
        <w:t>3.3.</w:t>
      </w:r>
      <w:r w:rsidRPr="00C2587D">
        <w:rPr>
          <w:b/>
          <w:bCs/>
          <w:color w:val="455E63"/>
          <w:sz w:val="28"/>
          <w:szCs w:val="28"/>
          <w:lang w:eastAsia="en-US"/>
        </w:rPr>
        <w:tab/>
        <w:t>Програма Стратегічного напряму С. Доступна громада</w:t>
      </w:r>
    </w:p>
    <w:p w14:paraId="7AD5E7A3" w14:textId="77777777" w:rsidR="00A36EB4" w:rsidRPr="00C2587D" w:rsidRDefault="00A36EB4" w:rsidP="00A36EB4">
      <w:pPr>
        <w:spacing w:before="120"/>
        <w:ind w:firstLine="567"/>
        <w:jc w:val="both"/>
        <w:rPr>
          <w:rFonts w:cs="Arial"/>
          <w:szCs w:val="28"/>
        </w:rPr>
      </w:pPr>
      <w:r w:rsidRPr="00C2587D">
        <w:rPr>
          <w:rFonts w:cs="Arial"/>
          <w:szCs w:val="28"/>
        </w:rPr>
        <w:t xml:space="preserve">Основна мета Програми – покращення умов життя мешканців, туристів і гостей громади шляхом підвищення рівня і якості всіх видів послуг та </w:t>
      </w:r>
      <w:r w:rsidRPr="00C2587D">
        <w:t xml:space="preserve"> забезпечення </w:t>
      </w:r>
      <w:r w:rsidRPr="00C2587D">
        <w:rPr>
          <w:rFonts w:cs="Arial"/>
          <w:szCs w:val="28"/>
        </w:rPr>
        <w:t>можливостей для активного відпочинку  та змістовного дозвілля мешканців громади.</w:t>
      </w:r>
    </w:p>
    <w:p w14:paraId="7B245950" w14:textId="77777777" w:rsidR="00A36EB4" w:rsidRPr="00C2587D" w:rsidRDefault="00A36EB4" w:rsidP="00A36EB4">
      <w:pPr>
        <w:spacing w:before="120"/>
        <w:ind w:firstLine="567"/>
        <w:jc w:val="both"/>
        <w:rPr>
          <w:rFonts w:cs="Arial"/>
          <w:szCs w:val="28"/>
        </w:rPr>
      </w:pPr>
      <w:r w:rsidRPr="00C2587D">
        <w:rPr>
          <w:rFonts w:cs="Arial"/>
          <w:szCs w:val="28"/>
        </w:rPr>
        <w:t>Програма С відповідає Стратегічному напряму розвитку  «</w:t>
      </w:r>
      <w:bookmarkStart w:id="37" w:name="_Hlk75351100"/>
      <w:r w:rsidRPr="00C2587D">
        <w:rPr>
          <w:rFonts w:cs="Arial"/>
          <w:szCs w:val="28"/>
        </w:rPr>
        <w:t>Доступна громада</w:t>
      </w:r>
      <w:bookmarkEnd w:id="37"/>
      <w:r w:rsidRPr="00C2587D">
        <w:rPr>
          <w:rFonts w:cs="Arial"/>
          <w:szCs w:val="28"/>
        </w:rPr>
        <w:t>».</w:t>
      </w:r>
    </w:p>
    <w:p w14:paraId="3C835111" w14:textId="7B942150" w:rsidR="00A36EB4" w:rsidRPr="00C2587D" w:rsidRDefault="00A36EB4" w:rsidP="00A36EB4">
      <w:pPr>
        <w:spacing w:before="120"/>
        <w:ind w:firstLine="567"/>
        <w:jc w:val="both"/>
        <w:rPr>
          <w:rFonts w:cs="Arial"/>
          <w:szCs w:val="28"/>
        </w:rPr>
      </w:pPr>
      <w:r w:rsidRPr="00C2587D">
        <w:rPr>
          <w:rFonts w:cs="Arial"/>
          <w:szCs w:val="28"/>
        </w:rPr>
        <w:t>Для до</w:t>
      </w:r>
      <w:r w:rsidR="00843713" w:rsidRPr="00C2587D">
        <w:rPr>
          <w:rFonts w:cs="Arial"/>
          <w:szCs w:val="28"/>
        </w:rPr>
        <w:t>сягнення цієї цілі у період 2025-2028</w:t>
      </w:r>
      <w:r w:rsidRPr="00C2587D">
        <w:rPr>
          <w:rFonts w:cs="Arial"/>
          <w:szCs w:val="28"/>
        </w:rPr>
        <w:t xml:space="preserve"> років передбачається реалізувати 5 відповідних стр</w:t>
      </w:r>
      <w:r w:rsidR="007B189E">
        <w:rPr>
          <w:rFonts w:cs="Arial"/>
          <w:szCs w:val="28"/>
        </w:rPr>
        <w:t>атегічних цілі та зазначені проє</w:t>
      </w:r>
      <w:r w:rsidRPr="00C2587D">
        <w:rPr>
          <w:rFonts w:cs="Arial"/>
          <w:szCs w:val="28"/>
        </w:rPr>
        <w:t>кти.</w:t>
      </w:r>
    </w:p>
    <w:p w14:paraId="14C9CE86" w14:textId="77777777" w:rsidR="00A36EB4" w:rsidRPr="00C2587D" w:rsidRDefault="00A36EB4" w:rsidP="00A36EB4">
      <w:pPr>
        <w:spacing w:before="120"/>
        <w:ind w:firstLine="567"/>
        <w:jc w:val="both"/>
        <w:rPr>
          <w:rFonts w:cs="Arial"/>
          <w:szCs w:val="28"/>
        </w:rPr>
      </w:pPr>
      <w:r w:rsidRPr="00C2587D">
        <w:rPr>
          <w:rFonts w:cs="Arial"/>
          <w:szCs w:val="28"/>
        </w:rPr>
        <w:t>Програма С «Доступна громада» добре координується з програмами  «Комфортна громада»  (Програма В) та «Інвестиційна приваблива громада із розвиненим експортно-орієнтованим бізнесом» (Програма А).</w:t>
      </w:r>
    </w:p>
    <w:p w14:paraId="1D0499E3" w14:textId="77777777" w:rsidR="00A36EB4" w:rsidRPr="00C2587D" w:rsidRDefault="00A36EB4" w:rsidP="00A36EB4">
      <w:pPr>
        <w:spacing w:before="120"/>
        <w:ind w:firstLine="567"/>
        <w:jc w:val="both"/>
        <w:rPr>
          <w:rFonts w:cs="Arial"/>
          <w:b/>
          <w:i/>
          <w:color w:val="455E63"/>
          <w:sz w:val="24"/>
          <w:szCs w:val="28"/>
        </w:rPr>
      </w:pPr>
      <w:r w:rsidRPr="00C2587D">
        <w:rPr>
          <w:rFonts w:cs="Arial"/>
          <w:b/>
          <w:i/>
          <w:color w:val="455E63"/>
          <w:sz w:val="24"/>
          <w:szCs w:val="28"/>
        </w:rPr>
        <w:t>Структура Програми</w:t>
      </w:r>
    </w:p>
    <w:p w14:paraId="54905D93" w14:textId="28D19224" w:rsidR="00A36EB4" w:rsidRPr="00C2587D" w:rsidRDefault="007B189E" w:rsidP="00A36EB4">
      <w:pPr>
        <w:spacing w:before="120"/>
        <w:ind w:firstLine="567"/>
        <w:jc w:val="both"/>
        <w:rPr>
          <w:rFonts w:cs="Arial"/>
          <w:szCs w:val="28"/>
        </w:rPr>
      </w:pPr>
      <w:r>
        <w:rPr>
          <w:rFonts w:cs="Arial"/>
          <w:szCs w:val="28"/>
        </w:rPr>
        <w:t>В основу програми входять проє</w:t>
      </w:r>
      <w:r w:rsidR="00A36EB4" w:rsidRPr="00C2587D">
        <w:rPr>
          <w:rFonts w:cs="Arial"/>
          <w:szCs w:val="28"/>
        </w:rPr>
        <w:t xml:space="preserve">ктні ідеї, відібрані та доопрацьовані робочою групою на основі пропозицій, що надійшли від підприємств, установ та організацій громади, структурних підрозділів міської ради, представників бізнесу, громадських організацій та населення. </w:t>
      </w:r>
    </w:p>
    <w:p w14:paraId="4162AE83" w14:textId="2D31665D" w:rsidR="00A36EB4" w:rsidRPr="00C2587D" w:rsidRDefault="00A36EB4" w:rsidP="00A36EB4">
      <w:pPr>
        <w:spacing w:before="120"/>
        <w:jc w:val="both"/>
        <w:rPr>
          <w:rFonts w:cs="Arial"/>
          <w:szCs w:val="28"/>
        </w:rPr>
      </w:pPr>
      <w:r w:rsidRPr="00C2587D">
        <w:rPr>
          <w:rFonts w:cs="Arial"/>
          <w:szCs w:val="28"/>
        </w:rPr>
        <w:t>Програма складається з п’яти стратег</w:t>
      </w:r>
      <w:r w:rsidR="00BC53DB">
        <w:rPr>
          <w:rFonts w:cs="Arial"/>
          <w:szCs w:val="28"/>
        </w:rPr>
        <w:t>ічних цілей, які охоплюють</w:t>
      </w:r>
      <w:r w:rsidRPr="00C2587D">
        <w:rPr>
          <w:rFonts w:cs="Arial"/>
          <w:szCs w:val="28"/>
        </w:rPr>
        <w:t>:</w:t>
      </w:r>
    </w:p>
    <w:tbl>
      <w:tblPr>
        <w:tblW w:w="9531" w:type="dxa"/>
        <w:tblInd w:w="108" w:type="dxa"/>
        <w:tblLook w:val="04A0" w:firstRow="1" w:lastRow="0" w:firstColumn="1" w:lastColumn="0" w:noHBand="0" w:noVBand="1"/>
      </w:tblPr>
      <w:tblGrid>
        <w:gridCol w:w="9531"/>
      </w:tblGrid>
      <w:tr w:rsidR="00A36EB4" w:rsidRPr="00C2587D" w14:paraId="4BEB9152" w14:textId="77777777" w:rsidTr="00A36EB4">
        <w:tc>
          <w:tcPr>
            <w:tcW w:w="9531" w:type="dxa"/>
            <w:shd w:val="clear" w:color="auto" w:fill="auto"/>
          </w:tcPr>
          <w:p w14:paraId="01CDB6D4" w14:textId="77777777" w:rsidR="00A36EB4" w:rsidRPr="00C2587D" w:rsidRDefault="00A36EB4" w:rsidP="00150BEC">
            <w:pPr>
              <w:numPr>
                <w:ilvl w:val="0"/>
                <w:numId w:val="7"/>
              </w:numPr>
              <w:tabs>
                <w:tab w:val="left" w:pos="372"/>
              </w:tabs>
              <w:suppressAutoHyphens/>
              <w:spacing w:before="120"/>
              <w:rPr>
                <w:rFonts w:eastAsia="Lucida Sans Unicode" w:cs="Arial"/>
                <w:iCs/>
                <w:kern w:val="1"/>
                <w:szCs w:val="20"/>
                <w:lang w:eastAsia="ar-SA"/>
              </w:rPr>
            </w:pPr>
            <w:bookmarkStart w:id="38" w:name="_Hlk75353665"/>
            <w:r w:rsidRPr="00C2587D">
              <w:rPr>
                <w:rFonts w:eastAsia="Lucida Sans Unicode" w:cs="Arial"/>
                <w:bCs/>
                <w:iCs/>
                <w:kern w:val="1"/>
                <w:szCs w:val="20"/>
                <w:lang w:eastAsia="ar-SA"/>
              </w:rPr>
              <w:t>С.1. Підвищення рівня надання освітніх послуг;</w:t>
            </w:r>
            <w:bookmarkEnd w:id="38"/>
          </w:p>
        </w:tc>
      </w:tr>
      <w:tr w:rsidR="00A36EB4" w:rsidRPr="00C2587D" w14:paraId="6192F56E" w14:textId="77777777" w:rsidTr="00A36EB4">
        <w:tc>
          <w:tcPr>
            <w:tcW w:w="9531" w:type="dxa"/>
            <w:shd w:val="clear" w:color="auto" w:fill="auto"/>
          </w:tcPr>
          <w:p w14:paraId="2732DA5F" w14:textId="77777777" w:rsidR="00A36EB4" w:rsidRPr="00C2587D" w:rsidRDefault="00A36EB4" w:rsidP="00150BEC">
            <w:pPr>
              <w:numPr>
                <w:ilvl w:val="0"/>
                <w:numId w:val="7"/>
              </w:numPr>
              <w:tabs>
                <w:tab w:val="left" w:pos="372"/>
              </w:tabs>
              <w:suppressAutoHyphens/>
              <w:spacing w:before="120"/>
              <w:rPr>
                <w:rFonts w:eastAsia="Lucida Sans Unicode" w:cs="Arial"/>
                <w:iCs/>
                <w:kern w:val="1"/>
                <w:szCs w:val="20"/>
                <w:lang w:eastAsia="ar-SA"/>
              </w:rPr>
            </w:pPr>
            <w:r w:rsidRPr="00C2587D">
              <w:rPr>
                <w:rFonts w:eastAsia="Lucida Sans Unicode" w:cs="Arial"/>
                <w:iCs/>
                <w:kern w:val="1"/>
                <w:szCs w:val="20"/>
                <w:lang w:eastAsia="ar-SA"/>
              </w:rPr>
              <w:t>С.2. Забезпечення доступу  до якісної системи охорони здоров’я та популяризація  здорового способу життя;</w:t>
            </w:r>
          </w:p>
          <w:p w14:paraId="64F04859" w14:textId="77777777" w:rsidR="00A36EB4" w:rsidRPr="00C2587D" w:rsidRDefault="00A36EB4" w:rsidP="00150BEC">
            <w:pPr>
              <w:numPr>
                <w:ilvl w:val="0"/>
                <w:numId w:val="7"/>
              </w:numPr>
              <w:tabs>
                <w:tab w:val="left" w:pos="372"/>
              </w:tabs>
              <w:suppressAutoHyphens/>
              <w:spacing w:before="120"/>
              <w:rPr>
                <w:rFonts w:eastAsia="Lucida Sans Unicode" w:cs="Arial"/>
                <w:iCs/>
                <w:kern w:val="1"/>
                <w:szCs w:val="20"/>
                <w:lang w:eastAsia="ar-SA"/>
              </w:rPr>
            </w:pPr>
            <w:r w:rsidRPr="00C2587D">
              <w:rPr>
                <w:rFonts w:eastAsia="Lucida Sans Unicode" w:cs="Arial"/>
                <w:iCs/>
                <w:kern w:val="1"/>
                <w:szCs w:val="20"/>
                <w:lang w:eastAsia="ar-SA"/>
              </w:rPr>
              <w:t>С.3. Забезпечення можливостей для активного відпочинку  та змістовного дозвілля мешканців громади;</w:t>
            </w:r>
          </w:p>
          <w:p w14:paraId="7114765D" w14:textId="77777777" w:rsidR="00A36EB4" w:rsidRPr="00C2587D" w:rsidRDefault="00A36EB4" w:rsidP="00150BEC">
            <w:pPr>
              <w:numPr>
                <w:ilvl w:val="0"/>
                <w:numId w:val="7"/>
              </w:numPr>
              <w:tabs>
                <w:tab w:val="left" w:pos="372"/>
              </w:tabs>
              <w:suppressAutoHyphens/>
              <w:spacing w:before="120"/>
              <w:rPr>
                <w:rFonts w:eastAsia="Lucida Sans Unicode" w:cs="Arial"/>
                <w:iCs/>
                <w:kern w:val="1"/>
                <w:szCs w:val="20"/>
                <w:lang w:eastAsia="ar-SA"/>
              </w:rPr>
            </w:pPr>
            <w:r w:rsidRPr="00C2587D">
              <w:rPr>
                <w:rFonts w:eastAsia="Lucida Sans Unicode" w:cs="Arial"/>
                <w:iCs/>
                <w:kern w:val="1"/>
                <w:szCs w:val="20"/>
                <w:lang w:eastAsia="ar-SA"/>
              </w:rPr>
              <w:t>С.4. Забезпечення високих стандартів надання якісних адміністративних та соціальних послуг;</w:t>
            </w:r>
          </w:p>
          <w:p w14:paraId="390DCD8A" w14:textId="5B30B947" w:rsidR="00A36EB4" w:rsidRPr="00C2587D" w:rsidRDefault="00A36EB4" w:rsidP="00150BEC">
            <w:pPr>
              <w:numPr>
                <w:ilvl w:val="0"/>
                <w:numId w:val="7"/>
              </w:numPr>
              <w:tabs>
                <w:tab w:val="left" w:pos="372"/>
              </w:tabs>
              <w:suppressAutoHyphens/>
              <w:spacing w:before="120"/>
              <w:rPr>
                <w:rFonts w:eastAsia="Lucida Sans Unicode" w:cs="Arial"/>
                <w:iCs/>
                <w:kern w:val="1"/>
                <w:szCs w:val="20"/>
                <w:lang w:eastAsia="ar-SA"/>
              </w:rPr>
            </w:pPr>
            <w:r w:rsidRPr="00C2587D">
              <w:rPr>
                <w:rFonts w:eastAsia="Lucida Sans Unicode" w:cs="Arial"/>
                <w:iCs/>
                <w:kern w:val="1"/>
                <w:szCs w:val="20"/>
                <w:lang w:eastAsia="ar-SA"/>
              </w:rPr>
              <w:t>С.5. Ефективне управління громадою</w:t>
            </w:r>
            <w:r w:rsidR="00BC53DB">
              <w:rPr>
                <w:rFonts w:eastAsia="Lucida Sans Unicode" w:cs="Arial"/>
                <w:iCs/>
                <w:kern w:val="1"/>
                <w:szCs w:val="20"/>
                <w:lang w:eastAsia="ar-SA"/>
              </w:rPr>
              <w:t>.</w:t>
            </w:r>
          </w:p>
        </w:tc>
      </w:tr>
    </w:tbl>
    <w:p w14:paraId="5DDE760B" w14:textId="77777777" w:rsidR="00A36EB4" w:rsidRPr="00C2587D" w:rsidRDefault="00A36EB4" w:rsidP="00A36EB4">
      <w:pPr>
        <w:suppressAutoHyphens/>
        <w:spacing w:before="120" w:after="120"/>
        <w:jc w:val="both"/>
        <w:rPr>
          <w:rFonts w:cs="Arial"/>
          <w:b/>
          <w:i/>
          <w:color w:val="455E63"/>
          <w:sz w:val="24"/>
          <w:szCs w:val="28"/>
          <w:lang w:eastAsia="ar-SA"/>
        </w:rPr>
      </w:pPr>
    </w:p>
    <w:p w14:paraId="3A637237" w14:textId="77777777" w:rsidR="00A36EB4" w:rsidRPr="00C2587D" w:rsidRDefault="00A36EB4" w:rsidP="00A36EB4">
      <w:pPr>
        <w:suppressAutoHyphens/>
        <w:spacing w:before="120" w:after="120"/>
        <w:jc w:val="both"/>
        <w:rPr>
          <w:rFonts w:cs="Arial"/>
          <w:b/>
          <w:i/>
          <w:color w:val="455E63"/>
          <w:sz w:val="24"/>
          <w:szCs w:val="28"/>
          <w:lang w:eastAsia="ar-SA"/>
        </w:rPr>
      </w:pPr>
    </w:p>
    <w:p w14:paraId="1421893E" w14:textId="77777777" w:rsidR="00A36EB4" w:rsidRPr="00C2587D" w:rsidRDefault="00A36EB4" w:rsidP="00A36EB4">
      <w:pPr>
        <w:suppressAutoHyphens/>
        <w:spacing w:before="120" w:after="120"/>
        <w:jc w:val="both"/>
        <w:rPr>
          <w:rFonts w:cs="Arial"/>
          <w:b/>
          <w:i/>
          <w:color w:val="455E63"/>
          <w:sz w:val="24"/>
          <w:szCs w:val="28"/>
          <w:lang w:eastAsia="ar-SA"/>
        </w:rPr>
      </w:pPr>
    </w:p>
    <w:p w14:paraId="659ABA28" w14:textId="77777777" w:rsidR="00A36EB4" w:rsidRPr="00C2587D" w:rsidRDefault="00A36EB4" w:rsidP="00A36EB4">
      <w:pPr>
        <w:rPr>
          <w:rFonts w:cs="Arial"/>
        </w:rPr>
      </w:pPr>
    </w:p>
    <w:p w14:paraId="7BE477EE" w14:textId="77777777" w:rsidR="00A36EB4" w:rsidRPr="00C2587D" w:rsidRDefault="00A36EB4" w:rsidP="00A36EB4">
      <w:pPr>
        <w:jc w:val="center"/>
        <w:rPr>
          <w:rFonts w:cs="Arial"/>
          <w:color w:val="000000"/>
          <w:szCs w:val="22"/>
          <w:lang w:eastAsia="uk-UA"/>
        </w:rPr>
        <w:sectPr w:rsidR="00A36EB4" w:rsidRPr="00C2587D" w:rsidSect="00C60A15">
          <w:headerReference w:type="even" r:id="rId20"/>
          <w:headerReference w:type="default" r:id="rId21"/>
          <w:footerReference w:type="even" r:id="rId22"/>
          <w:footerReference w:type="default" r:id="rId23"/>
          <w:pgSz w:w="11906" w:h="16838" w:code="9"/>
          <w:pgMar w:top="1134" w:right="1134" w:bottom="1134" w:left="1134" w:header="794" w:footer="794" w:gutter="0"/>
          <w:cols w:space="708"/>
          <w:docGrid w:linePitch="360"/>
        </w:sectPr>
      </w:pPr>
    </w:p>
    <w:p w14:paraId="06D9D8C8" w14:textId="77777777" w:rsidR="00A36EB4" w:rsidRPr="00C2587D" w:rsidRDefault="00A36EB4" w:rsidP="00A36EB4">
      <w:pPr>
        <w:keepNext/>
        <w:keepLines/>
        <w:tabs>
          <w:tab w:val="num" w:pos="567"/>
        </w:tabs>
        <w:suppressAutoHyphens/>
        <w:spacing w:before="120" w:after="120"/>
        <w:ind w:left="567" w:hanging="567"/>
        <w:rPr>
          <w:rFonts w:cs="Arial"/>
          <w:b/>
          <w:sz w:val="20"/>
          <w:szCs w:val="20"/>
          <w:lang w:eastAsia="en-US"/>
        </w:rPr>
      </w:pPr>
      <w:r w:rsidRPr="00C2587D">
        <w:rPr>
          <w:rFonts w:cs="Arial"/>
          <w:b/>
          <w:sz w:val="20"/>
          <w:szCs w:val="20"/>
          <w:lang w:eastAsia="en-US"/>
        </w:rPr>
        <w:lastRenderedPageBreak/>
        <w:t>Таблиця 3. Структура цілей стратегічного напрямку  С. Доступна громада</w:t>
      </w:r>
    </w:p>
    <w:tbl>
      <w:tblPr>
        <w:tblW w:w="150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3823"/>
        <w:gridCol w:w="8505"/>
      </w:tblGrid>
      <w:tr w:rsidR="00843713" w:rsidRPr="00C2587D" w14:paraId="3BC322A1" w14:textId="77777777" w:rsidTr="00843713">
        <w:trPr>
          <w:trHeight w:val="540"/>
        </w:trPr>
        <w:tc>
          <w:tcPr>
            <w:tcW w:w="2693" w:type="dxa"/>
            <w:shd w:val="clear" w:color="auto" w:fill="auto"/>
            <w:vAlign w:val="center"/>
          </w:tcPr>
          <w:p w14:paraId="2A021C07" w14:textId="77777777" w:rsidR="00843713" w:rsidRPr="00C2587D" w:rsidRDefault="00843713" w:rsidP="00A36EB4">
            <w:pPr>
              <w:jc w:val="center"/>
              <w:rPr>
                <w:rFonts w:cs="Arial"/>
                <w:b/>
                <w:color w:val="000000"/>
                <w:sz w:val="20"/>
                <w:szCs w:val="20"/>
                <w:lang w:eastAsia="uk-UA"/>
              </w:rPr>
            </w:pPr>
            <w:r w:rsidRPr="00C2587D">
              <w:rPr>
                <w:rFonts w:cs="Arial"/>
                <w:b/>
                <w:color w:val="000000"/>
                <w:sz w:val="20"/>
                <w:szCs w:val="20"/>
                <w:lang w:eastAsia="uk-UA"/>
              </w:rPr>
              <w:t>Стратегічні цілі</w:t>
            </w:r>
          </w:p>
        </w:tc>
        <w:tc>
          <w:tcPr>
            <w:tcW w:w="3823" w:type="dxa"/>
            <w:shd w:val="clear" w:color="auto" w:fill="auto"/>
            <w:vAlign w:val="center"/>
          </w:tcPr>
          <w:p w14:paraId="2DFA0F16" w14:textId="77777777" w:rsidR="00843713" w:rsidRPr="00C2587D" w:rsidRDefault="00843713" w:rsidP="00A36EB4">
            <w:pPr>
              <w:jc w:val="center"/>
              <w:rPr>
                <w:rFonts w:cs="Arial"/>
                <w:b/>
                <w:color w:val="000000"/>
                <w:sz w:val="20"/>
                <w:szCs w:val="20"/>
                <w:lang w:eastAsia="uk-UA"/>
              </w:rPr>
            </w:pPr>
            <w:r w:rsidRPr="00C2587D">
              <w:rPr>
                <w:rFonts w:cs="Arial"/>
                <w:b/>
                <w:color w:val="000000"/>
                <w:sz w:val="20"/>
                <w:szCs w:val="20"/>
                <w:lang w:eastAsia="uk-UA"/>
              </w:rPr>
              <w:t>Операційні цілі</w:t>
            </w:r>
          </w:p>
        </w:tc>
        <w:tc>
          <w:tcPr>
            <w:tcW w:w="8505" w:type="dxa"/>
            <w:shd w:val="clear" w:color="auto" w:fill="auto"/>
            <w:vAlign w:val="center"/>
          </w:tcPr>
          <w:p w14:paraId="6D2190F6" w14:textId="77777777" w:rsidR="00843713" w:rsidRPr="00C2587D" w:rsidRDefault="00843713" w:rsidP="00682193">
            <w:pPr>
              <w:jc w:val="center"/>
              <w:rPr>
                <w:rFonts w:cs="Arial"/>
                <w:b/>
                <w:color w:val="000000"/>
                <w:sz w:val="20"/>
                <w:szCs w:val="20"/>
                <w:lang w:eastAsia="uk-UA"/>
              </w:rPr>
            </w:pPr>
            <w:r w:rsidRPr="00C2587D">
              <w:rPr>
                <w:rFonts w:cs="Arial"/>
                <w:b/>
                <w:color w:val="000000"/>
                <w:sz w:val="20"/>
                <w:szCs w:val="20"/>
                <w:lang w:eastAsia="uk-UA"/>
              </w:rPr>
              <w:t>Завдання</w:t>
            </w:r>
          </w:p>
        </w:tc>
      </w:tr>
      <w:tr w:rsidR="00843713" w:rsidRPr="00C2587D" w14:paraId="30DCF95C" w14:textId="77777777" w:rsidTr="00987B8D">
        <w:trPr>
          <w:trHeight w:val="498"/>
        </w:trPr>
        <w:tc>
          <w:tcPr>
            <w:tcW w:w="2693" w:type="dxa"/>
            <w:vMerge w:val="restart"/>
            <w:vAlign w:val="center"/>
          </w:tcPr>
          <w:p w14:paraId="70ADDBBC" w14:textId="77777777" w:rsidR="00843713" w:rsidRPr="00C2587D" w:rsidRDefault="00843713" w:rsidP="00A36EB4">
            <w:pPr>
              <w:rPr>
                <w:rFonts w:cs="Arial"/>
                <w:color w:val="000000"/>
                <w:sz w:val="20"/>
                <w:szCs w:val="20"/>
                <w:lang w:eastAsia="uk-UA"/>
              </w:rPr>
            </w:pPr>
            <w:r w:rsidRPr="00C2587D">
              <w:rPr>
                <w:rFonts w:cs="Arial"/>
                <w:b/>
                <w:sz w:val="20"/>
                <w:szCs w:val="22"/>
                <w:lang w:eastAsia="uk-UA"/>
              </w:rPr>
              <w:t>С.1. Підвищення рівня надання освітніх послуг</w:t>
            </w:r>
          </w:p>
        </w:tc>
        <w:tc>
          <w:tcPr>
            <w:tcW w:w="3823" w:type="dxa"/>
            <w:vAlign w:val="center"/>
          </w:tcPr>
          <w:p w14:paraId="24ACDC18" w14:textId="3675FFF5" w:rsidR="00843713" w:rsidRPr="00987B8D" w:rsidRDefault="00843713" w:rsidP="00987B8D">
            <w:pPr>
              <w:widowControl w:val="0"/>
              <w:tabs>
                <w:tab w:val="left" w:pos="0"/>
                <w:tab w:val="left" w:pos="720"/>
              </w:tabs>
              <w:autoSpaceDE w:val="0"/>
              <w:autoSpaceDN w:val="0"/>
              <w:adjustRightInd w:val="0"/>
              <w:rPr>
                <w:rFonts w:cs="Arial"/>
                <w:bCs/>
                <w:sz w:val="20"/>
                <w:szCs w:val="20"/>
              </w:rPr>
            </w:pPr>
            <w:r w:rsidRPr="00C2587D">
              <w:rPr>
                <w:rFonts w:cs="Arial"/>
                <w:bCs/>
                <w:sz w:val="20"/>
                <w:szCs w:val="20"/>
              </w:rPr>
              <w:t>С.1.1. Створення  системи  конкурентоспроможної  освіти відповідно до потреб ринку праці та розвитку особистості</w:t>
            </w:r>
          </w:p>
        </w:tc>
        <w:tc>
          <w:tcPr>
            <w:tcW w:w="8505" w:type="dxa"/>
            <w:shd w:val="clear" w:color="auto" w:fill="auto"/>
          </w:tcPr>
          <w:p w14:paraId="16843C18" w14:textId="77777777" w:rsidR="00843713" w:rsidRPr="00C2587D" w:rsidRDefault="00843713" w:rsidP="00682193">
            <w:pPr>
              <w:jc w:val="both"/>
              <w:rPr>
                <w:rFonts w:cs="Arial"/>
                <w:sz w:val="20"/>
                <w:szCs w:val="20"/>
              </w:rPr>
            </w:pPr>
            <w:r w:rsidRPr="00C2587D">
              <w:rPr>
                <w:rFonts w:cs="Arial"/>
                <w:sz w:val="20"/>
                <w:szCs w:val="20"/>
              </w:rPr>
              <w:t>С.1.1.1. Забезпечення динамічного розвитку дошкільної, загальної середньої та позашкільної освіти.</w:t>
            </w:r>
          </w:p>
          <w:p w14:paraId="6A02211C" w14:textId="77777777" w:rsidR="00843713" w:rsidRPr="00C2587D" w:rsidRDefault="00843713" w:rsidP="00682193">
            <w:pPr>
              <w:jc w:val="both"/>
              <w:rPr>
                <w:rFonts w:cs="Arial"/>
                <w:sz w:val="20"/>
                <w:szCs w:val="20"/>
              </w:rPr>
            </w:pPr>
            <w:r w:rsidRPr="00C2587D">
              <w:rPr>
                <w:rFonts w:cs="Arial"/>
                <w:sz w:val="20"/>
                <w:szCs w:val="20"/>
              </w:rPr>
              <w:t>С.1.1.2. Розвиток освітньої інфраструктури територіальної громади відповідно до вимог часу.</w:t>
            </w:r>
          </w:p>
          <w:p w14:paraId="6EBD1872" w14:textId="77777777" w:rsidR="00843713" w:rsidRPr="00C2587D" w:rsidRDefault="00843713" w:rsidP="00682193">
            <w:pPr>
              <w:jc w:val="both"/>
              <w:rPr>
                <w:rFonts w:cs="Arial"/>
                <w:sz w:val="20"/>
                <w:szCs w:val="20"/>
              </w:rPr>
            </w:pPr>
            <w:r w:rsidRPr="00C2587D">
              <w:rPr>
                <w:rFonts w:cs="Arial"/>
                <w:sz w:val="20"/>
                <w:szCs w:val="20"/>
              </w:rPr>
              <w:t>С.1.1.3. Модернізація   навчально-методичної бази закладів освіти.</w:t>
            </w:r>
          </w:p>
          <w:p w14:paraId="675FAF1E" w14:textId="77777777" w:rsidR="00843713" w:rsidRPr="00C2587D" w:rsidRDefault="00843713" w:rsidP="00682193">
            <w:pPr>
              <w:jc w:val="both"/>
              <w:rPr>
                <w:rFonts w:cs="Arial"/>
                <w:sz w:val="20"/>
                <w:szCs w:val="20"/>
              </w:rPr>
            </w:pPr>
            <w:r w:rsidRPr="00C2587D">
              <w:rPr>
                <w:rFonts w:cs="Arial"/>
                <w:sz w:val="20"/>
                <w:szCs w:val="20"/>
              </w:rPr>
              <w:t>С.1.1.4. Діджиталізація освіти.</w:t>
            </w:r>
          </w:p>
          <w:p w14:paraId="5CCE0CB4" w14:textId="77777777" w:rsidR="00843713" w:rsidRPr="00C2587D" w:rsidRDefault="00843713" w:rsidP="00682193">
            <w:pPr>
              <w:jc w:val="both"/>
              <w:rPr>
                <w:rFonts w:cs="Arial"/>
                <w:sz w:val="20"/>
                <w:szCs w:val="20"/>
              </w:rPr>
            </w:pPr>
            <w:r w:rsidRPr="00C2587D">
              <w:rPr>
                <w:rFonts w:cs="Arial"/>
                <w:sz w:val="20"/>
                <w:szCs w:val="20"/>
              </w:rPr>
              <w:t xml:space="preserve">С.1.1.5. Стимулювання інноваційного розвитку освіти  Жмеринської міської ТГ.   </w:t>
            </w:r>
          </w:p>
          <w:p w14:paraId="67CA4A6D" w14:textId="77777777" w:rsidR="00843713" w:rsidRPr="00C2587D" w:rsidRDefault="00843713" w:rsidP="00682193">
            <w:pPr>
              <w:jc w:val="both"/>
              <w:rPr>
                <w:rFonts w:cs="Arial"/>
                <w:sz w:val="20"/>
                <w:szCs w:val="20"/>
              </w:rPr>
            </w:pPr>
            <w:r w:rsidRPr="00C2587D">
              <w:rPr>
                <w:rFonts w:cs="Arial"/>
                <w:sz w:val="20"/>
                <w:szCs w:val="20"/>
              </w:rPr>
              <w:t>С.1.1.6. Підвищення орієнтації  галузі освіти на потреби ринку праці.</w:t>
            </w:r>
          </w:p>
          <w:p w14:paraId="56962D29" w14:textId="77777777" w:rsidR="00843713" w:rsidRPr="00C2587D" w:rsidRDefault="00843713" w:rsidP="00682193">
            <w:pPr>
              <w:jc w:val="both"/>
              <w:rPr>
                <w:rFonts w:cs="Arial"/>
                <w:sz w:val="20"/>
                <w:szCs w:val="20"/>
              </w:rPr>
            </w:pPr>
            <w:r w:rsidRPr="00C2587D">
              <w:rPr>
                <w:rFonts w:cs="Arial"/>
                <w:sz w:val="20"/>
                <w:szCs w:val="20"/>
              </w:rPr>
              <w:t>С.1.1.7. Створення привабливих умов для залучення інвестицій в освіту ТГ та міжнародної донорської допомоги.</w:t>
            </w:r>
            <w:r w:rsidRPr="00C2587D">
              <w:rPr>
                <w:sz w:val="20"/>
                <w:szCs w:val="20"/>
              </w:rPr>
              <w:t xml:space="preserve"> </w:t>
            </w:r>
          </w:p>
          <w:p w14:paraId="5A4F5782" w14:textId="77777777" w:rsidR="00843713" w:rsidRPr="00C2587D" w:rsidRDefault="00843713" w:rsidP="00682193">
            <w:pPr>
              <w:jc w:val="both"/>
              <w:rPr>
                <w:rFonts w:cs="Arial"/>
                <w:color w:val="000000"/>
                <w:sz w:val="20"/>
                <w:szCs w:val="20"/>
                <w:lang w:eastAsia="uk-UA"/>
              </w:rPr>
            </w:pPr>
            <w:r w:rsidRPr="00C2587D">
              <w:rPr>
                <w:rFonts w:cs="Arial"/>
                <w:sz w:val="20"/>
                <w:szCs w:val="20"/>
              </w:rPr>
              <w:t>С.1.1.8. Розвиток та поглиблення міжнародного та міжрегіонального співробітництва в галузі освіти.</w:t>
            </w:r>
          </w:p>
        </w:tc>
      </w:tr>
      <w:tr w:rsidR="00843713" w:rsidRPr="00C2587D" w14:paraId="5C6ABD0A" w14:textId="77777777" w:rsidTr="00843713">
        <w:trPr>
          <w:trHeight w:val="504"/>
        </w:trPr>
        <w:tc>
          <w:tcPr>
            <w:tcW w:w="2693" w:type="dxa"/>
            <w:vMerge/>
            <w:vAlign w:val="center"/>
          </w:tcPr>
          <w:p w14:paraId="2C53E1AA" w14:textId="77777777" w:rsidR="00843713" w:rsidRPr="00C2587D" w:rsidRDefault="00843713" w:rsidP="00A36EB4">
            <w:pPr>
              <w:rPr>
                <w:rFonts w:cs="Arial"/>
                <w:color w:val="000000"/>
                <w:sz w:val="20"/>
                <w:szCs w:val="20"/>
                <w:lang w:eastAsia="uk-UA"/>
              </w:rPr>
            </w:pPr>
          </w:p>
        </w:tc>
        <w:tc>
          <w:tcPr>
            <w:tcW w:w="3823" w:type="dxa"/>
            <w:vAlign w:val="center"/>
          </w:tcPr>
          <w:p w14:paraId="68491924" w14:textId="7E17FC75" w:rsidR="00843713" w:rsidRPr="00C2587D" w:rsidRDefault="00843713" w:rsidP="00A36EB4">
            <w:pPr>
              <w:rPr>
                <w:rFonts w:cs="Arial"/>
                <w:bCs/>
                <w:color w:val="000000"/>
                <w:sz w:val="20"/>
                <w:szCs w:val="20"/>
                <w:lang w:eastAsia="uk-UA"/>
              </w:rPr>
            </w:pPr>
            <w:r w:rsidRPr="00C2587D">
              <w:rPr>
                <w:rFonts w:cs="Arial"/>
                <w:bCs/>
                <w:sz w:val="20"/>
                <w:szCs w:val="20"/>
                <w:lang w:eastAsia="uk-UA"/>
              </w:rPr>
              <w:t>С.1.2. Забезпечення комфортних і безпечних умов навчання та праці</w:t>
            </w:r>
          </w:p>
        </w:tc>
        <w:tc>
          <w:tcPr>
            <w:tcW w:w="8505" w:type="dxa"/>
            <w:shd w:val="clear" w:color="auto" w:fill="auto"/>
          </w:tcPr>
          <w:p w14:paraId="57565D0F" w14:textId="77777777" w:rsidR="00843713" w:rsidRPr="00C2587D" w:rsidRDefault="00843713" w:rsidP="00682193">
            <w:pPr>
              <w:jc w:val="both"/>
              <w:rPr>
                <w:rFonts w:cs="Arial"/>
                <w:sz w:val="20"/>
                <w:szCs w:val="20"/>
              </w:rPr>
            </w:pPr>
            <w:r w:rsidRPr="00C2587D">
              <w:rPr>
                <w:rFonts w:cs="Arial"/>
                <w:sz w:val="20"/>
                <w:szCs w:val="20"/>
              </w:rPr>
              <w:t>С.1.2.1. Підвищення рівня громадської безпеки в закладах освіти.</w:t>
            </w:r>
          </w:p>
          <w:p w14:paraId="273CE044" w14:textId="77777777" w:rsidR="00843713" w:rsidRPr="00C2587D" w:rsidRDefault="00843713" w:rsidP="00682193">
            <w:pPr>
              <w:jc w:val="both"/>
              <w:rPr>
                <w:rFonts w:cs="Arial"/>
                <w:sz w:val="20"/>
                <w:szCs w:val="20"/>
              </w:rPr>
            </w:pPr>
            <w:r w:rsidRPr="00C2587D">
              <w:rPr>
                <w:rFonts w:cs="Arial"/>
                <w:sz w:val="20"/>
                <w:szCs w:val="20"/>
              </w:rPr>
              <w:t>С.1.2.2. Створення освітнього середовища, вільного від будь-яких форм насильства та дискримінації.</w:t>
            </w:r>
          </w:p>
          <w:p w14:paraId="6574660B" w14:textId="77777777" w:rsidR="00843713" w:rsidRPr="00C2587D" w:rsidRDefault="00843713" w:rsidP="00682193">
            <w:pPr>
              <w:jc w:val="both"/>
              <w:rPr>
                <w:rFonts w:cs="Arial"/>
                <w:sz w:val="20"/>
                <w:szCs w:val="20"/>
              </w:rPr>
            </w:pPr>
            <w:r w:rsidRPr="00C2587D">
              <w:rPr>
                <w:rFonts w:cs="Arial"/>
                <w:sz w:val="20"/>
                <w:szCs w:val="20"/>
              </w:rPr>
              <w:t>С.1.2.3. Інтернет безпека та медіа грамотність.</w:t>
            </w:r>
          </w:p>
          <w:p w14:paraId="3D7BAFEE" w14:textId="77777777" w:rsidR="00843713" w:rsidRPr="00C2587D" w:rsidRDefault="00843713" w:rsidP="00682193">
            <w:pPr>
              <w:jc w:val="both"/>
              <w:rPr>
                <w:rFonts w:cs="Arial"/>
                <w:sz w:val="20"/>
                <w:szCs w:val="20"/>
              </w:rPr>
            </w:pPr>
            <w:r w:rsidRPr="00C2587D">
              <w:rPr>
                <w:rFonts w:cs="Arial"/>
                <w:sz w:val="20"/>
                <w:szCs w:val="20"/>
              </w:rPr>
              <w:t>С.1.2.4. Підвищення рівня санітарної безпеки закладів освіти.</w:t>
            </w:r>
          </w:p>
          <w:p w14:paraId="4D190192" w14:textId="77777777" w:rsidR="00843713" w:rsidRPr="00C2587D" w:rsidRDefault="00843713" w:rsidP="00682193">
            <w:pPr>
              <w:jc w:val="both"/>
              <w:rPr>
                <w:rFonts w:cs="Arial"/>
                <w:sz w:val="20"/>
                <w:szCs w:val="20"/>
              </w:rPr>
            </w:pPr>
            <w:r w:rsidRPr="00C2587D">
              <w:rPr>
                <w:rFonts w:cs="Arial"/>
                <w:sz w:val="20"/>
                <w:szCs w:val="20"/>
              </w:rPr>
              <w:t>С.1.2.5. Підвищення рівня безпечності та якості організації харчування, створення умов для здорового способу життя.</w:t>
            </w:r>
          </w:p>
          <w:p w14:paraId="535E1C26" w14:textId="77777777" w:rsidR="00843713" w:rsidRPr="00C2587D" w:rsidRDefault="00843713" w:rsidP="00682193">
            <w:pPr>
              <w:jc w:val="both"/>
              <w:rPr>
                <w:rFonts w:cs="Arial"/>
                <w:color w:val="000000"/>
                <w:sz w:val="20"/>
                <w:szCs w:val="20"/>
                <w:lang w:eastAsia="uk-UA"/>
              </w:rPr>
            </w:pPr>
            <w:r w:rsidRPr="00C2587D">
              <w:rPr>
                <w:rFonts w:cs="Arial"/>
                <w:sz w:val="20"/>
                <w:szCs w:val="20"/>
              </w:rPr>
              <w:t>С.1.2.6. Удосконалення екологічної політики та підвищення рівня екологічної безпеки закладів освіти.</w:t>
            </w:r>
          </w:p>
        </w:tc>
      </w:tr>
      <w:tr w:rsidR="00843713" w:rsidRPr="00C2587D" w14:paraId="142344F5" w14:textId="77777777" w:rsidTr="00843713">
        <w:trPr>
          <w:trHeight w:val="564"/>
        </w:trPr>
        <w:tc>
          <w:tcPr>
            <w:tcW w:w="2693" w:type="dxa"/>
            <w:vMerge/>
            <w:vAlign w:val="center"/>
          </w:tcPr>
          <w:p w14:paraId="701C568D" w14:textId="77777777" w:rsidR="00843713" w:rsidRPr="00C2587D" w:rsidRDefault="00843713" w:rsidP="00A36EB4">
            <w:pPr>
              <w:rPr>
                <w:rFonts w:cs="Arial"/>
                <w:color w:val="000000"/>
                <w:sz w:val="20"/>
                <w:szCs w:val="20"/>
                <w:lang w:eastAsia="uk-UA"/>
              </w:rPr>
            </w:pPr>
          </w:p>
        </w:tc>
        <w:tc>
          <w:tcPr>
            <w:tcW w:w="3823" w:type="dxa"/>
            <w:vAlign w:val="center"/>
          </w:tcPr>
          <w:p w14:paraId="5EEDF605" w14:textId="0304E673" w:rsidR="00843713" w:rsidRPr="00C2587D" w:rsidRDefault="00843713" w:rsidP="00A36EB4">
            <w:pPr>
              <w:rPr>
                <w:rFonts w:cs="Arial"/>
                <w:bCs/>
                <w:color w:val="000000"/>
                <w:sz w:val="20"/>
                <w:szCs w:val="20"/>
                <w:lang w:eastAsia="uk-UA"/>
              </w:rPr>
            </w:pPr>
            <w:r w:rsidRPr="00C2587D">
              <w:rPr>
                <w:rFonts w:cs="Arial"/>
                <w:bCs/>
                <w:sz w:val="20"/>
                <w:szCs w:val="20"/>
              </w:rPr>
              <w:t>С.1.3. Забезпечення якості освіти та освітньої діяльності</w:t>
            </w:r>
          </w:p>
        </w:tc>
        <w:tc>
          <w:tcPr>
            <w:tcW w:w="8505" w:type="dxa"/>
            <w:shd w:val="clear" w:color="auto" w:fill="auto"/>
          </w:tcPr>
          <w:p w14:paraId="6A04127A" w14:textId="77777777" w:rsidR="00843713" w:rsidRPr="00C2587D" w:rsidRDefault="00843713" w:rsidP="00682193">
            <w:pPr>
              <w:jc w:val="both"/>
              <w:rPr>
                <w:rFonts w:cs="Arial"/>
                <w:sz w:val="20"/>
                <w:szCs w:val="20"/>
              </w:rPr>
            </w:pPr>
            <w:r w:rsidRPr="00C2587D">
              <w:rPr>
                <w:rFonts w:cs="Arial"/>
                <w:sz w:val="20"/>
                <w:szCs w:val="20"/>
              </w:rPr>
              <w:t>С.1.3.1. Забезпечення доступу до якісних освітніх послуг в тому числі для дітей з особливими освітніми потребами.</w:t>
            </w:r>
          </w:p>
          <w:p w14:paraId="3945CB68" w14:textId="77777777" w:rsidR="00843713" w:rsidRPr="00C2587D" w:rsidRDefault="00843713" w:rsidP="00682193">
            <w:pPr>
              <w:jc w:val="both"/>
              <w:rPr>
                <w:rFonts w:cs="Arial"/>
                <w:sz w:val="20"/>
                <w:szCs w:val="20"/>
              </w:rPr>
            </w:pPr>
            <w:r w:rsidRPr="00C2587D">
              <w:rPr>
                <w:rFonts w:cs="Arial"/>
                <w:sz w:val="20"/>
                <w:szCs w:val="20"/>
              </w:rPr>
              <w:t>С.1.3.2. Запровадження в освітній процес закладів освіти інновацій, в тому числі інформаційно-комунікаційних та «Smart» технологій.</w:t>
            </w:r>
          </w:p>
          <w:p w14:paraId="45991CA3" w14:textId="77777777" w:rsidR="00843713" w:rsidRPr="00C2587D" w:rsidRDefault="00843713" w:rsidP="00682193">
            <w:pPr>
              <w:jc w:val="both"/>
              <w:rPr>
                <w:rFonts w:cs="Arial"/>
                <w:sz w:val="20"/>
                <w:szCs w:val="20"/>
              </w:rPr>
            </w:pPr>
            <w:r w:rsidRPr="00C2587D">
              <w:rPr>
                <w:rFonts w:cs="Arial"/>
                <w:sz w:val="20"/>
                <w:szCs w:val="20"/>
              </w:rPr>
              <w:t>С.1.3.3. Формування  відкритої, прозорої системи оцінювання навчальних досягнень.</w:t>
            </w:r>
          </w:p>
          <w:p w14:paraId="1DEC7A79" w14:textId="77777777" w:rsidR="00843713" w:rsidRPr="00C2587D" w:rsidRDefault="00843713" w:rsidP="00682193">
            <w:pPr>
              <w:jc w:val="both"/>
              <w:rPr>
                <w:rFonts w:cs="Arial"/>
                <w:color w:val="000000"/>
                <w:sz w:val="20"/>
                <w:szCs w:val="20"/>
                <w:lang w:eastAsia="uk-UA"/>
              </w:rPr>
            </w:pPr>
            <w:r w:rsidRPr="00C2587D">
              <w:rPr>
                <w:rFonts w:cs="Arial"/>
                <w:sz w:val="20"/>
                <w:szCs w:val="20"/>
              </w:rPr>
              <w:t>С.1.3.4. Створення нового освітнього простору як необхідної передумови підвищення якості освіти.</w:t>
            </w:r>
          </w:p>
        </w:tc>
      </w:tr>
      <w:tr w:rsidR="00843713" w:rsidRPr="00C2587D" w14:paraId="4AC55D0A" w14:textId="77777777" w:rsidTr="00843713">
        <w:trPr>
          <w:trHeight w:val="468"/>
        </w:trPr>
        <w:tc>
          <w:tcPr>
            <w:tcW w:w="2693" w:type="dxa"/>
            <w:vMerge/>
            <w:vAlign w:val="center"/>
          </w:tcPr>
          <w:p w14:paraId="68BB6EF2" w14:textId="77777777" w:rsidR="00843713" w:rsidRPr="00C2587D" w:rsidRDefault="00843713" w:rsidP="00A36EB4">
            <w:pPr>
              <w:rPr>
                <w:rFonts w:cs="Arial"/>
                <w:color w:val="000000"/>
                <w:sz w:val="20"/>
                <w:szCs w:val="20"/>
                <w:lang w:eastAsia="uk-UA"/>
              </w:rPr>
            </w:pPr>
          </w:p>
        </w:tc>
        <w:tc>
          <w:tcPr>
            <w:tcW w:w="3823" w:type="dxa"/>
            <w:vAlign w:val="center"/>
          </w:tcPr>
          <w:p w14:paraId="76D0A0B3" w14:textId="67ADBA44" w:rsidR="00843713" w:rsidRPr="00987B8D" w:rsidRDefault="00843713" w:rsidP="00987B8D">
            <w:pPr>
              <w:widowControl w:val="0"/>
              <w:tabs>
                <w:tab w:val="left" w:pos="0"/>
                <w:tab w:val="left" w:pos="720"/>
              </w:tabs>
              <w:autoSpaceDE w:val="0"/>
              <w:autoSpaceDN w:val="0"/>
              <w:adjustRightInd w:val="0"/>
              <w:rPr>
                <w:rFonts w:cs="Arial"/>
                <w:bCs/>
                <w:sz w:val="20"/>
                <w:szCs w:val="20"/>
              </w:rPr>
            </w:pPr>
            <w:r w:rsidRPr="00C2587D">
              <w:rPr>
                <w:rFonts w:cs="Arial"/>
                <w:bCs/>
                <w:sz w:val="20"/>
                <w:szCs w:val="20"/>
              </w:rPr>
              <w:t>С.1.4. Ефективне управління в галузі освіти</w:t>
            </w:r>
          </w:p>
        </w:tc>
        <w:tc>
          <w:tcPr>
            <w:tcW w:w="8505" w:type="dxa"/>
            <w:shd w:val="clear" w:color="auto" w:fill="auto"/>
          </w:tcPr>
          <w:p w14:paraId="3CB1F3FB" w14:textId="77777777" w:rsidR="00843713" w:rsidRPr="00C2587D" w:rsidRDefault="00843713" w:rsidP="00682193">
            <w:pPr>
              <w:jc w:val="both"/>
              <w:rPr>
                <w:rFonts w:cs="Arial"/>
                <w:sz w:val="20"/>
                <w:szCs w:val="20"/>
              </w:rPr>
            </w:pPr>
            <w:r w:rsidRPr="00C2587D">
              <w:rPr>
                <w:rFonts w:cs="Arial"/>
                <w:sz w:val="20"/>
                <w:szCs w:val="20"/>
              </w:rPr>
              <w:t>С.1.4.1. Здійснення заходів щодо реорганізації  системи управління, фінансування та менеджменту освіти.</w:t>
            </w:r>
          </w:p>
          <w:p w14:paraId="11E9AEE4" w14:textId="77777777" w:rsidR="00843713" w:rsidRPr="00C2587D" w:rsidRDefault="00843713" w:rsidP="00682193">
            <w:pPr>
              <w:jc w:val="both"/>
              <w:rPr>
                <w:rFonts w:cs="Arial"/>
                <w:sz w:val="20"/>
                <w:szCs w:val="20"/>
              </w:rPr>
            </w:pPr>
            <w:r w:rsidRPr="00C2587D">
              <w:rPr>
                <w:rFonts w:cs="Arial"/>
                <w:sz w:val="20"/>
                <w:szCs w:val="20"/>
              </w:rPr>
              <w:t>С.1.4.2. Ефективне управління освітньої мережею, що забезпечує доступ до якісної освіти на всіх її рівнях.</w:t>
            </w:r>
          </w:p>
          <w:p w14:paraId="4CE717FA" w14:textId="77777777" w:rsidR="00843713" w:rsidRPr="00C2587D" w:rsidRDefault="00843713" w:rsidP="00682193">
            <w:pPr>
              <w:jc w:val="both"/>
              <w:rPr>
                <w:rFonts w:cs="Arial"/>
                <w:sz w:val="20"/>
                <w:szCs w:val="20"/>
              </w:rPr>
            </w:pPr>
            <w:r w:rsidRPr="00C2587D">
              <w:rPr>
                <w:rFonts w:cs="Arial"/>
                <w:sz w:val="20"/>
                <w:szCs w:val="20"/>
              </w:rPr>
              <w:t>С.1.4.3. Впровадження сучасних інформаційно-цифрових технологій управління освітою.</w:t>
            </w:r>
          </w:p>
          <w:p w14:paraId="588F9FAB" w14:textId="77777777" w:rsidR="00843713" w:rsidRPr="00C2587D" w:rsidRDefault="00843713" w:rsidP="00682193">
            <w:pPr>
              <w:jc w:val="both"/>
              <w:rPr>
                <w:rFonts w:cs="Arial"/>
                <w:sz w:val="20"/>
                <w:szCs w:val="20"/>
              </w:rPr>
            </w:pPr>
            <w:r w:rsidRPr="00C2587D">
              <w:rPr>
                <w:rFonts w:cs="Arial"/>
                <w:sz w:val="20"/>
                <w:szCs w:val="20"/>
              </w:rPr>
              <w:t>С.1.4.4. Кадровий менеджмент та забезпечення можливостей для професійного зростання педагогів.</w:t>
            </w:r>
          </w:p>
          <w:p w14:paraId="18ED58C3" w14:textId="77777777" w:rsidR="00843713" w:rsidRPr="00C2587D" w:rsidRDefault="00843713" w:rsidP="00682193">
            <w:pPr>
              <w:jc w:val="both"/>
              <w:rPr>
                <w:rFonts w:cs="Arial"/>
                <w:sz w:val="20"/>
                <w:szCs w:val="20"/>
              </w:rPr>
            </w:pPr>
            <w:r w:rsidRPr="00C2587D">
              <w:rPr>
                <w:rFonts w:cs="Arial"/>
                <w:sz w:val="20"/>
                <w:szCs w:val="20"/>
              </w:rPr>
              <w:t>С.1.4.5. Формування та розвиток спроможної освітньої мережі, що забезпечує рівний доступ до якісної освіти на всіх її рівнях для всієї громади</w:t>
            </w:r>
            <w:r w:rsidRPr="00C2587D">
              <w:rPr>
                <w:rFonts w:cs="Arial"/>
                <w:i/>
                <w:sz w:val="20"/>
                <w:szCs w:val="20"/>
              </w:rPr>
              <w:t>.</w:t>
            </w:r>
          </w:p>
          <w:p w14:paraId="6472EB0F" w14:textId="77777777" w:rsidR="00843713" w:rsidRPr="00C2587D" w:rsidRDefault="00843713" w:rsidP="00682193">
            <w:pPr>
              <w:jc w:val="both"/>
              <w:rPr>
                <w:rFonts w:cs="Arial"/>
                <w:sz w:val="20"/>
                <w:szCs w:val="20"/>
              </w:rPr>
            </w:pPr>
            <w:r w:rsidRPr="00C2587D">
              <w:rPr>
                <w:rFonts w:cs="Arial"/>
                <w:sz w:val="20"/>
                <w:szCs w:val="20"/>
              </w:rPr>
              <w:lastRenderedPageBreak/>
              <w:t>С.1.4.6. Забезпечення системності та безперервності надання освітніх послуг (дошкільна, загальна середня та позашкільна освіта).</w:t>
            </w:r>
          </w:p>
          <w:p w14:paraId="27B07D76" w14:textId="77777777" w:rsidR="00843713" w:rsidRPr="00C2587D" w:rsidRDefault="00843713" w:rsidP="00682193">
            <w:pPr>
              <w:jc w:val="both"/>
              <w:rPr>
                <w:rFonts w:cs="Arial"/>
                <w:sz w:val="20"/>
                <w:szCs w:val="20"/>
              </w:rPr>
            </w:pPr>
            <w:r w:rsidRPr="00C2587D">
              <w:rPr>
                <w:rFonts w:cs="Arial"/>
                <w:sz w:val="20"/>
                <w:szCs w:val="20"/>
              </w:rPr>
              <w:t>С.1.4.7. Ефективне використання ресурсів (кадрових, інфраструктурних, фінансових, матеріально-технічних тощо).</w:t>
            </w:r>
          </w:p>
          <w:p w14:paraId="38C9D7A2" w14:textId="77777777" w:rsidR="00843713" w:rsidRPr="00C2587D" w:rsidRDefault="00843713" w:rsidP="00682193">
            <w:pPr>
              <w:widowControl w:val="0"/>
              <w:jc w:val="both"/>
              <w:rPr>
                <w:rFonts w:cs="Arial"/>
                <w:sz w:val="20"/>
                <w:szCs w:val="20"/>
              </w:rPr>
            </w:pPr>
            <w:r w:rsidRPr="00C2587D">
              <w:rPr>
                <w:rFonts w:cs="Arial"/>
                <w:sz w:val="20"/>
                <w:szCs w:val="20"/>
              </w:rPr>
              <w:t xml:space="preserve">С.1.4.8. </w:t>
            </w:r>
            <w:r w:rsidRPr="00C2587D">
              <w:rPr>
                <w:rFonts w:cs="Arial"/>
                <w:sz w:val="20"/>
                <w:szCs w:val="20"/>
                <w:lang w:eastAsia="uk-UA"/>
              </w:rPr>
              <w:t>Створення в закладах дошкільної, загальної середньої, позашкільної освіти умов для перебування, виховання та навчання дітей з особливими освітніми потребами (їх соціальний супровід).</w:t>
            </w:r>
          </w:p>
          <w:p w14:paraId="32622B6F" w14:textId="77777777" w:rsidR="00843713" w:rsidRPr="00C2587D" w:rsidRDefault="00843713" w:rsidP="00682193">
            <w:pPr>
              <w:widowControl w:val="0"/>
              <w:jc w:val="both"/>
              <w:rPr>
                <w:rFonts w:cs="Arial"/>
                <w:sz w:val="20"/>
                <w:szCs w:val="20"/>
              </w:rPr>
            </w:pPr>
            <w:r w:rsidRPr="00C2587D">
              <w:rPr>
                <w:rFonts w:cs="Arial"/>
                <w:sz w:val="20"/>
                <w:szCs w:val="20"/>
              </w:rPr>
              <w:t>С.1.4.9. Створення рівних умов розвитку закладів освіти всіх форм власності.</w:t>
            </w:r>
          </w:p>
          <w:p w14:paraId="7B290308" w14:textId="77777777" w:rsidR="00843713" w:rsidRPr="00C2587D" w:rsidRDefault="00843713" w:rsidP="00682193">
            <w:pPr>
              <w:widowControl w:val="0"/>
              <w:jc w:val="both"/>
              <w:rPr>
                <w:rFonts w:cs="Arial"/>
                <w:sz w:val="20"/>
                <w:szCs w:val="20"/>
              </w:rPr>
            </w:pPr>
            <w:r w:rsidRPr="00C2587D">
              <w:rPr>
                <w:rFonts w:cs="Arial"/>
                <w:sz w:val="20"/>
                <w:szCs w:val="20"/>
              </w:rPr>
              <w:t>С.1.4.10. Забезпечення належного та безпечного підвезення учнів та учителів.</w:t>
            </w:r>
          </w:p>
          <w:p w14:paraId="6F665592" w14:textId="77777777" w:rsidR="00843713" w:rsidRPr="00C2587D" w:rsidRDefault="00843713" w:rsidP="00682193">
            <w:pPr>
              <w:widowControl w:val="0"/>
              <w:jc w:val="both"/>
              <w:rPr>
                <w:rFonts w:cs="Arial"/>
                <w:sz w:val="20"/>
                <w:szCs w:val="20"/>
              </w:rPr>
            </w:pPr>
            <w:r w:rsidRPr="00C2587D">
              <w:rPr>
                <w:rFonts w:cs="Arial"/>
                <w:sz w:val="20"/>
                <w:szCs w:val="20"/>
              </w:rPr>
              <w:t>С.1.4.11. Ефективне використання ресурсів (кадрових, інфраструктурних, фінансових.</w:t>
            </w:r>
          </w:p>
          <w:p w14:paraId="10D4B235" w14:textId="167310D1" w:rsidR="00843713" w:rsidRPr="00C2587D" w:rsidRDefault="00843713" w:rsidP="00682193">
            <w:pPr>
              <w:widowControl w:val="0"/>
              <w:jc w:val="both"/>
              <w:rPr>
                <w:rFonts w:cs="Arial"/>
                <w:color w:val="000000"/>
                <w:sz w:val="20"/>
                <w:szCs w:val="20"/>
                <w:lang w:eastAsia="uk-UA"/>
              </w:rPr>
            </w:pPr>
            <w:r w:rsidRPr="00C2587D">
              <w:rPr>
                <w:rFonts w:cs="Arial"/>
                <w:sz w:val="20"/>
                <w:szCs w:val="20"/>
              </w:rPr>
              <w:t xml:space="preserve">С.1.4.12. Впровадження профільної освіти </w:t>
            </w:r>
            <w:r w:rsidRPr="00C2587D">
              <w:rPr>
                <w:rFonts w:cs="Arial"/>
                <w:iCs/>
                <w:sz w:val="20"/>
                <w:szCs w:val="20"/>
              </w:rPr>
              <w:t>академічного спрямування із поглибленим вивченням окремих предметів з орієнтацією на продовження навчання у закладах вищої освіти</w:t>
            </w:r>
            <w:r w:rsidRPr="00C2587D">
              <w:rPr>
                <w:rFonts w:cs="Arial"/>
                <w:i/>
                <w:iCs/>
                <w:sz w:val="20"/>
                <w:szCs w:val="20"/>
              </w:rPr>
              <w:t>.</w:t>
            </w:r>
            <w:r w:rsidRPr="00C2587D">
              <w:rPr>
                <w:rFonts w:cs="Arial"/>
                <w:sz w:val="20"/>
                <w:szCs w:val="20"/>
              </w:rPr>
              <w:t xml:space="preserve">  </w:t>
            </w:r>
          </w:p>
        </w:tc>
      </w:tr>
      <w:tr w:rsidR="00843713" w:rsidRPr="00C2587D" w14:paraId="297B5CCA" w14:textId="77777777" w:rsidTr="00843713">
        <w:trPr>
          <w:trHeight w:val="648"/>
        </w:trPr>
        <w:tc>
          <w:tcPr>
            <w:tcW w:w="2693" w:type="dxa"/>
            <w:vMerge w:val="restart"/>
            <w:vAlign w:val="center"/>
          </w:tcPr>
          <w:p w14:paraId="60ED6DD0" w14:textId="77777777" w:rsidR="00843713" w:rsidRPr="00C2587D" w:rsidRDefault="00843713" w:rsidP="00A36EB4">
            <w:pPr>
              <w:rPr>
                <w:rFonts w:cs="Arial"/>
                <w:color w:val="000000"/>
                <w:sz w:val="20"/>
                <w:szCs w:val="20"/>
                <w:lang w:eastAsia="uk-UA"/>
              </w:rPr>
            </w:pPr>
            <w:r w:rsidRPr="00C2587D">
              <w:rPr>
                <w:rFonts w:cs="Arial"/>
                <w:b/>
                <w:sz w:val="20"/>
                <w:szCs w:val="22"/>
                <w:lang w:eastAsia="uk-UA"/>
              </w:rPr>
              <w:lastRenderedPageBreak/>
              <w:t>С.2. Забезпечення доступу до якісної системи охорони здоров’я</w:t>
            </w:r>
          </w:p>
          <w:p w14:paraId="0F9AB3FC" w14:textId="77777777" w:rsidR="00843713" w:rsidRPr="00C2587D" w:rsidRDefault="00843713" w:rsidP="00A36EB4">
            <w:pPr>
              <w:rPr>
                <w:rFonts w:cs="Arial"/>
                <w:color w:val="000000"/>
                <w:sz w:val="20"/>
                <w:szCs w:val="20"/>
                <w:lang w:eastAsia="uk-UA"/>
              </w:rPr>
            </w:pPr>
          </w:p>
        </w:tc>
        <w:tc>
          <w:tcPr>
            <w:tcW w:w="3823" w:type="dxa"/>
            <w:vAlign w:val="center"/>
          </w:tcPr>
          <w:p w14:paraId="3CF781D8" w14:textId="77777777" w:rsidR="00843713" w:rsidRPr="00C2587D" w:rsidRDefault="00843713" w:rsidP="00A36EB4">
            <w:pPr>
              <w:rPr>
                <w:rFonts w:cs="Arial"/>
                <w:bCs/>
                <w:color w:val="000000"/>
                <w:sz w:val="20"/>
                <w:szCs w:val="20"/>
                <w:lang w:eastAsia="uk-UA"/>
              </w:rPr>
            </w:pPr>
            <w:r w:rsidRPr="00C2587D">
              <w:rPr>
                <w:rFonts w:cs="Arial"/>
                <w:bCs/>
                <w:sz w:val="20"/>
                <w:szCs w:val="20"/>
              </w:rPr>
              <w:t>С.2.1. Створення ефективної системи надання первинної медико-санітарної допомоги</w:t>
            </w:r>
          </w:p>
        </w:tc>
        <w:tc>
          <w:tcPr>
            <w:tcW w:w="8505" w:type="dxa"/>
            <w:shd w:val="clear" w:color="auto" w:fill="auto"/>
          </w:tcPr>
          <w:p w14:paraId="7E3D1741" w14:textId="77777777" w:rsidR="00843713" w:rsidRPr="00C2587D" w:rsidRDefault="00843713" w:rsidP="00682193">
            <w:pPr>
              <w:jc w:val="both"/>
              <w:rPr>
                <w:rFonts w:cs="Arial"/>
                <w:sz w:val="20"/>
                <w:szCs w:val="20"/>
              </w:rPr>
            </w:pPr>
            <w:r w:rsidRPr="00C2587D">
              <w:rPr>
                <w:rFonts w:cs="Arial"/>
                <w:sz w:val="20"/>
                <w:szCs w:val="20"/>
                <w:lang w:eastAsia="en-US"/>
              </w:rPr>
              <w:t>С.2.1.1. Створення ефективної структури та управління ЦПМСД на принцип доступності (амбулаторії, матеріально-технічне забезпечення, забезпечення персоналом).</w:t>
            </w:r>
          </w:p>
          <w:p w14:paraId="08B20603" w14:textId="77777777" w:rsidR="00843713" w:rsidRPr="00C2587D" w:rsidRDefault="00843713" w:rsidP="00682193">
            <w:pPr>
              <w:jc w:val="both"/>
              <w:rPr>
                <w:rFonts w:cs="Arial"/>
                <w:sz w:val="20"/>
                <w:szCs w:val="20"/>
              </w:rPr>
            </w:pPr>
            <w:r w:rsidRPr="00C2587D">
              <w:rPr>
                <w:rFonts w:cs="Arial"/>
                <w:sz w:val="20"/>
                <w:szCs w:val="20"/>
                <w:lang w:eastAsia="en-US"/>
              </w:rPr>
              <w:t>С.2.1.2. Забезпечення кадрами, перепідготовка та підвищення кваліфікації кадрів (лікар ПМД – сімейний лікар).</w:t>
            </w:r>
          </w:p>
          <w:p w14:paraId="309D5C0F" w14:textId="77777777" w:rsidR="00843713" w:rsidRPr="00C2587D" w:rsidRDefault="00843713" w:rsidP="00682193">
            <w:pPr>
              <w:jc w:val="both"/>
              <w:rPr>
                <w:rFonts w:cs="Arial"/>
                <w:sz w:val="20"/>
                <w:szCs w:val="20"/>
              </w:rPr>
            </w:pPr>
            <w:r w:rsidRPr="00C2587D">
              <w:rPr>
                <w:rFonts w:cs="Arial"/>
                <w:sz w:val="20"/>
                <w:szCs w:val="20"/>
                <w:lang w:eastAsia="en-US"/>
              </w:rPr>
              <w:t>С.2.1.3. Осучаснення сервісу, орієнтованого на потреби пацієнта, запровадження стандартів пацієнтського сервісу.</w:t>
            </w:r>
          </w:p>
          <w:p w14:paraId="1FE1836B" w14:textId="77777777" w:rsidR="00843713" w:rsidRPr="00C2587D" w:rsidRDefault="00843713" w:rsidP="00682193">
            <w:pPr>
              <w:jc w:val="both"/>
              <w:rPr>
                <w:rFonts w:cs="Arial"/>
                <w:color w:val="000000"/>
                <w:sz w:val="20"/>
                <w:szCs w:val="20"/>
                <w:lang w:eastAsia="uk-UA"/>
              </w:rPr>
            </w:pPr>
            <w:r w:rsidRPr="00C2587D">
              <w:rPr>
                <w:rFonts w:cs="Arial"/>
                <w:sz w:val="20"/>
                <w:szCs w:val="20"/>
                <w:lang w:eastAsia="en-US"/>
              </w:rPr>
              <w:t>С.2.1.4. Обладнання відкритого та комфортного простору рецепцій, впровадження медичної інформаційної системи та надання електронних сервісів (електронна черга тощо).</w:t>
            </w:r>
          </w:p>
        </w:tc>
      </w:tr>
      <w:tr w:rsidR="00843713" w:rsidRPr="00C2587D" w14:paraId="0245E4FD" w14:textId="77777777" w:rsidTr="004B3BEE">
        <w:trPr>
          <w:trHeight w:val="492"/>
        </w:trPr>
        <w:tc>
          <w:tcPr>
            <w:tcW w:w="2693" w:type="dxa"/>
            <w:vMerge/>
            <w:vAlign w:val="center"/>
          </w:tcPr>
          <w:p w14:paraId="2740D0FA" w14:textId="77777777" w:rsidR="00843713" w:rsidRPr="00C2587D" w:rsidRDefault="00843713" w:rsidP="00A36EB4">
            <w:pPr>
              <w:rPr>
                <w:rFonts w:cs="Arial"/>
                <w:b/>
                <w:sz w:val="20"/>
                <w:szCs w:val="22"/>
                <w:lang w:eastAsia="uk-UA"/>
              </w:rPr>
            </w:pPr>
          </w:p>
        </w:tc>
        <w:tc>
          <w:tcPr>
            <w:tcW w:w="3823" w:type="dxa"/>
            <w:vAlign w:val="center"/>
          </w:tcPr>
          <w:p w14:paraId="16D2F7EE" w14:textId="1CCC4453" w:rsidR="00843713" w:rsidRPr="004B3BEE" w:rsidRDefault="00843713" w:rsidP="004B3BEE">
            <w:pPr>
              <w:autoSpaceDE w:val="0"/>
              <w:autoSpaceDN w:val="0"/>
              <w:adjustRightInd w:val="0"/>
              <w:rPr>
                <w:rFonts w:cs="Arial"/>
                <w:bCs/>
                <w:sz w:val="20"/>
                <w:szCs w:val="20"/>
              </w:rPr>
            </w:pPr>
            <w:r w:rsidRPr="00C2587D">
              <w:rPr>
                <w:rFonts w:cs="Arial"/>
                <w:bCs/>
                <w:sz w:val="20"/>
                <w:szCs w:val="20"/>
              </w:rPr>
              <w:t>С.2.2. Розбудова ефективної системи вторинної ланки медицини</w:t>
            </w:r>
          </w:p>
        </w:tc>
        <w:tc>
          <w:tcPr>
            <w:tcW w:w="8505" w:type="dxa"/>
            <w:shd w:val="clear" w:color="auto" w:fill="auto"/>
          </w:tcPr>
          <w:p w14:paraId="367E2287" w14:textId="77777777" w:rsidR="00843713" w:rsidRPr="00C2587D" w:rsidRDefault="00843713" w:rsidP="00682193">
            <w:pPr>
              <w:jc w:val="both"/>
              <w:rPr>
                <w:rFonts w:cs="Arial"/>
                <w:sz w:val="20"/>
                <w:szCs w:val="20"/>
                <w:lang w:eastAsia="en-US"/>
              </w:rPr>
            </w:pPr>
            <w:r w:rsidRPr="00C2587D">
              <w:rPr>
                <w:rFonts w:cs="Arial"/>
                <w:sz w:val="20"/>
                <w:szCs w:val="20"/>
                <w:lang w:eastAsia="en-US"/>
              </w:rPr>
              <w:t>С.2.2.1. Формування  пацієнт-орієнтованої системи охорони здоров’я.</w:t>
            </w:r>
          </w:p>
          <w:p w14:paraId="1FFF704F" w14:textId="77777777" w:rsidR="00843713" w:rsidRPr="00C2587D" w:rsidRDefault="00843713" w:rsidP="00682193">
            <w:pPr>
              <w:jc w:val="both"/>
              <w:rPr>
                <w:rFonts w:cs="Arial"/>
                <w:sz w:val="20"/>
                <w:szCs w:val="20"/>
                <w:lang w:eastAsia="en-US"/>
              </w:rPr>
            </w:pPr>
            <w:r w:rsidRPr="00C2587D">
              <w:rPr>
                <w:rFonts w:cs="Arial"/>
                <w:sz w:val="20"/>
                <w:szCs w:val="20"/>
                <w:lang w:eastAsia="en-US"/>
              </w:rPr>
              <w:t>С.2.2.2. Забезпечення повним пакетом медичних послуг населення громади з урахуванням  гендерного аспекту.</w:t>
            </w:r>
          </w:p>
          <w:p w14:paraId="25844351" w14:textId="77777777" w:rsidR="00843713" w:rsidRPr="00C2587D" w:rsidRDefault="00843713" w:rsidP="00682193">
            <w:pPr>
              <w:jc w:val="both"/>
              <w:rPr>
                <w:rFonts w:cs="Arial"/>
                <w:sz w:val="20"/>
                <w:szCs w:val="20"/>
                <w:lang w:eastAsia="en-US"/>
              </w:rPr>
            </w:pPr>
            <w:r w:rsidRPr="00C2587D">
              <w:rPr>
                <w:rFonts w:cs="Arial"/>
                <w:sz w:val="20"/>
                <w:szCs w:val="20"/>
                <w:lang w:eastAsia="en-US"/>
              </w:rPr>
              <w:t>С.2.2.3. Удосконалення системи екстреної медичної допомоги.</w:t>
            </w:r>
          </w:p>
          <w:p w14:paraId="5E17523D" w14:textId="77777777" w:rsidR="00843713" w:rsidRPr="00C2587D" w:rsidRDefault="00843713" w:rsidP="00682193">
            <w:pPr>
              <w:jc w:val="both"/>
              <w:rPr>
                <w:rFonts w:cs="Arial"/>
                <w:sz w:val="20"/>
                <w:szCs w:val="20"/>
                <w:lang w:eastAsia="en-US"/>
              </w:rPr>
            </w:pPr>
            <w:r w:rsidRPr="00C2587D">
              <w:rPr>
                <w:rFonts w:cs="Arial"/>
                <w:sz w:val="20"/>
                <w:szCs w:val="20"/>
                <w:lang w:eastAsia="en-US"/>
              </w:rPr>
              <w:t>С.2.2.4. Впровадження системи телеметричних послуг для пацієнтів та лікарів.</w:t>
            </w:r>
          </w:p>
          <w:p w14:paraId="3FBAE9DE" w14:textId="77777777" w:rsidR="00843713" w:rsidRPr="00C2587D" w:rsidRDefault="00843713" w:rsidP="00682193">
            <w:pPr>
              <w:jc w:val="both"/>
              <w:rPr>
                <w:rFonts w:cs="Arial"/>
                <w:sz w:val="20"/>
                <w:szCs w:val="20"/>
                <w:lang w:eastAsia="en-US"/>
              </w:rPr>
            </w:pPr>
            <w:r w:rsidRPr="00C2587D">
              <w:rPr>
                <w:rFonts w:cs="Arial"/>
                <w:sz w:val="20"/>
                <w:szCs w:val="20"/>
                <w:lang w:eastAsia="en-US"/>
              </w:rPr>
              <w:t>С.2.2.5. Участь у роботі Госпітальної ради.</w:t>
            </w:r>
          </w:p>
          <w:p w14:paraId="00AABF39" w14:textId="77777777" w:rsidR="00843713" w:rsidRPr="00C2587D" w:rsidRDefault="00843713" w:rsidP="00682193">
            <w:pPr>
              <w:jc w:val="both"/>
              <w:rPr>
                <w:rFonts w:cs="Arial"/>
                <w:sz w:val="20"/>
                <w:szCs w:val="20"/>
              </w:rPr>
            </w:pPr>
            <w:r w:rsidRPr="00C2587D">
              <w:rPr>
                <w:rFonts w:cs="Arial"/>
                <w:sz w:val="20"/>
                <w:szCs w:val="20"/>
                <w:lang w:eastAsia="en-US"/>
              </w:rPr>
              <w:t>С.2.2.6. Автономізація закладів вторинної ланки медицини, визначення переліку медичних послуг, матеріально – технічне забезпечення, встановлення інформаційно-комунікаційних систем.</w:t>
            </w:r>
          </w:p>
          <w:p w14:paraId="2BD0BF41" w14:textId="3559813C" w:rsidR="00843713" w:rsidRPr="00C2587D" w:rsidRDefault="00843713" w:rsidP="00682193">
            <w:pPr>
              <w:jc w:val="both"/>
              <w:rPr>
                <w:rFonts w:cs="Arial"/>
                <w:color w:val="000000"/>
                <w:sz w:val="20"/>
                <w:szCs w:val="20"/>
                <w:lang w:eastAsia="uk-UA"/>
              </w:rPr>
            </w:pPr>
            <w:r w:rsidRPr="00C2587D">
              <w:rPr>
                <w:rFonts w:cs="Arial"/>
                <w:sz w:val="20"/>
                <w:szCs w:val="20"/>
                <w:lang w:eastAsia="en-US"/>
              </w:rPr>
              <w:t>С.2.2.7. Підвищення рівня знань та компетенцій управлінського персоналу комунальних медичних закладів з актуальних питань менеджменту, забезпечення кадрами, перепідготовка та підвищення кваліфікації кадрів.</w:t>
            </w:r>
          </w:p>
        </w:tc>
      </w:tr>
      <w:tr w:rsidR="00843713" w:rsidRPr="00C2587D" w14:paraId="394142BD" w14:textId="77777777" w:rsidTr="00843713">
        <w:trPr>
          <w:trHeight w:val="548"/>
        </w:trPr>
        <w:tc>
          <w:tcPr>
            <w:tcW w:w="2693" w:type="dxa"/>
            <w:vMerge w:val="restart"/>
            <w:vAlign w:val="center"/>
          </w:tcPr>
          <w:p w14:paraId="79EA14BC" w14:textId="77777777" w:rsidR="00843713" w:rsidRPr="00C2587D" w:rsidRDefault="00843713" w:rsidP="00A36EB4">
            <w:pPr>
              <w:rPr>
                <w:rFonts w:cs="Arial"/>
                <w:color w:val="000000"/>
                <w:sz w:val="20"/>
                <w:szCs w:val="20"/>
                <w:lang w:eastAsia="uk-UA"/>
              </w:rPr>
            </w:pPr>
            <w:r w:rsidRPr="00C2587D">
              <w:rPr>
                <w:rFonts w:cs="Arial"/>
                <w:b/>
                <w:sz w:val="20"/>
                <w:szCs w:val="22"/>
                <w:lang w:eastAsia="uk-UA"/>
              </w:rPr>
              <w:t>С.3. Забезпечення можливостей  для активного відпочинку, змістовного дозвілля мешканців громади та популяризація здорового способу життя</w:t>
            </w:r>
          </w:p>
          <w:p w14:paraId="242A74B2" w14:textId="77777777" w:rsidR="00843713" w:rsidRPr="00C2587D" w:rsidRDefault="00843713" w:rsidP="00A36EB4">
            <w:pPr>
              <w:rPr>
                <w:rFonts w:cs="Arial"/>
                <w:color w:val="000000"/>
                <w:sz w:val="20"/>
                <w:szCs w:val="20"/>
                <w:lang w:eastAsia="uk-UA"/>
              </w:rPr>
            </w:pPr>
          </w:p>
        </w:tc>
        <w:tc>
          <w:tcPr>
            <w:tcW w:w="3823" w:type="dxa"/>
            <w:vAlign w:val="center"/>
          </w:tcPr>
          <w:p w14:paraId="0BCBA902" w14:textId="77777777" w:rsidR="00843713" w:rsidRPr="00C2587D" w:rsidRDefault="00843713" w:rsidP="00A36EB4">
            <w:pPr>
              <w:autoSpaceDE w:val="0"/>
              <w:autoSpaceDN w:val="0"/>
              <w:adjustRightInd w:val="0"/>
              <w:rPr>
                <w:rFonts w:cs="Arial"/>
                <w:bCs/>
                <w:color w:val="000000"/>
                <w:sz w:val="20"/>
                <w:szCs w:val="20"/>
                <w:lang w:eastAsia="uk-UA"/>
              </w:rPr>
            </w:pPr>
            <w:r w:rsidRPr="00C2587D">
              <w:rPr>
                <w:rFonts w:cs="Arial"/>
                <w:bCs/>
                <w:sz w:val="20"/>
                <w:szCs w:val="20"/>
              </w:rPr>
              <w:lastRenderedPageBreak/>
              <w:t xml:space="preserve">С.3.1. Впровадження сучасної моделі культурно-мистецького  обслуговування населення громади  </w:t>
            </w:r>
          </w:p>
        </w:tc>
        <w:tc>
          <w:tcPr>
            <w:tcW w:w="8505" w:type="dxa"/>
            <w:shd w:val="clear" w:color="auto" w:fill="auto"/>
          </w:tcPr>
          <w:p w14:paraId="1F1F6B20" w14:textId="77777777" w:rsidR="00843713" w:rsidRPr="00C2587D" w:rsidRDefault="00843713" w:rsidP="00682193">
            <w:pPr>
              <w:jc w:val="both"/>
              <w:rPr>
                <w:rFonts w:cs="Arial"/>
                <w:sz w:val="20"/>
                <w:szCs w:val="20"/>
              </w:rPr>
            </w:pPr>
            <w:r w:rsidRPr="00C2587D">
              <w:rPr>
                <w:rFonts w:cs="Arial"/>
                <w:sz w:val="20"/>
                <w:szCs w:val="20"/>
              </w:rPr>
              <w:t>С.3.1.1. Зміцнення матеріально-технічної бази закладів культури, оновлення їх технічного ресурсу.</w:t>
            </w:r>
          </w:p>
          <w:p w14:paraId="135D6359" w14:textId="77777777" w:rsidR="00843713" w:rsidRPr="00C2587D" w:rsidRDefault="00843713" w:rsidP="00682193">
            <w:pPr>
              <w:jc w:val="both"/>
              <w:rPr>
                <w:rFonts w:cs="Arial"/>
                <w:sz w:val="20"/>
                <w:szCs w:val="20"/>
              </w:rPr>
            </w:pPr>
            <w:r w:rsidRPr="00C2587D">
              <w:rPr>
                <w:rFonts w:cs="Arial"/>
                <w:sz w:val="20"/>
                <w:szCs w:val="20"/>
              </w:rPr>
              <w:t>С.3.1.2. Створення на базі клубних закладів центрів дозвілля з філіями у населених пунктах громади, їх модернізація та оснащення.</w:t>
            </w:r>
          </w:p>
          <w:p w14:paraId="00B91412" w14:textId="77777777" w:rsidR="00843713" w:rsidRPr="00C2587D" w:rsidRDefault="00843713" w:rsidP="00682193">
            <w:pPr>
              <w:jc w:val="both"/>
              <w:rPr>
                <w:rFonts w:cs="Arial"/>
                <w:sz w:val="20"/>
                <w:szCs w:val="20"/>
              </w:rPr>
            </w:pPr>
            <w:r w:rsidRPr="00C2587D">
              <w:rPr>
                <w:rFonts w:cs="Arial"/>
                <w:sz w:val="20"/>
                <w:szCs w:val="20"/>
              </w:rPr>
              <w:t>С.3.1.3. Проведення видовищних заходів з відпочинку та дозвілля.</w:t>
            </w:r>
          </w:p>
          <w:p w14:paraId="574395A2" w14:textId="77777777" w:rsidR="00843713" w:rsidRPr="00C2587D" w:rsidRDefault="00843713" w:rsidP="00682193">
            <w:pPr>
              <w:jc w:val="both"/>
              <w:rPr>
                <w:rFonts w:cs="Arial"/>
                <w:sz w:val="20"/>
                <w:szCs w:val="20"/>
              </w:rPr>
            </w:pPr>
            <w:r w:rsidRPr="00C2587D">
              <w:rPr>
                <w:rFonts w:cs="Arial"/>
                <w:sz w:val="20"/>
                <w:szCs w:val="20"/>
              </w:rPr>
              <w:t>С.3.1.4. Розвиток дитячої музичної школи.</w:t>
            </w:r>
          </w:p>
          <w:p w14:paraId="56D0504D" w14:textId="77777777" w:rsidR="00843713" w:rsidRPr="00C2587D" w:rsidRDefault="00843713" w:rsidP="00682193">
            <w:pPr>
              <w:jc w:val="both"/>
              <w:rPr>
                <w:rFonts w:cs="Arial"/>
                <w:sz w:val="20"/>
                <w:szCs w:val="20"/>
              </w:rPr>
            </w:pPr>
            <w:r w:rsidRPr="00C2587D">
              <w:rPr>
                <w:rFonts w:cs="Arial"/>
                <w:sz w:val="20"/>
                <w:szCs w:val="20"/>
              </w:rPr>
              <w:t>С.3.1.5. Збереження та розвиток мережі музейних закладів.</w:t>
            </w:r>
          </w:p>
          <w:p w14:paraId="10A58739" w14:textId="77777777" w:rsidR="00843713" w:rsidRPr="00C2587D" w:rsidRDefault="00843713" w:rsidP="00682193">
            <w:pPr>
              <w:spacing w:before="20" w:after="20"/>
              <w:jc w:val="both"/>
              <w:rPr>
                <w:rFonts w:cs="Arial"/>
                <w:sz w:val="20"/>
                <w:szCs w:val="20"/>
              </w:rPr>
            </w:pPr>
            <w:r w:rsidRPr="00C2587D">
              <w:rPr>
                <w:rFonts w:cs="Arial"/>
                <w:sz w:val="20"/>
                <w:szCs w:val="20"/>
              </w:rPr>
              <w:t>С.3.1.6. Розвиток  креативних індустрій та культурних стартапів.</w:t>
            </w:r>
          </w:p>
        </w:tc>
      </w:tr>
      <w:tr w:rsidR="00843713" w:rsidRPr="00C2587D" w14:paraId="1FB53848" w14:textId="77777777" w:rsidTr="00843713">
        <w:trPr>
          <w:trHeight w:val="564"/>
        </w:trPr>
        <w:tc>
          <w:tcPr>
            <w:tcW w:w="2693" w:type="dxa"/>
            <w:vMerge/>
            <w:vAlign w:val="center"/>
          </w:tcPr>
          <w:p w14:paraId="7688232D" w14:textId="77777777" w:rsidR="00843713" w:rsidRPr="00C2587D" w:rsidRDefault="00843713" w:rsidP="00A36EB4">
            <w:pPr>
              <w:rPr>
                <w:rFonts w:cs="Arial"/>
                <w:color w:val="000000"/>
                <w:sz w:val="20"/>
                <w:szCs w:val="20"/>
                <w:lang w:eastAsia="uk-UA"/>
              </w:rPr>
            </w:pPr>
          </w:p>
        </w:tc>
        <w:tc>
          <w:tcPr>
            <w:tcW w:w="3823" w:type="dxa"/>
            <w:vAlign w:val="center"/>
          </w:tcPr>
          <w:p w14:paraId="5FBA7014" w14:textId="77777777" w:rsidR="00843713" w:rsidRPr="00C2587D" w:rsidRDefault="00843713" w:rsidP="00A36EB4">
            <w:pPr>
              <w:rPr>
                <w:rFonts w:cs="Arial"/>
                <w:bCs/>
                <w:color w:val="000000"/>
                <w:sz w:val="20"/>
                <w:szCs w:val="20"/>
                <w:lang w:eastAsia="uk-UA"/>
              </w:rPr>
            </w:pPr>
            <w:r w:rsidRPr="00C2587D">
              <w:rPr>
                <w:rFonts w:cs="Arial"/>
                <w:bCs/>
                <w:sz w:val="20"/>
                <w:szCs w:val="20"/>
                <w:lang w:eastAsia="uk-UA"/>
              </w:rPr>
              <w:t>С.3.2. Розвиток народної та  аматорської творчості</w:t>
            </w:r>
          </w:p>
        </w:tc>
        <w:tc>
          <w:tcPr>
            <w:tcW w:w="8505" w:type="dxa"/>
            <w:shd w:val="clear" w:color="auto" w:fill="auto"/>
          </w:tcPr>
          <w:p w14:paraId="0E6A9D7D" w14:textId="77777777" w:rsidR="00843713" w:rsidRPr="00C2587D" w:rsidRDefault="00843713" w:rsidP="00682193">
            <w:pPr>
              <w:jc w:val="both"/>
              <w:rPr>
                <w:rFonts w:cs="Arial"/>
                <w:sz w:val="20"/>
                <w:szCs w:val="20"/>
              </w:rPr>
            </w:pPr>
            <w:r w:rsidRPr="00C2587D">
              <w:rPr>
                <w:rFonts w:cs="Arial"/>
                <w:sz w:val="20"/>
                <w:szCs w:val="20"/>
              </w:rPr>
              <w:t>С.3.2.1. Збереження та розвиток аматорських колективів територіальної громади. Придбання оснащення та обладнання.</w:t>
            </w:r>
          </w:p>
          <w:p w14:paraId="2B287F4E" w14:textId="77777777" w:rsidR="00843713" w:rsidRPr="00C2587D" w:rsidRDefault="00843713" w:rsidP="00682193">
            <w:pPr>
              <w:jc w:val="both"/>
              <w:rPr>
                <w:rFonts w:cs="Arial"/>
                <w:sz w:val="20"/>
              </w:rPr>
            </w:pPr>
            <w:r w:rsidRPr="00C2587D">
              <w:rPr>
                <w:rFonts w:cs="Arial"/>
                <w:sz w:val="20"/>
              </w:rPr>
              <w:t xml:space="preserve">С.3.2.2. </w:t>
            </w:r>
            <w:r w:rsidRPr="00C2587D">
              <w:rPr>
                <w:rFonts w:cs="Arial"/>
                <w:sz w:val="20"/>
                <w:szCs w:val="20"/>
              </w:rPr>
              <w:t>Популяризація аматорського мистецтва шляхом  виступів аматорських колективів на території ТГ та участі у обмінних концертах.</w:t>
            </w:r>
          </w:p>
          <w:p w14:paraId="4BA8A455" w14:textId="77777777" w:rsidR="00843713" w:rsidRPr="00C2587D" w:rsidRDefault="00843713" w:rsidP="00682193">
            <w:pPr>
              <w:spacing w:before="20" w:after="20"/>
              <w:jc w:val="both"/>
              <w:rPr>
                <w:rFonts w:cs="Arial"/>
                <w:sz w:val="20"/>
                <w:szCs w:val="20"/>
              </w:rPr>
            </w:pPr>
            <w:r w:rsidRPr="00C2587D">
              <w:rPr>
                <w:rFonts w:cs="Arial"/>
                <w:sz w:val="20"/>
                <w:szCs w:val="20"/>
              </w:rPr>
              <w:t>С.3.2.3. Участь аматорських колективів у обласних, Всеукраїнських та Міжнародних конкурсах і фестивалях.</w:t>
            </w:r>
          </w:p>
        </w:tc>
      </w:tr>
      <w:tr w:rsidR="00843713" w:rsidRPr="00C2587D" w14:paraId="60C1E685" w14:textId="77777777" w:rsidTr="00843713">
        <w:trPr>
          <w:trHeight w:val="624"/>
        </w:trPr>
        <w:tc>
          <w:tcPr>
            <w:tcW w:w="2693" w:type="dxa"/>
            <w:vMerge/>
            <w:vAlign w:val="center"/>
          </w:tcPr>
          <w:p w14:paraId="6AADCD8D" w14:textId="77777777" w:rsidR="00843713" w:rsidRPr="00C2587D" w:rsidRDefault="00843713" w:rsidP="00A36EB4">
            <w:pPr>
              <w:rPr>
                <w:rFonts w:cs="Arial"/>
                <w:color w:val="000000"/>
                <w:sz w:val="20"/>
                <w:szCs w:val="20"/>
                <w:lang w:eastAsia="uk-UA"/>
              </w:rPr>
            </w:pPr>
          </w:p>
        </w:tc>
        <w:tc>
          <w:tcPr>
            <w:tcW w:w="3823" w:type="dxa"/>
            <w:vAlign w:val="center"/>
          </w:tcPr>
          <w:p w14:paraId="28B385E5" w14:textId="77777777" w:rsidR="00843713" w:rsidRPr="00C2587D" w:rsidRDefault="00843713" w:rsidP="00A36EB4">
            <w:pPr>
              <w:rPr>
                <w:rFonts w:cs="Arial"/>
                <w:bCs/>
                <w:color w:val="000000"/>
                <w:sz w:val="20"/>
                <w:szCs w:val="20"/>
                <w:lang w:eastAsia="uk-UA"/>
              </w:rPr>
            </w:pPr>
            <w:r w:rsidRPr="00C2587D">
              <w:rPr>
                <w:rFonts w:cs="Arial"/>
                <w:bCs/>
                <w:sz w:val="20"/>
                <w:szCs w:val="20"/>
              </w:rPr>
              <w:t>С.3.3. Новітня бібліотека</w:t>
            </w:r>
          </w:p>
        </w:tc>
        <w:tc>
          <w:tcPr>
            <w:tcW w:w="8505" w:type="dxa"/>
            <w:shd w:val="clear" w:color="auto" w:fill="auto"/>
          </w:tcPr>
          <w:p w14:paraId="0A247CB5" w14:textId="77777777" w:rsidR="00843713" w:rsidRPr="00C2587D" w:rsidRDefault="00843713" w:rsidP="00682193">
            <w:pPr>
              <w:jc w:val="both"/>
              <w:rPr>
                <w:rFonts w:cs="Arial"/>
                <w:sz w:val="20"/>
                <w:szCs w:val="20"/>
              </w:rPr>
            </w:pPr>
            <w:r w:rsidRPr="00C2587D">
              <w:rPr>
                <w:rFonts w:cs="Arial"/>
                <w:sz w:val="20"/>
                <w:szCs w:val="20"/>
              </w:rPr>
              <w:t>С.3.3.1. Бібліотека, як громадський центр.</w:t>
            </w:r>
          </w:p>
          <w:p w14:paraId="34D0EF6A" w14:textId="77777777" w:rsidR="00843713" w:rsidRPr="00C2587D" w:rsidRDefault="00843713" w:rsidP="00682193">
            <w:pPr>
              <w:jc w:val="both"/>
              <w:rPr>
                <w:rFonts w:cs="Arial"/>
                <w:sz w:val="20"/>
                <w:szCs w:val="20"/>
              </w:rPr>
            </w:pPr>
            <w:r w:rsidRPr="00C2587D">
              <w:rPr>
                <w:rFonts w:cs="Arial"/>
                <w:sz w:val="20"/>
                <w:szCs w:val="20"/>
              </w:rPr>
              <w:t>С.3.3.2. Пошук нових форм роботи.</w:t>
            </w:r>
          </w:p>
          <w:p w14:paraId="4E7D902C" w14:textId="77777777" w:rsidR="00843713" w:rsidRPr="00C2587D" w:rsidRDefault="00843713" w:rsidP="00682193">
            <w:pPr>
              <w:jc w:val="both"/>
              <w:rPr>
                <w:rFonts w:cs="Arial"/>
                <w:sz w:val="20"/>
                <w:szCs w:val="20"/>
              </w:rPr>
            </w:pPr>
            <w:r w:rsidRPr="00C2587D">
              <w:rPr>
                <w:rFonts w:cs="Arial"/>
                <w:sz w:val="20"/>
                <w:szCs w:val="20"/>
              </w:rPr>
              <w:t xml:space="preserve">С.3.3.3. </w:t>
            </w:r>
            <w:r w:rsidRPr="00C2587D">
              <w:rPr>
                <w:rFonts w:eastAsia="Calibri" w:cs="Arial"/>
                <w:sz w:val="20"/>
                <w:szCs w:val="20"/>
                <w:lang w:eastAsia="it-IT"/>
              </w:rPr>
              <w:t>Облаштування бібліотек, як сучасного, креативного та комфортного простору для жителів громади.</w:t>
            </w:r>
          </w:p>
          <w:p w14:paraId="4210B995" w14:textId="77777777" w:rsidR="00843713" w:rsidRPr="00C2587D" w:rsidRDefault="00843713" w:rsidP="00682193">
            <w:pPr>
              <w:jc w:val="both"/>
              <w:rPr>
                <w:rFonts w:cs="Arial"/>
                <w:sz w:val="20"/>
                <w:szCs w:val="20"/>
              </w:rPr>
            </w:pPr>
            <w:r w:rsidRPr="00C2587D">
              <w:rPr>
                <w:rFonts w:cs="Arial"/>
                <w:sz w:val="20"/>
                <w:szCs w:val="20"/>
              </w:rPr>
              <w:t xml:space="preserve">С.3.3.4. </w:t>
            </w:r>
            <w:r w:rsidRPr="00C2587D">
              <w:rPr>
                <w:rFonts w:eastAsia="Calibri" w:cs="Arial"/>
                <w:sz w:val="20"/>
                <w:szCs w:val="20"/>
                <w:lang w:eastAsia="it-IT"/>
              </w:rPr>
              <w:t>Забезпечення доступності та корисності ресурсів та послуг бібліотек, доступ користувачів до бібліотечних ресурсів в режимі он-лайн</w:t>
            </w:r>
            <w:r w:rsidRPr="00C2587D">
              <w:rPr>
                <w:rFonts w:cs="Arial"/>
                <w:sz w:val="20"/>
                <w:szCs w:val="20"/>
              </w:rPr>
              <w:t>.</w:t>
            </w:r>
          </w:p>
          <w:p w14:paraId="16AC5B8E" w14:textId="77777777" w:rsidR="00843713" w:rsidRPr="00C2587D" w:rsidRDefault="00843713" w:rsidP="00682193">
            <w:pPr>
              <w:jc w:val="both"/>
              <w:rPr>
                <w:rFonts w:cs="Arial"/>
                <w:sz w:val="20"/>
                <w:szCs w:val="20"/>
              </w:rPr>
            </w:pPr>
            <w:r w:rsidRPr="00C2587D">
              <w:rPr>
                <w:rFonts w:cs="Arial"/>
                <w:sz w:val="20"/>
                <w:szCs w:val="20"/>
              </w:rPr>
              <w:t xml:space="preserve">С.3.3.5. </w:t>
            </w:r>
            <w:r w:rsidRPr="00C2587D">
              <w:rPr>
                <w:rFonts w:eastAsia="Calibri" w:cs="Arial"/>
                <w:sz w:val="20"/>
                <w:szCs w:val="20"/>
                <w:lang w:eastAsia="it-IT"/>
              </w:rPr>
              <w:t>Підтримка та збереження фонду знань та інформаційного потенціалу для нинішніх і майбутніх поколінь.</w:t>
            </w:r>
          </w:p>
          <w:p w14:paraId="6D410291" w14:textId="77777777" w:rsidR="00843713" w:rsidRPr="00C2587D" w:rsidRDefault="00843713" w:rsidP="00682193">
            <w:pPr>
              <w:jc w:val="both"/>
              <w:rPr>
                <w:rFonts w:cs="Arial"/>
                <w:sz w:val="20"/>
                <w:szCs w:val="20"/>
              </w:rPr>
            </w:pPr>
            <w:r w:rsidRPr="00C2587D">
              <w:rPr>
                <w:rFonts w:cs="Arial"/>
                <w:sz w:val="20"/>
                <w:szCs w:val="20"/>
              </w:rPr>
              <w:t xml:space="preserve">С.3.3.6. </w:t>
            </w:r>
            <w:r w:rsidRPr="00C2587D">
              <w:rPr>
                <w:rFonts w:eastAsia="Calibri" w:cs="Arial"/>
                <w:sz w:val="20"/>
                <w:szCs w:val="20"/>
                <w:lang w:eastAsia="it-IT"/>
              </w:rPr>
              <w:t>Створення сучасної медіатеки.</w:t>
            </w:r>
          </w:p>
          <w:p w14:paraId="720C666A" w14:textId="77777777" w:rsidR="00843713" w:rsidRPr="00C2587D" w:rsidRDefault="00843713" w:rsidP="00682193">
            <w:pPr>
              <w:spacing w:before="20" w:after="20"/>
              <w:jc w:val="both"/>
              <w:rPr>
                <w:rFonts w:cs="Arial"/>
                <w:sz w:val="20"/>
                <w:szCs w:val="20"/>
              </w:rPr>
            </w:pPr>
            <w:r w:rsidRPr="00C2587D">
              <w:rPr>
                <w:rFonts w:cs="Arial"/>
                <w:sz w:val="20"/>
                <w:szCs w:val="20"/>
              </w:rPr>
              <w:t>С.3.3.7. Покращення доступу людей старшого віку до інструментів електронної демократії і до отримання послуг в мережі інтернет.</w:t>
            </w:r>
          </w:p>
        </w:tc>
      </w:tr>
      <w:tr w:rsidR="00843713" w:rsidRPr="00C2587D" w14:paraId="5EF6A3CB" w14:textId="77777777" w:rsidTr="00843713">
        <w:trPr>
          <w:trHeight w:val="492"/>
        </w:trPr>
        <w:tc>
          <w:tcPr>
            <w:tcW w:w="2693" w:type="dxa"/>
            <w:vMerge/>
            <w:vAlign w:val="center"/>
          </w:tcPr>
          <w:p w14:paraId="0D358884" w14:textId="77777777" w:rsidR="00843713" w:rsidRPr="00C2587D" w:rsidRDefault="00843713" w:rsidP="00A36EB4">
            <w:pPr>
              <w:rPr>
                <w:rFonts w:cs="Arial"/>
                <w:color w:val="000000"/>
                <w:sz w:val="20"/>
                <w:szCs w:val="20"/>
                <w:lang w:eastAsia="uk-UA"/>
              </w:rPr>
            </w:pPr>
          </w:p>
        </w:tc>
        <w:tc>
          <w:tcPr>
            <w:tcW w:w="3823" w:type="dxa"/>
            <w:vAlign w:val="center"/>
          </w:tcPr>
          <w:p w14:paraId="3FAEC197" w14:textId="37C479D5" w:rsidR="00843713" w:rsidRPr="00C2587D" w:rsidRDefault="00843713" w:rsidP="004B3BEE">
            <w:pPr>
              <w:rPr>
                <w:rFonts w:cs="Arial"/>
                <w:bCs/>
                <w:color w:val="000000"/>
                <w:sz w:val="20"/>
                <w:szCs w:val="20"/>
                <w:lang w:eastAsia="uk-UA"/>
              </w:rPr>
            </w:pPr>
            <w:r w:rsidRPr="00C2587D">
              <w:rPr>
                <w:rFonts w:cs="Arial"/>
                <w:bCs/>
                <w:sz w:val="20"/>
                <w:szCs w:val="20"/>
                <w:lang w:eastAsia="uk-UA"/>
              </w:rPr>
              <w:t>С.3.</w:t>
            </w:r>
            <w:r w:rsidRPr="00C2587D">
              <w:rPr>
                <w:rFonts w:cs="Arial"/>
                <w:bCs/>
                <w:sz w:val="20"/>
                <w:szCs w:val="20"/>
              </w:rPr>
              <w:t xml:space="preserve">4. </w:t>
            </w:r>
            <w:r w:rsidRPr="00C2587D">
              <w:rPr>
                <w:rFonts w:cs="Arial"/>
                <w:bCs/>
                <w:sz w:val="20"/>
                <w:szCs w:val="20"/>
                <w:lang w:eastAsia="uk-UA"/>
              </w:rPr>
              <w:t>Розбудова мережі сучасних спортивних закладів та споруд</w:t>
            </w:r>
          </w:p>
        </w:tc>
        <w:tc>
          <w:tcPr>
            <w:tcW w:w="8505" w:type="dxa"/>
            <w:shd w:val="clear" w:color="auto" w:fill="auto"/>
          </w:tcPr>
          <w:p w14:paraId="2E4597EC" w14:textId="77777777" w:rsidR="00843713" w:rsidRPr="00C2587D" w:rsidRDefault="00843713" w:rsidP="00682193">
            <w:pPr>
              <w:autoSpaceDE w:val="0"/>
              <w:autoSpaceDN w:val="0"/>
              <w:spacing w:before="20" w:after="20"/>
              <w:jc w:val="both"/>
              <w:rPr>
                <w:rFonts w:cs="Arial"/>
                <w:sz w:val="20"/>
                <w:szCs w:val="20"/>
                <w:lang w:eastAsia="en-US"/>
              </w:rPr>
            </w:pPr>
            <w:r w:rsidRPr="00C2587D">
              <w:rPr>
                <w:rFonts w:cs="Arial"/>
                <w:sz w:val="20"/>
                <w:szCs w:val="20"/>
                <w:lang w:eastAsia="en-US"/>
              </w:rPr>
              <w:t>С.3.4.1. Вдосконалення спортивного розвитку та самореалізації дітей, молоді, населення середнього та пенсійного віку.</w:t>
            </w:r>
          </w:p>
          <w:p w14:paraId="3EE1F8F3" w14:textId="77777777" w:rsidR="00843713" w:rsidRPr="00C2587D" w:rsidRDefault="00843713" w:rsidP="00682193">
            <w:pPr>
              <w:autoSpaceDE w:val="0"/>
              <w:autoSpaceDN w:val="0"/>
              <w:spacing w:before="20" w:after="20"/>
              <w:jc w:val="both"/>
              <w:rPr>
                <w:rFonts w:cs="Arial"/>
                <w:sz w:val="20"/>
                <w:szCs w:val="20"/>
                <w:lang w:eastAsia="en-US"/>
              </w:rPr>
            </w:pPr>
            <w:r w:rsidRPr="00C2587D">
              <w:rPr>
                <w:rFonts w:cs="Arial"/>
                <w:sz w:val="20"/>
                <w:szCs w:val="20"/>
                <w:lang w:eastAsia="en-US"/>
              </w:rPr>
              <w:t>С.3.4.2. Будівництво, реконструкція інфраструктури спорту з урахуванням гендерного аспекту.</w:t>
            </w:r>
          </w:p>
          <w:p w14:paraId="7E184F4D" w14:textId="77777777" w:rsidR="00843713" w:rsidRPr="00C2587D" w:rsidRDefault="00843713" w:rsidP="00682193">
            <w:pPr>
              <w:autoSpaceDE w:val="0"/>
              <w:autoSpaceDN w:val="0"/>
              <w:spacing w:before="20" w:after="20"/>
              <w:jc w:val="both"/>
              <w:rPr>
                <w:rFonts w:cs="Arial"/>
                <w:sz w:val="20"/>
                <w:szCs w:val="20"/>
                <w:lang w:eastAsia="en-US"/>
              </w:rPr>
            </w:pPr>
            <w:r w:rsidRPr="00C2587D">
              <w:rPr>
                <w:rFonts w:cs="Arial"/>
                <w:sz w:val="20"/>
                <w:szCs w:val="20"/>
                <w:lang w:eastAsia="en-US"/>
              </w:rPr>
              <w:t>С.3.4.3. Реконструкція та капітальний ремонт приміщень, які відносяться до КЗ «ЖДЮСШ.</w:t>
            </w:r>
          </w:p>
          <w:p w14:paraId="05A732B0" w14:textId="77777777" w:rsidR="00843713" w:rsidRPr="00C2587D" w:rsidRDefault="00843713" w:rsidP="00682193">
            <w:pPr>
              <w:autoSpaceDE w:val="0"/>
              <w:autoSpaceDN w:val="0"/>
              <w:spacing w:before="20" w:after="20"/>
              <w:jc w:val="both"/>
              <w:rPr>
                <w:rFonts w:cs="Arial"/>
                <w:sz w:val="20"/>
                <w:szCs w:val="20"/>
                <w:lang w:eastAsia="en-US"/>
              </w:rPr>
            </w:pPr>
            <w:r w:rsidRPr="00C2587D">
              <w:rPr>
                <w:rFonts w:cs="Arial"/>
                <w:sz w:val="20"/>
                <w:szCs w:val="20"/>
                <w:lang w:eastAsia="en-US"/>
              </w:rPr>
              <w:t>С.3.4.4. Облаштування спортивних залів матеріально-технічною базою.</w:t>
            </w:r>
          </w:p>
          <w:p w14:paraId="7A504B32" w14:textId="77777777" w:rsidR="00843713" w:rsidRPr="00C2587D" w:rsidRDefault="00843713" w:rsidP="00682193">
            <w:pPr>
              <w:autoSpaceDE w:val="0"/>
              <w:autoSpaceDN w:val="0"/>
              <w:spacing w:before="20" w:after="20"/>
              <w:jc w:val="both"/>
              <w:rPr>
                <w:rFonts w:cs="Arial"/>
                <w:sz w:val="20"/>
                <w:szCs w:val="20"/>
                <w:lang w:eastAsia="en-US"/>
              </w:rPr>
            </w:pPr>
            <w:r w:rsidRPr="00C2587D">
              <w:rPr>
                <w:rFonts w:cs="Arial"/>
                <w:sz w:val="20"/>
                <w:szCs w:val="20"/>
                <w:lang w:eastAsia="en-US"/>
              </w:rPr>
              <w:t>С.3.4.5. Участь у всеукраїнських та регіональних спортивних змаганнях, турнірах тощо.</w:t>
            </w:r>
          </w:p>
          <w:p w14:paraId="7561C561" w14:textId="77777777" w:rsidR="00843713" w:rsidRPr="00C2587D" w:rsidRDefault="00843713" w:rsidP="00682193">
            <w:pPr>
              <w:autoSpaceDE w:val="0"/>
              <w:autoSpaceDN w:val="0"/>
              <w:spacing w:before="20" w:after="20"/>
              <w:jc w:val="both"/>
              <w:rPr>
                <w:rFonts w:cs="Arial"/>
                <w:sz w:val="20"/>
                <w:szCs w:val="20"/>
                <w:lang w:eastAsia="en-US"/>
              </w:rPr>
            </w:pPr>
            <w:r w:rsidRPr="00C2587D">
              <w:rPr>
                <w:rFonts w:cs="Arial"/>
                <w:sz w:val="20"/>
                <w:szCs w:val="20"/>
                <w:lang w:eastAsia="en-US"/>
              </w:rPr>
              <w:t>С.3.4.6. Створення футбольних полів із штучним покриттям.</w:t>
            </w:r>
          </w:p>
          <w:p w14:paraId="42DE2322" w14:textId="77777777" w:rsidR="00843713" w:rsidRPr="00C2587D" w:rsidRDefault="00843713" w:rsidP="00682193">
            <w:pPr>
              <w:spacing w:before="20" w:after="20"/>
              <w:jc w:val="both"/>
              <w:rPr>
                <w:rFonts w:cs="Arial"/>
                <w:sz w:val="20"/>
                <w:szCs w:val="20"/>
              </w:rPr>
            </w:pPr>
            <w:r w:rsidRPr="00C2587D">
              <w:rPr>
                <w:rFonts w:cs="Arial"/>
                <w:sz w:val="20"/>
                <w:szCs w:val="20"/>
                <w:lang w:eastAsia="en-US"/>
              </w:rPr>
              <w:t>С.3.4.7. Облаштування сучасних спортивних закладів, відкриття спортивних секцій.</w:t>
            </w:r>
          </w:p>
        </w:tc>
      </w:tr>
      <w:tr w:rsidR="00843713" w:rsidRPr="00C2587D" w14:paraId="2F75A7EC" w14:textId="77777777" w:rsidTr="00843713">
        <w:trPr>
          <w:trHeight w:val="420"/>
        </w:trPr>
        <w:tc>
          <w:tcPr>
            <w:tcW w:w="2693" w:type="dxa"/>
            <w:vMerge/>
            <w:vAlign w:val="center"/>
          </w:tcPr>
          <w:p w14:paraId="2D29C938" w14:textId="77777777" w:rsidR="00843713" w:rsidRPr="00C2587D" w:rsidRDefault="00843713" w:rsidP="00A36EB4">
            <w:pPr>
              <w:rPr>
                <w:rFonts w:cs="Arial"/>
                <w:color w:val="000000"/>
                <w:sz w:val="20"/>
                <w:szCs w:val="20"/>
                <w:lang w:eastAsia="uk-UA"/>
              </w:rPr>
            </w:pPr>
          </w:p>
        </w:tc>
        <w:tc>
          <w:tcPr>
            <w:tcW w:w="3823" w:type="dxa"/>
            <w:vAlign w:val="center"/>
          </w:tcPr>
          <w:p w14:paraId="371942F5" w14:textId="77777777" w:rsidR="00843713" w:rsidRPr="00C2587D" w:rsidRDefault="00843713" w:rsidP="00A36EB4">
            <w:pPr>
              <w:rPr>
                <w:rFonts w:cs="Arial"/>
                <w:bCs/>
                <w:color w:val="000000"/>
                <w:sz w:val="20"/>
                <w:szCs w:val="20"/>
                <w:lang w:eastAsia="uk-UA"/>
              </w:rPr>
            </w:pPr>
            <w:r w:rsidRPr="00C2587D">
              <w:rPr>
                <w:rFonts w:cs="Arial"/>
                <w:bCs/>
                <w:sz w:val="20"/>
                <w:szCs w:val="20"/>
                <w:lang w:eastAsia="uk-UA"/>
              </w:rPr>
              <w:t>С.3.5. Створення  активного молодіжного та громадського середовища</w:t>
            </w:r>
          </w:p>
        </w:tc>
        <w:tc>
          <w:tcPr>
            <w:tcW w:w="8505" w:type="dxa"/>
            <w:shd w:val="clear" w:color="auto" w:fill="auto"/>
          </w:tcPr>
          <w:p w14:paraId="5F2A9422" w14:textId="77777777" w:rsidR="00843713" w:rsidRPr="00C2587D" w:rsidRDefault="00843713" w:rsidP="00682193">
            <w:pPr>
              <w:autoSpaceDE w:val="0"/>
              <w:autoSpaceDN w:val="0"/>
              <w:spacing w:before="20" w:after="20"/>
              <w:jc w:val="both"/>
              <w:rPr>
                <w:rFonts w:cs="Arial"/>
                <w:sz w:val="20"/>
                <w:szCs w:val="20"/>
                <w:lang w:eastAsia="en-US"/>
              </w:rPr>
            </w:pPr>
            <w:r w:rsidRPr="00C2587D">
              <w:rPr>
                <w:rFonts w:cs="Arial"/>
                <w:sz w:val="20"/>
                <w:szCs w:val="20"/>
                <w:lang w:eastAsia="en-US"/>
              </w:rPr>
              <w:t>С.3.5.1. Створення умов для  самореалізації та участі дітей, молоді   у житті громади.</w:t>
            </w:r>
          </w:p>
          <w:p w14:paraId="7F81C21A" w14:textId="77777777" w:rsidR="00843713" w:rsidRPr="00C2587D" w:rsidRDefault="00843713" w:rsidP="00682193">
            <w:pPr>
              <w:jc w:val="both"/>
              <w:rPr>
                <w:rFonts w:cs="Arial"/>
                <w:sz w:val="20"/>
                <w:szCs w:val="20"/>
              </w:rPr>
            </w:pPr>
            <w:r w:rsidRPr="00C2587D">
              <w:rPr>
                <w:rFonts w:cs="Arial"/>
                <w:sz w:val="20"/>
                <w:szCs w:val="20"/>
                <w:lang w:eastAsia="en-US"/>
              </w:rPr>
              <w:t xml:space="preserve">С.3.5.2. </w:t>
            </w:r>
            <w:r w:rsidRPr="00C2587D">
              <w:rPr>
                <w:rFonts w:cs="Arial"/>
                <w:sz w:val="20"/>
                <w:szCs w:val="20"/>
              </w:rPr>
              <w:t>Розвиток  місцевої інфраструктури з урахуванням думки та дотриманням прав дітей та молоді.</w:t>
            </w:r>
          </w:p>
          <w:p w14:paraId="300052E9" w14:textId="77777777" w:rsidR="00843713" w:rsidRPr="00C2587D" w:rsidRDefault="00843713" w:rsidP="00682193">
            <w:pPr>
              <w:jc w:val="both"/>
              <w:rPr>
                <w:rFonts w:cs="Arial"/>
                <w:sz w:val="20"/>
                <w:szCs w:val="20"/>
              </w:rPr>
            </w:pPr>
            <w:r w:rsidRPr="00C2587D">
              <w:rPr>
                <w:rFonts w:cs="Arial"/>
                <w:sz w:val="20"/>
                <w:szCs w:val="20"/>
                <w:lang w:eastAsia="en-US"/>
              </w:rPr>
              <w:t xml:space="preserve">С.3.5.3. </w:t>
            </w:r>
            <w:r w:rsidRPr="00C2587D">
              <w:rPr>
                <w:rFonts w:cs="Arial"/>
                <w:sz w:val="20"/>
                <w:szCs w:val="20"/>
              </w:rPr>
              <w:t>Відкриття молодіжних центрів та установ, що працюють з молоддю.</w:t>
            </w:r>
          </w:p>
          <w:p w14:paraId="17798B0A" w14:textId="77777777" w:rsidR="00843713" w:rsidRPr="00C2587D" w:rsidRDefault="00843713" w:rsidP="00682193">
            <w:pPr>
              <w:jc w:val="both"/>
              <w:rPr>
                <w:rFonts w:cs="Arial"/>
                <w:sz w:val="20"/>
                <w:szCs w:val="20"/>
              </w:rPr>
            </w:pPr>
            <w:r w:rsidRPr="00C2587D">
              <w:rPr>
                <w:rFonts w:cs="Arial"/>
                <w:sz w:val="20"/>
                <w:szCs w:val="20"/>
                <w:lang w:eastAsia="en-US"/>
              </w:rPr>
              <w:t xml:space="preserve">С.3.5.4. </w:t>
            </w:r>
            <w:r w:rsidRPr="00C2587D">
              <w:rPr>
                <w:rFonts w:cs="Arial"/>
                <w:sz w:val="20"/>
                <w:szCs w:val="20"/>
              </w:rPr>
              <w:t>Забезпечення розвитку системи національно-патріотичного виховання дітей  і молоді.</w:t>
            </w:r>
          </w:p>
          <w:p w14:paraId="2CD7C2AB" w14:textId="77777777" w:rsidR="00843713" w:rsidRPr="00C2587D" w:rsidRDefault="00843713" w:rsidP="00682193">
            <w:pPr>
              <w:jc w:val="both"/>
              <w:rPr>
                <w:rFonts w:cs="Arial"/>
                <w:sz w:val="20"/>
                <w:szCs w:val="20"/>
              </w:rPr>
            </w:pPr>
            <w:r w:rsidRPr="00C2587D">
              <w:rPr>
                <w:rFonts w:cs="Arial"/>
                <w:sz w:val="20"/>
                <w:szCs w:val="20"/>
                <w:lang w:eastAsia="en-US"/>
              </w:rPr>
              <w:t xml:space="preserve">С.3.5.5. </w:t>
            </w:r>
            <w:r w:rsidRPr="00C2587D">
              <w:rPr>
                <w:rFonts w:cs="Arial"/>
                <w:iCs/>
                <w:sz w:val="20"/>
                <w:szCs w:val="20"/>
              </w:rPr>
              <w:t>Підвищення безпечності середовища та посилення життєстійкості молоді.</w:t>
            </w:r>
          </w:p>
          <w:p w14:paraId="6C53F143" w14:textId="77777777" w:rsidR="00843713" w:rsidRPr="00C2587D" w:rsidRDefault="00843713" w:rsidP="00682193">
            <w:pPr>
              <w:jc w:val="both"/>
              <w:rPr>
                <w:rFonts w:cs="Arial"/>
                <w:sz w:val="20"/>
                <w:szCs w:val="20"/>
              </w:rPr>
            </w:pPr>
            <w:r w:rsidRPr="00C2587D">
              <w:rPr>
                <w:rFonts w:cs="Arial"/>
                <w:sz w:val="20"/>
                <w:szCs w:val="20"/>
                <w:lang w:eastAsia="en-US"/>
              </w:rPr>
              <w:t xml:space="preserve">С.3.5.6. </w:t>
            </w:r>
            <w:r w:rsidRPr="00C2587D">
              <w:rPr>
                <w:rFonts w:cs="Arial"/>
                <w:iCs/>
                <w:sz w:val="20"/>
                <w:szCs w:val="20"/>
              </w:rPr>
              <w:t>Формування навичок здорового способу життя, розвиток фізичної культури, культури здорового харчування та психогігієни.</w:t>
            </w:r>
          </w:p>
          <w:p w14:paraId="6B5B7AB1" w14:textId="77777777" w:rsidR="00843713" w:rsidRPr="00C2587D" w:rsidRDefault="00843713" w:rsidP="00682193">
            <w:pPr>
              <w:jc w:val="both"/>
              <w:rPr>
                <w:rFonts w:cs="Arial"/>
                <w:sz w:val="20"/>
                <w:szCs w:val="20"/>
              </w:rPr>
            </w:pPr>
            <w:r w:rsidRPr="00C2587D">
              <w:rPr>
                <w:rFonts w:cs="Arial"/>
                <w:sz w:val="20"/>
                <w:szCs w:val="20"/>
                <w:lang w:eastAsia="en-US"/>
              </w:rPr>
              <w:t xml:space="preserve">С.3.5.7. </w:t>
            </w:r>
            <w:r w:rsidRPr="00C2587D">
              <w:rPr>
                <w:rFonts w:cs="Arial"/>
                <w:iCs/>
                <w:sz w:val="20"/>
                <w:szCs w:val="20"/>
              </w:rPr>
              <w:t>Підвищення мобільності, соціальної і культурної інтеграції молоді в суспільне життя.</w:t>
            </w:r>
          </w:p>
          <w:p w14:paraId="2F7ED31C" w14:textId="77777777" w:rsidR="00843713" w:rsidRPr="00C2587D" w:rsidRDefault="00843713" w:rsidP="00682193">
            <w:pPr>
              <w:spacing w:before="20" w:after="20"/>
              <w:jc w:val="both"/>
              <w:rPr>
                <w:rFonts w:cs="Arial"/>
                <w:sz w:val="20"/>
                <w:szCs w:val="20"/>
              </w:rPr>
            </w:pPr>
            <w:r w:rsidRPr="00C2587D">
              <w:rPr>
                <w:rFonts w:cs="Arial"/>
                <w:sz w:val="20"/>
                <w:szCs w:val="20"/>
                <w:lang w:eastAsia="en-US"/>
              </w:rPr>
              <w:t xml:space="preserve">С.3.5.8. </w:t>
            </w:r>
            <w:r w:rsidRPr="00C2587D">
              <w:rPr>
                <w:rFonts w:cs="Arial"/>
                <w:iCs/>
                <w:sz w:val="20"/>
                <w:szCs w:val="20"/>
              </w:rPr>
              <w:t>Реалізація молодіжних ініціатив щодо здорового способу життя, молодіжних акцій, флешмобів, нових видів спорту.</w:t>
            </w:r>
          </w:p>
        </w:tc>
      </w:tr>
      <w:tr w:rsidR="00843713" w:rsidRPr="00C2587D" w14:paraId="26D02627" w14:textId="77777777" w:rsidTr="00843713">
        <w:trPr>
          <w:trHeight w:val="458"/>
        </w:trPr>
        <w:tc>
          <w:tcPr>
            <w:tcW w:w="2693" w:type="dxa"/>
            <w:vMerge w:val="restart"/>
            <w:vAlign w:val="center"/>
          </w:tcPr>
          <w:p w14:paraId="0F55268A" w14:textId="60FFEE73" w:rsidR="00843713" w:rsidRPr="00C2587D" w:rsidRDefault="00843713" w:rsidP="004B3BEE">
            <w:pPr>
              <w:rPr>
                <w:rFonts w:cs="Arial"/>
                <w:color w:val="000000"/>
                <w:sz w:val="20"/>
                <w:szCs w:val="20"/>
                <w:lang w:eastAsia="uk-UA"/>
              </w:rPr>
            </w:pPr>
            <w:r w:rsidRPr="00C2587D">
              <w:rPr>
                <w:rFonts w:cs="Arial"/>
                <w:b/>
                <w:sz w:val="20"/>
                <w:szCs w:val="22"/>
                <w:lang w:eastAsia="uk-UA"/>
              </w:rPr>
              <w:lastRenderedPageBreak/>
              <w:t>С.4. Забезпечення  високих стандартів надання якісних адміністративних і соціальних послуг</w:t>
            </w:r>
          </w:p>
        </w:tc>
        <w:tc>
          <w:tcPr>
            <w:tcW w:w="3823" w:type="dxa"/>
            <w:vAlign w:val="center"/>
          </w:tcPr>
          <w:p w14:paraId="50B434B4" w14:textId="77777777" w:rsidR="00843713" w:rsidRPr="00C2587D" w:rsidRDefault="00843713" w:rsidP="00A36EB4">
            <w:pPr>
              <w:rPr>
                <w:rFonts w:cs="Arial"/>
                <w:bCs/>
                <w:color w:val="000000"/>
                <w:sz w:val="20"/>
                <w:szCs w:val="20"/>
                <w:lang w:eastAsia="uk-UA"/>
              </w:rPr>
            </w:pPr>
            <w:r w:rsidRPr="00C2587D">
              <w:rPr>
                <w:rFonts w:cs="Arial"/>
                <w:bCs/>
                <w:sz w:val="20"/>
                <w:szCs w:val="20"/>
              </w:rPr>
              <w:t>С.4.1. Удосконалення системи надання  адміністративних послуг</w:t>
            </w:r>
          </w:p>
        </w:tc>
        <w:tc>
          <w:tcPr>
            <w:tcW w:w="8505" w:type="dxa"/>
            <w:shd w:val="clear" w:color="auto" w:fill="auto"/>
          </w:tcPr>
          <w:p w14:paraId="2C56BC8D" w14:textId="77777777" w:rsidR="00843713" w:rsidRPr="00C2587D" w:rsidRDefault="00843713" w:rsidP="00682193">
            <w:pPr>
              <w:autoSpaceDE w:val="0"/>
              <w:autoSpaceDN w:val="0"/>
              <w:spacing w:before="20" w:after="20"/>
              <w:jc w:val="both"/>
              <w:rPr>
                <w:rFonts w:cs="Arial"/>
                <w:sz w:val="20"/>
                <w:szCs w:val="20"/>
                <w:lang w:eastAsia="en-US"/>
              </w:rPr>
            </w:pPr>
            <w:r w:rsidRPr="00C2587D">
              <w:rPr>
                <w:rFonts w:cs="Arial"/>
                <w:sz w:val="20"/>
                <w:szCs w:val="20"/>
                <w:lang w:eastAsia="en-US"/>
              </w:rPr>
              <w:t>С.4.1.1. Облаштування ЦНАП відповідно до сучасних ергономічних норм.</w:t>
            </w:r>
            <w:r w:rsidRPr="00C2587D">
              <w:rPr>
                <w:rFonts w:ascii="Times New Roman" w:eastAsia="Calibri" w:hAnsi="Times New Roman"/>
                <w:sz w:val="24"/>
                <w:lang w:eastAsia="en-US"/>
              </w:rPr>
              <w:t xml:space="preserve"> </w:t>
            </w:r>
          </w:p>
          <w:p w14:paraId="168C3AED" w14:textId="77777777" w:rsidR="00843713" w:rsidRPr="00C2587D" w:rsidRDefault="00843713" w:rsidP="00682193">
            <w:pPr>
              <w:autoSpaceDE w:val="0"/>
              <w:autoSpaceDN w:val="0"/>
              <w:spacing w:before="20" w:after="20"/>
              <w:jc w:val="both"/>
              <w:rPr>
                <w:rFonts w:cs="Arial"/>
                <w:sz w:val="20"/>
                <w:szCs w:val="20"/>
                <w:lang w:eastAsia="en-US"/>
              </w:rPr>
            </w:pPr>
            <w:r w:rsidRPr="00C2587D">
              <w:rPr>
                <w:rFonts w:cs="Arial"/>
                <w:sz w:val="20"/>
                <w:szCs w:val="20"/>
                <w:lang w:eastAsia="en-US"/>
              </w:rPr>
              <w:t>С.4.1.2. Доступність до адміністративних послуг.</w:t>
            </w:r>
          </w:p>
          <w:p w14:paraId="1CBD5770" w14:textId="77777777" w:rsidR="00843713" w:rsidRPr="00C2587D" w:rsidRDefault="00843713" w:rsidP="00682193">
            <w:pPr>
              <w:spacing w:before="20" w:after="20"/>
              <w:jc w:val="both"/>
              <w:rPr>
                <w:rFonts w:cs="Arial"/>
                <w:sz w:val="20"/>
                <w:szCs w:val="20"/>
              </w:rPr>
            </w:pPr>
            <w:r w:rsidRPr="00C2587D">
              <w:rPr>
                <w:rFonts w:cs="Arial"/>
                <w:iCs/>
                <w:sz w:val="20"/>
                <w:szCs w:val="20"/>
              </w:rPr>
              <w:t>С.4.1.3. Інформованість та популяризація ЦНАП.</w:t>
            </w:r>
          </w:p>
        </w:tc>
      </w:tr>
      <w:tr w:rsidR="00843713" w:rsidRPr="00C2587D" w14:paraId="6B805343" w14:textId="77777777" w:rsidTr="00843713">
        <w:trPr>
          <w:trHeight w:val="420"/>
        </w:trPr>
        <w:tc>
          <w:tcPr>
            <w:tcW w:w="2693" w:type="dxa"/>
            <w:vMerge/>
            <w:vAlign w:val="center"/>
          </w:tcPr>
          <w:p w14:paraId="31A978FC" w14:textId="77777777" w:rsidR="00843713" w:rsidRPr="00C2587D" w:rsidRDefault="00843713" w:rsidP="00A36EB4">
            <w:pPr>
              <w:rPr>
                <w:rFonts w:cs="Arial"/>
                <w:b/>
                <w:sz w:val="20"/>
                <w:szCs w:val="22"/>
                <w:lang w:eastAsia="uk-UA"/>
              </w:rPr>
            </w:pPr>
          </w:p>
        </w:tc>
        <w:tc>
          <w:tcPr>
            <w:tcW w:w="3823" w:type="dxa"/>
            <w:vAlign w:val="center"/>
          </w:tcPr>
          <w:p w14:paraId="4D9327F9" w14:textId="77777777" w:rsidR="00843713" w:rsidRPr="00C2587D" w:rsidRDefault="00843713" w:rsidP="00A36EB4">
            <w:pPr>
              <w:rPr>
                <w:rFonts w:cs="Arial"/>
                <w:bCs/>
                <w:color w:val="000000"/>
                <w:sz w:val="20"/>
                <w:szCs w:val="20"/>
                <w:lang w:eastAsia="uk-UA"/>
              </w:rPr>
            </w:pPr>
            <w:r w:rsidRPr="00C2587D">
              <w:rPr>
                <w:rFonts w:cs="Arial"/>
                <w:bCs/>
                <w:sz w:val="20"/>
                <w:szCs w:val="20"/>
              </w:rPr>
              <w:t>С.4.2. Покращення якості та доступності  соціальних  послуг</w:t>
            </w:r>
          </w:p>
        </w:tc>
        <w:tc>
          <w:tcPr>
            <w:tcW w:w="8505" w:type="dxa"/>
            <w:shd w:val="clear" w:color="auto" w:fill="auto"/>
          </w:tcPr>
          <w:p w14:paraId="21715FCA" w14:textId="77777777" w:rsidR="00843713" w:rsidRPr="00C2587D" w:rsidRDefault="00843713" w:rsidP="00682193">
            <w:pPr>
              <w:jc w:val="both"/>
              <w:rPr>
                <w:rFonts w:cs="Arial"/>
                <w:iCs/>
                <w:sz w:val="20"/>
                <w:szCs w:val="20"/>
              </w:rPr>
            </w:pPr>
            <w:r w:rsidRPr="00C2587D">
              <w:rPr>
                <w:rFonts w:cs="Arial"/>
                <w:iCs/>
                <w:sz w:val="20"/>
                <w:szCs w:val="20"/>
              </w:rPr>
              <w:t>С.4.2.1. Утворення оптимальної  мережі суб’єктів, що надають соціальні послуги.</w:t>
            </w:r>
          </w:p>
          <w:p w14:paraId="1574842E" w14:textId="77777777" w:rsidR="00843713" w:rsidRPr="00C2587D" w:rsidRDefault="00843713" w:rsidP="00682193">
            <w:pPr>
              <w:jc w:val="both"/>
              <w:rPr>
                <w:rFonts w:cs="Arial"/>
                <w:iCs/>
                <w:sz w:val="20"/>
                <w:szCs w:val="20"/>
              </w:rPr>
            </w:pPr>
            <w:r w:rsidRPr="00C2587D">
              <w:rPr>
                <w:rFonts w:cs="Arial"/>
                <w:iCs/>
                <w:sz w:val="20"/>
                <w:szCs w:val="20"/>
              </w:rPr>
              <w:t>С.4.2.2. Розвиток механізмів фінансування надавачів соціальних послуг.</w:t>
            </w:r>
          </w:p>
          <w:p w14:paraId="31FF8A3D" w14:textId="77777777" w:rsidR="00843713" w:rsidRPr="00C2587D" w:rsidRDefault="00843713" w:rsidP="00682193">
            <w:pPr>
              <w:jc w:val="both"/>
              <w:rPr>
                <w:rFonts w:cs="Arial"/>
                <w:sz w:val="20"/>
                <w:szCs w:val="20"/>
              </w:rPr>
            </w:pPr>
            <w:r w:rsidRPr="00C2587D">
              <w:rPr>
                <w:rFonts w:cs="Arial"/>
                <w:iCs/>
                <w:sz w:val="20"/>
                <w:szCs w:val="20"/>
              </w:rPr>
              <w:t>С.4.2.3. Розвиток кадрового потенціалу соціальної сфери.</w:t>
            </w:r>
          </w:p>
          <w:p w14:paraId="33672279" w14:textId="77777777" w:rsidR="00843713" w:rsidRPr="00C2587D" w:rsidRDefault="00843713" w:rsidP="00682193">
            <w:pPr>
              <w:jc w:val="both"/>
              <w:rPr>
                <w:rFonts w:cs="Arial"/>
                <w:sz w:val="20"/>
                <w:szCs w:val="20"/>
              </w:rPr>
            </w:pPr>
            <w:r w:rsidRPr="00C2587D">
              <w:rPr>
                <w:rFonts w:cs="Arial"/>
                <w:iCs/>
                <w:sz w:val="20"/>
                <w:szCs w:val="20"/>
              </w:rPr>
              <w:t xml:space="preserve">С.4.2.4. </w:t>
            </w:r>
            <w:r w:rsidRPr="00C2587D">
              <w:rPr>
                <w:rFonts w:cs="Arial"/>
                <w:sz w:val="20"/>
                <w:szCs w:val="20"/>
              </w:rPr>
              <w:t>Протидія домашньому насильству, насильству за ознакою статі, насильству стосовно дітей.</w:t>
            </w:r>
          </w:p>
          <w:p w14:paraId="16A24D68" w14:textId="77777777" w:rsidR="00843713" w:rsidRPr="00C2587D" w:rsidRDefault="00843713" w:rsidP="00682193">
            <w:pPr>
              <w:spacing w:before="20" w:after="20"/>
              <w:jc w:val="both"/>
              <w:rPr>
                <w:rFonts w:cs="Arial"/>
                <w:sz w:val="20"/>
                <w:szCs w:val="20"/>
              </w:rPr>
            </w:pPr>
            <w:r w:rsidRPr="00C2587D">
              <w:rPr>
                <w:rFonts w:cs="Arial"/>
                <w:iCs/>
                <w:sz w:val="20"/>
                <w:szCs w:val="20"/>
              </w:rPr>
              <w:t xml:space="preserve">С.4.2.5. </w:t>
            </w:r>
            <w:r w:rsidRPr="00C2587D">
              <w:rPr>
                <w:rFonts w:cs="Arial"/>
                <w:sz w:val="20"/>
                <w:szCs w:val="20"/>
              </w:rPr>
              <w:t>Забезпечення рівних прав та можливостей жінок і чоловіків у всіх сферах життя суспільства та впровадження європейських стандартів рівності на території Жмеринської МТГ.</w:t>
            </w:r>
          </w:p>
        </w:tc>
      </w:tr>
      <w:tr w:rsidR="00843713" w:rsidRPr="00C2587D" w14:paraId="4A349345" w14:textId="77777777" w:rsidTr="00843713">
        <w:trPr>
          <w:trHeight w:val="300"/>
        </w:trPr>
        <w:tc>
          <w:tcPr>
            <w:tcW w:w="2693" w:type="dxa"/>
            <w:vMerge/>
            <w:vAlign w:val="center"/>
          </w:tcPr>
          <w:p w14:paraId="702131F2" w14:textId="77777777" w:rsidR="00843713" w:rsidRPr="00C2587D" w:rsidRDefault="00843713" w:rsidP="00A36EB4">
            <w:pPr>
              <w:rPr>
                <w:rFonts w:cs="Arial"/>
                <w:b/>
                <w:sz w:val="20"/>
                <w:szCs w:val="22"/>
                <w:lang w:eastAsia="uk-UA"/>
              </w:rPr>
            </w:pPr>
          </w:p>
        </w:tc>
        <w:tc>
          <w:tcPr>
            <w:tcW w:w="3823" w:type="dxa"/>
            <w:vAlign w:val="center"/>
          </w:tcPr>
          <w:p w14:paraId="448614CA" w14:textId="77777777" w:rsidR="00843713" w:rsidRPr="00C2587D" w:rsidRDefault="00843713" w:rsidP="00A36EB4">
            <w:pPr>
              <w:rPr>
                <w:rFonts w:cs="Arial"/>
                <w:bCs/>
                <w:color w:val="000000"/>
                <w:sz w:val="20"/>
                <w:szCs w:val="20"/>
                <w:lang w:eastAsia="uk-UA"/>
              </w:rPr>
            </w:pPr>
            <w:r w:rsidRPr="00C2587D">
              <w:rPr>
                <w:rFonts w:cs="Arial"/>
                <w:bCs/>
                <w:sz w:val="20"/>
                <w:szCs w:val="20"/>
              </w:rPr>
              <w:t>С.4.3. Формування території громади, сприятливої для маломобільних груп населення</w:t>
            </w:r>
          </w:p>
        </w:tc>
        <w:tc>
          <w:tcPr>
            <w:tcW w:w="8505" w:type="dxa"/>
            <w:shd w:val="clear" w:color="auto" w:fill="auto"/>
          </w:tcPr>
          <w:p w14:paraId="66D8573B" w14:textId="77777777" w:rsidR="00843713" w:rsidRPr="00C2587D" w:rsidRDefault="00843713" w:rsidP="00682193">
            <w:pPr>
              <w:jc w:val="both"/>
              <w:rPr>
                <w:rFonts w:cs="Arial"/>
                <w:sz w:val="20"/>
                <w:szCs w:val="20"/>
              </w:rPr>
            </w:pPr>
            <w:r w:rsidRPr="00C2587D">
              <w:rPr>
                <w:rFonts w:cs="Arial"/>
                <w:szCs w:val="22"/>
              </w:rPr>
              <w:t>С</w:t>
            </w:r>
            <w:r w:rsidRPr="00C2587D">
              <w:rPr>
                <w:rFonts w:cs="Arial"/>
                <w:sz w:val="20"/>
                <w:szCs w:val="20"/>
              </w:rPr>
              <w:t>.4.3.1. Реконструкція об'єктів загального користування для доступності маломобільних груп населення.</w:t>
            </w:r>
          </w:p>
          <w:p w14:paraId="14976813" w14:textId="77777777" w:rsidR="00843713" w:rsidRPr="00C2587D" w:rsidRDefault="00843713" w:rsidP="00682193">
            <w:pPr>
              <w:jc w:val="both"/>
              <w:rPr>
                <w:rFonts w:cs="Arial"/>
                <w:sz w:val="20"/>
                <w:szCs w:val="20"/>
              </w:rPr>
            </w:pPr>
            <w:r w:rsidRPr="00C2587D">
              <w:rPr>
                <w:rFonts w:cs="Arial"/>
                <w:sz w:val="20"/>
                <w:szCs w:val="20"/>
              </w:rPr>
              <w:t>С.4.3.2. Адаптація усіх публічних послуг на території громади для маломобільних груп населення.</w:t>
            </w:r>
          </w:p>
          <w:p w14:paraId="0F805B20" w14:textId="77777777" w:rsidR="00843713" w:rsidRPr="00C2587D" w:rsidRDefault="00843713" w:rsidP="00682193">
            <w:pPr>
              <w:spacing w:before="20" w:after="20"/>
              <w:jc w:val="both"/>
              <w:rPr>
                <w:rFonts w:cs="Arial"/>
                <w:sz w:val="20"/>
                <w:szCs w:val="20"/>
              </w:rPr>
            </w:pPr>
            <w:r w:rsidRPr="00C2587D">
              <w:rPr>
                <w:rFonts w:cs="Arial"/>
                <w:sz w:val="20"/>
                <w:szCs w:val="20"/>
              </w:rPr>
              <w:t>С.4.3.3. Організація навчання персоналу з надання послуг для осіб з інвалідністю.</w:t>
            </w:r>
          </w:p>
        </w:tc>
      </w:tr>
      <w:tr w:rsidR="00843713" w:rsidRPr="00C2587D" w14:paraId="4103442D" w14:textId="77777777" w:rsidTr="00843713">
        <w:trPr>
          <w:trHeight w:val="396"/>
        </w:trPr>
        <w:tc>
          <w:tcPr>
            <w:tcW w:w="2693" w:type="dxa"/>
            <w:vMerge/>
            <w:vAlign w:val="center"/>
          </w:tcPr>
          <w:p w14:paraId="2661DBBF" w14:textId="77777777" w:rsidR="00843713" w:rsidRPr="00C2587D" w:rsidRDefault="00843713" w:rsidP="00A36EB4">
            <w:pPr>
              <w:rPr>
                <w:rFonts w:cs="Arial"/>
                <w:b/>
                <w:sz w:val="20"/>
                <w:szCs w:val="22"/>
                <w:lang w:eastAsia="uk-UA"/>
              </w:rPr>
            </w:pPr>
          </w:p>
        </w:tc>
        <w:tc>
          <w:tcPr>
            <w:tcW w:w="3823" w:type="dxa"/>
            <w:vAlign w:val="center"/>
          </w:tcPr>
          <w:p w14:paraId="1337F01A" w14:textId="77777777" w:rsidR="00843713" w:rsidRPr="00C2587D" w:rsidRDefault="00843713" w:rsidP="00A36EB4">
            <w:pPr>
              <w:rPr>
                <w:rFonts w:cs="Arial"/>
                <w:bCs/>
                <w:color w:val="000000"/>
                <w:sz w:val="20"/>
                <w:szCs w:val="20"/>
                <w:lang w:eastAsia="uk-UA"/>
              </w:rPr>
            </w:pPr>
            <w:r w:rsidRPr="00C2587D">
              <w:rPr>
                <w:rFonts w:cs="Arial"/>
                <w:bCs/>
                <w:sz w:val="20"/>
                <w:szCs w:val="20"/>
              </w:rPr>
              <w:t>С.4.4.  Захист прав, свобод і законних інтересів дітей</w:t>
            </w:r>
          </w:p>
        </w:tc>
        <w:tc>
          <w:tcPr>
            <w:tcW w:w="8505" w:type="dxa"/>
            <w:shd w:val="clear" w:color="auto" w:fill="auto"/>
          </w:tcPr>
          <w:p w14:paraId="6402D462" w14:textId="77777777" w:rsidR="00843713" w:rsidRPr="00C2587D" w:rsidRDefault="00843713" w:rsidP="00682193">
            <w:pPr>
              <w:jc w:val="both"/>
              <w:rPr>
                <w:rFonts w:cs="Arial"/>
                <w:iCs/>
                <w:sz w:val="20"/>
                <w:szCs w:val="20"/>
              </w:rPr>
            </w:pPr>
            <w:r w:rsidRPr="00C2587D">
              <w:rPr>
                <w:rFonts w:cs="Arial"/>
                <w:iCs/>
                <w:sz w:val="20"/>
                <w:szCs w:val="20"/>
              </w:rPr>
              <w:t>С.4.4.1. Забезпечення збільшення усиновлення дітей-сиріт та дітей, позбавлених батьківського піклування, громадянами України.</w:t>
            </w:r>
          </w:p>
          <w:p w14:paraId="5B9AA39E" w14:textId="77777777" w:rsidR="00843713" w:rsidRPr="00C2587D" w:rsidRDefault="00843713" w:rsidP="00682193">
            <w:pPr>
              <w:jc w:val="both"/>
              <w:rPr>
                <w:rFonts w:cs="Arial"/>
                <w:iCs/>
                <w:sz w:val="20"/>
                <w:szCs w:val="20"/>
              </w:rPr>
            </w:pPr>
            <w:r w:rsidRPr="00C2587D">
              <w:rPr>
                <w:rFonts w:cs="Arial"/>
                <w:iCs/>
                <w:sz w:val="20"/>
                <w:szCs w:val="20"/>
              </w:rPr>
              <w:t>С.4.4.2. Забезпечення влаштування дітей-сиріт та дітей, позбавлених батьківського піклування, до сімейних форм виховання (опіка, піклування, прийомна сім’я, дитячий будинок сімейного типу).</w:t>
            </w:r>
          </w:p>
          <w:p w14:paraId="5683D371" w14:textId="77777777" w:rsidR="00843713" w:rsidRPr="00C2587D" w:rsidRDefault="00843713" w:rsidP="00682193">
            <w:pPr>
              <w:jc w:val="both"/>
              <w:rPr>
                <w:rFonts w:cs="Arial"/>
                <w:iCs/>
                <w:sz w:val="20"/>
                <w:szCs w:val="20"/>
              </w:rPr>
            </w:pPr>
            <w:r w:rsidRPr="00C2587D">
              <w:rPr>
                <w:rFonts w:cs="Arial"/>
                <w:iCs/>
                <w:sz w:val="20"/>
                <w:szCs w:val="20"/>
              </w:rPr>
              <w:t>С.4.4.3. Здійснення контролю за додержанням вимог законодавства щодо захисту майнових (житлових) прав неповнолітніх.</w:t>
            </w:r>
          </w:p>
          <w:p w14:paraId="1A53773C" w14:textId="77777777" w:rsidR="00843713" w:rsidRPr="00C2587D" w:rsidRDefault="00843713" w:rsidP="00682193">
            <w:pPr>
              <w:jc w:val="both"/>
              <w:rPr>
                <w:rFonts w:cs="Arial"/>
                <w:iCs/>
                <w:sz w:val="20"/>
                <w:szCs w:val="20"/>
              </w:rPr>
            </w:pPr>
            <w:r w:rsidRPr="00C2587D">
              <w:rPr>
                <w:rFonts w:cs="Arial"/>
                <w:iCs/>
                <w:sz w:val="20"/>
                <w:szCs w:val="20"/>
              </w:rPr>
              <w:t>С.4.4.4. Сприяння своєчасній постановці дітей-сиріт та дітей позбавлених батьківського піклування, які не мають житла на квартирний облік.</w:t>
            </w:r>
          </w:p>
          <w:p w14:paraId="0F1202D4" w14:textId="77777777" w:rsidR="00843713" w:rsidRPr="00C2587D" w:rsidRDefault="00843713" w:rsidP="00682193">
            <w:pPr>
              <w:spacing w:before="20" w:after="20"/>
              <w:jc w:val="both"/>
              <w:rPr>
                <w:rFonts w:cs="Arial"/>
                <w:sz w:val="20"/>
                <w:szCs w:val="20"/>
              </w:rPr>
            </w:pPr>
            <w:r w:rsidRPr="00C2587D">
              <w:rPr>
                <w:rFonts w:cs="Arial"/>
                <w:iCs/>
                <w:sz w:val="20"/>
                <w:szCs w:val="20"/>
              </w:rPr>
              <w:t>С.4.4.5. Оздоровлення та відпочинок дітей.</w:t>
            </w:r>
          </w:p>
        </w:tc>
      </w:tr>
      <w:tr w:rsidR="00843713" w:rsidRPr="00C2587D" w14:paraId="73521400" w14:textId="77777777" w:rsidTr="00843713">
        <w:trPr>
          <w:trHeight w:val="336"/>
        </w:trPr>
        <w:tc>
          <w:tcPr>
            <w:tcW w:w="2693" w:type="dxa"/>
            <w:vMerge w:val="restart"/>
            <w:vAlign w:val="center"/>
          </w:tcPr>
          <w:p w14:paraId="0889D601" w14:textId="77777777" w:rsidR="00843713" w:rsidRPr="00C2587D" w:rsidRDefault="00843713" w:rsidP="00A36EB4">
            <w:pPr>
              <w:rPr>
                <w:rFonts w:cs="Arial"/>
                <w:color w:val="000000"/>
                <w:sz w:val="20"/>
                <w:szCs w:val="20"/>
                <w:lang w:eastAsia="uk-UA"/>
              </w:rPr>
            </w:pPr>
            <w:r w:rsidRPr="00C2587D">
              <w:rPr>
                <w:rFonts w:cs="Arial"/>
                <w:b/>
                <w:sz w:val="20"/>
                <w:szCs w:val="22"/>
                <w:lang w:eastAsia="uk-UA"/>
              </w:rPr>
              <w:t>С.5. Ефективне управління громадою</w:t>
            </w:r>
          </w:p>
        </w:tc>
        <w:tc>
          <w:tcPr>
            <w:tcW w:w="3823" w:type="dxa"/>
            <w:vAlign w:val="center"/>
          </w:tcPr>
          <w:p w14:paraId="2AE397EA" w14:textId="77777777" w:rsidR="00843713" w:rsidRPr="00C2587D" w:rsidRDefault="00843713" w:rsidP="00A36EB4">
            <w:pPr>
              <w:autoSpaceDE w:val="0"/>
              <w:autoSpaceDN w:val="0"/>
              <w:adjustRightInd w:val="0"/>
              <w:rPr>
                <w:rFonts w:cs="Arial"/>
                <w:bCs/>
                <w:color w:val="000000"/>
                <w:sz w:val="20"/>
                <w:szCs w:val="20"/>
                <w:lang w:eastAsia="uk-UA"/>
              </w:rPr>
            </w:pPr>
            <w:r w:rsidRPr="00C2587D">
              <w:rPr>
                <w:rFonts w:cs="Arial"/>
                <w:bCs/>
                <w:sz w:val="20"/>
                <w:szCs w:val="20"/>
              </w:rPr>
              <w:t>С.5.1. Підвищення ефективності та прозорості  роботи  міських органів влади</w:t>
            </w:r>
          </w:p>
        </w:tc>
        <w:tc>
          <w:tcPr>
            <w:tcW w:w="8505" w:type="dxa"/>
            <w:shd w:val="clear" w:color="auto" w:fill="auto"/>
          </w:tcPr>
          <w:p w14:paraId="7847C4A5" w14:textId="77777777" w:rsidR="00843713" w:rsidRPr="00C2587D" w:rsidRDefault="00843713" w:rsidP="00682193">
            <w:pPr>
              <w:jc w:val="both"/>
              <w:rPr>
                <w:rFonts w:cs="Arial"/>
                <w:iCs/>
                <w:sz w:val="20"/>
                <w:szCs w:val="20"/>
              </w:rPr>
            </w:pPr>
            <w:r w:rsidRPr="00C2587D">
              <w:rPr>
                <w:rFonts w:cs="Arial"/>
                <w:iCs/>
                <w:sz w:val="20"/>
                <w:szCs w:val="20"/>
              </w:rPr>
              <w:t>С.5.1.1. Підтримка розвитку  електронних публічних послуг та сервісів області (автоматизація  ЦНАП, впровадження  регіонального порталу публічних послуг та сервісів. Проведення  навчання, тренінгів, семінарів з питань формування цифрових навичок.</w:t>
            </w:r>
          </w:p>
          <w:p w14:paraId="744FE992" w14:textId="77777777" w:rsidR="00843713" w:rsidRPr="00C2587D" w:rsidRDefault="00843713" w:rsidP="00682193">
            <w:pPr>
              <w:jc w:val="both"/>
              <w:rPr>
                <w:rFonts w:cs="Arial"/>
                <w:iCs/>
                <w:sz w:val="20"/>
                <w:szCs w:val="20"/>
              </w:rPr>
            </w:pPr>
            <w:r w:rsidRPr="00C2587D">
              <w:rPr>
                <w:rFonts w:cs="Arial"/>
                <w:iCs/>
                <w:sz w:val="20"/>
                <w:szCs w:val="20"/>
              </w:rPr>
              <w:t>С.5.1.2. Впровадження  технологій  е –урядування.</w:t>
            </w:r>
          </w:p>
          <w:p w14:paraId="38C07B27" w14:textId="77777777" w:rsidR="00843713" w:rsidRPr="00C2587D" w:rsidRDefault="00843713" w:rsidP="00682193">
            <w:pPr>
              <w:jc w:val="both"/>
              <w:rPr>
                <w:rFonts w:cs="Arial"/>
                <w:iCs/>
                <w:sz w:val="20"/>
                <w:szCs w:val="20"/>
              </w:rPr>
            </w:pPr>
            <w:r w:rsidRPr="00C2587D">
              <w:rPr>
                <w:rFonts w:cs="Arial"/>
                <w:iCs/>
                <w:sz w:val="20"/>
                <w:szCs w:val="20"/>
              </w:rPr>
              <w:t>С.5.1.3. Створення планів розвитку електронного урядування та демократії, підключення електронних сервісів та інструментів (е-петиції, бюджет участі електронні консультації, відкрите  місто та ін.)</w:t>
            </w:r>
          </w:p>
          <w:p w14:paraId="4B415D69" w14:textId="77777777" w:rsidR="00843713" w:rsidRPr="00C2587D" w:rsidRDefault="00843713" w:rsidP="00682193">
            <w:pPr>
              <w:jc w:val="both"/>
              <w:rPr>
                <w:rFonts w:cs="Arial"/>
                <w:iCs/>
                <w:sz w:val="20"/>
                <w:szCs w:val="20"/>
              </w:rPr>
            </w:pPr>
            <w:r w:rsidRPr="00C2587D">
              <w:rPr>
                <w:rFonts w:cs="Arial"/>
                <w:iCs/>
                <w:sz w:val="20"/>
                <w:szCs w:val="20"/>
              </w:rPr>
              <w:t>С.5.1.4. Покращення  інтерактивності веб-сайту міської ради.</w:t>
            </w:r>
          </w:p>
          <w:p w14:paraId="25A9619C" w14:textId="77777777" w:rsidR="00843713" w:rsidRPr="00C2587D" w:rsidRDefault="00843713" w:rsidP="00682193">
            <w:pPr>
              <w:jc w:val="both"/>
              <w:rPr>
                <w:rFonts w:cs="Arial"/>
                <w:iCs/>
                <w:sz w:val="20"/>
                <w:szCs w:val="20"/>
              </w:rPr>
            </w:pPr>
            <w:r w:rsidRPr="00C2587D">
              <w:rPr>
                <w:rFonts w:cs="Arial"/>
                <w:iCs/>
                <w:sz w:val="20"/>
                <w:szCs w:val="20"/>
              </w:rPr>
              <w:t>С.5.1.5. Подальше проведення  он-лайн трансляцій засідань органів місцевого самоврядування.</w:t>
            </w:r>
          </w:p>
          <w:p w14:paraId="6E1256B1" w14:textId="77777777" w:rsidR="00843713" w:rsidRPr="00C2587D" w:rsidRDefault="00843713" w:rsidP="00682193">
            <w:pPr>
              <w:jc w:val="both"/>
              <w:rPr>
                <w:rFonts w:cs="Arial"/>
                <w:iCs/>
                <w:sz w:val="20"/>
                <w:szCs w:val="20"/>
              </w:rPr>
            </w:pPr>
            <w:r w:rsidRPr="00C2587D">
              <w:rPr>
                <w:rFonts w:cs="Arial"/>
                <w:iCs/>
                <w:sz w:val="20"/>
                <w:szCs w:val="20"/>
              </w:rPr>
              <w:t>С.5.1.6. Покращення інструменту  розміщення на  офіційному  веб-сайті основних актів міської ради, що регламентують роботу ОМС та розвиток громади.</w:t>
            </w:r>
          </w:p>
          <w:p w14:paraId="5094A6E8" w14:textId="77777777" w:rsidR="00843713" w:rsidRPr="00C2587D" w:rsidRDefault="00843713" w:rsidP="00682193">
            <w:pPr>
              <w:jc w:val="both"/>
              <w:rPr>
                <w:rFonts w:cs="Arial"/>
                <w:iCs/>
                <w:sz w:val="20"/>
                <w:szCs w:val="20"/>
              </w:rPr>
            </w:pPr>
            <w:r w:rsidRPr="00C2587D">
              <w:rPr>
                <w:rFonts w:cs="Arial"/>
                <w:iCs/>
                <w:sz w:val="20"/>
                <w:szCs w:val="20"/>
              </w:rPr>
              <w:t>С.5.1.7. Сприяння забезпеченню прозорості роботи депутатів міської ради.</w:t>
            </w:r>
          </w:p>
          <w:p w14:paraId="71D3ED9E" w14:textId="77777777" w:rsidR="00843713" w:rsidRPr="00C2587D" w:rsidRDefault="00843713" w:rsidP="00682193">
            <w:pPr>
              <w:jc w:val="both"/>
              <w:rPr>
                <w:rFonts w:cs="Arial"/>
                <w:iCs/>
                <w:sz w:val="20"/>
                <w:szCs w:val="20"/>
              </w:rPr>
            </w:pPr>
            <w:r w:rsidRPr="00C2587D">
              <w:rPr>
                <w:rFonts w:cs="Arial"/>
                <w:iCs/>
                <w:sz w:val="20"/>
                <w:szCs w:val="20"/>
              </w:rPr>
              <w:lastRenderedPageBreak/>
              <w:t>С.5.1.8. Забезпечення відкритості  інформації про роботу  міської ради та її виконавчих органів.</w:t>
            </w:r>
          </w:p>
          <w:p w14:paraId="6A4FB058" w14:textId="77777777" w:rsidR="00843713" w:rsidRPr="00C2587D" w:rsidRDefault="00843713" w:rsidP="00682193">
            <w:pPr>
              <w:jc w:val="both"/>
              <w:rPr>
                <w:rFonts w:cs="Arial"/>
                <w:iCs/>
                <w:sz w:val="20"/>
                <w:szCs w:val="20"/>
              </w:rPr>
            </w:pPr>
            <w:r w:rsidRPr="00C2587D">
              <w:rPr>
                <w:rFonts w:cs="Arial"/>
                <w:iCs/>
                <w:sz w:val="20"/>
                <w:szCs w:val="20"/>
              </w:rPr>
              <w:t>С.5.1.9. Забезпечення відкритості інформації про прийом  мешканців громади.</w:t>
            </w:r>
          </w:p>
          <w:p w14:paraId="0E2D1A2E" w14:textId="77777777" w:rsidR="00843713" w:rsidRPr="00C2587D" w:rsidRDefault="00843713" w:rsidP="00682193">
            <w:pPr>
              <w:spacing w:before="20" w:after="20"/>
              <w:jc w:val="both"/>
              <w:rPr>
                <w:rFonts w:cs="Arial"/>
                <w:sz w:val="20"/>
                <w:szCs w:val="20"/>
              </w:rPr>
            </w:pPr>
            <w:r w:rsidRPr="00C2587D">
              <w:rPr>
                <w:rFonts w:cs="Arial"/>
                <w:iCs/>
                <w:sz w:val="20"/>
                <w:szCs w:val="20"/>
              </w:rPr>
              <w:t>С.5.1.10.Забезпечення підзвітності органів  і посадових осіб перед громадою.</w:t>
            </w:r>
          </w:p>
        </w:tc>
      </w:tr>
      <w:tr w:rsidR="00843713" w:rsidRPr="00C2587D" w14:paraId="3E37A1E4" w14:textId="77777777" w:rsidTr="00843713">
        <w:trPr>
          <w:trHeight w:val="312"/>
        </w:trPr>
        <w:tc>
          <w:tcPr>
            <w:tcW w:w="2693" w:type="dxa"/>
            <w:vMerge/>
            <w:vAlign w:val="center"/>
          </w:tcPr>
          <w:p w14:paraId="6A9C2C50" w14:textId="77777777" w:rsidR="00843713" w:rsidRPr="00C2587D" w:rsidRDefault="00843713" w:rsidP="00A36EB4">
            <w:pPr>
              <w:rPr>
                <w:rFonts w:cs="Arial"/>
                <w:b/>
                <w:sz w:val="20"/>
                <w:szCs w:val="22"/>
                <w:lang w:eastAsia="uk-UA"/>
              </w:rPr>
            </w:pPr>
          </w:p>
        </w:tc>
        <w:tc>
          <w:tcPr>
            <w:tcW w:w="3823" w:type="dxa"/>
            <w:vAlign w:val="center"/>
          </w:tcPr>
          <w:p w14:paraId="045CD8FA" w14:textId="77777777" w:rsidR="00843713" w:rsidRPr="00C2587D" w:rsidRDefault="00843713" w:rsidP="00A36EB4">
            <w:pPr>
              <w:rPr>
                <w:rFonts w:cs="Arial"/>
                <w:bCs/>
                <w:color w:val="000000"/>
                <w:sz w:val="20"/>
                <w:szCs w:val="20"/>
                <w:lang w:eastAsia="uk-UA"/>
              </w:rPr>
            </w:pPr>
            <w:r w:rsidRPr="00C2587D">
              <w:rPr>
                <w:rFonts w:cs="Arial"/>
                <w:bCs/>
                <w:sz w:val="20"/>
                <w:szCs w:val="20"/>
              </w:rPr>
              <w:t>С.5.2. Створення активного громадського середовища</w:t>
            </w:r>
          </w:p>
        </w:tc>
        <w:tc>
          <w:tcPr>
            <w:tcW w:w="8505" w:type="dxa"/>
            <w:shd w:val="clear" w:color="auto" w:fill="auto"/>
          </w:tcPr>
          <w:p w14:paraId="78FC8F1C" w14:textId="77777777" w:rsidR="00843713" w:rsidRPr="00C2587D" w:rsidRDefault="00843713" w:rsidP="00682193">
            <w:pPr>
              <w:jc w:val="both"/>
              <w:rPr>
                <w:rFonts w:cs="Arial"/>
                <w:iCs/>
                <w:sz w:val="20"/>
                <w:szCs w:val="20"/>
              </w:rPr>
            </w:pPr>
            <w:r w:rsidRPr="00C2587D">
              <w:rPr>
                <w:rFonts w:cs="Arial"/>
                <w:iCs/>
                <w:sz w:val="20"/>
                <w:szCs w:val="20"/>
              </w:rPr>
              <w:t>С.5.2.1. Активне залучення мешканців до планування та ухвалення рішень ОМС Жмеринської міської територіальної громади.</w:t>
            </w:r>
          </w:p>
          <w:p w14:paraId="0C0B3064" w14:textId="77777777" w:rsidR="00843713" w:rsidRPr="00C2587D" w:rsidRDefault="00843713" w:rsidP="00682193">
            <w:pPr>
              <w:jc w:val="both"/>
              <w:rPr>
                <w:rFonts w:cs="Arial"/>
                <w:iCs/>
                <w:sz w:val="20"/>
                <w:szCs w:val="20"/>
              </w:rPr>
            </w:pPr>
            <w:r w:rsidRPr="00C2587D">
              <w:rPr>
                <w:rFonts w:cs="Arial"/>
                <w:iCs/>
                <w:sz w:val="20"/>
                <w:szCs w:val="20"/>
              </w:rPr>
              <w:t>С.5.2.2. Покращення правового регулювання інструментів місцевої демократії, а саме:  порядку внесення  місцевої ініціативи.</w:t>
            </w:r>
          </w:p>
          <w:p w14:paraId="244C32B0" w14:textId="77777777" w:rsidR="00843713" w:rsidRPr="00C2587D" w:rsidRDefault="00843713" w:rsidP="00682193">
            <w:pPr>
              <w:jc w:val="both"/>
              <w:rPr>
                <w:rFonts w:cs="Arial"/>
                <w:iCs/>
                <w:sz w:val="20"/>
                <w:szCs w:val="20"/>
              </w:rPr>
            </w:pPr>
            <w:r w:rsidRPr="00C2587D">
              <w:rPr>
                <w:rFonts w:cs="Arial"/>
                <w:iCs/>
                <w:sz w:val="20"/>
                <w:szCs w:val="20"/>
              </w:rPr>
              <w:t>С.5.2.3. Удосконалення та покращення  правового регулювання громадських слухань.</w:t>
            </w:r>
          </w:p>
          <w:p w14:paraId="1A4152EC" w14:textId="77777777" w:rsidR="00843713" w:rsidRPr="00C2587D" w:rsidRDefault="00843713" w:rsidP="00682193">
            <w:pPr>
              <w:jc w:val="both"/>
              <w:rPr>
                <w:rFonts w:cs="Arial"/>
                <w:iCs/>
                <w:sz w:val="20"/>
                <w:szCs w:val="20"/>
              </w:rPr>
            </w:pPr>
            <w:r w:rsidRPr="00C2587D">
              <w:rPr>
                <w:rFonts w:cs="Arial"/>
                <w:iCs/>
                <w:sz w:val="20"/>
                <w:szCs w:val="20"/>
              </w:rPr>
              <w:t>С.5.2.4. Удосконалення  та забезпечення проведення  загальних зборів громадян за місцем  проживання.</w:t>
            </w:r>
          </w:p>
          <w:p w14:paraId="5716D810" w14:textId="77777777" w:rsidR="00843713" w:rsidRPr="00C2587D" w:rsidRDefault="00843713" w:rsidP="00682193">
            <w:pPr>
              <w:jc w:val="both"/>
              <w:rPr>
                <w:rFonts w:cs="Arial"/>
                <w:iCs/>
                <w:sz w:val="20"/>
                <w:szCs w:val="20"/>
              </w:rPr>
            </w:pPr>
            <w:r w:rsidRPr="00C2587D">
              <w:rPr>
                <w:rFonts w:cs="Arial"/>
                <w:iCs/>
                <w:sz w:val="20"/>
                <w:szCs w:val="20"/>
              </w:rPr>
              <w:t>С.5.2.5. Проведення  та удосконалення правового регулювання  публічних  та  електронних консультацій з громадськістю.</w:t>
            </w:r>
          </w:p>
          <w:p w14:paraId="226BBDB9" w14:textId="77777777" w:rsidR="00843713" w:rsidRPr="00C2587D" w:rsidRDefault="00843713" w:rsidP="00682193">
            <w:pPr>
              <w:jc w:val="both"/>
              <w:rPr>
                <w:rFonts w:cs="Arial"/>
                <w:iCs/>
                <w:sz w:val="20"/>
                <w:szCs w:val="20"/>
              </w:rPr>
            </w:pPr>
            <w:r w:rsidRPr="00C2587D">
              <w:rPr>
                <w:rFonts w:cs="Arial"/>
                <w:iCs/>
                <w:sz w:val="20"/>
                <w:szCs w:val="20"/>
              </w:rPr>
              <w:t>С.5.2.6. Покращення  правового регулювання електронних петицій.</w:t>
            </w:r>
          </w:p>
          <w:p w14:paraId="1A5A28DE" w14:textId="77777777" w:rsidR="00843713" w:rsidRPr="00C2587D" w:rsidRDefault="00843713" w:rsidP="00682193">
            <w:pPr>
              <w:jc w:val="both"/>
              <w:rPr>
                <w:rFonts w:cs="Arial"/>
                <w:iCs/>
                <w:sz w:val="20"/>
                <w:szCs w:val="20"/>
              </w:rPr>
            </w:pPr>
            <w:r w:rsidRPr="00C2587D">
              <w:rPr>
                <w:rFonts w:cs="Arial"/>
                <w:iCs/>
                <w:sz w:val="20"/>
                <w:szCs w:val="20"/>
              </w:rPr>
              <w:t>С.5.2.7. Проведення  та удосконалення правового регулювання громадського бюджету.</w:t>
            </w:r>
          </w:p>
          <w:p w14:paraId="0FDE8B24" w14:textId="77777777" w:rsidR="00843713" w:rsidRPr="00C2587D" w:rsidRDefault="00843713" w:rsidP="00682193">
            <w:pPr>
              <w:jc w:val="both"/>
              <w:rPr>
                <w:rFonts w:cs="Arial"/>
                <w:iCs/>
                <w:sz w:val="20"/>
                <w:szCs w:val="20"/>
              </w:rPr>
            </w:pPr>
            <w:r w:rsidRPr="00C2587D">
              <w:rPr>
                <w:rFonts w:cs="Arial"/>
                <w:iCs/>
                <w:sz w:val="20"/>
                <w:szCs w:val="20"/>
              </w:rPr>
              <w:t>С.5.2.8. Проведення громадської експертизи діяльності  виконавчих органів міської ради.</w:t>
            </w:r>
          </w:p>
          <w:p w14:paraId="678CAA49" w14:textId="77777777" w:rsidR="00843713" w:rsidRPr="00C2587D" w:rsidRDefault="00843713" w:rsidP="00682193">
            <w:pPr>
              <w:jc w:val="both"/>
              <w:rPr>
                <w:rFonts w:cs="Arial"/>
                <w:iCs/>
                <w:sz w:val="20"/>
                <w:szCs w:val="20"/>
              </w:rPr>
            </w:pPr>
            <w:r w:rsidRPr="00C2587D">
              <w:rPr>
                <w:rFonts w:cs="Arial"/>
                <w:iCs/>
                <w:sz w:val="20"/>
                <w:szCs w:val="20"/>
              </w:rPr>
              <w:t>С.5.2.9. Покращення  інтерактивності веб-сайту міської ради.</w:t>
            </w:r>
          </w:p>
          <w:p w14:paraId="1A6D93EE" w14:textId="77777777" w:rsidR="00843713" w:rsidRPr="00C2587D" w:rsidRDefault="00843713" w:rsidP="00682193">
            <w:pPr>
              <w:jc w:val="both"/>
              <w:rPr>
                <w:rFonts w:cs="Arial"/>
                <w:iCs/>
                <w:sz w:val="20"/>
                <w:szCs w:val="20"/>
              </w:rPr>
            </w:pPr>
            <w:r w:rsidRPr="00C2587D">
              <w:rPr>
                <w:rFonts w:cs="Arial"/>
                <w:iCs/>
                <w:sz w:val="20"/>
                <w:szCs w:val="20"/>
              </w:rPr>
              <w:t>С.5.2.10. Підтримка та розвиток діяльності органів самоорганізації населення.</w:t>
            </w:r>
          </w:p>
          <w:p w14:paraId="78D0CA07" w14:textId="77777777" w:rsidR="00843713" w:rsidRPr="00C2587D" w:rsidRDefault="00843713" w:rsidP="00682193">
            <w:pPr>
              <w:jc w:val="both"/>
              <w:rPr>
                <w:rFonts w:cs="Arial"/>
                <w:iCs/>
                <w:sz w:val="20"/>
                <w:szCs w:val="20"/>
              </w:rPr>
            </w:pPr>
            <w:r w:rsidRPr="00C2587D">
              <w:rPr>
                <w:rFonts w:cs="Arial"/>
                <w:iCs/>
                <w:sz w:val="20"/>
                <w:szCs w:val="20"/>
              </w:rPr>
              <w:t>С.5.2.11. Сприяння роботі  консультативно-дорадчих органів.</w:t>
            </w:r>
          </w:p>
          <w:p w14:paraId="7CE37410" w14:textId="77777777" w:rsidR="00843713" w:rsidRPr="00C2587D" w:rsidRDefault="00843713" w:rsidP="00682193">
            <w:pPr>
              <w:jc w:val="both"/>
              <w:rPr>
                <w:rFonts w:cs="Arial"/>
                <w:iCs/>
                <w:sz w:val="20"/>
                <w:szCs w:val="20"/>
              </w:rPr>
            </w:pPr>
            <w:r w:rsidRPr="00C2587D">
              <w:rPr>
                <w:rFonts w:cs="Arial"/>
                <w:iCs/>
                <w:sz w:val="20"/>
                <w:szCs w:val="20"/>
              </w:rPr>
              <w:t>С.5.2.12. Ухвалення міських програм сприяння  розвитку громадянського суспільства та громадської участі.</w:t>
            </w:r>
          </w:p>
          <w:p w14:paraId="3CE87E07" w14:textId="77777777" w:rsidR="00843713" w:rsidRPr="00C2587D" w:rsidRDefault="00843713" w:rsidP="00682193">
            <w:pPr>
              <w:spacing w:before="20" w:after="20"/>
              <w:jc w:val="both"/>
              <w:rPr>
                <w:rFonts w:cs="Arial"/>
                <w:sz w:val="20"/>
                <w:szCs w:val="20"/>
              </w:rPr>
            </w:pPr>
            <w:r w:rsidRPr="00C2587D">
              <w:rPr>
                <w:rFonts w:cs="Arial"/>
                <w:iCs/>
                <w:sz w:val="20"/>
                <w:szCs w:val="20"/>
              </w:rPr>
              <w:t>С.5.2.13. Залучення мешканців до формування місцевого бюджету/ бюджетний регламент.</w:t>
            </w:r>
          </w:p>
        </w:tc>
      </w:tr>
    </w:tbl>
    <w:p w14:paraId="774A8F60" w14:textId="77777777" w:rsidR="00A36EB4" w:rsidRPr="00C2587D" w:rsidRDefault="00A36EB4" w:rsidP="00A36EB4">
      <w:pPr>
        <w:spacing w:before="120" w:after="120"/>
        <w:jc w:val="both"/>
        <w:rPr>
          <w:rFonts w:cs="Arial"/>
        </w:rPr>
        <w:sectPr w:rsidR="00A36EB4" w:rsidRPr="00C2587D" w:rsidSect="00C60A15">
          <w:pgSz w:w="16838" w:h="11906" w:orient="landscape" w:code="9"/>
          <w:pgMar w:top="426" w:right="1134" w:bottom="851" w:left="1134" w:header="794" w:footer="794" w:gutter="0"/>
          <w:cols w:space="708"/>
          <w:docGrid w:linePitch="360"/>
        </w:sectPr>
      </w:pPr>
    </w:p>
    <w:p w14:paraId="026B5721" w14:textId="078099C0" w:rsidR="00A36EB4" w:rsidRPr="00C2587D" w:rsidRDefault="00A36EB4" w:rsidP="00A36EB4">
      <w:pPr>
        <w:keepNext/>
        <w:tabs>
          <w:tab w:val="left" w:pos="851"/>
        </w:tabs>
        <w:spacing w:before="120" w:after="60"/>
        <w:ind w:left="851" w:hanging="851"/>
        <w:outlineLvl w:val="2"/>
        <w:rPr>
          <w:b/>
          <w:bCs/>
          <w:i/>
          <w:color w:val="455E63"/>
          <w:sz w:val="24"/>
          <w:lang w:eastAsia="ar-SA"/>
        </w:rPr>
      </w:pPr>
      <w:r w:rsidRPr="00C2587D">
        <w:rPr>
          <w:b/>
          <w:bCs/>
          <w:i/>
          <w:color w:val="455E63"/>
          <w:sz w:val="24"/>
          <w:lang w:eastAsia="ar-SA"/>
        </w:rPr>
        <w:lastRenderedPageBreak/>
        <w:tab/>
        <w:t xml:space="preserve">Орієнтовний фінансовий план Програми Стратегічного напрямку </w:t>
      </w:r>
      <w:r w:rsidRPr="00C2587D">
        <w:rPr>
          <w:b/>
          <w:bCs/>
          <w:i/>
          <w:color w:val="455E63"/>
          <w:sz w:val="24"/>
          <w:lang w:eastAsia="ar-SA"/>
        </w:rPr>
        <w:br/>
        <w:t>С. «Доступна громада»</w:t>
      </w:r>
    </w:p>
    <w:tbl>
      <w:tblPr>
        <w:tblW w:w="10476" w:type="dxa"/>
        <w:jc w:val="center"/>
        <w:tblLook w:val="04A0" w:firstRow="1" w:lastRow="0" w:firstColumn="1" w:lastColumn="0" w:noHBand="0" w:noVBand="1"/>
      </w:tblPr>
      <w:tblGrid>
        <w:gridCol w:w="562"/>
        <w:gridCol w:w="4111"/>
        <w:gridCol w:w="1162"/>
        <w:gridCol w:w="1273"/>
        <w:gridCol w:w="1109"/>
        <w:gridCol w:w="1112"/>
        <w:gridCol w:w="1119"/>
        <w:gridCol w:w="28"/>
      </w:tblGrid>
      <w:tr w:rsidR="00A36EB4" w:rsidRPr="00C2587D" w14:paraId="1F7090EC" w14:textId="77777777" w:rsidTr="00A041B2">
        <w:trPr>
          <w:jc w:val="center"/>
        </w:trPr>
        <w:tc>
          <w:tcPr>
            <w:tcW w:w="10476" w:type="dxa"/>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FA4D33" w14:textId="77777777" w:rsidR="00A36EB4" w:rsidRPr="00C2587D" w:rsidRDefault="00A36EB4" w:rsidP="00A36EB4">
            <w:pPr>
              <w:rPr>
                <w:rFonts w:cs="Arial"/>
                <w:b/>
                <w:bCs/>
                <w:color w:val="000000"/>
                <w:sz w:val="20"/>
                <w:szCs w:val="20"/>
                <w:lang w:eastAsia="uk-UA"/>
              </w:rPr>
            </w:pPr>
            <w:r w:rsidRPr="00C2587D">
              <w:rPr>
                <w:rFonts w:cs="Arial"/>
                <w:b/>
                <w:bCs/>
                <w:color w:val="000000"/>
                <w:sz w:val="20"/>
                <w:szCs w:val="20"/>
                <w:lang w:eastAsia="uk-UA"/>
              </w:rPr>
              <w:t>Програма С. Доступна громада</w:t>
            </w:r>
          </w:p>
        </w:tc>
      </w:tr>
      <w:tr w:rsidR="00A36EB4" w:rsidRPr="00C2587D" w14:paraId="3CCB0BA9" w14:textId="77777777" w:rsidTr="00A041B2">
        <w:trPr>
          <w:gridAfter w:val="1"/>
          <w:wAfter w:w="28" w:type="dxa"/>
          <w:jc w:val="center"/>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3C746DCC" w14:textId="77777777" w:rsidR="00A36EB4" w:rsidRPr="00C2587D" w:rsidRDefault="00A36EB4" w:rsidP="00A36EB4">
            <w:pPr>
              <w:jc w:val="center"/>
              <w:rPr>
                <w:rFonts w:cs="Arial"/>
                <w:b/>
                <w:bCs/>
                <w:sz w:val="20"/>
                <w:szCs w:val="20"/>
                <w:lang w:eastAsia="uk-UA"/>
              </w:rPr>
            </w:pPr>
            <w:r w:rsidRPr="00C2587D">
              <w:rPr>
                <w:rFonts w:cs="Arial"/>
                <w:b/>
                <w:bCs/>
                <w:sz w:val="20"/>
                <w:szCs w:val="20"/>
                <w:lang w:eastAsia="uk-UA"/>
              </w:rPr>
              <w:t>№ п/п</w:t>
            </w:r>
          </w:p>
        </w:tc>
        <w:tc>
          <w:tcPr>
            <w:tcW w:w="4111" w:type="dxa"/>
            <w:tcBorders>
              <w:top w:val="nil"/>
              <w:left w:val="nil"/>
              <w:bottom w:val="single" w:sz="4" w:space="0" w:color="auto"/>
              <w:right w:val="single" w:sz="4" w:space="0" w:color="auto"/>
            </w:tcBorders>
            <w:shd w:val="clear" w:color="auto" w:fill="auto"/>
            <w:vAlign w:val="center"/>
            <w:hideMark/>
          </w:tcPr>
          <w:p w14:paraId="59A51090" w14:textId="1D3796AD" w:rsidR="00A36EB4" w:rsidRPr="00C2587D" w:rsidRDefault="00843713" w:rsidP="00A36EB4">
            <w:pPr>
              <w:tabs>
                <w:tab w:val="left" w:pos="4182"/>
              </w:tabs>
              <w:jc w:val="center"/>
              <w:rPr>
                <w:rFonts w:cs="Arial"/>
                <w:b/>
                <w:bCs/>
                <w:sz w:val="20"/>
                <w:szCs w:val="20"/>
                <w:lang w:eastAsia="uk-UA"/>
              </w:rPr>
            </w:pPr>
            <w:r w:rsidRPr="00C2587D">
              <w:rPr>
                <w:rFonts w:cs="Arial"/>
                <w:b/>
                <w:bCs/>
                <w:sz w:val="20"/>
                <w:szCs w:val="20"/>
                <w:lang w:eastAsia="uk-UA"/>
              </w:rPr>
              <w:t>Назва проє</w:t>
            </w:r>
            <w:r w:rsidR="00A36EB4" w:rsidRPr="00C2587D">
              <w:rPr>
                <w:rFonts w:cs="Arial"/>
                <w:b/>
                <w:bCs/>
                <w:sz w:val="20"/>
                <w:szCs w:val="20"/>
                <w:lang w:eastAsia="uk-UA"/>
              </w:rPr>
              <w:t>кту</w:t>
            </w:r>
          </w:p>
        </w:tc>
        <w:tc>
          <w:tcPr>
            <w:tcW w:w="1162" w:type="dxa"/>
            <w:tcBorders>
              <w:top w:val="nil"/>
              <w:left w:val="nil"/>
              <w:bottom w:val="single" w:sz="4" w:space="0" w:color="auto"/>
              <w:right w:val="single" w:sz="4" w:space="0" w:color="auto"/>
            </w:tcBorders>
            <w:shd w:val="clear" w:color="auto" w:fill="auto"/>
            <w:noWrap/>
            <w:vAlign w:val="center"/>
            <w:hideMark/>
          </w:tcPr>
          <w:p w14:paraId="2C793BE8" w14:textId="19D695B9" w:rsidR="00A36EB4" w:rsidRPr="00C2587D" w:rsidRDefault="00843713" w:rsidP="00A36EB4">
            <w:pPr>
              <w:tabs>
                <w:tab w:val="left" w:pos="4182"/>
              </w:tabs>
              <w:jc w:val="center"/>
              <w:rPr>
                <w:rFonts w:cs="Arial"/>
                <w:b/>
                <w:bCs/>
                <w:sz w:val="20"/>
                <w:szCs w:val="20"/>
                <w:lang w:eastAsia="uk-UA"/>
              </w:rPr>
            </w:pPr>
            <w:r w:rsidRPr="00C2587D">
              <w:rPr>
                <w:rFonts w:cs="Arial"/>
                <w:b/>
                <w:bCs/>
                <w:sz w:val="20"/>
                <w:szCs w:val="20"/>
                <w:lang w:eastAsia="uk-UA"/>
              </w:rPr>
              <w:t>2025</w:t>
            </w:r>
          </w:p>
        </w:tc>
        <w:tc>
          <w:tcPr>
            <w:tcW w:w="1273" w:type="dxa"/>
            <w:tcBorders>
              <w:top w:val="nil"/>
              <w:left w:val="nil"/>
              <w:bottom w:val="single" w:sz="4" w:space="0" w:color="auto"/>
              <w:right w:val="single" w:sz="4" w:space="0" w:color="auto"/>
            </w:tcBorders>
            <w:shd w:val="clear" w:color="auto" w:fill="auto"/>
            <w:noWrap/>
            <w:vAlign w:val="center"/>
            <w:hideMark/>
          </w:tcPr>
          <w:p w14:paraId="41FBF3B8" w14:textId="59154759" w:rsidR="00A36EB4" w:rsidRPr="00C2587D" w:rsidRDefault="00843713" w:rsidP="00A36EB4">
            <w:pPr>
              <w:tabs>
                <w:tab w:val="left" w:pos="4182"/>
              </w:tabs>
              <w:jc w:val="center"/>
              <w:rPr>
                <w:rFonts w:cs="Arial"/>
                <w:b/>
                <w:bCs/>
                <w:sz w:val="20"/>
                <w:szCs w:val="20"/>
                <w:lang w:eastAsia="uk-UA"/>
              </w:rPr>
            </w:pPr>
            <w:r w:rsidRPr="00C2587D">
              <w:rPr>
                <w:rFonts w:cs="Arial"/>
                <w:b/>
                <w:bCs/>
                <w:sz w:val="20"/>
                <w:szCs w:val="20"/>
                <w:lang w:eastAsia="uk-UA"/>
              </w:rPr>
              <w:t>2026</w:t>
            </w:r>
          </w:p>
        </w:tc>
        <w:tc>
          <w:tcPr>
            <w:tcW w:w="1109" w:type="dxa"/>
            <w:tcBorders>
              <w:top w:val="nil"/>
              <w:left w:val="nil"/>
              <w:bottom w:val="single" w:sz="4" w:space="0" w:color="auto"/>
              <w:right w:val="single" w:sz="4" w:space="0" w:color="auto"/>
            </w:tcBorders>
            <w:shd w:val="clear" w:color="auto" w:fill="auto"/>
            <w:noWrap/>
            <w:vAlign w:val="center"/>
            <w:hideMark/>
          </w:tcPr>
          <w:p w14:paraId="79C1BBC6" w14:textId="7A183326" w:rsidR="00A36EB4" w:rsidRPr="00C2587D" w:rsidRDefault="00843713" w:rsidP="00A36EB4">
            <w:pPr>
              <w:tabs>
                <w:tab w:val="left" w:pos="4182"/>
              </w:tabs>
              <w:jc w:val="center"/>
              <w:rPr>
                <w:rFonts w:cs="Arial"/>
                <w:b/>
                <w:bCs/>
                <w:sz w:val="20"/>
                <w:szCs w:val="20"/>
                <w:lang w:eastAsia="uk-UA"/>
              </w:rPr>
            </w:pPr>
            <w:r w:rsidRPr="00C2587D">
              <w:rPr>
                <w:rFonts w:cs="Arial"/>
                <w:b/>
                <w:bCs/>
                <w:sz w:val="20"/>
                <w:szCs w:val="20"/>
                <w:lang w:eastAsia="uk-UA"/>
              </w:rPr>
              <w:t>2027</w:t>
            </w:r>
          </w:p>
        </w:tc>
        <w:tc>
          <w:tcPr>
            <w:tcW w:w="1112" w:type="dxa"/>
            <w:tcBorders>
              <w:top w:val="nil"/>
              <w:left w:val="nil"/>
              <w:bottom w:val="single" w:sz="4" w:space="0" w:color="auto"/>
              <w:right w:val="single" w:sz="4" w:space="0" w:color="auto"/>
            </w:tcBorders>
            <w:shd w:val="clear" w:color="auto" w:fill="auto"/>
            <w:noWrap/>
            <w:vAlign w:val="center"/>
            <w:hideMark/>
          </w:tcPr>
          <w:p w14:paraId="184D8448" w14:textId="7DF95E55" w:rsidR="00A36EB4" w:rsidRPr="00C2587D" w:rsidRDefault="00843713" w:rsidP="00A36EB4">
            <w:pPr>
              <w:tabs>
                <w:tab w:val="left" w:pos="4182"/>
              </w:tabs>
              <w:jc w:val="center"/>
              <w:rPr>
                <w:rFonts w:cs="Arial"/>
                <w:b/>
                <w:bCs/>
                <w:sz w:val="20"/>
                <w:szCs w:val="20"/>
                <w:lang w:eastAsia="uk-UA"/>
              </w:rPr>
            </w:pPr>
            <w:r w:rsidRPr="00C2587D">
              <w:rPr>
                <w:rFonts w:cs="Arial"/>
                <w:b/>
                <w:bCs/>
                <w:sz w:val="20"/>
                <w:szCs w:val="20"/>
                <w:lang w:eastAsia="uk-UA"/>
              </w:rPr>
              <w:t>2028</w:t>
            </w:r>
          </w:p>
        </w:tc>
        <w:tc>
          <w:tcPr>
            <w:tcW w:w="1119" w:type="dxa"/>
            <w:tcBorders>
              <w:top w:val="nil"/>
              <w:left w:val="nil"/>
              <w:bottom w:val="single" w:sz="4" w:space="0" w:color="auto"/>
              <w:right w:val="single" w:sz="4" w:space="0" w:color="auto"/>
            </w:tcBorders>
            <w:vAlign w:val="center"/>
          </w:tcPr>
          <w:p w14:paraId="70D8809D" w14:textId="77777777" w:rsidR="00A36EB4" w:rsidRPr="00C2587D" w:rsidRDefault="00A36EB4" w:rsidP="00A36EB4">
            <w:pPr>
              <w:tabs>
                <w:tab w:val="left" w:pos="4182"/>
              </w:tabs>
              <w:jc w:val="center"/>
              <w:rPr>
                <w:rFonts w:cs="Arial"/>
                <w:b/>
                <w:bCs/>
                <w:sz w:val="20"/>
                <w:szCs w:val="20"/>
                <w:lang w:eastAsia="uk-UA"/>
              </w:rPr>
            </w:pPr>
            <w:r w:rsidRPr="00C2587D">
              <w:rPr>
                <w:rFonts w:cs="Arial"/>
                <w:b/>
                <w:bCs/>
                <w:sz w:val="20"/>
                <w:szCs w:val="20"/>
                <w:lang w:eastAsia="uk-UA"/>
              </w:rPr>
              <w:t>ВСЬОГО</w:t>
            </w:r>
          </w:p>
        </w:tc>
      </w:tr>
      <w:tr w:rsidR="00A36EB4" w:rsidRPr="00C2587D" w14:paraId="77586C0E" w14:textId="77777777" w:rsidTr="00A041B2">
        <w:trPr>
          <w:trHeight w:val="515"/>
          <w:jc w:val="center"/>
        </w:trPr>
        <w:tc>
          <w:tcPr>
            <w:tcW w:w="10476"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8B195A" w14:textId="77777777" w:rsidR="00A36EB4" w:rsidRPr="00987B8D" w:rsidRDefault="00A36EB4" w:rsidP="008F40F1">
            <w:pPr>
              <w:rPr>
                <w:rFonts w:cs="Arial"/>
                <w:b/>
                <w:bCs/>
                <w:i/>
                <w:iCs/>
                <w:sz w:val="20"/>
                <w:szCs w:val="20"/>
                <w:lang w:eastAsia="uk-UA"/>
              </w:rPr>
            </w:pPr>
            <w:r w:rsidRPr="00987B8D">
              <w:rPr>
                <w:rFonts w:cs="Arial"/>
                <w:b/>
                <w:bCs/>
                <w:i/>
                <w:iCs/>
                <w:sz w:val="20"/>
                <w:szCs w:val="20"/>
                <w:lang w:eastAsia="uk-UA"/>
              </w:rPr>
              <w:t>Стратегічна ціль С.1. Підвищення рівня надання освітніх послуг</w:t>
            </w:r>
          </w:p>
        </w:tc>
      </w:tr>
      <w:tr w:rsidR="007A03C4" w:rsidRPr="00C2587D" w14:paraId="36A20653" w14:textId="77777777" w:rsidTr="004B3BEE">
        <w:trPr>
          <w:gridAfter w:val="1"/>
          <w:wAfter w:w="28" w:type="dxa"/>
          <w:trHeight w:val="412"/>
          <w:jc w:val="center"/>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36578A" w14:textId="77777777" w:rsidR="007A03C4" w:rsidRPr="00C2587D" w:rsidRDefault="007A03C4" w:rsidP="007A03C4">
            <w:pPr>
              <w:jc w:val="right"/>
              <w:rPr>
                <w:rFonts w:cs="Arial"/>
                <w:color w:val="000000"/>
                <w:sz w:val="20"/>
                <w:szCs w:val="20"/>
                <w:lang w:eastAsia="uk-UA"/>
              </w:rPr>
            </w:pPr>
            <w:r w:rsidRPr="00C2587D">
              <w:rPr>
                <w:rFonts w:cs="Arial"/>
                <w:color w:val="000000"/>
                <w:sz w:val="20"/>
                <w:szCs w:val="20"/>
                <w:lang w:eastAsia="uk-UA"/>
              </w:rPr>
              <w:t>1.</w:t>
            </w:r>
          </w:p>
        </w:tc>
        <w:tc>
          <w:tcPr>
            <w:tcW w:w="4111" w:type="dxa"/>
            <w:tcBorders>
              <w:top w:val="single" w:sz="4" w:space="0" w:color="auto"/>
              <w:left w:val="nil"/>
              <w:bottom w:val="single" w:sz="4" w:space="0" w:color="auto"/>
              <w:right w:val="single" w:sz="4" w:space="0" w:color="auto"/>
            </w:tcBorders>
            <w:shd w:val="clear" w:color="auto" w:fill="auto"/>
            <w:noWrap/>
            <w:vAlign w:val="center"/>
          </w:tcPr>
          <w:p w14:paraId="3DC905C0" w14:textId="6D00024B" w:rsidR="007A03C4" w:rsidRPr="00C2587D" w:rsidRDefault="007A03C4" w:rsidP="007A03C4">
            <w:pPr>
              <w:jc w:val="both"/>
              <w:rPr>
                <w:rFonts w:cs="Arial"/>
                <w:sz w:val="20"/>
                <w:szCs w:val="20"/>
                <w:lang w:eastAsia="uk-UA"/>
              </w:rPr>
            </w:pPr>
            <w:r w:rsidRPr="00C2587D">
              <w:rPr>
                <w:rFonts w:cs="Arial"/>
                <w:sz w:val="20"/>
                <w:szCs w:val="20"/>
                <w:lang w:eastAsia="uk-UA"/>
              </w:rPr>
              <w:t>Освіта без бар’єрів</w:t>
            </w:r>
          </w:p>
        </w:tc>
        <w:tc>
          <w:tcPr>
            <w:tcW w:w="1162" w:type="dxa"/>
            <w:tcBorders>
              <w:top w:val="single" w:sz="4" w:space="0" w:color="auto"/>
              <w:bottom w:val="single" w:sz="4" w:space="0" w:color="auto"/>
              <w:right w:val="single" w:sz="4" w:space="0" w:color="auto"/>
            </w:tcBorders>
            <w:vAlign w:val="center"/>
          </w:tcPr>
          <w:p w14:paraId="63EE6E90" w14:textId="4FF4D2BE" w:rsidR="007A03C4" w:rsidRPr="00C2587D" w:rsidRDefault="007A03C4" w:rsidP="007A03C4">
            <w:pPr>
              <w:jc w:val="center"/>
              <w:rPr>
                <w:rFonts w:cs="Arial"/>
                <w:sz w:val="20"/>
                <w:szCs w:val="20"/>
                <w:lang w:eastAsia="it-IT"/>
              </w:rPr>
            </w:pPr>
            <w:r w:rsidRPr="00C2587D">
              <w:rPr>
                <w:rFonts w:cs="Arial"/>
                <w:sz w:val="20"/>
                <w:szCs w:val="20"/>
                <w:lang w:eastAsia="it-IT"/>
              </w:rPr>
              <w:t>5 200, 0</w:t>
            </w:r>
          </w:p>
        </w:tc>
        <w:tc>
          <w:tcPr>
            <w:tcW w:w="1273" w:type="dxa"/>
            <w:tcBorders>
              <w:top w:val="single" w:sz="4" w:space="0" w:color="auto"/>
              <w:left w:val="single" w:sz="4" w:space="0" w:color="auto"/>
              <w:bottom w:val="single" w:sz="4" w:space="0" w:color="auto"/>
              <w:right w:val="single" w:sz="4" w:space="0" w:color="auto"/>
            </w:tcBorders>
            <w:shd w:val="clear" w:color="auto" w:fill="FFFFFF"/>
            <w:vAlign w:val="center"/>
          </w:tcPr>
          <w:p w14:paraId="4D148605" w14:textId="0D59FABD" w:rsidR="007A03C4" w:rsidRPr="00C2587D" w:rsidRDefault="007A03C4" w:rsidP="007A03C4">
            <w:pPr>
              <w:jc w:val="center"/>
              <w:rPr>
                <w:rFonts w:cs="Arial"/>
                <w:sz w:val="20"/>
                <w:szCs w:val="20"/>
                <w:lang w:eastAsia="it-IT"/>
              </w:rPr>
            </w:pPr>
            <w:r w:rsidRPr="00C2587D">
              <w:rPr>
                <w:rFonts w:cs="Arial"/>
                <w:sz w:val="20"/>
                <w:szCs w:val="20"/>
                <w:lang w:eastAsia="it-IT"/>
              </w:rPr>
              <w:t xml:space="preserve">4 000, 0 </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tcPr>
          <w:p w14:paraId="27664363" w14:textId="4DF34F3A" w:rsidR="007A03C4" w:rsidRPr="00C2587D" w:rsidRDefault="007A03C4" w:rsidP="007A03C4">
            <w:pPr>
              <w:jc w:val="center"/>
              <w:rPr>
                <w:rFonts w:cs="Arial"/>
                <w:sz w:val="20"/>
                <w:szCs w:val="20"/>
                <w:lang w:eastAsia="it-IT"/>
              </w:rPr>
            </w:pPr>
            <w:r w:rsidRPr="00C2587D">
              <w:rPr>
                <w:rFonts w:cs="Arial"/>
                <w:sz w:val="20"/>
                <w:szCs w:val="20"/>
                <w:lang w:eastAsia="it-IT"/>
              </w:rPr>
              <w:t>3 600,0</w:t>
            </w:r>
          </w:p>
        </w:tc>
        <w:tc>
          <w:tcPr>
            <w:tcW w:w="1112" w:type="dxa"/>
            <w:tcBorders>
              <w:top w:val="single" w:sz="4" w:space="0" w:color="auto"/>
              <w:left w:val="single" w:sz="4" w:space="0" w:color="auto"/>
              <w:bottom w:val="single" w:sz="4" w:space="0" w:color="auto"/>
              <w:right w:val="single" w:sz="4" w:space="0" w:color="auto"/>
            </w:tcBorders>
            <w:shd w:val="clear" w:color="auto" w:fill="FFFFFF"/>
            <w:vAlign w:val="center"/>
          </w:tcPr>
          <w:p w14:paraId="1933F114" w14:textId="7DFDD8D1" w:rsidR="007A03C4" w:rsidRPr="00C2587D" w:rsidRDefault="007A03C4" w:rsidP="007A03C4">
            <w:pPr>
              <w:jc w:val="center"/>
              <w:rPr>
                <w:rFonts w:cs="Arial"/>
                <w:sz w:val="20"/>
                <w:szCs w:val="20"/>
                <w:lang w:eastAsia="it-IT"/>
              </w:rPr>
            </w:pPr>
            <w:r w:rsidRPr="00C2587D">
              <w:rPr>
                <w:rFonts w:cs="Arial"/>
                <w:sz w:val="20"/>
                <w:szCs w:val="20"/>
                <w:lang w:eastAsia="it-IT"/>
              </w:rPr>
              <w:t>2 000,0</w:t>
            </w:r>
          </w:p>
        </w:tc>
        <w:tc>
          <w:tcPr>
            <w:tcW w:w="1119" w:type="dxa"/>
            <w:tcBorders>
              <w:top w:val="single" w:sz="4" w:space="0" w:color="auto"/>
              <w:left w:val="single" w:sz="4" w:space="0" w:color="auto"/>
              <w:bottom w:val="single" w:sz="4" w:space="0" w:color="auto"/>
              <w:right w:val="single" w:sz="4" w:space="0" w:color="auto"/>
            </w:tcBorders>
            <w:shd w:val="clear" w:color="auto" w:fill="FFFFFF"/>
            <w:vAlign w:val="center"/>
          </w:tcPr>
          <w:p w14:paraId="78B44402" w14:textId="3056F3A3" w:rsidR="007A03C4" w:rsidRPr="00C2587D" w:rsidRDefault="007A03C4" w:rsidP="007A03C4">
            <w:pPr>
              <w:jc w:val="center"/>
              <w:rPr>
                <w:rFonts w:cs="Arial"/>
                <w:bCs/>
                <w:sz w:val="20"/>
                <w:szCs w:val="20"/>
                <w:lang w:eastAsia="it-IT"/>
              </w:rPr>
            </w:pPr>
            <w:r w:rsidRPr="00C2587D">
              <w:rPr>
                <w:rFonts w:cs="Arial"/>
                <w:b/>
                <w:bCs/>
                <w:sz w:val="20"/>
                <w:szCs w:val="20"/>
              </w:rPr>
              <w:t xml:space="preserve">14 800,0 </w:t>
            </w:r>
          </w:p>
        </w:tc>
      </w:tr>
      <w:tr w:rsidR="007A03C4" w:rsidRPr="00C2587D" w14:paraId="7C6F7382" w14:textId="77777777" w:rsidTr="00A041B2">
        <w:trPr>
          <w:gridAfter w:val="1"/>
          <w:wAfter w:w="28" w:type="dxa"/>
          <w:jc w:val="center"/>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D972E7" w14:textId="77777777" w:rsidR="007A03C4" w:rsidRPr="00C2587D" w:rsidRDefault="007A03C4" w:rsidP="007A03C4">
            <w:pPr>
              <w:jc w:val="right"/>
              <w:rPr>
                <w:rFonts w:cs="Arial"/>
                <w:color w:val="000000"/>
                <w:sz w:val="20"/>
                <w:szCs w:val="20"/>
                <w:lang w:eastAsia="uk-UA"/>
              </w:rPr>
            </w:pPr>
            <w:r w:rsidRPr="00C2587D">
              <w:rPr>
                <w:rFonts w:cs="Arial"/>
                <w:color w:val="000000"/>
                <w:sz w:val="20"/>
                <w:szCs w:val="20"/>
                <w:lang w:eastAsia="uk-UA"/>
              </w:rPr>
              <w:t>2.</w:t>
            </w:r>
          </w:p>
        </w:tc>
        <w:tc>
          <w:tcPr>
            <w:tcW w:w="4111" w:type="dxa"/>
            <w:tcBorders>
              <w:top w:val="single" w:sz="4" w:space="0" w:color="auto"/>
              <w:left w:val="nil"/>
              <w:bottom w:val="single" w:sz="4" w:space="0" w:color="auto"/>
              <w:right w:val="single" w:sz="4" w:space="0" w:color="auto"/>
            </w:tcBorders>
            <w:shd w:val="clear" w:color="auto" w:fill="auto"/>
            <w:noWrap/>
            <w:vAlign w:val="center"/>
          </w:tcPr>
          <w:p w14:paraId="3119A5BE" w14:textId="4E1782F3" w:rsidR="007A03C4" w:rsidRPr="00C2587D" w:rsidRDefault="007A03C4" w:rsidP="007A03C4">
            <w:pPr>
              <w:spacing w:before="40" w:after="40"/>
              <w:jc w:val="both"/>
              <w:rPr>
                <w:rFonts w:cs="Arial"/>
                <w:sz w:val="20"/>
                <w:szCs w:val="20"/>
                <w:lang w:eastAsia="it-IT"/>
              </w:rPr>
            </w:pPr>
            <w:r w:rsidRPr="00C2587D">
              <w:rPr>
                <w:rFonts w:cs="Arial"/>
                <w:sz w:val="20"/>
                <w:szCs w:val="20"/>
                <w:lang w:eastAsia="it-IT"/>
              </w:rPr>
              <w:t>Профільна старша школа як необхідна умова розвитку освіти громади</w:t>
            </w:r>
          </w:p>
        </w:tc>
        <w:tc>
          <w:tcPr>
            <w:tcW w:w="1162" w:type="dxa"/>
            <w:tcBorders>
              <w:top w:val="single" w:sz="4" w:space="0" w:color="auto"/>
              <w:left w:val="nil"/>
              <w:bottom w:val="single" w:sz="4" w:space="0" w:color="auto"/>
              <w:right w:val="single" w:sz="4" w:space="0" w:color="auto"/>
            </w:tcBorders>
            <w:shd w:val="clear" w:color="auto" w:fill="auto"/>
            <w:noWrap/>
            <w:vAlign w:val="center"/>
          </w:tcPr>
          <w:p w14:paraId="3FF828BD" w14:textId="31D121B5" w:rsidR="007A03C4" w:rsidRPr="00C2587D" w:rsidRDefault="007A03C4" w:rsidP="007A03C4">
            <w:pPr>
              <w:jc w:val="center"/>
              <w:rPr>
                <w:rFonts w:cs="Arial"/>
                <w:sz w:val="20"/>
                <w:szCs w:val="20"/>
                <w:lang w:eastAsia="it-IT"/>
              </w:rPr>
            </w:pPr>
          </w:p>
        </w:tc>
        <w:tc>
          <w:tcPr>
            <w:tcW w:w="127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2E3FC147" w14:textId="7E4591B2" w:rsidR="007A03C4" w:rsidRPr="00C2587D" w:rsidRDefault="007A03C4" w:rsidP="007A03C4">
            <w:pPr>
              <w:jc w:val="center"/>
              <w:rPr>
                <w:rFonts w:cs="Arial"/>
                <w:sz w:val="20"/>
                <w:szCs w:val="20"/>
                <w:lang w:eastAsia="it-IT"/>
              </w:rPr>
            </w:pPr>
            <w:r w:rsidRPr="00C2587D">
              <w:rPr>
                <w:rFonts w:cs="Arial"/>
                <w:color w:val="000000"/>
                <w:sz w:val="20"/>
                <w:szCs w:val="20"/>
                <w:lang w:eastAsia="it-IT"/>
              </w:rPr>
              <w:t>60 000,0</w:t>
            </w:r>
          </w:p>
        </w:tc>
        <w:tc>
          <w:tcPr>
            <w:tcW w:w="11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E67E15" w14:textId="0A333DC3" w:rsidR="007A03C4" w:rsidRPr="00C2587D" w:rsidRDefault="007A03C4" w:rsidP="007A03C4">
            <w:pPr>
              <w:jc w:val="center"/>
              <w:rPr>
                <w:rFonts w:cs="Arial"/>
                <w:sz w:val="20"/>
                <w:szCs w:val="20"/>
                <w:lang w:eastAsia="it-IT"/>
              </w:rPr>
            </w:pPr>
            <w:r w:rsidRPr="00C2587D">
              <w:rPr>
                <w:rFonts w:cs="Arial"/>
                <w:color w:val="000000"/>
                <w:sz w:val="20"/>
                <w:szCs w:val="20"/>
                <w:lang w:eastAsia="it-IT"/>
              </w:rPr>
              <w:t>60 000,0</w:t>
            </w:r>
          </w:p>
        </w:tc>
        <w:tc>
          <w:tcPr>
            <w:tcW w:w="1112" w:type="dxa"/>
            <w:tcBorders>
              <w:top w:val="single" w:sz="4" w:space="0" w:color="auto"/>
              <w:left w:val="single" w:sz="4" w:space="0" w:color="auto"/>
              <w:bottom w:val="single" w:sz="4" w:space="0" w:color="auto"/>
              <w:right w:val="single" w:sz="4" w:space="0" w:color="auto"/>
            </w:tcBorders>
            <w:shd w:val="clear" w:color="auto" w:fill="FFFFFF"/>
            <w:vAlign w:val="center"/>
          </w:tcPr>
          <w:p w14:paraId="4B7FDBCC" w14:textId="0E73CA0E" w:rsidR="007A03C4" w:rsidRPr="00C2587D" w:rsidRDefault="007A03C4" w:rsidP="007A03C4">
            <w:pPr>
              <w:jc w:val="center"/>
              <w:rPr>
                <w:rFonts w:cs="Arial"/>
                <w:sz w:val="20"/>
                <w:szCs w:val="20"/>
                <w:lang w:eastAsia="it-IT"/>
              </w:rPr>
            </w:pPr>
            <w:r w:rsidRPr="00C2587D">
              <w:rPr>
                <w:rFonts w:cs="Arial"/>
                <w:color w:val="000000"/>
                <w:sz w:val="20"/>
                <w:szCs w:val="20"/>
                <w:lang w:eastAsia="it-IT"/>
              </w:rPr>
              <w:t>60 000,0</w:t>
            </w:r>
          </w:p>
        </w:tc>
        <w:tc>
          <w:tcPr>
            <w:tcW w:w="1119" w:type="dxa"/>
            <w:tcBorders>
              <w:top w:val="single" w:sz="4" w:space="0" w:color="auto"/>
              <w:left w:val="single" w:sz="4" w:space="0" w:color="auto"/>
              <w:bottom w:val="single" w:sz="4" w:space="0" w:color="auto"/>
              <w:right w:val="single" w:sz="4" w:space="0" w:color="auto"/>
            </w:tcBorders>
            <w:shd w:val="clear" w:color="auto" w:fill="FFFFFF"/>
            <w:vAlign w:val="center"/>
          </w:tcPr>
          <w:p w14:paraId="031FF7BB" w14:textId="12CD79D4" w:rsidR="007A03C4" w:rsidRPr="00C2587D" w:rsidRDefault="007A03C4" w:rsidP="007A03C4">
            <w:pPr>
              <w:jc w:val="center"/>
              <w:rPr>
                <w:rFonts w:cs="Arial"/>
                <w:bCs/>
                <w:sz w:val="20"/>
                <w:szCs w:val="20"/>
                <w:lang w:eastAsia="it-IT"/>
              </w:rPr>
            </w:pPr>
            <w:r w:rsidRPr="00C2587D">
              <w:rPr>
                <w:rFonts w:cs="Arial"/>
                <w:b/>
                <w:bCs/>
                <w:sz w:val="20"/>
                <w:szCs w:val="20"/>
              </w:rPr>
              <w:t>180 000,0</w:t>
            </w:r>
          </w:p>
        </w:tc>
      </w:tr>
      <w:tr w:rsidR="00172641" w:rsidRPr="00C2587D" w14:paraId="5A78FC75" w14:textId="77777777" w:rsidTr="00A041B2">
        <w:trPr>
          <w:gridAfter w:val="1"/>
          <w:wAfter w:w="28" w:type="dxa"/>
          <w:jc w:val="center"/>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AF335F" w14:textId="77777777" w:rsidR="00172641" w:rsidRPr="00C2587D" w:rsidRDefault="00172641" w:rsidP="00172641">
            <w:pPr>
              <w:jc w:val="right"/>
              <w:rPr>
                <w:rFonts w:cs="Arial"/>
                <w:color w:val="000000"/>
                <w:sz w:val="20"/>
                <w:szCs w:val="20"/>
                <w:lang w:eastAsia="uk-UA"/>
              </w:rPr>
            </w:pPr>
            <w:r w:rsidRPr="00C2587D">
              <w:rPr>
                <w:rFonts w:cs="Arial"/>
                <w:color w:val="000000"/>
                <w:sz w:val="20"/>
                <w:szCs w:val="20"/>
                <w:lang w:eastAsia="uk-UA"/>
              </w:rPr>
              <w:t>3.</w:t>
            </w:r>
          </w:p>
        </w:tc>
        <w:tc>
          <w:tcPr>
            <w:tcW w:w="4111" w:type="dxa"/>
            <w:tcBorders>
              <w:top w:val="single" w:sz="4" w:space="0" w:color="auto"/>
              <w:left w:val="nil"/>
              <w:bottom w:val="single" w:sz="4" w:space="0" w:color="auto"/>
              <w:right w:val="single" w:sz="4" w:space="0" w:color="auto"/>
            </w:tcBorders>
            <w:shd w:val="clear" w:color="auto" w:fill="auto"/>
            <w:vAlign w:val="center"/>
          </w:tcPr>
          <w:p w14:paraId="0E5298B5" w14:textId="3CC25756" w:rsidR="00172641" w:rsidRPr="00C2587D" w:rsidRDefault="00172641" w:rsidP="00172641">
            <w:pPr>
              <w:jc w:val="both"/>
              <w:rPr>
                <w:rFonts w:cs="Arial"/>
                <w:sz w:val="20"/>
                <w:szCs w:val="20"/>
                <w:lang w:eastAsia="it-IT"/>
              </w:rPr>
            </w:pPr>
            <w:r w:rsidRPr="00C2587D">
              <w:rPr>
                <w:rFonts w:cs="Arial"/>
                <w:sz w:val="20"/>
                <w:szCs w:val="20"/>
                <w:lang w:eastAsia="it-IT"/>
              </w:rPr>
              <w:t>Подвір’я закладу освіти – безпечний та мотивуючий освітній простір</w:t>
            </w:r>
          </w:p>
        </w:tc>
        <w:tc>
          <w:tcPr>
            <w:tcW w:w="1162" w:type="dxa"/>
            <w:tcBorders>
              <w:top w:val="single" w:sz="4" w:space="0" w:color="auto"/>
              <w:bottom w:val="single" w:sz="4" w:space="0" w:color="auto"/>
              <w:right w:val="single" w:sz="4" w:space="0" w:color="auto"/>
            </w:tcBorders>
            <w:noWrap/>
            <w:vAlign w:val="center"/>
          </w:tcPr>
          <w:p w14:paraId="11B91F63" w14:textId="582DF488" w:rsidR="00172641" w:rsidRPr="00C2587D" w:rsidRDefault="00172641" w:rsidP="00172641">
            <w:pPr>
              <w:jc w:val="center"/>
              <w:rPr>
                <w:rFonts w:cs="Arial"/>
                <w:sz w:val="20"/>
                <w:szCs w:val="20"/>
                <w:lang w:eastAsia="it-IT"/>
              </w:rPr>
            </w:pPr>
            <w:r w:rsidRPr="00C2587D">
              <w:rPr>
                <w:rFonts w:cs="Arial"/>
                <w:sz w:val="20"/>
                <w:szCs w:val="20"/>
                <w:lang w:eastAsia="it-IT"/>
              </w:rPr>
              <w:t>100,0</w:t>
            </w:r>
          </w:p>
        </w:tc>
        <w:tc>
          <w:tcPr>
            <w:tcW w:w="127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5F5E552" w14:textId="760AF6EB" w:rsidR="00172641" w:rsidRPr="00C2587D" w:rsidRDefault="00172641" w:rsidP="00172641">
            <w:pPr>
              <w:jc w:val="center"/>
              <w:rPr>
                <w:rFonts w:cs="Arial"/>
                <w:sz w:val="20"/>
                <w:szCs w:val="20"/>
                <w:lang w:eastAsia="it-IT"/>
              </w:rPr>
            </w:pPr>
            <w:r w:rsidRPr="00C2587D">
              <w:rPr>
                <w:rFonts w:cs="Arial"/>
                <w:sz w:val="20"/>
                <w:szCs w:val="20"/>
                <w:lang w:eastAsia="it-IT"/>
              </w:rPr>
              <w:t>2 000,0</w:t>
            </w:r>
          </w:p>
        </w:tc>
        <w:tc>
          <w:tcPr>
            <w:tcW w:w="11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6B31C9" w14:textId="1DAF9CB2" w:rsidR="00172641" w:rsidRPr="00C2587D" w:rsidRDefault="00172641" w:rsidP="00172641">
            <w:pPr>
              <w:jc w:val="center"/>
              <w:rPr>
                <w:rFonts w:cs="Arial"/>
                <w:sz w:val="20"/>
                <w:szCs w:val="20"/>
                <w:lang w:eastAsia="it-IT"/>
              </w:rPr>
            </w:pPr>
            <w:r w:rsidRPr="00C2587D">
              <w:rPr>
                <w:rFonts w:cs="Arial"/>
                <w:sz w:val="20"/>
                <w:szCs w:val="20"/>
                <w:lang w:eastAsia="it-IT"/>
              </w:rPr>
              <w:t>2 000,0</w:t>
            </w:r>
          </w:p>
        </w:tc>
        <w:tc>
          <w:tcPr>
            <w:tcW w:w="1112" w:type="dxa"/>
            <w:tcBorders>
              <w:top w:val="single" w:sz="4" w:space="0" w:color="auto"/>
              <w:left w:val="single" w:sz="4" w:space="0" w:color="auto"/>
              <w:bottom w:val="single" w:sz="4" w:space="0" w:color="auto"/>
              <w:right w:val="single" w:sz="4" w:space="0" w:color="auto"/>
            </w:tcBorders>
            <w:shd w:val="clear" w:color="auto" w:fill="FFFFFF"/>
            <w:vAlign w:val="center"/>
          </w:tcPr>
          <w:p w14:paraId="3C61D24C" w14:textId="751B0DEF" w:rsidR="00172641" w:rsidRPr="00C2587D" w:rsidRDefault="00172641" w:rsidP="00172641">
            <w:pPr>
              <w:jc w:val="center"/>
              <w:rPr>
                <w:rFonts w:cs="Arial"/>
                <w:sz w:val="20"/>
                <w:szCs w:val="20"/>
                <w:lang w:eastAsia="it-IT"/>
              </w:rPr>
            </w:pPr>
            <w:r w:rsidRPr="00C2587D">
              <w:rPr>
                <w:rFonts w:cs="Arial"/>
                <w:sz w:val="20"/>
                <w:szCs w:val="20"/>
                <w:lang w:eastAsia="it-IT"/>
              </w:rPr>
              <w:t>2 000,0</w:t>
            </w:r>
          </w:p>
        </w:tc>
        <w:tc>
          <w:tcPr>
            <w:tcW w:w="1119" w:type="dxa"/>
            <w:tcBorders>
              <w:top w:val="single" w:sz="4" w:space="0" w:color="auto"/>
              <w:left w:val="single" w:sz="4" w:space="0" w:color="auto"/>
              <w:bottom w:val="single" w:sz="4" w:space="0" w:color="auto"/>
              <w:right w:val="single" w:sz="4" w:space="0" w:color="auto"/>
            </w:tcBorders>
            <w:shd w:val="clear" w:color="auto" w:fill="FFFFFF"/>
            <w:vAlign w:val="center"/>
          </w:tcPr>
          <w:p w14:paraId="0FCD8521" w14:textId="29F28FA6" w:rsidR="00172641" w:rsidRPr="00C2587D" w:rsidRDefault="00172641" w:rsidP="00172641">
            <w:pPr>
              <w:jc w:val="center"/>
              <w:rPr>
                <w:rFonts w:cs="Arial"/>
                <w:sz w:val="20"/>
                <w:szCs w:val="20"/>
                <w:lang w:eastAsia="it-IT"/>
              </w:rPr>
            </w:pPr>
            <w:r w:rsidRPr="00C2587D">
              <w:rPr>
                <w:rFonts w:cs="Arial"/>
                <w:b/>
                <w:sz w:val="20"/>
                <w:szCs w:val="20"/>
                <w:lang w:eastAsia="it-IT"/>
              </w:rPr>
              <w:t>6 100,0</w:t>
            </w:r>
          </w:p>
        </w:tc>
      </w:tr>
      <w:tr w:rsidR="00B015EE" w:rsidRPr="00C2587D" w14:paraId="7780BEF6" w14:textId="77777777" w:rsidTr="00A041B2">
        <w:trPr>
          <w:gridAfter w:val="1"/>
          <w:wAfter w:w="28" w:type="dxa"/>
          <w:jc w:val="center"/>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1B9D6D" w14:textId="3FD2D6E8" w:rsidR="00B015EE" w:rsidRPr="00C2587D" w:rsidRDefault="00B015EE" w:rsidP="00B015EE">
            <w:pPr>
              <w:jc w:val="right"/>
              <w:rPr>
                <w:rFonts w:cs="Arial"/>
                <w:color w:val="000000"/>
                <w:sz w:val="20"/>
                <w:szCs w:val="20"/>
                <w:lang w:eastAsia="uk-UA"/>
              </w:rPr>
            </w:pPr>
            <w:r w:rsidRPr="00C2587D">
              <w:rPr>
                <w:rFonts w:cs="Arial"/>
                <w:color w:val="000000"/>
                <w:sz w:val="20"/>
                <w:szCs w:val="20"/>
                <w:lang w:eastAsia="uk-UA"/>
              </w:rPr>
              <w:t>4.</w:t>
            </w:r>
          </w:p>
        </w:tc>
        <w:tc>
          <w:tcPr>
            <w:tcW w:w="4111" w:type="dxa"/>
            <w:tcBorders>
              <w:top w:val="single" w:sz="4" w:space="0" w:color="auto"/>
              <w:left w:val="nil"/>
              <w:bottom w:val="single" w:sz="4" w:space="0" w:color="auto"/>
              <w:right w:val="single" w:sz="4" w:space="0" w:color="auto"/>
            </w:tcBorders>
            <w:shd w:val="clear" w:color="auto" w:fill="auto"/>
            <w:vAlign w:val="center"/>
          </w:tcPr>
          <w:p w14:paraId="24732AA7" w14:textId="7266267F" w:rsidR="00B015EE" w:rsidRPr="00C2587D" w:rsidRDefault="00B015EE" w:rsidP="00B015EE">
            <w:pPr>
              <w:jc w:val="both"/>
              <w:rPr>
                <w:rFonts w:cs="Arial"/>
                <w:sz w:val="20"/>
                <w:szCs w:val="20"/>
                <w:lang w:eastAsia="it-IT"/>
              </w:rPr>
            </w:pPr>
            <w:r w:rsidRPr="00C2587D">
              <w:rPr>
                <w:rFonts w:cs="Arial"/>
                <w:sz w:val="20"/>
                <w:szCs w:val="20"/>
                <w:lang w:eastAsia="it-IT"/>
              </w:rPr>
              <w:t>«Капітальний ремонт прибудинкової території  КЗ «Жмеринський ліцей №2» з облаштуванням багатофункціонального спортивного майданчика»</w:t>
            </w:r>
          </w:p>
        </w:tc>
        <w:tc>
          <w:tcPr>
            <w:tcW w:w="1162" w:type="dxa"/>
            <w:tcBorders>
              <w:top w:val="single" w:sz="4" w:space="0" w:color="auto"/>
              <w:bottom w:val="single" w:sz="4" w:space="0" w:color="auto"/>
              <w:right w:val="single" w:sz="4" w:space="0" w:color="auto"/>
            </w:tcBorders>
            <w:noWrap/>
            <w:vAlign w:val="center"/>
          </w:tcPr>
          <w:p w14:paraId="71380A27" w14:textId="16F4ED31" w:rsidR="00B015EE" w:rsidRPr="00C2587D" w:rsidRDefault="00B015EE" w:rsidP="00B015EE">
            <w:pPr>
              <w:jc w:val="center"/>
              <w:rPr>
                <w:rFonts w:cs="Arial"/>
                <w:sz w:val="20"/>
                <w:szCs w:val="20"/>
                <w:lang w:eastAsia="it-IT"/>
              </w:rPr>
            </w:pPr>
          </w:p>
        </w:tc>
        <w:tc>
          <w:tcPr>
            <w:tcW w:w="1273" w:type="dxa"/>
            <w:tcBorders>
              <w:top w:val="single" w:sz="4" w:space="0" w:color="auto"/>
              <w:left w:val="single" w:sz="4" w:space="0" w:color="auto"/>
              <w:bottom w:val="single" w:sz="4" w:space="0" w:color="auto"/>
              <w:right w:val="single" w:sz="4" w:space="0" w:color="auto"/>
            </w:tcBorders>
            <w:noWrap/>
            <w:vAlign w:val="center"/>
          </w:tcPr>
          <w:p w14:paraId="0DEA70EF" w14:textId="652C144C" w:rsidR="00B015EE" w:rsidRPr="00C2587D" w:rsidRDefault="00B015EE" w:rsidP="00B015EE">
            <w:pPr>
              <w:jc w:val="center"/>
              <w:rPr>
                <w:rFonts w:cs="Arial"/>
                <w:sz w:val="20"/>
                <w:szCs w:val="20"/>
                <w:lang w:eastAsia="it-IT"/>
              </w:rPr>
            </w:pPr>
            <w:r w:rsidRPr="00C2587D">
              <w:rPr>
                <w:rFonts w:cs="Arial"/>
                <w:color w:val="000000"/>
                <w:sz w:val="20"/>
                <w:szCs w:val="20"/>
                <w:lang w:eastAsia="it-IT"/>
              </w:rPr>
              <w:t>500,0</w:t>
            </w:r>
          </w:p>
        </w:tc>
        <w:tc>
          <w:tcPr>
            <w:tcW w:w="1109"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5FB308D" w14:textId="6713A184" w:rsidR="00B015EE" w:rsidRPr="00C2587D" w:rsidRDefault="00B015EE" w:rsidP="00B015EE">
            <w:pPr>
              <w:jc w:val="center"/>
              <w:rPr>
                <w:rFonts w:cs="Arial"/>
                <w:sz w:val="20"/>
                <w:szCs w:val="20"/>
                <w:lang w:eastAsia="it-IT"/>
              </w:rPr>
            </w:pPr>
            <w:r w:rsidRPr="00C2587D">
              <w:rPr>
                <w:rFonts w:cs="Arial"/>
                <w:color w:val="000000"/>
                <w:sz w:val="20"/>
                <w:szCs w:val="20"/>
                <w:lang w:eastAsia="it-IT"/>
              </w:rPr>
              <w:t>7 500 ,0</w:t>
            </w:r>
          </w:p>
        </w:tc>
        <w:tc>
          <w:tcPr>
            <w:tcW w:w="1112" w:type="dxa"/>
            <w:tcBorders>
              <w:top w:val="single" w:sz="4" w:space="0" w:color="auto"/>
              <w:left w:val="single" w:sz="4" w:space="0" w:color="auto"/>
              <w:bottom w:val="single" w:sz="4" w:space="0" w:color="auto"/>
              <w:right w:val="single" w:sz="4" w:space="0" w:color="auto"/>
            </w:tcBorders>
            <w:shd w:val="clear" w:color="auto" w:fill="auto"/>
            <w:vAlign w:val="center"/>
          </w:tcPr>
          <w:p w14:paraId="4082861C" w14:textId="77777777" w:rsidR="00B015EE" w:rsidRPr="00C2587D" w:rsidRDefault="00B015EE" w:rsidP="00B015EE">
            <w:pPr>
              <w:jc w:val="center"/>
              <w:rPr>
                <w:rFonts w:cs="Arial"/>
                <w:sz w:val="20"/>
                <w:szCs w:val="20"/>
                <w:lang w:eastAsia="it-IT"/>
              </w:rPr>
            </w:pPr>
          </w:p>
        </w:tc>
        <w:tc>
          <w:tcPr>
            <w:tcW w:w="1119" w:type="dxa"/>
            <w:tcBorders>
              <w:top w:val="single" w:sz="4" w:space="0" w:color="auto"/>
              <w:left w:val="single" w:sz="4" w:space="0" w:color="auto"/>
              <w:bottom w:val="single" w:sz="4" w:space="0" w:color="auto"/>
              <w:right w:val="single" w:sz="4" w:space="0" w:color="auto"/>
            </w:tcBorders>
            <w:shd w:val="clear" w:color="auto" w:fill="FFFFFF"/>
            <w:vAlign w:val="center"/>
          </w:tcPr>
          <w:p w14:paraId="6A5FC7CC" w14:textId="77283318" w:rsidR="00B015EE" w:rsidRPr="00C2587D" w:rsidRDefault="00B015EE" w:rsidP="00B015EE">
            <w:pPr>
              <w:jc w:val="center"/>
              <w:rPr>
                <w:rFonts w:cs="Arial"/>
                <w:b/>
                <w:sz w:val="20"/>
                <w:szCs w:val="20"/>
                <w:lang w:eastAsia="it-IT"/>
              </w:rPr>
            </w:pPr>
            <w:r w:rsidRPr="00C2587D">
              <w:rPr>
                <w:rFonts w:cs="Arial"/>
                <w:b/>
                <w:color w:val="000000"/>
                <w:sz w:val="20"/>
                <w:szCs w:val="20"/>
                <w:lang w:eastAsia="it-IT"/>
              </w:rPr>
              <w:t>8 000, 0</w:t>
            </w:r>
          </w:p>
        </w:tc>
      </w:tr>
      <w:tr w:rsidR="00B01D86" w:rsidRPr="00C2587D" w14:paraId="5025A9E3" w14:textId="77777777" w:rsidTr="00A041B2">
        <w:trPr>
          <w:gridAfter w:val="1"/>
          <w:wAfter w:w="28" w:type="dxa"/>
          <w:jc w:val="center"/>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79FA8E" w14:textId="7BAD4AA5" w:rsidR="00B01D86" w:rsidRPr="00C2587D" w:rsidRDefault="00B015EE" w:rsidP="00B01D86">
            <w:pPr>
              <w:jc w:val="right"/>
              <w:rPr>
                <w:rFonts w:cs="Arial"/>
                <w:color w:val="000000"/>
                <w:sz w:val="20"/>
                <w:szCs w:val="20"/>
                <w:lang w:eastAsia="uk-UA"/>
              </w:rPr>
            </w:pPr>
            <w:r w:rsidRPr="00C2587D">
              <w:rPr>
                <w:rFonts w:cs="Arial"/>
                <w:color w:val="000000"/>
                <w:sz w:val="20"/>
                <w:szCs w:val="20"/>
                <w:lang w:eastAsia="uk-UA"/>
              </w:rPr>
              <w:t>5.</w:t>
            </w:r>
          </w:p>
        </w:tc>
        <w:tc>
          <w:tcPr>
            <w:tcW w:w="4111" w:type="dxa"/>
            <w:tcBorders>
              <w:top w:val="single" w:sz="4" w:space="0" w:color="auto"/>
              <w:left w:val="nil"/>
              <w:bottom w:val="single" w:sz="4" w:space="0" w:color="auto"/>
              <w:right w:val="single" w:sz="4" w:space="0" w:color="auto"/>
            </w:tcBorders>
            <w:shd w:val="clear" w:color="auto" w:fill="auto"/>
            <w:noWrap/>
            <w:vAlign w:val="center"/>
          </w:tcPr>
          <w:p w14:paraId="588E028F" w14:textId="0AF8014D" w:rsidR="00B01D86" w:rsidRPr="00C2587D" w:rsidRDefault="00B01D86" w:rsidP="00B01D86">
            <w:pPr>
              <w:spacing w:before="40" w:after="40"/>
              <w:jc w:val="both"/>
              <w:rPr>
                <w:rFonts w:cs="Arial"/>
                <w:sz w:val="20"/>
                <w:szCs w:val="20"/>
                <w:lang w:eastAsia="it-IT"/>
              </w:rPr>
            </w:pPr>
            <w:r w:rsidRPr="00C2587D">
              <w:rPr>
                <w:rFonts w:cs="Arial"/>
                <w:sz w:val="20"/>
                <w:szCs w:val="20"/>
                <w:lang w:eastAsia="it-IT"/>
              </w:rPr>
              <w:t>«Підйомник для дітей з інвалідністю -  необхідна умова для забезпечення безбар’єрного доступу до якісної освіти»</w:t>
            </w:r>
          </w:p>
        </w:tc>
        <w:tc>
          <w:tcPr>
            <w:tcW w:w="1162" w:type="dxa"/>
            <w:tcBorders>
              <w:top w:val="single" w:sz="4" w:space="0" w:color="auto"/>
              <w:bottom w:val="single" w:sz="4" w:space="0" w:color="auto"/>
              <w:right w:val="single" w:sz="4" w:space="0" w:color="auto"/>
            </w:tcBorders>
            <w:vAlign w:val="center"/>
          </w:tcPr>
          <w:p w14:paraId="5B051438" w14:textId="3A71ED56" w:rsidR="00B01D86" w:rsidRPr="00C2587D" w:rsidRDefault="00B01D86" w:rsidP="00B01D86">
            <w:pPr>
              <w:jc w:val="center"/>
              <w:rPr>
                <w:rFonts w:cs="Arial"/>
                <w:sz w:val="20"/>
                <w:szCs w:val="20"/>
                <w:lang w:eastAsia="it-IT"/>
              </w:rPr>
            </w:pPr>
          </w:p>
        </w:tc>
        <w:tc>
          <w:tcPr>
            <w:tcW w:w="1273" w:type="dxa"/>
            <w:tcBorders>
              <w:top w:val="single" w:sz="4" w:space="0" w:color="auto"/>
              <w:left w:val="single" w:sz="4" w:space="0" w:color="auto"/>
              <w:bottom w:val="single" w:sz="4" w:space="0" w:color="auto"/>
              <w:right w:val="single" w:sz="4" w:space="0" w:color="auto"/>
            </w:tcBorders>
            <w:shd w:val="clear" w:color="auto" w:fill="FFFFFF"/>
            <w:vAlign w:val="center"/>
          </w:tcPr>
          <w:p w14:paraId="6CE5943D" w14:textId="3BDBCA65" w:rsidR="00B01D86" w:rsidRPr="00C2587D" w:rsidRDefault="00B01D86" w:rsidP="00B01D86">
            <w:pPr>
              <w:jc w:val="center"/>
              <w:rPr>
                <w:rFonts w:cs="Arial"/>
                <w:sz w:val="20"/>
                <w:szCs w:val="20"/>
                <w:lang w:eastAsia="it-IT"/>
              </w:rPr>
            </w:pPr>
            <w:r w:rsidRPr="00C2587D">
              <w:rPr>
                <w:rFonts w:cs="Arial"/>
                <w:sz w:val="20"/>
                <w:szCs w:val="20"/>
                <w:lang w:eastAsia="it-IT"/>
              </w:rPr>
              <w:t>1 000, 0</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tcPr>
          <w:p w14:paraId="3E74D794" w14:textId="79F06067" w:rsidR="00B01D86" w:rsidRPr="00C2587D" w:rsidRDefault="00B01D86" w:rsidP="00B01D86">
            <w:pPr>
              <w:jc w:val="center"/>
              <w:rPr>
                <w:rFonts w:cs="Arial"/>
                <w:sz w:val="20"/>
                <w:szCs w:val="20"/>
                <w:lang w:eastAsia="it-IT"/>
              </w:rPr>
            </w:pPr>
            <w:r w:rsidRPr="00C2587D">
              <w:rPr>
                <w:rFonts w:cs="Arial"/>
                <w:sz w:val="20"/>
                <w:szCs w:val="20"/>
                <w:lang w:eastAsia="it-IT"/>
              </w:rPr>
              <w:t>1 000,0</w:t>
            </w:r>
          </w:p>
        </w:tc>
        <w:tc>
          <w:tcPr>
            <w:tcW w:w="1112" w:type="dxa"/>
            <w:tcBorders>
              <w:top w:val="single" w:sz="4" w:space="0" w:color="auto"/>
              <w:left w:val="single" w:sz="4" w:space="0" w:color="auto"/>
              <w:bottom w:val="single" w:sz="4" w:space="0" w:color="auto"/>
              <w:right w:val="single" w:sz="4" w:space="0" w:color="auto"/>
            </w:tcBorders>
            <w:shd w:val="clear" w:color="auto" w:fill="FFFFFF"/>
            <w:vAlign w:val="center"/>
          </w:tcPr>
          <w:p w14:paraId="237F2681" w14:textId="7DB184FE" w:rsidR="00B01D86" w:rsidRPr="00C2587D" w:rsidRDefault="00B01D86" w:rsidP="00B01D86">
            <w:pPr>
              <w:jc w:val="center"/>
              <w:rPr>
                <w:rFonts w:cs="Arial"/>
                <w:sz w:val="20"/>
                <w:szCs w:val="20"/>
                <w:lang w:eastAsia="it-IT"/>
              </w:rPr>
            </w:pPr>
            <w:r w:rsidRPr="00C2587D">
              <w:rPr>
                <w:rFonts w:cs="Arial"/>
                <w:sz w:val="20"/>
                <w:szCs w:val="20"/>
                <w:lang w:eastAsia="it-IT"/>
              </w:rPr>
              <w:t xml:space="preserve">800,0 </w:t>
            </w:r>
          </w:p>
        </w:tc>
        <w:tc>
          <w:tcPr>
            <w:tcW w:w="1119" w:type="dxa"/>
            <w:tcBorders>
              <w:top w:val="single" w:sz="4" w:space="0" w:color="auto"/>
              <w:left w:val="single" w:sz="4" w:space="0" w:color="auto"/>
              <w:bottom w:val="single" w:sz="4" w:space="0" w:color="auto"/>
              <w:right w:val="single" w:sz="4" w:space="0" w:color="auto"/>
            </w:tcBorders>
            <w:shd w:val="clear" w:color="auto" w:fill="FFFFFF"/>
            <w:vAlign w:val="center"/>
          </w:tcPr>
          <w:p w14:paraId="5FF4DF41" w14:textId="15024249" w:rsidR="00B01D86" w:rsidRPr="00C2587D" w:rsidRDefault="00B01D86" w:rsidP="00B01D86">
            <w:pPr>
              <w:jc w:val="center"/>
              <w:rPr>
                <w:rFonts w:cs="Arial"/>
                <w:sz w:val="20"/>
                <w:szCs w:val="20"/>
                <w:lang w:eastAsia="it-IT"/>
              </w:rPr>
            </w:pPr>
            <w:r w:rsidRPr="00C2587D">
              <w:rPr>
                <w:rFonts w:cs="Arial"/>
                <w:b/>
                <w:bCs/>
                <w:sz w:val="20"/>
                <w:szCs w:val="20"/>
              </w:rPr>
              <w:t>2</w:t>
            </w:r>
            <w:r w:rsidR="00B26629" w:rsidRPr="00C2587D">
              <w:rPr>
                <w:rFonts w:cs="Arial"/>
                <w:b/>
                <w:bCs/>
                <w:sz w:val="20"/>
                <w:szCs w:val="20"/>
              </w:rPr>
              <w:t xml:space="preserve"> </w:t>
            </w:r>
            <w:r w:rsidRPr="00C2587D">
              <w:rPr>
                <w:rFonts w:cs="Arial"/>
                <w:b/>
                <w:bCs/>
                <w:sz w:val="20"/>
                <w:szCs w:val="20"/>
              </w:rPr>
              <w:t xml:space="preserve">800,0 </w:t>
            </w:r>
          </w:p>
        </w:tc>
      </w:tr>
      <w:tr w:rsidR="007A03C4" w:rsidRPr="00C2587D" w14:paraId="6917B1BA" w14:textId="77777777" w:rsidTr="00A041B2">
        <w:trPr>
          <w:gridAfter w:val="1"/>
          <w:wAfter w:w="28" w:type="dxa"/>
          <w:jc w:val="center"/>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F34B2C" w14:textId="50259F6E" w:rsidR="007A03C4" w:rsidRPr="00C2587D" w:rsidRDefault="00B015EE" w:rsidP="007A03C4">
            <w:pPr>
              <w:jc w:val="right"/>
              <w:rPr>
                <w:rFonts w:cs="Arial"/>
                <w:color w:val="000000"/>
                <w:sz w:val="20"/>
                <w:szCs w:val="20"/>
                <w:lang w:eastAsia="uk-UA"/>
              </w:rPr>
            </w:pPr>
            <w:r w:rsidRPr="00C2587D">
              <w:rPr>
                <w:rFonts w:cs="Arial"/>
                <w:color w:val="000000"/>
                <w:sz w:val="20"/>
                <w:szCs w:val="20"/>
                <w:lang w:eastAsia="uk-UA"/>
              </w:rPr>
              <w:t>6</w:t>
            </w:r>
            <w:r w:rsidR="007A03C4" w:rsidRPr="00C2587D">
              <w:rPr>
                <w:rFonts w:cs="Arial"/>
                <w:color w:val="000000"/>
                <w:sz w:val="20"/>
                <w:szCs w:val="20"/>
                <w:lang w:eastAsia="uk-UA"/>
              </w:rPr>
              <w:t>.</w:t>
            </w:r>
          </w:p>
        </w:tc>
        <w:tc>
          <w:tcPr>
            <w:tcW w:w="4111" w:type="dxa"/>
            <w:tcBorders>
              <w:top w:val="single" w:sz="4" w:space="0" w:color="auto"/>
              <w:left w:val="nil"/>
              <w:bottom w:val="single" w:sz="4" w:space="0" w:color="auto"/>
              <w:right w:val="single" w:sz="4" w:space="0" w:color="auto"/>
            </w:tcBorders>
            <w:shd w:val="clear" w:color="auto" w:fill="auto"/>
            <w:noWrap/>
            <w:vAlign w:val="center"/>
          </w:tcPr>
          <w:p w14:paraId="4397AB6E" w14:textId="030DA2ED" w:rsidR="007A03C4" w:rsidRPr="00C2587D" w:rsidRDefault="007A03C4" w:rsidP="007A03C4">
            <w:pPr>
              <w:spacing w:before="40" w:after="40"/>
              <w:jc w:val="both"/>
              <w:rPr>
                <w:rFonts w:cs="Arial"/>
                <w:sz w:val="20"/>
                <w:szCs w:val="20"/>
                <w:lang w:eastAsia="it-IT"/>
              </w:rPr>
            </w:pPr>
            <w:r w:rsidRPr="00C2587D">
              <w:rPr>
                <w:rFonts w:cs="Arial"/>
                <w:sz w:val="20"/>
                <w:szCs w:val="20"/>
                <w:lang w:eastAsia="it-IT"/>
              </w:rPr>
              <w:t>Опорна кухня - інноваційна модель організації шкільного харчування</w:t>
            </w:r>
          </w:p>
        </w:tc>
        <w:tc>
          <w:tcPr>
            <w:tcW w:w="1162" w:type="dxa"/>
            <w:tcBorders>
              <w:top w:val="single" w:sz="4" w:space="0" w:color="auto"/>
              <w:bottom w:val="single" w:sz="4" w:space="0" w:color="auto"/>
              <w:right w:val="single" w:sz="4" w:space="0" w:color="auto"/>
            </w:tcBorders>
            <w:vAlign w:val="center"/>
          </w:tcPr>
          <w:p w14:paraId="2C9869A3" w14:textId="561125BB" w:rsidR="007A03C4" w:rsidRPr="00C2587D" w:rsidRDefault="007A03C4" w:rsidP="007A03C4">
            <w:pPr>
              <w:jc w:val="center"/>
              <w:rPr>
                <w:rFonts w:cs="Arial"/>
                <w:sz w:val="20"/>
                <w:szCs w:val="20"/>
                <w:lang w:eastAsia="it-IT"/>
              </w:rPr>
            </w:pPr>
            <w:r w:rsidRPr="00C2587D">
              <w:rPr>
                <w:rFonts w:cs="Arial"/>
                <w:sz w:val="20"/>
                <w:szCs w:val="20"/>
                <w:lang w:eastAsia="it-IT"/>
              </w:rPr>
              <w:t>600,0</w:t>
            </w:r>
          </w:p>
        </w:tc>
        <w:tc>
          <w:tcPr>
            <w:tcW w:w="1273" w:type="dxa"/>
            <w:tcBorders>
              <w:top w:val="single" w:sz="4" w:space="0" w:color="auto"/>
              <w:left w:val="single" w:sz="4" w:space="0" w:color="auto"/>
              <w:bottom w:val="single" w:sz="4" w:space="0" w:color="auto"/>
              <w:right w:val="single" w:sz="4" w:space="0" w:color="auto"/>
            </w:tcBorders>
            <w:shd w:val="clear" w:color="auto" w:fill="FFFFFF"/>
            <w:vAlign w:val="center"/>
          </w:tcPr>
          <w:p w14:paraId="6E196169" w14:textId="5F915CDC" w:rsidR="007A03C4" w:rsidRPr="00C2587D" w:rsidRDefault="007A03C4" w:rsidP="007A03C4">
            <w:pPr>
              <w:jc w:val="center"/>
              <w:rPr>
                <w:rFonts w:cs="Arial"/>
                <w:sz w:val="20"/>
                <w:szCs w:val="20"/>
                <w:lang w:eastAsia="it-IT"/>
              </w:rPr>
            </w:pPr>
            <w:r w:rsidRPr="00C2587D">
              <w:rPr>
                <w:rFonts w:cs="Arial"/>
                <w:sz w:val="20"/>
                <w:szCs w:val="20"/>
                <w:lang w:eastAsia="it-IT"/>
              </w:rPr>
              <w:t>1 5</w:t>
            </w:r>
            <w:r w:rsidR="00CB7060" w:rsidRPr="00C2587D">
              <w:rPr>
                <w:rFonts w:cs="Arial"/>
                <w:sz w:val="20"/>
                <w:szCs w:val="20"/>
                <w:lang w:eastAsia="it-IT"/>
              </w:rPr>
              <w:t>00, 0</w:t>
            </w:r>
            <w:r w:rsidRPr="00C2587D">
              <w:rPr>
                <w:rFonts w:cs="Arial"/>
                <w:sz w:val="20"/>
                <w:szCs w:val="20"/>
                <w:lang w:eastAsia="it-IT"/>
              </w:rPr>
              <w:t xml:space="preserve"> </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tcPr>
          <w:p w14:paraId="5EBAF91F" w14:textId="66A4573C" w:rsidR="007A03C4" w:rsidRPr="00C2587D" w:rsidRDefault="007A03C4" w:rsidP="007A03C4">
            <w:pPr>
              <w:jc w:val="center"/>
              <w:rPr>
                <w:rFonts w:cs="Arial"/>
                <w:sz w:val="20"/>
                <w:szCs w:val="20"/>
                <w:lang w:eastAsia="it-IT"/>
              </w:rPr>
            </w:pPr>
            <w:r w:rsidRPr="00C2587D">
              <w:rPr>
                <w:rFonts w:cs="Arial"/>
                <w:sz w:val="20"/>
                <w:szCs w:val="20"/>
                <w:lang w:eastAsia="it-IT"/>
              </w:rPr>
              <w:t xml:space="preserve">    1 500,0</w:t>
            </w:r>
          </w:p>
        </w:tc>
        <w:tc>
          <w:tcPr>
            <w:tcW w:w="1112" w:type="dxa"/>
            <w:tcBorders>
              <w:top w:val="single" w:sz="4" w:space="0" w:color="auto"/>
              <w:left w:val="single" w:sz="4" w:space="0" w:color="auto"/>
              <w:bottom w:val="single" w:sz="4" w:space="0" w:color="auto"/>
              <w:right w:val="single" w:sz="4" w:space="0" w:color="auto"/>
            </w:tcBorders>
            <w:shd w:val="clear" w:color="auto" w:fill="FFFFFF"/>
            <w:vAlign w:val="center"/>
          </w:tcPr>
          <w:p w14:paraId="45F3FD64" w14:textId="14B64D5A" w:rsidR="007A03C4" w:rsidRPr="00C2587D" w:rsidRDefault="007A03C4" w:rsidP="007A03C4">
            <w:pPr>
              <w:jc w:val="center"/>
              <w:rPr>
                <w:rFonts w:cs="Arial"/>
                <w:sz w:val="20"/>
                <w:szCs w:val="20"/>
                <w:lang w:eastAsia="it-IT"/>
              </w:rPr>
            </w:pPr>
            <w:r w:rsidRPr="00C2587D">
              <w:rPr>
                <w:rFonts w:cs="Arial"/>
                <w:sz w:val="20"/>
                <w:szCs w:val="20"/>
                <w:lang w:eastAsia="it-IT"/>
              </w:rPr>
              <w:t>2</w:t>
            </w:r>
            <w:r w:rsidR="00CB7060" w:rsidRPr="00C2587D">
              <w:rPr>
                <w:rFonts w:cs="Arial"/>
                <w:sz w:val="20"/>
                <w:szCs w:val="20"/>
                <w:lang w:eastAsia="it-IT"/>
              </w:rPr>
              <w:t xml:space="preserve"> 000,0</w:t>
            </w:r>
          </w:p>
        </w:tc>
        <w:tc>
          <w:tcPr>
            <w:tcW w:w="1119" w:type="dxa"/>
            <w:tcBorders>
              <w:top w:val="single" w:sz="4" w:space="0" w:color="auto"/>
              <w:left w:val="single" w:sz="4" w:space="0" w:color="auto"/>
              <w:bottom w:val="single" w:sz="4" w:space="0" w:color="auto"/>
              <w:right w:val="single" w:sz="4" w:space="0" w:color="auto"/>
            </w:tcBorders>
            <w:shd w:val="clear" w:color="auto" w:fill="FFFFFF"/>
            <w:vAlign w:val="center"/>
          </w:tcPr>
          <w:p w14:paraId="3C4CCB15" w14:textId="15E9B4CF" w:rsidR="007A03C4" w:rsidRPr="00C2587D" w:rsidRDefault="007A03C4" w:rsidP="007A03C4">
            <w:pPr>
              <w:jc w:val="center"/>
              <w:rPr>
                <w:rFonts w:cs="Arial"/>
                <w:sz w:val="20"/>
                <w:szCs w:val="20"/>
                <w:lang w:eastAsia="it-IT"/>
              </w:rPr>
            </w:pPr>
            <w:r w:rsidRPr="00C2587D">
              <w:rPr>
                <w:rFonts w:cs="Arial"/>
                <w:b/>
                <w:bCs/>
                <w:sz w:val="20"/>
                <w:szCs w:val="20"/>
              </w:rPr>
              <w:t>5 6</w:t>
            </w:r>
            <w:r w:rsidR="00CB7060" w:rsidRPr="00C2587D">
              <w:rPr>
                <w:rFonts w:cs="Arial"/>
                <w:b/>
                <w:bCs/>
                <w:sz w:val="20"/>
                <w:szCs w:val="20"/>
              </w:rPr>
              <w:t>00,0</w:t>
            </w:r>
          </w:p>
        </w:tc>
      </w:tr>
      <w:tr w:rsidR="00CB7060" w:rsidRPr="00C2587D" w14:paraId="20B91423" w14:textId="77777777" w:rsidTr="00A041B2">
        <w:trPr>
          <w:gridAfter w:val="1"/>
          <w:wAfter w:w="28" w:type="dxa"/>
          <w:jc w:val="center"/>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0A2940" w14:textId="2815B757" w:rsidR="00CB7060" w:rsidRPr="00C2587D" w:rsidRDefault="00B015EE" w:rsidP="00CB7060">
            <w:pPr>
              <w:jc w:val="right"/>
              <w:rPr>
                <w:rFonts w:cs="Arial"/>
                <w:color w:val="000000"/>
                <w:sz w:val="20"/>
                <w:szCs w:val="20"/>
                <w:lang w:eastAsia="uk-UA"/>
              </w:rPr>
            </w:pPr>
            <w:r w:rsidRPr="00C2587D">
              <w:rPr>
                <w:rFonts w:cs="Arial"/>
                <w:color w:val="000000"/>
                <w:sz w:val="20"/>
                <w:szCs w:val="20"/>
                <w:lang w:eastAsia="uk-UA"/>
              </w:rPr>
              <w:t>7</w:t>
            </w:r>
            <w:r w:rsidR="00CB7060" w:rsidRPr="00C2587D">
              <w:rPr>
                <w:rFonts w:cs="Arial"/>
                <w:color w:val="000000"/>
                <w:sz w:val="20"/>
                <w:szCs w:val="20"/>
                <w:lang w:eastAsia="uk-UA"/>
              </w:rPr>
              <w:t>.</w:t>
            </w:r>
          </w:p>
        </w:tc>
        <w:tc>
          <w:tcPr>
            <w:tcW w:w="4111" w:type="dxa"/>
            <w:tcBorders>
              <w:top w:val="single" w:sz="4" w:space="0" w:color="auto"/>
              <w:left w:val="nil"/>
              <w:bottom w:val="single" w:sz="4" w:space="0" w:color="auto"/>
              <w:right w:val="single" w:sz="4" w:space="0" w:color="auto"/>
            </w:tcBorders>
            <w:shd w:val="clear" w:color="auto" w:fill="auto"/>
            <w:noWrap/>
            <w:vAlign w:val="center"/>
          </w:tcPr>
          <w:p w14:paraId="19DD5FAF" w14:textId="643202A2" w:rsidR="00CB7060" w:rsidRPr="00C2587D" w:rsidRDefault="00CB7060" w:rsidP="00CB7060">
            <w:pPr>
              <w:spacing w:before="40" w:after="40"/>
              <w:jc w:val="both"/>
              <w:rPr>
                <w:rFonts w:cs="Arial"/>
                <w:sz w:val="20"/>
                <w:szCs w:val="20"/>
              </w:rPr>
            </w:pPr>
            <w:r w:rsidRPr="00C2587D">
              <w:rPr>
                <w:rFonts w:cs="Arial"/>
                <w:sz w:val="20"/>
                <w:szCs w:val="20"/>
              </w:rPr>
              <w:t>Капітальний ремонт харчоблоку КЗ «Жмеринський ліцей № 1»</w:t>
            </w:r>
          </w:p>
        </w:tc>
        <w:tc>
          <w:tcPr>
            <w:tcW w:w="1162" w:type="dxa"/>
            <w:tcBorders>
              <w:top w:val="single" w:sz="4" w:space="0" w:color="auto"/>
              <w:left w:val="nil"/>
              <w:bottom w:val="single" w:sz="4" w:space="0" w:color="auto"/>
              <w:right w:val="single" w:sz="4" w:space="0" w:color="auto"/>
            </w:tcBorders>
            <w:shd w:val="clear" w:color="auto" w:fill="auto"/>
            <w:vAlign w:val="center"/>
          </w:tcPr>
          <w:p w14:paraId="5CAC7179" w14:textId="11EAF366" w:rsidR="00CB7060" w:rsidRPr="00C2587D" w:rsidRDefault="00CB7060" w:rsidP="00CB7060">
            <w:pPr>
              <w:jc w:val="center"/>
              <w:rPr>
                <w:rFonts w:cs="Arial"/>
                <w:sz w:val="20"/>
                <w:szCs w:val="20"/>
                <w:lang w:eastAsia="it-IT"/>
              </w:rPr>
            </w:pPr>
          </w:p>
        </w:tc>
        <w:tc>
          <w:tcPr>
            <w:tcW w:w="1273" w:type="dxa"/>
            <w:tcBorders>
              <w:top w:val="single" w:sz="4" w:space="0" w:color="auto"/>
              <w:left w:val="single" w:sz="4" w:space="0" w:color="auto"/>
              <w:bottom w:val="single" w:sz="4" w:space="0" w:color="auto"/>
              <w:right w:val="single" w:sz="4" w:space="0" w:color="auto"/>
            </w:tcBorders>
            <w:shd w:val="clear" w:color="auto" w:fill="FFFFFF"/>
            <w:vAlign w:val="center"/>
          </w:tcPr>
          <w:p w14:paraId="5E8A11F0" w14:textId="51AD526E" w:rsidR="00CB7060" w:rsidRPr="00C2587D" w:rsidRDefault="00CB7060" w:rsidP="00CB7060">
            <w:pPr>
              <w:jc w:val="center"/>
              <w:rPr>
                <w:rFonts w:cs="Arial"/>
                <w:sz w:val="20"/>
                <w:szCs w:val="20"/>
                <w:lang w:eastAsia="it-IT"/>
              </w:rPr>
            </w:pPr>
            <w:r w:rsidRPr="00C2587D">
              <w:rPr>
                <w:rFonts w:cs="Arial"/>
                <w:sz w:val="20"/>
                <w:szCs w:val="20"/>
              </w:rPr>
              <w:t>7</w:t>
            </w:r>
            <w:r w:rsidR="00B26629" w:rsidRPr="00C2587D">
              <w:rPr>
                <w:rFonts w:cs="Arial"/>
                <w:sz w:val="20"/>
                <w:szCs w:val="20"/>
              </w:rPr>
              <w:t xml:space="preserve"> </w:t>
            </w:r>
            <w:r w:rsidRPr="00C2587D">
              <w:rPr>
                <w:rFonts w:cs="Arial"/>
                <w:sz w:val="20"/>
                <w:szCs w:val="20"/>
              </w:rPr>
              <w:t>000,0</w:t>
            </w:r>
          </w:p>
        </w:tc>
        <w:tc>
          <w:tcPr>
            <w:tcW w:w="11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DEFC00" w14:textId="7A303328" w:rsidR="00CB7060" w:rsidRPr="00C2587D" w:rsidRDefault="00CB7060" w:rsidP="00CB7060">
            <w:pPr>
              <w:jc w:val="center"/>
              <w:rPr>
                <w:rFonts w:cs="Arial"/>
                <w:sz w:val="20"/>
                <w:szCs w:val="20"/>
                <w:lang w:eastAsia="it-IT"/>
              </w:rPr>
            </w:pPr>
          </w:p>
        </w:tc>
        <w:tc>
          <w:tcPr>
            <w:tcW w:w="1112" w:type="dxa"/>
            <w:tcBorders>
              <w:top w:val="single" w:sz="4" w:space="0" w:color="auto"/>
              <w:left w:val="single" w:sz="4" w:space="0" w:color="auto"/>
              <w:bottom w:val="single" w:sz="4" w:space="0" w:color="auto"/>
              <w:right w:val="single" w:sz="4" w:space="0" w:color="auto"/>
            </w:tcBorders>
            <w:shd w:val="clear" w:color="auto" w:fill="FFFFFF"/>
            <w:vAlign w:val="center"/>
          </w:tcPr>
          <w:p w14:paraId="127687B6" w14:textId="7591ECA4" w:rsidR="00CB7060" w:rsidRPr="00C2587D" w:rsidRDefault="00CB7060" w:rsidP="00CB7060">
            <w:pPr>
              <w:jc w:val="center"/>
              <w:rPr>
                <w:rFonts w:cs="Arial"/>
                <w:sz w:val="20"/>
                <w:szCs w:val="20"/>
                <w:lang w:eastAsia="it-IT"/>
              </w:rPr>
            </w:pPr>
          </w:p>
        </w:tc>
        <w:tc>
          <w:tcPr>
            <w:tcW w:w="1119" w:type="dxa"/>
            <w:tcBorders>
              <w:top w:val="single" w:sz="4" w:space="0" w:color="auto"/>
              <w:left w:val="single" w:sz="4" w:space="0" w:color="auto"/>
              <w:bottom w:val="single" w:sz="4" w:space="0" w:color="auto"/>
              <w:right w:val="single" w:sz="4" w:space="0" w:color="auto"/>
            </w:tcBorders>
            <w:shd w:val="clear" w:color="auto" w:fill="FFFFFF"/>
            <w:vAlign w:val="center"/>
          </w:tcPr>
          <w:p w14:paraId="68410065" w14:textId="01402619" w:rsidR="00CB7060" w:rsidRPr="00C2587D" w:rsidRDefault="00CB7060" w:rsidP="00CB7060">
            <w:pPr>
              <w:jc w:val="center"/>
              <w:rPr>
                <w:rFonts w:cs="Arial"/>
                <w:sz w:val="20"/>
                <w:szCs w:val="20"/>
                <w:lang w:eastAsia="it-IT"/>
              </w:rPr>
            </w:pPr>
            <w:r w:rsidRPr="00C2587D">
              <w:rPr>
                <w:rFonts w:cs="Arial"/>
                <w:b/>
                <w:sz w:val="20"/>
                <w:szCs w:val="20"/>
              </w:rPr>
              <w:t xml:space="preserve"> 7</w:t>
            </w:r>
            <w:r w:rsidR="00B26629" w:rsidRPr="00C2587D">
              <w:rPr>
                <w:rFonts w:cs="Arial"/>
                <w:b/>
                <w:sz w:val="20"/>
                <w:szCs w:val="20"/>
              </w:rPr>
              <w:t xml:space="preserve"> </w:t>
            </w:r>
            <w:r w:rsidRPr="00C2587D">
              <w:rPr>
                <w:rFonts w:cs="Arial"/>
                <w:b/>
                <w:sz w:val="20"/>
                <w:szCs w:val="20"/>
              </w:rPr>
              <w:t>000,0</w:t>
            </w:r>
          </w:p>
        </w:tc>
      </w:tr>
      <w:tr w:rsidR="00CB7060" w:rsidRPr="00C2587D" w14:paraId="587D9091" w14:textId="77777777" w:rsidTr="00A041B2">
        <w:trPr>
          <w:gridAfter w:val="1"/>
          <w:wAfter w:w="28" w:type="dxa"/>
          <w:jc w:val="center"/>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463656" w14:textId="521A92B8" w:rsidR="00CB7060" w:rsidRPr="00C2587D" w:rsidRDefault="00B015EE" w:rsidP="00CB7060">
            <w:pPr>
              <w:jc w:val="right"/>
              <w:rPr>
                <w:rFonts w:cs="Arial"/>
                <w:color w:val="000000"/>
                <w:sz w:val="20"/>
                <w:szCs w:val="20"/>
                <w:lang w:eastAsia="uk-UA"/>
              </w:rPr>
            </w:pPr>
            <w:r w:rsidRPr="00C2587D">
              <w:rPr>
                <w:rFonts w:cs="Arial"/>
                <w:color w:val="000000"/>
                <w:sz w:val="20"/>
                <w:szCs w:val="20"/>
                <w:lang w:eastAsia="uk-UA"/>
              </w:rPr>
              <w:t>8</w:t>
            </w:r>
            <w:r w:rsidR="00CB7060" w:rsidRPr="00C2587D">
              <w:rPr>
                <w:rFonts w:cs="Arial"/>
                <w:color w:val="000000"/>
                <w:sz w:val="20"/>
                <w:szCs w:val="20"/>
                <w:lang w:eastAsia="uk-UA"/>
              </w:rPr>
              <w:t>.</w:t>
            </w:r>
          </w:p>
        </w:tc>
        <w:tc>
          <w:tcPr>
            <w:tcW w:w="411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9F8736" w14:textId="00A97012" w:rsidR="00CB7060" w:rsidRPr="00C2587D" w:rsidRDefault="00CB7060" w:rsidP="00CB7060">
            <w:pPr>
              <w:spacing w:before="40" w:after="40"/>
              <w:jc w:val="both"/>
              <w:rPr>
                <w:rFonts w:cs="Arial"/>
                <w:sz w:val="20"/>
                <w:szCs w:val="20"/>
                <w:lang w:eastAsia="it-IT"/>
              </w:rPr>
            </w:pPr>
            <w:r w:rsidRPr="00C2587D">
              <w:rPr>
                <w:rFonts w:cs="Arial"/>
                <w:sz w:val="20"/>
                <w:szCs w:val="20"/>
                <w:lang w:eastAsia="it-IT"/>
              </w:rPr>
              <w:t>Капітальний ремонт харчоблоку КЗ «Мартинівський ліцей» Жмеринської міської територіальної громади</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14:paraId="12131A22" w14:textId="1C95EFB8" w:rsidR="00CB7060" w:rsidRPr="00C2587D" w:rsidRDefault="00CB7060" w:rsidP="00CB7060">
            <w:pPr>
              <w:jc w:val="center"/>
              <w:rPr>
                <w:rFonts w:cs="Arial"/>
                <w:sz w:val="20"/>
                <w:szCs w:val="20"/>
                <w:lang w:eastAsia="it-IT"/>
              </w:rPr>
            </w:pPr>
          </w:p>
        </w:tc>
        <w:tc>
          <w:tcPr>
            <w:tcW w:w="1273" w:type="dxa"/>
            <w:tcBorders>
              <w:top w:val="single" w:sz="4" w:space="0" w:color="auto"/>
              <w:left w:val="single" w:sz="4" w:space="0" w:color="auto"/>
              <w:bottom w:val="single" w:sz="4" w:space="0" w:color="auto"/>
              <w:right w:val="single" w:sz="4" w:space="0" w:color="auto"/>
            </w:tcBorders>
            <w:shd w:val="clear" w:color="auto" w:fill="FFFFFF"/>
            <w:vAlign w:val="center"/>
          </w:tcPr>
          <w:p w14:paraId="01DE32F8" w14:textId="2BC522CF" w:rsidR="00CB7060" w:rsidRPr="00C2587D" w:rsidRDefault="00CB7060" w:rsidP="00CB7060">
            <w:pPr>
              <w:jc w:val="center"/>
              <w:rPr>
                <w:rFonts w:cs="Arial"/>
                <w:sz w:val="20"/>
                <w:szCs w:val="20"/>
                <w:lang w:eastAsia="it-IT"/>
              </w:rPr>
            </w:pPr>
            <w:r w:rsidRPr="00C2587D">
              <w:rPr>
                <w:rFonts w:cs="Arial"/>
                <w:sz w:val="20"/>
                <w:szCs w:val="20"/>
                <w:lang w:eastAsia="it-IT"/>
              </w:rPr>
              <w:t xml:space="preserve"> </w:t>
            </w:r>
            <w:r w:rsidRPr="00C2587D">
              <w:rPr>
                <w:rFonts w:cs="Arial"/>
                <w:sz w:val="20"/>
                <w:szCs w:val="20"/>
              </w:rPr>
              <w:t>4 313,</w:t>
            </w:r>
            <w:r w:rsidRPr="00C2587D">
              <w:rPr>
                <w:rFonts w:cs="Arial"/>
                <w:sz w:val="20"/>
                <w:szCs w:val="20"/>
                <w:lang w:eastAsia="it-IT"/>
              </w:rPr>
              <w:t>0</w:t>
            </w:r>
          </w:p>
        </w:tc>
        <w:tc>
          <w:tcPr>
            <w:tcW w:w="11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55F271" w14:textId="064D0520" w:rsidR="00CB7060" w:rsidRPr="00C2587D" w:rsidRDefault="00CB7060" w:rsidP="00CB7060">
            <w:pPr>
              <w:jc w:val="center"/>
              <w:rPr>
                <w:rFonts w:cs="Arial"/>
                <w:sz w:val="20"/>
                <w:szCs w:val="20"/>
                <w:lang w:eastAsia="it-IT"/>
              </w:rPr>
            </w:pPr>
          </w:p>
        </w:tc>
        <w:tc>
          <w:tcPr>
            <w:tcW w:w="1112" w:type="dxa"/>
            <w:tcBorders>
              <w:top w:val="single" w:sz="4" w:space="0" w:color="auto"/>
              <w:left w:val="single" w:sz="4" w:space="0" w:color="auto"/>
              <w:bottom w:val="single" w:sz="4" w:space="0" w:color="auto"/>
              <w:right w:val="single" w:sz="4" w:space="0" w:color="auto"/>
            </w:tcBorders>
            <w:shd w:val="clear" w:color="auto" w:fill="FFFFFF"/>
            <w:vAlign w:val="center"/>
          </w:tcPr>
          <w:p w14:paraId="3042A22F" w14:textId="5278FB49" w:rsidR="00CB7060" w:rsidRPr="00C2587D" w:rsidRDefault="00CB7060" w:rsidP="00CB7060">
            <w:pPr>
              <w:jc w:val="center"/>
              <w:rPr>
                <w:rFonts w:cs="Arial"/>
                <w:sz w:val="20"/>
                <w:szCs w:val="20"/>
                <w:lang w:eastAsia="it-IT"/>
              </w:rPr>
            </w:pPr>
          </w:p>
        </w:tc>
        <w:tc>
          <w:tcPr>
            <w:tcW w:w="1119" w:type="dxa"/>
            <w:tcBorders>
              <w:top w:val="single" w:sz="4" w:space="0" w:color="auto"/>
              <w:left w:val="single" w:sz="4" w:space="0" w:color="auto"/>
              <w:bottom w:val="single" w:sz="4" w:space="0" w:color="auto"/>
              <w:right w:val="single" w:sz="4" w:space="0" w:color="auto"/>
            </w:tcBorders>
            <w:shd w:val="clear" w:color="auto" w:fill="FFFFFF"/>
            <w:vAlign w:val="center"/>
          </w:tcPr>
          <w:p w14:paraId="0754BA59" w14:textId="44D5282E" w:rsidR="00CB7060" w:rsidRPr="00C2587D" w:rsidRDefault="00CB7060" w:rsidP="00CB7060">
            <w:pPr>
              <w:jc w:val="center"/>
              <w:rPr>
                <w:rFonts w:cs="Arial"/>
                <w:sz w:val="20"/>
                <w:szCs w:val="20"/>
                <w:lang w:eastAsia="it-IT"/>
              </w:rPr>
            </w:pPr>
            <w:r w:rsidRPr="00C2587D">
              <w:rPr>
                <w:rFonts w:cs="Arial"/>
                <w:b/>
                <w:sz w:val="20"/>
                <w:szCs w:val="20"/>
              </w:rPr>
              <w:t>4 313,0</w:t>
            </w:r>
          </w:p>
        </w:tc>
      </w:tr>
      <w:tr w:rsidR="00172641" w:rsidRPr="00C2587D" w14:paraId="621EEFB3" w14:textId="77777777" w:rsidTr="004B3BEE">
        <w:trPr>
          <w:gridAfter w:val="1"/>
          <w:wAfter w:w="28" w:type="dxa"/>
          <w:trHeight w:val="639"/>
          <w:jc w:val="center"/>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E8B1AD" w14:textId="607B8032" w:rsidR="00172641" w:rsidRPr="00C2587D" w:rsidRDefault="00B015EE" w:rsidP="00172641">
            <w:pPr>
              <w:jc w:val="right"/>
              <w:rPr>
                <w:rFonts w:cs="Arial"/>
                <w:color w:val="000000"/>
                <w:sz w:val="20"/>
                <w:szCs w:val="20"/>
                <w:lang w:eastAsia="uk-UA"/>
              </w:rPr>
            </w:pPr>
            <w:r w:rsidRPr="00C2587D">
              <w:rPr>
                <w:rFonts w:cs="Arial"/>
                <w:color w:val="000000"/>
                <w:sz w:val="20"/>
                <w:szCs w:val="20"/>
                <w:lang w:eastAsia="uk-UA"/>
              </w:rPr>
              <w:t>9.</w:t>
            </w:r>
          </w:p>
        </w:tc>
        <w:tc>
          <w:tcPr>
            <w:tcW w:w="411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F4F259" w14:textId="49B54D05" w:rsidR="00172641" w:rsidRPr="00C2587D" w:rsidRDefault="00172641" w:rsidP="00172641">
            <w:pPr>
              <w:spacing w:before="40" w:after="40"/>
              <w:jc w:val="both"/>
              <w:rPr>
                <w:rFonts w:cs="Arial"/>
                <w:sz w:val="20"/>
                <w:szCs w:val="20"/>
                <w:lang w:eastAsia="it-IT"/>
              </w:rPr>
            </w:pPr>
            <w:r w:rsidRPr="00C2587D">
              <w:rPr>
                <w:rFonts w:cs="Arial"/>
                <w:sz w:val="20"/>
                <w:szCs w:val="20"/>
                <w:lang w:eastAsia="it-IT"/>
              </w:rPr>
              <w:t>Капітальний ремонт харчоблоку ЗДО №2 «Калинка»</w:t>
            </w:r>
          </w:p>
        </w:tc>
        <w:tc>
          <w:tcPr>
            <w:tcW w:w="1162" w:type="dxa"/>
            <w:tcBorders>
              <w:top w:val="single" w:sz="4" w:space="0" w:color="auto"/>
              <w:bottom w:val="single" w:sz="4" w:space="0" w:color="auto"/>
              <w:right w:val="single" w:sz="4" w:space="0" w:color="auto"/>
            </w:tcBorders>
            <w:vAlign w:val="center"/>
          </w:tcPr>
          <w:p w14:paraId="4301F229" w14:textId="36DEBB3D" w:rsidR="00172641" w:rsidRPr="00C2587D" w:rsidRDefault="00172641" w:rsidP="00172641">
            <w:pPr>
              <w:jc w:val="center"/>
              <w:rPr>
                <w:rFonts w:cs="Arial"/>
                <w:sz w:val="20"/>
                <w:szCs w:val="20"/>
                <w:lang w:eastAsia="it-IT"/>
              </w:rPr>
            </w:pPr>
            <w:r w:rsidRPr="00C2587D">
              <w:rPr>
                <w:rFonts w:cs="Arial"/>
                <w:sz w:val="20"/>
                <w:szCs w:val="20"/>
                <w:lang w:eastAsia="it-IT"/>
              </w:rPr>
              <w:t>4 000,0</w:t>
            </w:r>
          </w:p>
        </w:tc>
        <w:tc>
          <w:tcPr>
            <w:tcW w:w="1273" w:type="dxa"/>
            <w:tcBorders>
              <w:top w:val="single" w:sz="4" w:space="0" w:color="auto"/>
              <w:left w:val="single" w:sz="4" w:space="0" w:color="auto"/>
              <w:bottom w:val="single" w:sz="4" w:space="0" w:color="auto"/>
              <w:right w:val="single" w:sz="4" w:space="0" w:color="auto"/>
            </w:tcBorders>
            <w:shd w:val="clear" w:color="auto" w:fill="FFFFFF"/>
            <w:vAlign w:val="center"/>
          </w:tcPr>
          <w:p w14:paraId="3CB3E0B7" w14:textId="046B7CB2" w:rsidR="00172641" w:rsidRPr="00C2587D" w:rsidRDefault="00172641" w:rsidP="00172641">
            <w:pPr>
              <w:jc w:val="center"/>
              <w:rPr>
                <w:rFonts w:cs="Arial"/>
                <w:sz w:val="20"/>
                <w:szCs w:val="20"/>
                <w:lang w:eastAsia="it-IT"/>
              </w:rPr>
            </w:pPr>
            <w:r w:rsidRPr="00C2587D">
              <w:rPr>
                <w:rFonts w:cs="Arial"/>
                <w:sz w:val="20"/>
                <w:szCs w:val="20"/>
              </w:rPr>
              <w:t xml:space="preserve"> </w:t>
            </w:r>
          </w:p>
        </w:tc>
        <w:tc>
          <w:tcPr>
            <w:tcW w:w="11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C0B3CE" w14:textId="2A9B58E3" w:rsidR="00172641" w:rsidRPr="00C2587D" w:rsidRDefault="00172641" w:rsidP="00172641">
            <w:pPr>
              <w:jc w:val="center"/>
              <w:rPr>
                <w:rFonts w:cs="Arial"/>
                <w:sz w:val="20"/>
                <w:szCs w:val="20"/>
                <w:lang w:eastAsia="it-IT"/>
              </w:rPr>
            </w:pPr>
            <w:r w:rsidRPr="00C2587D">
              <w:rPr>
                <w:rFonts w:cs="Arial"/>
                <w:sz w:val="20"/>
                <w:szCs w:val="20"/>
                <w:lang w:eastAsia="it-IT"/>
              </w:rPr>
              <w:t xml:space="preserve"> </w:t>
            </w:r>
          </w:p>
        </w:tc>
        <w:tc>
          <w:tcPr>
            <w:tcW w:w="1112" w:type="dxa"/>
            <w:tcBorders>
              <w:top w:val="single" w:sz="4" w:space="0" w:color="auto"/>
              <w:left w:val="single" w:sz="4" w:space="0" w:color="auto"/>
              <w:bottom w:val="single" w:sz="4" w:space="0" w:color="auto"/>
              <w:right w:val="single" w:sz="4" w:space="0" w:color="auto"/>
            </w:tcBorders>
            <w:shd w:val="clear" w:color="auto" w:fill="FFFFFF"/>
            <w:vAlign w:val="center"/>
          </w:tcPr>
          <w:p w14:paraId="0ABED230" w14:textId="77777777" w:rsidR="00172641" w:rsidRPr="00C2587D" w:rsidRDefault="00172641" w:rsidP="00172641">
            <w:pPr>
              <w:jc w:val="center"/>
              <w:rPr>
                <w:rFonts w:cs="Arial"/>
                <w:sz w:val="20"/>
                <w:szCs w:val="20"/>
                <w:lang w:eastAsia="it-IT"/>
              </w:rPr>
            </w:pPr>
          </w:p>
        </w:tc>
        <w:tc>
          <w:tcPr>
            <w:tcW w:w="1119" w:type="dxa"/>
            <w:tcBorders>
              <w:top w:val="single" w:sz="4" w:space="0" w:color="auto"/>
              <w:left w:val="single" w:sz="4" w:space="0" w:color="auto"/>
              <w:bottom w:val="single" w:sz="4" w:space="0" w:color="auto"/>
              <w:right w:val="single" w:sz="4" w:space="0" w:color="auto"/>
            </w:tcBorders>
            <w:shd w:val="clear" w:color="auto" w:fill="FFFFFF"/>
            <w:vAlign w:val="center"/>
          </w:tcPr>
          <w:p w14:paraId="55922193" w14:textId="19C1F432" w:rsidR="00172641" w:rsidRPr="00C2587D" w:rsidRDefault="00172641" w:rsidP="00172641">
            <w:pPr>
              <w:jc w:val="center"/>
              <w:rPr>
                <w:rFonts w:cs="Arial"/>
                <w:b/>
                <w:sz w:val="20"/>
                <w:szCs w:val="20"/>
              </w:rPr>
            </w:pPr>
            <w:r w:rsidRPr="00C2587D">
              <w:rPr>
                <w:rFonts w:cs="Arial"/>
                <w:b/>
                <w:sz w:val="20"/>
                <w:szCs w:val="20"/>
              </w:rPr>
              <w:t xml:space="preserve"> 4 000,0</w:t>
            </w:r>
          </w:p>
        </w:tc>
      </w:tr>
      <w:tr w:rsidR="00172641" w:rsidRPr="00C2587D" w14:paraId="70B7C7C0" w14:textId="77777777" w:rsidTr="00A041B2">
        <w:trPr>
          <w:gridAfter w:val="1"/>
          <w:wAfter w:w="28" w:type="dxa"/>
          <w:jc w:val="center"/>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12DC97" w14:textId="7CF1F8D1" w:rsidR="00172641" w:rsidRPr="00C2587D" w:rsidRDefault="00B015EE" w:rsidP="00172641">
            <w:pPr>
              <w:jc w:val="right"/>
              <w:rPr>
                <w:rFonts w:cs="Arial"/>
                <w:color w:val="000000"/>
                <w:sz w:val="20"/>
                <w:szCs w:val="20"/>
                <w:lang w:eastAsia="uk-UA"/>
              </w:rPr>
            </w:pPr>
            <w:r w:rsidRPr="00C2587D">
              <w:rPr>
                <w:rFonts w:cs="Arial"/>
                <w:color w:val="000000"/>
                <w:sz w:val="20"/>
                <w:szCs w:val="20"/>
                <w:lang w:eastAsia="uk-UA"/>
              </w:rPr>
              <w:t>10.</w:t>
            </w:r>
          </w:p>
        </w:tc>
        <w:tc>
          <w:tcPr>
            <w:tcW w:w="4111" w:type="dxa"/>
            <w:tcBorders>
              <w:top w:val="single" w:sz="4" w:space="0" w:color="auto"/>
              <w:left w:val="nil"/>
              <w:bottom w:val="single" w:sz="4" w:space="0" w:color="auto"/>
              <w:right w:val="single" w:sz="4" w:space="0" w:color="auto"/>
            </w:tcBorders>
            <w:shd w:val="clear" w:color="auto" w:fill="auto"/>
            <w:vAlign w:val="center"/>
          </w:tcPr>
          <w:p w14:paraId="0AA56DAB" w14:textId="65023128" w:rsidR="00172641" w:rsidRPr="00C2587D" w:rsidRDefault="00172641" w:rsidP="00172641">
            <w:pPr>
              <w:spacing w:before="40" w:after="40"/>
              <w:jc w:val="both"/>
              <w:rPr>
                <w:rFonts w:cs="Arial"/>
                <w:sz w:val="20"/>
                <w:szCs w:val="20"/>
                <w:lang w:eastAsia="it-IT"/>
              </w:rPr>
            </w:pPr>
            <w:r w:rsidRPr="00C2587D">
              <w:rPr>
                <w:rFonts w:cs="Arial"/>
                <w:sz w:val="20"/>
                <w:szCs w:val="20"/>
                <w:lang w:eastAsia="it-IT"/>
              </w:rPr>
              <w:t>Пожежна сигналізація як необхідна умова створення безпечного освітнього простору в КЗ «Жмеринський ліцей № 4»</w:t>
            </w:r>
          </w:p>
        </w:tc>
        <w:tc>
          <w:tcPr>
            <w:tcW w:w="1162" w:type="dxa"/>
            <w:tcBorders>
              <w:top w:val="single" w:sz="4" w:space="0" w:color="auto"/>
              <w:bottom w:val="single" w:sz="4" w:space="0" w:color="auto"/>
              <w:right w:val="single" w:sz="4" w:space="0" w:color="auto"/>
            </w:tcBorders>
            <w:vAlign w:val="center"/>
          </w:tcPr>
          <w:p w14:paraId="076CE050" w14:textId="6D9AD1FF" w:rsidR="00172641" w:rsidRPr="00C2587D" w:rsidRDefault="00172641" w:rsidP="00172641">
            <w:pPr>
              <w:jc w:val="center"/>
              <w:rPr>
                <w:rFonts w:cs="Arial"/>
                <w:sz w:val="20"/>
                <w:szCs w:val="20"/>
                <w:lang w:eastAsia="it-IT"/>
              </w:rPr>
            </w:pPr>
            <w:r w:rsidRPr="00C2587D">
              <w:rPr>
                <w:rFonts w:cs="Arial"/>
                <w:sz w:val="20"/>
                <w:szCs w:val="20"/>
                <w:lang w:eastAsia="it-IT"/>
              </w:rPr>
              <w:t xml:space="preserve"> 150,0</w:t>
            </w:r>
          </w:p>
        </w:tc>
        <w:tc>
          <w:tcPr>
            <w:tcW w:w="1273" w:type="dxa"/>
            <w:tcBorders>
              <w:top w:val="single" w:sz="4" w:space="0" w:color="auto"/>
              <w:left w:val="single" w:sz="4" w:space="0" w:color="auto"/>
              <w:bottom w:val="single" w:sz="4" w:space="0" w:color="auto"/>
              <w:right w:val="single" w:sz="4" w:space="0" w:color="auto"/>
            </w:tcBorders>
            <w:shd w:val="clear" w:color="auto" w:fill="FFFFFF"/>
            <w:vAlign w:val="center"/>
          </w:tcPr>
          <w:p w14:paraId="76E61076" w14:textId="5CA48F18" w:rsidR="00172641" w:rsidRPr="00C2587D" w:rsidRDefault="00172641" w:rsidP="00172641">
            <w:pPr>
              <w:jc w:val="center"/>
              <w:rPr>
                <w:rFonts w:cs="Arial"/>
                <w:sz w:val="20"/>
                <w:szCs w:val="20"/>
                <w:lang w:eastAsia="it-IT"/>
              </w:rPr>
            </w:pPr>
            <w:r w:rsidRPr="00C2587D">
              <w:rPr>
                <w:rFonts w:cs="Arial"/>
                <w:sz w:val="20"/>
                <w:szCs w:val="20"/>
                <w:lang w:eastAsia="it-IT"/>
              </w:rPr>
              <w:t xml:space="preserve">3 000,0 </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tcPr>
          <w:p w14:paraId="73126FEE" w14:textId="5F99D238" w:rsidR="00172641" w:rsidRPr="00C2587D" w:rsidRDefault="00172641" w:rsidP="00172641">
            <w:pPr>
              <w:jc w:val="center"/>
              <w:rPr>
                <w:rFonts w:cs="Arial"/>
                <w:sz w:val="20"/>
                <w:szCs w:val="20"/>
                <w:lang w:eastAsia="it-IT"/>
              </w:rPr>
            </w:pPr>
            <w:r w:rsidRPr="00C2587D">
              <w:rPr>
                <w:rFonts w:cs="Arial"/>
                <w:sz w:val="20"/>
                <w:szCs w:val="20"/>
                <w:lang w:eastAsia="it-IT"/>
              </w:rPr>
              <w:t xml:space="preserve"> </w:t>
            </w:r>
          </w:p>
        </w:tc>
        <w:tc>
          <w:tcPr>
            <w:tcW w:w="1112" w:type="dxa"/>
            <w:tcBorders>
              <w:top w:val="single" w:sz="4" w:space="0" w:color="auto"/>
              <w:left w:val="single" w:sz="4" w:space="0" w:color="auto"/>
              <w:bottom w:val="single" w:sz="4" w:space="0" w:color="auto"/>
              <w:right w:val="single" w:sz="4" w:space="0" w:color="auto"/>
            </w:tcBorders>
            <w:shd w:val="clear" w:color="auto" w:fill="FFFFFF"/>
            <w:vAlign w:val="center"/>
          </w:tcPr>
          <w:p w14:paraId="255D0169" w14:textId="2B228CD4" w:rsidR="00172641" w:rsidRPr="00C2587D" w:rsidRDefault="00172641" w:rsidP="00172641">
            <w:pPr>
              <w:jc w:val="center"/>
              <w:rPr>
                <w:rFonts w:cs="Arial"/>
                <w:sz w:val="20"/>
                <w:szCs w:val="20"/>
                <w:lang w:eastAsia="it-IT"/>
              </w:rPr>
            </w:pPr>
            <w:r w:rsidRPr="00C2587D">
              <w:rPr>
                <w:rFonts w:cs="Arial"/>
                <w:sz w:val="20"/>
                <w:szCs w:val="20"/>
                <w:lang w:eastAsia="it-IT"/>
              </w:rPr>
              <w:t xml:space="preserve"> </w:t>
            </w:r>
          </w:p>
        </w:tc>
        <w:tc>
          <w:tcPr>
            <w:tcW w:w="1119" w:type="dxa"/>
            <w:tcBorders>
              <w:top w:val="single" w:sz="4" w:space="0" w:color="auto"/>
              <w:left w:val="single" w:sz="4" w:space="0" w:color="auto"/>
              <w:bottom w:val="single" w:sz="4" w:space="0" w:color="auto"/>
              <w:right w:val="single" w:sz="4" w:space="0" w:color="auto"/>
            </w:tcBorders>
            <w:shd w:val="clear" w:color="auto" w:fill="FFFFFF"/>
            <w:vAlign w:val="center"/>
          </w:tcPr>
          <w:p w14:paraId="7C0BEE09" w14:textId="229A6E88" w:rsidR="00172641" w:rsidRPr="00C2587D" w:rsidRDefault="00172641" w:rsidP="0034121E">
            <w:pPr>
              <w:jc w:val="center"/>
              <w:rPr>
                <w:rFonts w:cs="Arial"/>
                <w:b/>
                <w:bCs/>
                <w:sz w:val="20"/>
                <w:szCs w:val="20"/>
              </w:rPr>
            </w:pPr>
            <w:r w:rsidRPr="00C2587D">
              <w:rPr>
                <w:rFonts w:cs="Arial"/>
                <w:b/>
                <w:bCs/>
                <w:sz w:val="20"/>
                <w:szCs w:val="20"/>
              </w:rPr>
              <w:t>3 </w:t>
            </w:r>
            <w:r w:rsidR="0034121E" w:rsidRPr="00C2587D">
              <w:rPr>
                <w:rFonts w:cs="Arial"/>
                <w:b/>
                <w:bCs/>
                <w:sz w:val="20"/>
                <w:szCs w:val="20"/>
              </w:rPr>
              <w:t>150</w:t>
            </w:r>
            <w:r w:rsidRPr="00C2587D">
              <w:rPr>
                <w:rFonts w:cs="Arial"/>
                <w:b/>
                <w:bCs/>
                <w:sz w:val="20"/>
                <w:szCs w:val="20"/>
              </w:rPr>
              <w:t xml:space="preserve">,0 </w:t>
            </w:r>
          </w:p>
        </w:tc>
      </w:tr>
      <w:tr w:rsidR="009238F3" w:rsidRPr="00C2587D" w14:paraId="2ADB425C" w14:textId="77777777" w:rsidTr="00A041B2">
        <w:trPr>
          <w:gridAfter w:val="1"/>
          <w:wAfter w:w="28" w:type="dxa"/>
          <w:trHeight w:val="433"/>
          <w:jc w:val="center"/>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DFD357" w14:textId="69E37763" w:rsidR="009238F3" w:rsidRPr="00C2587D" w:rsidRDefault="00B015EE" w:rsidP="009238F3">
            <w:pPr>
              <w:jc w:val="right"/>
              <w:rPr>
                <w:rFonts w:cs="Arial"/>
                <w:color w:val="000000"/>
                <w:sz w:val="20"/>
                <w:szCs w:val="20"/>
                <w:lang w:eastAsia="uk-UA"/>
              </w:rPr>
            </w:pPr>
            <w:r w:rsidRPr="00C2587D">
              <w:rPr>
                <w:rFonts w:cs="Arial"/>
                <w:color w:val="000000"/>
                <w:sz w:val="20"/>
                <w:szCs w:val="20"/>
                <w:lang w:eastAsia="uk-UA"/>
              </w:rPr>
              <w:t>11.</w:t>
            </w:r>
          </w:p>
        </w:tc>
        <w:tc>
          <w:tcPr>
            <w:tcW w:w="4111" w:type="dxa"/>
            <w:tcBorders>
              <w:top w:val="single" w:sz="4" w:space="0" w:color="auto"/>
              <w:left w:val="nil"/>
              <w:bottom w:val="single" w:sz="4" w:space="0" w:color="auto"/>
              <w:right w:val="single" w:sz="4" w:space="0" w:color="auto"/>
            </w:tcBorders>
            <w:shd w:val="clear" w:color="auto" w:fill="auto"/>
            <w:vAlign w:val="center"/>
          </w:tcPr>
          <w:p w14:paraId="6BBB9D53" w14:textId="59C0A22F" w:rsidR="009238F3" w:rsidRPr="00C2587D" w:rsidRDefault="009238F3" w:rsidP="009238F3">
            <w:pPr>
              <w:spacing w:before="40" w:after="40"/>
              <w:jc w:val="both"/>
              <w:rPr>
                <w:rFonts w:cs="Arial"/>
                <w:sz w:val="20"/>
                <w:szCs w:val="20"/>
                <w:lang w:eastAsia="it-IT"/>
              </w:rPr>
            </w:pPr>
            <w:r w:rsidRPr="00C2587D">
              <w:rPr>
                <w:rFonts w:cs="Arial"/>
                <w:sz w:val="20"/>
                <w:szCs w:val="20"/>
                <w:lang w:eastAsia="it-IT"/>
              </w:rPr>
              <w:t>Сучасна система пожежної безпеки в школі</w:t>
            </w:r>
          </w:p>
        </w:tc>
        <w:tc>
          <w:tcPr>
            <w:tcW w:w="1162" w:type="dxa"/>
            <w:tcBorders>
              <w:top w:val="single" w:sz="4" w:space="0" w:color="auto"/>
              <w:bottom w:val="single" w:sz="4" w:space="0" w:color="auto"/>
              <w:right w:val="single" w:sz="4" w:space="0" w:color="auto"/>
            </w:tcBorders>
            <w:vAlign w:val="center"/>
          </w:tcPr>
          <w:p w14:paraId="178F6893" w14:textId="2B374AC5" w:rsidR="009238F3" w:rsidRPr="00C2587D" w:rsidRDefault="009238F3" w:rsidP="009238F3">
            <w:pPr>
              <w:jc w:val="center"/>
              <w:rPr>
                <w:rFonts w:cs="Arial"/>
                <w:sz w:val="20"/>
                <w:szCs w:val="20"/>
                <w:lang w:eastAsia="it-IT"/>
              </w:rPr>
            </w:pPr>
            <w:r w:rsidRPr="00C2587D">
              <w:rPr>
                <w:rFonts w:cs="Arial"/>
                <w:color w:val="000000"/>
                <w:sz w:val="20"/>
                <w:szCs w:val="20"/>
                <w:lang w:eastAsia="it-IT"/>
              </w:rPr>
              <w:t xml:space="preserve"> 150,0</w:t>
            </w:r>
          </w:p>
        </w:tc>
        <w:tc>
          <w:tcPr>
            <w:tcW w:w="1273" w:type="dxa"/>
            <w:tcBorders>
              <w:top w:val="single" w:sz="4" w:space="0" w:color="auto"/>
              <w:left w:val="single" w:sz="4" w:space="0" w:color="auto"/>
              <w:bottom w:val="single" w:sz="4" w:space="0" w:color="auto"/>
              <w:right w:val="single" w:sz="4" w:space="0" w:color="auto"/>
            </w:tcBorders>
            <w:shd w:val="clear" w:color="auto" w:fill="FFFFFF"/>
            <w:vAlign w:val="center"/>
          </w:tcPr>
          <w:p w14:paraId="73AB86C6" w14:textId="1B6F82CC" w:rsidR="009238F3" w:rsidRPr="00C2587D" w:rsidRDefault="009238F3" w:rsidP="009238F3">
            <w:pPr>
              <w:jc w:val="center"/>
              <w:rPr>
                <w:rFonts w:cs="Arial"/>
                <w:sz w:val="20"/>
                <w:szCs w:val="20"/>
                <w:lang w:eastAsia="it-IT"/>
              </w:rPr>
            </w:pPr>
            <w:r w:rsidRPr="00C2587D">
              <w:rPr>
                <w:rFonts w:cs="Arial"/>
                <w:color w:val="000000"/>
                <w:sz w:val="20"/>
                <w:szCs w:val="20"/>
                <w:lang w:eastAsia="it-IT"/>
              </w:rPr>
              <w:t>3 000,0</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tcPr>
          <w:p w14:paraId="165E3CB0" w14:textId="79104E57" w:rsidR="009238F3" w:rsidRPr="00C2587D" w:rsidRDefault="009238F3" w:rsidP="009238F3">
            <w:pPr>
              <w:jc w:val="center"/>
              <w:rPr>
                <w:rFonts w:cs="Arial"/>
                <w:sz w:val="20"/>
                <w:szCs w:val="20"/>
                <w:lang w:eastAsia="it-IT"/>
              </w:rPr>
            </w:pPr>
            <w:r w:rsidRPr="00C2587D">
              <w:rPr>
                <w:rFonts w:cs="Arial"/>
                <w:color w:val="000000"/>
                <w:sz w:val="20"/>
                <w:szCs w:val="20"/>
                <w:lang w:eastAsia="it-IT"/>
              </w:rPr>
              <w:t xml:space="preserve"> </w:t>
            </w:r>
          </w:p>
        </w:tc>
        <w:tc>
          <w:tcPr>
            <w:tcW w:w="1112" w:type="dxa"/>
            <w:tcBorders>
              <w:top w:val="single" w:sz="4" w:space="0" w:color="auto"/>
              <w:left w:val="single" w:sz="4" w:space="0" w:color="auto"/>
              <w:bottom w:val="single" w:sz="4" w:space="0" w:color="auto"/>
              <w:right w:val="single" w:sz="4" w:space="0" w:color="auto"/>
            </w:tcBorders>
            <w:shd w:val="clear" w:color="auto" w:fill="FFFFFF"/>
            <w:vAlign w:val="center"/>
          </w:tcPr>
          <w:p w14:paraId="384AEF00" w14:textId="019A53D3" w:rsidR="009238F3" w:rsidRPr="00C2587D" w:rsidRDefault="009238F3" w:rsidP="009238F3">
            <w:pPr>
              <w:jc w:val="center"/>
              <w:rPr>
                <w:rFonts w:cs="Arial"/>
                <w:sz w:val="20"/>
                <w:szCs w:val="20"/>
                <w:lang w:eastAsia="it-IT"/>
              </w:rPr>
            </w:pPr>
            <w:r w:rsidRPr="00C2587D">
              <w:rPr>
                <w:rFonts w:cs="Arial"/>
                <w:color w:val="000000"/>
                <w:sz w:val="20"/>
                <w:szCs w:val="20"/>
                <w:lang w:eastAsia="it-IT"/>
              </w:rPr>
              <w:t xml:space="preserve"> </w:t>
            </w:r>
          </w:p>
        </w:tc>
        <w:tc>
          <w:tcPr>
            <w:tcW w:w="1119" w:type="dxa"/>
            <w:tcBorders>
              <w:top w:val="single" w:sz="4" w:space="0" w:color="auto"/>
              <w:left w:val="single" w:sz="4" w:space="0" w:color="auto"/>
              <w:bottom w:val="single" w:sz="4" w:space="0" w:color="auto"/>
              <w:right w:val="single" w:sz="4" w:space="0" w:color="auto"/>
            </w:tcBorders>
            <w:shd w:val="clear" w:color="auto" w:fill="FFFFFF"/>
            <w:vAlign w:val="center"/>
          </w:tcPr>
          <w:p w14:paraId="2DBF9C48" w14:textId="11F9EBBF" w:rsidR="009238F3" w:rsidRPr="00C2587D" w:rsidRDefault="009238F3" w:rsidP="009238F3">
            <w:pPr>
              <w:jc w:val="center"/>
              <w:rPr>
                <w:rFonts w:cs="Arial"/>
                <w:b/>
                <w:bCs/>
                <w:sz w:val="20"/>
                <w:szCs w:val="20"/>
              </w:rPr>
            </w:pPr>
            <w:r w:rsidRPr="00C2587D">
              <w:rPr>
                <w:rFonts w:cs="Arial"/>
                <w:b/>
                <w:bCs/>
                <w:sz w:val="20"/>
                <w:szCs w:val="20"/>
              </w:rPr>
              <w:t>3 150,0</w:t>
            </w:r>
          </w:p>
        </w:tc>
      </w:tr>
      <w:tr w:rsidR="00721251" w:rsidRPr="00C2587D" w14:paraId="7C440534" w14:textId="77777777" w:rsidTr="00A041B2">
        <w:trPr>
          <w:gridAfter w:val="1"/>
          <w:wAfter w:w="28" w:type="dxa"/>
          <w:jc w:val="center"/>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142379" w14:textId="56680EC5" w:rsidR="00721251" w:rsidRPr="00C2587D" w:rsidRDefault="00B015EE" w:rsidP="00721251">
            <w:pPr>
              <w:jc w:val="right"/>
              <w:rPr>
                <w:rFonts w:cs="Arial"/>
                <w:color w:val="000000"/>
                <w:sz w:val="20"/>
                <w:szCs w:val="20"/>
                <w:lang w:eastAsia="uk-UA"/>
              </w:rPr>
            </w:pPr>
            <w:r w:rsidRPr="00C2587D">
              <w:rPr>
                <w:rFonts w:cs="Arial"/>
                <w:color w:val="000000"/>
                <w:sz w:val="20"/>
                <w:szCs w:val="20"/>
                <w:lang w:eastAsia="uk-UA"/>
              </w:rPr>
              <w:t>12.</w:t>
            </w:r>
          </w:p>
        </w:tc>
        <w:tc>
          <w:tcPr>
            <w:tcW w:w="4111" w:type="dxa"/>
            <w:tcBorders>
              <w:top w:val="single" w:sz="4" w:space="0" w:color="auto"/>
              <w:left w:val="nil"/>
              <w:bottom w:val="single" w:sz="4" w:space="0" w:color="auto"/>
              <w:right w:val="single" w:sz="4" w:space="0" w:color="auto"/>
            </w:tcBorders>
            <w:shd w:val="clear" w:color="auto" w:fill="auto"/>
            <w:vAlign w:val="center"/>
          </w:tcPr>
          <w:p w14:paraId="71A1C719" w14:textId="0B942A16" w:rsidR="00721251" w:rsidRPr="00C2587D" w:rsidRDefault="00721251" w:rsidP="00721251">
            <w:pPr>
              <w:spacing w:before="40" w:after="40"/>
              <w:jc w:val="both"/>
              <w:rPr>
                <w:rFonts w:cs="Arial"/>
                <w:sz w:val="20"/>
                <w:szCs w:val="20"/>
                <w:lang w:eastAsia="it-IT"/>
              </w:rPr>
            </w:pPr>
            <w:r w:rsidRPr="00C2587D">
              <w:rPr>
                <w:rFonts w:cs="Arial"/>
                <w:sz w:val="20"/>
                <w:szCs w:val="20"/>
                <w:lang w:eastAsia="it-IT"/>
              </w:rPr>
              <w:t>Пожежна сигналізація – необхідна умова створення безпечного освітнього простору</w:t>
            </w:r>
          </w:p>
        </w:tc>
        <w:tc>
          <w:tcPr>
            <w:tcW w:w="1162" w:type="dxa"/>
            <w:tcBorders>
              <w:top w:val="single" w:sz="4" w:space="0" w:color="auto"/>
              <w:bottom w:val="single" w:sz="4" w:space="0" w:color="auto"/>
              <w:right w:val="single" w:sz="4" w:space="0" w:color="auto"/>
            </w:tcBorders>
            <w:vAlign w:val="center"/>
          </w:tcPr>
          <w:p w14:paraId="66600AE2" w14:textId="536F43BE" w:rsidR="00721251" w:rsidRPr="00C2587D" w:rsidRDefault="00721251" w:rsidP="00721251">
            <w:pPr>
              <w:jc w:val="center"/>
              <w:rPr>
                <w:rFonts w:cs="Arial"/>
                <w:color w:val="000000"/>
                <w:sz w:val="20"/>
                <w:szCs w:val="20"/>
                <w:lang w:eastAsia="it-IT"/>
              </w:rPr>
            </w:pPr>
            <w:r w:rsidRPr="00C2587D">
              <w:rPr>
                <w:rFonts w:cs="Arial"/>
                <w:color w:val="000000"/>
                <w:sz w:val="20"/>
                <w:szCs w:val="20"/>
                <w:lang w:eastAsia="it-IT"/>
              </w:rPr>
              <w:t xml:space="preserve"> 150,0</w:t>
            </w:r>
          </w:p>
        </w:tc>
        <w:tc>
          <w:tcPr>
            <w:tcW w:w="1273" w:type="dxa"/>
            <w:tcBorders>
              <w:top w:val="single" w:sz="4" w:space="0" w:color="auto"/>
              <w:left w:val="single" w:sz="4" w:space="0" w:color="auto"/>
              <w:bottom w:val="single" w:sz="4" w:space="0" w:color="auto"/>
              <w:right w:val="single" w:sz="4" w:space="0" w:color="auto"/>
            </w:tcBorders>
            <w:shd w:val="clear" w:color="auto" w:fill="FFFFFF"/>
            <w:vAlign w:val="center"/>
          </w:tcPr>
          <w:p w14:paraId="0D8E633C" w14:textId="79DDAF08" w:rsidR="00721251" w:rsidRPr="00C2587D" w:rsidRDefault="00721251" w:rsidP="00721251">
            <w:pPr>
              <w:jc w:val="center"/>
              <w:rPr>
                <w:rFonts w:cs="Arial"/>
                <w:color w:val="000000"/>
                <w:sz w:val="20"/>
                <w:szCs w:val="20"/>
                <w:lang w:eastAsia="it-IT"/>
              </w:rPr>
            </w:pPr>
            <w:r w:rsidRPr="00C2587D">
              <w:rPr>
                <w:rFonts w:cs="Arial"/>
                <w:color w:val="000000"/>
                <w:sz w:val="20"/>
                <w:szCs w:val="20"/>
                <w:lang w:eastAsia="it-IT"/>
              </w:rPr>
              <w:t xml:space="preserve"> </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tcPr>
          <w:p w14:paraId="2A81B430" w14:textId="6E86C476" w:rsidR="00721251" w:rsidRPr="00C2587D" w:rsidRDefault="00721251" w:rsidP="00721251">
            <w:pPr>
              <w:jc w:val="center"/>
              <w:rPr>
                <w:rFonts w:cs="Arial"/>
                <w:color w:val="000000"/>
                <w:sz w:val="20"/>
                <w:szCs w:val="20"/>
                <w:lang w:eastAsia="it-IT"/>
              </w:rPr>
            </w:pPr>
            <w:r w:rsidRPr="00C2587D">
              <w:rPr>
                <w:rFonts w:cs="Arial"/>
                <w:color w:val="000000"/>
                <w:sz w:val="20"/>
                <w:szCs w:val="20"/>
                <w:lang w:eastAsia="it-IT"/>
              </w:rPr>
              <w:t xml:space="preserve"> 3 000,0</w:t>
            </w:r>
          </w:p>
        </w:tc>
        <w:tc>
          <w:tcPr>
            <w:tcW w:w="1112" w:type="dxa"/>
            <w:tcBorders>
              <w:top w:val="single" w:sz="4" w:space="0" w:color="auto"/>
              <w:left w:val="single" w:sz="4" w:space="0" w:color="auto"/>
              <w:bottom w:val="single" w:sz="4" w:space="0" w:color="auto"/>
              <w:right w:val="single" w:sz="4" w:space="0" w:color="auto"/>
            </w:tcBorders>
            <w:shd w:val="clear" w:color="auto" w:fill="FFFFFF"/>
            <w:vAlign w:val="center"/>
          </w:tcPr>
          <w:p w14:paraId="4CEA628A" w14:textId="7341069C" w:rsidR="00721251" w:rsidRPr="00C2587D" w:rsidRDefault="00721251" w:rsidP="00721251">
            <w:pPr>
              <w:jc w:val="center"/>
              <w:rPr>
                <w:rFonts w:cs="Arial"/>
                <w:color w:val="000000"/>
                <w:sz w:val="20"/>
                <w:szCs w:val="20"/>
                <w:lang w:eastAsia="it-IT"/>
              </w:rPr>
            </w:pPr>
            <w:r w:rsidRPr="00C2587D">
              <w:rPr>
                <w:rFonts w:cs="Arial"/>
                <w:color w:val="000000"/>
                <w:sz w:val="20"/>
                <w:szCs w:val="20"/>
                <w:lang w:eastAsia="it-IT"/>
              </w:rPr>
              <w:t xml:space="preserve"> </w:t>
            </w:r>
          </w:p>
        </w:tc>
        <w:tc>
          <w:tcPr>
            <w:tcW w:w="1119" w:type="dxa"/>
            <w:tcBorders>
              <w:top w:val="single" w:sz="4" w:space="0" w:color="auto"/>
              <w:left w:val="single" w:sz="4" w:space="0" w:color="auto"/>
              <w:bottom w:val="single" w:sz="4" w:space="0" w:color="auto"/>
              <w:right w:val="single" w:sz="4" w:space="0" w:color="auto"/>
            </w:tcBorders>
            <w:shd w:val="clear" w:color="auto" w:fill="FFFFFF"/>
            <w:vAlign w:val="center"/>
          </w:tcPr>
          <w:p w14:paraId="56D31E73" w14:textId="017FEBA8" w:rsidR="00721251" w:rsidRPr="00C2587D" w:rsidRDefault="00721251" w:rsidP="00721251">
            <w:pPr>
              <w:jc w:val="center"/>
              <w:rPr>
                <w:rFonts w:cs="Arial"/>
                <w:b/>
                <w:bCs/>
                <w:sz w:val="20"/>
                <w:szCs w:val="20"/>
              </w:rPr>
            </w:pPr>
            <w:r w:rsidRPr="00C2587D">
              <w:rPr>
                <w:rFonts w:cs="Arial"/>
                <w:b/>
                <w:bCs/>
                <w:sz w:val="20"/>
                <w:szCs w:val="20"/>
              </w:rPr>
              <w:t xml:space="preserve">3 150,0 </w:t>
            </w:r>
          </w:p>
        </w:tc>
      </w:tr>
      <w:tr w:rsidR="00721251" w:rsidRPr="00C2587D" w14:paraId="2699AA65" w14:textId="77777777" w:rsidTr="00A041B2">
        <w:trPr>
          <w:gridAfter w:val="1"/>
          <w:wAfter w:w="28" w:type="dxa"/>
          <w:jc w:val="center"/>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A3B939" w14:textId="14862308" w:rsidR="00721251" w:rsidRPr="00C2587D" w:rsidRDefault="00B015EE" w:rsidP="00721251">
            <w:pPr>
              <w:jc w:val="right"/>
              <w:rPr>
                <w:rFonts w:cs="Arial"/>
                <w:color w:val="000000"/>
                <w:sz w:val="20"/>
                <w:szCs w:val="20"/>
                <w:lang w:eastAsia="uk-UA"/>
              </w:rPr>
            </w:pPr>
            <w:r w:rsidRPr="00C2587D">
              <w:rPr>
                <w:rFonts w:cs="Arial"/>
                <w:color w:val="000000"/>
                <w:sz w:val="20"/>
                <w:szCs w:val="20"/>
                <w:lang w:eastAsia="uk-UA"/>
              </w:rPr>
              <w:t>13.</w:t>
            </w:r>
          </w:p>
        </w:tc>
        <w:tc>
          <w:tcPr>
            <w:tcW w:w="4111" w:type="dxa"/>
            <w:tcBorders>
              <w:top w:val="single" w:sz="4" w:space="0" w:color="auto"/>
              <w:left w:val="nil"/>
              <w:bottom w:val="single" w:sz="4" w:space="0" w:color="auto"/>
              <w:right w:val="single" w:sz="4" w:space="0" w:color="auto"/>
            </w:tcBorders>
            <w:shd w:val="clear" w:color="auto" w:fill="auto"/>
            <w:vAlign w:val="center"/>
          </w:tcPr>
          <w:p w14:paraId="71059785" w14:textId="5324403D" w:rsidR="00721251" w:rsidRPr="00C2587D" w:rsidRDefault="00721251" w:rsidP="00721251">
            <w:pPr>
              <w:spacing w:before="40" w:after="40"/>
              <w:jc w:val="both"/>
              <w:rPr>
                <w:rFonts w:cs="Arial"/>
                <w:sz w:val="20"/>
                <w:szCs w:val="20"/>
                <w:lang w:eastAsia="it-IT"/>
              </w:rPr>
            </w:pPr>
            <w:r w:rsidRPr="00C2587D">
              <w:rPr>
                <w:rFonts w:cs="Arial"/>
                <w:sz w:val="20"/>
                <w:szCs w:val="20"/>
                <w:lang w:eastAsia="it-IT"/>
              </w:rPr>
              <w:t>Облаштування сучасної системи пожежної безпеки в КЗ «Жмеринський ліцей № 3»</w:t>
            </w:r>
          </w:p>
        </w:tc>
        <w:tc>
          <w:tcPr>
            <w:tcW w:w="1162" w:type="dxa"/>
            <w:tcBorders>
              <w:top w:val="single" w:sz="4" w:space="0" w:color="auto"/>
              <w:bottom w:val="single" w:sz="4" w:space="0" w:color="auto"/>
              <w:right w:val="single" w:sz="4" w:space="0" w:color="auto"/>
            </w:tcBorders>
            <w:vAlign w:val="center"/>
          </w:tcPr>
          <w:p w14:paraId="7E92C505" w14:textId="539CADA6" w:rsidR="00721251" w:rsidRPr="00C2587D" w:rsidRDefault="00721251" w:rsidP="00721251">
            <w:pPr>
              <w:jc w:val="center"/>
              <w:rPr>
                <w:rFonts w:cs="Arial"/>
                <w:color w:val="000000"/>
                <w:sz w:val="20"/>
                <w:szCs w:val="20"/>
                <w:lang w:eastAsia="it-IT"/>
              </w:rPr>
            </w:pPr>
            <w:r w:rsidRPr="00C2587D">
              <w:rPr>
                <w:rFonts w:cs="Arial"/>
                <w:sz w:val="20"/>
                <w:szCs w:val="20"/>
                <w:lang w:eastAsia="it-IT"/>
              </w:rPr>
              <w:t xml:space="preserve"> </w:t>
            </w:r>
          </w:p>
        </w:tc>
        <w:tc>
          <w:tcPr>
            <w:tcW w:w="1273" w:type="dxa"/>
            <w:tcBorders>
              <w:top w:val="single" w:sz="4" w:space="0" w:color="auto"/>
              <w:left w:val="single" w:sz="4" w:space="0" w:color="auto"/>
              <w:bottom w:val="single" w:sz="4" w:space="0" w:color="auto"/>
              <w:right w:val="single" w:sz="4" w:space="0" w:color="auto"/>
            </w:tcBorders>
            <w:shd w:val="clear" w:color="auto" w:fill="FFFFFF"/>
            <w:vAlign w:val="center"/>
          </w:tcPr>
          <w:p w14:paraId="5F9D4CD2" w14:textId="2BBBA4E9" w:rsidR="00721251" w:rsidRPr="00C2587D" w:rsidRDefault="00721251" w:rsidP="00721251">
            <w:pPr>
              <w:jc w:val="center"/>
              <w:rPr>
                <w:rFonts w:cs="Arial"/>
                <w:color w:val="000000"/>
                <w:sz w:val="20"/>
                <w:szCs w:val="20"/>
                <w:lang w:eastAsia="it-IT"/>
              </w:rPr>
            </w:pPr>
            <w:r w:rsidRPr="00C2587D">
              <w:rPr>
                <w:rFonts w:cs="Arial"/>
                <w:sz w:val="20"/>
                <w:szCs w:val="20"/>
                <w:lang w:eastAsia="it-IT"/>
              </w:rPr>
              <w:t>150,0</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tcPr>
          <w:p w14:paraId="309905CF" w14:textId="78394BED" w:rsidR="00721251" w:rsidRPr="00C2587D" w:rsidRDefault="00721251" w:rsidP="00721251">
            <w:pPr>
              <w:jc w:val="center"/>
              <w:rPr>
                <w:rFonts w:cs="Arial"/>
                <w:color w:val="000000"/>
                <w:sz w:val="20"/>
                <w:szCs w:val="20"/>
                <w:lang w:eastAsia="it-IT"/>
              </w:rPr>
            </w:pPr>
            <w:r w:rsidRPr="00C2587D">
              <w:rPr>
                <w:rFonts w:cs="Arial"/>
                <w:sz w:val="20"/>
                <w:szCs w:val="20"/>
                <w:lang w:eastAsia="it-IT"/>
              </w:rPr>
              <w:t xml:space="preserve"> </w:t>
            </w:r>
          </w:p>
        </w:tc>
        <w:tc>
          <w:tcPr>
            <w:tcW w:w="1112" w:type="dxa"/>
            <w:tcBorders>
              <w:top w:val="single" w:sz="4" w:space="0" w:color="auto"/>
              <w:left w:val="single" w:sz="4" w:space="0" w:color="auto"/>
              <w:bottom w:val="single" w:sz="4" w:space="0" w:color="auto"/>
              <w:right w:val="single" w:sz="4" w:space="0" w:color="auto"/>
            </w:tcBorders>
            <w:shd w:val="clear" w:color="auto" w:fill="FFFFFF"/>
            <w:vAlign w:val="center"/>
          </w:tcPr>
          <w:p w14:paraId="798090CA" w14:textId="58B239C3" w:rsidR="00721251" w:rsidRPr="00C2587D" w:rsidRDefault="00721251" w:rsidP="00721251">
            <w:pPr>
              <w:jc w:val="center"/>
              <w:rPr>
                <w:rFonts w:cs="Arial"/>
                <w:color w:val="000000"/>
                <w:sz w:val="20"/>
                <w:szCs w:val="20"/>
                <w:lang w:eastAsia="it-IT"/>
              </w:rPr>
            </w:pPr>
            <w:r w:rsidRPr="00C2587D">
              <w:rPr>
                <w:rFonts w:cs="Arial"/>
                <w:sz w:val="20"/>
                <w:szCs w:val="20"/>
                <w:lang w:eastAsia="it-IT"/>
              </w:rPr>
              <w:t>4 000,0</w:t>
            </w:r>
          </w:p>
        </w:tc>
        <w:tc>
          <w:tcPr>
            <w:tcW w:w="1119" w:type="dxa"/>
            <w:tcBorders>
              <w:top w:val="single" w:sz="4" w:space="0" w:color="auto"/>
              <w:left w:val="single" w:sz="4" w:space="0" w:color="auto"/>
              <w:bottom w:val="single" w:sz="4" w:space="0" w:color="auto"/>
              <w:right w:val="single" w:sz="4" w:space="0" w:color="auto"/>
            </w:tcBorders>
            <w:shd w:val="clear" w:color="auto" w:fill="FFFFFF"/>
            <w:vAlign w:val="center"/>
          </w:tcPr>
          <w:p w14:paraId="543F973C" w14:textId="5CC562E3" w:rsidR="00721251" w:rsidRPr="00C2587D" w:rsidRDefault="00721251" w:rsidP="00721251">
            <w:pPr>
              <w:jc w:val="center"/>
              <w:rPr>
                <w:rFonts w:cs="Arial"/>
                <w:b/>
                <w:bCs/>
                <w:sz w:val="20"/>
                <w:szCs w:val="20"/>
              </w:rPr>
            </w:pPr>
            <w:r w:rsidRPr="00C2587D">
              <w:rPr>
                <w:rFonts w:cs="Arial"/>
                <w:b/>
                <w:bCs/>
                <w:sz w:val="20"/>
                <w:szCs w:val="20"/>
              </w:rPr>
              <w:t>4 150,0</w:t>
            </w:r>
          </w:p>
        </w:tc>
      </w:tr>
      <w:tr w:rsidR="00721251" w:rsidRPr="00C2587D" w14:paraId="4702129C" w14:textId="77777777" w:rsidTr="00A041B2">
        <w:trPr>
          <w:gridAfter w:val="1"/>
          <w:wAfter w:w="28" w:type="dxa"/>
          <w:jc w:val="center"/>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8504F0" w14:textId="78FA93DD" w:rsidR="00721251" w:rsidRPr="00C2587D" w:rsidRDefault="00B015EE" w:rsidP="00721251">
            <w:pPr>
              <w:jc w:val="right"/>
              <w:rPr>
                <w:rFonts w:cs="Arial"/>
                <w:color w:val="000000"/>
                <w:sz w:val="20"/>
                <w:szCs w:val="20"/>
                <w:lang w:eastAsia="uk-UA"/>
              </w:rPr>
            </w:pPr>
            <w:r w:rsidRPr="00C2587D">
              <w:rPr>
                <w:rFonts w:cs="Arial"/>
                <w:color w:val="000000"/>
                <w:sz w:val="20"/>
                <w:szCs w:val="20"/>
                <w:lang w:eastAsia="uk-UA"/>
              </w:rPr>
              <w:t>14.</w:t>
            </w:r>
          </w:p>
        </w:tc>
        <w:tc>
          <w:tcPr>
            <w:tcW w:w="4111" w:type="dxa"/>
            <w:tcBorders>
              <w:top w:val="single" w:sz="4" w:space="0" w:color="auto"/>
              <w:left w:val="nil"/>
              <w:bottom w:val="single" w:sz="4" w:space="0" w:color="auto"/>
              <w:right w:val="single" w:sz="4" w:space="0" w:color="auto"/>
            </w:tcBorders>
            <w:shd w:val="clear" w:color="auto" w:fill="auto"/>
            <w:vAlign w:val="center"/>
          </w:tcPr>
          <w:p w14:paraId="201B14C6" w14:textId="14D6B383" w:rsidR="00721251" w:rsidRPr="00C2587D" w:rsidRDefault="00721251" w:rsidP="00721251">
            <w:pPr>
              <w:spacing w:before="40" w:after="40"/>
              <w:jc w:val="both"/>
              <w:rPr>
                <w:rFonts w:cs="Arial"/>
                <w:sz w:val="20"/>
                <w:szCs w:val="20"/>
                <w:lang w:eastAsia="it-IT"/>
              </w:rPr>
            </w:pPr>
            <w:r w:rsidRPr="00C2587D">
              <w:rPr>
                <w:rFonts w:cs="Arial"/>
                <w:sz w:val="20"/>
                <w:szCs w:val="20"/>
                <w:lang w:eastAsia="it-IT"/>
              </w:rPr>
              <w:t>Облаштування сучасної систем пожежної безпеки в КЗ «Жмеринський ліцей № 6»</w:t>
            </w:r>
          </w:p>
        </w:tc>
        <w:tc>
          <w:tcPr>
            <w:tcW w:w="1162" w:type="dxa"/>
            <w:tcBorders>
              <w:top w:val="single" w:sz="4" w:space="0" w:color="auto"/>
              <w:bottom w:val="single" w:sz="4" w:space="0" w:color="auto"/>
              <w:right w:val="single" w:sz="4" w:space="0" w:color="auto"/>
            </w:tcBorders>
            <w:vAlign w:val="center"/>
          </w:tcPr>
          <w:p w14:paraId="49F8C280" w14:textId="6F11E57F" w:rsidR="00721251" w:rsidRPr="00C2587D" w:rsidRDefault="00721251" w:rsidP="00721251">
            <w:pPr>
              <w:jc w:val="center"/>
              <w:rPr>
                <w:rFonts w:cs="Arial"/>
                <w:sz w:val="20"/>
                <w:szCs w:val="20"/>
                <w:lang w:eastAsia="it-IT"/>
              </w:rPr>
            </w:pPr>
            <w:r w:rsidRPr="00C2587D">
              <w:rPr>
                <w:rFonts w:cs="Arial"/>
                <w:color w:val="000000"/>
                <w:sz w:val="20"/>
                <w:szCs w:val="20"/>
                <w:lang w:eastAsia="it-IT"/>
              </w:rPr>
              <w:t xml:space="preserve"> </w:t>
            </w:r>
          </w:p>
        </w:tc>
        <w:tc>
          <w:tcPr>
            <w:tcW w:w="1273" w:type="dxa"/>
            <w:tcBorders>
              <w:top w:val="single" w:sz="4" w:space="0" w:color="auto"/>
              <w:left w:val="single" w:sz="4" w:space="0" w:color="auto"/>
              <w:bottom w:val="single" w:sz="4" w:space="0" w:color="auto"/>
              <w:right w:val="single" w:sz="4" w:space="0" w:color="auto"/>
            </w:tcBorders>
            <w:shd w:val="clear" w:color="auto" w:fill="FFFFFF"/>
            <w:vAlign w:val="center"/>
          </w:tcPr>
          <w:p w14:paraId="674A88C8" w14:textId="66CAD945" w:rsidR="00721251" w:rsidRPr="00C2587D" w:rsidRDefault="00721251" w:rsidP="00721251">
            <w:pPr>
              <w:jc w:val="center"/>
              <w:rPr>
                <w:rFonts w:cs="Arial"/>
                <w:sz w:val="20"/>
                <w:szCs w:val="20"/>
                <w:lang w:eastAsia="it-IT"/>
              </w:rPr>
            </w:pPr>
            <w:r w:rsidRPr="00C2587D">
              <w:rPr>
                <w:rFonts w:cs="Arial"/>
                <w:color w:val="000000"/>
                <w:sz w:val="20"/>
                <w:szCs w:val="20"/>
                <w:lang w:eastAsia="it-IT"/>
              </w:rPr>
              <w:t>150,0</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tcPr>
          <w:p w14:paraId="316E4A28" w14:textId="0EFE1E69" w:rsidR="00721251" w:rsidRPr="00C2587D" w:rsidRDefault="00721251" w:rsidP="00721251">
            <w:pPr>
              <w:jc w:val="center"/>
              <w:rPr>
                <w:rFonts w:cs="Arial"/>
                <w:sz w:val="20"/>
                <w:szCs w:val="20"/>
                <w:lang w:eastAsia="it-IT"/>
              </w:rPr>
            </w:pPr>
            <w:r w:rsidRPr="00C2587D">
              <w:rPr>
                <w:rFonts w:cs="Arial"/>
                <w:color w:val="000000"/>
                <w:sz w:val="20"/>
                <w:szCs w:val="20"/>
                <w:lang w:eastAsia="it-IT"/>
              </w:rPr>
              <w:t xml:space="preserve"> 3 500,0</w:t>
            </w:r>
          </w:p>
        </w:tc>
        <w:tc>
          <w:tcPr>
            <w:tcW w:w="1112" w:type="dxa"/>
            <w:tcBorders>
              <w:top w:val="single" w:sz="4" w:space="0" w:color="auto"/>
              <w:left w:val="single" w:sz="4" w:space="0" w:color="auto"/>
              <w:bottom w:val="single" w:sz="4" w:space="0" w:color="auto"/>
              <w:right w:val="single" w:sz="4" w:space="0" w:color="auto"/>
            </w:tcBorders>
            <w:shd w:val="clear" w:color="auto" w:fill="FFFFFF"/>
            <w:vAlign w:val="center"/>
          </w:tcPr>
          <w:p w14:paraId="6F1FB0C7" w14:textId="77777777" w:rsidR="00721251" w:rsidRPr="00C2587D" w:rsidRDefault="00721251" w:rsidP="00721251">
            <w:pPr>
              <w:jc w:val="center"/>
              <w:rPr>
                <w:rFonts w:cs="Arial"/>
                <w:sz w:val="20"/>
                <w:szCs w:val="20"/>
                <w:lang w:eastAsia="it-IT"/>
              </w:rPr>
            </w:pPr>
          </w:p>
        </w:tc>
        <w:tc>
          <w:tcPr>
            <w:tcW w:w="1119" w:type="dxa"/>
            <w:tcBorders>
              <w:top w:val="single" w:sz="4" w:space="0" w:color="auto"/>
              <w:left w:val="single" w:sz="4" w:space="0" w:color="auto"/>
              <w:bottom w:val="single" w:sz="4" w:space="0" w:color="auto"/>
              <w:right w:val="single" w:sz="4" w:space="0" w:color="auto"/>
            </w:tcBorders>
            <w:shd w:val="clear" w:color="auto" w:fill="FFFFFF"/>
            <w:vAlign w:val="center"/>
          </w:tcPr>
          <w:p w14:paraId="2DCDB0BD" w14:textId="71ACBA46" w:rsidR="00721251" w:rsidRPr="00C2587D" w:rsidRDefault="00721251" w:rsidP="00721251">
            <w:pPr>
              <w:jc w:val="center"/>
              <w:rPr>
                <w:rFonts w:cs="Arial"/>
                <w:b/>
                <w:bCs/>
                <w:sz w:val="20"/>
                <w:szCs w:val="20"/>
              </w:rPr>
            </w:pPr>
            <w:r w:rsidRPr="00C2587D">
              <w:rPr>
                <w:rFonts w:cs="Arial"/>
                <w:b/>
                <w:bCs/>
                <w:sz w:val="20"/>
                <w:szCs w:val="20"/>
              </w:rPr>
              <w:t xml:space="preserve">3 650,0 </w:t>
            </w:r>
          </w:p>
        </w:tc>
      </w:tr>
      <w:tr w:rsidR="00CB7060" w:rsidRPr="00C2587D" w14:paraId="0D83EC82" w14:textId="77777777" w:rsidTr="004B3BEE">
        <w:trPr>
          <w:gridAfter w:val="1"/>
          <w:wAfter w:w="28" w:type="dxa"/>
          <w:trHeight w:val="455"/>
          <w:jc w:val="center"/>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518184" w14:textId="55E825F6" w:rsidR="00CB7060" w:rsidRPr="00C2587D" w:rsidRDefault="008D2302" w:rsidP="00CB7060">
            <w:pPr>
              <w:jc w:val="right"/>
              <w:rPr>
                <w:rFonts w:cs="Arial"/>
                <w:color w:val="000000"/>
                <w:sz w:val="20"/>
                <w:szCs w:val="20"/>
                <w:lang w:eastAsia="uk-UA"/>
              </w:rPr>
            </w:pPr>
            <w:r w:rsidRPr="00C2587D">
              <w:rPr>
                <w:rFonts w:cs="Arial"/>
                <w:color w:val="000000"/>
                <w:sz w:val="20"/>
                <w:szCs w:val="20"/>
                <w:lang w:eastAsia="uk-UA"/>
              </w:rPr>
              <w:t>15</w:t>
            </w:r>
            <w:r w:rsidR="00B015EE" w:rsidRPr="00C2587D">
              <w:rPr>
                <w:rFonts w:cs="Arial"/>
                <w:color w:val="000000"/>
                <w:sz w:val="20"/>
                <w:szCs w:val="20"/>
                <w:lang w:eastAsia="uk-UA"/>
              </w:rPr>
              <w:t>.</w:t>
            </w:r>
          </w:p>
        </w:tc>
        <w:tc>
          <w:tcPr>
            <w:tcW w:w="4111" w:type="dxa"/>
            <w:tcBorders>
              <w:top w:val="single" w:sz="4" w:space="0" w:color="auto"/>
              <w:left w:val="nil"/>
              <w:bottom w:val="single" w:sz="4" w:space="0" w:color="auto"/>
              <w:right w:val="single" w:sz="4" w:space="0" w:color="auto"/>
            </w:tcBorders>
            <w:shd w:val="clear" w:color="auto" w:fill="auto"/>
            <w:vAlign w:val="center"/>
          </w:tcPr>
          <w:p w14:paraId="66E268B0" w14:textId="4A4E6FE3" w:rsidR="00CB7060" w:rsidRPr="00C2587D" w:rsidRDefault="00CB7060" w:rsidP="00CB7060">
            <w:pPr>
              <w:spacing w:before="40" w:after="40"/>
              <w:jc w:val="both"/>
              <w:rPr>
                <w:rFonts w:cs="Arial"/>
                <w:sz w:val="20"/>
                <w:szCs w:val="20"/>
                <w:lang w:eastAsia="it-IT"/>
              </w:rPr>
            </w:pPr>
            <w:r w:rsidRPr="00C2587D">
              <w:rPr>
                <w:rFonts w:cs="Arial"/>
                <w:sz w:val="20"/>
                <w:szCs w:val="20"/>
                <w:lang w:eastAsia="it-IT"/>
              </w:rPr>
              <w:t>Нарощення фонду захисних споруд ЦЗ</w:t>
            </w:r>
          </w:p>
        </w:tc>
        <w:tc>
          <w:tcPr>
            <w:tcW w:w="1162" w:type="dxa"/>
            <w:tcBorders>
              <w:top w:val="single" w:sz="4" w:space="0" w:color="auto"/>
              <w:bottom w:val="single" w:sz="4" w:space="0" w:color="auto"/>
              <w:right w:val="single" w:sz="4" w:space="0" w:color="auto"/>
            </w:tcBorders>
            <w:vAlign w:val="center"/>
          </w:tcPr>
          <w:p w14:paraId="16D70992" w14:textId="40734367" w:rsidR="00CB7060" w:rsidRPr="00C2587D" w:rsidRDefault="00CB7060" w:rsidP="00CB7060">
            <w:pPr>
              <w:jc w:val="center"/>
              <w:rPr>
                <w:rFonts w:cs="Arial"/>
                <w:bCs/>
                <w:sz w:val="20"/>
                <w:szCs w:val="20"/>
                <w:lang w:eastAsia="uk-UA"/>
              </w:rPr>
            </w:pPr>
            <w:r w:rsidRPr="00C2587D">
              <w:rPr>
                <w:rFonts w:cs="Arial"/>
                <w:sz w:val="20"/>
                <w:szCs w:val="20"/>
                <w:lang w:eastAsia="it-IT"/>
              </w:rPr>
              <w:t>6 500,0</w:t>
            </w:r>
          </w:p>
        </w:tc>
        <w:tc>
          <w:tcPr>
            <w:tcW w:w="1273" w:type="dxa"/>
            <w:tcBorders>
              <w:top w:val="single" w:sz="4" w:space="0" w:color="auto"/>
              <w:left w:val="single" w:sz="4" w:space="0" w:color="auto"/>
              <w:bottom w:val="single" w:sz="4" w:space="0" w:color="auto"/>
              <w:right w:val="single" w:sz="4" w:space="0" w:color="auto"/>
            </w:tcBorders>
            <w:shd w:val="clear" w:color="auto" w:fill="FFFFFF"/>
            <w:vAlign w:val="center"/>
          </w:tcPr>
          <w:p w14:paraId="5296F384" w14:textId="20EDA654" w:rsidR="00CB7060" w:rsidRPr="00C2587D" w:rsidRDefault="00CB7060" w:rsidP="00CB7060">
            <w:pPr>
              <w:jc w:val="center"/>
              <w:rPr>
                <w:rFonts w:cs="Arial"/>
                <w:sz w:val="20"/>
                <w:szCs w:val="20"/>
                <w:lang w:eastAsia="it-IT"/>
              </w:rPr>
            </w:pPr>
            <w:r w:rsidRPr="00C2587D">
              <w:rPr>
                <w:rFonts w:cs="Arial"/>
                <w:sz w:val="20"/>
                <w:szCs w:val="20"/>
                <w:lang w:eastAsia="it-IT"/>
              </w:rPr>
              <w:t>6 000,0</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tcPr>
          <w:p w14:paraId="0408E1C1" w14:textId="5812AB2C" w:rsidR="00CB7060" w:rsidRPr="00C2587D" w:rsidRDefault="00CB7060" w:rsidP="00CB7060">
            <w:pPr>
              <w:jc w:val="center"/>
              <w:rPr>
                <w:rFonts w:cs="Arial"/>
                <w:sz w:val="20"/>
                <w:szCs w:val="20"/>
                <w:lang w:eastAsia="it-IT"/>
              </w:rPr>
            </w:pPr>
            <w:r w:rsidRPr="00C2587D">
              <w:rPr>
                <w:rFonts w:cs="Arial"/>
                <w:sz w:val="20"/>
                <w:szCs w:val="20"/>
                <w:lang w:eastAsia="it-IT"/>
              </w:rPr>
              <w:t>10 000,0</w:t>
            </w:r>
          </w:p>
        </w:tc>
        <w:tc>
          <w:tcPr>
            <w:tcW w:w="1112" w:type="dxa"/>
            <w:tcBorders>
              <w:top w:val="single" w:sz="4" w:space="0" w:color="auto"/>
              <w:left w:val="single" w:sz="4" w:space="0" w:color="auto"/>
              <w:bottom w:val="single" w:sz="4" w:space="0" w:color="auto"/>
              <w:right w:val="single" w:sz="4" w:space="0" w:color="auto"/>
            </w:tcBorders>
            <w:shd w:val="clear" w:color="auto" w:fill="FFFFFF"/>
            <w:vAlign w:val="center"/>
          </w:tcPr>
          <w:p w14:paraId="63C95193" w14:textId="5F3D9BD6" w:rsidR="00CB7060" w:rsidRPr="00C2587D" w:rsidRDefault="00CB7060" w:rsidP="00CB7060">
            <w:pPr>
              <w:jc w:val="center"/>
              <w:rPr>
                <w:rFonts w:cs="Arial"/>
                <w:sz w:val="20"/>
                <w:szCs w:val="20"/>
                <w:lang w:eastAsia="it-IT"/>
              </w:rPr>
            </w:pPr>
            <w:r w:rsidRPr="00C2587D">
              <w:rPr>
                <w:rFonts w:cs="Arial"/>
                <w:sz w:val="20"/>
                <w:szCs w:val="20"/>
                <w:lang w:eastAsia="it-IT"/>
              </w:rPr>
              <w:t>10 000,0</w:t>
            </w:r>
          </w:p>
        </w:tc>
        <w:tc>
          <w:tcPr>
            <w:tcW w:w="1119" w:type="dxa"/>
            <w:tcBorders>
              <w:top w:val="single" w:sz="4" w:space="0" w:color="auto"/>
              <w:left w:val="single" w:sz="4" w:space="0" w:color="auto"/>
              <w:bottom w:val="single" w:sz="4" w:space="0" w:color="auto"/>
              <w:right w:val="single" w:sz="4" w:space="0" w:color="auto"/>
            </w:tcBorders>
            <w:shd w:val="clear" w:color="auto" w:fill="FFFFFF"/>
            <w:vAlign w:val="center"/>
          </w:tcPr>
          <w:p w14:paraId="3D4B518A" w14:textId="59904D50" w:rsidR="00CB7060" w:rsidRPr="00C2587D" w:rsidRDefault="00CB7060" w:rsidP="00CB7060">
            <w:pPr>
              <w:jc w:val="center"/>
              <w:rPr>
                <w:rFonts w:cs="Arial"/>
                <w:sz w:val="20"/>
                <w:szCs w:val="20"/>
                <w:lang w:eastAsia="it-IT"/>
              </w:rPr>
            </w:pPr>
            <w:r w:rsidRPr="00C2587D">
              <w:rPr>
                <w:rFonts w:cs="Arial"/>
                <w:b/>
                <w:bCs/>
                <w:sz w:val="20"/>
                <w:szCs w:val="20"/>
              </w:rPr>
              <w:t>32 500,0</w:t>
            </w:r>
          </w:p>
        </w:tc>
      </w:tr>
      <w:tr w:rsidR="0034338F" w:rsidRPr="00C2587D" w14:paraId="5EE8B85A" w14:textId="77777777" w:rsidTr="00A041B2">
        <w:trPr>
          <w:gridAfter w:val="1"/>
          <w:wAfter w:w="28" w:type="dxa"/>
          <w:jc w:val="center"/>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ED9F8D" w14:textId="4E6010E0" w:rsidR="0034338F" w:rsidRPr="00C2587D" w:rsidRDefault="008D2302" w:rsidP="0034338F">
            <w:pPr>
              <w:jc w:val="right"/>
              <w:rPr>
                <w:rFonts w:cs="Arial"/>
                <w:color w:val="000000"/>
                <w:sz w:val="20"/>
                <w:szCs w:val="20"/>
                <w:lang w:eastAsia="uk-UA"/>
              </w:rPr>
            </w:pPr>
            <w:r w:rsidRPr="00C2587D">
              <w:rPr>
                <w:rFonts w:cs="Arial"/>
                <w:color w:val="000000"/>
                <w:sz w:val="20"/>
                <w:szCs w:val="20"/>
                <w:lang w:eastAsia="uk-UA"/>
              </w:rPr>
              <w:t>16</w:t>
            </w:r>
            <w:r w:rsidR="00B015EE" w:rsidRPr="00C2587D">
              <w:rPr>
                <w:rFonts w:cs="Arial"/>
                <w:color w:val="000000"/>
                <w:sz w:val="20"/>
                <w:szCs w:val="20"/>
                <w:lang w:eastAsia="uk-UA"/>
              </w:rPr>
              <w:t>.</w:t>
            </w:r>
          </w:p>
        </w:tc>
        <w:tc>
          <w:tcPr>
            <w:tcW w:w="4111" w:type="dxa"/>
            <w:tcBorders>
              <w:top w:val="single" w:sz="4" w:space="0" w:color="auto"/>
              <w:left w:val="nil"/>
              <w:bottom w:val="single" w:sz="4" w:space="0" w:color="auto"/>
              <w:right w:val="single" w:sz="4" w:space="0" w:color="auto"/>
            </w:tcBorders>
            <w:shd w:val="clear" w:color="auto" w:fill="auto"/>
            <w:vAlign w:val="center"/>
          </w:tcPr>
          <w:p w14:paraId="410E8FC2" w14:textId="34C265DD" w:rsidR="0034338F" w:rsidRPr="00C2587D" w:rsidRDefault="0034338F" w:rsidP="0034338F">
            <w:pPr>
              <w:spacing w:before="40" w:after="40"/>
              <w:jc w:val="both"/>
              <w:rPr>
                <w:rFonts w:cs="Arial"/>
                <w:sz w:val="20"/>
                <w:szCs w:val="20"/>
                <w:lang w:eastAsia="it-IT"/>
              </w:rPr>
            </w:pPr>
            <w:r w:rsidRPr="00C2587D">
              <w:rPr>
                <w:rFonts w:cs="Arial"/>
                <w:sz w:val="20"/>
                <w:szCs w:val="20"/>
                <w:lang w:eastAsia="it-IT"/>
              </w:rPr>
              <w:t>Встановлення та облаштування модульного укриття  “Safe Space”</w:t>
            </w:r>
          </w:p>
        </w:tc>
        <w:tc>
          <w:tcPr>
            <w:tcW w:w="1162" w:type="dxa"/>
            <w:tcBorders>
              <w:top w:val="single" w:sz="4" w:space="0" w:color="auto"/>
              <w:bottom w:val="single" w:sz="4" w:space="0" w:color="auto"/>
              <w:right w:val="single" w:sz="4" w:space="0" w:color="auto"/>
            </w:tcBorders>
            <w:vAlign w:val="center"/>
          </w:tcPr>
          <w:p w14:paraId="66ADCD68" w14:textId="0EB94AFC" w:rsidR="0034338F" w:rsidRPr="00C2587D" w:rsidRDefault="0034338F" w:rsidP="0034338F">
            <w:pPr>
              <w:jc w:val="center"/>
              <w:rPr>
                <w:rFonts w:cs="Arial"/>
                <w:sz w:val="20"/>
                <w:szCs w:val="20"/>
                <w:lang w:eastAsia="it-IT"/>
              </w:rPr>
            </w:pPr>
          </w:p>
        </w:tc>
        <w:tc>
          <w:tcPr>
            <w:tcW w:w="1273" w:type="dxa"/>
            <w:tcBorders>
              <w:top w:val="single" w:sz="4" w:space="0" w:color="auto"/>
              <w:left w:val="single" w:sz="4" w:space="0" w:color="auto"/>
              <w:bottom w:val="single" w:sz="4" w:space="0" w:color="auto"/>
              <w:right w:val="single" w:sz="4" w:space="0" w:color="auto"/>
            </w:tcBorders>
            <w:shd w:val="clear" w:color="auto" w:fill="FFFFFF"/>
            <w:vAlign w:val="center"/>
          </w:tcPr>
          <w:p w14:paraId="34ADF702" w14:textId="5C475F23" w:rsidR="0034338F" w:rsidRPr="00C2587D" w:rsidRDefault="0034338F" w:rsidP="0034338F">
            <w:pPr>
              <w:jc w:val="center"/>
              <w:rPr>
                <w:rFonts w:cs="Arial"/>
                <w:sz w:val="20"/>
                <w:szCs w:val="20"/>
                <w:lang w:eastAsia="it-IT"/>
              </w:rPr>
            </w:pPr>
            <w:r w:rsidRPr="00C2587D">
              <w:rPr>
                <w:rFonts w:cs="Arial"/>
                <w:color w:val="000000"/>
                <w:sz w:val="20"/>
                <w:szCs w:val="20"/>
                <w:lang w:eastAsia="it-IT"/>
              </w:rPr>
              <w:t>5</w:t>
            </w:r>
            <w:r w:rsidR="00B26629" w:rsidRPr="00C2587D">
              <w:rPr>
                <w:rFonts w:cs="Arial"/>
                <w:color w:val="000000"/>
                <w:sz w:val="20"/>
                <w:szCs w:val="20"/>
                <w:lang w:eastAsia="it-IT"/>
              </w:rPr>
              <w:t xml:space="preserve"> </w:t>
            </w:r>
            <w:r w:rsidRPr="00C2587D">
              <w:rPr>
                <w:rFonts w:cs="Arial"/>
                <w:color w:val="000000"/>
                <w:sz w:val="20"/>
                <w:szCs w:val="20"/>
                <w:lang w:eastAsia="it-IT"/>
              </w:rPr>
              <w:t>000,0</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tcPr>
          <w:p w14:paraId="10E9D49B" w14:textId="12B59CA7" w:rsidR="0034338F" w:rsidRPr="00C2587D" w:rsidRDefault="0034338F" w:rsidP="0034338F">
            <w:pPr>
              <w:jc w:val="center"/>
              <w:rPr>
                <w:rFonts w:cs="Arial"/>
                <w:sz w:val="20"/>
                <w:szCs w:val="20"/>
                <w:lang w:eastAsia="it-IT"/>
              </w:rPr>
            </w:pPr>
            <w:r w:rsidRPr="00C2587D">
              <w:rPr>
                <w:rFonts w:cs="Arial"/>
                <w:color w:val="000000"/>
                <w:sz w:val="20"/>
                <w:szCs w:val="20"/>
                <w:lang w:eastAsia="it-IT"/>
              </w:rPr>
              <w:t>5</w:t>
            </w:r>
            <w:r w:rsidR="00B26629" w:rsidRPr="00C2587D">
              <w:rPr>
                <w:rFonts w:cs="Arial"/>
                <w:color w:val="000000"/>
                <w:sz w:val="20"/>
                <w:szCs w:val="20"/>
                <w:lang w:eastAsia="it-IT"/>
              </w:rPr>
              <w:t xml:space="preserve"> </w:t>
            </w:r>
            <w:r w:rsidRPr="00C2587D">
              <w:rPr>
                <w:rFonts w:cs="Arial"/>
                <w:color w:val="000000"/>
                <w:sz w:val="20"/>
                <w:szCs w:val="20"/>
                <w:lang w:eastAsia="it-IT"/>
              </w:rPr>
              <w:t>000,0</w:t>
            </w:r>
          </w:p>
        </w:tc>
        <w:tc>
          <w:tcPr>
            <w:tcW w:w="1112" w:type="dxa"/>
            <w:tcBorders>
              <w:top w:val="single" w:sz="4" w:space="0" w:color="auto"/>
              <w:left w:val="single" w:sz="4" w:space="0" w:color="auto"/>
              <w:bottom w:val="single" w:sz="4" w:space="0" w:color="auto"/>
              <w:right w:val="single" w:sz="4" w:space="0" w:color="auto"/>
            </w:tcBorders>
            <w:shd w:val="clear" w:color="auto" w:fill="FFFFFF"/>
            <w:vAlign w:val="center"/>
          </w:tcPr>
          <w:p w14:paraId="758DFFB8" w14:textId="1C31EF5A" w:rsidR="0034338F" w:rsidRPr="00C2587D" w:rsidRDefault="0034338F" w:rsidP="0034338F">
            <w:pPr>
              <w:jc w:val="center"/>
              <w:rPr>
                <w:rFonts w:cs="Arial"/>
                <w:sz w:val="20"/>
                <w:szCs w:val="20"/>
                <w:lang w:eastAsia="it-IT"/>
              </w:rPr>
            </w:pPr>
            <w:r w:rsidRPr="00C2587D">
              <w:rPr>
                <w:rFonts w:cs="Arial"/>
                <w:color w:val="000000"/>
                <w:sz w:val="20"/>
                <w:szCs w:val="20"/>
                <w:lang w:eastAsia="it-IT"/>
              </w:rPr>
              <w:t>0,0</w:t>
            </w:r>
          </w:p>
        </w:tc>
        <w:tc>
          <w:tcPr>
            <w:tcW w:w="1119" w:type="dxa"/>
            <w:tcBorders>
              <w:top w:val="single" w:sz="4" w:space="0" w:color="auto"/>
              <w:left w:val="single" w:sz="4" w:space="0" w:color="auto"/>
              <w:bottom w:val="single" w:sz="4" w:space="0" w:color="auto"/>
              <w:right w:val="single" w:sz="4" w:space="0" w:color="auto"/>
            </w:tcBorders>
            <w:shd w:val="clear" w:color="auto" w:fill="FFFFFF"/>
            <w:vAlign w:val="center"/>
          </w:tcPr>
          <w:p w14:paraId="639825A3" w14:textId="3919A735" w:rsidR="0034338F" w:rsidRPr="00C2587D" w:rsidRDefault="0034338F" w:rsidP="0034338F">
            <w:pPr>
              <w:jc w:val="center"/>
              <w:rPr>
                <w:rFonts w:cs="Arial"/>
                <w:b/>
                <w:bCs/>
                <w:sz w:val="20"/>
                <w:szCs w:val="20"/>
              </w:rPr>
            </w:pPr>
            <w:r w:rsidRPr="00C2587D">
              <w:rPr>
                <w:rFonts w:cs="Arial"/>
                <w:b/>
                <w:color w:val="000000"/>
                <w:sz w:val="20"/>
                <w:szCs w:val="20"/>
                <w:lang w:eastAsia="it-IT"/>
              </w:rPr>
              <w:t>10</w:t>
            </w:r>
            <w:r w:rsidR="00B26629" w:rsidRPr="00C2587D">
              <w:rPr>
                <w:rFonts w:cs="Arial"/>
                <w:b/>
                <w:color w:val="000000"/>
                <w:sz w:val="20"/>
                <w:szCs w:val="20"/>
                <w:lang w:eastAsia="it-IT"/>
              </w:rPr>
              <w:t xml:space="preserve"> </w:t>
            </w:r>
            <w:r w:rsidRPr="00C2587D">
              <w:rPr>
                <w:rFonts w:cs="Arial"/>
                <w:b/>
                <w:color w:val="000000"/>
                <w:sz w:val="20"/>
                <w:szCs w:val="20"/>
                <w:lang w:eastAsia="it-IT"/>
              </w:rPr>
              <w:t>000,0</w:t>
            </w:r>
          </w:p>
        </w:tc>
      </w:tr>
      <w:tr w:rsidR="00CB7060" w:rsidRPr="00C2587D" w14:paraId="55497DDE" w14:textId="77777777" w:rsidTr="00A041B2">
        <w:trPr>
          <w:gridAfter w:val="1"/>
          <w:wAfter w:w="28" w:type="dxa"/>
          <w:jc w:val="center"/>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14F4BF" w14:textId="43A9034F" w:rsidR="00CB7060" w:rsidRPr="00C2587D" w:rsidRDefault="008D2302" w:rsidP="00CB7060">
            <w:pPr>
              <w:jc w:val="right"/>
              <w:rPr>
                <w:rFonts w:cs="Arial"/>
                <w:color w:val="000000"/>
                <w:sz w:val="20"/>
                <w:szCs w:val="20"/>
                <w:lang w:eastAsia="uk-UA"/>
              </w:rPr>
            </w:pPr>
            <w:r w:rsidRPr="00C2587D">
              <w:rPr>
                <w:rFonts w:cs="Arial"/>
                <w:color w:val="000000"/>
                <w:sz w:val="20"/>
                <w:szCs w:val="20"/>
                <w:lang w:eastAsia="uk-UA"/>
              </w:rPr>
              <w:t>17</w:t>
            </w:r>
            <w:r w:rsidR="00B015EE" w:rsidRPr="00C2587D">
              <w:rPr>
                <w:rFonts w:cs="Arial"/>
                <w:color w:val="000000"/>
                <w:sz w:val="20"/>
                <w:szCs w:val="20"/>
                <w:lang w:eastAsia="uk-UA"/>
              </w:rPr>
              <w:t>.</w:t>
            </w:r>
          </w:p>
        </w:tc>
        <w:tc>
          <w:tcPr>
            <w:tcW w:w="4111" w:type="dxa"/>
            <w:tcBorders>
              <w:top w:val="single" w:sz="4" w:space="0" w:color="auto"/>
              <w:left w:val="nil"/>
              <w:bottom w:val="single" w:sz="4" w:space="0" w:color="auto"/>
              <w:right w:val="single" w:sz="4" w:space="0" w:color="auto"/>
            </w:tcBorders>
            <w:shd w:val="clear" w:color="auto" w:fill="auto"/>
          </w:tcPr>
          <w:p w14:paraId="53FDFBBB" w14:textId="0E66DA4C" w:rsidR="00CB7060" w:rsidRPr="00C2587D" w:rsidRDefault="00CB7060" w:rsidP="00CB7060">
            <w:pPr>
              <w:jc w:val="both"/>
              <w:rPr>
                <w:rFonts w:cs="Arial"/>
                <w:sz w:val="20"/>
                <w:szCs w:val="20"/>
                <w:lang w:eastAsia="uk-UA"/>
              </w:rPr>
            </w:pPr>
            <w:r w:rsidRPr="00C2587D">
              <w:rPr>
                <w:rFonts w:cs="Arial"/>
                <w:sz w:val="20"/>
                <w:szCs w:val="20"/>
                <w:lang w:eastAsia="uk-UA"/>
              </w:rPr>
              <w:t>Територія закладу освіти як важлива складова сучасного здоров’я</w:t>
            </w:r>
            <w:r w:rsidR="00924056">
              <w:rPr>
                <w:rFonts w:cs="Arial"/>
                <w:sz w:val="20"/>
                <w:szCs w:val="20"/>
                <w:lang w:eastAsia="uk-UA"/>
              </w:rPr>
              <w:t>-</w:t>
            </w:r>
            <w:r w:rsidRPr="00C2587D">
              <w:rPr>
                <w:rFonts w:cs="Arial"/>
                <w:sz w:val="20"/>
                <w:szCs w:val="20"/>
                <w:lang w:eastAsia="uk-UA"/>
              </w:rPr>
              <w:t>збережувального освітнього простору</w:t>
            </w:r>
          </w:p>
        </w:tc>
        <w:tc>
          <w:tcPr>
            <w:tcW w:w="1162" w:type="dxa"/>
            <w:tcBorders>
              <w:top w:val="single" w:sz="4" w:space="0" w:color="auto"/>
              <w:bottom w:val="single" w:sz="4" w:space="0" w:color="auto"/>
              <w:right w:val="single" w:sz="4" w:space="0" w:color="auto"/>
            </w:tcBorders>
            <w:noWrap/>
            <w:vAlign w:val="center"/>
          </w:tcPr>
          <w:p w14:paraId="51AF258D" w14:textId="19A90E89" w:rsidR="00CB7060" w:rsidRPr="00C2587D" w:rsidRDefault="00CB7060" w:rsidP="00CB7060">
            <w:pPr>
              <w:jc w:val="center"/>
              <w:rPr>
                <w:rFonts w:cs="Arial"/>
                <w:sz w:val="20"/>
                <w:szCs w:val="20"/>
                <w:lang w:eastAsia="uk-UA"/>
              </w:rPr>
            </w:pPr>
            <w:r w:rsidRPr="00C2587D">
              <w:rPr>
                <w:rFonts w:cs="Arial"/>
                <w:sz w:val="20"/>
                <w:szCs w:val="20"/>
                <w:lang w:eastAsia="it-IT"/>
              </w:rPr>
              <w:t xml:space="preserve"> 2 000,0</w:t>
            </w:r>
          </w:p>
        </w:tc>
        <w:tc>
          <w:tcPr>
            <w:tcW w:w="127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7406C49" w14:textId="24C24856" w:rsidR="00CB7060" w:rsidRPr="00C2587D" w:rsidRDefault="00CB7060" w:rsidP="00CB7060">
            <w:pPr>
              <w:jc w:val="center"/>
              <w:rPr>
                <w:rFonts w:cs="Arial"/>
                <w:sz w:val="20"/>
                <w:szCs w:val="20"/>
                <w:lang w:eastAsia="it-IT"/>
              </w:rPr>
            </w:pPr>
            <w:r w:rsidRPr="00C2587D">
              <w:rPr>
                <w:rFonts w:cs="Arial"/>
                <w:sz w:val="20"/>
                <w:szCs w:val="20"/>
                <w:lang w:eastAsia="it-IT"/>
              </w:rPr>
              <w:t>2 000,0</w:t>
            </w:r>
          </w:p>
        </w:tc>
        <w:tc>
          <w:tcPr>
            <w:tcW w:w="11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87131A" w14:textId="46B4A49F" w:rsidR="00CB7060" w:rsidRPr="00C2587D" w:rsidRDefault="00CB7060" w:rsidP="00CB7060">
            <w:pPr>
              <w:jc w:val="center"/>
              <w:rPr>
                <w:rFonts w:cs="Arial"/>
                <w:sz w:val="20"/>
                <w:szCs w:val="20"/>
                <w:lang w:eastAsia="it-IT"/>
              </w:rPr>
            </w:pPr>
            <w:r w:rsidRPr="00C2587D">
              <w:rPr>
                <w:rFonts w:cs="Arial"/>
                <w:sz w:val="20"/>
                <w:szCs w:val="20"/>
                <w:lang w:eastAsia="it-IT"/>
              </w:rPr>
              <w:t>2 000,0</w:t>
            </w:r>
          </w:p>
        </w:tc>
        <w:tc>
          <w:tcPr>
            <w:tcW w:w="1112" w:type="dxa"/>
            <w:tcBorders>
              <w:top w:val="single" w:sz="4" w:space="0" w:color="auto"/>
              <w:left w:val="single" w:sz="4" w:space="0" w:color="auto"/>
              <w:bottom w:val="single" w:sz="4" w:space="0" w:color="auto"/>
              <w:right w:val="single" w:sz="4" w:space="0" w:color="auto"/>
            </w:tcBorders>
            <w:shd w:val="clear" w:color="auto" w:fill="FFFFFF"/>
            <w:vAlign w:val="center"/>
          </w:tcPr>
          <w:p w14:paraId="11F4731D" w14:textId="1B1C554F" w:rsidR="00CB7060" w:rsidRPr="00C2587D" w:rsidRDefault="00CB7060" w:rsidP="00CB7060">
            <w:pPr>
              <w:jc w:val="center"/>
              <w:rPr>
                <w:rFonts w:cs="Arial"/>
                <w:sz w:val="20"/>
                <w:szCs w:val="20"/>
                <w:lang w:eastAsia="it-IT"/>
              </w:rPr>
            </w:pPr>
            <w:r w:rsidRPr="00C2587D">
              <w:rPr>
                <w:rFonts w:cs="Arial"/>
                <w:sz w:val="20"/>
                <w:szCs w:val="20"/>
                <w:lang w:eastAsia="it-IT"/>
              </w:rPr>
              <w:t>2 000,0</w:t>
            </w:r>
          </w:p>
        </w:tc>
        <w:tc>
          <w:tcPr>
            <w:tcW w:w="1119" w:type="dxa"/>
            <w:tcBorders>
              <w:top w:val="single" w:sz="4" w:space="0" w:color="auto"/>
              <w:left w:val="single" w:sz="4" w:space="0" w:color="auto"/>
              <w:bottom w:val="single" w:sz="4" w:space="0" w:color="auto"/>
              <w:right w:val="single" w:sz="4" w:space="0" w:color="auto"/>
            </w:tcBorders>
            <w:shd w:val="clear" w:color="auto" w:fill="FFFFFF"/>
            <w:vAlign w:val="center"/>
          </w:tcPr>
          <w:p w14:paraId="69F0C885" w14:textId="2901809B" w:rsidR="00CB7060" w:rsidRPr="00C2587D" w:rsidRDefault="00CB7060" w:rsidP="00CB7060">
            <w:pPr>
              <w:jc w:val="center"/>
              <w:rPr>
                <w:rFonts w:cs="Arial"/>
                <w:sz w:val="20"/>
                <w:szCs w:val="20"/>
                <w:lang w:eastAsia="it-IT"/>
              </w:rPr>
            </w:pPr>
            <w:r w:rsidRPr="00C2587D">
              <w:rPr>
                <w:rFonts w:cs="Arial"/>
                <w:b/>
                <w:bCs/>
                <w:sz w:val="20"/>
                <w:szCs w:val="20"/>
              </w:rPr>
              <w:t>8 000,0</w:t>
            </w:r>
          </w:p>
        </w:tc>
      </w:tr>
      <w:tr w:rsidR="00F8424C" w:rsidRPr="00C2587D" w14:paraId="482C5295" w14:textId="77777777" w:rsidTr="00A041B2">
        <w:trPr>
          <w:gridAfter w:val="1"/>
          <w:wAfter w:w="28" w:type="dxa"/>
          <w:jc w:val="center"/>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6E8888" w14:textId="404F1460" w:rsidR="00F8424C" w:rsidRPr="00C2587D" w:rsidRDefault="008D2302" w:rsidP="00F8424C">
            <w:pPr>
              <w:jc w:val="right"/>
              <w:rPr>
                <w:rFonts w:cs="Arial"/>
                <w:color w:val="000000"/>
                <w:sz w:val="20"/>
                <w:szCs w:val="20"/>
                <w:lang w:eastAsia="uk-UA"/>
              </w:rPr>
            </w:pPr>
            <w:r w:rsidRPr="00C2587D">
              <w:rPr>
                <w:rFonts w:cs="Arial"/>
                <w:color w:val="000000"/>
                <w:sz w:val="20"/>
                <w:szCs w:val="20"/>
                <w:lang w:eastAsia="uk-UA"/>
              </w:rPr>
              <w:t>18</w:t>
            </w:r>
            <w:r w:rsidR="00F8424C" w:rsidRPr="00C2587D">
              <w:rPr>
                <w:rFonts w:cs="Arial"/>
                <w:color w:val="000000"/>
                <w:sz w:val="20"/>
                <w:szCs w:val="20"/>
                <w:lang w:eastAsia="uk-UA"/>
              </w:rPr>
              <w:t>.</w:t>
            </w:r>
          </w:p>
        </w:tc>
        <w:tc>
          <w:tcPr>
            <w:tcW w:w="4111" w:type="dxa"/>
            <w:tcBorders>
              <w:top w:val="single" w:sz="4" w:space="0" w:color="auto"/>
              <w:left w:val="nil"/>
              <w:bottom w:val="single" w:sz="4" w:space="0" w:color="auto"/>
              <w:right w:val="single" w:sz="4" w:space="0" w:color="auto"/>
            </w:tcBorders>
            <w:shd w:val="clear" w:color="auto" w:fill="auto"/>
          </w:tcPr>
          <w:p w14:paraId="4E78D645" w14:textId="1BF66ED3" w:rsidR="00F8424C" w:rsidRPr="00C2587D" w:rsidRDefault="00924056" w:rsidP="00F8424C">
            <w:pPr>
              <w:jc w:val="both"/>
              <w:rPr>
                <w:rFonts w:cs="Arial"/>
                <w:sz w:val="20"/>
                <w:szCs w:val="20"/>
              </w:rPr>
            </w:pPr>
            <w:r w:rsidRPr="00C2587D">
              <w:rPr>
                <w:rFonts w:cs="Arial"/>
                <w:sz w:val="20"/>
                <w:szCs w:val="20"/>
              </w:rPr>
              <w:t>Діджиталізація</w:t>
            </w:r>
            <w:r w:rsidR="00F8424C" w:rsidRPr="00C2587D">
              <w:rPr>
                <w:rFonts w:cs="Arial"/>
                <w:sz w:val="20"/>
                <w:szCs w:val="20"/>
              </w:rPr>
              <w:t xml:space="preserve"> освіти – необхідність для розвитку країни</w:t>
            </w:r>
          </w:p>
        </w:tc>
        <w:tc>
          <w:tcPr>
            <w:tcW w:w="1162" w:type="dxa"/>
            <w:tcBorders>
              <w:top w:val="single" w:sz="4" w:space="0" w:color="auto"/>
              <w:bottom w:val="single" w:sz="4" w:space="0" w:color="auto"/>
              <w:right w:val="single" w:sz="4" w:space="0" w:color="auto"/>
            </w:tcBorders>
            <w:noWrap/>
            <w:vAlign w:val="center"/>
          </w:tcPr>
          <w:p w14:paraId="0CC1017E" w14:textId="082EC2CA" w:rsidR="00F8424C" w:rsidRPr="00C2587D" w:rsidRDefault="00F8424C" w:rsidP="00F8424C">
            <w:pPr>
              <w:jc w:val="center"/>
              <w:rPr>
                <w:rFonts w:cs="Arial"/>
                <w:sz w:val="20"/>
                <w:szCs w:val="20"/>
                <w:lang w:eastAsia="uk-UA"/>
              </w:rPr>
            </w:pPr>
            <w:r w:rsidRPr="00C2587D">
              <w:rPr>
                <w:rFonts w:cs="Arial"/>
                <w:sz w:val="20"/>
                <w:szCs w:val="20"/>
                <w:lang w:eastAsia="it-IT"/>
              </w:rPr>
              <w:t>800,0</w:t>
            </w:r>
          </w:p>
        </w:tc>
        <w:tc>
          <w:tcPr>
            <w:tcW w:w="127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362EBE1" w14:textId="201E025D" w:rsidR="00F8424C" w:rsidRPr="00C2587D" w:rsidRDefault="00F8424C" w:rsidP="00F8424C">
            <w:pPr>
              <w:jc w:val="center"/>
              <w:rPr>
                <w:rFonts w:cs="Arial"/>
                <w:sz w:val="20"/>
                <w:szCs w:val="20"/>
                <w:lang w:eastAsia="it-IT"/>
              </w:rPr>
            </w:pPr>
            <w:r w:rsidRPr="00C2587D">
              <w:rPr>
                <w:rFonts w:cs="Arial"/>
                <w:sz w:val="20"/>
                <w:szCs w:val="20"/>
                <w:lang w:eastAsia="it-IT"/>
              </w:rPr>
              <w:t>800, 0</w:t>
            </w:r>
          </w:p>
        </w:tc>
        <w:tc>
          <w:tcPr>
            <w:tcW w:w="11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FFFDEA" w14:textId="3A4D63A1" w:rsidR="00F8424C" w:rsidRPr="00C2587D" w:rsidRDefault="00F8424C" w:rsidP="00F8424C">
            <w:pPr>
              <w:jc w:val="center"/>
              <w:rPr>
                <w:rFonts w:cs="Arial"/>
                <w:sz w:val="20"/>
                <w:szCs w:val="20"/>
                <w:lang w:eastAsia="it-IT"/>
              </w:rPr>
            </w:pPr>
            <w:r w:rsidRPr="00C2587D">
              <w:rPr>
                <w:rFonts w:cs="Arial"/>
                <w:sz w:val="20"/>
                <w:szCs w:val="20"/>
                <w:lang w:eastAsia="it-IT"/>
              </w:rPr>
              <w:t xml:space="preserve">    800,0</w:t>
            </w:r>
          </w:p>
        </w:tc>
        <w:tc>
          <w:tcPr>
            <w:tcW w:w="1112" w:type="dxa"/>
            <w:tcBorders>
              <w:top w:val="single" w:sz="4" w:space="0" w:color="auto"/>
              <w:left w:val="single" w:sz="4" w:space="0" w:color="auto"/>
              <w:bottom w:val="single" w:sz="4" w:space="0" w:color="auto"/>
              <w:right w:val="single" w:sz="4" w:space="0" w:color="auto"/>
            </w:tcBorders>
            <w:shd w:val="clear" w:color="auto" w:fill="FFFFFF"/>
            <w:vAlign w:val="center"/>
          </w:tcPr>
          <w:p w14:paraId="4BBCD86B" w14:textId="3BCB6630" w:rsidR="00F8424C" w:rsidRPr="00C2587D" w:rsidRDefault="00F8424C" w:rsidP="00F8424C">
            <w:pPr>
              <w:jc w:val="center"/>
              <w:rPr>
                <w:rFonts w:cs="Arial"/>
                <w:sz w:val="20"/>
                <w:szCs w:val="20"/>
                <w:lang w:eastAsia="it-IT"/>
              </w:rPr>
            </w:pPr>
            <w:r w:rsidRPr="00C2587D">
              <w:rPr>
                <w:rFonts w:cs="Arial"/>
                <w:sz w:val="20"/>
                <w:szCs w:val="20"/>
                <w:lang w:eastAsia="it-IT"/>
              </w:rPr>
              <w:t xml:space="preserve">800,0 </w:t>
            </w:r>
          </w:p>
        </w:tc>
        <w:tc>
          <w:tcPr>
            <w:tcW w:w="1119" w:type="dxa"/>
            <w:tcBorders>
              <w:top w:val="single" w:sz="4" w:space="0" w:color="auto"/>
              <w:left w:val="single" w:sz="4" w:space="0" w:color="auto"/>
              <w:bottom w:val="single" w:sz="4" w:space="0" w:color="auto"/>
              <w:right w:val="single" w:sz="4" w:space="0" w:color="auto"/>
            </w:tcBorders>
            <w:shd w:val="clear" w:color="auto" w:fill="FFFFFF"/>
            <w:vAlign w:val="center"/>
          </w:tcPr>
          <w:p w14:paraId="26C7559E" w14:textId="1F4AE9C4" w:rsidR="00F8424C" w:rsidRPr="00C2587D" w:rsidRDefault="00F8424C" w:rsidP="00F8424C">
            <w:pPr>
              <w:jc w:val="center"/>
              <w:rPr>
                <w:rFonts w:cs="Arial"/>
                <w:sz w:val="20"/>
                <w:szCs w:val="20"/>
                <w:lang w:eastAsia="it-IT"/>
              </w:rPr>
            </w:pPr>
            <w:r w:rsidRPr="00C2587D">
              <w:rPr>
                <w:rFonts w:cs="Arial"/>
                <w:b/>
                <w:bCs/>
                <w:sz w:val="20"/>
                <w:szCs w:val="20"/>
              </w:rPr>
              <w:t xml:space="preserve">3 200,0 </w:t>
            </w:r>
          </w:p>
        </w:tc>
      </w:tr>
      <w:tr w:rsidR="00172641" w:rsidRPr="00C2587D" w14:paraId="3300BEDF" w14:textId="77777777" w:rsidTr="00A041B2">
        <w:trPr>
          <w:gridAfter w:val="1"/>
          <w:wAfter w:w="28" w:type="dxa"/>
          <w:jc w:val="center"/>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EA66FA" w14:textId="4A73C24A" w:rsidR="00172641" w:rsidRPr="00C2587D" w:rsidRDefault="008D2302" w:rsidP="00172641">
            <w:pPr>
              <w:jc w:val="right"/>
              <w:rPr>
                <w:rFonts w:cs="Arial"/>
                <w:color w:val="000000"/>
                <w:sz w:val="20"/>
                <w:szCs w:val="20"/>
                <w:lang w:eastAsia="uk-UA"/>
              </w:rPr>
            </w:pPr>
            <w:r w:rsidRPr="00C2587D">
              <w:rPr>
                <w:rFonts w:cs="Arial"/>
                <w:color w:val="000000"/>
                <w:sz w:val="20"/>
                <w:szCs w:val="20"/>
                <w:lang w:eastAsia="uk-UA"/>
              </w:rPr>
              <w:t>19</w:t>
            </w:r>
            <w:r w:rsidR="00B015EE" w:rsidRPr="00C2587D">
              <w:rPr>
                <w:rFonts w:cs="Arial"/>
                <w:color w:val="000000"/>
                <w:sz w:val="20"/>
                <w:szCs w:val="20"/>
                <w:lang w:eastAsia="uk-UA"/>
              </w:rPr>
              <w:t>.</w:t>
            </w:r>
          </w:p>
        </w:tc>
        <w:tc>
          <w:tcPr>
            <w:tcW w:w="4111" w:type="dxa"/>
            <w:tcBorders>
              <w:top w:val="single" w:sz="4" w:space="0" w:color="auto"/>
              <w:left w:val="nil"/>
              <w:bottom w:val="single" w:sz="4" w:space="0" w:color="auto"/>
              <w:right w:val="single" w:sz="4" w:space="0" w:color="auto"/>
            </w:tcBorders>
            <w:shd w:val="clear" w:color="auto" w:fill="auto"/>
          </w:tcPr>
          <w:p w14:paraId="127D4B2E" w14:textId="3A4171DB" w:rsidR="00172641" w:rsidRPr="00C2587D" w:rsidRDefault="00172641" w:rsidP="00172641">
            <w:pPr>
              <w:jc w:val="both"/>
              <w:rPr>
                <w:rFonts w:cs="Arial"/>
                <w:sz w:val="20"/>
                <w:szCs w:val="20"/>
              </w:rPr>
            </w:pPr>
            <w:r w:rsidRPr="00C2587D">
              <w:rPr>
                <w:rFonts w:cs="Arial"/>
                <w:sz w:val="20"/>
                <w:szCs w:val="20"/>
              </w:rPr>
              <w:t>Створення нового освітнього простору як необхідної передумови підвищення якості освіти</w:t>
            </w:r>
          </w:p>
        </w:tc>
        <w:tc>
          <w:tcPr>
            <w:tcW w:w="1162" w:type="dxa"/>
            <w:tcBorders>
              <w:top w:val="single" w:sz="4" w:space="0" w:color="auto"/>
              <w:bottom w:val="single" w:sz="4" w:space="0" w:color="auto"/>
              <w:right w:val="single" w:sz="4" w:space="0" w:color="auto"/>
            </w:tcBorders>
            <w:noWrap/>
            <w:vAlign w:val="center"/>
          </w:tcPr>
          <w:p w14:paraId="6BB9ECB0" w14:textId="37565327" w:rsidR="00172641" w:rsidRPr="00C2587D" w:rsidRDefault="00172641" w:rsidP="00172641">
            <w:pPr>
              <w:jc w:val="center"/>
              <w:rPr>
                <w:rFonts w:cs="Arial"/>
                <w:sz w:val="20"/>
                <w:szCs w:val="20"/>
                <w:lang w:eastAsia="it-IT"/>
              </w:rPr>
            </w:pPr>
            <w:r w:rsidRPr="00C2587D">
              <w:rPr>
                <w:rFonts w:cs="Arial"/>
                <w:sz w:val="20"/>
                <w:szCs w:val="20"/>
                <w:lang w:eastAsia="it-IT"/>
              </w:rPr>
              <w:t>8 500,0</w:t>
            </w:r>
          </w:p>
        </w:tc>
        <w:tc>
          <w:tcPr>
            <w:tcW w:w="127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6BA18FE" w14:textId="5157DEA6" w:rsidR="00172641" w:rsidRPr="00C2587D" w:rsidRDefault="00172641" w:rsidP="00172641">
            <w:pPr>
              <w:jc w:val="center"/>
              <w:rPr>
                <w:rFonts w:cs="Arial"/>
                <w:sz w:val="20"/>
                <w:szCs w:val="20"/>
                <w:lang w:eastAsia="it-IT"/>
              </w:rPr>
            </w:pPr>
            <w:r w:rsidRPr="00C2587D">
              <w:rPr>
                <w:rFonts w:cs="Arial"/>
                <w:sz w:val="20"/>
                <w:szCs w:val="20"/>
                <w:lang w:eastAsia="it-IT"/>
              </w:rPr>
              <w:t xml:space="preserve">5 000, 0 </w:t>
            </w:r>
          </w:p>
        </w:tc>
        <w:tc>
          <w:tcPr>
            <w:tcW w:w="11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5DA842" w14:textId="33056CF5" w:rsidR="00172641" w:rsidRPr="00C2587D" w:rsidRDefault="00172641" w:rsidP="00172641">
            <w:pPr>
              <w:jc w:val="center"/>
              <w:rPr>
                <w:rFonts w:cs="Arial"/>
                <w:sz w:val="20"/>
                <w:szCs w:val="20"/>
                <w:lang w:eastAsia="it-IT"/>
              </w:rPr>
            </w:pPr>
            <w:r w:rsidRPr="00C2587D">
              <w:rPr>
                <w:rFonts w:cs="Arial"/>
                <w:sz w:val="20"/>
                <w:szCs w:val="20"/>
                <w:lang w:eastAsia="it-IT"/>
              </w:rPr>
              <w:t>5 000,0</w:t>
            </w:r>
          </w:p>
        </w:tc>
        <w:tc>
          <w:tcPr>
            <w:tcW w:w="1112" w:type="dxa"/>
            <w:tcBorders>
              <w:top w:val="single" w:sz="4" w:space="0" w:color="auto"/>
              <w:left w:val="single" w:sz="4" w:space="0" w:color="auto"/>
              <w:bottom w:val="single" w:sz="4" w:space="0" w:color="auto"/>
              <w:right w:val="single" w:sz="4" w:space="0" w:color="auto"/>
            </w:tcBorders>
            <w:shd w:val="clear" w:color="auto" w:fill="FFFFFF"/>
            <w:vAlign w:val="center"/>
          </w:tcPr>
          <w:p w14:paraId="700CB99A" w14:textId="7AAC163A" w:rsidR="00172641" w:rsidRPr="00C2587D" w:rsidRDefault="00172641" w:rsidP="00172641">
            <w:pPr>
              <w:jc w:val="center"/>
              <w:rPr>
                <w:rFonts w:cs="Arial"/>
                <w:sz w:val="20"/>
                <w:szCs w:val="20"/>
                <w:lang w:eastAsia="it-IT"/>
              </w:rPr>
            </w:pPr>
            <w:r w:rsidRPr="00C2587D">
              <w:rPr>
                <w:rFonts w:cs="Arial"/>
                <w:sz w:val="20"/>
                <w:szCs w:val="20"/>
                <w:lang w:eastAsia="it-IT"/>
              </w:rPr>
              <w:t xml:space="preserve">5 000,0 </w:t>
            </w:r>
          </w:p>
        </w:tc>
        <w:tc>
          <w:tcPr>
            <w:tcW w:w="1119" w:type="dxa"/>
            <w:tcBorders>
              <w:top w:val="single" w:sz="4" w:space="0" w:color="auto"/>
              <w:left w:val="single" w:sz="4" w:space="0" w:color="auto"/>
              <w:bottom w:val="single" w:sz="4" w:space="0" w:color="auto"/>
              <w:right w:val="single" w:sz="4" w:space="0" w:color="auto"/>
            </w:tcBorders>
            <w:shd w:val="clear" w:color="auto" w:fill="FFFFFF"/>
            <w:vAlign w:val="center"/>
          </w:tcPr>
          <w:p w14:paraId="333929AE" w14:textId="6DF68C13" w:rsidR="00172641" w:rsidRPr="00C2587D" w:rsidRDefault="00172641" w:rsidP="00172641">
            <w:pPr>
              <w:jc w:val="center"/>
              <w:rPr>
                <w:rFonts w:cs="Arial"/>
                <w:b/>
                <w:bCs/>
                <w:sz w:val="20"/>
                <w:szCs w:val="20"/>
              </w:rPr>
            </w:pPr>
            <w:r w:rsidRPr="00C2587D">
              <w:rPr>
                <w:rFonts w:cs="Arial"/>
                <w:b/>
                <w:bCs/>
                <w:sz w:val="20"/>
                <w:szCs w:val="20"/>
              </w:rPr>
              <w:t xml:space="preserve">23 500,0 </w:t>
            </w:r>
          </w:p>
        </w:tc>
      </w:tr>
      <w:tr w:rsidR="00B120C0" w:rsidRPr="00C2587D" w14:paraId="63E318A6" w14:textId="77777777" w:rsidTr="00A041B2">
        <w:trPr>
          <w:gridAfter w:val="1"/>
          <w:wAfter w:w="28" w:type="dxa"/>
          <w:jc w:val="center"/>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FBD606" w14:textId="1A3591D7" w:rsidR="00B120C0" w:rsidRPr="00C2587D" w:rsidRDefault="00B120C0" w:rsidP="00172641">
            <w:pPr>
              <w:jc w:val="right"/>
              <w:rPr>
                <w:rFonts w:cs="Arial"/>
                <w:color w:val="000000"/>
                <w:sz w:val="20"/>
                <w:szCs w:val="20"/>
                <w:lang w:eastAsia="uk-UA"/>
              </w:rPr>
            </w:pPr>
            <w:r>
              <w:rPr>
                <w:rFonts w:cs="Arial"/>
                <w:color w:val="000000"/>
                <w:sz w:val="20"/>
                <w:szCs w:val="20"/>
                <w:lang w:eastAsia="uk-UA"/>
              </w:rPr>
              <w:t>20.</w:t>
            </w:r>
          </w:p>
        </w:tc>
        <w:tc>
          <w:tcPr>
            <w:tcW w:w="4111" w:type="dxa"/>
            <w:tcBorders>
              <w:top w:val="single" w:sz="4" w:space="0" w:color="auto"/>
              <w:left w:val="nil"/>
              <w:bottom w:val="single" w:sz="4" w:space="0" w:color="auto"/>
              <w:right w:val="single" w:sz="4" w:space="0" w:color="auto"/>
            </w:tcBorders>
            <w:shd w:val="clear" w:color="auto" w:fill="auto"/>
          </w:tcPr>
          <w:p w14:paraId="524E81D7" w14:textId="1C5430A9" w:rsidR="00B120C0" w:rsidRPr="00C2587D" w:rsidRDefault="00B120C0" w:rsidP="00172641">
            <w:pPr>
              <w:jc w:val="both"/>
              <w:rPr>
                <w:rFonts w:cs="Arial"/>
                <w:sz w:val="20"/>
                <w:szCs w:val="20"/>
              </w:rPr>
            </w:pPr>
            <w:r w:rsidRPr="00B120C0">
              <w:rPr>
                <w:rFonts w:cs="Arial"/>
                <w:sz w:val="20"/>
                <w:szCs w:val="20"/>
              </w:rPr>
              <w:t>Безбар’єрний освітній простір Жмеринського вищого професійного училища</w:t>
            </w:r>
          </w:p>
        </w:tc>
        <w:tc>
          <w:tcPr>
            <w:tcW w:w="1162" w:type="dxa"/>
            <w:tcBorders>
              <w:top w:val="single" w:sz="4" w:space="0" w:color="auto"/>
              <w:bottom w:val="single" w:sz="4" w:space="0" w:color="auto"/>
              <w:right w:val="single" w:sz="4" w:space="0" w:color="auto"/>
            </w:tcBorders>
            <w:noWrap/>
            <w:vAlign w:val="center"/>
          </w:tcPr>
          <w:p w14:paraId="28D7F0E5" w14:textId="64DB7D50" w:rsidR="00B120C0" w:rsidRPr="00C2587D" w:rsidRDefault="00B120C0" w:rsidP="00172641">
            <w:pPr>
              <w:jc w:val="center"/>
              <w:rPr>
                <w:rFonts w:cs="Arial"/>
                <w:sz w:val="20"/>
                <w:szCs w:val="20"/>
                <w:lang w:eastAsia="it-IT"/>
              </w:rPr>
            </w:pPr>
            <w:r>
              <w:rPr>
                <w:rFonts w:cs="Arial"/>
                <w:sz w:val="20"/>
                <w:szCs w:val="20"/>
                <w:lang w:eastAsia="it-IT"/>
              </w:rPr>
              <w:t>50,0</w:t>
            </w:r>
          </w:p>
        </w:tc>
        <w:tc>
          <w:tcPr>
            <w:tcW w:w="127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F414838" w14:textId="53634F90" w:rsidR="00B120C0" w:rsidRPr="00C2587D" w:rsidRDefault="00B120C0" w:rsidP="00172641">
            <w:pPr>
              <w:jc w:val="center"/>
              <w:rPr>
                <w:rFonts w:cs="Arial"/>
                <w:sz w:val="20"/>
                <w:szCs w:val="20"/>
                <w:lang w:eastAsia="it-IT"/>
              </w:rPr>
            </w:pPr>
            <w:r>
              <w:rPr>
                <w:rFonts w:cs="Arial"/>
                <w:sz w:val="20"/>
                <w:szCs w:val="20"/>
                <w:lang w:eastAsia="it-IT"/>
              </w:rPr>
              <w:t>300,0</w:t>
            </w:r>
          </w:p>
        </w:tc>
        <w:tc>
          <w:tcPr>
            <w:tcW w:w="11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7C940B" w14:textId="23F01790" w:rsidR="00B120C0" w:rsidRPr="00C2587D" w:rsidRDefault="00B120C0" w:rsidP="00172641">
            <w:pPr>
              <w:jc w:val="center"/>
              <w:rPr>
                <w:rFonts w:cs="Arial"/>
                <w:sz w:val="20"/>
                <w:szCs w:val="20"/>
                <w:lang w:eastAsia="it-IT"/>
              </w:rPr>
            </w:pPr>
            <w:r>
              <w:rPr>
                <w:rFonts w:cs="Arial"/>
                <w:sz w:val="20"/>
                <w:szCs w:val="20"/>
                <w:lang w:eastAsia="it-IT"/>
              </w:rPr>
              <w:t>350,0</w:t>
            </w:r>
          </w:p>
        </w:tc>
        <w:tc>
          <w:tcPr>
            <w:tcW w:w="1112" w:type="dxa"/>
            <w:tcBorders>
              <w:top w:val="single" w:sz="4" w:space="0" w:color="auto"/>
              <w:left w:val="single" w:sz="4" w:space="0" w:color="auto"/>
              <w:bottom w:val="single" w:sz="4" w:space="0" w:color="auto"/>
              <w:right w:val="single" w:sz="4" w:space="0" w:color="auto"/>
            </w:tcBorders>
            <w:shd w:val="clear" w:color="auto" w:fill="FFFFFF"/>
            <w:vAlign w:val="center"/>
          </w:tcPr>
          <w:p w14:paraId="74481BAC" w14:textId="4CC4B765" w:rsidR="00B120C0" w:rsidRPr="00C2587D" w:rsidRDefault="00B120C0" w:rsidP="00172641">
            <w:pPr>
              <w:jc w:val="center"/>
              <w:rPr>
                <w:rFonts w:cs="Arial"/>
                <w:sz w:val="20"/>
                <w:szCs w:val="20"/>
                <w:lang w:eastAsia="it-IT"/>
              </w:rPr>
            </w:pPr>
            <w:r>
              <w:rPr>
                <w:rFonts w:cs="Arial"/>
                <w:sz w:val="20"/>
                <w:szCs w:val="20"/>
                <w:lang w:eastAsia="it-IT"/>
              </w:rPr>
              <w:t>400,0</w:t>
            </w:r>
          </w:p>
        </w:tc>
        <w:tc>
          <w:tcPr>
            <w:tcW w:w="1119" w:type="dxa"/>
            <w:tcBorders>
              <w:top w:val="single" w:sz="4" w:space="0" w:color="auto"/>
              <w:left w:val="single" w:sz="4" w:space="0" w:color="auto"/>
              <w:bottom w:val="single" w:sz="4" w:space="0" w:color="auto"/>
              <w:right w:val="single" w:sz="4" w:space="0" w:color="auto"/>
            </w:tcBorders>
            <w:shd w:val="clear" w:color="auto" w:fill="FFFFFF"/>
            <w:vAlign w:val="center"/>
          </w:tcPr>
          <w:p w14:paraId="0D5A7FBC" w14:textId="24C13F69" w:rsidR="00B120C0" w:rsidRPr="00C2587D" w:rsidRDefault="00B120C0" w:rsidP="00172641">
            <w:pPr>
              <w:jc w:val="center"/>
              <w:rPr>
                <w:rFonts w:cs="Arial"/>
                <w:b/>
                <w:bCs/>
                <w:sz w:val="20"/>
                <w:szCs w:val="20"/>
              </w:rPr>
            </w:pPr>
            <w:r>
              <w:rPr>
                <w:rFonts w:cs="Arial"/>
                <w:b/>
                <w:bCs/>
                <w:sz w:val="20"/>
                <w:szCs w:val="20"/>
              </w:rPr>
              <w:t>1 100,0</w:t>
            </w:r>
          </w:p>
        </w:tc>
      </w:tr>
      <w:tr w:rsidR="00342AFB" w:rsidRPr="00C2587D" w14:paraId="6FD9FF9E" w14:textId="77777777" w:rsidTr="00A041B2">
        <w:trPr>
          <w:gridAfter w:val="1"/>
          <w:wAfter w:w="28" w:type="dxa"/>
          <w:trHeight w:val="567"/>
          <w:jc w:val="center"/>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690335" w14:textId="77777777" w:rsidR="00342AFB" w:rsidRPr="00C2587D" w:rsidRDefault="00342AFB" w:rsidP="00924056">
            <w:pPr>
              <w:jc w:val="center"/>
              <w:rPr>
                <w:rFonts w:cs="Arial"/>
                <w:color w:val="000000"/>
                <w:sz w:val="20"/>
                <w:szCs w:val="20"/>
                <w:lang w:eastAsia="uk-UA"/>
              </w:rPr>
            </w:pPr>
          </w:p>
        </w:tc>
        <w:tc>
          <w:tcPr>
            <w:tcW w:w="4111" w:type="dxa"/>
            <w:tcBorders>
              <w:top w:val="single" w:sz="4" w:space="0" w:color="auto"/>
              <w:left w:val="nil"/>
              <w:bottom w:val="single" w:sz="4" w:space="0" w:color="auto"/>
              <w:right w:val="single" w:sz="4" w:space="0" w:color="auto"/>
            </w:tcBorders>
            <w:shd w:val="clear" w:color="auto" w:fill="auto"/>
            <w:vAlign w:val="center"/>
          </w:tcPr>
          <w:p w14:paraId="42ACE35E" w14:textId="77777777" w:rsidR="00342AFB" w:rsidRPr="00C2587D" w:rsidRDefault="00342AFB" w:rsidP="00924056">
            <w:pPr>
              <w:jc w:val="center"/>
              <w:rPr>
                <w:rFonts w:cs="Arial"/>
                <w:b/>
                <w:color w:val="002060"/>
                <w:sz w:val="20"/>
                <w:szCs w:val="20"/>
              </w:rPr>
            </w:pPr>
            <w:r w:rsidRPr="00C2587D">
              <w:rPr>
                <w:rFonts w:cs="Arial"/>
                <w:b/>
                <w:sz w:val="20"/>
                <w:szCs w:val="20"/>
              </w:rPr>
              <w:t>Всього по С.1.</w:t>
            </w:r>
            <w:r w:rsidRPr="00C2587D">
              <w:rPr>
                <w:rFonts w:cs="Arial"/>
                <w:b/>
                <w:bCs/>
                <w:iCs/>
                <w:sz w:val="20"/>
                <w:szCs w:val="20"/>
                <w:lang w:eastAsia="uk-UA"/>
              </w:rPr>
              <w:t xml:space="preserve"> Підвищення рівня надання освітніх послуг</w:t>
            </w:r>
          </w:p>
        </w:tc>
        <w:tc>
          <w:tcPr>
            <w:tcW w:w="1162" w:type="dxa"/>
            <w:tcBorders>
              <w:top w:val="nil"/>
              <w:left w:val="nil"/>
              <w:bottom w:val="single" w:sz="8" w:space="0" w:color="auto"/>
              <w:right w:val="single" w:sz="8" w:space="0" w:color="auto"/>
            </w:tcBorders>
            <w:shd w:val="clear" w:color="auto" w:fill="auto"/>
            <w:noWrap/>
            <w:vAlign w:val="center"/>
          </w:tcPr>
          <w:p w14:paraId="7D9B6230" w14:textId="3763D616" w:rsidR="00342AFB" w:rsidRPr="00C2587D" w:rsidRDefault="00B120C0" w:rsidP="00924056">
            <w:pPr>
              <w:jc w:val="center"/>
              <w:rPr>
                <w:rFonts w:cs="Arial"/>
                <w:b/>
                <w:sz w:val="20"/>
                <w:szCs w:val="20"/>
                <w:lang w:eastAsia="uk-UA"/>
              </w:rPr>
            </w:pPr>
            <w:r>
              <w:rPr>
                <w:rFonts w:cs="Arial"/>
                <w:b/>
                <w:sz w:val="20"/>
                <w:szCs w:val="20"/>
                <w:lang w:eastAsia="uk-UA"/>
              </w:rPr>
              <w:t>2820</w:t>
            </w:r>
            <w:r w:rsidR="00F33EDD">
              <w:rPr>
                <w:rFonts w:cs="Arial"/>
                <w:b/>
                <w:sz w:val="20"/>
                <w:szCs w:val="20"/>
                <w:lang w:eastAsia="uk-UA"/>
              </w:rPr>
              <w:t>0,0</w:t>
            </w:r>
          </w:p>
        </w:tc>
        <w:tc>
          <w:tcPr>
            <w:tcW w:w="1273" w:type="dxa"/>
            <w:tcBorders>
              <w:top w:val="nil"/>
              <w:left w:val="nil"/>
              <w:bottom w:val="single" w:sz="8" w:space="0" w:color="auto"/>
              <w:right w:val="single" w:sz="8" w:space="0" w:color="auto"/>
            </w:tcBorders>
            <w:shd w:val="clear" w:color="auto" w:fill="auto"/>
            <w:noWrap/>
            <w:vAlign w:val="center"/>
          </w:tcPr>
          <w:p w14:paraId="4D12D1DC" w14:textId="31877873" w:rsidR="00342AFB" w:rsidRPr="00C2587D" w:rsidRDefault="00B120C0" w:rsidP="00924056">
            <w:pPr>
              <w:jc w:val="center"/>
              <w:rPr>
                <w:rFonts w:cs="Arial"/>
                <w:b/>
                <w:sz w:val="20"/>
                <w:szCs w:val="20"/>
                <w:lang w:eastAsia="it-IT"/>
              </w:rPr>
            </w:pPr>
            <w:r>
              <w:rPr>
                <w:rFonts w:cs="Arial"/>
                <w:b/>
                <w:sz w:val="20"/>
                <w:szCs w:val="20"/>
                <w:lang w:eastAsia="it-IT"/>
              </w:rPr>
              <w:t>1057</w:t>
            </w:r>
            <w:r w:rsidR="00F33EDD">
              <w:rPr>
                <w:rFonts w:cs="Arial"/>
                <w:b/>
                <w:sz w:val="20"/>
                <w:szCs w:val="20"/>
                <w:lang w:eastAsia="it-IT"/>
              </w:rPr>
              <w:t>13,0</w:t>
            </w:r>
          </w:p>
        </w:tc>
        <w:tc>
          <w:tcPr>
            <w:tcW w:w="1109" w:type="dxa"/>
            <w:tcBorders>
              <w:top w:val="nil"/>
              <w:left w:val="nil"/>
              <w:bottom w:val="single" w:sz="8" w:space="0" w:color="auto"/>
              <w:right w:val="single" w:sz="8" w:space="0" w:color="auto"/>
            </w:tcBorders>
            <w:shd w:val="clear" w:color="auto" w:fill="auto"/>
            <w:noWrap/>
            <w:vAlign w:val="center"/>
          </w:tcPr>
          <w:p w14:paraId="6609B9AA" w14:textId="5445D2CC" w:rsidR="00342AFB" w:rsidRPr="00C2587D" w:rsidRDefault="00B120C0" w:rsidP="00B120C0">
            <w:pPr>
              <w:jc w:val="center"/>
              <w:rPr>
                <w:rFonts w:cs="Arial"/>
                <w:b/>
                <w:sz w:val="20"/>
                <w:szCs w:val="20"/>
                <w:lang w:eastAsia="it-IT"/>
              </w:rPr>
            </w:pPr>
            <w:r>
              <w:rPr>
                <w:rFonts w:cs="Arial"/>
                <w:b/>
                <w:sz w:val="20"/>
                <w:szCs w:val="20"/>
                <w:lang w:eastAsia="it-IT"/>
              </w:rPr>
              <w:t>10525</w:t>
            </w:r>
            <w:r w:rsidR="00F33EDD">
              <w:rPr>
                <w:rFonts w:cs="Arial"/>
                <w:b/>
                <w:sz w:val="20"/>
                <w:szCs w:val="20"/>
                <w:lang w:eastAsia="it-IT"/>
              </w:rPr>
              <w:t>0,0</w:t>
            </w:r>
          </w:p>
        </w:tc>
        <w:tc>
          <w:tcPr>
            <w:tcW w:w="1112" w:type="dxa"/>
            <w:tcBorders>
              <w:top w:val="nil"/>
              <w:left w:val="nil"/>
              <w:bottom w:val="single" w:sz="8" w:space="0" w:color="auto"/>
              <w:right w:val="single" w:sz="8" w:space="0" w:color="auto"/>
            </w:tcBorders>
            <w:shd w:val="clear" w:color="auto" w:fill="auto"/>
            <w:vAlign w:val="center"/>
          </w:tcPr>
          <w:p w14:paraId="1E24994F" w14:textId="4FAF68B8" w:rsidR="00342AFB" w:rsidRPr="00C2587D" w:rsidRDefault="00F33EDD" w:rsidP="00924056">
            <w:pPr>
              <w:jc w:val="center"/>
              <w:rPr>
                <w:rFonts w:cs="Arial"/>
                <w:b/>
                <w:sz w:val="20"/>
                <w:szCs w:val="20"/>
                <w:lang w:eastAsia="it-IT"/>
              </w:rPr>
            </w:pPr>
            <w:r>
              <w:rPr>
                <w:rFonts w:cs="Arial"/>
                <w:b/>
                <w:sz w:val="20"/>
                <w:szCs w:val="20"/>
                <w:lang w:eastAsia="it-IT"/>
              </w:rPr>
              <w:t>8</w:t>
            </w:r>
            <w:r w:rsidR="00B120C0">
              <w:rPr>
                <w:rFonts w:cs="Arial"/>
                <w:b/>
                <w:sz w:val="20"/>
                <w:szCs w:val="20"/>
                <w:lang w:eastAsia="it-IT"/>
              </w:rPr>
              <w:t>90</w:t>
            </w:r>
            <w:r>
              <w:rPr>
                <w:rFonts w:cs="Arial"/>
                <w:b/>
                <w:sz w:val="20"/>
                <w:szCs w:val="20"/>
                <w:lang w:eastAsia="it-IT"/>
              </w:rPr>
              <w:t>00,0</w:t>
            </w:r>
          </w:p>
        </w:tc>
        <w:tc>
          <w:tcPr>
            <w:tcW w:w="1119" w:type="dxa"/>
            <w:tcBorders>
              <w:top w:val="nil"/>
              <w:left w:val="nil"/>
              <w:bottom w:val="single" w:sz="8" w:space="0" w:color="auto"/>
              <w:right w:val="single" w:sz="8" w:space="0" w:color="auto"/>
            </w:tcBorders>
            <w:shd w:val="clear" w:color="auto" w:fill="auto"/>
            <w:vAlign w:val="center"/>
          </w:tcPr>
          <w:p w14:paraId="7D1A2A69" w14:textId="4D17127C" w:rsidR="00342AFB" w:rsidRPr="00C2587D" w:rsidRDefault="00B120C0" w:rsidP="00B120C0">
            <w:pPr>
              <w:jc w:val="center"/>
              <w:rPr>
                <w:rFonts w:cs="Arial"/>
                <w:b/>
                <w:sz w:val="20"/>
                <w:szCs w:val="20"/>
                <w:lang w:eastAsia="it-IT"/>
              </w:rPr>
            </w:pPr>
            <w:r>
              <w:rPr>
                <w:rFonts w:cs="Arial"/>
                <w:b/>
                <w:sz w:val="20"/>
                <w:szCs w:val="20"/>
                <w:lang w:eastAsia="it-IT"/>
              </w:rPr>
              <w:t>3281</w:t>
            </w:r>
            <w:r w:rsidR="00F33EDD">
              <w:rPr>
                <w:rFonts w:cs="Arial"/>
                <w:b/>
                <w:sz w:val="20"/>
                <w:szCs w:val="20"/>
                <w:lang w:eastAsia="it-IT"/>
              </w:rPr>
              <w:t>63,0</w:t>
            </w:r>
          </w:p>
        </w:tc>
      </w:tr>
    </w:tbl>
    <w:p w14:paraId="43E3AA8A" w14:textId="3E7AA7FF" w:rsidR="00924056" w:rsidRDefault="00924056"/>
    <w:tbl>
      <w:tblPr>
        <w:tblW w:w="10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4395"/>
        <w:gridCol w:w="1162"/>
        <w:gridCol w:w="1106"/>
        <w:gridCol w:w="1106"/>
        <w:gridCol w:w="1106"/>
        <w:gridCol w:w="1273"/>
      </w:tblGrid>
      <w:tr w:rsidR="00A36EB4" w:rsidRPr="00C2587D" w14:paraId="6CD8FDF7" w14:textId="77777777" w:rsidTr="004B3BEE">
        <w:trPr>
          <w:trHeight w:val="415"/>
          <w:jc w:val="center"/>
        </w:trPr>
        <w:tc>
          <w:tcPr>
            <w:tcW w:w="10347" w:type="dxa"/>
            <w:gridSpan w:val="7"/>
            <w:shd w:val="clear" w:color="auto" w:fill="auto"/>
            <w:noWrap/>
            <w:vAlign w:val="center"/>
            <w:hideMark/>
          </w:tcPr>
          <w:p w14:paraId="19304BCF" w14:textId="3BD05F45" w:rsidR="00A36EB4" w:rsidRPr="00987B8D" w:rsidRDefault="00A36EB4" w:rsidP="00924056">
            <w:pPr>
              <w:rPr>
                <w:rFonts w:cs="Arial"/>
                <w:b/>
                <w:bCs/>
                <w:i/>
                <w:iCs/>
                <w:sz w:val="20"/>
                <w:szCs w:val="20"/>
                <w:lang w:eastAsia="uk-UA"/>
              </w:rPr>
            </w:pPr>
            <w:r w:rsidRPr="00987B8D">
              <w:rPr>
                <w:rFonts w:cs="Arial"/>
                <w:b/>
                <w:bCs/>
                <w:i/>
                <w:iCs/>
                <w:sz w:val="20"/>
                <w:szCs w:val="20"/>
                <w:lang w:eastAsia="uk-UA"/>
              </w:rPr>
              <w:t xml:space="preserve">Стратегічна ціль С.2. . Забезпечення доступу  до якісної системи охорони здоров’я </w:t>
            </w:r>
          </w:p>
        </w:tc>
      </w:tr>
      <w:tr w:rsidR="00B26629" w:rsidRPr="00C2587D" w14:paraId="5AC3F8E8" w14:textId="77777777" w:rsidTr="006478C2">
        <w:trPr>
          <w:jc w:val="center"/>
        </w:trPr>
        <w:tc>
          <w:tcPr>
            <w:tcW w:w="562" w:type="dxa"/>
            <w:shd w:val="clear" w:color="auto" w:fill="auto"/>
            <w:noWrap/>
            <w:vAlign w:val="center"/>
          </w:tcPr>
          <w:p w14:paraId="45FF5356" w14:textId="0F39B71E" w:rsidR="00B26629" w:rsidRPr="00C2587D" w:rsidRDefault="00B26629" w:rsidP="006478C2">
            <w:pPr>
              <w:rPr>
                <w:rFonts w:cs="Arial"/>
                <w:color w:val="000000"/>
                <w:sz w:val="20"/>
                <w:szCs w:val="20"/>
                <w:lang w:eastAsia="uk-UA"/>
              </w:rPr>
            </w:pPr>
            <w:r w:rsidRPr="00C2587D">
              <w:rPr>
                <w:rFonts w:cs="Arial"/>
                <w:color w:val="000000"/>
                <w:sz w:val="20"/>
                <w:szCs w:val="20"/>
                <w:lang w:eastAsia="uk-UA"/>
              </w:rPr>
              <w:t>1.</w:t>
            </w:r>
          </w:p>
        </w:tc>
        <w:tc>
          <w:tcPr>
            <w:tcW w:w="4395" w:type="dxa"/>
            <w:shd w:val="clear" w:color="auto" w:fill="auto"/>
            <w:vAlign w:val="bottom"/>
          </w:tcPr>
          <w:p w14:paraId="6F2CE5A7" w14:textId="7F49A907" w:rsidR="00B26629" w:rsidRPr="00C2587D" w:rsidRDefault="00B26629" w:rsidP="00B26629">
            <w:pPr>
              <w:pBdr>
                <w:left w:val="single" w:sz="18" w:space="4" w:color="auto"/>
              </w:pBdr>
              <w:spacing w:before="40" w:after="40"/>
              <w:jc w:val="both"/>
              <w:rPr>
                <w:rFonts w:cs="Arial"/>
                <w:bCs/>
                <w:sz w:val="20"/>
                <w:szCs w:val="20"/>
                <w:lang w:eastAsia="it-IT"/>
              </w:rPr>
            </w:pPr>
            <w:r w:rsidRPr="00C2587D">
              <w:rPr>
                <w:rFonts w:cs="Arial"/>
                <w:color w:val="000000" w:themeColor="text1"/>
                <w:sz w:val="20"/>
                <w:szCs w:val="20"/>
                <w:lang w:eastAsia="uk-UA"/>
              </w:rPr>
              <w:t>Щорічне оновлення та модернізація медичного обладнання в амбулаторіях Жмеринської МТГ</w:t>
            </w:r>
          </w:p>
        </w:tc>
        <w:tc>
          <w:tcPr>
            <w:tcW w:w="1162" w:type="dxa"/>
            <w:vAlign w:val="center"/>
          </w:tcPr>
          <w:p w14:paraId="28732896" w14:textId="47E67EC8" w:rsidR="00B26629" w:rsidRPr="00C2587D" w:rsidRDefault="00B26629" w:rsidP="00B26629">
            <w:pPr>
              <w:jc w:val="center"/>
              <w:rPr>
                <w:rFonts w:cs="Arial"/>
                <w:color w:val="000000"/>
                <w:sz w:val="20"/>
                <w:szCs w:val="20"/>
                <w:lang w:eastAsia="it-IT"/>
              </w:rPr>
            </w:pPr>
            <w:r w:rsidRPr="00C2587D">
              <w:rPr>
                <w:rFonts w:cs="Arial"/>
                <w:color w:val="000000"/>
                <w:sz w:val="20"/>
                <w:szCs w:val="20"/>
                <w:lang w:eastAsia="it-IT"/>
              </w:rPr>
              <w:t>464,0</w:t>
            </w:r>
          </w:p>
        </w:tc>
        <w:tc>
          <w:tcPr>
            <w:tcW w:w="1106" w:type="dxa"/>
            <w:shd w:val="clear" w:color="auto" w:fill="FFFFFF"/>
            <w:vAlign w:val="center"/>
          </w:tcPr>
          <w:p w14:paraId="64E8D224" w14:textId="709AA7A1" w:rsidR="00B26629" w:rsidRPr="00C2587D" w:rsidRDefault="00B26629" w:rsidP="00B26629">
            <w:pPr>
              <w:jc w:val="center"/>
              <w:rPr>
                <w:rFonts w:cs="Arial"/>
                <w:color w:val="000000"/>
                <w:sz w:val="20"/>
                <w:szCs w:val="20"/>
                <w:lang w:eastAsia="it-IT"/>
              </w:rPr>
            </w:pPr>
            <w:r w:rsidRPr="00C2587D">
              <w:rPr>
                <w:rFonts w:cs="Arial"/>
                <w:color w:val="000000"/>
                <w:sz w:val="20"/>
                <w:szCs w:val="20"/>
                <w:lang w:eastAsia="it-IT"/>
              </w:rPr>
              <w:t>455,1</w:t>
            </w:r>
          </w:p>
        </w:tc>
        <w:tc>
          <w:tcPr>
            <w:tcW w:w="1106" w:type="dxa"/>
            <w:shd w:val="clear" w:color="auto" w:fill="auto"/>
            <w:vAlign w:val="center"/>
          </w:tcPr>
          <w:p w14:paraId="52D28C23" w14:textId="781DB7AE" w:rsidR="00B26629" w:rsidRPr="00C2587D" w:rsidRDefault="00B26629" w:rsidP="00B26629">
            <w:pPr>
              <w:jc w:val="center"/>
              <w:rPr>
                <w:rFonts w:cs="Arial"/>
                <w:color w:val="000000"/>
                <w:sz w:val="20"/>
                <w:szCs w:val="20"/>
                <w:lang w:eastAsia="it-IT"/>
              </w:rPr>
            </w:pPr>
            <w:r w:rsidRPr="00C2587D">
              <w:rPr>
                <w:rFonts w:cs="Arial"/>
                <w:color w:val="000000"/>
                <w:sz w:val="20"/>
                <w:szCs w:val="20"/>
                <w:lang w:eastAsia="it-IT"/>
              </w:rPr>
              <w:t>128,3</w:t>
            </w:r>
          </w:p>
        </w:tc>
        <w:tc>
          <w:tcPr>
            <w:tcW w:w="736" w:type="dxa"/>
            <w:shd w:val="clear" w:color="auto" w:fill="FFFFFF"/>
            <w:vAlign w:val="center"/>
          </w:tcPr>
          <w:p w14:paraId="72570B7B" w14:textId="77777777" w:rsidR="00B26629" w:rsidRPr="00C2587D" w:rsidRDefault="00B26629" w:rsidP="00B26629">
            <w:pPr>
              <w:jc w:val="center"/>
              <w:rPr>
                <w:rFonts w:cs="Arial"/>
                <w:color w:val="000000"/>
                <w:sz w:val="20"/>
                <w:szCs w:val="20"/>
                <w:lang w:eastAsia="it-IT"/>
              </w:rPr>
            </w:pPr>
          </w:p>
        </w:tc>
        <w:tc>
          <w:tcPr>
            <w:tcW w:w="1273" w:type="dxa"/>
            <w:shd w:val="clear" w:color="auto" w:fill="FFFFFF"/>
            <w:vAlign w:val="center"/>
          </w:tcPr>
          <w:p w14:paraId="106055B0" w14:textId="271C9981" w:rsidR="00B26629" w:rsidRPr="00C2587D" w:rsidRDefault="00B26629" w:rsidP="00B26629">
            <w:pPr>
              <w:jc w:val="center"/>
              <w:rPr>
                <w:rFonts w:cs="Arial"/>
                <w:b/>
                <w:color w:val="000000"/>
                <w:sz w:val="20"/>
                <w:szCs w:val="20"/>
                <w:lang w:eastAsia="it-IT"/>
              </w:rPr>
            </w:pPr>
            <w:r w:rsidRPr="00C2587D">
              <w:rPr>
                <w:rFonts w:cs="Arial"/>
                <w:b/>
                <w:color w:val="000000"/>
                <w:sz w:val="20"/>
                <w:szCs w:val="20"/>
                <w:lang w:eastAsia="it-IT"/>
              </w:rPr>
              <w:t>1 047,4</w:t>
            </w:r>
          </w:p>
        </w:tc>
      </w:tr>
      <w:tr w:rsidR="0024550F" w:rsidRPr="00C2587D" w14:paraId="7642678C" w14:textId="77777777" w:rsidTr="006478C2">
        <w:trPr>
          <w:jc w:val="center"/>
        </w:trPr>
        <w:tc>
          <w:tcPr>
            <w:tcW w:w="562" w:type="dxa"/>
            <w:shd w:val="clear" w:color="auto" w:fill="auto"/>
            <w:noWrap/>
            <w:vAlign w:val="center"/>
          </w:tcPr>
          <w:p w14:paraId="5B93EEA8" w14:textId="18C19B93" w:rsidR="0024550F" w:rsidRPr="00C2587D" w:rsidRDefault="00B26629" w:rsidP="006478C2">
            <w:pPr>
              <w:rPr>
                <w:rFonts w:cs="Arial"/>
                <w:color w:val="000000"/>
                <w:sz w:val="20"/>
                <w:szCs w:val="20"/>
                <w:lang w:eastAsia="uk-UA"/>
              </w:rPr>
            </w:pPr>
            <w:r w:rsidRPr="00C2587D">
              <w:rPr>
                <w:rFonts w:cs="Arial"/>
                <w:color w:val="000000"/>
                <w:sz w:val="20"/>
                <w:szCs w:val="20"/>
                <w:lang w:eastAsia="uk-UA"/>
              </w:rPr>
              <w:t>2</w:t>
            </w:r>
            <w:r w:rsidR="0024550F" w:rsidRPr="00C2587D">
              <w:rPr>
                <w:rFonts w:cs="Arial"/>
                <w:color w:val="000000"/>
                <w:sz w:val="20"/>
                <w:szCs w:val="20"/>
                <w:lang w:eastAsia="uk-UA"/>
              </w:rPr>
              <w:t>.</w:t>
            </w:r>
          </w:p>
        </w:tc>
        <w:tc>
          <w:tcPr>
            <w:tcW w:w="4395" w:type="dxa"/>
            <w:shd w:val="clear" w:color="auto" w:fill="auto"/>
            <w:vAlign w:val="center"/>
          </w:tcPr>
          <w:p w14:paraId="55377BAC" w14:textId="6A3A45BE" w:rsidR="0024550F" w:rsidRPr="00C2587D" w:rsidRDefault="0024550F" w:rsidP="0024550F">
            <w:pPr>
              <w:pBdr>
                <w:left w:val="single" w:sz="18" w:space="4" w:color="auto"/>
              </w:pBdr>
              <w:spacing w:before="40" w:after="40"/>
              <w:jc w:val="both"/>
              <w:rPr>
                <w:rFonts w:cs="Arial"/>
                <w:bCs/>
                <w:sz w:val="20"/>
                <w:szCs w:val="20"/>
                <w:lang w:eastAsia="it-IT"/>
              </w:rPr>
            </w:pPr>
            <w:r w:rsidRPr="00C2587D">
              <w:rPr>
                <w:rFonts w:cs="Arial"/>
                <w:bCs/>
                <w:sz w:val="20"/>
                <w:szCs w:val="20"/>
                <w:lang w:eastAsia="it-IT"/>
              </w:rPr>
              <w:t>Капітальний ремонт частини приміщень 3-го поверху у хірургічному відділенні та сходових клітин будівлі головного корпусу КНП «Жмеринська ЦРЛ» по вул.</w:t>
            </w:r>
            <w:r w:rsidR="00924056">
              <w:rPr>
                <w:rFonts w:cs="Arial"/>
                <w:bCs/>
                <w:sz w:val="20"/>
                <w:szCs w:val="20"/>
                <w:lang w:eastAsia="it-IT"/>
              </w:rPr>
              <w:t xml:space="preserve"> </w:t>
            </w:r>
            <w:r w:rsidRPr="00C2587D">
              <w:rPr>
                <w:rFonts w:cs="Arial"/>
                <w:bCs/>
                <w:sz w:val="20"/>
                <w:szCs w:val="20"/>
                <w:lang w:eastAsia="it-IT"/>
              </w:rPr>
              <w:t>Київська, 288, м.Жмеринка, Вінницької області</w:t>
            </w:r>
          </w:p>
        </w:tc>
        <w:tc>
          <w:tcPr>
            <w:tcW w:w="1162" w:type="dxa"/>
            <w:vAlign w:val="center"/>
          </w:tcPr>
          <w:p w14:paraId="4C904AC1" w14:textId="1CCBDF8E" w:rsidR="0024550F" w:rsidRPr="00C2587D" w:rsidRDefault="0024550F" w:rsidP="0024550F">
            <w:pPr>
              <w:jc w:val="center"/>
              <w:rPr>
                <w:rFonts w:cs="Arial"/>
                <w:color w:val="000000"/>
                <w:sz w:val="20"/>
                <w:szCs w:val="20"/>
                <w:lang w:eastAsia="it-IT"/>
              </w:rPr>
            </w:pPr>
            <w:r w:rsidRPr="00C2587D">
              <w:rPr>
                <w:rFonts w:cs="Arial"/>
                <w:color w:val="000000"/>
                <w:sz w:val="20"/>
                <w:szCs w:val="20"/>
                <w:lang w:eastAsia="it-IT"/>
              </w:rPr>
              <w:t>6</w:t>
            </w:r>
            <w:r w:rsidR="00F214A4" w:rsidRPr="00C2587D">
              <w:rPr>
                <w:rFonts w:cs="Arial"/>
                <w:color w:val="000000"/>
                <w:sz w:val="20"/>
                <w:szCs w:val="20"/>
                <w:lang w:eastAsia="it-IT"/>
              </w:rPr>
              <w:t xml:space="preserve"> </w:t>
            </w:r>
            <w:r w:rsidRPr="00C2587D">
              <w:rPr>
                <w:rFonts w:cs="Arial"/>
                <w:color w:val="000000"/>
                <w:sz w:val="20"/>
                <w:szCs w:val="20"/>
                <w:lang w:eastAsia="it-IT"/>
              </w:rPr>
              <w:t>720,2</w:t>
            </w:r>
          </w:p>
        </w:tc>
        <w:tc>
          <w:tcPr>
            <w:tcW w:w="1106" w:type="dxa"/>
            <w:shd w:val="clear" w:color="auto" w:fill="FFFFFF"/>
            <w:vAlign w:val="center"/>
          </w:tcPr>
          <w:p w14:paraId="56909CB6" w14:textId="544C1237" w:rsidR="0024550F" w:rsidRPr="00C2587D" w:rsidRDefault="0024550F" w:rsidP="0024550F">
            <w:pPr>
              <w:jc w:val="center"/>
              <w:rPr>
                <w:rFonts w:cs="Arial"/>
                <w:color w:val="000000"/>
                <w:sz w:val="20"/>
                <w:szCs w:val="20"/>
                <w:lang w:eastAsia="it-IT"/>
              </w:rPr>
            </w:pPr>
            <w:r w:rsidRPr="00C2587D">
              <w:rPr>
                <w:rFonts w:cs="Arial"/>
                <w:color w:val="000000"/>
                <w:sz w:val="20"/>
                <w:szCs w:val="20"/>
                <w:lang w:eastAsia="it-IT"/>
              </w:rPr>
              <w:t>10</w:t>
            </w:r>
            <w:r w:rsidR="00F214A4" w:rsidRPr="00C2587D">
              <w:rPr>
                <w:rFonts w:cs="Arial"/>
                <w:color w:val="000000"/>
                <w:sz w:val="20"/>
                <w:szCs w:val="20"/>
                <w:lang w:eastAsia="it-IT"/>
              </w:rPr>
              <w:t xml:space="preserve"> </w:t>
            </w:r>
            <w:r w:rsidRPr="00C2587D">
              <w:rPr>
                <w:rFonts w:cs="Arial"/>
                <w:color w:val="000000"/>
                <w:sz w:val="20"/>
                <w:szCs w:val="20"/>
                <w:lang w:eastAsia="it-IT"/>
              </w:rPr>
              <w:t>527,1</w:t>
            </w:r>
          </w:p>
        </w:tc>
        <w:tc>
          <w:tcPr>
            <w:tcW w:w="1106" w:type="dxa"/>
            <w:shd w:val="clear" w:color="auto" w:fill="auto"/>
            <w:vAlign w:val="center"/>
          </w:tcPr>
          <w:p w14:paraId="04D8E0B7" w14:textId="73213022" w:rsidR="0024550F" w:rsidRPr="00C2587D" w:rsidRDefault="0024550F" w:rsidP="0024550F">
            <w:pPr>
              <w:jc w:val="center"/>
              <w:rPr>
                <w:rFonts w:cs="Arial"/>
                <w:color w:val="000000"/>
                <w:sz w:val="20"/>
                <w:szCs w:val="20"/>
                <w:lang w:eastAsia="it-IT"/>
              </w:rPr>
            </w:pPr>
          </w:p>
        </w:tc>
        <w:tc>
          <w:tcPr>
            <w:tcW w:w="736" w:type="dxa"/>
            <w:shd w:val="clear" w:color="auto" w:fill="FFFFFF"/>
            <w:vAlign w:val="center"/>
          </w:tcPr>
          <w:p w14:paraId="0F3183DB" w14:textId="743A1414" w:rsidR="0024550F" w:rsidRPr="00C2587D" w:rsidRDefault="0024550F" w:rsidP="0024550F">
            <w:pPr>
              <w:jc w:val="center"/>
              <w:rPr>
                <w:rFonts w:cs="Arial"/>
                <w:color w:val="000000"/>
                <w:sz w:val="20"/>
                <w:szCs w:val="20"/>
                <w:lang w:eastAsia="it-IT"/>
              </w:rPr>
            </w:pPr>
          </w:p>
        </w:tc>
        <w:tc>
          <w:tcPr>
            <w:tcW w:w="1273" w:type="dxa"/>
            <w:shd w:val="clear" w:color="auto" w:fill="FFFFFF"/>
            <w:vAlign w:val="center"/>
          </w:tcPr>
          <w:p w14:paraId="799C24F3" w14:textId="0563BAB3" w:rsidR="0024550F" w:rsidRPr="00C2587D" w:rsidRDefault="0024550F" w:rsidP="0024550F">
            <w:pPr>
              <w:jc w:val="center"/>
              <w:rPr>
                <w:rFonts w:cs="Arial"/>
                <w:color w:val="000000"/>
                <w:sz w:val="20"/>
                <w:szCs w:val="20"/>
                <w:lang w:eastAsia="it-IT"/>
              </w:rPr>
            </w:pPr>
            <w:r w:rsidRPr="00C2587D">
              <w:rPr>
                <w:rFonts w:cs="Arial"/>
                <w:b/>
                <w:color w:val="000000"/>
                <w:sz w:val="20"/>
                <w:szCs w:val="20"/>
                <w:lang w:eastAsia="it-IT"/>
              </w:rPr>
              <w:t>17</w:t>
            </w:r>
            <w:r w:rsidR="00F214A4" w:rsidRPr="00C2587D">
              <w:rPr>
                <w:rFonts w:cs="Arial"/>
                <w:b/>
                <w:color w:val="000000"/>
                <w:sz w:val="20"/>
                <w:szCs w:val="20"/>
                <w:lang w:eastAsia="it-IT"/>
              </w:rPr>
              <w:t xml:space="preserve"> </w:t>
            </w:r>
            <w:r w:rsidRPr="00C2587D">
              <w:rPr>
                <w:rFonts w:cs="Arial"/>
                <w:b/>
                <w:color w:val="000000"/>
                <w:sz w:val="20"/>
                <w:szCs w:val="20"/>
                <w:lang w:eastAsia="it-IT"/>
              </w:rPr>
              <w:t>247,3</w:t>
            </w:r>
          </w:p>
        </w:tc>
      </w:tr>
      <w:tr w:rsidR="00B953FE" w:rsidRPr="00C2587D" w14:paraId="35D719A1" w14:textId="77777777" w:rsidTr="006478C2">
        <w:trPr>
          <w:jc w:val="center"/>
        </w:trPr>
        <w:tc>
          <w:tcPr>
            <w:tcW w:w="562" w:type="dxa"/>
            <w:shd w:val="clear" w:color="auto" w:fill="auto"/>
            <w:noWrap/>
            <w:vAlign w:val="center"/>
          </w:tcPr>
          <w:p w14:paraId="6C8B6E00" w14:textId="232D2AA9" w:rsidR="00B953FE" w:rsidRPr="00C2587D" w:rsidRDefault="00B26629" w:rsidP="006478C2">
            <w:pPr>
              <w:rPr>
                <w:rFonts w:cs="Arial"/>
                <w:color w:val="000000"/>
                <w:sz w:val="20"/>
                <w:szCs w:val="20"/>
                <w:lang w:eastAsia="uk-UA"/>
              </w:rPr>
            </w:pPr>
            <w:r w:rsidRPr="00C2587D">
              <w:rPr>
                <w:rFonts w:cs="Arial"/>
                <w:color w:val="000000"/>
                <w:sz w:val="20"/>
                <w:szCs w:val="20"/>
                <w:lang w:eastAsia="uk-UA"/>
              </w:rPr>
              <w:t>3</w:t>
            </w:r>
            <w:r w:rsidR="00B953FE" w:rsidRPr="00C2587D">
              <w:rPr>
                <w:rFonts w:cs="Arial"/>
                <w:color w:val="000000"/>
                <w:sz w:val="20"/>
                <w:szCs w:val="20"/>
                <w:lang w:eastAsia="uk-UA"/>
              </w:rPr>
              <w:t>.</w:t>
            </w:r>
          </w:p>
        </w:tc>
        <w:tc>
          <w:tcPr>
            <w:tcW w:w="4395" w:type="dxa"/>
            <w:shd w:val="clear" w:color="auto" w:fill="auto"/>
            <w:vAlign w:val="center"/>
          </w:tcPr>
          <w:p w14:paraId="3C07F7DA" w14:textId="1D675F2F" w:rsidR="00B953FE" w:rsidRPr="00C2587D" w:rsidRDefault="00B953FE" w:rsidP="00B953FE">
            <w:pPr>
              <w:pBdr>
                <w:left w:val="single" w:sz="18" w:space="4" w:color="auto"/>
              </w:pBdr>
              <w:spacing w:before="40" w:after="40"/>
              <w:jc w:val="both"/>
              <w:rPr>
                <w:rFonts w:cs="Arial"/>
                <w:bCs/>
                <w:sz w:val="20"/>
                <w:szCs w:val="20"/>
                <w:lang w:eastAsia="it-IT"/>
              </w:rPr>
            </w:pPr>
            <w:r w:rsidRPr="00C2587D">
              <w:rPr>
                <w:rFonts w:cs="Arial"/>
                <w:bCs/>
                <w:sz w:val="20"/>
                <w:szCs w:val="20"/>
                <w:lang w:eastAsia="it-IT"/>
              </w:rPr>
              <w:t>Капітальний ремонт будівлі адміністрації з травмпунктом  КНП «Жмеринська ЦРЛ» вул.</w:t>
            </w:r>
            <w:r w:rsidR="00924056">
              <w:rPr>
                <w:rFonts w:cs="Arial"/>
                <w:bCs/>
                <w:sz w:val="20"/>
                <w:szCs w:val="20"/>
                <w:lang w:eastAsia="it-IT"/>
              </w:rPr>
              <w:t xml:space="preserve"> </w:t>
            </w:r>
            <w:r w:rsidRPr="00C2587D">
              <w:rPr>
                <w:rFonts w:cs="Arial"/>
                <w:bCs/>
                <w:sz w:val="20"/>
                <w:szCs w:val="20"/>
                <w:lang w:eastAsia="it-IT"/>
              </w:rPr>
              <w:t>Київська, 288, м.Жмеринка, Вінницької області</w:t>
            </w:r>
          </w:p>
        </w:tc>
        <w:tc>
          <w:tcPr>
            <w:tcW w:w="1162" w:type="dxa"/>
            <w:vAlign w:val="center"/>
          </w:tcPr>
          <w:p w14:paraId="18BC37CC" w14:textId="5DFE1C06" w:rsidR="00B953FE" w:rsidRPr="00C2587D" w:rsidRDefault="00453ED1" w:rsidP="00B953FE">
            <w:pPr>
              <w:jc w:val="center"/>
              <w:rPr>
                <w:rFonts w:cs="Arial"/>
                <w:color w:val="000000"/>
                <w:sz w:val="20"/>
                <w:szCs w:val="20"/>
                <w:lang w:eastAsia="it-IT"/>
              </w:rPr>
            </w:pPr>
            <w:r w:rsidRPr="00C2587D">
              <w:rPr>
                <w:rFonts w:cs="Arial"/>
                <w:color w:val="000000"/>
                <w:sz w:val="20"/>
                <w:szCs w:val="20"/>
                <w:lang w:eastAsia="it-IT"/>
              </w:rPr>
              <w:t>7</w:t>
            </w:r>
            <w:r w:rsidR="00F214A4" w:rsidRPr="00C2587D">
              <w:rPr>
                <w:rFonts w:cs="Arial"/>
                <w:color w:val="000000"/>
                <w:sz w:val="20"/>
                <w:szCs w:val="20"/>
                <w:lang w:eastAsia="it-IT"/>
              </w:rPr>
              <w:t xml:space="preserve"> </w:t>
            </w:r>
            <w:r w:rsidRPr="00C2587D">
              <w:rPr>
                <w:rFonts w:cs="Arial"/>
                <w:color w:val="000000"/>
                <w:sz w:val="20"/>
                <w:szCs w:val="20"/>
                <w:lang w:eastAsia="it-IT"/>
              </w:rPr>
              <w:t>024,7</w:t>
            </w:r>
          </w:p>
        </w:tc>
        <w:tc>
          <w:tcPr>
            <w:tcW w:w="1106" w:type="dxa"/>
            <w:shd w:val="clear" w:color="auto" w:fill="FFFFFF"/>
            <w:vAlign w:val="center"/>
          </w:tcPr>
          <w:p w14:paraId="07B5392C" w14:textId="62599163" w:rsidR="00B953FE" w:rsidRPr="00C2587D" w:rsidRDefault="00B953FE" w:rsidP="00B953FE">
            <w:pPr>
              <w:jc w:val="center"/>
              <w:rPr>
                <w:rFonts w:cs="Arial"/>
                <w:color w:val="000000"/>
                <w:sz w:val="20"/>
                <w:szCs w:val="20"/>
                <w:lang w:eastAsia="it-IT"/>
              </w:rPr>
            </w:pPr>
          </w:p>
        </w:tc>
        <w:tc>
          <w:tcPr>
            <w:tcW w:w="1106" w:type="dxa"/>
            <w:shd w:val="clear" w:color="auto" w:fill="auto"/>
            <w:vAlign w:val="center"/>
          </w:tcPr>
          <w:p w14:paraId="4E5EF8F7" w14:textId="472144CF" w:rsidR="00B953FE" w:rsidRPr="00C2587D" w:rsidRDefault="00B953FE" w:rsidP="00B953FE">
            <w:pPr>
              <w:jc w:val="center"/>
              <w:rPr>
                <w:rFonts w:cs="Arial"/>
                <w:color w:val="000000"/>
                <w:sz w:val="20"/>
                <w:szCs w:val="20"/>
                <w:lang w:eastAsia="it-IT"/>
              </w:rPr>
            </w:pPr>
          </w:p>
        </w:tc>
        <w:tc>
          <w:tcPr>
            <w:tcW w:w="736" w:type="dxa"/>
            <w:shd w:val="clear" w:color="auto" w:fill="FFFFFF"/>
            <w:vAlign w:val="center"/>
          </w:tcPr>
          <w:p w14:paraId="2C820D79" w14:textId="2F1B588F" w:rsidR="00B953FE" w:rsidRPr="00C2587D" w:rsidRDefault="00B953FE" w:rsidP="00B953FE">
            <w:pPr>
              <w:jc w:val="center"/>
              <w:rPr>
                <w:rFonts w:cs="Arial"/>
                <w:color w:val="000000"/>
                <w:sz w:val="20"/>
                <w:szCs w:val="20"/>
                <w:lang w:eastAsia="it-IT"/>
              </w:rPr>
            </w:pPr>
          </w:p>
        </w:tc>
        <w:tc>
          <w:tcPr>
            <w:tcW w:w="1273" w:type="dxa"/>
            <w:shd w:val="clear" w:color="auto" w:fill="FFFFFF"/>
            <w:vAlign w:val="center"/>
          </w:tcPr>
          <w:p w14:paraId="144BAA75" w14:textId="7885F874" w:rsidR="00B953FE" w:rsidRPr="00C2587D" w:rsidRDefault="00453ED1" w:rsidP="00B953FE">
            <w:pPr>
              <w:jc w:val="center"/>
              <w:rPr>
                <w:rFonts w:cs="Arial"/>
                <w:b/>
                <w:color w:val="000000"/>
                <w:sz w:val="20"/>
                <w:szCs w:val="20"/>
                <w:lang w:eastAsia="it-IT"/>
              </w:rPr>
            </w:pPr>
            <w:r w:rsidRPr="00C2587D">
              <w:rPr>
                <w:rFonts w:cs="Arial"/>
                <w:b/>
                <w:color w:val="000000"/>
                <w:sz w:val="20"/>
                <w:szCs w:val="20"/>
                <w:lang w:eastAsia="it-IT"/>
              </w:rPr>
              <w:t>7</w:t>
            </w:r>
            <w:r w:rsidR="00F214A4" w:rsidRPr="00C2587D">
              <w:rPr>
                <w:rFonts w:cs="Arial"/>
                <w:b/>
                <w:color w:val="000000"/>
                <w:sz w:val="20"/>
                <w:szCs w:val="20"/>
                <w:lang w:eastAsia="it-IT"/>
              </w:rPr>
              <w:t xml:space="preserve"> </w:t>
            </w:r>
            <w:r w:rsidRPr="00C2587D">
              <w:rPr>
                <w:rFonts w:cs="Arial"/>
                <w:b/>
                <w:color w:val="000000"/>
                <w:sz w:val="20"/>
                <w:szCs w:val="20"/>
                <w:lang w:eastAsia="it-IT"/>
              </w:rPr>
              <w:t>024,7</w:t>
            </w:r>
          </w:p>
        </w:tc>
      </w:tr>
      <w:tr w:rsidR="00453ED1" w:rsidRPr="00C2587D" w14:paraId="7FB682C0" w14:textId="77777777" w:rsidTr="006478C2">
        <w:trPr>
          <w:jc w:val="center"/>
        </w:trPr>
        <w:tc>
          <w:tcPr>
            <w:tcW w:w="562" w:type="dxa"/>
            <w:shd w:val="clear" w:color="auto" w:fill="auto"/>
            <w:noWrap/>
            <w:vAlign w:val="center"/>
          </w:tcPr>
          <w:p w14:paraId="17FF0823" w14:textId="6E5F4ADF" w:rsidR="00453ED1" w:rsidRPr="00C2587D" w:rsidRDefault="00B26629" w:rsidP="006478C2">
            <w:pPr>
              <w:rPr>
                <w:rFonts w:cs="Arial"/>
                <w:color w:val="000000"/>
                <w:sz w:val="20"/>
                <w:szCs w:val="20"/>
                <w:lang w:eastAsia="uk-UA"/>
              </w:rPr>
            </w:pPr>
            <w:r w:rsidRPr="00C2587D">
              <w:rPr>
                <w:rFonts w:cs="Arial"/>
                <w:color w:val="000000"/>
                <w:sz w:val="20"/>
                <w:szCs w:val="20"/>
                <w:lang w:eastAsia="uk-UA"/>
              </w:rPr>
              <w:t>4</w:t>
            </w:r>
            <w:r w:rsidR="00453ED1" w:rsidRPr="00C2587D">
              <w:rPr>
                <w:rFonts w:cs="Arial"/>
                <w:color w:val="000000"/>
                <w:sz w:val="20"/>
                <w:szCs w:val="20"/>
                <w:lang w:eastAsia="uk-UA"/>
              </w:rPr>
              <w:t>.</w:t>
            </w:r>
          </w:p>
        </w:tc>
        <w:tc>
          <w:tcPr>
            <w:tcW w:w="4395" w:type="dxa"/>
            <w:shd w:val="clear" w:color="auto" w:fill="auto"/>
            <w:vAlign w:val="center"/>
          </w:tcPr>
          <w:p w14:paraId="2DE7E79B" w14:textId="7DB934F7" w:rsidR="00453ED1" w:rsidRPr="00C2587D" w:rsidRDefault="00453ED1" w:rsidP="00856FF1">
            <w:pPr>
              <w:pBdr>
                <w:left w:val="single" w:sz="18" w:space="4" w:color="auto"/>
              </w:pBdr>
              <w:spacing w:before="40" w:after="40"/>
              <w:jc w:val="both"/>
              <w:rPr>
                <w:rFonts w:cs="Arial"/>
                <w:bCs/>
                <w:sz w:val="20"/>
                <w:szCs w:val="20"/>
                <w:lang w:eastAsia="it-IT"/>
              </w:rPr>
            </w:pPr>
            <w:r w:rsidRPr="00C2587D">
              <w:rPr>
                <w:rFonts w:cs="Arial"/>
                <w:bCs/>
                <w:sz w:val="20"/>
                <w:szCs w:val="20"/>
                <w:lang w:eastAsia="it-IT"/>
              </w:rPr>
              <w:t>Капітальний ремонт харчоблоку</w:t>
            </w:r>
            <w:r w:rsidR="00856FF1">
              <w:rPr>
                <w:rFonts w:cs="Arial"/>
                <w:bCs/>
                <w:sz w:val="20"/>
                <w:szCs w:val="20"/>
                <w:lang w:eastAsia="it-IT"/>
              </w:rPr>
              <w:t xml:space="preserve"> КНП «Жмеринська ЦРЛ» за адресом</w:t>
            </w:r>
            <w:r w:rsidRPr="00C2587D">
              <w:rPr>
                <w:rFonts w:cs="Arial"/>
                <w:bCs/>
                <w:sz w:val="20"/>
                <w:szCs w:val="20"/>
                <w:lang w:eastAsia="it-IT"/>
              </w:rPr>
              <w:t>: вул.</w:t>
            </w:r>
            <w:r w:rsidR="00924056">
              <w:rPr>
                <w:rFonts w:cs="Arial"/>
                <w:bCs/>
                <w:sz w:val="20"/>
                <w:szCs w:val="20"/>
                <w:lang w:eastAsia="it-IT"/>
              </w:rPr>
              <w:t xml:space="preserve"> </w:t>
            </w:r>
            <w:r w:rsidRPr="00C2587D">
              <w:rPr>
                <w:rFonts w:cs="Arial"/>
                <w:bCs/>
                <w:sz w:val="20"/>
                <w:szCs w:val="20"/>
                <w:lang w:eastAsia="it-IT"/>
              </w:rPr>
              <w:t>Київська, 288 в м.Жмеринка Вінницької області</w:t>
            </w:r>
          </w:p>
        </w:tc>
        <w:tc>
          <w:tcPr>
            <w:tcW w:w="1162" w:type="dxa"/>
            <w:shd w:val="clear" w:color="auto" w:fill="auto"/>
            <w:vAlign w:val="center"/>
          </w:tcPr>
          <w:p w14:paraId="34ACE453" w14:textId="3B5076FE" w:rsidR="00453ED1" w:rsidRPr="00C2587D" w:rsidRDefault="00453ED1" w:rsidP="00453ED1">
            <w:pPr>
              <w:jc w:val="center"/>
              <w:rPr>
                <w:rFonts w:cs="Arial"/>
                <w:color w:val="000000"/>
                <w:sz w:val="20"/>
                <w:szCs w:val="20"/>
                <w:lang w:eastAsia="it-IT"/>
              </w:rPr>
            </w:pPr>
          </w:p>
        </w:tc>
        <w:tc>
          <w:tcPr>
            <w:tcW w:w="1106" w:type="dxa"/>
            <w:shd w:val="clear" w:color="auto" w:fill="auto"/>
            <w:vAlign w:val="center"/>
          </w:tcPr>
          <w:p w14:paraId="67C014C6" w14:textId="567400D3" w:rsidR="00453ED1" w:rsidRPr="00C2587D" w:rsidRDefault="00453ED1" w:rsidP="00453ED1">
            <w:pPr>
              <w:jc w:val="center"/>
              <w:rPr>
                <w:rFonts w:cs="Arial"/>
                <w:color w:val="000000"/>
                <w:sz w:val="20"/>
                <w:szCs w:val="20"/>
                <w:lang w:eastAsia="it-IT"/>
              </w:rPr>
            </w:pPr>
          </w:p>
        </w:tc>
        <w:tc>
          <w:tcPr>
            <w:tcW w:w="1106" w:type="dxa"/>
            <w:shd w:val="clear" w:color="auto" w:fill="auto"/>
            <w:vAlign w:val="center"/>
          </w:tcPr>
          <w:p w14:paraId="4EE9DADA" w14:textId="7446AD51" w:rsidR="00453ED1" w:rsidRPr="00C2587D" w:rsidRDefault="00453ED1" w:rsidP="00453ED1">
            <w:pPr>
              <w:jc w:val="center"/>
              <w:rPr>
                <w:rFonts w:cs="Arial"/>
                <w:color w:val="000000"/>
                <w:sz w:val="20"/>
                <w:szCs w:val="20"/>
                <w:lang w:eastAsia="it-IT"/>
              </w:rPr>
            </w:pPr>
          </w:p>
        </w:tc>
        <w:tc>
          <w:tcPr>
            <w:tcW w:w="736" w:type="dxa"/>
            <w:shd w:val="clear" w:color="auto" w:fill="FFFFFF"/>
            <w:vAlign w:val="center"/>
          </w:tcPr>
          <w:p w14:paraId="7C7DBEC0" w14:textId="46997805" w:rsidR="00453ED1" w:rsidRPr="00C2587D" w:rsidRDefault="00453ED1" w:rsidP="00453ED1">
            <w:pPr>
              <w:jc w:val="center"/>
              <w:rPr>
                <w:rFonts w:cs="Arial"/>
                <w:color w:val="000000"/>
                <w:sz w:val="20"/>
                <w:szCs w:val="20"/>
                <w:lang w:eastAsia="it-IT"/>
              </w:rPr>
            </w:pPr>
            <w:r w:rsidRPr="00C2587D">
              <w:rPr>
                <w:rFonts w:cs="Arial"/>
                <w:color w:val="000000"/>
                <w:sz w:val="20"/>
                <w:szCs w:val="20"/>
                <w:lang w:eastAsia="it-IT"/>
              </w:rPr>
              <w:t>11</w:t>
            </w:r>
            <w:r w:rsidR="00F214A4" w:rsidRPr="00C2587D">
              <w:rPr>
                <w:rFonts w:cs="Arial"/>
                <w:color w:val="000000"/>
                <w:sz w:val="20"/>
                <w:szCs w:val="20"/>
                <w:lang w:eastAsia="it-IT"/>
              </w:rPr>
              <w:t xml:space="preserve"> </w:t>
            </w:r>
            <w:r w:rsidRPr="00C2587D">
              <w:rPr>
                <w:rFonts w:cs="Arial"/>
                <w:color w:val="000000"/>
                <w:sz w:val="20"/>
                <w:szCs w:val="20"/>
                <w:lang w:eastAsia="it-IT"/>
              </w:rPr>
              <w:t>211,7</w:t>
            </w:r>
          </w:p>
        </w:tc>
        <w:tc>
          <w:tcPr>
            <w:tcW w:w="1273" w:type="dxa"/>
            <w:shd w:val="clear" w:color="auto" w:fill="FFFFFF"/>
            <w:vAlign w:val="center"/>
          </w:tcPr>
          <w:p w14:paraId="7F0BB89E" w14:textId="089E37A7" w:rsidR="00453ED1" w:rsidRPr="00C2587D" w:rsidRDefault="00453ED1" w:rsidP="00453ED1">
            <w:pPr>
              <w:jc w:val="center"/>
              <w:rPr>
                <w:rFonts w:cs="Arial"/>
                <w:color w:val="000000"/>
                <w:sz w:val="20"/>
                <w:szCs w:val="20"/>
                <w:lang w:eastAsia="it-IT"/>
              </w:rPr>
            </w:pPr>
            <w:r w:rsidRPr="00C2587D">
              <w:rPr>
                <w:rFonts w:cs="Arial"/>
                <w:b/>
                <w:color w:val="000000"/>
                <w:sz w:val="20"/>
                <w:szCs w:val="20"/>
                <w:lang w:eastAsia="it-IT"/>
              </w:rPr>
              <w:t>11</w:t>
            </w:r>
            <w:r w:rsidR="00F214A4" w:rsidRPr="00C2587D">
              <w:rPr>
                <w:rFonts w:cs="Arial"/>
                <w:b/>
                <w:color w:val="000000"/>
                <w:sz w:val="20"/>
                <w:szCs w:val="20"/>
                <w:lang w:eastAsia="it-IT"/>
              </w:rPr>
              <w:t xml:space="preserve"> </w:t>
            </w:r>
            <w:r w:rsidRPr="00C2587D">
              <w:rPr>
                <w:rFonts w:cs="Arial"/>
                <w:b/>
                <w:color w:val="000000"/>
                <w:sz w:val="20"/>
                <w:szCs w:val="20"/>
                <w:lang w:eastAsia="it-IT"/>
              </w:rPr>
              <w:t>211,7</w:t>
            </w:r>
          </w:p>
        </w:tc>
      </w:tr>
      <w:tr w:rsidR="00201EDF" w:rsidRPr="00C2587D" w14:paraId="01730B0A" w14:textId="77777777" w:rsidTr="006478C2">
        <w:trPr>
          <w:trHeight w:val="477"/>
          <w:jc w:val="center"/>
        </w:trPr>
        <w:tc>
          <w:tcPr>
            <w:tcW w:w="562" w:type="dxa"/>
            <w:shd w:val="clear" w:color="auto" w:fill="auto"/>
            <w:noWrap/>
            <w:vAlign w:val="center"/>
          </w:tcPr>
          <w:p w14:paraId="17C2FB9C" w14:textId="171BEA98" w:rsidR="00201EDF" w:rsidRPr="00C2587D" w:rsidRDefault="00B26629" w:rsidP="006478C2">
            <w:pPr>
              <w:rPr>
                <w:rFonts w:cs="Arial"/>
                <w:color w:val="000000"/>
                <w:sz w:val="20"/>
                <w:szCs w:val="20"/>
                <w:lang w:eastAsia="uk-UA"/>
              </w:rPr>
            </w:pPr>
            <w:r w:rsidRPr="00C2587D">
              <w:rPr>
                <w:rFonts w:cs="Arial"/>
                <w:color w:val="000000"/>
                <w:sz w:val="20"/>
                <w:szCs w:val="20"/>
                <w:lang w:eastAsia="uk-UA"/>
              </w:rPr>
              <w:t>5</w:t>
            </w:r>
            <w:r w:rsidR="00201EDF" w:rsidRPr="00C2587D">
              <w:rPr>
                <w:rFonts w:cs="Arial"/>
                <w:color w:val="000000"/>
                <w:sz w:val="20"/>
                <w:szCs w:val="20"/>
                <w:lang w:eastAsia="uk-UA"/>
              </w:rPr>
              <w:t>.</w:t>
            </w:r>
          </w:p>
        </w:tc>
        <w:tc>
          <w:tcPr>
            <w:tcW w:w="4395" w:type="dxa"/>
            <w:shd w:val="clear" w:color="auto" w:fill="auto"/>
            <w:vAlign w:val="center"/>
          </w:tcPr>
          <w:p w14:paraId="2E3B4CE4" w14:textId="1E89A22F" w:rsidR="00201EDF" w:rsidRPr="00C2587D" w:rsidRDefault="00201EDF" w:rsidP="00201EDF">
            <w:pPr>
              <w:spacing w:before="40" w:after="40"/>
              <w:rPr>
                <w:rFonts w:cs="Arial"/>
                <w:bCs/>
                <w:sz w:val="20"/>
                <w:szCs w:val="20"/>
                <w:lang w:eastAsia="it-IT"/>
              </w:rPr>
            </w:pPr>
            <w:r w:rsidRPr="00C2587D">
              <w:rPr>
                <w:rFonts w:cs="Arial"/>
                <w:bCs/>
                <w:sz w:val="20"/>
                <w:szCs w:val="20"/>
                <w:lang w:eastAsia="it-IT"/>
              </w:rPr>
              <w:t>Придбання наркозно-дихального апарату</w:t>
            </w:r>
          </w:p>
        </w:tc>
        <w:tc>
          <w:tcPr>
            <w:tcW w:w="1162" w:type="dxa"/>
            <w:vAlign w:val="center"/>
          </w:tcPr>
          <w:p w14:paraId="340189AA" w14:textId="38C9C15C" w:rsidR="00201EDF" w:rsidRPr="00C2587D" w:rsidRDefault="00201EDF" w:rsidP="00201EDF">
            <w:pPr>
              <w:jc w:val="center"/>
              <w:rPr>
                <w:rFonts w:cs="Arial"/>
                <w:color w:val="000000"/>
                <w:sz w:val="20"/>
                <w:szCs w:val="20"/>
                <w:lang w:eastAsia="it-IT"/>
              </w:rPr>
            </w:pPr>
            <w:r w:rsidRPr="00C2587D">
              <w:rPr>
                <w:rFonts w:cs="Arial"/>
                <w:color w:val="000000"/>
                <w:sz w:val="20"/>
                <w:szCs w:val="20"/>
                <w:lang w:eastAsia="it-IT"/>
              </w:rPr>
              <w:t>2</w:t>
            </w:r>
            <w:r w:rsidR="00F214A4" w:rsidRPr="00C2587D">
              <w:rPr>
                <w:rFonts w:cs="Arial"/>
                <w:color w:val="000000"/>
                <w:sz w:val="20"/>
                <w:szCs w:val="20"/>
                <w:lang w:eastAsia="it-IT"/>
              </w:rPr>
              <w:t xml:space="preserve"> </w:t>
            </w:r>
            <w:r w:rsidRPr="00C2587D">
              <w:rPr>
                <w:rFonts w:cs="Arial"/>
                <w:color w:val="000000"/>
                <w:sz w:val="20"/>
                <w:szCs w:val="20"/>
                <w:lang w:eastAsia="it-IT"/>
              </w:rPr>
              <w:t>600,0</w:t>
            </w:r>
          </w:p>
        </w:tc>
        <w:tc>
          <w:tcPr>
            <w:tcW w:w="1106" w:type="dxa"/>
            <w:shd w:val="clear" w:color="auto" w:fill="FFFFFF"/>
            <w:vAlign w:val="center"/>
          </w:tcPr>
          <w:p w14:paraId="3A0B197F" w14:textId="1AFECF87" w:rsidR="00201EDF" w:rsidRPr="00C2587D" w:rsidRDefault="00201EDF" w:rsidP="00201EDF">
            <w:pPr>
              <w:jc w:val="center"/>
              <w:rPr>
                <w:rFonts w:cs="Arial"/>
                <w:color w:val="000000"/>
                <w:sz w:val="20"/>
                <w:szCs w:val="20"/>
                <w:lang w:eastAsia="it-IT"/>
              </w:rPr>
            </w:pPr>
          </w:p>
        </w:tc>
        <w:tc>
          <w:tcPr>
            <w:tcW w:w="1106" w:type="dxa"/>
            <w:shd w:val="clear" w:color="auto" w:fill="auto"/>
            <w:vAlign w:val="center"/>
          </w:tcPr>
          <w:p w14:paraId="56DDF5B3" w14:textId="07B08C30" w:rsidR="00201EDF" w:rsidRPr="00C2587D" w:rsidRDefault="00201EDF" w:rsidP="00201EDF">
            <w:pPr>
              <w:jc w:val="center"/>
              <w:rPr>
                <w:rFonts w:cs="Arial"/>
                <w:color w:val="000000"/>
                <w:sz w:val="20"/>
                <w:szCs w:val="20"/>
                <w:lang w:eastAsia="it-IT"/>
              </w:rPr>
            </w:pPr>
          </w:p>
        </w:tc>
        <w:tc>
          <w:tcPr>
            <w:tcW w:w="736" w:type="dxa"/>
            <w:shd w:val="clear" w:color="auto" w:fill="FFFFFF"/>
            <w:vAlign w:val="center"/>
          </w:tcPr>
          <w:p w14:paraId="1C27C8B1" w14:textId="52C5C201" w:rsidR="00201EDF" w:rsidRPr="00C2587D" w:rsidRDefault="00201EDF" w:rsidP="00201EDF">
            <w:pPr>
              <w:jc w:val="center"/>
              <w:rPr>
                <w:rFonts w:cs="Arial"/>
                <w:color w:val="000000"/>
                <w:sz w:val="20"/>
                <w:szCs w:val="20"/>
                <w:lang w:eastAsia="it-IT"/>
              </w:rPr>
            </w:pPr>
          </w:p>
        </w:tc>
        <w:tc>
          <w:tcPr>
            <w:tcW w:w="1273" w:type="dxa"/>
            <w:shd w:val="clear" w:color="auto" w:fill="FFFFFF"/>
            <w:vAlign w:val="center"/>
          </w:tcPr>
          <w:p w14:paraId="3D4B0106" w14:textId="6D60841A" w:rsidR="00201EDF" w:rsidRPr="00C2587D" w:rsidRDefault="00201EDF" w:rsidP="00201EDF">
            <w:pPr>
              <w:jc w:val="center"/>
              <w:rPr>
                <w:rFonts w:cs="Arial"/>
                <w:color w:val="000000"/>
                <w:sz w:val="20"/>
                <w:szCs w:val="20"/>
                <w:lang w:eastAsia="it-IT"/>
              </w:rPr>
            </w:pPr>
            <w:r w:rsidRPr="00C2587D">
              <w:rPr>
                <w:rFonts w:cs="Arial"/>
                <w:b/>
                <w:color w:val="000000"/>
                <w:sz w:val="20"/>
                <w:szCs w:val="20"/>
                <w:lang w:eastAsia="it-IT"/>
              </w:rPr>
              <w:t>2</w:t>
            </w:r>
            <w:r w:rsidR="00F214A4" w:rsidRPr="00C2587D">
              <w:rPr>
                <w:rFonts w:cs="Arial"/>
                <w:b/>
                <w:color w:val="000000"/>
                <w:sz w:val="20"/>
                <w:szCs w:val="20"/>
                <w:lang w:eastAsia="it-IT"/>
              </w:rPr>
              <w:t xml:space="preserve"> </w:t>
            </w:r>
            <w:r w:rsidRPr="00C2587D">
              <w:rPr>
                <w:rFonts w:cs="Arial"/>
                <w:b/>
                <w:color w:val="000000"/>
                <w:sz w:val="20"/>
                <w:szCs w:val="20"/>
                <w:lang w:eastAsia="it-IT"/>
              </w:rPr>
              <w:t>600,0</w:t>
            </w:r>
          </w:p>
        </w:tc>
      </w:tr>
      <w:tr w:rsidR="00F214A4" w:rsidRPr="00C2587D" w14:paraId="17AFC9DA" w14:textId="77777777" w:rsidTr="006478C2">
        <w:trPr>
          <w:trHeight w:val="427"/>
          <w:jc w:val="center"/>
        </w:trPr>
        <w:tc>
          <w:tcPr>
            <w:tcW w:w="562" w:type="dxa"/>
            <w:shd w:val="clear" w:color="auto" w:fill="auto"/>
            <w:noWrap/>
            <w:vAlign w:val="center"/>
          </w:tcPr>
          <w:p w14:paraId="357B3987" w14:textId="154602A3" w:rsidR="00F214A4" w:rsidRPr="00C2587D" w:rsidRDefault="00B26629" w:rsidP="006478C2">
            <w:pPr>
              <w:rPr>
                <w:rFonts w:cs="Arial"/>
                <w:color w:val="000000"/>
                <w:sz w:val="20"/>
                <w:szCs w:val="20"/>
                <w:lang w:eastAsia="uk-UA"/>
              </w:rPr>
            </w:pPr>
            <w:r w:rsidRPr="00C2587D">
              <w:rPr>
                <w:rFonts w:cs="Arial"/>
                <w:color w:val="000000"/>
                <w:sz w:val="20"/>
                <w:szCs w:val="20"/>
                <w:lang w:eastAsia="uk-UA"/>
              </w:rPr>
              <w:t>6</w:t>
            </w:r>
            <w:r w:rsidR="00F214A4" w:rsidRPr="00C2587D">
              <w:rPr>
                <w:rFonts w:cs="Arial"/>
                <w:color w:val="000000"/>
                <w:sz w:val="20"/>
                <w:szCs w:val="20"/>
                <w:lang w:eastAsia="uk-UA"/>
              </w:rPr>
              <w:t>.</w:t>
            </w:r>
          </w:p>
        </w:tc>
        <w:tc>
          <w:tcPr>
            <w:tcW w:w="4395" w:type="dxa"/>
            <w:shd w:val="clear" w:color="auto" w:fill="auto"/>
            <w:vAlign w:val="center"/>
          </w:tcPr>
          <w:p w14:paraId="535AC10A" w14:textId="55DADFEB" w:rsidR="00F214A4" w:rsidRPr="00C2587D" w:rsidRDefault="00F214A4" w:rsidP="00F214A4">
            <w:pPr>
              <w:spacing w:before="40" w:after="40"/>
              <w:rPr>
                <w:rFonts w:cs="Arial"/>
                <w:sz w:val="20"/>
                <w:szCs w:val="20"/>
                <w:lang w:eastAsia="it-IT"/>
              </w:rPr>
            </w:pPr>
            <w:r w:rsidRPr="00C2587D">
              <w:rPr>
                <w:rFonts w:cs="Arial"/>
                <w:sz w:val="20"/>
                <w:szCs w:val="20"/>
                <w:lang w:eastAsia="it-IT"/>
              </w:rPr>
              <w:t>Придбання лапароскопічного обладнання</w:t>
            </w:r>
          </w:p>
        </w:tc>
        <w:tc>
          <w:tcPr>
            <w:tcW w:w="1162" w:type="dxa"/>
            <w:shd w:val="clear" w:color="auto" w:fill="auto"/>
            <w:vAlign w:val="center"/>
          </w:tcPr>
          <w:p w14:paraId="5BAC8F7F" w14:textId="4A4EEE9B" w:rsidR="00F214A4" w:rsidRPr="00C2587D" w:rsidRDefault="00F214A4" w:rsidP="00F214A4">
            <w:pPr>
              <w:jc w:val="center"/>
              <w:rPr>
                <w:rFonts w:cs="Arial"/>
                <w:color w:val="000000"/>
                <w:sz w:val="20"/>
                <w:szCs w:val="20"/>
                <w:lang w:eastAsia="it-IT"/>
              </w:rPr>
            </w:pPr>
          </w:p>
        </w:tc>
        <w:tc>
          <w:tcPr>
            <w:tcW w:w="1106" w:type="dxa"/>
            <w:shd w:val="clear" w:color="auto" w:fill="FFFFFF"/>
            <w:vAlign w:val="center"/>
          </w:tcPr>
          <w:p w14:paraId="0609E670" w14:textId="2F0BA909" w:rsidR="00F214A4" w:rsidRPr="00C2587D" w:rsidRDefault="00F214A4" w:rsidP="00F214A4">
            <w:pPr>
              <w:jc w:val="center"/>
              <w:rPr>
                <w:rFonts w:cs="Arial"/>
                <w:color w:val="000000"/>
                <w:sz w:val="20"/>
                <w:szCs w:val="20"/>
                <w:lang w:eastAsia="it-IT"/>
              </w:rPr>
            </w:pPr>
            <w:r w:rsidRPr="00C2587D">
              <w:rPr>
                <w:rFonts w:cs="Arial"/>
                <w:color w:val="000000"/>
                <w:sz w:val="20"/>
                <w:szCs w:val="20"/>
                <w:lang w:eastAsia="it-IT"/>
              </w:rPr>
              <w:t>11 825,9</w:t>
            </w:r>
          </w:p>
        </w:tc>
        <w:tc>
          <w:tcPr>
            <w:tcW w:w="1106" w:type="dxa"/>
            <w:shd w:val="clear" w:color="auto" w:fill="auto"/>
            <w:vAlign w:val="center"/>
          </w:tcPr>
          <w:p w14:paraId="44DA0E5C" w14:textId="1FD15C65" w:rsidR="00F214A4" w:rsidRPr="00C2587D" w:rsidRDefault="00F214A4" w:rsidP="00F214A4">
            <w:pPr>
              <w:jc w:val="center"/>
              <w:rPr>
                <w:rFonts w:cs="Arial"/>
                <w:color w:val="000000"/>
                <w:sz w:val="20"/>
                <w:szCs w:val="20"/>
                <w:lang w:eastAsia="it-IT"/>
              </w:rPr>
            </w:pPr>
          </w:p>
        </w:tc>
        <w:tc>
          <w:tcPr>
            <w:tcW w:w="736" w:type="dxa"/>
            <w:shd w:val="clear" w:color="auto" w:fill="FFFFFF"/>
            <w:vAlign w:val="center"/>
          </w:tcPr>
          <w:p w14:paraId="7C65B7AF" w14:textId="38B200B1" w:rsidR="00F214A4" w:rsidRPr="00C2587D" w:rsidRDefault="00F214A4" w:rsidP="00F214A4">
            <w:pPr>
              <w:jc w:val="center"/>
              <w:rPr>
                <w:rFonts w:cs="Arial"/>
                <w:color w:val="000000"/>
                <w:sz w:val="20"/>
                <w:szCs w:val="20"/>
                <w:lang w:eastAsia="it-IT"/>
              </w:rPr>
            </w:pPr>
          </w:p>
        </w:tc>
        <w:tc>
          <w:tcPr>
            <w:tcW w:w="1273" w:type="dxa"/>
            <w:shd w:val="clear" w:color="auto" w:fill="FFFFFF"/>
            <w:vAlign w:val="center"/>
          </w:tcPr>
          <w:p w14:paraId="6544B3BA" w14:textId="2AB8BE60" w:rsidR="00F214A4" w:rsidRPr="00C2587D" w:rsidRDefault="00F214A4" w:rsidP="00F214A4">
            <w:pPr>
              <w:jc w:val="center"/>
              <w:rPr>
                <w:rFonts w:cs="Arial"/>
                <w:color w:val="000000"/>
                <w:sz w:val="20"/>
                <w:szCs w:val="20"/>
                <w:lang w:eastAsia="it-IT"/>
              </w:rPr>
            </w:pPr>
            <w:r w:rsidRPr="00C2587D">
              <w:rPr>
                <w:rFonts w:cs="Arial"/>
                <w:b/>
                <w:color w:val="000000"/>
                <w:sz w:val="20"/>
                <w:szCs w:val="20"/>
                <w:lang w:eastAsia="it-IT"/>
              </w:rPr>
              <w:t>11 825,9</w:t>
            </w:r>
          </w:p>
        </w:tc>
      </w:tr>
      <w:tr w:rsidR="00F214A4" w:rsidRPr="00C2587D" w14:paraId="372858EF" w14:textId="77777777" w:rsidTr="006478C2">
        <w:trPr>
          <w:jc w:val="center"/>
        </w:trPr>
        <w:tc>
          <w:tcPr>
            <w:tcW w:w="562" w:type="dxa"/>
            <w:shd w:val="clear" w:color="auto" w:fill="auto"/>
            <w:noWrap/>
            <w:vAlign w:val="center"/>
          </w:tcPr>
          <w:p w14:paraId="4DDF7D85" w14:textId="5BE3E953" w:rsidR="00F214A4" w:rsidRPr="00C2587D" w:rsidRDefault="00B26629" w:rsidP="006478C2">
            <w:pPr>
              <w:rPr>
                <w:rFonts w:cs="Arial"/>
                <w:color w:val="000000"/>
                <w:sz w:val="20"/>
                <w:szCs w:val="20"/>
                <w:lang w:eastAsia="uk-UA"/>
              </w:rPr>
            </w:pPr>
            <w:r w:rsidRPr="00C2587D">
              <w:rPr>
                <w:rFonts w:cs="Arial"/>
                <w:color w:val="000000"/>
                <w:sz w:val="20"/>
                <w:szCs w:val="20"/>
                <w:lang w:eastAsia="uk-UA"/>
              </w:rPr>
              <w:t>7</w:t>
            </w:r>
            <w:r w:rsidR="00F214A4" w:rsidRPr="00C2587D">
              <w:rPr>
                <w:rFonts w:cs="Arial"/>
                <w:color w:val="000000"/>
                <w:sz w:val="20"/>
                <w:szCs w:val="20"/>
                <w:lang w:eastAsia="uk-UA"/>
              </w:rPr>
              <w:t>.</w:t>
            </w:r>
          </w:p>
        </w:tc>
        <w:tc>
          <w:tcPr>
            <w:tcW w:w="4395" w:type="dxa"/>
            <w:shd w:val="clear" w:color="auto" w:fill="auto"/>
            <w:vAlign w:val="center"/>
          </w:tcPr>
          <w:p w14:paraId="11DF428B" w14:textId="589EF7E0" w:rsidR="00F214A4" w:rsidRPr="00C2587D" w:rsidRDefault="00F214A4" w:rsidP="00F214A4">
            <w:pPr>
              <w:pBdr>
                <w:left w:val="single" w:sz="18" w:space="4" w:color="auto"/>
              </w:pBdr>
              <w:spacing w:before="40" w:after="40"/>
              <w:jc w:val="both"/>
              <w:rPr>
                <w:rFonts w:cs="Arial"/>
                <w:bCs/>
                <w:sz w:val="20"/>
                <w:szCs w:val="20"/>
                <w:lang w:eastAsia="it-IT"/>
              </w:rPr>
            </w:pPr>
            <w:r w:rsidRPr="00C2587D">
              <w:rPr>
                <w:rFonts w:cs="Arial"/>
                <w:bCs/>
                <w:sz w:val="20"/>
                <w:szCs w:val="20"/>
                <w:lang w:eastAsia="it-IT"/>
              </w:rPr>
              <w:t>Придбання цифрового флюорографічного комплексу</w:t>
            </w:r>
          </w:p>
        </w:tc>
        <w:tc>
          <w:tcPr>
            <w:tcW w:w="1162" w:type="dxa"/>
            <w:shd w:val="clear" w:color="auto" w:fill="auto"/>
            <w:vAlign w:val="center"/>
          </w:tcPr>
          <w:p w14:paraId="3D087F33" w14:textId="23A8318C" w:rsidR="00F214A4" w:rsidRPr="00C2587D" w:rsidRDefault="00F214A4" w:rsidP="00F214A4">
            <w:pPr>
              <w:jc w:val="center"/>
              <w:rPr>
                <w:rFonts w:cs="Arial"/>
                <w:color w:val="000000"/>
                <w:sz w:val="20"/>
                <w:szCs w:val="20"/>
                <w:lang w:eastAsia="it-IT"/>
              </w:rPr>
            </w:pPr>
          </w:p>
        </w:tc>
        <w:tc>
          <w:tcPr>
            <w:tcW w:w="1106" w:type="dxa"/>
            <w:shd w:val="clear" w:color="auto" w:fill="auto"/>
            <w:vAlign w:val="center"/>
          </w:tcPr>
          <w:p w14:paraId="0A04A3EB" w14:textId="3FB87D35" w:rsidR="00F214A4" w:rsidRPr="00C2587D" w:rsidRDefault="00F214A4" w:rsidP="00F214A4">
            <w:pPr>
              <w:jc w:val="center"/>
              <w:rPr>
                <w:rFonts w:cs="Arial"/>
                <w:color w:val="000000"/>
                <w:sz w:val="20"/>
                <w:szCs w:val="20"/>
                <w:lang w:eastAsia="it-IT"/>
              </w:rPr>
            </w:pPr>
          </w:p>
        </w:tc>
        <w:tc>
          <w:tcPr>
            <w:tcW w:w="1106" w:type="dxa"/>
            <w:shd w:val="clear" w:color="auto" w:fill="auto"/>
            <w:vAlign w:val="center"/>
          </w:tcPr>
          <w:p w14:paraId="6F11206C" w14:textId="0C6C3621" w:rsidR="00F214A4" w:rsidRPr="00C2587D" w:rsidRDefault="00F214A4" w:rsidP="00F214A4">
            <w:pPr>
              <w:jc w:val="center"/>
              <w:rPr>
                <w:rFonts w:cs="Arial"/>
                <w:color w:val="000000"/>
                <w:sz w:val="20"/>
                <w:szCs w:val="20"/>
                <w:lang w:eastAsia="it-IT"/>
              </w:rPr>
            </w:pPr>
            <w:r w:rsidRPr="00C2587D">
              <w:rPr>
                <w:rFonts w:cs="Arial"/>
                <w:color w:val="000000"/>
                <w:sz w:val="20"/>
                <w:szCs w:val="20"/>
                <w:lang w:eastAsia="it-IT"/>
              </w:rPr>
              <w:t>3 900,0</w:t>
            </w:r>
          </w:p>
        </w:tc>
        <w:tc>
          <w:tcPr>
            <w:tcW w:w="736" w:type="dxa"/>
            <w:shd w:val="clear" w:color="auto" w:fill="FFFFFF"/>
            <w:vAlign w:val="center"/>
          </w:tcPr>
          <w:p w14:paraId="7F15B5F5" w14:textId="6D4B5502" w:rsidR="00F214A4" w:rsidRPr="00C2587D" w:rsidRDefault="00F214A4" w:rsidP="00F214A4">
            <w:pPr>
              <w:jc w:val="center"/>
              <w:rPr>
                <w:rFonts w:cs="Arial"/>
                <w:color w:val="000000"/>
                <w:sz w:val="20"/>
                <w:szCs w:val="20"/>
                <w:lang w:eastAsia="it-IT"/>
              </w:rPr>
            </w:pPr>
          </w:p>
        </w:tc>
        <w:tc>
          <w:tcPr>
            <w:tcW w:w="1273" w:type="dxa"/>
            <w:shd w:val="clear" w:color="auto" w:fill="FFFFFF"/>
            <w:vAlign w:val="center"/>
          </w:tcPr>
          <w:p w14:paraId="7EF27967" w14:textId="2E654DE1" w:rsidR="00F214A4" w:rsidRPr="00C2587D" w:rsidRDefault="00F214A4" w:rsidP="00F214A4">
            <w:pPr>
              <w:jc w:val="center"/>
              <w:rPr>
                <w:rFonts w:cs="Arial"/>
                <w:color w:val="000000"/>
                <w:sz w:val="20"/>
                <w:szCs w:val="20"/>
                <w:lang w:eastAsia="it-IT"/>
              </w:rPr>
            </w:pPr>
            <w:r w:rsidRPr="00C2587D">
              <w:rPr>
                <w:rFonts w:cs="Arial"/>
                <w:b/>
                <w:color w:val="000000"/>
                <w:sz w:val="20"/>
                <w:szCs w:val="20"/>
                <w:lang w:eastAsia="it-IT"/>
              </w:rPr>
              <w:t>3 900,0</w:t>
            </w:r>
          </w:p>
        </w:tc>
      </w:tr>
      <w:tr w:rsidR="00F214A4" w:rsidRPr="00C2587D" w14:paraId="68B3B040" w14:textId="77777777" w:rsidTr="006478C2">
        <w:trPr>
          <w:jc w:val="center"/>
        </w:trPr>
        <w:tc>
          <w:tcPr>
            <w:tcW w:w="562" w:type="dxa"/>
            <w:shd w:val="clear" w:color="auto" w:fill="auto"/>
            <w:noWrap/>
            <w:vAlign w:val="center"/>
          </w:tcPr>
          <w:p w14:paraId="21E88DAF" w14:textId="76C75A11" w:rsidR="00F214A4" w:rsidRPr="00C2587D" w:rsidRDefault="00B26629" w:rsidP="006478C2">
            <w:pPr>
              <w:rPr>
                <w:rFonts w:cs="Arial"/>
                <w:color w:val="000000"/>
                <w:sz w:val="20"/>
                <w:szCs w:val="20"/>
                <w:lang w:eastAsia="uk-UA"/>
              </w:rPr>
            </w:pPr>
            <w:r w:rsidRPr="00C2587D">
              <w:rPr>
                <w:rFonts w:cs="Arial"/>
                <w:color w:val="000000"/>
                <w:sz w:val="20"/>
                <w:szCs w:val="20"/>
                <w:lang w:eastAsia="uk-UA"/>
              </w:rPr>
              <w:t>8</w:t>
            </w:r>
            <w:r w:rsidR="00F214A4" w:rsidRPr="00C2587D">
              <w:rPr>
                <w:rFonts w:cs="Arial"/>
                <w:color w:val="000000"/>
                <w:sz w:val="20"/>
                <w:szCs w:val="20"/>
                <w:lang w:eastAsia="uk-UA"/>
              </w:rPr>
              <w:t>.</w:t>
            </w:r>
          </w:p>
        </w:tc>
        <w:tc>
          <w:tcPr>
            <w:tcW w:w="4395" w:type="dxa"/>
            <w:shd w:val="clear" w:color="auto" w:fill="auto"/>
            <w:vAlign w:val="center"/>
          </w:tcPr>
          <w:p w14:paraId="719049A3" w14:textId="5F942F1E" w:rsidR="00F214A4" w:rsidRPr="00C2587D" w:rsidRDefault="00F214A4" w:rsidP="00F214A4">
            <w:pPr>
              <w:pBdr>
                <w:left w:val="single" w:sz="18" w:space="4" w:color="auto"/>
              </w:pBdr>
              <w:spacing w:before="40" w:after="40"/>
              <w:jc w:val="both"/>
              <w:rPr>
                <w:rFonts w:cs="Arial"/>
                <w:bCs/>
                <w:sz w:val="20"/>
                <w:szCs w:val="20"/>
                <w:lang w:eastAsia="it-IT"/>
              </w:rPr>
            </w:pPr>
            <w:r w:rsidRPr="00C2587D">
              <w:rPr>
                <w:rFonts w:cs="Arial"/>
                <w:bCs/>
                <w:sz w:val="20"/>
                <w:szCs w:val="20"/>
                <w:lang w:eastAsia="it-IT"/>
              </w:rPr>
              <w:t>Придбання автомобіля швидкої медичної допомоги</w:t>
            </w:r>
          </w:p>
        </w:tc>
        <w:tc>
          <w:tcPr>
            <w:tcW w:w="1162" w:type="dxa"/>
            <w:shd w:val="clear" w:color="auto" w:fill="auto"/>
            <w:vAlign w:val="center"/>
          </w:tcPr>
          <w:p w14:paraId="4765F4F7" w14:textId="294A1957" w:rsidR="00F214A4" w:rsidRPr="00C2587D" w:rsidRDefault="00F214A4" w:rsidP="00F214A4">
            <w:pPr>
              <w:jc w:val="center"/>
              <w:rPr>
                <w:rFonts w:cs="Arial"/>
                <w:color w:val="000000"/>
                <w:sz w:val="20"/>
                <w:szCs w:val="20"/>
                <w:lang w:eastAsia="it-IT"/>
              </w:rPr>
            </w:pPr>
          </w:p>
        </w:tc>
        <w:tc>
          <w:tcPr>
            <w:tcW w:w="1106" w:type="dxa"/>
            <w:shd w:val="clear" w:color="auto" w:fill="auto"/>
            <w:vAlign w:val="center"/>
          </w:tcPr>
          <w:p w14:paraId="2D738039" w14:textId="4910EC67" w:rsidR="00F214A4" w:rsidRPr="00C2587D" w:rsidRDefault="00F214A4" w:rsidP="00F214A4">
            <w:pPr>
              <w:jc w:val="center"/>
              <w:rPr>
                <w:rFonts w:cs="Arial"/>
                <w:color w:val="000000"/>
                <w:sz w:val="20"/>
                <w:szCs w:val="20"/>
                <w:lang w:eastAsia="it-IT"/>
              </w:rPr>
            </w:pPr>
          </w:p>
        </w:tc>
        <w:tc>
          <w:tcPr>
            <w:tcW w:w="1106" w:type="dxa"/>
            <w:shd w:val="clear" w:color="auto" w:fill="auto"/>
            <w:vAlign w:val="center"/>
          </w:tcPr>
          <w:p w14:paraId="430AD20A" w14:textId="573FE3BF" w:rsidR="00F214A4" w:rsidRPr="00C2587D" w:rsidRDefault="00F214A4" w:rsidP="00F214A4">
            <w:pPr>
              <w:jc w:val="center"/>
              <w:rPr>
                <w:rFonts w:cs="Arial"/>
                <w:color w:val="000000"/>
                <w:sz w:val="20"/>
                <w:szCs w:val="20"/>
                <w:lang w:eastAsia="it-IT"/>
              </w:rPr>
            </w:pPr>
          </w:p>
        </w:tc>
        <w:tc>
          <w:tcPr>
            <w:tcW w:w="736" w:type="dxa"/>
            <w:shd w:val="clear" w:color="auto" w:fill="FFFFFF"/>
            <w:vAlign w:val="center"/>
          </w:tcPr>
          <w:p w14:paraId="1128A07A" w14:textId="7F698BEC" w:rsidR="00F214A4" w:rsidRPr="00C2587D" w:rsidRDefault="00F214A4" w:rsidP="00F214A4">
            <w:pPr>
              <w:jc w:val="center"/>
              <w:rPr>
                <w:rFonts w:cs="Arial"/>
                <w:color w:val="000000"/>
                <w:sz w:val="20"/>
                <w:szCs w:val="20"/>
                <w:lang w:eastAsia="it-IT"/>
              </w:rPr>
            </w:pPr>
            <w:r w:rsidRPr="00C2587D">
              <w:rPr>
                <w:rFonts w:cs="Arial"/>
                <w:color w:val="000000"/>
                <w:sz w:val="20"/>
                <w:szCs w:val="20"/>
                <w:lang w:eastAsia="it-IT"/>
              </w:rPr>
              <w:t>3 280,0</w:t>
            </w:r>
          </w:p>
        </w:tc>
        <w:tc>
          <w:tcPr>
            <w:tcW w:w="1273" w:type="dxa"/>
            <w:shd w:val="clear" w:color="auto" w:fill="FFFFFF"/>
            <w:vAlign w:val="center"/>
          </w:tcPr>
          <w:p w14:paraId="5EA12FCD" w14:textId="0F29DF1D" w:rsidR="00F214A4" w:rsidRPr="00C2587D" w:rsidRDefault="00F214A4" w:rsidP="00F214A4">
            <w:pPr>
              <w:jc w:val="center"/>
              <w:rPr>
                <w:rFonts w:cs="Arial"/>
                <w:color w:val="000000"/>
                <w:sz w:val="20"/>
                <w:szCs w:val="20"/>
                <w:lang w:eastAsia="it-IT"/>
              </w:rPr>
            </w:pPr>
            <w:r w:rsidRPr="00C2587D">
              <w:rPr>
                <w:rFonts w:cs="Arial"/>
                <w:b/>
                <w:color w:val="000000"/>
                <w:sz w:val="20"/>
                <w:szCs w:val="20"/>
                <w:lang w:eastAsia="it-IT"/>
              </w:rPr>
              <w:t>3 280,0</w:t>
            </w:r>
          </w:p>
        </w:tc>
      </w:tr>
      <w:tr w:rsidR="00F214A4" w:rsidRPr="00C2587D" w14:paraId="521ACCBD" w14:textId="77777777" w:rsidTr="006478C2">
        <w:trPr>
          <w:trHeight w:val="449"/>
          <w:jc w:val="center"/>
        </w:trPr>
        <w:tc>
          <w:tcPr>
            <w:tcW w:w="562" w:type="dxa"/>
            <w:shd w:val="clear" w:color="auto" w:fill="auto"/>
            <w:noWrap/>
            <w:vAlign w:val="center"/>
          </w:tcPr>
          <w:p w14:paraId="507D6CDA" w14:textId="5580B566" w:rsidR="00F214A4" w:rsidRPr="00C2587D" w:rsidRDefault="00B26629" w:rsidP="006478C2">
            <w:pPr>
              <w:rPr>
                <w:rFonts w:cs="Arial"/>
                <w:color w:val="000000"/>
                <w:sz w:val="20"/>
                <w:szCs w:val="20"/>
                <w:lang w:eastAsia="uk-UA"/>
              </w:rPr>
            </w:pPr>
            <w:r w:rsidRPr="00C2587D">
              <w:rPr>
                <w:rFonts w:cs="Arial"/>
                <w:color w:val="000000"/>
                <w:sz w:val="20"/>
                <w:szCs w:val="20"/>
                <w:lang w:eastAsia="uk-UA"/>
              </w:rPr>
              <w:t>9</w:t>
            </w:r>
            <w:r w:rsidR="00F214A4" w:rsidRPr="00C2587D">
              <w:rPr>
                <w:rFonts w:cs="Arial"/>
                <w:color w:val="000000"/>
                <w:sz w:val="20"/>
                <w:szCs w:val="20"/>
                <w:lang w:eastAsia="uk-UA"/>
              </w:rPr>
              <w:t>.</w:t>
            </w:r>
          </w:p>
        </w:tc>
        <w:tc>
          <w:tcPr>
            <w:tcW w:w="4395" w:type="dxa"/>
            <w:shd w:val="clear" w:color="auto" w:fill="auto"/>
            <w:vAlign w:val="center"/>
          </w:tcPr>
          <w:p w14:paraId="76C5CCB8" w14:textId="7A8E5B07" w:rsidR="00F214A4" w:rsidRPr="00C2587D" w:rsidRDefault="00F214A4" w:rsidP="00F214A4">
            <w:pPr>
              <w:spacing w:before="40" w:after="40"/>
              <w:rPr>
                <w:rFonts w:cs="Arial"/>
                <w:bCs/>
                <w:sz w:val="20"/>
                <w:szCs w:val="20"/>
                <w:lang w:eastAsia="it-IT"/>
              </w:rPr>
            </w:pPr>
            <w:r w:rsidRPr="00C2587D">
              <w:rPr>
                <w:rFonts w:cs="Arial"/>
                <w:bCs/>
                <w:sz w:val="20"/>
                <w:szCs w:val="20"/>
                <w:lang w:eastAsia="it-IT"/>
              </w:rPr>
              <w:t>Капітальний ремонт приміщення поліклініки</w:t>
            </w:r>
          </w:p>
        </w:tc>
        <w:tc>
          <w:tcPr>
            <w:tcW w:w="1162" w:type="dxa"/>
            <w:shd w:val="clear" w:color="auto" w:fill="auto"/>
            <w:vAlign w:val="center"/>
          </w:tcPr>
          <w:p w14:paraId="1D4BB3C5" w14:textId="05565517" w:rsidR="00F214A4" w:rsidRPr="00C2587D" w:rsidRDefault="00F214A4" w:rsidP="00F214A4">
            <w:pPr>
              <w:jc w:val="center"/>
              <w:rPr>
                <w:rFonts w:cs="Arial"/>
                <w:color w:val="000000"/>
                <w:sz w:val="20"/>
                <w:szCs w:val="20"/>
                <w:lang w:eastAsia="it-IT"/>
              </w:rPr>
            </w:pPr>
          </w:p>
        </w:tc>
        <w:tc>
          <w:tcPr>
            <w:tcW w:w="1106" w:type="dxa"/>
            <w:shd w:val="clear" w:color="auto" w:fill="auto"/>
            <w:vAlign w:val="center"/>
          </w:tcPr>
          <w:p w14:paraId="7C3C4908" w14:textId="12A95609" w:rsidR="00F214A4" w:rsidRPr="00C2587D" w:rsidRDefault="00F214A4" w:rsidP="00F214A4">
            <w:pPr>
              <w:jc w:val="center"/>
              <w:rPr>
                <w:rFonts w:cs="Arial"/>
                <w:color w:val="000000"/>
                <w:sz w:val="20"/>
                <w:szCs w:val="20"/>
                <w:lang w:eastAsia="it-IT"/>
              </w:rPr>
            </w:pPr>
          </w:p>
        </w:tc>
        <w:tc>
          <w:tcPr>
            <w:tcW w:w="1106" w:type="dxa"/>
            <w:shd w:val="clear" w:color="auto" w:fill="auto"/>
            <w:vAlign w:val="center"/>
          </w:tcPr>
          <w:p w14:paraId="2FCAA826" w14:textId="19E412DF" w:rsidR="00F214A4" w:rsidRPr="00C2587D" w:rsidRDefault="00F214A4" w:rsidP="00F214A4">
            <w:pPr>
              <w:jc w:val="center"/>
              <w:rPr>
                <w:rFonts w:cs="Arial"/>
                <w:color w:val="000000"/>
                <w:sz w:val="20"/>
                <w:szCs w:val="20"/>
                <w:lang w:eastAsia="it-IT"/>
              </w:rPr>
            </w:pPr>
            <w:r w:rsidRPr="00C2587D">
              <w:rPr>
                <w:rFonts w:cs="Arial"/>
                <w:color w:val="000000"/>
                <w:sz w:val="20"/>
                <w:szCs w:val="20"/>
                <w:lang w:eastAsia="it-IT"/>
              </w:rPr>
              <w:t>10 000,0</w:t>
            </w:r>
          </w:p>
        </w:tc>
        <w:tc>
          <w:tcPr>
            <w:tcW w:w="736" w:type="dxa"/>
            <w:shd w:val="clear" w:color="auto" w:fill="FFFFFF"/>
            <w:vAlign w:val="center"/>
          </w:tcPr>
          <w:p w14:paraId="0CA1978B" w14:textId="7D01B3C8" w:rsidR="00F214A4" w:rsidRPr="00C2587D" w:rsidRDefault="00F214A4" w:rsidP="00F214A4">
            <w:pPr>
              <w:jc w:val="center"/>
              <w:rPr>
                <w:rFonts w:cs="Arial"/>
                <w:color w:val="000000"/>
                <w:sz w:val="20"/>
                <w:szCs w:val="20"/>
                <w:lang w:eastAsia="it-IT"/>
              </w:rPr>
            </w:pPr>
            <w:r w:rsidRPr="00C2587D">
              <w:rPr>
                <w:rFonts w:cs="Arial"/>
                <w:color w:val="000000"/>
                <w:sz w:val="20"/>
                <w:szCs w:val="20"/>
                <w:lang w:eastAsia="it-IT"/>
              </w:rPr>
              <w:t>10 000,0</w:t>
            </w:r>
          </w:p>
        </w:tc>
        <w:tc>
          <w:tcPr>
            <w:tcW w:w="1273" w:type="dxa"/>
            <w:shd w:val="clear" w:color="auto" w:fill="FFFFFF"/>
            <w:vAlign w:val="center"/>
          </w:tcPr>
          <w:p w14:paraId="2E3F6BE4" w14:textId="06A2560D" w:rsidR="00F214A4" w:rsidRPr="00C2587D" w:rsidRDefault="00F214A4" w:rsidP="00F214A4">
            <w:pPr>
              <w:jc w:val="center"/>
              <w:rPr>
                <w:rFonts w:cs="Arial"/>
                <w:color w:val="000000"/>
                <w:sz w:val="20"/>
                <w:szCs w:val="20"/>
                <w:lang w:eastAsia="it-IT"/>
              </w:rPr>
            </w:pPr>
            <w:r w:rsidRPr="00C2587D">
              <w:rPr>
                <w:rFonts w:cs="Arial"/>
                <w:b/>
                <w:color w:val="000000"/>
                <w:sz w:val="20"/>
                <w:szCs w:val="20"/>
                <w:lang w:eastAsia="it-IT"/>
              </w:rPr>
              <w:t>20 000,0</w:t>
            </w:r>
          </w:p>
        </w:tc>
      </w:tr>
      <w:tr w:rsidR="00342AFB" w:rsidRPr="00C2587D" w14:paraId="203A2303" w14:textId="77777777" w:rsidTr="006478C2">
        <w:trPr>
          <w:trHeight w:val="390"/>
          <w:jc w:val="center"/>
        </w:trPr>
        <w:tc>
          <w:tcPr>
            <w:tcW w:w="562" w:type="dxa"/>
            <w:shd w:val="clear" w:color="auto" w:fill="auto"/>
            <w:noWrap/>
            <w:vAlign w:val="center"/>
            <w:hideMark/>
          </w:tcPr>
          <w:p w14:paraId="65412B9E" w14:textId="77777777" w:rsidR="00342AFB" w:rsidRPr="00C2587D" w:rsidRDefault="00342AFB" w:rsidP="006478C2">
            <w:pPr>
              <w:rPr>
                <w:rFonts w:cs="Arial"/>
                <w:b/>
                <w:bCs/>
                <w:color w:val="000000"/>
                <w:sz w:val="20"/>
                <w:szCs w:val="20"/>
                <w:lang w:eastAsia="uk-UA"/>
              </w:rPr>
            </w:pPr>
            <w:r w:rsidRPr="00C2587D">
              <w:rPr>
                <w:rFonts w:cs="Arial"/>
                <w:b/>
                <w:bCs/>
                <w:color w:val="000000"/>
                <w:sz w:val="20"/>
                <w:szCs w:val="20"/>
                <w:lang w:eastAsia="uk-UA"/>
              </w:rPr>
              <w:t> </w:t>
            </w:r>
          </w:p>
        </w:tc>
        <w:tc>
          <w:tcPr>
            <w:tcW w:w="4395" w:type="dxa"/>
            <w:shd w:val="clear" w:color="auto" w:fill="auto"/>
            <w:noWrap/>
            <w:vAlign w:val="center"/>
            <w:hideMark/>
          </w:tcPr>
          <w:p w14:paraId="10333826" w14:textId="77777777" w:rsidR="00342AFB" w:rsidRPr="00682193" w:rsidRDefault="00342AFB" w:rsidP="00342AFB">
            <w:pPr>
              <w:rPr>
                <w:rFonts w:cs="Arial"/>
                <w:b/>
                <w:bCs/>
                <w:sz w:val="20"/>
                <w:szCs w:val="20"/>
                <w:lang w:eastAsia="uk-UA"/>
              </w:rPr>
            </w:pPr>
            <w:r w:rsidRPr="00682193">
              <w:rPr>
                <w:rFonts w:cs="Arial"/>
                <w:b/>
                <w:bCs/>
                <w:sz w:val="20"/>
                <w:szCs w:val="20"/>
                <w:lang w:eastAsia="uk-UA"/>
              </w:rPr>
              <w:t xml:space="preserve">Всього по С.2. </w:t>
            </w:r>
            <w:r w:rsidRPr="00682193">
              <w:rPr>
                <w:rFonts w:cs="Arial"/>
                <w:b/>
                <w:bCs/>
                <w:iCs/>
                <w:sz w:val="20"/>
                <w:szCs w:val="20"/>
                <w:lang w:eastAsia="uk-UA"/>
              </w:rPr>
              <w:t>Забезпечення доступу  до якісної системи охорони здоров’я та популяризація  здорового способу життя </w:t>
            </w:r>
          </w:p>
        </w:tc>
        <w:tc>
          <w:tcPr>
            <w:tcW w:w="1162" w:type="dxa"/>
            <w:shd w:val="clear" w:color="auto" w:fill="auto"/>
            <w:noWrap/>
            <w:vAlign w:val="center"/>
          </w:tcPr>
          <w:p w14:paraId="17FDC4ED" w14:textId="6FFF4EA3" w:rsidR="00342AFB" w:rsidRPr="00C2587D" w:rsidRDefault="00342AFB" w:rsidP="00924056">
            <w:pPr>
              <w:jc w:val="center"/>
              <w:rPr>
                <w:rFonts w:cs="Arial"/>
                <w:b/>
                <w:bCs/>
                <w:sz w:val="20"/>
                <w:szCs w:val="20"/>
                <w:lang w:eastAsia="uk-UA"/>
              </w:rPr>
            </w:pPr>
            <w:r w:rsidRPr="00C2587D">
              <w:rPr>
                <w:rFonts w:ascii="Calibri" w:hAnsi="Calibri" w:cs="Calibri"/>
                <w:b/>
                <w:color w:val="000000"/>
                <w:szCs w:val="22"/>
              </w:rPr>
              <w:t>16808,9</w:t>
            </w:r>
          </w:p>
        </w:tc>
        <w:tc>
          <w:tcPr>
            <w:tcW w:w="1106" w:type="dxa"/>
            <w:shd w:val="clear" w:color="auto" w:fill="auto"/>
            <w:noWrap/>
            <w:vAlign w:val="center"/>
          </w:tcPr>
          <w:p w14:paraId="7D7877A2" w14:textId="3078B8EE" w:rsidR="00342AFB" w:rsidRPr="00C2587D" w:rsidRDefault="00342AFB" w:rsidP="00924056">
            <w:pPr>
              <w:jc w:val="center"/>
              <w:rPr>
                <w:rFonts w:cs="Arial"/>
                <w:b/>
                <w:bCs/>
                <w:sz w:val="20"/>
                <w:szCs w:val="20"/>
                <w:lang w:eastAsia="uk-UA"/>
              </w:rPr>
            </w:pPr>
            <w:r w:rsidRPr="00C2587D">
              <w:rPr>
                <w:rFonts w:ascii="Calibri" w:hAnsi="Calibri" w:cs="Calibri"/>
                <w:b/>
                <w:color w:val="000000"/>
                <w:szCs w:val="22"/>
              </w:rPr>
              <w:t>22 808,10</w:t>
            </w:r>
          </w:p>
        </w:tc>
        <w:tc>
          <w:tcPr>
            <w:tcW w:w="1106" w:type="dxa"/>
            <w:shd w:val="clear" w:color="auto" w:fill="auto"/>
            <w:noWrap/>
            <w:vAlign w:val="center"/>
          </w:tcPr>
          <w:p w14:paraId="11928342" w14:textId="225B43BA" w:rsidR="00342AFB" w:rsidRPr="00C2587D" w:rsidRDefault="00342AFB" w:rsidP="00924056">
            <w:pPr>
              <w:jc w:val="center"/>
              <w:rPr>
                <w:rFonts w:cs="Arial"/>
                <w:b/>
                <w:bCs/>
                <w:sz w:val="20"/>
                <w:szCs w:val="20"/>
                <w:lang w:eastAsia="uk-UA"/>
              </w:rPr>
            </w:pPr>
            <w:r w:rsidRPr="00C2587D">
              <w:rPr>
                <w:rFonts w:ascii="Calibri" w:hAnsi="Calibri" w:cs="Calibri"/>
                <w:b/>
                <w:color w:val="000000"/>
                <w:szCs w:val="22"/>
              </w:rPr>
              <w:t>14028,3</w:t>
            </w:r>
          </w:p>
        </w:tc>
        <w:tc>
          <w:tcPr>
            <w:tcW w:w="736" w:type="dxa"/>
            <w:shd w:val="clear" w:color="auto" w:fill="auto"/>
            <w:noWrap/>
            <w:vAlign w:val="center"/>
          </w:tcPr>
          <w:p w14:paraId="3CC222C4" w14:textId="2241F211" w:rsidR="00342AFB" w:rsidRPr="00C2587D" w:rsidRDefault="00342AFB" w:rsidP="00924056">
            <w:pPr>
              <w:jc w:val="center"/>
              <w:rPr>
                <w:rFonts w:cs="Arial"/>
                <w:b/>
                <w:bCs/>
                <w:sz w:val="20"/>
                <w:szCs w:val="20"/>
                <w:lang w:eastAsia="uk-UA"/>
              </w:rPr>
            </w:pPr>
            <w:r w:rsidRPr="00C2587D">
              <w:rPr>
                <w:rFonts w:ascii="Calibri" w:hAnsi="Calibri" w:cs="Calibri"/>
                <w:b/>
                <w:color w:val="000000"/>
                <w:szCs w:val="22"/>
              </w:rPr>
              <w:t>24491,7</w:t>
            </w:r>
          </w:p>
        </w:tc>
        <w:tc>
          <w:tcPr>
            <w:tcW w:w="1273" w:type="dxa"/>
            <w:shd w:val="clear" w:color="auto" w:fill="auto"/>
            <w:vAlign w:val="center"/>
          </w:tcPr>
          <w:p w14:paraId="7EBC7DFC" w14:textId="1F9C42D9" w:rsidR="00342AFB" w:rsidRPr="00C2587D" w:rsidRDefault="00342AFB" w:rsidP="00924056">
            <w:pPr>
              <w:jc w:val="center"/>
              <w:rPr>
                <w:rFonts w:cs="Arial"/>
                <w:b/>
                <w:bCs/>
                <w:sz w:val="20"/>
                <w:szCs w:val="20"/>
                <w:lang w:eastAsia="uk-UA"/>
              </w:rPr>
            </w:pPr>
            <w:r w:rsidRPr="00C2587D">
              <w:rPr>
                <w:rFonts w:ascii="Calibri" w:hAnsi="Calibri" w:cs="Calibri"/>
                <w:b/>
                <w:color w:val="000000"/>
                <w:szCs w:val="22"/>
              </w:rPr>
              <w:t>78 137,0</w:t>
            </w:r>
          </w:p>
        </w:tc>
      </w:tr>
      <w:tr w:rsidR="00B953FE" w:rsidRPr="00987B8D" w14:paraId="3A0C89B5" w14:textId="77777777" w:rsidTr="004B3BEE">
        <w:trPr>
          <w:trHeight w:val="610"/>
          <w:jc w:val="center"/>
        </w:trPr>
        <w:tc>
          <w:tcPr>
            <w:tcW w:w="10347" w:type="dxa"/>
            <w:gridSpan w:val="7"/>
            <w:shd w:val="clear" w:color="auto" w:fill="auto"/>
            <w:noWrap/>
            <w:vAlign w:val="center"/>
          </w:tcPr>
          <w:p w14:paraId="715DE44E" w14:textId="77777777" w:rsidR="00B953FE" w:rsidRPr="00682193" w:rsidRDefault="00B953FE" w:rsidP="00B953FE">
            <w:pPr>
              <w:rPr>
                <w:rFonts w:cs="Arial"/>
                <w:b/>
                <w:bCs/>
                <w:i/>
                <w:iCs/>
                <w:sz w:val="20"/>
                <w:szCs w:val="20"/>
                <w:lang w:eastAsia="uk-UA"/>
              </w:rPr>
            </w:pPr>
            <w:r w:rsidRPr="00682193">
              <w:rPr>
                <w:rFonts w:cs="Arial"/>
                <w:b/>
                <w:bCs/>
                <w:i/>
                <w:iCs/>
                <w:sz w:val="20"/>
                <w:szCs w:val="20"/>
                <w:lang w:eastAsia="uk-UA"/>
              </w:rPr>
              <w:t>Стратегічна ціль С.3. Забезпечення можливостей для активного відпочинку  та змістовного дозвілля мешканців громади</w:t>
            </w:r>
            <w:r w:rsidRPr="00682193">
              <w:rPr>
                <w:rFonts w:cs="Arial"/>
                <w:b/>
                <w:sz w:val="24"/>
                <w:lang w:eastAsia="uk-UA"/>
              </w:rPr>
              <w:t xml:space="preserve"> </w:t>
            </w:r>
            <w:r w:rsidRPr="00682193">
              <w:rPr>
                <w:rFonts w:cs="Arial"/>
                <w:b/>
                <w:bCs/>
                <w:i/>
                <w:iCs/>
                <w:sz w:val="20"/>
                <w:szCs w:val="20"/>
                <w:lang w:eastAsia="uk-UA"/>
              </w:rPr>
              <w:t>та популяризація здорового способу життя</w:t>
            </w:r>
          </w:p>
        </w:tc>
      </w:tr>
      <w:tr w:rsidR="00CE0431" w:rsidRPr="00C2587D" w14:paraId="61663694" w14:textId="77777777" w:rsidTr="006478C2">
        <w:trPr>
          <w:trHeight w:val="408"/>
          <w:jc w:val="center"/>
        </w:trPr>
        <w:tc>
          <w:tcPr>
            <w:tcW w:w="562" w:type="dxa"/>
            <w:shd w:val="clear" w:color="auto" w:fill="auto"/>
            <w:noWrap/>
            <w:vAlign w:val="center"/>
          </w:tcPr>
          <w:p w14:paraId="0E0BCAE2" w14:textId="77777777" w:rsidR="00CE0431" w:rsidRPr="00C2587D" w:rsidRDefault="00CE0431" w:rsidP="006478C2">
            <w:pPr>
              <w:rPr>
                <w:rFonts w:cs="Arial"/>
                <w:bCs/>
                <w:color w:val="000000"/>
                <w:sz w:val="20"/>
                <w:szCs w:val="20"/>
                <w:lang w:eastAsia="uk-UA"/>
              </w:rPr>
            </w:pPr>
            <w:r w:rsidRPr="00C2587D">
              <w:rPr>
                <w:rFonts w:cs="Arial"/>
                <w:bCs/>
                <w:color w:val="000000"/>
                <w:sz w:val="20"/>
                <w:szCs w:val="20"/>
                <w:lang w:eastAsia="uk-UA"/>
              </w:rPr>
              <w:t>1.</w:t>
            </w:r>
          </w:p>
        </w:tc>
        <w:tc>
          <w:tcPr>
            <w:tcW w:w="4395" w:type="dxa"/>
            <w:shd w:val="clear" w:color="auto" w:fill="auto"/>
            <w:noWrap/>
            <w:vAlign w:val="center"/>
          </w:tcPr>
          <w:p w14:paraId="757309AE" w14:textId="33AD269C" w:rsidR="00CE0431" w:rsidRPr="00C2587D" w:rsidRDefault="00CE0431" w:rsidP="006478C2">
            <w:pPr>
              <w:jc w:val="both"/>
              <w:rPr>
                <w:rFonts w:cs="Arial"/>
                <w:sz w:val="20"/>
                <w:szCs w:val="20"/>
              </w:rPr>
            </w:pPr>
            <w:r w:rsidRPr="00C2587D">
              <w:rPr>
                <w:rFonts w:cs="Arial"/>
                <w:sz w:val="20"/>
                <w:szCs w:val="20"/>
              </w:rPr>
              <w:t>«Сучасний клуб — сучасна громада»</w:t>
            </w:r>
          </w:p>
        </w:tc>
        <w:tc>
          <w:tcPr>
            <w:tcW w:w="1162" w:type="dxa"/>
            <w:noWrap/>
            <w:vAlign w:val="center"/>
          </w:tcPr>
          <w:p w14:paraId="59474049" w14:textId="2854D6F8" w:rsidR="00CE0431" w:rsidRPr="00C2587D" w:rsidRDefault="00CE0431" w:rsidP="00924056">
            <w:pPr>
              <w:jc w:val="center"/>
              <w:rPr>
                <w:rFonts w:cs="Arial"/>
                <w:sz w:val="20"/>
                <w:szCs w:val="20"/>
                <w:lang w:eastAsia="it-IT"/>
              </w:rPr>
            </w:pPr>
            <w:r w:rsidRPr="00C2587D">
              <w:rPr>
                <w:rFonts w:cs="Arial"/>
                <w:color w:val="000000"/>
                <w:sz w:val="20"/>
                <w:szCs w:val="20"/>
                <w:lang w:eastAsia="it-IT"/>
              </w:rPr>
              <w:t>40,0</w:t>
            </w:r>
          </w:p>
        </w:tc>
        <w:tc>
          <w:tcPr>
            <w:tcW w:w="1106" w:type="dxa"/>
            <w:shd w:val="clear" w:color="auto" w:fill="FFFFFF"/>
            <w:noWrap/>
            <w:vAlign w:val="center"/>
          </w:tcPr>
          <w:p w14:paraId="1D7A15E6" w14:textId="5C963FF5" w:rsidR="00CE0431" w:rsidRPr="00C2587D" w:rsidRDefault="00CE0431" w:rsidP="00924056">
            <w:pPr>
              <w:jc w:val="center"/>
              <w:rPr>
                <w:rFonts w:cs="Arial"/>
                <w:sz w:val="20"/>
                <w:szCs w:val="20"/>
                <w:lang w:eastAsia="it-IT"/>
              </w:rPr>
            </w:pPr>
            <w:r w:rsidRPr="00C2587D">
              <w:rPr>
                <w:rFonts w:cs="Arial"/>
                <w:color w:val="000000"/>
                <w:sz w:val="20"/>
                <w:szCs w:val="20"/>
                <w:lang w:eastAsia="it-IT"/>
              </w:rPr>
              <w:t>260,0</w:t>
            </w:r>
          </w:p>
        </w:tc>
        <w:tc>
          <w:tcPr>
            <w:tcW w:w="1106" w:type="dxa"/>
            <w:shd w:val="clear" w:color="auto" w:fill="auto"/>
            <w:noWrap/>
            <w:vAlign w:val="center"/>
          </w:tcPr>
          <w:p w14:paraId="6FA6E92D" w14:textId="76C11A5F" w:rsidR="00CE0431" w:rsidRPr="00C2587D" w:rsidRDefault="00CE0431" w:rsidP="00924056">
            <w:pPr>
              <w:jc w:val="center"/>
              <w:rPr>
                <w:rFonts w:cs="Arial"/>
                <w:sz w:val="20"/>
                <w:szCs w:val="20"/>
                <w:lang w:eastAsia="it-IT"/>
              </w:rPr>
            </w:pPr>
            <w:r w:rsidRPr="00C2587D">
              <w:rPr>
                <w:rFonts w:cs="Arial"/>
                <w:color w:val="000000"/>
                <w:sz w:val="20"/>
                <w:szCs w:val="20"/>
                <w:lang w:eastAsia="it-IT"/>
              </w:rPr>
              <w:t>40000,0</w:t>
            </w:r>
          </w:p>
        </w:tc>
        <w:tc>
          <w:tcPr>
            <w:tcW w:w="736" w:type="dxa"/>
            <w:shd w:val="clear" w:color="auto" w:fill="FFFFFF"/>
            <w:noWrap/>
            <w:vAlign w:val="center"/>
          </w:tcPr>
          <w:p w14:paraId="714C4E45" w14:textId="30E469C0" w:rsidR="00CE0431" w:rsidRPr="00C2587D" w:rsidRDefault="00CE0431" w:rsidP="00924056">
            <w:pPr>
              <w:jc w:val="center"/>
              <w:rPr>
                <w:rFonts w:cs="Arial"/>
                <w:sz w:val="20"/>
                <w:szCs w:val="20"/>
                <w:lang w:eastAsia="it-IT"/>
              </w:rPr>
            </w:pPr>
            <w:r w:rsidRPr="00C2587D">
              <w:rPr>
                <w:rFonts w:cs="Arial"/>
                <w:color w:val="000000"/>
                <w:sz w:val="20"/>
                <w:szCs w:val="20"/>
                <w:lang w:eastAsia="it-IT"/>
              </w:rPr>
              <w:t>1000,0</w:t>
            </w:r>
          </w:p>
        </w:tc>
        <w:tc>
          <w:tcPr>
            <w:tcW w:w="1273" w:type="dxa"/>
            <w:shd w:val="clear" w:color="auto" w:fill="FFFFFF"/>
            <w:vAlign w:val="center"/>
          </w:tcPr>
          <w:p w14:paraId="17638EB3" w14:textId="024D4B51" w:rsidR="00CE0431" w:rsidRPr="00C2587D" w:rsidRDefault="00CE0431" w:rsidP="00924056">
            <w:pPr>
              <w:jc w:val="center"/>
              <w:rPr>
                <w:rFonts w:cs="Arial"/>
                <w:b/>
                <w:sz w:val="20"/>
                <w:szCs w:val="20"/>
                <w:lang w:eastAsia="it-IT"/>
              </w:rPr>
            </w:pPr>
            <w:r w:rsidRPr="00C2587D">
              <w:rPr>
                <w:rFonts w:cs="Arial"/>
                <w:b/>
                <w:color w:val="000000"/>
                <w:lang w:eastAsia="it-IT"/>
              </w:rPr>
              <w:t>41300,0</w:t>
            </w:r>
          </w:p>
        </w:tc>
      </w:tr>
      <w:tr w:rsidR="00CE0431" w:rsidRPr="00C2587D" w14:paraId="4840DF63" w14:textId="77777777" w:rsidTr="006478C2">
        <w:trPr>
          <w:jc w:val="center"/>
        </w:trPr>
        <w:tc>
          <w:tcPr>
            <w:tcW w:w="562" w:type="dxa"/>
            <w:shd w:val="clear" w:color="auto" w:fill="auto"/>
            <w:noWrap/>
            <w:vAlign w:val="center"/>
          </w:tcPr>
          <w:p w14:paraId="1411347C" w14:textId="4E6BE936" w:rsidR="00CE0431" w:rsidRPr="00C2587D" w:rsidRDefault="00652A19" w:rsidP="006478C2">
            <w:pPr>
              <w:rPr>
                <w:rFonts w:cs="Arial"/>
                <w:bCs/>
                <w:color w:val="000000"/>
                <w:sz w:val="20"/>
                <w:szCs w:val="20"/>
                <w:lang w:eastAsia="uk-UA"/>
              </w:rPr>
            </w:pPr>
            <w:r w:rsidRPr="00C2587D">
              <w:rPr>
                <w:rFonts w:cs="Arial"/>
                <w:bCs/>
                <w:color w:val="000000"/>
                <w:sz w:val="20"/>
                <w:szCs w:val="20"/>
                <w:lang w:eastAsia="uk-UA"/>
              </w:rPr>
              <w:t>2.</w:t>
            </w:r>
          </w:p>
        </w:tc>
        <w:tc>
          <w:tcPr>
            <w:tcW w:w="4395" w:type="dxa"/>
            <w:shd w:val="clear" w:color="auto" w:fill="auto"/>
            <w:noWrap/>
            <w:vAlign w:val="center"/>
          </w:tcPr>
          <w:p w14:paraId="73173403" w14:textId="25A397AE" w:rsidR="00CE0431" w:rsidRPr="00C2587D" w:rsidRDefault="00CE0431" w:rsidP="006478C2">
            <w:pPr>
              <w:jc w:val="both"/>
              <w:rPr>
                <w:rFonts w:cs="Arial"/>
                <w:sz w:val="20"/>
                <w:szCs w:val="20"/>
              </w:rPr>
            </w:pPr>
            <w:r w:rsidRPr="00C2587D">
              <w:rPr>
                <w:rFonts w:cs="Arial"/>
                <w:sz w:val="20"/>
                <w:szCs w:val="20"/>
              </w:rPr>
              <w:t>«Модернізація Жмеринського міського історичного музею: спадщина у новому форматі»</w:t>
            </w:r>
          </w:p>
        </w:tc>
        <w:tc>
          <w:tcPr>
            <w:tcW w:w="1162" w:type="dxa"/>
            <w:noWrap/>
            <w:vAlign w:val="center"/>
          </w:tcPr>
          <w:p w14:paraId="5C33556B" w14:textId="0AA9B455" w:rsidR="00CE0431" w:rsidRPr="00C2587D" w:rsidRDefault="00CE0431" w:rsidP="00CE0431">
            <w:pPr>
              <w:jc w:val="center"/>
              <w:rPr>
                <w:rFonts w:cs="Arial"/>
                <w:color w:val="000000"/>
                <w:sz w:val="20"/>
                <w:szCs w:val="20"/>
                <w:lang w:eastAsia="it-IT"/>
              </w:rPr>
            </w:pPr>
            <w:r w:rsidRPr="00C2587D">
              <w:rPr>
                <w:rFonts w:cs="Arial"/>
                <w:color w:val="000000"/>
                <w:sz w:val="20"/>
                <w:szCs w:val="20"/>
                <w:lang w:eastAsia="it-IT"/>
              </w:rPr>
              <w:t>50,0</w:t>
            </w:r>
          </w:p>
        </w:tc>
        <w:tc>
          <w:tcPr>
            <w:tcW w:w="1106" w:type="dxa"/>
            <w:shd w:val="clear" w:color="auto" w:fill="FFFFFF"/>
            <w:noWrap/>
            <w:vAlign w:val="center"/>
          </w:tcPr>
          <w:p w14:paraId="3860CD4D" w14:textId="2B77DE52" w:rsidR="00CE0431" w:rsidRPr="00C2587D" w:rsidRDefault="00CE0431" w:rsidP="00CE0431">
            <w:pPr>
              <w:jc w:val="center"/>
              <w:rPr>
                <w:rFonts w:cs="Arial"/>
                <w:color w:val="000000"/>
                <w:sz w:val="20"/>
                <w:szCs w:val="20"/>
                <w:lang w:eastAsia="it-IT"/>
              </w:rPr>
            </w:pPr>
            <w:r w:rsidRPr="00C2587D">
              <w:rPr>
                <w:rFonts w:cs="Arial"/>
                <w:color w:val="000000"/>
                <w:sz w:val="20"/>
                <w:szCs w:val="20"/>
                <w:lang w:eastAsia="it-IT"/>
              </w:rPr>
              <w:t>100,0</w:t>
            </w:r>
          </w:p>
        </w:tc>
        <w:tc>
          <w:tcPr>
            <w:tcW w:w="1106" w:type="dxa"/>
            <w:shd w:val="clear" w:color="auto" w:fill="auto"/>
            <w:noWrap/>
            <w:vAlign w:val="center"/>
          </w:tcPr>
          <w:p w14:paraId="74B0DE3C" w14:textId="3098C788" w:rsidR="00CE0431" w:rsidRPr="00C2587D" w:rsidRDefault="00CE0431" w:rsidP="00CE0431">
            <w:pPr>
              <w:jc w:val="center"/>
              <w:rPr>
                <w:rFonts w:cs="Arial"/>
                <w:color w:val="000000"/>
                <w:sz w:val="20"/>
                <w:szCs w:val="20"/>
                <w:lang w:eastAsia="it-IT"/>
              </w:rPr>
            </w:pPr>
            <w:r w:rsidRPr="00C2587D">
              <w:rPr>
                <w:rFonts w:cs="Arial"/>
                <w:color w:val="000000"/>
                <w:sz w:val="20"/>
                <w:szCs w:val="20"/>
                <w:lang w:eastAsia="it-IT"/>
              </w:rPr>
              <w:t>60000,0</w:t>
            </w:r>
          </w:p>
        </w:tc>
        <w:tc>
          <w:tcPr>
            <w:tcW w:w="736" w:type="dxa"/>
            <w:shd w:val="clear" w:color="auto" w:fill="FFFFFF"/>
            <w:noWrap/>
            <w:vAlign w:val="center"/>
          </w:tcPr>
          <w:p w14:paraId="404A86C7" w14:textId="702B7AC7" w:rsidR="00CE0431" w:rsidRPr="00C2587D" w:rsidRDefault="00CE0431" w:rsidP="00CE0431">
            <w:pPr>
              <w:jc w:val="center"/>
              <w:rPr>
                <w:rFonts w:cs="Arial"/>
                <w:color w:val="000000"/>
                <w:sz w:val="20"/>
                <w:szCs w:val="20"/>
                <w:lang w:eastAsia="it-IT"/>
              </w:rPr>
            </w:pPr>
            <w:r w:rsidRPr="00C2587D">
              <w:rPr>
                <w:rFonts w:cs="Arial"/>
                <w:color w:val="000000"/>
                <w:sz w:val="20"/>
                <w:szCs w:val="20"/>
                <w:lang w:eastAsia="it-IT"/>
              </w:rPr>
              <w:t>-</w:t>
            </w:r>
          </w:p>
        </w:tc>
        <w:tc>
          <w:tcPr>
            <w:tcW w:w="1273" w:type="dxa"/>
            <w:shd w:val="clear" w:color="auto" w:fill="FFFFFF"/>
            <w:vAlign w:val="center"/>
          </w:tcPr>
          <w:p w14:paraId="06215830" w14:textId="4F122458" w:rsidR="00CE0431" w:rsidRPr="00C2587D" w:rsidRDefault="00CE0431" w:rsidP="00CE0431">
            <w:pPr>
              <w:jc w:val="center"/>
              <w:rPr>
                <w:rFonts w:cs="Arial"/>
                <w:b/>
                <w:color w:val="000000"/>
                <w:lang w:eastAsia="it-IT"/>
              </w:rPr>
            </w:pPr>
            <w:r w:rsidRPr="00C2587D">
              <w:rPr>
                <w:rFonts w:cs="Arial"/>
                <w:b/>
                <w:color w:val="000000"/>
                <w:lang w:eastAsia="it-IT"/>
              </w:rPr>
              <w:t>60150,0</w:t>
            </w:r>
          </w:p>
        </w:tc>
      </w:tr>
      <w:tr w:rsidR="00A70C4C" w:rsidRPr="00C2587D" w14:paraId="7D70EB32" w14:textId="77777777" w:rsidTr="006478C2">
        <w:trPr>
          <w:trHeight w:val="579"/>
          <w:jc w:val="center"/>
        </w:trPr>
        <w:tc>
          <w:tcPr>
            <w:tcW w:w="562" w:type="dxa"/>
            <w:shd w:val="clear" w:color="auto" w:fill="auto"/>
            <w:noWrap/>
            <w:vAlign w:val="center"/>
          </w:tcPr>
          <w:p w14:paraId="2948A588" w14:textId="20E8C791" w:rsidR="00A70C4C" w:rsidRPr="00C2587D" w:rsidRDefault="00652A19" w:rsidP="006478C2">
            <w:pPr>
              <w:rPr>
                <w:rFonts w:cs="Arial"/>
                <w:bCs/>
                <w:color w:val="000000"/>
                <w:sz w:val="20"/>
                <w:szCs w:val="20"/>
                <w:lang w:eastAsia="uk-UA"/>
              </w:rPr>
            </w:pPr>
            <w:r w:rsidRPr="00C2587D">
              <w:rPr>
                <w:rFonts w:cs="Arial"/>
                <w:bCs/>
                <w:color w:val="000000"/>
                <w:sz w:val="20"/>
                <w:szCs w:val="20"/>
                <w:lang w:eastAsia="uk-UA"/>
              </w:rPr>
              <w:t>3</w:t>
            </w:r>
            <w:r w:rsidR="00A70C4C" w:rsidRPr="00C2587D">
              <w:rPr>
                <w:rFonts w:cs="Arial"/>
                <w:bCs/>
                <w:color w:val="000000"/>
                <w:sz w:val="20"/>
                <w:szCs w:val="20"/>
                <w:lang w:eastAsia="uk-UA"/>
              </w:rPr>
              <w:t>.</w:t>
            </w:r>
          </w:p>
        </w:tc>
        <w:tc>
          <w:tcPr>
            <w:tcW w:w="4395" w:type="dxa"/>
            <w:shd w:val="clear" w:color="auto" w:fill="auto"/>
            <w:noWrap/>
            <w:vAlign w:val="center"/>
          </w:tcPr>
          <w:p w14:paraId="63031D1C" w14:textId="290E8261" w:rsidR="00A70C4C" w:rsidRPr="00C2587D" w:rsidRDefault="00A70C4C" w:rsidP="006478C2">
            <w:pPr>
              <w:jc w:val="both"/>
              <w:rPr>
                <w:rFonts w:cs="Arial"/>
                <w:sz w:val="20"/>
                <w:szCs w:val="20"/>
              </w:rPr>
            </w:pPr>
            <w:r w:rsidRPr="00C2587D">
              <w:rPr>
                <w:rFonts w:cs="Arial"/>
                <w:sz w:val="20"/>
                <w:szCs w:val="20"/>
              </w:rPr>
              <w:t>«В ногу з часом»: тепло модернізація Жмеринської дитячої музичної школи</w:t>
            </w:r>
          </w:p>
        </w:tc>
        <w:tc>
          <w:tcPr>
            <w:tcW w:w="1162" w:type="dxa"/>
            <w:noWrap/>
            <w:vAlign w:val="center"/>
          </w:tcPr>
          <w:p w14:paraId="098098B0" w14:textId="2211F46F" w:rsidR="00A70C4C" w:rsidRPr="00C2587D" w:rsidRDefault="00A70C4C" w:rsidP="00A70C4C">
            <w:pPr>
              <w:jc w:val="center"/>
              <w:rPr>
                <w:rFonts w:cs="Arial"/>
                <w:sz w:val="20"/>
                <w:szCs w:val="20"/>
                <w:lang w:eastAsia="it-IT"/>
              </w:rPr>
            </w:pPr>
          </w:p>
        </w:tc>
        <w:tc>
          <w:tcPr>
            <w:tcW w:w="1106" w:type="dxa"/>
            <w:shd w:val="clear" w:color="auto" w:fill="FFFFFF"/>
            <w:noWrap/>
            <w:vAlign w:val="center"/>
          </w:tcPr>
          <w:p w14:paraId="256E3F6D" w14:textId="51577542" w:rsidR="00A70C4C" w:rsidRPr="00C2587D" w:rsidRDefault="00A70C4C" w:rsidP="00A70C4C">
            <w:pPr>
              <w:jc w:val="center"/>
              <w:rPr>
                <w:rFonts w:cs="Arial"/>
                <w:color w:val="000000"/>
                <w:sz w:val="20"/>
                <w:szCs w:val="20"/>
                <w:lang w:eastAsia="it-IT"/>
              </w:rPr>
            </w:pPr>
            <w:r w:rsidRPr="00C2587D">
              <w:rPr>
                <w:rFonts w:cs="Arial"/>
                <w:color w:val="000000"/>
                <w:sz w:val="20"/>
                <w:szCs w:val="20"/>
                <w:lang w:eastAsia="it-IT"/>
              </w:rPr>
              <w:t>50000,0</w:t>
            </w:r>
          </w:p>
        </w:tc>
        <w:tc>
          <w:tcPr>
            <w:tcW w:w="1106" w:type="dxa"/>
            <w:shd w:val="clear" w:color="auto" w:fill="auto"/>
            <w:noWrap/>
            <w:vAlign w:val="center"/>
          </w:tcPr>
          <w:p w14:paraId="118407E0" w14:textId="233A5226" w:rsidR="00A70C4C" w:rsidRPr="00C2587D" w:rsidRDefault="00A70C4C" w:rsidP="00A70C4C">
            <w:pPr>
              <w:jc w:val="center"/>
              <w:rPr>
                <w:rFonts w:cs="Arial"/>
                <w:color w:val="000000"/>
                <w:sz w:val="20"/>
                <w:szCs w:val="20"/>
                <w:lang w:eastAsia="it-IT"/>
              </w:rPr>
            </w:pPr>
            <w:r w:rsidRPr="00C2587D">
              <w:rPr>
                <w:rFonts w:cs="Arial"/>
                <w:color w:val="000000"/>
                <w:sz w:val="20"/>
                <w:szCs w:val="20"/>
                <w:lang w:eastAsia="it-IT"/>
              </w:rPr>
              <w:t>-</w:t>
            </w:r>
          </w:p>
        </w:tc>
        <w:tc>
          <w:tcPr>
            <w:tcW w:w="736" w:type="dxa"/>
            <w:shd w:val="clear" w:color="auto" w:fill="FFFFFF"/>
            <w:noWrap/>
            <w:vAlign w:val="center"/>
          </w:tcPr>
          <w:p w14:paraId="112ED699" w14:textId="0F6E483C" w:rsidR="00A70C4C" w:rsidRPr="00C2587D" w:rsidRDefault="00A70C4C" w:rsidP="00A70C4C">
            <w:pPr>
              <w:jc w:val="center"/>
              <w:rPr>
                <w:rFonts w:cs="Arial"/>
                <w:color w:val="000000"/>
                <w:sz w:val="20"/>
                <w:szCs w:val="20"/>
                <w:lang w:eastAsia="it-IT"/>
              </w:rPr>
            </w:pPr>
            <w:r w:rsidRPr="00C2587D">
              <w:rPr>
                <w:rFonts w:cs="Arial"/>
                <w:color w:val="000000"/>
                <w:sz w:val="20"/>
                <w:szCs w:val="20"/>
                <w:lang w:eastAsia="it-IT"/>
              </w:rPr>
              <w:t>-</w:t>
            </w:r>
          </w:p>
        </w:tc>
        <w:tc>
          <w:tcPr>
            <w:tcW w:w="1273" w:type="dxa"/>
            <w:shd w:val="clear" w:color="auto" w:fill="FFFFFF"/>
            <w:vAlign w:val="center"/>
          </w:tcPr>
          <w:p w14:paraId="4CEB643A" w14:textId="14D5E3C4" w:rsidR="00A70C4C" w:rsidRPr="00C2587D" w:rsidRDefault="00A70C4C" w:rsidP="00A70C4C">
            <w:pPr>
              <w:jc w:val="center"/>
              <w:rPr>
                <w:rFonts w:cs="Arial"/>
                <w:b/>
                <w:color w:val="000000"/>
                <w:sz w:val="20"/>
                <w:szCs w:val="20"/>
                <w:lang w:eastAsia="it-IT"/>
              </w:rPr>
            </w:pPr>
            <w:r w:rsidRPr="00C2587D">
              <w:rPr>
                <w:rFonts w:cs="Arial"/>
                <w:b/>
                <w:color w:val="000000"/>
                <w:lang w:eastAsia="it-IT"/>
              </w:rPr>
              <w:t>50000,0</w:t>
            </w:r>
          </w:p>
        </w:tc>
      </w:tr>
      <w:tr w:rsidR="00A70C4C" w:rsidRPr="00C2587D" w14:paraId="1E2F8705" w14:textId="77777777" w:rsidTr="006478C2">
        <w:trPr>
          <w:jc w:val="center"/>
        </w:trPr>
        <w:tc>
          <w:tcPr>
            <w:tcW w:w="562" w:type="dxa"/>
            <w:shd w:val="clear" w:color="auto" w:fill="auto"/>
            <w:noWrap/>
            <w:vAlign w:val="center"/>
          </w:tcPr>
          <w:p w14:paraId="6FFBCD1B" w14:textId="07F2774B" w:rsidR="00A70C4C" w:rsidRPr="00C2587D" w:rsidRDefault="00652A19" w:rsidP="006478C2">
            <w:pPr>
              <w:rPr>
                <w:rFonts w:cs="Arial"/>
                <w:bCs/>
                <w:color w:val="000000"/>
                <w:sz w:val="20"/>
                <w:szCs w:val="20"/>
                <w:lang w:eastAsia="uk-UA"/>
              </w:rPr>
            </w:pPr>
            <w:r w:rsidRPr="00C2587D">
              <w:rPr>
                <w:rFonts w:cs="Arial"/>
                <w:bCs/>
                <w:color w:val="000000"/>
                <w:sz w:val="20"/>
                <w:szCs w:val="20"/>
                <w:lang w:eastAsia="uk-UA"/>
              </w:rPr>
              <w:t>4.</w:t>
            </w:r>
          </w:p>
        </w:tc>
        <w:tc>
          <w:tcPr>
            <w:tcW w:w="4395" w:type="dxa"/>
            <w:shd w:val="clear" w:color="auto" w:fill="auto"/>
            <w:noWrap/>
            <w:vAlign w:val="center"/>
          </w:tcPr>
          <w:p w14:paraId="29F86D09" w14:textId="1A984410" w:rsidR="00A70C4C" w:rsidRPr="00C2587D" w:rsidRDefault="00A70C4C" w:rsidP="006478C2">
            <w:pPr>
              <w:jc w:val="both"/>
              <w:rPr>
                <w:rFonts w:cs="Arial"/>
                <w:sz w:val="20"/>
                <w:szCs w:val="20"/>
                <w:lang w:eastAsia="it-IT"/>
              </w:rPr>
            </w:pPr>
            <w:r w:rsidRPr="00C2587D">
              <w:rPr>
                <w:rFonts w:cs="Arial"/>
                <w:sz w:val="20"/>
                <w:szCs w:val="20"/>
                <w:lang w:eastAsia="it-IT"/>
              </w:rPr>
              <w:t>«Творчим колективам нове обличчя»: оновлення концертного</w:t>
            </w:r>
            <w:r w:rsidR="007F0966">
              <w:rPr>
                <w:rFonts w:cs="Arial"/>
                <w:sz w:val="20"/>
                <w:szCs w:val="20"/>
                <w:lang w:eastAsia="it-IT"/>
              </w:rPr>
              <w:t xml:space="preserve"> </w:t>
            </w:r>
            <w:r w:rsidRPr="00C2587D">
              <w:rPr>
                <w:rFonts w:cs="Arial"/>
                <w:sz w:val="20"/>
                <w:szCs w:val="20"/>
                <w:lang w:eastAsia="it-IT"/>
              </w:rPr>
              <w:t>вбрання для учнів Жмеринської дитячої музичної школи</w:t>
            </w:r>
          </w:p>
        </w:tc>
        <w:tc>
          <w:tcPr>
            <w:tcW w:w="1162" w:type="dxa"/>
            <w:noWrap/>
            <w:vAlign w:val="center"/>
          </w:tcPr>
          <w:p w14:paraId="3A7BBF39" w14:textId="0CE0378B" w:rsidR="00A70C4C" w:rsidRPr="00C2587D" w:rsidRDefault="00A70C4C" w:rsidP="00A70C4C">
            <w:pPr>
              <w:jc w:val="center"/>
              <w:rPr>
                <w:rFonts w:cs="Arial"/>
                <w:sz w:val="20"/>
                <w:szCs w:val="20"/>
                <w:lang w:eastAsia="it-IT"/>
              </w:rPr>
            </w:pPr>
            <w:r w:rsidRPr="00C2587D">
              <w:rPr>
                <w:rFonts w:cs="Arial"/>
                <w:color w:val="000000"/>
                <w:sz w:val="20"/>
                <w:szCs w:val="20"/>
                <w:lang w:eastAsia="it-IT"/>
              </w:rPr>
              <w:t>50,0</w:t>
            </w:r>
          </w:p>
        </w:tc>
        <w:tc>
          <w:tcPr>
            <w:tcW w:w="1106" w:type="dxa"/>
            <w:shd w:val="clear" w:color="auto" w:fill="FFFFFF"/>
            <w:noWrap/>
            <w:vAlign w:val="center"/>
          </w:tcPr>
          <w:p w14:paraId="3863B617" w14:textId="10BF934F" w:rsidR="00A70C4C" w:rsidRPr="00C2587D" w:rsidRDefault="00A70C4C" w:rsidP="00A70C4C">
            <w:pPr>
              <w:jc w:val="center"/>
              <w:rPr>
                <w:rFonts w:cs="Arial"/>
                <w:color w:val="000000"/>
                <w:sz w:val="20"/>
                <w:szCs w:val="20"/>
                <w:lang w:eastAsia="it-IT"/>
              </w:rPr>
            </w:pPr>
            <w:r w:rsidRPr="00C2587D">
              <w:rPr>
                <w:rFonts w:cs="Arial"/>
                <w:color w:val="000000"/>
                <w:sz w:val="20"/>
                <w:szCs w:val="20"/>
                <w:lang w:eastAsia="it-IT"/>
              </w:rPr>
              <w:t>162,0</w:t>
            </w:r>
          </w:p>
        </w:tc>
        <w:tc>
          <w:tcPr>
            <w:tcW w:w="1106" w:type="dxa"/>
            <w:shd w:val="clear" w:color="auto" w:fill="auto"/>
            <w:noWrap/>
            <w:vAlign w:val="center"/>
          </w:tcPr>
          <w:p w14:paraId="644D55AA" w14:textId="2082FFF0" w:rsidR="00A70C4C" w:rsidRPr="00C2587D" w:rsidRDefault="00A70C4C" w:rsidP="00A70C4C">
            <w:pPr>
              <w:jc w:val="center"/>
              <w:rPr>
                <w:rFonts w:cs="Arial"/>
                <w:color w:val="000000"/>
                <w:sz w:val="20"/>
                <w:szCs w:val="20"/>
                <w:lang w:eastAsia="it-IT"/>
              </w:rPr>
            </w:pPr>
            <w:r w:rsidRPr="00C2587D">
              <w:rPr>
                <w:rFonts w:cs="Arial"/>
                <w:color w:val="000000"/>
                <w:sz w:val="20"/>
                <w:szCs w:val="20"/>
                <w:lang w:eastAsia="it-IT"/>
              </w:rPr>
              <w:t>162,0</w:t>
            </w:r>
          </w:p>
        </w:tc>
        <w:tc>
          <w:tcPr>
            <w:tcW w:w="736" w:type="dxa"/>
            <w:shd w:val="clear" w:color="auto" w:fill="FFFFFF"/>
            <w:noWrap/>
            <w:vAlign w:val="center"/>
          </w:tcPr>
          <w:p w14:paraId="05DC3546" w14:textId="5CA1638A" w:rsidR="00A70C4C" w:rsidRPr="00C2587D" w:rsidRDefault="00A70C4C" w:rsidP="00A70C4C">
            <w:pPr>
              <w:jc w:val="center"/>
              <w:rPr>
                <w:rFonts w:cs="Arial"/>
                <w:color w:val="000000"/>
                <w:sz w:val="20"/>
                <w:szCs w:val="20"/>
                <w:lang w:eastAsia="it-IT"/>
              </w:rPr>
            </w:pPr>
            <w:r w:rsidRPr="00C2587D">
              <w:rPr>
                <w:rFonts w:cs="Arial"/>
                <w:color w:val="000000"/>
                <w:sz w:val="20"/>
                <w:szCs w:val="20"/>
                <w:lang w:eastAsia="it-IT"/>
              </w:rPr>
              <w:t>162,0</w:t>
            </w:r>
          </w:p>
        </w:tc>
        <w:tc>
          <w:tcPr>
            <w:tcW w:w="1273" w:type="dxa"/>
            <w:shd w:val="clear" w:color="auto" w:fill="FFFFFF"/>
            <w:vAlign w:val="center"/>
          </w:tcPr>
          <w:p w14:paraId="6BF48216" w14:textId="36749EAB" w:rsidR="00A70C4C" w:rsidRPr="00C2587D" w:rsidRDefault="00A70C4C" w:rsidP="00A70C4C">
            <w:pPr>
              <w:jc w:val="center"/>
              <w:rPr>
                <w:rFonts w:cs="Arial"/>
                <w:b/>
                <w:color w:val="000000"/>
                <w:sz w:val="20"/>
                <w:szCs w:val="20"/>
                <w:lang w:eastAsia="it-IT"/>
              </w:rPr>
            </w:pPr>
            <w:r w:rsidRPr="00C2587D">
              <w:rPr>
                <w:rFonts w:cs="Arial"/>
                <w:b/>
                <w:color w:val="000000"/>
                <w:lang w:eastAsia="it-IT"/>
              </w:rPr>
              <w:t>536,0</w:t>
            </w:r>
          </w:p>
        </w:tc>
      </w:tr>
      <w:tr w:rsidR="00A70C4C" w:rsidRPr="00C2587D" w14:paraId="1FB9674C" w14:textId="77777777" w:rsidTr="006478C2">
        <w:trPr>
          <w:jc w:val="center"/>
        </w:trPr>
        <w:tc>
          <w:tcPr>
            <w:tcW w:w="562" w:type="dxa"/>
            <w:shd w:val="clear" w:color="auto" w:fill="auto"/>
            <w:noWrap/>
            <w:vAlign w:val="center"/>
          </w:tcPr>
          <w:p w14:paraId="205B9C91" w14:textId="0B784A11" w:rsidR="00A70C4C" w:rsidRPr="00C2587D" w:rsidRDefault="00652A19" w:rsidP="006478C2">
            <w:pPr>
              <w:rPr>
                <w:rFonts w:cs="Arial"/>
                <w:bCs/>
                <w:color w:val="000000"/>
                <w:sz w:val="20"/>
                <w:szCs w:val="20"/>
                <w:lang w:eastAsia="uk-UA"/>
              </w:rPr>
            </w:pPr>
            <w:r w:rsidRPr="00C2587D">
              <w:rPr>
                <w:rFonts w:cs="Arial"/>
                <w:bCs/>
                <w:color w:val="000000"/>
                <w:sz w:val="20"/>
                <w:szCs w:val="20"/>
                <w:lang w:eastAsia="uk-UA"/>
              </w:rPr>
              <w:t>5</w:t>
            </w:r>
            <w:r w:rsidR="00A70C4C" w:rsidRPr="00C2587D">
              <w:rPr>
                <w:rFonts w:cs="Arial"/>
                <w:bCs/>
                <w:color w:val="000000"/>
                <w:sz w:val="20"/>
                <w:szCs w:val="20"/>
                <w:lang w:eastAsia="uk-UA"/>
              </w:rPr>
              <w:t>.</w:t>
            </w:r>
          </w:p>
        </w:tc>
        <w:tc>
          <w:tcPr>
            <w:tcW w:w="4395" w:type="dxa"/>
            <w:shd w:val="clear" w:color="auto" w:fill="auto"/>
            <w:noWrap/>
            <w:vAlign w:val="center"/>
          </w:tcPr>
          <w:p w14:paraId="63EB4911" w14:textId="77777777" w:rsidR="00A70C4C" w:rsidRPr="00C2587D" w:rsidRDefault="00A70C4C" w:rsidP="006478C2">
            <w:pPr>
              <w:spacing w:before="40" w:after="40"/>
              <w:jc w:val="both"/>
              <w:rPr>
                <w:rFonts w:cs="Arial"/>
                <w:sz w:val="20"/>
                <w:szCs w:val="20"/>
              </w:rPr>
            </w:pPr>
            <w:r w:rsidRPr="00C2587D">
              <w:rPr>
                <w:rFonts w:cs="Arial"/>
                <w:sz w:val="20"/>
                <w:szCs w:val="20"/>
              </w:rPr>
              <w:t>«Модернізація музейної мережі Жмеринської громади: спадщина</w:t>
            </w:r>
          </w:p>
          <w:p w14:paraId="759220AB" w14:textId="545EFEA5" w:rsidR="00A70C4C" w:rsidRPr="00C2587D" w:rsidRDefault="00A70C4C" w:rsidP="006478C2">
            <w:pPr>
              <w:spacing w:before="40" w:after="40"/>
              <w:jc w:val="both"/>
              <w:rPr>
                <w:rFonts w:cs="Arial"/>
                <w:sz w:val="20"/>
                <w:szCs w:val="20"/>
              </w:rPr>
            </w:pPr>
            <w:r w:rsidRPr="00C2587D">
              <w:rPr>
                <w:rFonts w:cs="Arial"/>
                <w:sz w:val="20"/>
                <w:szCs w:val="20"/>
              </w:rPr>
              <w:t>у новому форматі»</w:t>
            </w:r>
          </w:p>
        </w:tc>
        <w:tc>
          <w:tcPr>
            <w:tcW w:w="1162" w:type="dxa"/>
            <w:noWrap/>
            <w:vAlign w:val="center"/>
          </w:tcPr>
          <w:p w14:paraId="01FC3098" w14:textId="4380BEF5" w:rsidR="00A70C4C" w:rsidRPr="00C2587D" w:rsidRDefault="00AA39A7" w:rsidP="00A70C4C">
            <w:pPr>
              <w:jc w:val="center"/>
              <w:rPr>
                <w:rFonts w:cs="Arial"/>
                <w:sz w:val="20"/>
                <w:szCs w:val="20"/>
                <w:lang w:eastAsia="it-IT"/>
              </w:rPr>
            </w:pPr>
            <w:r>
              <w:rPr>
                <w:rFonts w:cs="Arial"/>
                <w:color w:val="000000"/>
                <w:sz w:val="20"/>
                <w:szCs w:val="20"/>
                <w:lang w:eastAsia="it-IT"/>
              </w:rPr>
              <w:t>100</w:t>
            </w:r>
            <w:r w:rsidR="00A70C4C" w:rsidRPr="00C2587D">
              <w:rPr>
                <w:rFonts w:cs="Arial"/>
                <w:color w:val="000000"/>
                <w:sz w:val="20"/>
                <w:szCs w:val="20"/>
                <w:lang w:eastAsia="it-IT"/>
              </w:rPr>
              <w:t>,0</w:t>
            </w:r>
          </w:p>
        </w:tc>
        <w:tc>
          <w:tcPr>
            <w:tcW w:w="1106" w:type="dxa"/>
            <w:shd w:val="clear" w:color="auto" w:fill="FFFFFF"/>
            <w:noWrap/>
            <w:vAlign w:val="center"/>
          </w:tcPr>
          <w:p w14:paraId="42E0DD0F" w14:textId="5BA34EA8" w:rsidR="00A70C4C" w:rsidRPr="00C2587D" w:rsidRDefault="00A70C4C" w:rsidP="00A70C4C">
            <w:pPr>
              <w:jc w:val="center"/>
              <w:rPr>
                <w:rFonts w:cs="Arial"/>
                <w:color w:val="000000"/>
                <w:sz w:val="20"/>
                <w:szCs w:val="20"/>
                <w:lang w:eastAsia="it-IT"/>
              </w:rPr>
            </w:pPr>
            <w:r w:rsidRPr="00C2587D">
              <w:rPr>
                <w:rFonts w:cs="Arial"/>
                <w:color w:val="000000"/>
                <w:sz w:val="20"/>
                <w:szCs w:val="20"/>
                <w:lang w:eastAsia="it-IT"/>
              </w:rPr>
              <w:t>300,0</w:t>
            </w:r>
          </w:p>
        </w:tc>
        <w:tc>
          <w:tcPr>
            <w:tcW w:w="1106" w:type="dxa"/>
            <w:shd w:val="clear" w:color="auto" w:fill="auto"/>
            <w:noWrap/>
            <w:vAlign w:val="center"/>
          </w:tcPr>
          <w:p w14:paraId="478D57E0" w14:textId="188732FD" w:rsidR="00A70C4C" w:rsidRPr="00C2587D" w:rsidRDefault="00AA39A7" w:rsidP="00A70C4C">
            <w:pPr>
              <w:jc w:val="center"/>
              <w:rPr>
                <w:rFonts w:cs="Arial"/>
                <w:color w:val="000000"/>
                <w:sz w:val="20"/>
                <w:szCs w:val="20"/>
                <w:lang w:eastAsia="it-IT"/>
              </w:rPr>
            </w:pPr>
            <w:r>
              <w:rPr>
                <w:rFonts w:cs="Arial"/>
                <w:color w:val="000000"/>
                <w:sz w:val="20"/>
                <w:szCs w:val="20"/>
                <w:lang w:eastAsia="it-IT"/>
              </w:rPr>
              <w:t>300</w:t>
            </w:r>
            <w:r w:rsidR="00A70C4C" w:rsidRPr="00C2587D">
              <w:rPr>
                <w:rFonts w:cs="Arial"/>
                <w:color w:val="000000"/>
                <w:sz w:val="20"/>
                <w:szCs w:val="20"/>
                <w:lang w:eastAsia="it-IT"/>
              </w:rPr>
              <w:t>,0</w:t>
            </w:r>
          </w:p>
        </w:tc>
        <w:tc>
          <w:tcPr>
            <w:tcW w:w="736" w:type="dxa"/>
            <w:shd w:val="clear" w:color="auto" w:fill="FFFFFF"/>
            <w:noWrap/>
            <w:vAlign w:val="center"/>
          </w:tcPr>
          <w:p w14:paraId="14710B89" w14:textId="510D99D0" w:rsidR="00A70C4C" w:rsidRPr="00C2587D" w:rsidRDefault="00AA39A7" w:rsidP="00A70C4C">
            <w:pPr>
              <w:jc w:val="center"/>
              <w:rPr>
                <w:rFonts w:cs="Arial"/>
                <w:color w:val="000000"/>
                <w:sz w:val="20"/>
                <w:szCs w:val="20"/>
                <w:lang w:eastAsia="it-IT"/>
              </w:rPr>
            </w:pPr>
            <w:r>
              <w:rPr>
                <w:rFonts w:cs="Arial"/>
                <w:color w:val="000000"/>
                <w:sz w:val="20"/>
                <w:szCs w:val="20"/>
                <w:lang w:eastAsia="it-IT"/>
              </w:rPr>
              <w:t>3</w:t>
            </w:r>
            <w:r w:rsidR="00A70C4C" w:rsidRPr="00C2587D">
              <w:rPr>
                <w:rFonts w:cs="Arial"/>
                <w:color w:val="000000"/>
                <w:sz w:val="20"/>
                <w:szCs w:val="20"/>
                <w:lang w:eastAsia="it-IT"/>
              </w:rPr>
              <w:t>00,0</w:t>
            </w:r>
          </w:p>
        </w:tc>
        <w:tc>
          <w:tcPr>
            <w:tcW w:w="1273" w:type="dxa"/>
            <w:shd w:val="clear" w:color="auto" w:fill="FFFFFF"/>
            <w:vAlign w:val="center"/>
          </w:tcPr>
          <w:p w14:paraId="4FD45478" w14:textId="1E73CE83" w:rsidR="00A70C4C" w:rsidRPr="00C2587D" w:rsidRDefault="00AA39A7" w:rsidP="00A70C4C">
            <w:pPr>
              <w:jc w:val="center"/>
              <w:rPr>
                <w:rFonts w:cs="Arial"/>
                <w:b/>
                <w:color w:val="000000"/>
                <w:sz w:val="20"/>
                <w:szCs w:val="20"/>
                <w:lang w:eastAsia="it-IT"/>
              </w:rPr>
            </w:pPr>
            <w:r>
              <w:rPr>
                <w:rFonts w:cs="Arial"/>
                <w:b/>
                <w:color w:val="000000"/>
                <w:lang w:eastAsia="it-IT"/>
              </w:rPr>
              <w:t>10</w:t>
            </w:r>
            <w:r w:rsidR="00A70C4C" w:rsidRPr="00C2587D">
              <w:rPr>
                <w:rFonts w:cs="Arial"/>
                <w:b/>
                <w:color w:val="000000"/>
                <w:lang w:eastAsia="it-IT"/>
              </w:rPr>
              <w:t>00,0</w:t>
            </w:r>
          </w:p>
        </w:tc>
      </w:tr>
      <w:tr w:rsidR="00CE0431" w:rsidRPr="00C2587D" w14:paraId="68CABBD4" w14:textId="77777777" w:rsidTr="006478C2">
        <w:trPr>
          <w:jc w:val="center"/>
        </w:trPr>
        <w:tc>
          <w:tcPr>
            <w:tcW w:w="562" w:type="dxa"/>
            <w:shd w:val="clear" w:color="auto" w:fill="auto"/>
            <w:noWrap/>
            <w:vAlign w:val="center"/>
          </w:tcPr>
          <w:p w14:paraId="26BC9113" w14:textId="3C59B018" w:rsidR="00CE0431" w:rsidRPr="00C2587D" w:rsidRDefault="00652A19" w:rsidP="006478C2">
            <w:pPr>
              <w:rPr>
                <w:rFonts w:cs="Arial"/>
                <w:bCs/>
                <w:color w:val="000000"/>
                <w:sz w:val="20"/>
                <w:szCs w:val="20"/>
                <w:lang w:eastAsia="uk-UA"/>
              </w:rPr>
            </w:pPr>
            <w:r w:rsidRPr="00C2587D">
              <w:rPr>
                <w:rFonts w:cs="Arial"/>
                <w:bCs/>
                <w:color w:val="000000"/>
                <w:sz w:val="20"/>
                <w:szCs w:val="20"/>
                <w:lang w:eastAsia="uk-UA"/>
              </w:rPr>
              <w:t>6</w:t>
            </w:r>
            <w:r w:rsidR="00CE0431" w:rsidRPr="00C2587D">
              <w:rPr>
                <w:rFonts w:cs="Arial"/>
                <w:bCs/>
                <w:color w:val="000000"/>
                <w:sz w:val="20"/>
                <w:szCs w:val="20"/>
                <w:lang w:eastAsia="uk-UA"/>
              </w:rPr>
              <w:t>.</w:t>
            </w:r>
          </w:p>
        </w:tc>
        <w:tc>
          <w:tcPr>
            <w:tcW w:w="4395" w:type="dxa"/>
            <w:shd w:val="clear" w:color="auto" w:fill="auto"/>
            <w:noWrap/>
            <w:vAlign w:val="center"/>
          </w:tcPr>
          <w:p w14:paraId="3292E2ED" w14:textId="77777777" w:rsidR="00CE0431" w:rsidRPr="00C2587D" w:rsidRDefault="00CE0431" w:rsidP="006478C2">
            <w:pPr>
              <w:jc w:val="both"/>
              <w:rPr>
                <w:rFonts w:cs="Arial"/>
                <w:sz w:val="20"/>
                <w:szCs w:val="20"/>
              </w:rPr>
            </w:pPr>
            <w:r w:rsidRPr="00C2587D">
              <w:rPr>
                <w:rFonts w:cs="Arial"/>
                <w:sz w:val="20"/>
                <w:szCs w:val="20"/>
              </w:rPr>
              <w:t>«Живе мистецтво — жива громада: підтримка участі колективів</w:t>
            </w:r>
          </w:p>
          <w:p w14:paraId="2B163DCD" w14:textId="48185C5D" w:rsidR="00CE0431" w:rsidRPr="00C2587D" w:rsidRDefault="00CE0431" w:rsidP="006478C2">
            <w:pPr>
              <w:jc w:val="both"/>
              <w:rPr>
                <w:rFonts w:cs="Arial"/>
                <w:sz w:val="20"/>
                <w:szCs w:val="20"/>
              </w:rPr>
            </w:pPr>
            <w:r w:rsidRPr="00C2587D">
              <w:rPr>
                <w:rFonts w:cs="Arial"/>
                <w:sz w:val="20"/>
                <w:szCs w:val="20"/>
              </w:rPr>
              <w:t>громади у культурних конкурсах і фестивалях»</w:t>
            </w:r>
          </w:p>
        </w:tc>
        <w:tc>
          <w:tcPr>
            <w:tcW w:w="1162" w:type="dxa"/>
            <w:noWrap/>
            <w:vAlign w:val="center"/>
          </w:tcPr>
          <w:p w14:paraId="0F4DA848" w14:textId="45641CD0" w:rsidR="00CE0431" w:rsidRPr="00C2587D" w:rsidRDefault="00CE0431" w:rsidP="00CE0431">
            <w:pPr>
              <w:jc w:val="center"/>
              <w:rPr>
                <w:rFonts w:cs="Arial"/>
                <w:sz w:val="20"/>
                <w:szCs w:val="20"/>
                <w:lang w:eastAsia="it-IT"/>
              </w:rPr>
            </w:pPr>
            <w:r w:rsidRPr="00C2587D">
              <w:rPr>
                <w:rFonts w:cs="Arial"/>
                <w:color w:val="000000"/>
                <w:sz w:val="20"/>
                <w:szCs w:val="20"/>
                <w:lang w:eastAsia="it-IT"/>
              </w:rPr>
              <w:t>64,0</w:t>
            </w:r>
          </w:p>
        </w:tc>
        <w:tc>
          <w:tcPr>
            <w:tcW w:w="1106" w:type="dxa"/>
            <w:shd w:val="clear" w:color="auto" w:fill="FFFFFF"/>
            <w:noWrap/>
            <w:vAlign w:val="center"/>
          </w:tcPr>
          <w:p w14:paraId="313D9E96" w14:textId="2CB22B2F" w:rsidR="00CE0431" w:rsidRPr="00C2587D" w:rsidRDefault="00CE0431" w:rsidP="00CE0431">
            <w:pPr>
              <w:jc w:val="center"/>
              <w:rPr>
                <w:rFonts w:cs="Arial"/>
                <w:color w:val="000000"/>
                <w:sz w:val="20"/>
                <w:szCs w:val="20"/>
                <w:lang w:eastAsia="it-IT"/>
              </w:rPr>
            </w:pPr>
            <w:r w:rsidRPr="00C2587D">
              <w:rPr>
                <w:rFonts w:cs="Arial"/>
                <w:color w:val="000000"/>
                <w:sz w:val="20"/>
                <w:szCs w:val="20"/>
                <w:lang w:eastAsia="it-IT"/>
              </w:rPr>
              <w:t>64,0</w:t>
            </w:r>
          </w:p>
        </w:tc>
        <w:tc>
          <w:tcPr>
            <w:tcW w:w="1106" w:type="dxa"/>
            <w:shd w:val="clear" w:color="auto" w:fill="auto"/>
            <w:noWrap/>
            <w:vAlign w:val="center"/>
          </w:tcPr>
          <w:p w14:paraId="23F99E76" w14:textId="4A2F78D3" w:rsidR="00CE0431" w:rsidRPr="00C2587D" w:rsidRDefault="00CE0431" w:rsidP="00CE0431">
            <w:pPr>
              <w:jc w:val="center"/>
              <w:rPr>
                <w:rFonts w:cs="Arial"/>
                <w:color w:val="000000"/>
                <w:sz w:val="20"/>
                <w:szCs w:val="20"/>
                <w:lang w:eastAsia="it-IT"/>
              </w:rPr>
            </w:pPr>
            <w:r w:rsidRPr="00C2587D">
              <w:rPr>
                <w:rFonts w:cs="Arial"/>
                <w:color w:val="000000"/>
                <w:sz w:val="20"/>
                <w:szCs w:val="20"/>
                <w:lang w:eastAsia="it-IT"/>
              </w:rPr>
              <w:t>64,0</w:t>
            </w:r>
          </w:p>
        </w:tc>
        <w:tc>
          <w:tcPr>
            <w:tcW w:w="736" w:type="dxa"/>
            <w:shd w:val="clear" w:color="auto" w:fill="FFFFFF"/>
            <w:noWrap/>
            <w:vAlign w:val="center"/>
          </w:tcPr>
          <w:p w14:paraId="3A40D0A9" w14:textId="1A3B0CD3" w:rsidR="00CE0431" w:rsidRPr="00C2587D" w:rsidRDefault="00CE0431" w:rsidP="00CE0431">
            <w:pPr>
              <w:jc w:val="center"/>
              <w:rPr>
                <w:rFonts w:cs="Arial"/>
                <w:color w:val="000000"/>
                <w:sz w:val="20"/>
                <w:szCs w:val="20"/>
                <w:lang w:eastAsia="it-IT"/>
              </w:rPr>
            </w:pPr>
            <w:r w:rsidRPr="00C2587D">
              <w:rPr>
                <w:rFonts w:cs="Arial"/>
                <w:color w:val="000000"/>
                <w:sz w:val="20"/>
                <w:szCs w:val="20"/>
                <w:lang w:eastAsia="it-IT"/>
              </w:rPr>
              <w:t>100,0</w:t>
            </w:r>
          </w:p>
        </w:tc>
        <w:tc>
          <w:tcPr>
            <w:tcW w:w="1273" w:type="dxa"/>
            <w:shd w:val="clear" w:color="auto" w:fill="FFFFFF"/>
            <w:vAlign w:val="center"/>
          </w:tcPr>
          <w:p w14:paraId="6391BB49" w14:textId="6667A9C8" w:rsidR="00CE0431" w:rsidRPr="00C2587D" w:rsidRDefault="00CE0431" w:rsidP="00CE0431">
            <w:pPr>
              <w:jc w:val="center"/>
              <w:rPr>
                <w:rFonts w:cs="Arial"/>
                <w:b/>
                <w:color w:val="000000"/>
                <w:sz w:val="20"/>
                <w:szCs w:val="20"/>
                <w:lang w:eastAsia="it-IT"/>
              </w:rPr>
            </w:pPr>
            <w:r w:rsidRPr="00C2587D">
              <w:rPr>
                <w:rFonts w:cs="Arial"/>
                <w:b/>
                <w:color w:val="000000"/>
                <w:lang w:eastAsia="it-IT"/>
              </w:rPr>
              <w:t>292,0</w:t>
            </w:r>
          </w:p>
        </w:tc>
      </w:tr>
      <w:tr w:rsidR="00CE0431" w:rsidRPr="00C2587D" w14:paraId="1AEA565B" w14:textId="77777777" w:rsidTr="006478C2">
        <w:trPr>
          <w:jc w:val="center"/>
        </w:trPr>
        <w:tc>
          <w:tcPr>
            <w:tcW w:w="562" w:type="dxa"/>
            <w:shd w:val="clear" w:color="auto" w:fill="auto"/>
            <w:noWrap/>
            <w:vAlign w:val="center"/>
          </w:tcPr>
          <w:p w14:paraId="4494ABD3" w14:textId="4AAD9642" w:rsidR="00CE0431" w:rsidRPr="00C2587D" w:rsidRDefault="00652A19" w:rsidP="006478C2">
            <w:pPr>
              <w:rPr>
                <w:rFonts w:cs="Arial"/>
                <w:bCs/>
                <w:color w:val="000000"/>
                <w:sz w:val="20"/>
                <w:szCs w:val="20"/>
                <w:lang w:eastAsia="uk-UA"/>
              </w:rPr>
            </w:pPr>
            <w:r w:rsidRPr="00C2587D">
              <w:rPr>
                <w:rFonts w:cs="Arial"/>
                <w:bCs/>
                <w:color w:val="000000"/>
                <w:sz w:val="20"/>
                <w:szCs w:val="20"/>
                <w:lang w:eastAsia="uk-UA"/>
              </w:rPr>
              <w:t>7</w:t>
            </w:r>
            <w:r w:rsidR="00CE0431" w:rsidRPr="00C2587D">
              <w:rPr>
                <w:rFonts w:cs="Arial"/>
                <w:bCs/>
                <w:color w:val="000000"/>
                <w:sz w:val="20"/>
                <w:szCs w:val="20"/>
                <w:lang w:eastAsia="uk-UA"/>
              </w:rPr>
              <w:t>.</w:t>
            </w:r>
          </w:p>
        </w:tc>
        <w:tc>
          <w:tcPr>
            <w:tcW w:w="4395" w:type="dxa"/>
            <w:shd w:val="clear" w:color="auto" w:fill="auto"/>
            <w:noWrap/>
            <w:vAlign w:val="center"/>
          </w:tcPr>
          <w:p w14:paraId="1690A881" w14:textId="5B245E47" w:rsidR="00CE0431" w:rsidRPr="00C2587D" w:rsidRDefault="00CE0431" w:rsidP="006478C2">
            <w:pPr>
              <w:jc w:val="both"/>
              <w:rPr>
                <w:rFonts w:cs="Arial"/>
                <w:bCs/>
                <w:color w:val="000000" w:themeColor="text1"/>
                <w:sz w:val="20"/>
                <w:szCs w:val="20"/>
                <w:lang w:eastAsia="uk-UA"/>
              </w:rPr>
            </w:pPr>
            <w:r w:rsidRPr="00C2587D">
              <w:rPr>
                <w:rFonts w:cs="Arial"/>
                <w:bCs/>
                <w:color w:val="000000" w:themeColor="text1"/>
                <w:sz w:val="20"/>
                <w:szCs w:val="20"/>
                <w:lang w:eastAsia="uk-UA"/>
              </w:rPr>
              <w:t>«Бібліотека-інформаційна підтримка громади»</w:t>
            </w:r>
          </w:p>
        </w:tc>
        <w:tc>
          <w:tcPr>
            <w:tcW w:w="1162" w:type="dxa"/>
            <w:noWrap/>
            <w:vAlign w:val="center"/>
          </w:tcPr>
          <w:p w14:paraId="469D1117" w14:textId="69D56DBF" w:rsidR="00CE0431" w:rsidRPr="00C2587D" w:rsidRDefault="00CE0431" w:rsidP="00CE0431">
            <w:pPr>
              <w:jc w:val="center"/>
              <w:rPr>
                <w:rFonts w:cs="Arial"/>
                <w:sz w:val="20"/>
                <w:szCs w:val="20"/>
                <w:lang w:eastAsia="it-IT"/>
              </w:rPr>
            </w:pPr>
            <w:r w:rsidRPr="00C2587D">
              <w:rPr>
                <w:rFonts w:cs="Arial"/>
                <w:color w:val="000000"/>
                <w:sz w:val="20"/>
                <w:szCs w:val="20"/>
                <w:lang w:eastAsia="it-IT"/>
              </w:rPr>
              <w:t>50,0</w:t>
            </w:r>
          </w:p>
        </w:tc>
        <w:tc>
          <w:tcPr>
            <w:tcW w:w="1106" w:type="dxa"/>
            <w:shd w:val="clear" w:color="auto" w:fill="FFFFFF"/>
            <w:noWrap/>
            <w:vAlign w:val="center"/>
          </w:tcPr>
          <w:p w14:paraId="12A569FD" w14:textId="3BE036B7" w:rsidR="00CE0431" w:rsidRPr="00C2587D" w:rsidRDefault="00CE0431" w:rsidP="00CE0431">
            <w:pPr>
              <w:jc w:val="center"/>
              <w:rPr>
                <w:rFonts w:cs="Arial"/>
                <w:sz w:val="20"/>
                <w:szCs w:val="20"/>
                <w:lang w:eastAsia="it-IT"/>
              </w:rPr>
            </w:pPr>
            <w:r w:rsidRPr="00C2587D">
              <w:rPr>
                <w:rFonts w:cs="Arial"/>
                <w:color w:val="000000"/>
                <w:sz w:val="20"/>
                <w:szCs w:val="20"/>
                <w:lang w:eastAsia="it-IT"/>
              </w:rPr>
              <w:t>450,0</w:t>
            </w:r>
          </w:p>
        </w:tc>
        <w:tc>
          <w:tcPr>
            <w:tcW w:w="1106" w:type="dxa"/>
            <w:shd w:val="clear" w:color="auto" w:fill="auto"/>
            <w:noWrap/>
            <w:vAlign w:val="center"/>
          </w:tcPr>
          <w:p w14:paraId="6EDFBF16" w14:textId="239FEDC3" w:rsidR="00CE0431" w:rsidRPr="00C2587D" w:rsidRDefault="00CE0431" w:rsidP="00CE0431">
            <w:pPr>
              <w:jc w:val="center"/>
              <w:rPr>
                <w:rFonts w:cs="Arial"/>
                <w:sz w:val="20"/>
                <w:szCs w:val="20"/>
                <w:lang w:eastAsia="it-IT"/>
              </w:rPr>
            </w:pPr>
            <w:r w:rsidRPr="00C2587D">
              <w:rPr>
                <w:rFonts w:cs="Arial"/>
                <w:color w:val="000000"/>
                <w:sz w:val="20"/>
                <w:szCs w:val="20"/>
                <w:lang w:eastAsia="it-IT"/>
              </w:rPr>
              <w:t>450,0</w:t>
            </w:r>
          </w:p>
        </w:tc>
        <w:tc>
          <w:tcPr>
            <w:tcW w:w="736" w:type="dxa"/>
            <w:shd w:val="clear" w:color="auto" w:fill="FFFFFF"/>
            <w:noWrap/>
            <w:vAlign w:val="center"/>
          </w:tcPr>
          <w:p w14:paraId="18B2A754" w14:textId="49711F2A" w:rsidR="00CE0431" w:rsidRPr="00C2587D" w:rsidRDefault="00CE0431" w:rsidP="00CE0431">
            <w:pPr>
              <w:jc w:val="center"/>
              <w:rPr>
                <w:rFonts w:cs="Arial"/>
                <w:sz w:val="20"/>
                <w:szCs w:val="20"/>
                <w:lang w:eastAsia="it-IT"/>
              </w:rPr>
            </w:pPr>
            <w:r w:rsidRPr="00C2587D">
              <w:rPr>
                <w:rFonts w:cs="Arial"/>
                <w:color w:val="000000"/>
                <w:sz w:val="20"/>
                <w:szCs w:val="20"/>
                <w:lang w:eastAsia="it-IT"/>
              </w:rPr>
              <w:t>450,0</w:t>
            </w:r>
          </w:p>
        </w:tc>
        <w:tc>
          <w:tcPr>
            <w:tcW w:w="1273" w:type="dxa"/>
            <w:shd w:val="clear" w:color="auto" w:fill="FFFFFF"/>
            <w:vAlign w:val="center"/>
          </w:tcPr>
          <w:p w14:paraId="18CA1091" w14:textId="13C5797C" w:rsidR="00CE0431" w:rsidRPr="00C2587D" w:rsidRDefault="00CE0431" w:rsidP="00CE0431">
            <w:pPr>
              <w:jc w:val="center"/>
              <w:rPr>
                <w:rFonts w:cs="Arial"/>
                <w:b/>
                <w:sz w:val="20"/>
                <w:szCs w:val="20"/>
                <w:lang w:eastAsia="it-IT"/>
              </w:rPr>
            </w:pPr>
            <w:r w:rsidRPr="00C2587D">
              <w:rPr>
                <w:rFonts w:cs="Arial"/>
                <w:b/>
                <w:color w:val="000000"/>
                <w:lang w:eastAsia="it-IT"/>
              </w:rPr>
              <w:t>1400,0</w:t>
            </w:r>
          </w:p>
        </w:tc>
      </w:tr>
      <w:tr w:rsidR="00CE0431" w:rsidRPr="00C2587D" w14:paraId="1191B3A7" w14:textId="77777777" w:rsidTr="006478C2">
        <w:trPr>
          <w:jc w:val="center"/>
        </w:trPr>
        <w:tc>
          <w:tcPr>
            <w:tcW w:w="562" w:type="dxa"/>
            <w:shd w:val="clear" w:color="auto" w:fill="auto"/>
            <w:noWrap/>
            <w:vAlign w:val="center"/>
          </w:tcPr>
          <w:p w14:paraId="2AFFA612" w14:textId="07A505AB" w:rsidR="00CE0431" w:rsidRPr="00C2587D" w:rsidRDefault="00652A19" w:rsidP="006478C2">
            <w:pPr>
              <w:rPr>
                <w:rFonts w:cs="Arial"/>
                <w:bCs/>
                <w:color w:val="000000"/>
                <w:sz w:val="20"/>
                <w:szCs w:val="20"/>
                <w:lang w:eastAsia="uk-UA"/>
              </w:rPr>
            </w:pPr>
            <w:r w:rsidRPr="00C2587D">
              <w:rPr>
                <w:rFonts w:cs="Arial"/>
                <w:bCs/>
                <w:color w:val="000000"/>
                <w:sz w:val="20"/>
                <w:szCs w:val="20"/>
                <w:lang w:eastAsia="uk-UA"/>
              </w:rPr>
              <w:t>8</w:t>
            </w:r>
            <w:r w:rsidR="00CE0431" w:rsidRPr="00C2587D">
              <w:rPr>
                <w:rFonts w:cs="Arial"/>
                <w:bCs/>
                <w:color w:val="000000"/>
                <w:sz w:val="20"/>
                <w:szCs w:val="20"/>
                <w:lang w:eastAsia="uk-UA"/>
              </w:rPr>
              <w:t>.</w:t>
            </w:r>
          </w:p>
        </w:tc>
        <w:tc>
          <w:tcPr>
            <w:tcW w:w="4395" w:type="dxa"/>
            <w:shd w:val="clear" w:color="auto" w:fill="auto"/>
            <w:noWrap/>
            <w:vAlign w:val="center"/>
          </w:tcPr>
          <w:p w14:paraId="2C92BF2E" w14:textId="49FCB869" w:rsidR="00CE0431" w:rsidRPr="00C2587D" w:rsidRDefault="00CE0431" w:rsidP="006478C2">
            <w:pPr>
              <w:jc w:val="both"/>
              <w:rPr>
                <w:rFonts w:cs="Arial"/>
                <w:sz w:val="20"/>
                <w:szCs w:val="20"/>
              </w:rPr>
            </w:pPr>
            <w:r w:rsidRPr="00C2587D">
              <w:rPr>
                <w:rFonts w:cs="Arial"/>
                <w:sz w:val="20"/>
                <w:szCs w:val="20"/>
              </w:rPr>
              <w:t>«Територія дитинства: розвиток, творчість, пізнання»</w:t>
            </w:r>
          </w:p>
        </w:tc>
        <w:tc>
          <w:tcPr>
            <w:tcW w:w="1162" w:type="dxa"/>
            <w:noWrap/>
            <w:vAlign w:val="center"/>
          </w:tcPr>
          <w:p w14:paraId="14BD1BDC" w14:textId="2F28BC20" w:rsidR="00CE0431" w:rsidRPr="00C2587D" w:rsidRDefault="00CE0431" w:rsidP="00CE0431">
            <w:pPr>
              <w:jc w:val="center"/>
              <w:rPr>
                <w:rFonts w:cs="Arial"/>
                <w:sz w:val="20"/>
                <w:szCs w:val="20"/>
                <w:lang w:eastAsia="it-IT"/>
              </w:rPr>
            </w:pPr>
            <w:r w:rsidRPr="00C2587D">
              <w:rPr>
                <w:rFonts w:cs="Arial"/>
                <w:color w:val="000000"/>
                <w:sz w:val="20"/>
                <w:szCs w:val="20"/>
                <w:lang w:eastAsia="it-IT"/>
              </w:rPr>
              <w:t>120,0</w:t>
            </w:r>
          </w:p>
        </w:tc>
        <w:tc>
          <w:tcPr>
            <w:tcW w:w="1106" w:type="dxa"/>
            <w:shd w:val="clear" w:color="auto" w:fill="FFFFFF"/>
            <w:noWrap/>
            <w:vAlign w:val="center"/>
          </w:tcPr>
          <w:p w14:paraId="35E279B9" w14:textId="6B93E1FF" w:rsidR="00CE0431" w:rsidRPr="00C2587D" w:rsidRDefault="00CE0431" w:rsidP="00CE0431">
            <w:pPr>
              <w:jc w:val="center"/>
              <w:rPr>
                <w:rFonts w:cs="Arial"/>
                <w:sz w:val="20"/>
                <w:szCs w:val="20"/>
                <w:lang w:eastAsia="it-IT"/>
              </w:rPr>
            </w:pPr>
            <w:r w:rsidRPr="00C2587D">
              <w:rPr>
                <w:rFonts w:cs="Arial"/>
                <w:color w:val="000000"/>
                <w:sz w:val="20"/>
                <w:szCs w:val="20"/>
                <w:lang w:eastAsia="it-IT"/>
              </w:rPr>
              <w:t>220,0</w:t>
            </w:r>
          </w:p>
        </w:tc>
        <w:tc>
          <w:tcPr>
            <w:tcW w:w="1106" w:type="dxa"/>
            <w:shd w:val="clear" w:color="auto" w:fill="auto"/>
            <w:noWrap/>
            <w:vAlign w:val="center"/>
          </w:tcPr>
          <w:p w14:paraId="4C648DE4" w14:textId="1846C4D3" w:rsidR="00CE0431" w:rsidRPr="00C2587D" w:rsidRDefault="00CE0431" w:rsidP="00CE0431">
            <w:pPr>
              <w:jc w:val="center"/>
              <w:rPr>
                <w:rFonts w:cs="Arial"/>
                <w:sz w:val="20"/>
                <w:szCs w:val="20"/>
                <w:lang w:eastAsia="it-IT"/>
              </w:rPr>
            </w:pPr>
            <w:r w:rsidRPr="00C2587D">
              <w:rPr>
                <w:rFonts w:cs="Arial"/>
                <w:color w:val="000000"/>
                <w:sz w:val="20"/>
                <w:szCs w:val="20"/>
                <w:lang w:eastAsia="it-IT"/>
              </w:rPr>
              <w:t>220,0</w:t>
            </w:r>
          </w:p>
        </w:tc>
        <w:tc>
          <w:tcPr>
            <w:tcW w:w="736" w:type="dxa"/>
            <w:shd w:val="clear" w:color="auto" w:fill="FFFFFF"/>
            <w:noWrap/>
            <w:vAlign w:val="center"/>
          </w:tcPr>
          <w:p w14:paraId="48A43BF2" w14:textId="1C476760" w:rsidR="00CE0431" w:rsidRPr="00C2587D" w:rsidRDefault="00CE0431" w:rsidP="00CE0431">
            <w:pPr>
              <w:jc w:val="center"/>
              <w:rPr>
                <w:rFonts w:cs="Arial"/>
                <w:sz w:val="20"/>
                <w:szCs w:val="20"/>
                <w:lang w:eastAsia="it-IT"/>
              </w:rPr>
            </w:pPr>
            <w:r w:rsidRPr="00C2587D">
              <w:rPr>
                <w:rFonts w:cs="Arial"/>
                <w:color w:val="000000"/>
                <w:sz w:val="20"/>
                <w:szCs w:val="20"/>
                <w:lang w:eastAsia="it-IT"/>
              </w:rPr>
              <w:t>120,0</w:t>
            </w:r>
          </w:p>
        </w:tc>
        <w:tc>
          <w:tcPr>
            <w:tcW w:w="1273" w:type="dxa"/>
            <w:shd w:val="clear" w:color="auto" w:fill="FFFFFF"/>
            <w:vAlign w:val="center"/>
          </w:tcPr>
          <w:p w14:paraId="5F9C7DC4" w14:textId="3C86F46C" w:rsidR="00CE0431" w:rsidRPr="00C2587D" w:rsidRDefault="00CE0431" w:rsidP="00CE0431">
            <w:pPr>
              <w:jc w:val="center"/>
              <w:rPr>
                <w:rFonts w:cs="Arial"/>
                <w:b/>
                <w:sz w:val="20"/>
                <w:szCs w:val="20"/>
                <w:lang w:eastAsia="it-IT"/>
              </w:rPr>
            </w:pPr>
            <w:r w:rsidRPr="00C2587D">
              <w:rPr>
                <w:rFonts w:cs="Arial"/>
                <w:b/>
                <w:color w:val="000000"/>
                <w:lang w:eastAsia="it-IT"/>
              </w:rPr>
              <w:t>680,0</w:t>
            </w:r>
          </w:p>
        </w:tc>
      </w:tr>
      <w:tr w:rsidR="00CE0431" w:rsidRPr="00C2587D" w14:paraId="46A572DA" w14:textId="77777777" w:rsidTr="006478C2">
        <w:trPr>
          <w:trHeight w:val="706"/>
          <w:jc w:val="center"/>
        </w:trPr>
        <w:tc>
          <w:tcPr>
            <w:tcW w:w="562" w:type="dxa"/>
            <w:shd w:val="clear" w:color="auto" w:fill="auto"/>
            <w:noWrap/>
            <w:vAlign w:val="center"/>
          </w:tcPr>
          <w:p w14:paraId="1DA5D347" w14:textId="3A0E0E76" w:rsidR="00CE0431" w:rsidRPr="00C2587D" w:rsidRDefault="00652A19" w:rsidP="006478C2">
            <w:pPr>
              <w:rPr>
                <w:rFonts w:cs="Arial"/>
                <w:bCs/>
                <w:color w:val="000000"/>
                <w:sz w:val="20"/>
                <w:szCs w:val="20"/>
                <w:lang w:eastAsia="uk-UA"/>
              </w:rPr>
            </w:pPr>
            <w:r w:rsidRPr="00C2587D">
              <w:rPr>
                <w:rFonts w:cs="Arial"/>
                <w:bCs/>
                <w:color w:val="000000"/>
                <w:sz w:val="20"/>
                <w:szCs w:val="20"/>
                <w:lang w:eastAsia="uk-UA"/>
              </w:rPr>
              <w:lastRenderedPageBreak/>
              <w:t>9</w:t>
            </w:r>
            <w:r w:rsidR="00CE0431" w:rsidRPr="00C2587D">
              <w:rPr>
                <w:rFonts w:cs="Arial"/>
                <w:bCs/>
                <w:color w:val="000000"/>
                <w:sz w:val="20"/>
                <w:szCs w:val="20"/>
                <w:lang w:eastAsia="uk-UA"/>
              </w:rPr>
              <w:t>.</w:t>
            </w:r>
          </w:p>
        </w:tc>
        <w:tc>
          <w:tcPr>
            <w:tcW w:w="4395" w:type="dxa"/>
            <w:shd w:val="clear" w:color="auto" w:fill="auto"/>
            <w:noWrap/>
            <w:vAlign w:val="center"/>
          </w:tcPr>
          <w:p w14:paraId="7DA71AD0" w14:textId="6A955BB0" w:rsidR="00CE0431" w:rsidRPr="00C2587D" w:rsidRDefault="00CE0431" w:rsidP="006478C2">
            <w:pPr>
              <w:jc w:val="both"/>
              <w:rPr>
                <w:rFonts w:cs="Arial"/>
                <w:sz w:val="20"/>
                <w:szCs w:val="20"/>
              </w:rPr>
            </w:pPr>
            <w:r w:rsidRPr="00C2587D">
              <w:rPr>
                <w:rFonts w:cs="Arial"/>
                <w:sz w:val="20"/>
                <w:szCs w:val="20"/>
              </w:rPr>
              <w:t>«Відкрита бібліотека: простір знань, ідей і зустрічей»</w:t>
            </w:r>
          </w:p>
        </w:tc>
        <w:tc>
          <w:tcPr>
            <w:tcW w:w="1162" w:type="dxa"/>
            <w:noWrap/>
            <w:vAlign w:val="center"/>
          </w:tcPr>
          <w:p w14:paraId="0EBC9D78" w14:textId="14848213" w:rsidR="00CE0431" w:rsidRPr="00C2587D" w:rsidRDefault="00CE0431" w:rsidP="00CE0431">
            <w:pPr>
              <w:jc w:val="center"/>
              <w:rPr>
                <w:rFonts w:cs="Arial"/>
                <w:sz w:val="20"/>
                <w:szCs w:val="20"/>
                <w:lang w:eastAsia="it-IT"/>
              </w:rPr>
            </w:pPr>
            <w:r w:rsidRPr="00C2587D">
              <w:rPr>
                <w:rFonts w:cs="Arial"/>
                <w:color w:val="000000"/>
                <w:sz w:val="20"/>
                <w:szCs w:val="20"/>
                <w:lang w:eastAsia="it-IT"/>
              </w:rPr>
              <w:t>50,0</w:t>
            </w:r>
          </w:p>
        </w:tc>
        <w:tc>
          <w:tcPr>
            <w:tcW w:w="1106" w:type="dxa"/>
            <w:shd w:val="clear" w:color="auto" w:fill="FFFFFF"/>
            <w:noWrap/>
            <w:vAlign w:val="center"/>
          </w:tcPr>
          <w:p w14:paraId="74F1BA77" w14:textId="3A7EC1F5" w:rsidR="00CE0431" w:rsidRPr="00C2587D" w:rsidRDefault="00CE0431" w:rsidP="00CE0431">
            <w:pPr>
              <w:jc w:val="center"/>
              <w:rPr>
                <w:rFonts w:cs="Arial"/>
                <w:sz w:val="20"/>
                <w:szCs w:val="20"/>
                <w:lang w:eastAsia="it-IT"/>
              </w:rPr>
            </w:pPr>
            <w:r w:rsidRPr="00C2587D">
              <w:rPr>
                <w:rFonts w:cs="Arial"/>
                <w:color w:val="000000"/>
                <w:sz w:val="20"/>
                <w:szCs w:val="20"/>
                <w:lang w:eastAsia="it-IT"/>
              </w:rPr>
              <w:t>300,0</w:t>
            </w:r>
          </w:p>
        </w:tc>
        <w:tc>
          <w:tcPr>
            <w:tcW w:w="1106" w:type="dxa"/>
            <w:shd w:val="clear" w:color="auto" w:fill="auto"/>
            <w:noWrap/>
            <w:vAlign w:val="center"/>
          </w:tcPr>
          <w:p w14:paraId="788B5812" w14:textId="2BE3B08B" w:rsidR="00CE0431" w:rsidRPr="00C2587D" w:rsidRDefault="00CE0431" w:rsidP="00CE0431">
            <w:pPr>
              <w:jc w:val="center"/>
              <w:rPr>
                <w:rFonts w:cs="Arial"/>
                <w:sz w:val="20"/>
                <w:szCs w:val="20"/>
                <w:lang w:eastAsia="it-IT"/>
              </w:rPr>
            </w:pPr>
            <w:r w:rsidRPr="00C2587D">
              <w:rPr>
                <w:rFonts w:cs="Arial"/>
                <w:color w:val="000000"/>
                <w:sz w:val="20"/>
                <w:szCs w:val="20"/>
                <w:lang w:eastAsia="it-IT"/>
              </w:rPr>
              <w:t>200,0</w:t>
            </w:r>
          </w:p>
        </w:tc>
        <w:tc>
          <w:tcPr>
            <w:tcW w:w="736" w:type="dxa"/>
            <w:shd w:val="clear" w:color="auto" w:fill="FFFFFF"/>
            <w:noWrap/>
            <w:vAlign w:val="center"/>
          </w:tcPr>
          <w:p w14:paraId="14BE99A9" w14:textId="58F8847C" w:rsidR="00CE0431" w:rsidRPr="00C2587D" w:rsidRDefault="00CE0431" w:rsidP="00CE0431">
            <w:pPr>
              <w:jc w:val="center"/>
              <w:rPr>
                <w:rFonts w:cs="Arial"/>
                <w:sz w:val="20"/>
                <w:szCs w:val="20"/>
                <w:lang w:eastAsia="it-IT"/>
              </w:rPr>
            </w:pPr>
            <w:r w:rsidRPr="00C2587D">
              <w:rPr>
                <w:rFonts w:cs="Arial"/>
                <w:color w:val="000000"/>
                <w:sz w:val="20"/>
                <w:szCs w:val="20"/>
                <w:lang w:eastAsia="it-IT"/>
              </w:rPr>
              <w:t>200,0</w:t>
            </w:r>
          </w:p>
        </w:tc>
        <w:tc>
          <w:tcPr>
            <w:tcW w:w="1273" w:type="dxa"/>
            <w:shd w:val="clear" w:color="auto" w:fill="FFFFFF"/>
            <w:vAlign w:val="center"/>
          </w:tcPr>
          <w:p w14:paraId="6F19AA41" w14:textId="50FF6788" w:rsidR="00CE0431" w:rsidRPr="00C2587D" w:rsidRDefault="00CE0431" w:rsidP="00CE0431">
            <w:pPr>
              <w:jc w:val="center"/>
              <w:rPr>
                <w:rFonts w:cs="Arial"/>
                <w:b/>
                <w:sz w:val="20"/>
                <w:szCs w:val="20"/>
                <w:lang w:eastAsia="it-IT"/>
              </w:rPr>
            </w:pPr>
            <w:r w:rsidRPr="00C2587D">
              <w:rPr>
                <w:rFonts w:cs="Arial"/>
                <w:b/>
                <w:color w:val="000000"/>
                <w:lang w:eastAsia="it-IT"/>
              </w:rPr>
              <w:t>750,0</w:t>
            </w:r>
          </w:p>
        </w:tc>
      </w:tr>
      <w:tr w:rsidR="00A70C4C" w:rsidRPr="00C2587D" w14:paraId="5DF98DB0" w14:textId="77777777" w:rsidTr="006478C2">
        <w:trPr>
          <w:jc w:val="center"/>
        </w:trPr>
        <w:tc>
          <w:tcPr>
            <w:tcW w:w="562" w:type="dxa"/>
            <w:shd w:val="clear" w:color="auto" w:fill="auto"/>
            <w:noWrap/>
            <w:vAlign w:val="center"/>
          </w:tcPr>
          <w:p w14:paraId="5433FD1F" w14:textId="63DA026B" w:rsidR="00A70C4C" w:rsidRPr="00C2587D" w:rsidRDefault="00652A19" w:rsidP="006478C2">
            <w:pPr>
              <w:rPr>
                <w:rFonts w:cs="Arial"/>
                <w:bCs/>
                <w:color w:val="000000"/>
                <w:sz w:val="20"/>
                <w:szCs w:val="20"/>
                <w:lang w:eastAsia="uk-UA"/>
              </w:rPr>
            </w:pPr>
            <w:r w:rsidRPr="00C2587D">
              <w:rPr>
                <w:rFonts w:cs="Arial"/>
                <w:bCs/>
                <w:color w:val="000000"/>
                <w:sz w:val="20"/>
                <w:szCs w:val="20"/>
                <w:lang w:eastAsia="uk-UA"/>
              </w:rPr>
              <w:t>10</w:t>
            </w:r>
            <w:r w:rsidR="00A70C4C" w:rsidRPr="00C2587D">
              <w:rPr>
                <w:rFonts w:cs="Arial"/>
                <w:bCs/>
                <w:color w:val="000000"/>
                <w:sz w:val="20"/>
                <w:szCs w:val="20"/>
                <w:lang w:eastAsia="uk-UA"/>
              </w:rPr>
              <w:t>.</w:t>
            </w:r>
          </w:p>
        </w:tc>
        <w:tc>
          <w:tcPr>
            <w:tcW w:w="4395" w:type="dxa"/>
            <w:shd w:val="clear" w:color="auto" w:fill="auto"/>
            <w:noWrap/>
            <w:vAlign w:val="center"/>
          </w:tcPr>
          <w:p w14:paraId="698265A0" w14:textId="5650A72C" w:rsidR="00A70C4C" w:rsidRPr="00C2587D" w:rsidRDefault="00A70C4C" w:rsidP="006478C2">
            <w:pPr>
              <w:jc w:val="both"/>
              <w:rPr>
                <w:rFonts w:cs="Arial"/>
                <w:sz w:val="20"/>
                <w:szCs w:val="20"/>
              </w:rPr>
            </w:pPr>
            <w:r w:rsidRPr="00C2587D">
              <w:rPr>
                <w:rFonts w:cs="Arial"/>
                <w:sz w:val="20"/>
                <w:szCs w:val="20"/>
              </w:rPr>
              <w:t>«Сучасна книга – сучасному читачу»: поповнення та оновлення</w:t>
            </w:r>
            <w:r w:rsidR="00CC7D56">
              <w:rPr>
                <w:rFonts w:cs="Arial"/>
                <w:sz w:val="20"/>
                <w:szCs w:val="20"/>
              </w:rPr>
              <w:t xml:space="preserve"> </w:t>
            </w:r>
            <w:r w:rsidRPr="00C2587D">
              <w:rPr>
                <w:rFonts w:cs="Arial"/>
                <w:sz w:val="20"/>
                <w:szCs w:val="20"/>
              </w:rPr>
              <w:t>бібліотечних фондів Жмеринської ТГ</w:t>
            </w:r>
          </w:p>
        </w:tc>
        <w:tc>
          <w:tcPr>
            <w:tcW w:w="1162" w:type="dxa"/>
            <w:noWrap/>
            <w:vAlign w:val="center"/>
          </w:tcPr>
          <w:p w14:paraId="4A81A362" w14:textId="18104144" w:rsidR="00A70C4C" w:rsidRPr="00C2587D" w:rsidRDefault="00A70C4C" w:rsidP="00A70C4C">
            <w:pPr>
              <w:jc w:val="center"/>
              <w:rPr>
                <w:rFonts w:cs="Arial"/>
                <w:sz w:val="20"/>
                <w:szCs w:val="20"/>
                <w:lang w:eastAsia="it-IT"/>
              </w:rPr>
            </w:pPr>
            <w:r w:rsidRPr="00C2587D">
              <w:rPr>
                <w:rFonts w:cs="Arial"/>
                <w:color w:val="000000"/>
                <w:sz w:val="20"/>
                <w:szCs w:val="20"/>
                <w:lang w:eastAsia="it-IT"/>
              </w:rPr>
              <w:t>100,0</w:t>
            </w:r>
          </w:p>
        </w:tc>
        <w:tc>
          <w:tcPr>
            <w:tcW w:w="1106" w:type="dxa"/>
            <w:shd w:val="clear" w:color="auto" w:fill="FFFFFF"/>
            <w:noWrap/>
            <w:vAlign w:val="center"/>
          </w:tcPr>
          <w:p w14:paraId="6A65D4E5" w14:textId="42A48FCA" w:rsidR="00A70C4C" w:rsidRPr="00C2587D" w:rsidRDefault="00A70C4C" w:rsidP="00A70C4C">
            <w:pPr>
              <w:jc w:val="center"/>
              <w:rPr>
                <w:rFonts w:cs="Arial"/>
                <w:sz w:val="20"/>
                <w:szCs w:val="20"/>
                <w:lang w:eastAsia="it-IT"/>
              </w:rPr>
            </w:pPr>
            <w:r w:rsidRPr="00C2587D">
              <w:rPr>
                <w:rFonts w:cs="Arial"/>
                <w:color w:val="000000"/>
                <w:sz w:val="20"/>
                <w:szCs w:val="20"/>
                <w:lang w:eastAsia="it-IT"/>
              </w:rPr>
              <w:t>1600,0</w:t>
            </w:r>
          </w:p>
        </w:tc>
        <w:tc>
          <w:tcPr>
            <w:tcW w:w="1106" w:type="dxa"/>
            <w:shd w:val="clear" w:color="auto" w:fill="auto"/>
            <w:noWrap/>
            <w:vAlign w:val="center"/>
          </w:tcPr>
          <w:p w14:paraId="5FA53D6A" w14:textId="3E2D1A2A" w:rsidR="00A70C4C" w:rsidRPr="00C2587D" w:rsidRDefault="00A70C4C" w:rsidP="00A70C4C">
            <w:pPr>
              <w:jc w:val="center"/>
              <w:rPr>
                <w:rFonts w:cs="Arial"/>
                <w:sz w:val="20"/>
                <w:szCs w:val="20"/>
                <w:lang w:eastAsia="it-IT"/>
              </w:rPr>
            </w:pPr>
            <w:r w:rsidRPr="00C2587D">
              <w:rPr>
                <w:rFonts w:cs="Arial"/>
                <w:color w:val="000000"/>
                <w:sz w:val="20"/>
                <w:szCs w:val="20"/>
                <w:lang w:eastAsia="it-IT"/>
              </w:rPr>
              <w:t>1600,0</w:t>
            </w:r>
          </w:p>
        </w:tc>
        <w:tc>
          <w:tcPr>
            <w:tcW w:w="736" w:type="dxa"/>
            <w:shd w:val="clear" w:color="auto" w:fill="FFFFFF"/>
            <w:noWrap/>
            <w:vAlign w:val="center"/>
          </w:tcPr>
          <w:p w14:paraId="6131FEBF" w14:textId="635198AB" w:rsidR="00A70C4C" w:rsidRPr="00C2587D" w:rsidRDefault="00A70C4C" w:rsidP="00A70C4C">
            <w:pPr>
              <w:jc w:val="center"/>
              <w:rPr>
                <w:rFonts w:cs="Arial"/>
                <w:sz w:val="20"/>
                <w:szCs w:val="20"/>
                <w:lang w:eastAsia="it-IT"/>
              </w:rPr>
            </w:pPr>
            <w:r w:rsidRPr="00C2587D">
              <w:rPr>
                <w:rFonts w:cs="Arial"/>
                <w:color w:val="000000"/>
                <w:sz w:val="20"/>
                <w:szCs w:val="20"/>
                <w:lang w:eastAsia="it-IT"/>
              </w:rPr>
              <w:t>1600,0</w:t>
            </w:r>
          </w:p>
        </w:tc>
        <w:tc>
          <w:tcPr>
            <w:tcW w:w="1273" w:type="dxa"/>
            <w:shd w:val="clear" w:color="auto" w:fill="FFFFFF"/>
            <w:vAlign w:val="center"/>
          </w:tcPr>
          <w:p w14:paraId="5606CD29" w14:textId="4C5AC90A" w:rsidR="00A70C4C" w:rsidRPr="00C2587D" w:rsidRDefault="00A70C4C" w:rsidP="00A70C4C">
            <w:pPr>
              <w:jc w:val="center"/>
              <w:rPr>
                <w:rFonts w:cs="Arial"/>
                <w:b/>
                <w:sz w:val="20"/>
                <w:szCs w:val="20"/>
                <w:lang w:eastAsia="it-IT"/>
              </w:rPr>
            </w:pPr>
            <w:r w:rsidRPr="00C2587D">
              <w:rPr>
                <w:rFonts w:cs="Arial"/>
                <w:b/>
                <w:color w:val="000000"/>
                <w:lang w:eastAsia="it-IT"/>
              </w:rPr>
              <w:t>4900,0</w:t>
            </w:r>
          </w:p>
        </w:tc>
      </w:tr>
      <w:tr w:rsidR="00CE0431" w:rsidRPr="00C2587D" w14:paraId="4BA4B47F" w14:textId="77777777" w:rsidTr="006478C2">
        <w:trPr>
          <w:jc w:val="center"/>
        </w:trPr>
        <w:tc>
          <w:tcPr>
            <w:tcW w:w="562" w:type="dxa"/>
            <w:shd w:val="clear" w:color="auto" w:fill="auto"/>
            <w:noWrap/>
            <w:vAlign w:val="center"/>
          </w:tcPr>
          <w:p w14:paraId="49BD7313" w14:textId="16871BE7" w:rsidR="00CE0431" w:rsidRPr="00C2587D" w:rsidRDefault="00652A19" w:rsidP="006478C2">
            <w:pPr>
              <w:rPr>
                <w:rFonts w:cs="Arial"/>
                <w:bCs/>
                <w:color w:val="000000"/>
                <w:sz w:val="20"/>
                <w:szCs w:val="20"/>
                <w:lang w:eastAsia="uk-UA"/>
              </w:rPr>
            </w:pPr>
            <w:r w:rsidRPr="00C2587D">
              <w:rPr>
                <w:rFonts w:cs="Arial"/>
                <w:bCs/>
                <w:color w:val="000000"/>
                <w:sz w:val="20"/>
                <w:szCs w:val="20"/>
                <w:lang w:eastAsia="uk-UA"/>
              </w:rPr>
              <w:t>11</w:t>
            </w:r>
            <w:r w:rsidR="00CE0431" w:rsidRPr="00C2587D">
              <w:rPr>
                <w:rFonts w:cs="Arial"/>
                <w:bCs/>
                <w:color w:val="000000"/>
                <w:sz w:val="20"/>
                <w:szCs w:val="20"/>
                <w:lang w:eastAsia="uk-UA"/>
              </w:rPr>
              <w:t>.</w:t>
            </w:r>
          </w:p>
        </w:tc>
        <w:tc>
          <w:tcPr>
            <w:tcW w:w="4395" w:type="dxa"/>
            <w:shd w:val="clear" w:color="auto" w:fill="auto"/>
            <w:noWrap/>
            <w:vAlign w:val="center"/>
          </w:tcPr>
          <w:p w14:paraId="03F48D74" w14:textId="764E28AE" w:rsidR="00CE0431" w:rsidRPr="00C2587D" w:rsidRDefault="00CE0431" w:rsidP="006478C2">
            <w:pPr>
              <w:jc w:val="both"/>
              <w:rPr>
                <w:rFonts w:cs="Arial"/>
                <w:sz w:val="20"/>
                <w:szCs w:val="20"/>
                <w:lang w:eastAsia="it-IT"/>
              </w:rPr>
            </w:pPr>
            <w:r w:rsidRPr="00C2587D">
              <w:rPr>
                <w:rFonts w:cs="Arial"/>
                <w:sz w:val="20"/>
                <w:szCs w:val="20"/>
                <w:lang w:eastAsia="it-IT"/>
              </w:rPr>
              <w:t>«Культура без обмежень: створення безбар’єрного простору у</w:t>
            </w:r>
            <w:r w:rsidR="00CC7D56">
              <w:rPr>
                <w:rFonts w:cs="Arial"/>
                <w:sz w:val="20"/>
                <w:szCs w:val="20"/>
                <w:lang w:eastAsia="it-IT"/>
              </w:rPr>
              <w:t xml:space="preserve"> </w:t>
            </w:r>
            <w:r w:rsidRPr="00C2587D">
              <w:rPr>
                <w:rFonts w:cs="Arial"/>
                <w:sz w:val="20"/>
                <w:szCs w:val="20"/>
                <w:lang w:eastAsia="it-IT"/>
              </w:rPr>
              <w:t>закладах культури Жмеринської громади»</w:t>
            </w:r>
          </w:p>
        </w:tc>
        <w:tc>
          <w:tcPr>
            <w:tcW w:w="1162" w:type="dxa"/>
            <w:noWrap/>
            <w:vAlign w:val="center"/>
          </w:tcPr>
          <w:p w14:paraId="57E33DAE" w14:textId="08E96756" w:rsidR="00CE0431" w:rsidRPr="00C2587D" w:rsidRDefault="00CE0431" w:rsidP="00CE0431">
            <w:pPr>
              <w:jc w:val="center"/>
              <w:rPr>
                <w:rFonts w:cs="Arial"/>
                <w:sz w:val="20"/>
                <w:szCs w:val="20"/>
                <w:lang w:eastAsia="it-IT"/>
              </w:rPr>
            </w:pPr>
            <w:r w:rsidRPr="00C2587D">
              <w:rPr>
                <w:rFonts w:cs="Arial"/>
                <w:color w:val="000000"/>
                <w:sz w:val="20"/>
                <w:szCs w:val="20"/>
                <w:lang w:eastAsia="it-IT"/>
              </w:rPr>
              <w:t>50,0</w:t>
            </w:r>
          </w:p>
        </w:tc>
        <w:tc>
          <w:tcPr>
            <w:tcW w:w="1106" w:type="dxa"/>
            <w:shd w:val="clear" w:color="auto" w:fill="FFFFFF"/>
            <w:noWrap/>
            <w:vAlign w:val="center"/>
          </w:tcPr>
          <w:p w14:paraId="43C2324C" w14:textId="67895296" w:rsidR="00CE0431" w:rsidRPr="00C2587D" w:rsidRDefault="00CE0431" w:rsidP="00CE0431">
            <w:pPr>
              <w:jc w:val="center"/>
              <w:rPr>
                <w:rFonts w:cs="Arial"/>
                <w:color w:val="000000"/>
                <w:sz w:val="20"/>
                <w:szCs w:val="20"/>
                <w:lang w:eastAsia="it-IT"/>
              </w:rPr>
            </w:pPr>
            <w:r w:rsidRPr="00C2587D">
              <w:rPr>
                <w:rFonts w:cs="Arial"/>
                <w:color w:val="000000"/>
                <w:sz w:val="20"/>
                <w:szCs w:val="20"/>
                <w:lang w:eastAsia="it-IT"/>
              </w:rPr>
              <w:t>300,0</w:t>
            </w:r>
          </w:p>
        </w:tc>
        <w:tc>
          <w:tcPr>
            <w:tcW w:w="1106" w:type="dxa"/>
            <w:shd w:val="clear" w:color="auto" w:fill="auto"/>
            <w:noWrap/>
            <w:vAlign w:val="center"/>
          </w:tcPr>
          <w:p w14:paraId="0C1071A4" w14:textId="10BF692C" w:rsidR="00CE0431" w:rsidRPr="00C2587D" w:rsidRDefault="00CE0431" w:rsidP="00CE0431">
            <w:pPr>
              <w:jc w:val="center"/>
              <w:rPr>
                <w:rFonts w:cs="Arial"/>
                <w:color w:val="000000"/>
                <w:sz w:val="20"/>
                <w:szCs w:val="20"/>
                <w:lang w:eastAsia="it-IT"/>
              </w:rPr>
            </w:pPr>
            <w:r w:rsidRPr="00C2587D">
              <w:rPr>
                <w:rFonts w:cs="Arial"/>
                <w:color w:val="000000"/>
                <w:sz w:val="20"/>
                <w:szCs w:val="20"/>
                <w:lang w:eastAsia="it-IT"/>
              </w:rPr>
              <w:t>250,0</w:t>
            </w:r>
          </w:p>
        </w:tc>
        <w:tc>
          <w:tcPr>
            <w:tcW w:w="736" w:type="dxa"/>
            <w:shd w:val="clear" w:color="auto" w:fill="FFFFFF"/>
            <w:noWrap/>
            <w:vAlign w:val="center"/>
          </w:tcPr>
          <w:p w14:paraId="6DE466DC" w14:textId="1F24CD1B" w:rsidR="00CE0431" w:rsidRPr="00C2587D" w:rsidRDefault="00CE0431" w:rsidP="00CE0431">
            <w:pPr>
              <w:jc w:val="center"/>
              <w:rPr>
                <w:rFonts w:cs="Arial"/>
                <w:color w:val="000000"/>
                <w:sz w:val="20"/>
                <w:szCs w:val="20"/>
                <w:lang w:eastAsia="it-IT"/>
              </w:rPr>
            </w:pPr>
            <w:r w:rsidRPr="00C2587D">
              <w:rPr>
                <w:rFonts w:cs="Arial"/>
                <w:color w:val="000000"/>
                <w:sz w:val="20"/>
                <w:szCs w:val="20"/>
                <w:lang w:eastAsia="it-IT"/>
              </w:rPr>
              <w:t>200,0</w:t>
            </w:r>
          </w:p>
        </w:tc>
        <w:tc>
          <w:tcPr>
            <w:tcW w:w="1273" w:type="dxa"/>
            <w:shd w:val="clear" w:color="auto" w:fill="FFFFFF"/>
            <w:vAlign w:val="center"/>
          </w:tcPr>
          <w:p w14:paraId="6E4AEE4B" w14:textId="01F57578" w:rsidR="00CE0431" w:rsidRPr="00C2587D" w:rsidRDefault="00CE0431" w:rsidP="00CE0431">
            <w:pPr>
              <w:jc w:val="center"/>
              <w:rPr>
                <w:rFonts w:cs="Arial"/>
                <w:b/>
                <w:color w:val="000000"/>
                <w:sz w:val="20"/>
                <w:szCs w:val="20"/>
                <w:lang w:eastAsia="it-IT"/>
              </w:rPr>
            </w:pPr>
            <w:r w:rsidRPr="00C2587D">
              <w:rPr>
                <w:rFonts w:cs="Arial"/>
                <w:b/>
                <w:color w:val="000000"/>
                <w:lang w:eastAsia="it-IT"/>
              </w:rPr>
              <w:t>800,0</w:t>
            </w:r>
          </w:p>
        </w:tc>
      </w:tr>
      <w:tr w:rsidR="00A70C4C" w:rsidRPr="00C2587D" w14:paraId="76ED453C" w14:textId="77777777" w:rsidTr="006478C2">
        <w:trPr>
          <w:jc w:val="center"/>
        </w:trPr>
        <w:tc>
          <w:tcPr>
            <w:tcW w:w="562" w:type="dxa"/>
            <w:shd w:val="clear" w:color="auto" w:fill="auto"/>
            <w:noWrap/>
            <w:vAlign w:val="center"/>
          </w:tcPr>
          <w:p w14:paraId="6C2B7403" w14:textId="5846311A" w:rsidR="00A70C4C" w:rsidRPr="00C2587D" w:rsidRDefault="00652A19" w:rsidP="006478C2">
            <w:pPr>
              <w:rPr>
                <w:rFonts w:cs="Arial"/>
                <w:bCs/>
                <w:color w:val="000000"/>
                <w:sz w:val="20"/>
                <w:szCs w:val="20"/>
                <w:lang w:eastAsia="uk-UA"/>
              </w:rPr>
            </w:pPr>
            <w:r w:rsidRPr="00C2587D">
              <w:rPr>
                <w:rFonts w:cs="Arial"/>
                <w:bCs/>
                <w:color w:val="000000"/>
                <w:sz w:val="20"/>
                <w:szCs w:val="20"/>
                <w:lang w:eastAsia="uk-UA"/>
              </w:rPr>
              <w:t>12.</w:t>
            </w:r>
          </w:p>
        </w:tc>
        <w:tc>
          <w:tcPr>
            <w:tcW w:w="4395" w:type="dxa"/>
            <w:shd w:val="clear" w:color="auto" w:fill="auto"/>
            <w:noWrap/>
            <w:vAlign w:val="center"/>
          </w:tcPr>
          <w:p w14:paraId="5A0E7A12" w14:textId="118B313D" w:rsidR="00A70C4C" w:rsidRPr="00C2587D" w:rsidRDefault="00A70C4C" w:rsidP="006478C2">
            <w:pPr>
              <w:jc w:val="both"/>
              <w:rPr>
                <w:rFonts w:cs="Arial"/>
                <w:sz w:val="20"/>
                <w:szCs w:val="20"/>
                <w:lang w:eastAsia="it-IT"/>
              </w:rPr>
            </w:pPr>
            <w:r w:rsidRPr="00C2587D">
              <w:rPr>
                <w:rFonts w:cs="Arial"/>
                <w:sz w:val="20"/>
                <w:szCs w:val="20"/>
                <w:lang w:eastAsia="it-IT"/>
              </w:rPr>
              <w:t>«Реконструкція системи опалення Центру культури і дозвілля із встановленням модульної котельні»</w:t>
            </w:r>
          </w:p>
        </w:tc>
        <w:tc>
          <w:tcPr>
            <w:tcW w:w="1162" w:type="dxa"/>
            <w:noWrap/>
            <w:vAlign w:val="center"/>
          </w:tcPr>
          <w:p w14:paraId="786DDC6D" w14:textId="3D352F51" w:rsidR="00A70C4C" w:rsidRPr="00C2587D" w:rsidRDefault="00A70C4C" w:rsidP="00A70C4C">
            <w:pPr>
              <w:jc w:val="center"/>
              <w:rPr>
                <w:rFonts w:cs="Arial"/>
                <w:sz w:val="20"/>
                <w:szCs w:val="20"/>
                <w:lang w:eastAsia="it-IT"/>
              </w:rPr>
            </w:pPr>
            <w:r w:rsidRPr="00C2587D">
              <w:rPr>
                <w:rFonts w:cs="Arial"/>
                <w:color w:val="000000"/>
                <w:sz w:val="20"/>
                <w:szCs w:val="20"/>
                <w:lang w:eastAsia="it-IT"/>
              </w:rPr>
              <w:t>3000,0</w:t>
            </w:r>
          </w:p>
        </w:tc>
        <w:tc>
          <w:tcPr>
            <w:tcW w:w="1106" w:type="dxa"/>
            <w:shd w:val="clear" w:color="auto" w:fill="FFFFFF"/>
            <w:noWrap/>
            <w:vAlign w:val="center"/>
          </w:tcPr>
          <w:p w14:paraId="29AE4446" w14:textId="3C64F8E3" w:rsidR="00A70C4C" w:rsidRPr="00C2587D" w:rsidRDefault="00A70C4C" w:rsidP="00A70C4C">
            <w:pPr>
              <w:jc w:val="center"/>
              <w:rPr>
                <w:rFonts w:cs="Arial"/>
                <w:color w:val="000000"/>
                <w:sz w:val="20"/>
                <w:szCs w:val="20"/>
                <w:lang w:eastAsia="it-IT"/>
              </w:rPr>
            </w:pPr>
            <w:r w:rsidRPr="00C2587D">
              <w:rPr>
                <w:rFonts w:cs="Arial"/>
                <w:color w:val="000000"/>
                <w:sz w:val="20"/>
                <w:szCs w:val="20"/>
                <w:lang w:eastAsia="it-IT"/>
              </w:rPr>
              <w:t>-</w:t>
            </w:r>
          </w:p>
        </w:tc>
        <w:tc>
          <w:tcPr>
            <w:tcW w:w="1106" w:type="dxa"/>
            <w:shd w:val="clear" w:color="auto" w:fill="auto"/>
            <w:noWrap/>
            <w:vAlign w:val="center"/>
          </w:tcPr>
          <w:p w14:paraId="1D7E02E1" w14:textId="08ACFABA" w:rsidR="00A70C4C" w:rsidRPr="00C2587D" w:rsidRDefault="00A70C4C" w:rsidP="00A70C4C">
            <w:pPr>
              <w:jc w:val="center"/>
              <w:rPr>
                <w:rFonts w:cs="Arial"/>
                <w:color w:val="000000"/>
                <w:sz w:val="20"/>
                <w:szCs w:val="20"/>
                <w:lang w:eastAsia="it-IT"/>
              </w:rPr>
            </w:pPr>
            <w:r w:rsidRPr="00C2587D">
              <w:rPr>
                <w:rFonts w:cs="Arial"/>
                <w:color w:val="000000"/>
                <w:sz w:val="20"/>
                <w:szCs w:val="20"/>
                <w:lang w:eastAsia="it-IT"/>
              </w:rPr>
              <w:t>-</w:t>
            </w:r>
          </w:p>
        </w:tc>
        <w:tc>
          <w:tcPr>
            <w:tcW w:w="736" w:type="dxa"/>
            <w:shd w:val="clear" w:color="auto" w:fill="FFFFFF"/>
            <w:noWrap/>
            <w:vAlign w:val="center"/>
          </w:tcPr>
          <w:p w14:paraId="0641363A" w14:textId="6F1B7860" w:rsidR="00A70C4C" w:rsidRPr="00C2587D" w:rsidRDefault="00A70C4C" w:rsidP="00A70C4C">
            <w:pPr>
              <w:jc w:val="center"/>
              <w:rPr>
                <w:rFonts w:cs="Arial"/>
                <w:color w:val="000000"/>
                <w:sz w:val="20"/>
                <w:szCs w:val="20"/>
                <w:lang w:eastAsia="it-IT"/>
              </w:rPr>
            </w:pPr>
            <w:r w:rsidRPr="00C2587D">
              <w:rPr>
                <w:rFonts w:cs="Arial"/>
                <w:color w:val="000000"/>
                <w:sz w:val="20"/>
                <w:szCs w:val="20"/>
                <w:lang w:eastAsia="it-IT"/>
              </w:rPr>
              <w:t>-</w:t>
            </w:r>
          </w:p>
        </w:tc>
        <w:tc>
          <w:tcPr>
            <w:tcW w:w="1273" w:type="dxa"/>
            <w:shd w:val="clear" w:color="auto" w:fill="FFFFFF"/>
            <w:vAlign w:val="center"/>
          </w:tcPr>
          <w:p w14:paraId="0ECA034C" w14:textId="0BE5EDAB" w:rsidR="00A70C4C" w:rsidRPr="00C2587D" w:rsidRDefault="00A70C4C" w:rsidP="00A70C4C">
            <w:pPr>
              <w:jc w:val="center"/>
              <w:rPr>
                <w:rFonts w:cs="Arial"/>
                <w:b/>
                <w:color w:val="000000"/>
                <w:sz w:val="20"/>
                <w:szCs w:val="20"/>
                <w:lang w:eastAsia="it-IT"/>
              </w:rPr>
            </w:pPr>
            <w:r w:rsidRPr="00C2587D">
              <w:rPr>
                <w:rFonts w:cs="Arial"/>
                <w:b/>
                <w:color w:val="000000"/>
                <w:lang w:eastAsia="it-IT"/>
              </w:rPr>
              <w:t>3000,0</w:t>
            </w:r>
          </w:p>
        </w:tc>
      </w:tr>
      <w:tr w:rsidR="002C0ED7" w:rsidRPr="00C2587D" w14:paraId="4B559ED1" w14:textId="77777777" w:rsidTr="006478C2">
        <w:trPr>
          <w:jc w:val="center"/>
        </w:trPr>
        <w:tc>
          <w:tcPr>
            <w:tcW w:w="562" w:type="dxa"/>
            <w:shd w:val="clear" w:color="auto" w:fill="auto"/>
            <w:noWrap/>
            <w:vAlign w:val="center"/>
          </w:tcPr>
          <w:p w14:paraId="08AD52B8" w14:textId="1E7FCACB" w:rsidR="002C0ED7" w:rsidRPr="00C2587D" w:rsidRDefault="00652A19" w:rsidP="006478C2">
            <w:pPr>
              <w:rPr>
                <w:rFonts w:cs="Arial"/>
                <w:bCs/>
                <w:color w:val="000000"/>
                <w:sz w:val="20"/>
                <w:szCs w:val="20"/>
                <w:lang w:eastAsia="uk-UA"/>
              </w:rPr>
            </w:pPr>
            <w:r w:rsidRPr="00C2587D">
              <w:rPr>
                <w:rFonts w:cs="Arial"/>
                <w:bCs/>
                <w:color w:val="000000"/>
                <w:sz w:val="20"/>
                <w:szCs w:val="20"/>
                <w:lang w:eastAsia="uk-UA"/>
              </w:rPr>
              <w:t>13</w:t>
            </w:r>
            <w:r w:rsidR="002C0ED7" w:rsidRPr="00C2587D">
              <w:rPr>
                <w:rFonts w:cs="Arial"/>
                <w:bCs/>
                <w:color w:val="000000"/>
                <w:sz w:val="20"/>
                <w:szCs w:val="20"/>
                <w:lang w:eastAsia="uk-UA"/>
              </w:rPr>
              <w:t>.</w:t>
            </w:r>
          </w:p>
        </w:tc>
        <w:tc>
          <w:tcPr>
            <w:tcW w:w="4395" w:type="dxa"/>
            <w:shd w:val="clear" w:color="auto" w:fill="auto"/>
            <w:noWrap/>
            <w:vAlign w:val="center"/>
          </w:tcPr>
          <w:p w14:paraId="7C4B0381" w14:textId="34ECBDE8" w:rsidR="002C0ED7" w:rsidRPr="00C2587D" w:rsidRDefault="002C0ED7" w:rsidP="006478C2">
            <w:pPr>
              <w:spacing w:before="40" w:after="40"/>
              <w:jc w:val="both"/>
              <w:rPr>
                <w:rFonts w:cs="Arial"/>
                <w:bCs/>
                <w:color w:val="FF0000"/>
                <w:sz w:val="20"/>
                <w:szCs w:val="20"/>
                <w:lang w:eastAsia="uk-UA"/>
              </w:rPr>
            </w:pPr>
            <w:r w:rsidRPr="00C2587D">
              <w:rPr>
                <w:rFonts w:cs="Arial"/>
                <w:bCs/>
                <w:sz w:val="20"/>
                <w:szCs w:val="20"/>
                <w:lang w:eastAsia="it-IT"/>
              </w:rPr>
              <w:t>Капітальний ремонт запасного футбольного поля на території КП «Парковий культурно-спортивний комплекс»</w:t>
            </w:r>
          </w:p>
        </w:tc>
        <w:tc>
          <w:tcPr>
            <w:tcW w:w="1162" w:type="dxa"/>
            <w:shd w:val="clear" w:color="auto" w:fill="auto"/>
            <w:noWrap/>
            <w:vAlign w:val="center"/>
          </w:tcPr>
          <w:p w14:paraId="64D26193" w14:textId="70837984" w:rsidR="002C0ED7" w:rsidRPr="00C2587D" w:rsidRDefault="002C0ED7" w:rsidP="002C0ED7">
            <w:pPr>
              <w:jc w:val="center"/>
              <w:rPr>
                <w:rFonts w:cs="Arial"/>
                <w:color w:val="000000"/>
                <w:sz w:val="20"/>
                <w:szCs w:val="20"/>
                <w:lang w:eastAsia="it-IT"/>
              </w:rPr>
            </w:pPr>
          </w:p>
        </w:tc>
        <w:tc>
          <w:tcPr>
            <w:tcW w:w="1106" w:type="dxa"/>
            <w:shd w:val="clear" w:color="auto" w:fill="auto"/>
            <w:noWrap/>
            <w:vAlign w:val="center"/>
          </w:tcPr>
          <w:p w14:paraId="75F62C06" w14:textId="1E56518E" w:rsidR="002C0ED7" w:rsidRPr="00C2587D" w:rsidRDefault="002C0ED7" w:rsidP="002C0ED7">
            <w:pPr>
              <w:jc w:val="center"/>
              <w:rPr>
                <w:rFonts w:cs="Arial"/>
                <w:color w:val="000000"/>
                <w:sz w:val="20"/>
                <w:szCs w:val="20"/>
                <w:lang w:eastAsia="it-IT"/>
              </w:rPr>
            </w:pPr>
          </w:p>
        </w:tc>
        <w:tc>
          <w:tcPr>
            <w:tcW w:w="1106" w:type="dxa"/>
            <w:shd w:val="clear" w:color="auto" w:fill="auto"/>
            <w:noWrap/>
            <w:vAlign w:val="center"/>
          </w:tcPr>
          <w:p w14:paraId="0003EA67" w14:textId="21933E44" w:rsidR="002C0ED7" w:rsidRPr="00C2587D" w:rsidRDefault="00E631AE" w:rsidP="002C0ED7">
            <w:pPr>
              <w:jc w:val="center"/>
              <w:rPr>
                <w:rFonts w:cs="Arial"/>
                <w:color w:val="000000"/>
                <w:sz w:val="20"/>
                <w:szCs w:val="20"/>
                <w:lang w:eastAsia="it-IT"/>
              </w:rPr>
            </w:pPr>
            <w:r w:rsidRPr="00C2587D">
              <w:rPr>
                <w:rFonts w:cs="Arial"/>
                <w:color w:val="000000"/>
                <w:sz w:val="20"/>
                <w:szCs w:val="20"/>
                <w:lang w:eastAsia="it-IT"/>
              </w:rPr>
              <w:t>3 600,0</w:t>
            </w:r>
          </w:p>
        </w:tc>
        <w:tc>
          <w:tcPr>
            <w:tcW w:w="736" w:type="dxa"/>
            <w:shd w:val="clear" w:color="auto" w:fill="auto"/>
            <w:noWrap/>
            <w:vAlign w:val="center"/>
          </w:tcPr>
          <w:p w14:paraId="31442D96" w14:textId="5219D8F8" w:rsidR="002C0ED7" w:rsidRPr="00C2587D" w:rsidRDefault="002C0ED7" w:rsidP="002C0ED7">
            <w:pPr>
              <w:jc w:val="center"/>
              <w:rPr>
                <w:rFonts w:cs="Arial"/>
                <w:color w:val="000000"/>
                <w:sz w:val="20"/>
                <w:szCs w:val="20"/>
                <w:lang w:eastAsia="it-IT"/>
              </w:rPr>
            </w:pPr>
          </w:p>
        </w:tc>
        <w:tc>
          <w:tcPr>
            <w:tcW w:w="1273" w:type="dxa"/>
            <w:vAlign w:val="center"/>
          </w:tcPr>
          <w:p w14:paraId="1F95A7DD" w14:textId="7E4D9EFE" w:rsidR="002C0ED7" w:rsidRPr="00C2587D" w:rsidRDefault="00E631AE" w:rsidP="002C0ED7">
            <w:pPr>
              <w:jc w:val="center"/>
              <w:rPr>
                <w:rFonts w:cs="Arial"/>
                <w:b/>
                <w:color w:val="000000"/>
                <w:sz w:val="20"/>
                <w:szCs w:val="20"/>
                <w:lang w:eastAsia="it-IT"/>
              </w:rPr>
            </w:pPr>
            <w:r w:rsidRPr="00C2587D">
              <w:rPr>
                <w:rFonts w:cs="Arial"/>
                <w:b/>
                <w:color w:val="000000"/>
                <w:sz w:val="20"/>
                <w:szCs w:val="20"/>
                <w:lang w:eastAsia="it-IT"/>
              </w:rPr>
              <w:t>3 600,0</w:t>
            </w:r>
          </w:p>
        </w:tc>
      </w:tr>
      <w:tr w:rsidR="002C0ED7" w:rsidRPr="00C2587D" w14:paraId="6B561E40" w14:textId="77777777" w:rsidTr="006478C2">
        <w:trPr>
          <w:jc w:val="center"/>
        </w:trPr>
        <w:tc>
          <w:tcPr>
            <w:tcW w:w="562" w:type="dxa"/>
            <w:shd w:val="clear" w:color="auto" w:fill="auto"/>
            <w:noWrap/>
            <w:vAlign w:val="center"/>
          </w:tcPr>
          <w:p w14:paraId="2EBA8BBC" w14:textId="65D8FF70" w:rsidR="002C0ED7" w:rsidRPr="00C2587D" w:rsidRDefault="00652A19" w:rsidP="006478C2">
            <w:pPr>
              <w:rPr>
                <w:rFonts w:cs="Arial"/>
                <w:bCs/>
                <w:color w:val="000000"/>
                <w:sz w:val="20"/>
                <w:szCs w:val="20"/>
                <w:lang w:eastAsia="uk-UA"/>
              </w:rPr>
            </w:pPr>
            <w:r w:rsidRPr="00C2587D">
              <w:rPr>
                <w:rFonts w:cs="Arial"/>
                <w:bCs/>
                <w:color w:val="000000"/>
                <w:sz w:val="20"/>
                <w:szCs w:val="20"/>
                <w:lang w:eastAsia="uk-UA"/>
              </w:rPr>
              <w:t>14</w:t>
            </w:r>
            <w:r w:rsidR="002C0ED7" w:rsidRPr="00C2587D">
              <w:rPr>
                <w:rFonts w:cs="Arial"/>
                <w:bCs/>
                <w:color w:val="000000"/>
                <w:sz w:val="20"/>
                <w:szCs w:val="20"/>
                <w:lang w:eastAsia="uk-UA"/>
              </w:rPr>
              <w:t>.</w:t>
            </w:r>
          </w:p>
        </w:tc>
        <w:tc>
          <w:tcPr>
            <w:tcW w:w="4395" w:type="dxa"/>
            <w:shd w:val="clear" w:color="auto" w:fill="auto"/>
            <w:noWrap/>
            <w:vAlign w:val="center"/>
          </w:tcPr>
          <w:p w14:paraId="458F7853" w14:textId="793E46D1" w:rsidR="002C0ED7" w:rsidRPr="00C2587D" w:rsidRDefault="002C0ED7" w:rsidP="006478C2">
            <w:pPr>
              <w:spacing w:before="40" w:after="40"/>
              <w:jc w:val="both"/>
              <w:rPr>
                <w:rFonts w:cs="Arial"/>
                <w:color w:val="000000"/>
                <w:sz w:val="20"/>
                <w:szCs w:val="20"/>
                <w:lang w:eastAsia="it-IT"/>
              </w:rPr>
            </w:pPr>
            <w:r w:rsidRPr="00C2587D">
              <w:rPr>
                <w:rFonts w:cs="Arial"/>
                <w:bCs/>
                <w:sz w:val="20"/>
                <w:szCs w:val="20"/>
                <w:lang w:eastAsia="it-IT"/>
              </w:rPr>
              <w:t>Вуличний багатофункціональний спортивно-оздоровчий простір з гумовим або штучним покриттям по вул. Шекінська</w:t>
            </w:r>
          </w:p>
        </w:tc>
        <w:tc>
          <w:tcPr>
            <w:tcW w:w="1162" w:type="dxa"/>
            <w:shd w:val="clear" w:color="auto" w:fill="auto"/>
            <w:noWrap/>
            <w:vAlign w:val="center"/>
          </w:tcPr>
          <w:p w14:paraId="2C07D781" w14:textId="50C7B5AA" w:rsidR="002C0ED7" w:rsidRPr="00C2587D" w:rsidRDefault="002C0ED7" w:rsidP="002C0ED7">
            <w:pPr>
              <w:jc w:val="center"/>
              <w:rPr>
                <w:rFonts w:cs="Arial"/>
                <w:color w:val="000000"/>
                <w:sz w:val="20"/>
                <w:szCs w:val="20"/>
                <w:lang w:eastAsia="it-IT"/>
              </w:rPr>
            </w:pPr>
          </w:p>
        </w:tc>
        <w:tc>
          <w:tcPr>
            <w:tcW w:w="1106" w:type="dxa"/>
            <w:shd w:val="clear" w:color="auto" w:fill="auto"/>
            <w:noWrap/>
            <w:vAlign w:val="center"/>
          </w:tcPr>
          <w:p w14:paraId="43E3310D" w14:textId="28F4C21E" w:rsidR="002C0ED7" w:rsidRPr="00C2587D" w:rsidRDefault="002C0ED7" w:rsidP="002C0ED7">
            <w:pPr>
              <w:jc w:val="center"/>
              <w:rPr>
                <w:rFonts w:cs="Arial"/>
                <w:color w:val="000000"/>
                <w:sz w:val="20"/>
                <w:szCs w:val="20"/>
                <w:lang w:eastAsia="it-IT"/>
              </w:rPr>
            </w:pPr>
          </w:p>
        </w:tc>
        <w:tc>
          <w:tcPr>
            <w:tcW w:w="1106" w:type="dxa"/>
            <w:shd w:val="clear" w:color="auto" w:fill="auto"/>
            <w:noWrap/>
            <w:vAlign w:val="center"/>
          </w:tcPr>
          <w:p w14:paraId="7DDD9A9B" w14:textId="590710D2" w:rsidR="002C0ED7" w:rsidRPr="00C2587D" w:rsidRDefault="00E631AE" w:rsidP="002C0ED7">
            <w:pPr>
              <w:jc w:val="center"/>
              <w:rPr>
                <w:rFonts w:cs="Arial"/>
                <w:color w:val="000000"/>
                <w:sz w:val="20"/>
                <w:szCs w:val="20"/>
                <w:lang w:eastAsia="it-IT"/>
              </w:rPr>
            </w:pPr>
            <w:r w:rsidRPr="00C2587D">
              <w:rPr>
                <w:rFonts w:cs="Arial"/>
                <w:color w:val="000000"/>
                <w:sz w:val="20"/>
                <w:szCs w:val="20"/>
                <w:lang w:eastAsia="it-IT"/>
              </w:rPr>
              <w:t>5 500,0</w:t>
            </w:r>
          </w:p>
        </w:tc>
        <w:tc>
          <w:tcPr>
            <w:tcW w:w="736" w:type="dxa"/>
            <w:shd w:val="clear" w:color="auto" w:fill="auto"/>
            <w:noWrap/>
            <w:vAlign w:val="center"/>
          </w:tcPr>
          <w:p w14:paraId="3981392D" w14:textId="37B2A31B" w:rsidR="002C0ED7" w:rsidRPr="00C2587D" w:rsidRDefault="002C0ED7" w:rsidP="002C0ED7">
            <w:pPr>
              <w:jc w:val="center"/>
              <w:rPr>
                <w:rFonts w:cs="Arial"/>
                <w:color w:val="000000"/>
                <w:sz w:val="20"/>
                <w:szCs w:val="20"/>
                <w:lang w:eastAsia="it-IT"/>
              </w:rPr>
            </w:pPr>
          </w:p>
        </w:tc>
        <w:tc>
          <w:tcPr>
            <w:tcW w:w="1273" w:type="dxa"/>
            <w:vAlign w:val="center"/>
          </w:tcPr>
          <w:p w14:paraId="2D7B3968" w14:textId="28F17B8E" w:rsidR="002C0ED7" w:rsidRPr="00C2587D" w:rsidRDefault="00E631AE" w:rsidP="002C0ED7">
            <w:pPr>
              <w:jc w:val="center"/>
              <w:rPr>
                <w:rFonts w:cs="Arial"/>
                <w:b/>
                <w:color w:val="000000"/>
                <w:sz w:val="20"/>
                <w:szCs w:val="20"/>
                <w:lang w:eastAsia="it-IT"/>
              </w:rPr>
            </w:pPr>
            <w:r w:rsidRPr="00C2587D">
              <w:rPr>
                <w:rFonts w:cs="Arial"/>
                <w:b/>
                <w:color w:val="000000"/>
                <w:sz w:val="20"/>
                <w:szCs w:val="20"/>
                <w:lang w:eastAsia="it-IT"/>
              </w:rPr>
              <w:t xml:space="preserve"> 5 500,0</w:t>
            </w:r>
          </w:p>
        </w:tc>
      </w:tr>
      <w:tr w:rsidR="002C0ED7" w:rsidRPr="00C2587D" w14:paraId="5B2E3B8A" w14:textId="77777777" w:rsidTr="006478C2">
        <w:trPr>
          <w:jc w:val="center"/>
        </w:trPr>
        <w:tc>
          <w:tcPr>
            <w:tcW w:w="562" w:type="dxa"/>
            <w:shd w:val="clear" w:color="auto" w:fill="auto"/>
            <w:noWrap/>
            <w:vAlign w:val="center"/>
          </w:tcPr>
          <w:p w14:paraId="61D3646D" w14:textId="4C8AA48D" w:rsidR="002C0ED7" w:rsidRPr="00C2587D" w:rsidRDefault="00652A19" w:rsidP="006478C2">
            <w:pPr>
              <w:rPr>
                <w:rFonts w:cs="Arial"/>
                <w:bCs/>
                <w:color w:val="000000"/>
                <w:sz w:val="20"/>
                <w:szCs w:val="20"/>
                <w:lang w:eastAsia="uk-UA"/>
              </w:rPr>
            </w:pPr>
            <w:r w:rsidRPr="00C2587D">
              <w:rPr>
                <w:rFonts w:cs="Arial"/>
                <w:bCs/>
                <w:color w:val="000000"/>
                <w:sz w:val="20"/>
                <w:szCs w:val="20"/>
                <w:lang w:eastAsia="uk-UA"/>
              </w:rPr>
              <w:t>15</w:t>
            </w:r>
            <w:r w:rsidR="002C0ED7" w:rsidRPr="00C2587D">
              <w:rPr>
                <w:rFonts w:cs="Arial"/>
                <w:bCs/>
                <w:color w:val="000000"/>
                <w:sz w:val="20"/>
                <w:szCs w:val="20"/>
                <w:lang w:eastAsia="uk-UA"/>
              </w:rPr>
              <w:t>.</w:t>
            </w:r>
          </w:p>
        </w:tc>
        <w:tc>
          <w:tcPr>
            <w:tcW w:w="4395" w:type="dxa"/>
            <w:shd w:val="clear" w:color="auto" w:fill="auto"/>
            <w:noWrap/>
            <w:vAlign w:val="center"/>
          </w:tcPr>
          <w:p w14:paraId="05C08816" w14:textId="652FC273" w:rsidR="002C0ED7" w:rsidRPr="00C2587D" w:rsidRDefault="002C0ED7" w:rsidP="006478C2">
            <w:pPr>
              <w:spacing w:before="40" w:after="40"/>
              <w:jc w:val="both"/>
              <w:rPr>
                <w:rFonts w:cs="Arial"/>
                <w:color w:val="000000"/>
                <w:sz w:val="20"/>
                <w:szCs w:val="20"/>
                <w:lang w:eastAsia="it-IT"/>
              </w:rPr>
            </w:pPr>
            <w:r w:rsidRPr="00C2587D">
              <w:rPr>
                <w:rFonts w:cs="Arial"/>
                <w:bCs/>
                <w:sz w:val="20"/>
                <w:szCs w:val="20"/>
                <w:lang w:eastAsia="it-IT"/>
              </w:rPr>
              <w:t>Капітальний ремонт залу «Олімп» КП «Парковий культурно-спортивний комплекс»</w:t>
            </w:r>
          </w:p>
        </w:tc>
        <w:tc>
          <w:tcPr>
            <w:tcW w:w="1162" w:type="dxa"/>
            <w:shd w:val="clear" w:color="auto" w:fill="auto"/>
            <w:noWrap/>
            <w:vAlign w:val="center"/>
          </w:tcPr>
          <w:p w14:paraId="46316957" w14:textId="774DF0C5" w:rsidR="002C0ED7" w:rsidRPr="00C2587D" w:rsidRDefault="002C0ED7" w:rsidP="002C0ED7">
            <w:pPr>
              <w:jc w:val="center"/>
              <w:rPr>
                <w:rFonts w:cs="Arial"/>
                <w:color w:val="000000"/>
                <w:sz w:val="20"/>
                <w:szCs w:val="20"/>
                <w:lang w:eastAsia="it-IT"/>
              </w:rPr>
            </w:pPr>
          </w:p>
        </w:tc>
        <w:tc>
          <w:tcPr>
            <w:tcW w:w="1106" w:type="dxa"/>
            <w:shd w:val="clear" w:color="auto" w:fill="auto"/>
            <w:noWrap/>
            <w:vAlign w:val="center"/>
          </w:tcPr>
          <w:p w14:paraId="70A31508" w14:textId="3E5017B8" w:rsidR="002C0ED7" w:rsidRPr="00C2587D" w:rsidRDefault="00E631AE" w:rsidP="002C0ED7">
            <w:pPr>
              <w:jc w:val="center"/>
              <w:rPr>
                <w:rFonts w:cs="Arial"/>
                <w:color w:val="000000"/>
                <w:sz w:val="20"/>
                <w:szCs w:val="20"/>
                <w:lang w:eastAsia="it-IT"/>
              </w:rPr>
            </w:pPr>
            <w:r w:rsidRPr="00C2587D">
              <w:rPr>
                <w:rFonts w:cs="Arial"/>
                <w:color w:val="000000"/>
                <w:sz w:val="20"/>
                <w:szCs w:val="20"/>
                <w:lang w:eastAsia="it-IT"/>
              </w:rPr>
              <w:t>15 000,0</w:t>
            </w:r>
          </w:p>
        </w:tc>
        <w:tc>
          <w:tcPr>
            <w:tcW w:w="1106" w:type="dxa"/>
            <w:shd w:val="clear" w:color="auto" w:fill="auto"/>
            <w:noWrap/>
            <w:vAlign w:val="center"/>
          </w:tcPr>
          <w:p w14:paraId="3B6AB95C" w14:textId="2523F0BB" w:rsidR="002C0ED7" w:rsidRPr="00C2587D" w:rsidRDefault="00E631AE" w:rsidP="002C0ED7">
            <w:pPr>
              <w:jc w:val="center"/>
              <w:rPr>
                <w:rFonts w:cs="Arial"/>
                <w:color w:val="000000"/>
                <w:sz w:val="20"/>
                <w:szCs w:val="20"/>
                <w:lang w:eastAsia="it-IT"/>
              </w:rPr>
            </w:pPr>
            <w:r w:rsidRPr="00C2587D">
              <w:rPr>
                <w:rFonts w:cs="Arial"/>
                <w:color w:val="000000"/>
                <w:sz w:val="20"/>
                <w:szCs w:val="20"/>
                <w:lang w:eastAsia="it-IT"/>
              </w:rPr>
              <w:t>15 000,0</w:t>
            </w:r>
          </w:p>
        </w:tc>
        <w:tc>
          <w:tcPr>
            <w:tcW w:w="736" w:type="dxa"/>
            <w:shd w:val="clear" w:color="auto" w:fill="auto"/>
            <w:noWrap/>
            <w:vAlign w:val="center"/>
          </w:tcPr>
          <w:p w14:paraId="0855D62B" w14:textId="14D5729F" w:rsidR="002C0ED7" w:rsidRPr="00C2587D" w:rsidRDefault="002C0ED7" w:rsidP="002C0ED7">
            <w:pPr>
              <w:jc w:val="center"/>
              <w:rPr>
                <w:rFonts w:cs="Arial"/>
                <w:color w:val="000000"/>
                <w:sz w:val="20"/>
                <w:szCs w:val="20"/>
                <w:lang w:eastAsia="it-IT"/>
              </w:rPr>
            </w:pPr>
          </w:p>
        </w:tc>
        <w:tc>
          <w:tcPr>
            <w:tcW w:w="1273" w:type="dxa"/>
            <w:vAlign w:val="center"/>
          </w:tcPr>
          <w:p w14:paraId="6005D7A2" w14:textId="05F2F6E5" w:rsidR="002C0ED7" w:rsidRPr="00C2587D" w:rsidRDefault="00E631AE" w:rsidP="002C0ED7">
            <w:pPr>
              <w:jc w:val="center"/>
              <w:rPr>
                <w:rFonts w:cs="Arial"/>
                <w:b/>
                <w:color w:val="000000"/>
                <w:sz w:val="20"/>
                <w:szCs w:val="20"/>
                <w:lang w:eastAsia="it-IT"/>
              </w:rPr>
            </w:pPr>
            <w:r w:rsidRPr="00C2587D">
              <w:rPr>
                <w:rFonts w:cs="Arial"/>
                <w:b/>
                <w:color w:val="000000"/>
                <w:sz w:val="20"/>
                <w:szCs w:val="20"/>
                <w:lang w:eastAsia="it-IT"/>
              </w:rPr>
              <w:t>30 000,0</w:t>
            </w:r>
          </w:p>
        </w:tc>
      </w:tr>
      <w:tr w:rsidR="00E631AE" w:rsidRPr="00C2587D" w14:paraId="474ADB25" w14:textId="77777777" w:rsidTr="006478C2">
        <w:trPr>
          <w:jc w:val="center"/>
        </w:trPr>
        <w:tc>
          <w:tcPr>
            <w:tcW w:w="562" w:type="dxa"/>
            <w:shd w:val="clear" w:color="auto" w:fill="auto"/>
            <w:noWrap/>
            <w:vAlign w:val="center"/>
          </w:tcPr>
          <w:p w14:paraId="17AF073C" w14:textId="548388DC" w:rsidR="00E631AE" w:rsidRPr="00C2587D" w:rsidRDefault="00652A19" w:rsidP="006478C2">
            <w:pPr>
              <w:rPr>
                <w:rFonts w:cs="Arial"/>
                <w:bCs/>
                <w:color w:val="000000"/>
                <w:sz w:val="20"/>
                <w:szCs w:val="20"/>
                <w:lang w:eastAsia="uk-UA"/>
              </w:rPr>
            </w:pPr>
            <w:r w:rsidRPr="00C2587D">
              <w:rPr>
                <w:rFonts w:cs="Arial"/>
                <w:bCs/>
                <w:color w:val="000000"/>
                <w:sz w:val="20"/>
                <w:szCs w:val="20"/>
                <w:lang w:eastAsia="uk-UA"/>
              </w:rPr>
              <w:t>16</w:t>
            </w:r>
            <w:r w:rsidR="00E631AE" w:rsidRPr="00C2587D">
              <w:rPr>
                <w:rFonts w:cs="Arial"/>
                <w:bCs/>
                <w:color w:val="000000"/>
                <w:sz w:val="20"/>
                <w:szCs w:val="20"/>
                <w:lang w:eastAsia="uk-UA"/>
              </w:rPr>
              <w:t>.</w:t>
            </w:r>
          </w:p>
        </w:tc>
        <w:tc>
          <w:tcPr>
            <w:tcW w:w="4395" w:type="dxa"/>
            <w:shd w:val="clear" w:color="auto" w:fill="auto"/>
            <w:noWrap/>
            <w:vAlign w:val="center"/>
          </w:tcPr>
          <w:p w14:paraId="30B54411" w14:textId="0A98D2C8" w:rsidR="00E631AE" w:rsidRPr="00C2587D" w:rsidRDefault="00E631AE" w:rsidP="006478C2">
            <w:pPr>
              <w:spacing w:before="40" w:after="40"/>
              <w:jc w:val="both"/>
              <w:rPr>
                <w:rFonts w:cs="Arial"/>
                <w:color w:val="000000"/>
                <w:sz w:val="20"/>
                <w:szCs w:val="20"/>
                <w:lang w:eastAsia="it-IT"/>
              </w:rPr>
            </w:pPr>
            <w:r w:rsidRPr="00C2587D">
              <w:rPr>
                <w:rFonts w:cs="Arial"/>
                <w:bCs/>
                <w:sz w:val="20"/>
                <w:szCs w:val="20"/>
                <w:lang w:eastAsia="it-IT"/>
              </w:rPr>
              <w:t>Капітальний ремонт трибуни стадіону КП «Парковий культурно-спортивний комплекс»</w:t>
            </w:r>
          </w:p>
        </w:tc>
        <w:tc>
          <w:tcPr>
            <w:tcW w:w="1162" w:type="dxa"/>
            <w:shd w:val="clear" w:color="auto" w:fill="auto"/>
            <w:noWrap/>
            <w:vAlign w:val="center"/>
          </w:tcPr>
          <w:p w14:paraId="35010DA7" w14:textId="35AFD9E9" w:rsidR="00E631AE" w:rsidRPr="00C2587D" w:rsidRDefault="00E631AE" w:rsidP="00E631AE">
            <w:pPr>
              <w:jc w:val="center"/>
              <w:rPr>
                <w:rFonts w:cs="Arial"/>
                <w:color w:val="000000"/>
                <w:sz w:val="20"/>
                <w:szCs w:val="20"/>
                <w:lang w:eastAsia="it-IT"/>
              </w:rPr>
            </w:pPr>
          </w:p>
        </w:tc>
        <w:tc>
          <w:tcPr>
            <w:tcW w:w="1106" w:type="dxa"/>
            <w:shd w:val="clear" w:color="auto" w:fill="auto"/>
            <w:noWrap/>
            <w:vAlign w:val="center"/>
          </w:tcPr>
          <w:p w14:paraId="04759278" w14:textId="196E4092" w:rsidR="00E631AE" w:rsidRPr="00C2587D" w:rsidRDefault="00E631AE" w:rsidP="00E631AE">
            <w:pPr>
              <w:jc w:val="center"/>
              <w:rPr>
                <w:rFonts w:cs="Arial"/>
                <w:color w:val="000000"/>
                <w:sz w:val="20"/>
                <w:szCs w:val="20"/>
                <w:lang w:eastAsia="it-IT"/>
              </w:rPr>
            </w:pPr>
          </w:p>
        </w:tc>
        <w:tc>
          <w:tcPr>
            <w:tcW w:w="1106" w:type="dxa"/>
            <w:shd w:val="clear" w:color="auto" w:fill="auto"/>
            <w:noWrap/>
            <w:vAlign w:val="center"/>
          </w:tcPr>
          <w:p w14:paraId="2D80AE0E" w14:textId="7D073AF8" w:rsidR="00E631AE" w:rsidRPr="00C2587D" w:rsidRDefault="00E631AE" w:rsidP="00E631AE">
            <w:pPr>
              <w:jc w:val="center"/>
              <w:rPr>
                <w:rFonts w:cs="Arial"/>
                <w:color w:val="000000"/>
                <w:sz w:val="20"/>
                <w:szCs w:val="20"/>
                <w:lang w:eastAsia="it-IT"/>
              </w:rPr>
            </w:pPr>
          </w:p>
        </w:tc>
        <w:tc>
          <w:tcPr>
            <w:tcW w:w="736" w:type="dxa"/>
            <w:shd w:val="clear" w:color="auto" w:fill="FFFFFF"/>
            <w:noWrap/>
            <w:vAlign w:val="center"/>
          </w:tcPr>
          <w:p w14:paraId="3CA22C39" w14:textId="392B58B9" w:rsidR="00E631AE" w:rsidRPr="00C2587D" w:rsidRDefault="00E631AE" w:rsidP="00E631AE">
            <w:pPr>
              <w:jc w:val="center"/>
              <w:rPr>
                <w:rFonts w:cs="Arial"/>
                <w:color w:val="000000"/>
                <w:sz w:val="20"/>
                <w:szCs w:val="20"/>
                <w:lang w:eastAsia="it-IT"/>
              </w:rPr>
            </w:pPr>
            <w:r w:rsidRPr="00C2587D">
              <w:rPr>
                <w:rFonts w:cs="Arial"/>
                <w:color w:val="000000"/>
                <w:szCs w:val="22"/>
                <w:lang w:eastAsia="it-IT"/>
              </w:rPr>
              <w:t>50 000,0</w:t>
            </w:r>
          </w:p>
        </w:tc>
        <w:tc>
          <w:tcPr>
            <w:tcW w:w="1273" w:type="dxa"/>
            <w:shd w:val="clear" w:color="auto" w:fill="FFFFFF"/>
            <w:vAlign w:val="center"/>
          </w:tcPr>
          <w:p w14:paraId="34875815" w14:textId="4EF78D25" w:rsidR="00E631AE" w:rsidRPr="00C2587D" w:rsidRDefault="00E631AE" w:rsidP="00E631AE">
            <w:pPr>
              <w:jc w:val="center"/>
              <w:rPr>
                <w:rFonts w:cs="Arial"/>
                <w:b/>
                <w:color w:val="000000"/>
                <w:sz w:val="20"/>
                <w:szCs w:val="20"/>
                <w:lang w:eastAsia="it-IT"/>
              </w:rPr>
            </w:pPr>
            <w:r w:rsidRPr="00C2587D">
              <w:rPr>
                <w:rFonts w:cs="Arial"/>
                <w:b/>
                <w:color w:val="000000"/>
                <w:szCs w:val="22"/>
                <w:lang w:eastAsia="it-IT"/>
              </w:rPr>
              <w:t>50 000,0</w:t>
            </w:r>
          </w:p>
        </w:tc>
      </w:tr>
      <w:tr w:rsidR="002C0ED7" w:rsidRPr="00C2587D" w14:paraId="1C8A5777" w14:textId="77777777" w:rsidTr="006478C2">
        <w:trPr>
          <w:jc w:val="center"/>
        </w:trPr>
        <w:tc>
          <w:tcPr>
            <w:tcW w:w="562" w:type="dxa"/>
            <w:shd w:val="clear" w:color="auto" w:fill="auto"/>
            <w:noWrap/>
            <w:vAlign w:val="center"/>
          </w:tcPr>
          <w:p w14:paraId="1DC5F927" w14:textId="36DEBB60" w:rsidR="002C0ED7" w:rsidRPr="00C2587D" w:rsidRDefault="00652A19" w:rsidP="006478C2">
            <w:pPr>
              <w:rPr>
                <w:rFonts w:cs="Arial"/>
                <w:bCs/>
                <w:color w:val="000000"/>
                <w:sz w:val="20"/>
                <w:szCs w:val="20"/>
                <w:lang w:eastAsia="uk-UA"/>
              </w:rPr>
            </w:pPr>
            <w:r w:rsidRPr="00C2587D">
              <w:rPr>
                <w:rFonts w:cs="Arial"/>
                <w:bCs/>
                <w:color w:val="000000"/>
                <w:sz w:val="20"/>
                <w:szCs w:val="20"/>
                <w:lang w:eastAsia="uk-UA"/>
              </w:rPr>
              <w:t>17</w:t>
            </w:r>
            <w:r w:rsidR="002C0ED7" w:rsidRPr="00C2587D">
              <w:rPr>
                <w:rFonts w:cs="Arial"/>
                <w:bCs/>
                <w:color w:val="000000"/>
                <w:sz w:val="20"/>
                <w:szCs w:val="20"/>
                <w:lang w:eastAsia="uk-UA"/>
              </w:rPr>
              <w:t>.</w:t>
            </w:r>
          </w:p>
        </w:tc>
        <w:tc>
          <w:tcPr>
            <w:tcW w:w="4395" w:type="dxa"/>
            <w:shd w:val="clear" w:color="auto" w:fill="auto"/>
            <w:noWrap/>
            <w:vAlign w:val="center"/>
          </w:tcPr>
          <w:p w14:paraId="4EF4176C" w14:textId="20EAD5FE" w:rsidR="002C0ED7" w:rsidRPr="00C2587D" w:rsidRDefault="002C0ED7" w:rsidP="006478C2">
            <w:pPr>
              <w:spacing w:before="40" w:after="40"/>
              <w:jc w:val="both"/>
              <w:rPr>
                <w:rFonts w:cs="Arial"/>
                <w:color w:val="000000"/>
                <w:sz w:val="20"/>
                <w:szCs w:val="20"/>
              </w:rPr>
            </w:pPr>
            <w:r w:rsidRPr="00C2587D">
              <w:rPr>
                <w:rFonts w:cs="Arial"/>
                <w:bCs/>
                <w:sz w:val="20"/>
                <w:szCs w:val="20"/>
                <w:lang w:eastAsia="it-IT"/>
              </w:rPr>
              <w:t>Капітальний ремонт а</w:t>
            </w:r>
            <w:r w:rsidR="00E631AE" w:rsidRPr="00C2587D">
              <w:rPr>
                <w:rFonts w:cs="Arial"/>
                <w:bCs/>
                <w:sz w:val="20"/>
                <w:szCs w:val="20"/>
                <w:lang w:eastAsia="it-IT"/>
              </w:rPr>
              <w:t>дміністративного приміщення (три</w:t>
            </w:r>
            <w:r w:rsidRPr="00C2587D">
              <w:rPr>
                <w:rFonts w:cs="Arial"/>
                <w:bCs/>
                <w:sz w:val="20"/>
                <w:szCs w:val="20"/>
                <w:lang w:eastAsia="it-IT"/>
              </w:rPr>
              <w:t>буни стадіону) КП «Парковий культурно-спортивний комплекс»</w:t>
            </w:r>
          </w:p>
        </w:tc>
        <w:tc>
          <w:tcPr>
            <w:tcW w:w="1162" w:type="dxa"/>
            <w:shd w:val="clear" w:color="auto" w:fill="auto"/>
            <w:noWrap/>
            <w:vAlign w:val="center"/>
          </w:tcPr>
          <w:p w14:paraId="0533644D" w14:textId="7D141441" w:rsidR="002C0ED7" w:rsidRPr="00C2587D" w:rsidRDefault="002C0ED7" w:rsidP="002C0ED7">
            <w:pPr>
              <w:jc w:val="center"/>
              <w:rPr>
                <w:rFonts w:cs="Arial"/>
                <w:color w:val="000000"/>
                <w:sz w:val="20"/>
                <w:szCs w:val="20"/>
                <w:lang w:eastAsia="it-IT"/>
              </w:rPr>
            </w:pPr>
          </w:p>
        </w:tc>
        <w:tc>
          <w:tcPr>
            <w:tcW w:w="1106" w:type="dxa"/>
            <w:shd w:val="clear" w:color="auto" w:fill="auto"/>
            <w:noWrap/>
            <w:vAlign w:val="center"/>
          </w:tcPr>
          <w:p w14:paraId="1F9B9E30" w14:textId="03AF747A" w:rsidR="002C0ED7" w:rsidRPr="00C2587D" w:rsidRDefault="002C0ED7" w:rsidP="002C0ED7">
            <w:pPr>
              <w:jc w:val="center"/>
              <w:rPr>
                <w:rFonts w:cs="Arial"/>
                <w:color w:val="000000"/>
                <w:sz w:val="20"/>
                <w:szCs w:val="20"/>
                <w:lang w:eastAsia="it-IT"/>
              </w:rPr>
            </w:pPr>
          </w:p>
        </w:tc>
        <w:tc>
          <w:tcPr>
            <w:tcW w:w="1106" w:type="dxa"/>
            <w:shd w:val="clear" w:color="auto" w:fill="auto"/>
            <w:noWrap/>
            <w:vAlign w:val="center"/>
          </w:tcPr>
          <w:p w14:paraId="30106477" w14:textId="431E7D08" w:rsidR="002C0ED7" w:rsidRPr="00C2587D" w:rsidRDefault="002C0ED7" w:rsidP="002C0ED7">
            <w:pPr>
              <w:jc w:val="center"/>
              <w:rPr>
                <w:rFonts w:cs="Arial"/>
                <w:color w:val="000000"/>
                <w:sz w:val="20"/>
                <w:szCs w:val="20"/>
                <w:lang w:eastAsia="it-IT"/>
              </w:rPr>
            </w:pPr>
          </w:p>
        </w:tc>
        <w:tc>
          <w:tcPr>
            <w:tcW w:w="736" w:type="dxa"/>
            <w:shd w:val="clear" w:color="auto" w:fill="auto"/>
            <w:noWrap/>
            <w:vAlign w:val="center"/>
          </w:tcPr>
          <w:p w14:paraId="7FEAF893" w14:textId="727635D3" w:rsidR="002C0ED7" w:rsidRPr="00C2587D" w:rsidRDefault="00E631AE" w:rsidP="002C0ED7">
            <w:pPr>
              <w:jc w:val="center"/>
              <w:rPr>
                <w:rFonts w:cs="Arial"/>
                <w:color w:val="000000"/>
                <w:sz w:val="20"/>
                <w:szCs w:val="20"/>
                <w:lang w:eastAsia="it-IT"/>
              </w:rPr>
            </w:pPr>
            <w:r w:rsidRPr="00C2587D">
              <w:rPr>
                <w:rFonts w:cs="Arial"/>
                <w:color w:val="000000"/>
                <w:sz w:val="20"/>
                <w:szCs w:val="20"/>
                <w:lang w:eastAsia="it-IT"/>
              </w:rPr>
              <w:t>50 000,0</w:t>
            </w:r>
          </w:p>
        </w:tc>
        <w:tc>
          <w:tcPr>
            <w:tcW w:w="1273" w:type="dxa"/>
            <w:vAlign w:val="center"/>
          </w:tcPr>
          <w:p w14:paraId="744F2D50" w14:textId="46ED4D17" w:rsidR="002C0ED7" w:rsidRPr="00C2587D" w:rsidRDefault="00E631AE" w:rsidP="002C0ED7">
            <w:pPr>
              <w:jc w:val="center"/>
              <w:rPr>
                <w:rFonts w:cs="Arial"/>
                <w:b/>
                <w:color w:val="000000"/>
                <w:sz w:val="20"/>
                <w:szCs w:val="20"/>
                <w:lang w:eastAsia="it-IT"/>
              </w:rPr>
            </w:pPr>
            <w:r w:rsidRPr="00C2587D">
              <w:rPr>
                <w:rFonts w:cs="Arial"/>
                <w:b/>
                <w:color w:val="000000"/>
                <w:sz w:val="20"/>
                <w:szCs w:val="20"/>
                <w:lang w:eastAsia="it-IT"/>
              </w:rPr>
              <w:t>50 000,0</w:t>
            </w:r>
          </w:p>
        </w:tc>
      </w:tr>
      <w:tr w:rsidR="002C0ED7" w:rsidRPr="00C2587D" w14:paraId="1738B52A" w14:textId="77777777" w:rsidTr="006478C2">
        <w:trPr>
          <w:jc w:val="center"/>
        </w:trPr>
        <w:tc>
          <w:tcPr>
            <w:tcW w:w="562" w:type="dxa"/>
            <w:shd w:val="clear" w:color="auto" w:fill="auto"/>
            <w:noWrap/>
            <w:vAlign w:val="center"/>
          </w:tcPr>
          <w:p w14:paraId="024A3E63" w14:textId="064FBAE7" w:rsidR="002C0ED7" w:rsidRPr="00C2587D" w:rsidRDefault="00652A19" w:rsidP="006478C2">
            <w:pPr>
              <w:rPr>
                <w:rFonts w:cs="Arial"/>
                <w:bCs/>
                <w:color w:val="000000"/>
                <w:sz w:val="20"/>
                <w:szCs w:val="20"/>
                <w:lang w:eastAsia="uk-UA"/>
              </w:rPr>
            </w:pPr>
            <w:r w:rsidRPr="00C2587D">
              <w:rPr>
                <w:rFonts w:cs="Arial"/>
                <w:bCs/>
                <w:color w:val="000000"/>
                <w:sz w:val="20"/>
                <w:szCs w:val="20"/>
                <w:lang w:eastAsia="uk-UA"/>
              </w:rPr>
              <w:t>18</w:t>
            </w:r>
            <w:r w:rsidR="002C0ED7" w:rsidRPr="00C2587D">
              <w:rPr>
                <w:rFonts w:cs="Arial"/>
                <w:bCs/>
                <w:color w:val="000000"/>
                <w:sz w:val="20"/>
                <w:szCs w:val="20"/>
                <w:lang w:eastAsia="uk-UA"/>
              </w:rPr>
              <w:t>.</w:t>
            </w:r>
          </w:p>
        </w:tc>
        <w:tc>
          <w:tcPr>
            <w:tcW w:w="4395" w:type="dxa"/>
            <w:shd w:val="clear" w:color="auto" w:fill="auto"/>
            <w:noWrap/>
            <w:vAlign w:val="center"/>
          </w:tcPr>
          <w:p w14:paraId="7547FA62" w14:textId="48334E76" w:rsidR="002C0ED7" w:rsidRPr="00C2587D" w:rsidRDefault="002C0ED7" w:rsidP="006478C2">
            <w:pPr>
              <w:jc w:val="both"/>
              <w:rPr>
                <w:rFonts w:cs="Arial"/>
                <w:bCs/>
                <w:color w:val="FF0000"/>
                <w:sz w:val="20"/>
                <w:szCs w:val="20"/>
                <w:lang w:eastAsia="uk-UA"/>
              </w:rPr>
            </w:pPr>
            <w:r w:rsidRPr="00C2587D">
              <w:rPr>
                <w:rFonts w:cs="Arial"/>
                <w:bCs/>
                <w:sz w:val="20"/>
                <w:szCs w:val="20"/>
                <w:lang w:eastAsia="it-IT"/>
              </w:rPr>
              <w:t>Капітальний ремонт асфальтованих доріжок КП «Парковий культурно-спортивний комплекс»</w:t>
            </w:r>
          </w:p>
        </w:tc>
        <w:tc>
          <w:tcPr>
            <w:tcW w:w="1162" w:type="dxa"/>
            <w:shd w:val="clear" w:color="auto" w:fill="auto"/>
            <w:noWrap/>
            <w:vAlign w:val="center"/>
          </w:tcPr>
          <w:p w14:paraId="655D7810" w14:textId="47204B62" w:rsidR="002C0ED7" w:rsidRPr="00C2587D" w:rsidRDefault="002C0ED7" w:rsidP="002C0ED7">
            <w:pPr>
              <w:jc w:val="center"/>
              <w:rPr>
                <w:rFonts w:cs="Arial"/>
                <w:color w:val="000000"/>
                <w:sz w:val="20"/>
                <w:szCs w:val="20"/>
                <w:lang w:eastAsia="it-IT"/>
              </w:rPr>
            </w:pPr>
          </w:p>
        </w:tc>
        <w:tc>
          <w:tcPr>
            <w:tcW w:w="1106" w:type="dxa"/>
            <w:shd w:val="clear" w:color="auto" w:fill="auto"/>
            <w:noWrap/>
            <w:vAlign w:val="center"/>
          </w:tcPr>
          <w:p w14:paraId="4DD3F553" w14:textId="4B7AF546" w:rsidR="002C0ED7" w:rsidRPr="00C2587D" w:rsidRDefault="002C0ED7" w:rsidP="002C0ED7">
            <w:pPr>
              <w:jc w:val="center"/>
              <w:rPr>
                <w:rFonts w:cs="Arial"/>
                <w:color w:val="000000"/>
                <w:sz w:val="20"/>
                <w:szCs w:val="20"/>
                <w:lang w:eastAsia="it-IT"/>
              </w:rPr>
            </w:pPr>
          </w:p>
        </w:tc>
        <w:tc>
          <w:tcPr>
            <w:tcW w:w="1106" w:type="dxa"/>
            <w:shd w:val="clear" w:color="auto" w:fill="auto"/>
            <w:noWrap/>
            <w:vAlign w:val="center"/>
          </w:tcPr>
          <w:p w14:paraId="57774020" w14:textId="594BC96B" w:rsidR="002C0ED7" w:rsidRPr="00C2587D" w:rsidRDefault="002C0ED7" w:rsidP="002C0ED7">
            <w:pPr>
              <w:jc w:val="center"/>
              <w:rPr>
                <w:rFonts w:cs="Arial"/>
                <w:color w:val="000000"/>
                <w:sz w:val="20"/>
                <w:szCs w:val="20"/>
                <w:lang w:eastAsia="it-IT"/>
              </w:rPr>
            </w:pPr>
          </w:p>
        </w:tc>
        <w:tc>
          <w:tcPr>
            <w:tcW w:w="736" w:type="dxa"/>
            <w:shd w:val="clear" w:color="auto" w:fill="auto"/>
            <w:noWrap/>
            <w:vAlign w:val="center"/>
          </w:tcPr>
          <w:p w14:paraId="14E3F6B3" w14:textId="5ACA2671" w:rsidR="002C0ED7" w:rsidRPr="00C2587D" w:rsidRDefault="00E631AE" w:rsidP="002C0ED7">
            <w:pPr>
              <w:jc w:val="center"/>
              <w:rPr>
                <w:rFonts w:cs="Arial"/>
                <w:color w:val="000000"/>
                <w:sz w:val="20"/>
                <w:szCs w:val="20"/>
                <w:lang w:eastAsia="it-IT"/>
              </w:rPr>
            </w:pPr>
            <w:r w:rsidRPr="00C2587D">
              <w:rPr>
                <w:rFonts w:cs="Arial"/>
                <w:color w:val="000000"/>
                <w:sz w:val="20"/>
                <w:szCs w:val="20"/>
                <w:lang w:eastAsia="it-IT"/>
              </w:rPr>
              <w:t>50 000,0</w:t>
            </w:r>
          </w:p>
        </w:tc>
        <w:tc>
          <w:tcPr>
            <w:tcW w:w="1273" w:type="dxa"/>
            <w:vAlign w:val="center"/>
          </w:tcPr>
          <w:p w14:paraId="087BFA29" w14:textId="7B0D632D" w:rsidR="002C0ED7" w:rsidRPr="00C2587D" w:rsidRDefault="00E631AE" w:rsidP="002C0ED7">
            <w:pPr>
              <w:jc w:val="center"/>
              <w:rPr>
                <w:rFonts w:cs="Arial"/>
                <w:b/>
                <w:color w:val="000000"/>
                <w:sz w:val="20"/>
                <w:szCs w:val="20"/>
                <w:lang w:eastAsia="it-IT"/>
              </w:rPr>
            </w:pPr>
            <w:r w:rsidRPr="00C2587D">
              <w:rPr>
                <w:rFonts w:cs="Arial"/>
                <w:b/>
                <w:color w:val="000000"/>
                <w:sz w:val="20"/>
                <w:szCs w:val="20"/>
                <w:lang w:eastAsia="it-IT"/>
              </w:rPr>
              <w:t>50 000,0</w:t>
            </w:r>
          </w:p>
        </w:tc>
      </w:tr>
      <w:tr w:rsidR="002C0ED7" w:rsidRPr="00C2587D" w14:paraId="7F630200" w14:textId="77777777" w:rsidTr="006478C2">
        <w:trPr>
          <w:jc w:val="center"/>
        </w:trPr>
        <w:tc>
          <w:tcPr>
            <w:tcW w:w="562" w:type="dxa"/>
            <w:shd w:val="clear" w:color="auto" w:fill="auto"/>
            <w:noWrap/>
            <w:vAlign w:val="center"/>
          </w:tcPr>
          <w:p w14:paraId="758ABD8F" w14:textId="167CFF8A" w:rsidR="002C0ED7" w:rsidRPr="00C2587D" w:rsidRDefault="00652A19" w:rsidP="006478C2">
            <w:pPr>
              <w:rPr>
                <w:rFonts w:cs="Arial"/>
                <w:bCs/>
                <w:color w:val="000000"/>
                <w:sz w:val="20"/>
                <w:szCs w:val="20"/>
                <w:lang w:eastAsia="uk-UA"/>
              </w:rPr>
            </w:pPr>
            <w:r w:rsidRPr="00C2587D">
              <w:rPr>
                <w:rFonts w:cs="Arial"/>
                <w:bCs/>
                <w:color w:val="000000"/>
                <w:sz w:val="20"/>
                <w:szCs w:val="20"/>
                <w:lang w:eastAsia="uk-UA"/>
              </w:rPr>
              <w:t>19</w:t>
            </w:r>
            <w:r w:rsidR="002C0ED7" w:rsidRPr="00C2587D">
              <w:rPr>
                <w:rFonts w:cs="Arial"/>
                <w:bCs/>
                <w:color w:val="000000"/>
                <w:sz w:val="20"/>
                <w:szCs w:val="20"/>
                <w:lang w:eastAsia="uk-UA"/>
              </w:rPr>
              <w:t>.</w:t>
            </w:r>
          </w:p>
        </w:tc>
        <w:tc>
          <w:tcPr>
            <w:tcW w:w="4395" w:type="dxa"/>
            <w:shd w:val="clear" w:color="auto" w:fill="auto"/>
            <w:noWrap/>
            <w:vAlign w:val="center"/>
          </w:tcPr>
          <w:p w14:paraId="669704B8" w14:textId="7355E539" w:rsidR="002C0ED7" w:rsidRPr="00C2587D" w:rsidRDefault="002C0ED7" w:rsidP="006478C2">
            <w:pPr>
              <w:spacing w:before="40" w:after="40"/>
              <w:jc w:val="both"/>
              <w:rPr>
                <w:rFonts w:cs="Arial"/>
                <w:sz w:val="20"/>
                <w:szCs w:val="20"/>
                <w:lang w:eastAsia="it-IT"/>
              </w:rPr>
            </w:pPr>
            <w:r w:rsidRPr="00C2587D">
              <w:rPr>
                <w:rFonts w:cs="Arial"/>
                <w:bCs/>
                <w:sz w:val="20"/>
                <w:szCs w:val="20"/>
                <w:lang w:eastAsia="it-IT"/>
              </w:rPr>
              <w:t>Капітальний ремонт освітлення території КП «Парковий культурно-спортивний комплекс»</w:t>
            </w:r>
          </w:p>
        </w:tc>
        <w:tc>
          <w:tcPr>
            <w:tcW w:w="1162" w:type="dxa"/>
            <w:shd w:val="clear" w:color="auto" w:fill="auto"/>
            <w:noWrap/>
            <w:vAlign w:val="center"/>
          </w:tcPr>
          <w:p w14:paraId="4A9CE4BB" w14:textId="0B9B9C6C" w:rsidR="002C0ED7" w:rsidRPr="00C2587D" w:rsidRDefault="002C0ED7" w:rsidP="002C0ED7">
            <w:pPr>
              <w:jc w:val="center"/>
              <w:rPr>
                <w:rFonts w:cs="Arial"/>
                <w:color w:val="000000"/>
                <w:sz w:val="20"/>
                <w:szCs w:val="20"/>
                <w:lang w:eastAsia="it-IT"/>
              </w:rPr>
            </w:pPr>
          </w:p>
        </w:tc>
        <w:tc>
          <w:tcPr>
            <w:tcW w:w="1106" w:type="dxa"/>
            <w:shd w:val="clear" w:color="auto" w:fill="auto"/>
            <w:noWrap/>
            <w:vAlign w:val="center"/>
          </w:tcPr>
          <w:p w14:paraId="7FFFA442" w14:textId="565164FA" w:rsidR="002C0ED7" w:rsidRPr="00C2587D" w:rsidRDefault="002C0ED7" w:rsidP="002C0ED7">
            <w:pPr>
              <w:jc w:val="center"/>
              <w:rPr>
                <w:rFonts w:cs="Arial"/>
                <w:color w:val="000000"/>
                <w:sz w:val="20"/>
                <w:szCs w:val="20"/>
                <w:lang w:eastAsia="it-IT"/>
              </w:rPr>
            </w:pPr>
          </w:p>
        </w:tc>
        <w:tc>
          <w:tcPr>
            <w:tcW w:w="1106" w:type="dxa"/>
            <w:shd w:val="clear" w:color="auto" w:fill="auto"/>
            <w:noWrap/>
            <w:vAlign w:val="center"/>
          </w:tcPr>
          <w:p w14:paraId="0D4D7F60" w14:textId="59E34DDA" w:rsidR="002C0ED7" w:rsidRPr="00C2587D" w:rsidRDefault="00E631AE" w:rsidP="002C0ED7">
            <w:pPr>
              <w:jc w:val="center"/>
              <w:rPr>
                <w:rFonts w:cs="Arial"/>
                <w:color w:val="000000"/>
                <w:sz w:val="20"/>
                <w:szCs w:val="20"/>
                <w:lang w:eastAsia="it-IT"/>
              </w:rPr>
            </w:pPr>
            <w:r w:rsidRPr="00C2587D">
              <w:rPr>
                <w:rFonts w:cs="Arial"/>
                <w:color w:val="000000"/>
                <w:sz w:val="20"/>
                <w:szCs w:val="20"/>
                <w:lang w:eastAsia="it-IT"/>
              </w:rPr>
              <w:t>5 000,0</w:t>
            </w:r>
          </w:p>
        </w:tc>
        <w:tc>
          <w:tcPr>
            <w:tcW w:w="736" w:type="dxa"/>
            <w:shd w:val="clear" w:color="auto" w:fill="auto"/>
            <w:noWrap/>
            <w:vAlign w:val="center"/>
          </w:tcPr>
          <w:p w14:paraId="711C420A" w14:textId="445DFA12" w:rsidR="002C0ED7" w:rsidRPr="00C2587D" w:rsidRDefault="002C0ED7" w:rsidP="002C0ED7">
            <w:pPr>
              <w:jc w:val="center"/>
              <w:rPr>
                <w:rFonts w:cs="Arial"/>
                <w:color w:val="000000"/>
                <w:sz w:val="20"/>
                <w:szCs w:val="20"/>
                <w:lang w:eastAsia="it-IT"/>
              </w:rPr>
            </w:pPr>
          </w:p>
        </w:tc>
        <w:tc>
          <w:tcPr>
            <w:tcW w:w="1273" w:type="dxa"/>
            <w:vAlign w:val="center"/>
          </w:tcPr>
          <w:p w14:paraId="641E745D" w14:textId="5BC9D5F3" w:rsidR="002C0ED7" w:rsidRPr="00C2587D" w:rsidRDefault="00E631AE" w:rsidP="002C0ED7">
            <w:pPr>
              <w:jc w:val="center"/>
              <w:rPr>
                <w:rFonts w:cs="Arial"/>
                <w:b/>
                <w:color w:val="000000"/>
                <w:sz w:val="20"/>
                <w:szCs w:val="20"/>
                <w:lang w:eastAsia="it-IT"/>
              </w:rPr>
            </w:pPr>
            <w:r w:rsidRPr="00C2587D">
              <w:rPr>
                <w:rFonts w:cs="Arial"/>
                <w:b/>
                <w:color w:val="000000"/>
                <w:sz w:val="20"/>
                <w:szCs w:val="20"/>
                <w:lang w:eastAsia="it-IT"/>
              </w:rPr>
              <w:t>5 000,0</w:t>
            </w:r>
          </w:p>
        </w:tc>
      </w:tr>
      <w:tr w:rsidR="002C0ED7" w:rsidRPr="00C2587D" w14:paraId="69CCDE4E" w14:textId="77777777" w:rsidTr="006478C2">
        <w:trPr>
          <w:jc w:val="center"/>
        </w:trPr>
        <w:tc>
          <w:tcPr>
            <w:tcW w:w="562" w:type="dxa"/>
            <w:shd w:val="clear" w:color="auto" w:fill="auto"/>
            <w:noWrap/>
            <w:vAlign w:val="center"/>
          </w:tcPr>
          <w:p w14:paraId="1450C1A0" w14:textId="205BB4F2" w:rsidR="002C0ED7" w:rsidRPr="00C2587D" w:rsidRDefault="00652A19" w:rsidP="006478C2">
            <w:pPr>
              <w:rPr>
                <w:rFonts w:cs="Arial"/>
                <w:bCs/>
                <w:color w:val="000000"/>
                <w:sz w:val="20"/>
                <w:szCs w:val="20"/>
                <w:lang w:eastAsia="uk-UA"/>
              </w:rPr>
            </w:pPr>
            <w:r w:rsidRPr="00C2587D">
              <w:rPr>
                <w:rFonts w:cs="Arial"/>
                <w:bCs/>
                <w:color w:val="000000"/>
                <w:sz w:val="20"/>
                <w:szCs w:val="20"/>
                <w:lang w:eastAsia="uk-UA"/>
              </w:rPr>
              <w:t>20</w:t>
            </w:r>
            <w:r w:rsidR="002C0ED7" w:rsidRPr="00C2587D">
              <w:rPr>
                <w:rFonts w:cs="Arial"/>
                <w:bCs/>
                <w:color w:val="000000"/>
                <w:sz w:val="20"/>
                <w:szCs w:val="20"/>
                <w:lang w:eastAsia="uk-UA"/>
              </w:rPr>
              <w:t>.</w:t>
            </w:r>
          </w:p>
        </w:tc>
        <w:tc>
          <w:tcPr>
            <w:tcW w:w="4395" w:type="dxa"/>
            <w:shd w:val="clear" w:color="auto" w:fill="auto"/>
            <w:noWrap/>
            <w:vAlign w:val="center"/>
          </w:tcPr>
          <w:p w14:paraId="7920C1E8" w14:textId="4147AC2D" w:rsidR="002C0ED7" w:rsidRPr="00C2587D" w:rsidRDefault="002C0ED7" w:rsidP="006478C2">
            <w:pPr>
              <w:spacing w:before="40" w:after="40"/>
              <w:jc w:val="both"/>
              <w:rPr>
                <w:rFonts w:cs="Arial"/>
                <w:sz w:val="20"/>
                <w:szCs w:val="20"/>
                <w:lang w:eastAsia="it-IT"/>
              </w:rPr>
            </w:pPr>
            <w:r w:rsidRPr="00C2587D">
              <w:rPr>
                <w:rFonts w:cs="Arial"/>
                <w:bCs/>
                <w:sz w:val="20"/>
                <w:szCs w:val="20"/>
              </w:rPr>
              <w:t>Вуличний багатофункціональний спортивно-оздоровчий простір з гумовим або штучним покриттям у мікрорайоні «Сектор»</w:t>
            </w:r>
          </w:p>
        </w:tc>
        <w:tc>
          <w:tcPr>
            <w:tcW w:w="1162" w:type="dxa"/>
            <w:shd w:val="clear" w:color="auto" w:fill="auto"/>
            <w:noWrap/>
            <w:vAlign w:val="center"/>
          </w:tcPr>
          <w:p w14:paraId="78BBD69E" w14:textId="1BFE2BF7" w:rsidR="002C0ED7" w:rsidRPr="00C2587D" w:rsidRDefault="002C0ED7" w:rsidP="002C0ED7">
            <w:pPr>
              <w:jc w:val="center"/>
              <w:rPr>
                <w:rFonts w:cs="Arial"/>
                <w:color w:val="000000"/>
                <w:sz w:val="20"/>
                <w:szCs w:val="20"/>
                <w:lang w:eastAsia="it-IT"/>
              </w:rPr>
            </w:pPr>
          </w:p>
        </w:tc>
        <w:tc>
          <w:tcPr>
            <w:tcW w:w="1106" w:type="dxa"/>
            <w:shd w:val="clear" w:color="auto" w:fill="auto"/>
            <w:noWrap/>
            <w:vAlign w:val="center"/>
          </w:tcPr>
          <w:p w14:paraId="5925569F" w14:textId="1DF1FBE6" w:rsidR="002C0ED7" w:rsidRPr="00C2587D" w:rsidRDefault="00E631AE" w:rsidP="002C0ED7">
            <w:pPr>
              <w:jc w:val="center"/>
              <w:rPr>
                <w:rFonts w:cs="Arial"/>
                <w:color w:val="000000"/>
                <w:sz w:val="20"/>
                <w:szCs w:val="20"/>
                <w:lang w:eastAsia="it-IT"/>
              </w:rPr>
            </w:pPr>
            <w:r w:rsidRPr="00C2587D">
              <w:rPr>
                <w:rFonts w:cs="Arial"/>
                <w:color w:val="000000"/>
                <w:sz w:val="20"/>
                <w:szCs w:val="20"/>
                <w:lang w:eastAsia="it-IT"/>
              </w:rPr>
              <w:t>5 500,0</w:t>
            </w:r>
          </w:p>
        </w:tc>
        <w:tc>
          <w:tcPr>
            <w:tcW w:w="1106" w:type="dxa"/>
            <w:shd w:val="clear" w:color="auto" w:fill="auto"/>
            <w:noWrap/>
            <w:vAlign w:val="center"/>
          </w:tcPr>
          <w:p w14:paraId="0878E8E8" w14:textId="222C10F4" w:rsidR="002C0ED7" w:rsidRPr="00C2587D" w:rsidRDefault="002C0ED7" w:rsidP="002C0ED7">
            <w:pPr>
              <w:jc w:val="center"/>
              <w:rPr>
                <w:rFonts w:cs="Arial"/>
                <w:color w:val="000000"/>
                <w:sz w:val="20"/>
                <w:szCs w:val="20"/>
                <w:lang w:eastAsia="it-IT"/>
              </w:rPr>
            </w:pPr>
          </w:p>
        </w:tc>
        <w:tc>
          <w:tcPr>
            <w:tcW w:w="736" w:type="dxa"/>
            <w:shd w:val="clear" w:color="auto" w:fill="auto"/>
            <w:noWrap/>
            <w:vAlign w:val="center"/>
          </w:tcPr>
          <w:p w14:paraId="218BC946" w14:textId="615C04AB" w:rsidR="002C0ED7" w:rsidRPr="00C2587D" w:rsidRDefault="002C0ED7" w:rsidP="002C0ED7">
            <w:pPr>
              <w:jc w:val="center"/>
              <w:rPr>
                <w:rFonts w:cs="Arial"/>
                <w:color w:val="000000"/>
                <w:sz w:val="20"/>
                <w:szCs w:val="20"/>
                <w:lang w:eastAsia="it-IT"/>
              </w:rPr>
            </w:pPr>
          </w:p>
        </w:tc>
        <w:tc>
          <w:tcPr>
            <w:tcW w:w="1273" w:type="dxa"/>
            <w:vAlign w:val="center"/>
          </w:tcPr>
          <w:p w14:paraId="0AB556BA" w14:textId="0F82A255" w:rsidR="002C0ED7" w:rsidRPr="00C2587D" w:rsidRDefault="00E631AE" w:rsidP="002C0ED7">
            <w:pPr>
              <w:jc w:val="center"/>
              <w:rPr>
                <w:rFonts w:cs="Arial"/>
                <w:b/>
                <w:color w:val="000000"/>
                <w:sz w:val="20"/>
                <w:szCs w:val="20"/>
                <w:lang w:eastAsia="it-IT"/>
              </w:rPr>
            </w:pPr>
            <w:r w:rsidRPr="00C2587D">
              <w:rPr>
                <w:rFonts w:cs="Arial"/>
                <w:b/>
                <w:color w:val="000000"/>
                <w:sz w:val="20"/>
                <w:szCs w:val="20"/>
                <w:lang w:eastAsia="it-IT"/>
              </w:rPr>
              <w:t>5 500,0</w:t>
            </w:r>
          </w:p>
        </w:tc>
      </w:tr>
      <w:tr w:rsidR="002C0ED7" w:rsidRPr="00C2587D" w14:paraId="526FC500" w14:textId="77777777" w:rsidTr="006478C2">
        <w:trPr>
          <w:jc w:val="center"/>
        </w:trPr>
        <w:tc>
          <w:tcPr>
            <w:tcW w:w="562" w:type="dxa"/>
            <w:shd w:val="clear" w:color="auto" w:fill="auto"/>
            <w:noWrap/>
            <w:vAlign w:val="center"/>
          </w:tcPr>
          <w:p w14:paraId="73795423" w14:textId="2958352A" w:rsidR="002C0ED7" w:rsidRPr="00C2587D" w:rsidRDefault="00652A19" w:rsidP="006478C2">
            <w:pPr>
              <w:rPr>
                <w:rFonts w:cs="Arial"/>
                <w:bCs/>
                <w:color w:val="000000"/>
                <w:sz w:val="20"/>
                <w:szCs w:val="20"/>
                <w:lang w:eastAsia="uk-UA"/>
              </w:rPr>
            </w:pPr>
            <w:r w:rsidRPr="00C2587D">
              <w:rPr>
                <w:rFonts w:cs="Arial"/>
                <w:bCs/>
                <w:color w:val="000000"/>
                <w:sz w:val="20"/>
                <w:szCs w:val="20"/>
                <w:lang w:eastAsia="uk-UA"/>
              </w:rPr>
              <w:t>21</w:t>
            </w:r>
            <w:r w:rsidR="002C0ED7" w:rsidRPr="00C2587D">
              <w:rPr>
                <w:rFonts w:cs="Arial"/>
                <w:bCs/>
                <w:color w:val="000000"/>
                <w:sz w:val="20"/>
                <w:szCs w:val="20"/>
                <w:lang w:eastAsia="uk-UA"/>
              </w:rPr>
              <w:t>.</w:t>
            </w:r>
          </w:p>
        </w:tc>
        <w:tc>
          <w:tcPr>
            <w:tcW w:w="4395" w:type="dxa"/>
            <w:shd w:val="clear" w:color="auto" w:fill="auto"/>
            <w:noWrap/>
            <w:vAlign w:val="center"/>
          </w:tcPr>
          <w:p w14:paraId="109DC1F2" w14:textId="75A5068C" w:rsidR="002C0ED7" w:rsidRPr="00C2587D" w:rsidRDefault="002C0ED7" w:rsidP="006478C2">
            <w:pPr>
              <w:spacing w:before="40" w:after="40"/>
              <w:jc w:val="both"/>
              <w:rPr>
                <w:rFonts w:cs="Arial"/>
                <w:sz w:val="20"/>
                <w:szCs w:val="20"/>
                <w:lang w:eastAsia="it-IT"/>
              </w:rPr>
            </w:pPr>
            <w:r w:rsidRPr="00C2587D">
              <w:rPr>
                <w:rFonts w:cs="Arial"/>
                <w:sz w:val="20"/>
                <w:szCs w:val="20"/>
              </w:rPr>
              <w:t>«Новий подих "Локомотива": реконструкція стадіону для активного життя громади»</w:t>
            </w:r>
          </w:p>
        </w:tc>
        <w:tc>
          <w:tcPr>
            <w:tcW w:w="1162" w:type="dxa"/>
            <w:shd w:val="clear" w:color="auto" w:fill="auto"/>
            <w:noWrap/>
            <w:vAlign w:val="center"/>
          </w:tcPr>
          <w:p w14:paraId="0F2624E1" w14:textId="11A8ADFB" w:rsidR="002C0ED7" w:rsidRPr="00C2587D" w:rsidRDefault="002C0ED7" w:rsidP="002C0ED7">
            <w:pPr>
              <w:jc w:val="center"/>
              <w:rPr>
                <w:rFonts w:cs="Arial"/>
                <w:color w:val="000000"/>
                <w:sz w:val="20"/>
                <w:szCs w:val="20"/>
                <w:lang w:eastAsia="it-IT"/>
              </w:rPr>
            </w:pPr>
          </w:p>
        </w:tc>
        <w:tc>
          <w:tcPr>
            <w:tcW w:w="1106" w:type="dxa"/>
            <w:shd w:val="clear" w:color="auto" w:fill="auto"/>
            <w:noWrap/>
            <w:vAlign w:val="center"/>
          </w:tcPr>
          <w:p w14:paraId="4561758C" w14:textId="064B4BD4" w:rsidR="002C0ED7" w:rsidRPr="00C2587D" w:rsidRDefault="002C0ED7" w:rsidP="002C0ED7">
            <w:pPr>
              <w:jc w:val="center"/>
              <w:rPr>
                <w:rFonts w:cs="Arial"/>
                <w:color w:val="000000"/>
                <w:sz w:val="20"/>
                <w:szCs w:val="20"/>
                <w:lang w:eastAsia="it-IT"/>
              </w:rPr>
            </w:pPr>
          </w:p>
        </w:tc>
        <w:tc>
          <w:tcPr>
            <w:tcW w:w="1106" w:type="dxa"/>
            <w:shd w:val="clear" w:color="auto" w:fill="auto"/>
            <w:noWrap/>
            <w:vAlign w:val="center"/>
          </w:tcPr>
          <w:p w14:paraId="46E76356" w14:textId="00B37598" w:rsidR="002C0ED7" w:rsidRPr="00C2587D" w:rsidRDefault="00E631AE" w:rsidP="002C0ED7">
            <w:pPr>
              <w:jc w:val="center"/>
              <w:rPr>
                <w:rFonts w:cs="Arial"/>
                <w:color w:val="000000"/>
                <w:sz w:val="20"/>
                <w:szCs w:val="20"/>
                <w:lang w:eastAsia="it-IT"/>
              </w:rPr>
            </w:pPr>
            <w:r w:rsidRPr="00C2587D">
              <w:rPr>
                <w:rFonts w:cs="Arial"/>
                <w:color w:val="000000"/>
                <w:sz w:val="20"/>
                <w:szCs w:val="20"/>
                <w:lang w:eastAsia="it-IT"/>
              </w:rPr>
              <w:t>90 000,0</w:t>
            </w:r>
          </w:p>
        </w:tc>
        <w:tc>
          <w:tcPr>
            <w:tcW w:w="736" w:type="dxa"/>
            <w:shd w:val="clear" w:color="auto" w:fill="auto"/>
            <w:noWrap/>
            <w:vAlign w:val="center"/>
          </w:tcPr>
          <w:p w14:paraId="35DAAE2A" w14:textId="2AE78D5F" w:rsidR="002C0ED7" w:rsidRPr="00C2587D" w:rsidRDefault="00E631AE" w:rsidP="002C0ED7">
            <w:pPr>
              <w:jc w:val="center"/>
              <w:rPr>
                <w:rFonts w:cs="Arial"/>
                <w:color w:val="000000"/>
                <w:sz w:val="20"/>
                <w:szCs w:val="20"/>
                <w:lang w:eastAsia="it-IT"/>
              </w:rPr>
            </w:pPr>
            <w:r w:rsidRPr="00C2587D">
              <w:rPr>
                <w:rFonts w:cs="Arial"/>
                <w:color w:val="000000"/>
                <w:sz w:val="20"/>
                <w:szCs w:val="20"/>
                <w:lang w:eastAsia="it-IT"/>
              </w:rPr>
              <w:t>30 000,0</w:t>
            </w:r>
          </w:p>
        </w:tc>
        <w:tc>
          <w:tcPr>
            <w:tcW w:w="1273" w:type="dxa"/>
            <w:vAlign w:val="center"/>
          </w:tcPr>
          <w:p w14:paraId="21584585" w14:textId="01CCBA47" w:rsidR="002C0ED7" w:rsidRPr="00C2587D" w:rsidRDefault="00E631AE" w:rsidP="002C0ED7">
            <w:pPr>
              <w:jc w:val="center"/>
              <w:rPr>
                <w:rFonts w:cs="Arial"/>
                <w:b/>
                <w:color w:val="000000"/>
                <w:sz w:val="20"/>
                <w:szCs w:val="20"/>
                <w:lang w:eastAsia="it-IT"/>
              </w:rPr>
            </w:pPr>
            <w:r w:rsidRPr="00C2587D">
              <w:rPr>
                <w:rFonts w:cs="Arial"/>
                <w:b/>
                <w:color w:val="000000"/>
                <w:sz w:val="20"/>
                <w:szCs w:val="20"/>
                <w:lang w:eastAsia="it-IT"/>
              </w:rPr>
              <w:t>120 000,0</w:t>
            </w:r>
          </w:p>
        </w:tc>
      </w:tr>
      <w:tr w:rsidR="002C0ED7" w:rsidRPr="00C2587D" w14:paraId="512D173E" w14:textId="77777777" w:rsidTr="006478C2">
        <w:trPr>
          <w:jc w:val="center"/>
        </w:trPr>
        <w:tc>
          <w:tcPr>
            <w:tcW w:w="562" w:type="dxa"/>
            <w:shd w:val="clear" w:color="auto" w:fill="auto"/>
            <w:noWrap/>
            <w:vAlign w:val="center"/>
          </w:tcPr>
          <w:p w14:paraId="24E567FE" w14:textId="67E5CA43" w:rsidR="002C0ED7" w:rsidRPr="00C2587D" w:rsidRDefault="00652A19" w:rsidP="006478C2">
            <w:pPr>
              <w:rPr>
                <w:rFonts w:cs="Arial"/>
                <w:bCs/>
                <w:color w:val="000000"/>
                <w:sz w:val="20"/>
                <w:szCs w:val="20"/>
                <w:lang w:eastAsia="uk-UA"/>
              </w:rPr>
            </w:pPr>
            <w:r w:rsidRPr="00C2587D">
              <w:rPr>
                <w:rFonts w:cs="Arial"/>
                <w:bCs/>
                <w:color w:val="000000"/>
                <w:sz w:val="20"/>
                <w:szCs w:val="20"/>
                <w:lang w:eastAsia="uk-UA"/>
              </w:rPr>
              <w:t>22</w:t>
            </w:r>
            <w:r w:rsidR="002C0ED7" w:rsidRPr="00C2587D">
              <w:rPr>
                <w:rFonts w:cs="Arial"/>
                <w:bCs/>
                <w:color w:val="000000"/>
                <w:sz w:val="20"/>
                <w:szCs w:val="20"/>
                <w:lang w:eastAsia="uk-UA"/>
              </w:rPr>
              <w:t>.</w:t>
            </w:r>
          </w:p>
        </w:tc>
        <w:tc>
          <w:tcPr>
            <w:tcW w:w="4395" w:type="dxa"/>
            <w:shd w:val="clear" w:color="auto" w:fill="auto"/>
            <w:noWrap/>
            <w:vAlign w:val="center"/>
          </w:tcPr>
          <w:p w14:paraId="0FD350B2" w14:textId="56F91EA5" w:rsidR="002C0ED7" w:rsidRPr="00C2587D" w:rsidRDefault="002C0ED7" w:rsidP="006478C2">
            <w:pPr>
              <w:spacing w:before="40" w:after="40"/>
              <w:jc w:val="both"/>
              <w:rPr>
                <w:rFonts w:cs="Arial"/>
                <w:sz w:val="20"/>
                <w:szCs w:val="20"/>
                <w:lang w:eastAsia="it-IT"/>
              </w:rPr>
            </w:pPr>
            <w:r w:rsidRPr="00C2587D">
              <w:rPr>
                <w:rFonts w:cs="Arial"/>
                <w:bCs/>
                <w:sz w:val="20"/>
                <w:szCs w:val="20"/>
              </w:rPr>
              <w:t>Вуличний багатофункціональний спортивно-оздоровчий простір з гумовим або штучним покриттям у мікрорайоні «Мала Жмеринка»</w:t>
            </w:r>
          </w:p>
        </w:tc>
        <w:tc>
          <w:tcPr>
            <w:tcW w:w="1162" w:type="dxa"/>
            <w:shd w:val="clear" w:color="auto" w:fill="auto"/>
            <w:noWrap/>
            <w:vAlign w:val="center"/>
          </w:tcPr>
          <w:p w14:paraId="38CB72D7" w14:textId="15D749B3" w:rsidR="002C0ED7" w:rsidRPr="00C2587D" w:rsidRDefault="002C0ED7" w:rsidP="002C0ED7">
            <w:pPr>
              <w:jc w:val="center"/>
              <w:rPr>
                <w:rFonts w:cs="Arial"/>
                <w:color w:val="000000"/>
                <w:sz w:val="20"/>
                <w:szCs w:val="20"/>
                <w:lang w:eastAsia="it-IT"/>
              </w:rPr>
            </w:pPr>
          </w:p>
        </w:tc>
        <w:tc>
          <w:tcPr>
            <w:tcW w:w="1106" w:type="dxa"/>
            <w:shd w:val="clear" w:color="auto" w:fill="auto"/>
            <w:noWrap/>
            <w:vAlign w:val="center"/>
          </w:tcPr>
          <w:p w14:paraId="70016217" w14:textId="5CAF81C4" w:rsidR="002C0ED7" w:rsidRPr="00C2587D" w:rsidRDefault="00E631AE" w:rsidP="002C0ED7">
            <w:pPr>
              <w:jc w:val="center"/>
              <w:rPr>
                <w:rFonts w:cs="Arial"/>
                <w:color w:val="000000"/>
                <w:sz w:val="20"/>
                <w:szCs w:val="20"/>
                <w:lang w:eastAsia="it-IT"/>
              </w:rPr>
            </w:pPr>
            <w:r w:rsidRPr="00C2587D">
              <w:rPr>
                <w:rFonts w:cs="Arial"/>
                <w:color w:val="000000"/>
                <w:sz w:val="20"/>
                <w:szCs w:val="20"/>
                <w:lang w:eastAsia="it-IT"/>
              </w:rPr>
              <w:t>5 500,0</w:t>
            </w:r>
          </w:p>
        </w:tc>
        <w:tc>
          <w:tcPr>
            <w:tcW w:w="1106" w:type="dxa"/>
            <w:shd w:val="clear" w:color="auto" w:fill="auto"/>
            <w:noWrap/>
            <w:vAlign w:val="center"/>
          </w:tcPr>
          <w:p w14:paraId="001D1135" w14:textId="21DAF6C8" w:rsidR="002C0ED7" w:rsidRPr="00C2587D" w:rsidRDefault="002C0ED7" w:rsidP="002C0ED7">
            <w:pPr>
              <w:jc w:val="center"/>
              <w:rPr>
                <w:rFonts w:cs="Arial"/>
                <w:color w:val="000000"/>
                <w:sz w:val="20"/>
                <w:szCs w:val="20"/>
                <w:lang w:eastAsia="it-IT"/>
              </w:rPr>
            </w:pPr>
          </w:p>
        </w:tc>
        <w:tc>
          <w:tcPr>
            <w:tcW w:w="736" w:type="dxa"/>
            <w:shd w:val="clear" w:color="auto" w:fill="auto"/>
            <w:noWrap/>
            <w:vAlign w:val="center"/>
          </w:tcPr>
          <w:p w14:paraId="7629D3AD" w14:textId="7FD1774E" w:rsidR="002C0ED7" w:rsidRPr="00C2587D" w:rsidRDefault="002C0ED7" w:rsidP="002C0ED7">
            <w:pPr>
              <w:jc w:val="center"/>
              <w:rPr>
                <w:rFonts w:cs="Arial"/>
                <w:color w:val="000000"/>
                <w:sz w:val="20"/>
                <w:szCs w:val="20"/>
                <w:lang w:eastAsia="it-IT"/>
              </w:rPr>
            </w:pPr>
          </w:p>
        </w:tc>
        <w:tc>
          <w:tcPr>
            <w:tcW w:w="1273" w:type="dxa"/>
            <w:vAlign w:val="center"/>
          </w:tcPr>
          <w:p w14:paraId="3DAA813F" w14:textId="54B6326C" w:rsidR="002C0ED7" w:rsidRPr="00C2587D" w:rsidRDefault="00E631AE" w:rsidP="002C0ED7">
            <w:pPr>
              <w:jc w:val="center"/>
              <w:rPr>
                <w:rFonts w:cs="Arial"/>
                <w:b/>
                <w:color w:val="000000"/>
                <w:sz w:val="20"/>
                <w:szCs w:val="20"/>
                <w:lang w:eastAsia="it-IT"/>
              </w:rPr>
            </w:pPr>
            <w:r w:rsidRPr="00C2587D">
              <w:rPr>
                <w:rFonts w:cs="Arial"/>
                <w:b/>
                <w:color w:val="000000"/>
                <w:sz w:val="20"/>
                <w:szCs w:val="20"/>
                <w:lang w:eastAsia="it-IT"/>
              </w:rPr>
              <w:t>5 500,0</w:t>
            </w:r>
          </w:p>
        </w:tc>
      </w:tr>
      <w:tr w:rsidR="002C0ED7" w:rsidRPr="00C2587D" w14:paraId="7ACA34E0" w14:textId="77777777" w:rsidTr="006478C2">
        <w:trPr>
          <w:jc w:val="center"/>
        </w:trPr>
        <w:tc>
          <w:tcPr>
            <w:tcW w:w="562" w:type="dxa"/>
            <w:shd w:val="clear" w:color="auto" w:fill="auto"/>
            <w:noWrap/>
            <w:vAlign w:val="center"/>
          </w:tcPr>
          <w:p w14:paraId="49E178B2" w14:textId="4AF1E00B" w:rsidR="002C0ED7" w:rsidRPr="00C2587D" w:rsidRDefault="00652A19" w:rsidP="006478C2">
            <w:pPr>
              <w:rPr>
                <w:rFonts w:cs="Arial"/>
                <w:bCs/>
                <w:color w:val="000000"/>
                <w:sz w:val="20"/>
                <w:szCs w:val="20"/>
                <w:lang w:eastAsia="uk-UA"/>
              </w:rPr>
            </w:pPr>
            <w:r w:rsidRPr="00C2587D">
              <w:rPr>
                <w:rFonts w:cs="Arial"/>
                <w:bCs/>
                <w:color w:val="000000"/>
                <w:sz w:val="20"/>
                <w:szCs w:val="20"/>
                <w:lang w:eastAsia="uk-UA"/>
              </w:rPr>
              <w:t>23</w:t>
            </w:r>
            <w:r w:rsidR="002C0ED7" w:rsidRPr="00C2587D">
              <w:rPr>
                <w:rFonts w:cs="Arial"/>
                <w:bCs/>
                <w:color w:val="000000"/>
                <w:sz w:val="20"/>
                <w:szCs w:val="20"/>
                <w:lang w:eastAsia="uk-UA"/>
              </w:rPr>
              <w:t>.</w:t>
            </w:r>
          </w:p>
        </w:tc>
        <w:tc>
          <w:tcPr>
            <w:tcW w:w="4395" w:type="dxa"/>
            <w:shd w:val="clear" w:color="auto" w:fill="auto"/>
            <w:noWrap/>
            <w:vAlign w:val="center"/>
          </w:tcPr>
          <w:p w14:paraId="69E00FF7" w14:textId="2816FC80" w:rsidR="002C0ED7" w:rsidRPr="00C2587D" w:rsidRDefault="002C0ED7" w:rsidP="006478C2">
            <w:pPr>
              <w:spacing w:before="40" w:after="40"/>
              <w:jc w:val="both"/>
              <w:rPr>
                <w:rFonts w:cs="Arial"/>
                <w:sz w:val="20"/>
                <w:szCs w:val="20"/>
                <w:lang w:eastAsia="it-IT"/>
              </w:rPr>
            </w:pPr>
            <w:r w:rsidRPr="00C2587D">
              <w:rPr>
                <w:rFonts w:cs="Arial"/>
                <w:sz w:val="20"/>
                <w:szCs w:val="20"/>
              </w:rPr>
              <w:t>Облаштування мультифункціонального майданчика зі штучним покриттям на території СК «Авангард»</w:t>
            </w:r>
            <w:r w:rsidR="00856FF1">
              <w:rPr>
                <w:rFonts w:cs="Arial"/>
                <w:bCs/>
                <w:sz w:val="20"/>
                <w:szCs w:val="20"/>
              </w:rPr>
              <w:t xml:space="preserve"> за адресом</w:t>
            </w:r>
            <w:r w:rsidRPr="00C2587D">
              <w:rPr>
                <w:rFonts w:cs="Arial"/>
                <w:bCs/>
                <w:sz w:val="20"/>
                <w:szCs w:val="20"/>
              </w:rPr>
              <w:t>:</w:t>
            </w:r>
            <w:r w:rsidRPr="00C2587D">
              <w:rPr>
                <w:rFonts w:cs="Arial"/>
                <w:sz w:val="20"/>
                <w:szCs w:val="20"/>
              </w:rPr>
              <w:t xml:space="preserve"> смт Браїлів, вул. Козацька, 3</w:t>
            </w:r>
          </w:p>
        </w:tc>
        <w:tc>
          <w:tcPr>
            <w:tcW w:w="1162" w:type="dxa"/>
            <w:shd w:val="clear" w:color="auto" w:fill="auto"/>
            <w:noWrap/>
            <w:vAlign w:val="center"/>
          </w:tcPr>
          <w:p w14:paraId="53D165A0" w14:textId="20864938" w:rsidR="002C0ED7" w:rsidRPr="00C2587D" w:rsidRDefault="002C0ED7" w:rsidP="002C0ED7">
            <w:pPr>
              <w:jc w:val="center"/>
              <w:rPr>
                <w:rFonts w:cs="Arial"/>
                <w:color w:val="000000"/>
                <w:sz w:val="20"/>
                <w:szCs w:val="20"/>
                <w:lang w:eastAsia="it-IT"/>
              </w:rPr>
            </w:pPr>
          </w:p>
        </w:tc>
        <w:tc>
          <w:tcPr>
            <w:tcW w:w="1106" w:type="dxa"/>
            <w:shd w:val="clear" w:color="auto" w:fill="auto"/>
            <w:noWrap/>
            <w:vAlign w:val="center"/>
          </w:tcPr>
          <w:p w14:paraId="23347E5F" w14:textId="6165FC20" w:rsidR="002C0ED7" w:rsidRPr="00C2587D" w:rsidRDefault="002C0ED7" w:rsidP="002C0ED7">
            <w:pPr>
              <w:jc w:val="center"/>
              <w:rPr>
                <w:rFonts w:cs="Arial"/>
                <w:color w:val="000000"/>
                <w:sz w:val="20"/>
                <w:szCs w:val="20"/>
                <w:lang w:eastAsia="it-IT"/>
              </w:rPr>
            </w:pPr>
          </w:p>
        </w:tc>
        <w:tc>
          <w:tcPr>
            <w:tcW w:w="1106" w:type="dxa"/>
            <w:shd w:val="clear" w:color="auto" w:fill="auto"/>
            <w:noWrap/>
            <w:vAlign w:val="center"/>
          </w:tcPr>
          <w:p w14:paraId="2FE0D4C9" w14:textId="7DEB47F2" w:rsidR="002C0ED7" w:rsidRPr="00C2587D" w:rsidRDefault="00E631AE" w:rsidP="002C0ED7">
            <w:pPr>
              <w:jc w:val="center"/>
              <w:rPr>
                <w:rFonts w:cs="Arial"/>
                <w:color w:val="000000"/>
                <w:sz w:val="20"/>
                <w:szCs w:val="20"/>
                <w:lang w:eastAsia="it-IT"/>
              </w:rPr>
            </w:pPr>
            <w:r w:rsidRPr="00C2587D">
              <w:rPr>
                <w:rFonts w:cs="Arial"/>
                <w:color w:val="000000"/>
                <w:sz w:val="20"/>
                <w:szCs w:val="20"/>
                <w:lang w:eastAsia="it-IT"/>
              </w:rPr>
              <w:t>5 500,0</w:t>
            </w:r>
          </w:p>
        </w:tc>
        <w:tc>
          <w:tcPr>
            <w:tcW w:w="736" w:type="dxa"/>
            <w:shd w:val="clear" w:color="auto" w:fill="auto"/>
            <w:noWrap/>
            <w:vAlign w:val="center"/>
          </w:tcPr>
          <w:p w14:paraId="5F4FE76D" w14:textId="0E596740" w:rsidR="002C0ED7" w:rsidRPr="00C2587D" w:rsidRDefault="002C0ED7" w:rsidP="002C0ED7">
            <w:pPr>
              <w:jc w:val="center"/>
              <w:rPr>
                <w:rFonts w:cs="Arial"/>
                <w:color w:val="000000"/>
                <w:sz w:val="20"/>
                <w:szCs w:val="20"/>
                <w:lang w:eastAsia="it-IT"/>
              </w:rPr>
            </w:pPr>
          </w:p>
        </w:tc>
        <w:tc>
          <w:tcPr>
            <w:tcW w:w="1273" w:type="dxa"/>
            <w:vAlign w:val="center"/>
          </w:tcPr>
          <w:p w14:paraId="176E3A95" w14:textId="5F4584B0" w:rsidR="002C0ED7" w:rsidRPr="00C2587D" w:rsidRDefault="00E631AE" w:rsidP="002C0ED7">
            <w:pPr>
              <w:jc w:val="center"/>
              <w:rPr>
                <w:rFonts w:cs="Arial"/>
                <w:b/>
                <w:color w:val="000000"/>
                <w:sz w:val="20"/>
                <w:szCs w:val="20"/>
                <w:lang w:eastAsia="it-IT"/>
              </w:rPr>
            </w:pPr>
            <w:r w:rsidRPr="00C2587D">
              <w:rPr>
                <w:rFonts w:cs="Arial"/>
                <w:b/>
                <w:color w:val="000000"/>
                <w:sz w:val="20"/>
                <w:szCs w:val="20"/>
                <w:lang w:eastAsia="it-IT"/>
              </w:rPr>
              <w:t>5 500,0</w:t>
            </w:r>
          </w:p>
        </w:tc>
      </w:tr>
      <w:tr w:rsidR="002C0ED7" w:rsidRPr="00C2587D" w14:paraId="76555DEB" w14:textId="77777777" w:rsidTr="006478C2">
        <w:trPr>
          <w:trHeight w:val="898"/>
          <w:jc w:val="center"/>
        </w:trPr>
        <w:tc>
          <w:tcPr>
            <w:tcW w:w="562" w:type="dxa"/>
            <w:shd w:val="clear" w:color="auto" w:fill="auto"/>
            <w:noWrap/>
            <w:vAlign w:val="center"/>
          </w:tcPr>
          <w:p w14:paraId="3A5B71E8" w14:textId="1F747359" w:rsidR="002C0ED7" w:rsidRPr="00C2587D" w:rsidRDefault="00652A19" w:rsidP="006478C2">
            <w:pPr>
              <w:rPr>
                <w:rFonts w:cs="Arial"/>
                <w:bCs/>
                <w:color w:val="000000"/>
                <w:sz w:val="20"/>
                <w:szCs w:val="20"/>
                <w:lang w:eastAsia="uk-UA"/>
              </w:rPr>
            </w:pPr>
            <w:r w:rsidRPr="00C2587D">
              <w:rPr>
                <w:rFonts w:cs="Arial"/>
                <w:bCs/>
                <w:color w:val="000000"/>
                <w:sz w:val="20"/>
                <w:szCs w:val="20"/>
                <w:lang w:eastAsia="uk-UA"/>
              </w:rPr>
              <w:t>24</w:t>
            </w:r>
            <w:r w:rsidR="002C0ED7" w:rsidRPr="00C2587D">
              <w:rPr>
                <w:rFonts w:cs="Arial"/>
                <w:bCs/>
                <w:color w:val="000000"/>
                <w:sz w:val="20"/>
                <w:szCs w:val="20"/>
                <w:lang w:eastAsia="uk-UA"/>
              </w:rPr>
              <w:t>.</w:t>
            </w:r>
          </w:p>
        </w:tc>
        <w:tc>
          <w:tcPr>
            <w:tcW w:w="4395" w:type="dxa"/>
            <w:shd w:val="clear" w:color="auto" w:fill="auto"/>
            <w:noWrap/>
            <w:vAlign w:val="center"/>
          </w:tcPr>
          <w:p w14:paraId="612DA6EC" w14:textId="67510CB3" w:rsidR="002C0ED7" w:rsidRPr="00C2587D" w:rsidRDefault="002C0ED7" w:rsidP="006478C2">
            <w:pPr>
              <w:jc w:val="both"/>
              <w:rPr>
                <w:rFonts w:cs="Arial"/>
                <w:sz w:val="20"/>
                <w:szCs w:val="20"/>
                <w:lang w:eastAsia="it-IT"/>
              </w:rPr>
            </w:pPr>
            <w:r w:rsidRPr="00C2587D">
              <w:rPr>
                <w:rFonts w:cs="Arial"/>
                <w:sz w:val="20"/>
                <w:szCs w:val="20"/>
              </w:rPr>
              <w:t>Облаштування футбольних полів зі штучним покриттям на території старостинських округів Жмеринської міської територіальної громади</w:t>
            </w:r>
          </w:p>
        </w:tc>
        <w:tc>
          <w:tcPr>
            <w:tcW w:w="1162" w:type="dxa"/>
            <w:shd w:val="clear" w:color="auto" w:fill="auto"/>
            <w:noWrap/>
            <w:vAlign w:val="center"/>
          </w:tcPr>
          <w:p w14:paraId="2F699D2D" w14:textId="50A37DE7" w:rsidR="002C0ED7" w:rsidRPr="00C2587D" w:rsidRDefault="002C0ED7" w:rsidP="002C0ED7">
            <w:pPr>
              <w:jc w:val="center"/>
              <w:rPr>
                <w:rFonts w:cs="Arial"/>
                <w:color w:val="000000"/>
                <w:sz w:val="20"/>
                <w:szCs w:val="20"/>
                <w:lang w:eastAsia="it-IT"/>
              </w:rPr>
            </w:pPr>
          </w:p>
        </w:tc>
        <w:tc>
          <w:tcPr>
            <w:tcW w:w="1106" w:type="dxa"/>
            <w:shd w:val="clear" w:color="auto" w:fill="auto"/>
            <w:noWrap/>
            <w:vAlign w:val="center"/>
          </w:tcPr>
          <w:p w14:paraId="01BFA157" w14:textId="73ED925E" w:rsidR="002C0ED7" w:rsidRPr="00C2587D" w:rsidRDefault="00E631AE" w:rsidP="002C0ED7">
            <w:pPr>
              <w:jc w:val="center"/>
              <w:rPr>
                <w:rFonts w:cs="Arial"/>
                <w:color w:val="000000"/>
                <w:sz w:val="20"/>
                <w:szCs w:val="20"/>
                <w:lang w:eastAsia="it-IT"/>
              </w:rPr>
            </w:pPr>
            <w:r w:rsidRPr="00C2587D">
              <w:rPr>
                <w:rFonts w:cs="Arial"/>
                <w:color w:val="000000"/>
                <w:sz w:val="20"/>
                <w:szCs w:val="20"/>
                <w:lang w:eastAsia="it-IT"/>
              </w:rPr>
              <w:t>12 840,0</w:t>
            </w:r>
          </w:p>
        </w:tc>
        <w:tc>
          <w:tcPr>
            <w:tcW w:w="1106" w:type="dxa"/>
            <w:shd w:val="clear" w:color="auto" w:fill="auto"/>
            <w:noWrap/>
            <w:vAlign w:val="center"/>
          </w:tcPr>
          <w:p w14:paraId="2F9D3FDA" w14:textId="0B3AF716" w:rsidR="002C0ED7" w:rsidRPr="00C2587D" w:rsidRDefault="00E631AE" w:rsidP="002C0ED7">
            <w:pPr>
              <w:jc w:val="center"/>
              <w:rPr>
                <w:rFonts w:cs="Arial"/>
                <w:color w:val="000000"/>
                <w:sz w:val="20"/>
                <w:szCs w:val="20"/>
                <w:lang w:eastAsia="it-IT"/>
              </w:rPr>
            </w:pPr>
            <w:r w:rsidRPr="00C2587D">
              <w:rPr>
                <w:rFonts w:cs="Arial"/>
                <w:color w:val="000000"/>
                <w:sz w:val="20"/>
                <w:szCs w:val="20"/>
                <w:lang w:eastAsia="it-IT"/>
              </w:rPr>
              <w:t>12 840,0</w:t>
            </w:r>
          </w:p>
        </w:tc>
        <w:tc>
          <w:tcPr>
            <w:tcW w:w="736" w:type="dxa"/>
            <w:shd w:val="clear" w:color="auto" w:fill="auto"/>
            <w:noWrap/>
            <w:vAlign w:val="center"/>
          </w:tcPr>
          <w:p w14:paraId="3EA75F58" w14:textId="137BA3D2" w:rsidR="002C0ED7" w:rsidRPr="00C2587D" w:rsidRDefault="00E631AE" w:rsidP="002C0ED7">
            <w:pPr>
              <w:jc w:val="center"/>
              <w:rPr>
                <w:rFonts w:cs="Arial"/>
                <w:color w:val="000000"/>
                <w:sz w:val="20"/>
                <w:szCs w:val="20"/>
                <w:lang w:eastAsia="it-IT"/>
              </w:rPr>
            </w:pPr>
            <w:r w:rsidRPr="00C2587D">
              <w:rPr>
                <w:rFonts w:cs="Arial"/>
                <w:color w:val="000000"/>
                <w:sz w:val="20"/>
                <w:szCs w:val="20"/>
                <w:lang w:eastAsia="it-IT"/>
              </w:rPr>
              <w:t>12 840,0</w:t>
            </w:r>
          </w:p>
        </w:tc>
        <w:tc>
          <w:tcPr>
            <w:tcW w:w="1273" w:type="dxa"/>
            <w:vAlign w:val="center"/>
          </w:tcPr>
          <w:p w14:paraId="360198F2" w14:textId="1A3A60E5" w:rsidR="002C0ED7" w:rsidRPr="00C2587D" w:rsidRDefault="00E631AE" w:rsidP="002C0ED7">
            <w:pPr>
              <w:jc w:val="center"/>
              <w:rPr>
                <w:rFonts w:cs="Arial"/>
                <w:b/>
                <w:color w:val="000000"/>
                <w:sz w:val="20"/>
                <w:szCs w:val="20"/>
                <w:lang w:eastAsia="it-IT"/>
              </w:rPr>
            </w:pPr>
            <w:r w:rsidRPr="00C2587D">
              <w:rPr>
                <w:rFonts w:cs="Arial"/>
                <w:b/>
                <w:color w:val="000000"/>
                <w:sz w:val="20"/>
                <w:szCs w:val="20"/>
                <w:lang w:eastAsia="it-IT"/>
              </w:rPr>
              <w:t>38 520,0</w:t>
            </w:r>
          </w:p>
        </w:tc>
      </w:tr>
      <w:tr w:rsidR="002C0ED7" w:rsidRPr="00C2587D" w14:paraId="77CC9A28" w14:textId="77777777" w:rsidTr="006478C2">
        <w:trPr>
          <w:jc w:val="center"/>
        </w:trPr>
        <w:tc>
          <w:tcPr>
            <w:tcW w:w="562" w:type="dxa"/>
            <w:shd w:val="clear" w:color="auto" w:fill="auto"/>
            <w:noWrap/>
            <w:vAlign w:val="center"/>
          </w:tcPr>
          <w:p w14:paraId="4400F0B0" w14:textId="4D7F7681" w:rsidR="002C0ED7" w:rsidRPr="00C2587D" w:rsidRDefault="002C0ED7" w:rsidP="006478C2">
            <w:pPr>
              <w:rPr>
                <w:rFonts w:cs="Arial"/>
                <w:bCs/>
                <w:color w:val="000000"/>
                <w:sz w:val="20"/>
                <w:szCs w:val="20"/>
                <w:lang w:eastAsia="uk-UA"/>
              </w:rPr>
            </w:pPr>
            <w:r w:rsidRPr="00C2587D">
              <w:rPr>
                <w:rFonts w:cs="Arial"/>
                <w:bCs/>
                <w:color w:val="000000"/>
                <w:sz w:val="20"/>
                <w:szCs w:val="20"/>
                <w:lang w:eastAsia="uk-UA"/>
              </w:rPr>
              <w:t>2</w:t>
            </w:r>
            <w:r w:rsidR="00652A19" w:rsidRPr="00C2587D">
              <w:rPr>
                <w:rFonts w:cs="Arial"/>
                <w:bCs/>
                <w:color w:val="000000"/>
                <w:sz w:val="20"/>
                <w:szCs w:val="20"/>
                <w:lang w:eastAsia="uk-UA"/>
              </w:rPr>
              <w:t>5</w:t>
            </w:r>
            <w:r w:rsidRPr="00C2587D">
              <w:rPr>
                <w:rFonts w:cs="Arial"/>
                <w:bCs/>
                <w:color w:val="000000"/>
                <w:sz w:val="20"/>
                <w:szCs w:val="20"/>
                <w:lang w:eastAsia="uk-UA"/>
              </w:rPr>
              <w:t>.</w:t>
            </w:r>
          </w:p>
        </w:tc>
        <w:tc>
          <w:tcPr>
            <w:tcW w:w="4395" w:type="dxa"/>
            <w:shd w:val="clear" w:color="auto" w:fill="auto"/>
            <w:noWrap/>
            <w:vAlign w:val="center"/>
          </w:tcPr>
          <w:p w14:paraId="731E7490" w14:textId="46150D92" w:rsidR="002C0ED7" w:rsidRPr="00C2587D" w:rsidRDefault="002C0ED7" w:rsidP="006478C2">
            <w:pPr>
              <w:jc w:val="both"/>
              <w:rPr>
                <w:rFonts w:cs="Arial"/>
                <w:sz w:val="20"/>
                <w:szCs w:val="20"/>
                <w:lang w:eastAsia="it-IT"/>
              </w:rPr>
            </w:pPr>
            <w:r w:rsidRPr="00C2587D">
              <w:rPr>
                <w:rFonts w:cs="Arial"/>
                <w:sz w:val="20"/>
                <w:szCs w:val="20"/>
              </w:rPr>
              <w:t>Будівництво багатофункціонального критого спортивного комплексу на території Центрального міського парку</w:t>
            </w:r>
          </w:p>
        </w:tc>
        <w:tc>
          <w:tcPr>
            <w:tcW w:w="1162" w:type="dxa"/>
            <w:shd w:val="clear" w:color="auto" w:fill="auto"/>
            <w:noWrap/>
            <w:vAlign w:val="center"/>
          </w:tcPr>
          <w:p w14:paraId="726AB657" w14:textId="0CF8B1CA" w:rsidR="002C0ED7" w:rsidRPr="00C2587D" w:rsidRDefault="002C0ED7" w:rsidP="002C0ED7">
            <w:pPr>
              <w:jc w:val="center"/>
              <w:rPr>
                <w:rFonts w:cs="Arial"/>
                <w:color w:val="000000"/>
                <w:sz w:val="20"/>
                <w:szCs w:val="20"/>
                <w:lang w:eastAsia="it-IT"/>
              </w:rPr>
            </w:pPr>
          </w:p>
        </w:tc>
        <w:tc>
          <w:tcPr>
            <w:tcW w:w="1106" w:type="dxa"/>
            <w:shd w:val="clear" w:color="auto" w:fill="auto"/>
            <w:noWrap/>
            <w:vAlign w:val="center"/>
          </w:tcPr>
          <w:p w14:paraId="02E21588" w14:textId="423E57FE" w:rsidR="002C0ED7" w:rsidRPr="00C2587D" w:rsidRDefault="00E631AE" w:rsidP="002C0ED7">
            <w:pPr>
              <w:jc w:val="center"/>
              <w:rPr>
                <w:rFonts w:cs="Arial"/>
                <w:color w:val="000000"/>
                <w:sz w:val="20"/>
                <w:szCs w:val="20"/>
                <w:lang w:eastAsia="it-IT"/>
              </w:rPr>
            </w:pPr>
            <w:r w:rsidRPr="00C2587D">
              <w:rPr>
                <w:rFonts w:cs="Arial"/>
                <w:color w:val="000000"/>
                <w:sz w:val="20"/>
                <w:szCs w:val="20"/>
                <w:lang w:eastAsia="it-IT"/>
              </w:rPr>
              <w:t>17 500,0</w:t>
            </w:r>
          </w:p>
        </w:tc>
        <w:tc>
          <w:tcPr>
            <w:tcW w:w="1106" w:type="dxa"/>
            <w:shd w:val="clear" w:color="auto" w:fill="auto"/>
            <w:noWrap/>
            <w:vAlign w:val="center"/>
          </w:tcPr>
          <w:p w14:paraId="3660A181" w14:textId="5ABD2307" w:rsidR="002C0ED7" w:rsidRPr="00C2587D" w:rsidRDefault="00E631AE" w:rsidP="002C0ED7">
            <w:pPr>
              <w:jc w:val="center"/>
              <w:rPr>
                <w:rFonts w:cs="Arial"/>
                <w:color w:val="000000"/>
                <w:sz w:val="20"/>
                <w:szCs w:val="20"/>
                <w:lang w:eastAsia="it-IT"/>
              </w:rPr>
            </w:pPr>
            <w:r w:rsidRPr="00C2587D">
              <w:rPr>
                <w:rFonts w:cs="Arial"/>
                <w:color w:val="000000"/>
                <w:sz w:val="20"/>
                <w:szCs w:val="20"/>
                <w:lang w:eastAsia="it-IT"/>
              </w:rPr>
              <w:t>17 500,0</w:t>
            </w:r>
          </w:p>
        </w:tc>
        <w:tc>
          <w:tcPr>
            <w:tcW w:w="736" w:type="dxa"/>
            <w:shd w:val="clear" w:color="auto" w:fill="auto"/>
            <w:noWrap/>
            <w:vAlign w:val="center"/>
          </w:tcPr>
          <w:p w14:paraId="342093F4" w14:textId="634B1EFC" w:rsidR="002C0ED7" w:rsidRPr="00C2587D" w:rsidRDefault="002C0ED7" w:rsidP="002C0ED7">
            <w:pPr>
              <w:jc w:val="center"/>
              <w:rPr>
                <w:rFonts w:cs="Arial"/>
                <w:color w:val="000000"/>
                <w:sz w:val="20"/>
                <w:szCs w:val="20"/>
                <w:lang w:eastAsia="it-IT"/>
              </w:rPr>
            </w:pPr>
          </w:p>
        </w:tc>
        <w:tc>
          <w:tcPr>
            <w:tcW w:w="1273" w:type="dxa"/>
            <w:vAlign w:val="center"/>
          </w:tcPr>
          <w:p w14:paraId="60D8CA0F" w14:textId="100FF2D0" w:rsidR="002C0ED7" w:rsidRPr="00C2587D" w:rsidRDefault="00E631AE" w:rsidP="002C0ED7">
            <w:pPr>
              <w:jc w:val="center"/>
              <w:rPr>
                <w:rFonts w:cs="Arial"/>
                <w:b/>
                <w:color w:val="000000"/>
                <w:sz w:val="20"/>
                <w:szCs w:val="20"/>
                <w:lang w:eastAsia="it-IT"/>
              </w:rPr>
            </w:pPr>
            <w:r w:rsidRPr="00C2587D">
              <w:rPr>
                <w:rFonts w:cs="Arial"/>
                <w:b/>
                <w:color w:val="000000"/>
                <w:sz w:val="20"/>
                <w:szCs w:val="20"/>
                <w:lang w:eastAsia="it-IT"/>
              </w:rPr>
              <w:t>35 000,0</w:t>
            </w:r>
          </w:p>
        </w:tc>
      </w:tr>
      <w:tr w:rsidR="002C0ED7" w:rsidRPr="00C2587D" w14:paraId="147655E3" w14:textId="77777777" w:rsidTr="006478C2">
        <w:trPr>
          <w:trHeight w:val="635"/>
          <w:jc w:val="center"/>
        </w:trPr>
        <w:tc>
          <w:tcPr>
            <w:tcW w:w="562" w:type="dxa"/>
            <w:shd w:val="clear" w:color="auto" w:fill="auto"/>
            <w:noWrap/>
            <w:vAlign w:val="center"/>
          </w:tcPr>
          <w:p w14:paraId="7F42E245" w14:textId="38CA337A" w:rsidR="002C0ED7" w:rsidRPr="00C2587D" w:rsidRDefault="00652A19" w:rsidP="006478C2">
            <w:pPr>
              <w:rPr>
                <w:rFonts w:cs="Arial"/>
                <w:bCs/>
                <w:color w:val="000000"/>
                <w:sz w:val="20"/>
                <w:szCs w:val="20"/>
                <w:lang w:eastAsia="uk-UA"/>
              </w:rPr>
            </w:pPr>
            <w:r w:rsidRPr="00C2587D">
              <w:rPr>
                <w:rFonts w:cs="Arial"/>
                <w:bCs/>
                <w:color w:val="000000"/>
                <w:sz w:val="20"/>
                <w:szCs w:val="20"/>
                <w:lang w:eastAsia="uk-UA"/>
              </w:rPr>
              <w:t>26</w:t>
            </w:r>
            <w:r w:rsidR="002C0ED7" w:rsidRPr="00C2587D">
              <w:rPr>
                <w:rFonts w:cs="Arial"/>
                <w:bCs/>
                <w:color w:val="000000"/>
                <w:sz w:val="20"/>
                <w:szCs w:val="20"/>
                <w:lang w:eastAsia="uk-UA"/>
              </w:rPr>
              <w:t>.</w:t>
            </w:r>
          </w:p>
        </w:tc>
        <w:tc>
          <w:tcPr>
            <w:tcW w:w="4395" w:type="dxa"/>
            <w:shd w:val="clear" w:color="auto" w:fill="auto"/>
            <w:noWrap/>
            <w:vAlign w:val="center"/>
          </w:tcPr>
          <w:p w14:paraId="43EF6714" w14:textId="6C95B386" w:rsidR="002C0ED7" w:rsidRPr="00C2587D" w:rsidRDefault="002C0ED7" w:rsidP="006478C2">
            <w:pPr>
              <w:jc w:val="both"/>
              <w:rPr>
                <w:rFonts w:cs="Arial"/>
                <w:color w:val="000000"/>
                <w:sz w:val="20"/>
                <w:szCs w:val="20"/>
                <w:lang w:eastAsia="it-IT"/>
              </w:rPr>
            </w:pPr>
            <w:r w:rsidRPr="00C2587D">
              <w:rPr>
                <w:rFonts w:cs="Arial"/>
                <w:bCs/>
                <w:sz w:val="20"/>
                <w:szCs w:val="20"/>
              </w:rPr>
              <w:t>Облаштування скейт-парку</w:t>
            </w:r>
            <w:r w:rsidRPr="00C2587D">
              <w:rPr>
                <w:rFonts w:cs="Arial"/>
                <w:sz w:val="20"/>
                <w:szCs w:val="20"/>
              </w:rPr>
              <w:t xml:space="preserve"> на території Центрального міського парку</w:t>
            </w:r>
          </w:p>
        </w:tc>
        <w:tc>
          <w:tcPr>
            <w:tcW w:w="1162" w:type="dxa"/>
            <w:shd w:val="clear" w:color="auto" w:fill="auto"/>
            <w:noWrap/>
            <w:vAlign w:val="center"/>
          </w:tcPr>
          <w:p w14:paraId="52524767" w14:textId="6BF3B1CA" w:rsidR="002C0ED7" w:rsidRPr="00C2587D" w:rsidRDefault="002C0ED7" w:rsidP="00CC7D56">
            <w:pPr>
              <w:jc w:val="center"/>
              <w:rPr>
                <w:rFonts w:cs="Arial"/>
                <w:color w:val="000000"/>
                <w:sz w:val="20"/>
                <w:szCs w:val="20"/>
                <w:lang w:eastAsia="it-IT"/>
              </w:rPr>
            </w:pPr>
          </w:p>
        </w:tc>
        <w:tc>
          <w:tcPr>
            <w:tcW w:w="1106" w:type="dxa"/>
            <w:shd w:val="clear" w:color="auto" w:fill="auto"/>
            <w:noWrap/>
            <w:vAlign w:val="center"/>
          </w:tcPr>
          <w:p w14:paraId="398A0BCA" w14:textId="0C9D3DAF" w:rsidR="002C0ED7" w:rsidRPr="00C2587D" w:rsidRDefault="00E631AE" w:rsidP="00CC7D56">
            <w:pPr>
              <w:jc w:val="center"/>
              <w:rPr>
                <w:rFonts w:cs="Arial"/>
                <w:color w:val="000000"/>
                <w:sz w:val="20"/>
                <w:szCs w:val="20"/>
                <w:lang w:eastAsia="it-IT"/>
              </w:rPr>
            </w:pPr>
            <w:r w:rsidRPr="00C2587D">
              <w:rPr>
                <w:rFonts w:cs="Arial"/>
                <w:color w:val="000000"/>
                <w:sz w:val="20"/>
                <w:szCs w:val="20"/>
                <w:lang w:eastAsia="it-IT"/>
              </w:rPr>
              <w:t>2 000,0</w:t>
            </w:r>
          </w:p>
        </w:tc>
        <w:tc>
          <w:tcPr>
            <w:tcW w:w="1106" w:type="dxa"/>
            <w:shd w:val="clear" w:color="auto" w:fill="auto"/>
            <w:noWrap/>
            <w:vAlign w:val="center"/>
          </w:tcPr>
          <w:p w14:paraId="7FF32842" w14:textId="12E5AFFA" w:rsidR="002C0ED7" w:rsidRPr="00C2587D" w:rsidRDefault="002C0ED7" w:rsidP="00CC7D56">
            <w:pPr>
              <w:jc w:val="center"/>
              <w:rPr>
                <w:rFonts w:cs="Arial"/>
                <w:color w:val="000000"/>
                <w:sz w:val="20"/>
                <w:szCs w:val="20"/>
                <w:lang w:eastAsia="it-IT"/>
              </w:rPr>
            </w:pPr>
          </w:p>
        </w:tc>
        <w:tc>
          <w:tcPr>
            <w:tcW w:w="736" w:type="dxa"/>
            <w:shd w:val="clear" w:color="auto" w:fill="auto"/>
            <w:noWrap/>
            <w:vAlign w:val="center"/>
          </w:tcPr>
          <w:p w14:paraId="2E5C710D" w14:textId="56799F6B" w:rsidR="002C0ED7" w:rsidRPr="00C2587D" w:rsidRDefault="002C0ED7" w:rsidP="00CC7D56">
            <w:pPr>
              <w:jc w:val="center"/>
              <w:rPr>
                <w:rFonts w:cs="Arial"/>
                <w:color w:val="000000"/>
                <w:sz w:val="20"/>
                <w:szCs w:val="20"/>
                <w:lang w:eastAsia="it-IT"/>
              </w:rPr>
            </w:pPr>
          </w:p>
        </w:tc>
        <w:tc>
          <w:tcPr>
            <w:tcW w:w="1273" w:type="dxa"/>
            <w:vAlign w:val="center"/>
          </w:tcPr>
          <w:p w14:paraId="2B69C9FA" w14:textId="4C2618E4" w:rsidR="002C0ED7" w:rsidRPr="00C2587D" w:rsidRDefault="00E631AE" w:rsidP="00CC7D56">
            <w:pPr>
              <w:jc w:val="center"/>
              <w:rPr>
                <w:rFonts w:cs="Arial"/>
                <w:b/>
                <w:color w:val="000000"/>
                <w:sz w:val="20"/>
                <w:szCs w:val="20"/>
                <w:lang w:eastAsia="it-IT"/>
              </w:rPr>
            </w:pPr>
            <w:r w:rsidRPr="00C2587D">
              <w:rPr>
                <w:rFonts w:cs="Arial"/>
                <w:b/>
                <w:color w:val="000000"/>
                <w:sz w:val="20"/>
                <w:szCs w:val="20"/>
                <w:lang w:eastAsia="it-IT"/>
              </w:rPr>
              <w:t>2 000,0</w:t>
            </w:r>
          </w:p>
        </w:tc>
      </w:tr>
      <w:tr w:rsidR="002C0ED7" w:rsidRPr="00C2587D" w14:paraId="2C94ED2E" w14:textId="77777777" w:rsidTr="006478C2">
        <w:trPr>
          <w:jc w:val="center"/>
        </w:trPr>
        <w:tc>
          <w:tcPr>
            <w:tcW w:w="562" w:type="dxa"/>
            <w:shd w:val="clear" w:color="auto" w:fill="auto"/>
            <w:noWrap/>
            <w:vAlign w:val="center"/>
          </w:tcPr>
          <w:p w14:paraId="1AC9A5AE" w14:textId="019207A8" w:rsidR="002C0ED7" w:rsidRPr="00C2587D" w:rsidRDefault="00652A19" w:rsidP="006478C2">
            <w:pPr>
              <w:rPr>
                <w:rFonts w:cs="Arial"/>
                <w:bCs/>
                <w:color w:val="000000"/>
                <w:sz w:val="20"/>
                <w:szCs w:val="20"/>
                <w:lang w:eastAsia="uk-UA"/>
              </w:rPr>
            </w:pPr>
            <w:r w:rsidRPr="00C2587D">
              <w:rPr>
                <w:rFonts w:cs="Arial"/>
                <w:bCs/>
                <w:color w:val="000000"/>
                <w:sz w:val="20"/>
                <w:szCs w:val="20"/>
                <w:lang w:eastAsia="uk-UA"/>
              </w:rPr>
              <w:t>27</w:t>
            </w:r>
            <w:r w:rsidR="002C0ED7" w:rsidRPr="00C2587D">
              <w:rPr>
                <w:rFonts w:cs="Arial"/>
                <w:bCs/>
                <w:color w:val="000000"/>
                <w:sz w:val="20"/>
                <w:szCs w:val="20"/>
                <w:lang w:eastAsia="uk-UA"/>
              </w:rPr>
              <w:t>.</w:t>
            </w:r>
          </w:p>
        </w:tc>
        <w:tc>
          <w:tcPr>
            <w:tcW w:w="4395" w:type="dxa"/>
            <w:shd w:val="clear" w:color="auto" w:fill="auto"/>
            <w:noWrap/>
            <w:vAlign w:val="center"/>
          </w:tcPr>
          <w:p w14:paraId="44E5D13D" w14:textId="2A680ED8" w:rsidR="002C0ED7" w:rsidRPr="00C2587D" w:rsidRDefault="002C0ED7" w:rsidP="006478C2">
            <w:pPr>
              <w:spacing w:before="40" w:after="40"/>
              <w:jc w:val="both"/>
              <w:rPr>
                <w:rFonts w:cs="Arial"/>
                <w:color w:val="000000"/>
                <w:sz w:val="20"/>
                <w:szCs w:val="20"/>
                <w:lang w:eastAsia="it-IT"/>
              </w:rPr>
            </w:pPr>
            <w:r w:rsidRPr="00C2587D">
              <w:rPr>
                <w:rFonts w:cs="Arial"/>
                <w:sz w:val="20"/>
                <w:szCs w:val="20"/>
              </w:rPr>
              <w:t xml:space="preserve">Відкритий теніс для всіх: встановлення антивандальних тенісних столів у громадських просторах на території </w:t>
            </w:r>
            <w:r w:rsidR="00987B8D">
              <w:rPr>
                <w:rFonts w:cs="Arial"/>
                <w:sz w:val="20"/>
                <w:szCs w:val="20"/>
              </w:rPr>
              <w:t>мікрорайонів</w:t>
            </w:r>
            <w:r w:rsidRPr="00C2587D">
              <w:rPr>
                <w:rFonts w:cs="Arial"/>
                <w:sz w:val="20"/>
                <w:szCs w:val="20"/>
              </w:rPr>
              <w:t xml:space="preserve"> «ТЕЦ», «Петрівка», «Постройки», </w:t>
            </w:r>
          </w:p>
        </w:tc>
        <w:tc>
          <w:tcPr>
            <w:tcW w:w="1162" w:type="dxa"/>
            <w:shd w:val="clear" w:color="auto" w:fill="auto"/>
            <w:noWrap/>
            <w:vAlign w:val="center"/>
          </w:tcPr>
          <w:p w14:paraId="3F98E082" w14:textId="4E33ADC2" w:rsidR="002C0ED7" w:rsidRPr="00C2587D" w:rsidRDefault="002C0ED7" w:rsidP="002C0ED7">
            <w:pPr>
              <w:jc w:val="center"/>
              <w:rPr>
                <w:rFonts w:cs="Arial"/>
                <w:color w:val="000000"/>
                <w:sz w:val="20"/>
                <w:szCs w:val="20"/>
                <w:lang w:eastAsia="it-IT"/>
              </w:rPr>
            </w:pPr>
          </w:p>
        </w:tc>
        <w:tc>
          <w:tcPr>
            <w:tcW w:w="1106" w:type="dxa"/>
            <w:shd w:val="clear" w:color="auto" w:fill="auto"/>
            <w:noWrap/>
            <w:vAlign w:val="center"/>
          </w:tcPr>
          <w:p w14:paraId="66E9C2C7" w14:textId="63124A33" w:rsidR="002C0ED7" w:rsidRPr="00C2587D" w:rsidRDefault="00E631AE" w:rsidP="002C0ED7">
            <w:pPr>
              <w:jc w:val="center"/>
              <w:rPr>
                <w:rFonts w:cs="Arial"/>
                <w:color w:val="000000"/>
                <w:sz w:val="20"/>
                <w:szCs w:val="20"/>
                <w:lang w:eastAsia="it-IT"/>
              </w:rPr>
            </w:pPr>
            <w:r w:rsidRPr="00C2587D">
              <w:rPr>
                <w:rFonts w:cs="Arial"/>
                <w:color w:val="000000"/>
                <w:sz w:val="20"/>
                <w:szCs w:val="20"/>
                <w:lang w:eastAsia="it-IT"/>
              </w:rPr>
              <w:t>120,0</w:t>
            </w:r>
          </w:p>
        </w:tc>
        <w:tc>
          <w:tcPr>
            <w:tcW w:w="1106" w:type="dxa"/>
            <w:shd w:val="clear" w:color="auto" w:fill="auto"/>
            <w:noWrap/>
            <w:vAlign w:val="center"/>
          </w:tcPr>
          <w:p w14:paraId="30E2272F" w14:textId="4FB58049" w:rsidR="002C0ED7" w:rsidRPr="00C2587D" w:rsidRDefault="00E631AE" w:rsidP="002C0ED7">
            <w:pPr>
              <w:jc w:val="center"/>
              <w:rPr>
                <w:rFonts w:cs="Arial"/>
                <w:color w:val="000000"/>
                <w:sz w:val="20"/>
                <w:szCs w:val="20"/>
                <w:lang w:eastAsia="it-IT"/>
              </w:rPr>
            </w:pPr>
            <w:r w:rsidRPr="00C2587D">
              <w:rPr>
                <w:rFonts w:cs="Arial"/>
                <w:color w:val="000000"/>
                <w:sz w:val="20"/>
                <w:szCs w:val="20"/>
                <w:lang w:eastAsia="it-IT"/>
              </w:rPr>
              <w:t>120,0</w:t>
            </w:r>
          </w:p>
        </w:tc>
        <w:tc>
          <w:tcPr>
            <w:tcW w:w="736" w:type="dxa"/>
            <w:shd w:val="clear" w:color="auto" w:fill="auto"/>
            <w:noWrap/>
            <w:vAlign w:val="center"/>
          </w:tcPr>
          <w:p w14:paraId="6F05F636" w14:textId="010750BB" w:rsidR="002C0ED7" w:rsidRPr="00C2587D" w:rsidRDefault="00E631AE" w:rsidP="002C0ED7">
            <w:pPr>
              <w:jc w:val="center"/>
              <w:rPr>
                <w:rFonts w:cs="Arial"/>
                <w:color w:val="000000"/>
                <w:sz w:val="20"/>
                <w:szCs w:val="20"/>
                <w:lang w:eastAsia="it-IT"/>
              </w:rPr>
            </w:pPr>
            <w:r w:rsidRPr="00C2587D">
              <w:rPr>
                <w:rFonts w:cs="Arial"/>
                <w:color w:val="000000"/>
                <w:sz w:val="20"/>
                <w:szCs w:val="20"/>
                <w:lang w:eastAsia="it-IT"/>
              </w:rPr>
              <w:t>120,0</w:t>
            </w:r>
          </w:p>
        </w:tc>
        <w:tc>
          <w:tcPr>
            <w:tcW w:w="1273" w:type="dxa"/>
            <w:vAlign w:val="center"/>
          </w:tcPr>
          <w:p w14:paraId="52C3620A" w14:textId="10B0D21B" w:rsidR="002C0ED7" w:rsidRPr="00C2587D" w:rsidRDefault="00E631AE" w:rsidP="002C0ED7">
            <w:pPr>
              <w:jc w:val="center"/>
              <w:rPr>
                <w:rFonts w:cs="Arial"/>
                <w:b/>
                <w:color w:val="000000"/>
                <w:sz w:val="20"/>
                <w:szCs w:val="20"/>
                <w:lang w:eastAsia="it-IT"/>
              </w:rPr>
            </w:pPr>
            <w:r w:rsidRPr="00C2587D">
              <w:rPr>
                <w:rFonts w:cs="Arial"/>
                <w:b/>
                <w:color w:val="000000"/>
                <w:sz w:val="20"/>
                <w:szCs w:val="20"/>
                <w:lang w:eastAsia="it-IT"/>
              </w:rPr>
              <w:t>360,0</w:t>
            </w:r>
          </w:p>
        </w:tc>
      </w:tr>
      <w:tr w:rsidR="002C0ED7" w:rsidRPr="00C2587D" w14:paraId="72BE745F" w14:textId="77777777" w:rsidTr="006478C2">
        <w:trPr>
          <w:trHeight w:val="732"/>
          <w:jc w:val="center"/>
        </w:trPr>
        <w:tc>
          <w:tcPr>
            <w:tcW w:w="562" w:type="dxa"/>
            <w:shd w:val="clear" w:color="auto" w:fill="auto"/>
            <w:noWrap/>
            <w:vAlign w:val="center"/>
          </w:tcPr>
          <w:p w14:paraId="685BC57D" w14:textId="57C4D0A1" w:rsidR="002C0ED7" w:rsidRPr="00C2587D" w:rsidRDefault="00652A19" w:rsidP="006478C2">
            <w:pPr>
              <w:rPr>
                <w:rFonts w:cs="Arial"/>
                <w:bCs/>
                <w:color w:val="000000"/>
                <w:sz w:val="20"/>
                <w:szCs w:val="20"/>
                <w:lang w:eastAsia="uk-UA"/>
              </w:rPr>
            </w:pPr>
            <w:r w:rsidRPr="00C2587D">
              <w:rPr>
                <w:rFonts w:cs="Arial"/>
                <w:bCs/>
                <w:color w:val="000000"/>
                <w:sz w:val="20"/>
                <w:szCs w:val="20"/>
                <w:lang w:eastAsia="uk-UA"/>
              </w:rPr>
              <w:lastRenderedPageBreak/>
              <w:t>28</w:t>
            </w:r>
            <w:r w:rsidR="002C0ED7" w:rsidRPr="00C2587D">
              <w:rPr>
                <w:rFonts w:cs="Arial"/>
                <w:bCs/>
                <w:color w:val="000000"/>
                <w:sz w:val="20"/>
                <w:szCs w:val="20"/>
                <w:lang w:eastAsia="uk-UA"/>
              </w:rPr>
              <w:t>.</w:t>
            </w:r>
          </w:p>
        </w:tc>
        <w:tc>
          <w:tcPr>
            <w:tcW w:w="4395" w:type="dxa"/>
            <w:shd w:val="clear" w:color="auto" w:fill="auto"/>
            <w:noWrap/>
            <w:vAlign w:val="center"/>
          </w:tcPr>
          <w:p w14:paraId="23B44D10" w14:textId="30B6777A" w:rsidR="002C0ED7" w:rsidRPr="00C2587D" w:rsidRDefault="002C0ED7" w:rsidP="006478C2">
            <w:pPr>
              <w:jc w:val="both"/>
              <w:rPr>
                <w:rFonts w:cs="Arial"/>
                <w:color w:val="000000"/>
                <w:sz w:val="20"/>
                <w:szCs w:val="20"/>
                <w:lang w:eastAsia="it-IT"/>
              </w:rPr>
            </w:pPr>
            <w:r w:rsidRPr="00C2587D">
              <w:rPr>
                <w:rFonts w:cs="Arial"/>
                <w:sz w:val="20"/>
                <w:szCs w:val="20"/>
              </w:rPr>
              <w:t>Канатний парк пригод та розваг на території Центрального міського парку</w:t>
            </w:r>
          </w:p>
        </w:tc>
        <w:tc>
          <w:tcPr>
            <w:tcW w:w="1162" w:type="dxa"/>
            <w:shd w:val="clear" w:color="auto" w:fill="auto"/>
            <w:noWrap/>
            <w:vAlign w:val="center"/>
          </w:tcPr>
          <w:p w14:paraId="56FD33EE" w14:textId="24A0C0BF" w:rsidR="002C0ED7" w:rsidRPr="00C2587D" w:rsidRDefault="002C0ED7" w:rsidP="002C0ED7">
            <w:pPr>
              <w:jc w:val="center"/>
              <w:rPr>
                <w:rFonts w:cs="Arial"/>
                <w:color w:val="000000"/>
                <w:sz w:val="20"/>
                <w:szCs w:val="20"/>
                <w:lang w:eastAsia="it-IT"/>
              </w:rPr>
            </w:pPr>
          </w:p>
        </w:tc>
        <w:tc>
          <w:tcPr>
            <w:tcW w:w="1106" w:type="dxa"/>
            <w:shd w:val="clear" w:color="auto" w:fill="auto"/>
            <w:noWrap/>
            <w:vAlign w:val="center"/>
          </w:tcPr>
          <w:p w14:paraId="4ABE187D" w14:textId="5059EB32" w:rsidR="002C0ED7" w:rsidRPr="00C2587D" w:rsidRDefault="002C0ED7" w:rsidP="002C0ED7">
            <w:pPr>
              <w:jc w:val="center"/>
              <w:rPr>
                <w:rFonts w:cs="Arial"/>
                <w:color w:val="000000"/>
                <w:sz w:val="20"/>
                <w:szCs w:val="20"/>
                <w:lang w:eastAsia="it-IT"/>
              </w:rPr>
            </w:pPr>
          </w:p>
        </w:tc>
        <w:tc>
          <w:tcPr>
            <w:tcW w:w="1106" w:type="dxa"/>
            <w:shd w:val="clear" w:color="auto" w:fill="auto"/>
            <w:noWrap/>
            <w:vAlign w:val="center"/>
          </w:tcPr>
          <w:p w14:paraId="79BE43E1" w14:textId="3B6D8160" w:rsidR="002C0ED7" w:rsidRPr="00C2587D" w:rsidRDefault="00E631AE" w:rsidP="002C0ED7">
            <w:pPr>
              <w:jc w:val="center"/>
              <w:rPr>
                <w:rFonts w:cs="Arial"/>
                <w:color w:val="000000"/>
                <w:sz w:val="20"/>
                <w:szCs w:val="20"/>
                <w:lang w:eastAsia="it-IT"/>
              </w:rPr>
            </w:pPr>
            <w:r w:rsidRPr="00C2587D">
              <w:rPr>
                <w:rFonts w:cs="Arial"/>
                <w:color w:val="000000"/>
                <w:sz w:val="20"/>
                <w:szCs w:val="20"/>
                <w:lang w:eastAsia="it-IT"/>
              </w:rPr>
              <w:t>2 500,0</w:t>
            </w:r>
          </w:p>
        </w:tc>
        <w:tc>
          <w:tcPr>
            <w:tcW w:w="736" w:type="dxa"/>
            <w:shd w:val="clear" w:color="auto" w:fill="auto"/>
            <w:noWrap/>
            <w:vAlign w:val="center"/>
          </w:tcPr>
          <w:p w14:paraId="133F1217" w14:textId="77777777" w:rsidR="002C0ED7" w:rsidRPr="00C2587D" w:rsidRDefault="002C0ED7" w:rsidP="002C0ED7">
            <w:pPr>
              <w:jc w:val="center"/>
              <w:rPr>
                <w:rFonts w:cs="Arial"/>
                <w:color w:val="000000"/>
                <w:sz w:val="20"/>
                <w:szCs w:val="20"/>
                <w:lang w:eastAsia="it-IT"/>
              </w:rPr>
            </w:pPr>
          </w:p>
        </w:tc>
        <w:tc>
          <w:tcPr>
            <w:tcW w:w="1273" w:type="dxa"/>
            <w:vAlign w:val="center"/>
          </w:tcPr>
          <w:p w14:paraId="75A5BFDD" w14:textId="1099A5C3" w:rsidR="002C0ED7" w:rsidRPr="00C2587D" w:rsidRDefault="00E631AE" w:rsidP="002C0ED7">
            <w:pPr>
              <w:jc w:val="center"/>
              <w:rPr>
                <w:rFonts w:cs="Arial"/>
                <w:b/>
                <w:color w:val="000000"/>
                <w:sz w:val="20"/>
                <w:szCs w:val="20"/>
                <w:lang w:eastAsia="it-IT"/>
              </w:rPr>
            </w:pPr>
            <w:r w:rsidRPr="00C2587D">
              <w:rPr>
                <w:rFonts w:cs="Arial"/>
                <w:b/>
                <w:color w:val="000000"/>
                <w:sz w:val="20"/>
                <w:szCs w:val="20"/>
                <w:lang w:eastAsia="it-IT"/>
              </w:rPr>
              <w:t>2 500,0</w:t>
            </w:r>
          </w:p>
        </w:tc>
      </w:tr>
      <w:tr w:rsidR="002C0ED7" w:rsidRPr="00C2587D" w14:paraId="524C3CE4" w14:textId="77777777" w:rsidTr="006478C2">
        <w:trPr>
          <w:jc w:val="center"/>
        </w:trPr>
        <w:tc>
          <w:tcPr>
            <w:tcW w:w="562" w:type="dxa"/>
            <w:shd w:val="clear" w:color="auto" w:fill="auto"/>
            <w:noWrap/>
            <w:vAlign w:val="center"/>
          </w:tcPr>
          <w:p w14:paraId="0F8360B8" w14:textId="5A8DB7C4" w:rsidR="002C0ED7" w:rsidRPr="00C2587D" w:rsidRDefault="00652A19" w:rsidP="006478C2">
            <w:pPr>
              <w:rPr>
                <w:rFonts w:cs="Arial"/>
                <w:bCs/>
                <w:color w:val="000000"/>
                <w:sz w:val="20"/>
                <w:szCs w:val="20"/>
                <w:lang w:eastAsia="uk-UA"/>
              </w:rPr>
            </w:pPr>
            <w:r w:rsidRPr="00C2587D">
              <w:rPr>
                <w:rFonts w:cs="Arial"/>
                <w:bCs/>
                <w:color w:val="000000"/>
                <w:sz w:val="20"/>
                <w:szCs w:val="20"/>
                <w:lang w:eastAsia="uk-UA"/>
              </w:rPr>
              <w:t>29</w:t>
            </w:r>
            <w:r w:rsidR="002C0ED7" w:rsidRPr="00C2587D">
              <w:rPr>
                <w:rFonts w:cs="Arial"/>
                <w:bCs/>
                <w:color w:val="000000"/>
                <w:sz w:val="20"/>
                <w:szCs w:val="20"/>
                <w:lang w:eastAsia="uk-UA"/>
              </w:rPr>
              <w:t>.</w:t>
            </w:r>
          </w:p>
        </w:tc>
        <w:tc>
          <w:tcPr>
            <w:tcW w:w="4395" w:type="dxa"/>
            <w:shd w:val="clear" w:color="auto" w:fill="auto"/>
            <w:noWrap/>
            <w:vAlign w:val="center"/>
          </w:tcPr>
          <w:p w14:paraId="3E221E3A" w14:textId="368C7747" w:rsidR="002C0ED7" w:rsidRPr="00C2587D" w:rsidRDefault="002C0ED7" w:rsidP="006478C2">
            <w:pPr>
              <w:spacing w:before="40" w:after="40"/>
              <w:jc w:val="both"/>
              <w:rPr>
                <w:rFonts w:cs="Arial"/>
                <w:color w:val="000000"/>
                <w:sz w:val="20"/>
                <w:szCs w:val="20"/>
              </w:rPr>
            </w:pPr>
            <w:r w:rsidRPr="00C2587D">
              <w:rPr>
                <w:rFonts w:cs="Arial"/>
                <w:sz w:val="20"/>
                <w:szCs w:val="20"/>
              </w:rPr>
              <w:t>"Pump-track — безпечний простір для активного руху дітей та молоді" на території Центрального міського парку</w:t>
            </w:r>
          </w:p>
        </w:tc>
        <w:tc>
          <w:tcPr>
            <w:tcW w:w="1162" w:type="dxa"/>
            <w:shd w:val="clear" w:color="auto" w:fill="auto"/>
            <w:noWrap/>
            <w:vAlign w:val="center"/>
          </w:tcPr>
          <w:p w14:paraId="3DEE776E" w14:textId="34444B6C" w:rsidR="002C0ED7" w:rsidRPr="00C2587D" w:rsidRDefault="002C0ED7" w:rsidP="002C0ED7">
            <w:pPr>
              <w:jc w:val="center"/>
              <w:rPr>
                <w:rFonts w:cs="Arial"/>
                <w:color w:val="000000"/>
                <w:sz w:val="20"/>
                <w:szCs w:val="20"/>
                <w:lang w:eastAsia="it-IT"/>
              </w:rPr>
            </w:pPr>
          </w:p>
        </w:tc>
        <w:tc>
          <w:tcPr>
            <w:tcW w:w="1106" w:type="dxa"/>
            <w:shd w:val="clear" w:color="auto" w:fill="auto"/>
            <w:noWrap/>
            <w:vAlign w:val="center"/>
          </w:tcPr>
          <w:p w14:paraId="00688112" w14:textId="342616C5" w:rsidR="002C0ED7" w:rsidRPr="00C2587D" w:rsidRDefault="002C0ED7" w:rsidP="002C0ED7">
            <w:pPr>
              <w:jc w:val="center"/>
              <w:rPr>
                <w:rFonts w:cs="Arial"/>
                <w:color w:val="000000"/>
                <w:sz w:val="20"/>
                <w:szCs w:val="20"/>
                <w:lang w:eastAsia="it-IT"/>
              </w:rPr>
            </w:pPr>
          </w:p>
        </w:tc>
        <w:tc>
          <w:tcPr>
            <w:tcW w:w="1106" w:type="dxa"/>
            <w:shd w:val="clear" w:color="auto" w:fill="auto"/>
            <w:noWrap/>
            <w:vAlign w:val="center"/>
          </w:tcPr>
          <w:p w14:paraId="442C354E" w14:textId="251155A1" w:rsidR="002C0ED7" w:rsidRPr="00C2587D" w:rsidRDefault="00E631AE" w:rsidP="002C0ED7">
            <w:pPr>
              <w:jc w:val="center"/>
              <w:rPr>
                <w:rFonts w:cs="Arial"/>
                <w:color w:val="000000"/>
                <w:sz w:val="20"/>
                <w:szCs w:val="20"/>
                <w:lang w:eastAsia="it-IT"/>
              </w:rPr>
            </w:pPr>
            <w:r w:rsidRPr="00C2587D">
              <w:rPr>
                <w:rFonts w:cs="Arial"/>
                <w:color w:val="000000"/>
                <w:sz w:val="20"/>
                <w:szCs w:val="20"/>
                <w:lang w:eastAsia="it-IT"/>
              </w:rPr>
              <w:t>3 000,0</w:t>
            </w:r>
          </w:p>
        </w:tc>
        <w:tc>
          <w:tcPr>
            <w:tcW w:w="736" w:type="dxa"/>
            <w:shd w:val="clear" w:color="auto" w:fill="auto"/>
            <w:noWrap/>
            <w:vAlign w:val="center"/>
          </w:tcPr>
          <w:p w14:paraId="6F05B9CA" w14:textId="2ADD50FB" w:rsidR="002C0ED7" w:rsidRPr="00C2587D" w:rsidRDefault="002C0ED7" w:rsidP="002C0ED7">
            <w:pPr>
              <w:jc w:val="center"/>
              <w:rPr>
                <w:rFonts w:cs="Arial"/>
                <w:color w:val="000000"/>
                <w:sz w:val="20"/>
                <w:szCs w:val="20"/>
                <w:lang w:eastAsia="it-IT"/>
              </w:rPr>
            </w:pPr>
          </w:p>
        </w:tc>
        <w:tc>
          <w:tcPr>
            <w:tcW w:w="1273" w:type="dxa"/>
            <w:vAlign w:val="center"/>
          </w:tcPr>
          <w:p w14:paraId="49B57B69" w14:textId="1F16E030" w:rsidR="002C0ED7" w:rsidRPr="00C2587D" w:rsidRDefault="00E631AE" w:rsidP="002C0ED7">
            <w:pPr>
              <w:jc w:val="center"/>
              <w:rPr>
                <w:rFonts w:cs="Arial"/>
                <w:b/>
                <w:color w:val="000000"/>
                <w:sz w:val="20"/>
                <w:szCs w:val="20"/>
                <w:lang w:eastAsia="it-IT"/>
              </w:rPr>
            </w:pPr>
            <w:r w:rsidRPr="00C2587D">
              <w:rPr>
                <w:rFonts w:cs="Arial"/>
                <w:b/>
                <w:color w:val="000000"/>
                <w:sz w:val="20"/>
                <w:szCs w:val="20"/>
                <w:lang w:eastAsia="it-IT"/>
              </w:rPr>
              <w:t>3 000,0</w:t>
            </w:r>
          </w:p>
        </w:tc>
      </w:tr>
      <w:tr w:rsidR="002C0ED7" w:rsidRPr="00C2587D" w14:paraId="3C9671E1" w14:textId="77777777" w:rsidTr="006478C2">
        <w:trPr>
          <w:jc w:val="center"/>
        </w:trPr>
        <w:tc>
          <w:tcPr>
            <w:tcW w:w="562" w:type="dxa"/>
            <w:shd w:val="clear" w:color="auto" w:fill="auto"/>
            <w:noWrap/>
            <w:vAlign w:val="center"/>
          </w:tcPr>
          <w:p w14:paraId="419BB967" w14:textId="01C4A9F4" w:rsidR="002C0ED7" w:rsidRPr="00C2587D" w:rsidRDefault="00652A19" w:rsidP="006478C2">
            <w:pPr>
              <w:rPr>
                <w:rFonts w:cs="Arial"/>
                <w:bCs/>
                <w:color w:val="000000"/>
                <w:sz w:val="20"/>
                <w:szCs w:val="20"/>
                <w:lang w:eastAsia="uk-UA"/>
              </w:rPr>
            </w:pPr>
            <w:r w:rsidRPr="00C2587D">
              <w:rPr>
                <w:rFonts w:cs="Arial"/>
                <w:bCs/>
                <w:color w:val="000000"/>
                <w:sz w:val="20"/>
                <w:szCs w:val="20"/>
                <w:lang w:eastAsia="uk-UA"/>
              </w:rPr>
              <w:t>30</w:t>
            </w:r>
            <w:r w:rsidR="002C0ED7" w:rsidRPr="00C2587D">
              <w:rPr>
                <w:rFonts w:cs="Arial"/>
                <w:bCs/>
                <w:color w:val="000000"/>
                <w:sz w:val="20"/>
                <w:szCs w:val="20"/>
                <w:lang w:eastAsia="uk-UA"/>
              </w:rPr>
              <w:t>.</w:t>
            </w:r>
          </w:p>
        </w:tc>
        <w:tc>
          <w:tcPr>
            <w:tcW w:w="4395" w:type="dxa"/>
            <w:shd w:val="clear" w:color="auto" w:fill="auto"/>
            <w:noWrap/>
            <w:vAlign w:val="center"/>
          </w:tcPr>
          <w:p w14:paraId="0E247904" w14:textId="45C8BB7B" w:rsidR="002C0ED7" w:rsidRPr="00C2587D" w:rsidRDefault="002C0ED7" w:rsidP="006478C2">
            <w:pPr>
              <w:spacing w:before="40" w:after="40"/>
              <w:jc w:val="both"/>
              <w:rPr>
                <w:rFonts w:cs="Arial"/>
                <w:color w:val="000000"/>
                <w:sz w:val="20"/>
                <w:szCs w:val="20"/>
              </w:rPr>
            </w:pPr>
            <w:r w:rsidRPr="00C2587D">
              <w:rPr>
                <w:rFonts w:cs="Arial"/>
                <w:sz w:val="20"/>
                <w:szCs w:val="20"/>
              </w:rPr>
              <w:t>"Pump-track — безпечний простір для активного руху дітей та молоді" на території старостинських округів Жмеринської міської територіальної громади</w:t>
            </w:r>
          </w:p>
        </w:tc>
        <w:tc>
          <w:tcPr>
            <w:tcW w:w="1162" w:type="dxa"/>
            <w:shd w:val="clear" w:color="auto" w:fill="auto"/>
            <w:noWrap/>
            <w:vAlign w:val="center"/>
          </w:tcPr>
          <w:p w14:paraId="284344B4" w14:textId="77777777" w:rsidR="002C0ED7" w:rsidRPr="00C2587D" w:rsidRDefault="002C0ED7" w:rsidP="002C0ED7">
            <w:pPr>
              <w:jc w:val="center"/>
              <w:rPr>
                <w:rFonts w:cs="Arial"/>
                <w:color w:val="000000"/>
                <w:sz w:val="20"/>
                <w:szCs w:val="20"/>
                <w:lang w:eastAsia="it-IT"/>
              </w:rPr>
            </w:pPr>
          </w:p>
        </w:tc>
        <w:tc>
          <w:tcPr>
            <w:tcW w:w="1106" w:type="dxa"/>
            <w:shd w:val="clear" w:color="auto" w:fill="auto"/>
            <w:noWrap/>
            <w:vAlign w:val="center"/>
          </w:tcPr>
          <w:p w14:paraId="37AF7459" w14:textId="3A9D94D6" w:rsidR="002C0ED7" w:rsidRPr="00C2587D" w:rsidRDefault="00E631AE" w:rsidP="002C0ED7">
            <w:pPr>
              <w:jc w:val="center"/>
              <w:rPr>
                <w:rFonts w:cs="Arial"/>
                <w:color w:val="000000"/>
                <w:sz w:val="20"/>
                <w:szCs w:val="20"/>
                <w:lang w:eastAsia="it-IT"/>
              </w:rPr>
            </w:pPr>
            <w:r w:rsidRPr="00C2587D">
              <w:rPr>
                <w:rFonts w:cs="Arial"/>
                <w:color w:val="000000"/>
                <w:sz w:val="20"/>
                <w:szCs w:val="20"/>
                <w:lang w:eastAsia="it-IT"/>
              </w:rPr>
              <w:t>9 000,0</w:t>
            </w:r>
          </w:p>
        </w:tc>
        <w:tc>
          <w:tcPr>
            <w:tcW w:w="1106" w:type="dxa"/>
            <w:shd w:val="clear" w:color="auto" w:fill="auto"/>
            <w:noWrap/>
            <w:vAlign w:val="center"/>
          </w:tcPr>
          <w:p w14:paraId="610F54B2" w14:textId="3E4B2839" w:rsidR="002C0ED7" w:rsidRPr="00C2587D" w:rsidRDefault="00E631AE" w:rsidP="002C0ED7">
            <w:pPr>
              <w:jc w:val="center"/>
              <w:rPr>
                <w:rFonts w:cs="Arial"/>
                <w:color w:val="000000"/>
                <w:sz w:val="20"/>
                <w:szCs w:val="20"/>
                <w:lang w:eastAsia="it-IT"/>
              </w:rPr>
            </w:pPr>
            <w:r w:rsidRPr="00C2587D">
              <w:rPr>
                <w:rFonts w:cs="Arial"/>
                <w:color w:val="000000"/>
                <w:sz w:val="20"/>
                <w:szCs w:val="20"/>
                <w:lang w:eastAsia="it-IT"/>
              </w:rPr>
              <w:t>9 000,0</w:t>
            </w:r>
          </w:p>
        </w:tc>
        <w:tc>
          <w:tcPr>
            <w:tcW w:w="736" w:type="dxa"/>
            <w:shd w:val="clear" w:color="auto" w:fill="auto"/>
            <w:noWrap/>
            <w:vAlign w:val="center"/>
          </w:tcPr>
          <w:p w14:paraId="24310CC1" w14:textId="34371997" w:rsidR="002C0ED7" w:rsidRPr="00C2587D" w:rsidRDefault="00534171" w:rsidP="002C0ED7">
            <w:pPr>
              <w:jc w:val="center"/>
              <w:rPr>
                <w:rFonts w:cs="Arial"/>
                <w:color w:val="000000"/>
                <w:sz w:val="20"/>
                <w:szCs w:val="20"/>
                <w:lang w:eastAsia="it-IT"/>
              </w:rPr>
            </w:pPr>
            <w:r w:rsidRPr="00C2587D">
              <w:rPr>
                <w:rFonts w:cs="Arial"/>
                <w:color w:val="000000"/>
                <w:sz w:val="20"/>
                <w:szCs w:val="20"/>
                <w:lang w:eastAsia="it-IT"/>
              </w:rPr>
              <w:t>9 000,0</w:t>
            </w:r>
          </w:p>
        </w:tc>
        <w:tc>
          <w:tcPr>
            <w:tcW w:w="1273" w:type="dxa"/>
            <w:vAlign w:val="center"/>
          </w:tcPr>
          <w:p w14:paraId="08C304A9" w14:textId="7E489F0D" w:rsidR="002C0ED7" w:rsidRPr="00C2587D" w:rsidRDefault="00534171" w:rsidP="002C0ED7">
            <w:pPr>
              <w:jc w:val="center"/>
              <w:rPr>
                <w:rFonts w:cs="Arial"/>
                <w:b/>
                <w:color w:val="000000"/>
                <w:sz w:val="20"/>
                <w:szCs w:val="20"/>
                <w:lang w:eastAsia="it-IT"/>
              </w:rPr>
            </w:pPr>
            <w:r w:rsidRPr="00C2587D">
              <w:rPr>
                <w:rFonts w:cs="Arial"/>
                <w:b/>
                <w:color w:val="000000"/>
                <w:sz w:val="20"/>
                <w:szCs w:val="20"/>
                <w:lang w:eastAsia="it-IT"/>
              </w:rPr>
              <w:t>27 000,0</w:t>
            </w:r>
          </w:p>
        </w:tc>
      </w:tr>
      <w:tr w:rsidR="002C0ED7" w:rsidRPr="00C2587D" w14:paraId="0E0197B5" w14:textId="77777777" w:rsidTr="006478C2">
        <w:trPr>
          <w:trHeight w:val="719"/>
          <w:jc w:val="center"/>
        </w:trPr>
        <w:tc>
          <w:tcPr>
            <w:tcW w:w="562" w:type="dxa"/>
            <w:shd w:val="clear" w:color="auto" w:fill="auto"/>
            <w:noWrap/>
            <w:vAlign w:val="center"/>
          </w:tcPr>
          <w:p w14:paraId="15BBBDD7" w14:textId="4F4A113C" w:rsidR="002C0ED7" w:rsidRPr="00C2587D" w:rsidRDefault="00652A19" w:rsidP="006478C2">
            <w:pPr>
              <w:rPr>
                <w:rFonts w:cs="Arial"/>
                <w:bCs/>
                <w:color w:val="000000"/>
                <w:sz w:val="20"/>
                <w:szCs w:val="20"/>
                <w:lang w:eastAsia="uk-UA"/>
              </w:rPr>
            </w:pPr>
            <w:r w:rsidRPr="00C2587D">
              <w:rPr>
                <w:rFonts w:cs="Arial"/>
                <w:bCs/>
                <w:color w:val="000000"/>
                <w:sz w:val="20"/>
                <w:szCs w:val="20"/>
                <w:lang w:eastAsia="uk-UA"/>
              </w:rPr>
              <w:t>31</w:t>
            </w:r>
            <w:r w:rsidR="002C0ED7" w:rsidRPr="00C2587D">
              <w:rPr>
                <w:rFonts w:cs="Arial"/>
                <w:bCs/>
                <w:color w:val="000000"/>
                <w:sz w:val="20"/>
                <w:szCs w:val="20"/>
                <w:lang w:eastAsia="uk-UA"/>
              </w:rPr>
              <w:t>.</w:t>
            </w:r>
          </w:p>
        </w:tc>
        <w:tc>
          <w:tcPr>
            <w:tcW w:w="4395" w:type="dxa"/>
            <w:shd w:val="clear" w:color="auto" w:fill="auto"/>
            <w:noWrap/>
            <w:vAlign w:val="center"/>
          </w:tcPr>
          <w:p w14:paraId="5E6EA2AB" w14:textId="40CD2B9C" w:rsidR="002C0ED7" w:rsidRPr="00C2587D" w:rsidRDefault="002C0ED7" w:rsidP="006478C2">
            <w:pPr>
              <w:spacing w:before="40" w:after="40"/>
              <w:jc w:val="both"/>
              <w:rPr>
                <w:rFonts w:cs="Arial"/>
                <w:color w:val="000000"/>
                <w:sz w:val="20"/>
                <w:szCs w:val="20"/>
              </w:rPr>
            </w:pPr>
            <w:r w:rsidRPr="00C2587D">
              <w:rPr>
                <w:rFonts w:cs="Arial"/>
                <w:sz w:val="20"/>
                <w:szCs w:val="20"/>
              </w:rPr>
              <w:t>"Активна громада: Вуличний тренажерний парк для всіх поколінь"</w:t>
            </w:r>
          </w:p>
        </w:tc>
        <w:tc>
          <w:tcPr>
            <w:tcW w:w="1162" w:type="dxa"/>
            <w:shd w:val="clear" w:color="auto" w:fill="auto"/>
            <w:noWrap/>
            <w:vAlign w:val="center"/>
          </w:tcPr>
          <w:p w14:paraId="5563517D" w14:textId="77777777" w:rsidR="002C0ED7" w:rsidRPr="00C2587D" w:rsidRDefault="002C0ED7" w:rsidP="002C0ED7">
            <w:pPr>
              <w:jc w:val="center"/>
              <w:rPr>
                <w:rFonts w:cs="Arial"/>
                <w:color w:val="000000"/>
                <w:sz w:val="20"/>
                <w:szCs w:val="20"/>
                <w:lang w:eastAsia="it-IT"/>
              </w:rPr>
            </w:pPr>
          </w:p>
        </w:tc>
        <w:tc>
          <w:tcPr>
            <w:tcW w:w="1106" w:type="dxa"/>
            <w:shd w:val="clear" w:color="auto" w:fill="auto"/>
            <w:noWrap/>
            <w:vAlign w:val="center"/>
          </w:tcPr>
          <w:p w14:paraId="5E39FA4E" w14:textId="51F4F848" w:rsidR="002C0ED7" w:rsidRPr="00C2587D" w:rsidRDefault="00534171" w:rsidP="002C0ED7">
            <w:pPr>
              <w:jc w:val="center"/>
              <w:rPr>
                <w:rFonts w:cs="Arial"/>
                <w:color w:val="000000"/>
                <w:sz w:val="20"/>
                <w:szCs w:val="20"/>
                <w:lang w:eastAsia="it-IT"/>
              </w:rPr>
            </w:pPr>
            <w:r w:rsidRPr="00C2587D">
              <w:rPr>
                <w:rFonts w:cs="Arial"/>
                <w:color w:val="000000"/>
                <w:sz w:val="20"/>
                <w:szCs w:val="20"/>
                <w:lang w:eastAsia="it-IT"/>
              </w:rPr>
              <w:t>2 400,0</w:t>
            </w:r>
          </w:p>
        </w:tc>
        <w:tc>
          <w:tcPr>
            <w:tcW w:w="1106" w:type="dxa"/>
            <w:shd w:val="clear" w:color="auto" w:fill="auto"/>
            <w:noWrap/>
            <w:vAlign w:val="center"/>
          </w:tcPr>
          <w:p w14:paraId="714470A1" w14:textId="73AE8813" w:rsidR="002C0ED7" w:rsidRPr="00C2587D" w:rsidRDefault="00534171" w:rsidP="002C0ED7">
            <w:pPr>
              <w:jc w:val="center"/>
              <w:rPr>
                <w:rFonts w:cs="Arial"/>
                <w:color w:val="000000"/>
                <w:sz w:val="20"/>
                <w:szCs w:val="20"/>
                <w:lang w:eastAsia="it-IT"/>
              </w:rPr>
            </w:pPr>
            <w:r w:rsidRPr="00C2587D">
              <w:rPr>
                <w:rFonts w:cs="Arial"/>
                <w:color w:val="000000"/>
                <w:sz w:val="20"/>
                <w:szCs w:val="20"/>
                <w:lang w:eastAsia="it-IT"/>
              </w:rPr>
              <w:t>2 400,0</w:t>
            </w:r>
          </w:p>
        </w:tc>
        <w:tc>
          <w:tcPr>
            <w:tcW w:w="736" w:type="dxa"/>
            <w:shd w:val="clear" w:color="auto" w:fill="auto"/>
            <w:noWrap/>
            <w:vAlign w:val="center"/>
          </w:tcPr>
          <w:p w14:paraId="69A1B8B6" w14:textId="2C95201A" w:rsidR="002C0ED7" w:rsidRPr="00C2587D" w:rsidRDefault="00534171" w:rsidP="002C0ED7">
            <w:pPr>
              <w:jc w:val="center"/>
              <w:rPr>
                <w:rFonts w:cs="Arial"/>
                <w:color w:val="000000"/>
                <w:sz w:val="20"/>
                <w:szCs w:val="20"/>
                <w:lang w:eastAsia="it-IT"/>
              </w:rPr>
            </w:pPr>
            <w:r w:rsidRPr="00C2587D">
              <w:rPr>
                <w:rFonts w:cs="Arial"/>
                <w:color w:val="000000"/>
                <w:sz w:val="20"/>
                <w:szCs w:val="20"/>
                <w:lang w:eastAsia="it-IT"/>
              </w:rPr>
              <w:t>2 400,0</w:t>
            </w:r>
          </w:p>
        </w:tc>
        <w:tc>
          <w:tcPr>
            <w:tcW w:w="1273" w:type="dxa"/>
            <w:vAlign w:val="center"/>
          </w:tcPr>
          <w:p w14:paraId="7C38116E" w14:textId="0EE83A76" w:rsidR="002C0ED7" w:rsidRPr="00C2587D" w:rsidRDefault="00534171" w:rsidP="002C0ED7">
            <w:pPr>
              <w:jc w:val="center"/>
              <w:rPr>
                <w:rFonts w:cs="Arial"/>
                <w:b/>
                <w:color w:val="000000"/>
                <w:sz w:val="20"/>
                <w:szCs w:val="20"/>
                <w:lang w:eastAsia="it-IT"/>
              </w:rPr>
            </w:pPr>
            <w:r w:rsidRPr="00C2587D">
              <w:rPr>
                <w:rFonts w:cs="Arial"/>
                <w:b/>
                <w:color w:val="000000"/>
                <w:sz w:val="20"/>
                <w:szCs w:val="20"/>
                <w:lang w:eastAsia="it-IT"/>
              </w:rPr>
              <w:t>7 200,0</w:t>
            </w:r>
          </w:p>
        </w:tc>
      </w:tr>
      <w:tr w:rsidR="002C0ED7" w:rsidRPr="00C2587D" w14:paraId="7835C504" w14:textId="77777777" w:rsidTr="006478C2">
        <w:trPr>
          <w:trHeight w:val="475"/>
          <w:jc w:val="center"/>
        </w:trPr>
        <w:tc>
          <w:tcPr>
            <w:tcW w:w="562" w:type="dxa"/>
            <w:shd w:val="clear" w:color="auto" w:fill="auto"/>
            <w:noWrap/>
            <w:vAlign w:val="center"/>
          </w:tcPr>
          <w:p w14:paraId="03CA509B" w14:textId="4DAA3EC9" w:rsidR="002C0ED7" w:rsidRPr="00C2587D" w:rsidRDefault="002C0ED7" w:rsidP="006478C2">
            <w:pPr>
              <w:rPr>
                <w:rFonts w:cs="Arial"/>
                <w:bCs/>
                <w:color w:val="000000"/>
                <w:sz w:val="20"/>
                <w:szCs w:val="20"/>
                <w:lang w:eastAsia="uk-UA"/>
              </w:rPr>
            </w:pPr>
            <w:r w:rsidRPr="00C2587D">
              <w:rPr>
                <w:rFonts w:cs="Arial"/>
                <w:bCs/>
                <w:color w:val="000000"/>
                <w:sz w:val="20"/>
                <w:szCs w:val="20"/>
                <w:lang w:eastAsia="uk-UA"/>
              </w:rPr>
              <w:t>3</w:t>
            </w:r>
            <w:r w:rsidR="00652A19" w:rsidRPr="00C2587D">
              <w:rPr>
                <w:rFonts w:cs="Arial"/>
                <w:bCs/>
                <w:color w:val="000000"/>
                <w:sz w:val="20"/>
                <w:szCs w:val="20"/>
                <w:lang w:eastAsia="uk-UA"/>
              </w:rPr>
              <w:t>2</w:t>
            </w:r>
            <w:r w:rsidRPr="00C2587D">
              <w:rPr>
                <w:rFonts w:cs="Arial"/>
                <w:bCs/>
                <w:color w:val="000000"/>
                <w:sz w:val="20"/>
                <w:szCs w:val="20"/>
                <w:lang w:eastAsia="uk-UA"/>
              </w:rPr>
              <w:t>.</w:t>
            </w:r>
          </w:p>
        </w:tc>
        <w:tc>
          <w:tcPr>
            <w:tcW w:w="4395" w:type="dxa"/>
            <w:shd w:val="clear" w:color="auto" w:fill="auto"/>
            <w:noWrap/>
            <w:vAlign w:val="center"/>
          </w:tcPr>
          <w:p w14:paraId="03830F52" w14:textId="1A0ED5EB" w:rsidR="002C0ED7" w:rsidRPr="00C2587D" w:rsidRDefault="002C0ED7" w:rsidP="006478C2">
            <w:pPr>
              <w:spacing w:before="40" w:after="40"/>
              <w:jc w:val="both"/>
              <w:rPr>
                <w:rFonts w:cs="Arial"/>
                <w:color w:val="000000"/>
                <w:sz w:val="20"/>
                <w:szCs w:val="20"/>
              </w:rPr>
            </w:pPr>
            <w:r w:rsidRPr="00C2587D">
              <w:rPr>
                <w:rFonts w:cs="Arial"/>
                <w:sz w:val="20"/>
                <w:szCs w:val="20"/>
              </w:rPr>
              <w:t>Спортивна бібліотека: Рухайся вільно!"</w:t>
            </w:r>
          </w:p>
        </w:tc>
        <w:tc>
          <w:tcPr>
            <w:tcW w:w="1162" w:type="dxa"/>
            <w:shd w:val="clear" w:color="auto" w:fill="auto"/>
            <w:noWrap/>
            <w:vAlign w:val="center"/>
          </w:tcPr>
          <w:p w14:paraId="55EF7B6E" w14:textId="77777777" w:rsidR="002C0ED7" w:rsidRPr="00C2587D" w:rsidRDefault="002C0ED7" w:rsidP="002C0ED7">
            <w:pPr>
              <w:jc w:val="center"/>
              <w:rPr>
                <w:rFonts w:cs="Arial"/>
                <w:color w:val="000000"/>
                <w:sz w:val="20"/>
                <w:szCs w:val="20"/>
                <w:lang w:eastAsia="it-IT"/>
              </w:rPr>
            </w:pPr>
          </w:p>
        </w:tc>
        <w:tc>
          <w:tcPr>
            <w:tcW w:w="1106" w:type="dxa"/>
            <w:shd w:val="clear" w:color="auto" w:fill="auto"/>
            <w:noWrap/>
            <w:vAlign w:val="center"/>
          </w:tcPr>
          <w:p w14:paraId="5F5EFF1B" w14:textId="77777777" w:rsidR="002C0ED7" w:rsidRPr="00C2587D" w:rsidRDefault="002C0ED7" w:rsidP="002C0ED7">
            <w:pPr>
              <w:jc w:val="center"/>
              <w:rPr>
                <w:rFonts w:cs="Arial"/>
                <w:color w:val="000000"/>
                <w:sz w:val="20"/>
                <w:szCs w:val="20"/>
                <w:lang w:eastAsia="it-IT"/>
              </w:rPr>
            </w:pPr>
          </w:p>
        </w:tc>
        <w:tc>
          <w:tcPr>
            <w:tcW w:w="1106" w:type="dxa"/>
            <w:shd w:val="clear" w:color="auto" w:fill="auto"/>
            <w:noWrap/>
            <w:vAlign w:val="center"/>
          </w:tcPr>
          <w:p w14:paraId="5A6D87F9" w14:textId="77777777" w:rsidR="002C0ED7" w:rsidRPr="00C2587D" w:rsidRDefault="002C0ED7" w:rsidP="002C0ED7">
            <w:pPr>
              <w:jc w:val="center"/>
              <w:rPr>
                <w:rFonts w:cs="Arial"/>
                <w:color w:val="000000"/>
                <w:sz w:val="20"/>
                <w:szCs w:val="20"/>
                <w:lang w:eastAsia="it-IT"/>
              </w:rPr>
            </w:pPr>
          </w:p>
        </w:tc>
        <w:tc>
          <w:tcPr>
            <w:tcW w:w="736" w:type="dxa"/>
            <w:shd w:val="clear" w:color="auto" w:fill="auto"/>
            <w:noWrap/>
            <w:vAlign w:val="center"/>
          </w:tcPr>
          <w:p w14:paraId="37063B24" w14:textId="7E17802E" w:rsidR="002C0ED7" w:rsidRPr="00C2587D" w:rsidRDefault="00534171" w:rsidP="002C0ED7">
            <w:pPr>
              <w:jc w:val="center"/>
              <w:rPr>
                <w:rFonts w:cs="Arial"/>
                <w:color w:val="000000"/>
                <w:sz w:val="20"/>
                <w:szCs w:val="20"/>
                <w:lang w:eastAsia="it-IT"/>
              </w:rPr>
            </w:pPr>
            <w:r w:rsidRPr="00C2587D">
              <w:rPr>
                <w:rFonts w:cs="Arial"/>
                <w:color w:val="000000"/>
                <w:sz w:val="20"/>
                <w:szCs w:val="20"/>
                <w:lang w:eastAsia="it-IT"/>
              </w:rPr>
              <w:t>350,0</w:t>
            </w:r>
          </w:p>
        </w:tc>
        <w:tc>
          <w:tcPr>
            <w:tcW w:w="1273" w:type="dxa"/>
            <w:vAlign w:val="center"/>
          </w:tcPr>
          <w:p w14:paraId="0517AC33" w14:textId="669D5134" w:rsidR="002C0ED7" w:rsidRPr="00C2587D" w:rsidRDefault="00534171" w:rsidP="002C0ED7">
            <w:pPr>
              <w:jc w:val="center"/>
              <w:rPr>
                <w:rFonts w:cs="Arial"/>
                <w:b/>
                <w:color w:val="000000"/>
                <w:sz w:val="20"/>
                <w:szCs w:val="20"/>
                <w:lang w:eastAsia="it-IT"/>
              </w:rPr>
            </w:pPr>
            <w:r w:rsidRPr="00C2587D">
              <w:rPr>
                <w:rFonts w:cs="Arial"/>
                <w:b/>
                <w:color w:val="000000"/>
                <w:sz w:val="20"/>
                <w:szCs w:val="20"/>
                <w:lang w:eastAsia="it-IT"/>
              </w:rPr>
              <w:t>350,0</w:t>
            </w:r>
          </w:p>
        </w:tc>
      </w:tr>
      <w:tr w:rsidR="002C0ED7" w:rsidRPr="00C2587D" w14:paraId="081A9CBD" w14:textId="77777777" w:rsidTr="006478C2">
        <w:trPr>
          <w:trHeight w:val="554"/>
          <w:jc w:val="center"/>
        </w:trPr>
        <w:tc>
          <w:tcPr>
            <w:tcW w:w="562" w:type="dxa"/>
            <w:shd w:val="clear" w:color="auto" w:fill="auto"/>
            <w:noWrap/>
            <w:vAlign w:val="center"/>
          </w:tcPr>
          <w:p w14:paraId="303D6102" w14:textId="464CD821" w:rsidR="002C0ED7" w:rsidRPr="00C2587D" w:rsidRDefault="00652A19" w:rsidP="006478C2">
            <w:pPr>
              <w:rPr>
                <w:rFonts w:cs="Arial"/>
                <w:bCs/>
                <w:color w:val="000000"/>
                <w:sz w:val="20"/>
                <w:szCs w:val="20"/>
                <w:lang w:eastAsia="uk-UA"/>
              </w:rPr>
            </w:pPr>
            <w:r w:rsidRPr="00C2587D">
              <w:rPr>
                <w:rFonts w:cs="Arial"/>
                <w:bCs/>
                <w:color w:val="000000"/>
                <w:sz w:val="20"/>
                <w:szCs w:val="20"/>
                <w:lang w:eastAsia="uk-UA"/>
              </w:rPr>
              <w:t>33</w:t>
            </w:r>
            <w:r w:rsidR="002C0ED7" w:rsidRPr="00C2587D">
              <w:rPr>
                <w:rFonts w:cs="Arial"/>
                <w:bCs/>
                <w:color w:val="000000"/>
                <w:sz w:val="20"/>
                <w:szCs w:val="20"/>
                <w:lang w:eastAsia="uk-UA"/>
              </w:rPr>
              <w:t>.</w:t>
            </w:r>
          </w:p>
        </w:tc>
        <w:tc>
          <w:tcPr>
            <w:tcW w:w="4395" w:type="dxa"/>
            <w:shd w:val="clear" w:color="auto" w:fill="auto"/>
            <w:noWrap/>
            <w:vAlign w:val="center"/>
          </w:tcPr>
          <w:p w14:paraId="3DBF4A04" w14:textId="3C4138B1" w:rsidR="002C0ED7" w:rsidRPr="00C2587D" w:rsidRDefault="002C0ED7" w:rsidP="006478C2">
            <w:pPr>
              <w:jc w:val="both"/>
              <w:rPr>
                <w:rFonts w:cs="Arial"/>
                <w:color w:val="000000"/>
                <w:sz w:val="20"/>
                <w:szCs w:val="20"/>
              </w:rPr>
            </w:pPr>
            <w:r w:rsidRPr="00C2587D">
              <w:rPr>
                <w:rFonts w:cs="Arial"/>
                <w:bCs/>
                <w:sz w:val="20"/>
                <w:szCs w:val="20"/>
              </w:rPr>
              <w:t>"Маршрути здоров’я: Активність у природі для кожного"</w:t>
            </w:r>
          </w:p>
        </w:tc>
        <w:tc>
          <w:tcPr>
            <w:tcW w:w="1162" w:type="dxa"/>
            <w:shd w:val="clear" w:color="auto" w:fill="auto"/>
            <w:noWrap/>
            <w:vAlign w:val="center"/>
          </w:tcPr>
          <w:p w14:paraId="6E874F72" w14:textId="77777777" w:rsidR="002C0ED7" w:rsidRPr="00C2587D" w:rsidRDefault="002C0ED7" w:rsidP="002C0ED7">
            <w:pPr>
              <w:jc w:val="center"/>
              <w:rPr>
                <w:rFonts w:cs="Arial"/>
                <w:color w:val="000000"/>
                <w:sz w:val="20"/>
                <w:szCs w:val="20"/>
                <w:lang w:eastAsia="it-IT"/>
              </w:rPr>
            </w:pPr>
          </w:p>
        </w:tc>
        <w:tc>
          <w:tcPr>
            <w:tcW w:w="1106" w:type="dxa"/>
            <w:shd w:val="clear" w:color="auto" w:fill="auto"/>
            <w:noWrap/>
            <w:vAlign w:val="center"/>
          </w:tcPr>
          <w:p w14:paraId="57FFBA01" w14:textId="132B7D3F" w:rsidR="002C0ED7" w:rsidRPr="00C2587D" w:rsidRDefault="00534171" w:rsidP="002C0ED7">
            <w:pPr>
              <w:jc w:val="center"/>
              <w:rPr>
                <w:rFonts w:cs="Arial"/>
                <w:color w:val="000000"/>
                <w:sz w:val="20"/>
                <w:szCs w:val="20"/>
                <w:lang w:eastAsia="it-IT"/>
              </w:rPr>
            </w:pPr>
            <w:r w:rsidRPr="00C2587D">
              <w:rPr>
                <w:rFonts w:cs="Arial"/>
                <w:color w:val="000000"/>
                <w:sz w:val="20"/>
                <w:szCs w:val="20"/>
                <w:lang w:eastAsia="it-IT"/>
              </w:rPr>
              <w:t>1 000,0</w:t>
            </w:r>
          </w:p>
        </w:tc>
        <w:tc>
          <w:tcPr>
            <w:tcW w:w="1106" w:type="dxa"/>
            <w:shd w:val="clear" w:color="auto" w:fill="auto"/>
            <w:noWrap/>
            <w:vAlign w:val="center"/>
          </w:tcPr>
          <w:p w14:paraId="088FA04B" w14:textId="77777777" w:rsidR="002C0ED7" w:rsidRPr="00C2587D" w:rsidRDefault="002C0ED7" w:rsidP="002C0ED7">
            <w:pPr>
              <w:jc w:val="center"/>
              <w:rPr>
                <w:rFonts w:cs="Arial"/>
                <w:color w:val="000000"/>
                <w:sz w:val="20"/>
                <w:szCs w:val="20"/>
                <w:lang w:eastAsia="it-IT"/>
              </w:rPr>
            </w:pPr>
          </w:p>
        </w:tc>
        <w:tc>
          <w:tcPr>
            <w:tcW w:w="736" w:type="dxa"/>
            <w:shd w:val="clear" w:color="auto" w:fill="auto"/>
            <w:noWrap/>
            <w:vAlign w:val="center"/>
          </w:tcPr>
          <w:p w14:paraId="09050E41" w14:textId="77777777" w:rsidR="002C0ED7" w:rsidRPr="00C2587D" w:rsidRDefault="002C0ED7" w:rsidP="002C0ED7">
            <w:pPr>
              <w:jc w:val="center"/>
              <w:rPr>
                <w:rFonts w:cs="Arial"/>
                <w:color w:val="000000"/>
                <w:sz w:val="20"/>
                <w:szCs w:val="20"/>
                <w:lang w:eastAsia="it-IT"/>
              </w:rPr>
            </w:pPr>
          </w:p>
        </w:tc>
        <w:tc>
          <w:tcPr>
            <w:tcW w:w="1273" w:type="dxa"/>
            <w:vAlign w:val="center"/>
          </w:tcPr>
          <w:p w14:paraId="22007F26" w14:textId="08EECA1B" w:rsidR="002C0ED7" w:rsidRPr="00C2587D" w:rsidRDefault="00534171" w:rsidP="002C0ED7">
            <w:pPr>
              <w:jc w:val="center"/>
              <w:rPr>
                <w:rFonts w:cs="Arial"/>
                <w:b/>
                <w:color w:val="000000"/>
                <w:sz w:val="20"/>
                <w:szCs w:val="20"/>
                <w:lang w:eastAsia="it-IT"/>
              </w:rPr>
            </w:pPr>
            <w:r w:rsidRPr="00C2587D">
              <w:rPr>
                <w:rFonts w:cs="Arial"/>
                <w:b/>
                <w:color w:val="000000"/>
                <w:sz w:val="20"/>
                <w:szCs w:val="20"/>
                <w:lang w:eastAsia="it-IT"/>
              </w:rPr>
              <w:t>1 000,0</w:t>
            </w:r>
          </w:p>
        </w:tc>
      </w:tr>
      <w:tr w:rsidR="002C0ED7" w:rsidRPr="00C2587D" w14:paraId="27C191A0" w14:textId="77777777" w:rsidTr="006478C2">
        <w:trPr>
          <w:jc w:val="center"/>
        </w:trPr>
        <w:tc>
          <w:tcPr>
            <w:tcW w:w="562" w:type="dxa"/>
            <w:shd w:val="clear" w:color="auto" w:fill="auto"/>
            <w:noWrap/>
            <w:vAlign w:val="center"/>
          </w:tcPr>
          <w:p w14:paraId="1889F5E6" w14:textId="2B05E884" w:rsidR="002C0ED7" w:rsidRPr="00C2587D" w:rsidRDefault="00652A19" w:rsidP="006478C2">
            <w:pPr>
              <w:rPr>
                <w:rFonts w:cs="Arial"/>
                <w:bCs/>
                <w:color w:val="000000"/>
                <w:sz w:val="20"/>
                <w:szCs w:val="20"/>
                <w:lang w:eastAsia="uk-UA"/>
              </w:rPr>
            </w:pPr>
            <w:r w:rsidRPr="00C2587D">
              <w:rPr>
                <w:rFonts w:cs="Arial"/>
                <w:bCs/>
                <w:color w:val="000000"/>
                <w:sz w:val="20"/>
                <w:szCs w:val="20"/>
                <w:lang w:eastAsia="uk-UA"/>
              </w:rPr>
              <w:t>34</w:t>
            </w:r>
            <w:r w:rsidR="002C0ED7" w:rsidRPr="00C2587D">
              <w:rPr>
                <w:rFonts w:cs="Arial"/>
                <w:bCs/>
                <w:color w:val="000000"/>
                <w:sz w:val="20"/>
                <w:szCs w:val="20"/>
                <w:lang w:eastAsia="uk-UA"/>
              </w:rPr>
              <w:t>.</w:t>
            </w:r>
          </w:p>
        </w:tc>
        <w:tc>
          <w:tcPr>
            <w:tcW w:w="4395" w:type="dxa"/>
            <w:shd w:val="clear" w:color="auto" w:fill="auto"/>
            <w:noWrap/>
            <w:vAlign w:val="center"/>
          </w:tcPr>
          <w:p w14:paraId="7FAB4833" w14:textId="6C9C30FA" w:rsidR="002C0ED7" w:rsidRPr="00C2587D" w:rsidRDefault="002C0ED7" w:rsidP="006478C2">
            <w:pPr>
              <w:spacing w:before="40" w:after="40"/>
              <w:jc w:val="both"/>
              <w:rPr>
                <w:rFonts w:cs="Arial"/>
                <w:color w:val="000000"/>
                <w:sz w:val="20"/>
                <w:szCs w:val="20"/>
              </w:rPr>
            </w:pPr>
            <w:r w:rsidRPr="00C2587D">
              <w:rPr>
                <w:rFonts w:cs="Arial"/>
                <w:sz w:val="20"/>
                <w:szCs w:val="20"/>
              </w:rPr>
              <w:t>Модернізація спортивної інфраструктури КП "СОЗ «Юність» для розвитку фізичної активності дітей, молоді, осіб середнього й пенсійного віку з урахуванням гендерної рівності та сучасних стандартів інклюзивності</w:t>
            </w:r>
          </w:p>
        </w:tc>
        <w:tc>
          <w:tcPr>
            <w:tcW w:w="1162" w:type="dxa"/>
            <w:shd w:val="clear" w:color="auto" w:fill="auto"/>
            <w:noWrap/>
            <w:vAlign w:val="center"/>
          </w:tcPr>
          <w:p w14:paraId="68FDCFF3" w14:textId="77777777" w:rsidR="002C0ED7" w:rsidRPr="00C2587D" w:rsidRDefault="002C0ED7" w:rsidP="002C0ED7">
            <w:pPr>
              <w:jc w:val="center"/>
              <w:rPr>
                <w:rFonts w:cs="Arial"/>
                <w:color w:val="000000"/>
                <w:sz w:val="20"/>
                <w:szCs w:val="20"/>
                <w:lang w:eastAsia="it-IT"/>
              </w:rPr>
            </w:pPr>
          </w:p>
        </w:tc>
        <w:tc>
          <w:tcPr>
            <w:tcW w:w="1106" w:type="dxa"/>
            <w:shd w:val="clear" w:color="auto" w:fill="auto"/>
            <w:noWrap/>
            <w:vAlign w:val="center"/>
          </w:tcPr>
          <w:p w14:paraId="6C1F8E31" w14:textId="4B125B93" w:rsidR="002C0ED7" w:rsidRPr="00C2587D" w:rsidRDefault="00534171" w:rsidP="002C0ED7">
            <w:pPr>
              <w:jc w:val="center"/>
              <w:rPr>
                <w:rFonts w:cs="Arial"/>
                <w:color w:val="000000"/>
                <w:sz w:val="20"/>
                <w:szCs w:val="20"/>
                <w:lang w:eastAsia="it-IT"/>
              </w:rPr>
            </w:pPr>
            <w:r w:rsidRPr="00C2587D">
              <w:rPr>
                <w:rFonts w:cs="Arial"/>
                <w:color w:val="000000"/>
                <w:sz w:val="20"/>
                <w:szCs w:val="20"/>
                <w:lang w:eastAsia="it-IT"/>
              </w:rPr>
              <w:t>1 000,0</w:t>
            </w:r>
          </w:p>
        </w:tc>
        <w:tc>
          <w:tcPr>
            <w:tcW w:w="1106" w:type="dxa"/>
            <w:shd w:val="clear" w:color="auto" w:fill="auto"/>
            <w:noWrap/>
            <w:vAlign w:val="center"/>
          </w:tcPr>
          <w:p w14:paraId="119EE3BE" w14:textId="7A526833" w:rsidR="002C0ED7" w:rsidRPr="00C2587D" w:rsidRDefault="00534171" w:rsidP="002C0ED7">
            <w:pPr>
              <w:jc w:val="center"/>
              <w:rPr>
                <w:rFonts w:cs="Arial"/>
                <w:color w:val="000000"/>
                <w:sz w:val="20"/>
                <w:szCs w:val="20"/>
                <w:lang w:eastAsia="it-IT"/>
              </w:rPr>
            </w:pPr>
            <w:r w:rsidRPr="00C2587D">
              <w:rPr>
                <w:rFonts w:cs="Arial"/>
                <w:color w:val="000000"/>
                <w:sz w:val="20"/>
                <w:szCs w:val="20"/>
                <w:lang w:eastAsia="it-IT"/>
              </w:rPr>
              <w:t>1 000,0</w:t>
            </w:r>
          </w:p>
        </w:tc>
        <w:tc>
          <w:tcPr>
            <w:tcW w:w="736" w:type="dxa"/>
            <w:shd w:val="clear" w:color="auto" w:fill="auto"/>
            <w:noWrap/>
            <w:vAlign w:val="center"/>
          </w:tcPr>
          <w:p w14:paraId="17939FE8" w14:textId="77777777" w:rsidR="002C0ED7" w:rsidRPr="00C2587D" w:rsidRDefault="002C0ED7" w:rsidP="002C0ED7">
            <w:pPr>
              <w:jc w:val="center"/>
              <w:rPr>
                <w:rFonts w:cs="Arial"/>
                <w:color w:val="000000"/>
                <w:sz w:val="20"/>
                <w:szCs w:val="20"/>
                <w:lang w:eastAsia="it-IT"/>
              </w:rPr>
            </w:pPr>
          </w:p>
        </w:tc>
        <w:tc>
          <w:tcPr>
            <w:tcW w:w="1273" w:type="dxa"/>
            <w:vAlign w:val="center"/>
          </w:tcPr>
          <w:p w14:paraId="156A3D62" w14:textId="6802FBED" w:rsidR="002C0ED7" w:rsidRPr="00C2587D" w:rsidRDefault="00534171" w:rsidP="002C0ED7">
            <w:pPr>
              <w:jc w:val="center"/>
              <w:rPr>
                <w:rFonts w:cs="Arial"/>
                <w:b/>
                <w:color w:val="000000"/>
                <w:sz w:val="20"/>
                <w:szCs w:val="20"/>
                <w:lang w:eastAsia="it-IT"/>
              </w:rPr>
            </w:pPr>
            <w:r w:rsidRPr="00C2587D">
              <w:rPr>
                <w:rFonts w:cs="Arial"/>
                <w:b/>
                <w:color w:val="000000"/>
                <w:sz w:val="20"/>
                <w:szCs w:val="20"/>
                <w:lang w:eastAsia="it-IT"/>
              </w:rPr>
              <w:t>2 000,0</w:t>
            </w:r>
          </w:p>
        </w:tc>
      </w:tr>
      <w:tr w:rsidR="002C0ED7" w:rsidRPr="00C2587D" w14:paraId="540B7CF7" w14:textId="77777777" w:rsidTr="006478C2">
        <w:trPr>
          <w:trHeight w:val="635"/>
          <w:jc w:val="center"/>
        </w:trPr>
        <w:tc>
          <w:tcPr>
            <w:tcW w:w="562" w:type="dxa"/>
            <w:shd w:val="clear" w:color="auto" w:fill="auto"/>
            <w:noWrap/>
            <w:vAlign w:val="center"/>
          </w:tcPr>
          <w:p w14:paraId="66C32A0A" w14:textId="0810B6DB" w:rsidR="002C0ED7" w:rsidRPr="00C2587D" w:rsidRDefault="002C0ED7" w:rsidP="006478C2">
            <w:pPr>
              <w:rPr>
                <w:rFonts w:cs="Arial"/>
                <w:bCs/>
                <w:color w:val="000000"/>
                <w:sz w:val="20"/>
                <w:szCs w:val="20"/>
                <w:lang w:eastAsia="uk-UA"/>
              </w:rPr>
            </w:pPr>
            <w:r w:rsidRPr="00C2587D">
              <w:rPr>
                <w:rFonts w:cs="Arial"/>
                <w:bCs/>
                <w:color w:val="000000"/>
                <w:sz w:val="20"/>
                <w:szCs w:val="20"/>
                <w:lang w:eastAsia="uk-UA"/>
              </w:rPr>
              <w:t>3</w:t>
            </w:r>
            <w:r w:rsidR="00652A19" w:rsidRPr="00C2587D">
              <w:rPr>
                <w:rFonts w:cs="Arial"/>
                <w:bCs/>
                <w:color w:val="000000"/>
                <w:sz w:val="20"/>
                <w:szCs w:val="20"/>
                <w:lang w:eastAsia="uk-UA"/>
              </w:rPr>
              <w:t>5</w:t>
            </w:r>
            <w:r w:rsidRPr="00C2587D">
              <w:rPr>
                <w:rFonts w:cs="Arial"/>
                <w:bCs/>
                <w:color w:val="000000"/>
                <w:sz w:val="20"/>
                <w:szCs w:val="20"/>
                <w:lang w:eastAsia="uk-UA"/>
              </w:rPr>
              <w:t>.</w:t>
            </w:r>
          </w:p>
        </w:tc>
        <w:tc>
          <w:tcPr>
            <w:tcW w:w="4395" w:type="dxa"/>
            <w:shd w:val="clear" w:color="auto" w:fill="auto"/>
            <w:noWrap/>
            <w:vAlign w:val="center"/>
          </w:tcPr>
          <w:p w14:paraId="6830B59F" w14:textId="3F0FC96D" w:rsidR="002C0ED7" w:rsidRPr="00C2587D" w:rsidRDefault="002C0ED7" w:rsidP="006478C2">
            <w:pPr>
              <w:spacing w:before="40" w:after="40"/>
              <w:jc w:val="both"/>
              <w:rPr>
                <w:rFonts w:cs="Arial"/>
                <w:color w:val="000000"/>
                <w:sz w:val="20"/>
                <w:szCs w:val="20"/>
              </w:rPr>
            </w:pPr>
            <w:r w:rsidRPr="00C2587D">
              <w:rPr>
                <w:rFonts w:cs="Arial"/>
                <w:sz w:val="20"/>
                <w:szCs w:val="20"/>
              </w:rPr>
              <w:t>"Громада в грі: участь у всеукраїнських та регіональних змаганнях"</w:t>
            </w:r>
          </w:p>
        </w:tc>
        <w:tc>
          <w:tcPr>
            <w:tcW w:w="1162" w:type="dxa"/>
            <w:shd w:val="clear" w:color="auto" w:fill="auto"/>
            <w:noWrap/>
            <w:vAlign w:val="center"/>
          </w:tcPr>
          <w:p w14:paraId="2FB4757F" w14:textId="77777777" w:rsidR="002C0ED7" w:rsidRPr="00C2587D" w:rsidRDefault="002C0ED7" w:rsidP="002C0ED7">
            <w:pPr>
              <w:jc w:val="center"/>
              <w:rPr>
                <w:rFonts w:cs="Arial"/>
                <w:color w:val="000000"/>
                <w:sz w:val="20"/>
                <w:szCs w:val="20"/>
                <w:lang w:eastAsia="it-IT"/>
              </w:rPr>
            </w:pPr>
          </w:p>
        </w:tc>
        <w:tc>
          <w:tcPr>
            <w:tcW w:w="1106" w:type="dxa"/>
            <w:shd w:val="clear" w:color="auto" w:fill="auto"/>
            <w:noWrap/>
            <w:vAlign w:val="center"/>
          </w:tcPr>
          <w:p w14:paraId="390C4FB8" w14:textId="4E048257" w:rsidR="002C0ED7" w:rsidRPr="00C2587D" w:rsidRDefault="00852B5B" w:rsidP="002C0ED7">
            <w:pPr>
              <w:jc w:val="center"/>
              <w:rPr>
                <w:rFonts w:cs="Arial"/>
                <w:color w:val="000000"/>
                <w:sz w:val="20"/>
                <w:szCs w:val="20"/>
                <w:lang w:eastAsia="it-IT"/>
              </w:rPr>
            </w:pPr>
            <w:r w:rsidRPr="00C2587D">
              <w:rPr>
                <w:rFonts w:cs="Arial"/>
                <w:color w:val="000000"/>
                <w:sz w:val="20"/>
                <w:szCs w:val="20"/>
                <w:lang w:eastAsia="it-IT"/>
              </w:rPr>
              <w:t>2 000,0</w:t>
            </w:r>
          </w:p>
        </w:tc>
        <w:tc>
          <w:tcPr>
            <w:tcW w:w="1106" w:type="dxa"/>
            <w:shd w:val="clear" w:color="auto" w:fill="auto"/>
            <w:noWrap/>
            <w:vAlign w:val="center"/>
          </w:tcPr>
          <w:p w14:paraId="285B23BB" w14:textId="7638F3E0" w:rsidR="002C0ED7" w:rsidRPr="00C2587D" w:rsidRDefault="00852B5B" w:rsidP="002C0ED7">
            <w:pPr>
              <w:jc w:val="center"/>
              <w:rPr>
                <w:rFonts w:cs="Arial"/>
                <w:color w:val="000000"/>
                <w:sz w:val="20"/>
                <w:szCs w:val="20"/>
                <w:lang w:eastAsia="it-IT"/>
              </w:rPr>
            </w:pPr>
            <w:r w:rsidRPr="00C2587D">
              <w:rPr>
                <w:rFonts w:cs="Arial"/>
                <w:color w:val="000000"/>
                <w:sz w:val="20"/>
                <w:szCs w:val="20"/>
                <w:lang w:eastAsia="it-IT"/>
              </w:rPr>
              <w:t>2 000,0</w:t>
            </w:r>
          </w:p>
        </w:tc>
        <w:tc>
          <w:tcPr>
            <w:tcW w:w="736" w:type="dxa"/>
            <w:shd w:val="clear" w:color="auto" w:fill="auto"/>
            <w:noWrap/>
            <w:vAlign w:val="center"/>
          </w:tcPr>
          <w:p w14:paraId="4B768743" w14:textId="34BDCCCC" w:rsidR="002C0ED7" w:rsidRPr="00C2587D" w:rsidRDefault="00852B5B" w:rsidP="002C0ED7">
            <w:pPr>
              <w:jc w:val="center"/>
              <w:rPr>
                <w:rFonts w:cs="Arial"/>
                <w:color w:val="000000"/>
                <w:sz w:val="20"/>
                <w:szCs w:val="20"/>
                <w:lang w:eastAsia="it-IT"/>
              </w:rPr>
            </w:pPr>
            <w:r w:rsidRPr="00C2587D">
              <w:rPr>
                <w:rFonts w:cs="Arial"/>
                <w:color w:val="000000"/>
                <w:sz w:val="20"/>
                <w:szCs w:val="20"/>
                <w:lang w:eastAsia="it-IT"/>
              </w:rPr>
              <w:t>2 000,0</w:t>
            </w:r>
          </w:p>
        </w:tc>
        <w:tc>
          <w:tcPr>
            <w:tcW w:w="1273" w:type="dxa"/>
            <w:vAlign w:val="center"/>
          </w:tcPr>
          <w:p w14:paraId="1D2FF660" w14:textId="1E3C890B" w:rsidR="002C0ED7" w:rsidRPr="00C2587D" w:rsidRDefault="00852B5B" w:rsidP="002C0ED7">
            <w:pPr>
              <w:jc w:val="center"/>
              <w:rPr>
                <w:rFonts w:cs="Arial"/>
                <w:b/>
                <w:color w:val="000000"/>
                <w:sz w:val="20"/>
                <w:szCs w:val="20"/>
                <w:lang w:eastAsia="it-IT"/>
              </w:rPr>
            </w:pPr>
            <w:r w:rsidRPr="00C2587D">
              <w:rPr>
                <w:rFonts w:cs="Arial"/>
                <w:b/>
                <w:color w:val="000000"/>
                <w:sz w:val="20"/>
                <w:szCs w:val="20"/>
                <w:lang w:eastAsia="it-IT"/>
              </w:rPr>
              <w:t>6 000,0</w:t>
            </w:r>
          </w:p>
        </w:tc>
      </w:tr>
      <w:tr w:rsidR="002C0ED7" w:rsidRPr="00C2587D" w14:paraId="6FB8BA01" w14:textId="77777777" w:rsidTr="006478C2">
        <w:trPr>
          <w:jc w:val="center"/>
        </w:trPr>
        <w:tc>
          <w:tcPr>
            <w:tcW w:w="562" w:type="dxa"/>
            <w:shd w:val="clear" w:color="auto" w:fill="auto"/>
            <w:noWrap/>
            <w:vAlign w:val="center"/>
          </w:tcPr>
          <w:p w14:paraId="2CB685AB" w14:textId="3198E487" w:rsidR="002C0ED7" w:rsidRPr="00C2587D" w:rsidRDefault="00652A19" w:rsidP="006478C2">
            <w:pPr>
              <w:rPr>
                <w:rFonts w:cs="Arial"/>
                <w:bCs/>
                <w:color w:val="000000"/>
                <w:sz w:val="20"/>
                <w:szCs w:val="20"/>
                <w:lang w:eastAsia="uk-UA"/>
              </w:rPr>
            </w:pPr>
            <w:r w:rsidRPr="00C2587D">
              <w:rPr>
                <w:rFonts w:cs="Arial"/>
                <w:bCs/>
                <w:color w:val="000000"/>
                <w:sz w:val="20"/>
                <w:szCs w:val="20"/>
                <w:lang w:eastAsia="uk-UA"/>
              </w:rPr>
              <w:t>36</w:t>
            </w:r>
            <w:r w:rsidR="002C0ED7" w:rsidRPr="00C2587D">
              <w:rPr>
                <w:rFonts w:cs="Arial"/>
                <w:bCs/>
                <w:color w:val="000000"/>
                <w:sz w:val="20"/>
                <w:szCs w:val="20"/>
                <w:lang w:eastAsia="uk-UA"/>
              </w:rPr>
              <w:t>.</w:t>
            </w:r>
          </w:p>
        </w:tc>
        <w:tc>
          <w:tcPr>
            <w:tcW w:w="4395" w:type="dxa"/>
            <w:shd w:val="clear" w:color="auto" w:fill="auto"/>
            <w:noWrap/>
            <w:vAlign w:val="center"/>
          </w:tcPr>
          <w:p w14:paraId="7132BF7E" w14:textId="5BAF35EF" w:rsidR="002C0ED7" w:rsidRPr="00C2587D" w:rsidRDefault="002C0ED7" w:rsidP="006478C2">
            <w:pPr>
              <w:spacing w:before="40" w:after="40"/>
              <w:jc w:val="both"/>
              <w:rPr>
                <w:rFonts w:cs="Arial"/>
                <w:color w:val="000000"/>
                <w:sz w:val="20"/>
                <w:szCs w:val="20"/>
              </w:rPr>
            </w:pPr>
            <w:r w:rsidRPr="00C2587D">
              <w:rPr>
                <w:rFonts w:cs="Arial"/>
                <w:sz w:val="20"/>
                <w:szCs w:val="20"/>
              </w:rPr>
              <w:t xml:space="preserve">Капітальний ремонт з утепленням приміщення дитячо-юнацької спортивної школи по вул. Богдана Хмельницького </w:t>
            </w:r>
          </w:p>
        </w:tc>
        <w:tc>
          <w:tcPr>
            <w:tcW w:w="1162" w:type="dxa"/>
            <w:shd w:val="clear" w:color="auto" w:fill="auto"/>
            <w:noWrap/>
            <w:vAlign w:val="center"/>
          </w:tcPr>
          <w:p w14:paraId="42E944D3" w14:textId="77777777" w:rsidR="002C0ED7" w:rsidRPr="00C2587D" w:rsidRDefault="002C0ED7" w:rsidP="002C0ED7">
            <w:pPr>
              <w:jc w:val="center"/>
              <w:rPr>
                <w:rFonts w:cs="Arial"/>
                <w:color w:val="000000"/>
                <w:sz w:val="20"/>
                <w:szCs w:val="20"/>
                <w:lang w:eastAsia="it-IT"/>
              </w:rPr>
            </w:pPr>
          </w:p>
        </w:tc>
        <w:tc>
          <w:tcPr>
            <w:tcW w:w="1106" w:type="dxa"/>
            <w:shd w:val="clear" w:color="auto" w:fill="auto"/>
            <w:noWrap/>
            <w:vAlign w:val="center"/>
          </w:tcPr>
          <w:p w14:paraId="0A023CD4" w14:textId="1C85524F" w:rsidR="002C0ED7" w:rsidRPr="00C2587D" w:rsidRDefault="00852B5B" w:rsidP="002C0ED7">
            <w:pPr>
              <w:jc w:val="center"/>
              <w:rPr>
                <w:rFonts w:cs="Arial"/>
                <w:color w:val="000000"/>
                <w:sz w:val="20"/>
                <w:szCs w:val="20"/>
                <w:lang w:eastAsia="it-IT"/>
              </w:rPr>
            </w:pPr>
            <w:r w:rsidRPr="00C2587D">
              <w:rPr>
                <w:rFonts w:cs="Arial"/>
                <w:color w:val="000000"/>
                <w:sz w:val="20"/>
                <w:szCs w:val="20"/>
                <w:lang w:eastAsia="it-IT"/>
              </w:rPr>
              <w:t>30 000,0</w:t>
            </w:r>
          </w:p>
        </w:tc>
        <w:tc>
          <w:tcPr>
            <w:tcW w:w="1106" w:type="dxa"/>
            <w:shd w:val="clear" w:color="auto" w:fill="auto"/>
            <w:noWrap/>
            <w:vAlign w:val="center"/>
          </w:tcPr>
          <w:p w14:paraId="12E45341" w14:textId="77777777" w:rsidR="002C0ED7" w:rsidRPr="00C2587D" w:rsidRDefault="002C0ED7" w:rsidP="002C0ED7">
            <w:pPr>
              <w:jc w:val="center"/>
              <w:rPr>
                <w:rFonts w:cs="Arial"/>
                <w:color w:val="000000"/>
                <w:sz w:val="20"/>
                <w:szCs w:val="20"/>
                <w:lang w:eastAsia="it-IT"/>
              </w:rPr>
            </w:pPr>
          </w:p>
        </w:tc>
        <w:tc>
          <w:tcPr>
            <w:tcW w:w="736" w:type="dxa"/>
            <w:shd w:val="clear" w:color="auto" w:fill="auto"/>
            <w:noWrap/>
            <w:vAlign w:val="center"/>
          </w:tcPr>
          <w:p w14:paraId="5C5AADF7" w14:textId="77777777" w:rsidR="002C0ED7" w:rsidRPr="00C2587D" w:rsidRDefault="002C0ED7" w:rsidP="002C0ED7">
            <w:pPr>
              <w:jc w:val="center"/>
              <w:rPr>
                <w:rFonts w:cs="Arial"/>
                <w:color w:val="000000"/>
                <w:sz w:val="20"/>
                <w:szCs w:val="20"/>
                <w:lang w:eastAsia="it-IT"/>
              </w:rPr>
            </w:pPr>
          </w:p>
        </w:tc>
        <w:tc>
          <w:tcPr>
            <w:tcW w:w="1273" w:type="dxa"/>
            <w:vAlign w:val="center"/>
          </w:tcPr>
          <w:p w14:paraId="1DD0D644" w14:textId="6A4D0BB9" w:rsidR="002C0ED7" w:rsidRPr="00C2587D" w:rsidRDefault="00852B5B" w:rsidP="002C0ED7">
            <w:pPr>
              <w:jc w:val="center"/>
              <w:rPr>
                <w:rFonts w:cs="Arial"/>
                <w:b/>
                <w:color w:val="000000"/>
                <w:sz w:val="20"/>
                <w:szCs w:val="20"/>
                <w:lang w:eastAsia="it-IT"/>
              </w:rPr>
            </w:pPr>
            <w:r w:rsidRPr="00C2587D">
              <w:rPr>
                <w:rFonts w:cs="Arial"/>
                <w:b/>
                <w:color w:val="000000"/>
                <w:sz w:val="20"/>
                <w:szCs w:val="20"/>
                <w:lang w:eastAsia="it-IT"/>
              </w:rPr>
              <w:t>30 000,0</w:t>
            </w:r>
          </w:p>
        </w:tc>
      </w:tr>
      <w:tr w:rsidR="002C0ED7" w:rsidRPr="00C2587D" w14:paraId="7B88567A" w14:textId="77777777" w:rsidTr="006478C2">
        <w:trPr>
          <w:jc w:val="center"/>
        </w:trPr>
        <w:tc>
          <w:tcPr>
            <w:tcW w:w="562" w:type="dxa"/>
            <w:shd w:val="clear" w:color="auto" w:fill="auto"/>
            <w:noWrap/>
            <w:vAlign w:val="center"/>
          </w:tcPr>
          <w:p w14:paraId="31630711" w14:textId="4D532EB8" w:rsidR="002C0ED7" w:rsidRPr="00C2587D" w:rsidRDefault="00652A19" w:rsidP="006478C2">
            <w:pPr>
              <w:rPr>
                <w:rFonts w:cs="Arial"/>
                <w:bCs/>
                <w:color w:val="000000"/>
                <w:sz w:val="20"/>
                <w:szCs w:val="20"/>
                <w:lang w:eastAsia="uk-UA"/>
              </w:rPr>
            </w:pPr>
            <w:r w:rsidRPr="00C2587D">
              <w:rPr>
                <w:rFonts w:cs="Arial"/>
                <w:bCs/>
                <w:color w:val="000000"/>
                <w:sz w:val="20"/>
                <w:szCs w:val="20"/>
                <w:lang w:eastAsia="uk-UA"/>
              </w:rPr>
              <w:t>37</w:t>
            </w:r>
            <w:r w:rsidR="002C0ED7" w:rsidRPr="00C2587D">
              <w:rPr>
                <w:rFonts w:cs="Arial"/>
                <w:bCs/>
                <w:color w:val="000000"/>
                <w:sz w:val="20"/>
                <w:szCs w:val="20"/>
                <w:lang w:eastAsia="uk-UA"/>
              </w:rPr>
              <w:t>.</w:t>
            </w:r>
          </w:p>
        </w:tc>
        <w:tc>
          <w:tcPr>
            <w:tcW w:w="4395" w:type="dxa"/>
            <w:shd w:val="clear" w:color="auto" w:fill="auto"/>
            <w:noWrap/>
            <w:vAlign w:val="center"/>
          </w:tcPr>
          <w:p w14:paraId="3F12D451" w14:textId="6BB4FBC5" w:rsidR="002C0ED7" w:rsidRPr="00C2587D" w:rsidRDefault="002C0ED7" w:rsidP="006478C2">
            <w:pPr>
              <w:spacing w:before="40" w:after="40"/>
              <w:jc w:val="both"/>
              <w:rPr>
                <w:rFonts w:cs="Arial"/>
                <w:color w:val="000000"/>
                <w:sz w:val="20"/>
                <w:szCs w:val="20"/>
              </w:rPr>
            </w:pPr>
            <w:r w:rsidRPr="00C2587D">
              <w:rPr>
                <w:rFonts w:cs="Arial"/>
                <w:sz w:val="20"/>
                <w:szCs w:val="20"/>
              </w:rPr>
              <w:t>«Сильна база — сильні результати: оновлення матеріально-технічного забезпечення спортивних залів КЗ "ЖДЮСШ"»</w:t>
            </w:r>
          </w:p>
        </w:tc>
        <w:tc>
          <w:tcPr>
            <w:tcW w:w="1162" w:type="dxa"/>
            <w:shd w:val="clear" w:color="auto" w:fill="auto"/>
            <w:noWrap/>
            <w:vAlign w:val="center"/>
          </w:tcPr>
          <w:p w14:paraId="506809A8" w14:textId="77777777" w:rsidR="002C0ED7" w:rsidRPr="00C2587D" w:rsidRDefault="002C0ED7" w:rsidP="002C0ED7">
            <w:pPr>
              <w:jc w:val="center"/>
              <w:rPr>
                <w:rFonts w:cs="Arial"/>
                <w:color w:val="000000"/>
                <w:sz w:val="20"/>
                <w:szCs w:val="20"/>
                <w:lang w:eastAsia="it-IT"/>
              </w:rPr>
            </w:pPr>
          </w:p>
        </w:tc>
        <w:tc>
          <w:tcPr>
            <w:tcW w:w="1106" w:type="dxa"/>
            <w:shd w:val="clear" w:color="auto" w:fill="auto"/>
            <w:noWrap/>
            <w:vAlign w:val="center"/>
          </w:tcPr>
          <w:p w14:paraId="424750E4" w14:textId="111AC6DF" w:rsidR="002C0ED7" w:rsidRPr="00C2587D" w:rsidRDefault="00852B5B" w:rsidP="002C0ED7">
            <w:pPr>
              <w:jc w:val="center"/>
              <w:rPr>
                <w:rFonts w:cs="Arial"/>
                <w:color w:val="000000"/>
                <w:sz w:val="20"/>
                <w:szCs w:val="20"/>
                <w:lang w:eastAsia="it-IT"/>
              </w:rPr>
            </w:pPr>
            <w:r w:rsidRPr="00C2587D">
              <w:rPr>
                <w:rFonts w:cs="Arial"/>
                <w:color w:val="000000"/>
                <w:sz w:val="20"/>
                <w:szCs w:val="20"/>
                <w:lang w:eastAsia="it-IT"/>
              </w:rPr>
              <w:t>1 000,0</w:t>
            </w:r>
          </w:p>
        </w:tc>
        <w:tc>
          <w:tcPr>
            <w:tcW w:w="1106" w:type="dxa"/>
            <w:shd w:val="clear" w:color="auto" w:fill="auto"/>
            <w:noWrap/>
            <w:vAlign w:val="center"/>
          </w:tcPr>
          <w:p w14:paraId="44F71305" w14:textId="5B8599EE" w:rsidR="002C0ED7" w:rsidRPr="00C2587D" w:rsidRDefault="00852B5B" w:rsidP="002C0ED7">
            <w:pPr>
              <w:jc w:val="center"/>
              <w:rPr>
                <w:rFonts w:cs="Arial"/>
                <w:color w:val="000000"/>
                <w:sz w:val="20"/>
                <w:szCs w:val="20"/>
                <w:lang w:eastAsia="it-IT"/>
              </w:rPr>
            </w:pPr>
            <w:r w:rsidRPr="00C2587D">
              <w:rPr>
                <w:rFonts w:cs="Arial"/>
                <w:color w:val="000000"/>
                <w:sz w:val="20"/>
                <w:szCs w:val="20"/>
                <w:lang w:eastAsia="it-IT"/>
              </w:rPr>
              <w:t>1 000,0</w:t>
            </w:r>
          </w:p>
        </w:tc>
        <w:tc>
          <w:tcPr>
            <w:tcW w:w="736" w:type="dxa"/>
            <w:shd w:val="clear" w:color="auto" w:fill="auto"/>
            <w:noWrap/>
            <w:vAlign w:val="center"/>
          </w:tcPr>
          <w:p w14:paraId="55A178A3" w14:textId="2F6F24FD" w:rsidR="002C0ED7" w:rsidRPr="00C2587D" w:rsidRDefault="00852B5B" w:rsidP="002C0ED7">
            <w:pPr>
              <w:jc w:val="center"/>
              <w:rPr>
                <w:rFonts w:cs="Arial"/>
                <w:color w:val="000000"/>
                <w:sz w:val="20"/>
                <w:szCs w:val="20"/>
                <w:lang w:eastAsia="it-IT"/>
              </w:rPr>
            </w:pPr>
            <w:r w:rsidRPr="00C2587D">
              <w:rPr>
                <w:rFonts w:cs="Arial"/>
                <w:color w:val="000000"/>
                <w:sz w:val="20"/>
                <w:szCs w:val="20"/>
                <w:lang w:eastAsia="it-IT"/>
              </w:rPr>
              <w:t>500,0</w:t>
            </w:r>
          </w:p>
        </w:tc>
        <w:tc>
          <w:tcPr>
            <w:tcW w:w="1273" w:type="dxa"/>
            <w:vAlign w:val="center"/>
          </w:tcPr>
          <w:p w14:paraId="2E9DEC8B" w14:textId="5D630170" w:rsidR="00852B5B" w:rsidRPr="00C2587D" w:rsidRDefault="00852B5B" w:rsidP="002C0ED7">
            <w:pPr>
              <w:jc w:val="center"/>
              <w:rPr>
                <w:rFonts w:cs="Arial"/>
                <w:b/>
                <w:color w:val="000000"/>
                <w:sz w:val="20"/>
                <w:szCs w:val="20"/>
                <w:lang w:eastAsia="it-IT"/>
              </w:rPr>
            </w:pPr>
            <w:r w:rsidRPr="00C2587D">
              <w:rPr>
                <w:rFonts w:cs="Arial"/>
                <w:b/>
                <w:color w:val="000000"/>
                <w:sz w:val="20"/>
                <w:szCs w:val="20"/>
                <w:lang w:eastAsia="it-IT"/>
              </w:rPr>
              <w:t>2 500,0</w:t>
            </w:r>
          </w:p>
        </w:tc>
      </w:tr>
      <w:tr w:rsidR="002C0ED7" w:rsidRPr="00C2587D" w14:paraId="7F3A9127" w14:textId="77777777" w:rsidTr="006478C2">
        <w:trPr>
          <w:jc w:val="center"/>
        </w:trPr>
        <w:tc>
          <w:tcPr>
            <w:tcW w:w="562" w:type="dxa"/>
            <w:shd w:val="clear" w:color="auto" w:fill="auto"/>
            <w:noWrap/>
            <w:vAlign w:val="center"/>
          </w:tcPr>
          <w:p w14:paraId="39EBE82C" w14:textId="6CD54635" w:rsidR="002C0ED7" w:rsidRPr="00C2587D" w:rsidRDefault="00652A19" w:rsidP="006478C2">
            <w:pPr>
              <w:rPr>
                <w:rFonts w:cs="Arial"/>
                <w:bCs/>
                <w:color w:val="000000"/>
                <w:sz w:val="20"/>
                <w:szCs w:val="20"/>
                <w:lang w:eastAsia="uk-UA"/>
              </w:rPr>
            </w:pPr>
            <w:r w:rsidRPr="00C2587D">
              <w:rPr>
                <w:rFonts w:cs="Arial"/>
                <w:bCs/>
                <w:color w:val="000000"/>
                <w:sz w:val="20"/>
                <w:szCs w:val="20"/>
                <w:lang w:eastAsia="uk-UA"/>
              </w:rPr>
              <w:t>38</w:t>
            </w:r>
            <w:r w:rsidR="002C0ED7" w:rsidRPr="00C2587D">
              <w:rPr>
                <w:rFonts w:cs="Arial"/>
                <w:bCs/>
                <w:color w:val="000000"/>
                <w:sz w:val="20"/>
                <w:szCs w:val="20"/>
                <w:lang w:eastAsia="uk-UA"/>
              </w:rPr>
              <w:t>.</w:t>
            </w:r>
          </w:p>
        </w:tc>
        <w:tc>
          <w:tcPr>
            <w:tcW w:w="4395" w:type="dxa"/>
            <w:shd w:val="clear" w:color="auto" w:fill="auto"/>
            <w:noWrap/>
            <w:vAlign w:val="center"/>
          </w:tcPr>
          <w:p w14:paraId="2A36B3C2" w14:textId="192BAEA1" w:rsidR="002C0ED7" w:rsidRPr="00C2587D" w:rsidRDefault="002C0ED7" w:rsidP="006478C2">
            <w:pPr>
              <w:spacing w:before="40" w:after="40"/>
              <w:jc w:val="both"/>
              <w:rPr>
                <w:rFonts w:cs="Arial"/>
                <w:color w:val="000000"/>
                <w:sz w:val="20"/>
                <w:szCs w:val="20"/>
              </w:rPr>
            </w:pPr>
            <w:r w:rsidRPr="00C2587D">
              <w:rPr>
                <w:rFonts w:cs="Arial"/>
                <w:sz w:val="20"/>
                <w:szCs w:val="20"/>
              </w:rPr>
              <w:t>«Територія дії: розвиток молодіжного лідерства та участі»</w:t>
            </w:r>
          </w:p>
        </w:tc>
        <w:tc>
          <w:tcPr>
            <w:tcW w:w="1162" w:type="dxa"/>
            <w:shd w:val="clear" w:color="auto" w:fill="auto"/>
            <w:noWrap/>
            <w:vAlign w:val="center"/>
          </w:tcPr>
          <w:p w14:paraId="0F9ACFCE" w14:textId="77777777" w:rsidR="002C0ED7" w:rsidRPr="00C2587D" w:rsidRDefault="002C0ED7" w:rsidP="002C0ED7">
            <w:pPr>
              <w:jc w:val="center"/>
              <w:rPr>
                <w:rFonts w:cs="Arial"/>
                <w:color w:val="000000"/>
                <w:sz w:val="20"/>
                <w:szCs w:val="20"/>
                <w:lang w:eastAsia="it-IT"/>
              </w:rPr>
            </w:pPr>
          </w:p>
        </w:tc>
        <w:tc>
          <w:tcPr>
            <w:tcW w:w="1106" w:type="dxa"/>
            <w:shd w:val="clear" w:color="auto" w:fill="auto"/>
            <w:noWrap/>
            <w:vAlign w:val="center"/>
          </w:tcPr>
          <w:p w14:paraId="4122B966" w14:textId="3A3AFF87" w:rsidR="002C0ED7" w:rsidRPr="00C2587D" w:rsidRDefault="00852B5B" w:rsidP="002C0ED7">
            <w:pPr>
              <w:jc w:val="center"/>
              <w:rPr>
                <w:rFonts w:cs="Arial"/>
                <w:color w:val="000000"/>
                <w:sz w:val="20"/>
                <w:szCs w:val="20"/>
                <w:lang w:eastAsia="it-IT"/>
              </w:rPr>
            </w:pPr>
            <w:r w:rsidRPr="00C2587D">
              <w:rPr>
                <w:rFonts w:cs="Arial"/>
                <w:color w:val="000000"/>
                <w:sz w:val="20"/>
                <w:szCs w:val="20"/>
                <w:lang w:eastAsia="it-IT"/>
              </w:rPr>
              <w:t>100,0</w:t>
            </w:r>
          </w:p>
        </w:tc>
        <w:tc>
          <w:tcPr>
            <w:tcW w:w="1106" w:type="dxa"/>
            <w:shd w:val="clear" w:color="auto" w:fill="auto"/>
            <w:noWrap/>
            <w:vAlign w:val="center"/>
          </w:tcPr>
          <w:p w14:paraId="6C2F544B" w14:textId="0469AFB8" w:rsidR="002C0ED7" w:rsidRPr="00C2587D" w:rsidRDefault="00852B5B" w:rsidP="002C0ED7">
            <w:pPr>
              <w:jc w:val="center"/>
              <w:rPr>
                <w:rFonts w:cs="Arial"/>
                <w:color w:val="000000"/>
                <w:sz w:val="20"/>
                <w:szCs w:val="20"/>
                <w:lang w:eastAsia="it-IT"/>
              </w:rPr>
            </w:pPr>
            <w:r w:rsidRPr="00C2587D">
              <w:rPr>
                <w:rFonts w:cs="Arial"/>
                <w:color w:val="000000"/>
                <w:sz w:val="20"/>
                <w:szCs w:val="20"/>
                <w:lang w:eastAsia="it-IT"/>
              </w:rPr>
              <w:t>100,0</w:t>
            </w:r>
          </w:p>
        </w:tc>
        <w:tc>
          <w:tcPr>
            <w:tcW w:w="736" w:type="dxa"/>
            <w:shd w:val="clear" w:color="auto" w:fill="auto"/>
            <w:noWrap/>
            <w:vAlign w:val="center"/>
          </w:tcPr>
          <w:p w14:paraId="6EC1C412" w14:textId="6586D8DE" w:rsidR="002C0ED7" w:rsidRPr="00C2587D" w:rsidRDefault="00852B5B" w:rsidP="002C0ED7">
            <w:pPr>
              <w:jc w:val="center"/>
              <w:rPr>
                <w:rFonts w:cs="Arial"/>
                <w:color w:val="000000"/>
                <w:sz w:val="20"/>
                <w:szCs w:val="20"/>
                <w:lang w:eastAsia="it-IT"/>
              </w:rPr>
            </w:pPr>
            <w:r w:rsidRPr="00C2587D">
              <w:rPr>
                <w:rFonts w:cs="Arial"/>
                <w:color w:val="000000"/>
                <w:sz w:val="20"/>
                <w:szCs w:val="20"/>
                <w:lang w:eastAsia="it-IT"/>
              </w:rPr>
              <w:t>100,0</w:t>
            </w:r>
          </w:p>
        </w:tc>
        <w:tc>
          <w:tcPr>
            <w:tcW w:w="1273" w:type="dxa"/>
            <w:vAlign w:val="center"/>
          </w:tcPr>
          <w:p w14:paraId="1A8BC613" w14:textId="013AB13E" w:rsidR="002C0ED7" w:rsidRPr="00C2587D" w:rsidRDefault="00852B5B" w:rsidP="002C0ED7">
            <w:pPr>
              <w:jc w:val="center"/>
              <w:rPr>
                <w:rFonts w:cs="Arial"/>
                <w:b/>
                <w:color w:val="000000"/>
                <w:sz w:val="20"/>
                <w:szCs w:val="20"/>
                <w:lang w:eastAsia="it-IT"/>
              </w:rPr>
            </w:pPr>
            <w:r w:rsidRPr="00C2587D">
              <w:rPr>
                <w:rFonts w:cs="Arial"/>
                <w:b/>
                <w:color w:val="000000"/>
                <w:sz w:val="20"/>
                <w:szCs w:val="20"/>
                <w:lang w:eastAsia="it-IT"/>
              </w:rPr>
              <w:t>300,0</w:t>
            </w:r>
          </w:p>
        </w:tc>
      </w:tr>
      <w:tr w:rsidR="002C0ED7" w:rsidRPr="00C2587D" w14:paraId="5B9BD47F" w14:textId="77777777" w:rsidTr="006478C2">
        <w:trPr>
          <w:jc w:val="center"/>
        </w:trPr>
        <w:tc>
          <w:tcPr>
            <w:tcW w:w="562" w:type="dxa"/>
            <w:shd w:val="clear" w:color="auto" w:fill="auto"/>
            <w:noWrap/>
            <w:vAlign w:val="center"/>
          </w:tcPr>
          <w:p w14:paraId="7846F646" w14:textId="2B12D1C2" w:rsidR="002C0ED7" w:rsidRPr="00C2587D" w:rsidRDefault="002C0ED7" w:rsidP="006478C2">
            <w:pPr>
              <w:rPr>
                <w:rFonts w:cs="Arial"/>
                <w:bCs/>
                <w:color w:val="000000"/>
                <w:sz w:val="20"/>
                <w:szCs w:val="20"/>
                <w:lang w:eastAsia="uk-UA"/>
              </w:rPr>
            </w:pPr>
            <w:r w:rsidRPr="00C2587D">
              <w:rPr>
                <w:rFonts w:cs="Arial"/>
                <w:bCs/>
                <w:color w:val="000000"/>
                <w:sz w:val="20"/>
                <w:szCs w:val="20"/>
                <w:lang w:eastAsia="uk-UA"/>
              </w:rPr>
              <w:t>3</w:t>
            </w:r>
            <w:r w:rsidR="00652A19" w:rsidRPr="00C2587D">
              <w:rPr>
                <w:rFonts w:cs="Arial"/>
                <w:bCs/>
                <w:color w:val="000000"/>
                <w:sz w:val="20"/>
                <w:szCs w:val="20"/>
                <w:lang w:eastAsia="uk-UA"/>
              </w:rPr>
              <w:t>9</w:t>
            </w:r>
            <w:r w:rsidRPr="00C2587D">
              <w:rPr>
                <w:rFonts w:cs="Arial"/>
                <w:bCs/>
                <w:color w:val="000000"/>
                <w:sz w:val="20"/>
                <w:szCs w:val="20"/>
                <w:lang w:eastAsia="uk-UA"/>
              </w:rPr>
              <w:t>.</w:t>
            </w:r>
          </w:p>
        </w:tc>
        <w:tc>
          <w:tcPr>
            <w:tcW w:w="4395" w:type="dxa"/>
            <w:shd w:val="clear" w:color="auto" w:fill="auto"/>
            <w:noWrap/>
            <w:vAlign w:val="center"/>
          </w:tcPr>
          <w:p w14:paraId="5562D869" w14:textId="3BD705EB" w:rsidR="002C0ED7" w:rsidRPr="00C2587D" w:rsidRDefault="002C0ED7" w:rsidP="006478C2">
            <w:pPr>
              <w:spacing w:before="40" w:after="40"/>
              <w:jc w:val="both"/>
              <w:rPr>
                <w:rFonts w:cs="Arial"/>
                <w:color w:val="000000"/>
                <w:sz w:val="20"/>
                <w:szCs w:val="20"/>
              </w:rPr>
            </w:pPr>
            <w:r w:rsidRPr="00C2587D">
              <w:rPr>
                <w:rFonts w:cs="Arial"/>
                <w:sz w:val="20"/>
                <w:szCs w:val="20"/>
              </w:rPr>
              <w:t>«Громада талантів: розвиток культурно-творчого потенціалу мешканців»</w:t>
            </w:r>
          </w:p>
        </w:tc>
        <w:tc>
          <w:tcPr>
            <w:tcW w:w="1162" w:type="dxa"/>
            <w:shd w:val="clear" w:color="auto" w:fill="auto"/>
            <w:noWrap/>
            <w:vAlign w:val="center"/>
          </w:tcPr>
          <w:p w14:paraId="4C150D16" w14:textId="77777777" w:rsidR="002C0ED7" w:rsidRPr="00C2587D" w:rsidRDefault="002C0ED7" w:rsidP="002C0ED7">
            <w:pPr>
              <w:jc w:val="center"/>
              <w:rPr>
                <w:rFonts w:cs="Arial"/>
                <w:color w:val="000000"/>
                <w:sz w:val="20"/>
                <w:szCs w:val="20"/>
                <w:lang w:eastAsia="it-IT"/>
              </w:rPr>
            </w:pPr>
          </w:p>
        </w:tc>
        <w:tc>
          <w:tcPr>
            <w:tcW w:w="1106" w:type="dxa"/>
            <w:shd w:val="clear" w:color="auto" w:fill="auto"/>
            <w:noWrap/>
            <w:vAlign w:val="center"/>
          </w:tcPr>
          <w:p w14:paraId="5EA3CFC5" w14:textId="43AE3CEA" w:rsidR="002C0ED7" w:rsidRPr="00C2587D" w:rsidRDefault="00852B5B" w:rsidP="002C0ED7">
            <w:pPr>
              <w:jc w:val="center"/>
              <w:rPr>
                <w:rFonts w:cs="Arial"/>
                <w:color w:val="000000"/>
                <w:sz w:val="20"/>
                <w:szCs w:val="20"/>
                <w:lang w:eastAsia="it-IT"/>
              </w:rPr>
            </w:pPr>
            <w:r w:rsidRPr="00C2587D">
              <w:rPr>
                <w:rFonts w:cs="Arial"/>
                <w:color w:val="000000"/>
                <w:sz w:val="20"/>
                <w:szCs w:val="20"/>
                <w:lang w:eastAsia="it-IT"/>
              </w:rPr>
              <w:t>200,0</w:t>
            </w:r>
          </w:p>
        </w:tc>
        <w:tc>
          <w:tcPr>
            <w:tcW w:w="1106" w:type="dxa"/>
            <w:shd w:val="clear" w:color="auto" w:fill="auto"/>
            <w:noWrap/>
            <w:vAlign w:val="center"/>
          </w:tcPr>
          <w:p w14:paraId="4D669D0B" w14:textId="0E63A8FD" w:rsidR="002C0ED7" w:rsidRPr="00C2587D" w:rsidRDefault="00852B5B" w:rsidP="002C0ED7">
            <w:pPr>
              <w:jc w:val="center"/>
              <w:rPr>
                <w:rFonts w:cs="Arial"/>
                <w:color w:val="000000"/>
                <w:sz w:val="20"/>
                <w:szCs w:val="20"/>
                <w:lang w:eastAsia="it-IT"/>
              </w:rPr>
            </w:pPr>
            <w:r w:rsidRPr="00C2587D">
              <w:rPr>
                <w:rFonts w:cs="Arial"/>
                <w:color w:val="000000"/>
                <w:sz w:val="20"/>
                <w:szCs w:val="20"/>
                <w:lang w:eastAsia="it-IT"/>
              </w:rPr>
              <w:t>200,0</w:t>
            </w:r>
          </w:p>
        </w:tc>
        <w:tc>
          <w:tcPr>
            <w:tcW w:w="736" w:type="dxa"/>
            <w:shd w:val="clear" w:color="auto" w:fill="auto"/>
            <w:noWrap/>
            <w:vAlign w:val="center"/>
          </w:tcPr>
          <w:p w14:paraId="74A39F16" w14:textId="2056B7E5" w:rsidR="002C0ED7" w:rsidRPr="00C2587D" w:rsidRDefault="00852B5B" w:rsidP="002C0ED7">
            <w:pPr>
              <w:jc w:val="center"/>
              <w:rPr>
                <w:rFonts w:cs="Arial"/>
                <w:color w:val="000000"/>
                <w:sz w:val="20"/>
                <w:szCs w:val="20"/>
                <w:lang w:eastAsia="it-IT"/>
              </w:rPr>
            </w:pPr>
            <w:r w:rsidRPr="00C2587D">
              <w:rPr>
                <w:rFonts w:cs="Arial"/>
                <w:color w:val="000000"/>
                <w:sz w:val="20"/>
                <w:szCs w:val="20"/>
                <w:lang w:eastAsia="it-IT"/>
              </w:rPr>
              <w:t>200,0</w:t>
            </w:r>
          </w:p>
        </w:tc>
        <w:tc>
          <w:tcPr>
            <w:tcW w:w="1273" w:type="dxa"/>
            <w:vAlign w:val="center"/>
          </w:tcPr>
          <w:p w14:paraId="441B0501" w14:textId="39D998B2" w:rsidR="002C0ED7" w:rsidRPr="00C2587D" w:rsidRDefault="00852B5B" w:rsidP="002C0ED7">
            <w:pPr>
              <w:jc w:val="center"/>
              <w:rPr>
                <w:rFonts w:cs="Arial"/>
                <w:b/>
                <w:color w:val="000000"/>
                <w:sz w:val="20"/>
                <w:szCs w:val="20"/>
                <w:lang w:eastAsia="it-IT"/>
              </w:rPr>
            </w:pPr>
            <w:r w:rsidRPr="00C2587D">
              <w:rPr>
                <w:rFonts w:cs="Arial"/>
                <w:b/>
                <w:color w:val="000000"/>
                <w:sz w:val="20"/>
                <w:szCs w:val="20"/>
                <w:lang w:eastAsia="it-IT"/>
              </w:rPr>
              <w:t>600,0</w:t>
            </w:r>
          </w:p>
        </w:tc>
      </w:tr>
      <w:tr w:rsidR="002C0ED7" w:rsidRPr="00C2587D" w14:paraId="269CD770" w14:textId="77777777" w:rsidTr="006478C2">
        <w:trPr>
          <w:jc w:val="center"/>
        </w:trPr>
        <w:tc>
          <w:tcPr>
            <w:tcW w:w="562" w:type="dxa"/>
            <w:shd w:val="clear" w:color="auto" w:fill="auto"/>
            <w:noWrap/>
            <w:vAlign w:val="center"/>
          </w:tcPr>
          <w:p w14:paraId="3A9B952E" w14:textId="562FB874" w:rsidR="002C0ED7" w:rsidRPr="00C2587D" w:rsidRDefault="00652A19" w:rsidP="006478C2">
            <w:pPr>
              <w:rPr>
                <w:rFonts w:cs="Arial"/>
                <w:bCs/>
                <w:color w:val="000000"/>
                <w:sz w:val="20"/>
                <w:szCs w:val="20"/>
                <w:lang w:eastAsia="uk-UA"/>
              </w:rPr>
            </w:pPr>
            <w:r w:rsidRPr="00C2587D">
              <w:rPr>
                <w:rFonts w:cs="Arial"/>
                <w:bCs/>
                <w:color w:val="000000"/>
                <w:sz w:val="20"/>
                <w:szCs w:val="20"/>
                <w:lang w:eastAsia="uk-UA"/>
              </w:rPr>
              <w:t>40</w:t>
            </w:r>
            <w:r w:rsidR="002C0ED7" w:rsidRPr="00C2587D">
              <w:rPr>
                <w:rFonts w:cs="Arial"/>
                <w:bCs/>
                <w:color w:val="000000"/>
                <w:sz w:val="20"/>
                <w:szCs w:val="20"/>
                <w:lang w:eastAsia="uk-UA"/>
              </w:rPr>
              <w:t>.</w:t>
            </w:r>
          </w:p>
        </w:tc>
        <w:tc>
          <w:tcPr>
            <w:tcW w:w="4395" w:type="dxa"/>
            <w:shd w:val="clear" w:color="auto" w:fill="auto"/>
            <w:noWrap/>
            <w:vAlign w:val="center"/>
          </w:tcPr>
          <w:p w14:paraId="7DB6C9BE" w14:textId="430AE163" w:rsidR="002C0ED7" w:rsidRPr="00C2587D" w:rsidRDefault="002C0ED7" w:rsidP="006478C2">
            <w:pPr>
              <w:spacing w:before="40" w:after="40"/>
              <w:jc w:val="both"/>
              <w:rPr>
                <w:rFonts w:cs="Arial"/>
                <w:color w:val="000000"/>
                <w:sz w:val="20"/>
                <w:szCs w:val="20"/>
              </w:rPr>
            </w:pPr>
            <w:r w:rsidRPr="00C2587D">
              <w:rPr>
                <w:rFonts w:cs="Arial"/>
                <w:sz w:val="20"/>
                <w:szCs w:val="20"/>
              </w:rPr>
              <w:t>«Місто для дітей і молоді: участь, безпека, розвиток»</w:t>
            </w:r>
          </w:p>
        </w:tc>
        <w:tc>
          <w:tcPr>
            <w:tcW w:w="1162" w:type="dxa"/>
            <w:shd w:val="clear" w:color="auto" w:fill="auto"/>
            <w:noWrap/>
            <w:vAlign w:val="center"/>
          </w:tcPr>
          <w:p w14:paraId="68667B87" w14:textId="77777777" w:rsidR="002C0ED7" w:rsidRPr="00C2587D" w:rsidRDefault="002C0ED7" w:rsidP="002C0ED7">
            <w:pPr>
              <w:jc w:val="center"/>
              <w:rPr>
                <w:rFonts w:cs="Arial"/>
                <w:color w:val="000000"/>
                <w:sz w:val="20"/>
                <w:szCs w:val="20"/>
                <w:lang w:eastAsia="it-IT"/>
              </w:rPr>
            </w:pPr>
          </w:p>
        </w:tc>
        <w:tc>
          <w:tcPr>
            <w:tcW w:w="1106" w:type="dxa"/>
            <w:shd w:val="clear" w:color="auto" w:fill="auto"/>
            <w:noWrap/>
            <w:vAlign w:val="center"/>
          </w:tcPr>
          <w:p w14:paraId="3E9DCD79" w14:textId="6BC3A999" w:rsidR="002C0ED7" w:rsidRPr="00C2587D" w:rsidRDefault="00852B5B" w:rsidP="002C0ED7">
            <w:pPr>
              <w:jc w:val="center"/>
              <w:rPr>
                <w:rFonts w:cs="Arial"/>
                <w:color w:val="000000"/>
                <w:sz w:val="20"/>
                <w:szCs w:val="20"/>
                <w:lang w:eastAsia="it-IT"/>
              </w:rPr>
            </w:pPr>
            <w:r w:rsidRPr="00C2587D">
              <w:rPr>
                <w:rFonts w:cs="Arial"/>
                <w:color w:val="000000"/>
                <w:sz w:val="20"/>
                <w:szCs w:val="20"/>
                <w:lang w:eastAsia="it-IT"/>
              </w:rPr>
              <w:t>100,0</w:t>
            </w:r>
          </w:p>
        </w:tc>
        <w:tc>
          <w:tcPr>
            <w:tcW w:w="1106" w:type="dxa"/>
            <w:shd w:val="clear" w:color="auto" w:fill="auto"/>
            <w:noWrap/>
            <w:vAlign w:val="center"/>
          </w:tcPr>
          <w:p w14:paraId="46E07638" w14:textId="4C4E309E" w:rsidR="002C0ED7" w:rsidRPr="00C2587D" w:rsidRDefault="00852B5B" w:rsidP="002C0ED7">
            <w:pPr>
              <w:jc w:val="center"/>
              <w:rPr>
                <w:rFonts w:cs="Arial"/>
                <w:color w:val="000000"/>
                <w:sz w:val="20"/>
                <w:szCs w:val="20"/>
                <w:lang w:eastAsia="it-IT"/>
              </w:rPr>
            </w:pPr>
            <w:r w:rsidRPr="00C2587D">
              <w:rPr>
                <w:rFonts w:cs="Arial"/>
                <w:color w:val="000000"/>
                <w:sz w:val="20"/>
                <w:szCs w:val="20"/>
                <w:lang w:eastAsia="it-IT"/>
              </w:rPr>
              <w:t>100,0</w:t>
            </w:r>
          </w:p>
        </w:tc>
        <w:tc>
          <w:tcPr>
            <w:tcW w:w="736" w:type="dxa"/>
            <w:shd w:val="clear" w:color="auto" w:fill="auto"/>
            <w:noWrap/>
            <w:vAlign w:val="center"/>
          </w:tcPr>
          <w:p w14:paraId="2C242553" w14:textId="6EABF5BD" w:rsidR="002C0ED7" w:rsidRPr="00C2587D" w:rsidRDefault="00852B5B" w:rsidP="002C0ED7">
            <w:pPr>
              <w:jc w:val="center"/>
              <w:rPr>
                <w:rFonts w:cs="Arial"/>
                <w:color w:val="000000"/>
                <w:sz w:val="20"/>
                <w:szCs w:val="20"/>
                <w:lang w:eastAsia="it-IT"/>
              </w:rPr>
            </w:pPr>
            <w:r w:rsidRPr="00C2587D">
              <w:rPr>
                <w:rFonts w:cs="Arial"/>
                <w:color w:val="000000"/>
                <w:sz w:val="20"/>
                <w:szCs w:val="20"/>
                <w:lang w:eastAsia="it-IT"/>
              </w:rPr>
              <w:t>100,0</w:t>
            </w:r>
          </w:p>
        </w:tc>
        <w:tc>
          <w:tcPr>
            <w:tcW w:w="1273" w:type="dxa"/>
            <w:vAlign w:val="center"/>
          </w:tcPr>
          <w:p w14:paraId="01B8B8F9" w14:textId="55FF336B" w:rsidR="002C0ED7" w:rsidRPr="00C2587D" w:rsidRDefault="00852B5B" w:rsidP="002C0ED7">
            <w:pPr>
              <w:jc w:val="center"/>
              <w:rPr>
                <w:rFonts w:cs="Arial"/>
                <w:b/>
                <w:color w:val="000000"/>
                <w:sz w:val="20"/>
                <w:szCs w:val="20"/>
                <w:lang w:eastAsia="it-IT"/>
              </w:rPr>
            </w:pPr>
            <w:r w:rsidRPr="00C2587D">
              <w:rPr>
                <w:rFonts w:cs="Arial"/>
                <w:b/>
                <w:color w:val="000000"/>
                <w:sz w:val="20"/>
                <w:szCs w:val="20"/>
                <w:lang w:eastAsia="it-IT"/>
              </w:rPr>
              <w:t>300,0</w:t>
            </w:r>
          </w:p>
        </w:tc>
      </w:tr>
      <w:tr w:rsidR="002C0ED7" w:rsidRPr="00C2587D" w14:paraId="5DFE65C8" w14:textId="77777777" w:rsidTr="006478C2">
        <w:trPr>
          <w:jc w:val="center"/>
        </w:trPr>
        <w:tc>
          <w:tcPr>
            <w:tcW w:w="562" w:type="dxa"/>
            <w:shd w:val="clear" w:color="auto" w:fill="auto"/>
            <w:noWrap/>
            <w:vAlign w:val="center"/>
          </w:tcPr>
          <w:p w14:paraId="5B765148" w14:textId="1FBDFBAD" w:rsidR="002C0ED7" w:rsidRPr="00C2587D" w:rsidRDefault="00652A19" w:rsidP="006478C2">
            <w:pPr>
              <w:rPr>
                <w:rFonts w:cs="Arial"/>
                <w:bCs/>
                <w:color w:val="000000"/>
                <w:sz w:val="20"/>
                <w:szCs w:val="20"/>
                <w:lang w:eastAsia="uk-UA"/>
              </w:rPr>
            </w:pPr>
            <w:r w:rsidRPr="00C2587D">
              <w:rPr>
                <w:rFonts w:cs="Arial"/>
                <w:bCs/>
                <w:color w:val="000000"/>
                <w:sz w:val="20"/>
                <w:szCs w:val="20"/>
                <w:lang w:eastAsia="uk-UA"/>
              </w:rPr>
              <w:t>41</w:t>
            </w:r>
            <w:r w:rsidR="002C0ED7" w:rsidRPr="00C2587D">
              <w:rPr>
                <w:rFonts w:cs="Arial"/>
                <w:bCs/>
                <w:color w:val="000000"/>
                <w:sz w:val="20"/>
                <w:szCs w:val="20"/>
                <w:lang w:eastAsia="uk-UA"/>
              </w:rPr>
              <w:t>.</w:t>
            </w:r>
          </w:p>
        </w:tc>
        <w:tc>
          <w:tcPr>
            <w:tcW w:w="4395" w:type="dxa"/>
            <w:shd w:val="clear" w:color="auto" w:fill="auto"/>
            <w:noWrap/>
            <w:vAlign w:val="center"/>
          </w:tcPr>
          <w:p w14:paraId="6519133E" w14:textId="137564B7" w:rsidR="002C0ED7" w:rsidRPr="00C2587D" w:rsidRDefault="002C0ED7" w:rsidP="006478C2">
            <w:pPr>
              <w:spacing w:before="40" w:after="40"/>
              <w:jc w:val="both"/>
              <w:rPr>
                <w:rFonts w:cs="Arial"/>
                <w:color w:val="000000"/>
                <w:sz w:val="20"/>
                <w:szCs w:val="20"/>
              </w:rPr>
            </w:pPr>
            <w:r w:rsidRPr="00C2587D">
              <w:rPr>
                <w:rFonts w:cs="Arial"/>
                <w:sz w:val="20"/>
                <w:szCs w:val="20"/>
              </w:rPr>
              <w:t>«Простір можливостей: Молодіжний центр громади»</w:t>
            </w:r>
          </w:p>
        </w:tc>
        <w:tc>
          <w:tcPr>
            <w:tcW w:w="1162" w:type="dxa"/>
            <w:shd w:val="clear" w:color="auto" w:fill="auto"/>
            <w:noWrap/>
            <w:vAlign w:val="center"/>
          </w:tcPr>
          <w:p w14:paraId="0E04146F" w14:textId="77777777" w:rsidR="002C0ED7" w:rsidRPr="00C2587D" w:rsidRDefault="002C0ED7" w:rsidP="002C0ED7">
            <w:pPr>
              <w:jc w:val="center"/>
              <w:rPr>
                <w:rFonts w:cs="Arial"/>
                <w:color w:val="000000"/>
                <w:sz w:val="20"/>
                <w:szCs w:val="20"/>
                <w:lang w:eastAsia="it-IT"/>
              </w:rPr>
            </w:pPr>
          </w:p>
        </w:tc>
        <w:tc>
          <w:tcPr>
            <w:tcW w:w="1106" w:type="dxa"/>
            <w:shd w:val="clear" w:color="auto" w:fill="auto"/>
            <w:noWrap/>
            <w:vAlign w:val="center"/>
          </w:tcPr>
          <w:p w14:paraId="4D9090CF" w14:textId="3A646F1B" w:rsidR="002C0ED7" w:rsidRPr="00C2587D" w:rsidRDefault="00852B5B" w:rsidP="002C0ED7">
            <w:pPr>
              <w:jc w:val="center"/>
              <w:rPr>
                <w:rFonts w:cs="Arial"/>
                <w:color w:val="000000"/>
                <w:sz w:val="20"/>
                <w:szCs w:val="20"/>
                <w:lang w:eastAsia="it-IT"/>
              </w:rPr>
            </w:pPr>
            <w:r w:rsidRPr="00C2587D">
              <w:rPr>
                <w:rFonts w:cs="Arial"/>
                <w:color w:val="000000"/>
                <w:sz w:val="20"/>
                <w:szCs w:val="20"/>
                <w:lang w:eastAsia="it-IT"/>
              </w:rPr>
              <w:t>600,0</w:t>
            </w:r>
          </w:p>
        </w:tc>
        <w:tc>
          <w:tcPr>
            <w:tcW w:w="1106" w:type="dxa"/>
            <w:shd w:val="clear" w:color="auto" w:fill="auto"/>
            <w:noWrap/>
            <w:vAlign w:val="center"/>
          </w:tcPr>
          <w:p w14:paraId="3E102EAA" w14:textId="3A07337A" w:rsidR="002C0ED7" w:rsidRPr="00C2587D" w:rsidRDefault="00852B5B" w:rsidP="002C0ED7">
            <w:pPr>
              <w:jc w:val="center"/>
              <w:rPr>
                <w:rFonts w:cs="Arial"/>
                <w:color w:val="000000"/>
                <w:sz w:val="20"/>
                <w:szCs w:val="20"/>
                <w:lang w:eastAsia="it-IT"/>
              </w:rPr>
            </w:pPr>
            <w:r w:rsidRPr="00C2587D">
              <w:rPr>
                <w:rFonts w:cs="Arial"/>
                <w:color w:val="000000"/>
                <w:sz w:val="20"/>
                <w:szCs w:val="20"/>
                <w:lang w:eastAsia="it-IT"/>
              </w:rPr>
              <w:t>200,0</w:t>
            </w:r>
          </w:p>
        </w:tc>
        <w:tc>
          <w:tcPr>
            <w:tcW w:w="736" w:type="dxa"/>
            <w:shd w:val="clear" w:color="auto" w:fill="auto"/>
            <w:noWrap/>
            <w:vAlign w:val="center"/>
          </w:tcPr>
          <w:p w14:paraId="0DDB04F4" w14:textId="414EB2E6" w:rsidR="002C0ED7" w:rsidRPr="00C2587D" w:rsidRDefault="00852B5B" w:rsidP="002C0ED7">
            <w:pPr>
              <w:jc w:val="center"/>
              <w:rPr>
                <w:rFonts w:cs="Arial"/>
                <w:color w:val="000000"/>
                <w:sz w:val="20"/>
                <w:szCs w:val="20"/>
                <w:lang w:eastAsia="it-IT"/>
              </w:rPr>
            </w:pPr>
            <w:r w:rsidRPr="00C2587D">
              <w:rPr>
                <w:rFonts w:cs="Arial"/>
                <w:color w:val="000000"/>
                <w:sz w:val="20"/>
                <w:szCs w:val="20"/>
                <w:lang w:eastAsia="it-IT"/>
              </w:rPr>
              <w:t>200,0</w:t>
            </w:r>
          </w:p>
        </w:tc>
        <w:tc>
          <w:tcPr>
            <w:tcW w:w="1273" w:type="dxa"/>
            <w:vAlign w:val="center"/>
          </w:tcPr>
          <w:p w14:paraId="2659CC46" w14:textId="31D368DA" w:rsidR="002C0ED7" w:rsidRPr="00C2587D" w:rsidRDefault="00852B5B" w:rsidP="002C0ED7">
            <w:pPr>
              <w:jc w:val="center"/>
              <w:rPr>
                <w:rFonts w:cs="Arial"/>
                <w:b/>
                <w:color w:val="000000"/>
                <w:sz w:val="20"/>
                <w:szCs w:val="20"/>
                <w:lang w:eastAsia="it-IT"/>
              </w:rPr>
            </w:pPr>
            <w:r w:rsidRPr="00C2587D">
              <w:rPr>
                <w:rFonts w:cs="Arial"/>
                <w:b/>
                <w:color w:val="000000"/>
                <w:sz w:val="20"/>
                <w:szCs w:val="20"/>
                <w:lang w:eastAsia="it-IT"/>
              </w:rPr>
              <w:t>1 000,0</w:t>
            </w:r>
          </w:p>
        </w:tc>
      </w:tr>
      <w:tr w:rsidR="00852B5B" w:rsidRPr="00C2587D" w14:paraId="236A85BA" w14:textId="77777777" w:rsidTr="006478C2">
        <w:trPr>
          <w:jc w:val="center"/>
        </w:trPr>
        <w:tc>
          <w:tcPr>
            <w:tcW w:w="562" w:type="dxa"/>
            <w:shd w:val="clear" w:color="auto" w:fill="auto"/>
            <w:noWrap/>
            <w:vAlign w:val="center"/>
          </w:tcPr>
          <w:p w14:paraId="08FEE737" w14:textId="2C177E40" w:rsidR="00852B5B" w:rsidRPr="00C2587D" w:rsidRDefault="00652A19" w:rsidP="006478C2">
            <w:pPr>
              <w:rPr>
                <w:rFonts w:cs="Arial"/>
                <w:bCs/>
                <w:color w:val="000000"/>
                <w:sz w:val="20"/>
                <w:szCs w:val="20"/>
                <w:lang w:eastAsia="uk-UA"/>
              </w:rPr>
            </w:pPr>
            <w:r w:rsidRPr="00C2587D">
              <w:rPr>
                <w:rFonts w:cs="Arial"/>
                <w:bCs/>
                <w:color w:val="000000"/>
                <w:sz w:val="20"/>
                <w:szCs w:val="20"/>
                <w:lang w:eastAsia="uk-UA"/>
              </w:rPr>
              <w:t>42</w:t>
            </w:r>
            <w:r w:rsidR="00852B5B" w:rsidRPr="00C2587D">
              <w:rPr>
                <w:rFonts w:cs="Arial"/>
                <w:bCs/>
                <w:color w:val="000000"/>
                <w:sz w:val="20"/>
                <w:szCs w:val="20"/>
                <w:lang w:eastAsia="uk-UA"/>
              </w:rPr>
              <w:t>.</w:t>
            </w:r>
          </w:p>
        </w:tc>
        <w:tc>
          <w:tcPr>
            <w:tcW w:w="4395" w:type="dxa"/>
            <w:shd w:val="clear" w:color="auto" w:fill="auto"/>
            <w:noWrap/>
            <w:vAlign w:val="center"/>
          </w:tcPr>
          <w:p w14:paraId="35F8CFDF" w14:textId="4A16C3D6" w:rsidR="00852B5B" w:rsidRPr="00C2587D" w:rsidRDefault="00852B5B" w:rsidP="006478C2">
            <w:pPr>
              <w:spacing w:before="40" w:after="40"/>
              <w:jc w:val="both"/>
              <w:rPr>
                <w:rFonts w:cs="Arial"/>
                <w:color w:val="000000"/>
                <w:sz w:val="20"/>
                <w:szCs w:val="20"/>
              </w:rPr>
            </w:pPr>
            <w:r w:rsidRPr="00C2587D">
              <w:rPr>
                <w:rFonts w:cs="Arial"/>
                <w:sz w:val="20"/>
                <w:szCs w:val="20"/>
              </w:rPr>
              <w:t>«Молодь.</w:t>
            </w:r>
            <w:r w:rsidR="00CC7D56">
              <w:rPr>
                <w:rFonts w:cs="Arial"/>
                <w:sz w:val="20"/>
                <w:szCs w:val="20"/>
              </w:rPr>
              <w:t xml:space="preserve"> </w:t>
            </w:r>
            <w:r w:rsidRPr="00C2587D">
              <w:rPr>
                <w:rFonts w:cs="Arial"/>
                <w:sz w:val="20"/>
                <w:szCs w:val="20"/>
              </w:rPr>
              <w:t>Здоров’я.</w:t>
            </w:r>
            <w:r w:rsidR="00CC7D56">
              <w:rPr>
                <w:rFonts w:cs="Arial"/>
                <w:sz w:val="20"/>
                <w:szCs w:val="20"/>
              </w:rPr>
              <w:t xml:space="preserve"> </w:t>
            </w:r>
            <w:r w:rsidRPr="00C2587D">
              <w:rPr>
                <w:rFonts w:cs="Arial"/>
                <w:sz w:val="20"/>
                <w:szCs w:val="20"/>
              </w:rPr>
              <w:t>Дія» – підтримка молодіжних ініціатив задля активного та здорового життя громади</w:t>
            </w:r>
          </w:p>
        </w:tc>
        <w:tc>
          <w:tcPr>
            <w:tcW w:w="1162" w:type="dxa"/>
            <w:shd w:val="clear" w:color="auto" w:fill="auto"/>
            <w:noWrap/>
            <w:vAlign w:val="center"/>
          </w:tcPr>
          <w:p w14:paraId="254B5BE8" w14:textId="77777777" w:rsidR="00852B5B" w:rsidRPr="00C2587D" w:rsidRDefault="00852B5B" w:rsidP="00852B5B">
            <w:pPr>
              <w:jc w:val="center"/>
              <w:rPr>
                <w:rFonts w:cs="Arial"/>
                <w:color w:val="000000"/>
                <w:sz w:val="20"/>
                <w:szCs w:val="20"/>
                <w:lang w:eastAsia="it-IT"/>
              </w:rPr>
            </w:pPr>
          </w:p>
        </w:tc>
        <w:tc>
          <w:tcPr>
            <w:tcW w:w="1106" w:type="dxa"/>
            <w:shd w:val="clear" w:color="auto" w:fill="auto"/>
            <w:noWrap/>
            <w:vAlign w:val="center"/>
          </w:tcPr>
          <w:p w14:paraId="5711881B" w14:textId="0B2E0BA8" w:rsidR="00852B5B" w:rsidRPr="00C2587D" w:rsidRDefault="00852B5B" w:rsidP="00852B5B">
            <w:pPr>
              <w:jc w:val="center"/>
              <w:rPr>
                <w:rFonts w:cs="Arial"/>
                <w:color w:val="000000"/>
                <w:sz w:val="20"/>
                <w:szCs w:val="20"/>
                <w:lang w:eastAsia="it-IT"/>
              </w:rPr>
            </w:pPr>
            <w:r w:rsidRPr="00C2587D">
              <w:rPr>
                <w:rFonts w:cs="Arial"/>
                <w:color w:val="000000"/>
                <w:sz w:val="20"/>
                <w:szCs w:val="20"/>
                <w:lang w:eastAsia="it-IT"/>
              </w:rPr>
              <w:t>100,0</w:t>
            </w:r>
          </w:p>
        </w:tc>
        <w:tc>
          <w:tcPr>
            <w:tcW w:w="1106" w:type="dxa"/>
            <w:shd w:val="clear" w:color="auto" w:fill="auto"/>
            <w:noWrap/>
            <w:vAlign w:val="center"/>
          </w:tcPr>
          <w:p w14:paraId="569F4FD2" w14:textId="0081DE63" w:rsidR="00852B5B" w:rsidRPr="00C2587D" w:rsidRDefault="00852B5B" w:rsidP="00852B5B">
            <w:pPr>
              <w:jc w:val="center"/>
              <w:rPr>
                <w:rFonts w:cs="Arial"/>
                <w:color w:val="000000"/>
                <w:sz w:val="20"/>
                <w:szCs w:val="20"/>
                <w:lang w:eastAsia="it-IT"/>
              </w:rPr>
            </w:pPr>
            <w:r w:rsidRPr="00C2587D">
              <w:rPr>
                <w:rFonts w:cs="Arial"/>
                <w:color w:val="000000"/>
                <w:sz w:val="20"/>
                <w:szCs w:val="20"/>
                <w:lang w:eastAsia="it-IT"/>
              </w:rPr>
              <w:t>100,0</w:t>
            </w:r>
          </w:p>
        </w:tc>
        <w:tc>
          <w:tcPr>
            <w:tcW w:w="736" w:type="dxa"/>
            <w:shd w:val="clear" w:color="auto" w:fill="auto"/>
            <w:noWrap/>
            <w:vAlign w:val="center"/>
          </w:tcPr>
          <w:p w14:paraId="38C6073A" w14:textId="113D31D7" w:rsidR="00852B5B" w:rsidRPr="00C2587D" w:rsidRDefault="00852B5B" w:rsidP="00852B5B">
            <w:pPr>
              <w:jc w:val="center"/>
              <w:rPr>
                <w:rFonts w:cs="Arial"/>
                <w:color w:val="000000"/>
                <w:sz w:val="20"/>
                <w:szCs w:val="20"/>
                <w:lang w:eastAsia="it-IT"/>
              </w:rPr>
            </w:pPr>
            <w:r w:rsidRPr="00C2587D">
              <w:rPr>
                <w:rFonts w:cs="Arial"/>
                <w:color w:val="000000"/>
                <w:sz w:val="20"/>
                <w:szCs w:val="20"/>
                <w:lang w:eastAsia="it-IT"/>
              </w:rPr>
              <w:t>100,0</w:t>
            </w:r>
          </w:p>
        </w:tc>
        <w:tc>
          <w:tcPr>
            <w:tcW w:w="1273" w:type="dxa"/>
            <w:vAlign w:val="center"/>
          </w:tcPr>
          <w:p w14:paraId="2010110B" w14:textId="73ADCF95" w:rsidR="00852B5B" w:rsidRPr="00C2587D" w:rsidRDefault="00852B5B" w:rsidP="00852B5B">
            <w:pPr>
              <w:jc w:val="center"/>
              <w:rPr>
                <w:rFonts w:cs="Arial"/>
                <w:b/>
                <w:color w:val="000000"/>
                <w:sz w:val="20"/>
                <w:szCs w:val="20"/>
                <w:lang w:eastAsia="it-IT"/>
              </w:rPr>
            </w:pPr>
            <w:r w:rsidRPr="00C2587D">
              <w:rPr>
                <w:rFonts w:cs="Arial"/>
                <w:b/>
                <w:color w:val="000000"/>
                <w:sz w:val="20"/>
                <w:szCs w:val="20"/>
                <w:lang w:eastAsia="it-IT"/>
              </w:rPr>
              <w:t>300,0</w:t>
            </w:r>
          </w:p>
        </w:tc>
      </w:tr>
      <w:tr w:rsidR="00852B5B" w:rsidRPr="00C2587D" w14:paraId="235EAA49" w14:textId="77777777" w:rsidTr="006478C2">
        <w:trPr>
          <w:jc w:val="center"/>
        </w:trPr>
        <w:tc>
          <w:tcPr>
            <w:tcW w:w="562" w:type="dxa"/>
            <w:shd w:val="clear" w:color="auto" w:fill="auto"/>
            <w:noWrap/>
            <w:vAlign w:val="center"/>
          </w:tcPr>
          <w:p w14:paraId="08EF748C" w14:textId="3D7B55CA" w:rsidR="00852B5B" w:rsidRPr="00C2587D" w:rsidRDefault="00852B5B" w:rsidP="006478C2">
            <w:pPr>
              <w:rPr>
                <w:rFonts w:cs="Arial"/>
                <w:bCs/>
                <w:color w:val="000000"/>
                <w:sz w:val="20"/>
                <w:szCs w:val="20"/>
                <w:lang w:eastAsia="uk-UA"/>
              </w:rPr>
            </w:pPr>
            <w:r w:rsidRPr="00C2587D">
              <w:rPr>
                <w:rFonts w:cs="Arial"/>
                <w:bCs/>
                <w:color w:val="000000"/>
                <w:sz w:val="20"/>
                <w:szCs w:val="20"/>
                <w:lang w:eastAsia="uk-UA"/>
              </w:rPr>
              <w:t>4</w:t>
            </w:r>
            <w:r w:rsidR="00652A19" w:rsidRPr="00C2587D">
              <w:rPr>
                <w:rFonts w:cs="Arial"/>
                <w:bCs/>
                <w:color w:val="000000"/>
                <w:sz w:val="20"/>
                <w:szCs w:val="20"/>
                <w:lang w:eastAsia="uk-UA"/>
              </w:rPr>
              <w:t>3</w:t>
            </w:r>
            <w:r w:rsidRPr="00C2587D">
              <w:rPr>
                <w:rFonts w:cs="Arial"/>
                <w:bCs/>
                <w:color w:val="000000"/>
                <w:sz w:val="20"/>
                <w:szCs w:val="20"/>
                <w:lang w:eastAsia="uk-UA"/>
              </w:rPr>
              <w:t>.</w:t>
            </w:r>
          </w:p>
        </w:tc>
        <w:tc>
          <w:tcPr>
            <w:tcW w:w="4395" w:type="dxa"/>
            <w:shd w:val="clear" w:color="auto" w:fill="auto"/>
            <w:noWrap/>
            <w:vAlign w:val="center"/>
          </w:tcPr>
          <w:p w14:paraId="6556D900" w14:textId="7C58646C" w:rsidR="00852B5B" w:rsidRPr="00C2587D" w:rsidRDefault="00852B5B" w:rsidP="006478C2">
            <w:pPr>
              <w:spacing w:before="40" w:after="40"/>
              <w:jc w:val="both"/>
              <w:rPr>
                <w:rFonts w:cs="Arial"/>
                <w:color w:val="000000"/>
                <w:sz w:val="20"/>
                <w:szCs w:val="20"/>
              </w:rPr>
            </w:pPr>
            <w:r w:rsidRPr="00C2587D">
              <w:rPr>
                <w:rFonts w:cs="Arial"/>
                <w:sz w:val="20"/>
                <w:szCs w:val="20"/>
              </w:rPr>
              <w:t>«Пульс нації» — національно-патріотичне виховання через активну участь молоді</w:t>
            </w:r>
          </w:p>
        </w:tc>
        <w:tc>
          <w:tcPr>
            <w:tcW w:w="1162" w:type="dxa"/>
            <w:shd w:val="clear" w:color="auto" w:fill="auto"/>
            <w:noWrap/>
            <w:vAlign w:val="center"/>
          </w:tcPr>
          <w:p w14:paraId="4FCFD367" w14:textId="77777777" w:rsidR="00852B5B" w:rsidRPr="00C2587D" w:rsidRDefault="00852B5B" w:rsidP="00852B5B">
            <w:pPr>
              <w:jc w:val="center"/>
              <w:rPr>
                <w:rFonts w:cs="Arial"/>
                <w:color w:val="000000"/>
                <w:sz w:val="20"/>
                <w:szCs w:val="20"/>
                <w:lang w:eastAsia="it-IT"/>
              </w:rPr>
            </w:pPr>
          </w:p>
        </w:tc>
        <w:tc>
          <w:tcPr>
            <w:tcW w:w="1106" w:type="dxa"/>
            <w:shd w:val="clear" w:color="auto" w:fill="auto"/>
            <w:noWrap/>
            <w:vAlign w:val="center"/>
          </w:tcPr>
          <w:p w14:paraId="72EE00AA" w14:textId="6382DB1C" w:rsidR="00852B5B" w:rsidRPr="00C2587D" w:rsidRDefault="00852B5B" w:rsidP="00852B5B">
            <w:pPr>
              <w:jc w:val="center"/>
              <w:rPr>
                <w:rFonts w:cs="Arial"/>
                <w:color w:val="000000"/>
                <w:sz w:val="20"/>
                <w:szCs w:val="20"/>
                <w:lang w:eastAsia="it-IT"/>
              </w:rPr>
            </w:pPr>
            <w:r w:rsidRPr="00C2587D">
              <w:rPr>
                <w:rFonts w:cs="Arial"/>
                <w:color w:val="000000"/>
                <w:sz w:val="20"/>
                <w:szCs w:val="20"/>
                <w:lang w:eastAsia="it-IT"/>
              </w:rPr>
              <w:t>200,0</w:t>
            </w:r>
          </w:p>
        </w:tc>
        <w:tc>
          <w:tcPr>
            <w:tcW w:w="1106" w:type="dxa"/>
            <w:shd w:val="clear" w:color="auto" w:fill="auto"/>
            <w:noWrap/>
            <w:vAlign w:val="center"/>
          </w:tcPr>
          <w:p w14:paraId="2F9C6954" w14:textId="2E1CB0BE" w:rsidR="00852B5B" w:rsidRPr="00C2587D" w:rsidRDefault="00852B5B" w:rsidP="00852B5B">
            <w:pPr>
              <w:jc w:val="center"/>
              <w:rPr>
                <w:rFonts w:cs="Arial"/>
                <w:color w:val="000000"/>
                <w:sz w:val="20"/>
                <w:szCs w:val="20"/>
                <w:lang w:eastAsia="it-IT"/>
              </w:rPr>
            </w:pPr>
            <w:r w:rsidRPr="00C2587D">
              <w:rPr>
                <w:rFonts w:cs="Arial"/>
                <w:color w:val="000000"/>
                <w:sz w:val="20"/>
                <w:szCs w:val="20"/>
                <w:lang w:eastAsia="it-IT"/>
              </w:rPr>
              <w:t>200,0</w:t>
            </w:r>
          </w:p>
        </w:tc>
        <w:tc>
          <w:tcPr>
            <w:tcW w:w="736" w:type="dxa"/>
            <w:shd w:val="clear" w:color="auto" w:fill="auto"/>
            <w:noWrap/>
            <w:vAlign w:val="center"/>
          </w:tcPr>
          <w:p w14:paraId="1E8180D4" w14:textId="1DB54543" w:rsidR="00852B5B" w:rsidRPr="00C2587D" w:rsidRDefault="00852B5B" w:rsidP="00852B5B">
            <w:pPr>
              <w:jc w:val="center"/>
              <w:rPr>
                <w:rFonts w:cs="Arial"/>
                <w:color w:val="000000"/>
                <w:sz w:val="20"/>
                <w:szCs w:val="20"/>
                <w:lang w:eastAsia="it-IT"/>
              </w:rPr>
            </w:pPr>
            <w:r w:rsidRPr="00C2587D">
              <w:rPr>
                <w:rFonts w:cs="Arial"/>
                <w:color w:val="000000"/>
                <w:sz w:val="20"/>
                <w:szCs w:val="20"/>
                <w:lang w:eastAsia="it-IT"/>
              </w:rPr>
              <w:t>200,0</w:t>
            </w:r>
          </w:p>
        </w:tc>
        <w:tc>
          <w:tcPr>
            <w:tcW w:w="1273" w:type="dxa"/>
            <w:vAlign w:val="center"/>
          </w:tcPr>
          <w:p w14:paraId="6937F92A" w14:textId="4E2EE5D1" w:rsidR="00852B5B" w:rsidRPr="00C2587D" w:rsidRDefault="00852B5B" w:rsidP="00852B5B">
            <w:pPr>
              <w:jc w:val="center"/>
              <w:rPr>
                <w:rFonts w:cs="Arial"/>
                <w:b/>
                <w:color w:val="000000"/>
                <w:sz w:val="20"/>
                <w:szCs w:val="20"/>
                <w:lang w:eastAsia="it-IT"/>
              </w:rPr>
            </w:pPr>
            <w:r w:rsidRPr="00C2587D">
              <w:rPr>
                <w:rFonts w:cs="Arial"/>
                <w:b/>
                <w:color w:val="000000"/>
                <w:sz w:val="20"/>
                <w:szCs w:val="20"/>
                <w:lang w:eastAsia="it-IT"/>
              </w:rPr>
              <w:t>600,0</w:t>
            </w:r>
          </w:p>
        </w:tc>
      </w:tr>
      <w:tr w:rsidR="00852B5B" w:rsidRPr="00C2587D" w14:paraId="50003B82" w14:textId="77777777" w:rsidTr="006478C2">
        <w:trPr>
          <w:trHeight w:val="563"/>
          <w:jc w:val="center"/>
        </w:trPr>
        <w:tc>
          <w:tcPr>
            <w:tcW w:w="562" w:type="dxa"/>
            <w:shd w:val="clear" w:color="auto" w:fill="auto"/>
            <w:noWrap/>
            <w:vAlign w:val="center"/>
          </w:tcPr>
          <w:p w14:paraId="2024C822" w14:textId="1E55235D" w:rsidR="00852B5B" w:rsidRPr="00C2587D" w:rsidRDefault="00652A19" w:rsidP="006478C2">
            <w:pPr>
              <w:rPr>
                <w:rFonts w:cs="Arial"/>
                <w:bCs/>
                <w:color w:val="000000"/>
                <w:sz w:val="20"/>
                <w:szCs w:val="20"/>
                <w:lang w:eastAsia="uk-UA"/>
              </w:rPr>
            </w:pPr>
            <w:r w:rsidRPr="00C2587D">
              <w:rPr>
                <w:rFonts w:cs="Arial"/>
                <w:bCs/>
                <w:color w:val="000000"/>
                <w:sz w:val="20"/>
                <w:szCs w:val="20"/>
                <w:lang w:eastAsia="uk-UA"/>
              </w:rPr>
              <w:t>44</w:t>
            </w:r>
            <w:r w:rsidR="00852B5B" w:rsidRPr="00C2587D">
              <w:rPr>
                <w:rFonts w:cs="Arial"/>
                <w:bCs/>
                <w:color w:val="000000"/>
                <w:sz w:val="20"/>
                <w:szCs w:val="20"/>
                <w:lang w:eastAsia="uk-UA"/>
              </w:rPr>
              <w:t>.</w:t>
            </w:r>
          </w:p>
        </w:tc>
        <w:tc>
          <w:tcPr>
            <w:tcW w:w="4395" w:type="dxa"/>
            <w:shd w:val="clear" w:color="auto" w:fill="auto"/>
            <w:noWrap/>
            <w:vAlign w:val="center"/>
          </w:tcPr>
          <w:p w14:paraId="3E1E70C1" w14:textId="661175B9" w:rsidR="00852B5B" w:rsidRPr="00C2587D" w:rsidRDefault="00852B5B" w:rsidP="006478C2">
            <w:pPr>
              <w:spacing w:before="40" w:after="40"/>
              <w:jc w:val="both"/>
              <w:rPr>
                <w:rFonts w:cs="Arial"/>
                <w:color w:val="000000"/>
                <w:sz w:val="20"/>
                <w:szCs w:val="20"/>
              </w:rPr>
            </w:pPr>
            <w:r w:rsidRPr="00C2587D">
              <w:rPr>
                <w:rFonts w:cs="Arial"/>
                <w:sz w:val="20"/>
                <w:szCs w:val="20"/>
              </w:rPr>
              <w:t>«Безпечна громада — стійка молодь»</w:t>
            </w:r>
          </w:p>
        </w:tc>
        <w:tc>
          <w:tcPr>
            <w:tcW w:w="1162" w:type="dxa"/>
            <w:shd w:val="clear" w:color="auto" w:fill="auto"/>
            <w:noWrap/>
            <w:vAlign w:val="center"/>
          </w:tcPr>
          <w:p w14:paraId="30D882FE" w14:textId="77777777" w:rsidR="00852B5B" w:rsidRPr="00C2587D" w:rsidRDefault="00852B5B" w:rsidP="00852B5B">
            <w:pPr>
              <w:jc w:val="center"/>
              <w:rPr>
                <w:rFonts w:cs="Arial"/>
                <w:color w:val="000000"/>
                <w:sz w:val="20"/>
                <w:szCs w:val="20"/>
                <w:lang w:eastAsia="it-IT"/>
              </w:rPr>
            </w:pPr>
          </w:p>
        </w:tc>
        <w:tc>
          <w:tcPr>
            <w:tcW w:w="1106" w:type="dxa"/>
            <w:shd w:val="clear" w:color="auto" w:fill="auto"/>
            <w:noWrap/>
            <w:vAlign w:val="center"/>
          </w:tcPr>
          <w:p w14:paraId="7D260CCE" w14:textId="144324C6" w:rsidR="00852B5B" w:rsidRPr="00C2587D" w:rsidRDefault="00852B5B" w:rsidP="00852B5B">
            <w:pPr>
              <w:jc w:val="center"/>
              <w:rPr>
                <w:rFonts w:cs="Arial"/>
                <w:color w:val="000000"/>
                <w:sz w:val="20"/>
                <w:szCs w:val="20"/>
                <w:lang w:eastAsia="it-IT"/>
              </w:rPr>
            </w:pPr>
            <w:r w:rsidRPr="00C2587D">
              <w:rPr>
                <w:rFonts w:cs="Arial"/>
                <w:color w:val="000000"/>
                <w:sz w:val="20"/>
                <w:szCs w:val="20"/>
                <w:lang w:eastAsia="it-IT"/>
              </w:rPr>
              <w:t>200,0</w:t>
            </w:r>
          </w:p>
        </w:tc>
        <w:tc>
          <w:tcPr>
            <w:tcW w:w="1106" w:type="dxa"/>
            <w:shd w:val="clear" w:color="auto" w:fill="auto"/>
            <w:noWrap/>
            <w:vAlign w:val="center"/>
          </w:tcPr>
          <w:p w14:paraId="37C6466E" w14:textId="6EE67A12" w:rsidR="00852B5B" w:rsidRPr="00C2587D" w:rsidRDefault="00852B5B" w:rsidP="00852B5B">
            <w:pPr>
              <w:jc w:val="center"/>
              <w:rPr>
                <w:rFonts w:cs="Arial"/>
                <w:color w:val="000000"/>
                <w:sz w:val="20"/>
                <w:szCs w:val="20"/>
                <w:lang w:eastAsia="it-IT"/>
              </w:rPr>
            </w:pPr>
            <w:r w:rsidRPr="00C2587D">
              <w:rPr>
                <w:rFonts w:cs="Arial"/>
                <w:color w:val="000000"/>
                <w:sz w:val="20"/>
                <w:szCs w:val="20"/>
                <w:lang w:eastAsia="it-IT"/>
              </w:rPr>
              <w:t>200,0</w:t>
            </w:r>
          </w:p>
        </w:tc>
        <w:tc>
          <w:tcPr>
            <w:tcW w:w="736" w:type="dxa"/>
            <w:shd w:val="clear" w:color="auto" w:fill="auto"/>
            <w:noWrap/>
            <w:vAlign w:val="center"/>
          </w:tcPr>
          <w:p w14:paraId="4C88ACB9" w14:textId="1AE602F2" w:rsidR="00852B5B" w:rsidRPr="00C2587D" w:rsidRDefault="00852B5B" w:rsidP="00852B5B">
            <w:pPr>
              <w:jc w:val="center"/>
              <w:rPr>
                <w:rFonts w:cs="Arial"/>
                <w:color w:val="000000"/>
                <w:sz w:val="20"/>
                <w:szCs w:val="20"/>
                <w:lang w:eastAsia="it-IT"/>
              </w:rPr>
            </w:pPr>
            <w:r w:rsidRPr="00C2587D">
              <w:rPr>
                <w:rFonts w:cs="Arial"/>
                <w:color w:val="000000"/>
                <w:sz w:val="20"/>
                <w:szCs w:val="20"/>
                <w:lang w:eastAsia="it-IT"/>
              </w:rPr>
              <w:t>200,0</w:t>
            </w:r>
          </w:p>
        </w:tc>
        <w:tc>
          <w:tcPr>
            <w:tcW w:w="1273" w:type="dxa"/>
            <w:vAlign w:val="center"/>
          </w:tcPr>
          <w:p w14:paraId="325708FA" w14:textId="050BC1E1" w:rsidR="00852B5B" w:rsidRPr="00C2587D" w:rsidRDefault="00852B5B" w:rsidP="00852B5B">
            <w:pPr>
              <w:jc w:val="center"/>
              <w:rPr>
                <w:rFonts w:cs="Arial"/>
                <w:b/>
                <w:color w:val="000000"/>
                <w:sz w:val="20"/>
                <w:szCs w:val="20"/>
                <w:lang w:eastAsia="it-IT"/>
              </w:rPr>
            </w:pPr>
            <w:r w:rsidRPr="00C2587D">
              <w:rPr>
                <w:rFonts w:cs="Arial"/>
                <w:b/>
                <w:color w:val="000000"/>
                <w:sz w:val="20"/>
                <w:szCs w:val="20"/>
                <w:lang w:eastAsia="it-IT"/>
              </w:rPr>
              <w:t>600,0</w:t>
            </w:r>
          </w:p>
        </w:tc>
      </w:tr>
      <w:tr w:rsidR="00852B5B" w:rsidRPr="00C2587D" w14:paraId="57521665" w14:textId="77777777" w:rsidTr="006478C2">
        <w:trPr>
          <w:trHeight w:val="416"/>
          <w:jc w:val="center"/>
        </w:trPr>
        <w:tc>
          <w:tcPr>
            <w:tcW w:w="562" w:type="dxa"/>
            <w:shd w:val="clear" w:color="auto" w:fill="auto"/>
            <w:noWrap/>
            <w:vAlign w:val="center"/>
          </w:tcPr>
          <w:p w14:paraId="35881B07" w14:textId="352ED9C4" w:rsidR="00852B5B" w:rsidRPr="00C2587D" w:rsidRDefault="00852B5B" w:rsidP="006478C2">
            <w:pPr>
              <w:rPr>
                <w:rFonts w:cs="Arial"/>
                <w:bCs/>
                <w:color w:val="000000"/>
                <w:sz w:val="20"/>
                <w:szCs w:val="20"/>
                <w:lang w:eastAsia="uk-UA"/>
              </w:rPr>
            </w:pPr>
            <w:r w:rsidRPr="00C2587D">
              <w:rPr>
                <w:rFonts w:cs="Arial"/>
                <w:bCs/>
                <w:color w:val="000000"/>
                <w:sz w:val="20"/>
                <w:szCs w:val="20"/>
                <w:lang w:eastAsia="uk-UA"/>
              </w:rPr>
              <w:t>4</w:t>
            </w:r>
            <w:r w:rsidR="00652A19" w:rsidRPr="00C2587D">
              <w:rPr>
                <w:rFonts w:cs="Arial"/>
                <w:bCs/>
                <w:color w:val="000000"/>
                <w:sz w:val="20"/>
                <w:szCs w:val="20"/>
                <w:lang w:eastAsia="uk-UA"/>
              </w:rPr>
              <w:t>5</w:t>
            </w:r>
            <w:r w:rsidRPr="00C2587D">
              <w:rPr>
                <w:rFonts w:cs="Arial"/>
                <w:bCs/>
                <w:color w:val="000000"/>
                <w:sz w:val="20"/>
                <w:szCs w:val="20"/>
                <w:lang w:eastAsia="uk-UA"/>
              </w:rPr>
              <w:t>.</w:t>
            </w:r>
          </w:p>
        </w:tc>
        <w:tc>
          <w:tcPr>
            <w:tcW w:w="4395" w:type="dxa"/>
            <w:shd w:val="clear" w:color="auto" w:fill="auto"/>
            <w:noWrap/>
            <w:vAlign w:val="center"/>
          </w:tcPr>
          <w:p w14:paraId="4181B143" w14:textId="46DE2907" w:rsidR="00852B5B" w:rsidRPr="00C2587D" w:rsidRDefault="00852B5B" w:rsidP="006478C2">
            <w:pPr>
              <w:spacing w:before="40" w:after="40"/>
              <w:jc w:val="both"/>
              <w:rPr>
                <w:rFonts w:cs="Arial"/>
                <w:color w:val="000000"/>
                <w:sz w:val="20"/>
                <w:szCs w:val="20"/>
              </w:rPr>
            </w:pPr>
            <w:r w:rsidRPr="00C2587D">
              <w:rPr>
                <w:rFonts w:cs="Arial"/>
                <w:sz w:val="20"/>
                <w:szCs w:val="20"/>
              </w:rPr>
              <w:t>«Здорове життя – здорова громада»</w:t>
            </w:r>
          </w:p>
        </w:tc>
        <w:tc>
          <w:tcPr>
            <w:tcW w:w="1162" w:type="dxa"/>
            <w:shd w:val="clear" w:color="auto" w:fill="auto"/>
            <w:noWrap/>
            <w:vAlign w:val="center"/>
          </w:tcPr>
          <w:p w14:paraId="277A2963" w14:textId="77777777" w:rsidR="00852B5B" w:rsidRPr="00C2587D" w:rsidRDefault="00852B5B" w:rsidP="00852B5B">
            <w:pPr>
              <w:jc w:val="center"/>
              <w:rPr>
                <w:rFonts w:cs="Arial"/>
                <w:color w:val="000000"/>
                <w:sz w:val="20"/>
                <w:szCs w:val="20"/>
                <w:lang w:eastAsia="it-IT"/>
              </w:rPr>
            </w:pPr>
          </w:p>
        </w:tc>
        <w:tc>
          <w:tcPr>
            <w:tcW w:w="1106" w:type="dxa"/>
            <w:shd w:val="clear" w:color="auto" w:fill="auto"/>
            <w:noWrap/>
            <w:vAlign w:val="center"/>
          </w:tcPr>
          <w:p w14:paraId="149290D6" w14:textId="133A58A0" w:rsidR="00852B5B" w:rsidRPr="00C2587D" w:rsidRDefault="00852B5B" w:rsidP="00852B5B">
            <w:pPr>
              <w:jc w:val="center"/>
              <w:rPr>
                <w:rFonts w:cs="Arial"/>
                <w:color w:val="000000"/>
                <w:sz w:val="20"/>
                <w:szCs w:val="20"/>
                <w:lang w:eastAsia="it-IT"/>
              </w:rPr>
            </w:pPr>
            <w:r w:rsidRPr="00C2587D">
              <w:rPr>
                <w:rFonts w:cs="Arial"/>
                <w:color w:val="000000"/>
                <w:sz w:val="20"/>
                <w:szCs w:val="20"/>
                <w:lang w:eastAsia="it-IT"/>
              </w:rPr>
              <w:t>100,0</w:t>
            </w:r>
          </w:p>
        </w:tc>
        <w:tc>
          <w:tcPr>
            <w:tcW w:w="1106" w:type="dxa"/>
            <w:shd w:val="clear" w:color="auto" w:fill="auto"/>
            <w:noWrap/>
            <w:vAlign w:val="center"/>
          </w:tcPr>
          <w:p w14:paraId="55CB1B5C" w14:textId="4066AAB2" w:rsidR="00852B5B" w:rsidRPr="00C2587D" w:rsidRDefault="00852B5B" w:rsidP="00852B5B">
            <w:pPr>
              <w:jc w:val="center"/>
              <w:rPr>
                <w:rFonts w:cs="Arial"/>
                <w:color w:val="000000"/>
                <w:sz w:val="20"/>
                <w:szCs w:val="20"/>
                <w:lang w:eastAsia="it-IT"/>
              </w:rPr>
            </w:pPr>
            <w:r w:rsidRPr="00C2587D">
              <w:rPr>
                <w:rFonts w:cs="Arial"/>
                <w:color w:val="000000"/>
                <w:sz w:val="20"/>
                <w:szCs w:val="20"/>
                <w:lang w:eastAsia="it-IT"/>
              </w:rPr>
              <w:t>100,0</w:t>
            </w:r>
          </w:p>
        </w:tc>
        <w:tc>
          <w:tcPr>
            <w:tcW w:w="736" w:type="dxa"/>
            <w:shd w:val="clear" w:color="auto" w:fill="auto"/>
            <w:noWrap/>
            <w:vAlign w:val="center"/>
          </w:tcPr>
          <w:p w14:paraId="6BE58C69" w14:textId="3DAF4DD3" w:rsidR="00852B5B" w:rsidRPr="00C2587D" w:rsidRDefault="00852B5B" w:rsidP="00852B5B">
            <w:pPr>
              <w:jc w:val="center"/>
              <w:rPr>
                <w:rFonts w:cs="Arial"/>
                <w:color w:val="000000"/>
                <w:sz w:val="20"/>
                <w:szCs w:val="20"/>
                <w:lang w:eastAsia="it-IT"/>
              </w:rPr>
            </w:pPr>
            <w:r w:rsidRPr="00C2587D">
              <w:rPr>
                <w:rFonts w:cs="Arial"/>
                <w:color w:val="000000"/>
                <w:sz w:val="20"/>
                <w:szCs w:val="20"/>
                <w:lang w:eastAsia="it-IT"/>
              </w:rPr>
              <w:t>100,0</w:t>
            </w:r>
          </w:p>
        </w:tc>
        <w:tc>
          <w:tcPr>
            <w:tcW w:w="1273" w:type="dxa"/>
            <w:vAlign w:val="center"/>
          </w:tcPr>
          <w:p w14:paraId="604878E0" w14:textId="0949655B" w:rsidR="00852B5B" w:rsidRPr="00C2587D" w:rsidRDefault="00852B5B" w:rsidP="00852B5B">
            <w:pPr>
              <w:jc w:val="center"/>
              <w:rPr>
                <w:rFonts w:cs="Arial"/>
                <w:b/>
                <w:color w:val="000000"/>
                <w:sz w:val="20"/>
                <w:szCs w:val="20"/>
                <w:lang w:eastAsia="it-IT"/>
              </w:rPr>
            </w:pPr>
            <w:r w:rsidRPr="00C2587D">
              <w:rPr>
                <w:rFonts w:cs="Arial"/>
                <w:b/>
                <w:color w:val="000000"/>
                <w:sz w:val="20"/>
                <w:szCs w:val="20"/>
                <w:lang w:eastAsia="it-IT"/>
              </w:rPr>
              <w:t>300,0</w:t>
            </w:r>
          </w:p>
        </w:tc>
      </w:tr>
      <w:tr w:rsidR="002C0ED7" w:rsidRPr="00C2587D" w14:paraId="581EA50A" w14:textId="77777777" w:rsidTr="006478C2">
        <w:trPr>
          <w:trHeight w:val="550"/>
          <w:jc w:val="center"/>
        </w:trPr>
        <w:tc>
          <w:tcPr>
            <w:tcW w:w="562" w:type="dxa"/>
            <w:shd w:val="clear" w:color="auto" w:fill="auto"/>
            <w:noWrap/>
            <w:vAlign w:val="center"/>
          </w:tcPr>
          <w:p w14:paraId="223C448B" w14:textId="7A7CE8D3" w:rsidR="002C0ED7" w:rsidRPr="00C2587D" w:rsidRDefault="00652A19" w:rsidP="006478C2">
            <w:pPr>
              <w:rPr>
                <w:rFonts w:cs="Arial"/>
                <w:bCs/>
                <w:color w:val="000000"/>
                <w:sz w:val="20"/>
                <w:szCs w:val="20"/>
                <w:lang w:eastAsia="uk-UA"/>
              </w:rPr>
            </w:pPr>
            <w:r w:rsidRPr="00C2587D">
              <w:rPr>
                <w:rFonts w:cs="Arial"/>
                <w:bCs/>
                <w:color w:val="000000"/>
                <w:sz w:val="20"/>
                <w:szCs w:val="20"/>
                <w:lang w:eastAsia="uk-UA"/>
              </w:rPr>
              <w:t>46</w:t>
            </w:r>
            <w:r w:rsidR="002C0ED7" w:rsidRPr="00C2587D">
              <w:rPr>
                <w:rFonts w:cs="Arial"/>
                <w:bCs/>
                <w:color w:val="000000"/>
                <w:sz w:val="20"/>
                <w:szCs w:val="20"/>
                <w:lang w:eastAsia="uk-UA"/>
              </w:rPr>
              <w:t>.</w:t>
            </w:r>
          </w:p>
        </w:tc>
        <w:tc>
          <w:tcPr>
            <w:tcW w:w="4395" w:type="dxa"/>
            <w:shd w:val="clear" w:color="auto" w:fill="auto"/>
            <w:noWrap/>
            <w:vAlign w:val="center"/>
          </w:tcPr>
          <w:p w14:paraId="7D1E4483" w14:textId="53D8BDD2" w:rsidR="002C0ED7" w:rsidRPr="00C2587D" w:rsidRDefault="002C0ED7" w:rsidP="006478C2">
            <w:pPr>
              <w:spacing w:before="40" w:after="40"/>
              <w:jc w:val="both"/>
              <w:rPr>
                <w:rFonts w:cs="Arial"/>
                <w:color w:val="000000"/>
                <w:sz w:val="20"/>
                <w:szCs w:val="20"/>
              </w:rPr>
            </w:pPr>
            <w:r w:rsidRPr="00C2587D">
              <w:rPr>
                <w:rFonts w:cs="Arial"/>
                <w:sz w:val="20"/>
                <w:szCs w:val="20"/>
              </w:rPr>
              <w:t>«Молодь в дії: інтеграція, розвиток, участь»</w:t>
            </w:r>
          </w:p>
        </w:tc>
        <w:tc>
          <w:tcPr>
            <w:tcW w:w="1162" w:type="dxa"/>
            <w:shd w:val="clear" w:color="auto" w:fill="auto"/>
            <w:noWrap/>
            <w:vAlign w:val="center"/>
          </w:tcPr>
          <w:p w14:paraId="0D374264" w14:textId="77777777" w:rsidR="002C0ED7" w:rsidRPr="00C2587D" w:rsidRDefault="002C0ED7" w:rsidP="002C0ED7">
            <w:pPr>
              <w:jc w:val="center"/>
              <w:rPr>
                <w:rFonts w:cs="Arial"/>
                <w:color w:val="000000"/>
                <w:sz w:val="20"/>
                <w:szCs w:val="20"/>
                <w:lang w:eastAsia="it-IT"/>
              </w:rPr>
            </w:pPr>
          </w:p>
        </w:tc>
        <w:tc>
          <w:tcPr>
            <w:tcW w:w="1106" w:type="dxa"/>
            <w:shd w:val="clear" w:color="auto" w:fill="auto"/>
            <w:noWrap/>
            <w:vAlign w:val="center"/>
          </w:tcPr>
          <w:p w14:paraId="1BFA9FEA" w14:textId="5FC21565" w:rsidR="002C0ED7" w:rsidRPr="00C2587D" w:rsidRDefault="00852B5B" w:rsidP="002C0ED7">
            <w:pPr>
              <w:jc w:val="center"/>
              <w:rPr>
                <w:rFonts w:cs="Arial"/>
                <w:color w:val="000000"/>
                <w:sz w:val="20"/>
                <w:szCs w:val="20"/>
                <w:lang w:eastAsia="it-IT"/>
              </w:rPr>
            </w:pPr>
            <w:r w:rsidRPr="00C2587D">
              <w:rPr>
                <w:rFonts w:cs="Arial"/>
                <w:color w:val="000000"/>
                <w:sz w:val="20"/>
                <w:szCs w:val="20"/>
                <w:lang w:eastAsia="it-IT"/>
              </w:rPr>
              <w:t>120,0</w:t>
            </w:r>
          </w:p>
        </w:tc>
        <w:tc>
          <w:tcPr>
            <w:tcW w:w="1106" w:type="dxa"/>
            <w:shd w:val="clear" w:color="auto" w:fill="auto"/>
            <w:noWrap/>
            <w:vAlign w:val="center"/>
          </w:tcPr>
          <w:p w14:paraId="78D5A693" w14:textId="33BBAC84" w:rsidR="002C0ED7" w:rsidRPr="00C2587D" w:rsidRDefault="00852B5B" w:rsidP="002C0ED7">
            <w:pPr>
              <w:jc w:val="center"/>
              <w:rPr>
                <w:rFonts w:cs="Arial"/>
                <w:color w:val="000000"/>
                <w:sz w:val="20"/>
                <w:szCs w:val="20"/>
                <w:lang w:eastAsia="it-IT"/>
              </w:rPr>
            </w:pPr>
            <w:r w:rsidRPr="00C2587D">
              <w:rPr>
                <w:rFonts w:cs="Arial"/>
                <w:color w:val="000000"/>
                <w:sz w:val="20"/>
                <w:szCs w:val="20"/>
                <w:lang w:eastAsia="it-IT"/>
              </w:rPr>
              <w:t>120,0</w:t>
            </w:r>
          </w:p>
        </w:tc>
        <w:tc>
          <w:tcPr>
            <w:tcW w:w="736" w:type="dxa"/>
            <w:shd w:val="clear" w:color="auto" w:fill="auto"/>
            <w:noWrap/>
            <w:vAlign w:val="center"/>
          </w:tcPr>
          <w:p w14:paraId="37645C0D" w14:textId="41D62237" w:rsidR="002C0ED7" w:rsidRPr="00C2587D" w:rsidRDefault="00852B5B" w:rsidP="002C0ED7">
            <w:pPr>
              <w:jc w:val="center"/>
              <w:rPr>
                <w:rFonts w:cs="Arial"/>
                <w:color w:val="000000"/>
                <w:sz w:val="20"/>
                <w:szCs w:val="20"/>
                <w:lang w:eastAsia="it-IT"/>
              </w:rPr>
            </w:pPr>
            <w:r w:rsidRPr="00C2587D">
              <w:rPr>
                <w:rFonts w:cs="Arial"/>
                <w:color w:val="000000"/>
                <w:sz w:val="20"/>
                <w:szCs w:val="20"/>
                <w:lang w:eastAsia="it-IT"/>
              </w:rPr>
              <w:t>120,0</w:t>
            </w:r>
          </w:p>
        </w:tc>
        <w:tc>
          <w:tcPr>
            <w:tcW w:w="1273" w:type="dxa"/>
            <w:vAlign w:val="center"/>
          </w:tcPr>
          <w:p w14:paraId="202C21F0" w14:textId="4EEB5ECA" w:rsidR="002C0ED7" w:rsidRPr="00C2587D" w:rsidRDefault="00852B5B" w:rsidP="002C0ED7">
            <w:pPr>
              <w:jc w:val="center"/>
              <w:rPr>
                <w:rFonts w:cs="Arial"/>
                <w:b/>
                <w:color w:val="000000"/>
                <w:sz w:val="20"/>
                <w:szCs w:val="20"/>
                <w:lang w:eastAsia="it-IT"/>
              </w:rPr>
            </w:pPr>
            <w:r w:rsidRPr="00C2587D">
              <w:rPr>
                <w:rFonts w:cs="Arial"/>
                <w:b/>
                <w:color w:val="000000"/>
                <w:sz w:val="20"/>
                <w:szCs w:val="20"/>
                <w:lang w:eastAsia="it-IT"/>
              </w:rPr>
              <w:t>360,0</w:t>
            </w:r>
          </w:p>
        </w:tc>
      </w:tr>
      <w:tr w:rsidR="00211FF4" w:rsidRPr="00C2587D" w14:paraId="312835A4" w14:textId="77777777" w:rsidTr="006478C2">
        <w:trPr>
          <w:trHeight w:val="368"/>
          <w:jc w:val="center"/>
        </w:trPr>
        <w:tc>
          <w:tcPr>
            <w:tcW w:w="562" w:type="dxa"/>
            <w:shd w:val="clear" w:color="auto" w:fill="auto"/>
            <w:noWrap/>
            <w:vAlign w:val="center"/>
          </w:tcPr>
          <w:p w14:paraId="72FA88A4" w14:textId="77777777" w:rsidR="00211FF4" w:rsidRPr="00785E55" w:rsidRDefault="00211FF4" w:rsidP="006478C2">
            <w:pPr>
              <w:rPr>
                <w:rFonts w:cs="Arial"/>
                <w:bCs/>
                <w:color w:val="000000"/>
                <w:sz w:val="20"/>
                <w:szCs w:val="20"/>
                <w:lang w:eastAsia="uk-UA"/>
              </w:rPr>
            </w:pPr>
          </w:p>
        </w:tc>
        <w:tc>
          <w:tcPr>
            <w:tcW w:w="4395" w:type="dxa"/>
            <w:shd w:val="clear" w:color="auto" w:fill="auto"/>
            <w:noWrap/>
            <w:vAlign w:val="center"/>
          </w:tcPr>
          <w:p w14:paraId="1058F125" w14:textId="3BEE0645" w:rsidR="00211FF4" w:rsidRPr="00211FF4" w:rsidRDefault="00211FF4" w:rsidP="006478C2">
            <w:pPr>
              <w:jc w:val="both"/>
              <w:rPr>
                <w:rFonts w:cs="Arial"/>
                <w:b/>
                <w:bCs/>
                <w:sz w:val="20"/>
                <w:szCs w:val="20"/>
                <w:lang w:eastAsia="uk-UA"/>
              </w:rPr>
            </w:pPr>
            <w:r w:rsidRPr="00211FF4">
              <w:rPr>
                <w:rFonts w:cs="Arial"/>
                <w:b/>
                <w:bCs/>
                <w:sz w:val="20"/>
                <w:szCs w:val="20"/>
                <w:lang w:eastAsia="uk-UA"/>
              </w:rPr>
              <w:t>Всього по С.3. Забезпечення можливостей для активного відпочинку  та змістовного дозвілля мешканців громади</w:t>
            </w:r>
          </w:p>
        </w:tc>
        <w:tc>
          <w:tcPr>
            <w:tcW w:w="1162" w:type="dxa"/>
            <w:shd w:val="clear" w:color="auto" w:fill="auto"/>
            <w:noWrap/>
            <w:vAlign w:val="center"/>
          </w:tcPr>
          <w:p w14:paraId="3F27CBC5" w14:textId="504D5388" w:rsidR="00211FF4" w:rsidRDefault="00211FF4" w:rsidP="00211FF4">
            <w:pPr>
              <w:jc w:val="center"/>
              <w:rPr>
                <w:rFonts w:cs="Arial"/>
                <w:b/>
                <w:bCs/>
                <w:sz w:val="20"/>
                <w:szCs w:val="20"/>
                <w:lang w:eastAsia="uk-UA"/>
              </w:rPr>
            </w:pPr>
            <w:r>
              <w:rPr>
                <w:rFonts w:cs="Arial"/>
                <w:b/>
                <w:bCs/>
                <w:sz w:val="20"/>
                <w:szCs w:val="20"/>
                <w:lang w:eastAsia="uk-UA"/>
              </w:rPr>
              <w:t>3 674,0</w:t>
            </w:r>
          </w:p>
        </w:tc>
        <w:tc>
          <w:tcPr>
            <w:tcW w:w="1106" w:type="dxa"/>
            <w:shd w:val="clear" w:color="auto" w:fill="auto"/>
            <w:noWrap/>
            <w:vAlign w:val="center"/>
          </w:tcPr>
          <w:p w14:paraId="74C1084C" w14:textId="1C92123E" w:rsidR="00211FF4" w:rsidRDefault="00211FF4" w:rsidP="00211FF4">
            <w:pPr>
              <w:jc w:val="center"/>
              <w:rPr>
                <w:rFonts w:cs="Arial"/>
                <w:b/>
                <w:bCs/>
                <w:sz w:val="20"/>
                <w:szCs w:val="20"/>
                <w:lang w:eastAsia="uk-UA"/>
              </w:rPr>
            </w:pPr>
            <w:r>
              <w:rPr>
                <w:rFonts w:cs="Arial"/>
                <w:b/>
                <w:bCs/>
                <w:sz w:val="20"/>
                <w:szCs w:val="20"/>
                <w:lang w:eastAsia="uk-UA"/>
              </w:rPr>
              <w:t>160 336,0</w:t>
            </w:r>
          </w:p>
        </w:tc>
        <w:tc>
          <w:tcPr>
            <w:tcW w:w="1106" w:type="dxa"/>
            <w:shd w:val="clear" w:color="auto" w:fill="auto"/>
            <w:noWrap/>
            <w:vAlign w:val="center"/>
          </w:tcPr>
          <w:p w14:paraId="2C68539B" w14:textId="060B34C3" w:rsidR="00211FF4" w:rsidRDefault="00211FF4" w:rsidP="00211FF4">
            <w:pPr>
              <w:jc w:val="center"/>
              <w:rPr>
                <w:rFonts w:cs="Arial"/>
                <w:b/>
                <w:bCs/>
                <w:sz w:val="20"/>
                <w:szCs w:val="20"/>
                <w:lang w:eastAsia="uk-UA"/>
              </w:rPr>
            </w:pPr>
            <w:r>
              <w:rPr>
                <w:rFonts w:cs="Arial"/>
                <w:b/>
                <w:bCs/>
                <w:sz w:val="20"/>
                <w:szCs w:val="20"/>
                <w:lang w:eastAsia="uk-UA"/>
              </w:rPr>
              <w:t>280 526,0</w:t>
            </w:r>
          </w:p>
        </w:tc>
        <w:tc>
          <w:tcPr>
            <w:tcW w:w="736" w:type="dxa"/>
            <w:shd w:val="clear" w:color="auto" w:fill="auto"/>
            <w:noWrap/>
            <w:vAlign w:val="center"/>
          </w:tcPr>
          <w:p w14:paraId="395C2EDC" w14:textId="76F3E272" w:rsidR="00211FF4" w:rsidRDefault="00211FF4" w:rsidP="00211FF4">
            <w:pPr>
              <w:jc w:val="center"/>
              <w:rPr>
                <w:rFonts w:cs="Arial"/>
                <w:b/>
                <w:bCs/>
                <w:sz w:val="20"/>
                <w:szCs w:val="20"/>
                <w:lang w:eastAsia="uk-UA"/>
              </w:rPr>
            </w:pPr>
            <w:r>
              <w:rPr>
                <w:rFonts w:cs="Arial"/>
                <w:b/>
                <w:bCs/>
                <w:sz w:val="20"/>
                <w:szCs w:val="20"/>
                <w:lang w:eastAsia="uk-UA"/>
              </w:rPr>
              <w:t>212 662,0</w:t>
            </w:r>
          </w:p>
        </w:tc>
        <w:tc>
          <w:tcPr>
            <w:tcW w:w="1273" w:type="dxa"/>
            <w:shd w:val="clear" w:color="auto" w:fill="auto"/>
            <w:vAlign w:val="center"/>
          </w:tcPr>
          <w:p w14:paraId="207E87B0" w14:textId="054325CE" w:rsidR="00211FF4" w:rsidRDefault="00211FF4" w:rsidP="00211FF4">
            <w:pPr>
              <w:jc w:val="center"/>
              <w:rPr>
                <w:rFonts w:cs="Arial"/>
                <w:b/>
                <w:bCs/>
                <w:sz w:val="20"/>
                <w:szCs w:val="20"/>
                <w:lang w:eastAsia="uk-UA"/>
              </w:rPr>
            </w:pPr>
            <w:r>
              <w:rPr>
                <w:rFonts w:cs="Arial"/>
                <w:b/>
                <w:bCs/>
                <w:sz w:val="20"/>
                <w:szCs w:val="20"/>
                <w:lang w:eastAsia="uk-UA"/>
              </w:rPr>
              <w:t>657 198,0</w:t>
            </w:r>
          </w:p>
        </w:tc>
      </w:tr>
      <w:tr w:rsidR="00211FF4" w:rsidRPr="00987B8D" w14:paraId="209EEC46" w14:textId="77777777" w:rsidTr="004B3BEE">
        <w:trPr>
          <w:jc w:val="center"/>
        </w:trPr>
        <w:tc>
          <w:tcPr>
            <w:tcW w:w="10347" w:type="dxa"/>
            <w:gridSpan w:val="7"/>
            <w:shd w:val="clear" w:color="auto" w:fill="auto"/>
            <w:noWrap/>
            <w:vAlign w:val="center"/>
          </w:tcPr>
          <w:p w14:paraId="5C0400C8" w14:textId="77777777" w:rsidR="00211FF4" w:rsidRPr="00987B8D" w:rsidRDefault="00211FF4" w:rsidP="00211FF4">
            <w:pPr>
              <w:rPr>
                <w:rFonts w:cs="Arial"/>
                <w:b/>
                <w:bCs/>
                <w:i/>
                <w:iCs/>
                <w:sz w:val="20"/>
                <w:szCs w:val="20"/>
                <w:lang w:eastAsia="uk-UA"/>
              </w:rPr>
            </w:pPr>
            <w:r w:rsidRPr="00987B8D">
              <w:rPr>
                <w:rFonts w:cs="Arial"/>
                <w:b/>
                <w:bCs/>
                <w:i/>
                <w:iCs/>
                <w:sz w:val="20"/>
                <w:szCs w:val="20"/>
                <w:lang w:eastAsia="uk-UA"/>
              </w:rPr>
              <w:lastRenderedPageBreak/>
              <w:t>Стратегічна ціль С.4. Забезпечення високих стандартів надання якісних адміністративних та соціальних послуг</w:t>
            </w:r>
          </w:p>
        </w:tc>
      </w:tr>
      <w:tr w:rsidR="00211FF4" w:rsidRPr="00C2587D" w14:paraId="42D068F4" w14:textId="77777777" w:rsidTr="006478C2">
        <w:trPr>
          <w:jc w:val="center"/>
        </w:trPr>
        <w:tc>
          <w:tcPr>
            <w:tcW w:w="562" w:type="dxa"/>
            <w:shd w:val="clear" w:color="auto" w:fill="auto"/>
            <w:noWrap/>
            <w:vAlign w:val="center"/>
          </w:tcPr>
          <w:p w14:paraId="0BDAF753" w14:textId="77777777" w:rsidR="00211FF4" w:rsidRPr="00C2587D" w:rsidRDefault="00211FF4" w:rsidP="006478C2">
            <w:pPr>
              <w:rPr>
                <w:rFonts w:cs="Arial"/>
                <w:bCs/>
                <w:color w:val="000000"/>
                <w:sz w:val="20"/>
                <w:szCs w:val="20"/>
                <w:lang w:eastAsia="uk-UA"/>
              </w:rPr>
            </w:pPr>
            <w:r w:rsidRPr="00C2587D">
              <w:rPr>
                <w:rFonts w:cs="Arial"/>
                <w:bCs/>
                <w:color w:val="000000"/>
                <w:sz w:val="20"/>
                <w:szCs w:val="20"/>
                <w:lang w:eastAsia="uk-UA"/>
              </w:rPr>
              <w:t>1.</w:t>
            </w:r>
          </w:p>
        </w:tc>
        <w:tc>
          <w:tcPr>
            <w:tcW w:w="4395" w:type="dxa"/>
            <w:shd w:val="clear" w:color="auto" w:fill="auto"/>
            <w:noWrap/>
            <w:vAlign w:val="center"/>
          </w:tcPr>
          <w:p w14:paraId="6A4EDFF9" w14:textId="49117537" w:rsidR="00211FF4" w:rsidRPr="004526CB" w:rsidRDefault="00211FF4" w:rsidP="00211FF4">
            <w:pPr>
              <w:jc w:val="both"/>
              <w:rPr>
                <w:rFonts w:cs="Arial"/>
                <w:bCs/>
                <w:color w:val="FF0000"/>
                <w:sz w:val="20"/>
                <w:szCs w:val="20"/>
                <w:lang w:eastAsia="uk-UA"/>
              </w:rPr>
            </w:pPr>
            <w:r w:rsidRPr="004526CB">
              <w:rPr>
                <w:rFonts w:cs="Arial"/>
                <w:bCs/>
                <w:color w:val="000000" w:themeColor="text1"/>
                <w:sz w:val="20"/>
                <w:szCs w:val="20"/>
                <w:lang w:eastAsia="uk-UA"/>
              </w:rPr>
              <w:t>Адміністративні послуги – доступні та комфортні</w:t>
            </w:r>
          </w:p>
        </w:tc>
        <w:tc>
          <w:tcPr>
            <w:tcW w:w="1162" w:type="dxa"/>
            <w:noWrap/>
            <w:vAlign w:val="center"/>
          </w:tcPr>
          <w:p w14:paraId="6EF355D4" w14:textId="29DCDDB1" w:rsidR="00211FF4" w:rsidRPr="004526CB" w:rsidRDefault="00211FF4" w:rsidP="00211FF4">
            <w:pPr>
              <w:jc w:val="center"/>
              <w:rPr>
                <w:rFonts w:cs="Arial"/>
                <w:sz w:val="20"/>
                <w:szCs w:val="20"/>
                <w:lang w:eastAsia="it-IT"/>
              </w:rPr>
            </w:pPr>
            <w:r w:rsidRPr="004526CB">
              <w:rPr>
                <w:color w:val="000000"/>
                <w:sz w:val="20"/>
                <w:szCs w:val="20"/>
                <w:lang w:eastAsia="it-IT"/>
              </w:rPr>
              <w:t>2003</w:t>
            </w:r>
          </w:p>
        </w:tc>
        <w:tc>
          <w:tcPr>
            <w:tcW w:w="1106" w:type="dxa"/>
            <w:shd w:val="clear" w:color="auto" w:fill="FFFFFF"/>
            <w:noWrap/>
            <w:vAlign w:val="center"/>
          </w:tcPr>
          <w:p w14:paraId="0830A852" w14:textId="19319BF5" w:rsidR="00211FF4" w:rsidRPr="004526CB" w:rsidRDefault="00211FF4" w:rsidP="00211FF4">
            <w:pPr>
              <w:jc w:val="center"/>
              <w:rPr>
                <w:rFonts w:cs="Arial"/>
                <w:sz w:val="20"/>
                <w:szCs w:val="20"/>
                <w:lang w:eastAsia="it-IT"/>
              </w:rPr>
            </w:pPr>
            <w:r w:rsidRPr="004526CB">
              <w:rPr>
                <w:color w:val="000000"/>
                <w:sz w:val="20"/>
                <w:szCs w:val="20"/>
                <w:lang w:eastAsia="it-IT"/>
              </w:rPr>
              <w:t>1980</w:t>
            </w:r>
          </w:p>
        </w:tc>
        <w:tc>
          <w:tcPr>
            <w:tcW w:w="1106" w:type="dxa"/>
            <w:shd w:val="clear" w:color="auto" w:fill="auto"/>
            <w:noWrap/>
            <w:vAlign w:val="center"/>
          </w:tcPr>
          <w:p w14:paraId="4DB60078" w14:textId="1F38B283" w:rsidR="00211FF4" w:rsidRPr="004526CB" w:rsidRDefault="00211FF4" w:rsidP="00211FF4">
            <w:pPr>
              <w:jc w:val="center"/>
              <w:rPr>
                <w:rFonts w:cs="Arial"/>
                <w:sz w:val="20"/>
                <w:szCs w:val="20"/>
                <w:lang w:eastAsia="it-IT"/>
              </w:rPr>
            </w:pPr>
            <w:r w:rsidRPr="004526CB">
              <w:rPr>
                <w:color w:val="000000"/>
                <w:sz w:val="20"/>
                <w:szCs w:val="20"/>
                <w:lang w:eastAsia="it-IT"/>
              </w:rPr>
              <w:t>740</w:t>
            </w:r>
          </w:p>
        </w:tc>
        <w:tc>
          <w:tcPr>
            <w:tcW w:w="736" w:type="dxa"/>
            <w:shd w:val="clear" w:color="auto" w:fill="FFFFFF"/>
            <w:noWrap/>
            <w:vAlign w:val="center"/>
          </w:tcPr>
          <w:p w14:paraId="5A3CDBA7" w14:textId="56820A05" w:rsidR="00211FF4" w:rsidRPr="004526CB" w:rsidRDefault="00211FF4" w:rsidP="00211FF4">
            <w:pPr>
              <w:jc w:val="center"/>
              <w:rPr>
                <w:rFonts w:cs="Arial"/>
                <w:sz w:val="20"/>
                <w:szCs w:val="20"/>
                <w:lang w:eastAsia="it-IT"/>
              </w:rPr>
            </w:pPr>
          </w:p>
        </w:tc>
        <w:tc>
          <w:tcPr>
            <w:tcW w:w="1273" w:type="dxa"/>
            <w:shd w:val="clear" w:color="auto" w:fill="FFFFFF"/>
            <w:vAlign w:val="center"/>
          </w:tcPr>
          <w:p w14:paraId="6BC36A42" w14:textId="5D252162" w:rsidR="00211FF4" w:rsidRPr="004526CB" w:rsidRDefault="00211FF4" w:rsidP="00211FF4">
            <w:pPr>
              <w:jc w:val="center"/>
              <w:rPr>
                <w:rFonts w:cs="Arial"/>
                <w:b/>
                <w:sz w:val="20"/>
                <w:szCs w:val="20"/>
                <w:lang w:eastAsia="it-IT"/>
              </w:rPr>
            </w:pPr>
            <w:r w:rsidRPr="004526CB">
              <w:rPr>
                <w:b/>
                <w:color w:val="000000"/>
                <w:sz w:val="20"/>
                <w:szCs w:val="20"/>
                <w:lang w:eastAsia="it-IT"/>
              </w:rPr>
              <w:t>4 723</w:t>
            </w:r>
          </w:p>
        </w:tc>
      </w:tr>
      <w:tr w:rsidR="00211FF4" w:rsidRPr="00C2587D" w14:paraId="66BD0DDF" w14:textId="77777777" w:rsidTr="006478C2">
        <w:trPr>
          <w:jc w:val="center"/>
        </w:trPr>
        <w:tc>
          <w:tcPr>
            <w:tcW w:w="562" w:type="dxa"/>
            <w:shd w:val="clear" w:color="auto" w:fill="auto"/>
            <w:noWrap/>
            <w:vAlign w:val="center"/>
          </w:tcPr>
          <w:p w14:paraId="50571F99" w14:textId="77777777" w:rsidR="00211FF4" w:rsidRPr="00C2587D" w:rsidRDefault="00211FF4" w:rsidP="006478C2">
            <w:pPr>
              <w:rPr>
                <w:rFonts w:cs="Arial"/>
                <w:bCs/>
                <w:color w:val="000000"/>
                <w:sz w:val="20"/>
                <w:szCs w:val="20"/>
                <w:lang w:eastAsia="uk-UA"/>
              </w:rPr>
            </w:pPr>
            <w:r w:rsidRPr="00C2587D">
              <w:rPr>
                <w:rFonts w:cs="Arial"/>
                <w:bCs/>
                <w:color w:val="000000"/>
                <w:sz w:val="20"/>
                <w:szCs w:val="20"/>
                <w:lang w:eastAsia="uk-UA"/>
              </w:rPr>
              <w:t>2.</w:t>
            </w:r>
          </w:p>
        </w:tc>
        <w:tc>
          <w:tcPr>
            <w:tcW w:w="4395" w:type="dxa"/>
            <w:shd w:val="clear" w:color="auto" w:fill="auto"/>
            <w:noWrap/>
            <w:vAlign w:val="center"/>
          </w:tcPr>
          <w:p w14:paraId="39640AF2" w14:textId="5E887739" w:rsidR="00211FF4" w:rsidRPr="004526CB" w:rsidRDefault="00211FF4" w:rsidP="00211FF4">
            <w:pPr>
              <w:jc w:val="both"/>
              <w:rPr>
                <w:rFonts w:cs="Arial"/>
                <w:sz w:val="20"/>
                <w:szCs w:val="20"/>
                <w:lang w:eastAsia="it-IT"/>
              </w:rPr>
            </w:pPr>
            <w:r w:rsidRPr="004526CB">
              <w:rPr>
                <w:rFonts w:cs="Arial"/>
                <w:sz w:val="20"/>
                <w:szCs w:val="20"/>
                <w:lang w:eastAsia="it-IT"/>
              </w:rPr>
              <w:t>Вчасне забезпечення дітей-сиріт та дітей, позбавлених батьківського піклування власним житлом.</w:t>
            </w:r>
          </w:p>
        </w:tc>
        <w:tc>
          <w:tcPr>
            <w:tcW w:w="1162" w:type="dxa"/>
            <w:noWrap/>
            <w:vAlign w:val="center"/>
          </w:tcPr>
          <w:p w14:paraId="4E04C200" w14:textId="08F9E6FE" w:rsidR="00211FF4" w:rsidRPr="004526CB" w:rsidRDefault="00211FF4" w:rsidP="00211FF4">
            <w:pPr>
              <w:jc w:val="center"/>
              <w:rPr>
                <w:rFonts w:cs="Arial"/>
                <w:sz w:val="20"/>
                <w:szCs w:val="20"/>
                <w:lang w:eastAsia="it-IT"/>
              </w:rPr>
            </w:pPr>
            <w:r w:rsidRPr="004526CB">
              <w:rPr>
                <w:rFonts w:cs="Arial"/>
                <w:color w:val="000000"/>
                <w:sz w:val="20"/>
                <w:szCs w:val="20"/>
                <w:lang w:eastAsia="it-IT"/>
              </w:rPr>
              <w:t>726,2</w:t>
            </w:r>
          </w:p>
        </w:tc>
        <w:tc>
          <w:tcPr>
            <w:tcW w:w="1106" w:type="dxa"/>
            <w:shd w:val="clear" w:color="auto" w:fill="FFFFFF"/>
            <w:noWrap/>
            <w:vAlign w:val="center"/>
          </w:tcPr>
          <w:p w14:paraId="27935CE8" w14:textId="761483DE" w:rsidR="00211FF4" w:rsidRPr="004526CB" w:rsidRDefault="00211FF4" w:rsidP="00211FF4">
            <w:pPr>
              <w:jc w:val="center"/>
              <w:rPr>
                <w:rFonts w:cs="Arial"/>
                <w:sz w:val="20"/>
                <w:szCs w:val="20"/>
                <w:lang w:eastAsia="it-IT"/>
              </w:rPr>
            </w:pPr>
            <w:r w:rsidRPr="004526CB">
              <w:rPr>
                <w:rFonts w:cs="Arial"/>
                <w:color w:val="000000"/>
                <w:sz w:val="20"/>
                <w:szCs w:val="20"/>
                <w:lang w:eastAsia="it-IT"/>
              </w:rPr>
              <w:t>816,2</w:t>
            </w:r>
          </w:p>
        </w:tc>
        <w:tc>
          <w:tcPr>
            <w:tcW w:w="1106" w:type="dxa"/>
            <w:shd w:val="clear" w:color="auto" w:fill="auto"/>
            <w:noWrap/>
            <w:vAlign w:val="center"/>
          </w:tcPr>
          <w:p w14:paraId="5B600121" w14:textId="0C13D2DD" w:rsidR="00211FF4" w:rsidRPr="004526CB" w:rsidRDefault="00211FF4" w:rsidP="00211FF4">
            <w:pPr>
              <w:jc w:val="center"/>
              <w:rPr>
                <w:rFonts w:cs="Arial"/>
                <w:sz w:val="20"/>
                <w:szCs w:val="20"/>
                <w:lang w:eastAsia="it-IT"/>
              </w:rPr>
            </w:pPr>
            <w:r w:rsidRPr="004526CB">
              <w:rPr>
                <w:rFonts w:cs="Arial"/>
                <w:color w:val="000000"/>
                <w:sz w:val="20"/>
                <w:szCs w:val="20"/>
                <w:lang w:eastAsia="it-IT"/>
              </w:rPr>
              <w:t>879,8</w:t>
            </w:r>
          </w:p>
        </w:tc>
        <w:tc>
          <w:tcPr>
            <w:tcW w:w="736" w:type="dxa"/>
            <w:shd w:val="clear" w:color="auto" w:fill="FFFFFF"/>
            <w:noWrap/>
            <w:vAlign w:val="center"/>
          </w:tcPr>
          <w:p w14:paraId="0D182875" w14:textId="6F8D1B75" w:rsidR="00211FF4" w:rsidRPr="004526CB" w:rsidRDefault="00211FF4" w:rsidP="00211FF4">
            <w:pPr>
              <w:jc w:val="center"/>
              <w:rPr>
                <w:rFonts w:cs="Arial"/>
                <w:sz w:val="20"/>
                <w:szCs w:val="20"/>
                <w:lang w:eastAsia="it-IT"/>
              </w:rPr>
            </w:pPr>
            <w:r w:rsidRPr="004526CB">
              <w:rPr>
                <w:rFonts w:cs="Arial"/>
                <w:color w:val="000000"/>
                <w:sz w:val="20"/>
                <w:szCs w:val="20"/>
                <w:lang w:eastAsia="it-IT"/>
              </w:rPr>
              <w:t>879,8</w:t>
            </w:r>
          </w:p>
        </w:tc>
        <w:tc>
          <w:tcPr>
            <w:tcW w:w="1273" w:type="dxa"/>
            <w:shd w:val="clear" w:color="auto" w:fill="FFFFFF"/>
            <w:vAlign w:val="center"/>
          </w:tcPr>
          <w:p w14:paraId="72D4BF55" w14:textId="13635A08" w:rsidR="00211FF4" w:rsidRPr="004526CB" w:rsidRDefault="00211FF4" w:rsidP="00211FF4">
            <w:pPr>
              <w:jc w:val="center"/>
              <w:rPr>
                <w:rFonts w:cs="Arial"/>
                <w:b/>
                <w:sz w:val="20"/>
                <w:szCs w:val="20"/>
                <w:lang w:eastAsia="it-IT"/>
              </w:rPr>
            </w:pPr>
            <w:r w:rsidRPr="004526CB">
              <w:rPr>
                <w:rFonts w:cs="Arial"/>
                <w:b/>
                <w:color w:val="000000"/>
                <w:sz w:val="20"/>
                <w:szCs w:val="20"/>
                <w:lang w:eastAsia="it-IT"/>
              </w:rPr>
              <w:t>3302,0</w:t>
            </w:r>
          </w:p>
        </w:tc>
      </w:tr>
      <w:tr w:rsidR="00211FF4" w:rsidRPr="00C2587D" w14:paraId="08C402AA" w14:textId="77777777" w:rsidTr="006478C2">
        <w:trPr>
          <w:jc w:val="center"/>
        </w:trPr>
        <w:tc>
          <w:tcPr>
            <w:tcW w:w="562" w:type="dxa"/>
            <w:shd w:val="clear" w:color="auto" w:fill="auto"/>
            <w:noWrap/>
            <w:vAlign w:val="center"/>
          </w:tcPr>
          <w:p w14:paraId="58EC5AA5" w14:textId="77777777" w:rsidR="00211FF4" w:rsidRPr="00C2587D" w:rsidRDefault="00211FF4" w:rsidP="006478C2">
            <w:pPr>
              <w:rPr>
                <w:rFonts w:cs="Arial"/>
                <w:bCs/>
                <w:color w:val="000000"/>
                <w:sz w:val="20"/>
                <w:szCs w:val="20"/>
                <w:lang w:eastAsia="uk-UA"/>
              </w:rPr>
            </w:pPr>
          </w:p>
        </w:tc>
        <w:tc>
          <w:tcPr>
            <w:tcW w:w="4395" w:type="dxa"/>
            <w:shd w:val="clear" w:color="auto" w:fill="auto"/>
            <w:noWrap/>
            <w:vAlign w:val="bottom"/>
          </w:tcPr>
          <w:p w14:paraId="7E5E5F67" w14:textId="77777777" w:rsidR="00211FF4" w:rsidRPr="004526CB" w:rsidRDefault="00211FF4" w:rsidP="00211FF4">
            <w:pPr>
              <w:jc w:val="both"/>
              <w:rPr>
                <w:rFonts w:cs="Arial"/>
                <w:b/>
                <w:bCs/>
                <w:color w:val="000000"/>
                <w:sz w:val="20"/>
                <w:szCs w:val="20"/>
                <w:lang w:eastAsia="uk-UA"/>
              </w:rPr>
            </w:pPr>
            <w:r w:rsidRPr="004526CB">
              <w:rPr>
                <w:rFonts w:cs="Arial"/>
                <w:b/>
                <w:bCs/>
                <w:color w:val="000000"/>
                <w:sz w:val="20"/>
                <w:szCs w:val="20"/>
                <w:lang w:eastAsia="uk-UA"/>
              </w:rPr>
              <w:t>Всього по С.4</w:t>
            </w:r>
            <w:r w:rsidRPr="004526CB">
              <w:rPr>
                <w:rFonts w:cs="Arial"/>
                <w:b/>
                <w:bCs/>
                <w:iCs/>
                <w:color w:val="000000"/>
                <w:sz w:val="20"/>
                <w:szCs w:val="20"/>
                <w:lang w:eastAsia="uk-UA"/>
              </w:rPr>
              <w:t>.</w:t>
            </w:r>
            <w:r w:rsidRPr="004526CB">
              <w:rPr>
                <w:rFonts w:cs="Arial"/>
                <w:b/>
                <w:bCs/>
                <w:iCs/>
                <w:sz w:val="20"/>
                <w:szCs w:val="20"/>
                <w:lang w:eastAsia="uk-UA"/>
              </w:rPr>
              <w:t xml:space="preserve"> Забезпечення високих стандартів надання якісних адміністративних та соціальних послуг</w:t>
            </w:r>
          </w:p>
        </w:tc>
        <w:tc>
          <w:tcPr>
            <w:tcW w:w="1162" w:type="dxa"/>
            <w:shd w:val="clear" w:color="auto" w:fill="auto"/>
            <w:noWrap/>
            <w:vAlign w:val="center"/>
          </w:tcPr>
          <w:p w14:paraId="057EEF1A" w14:textId="3F890A49" w:rsidR="00211FF4" w:rsidRPr="004526CB" w:rsidRDefault="00211FF4" w:rsidP="00211FF4">
            <w:pPr>
              <w:jc w:val="center"/>
              <w:rPr>
                <w:rFonts w:cs="Arial"/>
                <w:b/>
                <w:bCs/>
                <w:color w:val="000000"/>
                <w:sz w:val="20"/>
                <w:szCs w:val="20"/>
                <w:lang w:eastAsia="uk-UA"/>
              </w:rPr>
            </w:pPr>
            <w:r w:rsidRPr="004526CB">
              <w:rPr>
                <w:rFonts w:cs="Arial"/>
                <w:b/>
                <w:bCs/>
                <w:color w:val="000000"/>
                <w:sz w:val="20"/>
                <w:szCs w:val="20"/>
                <w:lang w:eastAsia="uk-UA"/>
              </w:rPr>
              <w:t>2729,2</w:t>
            </w:r>
          </w:p>
        </w:tc>
        <w:tc>
          <w:tcPr>
            <w:tcW w:w="1106" w:type="dxa"/>
            <w:shd w:val="clear" w:color="auto" w:fill="auto"/>
            <w:noWrap/>
            <w:vAlign w:val="center"/>
          </w:tcPr>
          <w:p w14:paraId="71A77582" w14:textId="075C74E7" w:rsidR="00211FF4" w:rsidRPr="004526CB" w:rsidRDefault="00211FF4" w:rsidP="00211FF4">
            <w:pPr>
              <w:jc w:val="center"/>
              <w:rPr>
                <w:rFonts w:cs="Arial"/>
                <w:b/>
                <w:bCs/>
                <w:color w:val="000000"/>
                <w:sz w:val="20"/>
                <w:szCs w:val="20"/>
                <w:lang w:eastAsia="uk-UA"/>
              </w:rPr>
            </w:pPr>
            <w:r w:rsidRPr="004526CB">
              <w:rPr>
                <w:rFonts w:cs="Arial"/>
                <w:b/>
                <w:bCs/>
                <w:color w:val="000000"/>
                <w:sz w:val="20"/>
                <w:szCs w:val="20"/>
                <w:lang w:eastAsia="uk-UA"/>
              </w:rPr>
              <w:t>2796,2</w:t>
            </w:r>
          </w:p>
        </w:tc>
        <w:tc>
          <w:tcPr>
            <w:tcW w:w="1106" w:type="dxa"/>
            <w:shd w:val="clear" w:color="auto" w:fill="auto"/>
            <w:noWrap/>
            <w:vAlign w:val="center"/>
          </w:tcPr>
          <w:p w14:paraId="4053FDDA" w14:textId="00FD885B" w:rsidR="00211FF4" w:rsidRPr="004526CB" w:rsidRDefault="00211FF4" w:rsidP="00211FF4">
            <w:pPr>
              <w:jc w:val="center"/>
              <w:rPr>
                <w:rFonts w:cs="Arial"/>
                <w:b/>
                <w:bCs/>
                <w:color w:val="000000"/>
                <w:sz w:val="20"/>
                <w:szCs w:val="20"/>
                <w:lang w:eastAsia="uk-UA"/>
              </w:rPr>
            </w:pPr>
            <w:r w:rsidRPr="004526CB">
              <w:rPr>
                <w:rFonts w:cs="Arial"/>
                <w:b/>
                <w:bCs/>
                <w:color w:val="000000"/>
                <w:sz w:val="20"/>
                <w:szCs w:val="20"/>
                <w:lang w:eastAsia="uk-UA"/>
              </w:rPr>
              <w:t>1619,8</w:t>
            </w:r>
          </w:p>
        </w:tc>
        <w:tc>
          <w:tcPr>
            <w:tcW w:w="736" w:type="dxa"/>
            <w:shd w:val="clear" w:color="auto" w:fill="auto"/>
            <w:noWrap/>
            <w:vAlign w:val="center"/>
          </w:tcPr>
          <w:p w14:paraId="713E7753" w14:textId="1964B4A5" w:rsidR="00211FF4" w:rsidRPr="004526CB" w:rsidRDefault="00211FF4" w:rsidP="00211FF4">
            <w:pPr>
              <w:jc w:val="center"/>
              <w:rPr>
                <w:rFonts w:cs="Arial"/>
                <w:b/>
                <w:bCs/>
                <w:color w:val="000000"/>
                <w:sz w:val="20"/>
                <w:szCs w:val="20"/>
                <w:lang w:eastAsia="uk-UA"/>
              </w:rPr>
            </w:pPr>
            <w:r w:rsidRPr="004526CB">
              <w:rPr>
                <w:rFonts w:cs="Arial"/>
                <w:b/>
                <w:bCs/>
                <w:color w:val="000000"/>
                <w:sz w:val="20"/>
                <w:szCs w:val="20"/>
                <w:lang w:eastAsia="uk-UA"/>
              </w:rPr>
              <w:t>879,8</w:t>
            </w:r>
          </w:p>
        </w:tc>
        <w:tc>
          <w:tcPr>
            <w:tcW w:w="1273" w:type="dxa"/>
          </w:tcPr>
          <w:p w14:paraId="1F81BD60" w14:textId="77777777" w:rsidR="00211FF4" w:rsidRPr="004526CB" w:rsidRDefault="00211FF4" w:rsidP="00211FF4">
            <w:pPr>
              <w:jc w:val="center"/>
              <w:rPr>
                <w:rFonts w:cs="Arial"/>
                <w:b/>
                <w:bCs/>
                <w:color w:val="000000"/>
                <w:sz w:val="20"/>
                <w:szCs w:val="20"/>
                <w:lang w:eastAsia="uk-UA"/>
              </w:rPr>
            </w:pPr>
          </w:p>
          <w:p w14:paraId="06E7E189" w14:textId="1EEA5A70" w:rsidR="00211FF4" w:rsidRPr="004526CB" w:rsidRDefault="00211FF4" w:rsidP="00211FF4">
            <w:pPr>
              <w:jc w:val="center"/>
              <w:rPr>
                <w:rFonts w:cs="Arial"/>
                <w:b/>
                <w:bCs/>
                <w:color w:val="000000"/>
                <w:sz w:val="20"/>
                <w:szCs w:val="20"/>
                <w:lang w:eastAsia="uk-UA"/>
              </w:rPr>
            </w:pPr>
            <w:r w:rsidRPr="004526CB">
              <w:rPr>
                <w:rFonts w:cs="Arial"/>
                <w:b/>
                <w:bCs/>
                <w:color w:val="000000"/>
                <w:sz w:val="20"/>
                <w:szCs w:val="20"/>
                <w:lang w:eastAsia="uk-UA"/>
              </w:rPr>
              <w:t>8025,0</w:t>
            </w:r>
          </w:p>
        </w:tc>
      </w:tr>
      <w:tr w:rsidR="00211FF4" w:rsidRPr="00C2587D" w14:paraId="38357824" w14:textId="77777777" w:rsidTr="004B3BEE">
        <w:trPr>
          <w:jc w:val="center"/>
        </w:trPr>
        <w:tc>
          <w:tcPr>
            <w:tcW w:w="10347" w:type="dxa"/>
            <w:gridSpan w:val="7"/>
            <w:shd w:val="clear" w:color="auto" w:fill="auto"/>
            <w:noWrap/>
            <w:vAlign w:val="center"/>
          </w:tcPr>
          <w:p w14:paraId="62A6E895" w14:textId="77777777" w:rsidR="00211FF4" w:rsidRPr="00987B8D" w:rsidRDefault="00211FF4" w:rsidP="00211FF4">
            <w:pPr>
              <w:autoSpaceDE w:val="0"/>
              <w:autoSpaceDN w:val="0"/>
              <w:adjustRightInd w:val="0"/>
              <w:rPr>
                <w:rFonts w:cs="Arial"/>
                <w:b/>
                <w:sz w:val="20"/>
                <w:szCs w:val="20"/>
              </w:rPr>
            </w:pPr>
            <w:r w:rsidRPr="00987B8D">
              <w:rPr>
                <w:rFonts w:cs="Arial"/>
                <w:b/>
                <w:sz w:val="20"/>
                <w:szCs w:val="20"/>
              </w:rPr>
              <w:t>Стратегічна ціль  С.5. Ефективне управління громадою</w:t>
            </w:r>
          </w:p>
        </w:tc>
      </w:tr>
      <w:tr w:rsidR="00211FF4" w:rsidRPr="00C2587D" w14:paraId="485663D3" w14:textId="77777777" w:rsidTr="004B3BEE">
        <w:trPr>
          <w:jc w:val="center"/>
        </w:trPr>
        <w:tc>
          <w:tcPr>
            <w:tcW w:w="562" w:type="dxa"/>
            <w:shd w:val="clear" w:color="auto" w:fill="auto"/>
            <w:noWrap/>
            <w:vAlign w:val="center"/>
          </w:tcPr>
          <w:p w14:paraId="764ED903" w14:textId="454F598E" w:rsidR="00211FF4" w:rsidRPr="00C2587D" w:rsidRDefault="00211FF4" w:rsidP="00211FF4">
            <w:pPr>
              <w:jc w:val="right"/>
              <w:rPr>
                <w:rFonts w:cs="Arial"/>
                <w:bCs/>
                <w:color w:val="000000"/>
                <w:sz w:val="20"/>
                <w:szCs w:val="20"/>
                <w:lang w:eastAsia="uk-UA"/>
              </w:rPr>
            </w:pPr>
          </w:p>
        </w:tc>
        <w:tc>
          <w:tcPr>
            <w:tcW w:w="4395" w:type="dxa"/>
            <w:shd w:val="clear" w:color="auto" w:fill="auto"/>
            <w:noWrap/>
            <w:vAlign w:val="center"/>
          </w:tcPr>
          <w:p w14:paraId="49E8436C" w14:textId="1912641D" w:rsidR="00211FF4" w:rsidRPr="00C2587D" w:rsidRDefault="00211FF4" w:rsidP="00211FF4">
            <w:pPr>
              <w:spacing w:before="40" w:after="40"/>
              <w:jc w:val="both"/>
              <w:rPr>
                <w:rFonts w:cs="Arial"/>
                <w:color w:val="000000"/>
                <w:sz w:val="20"/>
                <w:szCs w:val="20"/>
                <w:lang w:eastAsia="it-IT"/>
              </w:rPr>
            </w:pPr>
          </w:p>
        </w:tc>
        <w:tc>
          <w:tcPr>
            <w:tcW w:w="1162" w:type="dxa"/>
            <w:shd w:val="clear" w:color="auto" w:fill="auto"/>
            <w:noWrap/>
            <w:vAlign w:val="center"/>
          </w:tcPr>
          <w:p w14:paraId="6E6F5F79" w14:textId="2BC0A8A4" w:rsidR="00211FF4" w:rsidRPr="00C2587D" w:rsidRDefault="00211FF4" w:rsidP="00211FF4">
            <w:pPr>
              <w:jc w:val="center"/>
              <w:rPr>
                <w:rFonts w:cs="Arial"/>
                <w:color w:val="000000"/>
                <w:sz w:val="20"/>
                <w:szCs w:val="20"/>
                <w:lang w:eastAsia="it-IT"/>
              </w:rPr>
            </w:pPr>
          </w:p>
        </w:tc>
        <w:tc>
          <w:tcPr>
            <w:tcW w:w="1106" w:type="dxa"/>
            <w:shd w:val="clear" w:color="auto" w:fill="auto"/>
            <w:noWrap/>
            <w:vAlign w:val="center"/>
          </w:tcPr>
          <w:p w14:paraId="41AE8B9C" w14:textId="2CCC114E" w:rsidR="00211FF4" w:rsidRPr="00C2587D" w:rsidRDefault="00211FF4" w:rsidP="00211FF4">
            <w:pPr>
              <w:jc w:val="center"/>
              <w:rPr>
                <w:rFonts w:cs="Arial"/>
                <w:color w:val="000000"/>
                <w:sz w:val="20"/>
                <w:szCs w:val="20"/>
                <w:lang w:eastAsia="it-IT"/>
              </w:rPr>
            </w:pPr>
          </w:p>
        </w:tc>
        <w:tc>
          <w:tcPr>
            <w:tcW w:w="1106" w:type="dxa"/>
            <w:shd w:val="clear" w:color="auto" w:fill="auto"/>
            <w:noWrap/>
            <w:vAlign w:val="center"/>
          </w:tcPr>
          <w:p w14:paraId="602EB3D1" w14:textId="368BD08A" w:rsidR="00211FF4" w:rsidRPr="00C2587D" w:rsidRDefault="00211FF4" w:rsidP="00211FF4">
            <w:pPr>
              <w:jc w:val="center"/>
              <w:rPr>
                <w:rFonts w:cs="Arial"/>
                <w:color w:val="000000"/>
                <w:sz w:val="20"/>
                <w:szCs w:val="20"/>
                <w:lang w:eastAsia="it-IT"/>
              </w:rPr>
            </w:pPr>
          </w:p>
        </w:tc>
        <w:tc>
          <w:tcPr>
            <w:tcW w:w="736" w:type="dxa"/>
            <w:shd w:val="clear" w:color="auto" w:fill="auto"/>
            <w:noWrap/>
            <w:vAlign w:val="center"/>
          </w:tcPr>
          <w:p w14:paraId="7AB53216" w14:textId="071472FC" w:rsidR="00211FF4" w:rsidRPr="00C2587D" w:rsidRDefault="00211FF4" w:rsidP="00211FF4">
            <w:pPr>
              <w:jc w:val="center"/>
              <w:rPr>
                <w:rFonts w:cs="Arial"/>
                <w:color w:val="000000"/>
                <w:sz w:val="20"/>
                <w:szCs w:val="20"/>
                <w:lang w:eastAsia="it-IT"/>
              </w:rPr>
            </w:pPr>
          </w:p>
        </w:tc>
        <w:tc>
          <w:tcPr>
            <w:tcW w:w="1273" w:type="dxa"/>
            <w:vAlign w:val="center"/>
          </w:tcPr>
          <w:p w14:paraId="144F7C0B" w14:textId="77EE2BD5" w:rsidR="00211FF4" w:rsidRPr="00C2587D" w:rsidRDefault="00211FF4" w:rsidP="00211FF4">
            <w:pPr>
              <w:jc w:val="center"/>
              <w:rPr>
                <w:rFonts w:cs="Arial"/>
                <w:color w:val="000000"/>
                <w:sz w:val="20"/>
                <w:szCs w:val="20"/>
                <w:lang w:eastAsia="it-IT"/>
              </w:rPr>
            </w:pPr>
          </w:p>
        </w:tc>
      </w:tr>
      <w:tr w:rsidR="00211FF4" w:rsidRPr="00C2587D" w14:paraId="346A6132" w14:textId="77777777" w:rsidTr="004B3BEE">
        <w:trPr>
          <w:trHeight w:val="411"/>
          <w:jc w:val="center"/>
        </w:trPr>
        <w:tc>
          <w:tcPr>
            <w:tcW w:w="562" w:type="dxa"/>
            <w:shd w:val="clear" w:color="auto" w:fill="auto"/>
            <w:noWrap/>
            <w:vAlign w:val="center"/>
          </w:tcPr>
          <w:p w14:paraId="127F8396" w14:textId="77777777" w:rsidR="00211FF4" w:rsidRPr="00C2587D" w:rsidRDefault="00211FF4" w:rsidP="00211FF4">
            <w:pPr>
              <w:jc w:val="center"/>
              <w:rPr>
                <w:rFonts w:cs="Arial"/>
                <w:b/>
                <w:bCs/>
                <w:color w:val="000000"/>
                <w:sz w:val="20"/>
                <w:szCs w:val="20"/>
                <w:lang w:eastAsia="uk-UA"/>
              </w:rPr>
            </w:pPr>
          </w:p>
        </w:tc>
        <w:tc>
          <w:tcPr>
            <w:tcW w:w="4395" w:type="dxa"/>
            <w:shd w:val="clear" w:color="auto" w:fill="auto"/>
            <w:noWrap/>
            <w:vAlign w:val="center"/>
          </w:tcPr>
          <w:p w14:paraId="40E7D2E8" w14:textId="77777777" w:rsidR="00211FF4" w:rsidRPr="00C2587D" w:rsidRDefault="00211FF4" w:rsidP="00211FF4">
            <w:pPr>
              <w:rPr>
                <w:rFonts w:cs="Arial"/>
                <w:b/>
                <w:bCs/>
                <w:color w:val="000000"/>
                <w:sz w:val="20"/>
                <w:szCs w:val="20"/>
                <w:lang w:eastAsia="uk-UA"/>
              </w:rPr>
            </w:pPr>
            <w:r w:rsidRPr="00C2587D">
              <w:rPr>
                <w:rFonts w:cs="Arial"/>
                <w:b/>
                <w:bCs/>
                <w:color w:val="000000"/>
                <w:sz w:val="20"/>
                <w:szCs w:val="20"/>
                <w:lang w:eastAsia="uk-UA"/>
              </w:rPr>
              <w:t>Всього по С.5</w:t>
            </w:r>
            <w:r w:rsidRPr="00C2587D">
              <w:rPr>
                <w:rFonts w:cs="Arial"/>
                <w:b/>
                <w:bCs/>
                <w:i/>
                <w:iCs/>
                <w:color w:val="000000"/>
                <w:sz w:val="20"/>
                <w:szCs w:val="20"/>
                <w:lang w:eastAsia="uk-UA"/>
              </w:rPr>
              <w:t>.</w:t>
            </w:r>
            <w:r w:rsidRPr="00C2587D">
              <w:rPr>
                <w:rFonts w:cs="Arial"/>
                <w:b/>
                <w:color w:val="FF0000"/>
                <w:sz w:val="20"/>
                <w:szCs w:val="20"/>
              </w:rPr>
              <w:t xml:space="preserve"> </w:t>
            </w:r>
            <w:r w:rsidRPr="00C2587D">
              <w:rPr>
                <w:rFonts w:cs="Arial"/>
                <w:b/>
                <w:sz w:val="20"/>
                <w:szCs w:val="20"/>
              </w:rPr>
              <w:t>Ефективне управління громадою</w:t>
            </w:r>
          </w:p>
        </w:tc>
        <w:tc>
          <w:tcPr>
            <w:tcW w:w="1162" w:type="dxa"/>
            <w:shd w:val="clear" w:color="auto" w:fill="auto"/>
            <w:noWrap/>
            <w:vAlign w:val="center"/>
          </w:tcPr>
          <w:p w14:paraId="1892D7B7" w14:textId="7B3701D6" w:rsidR="00211FF4" w:rsidRPr="00C2587D" w:rsidRDefault="00211FF4" w:rsidP="00211FF4">
            <w:pPr>
              <w:jc w:val="center"/>
              <w:rPr>
                <w:rFonts w:cs="Arial"/>
                <w:b/>
                <w:bCs/>
                <w:color w:val="000000"/>
                <w:sz w:val="20"/>
                <w:szCs w:val="20"/>
                <w:lang w:eastAsia="uk-UA"/>
              </w:rPr>
            </w:pPr>
          </w:p>
        </w:tc>
        <w:tc>
          <w:tcPr>
            <w:tcW w:w="1106" w:type="dxa"/>
            <w:shd w:val="clear" w:color="auto" w:fill="auto"/>
            <w:noWrap/>
            <w:vAlign w:val="center"/>
          </w:tcPr>
          <w:p w14:paraId="546A3B41" w14:textId="4A1DFB1A" w:rsidR="00211FF4" w:rsidRPr="00C2587D" w:rsidRDefault="00211FF4" w:rsidP="00211FF4">
            <w:pPr>
              <w:jc w:val="center"/>
              <w:rPr>
                <w:rFonts w:cs="Arial"/>
                <w:b/>
                <w:bCs/>
                <w:color w:val="000000"/>
                <w:sz w:val="20"/>
                <w:szCs w:val="20"/>
                <w:lang w:eastAsia="uk-UA"/>
              </w:rPr>
            </w:pPr>
          </w:p>
        </w:tc>
        <w:tc>
          <w:tcPr>
            <w:tcW w:w="1106" w:type="dxa"/>
            <w:shd w:val="clear" w:color="auto" w:fill="auto"/>
            <w:noWrap/>
            <w:vAlign w:val="center"/>
          </w:tcPr>
          <w:p w14:paraId="0A701A29" w14:textId="1C9CE586" w:rsidR="00211FF4" w:rsidRPr="00C2587D" w:rsidRDefault="00211FF4" w:rsidP="00211FF4">
            <w:pPr>
              <w:jc w:val="center"/>
              <w:rPr>
                <w:rFonts w:cs="Arial"/>
                <w:b/>
                <w:bCs/>
                <w:color w:val="000000"/>
                <w:sz w:val="20"/>
                <w:szCs w:val="20"/>
                <w:lang w:eastAsia="uk-UA"/>
              </w:rPr>
            </w:pPr>
          </w:p>
        </w:tc>
        <w:tc>
          <w:tcPr>
            <w:tcW w:w="736" w:type="dxa"/>
            <w:shd w:val="clear" w:color="auto" w:fill="auto"/>
            <w:noWrap/>
            <w:vAlign w:val="center"/>
          </w:tcPr>
          <w:p w14:paraId="09A85FCE" w14:textId="6ED2809C" w:rsidR="00211FF4" w:rsidRPr="00C2587D" w:rsidRDefault="00211FF4" w:rsidP="00211FF4">
            <w:pPr>
              <w:jc w:val="center"/>
              <w:rPr>
                <w:rFonts w:cs="Arial"/>
                <w:b/>
                <w:bCs/>
                <w:color w:val="000000"/>
                <w:sz w:val="20"/>
                <w:szCs w:val="20"/>
                <w:lang w:eastAsia="uk-UA"/>
              </w:rPr>
            </w:pPr>
          </w:p>
        </w:tc>
        <w:tc>
          <w:tcPr>
            <w:tcW w:w="1273" w:type="dxa"/>
            <w:vAlign w:val="center"/>
          </w:tcPr>
          <w:p w14:paraId="1B700B33" w14:textId="102B7920" w:rsidR="00211FF4" w:rsidRPr="00C2587D" w:rsidRDefault="00211FF4" w:rsidP="00211FF4">
            <w:pPr>
              <w:jc w:val="center"/>
              <w:rPr>
                <w:rFonts w:cs="Arial"/>
                <w:b/>
                <w:bCs/>
                <w:color w:val="000000"/>
                <w:sz w:val="20"/>
                <w:szCs w:val="20"/>
                <w:lang w:eastAsia="uk-UA"/>
              </w:rPr>
            </w:pPr>
          </w:p>
        </w:tc>
      </w:tr>
      <w:tr w:rsidR="00211FF4" w:rsidRPr="00C2587D" w14:paraId="366DAB77" w14:textId="77777777" w:rsidTr="004B3BEE">
        <w:trPr>
          <w:trHeight w:val="417"/>
          <w:jc w:val="center"/>
        </w:trPr>
        <w:tc>
          <w:tcPr>
            <w:tcW w:w="562" w:type="dxa"/>
            <w:shd w:val="clear" w:color="auto" w:fill="auto"/>
            <w:noWrap/>
            <w:vAlign w:val="center"/>
            <w:hideMark/>
          </w:tcPr>
          <w:p w14:paraId="701F8172" w14:textId="77777777" w:rsidR="00211FF4" w:rsidRPr="00CC7D56" w:rsidRDefault="00211FF4" w:rsidP="00211FF4">
            <w:pPr>
              <w:jc w:val="center"/>
              <w:rPr>
                <w:rFonts w:cs="Arial"/>
                <w:b/>
                <w:bCs/>
                <w:color w:val="000000"/>
                <w:sz w:val="20"/>
                <w:szCs w:val="20"/>
                <w:highlight w:val="yellow"/>
                <w:lang w:eastAsia="uk-UA"/>
              </w:rPr>
            </w:pPr>
          </w:p>
        </w:tc>
        <w:tc>
          <w:tcPr>
            <w:tcW w:w="4395" w:type="dxa"/>
            <w:shd w:val="clear" w:color="auto" w:fill="auto"/>
            <w:noWrap/>
            <w:vAlign w:val="center"/>
            <w:hideMark/>
          </w:tcPr>
          <w:p w14:paraId="03B5DACB" w14:textId="77777777" w:rsidR="00211FF4" w:rsidRPr="00CC7D56" w:rsidRDefault="00211FF4" w:rsidP="00211FF4">
            <w:pPr>
              <w:rPr>
                <w:rFonts w:cs="Arial"/>
                <w:b/>
                <w:bCs/>
                <w:color w:val="000000"/>
                <w:sz w:val="20"/>
                <w:szCs w:val="20"/>
                <w:highlight w:val="yellow"/>
                <w:lang w:eastAsia="uk-UA"/>
              </w:rPr>
            </w:pPr>
            <w:r w:rsidRPr="00704450">
              <w:rPr>
                <w:rFonts w:cs="Arial"/>
                <w:b/>
                <w:bCs/>
                <w:color w:val="000000"/>
                <w:sz w:val="20"/>
                <w:szCs w:val="20"/>
                <w:lang w:eastAsia="uk-UA"/>
              </w:rPr>
              <w:t>ВСЬОГО по С  «Доступна громада»</w:t>
            </w:r>
          </w:p>
        </w:tc>
        <w:tc>
          <w:tcPr>
            <w:tcW w:w="1162" w:type="dxa"/>
            <w:shd w:val="clear" w:color="auto" w:fill="auto"/>
            <w:noWrap/>
            <w:vAlign w:val="center"/>
          </w:tcPr>
          <w:p w14:paraId="72975245" w14:textId="1BD69F57" w:rsidR="00211FF4" w:rsidRPr="00C2587D" w:rsidRDefault="00B120C0" w:rsidP="00211FF4">
            <w:pPr>
              <w:jc w:val="center"/>
              <w:rPr>
                <w:rFonts w:cs="Arial"/>
                <w:b/>
                <w:bCs/>
                <w:color w:val="000000"/>
                <w:sz w:val="20"/>
                <w:szCs w:val="20"/>
                <w:lang w:eastAsia="uk-UA"/>
              </w:rPr>
            </w:pPr>
            <w:r>
              <w:rPr>
                <w:rFonts w:cs="Arial"/>
                <w:b/>
                <w:bCs/>
                <w:color w:val="000000"/>
                <w:sz w:val="20"/>
                <w:szCs w:val="20"/>
                <w:lang w:eastAsia="uk-UA"/>
              </w:rPr>
              <w:t>51 41</w:t>
            </w:r>
            <w:r w:rsidR="00211FF4">
              <w:rPr>
                <w:rFonts w:cs="Arial"/>
                <w:b/>
                <w:bCs/>
                <w:color w:val="000000"/>
                <w:sz w:val="20"/>
                <w:szCs w:val="20"/>
                <w:lang w:eastAsia="uk-UA"/>
              </w:rPr>
              <w:t>2,1</w:t>
            </w:r>
          </w:p>
        </w:tc>
        <w:tc>
          <w:tcPr>
            <w:tcW w:w="1106" w:type="dxa"/>
            <w:shd w:val="clear" w:color="auto" w:fill="auto"/>
            <w:noWrap/>
            <w:vAlign w:val="center"/>
          </w:tcPr>
          <w:p w14:paraId="323C0792" w14:textId="1968D46E" w:rsidR="00211FF4" w:rsidRPr="00C2587D" w:rsidRDefault="00776794" w:rsidP="00211FF4">
            <w:pPr>
              <w:jc w:val="center"/>
              <w:rPr>
                <w:rFonts w:cs="Arial"/>
                <w:b/>
                <w:bCs/>
                <w:color w:val="000000"/>
                <w:sz w:val="20"/>
                <w:szCs w:val="20"/>
                <w:lang w:eastAsia="uk-UA"/>
              </w:rPr>
            </w:pPr>
            <w:r>
              <w:rPr>
                <w:rFonts w:cs="Arial"/>
                <w:b/>
                <w:bCs/>
                <w:color w:val="000000"/>
                <w:sz w:val="20"/>
                <w:szCs w:val="20"/>
                <w:lang w:eastAsia="uk-UA"/>
              </w:rPr>
              <w:t>291 6</w:t>
            </w:r>
            <w:r w:rsidR="00211FF4">
              <w:rPr>
                <w:rFonts w:cs="Arial"/>
                <w:b/>
                <w:bCs/>
                <w:color w:val="000000"/>
                <w:sz w:val="20"/>
                <w:szCs w:val="20"/>
                <w:lang w:eastAsia="uk-UA"/>
              </w:rPr>
              <w:t>53,3</w:t>
            </w:r>
          </w:p>
        </w:tc>
        <w:tc>
          <w:tcPr>
            <w:tcW w:w="1106" w:type="dxa"/>
            <w:shd w:val="clear" w:color="auto" w:fill="auto"/>
            <w:noWrap/>
            <w:vAlign w:val="center"/>
          </w:tcPr>
          <w:p w14:paraId="43FB3219" w14:textId="71B52BD8" w:rsidR="00211FF4" w:rsidRPr="00C2587D" w:rsidRDefault="00776794" w:rsidP="00776794">
            <w:pPr>
              <w:jc w:val="center"/>
              <w:rPr>
                <w:rFonts w:cs="Arial"/>
                <w:b/>
                <w:bCs/>
                <w:color w:val="000000"/>
                <w:sz w:val="20"/>
                <w:szCs w:val="20"/>
                <w:lang w:eastAsia="uk-UA"/>
              </w:rPr>
            </w:pPr>
            <w:r>
              <w:rPr>
                <w:rFonts w:cs="Arial"/>
                <w:b/>
                <w:bCs/>
                <w:color w:val="000000"/>
                <w:sz w:val="20"/>
                <w:szCs w:val="20"/>
                <w:lang w:eastAsia="uk-UA"/>
              </w:rPr>
              <w:t>401 42</w:t>
            </w:r>
            <w:r w:rsidR="00211FF4">
              <w:rPr>
                <w:rFonts w:cs="Arial"/>
                <w:b/>
                <w:bCs/>
                <w:color w:val="000000"/>
                <w:sz w:val="20"/>
                <w:szCs w:val="20"/>
                <w:lang w:eastAsia="uk-UA"/>
              </w:rPr>
              <w:t>4,1</w:t>
            </w:r>
          </w:p>
        </w:tc>
        <w:tc>
          <w:tcPr>
            <w:tcW w:w="736" w:type="dxa"/>
            <w:shd w:val="clear" w:color="auto" w:fill="auto"/>
            <w:noWrap/>
            <w:vAlign w:val="center"/>
          </w:tcPr>
          <w:p w14:paraId="16BDBC8E" w14:textId="6B5DDC75" w:rsidR="00211FF4" w:rsidRPr="00C2587D" w:rsidRDefault="00211FF4" w:rsidP="00211FF4">
            <w:pPr>
              <w:jc w:val="center"/>
              <w:rPr>
                <w:rFonts w:cs="Arial"/>
                <w:b/>
                <w:bCs/>
                <w:color w:val="000000"/>
                <w:sz w:val="20"/>
                <w:szCs w:val="20"/>
                <w:lang w:eastAsia="uk-UA"/>
              </w:rPr>
            </w:pPr>
            <w:r>
              <w:rPr>
                <w:rFonts w:cs="Arial"/>
                <w:b/>
                <w:bCs/>
                <w:color w:val="000000"/>
                <w:sz w:val="20"/>
                <w:szCs w:val="20"/>
                <w:lang w:eastAsia="uk-UA"/>
              </w:rPr>
              <w:t>3</w:t>
            </w:r>
            <w:r w:rsidR="00776794">
              <w:rPr>
                <w:rFonts w:cs="Arial"/>
                <w:b/>
                <w:bCs/>
                <w:color w:val="000000"/>
                <w:sz w:val="20"/>
                <w:szCs w:val="20"/>
                <w:lang w:eastAsia="uk-UA"/>
              </w:rPr>
              <w:t>27 0</w:t>
            </w:r>
            <w:r>
              <w:rPr>
                <w:rFonts w:cs="Arial"/>
                <w:b/>
                <w:bCs/>
                <w:color w:val="000000"/>
                <w:sz w:val="20"/>
                <w:szCs w:val="20"/>
                <w:lang w:eastAsia="uk-UA"/>
              </w:rPr>
              <w:t>33,5</w:t>
            </w:r>
          </w:p>
        </w:tc>
        <w:tc>
          <w:tcPr>
            <w:tcW w:w="1273" w:type="dxa"/>
            <w:vAlign w:val="center"/>
          </w:tcPr>
          <w:p w14:paraId="07F75467" w14:textId="5AE39C84" w:rsidR="00211FF4" w:rsidRPr="00C2587D" w:rsidRDefault="00211FF4" w:rsidP="00776794">
            <w:pPr>
              <w:jc w:val="center"/>
              <w:rPr>
                <w:rFonts w:cs="Arial"/>
                <w:b/>
                <w:bCs/>
                <w:color w:val="000000"/>
                <w:sz w:val="20"/>
                <w:szCs w:val="20"/>
                <w:lang w:eastAsia="uk-UA"/>
              </w:rPr>
            </w:pPr>
            <w:r>
              <w:rPr>
                <w:rFonts w:cs="Arial"/>
                <w:b/>
                <w:bCs/>
                <w:color w:val="000000"/>
                <w:sz w:val="20"/>
                <w:szCs w:val="20"/>
                <w:lang w:eastAsia="uk-UA"/>
              </w:rPr>
              <w:t>1 07</w:t>
            </w:r>
            <w:r w:rsidR="00776794">
              <w:rPr>
                <w:rFonts w:cs="Arial"/>
                <w:b/>
                <w:bCs/>
                <w:color w:val="000000"/>
                <w:sz w:val="20"/>
                <w:szCs w:val="20"/>
                <w:lang w:eastAsia="uk-UA"/>
              </w:rPr>
              <w:t>1 5</w:t>
            </w:r>
            <w:r>
              <w:rPr>
                <w:rFonts w:cs="Arial"/>
                <w:b/>
                <w:bCs/>
                <w:color w:val="000000"/>
                <w:sz w:val="20"/>
                <w:szCs w:val="20"/>
                <w:lang w:eastAsia="uk-UA"/>
              </w:rPr>
              <w:t>23,0</w:t>
            </w:r>
          </w:p>
        </w:tc>
      </w:tr>
    </w:tbl>
    <w:p w14:paraId="2857C8FA" w14:textId="77777777" w:rsidR="00A36EB4" w:rsidRPr="00C2587D" w:rsidRDefault="00A36EB4" w:rsidP="00A36EB4">
      <w:pPr>
        <w:suppressAutoHyphens/>
        <w:spacing w:before="120"/>
        <w:jc w:val="both"/>
        <w:rPr>
          <w:rFonts w:cs="Arial"/>
          <w:szCs w:val="28"/>
          <w:lang w:eastAsia="ar-SA"/>
        </w:rPr>
      </w:pPr>
    </w:p>
    <w:p w14:paraId="4AC5E301" w14:textId="75B30EC8" w:rsidR="00A36EB4" w:rsidRPr="00C2587D" w:rsidRDefault="008C6C88" w:rsidP="00A36EB4">
      <w:pPr>
        <w:rPr>
          <w:rFonts w:cs="Arial"/>
          <w:szCs w:val="28"/>
          <w:lang w:eastAsia="ar-SA"/>
        </w:rPr>
      </w:pPr>
      <w:r>
        <w:rPr>
          <w:rFonts w:cs="Arial"/>
          <w:noProof/>
          <w:szCs w:val="28"/>
          <w:lang w:val="ru-RU"/>
        </w:rPr>
        <w:drawing>
          <wp:inline distT="0" distB="0" distL="0" distR="0" wp14:anchorId="6EFAA6AA" wp14:editId="091FB9AE">
            <wp:extent cx="6304133" cy="3505867"/>
            <wp:effectExtent l="0" t="0" r="190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21829" cy="3515708"/>
                    </a:xfrm>
                    <a:prstGeom prst="rect">
                      <a:avLst/>
                    </a:prstGeom>
                    <a:noFill/>
                  </pic:spPr>
                </pic:pic>
              </a:graphicData>
            </a:graphic>
          </wp:inline>
        </w:drawing>
      </w:r>
    </w:p>
    <w:p w14:paraId="24A28272" w14:textId="59153425" w:rsidR="00A36EB4" w:rsidRPr="00196C6A" w:rsidRDefault="00A36EB4" w:rsidP="00A36EB4">
      <w:pPr>
        <w:keepNext/>
        <w:tabs>
          <w:tab w:val="left" w:pos="851"/>
        </w:tabs>
        <w:spacing w:before="120" w:after="60"/>
        <w:ind w:left="851" w:hanging="851"/>
        <w:jc w:val="both"/>
        <w:outlineLvl w:val="2"/>
        <w:rPr>
          <w:i/>
          <w:szCs w:val="18"/>
          <w:lang w:eastAsia="ar-SA"/>
        </w:rPr>
      </w:pPr>
      <w:r w:rsidRPr="00196C6A">
        <w:rPr>
          <w:i/>
          <w:szCs w:val="18"/>
          <w:lang w:eastAsia="ar-SA"/>
        </w:rPr>
        <w:t>Рис.3. Графік порів</w:t>
      </w:r>
      <w:r w:rsidR="007B189E">
        <w:rPr>
          <w:i/>
          <w:szCs w:val="18"/>
          <w:lang w:eastAsia="ar-SA"/>
        </w:rPr>
        <w:t>няння кількості та вартості проє</w:t>
      </w:r>
      <w:r w:rsidRPr="00196C6A">
        <w:rPr>
          <w:i/>
          <w:szCs w:val="18"/>
          <w:lang w:eastAsia="ar-SA"/>
        </w:rPr>
        <w:t xml:space="preserve">ктів Програми Стратегічного напрямку С. Доступна громада </w:t>
      </w:r>
    </w:p>
    <w:p w14:paraId="3B6190B3" w14:textId="77777777" w:rsidR="00A36EB4" w:rsidRPr="00C2587D" w:rsidRDefault="00A36EB4" w:rsidP="00A36EB4">
      <w:pPr>
        <w:jc w:val="both"/>
        <w:rPr>
          <w:lang w:eastAsia="ar-SA"/>
        </w:rPr>
      </w:pPr>
    </w:p>
    <w:p w14:paraId="1928C8EC" w14:textId="77777777" w:rsidR="00620F7D" w:rsidRPr="00C2587D" w:rsidRDefault="00620F7D" w:rsidP="007C45C7">
      <w:pPr>
        <w:jc w:val="both"/>
        <w:rPr>
          <w:i/>
          <w:sz w:val="18"/>
          <w:szCs w:val="18"/>
        </w:rPr>
      </w:pPr>
    </w:p>
    <w:p w14:paraId="229A1ADD" w14:textId="778DEAB4" w:rsidR="000A0BCB" w:rsidRDefault="000A0BCB">
      <w:pPr>
        <w:rPr>
          <w:rFonts w:cs="Arial"/>
          <w:i/>
          <w:sz w:val="18"/>
          <w:szCs w:val="18"/>
        </w:rPr>
      </w:pPr>
      <w:r>
        <w:rPr>
          <w:rFonts w:cs="Arial"/>
          <w:i/>
          <w:sz w:val="18"/>
          <w:szCs w:val="18"/>
        </w:rPr>
        <w:br w:type="page"/>
      </w:r>
    </w:p>
    <w:p w14:paraId="1A71EAD0" w14:textId="77777777" w:rsidR="00620F7D" w:rsidRPr="00C2587D" w:rsidRDefault="00620F7D" w:rsidP="007C45C7">
      <w:pPr>
        <w:jc w:val="both"/>
        <w:rPr>
          <w:rFonts w:cs="Arial"/>
          <w:i/>
          <w:sz w:val="18"/>
          <w:szCs w:val="18"/>
        </w:rPr>
      </w:pPr>
    </w:p>
    <w:p w14:paraId="55B7C8BC" w14:textId="38E8CCF6" w:rsidR="00842E47" w:rsidRPr="00C2587D" w:rsidRDefault="00842E47" w:rsidP="00842E47">
      <w:pPr>
        <w:pStyle w:val="2"/>
        <w:jc w:val="center"/>
      </w:pPr>
      <w:bookmarkStart w:id="39" w:name="_Toc1743582"/>
      <w:r w:rsidRPr="00C2587D">
        <w:t>Ро</w:t>
      </w:r>
      <w:r w:rsidR="002E78BD" w:rsidRPr="00C2587D">
        <w:t>зділ 4</w:t>
      </w:r>
      <w:r w:rsidRPr="00C2587D">
        <w:t>. Фінансове забезпечення Плану заходів з реалізації у 2025-2028 роках Стратегії розвитку Жмеринської міської територіальної громади до 2030 року</w:t>
      </w:r>
    </w:p>
    <w:p w14:paraId="069CAA3E" w14:textId="77777777" w:rsidR="00842E47" w:rsidRPr="00C2587D" w:rsidRDefault="00842E47" w:rsidP="00E9247F">
      <w:pPr>
        <w:pStyle w:val="2"/>
      </w:pPr>
    </w:p>
    <w:p w14:paraId="7C62C11C" w14:textId="62277A11" w:rsidR="004B7E26" w:rsidRPr="00C2587D" w:rsidRDefault="004B7E26" w:rsidP="004B7E26">
      <w:pPr>
        <w:spacing w:after="102"/>
        <w:ind w:left="127" w:right="82"/>
        <w:jc w:val="both"/>
      </w:pPr>
      <w:r w:rsidRPr="00C2587D">
        <w:tab/>
        <w:t>Впровадження Плану заходів із реалізації</w:t>
      </w:r>
      <w:r w:rsidR="001D7DEE" w:rsidRPr="00C2587D">
        <w:t xml:space="preserve"> у 2025-2028 роках</w:t>
      </w:r>
      <w:r w:rsidRPr="00C2587D">
        <w:t xml:space="preserve"> Стратегії розвитку Жмеринської міської територіальної громади до 2030 року передбачає загальну потребу фінансового ресурсу в обсязі</w:t>
      </w:r>
      <w:r w:rsidR="006D4DBC" w:rsidRPr="00C2587D">
        <w:t xml:space="preserve"> </w:t>
      </w:r>
      <w:r w:rsidR="003F390F">
        <w:rPr>
          <w:rFonts w:cs="Arial"/>
          <w:b/>
          <w:color w:val="000000"/>
          <w:sz w:val="20"/>
          <w:szCs w:val="20"/>
          <w:lang w:eastAsia="uk-UA"/>
        </w:rPr>
        <w:t xml:space="preserve">2 111 076,0 </w:t>
      </w:r>
      <w:r w:rsidRPr="00C2587D">
        <w:t>тис. грн</w:t>
      </w:r>
      <w:r w:rsidR="00240314" w:rsidRPr="00C2587D">
        <w:t>,</w:t>
      </w:r>
      <w:r w:rsidRPr="00C2587D">
        <w:t xml:space="preserve"> </w:t>
      </w:r>
      <w:r w:rsidR="00CA5A39">
        <w:t>коштом</w:t>
      </w:r>
      <w:r w:rsidR="00240314" w:rsidRPr="00C2587D">
        <w:t xml:space="preserve"> власного бюджету – бюджету громади, обласного бюджету, Державного бюджету Україну, інших бюджетів підприємств, установ та організацій громади та регіону, а також залучених коштів міжнародних донорських організацій</w:t>
      </w:r>
    </w:p>
    <w:p w14:paraId="73973FA3" w14:textId="292DC5A3" w:rsidR="004B7E26" w:rsidRPr="00C2587D" w:rsidRDefault="001D7DEE" w:rsidP="004B7E26">
      <w:pPr>
        <w:spacing w:after="10"/>
        <w:ind w:left="127" w:right="82"/>
        <w:jc w:val="both"/>
      </w:pPr>
      <w:r w:rsidRPr="00C2587D">
        <w:tab/>
      </w:r>
      <w:r w:rsidR="004B7E26" w:rsidRPr="00C2587D">
        <w:t>Планування потре</w:t>
      </w:r>
      <w:r w:rsidRPr="00C2587D">
        <w:t>би фінансового ресурсу на 2025-2028</w:t>
      </w:r>
      <w:r w:rsidR="004B7E26" w:rsidRPr="00C2587D">
        <w:t xml:space="preserve"> роки </w:t>
      </w:r>
      <w:r w:rsidRPr="00C2587D">
        <w:t xml:space="preserve">для впровадження Плану заходів </w:t>
      </w:r>
      <w:r w:rsidR="004B7E26" w:rsidRPr="00C2587D">
        <w:t xml:space="preserve"> є</w:t>
      </w:r>
      <w:r w:rsidRPr="00C2587D">
        <w:t xml:space="preserve"> достатньо рівномірним (рис.4</w:t>
      </w:r>
      <w:r w:rsidR="004B7E26" w:rsidRPr="00C2587D">
        <w:t xml:space="preserve">). </w:t>
      </w:r>
    </w:p>
    <w:p w14:paraId="6662F8BC" w14:textId="76953AFE" w:rsidR="001D7DEE" w:rsidRPr="00C2587D" w:rsidRDefault="001D7DEE" w:rsidP="004B7E26">
      <w:pPr>
        <w:spacing w:after="10"/>
        <w:ind w:left="127" w:right="82"/>
        <w:jc w:val="both"/>
      </w:pPr>
    </w:p>
    <w:p w14:paraId="467CF868" w14:textId="54BE4AFA" w:rsidR="001D7DEE" w:rsidRPr="00C2587D" w:rsidRDefault="00CA5A39" w:rsidP="00CA5A39">
      <w:pPr>
        <w:jc w:val="center"/>
      </w:pPr>
      <w:r>
        <w:rPr>
          <w:noProof/>
          <w:lang w:val="ru-RU"/>
        </w:rPr>
        <w:drawing>
          <wp:inline distT="0" distB="0" distL="0" distR="0" wp14:anchorId="1F37B783" wp14:editId="7DA40BA9">
            <wp:extent cx="5965678" cy="3498067"/>
            <wp:effectExtent l="0" t="0" r="0" b="762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76248" cy="3504265"/>
                    </a:xfrm>
                    <a:prstGeom prst="rect">
                      <a:avLst/>
                    </a:prstGeom>
                    <a:noFill/>
                  </pic:spPr>
                </pic:pic>
              </a:graphicData>
            </a:graphic>
          </wp:inline>
        </w:drawing>
      </w:r>
    </w:p>
    <w:p w14:paraId="14FC8F95" w14:textId="4FD040E7" w:rsidR="007320FF" w:rsidRPr="00FA52AB" w:rsidRDefault="001D7DEE" w:rsidP="00FA52AB">
      <w:pPr>
        <w:jc w:val="center"/>
      </w:pPr>
      <w:r w:rsidRPr="00FA52AB">
        <w:t>Рис.4 Потреба фінансового ресурсу по роках (тис.грн)</w:t>
      </w:r>
    </w:p>
    <w:p w14:paraId="0356AB19" w14:textId="2EEE9501" w:rsidR="007320FF" w:rsidRPr="00C2587D" w:rsidRDefault="007320FF" w:rsidP="007320FF"/>
    <w:p w14:paraId="47DE7DC5" w14:textId="19603F45" w:rsidR="007320FF" w:rsidRPr="00C2587D" w:rsidRDefault="007320FF" w:rsidP="007320FF">
      <w:pPr>
        <w:spacing w:after="41" w:line="266" w:lineRule="auto"/>
        <w:ind w:left="127" w:right="82" w:hanging="10"/>
        <w:jc w:val="both"/>
        <w:rPr>
          <w:rFonts w:eastAsia="Arial" w:cs="Arial"/>
          <w:color w:val="000000"/>
          <w:szCs w:val="22"/>
          <w:lang w:eastAsia="uk-UA"/>
        </w:rPr>
      </w:pPr>
      <w:r w:rsidRPr="00C2587D">
        <w:rPr>
          <w:rFonts w:eastAsia="Arial" w:cs="Arial"/>
          <w:color w:val="000000"/>
          <w:szCs w:val="22"/>
          <w:lang w:eastAsia="uk-UA"/>
        </w:rPr>
        <w:tab/>
      </w:r>
      <w:r w:rsidRPr="00C2587D">
        <w:rPr>
          <w:rFonts w:eastAsia="Arial" w:cs="Arial"/>
          <w:color w:val="000000"/>
          <w:szCs w:val="22"/>
          <w:lang w:eastAsia="uk-UA"/>
        </w:rPr>
        <w:tab/>
        <w:t>У 2025 році на потреби з реалізації проєктів місцевого розвитку планується залучити найменшу частку фінансового ресурсу, ви</w:t>
      </w:r>
      <w:r w:rsidR="00457823">
        <w:rPr>
          <w:rFonts w:eastAsia="Arial" w:cs="Arial"/>
          <w:color w:val="000000"/>
          <w:szCs w:val="22"/>
          <w:lang w:eastAsia="uk-UA"/>
        </w:rPr>
        <w:t>значеного у Плані заходів - 3,6%. Найбільшу частку 38,6</w:t>
      </w:r>
      <w:r w:rsidRPr="00C2587D">
        <w:rPr>
          <w:rFonts w:eastAsia="Arial" w:cs="Arial"/>
          <w:color w:val="000000"/>
          <w:szCs w:val="22"/>
          <w:lang w:eastAsia="uk-UA"/>
        </w:rPr>
        <w:t>% – у 2026 році</w:t>
      </w:r>
      <w:r w:rsidR="00457823">
        <w:rPr>
          <w:rFonts w:eastAsia="Arial" w:cs="Arial"/>
          <w:color w:val="000000"/>
          <w:szCs w:val="22"/>
          <w:lang w:eastAsia="uk-UA"/>
        </w:rPr>
        <w:t>. У 2027- році – відповідно 32,4</w:t>
      </w:r>
      <w:r w:rsidRPr="00C2587D">
        <w:rPr>
          <w:rFonts w:eastAsia="Arial" w:cs="Arial"/>
          <w:color w:val="000000"/>
          <w:szCs w:val="22"/>
          <w:lang w:eastAsia="uk-UA"/>
        </w:rPr>
        <w:t>% та у 2028 році – 2</w:t>
      </w:r>
      <w:r w:rsidR="00457823">
        <w:rPr>
          <w:rFonts w:eastAsia="Arial" w:cs="Arial"/>
          <w:color w:val="000000"/>
          <w:szCs w:val="22"/>
          <w:lang w:eastAsia="uk-UA"/>
        </w:rPr>
        <w:t>5,4</w:t>
      </w:r>
      <w:r w:rsidRPr="00C2587D">
        <w:rPr>
          <w:rFonts w:eastAsia="Arial" w:cs="Arial"/>
          <w:color w:val="000000"/>
          <w:szCs w:val="22"/>
          <w:lang w:eastAsia="uk-UA"/>
        </w:rPr>
        <w:t>%.</w:t>
      </w:r>
    </w:p>
    <w:p w14:paraId="76723072" w14:textId="6A462474" w:rsidR="000A0BCB" w:rsidRDefault="007320FF" w:rsidP="007320FF">
      <w:pPr>
        <w:spacing w:after="41" w:line="266" w:lineRule="auto"/>
        <w:ind w:left="127" w:right="82" w:hanging="10"/>
        <w:jc w:val="both"/>
        <w:rPr>
          <w:rFonts w:eastAsia="Arial" w:cs="Arial"/>
          <w:color w:val="000000"/>
          <w:szCs w:val="22"/>
          <w:lang w:eastAsia="uk-UA"/>
        </w:rPr>
      </w:pPr>
      <w:r w:rsidRPr="00C2587D">
        <w:rPr>
          <w:rFonts w:eastAsia="Arial" w:cs="Arial"/>
          <w:color w:val="000000"/>
          <w:szCs w:val="22"/>
          <w:lang w:eastAsia="uk-UA"/>
        </w:rPr>
        <w:tab/>
      </w:r>
    </w:p>
    <w:p w14:paraId="1FF15D8B" w14:textId="77777777" w:rsidR="000A0BCB" w:rsidRDefault="000A0BCB">
      <w:pPr>
        <w:rPr>
          <w:rFonts w:eastAsia="Arial" w:cs="Arial"/>
          <w:color w:val="000000"/>
          <w:szCs w:val="22"/>
          <w:lang w:eastAsia="uk-UA"/>
        </w:rPr>
      </w:pPr>
      <w:r>
        <w:rPr>
          <w:rFonts w:eastAsia="Arial" w:cs="Arial"/>
          <w:color w:val="000000"/>
          <w:szCs w:val="22"/>
          <w:lang w:eastAsia="uk-UA"/>
        </w:rPr>
        <w:br w:type="page"/>
      </w:r>
    </w:p>
    <w:p w14:paraId="17BDDFF9" w14:textId="77777777" w:rsidR="007A7369" w:rsidRDefault="007A7369" w:rsidP="007320FF">
      <w:pPr>
        <w:spacing w:after="41" w:line="266" w:lineRule="auto"/>
        <w:ind w:left="127" w:right="82" w:hanging="10"/>
        <w:jc w:val="both"/>
        <w:rPr>
          <w:rFonts w:eastAsia="Arial" w:cs="Arial"/>
          <w:color w:val="000000"/>
          <w:szCs w:val="22"/>
          <w:lang w:eastAsia="uk-UA"/>
        </w:rPr>
      </w:pPr>
    </w:p>
    <w:p w14:paraId="66B29BC6" w14:textId="18C270E8" w:rsidR="00240314" w:rsidRDefault="00217D4C" w:rsidP="00DB2EA7">
      <w:pPr>
        <w:spacing w:after="120"/>
        <w:ind w:left="130" w:right="79" w:hanging="11"/>
        <w:jc w:val="both"/>
        <w:rPr>
          <w:rFonts w:eastAsia="Arial" w:cs="Arial"/>
          <w:color w:val="000000"/>
          <w:szCs w:val="22"/>
          <w:lang w:eastAsia="uk-UA"/>
        </w:rPr>
      </w:pPr>
      <w:r w:rsidRPr="00C2587D">
        <w:rPr>
          <w:rFonts w:eastAsia="Arial" w:cs="Arial"/>
          <w:color w:val="000000"/>
          <w:szCs w:val="22"/>
          <w:lang w:eastAsia="uk-UA"/>
        </w:rPr>
        <w:t>Таблиця 3.1. Обсяг фінансування Плану заходів із реалізації Стратегії розвитку Жмеринської міської територіальної громади за стратегічними цілями</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82"/>
        <w:gridCol w:w="1300"/>
        <w:gridCol w:w="1300"/>
        <w:gridCol w:w="1300"/>
        <w:gridCol w:w="1883"/>
      </w:tblGrid>
      <w:tr w:rsidR="00240314" w:rsidRPr="00C2587D" w14:paraId="01DDAEF0" w14:textId="77777777" w:rsidTr="00DB2EA7">
        <w:trPr>
          <w:trHeight w:val="1048"/>
        </w:trPr>
        <w:tc>
          <w:tcPr>
            <w:tcW w:w="4282" w:type="dxa"/>
            <w:vAlign w:val="center"/>
          </w:tcPr>
          <w:p w14:paraId="6D0EE939" w14:textId="704D3ED6" w:rsidR="00240314" w:rsidRPr="00C2587D" w:rsidRDefault="00240314" w:rsidP="00AB3F9D">
            <w:pPr>
              <w:autoSpaceDE w:val="0"/>
              <w:autoSpaceDN w:val="0"/>
              <w:adjustRightInd w:val="0"/>
              <w:jc w:val="center"/>
              <w:rPr>
                <w:rFonts w:cs="Arial"/>
                <w:color w:val="000000"/>
                <w:sz w:val="20"/>
                <w:szCs w:val="20"/>
                <w:lang w:eastAsia="uk-UA"/>
              </w:rPr>
            </w:pPr>
            <w:r w:rsidRPr="00C2587D">
              <w:rPr>
                <w:rFonts w:cs="Arial"/>
                <w:b/>
                <w:bCs/>
                <w:color w:val="000000"/>
                <w:sz w:val="20"/>
                <w:szCs w:val="20"/>
                <w:lang w:eastAsia="uk-UA"/>
              </w:rPr>
              <w:t>Стратегічна ціль</w:t>
            </w:r>
          </w:p>
        </w:tc>
        <w:tc>
          <w:tcPr>
            <w:tcW w:w="1300" w:type="dxa"/>
            <w:vAlign w:val="center"/>
          </w:tcPr>
          <w:p w14:paraId="701617EE" w14:textId="5E707F37" w:rsidR="00240314" w:rsidRPr="00C2587D" w:rsidRDefault="00240314" w:rsidP="00AB3F9D">
            <w:pPr>
              <w:autoSpaceDE w:val="0"/>
              <w:autoSpaceDN w:val="0"/>
              <w:adjustRightInd w:val="0"/>
              <w:jc w:val="center"/>
              <w:rPr>
                <w:rFonts w:cs="Arial"/>
                <w:color w:val="000000"/>
                <w:sz w:val="20"/>
                <w:szCs w:val="20"/>
                <w:lang w:eastAsia="uk-UA"/>
              </w:rPr>
            </w:pPr>
            <w:r w:rsidRPr="00C2587D">
              <w:rPr>
                <w:rFonts w:cs="Arial"/>
                <w:b/>
                <w:bCs/>
                <w:color w:val="000000"/>
                <w:sz w:val="20"/>
                <w:szCs w:val="20"/>
                <w:lang w:eastAsia="uk-UA"/>
              </w:rPr>
              <w:t>Період реалізації, роки</w:t>
            </w:r>
          </w:p>
        </w:tc>
        <w:tc>
          <w:tcPr>
            <w:tcW w:w="1300" w:type="dxa"/>
            <w:vAlign w:val="center"/>
          </w:tcPr>
          <w:p w14:paraId="1AA0F8C7" w14:textId="1CCD5B57" w:rsidR="00240314" w:rsidRPr="00C2587D" w:rsidRDefault="00240314" w:rsidP="00AB3F9D">
            <w:pPr>
              <w:autoSpaceDE w:val="0"/>
              <w:autoSpaceDN w:val="0"/>
              <w:adjustRightInd w:val="0"/>
              <w:jc w:val="center"/>
              <w:rPr>
                <w:rFonts w:cs="Arial"/>
                <w:color w:val="000000"/>
                <w:sz w:val="20"/>
                <w:szCs w:val="20"/>
                <w:lang w:eastAsia="uk-UA"/>
              </w:rPr>
            </w:pPr>
            <w:r w:rsidRPr="00C2587D">
              <w:rPr>
                <w:rFonts w:cs="Arial"/>
                <w:b/>
                <w:bCs/>
                <w:color w:val="000000"/>
                <w:sz w:val="20"/>
                <w:szCs w:val="20"/>
                <w:lang w:eastAsia="uk-UA"/>
              </w:rPr>
              <w:t>Кількість проєктів</w:t>
            </w:r>
          </w:p>
        </w:tc>
        <w:tc>
          <w:tcPr>
            <w:tcW w:w="1300" w:type="dxa"/>
            <w:vAlign w:val="center"/>
          </w:tcPr>
          <w:p w14:paraId="2C74B2C0" w14:textId="0D35E3D6" w:rsidR="00240314" w:rsidRPr="00C2587D" w:rsidRDefault="00240314" w:rsidP="00AB3F9D">
            <w:pPr>
              <w:autoSpaceDE w:val="0"/>
              <w:autoSpaceDN w:val="0"/>
              <w:adjustRightInd w:val="0"/>
              <w:jc w:val="center"/>
              <w:rPr>
                <w:rFonts w:cs="Arial"/>
                <w:color w:val="000000"/>
                <w:sz w:val="20"/>
                <w:szCs w:val="20"/>
                <w:lang w:eastAsia="uk-UA"/>
              </w:rPr>
            </w:pPr>
            <w:r w:rsidRPr="00C2587D">
              <w:rPr>
                <w:rFonts w:cs="Arial"/>
                <w:b/>
                <w:bCs/>
                <w:color w:val="000000"/>
                <w:sz w:val="20"/>
                <w:szCs w:val="20"/>
                <w:lang w:eastAsia="uk-UA"/>
              </w:rPr>
              <w:t>Кількість місцевих програм</w:t>
            </w:r>
          </w:p>
        </w:tc>
        <w:tc>
          <w:tcPr>
            <w:tcW w:w="1883" w:type="dxa"/>
            <w:vAlign w:val="center"/>
          </w:tcPr>
          <w:p w14:paraId="13FA3C08" w14:textId="67724A4D" w:rsidR="00240314" w:rsidRPr="00C2587D" w:rsidRDefault="00240314" w:rsidP="00AB3F9D">
            <w:pPr>
              <w:autoSpaceDE w:val="0"/>
              <w:autoSpaceDN w:val="0"/>
              <w:adjustRightInd w:val="0"/>
              <w:jc w:val="center"/>
              <w:rPr>
                <w:rFonts w:cs="Arial"/>
                <w:color w:val="000000"/>
                <w:sz w:val="20"/>
                <w:szCs w:val="20"/>
                <w:lang w:eastAsia="uk-UA"/>
              </w:rPr>
            </w:pPr>
            <w:r w:rsidRPr="00C2587D">
              <w:rPr>
                <w:rFonts w:cs="Arial"/>
                <w:b/>
                <w:bCs/>
                <w:color w:val="000000"/>
                <w:sz w:val="20"/>
                <w:szCs w:val="20"/>
                <w:lang w:eastAsia="uk-UA"/>
              </w:rPr>
              <w:t>Орієнтовний обсяг фінансування, тис. грн</w:t>
            </w:r>
          </w:p>
        </w:tc>
      </w:tr>
      <w:tr w:rsidR="00240314" w:rsidRPr="00C2587D" w14:paraId="171CBAF7" w14:textId="77777777" w:rsidTr="00DB2EA7">
        <w:trPr>
          <w:trHeight w:val="825"/>
        </w:trPr>
        <w:tc>
          <w:tcPr>
            <w:tcW w:w="4282" w:type="dxa"/>
            <w:vAlign w:val="center"/>
          </w:tcPr>
          <w:p w14:paraId="308CF139" w14:textId="44B3AF02" w:rsidR="00240314" w:rsidRPr="00C2587D" w:rsidRDefault="00240314" w:rsidP="007A7369">
            <w:pPr>
              <w:autoSpaceDE w:val="0"/>
              <w:autoSpaceDN w:val="0"/>
              <w:adjustRightInd w:val="0"/>
              <w:jc w:val="both"/>
              <w:rPr>
                <w:rFonts w:cs="Arial"/>
                <w:color w:val="000000"/>
                <w:sz w:val="20"/>
                <w:szCs w:val="20"/>
                <w:lang w:eastAsia="uk-UA"/>
              </w:rPr>
            </w:pPr>
            <w:r w:rsidRPr="00C2587D">
              <w:rPr>
                <w:rFonts w:cs="Arial"/>
                <w:b/>
                <w:bCs/>
                <w:color w:val="000000"/>
                <w:sz w:val="20"/>
                <w:szCs w:val="20"/>
                <w:lang w:eastAsia="uk-UA"/>
              </w:rPr>
              <w:t>Стратегічний напрям А. «Інвестиційно приваблива громада із розвиненим експортно - орієнтованим бізнесом»</w:t>
            </w:r>
          </w:p>
        </w:tc>
        <w:tc>
          <w:tcPr>
            <w:tcW w:w="1300" w:type="dxa"/>
            <w:vAlign w:val="center"/>
          </w:tcPr>
          <w:p w14:paraId="2A0EEEDA" w14:textId="090EA7B1" w:rsidR="00240314" w:rsidRPr="00C2587D" w:rsidRDefault="00240314" w:rsidP="007A7369">
            <w:pPr>
              <w:autoSpaceDE w:val="0"/>
              <w:autoSpaceDN w:val="0"/>
              <w:adjustRightInd w:val="0"/>
              <w:jc w:val="center"/>
              <w:rPr>
                <w:rFonts w:cs="Arial"/>
                <w:color w:val="000000"/>
                <w:sz w:val="20"/>
                <w:szCs w:val="20"/>
                <w:lang w:eastAsia="uk-UA"/>
              </w:rPr>
            </w:pPr>
            <w:r w:rsidRPr="00C2587D">
              <w:rPr>
                <w:rFonts w:cs="Arial"/>
                <w:color w:val="000000"/>
                <w:sz w:val="20"/>
                <w:szCs w:val="20"/>
                <w:lang w:eastAsia="uk-UA"/>
              </w:rPr>
              <w:t>2025 - 2028</w:t>
            </w:r>
          </w:p>
        </w:tc>
        <w:tc>
          <w:tcPr>
            <w:tcW w:w="1300" w:type="dxa"/>
            <w:vAlign w:val="center"/>
          </w:tcPr>
          <w:p w14:paraId="19EDF531" w14:textId="535E3040" w:rsidR="00240314" w:rsidRPr="00C2587D" w:rsidRDefault="000A0BCB" w:rsidP="007A7369">
            <w:pPr>
              <w:autoSpaceDE w:val="0"/>
              <w:autoSpaceDN w:val="0"/>
              <w:adjustRightInd w:val="0"/>
              <w:jc w:val="center"/>
              <w:rPr>
                <w:rFonts w:cs="Arial"/>
                <w:color w:val="000000"/>
                <w:sz w:val="20"/>
                <w:szCs w:val="20"/>
                <w:lang w:eastAsia="uk-UA"/>
              </w:rPr>
            </w:pPr>
            <w:r>
              <w:rPr>
                <w:rFonts w:cs="Arial"/>
                <w:color w:val="000000"/>
                <w:sz w:val="20"/>
                <w:szCs w:val="20"/>
                <w:lang w:eastAsia="uk-UA"/>
              </w:rPr>
              <w:t>22</w:t>
            </w:r>
          </w:p>
        </w:tc>
        <w:tc>
          <w:tcPr>
            <w:tcW w:w="1300" w:type="dxa"/>
            <w:vAlign w:val="center"/>
          </w:tcPr>
          <w:p w14:paraId="58E42407" w14:textId="709D90CC" w:rsidR="00240314" w:rsidRPr="00C2587D" w:rsidRDefault="003F0688" w:rsidP="007A7369">
            <w:pPr>
              <w:autoSpaceDE w:val="0"/>
              <w:autoSpaceDN w:val="0"/>
              <w:adjustRightInd w:val="0"/>
              <w:jc w:val="center"/>
              <w:rPr>
                <w:rFonts w:cs="Arial"/>
                <w:color w:val="000000"/>
                <w:sz w:val="20"/>
                <w:szCs w:val="20"/>
                <w:lang w:eastAsia="uk-UA"/>
              </w:rPr>
            </w:pPr>
            <w:r w:rsidRPr="00C2587D">
              <w:rPr>
                <w:rFonts w:cs="Arial"/>
                <w:color w:val="000000"/>
                <w:sz w:val="20"/>
                <w:szCs w:val="20"/>
                <w:lang w:eastAsia="uk-UA"/>
              </w:rPr>
              <w:t>8</w:t>
            </w:r>
          </w:p>
        </w:tc>
        <w:tc>
          <w:tcPr>
            <w:tcW w:w="1883" w:type="dxa"/>
            <w:vAlign w:val="center"/>
          </w:tcPr>
          <w:p w14:paraId="43470878" w14:textId="24147CD6" w:rsidR="00240314" w:rsidRPr="00C2587D" w:rsidRDefault="00F3008E" w:rsidP="007A7369">
            <w:pPr>
              <w:autoSpaceDE w:val="0"/>
              <w:autoSpaceDN w:val="0"/>
              <w:adjustRightInd w:val="0"/>
              <w:jc w:val="center"/>
              <w:rPr>
                <w:rFonts w:cs="Arial"/>
                <w:color w:val="000000"/>
                <w:sz w:val="20"/>
                <w:szCs w:val="20"/>
                <w:lang w:eastAsia="uk-UA"/>
              </w:rPr>
            </w:pPr>
            <w:r>
              <w:rPr>
                <w:rFonts w:cs="Arial"/>
                <w:color w:val="000000"/>
                <w:sz w:val="20"/>
                <w:szCs w:val="20"/>
                <w:lang w:eastAsia="uk-UA"/>
              </w:rPr>
              <w:t>511 131,3</w:t>
            </w:r>
          </w:p>
        </w:tc>
      </w:tr>
      <w:tr w:rsidR="00240314" w:rsidRPr="00C2587D" w14:paraId="36D05CE2" w14:textId="77777777" w:rsidTr="00DB2EA7">
        <w:trPr>
          <w:trHeight w:val="708"/>
        </w:trPr>
        <w:tc>
          <w:tcPr>
            <w:tcW w:w="4282" w:type="dxa"/>
            <w:vAlign w:val="center"/>
          </w:tcPr>
          <w:p w14:paraId="443D4144" w14:textId="04EABC91" w:rsidR="00240314" w:rsidRPr="00C2587D" w:rsidRDefault="003F0688" w:rsidP="007A7369">
            <w:pPr>
              <w:autoSpaceDE w:val="0"/>
              <w:autoSpaceDN w:val="0"/>
              <w:adjustRightInd w:val="0"/>
              <w:jc w:val="both"/>
              <w:rPr>
                <w:rFonts w:cs="Arial"/>
                <w:color w:val="000000"/>
                <w:sz w:val="20"/>
                <w:szCs w:val="20"/>
                <w:lang w:eastAsia="uk-UA"/>
              </w:rPr>
            </w:pPr>
            <w:r w:rsidRPr="00C2587D">
              <w:rPr>
                <w:rFonts w:cs="Arial"/>
                <w:b/>
                <w:bCs/>
                <w:color w:val="000000"/>
                <w:sz w:val="20"/>
                <w:szCs w:val="20"/>
                <w:lang w:eastAsia="uk-UA"/>
              </w:rPr>
              <w:t>Стратегічний напрям В. «Комфортна громада»</w:t>
            </w:r>
          </w:p>
        </w:tc>
        <w:tc>
          <w:tcPr>
            <w:tcW w:w="1300" w:type="dxa"/>
            <w:vAlign w:val="center"/>
          </w:tcPr>
          <w:p w14:paraId="7CFD95A2" w14:textId="08D43CB0" w:rsidR="00240314" w:rsidRPr="00C2587D" w:rsidRDefault="003F0688" w:rsidP="007A7369">
            <w:pPr>
              <w:autoSpaceDE w:val="0"/>
              <w:autoSpaceDN w:val="0"/>
              <w:adjustRightInd w:val="0"/>
              <w:jc w:val="center"/>
              <w:rPr>
                <w:rFonts w:cs="Arial"/>
                <w:color w:val="000000"/>
                <w:sz w:val="20"/>
                <w:szCs w:val="20"/>
                <w:lang w:eastAsia="uk-UA"/>
              </w:rPr>
            </w:pPr>
            <w:r w:rsidRPr="00C2587D">
              <w:rPr>
                <w:rFonts w:cs="Arial"/>
                <w:color w:val="000000"/>
                <w:sz w:val="20"/>
                <w:szCs w:val="20"/>
                <w:lang w:eastAsia="uk-UA"/>
              </w:rPr>
              <w:t>2025- 2028</w:t>
            </w:r>
          </w:p>
        </w:tc>
        <w:tc>
          <w:tcPr>
            <w:tcW w:w="1300" w:type="dxa"/>
            <w:vAlign w:val="center"/>
          </w:tcPr>
          <w:p w14:paraId="27625014" w14:textId="3228DFC8" w:rsidR="00240314" w:rsidRPr="00C2587D" w:rsidRDefault="003F0688" w:rsidP="007A7369">
            <w:pPr>
              <w:autoSpaceDE w:val="0"/>
              <w:autoSpaceDN w:val="0"/>
              <w:adjustRightInd w:val="0"/>
              <w:jc w:val="center"/>
              <w:rPr>
                <w:rFonts w:cs="Arial"/>
                <w:color w:val="000000"/>
                <w:sz w:val="20"/>
                <w:szCs w:val="20"/>
                <w:lang w:eastAsia="uk-UA"/>
              </w:rPr>
            </w:pPr>
            <w:r w:rsidRPr="00C2587D">
              <w:rPr>
                <w:rFonts w:cs="Arial"/>
                <w:color w:val="000000"/>
                <w:sz w:val="20"/>
                <w:szCs w:val="20"/>
                <w:lang w:eastAsia="uk-UA"/>
              </w:rPr>
              <w:t>6</w:t>
            </w:r>
            <w:r w:rsidR="006D4DBC" w:rsidRPr="00C2587D">
              <w:rPr>
                <w:rFonts w:cs="Arial"/>
                <w:color w:val="000000"/>
                <w:sz w:val="20"/>
                <w:szCs w:val="20"/>
                <w:lang w:eastAsia="uk-UA"/>
              </w:rPr>
              <w:t>1</w:t>
            </w:r>
          </w:p>
        </w:tc>
        <w:tc>
          <w:tcPr>
            <w:tcW w:w="1300" w:type="dxa"/>
            <w:vAlign w:val="center"/>
          </w:tcPr>
          <w:p w14:paraId="01A6DC39" w14:textId="7588853D" w:rsidR="00240314" w:rsidRPr="00C2587D" w:rsidRDefault="003F0688" w:rsidP="007A7369">
            <w:pPr>
              <w:autoSpaceDE w:val="0"/>
              <w:autoSpaceDN w:val="0"/>
              <w:adjustRightInd w:val="0"/>
              <w:jc w:val="center"/>
              <w:rPr>
                <w:rFonts w:cs="Arial"/>
                <w:color w:val="000000"/>
                <w:sz w:val="20"/>
                <w:szCs w:val="20"/>
                <w:lang w:eastAsia="uk-UA"/>
              </w:rPr>
            </w:pPr>
            <w:r w:rsidRPr="00C2587D">
              <w:rPr>
                <w:rFonts w:cs="Arial"/>
                <w:color w:val="000000"/>
                <w:sz w:val="20"/>
                <w:szCs w:val="20"/>
                <w:lang w:eastAsia="uk-UA"/>
              </w:rPr>
              <w:t>15</w:t>
            </w:r>
          </w:p>
        </w:tc>
        <w:tc>
          <w:tcPr>
            <w:tcW w:w="1883" w:type="dxa"/>
            <w:vAlign w:val="center"/>
          </w:tcPr>
          <w:p w14:paraId="795B18B9" w14:textId="7B9FFDE9" w:rsidR="00240314" w:rsidRPr="00C2587D" w:rsidRDefault="00F3008E" w:rsidP="007A7369">
            <w:pPr>
              <w:autoSpaceDE w:val="0"/>
              <w:autoSpaceDN w:val="0"/>
              <w:adjustRightInd w:val="0"/>
              <w:jc w:val="center"/>
              <w:rPr>
                <w:rFonts w:cs="Arial"/>
                <w:color w:val="000000"/>
                <w:sz w:val="20"/>
                <w:szCs w:val="20"/>
                <w:lang w:eastAsia="uk-UA"/>
              </w:rPr>
            </w:pPr>
            <w:r>
              <w:rPr>
                <w:rFonts w:cs="Arial"/>
                <w:color w:val="000000"/>
                <w:sz w:val="20"/>
                <w:szCs w:val="20"/>
                <w:lang w:eastAsia="uk-UA"/>
              </w:rPr>
              <w:t>528 421,7</w:t>
            </w:r>
          </w:p>
        </w:tc>
      </w:tr>
      <w:tr w:rsidR="00240314" w:rsidRPr="00C2587D" w14:paraId="1A2DE416" w14:textId="77777777" w:rsidTr="00DB2EA7">
        <w:trPr>
          <w:trHeight w:val="701"/>
        </w:trPr>
        <w:tc>
          <w:tcPr>
            <w:tcW w:w="4282" w:type="dxa"/>
            <w:vAlign w:val="center"/>
          </w:tcPr>
          <w:p w14:paraId="728809DD" w14:textId="30D38598" w:rsidR="00240314" w:rsidRPr="00C2587D" w:rsidRDefault="003F0688" w:rsidP="007A7369">
            <w:pPr>
              <w:autoSpaceDE w:val="0"/>
              <w:autoSpaceDN w:val="0"/>
              <w:adjustRightInd w:val="0"/>
              <w:jc w:val="both"/>
              <w:rPr>
                <w:rFonts w:cs="Arial"/>
                <w:color w:val="000000"/>
                <w:sz w:val="20"/>
                <w:szCs w:val="20"/>
                <w:lang w:eastAsia="uk-UA"/>
              </w:rPr>
            </w:pPr>
            <w:r w:rsidRPr="00C2587D">
              <w:rPr>
                <w:rFonts w:cs="Arial"/>
                <w:b/>
                <w:bCs/>
                <w:color w:val="000000"/>
                <w:sz w:val="20"/>
                <w:szCs w:val="20"/>
                <w:lang w:eastAsia="uk-UA"/>
              </w:rPr>
              <w:t>Стратегічний напрям С. «Доступна громада»</w:t>
            </w:r>
          </w:p>
        </w:tc>
        <w:tc>
          <w:tcPr>
            <w:tcW w:w="1300" w:type="dxa"/>
            <w:vAlign w:val="center"/>
          </w:tcPr>
          <w:p w14:paraId="67EF533A" w14:textId="0809C9BE" w:rsidR="00240314" w:rsidRPr="00C2587D" w:rsidRDefault="003F0688" w:rsidP="007A7369">
            <w:pPr>
              <w:autoSpaceDE w:val="0"/>
              <w:autoSpaceDN w:val="0"/>
              <w:adjustRightInd w:val="0"/>
              <w:jc w:val="center"/>
              <w:rPr>
                <w:rFonts w:cs="Arial"/>
                <w:color w:val="000000"/>
                <w:sz w:val="20"/>
                <w:szCs w:val="20"/>
                <w:lang w:eastAsia="uk-UA"/>
              </w:rPr>
            </w:pPr>
            <w:r w:rsidRPr="00C2587D">
              <w:rPr>
                <w:rFonts w:cs="Arial"/>
                <w:color w:val="000000"/>
                <w:sz w:val="20"/>
                <w:szCs w:val="20"/>
                <w:lang w:eastAsia="uk-UA"/>
              </w:rPr>
              <w:t>2025</w:t>
            </w:r>
            <w:r w:rsidR="00240314" w:rsidRPr="00C2587D">
              <w:rPr>
                <w:rFonts w:cs="Arial"/>
                <w:color w:val="000000"/>
                <w:sz w:val="20"/>
                <w:szCs w:val="20"/>
                <w:lang w:eastAsia="uk-UA"/>
              </w:rPr>
              <w:t xml:space="preserve"> - 202</w:t>
            </w:r>
            <w:r w:rsidRPr="00C2587D">
              <w:rPr>
                <w:rFonts w:cs="Arial"/>
                <w:color w:val="000000"/>
                <w:sz w:val="20"/>
                <w:szCs w:val="20"/>
                <w:lang w:eastAsia="uk-UA"/>
              </w:rPr>
              <w:t>8</w:t>
            </w:r>
          </w:p>
        </w:tc>
        <w:tc>
          <w:tcPr>
            <w:tcW w:w="1300" w:type="dxa"/>
            <w:vAlign w:val="center"/>
          </w:tcPr>
          <w:p w14:paraId="6358C04B" w14:textId="1B9E6BEC" w:rsidR="00240314" w:rsidRPr="00C2587D" w:rsidRDefault="00582887" w:rsidP="007A7369">
            <w:pPr>
              <w:autoSpaceDE w:val="0"/>
              <w:autoSpaceDN w:val="0"/>
              <w:adjustRightInd w:val="0"/>
              <w:jc w:val="center"/>
              <w:rPr>
                <w:rFonts w:cs="Arial"/>
                <w:color w:val="000000"/>
                <w:sz w:val="20"/>
                <w:szCs w:val="20"/>
                <w:lang w:eastAsia="uk-UA"/>
              </w:rPr>
            </w:pPr>
            <w:r>
              <w:rPr>
                <w:rFonts w:cs="Arial"/>
                <w:color w:val="000000"/>
                <w:sz w:val="20"/>
                <w:szCs w:val="20"/>
                <w:lang w:eastAsia="uk-UA"/>
              </w:rPr>
              <w:t>77</w:t>
            </w:r>
          </w:p>
        </w:tc>
        <w:tc>
          <w:tcPr>
            <w:tcW w:w="1300" w:type="dxa"/>
            <w:vAlign w:val="center"/>
          </w:tcPr>
          <w:p w14:paraId="5ED5F07C" w14:textId="470F7C0E" w:rsidR="00240314" w:rsidRPr="00C2587D" w:rsidRDefault="003F0688" w:rsidP="007A7369">
            <w:pPr>
              <w:autoSpaceDE w:val="0"/>
              <w:autoSpaceDN w:val="0"/>
              <w:adjustRightInd w:val="0"/>
              <w:jc w:val="center"/>
              <w:rPr>
                <w:rFonts w:cs="Arial"/>
                <w:color w:val="000000"/>
                <w:sz w:val="20"/>
                <w:szCs w:val="20"/>
                <w:lang w:eastAsia="uk-UA"/>
              </w:rPr>
            </w:pPr>
            <w:r w:rsidRPr="00C2587D">
              <w:rPr>
                <w:rFonts w:cs="Arial"/>
                <w:color w:val="000000"/>
                <w:sz w:val="20"/>
                <w:szCs w:val="20"/>
                <w:lang w:eastAsia="uk-UA"/>
              </w:rPr>
              <w:t>20</w:t>
            </w:r>
          </w:p>
        </w:tc>
        <w:tc>
          <w:tcPr>
            <w:tcW w:w="1883" w:type="dxa"/>
            <w:vAlign w:val="center"/>
          </w:tcPr>
          <w:p w14:paraId="5077ACD2" w14:textId="7488DE4F" w:rsidR="00240314" w:rsidRPr="00C2587D" w:rsidRDefault="00582887" w:rsidP="007A7369">
            <w:pPr>
              <w:autoSpaceDE w:val="0"/>
              <w:autoSpaceDN w:val="0"/>
              <w:adjustRightInd w:val="0"/>
              <w:jc w:val="center"/>
              <w:rPr>
                <w:rFonts w:cs="Arial"/>
                <w:color w:val="000000"/>
                <w:sz w:val="20"/>
                <w:szCs w:val="20"/>
                <w:lang w:eastAsia="uk-UA"/>
              </w:rPr>
            </w:pPr>
            <w:r>
              <w:rPr>
                <w:rFonts w:cs="Arial"/>
                <w:color w:val="000000"/>
                <w:sz w:val="20"/>
                <w:szCs w:val="20"/>
                <w:lang w:eastAsia="uk-UA"/>
              </w:rPr>
              <w:t>1 071 5</w:t>
            </w:r>
            <w:r w:rsidR="00211FF4">
              <w:rPr>
                <w:rFonts w:cs="Arial"/>
                <w:color w:val="000000"/>
                <w:sz w:val="20"/>
                <w:szCs w:val="20"/>
                <w:lang w:eastAsia="uk-UA"/>
              </w:rPr>
              <w:t>23,0</w:t>
            </w:r>
          </w:p>
        </w:tc>
      </w:tr>
      <w:tr w:rsidR="003F0688" w:rsidRPr="00C2587D" w14:paraId="62D33C4E" w14:textId="77777777" w:rsidTr="00DB2EA7">
        <w:trPr>
          <w:trHeight w:val="497"/>
        </w:trPr>
        <w:tc>
          <w:tcPr>
            <w:tcW w:w="4282" w:type="dxa"/>
            <w:vAlign w:val="center"/>
          </w:tcPr>
          <w:p w14:paraId="2780C6E4" w14:textId="2F30CC46" w:rsidR="003F0688" w:rsidRPr="00C2587D" w:rsidRDefault="003F0688" w:rsidP="007A7369">
            <w:pPr>
              <w:autoSpaceDE w:val="0"/>
              <w:autoSpaceDN w:val="0"/>
              <w:adjustRightInd w:val="0"/>
              <w:jc w:val="both"/>
              <w:rPr>
                <w:rFonts w:cs="Arial"/>
                <w:b/>
                <w:bCs/>
                <w:color w:val="000000"/>
                <w:sz w:val="20"/>
                <w:szCs w:val="20"/>
                <w:lang w:eastAsia="uk-UA"/>
              </w:rPr>
            </w:pPr>
            <w:r w:rsidRPr="00C2587D">
              <w:rPr>
                <w:rFonts w:cs="Arial"/>
                <w:b/>
                <w:bCs/>
                <w:color w:val="000000"/>
                <w:sz w:val="20"/>
                <w:szCs w:val="20"/>
                <w:lang w:eastAsia="uk-UA"/>
              </w:rPr>
              <w:t>ВСЬОГО:</w:t>
            </w:r>
          </w:p>
        </w:tc>
        <w:tc>
          <w:tcPr>
            <w:tcW w:w="1300" w:type="dxa"/>
            <w:vAlign w:val="center"/>
          </w:tcPr>
          <w:p w14:paraId="125ADE5D" w14:textId="77777777" w:rsidR="003F0688" w:rsidRPr="00C2587D" w:rsidRDefault="003F0688" w:rsidP="007A7369">
            <w:pPr>
              <w:autoSpaceDE w:val="0"/>
              <w:autoSpaceDN w:val="0"/>
              <w:adjustRightInd w:val="0"/>
              <w:jc w:val="center"/>
              <w:rPr>
                <w:rFonts w:cs="Arial"/>
                <w:color w:val="000000"/>
                <w:sz w:val="20"/>
                <w:szCs w:val="20"/>
                <w:lang w:eastAsia="uk-UA"/>
              </w:rPr>
            </w:pPr>
          </w:p>
        </w:tc>
        <w:tc>
          <w:tcPr>
            <w:tcW w:w="1300" w:type="dxa"/>
            <w:vAlign w:val="center"/>
          </w:tcPr>
          <w:p w14:paraId="43115ED7" w14:textId="7C5754A5" w:rsidR="003F0688" w:rsidRPr="00C2587D" w:rsidRDefault="000A0BCB" w:rsidP="007A7369">
            <w:pPr>
              <w:autoSpaceDE w:val="0"/>
              <w:autoSpaceDN w:val="0"/>
              <w:adjustRightInd w:val="0"/>
              <w:jc w:val="center"/>
              <w:rPr>
                <w:rFonts w:cs="Arial"/>
                <w:b/>
                <w:color w:val="000000"/>
                <w:sz w:val="20"/>
                <w:szCs w:val="20"/>
                <w:lang w:eastAsia="uk-UA"/>
              </w:rPr>
            </w:pPr>
            <w:r>
              <w:rPr>
                <w:rFonts w:cs="Arial"/>
                <w:b/>
                <w:color w:val="000000"/>
                <w:sz w:val="20"/>
                <w:szCs w:val="20"/>
                <w:lang w:eastAsia="uk-UA"/>
              </w:rPr>
              <w:t>1</w:t>
            </w:r>
            <w:r w:rsidR="0015698C">
              <w:rPr>
                <w:rFonts w:cs="Arial"/>
                <w:b/>
                <w:color w:val="000000"/>
                <w:sz w:val="20"/>
                <w:szCs w:val="20"/>
                <w:lang w:eastAsia="uk-UA"/>
              </w:rPr>
              <w:t>60</w:t>
            </w:r>
          </w:p>
        </w:tc>
        <w:tc>
          <w:tcPr>
            <w:tcW w:w="1300" w:type="dxa"/>
            <w:vAlign w:val="center"/>
          </w:tcPr>
          <w:p w14:paraId="0C703BC5" w14:textId="2F87E556" w:rsidR="003F0688" w:rsidRPr="00C2587D" w:rsidRDefault="003F0688" w:rsidP="007A7369">
            <w:pPr>
              <w:autoSpaceDE w:val="0"/>
              <w:autoSpaceDN w:val="0"/>
              <w:adjustRightInd w:val="0"/>
              <w:jc w:val="center"/>
              <w:rPr>
                <w:rFonts w:cs="Arial"/>
                <w:b/>
                <w:color w:val="000000"/>
                <w:sz w:val="20"/>
                <w:szCs w:val="20"/>
                <w:lang w:eastAsia="uk-UA"/>
              </w:rPr>
            </w:pPr>
            <w:r w:rsidRPr="00C2587D">
              <w:rPr>
                <w:rFonts w:cs="Arial"/>
                <w:b/>
                <w:color w:val="000000"/>
                <w:sz w:val="20"/>
                <w:szCs w:val="20"/>
                <w:lang w:eastAsia="uk-UA"/>
              </w:rPr>
              <w:t>43</w:t>
            </w:r>
          </w:p>
        </w:tc>
        <w:tc>
          <w:tcPr>
            <w:tcW w:w="1883" w:type="dxa"/>
            <w:vAlign w:val="center"/>
          </w:tcPr>
          <w:p w14:paraId="48B1A9FD" w14:textId="10D937EC" w:rsidR="003F0688" w:rsidRPr="00C2587D" w:rsidRDefault="003F390F" w:rsidP="003F390F">
            <w:pPr>
              <w:autoSpaceDE w:val="0"/>
              <w:autoSpaceDN w:val="0"/>
              <w:adjustRightInd w:val="0"/>
              <w:jc w:val="center"/>
              <w:rPr>
                <w:rFonts w:cs="Arial"/>
                <w:b/>
                <w:color w:val="000000"/>
                <w:sz w:val="20"/>
                <w:szCs w:val="20"/>
                <w:lang w:eastAsia="uk-UA"/>
              </w:rPr>
            </w:pPr>
            <w:r>
              <w:rPr>
                <w:rFonts w:cs="Arial"/>
                <w:b/>
                <w:color w:val="000000"/>
                <w:sz w:val="20"/>
                <w:szCs w:val="20"/>
                <w:lang w:eastAsia="uk-UA"/>
              </w:rPr>
              <w:t>2 111 0</w:t>
            </w:r>
            <w:r w:rsidR="00F3008E">
              <w:rPr>
                <w:rFonts w:cs="Arial"/>
                <w:b/>
                <w:color w:val="000000"/>
                <w:sz w:val="20"/>
                <w:szCs w:val="20"/>
                <w:lang w:eastAsia="uk-UA"/>
              </w:rPr>
              <w:t>76,0</w:t>
            </w:r>
          </w:p>
        </w:tc>
      </w:tr>
    </w:tbl>
    <w:p w14:paraId="29C224BE" w14:textId="77777777" w:rsidR="007A7369" w:rsidRDefault="007A7369" w:rsidP="007320FF">
      <w:pPr>
        <w:spacing w:after="41" w:line="266" w:lineRule="auto"/>
        <w:ind w:left="127" w:right="82" w:hanging="10"/>
        <w:jc w:val="both"/>
        <w:rPr>
          <w:rFonts w:eastAsia="Arial" w:cs="Arial"/>
          <w:color w:val="000000"/>
          <w:szCs w:val="22"/>
          <w:lang w:eastAsia="uk-UA"/>
        </w:rPr>
      </w:pPr>
    </w:p>
    <w:p w14:paraId="506B09E8" w14:textId="76C97609" w:rsidR="00240314" w:rsidRPr="00C2587D" w:rsidRDefault="00BC7F59" w:rsidP="00FF28D2">
      <w:pPr>
        <w:spacing w:after="120"/>
        <w:ind w:left="130" w:right="79" w:hanging="11"/>
        <w:jc w:val="both"/>
        <w:rPr>
          <w:rFonts w:eastAsia="Arial" w:cs="Arial"/>
          <w:color w:val="000000"/>
          <w:szCs w:val="22"/>
          <w:lang w:eastAsia="uk-UA"/>
        </w:rPr>
      </w:pPr>
      <w:r w:rsidRPr="00C2587D">
        <w:rPr>
          <w:rFonts w:eastAsia="Arial" w:cs="Arial"/>
          <w:color w:val="000000"/>
          <w:szCs w:val="22"/>
          <w:lang w:eastAsia="uk-UA"/>
        </w:rPr>
        <w:t>Таблиця 3.2</w:t>
      </w:r>
      <w:r w:rsidR="001F17A2" w:rsidRPr="00C2587D">
        <w:rPr>
          <w:rFonts w:eastAsia="Arial" w:cs="Arial"/>
          <w:color w:val="000000"/>
          <w:szCs w:val="22"/>
          <w:lang w:eastAsia="uk-UA"/>
        </w:rPr>
        <w:t xml:space="preserve">. Потреба у фінансуванні по </w:t>
      </w:r>
      <w:r w:rsidR="00217D4C" w:rsidRPr="00C2587D">
        <w:rPr>
          <w:rFonts w:eastAsia="Arial" w:cs="Arial"/>
          <w:color w:val="000000"/>
          <w:szCs w:val="22"/>
          <w:lang w:eastAsia="uk-UA"/>
        </w:rPr>
        <w:t>роках</w:t>
      </w:r>
      <w:r w:rsidR="001F17A2" w:rsidRPr="00C2587D">
        <w:rPr>
          <w:rFonts w:eastAsia="Arial" w:cs="Arial"/>
          <w:color w:val="000000"/>
          <w:szCs w:val="22"/>
          <w:lang w:eastAsia="uk-UA"/>
        </w:rPr>
        <w:t xml:space="preserve"> Плану заходів із реалізації Стратегії розвитку Жмеринської міської територіальної громади на період до 2030 року</w:t>
      </w:r>
    </w:p>
    <w:tbl>
      <w:tblPr>
        <w:tblW w:w="1011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06"/>
        <w:gridCol w:w="1400"/>
        <w:gridCol w:w="1400"/>
        <w:gridCol w:w="1400"/>
        <w:gridCol w:w="1400"/>
        <w:gridCol w:w="1405"/>
      </w:tblGrid>
      <w:tr w:rsidR="002906BF" w:rsidRPr="00C2587D" w14:paraId="02F3B3DD" w14:textId="05CF1DB6" w:rsidTr="00DB2EA7">
        <w:trPr>
          <w:trHeight w:val="405"/>
        </w:trPr>
        <w:tc>
          <w:tcPr>
            <w:tcW w:w="3106" w:type="dxa"/>
            <w:vMerge w:val="restart"/>
            <w:vAlign w:val="center"/>
          </w:tcPr>
          <w:p w14:paraId="2BDDCD3E" w14:textId="77777777" w:rsidR="002906BF" w:rsidRPr="00C2587D" w:rsidRDefault="002906BF" w:rsidP="00AB3F9D">
            <w:pPr>
              <w:autoSpaceDE w:val="0"/>
              <w:autoSpaceDN w:val="0"/>
              <w:adjustRightInd w:val="0"/>
              <w:jc w:val="center"/>
              <w:rPr>
                <w:rFonts w:cs="Arial"/>
                <w:color w:val="000000"/>
                <w:sz w:val="20"/>
                <w:szCs w:val="20"/>
                <w:lang w:eastAsia="uk-UA"/>
              </w:rPr>
            </w:pPr>
            <w:r w:rsidRPr="00C2587D">
              <w:rPr>
                <w:rFonts w:cs="Arial"/>
                <w:b/>
                <w:bCs/>
                <w:color w:val="000000"/>
                <w:sz w:val="20"/>
                <w:szCs w:val="20"/>
                <w:lang w:eastAsia="uk-UA"/>
              </w:rPr>
              <w:t>Стратегічна ціль</w:t>
            </w:r>
          </w:p>
        </w:tc>
        <w:tc>
          <w:tcPr>
            <w:tcW w:w="7005" w:type="dxa"/>
            <w:gridSpan w:val="5"/>
            <w:vAlign w:val="center"/>
          </w:tcPr>
          <w:p w14:paraId="75B381D7" w14:textId="210EAF70" w:rsidR="002906BF" w:rsidRPr="00C2587D" w:rsidRDefault="002906BF" w:rsidP="00AB3F9D">
            <w:pPr>
              <w:autoSpaceDE w:val="0"/>
              <w:autoSpaceDN w:val="0"/>
              <w:adjustRightInd w:val="0"/>
              <w:jc w:val="center"/>
              <w:rPr>
                <w:rFonts w:cs="Arial"/>
                <w:b/>
                <w:color w:val="000000"/>
                <w:sz w:val="20"/>
                <w:szCs w:val="20"/>
                <w:lang w:eastAsia="uk-UA"/>
              </w:rPr>
            </w:pPr>
            <w:r w:rsidRPr="00C2587D">
              <w:rPr>
                <w:rFonts w:cs="Arial"/>
                <w:b/>
                <w:color w:val="000000"/>
                <w:sz w:val="20"/>
                <w:szCs w:val="20"/>
                <w:lang w:eastAsia="uk-UA"/>
              </w:rPr>
              <w:t xml:space="preserve">Орієнтовний обсяг фінансування, </w:t>
            </w:r>
            <w:r w:rsidR="00314B9D">
              <w:rPr>
                <w:rFonts w:cs="Arial"/>
                <w:b/>
                <w:color w:val="000000"/>
                <w:sz w:val="20"/>
                <w:szCs w:val="20"/>
                <w:lang w:eastAsia="uk-UA"/>
              </w:rPr>
              <w:t>тис. грн</w:t>
            </w:r>
          </w:p>
        </w:tc>
      </w:tr>
      <w:tr w:rsidR="002906BF" w:rsidRPr="00C2587D" w14:paraId="3D66832A" w14:textId="77777777" w:rsidTr="00DB2EA7">
        <w:trPr>
          <w:trHeight w:val="451"/>
        </w:trPr>
        <w:tc>
          <w:tcPr>
            <w:tcW w:w="3106" w:type="dxa"/>
            <w:vMerge/>
          </w:tcPr>
          <w:p w14:paraId="1B70E492" w14:textId="77777777" w:rsidR="002906BF" w:rsidRPr="00C2587D" w:rsidRDefault="002906BF" w:rsidP="002C40AC">
            <w:pPr>
              <w:autoSpaceDE w:val="0"/>
              <w:autoSpaceDN w:val="0"/>
              <w:adjustRightInd w:val="0"/>
              <w:jc w:val="center"/>
              <w:rPr>
                <w:rFonts w:cs="Arial"/>
                <w:b/>
                <w:bCs/>
                <w:color w:val="000000"/>
                <w:sz w:val="20"/>
                <w:szCs w:val="20"/>
                <w:lang w:eastAsia="uk-UA"/>
              </w:rPr>
            </w:pPr>
          </w:p>
        </w:tc>
        <w:tc>
          <w:tcPr>
            <w:tcW w:w="1400" w:type="dxa"/>
            <w:vAlign w:val="center"/>
          </w:tcPr>
          <w:p w14:paraId="54FD8895" w14:textId="7DDFA7C3" w:rsidR="002906BF" w:rsidRPr="00C2587D" w:rsidRDefault="002906BF" w:rsidP="00AB3F9D">
            <w:pPr>
              <w:autoSpaceDE w:val="0"/>
              <w:autoSpaceDN w:val="0"/>
              <w:adjustRightInd w:val="0"/>
              <w:jc w:val="center"/>
              <w:rPr>
                <w:rFonts w:cs="Arial"/>
                <w:b/>
                <w:color w:val="000000"/>
                <w:sz w:val="20"/>
                <w:szCs w:val="20"/>
                <w:lang w:eastAsia="uk-UA"/>
              </w:rPr>
            </w:pPr>
            <w:r w:rsidRPr="00C2587D">
              <w:rPr>
                <w:rFonts w:cs="Arial"/>
                <w:b/>
                <w:color w:val="000000"/>
                <w:sz w:val="20"/>
                <w:szCs w:val="20"/>
                <w:lang w:eastAsia="uk-UA"/>
              </w:rPr>
              <w:t>2025</w:t>
            </w:r>
          </w:p>
        </w:tc>
        <w:tc>
          <w:tcPr>
            <w:tcW w:w="1400" w:type="dxa"/>
            <w:vAlign w:val="center"/>
          </w:tcPr>
          <w:p w14:paraId="1D6DAA47" w14:textId="0833EE29" w:rsidR="002906BF" w:rsidRPr="00C2587D" w:rsidRDefault="002906BF" w:rsidP="00AB3F9D">
            <w:pPr>
              <w:autoSpaceDE w:val="0"/>
              <w:autoSpaceDN w:val="0"/>
              <w:adjustRightInd w:val="0"/>
              <w:jc w:val="center"/>
              <w:rPr>
                <w:rFonts w:cs="Arial"/>
                <w:b/>
                <w:color w:val="000000"/>
                <w:sz w:val="20"/>
                <w:szCs w:val="20"/>
                <w:lang w:eastAsia="uk-UA"/>
              </w:rPr>
            </w:pPr>
            <w:r w:rsidRPr="00C2587D">
              <w:rPr>
                <w:rFonts w:cs="Arial"/>
                <w:b/>
                <w:color w:val="000000"/>
                <w:sz w:val="20"/>
                <w:szCs w:val="20"/>
                <w:lang w:eastAsia="uk-UA"/>
              </w:rPr>
              <w:t>2026</w:t>
            </w:r>
          </w:p>
        </w:tc>
        <w:tc>
          <w:tcPr>
            <w:tcW w:w="1400" w:type="dxa"/>
            <w:vAlign w:val="center"/>
          </w:tcPr>
          <w:p w14:paraId="132A19B9" w14:textId="4B445A5C" w:rsidR="002906BF" w:rsidRPr="00C2587D" w:rsidRDefault="002906BF" w:rsidP="00AB3F9D">
            <w:pPr>
              <w:autoSpaceDE w:val="0"/>
              <w:autoSpaceDN w:val="0"/>
              <w:adjustRightInd w:val="0"/>
              <w:jc w:val="center"/>
              <w:rPr>
                <w:rFonts w:cs="Arial"/>
                <w:b/>
                <w:color w:val="000000"/>
                <w:sz w:val="20"/>
                <w:szCs w:val="20"/>
                <w:lang w:eastAsia="uk-UA"/>
              </w:rPr>
            </w:pPr>
            <w:r w:rsidRPr="00C2587D">
              <w:rPr>
                <w:rFonts w:cs="Arial"/>
                <w:b/>
                <w:color w:val="000000"/>
                <w:sz w:val="20"/>
                <w:szCs w:val="20"/>
                <w:lang w:eastAsia="uk-UA"/>
              </w:rPr>
              <w:t>2027</w:t>
            </w:r>
          </w:p>
        </w:tc>
        <w:tc>
          <w:tcPr>
            <w:tcW w:w="1400" w:type="dxa"/>
            <w:vAlign w:val="center"/>
          </w:tcPr>
          <w:p w14:paraId="51297CF6" w14:textId="184B4F7F" w:rsidR="002906BF" w:rsidRPr="00C2587D" w:rsidRDefault="002906BF" w:rsidP="00AB3F9D">
            <w:pPr>
              <w:autoSpaceDE w:val="0"/>
              <w:autoSpaceDN w:val="0"/>
              <w:adjustRightInd w:val="0"/>
              <w:jc w:val="center"/>
              <w:rPr>
                <w:rFonts w:cs="Arial"/>
                <w:b/>
                <w:color w:val="000000"/>
                <w:sz w:val="20"/>
                <w:szCs w:val="20"/>
                <w:lang w:eastAsia="uk-UA"/>
              </w:rPr>
            </w:pPr>
            <w:r w:rsidRPr="00C2587D">
              <w:rPr>
                <w:rFonts w:cs="Arial"/>
                <w:b/>
                <w:color w:val="000000"/>
                <w:sz w:val="20"/>
                <w:szCs w:val="20"/>
                <w:lang w:eastAsia="uk-UA"/>
              </w:rPr>
              <w:t>2028</w:t>
            </w:r>
          </w:p>
        </w:tc>
        <w:tc>
          <w:tcPr>
            <w:tcW w:w="1401" w:type="dxa"/>
            <w:vAlign w:val="center"/>
          </w:tcPr>
          <w:p w14:paraId="3FABD065" w14:textId="47BC1BE6" w:rsidR="002906BF" w:rsidRPr="00C2587D" w:rsidRDefault="002906BF" w:rsidP="00AB3F9D">
            <w:pPr>
              <w:autoSpaceDE w:val="0"/>
              <w:autoSpaceDN w:val="0"/>
              <w:adjustRightInd w:val="0"/>
              <w:jc w:val="center"/>
              <w:rPr>
                <w:rFonts w:cs="Arial"/>
                <w:b/>
                <w:color w:val="000000"/>
                <w:sz w:val="20"/>
                <w:szCs w:val="20"/>
                <w:lang w:eastAsia="uk-UA"/>
              </w:rPr>
            </w:pPr>
            <w:r w:rsidRPr="00C2587D">
              <w:rPr>
                <w:rFonts w:cs="Arial"/>
                <w:b/>
                <w:color w:val="000000"/>
                <w:sz w:val="20"/>
                <w:szCs w:val="20"/>
                <w:lang w:eastAsia="uk-UA"/>
              </w:rPr>
              <w:t>Всього</w:t>
            </w:r>
          </w:p>
        </w:tc>
      </w:tr>
      <w:tr w:rsidR="002906BF" w:rsidRPr="00C2587D" w14:paraId="2734184B" w14:textId="333756F6" w:rsidTr="00DB2EA7">
        <w:trPr>
          <w:trHeight w:val="103"/>
        </w:trPr>
        <w:tc>
          <w:tcPr>
            <w:tcW w:w="3106" w:type="dxa"/>
            <w:vAlign w:val="center"/>
          </w:tcPr>
          <w:p w14:paraId="5A47CF65" w14:textId="77777777" w:rsidR="002906BF" w:rsidRPr="00C2587D" w:rsidRDefault="002906BF" w:rsidP="007A7369">
            <w:pPr>
              <w:autoSpaceDE w:val="0"/>
              <w:autoSpaceDN w:val="0"/>
              <w:adjustRightInd w:val="0"/>
              <w:jc w:val="both"/>
              <w:rPr>
                <w:rFonts w:cs="Arial"/>
                <w:color w:val="000000"/>
                <w:sz w:val="20"/>
                <w:szCs w:val="20"/>
                <w:lang w:eastAsia="uk-UA"/>
              </w:rPr>
            </w:pPr>
            <w:r w:rsidRPr="00C2587D">
              <w:rPr>
                <w:rFonts w:cs="Arial"/>
                <w:b/>
                <w:bCs/>
                <w:color w:val="000000"/>
                <w:sz w:val="20"/>
                <w:szCs w:val="20"/>
                <w:lang w:eastAsia="uk-UA"/>
              </w:rPr>
              <w:t>Стратегічний напрям А. «Інвестиційно приваблива громада із розвиненим експортно - орієнтованим бізнесом»</w:t>
            </w:r>
          </w:p>
        </w:tc>
        <w:tc>
          <w:tcPr>
            <w:tcW w:w="1400" w:type="dxa"/>
            <w:vAlign w:val="center"/>
          </w:tcPr>
          <w:p w14:paraId="0FEC32AF" w14:textId="4F897593" w:rsidR="002906BF" w:rsidRPr="00C2587D" w:rsidRDefault="00F3008E" w:rsidP="00AB3F9D">
            <w:pPr>
              <w:autoSpaceDE w:val="0"/>
              <w:autoSpaceDN w:val="0"/>
              <w:adjustRightInd w:val="0"/>
              <w:jc w:val="center"/>
              <w:rPr>
                <w:rFonts w:cs="Arial"/>
                <w:color w:val="000000"/>
                <w:sz w:val="20"/>
                <w:szCs w:val="20"/>
                <w:lang w:eastAsia="uk-UA"/>
              </w:rPr>
            </w:pPr>
            <w:r>
              <w:rPr>
                <w:rFonts w:cs="Arial"/>
                <w:color w:val="000000"/>
                <w:sz w:val="20"/>
                <w:szCs w:val="20"/>
                <w:lang w:eastAsia="uk-UA"/>
              </w:rPr>
              <w:t>18 174,9</w:t>
            </w:r>
          </w:p>
        </w:tc>
        <w:tc>
          <w:tcPr>
            <w:tcW w:w="1400" w:type="dxa"/>
            <w:vAlign w:val="center"/>
          </w:tcPr>
          <w:p w14:paraId="736117A6" w14:textId="12038FDB" w:rsidR="002906BF" w:rsidRPr="00C2587D" w:rsidRDefault="00F3008E" w:rsidP="00AB3F9D">
            <w:pPr>
              <w:autoSpaceDE w:val="0"/>
              <w:autoSpaceDN w:val="0"/>
              <w:adjustRightInd w:val="0"/>
              <w:jc w:val="center"/>
              <w:rPr>
                <w:rFonts w:cs="Arial"/>
                <w:color w:val="000000"/>
                <w:sz w:val="20"/>
                <w:szCs w:val="20"/>
                <w:lang w:eastAsia="uk-UA"/>
              </w:rPr>
            </w:pPr>
            <w:r>
              <w:rPr>
                <w:rFonts w:cs="Arial"/>
                <w:color w:val="000000"/>
                <w:sz w:val="20"/>
                <w:szCs w:val="20"/>
                <w:lang w:eastAsia="uk-UA"/>
              </w:rPr>
              <w:t>193 110,68</w:t>
            </w:r>
          </w:p>
        </w:tc>
        <w:tc>
          <w:tcPr>
            <w:tcW w:w="1400" w:type="dxa"/>
            <w:vAlign w:val="center"/>
          </w:tcPr>
          <w:p w14:paraId="6ED51E5B" w14:textId="09973D2A" w:rsidR="002906BF" w:rsidRPr="00C2587D" w:rsidRDefault="00F3008E" w:rsidP="00AB3F9D">
            <w:pPr>
              <w:autoSpaceDE w:val="0"/>
              <w:autoSpaceDN w:val="0"/>
              <w:adjustRightInd w:val="0"/>
              <w:jc w:val="center"/>
              <w:rPr>
                <w:rFonts w:cs="Arial"/>
                <w:color w:val="000000"/>
                <w:sz w:val="20"/>
                <w:szCs w:val="20"/>
                <w:lang w:eastAsia="uk-UA"/>
              </w:rPr>
            </w:pPr>
            <w:r>
              <w:rPr>
                <w:rFonts w:cs="Arial"/>
                <w:color w:val="000000"/>
                <w:sz w:val="20"/>
                <w:szCs w:val="20"/>
                <w:lang w:eastAsia="uk-UA"/>
              </w:rPr>
              <w:t xml:space="preserve">161 </w:t>
            </w:r>
            <w:r w:rsidR="00825B3D">
              <w:rPr>
                <w:rFonts w:cs="Arial"/>
                <w:color w:val="000000"/>
                <w:sz w:val="20"/>
                <w:szCs w:val="20"/>
                <w:lang w:eastAsia="uk-UA"/>
              </w:rPr>
              <w:t>3</w:t>
            </w:r>
            <w:r>
              <w:rPr>
                <w:rFonts w:cs="Arial"/>
                <w:color w:val="000000"/>
                <w:sz w:val="20"/>
                <w:szCs w:val="20"/>
                <w:lang w:eastAsia="uk-UA"/>
              </w:rPr>
              <w:t>09,7</w:t>
            </w:r>
          </w:p>
        </w:tc>
        <w:tc>
          <w:tcPr>
            <w:tcW w:w="1400" w:type="dxa"/>
            <w:vAlign w:val="center"/>
          </w:tcPr>
          <w:p w14:paraId="00FA8E5C" w14:textId="5D4B3CF7" w:rsidR="002906BF" w:rsidRPr="00C2587D" w:rsidRDefault="00F3008E" w:rsidP="00AB3F9D">
            <w:pPr>
              <w:autoSpaceDE w:val="0"/>
              <w:autoSpaceDN w:val="0"/>
              <w:adjustRightInd w:val="0"/>
              <w:jc w:val="center"/>
              <w:rPr>
                <w:rFonts w:cs="Arial"/>
                <w:color w:val="000000"/>
                <w:sz w:val="20"/>
                <w:szCs w:val="20"/>
                <w:lang w:eastAsia="uk-UA"/>
              </w:rPr>
            </w:pPr>
            <w:r>
              <w:rPr>
                <w:rFonts w:cs="Arial"/>
                <w:color w:val="000000"/>
                <w:sz w:val="20"/>
                <w:szCs w:val="20"/>
                <w:lang w:eastAsia="uk-UA"/>
              </w:rPr>
              <w:t>138 536,0</w:t>
            </w:r>
          </w:p>
        </w:tc>
        <w:tc>
          <w:tcPr>
            <w:tcW w:w="1401" w:type="dxa"/>
            <w:vAlign w:val="center"/>
          </w:tcPr>
          <w:p w14:paraId="6D0FDAFB" w14:textId="19E96453" w:rsidR="002906BF" w:rsidRPr="00C2587D" w:rsidRDefault="00F3008E" w:rsidP="00AB3F9D">
            <w:pPr>
              <w:autoSpaceDE w:val="0"/>
              <w:autoSpaceDN w:val="0"/>
              <w:adjustRightInd w:val="0"/>
              <w:jc w:val="center"/>
              <w:rPr>
                <w:rFonts w:cs="Arial"/>
                <w:color w:val="000000"/>
                <w:sz w:val="20"/>
                <w:szCs w:val="20"/>
                <w:lang w:eastAsia="uk-UA"/>
              </w:rPr>
            </w:pPr>
            <w:r>
              <w:rPr>
                <w:rFonts w:cs="Arial"/>
                <w:color w:val="000000"/>
                <w:sz w:val="20"/>
                <w:szCs w:val="20"/>
                <w:lang w:eastAsia="uk-UA"/>
              </w:rPr>
              <w:t>511 131,3</w:t>
            </w:r>
          </w:p>
        </w:tc>
      </w:tr>
      <w:tr w:rsidR="002906BF" w:rsidRPr="00C2587D" w14:paraId="0008EF03" w14:textId="3071298F" w:rsidTr="00DB2EA7">
        <w:trPr>
          <w:trHeight w:val="729"/>
        </w:trPr>
        <w:tc>
          <w:tcPr>
            <w:tcW w:w="3106" w:type="dxa"/>
            <w:vAlign w:val="center"/>
          </w:tcPr>
          <w:p w14:paraId="1494C9EB" w14:textId="77777777" w:rsidR="002906BF" w:rsidRPr="00C2587D" w:rsidRDefault="002906BF" w:rsidP="007A7369">
            <w:pPr>
              <w:autoSpaceDE w:val="0"/>
              <w:autoSpaceDN w:val="0"/>
              <w:adjustRightInd w:val="0"/>
              <w:jc w:val="both"/>
              <w:rPr>
                <w:rFonts w:cs="Arial"/>
                <w:color w:val="000000"/>
                <w:sz w:val="20"/>
                <w:szCs w:val="20"/>
                <w:lang w:eastAsia="uk-UA"/>
              </w:rPr>
            </w:pPr>
            <w:r w:rsidRPr="00C2587D">
              <w:rPr>
                <w:rFonts w:cs="Arial"/>
                <w:b/>
                <w:bCs/>
                <w:color w:val="000000"/>
                <w:sz w:val="20"/>
                <w:szCs w:val="20"/>
                <w:lang w:eastAsia="uk-UA"/>
              </w:rPr>
              <w:t>Стратегічний напрям В. «Комфортна громада»</w:t>
            </w:r>
          </w:p>
        </w:tc>
        <w:tc>
          <w:tcPr>
            <w:tcW w:w="1400" w:type="dxa"/>
            <w:vAlign w:val="center"/>
          </w:tcPr>
          <w:p w14:paraId="2B130517" w14:textId="785AEE19" w:rsidR="002906BF" w:rsidRPr="00C2587D" w:rsidRDefault="00F3008E" w:rsidP="00AB3F9D">
            <w:pPr>
              <w:autoSpaceDE w:val="0"/>
              <w:autoSpaceDN w:val="0"/>
              <w:adjustRightInd w:val="0"/>
              <w:jc w:val="center"/>
              <w:rPr>
                <w:rFonts w:cs="Arial"/>
                <w:color w:val="000000"/>
                <w:sz w:val="20"/>
                <w:szCs w:val="20"/>
                <w:lang w:eastAsia="uk-UA"/>
              </w:rPr>
            </w:pPr>
            <w:r>
              <w:rPr>
                <w:rFonts w:cs="Arial"/>
                <w:color w:val="000000"/>
                <w:sz w:val="20"/>
                <w:szCs w:val="20"/>
                <w:lang w:eastAsia="uk-UA"/>
              </w:rPr>
              <w:t>7 208,0</w:t>
            </w:r>
          </w:p>
        </w:tc>
        <w:tc>
          <w:tcPr>
            <w:tcW w:w="1400" w:type="dxa"/>
            <w:vAlign w:val="center"/>
          </w:tcPr>
          <w:p w14:paraId="13B714D8" w14:textId="0E6C6C1C" w:rsidR="002906BF" w:rsidRPr="00C2587D" w:rsidRDefault="00F3008E" w:rsidP="00AB3F9D">
            <w:pPr>
              <w:autoSpaceDE w:val="0"/>
              <w:autoSpaceDN w:val="0"/>
              <w:adjustRightInd w:val="0"/>
              <w:jc w:val="center"/>
              <w:rPr>
                <w:rFonts w:cs="Arial"/>
                <w:color w:val="000000"/>
                <w:sz w:val="20"/>
                <w:szCs w:val="20"/>
                <w:lang w:eastAsia="uk-UA"/>
              </w:rPr>
            </w:pPr>
            <w:r>
              <w:rPr>
                <w:rFonts w:cs="Arial"/>
                <w:color w:val="000000"/>
                <w:sz w:val="20"/>
                <w:szCs w:val="20"/>
                <w:lang w:eastAsia="uk-UA"/>
              </w:rPr>
              <w:t>329 841,1</w:t>
            </w:r>
          </w:p>
        </w:tc>
        <w:tc>
          <w:tcPr>
            <w:tcW w:w="1400" w:type="dxa"/>
            <w:vAlign w:val="center"/>
          </w:tcPr>
          <w:p w14:paraId="71A75741" w14:textId="1EDE0426" w:rsidR="002906BF" w:rsidRPr="00C2587D" w:rsidRDefault="00F3008E" w:rsidP="00AB3F9D">
            <w:pPr>
              <w:autoSpaceDE w:val="0"/>
              <w:autoSpaceDN w:val="0"/>
              <w:adjustRightInd w:val="0"/>
              <w:jc w:val="center"/>
              <w:rPr>
                <w:rFonts w:cs="Arial"/>
                <w:color w:val="000000"/>
                <w:sz w:val="20"/>
                <w:szCs w:val="20"/>
                <w:lang w:eastAsia="uk-UA"/>
              </w:rPr>
            </w:pPr>
            <w:r>
              <w:rPr>
                <w:rFonts w:cs="Arial"/>
                <w:color w:val="000000"/>
                <w:sz w:val="20"/>
                <w:szCs w:val="20"/>
                <w:lang w:eastAsia="uk-UA"/>
              </w:rPr>
              <w:t>121 452,6</w:t>
            </w:r>
          </w:p>
        </w:tc>
        <w:tc>
          <w:tcPr>
            <w:tcW w:w="1400" w:type="dxa"/>
            <w:vAlign w:val="center"/>
          </w:tcPr>
          <w:p w14:paraId="3BCB4453" w14:textId="544D0F62" w:rsidR="002906BF" w:rsidRPr="00C2587D" w:rsidRDefault="00F3008E" w:rsidP="00AB3F9D">
            <w:pPr>
              <w:autoSpaceDE w:val="0"/>
              <w:autoSpaceDN w:val="0"/>
              <w:adjustRightInd w:val="0"/>
              <w:jc w:val="center"/>
              <w:rPr>
                <w:rFonts w:cs="Arial"/>
                <w:color w:val="000000"/>
                <w:sz w:val="20"/>
                <w:szCs w:val="20"/>
                <w:lang w:eastAsia="uk-UA"/>
              </w:rPr>
            </w:pPr>
            <w:r>
              <w:rPr>
                <w:rFonts w:cs="Arial"/>
                <w:color w:val="000000"/>
                <w:sz w:val="20"/>
                <w:szCs w:val="20"/>
                <w:lang w:eastAsia="uk-UA"/>
              </w:rPr>
              <w:t>69 920,0</w:t>
            </w:r>
          </w:p>
        </w:tc>
        <w:tc>
          <w:tcPr>
            <w:tcW w:w="1401" w:type="dxa"/>
            <w:vAlign w:val="center"/>
          </w:tcPr>
          <w:p w14:paraId="00542826" w14:textId="7914F42F" w:rsidR="002906BF" w:rsidRPr="00C2587D" w:rsidRDefault="00F3008E" w:rsidP="00AB3F9D">
            <w:pPr>
              <w:autoSpaceDE w:val="0"/>
              <w:autoSpaceDN w:val="0"/>
              <w:adjustRightInd w:val="0"/>
              <w:jc w:val="center"/>
              <w:rPr>
                <w:rFonts w:cs="Arial"/>
                <w:color w:val="000000"/>
                <w:sz w:val="20"/>
                <w:szCs w:val="20"/>
                <w:lang w:eastAsia="uk-UA"/>
              </w:rPr>
            </w:pPr>
            <w:r>
              <w:rPr>
                <w:rFonts w:cs="Arial"/>
                <w:color w:val="000000"/>
                <w:sz w:val="20"/>
                <w:szCs w:val="20"/>
                <w:lang w:eastAsia="uk-UA"/>
              </w:rPr>
              <w:t>528 421,7</w:t>
            </w:r>
          </w:p>
        </w:tc>
      </w:tr>
      <w:tr w:rsidR="002906BF" w:rsidRPr="00C2587D" w14:paraId="0B5F6C45" w14:textId="6384FAD2" w:rsidTr="00DB2EA7">
        <w:trPr>
          <w:trHeight w:val="739"/>
        </w:trPr>
        <w:tc>
          <w:tcPr>
            <w:tcW w:w="3106" w:type="dxa"/>
            <w:vAlign w:val="center"/>
          </w:tcPr>
          <w:p w14:paraId="71C5E4CF" w14:textId="77777777" w:rsidR="002906BF" w:rsidRPr="00C2587D" w:rsidRDefault="002906BF" w:rsidP="007A7369">
            <w:pPr>
              <w:autoSpaceDE w:val="0"/>
              <w:autoSpaceDN w:val="0"/>
              <w:adjustRightInd w:val="0"/>
              <w:jc w:val="both"/>
              <w:rPr>
                <w:rFonts w:cs="Arial"/>
                <w:color w:val="000000"/>
                <w:sz w:val="20"/>
                <w:szCs w:val="20"/>
                <w:lang w:eastAsia="uk-UA"/>
              </w:rPr>
            </w:pPr>
            <w:r w:rsidRPr="00C2587D">
              <w:rPr>
                <w:rFonts w:cs="Arial"/>
                <w:b/>
                <w:bCs/>
                <w:color w:val="000000"/>
                <w:sz w:val="20"/>
                <w:szCs w:val="20"/>
                <w:lang w:eastAsia="uk-UA"/>
              </w:rPr>
              <w:t>Стратегічний напрям С. «Доступна громада»</w:t>
            </w:r>
          </w:p>
        </w:tc>
        <w:tc>
          <w:tcPr>
            <w:tcW w:w="1400" w:type="dxa"/>
            <w:vAlign w:val="center"/>
          </w:tcPr>
          <w:p w14:paraId="4FE7C52C" w14:textId="6A357406" w:rsidR="002906BF" w:rsidRPr="00C2587D" w:rsidRDefault="003F390F" w:rsidP="00AB3F9D">
            <w:pPr>
              <w:autoSpaceDE w:val="0"/>
              <w:autoSpaceDN w:val="0"/>
              <w:adjustRightInd w:val="0"/>
              <w:jc w:val="center"/>
              <w:rPr>
                <w:rFonts w:cs="Arial"/>
                <w:color w:val="000000"/>
                <w:sz w:val="20"/>
                <w:szCs w:val="20"/>
                <w:lang w:eastAsia="uk-UA"/>
              </w:rPr>
            </w:pPr>
            <w:r>
              <w:rPr>
                <w:rFonts w:cs="Arial"/>
                <w:color w:val="000000"/>
                <w:sz w:val="20"/>
                <w:szCs w:val="20"/>
                <w:lang w:eastAsia="uk-UA"/>
              </w:rPr>
              <w:t>51 41</w:t>
            </w:r>
            <w:r w:rsidR="00F3008E">
              <w:rPr>
                <w:rFonts w:cs="Arial"/>
                <w:color w:val="000000"/>
                <w:sz w:val="20"/>
                <w:szCs w:val="20"/>
                <w:lang w:eastAsia="uk-UA"/>
              </w:rPr>
              <w:t>2,1</w:t>
            </w:r>
          </w:p>
        </w:tc>
        <w:tc>
          <w:tcPr>
            <w:tcW w:w="1400" w:type="dxa"/>
            <w:vAlign w:val="center"/>
          </w:tcPr>
          <w:p w14:paraId="098406B9" w14:textId="284E4BA5" w:rsidR="002906BF" w:rsidRPr="00C2587D" w:rsidRDefault="003F390F" w:rsidP="00AB3F9D">
            <w:pPr>
              <w:autoSpaceDE w:val="0"/>
              <w:autoSpaceDN w:val="0"/>
              <w:adjustRightInd w:val="0"/>
              <w:jc w:val="center"/>
              <w:rPr>
                <w:rFonts w:cs="Arial"/>
                <w:color w:val="000000"/>
                <w:sz w:val="20"/>
                <w:szCs w:val="20"/>
                <w:lang w:eastAsia="uk-UA"/>
              </w:rPr>
            </w:pPr>
            <w:r>
              <w:rPr>
                <w:rFonts w:cs="Arial"/>
                <w:color w:val="000000"/>
                <w:sz w:val="20"/>
                <w:szCs w:val="20"/>
                <w:lang w:eastAsia="uk-UA"/>
              </w:rPr>
              <w:t>291 6</w:t>
            </w:r>
            <w:r w:rsidR="00F3008E">
              <w:rPr>
                <w:rFonts w:cs="Arial"/>
                <w:color w:val="000000"/>
                <w:sz w:val="20"/>
                <w:szCs w:val="20"/>
                <w:lang w:eastAsia="uk-UA"/>
              </w:rPr>
              <w:t>53,3</w:t>
            </w:r>
          </w:p>
        </w:tc>
        <w:tc>
          <w:tcPr>
            <w:tcW w:w="1400" w:type="dxa"/>
            <w:vAlign w:val="center"/>
          </w:tcPr>
          <w:p w14:paraId="2902A39A" w14:textId="10B45AC6" w:rsidR="002906BF" w:rsidRPr="00C2587D" w:rsidRDefault="003F390F" w:rsidP="003F390F">
            <w:pPr>
              <w:autoSpaceDE w:val="0"/>
              <w:autoSpaceDN w:val="0"/>
              <w:adjustRightInd w:val="0"/>
              <w:jc w:val="center"/>
              <w:rPr>
                <w:rFonts w:cs="Arial"/>
                <w:color w:val="000000"/>
                <w:sz w:val="20"/>
                <w:szCs w:val="20"/>
                <w:lang w:eastAsia="uk-UA"/>
              </w:rPr>
            </w:pPr>
            <w:r>
              <w:rPr>
                <w:rFonts w:cs="Arial"/>
                <w:color w:val="000000"/>
                <w:sz w:val="20"/>
                <w:szCs w:val="20"/>
                <w:lang w:eastAsia="uk-UA"/>
              </w:rPr>
              <w:t>401 42</w:t>
            </w:r>
            <w:r w:rsidR="00F3008E">
              <w:rPr>
                <w:rFonts w:cs="Arial"/>
                <w:color w:val="000000"/>
                <w:sz w:val="20"/>
                <w:szCs w:val="20"/>
                <w:lang w:eastAsia="uk-UA"/>
              </w:rPr>
              <w:t>4,1</w:t>
            </w:r>
          </w:p>
        </w:tc>
        <w:tc>
          <w:tcPr>
            <w:tcW w:w="1400" w:type="dxa"/>
            <w:vAlign w:val="center"/>
          </w:tcPr>
          <w:p w14:paraId="654B0DDB" w14:textId="0C3DA553" w:rsidR="002906BF" w:rsidRPr="00C2587D" w:rsidRDefault="00F3008E" w:rsidP="003F390F">
            <w:pPr>
              <w:autoSpaceDE w:val="0"/>
              <w:autoSpaceDN w:val="0"/>
              <w:adjustRightInd w:val="0"/>
              <w:jc w:val="center"/>
              <w:rPr>
                <w:rFonts w:cs="Arial"/>
                <w:color w:val="000000"/>
                <w:sz w:val="20"/>
                <w:szCs w:val="20"/>
                <w:lang w:eastAsia="uk-UA"/>
              </w:rPr>
            </w:pPr>
            <w:r>
              <w:rPr>
                <w:rFonts w:cs="Arial"/>
                <w:color w:val="000000"/>
                <w:sz w:val="20"/>
                <w:szCs w:val="20"/>
                <w:lang w:eastAsia="uk-UA"/>
              </w:rPr>
              <w:t>32</w:t>
            </w:r>
            <w:r w:rsidR="003F390F">
              <w:rPr>
                <w:rFonts w:cs="Arial"/>
                <w:color w:val="000000"/>
                <w:sz w:val="20"/>
                <w:szCs w:val="20"/>
                <w:lang w:eastAsia="uk-UA"/>
              </w:rPr>
              <w:t>7 0</w:t>
            </w:r>
            <w:r>
              <w:rPr>
                <w:rFonts w:cs="Arial"/>
                <w:color w:val="000000"/>
                <w:sz w:val="20"/>
                <w:szCs w:val="20"/>
                <w:lang w:eastAsia="uk-UA"/>
              </w:rPr>
              <w:t>33,5</w:t>
            </w:r>
          </w:p>
        </w:tc>
        <w:tc>
          <w:tcPr>
            <w:tcW w:w="1401" w:type="dxa"/>
            <w:vAlign w:val="center"/>
          </w:tcPr>
          <w:p w14:paraId="7F972553" w14:textId="37A0C0EE" w:rsidR="002906BF" w:rsidRPr="00C2587D" w:rsidRDefault="00F3008E" w:rsidP="00AB3F9D">
            <w:pPr>
              <w:autoSpaceDE w:val="0"/>
              <w:autoSpaceDN w:val="0"/>
              <w:adjustRightInd w:val="0"/>
              <w:jc w:val="center"/>
              <w:rPr>
                <w:rFonts w:cs="Arial"/>
                <w:color w:val="000000"/>
                <w:sz w:val="20"/>
                <w:szCs w:val="20"/>
                <w:lang w:eastAsia="uk-UA"/>
              </w:rPr>
            </w:pPr>
            <w:r>
              <w:rPr>
                <w:rFonts w:cs="Arial"/>
                <w:color w:val="000000"/>
                <w:sz w:val="20"/>
                <w:szCs w:val="20"/>
                <w:lang w:eastAsia="uk-UA"/>
              </w:rPr>
              <w:t>1</w:t>
            </w:r>
            <w:r w:rsidR="003F390F">
              <w:rPr>
                <w:rFonts w:cs="Arial"/>
                <w:color w:val="000000"/>
                <w:sz w:val="20"/>
                <w:szCs w:val="20"/>
                <w:lang w:eastAsia="uk-UA"/>
              </w:rPr>
              <w:t> 071 5</w:t>
            </w:r>
            <w:r>
              <w:rPr>
                <w:rFonts w:cs="Arial"/>
                <w:color w:val="000000"/>
                <w:sz w:val="20"/>
                <w:szCs w:val="20"/>
                <w:lang w:eastAsia="uk-UA"/>
              </w:rPr>
              <w:t>23,0</w:t>
            </w:r>
          </w:p>
        </w:tc>
      </w:tr>
      <w:tr w:rsidR="002906BF" w:rsidRPr="00C2587D" w14:paraId="2DAFCC52" w14:textId="773B7289" w:rsidTr="00DB2EA7">
        <w:trPr>
          <w:trHeight w:val="433"/>
        </w:trPr>
        <w:tc>
          <w:tcPr>
            <w:tcW w:w="3106" w:type="dxa"/>
            <w:vAlign w:val="center"/>
          </w:tcPr>
          <w:p w14:paraId="51D51D7B" w14:textId="77777777" w:rsidR="002906BF" w:rsidRPr="00C2587D" w:rsidRDefault="002906BF" w:rsidP="007A7369">
            <w:pPr>
              <w:autoSpaceDE w:val="0"/>
              <w:autoSpaceDN w:val="0"/>
              <w:adjustRightInd w:val="0"/>
              <w:jc w:val="both"/>
              <w:rPr>
                <w:rFonts w:cs="Arial"/>
                <w:b/>
                <w:bCs/>
                <w:color w:val="000000"/>
                <w:sz w:val="20"/>
                <w:szCs w:val="20"/>
                <w:lang w:eastAsia="uk-UA"/>
              </w:rPr>
            </w:pPr>
            <w:r w:rsidRPr="00C2587D">
              <w:rPr>
                <w:rFonts w:cs="Arial"/>
                <w:b/>
                <w:bCs/>
                <w:color w:val="000000"/>
                <w:sz w:val="20"/>
                <w:szCs w:val="20"/>
                <w:lang w:eastAsia="uk-UA"/>
              </w:rPr>
              <w:t>ВСЬОГО:</w:t>
            </w:r>
          </w:p>
        </w:tc>
        <w:tc>
          <w:tcPr>
            <w:tcW w:w="1400" w:type="dxa"/>
            <w:vAlign w:val="center"/>
          </w:tcPr>
          <w:p w14:paraId="77D8C6E1" w14:textId="64CE6FF2" w:rsidR="002906BF" w:rsidRPr="00C2587D" w:rsidRDefault="003F390F" w:rsidP="00AB3F9D">
            <w:pPr>
              <w:autoSpaceDE w:val="0"/>
              <w:autoSpaceDN w:val="0"/>
              <w:adjustRightInd w:val="0"/>
              <w:jc w:val="center"/>
              <w:rPr>
                <w:rFonts w:cs="Arial"/>
                <w:b/>
                <w:color w:val="000000"/>
                <w:sz w:val="20"/>
                <w:szCs w:val="20"/>
                <w:lang w:eastAsia="uk-UA"/>
              </w:rPr>
            </w:pPr>
            <w:r>
              <w:rPr>
                <w:rFonts w:cs="Arial"/>
                <w:b/>
                <w:color w:val="000000"/>
                <w:sz w:val="20"/>
                <w:szCs w:val="20"/>
                <w:lang w:eastAsia="uk-UA"/>
              </w:rPr>
              <w:t>76 79</w:t>
            </w:r>
            <w:r w:rsidR="00F3008E">
              <w:rPr>
                <w:rFonts w:cs="Arial"/>
                <w:b/>
                <w:color w:val="000000"/>
                <w:sz w:val="20"/>
                <w:szCs w:val="20"/>
                <w:lang w:eastAsia="uk-UA"/>
              </w:rPr>
              <w:t>5,0</w:t>
            </w:r>
          </w:p>
        </w:tc>
        <w:tc>
          <w:tcPr>
            <w:tcW w:w="1400" w:type="dxa"/>
            <w:vAlign w:val="center"/>
          </w:tcPr>
          <w:p w14:paraId="47AC409C" w14:textId="2BBCA0E5" w:rsidR="002906BF" w:rsidRPr="00C2587D" w:rsidRDefault="003F390F" w:rsidP="00AB3F9D">
            <w:pPr>
              <w:autoSpaceDE w:val="0"/>
              <w:autoSpaceDN w:val="0"/>
              <w:adjustRightInd w:val="0"/>
              <w:jc w:val="center"/>
              <w:rPr>
                <w:rFonts w:cs="Arial"/>
                <w:b/>
                <w:color w:val="000000"/>
                <w:sz w:val="20"/>
                <w:szCs w:val="20"/>
                <w:lang w:eastAsia="uk-UA"/>
              </w:rPr>
            </w:pPr>
            <w:r>
              <w:rPr>
                <w:rFonts w:cs="Arial"/>
                <w:b/>
                <w:color w:val="000000"/>
                <w:sz w:val="20"/>
                <w:szCs w:val="20"/>
                <w:lang w:eastAsia="uk-UA"/>
              </w:rPr>
              <w:t>814 6</w:t>
            </w:r>
            <w:r w:rsidR="00F3008E">
              <w:rPr>
                <w:rFonts w:cs="Arial"/>
                <w:b/>
                <w:color w:val="000000"/>
                <w:sz w:val="20"/>
                <w:szCs w:val="20"/>
                <w:lang w:eastAsia="uk-UA"/>
              </w:rPr>
              <w:t>05,1</w:t>
            </w:r>
          </w:p>
        </w:tc>
        <w:tc>
          <w:tcPr>
            <w:tcW w:w="1400" w:type="dxa"/>
            <w:vAlign w:val="center"/>
          </w:tcPr>
          <w:p w14:paraId="0B2CD0B4" w14:textId="079910B8" w:rsidR="0061406F" w:rsidRPr="00C2587D" w:rsidRDefault="00825B3D" w:rsidP="003F390F">
            <w:pPr>
              <w:autoSpaceDE w:val="0"/>
              <w:autoSpaceDN w:val="0"/>
              <w:adjustRightInd w:val="0"/>
              <w:jc w:val="center"/>
              <w:rPr>
                <w:rFonts w:cs="Arial"/>
                <w:b/>
                <w:color w:val="000000"/>
                <w:sz w:val="20"/>
                <w:szCs w:val="20"/>
                <w:lang w:eastAsia="uk-UA"/>
              </w:rPr>
            </w:pPr>
            <w:r>
              <w:rPr>
                <w:rFonts w:cs="Arial"/>
                <w:b/>
                <w:color w:val="000000"/>
                <w:sz w:val="20"/>
                <w:szCs w:val="20"/>
                <w:lang w:eastAsia="uk-UA"/>
              </w:rPr>
              <w:t>6</w:t>
            </w:r>
            <w:r w:rsidR="001F55F9">
              <w:rPr>
                <w:rFonts w:cs="Arial"/>
                <w:b/>
                <w:color w:val="000000"/>
                <w:sz w:val="20"/>
                <w:szCs w:val="20"/>
                <w:lang w:eastAsia="uk-UA"/>
              </w:rPr>
              <w:t>8</w:t>
            </w:r>
            <w:r w:rsidR="003F390F">
              <w:rPr>
                <w:rFonts w:cs="Arial"/>
                <w:b/>
                <w:color w:val="000000"/>
                <w:sz w:val="20"/>
                <w:szCs w:val="20"/>
                <w:lang w:eastAsia="uk-UA"/>
              </w:rPr>
              <w:t>4</w:t>
            </w:r>
            <w:r w:rsidR="00F3008E">
              <w:rPr>
                <w:rFonts w:cs="Arial"/>
                <w:b/>
                <w:color w:val="000000"/>
                <w:sz w:val="20"/>
                <w:szCs w:val="20"/>
                <w:lang w:eastAsia="uk-UA"/>
              </w:rPr>
              <w:t> </w:t>
            </w:r>
            <w:r w:rsidR="003F390F">
              <w:rPr>
                <w:rFonts w:cs="Arial"/>
                <w:b/>
                <w:color w:val="000000"/>
                <w:sz w:val="20"/>
                <w:szCs w:val="20"/>
                <w:lang w:eastAsia="uk-UA"/>
              </w:rPr>
              <w:t>18</w:t>
            </w:r>
            <w:r w:rsidR="00F3008E">
              <w:rPr>
                <w:rFonts w:cs="Arial"/>
                <w:b/>
                <w:color w:val="000000"/>
                <w:sz w:val="20"/>
                <w:szCs w:val="20"/>
                <w:lang w:eastAsia="uk-UA"/>
              </w:rPr>
              <w:t>6,4</w:t>
            </w:r>
          </w:p>
        </w:tc>
        <w:tc>
          <w:tcPr>
            <w:tcW w:w="1400" w:type="dxa"/>
            <w:vAlign w:val="center"/>
          </w:tcPr>
          <w:p w14:paraId="6757C866" w14:textId="6A6242A1" w:rsidR="0061406F" w:rsidRPr="00C2587D" w:rsidRDefault="00F3008E" w:rsidP="00AB3F9D">
            <w:pPr>
              <w:autoSpaceDE w:val="0"/>
              <w:autoSpaceDN w:val="0"/>
              <w:adjustRightInd w:val="0"/>
              <w:jc w:val="center"/>
              <w:rPr>
                <w:rFonts w:cs="Arial"/>
                <w:b/>
                <w:color w:val="000000"/>
                <w:sz w:val="20"/>
                <w:szCs w:val="20"/>
                <w:lang w:eastAsia="uk-UA"/>
              </w:rPr>
            </w:pPr>
            <w:r>
              <w:rPr>
                <w:rFonts w:cs="Arial"/>
                <w:b/>
                <w:color w:val="000000"/>
                <w:sz w:val="20"/>
                <w:szCs w:val="20"/>
                <w:lang w:eastAsia="uk-UA"/>
              </w:rPr>
              <w:t>5</w:t>
            </w:r>
            <w:r w:rsidR="003F390F">
              <w:rPr>
                <w:rFonts w:cs="Arial"/>
                <w:b/>
                <w:color w:val="000000"/>
                <w:sz w:val="20"/>
                <w:szCs w:val="20"/>
                <w:lang w:eastAsia="uk-UA"/>
              </w:rPr>
              <w:t>35 4</w:t>
            </w:r>
            <w:r>
              <w:rPr>
                <w:rFonts w:cs="Arial"/>
                <w:b/>
                <w:color w:val="000000"/>
                <w:sz w:val="20"/>
                <w:szCs w:val="20"/>
                <w:lang w:eastAsia="uk-UA"/>
              </w:rPr>
              <w:t>89,5</w:t>
            </w:r>
          </w:p>
        </w:tc>
        <w:tc>
          <w:tcPr>
            <w:tcW w:w="1401" w:type="dxa"/>
            <w:vAlign w:val="center"/>
          </w:tcPr>
          <w:p w14:paraId="3EA5F08C" w14:textId="17C49B14" w:rsidR="002906BF" w:rsidRPr="00C2587D" w:rsidRDefault="003F390F" w:rsidP="00AB3F9D">
            <w:pPr>
              <w:autoSpaceDE w:val="0"/>
              <w:autoSpaceDN w:val="0"/>
              <w:adjustRightInd w:val="0"/>
              <w:jc w:val="center"/>
              <w:rPr>
                <w:rFonts w:cs="Arial"/>
                <w:b/>
                <w:color w:val="000000"/>
                <w:sz w:val="20"/>
                <w:szCs w:val="20"/>
                <w:lang w:eastAsia="uk-UA"/>
              </w:rPr>
            </w:pPr>
            <w:r>
              <w:rPr>
                <w:rFonts w:cs="Arial"/>
                <w:b/>
                <w:color w:val="000000"/>
                <w:sz w:val="20"/>
                <w:szCs w:val="20"/>
                <w:lang w:eastAsia="uk-UA"/>
              </w:rPr>
              <w:t>2 111 0</w:t>
            </w:r>
            <w:r w:rsidR="00825B3D">
              <w:rPr>
                <w:rFonts w:cs="Arial"/>
                <w:b/>
                <w:color w:val="000000"/>
                <w:sz w:val="20"/>
                <w:szCs w:val="20"/>
                <w:lang w:eastAsia="uk-UA"/>
              </w:rPr>
              <w:t>76,0</w:t>
            </w:r>
          </w:p>
        </w:tc>
      </w:tr>
    </w:tbl>
    <w:p w14:paraId="6DD16A4F" w14:textId="77777777" w:rsidR="00240314" w:rsidRPr="00C2587D" w:rsidRDefault="00240314" w:rsidP="007320FF">
      <w:pPr>
        <w:spacing w:after="41" w:line="266" w:lineRule="auto"/>
        <w:ind w:left="127" w:right="82" w:hanging="10"/>
        <w:jc w:val="both"/>
        <w:rPr>
          <w:rFonts w:eastAsia="Arial" w:cs="Arial"/>
          <w:color w:val="000000"/>
          <w:szCs w:val="22"/>
          <w:lang w:eastAsia="uk-UA"/>
        </w:rPr>
      </w:pPr>
    </w:p>
    <w:p w14:paraId="612F1081" w14:textId="14B7FD42" w:rsidR="007320FF" w:rsidRPr="00C2587D" w:rsidRDefault="00570CBC" w:rsidP="007320FF">
      <w:pPr>
        <w:spacing w:line="266" w:lineRule="auto"/>
        <w:ind w:left="127" w:right="82" w:hanging="10"/>
        <w:jc w:val="both"/>
        <w:rPr>
          <w:rFonts w:eastAsia="Arial" w:cs="Arial"/>
          <w:color w:val="000000"/>
          <w:szCs w:val="22"/>
          <w:lang w:eastAsia="uk-UA"/>
        </w:rPr>
      </w:pPr>
      <w:r w:rsidRPr="00C2587D">
        <w:rPr>
          <w:rFonts w:eastAsia="Arial" w:cs="Arial"/>
          <w:color w:val="000000"/>
          <w:szCs w:val="22"/>
          <w:lang w:eastAsia="uk-UA"/>
        </w:rPr>
        <w:tab/>
      </w:r>
      <w:r w:rsidRPr="00C2587D">
        <w:rPr>
          <w:rFonts w:eastAsia="Arial" w:cs="Arial"/>
          <w:color w:val="000000"/>
          <w:szCs w:val="22"/>
          <w:lang w:eastAsia="uk-UA"/>
        </w:rPr>
        <w:tab/>
      </w:r>
      <w:r w:rsidR="007320FF" w:rsidRPr="00C2587D">
        <w:rPr>
          <w:rFonts w:eastAsia="Arial" w:cs="Arial"/>
          <w:color w:val="000000"/>
          <w:szCs w:val="22"/>
          <w:lang w:eastAsia="uk-UA"/>
        </w:rPr>
        <w:t>Для реалізації проє</w:t>
      </w:r>
      <w:r w:rsidRPr="00C2587D">
        <w:rPr>
          <w:rFonts w:eastAsia="Arial" w:cs="Arial"/>
          <w:color w:val="000000"/>
          <w:szCs w:val="22"/>
          <w:lang w:eastAsia="uk-UA"/>
        </w:rPr>
        <w:t>ктів місцевого розвитку Жмеринська</w:t>
      </w:r>
      <w:r w:rsidR="007320FF" w:rsidRPr="00C2587D">
        <w:rPr>
          <w:rFonts w:eastAsia="Arial" w:cs="Arial"/>
          <w:color w:val="000000"/>
          <w:szCs w:val="22"/>
          <w:lang w:eastAsia="uk-UA"/>
        </w:rPr>
        <w:t xml:space="preserve"> громада зорієнтована на залучення коштів з </w:t>
      </w:r>
      <w:r w:rsidR="00457823">
        <w:rPr>
          <w:rFonts w:eastAsia="Arial" w:cs="Arial"/>
          <w:color w:val="000000"/>
          <w:szCs w:val="22"/>
          <w:lang w:eastAsia="uk-UA"/>
        </w:rPr>
        <w:t>державного, місцевого бюджетів,</w:t>
      </w:r>
      <w:r w:rsidR="007320FF" w:rsidRPr="00C2587D">
        <w:rPr>
          <w:rFonts w:eastAsia="Arial" w:cs="Arial"/>
          <w:color w:val="000000"/>
          <w:szCs w:val="22"/>
          <w:lang w:eastAsia="uk-UA"/>
        </w:rPr>
        <w:t xml:space="preserve"> коштів інвесторів, МТД та фінансування у межах грантових конкурсів. Це обумовлене тим, що серед проєктів, які громада прагне реалізувати, - ті, значення яких виходить за межі громади, важливі передовсім для регіонального розвитку. </w:t>
      </w:r>
    </w:p>
    <w:p w14:paraId="11D726AD" w14:textId="77777777" w:rsidR="00E973AC" w:rsidRPr="00C2587D" w:rsidRDefault="00E973AC" w:rsidP="007320FF"/>
    <w:p w14:paraId="48B630AE" w14:textId="77777777" w:rsidR="00F4296B" w:rsidRPr="00C2587D" w:rsidRDefault="00F4296B" w:rsidP="002E78BD">
      <w:pPr>
        <w:rPr>
          <w:lang w:eastAsia="en-US"/>
        </w:rPr>
      </w:pPr>
    </w:p>
    <w:p w14:paraId="107655C9" w14:textId="77777777" w:rsidR="00F4296B" w:rsidRPr="00C2587D" w:rsidRDefault="00F4296B" w:rsidP="002E78BD">
      <w:pPr>
        <w:rPr>
          <w:lang w:eastAsia="en-US"/>
        </w:rPr>
      </w:pPr>
    </w:p>
    <w:p w14:paraId="26C5B9F1" w14:textId="77777777" w:rsidR="00F4296B" w:rsidRPr="00C2587D" w:rsidRDefault="00F4296B" w:rsidP="002E78BD">
      <w:pPr>
        <w:rPr>
          <w:lang w:eastAsia="en-US"/>
        </w:rPr>
      </w:pPr>
    </w:p>
    <w:p w14:paraId="0A7B15B1" w14:textId="77777777" w:rsidR="00F4296B" w:rsidRPr="00C2587D" w:rsidRDefault="00F4296B" w:rsidP="002E78BD">
      <w:pPr>
        <w:rPr>
          <w:lang w:eastAsia="en-US"/>
        </w:rPr>
      </w:pPr>
    </w:p>
    <w:p w14:paraId="2EFBD130" w14:textId="77777777" w:rsidR="00F4296B" w:rsidRPr="00C2587D" w:rsidRDefault="00F4296B" w:rsidP="002E78BD">
      <w:pPr>
        <w:rPr>
          <w:lang w:eastAsia="en-US"/>
        </w:rPr>
      </w:pPr>
    </w:p>
    <w:p w14:paraId="0D94E686" w14:textId="77777777" w:rsidR="00F4296B" w:rsidRPr="00C2587D" w:rsidRDefault="00F4296B" w:rsidP="002E78BD">
      <w:pPr>
        <w:rPr>
          <w:lang w:eastAsia="en-US"/>
        </w:rPr>
      </w:pPr>
    </w:p>
    <w:p w14:paraId="245C4C1E" w14:textId="77777777" w:rsidR="00F4296B" w:rsidRPr="00C2587D" w:rsidRDefault="00F4296B" w:rsidP="002E78BD">
      <w:pPr>
        <w:rPr>
          <w:lang w:eastAsia="en-US"/>
        </w:rPr>
      </w:pPr>
    </w:p>
    <w:p w14:paraId="03E0DF89" w14:textId="77777777" w:rsidR="00F4296B" w:rsidRPr="00C2587D" w:rsidRDefault="00F4296B" w:rsidP="002E78BD">
      <w:pPr>
        <w:rPr>
          <w:lang w:eastAsia="en-US"/>
        </w:rPr>
      </w:pPr>
    </w:p>
    <w:p w14:paraId="42B710FE" w14:textId="77777777" w:rsidR="00F4296B" w:rsidRPr="00C2587D" w:rsidRDefault="00F4296B" w:rsidP="002E78BD">
      <w:pPr>
        <w:rPr>
          <w:lang w:eastAsia="en-US"/>
        </w:rPr>
        <w:sectPr w:rsidR="00F4296B" w:rsidRPr="00C2587D" w:rsidSect="00C60A15">
          <w:pgSz w:w="11906" w:h="16838" w:code="9"/>
          <w:pgMar w:top="1134" w:right="566" w:bottom="1134" w:left="1134" w:header="794" w:footer="794" w:gutter="0"/>
          <w:cols w:space="708"/>
          <w:docGrid w:linePitch="360"/>
        </w:sectPr>
      </w:pPr>
    </w:p>
    <w:p w14:paraId="2AFFBD06" w14:textId="77777777" w:rsidR="00B6282B" w:rsidRPr="00C2587D" w:rsidRDefault="00B6282B" w:rsidP="00F4296B">
      <w:pPr>
        <w:jc w:val="center"/>
        <w:rPr>
          <w:rFonts w:ascii="Times New Roman" w:eastAsia="Calibri" w:hAnsi="Times New Roman"/>
          <w:b/>
          <w:sz w:val="24"/>
          <w:lang w:eastAsia="en-US"/>
        </w:rPr>
      </w:pPr>
    </w:p>
    <w:p w14:paraId="784DD8B5" w14:textId="77777777" w:rsidR="00987B8D" w:rsidRDefault="00B6282B" w:rsidP="00F4296B">
      <w:pPr>
        <w:jc w:val="center"/>
        <w:rPr>
          <w:rFonts w:ascii="Times New Roman" w:eastAsia="Calibri" w:hAnsi="Times New Roman"/>
          <w:b/>
          <w:sz w:val="24"/>
          <w:lang w:eastAsia="en-US"/>
        </w:rPr>
      </w:pPr>
      <w:r w:rsidRPr="00C2587D">
        <w:rPr>
          <w:rFonts w:ascii="Times New Roman" w:eastAsia="Calibri" w:hAnsi="Times New Roman"/>
          <w:b/>
          <w:sz w:val="24"/>
          <w:lang w:eastAsia="en-US"/>
        </w:rPr>
        <w:t xml:space="preserve"> Таблиця 3.3. </w:t>
      </w:r>
      <w:r w:rsidRPr="00987B8D">
        <w:rPr>
          <w:rFonts w:ascii="Times New Roman" w:eastAsia="Calibri" w:hAnsi="Times New Roman"/>
          <w:b/>
          <w:sz w:val="24"/>
          <w:lang w:eastAsia="en-US"/>
        </w:rPr>
        <w:t xml:space="preserve">Фінансове забезпечення </w:t>
      </w:r>
      <w:r w:rsidR="00F4296B" w:rsidRPr="00987B8D">
        <w:rPr>
          <w:rFonts w:ascii="Times New Roman" w:eastAsia="Calibri" w:hAnsi="Times New Roman"/>
          <w:b/>
          <w:sz w:val="24"/>
          <w:lang w:eastAsia="en-US"/>
        </w:rPr>
        <w:t xml:space="preserve">реалізації </w:t>
      </w:r>
      <w:r w:rsidR="00F4296B" w:rsidRPr="00C2587D">
        <w:rPr>
          <w:rFonts w:ascii="Times New Roman" w:eastAsia="Calibri" w:hAnsi="Times New Roman"/>
          <w:b/>
          <w:color w:val="FF0000"/>
          <w:sz w:val="24"/>
          <w:lang w:eastAsia="en-US"/>
        </w:rPr>
        <w:t xml:space="preserve"> </w:t>
      </w:r>
      <w:r w:rsidR="00F4296B" w:rsidRPr="00C2587D">
        <w:rPr>
          <w:rFonts w:ascii="Times New Roman" w:eastAsia="Calibri" w:hAnsi="Times New Roman"/>
          <w:b/>
          <w:sz w:val="24"/>
          <w:lang w:eastAsia="en-US"/>
        </w:rPr>
        <w:t>Плану заходів на  2025-2028 роки</w:t>
      </w:r>
    </w:p>
    <w:p w14:paraId="559DBE4A" w14:textId="4969BB93" w:rsidR="00F4296B" w:rsidRPr="00C2587D" w:rsidRDefault="00F4296B" w:rsidP="00F4296B">
      <w:pPr>
        <w:jc w:val="center"/>
        <w:rPr>
          <w:rFonts w:ascii="Times New Roman" w:eastAsia="Calibri" w:hAnsi="Times New Roman"/>
          <w:b/>
          <w:sz w:val="24"/>
          <w:lang w:eastAsia="en-US"/>
        </w:rPr>
      </w:pPr>
      <w:r w:rsidRPr="00C2587D">
        <w:rPr>
          <w:rFonts w:ascii="Times New Roman" w:eastAsia="Calibri" w:hAnsi="Times New Roman"/>
          <w:b/>
          <w:sz w:val="24"/>
          <w:lang w:eastAsia="en-US"/>
        </w:rPr>
        <w:t xml:space="preserve">  з реалізації Стратегії розвитку Жмеринської міської територіальної громади</w:t>
      </w:r>
    </w:p>
    <w:p w14:paraId="1F9A0110" w14:textId="77777777" w:rsidR="00F4296B" w:rsidRPr="00C2587D" w:rsidRDefault="00F4296B" w:rsidP="00F4296B">
      <w:pPr>
        <w:jc w:val="center"/>
        <w:rPr>
          <w:rFonts w:ascii="Times New Roman" w:eastAsia="Calibri" w:hAnsi="Times New Roman"/>
          <w:b/>
          <w:sz w:val="24"/>
          <w:lang w:eastAsia="en-US"/>
        </w:rPr>
      </w:pPr>
    </w:p>
    <w:tbl>
      <w:tblPr>
        <w:tblW w:w="15175" w:type="dxa"/>
        <w:tblInd w:w="-12" w:type="dxa"/>
        <w:tblLayout w:type="fixed"/>
        <w:tblLook w:val="04A0" w:firstRow="1" w:lastRow="0" w:firstColumn="1" w:lastColumn="0" w:noHBand="0" w:noVBand="1"/>
      </w:tblPr>
      <w:tblGrid>
        <w:gridCol w:w="433"/>
        <w:gridCol w:w="2268"/>
        <w:gridCol w:w="737"/>
        <w:gridCol w:w="850"/>
        <w:gridCol w:w="992"/>
        <w:gridCol w:w="851"/>
        <w:gridCol w:w="850"/>
        <w:gridCol w:w="709"/>
        <w:gridCol w:w="709"/>
        <w:gridCol w:w="709"/>
        <w:gridCol w:w="708"/>
        <w:gridCol w:w="709"/>
        <w:gridCol w:w="709"/>
        <w:gridCol w:w="567"/>
        <w:gridCol w:w="567"/>
        <w:gridCol w:w="567"/>
        <w:gridCol w:w="624"/>
        <w:gridCol w:w="567"/>
        <w:gridCol w:w="1049"/>
      </w:tblGrid>
      <w:tr w:rsidR="00F4296B" w:rsidRPr="00C2587D" w14:paraId="503C9520" w14:textId="77777777" w:rsidTr="00A041B2">
        <w:trPr>
          <w:trHeight w:val="342"/>
        </w:trPr>
        <w:tc>
          <w:tcPr>
            <w:tcW w:w="4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279707" w14:textId="77777777" w:rsidR="00F4296B" w:rsidRPr="00C2587D" w:rsidRDefault="00F4296B" w:rsidP="00F4296B">
            <w:pPr>
              <w:jc w:val="center"/>
              <w:rPr>
                <w:rFonts w:ascii="Times New Roman" w:hAnsi="Times New Roman"/>
                <w:sz w:val="20"/>
                <w:szCs w:val="20"/>
              </w:rPr>
            </w:pPr>
            <w:r w:rsidRPr="00C2587D">
              <w:rPr>
                <w:rFonts w:ascii="Times New Roman" w:hAnsi="Times New Roman"/>
                <w:sz w:val="20"/>
                <w:szCs w:val="20"/>
              </w:rPr>
              <w:t>№</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D9EE09" w14:textId="77777777" w:rsidR="00F4296B" w:rsidRPr="00C2587D" w:rsidRDefault="00F4296B" w:rsidP="00F4296B">
            <w:pPr>
              <w:jc w:val="center"/>
              <w:rPr>
                <w:rFonts w:ascii="Times New Roman" w:hAnsi="Times New Roman"/>
                <w:sz w:val="20"/>
                <w:szCs w:val="20"/>
              </w:rPr>
            </w:pPr>
            <w:r w:rsidRPr="00C2587D">
              <w:rPr>
                <w:rFonts w:ascii="Times New Roman" w:hAnsi="Times New Roman"/>
                <w:sz w:val="20"/>
                <w:szCs w:val="20"/>
              </w:rPr>
              <w:t>Назва програми місцевого розвитку / Назва проєкту місцевого (регіонального розвитку)</w:t>
            </w:r>
          </w:p>
        </w:tc>
        <w:tc>
          <w:tcPr>
            <w:tcW w:w="11425" w:type="dxa"/>
            <w:gridSpan w:val="16"/>
            <w:tcBorders>
              <w:top w:val="single" w:sz="4" w:space="0" w:color="auto"/>
              <w:left w:val="nil"/>
              <w:bottom w:val="single" w:sz="4" w:space="0" w:color="auto"/>
              <w:right w:val="single" w:sz="4" w:space="0" w:color="auto"/>
            </w:tcBorders>
            <w:shd w:val="clear" w:color="auto" w:fill="auto"/>
            <w:vAlign w:val="center"/>
            <w:hideMark/>
          </w:tcPr>
          <w:p w14:paraId="0A8DD146" w14:textId="343BB54A" w:rsidR="00F4296B" w:rsidRPr="00C2587D" w:rsidRDefault="00F4296B" w:rsidP="00F4296B">
            <w:pPr>
              <w:jc w:val="center"/>
              <w:rPr>
                <w:rFonts w:ascii="Times New Roman" w:hAnsi="Times New Roman"/>
                <w:b/>
                <w:sz w:val="20"/>
                <w:szCs w:val="20"/>
              </w:rPr>
            </w:pPr>
            <w:r w:rsidRPr="00C2587D">
              <w:rPr>
                <w:rFonts w:ascii="Times New Roman" w:hAnsi="Times New Roman"/>
                <w:b/>
                <w:sz w:val="20"/>
                <w:szCs w:val="20"/>
              </w:rPr>
              <w:t xml:space="preserve">Орієнтовна потреба на період реалізації плану заходів на 2025-2028 роки, </w:t>
            </w:r>
            <w:r w:rsidR="00314B9D">
              <w:rPr>
                <w:rFonts w:ascii="Times New Roman" w:hAnsi="Times New Roman"/>
                <w:b/>
                <w:sz w:val="20"/>
                <w:szCs w:val="20"/>
              </w:rPr>
              <w:t>тис. грн</w:t>
            </w:r>
          </w:p>
        </w:tc>
        <w:tc>
          <w:tcPr>
            <w:tcW w:w="1049" w:type="dxa"/>
            <w:vMerge w:val="restart"/>
            <w:tcBorders>
              <w:top w:val="single" w:sz="4" w:space="0" w:color="auto"/>
              <w:left w:val="single" w:sz="4" w:space="0" w:color="auto"/>
              <w:right w:val="single" w:sz="4" w:space="0" w:color="auto"/>
            </w:tcBorders>
            <w:shd w:val="clear" w:color="auto" w:fill="auto"/>
            <w:vAlign w:val="center"/>
            <w:hideMark/>
          </w:tcPr>
          <w:p w14:paraId="7DA22399" w14:textId="222DE131" w:rsidR="00F4296B" w:rsidRPr="00C2587D" w:rsidRDefault="00F4296B" w:rsidP="00F4296B">
            <w:pPr>
              <w:jc w:val="center"/>
              <w:rPr>
                <w:rFonts w:ascii="Times New Roman" w:hAnsi="Times New Roman"/>
                <w:sz w:val="20"/>
                <w:szCs w:val="20"/>
              </w:rPr>
            </w:pPr>
            <w:r w:rsidRPr="00C2587D">
              <w:rPr>
                <w:rFonts w:ascii="Times New Roman" w:hAnsi="Times New Roman"/>
                <w:sz w:val="20"/>
                <w:szCs w:val="20"/>
              </w:rPr>
              <w:t xml:space="preserve">Загальний обсяг фінансування проєкту/програми за весь період реалізації, </w:t>
            </w:r>
            <w:r w:rsidR="00314B9D">
              <w:rPr>
                <w:rFonts w:ascii="Times New Roman" w:hAnsi="Times New Roman"/>
                <w:sz w:val="20"/>
                <w:szCs w:val="20"/>
              </w:rPr>
              <w:t>тис. грн</w:t>
            </w:r>
          </w:p>
        </w:tc>
      </w:tr>
      <w:tr w:rsidR="00F4296B" w:rsidRPr="00C2587D" w14:paraId="13317F4D" w14:textId="77777777" w:rsidTr="00A041B2">
        <w:trPr>
          <w:trHeight w:val="342"/>
        </w:trPr>
        <w:tc>
          <w:tcPr>
            <w:tcW w:w="433" w:type="dxa"/>
            <w:vMerge/>
            <w:tcBorders>
              <w:top w:val="single" w:sz="4" w:space="0" w:color="auto"/>
              <w:left w:val="single" w:sz="4" w:space="0" w:color="auto"/>
              <w:bottom w:val="single" w:sz="4" w:space="0" w:color="auto"/>
              <w:right w:val="single" w:sz="4" w:space="0" w:color="auto"/>
            </w:tcBorders>
            <w:vAlign w:val="center"/>
            <w:hideMark/>
          </w:tcPr>
          <w:p w14:paraId="3F31BFDF" w14:textId="77777777" w:rsidR="00F4296B" w:rsidRPr="00C2587D" w:rsidRDefault="00F4296B" w:rsidP="00F4296B">
            <w:pPr>
              <w:rPr>
                <w:rFonts w:ascii="Times New Roman" w:hAnsi="Times New Roman"/>
                <w:sz w:val="20"/>
                <w:szCs w:val="20"/>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29AA048" w14:textId="77777777" w:rsidR="00F4296B" w:rsidRPr="00C2587D" w:rsidRDefault="00F4296B" w:rsidP="00F4296B">
            <w:pPr>
              <w:rPr>
                <w:rFonts w:ascii="Times New Roman" w:hAnsi="Times New Roman"/>
                <w:sz w:val="20"/>
                <w:szCs w:val="20"/>
              </w:rPr>
            </w:pPr>
          </w:p>
        </w:tc>
        <w:tc>
          <w:tcPr>
            <w:tcW w:w="737" w:type="dxa"/>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14:paraId="3103D4EE" w14:textId="77777777" w:rsidR="00F4296B" w:rsidRPr="00C2587D" w:rsidRDefault="00F4296B" w:rsidP="00F4296B">
            <w:pPr>
              <w:ind w:left="113" w:right="113"/>
              <w:jc w:val="center"/>
              <w:rPr>
                <w:rFonts w:ascii="Times New Roman" w:hAnsi="Times New Roman"/>
                <w:b/>
                <w:sz w:val="20"/>
                <w:szCs w:val="20"/>
              </w:rPr>
            </w:pPr>
            <w:r w:rsidRPr="00C2587D">
              <w:rPr>
                <w:rFonts w:ascii="Times New Roman" w:hAnsi="Times New Roman"/>
                <w:b/>
                <w:sz w:val="20"/>
                <w:szCs w:val="20"/>
              </w:rPr>
              <w:t>Всього</w:t>
            </w:r>
          </w:p>
        </w:tc>
        <w:tc>
          <w:tcPr>
            <w:tcW w:w="10688" w:type="dxa"/>
            <w:gridSpan w:val="15"/>
            <w:tcBorders>
              <w:top w:val="single" w:sz="4" w:space="0" w:color="auto"/>
              <w:left w:val="nil"/>
              <w:bottom w:val="single" w:sz="4" w:space="0" w:color="auto"/>
              <w:right w:val="single" w:sz="4" w:space="0" w:color="auto"/>
            </w:tcBorders>
            <w:shd w:val="clear" w:color="auto" w:fill="auto"/>
            <w:hideMark/>
          </w:tcPr>
          <w:p w14:paraId="7B0C8227" w14:textId="77777777" w:rsidR="00F4296B" w:rsidRPr="00C2587D" w:rsidRDefault="00F4296B" w:rsidP="00F4296B">
            <w:pPr>
              <w:jc w:val="center"/>
              <w:rPr>
                <w:rFonts w:ascii="Times New Roman" w:hAnsi="Times New Roman"/>
                <w:b/>
                <w:sz w:val="20"/>
                <w:szCs w:val="20"/>
              </w:rPr>
            </w:pPr>
            <w:r w:rsidRPr="00C2587D">
              <w:rPr>
                <w:rFonts w:ascii="Times New Roman" w:hAnsi="Times New Roman"/>
                <w:b/>
                <w:sz w:val="20"/>
                <w:szCs w:val="20"/>
              </w:rPr>
              <w:t>в тому числі за джерелами фінансування:</w:t>
            </w:r>
          </w:p>
        </w:tc>
        <w:tc>
          <w:tcPr>
            <w:tcW w:w="1049" w:type="dxa"/>
            <w:vMerge/>
            <w:tcBorders>
              <w:left w:val="single" w:sz="4" w:space="0" w:color="auto"/>
              <w:right w:val="single" w:sz="4" w:space="0" w:color="auto"/>
            </w:tcBorders>
            <w:vAlign w:val="center"/>
            <w:hideMark/>
          </w:tcPr>
          <w:p w14:paraId="29EA0E40" w14:textId="77777777" w:rsidR="00F4296B" w:rsidRPr="00C2587D" w:rsidRDefault="00F4296B" w:rsidP="00F4296B">
            <w:pPr>
              <w:rPr>
                <w:rFonts w:ascii="Times New Roman" w:hAnsi="Times New Roman"/>
                <w:sz w:val="20"/>
                <w:szCs w:val="20"/>
              </w:rPr>
            </w:pPr>
          </w:p>
        </w:tc>
      </w:tr>
      <w:tr w:rsidR="00F4296B" w:rsidRPr="00C2587D" w14:paraId="6CD409D2" w14:textId="77777777" w:rsidTr="00A041B2">
        <w:trPr>
          <w:trHeight w:val="461"/>
        </w:trPr>
        <w:tc>
          <w:tcPr>
            <w:tcW w:w="433" w:type="dxa"/>
            <w:vMerge/>
            <w:tcBorders>
              <w:top w:val="single" w:sz="4" w:space="0" w:color="auto"/>
              <w:left w:val="single" w:sz="4" w:space="0" w:color="auto"/>
              <w:bottom w:val="single" w:sz="4" w:space="0" w:color="auto"/>
              <w:right w:val="single" w:sz="4" w:space="0" w:color="auto"/>
            </w:tcBorders>
            <w:vAlign w:val="center"/>
            <w:hideMark/>
          </w:tcPr>
          <w:p w14:paraId="6CED5C7A" w14:textId="77777777" w:rsidR="00F4296B" w:rsidRPr="00C2587D" w:rsidRDefault="00F4296B" w:rsidP="00F4296B">
            <w:pPr>
              <w:rPr>
                <w:rFonts w:ascii="Times New Roman" w:hAnsi="Times New Roman"/>
                <w:sz w:val="20"/>
                <w:szCs w:val="20"/>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6901944D" w14:textId="77777777" w:rsidR="00F4296B" w:rsidRPr="00C2587D" w:rsidRDefault="00F4296B" w:rsidP="00F4296B">
            <w:pPr>
              <w:rPr>
                <w:rFonts w:ascii="Times New Roman" w:hAnsi="Times New Roman"/>
                <w:sz w:val="20"/>
                <w:szCs w:val="20"/>
              </w:rPr>
            </w:pPr>
          </w:p>
        </w:tc>
        <w:tc>
          <w:tcPr>
            <w:tcW w:w="737" w:type="dxa"/>
            <w:vMerge/>
            <w:tcBorders>
              <w:top w:val="nil"/>
              <w:left w:val="single" w:sz="4" w:space="0" w:color="auto"/>
              <w:bottom w:val="single" w:sz="4" w:space="0" w:color="000000"/>
              <w:right w:val="single" w:sz="4" w:space="0" w:color="auto"/>
            </w:tcBorders>
            <w:vAlign w:val="center"/>
            <w:hideMark/>
          </w:tcPr>
          <w:p w14:paraId="7CA34208" w14:textId="77777777" w:rsidR="00F4296B" w:rsidRPr="00C2587D" w:rsidRDefault="00F4296B" w:rsidP="00F4296B">
            <w:pPr>
              <w:rPr>
                <w:rFonts w:ascii="Times New Roman" w:hAnsi="Times New Roman"/>
                <w:sz w:val="20"/>
                <w:szCs w:val="20"/>
              </w:rPr>
            </w:pPr>
          </w:p>
        </w:tc>
        <w:tc>
          <w:tcPr>
            <w:tcW w:w="4252" w:type="dxa"/>
            <w:gridSpan w:val="5"/>
            <w:tcBorders>
              <w:top w:val="single" w:sz="4" w:space="0" w:color="auto"/>
              <w:left w:val="nil"/>
              <w:bottom w:val="single" w:sz="4" w:space="0" w:color="auto"/>
              <w:right w:val="single" w:sz="4" w:space="0" w:color="auto"/>
            </w:tcBorders>
            <w:shd w:val="clear" w:color="auto" w:fill="F7CAAC"/>
            <w:vAlign w:val="center"/>
            <w:hideMark/>
          </w:tcPr>
          <w:p w14:paraId="1E293AF9" w14:textId="77777777" w:rsidR="00F4296B" w:rsidRPr="00C2587D" w:rsidRDefault="00F4296B" w:rsidP="00F4296B">
            <w:pPr>
              <w:jc w:val="center"/>
              <w:rPr>
                <w:rFonts w:ascii="Times New Roman" w:hAnsi="Times New Roman"/>
                <w:b/>
                <w:sz w:val="20"/>
                <w:szCs w:val="20"/>
              </w:rPr>
            </w:pPr>
            <w:r w:rsidRPr="00C2587D">
              <w:rPr>
                <w:rFonts w:ascii="Times New Roman" w:hAnsi="Times New Roman"/>
                <w:b/>
                <w:sz w:val="20"/>
                <w:szCs w:val="20"/>
              </w:rPr>
              <w:t>Кошти бюджету територіальної громади</w:t>
            </w:r>
          </w:p>
        </w:tc>
        <w:tc>
          <w:tcPr>
            <w:tcW w:w="3544" w:type="dxa"/>
            <w:gridSpan w:val="5"/>
            <w:tcBorders>
              <w:top w:val="single" w:sz="4" w:space="0" w:color="auto"/>
              <w:left w:val="nil"/>
              <w:bottom w:val="single" w:sz="4" w:space="0" w:color="auto"/>
              <w:right w:val="single" w:sz="4" w:space="0" w:color="000000"/>
            </w:tcBorders>
            <w:shd w:val="clear" w:color="auto" w:fill="C5E0B3"/>
            <w:vAlign w:val="center"/>
            <w:hideMark/>
          </w:tcPr>
          <w:p w14:paraId="2EC824EB" w14:textId="77777777" w:rsidR="00F4296B" w:rsidRPr="00C2587D" w:rsidRDefault="00F4296B" w:rsidP="00F4296B">
            <w:pPr>
              <w:jc w:val="center"/>
              <w:rPr>
                <w:rFonts w:ascii="Times New Roman" w:hAnsi="Times New Roman"/>
                <w:b/>
                <w:sz w:val="20"/>
                <w:szCs w:val="20"/>
              </w:rPr>
            </w:pPr>
            <w:r w:rsidRPr="00C2587D">
              <w:rPr>
                <w:rFonts w:ascii="Times New Roman" w:hAnsi="Times New Roman"/>
                <w:b/>
                <w:sz w:val="20"/>
                <w:szCs w:val="20"/>
              </w:rPr>
              <w:t>Кошти державного бюджету</w:t>
            </w:r>
          </w:p>
        </w:tc>
        <w:tc>
          <w:tcPr>
            <w:tcW w:w="2892" w:type="dxa"/>
            <w:gridSpan w:val="5"/>
            <w:tcBorders>
              <w:top w:val="single" w:sz="4" w:space="0" w:color="auto"/>
              <w:left w:val="nil"/>
              <w:bottom w:val="single" w:sz="4" w:space="0" w:color="auto"/>
              <w:right w:val="single" w:sz="4" w:space="0" w:color="auto"/>
            </w:tcBorders>
            <w:shd w:val="clear" w:color="auto" w:fill="D9E2F3"/>
            <w:vAlign w:val="center"/>
            <w:hideMark/>
          </w:tcPr>
          <w:p w14:paraId="4F3D29A1" w14:textId="77777777" w:rsidR="00F4296B" w:rsidRPr="00C2587D" w:rsidRDefault="00F4296B" w:rsidP="00F4296B">
            <w:pPr>
              <w:jc w:val="center"/>
              <w:rPr>
                <w:rFonts w:ascii="Times New Roman" w:hAnsi="Times New Roman"/>
                <w:b/>
                <w:sz w:val="20"/>
                <w:szCs w:val="20"/>
              </w:rPr>
            </w:pPr>
            <w:r w:rsidRPr="00C2587D">
              <w:rPr>
                <w:rFonts w:ascii="Times New Roman" w:hAnsi="Times New Roman"/>
                <w:b/>
                <w:sz w:val="20"/>
                <w:szCs w:val="20"/>
              </w:rPr>
              <w:t>Інші джерела</w:t>
            </w:r>
          </w:p>
        </w:tc>
        <w:tc>
          <w:tcPr>
            <w:tcW w:w="1049" w:type="dxa"/>
            <w:vMerge/>
            <w:tcBorders>
              <w:left w:val="single" w:sz="4" w:space="0" w:color="auto"/>
              <w:right w:val="single" w:sz="4" w:space="0" w:color="auto"/>
            </w:tcBorders>
            <w:vAlign w:val="center"/>
            <w:hideMark/>
          </w:tcPr>
          <w:p w14:paraId="7872F2A8" w14:textId="77777777" w:rsidR="00F4296B" w:rsidRPr="00C2587D" w:rsidRDefault="00F4296B" w:rsidP="00F4296B">
            <w:pPr>
              <w:rPr>
                <w:rFonts w:ascii="Times New Roman" w:hAnsi="Times New Roman"/>
                <w:sz w:val="20"/>
                <w:szCs w:val="20"/>
              </w:rPr>
            </w:pPr>
          </w:p>
        </w:tc>
      </w:tr>
      <w:tr w:rsidR="00F4296B" w:rsidRPr="00C2587D" w14:paraId="01A7B41E" w14:textId="77777777" w:rsidTr="00A041B2">
        <w:trPr>
          <w:cantSplit/>
          <w:trHeight w:val="399"/>
        </w:trPr>
        <w:tc>
          <w:tcPr>
            <w:tcW w:w="433" w:type="dxa"/>
            <w:vMerge/>
            <w:tcBorders>
              <w:top w:val="single" w:sz="4" w:space="0" w:color="auto"/>
              <w:left w:val="single" w:sz="4" w:space="0" w:color="auto"/>
              <w:bottom w:val="single" w:sz="4" w:space="0" w:color="auto"/>
              <w:right w:val="single" w:sz="4" w:space="0" w:color="auto"/>
            </w:tcBorders>
            <w:vAlign w:val="center"/>
            <w:hideMark/>
          </w:tcPr>
          <w:p w14:paraId="1D89A19F" w14:textId="77777777" w:rsidR="00F4296B" w:rsidRPr="00C2587D" w:rsidRDefault="00F4296B" w:rsidP="00F4296B">
            <w:pPr>
              <w:rPr>
                <w:rFonts w:ascii="Times New Roman" w:hAnsi="Times New Roman"/>
                <w:sz w:val="20"/>
                <w:szCs w:val="20"/>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440A0CA1" w14:textId="77777777" w:rsidR="00F4296B" w:rsidRPr="00C2587D" w:rsidRDefault="00F4296B" w:rsidP="00F4296B">
            <w:pPr>
              <w:rPr>
                <w:rFonts w:ascii="Times New Roman" w:hAnsi="Times New Roman"/>
                <w:sz w:val="20"/>
                <w:szCs w:val="20"/>
              </w:rPr>
            </w:pPr>
          </w:p>
        </w:tc>
        <w:tc>
          <w:tcPr>
            <w:tcW w:w="737" w:type="dxa"/>
            <w:vMerge/>
            <w:tcBorders>
              <w:top w:val="nil"/>
              <w:left w:val="single" w:sz="4" w:space="0" w:color="auto"/>
              <w:bottom w:val="single" w:sz="4" w:space="0" w:color="000000"/>
              <w:right w:val="single" w:sz="4" w:space="0" w:color="auto"/>
            </w:tcBorders>
            <w:vAlign w:val="center"/>
            <w:hideMark/>
          </w:tcPr>
          <w:p w14:paraId="50935B59" w14:textId="77777777" w:rsidR="00F4296B" w:rsidRPr="00C2587D" w:rsidRDefault="00F4296B" w:rsidP="00F4296B">
            <w:pPr>
              <w:rPr>
                <w:rFonts w:ascii="Times New Roman" w:hAnsi="Times New Roman"/>
                <w:sz w:val="20"/>
                <w:szCs w:val="20"/>
              </w:rPr>
            </w:pPr>
          </w:p>
        </w:tc>
        <w:tc>
          <w:tcPr>
            <w:tcW w:w="850" w:type="dxa"/>
            <w:vMerge w:val="restart"/>
            <w:tcBorders>
              <w:top w:val="nil"/>
              <w:left w:val="single" w:sz="4" w:space="0" w:color="auto"/>
              <w:bottom w:val="single" w:sz="4" w:space="0" w:color="000000"/>
              <w:right w:val="single" w:sz="4" w:space="0" w:color="auto"/>
            </w:tcBorders>
            <w:shd w:val="clear" w:color="000000" w:fill="F8CBAD"/>
            <w:textDirection w:val="btLr"/>
            <w:vAlign w:val="center"/>
            <w:hideMark/>
          </w:tcPr>
          <w:p w14:paraId="40243D86" w14:textId="77777777" w:rsidR="00F4296B" w:rsidRPr="00C2587D" w:rsidRDefault="00F4296B" w:rsidP="00F4296B">
            <w:pPr>
              <w:ind w:left="113" w:right="113"/>
              <w:jc w:val="center"/>
              <w:rPr>
                <w:rFonts w:ascii="Times New Roman" w:hAnsi="Times New Roman"/>
                <w:sz w:val="20"/>
                <w:szCs w:val="20"/>
              </w:rPr>
            </w:pPr>
            <w:r w:rsidRPr="00C2587D">
              <w:rPr>
                <w:rFonts w:ascii="Times New Roman" w:hAnsi="Times New Roman"/>
                <w:sz w:val="20"/>
                <w:szCs w:val="20"/>
              </w:rPr>
              <w:t>Разом:</w:t>
            </w:r>
          </w:p>
        </w:tc>
        <w:tc>
          <w:tcPr>
            <w:tcW w:w="3402" w:type="dxa"/>
            <w:gridSpan w:val="4"/>
            <w:tcBorders>
              <w:top w:val="single" w:sz="4" w:space="0" w:color="auto"/>
              <w:left w:val="nil"/>
              <w:bottom w:val="single" w:sz="4" w:space="0" w:color="auto"/>
              <w:right w:val="single" w:sz="4" w:space="0" w:color="auto"/>
            </w:tcBorders>
            <w:shd w:val="clear" w:color="auto" w:fill="auto"/>
            <w:vAlign w:val="center"/>
            <w:hideMark/>
          </w:tcPr>
          <w:p w14:paraId="49590F80" w14:textId="77777777" w:rsidR="00F4296B" w:rsidRPr="00C2587D" w:rsidRDefault="00F4296B" w:rsidP="00F4296B">
            <w:pPr>
              <w:jc w:val="center"/>
              <w:rPr>
                <w:rFonts w:ascii="Times New Roman" w:hAnsi="Times New Roman"/>
                <w:sz w:val="20"/>
                <w:szCs w:val="20"/>
              </w:rPr>
            </w:pPr>
            <w:r w:rsidRPr="00C2587D">
              <w:rPr>
                <w:rFonts w:ascii="Times New Roman" w:hAnsi="Times New Roman"/>
                <w:sz w:val="20"/>
                <w:szCs w:val="20"/>
              </w:rPr>
              <w:t>в т.ч. по роках:</w:t>
            </w:r>
          </w:p>
        </w:tc>
        <w:tc>
          <w:tcPr>
            <w:tcW w:w="709" w:type="dxa"/>
            <w:vMerge w:val="restart"/>
            <w:tcBorders>
              <w:top w:val="nil"/>
              <w:left w:val="single" w:sz="4" w:space="0" w:color="auto"/>
              <w:right w:val="single" w:sz="4" w:space="0" w:color="auto"/>
            </w:tcBorders>
            <w:shd w:val="clear" w:color="000000" w:fill="C6E0B4"/>
            <w:textDirection w:val="btLr"/>
            <w:vAlign w:val="center"/>
            <w:hideMark/>
          </w:tcPr>
          <w:p w14:paraId="78B488D3" w14:textId="77777777" w:rsidR="00F4296B" w:rsidRPr="00C2587D" w:rsidRDefault="00F4296B" w:rsidP="00F4296B">
            <w:pPr>
              <w:ind w:left="113" w:right="113"/>
              <w:jc w:val="center"/>
              <w:rPr>
                <w:rFonts w:ascii="Times New Roman" w:hAnsi="Times New Roman"/>
                <w:sz w:val="20"/>
                <w:szCs w:val="20"/>
              </w:rPr>
            </w:pPr>
            <w:r w:rsidRPr="00C2587D">
              <w:rPr>
                <w:rFonts w:ascii="Times New Roman" w:hAnsi="Times New Roman"/>
                <w:sz w:val="20"/>
                <w:szCs w:val="20"/>
              </w:rPr>
              <w:t>Разом:</w:t>
            </w:r>
          </w:p>
        </w:tc>
        <w:tc>
          <w:tcPr>
            <w:tcW w:w="2835" w:type="dxa"/>
            <w:gridSpan w:val="4"/>
            <w:tcBorders>
              <w:top w:val="single" w:sz="4" w:space="0" w:color="auto"/>
              <w:left w:val="nil"/>
              <w:bottom w:val="single" w:sz="4" w:space="0" w:color="auto"/>
              <w:right w:val="single" w:sz="4" w:space="0" w:color="auto"/>
            </w:tcBorders>
            <w:shd w:val="clear" w:color="auto" w:fill="auto"/>
            <w:vAlign w:val="center"/>
            <w:hideMark/>
          </w:tcPr>
          <w:p w14:paraId="40F1F300" w14:textId="77777777" w:rsidR="00F4296B" w:rsidRPr="00C2587D" w:rsidRDefault="00F4296B" w:rsidP="00F4296B">
            <w:pPr>
              <w:jc w:val="center"/>
              <w:rPr>
                <w:rFonts w:ascii="Times New Roman" w:hAnsi="Times New Roman"/>
                <w:sz w:val="20"/>
                <w:szCs w:val="20"/>
              </w:rPr>
            </w:pPr>
            <w:r w:rsidRPr="00C2587D">
              <w:rPr>
                <w:rFonts w:ascii="Times New Roman" w:hAnsi="Times New Roman"/>
                <w:sz w:val="20"/>
                <w:szCs w:val="20"/>
              </w:rPr>
              <w:t>в т.ч. по роках:</w:t>
            </w:r>
          </w:p>
        </w:tc>
        <w:tc>
          <w:tcPr>
            <w:tcW w:w="567" w:type="dxa"/>
            <w:vMerge w:val="restart"/>
            <w:tcBorders>
              <w:top w:val="single" w:sz="4" w:space="0" w:color="auto"/>
              <w:left w:val="nil"/>
              <w:right w:val="single" w:sz="4" w:space="0" w:color="auto"/>
            </w:tcBorders>
            <w:shd w:val="clear" w:color="auto" w:fill="DEEAF6"/>
            <w:textDirection w:val="btLr"/>
            <w:vAlign w:val="center"/>
            <w:hideMark/>
          </w:tcPr>
          <w:p w14:paraId="1D0413A7" w14:textId="77777777" w:rsidR="00F4296B" w:rsidRPr="00C2587D" w:rsidRDefault="00F4296B" w:rsidP="00F4296B">
            <w:pPr>
              <w:jc w:val="center"/>
              <w:rPr>
                <w:rFonts w:ascii="Times New Roman" w:hAnsi="Times New Roman"/>
                <w:sz w:val="20"/>
                <w:szCs w:val="20"/>
              </w:rPr>
            </w:pPr>
            <w:r w:rsidRPr="00C2587D">
              <w:rPr>
                <w:rFonts w:ascii="Times New Roman" w:hAnsi="Times New Roman"/>
                <w:sz w:val="20"/>
                <w:szCs w:val="20"/>
              </w:rPr>
              <w:t>Разом</w:t>
            </w:r>
          </w:p>
        </w:tc>
        <w:tc>
          <w:tcPr>
            <w:tcW w:w="2325" w:type="dxa"/>
            <w:gridSpan w:val="4"/>
            <w:tcBorders>
              <w:top w:val="single" w:sz="4" w:space="0" w:color="auto"/>
              <w:left w:val="nil"/>
              <w:bottom w:val="single" w:sz="4" w:space="0" w:color="auto"/>
              <w:right w:val="single" w:sz="4" w:space="0" w:color="auto"/>
            </w:tcBorders>
            <w:shd w:val="clear" w:color="auto" w:fill="auto"/>
            <w:vAlign w:val="center"/>
          </w:tcPr>
          <w:p w14:paraId="4072C08A" w14:textId="77777777" w:rsidR="00F4296B" w:rsidRPr="00C2587D" w:rsidRDefault="00F4296B" w:rsidP="00F4296B">
            <w:pPr>
              <w:jc w:val="center"/>
              <w:rPr>
                <w:rFonts w:ascii="Times New Roman" w:hAnsi="Times New Roman"/>
                <w:sz w:val="20"/>
                <w:szCs w:val="20"/>
              </w:rPr>
            </w:pPr>
            <w:r w:rsidRPr="00C2587D">
              <w:rPr>
                <w:rFonts w:ascii="Times New Roman" w:hAnsi="Times New Roman"/>
                <w:sz w:val="20"/>
                <w:szCs w:val="20"/>
              </w:rPr>
              <w:t>в т.ч. по роках:</w:t>
            </w:r>
          </w:p>
        </w:tc>
        <w:tc>
          <w:tcPr>
            <w:tcW w:w="1049" w:type="dxa"/>
            <w:vMerge/>
            <w:tcBorders>
              <w:left w:val="single" w:sz="4" w:space="0" w:color="auto"/>
              <w:right w:val="single" w:sz="4" w:space="0" w:color="auto"/>
            </w:tcBorders>
            <w:vAlign w:val="center"/>
            <w:hideMark/>
          </w:tcPr>
          <w:p w14:paraId="0D5143EE" w14:textId="77777777" w:rsidR="00F4296B" w:rsidRPr="00C2587D" w:rsidRDefault="00F4296B" w:rsidP="00F4296B">
            <w:pPr>
              <w:jc w:val="center"/>
              <w:rPr>
                <w:rFonts w:ascii="Times New Roman" w:hAnsi="Times New Roman"/>
                <w:sz w:val="20"/>
                <w:szCs w:val="20"/>
              </w:rPr>
            </w:pPr>
          </w:p>
        </w:tc>
      </w:tr>
      <w:tr w:rsidR="00F4296B" w:rsidRPr="00C2587D" w14:paraId="4D0F580E" w14:textId="77777777" w:rsidTr="00A041B2">
        <w:trPr>
          <w:cantSplit/>
          <w:trHeight w:val="1134"/>
        </w:trPr>
        <w:tc>
          <w:tcPr>
            <w:tcW w:w="433" w:type="dxa"/>
            <w:vMerge/>
            <w:tcBorders>
              <w:top w:val="single" w:sz="4" w:space="0" w:color="auto"/>
              <w:left w:val="single" w:sz="4" w:space="0" w:color="auto"/>
              <w:bottom w:val="single" w:sz="4" w:space="0" w:color="auto"/>
              <w:right w:val="single" w:sz="4" w:space="0" w:color="auto"/>
            </w:tcBorders>
            <w:vAlign w:val="center"/>
            <w:hideMark/>
          </w:tcPr>
          <w:p w14:paraId="19B58E49" w14:textId="77777777" w:rsidR="00F4296B" w:rsidRPr="00C2587D" w:rsidRDefault="00F4296B" w:rsidP="00F4296B">
            <w:pPr>
              <w:rPr>
                <w:rFonts w:ascii="Times New Roman" w:hAnsi="Times New Roman"/>
                <w:sz w:val="20"/>
                <w:szCs w:val="20"/>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65204083" w14:textId="77777777" w:rsidR="00F4296B" w:rsidRPr="00C2587D" w:rsidRDefault="00F4296B" w:rsidP="00F4296B">
            <w:pPr>
              <w:rPr>
                <w:rFonts w:ascii="Times New Roman" w:hAnsi="Times New Roman"/>
                <w:sz w:val="20"/>
                <w:szCs w:val="20"/>
              </w:rPr>
            </w:pPr>
          </w:p>
        </w:tc>
        <w:tc>
          <w:tcPr>
            <w:tcW w:w="737" w:type="dxa"/>
            <w:vMerge/>
            <w:tcBorders>
              <w:top w:val="nil"/>
              <w:left w:val="single" w:sz="4" w:space="0" w:color="auto"/>
              <w:bottom w:val="single" w:sz="4" w:space="0" w:color="auto"/>
              <w:right w:val="single" w:sz="4" w:space="0" w:color="auto"/>
            </w:tcBorders>
            <w:vAlign w:val="center"/>
            <w:hideMark/>
          </w:tcPr>
          <w:p w14:paraId="2157DD90" w14:textId="77777777" w:rsidR="00F4296B" w:rsidRPr="00C2587D" w:rsidRDefault="00F4296B" w:rsidP="00F4296B">
            <w:pPr>
              <w:rPr>
                <w:rFonts w:ascii="Times New Roman" w:hAnsi="Times New Roman"/>
                <w:sz w:val="20"/>
                <w:szCs w:val="20"/>
              </w:rPr>
            </w:pPr>
          </w:p>
        </w:tc>
        <w:tc>
          <w:tcPr>
            <w:tcW w:w="850" w:type="dxa"/>
            <w:vMerge/>
            <w:tcBorders>
              <w:top w:val="nil"/>
              <w:left w:val="single" w:sz="4" w:space="0" w:color="auto"/>
              <w:bottom w:val="single" w:sz="4" w:space="0" w:color="auto"/>
              <w:right w:val="single" w:sz="4" w:space="0" w:color="auto"/>
            </w:tcBorders>
            <w:vAlign w:val="center"/>
            <w:hideMark/>
          </w:tcPr>
          <w:p w14:paraId="42DB91C3" w14:textId="77777777" w:rsidR="00F4296B" w:rsidRPr="00C2587D" w:rsidRDefault="00F4296B" w:rsidP="00F4296B">
            <w:pPr>
              <w:rPr>
                <w:rFonts w:ascii="Times New Roman" w:hAnsi="Times New Roman"/>
                <w:sz w:val="20"/>
                <w:szCs w:val="20"/>
              </w:rPr>
            </w:pPr>
          </w:p>
        </w:tc>
        <w:tc>
          <w:tcPr>
            <w:tcW w:w="992" w:type="dxa"/>
            <w:tcBorders>
              <w:top w:val="single" w:sz="4" w:space="0" w:color="auto"/>
              <w:left w:val="nil"/>
              <w:bottom w:val="single" w:sz="4" w:space="0" w:color="auto"/>
              <w:right w:val="single" w:sz="4" w:space="0" w:color="auto"/>
            </w:tcBorders>
            <w:shd w:val="clear" w:color="auto" w:fill="auto"/>
            <w:textDirection w:val="btLr"/>
            <w:vAlign w:val="center"/>
            <w:hideMark/>
          </w:tcPr>
          <w:p w14:paraId="7C73C55F" w14:textId="77777777" w:rsidR="00F4296B" w:rsidRPr="00C2587D" w:rsidRDefault="00F4296B" w:rsidP="00F4296B">
            <w:pPr>
              <w:ind w:left="113" w:right="113"/>
              <w:jc w:val="center"/>
              <w:rPr>
                <w:rFonts w:ascii="Times New Roman" w:hAnsi="Times New Roman"/>
                <w:sz w:val="20"/>
                <w:szCs w:val="20"/>
              </w:rPr>
            </w:pPr>
            <w:r w:rsidRPr="00C2587D">
              <w:rPr>
                <w:rFonts w:ascii="Times New Roman" w:hAnsi="Times New Roman"/>
                <w:sz w:val="20"/>
                <w:szCs w:val="20"/>
              </w:rPr>
              <w:t>2025</w:t>
            </w:r>
          </w:p>
        </w:tc>
        <w:tc>
          <w:tcPr>
            <w:tcW w:w="851" w:type="dxa"/>
            <w:tcBorders>
              <w:top w:val="nil"/>
              <w:left w:val="nil"/>
              <w:bottom w:val="single" w:sz="4" w:space="0" w:color="auto"/>
              <w:right w:val="single" w:sz="4" w:space="0" w:color="auto"/>
            </w:tcBorders>
            <w:shd w:val="clear" w:color="auto" w:fill="auto"/>
            <w:textDirection w:val="btLr"/>
            <w:vAlign w:val="center"/>
            <w:hideMark/>
          </w:tcPr>
          <w:p w14:paraId="0067BE0F" w14:textId="77777777" w:rsidR="00F4296B" w:rsidRPr="00C2587D" w:rsidRDefault="00F4296B" w:rsidP="00F4296B">
            <w:pPr>
              <w:ind w:left="113" w:right="113"/>
              <w:jc w:val="center"/>
              <w:rPr>
                <w:rFonts w:ascii="Times New Roman" w:hAnsi="Times New Roman"/>
                <w:sz w:val="20"/>
                <w:szCs w:val="20"/>
              </w:rPr>
            </w:pPr>
            <w:r w:rsidRPr="00C2587D">
              <w:rPr>
                <w:rFonts w:ascii="Times New Roman" w:hAnsi="Times New Roman"/>
                <w:sz w:val="20"/>
                <w:szCs w:val="20"/>
              </w:rPr>
              <w:t>2026</w:t>
            </w:r>
          </w:p>
        </w:tc>
        <w:tc>
          <w:tcPr>
            <w:tcW w:w="850" w:type="dxa"/>
            <w:tcBorders>
              <w:top w:val="nil"/>
              <w:left w:val="nil"/>
              <w:bottom w:val="single" w:sz="4" w:space="0" w:color="auto"/>
              <w:right w:val="single" w:sz="4" w:space="0" w:color="auto"/>
            </w:tcBorders>
            <w:shd w:val="clear" w:color="auto" w:fill="auto"/>
            <w:textDirection w:val="btLr"/>
            <w:vAlign w:val="center"/>
            <w:hideMark/>
          </w:tcPr>
          <w:p w14:paraId="26F2F255" w14:textId="77777777" w:rsidR="00F4296B" w:rsidRPr="00C2587D" w:rsidRDefault="00F4296B" w:rsidP="00F4296B">
            <w:pPr>
              <w:ind w:left="113" w:right="113"/>
              <w:jc w:val="center"/>
              <w:rPr>
                <w:rFonts w:ascii="Times New Roman" w:hAnsi="Times New Roman"/>
                <w:sz w:val="20"/>
                <w:szCs w:val="20"/>
              </w:rPr>
            </w:pPr>
            <w:r w:rsidRPr="00C2587D">
              <w:rPr>
                <w:rFonts w:ascii="Times New Roman" w:hAnsi="Times New Roman"/>
                <w:sz w:val="20"/>
                <w:szCs w:val="20"/>
              </w:rPr>
              <w:t>2027</w:t>
            </w: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51477927" w14:textId="77777777" w:rsidR="00F4296B" w:rsidRPr="00C2587D" w:rsidRDefault="00F4296B" w:rsidP="00F4296B">
            <w:pPr>
              <w:ind w:left="113" w:right="113"/>
              <w:jc w:val="center"/>
              <w:rPr>
                <w:rFonts w:ascii="Times New Roman" w:hAnsi="Times New Roman"/>
                <w:sz w:val="20"/>
                <w:szCs w:val="20"/>
              </w:rPr>
            </w:pPr>
            <w:r w:rsidRPr="00C2587D">
              <w:rPr>
                <w:rFonts w:ascii="Times New Roman" w:hAnsi="Times New Roman"/>
                <w:sz w:val="20"/>
                <w:szCs w:val="20"/>
              </w:rPr>
              <w:t>2028</w:t>
            </w:r>
          </w:p>
        </w:tc>
        <w:tc>
          <w:tcPr>
            <w:tcW w:w="709" w:type="dxa"/>
            <w:vMerge/>
            <w:tcBorders>
              <w:left w:val="single" w:sz="4" w:space="0" w:color="auto"/>
              <w:bottom w:val="single" w:sz="4" w:space="0" w:color="auto"/>
              <w:right w:val="single" w:sz="4" w:space="0" w:color="auto"/>
            </w:tcBorders>
            <w:vAlign w:val="center"/>
            <w:hideMark/>
          </w:tcPr>
          <w:p w14:paraId="3DFF9FF7" w14:textId="77777777" w:rsidR="00F4296B" w:rsidRPr="00C2587D" w:rsidRDefault="00F4296B" w:rsidP="00F4296B">
            <w:pPr>
              <w:rPr>
                <w:rFonts w:ascii="Times New Roman" w:hAnsi="Times New Roman"/>
                <w:sz w:val="20"/>
                <w:szCs w:val="20"/>
              </w:rPr>
            </w:pP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12A8958F" w14:textId="77777777" w:rsidR="00F4296B" w:rsidRPr="00C2587D" w:rsidRDefault="00F4296B" w:rsidP="00F4296B">
            <w:pPr>
              <w:ind w:left="113" w:right="113"/>
              <w:jc w:val="center"/>
              <w:rPr>
                <w:rFonts w:ascii="Times New Roman" w:hAnsi="Times New Roman"/>
                <w:sz w:val="20"/>
                <w:szCs w:val="20"/>
              </w:rPr>
            </w:pPr>
            <w:r w:rsidRPr="00C2587D">
              <w:rPr>
                <w:rFonts w:ascii="Times New Roman" w:hAnsi="Times New Roman"/>
                <w:sz w:val="20"/>
                <w:szCs w:val="20"/>
              </w:rPr>
              <w:t>2025</w:t>
            </w:r>
          </w:p>
        </w:tc>
        <w:tc>
          <w:tcPr>
            <w:tcW w:w="708" w:type="dxa"/>
            <w:tcBorders>
              <w:top w:val="nil"/>
              <w:left w:val="nil"/>
              <w:bottom w:val="single" w:sz="4" w:space="0" w:color="auto"/>
              <w:right w:val="single" w:sz="4" w:space="0" w:color="auto"/>
            </w:tcBorders>
            <w:shd w:val="clear" w:color="auto" w:fill="auto"/>
            <w:textDirection w:val="btLr"/>
            <w:vAlign w:val="center"/>
            <w:hideMark/>
          </w:tcPr>
          <w:p w14:paraId="687E45B8" w14:textId="77777777" w:rsidR="00F4296B" w:rsidRPr="00C2587D" w:rsidRDefault="00F4296B" w:rsidP="00F4296B">
            <w:pPr>
              <w:ind w:left="113" w:right="113"/>
              <w:jc w:val="center"/>
              <w:rPr>
                <w:rFonts w:ascii="Times New Roman" w:hAnsi="Times New Roman"/>
                <w:sz w:val="20"/>
                <w:szCs w:val="20"/>
              </w:rPr>
            </w:pPr>
            <w:r w:rsidRPr="00C2587D">
              <w:rPr>
                <w:rFonts w:ascii="Times New Roman" w:hAnsi="Times New Roman"/>
                <w:sz w:val="20"/>
                <w:szCs w:val="20"/>
              </w:rPr>
              <w:t>2026</w:t>
            </w: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4F459B94" w14:textId="77777777" w:rsidR="00F4296B" w:rsidRPr="00C2587D" w:rsidRDefault="00F4296B" w:rsidP="00F4296B">
            <w:pPr>
              <w:ind w:left="113" w:right="113"/>
              <w:jc w:val="center"/>
              <w:rPr>
                <w:rFonts w:ascii="Times New Roman" w:hAnsi="Times New Roman"/>
                <w:sz w:val="20"/>
                <w:szCs w:val="20"/>
              </w:rPr>
            </w:pPr>
            <w:r w:rsidRPr="00C2587D">
              <w:rPr>
                <w:rFonts w:ascii="Times New Roman" w:hAnsi="Times New Roman"/>
                <w:sz w:val="20"/>
                <w:szCs w:val="20"/>
              </w:rPr>
              <w:t>2027</w:t>
            </w: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3C6E60A5" w14:textId="77777777" w:rsidR="00F4296B" w:rsidRPr="00C2587D" w:rsidRDefault="00F4296B" w:rsidP="00F4296B">
            <w:pPr>
              <w:ind w:left="113" w:right="113"/>
              <w:jc w:val="center"/>
              <w:rPr>
                <w:rFonts w:ascii="Times New Roman" w:hAnsi="Times New Roman"/>
                <w:sz w:val="20"/>
                <w:szCs w:val="20"/>
              </w:rPr>
            </w:pPr>
            <w:r w:rsidRPr="00C2587D">
              <w:rPr>
                <w:rFonts w:ascii="Times New Roman" w:hAnsi="Times New Roman"/>
                <w:sz w:val="20"/>
                <w:szCs w:val="20"/>
              </w:rPr>
              <w:t>2028</w:t>
            </w:r>
          </w:p>
        </w:tc>
        <w:tc>
          <w:tcPr>
            <w:tcW w:w="567" w:type="dxa"/>
            <w:vMerge/>
            <w:tcBorders>
              <w:left w:val="single" w:sz="4" w:space="0" w:color="auto"/>
              <w:bottom w:val="single" w:sz="4" w:space="0" w:color="auto"/>
              <w:right w:val="single" w:sz="4" w:space="0" w:color="auto"/>
            </w:tcBorders>
            <w:shd w:val="clear" w:color="auto" w:fill="DEEAF6"/>
            <w:vAlign w:val="center"/>
            <w:hideMark/>
          </w:tcPr>
          <w:p w14:paraId="717E78A6" w14:textId="77777777" w:rsidR="00F4296B" w:rsidRPr="00C2587D" w:rsidRDefault="00F4296B" w:rsidP="00F4296B">
            <w:pPr>
              <w:rPr>
                <w:rFonts w:ascii="Times New Roman" w:hAnsi="Times New Roman"/>
                <w:sz w:val="20"/>
                <w:szCs w:val="20"/>
              </w:rPr>
            </w:pPr>
          </w:p>
        </w:tc>
        <w:tc>
          <w:tcPr>
            <w:tcW w:w="567" w:type="dxa"/>
            <w:tcBorders>
              <w:top w:val="nil"/>
              <w:left w:val="nil"/>
              <w:bottom w:val="single" w:sz="4" w:space="0" w:color="auto"/>
              <w:right w:val="single" w:sz="4" w:space="0" w:color="auto"/>
            </w:tcBorders>
            <w:shd w:val="clear" w:color="auto" w:fill="auto"/>
            <w:textDirection w:val="btLr"/>
            <w:vAlign w:val="center"/>
            <w:hideMark/>
          </w:tcPr>
          <w:p w14:paraId="1BE768ED" w14:textId="77777777" w:rsidR="00F4296B" w:rsidRPr="00C2587D" w:rsidRDefault="00F4296B" w:rsidP="00F4296B">
            <w:pPr>
              <w:ind w:left="113" w:right="113"/>
              <w:jc w:val="center"/>
              <w:rPr>
                <w:rFonts w:ascii="Times New Roman" w:hAnsi="Times New Roman"/>
                <w:sz w:val="20"/>
                <w:szCs w:val="20"/>
              </w:rPr>
            </w:pPr>
            <w:r w:rsidRPr="00C2587D">
              <w:rPr>
                <w:rFonts w:ascii="Times New Roman" w:hAnsi="Times New Roman"/>
                <w:sz w:val="20"/>
                <w:szCs w:val="20"/>
              </w:rPr>
              <w:t>2025</w:t>
            </w:r>
          </w:p>
        </w:tc>
        <w:tc>
          <w:tcPr>
            <w:tcW w:w="567" w:type="dxa"/>
            <w:tcBorders>
              <w:top w:val="nil"/>
              <w:left w:val="nil"/>
              <w:bottom w:val="single" w:sz="4" w:space="0" w:color="auto"/>
              <w:right w:val="single" w:sz="4" w:space="0" w:color="auto"/>
            </w:tcBorders>
            <w:shd w:val="clear" w:color="auto" w:fill="auto"/>
            <w:textDirection w:val="btLr"/>
            <w:vAlign w:val="center"/>
            <w:hideMark/>
          </w:tcPr>
          <w:p w14:paraId="17B0FFE0" w14:textId="77777777" w:rsidR="00F4296B" w:rsidRPr="00C2587D" w:rsidRDefault="00F4296B" w:rsidP="00F4296B">
            <w:pPr>
              <w:ind w:left="113" w:right="113"/>
              <w:jc w:val="center"/>
              <w:rPr>
                <w:rFonts w:ascii="Times New Roman" w:hAnsi="Times New Roman"/>
                <w:sz w:val="20"/>
                <w:szCs w:val="20"/>
              </w:rPr>
            </w:pPr>
            <w:r w:rsidRPr="00C2587D">
              <w:rPr>
                <w:rFonts w:ascii="Times New Roman" w:hAnsi="Times New Roman"/>
                <w:sz w:val="20"/>
                <w:szCs w:val="20"/>
              </w:rPr>
              <w:t>2026</w:t>
            </w:r>
          </w:p>
        </w:tc>
        <w:tc>
          <w:tcPr>
            <w:tcW w:w="624" w:type="dxa"/>
            <w:tcBorders>
              <w:top w:val="nil"/>
              <w:left w:val="nil"/>
              <w:bottom w:val="single" w:sz="4" w:space="0" w:color="auto"/>
              <w:right w:val="single" w:sz="4" w:space="0" w:color="auto"/>
            </w:tcBorders>
            <w:shd w:val="clear" w:color="auto" w:fill="auto"/>
            <w:textDirection w:val="btLr"/>
            <w:vAlign w:val="center"/>
            <w:hideMark/>
          </w:tcPr>
          <w:p w14:paraId="7C54FB8E" w14:textId="77777777" w:rsidR="00F4296B" w:rsidRPr="00C2587D" w:rsidRDefault="00F4296B" w:rsidP="00F4296B">
            <w:pPr>
              <w:ind w:left="113" w:right="113"/>
              <w:jc w:val="center"/>
              <w:rPr>
                <w:rFonts w:ascii="Times New Roman" w:hAnsi="Times New Roman"/>
                <w:sz w:val="20"/>
                <w:szCs w:val="20"/>
              </w:rPr>
            </w:pPr>
            <w:r w:rsidRPr="00C2587D">
              <w:rPr>
                <w:rFonts w:ascii="Times New Roman" w:hAnsi="Times New Roman"/>
                <w:sz w:val="20"/>
                <w:szCs w:val="20"/>
              </w:rPr>
              <w:t>2027</w:t>
            </w:r>
          </w:p>
        </w:tc>
        <w:tc>
          <w:tcPr>
            <w:tcW w:w="567" w:type="dxa"/>
            <w:tcBorders>
              <w:top w:val="nil"/>
              <w:left w:val="nil"/>
              <w:bottom w:val="single" w:sz="4" w:space="0" w:color="auto"/>
              <w:right w:val="single" w:sz="4" w:space="0" w:color="auto"/>
            </w:tcBorders>
            <w:shd w:val="clear" w:color="auto" w:fill="auto"/>
            <w:textDirection w:val="btLr"/>
            <w:vAlign w:val="center"/>
            <w:hideMark/>
          </w:tcPr>
          <w:p w14:paraId="634365DA" w14:textId="77777777" w:rsidR="00F4296B" w:rsidRPr="00C2587D" w:rsidRDefault="00F4296B" w:rsidP="00F4296B">
            <w:pPr>
              <w:ind w:left="113" w:right="113"/>
              <w:jc w:val="center"/>
              <w:rPr>
                <w:rFonts w:ascii="Times New Roman" w:hAnsi="Times New Roman"/>
                <w:sz w:val="20"/>
                <w:szCs w:val="20"/>
              </w:rPr>
            </w:pPr>
            <w:r w:rsidRPr="00C2587D">
              <w:rPr>
                <w:rFonts w:ascii="Times New Roman" w:hAnsi="Times New Roman"/>
                <w:sz w:val="20"/>
                <w:szCs w:val="20"/>
              </w:rPr>
              <w:t>2028</w:t>
            </w:r>
          </w:p>
        </w:tc>
        <w:tc>
          <w:tcPr>
            <w:tcW w:w="1049" w:type="dxa"/>
            <w:vMerge/>
            <w:tcBorders>
              <w:left w:val="single" w:sz="4" w:space="0" w:color="auto"/>
              <w:bottom w:val="single" w:sz="4" w:space="0" w:color="auto"/>
              <w:right w:val="single" w:sz="4" w:space="0" w:color="auto"/>
            </w:tcBorders>
            <w:vAlign w:val="center"/>
            <w:hideMark/>
          </w:tcPr>
          <w:p w14:paraId="2BA7525C" w14:textId="77777777" w:rsidR="00F4296B" w:rsidRPr="00C2587D" w:rsidRDefault="00F4296B" w:rsidP="00F4296B">
            <w:pPr>
              <w:jc w:val="center"/>
              <w:rPr>
                <w:rFonts w:ascii="Times New Roman" w:hAnsi="Times New Roman"/>
                <w:sz w:val="20"/>
                <w:szCs w:val="20"/>
              </w:rPr>
            </w:pPr>
          </w:p>
        </w:tc>
      </w:tr>
      <w:tr w:rsidR="002C40AC" w:rsidRPr="00C2587D" w14:paraId="71B30C86" w14:textId="77777777" w:rsidTr="00A041B2">
        <w:trPr>
          <w:trHeight w:val="394"/>
        </w:trPr>
        <w:tc>
          <w:tcPr>
            <w:tcW w:w="15175" w:type="dxa"/>
            <w:gridSpan w:val="19"/>
            <w:tcBorders>
              <w:top w:val="single" w:sz="4" w:space="0" w:color="auto"/>
              <w:left w:val="single" w:sz="4" w:space="0" w:color="auto"/>
              <w:bottom w:val="single" w:sz="4" w:space="0" w:color="auto"/>
              <w:right w:val="single" w:sz="4" w:space="0" w:color="auto"/>
            </w:tcBorders>
            <w:shd w:val="clear" w:color="auto" w:fill="auto"/>
          </w:tcPr>
          <w:p w14:paraId="26C1BE6C" w14:textId="7C3D0F00" w:rsidR="002C40AC" w:rsidRPr="00C2587D" w:rsidRDefault="002C40AC" w:rsidP="00F4296B">
            <w:pPr>
              <w:jc w:val="center"/>
              <w:rPr>
                <w:rFonts w:ascii="Times New Roman" w:hAnsi="Times New Roman"/>
                <w:b/>
                <w:color w:val="000000"/>
                <w:sz w:val="28"/>
                <w:szCs w:val="28"/>
              </w:rPr>
            </w:pPr>
            <w:r w:rsidRPr="00C2587D">
              <w:rPr>
                <w:rFonts w:ascii="Times New Roman" w:hAnsi="Times New Roman"/>
                <w:b/>
                <w:color w:val="000000"/>
                <w:sz w:val="28"/>
                <w:szCs w:val="28"/>
              </w:rPr>
              <w:t>Стратегічний напрям А «Інвестиційно приваблива громада із розвиненим експортно –орієнтованим бізнесом» </w:t>
            </w:r>
          </w:p>
        </w:tc>
      </w:tr>
      <w:tr w:rsidR="001F1B5B" w:rsidRPr="00C2587D" w14:paraId="46592B54" w14:textId="77777777" w:rsidTr="00A041B2">
        <w:trPr>
          <w:cantSplit/>
          <w:trHeight w:val="285"/>
        </w:trPr>
        <w:tc>
          <w:tcPr>
            <w:tcW w:w="15175" w:type="dxa"/>
            <w:gridSpan w:val="19"/>
            <w:tcBorders>
              <w:top w:val="single" w:sz="4" w:space="0" w:color="auto"/>
              <w:left w:val="single" w:sz="4" w:space="0" w:color="auto"/>
              <w:bottom w:val="single" w:sz="4" w:space="0" w:color="auto"/>
              <w:right w:val="single" w:sz="4" w:space="0" w:color="auto"/>
            </w:tcBorders>
            <w:shd w:val="clear" w:color="auto" w:fill="auto"/>
          </w:tcPr>
          <w:p w14:paraId="7F1E3EB9" w14:textId="6E78CDE8" w:rsidR="001F1B5B" w:rsidRPr="00C2587D" w:rsidRDefault="001F1B5B" w:rsidP="00221011">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Виконавчий комітет міської ради</w:t>
            </w:r>
          </w:p>
        </w:tc>
      </w:tr>
      <w:tr w:rsidR="008065BB" w:rsidRPr="00C2587D" w14:paraId="5DB0A07D" w14:textId="77777777" w:rsidTr="00A041B2">
        <w:trPr>
          <w:cantSplit/>
          <w:trHeight w:val="285"/>
        </w:trPr>
        <w:tc>
          <w:tcPr>
            <w:tcW w:w="15175" w:type="dxa"/>
            <w:gridSpan w:val="19"/>
            <w:tcBorders>
              <w:top w:val="single" w:sz="4" w:space="0" w:color="auto"/>
              <w:left w:val="single" w:sz="4" w:space="0" w:color="auto"/>
              <w:bottom w:val="single" w:sz="4" w:space="0" w:color="auto"/>
              <w:right w:val="single" w:sz="4" w:space="0" w:color="auto"/>
            </w:tcBorders>
            <w:shd w:val="clear" w:color="auto" w:fill="auto"/>
          </w:tcPr>
          <w:p w14:paraId="6E26B312" w14:textId="52D52490" w:rsidR="008065BB" w:rsidRPr="00C2587D" w:rsidRDefault="008065BB" w:rsidP="00221011">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Програми місцевого розвитку (в тому числі, які реалізуються через проєкти)</w:t>
            </w:r>
          </w:p>
        </w:tc>
      </w:tr>
      <w:tr w:rsidR="008065BB" w:rsidRPr="00C2587D" w14:paraId="72056746" w14:textId="77777777" w:rsidTr="00A041B2">
        <w:trPr>
          <w:cantSplit/>
          <w:trHeight w:val="1134"/>
        </w:trPr>
        <w:tc>
          <w:tcPr>
            <w:tcW w:w="433" w:type="dxa"/>
            <w:tcBorders>
              <w:top w:val="single" w:sz="4" w:space="0" w:color="auto"/>
              <w:left w:val="single" w:sz="4" w:space="0" w:color="auto"/>
              <w:bottom w:val="single" w:sz="4" w:space="0" w:color="auto"/>
              <w:right w:val="single" w:sz="4" w:space="0" w:color="auto"/>
            </w:tcBorders>
            <w:shd w:val="clear" w:color="auto" w:fill="auto"/>
          </w:tcPr>
          <w:p w14:paraId="35AB4462" w14:textId="1764FCAB" w:rsidR="008065BB" w:rsidRPr="00C2587D" w:rsidRDefault="008065BB" w:rsidP="008065BB">
            <w:pPr>
              <w:rPr>
                <w:rFonts w:ascii="Times New Roman" w:eastAsia="Arial" w:hAnsi="Times New Roman"/>
                <w:sz w:val="20"/>
                <w:szCs w:val="20"/>
                <w:lang w:eastAsia="en-US"/>
              </w:rPr>
            </w:pPr>
            <w:r w:rsidRPr="00C2587D">
              <w:rPr>
                <w:rFonts w:ascii="Times New Roman" w:eastAsia="Arial" w:hAnsi="Times New Roman"/>
                <w:sz w:val="20"/>
                <w:szCs w:val="20"/>
                <w:lang w:eastAsia="en-US"/>
              </w:rPr>
              <w:t>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66B435D" w14:textId="183DF1E2" w:rsidR="008065BB" w:rsidRPr="00C2587D" w:rsidRDefault="008065BB" w:rsidP="008065BB">
            <w:pPr>
              <w:rPr>
                <w:rFonts w:ascii="Times New Roman" w:hAnsi="Times New Roman"/>
                <w:sz w:val="20"/>
                <w:szCs w:val="20"/>
              </w:rPr>
            </w:pPr>
            <w:r w:rsidRPr="00C2587D">
              <w:rPr>
                <w:rFonts w:ascii="Times New Roman" w:eastAsia="Arial" w:hAnsi="Times New Roman"/>
                <w:sz w:val="20"/>
                <w:szCs w:val="20"/>
                <w:lang w:eastAsia="en-US"/>
              </w:rPr>
              <w:t>Програма міжнародного співробітництва Жмеринської міської територіальної громади на 2020-2025 роки</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C03FF81" w14:textId="1B7522B3" w:rsidR="008065BB" w:rsidRPr="00C2587D" w:rsidRDefault="008065BB" w:rsidP="008065BB">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1251,0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206DE4F6" w14:textId="77C0FE52"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1251,0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2F576D4" w14:textId="41E99310"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1251,0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DDC651B" w14:textId="38BBAFA5"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B1F783A" w14:textId="134E16D3"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154247B" w14:textId="35CE53E0"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74087399" w14:textId="47748D32"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347AA86" w14:textId="5D598251"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F65868E" w14:textId="4DE93E62"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4E7F86A" w14:textId="080B1118"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231CA9A" w14:textId="2B9B70E1"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7B367CD0" w14:textId="05463332"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45F35F7" w14:textId="7126B544"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3A62F0F" w14:textId="7504E311"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967FC56" w14:textId="5787FCA2"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5483753" w14:textId="16F3BDA1"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104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7E7F3AF3" w14:textId="1FBE76BF" w:rsidR="008065BB" w:rsidRPr="00C2587D" w:rsidRDefault="008065BB" w:rsidP="008065BB">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6106,0</w:t>
            </w:r>
          </w:p>
        </w:tc>
      </w:tr>
      <w:tr w:rsidR="008065BB" w:rsidRPr="00C2587D" w14:paraId="173D3564" w14:textId="77777777" w:rsidTr="00A041B2">
        <w:trPr>
          <w:cantSplit/>
          <w:trHeight w:val="1134"/>
        </w:trPr>
        <w:tc>
          <w:tcPr>
            <w:tcW w:w="433" w:type="dxa"/>
            <w:tcBorders>
              <w:top w:val="single" w:sz="4" w:space="0" w:color="auto"/>
              <w:left w:val="single" w:sz="4" w:space="0" w:color="auto"/>
              <w:bottom w:val="single" w:sz="4" w:space="0" w:color="auto"/>
              <w:right w:val="single" w:sz="4" w:space="0" w:color="auto"/>
            </w:tcBorders>
            <w:shd w:val="clear" w:color="auto" w:fill="auto"/>
          </w:tcPr>
          <w:p w14:paraId="314CF215" w14:textId="68DE4C22" w:rsidR="008065BB" w:rsidRPr="00C2587D" w:rsidRDefault="008065BB" w:rsidP="008065BB">
            <w:pPr>
              <w:rPr>
                <w:rFonts w:ascii="Times New Roman" w:eastAsia="Arial" w:hAnsi="Times New Roman"/>
                <w:sz w:val="20"/>
                <w:szCs w:val="20"/>
                <w:lang w:eastAsia="en-US"/>
              </w:rPr>
            </w:pPr>
            <w:r w:rsidRPr="00C2587D">
              <w:rPr>
                <w:rFonts w:ascii="Times New Roman" w:eastAsia="Arial" w:hAnsi="Times New Roman"/>
                <w:sz w:val="20"/>
                <w:szCs w:val="20"/>
                <w:lang w:eastAsia="en-US"/>
              </w:rPr>
              <w:t>2</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FEFCA4C" w14:textId="331BB0E2" w:rsidR="008065BB" w:rsidRPr="00C2587D" w:rsidRDefault="008065BB" w:rsidP="008065BB">
            <w:pPr>
              <w:rPr>
                <w:rFonts w:ascii="Times New Roman" w:hAnsi="Times New Roman"/>
                <w:sz w:val="20"/>
                <w:szCs w:val="20"/>
              </w:rPr>
            </w:pPr>
            <w:r w:rsidRPr="00C2587D">
              <w:rPr>
                <w:rFonts w:ascii="Times New Roman" w:eastAsia="Arial" w:hAnsi="Times New Roman"/>
                <w:sz w:val="20"/>
                <w:szCs w:val="20"/>
                <w:lang w:eastAsia="en-US"/>
              </w:rPr>
              <w:t>Проєкт Програми міжнародного співробітництва Жмеринської міської територіальної громади на 2025-2028 роки</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D30A810" w14:textId="485DA398" w:rsidR="008065BB" w:rsidRPr="00C2587D" w:rsidRDefault="008065BB" w:rsidP="008065BB">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11000,0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2EAC61BA" w14:textId="4B59E1B9"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11000,0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62DF656" w14:textId="52355870"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2000,0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C500BF2" w14:textId="638E9F8B"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2500,0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5E7206D" w14:textId="718B960C"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3000,0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ED3C372" w14:textId="1308428C"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3500,0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1CFDE20E" w14:textId="3EEDB5D3"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2D5ED74" w14:textId="406525A3"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4036815" w14:textId="0361AAB8"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1BCF1E1" w14:textId="54DF19C7"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8980F25" w14:textId="0DECC555"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4C89C014" w14:textId="4F5AFFC8"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B9A9D99" w14:textId="71137472"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59CEAB8" w14:textId="12671C9F"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FE58382" w14:textId="18C1C61F"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2F31D4C" w14:textId="5CDA5C3E"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104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63B7A4E1" w14:textId="40118D37" w:rsidR="008065BB" w:rsidRPr="00C2587D" w:rsidRDefault="008065BB" w:rsidP="008065BB">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11000,0</w:t>
            </w:r>
          </w:p>
        </w:tc>
      </w:tr>
      <w:tr w:rsidR="008065BB" w:rsidRPr="00C2587D" w14:paraId="4DC0F814" w14:textId="77777777" w:rsidTr="00A041B2">
        <w:trPr>
          <w:cantSplit/>
          <w:trHeight w:val="1134"/>
        </w:trPr>
        <w:tc>
          <w:tcPr>
            <w:tcW w:w="433" w:type="dxa"/>
            <w:tcBorders>
              <w:top w:val="single" w:sz="4" w:space="0" w:color="auto"/>
              <w:left w:val="single" w:sz="4" w:space="0" w:color="auto"/>
              <w:bottom w:val="single" w:sz="4" w:space="0" w:color="auto"/>
              <w:right w:val="single" w:sz="4" w:space="0" w:color="auto"/>
            </w:tcBorders>
            <w:shd w:val="clear" w:color="auto" w:fill="auto"/>
          </w:tcPr>
          <w:p w14:paraId="3B46E0C0" w14:textId="7C6356E3" w:rsidR="008065BB" w:rsidRPr="00C2587D" w:rsidRDefault="008065BB" w:rsidP="008065BB">
            <w:pPr>
              <w:rPr>
                <w:rFonts w:ascii="Times New Roman" w:eastAsia="Arial" w:hAnsi="Times New Roman"/>
                <w:sz w:val="20"/>
                <w:szCs w:val="20"/>
                <w:lang w:eastAsia="en-US"/>
              </w:rPr>
            </w:pPr>
            <w:r w:rsidRPr="00C2587D">
              <w:rPr>
                <w:rFonts w:ascii="Times New Roman" w:eastAsia="Arial" w:hAnsi="Times New Roman"/>
                <w:sz w:val="20"/>
                <w:szCs w:val="20"/>
                <w:lang w:eastAsia="en-US"/>
              </w:rPr>
              <w:t>3.</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928EF08" w14:textId="0A092F7D" w:rsidR="008065BB" w:rsidRPr="00C2587D" w:rsidRDefault="008065BB" w:rsidP="008065BB">
            <w:pPr>
              <w:rPr>
                <w:rFonts w:ascii="Times New Roman" w:hAnsi="Times New Roman"/>
                <w:sz w:val="20"/>
                <w:szCs w:val="20"/>
              </w:rPr>
            </w:pPr>
            <w:r w:rsidRPr="00C2587D">
              <w:rPr>
                <w:rFonts w:ascii="Times New Roman" w:eastAsia="Arial" w:hAnsi="Times New Roman"/>
                <w:sz w:val="20"/>
                <w:szCs w:val="20"/>
                <w:lang w:eastAsia="en-US"/>
              </w:rPr>
              <w:t>Програма інвестування житлового будівництва у Жмеринській міській територіальній громаді на 2024-2028 роки</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266D21C" w14:textId="1D6F8CFA" w:rsidR="008065BB" w:rsidRPr="00C2587D" w:rsidRDefault="008065BB" w:rsidP="008065BB">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400,0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5D974B98" w14:textId="5B801FFF"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400,0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03BF4BE" w14:textId="5D5856EC"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728CD6D" w14:textId="210B7B0C"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35DB57A" w14:textId="507C30A2"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D07CBDB" w14:textId="4762964F"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0F2475CA" w14:textId="2C2D3E46"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4C78913" w14:textId="5EBADAA5"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5E24456" w14:textId="4162D644"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4649E6B" w14:textId="07C2BEE1"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31E1610" w14:textId="55217EDA"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54411736" w14:textId="010C451F"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02463AF" w14:textId="4EC45428"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F110E15" w14:textId="5CDD6E94"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C562FD7" w14:textId="35E80639"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17640D2" w14:textId="2143861C"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104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00A1798E" w14:textId="367CAC00" w:rsidR="008065BB" w:rsidRPr="00C2587D" w:rsidRDefault="008065BB" w:rsidP="008065BB">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700,0</w:t>
            </w:r>
          </w:p>
        </w:tc>
      </w:tr>
      <w:tr w:rsidR="008065BB" w:rsidRPr="00C2587D" w14:paraId="4D6AE271" w14:textId="77777777" w:rsidTr="00A041B2">
        <w:trPr>
          <w:cantSplit/>
          <w:trHeight w:val="1134"/>
        </w:trPr>
        <w:tc>
          <w:tcPr>
            <w:tcW w:w="433" w:type="dxa"/>
            <w:tcBorders>
              <w:top w:val="single" w:sz="4" w:space="0" w:color="auto"/>
              <w:left w:val="single" w:sz="4" w:space="0" w:color="auto"/>
              <w:bottom w:val="single" w:sz="4" w:space="0" w:color="auto"/>
              <w:right w:val="single" w:sz="4" w:space="0" w:color="auto"/>
            </w:tcBorders>
            <w:shd w:val="clear" w:color="auto" w:fill="auto"/>
          </w:tcPr>
          <w:p w14:paraId="21C9BC72" w14:textId="67DF4EF2" w:rsidR="008065BB" w:rsidRPr="00C2587D" w:rsidRDefault="008065BB" w:rsidP="008065BB">
            <w:pPr>
              <w:rPr>
                <w:rFonts w:ascii="Times New Roman" w:eastAsia="Arial" w:hAnsi="Times New Roman"/>
                <w:sz w:val="20"/>
                <w:szCs w:val="20"/>
                <w:lang w:eastAsia="en-US"/>
              </w:rPr>
            </w:pPr>
            <w:r w:rsidRPr="00C2587D">
              <w:rPr>
                <w:rFonts w:ascii="Times New Roman" w:eastAsia="Arial" w:hAnsi="Times New Roman"/>
                <w:sz w:val="20"/>
                <w:szCs w:val="20"/>
                <w:lang w:eastAsia="en-US"/>
              </w:rPr>
              <w:lastRenderedPageBreak/>
              <w:t>4</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34F2D9E" w14:textId="7CE476AC" w:rsidR="008065BB" w:rsidRPr="00C2587D" w:rsidRDefault="008065BB" w:rsidP="008065BB">
            <w:pPr>
              <w:rPr>
                <w:rFonts w:ascii="Times New Roman" w:hAnsi="Times New Roman"/>
                <w:sz w:val="20"/>
                <w:szCs w:val="20"/>
              </w:rPr>
            </w:pPr>
            <w:r w:rsidRPr="00C2587D">
              <w:rPr>
                <w:rFonts w:ascii="Times New Roman" w:eastAsia="Arial" w:hAnsi="Times New Roman"/>
                <w:sz w:val="20"/>
                <w:szCs w:val="20"/>
                <w:lang w:eastAsia="en-US"/>
              </w:rPr>
              <w:t>Проєкт Програми інвестування житлового будівництва у Жмеринській міській територіальній громаді на 2025-2028 роки</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F95D5D3" w14:textId="63A99FBD" w:rsidR="008065BB" w:rsidRPr="00C2587D" w:rsidRDefault="008065BB" w:rsidP="008065BB">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1200,0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5238C7CF" w14:textId="7D620E37"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1200,0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75626F7" w14:textId="35C85E26"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300,0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F21B89B" w14:textId="62D0AF8B"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300,0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BB3FB34" w14:textId="7AEB5C3B"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2B9057B" w14:textId="323E437D"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300,0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4F1428CF" w14:textId="19AFD639"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36E60F8" w14:textId="09BA0AF3"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C8AE6C8" w14:textId="4142AF45"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7C45496" w14:textId="364ABD3D"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1EDAE60" w14:textId="6C4A9876"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66474EF9" w14:textId="04C7D5C4"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8AD85D7" w14:textId="01606D17"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3F46BB7" w14:textId="6B45B743"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2D50075" w14:textId="6C94701D"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07F4C16" w14:textId="159DE7C6"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104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0E96E20E" w14:textId="65D1454F" w:rsidR="008065BB" w:rsidRPr="00C2587D" w:rsidRDefault="008065BB" w:rsidP="008065BB">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1200,0</w:t>
            </w:r>
          </w:p>
        </w:tc>
      </w:tr>
      <w:tr w:rsidR="008065BB" w:rsidRPr="00C2587D" w14:paraId="04B57F74" w14:textId="77777777" w:rsidTr="00A041B2">
        <w:trPr>
          <w:cantSplit/>
          <w:trHeight w:val="1134"/>
        </w:trPr>
        <w:tc>
          <w:tcPr>
            <w:tcW w:w="433" w:type="dxa"/>
            <w:tcBorders>
              <w:top w:val="single" w:sz="4" w:space="0" w:color="auto"/>
              <w:left w:val="single" w:sz="4" w:space="0" w:color="auto"/>
              <w:bottom w:val="single" w:sz="4" w:space="0" w:color="auto"/>
              <w:right w:val="single" w:sz="4" w:space="0" w:color="auto"/>
            </w:tcBorders>
            <w:shd w:val="clear" w:color="auto" w:fill="auto"/>
          </w:tcPr>
          <w:p w14:paraId="7035CF60" w14:textId="285CD240" w:rsidR="008065BB" w:rsidRPr="00C2587D" w:rsidRDefault="008065BB" w:rsidP="008065BB">
            <w:pPr>
              <w:rPr>
                <w:rFonts w:ascii="Times New Roman" w:eastAsia="Arial" w:hAnsi="Times New Roman"/>
                <w:sz w:val="20"/>
                <w:szCs w:val="20"/>
                <w:lang w:eastAsia="en-US"/>
              </w:rPr>
            </w:pPr>
            <w:r w:rsidRPr="00C2587D">
              <w:rPr>
                <w:rFonts w:ascii="Times New Roman" w:eastAsia="Arial" w:hAnsi="Times New Roman"/>
                <w:sz w:val="20"/>
                <w:szCs w:val="20"/>
                <w:lang w:eastAsia="en-US"/>
              </w:rPr>
              <w:t>5</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B619B79" w14:textId="0BFA9FF8" w:rsidR="008065BB" w:rsidRPr="00C2587D" w:rsidRDefault="008065BB" w:rsidP="008065BB">
            <w:pPr>
              <w:rPr>
                <w:rFonts w:ascii="Times New Roman" w:hAnsi="Times New Roman"/>
                <w:sz w:val="20"/>
                <w:szCs w:val="20"/>
              </w:rPr>
            </w:pPr>
            <w:r w:rsidRPr="00C2587D">
              <w:rPr>
                <w:rFonts w:ascii="Times New Roman" w:eastAsia="Arial" w:hAnsi="Times New Roman"/>
                <w:sz w:val="20"/>
                <w:szCs w:val="20"/>
                <w:lang w:eastAsia="en-US"/>
              </w:rPr>
              <w:t>Програма розвитку місцевого самоврядування у Жмеринській міській територіальній громаді на 2025-2027 роки</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A9645B3" w14:textId="28D7A1D8" w:rsidR="008065BB" w:rsidRPr="00C2587D" w:rsidRDefault="008065BB" w:rsidP="008065BB">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14815,0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01FCCE94" w14:textId="7368B082"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14815,0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A8DC27B" w14:textId="124871A7"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hAnsi="Times New Roman"/>
                <w:bCs/>
                <w:iCs/>
                <w:sz w:val="20"/>
                <w:szCs w:val="20"/>
              </w:rPr>
              <w:t>3595,0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B6AC3CD" w14:textId="003CC20E"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hAnsi="Times New Roman"/>
                <w:bCs/>
                <w:iCs/>
                <w:sz w:val="20"/>
                <w:szCs w:val="20"/>
              </w:rPr>
              <w:t>5630,0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9E65529" w14:textId="35ED30E9"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hAnsi="Times New Roman"/>
                <w:bCs/>
                <w:iCs/>
                <w:sz w:val="20"/>
                <w:szCs w:val="20"/>
              </w:rPr>
              <w:t>5590,0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45DB686" w14:textId="677A195C"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0A30081A" w14:textId="522BC7EC"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FB3839E" w14:textId="74A178FB"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4CD2AC0" w14:textId="71AB23A0"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DEDE662" w14:textId="4D82A770"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AAC2741" w14:textId="285E4656"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096AA070" w14:textId="43BD1221"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A99A886" w14:textId="476D615E"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3E31397" w14:textId="4A3D23C5"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9736BCF" w14:textId="2692277E"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BFBC9E0" w14:textId="5001C7F7"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104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357C82DF" w14:textId="6F613B99" w:rsidR="008065BB" w:rsidRPr="00C2587D" w:rsidRDefault="008065BB" w:rsidP="008065BB">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14815,0</w:t>
            </w:r>
          </w:p>
        </w:tc>
      </w:tr>
      <w:tr w:rsidR="008065BB" w:rsidRPr="00C2587D" w14:paraId="36DD6F25" w14:textId="77777777" w:rsidTr="00A041B2">
        <w:trPr>
          <w:cantSplit/>
          <w:trHeight w:val="1134"/>
        </w:trPr>
        <w:tc>
          <w:tcPr>
            <w:tcW w:w="433" w:type="dxa"/>
            <w:tcBorders>
              <w:top w:val="single" w:sz="4" w:space="0" w:color="auto"/>
              <w:left w:val="single" w:sz="4" w:space="0" w:color="auto"/>
              <w:bottom w:val="single" w:sz="4" w:space="0" w:color="auto"/>
              <w:right w:val="single" w:sz="4" w:space="0" w:color="auto"/>
            </w:tcBorders>
            <w:shd w:val="clear" w:color="auto" w:fill="auto"/>
          </w:tcPr>
          <w:p w14:paraId="5EA49B43" w14:textId="003859DE" w:rsidR="008065BB" w:rsidRPr="00C2587D" w:rsidRDefault="008065BB" w:rsidP="008065BB">
            <w:pPr>
              <w:rPr>
                <w:rFonts w:ascii="Times New Roman" w:eastAsia="Arial" w:hAnsi="Times New Roman"/>
                <w:sz w:val="20"/>
                <w:szCs w:val="20"/>
                <w:lang w:eastAsia="en-US"/>
              </w:rPr>
            </w:pPr>
            <w:r w:rsidRPr="00C2587D">
              <w:rPr>
                <w:rFonts w:ascii="Times New Roman" w:eastAsia="Arial" w:hAnsi="Times New Roman"/>
                <w:sz w:val="20"/>
                <w:szCs w:val="20"/>
                <w:lang w:eastAsia="en-US"/>
              </w:rPr>
              <w:t>6</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BE541DD" w14:textId="0CDC41BD" w:rsidR="008065BB" w:rsidRPr="0050141B" w:rsidRDefault="008065BB" w:rsidP="008065BB">
            <w:pPr>
              <w:rPr>
                <w:rFonts w:ascii="Times New Roman" w:hAnsi="Times New Roman"/>
                <w:sz w:val="20"/>
                <w:szCs w:val="20"/>
                <w:highlight w:val="yellow"/>
              </w:rPr>
            </w:pPr>
            <w:r w:rsidRPr="0050141B">
              <w:rPr>
                <w:rFonts w:ascii="Times New Roman" w:eastAsia="Arial" w:hAnsi="Times New Roman"/>
                <w:sz w:val="20"/>
                <w:szCs w:val="20"/>
                <w:lang w:eastAsia="en-US"/>
              </w:rPr>
              <w:t>Проєкт Програма розвитку місцевого самоврядування у Жмеринській міській територіальній громаді на 2028-2032 роки</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51CA409" w14:textId="78D2A9F4" w:rsidR="008065BB" w:rsidRPr="00C2587D" w:rsidRDefault="008065BB" w:rsidP="008065BB">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7000,0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46CDC4B6" w14:textId="44CEE9FF"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7000,0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F0052FB" w14:textId="50F3A9A3"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A7C515C" w14:textId="2EBFAF6D"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E49F8A8" w14:textId="0AB9C0F1"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6D534BF" w14:textId="132B96F3"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7000,0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6C557CFE" w14:textId="0A4AA100"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6A914FC" w14:textId="6C0F43BB"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F96D300" w14:textId="20A648C2"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8297D78" w14:textId="2641FCA4"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ABF2F9A" w14:textId="4C85E1F7"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6391D39A" w14:textId="473A9806"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C6F9EAC" w14:textId="2DE6E91C"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12723A0" w14:textId="0E89A33A"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58E5D69" w14:textId="5147A98F"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1A24608" w14:textId="4540A359"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104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29658649" w14:textId="5BC76359" w:rsidR="008065BB" w:rsidRPr="00C2587D" w:rsidRDefault="008065BB" w:rsidP="008065BB">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33000,0</w:t>
            </w:r>
          </w:p>
        </w:tc>
      </w:tr>
      <w:tr w:rsidR="008065BB" w:rsidRPr="00C2587D" w14:paraId="357A3BB4" w14:textId="77777777" w:rsidTr="00A041B2">
        <w:trPr>
          <w:cantSplit/>
          <w:trHeight w:val="1134"/>
        </w:trPr>
        <w:tc>
          <w:tcPr>
            <w:tcW w:w="433" w:type="dxa"/>
            <w:tcBorders>
              <w:top w:val="single" w:sz="4" w:space="0" w:color="auto"/>
              <w:left w:val="single" w:sz="4" w:space="0" w:color="auto"/>
              <w:bottom w:val="single" w:sz="4" w:space="0" w:color="auto"/>
              <w:right w:val="single" w:sz="4" w:space="0" w:color="auto"/>
            </w:tcBorders>
            <w:shd w:val="clear" w:color="auto" w:fill="auto"/>
          </w:tcPr>
          <w:p w14:paraId="15C6F9C3" w14:textId="0B3B3B41" w:rsidR="008065BB" w:rsidRPr="00C2587D" w:rsidRDefault="008065BB" w:rsidP="008065BB">
            <w:pPr>
              <w:rPr>
                <w:rFonts w:ascii="Times New Roman" w:eastAsia="Arial" w:hAnsi="Times New Roman"/>
                <w:sz w:val="20"/>
                <w:szCs w:val="20"/>
                <w:lang w:eastAsia="en-US"/>
              </w:rPr>
            </w:pPr>
            <w:r w:rsidRPr="00C2587D">
              <w:rPr>
                <w:rFonts w:ascii="Times New Roman" w:eastAsia="Arial" w:hAnsi="Times New Roman"/>
                <w:sz w:val="20"/>
                <w:szCs w:val="20"/>
                <w:lang w:eastAsia="en-US"/>
              </w:rPr>
              <w:t>7.</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D686B6F" w14:textId="7A5CF1FE" w:rsidR="008065BB" w:rsidRPr="00C2587D" w:rsidRDefault="008065BB" w:rsidP="008065BB">
            <w:pPr>
              <w:rPr>
                <w:rFonts w:ascii="Times New Roman" w:hAnsi="Times New Roman"/>
                <w:sz w:val="20"/>
                <w:szCs w:val="20"/>
              </w:rPr>
            </w:pPr>
            <w:r w:rsidRPr="00C2587D">
              <w:rPr>
                <w:rFonts w:ascii="Times New Roman" w:eastAsia="Arial" w:hAnsi="Times New Roman"/>
                <w:sz w:val="20"/>
                <w:szCs w:val="20"/>
                <w:lang w:eastAsia="en-US"/>
              </w:rPr>
              <w:t>Програма співробітництва між Жмеринською міською територіальною громадою та Дружківською територіальною громадою Краматорського району Донецької області на 2025 рік</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9EE40A3" w14:textId="5ABCA51E" w:rsidR="008065BB" w:rsidRPr="00C2587D" w:rsidRDefault="008065BB" w:rsidP="008065BB">
            <w:pPr>
              <w:ind w:left="113" w:right="113"/>
              <w:jc w:val="center"/>
              <w:rPr>
                <w:rFonts w:ascii="Times New Roman" w:eastAsia="Arial" w:hAnsi="Times New Roman"/>
                <w:b/>
                <w:sz w:val="20"/>
                <w:szCs w:val="20"/>
                <w:lang w:eastAsia="en-US"/>
              </w:rPr>
            </w:pPr>
            <w:r w:rsidRPr="00C2587D">
              <w:rPr>
                <w:rFonts w:ascii="Times New Roman" w:hAnsi="Times New Roman"/>
                <w:b/>
                <w:sz w:val="20"/>
                <w:szCs w:val="20"/>
              </w:rPr>
              <w:t>4997,1</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443299B6" w14:textId="121755E1"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hAnsi="Times New Roman"/>
                <w:sz w:val="20"/>
                <w:szCs w:val="20"/>
              </w:rPr>
              <w:t>4997,1</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43FB58E" w14:textId="24465462"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hAnsi="Times New Roman"/>
                <w:sz w:val="20"/>
                <w:szCs w:val="20"/>
              </w:rPr>
              <w:t>4997,1</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B24EBA3" w14:textId="391FFD8E"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270D15D" w14:textId="1B4F1524"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D1CAE15" w14:textId="43EAD6C7"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604F388A" w14:textId="233E5BD3"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A38E8F6" w14:textId="2A5564BA"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44E159C" w14:textId="2905FA74"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29FDF42" w14:textId="65660789"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A44BBCB" w14:textId="163BF2FB"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19E54C44" w14:textId="14E5435B"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CAB874D" w14:textId="3A55A811"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B724A19" w14:textId="031D5BE3"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A91729A" w14:textId="185AC06D"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8E66FC4" w14:textId="6C94C879"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104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5B5A624E" w14:textId="22DBC79D" w:rsidR="008065BB" w:rsidRPr="00C2587D" w:rsidRDefault="008065BB" w:rsidP="008065BB">
            <w:pPr>
              <w:ind w:left="113" w:right="113"/>
              <w:jc w:val="center"/>
              <w:rPr>
                <w:rFonts w:ascii="Times New Roman" w:eastAsia="Arial" w:hAnsi="Times New Roman"/>
                <w:b/>
                <w:sz w:val="20"/>
                <w:szCs w:val="20"/>
                <w:lang w:eastAsia="en-US"/>
              </w:rPr>
            </w:pPr>
            <w:r w:rsidRPr="00C2587D">
              <w:rPr>
                <w:rFonts w:ascii="Times New Roman" w:hAnsi="Times New Roman"/>
                <w:b/>
                <w:sz w:val="20"/>
                <w:szCs w:val="20"/>
              </w:rPr>
              <w:t>4997,1</w:t>
            </w:r>
          </w:p>
        </w:tc>
      </w:tr>
      <w:tr w:rsidR="008065BB" w:rsidRPr="00C2587D" w14:paraId="38208600" w14:textId="77777777" w:rsidTr="00A041B2">
        <w:trPr>
          <w:cantSplit/>
          <w:trHeight w:val="1134"/>
        </w:trPr>
        <w:tc>
          <w:tcPr>
            <w:tcW w:w="433" w:type="dxa"/>
            <w:tcBorders>
              <w:top w:val="single" w:sz="4" w:space="0" w:color="auto"/>
              <w:left w:val="single" w:sz="4" w:space="0" w:color="auto"/>
              <w:bottom w:val="single" w:sz="4" w:space="0" w:color="auto"/>
              <w:right w:val="single" w:sz="4" w:space="0" w:color="auto"/>
            </w:tcBorders>
            <w:shd w:val="clear" w:color="auto" w:fill="auto"/>
          </w:tcPr>
          <w:p w14:paraId="3F13F933" w14:textId="64859D09" w:rsidR="008065BB" w:rsidRPr="00C2587D" w:rsidRDefault="008065BB" w:rsidP="008065BB">
            <w:pPr>
              <w:rPr>
                <w:rFonts w:ascii="Times New Roman" w:eastAsia="Arial" w:hAnsi="Times New Roman"/>
                <w:sz w:val="20"/>
                <w:szCs w:val="20"/>
                <w:lang w:eastAsia="en-US"/>
              </w:rPr>
            </w:pPr>
            <w:r w:rsidRPr="00C2587D">
              <w:rPr>
                <w:rFonts w:ascii="Times New Roman" w:eastAsia="Arial" w:hAnsi="Times New Roman"/>
                <w:sz w:val="20"/>
                <w:szCs w:val="20"/>
                <w:lang w:eastAsia="en-US"/>
              </w:rPr>
              <w:t>8</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C4C0173" w14:textId="74E65BA7" w:rsidR="008065BB" w:rsidRPr="00C2587D" w:rsidRDefault="008065BB" w:rsidP="008065BB">
            <w:pPr>
              <w:rPr>
                <w:rFonts w:ascii="Times New Roman" w:hAnsi="Times New Roman"/>
                <w:sz w:val="20"/>
                <w:szCs w:val="20"/>
              </w:rPr>
            </w:pPr>
            <w:r w:rsidRPr="00C2587D">
              <w:rPr>
                <w:rFonts w:ascii="Times New Roman" w:eastAsia="Arial" w:hAnsi="Times New Roman"/>
                <w:sz w:val="20"/>
                <w:szCs w:val="20"/>
                <w:lang w:eastAsia="en-US"/>
              </w:rPr>
              <w:t>Програма розвитку малого і середнього підприємництва у Жмеринській міській територіальній громаді на 2025-2027 роки</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AE09683" w14:textId="4456F966" w:rsidR="008065BB" w:rsidRPr="00C2587D" w:rsidRDefault="008065BB" w:rsidP="008065BB">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1968,9</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64FACB45" w14:textId="57AA8EE7"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1968,9</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455124D" w14:textId="45390D62"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570,9</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EABCD98" w14:textId="38C33DCC"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692,5</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FFB0DD9" w14:textId="352682BE"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705,5</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D4EF833" w14:textId="21727F61"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6994A979" w14:textId="408D633C"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73664D9" w14:textId="0B24DB14"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CC77CCC" w14:textId="1FF53F6C"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C0B7F25" w14:textId="1E8ECBB5"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0196A8A" w14:textId="67299E71"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6A18D72B" w14:textId="42B03E07"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6037ED0" w14:textId="7E48585F"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F24D225" w14:textId="38733FCE"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29EB474" w14:textId="38638F16"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D7D85E8" w14:textId="5E75233F"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104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1386DEDD" w14:textId="4ED60313" w:rsidR="008065BB" w:rsidRPr="00C2587D" w:rsidRDefault="008065BB" w:rsidP="008065BB">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1968,9</w:t>
            </w:r>
          </w:p>
        </w:tc>
      </w:tr>
      <w:tr w:rsidR="008065BB" w:rsidRPr="00C2587D" w14:paraId="247C709F" w14:textId="77777777" w:rsidTr="00A041B2">
        <w:trPr>
          <w:cantSplit/>
          <w:trHeight w:val="1134"/>
        </w:trPr>
        <w:tc>
          <w:tcPr>
            <w:tcW w:w="433" w:type="dxa"/>
            <w:tcBorders>
              <w:top w:val="single" w:sz="4" w:space="0" w:color="auto"/>
              <w:left w:val="single" w:sz="4" w:space="0" w:color="auto"/>
              <w:bottom w:val="single" w:sz="4" w:space="0" w:color="auto"/>
              <w:right w:val="single" w:sz="4" w:space="0" w:color="auto"/>
            </w:tcBorders>
            <w:shd w:val="clear" w:color="auto" w:fill="auto"/>
          </w:tcPr>
          <w:p w14:paraId="7ABF4FD5" w14:textId="0340CBEB" w:rsidR="008065BB" w:rsidRPr="00C2587D" w:rsidRDefault="008065BB" w:rsidP="008065BB">
            <w:pPr>
              <w:rPr>
                <w:rFonts w:ascii="Times New Roman" w:eastAsia="Arial" w:hAnsi="Times New Roman"/>
                <w:sz w:val="20"/>
                <w:szCs w:val="20"/>
                <w:lang w:eastAsia="en-US"/>
              </w:rPr>
            </w:pPr>
            <w:r w:rsidRPr="00C2587D">
              <w:rPr>
                <w:rFonts w:ascii="Times New Roman" w:eastAsia="Arial" w:hAnsi="Times New Roman"/>
                <w:sz w:val="20"/>
                <w:szCs w:val="20"/>
                <w:lang w:eastAsia="en-US"/>
              </w:rPr>
              <w:lastRenderedPageBreak/>
              <w:t>9</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866A507" w14:textId="67DBABF1" w:rsidR="008065BB" w:rsidRPr="00C2587D" w:rsidRDefault="008065BB" w:rsidP="008065BB">
            <w:pPr>
              <w:rPr>
                <w:rFonts w:ascii="Times New Roman" w:hAnsi="Times New Roman"/>
                <w:sz w:val="20"/>
                <w:szCs w:val="20"/>
              </w:rPr>
            </w:pPr>
            <w:r w:rsidRPr="00C2587D">
              <w:rPr>
                <w:rFonts w:ascii="Times New Roman" w:eastAsia="Arial" w:hAnsi="Times New Roman"/>
                <w:sz w:val="20"/>
                <w:szCs w:val="20"/>
                <w:lang w:eastAsia="en-US"/>
              </w:rPr>
              <w:t>Проєкт Програми розвитку малого і середнього підприємництва у Жмеринській міській територіальній громаді на 2028-2032 роки</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4D5C0C1" w14:textId="716037E2" w:rsidR="008065BB" w:rsidRPr="00C2587D" w:rsidRDefault="008065BB" w:rsidP="008065BB">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750,0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07508355" w14:textId="134CC933"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750,0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6CB17D7" w14:textId="03CF52D1"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85E6348" w14:textId="43A8D2A0"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8138245" w14:textId="3EA50E87"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F7964FD" w14:textId="5D2B390B"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750,0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5F24022B" w14:textId="5E383954"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37417AC" w14:textId="2DFC3FA8"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7BCD21E" w14:textId="4122D856"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1D577F4" w14:textId="70D23FF1"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567A82E" w14:textId="4CEC058C"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64ABACB3" w14:textId="159DB596"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90D2D83" w14:textId="5E4BFA48"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997D64D" w14:textId="23CD7E3D"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1052E66" w14:textId="1D70BB16"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ED1E495" w14:textId="08C5F511"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104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653B06B0" w14:textId="2D5737E3" w:rsidR="008065BB" w:rsidRPr="00C2587D" w:rsidRDefault="008065BB" w:rsidP="008065BB">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2000,0</w:t>
            </w:r>
          </w:p>
        </w:tc>
      </w:tr>
      <w:tr w:rsidR="008065BB" w:rsidRPr="00C2587D" w14:paraId="6EF6E0EC" w14:textId="77777777" w:rsidTr="00A041B2">
        <w:trPr>
          <w:cantSplit/>
          <w:trHeight w:val="1134"/>
        </w:trPr>
        <w:tc>
          <w:tcPr>
            <w:tcW w:w="433" w:type="dxa"/>
            <w:tcBorders>
              <w:top w:val="single" w:sz="4" w:space="0" w:color="auto"/>
              <w:left w:val="single" w:sz="4" w:space="0" w:color="auto"/>
              <w:bottom w:val="single" w:sz="4" w:space="0" w:color="auto"/>
              <w:right w:val="single" w:sz="4" w:space="0" w:color="auto"/>
            </w:tcBorders>
            <w:shd w:val="clear" w:color="auto" w:fill="auto"/>
          </w:tcPr>
          <w:p w14:paraId="1C4C8D13" w14:textId="0607C77A" w:rsidR="008065BB" w:rsidRPr="00C2587D" w:rsidRDefault="008065BB" w:rsidP="008065BB">
            <w:pPr>
              <w:rPr>
                <w:rFonts w:ascii="Times New Roman" w:eastAsia="Arial" w:hAnsi="Times New Roman"/>
                <w:sz w:val="20"/>
                <w:szCs w:val="20"/>
                <w:lang w:eastAsia="en-US"/>
              </w:rPr>
            </w:pPr>
            <w:r w:rsidRPr="00C2587D">
              <w:rPr>
                <w:rFonts w:ascii="Times New Roman" w:eastAsia="Arial" w:hAnsi="Times New Roman"/>
                <w:sz w:val="20"/>
                <w:szCs w:val="20"/>
                <w:lang w:eastAsia="en-US"/>
              </w:rPr>
              <w:t>10</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FCCE60C" w14:textId="4B0BB764" w:rsidR="008065BB" w:rsidRPr="00C2587D" w:rsidRDefault="008065BB" w:rsidP="008065BB">
            <w:pPr>
              <w:rPr>
                <w:rFonts w:ascii="Times New Roman" w:hAnsi="Times New Roman"/>
                <w:sz w:val="20"/>
                <w:szCs w:val="20"/>
              </w:rPr>
            </w:pPr>
            <w:r w:rsidRPr="00C2587D">
              <w:rPr>
                <w:rFonts w:ascii="Times New Roman" w:eastAsia="Arial" w:hAnsi="Times New Roman"/>
                <w:sz w:val="20"/>
                <w:szCs w:val="20"/>
                <w:lang w:eastAsia="en-US"/>
              </w:rPr>
              <w:t>Програма залучення інвестицій у Жмеринську місь</w:t>
            </w:r>
            <w:r w:rsidR="0050141B">
              <w:rPr>
                <w:rFonts w:ascii="Times New Roman" w:eastAsia="Arial" w:hAnsi="Times New Roman"/>
                <w:sz w:val="20"/>
                <w:szCs w:val="20"/>
                <w:lang w:eastAsia="en-US"/>
              </w:rPr>
              <w:t>ку територіальну громаду на 2023</w:t>
            </w:r>
            <w:r w:rsidRPr="00C2587D">
              <w:rPr>
                <w:rFonts w:ascii="Times New Roman" w:eastAsia="Arial" w:hAnsi="Times New Roman"/>
                <w:sz w:val="20"/>
                <w:szCs w:val="20"/>
                <w:lang w:eastAsia="en-US"/>
              </w:rPr>
              <w:t>-2025 роки</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2A23386" w14:textId="7F284F22" w:rsidR="008065BB" w:rsidRPr="00C2587D" w:rsidRDefault="008065BB" w:rsidP="008065BB">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22550,0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139F7B5E" w14:textId="4870D9F1"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5550,0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84C76E6" w14:textId="2C65BF81"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5550,0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87A46C5" w14:textId="5670803E"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5F9DF03" w14:textId="34F4B632"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DED6210" w14:textId="2AFE76AE"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56D7CFD6" w14:textId="7F1BB4DE"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04D1E48" w14:textId="64F6A9AC"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98F8C52" w14:textId="65D82398"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306E94D" w14:textId="2FDA5E94"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B30FBB3" w14:textId="676B1DDE"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1134DBDF" w14:textId="1365C024"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17000,0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3E3A552" w14:textId="4188ED89"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17000,0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F4A142E" w14:textId="3D0D6D0C"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7F4F6F0" w14:textId="471D3BC0"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BB220F1" w14:textId="478A1F26"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104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6BA68987" w14:textId="18D9CBF3" w:rsidR="008065BB" w:rsidRPr="00C2587D" w:rsidRDefault="008065BB" w:rsidP="008065BB">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90395,0</w:t>
            </w:r>
          </w:p>
        </w:tc>
      </w:tr>
      <w:tr w:rsidR="008065BB" w:rsidRPr="00C2587D" w14:paraId="32B84CAA" w14:textId="77777777" w:rsidTr="00A041B2">
        <w:trPr>
          <w:cantSplit/>
          <w:trHeight w:val="1134"/>
        </w:trPr>
        <w:tc>
          <w:tcPr>
            <w:tcW w:w="433" w:type="dxa"/>
            <w:tcBorders>
              <w:top w:val="single" w:sz="4" w:space="0" w:color="auto"/>
              <w:left w:val="single" w:sz="4" w:space="0" w:color="auto"/>
              <w:bottom w:val="single" w:sz="4" w:space="0" w:color="auto"/>
              <w:right w:val="single" w:sz="4" w:space="0" w:color="auto"/>
            </w:tcBorders>
            <w:shd w:val="clear" w:color="auto" w:fill="auto"/>
          </w:tcPr>
          <w:p w14:paraId="0EBC16C5" w14:textId="7671E644" w:rsidR="008065BB" w:rsidRPr="00C2587D" w:rsidRDefault="008065BB" w:rsidP="008065BB">
            <w:pPr>
              <w:rPr>
                <w:rFonts w:ascii="Times New Roman" w:eastAsia="Arial" w:hAnsi="Times New Roman"/>
                <w:sz w:val="20"/>
                <w:szCs w:val="20"/>
                <w:lang w:eastAsia="en-US"/>
              </w:rPr>
            </w:pPr>
            <w:r w:rsidRPr="00C2587D">
              <w:rPr>
                <w:rFonts w:ascii="Times New Roman" w:eastAsia="Arial" w:hAnsi="Times New Roman"/>
                <w:sz w:val="20"/>
                <w:szCs w:val="20"/>
                <w:lang w:eastAsia="en-US"/>
              </w:rPr>
              <w:t>11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0C24AF9" w14:textId="0A9BB95D" w:rsidR="008065BB" w:rsidRPr="00C2587D" w:rsidRDefault="008065BB" w:rsidP="008065BB">
            <w:pPr>
              <w:rPr>
                <w:rFonts w:ascii="Times New Roman" w:hAnsi="Times New Roman"/>
                <w:sz w:val="20"/>
                <w:szCs w:val="20"/>
              </w:rPr>
            </w:pPr>
            <w:r w:rsidRPr="00C2587D">
              <w:rPr>
                <w:rFonts w:ascii="Times New Roman" w:eastAsia="Arial" w:hAnsi="Times New Roman"/>
                <w:sz w:val="20"/>
                <w:szCs w:val="20"/>
                <w:lang w:eastAsia="en-US"/>
              </w:rPr>
              <w:t>Проєкт Програми залучення інвестицій у Жмеринську міську територіальну громаду на 2026-2028 роки</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8C31045" w14:textId="1322E59A" w:rsidR="008065BB" w:rsidRPr="00C2587D" w:rsidRDefault="008065BB" w:rsidP="008065BB">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514000,0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0E53EA6E" w14:textId="3CCEFCFE"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24000,0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4553CC0" w14:textId="6BCC7104"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50873D6" w14:textId="1D189101"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7000,0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050834E" w14:textId="527F923A"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8000,0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BCA0168" w14:textId="0319A420"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9000,0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7FA4C3DA" w14:textId="09BA0611"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140 000,0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EFA7EF3" w14:textId="4087749F"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AE51AC1" w14:textId="2791DC4F"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50000,0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24015EF" w14:textId="21BD841D"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80000,0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F965807" w14:textId="7E8215F6"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10000,0</w:t>
            </w: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55BBD517" w14:textId="5F917EDE"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350000,0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1EAB750" w14:textId="6BBCF844"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4873761" w14:textId="4B8D3EF1"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100000,0</w:t>
            </w: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2644A60" w14:textId="04B46F4F"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120000,0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C85F8F4" w14:textId="191ECF51"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130000,0</w:t>
            </w:r>
          </w:p>
        </w:tc>
        <w:tc>
          <w:tcPr>
            <w:tcW w:w="104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2AAC6556" w14:textId="4E0410F2" w:rsidR="008065BB" w:rsidRPr="00C2587D" w:rsidRDefault="008065BB" w:rsidP="008065BB">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514000,0</w:t>
            </w:r>
          </w:p>
        </w:tc>
      </w:tr>
      <w:tr w:rsidR="008065BB" w:rsidRPr="00C2587D" w14:paraId="3561DFD9" w14:textId="77777777" w:rsidTr="00A041B2">
        <w:trPr>
          <w:cantSplit/>
          <w:trHeight w:val="1134"/>
        </w:trPr>
        <w:tc>
          <w:tcPr>
            <w:tcW w:w="433" w:type="dxa"/>
            <w:tcBorders>
              <w:top w:val="single" w:sz="4" w:space="0" w:color="auto"/>
              <w:left w:val="single" w:sz="4" w:space="0" w:color="auto"/>
              <w:bottom w:val="single" w:sz="4" w:space="0" w:color="auto"/>
              <w:right w:val="single" w:sz="4" w:space="0" w:color="auto"/>
            </w:tcBorders>
            <w:shd w:val="clear" w:color="auto" w:fill="auto"/>
          </w:tcPr>
          <w:p w14:paraId="6C609FBB" w14:textId="0D0AE870" w:rsidR="008065BB" w:rsidRPr="00C2587D" w:rsidRDefault="008065BB" w:rsidP="008065BB">
            <w:pPr>
              <w:rPr>
                <w:rFonts w:ascii="Times New Roman" w:eastAsia="Arial" w:hAnsi="Times New Roman"/>
                <w:sz w:val="20"/>
                <w:szCs w:val="20"/>
                <w:lang w:eastAsia="en-US"/>
              </w:rPr>
            </w:pPr>
            <w:r w:rsidRPr="00C2587D">
              <w:rPr>
                <w:rFonts w:ascii="Times New Roman" w:eastAsia="Arial" w:hAnsi="Times New Roman"/>
                <w:sz w:val="20"/>
                <w:szCs w:val="20"/>
                <w:lang w:eastAsia="en-US"/>
              </w:rPr>
              <w:t>12</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1DCAEAF" w14:textId="7683BFF7" w:rsidR="008065BB" w:rsidRPr="00C2587D" w:rsidRDefault="008065BB" w:rsidP="008065BB">
            <w:pPr>
              <w:rPr>
                <w:rFonts w:ascii="Times New Roman" w:hAnsi="Times New Roman"/>
                <w:sz w:val="20"/>
                <w:szCs w:val="20"/>
              </w:rPr>
            </w:pPr>
            <w:r w:rsidRPr="00C2587D">
              <w:rPr>
                <w:rFonts w:ascii="Times New Roman" w:eastAsia="Arial" w:hAnsi="Times New Roman"/>
                <w:sz w:val="20"/>
                <w:szCs w:val="20"/>
                <w:lang w:eastAsia="en-US"/>
              </w:rPr>
              <w:t>Програма розвитку аграрного сектору та забезпечення  продовольчої безпеки Жмеринської міської територіальної громади на 2024-2027 роки</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A266331" w14:textId="3768582C" w:rsidR="008065BB" w:rsidRPr="00C2587D" w:rsidRDefault="008065BB" w:rsidP="008065BB">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2130,0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4DB80CB1" w14:textId="390B6A20"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2130,0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8CBBD7E" w14:textId="05F314D0"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710,0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B31406C" w14:textId="5972121A"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710,0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B814B2D" w14:textId="082D6589"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710,0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A2DABF4" w14:textId="77777777" w:rsidR="008065BB" w:rsidRPr="00C2587D" w:rsidRDefault="008065BB" w:rsidP="008065BB">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552A88BB" w14:textId="77777777" w:rsidR="008065BB" w:rsidRPr="00C2587D" w:rsidRDefault="008065BB" w:rsidP="008065BB">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BCC46A6" w14:textId="77777777" w:rsidR="008065BB" w:rsidRPr="00C2587D" w:rsidRDefault="008065BB" w:rsidP="008065BB">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6BF2A8B" w14:textId="77777777" w:rsidR="008065BB" w:rsidRPr="00C2587D" w:rsidRDefault="008065BB" w:rsidP="008065BB">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ECFE0FA" w14:textId="77777777" w:rsidR="008065BB" w:rsidRPr="00C2587D" w:rsidRDefault="008065BB" w:rsidP="008065BB">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7F69F6C" w14:textId="77777777" w:rsidR="008065BB" w:rsidRPr="00C2587D" w:rsidRDefault="008065BB" w:rsidP="008065BB">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4B4EF2D0" w14:textId="77777777" w:rsidR="008065BB" w:rsidRPr="00C2587D" w:rsidRDefault="008065BB" w:rsidP="008065BB">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EC5E3B7" w14:textId="77777777" w:rsidR="008065BB" w:rsidRPr="00C2587D" w:rsidRDefault="008065BB" w:rsidP="008065BB">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8BDA843" w14:textId="77777777" w:rsidR="008065BB" w:rsidRPr="00C2587D" w:rsidRDefault="008065BB" w:rsidP="008065BB">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EED08CE" w14:textId="77777777" w:rsidR="008065BB" w:rsidRPr="00C2587D" w:rsidRDefault="008065BB" w:rsidP="008065BB">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677810F" w14:textId="77777777" w:rsidR="008065BB" w:rsidRPr="00C2587D" w:rsidRDefault="008065BB" w:rsidP="008065BB">
            <w:pPr>
              <w:ind w:left="113" w:right="113"/>
              <w:jc w:val="center"/>
              <w:rPr>
                <w:rFonts w:ascii="Times New Roman" w:eastAsia="Arial" w:hAnsi="Times New Roman"/>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319ED519" w14:textId="509CF66F" w:rsidR="008065BB" w:rsidRPr="00C2587D" w:rsidRDefault="008065BB" w:rsidP="008065BB">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2840,0</w:t>
            </w:r>
          </w:p>
        </w:tc>
      </w:tr>
      <w:tr w:rsidR="008065BB" w:rsidRPr="00C2587D" w14:paraId="17C0891C" w14:textId="77777777" w:rsidTr="00A041B2">
        <w:trPr>
          <w:cantSplit/>
          <w:trHeight w:val="1134"/>
        </w:trPr>
        <w:tc>
          <w:tcPr>
            <w:tcW w:w="433" w:type="dxa"/>
            <w:tcBorders>
              <w:top w:val="single" w:sz="4" w:space="0" w:color="auto"/>
              <w:left w:val="single" w:sz="4" w:space="0" w:color="auto"/>
              <w:bottom w:val="single" w:sz="4" w:space="0" w:color="auto"/>
              <w:right w:val="single" w:sz="4" w:space="0" w:color="auto"/>
            </w:tcBorders>
            <w:shd w:val="clear" w:color="auto" w:fill="auto"/>
          </w:tcPr>
          <w:p w14:paraId="37FD7353" w14:textId="30A6ECF9" w:rsidR="008065BB" w:rsidRPr="00C2587D" w:rsidRDefault="008065BB" w:rsidP="008065BB">
            <w:pPr>
              <w:rPr>
                <w:rFonts w:ascii="Times New Roman" w:eastAsia="Arial" w:hAnsi="Times New Roman"/>
                <w:sz w:val="20"/>
                <w:szCs w:val="20"/>
                <w:lang w:eastAsia="en-US"/>
              </w:rPr>
            </w:pPr>
            <w:r w:rsidRPr="00C2587D">
              <w:rPr>
                <w:rFonts w:ascii="Times New Roman" w:eastAsia="Arial" w:hAnsi="Times New Roman"/>
                <w:sz w:val="20"/>
                <w:szCs w:val="20"/>
                <w:lang w:eastAsia="en-US"/>
              </w:rPr>
              <w:t>13</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13E05E8" w14:textId="0EDDCE79" w:rsidR="008065BB" w:rsidRPr="00C2587D" w:rsidRDefault="008065BB" w:rsidP="008065BB">
            <w:pPr>
              <w:rPr>
                <w:rFonts w:ascii="Times New Roman" w:hAnsi="Times New Roman"/>
                <w:sz w:val="20"/>
                <w:szCs w:val="20"/>
              </w:rPr>
            </w:pPr>
            <w:r w:rsidRPr="00C2587D">
              <w:rPr>
                <w:rFonts w:ascii="Times New Roman" w:eastAsia="Arial" w:hAnsi="Times New Roman"/>
                <w:sz w:val="20"/>
                <w:szCs w:val="20"/>
                <w:lang w:eastAsia="en-US"/>
              </w:rPr>
              <w:t>Проєкт Програми розвитку аграрного сектору та забезпечення  продовольчої безпеки Жмеринської міської територіальної громади на 2028-2030 роки</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3754517" w14:textId="6E46AC68" w:rsidR="008065BB" w:rsidRPr="00C2587D" w:rsidRDefault="008065BB" w:rsidP="008065BB">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900,0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14E8327D" w14:textId="2850F151"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900,0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AE5A28E" w14:textId="77777777" w:rsidR="008065BB" w:rsidRPr="00C2587D" w:rsidRDefault="008065BB" w:rsidP="008065BB">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699DD74" w14:textId="77777777" w:rsidR="008065BB" w:rsidRPr="00C2587D" w:rsidRDefault="008065BB" w:rsidP="008065BB">
            <w:pPr>
              <w:ind w:left="113" w:right="113"/>
              <w:jc w:val="center"/>
              <w:rPr>
                <w:rFonts w:ascii="Times New Roman" w:eastAsia="Arial" w:hAnsi="Times New Roman"/>
                <w:sz w:val="20"/>
                <w:szCs w:val="20"/>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7D18A01" w14:textId="77777777" w:rsidR="008065BB" w:rsidRPr="00C2587D" w:rsidRDefault="008065BB" w:rsidP="008065BB">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CA7FA30" w14:textId="44467AAE"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900,0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3335FBA0" w14:textId="77777777" w:rsidR="008065BB" w:rsidRPr="00C2587D" w:rsidRDefault="008065BB" w:rsidP="008065BB">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902EA17" w14:textId="77777777" w:rsidR="008065BB" w:rsidRPr="00C2587D" w:rsidRDefault="008065BB" w:rsidP="008065BB">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FDB3A57" w14:textId="77777777" w:rsidR="008065BB" w:rsidRPr="00C2587D" w:rsidRDefault="008065BB" w:rsidP="008065BB">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859E81B" w14:textId="77777777" w:rsidR="008065BB" w:rsidRPr="00C2587D" w:rsidRDefault="008065BB" w:rsidP="008065BB">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C2A3F1C" w14:textId="77777777" w:rsidR="008065BB" w:rsidRPr="00C2587D" w:rsidRDefault="008065BB" w:rsidP="008065BB">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4BC3CCD8" w14:textId="77777777" w:rsidR="008065BB" w:rsidRPr="00C2587D" w:rsidRDefault="008065BB" w:rsidP="008065BB">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19652BC" w14:textId="77777777" w:rsidR="008065BB" w:rsidRPr="00C2587D" w:rsidRDefault="008065BB" w:rsidP="008065BB">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EF0CF16" w14:textId="77777777" w:rsidR="008065BB" w:rsidRPr="00C2587D" w:rsidRDefault="008065BB" w:rsidP="008065BB">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7456233" w14:textId="77777777" w:rsidR="008065BB" w:rsidRPr="00C2587D" w:rsidRDefault="008065BB" w:rsidP="008065BB">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BD504E3" w14:textId="77777777" w:rsidR="008065BB" w:rsidRPr="00C2587D" w:rsidRDefault="008065BB" w:rsidP="008065BB">
            <w:pPr>
              <w:ind w:left="113" w:right="113"/>
              <w:jc w:val="center"/>
              <w:rPr>
                <w:rFonts w:ascii="Times New Roman" w:eastAsia="Arial" w:hAnsi="Times New Roman"/>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26294172" w14:textId="5EDD3F46" w:rsidR="008065BB" w:rsidRPr="00C2587D" w:rsidRDefault="008065BB" w:rsidP="008065BB">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2700,0</w:t>
            </w:r>
          </w:p>
        </w:tc>
      </w:tr>
      <w:tr w:rsidR="008065BB" w:rsidRPr="00C2587D" w14:paraId="277D4817" w14:textId="77777777" w:rsidTr="00A041B2">
        <w:trPr>
          <w:cantSplit/>
          <w:trHeight w:val="1134"/>
        </w:trPr>
        <w:tc>
          <w:tcPr>
            <w:tcW w:w="433" w:type="dxa"/>
            <w:tcBorders>
              <w:top w:val="single" w:sz="4" w:space="0" w:color="auto"/>
              <w:left w:val="single" w:sz="4" w:space="0" w:color="auto"/>
              <w:bottom w:val="single" w:sz="4" w:space="0" w:color="auto"/>
              <w:right w:val="single" w:sz="4" w:space="0" w:color="auto"/>
            </w:tcBorders>
          </w:tcPr>
          <w:p w14:paraId="7E1E0CCE" w14:textId="1D75EB3F" w:rsidR="008065BB" w:rsidRPr="00C2587D" w:rsidRDefault="00E36BE5" w:rsidP="008065BB">
            <w:pPr>
              <w:rPr>
                <w:rFonts w:ascii="Times New Roman" w:eastAsia="Arial" w:hAnsi="Times New Roman"/>
                <w:sz w:val="20"/>
                <w:szCs w:val="20"/>
                <w:lang w:eastAsia="en-US"/>
              </w:rPr>
            </w:pPr>
            <w:r w:rsidRPr="00C2587D">
              <w:rPr>
                <w:rFonts w:ascii="Times New Roman" w:eastAsia="Arial" w:hAnsi="Times New Roman"/>
                <w:sz w:val="20"/>
                <w:szCs w:val="20"/>
                <w:lang w:eastAsia="en-US"/>
              </w:rPr>
              <w:t>14</w:t>
            </w:r>
          </w:p>
        </w:tc>
        <w:tc>
          <w:tcPr>
            <w:tcW w:w="2268" w:type="dxa"/>
            <w:tcBorders>
              <w:top w:val="single" w:sz="4" w:space="0" w:color="auto"/>
              <w:left w:val="single" w:sz="4" w:space="0" w:color="auto"/>
              <w:bottom w:val="single" w:sz="4" w:space="0" w:color="auto"/>
              <w:right w:val="single" w:sz="4" w:space="0" w:color="auto"/>
            </w:tcBorders>
          </w:tcPr>
          <w:p w14:paraId="61DE35F1" w14:textId="3192E117" w:rsidR="008065BB" w:rsidRPr="00C2587D" w:rsidRDefault="008065BB" w:rsidP="008065BB">
            <w:pPr>
              <w:rPr>
                <w:rFonts w:ascii="Times New Roman" w:hAnsi="Times New Roman"/>
                <w:sz w:val="20"/>
                <w:szCs w:val="20"/>
              </w:rPr>
            </w:pPr>
            <w:r w:rsidRPr="00C2587D">
              <w:rPr>
                <w:rFonts w:ascii="Times New Roman" w:eastAsia="Arial" w:hAnsi="Times New Roman"/>
                <w:sz w:val="20"/>
                <w:szCs w:val="20"/>
                <w:lang w:eastAsia="en-US"/>
              </w:rPr>
              <w:t xml:space="preserve"> Програма  містобудівної діяльності Жмеринської міської територіальної громади на 2025-2027 роки</w:t>
            </w:r>
          </w:p>
        </w:tc>
        <w:tc>
          <w:tcPr>
            <w:tcW w:w="737" w:type="dxa"/>
            <w:tcBorders>
              <w:top w:val="single" w:sz="4" w:space="0" w:color="auto"/>
              <w:left w:val="single" w:sz="4" w:space="0" w:color="auto"/>
              <w:bottom w:val="single" w:sz="4" w:space="0" w:color="auto"/>
              <w:right w:val="single" w:sz="4" w:space="0" w:color="auto"/>
            </w:tcBorders>
            <w:textDirection w:val="btLr"/>
            <w:vAlign w:val="center"/>
          </w:tcPr>
          <w:p w14:paraId="24C8492D" w14:textId="6AD204C5" w:rsidR="008065BB" w:rsidRPr="00C2587D" w:rsidRDefault="008065BB" w:rsidP="008065BB">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44863,30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32AC0908" w14:textId="160DFC78"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18258,30</w:t>
            </w:r>
          </w:p>
        </w:tc>
        <w:tc>
          <w:tcPr>
            <w:tcW w:w="992" w:type="dxa"/>
            <w:tcBorders>
              <w:top w:val="single" w:sz="4" w:space="0" w:color="auto"/>
              <w:left w:val="single" w:sz="4" w:space="0" w:color="auto"/>
              <w:bottom w:val="single" w:sz="4" w:space="0" w:color="auto"/>
              <w:right w:val="single" w:sz="4" w:space="0" w:color="auto"/>
            </w:tcBorders>
            <w:textDirection w:val="btLr"/>
            <w:vAlign w:val="center"/>
          </w:tcPr>
          <w:p w14:paraId="0CE34EE7" w14:textId="319B47A9"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15202,9</w:t>
            </w:r>
          </w:p>
        </w:tc>
        <w:tc>
          <w:tcPr>
            <w:tcW w:w="851" w:type="dxa"/>
            <w:tcBorders>
              <w:top w:val="single" w:sz="4" w:space="0" w:color="auto"/>
              <w:left w:val="single" w:sz="4" w:space="0" w:color="auto"/>
              <w:bottom w:val="single" w:sz="4" w:space="0" w:color="auto"/>
              <w:right w:val="single" w:sz="4" w:space="0" w:color="auto"/>
            </w:tcBorders>
            <w:textDirection w:val="btLr"/>
            <w:vAlign w:val="center"/>
          </w:tcPr>
          <w:p w14:paraId="0756A2FA" w14:textId="2D18DD7C"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2835,68</w:t>
            </w:r>
          </w:p>
        </w:tc>
        <w:tc>
          <w:tcPr>
            <w:tcW w:w="850" w:type="dxa"/>
            <w:tcBorders>
              <w:top w:val="single" w:sz="4" w:space="0" w:color="auto"/>
              <w:left w:val="single" w:sz="4" w:space="0" w:color="auto"/>
              <w:bottom w:val="single" w:sz="4" w:space="0" w:color="auto"/>
              <w:right w:val="single" w:sz="4" w:space="0" w:color="auto"/>
            </w:tcBorders>
            <w:textDirection w:val="btLr"/>
            <w:vAlign w:val="center"/>
          </w:tcPr>
          <w:p w14:paraId="21B706FF" w14:textId="2DF5B5A4"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219,72</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059424A1" w14:textId="77777777" w:rsidR="008065BB" w:rsidRPr="00C2587D" w:rsidRDefault="008065BB" w:rsidP="008065BB">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1F4DEC9D" w14:textId="46461504"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23805,0</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0B7AF863" w14:textId="77777777" w:rsidR="008065BB" w:rsidRPr="00C2587D" w:rsidRDefault="008065BB" w:rsidP="008065BB">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textDirection w:val="btLr"/>
            <w:vAlign w:val="center"/>
          </w:tcPr>
          <w:p w14:paraId="0797AE08" w14:textId="09A11C63"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23805,0</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60FC27FF" w14:textId="77777777" w:rsidR="008065BB" w:rsidRPr="00C2587D" w:rsidRDefault="008065BB" w:rsidP="008065BB">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4497393A" w14:textId="77777777" w:rsidR="008065BB" w:rsidRPr="00C2587D" w:rsidRDefault="008065BB" w:rsidP="008065BB">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787B4CDE" w14:textId="04CAC4F4"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2800,0</w:t>
            </w: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14:paraId="2D40E8F2" w14:textId="71F286F3"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700,0</w:t>
            </w: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14:paraId="2E354EFA" w14:textId="00300EF8"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700,0</w:t>
            </w:r>
          </w:p>
        </w:tc>
        <w:tc>
          <w:tcPr>
            <w:tcW w:w="624" w:type="dxa"/>
            <w:tcBorders>
              <w:top w:val="single" w:sz="4" w:space="0" w:color="auto"/>
              <w:left w:val="single" w:sz="4" w:space="0" w:color="auto"/>
              <w:bottom w:val="single" w:sz="4" w:space="0" w:color="auto"/>
              <w:right w:val="single" w:sz="4" w:space="0" w:color="auto"/>
            </w:tcBorders>
            <w:textDirection w:val="btLr"/>
            <w:vAlign w:val="center"/>
          </w:tcPr>
          <w:p w14:paraId="4E23961A" w14:textId="4EBAE8C7"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1400,0</w:t>
            </w: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14:paraId="46422FA6" w14:textId="77777777" w:rsidR="008065BB" w:rsidRPr="00C2587D" w:rsidRDefault="008065BB" w:rsidP="008065BB">
            <w:pPr>
              <w:ind w:left="113" w:right="113"/>
              <w:jc w:val="center"/>
              <w:rPr>
                <w:rFonts w:ascii="Times New Roman" w:eastAsia="Arial" w:hAnsi="Times New Roman"/>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noWrap/>
            <w:textDirection w:val="btLr"/>
            <w:vAlign w:val="center"/>
          </w:tcPr>
          <w:p w14:paraId="742AC2BA" w14:textId="73810C55" w:rsidR="008065BB" w:rsidRPr="00C2587D" w:rsidRDefault="008065BB" w:rsidP="008065BB">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44863,30</w:t>
            </w:r>
          </w:p>
        </w:tc>
      </w:tr>
      <w:tr w:rsidR="008065BB" w:rsidRPr="00C2587D" w14:paraId="2E536939" w14:textId="77777777" w:rsidTr="00A041B2">
        <w:trPr>
          <w:cantSplit/>
          <w:trHeight w:val="1134"/>
        </w:trPr>
        <w:tc>
          <w:tcPr>
            <w:tcW w:w="433" w:type="dxa"/>
            <w:tcBorders>
              <w:top w:val="single" w:sz="4" w:space="0" w:color="auto"/>
              <w:left w:val="single" w:sz="4" w:space="0" w:color="auto"/>
              <w:bottom w:val="single" w:sz="4" w:space="0" w:color="auto"/>
              <w:right w:val="single" w:sz="4" w:space="0" w:color="auto"/>
            </w:tcBorders>
          </w:tcPr>
          <w:p w14:paraId="642DCF17" w14:textId="43249AD7" w:rsidR="008065BB" w:rsidRPr="00C2587D" w:rsidRDefault="00E36BE5" w:rsidP="008065BB">
            <w:pPr>
              <w:rPr>
                <w:rFonts w:ascii="Times New Roman" w:eastAsia="Arial" w:hAnsi="Times New Roman"/>
                <w:sz w:val="20"/>
                <w:szCs w:val="20"/>
                <w:lang w:eastAsia="en-US"/>
              </w:rPr>
            </w:pPr>
            <w:r w:rsidRPr="00C2587D">
              <w:rPr>
                <w:rFonts w:ascii="Times New Roman" w:eastAsia="Arial" w:hAnsi="Times New Roman"/>
                <w:sz w:val="20"/>
                <w:szCs w:val="20"/>
                <w:lang w:eastAsia="en-US"/>
              </w:rPr>
              <w:lastRenderedPageBreak/>
              <w:t>15</w:t>
            </w:r>
          </w:p>
        </w:tc>
        <w:tc>
          <w:tcPr>
            <w:tcW w:w="2268" w:type="dxa"/>
            <w:tcBorders>
              <w:top w:val="single" w:sz="4" w:space="0" w:color="auto"/>
              <w:left w:val="single" w:sz="4" w:space="0" w:color="auto"/>
              <w:bottom w:val="single" w:sz="4" w:space="0" w:color="auto"/>
              <w:right w:val="single" w:sz="4" w:space="0" w:color="auto"/>
            </w:tcBorders>
          </w:tcPr>
          <w:p w14:paraId="4C6E8C62" w14:textId="42B284B1" w:rsidR="008065BB" w:rsidRPr="00C2587D" w:rsidRDefault="008065BB" w:rsidP="00FF28D2">
            <w:pPr>
              <w:widowControl w:val="0"/>
              <w:autoSpaceDE w:val="0"/>
              <w:autoSpaceDN w:val="0"/>
              <w:ind w:firstLineChars="16" w:firstLine="32"/>
              <w:rPr>
                <w:rFonts w:ascii="Times New Roman" w:hAnsi="Times New Roman"/>
                <w:sz w:val="20"/>
                <w:szCs w:val="20"/>
              </w:rPr>
            </w:pPr>
            <w:r w:rsidRPr="00C2587D">
              <w:rPr>
                <w:rFonts w:ascii="Times New Roman" w:eastAsia="Arial" w:hAnsi="Times New Roman"/>
                <w:sz w:val="20"/>
                <w:szCs w:val="20"/>
                <w:lang w:eastAsia="en-US"/>
              </w:rPr>
              <w:t>Проєкт програми  містобудівної діяльності Жмеринської місько</w:t>
            </w:r>
            <w:r w:rsidR="0050141B">
              <w:rPr>
                <w:rFonts w:ascii="Times New Roman" w:eastAsia="Arial" w:hAnsi="Times New Roman"/>
                <w:sz w:val="20"/>
                <w:szCs w:val="20"/>
                <w:lang w:eastAsia="en-US"/>
              </w:rPr>
              <w:t>ї територіальної громади на 2028-2030</w:t>
            </w:r>
            <w:r w:rsidRPr="00C2587D">
              <w:rPr>
                <w:rFonts w:ascii="Times New Roman" w:eastAsia="Arial" w:hAnsi="Times New Roman"/>
                <w:sz w:val="20"/>
                <w:szCs w:val="20"/>
                <w:lang w:eastAsia="en-US"/>
              </w:rPr>
              <w:t xml:space="preserve"> роки</w:t>
            </w:r>
          </w:p>
        </w:tc>
        <w:tc>
          <w:tcPr>
            <w:tcW w:w="737" w:type="dxa"/>
            <w:tcBorders>
              <w:top w:val="single" w:sz="4" w:space="0" w:color="auto"/>
              <w:left w:val="single" w:sz="4" w:space="0" w:color="auto"/>
              <w:bottom w:val="single" w:sz="4" w:space="0" w:color="auto"/>
              <w:right w:val="single" w:sz="4" w:space="0" w:color="auto"/>
            </w:tcBorders>
            <w:textDirection w:val="btLr"/>
            <w:vAlign w:val="center"/>
          </w:tcPr>
          <w:p w14:paraId="480C5C13" w14:textId="048E0CA4" w:rsidR="008065BB" w:rsidRPr="00C2587D" w:rsidRDefault="008065BB" w:rsidP="008065BB">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240,0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1D3521E4" w14:textId="58879976"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240,0</w:t>
            </w:r>
          </w:p>
        </w:tc>
        <w:tc>
          <w:tcPr>
            <w:tcW w:w="992" w:type="dxa"/>
            <w:tcBorders>
              <w:top w:val="single" w:sz="4" w:space="0" w:color="auto"/>
              <w:left w:val="single" w:sz="4" w:space="0" w:color="auto"/>
              <w:bottom w:val="single" w:sz="4" w:space="0" w:color="auto"/>
              <w:right w:val="single" w:sz="4" w:space="0" w:color="auto"/>
            </w:tcBorders>
            <w:textDirection w:val="btLr"/>
            <w:vAlign w:val="center"/>
          </w:tcPr>
          <w:p w14:paraId="1A61EB44" w14:textId="77777777" w:rsidR="008065BB" w:rsidRPr="00C2587D" w:rsidRDefault="008065BB" w:rsidP="008065BB">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textDirection w:val="btLr"/>
            <w:vAlign w:val="center"/>
          </w:tcPr>
          <w:p w14:paraId="398B5576" w14:textId="77777777" w:rsidR="008065BB" w:rsidRPr="00C2587D" w:rsidRDefault="008065BB" w:rsidP="008065BB">
            <w:pPr>
              <w:ind w:left="113" w:right="113"/>
              <w:jc w:val="center"/>
              <w:rPr>
                <w:rFonts w:ascii="Times New Roman" w:eastAsia="Arial" w:hAnsi="Times New Roman"/>
                <w:sz w:val="20"/>
                <w:szCs w:val="20"/>
                <w:lang w:eastAsia="en-US"/>
              </w:rPr>
            </w:pPr>
          </w:p>
        </w:tc>
        <w:tc>
          <w:tcPr>
            <w:tcW w:w="850" w:type="dxa"/>
            <w:tcBorders>
              <w:top w:val="single" w:sz="4" w:space="0" w:color="auto"/>
              <w:left w:val="single" w:sz="4" w:space="0" w:color="auto"/>
              <w:bottom w:val="single" w:sz="4" w:space="0" w:color="auto"/>
              <w:right w:val="single" w:sz="4" w:space="0" w:color="auto"/>
            </w:tcBorders>
            <w:textDirection w:val="btLr"/>
            <w:vAlign w:val="center"/>
          </w:tcPr>
          <w:p w14:paraId="315A6DD4" w14:textId="77777777" w:rsidR="008065BB" w:rsidRPr="00C2587D" w:rsidRDefault="008065BB" w:rsidP="008065BB">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75342F4F" w14:textId="6517324F"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240,0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6E07ECF9" w14:textId="77777777" w:rsidR="008065BB" w:rsidRPr="00C2587D" w:rsidRDefault="008065BB" w:rsidP="008065BB">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411AEF4A" w14:textId="77777777" w:rsidR="008065BB" w:rsidRPr="00C2587D" w:rsidRDefault="008065BB" w:rsidP="008065BB">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textDirection w:val="btLr"/>
            <w:vAlign w:val="center"/>
          </w:tcPr>
          <w:p w14:paraId="415AB3D6" w14:textId="77777777" w:rsidR="008065BB" w:rsidRPr="00C2587D" w:rsidRDefault="008065BB" w:rsidP="008065BB">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4FB1FD4C" w14:textId="77777777" w:rsidR="008065BB" w:rsidRPr="00C2587D" w:rsidRDefault="008065BB" w:rsidP="008065BB">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7A4F1D4E" w14:textId="77777777" w:rsidR="008065BB" w:rsidRPr="00C2587D" w:rsidRDefault="008065BB" w:rsidP="008065BB">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48242B3A" w14:textId="77777777" w:rsidR="008065BB" w:rsidRPr="00C2587D" w:rsidRDefault="008065BB" w:rsidP="008065BB">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14:paraId="2E9B2D82" w14:textId="77777777" w:rsidR="008065BB" w:rsidRPr="00C2587D" w:rsidRDefault="008065BB" w:rsidP="008065BB">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14:paraId="122D9B1D" w14:textId="77777777" w:rsidR="008065BB" w:rsidRPr="00C2587D" w:rsidRDefault="008065BB" w:rsidP="008065BB">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textDirection w:val="btLr"/>
            <w:vAlign w:val="center"/>
          </w:tcPr>
          <w:p w14:paraId="7AA45490" w14:textId="77777777" w:rsidR="008065BB" w:rsidRPr="00C2587D" w:rsidRDefault="008065BB" w:rsidP="008065BB">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14:paraId="0D4D1EE3" w14:textId="77777777" w:rsidR="008065BB" w:rsidRPr="00C2587D" w:rsidRDefault="008065BB" w:rsidP="008065BB">
            <w:pPr>
              <w:ind w:left="113" w:right="113"/>
              <w:jc w:val="center"/>
              <w:rPr>
                <w:rFonts w:ascii="Times New Roman" w:eastAsia="Arial" w:hAnsi="Times New Roman"/>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noWrap/>
            <w:textDirection w:val="btLr"/>
            <w:vAlign w:val="center"/>
          </w:tcPr>
          <w:p w14:paraId="62A6A6A1" w14:textId="45F1F6DC" w:rsidR="008065BB" w:rsidRPr="00C2587D" w:rsidRDefault="008065BB" w:rsidP="008065BB">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240,0</w:t>
            </w:r>
          </w:p>
        </w:tc>
      </w:tr>
      <w:tr w:rsidR="008065BB" w:rsidRPr="00C2587D" w14:paraId="57EFB1F7" w14:textId="77777777" w:rsidTr="00A041B2">
        <w:trPr>
          <w:cantSplit/>
          <w:trHeight w:val="1134"/>
        </w:trPr>
        <w:tc>
          <w:tcPr>
            <w:tcW w:w="433" w:type="dxa"/>
            <w:tcBorders>
              <w:top w:val="single" w:sz="4" w:space="0" w:color="auto"/>
              <w:left w:val="single" w:sz="4" w:space="0" w:color="auto"/>
              <w:bottom w:val="single" w:sz="4" w:space="0" w:color="auto"/>
              <w:right w:val="single" w:sz="4" w:space="0" w:color="auto"/>
            </w:tcBorders>
            <w:shd w:val="clear" w:color="auto" w:fill="auto"/>
          </w:tcPr>
          <w:p w14:paraId="11DF35C6" w14:textId="50C132D9" w:rsidR="008065BB" w:rsidRPr="00C2587D" w:rsidRDefault="00E36BE5" w:rsidP="008065BB">
            <w:pPr>
              <w:rPr>
                <w:rFonts w:ascii="Times New Roman" w:eastAsia="Arial" w:hAnsi="Times New Roman"/>
                <w:sz w:val="20"/>
                <w:szCs w:val="20"/>
                <w:lang w:eastAsia="en-US"/>
              </w:rPr>
            </w:pPr>
            <w:r w:rsidRPr="00C2587D">
              <w:rPr>
                <w:rFonts w:ascii="Times New Roman" w:eastAsia="Arial" w:hAnsi="Times New Roman"/>
                <w:sz w:val="20"/>
                <w:szCs w:val="20"/>
                <w:lang w:eastAsia="en-US"/>
              </w:rPr>
              <w:t>16</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B1EB89C" w14:textId="61FF5FE5" w:rsidR="008065BB" w:rsidRPr="00C2587D" w:rsidRDefault="008065BB" w:rsidP="008065BB">
            <w:pPr>
              <w:rPr>
                <w:rFonts w:ascii="Times New Roman" w:hAnsi="Times New Roman"/>
                <w:sz w:val="20"/>
                <w:szCs w:val="20"/>
              </w:rPr>
            </w:pPr>
            <w:r w:rsidRPr="00C2587D">
              <w:rPr>
                <w:rFonts w:ascii="Times New Roman" w:eastAsia="Arial" w:hAnsi="Times New Roman"/>
                <w:sz w:val="20"/>
                <w:szCs w:val="20"/>
                <w:lang w:eastAsia="en-US"/>
              </w:rPr>
              <w:t>Програма земельної реформи Жмеринської міської територіальної громади на 2025-2028 роки:</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49CFDAF" w14:textId="1D0EBD05" w:rsidR="008065BB" w:rsidRPr="00C2587D" w:rsidRDefault="008065BB" w:rsidP="008065BB">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6790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35BCE137" w14:textId="597620B6"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6790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A18CF20" w14:textId="23D1D34A"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1705</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4CED7CB" w14:textId="43A38A4F"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2705</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E394011" w14:textId="73FDDD06"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1300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55BA44A" w14:textId="6D1537B2"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1080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37BA9C1A" w14:textId="6206A611"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D035688" w14:textId="341DC480"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41B6504" w14:textId="750832AC"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9FF1A7A" w14:textId="568CD7F6"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AA793DD" w14:textId="7445CC5C"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59E03B15" w14:textId="34BDD704"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A477E82" w14:textId="71EE7603"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3CCE796" w14:textId="64324ED1"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6DD65B3" w14:textId="7906A055"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6932F69" w14:textId="0E41D91D" w:rsidR="008065BB" w:rsidRPr="00C2587D" w:rsidRDefault="008065BB" w:rsidP="008065B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104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178EAF81" w14:textId="0F32E74F" w:rsidR="008065BB" w:rsidRPr="00C2587D" w:rsidRDefault="008065BB" w:rsidP="008065BB">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6790,0</w:t>
            </w:r>
          </w:p>
        </w:tc>
      </w:tr>
      <w:tr w:rsidR="00E7572A" w:rsidRPr="00C2587D" w14:paraId="715F524C" w14:textId="77777777" w:rsidTr="00A041B2">
        <w:trPr>
          <w:cantSplit/>
          <w:trHeight w:val="421"/>
        </w:trPr>
        <w:tc>
          <w:tcPr>
            <w:tcW w:w="15175" w:type="dxa"/>
            <w:gridSpan w:val="19"/>
            <w:tcBorders>
              <w:top w:val="single" w:sz="4" w:space="0" w:color="auto"/>
              <w:left w:val="single" w:sz="4" w:space="0" w:color="auto"/>
              <w:bottom w:val="single" w:sz="4" w:space="0" w:color="auto"/>
              <w:right w:val="single" w:sz="4" w:space="0" w:color="auto"/>
            </w:tcBorders>
            <w:shd w:val="clear" w:color="auto" w:fill="auto"/>
            <w:vAlign w:val="center"/>
          </w:tcPr>
          <w:p w14:paraId="505BEB51" w14:textId="7B6D3D39" w:rsidR="00E7572A" w:rsidRPr="00C2587D" w:rsidRDefault="00E7572A" w:rsidP="00C156A0">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Проєкти місцевого (регіонального) розвитку</w:t>
            </w:r>
          </w:p>
        </w:tc>
      </w:tr>
      <w:tr w:rsidR="00B73D4F" w:rsidRPr="00C2587D" w14:paraId="6D282108" w14:textId="77777777" w:rsidTr="00A041B2">
        <w:trPr>
          <w:cantSplit/>
          <w:trHeight w:val="1134"/>
        </w:trPr>
        <w:tc>
          <w:tcPr>
            <w:tcW w:w="433" w:type="dxa"/>
            <w:tcBorders>
              <w:top w:val="single" w:sz="4" w:space="0" w:color="auto"/>
              <w:left w:val="single" w:sz="4" w:space="0" w:color="auto"/>
              <w:bottom w:val="single" w:sz="4" w:space="0" w:color="auto"/>
              <w:right w:val="single" w:sz="4" w:space="0" w:color="auto"/>
            </w:tcBorders>
            <w:shd w:val="clear" w:color="auto" w:fill="auto"/>
          </w:tcPr>
          <w:p w14:paraId="43965A48" w14:textId="2B92B112" w:rsidR="00B73D4F" w:rsidRPr="00C2587D" w:rsidRDefault="00B73D4F" w:rsidP="00B73D4F">
            <w:pPr>
              <w:rPr>
                <w:rFonts w:ascii="Times New Roman" w:hAnsi="Times New Roman"/>
                <w:sz w:val="20"/>
                <w:szCs w:val="20"/>
              </w:rPr>
            </w:pPr>
            <w:r w:rsidRPr="00C2587D">
              <w:rPr>
                <w:rFonts w:ascii="Times New Roman" w:eastAsia="Arial" w:hAnsi="Times New Roman"/>
                <w:sz w:val="20"/>
                <w:szCs w:val="20"/>
                <w:lang w:eastAsia="en-US"/>
              </w:rPr>
              <w:t>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A1266C7" w14:textId="359FD256" w:rsidR="00B73D4F" w:rsidRPr="00C2587D" w:rsidRDefault="00B73D4F" w:rsidP="00B73D4F">
            <w:pPr>
              <w:rPr>
                <w:rFonts w:ascii="Times New Roman" w:hAnsi="Times New Roman"/>
                <w:color w:val="000000"/>
                <w:sz w:val="20"/>
                <w:szCs w:val="20"/>
              </w:rPr>
            </w:pPr>
            <w:r w:rsidRPr="00C2587D">
              <w:rPr>
                <w:rFonts w:ascii="Times New Roman" w:hAnsi="Times New Roman"/>
                <w:sz w:val="20"/>
                <w:szCs w:val="20"/>
              </w:rPr>
              <w:t>Розроблення Концепції мультимодального транспортно-логістичного порту «Жмеринка» та підготовка інвестиційних пропозицій</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EFDCC57" w14:textId="1FD79340" w:rsidR="00B73D4F" w:rsidRPr="00C2587D" w:rsidRDefault="00B73D4F" w:rsidP="00B73D4F">
            <w:pPr>
              <w:ind w:left="113" w:right="113"/>
              <w:jc w:val="center"/>
              <w:rPr>
                <w:rFonts w:ascii="Times New Roman" w:hAnsi="Times New Roman"/>
                <w:b/>
                <w:sz w:val="20"/>
                <w:szCs w:val="20"/>
              </w:rPr>
            </w:pPr>
            <w:r w:rsidRPr="00C2587D">
              <w:rPr>
                <w:rFonts w:ascii="Times New Roman" w:eastAsia="Arial" w:hAnsi="Times New Roman"/>
                <w:b/>
                <w:sz w:val="20"/>
                <w:szCs w:val="20"/>
                <w:lang w:eastAsia="en-US"/>
              </w:rPr>
              <w:t>200,0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5994FCBF" w14:textId="326A593B" w:rsidR="00B73D4F" w:rsidRPr="00C2587D" w:rsidRDefault="00B73D4F" w:rsidP="00B73D4F">
            <w:pPr>
              <w:ind w:left="113" w:right="113"/>
              <w:jc w:val="center"/>
              <w:rPr>
                <w:rFonts w:ascii="Times New Roman" w:hAnsi="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3B10EBE" w14:textId="21D2E365" w:rsidR="00B73D4F" w:rsidRPr="00C2587D" w:rsidRDefault="00B73D4F" w:rsidP="00B73D4F">
            <w:pPr>
              <w:ind w:left="113" w:right="113"/>
              <w:jc w:val="center"/>
              <w:rPr>
                <w:rFonts w:ascii="Times New Roman" w:hAnsi="Times New Roman"/>
                <w:sz w:val="20"/>
                <w:szCs w:val="20"/>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A8F6351" w14:textId="3583F175" w:rsidR="00B73D4F" w:rsidRPr="00C2587D" w:rsidRDefault="00B73D4F" w:rsidP="00B73D4F">
            <w:pPr>
              <w:ind w:left="113" w:right="113"/>
              <w:jc w:val="center"/>
              <w:rPr>
                <w:rFonts w:ascii="Times New Roman" w:hAnsi="Times New Roman"/>
                <w:sz w:val="20"/>
                <w:szCs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9E20186" w14:textId="2F74F912" w:rsidR="00B73D4F" w:rsidRPr="00C2587D" w:rsidRDefault="00B73D4F" w:rsidP="00B73D4F">
            <w:pPr>
              <w:ind w:left="113" w:right="113"/>
              <w:jc w:val="center"/>
              <w:rPr>
                <w:rFonts w:ascii="Times New Roman"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E616F7D" w14:textId="315BF28E" w:rsidR="00B73D4F" w:rsidRPr="00C2587D" w:rsidRDefault="00B73D4F" w:rsidP="00B73D4F">
            <w:pPr>
              <w:ind w:left="113" w:right="113"/>
              <w:jc w:val="center"/>
              <w:rPr>
                <w:rFonts w:ascii="Times New Roman"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1AFEC0EA" w14:textId="6E1D69D4" w:rsidR="00B73D4F" w:rsidRPr="00C2587D" w:rsidRDefault="00B73D4F" w:rsidP="00B73D4F">
            <w:pPr>
              <w:ind w:left="113" w:right="113"/>
              <w:jc w:val="center"/>
              <w:rPr>
                <w:rFonts w:ascii="Times New Roman"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A3B94D2" w14:textId="53DA05CD" w:rsidR="00B73D4F" w:rsidRPr="00C2587D" w:rsidRDefault="00B73D4F" w:rsidP="00B73D4F">
            <w:pPr>
              <w:ind w:left="113" w:right="113"/>
              <w:jc w:val="center"/>
              <w:rPr>
                <w:rFonts w:ascii="Times New Roman" w:hAnsi="Times New Roman"/>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AC8FE87" w14:textId="4CA0E766" w:rsidR="00B73D4F" w:rsidRPr="00C2587D" w:rsidRDefault="00B73D4F" w:rsidP="00B73D4F">
            <w:pPr>
              <w:ind w:left="113" w:right="113"/>
              <w:jc w:val="center"/>
              <w:rPr>
                <w:rFonts w:ascii="Times New Roman"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BD94A66" w14:textId="2D3E5DCA" w:rsidR="00B73D4F" w:rsidRPr="00C2587D" w:rsidRDefault="00B73D4F" w:rsidP="00B73D4F">
            <w:pPr>
              <w:ind w:left="113" w:right="113"/>
              <w:jc w:val="center"/>
              <w:rPr>
                <w:rFonts w:ascii="Times New Roman"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A07FE3A" w14:textId="5FED4A0A" w:rsidR="00B73D4F" w:rsidRPr="00C2587D" w:rsidRDefault="00B73D4F" w:rsidP="00B73D4F">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2FB0C260" w14:textId="0B304AFF" w:rsidR="00B73D4F" w:rsidRPr="00C2587D" w:rsidRDefault="00B73D4F" w:rsidP="00B73D4F">
            <w:pPr>
              <w:ind w:left="113" w:right="113"/>
              <w:jc w:val="center"/>
              <w:rPr>
                <w:rFonts w:ascii="Times New Roman" w:hAnsi="Times New Roman"/>
                <w:sz w:val="20"/>
                <w:szCs w:val="20"/>
              </w:rPr>
            </w:pPr>
            <w:r w:rsidRPr="00C2587D">
              <w:rPr>
                <w:rFonts w:ascii="Times New Roman" w:eastAsia="Arial" w:hAnsi="Times New Roman"/>
                <w:sz w:val="20"/>
                <w:szCs w:val="20"/>
                <w:lang w:eastAsia="en-US"/>
              </w:rPr>
              <w:t>200,0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B1DA568" w14:textId="20727FB0" w:rsidR="00B73D4F" w:rsidRPr="00C2587D" w:rsidRDefault="00B73D4F" w:rsidP="00B73D4F">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B5F5A07" w14:textId="48B9F17F" w:rsidR="00B73D4F" w:rsidRPr="00C2587D" w:rsidRDefault="00B73D4F" w:rsidP="00B73D4F">
            <w:pPr>
              <w:ind w:left="113" w:right="113"/>
              <w:jc w:val="center"/>
              <w:rPr>
                <w:rFonts w:ascii="Times New Roman" w:hAnsi="Times New Roman"/>
                <w:sz w:val="20"/>
                <w:szCs w:val="20"/>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40D90D1" w14:textId="333D0072" w:rsidR="00B73D4F" w:rsidRPr="00C2587D" w:rsidRDefault="00B73D4F" w:rsidP="00B73D4F">
            <w:pPr>
              <w:ind w:left="113" w:right="113"/>
              <w:jc w:val="center"/>
              <w:rPr>
                <w:rFonts w:ascii="Times New Roman" w:hAnsi="Times New Roman"/>
                <w:sz w:val="20"/>
                <w:szCs w:val="20"/>
              </w:rPr>
            </w:pPr>
            <w:r w:rsidRPr="00C2587D">
              <w:rPr>
                <w:rFonts w:ascii="Times New Roman" w:eastAsia="Arial" w:hAnsi="Times New Roman"/>
                <w:sz w:val="20"/>
                <w:szCs w:val="20"/>
                <w:lang w:eastAsia="en-US"/>
              </w:rPr>
              <w:t>100,0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7796657" w14:textId="2A07C5C7" w:rsidR="00B73D4F" w:rsidRPr="00C2587D" w:rsidRDefault="00B73D4F" w:rsidP="00B73D4F">
            <w:pPr>
              <w:ind w:left="113" w:right="113"/>
              <w:jc w:val="center"/>
              <w:rPr>
                <w:rFonts w:ascii="Times New Roman" w:hAnsi="Times New Roman"/>
                <w:sz w:val="20"/>
                <w:szCs w:val="20"/>
              </w:rPr>
            </w:pPr>
            <w:r w:rsidRPr="00C2587D">
              <w:rPr>
                <w:rFonts w:ascii="Times New Roman" w:eastAsia="Arial" w:hAnsi="Times New Roman"/>
                <w:sz w:val="20"/>
                <w:szCs w:val="20"/>
                <w:lang w:eastAsia="en-US"/>
              </w:rPr>
              <w:t>100,0</w:t>
            </w:r>
          </w:p>
        </w:tc>
        <w:tc>
          <w:tcPr>
            <w:tcW w:w="104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2757C4DD" w14:textId="335F091C" w:rsidR="00B73D4F" w:rsidRPr="00C2587D" w:rsidRDefault="00B73D4F" w:rsidP="00B73D4F">
            <w:pPr>
              <w:ind w:left="113" w:right="113"/>
              <w:jc w:val="center"/>
              <w:rPr>
                <w:rFonts w:ascii="Times New Roman" w:hAnsi="Times New Roman"/>
                <w:b/>
                <w:sz w:val="20"/>
                <w:szCs w:val="20"/>
              </w:rPr>
            </w:pPr>
            <w:r w:rsidRPr="00C2587D">
              <w:rPr>
                <w:rFonts w:ascii="Times New Roman" w:eastAsia="Arial" w:hAnsi="Times New Roman"/>
                <w:b/>
                <w:sz w:val="20"/>
                <w:szCs w:val="20"/>
                <w:lang w:eastAsia="en-US"/>
              </w:rPr>
              <w:t>200,0</w:t>
            </w:r>
          </w:p>
        </w:tc>
      </w:tr>
      <w:tr w:rsidR="00221011" w:rsidRPr="00C2587D" w14:paraId="4842311A" w14:textId="77777777" w:rsidTr="00A041B2">
        <w:trPr>
          <w:cantSplit/>
          <w:trHeight w:val="1134"/>
        </w:trPr>
        <w:tc>
          <w:tcPr>
            <w:tcW w:w="433" w:type="dxa"/>
            <w:tcBorders>
              <w:top w:val="single" w:sz="4" w:space="0" w:color="auto"/>
              <w:left w:val="single" w:sz="4" w:space="0" w:color="auto"/>
              <w:bottom w:val="single" w:sz="4" w:space="0" w:color="auto"/>
              <w:right w:val="single" w:sz="4" w:space="0" w:color="auto"/>
            </w:tcBorders>
            <w:shd w:val="clear" w:color="auto" w:fill="auto"/>
          </w:tcPr>
          <w:p w14:paraId="25E8D9B8" w14:textId="1A3A0DE0" w:rsidR="00221011" w:rsidRPr="00C2587D" w:rsidRDefault="00B73D4F" w:rsidP="00221011">
            <w:pPr>
              <w:rPr>
                <w:rFonts w:ascii="Times New Roman" w:hAnsi="Times New Roman"/>
                <w:sz w:val="20"/>
                <w:szCs w:val="20"/>
              </w:rPr>
            </w:pPr>
            <w:r w:rsidRPr="00C2587D">
              <w:rPr>
                <w:rFonts w:ascii="Times New Roman" w:hAnsi="Times New Roman"/>
                <w:sz w:val="20"/>
                <w:szCs w:val="20"/>
              </w:rPr>
              <w:t>2</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0F522BC" w14:textId="1E19555D" w:rsidR="00221011" w:rsidRPr="00C2587D" w:rsidRDefault="00221011" w:rsidP="00221011">
            <w:pPr>
              <w:rPr>
                <w:rFonts w:ascii="Times New Roman" w:hAnsi="Times New Roman"/>
                <w:color w:val="000000"/>
                <w:sz w:val="20"/>
                <w:szCs w:val="20"/>
              </w:rPr>
            </w:pPr>
            <w:r w:rsidRPr="00C2587D">
              <w:rPr>
                <w:rFonts w:ascii="Times New Roman" w:hAnsi="Times New Roman"/>
                <w:bCs/>
                <w:color w:val="000000"/>
                <w:sz w:val="20"/>
                <w:szCs w:val="20"/>
                <w:lang w:eastAsia="uk-UA"/>
              </w:rPr>
              <w:t>Створення ефективної інфраструктури для розвитку бізнесу в громаді</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7427DA9" w14:textId="4CECA1DB" w:rsidR="00221011" w:rsidRPr="00C2587D" w:rsidRDefault="00221011" w:rsidP="00221011">
            <w:pPr>
              <w:ind w:left="113" w:right="113"/>
              <w:jc w:val="center"/>
              <w:rPr>
                <w:rFonts w:ascii="Times New Roman" w:hAnsi="Times New Roman"/>
                <w:b/>
                <w:sz w:val="20"/>
                <w:szCs w:val="20"/>
              </w:rPr>
            </w:pPr>
            <w:r w:rsidRPr="00C2587D">
              <w:rPr>
                <w:rFonts w:ascii="Times New Roman" w:eastAsia="Arial" w:hAnsi="Times New Roman"/>
                <w:b/>
                <w:sz w:val="20"/>
                <w:szCs w:val="20"/>
                <w:lang w:eastAsia="en-US"/>
              </w:rPr>
              <w:t>250,0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1CDB7D82" w14:textId="2D0A3CEE"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250,0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B6AB826" w14:textId="77777777" w:rsidR="00221011" w:rsidRPr="00C2587D" w:rsidRDefault="00221011" w:rsidP="00221011">
            <w:pPr>
              <w:ind w:left="113" w:right="113"/>
              <w:jc w:val="center"/>
              <w:rPr>
                <w:rFonts w:ascii="Times New Roman" w:hAnsi="Times New Roman"/>
                <w:sz w:val="20"/>
                <w:szCs w:val="20"/>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8274E11" w14:textId="7CD03F4A"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50,0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6EAA7DC" w14:textId="5C18E900"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100,0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33679EB" w14:textId="42AF8D3A"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100,0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5BEFDB6D" w14:textId="77777777" w:rsidR="00221011" w:rsidRPr="00C2587D" w:rsidRDefault="00221011" w:rsidP="00221011">
            <w:pPr>
              <w:ind w:left="113" w:right="113"/>
              <w:jc w:val="center"/>
              <w:rPr>
                <w:rFonts w:ascii="Times New Roman"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BC1C124" w14:textId="77777777" w:rsidR="00221011" w:rsidRPr="00C2587D" w:rsidRDefault="00221011" w:rsidP="00221011">
            <w:pPr>
              <w:ind w:left="113" w:right="113"/>
              <w:jc w:val="center"/>
              <w:rPr>
                <w:rFonts w:ascii="Times New Roman" w:hAnsi="Times New Roman"/>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31B32B4" w14:textId="77777777" w:rsidR="00221011" w:rsidRPr="00C2587D" w:rsidRDefault="00221011" w:rsidP="00221011">
            <w:pPr>
              <w:ind w:left="113" w:right="113"/>
              <w:jc w:val="center"/>
              <w:rPr>
                <w:rFonts w:ascii="Times New Roman"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5751F2B" w14:textId="77777777" w:rsidR="00221011" w:rsidRPr="00C2587D" w:rsidRDefault="00221011" w:rsidP="00221011">
            <w:pPr>
              <w:ind w:left="113" w:right="113"/>
              <w:jc w:val="center"/>
              <w:rPr>
                <w:rFonts w:ascii="Times New Roman"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939B786" w14:textId="77777777" w:rsidR="00221011" w:rsidRPr="00C2587D" w:rsidRDefault="00221011" w:rsidP="00221011">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26424FBF" w14:textId="77777777" w:rsidR="00221011" w:rsidRPr="00C2587D" w:rsidRDefault="00221011" w:rsidP="00221011">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8FA117A" w14:textId="77777777" w:rsidR="00221011" w:rsidRPr="00C2587D" w:rsidRDefault="00221011" w:rsidP="00221011">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C7D4CEA" w14:textId="77777777" w:rsidR="00221011" w:rsidRPr="00C2587D" w:rsidRDefault="00221011" w:rsidP="00221011">
            <w:pPr>
              <w:ind w:left="113" w:right="113"/>
              <w:jc w:val="center"/>
              <w:rPr>
                <w:rFonts w:ascii="Times New Roman" w:hAnsi="Times New Roman"/>
                <w:sz w:val="20"/>
                <w:szCs w:val="20"/>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DFC6D72" w14:textId="77777777" w:rsidR="00221011" w:rsidRPr="00C2587D" w:rsidRDefault="00221011" w:rsidP="00221011">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7FF9059" w14:textId="77777777" w:rsidR="00221011" w:rsidRPr="00C2587D" w:rsidRDefault="00221011" w:rsidP="00221011">
            <w:pPr>
              <w:ind w:left="113" w:right="113"/>
              <w:jc w:val="center"/>
              <w:rPr>
                <w:rFonts w:ascii="Times New Roman" w:hAnsi="Times New Roman"/>
                <w:sz w:val="20"/>
                <w:szCs w:val="20"/>
              </w:rPr>
            </w:pPr>
          </w:p>
        </w:tc>
        <w:tc>
          <w:tcPr>
            <w:tcW w:w="104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42516951" w14:textId="63C9B6F2" w:rsidR="00221011" w:rsidRPr="00C2587D" w:rsidRDefault="00221011" w:rsidP="00221011">
            <w:pPr>
              <w:ind w:left="113" w:right="113"/>
              <w:jc w:val="center"/>
              <w:rPr>
                <w:rFonts w:ascii="Times New Roman" w:hAnsi="Times New Roman"/>
                <w:b/>
                <w:sz w:val="20"/>
                <w:szCs w:val="20"/>
              </w:rPr>
            </w:pPr>
            <w:r w:rsidRPr="00C2587D">
              <w:rPr>
                <w:rFonts w:ascii="Times New Roman" w:eastAsia="Arial" w:hAnsi="Times New Roman"/>
                <w:b/>
                <w:sz w:val="20"/>
                <w:szCs w:val="20"/>
                <w:lang w:eastAsia="en-US"/>
              </w:rPr>
              <w:t>250,0</w:t>
            </w:r>
          </w:p>
        </w:tc>
      </w:tr>
      <w:tr w:rsidR="00221011" w:rsidRPr="00C2587D" w14:paraId="6D79C15E" w14:textId="77777777" w:rsidTr="00A041B2">
        <w:trPr>
          <w:cantSplit/>
          <w:trHeight w:val="1134"/>
        </w:trPr>
        <w:tc>
          <w:tcPr>
            <w:tcW w:w="433" w:type="dxa"/>
            <w:tcBorders>
              <w:top w:val="single" w:sz="4" w:space="0" w:color="auto"/>
              <w:left w:val="single" w:sz="4" w:space="0" w:color="auto"/>
              <w:bottom w:val="single" w:sz="4" w:space="0" w:color="auto"/>
              <w:right w:val="single" w:sz="4" w:space="0" w:color="auto"/>
            </w:tcBorders>
            <w:shd w:val="clear" w:color="auto" w:fill="auto"/>
          </w:tcPr>
          <w:p w14:paraId="6B762ECA" w14:textId="03ED3012" w:rsidR="00221011" w:rsidRPr="00C2587D" w:rsidRDefault="00B73D4F" w:rsidP="00221011">
            <w:pPr>
              <w:rPr>
                <w:rFonts w:ascii="Times New Roman" w:hAnsi="Times New Roman"/>
                <w:sz w:val="20"/>
                <w:szCs w:val="20"/>
              </w:rPr>
            </w:pPr>
            <w:r w:rsidRPr="00C2587D">
              <w:rPr>
                <w:rFonts w:ascii="Times New Roman" w:eastAsia="Arial" w:hAnsi="Times New Roman"/>
                <w:sz w:val="20"/>
                <w:szCs w:val="20"/>
                <w:lang w:eastAsia="en-US"/>
              </w:rPr>
              <w:t>3</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FEDEA34" w14:textId="5723D4BB" w:rsidR="00221011" w:rsidRPr="00C2587D" w:rsidRDefault="00221011" w:rsidP="00221011">
            <w:pPr>
              <w:rPr>
                <w:rFonts w:ascii="Times New Roman" w:hAnsi="Times New Roman"/>
                <w:color w:val="000000"/>
                <w:sz w:val="20"/>
                <w:szCs w:val="20"/>
              </w:rPr>
            </w:pPr>
            <w:r w:rsidRPr="00C2587D">
              <w:rPr>
                <w:rFonts w:ascii="Times New Roman" w:hAnsi="Times New Roman"/>
                <w:bCs/>
                <w:color w:val="000000"/>
                <w:sz w:val="20"/>
                <w:szCs w:val="20"/>
                <w:lang w:eastAsia="uk-UA"/>
              </w:rPr>
              <w:t>Підтримка підприємств з виробництва будівельних матеріалів із місцевої сировини</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53E993E" w14:textId="14A4E413" w:rsidR="00221011" w:rsidRPr="00C2587D" w:rsidRDefault="00221011" w:rsidP="00221011">
            <w:pPr>
              <w:ind w:left="113" w:right="113"/>
              <w:jc w:val="center"/>
              <w:rPr>
                <w:rFonts w:ascii="Times New Roman" w:hAnsi="Times New Roman"/>
                <w:b/>
                <w:sz w:val="20"/>
                <w:szCs w:val="20"/>
              </w:rPr>
            </w:pPr>
            <w:r w:rsidRPr="00C2587D">
              <w:rPr>
                <w:rFonts w:ascii="Times New Roman" w:eastAsia="Arial" w:hAnsi="Times New Roman"/>
                <w:b/>
                <w:sz w:val="20"/>
                <w:szCs w:val="20"/>
                <w:lang w:eastAsia="en-US"/>
              </w:rPr>
              <w:t>250,0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5D89BCE2" w14:textId="14CE7416"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250,0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8201062" w14:textId="77777777" w:rsidR="00221011" w:rsidRPr="00C2587D" w:rsidRDefault="00221011" w:rsidP="00221011">
            <w:pPr>
              <w:ind w:left="113" w:right="113"/>
              <w:jc w:val="center"/>
              <w:rPr>
                <w:rFonts w:ascii="Times New Roman" w:hAnsi="Times New Roman"/>
                <w:sz w:val="20"/>
                <w:szCs w:val="20"/>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12130C1" w14:textId="4F4838E6"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50,0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1583BF3" w14:textId="20BB9F48"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100,0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10098F8" w14:textId="58DA4AD2"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100,0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7EF924B4" w14:textId="77777777" w:rsidR="00221011" w:rsidRPr="00C2587D" w:rsidRDefault="00221011" w:rsidP="00221011">
            <w:pPr>
              <w:ind w:left="113" w:right="113"/>
              <w:jc w:val="center"/>
              <w:rPr>
                <w:rFonts w:ascii="Times New Roman"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7020517" w14:textId="77777777" w:rsidR="00221011" w:rsidRPr="00C2587D" w:rsidRDefault="00221011" w:rsidP="00221011">
            <w:pPr>
              <w:ind w:left="113" w:right="113"/>
              <w:jc w:val="center"/>
              <w:rPr>
                <w:rFonts w:ascii="Times New Roman" w:hAnsi="Times New Roman"/>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38A109B" w14:textId="77777777" w:rsidR="00221011" w:rsidRPr="00C2587D" w:rsidRDefault="00221011" w:rsidP="00221011">
            <w:pPr>
              <w:ind w:left="113" w:right="113"/>
              <w:jc w:val="center"/>
              <w:rPr>
                <w:rFonts w:ascii="Times New Roman"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2ABEE90" w14:textId="77777777" w:rsidR="00221011" w:rsidRPr="00C2587D" w:rsidRDefault="00221011" w:rsidP="00221011">
            <w:pPr>
              <w:ind w:left="113" w:right="113"/>
              <w:jc w:val="center"/>
              <w:rPr>
                <w:rFonts w:ascii="Times New Roman"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8EBE580" w14:textId="77777777" w:rsidR="00221011" w:rsidRPr="00C2587D" w:rsidRDefault="00221011" w:rsidP="00221011">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6CD03B82" w14:textId="77777777" w:rsidR="00221011" w:rsidRPr="00C2587D" w:rsidRDefault="00221011" w:rsidP="00221011">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B87EC88" w14:textId="77777777" w:rsidR="00221011" w:rsidRPr="00C2587D" w:rsidRDefault="00221011" w:rsidP="00221011">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889CC15" w14:textId="77777777" w:rsidR="00221011" w:rsidRPr="00C2587D" w:rsidRDefault="00221011" w:rsidP="00221011">
            <w:pPr>
              <w:ind w:left="113" w:right="113"/>
              <w:jc w:val="center"/>
              <w:rPr>
                <w:rFonts w:ascii="Times New Roman" w:hAnsi="Times New Roman"/>
                <w:sz w:val="20"/>
                <w:szCs w:val="20"/>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967480D" w14:textId="77777777" w:rsidR="00221011" w:rsidRPr="00C2587D" w:rsidRDefault="00221011" w:rsidP="00221011">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A43EF77" w14:textId="77777777" w:rsidR="00221011" w:rsidRPr="00C2587D" w:rsidRDefault="00221011" w:rsidP="00221011">
            <w:pPr>
              <w:ind w:left="113" w:right="113"/>
              <w:jc w:val="center"/>
              <w:rPr>
                <w:rFonts w:ascii="Times New Roman" w:hAnsi="Times New Roman"/>
                <w:sz w:val="20"/>
                <w:szCs w:val="20"/>
              </w:rPr>
            </w:pPr>
          </w:p>
        </w:tc>
        <w:tc>
          <w:tcPr>
            <w:tcW w:w="104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4B4692C7" w14:textId="497546EF" w:rsidR="00221011" w:rsidRPr="00C2587D" w:rsidRDefault="00221011" w:rsidP="00221011">
            <w:pPr>
              <w:ind w:left="113" w:right="113"/>
              <w:jc w:val="center"/>
              <w:rPr>
                <w:rFonts w:ascii="Times New Roman" w:hAnsi="Times New Roman"/>
                <w:b/>
                <w:sz w:val="20"/>
                <w:szCs w:val="20"/>
              </w:rPr>
            </w:pPr>
            <w:r w:rsidRPr="00C2587D">
              <w:rPr>
                <w:rFonts w:ascii="Times New Roman" w:eastAsia="Arial" w:hAnsi="Times New Roman"/>
                <w:b/>
                <w:sz w:val="20"/>
                <w:szCs w:val="20"/>
                <w:lang w:eastAsia="en-US"/>
              </w:rPr>
              <w:t>250,0</w:t>
            </w:r>
          </w:p>
        </w:tc>
      </w:tr>
      <w:tr w:rsidR="00221011" w:rsidRPr="00C2587D" w14:paraId="20AFED38" w14:textId="77777777" w:rsidTr="00A041B2">
        <w:trPr>
          <w:cantSplit/>
          <w:trHeight w:val="705"/>
        </w:trPr>
        <w:tc>
          <w:tcPr>
            <w:tcW w:w="433" w:type="dxa"/>
            <w:tcBorders>
              <w:top w:val="single" w:sz="4" w:space="0" w:color="auto"/>
              <w:left w:val="single" w:sz="4" w:space="0" w:color="auto"/>
              <w:bottom w:val="single" w:sz="4" w:space="0" w:color="auto"/>
              <w:right w:val="single" w:sz="4" w:space="0" w:color="auto"/>
            </w:tcBorders>
            <w:shd w:val="clear" w:color="auto" w:fill="auto"/>
          </w:tcPr>
          <w:p w14:paraId="61E41189" w14:textId="3C2ED536" w:rsidR="00221011" w:rsidRPr="00C2587D" w:rsidRDefault="00B73D4F" w:rsidP="00221011">
            <w:pPr>
              <w:rPr>
                <w:rFonts w:ascii="Times New Roman" w:hAnsi="Times New Roman"/>
                <w:sz w:val="20"/>
                <w:szCs w:val="20"/>
              </w:rPr>
            </w:pPr>
            <w:r w:rsidRPr="00C2587D">
              <w:rPr>
                <w:rFonts w:ascii="Times New Roman" w:eastAsia="Arial" w:hAnsi="Times New Roman"/>
                <w:sz w:val="20"/>
                <w:szCs w:val="20"/>
                <w:lang w:eastAsia="en-US"/>
              </w:rPr>
              <w:t>4</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5819163" w14:textId="5BE007D2" w:rsidR="00221011" w:rsidRPr="00C2587D" w:rsidRDefault="00221011" w:rsidP="00221011">
            <w:pPr>
              <w:rPr>
                <w:rFonts w:ascii="Times New Roman" w:hAnsi="Times New Roman"/>
                <w:color w:val="000000"/>
                <w:sz w:val="20"/>
                <w:szCs w:val="20"/>
              </w:rPr>
            </w:pPr>
            <w:r w:rsidRPr="00C2587D">
              <w:rPr>
                <w:rFonts w:ascii="Times New Roman" w:eastAsia="Arial" w:hAnsi="Times New Roman"/>
                <w:sz w:val="20"/>
                <w:szCs w:val="20"/>
                <w:lang w:eastAsia="en-US"/>
              </w:rPr>
              <w:t xml:space="preserve">Встановлення (коригування) меж населеного пункту </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6B3238F" w14:textId="3C98E6CB" w:rsidR="00221011" w:rsidRPr="00C2587D" w:rsidRDefault="00221011" w:rsidP="00221011">
            <w:pPr>
              <w:ind w:left="113" w:right="113"/>
              <w:jc w:val="center"/>
              <w:rPr>
                <w:rFonts w:ascii="Times New Roman" w:hAnsi="Times New Roman"/>
                <w:b/>
                <w:sz w:val="20"/>
                <w:szCs w:val="20"/>
              </w:rPr>
            </w:pPr>
            <w:r w:rsidRPr="00C2587D">
              <w:rPr>
                <w:rFonts w:ascii="Times New Roman" w:eastAsia="Arial" w:hAnsi="Times New Roman"/>
                <w:b/>
                <w:sz w:val="20"/>
                <w:szCs w:val="20"/>
                <w:lang w:eastAsia="en-US"/>
              </w:rPr>
              <w:t>2800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3167FF50" w14:textId="50DADBFA"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2800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DBA7C25" w14:textId="7735E4AD"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700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639A0B5" w14:textId="6992BF66"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700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BD736F8" w14:textId="3DC5A451"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700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A647B45" w14:textId="623D7F5B"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700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6BD9E23A" w14:textId="6C4BAE48"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0C8B4F2" w14:textId="2E69F366"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ED274B7" w14:textId="31AB519E"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AD47149" w14:textId="1466F1C5"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30AF16F" w14:textId="4C55BE19"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15DD092B" w14:textId="106AB361"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BB561EE" w14:textId="68705219"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87AC0D9" w14:textId="380A7C53"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845396B" w14:textId="05503D92"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2B8AFFD" w14:textId="7256AD1A"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104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524448F6" w14:textId="023BBEF4" w:rsidR="00221011" w:rsidRPr="00C2587D" w:rsidRDefault="00221011" w:rsidP="00221011">
            <w:pPr>
              <w:ind w:left="113" w:right="113"/>
              <w:jc w:val="center"/>
              <w:rPr>
                <w:rFonts w:ascii="Times New Roman" w:hAnsi="Times New Roman"/>
                <w:b/>
                <w:sz w:val="20"/>
                <w:szCs w:val="20"/>
              </w:rPr>
            </w:pPr>
            <w:r w:rsidRPr="00C2587D">
              <w:rPr>
                <w:rFonts w:ascii="Times New Roman" w:eastAsia="Arial" w:hAnsi="Times New Roman"/>
                <w:b/>
                <w:sz w:val="20"/>
                <w:szCs w:val="20"/>
                <w:lang w:eastAsia="en-US"/>
              </w:rPr>
              <w:t>2800</w:t>
            </w:r>
          </w:p>
        </w:tc>
      </w:tr>
      <w:tr w:rsidR="00221011" w:rsidRPr="00C2587D" w14:paraId="6F96976C" w14:textId="77777777" w:rsidTr="00A041B2">
        <w:trPr>
          <w:cantSplit/>
          <w:trHeight w:val="700"/>
        </w:trPr>
        <w:tc>
          <w:tcPr>
            <w:tcW w:w="433" w:type="dxa"/>
            <w:tcBorders>
              <w:top w:val="single" w:sz="4" w:space="0" w:color="auto"/>
              <w:left w:val="single" w:sz="4" w:space="0" w:color="auto"/>
              <w:bottom w:val="single" w:sz="4" w:space="0" w:color="auto"/>
              <w:right w:val="single" w:sz="4" w:space="0" w:color="auto"/>
            </w:tcBorders>
            <w:shd w:val="clear" w:color="auto" w:fill="auto"/>
          </w:tcPr>
          <w:p w14:paraId="71710D34" w14:textId="4955C8E7" w:rsidR="00221011" w:rsidRPr="00C2587D" w:rsidRDefault="00B73D4F" w:rsidP="005F618D">
            <w:pPr>
              <w:rPr>
                <w:rFonts w:ascii="Times New Roman" w:hAnsi="Times New Roman"/>
                <w:sz w:val="20"/>
                <w:szCs w:val="20"/>
              </w:rPr>
            </w:pPr>
            <w:r w:rsidRPr="00C2587D">
              <w:rPr>
                <w:rFonts w:ascii="Times New Roman" w:eastAsia="Arial" w:hAnsi="Times New Roman"/>
                <w:sz w:val="20"/>
                <w:szCs w:val="20"/>
                <w:lang w:eastAsia="en-US"/>
              </w:rPr>
              <w:t>5</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9146FA4" w14:textId="677452A5" w:rsidR="00221011" w:rsidRPr="00C2587D" w:rsidRDefault="00221011" w:rsidP="00221011">
            <w:pPr>
              <w:rPr>
                <w:rFonts w:ascii="Times New Roman" w:hAnsi="Times New Roman"/>
                <w:color w:val="000000"/>
                <w:sz w:val="20"/>
                <w:szCs w:val="20"/>
              </w:rPr>
            </w:pPr>
            <w:r w:rsidRPr="00C2587D">
              <w:rPr>
                <w:rFonts w:ascii="Times New Roman" w:eastAsia="Arial" w:hAnsi="Times New Roman"/>
                <w:sz w:val="20"/>
                <w:szCs w:val="20"/>
                <w:lang w:eastAsia="en-US"/>
              </w:rPr>
              <w:t>Встановлення меж територіальної громади</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00BA1D9" w14:textId="7493668B" w:rsidR="00221011" w:rsidRPr="00C2587D" w:rsidRDefault="00221011" w:rsidP="00221011">
            <w:pPr>
              <w:ind w:left="113" w:right="113"/>
              <w:jc w:val="center"/>
              <w:rPr>
                <w:rFonts w:ascii="Times New Roman" w:hAnsi="Times New Roman"/>
                <w:b/>
                <w:sz w:val="20"/>
                <w:szCs w:val="20"/>
              </w:rPr>
            </w:pPr>
            <w:r w:rsidRPr="00C2587D">
              <w:rPr>
                <w:rFonts w:ascii="Times New Roman" w:eastAsia="Arial" w:hAnsi="Times New Roman"/>
                <w:b/>
                <w:sz w:val="20"/>
                <w:szCs w:val="20"/>
                <w:lang w:eastAsia="en-US"/>
              </w:rPr>
              <w:t>1000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194CCF50" w14:textId="55D1E432"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1000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2B9DC7F" w14:textId="702C3C2F"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F4CC2F7" w14:textId="6C0DD819"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1000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EE03480" w14:textId="6A282F31"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A4B0A3C" w14:textId="22A74B3C"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0BD483AE" w14:textId="06FE0DE0"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2CC628E" w14:textId="5B66EC04"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5EDD235" w14:textId="167944A6"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FA5EF08" w14:textId="454B5D0F"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BCFCD17" w14:textId="773DF099"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3DFBB443" w14:textId="1E4409DB"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C3F3E0F" w14:textId="333ADC2B"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13CCFD8" w14:textId="741D2DA4"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4FE57D4" w14:textId="1E6CEC7C"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C7C2900" w14:textId="53B906EB"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104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623D9554" w14:textId="7C4B5636" w:rsidR="00221011" w:rsidRPr="00C2587D" w:rsidRDefault="00221011" w:rsidP="00221011">
            <w:pPr>
              <w:ind w:left="113" w:right="113"/>
              <w:jc w:val="center"/>
              <w:rPr>
                <w:rFonts w:ascii="Times New Roman" w:hAnsi="Times New Roman"/>
                <w:b/>
                <w:sz w:val="20"/>
                <w:szCs w:val="20"/>
              </w:rPr>
            </w:pPr>
            <w:r w:rsidRPr="00C2587D">
              <w:rPr>
                <w:rFonts w:ascii="Times New Roman" w:eastAsia="Arial" w:hAnsi="Times New Roman"/>
                <w:b/>
                <w:sz w:val="20"/>
                <w:szCs w:val="20"/>
                <w:lang w:eastAsia="en-US"/>
              </w:rPr>
              <w:t>1000</w:t>
            </w:r>
          </w:p>
        </w:tc>
      </w:tr>
      <w:tr w:rsidR="00221011" w:rsidRPr="00C2587D" w14:paraId="088108C1" w14:textId="77777777" w:rsidTr="00A041B2">
        <w:trPr>
          <w:cantSplit/>
          <w:trHeight w:val="696"/>
        </w:trPr>
        <w:tc>
          <w:tcPr>
            <w:tcW w:w="433" w:type="dxa"/>
            <w:tcBorders>
              <w:top w:val="single" w:sz="4" w:space="0" w:color="auto"/>
              <w:left w:val="single" w:sz="4" w:space="0" w:color="auto"/>
              <w:bottom w:val="single" w:sz="4" w:space="0" w:color="auto"/>
              <w:right w:val="single" w:sz="4" w:space="0" w:color="auto"/>
            </w:tcBorders>
            <w:shd w:val="clear" w:color="auto" w:fill="auto"/>
          </w:tcPr>
          <w:p w14:paraId="6F38A297" w14:textId="2AF4060B" w:rsidR="00221011" w:rsidRPr="00C2587D" w:rsidRDefault="00B73D4F" w:rsidP="00221011">
            <w:pPr>
              <w:rPr>
                <w:rFonts w:ascii="Times New Roman" w:hAnsi="Times New Roman"/>
                <w:sz w:val="20"/>
                <w:szCs w:val="20"/>
              </w:rPr>
            </w:pPr>
            <w:r w:rsidRPr="00C2587D">
              <w:rPr>
                <w:rFonts w:ascii="Times New Roman" w:hAnsi="Times New Roman"/>
                <w:sz w:val="20"/>
                <w:szCs w:val="20"/>
              </w:rPr>
              <w:t>6</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AC27EE0" w14:textId="704F08C7" w:rsidR="00221011" w:rsidRPr="00C2587D" w:rsidRDefault="00221011" w:rsidP="00221011">
            <w:pPr>
              <w:rPr>
                <w:rFonts w:ascii="Times New Roman" w:hAnsi="Times New Roman"/>
                <w:color w:val="000000"/>
                <w:sz w:val="20"/>
                <w:szCs w:val="20"/>
              </w:rPr>
            </w:pPr>
            <w:r w:rsidRPr="00C2587D">
              <w:rPr>
                <w:rFonts w:ascii="Times New Roman" w:eastAsia="Arial" w:hAnsi="Times New Roman"/>
                <w:sz w:val="20"/>
                <w:szCs w:val="20"/>
                <w:lang w:eastAsia="en-US"/>
              </w:rPr>
              <w:t>Нормативна грошова оцінка земельних ділянок</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28A59AD" w14:textId="2310B5DA" w:rsidR="00221011" w:rsidRPr="00C2587D" w:rsidRDefault="00221011" w:rsidP="00221011">
            <w:pPr>
              <w:ind w:left="113" w:right="113"/>
              <w:jc w:val="center"/>
              <w:rPr>
                <w:rFonts w:ascii="Times New Roman" w:hAnsi="Times New Roman"/>
                <w:b/>
                <w:sz w:val="20"/>
                <w:szCs w:val="20"/>
              </w:rPr>
            </w:pPr>
            <w:r w:rsidRPr="00C2587D">
              <w:rPr>
                <w:rFonts w:ascii="Times New Roman" w:eastAsia="Arial" w:hAnsi="Times New Roman"/>
                <w:b/>
                <w:sz w:val="20"/>
                <w:szCs w:val="20"/>
                <w:lang w:eastAsia="en-US"/>
              </w:rPr>
              <w:t>1180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509F16D1" w14:textId="531D33E7"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1180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23B2905" w14:textId="225CF83E"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500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2A1572B" w14:textId="63AC1566"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300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299E8DB" w14:textId="5BBDD0B5"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300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5872168" w14:textId="1BFC83C0"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80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7C195264" w14:textId="415727FA"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27ACEB2" w14:textId="47A589BF"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C5872FB" w14:textId="34A23BC1"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83FEBD1" w14:textId="4EDB2D02"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746624D" w14:textId="495A9405"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123618B7" w14:textId="32ED6C0B"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05ED7CF" w14:textId="5956AEDF"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189E3F0" w14:textId="6D7F88C9"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1FA2974" w14:textId="50AF76D0"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5153AFB" w14:textId="766DE3B3"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104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3A848221" w14:textId="70C53792" w:rsidR="00221011" w:rsidRPr="00C2587D" w:rsidRDefault="00221011" w:rsidP="00221011">
            <w:pPr>
              <w:ind w:left="113" w:right="113"/>
              <w:jc w:val="center"/>
              <w:rPr>
                <w:rFonts w:ascii="Times New Roman" w:hAnsi="Times New Roman"/>
                <w:b/>
                <w:sz w:val="20"/>
                <w:szCs w:val="20"/>
              </w:rPr>
            </w:pPr>
            <w:r w:rsidRPr="00C2587D">
              <w:rPr>
                <w:rFonts w:ascii="Times New Roman" w:eastAsia="Arial" w:hAnsi="Times New Roman"/>
                <w:b/>
                <w:sz w:val="20"/>
                <w:szCs w:val="20"/>
                <w:lang w:eastAsia="en-US"/>
              </w:rPr>
              <w:t>1180</w:t>
            </w:r>
          </w:p>
        </w:tc>
      </w:tr>
      <w:tr w:rsidR="00221011" w:rsidRPr="00C2587D" w14:paraId="25B66D21" w14:textId="77777777" w:rsidTr="00A041B2">
        <w:trPr>
          <w:cantSplit/>
          <w:trHeight w:val="1134"/>
        </w:trPr>
        <w:tc>
          <w:tcPr>
            <w:tcW w:w="433" w:type="dxa"/>
            <w:tcBorders>
              <w:top w:val="single" w:sz="4" w:space="0" w:color="auto"/>
              <w:left w:val="single" w:sz="4" w:space="0" w:color="auto"/>
              <w:bottom w:val="single" w:sz="4" w:space="0" w:color="auto"/>
              <w:right w:val="single" w:sz="4" w:space="0" w:color="auto"/>
            </w:tcBorders>
            <w:shd w:val="clear" w:color="auto" w:fill="auto"/>
          </w:tcPr>
          <w:p w14:paraId="0708FB38" w14:textId="6F665E09" w:rsidR="00221011" w:rsidRPr="00C2587D" w:rsidRDefault="00B73D4F" w:rsidP="00221011">
            <w:pPr>
              <w:rPr>
                <w:rFonts w:ascii="Times New Roman" w:hAnsi="Times New Roman"/>
                <w:sz w:val="20"/>
                <w:szCs w:val="20"/>
              </w:rPr>
            </w:pPr>
            <w:r w:rsidRPr="00C2587D">
              <w:rPr>
                <w:rFonts w:ascii="Times New Roman" w:hAnsi="Times New Roman"/>
                <w:sz w:val="20"/>
                <w:szCs w:val="20"/>
              </w:rPr>
              <w:lastRenderedPageBreak/>
              <w:t>7</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E9A350F" w14:textId="4F17253D" w:rsidR="00221011" w:rsidRPr="00C2587D" w:rsidRDefault="00221011" w:rsidP="00221011">
            <w:pPr>
              <w:rPr>
                <w:rFonts w:ascii="Times New Roman" w:hAnsi="Times New Roman"/>
                <w:color w:val="000000"/>
                <w:sz w:val="20"/>
                <w:szCs w:val="20"/>
              </w:rPr>
            </w:pPr>
            <w:r w:rsidRPr="00C2587D">
              <w:rPr>
                <w:rFonts w:ascii="Times New Roman" w:eastAsia="Arial" w:hAnsi="Times New Roman"/>
                <w:sz w:val="20"/>
                <w:szCs w:val="20"/>
                <w:lang w:eastAsia="en-US"/>
              </w:rPr>
              <w:t>Складання плану земельно-господарського устрою населеного пункту</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CF2769C" w14:textId="45FC77EA" w:rsidR="00221011" w:rsidRPr="00C2587D" w:rsidRDefault="00221011" w:rsidP="00221011">
            <w:pPr>
              <w:ind w:left="113" w:right="113"/>
              <w:jc w:val="center"/>
              <w:rPr>
                <w:rFonts w:ascii="Times New Roman" w:hAnsi="Times New Roman"/>
                <w:b/>
                <w:sz w:val="20"/>
                <w:szCs w:val="20"/>
              </w:rPr>
            </w:pPr>
            <w:r w:rsidRPr="00C2587D">
              <w:rPr>
                <w:rFonts w:ascii="Times New Roman" w:eastAsia="Arial" w:hAnsi="Times New Roman"/>
                <w:b/>
                <w:sz w:val="20"/>
                <w:szCs w:val="20"/>
                <w:lang w:eastAsia="en-US"/>
              </w:rPr>
              <w:t>200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7CBD29BE" w14:textId="01913549"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200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FF74D97" w14:textId="3AB5ECDD"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D688587" w14:textId="704CAEBA"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200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DD766A2" w14:textId="48D81612"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B891F7C" w14:textId="24D39E29"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2689883A" w14:textId="65675AC4"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53BEB0C" w14:textId="4912032B"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6B4D3E5" w14:textId="53106D06"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231DC4C" w14:textId="3833684E"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DDD1CDD" w14:textId="27354C1C"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76A9082C" w14:textId="42B5847F"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DAB8189" w14:textId="48A8CA10"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79540DB" w14:textId="0E5C9E0F"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3E5F477" w14:textId="12285B8D"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7E04A13" w14:textId="314CE93F"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104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2286BABB" w14:textId="6E9CD220" w:rsidR="00221011" w:rsidRPr="00C2587D" w:rsidRDefault="00221011" w:rsidP="00221011">
            <w:pPr>
              <w:ind w:left="113" w:right="113"/>
              <w:jc w:val="center"/>
              <w:rPr>
                <w:rFonts w:ascii="Times New Roman" w:hAnsi="Times New Roman"/>
                <w:b/>
                <w:sz w:val="20"/>
                <w:szCs w:val="20"/>
              </w:rPr>
            </w:pPr>
            <w:r w:rsidRPr="00C2587D">
              <w:rPr>
                <w:rFonts w:ascii="Times New Roman" w:eastAsia="Arial" w:hAnsi="Times New Roman"/>
                <w:b/>
                <w:sz w:val="20"/>
                <w:szCs w:val="20"/>
                <w:lang w:eastAsia="en-US"/>
              </w:rPr>
              <w:t>200</w:t>
            </w:r>
          </w:p>
        </w:tc>
      </w:tr>
      <w:tr w:rsidR="00221011" w:rsidRPr="00C2587D" w14:paraId="0ECF634A" w14:textId="77777777" w:rsidTr="00A041B2">
        <w:trPr>
          <w:cantSplit/>
          <w:trHeight w:val="1134"/>
        </w:trPr>
        <w:tc>
          <w:tcPr>
            <w:tcW w:w="433" w:type="dxa"/>
            <w:tcBorders>
              <w:top w:val="single" w:sz="4" w:space="0" w:color="auto"/>
              <w:left w:val="single" w:sz="4" w:space="0" w:color="auto"/>
              <w:bottom w:val="single" w:sz="4" w:space="0" w:color="auto"/>
              <w:right w:val="single" w:sz="4" w:space="0" w:color="auto"/>
            </w:tcBorders>
            <w:shd w:val="clear" w:color="auto" w:fill="auto"/>
          </w:tcPr>
          <w:p w14:paraId="51E50D99" w14:textId="3CDE1BE1" w:rsidR="00221011" w:rsidRPr="00C2587D" w:rsidRDefault="00B73D4F" w:rsidP="00221011">
            <w:pPr>
              <w:rPr>
                <w:rFonts w:ascii="Times New Roman" w:hAnsi="Times New Roman"/>
                <w:sz w:val="20"/>
                <w:szCs w:val="20"/>
              </w:rPr>
            </w:pPr>
            <w:r w:rsidRPr="00C2587D">
              <w:rPr>
                <w:rFonts w:ascii="Times New Roman" w:eastAsia="Arial" w:hAnsi="Times New Roman"/>
                <w:sz w:val="20"/>
                <w:szCs w:val="20"/>
                <w:lang w:eastAsia="en-US"/>
              </w:rPr>
              <w:t>8</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B478870" w14:textId="6329B52D" w:rsidR="00221011" w:rsidRPr="00C2587D" w:rsidRDefault="00221011" w:rsidP="00221011">
            <w:pPr>
              <w:rPr>
                <w:rFonts w:ascii="Times New Roman" w:hAnsi="Times New Roman"/>
                <w:color w:val="000000"/>
                <w:sz w:val="20"/>
                <w:szCs w:val="20"/>
              </w:rPr>
            </w:pPr>
            <w:r w:rsidRPr="00C2587D">
              <w:rPr>
                <w:rFonts w:ascii="Times New Roman" w:eastAsia="Arial" w:hAnsi="Times New Roman"/>
                <w:sz w:val="20"/>
                <w:szCs w:val="20"/>
                <w:lang w:eastAsia="en-US"/>
              </w:rPr>
              <w:t>Проведення експертної оцінки земельних ділянок комунальної власності при продажу земельних ділянок</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24A1311" w14:textId="52185A03" w:rsidR="00221011" w:rsidRPr="00C2587D" w:rsidRDefault="00221011" w:rsidP="00221011">
            <w:pPr>
              <w:ind w:left="113" w:right="113"/>
              <w:jc w:val="center"/>
              <w:rPr>
                <w:rFonts w:ascii="Times New Roman" w:hAnsi="Times New Roman"/>
                <w:b/>
                <w:sz w:val="20"/>
                <w:szCs w:val="20"/>
              </w:rPr>
            </w:pPr>
            <w:r w:rsidRPr="00C2587D">
              <w:rPr>
                <w:rFonts w:ascii="Times New Roman" w:eastAsia="Arial" w:hAnsi="Times New Roman"/>
                <w:b/>
                <w:sz w:val="20"/>
                <w:szCs w:val="20"/>
                <w:lang w:eastAsia="en-US"/>
              </w:rPr>
              <w:t>520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4ECA5FF9" w14:textId="0B41F6B1"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520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4D0A368" w14:textId="7CA1905B"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130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3199F5B" w14:textId="5D2BEBC4"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130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9031FFA" w14:textId="7900B004"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130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7EEA351" w14:textId="2A6D8649"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130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48FC5109" w14:textId="46C569AC"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2BDB4B8" w14:textId="1E73CC72"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2CAA048" w14:textId="5B76E689"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273AECB" w14:textId="7B770DA7"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B0563E9" w14:textId="2153B17C"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08D6A409" w14:textId="22CCB897"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D5FB534" w14:textId="22D24AD4"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BB74DC1" w14:textId="788D75E9"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22EB1FD" w14:textId="65F1761C"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46F1EAF" w14:textId="7B4D03C8"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104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15F90F5F" w14:textId="54971A46" w:rsidR="00221011" w:rsidRPr="00C2587D" w:rsidRDefault="00221011" w:rsidP="00221011">
            <w:pPr>
              <w:ind w:left="113" w:right="113"/>
              <w:jc w:val="center"/>
              <w:rPr>
                <w:rFonts w:ascii="Times New Roman" w:hAnsi="Times New Roman"/>
                <w:b/>
                <w:sz w:val="20"/>
                <w:szCs w:val="20"/>
              </w:rPr>
            </w:pPr>
            <w:r w:rsidRPr="00C2587D">
              <w:rPr>
                <w:rFonts w:ascii="Times New Roman" w:eastAsia="Arial" w:hAnsi="Times New Roman"/>
                <w:b/>
                <w:sz w:val="20"/>
                <w:szCs w:val="20"/>
                <w:lang w:eastAsia="en-US"/>
              </w:rPr>
              <w:t>520</w:t>
            </w:r>
          </w:p>
        </w:tc>
      </w:tr>
      <w:tr w:rsidR="00221011" w:rsidRPr="00C2587D" w14:paraId="0198E729" w14:textId="77777777" w:rsidTr="00FF28D2">
        <w:trPr>
          <w:cantSplit/>
          <w:trHeight w:val="790"/>
        </w:trPr>
        <w:tc>
          <w:tcPr>
            <w:tcW w:w="433" w:type="dxa"/>
            <w:tcBorders>
              <w:top w:val="single" w:sz="4" w:space="0" w:color="auto"/>
              <w:left w:val="single" w:sz="4" w:space="0" w:color="auto"/>
              <w:bottom w:val="single" w:sz="4" w:space="0" w:color="auto"/>
              <w:right w:val="single" w:sz="4" w:space="0" w:color="auto"/>
            </w:tcBorders>
            <w:shd w:val="clear" w:color="auto" w:fill="auto"/>
          </w:tcPr>
          <w:p w14:paraId="4B5D7A22" w14:textId="6DA2B8EC" w:rsidR="00221011" w:rsidRPr="00C2587D" w:rsidRDefault="00B73D4F" w:rsidP="00221011">
            <w:pPr>
              <w:rPr>
                <w:rFonts w:ascii="Times New Roman" w:hAnsi="Times New Roman"/>
                <w:sz w:val="20"/>
                <w:szCs w:val="20"/>
              </w:rPr>
            </w:pPr>
            <w:r w:rsidRPr="00C2587D">
              <w:rPr>
                <w:rFonts w:ascii="Times New Roman" w:eastAsia="Arial" w:hAnsi="Times New Roman"/>
                <w:sz w:val="20"/>
                <w:szCs w:val="20"/>
                <w:lang w:eastAsia="en-US"/>
              </w:rPr>
              <w:t>9</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5C2351AD" w14:textId="488AAB27" w:rsidR="00221011" w:rsidRPr="00C2587D" w:rsidRDefault="00221011" w:rsidP="00FF28D2">
            <w:pPr>
              <w:rPr>
                <w:rFonts w:ascii="Times New Roman" w:hAnsi="Times New Roman"/>
                <w:color w:val="000000"/>
                <w:sz w:val="20"/>
                <w:szCs w:val="20"/>
              </w:rPr>
            </w:pPr>
            <w:r w:rsidRPr="00C2587D">
              <w:rPr>
                <w:rFonts w:ascii="Times New Roman" w:eastAsia="Arial" w:hAnsi="Times New Roman"/>
                <w:sz w:val="20"/>
                <w:szCs w:val="20"/>
                <w:lang w:eastAsia="en-US"/>
              </w:rPr>
              <w:t>Виготовлення документації із землеустрою</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2014631" w14:textId="0AD4CADE" w:rsidR="00221011" w:rsidRPr="00C2587D" w:rsidRDefault="00221011" w:rsidP="00221011">
            <w:pPr>
              <w:ind w:left="113" w:right="113"/>
              <w:jc w:val="center"/>
              <w:rPr>
                <w:rFonts w:ascii="Times New Roman" w:hAnsi="Times New Roman"/>
                <w:b/>
                <w:sz w:val="20"/>
                <w:szCs w:val="20"/>
              </w:rPr>
            </w:pPr>
            <w:r w:rsidRPr="00C2587D">
              <w:rPr>
                <w:rFonts w:ascii="Times New Roman" w:eastAsia="Arial" w:hAnsi="Times New Roman"/>
                <w:b/>
                <w:sz w:val="20"/>
                <w:szCs w:val="20"/>
                <w:lang w:eastAsia="en-US"/>
              </w:rPr>
              <w:t>480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15EEB8AB" w14:textId="20775601"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480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22F3D0F" w14:textId="1D2B366A"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120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946201E" w14:textId="1DD33004"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24B1D88" w14:textId="49E5C313"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120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6B8B3D6" w14:textId="0E797D88"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120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06D7F2E2" w14:textId="65D184C6"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58D8F49" w14:textId="31DF8CE0"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2BEAC6D" w14:textId="682C4B42"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7E9A153" w14:textId="065013AC"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8DEAAD1" w14:textId="490F6827"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214C0093" w14:textId="6F1B829F"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BBEC969" w14:textId="0D6F0188"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141C252" w14:textId="769A63F1"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2C8A353" w14:textId="1BF914D5"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62E7155" w14:textId="3DA0E1A8"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104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4EBE9CF9" w14:textId="5FFDBF4C" w:rsidR="00221011" w:rsidRPr="00C2587D" w:rsidRDefault="00221011" w:rsidP="00221011">
            <w:pPr>
              <w:ind w:left="113" w:right="113"/>
              <w:jc w:val="center"/>
              <w:rPr>
                <w:rFonts w:ascii="Times New Roman" w:hAnsi="Times New Roman"/>
                <w:b/>
                <w:sz w:val="20"/>
                <w:szCs w:val="20"/>
              </w:rPr>
            </w:pPr>
            <w:r w:rsidRPr="00C2587D">
              <w:rPr>
                <w:rFonts w:ascii="Times New Roman" w:eastAsia="Arial" w:hAnsi="Times New Roman"/>
                <w:b/>
                <w:sz w:val="20"/>
                <w:szCs w:val="20"/>
                <w:lang w:eastAsia="en-US"/>
              </w:rPr>
              <w:t>480</w:t>
            </w:r>
          </w:p>
        </w:tc>
      </w:tr>
      <w:tr w:rsidR="00221011" w:rsidRPr="00C2587D" w14:paraId="7DF579D5" w14:textId="77777777" w:rsidTr="00A041B2">
        <w:trPr>
          <w:cantSplit/>
          <w:trHeight w:val="727"/>
        </w:trPr>
        <w:tc>
          <w:tcPr>
            <w:tcW w:w="433" w:type="dxa"/>
            <w:tcBorders>
              <w:top w:val="single" w:sz="4" w:space="0" w:color="auto"/>
              <w:left w:val="single" w:sz="4" w:space="0" w:color="auto"/>
              <w:bottom w:val="single" w:sz="4" w:space="0" w:color="auto"/>
              <w:right w:val="single" w:sz="4" w:space="0" w:color="auto"/>
            </w:tcBorders>
            <w:shd w:val="clear" w:color="auto" w:fill="auto"/>
            <w:vAlign w:val="center"/>
          </w:tcPr>
          <w:p w14:paraId="056C7D1C" w14:textId="285907DE" w:rsidR="00221011" w:rsidRPr="00C2587D" w:rsidRDefault="00221011" w:rsidP="00C156A0">
            <w:pPr>
              <w:rPr>
                <w:rFonts w:ascii="Times New Roman" w:hAnsi="Times New Roman"/>
                <w:sz w:val="20"/>
                <w:szCs w:val="20"/>
              </w:rPr>
            </w:pPr>
            <w:r w:rsidRPr="00C2587D">
              <w:rPr>
                <w:rFonts w:ascii="Times New Roman" w:eastAsia="Arial" w:hAnsi="Times New Roman"/>
                <w:sz w:val="20"/>
                <w:szCs w:val="20"/>
                <w:lang w:eastAsia="en-US"/>
              </w:rPr>
              <w:t>1</w:t>
            </w:r>
            <w:r w:rsidR="00B73D4F" w:rsidRPr="00C2587D">
              <w:rPr>
                <w:rFonts w:ascii="Times New Roman" w:eastAsia="Arial" w:hAnsi="Times New Roman"/>
                <w:sz w:val="20"/>
                <w:szCs w:val="20"/>
                <w:lang w:eastAsia="en-US"/>
              </w:rPr>
              <w:t>0</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2E0844D5" w14:textId="4548BEA2" w:rsidR="00221011" w:rsidRPr="00C2587D" w:rsidRDefault="00221011" w:rsidP="00C156A0">
            <w:pPr>
              <w:rPr>
                <w:rFonts w:ascii="Times New Roman" w:hAnsi="Times New Roman"/>
                <w:color w:val="000000"/>
                <w:sz w:val="20"/>
                <w:szCs w:val="20"/>
              </w:rPr>
            </w:pPr>
            <w:r w:rsidRPr="00C2587D">
              <w:rPr>
                <w:rFonts w:ascii="Times New Roman" w:eastAsia="Arial" w:hAnsi="Times New Roman"/>
                <w:sz w:val="20"/>
                <w:szCs w:val="20"/>
                <w:lang w:eastAsia="en-US"/>
              </w:rPr>
              <w:t>Паспорт водного об'єкту</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E4578EC" w14:textId="12C62A97" w:rsidR="00221011" w:rsidRPr="00C2587D" w:rsidRDefault="00221011" w:rsidP="00221011">
            <w:pPr>
              <w:ind w:left="113" w:right="113"/>
              <w:jc w:val="center"/>
              <w:rPr>
                <w:rFonts w:ascii="Times New Roman" w:hAnsi="Times New Roman"/>
                <w:b/>
                <w:sz w:val="20"/>
                <w:szCs w:val="20"/>
              </w:rPr>
            </w:pPr>
            <w:r w:rsidRPr="00C2587D">
              <w:rPr>
                <w:rFonts w:ascii="Times New Roman" w:eastAsia="Arial" w:hAnsi="Times New Roman"/>
                <w:b/>
                <w:sz w:val="20"/>
                <w:szCs w:val="20"/>
                <w:lang w:eastAsia="en-US"/>
              </w:rPr>
              <w:t>400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1A3CAB89" w14:textId="575C9F3F"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400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48D6A48" w14:textId="17561D2A"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150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03318E2" w14:textId="5DA98F99"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150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34E6FF1" w14:textId="4CF6DB64"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50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329423A" w14:textId="354B5A01"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50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30DE5E19" w14:textId="26C8A790"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DCCB34E" w14:textId="7AD118EC"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107A974" w14:textId="42B61F3A"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DFC931E" w14:textId="5FD8D9E5"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DA4C6C9" w14:textId="1D2C20A0"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056ABB41" w14:textId="40EC6C52"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A9E62DC" w14:textId="49046998"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9437F3E" w14:textId="4953C3F6"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D7547E4" w14:textId="2D9182BE"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753AB8D" w14:textId="42518CB6"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104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0FE92322" w14:textId="4D900C37" w:rsidR="00221011" w:rsidRPr="00C2587D" w:rsidRDefault="00221011" w:rsidP="00221011">
            <w:pPr>
              <w:ind w:left="113" w:right="113"/>
              <w:jc w:val="center"/>
              <w:rPr>
                <w:rFonts w:ascii="Times New Roman" w:hAnsi="Times New Roman"/>
                <w:b/>
                <w:sz w:val="20"/>
                <w:szCs w:val="20"/>
              </w:rPr>
            </w:pPr>
            <w:r w:rsidRPr="00C2587D">
              <w:rPr>
                <w:rFonts w:ascii="Times New Roman" w:eastAsia="Arial" w:hAnsi="Times New Roman"/>
                <w:b/>
                <w:sz w:val="20"/>
                <w:szCs w:val="20"/>
                <w:lang w:eastAsia="en-US"/>
              </w:rPr>
              <w:t>400</w:t>
            </w:r>
          </w:p>
        </w:tc>
      </w:tr>
      <w:tr w:rsidR="00221011" w:rsidRPr="00C2587D" w14:paraId="4A5AD8C0" w14:textId="77777777" w:rsidTr="00A041B2">
        <w:trPr>
          <w:cantSplit/>
          <w:trHeight w:val="4855"/>
        </w:trPr>
        <w:tc>
          <w:tcPr>
            <w:tcW w:w="433" w:type="dxa"/>
            <w:tcBorders>
              <w:top w:val="single" w:sz="4" w:space="0" w:color="auto"/>
              <w:left w:val="single" w:sz="4" w:space="0" w:color="auto"/>
              <w:bottom w:val="single" w:sz="4" w:space="0" w:color="auto"/>
              <w:right w:val="single" w:sz="4" w:space="0" w:color="auto"/>
            </w:tcBorders>
            <w:shd w:val="clear" w:color="auto" w:fill="auto"/>
          </w:tcPr>
          <w:p w14:paraId="5DEAA827" w14:textId="713E366B" w:rsidR="00221011" w:rsidRPr="00C2587D" w:rsidRDefault="00221011" w:rsidP="00B73D4F">
            <w:pPr>
              <w:rPr>
                <w:rFonts w:ascii="Times New Roman" w:hAnsi="Times New Roman"/>
                <w:sz w:val="20"/>
                <w:szCs w:val="20"/>
              </w:rPr>
            </w:pPr>
            <w:r w:rsidRPr="00C2587D">
              <w:rPr>
                <w:rFonts w:ascii="Times New Roman" w:eastAsia="Arial" w:hAnsi="Times New Roman"/>
                <w:sz w:val="20"/>
                <w:szCs w:val="20"/>
                <w:lang w:eastAsia="en-US"/>
              </w:rPr>
              <w:t>1</w:t>
            </w:r>
            <w:r w:rsidR="00B73D4F" w:rsidRPr="00C2587D">
              <w:rPr>
                <w:rFonts w:ascii="Times New Roman" w:eastAsia="Arial" w:hAnsi="Times New Roman"/>
                <w:sz w:val="20"/>
                <w:szCs w:val="20"/>
                <w:lang w:eastAsia="en-US"/>
              </w:rPr>
              <w:t>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E41CEB1" w14:textId="66EB4DD4" w:rsidR="00221011" w:rsidRPr="00C2587D" w:rsidRDefault="00E7572A" w:rsidP="00221011">
            <w:pPr>
              <w:rPr>
                <w:rFonts w:ascii="Times New Roman" w:hAnsi="Times New Roman"/>
                <w:color w:val="000000"/>
                <w:sz w:val="20"/>
                <w:szCs w:val="20"/>
              </w:rPr>
            </w:pPr>
            <w:r w:rsidRPr="00C2587D">
              <w:rPr>
                <w:rFonts w:ascii="Times New Roman" w:eastAsia="Arial" w:hAnsi="Times New Roman"/>
                <w:sz w:val="20"/>
                <w:szCs w:val="20"/>
                <w:lang w:eastAsia="en-US"/>
              </w:rPr>
              <w:t>Виготовлення проє</w:t>
            </w:r>
            <w:r w:rsidR="00221011" w:rsidRPr="00C2587D">
              <w:rPr>
                <w:rFonts w:ascii="Times New Roman" w:eastAsia="Arial" w:hAnsi="Times New Roman"/>
                <w:sz w:val="20"/>
                <w:szCs w:val="20"/>
                <w:lang w:eastAsia="en-US"/>
              </w:rPr>
              <w:t>ктів землеустрою щодо організації і встановлення меж територій природно-заповідного фонду та іншого природоохоронного призначення, оздоровчого, рекреаційного, історико-культурного, лісогосподарського призначення, земель</w:t>
            </w:r>
            <w:r w:rsidR="00DB2EA7">
              <w:rPr>
                <w:rFonts w:ascii="Times New Roman" w:eastAsia="Arial" w:hAnsi="Times New Roman"/>
                <w:sz w:val="20"/>
                <w:szCs w:val="20"/>
                <w:lang w:eastAsia="en-US"/>
              </w:rPr>
              <w:t xml:space="preserve"> </w:t>
            </w:r>
            <w:r w:rsidR="00221011" w:rsidRPr="00C2587D">
              <w:rPr>
                <w:rFonts w:ascii="Times New Roman" w:eastAsia="Arial" w:hAnsi="Times New Roman"/>
                <w:sz w:val="20"/>
                <w:szCs w:val="20"/>
                <w:lang w:eastAsia="en-US"/>
              </w:rPr>
              <w:t>водного фонду та водоохоронних зон, обмежень у використанні земель та їх режимо-утворюючих об'єктів</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DA30CB5" w14:textId="49738B63" w:rsidR="00221011" w:rsidRPr="00C2587D" w:rsidRDefault="00221011" w:rsidP="00221011">
            <w:pPr>
              <w:ind w:left="113" w:right="113"/>
              <w:jc w:val="center"/>
              <w:rPr>
                <w:rFonts w:ascii="Times New Roman" w:hAnsi="Times New Roman"/>
                <w:b/>
                <w:sz w:val="20"/>
                <w:szCs w:val="20"/>
              </w:rPr>
            </w:pPr>
            <w:r w:rsidRPr="00C2587D">
              <w:rPr>
                <w:rFonts w:ascii="Times New Roman" w:eastAsia="Arial" w:hAnsi="Times New Roman"/>
                <w:b/>
                <w:sz w:val="20"/>
                <w:szCs w:val="20"/>
                <w:lang w:eastAsia="en-US"/>
              </w:rPr>
              <w:t>210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432B3C44" w14:textId="70B723C9"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210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CB3E59A" w14:textId="3CE4D985"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105</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C7C2A2C" w14:textId="327994C4"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105</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26AC31C" w14:textId="7D4CE7AF"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4CBDCF1" w14:textId="0A612588"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7BE7E63C" w14:textId="4BE976BF"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A788017" w14:textId="567D5AE5"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BD6A23C" w14:textId="2214F768"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41AB443" w14:textId="1964200F"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F82275D" w14:textId="312E99AB"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0F2CD708" w14:textId="63CA1421"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64202E1" w14:textId="5A731C1D"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D755BAF" w14:textId="0D0A747B"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A4B42A2" w14:textId="65235465"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44816A5" w14:textId="17698BFF"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104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1C9990F5" w14:textId="472C7F4B" w:rsidR="00221011" w:rsidRPr="00C2587D" w:rsidRDefault="00221011" w:rsidP="00221011">
            <w:pPr>
              <w:ind w:left="113" w:right="113"/>
              <w:jc w:val="center"/>
              <w:rPr>
                <w:rFonts w:ascii="Times New Roman" w:hAnsi="Times New Roman"/>
                <w:b/>
                <w:sz w:val="20"/>
                <w:szCs w:val="20"/>
              </w:rPr>
            </w:pPr>
            <w:r w:rsidRPr="00C2587D">
              <w:rPr>
                <w:rFonts w:ascii="Times New Roman" w:eastAsia="Arial" w:hAnsi="Times New Roman"/>
                <w:b/>
                <w:sz w:val="20"/>
                <w:szCs w:val="20"/>
                <w:lang w:eastAsia="en-US"/>
              </w:rPr>
              <w:t>210</w:t>
            </w:r>
          </w:p>
        </w:tc>
      </w:tr>
      <w:tr w:rsidR="00221011" w:rsidRPr="00C2587D" w14:paraId="6F1BEF83" w14:textId="77777777" w:rsidTr="00A041B2">
        <w:trPr>
          <w:cantSplit/>
          <w:trHeight w:val="1134"/>
        </w:trPr>
        <w:tc>
          <w:tcPr>
            <w:tcW w:w="433" w:type="dxa"/>
            <w:tcBorders>
              <w:top w:val="single" w:sz="4" w:space="0" w:color="auto"/>
              <w:left w:val="single" w:sz="4" w:space="0" w:color="auto"/>
              <w:bottom w:val="single" w:sz="4" w:space="0" w:color="auto"/>
              <w:right w:val="single" w:sz="4" w:space="0" w:color="auto"/>
            </w:tcBorders>
          </w:tcPr>
          <w:p w14:paraId="516CA617" w14:textId="66AB0A02" w:rsidR="00221011" w:rsidRPr="00C2587D" w:rsidRDefault="005F618D" w:rsidP="00221011">
            <w:pPr>
              <w:rPr>
                <w:rFonts w:ascii="Times New Roman" w:hAnsi="Times New Roman"/>
                <w:sz w:val="20"/>
                <w:szCs w:val="20"/>
              </w:rPr>
            </w:pPr>
            <w:r w:rsidRPr="00C2587D">
              <w:rPr>
                <w:rFonts w:ascii="Times New Roman" w:eastAsia="Arial" w:hAnsi="Times New Roman"/>
                <w:sz w:val="20"/>
                <w:szCs w:val="20"/>
                <w:lang w:eastAsia="en-US"/>
              </w:rPr>
              <w:lastRenderedPageBreak/>
              <w:t>1</w:t>
            </w:r>
            <w:r w:rsidR="00B73D4F" w:rsidRPr="00C2587D">
              <w:rPr>
                <w:rFonts w:ascii="Times New Roman" w:eastAsia="Arial" w:hAnsi="Times New Roman"/>
                <w:sz w:val="20"/>
                <w:szCs w:val="20"/>
                <w:lang w:eastAsia="en-US"/>
              </w:rPr>
              <w:t>2</w:t>
            </w:r>
          </w:p>
        </w:tc>
        <w:tc>
          <w:tcPr>
            <w:tcW w:w="2268" w:type="dxa"/>
            <w:tcBorders>
              <w:top w:val="single" w:sz="4" w:space="0" w:color="auto"/>
              <w:left w:val="single" w:sz="4" w:space="0" w:color="auto"/>
              <w:bottom w:val="single" w:sz="4" w:space="0" w:color="auto"/>
              <w:right w:val="single" w:sz="4" w:space="0" w:color="auto"/>
            </w:tcBorders>
          </w:tcPr>
          <w:p w14:paraId="5727DB46" w14:textId="77777777" w:rsidR="00221011" w:rsidRPr="00C2587D" w:rsidRDefault="00221011" w:rsidP="00221011">
            <w:pPr>
              <w:rPr>
                <w:rFonts w:ascii="Times New Roman" w:hAnsi="Times New Roman"/>
                <w:sz w:val="20"/>
                <w:szCs w:val="20"/>
              </w:rPr>
            </w:pPr>
            <w:r w:rsidRPr="00C2587D">
              <w:rPr>
                <w:rFonts w:ascii="Times New Roman" w:eastAsia="SimSun" w:hAnsi="Times New Roman"/>
                <w:color w:val="000000"/>
                <w:sz w:val="20"/>
                <w:szCs w:val="20"/>
                <w:lang w:eastAsia="zh-CN" w:bidi="ar"/>
              </w:rPr>
              <w:t xml:space="preserve">Розроблення містобудівної та наукової документації на території </w:t>
            </w:r>
          </w:p>
          <w:p w14:paraId="502C9B18" w14:textId="2F13E0A7" w:rsidR="00221011" w:rsidRPr="00C2587D" w:rsidRDefault="00221011" w:rsidP="00221011">
            <w:pPr>
              <w:rPr>
                <w:rFonts w:ascii="Times New Roman" w:hAnsi="Times New Roman"/>
                <w:color w:val="000000"/>
                <w:sz w:val="20"/>
                <w:szCs w:val="20"/>
              </w:rPr>
            </w:pPr>
            <w:r w:rsidRPr="00C2587D">
              <w:rPr>
                <w:rFonts w:ascii="Times New Roman" w:eastAsia="SimSun" w:hAnsi="Times New Roman"/>
                <w:color w:val="000000"/>
                <w:sz w:val="20"/>
                <w:szCs w:val="20"/>
                <w:lang w:eastAsia="zh-CN" w:bidi="ar"/>
              </w:rPr>
              <w:t>Жмеринської міської територіальної громади</w:t>
            </w:r>
          </w:p>
        </w:tc>
        <w:tc>
          <w:tcPr>
            <w:tcW w:w="737" w:type="dxa"/>
            <w:tcBorders>
              <w:top w:val="single" w:sz="4" w:space="0" w:color="auto"/>
              <w:left w:val="single" w:sz="4" w:space="0" w:color="auto"/>
              <w:bottom w:val="single" w:sz="4" w:space="0" w:color="auto"/>
              <w:right w:val="single" w:sz="4" w:space="0" w:color="auto"/>
            </w:tcBorders>
            <w:textDirection w:val="btLr"/>
            <w:vAlign w:val="center"/>
          </w:tcPr>
          <w:p w14:paraId="5A46C048" w14:textId="1465BC82" w:rsidR="00221011" w:rsidRPr="00C2587D" w:rsidRDefault="00424B61" w:rsidP="00221011">
            <w:pPr>
              <w:ind w:left="113" w:right="113"/>
              <w:jc w:val="center"/>
              <w:rPr>
                <w:rFonts w:ascii="Times New Roman" w:hAnsi="Times New Roman"/>
                <w:b/>
                <w:sz w:val="20"/>
                <w:szCs w:val="20"/>
              </w:rPr>
            </w:pPr>
            <w:r w:rsidRPr="00C2587D">
              <w:rPr>
                <w:rFonts w:ascii="Times New Roman" w:eastAsia="Arial" w:hAnsi="Times New Roman"/>
                <w:b/>
                <w:sz w:val="20"/>
                <w:szCs w:val="20"/>
                <w:lang w:eastAsia="en-US"/>
              </w:rPr>
              <w:t>24811,34</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674B7ED1" w14:textId="137266E4" w:rsidR="00221011" w:rsidRPr="00C2587D" w:rsidRDefault="00424B61" w:rsidP="00221011">
            <w:pPr>
              <w:ind w:left="113" w:right="113"/>
              <w:jc w:val="center"/>
              <w:rPr>
                <w:rFonts w:ascii="Times New Roman" w:hAnsi="Times New Roman"/>
                <w:sz w:val="20"/>
                <w:szCs w:val="20"/>
              </w:rPr>
            </w:pPr>
            <w:r w:rsidRPr="00C2587D">
              <w:rPr>
                <w:rFonts w:ascii="Times New Roman" w:hAnsi="Times New Roman"/>
                <w:sz w:val="20"/>
                <w:szCs w:val="20"/>
              </w:rPr>
              <w:t>1006,34</w:t>
            </w:r>
          </w:p>
        </w:tc>
        <w:tc>
          <w:tcPr>
            <w:tcW w:w="992" w:type="dxa"/>
            <w:tcBorders>
              <w:top w:val="single" w:sz="4" w:space="0" w:color="auto"/>
              <w:left w:val="single" w:sz="4" w:space="0" w:color="auto"/>
              <w:bottom w:val="single" w:sz="4" w:space="0" w:color="auto"/>
              <w:right w:val="single" w:sz="4" w:space="0" w:color="auto"/>
            </w:tcBorders>
            <w:textDirection w:val="btLr"/>
            <w:vAlign w:val="center"/>
          </w:tcPr>
          <w:p w14:paraId="564D1102" w14:textId="673BE547" w:rsidR="00221011" w:rsidRPr="00C2587D" w:rsidRDefault="00424B61" w:rsidP="00221011">
            <w:pPr>
              <w:ind w:left="113" w:right="113"/>
              <w:jc w:val="center"/>
              <w:rPr>
                <w:rFonts w:ascii="Times New Roman" w:hAnsi="Times New Roman"/>
                <w:sz w:val="20"/>
                <w:szCs w:val="20"/>
              </w:rPr>
            </w:pPr>
            <w:r w:rsidRPr="00C2587D">
              <w:rPr>
                <w:rFonts w:ascii="Times New Roman" w:hAnsi="Times New Roman"/>
                <w:sz w:val="20"/>
                <w:szCs w:val="20"/>
              </w:rPr>
              <w:t>596,50</w:t>
            </w:r>
          </w:p>
        </w:tc>
        <w:tc>
          <w:tcPr>
            <w:tcW w:w="851" w:type="dxa"/>
            <w:tcBorders>
              <w:top w:val="single" w:sz="4" w:space="0" w:color="auto"/>
              <w:left w:val="single" w:sz="4" w:space="0" w:color="auto"/>
              <w:bottom w:val="single" w:sz="4" w:space="0" w:color="auto"/>
              <w:right w:val="single" w:sz="4" w:space="0" w:color="auto"/>
            </w:tcBorders>
            <w:textDirection w:val="btLr"/>
            <w:vAlign w:val="center"/>
          </w:tcPr>
          <w:p w14:paraId="659267F2" w14:textId="48FEF0D2" w:rsidR="00221011" w:rsidRPr="00C2587D" w:rsidRDefault="00424B61" w:rsidP="00221011">
            <w:pPr>
              <w:ind w:left="113" w:right="113"/>
              <w:jc w:val="center"/>
              <w:rPr>
                <w:rFonts w:ascii="Times New Roman" w:hAnsi="Times New Roman"/>
                <w:sz w:val="20"/>
                <w:szCs w:val="20"/>
              </w:rPr>
            </w:pPr>
            <w:r w:rsidRPr="00C2587D">
              <w:rPr>
                <w:rFonts w:ascii="Times New Roman" w:hAnsi="Times New Roman"/>
                <w:sz w:val="20"/>
                <w:szCs w:val="20"/>
              </w:rPr>
              <w:t>190,12</w:t>
            </w:r>
          </w:p>
        </w:tc>
        <w:tc>
          <w:tcPr>
            <w:tcW w:w="850" w:type="dxa"/>
            <w:tcBorders>
              <w:top w:val="single" w:sz="4" w:space="0" w:color="auto"/>
              <w:left w:val="single" w:sz="4" w:space="0" w:color="auto"/>
              <w:bottom w:val="single" w:sz="4" w:space="0" w:color="auto"/>
              <w:right w:val="single" w:sz="4" w:space="0" w:color="auto"/>
            </w:tcBorders>
            <w:textDirection w:val="btLr"/>
            <w:vAlign w:val="center"/>
          </w:tcPr>
          <w:p w14:paraId="3CAA902C" w14:textId="776994DB" w:rsidR="00221011" w:rsidRPr="00C2587D" w:rsidRDefault="00424B61" w:rsidP="00221011">
            <w:pPr>
              <w:ind w:left="113" w:right="113"/>
              <w:jc w:val="center"/>
              <w:rPr>
                <w:rFonts w:ascii="Times New Roman" w:hAnsi="Times New Roman"/>
                <w:sz w:val="20"/>
                <w:szCs w:val="20"/>
              </w:rPr>
            </w:pPr>
            <w:r w:rsidRPr="00C2587D">
              <w:rPr>
                <w:rFonts w:ascii="Times New Roman" w:hAnsi="Times New Roman"/>
                <w:sz w:val="20"/>
                <w:szCs w:val="20"/>
              </w:rPr>
              <w:t>219,72</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7669B8FB" w14:textId="77777777" w:rsidR="00221011" w:rsidRPr="00C2587D" w:rsidRDefault="00221011" w:rsidP="00221011">
            <w:pPr>
              <w:ind w:left="113" w:right="113"/>
              <w:jc w:val="center"/>
              <w:rPr>
                <w:rFonts w:ascii="Times New Roman"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50EA5C95" w14:textId="61D334E6"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23805,0</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49EEB371" w14:textId="77777777" w:rsidR="00221011" w:rsidRPr="00C2587D" w:rsidRDefault="00221011" w:rsidP="00221011">
            <w:pPr>
              <w:ind w:left="113" w:right="113"/>
              <w:jc w:val="center"/>
              <w:rPr>
                <w:rFonts w:ascii="Times New Roman" w:hAnsi="Times New Roman"/>
                <w:sz w:val="20"/>
                <w:szCs w:val="20"/>
              </w:rPr>
            </w:pPr>
          </w:p>
        </w:tc>
        <w:tc>
          <w:tcPr>
            <w:tcW w:w="708" w:type="dxa"/>
            <w:tcBorders>
              <w:top w:val="single" w:sz="4" w:space="0" w:color="auto"/>
              <w:left w:val="single" w:sz="4" w:space="0" w:color="auto"/>
              <w:bottom w:val="single" w:sz="4" w:space="0" w:color="auto"/>
              <w:right w:val="single" w:sz="4" w:space="0" w:color="auto"/>
            </w:tcBorders>
            <w:textDirection w:val="btLr"/>
            <w:vAlign w:val="center"/>
          </w:tcPr>
          <w:p w14:paraId="6566E4CB" w14:textId="7EA14966" w:rsidR="00221011" w:rsidRPr="00C2587D" w:rsidRDefault="0022101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23805,0</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37642B6B" w14:textId="77777777" w:rsidR="00221011" w:rsidRPr="00C2587D" w:rsidRDefault="00221011" w:rsidP="00221011">
            <w:pPr>
              <w:ind w:left="113" w:right="113"/>
              <w:jc w:val="center"/>
              <w:rPr>
                <w:rFonts w:ascii="Times New Roman"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18E28263" w14:textId="77777777" w:rsidR="00221011" w:rsidRPr="00C2587D" w:rsidRDefault="00221011" w:rsidP="00221011">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44B0D3A0" w14:textId="768524E3" w:rsidR="00221011" w:rsidRPr="00C2587D" w:rsidRDefault="00221011" w:rsidP="00221011">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14:paraId="4EB37BCA" w14:textId="1E9FE0F0" w:rsidR="00221011" w:rsidRPr="00C2587D" w:rsidRDefault="00221011" w:rsidP="00221011">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14:paraId="56A0C5FB" w14:textId="69207E73" w:rsidR="00221011" w:rsidRPr="00C2587D" w:rsidRDefault="00221011" w:rsidP="00221011">
            <w:pPr>
              <w:ind w:left="113" w:right="113"/>
              <w:jc w:val="center"/>
              <w:rPr>
                <w:rFonts w:ascii="Times New Roman" w:hAnsi="Times New Roman"/>
                <w:sz w:val="20"/>
                <w:szCs w:val="20"/>
              </w:rPr>
            </w:pPr>
          </w:p>
        </w:tc>
        <w:tc>
          <w:tcPr>
            <w:tcW w:w="624" w:type="dxa"/>
            <w:tcBorders>
              <w:top w:val="single" w:sz="4" w:space="0" w:color="auto"/>
              <w:left w:val="single" w:sz="4" w:space="0" w:color="auto"/>
              <w:bottom w:val="single" w:sz="4" w:space="0" w:color="auto"/>
              <w:right w:val="single" w:sz="4" w:space="0" w:color="auto"/>
            </w:tcBorders>
            <w:textDirection w:val="btLr"/>
            <w:vAlign w:val="center"/>
          </w:tcPr>
          <w:p w14:paraId="70D8009A" w14:textId="28809D55" w:rsidR="00221011" w:rsidRPr="00C2587D" w:rsidRDefault="00221011" w:rsidP="00221011">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14:paraId="299C0CA8" w14:textId="77777777" w:rsidR="00221011" w:rsidRPr="00C2587D" w:rsidRDefault="00221011" w:rsidP="00221011">
            <w:pPr>
              <w:ind w:left="113" w:right="113"/>
              <w:jc w:val="center"/>
              <w:rPr>
                <w:rFonts w:ascii="Times New Roman" w:hAnsi="Times New Roman"/>
                <w:sz w:val="20"/>
                <w:szCs w:val="20"/>
              </w:rPr>
            </w:pPr>
          </w:p>
        </w:tc>
        <w:tc>
          <w:tcPr>
            <w:tcW w:w="1049" w:type="dxa"/>
            <w:tcBorders>
              <w:top w:val="single" w:sz="4" w:space="0" w:color="auto"/>
              <w:left w:val="single" w:sz="4" w:space="0" w:color="auto"/>
              <w:bottom w:val="single" w:sz="4" w:space="0" w:color="auto"/>
              <w:right w:val="single" w:sz="4" w:space="0" w:color="auto"/>
            </w:tcBorders>
            <w:noWrap/>
            <w:textDirection w:val="btLr"/>
            <w:vAlign w:val="center"/>
          </w:tcPr>
          <w:p w14:paraId="629E547B" w14:textId="28443416" w:rsidR="00221011" w:rsidRPr="00C2587D" w:rsidRDefault="00424B61" w:rsidP="00221011">
            <w:pPr>
              <w:ind w:left="113" w:right="113"/>
              <w:jc w:val="center"/>
              <w:rPr>
                <w:rFonts w:ascii="Times New Roman" w:hAnsi="Times New Roman"/>
                <w:b/>
                <w:sz w:val="20"/>
                <w:szCs w:val="20"/>
              </w:rPr>
            </w:pPr>
            <w:r w:rsidRPr="00C2587D">
              <w:rPr>
                <w:rFonts w:ascii="Times New Roman" w:eastAsia="Arial" w:hAnsi="Times New Roman"/>
                <w:b/>
                <w:sz w:val="20"/>
                <w:szCs w:val="20"/>
                <w:lang w:eastAsia="en-US"/>
              </w:rPr>
              <w:t>24811,34</w:t>
            </w:r>
          </w:p>
        </w:tc>
      </w:tr>
      <w:tr w:rsidR="00221011" w:rsidRPr="00C2587D" w14:paraId="44E0418C" w14:textId="77777777" w:rsidTr="00A041B2">
        <w:trPr>
          <w:cantSplit/>
          <w:trHeight w:val="1134"/>
        </w:trPr>
        <w:tc>
          <w:tcPr>
            <w:tcW w:w="433" w:type="dxa"/>
            <w:tcBorders>
              <w:top w:val="single" w:sz="4" w:space="0" w:color="auto"/>
              <w:left w:val="single" w:sz="4" w:space="0" w:color="auto"/>
              <w:bottom w:val="single" w:sz="4" w:space="0" w:color="auto"/>
              <w:right w:val="single" w:sz="4" w:space="0" w:color="auto"/>
            </w:tcBorders>
          </w:tcPr>
          <w:p w14:paraId="49543A64" w14:textId="3E1FD2FB" w:rsidR="00221011" w:rsidRPr="00C2587D" w:rsidRDefault="00221011" w:rsidP="00221011">
            <w:pPr>
              <w:rPr>
                <w:rFonts w:ascii="Times New Roman" w:hAnsi="Times New Roman"/>
                <w:sz w:val="20"/>
                <w:szCs w:val="20"/>
              </w:rPr>
            </w:pPr>
            <w:r w:rsidRPr="00C2587D">
              <w:rPr>
                <w:rFonts w:ascii="Times New Roman" w:eastAsia="Arial" w:hAnsi="Times New Roman"/>
                <w:sz w:val="20"/>
                <w:szCs w:val="20"/>
                <w:lang w:eastAsia="en-US"/>
              </w:rPr>
              <w:t>1</w:t>
            </w:r>
            <w:r w:rsidR="00B73D4F" w:rsidRPr="00C2587D">
              <w:rPr>
                <w:rFonts w:ascii="Times New Roman" w:eastAsia="Arial" w:hAnsi="Times New Roman"/>
                <w:sz w:val="20"/>
                <w:szCs w:val="20"/>
                <w:lang w:eastAsia="en-US"/>
              </w:rPr>
              <w:t>3</w:t>
            </w:r>
          </w:p>
        </w:tc>
        <w:tc>
          <w:tcPr>
            <w:tcW w:w="2268" w:type="dxa"/>
            <w:tcBorders>
              <w:top w:val="single" w:sz="4" w:space="0" w:color="auto"/>
              <w:left w:val="single" w:sz="4" w:space="0" w:color="auto"/>
              <w:bottom w:val="single" w:sz="4" w:space="0" w:color="auto"/>
              <w:right w:val="single" w:sz="4" w:space="0" w:color="auto"/>
            </w:tcBorders>
          </w:tcPr>
          <w:p w14:paraId="3F50E612" w14:textId="3F5F8394" w:rsidR="00221011" w:rsidRPr="00C2587D" w:rsidRDefault="00221011" w:rsidP="00221011">
            <w:pPr>
              <w:rPr>
                <w:rFonts w:ascii="Times New Roman" w:hAnsi="Times New Roman"/>
                <w:color w:val="000000"/>
                <w:sz w:val="20"/>
                <w:szCs w:val="20"/>
              </w:rPr>
            </w:pPr>
            <w:r w:rsidRPr="00C2587D">
              <w:rPr>
                <w:rFonts w:ascii="Times New Roman" w:eastAsia="SimSun" w:hAnsi="Times New Roman"/>
                <w:color w:val="000000"/>
                <w:sz w:val="20"/>
                <w:szCs w:val="20"/>
                <w:lang w:eastAsia="zh-CN" w:bidi="ar"/>
              </w:rPr>
              <w:t>Розвиток містобудівного кадастру на території Жмеринської міської територіальної громади</w:t>
            </w:r>
          </w:p>
        </w:tc>
        <w:tc>
          <w:tcPr>
            <w:tcW w:w="737" w:type="dxa"/>
            <w:tcBorders>
              <w:top w:val="single" w:sz="4" w:space="0" w:color="auto"/>
              <w:left w:val="single" w:sz="4" w:space="0" w:color="auto"/>
              <w:bottom w:val="single" w:sz="4" w:space="0" w:color="auto"/>
              <w:right w:val="single" w:sz="4" w:space="0" w:color="auto"/>
            </w:tcBorders>
            <w:textDirection w:val="btLr"/>
            <w:vAlign w:val="center"/>
          </w:tcPr>
          <w:p w14:paraId="1D970EEB" w14:textId="510865B5" w:rsidR="00221011" w:rsidRPr="00C2587D" w:rsidRDefault="00424B61" w:rsidP="00424B61">
            <w:pPr>
              <w:ind w:left="113" w:right="113"/>
              <w:jc w:val="center"/>
              <w:rPr>
                <w:rFonts w:ascii="Times New Roman" w:hAnsi="Times New Roman"/>
                <w:b/>
                <w:sz w:val="20"/>
                <w:szCs w:val="20"/>
              </w:rPr>
            </w:pPr>
            <w:r w:rsidRPr="00C2587D">
              <w:rPr>
                <w:rFonts w:ascii="Times New Roman" w:eastAsia="Arial" w:hAnsi="Times New Roman"/>
                <w:b/>
                <w:sz w:val="20"/>
                <w:szCs w:val="20"/>
                <w:lang w:eastAsia="en-US"/>
              </w:rPr>
              <w:t>20051,96</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472400B2" w14:textId="4CF0E830" w:rsidR="00221011" w:rsidRPr="00C2587D" w:rsidRDefault="00424B61" w:rsidP="00424B6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17251,96</w:t>
            </w:r>
          </w:p>
        </w:tc>
        <w:tc>
          <w:tcPr>
            <w:tcW w:w="992" w:type="dxa"/>
            <w:tcBorders>
              <w:top w:val="single" w:sz="4" w:space="0" w:color="auto"/>
              <w:left w:val="single" w:sz="4" w:space="0" w:color="auto"/>
              <w:bottom w:val="single" w:sz="4" w:space="0" w:color="auto"/>
              <w:right w:val="single" w:sz="4" w:space="0" w:color="auto"/>
            </w:tcBorders>
            <w:textDirection w:val="btLr"/>
            <w:vAlign w:val="center"/>
          </w:tcPr>
          <w:p w14:paraId="4B3B96C3" w14:textId="39EB11CC" w:rsidR="00221011" w:rsidRPr="00C2587D" w:rsidRDefault="00424B61" w:rsidP="00221011">
            <w:pPr>
              <w:ind w:left="113" w:right="113"/>
              <w:jc w:val="center"/>
              <w:rPr>
                <w:rFonts w:ascii="Times New Roman" w:hAnsi="Times New Roman"/>
                <w:sz w:val="20"/>
                <w:szCs w:val="20"/>
              </w:rPr>
            </w:pPr>
            <w:r w:rsidRPr="00C2587D">
              <w:rPr>
                <w:rFonts w:ascii="Times New Roman" w:hAnsi="Times New Roman"/>
                <w:sz w:val="20"/>
                <w:szCs w:val="20"/>
              </w:rPr>
              <w:t>14606,4</w:t>
            </w:r>
          </w:p>
        </w:tc>
        <w:tc>
          <w:tcPr>
            <w:tcW w:w="851" w:type="dxa"/>
            <w:tcBorders>
              <w:top w:val="single" w:sz="4" w:space="0" w:color="auto"/>
              <w:left w:val="single" w:sz="4" w:space="0" w:color="auto"/>
              <w:bottom w:val="single" w:sz="4" w:space="0" w:color="auto"/>
              <w:right w:val="single" w:sz="4" w:space="0" w:color="auto"/>
            </w:tcBorders>
            <w:textDirection w:val="btLr"/>
            <w:vAlign w:val="center"/>
          </w:tcPr>
          <w:p w14:paraId="48139879" w14:textId="72827244" w:rsidR="00221011" w:rsidRPr="00C2587D" w:rsidRDefault="00424B61" w:rsidP="00221011">
            <w:pPr>
              <w:ind w:left="113" w:right="113"/>
              <w:jc w:val="center"/>
              <w:rPr>
                <w:rFonts w:ascii="Times New Roman" w:hAnsi="Times New Roman"/>
                <w:sz w:val="20"/>
                <w:szCs w:val="20"/>
              </w:rPr>
            </w:pPr>
            <w:r w:rsidRPr="00C2587D">
              <w:rPr>
                <w:rFonts w:ascii="Times New Roman" w:eastAsia="Arial" w:hAnsi="Times New Roman"/>
                <w:sz w:val="20"/>
                <w:szCs w:val="20"/>
                <w:lang w:eastAsia="en-US"/>
              </w:rPr>
              <w:t>2645,56</w:t>
            </w:r>
          </w:p>
        </w:tc>
        <w:tc>
          <w:tcPr>
            <w:tcW w:w="850" w:type="dxa"/>
            <w:tcBorders>
              <w:top w:val="single" w:sz="4" w:space="0" w:color="auto"/>
              <w:left w:val="single" w:sz="4" w:space="0" w:color="auto"/>
              <w:bottom w:val="single" w:sz="4" w:space="0" w:color="auto"/>
              <w:right w:val="single" w:sz="4" w:space="0" w:color="auto"/>
            </w:tcBorders>
            <w:textDirection w:val="btLr"/>
            <w:vAlign w:val="center"/>
          </w:tcPr>
          <w:p w14:paraId="32CD276F" w14:textId="25002F0A" w:rsidR="00221011" w:rsidRPr="00C2587D" w:rsidRDefault="00221011" w:rsidP="00221011">
            <w:pPr>
              <w:ind w:left="113" w:right="113"/>
              <w:jc w:val="center"/>
              <w:rPr>
                <w:rFonts w:ascii="Times New Roman"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036EA020" w14:textId="77777777" w:rsidR="00221011" w:rsidRPr="00C2587D" w:rsidRDefault="00221011" w:rsidP="00221011">
            <w:pPr>
              <w:ind w:left="113" w:right="113"/>
              <w:jc w:val="center"/>
              <w:rPr>
                <w:rFonts w:ascii="Times New Roman"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46019416" w14:textId="77777777" w:rsidR="00221011" w:rsidRPr="00C2587D" w:rsidRDefault="00221011" w:rsidP="00221011">
            <w:pPr>
              <w:ind w:left="113" w:right="113"/>
              <w:jc w:val="center"/>
              <w:rPr>
                <w:rFonts w:ascii="Times New Roman"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459AED21" w14:textId="77777777" w:rsidR="00221011" w:rsidRPr="00C2587D" w:rsidRDefault="00221011" w:rsidP="00221011">
            <w:pPr>
              <w:ind w:left="113" w:right="113"/>
              <w:jc w:val="center"/>
              <w:rPr>
                <w:rFonts w:ascii="Times New Roman" w:hAnsi="Times New Roman"/>
                <w:sz w:val="20"/>
                <w:szCs w:val="20"/>
              </w:rPr>
            </w:pPr>
          </w:p>
        </w:tc>
        <w:tc>
          <w:tcPr>
            <w:tcW w:w="708" w:type="dxa"/>
            <w:tcBorders>
              <w:top w:val="single" w:sz="4" w:space="0" w:color="auto"/>
              <w:left w:val="single" w:sz="4" w:space="0" w:color="auto"/>
              <w:bottom w:val="single" w:sz="4" w:space="0" w:color="auto"/>
              <w:right w:val="single" w:sz="4" w:space="0" w:color="auto"/>
            </w:tcBorders>
            <w:textDirection w:val="btLr"/>
            <w:vAlign w:val="center"/>
          </w:tcPr>
          <w:p w14:paraId="6387DC5C" w14:textId="77777777" w:rsidR="00221011" w:rsidRPr="00C2587D" w:rsidRDefault="00221011" w:rsidP="00221011">
            <w:pPr>
              <w:ind w:left="113" w:right="113"/>
              <w:jc w:val="center"/>
              <w:rPr>
                <w:rFonts w:ascii="Times New Roman"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6E1D994C" w14:textId="77777777" w:rsidR="00221011" w:rsidRPr="00C2587D" w:rsidRDefault="00221011" w:rsidP="00221011">
            <w:pPr>
              <w:ind w:left="113" w:right="113"/>
              <w:jc w:val="center"/>
              <w:rPr>
                <w:rFonts w:ascii="Times New Roman"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008EFDB0" w14:textId="77777777" w:rsidR="00221011" w:rsidRPr="00C2587D" w:rsidRDefault="00221011" w:rsidP="00221011">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08A6ECD5" w14:textId="6EDFFF16" w:rsidR="00221011" w:rsidRPr="00C2587D" w:rsidRDefault="00424B61" w:rsidP="00221011">
            <w:pPr>
              <w:ind w:left="113" w:right="113"/>
              <w:jc w:val="center"/>
              <w:rPr>
                <w:rFonts w:ascii="Times New Roman" w:hAnsi="Times New Roman"/>
                <w:sz w:val="20"/>
                <w:szCs w:val="20"/>
              </w:rPr>
            </w:pPr>
            <w:r w:rsidRPr="00C2587D">
              <w:rPr>
                <w:rFonts w:ascii="Times New Roman" w:hAnsi="Times New Roman"/>
                <w:sz w:val="20"/>
                <w:szCs w:val="20"/>
              </w:rPr>
              <w:t>2800,0</w:t>
            </w: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14:paraId="06D85B16" w14:textId="13195F96" w:rsidR="00221011" w:rsidRPr="00C2587D" w:rsidRDefault="00424B61" w:rsidP="00221011">
            <w:pPr>
              <w:ind w:left="113" w:right="113"/>
              <w:jc w:val="center"/>
              <w:rPr>
                <w:rFonts w:ascii="Times New Roman" w:hAnsi="Times New Roman"/>
                <w:sz w:val="20"/>
                <w:szCs w:val="20"/>
              </w:rPr>
            </w:pPr>
            <w:r w:rsidRPr="00C2587D">
              <w:rPr>
                <w:rFonts w:ascii="Times New Roman" w:hAnsi="Times New Roman"/>
                <w:sz w:val="20"/>
                <w:szCs w:val="20"/>
              </w:rPr>
              <w:t>700,0</w:t>
            </w: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14:paraId="352B0058" w14:textId="4F74C5DF" w:rsidR="00221011" w:rsidRPr="00C2587D" w:rsidRDefault="00424B61" w:rsidP="00221011">
            <w:pPr>
              <w:ind w:left="113" w:right="113"/>
              <w:jc w:val="center"/>
              <w:rPr>
                <w:rFonts w:ascii="Times New Roman" w:hAnsi="Times New Roman"/>
                <w:sz w:val="20"/>
                <w:szCs w:val="20"/>
              </w:rPr>
            </w:pPr>
            <w:r w:rsidRPr="00C2587D">
              <w:rPr>
                <w:rFonts w:ascii="Times New Roman" w:hAnsi="Times New Roman"/>
                <w:sz w:val="20"/>
                <w:szCs w:val="20"/>
              </w:rPr>
              <w:t>700,0</w:t>
            </w:r>
          </w:p>
        </w:tc>
        <w:tc>
          <w:tcPr>
            <w:tcW w:w="624" w:type="dxa"/>
            <w:tcBorders>
              <w:top w:val="single" w:sz="4" w:space="0" w:color="auto"/>
              <w:left w:val="single" w:sz="4" w:space="0" w:color="auto"/>
              <w:bottom w:val="single" w:sz="4" w:space="0" w:color="auto"/>
              <w:right w:val="single" w:sz="4" w:space="0" w:color="auto"/>
            </w:tcBorders>
            <w:textDirection w:val="btLr"/>
            <w:vAlign w:val="center"/>
          </w:tcPr>
          <w:p w14:paraId="4DB90BA5" w14:textId="4DD7E7AF" w:rsidR="00221011" w:rsidRPr="00C2587D" w:rsidRDefault="00424B61" w:rsidP="00221011">
            <w:pPr>
              <w:ind w:left="113" w:right="113"/>
              <w:jc w:val="center"/>
              <w:rPr>
                <w:rFonts w:ascii="Times New Roman" w:hAnsi="Times New Roman"/>
                <w:sz w:val="20"/>
                <w:szCs w:val="20"/>
              </w:rPr>
            </w:pPr>
            <w:r w:rsidRPr="00C2587D">
              <w:rPr>
                <w:rFonts w:ascii="Times New Roman" w:hAnsi="Times New Roman"/>
                <w:sz w:val="20"/>
                <w:szCs w:val="20"/>
              </w:rPr>
              <w:t>1400,0</w:t>
            </w: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14:paraId="4F0088B4" w14:textId="77777777" w:rsidR="00221011" w:rsidRPr="00C2587D" w:rsidRDefault="00221011" w:rsidP="00221011">
            <w:pPr>
              <w:ind w:left="113" w:right="113"/>
              <w:jc w:val="center"/>
              <w:rPr>
                <w:rFonts w:ascii="Times New Roman" w:hAnsi="Times New Roman"/>
                <w:sz w:val="20"/>
                <w:szCs w:val="20"/>
              </w:rPr>
            </w:pPr>
          </w:p>
        </w:tc>
        <w:tc>
          <w:tcPr>
            <w:tcW w:w="1049" w:type="dxa"/>
            <w:tcBorders>
              <w:top w:val="single" w:sz="4" w:space="0" w:color="auto"/>
              <w:left w:val="single" w:sz="4" w:space="0" w:color="auto"/>
              <w:bottom w:val="single" w:sz="4" w:space="0" w:color="auto"/>
              <w:right w:val="single" w:sz="4" w:space="0" w:color="auto"/>
            </w:tcBorders>
            <w:noWrap/>
            <w:textDirection w:val="btLr"/>
            <w:vAlign w:val="center"/>
          </w:tcPr>
          <w:p w14:paraId="628935C2" w14:textId="4A32BCA6" w:rsidR="00221011" w:rsidRPr="00C2587D" w:rsidRDefault="00424B61" w:rsidP="00221011">
            <w:pPr>
              <w:ind w:left="113" w:right="113"/>
              <w:jc w:val="center"/>
              <w:rPr>
                <w:rFonts w:ascii="Times New Roman" w:hAnsi="Times New Roman"/>
                <w:b/>
                <w:sz w:val="20"/>
                <w:szCs w:val="20"/>
              </w:rPr>
            </w:pPr>
            <w:r w:rsidRPr="00C2587D">
              <w:rPr>
                <w:rFonts w:ascii="Times New Roman" w:hAnsi="Times New Roman"/>
                <w:b/>
                <w:sz w:val="20"/>
                <w:szCs w:val="20"/>
              </w:rPr>
              <w:t>20051,96</w:t>
            </w:r>
          </w:p>
        </w:tc>
      </w:tr>
      <w:tr w:rsidR="00F744E2" w:rsidRPr="00C2587D" w14:paraId="58DAB0AE" w14:textId="77777777" w:rsidTr="00A041B2">
        <w:trPr>
          <w:cantSplit/>
          <w:trHeight w:val="1134"/>
        </w:trPr>
        <w:tc>
          <w:tcPr>
            <w:tcW w:w="433" w:type="dxa"/>
            <w:tcBorders>
              <w:top w:val="single" w:sz="4" w:space="0" w:color="auto"/>
              <w:left w:val="single" w:sz="4" w:space="0" w:color="auto"/>
              <w:bottom w:val="single" w:sz="4" w:space="0" w:color="auto"/>
              <w:right w:val="single" w:sz="4" w:space="0" w:color="auto"/>
            </w:tcBorders>
          </w:tcPr>
          <w:p w14:paraId="66763E17" w14:textId="65EDCB83" w:rsidR="00F744E2" w:rsidRPr="00C2587D" w:rsidRDefault="00B73D4F" w:rsidP="00221011">
            <w:pPr>
              <w:rPr>
                <w:rFonts w:ascii="Times New Roman" w:eastAsia="Arial" w:hAnsi="Times New Roman"/>
                <w:sz w:val="20"/>
                <w:szCs w:val="20"/>
                <w:lang w:eastAsia="en-US"/>
              </w:rPr>
            </w:pPr>
            <w:r w:rsidRPr="00C2587D">
              <w:rPr>
                <w:rFonts w:ascii="Times New Roman" w:eastAsia="Arial" w:hAnsi="Times New Roman"/>
                <w:sz w:val="20"/>
                <w:szCs w:val="20"/>
                <w:lang w:eastAsia="en-US"/>
              </w:rPr>
              <w:t>14</w:t>
            </w:r>
          </w:p>
        </w:tc>
        <w:tc>
          <w:tcPr>
            <w:tcW w:w="2268" w:type="dxa"/>
            <w:tcBorders>
              <w:top w:val="single" w:sz="4" w:space="0" w:color="auto"/>
              <w:left w:val="single" w:sz="4" w:space="0" w:color="auto"/>
              <w:bottom w:val="single" w:sz="4" w:space="0" w:color="auto"/>
              <w:right w:val="single" w:sz="4" w:space="0" w:color="auto"/>
            </w:tcBorders>
          </w:tcPr>
          <w:p w14:paraId="6138D8A3" w14:textId="5CEBF506" w:rsidR="00F744E2" w:rsidRPr="00C2587D" w:rsidRDefault="00F744E2" w:rsidP="00221011">
            <w:pPr>
              <w:rPr>
                <w:rFonts w:ascii="Times New Roman" w:eastAsia="SimSun" w:hAnsi="Times New Roman"/>
                <w:color w:val="000000"/>
                <w:sz w:val="20"/>
                <w:szCs w:val="20"/>
                <w:lang w:eastAsia="zh-CN" w:bidi="ar"/>
              </w:rPr>
            </w:pPr>
            <w:r w:rsidRPr="00C2587D">
              <w:rPr>
                <w:rFonts w:ascii="Times New Roman" w:eastAsia="SimSun" w:hAnsi="Times New Roman"/>
                <w:color w:val="000000"/>
                <w:sz w:val="20"/>
                <w:szCs w:val="20"/>
                <w:lang w:eastAsia="zh-CN" w:bidi="ar"/>
              </w:rPr>
              <w:t>Розробка та затвердження маркетингової стратегії Жмеринської міської територіальної громади</w:t>
            </w:r>
          </w:p>
        </w:tc>
        <w:tc>
          <w:tcPr>
            <w:tcW w:w="737" w:type="dxa"/>
            <w:tcBorders>
              <w:top w:val="single" w:sz="4" w:space="0" w:color="auto"/>
              <w:left w:val="single" w:sz="4" w:space="0" w:color="auto"/>
              <w:bottom w:val="single" w:sz="4" w:space="0" w:color="auto"/>
              <w:right w:val="single" w:sz="4" w:space="0" w:color="auto"/>
            </w:tcBorders>
            <w:textDirection w:val="btLr"/>
            <w:vAlign w:val="center"/>
          </w:tcPr>
          <w:p w14:paraId="5CDBCEB6" w14:textId="7CC3D099" w:rsidR="00F744E2" w:rsidRPr="00C2587D" w:rsidRDefault="00F744E2" w:rsidP="00424B61">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600,0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779612BA" w14:textId="6E8844C9" w:rsidR="00F744E2" w:rsidRPr="00C2587D" w:rsidRDefault="00F744E2" w:rsidP="00424B61">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600,0</w:t>
            </w:r>
          </w:p>
        </w:tc>
        <w:tc>
          <w:tcPr>
            <w:tcW w:w="992" w:type="dxa"/>
            <w:tcBorders>
              <w:top w:val="single" w:sz="4" w:space="0" w:color="auto"/>
              <w:left w:val="single" w:sz="4" w:space="0" w:color="auto"/>
              <w:bottom w:val="single" w:sz="4" w:space="0" w:color="auto"/>
              <w:right w:val="single" w:sz="4" w:space="0" w:color="auto"/>
            </w:tcBorders>
            <w:textDirection w:val="btLr"/>
            <w:vAlign w:val="center"/>
          </w:tcPr>
          <w:p w14:paraId="53595804" w14:textId="77777777" w:rsidR="00F744E2" w:rsidRPr="00C2587D" w:rsidRDefault="00F744E2" w:rsidP="00221011">
            <w:pPr>
              <w:ind w:left="113" w:right="113"/>
              <w:jc w:val="center"/>
              <w:rPr>
                <w:rFonts w:ascii="Times New Roman" w:hAnsi="Times New Roman"/>
                <w:sz w:val="20"/>
                <w:szCs w:val="20"/>
              </w:rPr>
            </w:pPr>
          </w:p>
        </w:tc>
        <w:tc>
          <w:tcPr>
            <w:tcW w:w="851" w:type="dxa"/>
            <w:tcBorders>
              <w:top w:val="single" w:sz="4" w:space="0" w:color="auto"/>
              <w:left w:val="single" w:sz="4" w:space="0" w:color="auto"/>
              <w:bottom w:val="single" w:sz="4" w:space="0" w:color="auto"/>
              <w:right w:val="single" w:sz="4" w:space="0" w:color="auto"/>
            </w:tcBorders>
            <w:textDirection w:val="btLr"/>
            <w:vAlign w:val="center"/>
          </w:tcPr>
          <w:p w14:paraId="25926167" w14:textId="6323C6A3" w:rsidR="00F744E2" w:rsidRPr="00C2587D" w:rsidRDefault="00F744E2" w:rsidP="00221011">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600,0</w:t>
            </w:r>
          </w:p>
        </w:tc>
        <w:tc>
          <w:tcPr>
            <w:tcW w:w="850" w:type="dxa"/>
            <w:tcBorders>
              <w:top w:val="single" w:sz="4" w:space="0" w:color="auto"/>
              <w:left w:val="single" w:sz="4" w:space="0" w:color="auto"/>
              <w:bottom w:val="single" w:sz="4" w:space="0" w:color="auto"/>
              <w:right w:val="single" w:sz="4" w:space="0" w:color="auto"/>
            </w:tcBorders>
            <w:textDirection w:val="btLr"/>
            <w:vAlign w:val="center"/>
          </w:tcPr>
          <w:p w14:paraId="7BAF7EFC" w14:textId="77777777" w:rsidR="00F744E2" w:rsidRPr="00C2587D" w:rsidRDefault="00F744E2" w:rsidP="00221011">
            <w:pPr>
              <w:ind w:left="113" w:right="113"/>
              <w:jc w:val="center"/>
              <w:rPr>
                <w:rFonts w:ascii="Times New Roman"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16A79032" w14:textId="77777777" w:rsidR="00F744E2" w:rsidRPr="00C2587D" w:rsidRDefault="00F744E2" w:rsidP="00221011">
            <w:pPr>
              <w:ind w:left="113" w:right="113"/>
              <w:jc w:val="center"/>
              <w:rPr>
                <w:rFonts w:ascii="Times New Roman"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35539160" w14:textId="77777777" w:rsidR="00F744E2" w:rsidRPr="00C2587D" w:rsidRDefault="00F744E2" w:rsidP="00221011">
            <w:pPr>
              <w:ind w:left="113" w:right="113"/>
              <w:jc w:val="center"/>
              <w:rPr>
                <w:rFonts w:ascii="Times New Roman"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61FCE717" w14:textId="77777777" w:rsidR="00F744E2" w:rsidRPr="00C2587D" w:rsidRDefault="00F744E2" w:rsidP="00221011">
            <w:pPr>
              <w:ind w:left="113" w:right="113"/>
              <w:jc w:val="center"/>
              <w:rPr>
                <w:rFonts w:ascii="Times New Roman" w:hAnsi="Times New Roman"/>
                <w:sz w:val="20"/>
                <w:szCs w:val="20"/>
              </w:rPr>
            </w:pPr>
          </w:p>
        </w:tc>
        <w:tc>
          <w:tcPr>
            <w:tcW w:w="708" w:type="dxa"/>
            <w:tcBorders>
              <w:top w:val="single" w:sz="4" w:space="0" w:color="auto"/>
              <w:left w:val="single" w:sz="4" w:space="0" w:color="auto"/>
              <w:bottom w:val="single" w:sz="4" w:space="0" w:color="auto"/>
              <w:right w:val="single" w:sz="4" w:space="0" w:color="auto"/>
            </w:tcBorders>
            <w:textDirection w:val="btLr"/>
            <w:vAlign w:val="center"/>
          </w:tcPr>
          <w:p w14:paraId="3E3A47AE" w14:textId="77777777" w:rsidR="00F744E2" w:rsidRPr="00C2587D" w:rsidRDefault="00F744E2" w:rsidP="00221011">
            <w:pPr>
              <w:ind w:left="113" w:right="113"/>
              <w:jc w:val="center"/>
              <w:rPr>
                <w:rFonts w:ascii="Times New Roman"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5CDCAE62" w14:textId="77777777" w:rsidR="00F744E2" w:rsidRPr="00C2587D" w:rsidRDefault="00F744E2" w:rsidP="00221011">
            <w:pPr>
              <w:ind w:left="113" w:right="113"/>
              <w:jc w:val="center"/>
              <w:rPr>
                <w:rFonts w:ascii="Times New Roman"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191ACD15" w14:textId="77777777" w:rsidR="00F744E2" w:rsidRPr="00C2587D" w:rsidRDefault="00F744E2" w:rsidP="00221011">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343A4C30" w14:textId="77777777" w:rsidR="00F744E2" w:rsidRPr="00C2587D" w:rsidRDefault="00F744E2" w:rsidP="00221011">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14:paraId="3B8991B3" w14:textId="77777777" w:rsidR="00F744E2" w:rsidRPr="00C2587D" w:rsidRDefault="00F744E2" w:rsidP="00221011">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14:paraId="27A745B6" w14:textId="77777777" w:rsidR="00F744E2" w:rsidRPr="00C2587D" w:rsidRDefault="00F744E2" w:rsidP="00221011">
            <w:pPr>
              <w:ind w:left="113" w:right="113"/>
              <w:jc w:val="center"/>
              <w:rPr>
                <w:rFonts w:ascii="Times New Roman" w:hAnsi="Times New Roman"/>
                <w:sz w:val="20"/>
                <w:szCs w:val="20"/>
              </w:rPr>
            </w:pPr>
          </w:p>
        </w:tc>
        <w:tc>
          <w:tcPr>
            <w:tcW w:w="624" w:type="dxa"/>
            <w:tcBorders>
              <w:top w:val="single" w:sz="4" w:space="0" w:color="auto"/>
              <w:left w:val="single" w:sz="4" w:space="0" w:color="auto"/>
              <w:bottom w:val="single" w:sz="4" w:space="0" w:color="auto"/>
              <w:right w:val="single" w:sz="4" w:space="0" w:color="auto"/>
            </w:tcBorders>
            <w:textDirection w:val="btLr"/>
            <w:vAlign w:val="center"/>
          </w:tcPr>
          <w:p w14:paraId="572A2E1C" w14:textId="77777777" w:rsidR="00F744E2" w:rsidRPr="00C2587D" w:rsidRDefault="00F744E2" w:rsidP="00221011">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14:paraId="0837BD98" w14:textId="77777777" w:rsidR="00F744E2" w:rsidRPr="00C2587D" w:rsidRDefault="00F744E2" w:rsidP="00221011">
            <w:pPr>
              <w:ind w:left="113" w:right="113"/>
              <w:jc w:val="center"/>
              <w:rPr>
                <w:rFonts w:ascii="Times New Roman" w:hAnsi="Times New Roman"/>
                <w:sz w:val="20"/>
                <w:szCs w:val="20"/>
              </w:rPr>
            </w:pPr>
          </w:p>
        </w:tc>
        <w:tc>
          <w:tcPr>
            <w:tcW w:w="1049" w:type="dxa"/>
            <w:tcBorders>
              <w:top w:val="single" w:sz="4" w:space="0" w:color="auto"/>
              <w:left w:val="single" w:sz="4" w:space="0" w:color="auto"/>
              <w:bottom w:val="single" w:sz="4" w:space="0" w:color="auto"/>
              <w:right w:val="single" w:sz="4" w:space="0" w:color="auto"/>
            </w:tcBorders>
            <w:noWrap/>
            <w:textDirection w:val="btLr"/>
            <w:vAlign w:val="center"/>
          </w:tcPr>
          <w:p w14:paraId="5D712664" w14:textId="7F2667E7" w:rsidR="00F744E2" w:rsidRPr="00C2587D" w:rsidRDefault="00F744E2" w:rsidP="00221011">
            <w:pPr>
              <w:ind w:left="113" w:right="113"/>
              <w:jc w:val="center"/>
              <w:rPr>
                <w:rFonts w:ascii="Times New Roman" w:hAnsi="Times New Roman"/>
                <w:b/>
                <w:sz w:val="20"/>
                <w:szCs w:val="20"/>
              </w:rPr>
            </w:pPr>
            <w:r w:rsidRPr="00C2587D">
              <w:rPr>
                <w:rFonts w:ascii="Times New Roman" w:hAnsi="Times New Roman"/>
                <w:b/>
                <w:sz w:val="20"/>
                <w:szCs w:val="20"/>
              </w:rPr>
              <w:t>600,0</w:t>
            </w:r>
          </w:p>
        </w:tc>
      </w:tr>
      <w:tr w:rsidR="00F744E2" w:rsidRPr="00C2587D" w14:paraId="41314DB5" w14:textId="77777777" w:rsidTr="00A041B2">
        <w:trPr>
          <w:cantSplit/>
          <w:trHeight w:val="1134"/>
        </w:trPr>
        <w:tc>
          <w:tcPr>
            <w:tcW w:w="433" w:type="dxa"/>
            <w:tcBorders>
              <w:top w:val="single" w:sz="4" w:space="0" w:color="auto"/>
              <w:left w:val="single" w:sz="4" w:space="0" w:color="auto"/>
              <w:bottom w:val="single" w:sz="4" w:space="0" w:color="auto"/>
              <w:right w:val="single" w:sz="4" w:space="0" w:color="auto"/>
            </w:tcBorders>
          </w:tcPr>
          <w:p w14:paraId="6462ED4E" w14:textId="6EA542BE" w:rsidR="00F744E2" w:rsidRPr="00C2587D" w:rsidRDefault="00B73D4F" w:rsidP="00221011">
            <w:pPr>
              <w:rPr>
                <w:rFonts w:ascii="Times New Roman" w:eastAsia="Arial" w:hAnsi="Times New Roman"/>
                <w:sz w:val="20"/>
                <w:szCs w:val="20"/>
                <w:lang w:eastAsia="en-US"/>
              </w:rPr>
            </w:pPr>
            <w:r w:rsidRPr="00C2587D">
              <w:rPr>
                <w:rFonts w:ascii="Times New Roman" w:eastAsia="Arial" w:hAnsi="Times New Roman"/>
                <w:sz w:val="20"/>
                <w:szCs w:val="20"/>
                <w:lang w:eastAsia="en-US"/>
              </w:rPr>
              <w:t>15</w:t>
            </w:r>
          </w:p>
        </w:tc>
        <w:tc>
          <w:tcPr>
            <w:tcW w:w="2268" w:type="dxa"/>
            <w:tcBorders>
              <w:top w:val="single" w:sz="4" w:space="0" w:color="auto"/>
              <w:left w:val="single" w:sz="4" w:space="0" w:color="auto"/>
              <w:bottom w:val="single" w:sz="4" w:space="0" w:color="auto"/>
              <w:right w:val="single" w:sz="4" w:space="0" w:color="auto"/>
            </w:tcBorders>
          </w:tcPr>
          <w:p w14:paraId="4236BB27" w14:textId="68B7EE95" w:rsidR="00F744E2" w:rsidRPr="00C2587D" w:rsidRDefault="00F744E2" w:rsidP="00221011">
            <w:pPr>
              <w:rPr>
                <w:rFonts w:ascii="Times New Roman" w:eastAsia="SimSun" w:hAnsi="Times New Roman"/>
                <w:color w:val="000000"/>
                <w:sz w:val="20"/>
                <w:szCs w:val="20"/>
                <w:lang w:eastAsia="zh-CN" w:bidi="ar"/>
              </w:rPr>
            </w:pPr>
            <w:r w:rsidRPr="00C2587D">
              <w:rPr>
                <w:rFonts w:ascii="Times New Roman" w:eastAsia="SimSun" w:hAnsi="Times New Roman"/>
                <w:color w:val="000000"/>
                <w:sz w:val="20"/>
                <w:szCs w:val="20"/>
                <w:lang w:eastAsia="zh-CN" w:bidi="ar"/>
              </w:rPr>
              <w:t>Розробка і впровадження Програми поглиблення міжнародного та міжмуніципального співробітництва Жмеринської міської територіальної громади з громадами -партнерами</w:t>
            </w:r>
          </w:p>
        </w:tc>
        <w:tc>
          <w:tcPr>
            <w:tcW w:w="737" w:type="dxa"/>
            <w:tcBorders>
              <w:top w:val="single" w:sz="4" w:space="0" w:color="auto"/>
              <w:left w:val="single" w:sz="4" w:space="0" w:color="auto"/>
              <w:bottom w:val="single" w:sz="4" w:space="0" w:color="auto"/>
              <w:right w:val="single" w:sz="4" w:space="0" w:color="auto"/>
            </w:tcBorders>
            <w:textDirection w:val="btLr"/>
            <w:vAlign w:val="center"/>
          </w:tcPr>
          <w:p w14:paraId="48B69DA3" w14:textId="6E7E4FB1" w:rsidR="00F744E2" w:rsidRPr="00C2587D" w:rsidRDefault="00F744E2" w:rsidP="00424B61">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1800,0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20CA4138" w14:textId="1A69F8E6" w:rsidR="00F744E2" w:rsidRPr="00C2587D" w:rsidRDefault="00F744E2" w:rsidP="00424B61">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1800,0</w:t>
            </w:r>
          </w:p>
        </w:tc>
        <w:tc>
          <w:tcPr>
            <w:tcW w:w="992" w:type="dxa"/>
            <w:tcBorders>
              <w:top w:val="single" w:sz="4" w:space="0" w:color="auto"/>
              <w:left w:val="single" w:sz="4" w:space="0" w:color="auto"/>
              <w:bottom w:val="single" w:sz="4" w:space="0" w:color="auto"/>
              <w:right w:val="single" w:sz="4" w:space="0" w:color="auto"/>
            </w:tcBorders>
            <w:textDirection w:val="btLr"/>
            <w:vAlign w:val="center"/>
          </w:tcPr>
          <w:p w14:paraId="0A34D45E" w14:textId="7348B0B4" w:rsidR="00F744E2" w:rsidRPr="00C2587D" w:rsidRDefault="00F744E2" w:rsidP="00221011">
            <w:pPr>
              <w:ind w:left="113" w:right="113"/>
              <w:jc w:val="center"/>
              <w:rPr>
                <w:rFonts w:ascii="Times New Roman" w:hAnsi="Times New Roman"/>
                <w:sz w:val="20"/>
                <w:szCs w:val="20"/>
              </w:rPr>
            </w:pPr>
            <w:r w:rsidRPr="00C2587D">
              <w:rPr>
                <w:rFonts w:ascii="Times New Roman" w:hAnsi="Times New Roman"/>
                <w:sz w:val="20"/>
                <w:szCs w:val="20"/>
              </w:rPr>
              <w:t>300,0</w:t>
            </w:r>
          </w:p>
        </w:tc>
        <w:tc>
          <w:tcPr>
            <w:tcW w:w="851" w:type="dxa"/>
            <w:tcBorders>
              <w:top w:val="single" w:sz="4" w:space="0" w:color="auto"/>
              <w:left w:val="single" w:sz="4" w:space="0" w:color="auto"/>
              <w:bottom w:val="single" w:sz="4" w:space="0" w:color="auto"/>
              <w:right w:val="single" w:sz="4" w:space="0" w:color="auto"/>
            </w:tcBorders>
            <w:textDirection w:val="btLr"/>
            <w:vAlign w:val="center"/>
          </w:tcPr>
          <w:p w14:paraId="27C3D784" w14:textId="46AFDCC8" w:rsidR="00F744E2" w:rsidRPr="00C2587D" w:rsidRDefault="00F744E2" w:rsidP="00221011">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500,0</w:t>
            </w:r>
          </w:p>
        </w:tc>
        <w:tc>
          <w:tcPr>
            <w:tcW w:w="850" w:type="dxa"/>
            <w:tcBorders>
              <w:top w:val="single" w:sz="4" w:space="0" w:color="auto"/>
              <w:left w:val="single" w:sz="4" w:space="0" w:color="auto"/>
              <w:bottom w:val="single" w:sz="4" w:space="0" w:color="auto"/>
              <w:right w:val="single" w:sz="4" w:space="0" w:color="auto"/>
            </w:tcBorders>
            <w:textDirection w:val="btLr"/>
            <w:vAlign w:val="center"/>
          </w:tcPr>
          <w:p w14:paraId="1F2FB3BA" w14:textId="63B5B401" w:rsidR="00F744E2" w:rsidRPr="00C2587D" w:rsidRDefault="00F744E2" w:rsidP="00221011">
            <w:pPr>
              <w:ind w:left="113" w:right="113"/>
              <w:jc w:val="center"/>
              <w:rPr>
                <w:rFonts w:ascii="Times New Roman" w:hAnsi="Times New Roman"/>
                <w:sz w:val="20"/>
                <w:szCs w:val="20"/>
              </w:rPr>
            </w:pPr>
            <w:r w:rsidRPr="00C2587D">
              <w:rPr>
                <w:rFonts w:ascii="Times New Roman" w:hAnsi="Times New Roman"/>
                <w:sz w:val="20"/>
                <w:szCs w:val="20"/>
              </w:rPr>
              <w:t>500,0</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040EB912" w14:textId="4CC771EA" w:rsidR="00F744E2" w:rsidRPr="00C2587D" w:rsidRDefault="00F744E2" w:rsidP="00221011">
            <w:pPr>
              <w:ind w:left="113" w:right="113"/>
              <w:jc w:val="center"/>
              <w:rPr>
                <w:rFonts w:ascii="Times New Roman" w:hAnsi="Times New Roman"/>
                <w:sz w:val="20"/>
                <w:szCs w:val="20"/>
              </w:rPr>
            </w:pPr>
            <w:r w:rsidRPr="00C2587D">
              <w:rPr>
                <w:rFonts w:ascii="Times New Roman" w:hAnsi="Times New Roman"/>
                <w:sz w:val="20"/>
                <w:szCs w:val="20"/>
              </w:rPr>
              <w:t>500,0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43DE9A7E" w14:textId="77777777" w:rsidR="00F744E2" w:rsidRPr="00C2587D" w:rsidRDefault="00F744E2" w:rsidP="00221011">
            <w:pPr>
              <w:ind w:left="113" w:right="113"/>
              <w:jc w:val="center"/>
              <w:rPr>
                <w:rFonts w:ascii="Times New Roman"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4DD99B08" w14:textId="77777777" w:rsidR="00F744E2" w:rsidRPr="00C2587D" w:rsidRDefault="00F744E2" w:rsidP="00221011">
            <w:pPr>
              <w:ind w:left="113" w:right="113"/>
              <w:jc w:val="center"/>
              <w:rPr>
                <w:rFonts w:ascii="Times New Roman" w:hAnsi="Times New Roman"/>
                <w:sz w:val="20"/>
                <w:szCs w:val="20"/>
              </w:rPr>
            </w:pPr>
          </w:p>
        </w:tc>
        <w:tc>
          <w:tcPr>
            <w:tcW w:w="708" w:type="dxa"/>
            <w:tcBorders>
              <w:top w:val="single" w:sz="4" w:space="0" w:color="auto"/>
              <w:left w:val="single" w:sz="4" w:space="0" w:color="auto"/>
              <w:bottom w:val="single" w:sz="4" w:space="0" w:color="auto"/>
              <w:right w:val="single" w:sz="4" w:space="0" w:color="auto"/>
            </w:tcBorders>
            <w:textDirection w:val="btLr"/>
            <w:vAlign w:val="center"/>
          </w:tcPr>
          <w:p w14:paraId="301D51C8" w14:textId="77777777" w:rsidR="00F744E2" w:rsidRPr="00C2587D" w:rsidRDefault="00F744E2" w:rsidP="00221011">
            <w:pPr>
              <w:ind w:left="113" w:right="113"/>
              <w:jc w:val="center"/>
              <w:rPr>
                <w:rFonts w:ascii="Times New Roman"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6FD73142" w14:textId="77777777" w:rsidR="00F744E2" w:rsidRPr="00C2587D" w:rsidRDefault="00F744E2" w:rsidP="00221011">
            <w:pPr>
              <w:ind w:left="113" w:right="113"/>
              <w:jc w:val="center"/>
              <w:rPr>
                <w:rFonts w:ascii="Times New Roman"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2D899562" w14:textId="77777777" w:rsidR="00F744E2" w:rsidRPr="00C2587D" w:rsidRDefault="00F744E2" w:rsidP="00221011">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1234935E" w14:textId="77777777" w:rsidR="00F744E2" w:rsidRPr="00C2587D" w:rsidRDefault="00F744E2" w:rsidP="00221011">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14:paraId="06062A8F" w14:textId="77777777" w:rsidR="00F744E2" w:rsidRPr="00C2587D" w:rsidRDefault="00F744E2" w:rsidP="00221011">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14:paraId="359B6646" w14:textId="77777777" w:rsidR="00F744E2" w:rsidRPr="00C2587D" w:rsidRDefault="00F744E2" w:rsidP="00221011">
            <w:pPr>
              <w:ind w:left="113" w:right="113"/>
              <w:jc w:val="center"/>
              <w:rPr>
                <w:rFonts w:ascii="Times New Roman" w:hAnsi="Times New Roman"/>
                <w:sz w:val="20"/>
                <w:szCs w:val="20"/>
              </w:rPr>
            </w:pPr>
          </w:p>
        </w:tc>
        <w:tc>
          <w:tcPr>
            <w:tcW w:w="624" w:type="dxa"/>
            <w:tcBorders>
              <w:top w:val="single" w:sz="4" w:space="0" w:color="auto"/>
              <w:left w:val="single" w:sz="4" w:space="0" w:color="auto"/>
              <w:bottom w:val="single" w:sz="4" w:space="0" w:color="auto"/>
              <w:right w:val="single" w:sz="4" w:space="0" w:color="auto"/>
            </w:tcBorders>
            <w:textDirection w:val="btLr"/>
            <w:vAlign w:val="center"/>
          </w:tcPr>
          <w:p w14:paraId="25AF595B" w14:textId="77777777" w:rsidR="00F744E2" w:rsidRPr="00C2587D" w:rsidRDefault="00F744E2" w:rsidP="00221011">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14:paraId="5303CE4D" w14:textId="77777777" w:rsidR="00F744E2" w:rsidRPr="00C2587D" w:rsidRDefault="00F744E2" w:rsidP="00221011">
            <w:pPr>
              <w:ind w:left="113" w:right="113"/>
              <w:jc w:val="center"/>
              <w:rPr>
                <w:rFonts w:ascii="Times New Roman" w:hAnsi="Times New Roman"/>
                <w:sz w:val="20"/>
                <w:szCs w:val="20"/>
              </w:rPr>
            </w:pPr>
          </w:p>
        </w:tc>
        <w:tc>
          <w:tcPr>
            <w:tcW w:w="1049" w:type="dxa"/>
            <w:tcBorders>
              <w:top w:val="single" w:sz="4" w:space="0" w:color="auto"/>
              <w:left w:val="single" w:sz="4" w:space="0" w:color="auto"/>
              <w:bottom w:val="single" w:sz="4" w:space="0" w:color="auto"/>
              <w:right w:val="single" w:sz="4" w:space="0" w:color="auto"/>
            </w:tcBorders>
            <w:noWrap/>
            <w:textDirection w:val="btLr"/>
            <w:vAlign w:val="center"/>
          </w:tcPr>
          <w:p w14:paraId="540E3C6F" w14:textId="15D8B75B" w:rsidR="00F744E2" w:rsidRPr="00C2587D" w:rsidRDefault="00F744E2" w:rsidP="00221011">
            <w:pPr>
              <w:ind w:left="113" w:right="113"/>
              <w:jc w:val="center"/>
              <w:rPr>
                <w:rFonts w:ascii="Times New Roman" w:hAnsi="Times New Roman"/>
                <w:b/>
                <w:sz w:val="20"/>
                <w:szCs w:val="20"/>
              </w:rPr>
            </w:pPr>
            <w:r w:rsidRPr="00C2587D">
              <w:rPr>
                <w:rFonts w:ascii="Times New Roman" w:hAnsi="Times New Roman"/>
                <w:b/>
                <w:sz w:val="20"/>
                <w:szCs w:val="20"/>
              </w:rPr>
              <w:t>1800,0</w:t>
            </w:r>
          </w:p>
        </w:tc>
      </w:tr>
      <w:tr w:rsidR="00F744E2" w:rsidRPr="00C2587D" w14:paraId="4165066B" w14:textId="77777777" w:rsidTr="00A041B2">
        <w:trPr>
          <w:cantSplit/>
          <w:trHeight w:val="1134"/>
        </w:trPr>
        <w:tc>
          <w:tcPr>
            <w:tcW w:w="433" w:type="dxa"/>
            <w:tcBorders>
              <w:top w:val="single" w:sz="4" w:space="0" w:color="auto"/>
              <w:left w:val="single" w:sz="4" w:space="0" w:color="auto"/>
              <w:bottom w:val="single" w:sz="4" w:space="0" w:color="auto"/>
              <w:right w:val="single" w:sz="4" w:space="0" w:color="auto"/>
            </w:tcBorders>
          </w:tcPr>
          <w:p w14:paraId="60F0A258" w14:textId="54FE7147" w:rsidR="00F744E2" w:rsidRPr="00C2587D" w:rsidRDefault="00B73D4F" w:rsidP="00221011">
            <w:pPr>
              <w:rPr>
                <w:rFonts w:ascii="Times New Roman" w:eastAsia="Arial" w:hAnsi="Times New Roman"/>
                <w:sz w:val="20"/>
                <w:szCs w:val="20"/>
                <w:lang w:eastAsia="en-US"/>
              </w:rPr>
            </w:pPr>
            <w:r w:rsidRPr="00C2587D">
              <w:rPr>
                <w:rFonts w:ascii="Times New Roman" w:eastAsia="Arial" w:hAnsi="Times New Roman"/>
                <w:sz w:val="20"/>
                <w:szCs w:val="20"/>
                <w:lang w:eastAsia="en-US"/>
              </w:rPr>
              <w:t>16</w:t>
            </w:r>
          </w:p>
        </w:tc>
        <w:tc>
          <w:tcPr>
            <w:tcW w:w="2268" w:type="dxa"/>
            <w:tcBorders>
              <w:top w:val="single" w:sz="4" w:space="0" w:color="auto"/>
              <w:left w:val="single" w:sz="4" w:space="0" w:color="auto"/>
              <w:bottom w:val="single" w:sz="4" w:space="0" w:color="auto"/>
              <w:right w:val="single" w:sz="4" w:space="0" w:color="auto"/>
            </w:tcBorders>
          </w:tcPr>
          <w:p w14:paraId="0A910634" w14:textId="79ED7F98" w:rsidR="00F744E2" w:rsidRPr="00C2587D" w:rsidRDefault="00F744E2" w:rsidP="00221011">
            <w:pPr>
              <w:rPr>
                <w:rFonts w:ascii="Times New Roman" w:eastAsia="SimSun" w:hAnsi="Times New Roman"/>
                <w:color w:val="000000"/>
                <w:sz w:val="20"/>
                <w:szCs w:val="20"/>
                <w:lang w:eastAsia="zh-CN" w:bidi="ar"/>
              </w:rPr>
            </w:pPr>
            <w:r w:rsidRPr="00C2587D">
              <w:rPr>
                <w:rFonts w:ascii="Times New Roman" w:eastAsia="SimSun" w:hAnsi="Times New Roman"/>
                <w:color w:val="000000"/>
                <w:sz w:val="20"/>
                <w:szCs w:val="20"/>
                <w:lang w:eastAsia="zh-CN" w:bidi="ar"/>
              </w:rPr>
              <w:t>Актуалізація Інвестиційного паспорту Жмеринської міської територіальної громади</w:t>
            </w:r>
          </w:p>
        </w:tc>
        <w:tc>
          <w:tcPr>
            <w:tcW w:w="737" w:type="dxa"/>
            <w:tcBorders>
              <w:top w:val="single" w:sz="4" w:space="0" w:color="auto"/>
              <w:left w:val="single" w:sz="4" w:space="0" w:color="auto"/>
              <w:bottom w:val="single" w:sz="4" w:space="0" w:color="auto"/>
              <w:right w:val="single" w:sz="4" w:space="0" w:color="auto"/>
            </w:tcBorders>
            <w:textDirection w:val="btLr"/>
            <w:vAlign w:val="center"/>
          </w:tcPr>
          <w:p w14:paraId="78A7B282" w14:textId="61272293" w:rsidR="00F744E2" w:rsidRPr="00C2587D" w:rsidRDefault="00F744E2" w:rsidP="00424B61">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54781937" w14:textId="1ACDB861" w:rsidR="00F744E2" w:rsidRPr="00C2587D" w:rsidRDefault="00F744E2" w:rsidP="00424B61">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300,0</w:t>
            </w:r>
          </w:p>
        </w:tc>
        <w:tc>
          <w:tcPr>
            <w:tcW w:w="992" w:type="dxa"/>
            <w:tcBorders>
              <w:top w:val="single" w:sz="4" w:space="0" w:color="auto"/>
              <w:left w:val="single" w:sz="4" w:space="0" w:color="auto"/>
              <w:bottom w:val="single" w:sz="4" w:space="0" w:color="auto"/>
              <w:right w:val="single" w:sz="4" w:space="0" w:color="auto"/>
            </w:tcBorders>
            <w:textDirection w:val="btLr"/>
            <w:vAlign w:val="center"/>
          </w:tcPr>
          <w:p w14:paraId="1E6C33B7" w14:textId="77777777" w:rsidR="00F744E2" w:rsidRPr="00C2587D" w:rsidRDefault="00F744E2" w:rsidP="00221011">
            <w:pPr>
              <w:ind w:left="113" w:right="113"/>
              <w:jc w:val="center"/>
              <w:rPr>
                <w:rFonts w:ascii="Times New Roman" w:hAnsi="Times New Roman"/>
                <w:sz w:val="20"/>
                <w:szCs w:val="20"/>
              </w:rPr>
            </w:pPr>
          </w:p>
        </w:tc>
        <w:tc>
          <w:tcPr>
            <w:tcW w:w="851" w:type="dxa"/>
            <w:tcBorders>
              <w:top w:val="single" w:sz="4" w:space="0" w:color="auto"/>
              <w:left w:val="single" w:sz="4" w:space="0" w:color="auto"/>
              <w:bottom w:val="single" w:sz="4" w:space="0" w:color="auto"/>
              <w:right w:val="single" w:sz="4" w:space="0" w:color="auto"/>
            </w:tcBorders>
            <w:textDirection w:val="btLr"/>
            <w:vAlign w:val="center"/>
          </w:tcPr>
          <w:p w14:paraId="3808BA10" w14:textId="2744F091" w:rsidR="00F744E2" w:rsidRPr="00C2587D" w:rsidRDefault="00F744E2" w:rsidP="00221011">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300,0</w:t>
            </w:r>
          </w:p>
        </w:tc>
        <w:tc>
          <w:tcPr>
            <w:tcW w:w="850" w:type="dxa"/>
            <w:tcBorders>
              <w:top w:val="single" w:sz="4" w:space="0" w:color="auto"/>
              <w:left w:val="single" w:sz="4" w:space="0" w:color="auto"/>
              <w:bottom w:val="single" w:sz="4" w:space="0" w:color="auto"/>
              <w:right w:val="single" w:sz="4" w:space="0" w:color="auto"/>
            </w:tcBorders>
            <w:textDirection w:val="btLr"/>
            <w:vAlign w:val="center"/>
          </w:tcPr>
          <w:p w14:paraId="41D6D5B3" w14:textId="77777777" w:rsidR="00F744E2" w:rsidRPr="00C2587D" w:rsidRDefault="00F744E2" w:rsidP="00221011">
            <w:pPr>
              <w:ind w:left="113" w:right="113"/>
              <w:jc w:val="center"/>
              <w:rPr>
                <w:rFonts w:ascii="Times New Roman"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69D0FE5B" w14:textId="77777777" w:rsidR="00F744E2" w:rsidRPr="00C2587D" w:rsidRDefault="00F744E2" w:rsidP="00221011">
            <w:pPr>
              <w:ind w:left="113" w:right="113"/>
              <w:jc w:val="center"/>
              <w:rPr>
                <w:rFonts w:ascii="Times New Roman"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11BACA18" w14:textId="77777777" w:rsidR="00F744E2" w:rsidRPr="00C2587D" w:rsidRDefault="00F744E2" w:rsidP="00221011">
            <w:pPr>
              <w:ind w:left="113" w:right="113"/>
              <w:jc w:val="center"/>
              <w:rPr>
                <w:rFonts w:ascii="Times New Roman"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45E7B6D0" w14:textId="77777777" w:rsidR="00F744E2" w:rsidRPr="00C2587D" w:rsidRDefault="00F744E2" w:rsidP="00221011">
            <w:pPr>
              <w:ind w:left="113" w:right="113"/>
              <w:jc w:val="center"/>
              <w:rPr>
                <w:rFonts w:ascii="Times New Roman" w:hAnsi="Times New Roman"/>
                <w:sz w:val="20"/>
                <w:szCs w:val="20"/>
              </w:rPr>
            </w:pPr>
          </w:p>
        </w:tc>
        <w:tc>
          <w:tcPr>
            <w:tcW w:w="708" w:type="dxa"/>
            <w:tcBorders>
              <w:top w:val="single" w:sz="4" w:space="0" w:color="auto"/>
              <w:left w:val="single" w:sz="4" w:space="0" w:color="auto"/>
              <w:bottom w:val="single" w:sz="4" w:space="0" w:color="auto"/>
              <w:right w:val="single" w:sz="4" w:space="0" w:color="auto"/>
            </w:tcBorders>
            <w:textDirection w:val="btLr"/>
            <w:vAlign w:val="center"/>
          </w:tcPr>
          <w:p w14:paraId="655D16F6" w14:textId="77777777" w:rsidR="00F744E2" w:rsidRPr="00C2587D" w:rsidRDefault="00F744E2" w:rsidP="00221011">
            <w:pPr>
              <w:ind w:left="113" w:right="113"/>
              <w:jc w:val="center"/>
              <w:rPr>
                <w:rFonts w:ascii="Times New Roman"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3F46CD8F" w14:textId="77777777" w:rsidR="00F744E2" w:rsidRPr="00C2587D" w:rsidRDefault="00F744E2" w:rsidP="00221011">
            <w:pPr>
              <w:ind w:left="113" w:right="113"/>
              <w:jc w:val="center"/>
              <w:rPr>
                <w:rFonts w:ascii="Times New Roman"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1A48B9E6" w14:textId="77777777" w:rsidR="00F744E2" w:rsidRPr="00C2587D" w:rsidRDefault="00F744E2" w:rsidP="00221011">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731062F3" w14:textId="77777777" w:rsidR="00F744E2" w:rsidRPr="00C2587D" w:rsidRDefault="00F744E2" w:rsidP="00221011">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14:paraId="56B0FF89" w14:textId="77777777" w:rsidR="00F744E2" w:rsidRPr="00C2587D" w:rsidRDefault="00F744E2" w:rsidP="00221011">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14:paraId="5F47FCF7" w14:textId="77777777" w:rsidR="00F744E2" w:rsidRPr="00C2587D" w:rsidRDefault="00F744E2" w:rsidP="00221011">
            <w:pPr>
              <w:ind w:left="113" w:right="113"/>
              <w:jc w:val="center"/>
              <w:rPr>
                <w:rFonts w:ascii="Times New Roman" w:hAnsi="Times New Roman"/>
                <w:sz w:val="20"/>
                <w:szCs w:val="20"/>
              </w:rPr>
            </w:pPr>
          </w:p>
        </w:tc>
        <w:tc>
          <w:tcPr>
            <w:tcW w:w="624" w:type="dxa"/>
            <w:tcBorders>
              <w:top w:val="single" w:sz="4" w:space="0" w:color="auto"/>
              <w:left w:val="single" w:sz="4" w:space="0" w:color="auto"/>
              <w:bottom w:val="single" w:sz="4" w:space="0" w:color="auto"/>
              <w:right w:val="single" w:sz="4" w:space="0" w:color="auto"/>
            </w:tcBorders>
            <w:textDirection w:val="btLr"/>
            <w:vAlign w:val="center"/>
          </w:tcPr>
          <w:p w14:paraId="67C07388" w14:textId="77777777" w:rsidR="00F744E2" w:rsidRPr="00C2587D" w:rsidRDefault="00F744E2" w:rsidP="00221011">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14:paraId="5D1D2682" w14:textId="77777777" w:rsidR="00F744E2" w:rsidRPr="00C2587D" w:rsidRDefault="00F744E2" w:rsidP="00221011">
            <w:pPr>
              <w:ind w:left="113" w:right="113"/>
              <w:jc w:val="center"/>
              <w:rPr>
                <w:rFonts w:ascii="Times New Roman" w:hAnsi="Times New Roman"/>
                <w:sz w:val="20"/>
                <w:szCs w:val="20"/>
              </w:rPr>
            </w:pPr>
          </w:p>
        </w:tc>
        <w:tc>
          <w:tcPr>
            <w:tcW w:w="1049" w:type="dxa"/>
            <w:tcBorders>
              <w:top w:val="single" w:sz="4" w:space="0" w:color="auto"/>
              <w:left w:val="single" w:sz="4" w:space="0" w:color="auto"/>
              <w:bottom w:val="single" w:sz="4" w:space="0" w:color="auto"/>
              <w:right w:val="single" w:sz="4" w:space="0" w:color="auto"/>
            </w:tcBorders>
            <w:noWrap/>
            <w:textDirection w:val="btLr"/>
            <w:vAlign w:val="center"/>
          </w:tcPr>
          <w:p w14:paraId="425B3DF7" w14:textId="35664A3A" w:rsidR="00F744E2" w:rsidRPr="00C2587D" w:rsidRDefault="00F744E2" w:rsidP="00221011">
            <w:pPr>
              <w:ind w:left="113" w:right="113"/>
              <w:jc w:val="center"/>
              <w:rPr>
                <w:rFonts w:ascii="Times New Roman" w:hAnsi="Times New Roman"/>
                <w:b/>
                <w:sz w:val="20"/>
                <w:szCs w:val="20"/>
              </w:rPr>
            </w:pPr>
            <w:r w:rsidRPr="00C2587D">
              <w:rPr>
                <w:rFonts w:ascii="Times New Roman" w:hAnsi="Times New Roman"/>
                <w:b/>
                <w:sz w:val="20"/>
                <w:szCs w:val="20"/>
              </w:rPr>
              <w:t>300,0</w:t>
            </w:r>
          </w:p>
        </w:tc>
      </w:tr>
      <w:tr w:rsidR="001D3C96" w:rsidRPr="00C2587D" w14:paraId="22C69569" w14:textId="77777777" w:rsidTr="00FF28D2">
        <w:trPr>
          <w:cantSplit/>
          <w:trHeight w:val="1040"/>
        </w:trPr>
        <w:tc>
          <w:tcPr>
            <w:tcW w:w="433" w:type="dxa"/>
            <w:tcBorders>
              <w:top w:val="single" w:sz="4" w:space="0" w:color="auto"/>
              <w:left w:val="single" w:sz="4" w:space="0" w:color="auto"/>
              <w:bottom w:val="single" w:sz="4" w:space="0" w:color="auto"/>
              <w:right w:val="single" w:sz="4" w:space="0" w:color="auto"/>
            </w:tcBorders>
          </w:tcPr>
          <w:p w14:paraId="46109122" w14:textId="404C8D2E" w:rsidR="001D3C96" w:rsidRPr="00C2587D" w:rsidRDefault="00B73D4F" w:rsidP="00221011">
            <w:pPr>
              <w:rPr>
                <w:rFonts w:ascii="Times New Roman" w:eastAsia="Arial" w:hAnsi="Times New Roman"/>
                <w:sz w:val="20"/>
                <w:szCs w:val="20"/>
                <w:lang w:eastAsia="en-US"/>
              </w:rPr>
            </w:pPr>
            <w:r w:rsidRPr="00C2587D">
              <w:rPr>
                <w:rFonts w:ascii="Times New Roman" w:eastAsia="Arial" w:hAnsi="Times New Roman"/>
                <w:sz w:val="20"/>
                <w:szCs w:val="20"/>
                <w:lang w:eastAsia="en-US"/>
              </w:rPr>
              <w:t>17</w:t>
            </w:r>
          </w:p>
        </w:tc>
        <w:tc>
          <w:tcPr>
            <w:tcW w:w="2268" w:type="dxa"/>
            <w:tcBorders>
              <w:top w:val="single" w:sz="4" w:space="0" w:color="auto"/>
              <w:left w:val="single" w:sz="4" w:space="0" w:color="auto"/>
              <w:bottom w:val="single" w:sz="4" w:space="0" w:color="auto"/>
              <w:right w:val="single" w:sz="4" w:space="0" w:color="auto"/>
            </w:tcBorders>
            <w:vAlign w:val="center"/>
          </w:tcPr>
          <w:p w14:paraId="049C906F" w14:textId="37AABB89" w:rsidR="001D3C96" w:rsidRPr="00C2587D" w:rsidRDefault="001D3C96" w:rsidP="00FF28D2">
            <w:pPr>
              <w:rPr>
                <w:rFonts w:ascii="Times New Roman" w:eastAsia="SimSun" w:hAnsi="Times New Roman"/>
                <w:color w:val="000000"/>
                <w:sz w:val="20"/>
                <w:szCs w:val="20"/>
                <w:lang w:eastAsia="zh-CN" w:bidi="ar"/>
              </w:rPr>
            </w:pPr>
            <w:r w:rsidRPr="00C2587D">
              <w:rPr>
                <w:rFonts w:ascii="Times New Roman" w:eastAsia="SimSun" w:hAnsi="Times New Roman"/>
                <w:color w:val="000000"/>
                <w:sz w:val="20"/>
                <w:szCs w:val="20"/>
                <w:lang w:eastAsia="zh-CN" w:bidi="ar"/>
              </w:rPr>
              <w:t>Створення індустріальних парків</w:t>
            </w:r>
          </w:p>
        </w:tc>
        <w:tc>
          <w:tcPr>
            <w:tcW w:w="737" w:type="dxa"/>
            <w:tcBorders>
              <w:top w:val="single" w:sz="4" w:space="0" w:color="auto"/>
              <w:left w:val="single" w:sz="4" w:space="0" w:color="auto"/>
              <w:bottom w:val="single" w:sz="4" w:space="0" w:color="auto"/>
              <w:right w:val="single" w:sz="4" w:space="0" w:color="auto"/>
            </w:tcBorders>
            <w:textDirection w:val="btLr"/>
            <w:vAlign w:val="center"/>
          </w:tcPr>
          <w:p w14:paraId="055DA5F4" w14:textId="03B8E420" w:rsidR="001D3C96" w:rsidRPr="00C2587D" w:rsidRDefault="0013759A" w:rsidP="00424B61">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450000,0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74B43AE2" w14:textId="2F83F2A1" w:rsidR="001D3C96" w:rsidRPr="00C2587D" w:rsidRDefault="001D3C96" w:rsidP="00424B61">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16 000,0</w:t>
            </w:r>
          </w:p>
        </w:tc>
        <w:tc>
          <w:tcPr>
            <w:tcW w:w="992" w:type="dxa"/>
            <w:tcBorders>
              <w:top w:val="single" w:sz="4" w:space="0" w:color="auto"/>
              <w:left w:val="single" w:sz="4" w:space="0" w:color="auto"/>
              <w:bottom w:val="single" w:sz="4" w:space="0" w:color="auto"/>
              <w:right w:val="single" w:sz="4" w:space="0" w:color="auto"/>
            </w:tcBorders>
            <w:textDirection w:val="btLr"/>
            <w:vAlign w:val="center"/>
          </w:tcPr>
          <w:p w14:paraId="4143E79D" w14:textId="2BE94CF1" w:rsidR="001D3C96" w:rsidRPr="00C2587D" w:rsidRDefault="001D3C96" w:rsidP="00221011">
            <w:pPr>
              <w:ind w:left="113" w:right="113"/>
              <w:jc w:val="center"/>
              <w:rPr>
                <w:rFonts w:ascii="Times New Roman" w:hAnsi="Times New Roman"/>
                <w:sz w:val="20"/>
                <w:szCs w:val="20"/>
              </w:rPr>
            </w:pPr>
            <w:r w:rsidRPr="00C2587D">
              <w:rPr>
                <w:rFonts w:ascii="Times New Roman" w:hAnsi="Times New Roman"/>
                <w:sz w:val="20"/>
                <w:szCs w:val="20"/>
              </w:rPr>
              <w:t>0</w:t>
            </w:r>
          </w:p>
        </w:tc>
        <w:tc>
          <w:tcPr>
            <w:tcW w:w="851" w:type="dxa"/>
            <w:tcBorders>
              <w:top w:val="single" w:sz="4" w:space="0" w:color="auto"/>
              <w:left w:val="single" w:sz="4" w:space="0" w:color="auto"/>
              <w:bottom w:val="single" w:sz="4" w:space="0" w:color="auto"/>
              <w:right w:val="single" w:sz="4" w:space="0" w:color="auto"/>
            </w:tcBorders>
            <w:textDirection w:val="btLr"/>
            <w:vAlign w:val="center"/>
          </w:tcPr>
          <w:p w14:paraId="65194115" w14:textId="30397711" w:rsidR="001D3C96" w:rsidRPr="00C2587D" w:rsidRDefault="001D3C96" w:rsidP="00221011">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5000,0</w:t>
            </w:r>
          </w:p>
        </w:tc>
        <w:tc>
          <w:tcPr>
            <w:tcW w:w="850" w:type="dxa"/>
            <w:tcBorders>
              <w:top w:val="single" w:sz="4" w:space="0" w:color="auto"/>
              <w:left w:val="single" w:sz="4" w:space="0" w:color="auto"/>
              <w:bottom w:val="single" w:sz="4" w:space="0" w:color="auto"/>
              <w:right w:val="single" w:sz="4" w:space="0" w:color="auto"/>
            </w:tcBorders>
            <w:textDirection w:val="btLr"/>
            <w:vAlign w:val="center"/>
          </w:tcPr>
          <w:p w14:paraId="14E2B4AC" w14:textId="2799A5E3" w:rsidR="001D3C96" w:rsidRPr="00C2587D" w:rsidRDefault="001D3C96" w:rsidP="00221011">
            <w:pPr>
              <w:ind w:left="113" w:right="113"/>
              <w:jc w:val="center"/>
              <w:rPr>
                <w:rFonts w:ascii="Times New Roman" w:hAnsi="Times New Roman"/>
                <w:sz w:val="20"/>
                <w:szCs w:val="20"/>
              </w:rPr>
            </w:pPr>
            <w:r w:rsidRPr="00C2587D">
              <w:rPr>
                <w:rFonts w:ascii="Times New Roman" w:hAnsi="Times New Roman"/>
                <w:sz w:val="20"/>
                <w:szCs w:val="20"/>
              </w:rPr>
              <w:t>7000,0</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5839EF7E" w14:textId="4C7DBFB8" w:rsidR="001D3C96" w:rsidRPr="00C2587D" w:rsidRDefault="001D3C96" w:rsidP="00221011">
            <w:pPr>
              <w:ind w:left="113" w:right="113"/>
              <w:jc w:val="center"/>
              <w:rPr>
                <w:rFonts w:ascii="Times New Roman" w:hAnsi="Times New Roman"/>
                <w:sz w:val="20"/>
                <w:szCs w:val="20"/>
              </w:rPr>
            </w:pPr>
            <w:r w:rsidRPr="00C2587D">
              <w:rPr>
                <w:rFonts w:ascii="Times New Roman" w:hAnsi="Times New Roman"/>
                <w:sz w:val="20"/>
                <w:szCs w:val="20"/>
              </w:rPr>
              <w:t>4000,0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41A599C7" w14:textId="2F60E6F9" w:rsidR="001D3C96" w:rsidRPr="00C2587D" w:rsidRDefault="0013759A" w:rsidP="00221011">
            <w:pPr>
              <w:ind w:left="113" w:right="113"/>
              <w:jc w:val="center"/>
              <w:rPr>
                <w:rFonts w:ascii="Times New Roman" w:hAnsi="Times New Roman"/>
                <w:sz w:val="20"/>
                <w:szCs w:val="20"/>
              </w:rPr>
            </w:pPr>
            <w:r w:rsidRPr="00C2587D">
              <w:rPr>
                <w:rFonts w:ascii="Times New Roman" w:hAnsi="Times New Roman"/>
                <w:sz w:val="20"/>
                <w:szCs w:val="20"/>
              </w:rPr>
              <w:t>84000,0</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09093B71" w14:textId="77777777" w:rsidR="001D3C96" w:rsidRPr="00C2587D" w:rsidRDefault="001D3C96" w:rsidP="00221011">
            <w:pPr>
              <w:ind w:left="113" w:right="113"/>
              <w:jc w:val="center"/>
              <w:rPr>
                <w:rFonts w:ascii="Times New Roman" w:hAnsi="Times New Roman"/>
                <w:sz w:val="20"/>
                <w:szCs w:val="20"/>
              </w:rPr>
            </w:pPr>
          </w:p>
        </w:tc>
        <w:tc>
          <w:tcPr>
            <w:tcW w:w="708" w:type="dxa"/>
            <w:tcBorders>
              <w:top w:val="single" w:sz="4" w:space="0" w:color="auto"/>
              <w:left w:val="single" w:sz="4" w:space="0" w:color="auto"/>
              <w:bottom w:val="single" w:sz="4" w:space="0" w:color="auto"/>
              <w:right w:val="single" w:sz="4" w:space="0" w:color="auto"/>
            </w:tcBorders>
            <w:textDirection w:val="btLr"/>
            <w:vAlign w:val="center"/>
          </w:tcPr>
          <w:p w14:paraId="423A10DA" w14:textId="53A6F065" w:rsidR="001D3C96" w:rsidRPr="00C2587D" w:rsidRDefault="0013759A" w:rsidP="00221011">
            <w:pPr>
              <w:ind w:left="113" w:right="113"/>
              <w:jc w:val="center"/>
              <w:rPr>
                <w:rFonts w:ascii="Times New Roman" w:hAnsi="Times New Roman"/>
                <w:sz w:val="20"/>
                <w:szCs w:val="20"/>
              </w:rPr>
            </w:pPr>
            <w:r w:rsidRPr="00C2587D">
              <w:rPr>
                <w:rFonts w:ascii="Times New Roman" w:hAnsi="Times New Roman"/>
                <w:sz w:val="20"/>
                <w:szCs w:val="20"/>
              </w:rPr>
              <w:t>26000,0</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48A55AE1" w14:textId="46613539" w:rsidR="001D3C96" w:rsidRPr="00C2587D" w:rsidRDefault="0013759A" w:rsidP="00221011">
            <w:pPr>
              <w:ind w:left="113" w:right="113"/>
              <w:jc w:val="center"/>
              <w:rPr>
                <w:rFonts w:ascii="Times New Roman" w:hAnsi="Times New Roman"/>
                <w:sz w:val="20"/>
                <w:szCs w:val="20"/>
              </w:rPr>
            </w:pPr>
            <w:r w:rsidRPr="00C2587D">
              <w:rPr>
                <w:rFonts w:ascii="Times New Roman" w:hAnsi="Times New Roman"/>
                <w:sz w:val="20"/>
                <w:szCs w:val="20"/>
              </w:rPr>
              <w:t>30000,0</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0A9C41DC" w14:textId="1A43A014" w:rsidR="001D3C96" w:rsidRPr="00C2587D" w:rsidRDefault="0013759A" w:rsidP="00221011">
            <w:pPr>
              <w:ind w:left="113" w:right="113"/>
              <w:jc w:val="center"/>
              <w:rPr>
                <w:rFonts w:ascii="Times New Roman" w:hAnsi="Times New Roman"/>
                <w:sz w:val="20"/>
                <w:szCs w:val="20"/>
              </w:rPr>
            </w:pPr>
            <w:r w:rsidRPr="00C2587D">
              <w:rPr>
                <w:rFonts w:ascii="Times New Roman" w:hAnsi="Times New Roman"/>
                <w:sz w:val="20"/>
                <w:szCs w:val="20"/>
              </w:rPr>
              <w:t>28000,0</w:t>
            </w: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2797396A" w14:textId="7CCC600E" w:rsidR="001D3C96" w:rsidRPr="00C2587D" w:rsidRDefault="001D3C96" w:rsidP="00221011">
            <w:pPr>
              <w:ind w:left="113" w:right="113"/>
              <w:jc w:val="center"/>
              <w:rPr>
                <w:rFonts w:ascii="Times New Roman" w:hAnsi="Times New Roman"/>
                <w:sz w:val="20"/>
                <w:szCs w:val="20"/>
              </w:rPr>
            </w:pPr>
            <w:r w:rsidRPr="00C2587D">
              <w:rPr>
                <w:rFonts w:ascii="Times New Roman" w:hAnsi="Times New Roman"/>
                <w:sz w:val="20"/>
                <w:szCs w:val="20"/>
              </w:rPr>
              <w:t>350</w:t>
            </w:r>
            <w:r w:rsidR="0013759A" w:rsidRPr="00C2587D">
              <w:rPr>
                <w:rFonts w:ascii="Times New Roman" w:hAnsi="Times New Roman"/>
                <w:sz w:val="20"/>
                <w:szCs w:val="20"/>
              </w:rPr>
              <w:t>0</w:t>
            </w:r>
            <w:r w:rsidRPr="00C2587D">
              <w:rPr>
                <w:rFonts w:ascii="Times New Roman" w:hAnsi="Times New Roman"/>
                <w:sz w:val="20"/>
                <w:szCs w:val="20"/>
              </w:rPr>
              <w:t>00,0</w:t>
            </w: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14:paraId="6F825C97" w14:textId="77777777" w:rsidR="001D3C96" w:rsidRPr="00C2587D" w:rsidRDefault="001D3C96" w:rsidP="00221011">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14:paraId="7726F8D3" w14:textId="4475F888" w:rsidR="001D3C96" w:rsidRPr="00C2587D" w:rsidRDefault="0013759A" w:rsidP="00221011">
            <w:pPr>
              <w:ind w:left="113" w:right="113"/>
              <w:jc w:val="center"/>
              <w:rPr>
                <w:rFonts w:ascii="Times New Roman" w:hAnsi="Times New Roman"/>
                <w:sz w:val="20"/>
                <w:szCs w:val="20"/>
              </w:rPr>
            </w:pPr>
            <w:r w:rsidRPr="00C2587D">
              <w:rPr>
                <w:rFonts w:ascii="Times New Roman" w:hAnsi="Times New Roman"/>
                <w:sz w:val="20"/>
                <w:szCs w:val="20"/>
              </w:rPr>
              <w:t>130000,0</w:t>
            </w:r>
          </w:p>
        </w:tc>
        <w:tc>
          <w:tcPr>
            <w:tcW w:w="624" w:type="dxa"/>
            <w:tcBorders>
              <w:top w:val="single" w:sz="4" w:space="0" w:color="auto"/>
              <w:left w:val="single" w:sz="4" w:space="0" w:color="auto"/>
              <w:bottom w:val="single" w:sz="4" w:space="0" w:color="auto"/>
              <w:right w:val="single" w:sz="4" w:space="0" w:color="auto"/>
            </w:tcBorders>
            <w:textDirection w:val="btLr"/>
            <w:vAlign w:val="center"/>
          </w:tcPr>
          <w:p w14:paraId="2D24AD1E" w14:textId="3738669B" w:rsidR="001D3C96" w:rsidRPr="00C2587D" w:rsidRDefault="001D3C96" w:rsidP="00221011">
            <w:pPr>
              <w:ind w:left="113" w:right="113"/>
              <w:jc w:val="center"/>
              <w:rPr>
                <w:rFonts w:ascii="Times New Roman" w:hAnsi="Times New Roman"/>
                <w:sz w:val="20"/>
                <w:szCs w:val="20"/>
              </w:rPr>
            </w:pPr>
            <w:r w:rsidRPr="00C2587D">
              <w:rPr>
                <w:rFonts w:ascii="Times New Roman" w:hAnsi="Times New Roman"/>
                <w:sz w:val="20"/>
                <w:szCs w:val="20"/>
              </w:rPr>
              <w:t>120000,0</w:t>
            </w: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14:paraId="7312121D" w14:textId="09C52AD8" w:rsidR="001D3C96" w:rsidRPr="00C2587D" w:rsidRDefault="001D3C96" w:rsidP="00221011">
            <w:pPr>
              <w:ind w:left="113" w:right="113"/>
              <w:jc w:val="center"/>
              <w:rPr>
                <w:rFonts w:ascii="Times New Roman" w:hAnsi="Times New Roman"/>
                <w:sz w:val="20"/>
                <w:szCs w:val="20"/>
              </w:rPr>
            </w:pPr>
            <w:r w:rsidRPr="00C2587D">
              <w:rPr>
                <w:rFonts w:ascii="Times New Roman" w:hAnsi="Times New Roman"/>
                <w:sz w:val="20"/>
                <w:szCs w:val="20"/>
              </w:rPr>
              <w:t>100000,0</w:t>
            </w:r>
          </w:p>
        </w:tc>
        <w:tc>
          <w:tcPr>
            <w:tcW w:w="1049" w:type="dxa"/>
            <w:tcBorders>
              <w:top w:val="single" w:sz="4" w:space="0" w:color="auto"/>
              <w:left w:val="single" w:sz="4" w:space="0" w:color="auto"/>
              <w:bottom w:val="single" w:sz="4" w:space="0" w:color="auto"/>
              <w:right w:val="single" w:sz="4" w:space="0" w:color="auto"/>
            </w:tcBorders>
            <w:noWrap/>
            <w:textDirection w:val="btLr"/>
            <w:vAlign w:val="center"/>
          </w:tcPr>
          <w:p w14:paraId="174DE7E9" w14:textId="478DF372" w:rsidR="001D3C96" w:rsidRPr="00C2587D" w:rsidRDefault="0013759A" w:rsidP="00221011">
            <w:pPr>
              <w:ind w:left="113" w:right="113"/>
              <w:jc w:val="center"/>
              <w:rPr>
                <w:rFonts w:ascii="Times New Roman" w:hAnsi="Times New Roman"/>
                <w:b/>
                <w:sz w:val="20"/>
                <w:szCs w:val="20"/>
              </w:rPr>
            </w:pPr>
            <w:r w:rsidRPr="00C2587D">
              <w:rPr>
                <w:rFonts w:ascii="Times New Roman" w:hAnsi="Times New Roman"/>
                <w:b/>
                <w:sz w:val="20"/>
                <w:szCs w:val="20"/>
              </w:rPr>
              <w:t>450000,0</w:t>
            </w:r>
          </w:p>
        </w:tc>
      </w:tr>
    </w:tbl>
    <w:p w14:paraId="78C965BF" w14:textId="77777777" w:rsidR="00C156A0" w:rsidRDefault="00C156A0">
      <w:r>
        <w:br w:type="page"/>
      </w:r>
    </w:p>
    <w:tbl>
      <w:tblPr>
        <w:tblW w:w="15507" w:type="dxa"/>
        <w:tblInd w:w="-12" w:type="dxa"/>
        <w:tblLayout w:type="fixed"/>
        <w:tblLook w:val="04A0" w:firstRow="1" w:lastRow="0" w:firstColumn="1" w:lastColumn="0" w:noHBand="0" w:noVBand="1"/>
      </w:tblPr>
      <w:tblGrid>
        <w:gridCol w:w="433"/>
        <w:gridCol w:w="2268"/>
        <w:gridCol w:w="737"/>
        <w:gridCol w:w="850"/>
        <w:gridCol w:w="992"/>
        <w:gridCol w:w="851"/>
        <w:gridCol w:w="850"/>
        <w:gridCol w:w="709"/>
        <w:gridCol w:w="709"/>
        <w:gridCol w:w="709"/>
        <w:gridCol w:w="708"/>
        <w:gridCol w:w="709"/>
        <w:gridCol w:w="709"/>
        <w:gridCol w:w="567"/>
        <w:gridCol w:w="567"/>
        <w:gridCol w:w="567"/>
        <w:gridCol w:w="624"/>
        <w:gridCol w:w="567"/>
        <w:gridCol w:w="1360"/>
        <w:gridCol w:w="21"/>
      </w:tblGrid>
      <w:tr w:rsidR="001F1B5B" w:rsidRPr="00C2587D" w14:paraId="129FEB8F" w14:textId="77777777" w:rsidTr="00747E56">
        <w:trPr>
          <w:cantSplit/>
          <w:trHeight w:val="275"/>
        </w:trPr>
        <w:tc>
          <w:tcPr>
            <w:tcW w:w="15507" w:type="dxa"/>
            <w:gridSpan w:val="20"/>
            <w:tcBorders>
              <w:top w:val="single" w:sz="4" w:space="0" w:color="auto"/>
              <w:left w:val="single" w:sz="4" w:space="0" w:color="auto"/>
              <w:bottom w:val="single" w:sz="4" w:space="0" w:color="auto"/>
              <w:right w:val="single" w:sz="4" w:space="0" w:color="auto"/>
            </w:tcBorders>
            <w:shd w:val="clear" w:color="auto" w:fill="auto"/>
          </w:tcPr>
          <w:p w14:paraId="444B2A3B" w14:textId="246CB0DA" w:rsidR="001F1B5B" w:rsidRPr="00C2587D" w:rsidRDefault="001F1B5B" w:rsidP="005F618D">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lastRenderedPageBreak/>
              <w:t>Управління культури та туризму міської ради</w:t>
            </w:r>
          </w:p>
        </w:tc>
      </w:tr>
      <w:tr w:rsidR="00E7572A" w:rsidRPr="00C2587D" w14:paraId="66D98BFB" w14:textId="77777777" w:rsidTr="00747E56">
        <w:trPr>
          <w:cantSplit/>
          <w:trHeight w:val="42"/>
        </w:trPr>
        <w:tc>
          <w:tcPr>
            <w:tcW w:w="15507" w:type="dxa"/>
            <w:gridSpan w:val="20"/>
            <w:tcBorders>
              <w:top w:val="single" w:sz="4" w:space="0" w:color="auto"/>
              <w:left w:val="single" w:sz="4" w:space="0" w:color="auto"/>
              <w:bottom w:val="single" w:sz="4" w:space="0" w:color="auto"/>
              <w:right w:val="single" w:sz="4" w:space="0" w:color="auto"/>
            </w:tcBorders>
            <w:shd w:val="clear" w:color="auto" w:fill="auto"/>
          </w:tcPr>
          <w:p w14:paraId="61F09D90" w14:textId="575B519A" w:rsidR="00E7572A" w:rsidRPr="00C2587D" w:rsidRDefault="00E7572A" w:rsidP="005F618D">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Проєкти місцевого (регіонального) розвитку</w:t>
            </w:r>
          </w:p>
        </w:tc>
      </w:tr>
      <w:tr w:rsidR="005F618D" w:rsidRPr="00C2587D" w14:paraId="1B07801A" w14:textId="77777777" w:rsidTr="00FF28D2">
        <w:trPr>
          <w:gridAfter w:val="1"/>
          <w:wAfter w:w="21" w:type="dxa"/>
          <w:cantSplit/>
          <w:trHeight w:val="1134"/>
        </w:trPr>
        <w:tc>
          <w:tcPr>
            <w:tcW w:w="433" w:type="dxa"/>
            <w:tcBorders>
              <w:top w:val="single" w:sz="4" w:space="0" w:color="auto"/>
              <w:left w:val="single" w:sz="4" w:space="0" w:color="auto"/>
              <w:bottom w:val="single" w:sz="4" w:space="0" w:color="auto"/>
              <w:right w:val="single" w:sz="4" w:space="0" w:color="auto"/>
            </w:tcBorders>
            <w:shd w:val="clear" w:color="auto" w:fill="auto"/>
          </w:tcPr>
          <w:p w14:paraId="7CC23B84" w14:textId="469CA5E4" w:rsidR="005F618D" w:rsidRPr="00C2587D" w:rsidRDefault="005F618D" w:rsidP="005F618D">
            <w:pPr>
              <w:rPr>
                <w:rFonts w:ascii="Times New Roman" w:hAnsi="Times New Roman"/>
                <w:sz w:val="20"/>
                <w:szCs w:val="20"/>
              </w:rPr>
            </w:pPr>
            <w:r w:rsidRPr="00C2587D">
              <w:rPr>
                <w:rFonts w:ascii="Times New Roman" w:eastAsia="Arial" w:hAnsi="Times New Roman"/>
                <w:sz w:val="20"/>
                <w:szCs w:val="20"/>
                <w:lang w:eastAsia="en-US"/>
              </w:rPr>
              <w:t>1</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42723848" w14:textId="20F4EA7B" w:rsidR="005F618D" w:rsidRPr="00C2587D" w:rsidRDefault="005F618D" w:rsidP="00FF28D2">
            <w:pPr>
              <w:rPr>
                <w:rFonts w:ascii="Times New Roman" w:hAnsi="Times New Roman"/>
                <w:color w:val="000000"/>
                <w:sz w:val="20"/>
                <w:szCs w:val="20"/>
              </w:rPr>
            </w:pPr>
            <w:r w:rsidRPr="00C2587D">
              <w:rPr>
                <w:rFonts w:ascii="Times New Roman" w:hAnsi="Times New Roman"/>
                <w:sz w:val="20"/>
                <w:szCs w:val="20"/>
                <w:lang w:eastAsia="it-IT"/>
              </w:rPr>
              <w:t xml:space="preserve">«Кармелюків край: спадок нескореного духу» </w:t>
            </w:r>
            <w:r w:rsidRPr="00C2587D">
              <w:rPr>
                <w:rFonts w:ascii="Times New Roman" w:eastAsia="Arial" w:hAnsi="Times New Roman"/>
                <w:w w:val="105"/>
                <w:sz w:val="20"/>
                <w:szCs w:val="20"/>
                <w:lang w:eastAsia="en-US"/>
              </w:rPr>
              <w:t>реалізація</w:t>
            </w:r>
            <w:r w:rsidRPr="00C2587D">
              <w:rPr>
                <w:rFonts w:ascii="Times New Roman" w:eastAsia="Arial" w:hAnsi="Times New Roman"/>
                <w:spacing w:val="57"/>
                <w:w w:val="105"/>
                <w:sz w:val="20"/>
                <w:szCs w:val="20"/>
                <w:lang w:eastAsia="en-US"/>
              </w:rPr>
              <w:t xml:space="preserve"> </w:t>
            </w:r>
            <w:r w:rsidRPr="00C2587D">
              <w:rPr>
                <w:rFonts w:ascii="Times New Roman" w:eastAsia="Arial" w:hAnsi="Times New Roman"/>
                <w:spacing w:val="-2"/>
                <w:w w:val="105"/>
                <w:sz w:val="20"/>
                <w:szCs w:val="20"/>
                <w:lang w:eastAsia="en-US"/>
              </w:rPr>
              <w:t>триває</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2E5E96A" w14:textId="6ED43F0E" w:rsidR="005F618D" w:rsidRPr="00C2587D" w:rsidRDefault="005F618D" w:rsidP="005F618D">
            <w:pPr>
              <w:ind w:left="113" w:right="113"/>
              <w:jc w:val="center"/>
              <w:rPr>
                <w:rFonts w:ascii="Times New Roman" w:hAnsi="Times New Roman"/>
                <w:b/>
                <w:sz w:val="20"/>
                <w:szCs w:val="20"/>
              </w:rPr>
            </w:pPr>
            <w:r w:rsidRPr="00C2587D">
              <w:rPr>
                <w:rFonts w:ascii="Times New Roman" w:eastAsia="Arial" w:hAnsi="Times New Roman"/>
                <w:b/>
                <w:sz w:val="20"/>
                <w:szCs w:val="20"/>
                <w:lang w:eastAsia="en-US"/>
              </w:rPr>
              <w:t>4480,0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39385762" w14:textId="5F83FC23"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4113,0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17D1634" w14:textId="656CB4E3"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50,0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6C9AD4B" w14:textId="16645111"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13,0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209FF5F" w14:textId="2186C288"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50,0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496B35B" w14:textId="49E1AE94"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4000,0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646B8DB6" w14:textId="71F32F11"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D286F4A" w14:textId="19618E13"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3421A23" w14:textId="4E941BC9"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9F189A7" w14:textId="22FAC04B"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23ABCCF" w14:textId="77777777" w:rsidR="005F618D" w:rsidRPr="00C2587D" w:rsidRDefault="005F618D" w:rsidP="005F618D">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626A35D3" w14:textId="08AFC1A9"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367,0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F9FDDAF" w14:textId="59A51DA6"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167,0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30849FB" w14:textId="2E6F5E6B"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100,0</w:t>
            </w: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00AFFFF" w14:textId="0186050B"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100,0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10B9CFF" w14:textId="0D7C2621"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1360"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7592C7CA" w14:textId="6ECF7D21" w:rsidR="005F618D" w:rsidRPr="00C2587D" w:rsidRDefault="005F618D" w:rsidP="005F618D">
            <w:pPr>
              <w:ind w:left="113" w:right="113"/>
              <w:jc w:val="center"/>
              <w:rPr>
                <w:rFonts w:ascii="Times New Roman" w:hAnsi="Times New Roman"/>
                <w:b/>
                <w:sz w:val="20"/>
                <w:szCs w:val="20"/>
              </w:rPr>
            </w:pPr>
            <w:r w:rsidRPr="00C2587D">
              <w:rPr>
                <w:rFonts w:ascii="Times New Roman" w:eastAsia="Arial" w:hAnsi="Times New Roman"/>
                <w:b/>
                <w:sz w:val="20"/>
                <w:szCs w:val="20"/>
                <w:lang w:eastAsia="en-US"/>
              </w:rPr>
              <w:t>4480,0</w:t>
            </w:r>
          </w:p>
        </w:tc>
      </w:tr>
      <w:tr w:rsidR="005F618D" w:rsidRPr="00C2587D" w14:paraId="3B79B4B8" w14:textId="77777777" w:rsidTr="00FF28D2">
        <w:trPr>
          <w:gridAfter w:val="1"/>
          <w:wAfter w:w="21" w:type="dxa"/>
          <w:cantSplit/>
          <w:trHeight w:val="1134"/>
        </w:trPr>
        <w:tc>
          <w:tcPr>
            <w:tcW w:w="433" w:type="dxa"/>
            <w:tcBorders>
              <w:top w:val="single" w:sz="4" w:space="0" w:color="auto"/>
              <w:left w:val="single" w:sz="4" w:space="0" w:color="auto"/>
              <w:bottom w:val="single" w:sz="4" w:space="0" w:color="auto"/>
              <w:right w:val="single" w:sz="4" w:space="0" w:color="auto"/>
            </w:tcBorders>
            <w:shd w:val="clear" w:color="auto" w:fill="auto"/>
          </w:tcPr>
          <w:p w14:paraId="04B12C46" w14:textId="0B3F0C35" w:rsidR="005F618D" w:rsidRPr="00C2587D" w:rsidRDefault="001A3D07" w:rsidP="005F618D">
            <w:pPr>
              <w:rPr>
                <w:rFonts w:ascii="Times New Roman" w:hAnsi="Times New Roman"/>
                <w:sz w:val="20"/>
                <w:szCs w:val="20"/>
              </w:rPr>
            </w:pPr>
            <w:r w:rsidRPr="00C2587D">
              <w:rPr>
                <w:rFonts w:ascii="Times New Roman" w:eastAsia="Arial" w:hAnsi="Times New Roman"/>
                <w:sz w:val="20"/>
                <w:szCs w:val="20"/>
                <w:lang w:eastAsia="en-US"/>
              </w:rPr>
              <w:t>2</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1BFC19BA" w14:textId="078618A0" w:rsidR="005F618D" w:rsidRPr="00C2587D" w:rsidRDefault="005F618D" w:rsidP="00FF28D2">
            <w:pPr>
              <w:rPr>
                <w:rFonts w:ascii="Times New Roman" w:hAnsi="Times New Roman"/>
                <w:color w:val="000000"/>
                <w:sz w:val="20"/>
                <w:szCs w:val="20"/>
              </w:rPr>
            </w:pPr>
            <w:r w:rsidRPr="00C2587D">
              <w:rPr>
                <w:rFonts w:ascii="Times New Roman" w:hAnsi="Times New Roman"/>
                <w:sz w:val="20"/>
                <w:szCs w:val="20"/>
                <w:lang w:eastAsia="it-IT"/>
              </w:rPr>
              <w:t xml:space="preserve">«Заповіт великого майстра: розвиток культурного туризму та музеєфікація спадщини М. Г. Маслюка» </w:t>
            </w:r>
            <w:r w:rsidRPr="00C2587D">
              <w:rPr>
                <w:rFonts w:ascii="Times New Roman" w:eastAsia="Arial" w:hAnsi="Times New Roman"/>
                <w:w w:val="105"/>
                <w:sz w:val="20"/>
                <w:szCs w:val="20"/>
                <w:lang w:eastAsia="en-US"/>
              </w:rPr>
              <w:t>реалізація</w:t>
            </w:r>
            <w:r w:rsidRPr="00C2587D">
              <w:rPr>
                <w:rFonts w:ascii="Times New Roman" w:eastAsia="Arial" w:hAnsi="Times New Roman"/>
                <w:spacing w:val="57"/>
                <w:w w:val="105"/>
                <w:sz w:val="20"/>
                <w:szCs w:val="20"/>
                <w:lang w:eastAsia="en-US"/>
              </w:rPr>
              <w:t xml:space="preserve"> </w:t>
            </w:r>
            <w:r w:rsidRPr="00C2587D">
              <w:rPr>
                <w:rFonts w:ascii="Times New Roman" w:eastAsia="Arial" w:hAnsi="Times New Roman"/>
                <w:spacing w:val="-2"/>
                <w:w w:val="105"/>
                <w:sz w:val="20"/>
                <w:szCs w:val="20"/>
                <w:lang w:eastAsia="en-US"/>
              </w:rPr>
              <w:t>триває</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173B310" w14:textId="3E6B6168" w:rsidR="005F618D" w:rsidRPr="00C2587D" w:rsidRDefault="005F618D" w:rsidP="005F618D">
            <w:pPr>
              <w:ind w:left="113" w:right="113"/>
              <w:jc w:val="center"/>
              <w:rPr>
                <w:rFonts w:ascii="Times New Roman" w:hAnsi="Times New Roman"/>
                <w:b/>
                <w:sz w:val="20"/>
                <w:szCs w:val="20"/>
              </w:rPr>
            </w:pPr>
            <w:r w:rsidRPr="00C2587D">
              <w:rPr>
                <w:rFonts w:ascii="Times New Roman" w:eastAsia="Arial" w:hAnsi="Times New Roman"/>
                <w:b/>
                <w:sz w:val="20"/>
                <w:szCs w:val="20"/>
                <w:lang w:eastAsia="en-US"/>
              </w:rPr>
              <w:t>640,0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3EA93305" w14:textId="38849DDC"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440,0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C172838" w14:textId="52A8DAE9"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50,0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F6EF1A5" w14:textId="32E2FC41"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150,0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E38FFCF" w14:textId="48F41AC3"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140,0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BBAA33B" w14:textId="57B379D0"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100,0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7214F229" w14:textId="1B550BA3"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89B061B" w14:textId="28AC3559"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E461359" w14:textId="71875598"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161197E" w14:textId="6FEBA63F"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51BE0A6" w14:textId="3E55ACCF"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59860D08" w14:textId="77D346A8"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200,0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6AEC5C0" w14:textId="7F4A837A"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9E5020E" w14:textId="68A2E79D"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18CD2D6" w14:textId="4C9C5B75"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2815067" w14:textId="256D8726"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200,0</w:t>
            </w:r>
          </w:p>
        </w:tc>
        <w:tc>
          <w:tcPr>
            <w:tcW w:w="1360"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65F67880" w14:textId="75E68901" w:rsidR="005F618D" w:rsidRPr="00C2587D" w:rsidRDefault="005F618D" w:rsidP="005F618D">
            <w:pPr>
              <w:ind w:left="113" w:right="113"/>
              <w:jc w:val="center"/>
              <w:rPr>
                <w:rFonts w:ascii="Times New Roman" w:hAnsi="Times New Roman"/>
                <w:b/>
                <w:sz w:val="20"/>
                <w:szCs w:val="20"/>
              </w:rPr>
            </w:pPr>
            <w:r w:rsidRPr="00C2587D">
              <w:rPr>
                <w:rFonts w:ascii="Times New Roman" w:eastAsia="Arial" w:hAnsi="Times New Roman"/>
                <w:b/>
                <w:sz w:val="20"/>
                <w:szCs w:val="20"/>
                <w:lang w:eastAsia="en-US"/>
              </w:rPr>
              <w:t>640,0</w:t>
            </w:r>
          </w:p>
        </w:tc>
      </w:tr>
      <w:tr w:rsidR="005F618D" w:rsidRPr="00C2587D" w14:paraId="71CC8B91" w14:textId="77777777" w:rsidTr="00FF28D2">
        <w:trPr>
          <w:gridAfter w:val="1"/>
          <w:wAfter w:w="21" w:type="dxa"/>
          <w:cantSplit/>
          <w:trHeight w:val="1134"/>
        </w:trPr>
        <w:tc>
          <w:tcPr>
            <w:tcW w:w="433" w:type="dxa"/>
            <w:tcBorders>
              <w:top w:val="single" w:sz="4" w:space="0" w:color="auto"/>
              <w:left w:val="single" w:sz="4" w:space="0" w:color="auto"/>
              <w:bottom w:val="single" w:sz="4" w:space="0" w:color="auto"/>
              <w:right w:val="single" w:sz="4" w:space="0" w:color="auto"/>
            </w:tcBorders>
            <w:shd w:val="clear" w:color="auto" w:fill="auto"/>
          </w:tcPr>
          <w:p w14:paraId="27EB9BB1" w14:textId="114A1765" w:rsidR="005F618D" w:rsidRPr="00C2587D" w:rsidRDefault="001A3D07" w:rsidP="005F618D">
            <w:pPr>
              <w:rPr>
                <w:rFonts w:ascii="Times New Roman" w:hAnsi="Times New Roman"/>
                <w:sz w:val="20"/>
                <w:szCs w:val="20"/>
              </w:rPr>
            </w:pPr>
            <w:r w:rsidRPr="00C2587D">
              <w:rPr>
                <w:rFonts w:ascii="Times New Roman" w:eastAsia="Arial" w:hAnsi="Times New Roman"/>
                <w:sz w:val="20"/>
                <w:szCs w:val="20"/>
                <w:lang w:eastAsia="en-US"/>
              </w:rPr>
              <w:t>3</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14C09092" w14:textId="6A158FBD" w:rsidR="005F618D" w:rsidRPr="00C2587D" w:rsidRDefault="005F618D" w:rsidP="00FF28D2">
            <w:pPr>
              <w:rPr>
                <w:rFonts w:ascii="Times New Roman" w:hAnsi="Times New Roman"/>
                <w:color w:val="000000"/>
                <w:sz w:val="20"/>
                <w:szCs w:val="20"/>
              </w:rPr>
            </w:pPr>
            <w:r w:rsidRPr="00C2587D">
              <w:rPr>
                <w:rFonts w:ascii="Times New Roman" w:hAnsi="Times New Roman"/>
                <w:sz w:val="20"/>
                <w:szCs w:val="20"/>
                <w:lang w:eastAsia="it-IT"/>
              </w:rPr>
              <w:t xml:space="preserve">Українська народна кухня – культурна спадщина нашого народу </w:t>
            </w:r>
            <w:r w:rsidRPr="00C2587D">
              <w:rPr>
                <w:rFonts w:ascii="Times New Roman" w:eastAsia="Arial" w:hAnsi="Times New Roman"/>
                <w:w w:val="105"/>
                <w:sz w:val="20"/>
                <w:szCs w:val="20"/>
                <w:lang w:eastAsia="en-US"/>
              </w:rPr>
              <w:t>реалізація</w:t>
            </w:r>
            <w:r w:rsidRPr="00C2587D">
              <w:rPr>
                <w:rFonts w:ascii="Times New Roman" w:eastAsia="Arial" w:hAnsi="Times New Roman"/>
                <w:spacing w:val="57"/>
                <w:w w:val="105"/>
                <w:sz w:val="20"/>
                <w:szCs w:val="20"/>
                <w:lang w:eastAsia="en-US"/>
              </w:rPr>
              <w:t xml:space="preserve"> </w:t>
            </w:r>
            <w:r w:rsidRPr="00C2587D">
              <w:rPr>
                <w:rFonts w:ascii="Times New Roman" w:eastAsia="Arial" w:hAnsi="Times New Roman"/>
                <w:spacing w:val="-2"/>
                <w:w w:val="105"/>
                <w:sz w:val="20"/>
                <w:szCs w:val="20"/>
                <w:lang w:eastAsia="en-US"/>
              </w:rPr>
              <w:t>триває</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A76FE84" w14:textId="58382E09" w:rsidR="005F618D" w:rsidRPr="00C2587D" w:rsidRDefault="005F618D" w:rsidP="005F618D">
            <w:pPr>
              <w:ind w:left="113" w:right="113"/>
              <w:jc w:val="center"/>
              <w:rPr>
                <w:rFonts w:ascii="Times New Roman" w:hAnsi="Times New Roman"/>
                <w:b/>
                <w:sz w:val="20"/>
                <w:szCs w:val="20"/>
              </w:rPr>
            </w:pPr>
            <w:r w:rsidRPr="00C2587D">
              <w:rPr>
                <w:rFonts w:ascii="Times New Roman" w:eastAsia="Arial" w:hAnsi="Times New Roman"/>
                <w:b/>
                <w:sz w:val="20"/>
                <w:szCs w:val="20"/>
                <w:lang w:eastAsia="en-US"/>
              </w:rPr>
              <w:t>151,0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020EE0C1" w14:textId="7E4AEA14"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91,0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FD0F494" w14:textId="1B03072A"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E43888A" w14:textId="5E36A083"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45,0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FD9FE82" w14:textId="70B89BA7"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9059C0A" w14:textId="75383C3E"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46,0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77400B2A" w14:textId="096C09FE"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EF93ACC" w14:textId="10C8054E"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A519DB7" w14:textId="6480455E"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81C6E30" w14:textId="27F224A8"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5BC192D" w14:textId="0F74FE07"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2C1EC936" w14:textId="1642007A"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60,0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419EBBE" w14:textId="7D19090E"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175AAAB" w14:textId="447D5BE4"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A21495E" w14:textId="183B12C5"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50,0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A08A6E3" w14:textId="2D4BDA59"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10,0</w:t>
            </w:r>
          </w:p>
        </w:tc>
        <w:tc>
          <w:tcPr>
            <w:tcW w:w="1360"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68F74986" w14:textId="52044672" w:rsidR="005F618D" w:rsidRPr="00C2587D" w:rsidRDefault="005F618D" w:rsidP="005F618D">
            <w:pPr>
              <w:ind w:left="113" w:right="113"/>
              <w:jc w:val="center"/>
              <w:rPr>
                <w:rFonts w:ascii="Times New Roman" w:hAnsi="Times New Roman"/>
                <w:b/>
                <w:sz w:val="20"/>
                <w:szCs w:val="20"/>
              </w:rPr>
            </w:pPr>
            <w:r w:rsidRPr="00C2587D">
              <w:rPr>
                <w:rFonts w:ascii="Times New Roman" w:eastAsia="Arial" w:hAnsi="Times New Roman"/>
                <w:b/>
                <w:sz w:val="20"/>
                <w:szCs w:val="20"/>
                <w:lang w:eastAsia="en-US"/>
              </w:rPr>
              <w:t>151,0</w:t>
            </w:r>
          </w:p>
        </w:tc>
      </w:tr>
      <w:tr w:rsidR="005F618D" w:rsidRPr="00C2587D" w14:paraId="767DB96F" w14:textId="77777777" w:rsidTr="00FF28D2">
        <w:trPr>
          <w:gridAfter w:val="1"/>
          <w:wAfter w:w="21" w:type="dxa"/>
          <w:cantSplit/>
          <w:trHeight w:val="1134"/>
        </w:trPr>
        <w:tc>
          <w:tcPr>
            <w:tcW w:w="433" w:type="dxa"/>
            <w:tcBorders>
              <w:top w:val="single" w:sz="4" w:space="0" w:color="auto"/>
              <w:left w:val="single" w:sz="4" w:space="0" w:color="auto"/>
              <w:bottom w:val="single" w:sz="4" w:space="0" w:color="auto"/>
              <w:right w:val="single" w:sz="4" w:space="0" w:color="auto"/>
            </w:tcBorders>
            <w:shd w:val="clear" w:color="auto" w:fill="auto"/>
          </w:tcPr>
          <w:p w14:paraId="0AE71669" w14:textId="31608D07" w:rsidR="005F618D" w:rsidRPr="00C2587D" w:rsidRDefault="001A3D07" w:rsidP="005F618D">
            <w:pPr>
              <w:rPr>
                <w:rFonts w:ascii="Times New Roman" w:hAnsi="Times New Roman"/>
                <w:sz w:val="20"/>
                <w:szCs w:val="20"/>
              </w:rPr>
            </w:pPr>
            <w:r w:rsidRPr="00C2587D">
              <w:rPr>
                <w:rFonts w:ascii="Times New Roman" w:eastAsia="Arial" w:hAnsi="Times New Roman"/>
                <w:sz w:val="20"/>
                <w:szCs w:val="20"/>
                <w:lang w:eastAsia="en-US"/>
              </w:rPr>
              <w:t>4</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5E5367B3" w14:textId="460D4F44" w:rsidR="005F618D" w:rsidRPr="00C2587D" w:rsidRDefault="005F618D" w:rsidP="00FF28D2">
            <w:pPr>
              <w:rPr>
                <w:rFonts w:ascii="Times New Roman" w:hAnsi="Times New Roman"/>
                <w:color w:val="000000"/>
                <w:sz w:val="20"/>
                <w:szCs w:val="20"/>
              </w:rPr>
            </w:pPr>
            <w:r w:rsidRPr="00C2587D">
              <w:rPr>
                <w:rFonts w:ascii="Times New Roman" w:hAnsi="Times New Roman"/>
                <w:sz w:val="20"/>
                <w:szCs w:val="20"/>
                <w:lang w:eastAsia="it-IT"/>
              </w:rPr>
              <w:t xml:space="preserve">«Води живильної ковток – у чистоту Духовну крок» </w:t>
            </w:r>
            <w:r w:rsidRPr="00C2587D">
              <w:rPr>
                <w:rFonts w:ascii="Times New Roman" w:eastAsia="Arial" w:hAnsi="Times New Roman"/>
                <w:w w:val="105"/>
                <w:sz w:val="20"/>
                <w:szCs w:val="20"/>
                <w:lang w:eastAsia="en-US"/>
              </w:rPr>
              <w:t>реалізація</w:t>
            </w:r>
            <w:r w:rsidRPr="00C2587D">
              <w:rPr>
                <w:rFonts w:ascii="Times New Roman" w:eastAsia="Arial" w:hAnsi="Times New Roman"/>
                <w:spacing w:val="57"/>
                <w:w w:val="105"/>
                <w:sz w:val="20"/>
                <w:szCs w:val="20"/>
                <w:lang w:eastAsia="en-US"/>
              </w:rPr>
              <w:t xml:space="preserve"> </w:t>
            </w:r>
            <w:r w:rsidRPr="00C2587D">
              <w:rPr>
                <w:rFonts w:ascii="Times New Roman" w:eastAsia="Arial" w:hAnsi="Times New Roman"/>
                <w:spacing w:val="-2"/>
                <w:w w:val="105"/>
                <w:sz w:val="20"/>
                <w:szCs w:val="20"/>
                <w:lang w:eastAsia="en-US"/>
              </w:rPr>
              <w:t>триває</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0BE28A7" w14:textId="07A6CAF5" w:rsidR="005F618D" w:rsidRPr="00C2587D" w:rsidRDefault="005F618D" w:rsidP="005F618D">
            <w:pPr>
              <w:ind w:left="113" w:right="113"/>
              <w:jc w:val="center"/>
              <w:rPr>
                <w:rFonts w:ascii="Times New Roman" w:hAnsi="Times New Roman"/>
                <w:b/>
                <w:sz w:val="20"/>
                <w:szCs w:val="20"/>
              </w:rPr>
            </w:pPr>
            <w:r w:rsidRPr="00C2587D">
              <w:rPr>
                <w:rFonts w:ascii="Times New Roman" w:eastAsia="Arial" w:hAnsi="Times New Roman"/>
                <w:b/>
                <w:sz w:val="20"/>
                <w:szCs w:val="20"/>
                <w:lang w:eastAsia="en-US"/>
              </w:rPr>
              <w:t>600,0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5A2A545A" w14:textId="24C4D805"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500,0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4F2D7B0" w14:textId="2EA00871"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349505C" w14:textId="4C709B9C"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100,0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E9C8F97" w14:textId="170E913B"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200,0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73DA092" w14:textId="24E64AF1"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200,0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7245DFAC" w14:textId="31D5D678"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DA2B321" w14:textId="7391880A"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5BEFDAF" w14:textId="311CEEA8"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B1716C9" w14:textId="3DFC62CC"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FD212A8" w14:textId="1666F5B1"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692297C3" w14:textId="06EC4904"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100,0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F2500DC" w14:textId="31B9DD65"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99EDCC6" w14:textId="426F3559"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100,0</w:t>
            </w: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E8884A6" w14:textId="3F5E6003"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655C3B9" w14:textId="22963446"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1360"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13426DDF" w14:textId="77602B75" w:rsidR="005F618D" w:rsidRPr="00C2587D" w:rsidRDefault="005F618D" w:rsidP="005F618D">
            <w:pPr>
              <w:ind w:left="113" w:right="113"/>
              <w:jc w:val="center"/>
              <w:rPr>
                <w:rFonts w:ascii="Times New Roman" w:hAnsi="Times New Roman"/>
                <w:b/>
                <w:sz w:val="20"/>
                <w:szCs w:val="20"/>
              </w:rPr>
            </w:pPr>
            <w:r w:rsidRPr="00C2587D">
              <w:rPr>
                <w:rFonts w:ascii="Times New Roman" w:eastAsia="Arial" w:hAnsi="Times New Roman"/>
                <w:b/>
                <w:sz w:val="20"/>
                <w:szCs w:val="20"/>
                <w:lang w:eastAsia="en-US"/>
              </w:rPr>
              <w:t>600,0</w:t>
            </w:r>
          </w:p>
        </w:tc>
      </w:tr>
      <w:tr w:rsidR="005F618D" w:rsidRPr="00C2587D" w14:paraId="73E4D28B" w14:textId="77777777" w:rsidTr="00FF28D2">
        <w:trPr>
          <w:gridAfter w:val="1"/>
          <w:wAfter w:w="21" w:type="dxa"/>
          <w:cantSplit/>
          <w:trHeight w:val="1134"/>
        </w:trPr>
        <w:tc>
          <w:tcPr>
            <w:tcW w:w="433" w:type="dxa"/>
            <w:tcBorders>
              <w:top w:val="single" w:sz="4" w:space="0" w:color="auto"/>
              <w:left w:val="single" w:sz="4" w:space="0" w:color="auto"/>
              <w:bottom w:val="single" w:sz="4" w:space="0" w:color="auto"/>
              <w:right w:val="single" w:sz="4" w:space="0" w:color="auto"/>
            </w:tcBorders>
            <w:shd w:val="clear" w:color="auto" w:fill="auto"/>
          </w:tcPr>
          <w:p w14:paraId="32C2F064" w14:textId="0EBDADBB" w:rsidR="005F618D" w:rsidRPr="00C2587D" w:rsidRDefault="001A3D07" w:rsidP="005F618D">
            <w:pPr>
              <w:rPr>
                <w:rFonts w:ascii="Times New Roman" w:hAnsi="Times New Roman"/>
                <w:sz w:val="20"/>
                <w:szCs w:val="20"/>
              </w:rPr>
            </w:pPr>
            <w:r w:rsidRPr="00C2587D">
              <w:rPr>
                <w:rFonts w:ascii="Times New Roman" w:eastAsia="Arial" w:hAnsi="Times New Roman"/>
                <w:sz w:val="20"/>
                <w:szCs w:val="20"/>
                <w:lang w:eastAsia="en-US"/>
              </w:rPr>
              <w:t>5</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1257CC97" w14:textId="77777777" w:rsidR="005F618D" w:rsidRPr="00C2587D" w:rsidRDefault="005F618D" w:rsidP="00FF28D2">
            <w:pPr>
              <w:rPr>
                <w:rFonts w:ascii="Times New Roman" w:hAnsi="Times New Roman"/>
                <w:sz w:val="20"/>
                <w:szCs w:val="20"/>
                <w:lang w:eastAsia="it-IT"/>
              </w:rPr>
            </w:pPr>
            <w:r w:rsidRPr="00C2587D">
              <w:rPr>
                <w:rFonts w:ascii="Times New Roman" w:hAnsi="Times New Roman"/>
                <w:sz w:val="20"/>
                <w:szCs w:val="20"/>
                <w:lang w:eastAsia="it-IT"/>
              </w:rPr>
              <w:t>«Збереження історико-культурної спадщини Жмеринщини»</w:t>
            </w:r>
          </w:p>
          <w:p w14:paraId="7B8D0650" w14:textId="4D508696" w:rsidR="005F618D" w:rsidRPr="00C2587D" w:rsidRDefault="005F618D" w:rsidP="00FF28D2">
            <w:pPr>
              <w:rPr>
                <w:rFonts w:ascii="Times New Roman" w:hAnsi="Times New Roman"/>
                <w:color w:val="000000"/>
                <w:sz w:val="20"/>
                <w:szCs w:val="20"/>
              </w:rPr>
            </w:pPr>
            <w:r w:rsidRPr="00C2587D">
              <w:rPr>
                <w:rFonts w:ascii="Times New Roman" w:eastAsia="Arial" w:hAnsi="Times New Roman"/>
                <w:w w:val="105"/>
                <w:sz w:val="20"/>
                <w:szCs w:val="20"/>
                <w:lang w:eastAsia="en-US"/>
              </w:rPr>
              <w:t>реалізація</w:t>
            </w:r>
            <w:r w:rsidRPr="00C2587D">
              <w:rPr>
                <w:rFonts w:ascii="Times New Roman" w:eastAsia="Arial" w:hAnsi="Times New Roman"/>
                <w:spacing w:val="57"/>
                <w:w w:val="105"/>
                <w:sz w:val="20"/>
                <w:szCs w:val="20"/>
                <w:lang w:eastAsia="en-US"/>
              </w:rPr>
              <w:t xml:space="preserve"> </w:t>
            </w:r>
            <w:r w:rsidRPr="00C2587D">
              <w:rPr>
                <w:rFonts w:ascii="Times New Roman" w:eastAsia="Arial" w:hAnsi="Times New Roman"/>
                <w:spacing w:val="-2"/>
                <w:w w:val="105"/>
                <w:sz w:val="20"/>
                <w:szCs w:val="20"/>
                <w:lang w:eastAsia="en-US"/>
              </w:rPr>
              <w:t>триває</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C383108" w14:textId="2547F825" w:rsidR="005F618D" w:rsidRPr="00C2587D" w:rsidRDefault="005F618D" w:rsidP="005F618D">
            <w:pPr>
              <w:ind w:left="113" w:right="113"/>
              <w:jc w:val="center"/>
              <w:rPr>
                <w:rFonts w:ascii="Times New Roman" w:hAnsi="Times New Roman"/>
                <w:b/>
                <w:sz w:val="20"/>
                <w:szCs w:val="20"/>
              </w:rPr>
            </w:pPr>
            <w:r w:rsidRPr="00C2587D">
              <w:rPr>
                <w:rFonts w:ascii="Times New Roman" w:eastAsia="Arial" w:hAnsi="Times New Roman"/>
                <w:b/>
                <w:sz w:val="20"/>
                <w:szCs w:val="20"/>
                <w:lang w:eastAsia="en-US"/>
              </w:rPr>
              <w:t>207,0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42BDF76B" w14:textId="55075A23"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207,0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CC992ED" w14:textId="1619E17C"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C16336A" w14:textId="79EC13AE"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57,0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ABF2E84" w14:textId="70BBFEE8"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50,0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36862F5" w14:textId="772EFE7E"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100,0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16A92527" w14:textId="60E61D7C"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202FBF7" w14:textId="770605AB"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78938C6" w14:textId="3D147957"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654027B" w14:textId="557FE123"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FF020F2" w14:textId="77777777" w:rsidR="005F618D" w:rsidRPr="00C2587D" w:rsidRDefault="005F618D" w:rsidP="005F618D">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7A2CABD8" w14:textId="25ECD016"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EC965B2" w14:textId="08F7A3B4"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F4F2A9E" w14:textId="1F4FDD5A"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B22B7C8" w14:textId="55EB7892"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DF138F7" w14:textId="457D5FB1" w:rsidR="005F618D" w:rsidRPr="00C2587D" w:rsidRDefault="005F618D" w:rsidP="005F618D">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1360"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3A23363F" w14:textId="75CCDD4B" w:rsidR="005F618D" w:rsidRPr="00C2587D" w:rsidRDefault="005F618D" w:rsidP="005F618D">
            <w:pPr>
              <w:ind w:left="113" w:right="113"/>
              <w:jc w:val="center"/>
              <w:rPr>
                <w:rFonts w:ascii="Times New Roman" w:hAnsi="Times New Roman"/>
                <w:b/>
                <w:sz w:val="20"/>
                <w:szCs w:val="20"/>
              </w:rPr>
            </w:pPr>
            <w:r w:rsidRPr="00C2587D">
              <w:rPr>
                <w:rFonts w:ascii="Times New Roman" w:eastAsia="Arial" w:hAnsi="Times New Roman"/>
                <w:b/>
                <w:sz w:val="20"/>
                <w:szCs w:val="20"/>
                <w:lang w:eastAsia="en-US"/>
              </w:rPr>
              <w:t>207,0</w:t>
            </w:r>
          </w:p>
        </w:tc>
      </w:tr>
      <w:tr w:rsidR="001157FF" w:rsidRPr="00C2587D" w14:paraId="7DD97614" w14:textId="77777777" w:rsidTr="00747E56">
        <w:trPr>
          <w:gridAfter w:val="1"/>
          <w:wAfter w:w="21" w:type="dxa"/>
          <w:cantSplit/>
          <w:trHeight w:val="996"/>
        </w:trPr>
        <w:tc>
          <w:tcPr>
            <w:tcW w:w="433" w:type="dxa"/>
            <w:tcBorders>
              <w:top w:val="single" w:sz="4" w:space="0" w:color="auto"/>
              <w:left w:val="single" w:sz="4" w:space="0" w:color="auto"/>
              <w:bottom w:val="single" w:sz="4" w:space="0" w:color="auto"/>
              <w:right w:val="single" w:sz="4" w:space="0" w:color="auto"/>
            </w:tcBorders>
            <w:shd w:val="clear" w:color="auto" w:fill="auto"/>
          </w:tcPr>
          <w:p w14:paraId="6030BFE1" w14:textId="77777777" w:rsidR="001157FF" w:rsidRPr="00C2587D" w:rsidRDefault="001157FF" w:rsidP="005F618D">
            <w:pPr>
              <w:rPr>
                <w:rFonts w:ascii="Times New Roman" w:eastAsia="Arial" w:hAnsi="Times New Roman"/>
                <w:sz w:val="20"/>
                <w:szCs w:val="20"/>
                <w:lang w:eastAsia="en-US"/>
              </w:rPr>
            </w:pP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493E091B" w14:textId="11D681A8" w:rsidR="001157FF" w:rsidRPr="00747E56" w:rsidRDefault="001157FF" w:rsidP="00747E56">
            <w:pPr>
              <w:rPr>
                <w:rFonts w:ascii="Times New Roman" w:hAnsi="Times New Roman"/>
                <w:b/>
                <w:sz w:val="20"/>
                <w:szCs w:val="20"/>
                <w:lang w:eastAsia="it-IT"/>
              </w:rPr>
            </w:pPr>
            <w:r w:rsidRPr="00747E56">
              <w:rPr>
                <w:rFonts w:ascii="Times New Roman" w:hAnsi="Times New Roman"/>
                <w:b/>
                <w:sz w:val="20"/>
                <w:szCs w:val="20"/>
                <w:lang w:eastAsia="it-IT"/>
              </w:rPr>
              <w:t>ВСЬОГО</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BF04000" w14:textId="59B8DD73" w:rsidR="001157FF" w:rsidRPr="00C2587D" w:rsidRDefault="00871A01" w:rsidP="00871A01">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511131,3</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7AD42F1E" w14:textId="4E89AE18" w:rsidR="001157FF" w:rsidRPr="00C2587D" w:rsidRDefault="00871A01" w:rsidP="005F618D">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49599,3</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9207A20" w14:textId="6D38B650" w:rsidR="001157FF" w:rsidRPr="00C2587D" w:rsidRDefault="001157FF" w:rsidP="005F618D">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17307,9</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DF9EA94" w14:textId="4FFE8444" w:rsidR="001157FF" w:rsidRPr="00C2587D" w:rsidRDefault="001157FF" w:rsidP="005F618D">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12405,7</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7A8F825" w14:textId="7224F6E6" w:rsidR="001157FF" w:rsidRPr="00C2587D" w:rsidRDefault="001157FF" w:rsidP="005F618D">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9659,7</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8448F1D" w14:textId="0F20B95D" w:rsidR="001157FF" w:rsidRPr="00C2587D" w:rsidRDefault="001157FF" w:rsidP="005F618D">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10226,0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5933260C" w14:textId="1A8B865D" w:rsidR="001157FF" w:rsidRPr="00C2587D" w:rsidRDefault="00871A01" w:rsidP="00871A01">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107805,0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A478463" w14:textId="77777777" w:rsidR="001157FF" w:rsidRPr="00C2587D" w:rsidRDefault="001157FF" w:rsidP="005F618D">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4AE7E44" w14:textId="7573D629" w:rsidR="001157FF" w:rsidRPr="00C2587D" w:rsidRDefault="001157FF" w:rsidP="005F618D">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49805,0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52EC84C" w14:textId="77EBD7A1" w:rsidR="001157FF" w:rsidRPr="00C2587D" w:rsidRDefault="001157FF" w:rsidP="005F618D">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30000,0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EC70465" w14:textId="2DBC3BB1" w:rsidR="001157FF" w:rsidRPr="00C2587D" w:rsidRDefault="001157FF" w:rsidP="005F618D">
            <w:pPr>
              <w:ind w:left="113" w:right="113"/>
              <w:jc w:val="center"/>
              <w:rPr>
                <w:rFonts w:ascii="Times New Roman" w:hAnsi="Times New Roman"/>
                <w:sz w:val="20"/>
                <w:szCs w:val="20"/>
              </w:rPr>
            </w:pPr>
            <w:r w:rsidRPr="00C2587D">
              <w:rPr>
                <w:rFonts w:ascii="Times New Roman" w:hAnsi="Times New Roman"/>
                <w:sz w:val="20"/>
                <w:szCs w:val="20"/>
              </w:rPr>
              <w:t>28000,0</w:t>
            </w: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54006909" w14:textId="05492896" w:rsidR="001157FF" w:rsidRPr="00C2587D" w:rsidRDefault="00871A01" w:rsidP="005F618D">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353727,0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ECA7003" w14:textId="294AC70D" w:rsidR="001157FF" w:rsidRPr="00C2587D" w:rsidRDefault="001157FF" w:rsidP="005F618D">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867,0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737F297" w14:textId="34C2F7B8" w:rsidR="001157FF" w:rsidRPr="00C2587D" w:rsidRDefault="001157FF" w:rsidP="005F618D">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130900,0</w:t>
            </w: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86259FB" w14:textId="36A617F3" w:rsidR="001157FF" w:rsidRPr="00C2587D" w:rsidRDefault="001157FF" w:rsidP="005F618D">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121650,0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022C4D4" w14:textId="1CF19168" w:rsidR="001157FF" w:rsidRPr="00C2587D" w:rsidRDefault="001157FF" w:rsidP="005F618D">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100310,0</w:t>
            </w:r>
          </w:p>
        </w:tc>
        <w:tc>
          <w:tcPr>
            <w:tcW w:w="1360"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30E5E045" w14:textId="7A640B3C" w:rsidR="001157FF" w:rsidRPr="00C2587D" w:rsidRDefault="001157FF" w:rsidP="005F618D">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511131,3</w:t>
            </w:r>
          </w:p>
        </w:tc>
      </w:tr>
    </w:tbl>
    <w:p w14:paraId="0DBA96BC" w14:textId="77777777" w:rsidR="00747E56" w:rsidRDefault="00747E56">
      <w:r>
        <w:br w:type="page"/>
      </w:r>
    </w:p>
    <w:tbl>
      <w:tblPr>
        <w:tblW w:w="15175" w:type="dxa"/>
        <w:tblInd w:w="-12" w:type="dxa"/>
        <w:tblLayout w:type="fixed"/>
        <w:tblLook w:val="04A0" w:firstRow="1" w:lastRow="0" w:firstColumn="1" w:lastColumn="0" w:noHBand="0" w:noVBand="1"/>
      </w:tblPr>
      <w:tblGrid>
        <w:gridCol w:w="433"/>
        <w:gridCol w:w="2268"/>
        <w:gridCol w:w="737"/>
        <w:gridCol w:w="850"/>
        <w:gridCol w:w="992"/>
        <w:gridCol w:w="851"/>
        <w:gridCol w:w="850"/>
        <w:gridCol w:w="709"/>
        <w:gridCol w:w="709"/>
        <w:gridCol w:w="709"/>
        <w:gridCol w:w="708"/>
        <w:gridCol w:w="709"/>
        <w:gridCol w:w="709"/>
        <w:gridCol w:w="567"/>
        <w:gridCol w:w="567"/>
        <w:gridCol w:w="567"/>
        <w:gridCol w:w="624"/>
        <w:gridCol w:w="567"/>
        <w:gridCol w:w="1049"/>
      </w:tblGrid>
      <w:tr w:rsidR="00E7572A" w:rsidRPr="00C2587D" w14:paraId="29525A2D" w14:textId="77777777" w:rsidTr="00A041B2">
        <w:trPr>
          <w:cantSplit/>
          <w:trHeight w:val="431"/>
        </w:trPr>
        <w:tc>
          <w:tcPr>
            <w:tcW w:w="15175" w:type="dxa"/>
            <w:gridSpan w:val="19"/>
            <w:tcBorders>
              <w:top w:val="single" w:sz="4" w:space="0" w:color="auto"/>
              <w:left w:val="single" w:sz="4" w:space="0" w:color="auto"/>
              <w:bottom w:val="single" w:sz="4" w:space="0" w:color="auto"/>
              <w:right w:val="single" w:sz="4" w:space="0" w:color="auto"/>
            </w:tcBorders>
            <w:shd w:val="clear" w:color="auto" w:fill="auto"/>
            <w:vAlign w:val="center"/>
          </w:tcPr>
          <w:p w14:paraId="118EAB67" w14:textId="2F41E352" w:rsidR="00E7572A" w:rsidRPr="00C2587D" w:rsidRDefault="00E7572A" w:rsidP="00E7572A">
            <w:pPr>
              <w:ind w:left="113" w:right="113"/>
              <w:jc w:val="center"/>
              <w:rPr>
                <w:rFonts w:ascii="Times New Roman" w:eastAsia="Arial" w:hAnsi="Times New Roman"/>
                <w:b/>
                <w:sz w:val="20"/>
                <w:szCs w:val="20"/>
                <w:lang w:eastAsia="en-US"/>
              </w:rPr>
            </w:pPr>
            <w:r w:rsidRPr="00C2587D">
              <w:rPr>
                <w:rFonts w:ascii="Times New Roman" w:hAnsi="Times New Roman"/>
                <w:b/>
                <w:sz w:val="28"/>
                <w:szCs w:val="28"/>
              </w:rPr>
              <w:lastRenderedPageBreak/>
              <w:t>Стратегічний напрям В «Комфортна громада»</w:t>
            </w:r>
          </w:p>
        </w:tc>
      </w:tr>
      <w:tr w:rsidR="00E7572A" w:rsidRPr="00C2587D" w14:paraId="4EF0D975" w14:textId="77777777" w:rsidTr="00A041B2">
        <w:trPr>
          <w:cantSplit/>
          <w:trHeight w:val="267"/>
        </w:trPr>
        <w:tc>
          <w:tcPr>
            <w:tcW w:w="15175" w:type="dxa"/>
            <w:gridSpan w:val="19"/>
            <w:tcBorders>
              <w:top w:val="single" w:sz="4" w:space="0" w:color="auto"/>
              <w:left w:val="single" w:sz="4" w:space="0" w:color="auto"/>
              <w:bottom w:val="single" w:sz="4" w:space="0" w:color="auto"/>
              <w:right w:val="single" w:sz="4" w:space="0" w:color="auto"/>
            </w:tcBorders>
            <w:shd w:val="clear" w:color="auto" w:fill="auto"/>
            <w:vAlign w:val="center"/>
          </w:tcPr>
          <w:p w14:paraId="4060718C" w14:textId="7C8F0C3E" w:rsidR="00E7572A" w:rsidRPr="00C2587D" w:rsidRDefault="00E7572A" w:rsidP="00E7572A">
            <w:pPr>
              <w:ind w:left="113" w:right="113"/>
              <w:jc w:val="center"/>
              <w:rPr>
                <w:rFonts w:ascii="Times New Roman" w:hAnsi="Times New Roman"/>
                <w:b/>
                <w:sz w:val="20"/>
                <w:szCs w:val="20"/>
              </w:rPr>
            </w:pPr>
            <w:r w:rsidRPr="00C2587D">
              <w:rPr>
                <w:rFonts w:ascii="Times New Roman" w:hAnsi="Times New Roman"/>
                <w:b/>
                <w:sz w:val="20"/>
                <w:szCs w:val="20"/>
              </w:rPr>
              <w:t>Управління ЖКГ міської ради</w:t>
            </w:r>
          </w:p>
        </w:tc>
      </w:tr>
      <w:tr w:rsidR="00E7572A" w:rsidRPr="00C2587D" w14:paraId="76EC7CC1" w14:textId="77777777" w:rsidTr="00A041B2">
        <w:trPr>
          <w:cantSplit/>
          <w:trHeight w:val="409"/>
        </w:trPr>
        <w:tc>
          <w:tcPr>
            <w:tcW w:w="15175" w:type="dxa"/>
            <w:gridSpan w:val="19"/>
            <w:tcBorders>
              <w:top w:val="single" w:sz="4" w:space="0" w:color="auto"/>
              <w:left w:val="single" w:sz="4" w:space="0" w:color="auto"/>
              <w:bottom w:val="single" w:sz="4" w:space="0" w:color="auto"/>
              <w:right w:val="single" w:sz="4" w:space="0" w:color="auto"/>
            </w:tcBorders>
            <w:shd w:val="clear" w:color="auto" w:fill="auto"/>
            <w:vAlign w:val="center"/>
          </w:tcPr>
          <w:p w14:paraId="4642420B" w14:textId="51EE9417" w:rsidR="00E7572A" w:rsidRPr="00C2587D" w:rsidRDefault="00E7572A" w:rsidP="00E7572A">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rPr>
              <w:t>Програми місцевого розвитку (в тому числі, які реалізуються через проєкти)</w:t>
            </w:r>
          </w:p>
        </w:tc>
      </w:tr>
      <w:tr w:rsidR="00E7572A" w:rsidRPr="00C2587D" w14:paraId="22F3B74A" w14:textId="77777777" w:rsidTr="00A041B2">
        <w:trPr>
          <w:cantSplit/>
          <w:trHeight w:val="1134"/>
        </w:trPr>
        <w:tc>
          <w:tcPr>
            <w:tcW w:w="433" w:type="dxa"/>
            <w:tcBorders>
              <w:top w:val="single" w:sz="4" w:space="0" w:color="auto"/>
              <w:left w:val="single" w:sz="4" w:space="0" w:color="auto"/>
              <w:bottom w:val="single" w:sz="4" w:space="0" w:color="auto"/>
              <w:right w:val="single" w:sz="4" w:space="0" w:color="auto"/>
            </w:tcBorders>
            <w:shd w:val="clear" w:color="auto" w:fill="auto"/>
          </w:tcPr>
          <w:p w14:paraId="1030EC3C" w14:textId="68C017F3" w:rsidR="00E7572A" w:rsidRPr="00C2587D" w:rsidRDefault="00E7572A" w:rsidP="00E7572A">
            <w:pPr>
              <w:rPr>
                <w:rFonts w:ascii="Times New Roman" w:eastAsia="Arial" w:hAnsi="Times New Roman"/>
                <w:sz w:val="20"/>
                <w:szCs w:val="20"/>
                <w:lang w:eastAsia="en-US"/>
              </w:rPr>
            </w:pPr>
            <w:r w:rsidRPr="00C2587D">
              <w:rPr>
                <w:rFonts w:ascii="Times New Roman" w:eastAsia="Arial" w:hAnsi="Times New Roman"/>
                <w:sz w:val="20"/>
                <w:szCs w:val="20"/>
              </w:rPr>
              <w:t>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FE38134" w14:textId="2C63B5F9" w:rsidR="00E7572A" w:rsidRPr="00C2587D" w:rsidRDefault="00E7572A" w:rsidP="00E7572A">
            <w:pPr>
              <w:rPr>
                <w:rFonts w:ascii="Times New Roman" w:hAnsi="Times New Roman"/>
                <w:sz w:val="20"/>
                <w:szCs w:val="20"/>
                <w:lang w:eastAsia="it-IT"/>
              </w:rPr>
            </w:pPr>
            <w:r w:rsidRPr="00C2587D">
              <w:rPr>
                <w:rFonts w:ascii="Times New Roman" w:eastAsia="Arial" w:hAnsi="Times New Roman"/>
                <w:sz w:val="20"/>
                <w:szCs w:val="20"/>
              </w:rPr>
              <w:t>Програма капітального ремонту багатоквартирних житлових будинків Жмеринської міської територіальної громади на 2024-2028роки</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5E085B4" w14:textId="0848CC21" w:rsidR="00E7572A" w:rsidRPr="00C2587D" w:rsidRDefault="00E7572A" w:rsidP="00E7572A">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157900,00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61760DC0" w14:textId="6BCBCA14"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145500,00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8FA63E8" w14:textId="04145509"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40950,00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8D77701" w14:textId="1B0EDFD0"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35950,00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CFD0BEC" w14:textId="24ACE21D"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35300,00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2BF3D2B" w14:textId="176B4B2E"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33300,00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1D9A6BB2"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82253AC"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7F0B650"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88F0A2F"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2866EDD" w14:textId="77777777" w:rsidR="00E7572A" w:rsidRPr="00C2587D" w:rsidRDefault="00E7572A" w:rsidP="00E7572A">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3A57DA32" w14:textId="0A2FD29F"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12400,00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75A75B2" w14:textId="67AFC5FF"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3550,00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4621D15" w14:textId="5D4BB63B"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3050,00</w:t>
            </w: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3028C4B" w14:textId="3C9AD32B"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3000,00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3CCCEAC" w14:textId="1AA3FB61"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2800,00</w:t>
            </w:r>
          </w:p>
        </w:tc>
        <w:tc>
          <w:tcPr>
            <w:tcW w:w="104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33216385" w14:textId="1FEF7B27" w:rsidR="00E7572A" w:rsidRPr="00C2587D" w:rsidRDefault="00E7572A" w:rsidP="00E7572A">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202400,00</w:t>
            </w:r>
          </w:p>
        </w:tc>
      </w:tr>
      <w:tr w:rsidR="00E7572A" w:rsidRPr="00C2587D" w14:paraId="5F8F8268" w14:textId="77777777" w:rsidTr="00FF28D2">
        <w:trPr>
          <w:cantSplit/>
          <w:trHeight w:val="1134"/>
        </w:trPr>
        <w:tc>
          <w:tcPr>
            <w:tcW w:w="433" w:type="dxa"/>
            <w:tcBorders>
              <w:top w:val="single" w:sz="4" w:space="0" w:color="auto"/>
              <w:left w:val="single" w:sz="4" w:space="0" w:color="auto"/>
              <w:bottom w:val="single" w:sz="4" w:space="0" w:color="auto"/>
              <w:right w:val="single" w:sz="4" w:space="0" w:color="auto"/>
            </w:tcBorders>
            <w:shd w:val="clear" w:color="auto" w:fill="auto"/>
          </w:tcPr>
          <w:p w14:paraId="7698FD13" w14:textId="41544283" w:rsidR="00E7572A" w:rsidRPr="00C2587D" w:rsidRDefault="00E7572A" w:rsidP="00E7572A">
            <w:pPr>
              <w:rPr>
                <w:rFonts w:ascii="Times New Roman" w:eastAsia="Arial" w:hAnsi="Times New Roman"/>
                <w:sz w:val="20"/>
                <w:szCs w:val="20"/>
                <w:lang w:eastAsia="en-US"/>
              </w:rPr>
            </w:pPr>
            <w:r w:rsidRPr="00C2587D">
              <w:rPr>
                <w:rFonts w:ascii="Times New Roman" w:eastAsia="Arial" w:hAnsi="Times New Roman"/>
                <w:sz w:val="20"/>
                <w:szCs w:val="20"/>
              </w:rPr>
              <w:t>2</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631A70E" w14:textId="58887008" w:rsidR="00E7572A" w:rsidRPr="00C2587D" w:rsidRDefault="00E7572A" w:rsidP="00FF28D2">
            <w:pPr>
              <w:rPr>
                <w:rFonts w:ascii="Times New Roman" w:hAnsi="Times New Roman"/>
                <w:sz w:val="20"/>
                <w:szCs w:val="20"/>
                <w:lang w:eastAsia="it-IT"/>
              </w:rPr>
            </w:pPr>
            <w:r w:rsidRPr="00C2587D">
              <w:rPr>
                <w:rFonts w:ascii="Times New Roman" w:eastAsia="Arial" w:hAnsi="Times New Roman"/>
                <w:sz w:val="20"/>
                <w:szCs w:val="20"/>
              </w:rPr>
              <w:t>Програма "З комплексного благоустрою  Жмеринської міської територіальної громади на 2024-2028 роки</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9E2A652" w14:textId="053ED7F3" w:rsidR="00E7572A" w:rsidRPr="00C2587D" w:rsidRDefault="00E7572A" w:rsidP="00E7572A">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429365,00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27135049" w14:textId="56EF2E1D"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427265,00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AFBD8B6" w14:textId="30C8E827"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99710,00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AB58FF1" w14:textId="267EDCF0"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105145,00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25FD184" w14:textId="6BEEA293"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109720,00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0F57AEF" w14:textId="3CDFD4DE"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112690,00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147A15B1"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A9EEC50"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DDC77B4"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DE90888"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FF948EE" w14:textId="77777777" w:rsidR="00E7572A" w:rsidRPr="00C2587D" w:rsidRDefault="00E7572A" w:rsidP="00E7572A">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496FD8A8" w14:textId="71F61F0A"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2100,00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2D78B28" w14:textId="0A11AD09"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480,00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2026D7A" w14:textId="6327E30C"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510,00</w:t>
            </w: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22EA309" w14:textId="0C3E26B8"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540,00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2314F36" w14:textId="47600EC6"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570,00</w:t>
            </w:r>
          </w:p>
        </w:tc>
        <w:tc>
          <w:tcPr>
            <w:tcW w:w="104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78B8AB46" w14:textId="4B23A908" w:rsidR="00E7572A" w:rsidRPr="00C2587D" w:rsidRDefault="00E7572A" w:rsidP="00E7572A">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521550,00</w:t>
            </w:r>
          </w:p>
        </w:tc>
      </w:tr>
      <w:tr w:rsidR="00E7572A" w:rsidRPr="00C2587D" w14:paraId="0597A837" w14:textId="77777777" w:rsidTr="00FF28D2">
        <w:trPr>
          <w:cantSplit/>
          <w:trHeight w:val="1134"/>
        </w:trPr>
        <w:tc>
          <w:tcPr>
            <w:tcW w:w="433" w:type="dxa"/>
            <w:tcBorders>
              <w:top w:val="single" w:sz="4" w:space="0" w:color="auto"/>
              <w:left w:val="single" w:sz="4" w:space="0" w:color="auto"/>
              <w:bottom w:val="single" w:sz="4" w:space="0" w:color="auto"/>
              <w:right w:val="single" w:sz="4" w:space="0" w:color="auto"/>
            </w:tcBorders>
            <w:shd w:val="clear" w:color="auto" w:fill="auto"/>
          </w:tcPr>
          <w:p w14:paraId="3FAF11BB" w14:textId="32186F59" w:rsidR="00E7572A" w:rsidRPr="00C2587D" w:rsidRDefault="00E7572A" w:rsidP="00E7572A">
            <w:pPr>
              <w:rPr>
                <w:rFonts w:ascii="Times New Roman" w:eastAsia="Arial" w:hAnsi="Times New Roman"/>
                <w:sz w:val="20"/>
                <w:szCs w:val="20"/>
                <w:lang w:eastAsia="en-US"/>
              </w:rPr>
            </w:pPr>
            <w:r w:rsidRPr="00C2587D">
              <w:rPr>
                <w:rFonts w:ascii="Times New Roman" w:eastAsia="Arial" w:hAnsi="Times New Roman"/>
                <w:sz w:val="20"/>
                <w:szCs w:val="20"/>
              </w:rPr>
              <w:t>3</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3A47F95E" w14:textId="6E748232" w:rsidR="00E7572A" w:rsidRPr="00C2587D" w:rsidRDefault="00E7572A" w:rsidP="00FF28D2">
            <w:pPr>
              <w:rPr>
                <w:rFonts w:ascii="Times New Roman" w:hAnsi="Times New Roman"/>
                <w:sz w:val="20"/>
                <w:szCs w:val="20"/>
                <w:lang w:eastAsia="it-IT"/>
              </w:rPr>
            </w:pPr>
            <w:r w:rsidRPr="00C2587D">
              <w:rPr>
                <w:rFonts w:ascii="Times New Roman" w:eastAsia="Arial" w:hAnsi="Times New Roman"/>
                <w:sz w:val="20"/>
                <w:szCs w:val="20"/>
              </w:rPr>
              <w:t xml:space="preserve">Програма "Питна вода Жмеринської міської територіальної громади </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6365B18" w14:textId="06B3A257" w:rsidR="00E7572A" w:rsidRPr="00C2587D" w:rsidRDefault="00E7572A" w:rsidP="00E7572A">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185887,00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1E51A0A8" w14:textId="3467A5EB"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185888,00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C8D071A" w14:textId="0754F8B3"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81783,00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9564185" w14:textId="61D593B6"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33807,00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D1C5352" w14:textId="59909F28"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34216,00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2B55FFB" w14:textId="1C36ACE8"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36082,00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13300F4E"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5C7E520"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0ADC288"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50CC74E"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646C464" w14:textId="77777777" w:rsidR="00E7572A" w:rsidRPr="00C2587D" w:rsidRDefault="00E7572A" w:rsidP="00E7572A">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23E90DFE"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ECA7EB3"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96B600E"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75100C8"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997D0B2"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002E26EB" w14:textId="7893FEEB" w:rsidR="00E7572A" w:rsidRPr="00C2587D" w:rsidRDefault="00E7572A" w:rsidP="00E7572A">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299798,00</w:t>
            </w:r>
          </w:p>
        </w:tc>
      </w:tr>
      <w:tr w:rsidR="00E7572A" w:rsidRPr="00C2587D" w14:paraId="3E806A48" w14:textId="77777777" w:rsidTr="00FF28D2">
        <w:trPr>
          <w:cantSplit/>
          <w:trHeight w:val="1134"/>
        </w:trPr>
        <w:tc>
          <w:tcPr>
            <w:tcW w:w="433" w:type="dxa"/>
            <w:tcBorders>
              <w:top w:val="single" w:sz="4" w:space="0" w:color="auto"/>
              <w:left w:val="single" w:sz="4" w:space="0" w:color="auto"/>
              <w:bottom w:val="single" w:sz="4" w:space="0" w:color="auto"/>
              <w:right w:val="single" w:sz="4" w:space="0" w:color="auto"/>
            </w:tcBorders>
            <w:shd w:val="clear" w:color="auto" w:fill="auto"/>
          </w:tcPr>
          <w:p w14:paraId="3E0D6931" w14:textId="60A777E1" w:rsidR="00E7572A" w:rsidRPr="00C2587D" w:rsidRDefault="00E7572A" w:rsidP="00E7572A">
            <w:pPr>
              <w:rPr>
                <w:rFonts w:ascii="Times New Roman" w:eastAsia="Arial" w:hAnsi="Times New Roman"/>
                <w:sz w:val="20"/>
                <w:szCs w:val="20"/>
                <w:lang w:eastAsia="en-US"/>
              </w:rPr>
            </w:pPr>
            <w:r w:rsidRPr="00C2587D">
              <w:rPr>
                <w:rFonts w:ascii="Times New Roman" w:eastAsia="Arial" w:hAnsi="Times New Roman"/>
                <w:sz w:val="20"/>
                <w:szCs w:val="20"/>
              </w:rPr>
              <w:t>4</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238962B5" w14:textId="13AECBFB" w:rsidR="00E7572A" w:rsidRPr="00C2587D" w:rsidRDefault="00E7572A" w:rsidP="00FF28D2">
            <w:pPr>
              <w:rPr>
                <w:rFonts w:ascii="Times New Roman" w:hAnsi="Times New Roman"/>
                <w:sz w:val="20"/>
                <w:szCs w:val="20"/>
                <w:lang w:eastAsia="it-IT"/>
              </w:rPr>
            </w:pPr>
            <w:r w:rsidRPr="00C2587D">
              <w:rPr>
                <w:rFonts w:ascii="Times New Roman" w:eastAsia="Arial" w:hAnsi="Times New Roman"/>
                <w:sz w:val="20"/>
                <w:szCs w:val="20"/>
              </w:rPr>
              <w:t xml:space="preserve">Програма "Екологічна безпека та охорона навколишнього природного середовища Жмеринської міської ТГ на 2024-2028 роки </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89C6E6D" w14:textId="33D41C79" w:rsidR="00E7572A" w:rsidRPr="00C2587D" w:rsidRDefault="00E7572A" w:rsidP="00E7572A">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29780,00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54454009" w14:textId="6B5521F3"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29780,00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FB67D72" w14:textId="3C0458DF"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10570,00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6F77900" w14:textId="0DD22494"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10170,00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EE9AEC5" w14:textId="51D1F2C5"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4420,00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5E29721" w14:textId="7E5B4176"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4620,00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70CCA57A"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5F52703"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8E69B4B"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1E07A2B"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BBB8901" w14:textId="77777777" w:rsidR="00E7572A" w:rsidRPr="00C2587D" w:rsidRDefault="00E7572A" w:rsidP="00E7572A">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2483CCD9"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F56605E"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FBBF78C"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914AA5F"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8D8E9A9"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7488C87D" w14:textId="0DEB3A2A" w:rsidR="00E7572A" w:rsidRPr="00C2587D" w:rsidRDefault="00E7572A" w:rsidP="00E7572A">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33270,00</w:t>
            </w:r>
          </w:p>
        </w:tc>
      </w:tr>
      <w:tr w:rsidR="00E7572A" w:rsidRPr="00C2587D" w14:paraId="178C6C1B" w14:textId="77777777" w:rsidTr="00FF28D2">
        <w:trPr>
          <w:cantSplit/>
          <w:trHeight w:val="1134"/>
        </w:trPr>
        <w:tc>
          <w:tcPr>
            <w:tcW w:w="433" w:type="dxa"/>
            <w:tcBorders>
              <w:top w:val="single" w:sz="4" w:space="0" w:color="auto"/>
              <w:left w:val="single" w:sz="4" w:space="0" w:color="auto"/>
              <w:bottom w:val="single" w:sz="4" w:space="0" w:color="auto"/>
              <w:right w:val="single" w:sz="4" w:space="0" w:color="auto"/>
            </w:tcBorders>
            <w:shd w:val="clear" w:color="auto" w:fill="auto"/>
          </w:tcPr>
          <w:p w14:paraId="3AB394C7" w14:textId="14231F1F" w:rsidR="00E7572A" w:rsidRPr="00C2587D" w:rsidRDefault="00E7572A" w:rsidP="00E7572A">
            <w:pPr>
              <w:rPr>
                <w:rFonts w:ascii="Times New Roman" w:eastAsia="Arial" w:hAnsi="Times New Roman"/>
                <w:sz w:val="20"/>
                <w:szCs w:val="20"/>
                <w:lang w:eastAsia="en-US"/>
              </w:rPr>
            </w:pPr>
            <w:r w:rsidRPr="00C2587D">
              <w:rPr>
                <w:rFonts w:ascii="Times New Roman" w:eastAsia="Arial" w:hAnsi="Times New Roman"/>
                <w:sz w:val="20"/>
                <w:szCs w:val="20"/>
              </w:rPr>
              <w:t>5</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165F7049" w14:textId="226DB524" w:rsidR="00E7572A" w:rsidRPr="00C2587D" w:rsidRDefault="00E7572A" w:rsidP="00FF28D2">
            <w:pPr>
              <w:rPr>
                <w:rFonts w:ascii="Times New Roman" w:hAnsi="Times New Roman"/>
                <w:sz w:val="20"/>
                <w:szCs w:val="20"/>
                <w:lang w:eastAsia="it-IT"/>
              </w:rPr>
            </w:pPr>
            <w:r w:rsidRPr="00C2587D">
              <w:rPr>
                <w:rFonts w:ascii="Times New Roman" w:eastAsia="Arial" w:hAnsi="Times New Roman"/>
                <w:sz w:val="20"/>
                <w:szCs w:val="20"/>
              </w:rPr>
              <w:t>Програма приватизації майна комунальної власності  Жмеринської міської територіальної громади на 2024-2028роки</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66359C3" w14:textId="65CAE77D" w:rsidR="00E7572A" w:rsidRPr="00C2587D" w:rsidRDefault="00E7572A" w:rsidP="00E7572A">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1120,00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0C77855B" w14:textId="341F9634"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1120,00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0439CAB" w14:textId="3AD22308"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280,00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CDE3732" w14:textId="2A96B117"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280,00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3F8424C" w14:textId="72148842"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280,00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6141BE0" w14:textId="18BC4211"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280,00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3C7E380B"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138C567"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9F9DE3B"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1CF40CB"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6F590E7" w14:textId="77777777" w:rsidR="00E7572A" w:rsidRPr="00C2587D" w:rsidRDefault="00E7572A" w:rsidP="00E7572A">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65C4A9A2"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4ACA323"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DFB5626"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E24C0E1"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3083FC0"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6E824B37" w14:textId="093F43D8" w:rsidR="00E7572A" w:rsidRPr="00C2587D" w:rsidRDefault="00E7572A" w:rsidP="00E7572A">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1400,00</w:t>
            </w:r>
          </w:p>
        </w:tc>
      </w:tr>
      <w:tr w:rsidR="00E7572A" w:rsidRPr="00C2587D" w14:paraId="0DA4E4C9" w14:textId="77777777" w:rsidTr="00A041B2">
        <w:trPr>
          <w:cantSplit/>
          <w:trHeight w:val="1134"/>
        </w:trPr>
        <w:tc>
          <w:tcPr>
            <w:tcW w:w="433" w:type="dxa"/>
            <w:tcBorders>
              <w:top w:val="single" w:sz="4" w:space="0" w:color="auto"/>
              <w:left w:val="single" w:sz="4" w:space="0" w:color="auto"/>
              <w:bottom w:val="single" w:sz="4" w:space="0" w:color="auto"/>
              <w:right w:val="single" w:sz="4" w:space="0" w:color="auto"/>
            </w:tcBorders>
            <w:shd w:val="clear" w:color="auto" w:fill="auto"/>
          </w:tcPr>
          <w:p w14:paraId="3378DE50" w14:textId="5B1A7BC0" w:rsidR="00E7572A" w:rsidRPr="00C2587D" w:rsidRDefault="00E7572A" w:rsidP="00E7572A">
            <w:pPr>
              <w:rPr>
                <w:rFonts w:ascii="Times New Roman" w:eastAsia="Arial" w:hAnsi="Times New Roman"/>
                <w:sz w:val="20"/>
                <w:szCs w:val="20"/>
                <w:lang w:eastAsia="en-US"/>
              </w:rPr>
            </w:pPr>
            <w:r w:rsidRPr="00C2587D">
              <w:rPr>
                <w:rFonts w:ascii="Times New Roman" w:eastAsia="Arial" w:hAnsi="Times New Roman"/>
                <w:sz w:val="20"/>
                <w:szCs w:val="20"/>
              </w:rPr>
              <w:lastRenderedPageBreak/>
              <w:t>6</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EF582AC" w14:textId="220A5D21" w:rsidR="00E7572A" w:rsidRPr="00C2587D" w:rsidRDefault="00E7572A" w:rsidP="00E7572A">
            <w:pPr>
              <w:rPr>
                <w:rFonts w:ascii="Times New Roman" w:hAnsi="Times New Roman"/>
                <w:sz w:val="20"/>
                <w:szCs w:val="20"/>
                <w:lang w:eastAsia="it-IT"/>
              </w:rPr>
            </w:pPr>
            <w:r w:rsidRPr="00C2587D">
              <w:rPr>
                <w:rFonts w:ascii="Times New Roman" w:eastAsia="Arial" w:hAnsi="Times New Roman"/>
                <w:sz w:val="20"/>
                <w:szCs w:val="20"/>
              </w:rPr>
              <w:t>Програма фінансової підтримки комунальних підприємств Жмеринської міської ради, які надають житлово-комунальні послуги на території Жмеринської міської територіальної громади на 2025-2027 роки</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BA2D1A1" w14:textId="02A36F71" w:rsidR="00E7572A" w:rsidRPr="00C2587D" w:rsidRDefault="00E7572A" w:rsidP="00E7572A">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15509,00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605102D3" w14:textId="52F6FB38"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15509,00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EE643E1" w14:textId="681083E3"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9216,00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2C6BF72" w14:textId="5CA08590"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4157,00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DAB2E71" w14:textId="1530C6F2"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2136,00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B21571B"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59177E2C"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550563E"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60976D2"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4201826"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E4B5D0B" w14:textId="77777777" w:rsidR="00E7572A" w:rsidRPr="00C2587D" w:rsidRDefault="00E7572A" w:rsidP="00E7572A">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5C3D56C5"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836B36F"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58E8A6F"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8618762"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093AA40"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3BF6FF17" w14:textId="0B4CFF65" w:rsidR="00E7572A" w:rsidRPr="00C2587D" w:rsidRDefault="00E7572A" w:rsidP="00E7572A">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15509,00</w:t>
            </w:r>
          </w:p>
        </w:tc>
      </w:tr>
      <w:tr w:rsidR="00E7572A" w:rsidRPr="00C2587D" w14:paraId="13F964D4" w14:textId="77777777" w:rsidTr="00A041B2">
        <w:trPr>
          <w:cantSplit/>
          <w:trHeight w:val="1134"/>
        </w:trPr>
        <w:tc>
          <w:tcPr>
            <w:tcW w:w="433" w:type="dxa"/>
            <w:tcBorders>
              <w:top w:val="single" w:sz="4" w:space="0" w:color="auto"/>
              <w:left w:val="single" w:sz="4" w:space="0" w:color="auto"/>
              <w:bottom w:val="single" w:sz="4" w:space="0" w:color="auto"/>
              <w:right w:val="single" w:sz="4" w:space="0" w:color="auto"/>
            </w:tcBorders>
            <w:shd w:val="clear" w:color="auto" w:fill="auto"/>
          </w:tcPr>
          <w:p w14:paraId="42739AED" w14:textId="23EE7220" w:rsidR="00E7572A" w:rsidRPr="00C2587D" w:rsidRDefault="00E7572A" w:rsidP="00E7572A">
            <w:pPr>
              <w:rPr>
                <w:rFonts w:ascii="Times New Roman" w:eastAsia="Arial" w:hAnsi="Times New Roman"/>
                <w:sz w:val="20"/>
                <w:szCs w:val="20"/>
                <w:lang w:eastAsia="en-US"/>
              </w:rPr>
            </w:pPr>
            <w:r w:rsidRPr="00C2587D">
              <w:rPr>
                <w:rFonts w:ascii="Times New Roman" w:eastAsia="Arial" w:hAnsi="Times New Roman"/>
                <w:sz w:val="20"/>
                <w:szCs w:val="20"/>
              </w:rPr>
              <w:t>7</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80B5375" w14:textId="0D9D0474" w:rsidR="00E7572A" w:rsidRPr="00C2587D" w:rsidRDefault="00E7572A" w:rsidP="00E7572A">
            <w:pPr>
              <w:rPr>
                <w:rFonts w:ascii="Times New Roman" w:hAnsi="Times New Roman"/>
                <w:sz w:val="20"/>
                <w:szCs w:val="20"/>
                <w:lang w:eastAsia="it-IT"/>
              </w:rPr>
            </w:pPr>
            <w:r w:rsidRPr="00C2587D">
              <w:rPr>
                <w:rFonts w:ascii="Times New Roman" w:eastAsia="Arial" w:hAnsi="Times New Roman"/>
                <w:sz w:val="20"/>
                <w:szCs w:val="20"/>
              </w:rPr>
              <w:t>Програма "Будівництво (реконструкція, капітальний та поточний  ремонт) об’єктів комунальної власності Жмеринської міської територіальної громади на 2024-2028 роки</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58D95C9" w14:textId="5BC08CE9" w:rsidR="00E7572A" w:rsidRPr="00C2587D" w:rsidRDefault="00E7572A" w:rsidP="00E7572A">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1324390,00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73B7F12B" w14:textId="04EABE62"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1324390,00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2AC04D1" w14:textId="3C96731E"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270550,00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C41AC0D" w14:textId="72CB249B"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330366,00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E725EBE" w14:textId="76483EEC"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339730,00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4A967B4" w14:textId="4CA2E43C"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383744,00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01FC4594"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605E26E"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ACC817C"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29055A0"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631C466" w14:textId="77777777" w:rsidR="00E7572A" w:rsidRPr="00C2587D" w:rsidRDefault="00E7572A" w:rsidP="00E7572A">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2E485EC3"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9683349"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D844632"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685BB5C"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371B867"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3CBC042F" w14:textId="201ABF6B" w:rsidR="00E7572A" w:rsidRPr="00C2587D" w:rsidRDefault="00E7572A" w:rsidP="00E7572A">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1607990,00</w:t>
            </w:r>
          </w:p>
        </w:tc>
      </w:tr>
      <w:tr w:rsidR="00E7572A" w:rsidRPr="00C2587D" w14:paraId="52ECD488" w14:textId="77777777" w:rsidTr="00A041B2">
        <w:trPr>
          <w:cantSplit/>
          <w:trHeight w:val="1134"/>
        </w:trPr>
        <w:tc>
          <w:tcPr>
            <w:tcW w:w="433" w:type="dxa"/>
            <w:tcBorders>
              <w:top w:val="single" w:sz="4" w:space="0" w:color="auto"/>
              <w:left w:val="single" w:sz="4" w:space="0" w:color="auto"/>
              <w:bottom w:val="single" w:sz="4" w:space="0" w:color="auto"/>
              <w:right w:val="single" w:sz="4" w:space="0" w:color="auto"/>
            </w:tcBorders>
            <w:shd w:val="clear" w:color="auto" w:fill="auto"/>
          </w:tcPr>
          <w:p w14:paraId="75189516" w14:textId="3D2E3BBF" w:rsidR="00E7572A" w:rsidRPr="00C2587D" w:rsidRDefault="00E7572A" w:rsidP="00E7572A">
            <w:pPr>
              <w:rPr>
                <w:rFonts w:ascii="Times New Roman" w:eastAsia="Arial" w:hAnsi="Times New Roman"/>
                <w:sz w:val="20"/>
                <w:szCs w:val="20"/>
                <w:lang w:eastAsia="en-US"/>
              </w:rPr>
            </w:pPr>
            <w:r w:rsidRPr="00C2587D">
              <w:rPr>
                <w:rFonts w:ascii="Times New Roman" w:eastAsia="Arial" w:hAnsi="Times New Roman"/>
                <w:sz w:val="20"/>
                <w:szCs w:val="20"/>
              </w:rPr>
              <w:t>8</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B1C616E" w14:textId="31B6D9FE" w:rsidR="00E7572A" w:rsidRPr="00C2587D" w:rsidRDefault="00E7572A" w:rsidP="00E7572A">
            <w:pPr>
              <w:rPr>
                <w:rFonts w:ascii="Times New Roman" w:hAnsi="Times New Roman"/>
                <w:sz w:val="20"/>
                <w:szCs w:val="20"/>
                <w:lang w:eastAsia="it-IT"/>
              </w:rPr>
            </w:pPr>
            <w:r w:rsidRPr="00C2587D">
              <w:rPr>
                <w:rFonts w:ascii="Times New Roman" w:eastAsia="Arial" w:hAnsi="Times New Roman"/>
                <w:sz w:val="20"/>
                <w:szCs w:val="20"/>
              </w:rPr>
              <w:t>Програма поводження з безпритульними тваринами на території Жмеринської міської ТГ</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AD29D4B" w14:textId="4ED5A350" w:rsidR="00E7572A" w:rsidRPr="00C2587D" w:rsidRDefault="00E7572A" w:rsidP="00E7572A">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17830,00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1CE9020B" w14:textId="74E71D2F"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17380,00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2001186" w14:textId="61578E35"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4345,00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7AD1DFE" w14:textId="76F76416"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4345,00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7646AB8" w14:textId="0BC7A239"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4345,00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25EFFB1" w14:textId="04A70C7F"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4345,00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518403E3"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0960C75"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768BB0C"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7DC8D54"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326C4C7" w14:textId="77777777" w:rsidR="00E7572A" w:rsidRPr="00C2587D" w:rsidRDefault="00E7572A" w:rsidP="00E7572A">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6157EA78" w14:textId="179728EC"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450,00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4CAF82E" w14:textId="1D09B5D6"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150,00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99FB67A" w14:textId="18918CE4"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100,00</w:t>
            </w: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F28683E" w14:textId="22D6B882"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100,00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C341187" w14:textId="2271171D"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100,00</w:t>
            </w:r>
          </w:p>
        </w:tc>
        <w:tc>
          <w:tcPr>
            <w:tcW w:w="104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04913D64" w14:textId="67907CBD" w:rsidR="00E7572A" w:rsidRPr="00C2587D" w:rsidRDefault="00E7572A" w:rsidP="00E7572A">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17830,00</w:t>
            </w:r>
          </w:p>
        </w:tc>
      </w:tr>
      <w:tr w:rsidR="00E7572A" w:rsidRPr="00C2587D" w14:paraId="1959F459" w14:textId="77777777" w:rsidTr="00A041B2">
        <w:trPr>
          <w:cantSplit/>
          <w:trHeight w:val="1134"/>
        </w:trPr>
        <w:tc>
          <w:tcPr>
            <w:tcW w:w="433" w:type="dxa"/>
            <w:tcBorders>
              <w:top w:val="single" w:sz="4" w:space="0" w:color="auto"/>
              <w:left w:val="single" w:sz="4" w:space="0" w:color="auto"/>
              <w:bottom w:val="single" w:sz="4" w:space="0" w:color="auto"/>
              <w:right w:val="single" w:sz="4" w:space="0" w:color="auto"/>
            </w:tcBorders>
            <w:shd w:val="clear" w:color="auto" w:fill="auto"/>
          </w:tcPr>
          <w:p w14:paraId="65E0AAD9" w14:textId="2D0E4A42" w:rsidR="00E7572A" w:rsidRPr="00C2587D" w:rsidRDefault="00E7572A" w:rsidP="00E7572A">
            <w:pPr>
              <w:rPr>
                <w:rFonts w:ascii="Times New Roman" w:eastAsia="Arial" w:hAnsi="Times New Roman"/>
                <w:sz w:val="20"/>
                <w:szCs w:val="20"/>
                <w:lang w:eastAsia="en-US"/>
              </w:rPr>
            </w:pPr>
            <w:r w:rsidRPr="00C2587D">
              <w:rPr>
                <w:rFonts w:ascii="Times New Roman" w:eastAsia="Arial" w:hAnsi="Times New Roman"/>
                <w:sz w:val="20"/>
                <w:szCs w:val="20"/>
              </w:rPr>
              <w:t>9</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7072E3B" w14:textId="18439986" w:rsidR="00E7572A" w:rsidRPr="00C2587D" w:rsidRDefault="00E7572A" w:rsidP="00E7572A">
            <w:pPr>
              <w:rPr>
                <w:rFonts w:ascii="Times New Roman" w:hAnsi="Times New Roman"/>
                <w:sz w:val="20"/>
                <w:szCs w:val="20"/>
                <w:lang w:eastAsia="it-IT"/>
              </w:rPr>
            </w:pPr>
            <w:r w:rsidRPr="00C2587D">
              <w:rPr>
                <w:rFonts w:ascii="Times New Roman" w:eastAsia="Arial" w:hAnsi="Times New Roman"/>
                <w:sz w:val="20"/>
                <w:szCs w:val="20"/>
              </w:rPr>
              <w:t>Програма "Поховання померлих одиноких громадян, осіб без певного місця проживання, громадян, від поховання яких відмовилися рідні, знайдених невпізнаних трупів на 2024-2028 роки</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98580BF" w14:textId="74657175" w:rsidR="00E7572A" w:rsidRPr="00C2587D" w:rsidRDefault="00E7572A" w:rsidP="00E7572A">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198,00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41A90E35" w14:textId="72BE9627"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198,00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D92D389" w14:textId="149351BA"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45,9</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4C9DECC" w14:textId="72B31446"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50,49</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F752282" w14:textId="5B1DBB1D"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50,49</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BB9AC5F" w14:textId="1EA020C7"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50,49</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0D167582"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1A6AA29"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1DAA7A1"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C5DC94C"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5001B1C" w14:textId="77777777" w:rsidR="00E7572A" w:rsidRPr="00C2587D" w:rsidRDefault="00E7572A" w:rsidP="00E7572A">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001CEB59"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07D7791"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860E566"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84D3552"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5037EA1"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121DB94A" w14:textId="00163296" w:rsidR="00E7572A" w:rsidRPr="00C2587D" w:rsidRDefault="00E7572A" w:rsidP="00E7572A">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207,37</w:t>
            </w:r>
          </w:p>
        </w:tc>
      </w:tr>
      <w:tr w:rsidR="00E7572A" w:rsidRPr="00C2587D" w14:paraId="4709A58B" w14:textId="77777777" w:rsidTr="00A041B2">
        <w:trPr>
          <w:cantSplit/>
          <w:trHeight w:val="1134"/>
        </w:trPr>
        <w:tc>
          <w:tcPr>
            <w:tcW w:w="433" w:type="dxa"/>
            <w:tcBorders>
              <w:top w:val="single" w:sz="4" w:space="0" w:color="auto"/>
              <w:left w:val="single" w:sz="4" w:space="0" w:color="auto"/>
              <w:bottom w:val="single" w:sz="4" w:space="0" w:color="auto"/>
              <w:right w:val="single" w:sz="4" w:space="0" w:color="auto"/>
            </w:tcBorders>
            <w:shd w:val="clear" w:color="auto" w:fill="auto"/>
          </w:tcPr>
          <w:p w14:paraId="0EA2B38D" w14:textId="6E9F521F" w:rsidR="00E7572A" w:rsidRPr="00C2587D" w:rsidRDefault="00E7572A" w:rsidP="00E7572A">
            <w:pPr>
              <w:rPr>
                <w:rFonts w:ascii="Times New Roman" w:eastAsia="Arial" w:hAnsi="Times New Roman"/>
                <w:sz w:val="20"/>
                <w:szCs w:val="20"/>
                <w:lang w:eastAsia="en-US"/>
              </w:rPr>
            </w:pPr>
            <w:r w:rsidRPr="00C2587D">
              <w:rPr>
                <w:rFonts w:ascii="Times New Roman" w:eastAsia="Arial" w:hAnsi="Times New Roman"/>
                <w:sz w:val="20"/>
                <w:szCs w:val="20"/>
              </w:rPr>
              <w:lastRenderedPageBreak/>
              <w:t>10</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2CEE238" w14:textId="711E60DA" w:rsidR="00E7572A" w:rsidRPr="00C2587D" w:rsidRDefault="00E7572A" w:rsidP="00E7572A">
            <w:pPr>
              <w:rPr>
                <w:rFonts w:ascii="Times New Roman" w:hAnsi="Times New Roman"/>
                <w:sz w:val="20"/>
                <w:szCs w:val="20"/>
                <w:lang w:eastAsia="it-IT"/>
              </w:rPr>
            </w:pPr>
            <w:r w:rsidRPr="00C2587D">
              <w:rPr>
                <w:rFonts w:ascii="Times New Roman" w:eastAsia="Arial" w:hAnsi="Times New Roman"/>
                <w:sz w:val="20"/>
                <w:szCs w:val="20"/>
              </w:rPr>
              <w:t>Програма "Відшкодування різниці між розміром ціни (тарифу) на послуги та розміром економічно обґрунтованих витрат на їх виробництво (надання) комунальним підприємствам Жмеринської міської ради, які надають послуги з централізованого водопостачання та водовідведення на території Жмеринської міської територіальної громади на 2025-2027 роки</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5C94873" w14:textId="357680E9" w:rsidR="00E7572A" w:rsidRPr="00C2587D" w:rsidRDefault="00E7572A" w:rsidP="00E7572A">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41345,7</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35ED2FE8" w14:textId="1E3C2BE9"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41345,7</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7539FBC" w14:textId="056D4524"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12000,00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E23E1F1" w14:textId="4C023218"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13613,8</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19F8A95" w14:textId="0B48AF85"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15731,9</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0943A2A"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41883466"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14F1069"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1356070"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7C18FCA"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7B60FD3" w14:textId="77777777" w:rsidR="00E7572A" w:rsidRPr="00C2587D" w:rsidRDefault="00E7572A" w:rsidP="00E7572A">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2E89EA85"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BF6B420"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269183A"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4D3326D"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54252C5"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1C6E1ADF" w14:textId="7E822AE6" w:rsidR="00E7572A" w:rsidRPr="00C2587D" w:rsidRDefault="00E7572A" w:rsidP="00E7572A">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41345,7</w:t>
            </w:r>
          </w:p>
        </w:tc>
      </w:tr>
      <w:tr w:rsidR="00E7572A" w:rsidRPr="00C2587D" w14:paraId="7754D978" w14:textId="77777777" w:rsidTr="00A041B2">
        <w:trPr>
          <w:cantSplit/>
          <w:trHeight w:val="1134"/>
        </w:trPr>
        <w:tc>
          <w:tcPr>
            <w:tcW w:w="433" w:type="dxa"/>
            <w:tcBorders>
              <w:top w:val="single" w:sz="4" w:space="0" w:color="auto"/>
              <w:left w:val="single" w:sz="4" w:space="0" w:color="auto"/>
              <w:bottom w:val="single" w:sz="4" w:space="0" w:color="auto"/>
              <w:right w:val="single" w:sz="4" w:space="0" w:color="auto"/>
            </w:tcBorders>
            <w:shd w:val="clear" w:color="auto" w:fill="auto"/>
          </w:tcPr>
          <w:p w14:paraId="617A223E" w14:textId="62B4B27D" w:rsidR="00E7572A" w:rsidRPr="00C2587D" w:rsidRDefault="00E7572A" w:rsidP="00E7572A">
            <w:pPr>
              <w:rPr>
                <w:rFonts w:ascii="Times New Roman" w:eastAsia="Arial" w:hAnsi="Times New Roman"/>
                <w:sz w:val="20"/>
                <w:szCs w:val="20"/>
                <w:lang w:eastAsia="en-US"/>
              </w:rPr>
            </w:pPr>
            <w:r w:rsidRPr="00C2587D">
              <w:rPr>
                <w:rFonts w:ascii="Times New Roman" w:eastAsia="Arial" w:hAnsi="Times New Roman"/>
                <w:sz w:val="20"/>
                <w:szCs w:val="20"/>
              </w:rPr>
              <w:t>11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5809D16" w14:textId="493045D8" w:rsidR="00E7572A" w:rsidRPr="00C2587D" w:rsidRDefault="00E7572A" w:rsidP="00E7572A">
            <w:pPr>
              <w:rPr>
                <w:rFonts w:ascii="Times New Roman" w:hAnsi="Times New Roman"/>
                <w:sz w:val="20"/>
                <w:szCs w:val="20"/>
                <w:lang w:eastAsia="it-IT"/>
              </w:rPr>
            </w:pPr>
            <w:r w:rsidRPr="00C2587D">
              <w:rPr>
                <w:rFonts w:ascii="Times New Roman" w:eastAsia="Arial" w:hAnsi="Times New Roman"/>
                <w:sz w:val="20"/>
                <w:szCs w:val="20"/>
              </w:rPr>
              <w:t>Програма надання поворотної фінансової допомоги комунальним підприємствам Жмеринської міської ради на 2025-2027роки</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217126F" w14:textId="5BF4408A" w:rsidR="00E7572A" w:rsidRPr="00C2587D" w:rsidRDefault="00E7572A" w:rsidP="00E7572A">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6000,00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5A2B0410" w14:textId="445CDC81"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2000,00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F47CE8D" w14:textId="398409B2"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2000,00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0CBD0E9" w14:textId="1974BA6C"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2000,00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61A64BE"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D97AEA8"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5F143081"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495BE06"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FA7BB02"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0BDF281"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20CE9E0" w14:textId="77777777" w:rsidR="00E7572A" w:rsidRPr="00C2587D" w:rsidRDefault="00E7572A" w:rsidP="00E7572A">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1474F3E5"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5BD5C09"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C80C489"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3009648"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892322E"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0B9BE961" w14:textId="2E208306" w:rsidR="00E7572A" w:rsidRPr="00C2587D" w:rsidRDefault="00E7572A" w:rsidP="00E7572A">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6000,00</w:t>
            </w:r>
          </w:p>
        </w:tc>
      </w:tr>
      <w:tr w:rsidR="00E7572A" w:rsidRPr="00C2587D" w14:paraId="6AB6A267" w14:textId="77777777" w:rsidTr="00A041B2">
        <w:trPr>
          <w:cantSplit/>
          <w:trHeight w:val="1134"/>
        </w:trPr>
        <w:tc>
          <w:tcPr>
            <w:tcW w:w="433" w:type="dxa"/>
            <w:tcBorders>
              <w:top w:val="single" w:sz="4" w:space="0" w:color="auto"/>
              <w:left w:val="single" w:sz="4" w:space="0" w:color="auto"/>
              <w:bottom w:val="single" w:sz="4" w:space="0" w:color="auto"/>
              <w:right w:val="single" w:sz="4" w:space="0" w:color="auto"/>
            </w:tcBorders>
            <w:shd w:val="clear" w:color="auto" w:fill="auto"/>
          </w:tcPr>
          <w:p w14:paraId="4EAEFF1F" w14:textId="304F4317" w:rsidR="00E7572A" w:rsidRPr="00C2587D" w:rsidRDefault="00E7572A" w:rsidP="00E7572A">
            <w:pPr>
              <w:rPr>
                <w:rFonts w:ascii="Times New Roman" w:eastAsia="Arial" w:hAnsi="Times New Roman"/>
                <w:sz w:val="20"/>
                <w:szCs w:val="20"/>
                <w:lang w:eastAsia="en-US"/>
              </w:rPr>
            </w:pPr>
            <w:r w:rsidRPr="00C2587D">
              <w:rPr>
                <w:rFonts w:ascii="Times New Roman" w:eastAsia="Arial" w:hAnsi="Times New Roman"/>
                <w:sz w:val="20"/>
                <w:szCs w:val="20"/>
              </w:rPr>
              <w:t>12</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A7E1F41" w14:textId="6BCD8EE3" w:rsidR="00E7572A" w:rsidRPr="00C2587D" w:rsidRDefault="00E7572A" w:rsidP="00E7572A">
            <w:pPr>
              <w:rPr>
                <w:rFonts w:ascii="Times New Roman" w:hAnsi="Times New Roman"/>
                <w:sz w:val="20"/>
                <w:szCs w:val="20"/>
                <w:lang w:eastAsia="it-IT"/>
              </w:rPr>
            </w:pPr>
            <w:r w:rsidRPr="00C2587D">
              <w:rPr>
                <w:rFonts w:ascii="Times New Roman" w:eastAsia="Arial" w:hAnsi="Times New Roman"/>
                <w:sz w:val="20"/>
                <w:szCs w:val="20"/>
              </w:rPr>
              <w:t>Програма "Виконання судових рішень та виконавчих документів на 2025-2027 роки</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381D608" w14:textId="47EF89E2" w:rsidR="00E7572A" w:rsidRPr="00C2587D" w:rsidRDefault="00E7572A" w:rsidP="00E7572A">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7100,00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66FCCD71" w14:textId="4B8980D6"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7100,00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B624E68" w14:textId="7520747F"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6900,00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566A3E7" w14:textId="79221568"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100,00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DAAB0A1" w14:textId="2B9C3EED" w:rsidR="00E7572A" w:rsidRPr="00C2587D" w:rsidRDefault="00E7572A" w:rsidP="00E7572A">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100,00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846F6EA"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557B5476"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7640A9B"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3F7D10C"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51B9332"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DEADD32" w14:textId="77777777" w:rsidR="00E7572A" w:rsidRPr="00C2587D" w:rsidRDefault="00E7572A" w:rsidP="00E7572A">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6634C6EA"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1BFF3AD"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BF3E035"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5ED191D"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3E9286F" w14:textId="77777777" w:rsidR="00E7572A" w:rsidRPr="00C2587D" w:rsidRDefault="00E7572A" w:rsidP="00E7572A">
            <w:pPr>
              <w:ind w:left="113" w:right="113"/>
              <w:jc w:val="center"/>
              <w:rPr>
                <w:rFonts w:ascii="Times New Roman" w:eastAsia="Arial" w:hAnsi="Times New Roman"/>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72C0D4F5" w14:textId="2426E596" w:rsidR="00E7572A" w:rsidRPr="00C2587D" w:rsidRDefault="00E7572A" w:rsidP="00E7572A">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7100,00</w:t>
            </w:r>
          </w:p>
        </w:tc>
      </w:tr>
    </w:tbl>
    <w:p w14:paraId="6009B8C8" w14:textId="77777777" w:rsidR="00927906" w:rsidRPr="00C2587D" w:rsidRDefault="00927906">
      <w:r w:rsidRPr="00C2587D">
        <w:br w:type="page"/>
      </w:r>
    </w:p>
    <w:tbl>
      <w:tblPr>
        <w:tblW w:w="15175" w:type="dxa"/>
        <w:tblInd w:w="-12" w:type="dxa"/>
        <w:tblLayout w:type="fixed"/>
        <w:tblLook w:val="04A0" w:firstRow="1" w:lastRow="0" w:firstColumn="1" w:lastColumn="0" w:noHBand="0" w:noVBand="1"/>
      </w:tblPr>
      <w:tblGrid>
        <w:gridCol w:w="531"/>
        <w:gridCol w:w="2113"/>
        <w:gridCol w:w="737"/>
        <w:gridCol w:w="850"/>
        <w:gridCol w:w="992"/>
        <w:gridCol w:w="851"/>
        <w:gridCol w:w="850"/>
        <w:gridCol w:w="709"/>
        <w:gridCol w:w="709"/>
        <w:gridCol w:w="709"/>
        <w:gridCol w:w="708"/>
        <w:gridCol w:w="709"/>
        <w:gridCol w:w="709"/>
        <w:gridCol w:w="567"/>
        <w:gridCol w:w="567"/>
        <w:gridCol w:w="567"/>
        <w:gridCol w:w="624"/>
        <w:gridCol w:w="567"/>
        <w:gridCol w:w="1106"/>
      </w:tblGrid>
      <w:tr w:rsidR="00E7572A" w:rsidRPr="00C2587D" w14:paraId="78AA5D5E" w14:textId="77777777" w:rsidTr="00A041B2">
        <w:trPr>
          <w:cantSplit/>
          <w:trHeight w:val="428"/>
        </w:trPr>
        <w:tc>
          <w:tcPr>
            <w:tcW w:w="15175" w:type="dxa"/>
            <w:gridSpan w:val="19"/>
            <w:tcBorders>
              <w:top w:val="single" w:sz="4" w:space="0" w:color="auto"/>
              <w:left w:val="single" w:sz="4" w:space="0" w:color="auto"/>
              <w:bottom w:val="single" w:sz="4" w:space="0" w:color="auto"/>
              <w:right w:val="single" w:sz="4" w:space="0" w:color="auto"/>
            </w:tcBorders>
            <w:shd w:val="clear" w:color="auto" w:fill="auto"/>
            <w:vAlign w:val="center"/>
          </w:tcPr>
          <w:p w14:paraId="7DF344FB" w14:textId="0F9847DE" w:rsidR="00E7572A" w:rsidRPr="00C2587D" w:rsidRDefault="00E7572A" w:rsidP="00C156A0">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lastRenderedPageBreak/>
              <w:t>Проєкти місцевого (регіонального) розвитку</w:t>
            </w:r>
          </w:p>
        </w:tc>
      </w:tr>
      <w:tr w:rsidR="003E62D6" w:rsidRPr="00C2587D" w14:paraId="15E0EF5A" w14:textId="77777777" w:rsidTr="00A041B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6833504D" w14:textId="789B4F07" w:rsidR="003E62D6" w:rsidRPr="00C2587D" w:rsidRDefault="003E62D6" w:rsidP="003E62D6">
            <w:pPr>
              <w:rPr>
                <w:rFonts w:ascii="Times New Roman" w:eastAsia="Arial" w:hAnsi="Times New Roman"/>
                <w:sz w:val="20"/>
                <w:szCs w:val="20"/>
                <w:lang w:eastAsia="en-US"/>
              </w:rPr>
            </w:pPr>
            <w:r w:rsidRPr="00C2587D">
              <w:rPr>
                <w:rFonts w:ascii="Times New Roman" w:eastAsia="Arial" w:hAnsi="Times New Roman"/>
                <w:sz w:val="20"/>
                <w:szCs w:val="20"/>
              </w:rPr>
              <w:t>1</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139C7CA8" w14:textId="7933B434" w:rsidR="003E62D6" w:rsidRPr="00C2587D" w:rsidRDefault="003E62D6" w:rsidP="003E62D6">
            <w:pPr>
              <w:rPr>
                <w:rFonts w:ascii="Times New Roman" w:hAnsi="Times New Roman"/>
                <w:sz w:val="20"/>
                <w:szCs w:val="20"/>
                <w:lang w:eastAsia="it-IT"/>
              </w:rPr>
            </w:pPr>
            <w:r w:rsidRPr="00C2587D">
              <w:rPr>
                <w:rFonts w:ascii="Times New Roman" w:eastAsia="Arial" w:hAnsi="Times New Roman"/>
                <w:sz w:val="20"/>
                <w:szCs w:val="20"/>
              </w:rPr>
              <w:t>Капітальний ремонт мережі водопостачання по вул. Київська в м. Жмеринка Вінницької області</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566F4F9" w14:textId="4F95280D"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17000,000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09D0DA4A" w14:textId="282E49A0"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2800,00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C52F6AA"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5CDB0ED"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F092D6B" w14:textId="12CB3CDE"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2800,00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E2039FC"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155D69C4" w14:textId="19EADDE7"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14200,00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BAF494A"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E9B617E"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9F7EECC" w14:textId="624FA4CF"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14200,00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790E1A5" w14:textId="77777777" w:rsidR="003E62D6" w:rsidRPr="00C2587D" w:rsidRDefault="003E62D6" w:rsidP="003E62D6">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0C2D7978"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799B441"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EA4FC46"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A6F0164"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F952BD4"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38BF16F8" w14:textId="24727464"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17000,00</w:t>
            </w:r>
          </w:p>
        </w:tc>
      </w:tr>
      <w:tr w:rsidR="003E62D6" w:rsidRPr="00C2587D" w14:paraId="2BC51604" w14:textId="77777777" w:rsidTr="00A041B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616633B6" w14:textId="55E7D5FA" w:rsidR="003E62D6" w:rsidRPr="00C2587D" w:rsidRDefault="003E62D6" w:rsidP="003E62D6">
            <w:pPr>
              <w:rPr>
                <w:rFonts w:ascii="Times New Roman" w:eastAsia="Arial" w:hAnsi="Times New Roman"/>
                <w:sz w:val="20"/>
                <w:szCs w:val="20"/>
                <w:lang w:eastAsia="en-US"/>
              </w:rPr>
            </w:pPr>
            <w:r w:rsidRPr="00C2587D">
              <w:rPr>
                <w:rFonts w:ascii="Times New Roman" w:eastAsia="Arial" w:hAnsi="Times New Roman"/>
                <w:sz w:val="20"/>
                <w:szCs w:val="20"/>
              </w:rPr>
              <w:t>2</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28DAAB4E" w14:textId="3A08B3C2" w:rsidR="003E62D6" w:rsidRPr="00C2587D" w:rsidRDefault="003E62D6" w:rsidP="003E62D6">
            <w:pPr>
              <w:rPr>
                <w:rFonts w:ascii="Times New Roman" w:hAnsi="Times New Roman"/>
                <w:sz w:val="20"/>
                <w:szCs w:val="20"/>
                <w:lang w:eastAsia="it-IT"/>
              </w:rPr>
            </w:pPr>
            <w:r w:rsidRPr="00C2587D">
              <w:rPr>
                <w:rFonts w:ascii="Times New Roman" w:eastAsia="Arial" w:hAnsi="Times New Roman"/>
                <w:sz w:val="20"/>
                <w:szCs w:val="20"/>
              </w:rPr>
              <w:t>Реконструкція каналізаційно-насосної станції по вул. Івана Франка в м. Жмеринка Вінницької області</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7EA8F2C" w14:textId="7AE4EE71"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12000,00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2C8381E6" w14:textId="5F549018" w:rsidR="003E62D6" w:rsidRPr="00C2587D" w:rsidRDefault="00871A01"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10</w:t>
            </w:r>
            <w:r w:rsidR="003E62D6" w:rsidRPr="00C2587D">
              <w:rPr>
                <w:rFonts w:ascii="Times New Roman" w:eastAsia="Arial" w:hAnsi="Times New Roman"/>
                <w:sz w:val="20"/>
                <w:szCs w:val="20"/>
              </w:rPr>
              <w:t>000,00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C1B1225"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593FB1E"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9159A65"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CD0EF22" w14:textId="1918B57C" w:rsidR="003E62D6" w:rsidRPr="00C2587D" w:rsidRDefault="00871A01"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10</w:t>
            </w:r>
            <w:r w:rsidR="003E62D6" w:rsidRPr="00C2587D">
              <w:rPr>
                <w:rFonts w:ascii="Times New Roman" w:eastAsia="Arial" w:hAnsi="Times New Roman"/>
                <w:sz w:val="20"/>
                <w:szCs w:val="20"/>
              </w:rPr>
              <w:t>000,00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6672A80B" w14:textId="1A5FC6E2" w:rsidR="003E62D6" w:rsidRPr="00C2587D" w:rsidRDefault="00871A01"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2</w:t>
            </w:r>
            <w:r w:rsidR="003E62D6" w:rsidRPr="00C2587D">
              <w:rPr>
                <w:rFonts w:ascii="Times New Roman" w:eastAsia="Arial" w:hAnsi="Times New Roman"/>
                <w:sz w:val="20"/>
                <w:szCs w:val="20"/>
              </w:rPr>
              <w:t>000,00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7A58CC7"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516A5E2"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0E67EAE"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596C02A" w14:textId="0CF37467" w:rsidR="003E62D6" w:rsidRPr="00C2587D" w:rsidRDefault="00871A01" w:rsidP="003E62D6">
            <w:pPr>
              <w:ind w:left="113" w:right="113"/>
              <w:jc w:val="center"/>
              <w:rPr>
                <w:rFonts w:ascii="Times New Roman" w:hAnsi="Times New Roman"/>
                <w:sz w:val="20"/>
                <w:szCs w:val="20"/>
              </w:rPr>
            </w:pPr>
            <w:r w:rsidRPr="00C2587D">
              <w:rPr>
                <w:rFonts w:ascii="Times New Roman" w:eastAsia="Arial" w:hAnsi="Times New Roman"/>
                <w:sz w:val="20"/>
                <w:szCs w:val="20"/>
              </w:rPr>
              <w:t>2</w:t>
            </w:r>
            <w:r w:rsidR="003E62D6" w:rsidRPr="00C2587D">
              <w:rPr>
                <w:rFonts w:ascii="Times New Roman" w:eastAsia="Arial" w:hAnsi="Times New Roman"/>
                <w:sz w:val="20"/>
                <w:szCs w:val="20"/>
              </w:rPr>
              <w:t>000,00</w:t>
            </w: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7356D4C2"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52D1DF2"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EE2B657"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A79F0E3"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31B00AB"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5DF56F8B" w14:textId="59640647"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12000,00</w:t>
            </w:r>
          </w:p>
        </w:tc>
      </w:tr>
      <w:tr w:rsidR="003E62D6" w:rsidRPr="00C2587D" w14:paraId="16F6AD57" w14:textId="77777777" w:rsidTr="00A041B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272FFEBD" w14:textId="6D51A8A2" w:rsidR="003E62D6" w:rsidRPr="00C2587D" w:rsidRDefault="003E62D6" w:rsidP="003E62D6">
            <w:pPr>
              <w:rPr>
                <w:rFonts w:ascii="Times New Roman" w:eastAsia="Arial" w:hAnsi="Times New Roman"/>
                <w:sz w:val="20"/>
                <w:szCs w:val="20"/>
                <w:lang w:eastAsia="en-US"/>
              </w:rPr>
            </w:pPr>
            <w:r w:rsidRPr="00C2587D">
              <w:rPr>
                <w:rFonts w:ascii="Times New Roman" w:eastAsia="Arial" w:hAnsi="Times New Roman"/>
                <w:sz w:val="20"/>
                <w:szCs w:val="20"/>
              </w:rPr>
              <w:t>3</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774C58CC" w14:textId="70BF3CB2" w:rsidR="003E62D6" w:rsidRPr="00C2587D" w:rsidRDefault="003E62D6" w:rsidP="003E62D6">
            <w:pPr>
              <w:rPr>
                <w:rFonts w:ascii="Times New Roman" w:hAnsi="Times New Roman"/>
                <w:sz w:val="20"/>
                <w:szCs w:val="20"/>
                <w:lang w:eastAsia="it-IT"/>
              </w:rPr>
            </w:pPr>
            <w:r w:rsidRPr="00C2587D">
              <w:rPr>
                <w:rFonts w:ascii="Times New Roman" w:eastAsia="Arial" w:hAnsi="Times New Roman"/>
                <w:sz w:val="20"/>
                <w:szCs w:val="20"/>
              </w:rPr>
              <w:t>Нове будівництво мереж водопостачання по вул. Асмолова в м. Жмеринка Вінницької області</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6F77688" w14:textId="73885D97"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15000,00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1E8B12F4" w14:textId="517B5D78"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2500,00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862E26C"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4952385" w14:textId="04BDA8ED"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2500,00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880A0CC"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9A59924"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30F0A430" w14:textId="7B0647E3"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12500,00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AD7A26D"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D7EF308" w14:textId="3B00CDB8"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12500,00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A3E6607"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6DCF880" w14:textId="77777777" w:rsidR="003E62D6" w:rsidRPr="00C2587D" w:rsidRDefault="003E62D6" w:rsidP="003E62D6">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16363E2A"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9FB87E2"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198AC8B"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91FEFE4"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942DBCA"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54F6B125" w14:textId="28E0E83B"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15000,00</w:t>
            </w:r>
          </w:p>
        </w:tc>
      </w:tr>
      <w:tr w:rsidR="003E62D6" w:rsidRPr="00C2587D" w14:paraId="2B1364F4" w14:textId="77777777" w:rsidTr="00A041B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4B1944FF" w14:textId="5739F7D9" w:rsidR="003E62D6" w:rsidRPr="00C2587D" w:rsidRDefault="003E62D6" w:rsidP="003E62D6">
            <w:pPr>
              <w:rPr>
                <w:rFonts w:ascii="Times New Roman" w:eastAsia="Arial" w:hAnsi="Times New Roman"/>
                <w:sz w:val="20"/>
                <w:szCs w:val="20"/>
                <w:lang w:eastAsia="en-US"/>
              </w:rPr>
            </w:pPr>
            <w:r w:rsidRPr="00C2587D">
              <w:rPr>
                <w:rFonts w:ascii="Times New Roman" w:eastAsia="Arial" w:hAnsi="Times New Roman"/>
                <w:sz w:val="20"/>
                <w:szCs w:val="20"/>
              </w:rPr>
              <w:t>4</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2378D09E" w14:textId="65E6268F" w:rsidR="003E62D6" w:rsidRPr="00C2587D" w:rsidRDefault="003E62D6" w:rsidP="003E62D6">
            <w:pPr>
              <w:rPr>
                <w:rFonts w:ascii="Times New Roman" w:hAnsi="Times New Roman"/>
                <w:sz w:val="20"/>
                <w:szCs w:val="20"/>
                <w:lang w:eastAsia="it-IT"/>
              </w:rPr>
            </w:pPr>
            <w:r w:rsidRPr="00C2587D">
              <w:rPr>
                <w:rFonts w:ascii="Times New Roman" w:eastAsia="Arial" w:hAnsi="Times New Roman"/>
                <w:sz w:val="20"/>
                <w:szCs w:val="20"/>
              </w:rPr>
              <w:t>Нове будівництво мереж водопостачання в с Жуківці,  Жмеринського району Вінницької області</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CE7F90A" w14:textId="496216E9"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10000,00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1A49E4F4" w14:textId="5315D61D"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2000,00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FE122E9"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B04F5F3" w14:textId="07C3FED7"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2000,00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85C32B0"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4114162"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55063653" w14:textId="05142B97"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8000,00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A5EF361"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7ABB949" w14:textId="71D8FD25"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8000,00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1F018AE"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2EFD262" w14:textId="77777777" w:rsidR="003E62D6" w:rsidRPr="00C2587D" w:rsidRDefault="003E62D6" w:rsidP="003E62D6">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6566C726"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2F2FCEF"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EDE2787"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B9F438E"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7EF6C70"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471FD3F6" w14:textId="2C74649C"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10000,00</w:t>
            </w:r>
          </w:p>
        </w:tc>
      </w:tr>
      <w:tr w:rsidR="003E62D6" w:rsidRPr="00C2587D" w14:paraId="7A3CCC32" w14:textId="77777777" w:rsidTr="00A041B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1E3D065C" w14:textId="08448B5E" w:rsidR="003E62D6" w:rsidRPr="00C2587D" w:rsidRDefault="003E62D6" w:rsidP="003E62D6">
            <w:pPr>
              <w:rPr>
                <w:rFonts w:ascii="Times New Roman" w:eastAsia="Arial" w:hAnsi="Times New Roman"/>
                <w:sz w:val="20"/>
                <w:szCs w:val="20"/>
                <w:lang w:eastAsia="en-US"/>
              </w:rPr>
            </w:pPr>
            <w:r w:rsidRPr="00C2587D">
              <w:rPr>
                <w:rFonts w:ascii="Times New Roman" w:eastAsia="Arial" w:hAnsi="Times New Roman"/>
                <w:sz w:val="20"/>
                <w:szCs w:val="20"/>
              </w:rPr>
              <w:t>5</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2629AD99" w14:textId="48A34EB1" w:rsidR="003E62D6" w:rsidRPr="00C2587D" w:rsidRDefault="003E62D6" w:rsidP="003E62D6">
            <w:pPr>
              <w:rPr>
                <w:rFonts w:ascii="Times New Roman" w:hAnsi="Times New Roman"/>
                <w:sz w:val="20"/>
                <w:szCs w:val="20"/>
                <w:lang w:eastAsia="it-IT"/>
              </w:rPr>
            </w:pPr>
            <w:r w:rsidRPr="00C2587D">
              <w:rPr>
                <w:rFonts w:ascii="Times New Roman" w:eastAsia="Arial" w:hAnsi="Times New Roman"/>
                <w:sz w:val="20"/>
                <w:szCs w:val="20"/>
              </w:rPr>
              <w:t>Нове будівництво мереж водопостачання в с Щученці,  Жмеринського району Вінницької області</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7F58693" w14:textId="3C0EC952"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10000,00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11386D87" w14:textId="1E4E33A5"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2000,00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CCE8964"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A79A7C1" w14:textId="39200726"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2000,00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8257C92"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1289E45"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2E4C7D82" w14:textId="1CBF1E37"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8000,00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7779FCB"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33A1818" w14:textId="6AF6DC8D"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8000,00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6BB3964"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795A805" w14:textId="77777777" w:rsidR="003E62D6" w:rsidRPr="00C2587D" w:rsidRDefault="003E62D6" w:rsidP="003E62D6">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135B7081"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5F7D08B"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F082980"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72D1EDD"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905FECC"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160C8AFD" w14:textId="1B77EC62"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10000,00</w:t>
            </w:r>
          </w:p>
        </w:tc>
      </w:tr>
      <w:tr w:rsidR="003E62D6" w:rsidRPr="00C2587D" w14:paraId="095A85A9" w14:textId="77777777" w:rsidTr="00A041B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3F675C77" w14:textId="30CB5129" w:rsidR="003E62D6" w:rsidRPr="00C2587D" w:rsidRDefault="003E62D6" w:rsidP="003E62D6">
            <w:pPr>
              <w:rPr>
                <w:rFonts w:ascii="Times New Roman" w:eastAsia="Arial" w:hAnsi="Times New Roman"/>
                <w:sz w:val="20"/>
                <w:szCs w:val="20"/>
                <w:lang w:eastAsia="en-US"/>
              </w:rPr>
            </w:pPr>
            <w:r w:rsidRPr="00C2587D">
              <w:rPr>
                <w:rFonts w:ascii="Times New Roman" w:eastAsia="Arial" w:hAnsi="Times New Roman"/>
                <w:sz w:val="20"/>
                <w:szCs w:val="20"/>
              </w:rPr>
              <w:t>8</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7B530B68" w14:textId="02F55EA0" w:rsidR="003E62D6" w:rsidRPr="00C2587D" w:rsidRDefault="003E62D6" w:rsidP="003E62D6">
            <w:pPr>
              <w:rPr>
                <w:rFonts w:ascii="Times New Roman" w:hAnsi="Times New Roman"/>
                <w:sz w:val="20"/>
                <w:szCs w:val="20"/>
                <w:lang w:eastAsia="it-IT"/>
              </w:rPr>
            </w:pPr>
            <w:r w:rsidRPr="00C2587D">
              <w:rPr>
                <w:rFonts w:ascii="Times New Roman" w:eastAsia="Arial" w:hAnsi="Times New Roman"/>
                <w:sz w:val="20"/>
                <w:szCs w:val="20"/>
              </w:rPr>
              <w:t xml:space="preserve">Капітальний ремонт дорожнього покриття по вул. Шевченка (від вул. І.Франка до вул. Свободи) в м. Жмеринка Вінницької області </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BE98E3E" w14:textId="1A3BD39A"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12000,00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0A02A4F0" w14:textId="04318CA0"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2000,00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27E3872"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F483C2A" w14:textId="7BEC79CA"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2000,00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138ED6C"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FF94418"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08B609F0" w14:textId="3A0925E8"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10000,00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AA7FF06"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9EF63EB" w14:textId="0C0001F0"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10000,00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FD906EF"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3EBF37D" w14:textId="77777777" w:rsidR="003E62D6" w:rsidRPr="00C2587D" w:rsidRDefault="003E62D6" w:rsidP="003E62D6">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2DE8D522"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8454135"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3E36F82"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739C596"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E5DF2F7"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753EE816" w14:textId="775700B1"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12000,00</w:t>
            </w:r>
          </w:p>
        </w:tc>
      </w:tr>
      <w:tr w:rsidR="003E62D6" w:rsidRPr="00C2587D" w14:paraId="1AA36777" w14:textId="77777777" w:rsidTr="00A041B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5BD0791E" w14:textId="5FC28275" w:rsidR="003E62D6" w:rsidRPr="00C2587D" w:rsidRDefault="003E62D6" w:rsidP="003E62D6">
            <w:pPr>
              <w:rPr>
                <w:rFonts w:ascii="Times New Roman" w:eastAsia="Arial" w:hAnsi="Times New Roman"/>
                <w:sz w:val="20"/>
                <w:szCs w:val="20"/>
                <w:lang w:eastAsia="en-US"/>
              </w:rPr>
            </w:pPr>
            <w:r w:rsidRPr="00C2587D">
              <w:rPr>
                <w:rFonts w:ascii="Times New Roman" w:eastAsia="Arial" w:hAnsi="Times New Roman"/>
                <w:sz w:val="20"/>
                <w:szCs w:val="20"/>
              </w:rPr>
              <w:lastRenderedPageBreak/>
              <w:t>9</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67C3493D" w14:textId="44139B98" w:rsidR="003E62D6" w:rsidRPr="00C2587D" w:rsidRDefault="003E62D6" w:rsidP="003E62D6">
            <w:pPr>
              <w:rPr>
                <w:rFonts w:ascii="Times New Roman" w:hAnsi="Times New Roman"/>
                <w:sz w:val="20"/>
                <w:szCs w:val="20"/>
                <w:lang w:eastAsia="it-IT"/>
              </w:rPr>
            </w:pPr>
            <w:r w:rsidRPr="00C2587D">
              <w:rPr>
                <w:rFonts w:ascii="Times New Roman" w:eastAsia="Arial" w:hAnsi="Times New Roman"/>
                <w:sz w:val="20"/>
                <w:szCs w:val="20"/>
              </w:rPr>
              <w:t>Реконструкція очисних споруд каналізації (ОСК) в с. Сідава Жмеринського району Вінницької обл.</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9DDA517" w14:textId="3F44EEEF"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102203,674</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57134DD4" w14:textId="528F230F"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20440,7348</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A9D9C21"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B7B56DC" w14:textId="5840E74A"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20440,7348</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5C00A97"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3632670"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2DC65986" w14:textId="4CF5F0DA"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81762,9392</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D65446B"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0FE9570" w14:textId="1225B569"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81762,9392</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1B7B7FC"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01A37A1" w14:textId="77777777" w:rsidR="003E62D6" w:rsidRPr="00C2587D" w:rsidRDefault="003E62D6" w:rsidP="003E62D6">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68D509B5"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FE24603"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6A4B217"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750DD64"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44A38A5"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4E6BDA52" w14:textId="4BAD4B4B"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102203,674</w:t>
            </w:r>
          </w:p>
        </w:tc>
      </w:tr>
      <w:tr w:rsidR="003E62D6" w:rsidRPr="00C2587D" w14:paraId="2ED5428E" w14:textId="77777777" w:rsidTr="00A041B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0D52989D" w14:textId="522E6765" w:rsidR="003E62D6" w:rsidRPr="00C2587D" w:rsidRDefault="003E62D6" w:rsidP="003E62D6">
            <w:pPr>
              <w:rPr>
                <w:rFonts w:ascii="Times New Roman" w:eastAsia="Arial" w:hAnsi="Times New Roman"/>
                <w:sz w:val="20"/>
                <w:szCs w:val="20"/>
                <w:lang w:eastAsia="en-US"/>
              </w:rPr>
            </w:pPr>
            <w:r w:rsidRPr="00C2587D">
              <w:rPr>
                <w:rFonts w:ascii="Times New Roman" w:eastAsia="Arial" w:hAnsi="Times New Roman"/>
                <w:sz w:val="20"/>
                <w:szCs w:val="20"/>
              </w:rPr>
              <w:t>10</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34B588D7" w14:textId="59415DCA" w:rsidR="003E62D6" w:rsidRPr="00C2587D" w:rsidRDefault="003E62D6" w:rsidP="003E62D6">
            <w:pPr>
              <w:rPr>
                <w:rFonts w:ascii="Times New Roman" w:hAnsi="Times New Roman"/>
                <w:sz w:val="20"/>
                <w:szCs w:val="20"/>
                <w:lang w:eastAsia="it-IT"/>
              </w:rPr>
            </w:pPr>
            <w:r w:rsidRPr="00C2587D">
              <w:rPr>
                <w:rFonts w:ascii="Times New Roman" w:hAnsi="Times New Roman"/>
                <w:sz w:val="20"/>
                <w:szCs w:val="20"/>
                <w:lang w:eastAsia="it-IT"/>
              </w:rPr>
              <w:t>Реконструкція мереж водовідведення в селищі Браїлів, Жмеринського району, Вінницької області</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34F76B9" w14:textId="3BB7EEE4"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4500,00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0A8A7027" w14:textId="2D227998" w:rsidR="003E62D6" w:rsidRPr="00C2587D" w:rsidRDefault="00871A01"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1</w:t>
            </w:r>
            <w:r w:rsidR="003E62D6" w:rsidRPr="00C2587D">
              <w:rPr>
                <w:rFonts w:ascii="Times New Roman" w:hAnsi="Times New Roman"/>
                <w:color w:val="000000"/>
                <w:sz w:val="20"/>
                <w:szCs w:val="20"/>
                <w:lang w:eastAsia="it-IT"/>
              </w:rPr>
              <w:t>500,00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BFD2C94"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AA4349C" w14:textId="6234E1B2"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500,00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8830E7A" w14:textId="1E9F8F77" w:rsidR="003E62D6" w:rsidRPr="00C2587D" w:rsidRDefault="00871A01"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6CF34EF"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362EB421" w14:textId="0AE70B47" w:rsidR="003E62D6" w:rsidRPr="00C2587D" w:rsidRDefault="00871A01"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2</w:t>
            </w:r>
            <w:r w:rsidR="003E62D6" w:rsidRPr="00C2587D">
              <w:rPr>
                <w:rFonts w:ascii="Times New Roman" w:eastAsia="Arial" w:hAnsi="Times New Roman"/>
                <w:sz w:val="20"/>
                <w:szCs w:val="20"/>
              </w:rPr>
              <w:t>000,00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8C120C4"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412E3AE"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3B57A4E" w14:textId="4013D179" w:rsidR="003E62D6" w:rsidRPr="00C2587D" w:rsidRDefault="00871A01"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2</w:t>
            </w:r>
            <w:r w:rsidR="003E62D6" w:rsidRPr="00C2587D">
              <w:rPr>
                <w:rFonts w:ascii="Times New Roman" w:eastAsia="Arial" w:hAnsi="Times New Roman"/>
                <w:sz w:val="20"/>
                <w:szCs w:val="20"/>
              </w:rPr>
              <w:t>000,00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421D1FD" w14:textId="77777777" w:rsidR="003E62D6" w:rsidRPr="00C2587D" w:rsidRDefault="003E62D6" w:rsidP="003E62D6">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40818D9C" w14:textId="5357E520" w:rsidR="003E62D6" w:rsidRPr="00C2587D" w:rsidRDefault="00871A01"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5226413"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36614E7"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E3CC042" w14:textId="6DFDD21E" w:rsidR="003E62D6" w:rsidRPr="00C2587D" w:rsidRDefault="00871A01"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BA84B63"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126103A3" w14:textId="30731073"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4500,00</w:t>
            </w:r>
          </w:p>
        </w:tc>
      </w:tr>
      <w:tr w:rsidR="003E62D6" w:rsidRPr="00C2587D" w14:paraId="3BE95E3C" w14:textId="77777777" w:rsidTr="00A041B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3BDFB8C3" w14:textId="494AD38F" w:rsidR="003E62D6" w:rsidRPr="00C2587D" w:rsidRDefault="003E62D6" w:rsidP="003E62D6">
            <w:pPr>
              <w:rPr>
                <w:rFonts w:ascii="Times New Roman" w:eastAsia="Arial" w:hAnsi="Times New Roman"/>
                <w:sz w:val="20"/>
                <w:szCs w:val="20"/>
                <w:lang w:eastAsia="en-US"/>
              </w:rPr>
            </w:pPr>
            <w:r w:rsidRPr="00C2587D">
              <w:rPr>
                <w:rFonts w:ascii="Times New Roman" w:eastAsia="Arial" w:hAnsi="Times New Roman"/>
                <w:sz w:val="20"/>
                <w:szCs w:val="20"/>
              </w:rPr>
              <w:t>11</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10BFE4C3" w14:textId="56A2EF3D" w:rsidR="003E62D6" w:rsidRPr="00C2587D" w:rsidRDefault="003E62D6" w:rsidP="003E62D6">
            <w:pPr>
              <w:rPr>
                <w:rFonts w:ascii="Times New Roman" w:hAnsi="Times New Roman"/>
                <w:sz w:val="20"/>
                <w:szCs w:val="20"/>
                <w:lang w:eastAsia="it-IT"/>
              </w:rPr>
            </w:pPr>
            <w:r w:rsidRPr="00C2587D">
              <w:rPr>
                <w:rFonts w:ascii="Times New Roman" w:hAnsi="Times New Roman"/>
                <w:sz w:val="20"/>
                <w:szCs w:val="20"/>
                <w:lang w:eastAsia="it-IT"/>
              </w:rPr>
              <w:t>Реконструкція мереж водовідведення в селі Мартинівка, Жмеринського району, Вінницької області</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CB7D11A" w14:textId="43C0CC47"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3500,00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22DD9821" w14:textId="5669A6D1"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1500,00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A2200FB" w14:textId="2E3196C3"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1500,00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58C7299"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8155A7C"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63D071C"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7E46A29F" w14:textId="05EF6040" w:rsidR="003E62D6" w:rsidRPr="00C2587D" w:rsidRDefault="0030117F"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2000,00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6D9ABB7" w14:textId="2E358937" w:rsidR="003E62D6" w:rsidRPr="00C2587D" w:rsidRDefault="00FB447E"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2000,00</w:t>
            </w: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79D725C" w14:textId="1EE0E621"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E38F609"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A437D1A" w14:textId="77777777" w:rsidR="003E62D6" w:rsidRPr="00C2587D" w:rsidRDefault="003E62D6" w:rsidP="003E62D6">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4A233360"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376B70D"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C594B02"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89F6B09"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6DA13E9"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173A8ABE" w14:textId="6D2EFAE5"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3500,00</w:t>
            </w:r>
          </w:p>
        </w:tc>
      </w:tr>
      <w:tr w:rsidR="003E62D6" w:rsidRPr="00C2587D" w14:paraId="43DA73B9" w14:textId="77777777" w:rsidTr="00A041B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4722AD56" w14:textId="3E5C2784" w:rsidR="003E62D6" w:rsidRPr="00C2587D" w:rsidRDefault="003E62D6" w:rsidP="003E62D6">
            <w:pPr>
              <w:rPr>
                <w:rFonts w:ascii="Times New Roman" w:eastAsia="Arial" w:hAnsi="Times New Roman"/>
                <w:sz w:val="20"/>
                <w:szCs w:val="20"/>
                <w:lang w:eastAsia="en-US"/>
              </w:rPr>
            </w:pPr>
            <w:r w:rsidRPr="00C2587D">
              <w:rPr>
                <w:rFonts w:ascii="Times New Roman" w:eastAsia="Arial" w:hAnsi="Times New Roman"/>
                <w:sz w:val="20"/>
                <w:szCs w:val="20"/>
              </w:rPr>
              <w:t>12</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186095DC" w14:textId="7064DB53" w:rsidR="003E62D6" w:rsidRPr="00C2587D" w:rsidRDefault="003E62D6" w:rsidP="003E62D6">
            <w:pPr>
              <w:rPr>
                <w:rFonts w:ascii="Times New Roman" w:hAnsi="Times New Roman"/>
                <w:sz w:val="20"/>
                <w:szCs w:val="20"/>
                <w:lang w:eastAsia="it-IT"/>
              </w:rPr>
            </w:pPr>
            <w:r w:rsidRPr="00C2587D">
              <w:rPr>
                <w:rFonts w:ascii="Times New Roman" w:eastAsia="Arial" w:hAnsi="Times New Roman"/>
                <w:sz w:val="20"/>
                <w:szCs w:val="20"/>
              </w:rPr>
              <w:t>Капітальний ремонт покрівлі житлового будинку по вул. В. Брезденюка, 53</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C61D5B0" w14:textId="683F0054"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229,1</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604FA6B0" w14:textId="53FC760C"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229,1</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ABAA166"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4CEC2BD" w14:textId="17499AE8"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229,1</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B1189BA"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ADD7FD5"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2E7DF15C"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0A12E3D"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277AF81"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494BD6F"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9340F6F" w14:textId="77777777" w:rsidR="003E62D6" w:rsidRPr="00C2587D" w:rsidRDefault="003E62D6" w:rsidP="003E62D6">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6D40F36F"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FC7C88E"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E65EAB1"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6E972ED"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4EAB3C8"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7AFFD6A5" w14:textId="7DC86303"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229,1</w:t>
            </w:r>
          </w:p>
        </w:tc>
      </w:tr>
      <w:tr w:rsidR="003E62D6" w:rsidRPr="00C2587D" w14:paraId="249BC13F" w14:textId="77777777" w:rsidTr="00A041B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0BF19EA5" w14:textId="0B8B54CB" w:rsidR="003E62D6" w:rsidRPr="00C2587D" w:rsidRDefault="003E62D6" w:rsidP="003E62D6">
            <w:pPr>
              <w:rPr>
                <w:rFonts w:ascii="Times New Roman" w:eastAsia="Arial" w:hAnsi="Times New Roman"/>
                <w:sz w:val="20"/>
                <w:szCs w:val="20"/>
                <w:lang w:eastAsia="en-US"/>
              </w:rPr>
            </w:pPr>
            <w:r w:rsidRPr="00C2587D">
              <w:rPr>
                <w:rFonts w:ascii="Times New Roman" w:eastAsia="Arial" w:hAnsi="Times New Roman"/>
                <w:sz w:val="20"/>
                <w:szCs w:val="20"/>
              </w:rPr>
              <w:t>13</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4F5FDFDB" w14:textId="7B409608" w:rsidR="003E62D6" w:rsidRPr="00C2587D" w:rsidRDefault="003E62D6" w:rsidP="003E62D6">
            <w:pPr>
              <w:rPr>
                <w:rFonts w:ascii="Times New Roman" w:hAnsi="Times New Roman"/>
                <w:sz w:val="20"/>
                <w:szCs w:val="20"/>
                <w:lang w:eastAsia="it-IT"/>
              </w:rPr>
            </w:pPr>
            <w:r w:rsidRPr="00C2587D">
              <w:rPr>
                <w:rFonts w:ascii="Times New Roman" w:eastAsia="Arial" w:hAnsi="Times New Roman"/>
                <w:sz w:val="20"/>
                <w:szCs w:val="20"/>
              </w:rPr>
              <w:t>Капітальний ремонт багатоквартирного житлового будинку по вул. Пушкіна, 1 в м. Жмеринка Вінницької області (усунення аварійної ситуації)</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C1BAC14" w14:textId="77C8AA23"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7000,00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3CA534BC" w14:textId="6833FD05"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1400,00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8E4F65A"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2CB9D4E" w14:textId="4C0421F0" w:rsidR="003E62D6" w:rsidRPr="00C2587D" w:rsidRDefault="00FC546A"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1400</w:t>
            </w:r>
            <w:r w:rsidR="003E62D6" w:rsidRPr="00C2587D">
              <w:rPr>
                <w:rFonts w:ascii="Times New Roman" w:eastAsia="Arial" w:hAnsi="Times New Roman"/>
                <w:sz w:val="20"/>
                <w:szCs w:val="20"/>
              </w:rPr>
              <w:t>,00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85EA589"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2013756"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73B4AB6A" w14:textId="6B6121F0"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5600,00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5210527"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ECFAEEB" w14:textId="085FF78A"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5600,00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07629B0"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02A273E" w14:textId="77777777" w:rsidR="003E62D6" w:rsidRPr="00C2587D" w:rsidRDefault="003E62D6" w:rsidP="003E62D6">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4C305B5A"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62D5FC3"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5BFB466"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67890EF"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A5CFF89"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1CC3F507" w14:textId="64A82CA4"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7000,00</w:t>
            </w:r>
          </w:p>
        </w:tc>
      </w:tr>
      <w:tr w:rsidR="003E62D6" w:rsidRPr="00C2587D" w14:paraId="035FE351" w14:textId="77777777" w:rsidTr="00A041B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0DABFCEC" w14:textId="22C582AC" w:rsidR="003E62D6" w:rsidRPr="00C2587D" w:rsidRDefault="003E62D6" w:rsidP="003E62D6">
            <w:pPr>
              <w:rPr>
                <w:rFonts w:ascii="Times New Roman" w:eastAsia="Arial" w:hAnsi="Times New Roman"/>
                <w:sz w:val="20"/>
                <w:szCs w:val="20"/>
                <w:lang w:eastAsia="en-US"/>
              </w:rPr>
            </w:pPr>
            <w:r w:rsidRPr="00C2587D">
              <w:rPr>
                <w:rFonts w:ascii="Times New Roman" w:eastAsia="Arial" w:hAnsi="Times New Roman"/>
                <w:sz w:val="20"/>
                <w:szCs w:val="20"/>
              </w:rPr>
              <w:t>14</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1A128F93" w14:textId="0E32B3F7" w:rsidR="003E62D6" w:rsidRPr="00C2587D" w:rsidRDefault="003E62D6" w:rsidP="003E62D6">
            <w:pPr>
              <w:rPr>
                <w:rFonts w:ascii="Times New Roman" w:hAnsi="Times New Roman"/>
                <w:sz w:val="20"/>
                <w:szCs w:val="20"/>
                <w:lang w:eastAsia="it-IT"/>
              </w:rPr>
            </w:pPr>
            <w:r w:rsidRPr="00C2587D">
              <w:rPr>
                <w:rFonts w:ascii="Times New Roman" w:eastAsia="Arial" w:hAnsi="Times New Roman"/>
                <w:sz w:val="20"/>
                <w:szCs w:val="20"/>
              </w:rPr>
              <w:t>Капітальний ремонт багатоквартирного житлового будинку по вул. Шекінська 51А Жмеринка Вінницької області (усунення аварійної ситуації)</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51AC9D3" w14:textId="4A2EB60A"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10000,00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7FBD922B" w14:textId="7D0A7705"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2000,00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69D78C1"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22E44C8"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41156C4"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83A7A30" w14:textId="1584EF68"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2000,00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266E843E" w14:textId="27E13489"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8000,00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8D3FB36"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7594BC3"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7BC6F80"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30E5E7C" w14:textId="05A937C0" w:rsidR="003E62D6" w:rsidRPr="00C2587D" w:rsidRDefault="003E62D6" w:rsidP="003E62D6">
            <w:pPr>
              <w:ind w:left="113" w:right="113"/>
              <w:jc w:val="center"/>
              <w:rPr>
                <w:rFonts w:ascii="Times New Roman" w:hAnsi="Times New Roman"/>
                <w:sz w:val="20"/>
                <w:szCs w:val="20"/>
              </w:rPr>
            </w:pPr>
            <w:r w:rsidRPr="00C2587D">
              <w:rPr>
                <w:rFonts w:ascii="Times New Roman" w:eastAsia="Arial" w:hAnsi="Times New Roman"/>
                <w:sz w:val="20"/>
                <w:szCs w:val="20"/>
              </w:rPr>
              <w:t>8000,00</w:t>
            </w: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694BA4D8"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5FFDE98"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40B24D2"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A90373A"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9A3629E"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6C0B2A3A" w14:textId="47CC7B45"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10000,00</w:t>
            </w:r>
          </w:p>
        </w:tc>
      </w:tr>
      <w:tr w:rsidR="003E62D6" w:rsidRPr="00C2587D" w14:paraId="6900D313" w14:textId="77777777" w:rsidTr="00A041B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324683F9" w14:textId="0AA1DA97" w:rsidR="003E62D6" w:rsidRPr="00C2587D" w:rsidRDefault="003E62D6" w:rsidP="003E62D6">
            <w:pPr>
              <w:rPr>
                <w:rFonts w:ascii="Times New Roman" w:eastAsia="Arial" w:hAnsi="Times New Roman"/>
                <w:sz w:val="20"/>
                <w:szCs w:val="20"/>
                <w:lang w:eastAsia="en-US"/>
              </w:rPr>
            </w:pPr>
            <w:r w:rsidRPr="00C2587D">
              <w:rPr>
                <w:rFonts w:ascii="Times New Roman" w:eastAsia="Arial" w:hAnsi="Times New Roman"/>
                <w:sz w:val="20"/>
                <w:szCs w:val="20"/>
              </w:rPr>
              <w:lastRenderedPageBreak/>
              <w:t>15</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5641A4AC" w14:textId="7E4B8222" w:rsidR="003E62D6" w:rsidRPr="00C2587D" w:rsidRDefault="003E62D6" w:rsidP="003E62D6">
            <w:pPr>
              <w:rPr>
                <w:rFonts w:ascii="Times New Roman" w:hAnsi="Times New Roman"/>
                <w:sz w:val="20"/>
                <w:szCs w:val="20"/>
                <w:lang w:eastAsia="it-IT"/>
              </w:rPr>
            </w:pPr>
            <w:r w:rsidRPr="00C2587D">
              <w:rPr>
                <w:rFonts w:ascii="Times New Roman" w:eastAsia="Arial" w:hAnsi="Times New Roman"/>
                <w:sz w:val="20"/>
                <w:szCs w:val="20"/>
              </w:rPr>
              <w:t>Капітальний ремонт багатоквартирного житлового будинку по вул. Героїв Крут, 21 в м. Жмеринка Вінницької області (усунення аварійної ситуації)</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F5743AF" w14:textId="31CC43CB"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14000,00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41CC6B50" w14:textId="04519CE4"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2333,33</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A3DB4A0"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C4752CB"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73FE21B" w14:textId="49FC77A5"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2333,33</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8D1EDAA"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08977405" w14:textId="7586E435"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11666,67</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54A8E74"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847B92F"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297E6AA" w14:textId="52EDBB57"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11666,67</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878D023" w14:textId="77777777" w:rsidR="003E62D6" w:rsidRPr="00C2587D" w:rsidRDefault="003E62D6" w:rsidP="003E62D6">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2DD5BA63"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B5C427A"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D6F2C59"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D0506B5"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4DF2651"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0FCDE618" w14:textId="0538DCA3"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14000,00</w:t>
            </w:r>
          </w:p>
        </w:tc>
      </w:tr>
      <w:tr w:rsidR="003E62D6" w:rsidRPr="00C2587D" w14:paraId="461F217B" w14:textId="77777777" w:rsidTr="00A041B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730C5674" w14:textId="71751F7F" w:rsidR="003E62D6" w:rsidRPr="00C2587D" w:rsidRDefault="003E62D6" w:rsidP="003E62D6">
            <w:pPr>
              <w:rPr>
                <w:rFonts w:ascii="Times New Roman" w:eastAsia="Arial" w:hAnsi="Times New Roman"/>
                <w:sz w:val="20"/>
                <w:szCs w:val="20"/>
                <w:lang w:eastAsia="en-US"/>
              </w:rPr>
            </w:pPr>
            <w:r w:rsidRPr="00C2587D">
              <w:rPr>
                <w:rFonts w:ascii="Times New Roman" w:eastAsia="Arial" w:hAnsi="Times New Roman"/>
                <w:sz w:val="20"/>
                <w:szCs w:val="20"/>
              </w:rPr>
              <w:t>16</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3B5D8632" w14:textId="35463383" w:rsidR="003E62D6" w:rsidRPr="00C2587D" w:rsidRDefault="003E62D6" w:rsidP="003E62D6">
            <w:pPr>
              <w:rPr>
                <w:rFonts w:ascii="Times New Roman" w:hAnsi="Times New Roman"/>
                <w:sz w:val="20"/>
                <w:szCs w:val="20"/>
                <w:lang w:eastAsia="it-IT"/>
              </w:rPr>
            </w:pPr>
            <w:r w:rsidRPr="00C2587D">
              <w:rPr>
                <w:rFonts w:ascii="Times New Roman" w:eastAsia="Arial" w:hAnsi="Times New Roman"/>
                <w:sz w:val="20"/>
                <w:szCs w:val="20"/>
              </w:rPr>
              <w:t>Реконструкція частини вулиці Коцюбинського (від вул. Свободи до вул. Глінки) в м. Жмеринка Вінницької області</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DF1EEEE" w14:textId="6133037A"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5337,8</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1567CDDF" w14:textId="7D1945D2"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5337,8</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A519A56"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79AA32B" w14:textId="4D9875B6"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5337,8</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2727EDD"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D79C0BF"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02E43EC6"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948EE2D"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DE5E953"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834EFBC"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1DDBAA3" w14:textId="77777777" w:rsidR="003E62D6" w:rsidRPr="00C2587D" w:rsidRDefault="003E62D6" w:rsidP="003E62D6">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624DFA05"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47D86ED"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EAE2EA1"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B3FABFB"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4B59FB1"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16BC052C" w14:textId="6CE89AA9"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5337,8</w:t>
            </w:r>
          </w:p>
        </w:tc>
      </w:tr>
      <w:tr w:rsidR="003E62D6" w:rsidRPr="00C2587D" w14:paraId="4F47745F" w14:textId="77777777" w:rsidTr="00A041B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30F9C5DB" w14:textId="3282338A" w:rsidR="003E62D6" w:rsidRPr="00C2587D" w:rsidRDefault="003E62D6" w:rsidP="003E62D6">
            <w:pPr>
              <w:rPr>
                <w:rFonts w:ascii="Times New Roman" w:eastAsia="Arial" w:hAnsi="Times New Roman"/>
                <w:sz w:val="20"/>
                <w:szCs w:val="20"/>
                <w:lang w:eastAsia="en-US"/>
              </w:rPr>
            </w:pPr>
            <w:r w:rsidRPr="00C2587D">
              <w:rPr>
                <w:rFonts w:ascii="Times New Roman" w:eastAsia="Arial" w:hAnsi="Times New Roman"/>
                <w:sz w:val="20"/>
                <w:szCs w:val="20"/>
              </w:rPr>
              <w:t>17</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7928228B" w14:textId="48000F92" w:rsidR="003E62D6" w:rsidRPr="00C2587D" w:rsidRDefault="003E62D6" w:rsidP="003E62D6">
            <w:pPr>
              <w:rPr>
                <w:rFonts w:ascii="Times New Roman" w:hAnsi="Times New Roman"/>
                <w:sz w:val="20"/>
                <w:szCs w:val="20"/>
                <w:lang w:eastAsia="it-IT"/>
              </w:rPr>
            </w:pPr>
            <w:r w:rsidRPr="00C2587D">
              <w:rPr>
                <w:rFonts w:ascii="Times New Roman" w:eastAsia="Arial" w:hAnsi="Times New Roman"/>
                <w:sz w:val="20"/>
                <w:szCs w:val="20"/>
              </w:rPr>
              <w:t>Капітальний ремонт дорожнього покриття по вул. Вишнева, Покровська, Шкільна в с. Сьомаки Жмеринського району Вінницької області (коригування)</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3C23359" w14:textId="45623718"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2217,503</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1C3892C2" w14:textId="63E87280"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2217,503</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162E382"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9BED390" w14:textId="677D9015"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2217,503</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8C6ECE9"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27BB04B"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5E26D448"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2AAC05A"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BA20048"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0F19DDA"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04189E9" w14:textId="77777777" w:rsidR="003E62D6" w:rsidRPr="00C2587D" w:rsidRDefault="003E62D6" w:rsidP="003E62D6">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4D54A80E"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3BFF6F4"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671CEA0"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7109DC0"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380AF7B"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5AD8EEA1" w14:textId="570D71EF"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2217,503</w:t>
            </w:r>
          </w:p>
        </w:tc>
      </w:tr>
      <w:tr w:rsidR="003E62D6" w:rsidRPr="00C2587D" w14:paraId="15D36B81" w14:textId="77777777" w:rsidTr="00A041B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79B51322" w14:textId="39D8C4C7" w:rsidR="003E62D6" w:rsidRPr="00C2587D" w:rsidRDefault="003E62D6" w:rsidP="003E62D6">
            <w:pPr>
              <w:rPr>
                <w:rFonts w:ascii="Times New Roman" w:eastAsia="Arial" w:hAnsi="Times New Roman"/>
                <w:sz w:val="20"/>
                <w:szCs w:val="20"/>
                <w:lang w:eastAsia="en-US"/>
              </w:rPr>
            </w:pPr>
            <w:r w:rsidRPr="00C2587D">
              <w:rPr>
                <w:rFonts w:ascii="Times New Roman" w:eastAsia="Arial" w:hAnsi="Times New Roman"/>
                <w:sz w:val="20"/>
                <w:szCs w:val="20"/>
              </w:rPr>
              <w:t>18</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32ABF956" w14:textId="625031DD" w:rsidR="003E62D6" w:rsidRPr="00C2587D" w:rsidRDefault="003E62D6" w:rsidP="003E62D6">
            <w:pPr>
              <w:rPr>
                <w:rFonts w:ascii="Times New Roman" w:hAnsi="Times New Roman"/>
                <w:sz w:val="20"/>
                <w:szCs w:val="20"/>
                <w:lang w:eastAsia="it-IT"/>
              </w:rPr>
            </w:pPr>
            <w:r w:rsidRPr="00C2587D">
              <w:rPr>
                <w:rFonts w:ascii="Times New Roman" w:eastAsia="Arial" w:hAnsi="Times New Roman"/>
                <w:sz w:val="20"/>
                <w:szCs w:val="20"/>
              </w:rPr>
              <w:t xml:space="preserve">Капітальний ремонт дорожнього покриття </w:t>
            </w:r>
            <w:r w:rsidR="00C156A0">
              <w:rPr>
                <w:rFonts w:ascii="Times New Roman" w:eastAsia="Arial" w:hAnsi="Times New Roman"/>
                <w:sz w:val="20"/>
                <w:szCs w:val="20"/>
              </w:rPr>
              <w:t>по вул. Кармелюка (від перехр. з</w:t>
            </w:r>
            <w:r w:rsidRPr="00C2587D">
              <w:rPr>
                <w:rFonts w:ascii="Times New Roman" w:eastAsia="Arial" w:hAnsi="Times New Roman"/>
                <w:sz w:val="20"/>
                <w:szCs w:val="20"/>
              </w:rPr>
              <w:t xml:space="preserve"> вул. Центральна до перехрестя з вул. Базарна) в с. Кармалюкове, Жмеринського району</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A8926FF" w14:textId="7C8DA637"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1263,928</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4AA9B471" w14:textId="612E7567"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1263,928</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B7C288B"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52C4001" w14:textId="4E5AE023"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1263,928</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DA0223B"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34E104A"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44D3E570"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015CB83"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F2D218E"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16D0A91"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F3B4F8A" w14:textId="77777777" w:rsidR="003E62D6" w:rsidRPr="00C2587D" w:rsidRDefault="003E62D6" w:rsidP="003E62D6">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21674C82"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2EED5F2"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F9259A9"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C86A3CD"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446CF9B"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1B9748E0" w14:textId="0F5571E3"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1263,928</w:t>
            </w:r>
          </w:p>
        </w:tc>
      </w:tr>
      <w:tr w:rsidR="003E62D6" w:rsidRPr="00C2587D" w14:paraId="664C37A9" w14:textId="77777777" w:rsidTr="00A041B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13A84587" w14:textId="5BFEDCC4" w:rsidR="003E62D6" w:rsidRPr="00C2587D" w:rsidRDefault="003E62D6" w:rsidP="003E62D6">
            <w:pPr>
              <w:rPr>
                <w:rFonts w:ascii="Times New Roman" w:eastAsia="Arial" w:hAnsi="Times New Roman"/>
                <w:sz w:val="20"/>
                <w:szCs w:val="20"/>
                <w:lang w:eastAsia="en-US"/>
              </w:rPr>
            </w:pPr>
            <w:r w:rsidRPr="00C2587D">
              <w:rPr>
                <w:rFonts w:ascii="Times New Roman" w:eastAsia="Arial" w:hAnsi="Times New Roman"/>
                <w:sz w:val="20"/>
                <w:szCs w:val="20"/>
              </w:rPr>
              <w:t>19</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397FF5C7" w14:textId="5B683A18" w:rsidR="003E62D6" w:rsidRPr="00C2587D" w:rsidRDefault="003E62D6" w:rsidP="003E62D6">
            <w:pPr>
              <w:rPr>
                <w:rFonts w:ascii="Times New Roman" w:hAnsi="Times New Roman"/>
                <w:sz w:val="20"/>
                <w:szCs w:val="20"/>
                <w:lang w:eastAsia="it-IT"/>
              </w:rPr>
            </w:pPr>
            <w:r w:rsidRPr="00C2587D">
              <w:rPr>
                <w:rFonts w:ascii="Times New Roman" w:eastAsia="Arial" w:hAnsi="Times New Roman"/>
                <w:sz w:val="20"/>
                <w:szCs w:val="20"/>
              </w:rPr>
              <w:t>Капітальний ремонт дорожнього покриття по вул. Олега Кандирала в с. Дубова, Жмеринського району</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D04B3CC" w14:textId="4889A454"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1495,110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38729784" w14:textId="6371FCC9"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1495,110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F2B66EA"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F17EF2E" w14:textId="26FB95CB"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1495,110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43F9F30"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7CAC85C"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097535AF"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0994041"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242FAF8"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EA2D197"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74F4AFF" w14:textId="77777777" w:rsidR="003E62D6" w:rsidRPr="00C2587D" w:rsidRDefault="003E62D6" w:rsidP="003E62D6">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67FCFADE"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F30F581"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447546B"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F7E5EC4"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E067380"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4889B75D" w14:textId="1CAE605E"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1495,110</w:t>
            </w:r>
          </w:p>
        </w:tc>
      </w:tr>
      <w:tr w:rsidR="003E62D6" w:rsidRPr="00C2587D" w14:paraId="531328E6" w14:textId="77777777" w:rsidTr="00A041B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50D16742" w14:textId="68B3C4E5" w:rsidR="003E62D6" w:rsidRPr="00C2587D" w:rsidRDefault="003E62D6" w:rsidP="003E62D6">
            <w:pPr>
              <w:rPr>
                <w:rFonts w:ascii="Times New Roman" w:eastAsia="Arial" w:hAnsi="Times New Roman"/>
                <w:sz w:val="20"/>
                <w:szCs w:val="20"/>
                <w:lang w:eastAsia="en-US"/>
              </w:rPr>
            </w:pPr>
            <w:r w:rsidRPr="00C2587D">
              <w:rPr>
                <w:rFonts w:ascii="Times New Roman" w:eastAsia="Arial" w:hAnsi="Times New Roman"/>
                <w:sz w:val="20"/>
                <w:szCs w:val="20"/>
              </w:rPr>
              <w:lastRenderedPageBreak/>
              <w:t>20</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0C732A05" w14:textId="539581B9" w:rsidR="003E62D6" w:rsidRPr="00C2587D" w:rsidRDefault="003E62D6" w:rsidP="003E62D6">
            <w:pPr>
              <w:rPr>
                <w:rFonts w:ascii="Times New Roman" w:hAnsi="Times New Roman"/>
                <w:sz w:val="20"/>
                <w:szCs w:val="20"/>
                <w:lang w:eastAsia="it-IT"/>
              </w:rPr>
            </w:pPr>
            <w:r w:rsidRPr="00C2587D">
              <w:rPr>
                <w:rFonts w:ascii="Times New Roman" w:eastAsia="Arial" w:hAnsi="Times New Roman"/>
                <w:sz w:val="20"/>
                <w:szCs w:val="20"/>
              </w:rPr>
              <w:t>Капітальний ремонт дорожнього покриття по вул. Шкільна (від буд. №5), вул. Космонавтів (буд. №39-буд. №42), вул. Соборна (до буд. №86 по вул. Жовтнева) в с. Людавка Жмеринського району Вінницької області (коригування)</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91FA987" w14:textId="299E6BB4"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2157,810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0EB7843A" w14:textId="3D969588"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2157,810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15852ED"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4722E3C" w14:textId="54F364A3"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2157,810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B6468FF"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61CD720"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7B75D451"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25F24A1"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70D2268"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DEDDB9A"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90E8B66" w14:textId="77777777" w:rsidR="003E62D6" w:rsidRPr="00C2587D" w:rsidRDefault="003E62D6" w:rsidP="003E62D6">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0E06837A"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AEE945F"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DBECB11"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B811AC0"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2EC0DD7"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14DBE5FF" w14:textId="1868A014"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2157,810</w:t>
            </w:r>
          </w:p>
        </w:tc>
      </w:tr>
      <w:tr w:rsidR="003E62D6" w:rsidRPr="00C2587D" w14:paraId="10565CA1" w14:textId="77777777" w:rsidTr="00A041B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446A7CB2" w14:textId="00D1D119" w:rsidR="003E62D6" w:rsidRPr="00C2587D" w:rsidRDefault="003E62D6" w:rsidP="003E62D6">
            <w:pPr>
              <w:rPr>
                <w:rFonts w:ascii="Times New Roman" w:eastAsia="Arial" w:hAnsi="Times New Roman"/>
                <w:sz w:val="20"/>
                <w:szCs w:val="20"/>
                <w:lang w:eastAsia="en-US"/>
              </w:rPr>
            </w:pPr>
            <w:r w:rsidRPr="00C2587D">
              <w:rPr>
                <w:rFonts w:ascii="Times New Roman" w:eastAsia="Arial" w:hAnsi="Times New Roman"/>
                <w:sz w:val="20"/>
                <w:szCs w:val="20"/>
              </w:rPr>
              <w:t>21</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443E83E4" w14:textId="0C4F578B" w:rsidR="003E62D6" w:rsidRPr="00C2587D" w:rsidRDefault="003E62D6" w:rsidP="003E62D6">
            <w:pPr>
              <w:rPr>
                <w:rFonts w:ascii="Times New Roman" w:hAnsi="Times New Roman"/>
                <w:sz w:val="20"/>
                <w:szCs w:val="20"/>
                <w:lang w:eastAsia="it-IT"/>
              </w:rPr>
            </w:pPr>
            <w:r w:rsidRPr="00C2587D">
              <w:rPr>
                <w:rFonts w:ascii="Times New Roman" w:eastAsia="Arial" w:hAnsi="Times New Roman"/>
                <w:sz w:val="20"/>
                <w:szCs w:val="20"/>
              </w:rPr>
              <w:t>Капітальний ремонт дорожнього покриття по вул. Достоєвського в м. Жмеринка Вінницької області</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D56A9C1" w14:textId="5ADE3075"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491,694</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70BB287A" w14:textId="18F5F05B"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491,694</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70CC894"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077C423" w14:textId="2E1287CF"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491,694</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DAC3B8C"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375329D"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02239931"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AB88C59"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4ECF7DF"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1EDDFB6"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DABF758" w14:textId="77777777" w:rsidR="003E62D6" w:rsidRPr="00C2587D" w:rsidRDefault="003E62D6" w:rsidP="003E62D6">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793CEDF1"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18123DF"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249FC73"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B66AAD6"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CB48C2A"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5571F87B" w14:textId="17F0E53F"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491,694</w:t>
            </w:r>
          </w:p>
        </w:tc>
      </w:tr>
      <w:tr w:rsidR="003E62D6" w:rsidRPr="00C2587D" w14:paraId="6AA167DE" w14:textId="77777777" w:rsidTr="00A041B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5B3DE81A" w14:textId="0F975B96" w:rsidR="003E62D6" w:rsidRPr="00C2587D" w:rsidRDefault="003E62D6" w:rsidP="003E62D6">
            <w:pPr>
              <w:rPr>
                <w:rFonts w:ascii="Times New Roman" w:eastAsia="Arial" w:hAnsi="Times New Roman"/>
                <w:sz w:val="20"/>
                <w:szCs w:val="20"/>
                <w:lang w:eastAsia="en-US"/>
              </w:rPr>
            </w:pPr>
            <w:r w:rsidRPr="00C2587D">
              <w:rPr>
                <w:rFonts w:ascii="Times New Roman" w:eastAsia="Arial" w:hAnsi="Times New Roman"/>
                <w:sz w:val="20"/>
                <w:szCs w:val="20"/>
              </w:rPr>
              <w:t>22</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70FE26AD" w14:textId="3CA137B9" w:rsidR="003E62D6" w:rsidRPr="00C2587D" w:rsidRDefault="003E62D6" w:rsidP="003E62D6">
            <w:pPr>
              <w:rPr>
                <w:rFonts w:ascii="Times New Roman" w:hAnsi="Times New Roman"/>
                <w:sz w:val="20"/>
                <w:szCs w:val="20"/>
                <w:lang w:eastAsia="it-IT"/>
              </w:rPr>
            </w:pPr>
            <w:r w:rsidRPr="00C2587D">
              <w:rPr>
                <w:rFonts w:ascii="Times New Roman" w:eastAsia="Arial" w:hAnsi="Times New Roman"/>
                <w:sz w:val="20"/>
                <w:szCs w:val="20"/>
              </w:rPr>
              <w:t xml:space="preserve">Капітальний ремонт дорожнього покриття по вул. Садова (від буд. №20 до вул. Центральної та від вул. Центральної до буд. №25) в с. Почапинці Жмеринського району Вінницької області (коригування) </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11EB701" w14:textId="0FE390D2"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1529,683</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725F7A73" w14:textId="28378F3F"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1529,683</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3E98CDB"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1CD89CC" w14:textId="767F3E3F"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1529,683</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52C2198"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9116677"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7B949714"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E74CEC8"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22D9384"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9810606"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5D0CA35" w14:textId="77777777" w:rsidR="003E62D6" w:rsidRPr="00C2587D" w:rsidRDefault="003E62D6" w:rsidP="003E62D6">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35EA054F"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DDA680F"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ED708C6"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A78818D"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C0ECE2D"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2F08408F" w14:textId="0A83F957"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1529,683</w:t>
            </w:r>
          </w:p>
        </w:tc>
      </w:tr>
      <w:tr w:rsidR="003E62D6" w:rsidRPr="00C2587D" w14:paraId="580B5FA6" w14:textId="77777777" w:rsidTr="00A041B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4CBB51AE" w14:textId="2B617F63" w:rsidR="003E62D6" w:rsidRPr="00C2587D" w:rsidRDefault="00E36FAF" w:rsidP="003E62D6">
            <w:pPr>
              <w:rPr>
                <w:rFonts w:ascii="Times New Roman" w:eastAsia="Arial" w:hAnsi="Times New Roman"/>
                <w:sz w:val="20"/>
                <w:szCs w:val="20"/>
                <w:lang w:eastAsia="en-US"/>
              </w:rPr>
            </w:pPr>
            <w:r w:rsidRPr="00C2587D">
              <w:rPr>
                <w:rFonts w:ascii="Times New Roman" w:eastAsia="Arial" w:hAnsi="Times New Roman"/>
                <w:sz w:val="20"/>
                <w:szCs w:val="20"/>
                <w:lang w:eastAsia="en-US"/>
              </w:rPr>
              <w:t>23</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49395195" w14:textId="04013B3A" w:rsidR="003E62D6" w:rsidRPr="00C2587D" w:rsidRDefault="003E62D6" w:rsidP="003E62D6">
            <w:pPr>
              <w:rPr>
                <w:rFonts w:ascii="Times New Roman" w:hAnsi="Times New Roman"/>
                <w:sz w:val="20"/>
                <w:szCs w:val="20"/>
                <w:lang w:eastAsia="it-IT"/>
              </w:rPr>
            </w:pPr>
            <w:r w:rsidRPr="00C2587D">
              <w:rPr>
                <w:rFonts w:ascii="Times New Roman" w:eastAsia="Arial" w:hAnsi="Times New Roman"/>
                <w:sz w:val="20"/>
                <w:szCs w:val="20"/>
              </w:rPr>
              <w:t>Капітальний ремонт дорожнього покриття по вул. Мельнична в м. Жмеринка (Коригування 2)</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6FBA502" w14:textId="3E49D186"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14 000,0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6EF61C6F" w14:textId="5DDE40D6" w:rsidR="003E62D6" w:rsidRPr="00C2587D" w:rsidRDefault="00871A01"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2333,3</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2ADBEF0"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E82FDB1"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24B368F" w14:textId="7358A4FE" w:rsidR="003E62D6" w:rsidRPr="00C2587D" w:rsidRDefault="00871A01" w:rsidP="00871A01">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2333,3</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A78DBD3"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7995F940" w14:textId="318C1CF8" w:rsidR="003E62D6" w:rsidRPr="00C2587D" w:rsidRDefault="00871A01"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11666,7</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9881705"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4E7DD94"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E2C4A8A" w14:textId="326A42A9" w:rsidR="003E62D6" w:rsidRPr="00C2587D" w:rsidRDefault="00871A01"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11666,7</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4344674" w14:textId="77777777" w:rsidR="003E62D6" w:rsidRPr="00C2587D" w:rsidRDefault="003E62D6" w:rsidP="003E62D6">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747FC46D"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49F8634"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6EC556D"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3961CF3"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0E174C2"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1449388E" w14:textId="4E3B47DC"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14 000,0</w:t>
            </w:r>
          </w:p>
        </w:tc>
      </w:tr>
      <w:tr w:rsidR="003E62D6" w:rsidRPr="00C2587D" w14:paraId="46E77B00" w14:textId="77777777" w:rsidTr="00A041B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6867C314" w14:textId="592E1568" w:rsidR="003E62D6" w:rsidRPr="00C2587D" w:rsidRDefault="003E62D6" w:rsidP="003E62D6">
            <w:pPr>
              <w:rPr>
                <w:rFonts w:ascii="Times New Roman" w:eastAsia="Arial" w:hAnsi="Times New Roman"/>
                <w:sz w:val="20"/>
                <w:szCs w:val="20"/>
                <w:lang w:eastAsia="en-US"/>
              </w:rPr>
            </w:pPr>
            <w:r w:rsidRPr="00C2587D">
              <w:rPr>
                <w:rFonts w:ascii="Times New Roman" w:eastAsia="Arial" w:hAnsi="Times New Roman"/>
                <w:sz w:val="20"/>
                <w:szCs w:val="20"/>
              </w:rPr>
              <w:t>2</w:t>
            </w:r>
            <w:r w:rsidR="00E36FAF" w:rsidRPr="00C2587D">
              <w:rPr>
                <w:rFonts w:ascii="Times New Roman" w:eastAsia="Arial" w:hAnsi="Times New Roman"/>
                <w:sz w:val="20"/>
                <w:szCs w:val="20"/>
              </w:rPr>
              <w:t>4</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6FB3CFA6" w14:textId="716E8F23" w:rsidR="003E62D6" w:rsidRPr="00C2587D" w:rsidRDefault="003E62D6" w:rsidP="003E62D6">
            <w:pPr>
              <w:rPr>
                <w:rFonts w:ascii="Times New Roman" w:hAnsi="Times New Roman"/>
                <w:sz w:val="20"/>
                <w:szCs w:val="20"/>
                <w:lang w:eastAsia="it-IT"/>
              </w:rPr>
            </w:pPr>
            <w:r w:rsidRPr="00C2587D">
              <w:rPr>
                <w:rFonts w:ascii="Times New Roman" w:eastAsia="Arial" w:hAnsi="Times New Roman"/>
                <w:sz w:val="20"/>
                <w:szCs w:val="20"/>
              </w:rPr>
              <w:t>Капітальний ремонт дорожнього покриття прибудинкової території по вул. 151 Стрілецької дивізії, 6 в м. Жмеринка Вінницької області</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031F708" w14:textId="39762CBF"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1370,972</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77DEE51D" w14:textId="059F7F1F"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1370,972</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D08895D"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B8A8A22" w14:textId="52DC72AC"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1370,972</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CE1E98E"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1C9D70F"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174C3890"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222A52E"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627D0BE"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07FEC9B"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6A4B925" w14:textId="77777777" w:rsidR="003E62D6" w:rsidRPr="00C2587D" w:rsidRDefault="003E62D6" w:rsidP="003E62D6">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585F9B2E"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6D10C46"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CD0CE17"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17F4170"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9FE53E8"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6CE5CC9C" w14:textId="6E2802FA"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1370,972</w:t>
            </w:r>
          </w:p>
        </w:tc>
      </w:tr>
      <w:tr w:rsidR="003E62D6" w:rsidRPr="00C2587D" w14:paraId="0FA2CAE8" w14:textId="77777777" w:rsidTr="00A041B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136D5B2D" w14:textId="648B1F72" w:rsidR="003E62D6" w:rsidRPr="00C2587D" w:rsidRDefault="003E62D6" w:rsidP="003E62D6">
            <w:pPr>
              <w:rPr>
                <w:rFonts w:ascii="Times New Roman" w:eastAsia="Arial" w:hAnsi="Times New Roman"/>
                <w:sz w:val="20"/>
                <w:szCs w:val="20"/>
                <w:lang w:eastAsia="en-US"/>
              </w:rPr>
            </w:pPr>
            <w:r w:rsidRPr="00C2587D">
              <w:rPr>
                <w:rFonts w:ascii="Times New Roman" w:eastAsia="Arial" w:hAnsi="Times New Roman"/>
                <w:sz w:val="20"/>
                <w:szCs w:val="20"/>
              </w:rPr>
              <w:lastRenderedPageBreak/>
              <w:t>2</w:t>
            </w:r>
            <w:r w:rsidR="00E36FAF" w:rsidRPr="00C2587D">
              <w:rPr>
                <w:rFonts w:ascii="Times New Roman" w:eastAsia="Arial" w:hAnsi="Times New Roman"/>
                <w:sz w:val="20"/>
                <w:szCs w:val="20"/>
              </w:rPr>
              <w:t>5</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654F82F5" w14:textId="7EDC65C1" w:rsidR="003E62D6" w:rsidRPr="00C2587D" w:rsidRDefault="003E62D6" w:rsidP="003E62D6">
            <w:pPr>
              <w:rPr>
                <w:rFonts w:ascii="Times New Roman" w:hAnsi="Times New Roman"/>
                <w:sz w:val="20"/>
                <w:szCs w:val="20"/>
                <w:lang w:eastAsia="it-IT"/>
              </w:rPr>
            </w:pPr>
            <w:r w:rsidRPr="00C2587D">
              <w:rPr>
                <w:rFonts w:ascii="Times New Roman" w:eastAsia="Arial" w:hAnsi="Times New Roman"/>
                <w:sz w:val="20"/>
                <w:szCs w:val="20"/>
              </w:rPr>
              <w:t>Капітальний ремонт дорожнього покриття прибудинкової території по вул. Соборна, 10,12 в м.Жмеринка Вінницької області(Коригування)</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65FDCA4" w14:textId="68389359"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9881,8</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16A04377" w14:textId="5D79AF72"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9881,8</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D48F570"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2FC8EED" w14:textId="204C9AC2"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9881,8</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E03C747"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200DCEF"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2628BDA1"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3FF8642"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CCE515D"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2145041"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0577DA5" w14:textId="77777777" w:rsidR="003E62D6" w:rsidRPr="00C2587D" w:rsidRDefault="003E62D6" w:rsidP="003E62D6">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277BE6FA"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758DBF6"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6FB4FBA"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22E4080"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36D5599"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4479CC63" w14:textId="35D9BEFF"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9881,8</w:t>
            </w:r>
          </w:p>
        </w:tc>
      </w:tr>
      <w:tr w:rsidR="003E62D6" w:rsidRPr="00C2587D" w14:paraId="3134F8E5" w14:textId="77777777" w:rsidTr="00A041B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66288267" w14:textId="32BC092D" w:rsidR="003E62D6" w:rsidRPr="00C2587D" w:rsidRDefault="003E62D6" w:rsidP="003E62D6">
            <w:pPr>
              <w:rPr>
                <w:rFonts w:ascii="Times New Roman" w:eastAsia="Arial" w:hAnsi="Times New Roman"/>
                <w:sz w:val="20"/>
                <w:szCs w:val="20"/>
                <w:lang w:eastAsia="en-US"/>
              </w:rPr>
            </w:pPr>
            <w:r w:rsidRPr="00C2587D">
              <w:rPr>
                <w:rFonts w:ascii="Times New Roman" w:eastAsia="Arial" w:hAnsi="Times New Roman"/>
                <w:sz w:val="20"/>
                <w:szCs w:val="20"/>
              </w:rPr>
              <w:t>2</w:t>
            </w:r>
            <w:r w:rsidR="00E36FAF" w:rsidRPr="00C2587D">
              <w:rPr>
                <w:rFonts w:ascii="Times New Roman" w:eastAsia="Arial" w:hAnsi="Times New Roman"/>
                <w:sz w:val="20"/>
                <w:szCs w:val="20"/>
              </w:rPr>
              <w:t>6</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3B1F9F0E" w14:textId="5B7C012C" w:rsidR="003E62D6" w:rsidRPr="00C2587D" w:rsidRDefault="003E62D6" w:rsidP="003E62D6">
            <w:pPr>
              <w:rPr>
                <w:rFonts w:ascii="Times New Roman" w:hAnsi="Times New Roman"/>
                <w:sz w:val="20"/>
                <w:szCs w:val="20"/>
                <w:lang w:eastAsia="it-IT"/>
              </w:rPr>
            </w:pPr>
            <w:r w:rsidRPr="00C2587D">
              <w:rPr>
                <w:rFonts w:ascii="Times New Roman" w:eastAsia="Arial" w:hAnsi="Times New Roman"/>
                <w:sz w:val="20"/>
                <w:szCs w:val="20"/>
              </w:rPr>
              <w:t>Капітальний ремонт дорожнього покриття прибудинкової території по вул. Будівельників, 5 в м. Жмеринка Вінницької області</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725BCAB" w14:textId="3F45E680"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1181,002</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0DC3CB22" w14:textId="77A89D74"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1181,002</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B54971E"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736237A" w14:textId="1AAD6CFE"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1181,002</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2FBE766"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4E8F2FF"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67BEEA4A"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22F07EE"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14FF049"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2C1C42F"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E902A9A" w14:textId="77777777" w:rsidR="003E62D6" w:rsidRPr="00C2587D" w:rsidRDefault="003E62D6" w:rsidP="003E62D6">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4BBF07C6"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A9A08C0"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24E9515"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BB9E653"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5C5D1A0"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5107BEF1" w14:textId="0A3B1DE0"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1181,002</w:t>
            </w:r>
          </w:p>
        </w:tc>
      </w:tr>
      <w:tr w:rsidR="003E62D6" w:rsidRPr="00C2587D" w14:paraId="54BF9590" w14:textId="77777777" w:rsidTr="00A041B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6E038B72" w14:textId="39328A4D" w:rsidR="003E62D6" w:rsidRPr="00C2587D" w:rsidRDefault="003E62D6" w:rsidP="003E62D6">
            <w:pPr>
              <w:rPr>
                <w:rFonts w:ascii="Times New Roman" w:eastAsia="Arial" w:hAnsi="Times New Roman"/>
                <w:sz w:val="20"/>
                <w:szCs w:val="20"/>
                <w:lang w:eastAsia="en-US"/>
              </w:rPr>
            </w:pPr>
            <w:r w:rsidRPr="00C2587D">
              <w:rPr>
                <w:rFonts w:ascii="Times New Roman" w:eastAsia="Arial" w:hAnsi="Times New Roman"/>
                <w:sz w:val="20"/>
                <w:szCs w:val="20"/>
              </w:rPr>
              <w:t>2</w:t>
            </w:r>
            <w:r w:rsidR="00E36FAF" w:rsidRPr="00C2587D">
              <w:rPr>
                <w:rFonts w:ascii="Times New Roman" w:eastAsia="Arial" w:hAnsi="Times New Roman"/>
                <w:sz w:val="20"/>
                <w:szCs w:val="20"/>
              </w:rPr>
              <w:t>7</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190979A5" w14:textId="27CA62AC" w:rsidR="003E62D6" w:rsidRPr="00C2587D" w:rsidRDefault="003E62D6" w:rsidP="003E62D6">
            <w:pPr>
              <w:rPr>
                <w:rFonts w:ascii="Times New Roman" w:hAnsi="Times New Roman"/>
                <w:sz w:val="20"/>
                <w:szCs w:val="20"/>
                <w:lang w:eastAsia="it-IT"/>
              </w:rPr>
            </w:pPr>
            <w:r w:rsidRPr="00C2587D">
              <w:rPr>
                <w:rFonts w:ascii="Times New Roman" w:eastAsia="Arial" w:hAnsi="Times New Roman"/>
                <w:sz w:val="20"/>
                <w:szCs w:val="20"/>
              </w:rPr>
              <w:t>Капітальний ремонт вулиці Валерія Брезденюка (від вул. М. Грушевського до вул. Центральна)</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B8C71B4" w14:textId="1A382BDD"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7216,774</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75F2DA28" w14:textId="77F78CC8"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7216,774</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0A83396"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FCFA921" w14:textId="6EE0CA24"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7216,774</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C983433"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6176C55"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6BA3D09E"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6873224"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B9B428F"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E551342"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0D0A45F" w14:textId="77777777" w:rsidR="003E62D6" w:rsidRPr="00C2587D" w:rsidRDefault="003E62D6" w:rsidP="003E62D6">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5F3E785F"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A9CC6A0"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B7CE5ED"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18DB467"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44E9E46"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771AA883" w14:textId="40B7C016"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7216,774</w:t>
            </w:r>
          </w:p>
        </w:tc>
      </w:tr>
      <w:tr w:rsidR="00824926" w:rsidRPr="00C2587D" w14:paraId="2B2DDFD3" w14:textId="77777777" w:rsidTr="00FF28D2">
        <w:trPr>
          <w:cantSplit/>
          <w:trHeight w:val="955"/>
        </w:trPr>
        <w:tc>
          <w:tcPr>
            <w:tcW w:w="531" w:type="dxa"/>
            <w:tcBorders>
              <w:top w:val="single" w:sz="4" w:space="0" w:color="auto"/>
              <w:left w:val="single" w:sz="4" w:space="0" w:color="auto"/>
              <w:bottom w:val="single" w:sz="4" w:space="0" w:color="auto"/>
              <w:right w:val="single" w:sz="4" w:space="0" w:color="auto"/>
            </w:tcBorders>
            <w:shd w:val="clear" w:color="auto" w:fill="auto"/>
          </w:tcPr>
          <w:p w14:paraId="224AC72B" w14:textId="3D537060" w:rsidR="00824926" w:rsidRPr="00C2587D" w:rsidRDefault="00E36FAF" w:rsidP="003E62D6">
            <w:pPr>
              <w:rPr>
                <w:rFonts w:ascii="Times New Roman" w:eastAsia="Arial" w:hAnsi="Times New Roman"/>
                <w:sz w:val="20"/>
                <w:szCs w:val="20"/>
              </w:rPr>
            </w:pPr>
            <w:r w:rsidRPr="00C2587D">
              <w:rPr>
                <w:rFonts w:ascii="Times New Roman" w:eastAsia="Arial" w:hAnsi="Times New Roman"/>
                <w:sz w:val="20"/>
                <w:szCs w:val="20"/>
              </w:rPr>
              <w:t>28</w:t>
            </w:r>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tcPr>
          <w:p w14:paraId="29C790C4" w14:textId="68D83FF0" w:rsidR="00824926" w:rsidRPr="00C2587D" w:rsidRDefault="00824926" w:rsidP="00FF28D2">
            <w:pPr>
              <w:rPr>
                <w:rFonts w:ascii="Times New Roman" w:eastAsia="Arial" w:hAnsi="Times New Roman"/>
                <w:sz w:val="20"/>
                <w:szCs w:val="20"/>
              </w:rPr>
            </w:pPr>
            <w:r w:rsidRPr="00C2587D">
              <w:rPr>
                <w:rFonts w:ascii="Times New Roman" w:eastAsia="Arial" w:hAnsi="Times New Roman"/>
                <w:sz w:val="20"/>
                <w:szCs w:val="20"/>
              </w:rPr>
              <w:t>Капітальний ремонт доріг (асфальтування) в смт. Браїлів</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809885E" w14:textId="5E964213" w:rsidR="00824926" w:rsidRPr="00C2587D" w:rsidRDefault="00824926" w:rsidP="003E62D6">
            <w:pPr>
              <w:ind w:left="113" w:right="113"/>
              <w:jc w:val="center"/>
              <w:rPr>
                <w:rFonts w:ascii="Times New Roman" w:hAnsi="Times New Roman"/>
                <w:b/>
                <w:color w:val="000000"/>
                <w:sz w:val="20"/>
                <w:szCs w:val="20"/>
                <w:lang w:eastAsia="it-IT"/>
              </w:rPr>
            </w:pPr>
            <w:r w:rsidRPr="00C2587D">
              <w:rPr>
                <w:rFonts w:ascii="Times New Roman" w:hAnsi="Times New Roman"/>
                <w:b/>
                <w:color w:val="000000"/>
                <w:sz w:val="20"/>
                <w:szCs w:val="20"/>
                <w:lang w:eastAsia="it-IT"/>
              </w:rPr>
              <w:t>5827,93</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50C15DD5" w14:textId="4571A9E5" w:rsidR="00824926" w:rsidRPr="00C2587D" w:rsidRDefault="00824926" w:rsidP="003E62D6">
            <w:pPr>
              <w:ind w:left="113" w:right="113"/>
              <w:jc w:val="center"/>
              <w:rPr>
                <w:rFonts w:ascii="Times New Roman" w:hAnsi="Times New Roman"/>
                <w:color w:val="000000"/>
                <w:sz w:val="20"/>
                <w:szCs w:val="20"/>
                <w:lang w:eastAsia="it-IT"/>
              </w:rPr>
            </w:pPr>
            <w:r w:rsidRPr="00C2587D">
              <w:rPr>
                <w:rFonts w:ascii="Times New Roman" w:hAnsi="Times New Roman"/>
                <w:color w:val="000000"/>
                <w:sz w:val="20"/>
                <w:szCs w:val="20"/>
                <w:lang w:eastAsia="it-IT"/>
              </w:rPr>
              <w:t>5827,93</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5398C7F" w14:textId="77777777" w:rsidR="00824926" w:rsidRPr="00C2587D" w:rsidRDefault="00824926" w:rsidP="003E62D6">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BCFAEFE" w14:textId="348F8B9C" w:rsidR="00824926" w:rsidRPr="00C2587D" w:rsidRDefault="00824926" w:rsidP="003E62D6">
            <w:pPr>
              <w:ind w:left="113" w:right="113"/>
              <w:jc w:val="center"/>
              <w:rPr>
                <w:rFonts w:ascii="Times New Roman" w:hAnsi="Times New Roman"/>
                <w:color w:val="000000"/>
                <w:sz w:val="20"/>
                <w:szCs w:val="20"/>
                <w:lang w:eastAsia="it-IT"/>
              </w:rPr>
            </w:pPr>
            <w:r w:rsidRPr="00C2587D">
              <w:rPr>
                <w:rFonts w:ascii="Times New Roman" w:hAnsi="Times New Roman"/>
                <w:color w:val="000000"/>
                <w:sz w:val="20"/>
                <w:szCs w:val="20"/>
                <w:lang w:eastAsia="it-IT"/>
              </w:rPr>
              <w:t>5827,93</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9790B5B" w14:textId="77777777" w:rsidR="00824926" w:rsidRPr="00C2587D" w:rsidRDefault="0082492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3B58E09" w14:textId="77777777" w:rsidR="00824926" w:rsidRPr="00C2587D" w:rsidRDefault="0082492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371698EE" w14:textId="77777777" w:rsidR="00824926" w:rsidRPr="00C2587D" w:rsidRDefault="0082492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8F5BBFF" w14:textId="77777777" w:rsidR="00824926" w:rsidRPr="00C2587D" w:rsidRDefault="00824926" w:rsidP="003E62D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63A282A" w14:textId="77777777" w:rsidR="00824926" w:rsidRPr="00C2587D" w:rsidRDefault="0082492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02396EC" w14:textId="77777777" w:rsidR="00824926" w:rsidRPr="00C2587D" w:rsidRDefault="0082492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0619008" w14:textId="77777777" w:rsidR="00824926" w:rsidRPr="00C2587D" w:rsidRDefault="00824926" w:rsidP="003E62D6">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69DF7ADE" w14:textId="77777777" w:rsidR="00824926" w:rsidRPr="00C2587D" w:rsidRDefault="0082492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D797788" w14:textId="77777777" w:rsidR="00824926" w:rsidRPr="00C2587D" w:rsidRDefault="0082492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7EB70EC" w14:textId="77777777" w:rsidR="00824926" w:rsidRPr="00C2587D" w:rsidRDefault="00824926" w:rsidP="003E62D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E5809BE" w14:textId="77777777" w:rsidR="00824926" w:rsidRPr="00C2587D" w:rsidRDefault="0082492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27A892D" w14:textId="77777777" w:rsidR="00824926" w:rsidRPr="00C2587D" w:rsidRDefault="00824926"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21ED644F" w14:textId="01EBBC36" w:rsidR="00824926" w:rsidRPr="00C2587D" w:rsidRDefault="00824926" w:rsidP="003E62D6">
            <w:pPr>
              <w:ind w:left="113" w:right="113"/>
              <w:jc w:val="center"/>
              <w:rPr>
                <w:rFonts w:ascii="Times New Roman" w:hAnsi="Times New Roman"/>
                <w:b/>
                <w:color w:val="000000"/>
                <w:sz w:val="20"/>
                <w:szCs w:val="20"/>
                <w:lang w:eastAsia="it-IT"/>
              </w:rPr>
            </w:pPr>
            <w:r w:rsidRPr="00C2587D">
              <w:rPr>
                <w:rFonts w:ascii="Times New Roman" w:hAnsi="Times New Roman"/>
                <w:b/>
                <w:color w:val="000000"/>
                <w:sz w:val="20"/>
                <w:szCs w:val="20"/>
                <w:lang w:eastAsia="it-IT"/>
              </w:rPr>
              <w:t>5827,93</w:t>
            </w:r>
          </w:p>
        </w:tc>
      </w:tr>
      <w:tr w:rsidR="003E62D6" w:rsidRPr="00C2587D" w14:paraId="2EBF946E" w14:textId="77777777" w:rsidTr="00FF28D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2D074232" w14:textId="5127A322" w:rsidR="003E62D6" w:rsidRPr="00C2587D" w:rsidRDefault="003E62D6" w:rsidP="003E62D6">
            <w:pPr>
              <w:rPr>
                <w:rFonts w:ascii="Times New Roman" w:eastAsia="Arial" w:hAnsi="Times New Roman"/>
                <w:sz w:val="20"/>
                <w:szCs w:val="20"/>
                <w:lang w:eastAsia="en-US"/>
              </w:rPr>
            </w:pPr>
            <w:r w:rsidRPr="00C2587D">
              <w:rPr>
                <w:rFonts w:ascii="Times New Roman" w:eastAsia="Arial" w:hAnsi="Times New Roman"/>
                <w:sz w:val="20"/>
                <w:szCs w:val="20"/>
              </w:rPr>
              <w:t>2</w:t>
            </w:r>
            <w:r w:rsidR="00E36FAF" w:rsidRPr="00C2587D">
              <w:rPr>
                <w:rFonts w:ascii="Times New Roman" w:eastAsia="Arial" w:hAnsi="Times New Roman"/>
                <w:sz w:val="20"/>
                <w:szCs w:val="20"/>
              </w:rPr>
              <w:t>9</w:t>
            </w:r>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tcPr>
          <w:p w14:paraId="0A835621" w14:textId="2F44D8E8" w:rsidR="003E62D6" w:rsidRPr="00C2587D" w:rsidRDefault="003E62D6" w:rsidP="00FF28D2">
            <w:pPr>
              <w:rPr>
                <w:rFonts w:ascii="Times New Roman" w:hAnsi="Times New Roman"/>
                <w:sz w:val="20"/>
                <w:szCs w:val="20"/>
                <w:lang w:eastAsia="it-IT"/>
              </w:rPr>
            </w:pPr>
            <w:r w:rsidRPr="00C2587D">
              <w:rPr>
                <w:rFonts w:ascii="Times New Roman" w:hAnsi="Times New Roman"/>
                <w:bCs/>
                <w:spacing w:val="-5"/>
                <w:sz w:val="20"/>
                <w:szCs w:val="20"/>
              </w:rPr>
              <w:t xml:space="preserve">Капітальний ремонт тротуару по вул. Київська (від "АЗС ОККО" до вул. </w:t>
            </w:r>
            <w:r w:rsidR="00FF28D2" w:rsidRPr="00C2587D">
              <w:rPr>
                <w:rFonts w:ascii="Times New Roman" w:hAnsi="Times New Roman"/>
                <w:bCs/>
                <w:spacing w:val="-5"/>
                <w:sz w:val="20"/>
                <w:szCs w:val="20"/>
              </w:rPr>
              <w:t>Гришина</w:t>
            </w:r>
            <w:r w:rsidRPr="00C2587D">
              <w:rPr>
                <w:rFonts w:ascii="Times New Roman" w:hAnsi="Times New Roman"/>
                <w:bCs/>
                <w:spacing w:val="-5"/>
                <w:sz w:val="20"/>
                <w:szCs w:val="20"/>
              </w:rPr>
              <w:t>) в м. Жмеринка Вінницької області</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B8BDAEB" w14:textId="7F74B66E"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spacing w:val="-5"/>
                <w:sz w:val="20"/>
                <w:szCs w:val="20"/>
              </w:rPr>
              <w:t>9881,786</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6F5A6CA5" w14:textId="3B878542"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spacing w:val="-5"/>
                <w:sz w:val="20"/>
                <w:szCs w:val="20"/>
              </w:rPr>
              <w:t>9881,786</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B06D8C5"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0B6EDE2" w14:textId="59101303"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spacing w:val="-5"/>
                <w:sz w:val="20"/>
                <w:szCs w:val="20"/>
              </w:rPr>
              <w:t>9881,786</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4D0DBBC"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B8A6C9A"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78751759"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F0DB582"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BF8FF97"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A7202A5"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2DC5606" w14:textId="77777777" w:rsidR="003E62D6" w:rsidRPr="00C2587D" w:rsidRDefault="003E62D6" w:rsidP="003E62D6">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49DCF51A"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CB3C6E1"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7E176CF"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F97D191"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E4F96DE"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4E5BB1C4" w14:textId="58B6325B"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spacing w:val="-5"/>
                <w:sz w:val="20"/>
                <w:szCs w:val="20"/>
              </w:rPr>
              <w:t>9881,786</w:t>
            </w:r>
          </w:p>
        </w:tc>
      </w:tr>
      <w:tr w:rsidR="003E62D6" w:rsidRPr="00C2587D" w14:paraId="4D2228BD" w14:textId="77777777" w:rsidTr="00A041B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4015DB74" w14:textId="19B2F0EF" w:rsidR="003E62D6" w:rsidRPr="00C2587D" w:rsidRDefault="00E36FAF" w:rsidP="003E62D6">
            <w:pPr>
              <w:rPr>
                <w:rFonts w:ascii="Times New Roman" w:eastAsia="Arial" w:hAnsi="Times New Roman"/>
                <w:sz w:val="20"/>
                <w:szCs w:val="20"/>
                <w:lang w:eastAsia="en-US"/>
              </w:rPr>
            </w:pPr>
            <w:r w:rsidRPr="00C2587D">
              <w:rPr>
                <w:rFonts w:ascii="Times New Roman" w:eastAsia="Arial" w:hAnsi="Times New Roman"/>
                <w:sz w:val="20"/>
                <w:szCs w:val="20"/>
              </w:rPr>
              <w:t>30</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2190C3F0" w14:textId="66777ECC" w:rsidR="003E62D6" w:rsidRPr="00C2587D" w:rsidRDefault="003E62D6" w:rsidP="003E62D6">
            <w:pPr>
              <w:rPr>
                <w:rFonts w:ascii="Times New Roman" w:hAnsi="Times New Roman"/>
                <w:sz w:val="20"/>
                <w:szCs w:val="20"/>
                <w:lang w:eastAsia="it-IT"/>
              </w:rPr>
            </w:pPr>
            <w:r w:rsidRPr="00C2587D">
              <w:rPr>
                <w:rFonts w:ascii="Times New Roman" w:eastAsia="Arial" w:hAnsi="Times New Roman"/>
                <w:sz w:val="20"/>
                <w:szCs w:val="20"/>
              </w:rPr>
              <w:t xml:space="preserve">Капітальний ремонт дорожнього покриття по вул. Січових стрільців та вул. </w:t>
            </w:r>
            <w:r w:rsidR="00C156A0">
              <w:rPr>
                <w:rFonts w:ascii="Times New Roman" w:eastAsia="Arial" w:hAnsi="Times New Roman"/>
                <w:sz w:val="20"/>
                <w:szCs w:val="20"/>
              </w:rPr>
              <w:t>Литви</w:t>
            </w:r>
            <w:r w:rsidR="00C156A0" w:rsidRPr="00C2587D">
              <w:rPr>
                <w:rFonts w:ascii="Times New Roman" w:eastAsia="Arial" w:hAnsi="Times New Roman"/>
                <w:sz w:val="20"/>
                <w:szCs w:val="20"/>
              </w:rPr>
              <w:t>ненка</w:t>
            </w:r>
            <w:r w:rsidRPr="00C2587D">
              <w:rPr>
                <w:rFonts w:ascii="Times New Roman" w:eastAsia="Arial" w:hAnsi="Times New Roman"/>
                <w:sz w:val="20"/>
                <w:szCs w:val="20"/>
              </w:rPr>
              <w:t xml:space="preserve"> (від вул. Шевченка до вул. Січових Стрільців) в м. Жмеринка</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9B99D03" w14:textId="1A359AFE"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3648,1</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70C95939" w14:textId="1587CB42"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3648,1</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770D770"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F05EE15" w14:textId="158D534F"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rPr>
              <w:t>3648,1</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18B61FC"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B3AEFE4"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5F11D485"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A12D239"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F17C1BA"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D6FE16C"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827D8CF" w14:textId="77777777" w:rsidR="003E62D6" w:rsidRPr="00C2587D" w:rsidRDefault="003E62D6" w:rsidP="003E62D6">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1BB5383F"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23B8176"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FE244AB"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670FB75"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76B9F34"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26C776B8" w14:textId="69C1B73E"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3648,1</w:t>
            </w:r>
          </w:p>
        </w:tc>
      </w:tr>
      <w:tr w:rsidR="003E62D6" w:rsidRPr="00C2587D" w14:paraId="5A021232" w14:textId="77777777" w:rsidTr="00A041B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5055EEF6" w14:textId="0A464565" w:rsidR="003E62D6" w:rsidRPr="00C2587D" w:rsidRDefault="00E36FAF" w:rsidP="003E62D6">
            <w:pPr>
              <w:rPr>
                <w:rFonts w:ascii="Times New Roman" w:eastAsia="Arial" w:hAnsi="Times New Roman"/>
                <w:sz w:val="20"/>
                <w:szCs w:val="20"/>
                <w:lang w:eastAsia="en-US"/>
              </w:rPr>
            </w:pPr>
            <w:r w:rsidRPr="00C2587D">
              <w:rPr>
                <w:rFonts w:ascii="Times New Roman" w:eastAsia="Arial" w:hAnsi="Times New Roman"/>
                <w:sz w:val="20"/>
                <w:szCs w:val="20"/>
              </w:rPr>
              <w:lastRenderedPageBreak/>
              <w:t>31</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0BBD39DF" w14:textId="54916359" w:rsidR="003E62D6" w:rsidRPr="00C2587D" w:rsidRDefault="003E62D6" w:rsidP="003E62D6">
            <w:pPr>
              <w:rPr>
                <w:rFonts w:ascii="Times New Roman" w:hAnsi="Times New Roman"/>
                <w:sz w:val="20"/>
                <w:szCs w:val="20"/>
                <w:lang w:eastAsia="it-IT"/>
              </w:rPr>
            </w:pPr>
            <w:r w:rsidRPr="00C2587D">
              <w:rPr>
                <w:rFonts w:ascii="Times New Roman" w:eastAsia="Arial" w:hAnsi="Times New Roman"/>
                <w:sz w:val="20"/>
                <w:szCs w:val="20"/>
              </w:rPr>
              <w:t>Капітальний ремонт дорожнього покриття по вул. Козацька в смт. Браїлів Жмеринського району, Вінницької області (Коригування)</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561E611" w14:textId="689D39E7"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1 889,2</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47C41402" w14:textId="72C33452"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1 889,2</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840780D"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C4A7711" w14:textId="45BB3316"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1 889,2</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FC6BA0A"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5DBFD02"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6385F471"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4FF6E2A"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632164C"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A8E6807"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439CFA6" w14:textId="77777777" w:rsidR="003E62D6" w:rsidRPr="00C2587D" w:rsidRDefault="003E62D6" w:rsidP="003E62D6">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78DFFDED"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41D5925"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4F1B796"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81CB27C"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FF81357"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2B0AD7B5" w14:textId="39A3B23A"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rPr>
              <w:t>1 889,2</w:t>
            </w:r>
          </w:p>
        </w:tc>
      </w:tr>
      <w:tr w:rsidR="003E62D6" w:rsidRPr="00C2587D" w14:paraId="29556BAE" w14:textId="77777777" w:rsidTr="00A041B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1B86BA5F" w14:textId="041C8DC5" w:rsidR="003E62D6" w:rsidRPr="00C2587D" w:rsidRDefault="003E62D6" w:rsidP="003E62D6">
            <w:pPr>
              <w:rPr>
                <w:rFonts w:ascii="Times New Roman" w:eastAsia="Arial" w:hAnsi="Times New Roman"/>
                <w:sz w:val="20"/>
                <w:szCs w:val="20"/>
                <w:lang w:eastAsia="en-US"/>
              </w:rPr>
            </w:pPr>
            <w:r w:rsidRPr="00C2587D">
              <w:rPr>
                <w:rFonts w:ascii="Times New Roman" w:eastAsia="Arial" w:hAnsi="Times New Roman"/>
                <w:sz w:val="20"/>
                <w:szCs w:val="20"/>
              </w:rPr>
              <w:t>3</w:t>
            </w:r>
            <w:r w:rsidR="00E36FAF" w:rsidRPr="00C2587D">
              <w:rPr>
                <w:rFonts w:ascii="Times New Roman" w:eastAsia="Arial" w:hAnsi="Times New Roman"/>
                <w:sz w:val="20"/>
                <w:szCs w:val="20"/>
              </w:rPr>
              <w:t>2</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1AA8800B" w14:textId="0DA9493E" w:rsidR="003E62D6" w:rsidRPr="00C2587D" w:rsidRDefault="003E62D6" w:rsidP="003E62D6">
            <w:pPr>
              <w:rPr>
                <w:rFonts w:ascii="Times New Roman" w:hAnsi="Times New Roman"/>
                <w:sz w:val="20"/>
                <w:szCs w:val="20"/>
                <w:lang w:eastAsia="it-IT"/>
              </w:rPr>
            </w:pPr>
            <w:r w:rsidRPr="00C2587D">
              <w:rPr>
                <w:rFonts w:ascii="Times New Roman" w:eastAsia="Arial" w:hAnsi="Times New Roman"/>
                <w:sz w:val="20"/>
                <w:szCs w:val="20"/>
              </w:rPr>
              <w:t>Капітальний ремонт дорожнього покриття по вул. Образцова в м. Жмеринка Вінницької області</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D44DBF2" w14:textId="326B925C"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2002,451</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65B6A45C" w14:textId="63DAAE28"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2002,451</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ACC4845"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9FD59A7" w14:textId="57583375"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2002,451</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7654CAA"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43AC5F0"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6DC85A28"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A37A5CB"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3E040EE"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D279851"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30B3B90" w14:textId="77777777" w:rsidR="003E62D6" w:rsidRPr="00C2587D" w:rsidRDefault="003E62D6" w:rsidP="003E62D6">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60F8B883"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0CB5215"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318CDF6"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9A24A81"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2112588"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46D9B72F" w14:textId="6DBB042A"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2002,451</w:t>
            </w:r>
          </w:p>
        </w:tc>
      </w:tr>
      <w:tr w:rsidR="003E62D6" w:rsidRPr="00C2587D" w14:paraId="011F4525" w14:textId="77777777" w:rsidTr="00A041B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1558E0F2" w14:textId="418F6873" w:rsidR="003E62D6" w:rsidRPr="00C2587D" w:rsidRDefault="003E62D6" w:rsidP="003E62D6">
            <w:pPr>
              <w:rPr>
                <w:rFonts w:ascii="Times New Roman" w:eastAsia="Arial" w:hAnsi="Times New Roman"/>
                <w:sz w:val="20"/>
                <w:szCs w:val="20"/>
                <w:lang w:eastAsia="en-US"/>
              </w:rPr>
            </w:pPr>
            <w:r w:rsidRPr="00C2587D">
              <w:rPr>
                <w:rFonts w:ascii="Times New Roman" w:eastAsia="Arial" w:hAnsi="Times New Roman"/>
                <w:sz w:val="20"/>
                <w:szCs w:val="20"/>
              </w:rPr>
              <w:t>3</w:t>
            </w:r>
            <w:r w:rsidR="00E36FAF" w:rsidRPr="00C2587D">
              <w:rPr>
                <w:rFonts w:ascii="Times New Roman" w:eastAsia="Arial" w:hAnsi="Times New Roman"/>
                <w:sz w:val="20"/>
                <w:szCs w:val="20"/>
              </w:rPr>
              <w:t>3</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0DBA4DBA" w14:textId="02FBCFD4" w:rsidR="003E62D6" w:rsidRPr="00C2587D" w:rsidRDefault="003E62D6" w:rsidP="003E62D6">
            <w:pPr>
              <w:rPr>
                <w:rFonts w:ascii="Times New Roman" w:hAnsi="Times New Roman"/>
                <w:sz w:val="20"/>
                <w:szCs w:val="20"/>
                <w:lang w:eastAsia="it-IT"/>
              </w:rPr>
            </w:pPr>
            <w:r w:rsidRPr="00C2587D">
              <w:rPr>
                <w:rFonts w:ascii="Times New Roman" w:eastAsia="Arial" w:hAnsi="Times New Roman"/>
                <w:sz w:val="20"/>
                <w:szCs w:val="20"/>
              </w:rPr>
              <w:t>Реконструкція площі по вул. Б. Хмельницького в м. Жмеринка Вінницької області</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F4499AF" w14:textId="1160B2EA"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3131,474</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45C8A27E" w14:textId="45BC65A5"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3131,474</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D0EA666"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6125CBC" w14:textId="679442FB"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3131,474</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97C95A7"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B85FD28"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5E4DF166"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F32B848"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7D4A762"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4260C95"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2BD6986" w14:textId="77777777" w:rsidR="003E62D6" w:rsidRPr="00C2587D" w:rsidRDefault="003E62D6" w:rsidP="003E62D6">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778618C3"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E70DDEF"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AFF05A5"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4887378"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1C2850F"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3E774859" w14:textId="3DDA816F"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3131,474</w:t>
            </w:r>
          </w:p>
        </w:tc>
      </w:tr>
      <w:tr w:rsidR="003E62D6" w:rsidRPr="00C2587D" w14:paraId="6A7B4EFD" w14:textId="77777777" w:rsidTr="00FF28D2">
        <w:trPr>
          <w:cantSplit/>
          <w:trHeight w:val="1068"/>
        </w:trPr>
        <w:tc>
          <w:tcPr>
            <w:tcW w:w="531" w:type="dxa"/>
            <w:tcBorders>
              <w:top w:val="single" w:sz="4" w:space="0" w:color="auto"/>
              <w:left w:val="single" w:sz="4" w:space="0" w:color="auto"/>
              <w:bottom w:val="single" w:sz="4" w:space="0" w:color="auto"/>
              <w:right w:val="single" w:sz="4" w:space="0" w:color="auto"/>
            </w:tcBorders>
            <w:shd w:val="clear" w:color="auto" w:fill="auto"/>
          </w:tcPr>
          <w:p w14:paraId="04548A8C" w14:textId="5DCD255A" w:rsidR="003E62D6" w:rsidRPr="00C2587D" w:rsidRDefault="003E62D6" w:rsidP="00E36FAF">
            <w:pPr>
              <w:rPr>
                <w:rFonts w:ascii="Times New Roman" w:eastAsia="Arial" w:hAnsi="Times New Roman"/>
                <w:sz w:val="20"/>
                <w:szCs w:val="20"/>
                <w:lang w:eastAsia="en-US"/>
              </w:rPr>
            </w:pPr>
            <w:r w:rsidRPr="00C2587D">
              <w:rPr>
                <w:rFonts w:ascii="Times New Roman" w:eastAsia="Arial" w:hAnsi="Times New Roman"/>
                <w:sz w:val="20"/>
                <w:szCs w:val="20"/>
              </w:rPr>
              <w:t>3</w:t>
            </w:r>
            <w:r w:rsidR="00E36FAF" w:rsidRPr="00C2587D">
              <w:rPr>
                <w:rFonts w:ascii="Times New Roman" w:eastAsia="Arial" w:hAnsi="Times New Roman"/>
                <w:sz w:val="20"/>
                <w:szCs w:val="20"/>
              </w:rPr>
              <w:t>4</w:t>
            </w:r>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tcPr>
          <w:p w14:paraId="3A53BDAE" w14:textId="737F4EA3" w:rsidR="003E62D6" w:rsidRPr="00C2587D" w:rsidRDefault="003E62D6" w:rsidP="00FF28D2">
            <w:pPr>
              <w:rPr>
                <w:rFonts w:ascii="Times New Roman" w:hAnsi="Times New Roman"/>
                <w:sz w:val="20"/>
                <w:szCs w:val="20"/>
                <w:lang w:eastAsia="it-IT"/>
              </w:rPr>
            </w:pPr>
            <w:r w:rsidRPr="00C2587D">
              <w:rPr>
                <w:rFonts w:ascii="Times New Roman" w:eastAsia="Arial" w:hAnsi="Times New Roman"/>
                <w:sz w:val="20"/>
                <w:szCs w:val="20"/>
              </w:rPr>
              <w:t>Капітальний ремонт площі Яна Бжехви в м. Жмеринка Вінницької області</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9A0851E" w14:textId="2F0C59F7" w:rsidR="003E62D6" w:rsidRPr="00C2587D" w:rsidRDefault="0092790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6646,5</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5E1F9F9F" w14:textId="0D6F0C86" w:rsidR="003E62D6" w:rsidRPr="00C2587D" w:rsidRDefault="00871A01"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1126,7</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E3B7ACA"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AE28407" w14:textId="5ECCAFD7" w:rsidR="003E62D6" w:rsidRPr="00C2587D" w:rsidRDefault="00871A01"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1126,7</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EEFE911"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4CD19EE"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4B68708A" w14:textId="78402B32" w:rsidR="003E62D6" w:rsidRPr="00C2587D" w:rsidRDefault="00871A01"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5519,8</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0B23701"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FF4BECF" w14:textId="50C6180C" w:rsidR="003E62D6" w:rsidRPr="00C2587D" w:rsidRDefault="00871A01"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5519,8</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B48F3CC"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8BDD44B" w14:textId="77777777" w:rsidR="003E62D6" w:rsidRPr="00C2587D" w:rsidRDefault="003E62D6" w:rsidP="003E62D6">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65860C66"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2968603"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39FFC94"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BA98B49"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2516155"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670FF6C8" w14:textId="499D19AD" w:rsidR="003E62D6" w:rsidRPr="00C2587D" w:rsidRDefault="00444B42"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35</w:t>
            </w:r>
          </w:p>
        </w:tc>
      </w:tr>
      <w:tr w:rsidR="00FF7E0E" w:rsidRPr="00C2587D" w14:paraId="7132842A" w14:textId="77777777" w:rsidTr="00A041B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6A479760" w14:textId="6DD1B90C" w:rsidR="00FF7E0E" w:rsidRPr="00C2587D" w:rsidRDefault="00444B42" w:rsidP="00E36FAF">
            <w:pPr>
              <w:rPr>
                <w:rFonts w:ascii="Times New Roman" w:eastAsia="Arial" w:hAnsi="Times New Roman"/>
                <w:sz w:val="20"/>
                <w:szCs w:val="20"/>
              </w:rPr>
            </w:pPr>
            <w:r w:rsidRPr="00C2587D">
              <w:rPr>
                <w:rFonts w:ascii="Times New Roman" w:eastAsia="Arial" w:hAnsi="Times New Roman"/>
                <w:sz w:val="20"/>
                <w:szCs w:val="20"/>
              </w:rPr>
              <w:t>35</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57873276" w14:textId="7AA879C3" w:rsidR="00FF7E0E" w:rsidRPr="00C2587D" w:rsidRDefault="00FF7E0E" w:rsidP="003E62D6">
            <w:pPr>
              <w:rPr>
                <w:rFonts w:ascii="Times New Roman" w:eastAsia="Arial" w:hAnsi="Times New Roman"/>
                <w:sz w:val="20"/>
                <w:szCs w:val="20"/>
              </w:rPr>
            </w:pPr>
            <w:r w:rsidRPr="00C2587D">
              <w:rPr>
                <w:rFonts w:ascii="Times New Roman" w:eastAsia="Arial" w:hAnsi="Times New Roman"/>
                <w:sz w:val="20"/>
                <w:szCs w:val="20"/>
              </w:rPr>
              <w:t>Капітальний ремонт прибудинкових територій по вул. Горького, 3 та вул. Грушевського, 8 в м. Жмеринка Вінницької області</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8A7CAFB" w14:textId="308D45B1" w:rsidR="00FF7E0E" w:rsidRPr="00C2587D" w:rsidRDefault="00FF7E0E" w:rsidP="003E62D6">
            <w:pPr>
              <w:ind w:left="113" w:right="113"/>
              <w:jc w:val="center"/>
              <w:rPr>
                <w:rFonts w:ascii="Times New Roman" w:hAnsi="Times New Roman"/>
                <w:b/>
                <w:color w:val="000000"/>
                <w:sz w:val="20"/>
                <w:szCs w:val="20"/>
                <w:lang w:eastAsia="it-IT"/>
              </w:rPr>
            </w:pPr>
            <w:r w:rsidRPr="00C2587D">
              <w:rPr>
                <w:rFonts w:ascii="Times New Roman" w:hAnsi="Times New Roman"/>
                <w:b/>
                <w:color w:val="000000"/>
                <w:sz w:val="20"/>
                <w:szCs w:val="20"/>
                <w:lang w:eastAsia="it-IT"/>
              </w:rPr>
              <w:t>1492,513</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5822F186" w14:textId="048E48A8" w:rsidR="00FF7E0E" w:rsidRPr="00C2587D" w:rsidRDefault="00FF7E0E" w:rsidP="003E62D6">
            <w:pPr>
              <w:ind w:left="113" w:right="113"/>
              <w:jc w:val="center"/>
              <w:rPr>
                <w:rFonts w:ascii="Times New Roman" w:hAnsi="Times New Roman"/>
                <w:color w:val="000000"/>
                <w:sz w:val="20"/>
                <w:szCs w:val="20"/>
                <w:lang w:eastAsia="it-IT"/>
              </w:rPr>
            </w:pPr>
            <w:r w:rsidRPr="00C2587D">
              <w:rPr>
                <w:rFonts w:ascii="Times New Roman" w:hAnsi="Times New Roman"/>
                <w:color w:val="000000"/>
                <w:sz w:val="20"/>
                <w:szCs w:val="20"/>
                <w:lang w:eastAsia="it-IT"/>
              </w:rPr>
              <w:t>1492,513</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F9882B6" w14:textId="77777777" w:rsidR="00FF7E0E" w:rsidRPr="00C2587D" w:rsidRDefault="00FF7E0E" w:rsidP="003E62D6">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8DB6293" w14:textId="3215C929" w:rsidR="00FF7E0E" w:rsidRPr="00C2587D" w:rsidRDefault="00FF7E0E" w:rsidP="003E62D6">
            <w:pPr>
              <w:ind w:left="113" w:right="113"/>
              <w:jc w:val="center"/>
              <w:rPr>
                <w:rFonts w:ascii="Times New Roman" w:hAnsi="Times New Roman"/>
                <w:color w:val="000000"/>
                <w:sz w:val="20"/>
                <w:szCs w:val="20"/>
                <w:lang w:eastAsia="it-IT"/>
              </w:rPr>
            </w:pPr>
            <w:r w:rsidRPr="00C2587D">
              <w:rPr>
                <w:rFonts w:ascii="Times New Roman" w:hAnsi="Times New Roman"/>
                <w:color w:val="000000"/>
                <w:sz w:val="20"/>
                <w:szCs w:val="20"/>
                <w:lang w:eastAsia="it-IT"/>
              </w:rPr>
              <w:t>1492,513</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3616ECF" w14:textId="77777777" w:rsidR="00FF7E0E" w:rsidRPr="00C2587D" w:rsidRDefault="00FF7E0E"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BE4A0AA" w14:textId="77777777" w:rsidR="00FF7E0E" w:rsidRPr="00C2587D" w:rsidRDefault="00FF7E0E"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1CF46CB5" w14:textId="77777777" w:rsidR="00FF7E0E" w:rsidRPr="00C2587D" w:rsidRDefault="00FF7E0E"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7FB1226" w14:textId="77777777" w:rsidR="00FF7E0E" w:rsidRPr="00C2587D" w:rsidRDefault="00FF7E0E" w:rsidP="003E62D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5F43710" w14:textId="77777777" w:rsidR="00FF7E0E" w:rsidRPr="00C2587D" w:rsidRDefault="00FF7E0E"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4F132F0" w14:textId="77777777" w:rsidR="00FF7E0E" w:rsidRPr="00C2587D" w:rsidRDefault="00FF7E0E"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43BD7A9" w14:textId="77777777" w:rsidR="00FF7E0E" w:rsidRPr="00C2587D" w:rsidRDefault="00FF7E0E" w:rsidP="003E62D6">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16CD4A42" w14:textId="77777777" w:rsidR="00FF7E0E" w:rsidRPr="00C2587D" w:rsidRDefault="00FF7E0E"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CA693FA" w14:textId="77777777" w:rsidR="00FF7E0E" w:rsidRPr="00C2587D" w:rsidRDefault="00FF7E0E"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D87BB07" w14:textId="77777777" w:rsidR="00FF7E0E" w:rsidRPr="00C2587D" w:rsidRDefault="00FF7E0E" w:rsidP="003E62D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B1EFA3F" w14:textId="77777777" w:rsidR="00FF7E0E" w:rsidRPr="00C2587D" w:rsidRDefault="00FF7E0E"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E7322B8" w14:textId="77777777" w:rsidR="00FF7E0E" w:rsidRPr="00C2587D" w:rsidRDefault="00FF7E0E"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3207D2E6" w14:textId="10062709" w:rsidR="00FF7E0E" w:rsidRPr="00C2587D" w:rsidRDefault="00FF7E0E" w:rsidP="003E62D6">
            <w:pPr>
              <w:ind w:left="113" w:right="113"/>
              <w:jc w:val="center"/>
              <w:rPr>
                <w:rFonts w:ascii="Times New Roman" w:hAnsi="Times New Roman"/>
                <w:b/>
                <w:color w:val="000000"/>
                <w:sz w:val="20"/>
                <w:szCs w:val="20"/>
                <w:lang w:eastAsia="it-IT"/>
              </w:rPr>
            </w:pPr>
            <w:r w:rsidRPr="00C2587D">
              <w:rPr>
                <w:rFonts w:ascii="Times New Roman" w:hAnsi="Times New Roman"/>
                <w:b/>
                <w:color w:val="000000"/>
                <w:sz w:val="20"/>
                <w:szCs w:val="20"/>
                <w:lang w:eastAsia="it-IT"/>
              </w:rPr>
              <w:t>1492,513</w:t>
            </w:r>
          </w:p>
        </w:tc>
      </w:tr>
      <w:tr w:rsidR="003E62D6" w:rsidRPr="00C2587D" w14:paraId="2CD999B8" w14:textId="77777777" w:rsidTr="00A041B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387869F2" w14:textId="31C169B2" w:rsidR="003E62D6" w:rsidRPr="00C2587D" w:rsidRDefault="003E62D6" w:rsidP="003E62D6">
            <w:pPr>
              <w:rPr>
                <w:rFonts w:ascii="Times New Roman" w:eastAsia="Arial" w:hAnsi="Times New Roman"/>
                <w:sz w:val="20"/>
                <w:szCs w:val="20"/>
                <w:lang w:eastAsia="en-US"/>
              </w:rPr>
            </w:pPr>
            <w:r w:rsidRPr="00C2587D">
              <w:rPr>
                <w:rFonts w:ascii="Times New Roman" w:eastAsia="Arial" w:hAnsi="Times New Roman"/>
                <w:sz w:val="20"/>
                <w:szCs w:val="20"/>
              </w:rPr>
              <w:t>3</w:t>
            </w:r>
            <w:r w:rsidR="00444B42" w:rsidRPr="00C2587D">
              <w:rPr>
                <w:rFonts w:ascii="Times New Roman" w:eastAsia="Arial" w:hAnsi="Times New Roman"/>
                <w:sz w:val="20"/>
                <w:szCs w:val="20"/>
              </w:rPr>
              <w:t>6</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7E8543F3" w14:textId="76861567" w:rsidR="003E62D6" w:rsidRPr="00C2587D" w:rsidRDefault="003E62D6" w:rsidP="003E62D6">
            <w:pPr>
              <w:rPr>
                <w:rFonts w:ascii="Times New Roman" w:hAnsi="Times New Roman"/>
                <w:sz w:val="20"/>
                <w:szCs w:val="20"/>
                <w:lang w:eastAsia="it-IT"/>
              </w:rPr>
            </w:pPr>
            <w:r w:rsidRPr="00C2587D">
              <w:rPr>
                <w:rFonts w:ascii="Times New Roman" w:eastAsia="Arial" w:hAnsi="Times New Roman"/>
                <w:sz w:val="20"/>
                <w:szCs w:val="20"/>
              </w:rPr>
              <w:t>Капітальний ремонт з облаштуванням благоустрою території місць поховань полеглих захисників України по вул. Одеська в м. Жмеринка Вінницької області (Коригування2)</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98CB5B7" w14:textId="10F0145F"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7865,374</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062411D0" w14:textId="654A2F0A"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7865,374</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0CC145B"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035BEF4" w14:textId="69FB8B1E"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7865,374</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8EB4C97"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5E60E4E"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65BF8AD2"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03D74E2"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0B9A65E"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D303AB0"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E4878A9" w14:textId="77777777" w:rsidR="003E62D6" w:rsidRPr="00C2587D" w:rsidRDefault="003E62D6" w:rsidP="003E62D6">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7D49B5A5"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FCA7B5F"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5EBABE0"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D2D8B57"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7474FB6"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05C9E16C" w14:textId="7214DABB"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7865,374</w:t>
            </w:r>
          </w:p>
        </w:tc>
      </w:tr>
      <w:tr w:rsidR="003E62D6" w:rsidRPr="00C2587D" w14:paraId="4CFFACC1" w14:textId="77777777" w:rsidTr="00A041B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147CB716" w14:textId="78A7F3BC" w:rsidR="003E62D6" w:rsidRPr="00C2587D" w:rsidRDefault="003E62D6" w:rsidP="003E62D6">
            <w:pPr>
              <w:rPr>
                <w:rFonts w:ascii="Times New Roman" w:eastAsia="Arial" w:hAnsi="Times New Roman"/>
                <w:sz w:val="20"/>
                <w:szCs w:val="20"/>
                <w:lang w:eastAsia="en-US"/>
              </w:rPr>
            </w:pPr>
            <w:r w:rsidRPr="00C2587D">
              <w:rPr>
                <w:rFonts w:ascii="Times New Roman" w:eastAsia="Arial" w:hAnsi="Times New Roman"/>
                <w:sz w:val="20"/>
                <w:szCs w:val="20"/>
              </w:rPr>
              <w:lastRenderedPageBreak/>
              <w:t>3</w:t>
            </w:r>
            <w:r w:rsidR="00444B42" w:rsidRPr="00C2587D">
              <w:rPr>
                <w:rFonts w:ascii="Times New Roman" w:eastAsia="Arial" w:hAnsi="Times New Roman"/>
                <w:sz w:val="20"/>
                <w:szCs w:val="20"/>
              </w:rPr>
              <w:t>7</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0F8872D4" w14:textId="2D7C050C" w:rsidR="003E62D6" w:rsidRPr="00C2587D" w:rsidRDefault="003E62D6" w:rsidP="003E62D6">
            <w:pPr>
              <w:rPr>
                <w:rFonts w:ascii="Times New Roman" w:hAnsi="Times New Roman"/>
                <w:sz w:val="20"/>
                <w:szCs w:val="20"/>
                <w:lang w:eastAsia="it-IT"/>
              </w:rPr>
            </w:pPr>
            <w:r w:rsidRPr="00C2587D">
              <w:rPr>
                <w:rFonts w:ascii="Times New Roman" w:eastAsia="Arial" w:hAnsi="Times New Roman"/>
                <w:sz w:val="20"/>
                <w:szCs w:val="20"/>
              </w:rPr>
              <w:t>Капітальний ремонт водопровідної мережі по вул. Центральній, с. Леляки, Жмеринського району Вінницької області</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0A9EC76" w14:textId="09DA6226"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619,2</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11E11C40" w14:textId="19F3F58B"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619,2</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4056B44"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EF0CE87" w14:textId="3F1F8FA4"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619,2</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73009CA"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8F46C63"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03EF0249"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33768B7"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FB8DED0"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248C374"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C7F2DA7" w14:textId="77777777" w:rsidR="003E62D6" w:rsidRPr="00C2587D" w:rsidRDefault="003E62D6" w:rsidP="003E62D6">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66074AE3"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0D0E3F8"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8C68473"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2D40412"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AAD0DA3"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5BF12405" w14:textId="38D65E9F"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619,2</w:t>
            </w:r>
          </w:p>
        </w:tc>
      </w:tr>
      <w:tr w:rsidR="003E62D6" w:rsidRPr="00C2587D" w14:paraId="60763A6C" w14:textId="77777777" w:rsidTr="00A041B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5937B074" w14:textId="74C7B979" w:rsidR="003E62D6" w:rsidRPr="00C2587D" w:rsidRDefault="003E62D6" w:rsidP="003E62D6">
            <w:pPr>
              <w:rPr>
                <w:rFonts w:ascii="Times New Roman" w:eastAsia="Arial" w:hAnsi="Times New Roman"/>
                <w:sz w:val="20"/>
                <w:szCs w:val="20"/>
                <w:lang w:eastAsia="en-US"/>
              </w:rPr>
            </w:pPr>
            <w:r w:rsidRPr="00C2587D">
              <w:rPr>
                <w:rFonts w:ascii="Times New Roman" w:eastAsia="Arial" w:hAnsi="Times New Roman"/>
                <w:sz w:val="20"/>
                <w:szCs w:val="20"/>
              </w:rPr>
              <w:t>3</w:t>
            </w:r>
            <w:r w:rsidR="00444B42" w:rsidRPr="00C2587D">
              <w:rPr>
                <w:rFonts w:ascii="Times New Roman" w:eastAsia="Arial" w:hAnsi="Times New Roman"/>
                <w:sz w:val="20"/>
                <w:szCs w:val="20"/>
              </w:rPr>
              <w:t>8</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487938F1" w14:textId="6B905282" w:rsidR="003E62D6" w:rsidRPr="00C2587D" w:rsidRDefault="003E62D6" w:rsidP="003E62D6">
            <w:pPr>
              <w:rPr>
                <w:rFonts w:ascii="Times New Roman" w:hAnsi="Times New Roman"/>
                <w:sz w:val="20"/>
                <w:szCs w:val="20"/>
                <w:lang w:eastAsia="it-IT"/>
              </w:rPr>
            </w:pPr>
            <w:r w:rsidRPr="00C2587D">
              <w:rPr>
                <w:rFonts w:ascii="Times New Roman" w:eastAsia="Arial" w:hAnsi="Times New Roman"/>
                <w:sz w:val="20"/>
                <w:szCs w:val="20"/>
              </w:rPr>
              <w:t>Нове будівництво самопливної каналізації по площі Базарній, провулку Хлібний та провулку Базарний в м. Жмеринка</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D8A577B" w14:textId="1ABA30D4"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957,752</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6F4AF308" w14:textId="73EFE232"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957,752</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95A62BC"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B8A7E46" w14:textId="54C5864F"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957,752</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B1AEAD7"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2B028C7"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2B1918A3"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CD2DD7C"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087C7B2"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404D600"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8928BC7" w14:textId="77777777" w:rsidR="003E62D6" w:rsidRPr="00C2587D" w:rsidRDefault="003E62D6" w:rsidP="003E62D6">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69091999"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D27E74A"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EE0BA28"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E5253D1"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766571D"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1C28B360" w14:textId="38BE5F23"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957,752</w:t>
            </w:r>
          </w:p>
        </w:tc>
      </w:tr>
      <w:tr w:rsidR="003E62D6" w:rsidRPr="00C2587D" w14:paraId="5FCB20D6" w14:textId="77777777" w:rsidTr="00A041B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18913682" w14:textId="76B2C226" w:rsidR="003E62D6" w:rsidRPr="00C2587D" w:rsidRDefault="003E62D6" w:rsidP="003E62D6">
            <w:pPr>
              <w:rPr>
                <w:rFonts w:ascii="Times New Roman" w:eastAsia="Arial" w:hAnsi="Times New Roman"/>
                <w:sz w:val="20"/>
                <w:szCs w:val="20"/>
                <w:lang w:eastAsia="en-US"/>
              </w:rPr>
            </w:pPr>
            <w:r w:rsidRPr="00C2587D">
              <w:rPr>
                <w:rFonts w:ascii="Times New Roman" w:eastAsia="Arial" w:hAnsi="Times New Roman"/>
                <w:sz w:val="20"/>
                <w:szCs w:val="20"/>
              </w:rPr>
              <w:t>3</w:t>
            </w:r>
            <w:r w:rsidR="00444B42" w:rsidRPr="00C2587D">
              <w:rPr>
                <w:rFonts w:ascii="Times New Roman" w:eastAsia="Arial" w:hAnsi="Times New Roman"/>
                <w:sz w:val="20"/>
                <w:szCs w:val="20"/>
              </w:rPr>
              <w:t>9</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15E4E14F" w14:textId="1C41F85A" w:rsidR="003E62D6" w:rsidRPr="00C2587D" w:rsidRDefault="003E62D6" w:rsidP="003E62D6">
            <w:pPr>
              <w:rPr>
                <w:rFonts w:ascii="Times New Roman" w:hAnsi="Times New Roman"/>
                <w:sz w:val="20"/>
                <w:szCs w:val="20"/>
                <w:lang w:eastAsia="it-IT"/>
              </w:rPr>
            </w:pPr>
            <w:r w:rsidRPr="00C2587D">
              <w:rPr>
                <w:rFonts w:ascii="Times New Roman" w:eastAsia="Arial" w:hAnsi="Times New Roman"/>
                <w:sz w:val="20"/>
                <w:szCs w:val="20"/>
              </w:rPr>
              <w:t>Капітальний ремонт мережі зовнішнього освітлення по вул. Птахіна в м. Жмеринка</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8A46380" w14:textId="29E165FF"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342,239</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2589EA23" w14:textId="47129E2F"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342,239</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6E802E1"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DC3341F" w14:textId="304B53E8"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342,239</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4B386EB"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64BB060"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10BA25E6"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04CA5EC"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7861F82"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F7390B9"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F83E285" w14:textId="77777777" w:rsidR="003E62D6" w:rsidRPr="00C2587D" w:rsidRDefault="003E62D6" w:rsidP="003E62D6">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3195F5F0"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108C822"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8F2B94A"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2BB05CE"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BDA72F8"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66798AB5" w14:textId="54DEB529"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342,239</w:t>
            </w:r>
          </w:p>
        </w:tc>
      </w:tr>
      <w:tr w:rsidR="003E62D6" w:rsidRPr="00C2587D" w14:paraId="4B7FBBCD" w14:textId="77777777" w:rsidTr="00FF28D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1E29CF62" w14:textId="71388D11" w:rsidR="003E62D6" w:rsidRPr="00C2587D" w:rsidRDefault="00444B42" w:rsidP="003E62D6">
            <w:pPr>
              <w:rPr>
                <w:rFonts w:ascii="Times New Roman" w:eastAsia="Arial" w:hAnsi="Times New Roman"/>
                <w:sz w:val="20"/>
                <w:szCs w:val="20"/>
                <w:lang w:eastAsia="en-US"/>
              </w:rPr>
            </w:pPr>
            <w:r w:rsidRPr="00C2587D">
              <w:rPr>
                <w:rFonts w:ascii="Times New Roman" w:eastAsia="Arial" w:hAnsi="Times New Roman"/>
                <w:sz w:val="20"/>
                <w:szCs w:val="20"/>
              </w:rPr>
              <w:t>40</w:t>
            </w:r>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tcPr>
          <w:p w14:paraId="4505A31D" w14:textId="5CD01A80" w:rsidR="003E62D6" w:rsidRPr="00C2587D" w:rsidRDefault="003E62D6" w:rsidP="00FF28D2">
            <w:pPr>
              <w:rPr>
                <w:rFonts w:ascii="Times New Roman" w:hAnsi="Times New Roman"/>
                <w:sz w:val="20"/>
                <w:szCs w:val="20"/>
                <w:lang w:eastAsia="it-IT"/>
              </w:rPr>
            </w:pPr>
            <w:r w:rsidRPr="00C2587D">
              <w:rPr>
                <w:rFonts w:ascii="Times New Roman" w:eastAsia="Arial" w:hAnsi="Times New Roman"/>
                <w:sz w:val="20"/>
                <w:szCs w:val="20"/>
              </w:rPr>
              <w:t>Реконструкція мережі вуличного освітлення в с. Ярошенка, с. Щученці</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44F7870" w14:textId="36959204"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1257,479</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77CC1F8D" w14:textId="230F846A"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1257,479</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CE34D45"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7184361" w14:textId="25578BA2"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1257,479</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8DDCF0F"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05D3EB9"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743C3BF6"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5D536C4"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FA2D459"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4B91753"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BC09F73" w14:textId="77777777" w:rsidR="003E62D6" w:rsidRPr="00C2587D" w:rsidRDefault="003E62D6" w:rsidP="003E62D6">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77B1BF83"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90D0264"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321B5A3"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F41D2B5"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B3D2ED7"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553ACAB7" w14:textId="2A949760"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1257,479</w:t>
            </w:r>
          </w:p>
        </w:tc>
      </w:tr>
      <w:tr w:rsidR="003E62D6" w:rsidRPr="00C2587D" w14:paraId="2D5D65C2" w14:textId="77777777" w:rsidTr="00A041B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292D5E13" w14:textId="1E92D72A" w:rsidR="003E62D6" w:rsidRPr="00C2587D" w:rsidRDefault="00E36FAF" w:rsidP="003E62D6">
            <w:pPr>
              <w:rPr>
                <w:rFonts w:ascii="Times New Roman" w:eastAsia="Arial" w:hAnsi="Times New Roman"/>
                <w:sz w:val="20"/>
                <w:szCs w:val="20"/>
                <w:lang w:eastAsia="en-US"/>
              </w:rPr>
            </w:pPr>
            <w:r w:rsidRPr="00C2587D">
              <w:rPr>
                <w:rFonts w:ascii="Times New Roman" w:eastAsia="Arial" w:hAnsi="Times New Roman"/>
                <w:sz w:val="20"/>
                <w:szCs w:val="20"/>
              </w:rPr>
              <w:t>4</w:t>
            </w:r>
            <w:r w:rsidR="00444B42" w:rsidRPr="00C2587D">
              <w:rPr>
                <w:rFonts w:ascii="Times New Roman" w:eastAsia="Arial" w:hAnsi="Times New Roman"/>
                <w:sz w:val="20"/>
                <w:szCs w:val="20"/>
              </w:rPr>
              <w:t>1</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4C7EB599" w14:textId="47F2B1FC" w:rsidR="003E62D6" w:rsidRPr="00C2587D" w:rsidRDefault="003E62D6" w:rsidP="003E62D6">
            <w:pPr>
              <w:rPr>
                <w:rFonts w:ascii="Times New Roman" w:hAnsi="Times New Roman"/>
                <w:sz w:val="20"/>
                <w:szCs w:val="20"/>
                <w:lang w:eastAsia="it-IT"/>
              </w:rPr>
            </w:pPr>
            <w:r w:rsidRPr="00C2587D">
              <w:rPr>
                <w:rFonts w:ascii="Times New Roman" w:eastAsia="Arial" w:hAnsi="Times New Roman"/>
                <w:sz w:val="20"/>
                <w:szCs w:val="20"/>
              </w:rPr>
              <w:t>Капітальний ремонт мережі вуличного освітлення частини села Подільське ТП-87 Леляцького старостинського округу Жмеринської територіальної громади</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4099F5A" w14:textId="44A2DB8D"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297,335</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70330154" w14:textId="36CD833E"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297,335</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FC6F836"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F2D23D5" w14:textId="0530C542"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297,335</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1C471BA"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84BD41F"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00158427"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47B8C4E"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2C278C3"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99F8B96"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8BABC8E" w14:textId="77777777" w:rsidR="003E62D6" w:rsidRPr="00C2587D" w:rsidRDefault="003E62D6" w:rsidP="003E62D6">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4EE05CDD"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0577CDB"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75D86A0"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A0249EB"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4DA9324"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404B8C97" w14:textId="3B0C1F63"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297,335</w:t>
            </w:r>
          </w:p>
        </w:tc>
      </w:tr>
      <w:tr w:rsidR="003E62D6" w:rsidRPr="00C2587D" w14:paraId="64DDA8E2" w14:textId="77777777" w:rsidTr="00A041B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643ADC23" w14:textId="2E3A7446" w:rsidR="003E62D6" w:rsidRPr="00C2587D" w:rsidRDefault="00E36FAF" w:rsidP="003E62D6">
            <w:pPr>
              <w:rPr>
                <w:rFonts w:ascii="Times New Roman" w:eastAsia="Arial" w:hAnsi="Times New Roman"/>
                <w:sz w:val="20"/>
                <w:szCs w:val="20"/>
                <w:lang w:eastAsia="en-US"/>
              </w:rPr>
            </w:pPr>
            <w:r w:rsidRPr="00C2587D">
              <w:rPr>
                <w:rFonts w:ascii="Times New Roman" w:eastAsia="Arial" w:hAnsi="Times New Roman"/>
                <w:sz w:val="20"/>
                <w:szCs w:val="20"/>
              </w:rPr>
              <w:t>4</w:t>
            </w:r>
            <w:r w:rsidR="00444B42" w:rsidRPr="00C2587D">
              <w:rPr>
                <w:rFonts w:ascii="Times New Roman" w:eastAsia="Arial" w:hAnsi="Times New Roman"/>
                <w:sz w:val="20"/>
                <w:szCs w:val="20"/>
              </w:rPr>
              <w:t>2</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411C1172" w14:textId="7F81E72E" w:rsidR="003E62D6" w:rsidRPr="00C2587D" w:rsidRDefault="003E62D6" w:rsidP="003E62D6">
            <w:pPr>
              <w:rPr>
                <w:rFonts w:ascii="Times New Roman" w:hAnsi="Times New Roman"/>
                <w:sz w:val="20"/>
                <w:szCs w:val="20"/>
                <w:lang w:eastAsia="it-IT"/>
              </w:rPr>
            </w:pPr>
            <w:r w:rsidRPr="00C2587D">
              <w:rPr>
                <w:rFonts w:ascii="Times New Roman" w:hAnsi="Times New Roman"/>
                <w:sz w:val="20"/>
                <w:szCs w:val="20"/>
              </w:rPr>
              <w:t>Нове будівництво розвідувально-експлуатаційної свердловини в с.Лопатинці  Жмеринської міської територіальної громади</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CD60E04" w14:textId="358EBD55"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1500,00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6AE493DB" w14:textId="400235D4"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1500,00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E0921AE" w14:textId="2FD7D897"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300,00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F5E0A6C" w14:textId="069CD2C7"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1200,00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5C28E86"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3E29AD9"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675B4D86"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4B9ED97"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BDC8083"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53B0672"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473099F" w14:textId="77777777" w:rsidR="003E62D6" w:rsidRPr="00C2587D" w:rsidRDefault="003E62D6" w:rsidP="003E62D6">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3C44FA2B"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D3E228E"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3C080BF"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B17ED16"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FEF4CB1"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5A5E0B20" w14:textId="494EDF6E"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1500,00</w:t>
            </w:r>
          </w:p>
        </w:tc>
      </w:tr>
      <w:tr w:rsidR="003E62D6" w:rsidRPr="00C2587D" w14:paraId="4F18332D" w14:textId="77777777" w:rsidTr="00A041B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7479148E" w14:textId="5DCBE05F" w:rsidR="003E62D6" w:rsidRPr="00C2587D" w:rsidRDefault="003E62D6" w:rsidP="003E62D6">
            <w:pPr>
              <w:rPr>
                <w:rFonts w:ascii="Times New Roman" w:eastAsia="Arial" w:hAnsi="Times New Roman"/>
                <w:sz w:val="20"/>
                <w:szCs w:val="20"/>
                <w:lang w:eastAsia="en-US"/>
              </w:rPr>
            </w:pPr>
            <w:r w:rsidRPr="00C2587D">
              <w:rPr>
                <w:rFonts w:ascii="Times New Roman" w:eastAsia="Arial" w:hAnsi="Times New Roman"/>
                <w:sz w:val="20"/>
                <w:szCs w:val="20"/>
              </w:rPr>
              <w:lastRenderedPageBreak/>
              <w:t>4</w:t>
            </w:r>
            <w:r w:rsidR="00444B42" w:rsidRPr="00C2587D">
              <w:rPr>
                <w:rFonts w:ascii="Times New Roman" w:eastAsia="Arial" w:hAnsi="Times New Roman"/>
                <w:sz w:val="20"/>
                <w:szCs w:val="20"/>
              </w:rPr>
              <w:t>3</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64168B09" w14:textId="789192B2" w:rsidR="003E62D6" w:rsidRPr="00C2587D" w:rsidRDefault="003E62D6" w:rsidP="003E62D6">
            <w:pPr>
              <w:rPr>
                <w:rFonts w:ascii="Times New Roman" w:hAnsi="Times New Roman"/>
                <w:sz w:val="20"/>
                <w:szCs w:val="20"/>
                <w:lang w:eastAsia="it-IT"/>
              </w:rPr>
            </w:pPr>
            <w:r w:rsidRPr="00C2587D">
              <w:rPr>
                <w:rFonts w:ascii="Times New Roman" w:hAnsi="Times New Roman"/>
                <w:sz w:val="20"/>
                <w:szCs w:val="20"/>
                <w:lang w:eastAsia="it-IT"/>
              </w:rPr>
              <w:t>Нове будівництво розвідувально-експлуатаційної свердловини по вулиці Козацька в селищі Браїлів, Жмеринського району, Вінницької області</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FE0D76C" w14:textId="03B5ACFB"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1500,00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7FB52D70" w14:textId="6BB9C577"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1500,00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49D0E68"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83E9B32" w14:textId="50D94D7B"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1500,00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4D4D131"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369FA60"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53B709D8"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0017C8F"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41452AA"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AB41FFE"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B3C441D" w14:textId="77777777" w:rsidR="003E62D6" w:rsidRPr="00C2587D" w:rsidRDefault="003E62D6" w:rsidP="003E62D6">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620DFB81"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D765E14"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103F36A"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F9E14A8"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E8B4122"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0F4E6F80" w14:textId="3B7E4D36"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1500,00</w:t>
            </w:r>
          </w:p>
        </w:tc>
      </w:tr>
      <w:tr w:rsidR="003E62D6" w:rsidRPr="00C2587D" w14:paraId="1261A707" w14:textId="77777777" w:rsidTr="00A041B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7E806361" w14:textId="71417CD5" w:rsidR="003E62D6" w:rsidRPr="00C2587D" w:rsidRDefault="003E62D6" w:rsidP="003E62D6">
            <w:pPr>
              <w:rPr>
                <w:rFonts w:ascii="Times New Roman" w:eastAsia="Arial" w:hAnsi="Times New Roman"/>
                <w:sz w:val="20"/>
                <w:szCs w:val="20"/>
                <w:lang w:eastAsia="en-US"/>
              </w:rPr>
            </w:pPr>
            <w:r w:rsidRPr="00C2587D">
              <w:rPr>
                <w:rFonts w:ascii="Times New Roman" w:eastAsia="Arial" w:hAnsi="Times New Roman"/>
                <w:sz w:val="20"/>
                <w:szCs w:val="20"/>
              </w:rPr>
              <w:t>4</w:t>
            </w:r>
            <w:r w:rsidR="00444B42" w:rsidRPr="00C2587D">
              <w:rPr>
                <w:rFonts w:ascii="Times New Roman" w:eastAsia="Arial" w:hAnsi="Times New Roman"/>
                <w:sz w:val="20"/>
                <w:szCs w:val="20"/>
              </w:rPr>
              <w:t>4</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1E717C2C" w14:textId="76387406" w:rsidR="003E62D6" w:rsidRPr="00C2587D" w:rsidRDefault="003E62D6" w:rsidP="003E62D6">
            <w:pPr>
              <w:rPr>
                <w:rFonts w:ascii="Times New Roman" w:hAnsi="Times New Roman"/>
                <w:sz w:val="20"/>
                <w:szCs w:val="20"/>
                <w:lang w:eastAsia="it-IT"/>
              </w:rPr>
            </w:pPr>
            <w:r w:rsidRPr="00C2587D">
              <w:rPr>
                <w:rFonts w:ascii="Times New Roman" w:hAnsi="Times New Roman"/>
                <w:sz w:val="20"/>
                <w:szCs w:val="20"/>
                <w:lang w:eastAsia="it-IT"/>
              </w:rPr>
              <w:t>Реконструкція мереж водопостачання по вулиці Центральна, Нова, 8-го Березня, Монастирська, Північна, Миколи Лисинка, Різдвяна та Володимира Забаштанського в селищі Браїлів, Жмеринського району, Вінницької області</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2B56840" w14:textId="6EC812EC"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2400,00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046CFE93" w14:textId="45E5F092" w:rsidR="003E62D6" w:rsidRPr="00C2587D" w:rsidRDefault="003E639D"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21</w:t>
            </w:r>
            <w:r w:rsidR="003E62D6" w:rsidRPr="00C2587D">
              <w:rPr>
                <w:rFonts w:ascii="Times New Roman" w:hAnsi="Times New Roman"/>
                <w:color w:val="000000"/>
                <w:sz w:val="20"/>
                <w:szCs w:val="20"/>
                <w:lang w:eastAsia="it-IT"/>
              </w:rPr>
              <w:t>00,00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46EFE08" w14:textId="450B154D"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400,00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1146552" w14:textId="634D000A" w:rsidR="003E62D6" w:rsidRPr="00C2587D" w:rsidRDefault="00871A01"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7</w:t>
            </w:r>
            <w:r w:rsidR="003E62D6" w:rsidRPr="00C2587D">
              <w:rPr>
                <w:rFonts w:ascii="Times New Roman" w:hAnsi="Times New Roman"/>
                <w:color w:val="000000"/>
                <w:sz w:val="20"/>
                <w:szCs w:val="20"/>
                <w:lang w:eastAsia="it-IT"/>
              </w:rPr>
              <w:t>00,00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67FBEF9" w14:textId="2044D8DE"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1000,00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DCE3B88"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6BCED1E1"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856A024"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E4A8B93"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CD96209"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A92F918" w14:textId="77777777" w:rsidR="003E62D6" w:rsidRPr="00C2587D" w:rsidRDefault="003E62D6" w:rsidP="003E62D6">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336AD115" w14:textId="716D52F4" w:rsidR="003E62D6" w:rsidRPr="00C2587D" w:rsidRDefault="003E639D"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300,0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3E3D16C"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5E5D7F3" w14:textId="494B8655" w:rsidR="003E62D6" w:rsidRPr="00C2587D" w:rsidRDefault="003E639D" w:rsidP="003E62D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300,0</w:t>
            </w: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D9A7C91"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AA980BE"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53BCF075" w14:textId="0C407CA4"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2400,00</w:t>
            </w:r>
          </w:p>
        </w:tc>
      </w:tr>
      <w:tr w:rsidR="003E62D6" w:rsidRPr="00C2587D" w14:paraId="014A6AC8" w14:textId="77777777" w:rsidTr="00A041B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4F371D93" w14:textId="13C400BB" w:rsidR="003E62D6" w:rsidRPr="00C2587D" w:rsidRDefault="003E62D6" w:rsidP="00E36FAF">
            <w:pPr>
              <w:rPr>
                <w:rFonts w:ascii="Times New Roman" w:eastAsia="Arial" w:hAnsi="Times New Roman"/>
                <w:sz w:val="20"/>
                <w:szCs w:val="20"/>
                <w:lang w:eastAsia="en-US"/>
              </w:rPr>
            </w:pPr>
            <w:r w:rsidRPr="00C2587D">
              <w:rPr>
                <w:rFonts w:ascii="Times New Roman" w:eastAsia="Arial" w:hAnsi="Times New Roman"/>
                <w:sz w:val="20"/>
                <w:szCs w:val="20"/>
              </w:rPr>
              <w:t>4</w:t>
            </w:r>
            <w:r w:rsidR="00444B42" w:rsidRPr="00C2587D">
              <w:rPr>
                <w:rFonts w:ascii="Times New Roman" w:eastAsia="Arial" w:hAnsi="Times New Roman"/>
                <w:sz w:val="20"/>
                <w:szCs w:val="20"/>
              </w:rPr>
              <w:t>5</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10767F73" w14:textId="3F0349BD" w:rsidR="003E62D6" w:rsidRPr="00C2587D" w:rsidRDefault="003E62D6" w:rsidP="003E62D6">
            <w:pPr>
              <w:rPr>
                <w:rFonts w:ascii="Times New Roman" w:hAnsi="Times New Roman"/>
                <w:sz w:val="20"/>
                <w:szCs w:val="20"/>
                <w:lang w:eastAsia="it-IT"/>
              </w:rPr>
            </w:pPr>
            <w:r w:rsidRPr="00C2587D">
              <w:rPr>
                <w:rFonts w:ascii="Times New Roman" w:hAnsi="Times New Roman"/>
                <w:sz w:val="20"/>
                <w:szCs w:val="20"/>
                <w:lang w:eastAsia="it-IT"/>
              </w:rPr>
              <w:t xml:space="preserve">Реконструкція мереж водопостачання по вулиці Чайковського, Набережна, Садова та Лісова в селі Рів Жмеринського району, Вінницької області.  </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D041999" w14:textId="7C30BE15"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1500,0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1156CC9D" w14:textId="74F93771"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1500,0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9F46832"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04E12BE" w14:textId="17D0E828"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200,0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E31CEEE" w14:textId="446714FB"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1300,0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7DC3403"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45C42FBB"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267EE35"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82A0F7E"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0A11D01"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FE28D18" w14:textId="77777777" w:rsidR="003E62D6" w:rsidRPr="00C2587D" w:rsidRDefault="003E62D6" w:rsidP="003E62D6">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314BDAD7"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6172D2B"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22C93E8"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332D120"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F8D61B0"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7DE97C17" w14:textId="419CC1D7"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1500,0</w:t>
            </w:r>
          </w:p>
        </w:tc>
      </w:tr>
      <w:tr w:rsidR="003E62D6" w:rsidRPr="00C2587D" w14:paraId="3E48BBFC" w14:textId="77777777" w:rsidTr="00A041B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2258404E" w14:textId="14D0C8FC" w:rsidR="003E62D6" w:rsidRPr="00C2587D" w:rsidRDefault="003E62D6" w:rsidP="003E62D6">
            <w:pPr>
              <w:rPr>
                <w:rFonts w:ascii="Times New Roman" w:eastAsia="Arial" w:hAnsi="Times New Roman"/>
                <w:sz w:val="20"/>
                <w:szCs w:val="20"/>
                <w:lang w:eastAsia="en-US"/>
              </w:rPr>
            </w:pPr>
            <w:r w:rsidRPr="00C2587D">
              <w:rPr>
                <w:rFonts w:ascii="Times New Roman" w:eastAsia="Arial" w:hAnsi="Times New Roman"/>
                <w:sz w:val="20"/>
                <w:szCs w:val="20"/>
              </w:rPr>
              <w:t>4</w:t>
            </w:r>
            <w:r w:rsidR="00444B42" w:rsidRPr="00C2587D">
              <w:rPr>
                <w:rFonts w:ascii="Times New Roman" w:eastAsia="Arial" w:hAnsi="Times New Roman"/>
                <w:sz w:val="20"/>
                <w:szCs w:val="20"/>
              </w:rPr>
              <w:t>6</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2EA7B26D" w14:textId="6A7876A2" w:rsidR="003E62D6" w:rsidRPr="00C2587D" w:rsidRDefault="003E62D6" w:rsidP="003E62D6">
            <w:pPr>
              <w:rPr>
                <w:rFonts w:ascii="Times New Roman" w:hAnsi="Times New Roman"/>
                <w:sz w:val="20"/>
                <w:szCs w:val="20"/>
                <w:lang w:eastAsia="it-IT"/>
              </w:rPr>
            </w:pPr>
            <w:r w:rsidRPr="00C2587D">
              <w:rPr>
                <w:rFonts w:ascii="Times New Roman" w:hAnsi="Times New Roman"/>
                <w:sz w:val="20"/>
                <w:szCs w:val="20"/>
                <w:lang w:eastAsia="it-IT"/>
              </w:rPr>
              <w:t>Нове будівництво розвідувально-експлуатаційної свердловини в селі Людавка, Жмеринського району, Вінницької області</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274BB03" w14:textId="2A6C152C"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1500,0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033763DF" w14:textId="0F74F72E"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1500,0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EFF0633"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89DC878" w14:textId="153B4A0C"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1500,0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8206A66"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E9EBDD9"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7AE5EBCB"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193D344"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F1CAFBE"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A8EF646"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98AA4C9" w14:textId="77777777" w:rsidR="003E62D6" w:rsidRPr="00C2587D" w:rsidRDefault="003E62D6" w:rsidP="003E62D6">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46E08631"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E88D11B"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1CAC157"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A67F9D9"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1E8F278"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50AAAA01" w14:textId="1E9479E4"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1500,0</w:t>
            </w:r>
          </w:p>
        </w:tc>
      </w:tr>
      <w:tr w:rsidR="003E62D6" w:rsidRPr="00C2587D" w14:paraId="46D38FC0" w14:textId="77777777" w:rsidTr="00A041B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3E8BD93E" w14:textId="54306ABD" w:rsidR="003E62D6" w:rsidRPr="00C2587D" w:rsidRDefault="003E62D6" w:rsidP="003E62D6">
            <w:pPr>
              <w:rPr>
                <w:rFonts w:ascii="Times New Roman" w:eastAsia="Arial" w:hAnsi="Times New Roman"/>
                <w:sz w:val="20"/>
                <w:szCs w:val="20"/>
                <w:lang w:eastAsia="en-US"/>
              </w:rPr>
            </w:pPr>
            <w:r w:rsidRPr="00C2587D">
              <w:rPr>
                <w:rFonts w:ascii="Times New Roman" w:eastAsia="Arial" w:hAnsi="Times New Roman"/>
                <w:sz w:val="20"/>
                <w:szCs w:val="20"/>
              </w:rPr>
              <w:lastRenderedPageBreak/>
              <w:t>4</w:t>
            </w:r>
            <w:r w:rsidR="00444B42" w:rsidRPr="00C2587D">
              <w:rPr>
                <w:rFonts w:ascii="Times New Roman" w:eastAsia="Arial" w:hAnsi="Times New Roman"/>
                <w:sz w:val="20"/>
                <w:szCs w:val="20"/>
              </w:rPr>
              <w:t>7</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161A0428" w14:textId="578522CD" w:rsidR="003E62D6" w:rsidRPr="00C2587D" w:rsidRDefault="003E62D6" w:rsidP="003E62D6">
            <w:pPr>
              <w:rPr>
                <w:rFonts w:ascii="Times New Roman" w:hAnsi="Times New Roman"/>
                <w:sz w:val="20"/>
                <w:szCs w:val="20"/>
                <w:lang w:eastAsia="it-IT"/>
              </w:rPr>
            </w:pPr>
            <w:r w:rsidRPr="00C2587D">
              <w:rPr>
                <w:rFonts w:ascii="Times New Roman" w:hAnsi="Times New Roman"/>
                <w:sz w:val="20"/>
                <w:szCs w:val="20"/>
                <w:lang w:eastAsia="it-IT"/>
              </w:rPr>
              <w:t>Нове будівництво розвідувально-експлуатаційної свердловини в селі Сьомаки, Жмеринського району, Вінницької області</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F1E23D5" w14:textId="2994E5DF"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1500,00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42519026" w14:textId="504355DB"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1500,00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E13DFB0"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B7953A1" w14:textId="42419517"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300,00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88A2886" w14:textId="690167B9" w:rsidR="003E62D6" w:rsidRPr="00C2587D" w:rsidRDefault="003E62D6" w:rsidP="003E62D6">
            <w:pPr>
              <w:ind w:left="113" w:right="113"/>
              <w:jc w:val="center"/>
              <w:rPr>
                <w:rFonts w:ascii="Times New Roman" w:eastAsia="Arial" w:hAnsi="Times New Roman"/>
                <w:sz w:val="20"/>
                <w:szCs w:val="20"/>
                <w:lang w:eastAsia="en-US"/>
              </w:rPr>
            </w:pPr>
            <w:r w:rsidRPr="00C2587D">
              <w:rPr>
                <w:rFonts w:ascii="Times New Roman" w:hAnsi="Times New Roman"/>
                <w:color w:val="000000"/>
                <w:sz w:val="20"/>
                <w:szCs w:val="20"/>
                <w:lang w:eastAsia="it-IT"/>
              </w:rPr>
              <w:t>1200,00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74158D9"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00FA5135"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E09FF99"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09F63E8"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DC879A8"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EF01756" w14:textId="77777777" w:rsidR="003E62D6" w:rsidRPr="00C2587D" w:rsidRDefault="003E62D6" w:rsidP="003E62D6">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2BBBF7DD"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520A6E9"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0B01961"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ECA64D1"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58AAA2C" w14:textId="77777777" w:rsidR="003E62D6" w:rsidRPr="00C2587D" w:rsidRDefault="003E62D6" w:rsidP="003E62D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13AF4AC1" w14:textId="75F51246" w:rsidR="003E62D6" w:rsidRPr="00C2587D" w:rsidRDefault="003E62D6" w:rsidP="003E62D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1500,00</w:t>
            </w:r>
          </w:p>
        </w:tc>
      </w:tr>
      <w:tr w:rsidR="00057807" w:rsidRPr="00C2587D" w14:paraId="14E094A9" w14:textId="77777777" w:rsidTr="00A041B2">
        <w:trPr>
          <w:cantSplit/>
          <w:trHeight w:val="277"/>
        </w:trPr>
        <w:tc>
          <w:tcPr>
            <w:tcW w:w="15175" w:type="dxa"/>
            <w:gridSpan w:val="19"/>
            <w:tcBorders>
              <w:top w:val="single" w:sz="4" w:space="0" w:color="auto"/>
              <w:left w:val="single" w:sz="4" w:space="0" w:color="auto"/>
              <w:bottom w:val="single" w:sz="4" w:space="0" w:color="auto"/>
              <w:right w:val="single" w:sz="4" w:space="0" w:color="auto"/>
            </w:tcBorders>
            <w:shd w:val="clear" w:color="auto" w:fill="auto"/>
          </w:tcPr>
          <w:p w14:paraId="5E73A07C" w14:textId="2C0926AF" w:rsidR="00057807" w:rsidRPr="00C2587D" w:rsidRDefault="00057807" w:rsidP="00057807">
            <w:pPr>
              <w:ind w:left="113" w:right="113"/>
              <w:jc w:val="center"/>
              <w:rPr>
                <w:rFonts w:ascii="Times New Roman" w:hAnsi="Times New Roman"/>
                <w:b/>
                <w:color w:val="000000"/>
                <w:sz w:val="20"/>
                <w:szCs w:val="20"/>
                <w:lang w:eastAsia="it-IT"/>
              </w:rPr>
            </w:pPr>
            <w:r w:rsidRPr="00C2587D">
              <w:rPr>
                <w:rFonts w:ascii="Times New Roman" w:hAnsi="Times New Roman"/>
                <w:b/>
                <w:color w:val="000000"/>
                <w:sz w:val="20"/>
                <w:szCs w:val="20"/>
                <w:lang w:eastAsia="it-IT"/>
              </w:rPr>
              <w:t>Виконавчий комітет Жмеринської міської ради</w:t>
            </w:r>
          </w:p>
        </w:tc>
      </w:tr>
      <w:tr w:rsidR="006551DB" w:rsidRPr="00C2587D" w14:paraId="41BB8B51" w14:textId="77777777" w:rsidTr="00A041B2">
        <w:trPr>
          <w:cantSplit/>
          <w:trHeight w:val="282"/>
        </w:trPr>
        <w:tc>
          <w:tcPr>
            <w:tcW w:w="15175" w:type="dxa"/>
            <w:gridSpan w:val="19"/>
            <w:tcBorders>
              <w:top w:val="single" w:sz="4" w:space="0" w:color="auto"/>
              <w:left w:val="single" w:sz="4" w:space="0" w:color="auto"/>
              <w:bottom w:val="single" w:sz="4" w:space="0" w:color="auto"/>
              <w:right w:val="single" w:sz="4" w:space="0" w:color="auto"/>
            </w:tcBorders>
            <w:shd w:val="clear" w:color="auto" w:fill="auto"/>
          </w:tcPr>
          <w:p w14:paraId="0EA09688" w14:textId="4AE79037" w:rsidR="006551DB" w:rsidRPr="00C2587D" w:rsidRDefault="006551DB" w:rsidP="00057807">
            <w:pPr>
              <w:ind w:left="113" w:right="113"/>
              <w:jc w:val="center"/>
              <w:rPr>
                <w:rFonts w:ascii="Times New Roman" w:hAnsi="Times New Roman"/>
                <w:b/>
                <w:color w:val="000000"/>
                <w:sz w:val="20"/>
                <w:szCs w:val="20"/>
                <w:lang w:eastAsia="it-IT"/>
              </w:rPr>
            </w:pPr>
            <w:r w:rsidRPr="00C2587D">
              <w:rPr>
                <w:rFonts w:ascii="Times New Roman" w:hAnsi="Times New Roman"/>
                <w:b/>
                <w:color w:val="000000"/>
                <w:sz w:val="20"/>
                <w:szCs w:val="20"/>
                <w:lang w:eastAsia="it-IT"/>
              </w:rPr>
              <w:t>Програми місцевого розвитку (в тому числі, які реалізуються через проєкти)</w:t>
            </w:r>
          </w:p>
        </w:tc>
      </w:tr>
      <w:tr w:rsidR="006551DB" w:rsidRPr="00C2587D" w14:paraId="315B9464" w14:textId="77777777" w:rsidTr="00FF28D2">
        <w:trPr>
          <w:cantSplit/>
          <w:trHeight w:val="838"/>
        </w:trPr>
        <w:tc>
          <w:tcPr>
            <w:tcW w:w="531" w:type="dxa"/>
            <w:tcBorders>
              <w:top w:val="single" w:sz="4" w:space="0" w:color="auto"/>
              <w:left w:val="single" w:sz="4" w:space="0" w:color="auto"/>
              <w:bottom w:val="single" w:sz="4" w:space="0" w:color="auto"/>
              <w:right w:val="single" w:sz="4" w:space="0" w:color="auto"/>
            </w:tcBorders>
            <w:shd w:val="clear" w:color="auto" w:fill="auto"/>
          </w:tcPr>
          <w:p w14:paraId="7C557B4E" w14:textId="191CAF39" w:rsidR="006551DB" w:rsidRPr="00C2587D" w:rsidRDefault="00E36BE5" w:rsidP="006551DB">
            <w:pPr>
              <w:rPr>
                <w:rFonts w:ascii="Times New Roman" w:eastAsia="Arial" w:hAnsi="Times New Roman"/>
                <w:sz w:val="20"/>
                <w:szCs w:val="20"/>
                <w:lang w:eastAsia="en-US"/>
              </w:rPr>
            </w:pPr>
            <w:r w:rsidRPr="00C2587D">
              <w:rPr>
                <w:rFonts w:ascii="Times New Roman" w:eastAsia="Arial" w:hAnsi="Times New Roman"/>
                <w:sz w:val="20"/>
                <w:szCs w:val="20"/>
                <w:lang w:eastAsia="en-US"/>
              </w:rPr>
              <w:t>1</w:t>
            </w:r>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tcPr>
          <w:p w14:paraId="76686561" w14:textId="7B08F2A1" w:rsidR="006551DB" w:rsidRPr="00C2587D" w:rsidRDefault="006551DB" w:rsidP="00FF28D2">
            <w:pPr>
              <w:rPr>
                <w:rFonts w:ascii="Times New Roman" w:eastAsia="Arial" w:hAnsi="Times New Roman"/>
                <w:sz w:val="20"/>
                <w:szCs w:val="20"/>
                <w:lang w:eastAsia="en-US"/>
              </w:rPr>
            </w:pPr>
            <w:r w:rsidRPr="00C2587D">
              <w:rPr>
                <w:rFonts w:ascii="Times New Roman" w:eastAsia="Arial" w:hAnsi="Times New Roman"/>
                <w:sz w:val="20"/>
                <w:szCs w:val="20"/>
                <w:lang w:eastAsia="en-US"/>
              </w:rPr>
              <w:t>Реалізація триває – «Безпечна громада на 2025-2027 роки»</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E0638CB" w14:textId="21510A2B" w:rsidR="006551DB" w:rsidRPr="00C2587D" w:rsidRDefault="006551DB" w:rsidP="006551DB">
            <w:pPr>
              <w:ind w:left="113" w:right="113"/>
              <w:jc w:val="center"/>
              <w:rPr>
                <w:rFonts w:ascii="Times New Roman" w:eastAsia="Arial" w:hAnsi="Times New Roman"/>
                <w:b/>
                <w:sz w:val="20"/>
                <w:szCs w:val="20"/>
                <w:lang w:eastAsia="en-US"/>
              </w:rPr>
            </w:pPr>
            <w:r w:rsidRPr="00C2587D">
              <w:rPr>
                <w:rFonts w:ascii="Times New Roman" w:hAnsi="Times New Roman"/>
                <w:b/>
                <w:sz w:val="20"/>
                <w:szCs w:val="20"/>
              </w:rPr>
              <w:t>4966,0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6FBD95A4" w14:textId="77777777" w:rsidR="006551DB" w:rsidRPr="00C2587D" w:rsidRDefault="006551DB" w:rsidP="006551DB">
            <w:pPr>
              <w:ind w:left="113" w:right="113"/>
              <w:jc w:val="center"/>
              <w:rPr>
                <w:rFonts w:ascii="Times New Roman" w:eastAsia="Arial" w:hAnsi="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722A2DF" w14:textId="3CFFDAE1"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hAnsi="Times New Roman"/>
                <w:sz w:val="20"/>
                <w:szCs w:val="20"/>
              </w:rPr>
              <w:t>1726,0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6CF2D3C" w14:textId="3E7CB99D"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hAnsi="Times New Roman"/>
                <w:sz w:val="20"/>
                <w:szCs w:val="20"/>
              </w:rPr>
              <w:t>1540,0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5074A0A" w14:textId="51E987A3"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hAnsi="Times New Roman"/>
                <w:sz w:val="20"/>
                <w:szCs w:val="20"/>
              </w:rPr>
              <w:t>1700, 0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3B0230B" w14:textId="77777777" w:rsidR="006551DB" w:rsidRPr="00C2587D" w:rsidRDefault="006551DB" w:rsidP="006551DB">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473D4CCA" w14:textId="77777777" w:rsidR="006551DB" w:rsidRPr="00C2587D" w:rsidRDefault="006551DB" w:rsidP="006551DB">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5B7BB86" w14:textId="77777777" w:rsidR="006551DB" w:rsidRPr="00C2587D" w:rsidRDefault="006551DB" w:rsidP="006551DB">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4A1CADD" w14:textId="77777777" w:rsidR="006551DB" w:rsidRPr="00C2587D" w:rsidRDefault="006551DB" w:rsidP="006551DB">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DF04932" w14:textId="77777777" w:rsidR="006551DB" w:rsidRPr="00C2587D" w:rsidRDefault="006551DB" w:rsidP="006551DB">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634AC86" w14:textId="77777777" w:rsidR="006551DB" w:rsidRPr="00C2587D" w:rsidRDefault="006551DB" w:rsidP="006551DB">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3DCB74B6" w14:textId="77777777" w:rsidR="006551DB" w:rsidRPr="00C2587D" w:rsidRDefault="006551DB" w:rsidP="006551DB">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1493066" w14:textId="77777777" w:rsidR="006551DB" w:rsidRPr="00C2587D" w:rsidRDefault="006551DB" w:rsidP="006551DB">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FD2A16E" w14:textId="77777777" w:rsidR="006551DB" w:rsidRPr="00C2587D" w:rsidRDefault="006551DB" w:rsidP="006551DB">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E87D3C6" w14:textId="77777777" w:rsidR="006551DB" w:rsidRPr="00C2587D" w:rsidRDefault="006551DB" w:rsidP="006551DB">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BD43276" w14:textId="77777777" w:rsidR="006551DB" w:rsidRPr="00C2587D" w:rsidRDefault="006551DB" w:rsidP="006551DB">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16A0C96A" w14:textId="07055C9F" w:rsidR="006551DB" w:rsidRPr="00C2587D" w:rsidRDefault="006551DB" w:rsidP="006551DB">
            <w:pPr>
              <w:ind w:left="113" w:right="113"/>
              <w:jc w:val="center"/>
              <w:rPr>
                <w:rFonts w:ascii="Times New Roman" w:eastAsia="Arial" w:hAnsi="Times New Roman"/>
                <w:b/>
                <w:sz w:val="20"/>
                <w:szCs w:val="20"/>
                <w:lang w:eastAsia="en-US"/>
              </w:rPr>
            </w:pPr>
            <w:r w:rsidRPr="00C2587D">
              <w:rPr>
                <w:rFonts w:ascii="Times New Roman" w:hAnsi="Times New Roman"/>
                <w:b/>
                <w:sz w:val="20"/>
                <w:szCs w:val="20"/>
              </w:rPr>
              <w:t>4 966,0</w:t>
            </w:r>
          </w:p>
        </w:tc>
      </w:tr>
      <w:tr w:rsidR="006551DB" w:rsidRPr="00C2587D" w14:paraId="7E85C6DA" w14:textId="77777777" w:rsidTr="00FF28D2">
        <w:trPr>
          <w:cantSplit/>
          <w:trHeight w:val="837"/>
        </w:trPr>
        <w:tc>
          <w:tcPr>
            <w:tcW w:w="531" w:type="dxa"/>
            <w:tcBorders>
              <w:top w:val="single" w:sz="4" w:space="0" w:color="auto"/>
              <w:left w:val="single" w:sz="4" w:space="0" w:color="auto"/>
              <w:bottom w:val="single" w:sz="4" w:space="0" w:color="auto"/>
              <w:right w:val="single" w:sz="4" w:space="0" w:color="auto"/>
            </w:tcBorders>
            <w:shd w:val="clear" w:color="auto" w:fill="auto"/>
          </w:tcPr>
          <w:p w14:paraId="576CC10F" w14:textId="50CE67A9" w:rsidR="006551DB" w:rsidRPr="00C2587D" w:rsidRDefault="00E36BE5" w:rsidP="006551DB">
            <w:pPr>
              <w:rPr>
                <w:rFonts w:ascii="Times New Roman" w:eastAsia="Arial" w:hAnsi="Times New Roman"/>
                <w:sz w:val="20"/>
                <w:szCs w:val="20"/>
                <w:lang w:eastAsia="en-US"/>
              </w:rPr>
            </w:pPr>
            <w:r w:rsidRPr="00C2587D">
              <w:rPr>
                <w:rFonts w:ascii="Times New Roman" w:eastAsia="Arial" w:hAnsi="Times New Roman"/>
                <w:sz w:val="20"/>
                <w:szCs w:val="20"/>
                <w:lang w:eastAsia="en-US"/>
              </w:rPr>
              <w:t>2</w:t>
            </w:r>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tcPr>
          <w:p w14:paraId="02374FD8" w14:textId="140FBB54" w:rsidR="006551DB" w:rsidRPr="00C2587D" w:rsidRDefault="007B189E" w:rsidP="00FF28D2">
            <w:pPr>
              <w:rPr>
                <w:rFonts w:ascii="Times New Roman" w:eastAsia="Arial" w:hAnsi="Times New Roman"/>
                <w:sz w:val="20"/>
                <w:szCs w:val="20"/>
                <w:lang w:eastAsia="en-US"/>
              </w:rPr>
            </w:pPr>
            <w:r>
              <w:rPr>
                <w:rFonts w:ascii="Times New Roman" w:eastAsia="Arial" w:hAnsi="Times New Roman"/>
                <w:sz w:val="20"/>
                <w:szCs w:val="20"/>
                <w:lang w:eastAsia="en-US"/>
              </w:rPr>
              <w:t>Проє</w:t>
            </w:r>
            <w:r w:rsidR="006551DB" w:rsidRPr="00C2587D">
              <w:rPr>
                <w:rFonts w:ascii="Times New Roman" w:eastAsia="Arial" w:hAnsi="Times New Roman"/>
                <w:sz w:val="20"/>
                <w:szCs w:val="20"/>
                <w:lang w:eastAsia="en-US"/>
              </w:rPr>
              <w:t>кт «Безпечна громада на 2028-2030 роки»</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EFEBA75" w14:textId="3BF4F29D" w:rsidR="006551DB" w:rsidRPr="00C2587D" w:rsidRDefault="006551DB" w:rsidP="006551DB">
            <w:pPr>
              <w:ind w:left="113" w:right="113"/>
              <w:jc w:val="center"/>
              <w:rPr>
                <w:rFonts w:ascii="Times New Roman" w:eastAsia="Arial" w:hAnsi="Times New Roman"/>
                <w:b/>
                <w:sz w:val="20"/>
                <w:szCs w:val="20"/>
                <w:lang w:eastAsia="en-US"/>
              </w:rPr>
            </w:pPr>
            <w:r w:rsidRPr="00C2587D">
              <w:rPr>
                <w:rFonts w:ascii="Times New Roman" w:hAnsi="Times New Roman"/>
                <w:b/>
                <w:sz w:val="20"/>
                <w:szCs w:val="20"/>
              </w:rPr>
              <w:t>2 000,0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2D43DBB2" w14:textId="77777777" w:rsidR="006551DB" w:rsidRPr="00C2587D" w:rsidRDefault="006551DB" w:rsidP="006551DB">
            <w:pPr>
              <w:ind w:left="113" w:right="113"/>
              <w:jc w:val="center"/>
              <w:rPr>
                <w:rFonts w:ascii="Times New Roman" w:eastAsia="Arial" w:hAnsi="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F500732" w14:textId="77777777" w:rsidR="006551DB" w:rsidRPr="00C2587D" w:rsidRDefault="006551DB" w:rsidP="006551DB">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C30C03C" w14:textId="77777777" w:rsidR="006551DB" w:rsidRPr="00C2587D" w:rsidRDefault="006551DB" w:rsidP="006551DB">
            <w:pPr>
              <w:ind w:left="113" w:right="113"/>
              <w:jc w:val="center"/>
              <w:rPr>
                <w:rFonts w:ascii="Times New Roman" w:eastAsia="Arial" w:hAnsi="Times New Roman"/>
                <w:sz w:val="20"/>
                <w:szCs w:val="20"/>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54BAB0B" w14:textId="77777777" w:rsidR="006551DB" w:rsidRPr="00C2587D" w:rsidRDefault="006551DB" w:rsidP="006551DB">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2ED9864" w14:textId="3F0C4CE6"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hAnsi="Times New Roman"/>
                <w:sz w:val="20"/>
                <w:szCs w:val="20"/>
              </w:rPr>
              <w:t>2000,0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7FFC1488" w14:textId="77777777" w:rsidR="006551DB" w:rsidRPr="00C2587D" w:rsidRDefault="006551DB" w:rsidP="006551DB">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4ACAE4E" w14:textId="77777777" w:rsidR="006551DB" w:rsidRPr="00C2587D" w:rsidRDefault="006551DB" w:rsidP="006551DB">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FA7946A" w14:textId="77777777" w:rsidR="006551DB" w:rsidRPr="00C2587D" w:rsidRDefault="006551DB" w:rsidP="006551DB">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AF59B8D" w14:textId="77777777" w:rsidR="006551DB" w:rsidRPr="00C2587D" w:rsidRDefault="006551DB" w:rsidP="006551DB">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B5D1936" w14:textId="77777777" w:rsidR="006551DB" w:rsidRPr="00C2587D" w:rsidRDefault="006551DB" w:rsidP="006551DB">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0D9CEDCF" w14:textId="77777777" w:rsidR="006551DB" w:rsidRPr="00C2587D" w:rsidRDefault="006551DB" w:rsidP="006551DB">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85BD2B9" w14:textId="77777777" w:rsidR="006551DB" w:rsidRPr="00C2587D" w:rsidRDefault="006551DB" w:rsidP="006551DB">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5AFE9B5" w14:textId="77777777" w:rsidR="006551DB" w:rsidRPr="00C2587D" w:rsidRDefault="006551DB" w:rsidP="006551DB">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8A5B12D" w14:textId="77777777" w:rsidR="006551DB" w:rsidRPr="00C2587D" w:rsidRDefault="006551DB" w:rsidP="006551DB">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78ADED1" w14:textId="77777777" w:rsidR="006551DB" w:rsidRPr="00C2587D" w:rsidRDefault="006551DB" w:rsidP="006551DB">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5592DF1A" w14:textId="55EEF88F" w:rsidR="006551DB" w:rsidRPr="00C2587D" w:rsidRDefault="006551DB" w:rsidP="006551DB">
            <w:pPr>
              <w:ind w:left="113" w:right="113"/>
              <w:jc w:val="center"/>
              <w:rPr>
                <w:rFonts w:ascii="Times New Roman" w:eastAsia="Arial" w:hAnsi="Times New Roman"/>
                <w:b/>
                <w:sz w:val="20"/>
                <w:szCs w:val="20"/>
                <w:lang w:eastAsia="en-US"/>
              </w:rPr>
            </w:pPr>
            <w:r w:rsidRPr="00C2587D">
              <w:rPr>
                <w:rFonts w:ascii="Times New Roman" w:hAnsi="Times New Roman"/>
                <w:b/>
                <w:sz w:val="20"/>
                <w:szCs w:val="20"/>
              </w:rPr>
              <w:t>2 000,0</w:t>
            </w:r>
          </w:p>
        </w:tc>
      </w:tr>
      <w:tr w:rsidR="006551DB" w:rsidRPr="00C2587D" w14:paraId="2D1EE228" w14:textId="77777777" w:rsidTr="00FF28D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1237F5EC" w14:textId="0924F3C1" w:rsidR="006551DB" w:rsidRPr="00C2587D" w:rsidRDefault="00E36BE5" w:rsidP="006551DB">
            <w:pPr>
              <w:rPr>
                <w:rFonts w:ascii="Times New Roman" w:eastAsia="Arial" w:hAnsi="Times New Roman"/>
                <w:sz w:val="20"/>
                <w:szCs w:val="20"/>
                <w:lang w:eastAsia="en-US"/>
              </w:rPr>
            </w:pPr>
            <w:r w:rsidRPr="00C2587D">
              <w:rPr>
                <w:rFonts w:ascii="Times New Roman" w:eastAsia="Arial" w:hAnsi="Times New Roman"/>
                <w:sz w:val="20"/>
                <w:szCs w:val="20"/>
                <w:lang w:eastAsia="en-US"/>
              </w:rPr>
              <w:t>3</w:t>
            </w:r>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tcPr>
          <w:p w14:paraId="07E227B8" w14:textId="611683C7" w:rsidR="006551DB" w:rsidRPr="00C2587D" w:rsidRDefault="006551DB" w:rsidP="00FF28D2">
            <w:pPr>
              <w:rPr>
                <w:rFonts w:ascii="Times New Roman" w:eastAsia="Arial" w:hAnsi="Times New Roman"/>
                <w:sz w:val="20"/>
                <w:szCs w:val="20"/>
                <w:lang w:eastAsia="en-US"/>
              </w:rPr>
            </w:pPr>
            <w:r w:rsidRPr="00C2587D">
              <w:rPr>
                <w:rFonts w:ascii="Times New Roman" w:hAnsi="Times New Roman"/>
                <w:sz w:val="20"/>
                <w:szCs w:val="20"/>
              </w:rPr>
              <w:t>Комплексна програма «Захист населення і територій   Жмеринської міської  територіальної громади на 2025-2027 роки»</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A1A6E2D" w14:textId="37CA6243" w:rsidR="006551DB" w:rsidRPr="00C2587D" w:rsidRDefault="006551DB" w:rsidP="006551DB">
            <w:pPr>
              <w:ind w:left="113" w:right="113"/>
              <w:jc w:val="center"/>
              <w:rPr>
                <w:rFonts w:ascii="Times New Roman" w:hAnsi="Times New Roman"/>
                <w:b/>
                <w:sz w:val="20"/>
                <w:szCs w:val="20"/>
              </w:rPr>
            </w:pPr>
            <w:r w:rsidRPr="00C2587D">
              <w:rPr>
                <w:rFonts w:ascii="Times New Roman" w:eastAsia="Arial" w:hAnsi="Times New Roman"/>
                <w:b/>
                <w:sz w:val="20"/>
                <w:szCs w:val="20"/>
                <w:lang w:eastAsia="en-US"/>
              </w:rPr>
              <w:t>22867,0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33016DE5" w14:textId="6A288452"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22247,0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8E1B0D9" w14:textId="2F6931C8"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17789,0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54A59AF" w14:textId="71A78006"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2319,0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05F7B25" w14:textId="41E75320"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2139,0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A041BDA" w14:textId="626CD0A9" w:rsidR="006551DB" w:rsidRPr="00C2587D" w:rsidRDefault="006551DB" w:rsidP="006551DB">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2AAD32C5" w14:textId="038DBBAA"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181685C" w14:textId="6F651B2F"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C8D857C" w14:textId="14D0BD48"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C46CDC0" w14:textId="26FA3984"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3500137" w14:textId="687D45EE"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7F4B52E0" w14:textId="28F0B885"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620,0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7B7488D" w14:textId="35E37FDD"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205,0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D66EF5D" w14:textId="73AD07F1"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205,0</w:t>
            </w: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0F987B9" w14:textId="50168D67"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210,0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FD87BE1" w14:textId="0C3B9524"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3F153F01" w14:textId="64D54F0E" w:rsidR="006551DB" w:rsidRPr="00C2587D" w:rsidRDefault="006551DB" w:rsidP="006551DB">
            <w:pPr>
              <w:ind w:left="113" w:right="113"/>
              <w:jc w:val="center"/>
              <w:rPr>
                <w:rFonts w:ascii="Times New Roman" w:hAnsi="Times New Roman"/>
                <w:b/>
                <w:sz w:val="20"/>
                <w:szCs w:val="20"/>
              </w:rPr>
            </w:pPr>
            <w:r w:rsidRPr="00C2587D">
              <w:rPr>
                <w:rFonts w:ascii="Times New Roman" w:eastAsia="Arial" w:hAnsi="Times New Roman"/>
                <w:b/>
                <w:sz w:val="20"/>
                <w:szCs w:val="20"/>
                <w:lang w:eastAsia="en-US"/>
              </w:rPr>
              <w:t>22 867,0</w:t>
            </w:r>
          </w:p>
        </w:tc>
      </w:tr>
      <w:tr w:rsidR="006551DB" w:rsidRPr="00C2587D" w14:paraId="2B2E631A" w14:textId="77777777" w:rsidTr="00A041B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2FE9D56F" w14:textId="3D50DA38" w:rsidR="006551DB" w:rsidRPr="00C2587D" w:rsidRDefault="00E36BE5" w:rsidP="006551DB">
            <w:pPr>
              <w:rPr>
                <w:rFonts w:ascii="Times New Roman" w:eastAsia="Arial" w:hAnsi="Times New Roman"/>
                <w:sz w:val="20"/>
                <w:szCs w:val="20"/>
                <w:lang w:eastAsia="en-US"/>
              </w:rPr>
            </w:pPr>
            <w:r w:rsidRPr="00C2587D">
              <w:rPr>
                <w:rFonts w:ascii="Times New Roman" w:eastAsia="Arial" w:hAnsi="Times New Roman"/>
                <w:sz w:val="20"/>
                <w:szCs w:val="20"/>
                <w:lang w:eastAsia="en-US"/>
              </w:rPr>
              <w:t>4</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38ADE2B5" w14:textId="15AFC4D0" w:rsidR="006551DB" w:rsidRPr="00C2587D" w:rsidRDefault="006551DB" w:rsidP="006551DB">
            <w:pPr>
              <w:rPr>
                <w:rFonts w:ascii="Times New Roman" w:eastAsia="Arial" w:hAnsi="Times New Roman"/>
                <w:sz w:val="20"/>
                <w:szCs w:val="20"/>
                <w:lang w:eastAsia="en-US"/>
              </w:rPr>
            </w:pPr>
            <w:r w:rsidRPr="00C2587D">
              <w:rPr>
                <w:rFonts w:ascii="Times New Roman" w:hAnsi="Times New Roman"/>
                <w:spacing w:val="3"/>
                <w:w w:val="89"/>
                <w:sz w:val="20"/>
                <w:szCs w:val="20"/>
              </w:rPr>
              <w:t>Програма «</w:t>
            </w:r>
            <w:r w:rsidRPr="00C2587D">
              <w:rPr>
                <w:rFonts w:ascii="Times New Roman" w:hAnsi="Times New Roman"/>
                <w:sz w:val="20"/>
                <w:szCs w:val="20"/>
              </w:rPr>
              <w:t>Поліпшення техногенної та пожежної безпеки об'єктів усіх форм власності, розвитку інфраструктури оперативно-рятувальної служби Жмеринської міської територіальної громади на 202</w:t>
            </w:r>
            <w:r w:rsidR="007B189E">
              <w:rPr>
                <w:rFonts w:ascii="Times New Roman" w:hAnsi="Times New Roman"/>
                <w:sz w:val="20"/>
                <w:szCs w:val="20"/>
              </w:rPr>
              <w:t>6-2030 роки» (проє</w:t>
            </w:r>
            <w:r w:rsidRPr="00C2587D">
              <w:rPr>
                <w:rFonts w:ascii="Times New Roman" w:hAnsi="Times New Roman"/>
                <w:sz w:val="20"/>
                <w:szCs w:val="20"/>
              </w:rPr>
              <w:t>кт)</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1DF1C5D" w14:textId="2DE63592" w:rsidR="006551DB" w:rsidRPr="00C2587D" w:rsidRDefault="006551DB" w:rsidP="006551DB">
            <w:pPr>
              <w:ind w:left="113" w:right="113"/>
              <w:jc w:val="center"/>
              <w:rPr>
                <w:rFonts w:ascii="Times New Roman" w:hAnsi="Times New Roman"/>
                <w:b/>
                <w:sz w:val="20"/>
                <w:szCs w:val="20"/>
              </w:rPr>
            </w:pPr>
            <w:r w:rsidRPr="00C2587D">
              <w:rPr>
                <w:rFonts w:ascii="Times New Roman" w:eastAsia="Arial" w:hAnsi="Times New Roman"/>
                <w:b/>
                <w:sz w:val="20"/>
                <w:szCs w:val="20"/>
                <w:lang w:eastAsia="en-US"/>
              </w:rPr>
              <w:t>1800,0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674FD0C2" w14:textId="73A1E087"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1800,0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C088C6D" w14:textId="242F879E"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F001C4B" w14:textId="4E727384"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600,0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24A5C42" w14:textId="17C674DC"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600,0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9C2494A" w14:textId="337DD099" w:rsidR="006551DB" w:rsidRPr="00C2587D" w:rsidRDefault="006551DB" w:rsidP="006551DB">
            <w:pPr>
              <w:ind w:left="113" w:right="113"/>
              <w:jc w:val="center"/>
              <w:rPr>
                <w:rFonts w:ascii="Times New Roman" w:hAnsi="Times New Roman"/>
                <w:sz w:val="20"/>
                <w:szCs w:val="20"/>
              </w:rPr>
            </w:pPr>
            <w:r w:rsidRPr="00C2587D">
              <w:rPr>
                <w:rFonts w:ascii="Times New Roman" w:eastAsia="Arial" w:hAnsi="Times New Roman"/>
                <w:sz w:val="20"/>
                <w:szCs w:val="20"/>
                <w:lang w:eastAsia="en-US"/>
              </w:rPr>
              <w:t>600,0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1D82525C" w14:textId="7CB84BA7"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B9E48EC" w14:textId="453B5036"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26053BB" w14:textId="0F80FBEA"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4793081" w14:textId="624D00BE"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846C391" w14:textId="3F2276D4"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7DC97181" w14:textId="28357BE2"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4146E48" w14:textId="26DE50EA"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ED782EC" w14:textId="39D2E33F"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CC64523" w14:textId="6A64B13D"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D5752C3" w14:textId="33F06AB2"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7A0EF733" w14:textId="2939F9F8" w:rsidR="006551DB" w:rsidRPr="00C2587D" w:rsidRDefault="006551DB" w:rsidP="006551DB">
            <w:pPr>
              <w:ind w:left="113" w:right="113"/>
              <w:jc w:val="center"/>
              <w:rPr>
                <w:rFonts w:ascii="Times New Roman" w:hAnsi="Times New Roman"/>
                <w:b/>
                <w:sz w:val="20"/>
                <w:szCs w:val="20"/>
              </w:rPr>
            </w:pPr>
            <w:r w:rsidRPr="00C2587D">
              <w:rPr>
                <w:rFonts w:ascii="Times New Roman" w:eastAsia="Arial" w:hAnsi="Times New Roman"/>
                <w:b/>
                <w:sz w:val="20"/>
                <w:szCs w:val="20"/>
                <w:lang w:eastAsia="en-US"/>
              </w:rPr>
              <w:t>1 800,0</w:t>
            </w:r>
          </w:p>
        </w:tc>
      </w:tr>
      <w:tr w:rsidR="006551DB" w:rsidRPr="00C2587D" w14:paraId="6994C5B6" w14:textId="77777777" w:rsidTr="00A041B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5C78435A" w14:textId="50B34CA2" w:rsidR="006551DB" w:rsidRPr="00C2587D" w:rsidRDefault="00E36BE5" w:rsidP="006551DB">
            <w:pPr>
              <w:rPr>
                <w:rFonts w:ascii="Times New Roman" w:eastAsia="Arial" w:hAnsi="Times New Roman"/>
                <w:sz w:val="20"/>
                <w:szCs w:val="20"/>
                <w:lang w:eastAsia="en-US"/>
              </w:rPr>
            </w:pPr>
            <w:r w:rsidRPr="00C2587D">
              <w:rPr>
                <w:rFonts w:ascii="Times New Roman" w:eastAsia="Arial" w:hAnsi="Times New Roman"/>
                <w:sz w:val="20"/>
                <w:szCs w:val="20"/>
                <w:lang w:eastAsia="en-US"/>
              </w:rPr>
              <w:lastRenderedPageBreak/>
              <w:t>5</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0CBCBE79" w14:textId="588F385F" w:rsidR="006551DB" w:rsidRPr="00C2587D" w:rsidRDefault="006551DB" w:rsidP="006551DB">
            <w:pPr>
              <w:rPr>
                <w:rFonts w:ascii="Times New Roman" w:eastAsia="Arial" w:hAnsi="Times New Roman"/>
                <w:sz w:val="20"/>
                <w:szCs w:val="20"/>
                <w:lang w:eastAsia="en-US"/>
              </w:rPr>
            </w:pPr>
            <w:r w:rsidRPr="00C2587D">
              <w:rPr>
                <w:rFonts w:ascii="Times New Roman" w:hAnsi="Times New Roman"/>
                <w:sz w:val="20"/>
                <w:szCs w:val="20"/>
              </w:rPr>
              <w:t>Комплексна оборонно-правоохоронної програми Жмеринської міської територіальної громади на 2026-2030 роки (проєкт)</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FE3D537" w14:textId="097266C9" w:rsidR="006551DB" w:rsidRPr="00C2587D" w:rsidRDefault="006551DB" w:rsidP="006551DB">
            <w:pPr>
              <w:ind w:left="113" w:right="113"/>
              <w:jc w:val="center"/>
              <w:rPr>
                <w:rFonts w:ascii="Times New Roman" w:hAnsi="Times New Roman"/>
                <w:b/>
                <w:sz w:val="20"/>
                <w:szCs w:val="20"/>
              </w:rPr>
            </w:pPr>
            <w:r w:rsidRPr="00C2587D">
              <w:rPr>
                <w:rFonts w:ascii="Times New Roman" w:eastAsia="Arial" w:hAnsi="Times New Roman"/>
                <w:b/>
                <w:sz w:val="20"/>
                <w:szCs w:val="20"/>
                <w:lang w:eastAsia="en-US"/>
              </w:rPr>
              <w:t>75 000,0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22776DBB" w14:textId="04DDF16F"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75000,0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AB9751A" w14:textId="5183DC95"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7CE3BF1" w14:textId="4AB20EE1"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25000,0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DDE49B1" w14:textId="2BF1A3E8"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25000,0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3BDED88" w14:textId="7029D0C6" w:rsidR="006551DB" w:rsidRPr="00C2587D" w:rsidRDefault="006551DB" w:rsidP="006551DB">
            <w:pPr>
              <w:ind w:left="113" w:right="113"/>
              <w:jc w:val="center"/>
              <w:rPr>
                <w:rFonts w:ascii="Times New Roman" w:hAnsi="Times New Roman"/>
                <w:sz w:val="20"/>
                <w:szCs w:val="20"/>
              </w:rPr>
            </w:pPr>
            <w:r w:rsidRPr="00C2587D">
              <w:rPr>
                <w:rFonts w:ascii="Times New Roman" w:eastAsia="Arial" w:hAnsi="Times New Roman"/>
                <w:sz w:val="20"/>
                <w:szCs w:val="20"/>
                <w:lang w:eastAsia="en-US"/>
              </w:rPr>
              <w:t>25000,0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184E5945" w14:textId="0F3B1F70"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0C35DE6" w14:textId="6A31C78E"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1F5EC04" w14:textId="12C17173"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26C166B" w14:textId="2229FA9B"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7A4CCDB" w14:textId="3F7FDE21"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1853BA10" w14:textId="27797F51"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F15BCBF" w14:textId="7B160C68"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FF6C96C" w14:textId="17E6E4A6"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99A0C81" w14:textId="0FDE7951"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5DE634A" w14:textId="64E0D710"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7F93F116" w14:textId="20A77B53" w:rsidR="006551DB" w:rsidRPr="00C2587D" w:rsidRDefault="006551DB" w:rsidP="006551DB">
            <w:pPr>
              <w:ind w:left="113" w:right="113"/>
              <w:jc w:val="center"/>
              <w:rPr>
                <w:rFonts w:ascii="Times New Roman" w:hAnsi="Times New Roman"/>
                <w:b/>
                <w:sz w:val="20"/>
                <w:szCs w:val="20"/>
              </w:rPr>
            </w:pPr>
            <w:r w:rsidRPr="00C2587D">
              <w:rPr>
                <w:rFonts w:ascii="Times New Roman" w:eastAsia="Arial" w:hAnsi="Times New Roman"/>
                <w:b/>
                <w:sz w:val="20"/>
                <w:szCs w:val="20"/>
                <w:lang w:eastAsia="en-US"/>
              </w:rPr>
              <w:t>75 000,0</w:t>
            </w:r>
          </w:p>
        </w:tc>
      </w:tr>
      <w:tr w:rsidR="006551DB" w:rsidRPr="00C2587D" w14:paraId="150011F7" w14:textId="77777777" w:rsidTr="00A041B2">
        <w:trPr>
          <w:cantSplit/>
          <w:trHeight w:val="416"/>
        </w:trPr>
        <w:tc>
          <w:tcPr>
            <w:tcW w:w="15175" w:type="dxa"/>
            <w:gridSpan w:val="19"/>
            <w:tcBorders>
              <w:top w:val="single" w:sz="4" w:space="0" w:color="auto"/>
              <w:left w:val="single" w:sz="4" w:space="0" w:color="auto"/>
              <w:bottom w:val="single" w:sz="4" w:space="0" w:color="auto"/>
            </w:tcBorders>
            <w:shd w:val="clear" w:color="auto" w:fill="auto"/>
            <w:vAlign w:val="center"/>
          </w:tcPr>
          <w:p w14:paraId="7DD2A490" w14:textId="7ED54FBF" w:rsidR="006551DB" w:rsidRPr="00C2587D" w:rsidRDefault="006551DB" w:rsidP="00EF5B62">
            <w:pPr>
              <w:ind w:left="113" w:right="113"/>
              <w:jc w:val="center"/>
              <w:rPr>
                <w:rFonts w:ascii="Times New Roman" w:hAnsi="Times New Roman"/>
                <w:b/>
                <w:sz w:val="20"/>
                <w:szCs w:val="20"/>
              </w:rPr>
            </w:pPr>
            <w:r w:rsidRPr="00C2587D">
              <w:rPr>
                <w:rFonts w:ascii="Times New Roman" w:hAnsi="Times New Roman"/>
                <w:b/>
                <w:sz w:val="20"/>
                <w:szCs w:val="20"/>
              </w:rPr>
              <w:t>Проєкти місцевого (регіонального) розвитку</w:t>
            </w:r>
          </w:p>
        </w:tc>
      </w:tr>
      <w:tr w:rsidR="00057807" w:rsidRPr="00C2587D" w14:paraId="1B226532" w14:textId="77777777" w:rsidTr="00FF28D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2D5B8A2C" w14:textId="6D5480CB" w:rsidR="00057807" w:rsidRPr="00EF5B62" w:rsidRDefault="00E36BE5" w:rsidP="00057807">
            <w:pPr>
              <w:rPr>
                <w:rFonts w:ascii="Times New Roman" w:eastAsia="Arial" w:hAnsi="Times New Roman"/>
                <w:sz w:val="20"/>
                <w:szCs w:val="20"/>
                <w:highlight w:val="yellow"/>
              </w:rPr>
            </w:pPr>
            <w:r w:rsidRPr="00FF28D2">
              <w:rPr>
                <w:rFonts w:ascii="Times New Roman" w:eastAsia="Arial" w:hAnsi="Times New Roman"/>
                <w:sz w:val="20"/>
                <w:szCs w:val="20"/>
                <w:lang w:eastAsia="en-US"/>
              </w:rPr>
              <w:t>1</w:t>
            </w:r>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tcPr>
          <w:p w14:paraId="2BD08F41" w14:textId="3234F6E1" w:rsidR="00057807" w:rsidRPr="00C2587D" w:rsidRDefault="00057807" w:rsidP="00FF28D2">
            <w:pPr>
              <w:rPr>
                <w:rFonts w:ascii="Times New Roman" w:hAnsi="Times New Roman"/>
                <w:sz w:val="20"/>
                <w:szCs w:val="20"/>
              </w:rPr>
            </w:pPr>
            <w:r w:rsidRPr="00C2587D">
              <w:rPr>
                <w:rFonts w:ascii="Times New Roman" w:eastAsia="Arial" w:hAnsi="Times New Roman"/>
                <w:sz w:val="20"/>
                <w:szCs w:val="20"/>
                <w:lang w:eastAsia="en-US"/>
              </w:rPr>
              <w:t>Встановлення сучасних  автобусних зупинок</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B147F36" w14:textId="34EFF280" w:rsidR="00057807" w:rsidRPr="00C2587D" w:rsidRDefault="00057807" w:rsidP="00057807">
            <w:pPr>
              <w:ind w:left="113" w:right="113"/>
              <w:jc w:val="center"/>
              <w:rPr>
                <w:rFonts w:ascii="Times New Roman" w:hAnsi="Times New Roman"/>
                <w:b/>
                <w:color w:val="000000"/>
                <w:sz w:val="20"/>
                <w:szCs w:val="20"/>
                <w:lang w:eastAsia="it-IT"/>
              </w:rPr>
            </w:pPr>
            <w:r w:rsidRPr="00C2587D">
              <w:rPr>
                <w:rFonts w:ascii="Times New Roman" w:eastAsia="Arial" w:hAnsi="Times New Roman"/>
                <w:b/>
                <w:sz w:val="20"/>
                <w:szCs w:val="20"/>
                <w:lang w:eastAsia="en-US"/>
              </w:rPr>
              <w:t>500,0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5C612936" w14:textId="7436ED64" w:rsidR="00057807" w:rsidRPr="00C2587D" w:rsidRDefault="00057807" w:rsidP="00057807">
            <w:pPr>
              <w:ind w:left="113" w:right="113"/>
              <w:jc w:val="center"/>
              <w:rPr>
                <w:rFonts w:ascii="Times New Roman" w:hAnsi="Times New Roman"/>
                <w:color w:val="000000"/>
                <w:sz w:val="20"/>
                <w:szCs w:val="20"/>
                <w:lang w:eastAsia="it-IT"/>
              </w:rPr>
            </w:pPr>
            <w:r w:rsidRPr="00C2587D">
              <w:rPr>
                <w:rFonts w:ascii="Times New Roman" w:eastAsia="Arial" w:hAnsi="Times New Roman"/>
                <w:sz w:val="20"/>
                <w:szCs w:val="20"/>
                <w:lang w:eastAsia="en-US"/>
              </w:rPr>
              <w:t>250,0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676DA5B" w14:textId="7A3E0DCF" w:rsidR="00057807" w:rsidRPr="00C2587D" w:rsidRDefault="00057807" w:rsidP="00057807">
            <w:pPr>
              <w:ind w:left="113" w:right="113"/>
              <w:jc w:val="center"/>
              <w:rPr>
                <w:rFonts w:ascii="Times New Roman" w:eastAsia="Arial" w:hAnsi="Times New Roman"/>
                <w:sz w:val="20"/>
                <w:szCs w:val="20"/>
              </w:rPr>
            </w:pPr>
            <w:r w:rsidRPr="00C2587D">
              <w:rPr>
                <w:rFonts w:ascii="Times New Roman" w:eastAsia="Arial" w:hAnsi="Times New Roman"/>
                <w:sz w:val="20"/>
                <w:szCs w:val="20"/>
                <w:lang w:eastAsia="en-US"/>
              </w:rPr>
              <w:t>250,0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8A39173" w14:textId="39A4C166" w:rsidR="00057807" w:rsidRPr="00C2587D" w:rsidRDefault="00057807" w:rsidP="00057807">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60FD20D" w14:textId="009C41FF" w:rsidR="00057807" w:rsidRPr="00C2587D" w:rsidRDefault="00057807" w:rsidP="00057807">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7FA1E6F" w14:textId="059C823F" w:rsidR="00057807" w:rsidRPr="00C2587D" w:rsidRDefault="00057807" w:rsidP="00057807">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216E3668" w14:textId="603D5D9D" w:rsidR="00057807" w:rsidRPr="00C2587D" w:rsidRDefault="00057807" w:rsidP="00057807">
            <w:pPr>
              <w:ind w:left="113" w:right="113"/>
              <w:jc w:val="center"/>
              <w:rPr>
                <w:rFonts w:ascii="Times New Roman" w:eastAsia="Arial" w:hAnsi="Times New Roman"/>
                <w:sz w:val="20"/>
                <w:szCs w:val="20"/>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C2A0275" w14:textId="2D3D3440" w:rsidR="00057807" w:rsidRPr="00C2587D" w:rsidRDefault="00057807" w:rsidP="00057807">
            <w:pPr>
              <w:ind w:left="113" w:right="113"/>
              <w:jc w:val="center"/>
              <w:rPr>
                <w:rFonts w:ascii="Times New Roman" w:eastAsia="Arial" w:hAnsi="Times New Roman"/>
                <w:sz w:val="20"/>
                <w:szCs w:val="20"/>
              </w:rPr>
            </w:pPr>
            <w:r w:rsidRPr="00C2587D">
              <w:rPr>
                <w:rFonts w:ascii="Times New Roman" w:eastAsia="Arial" w:hAnsi="Times New Roman"/>
                <w:sz w:val="20"/>
                <w:szCs w:val="20"/>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2AD11B5" w14:textId="200A382B" w:rsidR="00057807" w:rsidRPr="00C2587D" w:rsidRDefault="00057807" w:rsidP="00057807">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48D0002" w14:textId="431996F2" w:rsidR="00057807" w:rsidRPr="00C2587D" w:rsidRDefault="00057807" w:rsidP="00057807">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046097F" w14:textId="47C0AD23" w:rsidR="00057807" w:rsidRPr="00C2587D" w:rsidRDefault="00057807" w:rsidP="00057807">
            <w:pPr>
              <w:ind w:left="113" w:right="113"/>
              <w:jc w:val="center"/>
              <w:rPr>
                <w:rFonts w:ascii="Times New Roman" w:hAnsi="Times New Roman"/>
                <w:sz w:val="20"/>
                <w:szCs w:val="20"/>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19E70C87" w14:textId="45BEEEC8" w:rsidR="00057807" w:rsidRPr="00C2587D" w:rsidRDefault="00057807" w:rsidP="00057807">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250,0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FD86425" w14:textId="48DB4B0B" w:rsidR="00057807" w:rsidRPr="00C2587D" w:rsidRDefault="00057807" w:rsidP="00057807">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250,0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B86C420" w14:textId="1FDABD6A" w:rsidR="00057807" w:rsidRPr="00C2587D" w:rsidRDefault="00057807" w:rsidP="00057807">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C1EE621" w14:textId="25A14BE0" w:rsidR="00057807" w:rsidRPr="00C2587D" w:rsidRDefault="00057807" w:rsidP="00057807">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86F460D" w14:textId="37E884FA" w:rsidR="00057807" w:rsidRPr="00C2587D" w:rsidRDefault="00057807" w:rsidP="00057807">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2FDF0DD5" w14:textId="6E4231ED" w:rsidR="00057807" w:rsidRPr="00C2587D" w:rsidRDefault="00057807" w:rsidP="00057807">
            <w:pPr>
              <w:ind w:left="113" w:right="113"/>
              <w:jc w:val="center"/>
              <w:rPr>
                <w:rFonts w:ascii="Times New Roman" w:hAnsi="Times New Roman"/>
                <w:b/>
                <w:color w:val="000000"/>
                <w:sz w:val="20"/>
                <w:szCs w:val="20"/>
                <w:lang w:eastAsia="it-IT"/>
              </w:rPr>
            </w:pPr>
            <w:r w:rsidRPr="00C2587D">
              <w:rPr>
                <w:rFonts w:ascii="Times New Roman" w:eastAsia="Arial" w:hAnsi="Times New Roman"/>
                <w:b/>
                <w:sz w:val="20"/>
                <w:szCs w:val="20"/>
                <w:lang w:eastAsia="en-US"/>
              </w:rPr>
              <w:t>500,0</w:t>
            </w:r>
          </w:p>
        </w:tc>
      </w:tr>
      <w:tr w:rsidR="00057807" w:rsidRPr="00C2587D" w14:paraId="7F36BC3D" w14:textId="77777777" w:rsidTr="00A041B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tcPr>
          <w:p w14:paraId="0EC58CFA" w14:textId="245E6A49" w:rsidR="00057807" w:rsidRPr="00C2587D" w:rsidRDefault="00E36BE5" w:rsidP="00057807">
            <w:pPr>
              <w:rPr>
                <w:rFonts w:ascii="Times New Roman" w:eastAsia="Arial" w:hAnsi="Times New Roman"/>
                <w:sz w:val="20"/>
                <w:szCs w:val="20"/>
              </w:rPr>
            </w:pPr>
            <w:r w:rsidRPr="00C2587D">
              <w:rPr>
                <w:rFonts w:ascii="Times New Roman" w:eastAsia="Arial" w:hAnsi="Times New Roman"/>
                <w:sz w:val="20"/>
                <w:szCs w:val="20"/>
                <w:lang w:eastAsia="en-US"/>
              </w:rPr>
              <w:t>2</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4BBE064C" w14:textId="2AE0D1E7" w:rsidR="00057807" w:rsidRPr="00C2587D" w:rsidRDefault="00057807" w:rsidP="00057807">
            <w:pPr>
              <w:rPr>
                <w:rFonts w:ascii="Times New Roman" w:hAnsi="Times New Roman"/>
                <w:sz w:val="20"/>
                <w:szCs w:val="20"/>
              </w:rPr>
            </w:pPr>
            <w:r w:rsidRPr="00C2587D">
              <w:rPr>
                <w:rFonts w:ascii="Times New Roman" w:hAnsi="Times New Roman"/>
                <w:sz w:val="20"/>
                <w:szCs w:val="20"/>
                <w:lang w:eastAsia="it-IT"/>
              </w:rPr>
              <w:t>Вдосконалення системи муніципального енергоменеджменту, запровадження енергомоніторингу фахова освіта та підготовка енергоменеджерів. Розробка та впровадження Муніципального енергетичного плану.</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4046348" w14:textId="0DE1484A" w:rsidR="00057807" w:rsidRPr="00C2587D" w:rsidRDefault="00057807" w:rsidP="00057807">
            <w:pPr>
              <w:ind w:left="113" w:right="113"/>
              <w:jc w:val="center"/>
              <w:rPr>
                <w:rFonts w:ascii="Times New Roman" w:hAnsi="Times New Roman"/>
                <w:b/>
                <w:color w:val="000000"/>
                <w:sz w:val="20"/>
                <w:szCs w:val="20"/>
                <w:lang w:eastAsia="it-IT"/>
              </w:rPr>
            </w:pPr>
            <w:r w:rsidRPr="00C2587D">
              <w:rPr>
                <w:rFonts w:ascii="Times New Roman" w:eastAsia="Arial" w:hAnsi="Times New Roman"/>
                <w:b/>
                <w:sz w:val="20"/>
                <w:szCs w:val="20"/>
                <w:lang w:eastAsia="en-US"/>
              </w:rPr>
              <w:t>320.0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47619A8C" w14:textId="169EE94C" w:rsidR="00057807" w:rsidRPr="00C2587D" w:rsidRDefault="00057807" w:rsidP="00057807">
            <w:pPr>
              <w:ind w:left="113" w:right="113"/>
              <w:jc w:val="center"/>
              <w:rPr>
                <w:rFonts w:ascii="Times New Roman" w:hAnsi="Times New Roman"/>
                <w:color w:val="000000"/>
                <w:sz w:val="20"/>
                <w:szCs w:val="20"/>
                <w:lang w:eastAsia="it-IT"/>
              </w:rPr>
            </w:pPr>
            <w:r w:rsidRPr="00C2587D">
              <w:rPr>
                <w:rFonts w:ascii="Times New Roman" w:eastAsia="Arial" w:hAnsi="Times New Roman"/>
                <w:sz w:val="20"/>
                <w:szCs w:val="20"/>
                <w:lang w:eastAsia="en-US"/>
              </w:rPr>
              <w:t>320,0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672BB17" w14:textId="77777777" w:rsidR="00057807" w:rsidRPr="00C2587D" w:rsidRDefault="00057807" w:rsidP="00057807">
            <w:pPr>
              <w:ind w:left="113" w:right="113"/>
              <w:jc w:val="center"/>
              <w:rPr>
                <w:rFonts w:ascii="Times New Roman" w:eastAsia="Arial" w:hAnsi="Times New Roman"/>
                <w:sz w:val="20"/>
                <w:szCs w:val="20"/>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A8006BE" w14:textId="6968B4BD" w:rsidR="00057807" w:rsidRPr="00C2587D" w:rsidRDefault="00057807" w:rsidP="00057807">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C8F995E" w14:textId="70EAB656" w:rsidR="00057807" w:rsidRPr="00C2587D" w:rsidRDefault="00057807" w:rsidP="00057807">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BFB65D1" w14:textId="7761EEDC" w:rsidR="00057807" w:rsidRPr="00C2587D" w:rsidRDefault="00057807" w:rsidP="00057807">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120,0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067DE563" w14:textId="77777777" w:rsidR="00057807" w:rsidRPr="00C2587D" w:rsidRDefault="00057807" w:rsidP="00057807">
            <w:pPr>
              <w:ind w:left="113" w:right="113"/>
              <w:jc w:val="center"/>
              <w:rPr>
                <w:rFonts w:ascii="Times New Roman" w:eastAsia="Arial"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6D5AE01" w14:textId="77777777" w:rsidR="00057807" w:rsidRPr="00C2587D" w:rsidRDefault="00057807" w:rsidP="00057807">
            <w:pPr>
              <w:ind w:left="113" w:right="113"/>
              <w:jc w:val="center"/>
              <w:rPr>
                <w:rFonts w:ascii="Times New Roman" w:eastAsia="Arial" w:hAnsi="Times New Roman"/>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E812830" w14:textId="77777777" w:rsidR="00057807" w:rsidRPr="00C2587D" w:rsidRDefault="00057807" w:rsidP="00057807">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BEFB2BE" w14:textId="77777777" w:rsidR="00057807" w:rsidRPr="00C2587D" w:rsidRDefault="00057807" w:rsidP="00057807">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5A92639" w14:textId="77777777" w:rsidR="00057807" w:rsidRPr="00C2587D" w:rsidRDefault="00057807" w:rsidP="00057807">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252C34A5" w14:textId="77777777" w:rsidR="00057807" w:rsidRPr="00C2587D" w:rsidRDefault="00057807" w:rsidP="00057807">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BEC72E9" w14:textId="77777777" w:rsidR="00057807" w:rsidRPr="00C2587D" w:rsidRDefault="00057807" w:rsidP="00057807">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9012DBC" w14:textId="77777777" w:rsidR="00057807" w:rsidRPr="00C2587D" w:rsidRDefault="00057807" w:rsidP="00057807">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D445E03" w14:textId="77777777" w:rsidR="00057807" w:rsidRPr="00C2587D" w:rsidRDefault="00057807" w:rsidP="00057807">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2D77554" w14:textId="77777777" w:rsidR="00057807" w:rsidRPr="00C2587D" w:rsidRDefault="00057807" w:rsidP="00057807">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0EBCE1FF" w14:textId="0315643D" w:rsidR="00057807" w:rsidRPr="00C2587D" w:rsidRDefault="00057807" w:rsidP="00057807">
            <w:pPr>
              <w:ind w:left="113" w:right="113"/>
              <w:jc w:val="center"/>
              <w:rPr>
                <w:rFonts w:ascii="Times New Roman" w:hAnsi="Times New Roman"/>
                <w:b/>
                <w:color w:val="000000"/>
                <w:sz w:val="20"/>
                <w:szCs w:val="20"/>
                <w:lang w:eastAsia="it-IT"/>
              </w:rPr>
            </w:pPr>
            <w:r w:rsidRPr="00C2587D">
              <w:rPr>
                <w:rFonts w:ascii="Times New Roman" w:eastAsia="Arial" w:hAnsi="Times New Roman"/>
                <w:b/>
                <w:sz w:val="20"/>
                <w:szCs w:val="20"/>
                <w:lang w:eastAsia="en-US"/>
              </w:rPr>
              <w:t>320,0</w:t>
            </w:r>
          </w:p>
        </w:tc>
      </w:tr>
      <w:tr w:rsidR="00057807" w:rsidRPr="00C2587D" w14:paraId="616299E3" w14:textId="77777777" w:rsidTr="00A041B2">
        <w:trPr>
          <w:cantSplit/>
          <w:trHeight w:val="803"/>
        </w:trPr>
        <w:tc>
          <w:tcPr>
            <w:tcW w:w="531" w:type="dxa"/>
            <w:tcBorders>
              <w:top w:val="single" w:sz="4" w:space="0" w:color="auto"/>
              <w:left w:val="single" w:sz="4" w:space="0" w:color="auto"/>
              <w:bottom w:val="single" w:sz="4" w:space="0" w:color="auto"/>
              <w:right w:val="single" w:sz="4" w:space="0" w:color="auto"/>
            </w:tcBorders>
            <w:shd w:val="clear" w:color="auto" w:fill="auto"/>
          </w:tcPr>
          <w:p w14:paraId="740093BF" w14:textId="523B214F" w:rsidR="00057807" w:rsidRPr="00C2587D" w:rsidRDefault="00E36BE5" w:rsidP="00057807">
            <w:pPr>
              <w:rPr>
                <w:rFonts w:ascii="Times New Roman" w:eastAsia="Arial" w:hAnsi="Times New Roman"/>
                <w:sz w:val="20"/>
                <w:szCs w:val="20"/>
              </w:rPr>
            </w:pPr>
            <w:r w:rsidRPr="00C2587D">
              <w:rPr>
                <w:rFonts w:ascii="Times New Roman" w:eastAsia="Arial" w:hAnsi="Times New Roman"/>
                <w:sz w:val="20"/>
                <w:szCs w:val="20"/>
                <w:lang w:eastAsia="en-US"/>
              </w:rPr>
              <w:t>3</w:t>
            </w:r>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tcPr>
          <w:p w14:paraId="553100F8" w14:textId="0189EA4F" w:rsidR="00057807" w:rsidRPr="00C2587D" w:rsidRDefault="00057807" w:rsidP="00EF5B62">
            <w:pPr>
              <w:rPr>
                <w:rFonts w:ascii="Times New Roman" w:hAnsi="Times New Roman"/>
                <w:sz w:val="20"/>
                <w:szCs w:val="20"/>
              </w:rPr>
            </w:pPr>
            <w:r w:rsidRPr="00C2587D">
              <w:rPr>
                <w:rFonts w:ascii="Times New Roman" w:hAnsi="Times New Roman"/>
                <w:sz w:val="20"/>
                <w:szCs w:val="20"/>
                <w:lang w:eastAsia="it-IT"/>
              </w:rPr>
              <w:t>Проведення у громаді Днів сталої енергії</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3FF0A3A" w14:textId="22EE885B" w:rsidR="00057807" w:rsidRPr="00C2587D" w:rsidRDefault="00057807" w:rsidP="00057807">
            <w:pPr>
              <w:ind w:left="113" w:right="113"/>
              <w:jc w:val="center"/>
              <w:rPr>
                <w:rFonts w:ascii="Times New Roman" w:hAnsi="Times New Roman"/>
                <w:b/>
                <w:color w:val="000000"/>
                <w:sz w:val="20"/>
                <w:szCs w:val="20"/>
                <w:lang w:eastAsia="it-IT"/>
              </w:rPr>
            </w:pPr>
            <w:r w:rsidRPr="00C2587D">
              <w:rPr>
                <w:rFonts w:ascii="Times New Roman" w:eastAsia="Arial" w:hAnsi="Times New Roman"/>
                <w:b/>
                <w:sz w:val="20"/>
                <w:szCs w:val="20"/>
                <w:lang w:eastAsia="en-US"/>
              </w:rPr>
              <w:t>300,0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7A382EA1" w14:textId="33F1D29E" w:rsidR="00057807" w:rsidRPr="00C2587D" w:rsidRDefault="00057807" w:rsidP="00057807">
            <w:pPr>
              <w:ind w:left="113" w:right="113"/>
              <w:jc w:val="center"/>
              <w:rPr>
                <w:rFonts w:ascii="Times New Roman" w:hAnsi="Times New Roman"/>
                <w:color w:val="000000"/>
                <w:sz w:val="20"/>
                <w:szCs w:val="20"/>
                <w:lang w:eastAsia="it-IT"/>
              </w:rPr>
            </w:pPr>
            <w:r w:rsidRPr="00C2587D">
              <w:rPr>
                <w:rFonts w:ascii="Times New Roman" w:eastAsia="Arial" w:hAnsi="Times New Roman"/>
                <w:sz w:val="20"/>
                <w:szCs w:val="20"/>
                <w:lang w:eastAsia="en-US"/>
              </w:rPr>
              <w:t>150,0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861D557" w14:textId="77777777" w:rsidR="00057807" w:rsidRPr="00C2587D" w:rsidRDefault="00057807" w:rsidP="00057807">
            <w:pPr>
              <w:ind w:left="113" w:right="113"/>
              <w:jc w:val="center"/>
              <w:rPr>
                <w:rFonts w:ascii="Times New Roman" w:eastAsia="Arial" w:hAnsi="Times New Roman"/>
                <w:sz w:val="20"/>
                <w:szCs w:val="20"/>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C425860" w14:textId="5F29C848" w:rsidR="00057807" w:rsidRPr="00C2587D" w:rsidRDefault="00057807" w:rsidP="00057807">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84538AF" w14:textId="60F56249" w:rsidR="00057807" w:rsidRPr="00C2587D" w:rsidRDefault="00057807" w:rsidP="00057807">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29C7B4C" w14:textId="40C870DF" w:rsidR="00057807" w:rsidRPr="00C2587D" w:rsidRDefault="00057807" w:rsidP="00057807">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50,0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7832F7C2" w14:textId="77777777" w:rsidR="00057807" w:rsidRPr="00C2587D" w:rsidRDefault="00057807" w:rsidP="00057807">
            <w:pPr>
              <w:ind w:left="113" w:right="113"/>
              <w:jc w:val="center"/>
              <w:rPr>
                <w:rFonts w:ascii="Times New Roman" w:eastAsia="Arial"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657D612" w14:textId="77777777" w:rsidR="00057807" w:rsidRPr="00C2587D" w:rsidRDefault="00057807" w:rsidP="00057807">
            <w:pPr>
              <w:ind w:left="113" w:right="113"/>
              <w:jc w:val="center"/>
              <w:rPr>
                <w:rFonts w:ascii="Times New Roman" w:eastAsia="Arial" w:hAnsi="Times New Roman"/>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2BC4F7A" w14:textId="77777777" w:rsidR="00057807" w:rsidRPr="00C2587D" w:rsidRDefault="00057807" w:rsidP="00057807">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D41B41F" w14:textId="77777777" w:rsidR="00057807" w:rsidRPr="00C2587D" w:rsidRDefault="00057807" w:rsidP="00057807">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CA7B09A" w14:textId="77777777" w:rsidR="00057807" w:rsidRPr="00C2587D" w:rsidRDefault="00057807" w:rsidP="00057807">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382EDC47" w14:textId="649EF97F" w:rsidR="00057807" w:rsidRPr="00C2587D" w:rsidRDefault="00057807" w:rsidP="00057807">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150,0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8C5604D" w14:textId="77777777" w:rsidR="00057807" w:rsidRPr="00C2587D" w:rsidRDefault="00057807" w:rsidP="00057807">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70C5DA9" w14:textId="41D658D9" w:rsidR="00057807" w:rsidRPr="00C2587D" w:rsidRDefault="00057807" w:rsidP="00057807">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50,0</w:t>
            </w: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072079E" w14:textId="571B6342" w:rsidR="00057807" w:rsidRPr="00C2587D" w:rsidRDefault="00057807" w:rsidP="00057807">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50,0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19B0F76" w14:textId="50BBC06E" w:rsidR="00057807" w:rsidRPr="00C2587D" w:rsidRDefault="00057807" w:rsidP="00057807">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50,0</w:t>
            </w: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64AD249D" w14:textId="4DD2138D" w:rsidR="00057807" w:rsidRPr="00C2587D" w:rsidRDefault="00057807" w:rsidP="00057807">
            <w:pPr>
              <w:ind w:left="113" w:right="113"/>
              <w:jc w:val="center"/>
              <w:rPr>
                <w:rFonts w:ascii="Times New Roman" w:hAnsi="Times New Roman"/>
                <w:b/>
                <w:color w:val="000000"/>
                <w:sz w:val="20"/>
                <w:szCs w:val="20"/>
                <w:lang w:eastAsia="it-IT"/>
              </w:rPr>
            </w:pPr>
            <w:r w:rsidRPr="00C2587D">
              <w:rPr>
                <w:rFonts w:ascii="Times New Roman" w:eastAsia="Arial" w:hAnsi="Times New Roman"/>
                <w:b/>
                <w:sz w:val="20"/>
                <w:szCs w:val="20"/>
                <w:lang w:eastAsia="en-US"/>
              </w:rPr>
              <w:t>300,0</w:t>
            </w:r>
          </w:p>
        </w:tc>
      </w:tr>
      <w:tr w:rsidR="00057807" w:rsidRPr="00C2587D" w14:paraId="1713E89D" w14:textId="77777777" w:rsidTr="00FF28D2">
        <w:trPr>
          <w:cantSplit/>
          <w:trHeight w:val="850"/>
        </w:trPr>
        <w:tc>
          <w:tcPr>
            <w:tcW w:w="531" w:type="dxa"/>
            <w:tcBorders>
              <w:top w:val="single" w:sz="4" w:space="0" w:color="auto"/>
              <w:left w:val="single" w:sz="4" w:space="0" w:color="auto"/>
              <w:bottom w:val="single" w:sz="4" w:space="0" w:color="auto"/>
              <w:right w:val="single" w:sz="4" w:space="0" w:color="auto"/>
            </w:tcBorders>
            <w:shd w:val="clear" w:color="auto" w:fill="auto"/>
          </w:tcPr>
          <w:p w14:paraId="6FF6BB92" w14:textId="76BDD960" w:rsidR="00057807" w:rsidRPr="00C2587D" w:rsidRDefault="00E36BE5" w:rsidP="00057807">
            <w:pPr>
              <w:rPr>
                <w:rFonts w:ascii="Times New Roman" w:eastAsia="Arial" w:hAnsi="Times New Roman"/>
                <w:sz w:val="20"/>
                <w:szCs w:val="20"/>
              </w:rPr>
            </w:pPr>
            <w:r w:rsidRPr="00C2587D">
              <w:rPr>
                <w:rFonts w:ascii="Times New Roman" w:eastAsia="Arial" w:hAnsi="Times New Roman"/>
                <w:sz w:val="20"/>
                <w:szCs w:val="20"/>
                <w:lang w:eastAsia="en-US"/>
              </w:rPr>
              <w:t>4</w:t>
            </w:r>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tcPr>
          <w:p w14:paraId="6786BEA2" w14:textId="62929B1C" w:rsidR="00057807" w:rsidRPr="00C2587D" w:rsidRDefault="00057807" w:rsidP="00FF28D2">
            <w:pPr>
              <w:rPr>
                <w:rFonts w:ascii="Times New Roman" w:hAnsi="Times New Roman"/>
                <w:sz w:val="20"/>
                <w:szCs w:val="20"/>
              </w:rPr>
            </w:pPr>
            <w:r w:rsidRPr="00C2587D">
              <w:rPr>
                <w:rFonts w:ascii="Times New Roman" w:hAnsi="Times New Roman"/>
                <w:sz w:val="20"/>
                <w:szCs w:val="20"/>
                <w:lang w:eastAsia="it-IT"/>
              </w:rPr>
              <w:t>Встановлення гібридної СЕС  в   КНП «Жмеринська ЦРЛ»</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74C2A96" w14:textId="2D556A86" w:rsidR="00057807" w:rsidRPr="00C2587D" w:rsidRDefault="00057807" w:rsidP="00057807">
            <w:pPr>
              <w:ind w:left="113" w:right="113"/>
              <w:jc w:val="center"/>
              <w:rPr>
                <w:rFonts w:ascii="Times New Roman" w:hAnsi="Times New Roman"/>
                <w:b/>
                <w:color w:val="000000"/>
                <w:sz w:val="20"/>
                <w:szCs w:val="20"/>
                <w:lang w:eastAsia="it-IT"/>
              </w:rPr>
            </w:pPr>
            <w:r w:rsidRPr="00C2587D">
              <w:rPr>
                <w:rFonts w:ascii="Times New Roman" w:eastAsia="Arial" w:hAnsi="Times New Roman"/>
                <w:b/>
                <w:sz w:val="20"/>
                <w:szCs w:val="20"/>
                <w:lang w:eastAsia="en-US"/>
              </w:rPr>
              <w:t>6842,0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000A9F40" w14:textId="77777777" w:rsidR="00057807" w:rsidRPr="00C2587D" w:rsidRDefault="00057807" w:rsidP="00057807">
            <w:pPr>
              <w:ind w:left="113" w:right="113"/>
              <w:jc w:val="center"/>
              <w:rPr>
                <w:rFonts w:ascii="Times New Roman" w:hAnsi="Times New Roman"/>
                <w:color w:val="000000"/>
                <w:sz w:val="20"/>
                <w:szCs w:val="20"/>
                <w:lang w:eastAsia="it-IT"/>
              </w:rPr>
            </w:pP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28C1D2A" w14:textId="40E458FE" w:rsidR="00057807" w:rsidRPr="00C2587D" w:rsidRDefault="00057807" w:rsidP="00057807">
            <w:pPr>
              <w:ind w:left="113" w:right="113"/>
              <w:jc w:val="center"/>
              <w:rPr>
                <w:rFonts w:ascii="Times New Roman" w:eastAsia="Arial" w:hAnsi="Times New Roman"/>
                <w:sz w:val="20"/>
                <w:szCs w:val="20"/>
              </w:rPr>
            </w:pPr>
            <w:r w:rsidRPr="00C2587D">
              <w:rPr>
                <w:rFonts w:ascii="Times New Roman" w:eastAsia="Arial" w:hAnsi="Times New Roman"/>
                <w:sz w:val="20"/>
                <w:szCs w:val="20"/>
                <w:lang w:eastAsia="en-US"/>
              </w:rPr>
              <w:t>150,0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4478F9A" w14:textId="1336D89A" w:rsidR="00057807" w:rsidRPr="00C2587D" w:rsidRDefault="00057807" w:rsidP="00057807">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6692,0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85CE908" w14:textId="77777777" w:rsidR="00057807" w:rsidRPr="00C2587D" w:rsidRDefault="00057807" w:rsidP="00057807">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F648277" w14:textId="77777777" w:rsidR="00057807" w:rsidRPr="00C2587D" w:rsidRDefault="00057807" w:rsidP="00057807">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7DEDEFA9" w14:textId="77777777" w:rsidR="00057807" w:rsidRPr="00C2587D" w:rsidRDefault="00057807" w:rsidP="00057807">
            <w:pPr>
              <w:ind w:left="113" w:right="113"/>
              <w:jc w:val="center"/>
              <w:rPr>
                <w:rFonts w:ascii="Times New Roman" w:eastAsia="Arial"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C101DE8" w14:textId="77777777" w:rsidR="00057807" w:rsidRPr="00C2587D" w:rsidRDefault="00057807" w:rsidP="00057807">
            <w:pPr>
              <w:ind w:left="113" w:right="113"/>
              <w:jc w:val="center"/>
              <w:rPr>
                <w:rFonts w:ascii="Times New Roman" w:eastAsia="Arial" w:hAnsi="Times New Roman"/>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1581C56" w14:textId="77777777" w:rsidR="00057807" w:rsidRPr="00C2587D" w:rsidRDefault="00057807" w:rsidP="00057807">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C43B48F" w14:textId="77777777" w:rsidR="00057807" w:rsidRPr="00C2587D" w:rsidRDefault="00057807" w:rsidP="00057807">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C7296F6" w14:textId="77777777" w:rsidR="00057807" w:rsidRPr="00C2587D" w:rsidRDefault="00057807" w:rsidP="00057807">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13162583" w14:textId="77777777" w:rsidR="00057807" w:rsidRPr="00C2587D" w:rsidRDefault="00057807" w:rsidP="00057807">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3A9CEFB" w14:textId="77777777" w:rsidR="00057807" w:rsidRPr="00C2587D" w:rsidRDefault="00057807" w:rsidP="00057807">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4765C75" w14:textId="77777777" w:rsidR="00057807" w:rsidRPr="00C2587D" w:rsidRDefault="00057807" w:rsidP="00057807">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BC5D636" w14:textId="77777777" w:rsidR="00057807" w:rsidRPr="00C2587D" w:rsidRDefault="00057807" w:rsidP="00057807">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FB7AA10" w14:textId="77777777" w:rsidR="00057807" w:rsidRPr="00C2587D" w:rsidRDefault="00057807" w:rsidP="00057807">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3403F67D" w14:textId="3A2034A2" w:rsidR="00057807" w:rsidRPr="00C2587D" w:rsidRDefault="00057807" w:rsidP="00057807">
            <w:pPr>
              <w:ind w:left="113" w:right="113"/>
              <w:jc w:val="center"/>
              <w:rPr>
                <w:rFonts w:ascii="Times New Roman" w:hAnsi="Times New Roman"/>
                <w:b/>
                <w:color w:val="000000"/>
                <w:sz w:val="20"/>
                <w:szCs w:val="20"/>
                <w:lang w:eastAsia="it-IT"/>
              </w:rPr>
            </w:pPr>
            <w:r w:rsidRPr="00C2587D">
              <w:rPr>
                <w:rFonts w:ascii="Times New Roman" w:eastAsia="Arial" w:hAnsi="Times New Roman"/>
                <w:b/>
                <w:sz w:val="20"/>
                <w:szCs w:val="20"/>
                <w:lang w:eastAsia="en-US"/>
              </w:rPr>
              <w:t>6842,0</w:t>
            </w:r>
          </w:p>
        </w:tc>
      </w:tr>
      <w:tr w:rsidR="008B4216" w:rsidRPr="00C2587D" w14:paraId="4A4C053B" w14:textId="77777777" w:rsidTr="00FF28D2">
        <w:trPr>
          <w:cantSplit/>
          <w:trHeight w:val="850"/>
        </w:trPr>
        <w:tc>
          <w:tcPr>
            <w:tcW w:w="531" w:type="dxa"/>
            <w:tcBorders>
              <w:top w:val="single" w:sz="4" w:space="0" w:color="auto"/>
              <w:left w:val="single" w:sz="4" w:space="0" w:color="auto"/>
              <w:bottom w:val="single" w:sz="4" w:space="0" w:color="auto"/>
              <w:right w:val="single" w:sz="4" w:space="0" w:color="auto"/>
            </w:tcBorders>
            <w:shd w:val="clear" w:color="auto" w:fill="auto"/>
            <w:vAlign w:val="center"/>
          </w:tcPr>
          <w:p w14:paraId="66999DA3" w14:textId="235C2824" w:rsidR="008B4216" w:rsidRPr="00C2587D" w:rsidRDefault="008B4216" w:rsidP="00FF28D2">
            <w:pPr>
              <w:rPr>
                <w:rFonts w:ascii="Times New Roman" w:eastAsia="Arial" w:hAnsi="Times New Roman"/>
                <w:sz w:val="20"/>
                <w:szCs w:val="20"/>
                <w:lang w:eastAsia="en-US"/>
              </w:rPr>
            </w:pPr>
            <w:r w:rsidRPr="00C2587D">
              <w:rPr>
                <w:rFonts w:ascii="Times New Roman" w:eastAsia="Arial" w:hAnsi="Times New Roman"/>
                <w:sz w:val="20"/>
                <w:szCs w:val="20"/>
              </w:rPr>
              <w:lastRenderedPageBreak/>
              <w:t>5</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2E4175E5" w14:textId="332CB838" w:rsidR="008B4216" w:rsidRPr="00C2587D" w:rsidRDefault="008B4216" w:rsidP="008B4216">
            <w:pPr>
              <w:rPr>
                <w:rFonts w:ascii="Times New Roman" w:hAnsi="Times New Roman"/>
                <w:sz w:val="20"/>
                <w:szCs w:val="20"/>
                <w:lang w:eastAsia="it-IT"/>
              </w:rPr>
            </w:pPr>
            <w:r w:rsidRPr="00C2587D">
              <w:rPr>
                <w:rFonts w:ascii="Times New Roman" w:hAnsi="Times New Roman"/>
                <w:sz w:val="20"/>
                <w:szCs w:val="20"/>
                <w:shd w:val="clear" w:color="auto" w:fill="FFFFFF"/>
              </w:rPr>
              <w:t>Капітальний ремонт адміністративних будівель (А-ІІІцн та Д-Іцн) та прилеглої території по вул. Училищна, 9 в м. Жмеринка Вінницької області</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0549973" w14:textId="55A4094B" w:rsidR="008B4216" w:rsidRPr="00C2587D" w:rsidRDefault="008B4216" w:rsidP="008B421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36590,9</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688FA0A6" w14:textId="5E6A4657" w:rsidR="008B4216" w:rsidRPr="00C2587D" w:rsidRDefault="00390C4F" w:rsidP="008B4216">
            <w:pPr>
              <w:ind w:left="113" w:right="113"/>
              <w:jc w:val="center"/>
              <w:rPr>
                <w:rFonts w:ascii="Times New Roman" w:hAnsi="Times New Roman"/>
                <w:color w:val="000000"/>
                <w:sz w:val="20"/>
                <w:szCs w:val="20"/>
                <w:lang w:eastAsia="it-IT"/>
              </w:rPr>
            </w:pPr>
            <w:r w:rsidRPr="00C2587D">
              <w:rPr>
                <w:rFonts w:ascii="Times New Roman" w:hAnsi="Times New Roman"/>
                <w:color w:val="000000"/>
                <w:sz w:val="20"/>
                <w:szCs w:val="20"/>
                <w:lang w:eastAsia="it-IT"/>
              </w:rPr>
              <w:t>22190</w:t>
            </w:r>
            <w:r w:rsidR="008B4216" w:rsidRPr="00C2587D">
              <w:rPr>
                <w:rFonts w:ascii="Times New Roman" w:hAnsi="Times New Roman"/>
                <w:color w:val="000000"/>
                <w:sz w:val="20"/>
                <w:szCs w:val="20"/>
                <w:lang w:eastAsia="it-IT"/>
              </w:rPr>
              <w:t>,9</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912F245" w14:textId="1DB961A6" w:rsidR="008B4216" w:rsidRPr="00C2587D" w:rsidRDefault="008B4216" w:rsidP="008B4216">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6E52579" w14:textId="6BE3DD71" w:rsidR="008B4216" w:rsidRPr="00C2587D" w:rsidRDefault="00390C4F" w:rsidP="008B421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22190,9</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FDB55B7" w14:textId="77777777" w:rsidR="008B4216" w:rsidRPr="00C2587D" w:rsidRDefault="008B4216" w:rsidP="008B421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C74479D" w14:textId="77777777" w:rsidR="008B4216" w:rsidRPr="00C2587D" w:rsidRDefault="008B4216" w:rsidP="008B421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23EC2EE0" w14:textId="368B0981" w:rsidR="008B4216" w:rsidRPr="00C2587D" w:rsidRDefault="00390C4F" w:rsidP="008B4216">
            <w:pPr>
              <w:ind w:left="113" w:right="113"/>
              <w:jc w:val="center"/>
              <w:rPr>
                <w:rFonts w:ascii="Times New Roman" w:eastAsia="Arial" w:hAnsi="Times New Roman"/>
                <w:sz w:val="20"/>
                <w:szCs w:val="20"/>
              </w:rPr>
            </w:pPr>
            <w:r w:rsidRPr="00C2587D">
              <w:rPr>
                <w:rFonts w:ascii="Times New Roman" w:eastAsia="Arial" w:hAnsi="Times New Roman"/>
                <w:sz w:val="20"/>
                <w:szCs w:val="20"/>
              </w:rPr>
              <w:t>14400,0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6CEFCE0" w14:textId="77777777" w:rsidR="008B4216" w:rsidRPr="00C2587D" w:rsidRDefault="008B4216" w:rsidP="008B4216">
            <w:pPr>
              <w:ind w:left="113" w:right="113"/>
              <w:jc w:val="center"/>
              <w:rPr>
                <w:rFonts w:ascii="Times New Roman" w:eastAsia="Arial" w:hAnsi="Times New Roman"/>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DC7EB60" w14:textId="1FB32479" w:rsidR="008B4216" w:rsidRPr="00C2587D" w:rsidRDefault="00390C4F" w:rsidP="008B421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14400,0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99D9F16" w14:textId="77777777" w:rsidR="008B4216" w:rsidRPr="00C2587D" w:rsidRDefault="008B4216" w:rsidP="008B421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EECE755" w14:textId="77777777" w:rsidR="008B4216" w:rsidRPr="00C2587D" w:rsidRDefault="008B4216" w:rsidP="008B4216">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117387A4" w14:textId="77777777" w:rsidR="008B4216" w:rsidRPr="00C2587D" w:rsidRDefault="008B4216" w:rsidP="008B421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8275774" w14:textId="77777777" w:rsidR="008B4216" w:rsidRPr="00C2587D" w:rsidRDefault="008B4216" w:rsidP="008B421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852AB72" w14:textId="77777777" w:rsidR="008B4216" w:rsidRPr="00C2587D" w:rsidRDefault="008B4216" w:rsidP="008B421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68817FE" w14:textId="77777777" w:rsidR="008B4216" w:rsidRPr="00C2587D" w:rsidRDefault="008B4216" w:rsidP="008B421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E0D5479" w14:textId="77777777" w:rsidR="008B4216" w:rsidRPr="00C2587D" w:rsidRDefault="008B4216" w:rsidP="008B421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206E80B3" w14:textId="6186A09A" w:rsidR="008B4216" w:rsidRPr="00C2587D" w:rsidRDefault="008B4216" w:rsidP="008B4216">
            <w:pPr>
              <w:ind w:left="113" w:right="113"/>
              <w:jc w:val="center"/>
              <w:rPr>
                <w:rFonts w:ascii="Times New Roman" w:eastAsia="Arial" w:hAnsi="Times New Roman"/>
                <w:b/>
                <w:sz w:val="20"/>
                <w:szCs w:val="20"/>
                <w:lang w:eastAsia="en-US"/>
              </w:rPr>
            </w:pPr>
            <w:r w:rsidRPr="00C2587D">
              <w:rPr>
                <w:rFonts w:ascii="Times New Roman" w:hAnsi="Times New Roman"/>
                <w:b/>
                <w:color w:val="000000"/>
                <w:sz w:val="20"/>
                <w:szCs w:val="20"/>
                <w:lang w:eastAsia="it-IT"/>
              </w:rPr>
              <w:t>36590,9</w:t>
            </w:r>
          </w:p>
        </w:tc>
      </w:tr>
      <w:tr w:rsidR="00416434" w:rsidRPr="00C2587D" w14:paraId="1514E247" w14:textId="77777777" w:rsidTr="00FF28D2">
        <w:trPr>
          <w:cantSplit/>
          <w:trHeight w:val="865"/>
        </w:trPr>
        <w:tc>
          <w:tcPr>
            <w:tcW w:w="531" w:type="dxa"/>
            <w:tcBorders>
              <w:top w:val="single" w:sz="4" w:space="0" w:color="auto"/>
              <w:left w:val="single" w:sz="4" w:space="0" w:color="auto"/>
              <w:bottom w:val="single" w:sz="4" w:space="0" w:color="auto"/>
              <w:right w:val="single" w:sz="4" w:space="0" w:color="auto"/>
            </w:tcBorders>
            <w:shd w:val="clear" w:color="auto" w:fill="auto"/>
            <w:vAlign w:val="center"/>
          </w:tcPr>
          <w:p w14:paraId="61452D19" w14:textId="217CBB61" w:rsidR="00416434" w:rsidRPr="00C2587D" w:rsidRDefault="008B4216" w:rsidP="00FF28D2">
            <w:pPr>
              <w:rPr>
                <w:rFonts w:ascii="Times New Roman" w:eastAsia="Arial" w:hAnsi="Times New Roman"/>
                <w:sz w:val="20"/>
                <w:szCs w:val="20"/>
                <w:lang w:eastAsia="en-US"/>
              </w:rPr>
            </w:pPr>
            <w:r w:rsidRPr="00C2587D">
              <w:rPr>
                <w:rFonts w:ascii="Times New Roman" w:eastAsia="Arial" w:hAnsi="Times New Roman"/>
                <w:sz w:val="20"/>
                <w:szCs w:val="20"/>
                <w:lang w:eastAsia="en-US"/>
              </w:rPr>
              <w:t>6</w:t>
            </w:r>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tcPr>
          <w:p w14:paraId="35E00E65" w14:textId="2F35286B" w:rsidR="00416434" w:rsidRPr="00C2587D" w:rsidRDefault="00416434" w:rsidP="00DE3DCF">
            <w:pPr>
              <w:rPr>
                <w:rFonts w:ascii="Times New Roman" w:hAnsi="Times New Roman"/>
                <w:sz w:val="20"/>
                <w:szCs w:val="20"/>
                <w:lang w:eastAsia="it-IT"/>
              </w:rPr>
            </w:pPr>
            <w:r w:rsidRPr="00C2587D">
              <w:rPr>
                <w:rFonts w:ascii="Times New Roman" w:hAnsi="Times New Roman"/>
                <w:sz w:val="20"/>
                <w:szCs w:val="20"/>
                <w:lang w:eastAsia="it-IT"/>
              </w:rPr>
              <w:t>«Безпечна громада</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F950B43" w14:textId="255C5DF9" w:rsidR="00416434" w:rsidRPr="00C2587D" w:rsidRDefault="00416434" w:rsidP="006551DB">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6666,0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43DDE99F" w14:textId="638DEFC6" w:rsidR="00416434" w:rsidRPr="00C2587D" w:rsidRDefault="00416434"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6666,0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3586256" w14:textId="5734625C" w:rsidR="00416434" w:rsidRPr="00C2587D" w:rsidRDefault="00416434"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1726,0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0C15475" w14:textId="0FAE3EB0" w:rsidR="00416434" w:rsidRPr="00C2587D" w:rsidRDefault="00416434"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1540,0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3D1F6D3" w14:textId="2AA7A28E" w:rsidR="00416434" w:rsidRPr="00C2587D" w:rsidRDefault="00416434"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1700,0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8F6F330" w14:textId="5CCBB720" w:rsidR="00416434" w:rsidRPr="00C2587D" w:rsidRDefault="00416434"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1700,0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14DC6011" w14:textId="77777777" w:rsidR="00416434" w:rsidRPr="00C2587D" w:rsidRDefault="00416434" w:rsidP="006551DB">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55E27AB" w14:textId="77777777" w:rsidR="00416434" w:rsidRPr="00C2587D" w:rsidRDefault="00416434" w:rsidP="006551DB">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824AD80" w14:textId="77777777" w:rsidR="00416434" w:rsidRPr="00C2587D" w:rsidRDefault="00416434" w:rsidP="006551DB">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220F44B" w14:textId="77777777" w:rsidR="00416434" w:rsidRPr="00C2587D" w:rsidRDefault="00416434" w:rsidP="006551DB">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548D78F" w14:textId="77777777" w:rsidR="00416434" w:rsidRPr="00C2587D" w:rsidRDefault="00416434" w:rsidP="006551DB">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76825B84" w14:textId="77777777" w:rsidR="00416434" w:rsidRPr="00C2587D" w:rsidRDefault="00416434" w:rsidP="006551DB">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1FDDD9A" w14:textId="77777777" w:rsidR="00416434" w:rsidRPr="00C2587D" w:rsidRDefault="00416434" w:rsidP="006551DB">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32B2029" w14:textId="77777777" w:rsidR="00416434" w:rsidRPr="00C2587D" w:rsidRDefault="00416434" w:rsidP="006551DB">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87D75C0" w14:textId="77777777" w:rsidR="00416434" w:rsidRPr="00C2587D" w:rsidRDefault="00416434" w:rsidP="006551DB">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01B21B5" w14:textId="77777777" w:rsidR="00416434" w:rsidRPr="00C2587D" w:rsidRDefault="00416434" w:rsidP="006551DB">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5BE90295" w14:textId="0E3D209E" w:rsidR="00416434" w:rsidRPr="00C2587D" w:rsidRDefault="00416434" w:rsidP="006551DB">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66660</w:t>
            </w:r>
          </w:p>
        </w:tc>
      </w:tr>
      <w:tr w:rsidR="006551DB" w:rsidRPr="00C2587D" w14:paraId="5A034EBF" w14:textId="77777777" w:rsidTr="00FF28D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vAlign w:val="center"/>
          </w:tcPr>
          <w:p w14:paraId="3BEE0A5B" w14:textId="69A18739" w:rsidR="006551DB" w:rsidRPr="00C2587D" w:rsidRDefault="008B4216" w:rsidP="00FF28D2">
            <w:pPr>
              <w:rPr>
                <w:rFonts w:ascii="Times New Roman" w:eastAsia="Arial" w:hAnsi="Times New Roman"/>
                <w:sz w:val="20"/>
                <w:szCs w:val="20"/>
              </w:rPr>
            </w:pPr>
            <w:r w:rsidRPr="00C2587D">
              <w:rPr>
                <w:rFonts w:ascii="Times New Roman" w:eastAsia="Arial" w:hAnsi="Times New Roman"/>
                <w:sz w:val="20"/>
                <w:szCs w:val="20"/>
                <w:lang w:eastAsia="en-US"/>
              </w:rPr>
              <w:t>7</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36102066" w14:textId="3F4A4E72" w:rsidR="006551DB" w:rsidRPr="00C2587D" w:rsidRDefault="006551DB" w:rsidP="006551DB">
            <w:pPr>
              <w:rPr>
                <w:rFonts w:ascii="Times New Roman" w:hAnsi="Times New Roman"/>
                <w:sz w:val="20"/>
                <w:szCs w:val="20"/>
              </w:rPr>
            </w:pPr>
            <w:r w:rsidRPr="00C2587D">
              <w:rPr>
                <w:rFonts w:ascii="Times New Roman" w:hAnsi="Times New Roman"/>
                <w:sz w:val="20"/>
                <w:szCs w:val="20"/>
                <w:lang w:eastAsia="it-IT"/>
              </w:rPr>
              <w:t>«Безпечні громади» (обласний конкурс), підтримка сил безпеки й оборони України Жмеринською міською територіальною громадою 2026-2028 роки</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3B7ACA4" w14:textId="20B04781" w:rsidR="006551DB" w:rsidRPr="00C2587D" w:rsidRDefault="006551DB" w:rsidP="006551DB">
            <w:pPr>
              <w:ind w:left="113" w:right="113"/>
              <w:jc w:val="center"/>
              <w:rPr>
                <w:rFonts w:ascii="Times New Roman" w:hAnsi="Times New Roman"/>
                <w:b/>
                <w:color w:val="000000"/>
                <w:sz w:val="20"/>
                <w:szCs w:val="20"/>
                <w:lang w:eastAsia="it-IT"/>
              </w:rPr>
            </w:pPr>
            <w:r w:rsidRPr="00C2587D">
              <w:rPr>
                <w:rFonts w:ascii="Times New Roman" w:eastAsia="Arial" w:hAnsi="Times New Roman"/>
                <w:b/>
                <w:sz w:val="20"/>
                <w:szCs w:val="20"/>
                <w:lang w:eastAsia="en-US"/>
              </w:rPr>
              <w:t>24000,0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5866E346" w14:textId="601B5674" w:rsidR="006551DB" w:rsidRPr="00C2587D" w:rsidRDefault="00390C4F" w:rsidP="006551DB">
            <w:pPr>
              <w:ind w:left="113" w:right="113"/>
              <w:jc w:val="center"/>
              <w:rPr>
                <w:rFonts w:ascii="Times New Roman" w:hAnsi="Times New Roman"/>
                <w:color w:val="000000"/>
                <w:sz w:val="20"/>
                <w:szCs w:val="20"/>
                <w:lang w:eastAsia="it-IT"/>
              </w:rPr>
            </w:pPr>
            <w:r w:rsidRPr="00C2587D">
              <w:rPr>
                <w:rFonts w:ascii="Times New Roman" w:eastAsia="Arial" w:hAnsi="Times New Roman"/>
                <w:sz w:val="20"/>
                <w:szCs w:val="20"/>
                <w:lang w:eastAsia="en-US"/>
              </w:rPr>
              <w:t>18</w:t>
            </w:r>
            <w:r w:rsidR="006551DB" w:rsidRPr="00C2587D">
              <w:rPr>
                <w:rFonts w:ascii="Times New Roman" w:eastAsia="Arial" w:hAnsi="Times New Roman"/>
                <w:sz w:val="20"/>
                <w:szCs w:val="20"/>
                <w:lang w:eastAsia="en-US"/>
              </w:rPr>
              <w:t>000,0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E29CA25" w14:textId="001B52A2" w:rsidR="006551DB" w:rsidRPr="00C2587D" w:rsidRDefault="006551DB" w:rsidP="006551DB">
            <w:pPr>
              <w:ind w:left="113" w:right="113"/>
              <w:jc w:val="center"/>
              <w:rPr>
                <w:rFonts w:ascii="Times New Roman" w:eastAsia="Arial" w:hAnsi="Times New Roman"/>
                <w:sz w:val="20"/>
                <w:szCs w:val="20"/>
              </w:rPr>
            </w:pPr>
            <w:r w:rsidRPr="00C2587D">
              <w:rPr>
                <w:rFonts w:ascii="Times New Roman" w:eastAsia="Arial" w:hAnsi="Times New Roman"/>
                <w:sz w:val="20"/>
                <w:szCs w:val="20"/>
                <w:lang w:eastAsia="en-US"/>
              </w:rPr>
              <w:t>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43CE5DA" w14:textId="20D1407D" w:rsidR="006551DB" w:rsidRPr="00C2587D" w:rsidRDefault="00390C4F"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6</w:t>
            </w:r>
            <w:r w:rsidR="006551DB" w:rsidRPr="00C2587D">
              <w:rPr>
                <w:rFonts w:ascii="Times New Roman" w:eastAsia="Arial" w:hAnsi="Times New Roman"/>
                <w:sz w:val="20"/>
                <w:szCs w:val="20"/>
                <w:lang w:eastAsia="en-US"/>
              </w:rPr>
              <w:t>000,0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F4AB223" w14:textId="2133E3BC" w:rsidR="006551DB" w:rsidRPr="00C2587D" w:rsidRDefault="00390C4F"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6</w:t>
            </w:r>
            <w:r w:rsidR="006551DB" w:rsidRPr="00C2587D">
              <w:rPr>
                <w:rFonts w:ascii="Times New Roman" w:eastAsia="Arial" w:hAnsi="Times New Roman"/>
                <w:sz w:val="20"/>
                <w:szCs w:val="20"/>
                <w:lang w:eastAsia="en-US"/>
              </w:rPr>
              <w:t>000,0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FA0CFAA" w14:textId="477A5B37" w:rsidR="006551DB" w:rsidRPr="00C2587D" w:rsidRDefault="00390C4F"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6</w:t>
            </w:r>
            <w:r w:rsidR="006551DB" w:rsidRPr="00C2587D">
              <w:rPr>
                <w:rFonts w:ascii="Times New Roman" w:eastAsia="Arial" w:hAnsi="Times New Roman"/>
                <w:sz w:val="20"/>
                <w:szCs w:val="20"/>
                <w:lang w:eastAsia="en-US"/>
              </w:rPr>
              <w:t>000,0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574B9CA0" w14:textId="4AAA0765" w:rsidR="006551DB" w:rsidRPr="00C2587D" w:rsidRDefault="006551DB" w:rsidP="006551DB">
            <w:pPr>
              <w:ind w:left="113" w:right="113"/>
              <w:jc w:val="center"/>
              <w:rPr>
                <w:rFonts w:ascii="Times New Roman" w:eastAsia="Arial" w:hAnsi="Times New Roman"/>
                <w:sz w:val="20"/>
                <w:szCs w:val="20"/>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AC48750" w14:textId="77EA996F" w:rsidR="006551DB" w:rsidRPr="00C2587D" w:rsidRDefault="006551DB" w:rsidP="006551DB">
            <w:pPr>
              <w:ind w:left="113" w:right="113"/>
              <w:jc w:val="center"/>
              <w:rPr>
                <w:rFonts w:ascii="Times New Roman" w:eastAsia="Arial" w:hAnsi="Times New Roman"/>
                <w:sz w:val="20"/>
                <w:szCs w:val="20"/>
              </w:rPr>
            </w:pPr>
            <w:r w:rsidRPr="00C2587D">
              <w:rPr>
                <w:rFonts w:ascii="Times New Roman" w:eastAsia="Arial" w:hAnsi="Times New Roman"/>
                <w:sz w:val="20"/>
                <w:szCs w:val="20"/>
                <w:lang w:eastAsia="en-US"/>
              </w:rPr>
              <w:t>0</w:t>
            </w: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087ABBB" w14:textId="7E0D3F2A"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FD3EA17" w14:textId="5D3D3A99"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FC8674B" w14:textId="10FDE1AB" w:rsidR="006551DB" w:rsidRPr="00C2587D" w:rsidRDefault="006551DB" w:rsidP="006551DB">
            <w:pPr>
              <w:ind w:left="113" w:right="113"/>
              <w:jc w:val="center"/>
              <w:rPr>
                <w:rFonts w:ascii="Times New Roman" w:hAnsi="Times New Roman"/>
                <w:sz w:val="20"/>
                <w:szCs w:val="20"/>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262F9A83" w14:textId="6822DF10" w:rsidR="006551DB" w:rsidRPr="00C2587D" w:rsidRDefault="00390C4F"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6000,0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B476D82" w14:textId="4C7E7EA5" w:rsidR="006551DB" w:rsidRPr="00C2587D" w:rsidRDefault="006551DB"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E40C681" w14:textId="13D07B08" w:rsidR="006551DB" w:rsidRPr="00C2587D" w:rsidRDefault="00390C4F"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2000,0</w:t>
            </w:r>
            <w:r w:rsidR="006551DB" w:rsidRPr="00C2587D">
              <w:rPr>
                <w:rFonts w:ascii="Times New Roman" w:eastAsia="Arial" w:hAnsi="Times New Roman"/>
                <w:sz w:val="20"/>
                <w:szCs w:val="20"/>
                <w:lang w:eastAsia="en-US"/>
              </w:rPr>
              <w:t>0</w:t>
            </w: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60C1822" w14:textId="3FB16C6B" w:rsidR="006551DB" w:rsidRPr="00C2587D" w:rsidRDefault="00390C4F"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2000,0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9069EF4" w14:textId="14991858" w:rsidR="006551DB" w:rsidRPr="00C2587D" w:rsidRDefault="00390C4F" w:rsidP="006551DB">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2000,</w:t>
            </w:r>
            <w:r w:rsidR="006551DB" w:rsidRPr="00C2587D">
              <w:rPr>
                <w:rFonts w:ascii="Times New Roman" w:eastAsia="Arial" w:hAnsi="Times New Roman"/>
                <w:sz w:val="20"/>
                <w:szCs w:val="20"/>
                <w:lang w:eastAsia="en-US"/>
              </w:rPr>
              <w:t>0</w:t>
            </w: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4E0CBEDF" w14:textId="0097E511" w:rsidR="006551DB" w:rsidRPr="00C2587D" w:rsidRDefault="006551DB" w:rsidP="006551DB">
            <w:pPr>
              <w:ind w:left="113" w:right="113"/>
              <w:jc w:val="center"/>
              <w:rPr>
                <w:rFonts w:ascii="Times New Roman" w:hAnsi="Times New Roman"/>
                <w:b/>
                <w:color w:val="000000"/>
                <w:sz w:val="20"/>
                <w:szCs w:val="20"/>
                <w:lang w:eastAsia="it-IT"/>
              </w:rPr>
            </w:pPr>
            <w:r w:rsidRPr="00C2587D">
              <w:rPr>
                <w:rFonts w:ascii="Times New Roman" w:eastAsia="Arial" w:hAnsi="Times New Roman"/>
                <w:b/>
                <w:sz w:val="20"/>
                <w:szCs w:val="20"/>
                <w:lang w:eastAsia="en-US"/>
              </w:rPr>
              <w:t>24 000,0</w:t>
            </w:r>
          </w:p>
        </w:tc>
      </w:tr>
      <w:tr w:rsidR="00BC6E24" w:rsidRPr="00C2587D" w14:paraId="4051B84F" w14:textId="77777777" w:rsidTr="00A041B2">
        <w:trPr>
          <w:cantSplit/>
          <w:trHeight w:val="415"/>
        </w:trPr>
        <w:tc>
          <w:tcPr>
            <w:tcW w:w="15175" w:type="dxa"/>
            <w:gridSpan w:val="19"/>
            <w:tcBorders>
              <w:top w:val="single" w:sz="4" w:space="0" w:color="auto"/>
              <w:left w:val="single" w:sz="4" w:space="0" w:color="auto"/>
              <w:bottom w:val="single" w:sz="4" w:space="0" w:color="auto"/>
              <w:right w:val="single" w:sz="4" w:space="0" w:color="auto"/>
            </w:tcBorders>
            <w:shd w:val="clear" w:color="auto" w:fill="auto"/>
            <w:vAlign w:val="center"/>
          </w:tcPr>
          <w:p w14:paraId="5D2A7184" w14:textId="77DAD59A" w:rsidR="00BC6E24" w:rsidRPr="00C2587D" w:rsidRDefault="00BC6E24" w:rsidP="00DE3DCF">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Управління освіти</w:t>
            </w:r>
          </w:p>
        </w:tc>
      </w:tr>
      <w:tr w:rsidR="00BC6E24" w:rsidRPr="00C2587D" w14:paraId="1F888B2D" w14:textId="77777777" w:rsidTr="00FF28D2">
        <w:trPr>
          <w:cantSplit/>
          <w:trHeight w:val="1134"/>
        </w:trPr>
        <w:tc>
          <w:tcPr>
            <w:tcW w:w="531" w:type="dxa"/>
            <w:tcBorders>
              <w:top w:val="nil"/>
              <w:left w:val="single" w:sz="4" w:space="0" w:color="auto"/>
              <w:bottom w:val="single" w:sz="4" w:space="0" w:color="auto"/>
              <w:right w:val="single" w:sz="4" w:space="0" w:color="auto"/>
            </w:tcBorders>
            <w:shd w:val="clear" w:color="auto" w:fill="auto"/>
            <w:vAlign w:val="center"/>
          </w:tcPr>
          <w:p w14:paraId="4BC05E51" w14:textId="512A710C" w:rsidR="00BC6E24" w:rsidRPr="00C2587D" w:rsidRDefault="008B4216" w:rsidP="00FF28D2">
            <w:pPr>
              <w:rPr>
                <w:rFonts w:ascii="Times New Roman" w:eastAsia="Arial" w:hAnsi="Times New Roman"/>
                <w:sz w:val="20"/>
                <w:szCs w:val="20"/>
                <w:lang w:eastAsia="en-US"/>
              </w:rPr>
            </w:pPr>
            <w:r w:rsidRPr="00C2587D">
              <w:rPr>
                <w:rFonts w:ascii="Times New Roman" w:eastAsia="Arial" w:hAnsi="Times New Roman"/>
                <w:sz w:val="20"/>
                <w:szCs w:val="20"/>
                <w:lang w:eastAsia="en-US"/>
              </w:rPr>
              <w:t>1</w:t>
            </w:r>
          </w:p>
        </w:tc>
        <w:tc>
          <w:tcPr>
            <w:tcW w:w="2113" w:type="dxa"/>
            <w:tcBorders>
              <w:top w:val="single" w:sz="4" w:space="0" w:color="auto"/>
              <w:left w:val="nil"/>
              <w:bottom w:val="single" w:sz="4" w:space="0" w:color="auto"/>
              <w:right w:val="single" w:sz="4" w:space="0" w:color="auto"/>
            </w:tcBorders>
            <w:shd w:val="clear" w:color="auto" w:fill="auto"/>
          </w:tcPr>
          <w:p w14:paraId="2DEF17E1" w14:textId="5EA6FFB7" w:rsidR="00BC6E24" w:rsidRPr="00C2587D" w:rsidRDefault="00BC6E24" w:rsidP="00BC6E24">
            <w:pPr>
              <w:rPr>
                <w:rFonts w:ascii="Times New Roman" w:hAnsi="Times New Roman"/>
                <w:sz w:val="20"/>
                <w:szCs w:val="20"/>
                <w:lang w:eastAsia="it-IT"/>
              </w:rPr>
            </w:pPr>
            <w:r w:rsidRPr="00C2587D">
              <w:rPr>
                <w:rFonts w:ascii="Times New Roman" w:hAnsi="Times New Roman"/>
                <w:sz w:val="20"/>
                <w:szCs w:val="20"/>
              </w:rPr>
              <w:t>Капітальний ремонт (термомодернізація) будівлі комунального</w:t>
            </w:r>
            <w:r w:rsidRPr="00C2587D">
              <w:rPr>
                <w:rFonts w:ascii="Times New Roman" w:hAnsi="Times New Roman"/>
                <w:sz w:val="20"/>
                <w:szCs w:val="20"/>
              </w:rPr>
              <w:br/>
              <w:t>Закладу «Жмеринський ліцей №6»</w:t>
            </w:r>
          </w:p>
        </w:tc>
        <w:tc>
          <w:tcPr>
            <w:tcW w:w="737" w:type="dxa"/>
            <w:tcBorders>
              <w:top w:val="nil"/>
              <w:left w:val="nil"/>
              <w:bottom w:val="single" w:sz="4" w:space="0" w:color="auto"/>
              <w:right w:val="single" w:sz="4" w:space="0" w:color="auto"/>
            </w:tcBorders>
            <w:shd w:val="clear" w:color="auto" w:fill="auto"/>
            <w:textDirection w:val="btLr"/>
            <w:vAlign w:val="center"/>
          </w:tcPr>
          <w:p w14:paraId="4873CD08" w14:textId="47ACFC80" w:rsidR="00BC6E24" w:rsidRPr="00C2587D" w:rsidRDefault="00BC6E24" w:rsidP="00BC6E24">
            <w:pPr>
              <w:ind w:left="113" w:right="113"/>
              <w:jc w:val="center"/>
              <w:rPr>
                <w:rFonts w:ascii="Times New Roman" w:eastAsia="Arial" w:hAnsi="Times New Roman"/>
                <w:b/>
                <w:sz w:val="20"/>
                <w:szCs w:val="20"/>
                <w:lang w:eastAsia="en-US"/>
              </w:rPr>
            </w:pPr>
            <w:r w:rsidRPr="00C2587D">
              <w:rPr>
                <w:rFonts w:ascii="Times New Roman" w:hAnsi="Times New Roman"/>
                <w:b/>
                <w:sz w:val="20"/>
                <w:szCs w:val="20"/>
              </w:rPr>
              <w:t>60000,00</w:t>
            </w:r>
          </w:p>
        </w:tc>
        <w:tc>
          <w:tcPr>
            <w:tcW w:w="850" w:type="dxa"/>
            <w:tcBorders>
              <w:top w:val="nil"/>
              <w:left w:val="nil"/>
              <w:bottom w:val="single" w:sz="4" w:space="0" w:color="auto"/>
              <w:right w:val="single" w:sz="4" w:space="0" w:color="auto"/>
            </w:tcBorders>
            <w:shd w:val="clear" w:color="000000" w:fill="F8CBAD"/>
            <w:textDirection w:val="btLr"/>
            <w:vAlign w:val="center"/>
          </w:tcPr>
          <w:p w14:paraId="1D8D91E3" w14:textId="525F9F5A" w:rsidR="00BC6E24" w:rsidRPr="00C2587D" w:rsidRDefault="00BC6E24" w:rsidP="00BC6E24">
            <w:pPr>
              <w:ind w:left="113" w:right="113"/>
              <w:jc w:val="center"/>
              <w:rPr>
                <w:rFonts w:ascii="Times New Roman" w:eastAsia="Arial" w:hAnsi="Times New Roman"/>
                <w:sz w:val="20"/>
                <w:szCs w:val="20"/>
                <w:lang w:eastAsia="en-US"/>
              </w:rPr>
            </w:pPr>
            <w:r w:rsidRPr="00C2587D">
              <w:rPr>
                <w:rFonts w:ascii="Times New Roman" w:hAnsi="Times New Roman"/>
                <w:sz w:val="20"/>
                <w:szCs w:val="20"/>
              </w:rPr>
              <w:t>12000,00</w:t>
            </w:r>
          </w:p>
        </w:tc>
        <w:tc>
          <w:tcPr>
            <w:tcW w:w="992" w:type="dxa"/>
            <w:tcBorders>
              <w:top w:val="single" w:sz="4" w:space="0" w:color="auto"/>
              <w:left w:val="nil"/>
              <w:bottom w:val="single" w:sz="4" w:space="0" w:color="auto"/>
              <w:right w:val="single" w:sz="4" w:space="0" w:color="auto"/>
            </w:tcBorders>
            <w:shd w:val="clear" w:color="auto" w:fill="auto"/>
            <w:textDirection w:val="btLr"/>
            <w:vAlign w:val="center"/>
          </w:tcPr>
          <w:p w14:paraId="5B226D1B" w14:textId="77777777" w:rsidR="00BC6E24" w:rsidRPr="00C2587D" w:rsidRDefault="00BC6E24" w:rsidP="00BC6E24">
            <w:pPr>
              <w:ind w:left="113" w:right="113"/>
              <w:jc w:val="center"/>
              <w:rPr>
                <w:rFonts w:ascii="Times New Roman" w:eastAsia="Arial" w:hAnsi="Times New Roman"/>
                <w:sz w:val="20"/>
                <w:szCs w:val="20"/>
                <w:lang w:eastAsia="en-US"/>
              </w:rPr>
            </w:pPr>
          </w:p>
        </w:tc>
        <w:tc>
          <w:tcPr>
            <w:tcW w:w="851" w:type="dxa"/>
            <w:tcBorders>
              <w:top w:val="nil"/>
              <w:left w:val="nil"/>
              <w:bottom w:val="single" w:sz="4" w:space="0" w:color="auto"/>
              <w:right w:val="single" w:sz="4" w:space="0" w:color="auto"/>
            </w:tcBorders>
            <w:shd w:val="clear" w:color="auto" w:fill="auto"/>
            <w:textDirection w:val="btLr"/>
            <w:vAlign w:val="center"/>
          </w:tcPr>
          <w:p w14:paraId="52C09520" w14:textId="77777777" w:rsidR="00BC6E24" w:rsidRPr="00C2587D" w:rsidRDefault="00BC6E24" w:rsidP="00BC6E24">
            <w:pPr>
              <w:ind w:left="113" w:right="113"/>
              <w:jc w:val="center"/>
              <w:rPr>
                <w:rFonts w:ascii="Times New Roman" w:eastAsia="Arial" w:hAnsi="Times New Roman"/>
                <w:sz w:val="20"/>
                <w:szCs w:val="20"/>
                <w:lang w:eastAsia="en-US"/>
              </w:rPr>
            </w:pPr>
          </w:p>
        </w:tc>
        <w:tc>
          <w:tcPr>
            <w:tcW w:w="850" w:type="dxa"/>
            <w:tcBorders>
              <w:top w:val="nil"/>
              <w:left w:val="nil"/>
              <w:bottom w:val="single" w:sz="4" w:space="0" w:color="auto"/>
              <w:right w:val="single" w:sz="4" w:space="0" w:color="auto"/>
            </w:tcBorders>
            <w:shd w:val="clear" w:color="auto" w:fill="auto"/>
            <w:textDirection w:val="btLr"/>
            <w:vAlign w:val="center"/>
          </w:tcPr>
          <w:p w14:paraId="4125D12E" w14:textId="39712C44" w:rsidR="00BC6E24" w:rsidRPr="00C2587D" w:rsidRDefault="00BC6E24" w:rsidP="00BC6E24">
            <w:pPr>
              <w:ind w:left="113" w:right="113"/>
              <w:jc w:val="center"/>
              <w:rPr>
                <w:rFonts w:ascii="Times New Roman" w:eastAsia="Arial" w:hAnsi="Times New Roman"/>
                <w:sz w:val="20"/>
                <w:szCs w:val="20"/>
                <w:lang w:eastAsia="en-US"/>
              </w:rPr>
            </w:pPr>
            <w:r w:rsidRPr="00C2587D">
              <w:rPr>
                <w:rFonts w:ascii="Times New Roman" w:hAnsi="Times New Roman"/>
                <w:sz w:val="20"/>
                <w:szCs w:val="20"/>
              </w:rPr>
              <w:t>6000,00</w:t>
            </w:r>
          </w:p>
        </w:tc>
        <w:tc>
          <w:tcPr>
            <w:tcW w:w="709" w:type="dxa"/>
            <w:tcBorders>
              <w:top w:val="nil"/>
              <w:left w:val="nil"/>
              <w:bottom w:val="single" w:sz="4" w:space="0" w:color="auto"/>
              <w:right w:val="single" w:sz="4" w:space="0" w:color="auto"/>
            </w:tcBorders>
            <w:shd w:val="clear" w:color="auto" w:fill="auto"/>
            <w:textDirection w:val="btLr"/>
            <w:vAlign w:val="center"/>
          </w:tcPr>
          <w:p w14:paraId="62D6A268" w14:textId="45BC0E1C" w:rsidR="00BC6E24" w:rsidRPr="00C2587D" w:rsidRDefault="00BC6E24" w:rsidP="00BC6E24">
            <w:pPr>
              <w:ind w:left="113" w:right="113"/>
              <w:jc w:val="center"/>
              <w:rPr>
                <w:rFonts w:ascii="Times New Roman" w:eastAsia="Arial" w:hAnsi="Times New Roman"/>
                <w:sz w:val="20"/>
                <w:szCs w:val="20"/>
                <w:lang w:eastAsia="en-US"/>
              </w:rPr>
            </w:pPr>
            <w:r w:rsidRPr="00C2587D">
              <w:rPr>
                <w:rFonts w:ascii="Times New Roman" w:hAnsi="Times New Roman"/>
                <w:sz w:val="20"/>
                <w:szCs w:val="20"/>
              </w:rPr>
              <w:t>6000,00</w:t>
            </w:r>
          </w:p>
        </w:tc>
        <w:tc>
          <w:tcPr>
            <w:tcW w:w="709" w:type="dxa"/>
            <w:tcBorders>
              <w:top w:val="nil"/>
              <w:left w:val="nil"/>
              <w:bottom w:val="single" w:sz="4" w:space="0" w:color="auto"/>
              <w:right w:val="single" w:sz="4" w:space="0" w:color="auto"/>
            </w:tcBorders>
            <w:shd w:val="clear" w:color="000000" w:fill="C6E0B4"/>
            <w:textDirection w:val="btLr"/>
            <w:vAlign w:val="center"/>
          </w:tcPr>
          <w:p w14:paraId="5F2161AC" w14:textId="5A76271B" w:rsidR="00BC6E24" w:rsidRPr="00C2587D" w:rsidRDefault="00BC6E24" w:rsidP="00BC6E24">
            <w:pPr>
              <w:ind w:left="113" w:right="113"/>
              <w:jc w:val="center"/>
              <w:rPr>
                <w:rFonts w:ascii="Times New Roman" w:eastAsia="Arial" w:hAnsi="Times New Roman"/>
                <w:sz w:val="20"/>
                <w:szCs w:val="20"/>
                <w:lang w:eastAsia="en-US"/>
              </w:rPr>
            </w:pPr>
            <w:r w:rsidRPr="00C2587D">
              <w:rPr>
                <w:rFonts w:ascii="Times New Roman" w:hAnsi="Times New Roman"/>
                <w:sz w:val="20"/>
                <w:szCs w:val="20"/>
              </w:rPr>
              <w:t>0,00</w:t>
            </w:r>
          </w:p>
        </w:tc>
        <w:tc>
          <w:tcPr>
            <w:tcW w:w="709" w:type="dxa"/>
            <w:tcBorders>
              <w:top w:val="nil"/>
              <w:left w:val="nil"/>
              <w:bottom w:val="single" w:sz="4" w:space="0" w:color="auto"/>
              <w:right w:val="single" w:sz="4" w:space="0" w:color="auto"/>
            </w:tcBorders>
            <w:shd w:val="clear" w:color="auto" w:fill="auto"/>
            <w:textDirection w:val="btLr"/>
            <w:vAlign w:val="center"/>
          </w:tcPr>
          <w:p w14:paraId="1EACE0EC" w14:textId="77777777" w:rsidR="00BC6E24" w:rsidRPr="00C2587D" w:rsidRDefault="00BC6E24" w:rsidP="00BC6E24">
            <w:pPr>
              <w:ind w:left="113" w:right="113"/>
              <w:jc w:val="center"/>
              <w:rPr>
                <w:rFonts w:ascii="Times New Roman" w:eastAsia="Arial" w:hAnsi="Times New Roman"/>
                <w:sz w:val="20"/>
                <w:szCs w:val="20"/>
                <w:lang w:eastAsia="en-US"/>
              </w:rPr>
            </w:pPr>
          </w:p>
        </w:tc>
        <w:tc>
          <w:tcPr>
            <w:tcW w:w="708" w:type="dxa"/>
            <w:tcBorders>
              <w:top w:val="nil"/>
              <w:left w:val="nil"/>
              <w:bottom w:val="single" w:sz="4" w:space="0" w:color="auto"/>
              <w:right w:val="single" w:sz="4" w:space="0" w:color="auto"/>
            </w:tcBorders>
            <w:shd w:val="clear" w:color="auto" w:fill="auto"/>
            <w:textDirection w:val="btLr"/>
            <w:vAlign w:val="center"/>
          </w:tcPr>
          <w:p w14:paraId="693D849D" w14:textId="77777777" w:rsidR="00BC6E24" w:rsidRPr="00C2587D" w:rsidRDefault="00BC6E24" w:rsidP="00BC6E24">
            <w:pPr>
              <w:ind w:left="113" w:right="113"/>
              <w:jc w:val="center"/>
              <w:rPr>
                <w:rFonts w:ascii="Times New Roman" w:eastAsia="Arial" w:hAnsi="Times New Roman"/>
                <w:sz w:val="20"/>
                <w:szCs w:val="20"/>
                <w:lang w:eastAsia="en-US"/>
              </w:rPr>
            </w:pPr>
          </w:p>
        </w:tc>
        <w:tc>
          <w:tcPr>
            <w:tcW w:w="709" w:type="dxa"/>
            <w:tcBorders>
              <w:top w:val="nil"/>
              <w:left w:val="nil"/>
              <w:bottom w:val="single" w:sz="4" w:space="0" w:color="auto"/>
              <w:right w:val="single" w:sz="4" w:space="0" w:color="auto"/>
            </w:tcBorders>
            <w:shd w:val="clear" w:color="auto" w:fill="auto"/>
            <w:textDirection w:val="btLr"/>
            <w:vAlign w:val="center"/>
          </w:tcPr>
          <w:p w14:paraId="781574CA" w14:textId="77777777" w:rsidR="00BC6E24" w:rsidRPr="00C2587D" w:rsidRDefault="00BC6E24" w:rsidP="00BC6E24">
            <w:pPr>
              <w:ind w:left="113" w:right="113"/>
              <w:jc w:val="center"/>
              <w:rPr>
                <w:rFonts w:ascii="Times New Roman" w:eastAsia="Arial" w:hAnsi="Times New Roman"/>
                <w:sz w:val="20"/>
                <w:szCs w:val="20"/>
                <w:lang w:eastAsia="en-US"/>
              </w:rPr>
            </w:pPr>
          </w:p>
        </w:tc>
        <w:tc>
          <w:tcPr>
            <w:tcW w:w="709" w:type="dxa"/>
            <w:tcBorders>
              <w:top w:val="nil"/>
              <w:left w:val="nil"/>
              <w:bottom w:val="single" w:sz="4" w:space="0" w:color="auto"/>
              <w:right w:val="single" w:sz="4" w:space="0" w:color="auto"/>
            </w:tcBorders>
            <w:shd w:val="clear" w:color="auto" w:fill="auto"/>
            <w:textDirection w:val="btLr"/>
            <w:vAlign w:val="center"/>
          </w:tcPr>
          <w:p w14:paraId="6A2E6FF4" w14:textId="77777777" w:rsidR="00BC6E24" w:rsidRPr="00C2587D" w:rsidRDefault="00BC6E24" w:rsidP="00BC6E24">
            <w:pPr>
              <w:ind w:left="113" w:right="113"/>
              <w:jc w:val="center"/>
              <w:rPr>
                <w:rFonts w:ascii="Times New Roman" w:eastAsia="Arial" w:hAnsi="Times New Roman"/>
                <w:sz w:val="20"/>
                <w:szCs w:val="20"/>
                <w:lang w:eastAsia="en-US"/>
              </w:rPr>
            </w:pPr>
          </w:p>
        </w:tc>
        <w:tc>
          <w:tcPr>
            <w:tcW w:w="567" w:type="dxa"/>
            <w:tcBorders>
              <w:top w:val="nil"/>
              <w:left w:val="nil"/>
              <w:bottom w:val="single" w:sz="4" w:space="0" w:color="auto"/>
              <w:right w:val="single" w:sz="4" w:space="0" w:color="auto"/>
            </w:tcBorders>
            <w:shd w:val="clear" w:color="000000" w:fill="D6DCE4"/>
            <w:textDirection w:val="btLr"/>
            <w:vAlign w:val="center"/>
          </w:tcPr>
          <w:p w14:paraId="1289C62D" w14:textId="01C715F9" w:rsidR="00BC6E24" w:rsidRPr="00C2587D" w:rsidRDefault="00BC6E24" w:rsidP="00BC6E24">
            <w:pPr>
              <w:ind w:left="113" w:right="113"/>
              <w:jc w:val="center"/>
              <w:rPr>
                <w:rFonts w:ascii="Times New Roman" w:eastAsia="Arial" w:hAnsi="Times New Roman"/>
                <w:sz w:val="20"/>
                <w:szCs w:val="20"/>
                <w:lang w:eastAsia="en-US"/>
              </w:rPr>
            </w:pPr>
            <w:r w:rsidRPr="00C2587D">
              <w:rPr>
                <w:rFonts w:ascii="Times New Roman" w:hAnsi="Times New Roman"/>
                <w:sz w:val="20"/>
                <w:szCs w:val="20"/>
              </w:rPr>
              <w:t>48000,00</w:t>
            </w:r>
          </w:p>
        </w:tc>
        <w:tc>
          <w:tcPr>
            <w:tcW w:w="567" w:type="dxa"/>
            <w:tcBorders>
              <w:top w:val="nil"/>
              <w:left w:val="nil"/>
              <w:bottom w:val="single" w:sz="4" w:space="0" w:color="auto"/>
              <w:right w:val="single" w:sz="4" w:space="0" w:color="auto"/>
            </w:tcBorders>
            <w:shd w:val="clear" w:color="auto" w:fill="auto"/>
            <w:textDirection w:val="btLr"/>
            <w:vAlign w:val="center"/>
          </w:tcPr>
          <w:p w14:paraId="4A845A5A" w14:textId="77777777" w:rsidR="00BC6E24" w:rsidRPr="00C2587D" w:rsidRDefault="00BC6E24" w:rsidP="00BC6E24">
            <w:pPr>
              <w:ind w:left="113" w:right="113"/>
              <w:jc w:val="center"/>
              <w:rPr>
                <w:rFonts w:ascii="Times New Roman" w:eastAsia="Arial" w:hAnsi="Times New Roman"/>
                <w:sz w:val="20"/>
                <w:szCs w:val="20"/>
                <w:lang w:eastAsia="en-US"/>
              </w:rPr>
            </w:pPr>
          </w:p>
        </w:tc>
        <w:tc>
          <w:tcPr>
            <w:tcW w:w="567" w:type="dxa"/>
            <w:tcBorders>
              <w:top w:val="nil"/>
              <w:left w:val="nil"/>
              <w:bottom w:val="single" w:sz="4" w:space="0" w:color="auto"/>
              <w:right w:val="single" w:sz="4" w:space="0" w:color="auto"/>
            </w:tcBorders>
            <w:shd w:val="clear" w:color="auto" w:fill="auto"/>
            <w:textDirection w:val="btLr"/>
          </w:tcPr>
          <w:p w14:paraId="528B1CC4" w14:textId="4DA298CB" w:rsidR="00BC6E24" w:rsidRPr="00C2587D" w:rsidRDefault="00BC6E24" w:rsidP="00BC6E24">
            <w:pPr>
              <w:ind w:left="113" w:right="113"/>
              <w:jc w:val="center"/>
              <w:rPr>
                <w:rFonts w:ascii="Times New Roman" w:eastAsia="Arial" w:hAnsi="Times New Roman"/>
                <w:sz w:val="20"/>
                <w:szCs w:val="20"/>
                <w:lang w:eastAsia="en-US"/>
              </w:rPr>
            </w:pPr>
            <w:r w:rsidRPr="00C2587D">
              <w:rPr>
                <w:rFonts w:ascii="Times New Roman" w:hAnsi="Times New Roman"/>
                <w:sz w:val="20"/>
                <w:szCs w:val="20"/>
              </w:rPr>
              <w:t> </w:t>
            </w:r>
          </w:p>
        </w:tc>
        <w:tc>
          <w:tcPr>
            <w:tcW w:w="624" w:type="dxa"/>
            <w:tcBorders>
              <w:top w:val="nil"/>
              <w:left w:val="nil"/>
              <w:bottom w:val="single" w:sz="4" w:space="0" w:color="auto"/>
              <w:right w:val="single" w:sz="4" w:space="0" w:color="auto"/>
            </w:tcBorders>
            <w:shd w:val="clear" w:color="auto" w:fill="auto"/>
            <w:textDirection w:val="btLr"/>
          </w:tcPr>
          <w:p w14:paraId="3DDB5E86" w14:textId="71CC8B72" w:rsidR="00BC6E24" w:rsidRPr="00C2587D" w:rsidRDefault="00BC6E24" w:rsidP="00BC6E24">
            <w:pPr>
              <w:ind w:left="113" w:right="113"/>
              <w:jc w:val="center"/>
              <w:rPr>
                <w:rFonts w:ascii="Times New Roman" w:eastAsia="Arial" w:hAnsi="Times New Roman"/>
                <w:sz w:val="20"/>
                <w:szCs w:val="20"/>
                <w:lang w:eastAsia="en-US"/>
              </w:rPr>
            </w:pPr>
            <w:r w:rsidRPr="00C2587D">
              <w:rPr>
                <w:rFonts w:ascii="Times New Roman" w:hAnsi="Times New Roman"/>
                <w:sz w:val="20"/>
                <w:szCs w:val="20"/>
              </w:rPr>
              <w:t>24000,00</w:t>
            </w:r>
          </w:p>
        </w:tc>
        <w:tc>
          <w:tcPr>
            <w:tcW w:w="567" w:type="dxa"/>
            <w:tcBorders>
              <w:top w:val="nil"/>
              <w:left w:val="nil"/>
              <w:bottom w:val="single" w:sz="4" w:space="0" w:color="auto"/>
              <w:right w:val="single" w:sz="4" w:space="0" w:color="auto"/>
            </w:tcBorders>
            <w:shd w:val="clear" w:color="auto" w:fill="auto"/>
            <w:textDirection w:val="btLr"/>
          </w:tcPr>
          <w:p w14:paraId="23C613EC" w14:textId="4F0E943E" w:rsidR="00BC6E24" w:rsidRPr="00C2587D" w:rsidRDefault="00BC6E24" w:rsidP="00BC6E24">
            <w:pPr>
              <w:ind w:left="113" w:right="113"/>
              <w:jc w:val="center"/>
              <w:rPr>
                <w:rFonts w:ascii="Times New Roman" w:eastAsia="Arial" w:hAnsi="Times New Roman"/>
                <w:sz w:val="20"/>
                <w:szCs w:val="20"/>
                <w:lang w:eastAsia="en-US"/>
              </w:rPr>
            </w:pPr>
            <w:r w:rsidRPr="00C2587D">
              <w:rPr>
                <w:rFonts w:ascii="Times New Roman" w:hAnsi="Times New Roman"/>
                <w:sz w:val="20"/>
                <w:szCs w:val="20"/>
              </w:rPr>
              <w:t>24000,00</w:t>
            </w:r>
          </w:p>
        </w:tc>
        <w:tc>
          <w:tcPr>
            <w:tcW w:w="1106" w:type="dxa"/>
            <w:tcBorders>
              <w:top w:val="nil"/>
              <w:left w:val="nil"/>
              <w:bottom w:val="single" w:sz="4" w:space="0" w:color="auto"/>
              <w:right w:val="single" w:sz="4" w:space="0" w:color="auto"/>
            </w:tcBorders>
            <w:shd w:val="clear" w:color="auto" w:fill="auto"/>
            <w:noWrap/>
            <w:textDirection w:val="btLr"/>
            <w:vAlign w:val="center"/>
          </w:tcPr>
          <w:p w14:paraId="00F70507" w14:textId="7D59E3DD" w:rsidR="00BC6E24" w:rsidRPr="00C2587D" w:rsidRDefault="00BC6E24" w:rsidP="00BC6E24">
            <w:pPr>
              <w:ind w:left="113" w:right="113"/>
              <w:jc w:val="center"/>
              <w:rPr>
                <w:rFonts w:ascii="Times New Roman" w:eastAsia="Arial" w:hAnsi="Times New Roman"/>
                <w:b/>
                <w:sz w:val="20"/>
                <w:szCs w:val="20"/>
                <w:lang w:eastAsia="en-US"/>
              </w:rPr>
            </w:pPr>
            <w:r w:rsidRPr="00C2587D">
              <w:rPr>
                <w:rFonts w:ascii="Times New Roman" w:hAnsi="Times New Roman"/>
                <w:b/>
                <w:sz w:val="20"/>
                <w:szCs w:val="20"/>
              </w:rPr>
              <w:t>60000,00</w:t>
            </w:r>
          </w:p>
        </w:tc>
      </w:tr>
      <w:tr w:rsidR="00416434" w:rsidRPr="00C2587D" w14:paraId="4FEC9A9C" w14:textId="77777777" w:rsidTr="00FF28D2">
        <w:trPr>
          <w:cantSplit/>
          <w:trHeight w:val="968"/>
        </w:trPr>
        <w:tc>
          <w:tcPr>
            <w:tcW w:w="531" w:type="dxa"/>
            <w:tcBorders>
              <w:top w:val="nil"/>
              <w:left w:val="single" w:sz="4" w:space="0" w:color="auto"/>
              <w:bottom w:val="single" w:sz="4" w:space="0" w:color="auto"/>
              <w:right w:val="single" w:sz="4" w:space="0" w:color="auto"/>
            </w:tcBorders>
            <w:shd w:val="clear" w:color="auto" w:fill="auto"/>
            <w:vAlign w:val="center"/>
          </w:tcPr>
          <w:p w14:paraId="65C5838E" w14:textId="7272EEC3" w:rsidR="00416434" w:rsidRPr="00C2587D" w:rsidRDefault="008B4216" w:rsidP="00FF28D2">
            <w:pPr>
              <w:rPr>
                <w:rFonts w:ascii="Times New Roman" w:eastAsia="Arial" w:hAnsi="Times New Roman"/>
                <w:sz w:val="20"/>
                <w:szCs w:val="20"/>
                <w:lang w:eastAsia="en-US"/>
              </w:rPr>
            </w:pPr>
            <w:r w:rsidRPr="00C2587D">
              <w:rPr>
                <w:rFonts w:ascii="Times New Roman" w:hAnsi="Times New Roman"/>
                <w:sz w:val="20"/>
                <w:szCs w:val="20"/>
              </w:rPr>
              <w:t>2</w:t>
            </w:r>
          </w:p>
        </w:tc>
        <w:tc>
          <w:tcPr>
            <w:tcW w:w="2113" w:type="dxa"/>
            <w:tcBorders>
              <w:top w:val="single" w:sz="4" w:space="0" w:color="auto"/>
              <w:left w:val="nil"/>
              <w:bottom w:val="single" w:sz="4" w:space="0" w:color="auto"/>
              <w:right w:val="single" w:sz="4" w:space="0" w:color="auto"/>
            </w:tcBorders>
            <w:shd w:val="clear" w:color="auto" w:fill="auto"/>
            <w:vAlign w:val="center"/>
          </w:tcPr>
          <w:p w14:paraId="6554D139" w14:textId="48119D02" w:rsidR="00416434" w:rsidRPr="00C2587D" w:rsidRDefault="00416434" w:rsidP="00FF28D2">
            <w:pPr>
              <w:rPr>
                <w:rFonts w:ascii="Times New Roman" w:hAnsi="Times New Roman"/>
                <w:sz w:val="20"/>
                <w:szCs w:val="20"/>
                <w:lang w:eastAsia="it-IT"/>
              </w:rPr>
            </w:pPr>
            <w:r w:rsidRPr="00C2587D">
              <w:rPr>
                <w:rFonts w:ascii="Times New Roman" w:hAnsi="Times New Roman"/>
                <w:sz w:val="20"/>
                <w:szCs w:val="20"/>
              </w:rPr>
              <w:t>Модернізація покрівлі  ЗДО № 6 «Казочка»</w:t>
            </w:r>
          </w:p>
        </w:tc>
        <w:tc>
          <w:tcPr>
            <w:tcW w:w="737" w:type="dxa"/>
            <w:tcBorders>
              <w:top w:val="nil"/>
              <w:left w:val="nil"/>
              <w:bottom w:val="single" w:sz="4" w:space="0" w:color="auto"/>
              <w:right w:val="single" w:sz="4" w:space="0" w:color="auto"/>
            </w:tcBorders>
            <w:shd w:val="clear" w:color="auto" w:fill="auto"/>
            <w:textDirection w:val="btLr"/>
            <w:vAlign w:val="center"/>
          </w:tcPr>
          <w:p w14:paraId="01EB7477" w14:textId="66C1302A" w:rsidR="00416434" w:rsidRPr="00C2587D" w:rsidRDefault="00416434" w:rsidP="00416434">
            <w:pPr>
              <w:ind w:left="113" w:right="113"/>
              <w:jc w:val="center"/>
              <w:rPr>
                <w:rFonts w:ascii="Times New Roman" w:eastAsia="Arial" w:hAnsi="Times New Roman"/>
                <w:b/>
                <w:sz w:val="20"/>
                <w:szCs w:val="20"/>
                <w:lang w:eastAsia="en-US"/>
              </w:rPr>
            </w:pPr>
            <w:r w:rsidRPr="00C2587D">
              <w:rPr>
                <w:rFonts w:ascii="Times New Roman" w:hAnsi="Times New Roman"/>
                <w:b/>
                <w:sz w:val="20"/>
                <w:szCs w:val="20"/>
              </w:rPr>
              <w:t>6000,00</w:t>
            </w:r>
          </w:p>
        </w:tc>
        <w:tc>
          <w:tcPr>
            <w:tcW w:w="850" w:type="dxa"/>
            <w:tcBorders>
              <w:top w:val="nil"/>
              <w:left w:val="nil"/>
              <w:bottom w:val="single" w:sz="4" w:space="0" w:color="auto"/>
              <w:right w:val="single" w:sz="4" w:space="0" w:color="auto"/>
            </w:tcBorders>
            <w:shd w:val="clear" w:color="000000" w:fill="F8CBAD"/>
            <w:textDirection w:val="btLr"/>
            <w:vAlign w:val="center"/>
          </w:tcPr>
          <w:p w14:paraId="40DFBD44" w14:textId="1C619E51" w:rsidR="00416434" w:rsidRPr="00C2587D" w:rsidRDefault="00416434" w:rsidP="00416434">
            <w:pPr>
              <w:ind w:left="113" w:right="113"/>
              <w:jc w:val="center"/>
              <w:rPr>
                <w:rFonts w:ascii="Times New Roman" w:eastAsia="Arial" w:hAnsi="Times New Roman"/>
                <w:sz w:val="20"/>
                <w:szCs w:val="20"/>
                <w:lang w:eastAsia="en-US"/>
              </w:rPr>
            </w:pPr>
            <w:r w:rsidRPr="00C2587D">
              <w:rPr>
                <w:rFonts w:ascii="Times New Roman" w:hAnsi="Times New Roman"/>
                <w:sz w:val="20"/>
                <w:szCs w:val="20"/>
              </w:rPr>
              <w:t>6000,00</w:t>
            </w:r>
          </w:p>
        </w:tc>
        <w:tc>
          <w:tcPr>
            <w:tcW w:w="992" w:type="dxa"/>
            <w:tcBorders>
              <w:top w:val="single" w:sz="4" w:space="0" w:color="auto"/>
              <w:left w:val="nil"/>
              <w:bottom w:val="single" w:sz="4" w:space="0" w:color="auto"/>
              <w:right w:val="single" w:sz="4" w:space="0" w:color="000000"/>
            </w:tcBorders>
            <w:shd w:val="clear" w:color="auto" w:fill="auto"/>
            <w:textDirection w:val="btLr"/>
            <w:vAlign w:val="center"/>
          </w:tcPr>
          <w:p w14:paraId="626CB0D8" w14:textId="77777777" w:rsidR="00416434" w:rsidRPr="00C2587D" w:rsidRDefault="00416434" w:rsidP="00416434">
            <w:pPr>
              <w:ind w:left="113" w:right="113"/>
              <w:jc w:val="center"/>
              <w:rPr>
                <w:rFonts w:ascii="Times New Roman" w:eastAsia="Arial" w:hAnsi="Times New Roman"/>
                <w:sz w:val="20"/>
                <w:szCs w:val="20"/>
                <w:lang w:eastAsia="en-US"/>
              </w:rPr>
            </w:pPr>
          </w:p>
        </w:tc>
        <w:tc>
          <w:tcPr>
            <w:tcW w:w="851" w:type="dxa"/>
            <w:tcBorders>
              <w:top w:val="nil"/>
              <w:left w:val="nil"/>
              <w:bottom w:val="single" w:sz="4" w:space="0" w:color="auto"/>
              <w:right w:val="single" w:sz="4" w:space="0" w:color="auto"/>
            </w:tcBorders>
            <w:shd w:val="clear" w:color="auto" w:fill="auto"/>
            <w:textDirection w:val="btLr"/>
            <w:vAlign w:val="center"/>
          </w:tcPr>
          <w:p w14:paraId="7EC948D3" w14:textId="680341D8" w:rsidR="00416434" w:rsidRPr="00C2587D" w:rsidRDefault="00416434" w:rsidP="00416434">
            <w:pPr>
              <w:ind w:left="113" w:right="113"/>
              <w:jc w:val="center"/>
              <w:rPr>
                <w:rFonts w:ascii="Times New Roman" w:eastAsia="Arial" w:hAnsi="Times New Roman"/>
                <w:sz w:val="20"/>
                <w:szCs w:val="20"/>
                <w:lang w:eastAsia="en-US"/>
              </w:rPr>
            </w:pPr>
            <w:r w:rsidRPr="00C2587D">
              <w:rPr>
                <w:rFonts w:ascii="Times New Roman" w:hAnsi="Times New Roman"/>
                <w:sz w:val="20"/>
                <w:szCs w:val="20"/>
              </w:rPr>
              <w:t>6000,00</w:t>
            </w:r>
          </w:p>
        </w:tc>
        <w:tc>
          <w:tcPr>
            <w:tcW w:w="850" w:type="dxa"/>
            <w:tcBorders>
              <w:top w:val="nil"/>
              <w:left w:val="nil"/>
              <w:bottom w:val="single" w:sz="4" w:space="0" w:color="auto"/>
              <w:right w:val="single" w:sz="4" w:space="0" w:color="auto"/>
            </w:tcBorders>
            <w:shd w:val="clear" w:color="auto" w:fill="auto"/>
            <w:textDirection w:val="btLr"/>
            <w:vAlign w:val="center"/>
          </w:tcPr>
          <w:p w14:paraId="0AFBB83F" w14:textId="77777777" w:rsidR="00416434" w:rsidRPr="00C2587D" w:rsidRDefault="00416434" w:rsidP="00416434">
            <w:pPr>
              <w:ind w:left="113" w:right="113"/>
              <w:jc w:val="center"/>
              <w:rPr>
                <w:rFonts w:ascii="Times New Roman" w:eastAsia="Arial" w:hAnsi="Times New Roman"/>
                <w:sz w:val="20"/>
                <w:szCs w:val="20"/>
                <w:lang w:eastAsia="en-US"/>
              </w:rPr>
            </w:pPr>
          </w:p>
        </w:tc>
        <w:tc>
          <w:tcPr>
            <w:tcW w:w="709" w:type="dxa"/>
            <w:tcBorders>
              <w:top w:val="nil"/>
              <w:left w:val="nil"/>
              <w:bottom w:val="single" w:sz="4" w:space="0" w:color="auto"/>
              <w:right w:val="single" w:sz="4" w:space="0" w:color="auto"/>
            </w:tcBorders>
            <w:shd w:val="clear" w:color="auto" w:fill="auto"/>
            <w:textDirection w:val="btLr"/>
            <w:vAlign w:val="center"/>
          </w:tcPr>
          <w:p w14:paraId="75D80A72" w14:textId="77777777" w:rsidR="00416434" w:rsidRPr="00C2587D" w:rsidRDefault="00416434" w:rsidP="00416434">
            <w:pPr>
              <w:ind w:left="113" w:right="113"/>
              <w:jc w:val="center"/>
              <w:rPr>
                <w:rFonts w:ascii="Times New Roman" w:eastAsia="Arial" w:hAnsi="Times New Roman"/>
                <w:sz w:val="20"/>
                <w:szCs w:val="20"/>
                <w:lang w:eastAsia="en-US"/>
              </w:rPr>
            </w:pPr>
          </w:p>
        </w:tc>
        <w:tc>
          <w:tcPr>
            <w:tcW w:w="709" w:type="dxa"/>
            <w:tcBorders>
              <w:top w:val="nil"/>
              <w:left w:val="nil"/>
              <w:bottom w:val="single" w:sz="4" w:space="0" w:color="auto"/>
              <w:right w:val="single" w:sz="4" w:space="0" w:color="auto"/>
            </w:tcBorders>
            <w:shd w:val="clear" w:color="000000" w:fill="C6E0B4"/>
            <w:textDirection w:val="btLr"/>
            <w:vAlign w:val="center"/>
          </w:tcPr>
          <w:p w14:paraId="7C15B524" w14:textId="6001F30D" w:rsidR="00416434" w:rsidRPr="00C2587D" w:rsidRDefault="00416434" w:rsidP="00416434">
            <w:pPr>
              <w:ind w:left="113" w:right="113"/>
              <w:jc w:val="center"/>
              <w:rPr>
                <w:rFonts w:ascii="Times New Roman" w:eastAsia="Arial" w:hAnsi="Times New Roman"/>
                <w:sz w:val="20"/>
                <w:szCs w:val="20"/>
                <w:lang w:eastAsia="en-US"/>
              </w:rPr>
            </w:pPr>
            <w:r w:rsidRPr="00C2587D">
              <w:rPr>
                <w:rFonts w:ascii="Times New Roman" w:hAnsi="Times New Roman"/>
                <w:sz w:val="20"/>
                <w:szCs w:val="20"/>
              </w:rPr>
              <w:t>0,00</w:t>
            </w:r>
          </w:p>
        </w:tc>
        <w:tc>
          <w:tcPr>
            <w:tcW w:w="709" w:type="dxa"/>
            <w:tcBorders>
              <w:top w:val="nil"/>
              <w:left w:val="nil"/>
              <w:bottom w:val="single" w:sz="4" w:space="0" w:color="auto"/>
              <w:right w:val="single" w:sz="4" w:space="0" w:color="auto"/>
            </w:tcBorders>
            <w:shd w:val="clear" w:color="auto" w:fill="auto"/>
            <w:textDirection w:val="btLr"/>
            <w:vAlign w:val="center"/>
          </w:tcPr>
          <w:p w14:paraId="67D31E7C" w14:textId="77777777" w:rsidR="00416434" w:rsidRPr="00C2587D" w:rsidRDefault="00416434" w:rsidP="00416434">
            <w:pPr>
              <w:ind w:left="113" w:right="113"/>
              <w:jc w:val="center"/>
              <w:rPr>
                <w:rFonts w:ascii="Times New Roman" w:eastAsia="Arial" w:hAnsi="Times New Roman"/>
                <w:sz w:val="20"/>
                <w:szCs w:val="20"/>
                <w:lang w:eastAsia="en-US"/>
              </w:rPr>
            </w:pPr>
          </w:p>
        </w:tc>
        <w:tc>
          <w:tcPr>
            <w:tcW w:w="708" w:type="dxa"/>
            <w:tcBorders>
              <w:top w:val="nil"/>
              <w:left w:val="nil"/>
              <w:bottom w:val="single" w:sz="4" w:space="0" w:color="auto"/>
              <w:right w:val="single" w:sz="4" w:space="0" w:color="auto"/>
            </w:tcBorders>
            <w:shd w:val="clear" w:color="auto" w:fill="auto"/>
            <w:textDirection w:val="btLr"/>
            <w:vAlign w:val="center"/>
          </w:tcPr>
          <w:p w14:paraId="2945775B" w14:textId="77777777" w:rsidR="00416434" w:rsidRPr="00C2587D" w:rsidRDefault="00416434" w:rsidP="00416434">
            <w:pPr>
              <w:ind w:left="113" w:right="113"/>
              <w:jc w:val="center"/>
              <w:rPr>
                <w:rFonts w:ascii="Times New Roman" w:eastAsia="Arial" w:hAnsi="Times New Roman"/>
                <w:sz w:val="20"/>
                <w:szCs w:val="20"/>
                <w:lang w:eastAsia="en-US"/>
              </w:rPr>
            </w:pPr>
          </w:p>
        </w:tc>
        <w:tc>
          <w:tcPr>
            <w:tcW w:w="709" w:type="dxa"/>
            <w:tcBorders>
              <w:top w:val="nil"/>
              <w:left w:val="nil"/>
              <w:bottom w:val="single" w:sz="4" w:space="0" w:color="auto"/>
              <w:right w:val="single" w:sz="4" w:space="0" w:color="auto"/>
            </w:tcBorders>
            <w:shd w:val="clear" w:color="auto" w:fill="auto"/>
            <w:textDirection w:val="btLr"/>
            <w:vAlign w:val="center"/>
          </w:tcPr>
          <w:p w14:paraId="69009EA5" w14:textId="77777777" w:rsidR="00416434" w:rsidRPr="00C2587D" w:rsidRDefault="00416434" w:rsidP="00416434">
            <w:pPr>
              <w:ind w:left="113" w:right="113"/>
              <w:jc w:val="center"/>
              <w:rPr>
                <w:rFonts w:ascii="Times New Roman" w:eastAsia="Arial" w:hAnsi="Times New Roman"/>
                <w:sz w:val="20"/>
                <w:szCs w:val="20"/>
                <w:lang w:eastAsia="en-US"/>
              </w:rPr>
            </w:pPr>
          </w:p>
        </w:tc>
        <w:tc>
          <w:tcPr>
            <w:tcW w:w="709" w:type="dxa"/>
            <w:tcBorders>
              <w:top w:val="nil"/>
              <w:left w:val="nil"/>
              <w:bottom w:val="single" w:sz="4" w:space="0" w:color="auto"/>
              <w:right w:val="single" w:sz="4" w:space="0" w:color="auto"/>
            </w:tcBorders>
            <w:shd w:val="clear" w:color="auto" w:fill="auto"/>
            <w:textDirection w:val="btLr"/>
            <w:vAlign w:val="center"/>
          </w:tcPr>
          <w:p w14:paraId="57D30FCF" w14:textId="77777777" w:rsidR="00416434" w:rsidRPr="00C2587D" w:rsidRDefault="00416434" w:rsidP="00416434">
            <w:pPr>
              <w:ind w:left="113" w:right="113"/>
              <w:jc w:val="center"/>
              <w:rPr>
                <w:rFonts w:ascii="Times New Roman" w:eastAsia="Arial" w:hAnsi="Times New Roman"/>
                <w:sz w:val="20"/>
                <w:szCs w:val="20"/>
                <w:lang w:eastAsia="en-US"/>
              </w:rPr>
            </w:pPr>
          </w:p>
        </w:tc>
        <w:tc>
          <w:tcPr>
            <w:tcW w:w="567" w:type="dxa"/>
            <w:tcBorders>
              <w:top w:val="nil"/>
              <w:left w:val="nil"/>
              <w:bottom w:val="single" w:sz="4" w:space="0" w:color="auto"/>
              <w:right w:val="single" w:sz="4" w:space="0" w:color="auto"/>
            </w:tcBorders>
            <w:shd w:val="clear" w:color="000000" w:fill="D6DCE4"/>
            <w:textDirection w:val="btLr"/>
            <w:vAlign w:val="center"/>
          </w:tcPr>
          <w:p w14:paraId="5712594E" w14:textId="45D63607" w:rsidR="00416434" w:rsidRPr="00C2587D" w:rsidRDefault="00416434" w:rsidP="00416434">
            <w:pPr>
              <w:ind w:left="113" w:right="113"/>
              <w:jc w:val="center"/>
              <w:rPr>
                <w:rFonts w:ascii="Times New Roman" w:eastAsia="Arial" w:hAnsi="Times New Roman"/>
                <w:sz w:val="20"/>
                <w:szCs w:val="20"/>
                <w:lang w:eastAsia="en-US"/>
              </w:rPr>
            </w:pPr>
            <w:r w:rsidRPr="00C2587D">
              <w:rPr>
                <w:rFonts w:ascii="Times New Roman" w:hAnsi="Times New Roman"/>
                <w:sz w:val="20"/>
                <w:szCs w:val="20"/>
              </w:rPr>
              <w:t>0,00</w:t>
            </w:r>
          </w:p>
        </w:tc>
        <w:tc>
          <w:tcPr>
            <w:tcW w:w="567" w:type="dxa"/>
            <w:tcBorders>
              <w:top w:val="nil"/>
              <w:left w:val="nil"/>
              <w:bottom w:val="single" w:sz="4" w:space="0" w:color="auto"/>
              <w:right w:val="single" w:sz="4" w:space="0" w:color="auto"/>
            </w:tcBorders>
            <w:shd w:val="clear" w:color="auto" w:fill="auto"/>
            <w:textDirection w:val="btLr"/>
            <w:vAlign w:val="center"/>
          </w:tcPr>
          <w:p w14:paraId="75F8EEC2" w14:textId="77777777" w:rsidR="00416434" w:rsidRPr="00C2587D" w:rsidRDefault="00416434" w:rsidP="00416434">
            <w:pPr>
              <w:ind w:left="113" w:right="113"/>
              <w:jc w:val="center"/>
              <w:rPr>
                <w:rFonts w:ascii="Times New Roman" w:eastAsia="Arial" w:hAnsi="Times New Roman"/>
                <w:sz w:val="20"/>
                <w:szCs w:val="20"/>
                <w:lang w:eastAsia="en-US"/>
              </w:rPr>
            </w:pPr>
          </w:p>
        </w:tc>
        <w:tc>
          <w:tcPr>
            <w:tcW w:w="567" w:type="dxa"/>
            <w:tcBorders>
              <w:top w:val="nil"/>
              <w:left w:val="nil"/>
              <w:bottom w:val="single" w:sz="4" w:space="0" w:color="auto"/>
              <w:right w:val="single" w:sz="4" w:space="0" w:color="auto"/>
            </w:tcBorders>
            <w:shd w:val="clear" w:color="auto" w:fill="auto"/>
            <w:textDirection w:val="btLr"/>
            <w:vAlign w:val="bottom"/>
          </w:tcPr>
          <w:p w14:paraId="69EC781E" w14:textId="45E3917F" w:rsidR="00416434" w:rsidRPr="00C2587D" w:rsidRDefault="00416434" w:rsidP="00416434">
            <w:pPr>
              <w:ind w:left="113" w:right="113"/>
              <w:jc w:val="center"/>
              <w:rPr>
                <w:rFonts w:ascii="Times New Roman" w:eastAsia="Arial" w:hAnsi="Times New Roman"/>
                <w:sz w:val="20"/>
                <w:szCs w:val="20"/>
                <w:lang w:eastAsia="en-US"/>
              </w:rPr>
            </w:pPr>
            <w:r w:rsidRPr="00C2587D">
              <w:rPr>
                <w:rFonts w:ascii="Times New Roman" w:hAnsi="Times New Roman"/>
                <w:sz w:val="20"/>
                <w:szCs w:val="20"/>
              </w:rPr>
              <w:t> </w:t>
            </w:r>
          </w:p>
        </w:tc>
        <w:tc>
          <w:tcPr>
            <w:tcW w:w="624" w:type="dxa"/>
            <w:tcBorders>
              <w:top w:val="nil"/>
              <w:left w:val="nil"/>
              <w:bottom w:val="single" w:sz="4" w:space="0" w:color="auto"/>
              <w:right w:val="single" w:sz="4" w:space="0" w:color="auto"/>
            </w:tcBorders>
            <w:shd w:val="clear" w:color="auto" w:fill="auto"/>
            <w:textDirection w:val="btLr"/>
            <w:vAlign w:val="bottom"/>
          </w:tcPr>
          <w:p w14:paraId="2FC9099D" w14:textId="46517EA4" w:rsidR="00416434" w:rsidRPr="00C2587D" w:rsidRDefault="00416434" w:rsidP="00416434">
            <w:pPr>
              <w:ind w:left="113" w:right="113"/>
              <w:jc w:val="center"/>
              <w:rPr>
                <w:rFonts w:ascii="Times New Roman" w:eastAsia="Arial" w:hAnsi="Times New Roman"/>
                <w:sz w:val="20"/>
                <w:szCs w:val="20"/>
                <w:lang w:eastAsia="en-US"/>
              </w:rPr>
            </w:pPr>
            <w:r w:rsidRPr="00C2587D">
              <w:rPr>
                <w:rFonts w:ascii="Times New Roman" w:hAnsi="Times New Roman"/>
                <w:sz w:val="20"/>
                <w:szCs w:val="20"/>
              </w:rPr>
              <w:t> </w:t>
            </w:r>
          </w:p>
        </w:tc>
        <w:tc>
          <w:tcPr>
            <w:tcW w:w="567" w:type="dxa"/>
            <w:tcBorders>
              <w:top w:val="nil"/>
              <w:left w:val="nil"/>
              <w:bottom w:val="single" w:sz="4" w:space="0" w:color="auto"/>
              <w:right w:val="single" w:sz="4" w:space="0" w:color="auto"/>
            </w:tcBorders>
            <w:shd w:val="clear" w:color="auto" w:fill="auto"/>
            <w:textDirection w:val="btLr"/>
            <w:vAlign w:val="bottom"/>
          </w:tcPr>
          <w:p w14:paraId="4E82A965" w14:textId="3F743AB0" w:rsidR="00416434" w:rsidRPr="00C2587D" w:rsidRDefault="00416434" w:rsidP="00416434">
            <w:pPr>
              <w:ind w:left="113" w:right="113"/>
              <w:jc w:val="center"/>
              <w:rPr>
                <w:rFonts w:ascii="Times New Roman" w:eastAsia="Arial" w:hAnsi="Times New Roman"/>
                <w:sz w:val="20"/>
                <w:szCs w:val="20"/>
                <w:lang w:eastAsia="en-US"/>
              </w:rPr>
            </w:pPr>
            <w:r w:rsidRPr="00C2587D">
              <w:rPr>
                <w:rFonts w:ascii="Times New Roman" w:hAnsi="Times New Roman"/>
                <w:sz w:val="20"/>
                <w:szCs w:val="20"/>
              </w:rPr>
              <w:t> </w:t>
            </w:r>
          </w:p>
        </w:tc>
        <w:tc>
          <w:tcPr>
            <w:tcW w:w="1106" w:type="dxa"/>
            <w:tcBorders>
              <w:top w:val="nil"/>
              <w:left w:val="nil"/>
              <w:bottom w:val="single" w:sz="4" w:space="0" w:color="auto"/>
              <w:right w:val="single" w:sz="4" w:space="0" w:color="auto"/>
            </w:tcBorders>
            <w:shd w:val="clear" w:color="auto" w:fill="auto"/>
            <w:noWrap/>
            <w:textDirection w:val="btLr"/>
            <w:vAlign w:val="center"/>
          </w:tcPr>
          <w:p w14:paraId="05A96DF9" w14:textId="68FC34FF" w:rsidR="00416434" w:rsidRPr="00C2587D" w:rsidRDefault="00416434" w:rsidP="00416434">
            <w:pPr>
              <w:ind w:left="113" w:right="113"/>
              <w:jc w:val="center"/>
              <w:rPr>
                <w:rFonts w:ascii="Times New Roman" w:eastAsia="Arial" w:hAnsi="Times New Roman"/>
                <w:b/>
                <w:sz w:val="20"/>
                <w:szCs w:val="20"/>
                <w:lang w:eastAsia="en-US"/>
              </w:rPr>
            </w:pPr>
            <w:r w:rsidRPr="00C2587D">
              <w:rPr>
                <w:rFonts w:ascii="Times New Roman" w:hAnsi="Times New Roman"/>
                <w:b/>
                <w:sz w:val="20"/>
                <w:szCs w:val="20"/>
              </w:rPr>
              <w:t>6000,00</w:t>
            </w:r>
          </w:p>
        </w:tc>
      </w:tr>
      <w:tr w:rsidR="00416434" w:rsidRPr="00C2587D" w14:paraId="2469166B" w14:textId="77777777" w:rsidTr="00FF28D2">
        <w:trPr>
          <w:cantSplit/>
          <w:trHeight w:val="1134"/>
        </w:trPr>
        <w:tc>
          <w:tcPr>
            <w:tcW w:w="531" w:type="dxa"/>
            <w:tcBorders>
              <w:top w:val="nil"/>
              <w:left w:val="single" w:sz="4" w:space="0" w:color="auto"/>
              <w:bottom w:val="single" w:sz="4" w:space="0" w:color="auto"/>
              <w:right w:val="single" w:sz="4" w:space="0" w:color="auto"/>
            </w:tcBorders>
            <w:shd w:val="clear" w:color="auto" w:fill="auto"/>
            <w:vAlign w:val="center"/>
          </w:tcPr>
          <w:p w14:paraId="3A6B79E6" w14:textId="3348F220" w:rsidR="00416434" w:rsidRPr="00C2587D" w:rsidRDefault="008B4216" w:rsidP="00FF28D2">
            <w:pPr>
              <w:rPr>
                <w:rFonts w:ascii="Times New Roman" w:eastAsia="Arial" w:hAnsi="Times New Roman"/>
                <w:sz w:val="20"/>
                <w:szCs w:val="20"/>
                <w:lang w:eastAsia="en-US"/>
              </w:rPr>
            </w:pPr>
            <w:r w:rsidRPr="00C2587D">
              <w:rPr>
                <w:rFonts w:ascii="Times New Roman" w:hAnsi="Times New Roman"/>
                <w:sz w:val="20"/>
                <w:szCs w:val="20"/>
              </w:rPr>
              <w:t>3</w:t>
            </w:r>
          </w:p>
        </w:tc>
        <w:tc>
          <w:tcPr>
            <w:tcW w:w="2113" w:type="dxa"/>
            <w:tcBorders>
              <w:top w:val="single" w:sz="4" w:space="0" w:color="auto"/>
              <w:left w:val="nil"/>
              <w:bottom w:val="single" w:sz="4" w:space="0" w:color="auto"/>
              <w:right w:val="single" w:sz="4" w:space="0" w:color="auto"/>
            </w:tcBorders>
            <w:shd w:val="clear" w:color="auto" w:fill="auto"/>
            <w:vAlign w:val="center"/>
          </w:tcPr>
          <w:p w14:paraId="48303576" w14:textId="36B0963D" w:rsidR="00416434" w:rsidRPr="00C2587D" w:rsidRDefault="00416434" w:rsidP="00FF28D2">
            <w:pPr>
              <w:rPr>
                <w:rFonts w:ascii="Times New Roman" w:hAnsi="Times New Roman"/>
                <w:sz w:val="20"/>
                <w:szCs w:val="20"/>
                <w:lang w:eastAsia="it-IT"/>
              </w:rPr>
            </w:pPr>
            <w:r w:rsidRPr="00C2587D">
              <w:rPr>
                <w:rFonts w:ascii="Times New Roman" w:hAnsi="Times New Roman"/>
                <w:sz w:val="20"/>
                <w:szCs w:val="20"/>
              </w:rPr>
              <w:t>Модернізація покрівлі   ЗДО № 2 «Калинка»</w:t>
            </w:r>
          </w:p>
        </w:tc>
        <w:tc>
          <w:tcPr>
            <w:tcW w:w="737" w:type="dxa"/>
            <w:tcBorders>
              <w:top w:val="nil"/>
              <w:left w:val="nil"/>
              <w:bottom w:val="single" w:sz="4" w:space="0" w:color="auto"/>
              <w:right w:val="single" w:sz="4" w:space="0" w:color="auto"/>
            </w:tcBorders>
            <w:shd w:val="clear" w:color="auto" w:fill="auto"/>
            <w:textDirection w:val="btLr"/>
            <w:vAlign w:val="center"/>
          </w:tcPr>
          <w:p w14:paraId="7C7FBF96" w14:textId="2F808405" w:rsidR="00416434" w:rsidRPr="00C2587D" w:rsidRDefault="00416434" w:rsidP="00416434">
            <w:pPr>
              <w:ind w:left="113" w:right="113"/>
              <w:jc w:val="center"/>
              <w:rPr>
                <w:rFonts w:ascii="Times New Roman" w:eastAsia="Arial" w:hAnsi="Times New Roman"/>
                <w:b/>
                <w:sz w:val="20"/>
                <w:szCs w:val="20"/>
                <w:lang w:eastAsia="en-US"/>
              </w:rPr>
            </w:pPr>
            <w:r w:rsidRPr="00C2587D">
              <w:rPr>
                <w:rFonts w:ascii="Times New Roman" w:hAnsi="Times New Roman"/>
                <w:b/>
                <w:sz w:val="20"/>
                <w:szCs w:val="20"/>
              </w:rPr>
              <w:t>6300,00</w:t>
            </w:r>
          </w:p>
        </w:tc>
        <w:tc>
          <w:tcPr>
            <w:tcW w:w="850" w:type="dxa"/>
            <w:tcBorders>
              <w:top w:val="nil"/>
              <w:left w:val="nil"/>
              <w:bottom w:val="single" w:sz="4" w:space="0" w:color="auto"/>
              <w:right w:val="single" w:sz="4" w:space="0" w:color="auto"/>
            </w:tcBorders>
            <w:shd w:val="clear" w:color="000000" w:fill="F8CBAD"/>
            <w:textDirection w:val="btLr"/>
            <w:vAlign w:val="center"/>
          </w:tcPr>
          <w:p w14:paraId="4BE5E7E2" w14:textId="70556FD5" w:rsidR="00416434" w:rsidRPr="00C2587D" w:rsidRDefault="00416434" w:rsidP="00416434">
            <w:pPr>
              <w:ind w:left="113" w:right="113"/>
              <w:jc w:val="center"/>
              <w:rPr>
                <w:rFonts w:ascii="Times New Roman" w:eastAsia="Arial" w:hAnsi="Times New Roman"/>
                <w:sz w:val="20"/>
                <w:szCs w:val="20"/>
                <w:lang w:eastAsia="en-US"/>
              </w:rPr>
            </w:pPr>
            <w:r w:rsidRPr="00C2587D">
              <w:rPr>
                <w:rFonts w:ascii="Times New Roman" w:hAnsi="Times New Roman"/>
                <w:sz w:val="20"/>
                <w:szCs w:val="20"/>
              </w:rPr>
              <w:t>6300,00</w:t>
            </w:r>
          </w:p>
        </w:tc>
        <w:tc>
          <w:tcPr>
            <w:tcW w:w="992" w:type="dxa"/>
            <w:tcBorders>
              <w:top w:val="single" w:sz="4" w:space="0" w:color="auto"/>
              <w:left w:val="nil"/>
              <w:bottom w:val="single" w:sz="4" w:space="0" w:color="auto"/>
              <w:right w:val="single" w:sz="4" w:space="0" w:color="000000"/>
            </w:tcBorders>
            <w:shd w:val="clear" w:color="auto" w:fill="auto"/>
            <w:textDirection w:val="btLr"/>
            <w:vAlign w:val="center"/>
          </w:tcPr>
          <w:p w14:paraId="4DFDB5D2" w14:textId="77777777" w:rsidR="00416434" w:rsidRPr="00C2587D" w:rsidRDefault="00416434" w:rsidP="00416434">
            <w:pPr>
              <w:ind w:left="113" w:right="113"/>
              <w:jc w:val="center"/>
              <w:rPr>
                <w:rFonts w:ascii="Times New Roman" w:eastAsia="Arial" w:hAnsi="Times New Roman"/>
                <w:sz w:val="20"/>
                <w:szCs w:val="20"/>
                <w:lang w:eastAsia="en-US"/>
              </w:rPr>
            </w:pPr>
          </w:p>
        </w:tc>
        <w:tc>
          <w:tcPr>
            <w:tcW w:w="851" w:type="dxa"/>
            <w:tcBorders>
              <w:top w:val="nil"/>
              <w:left w:val="nil"/>
              <w:bottom w:val="single" w:sz="4" w:space="0" w:color="auto"/>
              <w:right w:val="single" w:sz="4" w:space="0" w:color="auto"/>
            </w:tcBorders>
            <w:shd w:val="clear" w:color="auto" w:fill="auto"/>
            <w:textDirection w:val="btLr"/>
            <w:vAlign w:val="center"/>
          </w:tcPr>
          <w:p w14:paraId="193528A3" w14:textId="18B02B2D" w:rsidR="00416434" w:rsidRPr="00C2587D" w:rsidRDefault="00416434" w:rsidP="00416434">
            <w:pPr>
              <w:ind w:left="113" w:right="113"/>
              <w:jc w:val="center"/>
              <w:rPr>
                <w:rFonts w:ascii="Times New Roman" w:eastAsia="Arial" w:hAnsi="Times New Roman"/>
                <w:sz w:val="20"/>
                <w:szCs w:val="20"/>
                <w:lang w:eastAsia="en-US"/>
              </w:rPr>
            </w:pPr>
            <w:r w:rsidRPr="00C2587D">
              <w:rPr>
                <w:rFonts w:ascii="Times New Roman" w:hAnsi="Times New Roman"/>
                <w:sz w:val="20"/>
                <w:szCs w:val="20"/>
              </w:rPr>
              <w:t>300,00</w:t>
            </w:r>
          </w:p>
        </w:tc>
        <w:tc>
          <w:tcPr>
            <w:tcW w:w="850" w:type="dxa"/>
            <w:tcBorders>
              <w:top w:val="nil"/>
              <w:left w:val="nil"/>
              <w:bottom w:val="single" w:sz="4" w:space="0" w:color="auto"/>
              <w:right w:val="single" w:sz="4" w:space="0" w:color="auto"/>
            </w:tcBorders>
            <w:shd w:val="clear" w:color="auto" w:fill="auto"/>
            <w:textDirection w:val="btLr"/>
            <w:vAlign w:val="center"/>
          </w:tcPr>
          <w:p w14:paraId="2764A58C" w14:textId="39752D4C" w:rsidR="00416434" w:rsidRPr="00C2587D" w:rsidRDefault="00416434" w:rsidP="00416434">
            <w:pPr>
              <w:ind w:left="113" w:right="113"/>
              <w:jc w:val="center"/>
              <w:rPr>
                <w:rFonts w:ascii="Times New Roman" w:eastAsia="Arial" w:hAnsi="Times New Roman"/>
                <w:sz w:val="20"/>
                <w:szCs w:val="20"/>
                <w:lang w:eastAsia="en-US"/>
              </w:rPr>
            </w:pPr>
            <w:r w:rsidRPr="00C2587D">
              <w:rPr>
                <w:rFonts w:ascii="Times New Roman" w:hAnsi="Times New Roman"/>
                <w:sz w:val="20"/>
                <w:szCs w:val="20"/>
              </w:rPr>
              <w:t>6000,00</w:t>
            </w:r>
          </w:p>
        </w:tc>
        <w:tc>
          <w:tcPr>
            <w:tcW w:w="709" w:type="dxa"/>
            <w:tcBorders>
              <w:top w:val="nil"/>
              <w:left w:val="nil"/>
              <w:bottom w:val="single" w:sz="4" w:space="0" w:color="auto"/>
              <w:right w:val="single" w:sz="4" w:space="0" w:color="auto"/>
            </w:tcBorders>
            <w:shd w:val="clear" w:color="auto" w:fill="auto"/>
            <w:textDirection w:val="btLr"/>
            <w:vAlign w:val="center"/>
          </w:tcPr>
          <w:p w14:paraId="5B2FA567" w14:textId="77777777" w:rsidR="00416434" w:rsidRPr="00C2587D" w:rsidRDefault="00416434" w:rsidP="00416434">
            <w:pPr>
              <w:ind w:left="113" w:right="113"/>
              <w:jc w:val="center"/>
              <w:rPr>
                <w:rFonts w:ascii="Times New Roman" w:eastAsia="Arial" w:hAnsi="Times New Roman"/>
                <w:sz w:val="20"/>
                <w:szCs w:val="20"/>
                <w:lang w:eastAsia="en-US"/>
              </w:rPr>
            </w:pPr>
          </w:p>
        </w:tc>
        <w:tc>
          <w:tcPr>
            <w:tcW w:w="709" w:type="dxa"/>
            <w:tcBorders>
              <w:top w:val="nil"/>
              <w:left w:val="nil"/>
              <w:bottom w:val="single" w:sz="4" w:space="0" w:color="auto"/>
              <w:right w:val="single" w:sz="4" w:space="0" w:color="auto"/>
            </w:tcBorders>
            <w:shd w:val="clear" w:color="000000" w:fill="C6E0B4"/>
            <w:textDirection w:val="btLr"/>
            <w:vAlign w:val="center"/>
          </w:tcPr>
          <w:p w14:paraId="4DE94D70" w14:textId="5F578F2E" w:rsidR="00416434" w:rsidRPr="00C2587D" w:rsidRDefault="00416434" w:rsidP="00416434">
            <w:pPr>
              <w:ind w:left="113" w:right="113"/>
              <w:jc w:val="center"/>
              <w:rPr>
                <w:rFonts w:ascii="Times New Roman" w:eastAsia="Arial" w:hAnsi="Times New Roman"/>
                <w:sz w:val="20"/>
                <w:szCs w:val="20"/>
                <w:lang w:eastAsia="en-US"/>
              </w:rPr>
            </w:pPr>
            <w:r w:rsidRPr="00C2587D">
              <w:rPr>
                <w:rFonts w:ascii="Times New Roman" w:hAnsi="Times New Roman"/>
                <w:sz w:val="20"/>
                <w:szCs w:val="20"/>
              </w:rPr>
              <w:t>0,00</w:t>
            </w:r>
          </w:p>
        </w:tc>
        <w:tc>
          <w:tcPr>
            <w:tcW w:w="709" w:type="dxa"/>
            <w:tcBorders>
              <w:top w:val="nil"/>
              <w:left w:val="nil"/>
              <w:bottom w:val="single" w:sz="4" w:space="0" w:color="auto"/>
              <w:right w:val="single" w:sz="4" w:space="0" w:color="auto"/>
            </w:tcBorders>
            <w:shd w:val="clear" w:color="auto" w:fill="auto"/>
            <w:textDirection w:val="btLr"/>
            <w:vAlign w:val="center"/>
          </w:tcPr>
          <w:p w14:paraId="0A4CA68B" w14:textId="77777777" w:rsidR="00416434" w:rsidRPr="00C2587D" w:rsidRDefault="00416434" w:rsidP="00416434">
            <w:pPr>
              <w:ind w:left="113" w:right="113"/>
              <w:jc w:val="center"/>
              <w:rPr>
                <w:rFonts w:ascii="Times New Roman" w:eastAsia="Arial" w:hAnsi="Times New Roman"/>
                <w:sz w:val="20"/>
                <w:szCs w:val="20"/>
                <w:lang w:eastAsia="en-US"/>
              </w:rPr>
            </w:pPr>
          </w:p>
        </w:tc>
        <w:tc>
          <w:tcPr>
            <w:tcW w:w="708" w:type="dxa"/>
            <w:tcBorders>
              <w:top w:val="nil"/>
              <w:left w:val="nil"/>
              <w:bottom w:val="single" w:sz="4" w:space="0" w:color="auto"/>
              <w:right w:val="single" w:sz="4" w:space="0" w:color="auto"/>
            </w:tcBorders>
            <w:shd w:val="clear" w:color="auto" w:fill="auto"/>
            <w:textDirection w:val="btLr"/>
            <w:vAlign w:val="center"/>
          </w:tcPr>
          <w:p w14:paraId="399DE8B4" w14:textId="77777777" w:rsidR="00416434" w:rsidRPr="00C2587D" w:rsidRDefault="00416434" w:rsidP="00416434">
            <w:pPr>
              <w:ind w:left="113" w:right="113"/>
              <w:jc w:val="center"/>
              <w:rPr>
                <w:rFonts w:ascii="Times New Roman" w:eastAsia="Arial" w:hAnsi="Times New Roman"/>
                <w:sz w:val="20"/>
                <w:szCs w:val="20"/>
                <w:lang w:eastAsia="en-US"/>
              </w:rPr>
            </w:pPr>
          </w:p>
        </w:tc>
        <w:tc>
          <w:tcPr>
            <w:tcW w:w="709" w:type="dxa"/>
            <w:tcBorders>
              <w:top w:val="nil"/>
              <w:left w:val="nil"/>
              <w:bottom w:val="single" w:sz="4" w:space="0" w:color="auto"/>
              <w:right w:val="single" w:sz="4" w:space="0" w:color="auto"/>
            </w:tcBorders>
            <w:shd w:val="clear" w:color="auto" w:fill="auto"/>
            <w:textDirection w:val="btLr"/>
            <w:vAlign w:val="center"/>
          </w:tcPr>
          <w:p w14:paraId="79F522CB" w14:textId="77777777" w:rsidR="00416434" w:rsidRPr="00C2587D" w:rsidRDefault="00416434" w:rsidP="00416434">
            <w:pPr>
              <w:ind w:left="113" w:right="113"/>
              <w:jc w:val="center"/>
              <w:rPr>
                <w:rFonts w:ascii="Times New Roman" w:eastAsia="Arial" w:hAnsi="Times New Roman"/>
                <w:sz w:val="20"/>
                <w:szCs w:val="20"/>
                <w:lang w:eastAsia="en-US"/>
              </w:rPr>
            </w:pPr>
          </w:p>
        </w:tc>
        <w:tc>
          <w:tcPr>
            <w:tcW w:w="709" w:type="dxa"/>
            <w:tcBorders>
              <w:top w:val="nil"/>
              <w:left w:val="nil"/>
              <w:bottom w:val="single" w:sz="4" w:space="0" w:color="auto"/>
              <w:right w:val="single" w:sz="4" w:space="0" w:color="auto"/>
            </w:tcBorders>
            <w:shd w:val="clear" w:color="auto" w:fill="auto"/>
            <w:textDirection w:val="btLr"/>
            <w:vAlign w:val="center"/>
          </w:tcPr>
          <w:p w14:paraId="4C44CB0B" w14:textId="77777777" w:rsidR="00416434" w:rsidRPr="00C2587D" w:rsidRDefault="00416434" w:rsidP="00416434">
            <w:pPr>
              <w:ind w:left="113" w:right="113"/>
              <w:jc w:val="center"/>
              <w:rPr>
                <w:rFonts w:ascii="Times New Roman" w:eastAsia="Arial" w:hAnsi="Times New Roman"/>
                <w:sz w:val="20"/>
                <w:szCs w:val="20"/>
                <w:lang w:eastAsia="en-US"/>
              </w:rPr>
            </w:pPr>
          </w:p>
        </w:tc>
        <w:tc>
          <w:tcPr>
            <w:tcW w:w="567" w:type="dxa"/>
            <w:tcBorders>
              <w:top w:val="nil"/>
              <w:left w:val="nil"/>
              <w:bottom w:val="single" w:sz="4" w:space="0" w:color="auto"/>
              <w:right w:val="single" w:sz="4" w:space="0" w:color="auto"/>
            </w:tcBorders>
            <w:shd w:val="clear" w:color="000000" w:fill="D6DCE4"/>
            <w:textDirection w:val="btLr"/>
            <w:vAlign w:val="center"/>
          </w:tcPr>
          <w:p w14:paraId="062E443C" w14:textId="3D1CB7FF" w:rsidR="00416434" w:rsidRPr="00C2587D" w:rsidRDefault="00416434" w:rsidP="00416434">
            <w:pPr>
              <w:ind w:left="113" w:right="113"/>
              <w:jc w:val="center"/>
              <w:rPr>
                <w:rFonts w:ascii="Times New Roman" w:eastAsia="Arial" w:hAnsi="Times New Roman"/>
                <w:sz w:val="20"/>
                <w:szCs w:val="20"/>
                <w:lang w:eastAsia="en-US"/>
              </w:rPr>
            </w:pPr>
            <w:r w:rsidRPr="00C2587D">
              <w:rPr>
                <w:rFonts w:ascii="Times New Roman" w:hAnsi="Times New Roman"/>
                <w:sz w:val="20"/>
                <w:szCs w:val="20"/>
              </w:rPr>
              <w:t>0,00</w:t>
            </w:r>
          </w:p>
        </w:tc>
        <w:tc>
          <w:tcPr>
            <w:tcW w:w="567" w:type="dxa"/>
            <w:tcBorders>
              <w:top w:val="nil"/>
              <w:left w:val="nil"/>
              <w:bottom w:val="single" w:sz="4" w:space="0" w:color="auto"/>
              <w:right w:val="single" w:sz="4" w:space="0" w:color="auto"/>
            </w:tcBorders>
            <w:shd w:val="clear" w:color="auto" w:fill="auto"/>
            <w:textDirection w:val="btLr"/>
            <w:vAlign w:val="center"/>
          </w:tcPr>
          <w:p w14:paraId="37FC601A" w14:textId="77777777" w:rsidR="00416434" w:rsidRPr="00C2587D" w:rsidRDefault="00416434" w:rsidP="00416434">
            <w:pPr>
              <w:ind w:left="113" w:right="113"/>
              <w:jc w:val="center"/>
              <w:rPr>
                <w:rFonts w:ascii="Times New Roman" w:eastAsia="Arial" w:hAnsi="Times New Roman"/>
                <w:sz w:val="20"/>
                <w:szCs w:val="20"/>
                <w:lang w:eastAsia="en-US"/>
              </w:rPr>
            </w:pPr>
          </w:p>
        </w:tc>
        <w:tc>
          <w:tcPr>
            <w:tcW w:w="567" w:type="dxa"/>
            <w:tcBorders>
              <w:top w:val="nil"/>
              <w:left w:val="nil"/>
              <w:bottom w:val="single" w:sz="4" w:space="0" w:color="auto"/>
              <w:right w:val="single" w:sz="4" w:space="0" w:color="auto"/>
            </w:tcBorders>
            <w:shd w:val="clear" w:color="auto" w:fill="auto"/>
            <w:textDirection w:val="btLr"/>
            <w:vAlign w:val="center"/>
          </w:tcPr>
          <w:p w14:paraId="67FFA906" w14:textId="77777777" w:rsidR="00416434" w:rsidRPr="00C2587D" w:rsidRDefault="00416434" w:rsidP="00416434">
            <w:pPr>
              <w:ind w:left="113" w:right="113"/>
              <w:jc w:val="center"/>
              <w:rPr>
                <w:rFonts w:ascii="Times New Roman" w:eastAsia="Arial" w:hAnsi="Times New Roman"/>
                <w:sz w:val="20"/>
                <w:szCs w:val="20"/>
                <w:lang w:eastAsia="en-US"/>
              </w:rPr>
            </w:pPr>
          </w:p>
        </w:tc>
        <w:tc>
          <w:tcPr>
            <w:tcW w:w="624" w:type="dxa"/>
            <w:tcBorders>
              <w:top w:val="nil"/>
              <w:left w:val="nil"/>
              <w:bottom w:val="single" w:sz="4" w:space="0" w:color="auto"/>
              <w:right w:val="single" w:sz="4" w:space="0" w:color="auto"/>
            </w:tcBorders>
            <w:shd w:val="clear" w:color="auto" w:fill="auto"/>
            <w:textDirection w:val="btLr"/>
            <w:vAlign w:val="center"/>
          </w:tcPr>
          <w:p w14:paraId="56043461" w14:textId="77777777" w:rsidR="00416434" w:rsidRPr="00C2587D" w:rsidRDefault="00416434" w:rsidP="00416434">
            <w:pPr>
              <w:ind w:left="113" w:right="113"/>
              <w:jc w:val="center"/>
              <w:rPr>
                <w:rFonts w:ascii="Times New Roman" w:eastAsia="Arial" w:hAnsi="Times New Roman"/>
                <w:sz w:val="20"/>
                <w:szCs w:val="20"/>
                <w:lang w:eastAsia="en-US"/>
              </w:rPr>
            </w:pPr>
          </w:p>
        </w:tc>
        <w:tc>
          <w:tcPr>
            <w:tcW w:w="567" w:type="dxa"/>
            <w:tcBorders>
              <w:top w:val="nil"/>
              <w:left w:val="nil"/>
              <w:bottom w:val="single" w:sz="4" w:space="0" w:color="auto"/>
              <w:right w:val="single" w:sz="4" w:space="0" w:color="auto"/>
            </w:tcBorders>
            <w:shd w:val="clear" w:color="auto" w:fill="auto"/>
            <w:textDirection w:val="btLr"/>
            <w:vAlign w:val="center"/>
          </w:tcPr>
          <w:p w14:paraId="7A5A47F9" w14:textId="77777777" w:rsidR="00416434" w:rsidRPr="00C2587D" w:rsidRDefault="00416434" w:rsidP="00416434">
            <w:pPr>
              <w:ind w:left="113" w:right="113"/>
              <w:jc w:val="center"/>
              <w:rPr>
                <w:rFonts w:ascii="Times New Roman" w:eastAsia="Arial" w:hAnsi="Times New Roman"/>
                <w:sz w:val="20"/>
                <w:szCs w:val="20"/>
                <w:lang w:eastAsia="en-US"/>
              </w:rPr>
            </w:pPr>
          </w:p>
        </w:tc>
        <w:tc>
          <w:tcPr>
            <w:tcW w:w="1106" w:type="dxa"/>
            <w:tcBorders>
              <w:top w:val="nil"/>
              <w:left w:val="nil"/>
              <w:bottom w:val="single" w:sz="4" w:space="0" w:color="auto"/>
              <w:right w:val="single" w:sz="4" w:space="0" w:color="auto"/>
            </w:tcBorders>
            <w:shd w:val="clear" w:color="auto" w:fill="auto"/>
            <w:noWrap/>
            <w:textDirection w:val="btLr"/>
            <w:vAlign w:val="center"/>
          </w:tcPr>
          <w:p w14:paraId="74881A62" w14:textId="11CB74C7" w:rsidR="00416434" w:rsidRPr="00C2587D" w:rsidRDefault="00416434" w:rsidP="00416434">
            <w:pPr>
              <w:ind w:left="113" w:right="113"/>
              <w:jc w:val="center"/>
              <w:rPr>
                <w:rFonts w:ascii="Times New Roman" w:eastAsia="Arial" w:hAnsi="Times New Roman"/>
                <w:b/>
                <w:sz w:val="20"/>
                <w:szCs w:val="20"/>
                <w:lang w:eastAsia="en-US"/>
              </w:rPr>
            </w:pPr>
            <w:r w:rsidRPr="00C2587D">
              <w:rPr>
                <w:rFonts w:ascii="Times New Roman" w:hAnsi="Times New Roman"/>
                <w:b/>
                <w:sz w:val="20"/>
                <w:szCs w:val="20"/>
              </w:rPr>
              <w:t>6300,00</w:t>
            </w:r>
          </w:p>
        </w:tc>
      </w:tr>
      <w:tr w:rsidR="00416434" w:rsidRPr="00C2587D" w14:paraId="55888271" w14:textId="77777777" w:rsidTr="00FF28D2">
        <w:trPr>
          <w:cantSplit/>
          <w:trHeight w:val="995"/>
        </w:trPr>
        <w:tc>
          <w:tcPr>
            <w:tcW w:w="531" w:type="dxa"/>
            <w:tcBorders>
              <w:top w:val="single" w:sz="4" w:space="0" w:color="auto"/>
              <w:left w:val="single" w:sz="4" w:space="0" w:color="auto"/>
              <w:bottom w:val="single" w:sz="4" w:space="0" w:color="auto"/>
              <w:right w:val="single" w:sz="4" w:space="0" w:color="auto"/>
            </w:tcBorders>
            <w:shd w:val="clear" w:color="auto" w:fill="auto"/>
            <w:vAlign w:val="center"/>
          </w:tcPr>
          <w:p w14:paraId="03A19537" w14:textId="7DF49104" w:rsidR="00416434" w:rsidRPr="00C2587D" w:rsidRDefault="008B4216" w:rsidP="00FF28D2">
            <w:pPr>
              <w:rPr>
                <w:rFonts w:ascii="Times New Roman" w:eastAsia="Arial" w:hAnsi="Times New Roman"/>
                <w:sz w:val="20"/>
                <w:szCs w:val="20"/>
                <w:lang w:eastAsia="en-US"/>
              </w:rPr>
            </w:pPr>
            <w:r w:rsidRPr="00C2587D">
              <w:rPr>
                <w:rFonts w:ascii="Times New Roman" w:hAnsi="Times New Roman"/>
                <w:sz w:val="20"/>
                <w:szCs w:val="20"/>
              </w:rPr>
              <w:lastRenderedPageBreak/>
              <w:t>4</w:t>
            </w:r>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tcPr>
          <w:p w14:paraId="68E61AC5" w14:textId="014CCCCC" w:rsidR="00416434" w:rsidRPr="00C2587D" w:rsidRDefault="00416434" w:rsidP="00FF28D2">
            <w:pPr>
              <w:rPr>
                <w:rFonts w:ascii="Times New Roman" w:hAnsi="Times New Roman"/>
                <w:sz w:val="20"/>
                <w:szCs w:val="20"/>
                <w:lang w:eastAsia="it-IT"/>
              </w:rPr>
            </w:pPr>
            <w:r w:rsidRPr="00C2587D">
              <w:rPr>
                <w:rFonts w:ascii="Times New Roman" w:hAnsi="Times New Roman"/>
                <w:sz w:val="20"/>
                <w:szCs w:val="20"/>
              </w:rPr>
              <w:t xml:space="preserve">Безпечна школа – запорука якості освіти </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E9DF5D2" w14:textId="7A59578B" w:rsidR="00416434" w:rsidRPr="00C2587D" w:rsidRDefault="00416434" w:rsidP="00416434">
            <w:pPr>
              <w:ind w:left="113" w:right="113"/>
              <w:jc w:val="center"/>
              <w:rPr>
                <w:rFonts w:ascii="Times New Roman" w:eastAsia="Arial" w:hAnsi="Times New Roman"/>
                <w:b/>
                <w:sz w:val="20"/>
                <w:szCs w:val="20"/>
                <w:lang w:eastAsia="en-US"/>
              </w:rPr>
            </w:pPr>
            <w:r w:rsidRPr="00C2587D">
              <w:rPr>
                <w:rFonts w:ascii="Times New Roman" w:hAnsi="Times New Roman"/>
                <w:b/>
                <w:sz w:val="20"/>
                <w:szCs w:val="20"/>
              </w:rPr>
              <w:t>8000,00</w:t>
            </w:r>
          </w:p>
        </w:tc>
        <w:tc>
          <w:tcPr>
            <w:tcW w:w="850" w:type="dxa"/>
            <w:tcBorders>
              <w:top w:val="single" w:sz="4" w:space="0" w:color="auto"/>
              <w:left w:val="single" w:sz="4" w:space="0" w:color="auto"/>
              <w:bottom w:val="single" w:sz="4" w:space="0" w:color="auto"/>
              <w:right w:val="single" w:sz="4" w:space="0" w:color="auto"/>
            </w:tcBorders>
            <w:shd w:val="clear" w:color="000000" w:fill="F8CBAD"/>
            <w:textDirection w:val="btLr"/>
            <w:vAlign w:val="center"/>
          </w:tcPr>
          <w:p w14:paraId="6CEC5599" w14:textId="50805A7F" w:rsidR="00416434" w:rsidRPr="00C2587D" w:rsidRDefault="00416434" w:rsidP="00416434">
            <w:pPr>
              <w:ind w:left="113" w:right="113"/>
              <w:jc w:val="center"/>
              <w:rPr>
                <w:rFonts w:ascii="Times New Roman" w:eastAsia="Arial" w:hAnsi="Times New Roman"/>
                <w:sz w:val="20"/>
                <w:szCs w:val="20"/>
                <w:lang w:eastAsia="en-US"/>
              </w:rPr>
            </w:pPr>
            <w:r w:rsidRPr="00C2587D">
              <w:rPr>
                <w:rFonts w:ascii="Times New Roman" w:hAnsi="Times New Roman"/>
                <w:sz w:val="20"/>
                <w:szCs w:val="20"/>
              </w:rPr>
              <w:t>8000,00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19CC665" w14:textId="77777777" w:rsidR="00416434" w:rsidRPr="00C2587D" w:rsidRDefault="00416434" w:rsidP="00416434">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673D540" w14:textId="77777777" w:rsidR="00416434" w:rsidRPr="00C2587D" w:rsidRDefault="00416434" w:rsidP="00416434">
            <w:pPr>
              <w:ind w:left="113" w:right="113"/>
              <w:jc w:val="center"/>
              <w:rPr>
                <w:rFonts w:ascii="Times New Roman" w:eastAsia="Arial" w:hAnsi="Times New Roman"/>
                <w:sz w:val="20"/>
                <w:szCs w:val="20"/>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4C8D9CF" w14:textId="671C87D6" w:rsidR="00416434" w:rsidRPr="00C2587D" w:rsidRDefault="00416434" w:rsidP="00416434">
            <w:pPr>
              <w:ind w:left="113" w:right="113"/>
              <w:jc w:val="center"/>
              <w:rPr>
                <w:rFonts w:ascii="Times New Roman" w:eastAsia="Arial" w:hAnsi="Times New Roman"/>
                <w:sz w:val="20"/>
                <w:szCs w:val="20"/>
                <w:lang w:eastAsia="en-US"/>
              </w:rPr>
            </w:pPr>
            <w:r w:rsidRPr="00C2587D">
              <w:rPr>
                <w:rFonts w:ascii="Times New Roman" w:hAnsi="Times New Roman"/>
                <w:sz w:val="20"/>
                <w:szCs w:val="20"/>
              </w:rPr>
              <w:t>8000,00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858A0B4" w14:textId="77777777" w:rsidR="00416434" w:rsidRPr="00C2587D" w:rsidRDefault="00416434" w:rsidP="00416434">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000000" w:fill="C6E0B4"/>
            <w:textDirection w:val="btLr"/>
            <w:vAlign w:val="center"/>
          </w:tcPr>
          <w:p w14:paraId="7B1A16AB" w14:textId="4C940471" w:rsidR="00416434" w:rsidRPr="00C2587D" w:rsidRDefault="00416434" w:rsidP="00416434">
            <w:pPr>
              <w:ind w:left="113" w:right="113"/>
              <w:jc w:val="center"/>
              <w:rPr>
                <w:rFonts w:ascii="Times New Roman" w:eastAsia="Arial" w:hAnsi="Times New Roman"/>
                <w:sz w:val="20"/>
                <w:szCs w:val="20"/>
                <w:lang w:eastAsia="en-US"/>
              </w:rPr>
            </w:pPr>
            <w:r w:rsidRPr="00C2587D">
              <w:rPr>
                <w:rFonts w:ascii="Times New Roman" w:hAnsi="Times New Roman"/>
                <w:sz w:val="20"/>
                <w:szCs w:val="20"/>
              </w:rPr>
              <w:t>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2E492EF" w14:textId="77777777" w:rsidR="00416434" w:rsidRPr="00C2587D" w:rsidRDefault="00416434" w:rsidP="00416434">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5E5BB8F" w14:textId="77777777" w:rsidR="00416434" w:rsidRPr="00C2587D" w:rsidRDefault="00416434" w:rsidP="00416434">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9592388" w14:textId="77777777" w:rsidR="00416434" w:rsidRPr="00C2587D" w:rsidRDefault="00416434" w:rsidP="00416434">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BB4F64A" w14:textId="77777777" w:rsidR="00416434" w:rsidRPr="00C2587D" w:rsidRDefault="00416434" w:rsidP="00416434">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000000" w:fill="D6DCE4"/>
            <w:textDirection w:val="btLr"/>
            <w:vAlign w:val="center"/>
          </w:tcPr>
          <w:p w14:paraId="78596592" w14:textId="657B4BE0" w:rsidR="00416434" w:rsidRPr="00C2587D" w:rsidRDefault="00416434" w:rsidP="00416434">
            <w:pPr>
              <w:ind w:left="113" w:right="113"/>
              <w:jc w:val="center"/>
              <w:rPr>
                <w:rFonts w:ascii="Times New Roman" w:eastAsia="Arial" w:hAnsi="Times New Roman"/>
                <w:sz w:val="20"/>
                <w:szCs w:val="20"/>
                <w:lang w:eastAsia="en-US"/>
              </w:rPr>
            </w:pPr>
            <w:r w:rsidRPr="00C2587D">
              <w:rPr>
                <w:rFonts w:ascii="Times New Roman" w:hAnsi="Times New Roman"/>
                <w:sz w:val="20"/>
                <w:szCs w:val="20"/>
              </w:rPr>
              <w:t>0,00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89A9970" w14:textId="77777777" w:rsidR="00416434" w:rsidRPr="00C2587D" w:rsidRDefault="00416434" w:rsidP="00416434">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DFD19DA" w14:textId="77777777" w:rsidR="00416434" w:rsidRPr="00C2587D" w:rsidRDefault="00416434" w:rsidP="00416434">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1D5BAED" w14:textId="77777777" w:rsidR="00416434" w:rsidRPr="00C2587D" w:rsidRDefault="00416434" w:rsidP="00416434">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F710452" w14:textId="77777777" w:rsidR="00416434" w:rsidRPr="00C2587D" w:rsidRDefault="00416434" w:rsidP="00416434">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1DBF78C3" w14:textId="461AAEA2" w:rsidR="00416434" w:rsidRPr="00C2587D" w:rsidRDefault="00416434" w:rsidP="00416434">
            <w:pPr>
              <w:ind w:left="113" w:right="113"/>
              <w:jc w:val="center"/>
              <w:rPr>
                <w:rFonts w:ascii="Times New Roman" w:eastAsia="Arial" w:hAnsi="Times New Roman"/>
                <w:b/>
                <w:sz w:val="20"/>
                <w:szCs w:val="20"/>
                <w:lang w:eastAsia="en-US"/>
              </w:rPr>
            </w:pPr>
            <w:r w:rsidRPr="00C2587D">
              <w:rPr>
                <w:rFonts w:ascii="Times New Roman" w:hAnsi="Times New Roman"/>
                <w:b/>
                <w:sz w:val="20"/>
                <w:szCs w:val="20"/>
              </w:rPr>
              <w:t>8000,00</w:t>
            </w:r>
          </w:p>
        </w:tc>
      </w:tr>
      <w:tr w:rsidR="00416434" w:rsidRPr="00C2587D" w14:paraId="3CCB02D5" w14:textId="77777777" w:rsidTr="00FF28D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vAlign w:val="center"/>
          </w:tcPr>
          <w:p w14:paraId="02A634DC" w14:textId="2695D90F" w:rsidR="00416434" w:rsidRPr="00C2587D" w:rsidRDefault="008B4216" w:rsidP="00FF28D2">
            <w:pPr>
              <w:rPr>
                <w:rFonts w:ascii="Times New Roman" w:eastAsia="Arial" w:hAnsi="Times New Roman"/>
                <w:sz w:val="20"/>
                <w:szCs w:val="20"/>
                <w:lang w:eastAsia="en-US"/>
              </w:rPr>
            </w:pPr>
            <w:r w:rsidRPr="00C2587D">
              <w:rPr>
                <w:rFonts w:ascii="Times New Roman" w:hAnsi="Times New Roman"/>
                <w:sz w:val="20"/>
                <w:szCs w:val="20"/>
              </w:rPr>
              <w:t>5</w:t>
            </w:r>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tcPr>
          <w:p w14:paraId="3D4686EE" w14:textId="0CB2349C" w:rsidR="00416434" w:rsidRPr="00C2587D" w:rsidRDefault="00416434" w:rsidP="00FF28D2">
            <w:pPr>
              <w:rPr>
                <w:rFonts w:ascii="Times New Roman" w:hAnsi="Times New Roman"/>
                <w:sz w:val="20"/>
                <w:szCs w:val="20"/>
                <w:lang w:eastAsia="it-IT"/>
              </w:rPr>
            </w:pPr>
            <w:r w:rsidRPr="00C2587D">
              <w:rPr>
                <w:rFonts w:ascii="Times New Roman" w:hAnsi="Times New Roman"/>
                <w:sz w:val="20"/>
                <w:szCs w:val="20"/>
              </w:rPr>
              <w:t>Модернізація покрівлі - важлива складова створення сучасного енергоефективного освітнього простору</w:t>
            </w:r>
          </w:p>
        </w:tc>
        <w:tc>
          <w:tcPr>
            <w:tcW w:w="737" w:type="dxa"/>
            <w:tcBorders>
              <w:top w:val="single" w:sz="4" w:space="0" w:color="auto"/>
              <w:left w:val="nil"/>
              <w:bottom w:val="single" w:sz="4" w:space="0" w:color="auto"/>
              <w:right w:val="single" w:sz="4" w:space="0" w:color="auto"/>
            </w:tcBorders>
            <w:shd w:val="clear" w:color="auto" w:fill="auto"/>
            <w:textDirection w:val="btLr"/>
            <w:vAlign w:val="center"/>
          </w:tcPr>
          <w:p w14:paraId="55B33C57" w14:textId="2B9902A4" w:rsidR="00416434" w:rsidRPr="00C2587D" w:rsidRDefault="00416434" w:rsidP="00416434">
            <w:pPr>
              <w:ind w:left="113" w:right="113"/>
              <w:jc w:val="center"/>
              <w:rPr>
                <w:rFonts w:ascii="Times New Roman" w:eastAsia="Arial" w:hAnsi="Times New Roman"/>
                <w:b/>
                <w:sz w:val="20"/>
                <w:szCs w:val="20"/>
                <w:lang w:eastAsia="en-US"/>
              </w:rPr>
            </w:pPr>
            <w:r w:rsidRPr="00C2587D">
              <w:rPr>
                <w:rFonts w:ascii="Times New Roman" w:hAnsi="Times New Roman"/>
                <w:b/>
                <w:sz w:val="20"/>
                <w:szCs w:val="20"/>
              </w:rPr>
              <w:t>8200,00</w:t>
            </w:r>
          </w:p>
        </w:tc>
        <w:tc>
          <w:tcPr>
            <w:tcW w:w="850" w:type="dxa"/>
            <w:tcBorders>
              <w:top w:val="single" w:sz="4" w:space="0" w:color="auto"/>
              <w:left w:val="nil"/>
              <w:bottom w:val="single" w:sz="4" w:space="0" w:color="auto"/>
              <w:right w:val="single" w:sz="4" w:space="0" w:color="auto"/>
            </w:tcBorders>
            <w:shd w:val="clear" w:color="000000" w:fill="F8CBAD"/>
            <w:textDirection w:val="btLr"/>
            <w:vAlign w:val="center"/>
          </w:tcPr>
          <w:p w14:paraId="581ECB51" w14:textId="2807095F" w:rsidR="00416434" w:rsidRPr="00C2587D" w:rsidRDefault="00416434" w:rsidP="00416434">
            <w:pPr>
              <w:ind w:left="113" w:right="113"/>
              <w:jc w:val="center"/>
              <w:rPr>
                <w:rFonts w:ascii="Times New Roman" w:eastAsia="Arial" w:hAnsi="Times New Roman"/>
                <w:sz w:val="20"/>
                <w:szCs w:val="20"/>
                <w:lang w:eastAsia="en-US"/>
              </w:rPr>
            </w:pPr>
            <w:r w:rsidRPr="00C2587D">
              <w:rPr>
                <w:rFonts w:ascii="Times New Roman" w:hAnsi="Times New Roman"/>
                <w:sz w:val="20"/>
                <w:szCs w:val="20"/>
              </w:rPr>
              <w:t>8200,00</w:t>
            </w:r>
          </w:p>
        </w:tc>
        <w:tc>
          <w:tcPr>
            <w:tcW w:w="992" w:type="dxa"/>
            <w:tcBorders>
              <w:top w:val="single" w:sz="4" w:space="0" w:color="auto"/>
              <w:left w:val="nil"/>
              <w:bottom w:val="single" w:sz="4" w:space="0" w:color="auto"/>
              <w:right w:val="single" w:sz="4" w:space="0" w:color="auto"/>
            </w:tcBorders>
            <w:shd w:val="clear" w:color="auto" w:fill="auto"/>
            <w:textDirection w:val="btLr"/>
            <w:vAlign w:val="center"/>
          </w:tcPr>
          <w:p w14:paraId="306AC9FA" w14:textId="77777777" w:rsidR="00416434" w:rsidRPr="00C2587D" w:rsidRDefault="00416434" w:rsidP="00416434">
            <w:pPr>
              <w:ind w:left="113" w:right="113"/>
              <w:jc w:val="center"/>
              <w:rPr>
                <w:rFonts w:ascii="Times New Roman" w:eastAsia="Arial" w:hAnsi="Times New Roman"/>
                <w:sz w:val="20"/>
                <w:szCs w:val="20"/>
                <w:lang w:eastAsia="en-US"/>
              </w:rPr>
            </w:pPr>
          </w:p>
        </w:tc>
        <w:tc>
          <w:tcPr>
            <w:tcW w:w="851" w:type="dxa"/>
            <w:tcBorders>
              <w:top w:val="single" w:sz="4" w:space="0" w:color="auto"/>
              <w:left w:val="nil"/>
              <w:bottom w:val="single" w:sz="4" w:space="0" w:color="auto"/>
              <w:right w:val="single" w:sz="4" w:space="0" w:color="auto"/>
            </w:tcBorders>
            <w:shd w:val="clear" w:color="auto" w:fill="auto"/>
            <w:textDirection w:val="btLr"/>
            <w:vAlign w:val="center"/>
          </w:tcPr>
          <w:p w14:paraId="0BD356B6" w14:textId="77777777" w:rsidR="00416434" w:rsidRPr="00C2587D" w:rsidRDefault="00416434" w:rsidP="00416434">
            <w:pPr>
              <w:ind w:left="113" w:right="113"/>
              <w:jc w:val="center"/>
              <w:rPr>
                <w:rFonts w:ascii="Times New Roman" w:eastAsia="Arial" w:hAnsi="Times New Roman"/>
                <w:sz w:val="20"/>
                <w:szCs w:val="20"/>
                <w:lang w:eastAsia="en-US"/>
              </w:rPr>
            </w:pPr>
          </w:p>
        </w:tc>
        <w:tc>
          <w:tcPr>
            <w:tcW w:w="850" w:type="dxa"/>
            <w:tcBorders>
              <w:top w:val="single" w:sz="4" w:space="0" w:color="auto"/>
              <w:left w:val="nil"/>
              <w:bottom w:val="single" w:sz="4" w:space="0" w:color="auto"/>
              <w:right w:val="single" w:sz="4" w:space="0" w:color="auto"/>
            </w:tcBorders>
            <w:shd w:val="clear" w:color="auto" w:fill="auto"/>
            <w:textDirection w:val="btLr"/>
            <w:vAlign w:val="center"/>
          </w:tcPr>
          <w:p w14:paraId="45B24441" w14:textId="30FF5967" w:rsidR="00416434" w:rsidRPr="00C2587D" w:rsidRDefault="00416434" w:rsidP="00416434">
            <w:pPr>
              <w:ind w:left="113" w:right="113"/>
              <w:jc w:val="center"/>
              <w:rPr>
                <w:rFonts w:ascii="Times New Roman" w:eastAsia="Arial" w:hAnsi="Times New Roman"/>
                <w:sz w:val="20"/>
                <w:szCs w:val="20"/>
                <w:lang w:eastAsia="en-US"/>
              </w:rPr>
            </w:pPr>
            <w:r w:rsidRPr="00C2587D">
              <w:rPr>
                <w:rFonts w:ascii="Times New Roman" w:hAnsi="Times New Roman"/>
                <w:sz w:val="20"/>
                <w:szCs w:val="20"/>
              </w:rPr>
              <w:t>200,00</w:t>
            </w:r>
          </w:p>
        </w:tc>
        <w:tc>
          <w:tcPr>
            <w:tcW w:w="709" w:type="dxa"/>
            <w:tcBorders>
              <w:top w:val="single" w:sz="4" w:space="0" w:color="auto"/>
              <w:left w:val="nil"/>
              <w:bottom w:val="single" w:sz="4" w:space="0" w:color="auto"/>
              <w:right w:val="single" w:sz="4" w:space="0" w:color="auto"/>
            </w:tcBorders>
            <w:shd w:val="clear" w:color="auto" w:fill="auto"/>
            <w:textDirection w:val="btLr"/>
            <w:vAlign w:val="center"/>
          </w:tcPr>
          <w:p w14:paraId="62F15E08" w14:textId="4F15A0BB" w:rsidR="00416434" w:rsidRPr="00C2587D" w:rsidRDefault="00416434" w:rsidP="00416434">
            <w:pPr>
              <w:ind w:left="113" w:right="113"/>
              <w:jc w:val="center"/>
              <w:rPr>
                <w:rFonts w:ascii="Times New Roman" w:eastAsia="Arial" w:hAnsi="Times New Roman"/>
                <w:sz w:val="20"/>
                <w:szCs w:val="20"/>
                <w:lang w:eastAsia="en-US"/>
              </w:rPr>
            </w:pPr>
            <w:r w:rsidRPr="00C2587D">
              <w:rPr>
                <w:rFonts w:ascii="Times New Roman" w:hAnsi="Times New Roman"/>
                <w:sz w:val="20"/>
                <w:szCs w:val="20"/>
              </w:rPr>
              <w:t>8000,00</w:t>
            </w:r>
          </w:p>
        </w:tc>
        <w:tc>
          <w:tcPr>
            <w:tcW w:w="709" w:type="dxa"/>
            <w:tcBorders>
              <w:top w:val="single" w:sz="4" w:space="0" w:color="auto"/>
              <w:left w:val="nil"/>
              <w:bottom w:val="single" w:sz="4" w:space="0" w:color="auto"/>
              <w:right w:val="single" w:sz="4" w:space="0" w:color="auto"/>
            </w:tcBorders>
            <w:shd w:val="clear" w:color="000000" w:fill="C6E0B4"/>
            <w:textDirection w:val="btLr"/>
            <w:vAlign w:val="center"/>
          </w:tcPr>
          <w:p w14:paraId="60B152BD" w14:textId="0BC3F762" w:rsidR="00416434" w:rsidRPr="00C2587D" w:rsidRDefault="00416434" w:rsidP="00416434">
            <w:pPr>
              <w:ind w:left="113" w:right="113"/>
              <w:jc w:val="center"/>
              <w:rPr>
                <w:rFonts w:ascii="Times New Roman" w:eastAsia="Arial" w:hAnsi="Times New Roman"/>
                <w:sz w:val="20"/>
                <w:szCs w:val="20"/>
                <w:lang w:eastAsia="en-US"/>
              </w:rPr>
            </w:pPr>
            <w:r w:rsidRPr="00C2587D">
              <w:rPr>
                <w:rFonts w:ascii="Times New Roman" w:hAnsi="Times New Roman"/>
                <w:sz w:val="20"/>
                <w:szCs w:val="20"/>
              </w:rPr>
              <w:t>0,00</w:t>
            </w:r>
          </w:p>
        </w:tc>
        <w:tc>
          <w:tcPr>
            <w:tcW w:w="709" w:type="dxa"/>
            <w:tcBorders>
              <w:top w:val="single" w:sz="4" w:space="0" w:color="auto"/>
              <w:left w:val="nil"/>
              <w:bottom w:val="single" w:sz="4" w:space="0" w:color="auto"/>
              <w:right w:val="single" w:sz="4" w:space="0" w:color="auto"/>
            </w:tcBorders>
            <w:shd w:val="clear" w:color="auto" w:fill="auto"/>
            <w:textDirection w:val="btLr"/>
            <w:vAlign w:val="center"/>
          </w:tcPr>
          <w:p w14:paraId="0DC003D7" w14:textId="77777777" w:rsidR="00416434" w:rsidRPr="00C2587D" w:rsidRDefault="00416434" w:rsidP="00416434">
            <w:pPr>
              <w:ind w:left="113" w:right="113"/>
              <w:jc w:val="center"/>
              <w:rPr>
                <w:rFonts w:ascii="Times New Roman" w:eastAsia="Arial" w:hAnsi="Times New Roman"/>
                <w:sz w:val="20"/>
                <w:szCs w:val="20"/>
                <w:lang w:eastAsia="en-US"/>
              </w:rPr>
            </w:pPr>
          </w:p>
        </w:tc>
        <w:tc>
          <w:tcPr>
            <w:tcW w:w="708" w:type="dxa"/>
            <w:tcBorders>
              <w:top w:val="single" w:sz="4" w:space="0" w:color="auto"/>
              <w:left w:val="nil"/>
              <w:bottom w:val="single" w:sz="4" w:space="0" w:color="auto"/>
              <w:right w:val="single" w:sz="4" w:space="0" w:color="auto"/>
            </w:tcBorders>
            <w:shd w:val="clear" w:color="auto" w:fill="auto"/>
            <w:textDirection w:val="btLr"/>
            <w:vAlign w:val="center"/>
          </w:tcPr>
          <w:p w14:paraId="1A600728" w14:textId="77777777" w:rsidR="00416434" w:rsidRPr="00C2587D" w:rsidRDefault="00416434" w:rsidP="00416434">
            <w:pPr>
              <w:ind w:left="113" w:right="113"/>
              <w:jc w:val="center"/>
              <w:rPr>
                <w:rFonts w:ascii="Times New Roman" w:eastAsia="Arial" w:hAnsi="Times New Roman"/>
                <w:sz w:val="20"/>
                <w:szCs w:val="20"/>
                <w:lang w:eastAsia="en-US"/>
              </w:rPr>
            </w:pPr>
          </w:p>
        </w:tc>
        <w:tc>
          <w:tcPr>
            <w:tcW w:w="709" w:type="dxa"/>
            <w:tcBorders>
              <w:top w:val="single" w:sz="4" w:space="0" w:color="auto"/>
              <w:left w:val="nil"/>
              <w:bottom w:val="single" w:sz="4" w:space="0" w:color="auto"/>
              <w:right w:val="single" w:sz="4" w:space="0" w:color="auto"/>
            </w:tcBorders>
            <w:shd w:val="clear" w:color="auto" w:fill="auto"/>
            <w:textDirection w:val="btLr"/>
            <w:vAlign w:val="center"/>
          </w:tcPr>
          <w:p w14:paraId="70FF37E9" w14:textId="77777777" w:rsidR="00416434" w:rsidRPr="00C2587D" w:rsidRDefault="00416434" w:rsidP="00416434">
            <w:pPr>
              <w:ind w:left="113" w:right="113"/>
              <w:jc w:val="center"/>
              <w:rPr>
                <w:rFonts w:ascii="Times New Roman" w:eastAsia="Arial" w:hAnsi="Times New Roman"/>
                <w:sz w:val="20"/>
                <w:szCs w:val="20"/>
                <w:lang w:eastAsia="en-US"/>
              </w:rPr>
            </w:pPr>
          </w:p>
        </w:tc>
        <w:tc>
          <w:tcPr>
            <w:tcW w:w="709" w:type="dxa"/>
            <w:tcBorders>
              <w:top w:val="single" w:sz="4" w:space="0" w:color="auto"/>
              <w:left w:val="nil"/>
              <w:bottom w:val="single" w:sz="4" w:space="0" w:color="auto"/>
              <w:right w:val="single" w:sz="4" w:space="0" w:color="auto"/>
            </w:tcBorders>
            <w:shd w:val="clear" w:color="auto" w:fill="auto"/>
            <w:textDirection w:val="btLr"/>
            <w:vAlign w:val="center"/>
          </w:tcPr>
          <w:p w14:paraId="0A10D032" w14:textId="77777777" w:rsidR="00416434" w:rsidRPr="00C2587D" w:rsidRDefault="00416434" w:rsidP="00416434">
            <w:pPr>
              <w:ind w:left="113" w:right="113"/>
              <w:jc w:val="center"/>
              <w:rPr>
                <w:rFonts w:ascii="Times New Roman" w:eastAsia="Arial" w:hAnsi="Times New Roman"/>
                <w:sz w:val="20"/>
                <w:szCs w:val="20"/>
                <w:lang w:eastAsia="en-US"/>
              </w:rPr>
            </w:pPr>
          </w:p>
        </w:tc>
        <w:tc>
          <w:tcPr>
            <w:tcW w:w="567" w:type="dxa"/>
            <w:tcBorders>
              <w:top w:val="single" w:sz="4" w:space="0" w:color="auto"/>
              <w:left w:val="nil"/>
              <w:bottom w:val="single" w:sz="4" w:space="0" w:color="auto"/>
              <w:right w:val="single" w:sz="4" w:space="0" w:color="auto"/>
            </w:tcBorders>
            <w:shd w:val="clear" w:color="000000" w:fill="D6DCE4"/>
            <w:textDirection w:val="btLr"/>
            <w:vAlign w:val="center"/>
          </w:tcPr>
          <w:p w14:paraId="420FCD07" w14:textId="77F62F15" w:rsidR="00416434" w:rsidRPr="00C2587D" w:rsidRDefault="00416434" w:rsidP="00416434">
            <w:pPr>
              <w:ind w:left="113" w:right="113"/>
              <w:jc w:val="center"/>
              <w:rPr>
                <w:rFonts w:ascii="Times New Roman" w:eastAsia="Arial" w:hAnsi="Times New Roman"/>
                <w:sz w:val="20"/>
                <w:szCs w:val="20"/>
                <w:lang w:eastAsia="en-US"/>
              </w:rPr>
            </w:pPr>
            <w:r w:rsidRPr="00C2587D">
              <w:rPr>
                <w:rFonts w:ascii="Times New Roman" w:hAnsi="Times New Roman"/>
                <w:sz w:val="20"/>
                <w:szCs w:val="20"/>
              </w:rPr>
              <w:t>0,00</w:t>
            </w:r>
          </w:p>
        </w:tc>
        <w:tc>
          <w:tcPr>
            <w:tcW w:w="567" w:type="dxa"/>
            <w:tcBorders>
              <w:top w:val="single" w:sz="4" w:space="0" w:color="auto"/>
              <w:left w:val="nil"/>
              <w:bottom w:val="single" w:sz="4" w:space="0" w:color="auto"/>
              <w:right w:val="single" w:sz="4" w:space="0" w:color="auto"/>
            </w:tcBorders>
            <w:shd w:val="clear" w:color="auto" w:fill="auto"/>
            <w:textDirection w:val="btLr"/>
            <w:vAlign w:val="center"/>
          </w:tcPr>
          <w:p w14:paraId="73396E97" w14:textId="77777777" w:rsidR="00416434" w:rsidRPr="00C2587D" w:rsidRDefault="00416434" w:rsidP="00416434">
            <w:pPr>
              <w:ind w:left="113" w:right="113"/>
              <w:jc w:val="center"/>
              <w:rPr>
                <w:rFonts w:ascii="Times New Roman" w:eastAsia="Arial" w:hAnsi="Times New Roman"/>
                <w:sz w:val="20"/>
                <w:szCs w:val="20"/>
                <w:lang w:eastAsia="en-US"/>
              </w:rPr>
            </w:pPr>
          </w:p>
        </w:tc>
        <w:tc>
          <w:tcPr>
            <w:tcW w:w="567" w:type="dxa"/>
            <w:tcBorders>
              <w:top w:val="single" w:sz="4" w:space="0" w:color="auto"/>
              <w:left w:val="nil"/>
              <w:bottom w:val="single" w:sz="4" w:space="0" w:color="auto"/>
              <w:right w:val="single" w:sz="4" w:space="0" w:color="auto"/>
            </w:tcBorders>
            <w:shd w:val="clear" w:color="auto" w:fill="auto"/>
            <w:textDirection w:val="btLr"/>
            <w:vAlign w:val="center"/>
          </w:tcPr>
          <w:p w14:paraId="7D548A04" w14:textId="77777777" w:rsidR="00416434" w:rsidRPr="00C2587D" w:rsidRDefault="00416434" w:rsidP="00416434">
            <w:pPr>
              <w:ind w:left="113" w:right="113"/>
              <w:jc w:val="center"/>
              <w:rPr>
                <w:rFonts w:ascii="Times New Roman" w:eastAsia="Arial" w:hAnsi="Times New Roman"/>
                <w:sz w:val="20"/>
                <w:szCs w:val="20"/>
                <w:lang w:eastAsia="en-US"/>
              </w:rPr>
            </w:pPr>
          </w:p>
        </w:tc>
        <w:tc>
          <w:tcPr>
            <w:tcW w:w="624" w:type="dxa"/>
            <w:tcBorders>
              <w:top w:val="single" w:sz="4" w:space="0" w:color="auto"/>
              <w:left w:val="nil"/>
              <w:bottom w:val="single" w:sz="4" w:space="0" w:color="auto"/>
              <w:right w:val="single" w:sz="4" w:space="0" w:color="auto"/>
            </w:tcBorders>
            <w:shd w:val="clear" w:color="auto" w:fill="auto"/>
            <w:textDirection w:val="btLr"/>
            <w:vAlign w:val="center"/>
          </w:tcPr>
          <w:p w14:paraId="2F3FC2B3" w14:textId="77777777" w:rsidR="00416434" w:rsidRPr="00C2587D" w:rsidRDefault="00416434" w:rsidP="00416434">
            <w:pPr>
              <w:ind w:left="113" w:right="113"/>
              <w:jc w:val="center"/>
              <w:rPr>
                <w:rFonts w:ascii="Times New Roman" w:eastAsia="Arial" w:hAnsi="Times New Roman"/>
                <w:sz w:val="20"/>
                <w:szCs w:val="20"/>
                <w:lang w:eastAsia="en-US"/>
              </w:rPr>
            </w:pPr>
          </w:p>
        </w:tc>
        <w:tc>
          <w:tcPr>
            <w:tcW w:w="567" w:type="dxa"/>
            <w:tcBorders>
              <w:top w:val="single" w:sz="4" w:space="0" w:color="auto"/>
              <w:left w:val="nil"/>
              <w:bottom w:val="single" w:sz="4" w:space="0" w:color="auto"/>
              <w:right w:val="single" w:sz="4" w:space="0" w:color="auto"/>
            </w:tcBorders>
            <w:shd w:val="clear" w:color="auto" w:fill="auto"/>
            <w:textDirection w:val="btLr"/>
            <w:vAlign w:val="center"/>
          </w:tcPr>
          <w:p w14:paraId="3C1D219F" w14:textId="77777777" w:rsidR="00416434" w:rsidRPr="00C2587D" w:rsidRDefault="00416434" w:rsidP="00416434">
            <w:pPr>
              <w:ind w:left="113" w:right="113"/>
              <w:jc w:val="center"/>
              <w:rPr>
                <w:rFonts w:ascii="Times New Roman" w:eastAsia="Arial" w:hAnsi="Times New Roman"/>
                <w:sz w:val="20"/>
                <w:szCs w:val="20"/>
                <w:lang w:eastAsia="en-US"/>
              </w:rPr>
            </w:pPr>
          </w:p>
        </w:tc>
        <w:tc>
          <w:tcPr>
            <w:tcW w:w="1106" w:type="dxa"/>
            <w:tcBorders>
              <w:top w:val="single" w:sz="4" w:space="0" w:color="auto"/>
              <w:left w:val="nil"/>
              <w:bottom w:val="single" w:sz="4" w:space="0" w:color="auto"/>
              <w:right w:val="single" w:sz="4" w:space="0" w:color="auto"/>
            </w:tcBorders>
            <w:shd w:val="clear" w:color="auto" w:fill="auto"/>
            <w:noWrap/>
            <w:textDirection w:val="btLr"/>
            <w:vAlign w:val="center"/>
          </w:tcPr>
          <w:p w14:paraId="449FAD60" w14:textId="3A793995" w:rsidR="00416434" w:rsidRPr="00C2587D" w:rsidRDefault="00416434" w:rsidP="00416434">
            <w:pPr>
              <w:ind w:left="113" w:right="113"/>
              <w:jc w:val="center"/>
              <w:rPr>
                <w:rFonts w:ascii="Times New Roman" w:eastAsia="Arial" w:hAnsi="Times New Roman"/>
                <w:b/>
                <w:sz w:val="20"/>
                <w:szCs w:val="20"/>
                <w:lang w:eastAsia="en-US"/>
              </w:rPr>
            </w:pPr>
            <w:r w:rsidRPr="00C2587D">
              <w:rPr>
                <w:rFonts w:ascii="Times New Roman" w:hAnsi="Times New Roman"/>
                <w:b/>
                <w:sz w:val="20"/>
                <w:szCs w:val="20"/>
              </w:rPr>
              <w:t>8200,00</w:t>
            </w:r>
          </w:p>
        </w:tc>
      </w:tr>
      <w:tr w:rsidR="00416434" w:rsidRPr="00C2587D" w14:paraId="01AAFF72" w14:textId="77777777" w:rsidTr="00A041B2">
        <w:trPr>
          <w:cantSplit/>
          <w:trHeight w:val="292"/>
        </w:trPr>
        <w:tc>
          <w:tcPr>
            <w:tcW w:w="15175" w:type="dxa"/>
            <w:gridSpan w:val="19"/>
            <w:tcBorders>
              <w:top w:val="nil"/>
              <w:left w:val="single" w:sz="4" w:space="0" w:color="auto"/>
              <w:bottom w:val="single" w:sz="4" w:space="0" w:color="auto"/>
              <w:right w:val="single" w:sz="4" w:space="0" w:color="auto"/>
            </w:tcBorders>
            <w:shd w:val="clear" w:color="auto" w:fill="auto"/>
            <w:vAlign w:val="center"/>
          </w:tcPr>
          <w:p w14:paraId="6471ED57" w14:textId="75EF7E9C" w:rsidR="00416434" w:rsidRPr="00C2587D" w:rsidRDefault="00416434" w:rsidP="00DE3DCF">
            <w:pPr>
              <w:ind w:left="113" w:right="113"/>
              <w:jc w:val="center"/>
              <w:rPr>
                <w:rFonts w:ascii="Times New Roman" w:hAnsi="Times New Roman"/>
                <w:b/>
                <w:sz w:val="20"/>
                <w:szCs w:val="20"/>
              </w:rPr>
            </w:pPr>
            <w:r w:rsidRPr="00C2587D">
              <w:rPr>
                <w:rFonts w:ascii="Times New Roman" w:hAnsi="Times New Roman"/>
                <w:b/>
                <w:sz w:val="20"/>
                <w:szCs w:val="20"/>
              </w:rPr>
              <w:t>Управління соціального захисту населення та охорони здоров’я</w:t>
            </w:r>
          </w:p>
        </w:tc>
      </w:tr>
      <w:tr w:rsidR="00416434" w:rsidRPr="00C2587D" w14:paraId="6F1AE3F1" w14:textId="77777777" w:rsidTr="00FF28D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vAlign w:val="center"/>
          </w:tcPr>
          <w:p w14:paraId="73BB4AF9" w14:textId="641E67C2" w:rsidR="00416434" w:rsidRPr="00C2587D" w:rsidRDefault="00416434" w:rsidP="00FF28D2">
            <w:pPr>
              <w:rPr>
                <w:rFonts w:ascii="Times New Roman" w:hAnsi="Times New Roman"/>
                <w:sz w:val="20"/>
                <w:szCs w:val="20"/>
              </w:rPr>
            </w:pPr>
            <w:r w:rsidRPr="00C2587D">
              <w:rPr>
                <w:rFonts w:ascii="Times New Roman" w:eastAsia="Arial" w:hAnsi="Times New Roman"/>
                <w:sz w:val="20"/>
                <w:szCs w:val="20"/>
                <w:lang w:eastAsia="en-US"/>
              </w:rPr>
              <w:t>1</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7338350E" w14:textId="72E44E08" w:rsidR="00416434" w:rsidRPr="00C2587D" w:rsidRDefault="00416434" w:rsidP="00416434">
            <w:pPr>
              <w:rPr>
                <w:rFonts w:ascii="Times New Roman" w:hAnsi="Times New Roman"/>
                <w:sz w:val="20"/>
                <w:szCs w:val="20"/>
              </w:rPr>
            </w:pPr>
            <w:r w:rsidRPr="00C2587D">
              <w:rPr>
                <w:rFonts w:ascii="Times New Roman" w:eastAsia="Arial" w:hAnsi="Times New Roman"/>
                <w:sz w:val="20"/>
                <w:szCs w:val="20"/>
                <w:lang w:eastAsia="en-US"/>
              </w:rPr>
              <w:t>Проєкт «Реконструкція даху з утепленням фасадів будівлі головного корпусу КНП «Жмеринська ЦРЛ» по вул.</w:t>
            </w:r>
            <w:r w:rsidR="00DE3DCF">
              <w:rPr>
                <w:rFonts w:ascii="Times New Roman" w:eastAsia="Arial" w:hAnsi="Times New Roman"/>
                <w:sz w:val="20"/>
                <w:szCs w:val="20"/>
                <w:lang w:eastAsia="en-US"/>
              </w:rPr>
              <w:t xml:space="preserve"> </w:t>
            </w:r>
            <w:r w:rsidRPr="00C2587D">
              <w:rPr>
                <w:rFonts w:ascii="Times New Roman" w:eastAsia="Arial" w:hAnsi="Times New Roman"/>
                <w:sz w:val="20"/>
                <w:szCs w:val="20"/>
                <w:lang w:eastAsia="en-US"/>
              </w:rPr>
              <w:t>Київська, 288 в м.Жмеринка Вінницької області»</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E584B01" w14:textId="1AE37D7A" w:rsidR="00416434" w:rsidRPr="00C2587D" w:rsidRDefault="00416434" w:rsidP="00416434">
            <w:pPr>
              <w:ind w:left="113" w:right="113"/>
              <w:jc w:val="center"/>
              <w:rPr>
                <w:rFonts w:ascii="Times New Roman" w:hAnsi="Times New Roman"/>
                <w:b/>
                <w:sz w:val="20"/>
                <w:szCs w:val="20"/>
              </w:rPr>
            </w:pPr>
            <w:r w:rsidRPr="00C2587D">
              <w:rPr>
                <w:rFonts w:ascii="Times New Roman" w:eastAsia="Arial" w:hAnsi="Times New Roman"/>
                <w:b/>
                <w:sz w:val="20"/>
                <w:szCs w:val="20"/>
                <w:lang w:eastAsia="en-US"/>
              </w:rPr>
              <w:t>14992,557</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2C423503" w14:textId="245178E1" w:rsidR="00416434" w:rsidRPr="00C2587D" w:rsidRDefault="00416434" w:rsidP="00416434">
            <w:pPr>
              <w:ind w:left="113" w:right="113"/>
              <w:jc w:val="center"/>
              <w:rPr>
                <w:rFonts w:ascii="Times New Roman" w:hAnsi="Times New Roman"/>
                <w:sz w:val="20"/>
                <w:szCs w:val="20"/>
              </w:rPr>
            </w:pPr>
            <w:r w:rsidRPr="00C2587D">
              <w:rPr>
                <w:rFonts w:ascii="Times New Roman" w:eastAsia="Arial" w:hAnsi="Times New Roman"/>
                <w:sz w:val="20"/>
                <w:szCs w:val="20"/>
                <w:lang w:eastAsia="en-US"/>
              </w:rPr>
              <w:t>2998,512</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2F89128" w14:textId="6497151F" w:rsidR="00416434" w:rsidRPr="00C2587D" w:rsidRDefault="00416434" w:rsidP="00416434">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4E54F93" w14:textId="131227BF" w:rsidR="00416434" w:rsidRPr="00C2587D" w:rsidRDefault="00416434" w:rsidP="00416434">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1600,000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C2A7C0B" w14:textId="3A8B89ED" w:rsidR="00416434" w:rsidRPr="00C2587D" w:rsidRDefault="00416434" w:rsidP="00416434">
            <w:pPr>
              <w:ind w:left="113" w:right="113"/>
              <w:jc w:val="center"/>
              <w:rPr>
                <w:rFonts w:ascii="Times New Roman" w:hAnsi="Times New Roman"/>
                <w:sz w:val="20"/>
                <w:szCs w:val="20"/>
              </w:rPr>
            </w:pPr>
            <w:r w:rsidRPr="00C2587D">
              <w:rPr>
                <w:rFonts w:ascii="Times New Roman" w:eastAsia="Arial" w:hAnsi="Times New Roman"/>
                <w:sz w:val="20"/>
                <w:szCs w:val="20"/>
                <w:lang w:eastAsia="en-US"/>
              </w:rPr>
              <w:t>1398,512</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4E580F8" w14:textId="16372423" w:rsidR="00416434" w:rsidRPr="00C2587D" w:rsidRDefault="00416434" w:rsidP="00416434">
            <w:pPr>
              <w:ind w:left="113" w:right="113"/>
              <w:jc w:val="center"/>
              <w:rPr>
                <w:rFonts w:ascii="Times New Roman" w:hAnsi="Times New Roman"/>
                <w:sz w:val="20"/>
                <w:szCs w:val="20"/>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3391952B" w14:textId="5C7220CA" w:rsidR="00416434" w:rsidRPr="00C2587D" w:rsidRDefault="00416434" w:rsidP="00416434">
            <w:pPr>
              <w:ind w:left="113" w:right="113"/>
              <w:jc w:val="center"/>
              <w:rPr>
                <w:rFonts w:ascii="Times New Roman" w:hAnsi="Times New Roman"/>
                <w:sz w:val="20"/>
                <w:szCs w:val="20"/>
              </w:rPr>
            </w:pPr>
            <w:r w:rsidRPr="00C2587D">
              <w:rPr>
                <w:rFonts w:ascii="Times New Roman" w:eastAsia="Arial" w:hAnsi="Times New Roman"/>
                <w:sz w:val="20"/>
                <w:szCs w:val="20"/>
                <w:lang w:eastAsia="en-US"/>
              </w:rPr>
              <w:t>11994,045</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3145BC0" w14:textId="2160C990" w:rsidR="00416434" w:rsidRPr="00C2587D" w:rsidRDefault="00416434" w:rsidP="00416434">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F10B960" w14:textId="19216D89" w:rsidR="00416434" w:rsidRPr="00C2587D" w:rsidRDefault="00416434" w:rsidP="00416434">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6400,000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FA495FA" w14:textId="3273DA8A" w:rsidR="00416434" w:rsidRPr="00C2587D" w:rsidRDefault="00416434" w:rsidP="00416434">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5594,045</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81A8CA3" w14:textId="2193BBB3" w:rsidR="00416434" w:rsidRPr="00C2587D" w:rsidRDefault="00416434" w:rsidP="00416434">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4D920395" w14:textId="3B947428" w:rsidR="00416434" w:rsidRPr="00C2587D" w:rsidRDefault="00416434" w:rsidP="00416434">
            <w:pPr>
              <w:ind w:left="113" w:right="113"/>
              <w:jc w:val="center"/>
              <w:rPr>
                <w:rFonts w:ascii="Times New Roman" w:hAnsi="Times New Roman"/>
                <w:sz w:val="20"/>
                <w:szCs w:val="20"/>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5A05812" w14:textId="4938E9DD" w:rsidR="00416434" w:rsidRPr="00C2587D" w:rsidRDefault="00416434" w:rsidP="00416434">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35FAECA" w14:textId="27709A21" w:rsidR="00416434" w:rsidRPr="00C2587D" w:rsidRDefault="00416434" w:rsidP="00416434">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8C145CA" w14:textId="25D5AB79" w:rsidR="00416434" w:rsidRPr="00C2587D" w:rsidRDefault="00416434" w:rsidP="00416434">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99F1806" w14:textId="111FFF60" w:rsidR="00416434" w:rsidRPr="00C2587D" w:rsidRDefault="00416434" w:rsidP="00416434">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07695628" w14:textId="1394C51E" w:rsidR="00416434" w:rsidRPr="00C2587D" w:rsidRDefault="00416434" w:rsidP="00416434">
            <w:pPr>
              <w:ind w:left="113" w:right="113"/>
              <w:jc w:val="center"/>
              <w:rPr>
                <w:rFonts w:ascii="Times New Roman" w:hAnsi="Times New Roman"/>
                <w:b/>
                <w:sz w:val="20"/>
                <w:szCs w:val="20"/>
              </w:rPr>
            </w:pPr>
            <w:r w:rsidRPr="00C2587D">
              <w:rPr>
                <w:rFonts w:ascii="Times New Roman" w:eastAsia="Arial" w:hAnsi="Times New Roman"/>
                <w:b/>
                <w:sz w:val="20"/>
                <w:szCs w:val="20"/>
                <w:lang w:eastAsia="en-US"/>
              </w:rPr>
              <w:t>14992,557</w:t>
            </w:r>
          </w:p>
        </w:tc>
      </w:tr>
      <w:tr w:rsidR="00416434" w:rsidRPr="00C2587D" w14:paraId="1EE43454" w14:textId="77777777" w:rsidTr="00A041B2">
        <w:trPr>
          <w:cantSplit/>
          <w:trHeight w:val="311"/>
        </w:trPr>
        <w:tc>
          <w:tcPr>
            <w:tcW w:w="15175" w:type="dxa"/>
            <w:gridSpan w:val="19"/>
            <w:tcBorders>
              <w:top w:val="single" w:sz="4" w:space="0" w:color="auto"/>
              <w:left w:val="single" w:sz="4" w:space="0" w:color="auto"/>
              <w:bottom w:val="single" w:sz="4" w:space="0" w:color="auto"/>
              <w:right w:val="single" w:sz="4" w:space="0" w:color="auto"/>
            </w:tcBorders>
            <w:shd w:val="clear" w:color="auto" w:fill="auto"/>
            <w:vAlign w:val="center"/>
          </w:tcPr>
          <w:p w14:paraId="03A2FD83" w14:textId="01AAF1AF" w:rsidR="00416434" w:rsidRPr="00C2587D" w:rsidRDefault="00416434" w:rsidP="00DE3DCF">
            <w:pPr>
              <w:ind w:left="113" w:right="113"/>
              <w:jc w:val="center"/>
              <w:rPr>
                <w:rFonts w:ascii="Times New Roman" w:hAnsi="Times New Roman"/>
                <w:b/>
                <w:sz w:val="20"/>
                <w:szCs w:val="20"/>
              </w:rPr>
            </w:pPr>
            <w:r w:rsidRPr="00C2587D">
              <w:rPr>
                <w:rFonts w:ascii="Times New Roman" w:hAnsi="Times New Roman"/>
                <w:b/>
                <w:sz w:val="20"/>
                <w:szCs w:val="20"/>
              </w:rPr>
              <w:t>Управління культури</w:t>
            </w:r>
          </w:p>
        </w:tc>
      </w:tr>
      <w:tr w:rsidR="008B4216" w:rsidRPr="00C2587D" w14:paraId="0AF38379" w14:textId="77777777" w:rsidTr="00FF28D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vAlign w:val="center"/>
          </w:tcPr>
          <w:p w14:paraId="37BA034E" w14:textId="0E0A332A" w:rsidR="008B4216" w:rsidRPr="00C2587D" w:rsidRDefault="00390C4F" w:rsidP="00FF28D2">
            <w:pPr>
              <w:rPr>
                <w:rFonts w:ascii="Times New Roman" w:eastAsia="Arial" w:hAnsi="Times New Roman"/>
                <w:sz w:val="20"/>
                <w:szCs w:val="20"/>
                <w:lang w:eastAsia="en-US"/>
              </w:rPr>
            </w:pPr>
            <w:r w:rsidRPr="00C2587D">
              <w:rPr>
                <w:rFonts w:ascii="Times New Roman" w:eastAsia="Arial" w:hAnsi="Times New Roman"/>
                <w:sz w:val="20"/>
                <w:szCs w:val="20"/>
                <w:lang w:eastAsia="en-US"/>
              </w:rPr>
              <w:t>1</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2F0148CF" w14:textId="31403C62" w:rsidR="008B4216" w:rsidRPr="00C2587D" w:rsidRDefault="008B4216" w:rsidP="008B4216">
            <w:pPr>
              <w:rPr>
                <w:rFonts w:ascii="Times New Roman" w:hAnsi="Times New Roman"/>
                <w:sz w:val="20"/>
                <w:szCs w:val="20"/>
                <w:lang w:eastAsia="it-IT"/>
              </w:rPr>
            </w:pPr>
            <w:r w:rsidRPr="00C2587D">
              <w:rPr>
                <w:rFonts w:ascii="Times New Roman" w:hAnsi="Times New Roman"/>
                <w:sz w:val="20"/>
                <w:szCs w:val="20"/>
                <w:lang w:eastAsia="it-IT"/>
              </w:rPr>
              <w:t>«Тепло- та</w:t>
            </w:r>
            <w:r w:rsidR="00DE3DCF">
              <w:rPr>
                <w:rFonts w:ascii="Times New Roman" w:hAnsi="Times New Roman"/>
                <w:sz w:val="20"/>
                <w:szCs w:val="20"/>
                <w:lang w:eastAsia="it-IT"/>
              </w:rPr>
              <w:t xml:space="preserve"> енергозбереження закладів куль</w:t>
            </w:r>
            <w:r w:rsidRPr="00C2587D">
              <w:rPr>
                <w:rFonts w:ascii="Times New Roman" w:hAnsi="Times New Roman"/>
                <w:sz w:val="20"/>
                <w:szCs w:val="20"/>
                <w:lang w:eastAsia="it-IT"/>
              </w:rPr>
              <w:t>тури Жмеринської громади»,</w:t>
            </w:r>
          </w:p>
          <w:p w14:paraId="761D98B5" w14:textId="5F5307F0" w:rsidR="008B4216" w:rsidRPr="00C2587D" w:rsidRDefault="008B4216" w:rsidP="008B4216">
            <w:pPr>
              <w:rPr>
                <w:rFonts w:ascii="Times New Roman" w:hAnsi="Times New Roman"/>
                <w:sz w:val="20"/>
                <w:szCs w:val="20"/>
                <w:lang w:eastAsia="it-IT"/>
              </w:rPr>
            </w:pPr>
            <w:r w:rsidRPr="00C2587D">
              <w:rPr>
                <w:rFonts w:ascii="Times New Roman" w:eastAsia="Arial" w:hAnsi="Times New Roman"/>
                <w:w w:val="105"/>
                <w:sz w:val="20"/>
                <w:szCs w:val="20"/>
                <w:lang w:eastAsia="en-US"/>
              </w:rPr>
              <w:t>реалізація</w:t>
            </w:r>
            <w:r w:rsidRPr="00C2587D">
              <w:rPr>
                <w:rFonts w:ascii="Times New Roman" w:eastAsia="Arial" w:hAnsi="Times New Roman"/>
                <w:spacing w:val="57"/>
                <w:w w:val="105"/>
                <w:sz w:val="20"/>
                <w:szCs w:val="20"/>
                <w:lang w:eastAsia="en-US"/>
              </w:rPr>
              <w:t xml:space="preserve"> </w:t>
            </w:r>
            <w:r w:rsidRPr="00C2587D">
              <w:rPr>
                <w:rFonts w:ascii="Times New Roman" w:eastAsia="Arial" w:hAnsi="Times New Roman"/>
                <w:spacing w:val="-2"/>
                <w:w w:val="105"/>
                <w:sz w:val="20"/>
                <w:szCs w:val="20"/>
                <w:lang w:eastAsia="en-US"/>
              </w:rPr>
              <w:t>триває</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8783BA2" w14:textId="0A5EC7F9" w:rsidR="008B4216" w:rsidRPr="00C2587D" w:rsidRDefault="006B4969" w:rsidP="008B4216">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13764,0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679494A2" w14:textId="05543415" w:rsidR="008B4216" w:rsidRPr="00C2587D" w:rsidRDefault="006B4969" w:rsidP="008B421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13764,0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A170270" w14:textId="56BCD3F6" w:rsidR="008B4216" w:rsidRPr="00C2587D" w:rsidRDefault="00390C4F" w:rsidP="008B421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632,0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FC558A1" w14:textId="251C6EEB" w:rsidR="008B4216" w:rsidRPr="00C2587D" w:rsidRDefault="00390C4F" w:rsidP="008B421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5282,0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0E5FF72" w14:textId="4ED7EC16" w:rsidR="008B4216" w:rsidRPr="00C2587D" w:rsidRDefault="00390C4F" w:rsidP="008B4216">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7760,0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2855BB5" w14:textId="509C70CA" w:rsidR="008B4216" w:rsidRPr="00C2587D" w:rsidRDefault="008B4216" w:rsidP="008B421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211BF770" w14:textId="7D1E4A5F" w:rsidR="008B4216" w:rsidRPr="00C2587D" w:rsidRDefault="008B4216" w:rsidP="008B421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8F04A02" w14:textId="36D3F9AE" w:rsidR="008B4216" w:rsidRPr="00C2587D" w:rsidRDefault="008B4216" w:rsidP="008B4216">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5540767" w14:textId="3E1B4287" w:rsidR="008B4216" w:rsidRPr="00C2587D" w:rsidRDefault="008B4216" w:rsidP="008B421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3ACE651" w14:textId="29585E02" w:rsidR="008B4216" w:rsidRPr="00C2587D" w:rsidRDefault="008B4216" w:rsidP="008B4216">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B0C7A7B" w14:textId="0B1114D1" w:rsidR="008B4216" w:rsidRPr="00C2587D" w:rsidRDefault="008B4216" w:rsidP="008B421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08C39E59" w14:textId="29B7CBC5" w:rsidR="008B4216" w:rsidRPr="00C2587D" w:rsidRDefault="008B4216" w:rsidP="008B421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39E71C1" w14:textId="4C851D09" w:rsidR="008B4216" w:rsidRPr="00C2587D" w:rsidRDefault="008B4216" w:rsidP="008B421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07EE683" w14:textId="1D25C1B6" w:rsidR="008B4216" w:rsidRPr="00C2587D" w:rsidRDefault="008B4216" w:rsidP="008B4216">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F5DEA90" w14:textId="6BE7228F" w:rsidR="008B4216" w:rsidRPr="00C2587D" w:rsidRDefault="008B4216" w:rsidP="008B4216">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0FC47EA" w14:textId="600CF385" w:rsidR="008B4216" w:rsidRPr="00C2587D" w:rsidRDefault="008B4216" w:rsidP="008B4216">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195FCACB" w14:textId="5986D91C" w:rsidR="008B4216" w:rsidRPr="00C2587D" w:rsidRDefault="006B4969" w:rsidP="008B4216">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13764,0</w:t>
            </w:r>
          </w:p>
        </w:tc>
      </w:tr>
      <w:tr w:rsidR="00390C4F" w:rsidRPr="00C2587D" w14:paraId="4AC46149" w14:textId="77777777" w:rsidTr="00FF28D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vAlign w:val="center"/>
          </w:tcPr>
          <w:p w14:paraId="0D51C77E" w14:textId="38597B3F" w:rsidR="00390C4F" w:rsidRPr="00C2587D" w:rsidRDefault="00390C4F" w:rsidP="00FF28D2">
            <w:pPr>
              <w:rPr>
                <w:rFonts w:ascii="Times New Roman" w:eastAsia="Arial" w:hAnsi="Times New Roman"/>
                <w:sz w:val="20"/>
                <w:szCs w:val="20"/>
                <w:lang w:eastAsia="en-US"/>
              </w:rPr>
            </w:pPr>
            <w:r w:rsidRPr="00C2587D">
              <w:rPr>
                <w:rFonts w:ascii="Times New Roman" w:eastAsia="Arial" w:hAnsi="Times New Roman"/>
                <w:sz w:val="20"/>
                <w:szCs w:val="20"/>
                <w:lang w:eastAsia="en-US"/>
              </w:rPr>
              <w:t>2.</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155EDA55" w14:textId="1E83AA8C" w:rsidR="00390C4F" w:rsidRPr="00C2587D" w:rsidRDefault="00390C4F" w:rsidP="006B4969">
            <w:pPr>
              <w:rPr>
                <w:rFonts w:ascii="Times New Roman" w:hAnsi="Times New Roman"/>
                <w:sz w:val="20"/>
                <w:szCs w:val="20"/>
                <w:lang w:eastAsia="it-IT"/>
              </w:rPr>
            </w:pPr>
            <w:r w:rsidRPr="00C2587D">
              <w:rPr>
                <w:rFonts w:ascii="Times New Roman" w:hAnsi="Times New Roman"/>
                <w:sz w:val="20"/>
                <w:szCs w:val="20"/>
                <w:lang w:eastAsia="it-IT"/>
              </w:rPr>
              <w:t>«Безпечна</w:t>
            </w:r>
            <w:r w:rsidR="006B4969" w:rsidRPr="00C2587D">
              <w:rPr>
                <w:rFonts w:ascii="Times New Roman" w:hAnsi="Times New Roman"/>
                <w:sz w:val="20"/>
                <w:szCs w:val="20"/>
                <w:lang w:eastAsia="it-IT"/>
              </w:rPr>
              <w:t xml:space="preserve"> культура: облаштування укриття в будинку  культури села: </w:t>
            </w:r>
            <w:r w:rsidRPr="00C2587D">
              <w:rPr>
                <w:rFonts w:ascii="Times New Roman" w:hAnsi="Times New Roman"/>
                <w:sz w:val="20"/>
                <w:szCs w:val="20"/>
                <w:lang w:eastAsia="it-IT"/>
              </w:rPr>
              <w:t xml:space="preserve"> Почапинці</w:t>
            </w:r>
            <w:r w:rsidR="006B4969" w:rsidRPr="00C2587D">
              <w:rPr>
                <w:rFonts w:ascii="Times New Roman" w:hAnsi="Times New Roman"/>
                <w:sz w:val="20"/>
                <w:szCs w:val="20"/>
                <w:lang w:eastAsia="it-IT"/>
              </w:rPr>
              <w:t xml:space="preserve">» </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2EAB323" w14:textId="653B7BDA" w:rsidR="00390C4F" w:rsidRPr="00C2587D" w:rsidRDefault="006B4969" w:rsidP="00390C4F">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4700,0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30E731C3" w14:textId="1C96EE2A" w:rsidR="00390C4F" w:rsidRPr="00C2587D" w:rsidRDefault="006B4969" w:rsidP="00390C4F">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4700,0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06CDCFC" w14:textId="60368B1A" w:rsidR="00390C4F" w:rsidRPr="00C2587D" w:rsidRDefault="00390C4F" w:rsidP="00390C4F">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B666C8A" w14:textId="242E3AEA" w:rsidR="00390C4F" w:rsidRPr="00C2587D" w:rsidRDefault="006B4969" w:rsidP="00390C4F">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4700,0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35EBE6E" w14:textId="5F67396A" w:rsidR="00390C4F" w:rsidRPr="00C2587D" w:rsidRDefault="00390C4F" w:rsidP="00390C4F">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4BC42B2" w14:textId="1222E2E5" w:rsidR="00390C4F" w:rsidRPr="00C2587D" w:rsidRDefault="00390C4F" w:rsidP="00390C4F">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2557A478" w14:textId="2BAC7575" w:rsidR="00390C4F" w:rsidRPr="00C2587D" w:rsidRDefault="00390C4F" w:rsidP="00390C4F">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E4D6876" w14:textId="2C8955C7" w:rsidR="00390C4F" w:rsidRPr="00C2587D" w:rsidRDefault="00390C4F" w:rsidP="00390C4F">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AAD3AAD" w14:textId="0226FB74" w:rsidR="00390C4F" w:rsidRPr="00C2587D" w:rsidRDefault="00390C4F" w:rsidP="00390C4F">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2B0E773" w14:textId="4681F1D3" w:rsidR="00390C4F" w:rsidRPr="00C2587D" w:rsidRDefault="00390C4F" w:rsidP="00390C4F">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7ABF022" w14:textId="0627F8D7" w:rsidR="00390C4F" w:rsidRPr="00C2587D" w:rsidRDefault="00390C4F" w:rsidP="00390C4F">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0A281B87" w14:textId="40DD558E" w:rsidR="00390C4F" w:rsidRPr="00C2587D" w:rsidRDefault="00390C4F" w:rsidP="00390C4F">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FB4AEFC" w14:textId="7CE38E77" w:rsidR="00390C4F" w:rsidRPr="00C2587D" w:rsidRDefault="00390C4F" w:rsidP="00390C4F">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1A9C215" w14:textId="4DEFA040" w:rsidR="00390C4F" w:rsidRPr="00C2587D" w:rsidRDefault="00390C4F" w:rsidP="00390C4F">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8874C83" w14:textId="646D3DFB" w:rsidR="00390C4F" w:rsidRPr="00C2587D" w:rsidRDefault="00390C4F" w:rsidP="00390C4F">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98F0FDD" w14:textId="01B05303" w:rsidR="00390C4F" w:rsidRPr="00C2587D" w:rsidRDefault="00390C4F" w:rsidP="00390C4F">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406055B2" w14:textId="360B35AF" w:rsidR="00390C4F" w:rsidRPr="00C2587D" w:rsidRDefault="006B4969" w:rsidP="00390C4F">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4700,0</w:t>
            </w:r>
          </w:p>
        </w:tc>
      </w:tr>
      <w:tr w:rsidR="006B4969" w:rsidRPr="00C2587D" w14:paraId="1AE83865" w14:textId="77777777" w:rsidTr="00FF28D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vAlign w:val="center"/>
          </w:tcPr>
          <w:p w14:paraId="2201560D" w14:textId="67174C18" w:rsidR="006B4969" w:rsidRPr="00C2587D" w:rsidRDefault="006B4969" w:rsidP="00FF28D2">
            <w:pPr>
              <w:rPr>
                <w:rFonts w:ascii="Times New Roman" w:eastAsia="Arial" w:hAnsi="Times New Roman"/>
                <w:sz w:val="20"/>
                <w:szCs w:val="20"/>
                <w:lang w:eastAsia="en-US"/>
              </w:rPr>
            </w:pPr>
            <w:r w:rsidRPr="00C2587D">
              <w:rPr>
                <w:rFonts w:ascii="Times New Roman" w:eastAsia="Arial" w:hAnsi="Times New Roman"/>
                <w:sz w:val="20"/>
                <w:szCs w:val="20"/>
                <w:lang w:eastAsia="en-US"/>
              </w:rPr>
              <w:t>3</w:t>
            </w:r>
          </w:p>
        </w:tc>
        <w:tc>
          <w:tcPr>
            <w:tcW w:w="2113" w:type="dxa"/>
            <w:tcBorders>
              <w:top w:val="single" w:sz="4" w:space="0" w:color="auto"/>
              <w:left w:val="single" w:sz="4" w:space="0" w:color="auto"/>
              <w:bottom w:val="single" w:sz="4" w:space="0" w:color="auto"/>
              <w:right w:val="single" w:sz="4" w:space="0" w:color="auto"/>
            </w:tcBorders>
            <w:shd w:val="clear" w:color="auto" w:fill="auto"/>
          </w:tcPr>
          <w:p w14:paraId="284EE360" w14:textId="2B15D19E" w:rsidR="006B4969" w:rsidRPr="00C2587D" w:rsidRDefault="006B4969" w:rsidP="006B4969">
            <w:pPr>
              <w:rPr>
                <w:rFonts w:ascii="Times New Roman" w:hAnsi="Times New Roman"/>
                <w:sz w:val="20"/>
                <w:szCs w:val="20"/>
                <w:lang w:eastAsia="it-IT"/>
              </w:rPr>
            </w:pPr>
            <w:r w:rsidRPr="00C2587D">
              <w:rPr>
                <w:rFonts w:ascii="Times New Roman" w:hAnsi="Times New Roman"/>
                <w:sz w:val="20"/>
                <w:szCs w:val="20"/>
                <w:lang w:eastAsia="it-IT"/>
              </w:rPr>
              <w:t xml:space="preserve">«Безпечна культура: облаштування укриття в будинку  культури села:  Біликівці» </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575AB9E" w14:textId="75000618" w:rsidR="006B4969" w:rsidRPr="00C2587D" w:rsidRDefault="006B4969" w:rsidP="006B4969">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10000,0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3E45D31F" w14:textId="3CDC92FF" w:rsidR="006B4969" w:rsidRPr="00C2587D" w:rsidRDefault="006B4969" w:rsidP="006B4969">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7C11685" w14:textId="77777777" w:rsidR="006B4969" w:rsidRPr="00C2587D" w:rsidRDefault="006B4969" w:rsidP="006B4969">
            <w:pPr>
              <w:ind w:left="113" w:right="113"/>
              <w:jc w:val="center"/>
              <w:rPr>
                <w:rFonts w:ascii="Times New Roman" w:eastAsia="Arial" w:hAnsi="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589A004" w14:textId="7F17531E" w:rsidR="006B4969" w:rsidRPr="00C2587D" w:rsidRDefault="006B4969" w:rsidP="006B4969">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BCCA007" w14:textId="77777777" w:rsidR="006B4969" w:rsidRPr="00C2587D" w:rsidRDefault="006B4969" w:rsidP="006B4969">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4241FEF" w14:textId="77777777" w:rsidR="006B4969" w:rsidRPr="00C2587D" w:rsidRDefault="006B4969" w:rsidP="006B4969">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18E9E32D" w14:textId="77777777" w:rsidR="006B4969" w:rsidRPr="00C2587D" w:rsidRDefault="006B4969" w:rsidP="006B4969">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FBCF689" w14:textId="77777777" w:rsidR="006B4969" w:rsidRPr="00C2587D" w:rsidRDefault="006B4969" w:rsidP="006B4969">
            <w:pPr>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F4AC0A8" w14:textId="77777777" w:rsidR="006B4969" w:rsidRPr="00C2587D" w:rsidRDefault="006B4969" w:rsidP="006B4969">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1CDD389" w14:textId="77777777" w:rsidR="006B4969" w:rsidRPr="00C2587D" w:rsidRDefault="006B4969" w:rsidP="006B4969">
            <w:pPr>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038F4D3" w14:textId="77777777" w:rsidR="006B4969" w:rsidRPr="00C2587D" w:rsidRDefault="006B4969" w:rsidP="006B4969">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54153C7C" w14:textId="77777777" w:rsidR="006B4969" w:rsidRPr="00C2587D" w:rsidRDefault="006B4969" w:rsidP="006B4969">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DBE485F" w14:textId="77777777" w:rsidR="006B4969" w:rsidRPr="00C2587D" w:rsidRDefault="006B4969" w:rsidP="006B4969">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7EB50DC" w14:textId="77777777" w:rsidR="006B4969" w:rsidRPr="00C2587D" w:rsidRDefault="006B4969" w:rsidP="006B4969">
            <w:pPr>
              <w:ind w:left="113" w:right="113"/>
              <w:jc w:val="center"/>
              <w:rPr>
                <w:rFonts w:ascii="Times New Roman" w:eastAsia="Arial" w:hAnsi="Times New Roman"/>
                <w:sz w:val="20"/>
                <w:szCs w:val="20"/>
                <w:lang w:eastAsia="en-US"/>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989D46D" w14:textId="77777777" w:rsidR="006B4969" w:rsidRPr="00C2587D" w:rsidRDefault="006B4969" w:rsidP="006B4969">
            <w:pPr>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7A71E87" w14:textId="77777777" w:rsidR="006B4969" w:rsidRPr="00C2587D" w:rsidRDefault="006B4969" w:rsidP="006B4969">
            <w:pPr>
              <w:ind w:left="113" w:right="113"/>
              <w:jc w:val="center"/>
              <w:rPr>
                <w:rFonts w:ascii="Times New Roman" w:eastAsia="Arial" w:hAnsi="Times New Roman"/>
                <w:sz w:val="20"/>
                <w:szCs w:val="20"/>
                <w:lang w:eastAsia="en-US"/>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614B2571" w14:textId="1CF6AF2C" w:rsidR="006B4969" w:rsidRPr="00C2587D" w:rsidRDefault="006B4969" w:rsidP="006B4969">
            <w:pPr>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10000,0</w:t>
            </w:r>
          </w:p>
        </w:tc>
      </w:tr>
      <w:tr w:rsidR="00BC5959" w:rsidRPr="00C2587D" w14:paraId="73D234D5" w14:textId="77777777" w:rsidTr="00A041B2">
        <w:trPr>
          <w:cantSplit/>
          <w:trHeight w:val="982"/>
        </w:trPr>
        <w:tc>
          <w:tcPr>
            <w:tcW w:w="531" w:type="dxa"/>
            <w:tcBorders>
              <w:top w:val="single" w:sz="4" w:space="0" w:color="auto"/>
              <w:left w:val="single" w:sz="4" w:space="0" w:color="auto"/>
              <w:bottom w:val="single" w:sz="4" w:space="0" w:color="auto"/>
              <w:right w:val="single" w:sz="4" w:space="0" w:color="auto"/>
            </w:tcBorders>
            <w:shd w:val="clear" w:color="auto" w:fill="auto"/>
            <w:vAlign w:val="center"/>
          </w:tcPr>
          <w:p w14:paraId="1B98DCBF" w14:textId="77777777" w:rsidR="00BC5959" w:rsidRPr="00C2587D" w:rsidRDefault="00BC5959" w:rsidP="00444B42">
            <w:pPr>
              <w:jc w:val="center"/>
              <w:rPr>
                <w:rFonts w:ascii="Times New Roman" w:eastAsia="Arial" w:hAnsi="Times New Roman"/>
                <w:sz w:val="20"/>
                <w:szCs w:val="20"/>
                <w:lang w:eastAsia="en-US"/>
              </w:rPr>
            </w:pPr>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tcPr>
          <w:p w14:paraId="5259532B" w14:textId="1DD44297" w:rsidR="00BC5959" w:rsidRPr="00C2587D" w:rsidRDefault="00BC5959" w:rsidP="00444B42">
            <w:pPr>
              <w:jc w:val="center"/>
              <w:rPr>
                <w:rFonts w:ascii="Times New Roman" w:hAnsi="Times New Roman"/>
                <w:b/>
                <w:sz w:val="20"/>
                <w:szCs w:val="20"/>
                <w:lang w:eastAsia="it-IT"/>
              </w:rPr>
            </w:pPr>
            <w:r w:rsidRPr="00C2587D">
              <w:rPr>
                <w:rFonts w:ascii="Times New Roman" w:hAnsi="Times New Roman"/>
                <w:b/>
                <w:sz w:val="20"/>
                <w:szCs w:val="20"/>
                <w:lang w:eastAsia="it-IT"/>
              </w:rPr>
              <w:t>ВСЬОГО:</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7D872E9" w14:textId="045AF23C" w:rsidR="00BC5959" w:rsidRPr="00C2587D" w:rsidRDefault="00444B42" w:rsidP="00444B42">
            <w:pPr>
              <w:ind w:left="113" w:right="113"/>
              <w:rPr>
                <w:rFonts w:ascii="Times New Roman" w:eastAsia="Arial" w:hAnsi="Times New Roman"/>
                <w:b/>
                <w:sz w:val="20"/>
                <w:szCs w:val="20"/>
                <w:lang w:eastAsia="en-US"/>
              </w:rPr>
            </w:pPr>
            <w:r w:rsidRPr="00C2587D">
              <w:rPr>
                <w:rFonts w:ascii="Times New Roman" w:eastAsia="Arial" w:hAnsi="Times New Roman"/>
                <w:b/>
                <w:sz w:val="20"/>
                <w:szCs w:val="20"/>
                <w:lang w:eastAsia="en-US"/>
              </w:rPr>
              <w:t>528421,7</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55BD29C3" w14:textId="7ABEC723" w:rsidR="00BC5959" w:rsidRPr="00C2587D" w:rsidRDefault="00D67C41" w:rsidP="00444B42">
            <w:pPr>
              <w:ind w:left="113" w:right="113"/>
              <w:rPr>
                <w:rFonts w:ascii="Times New Roman" w:eastAsia="Arial" w:hAnsi="Times New Roman"/>
                <w:sz w:val="20"/>
                <w:szCs w:val="20"/>
                <w:lang w:eastAsia="en-US"/>
              </w:rPr>
            </w:pPr>
            <w:r w:rsidRPr="00C2587D">
              <w:rPr>
                <w:rFonts w:ascii="Times New Roman" w:eastAsia="Arial" w:hAnsi="Times New Roman"/>
                <w:sz w:val="20"/>
                <w:szCs w:val="20"/>
                <w:lang w:eastAsia="en-US"/>
              </w:rPr>
              <w:t>263411,5</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4F804DE" w14:textId="58A1069C" w:rsidR="00BC5959" w:rsidRPr="00C2587D" w:rsidRDefault="00444B42" w:rsidP="00444B42">
            <w:pPr>
              <w:ind w:left="113" w:right="113"/>
              <w:rPr>
                <w:rFonts w:ascii="Times New Roman" w:eastAsia="Arial" w:hAnsi="Times New Roman"/>
                <w:sz w:val="20"/>
                <w:szCs w:val="20"/>
                <w:lang w:eastAsia="en-US"/>
              </w:rPr>
            </w:pPr>
            <w:r w:rsidRPr="00C2587D">
              <w:rPr>
                <w:rFonts w:ascii="Times New Roman" w:eastAsia="Arial" w:hAnsi="Times New Roman"/>
                <w:sz w:val="20"/>
                <w:szCs w:val="20"/>
                <w:lang w:eastAsia="en-US"/>
              </w:rPr>
              <w:t>4958,0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9DF891F" w14:textId="0A397253" w:rsidR="00BC5959" w:rsidRPr="00C2587D" w:rsidRDefault="00444B42" w:rsidP="00444B42">
            <w:pPr>
              <w:ind w:left="113" w:right="113"/>
              <w:rPr>
                <w:rFonts w:ascii="Times New Roman" w:eastAsia="Arial" w:hAnsi="Times New Roman"/>
                <w:sz w:val="20"/>
                <w:szCs w:val="20"/>
                <w:lang w:eastAsia="en-US"/>
              </w:rPr>
            </w:pPr>
            <w:r w:rsidRPr="00C2587D">
              <w:rPr>
                <w:rFonts w:ascii="Times New Roman" w:eastAsia="Arial" w:hAnsi="Times New Roman"/>
                <w:sz w:val="20"/>
                <w:szCs w:val="20"/>
                <w:lang w:eastAsia="en-US"/>
              </w:rPr>
              <w:t>175408,3</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F9C4740" w14:textId="7870489D" w:rsidR="00BC5959" w:rsidRPr="00C2587D" w:rsidRDefault="00444B42" w:rsidP="00444B42">
            <w:pPr>
              <w:ind w:left="113" w:right="113"/>
              <w:rPr>
                <w:rFonts w:ascii="Times New Roman" w:eastAsia="Arial" w:hAnsi="Times New Roman"/>
                <w:sz w:val="20"/>
                <w:szCs w:val="20"/>
                <w:lang w:eastAsia="en-US"/>
              </w:rPr>
            </w:pPr>
            <w:r w:rsidRPr="00C2587D">
              <w:rPr>
                <w:rFonts w:ascii="Times New Roman" w:eastAsia="Arial" w:hAnsi="Times New Roman"/>
                <w:sz w:val="20"/>
                <w:szCs w:val="20"/>
                <w:lang w:eastAsia="en-US"/>
              </w:rPr>
              <w:t>49175,2</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96625AF" w14:textId="5B85F018" w:rsidR="00BC5959" w:rsidRPr="00C2587D" w:rsidRDefault="00444B42" w:rsidP="00444B42">
            <w:pPr>
              <w:ind w:left="113" w:right="113"/>
              <w:rPr>
                <w:rFonts w:ascii="Times New Roman" w:eastAsia="Arial" w:hAnsi="Times New Roman"/>
                <w:sz w:val="20"/>
                <w:szCs w:val="20"/>
                <w:lang w:eastAsia="en-US"/>
              </w:rPr>
            </w:pPr>
            <w:r w:rsidRPr="00C2587D">
              <w:rPr>
                <w:rFonts w:ascii="Times New Roman" w:eastAsia="Arial" w:hAnsi="Times New Roman"/>
                <w:sz w:val="20"/>
                <w:szCs w:val="20"/>
                <w:lang w:eastAsia="en-US"/>
              </w:rPr>
              <w:t>33870,0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6EC096B1" w14:textId="2F7FE40C" w:rsidR="00BC5959" w:rsidRPr="00C2587D" w:rsidRDefault="00D67C41" w:rsidP="00444B42">
            <w:pPr>
              <w:ind w:left="113" w:right="113"/>
              <w:rPr>
                <w:rFonts w:ascii="Times New Roman" w:eastAsia="Arial" w:hAnsi="Times New Roman"/>
                <w:sz w:val="20"/>
                <w:szCs w:val="20"/>
                <w:lang w:eastAsia="en-US"/>
              </w:rPr>
            </w:pPr>
            <w:r w:rsidRPr="00C2587D">
              <w:rPr>
                <w:rFonts w:ascii="Times New Roman" w:eastAsia="Arial" w:hAnsi="Times New Roman"/>
                <w:sz w:val="20"/>
                <w:szCs w:val="20"/>
                <w:lang w:eastAsia="en-US"/>
              </w:rPr>
              <w:t>209310,2</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D62089F" w14:textId="4D21406B" w:rsidR="00BC5959" w:rsidRPr="00C2587D" w:rsidRDefault="00444B42" w:rsidP="00444B42">
            <w:pPr>
              <w:ind w:left="113" w:right="113"/>
              <w:rPr>
                <w:rFonts w:ascii="Times New Roman" w:eastAsia="Arial" w:hAnsi="Times New Roman"/>
                <w:sz w:val="20"/>
                <w:szCs w:val="20"/>
                <w:lang w:eastAsia="en-US"/>
              </w:rPr>
            </w:pPr>
            <w:r w:rsidRPr="00C2587D">
              <w:rPr>
                <w:rFonts w:ascii="Times New Roman" w:eastAsia="Arial" w:hAnsi="Times New Roman"/>
                <w:sz w:val="20"/>
                <w:szCs w:val="20"/>
                <w:lang w:eastAsia="en-US"/>
              </w:rPr>
              <w:t>2000,0</w:t>
            </w: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4F1B392" w14:textId="45A31C63" w:rsidR="00BC5959" w:rsidRPr="00C2587D" w:rsidRDefault="00444B42" w:rsidP="00444B42">
            <w:pPr>
              <w:ind w:left="113" w:right="113"/>
              <w:rPr>
                <w:rFonts w:ascii="Times New Roman" w:eastAsia="Arial" w:hAnsi="Times New Roman"/>
                <w:sz w:val="20"/>
                <w:szCs w:val="20"/>
                <w:lang w:eastAsia="en-US"/>
              </w:rPr>
            </w:pPr>
            <w:r w:rsidRPr="00C2587D">
              <w:rPr>
                <w:rFonts w:ascii="Times New Roman" w:eastAsia="Arial" w:hAnsi="Times New Roman"/>
                <w:sz w:val="20"/>
                <w:szCs w:val="20"/>
                <w:lang w:eastAsia="en-US"/>
              </w:rPr>
              <w:t>152182,7</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782D2F7" w14:textId="5E97F9C6" w:rsidR="00BC5959" w:rsidRPr="00C2587D" w:rsidRDefault="00444B42" w:rsidP="00444B42">
            <w:pPr>
              <w:ind w:left="113" w:right="113"/>
              <w:rPr>
                <w:rFonts w:ascii="Times New Roman" w:eastAsia="Arial" w:hAnsi="Times New Roman"/>
                <w:sz w:val="20"/>
                <w:szCs w:val="20"/>
                <w:lang w:eastAsia="en-US"/>
              </w:rPr>
            </w:pPr>
            <w:r w:rsidRPr="00C2587D">
              <w:rPr>
                <w:rFonts w:ascii="Times New Roman" w:eastAsia="Arial" w:hAnsi="Times New Roman"/>
                <w:sz w:val="20"/>
                <w:szCs w:val="20"/>
                <w:lang w:eastAsia="en-US"/>
              </w:rPr>
              <w:t>45127,4</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0E408EC" w14:textId="70AC5FA1" w:rsidR="00BC5959" w:rsidRPr="00C2587D" w:rsidRDefault="00444B42" w:rsidP="00444B42">
            <w:pPr>
              <w:ind w:left="113" w:right="113"/>
              <w:rPr>
                <w:rFonts w:ascii="Times New Roman" w:eastAsia="Arial" w:hAnsi="Times New Roman"/>
                <w:sz w:val="20"/>
                <w:szCs w:val="20"/>
                <w:lang w:eastAsia="en-US"/>
              </w:rPr>
            </w:pPr>
            <w:r w:rsidRPr="00C2587D">
              <w:rPr>
                <w:rFonts w:ascii="Times New Roman" w:eastAsia="Arial" w:hAnsi="Times New Roman"/>
                <w:sz w:val="20"/>
                <w:szCs w:val="20"/>
                <w:lang w:eastAsia="en-US"/>
              </w:rPr>
              <w:t>10000,0</w:t>
            </w:r>
          </w:p>
        </w:tc>
        <w:tc>
          <w:tcPr>
            <w:tcW w:w="567"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2737329B" w14:textId="40DB4B00" w:rsidR="00BC5959" w:rsidRPr="00C2587D" w:rsidRDefault="00D67C41" w:rsidP="00444B42">
            <w:pPr>
              <w:ind w:left="113" w:right="113"/>
              <w:rPr>
                <w:rFonts w:ascii="Times New Roman" w:eastAsia="Arial" w:hAnsi="Times New Roman"/>
                <w:sz w:val="20"/>
                <w:szCs w:val="20"/>
                <w:lang w:eastAsia="en-US"/>
              </w:rPr>
            </w:pPr>
            <w:r w:rsidRPr="00C2587D">
              <w:rPr>
                <w:rFonts w:ascii="Times New Roman" w:eastAsia="Arial" w:hAnsi="Times New Roman"/>
                <w:sz w:val="20"/>
                <w:szCs w:val="20"/>
                <w:lang w:eastAsia="en-US"/>
              </w:rPr>
              <w:t>55700,0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B9D3B3B" w14:textId="2EFAF1FB" w:rsidR="00BC5959" w:rsidRPr="00C2587D" w:rsidRDefault="00444B42" w:rsidP="00444B42">
            <w:pPr>
              <w:ind w:left="113" w:right="113"/>
              <w:rPr>
                <w:rFonts w:ascii="Times New Roman" w:eastAsia="Arial" w:hAnsi="Times New Roman"/>
                <w:sz w:val="20"/>
                <w:szCs w:val="20"/>
                <w:lang w:eastAsia="en-US"/>
              </w:rPr>
            </w:pPr>
            <w:r w:rsidRPr="00C2587D">
              <w:rPr>
                <w:rFonts w:ascii="Times New Roman" w:eastAsia="Arial" w:hAnsi="Times New Roman"/>
                <w:sz w:val="20"/>
                <w:szCs w:val="20"/>
                <w:lang w:eastAsia="en-US"/>
              </w:rPr>
              <w:t>250,0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9F5EE86" w14:textId="23070C8C" w:rsidR="00BC5959" w:rsidRPr="00C2587D" w:rsidRDefault="00444B42" w:rsidP="00444B42">
            <w:pPr>
              <w:ind w:left="113" w:right="113"/>
              <w:rPr>
                <w:rFonts w:ascii="Times New Roman" w:eastAsia="Arial" w:hAnsi="Times New Roman"/>
                <w:sz w:val="20"/>
                <w:szCs w:val="20"/>
                <w:lang w:eastAsia="en-US"/>
              </w:rPr>
            </w:pPr>
            <w:r w:rsidRPr="00C2587D">
              <w:rPr>
                <w:rFonts w:ascii="Times New Roman" w:eastAsia="Arial" w:hAnsi="Times New Roman"/>
                <w:sz w:val="20"/>
                <w:szCs w:val="20"/>
                <w:lang w:eastAsia="en-US"/>
              </w:rPr>
              <w:t>2320,0</w:t>
            </w: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ACC44F9" w14:textId="017037B7" w:rsidR="00BC5959" w:rsidRPr="00C2587D" w:rsidRDefault="00444B42" w:rsidP="00444B42">
            <w:pPr>
              <w:ind w:left="113" w:right="113"/>
              <w:rPr>
                <w:rFonts w:ascii="Times New Roman" w:eastAsia="Arial" w:hAnsi="Times New Roman"/>
                <w:sz w:val="20"/>
                <w:szCs w:val="20"/>
                <w:lang w:eastAsia="en-US"/>
              </w:rPr>
            </w:pPr>
            <w:r w:rsidRPr="00C2587D">
              <w:rPr>
                <w:rFonts w:ascii="Times New Roman" w:eastAsia="Arial" w:hAnsi="Times New Roman"/>
                <w:sz w:val="20"/>
                <w:szCs w:val="20"/>
                <w:lang w:eastAsia="en-US"/>
              </w:rPr>
              <w:t>27050,0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97EEA6F" w14:textId="3AFEB117" w:rsidR="00BC5959" w:rsidRPr="00C2587D" w:rsidRDefault="00444B42" w:rsidP="00444B42">
            <w:pPr>
              <w:ind w:left="113" w:right="113"/>
              <w:rPr>
                <w:rFonts w:ascii="Times New Roman" w:eastAsia="Arial" w:hAnsi="Times New Roman"/>
                <w:sz w:val="20"/>
                <w:szCs w:val="20"/>
                <w:lang w:eastAsia="en-US"/>
              </w:rPr>
            </w:pPr>
            <w:r w:rsidRPr="00C2587D">
              <w:rPr>
                <w:rFonts w:ascii="Times New Roman" w:eastAsia="Arial" w:hAnsi="Times New Roman"/>
                <w:sz w:val="20"/>
                <w:szCs w:val="20"/>
                <w:lang w:eastAsia="en-US"/>
              </w:rPr>
              <w:t>26050,0</w:t>
            </w: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44F48655" w14:textId="5182EA7A" w:rsidR="00BC5959" w:rsidRPr="00C2587D" w:rsidRDefault="00444B42" w:rsidP="00444B42">
            <w:pPr>
              <w:ind w:left="113" w:right="113"/>
              <w:rPr>
                <w:rFonts w:ascii="Times New Roman" w:eastAsia="Arial" w:hAnsi="Times New Roman"/>
                <w:b/>
                <w:sz w:val="20"/>
                <w:szCs w:val="20"/>
                <w:lang w:eastAsia="en-US"/>
              </w:rPr>
            </w:pPr>
            <w:r w:rsidRPr="00C2587D">
              <w:rPr>
                <w:rFonts w:ascii="Times New Roman" w:eastAsia="Arial" w:hAnsi="Times New Roman"/>
                <w:b/>
                <w:sz w:val="20"/>
                <w:szCs w:val="20"/>
                <w:lang w:eastAsia="en-US"/>
              </w:rPr>
              <w:t>528421,7</w:t>
            </w:r>
          </w:p>
        </w:tc>
      </w:tr>
      <w:tr w:rsidR="006B4969" w:rsidRPr="00C2587D" w14:paraId="71982B09" w14:textId="77777777" w:rsidTr="00A041B2">
        <w:trPr>
          <w:cantSplit/>
          <w:trHeight w:val="556"/>
        </w:trPr>
        <w:tc>
          <w:tcPr>
            <w:tcW w:w="15175" w:type="dxa"/>
            <w:gridSpan w:val="19"/>
            <w:tcBorders>
              <w:top w:val="single" w:sz="4" w:space="0" w:color="auto"/>
              <w:left w:val="single" w:sz="4" w:space="0" w:color="auto"/>
              <w:bottom w:val="single" w:sz="4" w:space="0" w:color="auto"/>
              <w:right w:val="single" w:sz="4" w:space="0" w:color="auto"/>
            </w:tcBorders>
            <w:shd w:val="clear" w:color="auto" w:fill="auto"/>
            <w:vAlign w:val="center"/>
          </w:tcPr>
          <w:p w14:paraId="57BFBBE5" w14:textId="763D17E5" w:rsidR="006B4969" w:rsidRPr="00C2587D" w:rsidRDefault="006B4969" w:rsidP="006B4969">
            <w:pPr>
              <w:ind w:left="113" w:right="113"/>
              <w:jc w:val="center"/>
              <w:rPr>
                <w:rFonts w:ascii="Times New Roman" w:hAnsi="Times New Roman"/>
                <w:b/>
                <w:sz w:val="28"/>
                <w:szCs w:val="28"/>
              </w:rPr>
            </w:pPr>
            <w:r w:rsidRPr="00C2587D">
              <w:rPr>
                <w:rFonts w:ascii="Times New Roman" w:hAnsi="Times New Roman"/>
                <w:b/>
                <w:sz w:val="28"/>
                <w:szCs w:val="28"/>
              </w:rPr>
              <w:t>Стратегічний напрям С «Доступна громада»</w:t>
            </w:r>
          </w:p>
        </w:tc>
      </w:tr>
      <w:tr w:rsidR="006B4969" w:rsidRPr="00C2587D" w14:paraId="4F3F0462" w14:textId="77777777" w:rsidTr="00A041B2">
        <w:trPr>
          <w:cantSplit/>
          <w:trHeight w:val="325"/>
        </w:trPr>
        <w:tc>
          <w:tcPr>
            <w:tcW w:w="15175" w:type="dxa"/>
            <w:gridSpan w:val="19"/>
            <w:tcBorders>
              <w:top w:val="nil"/>
              <w:left w:val="single" w:sz="4" w:space="0" w:color="auto"/>
              <w:bottom w:val="single" w:sz="4" w:space="0" w:color="auto"/>
              <w:right w:val="single" w:sz="4" w:space="0" w:color="auto"/>
            </w:tcBorders>
            <w:shd w:val="clear" w:color="auto" w:fill="auto"/>
          </w:tcPr>
          <w:p w14:paraId="29B63C96" w14:textId="52938C13"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Управління освіти міської ради</w:t>
            </w:r>
          </w:p>
        </w:tc>
      </w:tr>
      <w:tr w:rsidR="006B4969" w:rsidRPr="00C2587D" w14:paraId="6D1CA08C" w14:textId="77777777" w:rsidTr="00A041B2">
        <w:trPr>
          <w:cantSplit/>
          <w:trHeight w:val="325"/>
        </w:trPr>
        <w:tc>
          <w:tcPr>
            <w:tcW w:w="15175" w:type="dxa"/>
            <w:gridSpan w:val="19"/>
            <w:tcBorders>
              <w:top w:val="nil"/>
              <w:left w:val="single" w:sz="4" w:space="0" w:color="auto"/>
              <w:bottom w:val="single" w:sz="4" w:space="0" w:color="auto"/>
              <w:right w:val="single" w:sz="4" w:space="0" w:color="auto"/>
            </w:tcBorders>
            <w:shd w:val="clear" w:color="auto" w:fill="auto"/>
          </w:tcPr>
          <w:p w14:paraId="1BCEF1BD" w14:textId="027B6416"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color w:val="000000"/>
                <w:sz w:val="20"/>
                <w:szCs w:val="20"/>
              </w:rPr>
              <w:t>Програми місцевого розвитку (в тому числі, які реалізуються через проєкти)</w:t>
            </w:r>
          </w:p>
        </w:tc>
      </w:tr>
      <w:tr w:rsidR="006B4969" w:rsidRPr="00C2587D" w14:paraId="0C095C6D" w14:textId="77777777" w:rsidTr="00FF28D2">
        <w:trPr>
          <w:cantSplit/>
          <w:trHeight w:val="1134"/>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511A8789"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1</w:t>
            </w:r>
          </w:p>
        </w:tc>
        <w:tc>
          <w:tcPr>
            <w:tcW w:w="2113" w:type="dxa"/>
            <w:tcBorders>
              <w:top w:val="single" w:sz="4" w:space="0" w:color="auto"/>
              <w:left w:val="nil"/>
              <w:bottom w:val="single" w:sz="4" w:space="0" w:color="auto"/>
              <w:right w:val="single" w:sz="4" w:space="0" w:color="auto"/>
            </w:tcBorders>
            <w:shd w:val="clear" w:color="auto" w:fill="auto"/>
            <w:vAlign w:val="center"/>
            <w:hideMark/>
          </w:tcPr>
          <w:p w14:paraId="01CE64AC" w14:textId="77777777" w:rsidR="006B4969" w:rsidRPr="00C2587D" w:rsidRDefault="006B4969" w:rsidP="00FF28D2">
            <w:pPr>
              <w:rPr>
                <w:rFonts w:ascii="Times New Roman" w:hAnsi="Times New Roman"/>
                <w:color w:val="000000"/>
                <w:sz w:val="20"/>
                <w:szCs w:val="20"/>
              </w:rPr>
            </w:pPr>
            <w:r w:rsidRPr="00C2587D">
              <w:rPr>
                <w:rFonts w:ascii="Times New Roman" w:hAnsi="Times New Roman"/>
                <w:color w:val="000000"/>
                <w:sz w:val="20"/>
                <w:szCs w:val="20"/>
              </w:rPr>
              <w:t>Програма Жмеринської МТГ «Шкільні перевезення» на 2025-2027 роки</w:t>
            </w:r>
          </w:p>
        </w:tc>
        <w:tc>
          <w:tcPr>
            <w:tcW w:w="737" w:type="dxa"/>
            <w:tcBorders>
              <w:top w:val="single" w:sz="4" w:space="0" w:color="auto"/>
              <w:left w:val="nil"/>
              <w:bottom w:val="single" w:sz="4" w:space="0" w:color="auto"/>
              <w:right w:val="single" w:sz="4" w:space="0" w:color="auto"/>
            </w:tcBorders>
            <w:shd w:val="clear" w:color="auto" w:fill="auto"/>
            <w:textDirection w:val="btLr"/>
            <w:vAlign w:val="center"/>
            <w:hideMark/>
          </w:tcPr>
          <w:p w14:paraId="65F8BC0D"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2774,30</w:t>
            </w:r>
          </w:p>
        </w:tc>
        <w:tc>
          <w:tcPr>
            <w:tcW w:w="850" w:type="dxa"/>
            <w:tcBorders>
              <w:top w:val="single" w:sz="4" w:space="0" w:color="auto"/>
              <w:left w:val="nil"/>
              <w:bottom w:val="single" w:sz="4" w:space="0" w:color="auto"/>
              <w:right w:val="single" w:sz="4" w:space="0" w:color="auto"/>
            </w:tcBorders>
            <w:shd w:val="clear" w:color="000000" w:fill="F8CBAD"/>
            <w:textDirection w:val="btLr"/>
            <w:vAlign w:val="center"/>
            <w:hideMark/>
          </w:tcPr>
          <w:p w14:paraId="125326F4"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2774,30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1B0A1C29"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615,90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6DE7093D"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680,00</w:t>
            </w:r>
          </w:p>
        </w:tc>
        <w:tc>
          <w:tcPr>
            <w:tcW w:w="850" w:type="dxa"/>
            <w:tcBorders>
              <w:top w:val="single" w:sz="4" w:space="0" w:color="auto"/>
              <w:left w:val="nil"/>
              <w:bottom w:val="single" w:sz="4" w:space="0" w:color="auto"/>
              <w:right w:val="single" w:sz="4" w:space="0" w:color="auto"/>
            </w:tcBorders>
            <w:shd w:val="clear" w:color="auto" w:fill="auto"/>
            <w:textDirection w:val="btLr"/>
            <w:vAlign w:val="center"/>
            <w:hideMark/>
          </w:tcPr>
          <w:p w14:paraId="535A59C7"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720,10</w:t>
            </w:r>
          </w:p>
        </w:tc>
        <w:tc>
          <w:tcPr>
            <w:tcW w:w="709" w:type="dxa"/>
            <w:tcBorders>
              <w:top w:val="single" w:sz="4" w:space="0" w:color="auto"/>
              <w:left w:val="nil"/>
              <w:bottom w:val="single" w:sz="4" w:space="0" w:color="auto"/>
              <w:right w:val="single" w:sz="4" w:space="0" w:color="auto"/>
            </w:tcBorders>
            <w:shd w:val="clear" w:color="auto" w:fill="auto"/>
            <w:textDirection w:val="btLr"/>
            <w:vAlign w:val="center"/>
            <w:hideMark/>
          </w:tcPr>
          <w:p w14:paraId="4C33016E"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758,30</w:t>
            </w:r>
          </w:p>
        </w:tc>
        <w:tc>
          <w:tcPr>
            <w:tcW w:w="709" w:type="dxa"/>
            <w:tcBorders>
              <w:top w:val="single" w:sz="4" w:space="0" w:color="auto"/>
              <w:left w:val="nil"/>
              <w:bottom w:val="single" w:sz="4" w:space="0" w:color="auto"/>
              <w:right w:val="single" w:sz="4" w:space="0" w:color="auto"/>
            </w:tcBorders>
            <w:shd w:val="clear" w:color="000000" w:fill="C6E0B4"/>
            <w:textDirection w:val="btLr"/>
            <w:vAlign w:val="center"/>
            <w:hideMark/>
          </w:tcPr>
          <w:p w14:paraId="5BCAC681"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single" w:sz="4" w:space="0" w:color="auto"/>
              <w:left w:val="nil"/>
              <w:bottom w:val="single" w:sz="4" w:space="0" w:color="auto"/>
              <w:right w:val="single" w:sz="4" w:space="0" w:color="auto"/>
            </w:tcBorders>
            <w:shd w:val="clear" w:color="auto" w:fill="auto"/>
            <w:textDirection w:val="btLr"/>
            <w:vAlign w:val="center"/>
            <w:hideMark/>
          </w:tcPr>
          <w:p w14:paraId="0D2E3223" w14:textId="77777777" w:rsidR="006B4969" w:rsidRPr="00C2587D" w:rsidRDefault="006B4969" w:rsidP="006B4969">
            <w:pPr>
              <w:ind w:left="113" w:right="113"/>
              <w:jc w:val="center"/>
              <w:rPr>
                <w:rFonts w:ascii="Times New Roman" w:hAnsi="Times New Roman"/>
                <w:sz w:val="20"/>
                <w:szCs w:val="20"/>
              </w:rPr>
            </w:pPr>
          </w:p>
        </w:tc>
        <w:tc>
          <w:tcPr>
            <w:tcW w:w="708" w:type="dxa"/>
            <w:tcBorders>
              <w:top w:val="single" w:sz="4" w:space="0" w:color="auto"/>
              <w:left w:val="nil"/>
              <w:bottom w:val="single" w:sz="4" w:space="0" w:color="auto"/>
              <w:right w:val="single" w:sz="4" w:space="0" w:color="auto"/>
            </w:tcBorders>
            <w:shd w:val="clear" w:color="auto" w:fill="auto"/>
            <w:textDirection w:val="btLr"/>
            <w:vAlign w:val="center"/>
            <w:hideMark/>
          </w:tcPr>
          <w:p w14:paraId="40461213"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single" w:sz="4" w:space="0" w:color="auto"/>
              <w:left w:val="nil"/>
              <w:bottom w:val="single" w:sz="4" w:space="0" w:color="auto"/>
              <w:right w:val="single" w:sz="4" w:space="0" w:color="auto"/>
            </w:tcBorders>
            <w:shd w:val="clear" w:color="auto" w:fill="auto"/>
            <w:textDirection w:val="btLr"/>
            <w:vAlign w:val="center"/>
            <w:hideMark/>
          </w:tcPr>
          <w:p w14:paraId="5B3046EE"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single" w:sz="4" w:space="0" w:color="auto"/>
              <w:left w:val="nil"/>
              <w:bottom w:val="single" w:sz="4" w:space="0" w:color="auto"/>
              <w:right w:val="single" w:sz="4" w:space="0" w:color="auto"/>
            </w:tcBorders>
            <w:shd w:val="clear" w:color="auto" w:fill="auto"/>
            <w:textDirection w:val="btLr"/>
            <w:vAlign w:val="center"/>
            <w:hideMark/>
          </w:tcPr>
          <w:p w14:paraId="661E051B"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single" w:sz="4" w:space="0" w:color="auto"/>
              <w:left w:val="nil"/>
              <w:bottom w:val="single" w:sz="4" w:space="0" w:color="auto"/>
              <w:right w:val="single" w:sz="4" w:space="0" w:color="auto"/>
            </w:tcBorders>
            <w:shd w:val="clear" w:color="000000" w:fill="D6DCE4"/>
            <w:textDirection w:val="btLr"/>
            <w:vAlign w:val="center"/>
            <w:hideMark/>
          </w:tcPr>
          <w:p w14:paraId="28B6C52F"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single" w:sz="4" w:space="0" w:color="auto"/>
              <w:left w:val="nil"/>
              <w:bottom w:val="single" w:sz="4" w:space="0" w:color="auto"/>
              <w:right w:val="single" w:sz="4" w:space="0" w:color="auto"/>
            </w:tcBorders>
            <w:shd w:val="clear" w:color="auto" w:fill="auto"/>
            <w:textDirection w:val="btLr"/>
            <w:vAlign w:val="center"/>
            <w:hideMark/>
          </w:tcPr>
          <w:p w14:paraId="06B776E4"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single" w:sz="4" w:space="0" w:color="auto"/>
              <w:left w:val="nil"/>
              <w:bottom w:val="single" w:sz="4" w:space="0" w:color="auto"/>
              <w:right w:val="single" w:sz="4" w:space="0" w:color="auto"/>
            </w:tcBorders>
            <w:shd w:val="clear" w:color="auto" w:fill="auto"/>
            <w:textDirection w:val="btLr"/>
            <w:vAlign w:val="center"/>
            <w:hideMark/>
          </w:tcPr>
          <w:p w14:paraId="4758C200" w14:textId="77777777" w:rsidR="006B4969" w:rsidRPr="00C2587D" w:rsidRDefault="006B4969" w:rsidP="006B4969">
            <w:pPr>
              <w:ind w:left="113" w:right="113"/>
              <w:jc w:val="center"/>
              <w:rPr>
                <w:rFonts w:ascii="Times New Roman" w:hAnsi="Times New Roman"/>
                <w:sz w:val="20"/>
                <w:szCs w:val="20"/>
              </w:rPr>
            </w:pPr>
          </w:p>
        </w:tc>
        <w:tc>
          <w:tcPr>
            <w:tcW w:w="624" w:type="dxa"/>
            <w:tcBorders>
              <w:top w:val="single" w:sz="4" w:space="0" w:color="auto"/>
              <w:left w:val="nil"/>
              <w:bottom w:val="single" w:sz="4" w:space="0" w:color="auto"/>
              <w:right w:val="single" w:sz="4" w:space="0" w:color="auto"/>
            </w:tcBorders>
            <w:shd w:val="clear" w:color="auto" w:fill="auto"/>
            <w:textDirection w:val="btLr"/>
            <w:vAlign w:val="center"/>
            <w:hideMark/>
          </w:tcPr>
          <w:p w14:paraId="3317442E"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single" w:sz="4" w:space="0" w:color="auto"/>
              <w:left w:val="nil"/>
              <w:bottom w:val="single" w:sz="4" w:space="0" w:color="auto"/>
              <w:right w:val="single" w:sz="4" w:space="0" w:color="auto"/>
            </w:tcBorders>
            <w:shd w:val="clear" w:color="auto" w:fill="auto"/>
            <w:textDirection w:val="btLr"/>
            <w:vAlign w:val="center"/>
            <w:hideMark/>
          </w:tcPr>
          <w:p w14:paraId="1E9F6BCF" w14:textId="77777777" w:rsidR="006B4969" w:rsidRPr="00C2587D" w:rsidRDefault="006B4969" w:rsidP="006B4969">
            <w:pPr>
              <w:ind w:left="113" w:right="113"/>
              <w:jc w:val="center"/>
              <w:rPr>
                <w:rFonts w:ascii="Times New Roman" w:hAnsi="Times New Roman"/>
                <w:sz w:val="20"/>
                <w:szCs w:val="20"/>
              </w:rPr>
            </w:pPr>
          </w:p>
        </w:tc>
        <w:tc>
          <w:tcPr>
            <w:tcW w:w="1106"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64F7A888"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2774,30</w:t>
            </w:r>
          </w:p>
        </w:tc>
      </w:tr>
      <w:tr w:rsidR="006B4969" w:rsidRPr="00C2587D" w14:paraId="0C24B2A2" w14:textId="77777777" w:rsidTr="00FF28D2">
        <w:trPr>
          <w:cantSplit/>
          <w:trHeight w:val="1134"/>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5E2B6E1B"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2</w:t>
            </w:r>
          </w:p>
        </w:tc>
        <w:tc>
          <w:tcPr>
            <w:tcW w:w="2113" w:type="dxa"/>
            <w:tcBorders>
              <w:top w:val="single" w:sz="4" w:space="0" w:color="auto"/>
              <w:left w:val="nil"/>
              <w:bottom w:val="single" w:sz="4" w:space="0" w:color="auto"/>
              <w:right w:val="single" w:sz="4" w:space="0" w:color="000000"/>
            </w:tcBorders>
            <w:shd w:val="clear" w:color="auto" w:fill="auto"/>
            <w:vAlign w:val="center"/>
            <w:hideMark/>
          </w:tcPr>
          <w:p w14:paraId="432BD79A" w14:textId="77777777" w:rsidR="006B4969" w:rsidRPr="00C2587D" w:rsidRDefault="006B4969" w:rsidP="00FF28D2">
            <w:pPr>
              <w:rPr>
                <w:rFonts w:ascii="Times New Roman" w:hAnsi="Times New Roman"/>
                <w:color w:val="000000"/>
                <w:sz w:val="20"/>
                <w:szCs w:val="20"/>
              </w:rPr>
            </w:pPr>
            <w:r w:rsidRPr="00C2587D">
              <w:rPr>
                <w:rFonts w:ascii="Times New Roman" w:hAnsi="Times New Roman"/>
                <w:color w:val="000000"/>
                <w:sz w:val="20"/>
                <w:szCs w:val="20"/>
              </w:rPr>
              <w:t>Програма Жмеринської МТГ «Розвиток освіти» на 2025 – 2027 роки</w:t>
            </w:r>
          </w:p>
        </w:tc>
        <w:tc>
          <w:tcPr>
            <w:tcW w:w="737" w:type="dxa"/>
            <w:tcBorders>
              <w:top w:val="nil"/>
              <w:left w:val="nil"/>
              <w:bottom w:val="single" w:sz="4" w:space="0" w:color="auto"/>
              <w:right w:val="single" w:sz="4" w:space="0" w:color="auto"/>
            </w:tcBorders>
            <w:shd w:val="clear" w:color="auto" w:fill="auto"/>
            <w:textDirection w:val="btLr"/>
            <w:vAlign w:val="center"/>
            <w:hideMark/>
          </w:tcPr>
          <w:p w14:paraId="03FB07F7"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20405,39</w:t>
            </w:r>
          </w:p>
        </w:tc>
        <w:tc>
          <w:tcPr>
            <w:tcW w:w="850" w:type="dxa"/>
            <w:tcBorders>
              <w:top w:val="single" w:sz="4" w:space="0" w:color="auto"/>
              <w:left w:val="nil"/>
              <w:bottom w:val="single" w:sz="4" w:space="0" w:color="auto"/>
              <w:right w:val="single" w:sz="4" w:space="0" w:color="auto"/>
            </w:tcBorders>
            <w:shd w:val="clear" w:color="000000" w:fill="F8CBAD"/>
            <w:textDirection w:val="btLr"/>
            <w:vAlign w:val="center"/>
            <w:hideMark/>
          </w:tcPr>
          <w:p w14:paraId="506D3A1D"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20405,39</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095B4AE6"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12761,91</w:t>
            </w:r>
          </w:p>
        </w:tc>
        <w:tc>
          <w:tcPr>
            <w:tcW w:w="851" w:type="dxa"/>
            <w:tcBorders>
              <w:top w:val="nil"/>
              <w:left w:val="single" w:sz="4" w:space="0" w:color="auto"/>
              <w:bottom w:val="single" w:sz="4" w:space="0" w:color="auto"/>
              <w:right w:val="single" w:sz="4" w:space="0" w:color="auto"/>
            </w:tcBorders>
            <w:shd w:val="clear" w:color="auto" w:fill="auto"/>
            <w:textDirection w:val="btLr"/>
            <w:vAlign w:val="center"/>
            <w:hideMark/>
          </w:tcPr>
          <w:p w14:paraId="0E54FD4D"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2337,17</w:t>
            </w:r>
          </w:p>
        </w:tc>
        <w:tc>
          <w:tcPr>
            <w:tcW w:w="850" w:type="dxa"/>
            <w:tcBorders>
              <w:top w:val="nil"/>
              <w:left w:val="nil"/>
              <w:bottom w:val="single" w:sz="4" w:space="0" w:color="auto"/>
              <w:right w:val="single" w:sz="4" w:space="0" w:color="auto"/>
            </w:tcBorders>
            <w:shd w:val="clear" w:color="auto" w:fill="auto"/>
            <w:textDirection w:val="btLr"/>
            <w:vAlign w:val="center"/>
            <w:hideMark/>
          </w:tcPr>
          <w:p w14:paraId="6D8618BC"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2584,66</w:t>
            </w: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4C6FD31E"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2721,65</w:t>
            </w:r>
          </w:p>
        </w:tc>
        <w:tc>
          <w:tcPr>
            <w:tcW w:w="709" w:type="dxa"/>
            <w:tcBorders>
              <w:top w:val="nil"/>
              <w:left w:val="nil"/>
              <w:bottom w:val="single" w:sz="4" w:space="0" w:color="auto"/>
              <w:right w:val="single" w:sz="4" w:space="0" w:color="auto"/>
            </w:tcBorders>
            <w:shd w:val="clear" w:color="000000" w:fill="C6E0B4"/>
            <w:textDirection w:val="btLr"/>
            <w:vAlign w:val="center"/>
            <w:hideMark/>
          </w:tcPr>
          <w:p w14:paraId="7902F23F"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01145E9D" w14:textId="77777777" w:rsidR="006B4969" w:rsidRPr="00C2587D" w:rsidRDefault="006B4969" w:rsidP="006B4969">
            <w:pPr>
              <w:ind w:left="113" w:right="113"/>
              <w:jc w:val="center"/>
              <w:rPr>
                <w:rFonts w:ascii="Times New Roman" w:hAnsi="Times New Roman"/>
                <w:sz w:val="20"/>
                <w:szCs w:val="20"/>
              </w:rPr>
            </w:pPr>
          </w:p>
        </w:tc>
        <w:tc>
          <w:tcPr>
            <w:tcW w:w="708" w:type="dxa"/>
            <w:tcBorders>
              <w:top w:val="nil"/>
              <w:left w:val="nil"/>
              <w:bottom w:val="single" w:sz="4" w:space="0" w:color="auto"/>
              <w:right w:val="single" w:sz="4" w:space="0" w:color="auto"/>
            </w:tcBorders>
            <w:shd w:val="clear" w:color="auto" w:fill="auto"/>
            <w:textDirection w:val="btLr"/>
            <w:vAlign w:val="center"/>
            <w:hideMark/>
          </w:tcPr>
          <w:p w14:paraId="057E6D1A"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5E2C3D89"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624193DB"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nil"/>
              <w:left w:val="nil"/>
              <w:bottom w:val="single" w:sz="4" w:space="0" w:color="auto"/>
              <w:right w:val="single" w:sz="4" w:space="0" w:color="auto"/>
            </w:tcBorders>
            <w:shd w:val="clear" w:color="000000" w:fill="D6DCE4"/>
            <w:textDirection w:val="btLr"/>
            <w:vAlign w:val="center"/>
            <w:hideMark/>
          </w:tcPr>
          <w:p w14:paraId="08D22668"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nil"/>
              <w:left w:val="nil"/>
              <w:bottom w:val="single" w:sz="4" w:space="0" w:color="auto"/>
              <w:right w:val="single" w:sz="4" w:space="0" w:color="auto"/>
            </w:tcBorders>
            <w:shd w:val="clear" w:color="auto" w:fill="auto"/>
            <w:textDirection w:val="btLr"/>
            <w:vAlign w:val="center"/>
            <w:hideMark/>
          </w:tcPr>
          <w:p w14:paraId="01182233"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nil"/>
              <w:left w:val="nil"/>
              <w:bottom w:val="single" w:sz="4" w:space="0" w:color="auto"/>
              <w:right w:val="single" w:sz="4" w:space="0" w:color="auto"/>
            </w:tcBorders>
            <w:shd w:val="clear" w:color="auto" w:fill="auto"/>
            <w:textDirection w:val="btLr"/>
            <w:vAlign w:val="center"/>
            <w:hideMark/>
          </w:tcPr>
          <w:p w14:paraId="15E4BDC5" w14:textId="77777777" w:rsidR="006B4969" w:rsidRPr="00C2587D" w:rsidRDefault="006B4969" w:rsidP="006B4969">
            <w:pPr>
              <w:ind w:left="113" w:right="113"/>
              <w:jc w:val="center"/>
              <w:rPr>
                <w:rFonts w:ascii="Times New Roman" w:hAnsi="Times New Roman"/>
                <w:sz w:val="20"/>
                <w:szCs w:val="20"/>
              </w:rPr>
            </w:pPr>
          </w:p>
        </w:tc>
        <w:tc>
          <w:tcPr>
            <w:tcW w:w="624" w:type="dxa"/>
            <w:tcBorders>
              <w:top w:val="nil"/>
              <w:left w:val="nil"/>
              <w:bottom w:val="single" w:sz="4" w:space="0" w:color="auto"/>
              <w:right w:val="single" w:sz="4" w:space="0" w:color="auto"/>
            </w:tcBorders>
            <w:shd w:val="clear" w:color="auto" w:fill="auto"/>
            <w:textDirection w:val="btLr"/>
            <w:vAlign w:val="center"/>
            <w:hideMark/>
          </w:tcPr>
          <w:p w14:paraId="0350EDBC"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nil"/>
              <w:left w:val="nil"/>
              <w:bottom w:val="single" w:sz="4" w:space="0" w:color="auto"/>
              <w:right w:val="single" w:sz="4" w:space="0" w:color="auto"/>
            </w:tcBorders>
            <w:shd w:val="clear" w:color="auto" w:fill="auto"/>
            <w:textDirection w:val="btLr"/>
            <w:vAlign w:val="center"/>
            <w:hideMark/>
          </w:tcPr>
          <w:p w14:paraId="52BD08FE" w14:textId="77777777" w:rsidR="006B4969" w:rsidRPr="00C2587D" w:rsidRDefault="006B4969" w:rsidP="006B4969">
            <w:pPr>
              <w:ind w:left="113" w:right="113"/>
              <w:jc w:val="center"/>
              <w:rPr>
                <w:rFonts w:ascii="Times New Roman" w:hAnsi="Times New Roman"/>
                <w:sz w:val="20"/>
                <w:szCs w:val="20"/>
              </w:rPr>
            </w:pPr>
          </w:p>
        </w:tc>
        <w:tc>
          <w:tcPr>
            <w:tcW w:w="1106" w:type="dxa"/>
            <w:tcBorders>
              <w:top w:val="nil"/>
              <w:left w:val="nil"/>
              <w:bottom w:val="single" w:sz="4" w:space="0" w:color="auto"/>
              <w:right w:val="single" w:sz="4" w:space="0" w:color="auto"/>
            </w:tcBorders>
            <w:shd w:val="clear" w:color="auto" w:fill="auto"/>
            <w:noWrap/>
            <w:textDirection w:val="btLr"/>
            <w:vAlign w:val="center"/>
            <w:hideMark/>
          </w:tcPr>
          <w:p w14:paraId="390EE99B"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20405,39</w:t>
            </w:r>
          </w:p>
        </w:tc>
      </w:tr>
      <w:tr w:rsidR="006B4969" w:rsidRPr="00C2587D" w14:paraId="4BE52BED" w14:textId="77777777" w:rsidTr="00FF28D2">
        <w:trPr>
          <w:cantSplit/>
          <w:trHeight w:val="1134"/>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76E5A3BA"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3</w:t>
            </w:r>
          </w:p>
        </w:tc>
        <w:tc>
          <w:tcPr>
            <w:tcW w:w="2113" w:type="dxa"/>
            <w:tcBorders>
              <w:top w:val="single" w:sz="4" w:space="0" w:color="auto"/>
              <w:left w:val="nil"/>
              <w:bottom w:val="single" w:sz="4" w:space="0" w:color="auto"/>
              <w:right w:val="single" w:sz="4" w:space="0" w:color="000000"/>
            </w:tcBorders>
            <w:shd w:val="clear" w:color="auto" w:fill="auto"/>
            <w:vAlign w:val="center"/>
            <w:hideMark/>
          </w:tcPr>
          <w:p w14:paraId="62C6FD38" w14:textId="77777777" w:rsidR="006B4969" w:rsidRPr="00C2587D" w:rsidRDefault="006B4969" w:rsidP="00FF28D2">
            <w:pPr>
              <w:rPr>
                <w:rFonts w:ascii="Times New Roman" w:hAnsi="Times New Roman"/>
                <w:color w:val="000000"/>
                <w:sz w:val="20"/>
                <w:szCs w:val="20"/>
              </w:rPr>
            </w:pPr>
            <w:r w:rsidRPr="00C2587D">
              <w:rPr>
                <w:rFonts w:ascii="Times New Roman" w:hAnsi="Times New Roman"/>
                <w:color w:val="000000"/>
                <w:sz w:val="20"/>
                <w:szCs w:val="20"/>
              </w:rPr>
              <w:t>Програма Жмеринської МТГ «Відпочинок та оздоровлення дітей» на 2025-2027 роки</w:t>
            </w:r>
          </w:p>
        </w:tc>
        <w:tc>
          <w:tcPr>
            <w:tcW w:w="737" w:type="dxa"/>
            <w:tcBorders>
              <w:top w:val="nil"/>
              <w:left w:val="nil"/>
              <w:bottom w:val="single" w:sz="4" w:space="0" w:color="auto"/>
              <w:right w:val="single" w:sz="4" w:space="0" w:color="auto"/>
            </w:tcBorders>
            <w:shd w:val="clear" w:color="auto" w:fill="auto"/>
            <w:textDirection w:val="btLr"/>
            <w:vAlign w:val="center"/>
            <w:hideMark/>
          </w:tcPr>
          <w:p w14:paraId="06ED47DB"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1999,84</w:t>
            </w:r>
          </w:p>
        </w:tc>
        <w:tc>
          <w:tcPr>
            <w:tcW w:w="850" w:type="dxa"/>
            <w:tcBorders>
              <w:top w:val="single" w:sz="4" w:space="0" w:color="auto"/>
              <w:left w:val="nil"/>
              <w:bottom w:val="single" w:sz="4" w:space="0" w:color="auto"/>
              <w:right w:val="single" w:sz="4" w:space="0" w:color="auto"/>
            </w:tcBorders>
            <w:shd w:val="clear" w:color="000000" w:fill="F8CBAD"/>
            <w:textDirection w:val="btLr"/>
            <w:vAlign w:val="center"/>
            <w:hideMark/>
          </w:tcPr>
          <w:p w14:paraId="57EA4F5C"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1999,84</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52F35C1B"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444,00</w:t>
            </w:r>
          </w:p>
        </w:tc>
        <w:tc>
          <w:tcPr>
            <w:tcW w:w="851" w:type="dxa"/>
            <w:tcBorders>
              <w:top w:val="nil"/>
              <w:left w:val="single" w:sz="4" w:space="0" w:color="auto"/>
              <w:bottom w:val="single" w:sz="4" w:space="0" w:color="auto"/>
              <w:right w:val="single" w:sz="4" w:space="0" w:color="auto"/>
            </w:tcBorders>
            <w:shd w:val="clear" w:color="auto" w:fill="auto"/>
            <w:textDirection w:val="btLr"/>
            <w:vAlign w:val="center"/>
            <w:hideMark/>
          </w:tcPr>
          <w:p w14:paraId="5D214FEC"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489,40</w:t>
            </w:r>
          </w:p>
        </w:tc>
        <w:tc>
          <w:tcPr>
            <w:tcW w:w="850" w:type="dxa"/>
            <w:tcBorders>
              <w:top w:val="nil"/>
              <w:left w:val="nil"/>
              <w:bottom w:val="single" w:sz="4" w:space="0" w:color="auto"/>
              <w:right w:val="single" w:sz="4" w:space="0" w:color="auto"/>
            </w:tcBorders>
            <w:shd w:val="clear" w:color="auto" w:fill="auto"/>
            <w:textDirection w:val="btLr"/>
            <w:vAlign w:val="center"/>
            <w:hideMark/>
          </w:tcPr>
          <w:p w14:paraId="620401F3"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519,20</w:t>
            </w: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4ECBB2B9"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547,24</w:t>
            </w:r>
          </w:p>
        </w:tc>
        <w:tc>
          <w:tcPr>
            <w:tcW w:w="709" w:type="dxa"/>
            <w:tcBorders>
              <w:top w:val="nil"/>
              <w:left w:val="nil"/>
              <w:bottom w:val="single" w:sz="4" w:space="0" w:color="auto"/>
              <w:right w:val="single" w:sz="4" w:space="0" w:color="auto"/>
            </w:tcBorders>
            <w:shd w:val="clear" w:color="000000" w:fill="C6E0B4"/>
            <w:textDirection w:val="btLr"/>
            <w:vAlign w:val="center"/>
            <w:hideMark/>
          </w:tcPr>
          <w:p w14:paraId="77944F2D"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0FAE67BD" w14:textId="77777777" w:rsidR="006B4969" w:rsidRPr="00C2587D" w:rsidRDefault="006B4969" w:rsidP="006B4969">
            <w:pPr>
              <w:ind w:left="113" w:right="113"/>
              <w:jc w:val="center"/>
              <w:rPr>
                <w:rFonts w:ascii="Times New Roman" w:hAnsi="Times New Roman"/>
                <w:sz w:val="20"/>
                <w:szCs w:val="20"/>
              </w:rPr>
            </w:pPr>
          </w:p>
        </w:tc>
        <w:tc>
          <w:tcPr>
            <w:tcW w:w="708" w:type="dxa"/>
            <w:tcBorders>
              <w:top w:val="nil"/>
              <w:left w:val="nil"/>
              <w:bottom w:val="single" w:sz="4" w:space="0" w:color="auto"/>
              <w:right w:val="single" w:sz="4" w:space="0" w:color="auto"/>
            </w:tcBorders>
            <w:shd w:val="clear" w:color="auto" w:fill="auto"/>
            <w:textDirection w:val="btLr"/>
            <w:vAlign w:val="center"/>
            <w:hideMark/>
          </w:tcPr>
          <w:p w14:paraId="30CE70D6"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7ACB9DE7"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707590CA"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nil"/>
              <w:left w:val="nil"/>
              <w:bottom w:val="single" w:sz="4" w:space="0" w:color="auto"/>
              <w:right w:val="single" w:sz="4" w:space="0" w:color="auto"/>
            </w:tcBorders>
            <w:shd w:val="clear" w:color="000000" w:fill="D6DCE4"/>
            <w:textDirection w:val="btLr"/>
            <w:vAlign w:val="center"/>
            <w:hideMark/>
          </w:tcPr>
          <w:p w14:paraId="6940888C"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nil"/>
              <w:left w:val="nil"/>
              <w:bottom w:val="single" w:sz="4" w:space="0" w:color="auto"/>
              <w:right w:val="single" w:sz="4" w:space="0" w:color="auto"/>
            </w:tcBorders>
            <w:shd w:val="clear" w:color="auto" w:fill="auto"/>
            <w:textDirection w:val="btLr"/>
            <w:vAlign w:val="center"/>
            <w:hideMark/>
          </w:tcPr>
          <w:p w14:paraId="6BC343BD"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nil"/>
              <w:left w:val="nil"/>
              <w:bottom w:val="single" w:sz="4" w:space="0" w:color="auto"/>
              <w:right w:val="single" w:sz="4" w:space="0" w:color="auto"/>
            </w:tcBorders>
            <w:shd w:val="clear" w:color="auto" w:fill="auto"/>
            <w:textDirection w:val="btLr"/>
            <w:vAlign w:val="center"/>
            <w:hideMark/>
          </w:tcPr>
          <w:p w14:paraId="3D0AA48B" w14:textId="77777777" w:rsidR="006B4969" w:rsidRPr="00C2587D" w:rsidRDefault="006B4969" w:rsidP="006B4969">
            <w:pPr>
              <w:ind w:left="113" w:right="113"/>
              <w:jc w:val="center"/>
              <w:rPr>
                <w:rFonts w:ascii="Times New Roman" w:hAnsi="Times New Roman"/>
                <w:sz w:val="20"/>
                <w:szCs w:val="20"/>
              </w:rPr>
            </w:pPr>
          </w:p>
        </w:tc>
        <w:tc>
          <w:tcPr>
            <w:tcW w:w="624" w:type="dxa"/>
            <w:tcBorders>
              <w:top w:val="nil"/>
              <w:left w:val="nil"/>
              <w:bottom w:val="single" w:sz="4" w:space="0" w:color="auto"/>
              <w:right w:val="single" w:sz="4" w:space="0" w:color="auto"/>
            </w:tcBorders>
            <w:shd w:val="clear" w:color="auto" w:fill="auto"/>
            <w:textDirection w:val="btLr"/>
            <w:vAlign w:val="center"/>
            <w:hideMark/>
          </w:tcPr>
          <w:p w14:paraId="5C573E23"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nil"/>
              <w:left w:val="nil"/>
              <w:bottom w:val="single" w:sz="4" w:space="0" w:color="auto"/>
              <w:right w:val="single" w:sz="4" w:space="0" w:color="auto"/>
            </w:tcBorders>
            <w:shd w:val="clear" w:color="auto" w:fill="auto"/>
            <w:textDirection w:val="btLr"/>
            <w:vAlign w:val="center"/>
            <w:hideMark/>
          </w:tcPr>
          <w:p w14:paraId="19F7B629" w14:textId="77777777" w:rsidR="006B4969" w:rsidRPr="00C2587D" w:rsidRDefault="006B4969" w:rsidP="006B4969">
            <w:pPr>
              <w:ind w:left="113" w:right="113"/>
              <w:jc w:val="center"/>
              <w:rPr>
                <w:rFonts w:ascii="Times New Roman" w:hAnsi="Times New Roman"/>
                <w:sz w:val="20"/>
                <w:szCs w:val="20"/>
              </w:rPr>
            </w:pPr>
          </w:p>
        </w:tc>
        <w:tc>
          <w:tcPr>
            <w:tcW w:w="1106" w:type="dxa"/>
            <w:tcBorders>
              <w:top w:val="nil"/>
              <w:left w:val="nil"/>
              <w:bottom w:val="single" w:sz="4" w:space="0" w:color="auto"/>
              <w:right w:val="single" w:sz="4" w:space="0" w:color="auto"/>
            </w:tcBorders>
            <w:shd w:val="clear" w:color="auto" w:fill="auto"/>
            <w:noWrap/>
            <w:textDirection w:val="btLr"/>
            <w:vAlign w:val="center"/>
            <w:hideMark/>
          </w:tcPr>
          <w:p w14:paraId="4F13F685"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1999,84</w:t>
            </w:r>
          </w:p>
        </w:tc>
      </w:tr>
      <w:tr w:rsidR="006B4969" w:rsidRPr="00C2587D" w14:paraId="1FED3980" w14:textId="77777777" w:rsidTr="00FF28D2">
        <w:trPr>
          <w:cantSplit/>
          <w:trHeight w:val="1134"/>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31D2F43F"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4</w:t>
            </w:r>
          </w:p>
        </w:tc>
        <w:tc>
          <w:tcPr>
            <w:tcW w:w="2113" w:type="dxa"/>
            <w:tcBorders>
              <w:top w:val="single" w:sz="4" w:space="0" w:color="auto"/>
              <w:left w:val="nil"/>
              <w:bottom w:val="single" w:sz="4" w:space="0" w:color="auto"/>
              <w:right w:val="single" w:sz="4" w:space="0" w:color="000000"/>
            </w:tcBorders>
            <w:shd w:val="clear" w:color="auto" w:fill="auto"/>
            <w:vAlign w:val="center"/>
            <w:hideMark/>
          </w:tcPr>
          <w:p w14:paraId="04F0E3DD" w14:textId="77777777" w:rsidR="006B4969" w:rsidRPr="00C2587D" w:rsidRDefault="006B4969" w:rsidP="00FF28D2">
            <w:pPr>
              <w:rPr>
                <w:rFonts w:ascii="Times New Roman" w:hAnsi="Times New Roman"/>
                <w:color w:val="000000"/>
                <w:sz w:val="20"/>
                <w:szCs w:val="20"/>
              </w:rPr>
            </w:pPr>
            <w:r w:rsidRPr="00C2587D">
              <w:rPr>
                <w:rFonts w:ascii="Times New Roman" w:hAnsi="Times New Roman"/>
                <w:color w:val="000000"/>
                <w:sz w:val="20"/>
                <w:szCs w:val="20"/>
              </w:rPr>
              <w:t>Програма Жмеринської МТГ "Організація харчування учнів/дітей в закладах освіти» на 2025-2027 роки"</w:t>
            </w:r>
          </w:p>
        </w:tc>
        <w:tc>
          <w:tcPr>
            <w:tcW w:w="737" w:type="dxa"/>
            <w:tcBorders>
              <w:top w:val="nil"/>
              <w:left w:val="nil"/>
              <w:bottom w:val="single" w:sz="4" w:space="0" w:color="auto"/>
              <w:right w:val="single" w:sz="4" w:space="0" w:color="auto"/>
            </w:tcBorders>
            <w:shd w:val="clear" w:color="auto" w:fill="auto"/>
            <w:textDirection w:val="btLr"/>
            <w:vAlign w:val="center"/>
            <w:hideMark/>
          </w:tcPr>
          <w:p w14:paraId="286259FF"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114323,30</w:t>
            </w:r>
          </w:p>
        </w:tc>
        <w:tc>
          <w:tcPr>
            <w:tcW w:w="850" w:type="dxa"/>
            <w:tcBorders>
              <w:top w:val="single" w:sz="4" w:space="0" w:color="auto"/>
              <w:left w:val="nil"/>
              <w:bottom w:val="single" w:sz="4" w:space="0" w:color="auto"/>
              <w:right w:val="single" w:sz="4" w:space="0" w:color="auto"/>
            </w:tcBorders>
            <w:shd w:val="clear" w:color="000000" w:fill="F8CBAD"/>
            <w:textDirection w:val="btLr"/>
            <w:vAlign w:val="center"/>
            <w:hideMark/>
          </w:tcPr>
          <w:p w14:paraId="602354C4"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114323,30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4677C7D5"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25381,30</w:t>
            </w:r>
          </w:p>
        </w:tc>
        <w:tc>
          <w:tcPr>
            <w:tcW w:w="851" w:type="dxa"/>
            <w:tcBorders>
              <w:top w:val="nil"/>
              <w:left w:val="single" w:sz="4" w:space="0" w:color="auto"/>
              <w:bottom w:val="single" w:sz="4" w:space="0" w:color="auto"/>
              <w:right w:val="single" w:sz="4" w:space="0" w:color="auto"/>
            </w:tcBorders>
            <w:shd w:val="clear" w:color="auto" w:fill="auto"/>
            <w:textDirection w:val="btLr"/>
            <w:vAlign w:val="center"/>
            <w:hideMark/>
          </w:tcPr>
          <w:p w14:paraId="7C3A0E0B"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28020,90</w:t>
            </w:r>
          </w:p>
        </w:tc>
        <w:tc>
          <w:tcPr>
            <w:tcW w:w="850" w:type="dxa"/>
            <w:tcBorders>
              <w:top w:val="nil"/>
              <w:left w:val="nil"/>
              <w:bottom w:val="single" w:sz="4" w:space="0" w:color="auto"/>
              <w:right w:val="single" w:sz="4" w:space="0" w:color="auto"/>
            </w:tcBorders>
            <w:shd w:val="clear" w:color="auto" w:fill="auto"/>
            <w:textDirection w:val="btLr"/>
            <w:vAlign w:val="center"/>
            <w:hideMark/>
          </w:tcPr>
          <w:p w14:paraId="5A39A9C4"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29674,20</w:t>
            </w: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7132A216"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31246,90</w:t>
            </w:r>
          </w:p>
        </w:tc>
        <w:tc>
          <w:tcPr>
            <w:tcW w:w="709" w:type="dxa"/>
            <w:tcBorders>
              <w:top w:val="nil"/>
              <w:left w:val="nil"/>
              <w:bottom w:val="single" w:sz="4" w:space="0" w:color="auto"/>
              <w:right w:val="single" w:sz="4" w:space="0" w:color="auto"/>
            </w:tcBorders>
            <w:shd w:val="clear" w:color="000000" w:fill="C6E0B4"/>
            <w:textDirection w:val="btLr"/>
            <w:vAlign w:val="center"/>
            <w:hideMark/>
          </w:tcPr>
          <w:p w14:paraId="3E8116AF"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7950189A" w14:textId="77777777" w:rsidR="006B4969" w:rsidRPr="00C2587D" w:rsidRDefault="006B4969" w:rsidP="006B4969">
            <w:pPr>
              <w:ind w:left="113" w:right="113"/>
              <w:jc w:val="center"/>
              <w:rPr>
                <w:rFonts w:ascii="Times New Roman" w:hAnsi="Times New Roman"/>
                <w:sz w:val="20"/>
                <w:szCs w:val="20"/>
              </w:rPr>
            </w:pPr>
          </w:p>
        </w:tc>
        <w:tc>
          <w:tcPr>
            <w:tcW w:w="708" w:type="dxa"/>
            <w:tcBorders>
              <w:top w:val="nil"/>
              <w:left w:val="nil"/>
              <w:bottom w:val="single" w:sz="4" w:space="0" w:color="auto"/>
              <w:right w:val="single" w:sz="4" w:space="0" w:color="auto"/>
            </w:tcBorders>
            <w:shd w:val="clear" w:color="auto" w:fill="auto"/>
            <w:textDirection w:val="btLr"/>
            <w:vAlign w:val="center"/>
            <w:hideMark/>
          </w:tcPr>
          <w:p w14:paraId="10CCD4C5"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1D0B30C2"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515A35E0"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nil"/>
              <w:left w:val="nil"/>
              <w:bottom w:val="single" w:sz="4" w:space="0" w:color="auto"/>
              <w:right w:val="single" w:sz="4" w:space="0" w:color="auto"/>
            </w:tcBorders>
            <w:shd w:val="clear" w:color="000000" w:fill="D6DCE4"/>
            <w:textDirection w:val="btLr"/>
            <w:vAlign w:val="center"/>
            <w:hideMark/>
          </w:tcPr>
          <w:p w14:paraId="0CD1C372"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nil"/>
              <w:left w:val="nil"/>
              <w:bottom w:val="single" w:sz="4" w:space="0" w:color="auto"/>
              <w:right w:val="single" w:sz="4" w:space="0" w:color="auto"/>
            </w:tcBorders>
            <w:shd w:val="clear" w:color="auto" w:fill="auto"/>
            <w:textDirection w:val="btLr"/>
            <w:vAlign w:val="center"/>
            <w:hideMark/>
          </w:tcPr>
          <w:p w14:paraId="6643A38F"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nil"/>
              <w:left w:val="nil"/>
              <w:bottom w:val="single" w:sz="4" w:space="0" w:color="auto"/>
              <w:right w:val="single" w:sz="4" w:space="0" w:color="auto"/>
            </w:tcBorders>
            <w:shd w:val="clear" w:color="auto" w:fill="auto"/>
            <w:textDirection w:val="btLr"/>
            <w:vAlign w:val="center"/>
            <w:hideMark/>
          </w:tcPr>
          <w:p w14:paraId="4BE6992A" w14:textId="77777777" w:rsidR="006B4969" w:rsidRPr="00C2587D" w:rsidRDefault="006B4969" w:rsidP="006B4969">
            <w:pPr>
              <w:ind w:left="113" w:right="113"/>
              <w:jc w:val="center"/>
              <w:rPr>
                <w:rFonts w:ascii="Times New Roman" w:hAnsi="Times New Roman"/>
                <w:sz w:val="20"/>
                <w:szCs w:val="20"/>
              </w:rPr>
            </w:pPr>
          </w:p>
        </w:tc>
        <w:tc>
          <w:tcPr>
            <w:tcW w:w="624" w:type="dxa"/>
            <w:tcBorders>
              <w:top w:val="nil"/>
              <w:left w:val="nil"/>
              <w:bottom w:val="single" w:sz="4" w:space="0" w:color="auto"/>
              <w:right w:val="single" w:sz="4" w:space="0" w:color="auto"/>
            </w:tcBorders>
            <w:shd w:val="clear" w:color="auto" w:fill="auto"/>
            <w:textDirection w:val="btLr"/>
            <w:vAlign w:val="center"/>
            <w:hideMark/>
          </w:tcPr>
          <w:p w14:paraId="688EAF88"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nil"/>
              <w:left w:val="nil"/>
              <w:bottom w:val="single" w:sz="4" w:space="0" w:color="auto"/>
              <w:right w:val="single" w:sz="4" w:space="0" w:color="auto"/>
            </w:tcBorders>
            <w:shd w:val="clear" w:color="auto" w:fill="auto"/>
            <w:textDirection w:val="btLr"/>
            <w:vAlign w:val="center"/>
            <w:hideMark/>
          </w:tcPr>
          <w:p w14:paraId="44F0D4FD" w14:textId="77777777" w:rsidR="006B4969" w:rsidRPr="00C2587D" w:rsidRDefault="006B4969" w:rsidP="006B4969">
            <w:pPr>
              <w:ind w:left="113" w:right="113"/>
              <w:jc w:val="center"/>
              <w:rPr>
                <w:rFonts w:ascii="Times New Roman" w:hAnsi="Times New Roman"/>
                <w:sz w:val="20"/>
                <w:szCs w:val="20"/>
              </w:rPr>
            </w:pPr>
          </w:p>
        </w:tc>
        <w:tc>
          <w:tcPr>
            <w:tcW w:w="1106" w:type="dxa"/>
            <w:tcBorders>
              <w:top w:val="nil"/>
              <w:left w:val="nil"/>
              <w:bottom w:val="single" w:sz="4" w:space="0" w:color="auto"/>
              <w:right w:val="single" w:sz="4" w:space="0" w:color="auto"/>
            </w:tcBorders>
            <w:shd w:val="clear" w:color="auto" w:fill="auto"/>
            <w:noWrap/>
            <w:textDirection w:val="btLr"/>
            <w:vAlign w:val="center"/>
            <w:hideMark/>
          </w:tcPr>
          <w:p w14:paraId="6627CCEB"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114323,30</w:t>
            </w:r>
          </w:p>
        </w:tc>
      </w:tr>
      <w:tr w:rsidR="006B4969" w:rsidRPr="00C2587D" w14:paraId="0587F56D" w14:textId="77777777" w:rsidTr="00FF28D2">
        <w:trPr>
          <w:cantSplit/>
          <w:trHeight w:val="1134"/>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6AC3AD14"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5</w:t>
            </w:r>
          </w:p>
        </w:tc>
        <w:tc>
          <w:tcPr>
            <w:tcW w:w="2113" w:type="dxa"/>
            <w:tcBorders>
              <w:top w:val="single" w:sz="4" w:space="0" w:color="auto"/>
              <w:left w:val="nil"/>
              <w:bottom w:val="single" w:sz="4" w:space="0" w:color="auto"/>
              <w:right w:val="single" w:sz="4" w:space="0" w:color="auto"/>
            </w:tcBorders>
            <w:shd w:val="clear" w:color="auto" w:fill="auto"/>
            <w:vAlign w:val="center"/>
            <w:hideMark/>
          </w:tcPr>
          <w:p w14:paraId="6FD3C057" w14:textId="77777777" w:rsidR="006B4969" w:rsidRPr="00C2587D" w:rsidRDefault="006B4969" w:rsidP="00FF28D2">
            <w:pPr>
              <w:rPr>
                <w:rFonts w:ascii="Times New Roman" w:hAnsi="Times New Roman"/>
                <w:color w:val="000000"/>
                <w:sz w:val="20"/>
                <w:szCs w:val="20"/>
              </w:rPr>
            </w:pPr>
            <w:r w:rsidRPr="00C2587D">
              <w:rPr>
                <w:rFonts w:ascii="Times New Roman" w:hAnsi="Times New Roman"/>
                <w:color w:val="000000"/>
                <w:sz w:val="20"/>
                <w:szCs w:val="20"/>
              </w:rPr>
              <w:t>Програма Жмеринської МТГ «Розвиток плавання» на 2025-2027 роки</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2986AEE9"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9180,14</w:t>
            </w:r>
          </w:p>
        </w:tc>
        <w:tc>
          <w:tcPr>
            <w:tcW w:w="850" w:type="dxa"/>
            <w:tcBorders>
              <w:top w:val="single" w:sz="4" w:space="0" w:color="auto"/>
              <w:left w:val="single" w:sz="4" w:space="0" w:color="auto"/>
              <w:bottom w:val="single" w:sz="4" w:space="0" w:color="auto"/>
              <w:right w:val="single" w:sz="4" w:space="0" w:color="auto"/>
            </w:tcBorders>
            <w:shd w:val="clear" w:color="000000" w:fill="F8CBAD"/>
            <w:textDirection w:val="btLr"/>
            <w:vAlign w:val="center"/>
            <w:hideMark/>
          </w:tcPr>
          <w:p w14:paraId="2EF0EA4D"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9180,14</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6B5954A7"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2014,56</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5D116BD9"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2213,37</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0063544E"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2412,18</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7DA5DA19"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2540,03</w:t>
            </w:r>
          </w:p>
        </w:tc>
        <w:tc>
          <w:tcPr>
            <w:tcW w:w="709" w:type="dxa"/>
            <w:tcBorders>
              <w:top w:val="single" w:sz="4" w:space="0" w:color="auto"/>
              <w:left w:val="single" w:sz="4" w:space="0" w:color="auto"/>
              <w:bottom w:val="single" w:sz="4" w:space="0" w:color="auto"/>
              <w:right w:val="single" w:sz="4" w:space="0" w:color="auto"/>
            </w:tcBorders>
            <w:shd w:val="clear" w:color="000000" w:fill="C6E0B4"/>
            <w:textDirection w:val="btLr"/>
            <w:vAlign w:val="center"/>
            <w:hideMark/>
          </w:tcPr>
          <w:p w14:paraId="5EACDFE7"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29167BA8" w14:textId="77777777" w:rsidR="006B4969" w:rsidRPr="00C2587D" w:rsidRDefault="006B4969" w:rsidP="006B4969">
            <w:pPr>
              <w:ind w:left="113" w:right="113"/>
              <w:jc w:val="center"/>
              <w:rPr>
                <w:rFonts w:ascii="Times New Roman" w:hAnsi="Times New Roman"/>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5E92B498"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3D271FE2"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20FEF3D3"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000000" w:fill="D6DCE4"/>
            <w:textDirection w:val="btLr"/>
            <w:vAlign w:val="center"/>
            <w:hideMark/>
          </w:tcPr>
          <w:p w14:paraId="6FDCAD82"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7FF9357B"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1685A732" w14:textId="77777777" w:rsidR="006B4969" w:rsidRPr="00C2587D" w:rsidRDefault="006B4969" w:rsidP="006B4969">
            <w:pPr>
              <w:ind w:left="113" w:right="113"/>
              <w:jc w:val="center"/>
              <w:rPr>
                <w:rFonts w:ascii="Times New Roman" w:hAnsi="Times New Roman"/>
                <w:sz w:val="20"/>
                <w:szCs w:val="20"/>
              </w:rPr>
            </w:pP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206BF837"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691E21A8" w14:textId="77777777" w:rsidR="006B4969" w:rsidRPr="00C2587D" w:rsidRDefault="006B4969" w:rsidP="006B4969">
            <w:pPr>
              <w:ind w:left="113" w:right="113"/>
              <w:jc w:val="center"/>
              <w:rPr>
                <w:rFonts w:ascii="Times New Roman" w:hAnsi="Times New Roman"/>
                <w:sz w:val="20"/>
                <w:szCs w:val="20"/>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43FE1567"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b/>
                <w:sz w:val="20"/>
                <w:szCs w:val="20"/>
              </w:rPr>
              <w:t>9180,14</w:t>
            </w:r>
          </w:p>
        </w:tc>
      </w:tr>
    </w:tbl>
    <w:p w14:paraId="221FCC2A" w14:textId="77777777" w:rsidR="00DE3DCF" w:rsidRDefault="00DE3DCF">
      <w:r>
        <w:br w:type="page"/>
      </w:r>
    </w:p>
    <w:tbl>
      <w:tblPr>
        <w:tblW w:w="15175" w:type="dxa"/>
        <w:tblInd w:w="-12" w:type="dxa"/>
        <w:tblLayout w:type="fixed"/>
        <w:tblLook w:val="04A0" w:firstRow="1" w:lastRow="0" w:firstColumn="1" w:lastColumn="0" w:noHBand="0" w:noVBand="1"/>
      </w:tblPr>
      <w:tblGrid>
        <w:gridCol w:w="531"/>
        <w:gridCol w:w="2113"/>
        <w:gridCol w:w="737"/>
        <w:gridCol w:w="850"/>
        <w:gridCol w:w="992"/>
        <w:gridCol w:w="851"/>
        <w:gridCol w:w="850"/>
        <w:gridCol w:w="709"/>
        <w:gridCol w:w="709"/>
        <w:gridCol w:w="709"/>
        <w:gridCol w:w="708"/>
        <w:gridCol w:w="709"/>
        <w:gridCol w:w="709"/>
        <w:gridCol w:w="567"/>
        <w:gridCol w:w="567"/>
        <w:gridCol w:w="567"/>
        <w:gridCol w:w="624"/>
        <w:gridCol w:w="567"/>
        <w:gridCol w:w="1106"/>
      </w:tblGrid>
      <w:tr w:rsidR="006B4969" w:rsidRPr="00C2587D" w14:paraId="38A90D1A" w14:textId="77777777" w:rsidTr="00FF28D2">
        <w:trPr>
          <w:cantSplit/>
          <w:trHeight w:val="517"/>
        </w:trPr>
        <w:tc>
          <w:tcPr>
            <w:tcW w:w="531" w:type="dxa"/>
            <w:tcBorders>
              <w:top w:val="single" w:sz="4" w:space="0" w:color="auto"/>
              <w:left w:val="single" w:sz="4" w:space="0" w:color="auto"/>
              <w:bottom w:val="single" w:sz="4" w:space="0" w:color="auto"/>
              <w:right w:val="single" w:sz="4" w:space="0" w:color="auto"/>
            </w:tcBorders>
            <w:shd w:val="clear" w:color="auto" w:fill="auto"/>
            <w:hideMark/>
          </w:tcPr>
          <w:p w14:paraId="4BDF0461" w14:textId="74E8CD7B" w:rsidR="006B4969" w:rsidRPr="00C2587D" w:rsidRDefault="006B4969" w:rsidP="006B4969">
            <w:pPr>
              <w:rPr>
                <w:rFonts w:ascii="Times New Roman" w:hAnsi="Times New Roman"/>
                <w:sz w:val="20"/>
                <w:szCs w:val="20"/>
              </w:rPr>
            </w:pPr>
            <w:r w:rsidRPr="00C2587D">
              <w:rPr>
                <w:rFonts w:ascii="Times New Roman" w:hAnsi="Times New Roman"/>
                <w:sz w:val="20"/>
                <w:szCs w:val="20"/>
              </w:rPr>
              <w:lastRenderedPageBreak/>
              <w:t> </w:t>
            </w:r>
          </w:p>
        </w:tc>
        <w:tc>
          <w:tcPr>
            <w:tcW w:w="14644" w:type="dxa"/>
            <w:gridSpan w:val="18"/>
            <w:tcBorders>
              <w:top w:val="single" w:sz="4" w:space="0" w:color="auto"/>
              <w:left w:val="nil"/>
              <w:bottom w:val="single" w:sz="4" w:space="0" w:color="auto"/>
              <w:right w:val="nil"/>
            </w:tcBorders>
            <w:shd w:val="clear" w:color="auto" w:fill="auto"/>
            <w:vAlign w:val="center"/>
            <w:hideMark/>
          </w:tcPr>
          <w:p w14:paraId="45B7D667" w14:textId="77777777" w:rsidR="006B4969" w:rsidRPr="00C2587D" w:rsidRDefault="006B4969" w:rsidP="006B4969">
            <w:pPr>
              <w:jc w:val="center"/>
              <w:rPr>
                <w:rFonts w:ascii="Times New Roman" w:hAnsi="Times New Roman"/>
                <w:b/>
                <w:sz w:val="20"/>
                <w:szCs w:val="20"/>
              </w:rPr>
            </w:pPr>
            <w:r w:rsidRPr="00C2587D">
              <w:rPr>
                <w:rFonts w:ascii="Times New Roman" w:hAnsi="Times New Roman"/>
                <w:b/>
                <w:sz w:val="20"/>
                <w:szCs w:val="20"/>
              </w:rPr>
              <w:t>Проєкти місцевого (регіонального) розвитку</w:t>
            </w:r>
          </w:p>
        </w:tc>
      </w:tr>
      <w:tr w:rsidR="006B4969" w:rsidRPr="00C2587D" w14:paraId="5269D035" w14:textId="77777777" w:rsidTr="00FF28D2">
        <w:trPr>
          <w:cantSplit/>
          <w:trHeight w:val="1145"/>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48687690"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1</w:t>
            </w:r>
          </w:p>
        </w:tc>
        <w:tc>
          <w:tcPr>
            <w:tcW w:w="2113" w:type="dxa"/>
            <w:tcBorders>
              <w:top w:val="single" w:sz="4" w:space="0" w:color="auto"/>
              <w:left w:val="nil"/>
              <w:bottom w:val="single" w:sz="4" w:space="0" w:color="auto"/>
              <w:right w:val="single" w:sz="4" w:space="0" w:color="auto"/>
            </w:tcBorders>
            <w:shd w:val="clear" w:color="auto" w:fill="auto"/>
            <w:vAlign w:val="center"/>
            <w:hideMark/>
          </w:tcPr>
          <w:p w14:paraId="6A993D2A"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Профільна старша школа як необхідна умова розвитку освіти</w:t>
            </w:r>
            <w:r w:rsidRPr="00C2587D">
              <w:rPr>
                <w:rFonts w:ascii="Times New Roman" w:hAnsi="Times New Roman"/>
                <w:sz w:val="20"/>
                <w:szCs w:val="20"/>
              </w:rPr>
              <w:br/>
              <w:t>громади</w:t>
            </w:r>
          </w:p>
        </w:tc>
        <w:tc>
          <w:tcPr>
            <w:tcW w:w="737" w:type="dxa"/>
            <w:tcBorders>
              <w:top w:val="nil"/>
              <w:left w:val="nil"/>
              <w:bottom w:val="single" w:sz="4" w:space="0" w:color="auto"/>
              <w:right w:val="single" w:sz="4" w:space="0" w:color="auto"/>
            </w:tcBorders>
            <w:shd w:val="clear" w:color="auto" w:fill="auto"/>
            <w:textDirection w:val="btLr"/>
            <w:vAlign w:val="center"/>
            <w:hideMark/>
          </w:tcPr>
          <w:p w14:paraId="13CC5FB5"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180000,00</w:t>
            </w:r>
          </w:p>
        </w:tc>
        <w:tc>
          <w:tcPr>
            <w:tcW w:w="850" w:type="dxa"/>
            <w:tcBorders>
              <w:top w:val="nil"/>
              <w:left w:val="nil"/>
              <w:bottom w:val="single" w:sz="4" w:space="0" w:color="auto"/>
              <w:right w:val="single" w:sz="4" w:space="0" w:color="auto"/>
            </w:tcBorders>
            <w:shd w:val="clear" w:color="000000" w:fill="F8CBAD"/>
            <w:textDirection w:val="btLr"/>
            <w:vAlign w:val="center"/>
            <w:hideMark/>
          </w:tcPr>
          <w:p w14:paraId="2280685D" w14:textId="0E35913B" w:rsidR="006B4969" w:rsidRPr="00C2587D" w:rsidRDefault="006B4969" w:rsidP="001C465A">
            <w:pPr>
              <w:ind w:left="113" w:right="113"/>
              <w:jc w:val="center"/>
              <w:rPr>
                <w:rFonts w:ascii="Times New Roman" w:hAnsi="Times New Roman"/>
                <w:sz w:val="20"/>
                <w:szCs w:val="20"/>
              </w:rPr>
            </w:pPr>
            <w:r w:rsidRPr="00C2587D">
              <w:rPr>
                <w:rFonts w:ascii="Times New Roman" w:hAnsi="Times New Roman"/>
                <w:sz w:val="20"/>
                <w:szCs w:val="20"/>
              </w:rPr>
              <w:t>3</w:t>
            </w:r>
            <w:r w:rsidR="001C465A">
              <w:rPr>
                <w:rFonts w:ascii="Times New Roman" w:hAnsi="Times New Roman"/>
                <w:sz w:val="20"/>
                <w:szCs w:val="20"/>
              </w:rPr>
              <w:t>0</w:t>
            </w:r>
            <w:r w:rsidRPr="00C2587D">
              <w:rPr>
                <w:rFonts w:ascii="Times New Roman" w:hAnsi="Times New Roman"/>
                <w:sz w:val="20"/>
                <w:szCs w:val="20"/>
              </w:rPr>
              <w:t>000,00</w:t>
            </w:r>
          </w:p>
        </w:tc>
        <w:tc>
          <w:tcPr>
            <w:tcW w:w="992" w:type="dxa"/>
            <w:tcBorders>
              <w:top w:val="single" w:sz="4" w:space="0" w:color="auto"/>
              <w:left w:val="nil"/>
              <w:bottom w:val="single" w:sz="4" w:space="0" w:color="auto"/>
              <w:right w:val="single" w:sz="4" w:space="0" w:color="auto"/>
            </w:tcBorders>
            <w:shd w:val="clear" w:color="auto" w:fill="auto"/>
            <w:textDirection w:val="btLr"/>
            <w:vAlign w:val="center"/>
            <w:hideMark/>
          </w:tcPr>
          <w:p w14:paraId="333087CF" w14:textId="76B45871" w:rsidR="006B4969" w:rsidRPr="00C2587D" w:rsidRDefault="001C465A" w:rsidP="006B4969">
            <w:pPr>
              <w:ind w:left="113" w:right="113"/>
              <w:jc w:val="center"/>
              <w:rPr>
                <w:rFonts w:ascii="Times New Roman" w:hAnsi="Times New Roman"/>
                <w:sz w:val="20"/>
                <w:szCs w:val="20"/>
              </w:rPr>
            </w:pPr>
            <w:r>
              <w:rPr>
                <w:rFonts w:ascii="Times New Roman" w:hAnsi="Times New Roman"/>
                <w:sz w:val="20"/>
                <w:szCs w:val="20"/>
              </w:rPr>
              <w:t>0</w:t>
            </w:r>
          </w:p>
        </w:tc>
        <w:tc>
          <w:tcPr>
            <w:tcW w:w="851" w:type="dxa"/>
            <w:tcBorders>
              <w:top w:val="nil"/>
              <w:left w:val="nil"/>
              <w:bottom w:val="single" w:sz="4" w:space="0" w:color="auto"/>
              <w:right w:val="single" w:sz="4" w:space="0" w:color="auto"/>
            </w:tcBorders>
            <w:shd w:val="clear" w:color="auto" w:fill="auto"/>
            <w:textDirection w:val="btLr"/>
            <w:vAlign w:val="center"/>
            <w:hideMark/>
          </w:tcPr>
          <w:p w14:paraId="67D6E9BD"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10000,00</w:t>
            </w:r>
          </w:p>
        </w:tc>
        <w:tc>
          <w:tcPr>
            <w:tcW w:w="850" w:type="dxa"/>
            <w:tcBorders>
              <w:top w:val="nil"/>
              <w:left w:val="nil"/>
              <w:bottom w:val="single" w:sz="4" w:space="0" w:color="auto"/>
              <w:right w:val="single" w:sz="4" w:space="0" w:color="auto"/>
            </w:tcBorders>
            <w:shd w:val="clear" w:color="auto" w:fill="auto"/>
            <w:textDirection w:val="btLr"/>
            <w:vAlign w:val="center"/>
            <w:hideMark/>
          </w:tcPr>
          <w:p w14:paraId="3AD1D3D3" w14:textId="5E7586E5" w:rsidR="006B4969" w:rsidRPr="00C2587D" w:rsidRDefault="006B4969" w:rsidP="001C465A">
            <w:pPr>
              <w:ind w:left="113" w:right="113"/>
              <w:jc w:val="center"/>
              <w:rPr>
                <w:rFonts w:ascii="Times New Roman" w:hAnsi="Times New Roman"/>
                <w:sz w:val="20"/>
                <w:szCs w:val="20"/>
              </w:rPr>
            </w:pPr>
            <w:r w:rsidRPr="00C2587D">
              <w:rPr>
                <w:rFonts w:ascii="Times New Roman" w:hAnsi="Times New Roman"/>
                <w:sz w:val="20"/>
                <w:szCs w:val="20"/>
              </w:rPr>
              <w:t>1</w:t>
            </w:r>
            <w:r w:rsidR="001C465A">
              <w:rPr>
                <w:rFonts w:ascii="Times New Roman" w:hAnsi="Times New Roman"/>
                <w:sz w:val="20"/>
                <w:szCs w:val="20"/>
              </w:rPr>
              <w:t>0</w:t>
            </w:r>
            <w:r w:rsidRPr="00C2587D">
              <w:rPr>
                <w:rFonts w:ascii="Times New Roman" w:hAnsi="Times New Roman"/>
                <w:sz w:val="20"/>
                <w:szCs w:val="20"/>
              </w:rPr>
              <w:t>000,00</w:t>
            </w: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1EB8092A" w14:textId="6B9A1C44" w:rsidR="006B4969" w:rsidRPr="00C2587D" w:rsidRDefault="006B4969" w:rsidP="001C465A">
            <w:pPr>
              <w:ind w:left="113" w:right="113"/>
              <w:jc w:val="center"/>
              <w:rPr>
                <w:rFonts w:ascii="Times New Roman" w:hAnsi="Times New Roman"/>
                <w:sz w:val="20"/>
                <w:szCs w:val="20"/>
              </w:rPr>
            </w:pPr>
            <w:r w:rsidRPr="00C2587D">
              <w:rPr>
                <w:rFonts w:ascii="Times New Roman" w:hAnsi="Times New Roman"/>
                <w:sz w:val="20"/>
                <w:szCs w:val="20"/>
              </w:rPr>
              <w:t>1</w:t>
            </w:r>
            <w:r w:rsidR="001C465A">
              <w:rPr>
                <w:rFonts w:ascii="Times New Roman" w:hAnsi="Times New Roman"/>
                <w:sz w:val="20"/>
                <w:szCs w:val="20"/>
              </w:rPr>
              <w:t>0</w:t>
            </w:r>
            <w:r w:rsidRPr="00C2587D">
              <w:rPr>
                <w:rFonts w:ascii="Times New Roman" w:hAnsi="Times New Roman"/>
                <w:sz w:val="20"/>
                <w:szCs w:val="20"/>
              </w:rPr>
              <w:t>000,00</w:t>
            </w:r>
          </w:p>
        </w:tc>
        <w:tc>
          <w:tcPr>
            <w:tcW w:w="709" w:type="dxa"/>
            <w:tcBorders>
              <w:top w:val="nil"/>
              <w:left w:val="nil"/>
              <w:bottom w:val="single" w:sz="4" w:space="0" w:color="auto"/>
              <w:right w:val="single" w:sz="4" w:space="0" w:color="auto"/>
            </w:tcBorders>
            <w:shd w:val="clear" w:color="000000" w:fill="C6E0B4"/>
            <w:textDirection w:val="btLr"/>
            <w:vAlign w:val="center"/>
            <w:hideMark/>
          </w:tcPr>
          <w:p w14:paraId="15445CFD" w14:textId="1EDACA27" w:rsidR="006B4969" w:rsidRPr="00C2587D" w:rsidRDefault="001C465A" w:rsidP="006B4969">
            <w:pPr>
              <w:ind w:left="113" w:right="113"/>
              <w:jc w:val="center"/>
              <w:rPr>
                <w:rFonts w:ascii="Times New Roman" w:hAnsi="Times New Roman"/>
                <w:sz w:val="20"/>
                <w:szCs w:val="20"/>
              </w:rPr>
            </w:pPr>
            <w:r>
              <w:rPr>
                <w:rFonts w:ascii="Times New Roman" w:hAnsi="Times New Roman"/>
                <w:sz w:val="20"/>
                <w:szCs w:val="20"/>
              </w:rPr>
              <w:t xml:space="preserve">150 </w:t>
            </w:r>
            <w:r w:rsidR="006B4969" w:rsidRPr="00C2587D">
              <w:rPr>
                <w:rFonts w:ascii="Times New Roman" w:hAnsi="Times New Roman"/>
                <w:sz w:val="20"/>
                <w:szCs w:val="20"/>
              </w:rPr>
              <w:t>000,00</w:t>
            </w: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7AB00962"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0,00</w:t>
            </w:r>
          </w:p>
        </w:tc>
        <w:tc>
          <w:tcPr>
            <w:tcW w:w="708" w:type="dxa"/>
            <w:tcBorders>
              <w:top w:val="nil"/>
              <w:left w:val="nil"/>
              <w:bottom w:val="single" w:sz="4" w:space="0" w:color="auto"/>
              <w:right w:val="single" w:sz="4" w:space="0" w:color="auto"/>
            </w:tcBorders>
            <w:shd w:val="clear" w:color="auto" w:fill="auto"/>
            <w:textDirection w:val="btLr"/>
            <w:vAlign w:val="center"/>
            <w:hideMark/>
          </w:tcPr>
          <w:p w14:paraId="4E64ECA3" w14:textId="5699648B" w:rsidR="006B4969" w:rsidRPr="00C2587D" w:rsidRDefault="001C465A" w:rsidP="006B4969">
            <w:pPr>
              <w:ind w:left="113" w:right="113"/>
              <w:jc w:val="center"/>
              <w:rPr>
                <w:rFonts w:ascii="Times New Roman" w:hAnsi="Times New Roman"/>
                <w:sz w:val="20"/>
                <w:szCs w:val="20"/>
              </w:rPr>
            </w:pPr>
            <w:r>
              <w:rPr>
                <w:rFonts w:ascii="Times New Roman" w:hAnsi="Times New Roman"/>
                <w:sz w:val="20"/>
                <w:szCs w:val="20"/>
              </w:rPr>
              <w:t>50</w:t>
            </w:r>
            <w:r w:rsidR="006B4969" w:rsidRPr="00C2587D">
              <w:rPr>
                <w:rFonts w:ascii="Times New Roman" w:hAnsi="Times New Roman"/>
                <w:sz w:val="20"/>
                <w:szCs w:val="20"/>
              </w:rPr>
              <w:t>000,00</w:t>
            </w: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10D702C2" w14:textId="432659FD" w:rsidR="006B4969" w:rsidRPr="00C2587D" w:rsidRDefault="001C465A" w:rsidP="006B4969">
            <w:pPr>
              <w:ind w:left="113" w:right="113"/>
              <w:jc w:val="center"/>
              <w:rPr>
                <w:rFonts w:ascii="Times New Roman" w:hAnsi="Times New Roman"/>
                <w:sz w:val="20"/>
                <w:szCs w:val="20"/>
              </w:rPr>
            </w:pPr>
            <w:r>
              <w:rPr>
                <w:rFonts w:ascii="Times New Roman" w:hAnsi="Times New Roman"/>
                <w:sz w:val="20"/>
                <w:szCs w:val="20"/>
              </w:rPr>
              <w:t>50</w:t>
            </w:r>
            <w:r w:rsidR="006B4969" w:rsidRPr="00C2587D">
              <w:rPr>
                <w:rFonts w:ascii="Times New Roman" w:hAnsi="Times New Roman"/>
                <w:sz w:val="20"/>
                <w:szCs w:val="20"/>
              </w:rPr>
              <w:t>000,00</w:t>
            </w: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23918247" w14:textId="722FD490" w:rsidR="006B4969" w:rsidRPr="00C2587D" w:rsidRDefault="001C465A" w:rsidP="006B4969">
            <w:pPr>
              <w:ind w:left="113" w:right="113"/>
              <w:jc w:val="center"/>
              <w:rPr>
                <w:rFonts w:ascii="Times New Roman" w:hAnsi="Times New Roman"/>
                <w:sz w:val="20"/>
                <w:szCs w:val="20"/>
              </w:rPr>
            </w:pPr>
            <w:r>
              <w:rPr>
                <w:rFonts w:ascii="Times New Roman" w:hAnsi="Times New Roman"/>
                <w:sz w:val="20"/>
                <w:szCs w:val="20"/>
              </w:rPr>
              <w:t>50</w:t>
            </w:r>
            <w:r w:rsidR="006B4969" w:rsidRPr="00C2587D">
              <w:rPr>
                <w:rFonts w:ascii="Times New Roman" w:hAnsi="Times New Roman"/>
                <w:sz w:val="20"/>
                <w:szCs w:val="20"/>
              </w:rPr>
              <w:t>000,00</w:t>
            </w:r>
          </w:p>
        </w:tc>
        <w:tc>
          <w:tcPr>
            <w:tcW w:w="567" w:type="dxa"/>
            <w:tcBorders>
              <w:top w:val="nil"/>
              <w:left w:val="nil"/>
              <w:bottom w:val="single" w:sz="4" w:space="0" w:color="auto"/>
              <w:right w:val="single" w:sz="4" w:space="0" w:color="auto"/>
            </w:tcBorders>
            <w:shd w:val="clear" w:color="000000" w:fill="D6DCE4"/>
            <w:textDirection w:val="btLr"/>
            <w:vAlign w:val="center"/>
          </w:tcPr>
          <w:p w14:paraId="203FA14E" w14:textId="25A738E1" w:rsidR="006B4969" w:rsidRPr="00C2587D" w:rsidRDefault="006B4969" w:rsidP="006B4969">
            <w:pPr>
              <w:ind w:left="113" w:right="113"/>
              <w:jc w:val="center"/>
              <w:rPr>
                <w:rFonts w:ascii="Times New Roman" w:hAnsi="Times New Roman"/>
                <w:sz w:val="20"/>
                <w:szCs w:val="20"/>
              </w:rPr>
            </w:pPr>
          </w:p>
        </w:tc>
        <w:tc>
          <w:tcPr>
            <w:tcW w:w="567" w:type="dxa"/>
            <w:tcBorders>
              <w:top w:val="nil"/>
              <w:left w:val="nil"/>
              <w:bottom w:val="single" w:sz="4" w:space="0" w:color="auto"/>
              <w:right w:val="single" w:sz="4" w:space="0" w:color="auto"/>
            </w:tcBorders>
            <w:shd w:val="clear" w:color="auto" w:fill="auto"/>
            <w:textDirection w:val="btLr"/>
            <w:vAlign w:val="center"/>
          </w:tcPr>
          <w:p w14:paraId="441BFA10"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nil"/>
              <w:left w:val="nil"/>
              <w:bottom w:val="single" w:sz="4" w:space="0" w:color="auto"/>
              <w:right w:val="single" w:sz="4" w:space="0" w:color="auto"/>
            </w:tcBorders>
            <w:shd w:val="clear" w:color="auto" w:fill="auto"/>
            <w:textDirection w:val="btLr"/>
          </w:tcPr>
          <w:p w14:paraId="005511A8" w14:textId="6C236A05" w:rsidR="006B4969" w:rsidRPr="00C2587D" w:rsidRDefault="006B4969" w:rsidP="006B4969">
            <w:pPr>
              <w:ind w:left="113" w:right="113"/>
              <w:jc w:val="center"/>
              <w:rPr>
                <w:rFonts w:ascii="Times New Roman" w:hAnsi="Times New Roman"/>
                <w:sz w:val="20"/>
                <w:szCs w:val="20"/>
              </w:rPr>
            </w:pPr>
          </w:p>
        </w:tc>
        <w:tc>
          <w:tcPr>
            <w:tcW w:w="624" w:type="dxa"/>
            <w:tcBorders>
              <w:top w:val="nil"/>
              <w:left w:val="nil"/>
              <w:bottom w:val="single" w:sz="4" w:space="0" w:color="auto"/>
              <w:right w:val="single" w:sz="4" w:space="0" w:color="auto"/>
            </w:tcBorders>
            <w:shd w:val="clear" w:color="auto" w:fill="auto"/>
            <w:textDirection w:val="btLr"/>
          </w:tcPr>
          <w:p w14:paraId="5A930557" w14:textId="423E53D8" w:rsidR="006B4969" w:rsidRPr="00C2587D" w:rsidRDefault="006B4969" w:rsidP="006B4969">
            <w:pPr>
              <w:ind w:left="113" w:right="113"/>
              <w:jc w:val="center"/>
              <w:rPr>
                <w:rFonts w:ascii="Times New Roman" w:hAnsi="Times New Roman"/>
                <w:sz w:val="20"/>
                <w:szCs w:val="20"/>
              </w:rPr>
            </w:pPr>
          </w:p>
        </w:tc>
        <w:tc>
          <w:tcPr>
            <w:tcW w:w="567" w:type="dxa"/>
            <w:tcBorders>
              <w:top w:val="nil"/>
              <w:left w:val="nil"/>
              <w:bottom w:val="single" w:sz="4" w:space="0" w:color="auto"/>
              <w:right w:val="single" w:sz="4" w:space="0" w:color="auto"/>
            </w:tcBorders>
            <w:shd w:val="clear" w:color="auto" w:fill="auto"/>
            <w:textDirection w:val="btLr"/>
          </w:tcPr>
          <w:p w14:paraId="5540B3FF" w14:textId="63D6CB33" w:rsidR="006B4969" w:rsidRPr="00C2587D" w:rsidRDefault="006B4969" w:rsidP="006B4969">
            <w:pPr>
              <w:ind w:left="113" w:right="113"/>
              <w:jc w:val="center"/>
              <w:rPr>
                <w:rFonts w:ascii="Times New Roman" w:hAnsi="Times New Roman"/>
                <w:sz w:val="20"/>
                <w:szCs w:val="20"/>
              </w:rPr>
            </w:pP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2E461A40"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180000,00</w:t>
            </w:r>
          </w:p>
        </w:tc>
      </w:tr>
      <w:tr w:rsidR="006B4969" w:rsidRPr="00C2587D" w14:paraId="183F151C" w14:textId="77777777" w:rsidTr="00FF28D2">
        <w:trPr>
          <w:cantSplit/>
          <w:trHeight w:val="904"/>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40655B9E"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2</w:t>
            </w:r>
          </w:p>
        </w:tc>
        <w:tc>
          <w:tcPr>
            <w:tcW w:w="2113" w:type="dxa"/>
            <w:tcBorders>
              <w:top w:val="single" w:sz="4" w:space="0" w:color="auto"/>
              <w:left w:val="nil"/>
              <w:bottom w:val="single" w:sz="4" w:space="0" w:color="auto"/>
              <w:right w:val="single" w:sz="4" w:space="0" w:color="auto"/>
            </w:tcBorders>
            <w:shd w:val="clear" w:color="auto" w:fill="auto"/>
            <w:vAlign w:val="center"/>
            <w:hideMark/>
          </w:tcPr>
          <w:p w14:paraId="0B78987D"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Капітальний ремонт харчоблоку КЗ «Жмеринський ліцей № 1»</w:t>
            </w:r>
          </w:p>
        </w:tc>
        <w:tc>
          <w:tcPr>
            <w:tcW w:w="737" w:type="dxa"/>
            <w:tcBorders>
              <w:top w:val="nil"/>
              <w:left w:val="nil"/>
              <w:bottom w:val="single" w:sz="4" w:space="0" w:color="auto"/>
              <w:right w:val="single" w:sz="4" w:space="0" w:color="auto"/>
            </w:tcBorders>
            <w:shd w:val="clear" w:color="auto" w:fill="auto"/>
            <w:textDirection w:val="btLr"/>
            <w:vAlign w:val="center"/>
            <w:hideMark/>
          </w:tcPr>
          <w:p w14:paraId="2C7EAFF4"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7000,00</w:t>
            </w:r>
          </w:p>
        </w:tc>
        <w:tc>
          <w:tcPr>
            <w:tcW w:w="850" w:type="dxa"/>
            <w:tcBorders>
              <w:top w:val="nil"/>
              <w:left w:val="nil"/>
              <w:bottom w:val="single" w:sz="4" w:space="0" w:color="auto"/>
              <w:right w:val="single" w:sz="4" w:space="0" w:color="auto"/>
            </w:tcBorders>
            <w:shd w:val="clear" w:color="000000" w:fill="F8CBAD"/>
            <w:textDirection w:val="btLr"/>
            <w:vAlign w:val="center"/>
            <w:hideMark/>
          </w:tcPr>
          <w:p w14:paraId="1330F47E"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2100,00</w:t>
            </w:r>
          </w:p>
        </w:tc>
        <w:tc>
          <w:tcPr>
            <w:tcW w:w="992" w:type="dxa"/>
            <w:tcBorders>
              <w:top w:val="single" w:sz="4" w:space="0" w:color="auto"/>
              <w:left w:val="nil"/>
              <w:bottom w:val="single" w:sz="4" w:space="0" w:color="auto"/>
              <w:right w:val="single" w:sz="4" w:space="0" w:color="auto"/>
            </w:tcBorders>
            <w:shd w:val="clear" w:color="auto" w:fill="auto"/>
            <w:textDirection w:val="btLr"/>
            <w:vAlign w:val="center"/>
            <w:hideMark/>
          </w:tcPr>
          <w:p w14:paraId="582038E0" w14:textId="77777777" w:rsidR="006B4969" w:rsidRPr="00C2587D" w:rsidRDefault="006B4969" w:rsidP="006B4969">
            <w:pPr>
              <w:ind w:left="113" w:right="113"/>
              <w:jc w:val="center"/>
              <w:rPr>
                <w:rFonts w:ascii="Times New Roman" w:hAnsi="Times New Roman"/>
                <w:sz w:val="20"/>
                <w:szCs w:val="20"/>
              </w:rPr>
            </w:pPr>
          </w:p>
        </w:tc>
        <w:tc>
          <w:tcPr>
            <w:tcW w:w="851" w:type="dxa"/>
            <w:tcBorders>
              <w:top w:val="nil"/>
              <w:left w:val="nil"/>
              <w:bottom w:val="single" w:sz="4" w:space="0" w:color="auto"/>
              <w:right w:val="single" w:sz="4" w:space="0" w:color="auto"/>
            </w:tcBorders>
            <w:shd w:val="clear" w:color="auto" w:fill="auto"/>
            <w:textDirection w:val="btLr"/>
            <w:vAlign w:val="center"/>
            <w:hideMark/>
          </w:tcPr>
          <w:p w14:paraId="6732BE91"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2100,00</w:t>
            </w:r>
          </w:p>
        </w:tc>
        <w:tc>
          <w:tcPr>
            <w:tcW w:w="850" w:type="dxa"/>
            <w:tcBorders>
              <w:top w:val="nil"/>
              <w:left w:val="nil"/>
              <w:bottom w:val="single" w:sz="4" w:space="0" w:color="auto"/>
              <w:right w:val="single" w:sz="4" w:space="0" w:color="auto"/>
            </w:tcBorders>
            <w:shd w:val="clear" w:color="auto" w:fill="auto"/>
            <w:textDirection w:val="btLr"/>
            <w:vAlign w:val="center"/>
            <w:hideMark/>
          </w:tcPr>
          <w:p w14:paraId="20C5AEAC"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5ACAC8D6"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nil"/>
              <w:left w:val="nil"/>
              <w:bottom w:val="single" w:sz="4" w:space="0" w:color="auto"/>
              <w:right w:val="single" w:sz="4" w:space="0" w:color="auto"/>
            </w:tcBorders>
            <w:shd w:val="clear" w:color="000000" w:fill="C6E0B4"/>
            <w:textDirection w:val="btLr"/>
            <w:vAlign w:val="center"/>
            <w:hideMark/>
          </w:tcPr>
          <w:p w14:paraId="3087971B"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4900,00</w:t>
            </w: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5CBCA6B9" w14:textId="77777777" w:rsidR="006B4969" w:rsidRPr="00C2587D" w:rsidRDefault="006B4969" w:rsidP="006B4969">
            <w:pPr>
              <w:ind w:left="113" w:right="113"/>
              <w:jc w:val="center"/>
              <w:rPr>
                <w:rFonts w:ascii="Times New Roman" w:hAnsi="Times New Roman"/>
                <w:sz w:val="20"/>
                <w:szCs w:val="20"/>
              </w:rPr>
            </w:pPr>
          </w:p>
        </w:tc>
        <w:tc>
          <w:tcPr>
            <w:tcW w:w="708" w:type="dxa"/>
            <w:tcBorders>
              <w:top w:val="nil"/>
              <w:left w:val="nil"/>
              <w:bottom w:val="single" w:sz="4" w:space="0" w:color="auto"/>
              <w:right w:val="single" w:sz="4" w:space="0" w:color="auto"/>
            </w:tcBorders>
            <w:shd w:val="clear" w:color="auto" w:fill="auto"/>
            <w:textDirection w:val="btLr"/>
            <w:vAlign w:val="center"/>
            <w:hideMark/>
          </w:tcPr>
          <w:p w14:paraId="4C54DEB9"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4900,00</w:t>
            </w: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6EF13F0A"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380C48B0"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nil"/>
              <w:left w:val="nil"/>
              <w:bottom w:val="single" w:sz="4" w:space="0" w:color="auto"/>
              <w:right w:val="single" w:sz="4" w:space="0" w:color="auto"/>
            </w:tcBorders>
            <w:shd w:val="clear" w:color="000000" w:fill="D6DCE4"/>
            <w:textDirection w:val="btLr"/>
            <w:vAlign w:val="center"/>
            <w:hideMark/>
          </w:tcPr>
          <w:p w14:paraId="4A4D4AB3"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nil"/>
              <w:left w:val="nil"/>
              <w:bottom w:val="single" w:sz="4" w:space="0" w:color="auto"/>
              <w:right w:val="single" w:sz="4" w:space="0" w:color="auto"/>
            </w:tcBorders>
            <w:shd w:val="clear" w:color="auto" w:fill="auto"/>
            <w:textDirection w:val="btLr"/>
            <w:vAlign w:val="center"/>
            <w:hideMark/>
          </w:tcPr>
          <w:p w14:paraId="123788CD"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nil"/>
              <w:left w:val="nil"/>
              <w:bottom w:val="single" w:sz="4" w:space="0" w:color="auto"/>
              <w:right w:val="single" w:sz="4" w:space="0" w:color="auto"/>
            </w:tcBorders>
            <w:shd w:val="clear" w:color="auto" w:fill="auto"/>
            <w:textDirection w:val="btLr"/>
            <w:hideMark/>
          </w:tcPr>
          <w:p w14:paraId="7787D6CB"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 </w:t>
            </w:r>
          </w:p>
        </w:tc>
        <w:tc>
          <w:tcPr>
            <w:tcW w:w="624" w:type="dxa"/>
            <w:tcBorders>
              <w:top w:val="nil"/>
              <w:left w:val="nil"/>
              <w:bottom w:val="single" w:sz="4" w:space="0" w:color="auto"/>
              <w:right w:val="single" w:sz="4" w:space="0" w:color="auto"/>
            </w:tcBorders>
            <w:shd w:val="clear" w:color="auto" w:fill="auto"/>
            <w:textDirection w:val="btLr"/>
            <w:hideMark/>
          </w:tcPr>
          <w:p w14:paraId="31481E09"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 </w:t>
            </w:r>
          </w:p>
        </w:tc>
        <w:tc>
          <w:tcPr>
            <w:tcW w:w="567" w:type="dxa"/>
            <w:tcBorders>
              <w:top w:val="nil"/>
              <w:left w:val="nil"/>
              <w:bottom w:val="single" w:sz="4" w:space="0" w:color="auto"/>
              <w:right w:val="single" w:sz="4" w:space="0" w:color="auto"/>
            </w:tcBorders>
            <w:shd w:val="clear" w:color="auto" w:fill="auto"/>
            <w:textDirection w:val="btLr"/>
            <w:hideMark/>
          </w:tcPr>
          <w:p w14:paraId="36B51583"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 </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5C071F0D"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7000,00</w:t>
            </w:r>
          </w:p>
        </w:tc>
      </w:tr>
      <w:tr w:rsidR="006B4969" w:rsidRPr="00C2587D" w14:paraId="32024CB5" w14:textId="77777777" w:rsidTr="00FF28D2">
        <w:trPr>
          <w:cantSplit/>
          <w:trHeight w:val="121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47198F6A"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3</w:t>
            </w:r>
          </w:p>
        </w:tc>
        <w:tc>
          <w:tcPr>
            <w:tcW w:w="2113" w:type="dxa"/>
            <w:tcBorders>
              <w:top w:val="single" w:sz="4" w:space="0" w:color="auto"/>
              <w:left w:val="nil"/>
              <w:bottom w:val="single" w:sz="4" w:space="0" w:color="auto"/>
              <w:right w:val="single" w:sz="4" w:space="0" w:color="000000"/>
            </w:tcBorders>
            <w:shd w:val="clear" w:color="auto" w:fill="auto"/>
            <w:vAlign w:val="center"/>
            <w:hideMark/>
          </w:tcPr>
          <w:p w14:paraId="3A9FB0D9"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 xml:space="preserve"> Капітальний ремонт харчоблоку КЗ «Мартинівський ліцей» Жмеринської міської територіальної громади</w:t>
            </w:r>
          </w:p>
        </w:tc>
        <w:tc>
          <w:tcPr>
            <w:tcW w:w="737" w:type="dxa"/>
            <w:tcBorders>
              <w:top w:val="nil"/>
              <w:left w:val="nil"/>
              <w:bottom w:val="single" w:sz="4" w:space="0" w:color="auto"/>
              <w:right w:val="single" w:sz="4" w:space="0" w:color="auto"/>
            </w:tcBorders>
            <w:shd w:val="clear" w:color="auto" w:fill="auto"/>
            <w:textDirection w:val="btLr"/>
            <w:vAlign w:val="center"/>
            <w:hideMark/>
          </w:tcPr>
          <w:p w14:paraId="1B50386B"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4313,00</w:t>
            </w:r>
          </w:p>
        </w:tc>
        <w:tc>
          <w:tcPr>
            <w:tcW w:w="850" w:type="dxa"/>
            <w:tcBorders>
              <w:top w:val="nil"/>
              <w:left w:val="nil"/>
              <w:bottom w:val="single" w:sz="4" w:space="0" w:color="auto"/>
              <w:right w:val="single" w:sz="4" w:space="0" w:color="auto"/>
            </w:tcBorders>
            <w:shd w:val="clear" w:color="000000" w:fill="F8CBAD"/>
            <w:textDirection w:val="btLr"/>
            <w:vAlign w:val="center"/>
            <w:hideMark/>
          </w:tcPr>
          <w:p w14:paraId="6F913490"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862,60</w:t>
            </w:r>
          </w:p>
        </w:tc>
        <w:tc>
          <w:tcPr>
            <w:tcW w:w="992" w:type="dxa"/>
            <w:tcBorders>
              <w:top w:val="single" w:sz="4" w:space="0" w:color="auto"/>
              <w:left w:val="nil"/>
              <w:bottom w:val="single" w:sz="4" w:space="0" w:color="auto"/>
              <w:right w:val="single" w:sz="4" w:space="0" w:color="000000"/>
            </w:tcBorders>
            <w:shd w:val="clear" w:color="auto" w:fill="auto"/>
            <w:textDirection w:val="btLr"/>
            <w:vAlign w:val="center"/>
            <w:hideMark/>
          </w:tcPr>
          <w:p w14:paraId="309A7465" w14:textId="77777777" w:rsidR="006B4969" w:rsidRPr="00C2587D" w:rsidRDefault="006B4969" w:rsidP="006B4969">
            <w:pPr>
              <w:ind w:left="113" w:right="113"/>
              <w:jc w:val="center"/>
              <w:rPr>
                <w:rFonts w:ascii="Times New Roman" w:hAnsi="Times New Roman"/>
                <w:sz w:val="20"/>
                <w:szCs w:val="20"/>
              </w:rPr>
            </w:pPr>
          </w:p>
        </w:tc>
        <w:tc>
          <w:tcPr>
            <w:tcW w:w="851" w:type="dxa"/>
            <w:tcBorders>
              <w:top w:val="nil"/>
              <w:left w:val="nil"/>
              <w:bottom w:val="single" w:sz="4" w:space="0" w:color="auto"/>
              <w:right w:val="single" w:sz="4" w:space="0" w:color="auto"/>
            </w:tcBorders>
            <w:shd w:val="clear" w:color="auto" w:fill="auto"/>
            <w:textDirection w:val="btLr"/>
            <w:vAlign w:val="center"/>
            <w:hideMark/>
          </w:tcPr>
          <w:p w14:paraId="307018BD"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862,60</w:t>
            </w:r>
          </w:p>
        </w:tc>
        <w:tc>
          <w:tcPr>
            <w:tcW w:w="850" w:type="dxa"/>
            <w:tcBorders>
              <w:top w:val="nil"/>
              <w:left w:val="nil"/>
              <w:bottom w:val="single" w:sz="4" w:space="0" w:color="auto"/>
              <w:right w:val="single" w:sz="4" w:space="0" w:color="auto"/>
            </w:tcBorders>
            <w:shd w:val="clear" w:color="auto" w:fill="auto"/>
            <w:textDirection w:val="btLr"/>
            <w:vAlign w:val="center"/>
            <w:hideMark/>
          </w:tcPr>
          <w:p w14:paraId="5771E087"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46BF7B07"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nil"/>
              <w:left w:val="nil"/>
              <w:bottom w:val="single" w:sz="4" w:space="0" w:color="auto"/>
              <w:right w:val="single" w:sz="4" w:space="0" w:color="auto"/>
            </w:tcBorders>
            <w:shd w:val="clear" w:color="000000" w:fill="C6E0B4"/>
            <w:textDirection w:val="btLr"/>
            <w:vAlign w:val="center"/>
            <w:hideMark/>
          </w:tcPr>
          <w:p w14:paraId="3ADF892B"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3450,40</w:t>
            </w: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2C9E175B" w14:textId="77777777" w:rsidR="006B4969" w:rsidRPr="00C2587D" w:rsidRDefault="006B4969" w:rsidP="006B4969">
            <w:pPr>
              <w:ind w:left="113" w:right="113"/>
              <w:jc w:val="center"/>
              <w:rPr>
                <w:rFonts w:ascii="Times New Roman" w:hAnsi="Times New Roman"/>
                <w:sz w:val="20"/>
                <w:szCs w:val="20"/>
              </w:rPr>
            </w:pPr>
          </w:p>
        </w:tc>
        <w:tc>
          <w:tcPr>
            <w:tcW w:w="708" w:type="dxa"/>
            <w:tcBorders>
              <w:top w:val="nil"/>
              <w:left w:val="nil"/>
              <w:bottom w:val="single" w:sz="4" w:space="0" w:color="auto"/>
              <w:right w:val="single" w:sz="4" w:space="0" w:color="auto"/>
            </w:tcBorders>
            <w:shd w:val="clear" w:color="auto" w:fill="auto"/>
            <w:textDirection w:val="btLr"/>
            <w:vAlign w:val="center"/>
            <w:hideMark/>
          </w:tcPr>
          <w:p w14:paraId="47F2C4A4"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3450,40</w:t>
            </w: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476EA577"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7ACE908E"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nil"/>
              <w:left w:val="nil"/>
              <w:bottom w:val="single" w:sz="4" w:space="0" w:color="auto"/>
              <w:right w:val="single" w:sz="4" w:space="0" w:color="auto"/>
            </w:tcBorders>
            <w:shd w:val="clear" w:color="000000" w:fill="D6DCE4"/>
            <w:textDirection w:val="btLr"/>
            <w:vAlign w:val="center"/>
            <w:hideMark/>
          </w:tcPr>
          <w:p w14:paraId="618C9EFB"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nil"/>
              <w:left w:val="nil"/>
              <w:bottom w:val="single" w:sz="4" w:space="0" w:color="auto"/>
              <w:right w:val="single" w:sz="4" w:space="0" w:color="auto"/>
            </w:tcBorders>
            <w:shd w:val="clear" w:color="auto" w:fill="auto"/>
            <w:textDirection w:val="btLr"/>
            <w:vAlign w:val="center"/>
            <w:hideMark/>
          </w:tcPr>
          <w:p w14:paraId="6ABBE5B6"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nil"/>
              <w:left w:val="nil"/>
              <w:bottom w:val="single" w:sz="4" w:space="0" w:color="auto"/>
              <w:right w:val="single" w:sz="4" w:space="0" w:color="auto"/>
            </w:tcBorders>
            <w:shd w:val="clear" w:color="auto" w:fill="auto"/>
            <w:textDirection w:val="btLr"/>
            <w:hideMark/>
          </w:tcPr>
          <w:p w14:paraId="456871DA"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 </w:t>
            </w:r>
          </w:p>
        </w:tc>
        <w:tc>
          <w:tcPr>
            <w:tcW w:w="624" w:type="dxa"/>
            <w:tcBorders>
              <w:top w:val="nil"/>
              <w:left w:val="nil"/>
              <w:bottom w:val="single" w:sz="4" w:space="0" w:color="auto"/>
              <w:right w:val="single" w:sz="4" w:space="0" w:color="auto"/>
            </w:tcBorders>
            <w:shd w:val="clear" w:color="auto" w:fill="auto"/>
            <w:textDirection w:val="btLr"/>
            <w:hideMark/>
          </w:tcPr>
          <w:p w14:paraId="52E47FE7"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 </w:t>
            </w:r>
          </w:p>
        </w:tc>
        <w:tc>
          <w:tcPr>
            <w:tcW w:w="567" w:type="dxa"/>
            <w:tcBorders>
              <w:top w:val="nil"/>
              <w:left w:val="nil"/>
              <w:bottom w:val="single" w:sz="4" w:space="0" w:color="auto"/>
              <w:right w:val="single" w:sz="4" w:space="0" w:color="auto"/>
            </w:tcBorders>
            <w:shd w:val="clear" w:color="auto" w:fill="auto"/>
            <w:textDirection w:val="btLr"/>
            <w:hideMark/>
          </w:tcPr>
          <w:p w14:paraId="230B943E"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 </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0E42C167"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4313,00</w:t>
            </w:r>
          </w:p>
        </w:tc>
      </w:tr>
      <w:tr w:rsidR="006B4969" w:rsidRPr="00C2587D" w14:paraId="4132F9CD" w14:textId="77777777" w:rsidTr="00FF28D2">
        <w:trPr>
          <w:cantSplit/>
          <w:trHeight w:val="1134"/>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1D458FC0"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4</w:t>
            </w:r>
          </w:p>
        </w:tc>
        <w:tc>
          <w:tcPr>
            <w:tcW w:w="2113" w:type="dxa"/>
            <w:tcBorders>
              <w:top w:val="single" w:sz="4" w:space="0" w:color="auto"/>
              <w:left w:val="nil"/>
              <w:bottom w:val="single" w:sz="4" w:space="0" w:color="auto"/>
              <w:right w:val="single" w:sz="4" w:space="0" w:color="auto"/>
            </w:tcBorders>
            <w:shd w:val="clear" w:color="auto" w:fill="auto"/>
            <w:vAlign w:val="center"/>
            <w:hideMark/>
          </w:tcPr>
          <w:p w14:paraId="10A883FB"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 xml:space="preserve">Сучасна система пожежної безпеки в школі </w:t>
            </w:r>
          </w:p>
        </w:tc>
        <w:tc>
          <w:tcPr>
            <w:tcW w:w="737" w:type="dxa"/>
            <w:tcBorders>
              <w:top w:val="nil"/>
              <w:left w:val="nil"/>
              <w:bottom w:val="single" w:sz="4" w:space="0" w:color="auto"/>
              <w:right w:val="single" w:sz="4" w:space="0" w:color="auto"/>
            </w:tcBorders>
            <w:shd w:val="clear" w:color="auto" w:fill="auto"/>
            <w:textDirection w:val="btLr"/>
            <w:vAlign w:val="center"/>
            <w:hideMark/>
          </w:tcPr>
          <w:p w14:paraId="2BDBF5BF"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3150,00</w:t>
            </w:r>
          </w:p>
        </w:tc>
        <w:tc>
          <w:tcPr>
            <w:tcW w:w="850" w:type="dxa"/>
            <w:tcBorders>
              <w:top w:val="nil"/>
              <w:left w:val="nil"/>
              <w:bottom w:val="single" w:sz="4" w:space="0" w:color="auto"/>
              <w:right w:val="single" w:sz="4" w:space="0" w:color="auto"/>
            </w:tcBorders>
            <w:shd w:val="clear" w:color="000000" w:fill="F8CBAD"/>
            <w:textDirection w:val="btLr"/>
            <w:vAlign w:val="center"/>
            <w:hideMark/>
          </w:tcPr>
          <w:p w14:paraId="306F77C1"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630,00</w:t>
            </w:r>
          </w:p>
        </w:tc>
        <w:tc>
          <w:tcPr>
            <w:tcW w:w="992" w:type="dxa"/>
            <w:tcBorders>
              <w:top w:val="single" w:sz="4" w:space="0" w:color="auto"/>
              <w:left w:val="nil"/>
              <w:bottom w:val="single" w:sz="4" w:space="0" w:color="auto"/>
              <w:right w:val="single" w:sz="4" w:space="0" w:color="auto"/>
            </w:tcBorders>
            <w:shd w:val="clear" w:color="auto" w:fill="auto"/>
            <w:textDirection w:val="btLr"/>
            <w:vAlign w:val="center"/>
            <w:hideMark/>
          </w:tcPr>
          <w:p w14:paraId="3F51F903"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30,00</w:t>
            </w:r>
          </w:p>
        </w:tc>
        <w:tc>
          <w:tcPr>
            <w:tcW w:w="851" w:type="dxa"/>
            <w:tcBorders>
              <w:top w:val="nil"/>
              <w:left w:val="nil"/>
              <w:bottom w:val="single" w:sz="4" w:space="0" w:color="auto"/>
              <w:right w:val="single" w:sz="4" w:space="0" w:color="auto"/>
            </w:tcBorders>
            <w:shd w:val="clear" w:color="auto" w:fill="auto"/>
            <w:textDirection w:val="btLr"/>
            <w:vAlign w:val="center"/>
            <w:hideMark/>
          </w:tcPr>
          <w:p w14:paraId="46CAB005"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600,00</w:t>
            </w:r>
          </w:p>
        </w:tc>
        <w:tc>
          <w:tcPr>
            <w:tcW w:w="850" w:type="dxa"/>
            <w:tcBorders>
              <w:top w:val="nil"/>
              <w:left w:val="nil"/>
              <w:bottom w:val="single" w:sz="4" w:space="0" w:color="auto"/>
              <w:right w:val="single" w:sz="4" w:space="0" w:color="auto"/>
            </w:tcBorders>
            <w:shd w:val="clear" w:color="auto" w:fill="auto"/>
            <w:textDirection w:val="btLr"/>
            <w:vAlign w:val="center"/>
            <w:hideMark/>
          </w:tcPr>
          <w:p w14:paraId="68CF980A"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7F08AADE"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nil"/>
              <w:left w:val="nil"/>
              <w:bottom w:val="single" w:sz="4" w:space="0" w:color="auto"/>
              <w:right w:val="single" w:sz="4" w:space="0" w:color="auto"/>
            </w:tcBorders>
            <w:shd w:val="clear" w:color="000000" w:fill="C6E0B4"/>
            <w:textDirection w:val="btLr"/>
            <w:vAlign w:val="center"/>
            <w:hideMark/>
          </w:tcPr>
          <w:p w14:paraId="0A9014CA"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2520,00</w:t>
            </w: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547A52E3"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120,00</w:t>
            </w:r>
          </w:p>
        </w:tc>
        <w:tc>
          <w:tcPr>
            <w:tcW w:w="708" w:type="dxa"/>
            <w:tcBorders>
              <w:top w:val="nil"/>
              <w:left w:val="nil"/>
              <w:bottom w:val="single" w:sz="4" w:space="0" w:color="auto"/>
              <w:right w:val="single" w:sz="4" w:space="0" w:color="auto"/>
            </w:tcBorders>
            <w:shd w:val="clear" w:color="auto" w:fill="auto"/>
            <w:textDirection w:val="btLr"/>
            <w:vAlign w:val="center"/>
            <w:hideMark/>
          </w:tcPr>
          <w:p w14:paraId="73CAAF92"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2400,00</w:t>
            </w: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41BE5D77"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3F146796"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nil"/>
              <w:left w:val="nil"/>
              <w:bottom w:val="single" w:sz="4" w:space="0" w:color="auto"/>
              <w:right w:val="single" w:sz="4" w:space="0" w:color="auto"/>
            </w:tcBorders>
            <w:shd w:val="clear" w:color="000000" w:fill="D6DCE4"/>
            <w:textDirection w:val="btLr"/>
            <w:vAlign w:val="center"/>
            <w:hideMark/>
          </w:tcPr>
          <w:p w14:paraId="0CD6B8AB"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nil"/>
              <w:left w:val="nil"/>
              <w:bottom w:val="single" w:sz="4" w:space="0" w:color="auto"/>
              <w:right w:val="single" w:sz="4" w:space="0" w:color="auto"/>
            </w:tcBorders>
            <w:shd w:val="clear" w:color="auto" w:fill="auto"/>
            <w:textDirection w:val="btLr"/>
            <w:vAlign w:val="center"/>
            <w:hideMark/>
          </w:tcPr>
          <w:p w14:paraId="24771D10"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nil"/>
              <w:left w:val="nil"/>
              <w:bottom w:val="single" w:sz="4" w:space="0" w:color="auto"/>
              <w:right w:val="single" w:sz="4" w:space="0" w:color="auto"/>
            </w:tcBorders>
            <w:shd w:val="clear" w:color="auto" w:fill="auto"/>
            <w:textDirection w:val="btLr"/>
            <w:hideMark/>
          </w:tcPr>
          <w:p w14:paraId="08A2B759"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 </w:t>
            </w:r>
          </w:p>
        </w:tc>
        <w:tc>
          <w:tcPr>
            <w:tcW w:w="624" w:type="dxa"/>
            <w:tcBorders>
              <w:top w:val="nil"/>
              <w:left w:val="nil"/>
              <w:bottom w:val="single" w:sz="4" w:space="0" w:color="auto"/>
              <w:right w:val="single" w:sz="4" w:space="0" w:color="auto"/>
            </w:tcBorders>
            <w:shd w:val="clear" w:color="auto" w:fill="auto"/>
            <w:textDirection w:val="btLr"/>
            <w:hideMark/>
          </w:tcPr>
          <w:p w14:paraId="65607E36"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 </w:t>
            </w:r>
          </w:p>
        </w:tc>
        <w:tc>
          <w:tcPr>
            <w:tcW w:w="567" w:type="dxa"/>
            <w:tcBorders>
              <w:top w:val="nil"/>
              <w:left w:val="nil"/>
              <w:bottom w:val="single" w:sz="4" w:space="0" w:color="auto"/>
              <w:right w:val="single" w:sz="4" w:space="0" w:color="auto"/>
            </w:tcBorders>
            <w:shd w:val="clear" w:color="auto" w:fill="auto"/>
            <w:textDirection w:val="btLr"/>
            <w:hideMark/>
          </w:tcPr>
          <w:p w14:paraId="41D6D640"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 </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69E64005"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3150,00</w:t>
            </w:r>
          </w:p>
        </w:tc>
      </w:tr>
      <w:tr w:rsidR="006B4969" w:rsidRPr="00C2587D" w14:paraId="659F9707" w14:textId="77777777" w:rsidTr="00FF28D2">
        <w:trPr>
          <w:cantSplit/>
          <w:trHeight w:val="1709"/>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5BA5FC39"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5</w:t>
            </w:r>
          </w:p>
        </w:tc>
        <w:tc>
          <w:tcPr>
            <w:tcW w:w="2113" w:type="dxa"/>
            <w:tcBorders>
              <w:top w:val="single" w:sz="4" w:space="0" w:color="auto"/>
              <w:left w:val="nil"/>
              <w:bottom w:val="single" w:sz="4" w:space="0" w:color="auto"/>
              <w:right w:val="single" w:sz="4" w:space="0" w:color="000000"/>
            </w:tcBorders>
            <w:shd w:val="clear" w:color="auto" w:fill="auto"/>
            <w:vAlign w:val="center"/>
            <w:hideMark/>
          </w:tcPr>
          <w:p w14:paraId="09C9ECE1"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Пожежна сигналізація як необхідна умова створення безпечного освітнього простору к КЗ «Жмеринський ліцей №4»</w:t>
            </w:r>
          </w:p>
        </w:tc>
        <w:tc>
          <w:tcPr>
            <w:tcW w:w="737" w:type="dxa"/>
            <w:tcBorders>
              <w:top w:val="nil"/>
              <w:left w:val="nil"/>
              <w:bottom w:val="single" w:sz="4" w:space="0" w:color="auto"/>
              <w:right w:val="single" w:sz="4" w:space="0" w:color="auto"/>
            </w:tcBorders>
            <w:shd w:val="clear" w:color="auto" w:fill="auto"/>
            <w:textDirection w:val="btLr"/>
            <w:vAlign w:val="center"/>
            <w:hideMark/>
          </w:tcPr>
          <w:p w14:paraId="229122DF"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3150,00</w:t>
            </w:r>
          </w:p>
        </w:tc>
        <w:tc>
          <w:tcPr>
            <w:tcW w:w="850" w:type="dxa"/>
            <w:tcBorders>
              <w:top w:val="nil"/>
              <w:left w:val="nil"/>
              <w:bottom w:val="single" w:sz="4" w:space="0" w:color="auto"/>
              <w:right w:val="single" w:sz="4" w:space="0" w:color="auto"/>
            </w:tcBorders>
            <w:shd w:val="clear" w:color="000000" w:fill="F8CBAD"/>
            <w:textDirection w:val="btLr"/>
            <w:vAlign w:val="center"/>
            <w:hideMark/>
          </w:tcPr>
          <w:p w14:paraId="34F38227"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630,00</w:t>
            </w:r>
          </w:p>
        </w:tc>
        <w:tc>
          <w:tcPr>
            <w:tcW w:w="992" w:type="dxa"/>
            <w:tcBorders>
              <w:top w:val="single" w:sz="4" w:space="0" w:color="auto"/>
              <w:left w:val="nil"/>
              <w:bottom w:val="single" w:sz="4" w:space="0" w:color="auto"/>
              <w:right w:val="single" w:sz="4" w:space="0" w:color="000000"/>
            </w:tcBorders>
            <w:shd w:val="clear" w:color="auto" w:fill="auto"/>
            <w:textDirection w:val="btLr"/>
            <w:vAlign w:val="center"/>
            <w:hideMark/>
          </w:tcPr>
          <w:p w14:paraId="7CD4F465"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30,00</w:t>
            </w:r>
          </w:p>
        </w:tc>
        <w:tc>
          <w:tcPr>
            <w:tcW w:w="851" w:type="dxa"/>
            <w:tcBorders>
              <w:top w:val="nil"/>
              <w:left w:val="nil"/>
              <w:bottom w:val="single" w:sz="4" w:space="0" w:color="auto"/>
              <w:right w:val="single" w:sz="4" w:space="0" w:color="auto"/>
            </w:tcBorders>
            <w:shd w:val="clear" w:color="auto" w:fill="auto"/>
            <w:textDirection w:val="btLr"/>
            <w:vAlign w:val="center"/>
            <w:hideMark/>
          </w:tcPr>
          <w:p w14:paraId="10B0CBEB"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600,00</w:t>
            </w:r>
          </w:p>
        </w:tc>
        <w:tc>
          <w:tcPr>
            <w:tcW w:w="850" w:type="dxa"/>
            <w:tcBorders>
              <w:top w:val="nil"/>
              <w:left w:val="nil"/>
              <w:bottom w:val="single" w:sz="4" w:space="0" w:color="auto"/>
              <w:right w:val="single" w:sz="4" w:space="0" w:color="auto"/>
            </w:tcBorders>
            <w:shd w:val="clear" w:color="auto" w:fill="auto"/>
            <w:textDirection w:val="btLr"/>
            <w:vAlign w:val="center"/>
            <w:hideMark/>
          </w:tcPr>
          <w:p w14:paraId="698BA859"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2DC63E18"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nil"/>
              <w:left w:val="nil"/>
              <w:bottom w:val="single" w:sz="4" w:space="0" w:color="auto"/>
              <w:right w:val="single" w:sz="4" w:space="0" w:color="auto"/>
            </w:tcBorders>
            <w:shd w:val="clear" w:color="000000" w:fill="C6E0B4"/>
            <w:textDirection w:val="btLr"/>
            <w:vAlign w:val="center"/>
            <w:hideMark/>
          </w:tcPr>
          <w:p w14:paraId="2948D771"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2520,00</w:t>
            </w: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6A7DD0C8"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120,00</w:t>
            </w:r>
          </w:p>
        </w:tc>
        <w:tc>
          <w:tcPr>
            <w:tcW w:w="708" w:type="dxa"/>
            <w:tcBorders>
              <w:top w:val="nil"/>
              <w:left w:val="nil"/>
              <w:bottom w:val="single" w:sz="4" w:space="0" w:color="auto"/>
              <w:right w:val="single" w:sz="4" w:space="0" w:color="auto"/>
            </w:tcBorders>
            <w:shd w:val="clear" w:color="auto" w:fill="auto"/>
            <w:textDirection w:val="btLr"/>
            <w:vAlign w:val="center"/>
            <w:hideMark/>
          </w:tcPr>
          <w:p w14:paraId="77BF747A"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2400,00</w:t>
            </w: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06E454C6"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0094EB80"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nil"/>
              <w:left w:val="nil"/>
              <w:bottom w:val="single" w:sz="4" w:space="0" w:color="auto"/>
              <w:right w:val="single" w:sz="4" w:space="0" w:color="auto"/>
            </w:tcBorders>
            <w:shd w:val="clear" w:color="000000" w:fill="D6DCE4"/>
            <w:textDirection w:val="btLr"/>
            <w:vAlign w:val="center"/>
            <w:hideMark/>
          </w:tcPr>
          <w:p w14:paraId="6C1B507C"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nil"/>
              <w:left w:val="nil"/>
              <w:bottom w:val="single" w:sz="4" w:space="0" w:color="auto"/>
              <w:right w:val="single" w:sz="4" w:space="0" w:color="auto"/>
            </w:tcBorders>
            <w:shd w:val="clear" w:color="auto" w:fill="auto"/>
            <w:textDirection w:val="btLr"/>
            <w:vAlign w:val="center"/>
            <w:hideMark/>
          </w:tcPr>
          <w:p w14:paraId="6EEB8DB8"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nil"/>
              <w:left w:val="nil"/>
              <w:bottom w:val="single" w:sz="4" w:space="0" w:color="auto"/>
              <w:right w:val="single" w:sz="4" w:space="0" w:color="auto"/>
            </w:tcBorders>
            <w:shd w:val="clear" w:color="auto" w:fill="auto"/>
            <w:textDirection w:val="btLr"/>
            <w:hideMark/>
          </w:tcPr>
          <w:p w14:paraId="5DA8CE24"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 </w:t>
            </w:r>
          </w:p>
        </w:tc>
        <w:tc>
          <w:tcPr>
            <w:tcW w:w="624" w:type="dxa"/>
            <w:tcBorders>
              <w:top w:val="nil"/>
              <w:left w:val="nil"/>
              <w:bottom w:val="single" w:sz="4" w:space="0" w:color="auto"/>
              <w:right w:val="single" w:sz="4" w:space="0" w:color="auto"/>
            </w:tcBorders>
            <w:shd w:val="clear" w:color="auto" w:fill="auto"/>
            <w:textDirection w:val="btLr"/>
            <w:hideMark/>
          </w:tcPr>
          <w:p w14:paraId="2FF9367C"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 </w:t>
            </w:r>
          </w:p>
        </w:tc>
        <w:tc>
          <w:tcPr>
            <w:tcW w:w="567" w:type="dxa"/>
            <w:tcBorders>
              <w:top w:val="nil"/>
              <w:left w:val="nil"/>
              <w:bottom w:val="single" w:sz="4" w:space="0" w:color="auto"/>
              <w:right w:val="single" w:sz="4" w:space="0" w:color="auto"/>
            </w:tcBorders>
            <w:shd w:val="clear" w:color="auto" w:fill="auto"/>
            <w:textDirection w:val="btLr"/>
            <w:hideMark/>
          </w:tcPr>
          <w:p w14:paraId="06AC131C"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 </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1265C768"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3150,00</w:t>
            </w:r>
          </w:p>
        </w:tc>
      </w:tr>
      <w:tr w:rsidR="006B4969" w:rsidRPr="00C2587D" w14:paraId="075CE3E1" w14:textId="77777777" w:rsidTr="00FF28D2">
        <w:trPr>
          <w:cantSplit/>
          <w:trHeight w:val="1266"/>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3671D4DD"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6</w:t>
            </w:r>
          </w:p>
        </w:tc>
        <w:tc>
          <w:tcPr>
            <w:tcW w:w="2113" w:type="dxa"/>
            <w:tcBorders>
              <w:top w:val="single" w:sz="4" w:space="0" w:color="auto"/>
              <w:left w:val="nil"/>
              <w:bottom w:val="single" w:sz="4" w:space="0" w:color="auto"/>
              <w:right w:val="single" w:sz="4" w:space="0" w:color="000000"/>
            </w:tcBorders>
            <w:shd w:val="clear" w:color="auto" w:fill="auto"/>
            <w:vAlign w:val="center"/>
            <w:hideMark/>
          </w:tcPr>
          <w:p w14:paraId="47FFFCA6" w14:textId="594FF2FB" w:rsidR="006B4969" w:rsidRPr="00C2587D" w:rsidRDefault="006B4969" w:rsidP="00FF28D2">
            <w:pPr>
              <w:rPr>
                <w:rFonts w:ascii="Times New Roman" w:hAnsi="Times New Roman"/>
                <w:sz w:val="20"/>
                <w:szCs w:val="20"/>
              </w:rPr>
            </w:pPr>
            <w:r w:rsidRPr="00C2587D">
              <w:rPr>
                <w:rFonts w:ascii="Times New Roman" w:hAnsi="Times New Roman"/>
                <w:sz w:val="20"/>
                <w:szCs w:val="20"/>
              </w:rPr>
              <w:t xml:space="preserve">Пожежна сигналізація – необхідна умова створення безпечного освітнього простору </w:t>
            </w:r>
          </w:p>
        </w:tc>
        <w:tc>
          <w:tcPr>
            <w:tcW w:w="737" w:type="dxa"/>
            <w:tcBorders>
              <w:top w:val="nil"/>
              <w:left w:val="nil"/>
              <w:bottom w:val="single" w:sz="4" w:space="0" w:color="auto"/>
              <w:right w:val="single" w:sz="4" w:space="0" w:color="auto"/>
            </w:tcBorders>
            <w:shd w:val="clear" w:color="auto" w:fill="auto"/>
            <w:textDirection w:val="btLr"/>
            <w:vAlign w:val="center"/>
            <w:hideMark/>
          </w:tcPr>
          <w:p w14:paraId="428C4864"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3150,00</w:t>
            </w:r>
          </w:p>
        </w:tc>
        <w:tc>
          <w:tcPr>
            <w:tcW w:w="850" w:type="dxa"/>
            <w:tcBorders>
              <w:top w:val="nil"/>
              <w:left w:val="nil"/>
              <w:bottom w:val="single" w:sz="4" w:space="0" w:color="auto"/>
              <w:right w:val="single" w:sz="4" w:space="0" w:color="auto"/>
            </w:tcBorders>
            <w:shd w:val="clear" w:color="000000" w:fill="F8CBAD"/>
            <w:textDirection w:val="btLr"/>
            <w:vAlign w:val="center"/>
            <w:hideMark/>
          </w:tcPr>
          <w:p w14:paraId="1AC2073C"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630,00</w:t>
            </w:r>
          </w:p>
        </w:tc>
        <w:tc>
          <w:tcPr>
            <w:tcW w:w="992" w:type="dxa"/>
            <w:tcBorders>
              <w:top w:val="single" w:sz="4" w:space="0" w:color="auto"/>
              <w:left w:val="nil"/>
              <w:bottom w:val="single" w:sz="4" w:space="0" w:color="auto"/>
              <w:right w:val="single" w:sz="4" w:space="0" w:color="000000"/>
            </w:tcBorders>
            <w:shd w:val="clear" w:color="auto" w:fill="auto"/>
            <w:textDirection w:val="btLr"/>
            <w:vAlign w:val="center"/>
            <w:hideMark/>
          </w:tcPr>
          <w:p w14:paraId="209C59A6"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30,00</w:t>
            </w:r>
          </w:p>
        </w:tc>
        <w:tc>
          <w:tcPr>
            <w:tcW w:w="851" w:type="dxa"/>
            <w:tcBorders>
              <w:top w:val="nil"/>
              <w:left w:val="nil"/>
              <w:bottom w:val="single" w:sz="4" w:space="0" w:color="auto"/>
              <w:right w:val="single" w:sz="4" w:space="0" w:color="auto"/>
            </w:tcBorders>
            <w:shd w:val="clear" w:color="auto" w:fill="auto"/>
            <w:textDirection w:val="btLr"/>
            <w:vAlign w:val="center"/>
            <w:hideMark/>
          </w:tcPr>
          <w:p w14:paraId="2927E868" w14:textId="77777777" w:rsidR="006B4969" w:rsidRPr="00C2587D" w:rsidRDefault="006B4969" w:rsidP="006B4969">
            <w:pPr>
              <w:ind w:left="113" w:right="113"/>
              <w:jc w:val="center"/>
              <w:rPr>
                <w:rFonts w:ascii="Times New Roman" w:hAnsi="Times New Roman"/>
                <w:sz w:val="20"/>
                <w:szCs w:val="20"/>
              </w:rPr>
            </w:pPr>
          </w:p>
        </w:tc>
        <w:tc>
          <w:tcPr>
            <w:tcW w:w="850" w:type="dxa"/>
            <w:tcBorders>
              <w:top w:val="nil"/>
              <w:left w:val="nil"/>
              <w:bottom w:val="single" w:sz="4" w:space="0" w:color="auto"/>
              <w:right w:val="single" w:sz="4" w:space="0" w:color="auto"/>
            </w:tcBorders>
            <w:shd w:val="clear" w:color="auto" w:fill="auto"/>
            <w:textDirection w:val="btLr"/>
            <w:vAlign w:val="center"/>
            <w:hideMark/>
          </w:tcPr>
          <w:p w14:paraId="7B0BB2F9"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600,00</w:t>
            </w: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0ADDE875"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nil"/>
              <w:left w:val="nil"/>
              <w:bottom w:val="single" w:sz="4" w:space="0" w:color="auto"/>
              <w:right w:val="single" w:sz="4" w:space="0" w:color="auto"/>
            </w:tcBorders>
            <w:shd w:val="clear" w:color="000000" w:fill="C6E0B4"/>
            <w:textDirection w:val="btLr"/>
            <w:vAlign w:val="center"/>
            <w:hideMark/>
          </w:tcPr>
          <w:p w14:paraId="7E2B767D"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2520,00</w:t>
            </w: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646D9D22"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120,00</w:t>
            </w:r>
          </w:p>
        </w:tc>
        <w:tc>
          <w:tcPr>
            <w:tcW w:w="708" w:type="dxa"/>
            <w:tcBorders>
              <w:top w:val="nil"/>
              <w:left w:val="nil"/>
              <w:bottom w:val="single" w:sz="4" w:space="0" w:color="auto"/>
              <w:right w:val="single" w:sz="4" w:space="0" w:color="auto"/>
            </w:tcBorders>
            <w:shd w:val="clear" w:color="auto" w:fill="auto"/>
            <w:textDirection w:val="btLr"/>
            <w:vAlign w:val="center"/>
            <w:hideMark/>
          </w:tcPr>
          <w:p w14:paraId="5C3207C7"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066142C0"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2400,00</w:t>
            </w: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5C4A70FA"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nil"/>
              <w:left w:val="nil"/>
              <w:bottom w:val="single" w:sz="4" w:space="0" w:color="auto"/>
              <w:right w:val="single" w:sz="4" w:space="0" w:color="auto"/>
            </w:tcBorders>
            <w:shd w:val="clear" w:color="000000" w:fill="D6DCE4"/>
            <w:textDirection w:val="btLr"/>
            <w:vAlign w:val="center"/>
            <w:hideMark/>
          </w:tcPr>
          <w:p w14:paraId="2EDD0DA0"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nil"/>
              <w:left w:val="nil"/>
              <w:bottom w:val="single" w:sz="4" w:space="0" w:color="auto"/>
              <w:right w:val="single" w:sz="4" w:space="0" w:color="auto"/>
            </w:tcBorders>
            <w:shd w:val="clear" w:color="auto" w:fill="auto"/>
            <w:textDirection w:val="btLr"/>
            <w:vAlign w:val="center"/>
            <w:hideMark/>
          </w:tcPr>
          <w:p w14:paraId="71606EB1"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nil"/>
              <w:left w:val="nil"/>
              <w:bottom w:val="single" w:sz="4" w:space="0" w:color="auto"/>
              <w:right w:val="single" w:sz="4" w:space="0" w:color="auto"/>
            </w:tcBorders>
            <w:shd w:val="clear" w:color="auto" w:fill="auto"/>
            <w:textDirection w:val="btLr"/>
            <w:hideMark/>
          </w:tcPr>
          <w:p w14:paraId="1B8365A7"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 </w:t>
            </w:r>
          </w:p>
        </w:tc>
        <w:tc>
          <w:tcPr>
            <w:tcW w:w="624" w:type="dxa"/>
            <w:tcBorders>
              <w:top w:val="nil"/>
              <w:left w:val="nil"/>
              <w:bottom w:val="single" w:sz="4" w:space="0" w:color="auto"/>
              <w:right w:val="single" w:sz="4" w:space="0" w:color="auto"/>
            </w:tcBorders>
            <w:shd w:val="clear" w:color="auto" w:fill="auto"/>
            <w:textDirection w:val="btLr"/>
            <w:hideMark/>
          </w:tcPr>
          <w:p w14:paraId="1ADF7A22"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 </w:t>
            </w:r>
          </w:p>
        </w:tc>
        <w:tc>
          <w:tcPr>
            <w:tcW w:w="567" w:type="dxa"/>
            <w:tcBorders>
              <w:top w:val="nil"/>
              <w:left w:val="nil"/>
              <w:bottom w:val="single" w:sz="4" w:space="0" w:color="auto"/>
              <w:right w:val="single" w:sz="4" w:space="0" w:color="auto"/>
            </w:tcBorders>
            <w:shd w:val="clear" w:color="auto" w:fill="auto"/>
            <w:textDirection w:val="btLr"/>
            <w:hideMark/>
          </w:tcPr>
          <w:p w14:paraId="0A5D2240"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 </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31F7B80F"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3150,00</w:t>
            </w:r>
          </w:p>
        </w:tc>
      </w:tr>
      <w:tr w:rsidR="006B4969" w:rsidRPr="00C2587D" w14:paraId="33387FAE" w14:textId="77777777" w:rsidTr="00FF28D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EECB5"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7</w:t>
            </w:r>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B978D"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Облаштування сучасної система пожежної безпеки в КЗ «Жмеринський ліцей №3»</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2121ADC1"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4150,00</w:t>
            </w:r>
          </w:p>
        </w:tc>
        <w:tc>
          <w:tcPr>
            <w:tcW w:w="850" w:type="dxa"/>
            <w:tcBorders>
              <w:top w:val="single" w:sz="4" w:space="0" w:color="auto"/>
              <w:left w:val="single" w:sz="4" w:space="0" w:color="auto"/>
              <w:bottom w:val="single" w:sz="4" w:space="0" w:color="auto"/>
              <w:right w:val="single" w:sz="4" w:space="0" w:color="auto"/>
            </w:tcBorders>
            <w:shd w:val="clear" w:color="000000" w:fill="F8CBAD"/>
            <w:textDirection w:val="btLr"/>
            <w:vAlign w:val="center"/>
            <w:hideMark/>
          </w:tcPr>
          <w:p w14:paraId="24137B10"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830,00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1A64E643" w14:textId="77777777" w:rsidR="006B4969" w:rsidRPr="00C2587D" w:rsidRDefault="006B4969" w:rsidP="006B4969">
            <w:pPr>
              <w:ind w:left="113" w:right="113"/>
              <w:jc w:val="center"/>
              <w:rPr>
                <w:rFonts w:ascii="Times New Roman" w:hAnsi="Times New Roman"/>
                <w:sz w:val="20"/>
                <w:szCs w:val="20"/>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2BE25CD3"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30,00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260FE53E"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4ADA4627"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800,00</w:t>
            </w:r>
          </w:p>
        </w:tc>
        <w:tc>
          <w:tcPr>
            <w:tcW w:w="709" w:type="dxa"/>
            <w:tcBorders>
              <w:top w:val="single" w:sz="4" w:space="0" w:color="auto"/>
              <w:left w:val="single" w:sz="4" w:space="0" w:color="auto"/>
              <w:bottom w:val="single" w:sz="4" w:space="0" w:color="auto"/>
              <w:right w:val="single" w:sz="4" w:space="0" w:color="auto"/>
            </w:tcBorders>
            <w:shd w:val="clear" w:color="000000" w:fill="C6E0B4"/>
            <w:textDirection w:val="btLr"/>
            <w:vAlign w:val="center"/>
            <w:hideMark/>
          </w:tcPr>
          <w:p w14:paraId="32C21CB6"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3320,00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5BD44416" w14:textId="77777777" w:rsidR="006B4969" w:rsidRPr="00C2587D" w:rsidRDefault="006B4969" w:rsidP="006B4969">
            <w:pPr>
              <w:ind w:left="113" w:right="113"/>
              <w:jc w:val="center"/>
              <w:rPr>
                <w:rFonts w:ascii="Times New Roman" w:hAnsi="Times New Roman"/>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7944F540"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120,00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6581A2B7"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394C3A18"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3200,00</w:t>
            </w:r>
          </w:p>
        </w:tc>
        <w:tc>
          <w:tcPr>
            <w:tcW w:w="567" w:type="dxa"/>
            <w:tcBorders>
              <w:top w:val="single" w:sz="4" w:space="0" w:color="auto"/>
              <w:left w:val="single" w:sz="4" w:space="0" w:color="auto"/>
              <w:bottom w:val="single" w:sz="4" w:space="0" w:color="auto"/>
              <w:right w:val="single" w:sz="4" w:space="0" w:color="auto"/>
            </w:tcBorders>
            <w:shd w:val="clear" w:color="000000" w:fill="D6DCE4"/>
            <w:textDirection w:val="btLr"/>
            <w:vAlign w:val="center"/>
            <w:hideMark/>
          </w:tcPr>
          <w:p w14:paraId="3C5D8EF9"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6C42C1A4"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hideMark/>
          </w:tcPr>
          <w:p w14:paraId="580BB2F4"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 </w:t>
            </w: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hideMark/>
          </w:tcPr>
          <w:p w14:paraId="53DD1694"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hideMark/>
          </w:tcPr>
          <w:p w14:paraId="63B800BC"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 </w:t>
            </w:r>
          </w:p>
        </w:tc>
        <w:tc>
          <w:tcPr>
            <w:tcW w:w="1106"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25010563"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4150,00</w:t>
            </w:r>
          </w:p>
        </w:tc>
      </w:tr>
      <w:tr w:rsidR="006B4969" w:rsidRPr="00C2587D" w14:paraId="320CDB61" w14:textId="77777777" w:rsidTr="00FF28D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871273"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lastRenderedPageBreak/>
              <w:t>8</w:t>
            </w:r>
          </w:p>
        </w:tc>
        <w:tc>
          <w:tcPr>
            <w:tcW w:w="2113" w:type="dxa"/>
            <w:tcBorders>
              <w:top w:val="single" w:sz="4" w:space="0" w:color="auto"/>
              <w:left w:val="nil"/>
              <w:bottom w:val="single" w:sz="4" w:space="0" w:color="auto"/>
              <w:right w:val="single" w:sz="4" w:space="0" w:color="auto"/>
            </w:tcBorders>
            <w:shd w:val="clear" w:color="auto" w:fill="auto"/>
            <w:vAlign w:val="center"/>
            <w:hideMark/>
          </w:tcPr>
          <w:p w14:paraId="6DDB9041"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Облаштування сучасної системи пожежної безпеки в школі в КЗ «Жмеринський ліцей №6»</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1B39FC96"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3650,00</w:t>
            </w:r>
          </w:p>
        </w:tc>
        <w:tc>
          <w:tcPr>
            <w:tcW w:w="850" w:type="dxa"/>
            <w:tcBorders>
              <w:top w:val="single" w:sz="4" w:space="0" w:color="auto"/>
              <w:left w:val="single" w:sz="4" w:space="0" w:color="auto"/>
              <w:bottom w:val="single" w:sz="4" w:space="0" w:color="auto"/>
              <w:right w:val="single" w:sz="4" w:space="0" w:color="auto"/>
            </w:tcBorders>
            <w:shd w:val="clear" w:color="000000" w:fill="F8CBAD"/>
            <w:textDirection w:val="btLr"/>
            <w:vAlign w:val="center"/>
            <w:hideMark/>
          </w:tcPr>
          <w:p w14:paraId="1A9BBA6C"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730,00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634B6FFD" w14:textId="77777777" w:rsidR="006B4969" w:rsidRPr="00C2587D" w:rsidRDefault="006B4969" w:rsidP="006B4969">
            <w:pPr>
              <w:ind w:left="113" w:right="113"/>
              <w:jc w:val="center"/>
              <w:rPr>
                <w:rFonts w:ascii="Times New Roman" w:hAnsi="Times New Roman"/>
                <w:sz w:val="20"/>
                <w:szCs w:val="20"/>
              </w:rPr>
            </w:pP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601423EF"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30,00</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7FB37EA8"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700,00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240EF662"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000000" w:fill="C6E0B4"/>
            <w:textDirection w:val="btLr"/>
            <w:vAlign w:val="center"/>
            <w:hideMark/>
          </w:tcPr>
          <w:p w14:paraId="6D0ED11C"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2920,00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6C791242" w14:textId="77777777" w:rsidR="006B4969" w:rsidRPr="00C2587D" w:rsidRDefault="006B4969" w:rsidP="006B4969">
            <w:pPr>
              <w:ind w:left="113" w:right="113"/>
              <w:jc w:val="center"/>
              <w:rPr>
                <w:rFonts w:ascii="Times New Roman" w:hAnsi="Times New Roman"/>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7BBE6E2D"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120,00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5395AC75"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2800,00</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3005E4F0"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000000" w:fill="D6DCE4"/>
            <w:textDirection w:val="btLr"/>
            <w:vAlign w:val="center"/>
            <w:hideMark/>
          </w:tcPr>
          <w:p w14:paraId="6D2C9C42"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63737E58"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hideMark/>
          </w:tcPr>
          <w:p w14:paraId="60C2E53C"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 </w:t>
            </w:r>
          </w:p>
        </w:tc>
        <w:tc>
          <w:tcPr>
            <w:tcW w:w="624" w:type="dxa"/>
            <w:tcBorders>
              <w:top w:val="single" w:sz="4" w:space="0" w:color="auto"/>
              <w:left w:val="single" w:sz="4" w:space="0" w:color="auto"/>
              <w:bottom w:val="single" w:sz="4" w:space="0" w:color="auto"/>
              <w:right w:val="single" w:sz="4" w:space="0" w:color="auto"/>
            </w:tcBorders>
            <w:shd w:val="clear" w:color="auto" w:fill="auto"/>
            <w:textDirection w:val="btLr"/>
            <w:hideMark/>
          </w:tcPr>
          <w:p w14:paraId="2FE124E3"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hideMark/>
          </w:tcPr>
          <w:p w14:paraId="6B50D621"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 </w:t>
            </w:r>
          </w:p>
        </w:tc>
        <w:tc>
          <w:tcPr>
            <w:tcW w:w="1106"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17339CA3"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3650,00</w:t>
            </w:r>
          </w:p>
        </w:tc>
      </w:tr>
      <w:tr w:rsidR="006B4969" w:rsidRPr="00C2587D" w14:paraId="651CE010" w14:textId="77777777" w:rsidTr="00FF28D2">
        <w:trPr>
          <w:cantSplit/>
          <w:trHeight w:val="1007"/>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3248DAA0"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9</w:t>
            </w:r>
          </w:p>
        </w:tc>
        <w:tc>
          <w:tcPr>
            <w:tcW w:w="2113" w:type="dxa"/>
            <w:tcBorders>
              <w:top w:val="single" w:sz="4" w:space="0" w:color="auto"/>
              <w:left w:val="nil"/>
              <w:bottom w:val="single" w:sz="4" w:space="0" w:color="auto"/>
              <w:right w:val="single" w:sz="4" w:space="0" w:color="auto"/>
            </w:tcBorders>
            <w:shd w:val="clear" w:color="auto" w:fill="auto"/>
            <w:vAlign w:val="center"/>
            <w:hideMark/>
          </w:tcPr>
          <w:p w14:paraId="2FF8036B"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Встановлення та облаштування модульного укриття “SafeSpace”</w:t>
            </w:r>
          </w:p>
        </w:tc>
        <w:tc>
          <w:tcPr>
            <w:tcW w:w="737" w:type="dxa"/>
            <w:tcBorders>
              <w:top w:val="nil"/>
              <w:left w:val="nil"/>
              <w:bottom w:val="single" w:sz="4" w:space="0" w:color="auto"/>
              <w:right w:val="single" w:sz="4" w:space="0" w:color="auto"/>
            </w:tcBorders>
            <w:shd w:val="clear" w:color="auto" w:fill="auto"/>
            <w:textDirection w:val="btLr"/>
            <w:vAlign w:val="center"/>
            <w:hideMark/>
          </w:tcPr>
          <w:p w14:paraId="58A7EACC"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10000,00</w:t>
            </w:r>
          </w:p>
        </w:tc>
        <w:tc>
          <w:tcPr>
            <w:tcW w:w="850" w:type="dxa"/>
            <w:tcBorders>
              <w:top w:val="nil"/>
              <w:left w:val="nil"/>
              <w:bottom w:val="single" w:sz="4" w:space="0" w:color="auto"/>
              <w:right w:val="single" w:sz="4" w:space="0" w:color="auto"/>
            </w:tcBorders>
            <w:shd w:val="clear" w:color="000000" w:fill="F8CBAD"/>
            <w:textDirection w:val="btLr"/>
            <w:vAlign w:val="center"/>
            <w:hideMark/>
          </w:tcPr>
          <w:p w14:paraId="3CE78686"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5000,00</w:t>
            </w:r>
          </w:p>
        </w:tc>
        <w:tc>
          <w:tcPr>
            <w:tcW w:w="992" w:type="dxa"/>
            <w:tcBorders>
              <w:top w:val="single" w:sz="4" w:space="0" w:color="auto"/>
              <w:left w:val="nil"/>
              <w:bottom w:val="single" w:sz="4" w:space="0" w:color="auto"/>
              <w:right w:val="single" w:sz="4" w:space="0" w:color="auto"/>
            </w:tcBorders>
            <w:shd w:val="clear" w:color="auto" w:fill="auto"/>
            <w:textDirection w:val="btLr"/>
            <w:vAlign w:val="center"/>
            <w:hideMark/>
          </w:tcPr>
          <w:p w14:paraId="1920AA88" w14:textId="77777777" w:rsidR="006B4969" w:rsidRPr="00C2587D" w:rsidRDefault="006B4969" w:rsidP="006B4969">
            <w:pPr>
              <w:ind w:left="113" w:right="113"/>
              <w:jc w:val="center"/>
              <w:rPr>
                <w:rFonts w:ascii="Times New Roman" w:hAnsi="Times New Roman"/>
                <w:sz w:val="20"/>
                <w:szCs w:val="20"/>
              </w:rPr>
            </w:pPr>
          </w:p>
        </w:tc>
        <w:tc>
          <w:tcPr>
            <w:tcW w:w="851" w:type="dxa"/>
            <w:tcBorders>
              <w:top w:val="nil"/>
              <w:left w:val="nil"/>
              <w:bottom w:val="single" w:sz="4" w:space="0" w:color="auto"/>
              <w:right w:val="single" w:sz="4" w:space="0" w:color="auto"/>
            </w:tcBorders>
            <w:shd w:val="clear" w:color="auto" w:fill="auto"/>
            <w:textDirection w:val="btLr"/>
            <w:vAlign w:val="center"/>
            <w:hideMark/>
          </w:tcPr>
          <w:p w14:paraId="153AF3CF"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2500,00</w:t>
            </w:r>
          </w:p>
        </w:tc>
        <w:tc>
          <w:tcPr>
            <w:tcW w:w="850" w:type="dxa"/>
            <w:tcBorders>
              <w:top w:val="nil"/>
              <w:left w:val="nil"/>
              <w:bottom w:val="single" w:sz="4" w:space="0" w:color="auto"/>
              <w:right w:val="single" w:sz="4" w:space="0" w:color="auto"/>
            </w:tcBorders>
            <w:shd w:val="clear" w:color="auto" w:fill="auto"/>
            <w:textDirection w:val="btLr"/>
            <w:vAlign w:val="center"/>
            <w:hideMark/>
          </w:tcPr>
          <w:p w14:paraId="11A7FBDB"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2500,00</w:t>
            </w: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7475C81D"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nil"/>
              <w:left w:val="nil"/>
              <w:bottom w:val="single" w:sz="4" w:space="0" w:color="auto"/>
              <w:right w:val="single" w:sz="4" w:space="0" w:color="auto"/>
            </w:tcBorders>
            <w:shd w:val="clear" w:color="000000" w:fill="C6E0B4"/>
            <w:textDirection w:val="btLr"/>
            <w:vAlign w:val="center"/>
            <w:hideMark/>
          </w:tcPr>
          <w:p w14:paraId="658AEC48"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0,00</w:t>
            </w: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1D9767CA" w14:textId="77777777" w:rsidR="006B4969" w:rsidRPr="00C2587D" w:rsidRDefault="006B4969" w:rsidP="006B4969">
            <w:pPr>
              <w:ind w:left="113" w:right="113"/>
              <w:jc w:val="center"/>
              <w:rPr>
                <w:rFonts w:ascii="Times New Roman" w:hAnsi="Times New Roman"/>
                <w:sz w:val="20"/>
                <w:szCs w:val="20"/>
              </w:rPr>
            </w:pPr>
          </w:p>
        </w:tc>
        <w:tc>
          <w:tcPr>
            <w:tcW w:w="708" w:type="dxa"/>
            <w:tcBorders>
              <w:top w:val="nil"/>
              <w:left w:val="nil"/>
              <w:bottom w:val="single" w:sz="4" w:space="0" w:color="auto"/>
              <w:right w:val="single" w:sz="4" w:space="0" w:color="auto"/>
            </w:tcBorders>
            <w:shd w:val="clear" w:color="auto" w:fill="auto"/>
            <w:textDirection w:val="btLr"/>
            <w:vAlign w:val="center"/>
            <w:hideMark/>
          </w:tcPr>
          <w:p w14:paraId="54757DDC"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3A6A33B8"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174EE8AC"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nil"/>
              <w:left w:val="nil"/>
              <w:bottom w:val="single" w:sz="4" w:space="0" w:color="auto"/>
              <w:right w:val="single" w:sz="4" w:space="0" w:color="auto"/>
            </w:tcBorders>
            <w:shd w:val="clear" w:color="000000" w:fill="D6DCE4"/>
            <w:textDirection w:val="btLr"/>
            <w:vAlign w:val="center"/>
            <w:hideMark/>
          </w:tcPr>
          <w:p w14:paraId="4940C542"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5000,00</w:t>
            </w:r>
          </w:p>
        </w:tc>
        <w:tc>
          <w:tcPr>
            <w:tcW w:w="567" w:type="dxa"/>
            <w:tcBorders>
              <w:top w:val="nil"/>
              <w:left w:val="nil"/>
              <w:bottom w:val="single" w:sz="4" w:space="0" w:color="auto"/>
              <w:right w:val="single" w:sz="4" w:space="0" w:color="auto"/>
            </w:tcBorders>
            <w:shd w:val="clear" w:color="auto" w:fill="auto"/>
            <w:textDirection w:val="btLr"/>
            <w:vAlign w:val="center"/>
            <w:hideMark/>
          </w:tcPr>
          <w:p w14:paraId="54DC4659"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nil"/>
              <w:left w:val="nil"/>
              <w:bottom w:val="single" w:sz="4" w:space="0" w:color="auto"/>
              <w:right w:val="single" w:sz="4" w:space="0" w:color="auto"/>
            </w:tcBorders>
            <w:shd w:val="clear" w:color="auto" w:fill="auto"/>
            <w:textDirection w:val="btLr"/>
            <w:hideMark/>
          </w:tcPr>
          <w:p w14:paraId="2183A837"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2500,00</w:t>
            </w:r>
          </w:p>
        </w:tc>
        <w:tc>
          <w:tcPr>
            <w:tcW w:w="624" w:type="dxa"/>
            <w:tcBorders>
              <w:top w:val="nil"/>
              <w:left w:val="nil"/>
              <w:bottom w:val="single" w:sz="4" w:space="0" w:color="auto"/>
              <w:right w:val="single" w:sz="4" w:space="0" w:color="auto"/>
            </w:tcBorders>
            <w:shd w:val="clear" w:color="auto" w:fill="auto"/>
            <w:textDirection w:val="btLr"/>
            <w:hideMark/>
          </w:tcPr>
          <w:p w14:paraId="52D8FE53"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2500,00</w:t>
            </w:r>
          </w:p>
        </w:tc>
        <w:tc>
          <w:tcPr>
            <w:tcW w:w="567" w:type="dxa"/>
            <w:tcBorders>
              <w:top w:val="nil"/>
              <w:left w:val="nil"/>
              <w:bottom w:val="single" w:sz="4" w:space="0" w:color="auto"/>
              <w:right w:val="single" w:sz="4" w:space="0" w:color="auto"/>
            </w:tcBorders>
            <w:shd w:val="clear" w:color="auto" w:fill="auto"/>
            <w:textDirection w:val="btLr"/>
            <w:hideMark/>
          </w:tcPr>
          <w:p w14:paraId="69A1A6C4"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 </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7987ADA1"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10000,00</w:t>
            </w:r>
          </w:p>
        </w:tc>
      </w:tr>
      <w:tr w:rsidR="006B4969" w:rsidRPr="00C2587D" w14:paraId="26636C2B" w14:textId="77777777" w:rsidTr="00FF28D2">
        <w:trPr>
          <w:cantSplit/>
          <w:trHeight w:val="1695"/>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1FCCB947"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10</w:t>
            </w:r>
          </w:p>
        </w:tc>
        <w:tc>
          <w:tcPr>
            <w:tcW w:w="2113" w:type="dxa"/>
            <w:tcBorders>
              <w:top w:val="single" w:sz="4" w:space="0" w:color="auto"/>
              <w:left w:val="nil"/>
              <w:bottom w:val="single" w:sz="4" w:space="0" w:color="auto"/>
              <w:right w:val="single" w:sz="4" w:space="0" w:color="auto"/>
            </w:tcBorders>
            <w:shd w:val="clear" w:color="auto" w:fill="auto"/>
            <w:vAlign w:val="center"/>
            <w:hideMark/>
          </w:tcPr>
          <w:p w14:paraId="0BECAF1D" w14:textId="21BEC5A1" w:rsidR="006B4969" w:rsidRPr="00C2587D" w:rsidRDefault="006B4969" w:rsidP="00FF28D2">
            <w:pPr>
              <w:rPr>
                <w:rFonts w:ascii="Times New Roman" w:hAnsi="Times New Roman"/>
                <w:sz w:val="20"/>
                <w:szCs w:val="20"/>
              </w:rPr>
            </w:pPr>
            <w:r w:rsidRPr="00C2587D">
              <w:rPr>
                <w:rFonts w:ascii="Times New Roman" w:hAnsi="Times New Roman"/>
                <w:sz w:val="20"/>
                <w:szCs w:val="20"/>
              </w:rPr>
              <w:t>«Підйомник для дітей з інвалідністю - необхідна умова для</w:t>
            </w:r>
            <w:r w:rsidR="00FF28D2">
              <w:rPr>
                <w:rFonts w:ascii="Times New Roman" w:hAnsi="Times New Roman"/>
                <w:sz w:val="20"/>
                <w:szCs w:val="20"/>
              </w:rPr>
              <w:t xml:space="preserve"> </w:t>
            </w:r>
            <w:r w:rsidRPr="00C2587D">
              <w:rPr>
                <w:rFonts w:ascii="Times New Roman" w:hAnsi="Times New Roman"/>
                <w:sz w:val="20"/>
                <w:szCs w:val="20"/>
              </w:rPr>
              <w:t xml:space="preserve">забезпечення безбар’єрного доступу до якісної освіти» </w:t>
            </w:r>
          </w:p>
        </w:tc>
        <w:tc>
          <w:tcPr>
            <w:tcW w:w="737" w:type="dxa"/>
            <w:tcBorders>
              <w:top w:val="nil"/>
              <w:left w:val="nil"/>
              <w:bottom w:val="single" w:sz="4" w:space="0" w:color="auto"/>
              <w:right w:val="single" w:sz="4" w:space="0" w:color="auto"/>
            </w:tcBorders>
            <w:shd w:val="clear" w:color="auto" w:fill="auto"/>
            <w:textDirection w:val="btLr"/>
            <w:vAlign w:val="center"/>
            <w:hideMark/>
          </w:tcPr>
          <w:p w14:paraId="1206A89B"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2800,00</w:t>
            </w:r>
          </w:p>
        </w:tc>
        <w:tc>
          <w:tcPr>
            <w:tcW w:w="850" w:type="dxa"/>
            <w:tcBorders>
              <w:top w:val="nil"/>
              <w:left w:val="nil"/>
              <w:bottom w:val="single" w:sz="4" w:space="0" w:color="auto"/>
              <w:right w:val="single" w:sz="4" w:space="0" w:color="auto"/>
            </w:tcBorders>
            <w:shd w:val="clear" w:color="000000" w:fill="F8CBAD"/>
            <w:textDirection w:val="btLr"/>
            <w:vAlign w:val="center"/>
            <w:hideMark/>
          </w:tcPr>
          <w:p w14:paraId="247EF736" w14:textId="52F63F3A" w:rsidR="006B4969" w:rsidRPr="00C2587D" w:rsidRDefault="001C465A" w:rsidP="001C465A">
            <w:pPr>
              <w:ind w:left="113" w:right="113"/>
              <w:jc w:val="center"/>
              <w:rPr>
                <w:rFonts w:ascii="Times New Roman" w:hAnsi="Times New Roman"/>
                <w:sz w:val="20"/>
                <w:szCs w:val="20"/>
              </w:rPr>
            </w:pPr>
            <w:r>
              <w:rPr>
                <w:rFonts w:ascii="Times New Roman" w:hAnsi="Times New Roman"/>
                <w:sz w:val="20"/>
                <w:szCs w:val="20"/>
              </w:rPr>
              <w:t>560</w:t>
            </w:r>
            <w:r w:rsidR="006B4969" w:rsidRPr="00C2587D">
              <w:rPr>
                <w:rFonts w:ascii="Times New Roman" w:hAnsi="Times New Roman"/>
                <w:sz w:val="20"/>
                <w:szCs w:val="20"/>
              </w:rPr>
              <w:t>,00</w:t>
            </w:r>
          </w:p>
        </w:tc>
        <w:tc>
          <w:tcPr>
            <w:tcW w:w="992" w:type="dxa"/>
            <w:tcBorders>
              <w:top w:val="single" w:sz="4" w:space="0" w:color="auto"/>
              <w:left w:val="nil"/>
              <w:bottom w:val="single" w:sz="4" w:space="0" w:color="auto"/>
              <w:right w:val="single" w:sz="4" w:space="0" w:color="auto"/>
            </w:tcBorders>
            <w:shd w:val="clear" w:color="auto" w:fill="auto"/>
            <w:textDirection w:val="btLr"/>
            <w:vAlign w:val="center"/>
            <w:hideMark/>
          </w:tcPr>
          <w:p w14:paraId="35DE8F3C" w14:textId="1856589B" w:rsidR="006B4969" w:rsidRPr="00C2587D" w:rsidRDefault="001C465A" w:rsidP="006B4969">
            <w:pPr>
              <w:ind w:left="113" w:right="113"/>
              <w:jc w:val="center"/>
              <w:rPr>
                <w:rFonts w:ascii="Times New Roman" w:hAnsi="Times New Roman"/>
                <w:sz w:val="20"/>
                <w:szCs w:val="20"/>
              </w:rPr>
            </w:pPr>
            <w:r>
              <w:rPr>
                <w:rFonts w:ascii="Times New Roman" w:hAnsi="Times New Roman"/>
                <w:sz w:val="20"/>
                <w:szCs w:val="20"/>
              </w:rPr>
              <w:t>0</w:t>
            </w:r>
          </w:p>
        </w:tc>
        <w:tc>
          <w:tcPr>
            <w:tcW w:w="851" w:type="dxa"/>
            <w:tcBorders>
              <w:top w:val="nil"/>
              <w:left w:val="nil"/>
              <w:bottom w:val="single" w:sz="4" w:space="0" w:color="auto"/>
              <w:right w:val="single" w:sz="4" w:space="0" w:color="auto"/>
            </w:tcBorders>
            <w:shd w:val="clear" w:color="auto" w:fill="auto"/>
            <w:textDirection w:val="btLr"/>
            <w:vAlign w:val="center"/>
            <w:hideMark/>
          </w:tcPr>
          <w:p w14:paraId="3629C89D" w14:textId="1DB8DBAE" w:rsidR="006B4969" w:rsidRPr="00C2587D" w:rsidRDefault="001C465A" w:rsidP="006B4969">
            <w:pPr>
              <w:ind w:left="113" w:right="113"/>
              <w:jc w:val="center"/>
              <w:rPr>
                <w:rFonts w:ascii="Times New Roman" w:hAnsi="Times New Roman"/>
                <w:sz w:val="20"/>
                <w:szCs w:val="20"/>
              </w:rPr>
            </w:pPr>
            <w:r>
              <w:rPr>
                <w:rFonts w:ascii="Times New Roman" w:hAnsi="Times New Roman"/>
                <w:sz w:val="20"/>
                <w:szCs w:val="20"/>
              </w:rPr>
              <w:t>2</w:t>
            </w:r>
            <w:r w:rsidR="006B4969" w:rsidRPr="00C2587D">
              <w:rPr>
                <w:rFonts w:ascii="Times New Roman" w:hAnsi="Times New Roman"/>
                <w:sz w:val="20"/>
                <w:szCs w:val="20"/>
              </w:rPr>
              <w:t>00,00</w:t>
            </w:r>
          </w:p>
        </w:tc>
        <w:tc>
          <w:tcPr>
            <w:tcW w:w="850" w:type="dxa"/>
            <w:tcBorders>
              <w:top w:val="nil"/>
              <w:left w:val="nil"/>
              <w:bottom w:val="single" w:sz="4" w:space="0" w:color="auto"/>
              <w:right w:val="single" w:sz="4" w:space="0" w:color="auto"/>
            </w:tcBorders>
            <w:shd w:val="clear" w:color="auto" w:fill="auto"/>
            <w:textDirection w:val="btLr"/>
            <w:vAlign w:val="center"/>
            <w:hideMark/>
          </w:tcPr>
          <w:p w14:paraId="7C020460" w14:textId="4655EA04" w:rsidR="006B4969" w:rsidRPr="00C2587D" w:rsidRDefault="001C465A" w:rsidP="006B4969">
            <w:pPr>
              <w:ind w:left="113" w:right="113"/>
              <w:jc w:val="center"/>
              <w:rPr>
                <w:rFonts w:ascii="Times New Roman" w:hAnsi="Times New Roman"/>
                <w:sz w:val="20"/>
                <w:szCs w:val="20"/>
              </w:rPr>
            </w:pPr>
            <w:r>
              <w:rPr>
                <w:rFonts w:ascii="Times New Roman" w:hAnsi="Times New Roman"/>
                <w:sz w:val="20"/>
                <w:szCs w:val="20"/>
              </w:rPr>
              <w:t>2</w:t>
            </w:r>
            <w:r w:rsidR="006B4969" w:rsidRPr="00C2587D">
              <w:rPr>
                <w:rFonts w:ascii="Times New Roman" w:hAnsi="Times New Roman"/>
                <w:sz w:val="20"/>
                <w:szCs w:val="20"/>
              </w:rPr>
              <w:t>00,00</w:t>
            </w: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746ED2CE" w14:textId="000A1D94" w:rsidR="006B4969" w:rsidRPr="00C2587D" w:rsidRDefault="001C465A" w:rsidP="006B4969">
            <w:pPr>
              <w:ind w:left="113" w:right="113"/>
              <w:jc w:val="center"/>
              <w:rPr>
                <w:rFonts w:ascii="Times New Roman" w:hAnsi="Times New Roman"/>
                <w:sz w:val="20"/>
                <w:szCs w:val="20"/>
              </w:rPr>
            </w:pPr>
            <w:r>
              <w:rPr>
                <w:rFonts w:ascii="Times New Roman" w:hAnsi="Times New Roman"/>
                <w:sz w:val="20"/>
                <w:szCs w:val="20"/>
              </w:rPr>
              <w:t>16</w:t>
            </w:r>
            <w:r w:rsidR="006B4969" w:rsidRPr="00C2587D">
              <w:rPr>
                <w:rFonts w:ascii="Times New Roman" w:hAnsi="Times New Roman"/>
                <w:sz w:val="20"/>
                <w:szCs w:val="20"/>
              </w:rPr>
              <w:t>0,00</w:t>
            </w:r>
          </w:p>
        </w:tc>
        <w:tc>
          <w:tcPr>
            <w:tcW w:w="709" w:type="dxa"/>
            <w:tcBorders>
              <w:top w:val="nil"/>
              <w:left w:val="nil"/>
              <w:bottom w:val="single" w:sz="4" w:space="0" w:color="auto"/>
              <w:right w:val="single" w:sz="4" w:space="0" w:color="auto"/>
            </w:tcBorders>
            <w:shd w:val="clear" w:color="000000" w:fill="C6E0B4"/>
            <w:textDirection w:val="btLr"/>
            <w:vAlign w:val="center"/>
            <w:hideMark/>
          </w:tcPr>
          <w:p w14:paraId="5A9A1375"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0,00</w:t>
            </w: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63E95BA0" w14:textId="77777777" w:rsidR="006B4969" w:rsidRPr="00C2587D" w:rsidRDefault="006B4969" w:rsidP="006B4969">
            <w:pPr>
              <w:ind w:left="113" w:right="113"/>
              <w:jc w:val="center"/>
              <w:rPr>
                <w:rFonts w:ascii="Times New Roman" w:hAnsi="Times New Roman"/>
                <w:sz w:val="20"/>
                <w:szCs w:val="20"/>
              </w:rPr>
            </w:pPr>
          </w:p>
        </w:tc>
        <w:tc>
          <w:tcPr>
            <w:tcW w:w="708" w:type="dxa"/>
            <w:tcBorders>
              <w:top w:val="nil"/>
              <w:left w:val="nil"/>
              <w:bottom w:val="single" w:sz="4" w:space="0" w:color="auto"/>
              <w:right w:val="single" w:sz="4" w:space="0" w:color="auto"/>
            </w:tcBorders>
            <w:shd w:val="clear" w:color="auto" w:fill="auto"/>
            <w:textDirection w:val="btLr"/>
            <w:vAlign w:val="center"/>
            <w:hideMark/>
          </w:tcPr>
          <w:p w14:paraId="0A6CE717"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0EEA084B"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434CDBCB"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nil"/>
              <w:left w:val="nil"/>
              <w:bottom w:val="single" w:sz="4" w:space="0" w:color="auto"/>
              <w:right w:val="single" w:sz="4" w:space="0" w:color="auto"/>
            </w:tcBorders>
            <w:shd w:val="clear" w:color="000000" w:fill="D6DCE4"/>
            <w:textDirection w:val="btLr"/>
            <w:vAlign w:val="center"/>
            <w:hideMark/>
          </w:tcPr>
          <w:p w14:paraId="7698DD93" w14:textId="11F73B5E" w:rsidR="006B4969" w:rsidRPr="00C2587D" w:rsidRDefault="001C465A" w:rsidP="006B4969">
            <w:pPr>
              <w:ind w:left="113" w:right="113"/>
              <w:jc w:val="center"/>
              <w:rPr>
                <w:rFonts w:ascii="Times New Roman" w:hAnsi="Times New Roman"/>
                <w:sz w:val="20"/>
                <w:szCs w:val="20"/>
              </w:rPr>
            </w:pPr>
            <w:r>
              <w:rPr>
                <w:rFonts w:ascii="Times New Roman" w:hAnsi="Times New Roman"/>
                <w:sz w:val="20"/>
                <w:szCs w:val="20"/>
              </w:rPr>
              <w:t>2240,</w:t>
            </w:r>
            <w:r w:rsidR="006B4969" w:rsidRPr="00C2587D">
              <w:rPr>
                <w:rFonts w:ascii="Times New Roman" w:hAnsi="Times New Roman"/>
                <w:sz w:val="20"/>
                <w:szCs w:val="20"/>
              </w:rPr>
              <w:t>00</w:t>
            </w:r>
          </w:p>
        </w:tc>
        <w:tc>
          <w:tcPr>
            <w:tcW w:w="567" w:type="dxa"/>
            <w:tcBorders>
              <w:top w:val="nil"/>
              <w:left w:val="nil"/>
              <w:bottom w:val="single" w:sz="4" w:space="0" w:color="auto"/>
              <w:right w:val="single" w:sz="4" w:space="0" w:color="auto"/>
            </w:tcBorders>
            <w:shd w:val="clear" w:color="auto" w:fill="auto"/>
            <w:textDirection w:val="btLr"/>
            <w:vAlign w:val="center"/>
            <w:hideMark/>
          </w:tcPr>
          <w:p w14:paraId="617940A5"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nil"/>
              <w:left w:val="nil"/>
              <w:bottom w:val="single" w:sz="4" w:space="0" w:color="auto"/>
              <w:right w:val="single" w:sz="4" w:space="0" w:color="auto"/>
            </w:tcBorders>
            <w:shd w:val="clear" w:color="auto" w:fill="auto"/>
            <w:textDirection w:val="btLr"/>
            <w:hideMark/>
          </w:tcPr>
          <w:p w14:paraId="03B1D7AE" w14:textId="539175E2" w:rsidR="006B4969" w:rsidRPr="00C2587D" w:rsidRDefault="001C465A" w:rsidP="006B4969">
            <w:pPr>
              <w:ind w:left="113" w:right="113"/>
              <w:jc w:val="center"/>
              <w:rPr>
                <w:rFonts w:ascii="Times New Roman" w:hAnsi="Times New Roman"/>
                <w:sz w:val="20"/>
                <w:szCs w:val="20"/>
              </w:rPr>
            </w:pPr>
            <w:r>
              <w:rPr>
                <w:rFonts w:ascii="Times New Roman" w:hAnsi="Times New Roman"/>
                <w:sz w:val="20"/>
                <w:szCs w:val="20"/>
              </w:rPr>
              <w:t>8</w:t>
            </w:r>
            <w:r w:rsidR="006B4969" w:rsidRPr="00C2587D">
              <w:rPr>
                <w:rFonts w:ascii="Times New Roman" w:hAnsi="Times New Roman"/>
                <w:sz w:val="20"/>
                <w:szCs w:val="20"/>
              </w:rPr>
              <w:t>00,00</w:t>
            </w:r>
          </w:p>
        </w:tc>
        <w:tc>
          <w:tcPr>
            <w:tcW w:w="624" w:type="dxa"/>
            <w:tcBorders>
              <w:top w:val="nil"/>
              <w:left w:val="nil"/>
              <w:bottom w:val="single" w:sz="4" w:space="0" w:color="auto"/>
              <w:right w:val="single" w:sz="4" w:space="0" w:color="auto"/>
            </w:tcBorders>
            <w:shd w:val="clear" w:color="auto" w:fill="auto"/>
            <w:textDirection w:val="btLr"/>
            <w:hideMark/>
          </w:tcPr>
          <w:p w14:paraId="58ABEA9A" w14:textId="409D108E" w:rsidR="006B4969" w:rsidRPr="00C2587D" w:rsidRDefault="001C465A" w:rsidP="001C465A">
            <w:pPr>
              <w:ind w:left="113" w:right="113"/>
              <w:jc w:val="center"/>
              <w:rPr>
                <w:rFonts w:ascii="Times New Roman" w:hAnsi="Times New Roman"/>
                <w:sz w:val="20"/>
                <w:szCs w:val="20"/>
              </w:rPr>
            </w:pPr>
            <w:r>
              <w:rPr>
                <w:rFonts w:ascii="Times New Roman" w:hAnsi="Times New Roman"/>
                <w:sz w:val="20"/>
                <w:szCs w:val="20"/>
              </w:rPr>
              <w:t>800</w:t>
            </w:r>
            <w:r w:rsidR="006B4969" w:rsidRPr="00C2587D">
              <w:rPr>
                <w:rFonts w:ascii="Times New Roman" w:hAnsi="Times New Roman"/>
                <w:sz w:val="20"/>
                <w:szCs w:val="20"/>
              </w:rPr>
              <w:t>,00</w:t>
            </w:r>
          </w:p>
        </w:tc>
        <w:tc>
          <w:tcPr>
            <w:tcW w:w="567" w:type="dxa"/>
            <w:tcBorders>
              <w:top w:val="nil"/>
              <w:left w:val="nil"/>
              <w:bottom w:val="single" w:sz="4" w:space="0" w:color="auto"/>
              <w:right w:val="single" w:sz="4" w:space="0" w:color="auto"/>
            </w:tcBorders>
            <w:shd w:val="clear" w:color="auto" w:fill="auto"/>
            <w:textDirection w:val="btLr"/>
            <w:hideMark/>
          </w:tcPr>
          <w:p w14:paraId="5653FF38" w14:textId="7C7390A9" w:rsidR="006B4969" w:rsidRPr="00C2587D" w:rsidRDefault="001C465A" w:rsidP="006B4969">
            <w:pPr>
              <w:ind w:left="113" w:right="113"/>
              <w:jc w:val="center"/>
              <w:rPr>
                <w:rFonts w:ascii="Times New Roman" w:hAnsi="Times New Roman"/>
                <w:sz w:val="20"/>
                <w:szCs w:val="20"/>
              </w:rPr>
            </w:pPr>
            <w:r>
              <w:rPr>
                <w:rFonts w:ascii="Times New Roman" w:hAnsi="Times New Roman"/>
                <w:sz w:val="20"/>
                <w:szCs w:val="20"/>
              </w:rPr>
              <w:t>64</w:t>
            </w:r>
            <w:r w:rsidR="006B4969" w:rsidRPr="00C2587D">
              <w:rPr>
                <w:rFonts w:ascii="Times New Roman" w:hAnsi="Times New Roman"/>
                <w:sz w:val="20"/>
                <w:szCs w:val="20"/>
              </w:rPr>
              <w:t>0,00</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6F72E90C"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2800,00</w:t>
            </w:r>
          </w:p>
        </w:tc>
      </w:tr>
      <w:tr w:rsidR="006B4969" w:rsidRPr="00C2587D" w14:paraId="7972FF48" w14:textId="77777777" w:rsidTr="00FF28D2">
        <w:trPr>
          <w:cantSplit/>
          <w:trHeight w:val="1964"/>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4F397C5F"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11</w:t>
            </w:r>
          </w:p>
        </w:tc>
        <w:tc>
          <w:tcPr>
            <w:tcW w:w="2113" w:type="dxa"/>
            <w:tcBorders>
              <w:top w:val="single" w:sz="4" w:space="0" w:color="auto"/>
              <w:left w:val="nil"/>
              <w:bottom w:val="single" w:sz="4" w:space="0" w:color="auto"/>
              <w:right w:val="single" w:sz="4" w:space="0" w:color="auto"/>
            </w:tcBorders>
            <w:shd w:val="clear" w:color="auto" w:fill="auto"/>
            <w:vAlign w:val="center"/>
            <w:hideMark/>
          </w:tcPr>
          <w:p w14:paraId="6B651EAD" w14:textId="620D8E72" w:rsidR="006B4969" w:rsidRPr="00C2587D" w:rsidRDefault="006B4969" w:rsidP="00FF28D2">
            <w:pPr>
              <w:rPr>
                <w:rFonts w:ascii="Times New Roman" w:hAnsi="Times New Roman"/>
                <w:sz w:val="20"/>
                <w:szCs w:val="20"/>
              </w:rPr>
            </w:pPr>
            <w:r w:rsidRPr="00C2587D">
              <w:rPr>
                <w:rFonts w:ascii="Times New Roman" w:hAnsi="Times New Roman"/>
                <w:sz w:val="20"/>
                <w:szCs w:val="20"/>
              </w:rPr>
              <w:t>«Капітальний ремонт прибудинкової території КЗ «Жмеринський ліцей №2» з облаштуванням багатофункціонального спортивного</w:t>
            </w:r>
            <w:r w:rsidR="00DE3DCF">
              <w:rPr>
                <w:rFonts w:ascii="Times New Roman" w:hAnsi="Times New Roman"/>
                <w:sz w:val="20"/>
                <w:szCs w:val="20"/>
              </w:rPr>
              <w:t xml:space="preserve"> </w:t>
            </w:r>
            <w:r w:rsidRPr="00C2587D">
              <w:rPr>
                <w:rFonts w:ascii="Times New Roman" w:hAnsi="Times New Roman"/>
                <w:sz w:val="20"/>
                <w:szCs w:val="20"/>
              </w:rPr>
              <w:t>майданчика»</w:t>
            </w:r>
          </w:p>
        </w:tc>
        <w:tc>
          <w:tcPr>
            <w:tcW w:w="737" w:type="dxa"/>
            <w:tcBorders>
              <w:top w:val="nil"/>
              <w:left w:val="nil"/>
              <w:bottom w:val="single" w:sz="4" w:space="0" w:color="auto"/>
              <w:right w:val="single" w:sz="4" w:space="0" w:color="auto"/>
            </w:tcBorders>
            <w:shd w:val="clear" w:color="auto" w:fill="auto"/>
            <w:textDirection w:val="btLr"/>
            <w:vAlign w:val="center"/>
            <w:hideMark/>
          </w:tcPr>
          <w:p w14:paraId="2156CEB5"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8000,00</w:t>
            </w:r>
          </w:p>
        </w:tc>
        <w:tc>
          <w:tcPr>
            <w:tcW w:w="850" w:type="dxa"/>
            <w:tcBorders>
              <w:top w:val="nil"/>
              <w:left w:val="nil"/>
              <w:bottom w:val="single" w:sz="4" w:space="0" w:color="auto"/>
              <w:right w:val="single" w:sz="4" w:space="0" w:color="auto"/>
            </w:tcBorders>
            <w:shd w:val="clear" w:color="000000" w:fill="F8CBAD"/>
            <w:textDirection w:val="btLr"/>
            <w:vAlign w:val="center"/>
            <w:hideMark/>
          </w:tcPr>
          <w:p w14:paraId="1A44B2F9"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5600,00</w:t>
            </w:r>
          </w:p>
        </w:tc>
        <w:tc>
          <w:tcPr>
            <w:tcW w:w="992" w:type="dxa"/>
            <w:tcBorders>
              <w:top w:val="single" w:sz="4" w:space="0" w:color="auto"/>
              <w:left w:val="nil"/>
              <w:bottom w:val="single" w:sz="4" w:space="0" w:color="auto"/>
              <w:right w:val="single" w:sz="4" w:space="0" w:color="auto"/>
            </w:tcBorders>
            <w:shd w:val="clear" w:color="auto" w:fill="auto"/>
            <w:textDirection w:val="btLr"/>
            <w:vAlign w:val="center"/>
            <w:hideMark/>
          </w:tcPr>
          <w:p w14:paraId="5892BD4B" w14:textId="77777777" w:rsidR="006B4969" w:rsidRPr="00C2587D" w:rsidRDefault="006B4969" w:rsidP="006B4969">
            <w:pPr>
              <w:ind w:left="113" w:right="113"/>
              <w:jc w:val="center"/>
              <w:rPr>
                <w:rFonts w:ascii="Times New Roman" w:hAnsi="Times New Roman"/>
                <w:sz w:val="20"/>
                <w:szCs w:val="20"/>
              </w:rPr>
            </w:pPr>
          </w:p>
        </w:tc>
        <w:tc>
          <w:tcPr>
            <w:tcW w:w="851" w:type="dxa"/>
            <w:tcBorders>
              <w:top w:val="nil"/>
              <w:left w:val="nil"/>
              <w:bottom w:val="single" w:sz="4" w:space="0" w:color="auto"/>
              <w:right w:val="single" w:sz="4" w:space="0" w:color="auto"/>
            </w:tcBorders>
            <w:shd w:val="clear" w:color="auto" w:fill="auto"/>
            <w:textDirection w:val="btLr"/>
            <w:vAlign w:val="center"/>
            <w:hideMark/>
          </w:tcPr>
          <w:p w14:paraId="1074C0FD"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350,00</w:t>
            </w:r>
          </w:p>
        </w:tc>
        <w:tc>
          <w:tcPr>
            <w:tcW w:w="850" w:type="dxa"/>
            <w:tcBorders>
              <w:top w:val="nil"/>
              <w:left w:val="nil"/>
              <w:bottom w:val="single" w:sz="4" w:space="0" w:color="auto"/>
              <w:right w:val="single" w:sz="4" w:space="0" w:color="auto"/>
            </w:tcBorders>
            <w:shd w:val="clear" w:color="auto" w:fill="auto"/>
            <w:textDirection w:val="btLr"/>
            <w:vAlign w:val="center"/>
            <w:hideMark/>
          </w:tcPr>
          <w:p w14:paraId="6A1C5C1C"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5250,00</w:t>
            </w: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5D0692D5"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nil"/>
              <w:left w:val="nil"/>
              <w:bottom w:val="single" w:sz="4" w:space="0" w:color="auto"/>
              <w:right w:val="single" w:sz="4" w:space="0" w:color="auto"/>
            </w:tcBorders>
            <w:shd w:val="clear" w:color="000000" w:fill="C6E0B4"/>
            <w:textDirection w:val="btLr"/>
            <w:vAlign w:val="center"/>
            <w:hideMark/>
          </w:tcPr>
          <w:p w14:paraId="603BEE76"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0,00</w:t>
            </w: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76381315" w14:textId="77777777" w:rsidR="006B4969" w:rsidRPr="00C2587D" w:rsidRDefault="006B4969" w:rsidP="006B4969">
            <w:pPr>
              <w:ind w:left="113" w:right="113"/>
              <w:jc w:val="center"/>
              <w:rPr>
                <w:rFonts w:ascii="Times New Roman" w:hAnsi="Times New Roman"/>
                <w:sz w:val="20"/>
                <w:szCs w:val="20"/>
              </w:rPr>
            </w:pPr>
          </w:p>
        </w:tc>
        <w:tc>
          <w:tcPr>
            <w:tcW w:w="708" w:type="dxa"/>
            <w:tcBorders>
              <w:top w:val="nil"/>
              <w:left w:val="nil"/>
              <w:bottom w:val="single" w:sz="4" w:space="0" w:color="auto"/>
              <w:right w:val="single" w:sz="4" w:space="0" w:color="auto"/>
            </w:tcBorders>
            <w:shd w:val="clear" w:color="auto" w:fill="auto"/>
            <w:textDirection w:val="btLr"/>
            <w:vAlign w:val="center"/>
            <w:hideMark/>
          </w:tcPr>
          <w:p w14:paraId="6041143F"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3BB2AC66"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508C9407"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nil"/>
              <w:left w:val="nil"/>
              <w:bottom w:val="single" w:sz="4" w:space="0" w:color="auto"/>
              <w:right w:val="single" w:sz="4" w:space="0" w:color="auto"/>
            </w:tcBorders>
            <w:shd w:val="clear" w:color="000000" w:fill="D6DCE4"/>
            <w:textDirection w:val="btLr"/>
            <w:vAlign w:val="center"/>
            <w:hideMark/>
          </w:tcPr>
          <w:p w14:paraId="3C17BB9E"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2400,00</w:t>
            </w:r>
          </w:p>
        </w:tc>
        <w:tc>
          <w:tcPr>
            <w:tcW w:w="567" w:type="dxa"/>
            <w:tcBorders>
              <w:top w:val="nil"/>
              <w:left w:val="nil"/>
              <w:bottom w:val="single" w:sz="4" w:space="0" w:color="auto"/>
              <w:right w:val="single" w:sz="4" w:space="0" w:color="auto"/>
            </w:tcBorders>
            <w:shd w:val="clear" w:color="auto" w:fill="auto"/>
            <w:textDirection w:val="btLr"/>
            <w:vAlign w:val="center"/>
            <w:hideMark/>
          </w:tcPr>
          <w:p w14:paraId="75856587"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nil"/>
              <w:left w:val="nil"/>
              <w:bottom w:val="single" w:sz="4" w:space="0" w:color="auto"/>
              <w:right w:val="single" w:sz="4" w:space="0" w:color="auto"/>
            </w:tcBorders>
            <w:shd w:val="clear" w:color="auto" w:fill="auto"/>
            <w:textDirection w:val="btLr"/>
            <w:hideMark/>
          </w:tcPr>
          <w:p w14:paraId="1994D0AD"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150,00</w:t>
            </w:r>
          </w:p>
        </w:tc>
        <w:tc>
          <w:tcPr>
            <w:tcW w:w="624" w:type="dxa"/>
            <w:tcBorders>
              <w:top w:val="nil"/>
              <w:left w:val="nil"/>
              <w:bottom w:val="single" w:sz="4" w:space="0" w:color="auto"/>
              <w:right w:val="single" w:sz="4" w:space="0" w:color="auto"/>
            </w:tcBorders>
            <w:shd w:val="clear" w:color="auto" w:fill="auto"/>
            <w:textDirection w:val="btLr"/>
            <w:hideMark/>
          </w:tcPr>
          <w:p w14:paraId="7D162E39"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2250,00</w:t>
            </w:r>
          </w:p>
        </w:tc>
        <w:tc>
          <w:tcPr>
            <w:tcW w:w="567" w:type="dxa"/>
            <w:tcBorders>
              <w:top w:val="nil"/>
              <w:left w:val="nil"/>
              <w:bottom w:val="single" w:sz="4" w:space="0" w:color="auto"/>
              <w:right w:val="single" w:sz="4" w:space="0" w:color="auto"/>
            </w:tcBorders>
            <w:shd w:val="clear" w:color="auto" w:fill="auto"/>
            <w:textDirection w:val="btLr"/>
            <w:hideMark/>
          </w:tcPr>
          <w:p w14:paraId="56F83572"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 </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0B273042"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8000,00</w:t>
            </w:r>
          </w:p>
        </w:tc>
      </w:tr>
      <w:tr w:rsidR="006B4969" w:rsidRPr="00C2587D" w14:paraId="22ECA832" w14:textId="77777777" w:rsidTr="00FF28D2">
        <w:trPr>
          <w:cantSplit/>
          <w:trHeight w:val="1145"/>
        </w:trPr>
        <w:tc>
          <w:tcPr>
            <w:tcW w:w="531" w:type="dxa"/>
            <w:tcBorders>
              <w:top w:val="nil"/>
              <w:left w:val="single" w:sz="4" w:space="0" w:color="auto"/>
              <w:bottom w:val="single" w:sz="4" w:space="0" w:color="auto"/>
              <w:right w:val="single" w:sz="4" w:space="0" w:color="auto"/>
            </w:tcBorders>
            <w:shd w:val="clear" w:color="auto" w:fill="auto"/>
            <w:noWrap/>
            <w:vAlign w:val="center"/>
            <w:hideMark/>
          </w:tcPr>
          <w:p w14:paraId="7EC7E444" w14:textId="1CA56FE4" w:rsidR="006B4969" w:rsidRPr="00C2587D" w:rsidRDefault="006B4969" w:rsidP="00FF28D2">
            <w:pPr>
              <w:rPr>
                <w:rFonts w:ascii="Times New Roman" w:hAnsi="Times New Roman"/>
                <w:sz w:val="20"/>
                <w:szCs w:val="20"/>
              </w:rPr>
            </w:pPr>
            <w:r w:rsidRPr="00C2587D">
              <w:rPr>
                <w:rFonts w:ascii="Times New Roman" w:hAnsi="Times New Roman"/>
                <w:sz w:val="20"/>
                <w:szCs w:val="20"/>
              </w:rPr>
              <w:t>12</w:t>
            </w:r>
          </w:p>
        </w:tc>
        <w:tc>
          <w:tcPr>
            <w:tcW w:w="2113" w:type="dxa"/>
            <w:tcBorders>
              <w:top w:val="single" w:sz="4" w:space="0" w:color="auto"/>
              <w:left w:val="nil"/>
              <w:bottom w:val="single" w:sz="4" w:space="0" w:color="auto"/>
              <w:right w:val="single" w:sz="4" w:space="0" w:color="auto"/>
            </w:tcBorders>
            <w:shd w:val="clear" w:color="auto" w:fill="auto"/>
            <w:vAlign w:val="center"/>
            <w:hideMark/>
          </w:tcPr>
          <w:p w14:paraId="558CFCE3"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Подвір’я закладу освіти – безпечний та мотивуючий освітній простір (КЗ «Жмеринський ліцей №4»)</w:t>
            </w:r>
          </w:p>
        </w:tc>
        <w:tc>
          <w:tcPr>
            <w:tcW w:w="737" w:type="dxa"/>
            <w:tcBorders>
              <w:top w:val="nil"/>
              <w:left w:val="nil"/>
              <w:bottom w:val="single" w:sz="4" w:space="0" w:color="auto"/>
              <w:right w:val="single" w:sz="4" w:space="0" w:color="auto"/>
            </w:tcBorders>
            <w:shd w:val="clear" w:color="auto" w:fill="auto"/>
            <w:textDirection w:val="btLr"/>
            <w:vAlign w:val="center"/>
            <w:hideMark/>
          </w:tcPr>
          <w:p w14:paraId="1CCE77CB"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6100,00</w:t>
            </w:r>
          </w:p>
        </w:tc>
        <w:tc>
          <w:tcPr>
            <w:tcW w:w="850" w:type="dxa"/>
            <w:tcBorders>
              <w:top w:val="nil"/>
              <w:left w:val="nil"/>
              <w:bottom w:val="single" w:sz="4" w:space="0" w:color="auto"/>
              <w:right w:val="single" w:sz="4" w:space="0" w:color="auto"/>
            </w:tcBorders>
            <w:shd w:val="clear" w:color="000000" w:fill="F8CBAD"/>
            <w:textDirection w:val="btLr"/>
            <w:vAlign w:val="center"/>
            <w:hideMark/>
          </w:tcPr>
          <w:p w14:paraId="37D66CBB"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6100,00</w:t>
            </w:r>
          </w:p>
        </w:tc>
        <w:tc>
          <w:tcPr>
            <w:tcW w:w="992"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38160E70"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100,00</w:t>
            </w:r>
          </w:p>
        </w:tc>
        <w:tc>
          <w:tcPr>
            <w:tcW w:w="851" w:type="dxa"/>
            <w:tcBorders>
              <w:top w:val="nil"/>
              <w:left w:val="nil"/>
              <w:bottom w:val="single" w:sz="4" w:space="0" w:color="auto"/>
              <w:right w:val="single" w:sz="4" w:space="0" w:color="auto"/>
            </w:tcBorders>
            <w:shd w:val="clear" w:color="auto" w:fill="auto"/>
            <w:noWrap/>
            <w:textDirection w:val="btLr"/>
            <w:vAlign w:val="center"/>
            <w:hideMark/>
          </w:tcPr>
          <w:p w14:paraId="4134A39F"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2000,00</w:t>
            </w:r>
          </w:p>
        </w:tc>
        <w:tc>
          <w:tcPr>
            <w:tcW w:w="850" w:type="dxa"/>
            <w:tcBorders>
              <w:top w:val="nil"/>
              <w:left w:val="nil"/>
              <w:bottom w:val="single" w:sz="4" w:space="0" w:color="auto"/>
              <w:right w:val="single" w:sz="4" w:space="0" w:color="auto"/>
            </w:tcBorders>
            <w:shd w:val="clear" w:color="auto" w:fill="auto"/>
            <w:noWrap/>
            <w:textDirection w:val="btLr"/>
            <w:vAlign w:val="center"/>
            <w:hideMark/>
          </w:tcPr>
          <w:p w14:paraId="1B75E8CD"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2000,00</w:t>
            </w:r>
          </w:p>
        </w:tc>
        <w:tc>
          <w:tcPr>
            <w:tcW w:w="709" w:type="dxa"/>
            <w:tcBorders>
              <w:top w:val="nil"/>
              <w:left w:val="nil"/>
              <w:bottom w:val="single" w:sz="4" w:space="0" w:color="auto"/>
              <w:right w:val="single" w:sz="4" w:space="0" w:color="auto"/>
            </w:tcBorders>
            <w:shd w:val="clear" w:color="auto" w:fill="auto"/>
            <w:noWrap/>
            <w:textDirection w:val="btLr"/>
            <w:vAlign w:val="center"/>
            <w:hideMark/>
          </w:tcPr>
          <w:p w14:paraId="1570B261"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2000,00</w:t>
            </w:r>
          </w:p>
        </w:tc>
        <w:tc>
          <w:tcPr>
            <w:tcW w:w="709" w:type="dxa"/>
            <w:tcBorders>
              <w:top w:val="nil"/>
              <w:left w:val="nil"/>
              <w:bottom w:val="single" w:sz="4" w:space="0" w:color="auto"/>
              <w:right w:val="single" w:sz="4" w:space="0" w:color="auto"/>
            </w:tcBorders>
            <w:shd w:val="clear" w:color="000000" w:fill="C6E0B4"/>
            <w:textDirection w:val="btLr"/>
            <w:vAlign w:val="center"/>
            <w:hideMark/>
          </w:tcPr>
          <w:p w14:paraId="1F77E5AB"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0,00</w:t>
            </w:r>
          </w:p>
        </w:tc>
        <w:tc>
          <w:tcPr>
            <w:tcW w:w="709" w:type="dxa"/>
            <w:tcBorders>
              <w:top w:val="nil"/>
              <w:left w:val="nil"/>
              <w:bottom w:val="single" w:sz="4" w:space="0" w:color="auto"/>
              <w:right w:val="single" w:sz="4" w:space="0" w:color="auto"/>
            </w:tcBorders>
            <w:shd w:val="clear" w:color="auto" w:fill="auto"/>
            <w:noWrap/>
            <w:textDirection w:val="btLr"/>
            <w:vAlign w:val="center"/>
            <w:hideMark/>
          </w:tcPr>
          <w:p w14:paraId="55B28DF6" w14:textId="77777777" w:rsidR="006B4969" w:rsidRPr="00C2587D" w:rsidRDefault="006B4969" w:rsidP="006B4969">
            <w:pPr>
              <w:ind w:left="113" w:right="113"/>
              <w:jc w:val="center"/>
              <w:rPr>
                <w:rFonts w:ascii="Times New Roman" w:hAnsi="Times New Roman"/>
                <w:sz w:val="20"/>
                <w:szCs w:val="20"/>
              </w:rPr>
            </w:pPr>
          </w:p>
        </w:tc>
        <w:tc>
          <w:tcPr>
            <w:tcW w:w="708" w:type="dxa"/>
            <w:tcBorders>
              <w:top w:val="nil"/>
              <w:left w:val="nil"/>
              <w:bottom w:val="single" w:sz="4" w:space="0" w:color="auto"/>
              <w:right w:val="single" w:sz="4" w:space="0" w:color="auto"/>
            </w:tcBorders>
            <w:shd w:val="clear" w:color="auto" w:fill="auto"/>
            <w:noWrap/>
            <w:textDirection w:val="btLr"/>
            <w:vAlign w:val="center"/>
            <w:hideMark/>
          </w:tcPr>
          <w:p w14:paraId="3DFD0317"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nil"/>
              <w:left w:val="nil"/>
              <w:bottom w:val="single" w:sz="4" w:space="0" w:color="auto"/>
              <w:right w:val="single" w:sz="4" w:space="0" w:color="auto"/>
            </w:tcBorders>
            <w:shd w:val="clear" w:color="auto" w:fill="auto"/>
            <w:noWrap/>
            <w:textDirection w:val="btLr"/>
            <w:vAlign w:val="center"/>
            <w:hideMark/>
          </w:tcPr>
          <w:p w14:paraId="2E6C5256"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nil"/>
              <w:left w:val="nil"/>
              <w:bottom w:val="single" w:sz="4" w:space="0" w:color="auto"/>
              <w:right w:val="single" w:sz="4" w:space="0" w:color="auto"/>
            </w:tcBorders>
            <w:shd w:val="clear" w:color="auto" w:fill="auto"/>
            <w:noWrap/>
            <w:textDirection w:val="btLr"/>
            <w:vAlign w:val="center"/>
            <w:hideMark/>
          </w:tcPr>
          <w:p w14:paraId="0C9F83F0"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nil"/>
              <w:left w:val="nil"/>
              <w:bottom w:val="single" w:sz="4" w:space="0" w:color="auto"/>
              <w:right w:val="single" w:sz="4" w:space="0" w:color="auto"/>
            </w:tcBorders>
            <w:shd w:val="clear" w:color="000000" w:fill="D6DCE4"/>
            <w:textDirection w:val="btLr"/>
            <w:vAlign w:val="center"/>
            <w:hideMark/>
          </w:tcPr>
          <w:p w14:paraId="5E9547BB"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0,00</w:t>
            </w:r>
          </w:p>
        </w:tc>
        <w:tc>
          <w:tcPr>
            <w:tcW w:w="567" w:type="dxa"/>
            <w:tcBorders>
              <w:top w:val="nil"/>
              <w:left w:val="nil"/>
              <w:bottom w:val="single" w:sz="4" w:space="0" w:color="auto"/>
              <w:right w:val="single" w:sz="4" w:space="0" w:color="auto"/>
            </w:tcBorders>
            <w:shd w:val="clear" w:color="auto" w:fill="auto"/>
            <w:noWrap/>
            <w:textDirection w:val="btLr"/>
            <w:vAlign w:val="center"/>
            <w:hideMark/>
          </w:tcPr>
          <w:p w14:paraId="1FEDBDF5"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nil"/>
              <w:left w:val="nil"/>
              <w:bottom w:val="single" w:sz="4" w:space="0" w:color="auto"/>
              <w:right w:val="single" w:sz="4" w:space="0" w:color="auto"/>
            </w:tcBorders>
            <w:shd w:val="clear" w:color="auto" w:fill="auto"/>
            <w:noWrap/>
            <w:textDirection w:val="btLr"/>
            <w:vAlign w:val="bottom"/>
            <w:hideMark/>
          </w:tcPr>
          <w:p w14:paraId="7E9D1E7E" w14:textId="77777777" w:rsidR="006B4969" w:rsidRPr="00C2587D" w:rsidRDefault="006B4969" w:rsidP="006B4969">
            <w:pPr>
              <w:ind w:left="113" w:right="113"/>
              <w:rPr>
                <w:rFonts w:ascii="Times New Roman" w:hAnsi="Times New Roman"/>
                <w:sz w:val="20"/>
                <w:szCs w:val="20"/>
              </w:rPr>
            </w:pPr>
            <w:r w:rsidRPr="00C2587D">
              <w:rPr>
                <w:rFonts w:ascii="Times New Roman" w:hAnsi="Times New Roman"/>
                <w:sz w:val="20"/>
                <w:szCs w:val="20"/>
              </w:rPr>
              <w:t> </w:t>
            </w:r>
          </w:p>
        </w:tc>
        <w:tc>
          <w:tcPr>
            <w:tcW w:w="624" w:type="dxa"/>
            <w:tcBorders>
              <w:top w:val="nil"/>
              <w:left w:val="nil"/>
              <w:bottom w:val="single" w:sz="4" w:space="0" w:color="auto"/>
              <w:right w:val="single" w:sz="4" w:space="0" w:color="auto"/>
            </w:tcBorders>
            <w:shd w:val="clear" w:color="auto" w:fill="auto"/>
            <w:noWrap/>
            <w:textDirection w:val="btLr"/>
            <w:vAlign w:val="bottom"/>
            <w:hideMark/>
          </w:tcPr>
          <w:p w14:paraId="6CA7B458" w14:textId="77777777" w:rsidR="006B4969" w:rsidRPr="00C2587D" w:rsidRDefault="006B4969" w:rsidP="006B4969">
            <w:pPr>
              <w:ind w:left="113" w:right="113"/>
              <w:rPr>
                <w:rFonts w:ascii="Times New Roman" w:hAnsi="Times New Roman"/>
                <w:sz w:val="20"/>
                <w:szCs w:val="20"/>
              </w:rPr>
            </w:pPr>
            <w:r w:rsidRPr="00C2587D">
              <w:rPr>
                <w:rFonts w:ascii="Times New Roman" w:hAnsi="Times New Roman"/>
                <w:sz w:val="20"/>
                <w:szCs w:val="20"/>
              </w:rPr>
              <w:t> </w:t>
            </w:r>
          </w:p>
        </w:tc>
        <w:tc>
          <w:tcPr>
            <w:tcW w:w="567" w:type="dxa"/>
            <w:tcBorders>
              <w:top w:val="nil"/>
              <w:left w:val="nil"/>
              <w:bottom w:val="single" w:sz="4" w:space="0" w:color="auto"/>
              <w:right w:val="single" w:sz="4" w:space="0" w:color="auto"/>
            </w:tcBorders>
            <w:shd w:val="clear" w:color="auto" w:fill="auto"/>
            <w:noWrap/>
            <w:textDirection w:val="btLr"/>
            <w:vAlign w:val="bottom"/>
            <w:hideMark/>
          </w:tcPr>
          <w:p w14:paraId="78BE7573" w14:textId="77777777" w:rsidR="006B4969" w:rsidRPr="00C2587D" w:rsidRDefault="006B4969" w:rsidP="006B4969">
            <w:pPr>
              <w:ind w:left="113" w:right="113"/>
              <w:rPr>
                <w:rFonts w:ascii="Times New Roman" w:hAnsi="Times New Roman"/>
                <w:sz w:val="20"/>
                <w:szCs w:val="20"/>
              </w:rPr>
            </w:pPr>
            <w:r w:rsidRPr="00C2587D">
              <w:rPr>
                <w:rFonts w:ascii="Times New Roman" w:hAnsi="Times New Roman"/>
                <w:sz w:val="20"/>
                <w:szCs w:val="20"/>
              </w:rPr>
              <w:t> </w:t>
            </w:r>
          </w:p>
        </w:tc>
        <w:tc>
          <w:tcPr>
            <w:tcW w:w="1106" w:type="dxa"/>
            <w:tcBorders>
              <w:top w:val="nil"/>
              <w:left w:val="nil"/>
              <w:bottom w:val="single" w:sz="4" w:space="0" w:color="auto"/>
              <w:right w:val="single" w:sz="4" w:space="0" w:color="auto"/>
            </w:tcBorders>
            <w:shd w:val="clear" w:color="auto" w:fill="auto"/>
            <w:noWrap/>
            <w:textDirection w:val="btLr"/>
            <w:vAlign w:val="center"/>
            <w:hideMark/>
          </w:tcPr>
          <w:p w14:paraId="3DACA2C1"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6100,00</w:t>
            </w:r>
          </w:p>
        </w:tc>
      </w:tr>
      <w:tr w:rsidR="006B4969" w:rsidRPr="00C2587D" w14:paraId="61387107" w14:textId="77777777" w:rsidTr="00FF28D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3336F8" w14:textId="65DE217C" w:rsidR="006B4969" w:rsidRPr="00C2587D" w:rsidRDefault="006B4969" w:rsidP="00FF28D2">
            <w:pPr>
              <w:rPr>
                <w:rFonts w:ascii="Times New Roman" w:hAnsi="Times New Roman"/>
                <w:sz w:val="20"/>
                <w:szCs w:val="20"/>
              </w:rPr>
            </w:pPr>
            <w:r w:rsidRPr="00C2587D">
              <w:rPr>
                <w:rFonts w:ascii="Times New Roman" w:hAnsi="Times New Roman"/>
                <w:sz w:val="20"/>
                <w:szCs w:val="20"/>
              </w:rPr>
              <w:t>13</w:t>
            </w:r>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tcPr>
          <w:p w14:paraId="31D0AA2D" w14:textId="77777777" w:rsidR="006B4969" w:rsidRPr="00C2587D" w:rsidRDefault="006B4969" w:rsidP="00FF28D2">
            <w:pPr>
              <w:rPr>
                <w:rFonts w:ascii="Times New Roman" w:hAnsi="Times New Roman"/>
                <w:sz w:val="20"/>
                <w:szCs w:val="20"/>
              </w:rPr>
            </w:pPr>
            <w:r w:rsidRPr="00C2587D">
              <w:rPr>
                <w:rFonts w:ascii="Times New Roman" w:eastAsia="Calibri" w:hAnsi="Times New Roman"/>
                <w:sz w:val="20"/>
                <w:szCs w:val="20"/>
                <w:lang w:eastAsia="en-US"/>
              </w:rPr>
              <w:t>Капітальний ремонт харчоблоку  ЗДО № 2 «Калинка»</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D1D5159"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4000,00</w:t>
            </w:r>
          </w:p>
        </w:tc>
        <w:tc>
          <w:tcPr>
            <w:tcW w:w="850" w:type="dxa"/>
            <w:tcBorders>
              <w:top w:val="single" w:sz="4" w:space="0" w:color="auto"/>
              <w:left w:val="single" w:sz="4" w:space="0" w:color="auto"/>
              <w:bottom w:val="single" w:sz="4" w:space="0" w:color="auto"/>
              <w:right w:val="single" w:sz="4" w:space="0" w:color="auto"/>
            </w:tcBorders>
            <w:shd w:val="clear" w:color="000000" w:fill="F8CBAD"/>
            <w:textDirection w:val="btLr"/>
            <w:vAlign w:val="center"/>
          </w:tcPr>
          <w:p w14:paraId="58C6845E"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4000,00</w:t>
            </w:r>
          </w:p>
        </w:tc>
        <w:tc>
          <w:tcPr>
            <w:tcW w:w="99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52D0FD76"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4000,00</w:t>
            </w:r>
          </w:p>
        </w:tc>
        <w:tc>
          <w:tcPr>
            <w:tcW w:w="851"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3698869D" w14:textId="77777777" w:rsidR="006B4969" w:rsidRPr="00C2587D" w:rsidRDefault="006B4969" w:rsidP="006B4969">
            <w:pPr>
              <w:ind w:left="113" w:right="113"/>
              <w:jc w:val="center"/>
              <w:rPr>
                <w:rFonts w:ascii="Times New Roman" w:hAnsi="Times New Roman"/>
                <w:sz w:val="20"/>
                <w:szCs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1470FA59"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4D40DC7B"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000000" w:fill="C6E0B4"/>
            <w:textDirection w:val="btLr"/>
            <w:vAlign w:val="center"/>
          </w:tcPr>
          <w:p w14:paraId="4C5744B5"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4AF3AE6B" w14:textId="77777777" w:rsidR="006B4969" w:rsidRPr="00C2587D" w:rsidRDefault="006B4969" w:rsidP="006B4969">
            <w:pPr>
              <w:ind w:left="113" w:right="113"/>
              <w:jc w:val="center"/>
              <w:rPr>
                <w:rFonts w:ascii="Times New Roman" w:hAnsi="Times New Roman"/>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01771079"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4FBF9E04"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051DD1CE"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000000" w:fill="D6DCE4"/>
            <w:textDirection w:val="btLr"/>
            <w:vAlign w:val="center"/>
          </w:tcPr>
          <w:p w14:paraId="64067C50"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67DBF6E8"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9C070E" w14:textId="77777777" w:rsidR="006B4969" w:rsidRPr="00C2587D" w:rsidRDefault="006B4969" w:rsidP="006B4969">
            <w:pPr>
              <w:ind w:left="113" w:right="113"/>
              <w:rPr>
                <w:rFonts w:ascii="Times New Roman" w:hAnsi="Times New Roman"/>
                <w:sz w:val="20"/>
                <w:szCs w:val="20"/>
              </w:rPr>
            </w:pPr>
          </w:p>
        </w:tc>
        <w:tc>
          <w:tcPr>
            <w:tcW w:w="62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C7B00E" w14:textId="77777777" w:rsidR="006B4969" w:rsidRPr="00C2587D" w:rsidRDefault="006B4969" w:rsidP="006B4969">
            <w:pPr>
              <w:ind w:left="113" w:right="113"/>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B9C83F" w14:textId="77777777" w:rsidR="006B4969" w:rsidRPr="00C2587D" w:rsidRDefault="006B4969" w:rsidP="006B4969">
            <w:pPr>
              <w:ind w:left="113" w:right="113"/>
              <w:rPr>
                <w:rFonts w:ascii="Times New Roman" w:hAnsi="Times New Roman"/>
                <w:sz w:val="20"/>
                <w:szCs w:val="20"/>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45441DCF"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4000,00</w:t>
            </w:r>
          </w:p>
        </w:tc>
      </w:tr>
      <w:tr w:rsidR="006B4969" w:rsidRPr="00C2587D" w14:paraId="19112173" w14:textId="77777777" w:rsidTr="00FF28D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20D41D" w14:textId="39B56980" w:rsidR="006B4969" w:rsidRPr="00C2587D" w:rsidRDefault="006B4969" w:rsidP="00FF28D2">
            <w:pPr>
              <w:rPr>
                <w:rFonts w:ascii="Times New Roman" w:hAnsi="Times New Roman"/>
                <w:sz w:val="20"/>
                <w:szCs w:val="20"/>
              </w:rPr>
            </w:pPr>
            <w:r w:rsidRPr="00C2587D">
              <w:rPr>
                <w:rFonts w:ascii="Times New Roman" w:hAnsi="Times New Roman"/>
                <w:sz w:val="20"/>
                <w:szCs w:val="20"/>
              </w:rPr>
              <w:lastRenderedPageBreak/>
              <w:t>14</w:t>
            </w:r>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763241"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 xml:space="preserve">Опорна кухня - інноваційна модель організації шкільного харчування </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6372B9A8"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5600,00</w:t>
            </w:r>
          </w:p>
        </w:tc>
        <w:tc>
          <w:tcPr>
            <w:tcW w:w="850" w:type="dxa"/>
            <w:tcBorders>
              <w:top w:val="single" w:sz="4" w:space="0" w:color="auto"/>
              <w:left w:val="single" w:sz="4" w:space="0" w:color="auto"/>
              <w:bottom w:val="single" w:sz="4" w:space="0" w:color="auto"/>
              <w:right w:val="single" w:sz="4" w:space="0" w:color="auto"/>
            </w:tcBorders>
            <w:shd w:val="clear" w:color="000000" w:fill="F8CBAD"/>
            <w:noWrap/>
            <w:textDirection w:val="btLr"/>
            <w:vAlign w:val="center"/>
            <w:hideMark/>
          </w:tcPr>
          <w:p w14:paraId="43495E43"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5600,00</w:t>
            </w:r>
          </w:p>
        </w:tc>
        <w:tc>
          <w:tcPr>
            <w:tcW w:w="99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70B21052"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600,00</w:t>
            </w:r>
          </w:p>
        </w:tc>
        <w:tc>
          <w:tcPr>
            <w:tcW w:w="851"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7A290DC6"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1500,00</w:t>
            </w:r>
          </w:p>
        </w:tc>
        <w:tc>
          <w:tcPr>
            <w:tcW w:w="850"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14026C07"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1500,00</w:t>
            </w:r>
          </w:p>
        </w:tc>
        <w:tc>
          <w:tcPr>
            <w:tcW w:w="70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3BF70F33"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2000,00</w:t>
            </w:r>
          </w:p>
        </w:tc>
        <w:tc>
          <w:tcPr>
            <w:tcW w:w="709" w:type="dxa"/>
            <w:tcBorders>
              <w:top w:val="single" w:sz="4" w:space="0" w:color="auto"/>
              <w:left w:val="single" w:sz="4" w:space="0" w:color="auto"/>
              <w:bottom w:val="single" w:sz="4" w:space="0" w:color="auto"/>
              <w:right w:val="single" w:sz="4" w:space="0" w:color="auto"/>
            </w:tcBorders>
            <w:shd w:val="clear" w:color="000000" w:fill="C6E0B4"/>
            <w:textDirection w:val="btLr"/>
            <w:vAlign w:val="center"/>
            <w:hideMark/>
          </w:tcPr>
          <w:p w14:paraId="100EFC62"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0,00</w:t>
            </w:r>
          </w:p>
        </w:tc>
        <w:tc>
          <w:tcPr>
            <w:tcW w:w="70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29F501D0" w14:textId="77777777" w:rsidR="006B4969" w:rsidRPr="00C2587D" w:rsidRDefault="006B4969" w:rsidP="006B4969">
            <w:pPr>
              <w:ind w:left="113" w:right="113"/>
              <w:jc w:val="center"/>
              <w:rPr>
                <w:rFonts w:ascii="Times New Roman" w:hAnsi="Times New Roman"/>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3753439B"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1055703F"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38BFD9AF"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000000" w:fill="D6DCE4"/>
            <w:textDirection w:val="btLr"/>
            <w:vAlign w:val="center"/>
            <w:hideMark/>
          </w:tcPr>
          <w:p w14:paraId="330EDC47"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0,00</w:t>
            </w:r>
          </w:p>
        </w:tc>
        <w:tc>
          <w:tcPr>
            <w:tcW w:w="567"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5C255121"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1EA647D1" w14:textId="77777777" w:rsidR="006B4969" w:rsidRPr="00C2587D" w:rsidRDefault="006B4969" w:rsidP="006B4969">
            <w:pPr>
              <w:ind w:left="113" w:right="113"/>
              <w:jc w:val="center"/>
              <w:rPr>
                <w:rFonts w:ascii="Times New Roman" w:hAnsi="Times New Roman"/>
                <w:sz w:val="20"/>
                <w:szCs w:val="20"/>
              </w:rPr>
            </w:pPr>
          </w:p>
        </w:tc>
        <w:tc>
          <w:tcPr>
            <w:tcW w:w="624"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6C1DD4D2"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4F7A6975" w14:textId="77777777" w:rsidR="006B4969" w:rsidRPr="00C2587D" w:rsidRDefault="006B4969" w:rsidP="006B4969">
            <w:pPr>
              <w:ind w:left="113" w:right="113"/>
              <w:jc w:val="center"/>
              <w:rPr>
                <w:rFonts w:ascii="Times New Roman" w:hAnsi="Times New Roman"/>
                <w:sz w:val="20"/>
                <w:szCs w:val="20"/>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262CA05F"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5600,00</w:t>
            </w:r>
          </w:p>
        </w:tc>
      </w:tr>
      <w:tr w:rsidR="006B4969" w:rsidRPr="00C2587D" w14:paraId="119AB75A" w14:textId="77777777" w:rsidTr="00FF28D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3CF073" w14:textId="47F8E148" w:rsidR="006B4969" w:rsidRPr="00C2587D" w:rsidRDefault="006B4969" w:rsidP="00FF28D2">
            <w:pPr>
              <w:rPr>
                <w:rFonts w:ascii="Times New Roman" w:hAnsi="Times New Roman"/>
                <w:sz w:val="20"/>
                <w:szCs w:val="20"/>
              </w:rPr>
            </w:pPr>
            <w:r w:rsidRPr="00C2587D">
              <w:rPr>
                <w:rFonts w:ascii="Times New Roman" w:hAnsi="Times New Roman"/>
                <w:sz w:val="20"/>
                <w:szCs w:val="20"/>
              </w:rPr>
              <w:t>15</w:t>
            </w:r>
          </w:p>
        </w:tc>
        <w:tc>
          <w:tcPr>
            <w:tcW w:w="21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E1440B"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Освіта без бар’єрів</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31FC32CA"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14800,00</w:t>
            </w:r>
          </w:p>
        </w:tc>
        <w:tc>
          <w:tcPr>
            <w:tcW w:w="850" w:type="dxa"/>
            <w:tcBorders>
              <w:top w:val="single" w:sz="4" w:space="0" w:color="auto"/>
              <w:left w:val="nil"/>
              <w:bottom w:val="single" w:sz="4" w:space="0" w:color="auto"/>
              <w:right w:val="single" w:sz="4" w:space="0" w:color="auto"/>
            </w:tcBorders>
            <w:shd w:val="clear" w:color="000000" w:fill="F8CBAD"/>
            <w:noWrap/>
            <w:textDirection w:val="btLr"/>
            <w:vAlign w:val="center"/>
            <w:hideMark/>
          </w:tcPr>
          <w:p w14:paraId="33352C3A"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6600,00</w:t>
            </w:r>
          </w:p>
        </w:tc>
        <w:tc>
          <w:tcPr>
            <w:tcW w:w="992" w:type="dxa"/>
            <w:tcBorders>
              <w:top w:val="single" w:sz="4" w:space="0" w:color="auto"/>
              <w:left w:val="nil"/>
              <w:bottom w:val="single" w:sz="4" w:space="0" w:color="auto"/>
              <w:right w:val="single" w:sz="4" w:space="0" w:color="000000"/>
            </w:tcBorders>
            <w:shd w:val="clear" w:color="auto" w:fill="auto"/>
            <w:noWrap/>
            <w:textDirection w:val="btLr"/>
            <w:vAlign w:val="center"/>
            <w:hideMark/>
          </w:tcPr>
          <w:p w14:paraId="19EE736E"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2600,00</w:t>
            </w:r>
          </w:p>
        </w:tc>
        <w:tc>
          <w:tcPr>
            <w:tcW w:w="851"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6BCF0BF0"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2000,00</w:t>
            </w:r>
          </w:p>
        </w:tc>
        <w:tc>
          <w:tcPr>
            <w:tcW w:w="850"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0109F33F"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1000,00</w:t>
            </w:r>
          </w:p>
        </w:tc>
        <w:tc>
          <w:tcPr>
            <w:tcW w:w="709"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75C57181"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1000,00</w:t>
            </w:r>
          </w:p>
        </w:tc>
        <w:tc>
          <w:tcPr>
            <w:tcW w:w="709" w:type="dxa"/>
            <w:tcBorders>
              <w:top w:val="single" w:sz="4" w:space="0" w:color="auto"/>
              <w:left w:val="nil"/>
              <w:bottom w:val="single" w:sz="4" w:space="0" w:color="auto"/>
              <w:right w:val="single" w:sz="4" w:space="0" w:color="auto"/>
            </w:tcBorders>
            <w:shd w:val="clear" w:color="000000" w:fill="C6E0B4"/>
            <w:textDirection w:val="btLr"/>
            <w:vAlign w:val="center"/>
            <w:hideMark/>
          </w:tcPr>
          <w:p w14:paraId="32A055DB"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8200,00</w:t>
            </w:r>
          </w:p>
        </w:tc>
        <w:tc>
          <w:tcPr>
            <w:tcW w:w="709"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4C0A7877"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2600,00</w:t>
            </w:r>
          </w:p>
        </w:tc>
        <w:tc>
          <w:tcPr>
            <w:tcW w:w="708"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48BC5921"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2000,00</w:t>
            </w:r>
          </w:p>
        </w:tc>
        <w:tc>
          <w:tcPr>
            <w:tcW w:w="709"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7CB4100A"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2600,00</w:t>
            </w:r>
          </w:p>
        </w:tc>
        <w:tc>
          <w:tcPr>
            <w:tcW w:w="709"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22D853A9"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1000,00</w:t>
            </w:r>
          </w:p>
        </w:tc>
        <w:tc>
          <w:tcPr>
            <w:tcW w:w="567" w:type="dxa"/>
            <w:tcBorders>
              <w:top w:val="single" w:sz="4" w:space="0" w:color="auto"/>
              <w:left w:val="nil"/>
              <w:bottom w:val="single" w:sz="4" w:space="0" w:color="auto"/>
              <w:right w:val="single" w:sz="4" w:space="0" w:color="auto"/>
            </w:tcBorders>
            <w:shd w:val="clear" w:color="000000" w:fill="D6DCE4"/>
            <w:textDirection w:val="btLr"/>
            <w:vAlign w:val="center"/>
            <w:hideMark/>
          </w:tcPr>
          <w:p w14:paraId="600E2FF7"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0,00</w:t>
            </w:r>
          </w:p>
        </w:tc>
        <w:tc>
          <w:tcPr>
            <w:tcW w:w="567"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1B531211"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5CE8C8E7" w14:textId="77777777" w:rsidR="006B4969" w:rsidRPr="00C2587D" w:rsidRDefault="006B4969" w:rsidP="006B4969">
            <w:pPr>
              <w:ind w:left="113" w:right="113"/>
              <w:jc w:val="center"/>
              <w:rPr>
                <w:rFonts w:ascii="Times New Roman" w:hAnsi="Times New Roman"/>
                <w:sz w:val="20"/>
                <w:szCs w:val="20"/>
              </w:rPr>
            </w:pPr>
          </w:p>
        </w:tc>
        <w:tc>
          <w:tcPr>
            <w:tcW w:w="624"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69701EA2"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0D540917" w14:textId="77777777" w:rsidR="006B4969" w:rsidRPr="00C2587D" w:rsidRDefault="006B4969" w:rsidP="006B4969">
            <w:pPr>
              <w:ind w:left="113" w:right="113"/>
              <w:jc w:val="center"/>
              <w:rPr>
                <w:rFonts w:ascii="Times New Roman" w:hAnsi="Times New Roman"/>
                <w:sz w:val="20"/>
                <w:szCs w:val="20"/>
              </w:rPr>
            </w:pPr>
          </w:p>
        </w:tc>
        <w:tc>
          <w:tcPr>
            <w:tcW w:w="1106"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6BED81D5"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14800,00</w:t>
            </w:r>
          </w:p>
        </w:tc>
      </w:tr>
      <w:tr w:rsidR="006B4969" w:rsidRPr="00C2587D" w14:paraId="06AF0405" w14:textId="77777777" w:rsidTr="00FF28D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78AB9E" w14:textId="16A8CF7B" w:rsidR="006B4969" w:rsidRPr="00C2587D" w:rsidRDefault="006B4969" w:rsidP="00FF28D2">
            <w:pPr>
              <w:rPr>
                <w:rFonts w:ascii="Times New Roman" w:hAnsi="Times New Roman"/>
                <w:sz w:val="20"/>
                <w:szCs w:val="20"/>
              </w:rPr>
            </w:pPr>
            <w:r w:rsidRPr="00C2587D">
              <w:rPr>
                <w:rFonts w:ascii="Times New Roman" w:hAnsi="Times New Roman"/>
                <w:sz w:val="20"/>
                <w:szCs w:val="20"/>
              </w:rPr>
              <w:t>16</w:t>
            </w:r>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5CC7E1"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Нарощення фонду захисних споруд ЦЗ</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616CE9C3"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32500,00</w:t>
            </w:r>
          </w:p>
        </w:tc>
        <w:tc>
          <w:tcPr>
            <w:tcW w:w="850" w:type="dxa"/>
            <w:tcBorders>
              <w:top w:val="single" w:sz="4" w:space="0" w:color="auto"/>
              <w:left w:val="single" w:sz="4" w:space="0" w:color="auto"/>
              <w:bottom w:val="single" w:sz="4" w:space="0" w:color="auto"/>
              <w:right w:val="single" w:sz="4" w:space="0" w:color="auto"/>
            </w:tcBorders>
            <w:shd w:val="clear" w:color="000000" w:fill="F8CBAD"/>
            <w:noWrap/>
            <w:textDirection w:val="btLr"/>
            <w:vAlign w:val="center"/>
            <w:hideMark/>
          </w:tcPr>
          <w:p w14:paraId="2A50D4C1"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12300,00</w:t>
            </w:r>
          </w:p>
        </w:tc>
        <w:tc>
          <w:tcPr>
            <w:tcW w:w="99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79FEADB3"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3300,00</w:t>
            </w:r>
          </w:p>
        </w:tc>
        <w:tc>
          <w:tcPr>
            <w:tcW w:w="851"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3A5AB812"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3000,00</w:t>
            </w:r>
          </w:p>
        </w:tc>
        <w:tc>
          <w:tcPr>
            <w:tcW w:w="850"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455450BF"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3000,00</w:t>
            </w:r>
          </w:p>
        </w:tc>
        <w:tc>
          <w:tcPr>
            <w:tcW w:w="70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4EAA90CB"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3000,00</w:t>
            </w:r>
          </w:p>
        </w:tc>
        <w:tc>
          <w:tcPr>
            <w:tcW w:w="709" w:type="dxa"/>
            <w:tcBorders>
              <w:top w:val="single" w:sz="4" w:space="0" w:color="auto"/>
              <w:left w:val="single" w:sz="4" w:space="0" w:color="auto"/>
              <w:bottom w:val="single" w:sz="4" w:space="0" w:color="auto"/>
              <w:right w:val="single" w:sz="4" w:space="0" w:color="auto"/>
            </w:tcBorders>
            <w:shd w:val="clear" w:color="000000" w:fill="C6E0B4"/>
            <w:textDirection w:val="btLr"/>
            <w:vAlign w:val="center"/>
            <w:hideMark/>
          </w:tcPr>
          <w:p w14:paraId="00819AAF"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20200,00</w:t>
            </w:r>
          </w:p>
        </w:tc>
        <w:tc>
          <w:tcPr>
            <w:tcW w:w="70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0717E460"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3200,00</w:t>
            </w:r>
          </w:p>
        </w:tc>
        <w:tc>
          <w:tcPr>
            <w:tcW w:w="708"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3AA0DE37"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3000,00</w:t>
            </w:r>
          </w:p>
        </w:tc>
        <w:tc>
          <w:tcPr>
            <w:tcW w:w="70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4879B0D2"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7000,00</w:t>
            </w:r>
          </w:p>
        </w:tc>
        <w:tc>
          <w:tcPr>
            <w:tcW w:w="70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7F81395C"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7000,00</w:t>
            </w:r>
          </w:p>
        </w:tc>
        <w:tc>
          <w:tcPr>
            <w:tcW w:w="567" w:type="dxa"/>
            <w:tcBorders>
              <w:top w:val="single" w:sz="4" w:space="0" w:color="auto"/>
              <w:left w:val="single" w:sz="4" w:space="0" w:color="auto"/>
              <w:bottom w:val="single" w:sz="4" w:space="0" w:color="auto"/>
              <w:right w:val="single" w:sz="4" w:space="0" w:color="auto"/>
            </w:tcBorders>
            <w:shd w:val="clear" w:color="000000" w:fill="D6DCE4"/>
            <w:textDirection w:val="btLr"/>
            <w:vAlign w:val="center"/>
            <w:hideMark/>
          </w:tcPr>
          <w:p w14:paraId="1B826CCB"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0,00</w:t>
            </w:r>
          </w:p>
        </w:tc>
        <w:tc>
          <w:tcPr>
            <w:tcW w:w="567"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759470A6"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AB28664" w14:textId="77777777" w:rsidR="006B4969" w:rsidRPr="00C2587D" w:rsidRDefault="006B4969" w:rsidP="006B4969">
            <w:pPr>
              <w:ind w:left="113" w:right="113"/>
              <w:rPr>
                <w:rFonts w:ascii="Times New Roman" w:hAnsi="Times New Roman"/>
                <w:sz w:val="20"/>
                <w:szCs w:val="20"/>
              </w:rPr>
            </w:pPr>
            <w:r w:rsidRPr="00C2587D">
              <w:rPr>
                <w:rFonts w:ascii="Times New Roman" w:hAnsi="Times New Roman"/>
                <w:sz w:val="20"/>
                <w:szCs w:val="20"/>
              </w:rPr>
              <w:t> </w:t>
            </w:r>
          </w:p>
        </w:tc>
        <w:tc>
          <w:tcPr>
            <w:tcW w:w="62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DDA8E5C" w14:textId="77777777" w:rsidR="006B4969" w:rsidRPr="00C2587D" w:rsidRDefault="006B4969" w:rsidP="006B4969">
            <w:pPr>
              <w:ind w:left="113" w:right="113"/>
              <w:rPr>
                <w:rFonts w:ascii="Times New Roman" w:hAnsi="Times New Roman"/>
                <w:sz w:val="20"/>
                <w:szCs w:val="20"/>
              </w:rPr>
            </w:pPr>
            <w:r w:rsidRPr="00C2587D">
              <w:rPr>
                <w:rFonts w:ascii="Times New Roman" w:hAnsi="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49425B5" w14:textId="77777777" w:rsidR="006B4969" w:rsidRPr="00C2587D" w:rsidRDefault="006B4969" w:rsidP="006B4969">
            <w:pPr>
              <w:ind w:left="113" w:right="113"/>
              <w:rPr>
                <w:rFonts w:ascii="Times New Roman" w:hAnsi="Times New Roman"/>
                <w:sz w:val="20"/>
                <w:szCs w:val="20"/>
              </w:rPr>
            </w:pPr>
            <w:r w:rsidRPr="00C2587D">
              <w:rPr>
                <w:rFonts w:ascii="Times New Roman" w:hAnsi="Times New Roman"/>
                <w:sz w:val="20"/>
                <w:szCs w:val="20"/>
              </w:rPr>
              <w:t> </w:t>
            </w: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127752C5"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32500,00</w:t>
            </w:r>
          </w:p>
        </w:tc>
      </w:tr>
      <w:tr w:rsidR="006B4969" w:rsidRPr="00C2587D" w14:paraId="426F953F" w14:textId="77777777" w:rsidTr="00FF28D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39ECFE" w14:textId="72E27F82" w:rsidR="006B4969" w:rsidRPr="00C2587D" w:rsidRDefault="006B4969" w:rsidP="00FF28D2">
            <w:pPr>
              <w:rPr>
                <w:rFonts w:ascii="Times New Roman" w:hAnsi="Times New Roman"/>
                <w:sz w:val="20"/>
                <w:szCs w:val="20"/>
              </w:rPr>
            </w:pPr>
            <w:r w:rsidRPr="00C2587D">
              <w:rPr>
                <w:rFonts w:ascii="Times New Roman" w:hAnsi="Times New Roman"/>
                <w:sz w:val="20"/>
                <w:szCs w:val="20"/>
              </w:rPr>
              <w:t>17</w:t>
            </w:r>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457016"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Територія закладу освіти як важлива складова сучасного здоров’я збережувального освітнього простору</w:t>
            </w:r>
          </w:p>
        </w:tc>
        <w:tc>
          <w:tcPr>
            <w:tcW w:w="737" w:type="dxa"/>
            <w:tcBorders>
              <w:top w:val="nil"/>
              <w:left w:val="single" w:sz="4" w:space="0" w:color="auto"/>
              <w:bottom w:val="single" w:sz="4" w:space="0" w:color="auto"/>
              <w:right w:val="single" w:sz="4" w:space="0" w:color="auto"/>
            </w:tcBorders>
            <w:shd w:val="clear" w:color="auto" w:fill="auto"/>
            <w:textDirection w:val="btLr"/>
            <w:vAlign w:val="center"/>
            <w:hideMark/>
          </w:tcPr>
          <w:p w14:paraId="62E9F574"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8000,00</w:t>
            </w:r>
          </w:p>
        </w:tc>
        <w:tc>
          <w:tcPr>
            <w:tcW w:w="850" w:type="dxa"/>
            <w:tcBorders>
              <w:top w:val="nil"/>
              <w:left w:val="nil"/>
              <w:bottom w:val="single" w:sz="4" w:space="0" w:color="auto"/>
              <w:right w:val="single" w:sz="4" w:space="0" w:color="auto"/>
            </w:tcBorders>
            <w:shd w:val="clear" w:color="000000" w:fill="F8CBAD"/>
            <w:noWrap/>
            <w:textDirection w:val="btLr"/>
            <w:vAlign w:val="center"/>
            <w:hideMark/>
          </w:tcPr>
          <w:p w14:paraId="447A3E7A"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8000,00</w:t>
            </w:r>
          </w:p>
        </w:tc>
        <w:tc>
          <w:tcPr>
            <w:tcW w:w="992" w:type="dxa"/>
            <w:tcBorders>
              <w:top w:val="single" w:sz="4" w:space="0" w:color="auto"/>
              <w:left w:val="nil"/>
              <w:bottom w:val="single" w:sz="4" w:space="0" w:color="auto"/>
              <w:right w:val="single" w:sz="4" w:space="0" w:color="000000"/>
            </w:tcBorders>
            <w:shd w:val="clear" w:color="auto" w:fill="auto"/>
            <w:noWrap/>
            <w:textDirection w:val="btLr"/>
            <w:vAlign w:val="center"/>
            <w:hideMark/>
          </w:tcPr>
          <w:p w14:paraId="20BBB845"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2000,00</w:t>
            </w:r>
          </w:p>
        </w:tc>
        <w:tc>
          <w:tcPr>
            <w:tcW w:w="851" w:type="dxa"/>
            <w:tcBorders>
              <w:top w:val="nil"/>
              <w:left w:val="nil"/>
              <w:bottom w:val="single" w:sz="4" w:space="0" w:color="auto"/>
              <w:right w:val="single" w:sz="4" w:space="0" w:color="auto"/>
            </w:tcBorders>
            <w:shd w:val="clear" w:color="auto" w:fill="auto"/>
            <w:noWrap/>
            <w:textDirection w:val="btLr"/>
            <w:vAlign w:val="center"/>
            <w:hideMark/>
          </w:tcPr>
          <w:p w14:paraId="5C9902C3"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2000,00</w:t>
            </w:r>
          </w:p>
        </w:tc>
        <w:tc>
          <w:tcPr>
            <w:tcW w:w="850" w:type="dxa"/>
            <w:tcBorders>
              <w:top w:val="nil"/>
              <w:left w:val="nil"/>
              <w:bottom w:val="single" w:sz="4" w:space="0" w:color="auto"/>
              <w:right w:val="single" w:sz="4" w:space="0" w:color="auto"/>
            </w:tcBorders>
            <w:shd w:val="clear" w:color="auto" w:fill="auto"/>
            <w:noWrap/>
            <w:textDirection w:val="btLr"/>
            <w:vAlign w:val="center"/>
            <w:hideMark/>
          </w:tcPr>
          <w:p w14:paraId="750BC88E"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2000,00</w:t>
            </w:r>
          </w:p>
        </w:tc>
        <w:tc>
          <w:tcPr>
            <w:tcW w:w="709" w:type="dxa"/>
            <w:tcBorders>
              <w:top w:val="nil"/>
              <w:left w:val="nil"/>
              <w:bottom w:val="single" w:sz="4" w:space="0" w:color="auto"/>
              <w:right w:val="single" w:sz="4" w:space="0" w:color="auto"/>
            </w:tcBorders>
            <w:shd w:val="clear" w:color="auto" w:fill="auto"/>
            <w:noWrap/>
            <w:textDirection w:val="btLr"/>
            <w:vAlign w:val="center"/>
            <w:hideMark/>
          </w:tcPr>
          <w:p w14:paraId="6019E7FE"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2000,00</w:t>
            </w:r>
          </w:p>
        </w:tc>
        <w:tc>
          <w:tcPr>
            <w:tcW w:w="709" w:type="dxa"/>
            <w:tcBorders>
              <w:top w:val="nil"/>
              <w:left w:val="nil"/>
              <w:bottom w:val="single" w:sz="4" w:space="0" w:color="auto"/>
              <w:right w:val="single" w:sz="4" w:space="0" w:color="auto"/>
            </w:tcBorders>
            <w:shd w:val="clear" w:color="000000" w:fill="C6E0B4"/>
            <w:textDirection w:val="btLr"/>
            <w:vAlign w:val="center"/>
            <w:hideMark/>
          </w:tcPr>
          <w:p w14:paraId="5CE5F794"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0,00</w:t>
            </w:r>
          </w:p>
        </w:tc>
        <w:tc>
          <w:tcPr>
            <w:tcW w:w="709" w:type="dxa"/>
            <w:tcBorders>
              <w:top w:val="nil"/>
              <w:left w:val="nil"/>
              <w:bottom w:val="single" w:sz="4" w:space="0" w:color="auto"/>
              <w:right w:val="single" w:sz="4" w:space="0" w:color="auto"/>
            </w:tcBorders>
            <w:shd w:val="clear" w:color="auto" w:fill="auto"/>
            <w:noWrap/>
            <w:textDirection w:val="btLr"/>
            <w:vAlign w:val="center"/>
            <w:hideMark/>
          </w:tcPr>
          <w:p w14:paraId="7D57CFB7" w14:textId="77777777" w:rsidR="006B4969" w:rsidRPr="00C2587D" w:rsidRDefault="006B4969" w:rsidP="006B4969">
            <w:pPr>
              <w:ind w:left="113" w:right="113"/>
              <w:jc w:val="center"/>
              <w:rPr>
                <w:rFonts w:ascii="Times New Roman" w:hAnsi="Times New Roman"/>
                <w:sz w:val="20"/>
                <w:szCs w:val="20"/>
              </w:rPr>
            </w:pPr>
          </w:p>
        </w:tc>
        <w:tc>
          <w:tcPr>
            <w:tcW w:w="708" w:type="dxa"/>
            <w:tcBorders>
              <w:top w:val="nil"/>
              <w:left w:val="nil"/>
              <w:bottom w:val="single" w:sz="4" w:space="0" w:color="auto"/>
              <w:right w:val="single" w:sz="4" w:space="0" w:color="auto"/>
            </w:tcBorders>
            <w:shd w:val="clear" w:color="auto" w:fill="auto"/>
            <w:noWrap/>
            <w:textDirection w:val="btLr"/>
            <w:vAlign w:val="center"/>
            <w:hideMark/>
          </w:tcPr>
          <w:p w14:paraId="2CC88F5A"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nil"/>
              <w:left w:val="nil"/>
              <w:bottom w:val="single" w:sz="4" w:space="0" w:color="auto"/>
              <w:right w:val="single" w:sz="4" w:space="0" w:color="auto"/>
            </w:tcBorders>
            <w:shd w:val="clear" w:color="auto" w:fill="auto"/>
            <w:noWrap/>
            <w:textDirection w:val="btLr"/>
            <w:vAlign w:val="center"/>
            <w:hideMark/>
          </w:tcPr>
          <w:p w14:paraId="25302A84" w14:textId="77777777" w:rsidR="006B4969" w:rsidRPr="00C2587D" w:rsidRDefault="006B4969" w:rsidP="006B4969">
            <w:pPr>
              <w:ind w:left="113" w:right="113"/>
              <w:jc w:val="center"/>
              <w:rPr>
                <w:rFonts w:ascii="Times New Roman" w:hAnsi="Times New Roman"/>
                <w:sz w:val="20"/>
                <w:szCs w:val="20"/>
              </w:rPr>
            </w:pPr>
          </w:p>
        </w:tc>
        <w:tc>
          <w:tcPr>
            <w:tcW w:w="709" w:type="dxa"/>
            <w:tcBorders>
              <w:top w:val="nil"/>
              <w:left w:val="nil"/>
              <w:bottom w:val="single" w:sz="4" w:space="0" w:color="auto"/>
              <w:right w:val="single" w:sz="4" w:space="0" w:color="auto"/>
            </w:tcBorders>
            <w:shd w:val="clear" w:color="auto" w:fill="auto"/>
            <w:noWrap/>
            <w:textDirection w:val="btLr"/>
            <w:vAlign w:val="center"/>
            <w:hideMark/>
          </w:tcPr>
          <w:p w14:paraId="43DBD3FB"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nil"/>
              <w:left w:val="nil"/>
              <w:bottom w:val="single" w:sz="4" w:space="0" w:color="auto"/>
              <w:right w:val="single" w:sz="4" w:space="0" w:color="auto"/>
            </w:tcBorders>
            <w:shd w:val="clear" w:color="000000" w:fill="D6DCE4"/>
            <w:textDirection w:val="btLr"/>
            <w:vAlign w:val="center"/>
            <w:hideMark/>
          </w:tcPr>
          <w:p w14:paraId="63602FB4"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0,00</w:t>
            </w:r>
          </w:p>
        </w:tc>
        <w:tc>
          <w:tcPr>
            <w:tcW w:w="567" w:type="dxa"/>
            <w:tcBorders>
              <w:top w:val="nil"/>
              <w:left w:val="nil"/>
              <w:bottom w:val="single" w:sz="4" w:space="0" w:color="auto"/>
              <w:right w:val="single" w:sz="4" w:space="0" w:color="auto"/>
            </w:tcBorders>
            <w:shd w:val="clear" w:color="auto" w:fill="auto"/>
            <w:noWrap/>
            <w:textDirection w:val="btLr"/>
            <w:vAlign w:val="center"/>
            <w:hideMark/>
          </w:tcPr>
          <w:p w14:paraId="7C12FF54"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nil"/>
              <w:left w:val="nil"/>
              <w:bottom w:val="single" w:sz="4" w:space="0" w:color="auto"/>
              <w:right w:val="single" w:sz="4" w:space="0" w:color="auto"/>
            </w:tcBorders>
            <w:shd w:val="clear" w:color="auto" w:fill="auto"/>
            <w:noWrap/>
            <w:textDirection w:val="btLr"/>
            <w:vAlign w:val="bottom"/>
            <w:hideMark/>
          </w:tcPr>
          <w:p w14:paraId="7FDA2BC7" w14:textId="77777777" w:rsidR="006B4969" w:rsidRPr="00C2587D" w:rsidRDefault="006B4969" w:rsidP="006B4969">
            <w:pPr>
              <w:ind w:left="113" w:right="113"/>
              <w:rPr>
                <w:rFonts w:ascii="Times New Roman" w:hAnsi="Times New Roman"/>
                <w:sz w:val="20"/>
                <w:szCs w:val="20"/>
              </w:rPr>
            </w:pPr>
            <w:r w:rsidRPr="00C2587D">
              <w:rPr>
                <w:rFonts w:ascii="Times New Roman" w:hAnsi="Times New Roman"/>
                <w:sz w:val="20"/>
                <w:szCs w:val="20"/>
              </w:rPr>
              <w:t> </w:t>
            </w:r>
          </w:p>
        </w:tc>
        <w:tc>
          <w:tcPr>
            <w:tcW w:w="624" w:type="dxa"/>
            <w:tcBorders>
              <w:top w:val="nil"/>
              <w:left w:val="nil"/>
              <w:bottom w:val="single" w:sz="4" w:space="0" w:color="auto"/>
              <w:right w:val="single" w:sz="4" w:space="0" w:color="auto"/>
            </w:tcBorders>
            <w:shd w:val="clear" w:color="auto" w:fill="auto"/>
            <w:noWrap/>
            <w:textDirection w:val="btLr"/>
            <w:vAlign w:val="bottom"/>
            <w:hideMark/>
          </w:tcPr>
          <w:p w14:paraId="6FCE71A4" w14:textId="77777777" w:rsidR="006B4969" w:rsidRPr="00C2587D" w:rsidRDefault="006B4969" w:rsidP="006B4969">
            <w:pPr>
              <w:ind w:left="113" w:right="113"/>
              <w:rPr>
                <w:rFonts w:ascii="Times New Roman" w:hAnsi="Times New Roman"/>
                <w:sz w:val="20"/>
                <w:szCs w:val="20"/>
              </w:rPr>
            </w:pPr>
            <w:r w:rsidRPr="00C2587D">
              <w:rPr>
                <w:rFonts w:ascii="Times New Roman" w:hAnsi="Times New Roman"/>
                <w:sz w:val="20"/>
                <w:szCs w:val="20"/>
              </w:rPr>
              <w:t> </w:t>
            </w:r>
          </w:p>
        </w:tc>
        <w:tc>
          <w:tcPr>
            <w:tcW w:w="567" w:type="dxa"/>
            <w:tcBorders>
              <w:top w:val="nil"/>
              <w:left w:val="nil"/>
              <w:bottom w:val="single" w:sz="4" w:space="0" w:color="auto"/>
              <w:right w:val="single" w:sz="4" w:space="0" w:color="auto"/>
            </w:tcBorders>
            <w:shd w:val="clear" w:color="auto" w:fill="auto"/>
            <w:noWrap/>
            <w:textDirection w:val="btLr"/>
            <w:vAlign w:val="bottom"/>
            <w:hideMark/>
          </w:tcPr>
          <w:p w14:paraId="5DEAA6A0" w14:textId="77777777" w:rsidR="006B4969" w:rsidRPr="00C2587D" w:rsidRDefault="006B4969" w:rsidP="006B4969">
            <w:pPr>
              <w:ind w:left="113" w:right="113"/>
              <w:rPr>
                <w:rFonts w:ascii="Times New Roman" w:hAnsi="Times New Roman"/>
                <w:sz w:val="20"/>
                <w:szCs w:val="20"/>
              </w:rPr>
            </w:pPr>
            <w:r w:rsidRPr="00C2587D">
              <w:rPr>
                <w:rFonts w:ascii="Times New Roman" w:hAnsi="Times New Roman"/>
                <w:sz w:val="20"/>
                <w:szCs w:val="20"/>
              </w:rPr>
              <w:t> </w:t>
            </w:r>
          </w:p>
        </w:tc>
        <w:tc>
          <w:tcPr>
            <w:tcW w:w="1106" w:type="dxa"/>
            <w:tcBorders>
              <w:top w:val="nil"/>
              <w:left w:val="nil"/>
              <w:bottom w:val="single" w:sz="4" w:space="0" w:color="auto"/>
              <w:right w:val="single" w:sz="4" w:space="0" w:color="auto"/>
            </w:tcBorders>
            <w:shd w:val="clear" w:color="auto" w:fill="auto"/>
            <w:noWrap/>
            <w:textDirection w:val="btLr"/>
            <w:vAlign w:val="center"/>
            <w:hideMark/>
          </w:tcPr>
          <w:p w14:paraId="0E072052"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8000,00</w:t>
            </w:r>
          </w:p>
        </w:tc>
      </w:tr>
      <w:tr w:rsidR="006B4969" w:rsidRPr="00C2587D" w14:paraId="5908A4A0" w14:textId="77777777" w:rsidTr="00FF28D2">
        <w:trPr>
          <w:cantSplit/>
          <w:trHeight w:val="1134"/>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BD7936" w14:textId="74D03330" w:rsidR="006B4969" w:rsidRPr="00C2587D" w:rsidRDefault="006B4969" w:rsidP="00FF28D2">
            <w:pPr>
              <w:rPr>
                <w:rFonts w:ascii="Times New Roman" w:hAnsi="Times New Roman"/>
                <w:sz w:val="20"/>
                <w:szCs w:val="20"/>
              </w:rPr>
            </w:pPr>
            <w:r w:rsidRPr="00C2587D">
              <w:rPr>
                <w:rFonts w:ascii="Times New Roman" w:hAnsi="Times New Roman"/>
                <w:sz w:val="20"/>
                <w:szCs w:val="20"/>
              </w:rPr>
              <w:t>18</w:t>
            </w:r>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DFF8F6" w14:textId="1E0DBECE" w:rsidR="006B4969" w:rsidRPr="00C2587D" w:rsidRDefault="00DE3DCF" w:rsidP="00FF28D2">
            <w:pPr>
              <w:rPr>
                <w:rFonts w:ascii="Times New Roman" w:hAnsi="Times New Roman"/>
                <w:sz w:val="20"/>
                <w:szCs w:val="20"/>
              </w:rPr>
            </w:pPr>
            <w:r w:rsidRPr="00C2587D">
              <w:rPr>
                <w:rFonts w:ascii="Times New Roman" w:hAnsi="Times New Roman"/>
                <w:sz w:val="20"/>
                <w:szCs w:val="20"/>
              </w:rPr>
              <w:t>Діджиталізація</w:t>
            </w:r>
            <w:r w:rsidR="006B4969" w:rsidRPr="00C2587D">
              <w:rPr>
                <w:rFonts w:ascii="Times New Roman" w:hAnsi="Times New Roman"/>
                <w:sz w:val="20"/>
                <w:szCs w:val="20"/>
              </w:rPr>
              <w:t xml:space="preserve"> освіти – необхідність для розвитку країни</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435EE83B"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3200,00</w:t>
            </w:r>
          </w:p>
        </w:tc>
        <w:tc>
          <w:tcPr>
            <w:tcW w:w="850" w:type="dxa"/>
            <w:tcBorders>
              <w:top w:val="single" w:sz="4" w:space="0" w:color="auto"/>
              <w:left w:val="single" w:sz="4" w:space="0" w:color="auto"/>
              <w:bottom w:val="single" w:sz="4" w:space="0" w:color="auto"/>
              <w:right w:val="single" w:sz="4" w:space="0" w:color="auto"/>
            </w:tcBorders>
            <w:shd w:val="clear" w:color="000000" w:fill="F8CBAD"/>
            <w:noWrap/>
            <w:textDirection w:val="btLr"/>
            <w:vAlign w:val="center"/>
            <w:hideMark/>
          </w:tcPr>
          <w:p w14:paraId="2B000ACF"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1200,00</w:t>
            </w:r>
          </w:p>
        </w:tc>
        <w:tc>
          <w:tcPr>
            <w:tcW w:w="99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3BAB65D7"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300,00</w:t>
            </w:r>
          </w:p>
        </w:tc>
        <w:tc>
          <w:tcPr>
            <w:tcW w:w="851"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396EBD40"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300,00</w:t>
            </w:r>
          </w:p>
        </w:tc>
        <w:tc>
          <w:tcPr>
            <w:tcW w:w="850"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685F196A"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300,00</w:t>
            </w:r>
          </w:p>
        </w:tc>
        <w:tc>
          <w:tcPr>
            <w:tcW w:w="70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235ED731"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300,00</w:t>
            </w:r>
          </w:p>
        </w:tc>
        <w:tc>
          <w:tcPr>
            <w:tcW w:w="709" w:type="dxa"/>
            <w:tcBorders>
              <w:top w:val="single" w:sz="4" w:space="0" w:color="auto"/>
              <w:left w:val="single" w:sz="4" w:space="0" w:color="auto"/>
              <w:bottom w:val="single" w:sz="4" w:space="0" w:color="auto"/>
              <w:right w:val="single" w:sz="4" w:space="0" w:color="auto"/>
            </w:tcBorders>
            <w:shd w:val="clear" w:color="000000" w:fill="C6E0B4"/>
            <w:textDirection w:val="btLr"/>
            <w:vAlign w:val="center"/>
            <w:hideMark/>
          </w:tcPr>
          <w:p w14:paraId="08724AEC"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2000,00</w:t>
            </w:r>
          </w:p>
        </w:tc>
        <w:tc>
          <w:tcPr>
            <w:tcW w:w="70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23B0E43A"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500,00</w:t>
            </w:r>
          </w:p>
        </w:tc>
        <w:tc>
          <w:tcPr>
            <w:tcW w:w="708"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54304A27"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500,00</w:t>
            </w:r>
          </w:p>
        </w:tc>
        <w:tc>
          <w:tcPr>
            <w:tcW w:w="70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5B99A623"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500,00</w:t>
            </w:r>
          </w:p>
        </w:tc>
        <w:tc>
          <w:tcPr>
            <w:tcW w:w="70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3087831A"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500,00</w:t>
            </w:r>
          </w:p>
        </w:tc>
        <w:tc>
          <w:tcPr>
            <w:tcW w:w="567" w:type="dxa"/>
            <w:tcBorders>
              <w:top w:val="single" w:sz="4" w:space="0" w:color="auto"/>
              <w:left w:val="single" w:sz="4" w:space="0" w:color="auto"/>
              <w:bottom w:val="single" w:sz="4" w:space="0" w:color="auto"/>
              <w:right w:val="single" w:sz="4" w:space="0" w:color="auto"/>
            </w:tcBorders>
            <w:shd w:val="clear" w:color="000000" w:fill="D6DCE4"/>
            <w:textDirection w:val="btLr"/>
            <w:vAlign w:val="center"/>
            <w:hideMark/>
          </w:tcPr>
          <w:p w14:paraId="59BD55FC"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0,00</w:t>
            </w:r>
          </w:p>
        </w:tc>
        <w:tc>
          <w:tcPr>
            <w:tcW w:w="567"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4F9880B5"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288E89A1" w14:textId="77777777" w:rsidR="006B4969" w:rsidRPr="00C2587D" w:rsidRDefault="006B4969" w:rsidP="006B4969">
            <w:pPr>
              <w:ind w:left="113" w:right="113"/>
              <w:jc w:val="center"/>
              <w:rPr>
                <w:rFonts w:ascii="Times New Roman" w:hAnsi="Times New Roman"/>
                <w:sz w:val="20"/>
                <w:szCs w:val="20"/>
              </w:rPr>
            </w:pPr>
          </w:p>
        </w:tc>
        <w:tc>
          <w:tcPr>
            <w:tcW w:w="624"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7F42B236"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3CBBC1D2" w14:textId="77777777" w:rsidR="006B4969" w:rsidRPr="00C2587D" w:rsidRDefault="006B4969" w:rsidP="006B4969">
            <w:pPr>
              <w:ind w:left="113" w:right="113"/>
              <w:jc w:val="center"/>
              <w:rPr>
                <w:rFonts w:ascii="Times New Roman" w:hAnsi="Times New Roman"/>
                <w:sz w:val="20"/>
                <w:szCs w:val="20"/>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0A07670A"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3200,00</w:t>
            </w:r>
          </w:p>
        </w:tc>
      </w:tr>
      <w:tr w:rsidR="006B4969" w:rsidRPr="00C2587D" w14:paraId="6EBFE525" w14:textId="77777777" w:rsidTr="00FD3C0C">
        <w:trPr>
          <w:cantSplit/>
          <w:trHeight w:val="1161"/>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07E98" w14:textId="6964CE65" w:rsidR="006B4969" w:rsidRPr="00C2587D" w:rsidRDefault="006B4969" w:rsidP="00FF28D2">
            <w:pPr>
              <w:rPr>
                <w:rFonts w:ascii="Times New Roman" w:hAnsi="Times New Roman"/>
                <w:sz w:val="20"/>
                <w:szCs w:val="20"/>
              </w:rPr>
            </w:pPr>
            <w:r w:rsidRPr="00C2587D">
              <w:rPr>
                <w:rFonts w:ascii="Times New Roman" w:hAnsi="Times New Roman"/>
                <w:sz w:val="20"/>
                <w:szCs w:val="20"/>
              </w:rPr>
              <w:t>19</w:t>
            </w:r>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55959"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Створення нового освітнього простору як необхідної передумови підвищення якості освіти</w:t>
            </w:r>
          </w:p>
        </w:tc>
        <w:tc>
          <w:tcPr>
            <w:tcW w:w="737" w:type="dxa"/>
            <w:tcBorders>
              <w:top w:val="nil"/>
              <w:left w:val="single" w:sz="4" w:space="0" w:color="auto"/>
              <w:bottom w:val="nil"/>
              <w:right w:val="single" w:sz="4" w:space="0" w:color="auto"/>
            </w:tcBorders>
            <w:shd w:val="clear" w:color="auto" w:fill="auto"/>
            <w:textDirection w:val="btLr"/>
            <w:vAlign w:val="center"/>
            <w:hideMark/>
          </w:tcPr>
          <w:p w14:paraId="0EE173CA"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23500,00</w:t>
            </w:r>
          </w:p>
        </w:tc>
        <w:tc>
          <w:tcPr>
            <w:tcW w:w="850" w:type="dxa"/>
            <w:tcBorders>
              <w:top w:val="nil"/>
              <w:left w:val="nil"/>
              <w:bottom w:val="nil"/>
              <w:right w:val="single" w:sz="4" w:space="0" w:color="auto"/>
            </w:tcBorders>
            <w:shd w:val="clear" w:color="000000" w:fill="F8CBAD"/>
            <w:noWrap/>
            <w:textDirection w:val="btLr"/>
            <w:vAlign w:val="center"/>
            <w:hideMark/>
          </w:tcPr>
          <w:p w14:paraId="7A23D8A8"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8000,00</w:t>
            </w:r>
          </w:p>
        </w:tc>
        <w:tc>
          <w:tcPr>
            <w:tcW w:w="992" w:type="dxa"/>
            <w:tcBorders>
              <w:top w:val="single" w:sz="4" w:space="0" w:color="auto"/>
              <w:left w:val="nil"/>
              <w:bottom w:val="single" w:sz="4" w:space="0" w:color="auto"/>
              <w:right w:val="single" w:sz="4" w:space="0" w:color="000000"/>
            </w:tcBorders>
            <w:shd w:val="clear" w:color="auto" w:fill="auto"/>
            <w:noWrap/>
            <w:textDirection w:val="btLr"/>
            <w:vAlign w:val="center"/>
            <w:hideMark/>
          </w:tcPr>
          <w:p w14:paraId="4C3BA1C9"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2000,00</w:t>
            </w:r>
          </w:p>
        </w:tc>
        <w:tc>
          <w:tcPr>
            <w:tcW w:w="851" w:type="dxa"/>
            <w:tcBorders>
              <w:top w:val="nil"/>
              <w:left w:val="nil"/>
              <w:bottom w:val="nil"/>
              <w:right w:val="single" w:sz="4" w:space="0" w:color="auto"/>
            </w:tcBorders>
            <w:shd w:val="clear" w:color="auto" w:fill="auto"/>
            <w:noWrap/>
            <w:textDirection w:val="btLr"/>
            <w:vAlign w:val="center"/>
            <w:hideMark/>
          </w:tcPr>
          <w:p w14:paraId="26BA867F"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2000,00</w:t>
            </w:r>
          </w:p>
        </w:tc>
        <w:tc>
          <w:tcPr>
            <w:tcW w:w="850" w:type="dxa"/>
            <w:tcBorders>
              <w:top w:val="nil"/>
              <w:left w:val="nil"/>
              <w:bottom w:val="nil"/>
              <w:right w:val="single" w:sz="4" w:space="0" w:color="auto"/>
            </w:tcBorders>
            <w:shd w:val="clear" w:color="auto" w:fill="auto"/>
            <w:noWrap/>
            <w:textDirection w:val="btLr"/>
            <w:vAlign w:val="center"/>
            <w:hideMark/>
          </w:tcPr>
          <w:p w14:paraId="5CC66DE2"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2000,00</w:t>
            </w:r>
          </w:p>
        </w:tc>
        <w:tc>
          <w:tcPr>
            <w:tcW w:w="709" w:type="dxa"/>
            <w:tcBorders>
              <w:top w:val="nil"/>
              <w:left w:val="nil"/>
              <w:bottom w:val="nil"/>
              <w:right w:val="single" w:sz="4" w:space="0" w:color="auto"/>
            </w:tcBorders>
            <w:shd w:val="clear" w:color="auto" w:fill="auto"/>
            <w:noWrap/>
            <w:textDirection w:val="btLr"/>
            <w:vAlign w:val="center"/>
            <w:hideMark/>
          </w:tcPr>
          <w:p w14:paraId="43725656"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2000,00</w:t>
            </w:r>
          </w:p>
        </w:tc>
        <w:tc>
          <w:tcPr>
            <w:tcW w:w="709" w:type="dxa"/>
            <w:tcBorders>
              <w:top w:val="nil"/>
              <w:left w:val="nil"/>
              <w:bottom w:val="nil"/>
              <w:right w:val="single" w:sz="4" w:space="0" w:color="auto"/>
            </w:tcBorders>
            <w:shd w:val="clear" w:color="000000" w:fill="C6E0B4"/>
            <w:textDirection w:val="btLr"/>
            <w:vAlign w:val="center"/>
            <w:hideMark/>
          </w:tcPr>
          <w:p w14:paraId="1466F5EA"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15500,00</w:t>
            </w:r>
          </w:p>
        </w:tc>
        <w:tc>
          <w:tcPr>
            <w:tcW w:w="709" w:type="dxa"/>
            <w:tcBorders>
              <w:top w:val="nil"/>
              <w:left w:val="nil"/>
              <w:bottom w:val="nil"/>
              <w:right w:val="single" w:sz="4" w:space="0" w:color="auto"/>
            </w:tcBorders>
            <w:shd w:val="clear" w:color="auto" w:fill="auto"/>
            <w:noWrap/>
            <w:textDirection w:val="btLr"/>
            <w:vAlign w:val="center"/>
            <w:hideMark/>
          </w:tcPr>
          <w:p w14:paraId="4CF4CF39"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6500,00</w:t>
            </w:r>
          </w:p>
        </w:tc>
        <w:tc>
          <w:tcPr>
            <w:tcW w:w="708" w:type="dxa"/>
            <w:tcBorders>
              <w:top w:val="nil"/>
              <w:left w:val="nil"/>
              <w:bottom w:val="nil"/>
              <w:right w:val="single" w:sz="4" w:space="0" w:color="auto"/>
            </w:tcBorders>
            <w:shd w:val="clear" w:color="auto" w:fill="auto"/>
            <w:noWrap/>
            <w:textDirection w:val="btLr"/>
            <w:vAlign w:val="center"/>
            <w:hideMark/>
          </w:tcPr>
          <w:p w14:paraId="66BEA6E8"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3000,00</w:t>
            </w:r>
          </w:p>
        </w:tc>
        <w:tc>
          <w:tcPr>
            <w:tcW w:w="709" w:type="dxa"/>
            <w:tcBorders>
              <w:top w:val="nil"/>
              <w:left w:val="nil"/>
              <w:bottom w:val="nil"/>
              <w:right w:val="single" w:sz="4" w:space="0" w:color="auto"/>
            </w:tcBorders>
            <w:shd w:val="clear" w:color="auto" w:fill="auto"/>
            <w:noWrap/>
            <w:textDirection w:val="btLr"/>
            <w:vAlign w:val="center"/>
            <w:hideMark/>
          </w:tcPr>
          <w:p w14:paraId="3B15ED05"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3000,00</w:t>
            </w:r>
          </w:p>
        </w:tc>
        <w:tc>
          <w:tcPr>
            <w:tcW w:w="709" w:type="dxa"/>
            <w:tcBorders>
              <w:top w:val="nil"/>
              <w:left w:val="nil"/>
              <w:bottom w:val="nil"/>
              <w:right w:val="single" w:sz="4" w:space="0" w:color="auto"/>
            </w:tcBorders>
            <w:shd w:val="clear" w:color="auto" w:fill="auto"/>
            <w:noWrap/>
            <w:textDirection w:val="btLr"/>
            <w:vAlign w:val="center"/>
            <w:hideMark/>
          </w:tcPr>
          <w:p w14:paraId="5332B161"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3000,00</w:t>
            </w:r>
          </w:p>
        </w:tc>
        <w:tc>
          <w:tcPr>
            <w:tcW w:w="567" w:type="dxa"/>
            <w:tcBorders>
              <w:top w:val="nil"/>
              <w:left w:val="nil"/>
              <w:bottom w:val="nil"/>
              <w:right w:val="single" w:sz="4" w:space="0" w:color="auto"/>
            </w:tcBorders>
            <w:shd w:val="clear" w:color="000000" w:fill="D6DCE4"/>
            <w:textDirection w:val="btLr"/>
            <w:vAlign w:val="center"/>
            <w:hideMark/>
          </w:tcPr>
          <w:p w14:paraId="5ACBCAE6"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0,00</w:t>
            </w:r>
          </w:p>
        </w:tc>
        <w:tc>
          <w:tcPr>
            <w:tcW w:w="567" w:type="dxa"/>
            <w:tcBorders>
              <w:top w:val="nil"/>
              <w:left w:val="nil"/>
              <w:bottom w:val="nil"/>
              <w:right w:val="single" w:sz="4" w:space="0" w:color="auto"/>
            </w:tcBorders>
            <w:shd w:val="clear" w:color="auto" w:fill="auto"/>
            <w:noWrap/>
            <w:textDirection w:val="btLr"/>
            <w:vAlign w:val="center"/>
            <w:hideMark/>
          </w:tcPr>
          <w:p w14:paraId="5733D2A3"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nil"/>
              <w:left w:val="nil"/>
              <w:bottom w:val="nil"/>
              <w:right w:val="single" w:sz="4" w:space="0" w:color="auto"/>
            </w:tcBorders>
            <w:shd w:val="clear" w:color="auto" w:fill="auto"/>
            <w:noWrap/>
            <w:textDirection w:val="btLr"/>
            <w:vAlign w:val="center"/>
            <w:hideMark/>
          </w:tcPr>
          <w:p w14:paraId="7A24A56E" w14:textId="77777777" w:rsidR="006B4969" w:rsidRPr="00C2587D" w:rsidRDefault="006B4969" w:rsidP="006B4969">
            <w:pPr>
              <w:ind w:left="113" w:right="113"/>
              <w:jc w:val="center"/>
              <w:rPr>
                <w:rFonts w:ascii="Times New Roman" w:hAnsi="Times New Roman"/>
                <w:sz w:val="20"/>
                <w:szCs w:val="20"/>
              </w:rPr>
            </w:pPr>
          </w:p>
        </w:tc>
        <w:tc>
          <w:tcPr>
            <w:tcW w:w="624" w:type="dxa"/>
            <w:tcBorders>
              <w:top w:val="nil"/>
              <w:left w:val="nil"/>
              <w:bottom w:val="nil"/>
              <w:right w:val="single" w:sz="4" w:space="0" w:color="auto"/>
            </w:tcBorders>
            <w:shd w:val="clear" w:color="auto" w:fill="auto"/>
            <w:noWrap/>
            <w:textDirection w:val="btLr"/>
            <w:vAlign w:val="center"/>
            <w:hideMark/>
          </w:tcPr>
          <w:p w14:paraId="6AEB7494" w14:textId="77777777" w:rsidR="006B4969" w:rsidRPr="00C2587D" w:rsidRDefault="006B4969" w:rsidP="006B4969">
            <w:pPr>
              <w:ind w:left="113" w:right="113"/>
              <w:jc w:val="center"/>
              <w:rPr>
                <w:rFonts w:ascii="Times New Roman" w:hAnsi="Times New Roman"/>
                <w:sz w:val="20"/>
                <w:szCs w:val="20"/>
              </w:rPr>
            </w:pPr>
          </w:p>
        </w:tc>
        <w:tc>
          <w:tcPr>
            <w:tcW w:w="567" w:type="dxa"/>
            <w:tcBorders>
              <w:top w:val="nil"/>
              <w:left w:val="nil"/>
              <w:bottom w:val="nil"/>
              <w:right w:val="single" w:sz="4" w:space="0" w:color="auto"/>
            </w:tcBorders>
            <w:shd w:val="clear" w:color="auto" w:fill="auto"/>
            <w:noWrap/>
            <w:textDirection w:val="btLr"/>
            <w:vAlign w:val="center"/>
            <w:hideMark/>
          </w:tcPr>
          <w:p w14:paraId="65E44946" w14:textId="77777777" w:rsidR="006B4969" w:rsidRPr="00C2587D" w:rsidRDefault="006B4969" w:rsidP="006B4969">
            <w:pPr>
              <w:ind w:left="113" w:right="113"/>
              <w:jc w:val="center"/>
              <w:rPr>
                <w:rFonts w:ascii="Times New Roman" w:hAnsi="Times New Roman"/>
                <w:sz w:val="20"/>
                <w:szCs w:val="20"/>
              </w:rPr>
            </w:pPr>
          </w:p>
        </w:tc>
        <w:tc>
          <w:tcPr>
            <w:tcW w:w="1106" w:type="dxa"/>
            <w:tcBorders>
              <w:top w:val="nil"/>
              <w:left w:val="nil"/>
              <w:bottom w:val="nil"/>
              <w:right w:val="single" w:sz="4" w:space="0" w:color="auto"/>
            </w:tcBorders>
            <w:shd w:val="clear" w:color="auto" w:fill="auto"/>
            <w:noWrap/>
            <w:textDirection w:val="btLr"/>
            <w:vAlign w:val="center"/>
            <w:hideMark/>
          </w:tcPr>
          <w:p w14:paraId="01DBF7D9"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23500,00</w:t>
            </w:r>
          </w:p>
        </w:tc>
      </w:tr>
      <w:tr w:rsidR="00FD3C0C" w:rsidRPr="00C2587D" w14:paraId="71ECC7A3" w14:textId="77777777" w:rsidTr="00FD3C0C">
        <w:trPr>
          <w:cantSplit/>
          <w:trHeight w:val="433"/>
        </w:trPr>
        <w:tc>
          <w:tcPr>
            <w:tcW w:w="15175" w:type="dxa"/>
            <w:gridSpan w:val="19"/>
            <w:tcBorders>
              <w:top w:val="single" w:sz="4" w:space="0" w:color="auto"/>
              <w:left w:val="single" w:sz="4" w:space="0" w:color="auto"/>
              <w:bottom w:val="single" w:sz="4" w:space="0" w:color="auto"/>
              <w:right w:val="single" w:sz="4" w:space="0" w:color="auto"/>
            </w:tcBorders>
            <w:shd w:val="clear" w:color="auto" w:fill="auto"/>
            <w:noWrap/>
            <w:vAlign w:val="center"/>
          </w:tcPr>
          <w:p w14:paraId="755C5318" w14:textId="7D308927" w:rsidR="00FD3C0C" w:rsidRPr="00C2587D" w:rsidRDefault="00FD3C0C" w:rsidP="006B4969">
            <w:pPr>
              <w:ind w:left="113" w:right="113"/>
              <w:jc w:val="center"/>
              <w:rPr>
                <w:rFonts w:ascii="Times New Roman" w:hAnsi="Times New Roman"/>
                <w:b/>
                <w:sz w:val="20"/>
                <w:szCs w:val="20"/>
              </w:rPr>
            </w:pPr>
            <w:r>
              <w:rPr>
                <w:rFonts w:ascii="Times New Roman" w:hAnsi="Times New Roman"/>
                <w:b/>
                <w:sz w:val="20"/>
                <w:szCs w:val="20"/>
              </w:rPr>
              <w:t>Управління ЖКГ</w:t>
            </w:r>
            <w:r w:rsidRPr="00FD3C0C">
              <w:rPr>
                <w:rFonts w:ascii="Times New Roman" w:hAnsi="Times New Roman"/>
                <w:b/>
                <w:sz w:val="20"/>
                <w:szCs w:val="20"/>
              </w:rPr>
              <w:t xml:space="preserve"> міської ради</w:t>
            </w:r>
          </w:p>
        </w:tc>
      </w:tr>
      <w:tr w:rsidR="00FD3C0C" w:rsidRPr="00C2587D" w14:paraId="24B6557F" w14:textId="77777777" w:rsidTr="00FF28D2">
        <w:trPr>
          <w:cantSplit/>
          <w:trHeight w:val="1161"/>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A14067" w14:textId="63A12421" w:rsidR="00FD3C0C" w:rsidRPr="00C2587D" w:rsidRDefault="00050DDF" w:rsidP="00FF28D2">
            <w:pPr>
              <w:rPr>
                <w:rFonts w:ascii="Times New Roman" w:hAnsi="Times New Roman"/>
                <w:sz w:val="20"/>
                <w:szCs w:val="20"/>
              </w:rPr>
            </w:pPr>
            <w:r>
              <w:rPr>
                <w:rFonts w:ascii="Times New Roman" w:hAnsi="Times New Roman"/>
                <w:sz w:val="20"/>
                <w:szCs w:val="20"/>
              </w:rPr>
              <w:t>1</w:t>
            </w:r>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tcPr>
          <w:p w14:paraId="49309AA4" w14:textId="1B2132A8" w:rsidR="00FD3C0C" w:rsidRPr="00C2587D" w:rsidRDefault="00050DDF" w:rsidP="00FF28D2">
            <w:pPr>
              <w:rPr>
                <w:rFonts w:ascii="Times New Roman" w:hAnsi="Times New Roman"/>
                <w:sz w:val="20"/>
                <w:szCs w:val="20"/>
              </w:rPr>
            </w:pPr>
            <w:r w:rsidRPr="00050DDF">
              <w:rPr>
                <w:rFonts w:ascii="Times New Roman" w:hAnsi="Times New Roman"/>
                <w:sz w:val="20"/>
                <w:szCs w:val="20"/>
              </w:rPr>
              <w:t>Безбар’єрний освітній простір Жмеринського вищого професійного училища</w:t>
            </w:r>
          </w:p>
        </w:tc>
        <w:tc>
          <w:tcPr>
            <w:tcW w:w="737" w:type="dxa"/>
            <w:tcBorders>
              <w:top w:val="nil"/>
              <w:left w:val="single" w:sz="4" w:space="0" w:color="auto"/>
              <w:bottom w:val="single" w:sz="4" w:space="0" w:color="auto"/>
              <w:right w:val="single" w:sz="4" w:space="0" w:color="auto"/>
            </w:tcBorders>
            <w:shd w:val="clear" w:color="auto" w:fill="auto"/>
            <w:textDirection w:val="btLr"/>
            <w:vAlign w:val="center"/>
          </w:tcPr>
          <w:p w14:paraId="68A95CA5" w14:textId="37F402AB" w:rsidR="00FD3C0C" w:rsidRPr="00C2587D" w:rsidRDefault="00050DDF" w:rsidP="006B4969">
            <w:pPr>
              <w:ind w:left="113" w:right="113"/>
              <w:jc w:val="center"/>
              <w:rPr>
                <w:rFonts w:ascii="Times New Roman" w:hAnsi="Times New Roman"/>
                <w:b/>
                <w:sz w:val="20"/>
                <w:szCs w:val="20"/>
              </w:rPr>
            </w:pPr>
            <w:r>
              <w:rPr>
                <w:rFonts w:ascii="Times New Roman" w:hAnsi="Times New Roman"/>
                <w:b/>
                <w:sz w:val="20"/>
                <w:szCs w:val="20"/>
              </w:rPr>
              <w:t>1100,00</w:t>
            </w:r>
          </w:p>
        </w:tc>
        <w:tc>
          <w:tcPr>
            <w:tcW w:w="850" w:type="dxa"/>
            <w:tcBorders>
              <w:top w:val="nil"/>
              <w:left w:val="nil"/>
              <w:bottom w:val="single" w:sz="4" w:space="0" w:color="auto"/>
              <w:right w:val="single" w:sz="4" w:space="0" w:color="auto"/>
            </w:tcBorders>
            <w:shd w:val="clear" w:color="000000" w:fill="F8CBAD"/>
            <w:noWrap/>
            <w:textDirection w:val="btLr"/>
            <w:vAlign w:val="center"/>
          </w:tcPr>
          <w:p w14:paraId="44540254" w14:textId="1AC8DC1E" w:rsidR="00FD3C0C" w:rsidRPr="00C2587D" w:rsidRDefault="00050DDF" w:rsidP="00050DDF">
            <w:pPr>
              <w:ind w:left="113" w:right="113"/>
              <w:jc w:val="center"/>
              <w:rPr>
                <w:rFonts w:ascii="Times New Roman" w:hAnsi="Times New Roman"/>
                <w:sz w:val="20"/>
                <w:szCs w:val="20"/>
              </w:rPr>
            </w:pPr>
            <w:r>
              <w:rPr>
                <w:rFonts w:ascii="Times New Roman" w:hAnsi="Times New Roman"/>
                <w:sz w:val="20"/>
                <w:szCs w:val="20"/>
              </w:rPr>
              <w:t>325,00</w:t>
            </w:r>
          </w:p>
        </w:tc>
        <w:tc>
          <w:tcPr>
            <w:tcW w:w="992" w:type="dxa"/>
            <w:tcBorders>
              <w:top w:val="single" w:sz="4" w:space="0" w:color="auto"/>
              <w:left w:val="nil"/>
              <w:bottom w:val="single" w:sz="4" w:space="0" w:color="auto"/>
              <w:right w:val="single" w:sz="4" w:space="0" w:color="000000"/>
            </w:tcBorders>
            <w:shd w:val="clear" w:color="auto" w:fill="auto"/>
            <w:noWrap/>
            <w:textDirection w:val="btLr"/>
            <w:vAlign w:val="center"/>
          </w:tcPr>
          <w:p w14:paraId="65EA28EE" w14:textId="39369D86" w:rsidR="00FD3C0C" w:rsidRPr="00C2587D" w:rsidRDefault="00050DDF" w:rsidP="006B4969">
            <w:pPr>
              <w:ind w:left="113" w:right="113"/>
              <w:jc w:val="center"/>
              <w:rPr>
                <w:rFonts w:ascii="Times New Roman" w:hAnsi="Times New Roman"/>
                <w:sz w:val="20"/>
                <w:szCs w:val="20"/>
              </w:rPr>
            </w:pPr>
            <w:r>
              <w:rPr>
                <w:rFonts w:ascii="Times New Roman" w:hAnsi="Times New Roman"/>
                <w:sz w:val="20"/>
                <w:szCs w:val="20"/>
              </w:rPr>
              <w:t>25,00</w:t>
            </w:r>
          </w:p>
        </w:tc>
        <w:tc>
          <w:tcPr>
            <w:tcW w:w="851" w:type="dxa"/>
            <w:tcBorders>
              <w:top w:val="nil"/>
              <w:left w:val="nil"/>
              <w:bottom w:val="single" w:sz="4" w:space="0" w:color="auto"/>
              <w:right w:val="single" w:sz="4" w:space="0" w:color="auto"/>
            </w:tcBorders>
            <w:shd w:val="clear" w:color="auto" w:fill="auto"/>
            <w:noWrap/>
            <w:textDirection w:val="btLr"/>
            <w:vAlign w:val="center"/>
          </w:tcPr>
          <w:p w14:paraId="63311930" w14:textId="609182C1" w:rsidR="00FD3C0C" w:rsidRPr="00C2587D" w:rsidRDefault="00050DDF" w:rsidP="006B4969">
            <w:pPr>
              <w:ind w:left="113" w:right="113"/>
              <w:jc w:val="center"/>
              <w:rPr>
                <w:rFonts w:ascii="Times New Roman" w:hAnsi="Times New Roman"/>
                <w:sz w:val="20"/>
                <w:szCs w:val="20"/>
              </w:rPr>
            </w:pPr>
            <w:r>
              <w:rPr>
                <w:rFonts w:ascii="Times New Roman" w:hAnsi="Times New Roman"/>
                <w:sz w:val="20"/>
                <w:szCs w:val="20"/>
              </w:rPr>
              <w:t>50,00</w:t>
            </w:r>
          </w:p>
        </w:tc>
        <w:tc>
          <w:tcPr>
            <w:tcW w:w="850" w:type="dxa"/>
            <w:tcBorders>
              <w:top w:val="nil"/>
              <w:left w:val="nil"/>
              <w:bottom w:val="single" w:sz="4" w:space="0" w:color="auto"/>
              <w:right w:val="single" w:sz="4" w:space="0" w:color="auto"/>
            </w:tcBorders>
            <w:shd w:val="clear" w:color="auto" w:fill="auto"/>
            <w:noWrap/>
            <w:textDirection w:val="btLr"/>
            <w:vAlign w:val="center"/>
          </w:tcPr>
          <w:p w14:paraId="6DA02166" w14:textId="6DE8765D" w:rsidR="00FD3C0C" w:rsidRPr="00C2587D" w:rsidRDefault="00050DDF" w:rsidP="006B4969">
            <w:pPr>
              <w:ind w:left="113" w:right="113"/>
              <w:jc w:val="center"/>
              <w:rPr>
                <w:rFonts w:ascii="Times New Roman" w:hAnsi="Times New Roman"/>
                <w:sz w:val="20"/>
                <w:szCs w:val="20"/>
              </w:rPr>
            </w:pPr>
            <w:r>
              <w:rPr>
                <w:rFonts w:ascii="Times New Roman" w:hAnsi="Times New Roman"/>
                <w:sz w:val="20"/>
                <w:szCs w:val="20"/>
              </w:rPr>
              <w:t>150,00</w:t>
            </w:r>
          </w:p>
        </w:tc>
        <w:tc>
          <w:tcPr>
            <w:tcW w:w="709" w:type="dxa"/>
            <w:tcBorders>
              <w:top w:val="nil"/>
              <w:left w:val="nil"/>
              <w:bottom w:val="single" w:sz="4" w:space="0" w:color="auto"/>
              <w:right w:val="single" w:sz="4" w:space="0" w:color="auto"/>
            </w:tcBorders>
            <w:shd w:val="clear" w:color="auto" w:fill="auto"/>
            <w:noWrap/>
            <w:textDirection w:val="btLr"/>
            <w:vAlign w:val="center"/>
          </w:tcPr>
          <w:p w14:paraId="332E3387" w14:textId="680F94F8" w:rsidR="00FD3C0C" w:rsidRPr="00C2587D" w:rsidRDefault="00050DDF" w:rsidP="006B4969">
            <w:pPr>
              <w:ind w:left="113" w:right="113"/>
              <w:jc w:val="center"/>
              <w:rPr>
                <w:rFonts w:ascii="Times New Roman" w:hAnsi="Times New Roman"/>
                <w:sz w:val="20"/>
                <w:szCs w:val="20"/>
              </w:rPr>
            </w:pPr>
            <w:r>
              <w:rPr>
                <w:rFonts w:ascii="Times New Roman" w:hAnsi="Times New Roman"/>
                <w:sz w:val="20"/>
                <w:szCs w:val="20"/>
              </w:rPr>
              <w:t>100,00</w:t>
            </w:r>
          </w:p>
        </w:tc>
        <w:tc>
          <w:tcPr>
            <w:tcW w:w="709" w:type="dxa"/>
            <w:tcBorders>
              <w:top w:val="nil"/>
              <w:left w:val="nil"/>
              <w:bottom w:val="single" w:sz="4" w:space="0" w:color="auto"/>
              <w:right w:val="single" w:sz="4" w:space="0" w:color="auto"/>
            </w:tcBorders>
            <w:shd w:val="clear" w:color="000000" w:fill="C6E0B4"/>
            <w:textDirection w:val="btLr"/>
            <w:vAlign w:val="center"/>
          </w:tcPr>
          <w:p w14:paraId="0E7B840F" w14:textId="77777777" w:rsidR="00FD3C0C" w:rsidRPr="00C2587D" w:rsidRDefault="00FD3C0C" w:rsidP="006B4969">
            <w:pPr>
              <w:ind w:left="113" w:right="113"/>
              <w:jc w:val="center"/>
              <w:rPr>
                <w:rFonts w:ascii="Times New Roman" w:hAnsi="Times New Roman"/>
                <w:sz w:val="20"/>
                <w:szCs w:val="20"/>
              </w:rPr>
            </w:pPr>
          </w:p>
        </w:tc>
        <w:tc>
          <w:tcPr>
            <w:tcW w:w="709" w:type="dxa"/>
            <w:tcBorders>
              <w:top w:val="nil"/>
              <w:left w:val="nil"/>
              <w:bottom w:val="single" w:sz="4" w:space="0" w:color="auto"/>
              <w:right w:val="single" w:sz="4" w:space="0" w:color="auto"/>
            </w:tcBorders>
            <w:shd w:val="clear" w:color="auto" w:fill="auto"/>
            <w:noWrap/>
            <w:textDirection w:val="btLr"/>
            <w:vAlign w:val="center"/>
          </w:tcPr>
          <w:p w14:paraId="3385E7E6" w14:textId="77777777" w:rsidR="00FD3C0C" w:rsidRPr="00C2587D" w:rsidRDefault="00FD3C0C" w:rsidP="006B4969">
            <w:pPr>
              <w:ind w:left="113" w:right="113"/>
              <w:jc w:val="center"/>
              <w:rPr>
                <w:rFonts w:ascii="Times New Roman" w:hAnsi="Times New Roman"/>
                <w:sz w:val="20"/>
                <w:szCs w:val="20"/>
              </w:rPr>
            </w:pPr>
          </w:p>
        </w:tc>
        <w:tc>
          <w:tcPr>
            <w:tcW w:w="708" w:type="dxa"/>
            <w:tcBorders>
              <w:top w:val="nil"/>
              <w:left w:val="nil"/>
              <w:bottom w:val="single" w:sz="4" w:space="0" w:color="auto"/>
              <w:right w:val="single" w:sz="4" w:space="0" w:color="auto"/>
            </w:tcBorders>
            <w:shd w:val="clear" w:color="auto" w:fill="auto"/>
            <w:noWrap/>
            <w:textDirection w:val="btLr"/>
            <w:vAlign w:val="center"/>
          </w:tcPr>
          <w:p w14:paraId="331E4217" w14:textId="77777777" w:rsidR="00FD3C0C" w:rsidRPr="00C2587D" w:rsidRDefault="00FD3C0C" w:rsidP="006B4969">
            <w:pPr>
              <w:ind w:left="113" w:right="113"/>
              <w:jc w:val="center"/>
              <w:rPr>
                <w:rFonts w:ascii="Times New Roman" w:hAnsi="Times New Roman"/>
                <w:sz w:val="20"/>
                <w:szCs w:val="20"/>
              </w:rPr>
            </w:pPr>
          </w:p>
        </w:tc>
        <w:tc>
          <w:tcPr>
            <w:tcW w:w="709" w:type="dxa"/>
            <w:tcBorders>
              <w:top w:val="nil"/>
              <w:left w:val="nil"/>
              <w:bottom w:val="single" w:sz="4" w:space="0" w:color="auto"/>
              <w:right w:val="single" w:sz="4" w:space="0" w:color="auto"/>
            </w:tcBorders>
            <w:shd w:val="clear" w:color="auto" w:fill="auto"/>
            <w:noWrap/>
            <w:textDirection w:val="btLr"/>
            <w:vAlign w:val="center"/>
          </w:tcPr>
          <w:p w14:paraId="2ADA3689" w14:textId="77777777" w:rsidR="00FD3C0C" w:rsidRPr="00C2587D" w:rsidRDefault="00FD3C0C" w:rsidP="006B4969">
            <w:pPr>
              <w:ind w:left="113" w:right="113"/>
              <w:jc w:val="center"/>
              <w:rPr>
                <w:rFonts w:ascii="Times New Roman" w:hAnsi="Times New Roman"/>
                <w:sz w:val="20"/>
                <w:szCs w:val="20"/>
              </w:rPr>
            </w:pPr>
          </w:p>
        </w:tc>
        <w:tc>
          <w:tcPr>
            <w:tcW w:w="709" w:type="dxa"/>
            <w:tcBorders>
              <w:top w:val="nil"/>
              <w:left w:val="nil"/>
              <w:bottom w:val="single" w:sz="4" w:space="0" w:color="auto"/>
              <w:right w:val="single" w:sz="4" w:space="0" w:color="auto"/>
            </w:tcBorders>
            <w:shd w:val="clear" w:color="auto" w:fill="auto"/>
            <w:noWrap/>
            <w:textDirection w:val="btLr"/>
            <w:vAlign w:val="center"/>
          </w:tcPr>
          <w:p w14:paraId="106AF8DE" w14:textId="77777777" w:rsidR="00FD3C0C" w:rsidRPr="00C2587D" w:rsidRDefault="00FD3C0C" w:rsidP="006B4969">
            <w:pPr>
              <w:ind w:left="113" w:right="113"/>
              <w:jc w:val="center"/>
              <w:rPr>
                <w:rFonts w:ascii="Times New Roman" w:hAnsi="Times New Roman"/>
                <w:sz w:val="20"/>
                <w:szCs w:val="20"/>
              </w:rPr>
            </w:pPr>
          </w:p>
        </w:tc>
        <w:tc>
          <w:tcPr>
            <w:tcW w:w="567" w:type="dxa"/>
            <w:tcBorders>
              <w:top w:val="nil"/>
              <w:left w:val="nil"/>
              <w:bottom w:val="single" w:sz="4" w:space="0" w:color="auto"/>
              <w:right w:val="single" w:sz="4" w:space="0" w:color="auto"/>
            </w:tcBorders>
            <w:shd w:val="clear" w:color="000000" w:fill="D6DCE4"/>
            <w:textDirection w:val="btLr"/>
            <w:vAlign w:val="center"/>
          </w:tcPr>
          <w:p w14:paraId="72DA20FB" w14:textId="76B405DD" w:rsidR="00FD3C0C" w:rsidRPr="00C2587D" w:rsidRDefault="00E86E18" w:rsidP="006B4969">
            <w:pPr>
              <w:ind w:left="113" w:right="113"/>
              <w:jc w:val="center"/>
              <w:rPr>
                <w:rFonts w:ascii="Times New Roman" w:hAnsi="Times New Roman"/>
                <w:sz w:val="20"/>
                <w:szCs w:val="20"/>
              </w:rPr>
            </w:pPr>
            <w:r>
              <w:rPr>
                <w:rFonts w:ascii="Times New Roman" w:hAnsi="Times New Roman"/>
                <w:sz w:val="20"/>
                <w:szCs w:val="20"/>
              </w:rPr>
              <w:t>775,00</w:t>
            </w:r>
          </w:p>
        </w:tc>
        <w:tc>
          <w:tcPr>
            <w:tcW w:w="567" w:type="dxa"/>
            <w:tcBorders>
              <w:top w:val="nil"/>
              <w:left w:val="nil"/>
              <w:bottom w:val="single" w:sz="4" w:space="0" w:color="auto"/>
              <w:right w:val="single" w:sz="4" w:space="0" w:color="auto"/>
            </w:tcBorders>
            <w:shd w:val="clear" w:color="auto" w:fill="auto"/>
            <w:noWrap/>
            <w:textDirection w:val="btLr"/>
            <w:vAlign w:val="center"/>
          </w:tcPr>
          <w:p w14:paraId="35303033" w14:textId="38D2D3D9" w:rsidR="00FD3C0C" w:rsidRPr="00C2587D" w:rsidRDefault="00050DDF" w:rsidP="006B4969">
            <w:pPr>
              <w:ind w:left="113" w:right="113"/>
              <w:jc w:val="center"/>
              <w:rPr>
                <w:rFonts w:ascii="Times New Roman" w:hAnsi="Times New Roman"/>
                <w:sz w:val="20"/>
                <w:szCs w:val="20"/>
              </w:rPr>
            </w:pPr>
            <w:r>
              <w:rPr>
                <w:rFonts w:ascii="Times New Roman" w:hAnsi="Times New Roman"/>
                <w:sz w:val="20"/>
                <w:szCs w:val="20"/>
              </w:rPr>
              <w:t>25,00</w:t>
            </w:r>
          </w:p>
        </w:tc>
        <w:tc>
          <w:tcPr>
            <w:tcW w:w="567" w:type="dxa"/>
            <w:tcBorders>
              <w:top w:val="nil"/>
              <w:left w:val="nil"/>
              <w:bottom w:val="single" w:sz="4" w:space="0" w:color="auto"/>
              <w:right w:val="single" w:sz="4" w:space="0" w:color="auto"/>
            </w:tcBorders>
            <w:shd w:val="clear" w:color="auto" w:fill="auto"/>
            <w:noWrap/>
            <w:textDirection w:val="btLr"/>
            <w:vAlign w:val="center"/>
          </w:tcPr>
          <w:p w14:paraId="14B5E77A" w14:textId="7C2A4CF9" w:rsidR="00FD3C0C" w:rsidRPr="00C2587D" w:rsidRDefault="00E86E18" w:rsidP="006B4969">
            <w:pPr>
              <w:ind w:left="113" w:right="113"/>
              <w:jc w:val="center"/>
              <w:rPr>
                <w:rFonts w:ascii="Times New Roman" w:hAnsi="Times New Roman"/>
                <w:sz w:val="20"/>
                <w:szCs w:val="20"/>
              </w:rPr>
            </w:pPr>
            <w:r>
              <w:rPr>
                <w:rFonts w:ascii="Times New Roman" w:hAnsi="Times New Roman"/>
                <w:sz w:val="20"/>
                <w:szCs w:val="20"/>
              </w:rPr>
              <w:t>2</w:t>
            </w:r>
            <w:r w:rsidR="00050DDF">
              <w:rPr>
                <w:rFonts w:ascii="Times New Roman" w:hAnsi="Times New Roman"/>
                <w:sz w:val="20"/>
                <w:szCs w:val="20"/>
              </w:rPr>
              <w:t>50,00</w:t>
            </w:r>
          </w:p>
        </w:tc>
        <w:tc>
          <w:tcPr>
            <w:tcW w:w="624" w:type="dxa"/>
            <w:tcBorders>
              <w:top w:val="nil"/>
              <w:left w:val="nil"/>
              <w:bottom w:val="single" w:sz="4" w:space="0" w:color="auto"/>
              <w:right w:val="single" w:sz="4" w:space="0" w:color="auto"/>
            </w:tcBorders>
            <w:shd w:val="clear" w:color="auto" w:fill="auto"/>
            <w:noWrap/>
            <w:textDirection w:val="btLr"/>
            <w:vAlign w:val="center"/>
          </w:tcPr>
          <w:p w14:paraId="217DE9B8" w14:textId="1A85DA3E" w:rsidR="00FD3C0C" w:rsidRPr="00C2587D" w:rsidRDefault="00E86E18" w:rsidP="006B4969">
            <w:pPr>
              <w:ind w:left="113" w:right="113"/>
              <w:jc w:val="center"/>
              <w:rPr>
                <w:rFonts w:ascii="Times New Roman" w:hAnsi="Times New Roman"/>
                <w:sz w:val="20"/>
                <w:szCs w:val="20"/>
              </w:rPr>
            </w:pPr>
            <w:r>
              <w:rPr>
                <w:rFonts w:ascii="Times New Roman" w:hAnsi="Times New Roman"/>
                <w:sz w:val="20"/>
                <w:szCs w:val="20"/>
              </w:rPr>
              <w:t>20</w:t>
            </w:r>
            <w:r w:rsidR="00050DDF">
              <w:rPr>
                <w:rFonts w:ascii="Times New Roman" w:hAnsi="Times New Roman"/>
                <w:sz w:val="20"/>
                <w:szCs w:val="20"/>
              </w:rPr>
              <w:t>0,00</w:t>
            </w:r>
          </w:p>
        </w:tc>
        <w:tc>
          <w:tcPr>
            <w:tcW w:w="567" w:type="dxa"/>
            <w:tcBorders>
              <w:top w:val="nil"/>
              <w:left w:val="nil"/>
              <w:bottom w:val="single" w:sz="4" w:space="0" w:color="auto"/>
              <w:right w:val="single" w:sz="4" w:space="0" w:color="auto"/>
            </w:tcBorders>
            <w:shd w:val="clear" w:color="auto" w:fill="auto"/>
            <w:noWrap/>
            <w:textDirection w:val="btLr"/>
            <w:vAlign w:val="center"/>
          </w:tcPr>
          <w:p w14:paraId="767C0CBC" w14:textId="03A540B3" w:rsidR="00FD3C0C" w:rsidRPr="00C2587D" w:rsidRDefault="00E86E18" w:rsidP="006B4969">
            <w:pPr>
              <w:ind w:left="113" w:right="113"/>
              <w:jc w:val="center"/>
              <w:rPr>
                <w:rFonts w:ascii="Times New Roman" w:hAnsi="Times New Roman"/>
                <w:sz w:val="20"/>
                <w:szCs w:val="20"/>
              </w:rPr>
            </w:pPr>
            <w:r>
              <w:rPr>
                <w:rFonts w:ascii="Times New Roman" w:hAnsi="Times New Roman"/>
                <w:sz w:val="20"/>
                <w:szCs w:val="20"/>
              </w:rPr>
              <w:t>3</w:t>
            </w:r>
            <w:r w:rsidR="00050DDF">
              <w:rPr>
                <w:rFonts w:ascii="Times New Roman" w:hAnsi="Times New Roman"/>
                <w:sz w:val="20"/>
                <w:szCs w:val="20"/>
              </w:rPr>
              <w:t>00,00</w:t>
            </w:r>
          </w:p>
        </w:tc>
        <w:tc>
          <w:tcPr>
            <w:tcW w:w="1106" w:type="dxa"/>
            <w:tcBorders>
              <w:top w:val="nil"/>
              <w:left w:val="nil"/>
              <w:bottom w:val="single" w:sz="4" w:space="0" w:color="auto"/>
              <w:right w:val="single" w:sz="4" w:space="0" w:color="auto"/>
            </w:tcBorders>
            <w:shd w:val="clear" w:color="auto" w:fill="auto"/>
            <w:noWrap/>
            <w:textDirection w:val="btLr"/>
            <w:vAlign w:val="center"/>
          </w:tcPr>
          <w:p w14:paraId="100180C9" w14:textId="7351EA17" w:rsidR="00FD3C0C" w:rsidRPr="00C2587D" w:rsidRDefault="00E86E18" w:rsidP="006B4969">
            <w:pPr>
              <w:ind w:left="113" w:right="113"/>
              <w:jc w:val="center"/>
              <w:rPr>
                <w:rFonts w:ascii="Times New Roman" w:hAnsi="Times New Roman"/>
                <w:b/>
                <w:sz w:val="20"/>
                <w:szCs w:val="20"/>
              </w:rPr>
            </w:pPr>
            <w:r>
              <w:rPr>
                <w:rFonts w:ascii="Times New Roman" w:hAnsi="Times New Roman"/>
                <w:b/>
                <w:sz w:val="20"/>
                <w:szCs w:val="20"/>
              </w:rPr>
              <w:t>1100,00</w:t>
            </w:r>
          </w:p>
        </w:tc>
      </w:tr>
    </w:tbl>
    <w:p w14:paraId="46D98F10" w14:textId="77777777" w:rsidR="00DE3DCF" w:rsidRDefault="00DE3DCF">
      <w:r>
        <w:br w:type="page"/>
      </w:r>
    </w:p>
    <w:tbl>
      <w:tblPr>
        <w:tblW w:w="15175" w:type="dxa"/>
        <w:tblInd w:w="-12" w:type="dxa"/>
        <w:tblLayout w:type="fixed"/>
        <w:tblLook w:val="04A0" w:firstRow="1" w:lastRow="0" w:firstColumn="1" w:lastColumn="0" w:noHBand="0" w:noVBand="1"/>
      </w:tblPr>
      <w:tblGrid>
        <w:gridCol w:w="531"/>
        <w:gridCol w:w="2113"/>
        <w:gridCol w:w="737"/>
        <w:gridCol w:w="850"/>
        <w:gridCol w:w="992"/>
        <w:gridCol w:w="851"/>
        <w:gridCol w:w="850"/>
        <w:gridCol w:w="709"/>
        <w:gridCol w:w="709"/>
        <w:gridCol w:w="709"/>
        <w:gridCol w:w="708"/>
        <w:gridCol w:w="709"/>
        <w:gridCol w:w="709"/>
        <w:gridCol w:w="567"/>
        <w:gridCol w:w="567"/>
        <w:gridCol w:w="567"/>
        <w:gridCol w:w="624"/>
        <w:gridCol w:w="567"/>
        <w:gridCol w:w="1106"/>
      </w:tblGrid>
      <w:tr w:rsidR="006B4969" w:rsidRPr="00C2587D" w14:paraId="2A20D292" w14:textId="77777777" w:rsidTr="00A041B2">
        <w:trPr>
          <w:cantSplit/>
          <w:trHeight w:val="396"/>
        </w:trPr>
        <w:tc>
          <w:tcPr>
            <w:tcW w:w="15175" w:type="dxa"/>
            <w:gridSpan w:val="19"/>
            <w:tcBorders>
              <w:top w:val="single" w:sz="4" w:space="0" w:color="auto"/>
              <w:left w:val="single" w:sz="4" w:space="0" w:color="auto"/>
              <w:bottom w:val="single" w:sz="4" w:space="0" w:color="auto"/>
              <w:right w:val="single" w:sz="4" w:space="0" w:color="auto"/>
            </w:tcBorders>
            <w:shd w:val="clear" w:color="auto" w:fill="auto"/>
            <w:noWrap/>
            <w:vAlign w:val="center"/>
          </w:tcPr>
          <w:p w14:paraId="52C6A7D1" w14:textId="3C98A408" w:rsidR="006B4969" w:rsidRPr="00C2587D" w:rsidRDefault="006B4969" w:rsidP="006B4969">
            <w:pPr>
              <w:jc w:val="center"/>
              <w:rPr>
                <w:rFonts w:ascii="Times New Roman" w:hAnsi="Times New Roman"/>
                <w:b/>
                <w:sz w:val="20"/>
                <w:szCs w:val="20"/>
              </w:rPr>
            </w:pPr>
            <w:r w:rsidRPr="00C2587D">
              <w:rPr>
                <w:rFonts w:ascii="Times New Roman" w:hAnsi="Times New Roman"/>
                <w:b/>
                <w:sz w:val="20"/>
                <w:szCs w:val="20"/>
              </w:rPr>
              <w:lastRenderedPageBreak/>
              <w:t>Управління соціального захисту населення та охорони здоров'я</w:t>
            </w:r>
          </w:p>
        </w:tc>
      </w:tr>
      <w:tr w:rsidR="006B4969" w:rsidRPr="00C2587D" w14:paraId="1900B6E4" w14:textId="77777777" w:rsidTr="00A041B2">
        <w:trPr>
          <w:cantSplit/>
          <w:trHeight w:val="385"/>
        </w:trPr>
        <w:tc>
          <w:tcPr>
            <w:tcW w:w="15175" w:type="dxa"/>
            <w:gridSpan w:val="19"/>
            <w:tcBorders>
              <w:top w:val="nil"/>
              <w:left w:val="single" w:sz="4" w:space="0" w:color="auto"/>
              <w:bottom w:val="single" w:sz="4" w:space="0" w:color="auto"/>
              <w:right w:val="single" w:sz="4" w:space="0" w:color="auto"/>
            </w:tcBorders>
            <w:shd w:val="clear" w:color="auto" w:fill="auto"/>
            <w:noWrap/>
            <w:vAlign w:val="center"/>
          </w:tcPr>
          <w:p w14:paraId="483AF61E" w14:textId="77777777" w:rsidR="006B4969" w:rsidRPr="00C2587D" w:rsidRDefault="006B4969" w:rsidP="006B4969">
            <w:pPr>
              <w:jc w:val="center"/>
              <w:rPr>
                <w:rFonts w:ascii="Times New Roman" w:hAnsi="Times New Roman"/>
                <w:b/>
                <w:sz w:val="20"/>
                <w:szCs w:val="20"/>
              </w:rPr>
            </w:pPr>
            <w:r w:rsidRPr="00C2587D">
              <w:rPr>
                <w:rFonts w:ascii="Times New Roman" w:hAnsi="Times New Roman"/>
                <w:b/>
                <w:color w:val="000000"/>
                <w:sz w:val="20"/>
                <w:szCs w:val="20"/>
              </w:rPr>
              <w:t>Програми місцевого розвитку (в тому числі, які реалізуються через проєкти)</w:t>
            </w:r>
          </w:p>
        </w:tc>
      </w:tr>
      <w:tr w:rsidR="006B4969" w:rsidRPr="00C2587D" w14:paraId="6F2D574F" w14:textId="77777777" w:rsidTr="00FF28D2">
        <w:trPr>
          <w:cantSplit/>
          <w:trHeight w:val="1161"/>
        </w:trPr>
        <w:tc>
          <w:tcPr>
            <w:tcW w:w="531" w:type="dxa"/>
            <w:tcBorders>
              <w:top w:val="nil"/>
              <w:left w:val="single" w:sz="4" w:space="0" w:color="auto"/>
              <w:bottom w:val="single" w:sz="4" w:space="0" w:color="auto"/>
              <w:right w:val="single" w:sz="4" w:space="0" w:color="auto"/>
            </w:tcBorders>
            <w:shd w:val="clear" w:color="auto" w:fill="auto"/>
            <w:noWrap/>
            <w:vAlign w:val="center"/>
            <w:hideMark/>
          </w:tcPr>
          <w:p w14:paraId="4B750213"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1</w:t>
            </w:r>
          </w:p>
        </w:tc>
        <w:tc>
          <w:tcPr>
            <w:tcW w:w="2113" w:type="dxa"/>
            <w:tcBorders>
              <w:top w:val="single" w:sz="4" w:space="0" w:color="auto"/>
              <w:left w:val="nil"/>
              <w:bottom w:val="single" w:sz="4" w:space="0" w:color="auto"/>
              <w:right w:val="single" w:sz="4" w:space="0" w:color="auto"/>
            </w:tcBorders>
            <w:shd w:val="clear" w:color="auto" w:fill="auto"/>
            <w:vAlign w:val="center"/>
            <w:hideMark/>
          </w:tcPr>
          <w:p w14:paraId="62DD640C"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Програма «Компенсації</w:t>
            </w:r>
          </w:p>
          <w:p w14:paraId="625415B2"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пільгових перевезень автомобільним</w:t>
            </w:r>
          </w:p>
          <w:p w14:paraId="4ED138BC"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транспортом на маршрутах загального</w:t>
            </w:r>
          </w:p>
          <w:p w14:paraId="4B7A73CA"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користування на період 2025-2027 рр.»</w:t>
            </w:r>
          </w:p>
        </w:tc>
        <w:tc>
          <w:tcPr>
            <w:tcW w:w="737" w:type="dxa"/>
            <w:tcBorders>
              <w:top w:val="nil"/>
              <w:left w:val="nil"/>
              <w:bottom w:val="single" w:sz="4" w:space="0" w:color="auto"/>
              <w:right w:val="single" w:sz="4" w:space="0" w:color="auto"/>
            </w:tcBorders>
            <w:shd w:val="clear" w:color="auto" w:fill="auto"/>
            <w:textDirection w:val="btLr"/>
            <w:vAlign w:val="center"/>
            <w:hideMark/>
          </w:tcPr>
          <w:p w14:paraId="33B8F103"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15381,260</w:t>
            </w:r>
          </w:p>
        </w:tc>
        <w:tc>
          <w:tcPr>
            <w:tcW w:w="850" w:type="dxa"/>
            <w:tcBorders>
              <w:top w:val="nil"/>
              <w:left w:val="nil"/>
              <w:bottom w:val="single" w:sz="4" w:space="0" w:color="auto"/>
              <w:right w:val="single" w:sz="4" w:space="0" w:color="auto"/>
            </w:tcBorders>
            <w:shd w:val="clear" w:color="000000" w:fill="F8CBAD"/>
            <w:noWrap/>
            <w:textDirection w:val="btLr"/>
            <w:vAlign w:val="center"/>
            <w:hideMark/>
          </w:tcPr>
          <w:p w14:paraId="5902D7C1"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15381,260</w:t>
            </w:r>
          </w:p>
        </w:tc>
        <w:tc>
          <w:tcPr>
            <w:tcW w:w="992" w:type="dxa"/>
            <w:tcBorders>
              <w:top w:val="single" w:sz="4" w:space="0" w:color="auto"/>
              <w:left w:val="nil"/>
              <w:bottom w:val="single" w:sz="4" w:space="0" w:color="auto"/>
              <w:right w:val="single" w:sz="4" w:space="0" w:color="000000"/>
            </w:tcBorders>
            <w:shd w:val="clear" w:color="auto" w:fill="auto"/>
            <w:noWrap/>
            <w:textDirection w:val="btLr"/>
            <w:vAlign w:val="center"/>
            <w:hideMark/>
          </w:tcPr>
          <w:p w14:paraId="5D1BF4E2"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4789,010</w:t>
            </w:r>
          </w:p>
        </w:tc>
        <w:tc>
          <w:tcPr>
            <w:tcW w:w="851" w:type="dxa"/>
            <w:tcBorders>
              <w:top w:val="nil"/>
              <w:left w:val="nil"/>
              <w:bottom w:val="single" w:sz="4" w:space="0" w:color="auto"/>
              <w:right w:val="single" w:sz="4" w:space="0" w:color="auto"/>
            </w:tcBorders>
            <w:shd w:val="clear" w:color="auto" w:fill="auto"/>
            <w:noWrap/>
            <w:textDirection w:val="btLr"/>
            <w:vAlign w:val="center"/>
            <w:hideMark/>
          </w:tcPr>
          <w:p w14:paraId="148E5FEA"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5119,500</w:t>
            </w:r>
          </w:p>
        </w:tc>
        <w:tc>
          <w:tcPr>
            <w:tcW w:w="850" w:type="dxa"/>
            <w:tcBorders>
              <w:top w:val="nil"/>
              <w:left w:val="nil"/>
              <w:bottom w:val="single" w:sz="4" w:space="0" w:color="auto"/>
              <w:right w:val="single" w:sz="4" w:space="0" w:color="auto"/>
            </w:tcBorders>
            <w:shd w:val="clear" w:color="auto" w:fill="auto"/>
            <w:noWrap/>
            <w:textDirection w:val="btLr"/>
            <w:vAlign w:val="center"/>
            <w:hideMark/>
          </w:tcPr>
          <w:p w14:paraId="3502575F"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5472,750</w:t>
            </w:r>
          </w:p>
        </w:tc>
        <w:tc>
          <w:tcPr>
            <w:tcW w:w="709" w:type="dxa"/>
            <w:tcBorders>
              <w:top w:val="nil"/>
              <w:left w:val="nil"/>
              <w:bottom w:val="single" w:sz="4" w:space="0" w:color="auto"/>
              <w:right w:val="single" w:sz="4" w:space="0" w:color="auto"/>
            </w:tcBorders>
            <w:shd w:val="clear" w:color="auto" w:fill="auto"/>
            <w:noWrap/>
            <w:textDirection w:val="btLr"/>
            <w:vAlign w:val="center"/>
            <w:hideMark/>
          </w:tcPr>
          <w:p w14:paraId="35DE964D"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9" w:type="dxa"/>
            <w:tcBorders>
              <w:top w:val="nil"/>
              <w:left w:val="nil"/>
              <w:bottom w:val="single" w:sz="4" w:space="0" w:color="auto"/>
              <w:right w:val="single" w:sz="4" w:space="0" w:color="auto"/>
            </w:tcBorders>
            <w:shd w:val="clear" w:color="000000" w:fill="C6E0B4"/>
            <w:textDirection w:val="btLr"/>
            <w:vAlign w:val="center"/>
            <w:hideMark/>
          </w:tcPr>
          <w:p w14:paraId="3738EA0E"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9" w:type="dxa"/>
            <w:tcBorders>
              <w:top w:val="nil"/>
              <w:left w:val="nil"/>
              <w:bottom w:val="single" w:sz="4" w:space="0" w:color="auto"/>
              <w:right w:val="single" w:sz="4" w:space="0" w:color="auto"/>
            </w:tcBorders>
            <w:shd w:val="clear" w:color="auto" w:fill="auto"/>
            <w:noWrap/>
            <w:textDirection w:val="btLr"/>
            <w:vAlign w:val="center"/>
            <w:hideMark/>
          </w:tcPr>
          <w:p w14:paraId="1D77EC03"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8" w:type="dxa"/>
            <w:tcBorders>
              <w:top w:val="nil"/>
              <w:left w:val="nil"/>
              <w:bottom w:val="single" w:sz="4" w:space="0" w:color="auto"/>
              <w:right w:val="single" w:sz="4" w:space="0" w:color="auto"/>
            </w:tcBorders>
            <w:shd w:val="clear" w:color="auto" w:fill="auto"/>
            <w:noWrap/>
            <w:textDirection w:val="btLr"/>
            <w:vAlign w:val="center"/>
            <w:hideMark/>
          </w:tcPr>
          <w:p w14:paraId="1CA5E929"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9" w:type="dxa"/>
            <w:tcBorders>
              <w:top w:val="nil"/>
              <w:left w:val="nil"/>
              <w:bottom w:val="single" w:sz="4" w:space="0" w:color="auto"/>
              <w:right w:val="single" w:sz="4" w:space="0" w:color="auto"/>
            </w:tcBorders>
            <w:shd w:val="clear" w:color="auto" w:fill="auto"/>
            <w:noWrap/>
            <w:textDirection w:val="btLr"/>
            <w:vAlign w:val="center"/>
            <w:hideMark/>
          </w:tcPr>
          <w:p w14:paraId="23EE9AF8"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9" w:type="dxa"/>
            <w:tcBorders>
              <w:top w:val="nil"/>
              <w:left w:val="nil"/>
              <w:bottom w:val="single" w:sz="4" w:space="0" w:color="auto"/>
              <w:right w:val="single" w:sz="4" w:space="0" w:color="auto"/>
            </w:tcBorders>
            <w:shd w:val="clear" w:color="auto" w:fill="auto"/>
            <w:noWrap/>
            <w:textDirection w:val="btLr"/>
            <w:vAlign w:val="center"/>
            <w:hideMark/>
          </w:tcPr>
          <w:p w14:paraId="13BBE41A"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567" w:type="dxa"/>
            <w:tcBorders>
              <w:top w:val="nil"/>
              <w:left w:val="nil"/>
              <w:bottom w:val="single" w:sz="4" w:space="0" w:color="auto"/>
              <w:right w:val="single" w:sz="4" w:space="0" w:color="auto"/>
            </w:tcBorders>
            <w:shd w:val="clear" w:color="000000" w:fill="D6DCE4"/>
            <w:textDirection w:val="btLr"/>
            <w:vAlign w:val="center"/>
            <w:hideMark/>
          </w:tcPr>
          <w:p w14:paraId="2A2A8247"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567" w:type="dxa"/>
            <w:tcBorders>
              <w:top w:val="nil"/>
              <w:left w:val="nil"/>
              <w:bottom w:val="single" w:sz="4" w:space="0" w:color="auto"/>
              <w:right w:val="single" w:sz="4" w:space="0" w:color="auto"/>
            </w:tcBorders>
            <w:shd w:val="clear" w:color="auto" w:fill="auto"/>
            <w:noWrap/>
            <w:textDirection w:val="btLr"/>
            <w:vAlign w:val="center"/>
            <w:hideMark/>
          </w:tcPr>
          <w:p w14:paraId="3BD4A68D"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567" w:type="dxa"/>
            <w:tcBorders>
              <w:top w:val="nil"/>
              <w:left w:val="nil"/>
              <w:bottom w:val="single" w:sz="4" w:space="0" w:color="auto"/>
              <w:right w:val="single" w:sz="4" w:space="0" w:color="auto"/>
            </w:tcBorders>
            <w:shd w:val="clear" w:color="auto" w:fill="auto"/>
            <w:noWrap/>
            <w:textDirection w:val="btLr"/>
            <w:vAlign w:val="center"/>
            <w:hideMark/>
          </w:tcPr>
          <w:p w14:paraId="68063102"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624" w:type="dxa"/>
            <w:tcBorders>
              <w:top w:val="nil"/>
              <w:left w:val="nil"/>
              <w:bottom w:val="single" w:sz="4" w:space="0" w:color="auto"/>
              <w:right w:val="single" w:sz="4" w:space="0" w:color="auto"/>
            </w:tcBorders>
            <w:shd w:val="clear" w:color="auto" w:fill="auto"/>
            <w:noWrap/>
            <w:textDirection w:val="btLr"/>
            <w:vAlign w:val="center"/>
            <w:hideMark/>
          </w:tcPr>
          <w:p w14:paraId="509305FF"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567" w:type="dxa"/>
            <w:tcBorders>
              <w:top w:val="nil"/>
              <w:left w:val="nil"/>
              <w:bottom w:val="single" w:sz="4" w:space="0" w:color="auto"/>
              <w:right w:val="single" w:sz="4" w:space="0" w:color="auto"/>
            </w:tcBorders>
            <w:shd w:val="clear" w:color="auto" w:fill="auto"/>
            <w:noWrap/>
            <w:textDirection w:val="btLr"/>
            <w:vAlign w:val="center"/>
            <w:hideMark/>
          </w:tcPr>
          <w:p w14:paraId="3359F389"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1106" w:type="dxa"/>
            <w:tcBorders>
              <w:top w:val="nil"/>
              <w:left w:val="nil"/>
              <w:bottom w:val="single" w:sz="4" w:space="0" w:color="auto"/>
              <w:right w:val="single" w:sz="4" w:space="0" w:color="auto"/>
            </w:tcBorders>
            <w:shd w:val="clear" w:color="auto" w:fill="auto"/>
            <w:noWrap/>
            <w:textDirection w:val="btLr"/>
            <w:vAlign w:val="center"/>
            <w:hideMark/>
          </w:tcPr>
          <w:p w14:paraId="1CE097D4"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15381,260</w:t>
            </w:r>
          </w:p>
        </w:tc>
      </w:tr>
      <w:tr w:rsidR="006B4969" w:rsidRPr="00C2587D" w14:paraId="603AC100" w14:textId="77777777" w:rsidTr="00FF28D2">
        <w:trPr>
          <w:cantSplit/>
          <w:trHeight w:val="1161"/>
        </w:trPr>
        <w:tc>
          <w:tcPr>
            <w:tcW w:w="531" w:type="dxa"/>
            <w:tcBorders>
              <w:top w:val="nil"/>
              <w:left w:val="single" w:sz="4" w:space="0" w:color="auto"/>
              <w:bottom w:val="single" w:sz="4" w:space="0" w:color="auto"/>
              <w:right w:val="single" w:sz="4" w:space="0" w:color="auto"/>
            </w:tcBorders>
            <w:shd w:val="clear" w:color="auto" w:fill="auto"/>
            <w:noWrap/>
            <w:vAlign w:val="center"/>
            <w:hideMark/>
          </w:tcPr>
          <w:p w14:paraId="397B73DA"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2</w:t>
            </w:r>
          </w:p>
        </w:tc>
        <w:tc>
          <w:tcPr>
            <w:tcW w:w="2113" w:type="dxa"/>
            <w:tcBorders>
              <w:top w:val="single" w:sz="4" w:space="0" w:color="auto"/>
              <w:left w:val="nil"/>
              <w:bottom w:val="single" w:sz="4" w:space="0" w:color="auto"/>
              <w:right w:val="single" w:sz="4" w:space="0" w:color="auto"/>
            </w:tcBorders>
            <w:shd w:val="clear" w:color="auto" w:fill="auto"/>
            <w:vAlign w:val="center"/>
            <w:hideMark/>
          </w:tcPr>
          <w:p w14:paraId="5018394D"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Проєкт – Програми «Компенсації</w:t>
            </w:r>
          </w:p>
          <w:p w14:paraId="4C5B2746"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пільгових перевезень автомобільним</w:t>
            </w:r>
          </w:p>
          <w:p w14:paraId="5FFE7C46"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транспортом на маршрутах загального</w:t>
            </w:r>
          </w:p>
          <w:p w14:paraId="40F26D16"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користування на період 2028-2030 рр.»</w:t>
            </w:r>
          </w:p>
        </w:tc>
        <w:tc>
          <w:tcPr>
            <w:tcW w:w="737" w:type="dxa"/>
            <w:tcBorders>
              <w:top w:val="nil"/>
              <w:left w:val="nil"/>
              <w:bottom w:val="single" w:sz="4" w:space="0" w:color="auto"/>
              <w:right w:val="single" w:sz="4" w:space="0" w:color="auto"/>
            </w:tcBorders>
            <w:shd w:val="clear" w:color="auto" w:fill="auto"/>
            <w:textDirection w:val="btLr"/>
            <w:vAlign w:val="center"/>
            <w:hideMark/>
          </w:tcPr>
          <w:p w14:paraId="2F4FAECC"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5795,642</w:t>
            </w:r>
          </w:p>
        </w:tc>
        <w:tc>
          <w:tcPr>
            <w:tcW w:w="850" w:type="dxa"/>
            <w:tcBorders>
              <w:top w:val="nil"/>
              <w:left w:val="nil"/>
              <w:bottom w:val="single" w:sz="4" w:space="0" w:color="auto"/>
              <w:right w:val="single" w:sz="4" w:space="0" w:color="auto"/>
            </w:tcBorders>
            <w:shd w:val="clear" w:color="000000" w:fill="F8CBAD"/>
            <w:noWrap/>
            <w:textDirection w:val="btLr"/>
            <w:vAlign w:val="center"/>
            <w:hideMark/>
          </w:tcPr>
          <w:p w14:paraId="1EF19EBB"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5795,642</w:t>
            </w:r>
          </w:p>
        </w:tc>
        <w:tc>
          <w:tcPr>
            <w:tcW w:w="992" w:type="dxa"/>
            <w:tcBorders>
              <w:top w:val="single" w:sz="4" w:space="0" w:color="auto"/>
              <w:left w:val="nil"/>
              <w:bottom w:val="single" w:sz="4" w:space="0" w:color="auto"/>
              <w:right w:val="single" w:sz="4" w:space="0" w:color="000000"/>
            </w:tcBorders>
            <w:shd w:val="clear" w:color="auto" w:fill="auto"/>
            <w:noWrap/>
            <w:textDirection w:val="btLr"/>
            <w:vAlign w:val="center"/>
            <w:hideMark/>
          </w:tcPr>
          <w:p w14:paraId="36631E83"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851" w:type="dxa"/>
            <w:tcBorders>
              <w:top w:val="nil"/>
              <w:left w:val="nil"/>
              <w:bottom w:val="single" w:sz="4" w:space="0" w:color="auto"/>
              <w:right w:val="single" w:sz="4" w:space="0" w:color="auto"/>
            </w:tcBorders>
            <w:shd w:val="clear" w:color="auto" w:fill="auto"/>
            <w:noWrap/>
            <w:textDirection w:val="btLr"/>
            <w:vAlign w:val="center"/>
            <w:hideMark/>
          </w:tcPr>
          <w:p w14:paraId="1396525F"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850" w:type="dxa"/>
            <w:tcBorders>
              <w:top w:val="nil"/>
              <w:left w:val="nil"/>
              <w:bottom w:val="single" w:sz="4" w:space="0" w:color="auto"/>
              <w:right w:val="single" w:sz="4" w:space="0" w:color="auto"/>
            </w:tcBorders>
            <w:shd w:val="clear" w:color="auto" w:fill="auto"/>
            <w:noWrap/>
            <w:textDirection w:val="btLr"/>
            <w:vAlign w:val="center"/>
            <w:hideMark/>
          </w:tcPr>
          <w:p w14:paraId="08E2C4A2"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9" w:type="dxa"/>
            <w:tcBorders>
              <w:top w:val="nil"/>
              <w:left w:val="nil"/>
              <w:bottom w:val="single" w:sz="4" w:space="0" w:color="auto"/>
              <w:right w:val="single" w:sz="4" w:space="0" w:color="auto"/>
            </w:tcBorders>
            <w:shd w:val="clear" w:color="auto" w:fill="auto"/>
            <w:noWrap/>
            <w:textDirection w:val="btLr"/>
            <w:vAlign w:val="center"/>
            <w:hideMark/>
          </w:tcPr>
          <w:p w14:paraId="7E9E1E37"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5795,642</w:t>
            </w:r>
          </w:p>
        </w:tc>
        <w:tc>
          <w:tcPr>
            <w:tcW w:w="709" w:type="dxa"/>
            <w:tcBorders>
              <w:top w:val="nil"/>
              <w:left w:val="nil"/>
              <w:bottom w:val="single" w:sz="4" w:space="0" w:color="auto"/>
              <w:right w:val="single" w:sz="4" w:space="0" w:color="auto"/>
            </w:tcBorders>
            <w:shd w:val="clear" w:color="000000" w:fill="C6E0B4"/>
            <w:textDirection w:val="btLr"/>
            <w:vAlign w:val="center"/>
            <w:hideMark/>
          </w:tcPr>
          <w:p w14:paraId="12FA19FF"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9" w:type="dxa"/>
            <w:tcBorders>
              <w:top w:val="nil"/>
              <w:left w:val="nil"/>
              <w:bottom w:val="single" w:sz="4" w:space="0" w:color="auto"/>
              <w:right w:val="single" w:sz="4" w:space="0" w:color="auto"/>
            </w:tcBorders>
            <w:shd w:val="clear" w:color="auto" w:fill="auto"/>
            <w:noWrap/>
            <w:textDirection w:val="btLr"/>
            <w:vAlign w:val="center"/>
            <w:hideMark/>
          </w:tcPr>
          <w:p w14:paraId="1FC40269"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8" w:type="dxa"/>
            <w:tcBorders>
              <w:top w:val="nil"/>
              <w:left w:val="nil"/>
              <w:bottom w:val="single" w:sz="4" w:space="0" w:color="auto"/>
              <w:right w:val="single" w:sz="4" w:space="0" w:color="auto"/>
            </w:tcBorders>
            <w:shd w:val="clear" w:color="auto" w:fill="auto"/>
            <w:noWrap/>
            <w:textDirection w:val="btLr"/>
            <w:vAlign w:val="center"/>
            <w:hideMark/>
          </w:tcPr>
          <w:p w14:paraId="3D9D4784"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9" w:type="dxa"/>
            <w:tcBorders>
              <w:top w:val="nil"/>
              <w:left w:val="nil"/>
              <w:bottom w:val="single" w:sz="4" w:space="0" w:color="auto"/>
              <w:right w:val="single" w:sz="4" w:space="0" w:color="auto"/>
            </w:tcBorders>
            <w:shd w:val="clear" w:color="auto" w:fill="auto"/>
            <w:noWrap/>
            <w:textDirection w:val="btLr"/>
            <w:vAlign w:val="center"/>
            <w:hideMark/>
          </w:tcPr>
          <w:p w14:paraId="55CD76D5"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9" w:type="dxa"/>
            <w:tcBorders>
              <w:top w:val="nil"/>
              <w:left w:val="nil"/>
              <w:bottom w:val="single" w:sz="4" w:space="0" w:color="auto"/>
              <w:right w:val="single" w:sz="4" w:space="0" w:color="auto"/>
            </w:tcBorders>
            <w:shd w:val="clear" w:color="auto" w:fill="auto"/>
            <w:noWrap/>
            <w:textDirection w:val="btLr"/>
            <w:vAlign w:val="center"/>
            <w:hideMark/>
          </w:tcPr>
          <w:p w14:paraId="4654A817"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567" w:type="dxa"/>
            <w:tcBorders>
              <w:top w:val="nil"/>
              <w:left w:val="nil"/>
              <w:bottom w:val="single" w:sz="4" w:space="0" w:color="auto"/>
              <w:right w:val="single" w:sz="4" w:space="0" w:color="auto"/>
            </w:tcBorders>
            <w:shd w:val="clear" w:color="000000" w:fill="D6DCE4"/>
            <w:textDirection w:val="btLr"/>
            <w:vAlign w:val="center"/>
            <w:hideMark/>
          </w:tcPr>
          <w:p w14:paraId="38C1449C"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567" w:type="dxa"/>
            <w:tcBorders>
              <w:top w:val="nil"/>
              <w:left w:val="nil"/>
              <w:bottom w:val="single" w:sz="4" w:space="0" w:color="auto"/>
              <w:right w:val="single" w:sz="4" w:space="0" w:color="auto"/>
            </w:tcBorders>
            <w:shd w:val="clear" w:color="auto" w:fill="auto"/>
            <w:noWrap/>
            <w:textDirection w:val="btLr"/>
            <w:vAlign w:val="center"/>
            <w:hideMark/>
          </w:tcPr>
          <w:p w14:paraId="6971EEBC"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567" w:type="dxa"/>
            <w:tcBorders>
              <w:top w:val="nil"/>
              <w:left w:val="nil"/>
              <w:bottom w:val="single" w:sz="4" w:space="0" w:color="auto"/>
              <w:right w:val="single" w:sz="4" w:space="0" w:color="auto"/>
            </w:tcBorders>
            <w:shd w:val="clear" w:color="auto" w:fill="auto"/>
            <w:noWrap/>
            <w:textDirection w:val="btLr"/>
            <w:vAlign w:val="center"/>
            <w:hideMark/>
          </w:tcPr>
          <w:p w14:paraId="52E088DF"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624" w:type="dxa"/>
            <w:tcBorders>
              <w:top w:val="nil"/>
              <w:left w:val="nil"/>
              <w:bottom w:val="single" w:sz="4" w:space="0" w:color="auto"/>
              <w:right w:val="single" w:sz="4" w:space="0" w:color="auto"/>
            </w:tcBorders>
            <w:shd w:val="clear" w:color="auto" w:fill="auto"/>
            <w:noWrap/>
            <w:textDirection w:val="btLr"/>
            <w:vAlign w:val="center"/>
            <w:hideMark/>
          </w:tcPr>
          <w:p w14:paraId="0AEFC668"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567" w:type="dxa"/>
            <w:tcBorders>
              <w:top w:val="nil"/>
              <w:left w:val="nil"/>
              <w:bottom w:val="single" w:sz="4" w:space="0" w:color="auto"/>
              <w:right w:val="single" w:sz="4" w:space="0" w:color="auto"/>
            </w:tcBorders>
            <w:shd w:val="clear" w:color="auto" w:fill="auto"/>
            <w:noWrap/>
            <w:textDirection w:val="btLr"/>
            <w:vAlign w:val="center"/>
            <w:hideMark/>
          </w:tcPr>
          <w:p w14:paraId="2B9B2CC5"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1106" w:type="dxa"/>
            <w:tcBorders>
              <w:top w:val="nil"/>
              <w:left w:val="nil"/>
              <w:bottom w:val="single" w:sz="4" w:space="0" w:color="auto"/>
              <w:right w:val="single" w:sz="4" w:space="0" w:color="auto"/>
            </w:tcBorders>
            <w:shd w:val="clear" w:color="auto" w:fill="auto"/>
            <w:noWrap/>
            <w:textDirection w:val="btLr"/>
            <w:vAlign w:val="center"/>
            <w:hideMark/>
          </w:tcPr>
          <w:p w14:paraId="7B1142C0"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5795,642</w:t>
            </w:r>
          </w:p>
        </w:tc>
      </w:tr>
      <w:tr w:rsidR="006B4969" w:rsidRPr="00C2587D" w14:paraId="2EEBF827" w14:textId="77777777" w:rsidTr="00FF28D2">
        <w:trPr>
          <w:cantSplit/>
          <w:trHeight w:val="1161"/>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0B0394"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3</w:t>
            </w:r>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9511CB"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Програма «Підтримка Захисників і Захисниць України та членів їхніх сімей на 2025-2027 роки»</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5FD86818"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31788,100</w:t>
            </w:r>
          </w:p>
        </w:tc>
        <w:tc>
          <w:tcPr>
            <w:tcW w:w="850" w:type="dxa"/>
            <w:tcBorders>
              <w:top w:val="single" w:sz="4" w:space="0" w:color="auto"/>
              <w:left w:val="single" w:sz="4" w:space="0" w:color="auto"/>
              <w:bottom w:val="single" w:sz="4" w:space="0" w:color="auto"/>
              <w:right w:val="single" w:sz="4" w:space="0" w:color="auto"/>
            </w:tcBorders>
            <w:shd w:val="clear" w:color="000000" w:fill="F8CBAD"/>
            <w:noWrap/>
            <w:textDirection w:val="btLr"/>
            <w:vAlign w:val="center"/>
            <w:hideMark/>
          </w:tcPr>
          <w:p w14:paraId="0C1E4846"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31788,100</w:t>
            </w:r>
          </w:p>
        </w:tc>
        <w:tc>
          <w:tcPr>
            <w:tcW w:w="99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00C759F5"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9864,800</w:t>
            </w:r>
          </w:p>
        </w:tc>
        <w:tc>
          <w:tcPr>
            <w:tcW w:w="851"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7AD2CC24"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10587,400</w:t>
            </w:r>
          </w:p>
        </w:tc>
        <w:tc>
          <w:tcPr>
            <w:tcW w:w="850"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03EE6D81"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11335,900</w:t>
            </w:r>
          </w:p>
        </w:tc>
        <w:tc>
          <w:tcPr>
            <w:tcW w:w="70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6CEBA695"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9" w:type="dxa"/>
            <w:tcBorders>
              <w:top w:val="single" w:sz="4" w:space="0" w:color="auto"/>
              <w:left w:val="single" w:sz="4" w:space="0" w:color="auto"/>
              <w:bottom w:val="single" w:sz="4" w:space="0" w:color="auto"/>
              <w:right w:val="single" w:sz="4" w:space="0" w:color="auto"/>
            </w:tcBorders>
            <w:shd w:val="clear" w:color="000000" w:fill="C6E0B4"/>
            <w:textDirection w:val="btLr"/>
            <w:vAlign w:val="center"/>
            <w:hideMark/>
          </w:tcPr>
          <w:p w14:paraId="27628F3A"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0B1D6988"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8"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0266487F"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28F7EB8E"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4A148200"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567" w:type="dxa"/>
            <w:tcBorders>
              <w:top w:val="single" w:sz="4" w:space="0" w:color="auto"/>
              <w:left w:val="single" w:sz="4" w:space="0" w:color="auto"/>
              <w:bottom w:val="single" w:sz="4" w:space="0" w:color="auto"/>
              <w:right w:val="single" w:sz="4" w:space="0" w:color="auto"/>
            </w:tcBorders>
            <w:shd w:val="clear" w:color="000000" w:fill="D6DCE4"/>
            <w:textDirection w:val="btLr"/>
            <w:vAlign w:val="center"/>
            <w:hideMark/>
          </w:tcPr>
          <w:p w14:paraId="0FCC1B8F"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567"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244A0375"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567"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4673766C"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624"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5692DBAF"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567"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5B02A93B"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1023226A"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31788,100</w:t>
            </w:r>
          </w:p>
        </w:tc>
      </w:tr>
      <w:tr w:rsidR="006B4969" w:rsidRPr="00C2587D" w14:paraId="6741B4B4" w14:textId="77777777" w:rsidTr="00FF28D2">
        <w:trPr>
          <w:cantSplit/>
          <w:trHeight w:val="1161"/>
        </w:trPr>
        <w:tc>
          <w:tcPr>
            <w:tcW w:w="531" w:type="dxa"/>
            <w:tcBorders>
              <w:top w:val="nil"/>
              <w:left w:val="single" w:sz="4" w:space="0" w:color="auto"/>
              <w:bottom w:val="single" w:sz="4" w:space="0" w:color="auto"/>
              <w:right w:val="single" w:sz="4" w:space="0" w:color="auto"/>
            </w:tcBorders>
            <w:shd w:val="clear" w:color="auto" w:fill="auto"/>
            <w:noWrap/>
            <w:vAlign w:val="center"/>
            <w:hideMark/>
          </w:tcPr>
          <w:p w14:paraId="2D9BBA20"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4</w:t>
            </w:r>
          </w:p>
        </w:tc>
        <w:tc>
          <w:tcPr>
            <w:tcW w:w="2113" w:type="dxa"/>
            <w:tcBorders>
              <w:top w:val="single" w:sz="4" w:space="0" w:color="auto"/>
              <w:left w:val="nil"/>
              <w:bottom w:val="single" w:sz="4" w:space="0" w:color="auto"/>
              <w:right w:val="single" w:sz="4" w:space="0" w:color="auto"/>
            </w:tcBorders>
            <w:shd w:val="clear" w:color="auto" w:fill="auto"/>
            <w:vAlign w:val="center"/>
            <w:hideMark/>
          </w:tcPr>
          <w:p w14:paraId="4A401BD1"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Проєкт - Програми «Підтримка Захисників і Захисниць України та членів їхніх сімей на 2028-2030 роки»</w:t>
            </w:r>
          </w:p>
        </w:tc>
        <w:tc>
          <w:tcPr>
            <w:tcW w:w="737" w:type="dxa"/>
            <w:tcBorders>
              <w:top w:val="nil"/>
              <w:left w:val="nil"/>
              <w:bottom w:val="single" w:sz="4" w:space="0" w:color="auto"/>
              <w:right w:val="single" w:sz="4" w:space="0" w:color="auto"/>
            </w:tcBorders>
            <w:shd w:val="clear" w:color="auto" w:fill="auto"/>
            <w:textDirection w:val="btLr"/>
            <w:vAlign w:val="center"/>
            <w:hideMark/>
          </w:tcPr>
          <w:p w14:paraId="1877F1A0"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12004,718</w:t>
            </w:r>
          </w:p>
        </w:tc>
        <w:tc>
          <w:tcPr>
            <w:tcW w:w="850" w:type="dxa"/>
            <w:tcBorders>
              <w:top w:val="nil"/>
              <w:left w:val="nil"/>
              <w:bottom w:val="single" w:sz="4" w:space="0" w:color="auto"/>
              <w:right w:val="single" w:sz="4" w:space="0" w:color="auto"/>
            </w:tcBorders>
            <w:shd w:val="clear" w:color="000000" w:fill="F8CBAD"/>
            <w:noWrap/>
            <w:textDirection w:val="btLr"/>
            <w:vAlign w:val="center"/>
            <w:hideMark/>
          </w:tcPr>
          <w:p w14:paraId="4C7D52A7"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12004,718</w:t>
            </w:r>
          </w:p>
        </w:tc>
        <w:tc>
          <w:tcPr>
            <w:tcW w:w="992" w:type="dxa"/>
            <w:tcBorders>
              <w:top w:val="single" w:sz="4" w:space="0" w:color="auto"/>
              <w:left w:val="nil"/>
              <w:bottom w:val="single" w:sz="4" w:space="0" w:color="auto"/>
              <w:right w:val="single" w:sz="4" w:space="0" w:color="000000"/>
            </w:tcBorders>
            <w:shd w:val="clear" w:color="auto" w:fill="auto"/>
            <w:noWrap/>
            <w:textDirection w:val="btLr"/>
            <w:vAlign w:val="center"/>
            <w:hideMark/>
          </w:tcPr>
          <w:p w14:paraId="7ED8AE1A"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851" w:type="dxa"/>
            <w:tcBorders>
              <w:top w:val="nil"/>
              <w:left w:val="nil"/>
              <w:bottom w:val="single" w:sz="4" w:space="0" w:color="auto"/>
              <w:right w:val="single" w:sz="4" w:space="0" w:color="auto"/>
            </w:tcBorders>
            <w:shd w:val="clear" w:color="auto" w:fill="auto"/>
            <w:noWrap/>
            <w:textDirection w:val="btLr"/>
            <w:vAlign w:val="center"/>
            <w:hideMark/>
          </w:tcPr>
          <w:p w14:paraId="599C08B1"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850" w:type="dxa"/>
            <w:tcBorders>
              <w:top w:val="nil"/>
              <w:left w:val="nil"/>
              <w:bottom w:val="single" w:sz="4" w:space="0" w:color="auto"/>
              <w:right w:val="single" w:sz="4" w:space="0" w:color="auto"/>
            </w:tcBorders>
            <w:shd w:val="clear" w:color="auto" w:fill="auto"/>
            <w:noWrap/>
            <w:textDirection w:val="btLr"/>
            <w:vAlign w:val="center"/>
            <w:hideMark/>
          </w:tcPr>
          <w:p w14:paraId="520641D8"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9" w:type="dxa"/>
            <w:tcBorders>
              <w:top w:val="nil"/>
              <w:left w:val="nil"/>
              <w:bottom w:val="single" w:sz="4" w:space="0" w:color="auto"/>
              <w:right w:val="single" w:sz="4" w:space="0" w:color="auto"/>
            </w:tcBorders>
            <w:shd w:val="clear" w:color="auto" w:fill="auto"/>
            <w:noWrap/>
            <w:textDirection w:val="btLr"/>
            <w:vAlign w:val="center"/>
            <w:hideMark/>
          </w:tcPr>
          <w:p w14:paraId="5518E99D"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12004,718</w:t>
            </w:r>
          </w:p>
        </w:tc>
        <w:tc>
          <w:tcPr>
            <w:tcW w:w="709" w:type="dxa"/>
            <w:tcBorders>
              <w:top w:val="nil"/>
              <w:left w:val="nil"/>
              <w:bottom w:val="single" w:sz="4" w:space="0" w:color="auto"/>
              <w:right w:val="single" w:sz="4" w:space="0" w:color="auto"/>
            </w:tcBorders>
            <w:shd w:val="clear" w:color="000000" w:fill="C6E0B4"/>
            <w:textDirection w:val="btLr"/>
            <w:vAlign w:val="center"/>
            <w:hideMark/>
          </w:tcPr>
          <w:p w14:paraId="37C70653"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9" w:type="dxa"/>
            <w:tcBorders>
              <w:top w:val="nil"/>
              <w:left w:val="nil"/>
              <w:bottom w:val="single" w:sz="4" w:space="0" w:color="auto"/>
              <w:right w:val="single" w:sz="4" w:space="0" w:color="auto"/>
            </w:tcBorders>
            <w:shd w:val="clear" w:color="auto" w:fill="auto"/>
            <w:noWrap/>
            <w:textDirection w:val="btLr"/>
            <w:vAlign w:val="center"/>
            <w:hideMark/>
          </w:tcPr>
          <w:p w14:paraId="694A7345"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8" w:type="dxa"/>
            <w:tcBorders>
              <w:top w:val="nil"/>
              <w:left w:val="nil"/>
              <w:bottom w:val="single" w:sz="4" w:space="0" w:color="auto"/>
              <w:right w:val="single" w:sz="4" w:space="0" w:color="auto"/>
            </w:tcBorders>
            <w:shd w:val="clear" w:color="auto" w:fill="auto"/>
            <w:noWrap/>
            <w:textDirection w:val="btLr"/>
            <w:vAlign w:val="center"/>
            <w:hideMark/>
          </w:tcPr>
          <w:p w14:paraId="68350517"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9" w:type="dxa"/>
            <w:tcBorders>
              <w:top w:val="nil"/>
              <w:left w:val="nil"/>
              <w:bottom w:val="single" w:sz="4" w:space="0" w:color="auto"/>
              <w:right w:val="single" w:sz="4" w:space="0" w:color="auto"/>
            </w:tcBorders>
            <w:shd w:val="clear" w:color="auto" w:fill="auto"/>
            <w:noWrap/>
            <w:textDirection w:val="btLr"/>
            <w:vAlign w:val="center"/>
            <w:hideMark/>
          </w:tcPr>
          <w:p w14:paraId="55113A31"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9" w:type="dxa"/>
            <w:tcBorders>
              <w:top w:val="nil"/>
              <w:left w:val="nil"/>
              <w:bottom w:val="single" w:sz="4" w:space="0" w:color="auto"/>
              <w:right w:val="single" w:sz="4" w:space="0" w:color="auto"/>
            </w:tcBorders>
            <w:shd w:val="clear" w:color="auto" w:fill="auto"/>
            <w:noWrap/>
            <w:textDirection w:val="btLr"/>
            <w:vAlign w:val="center"/>
            <w:hideMark/>
          </w:tcPr>
          <w:p w14:paraId="10F246CA"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567" w:type="dxa"/>
            <w:tcBorders>
              <w:top w:val="nil"/>
              <w:left w:val="nil"/>
              <w:bottom w:val="single" w:sz="4" w:space="0" w:color="auto"/>
              <w:right w:val="single" w:sz="4" w:space="0" w:color="auto"/>
            </w:tcBorders>
            <w:shd w:val="clear" w:color="000000" w:fill="D6DCE4"/>
            <w:textDirection w:val="btLr"/>
            <w:vAlign w:val="center"/>
            <w:hideMark/>
          </w:tcPr>
          <w:p w14:paraId="399276D2"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567" w:type="dxa"/>
            <w:tcBorders>
              <w:top w:val="nil"/>
              <w:left w:val="nil"/>
              <w:bottom w:val="single" w:sz="4" w:space="0" w:color="auto"/>
              <w:right w:val="single" w:sz="4" w:space="0" w:color="auto"/>
            </w:tcBorders>
            <w:shd w:val="clear" w:color="auto" w:fill="auto"/>
            <w:noWrap/>
            <w:textDirection w:val="btLr"/>
            <w:vAlign w:val="center"/>
            <w:hideMark/>
          </w:tcPr>
          <w:p w14:paraId="42E51C0C"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567" w:type="dxa"/>
            <w:tcBorders>
              <w:top w:val="nil"/>
              <w:left w:val="nil"/>
              <w:bottom w:val="single" w:sz="4" w:space="0" w:color="auto"/>
              <w:right w:val="single" w:sz="4" w:space="0" w:color="auto"/>
            </w:tcBorders>
            <w:shd w:val="clear" w:color="auto" w:fill="auto"/>
            <w:noWrap/>
            <w:textDirection w:val="btLr"/>
            <w:vAlign w:val="center"/>
            <w:hideMark/>
          </w:tcPr>
          <w:p w14:paraId="6A71D651"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624" w:type="dxa"/>
            <w:tcBorders>
              <w:top w:val="nil"/>
              <w:left w:val="nil"/>
              <w:bottom w:val="single" w:sz="4" w:space="0" w:color="auto"/>
              <w:right w:val="single" w:sz="4" w:space="0" w:color="auto"/>
            </w:tcBorders>
            <w:shd w:val="clear" w:color="auto" w:fill="auto"/>
            <w:noWrap/>
            <w:textDirection w:val="btLr"/>
            <w:vAlign w:val="center"/>
            <w:hideMark/>
          </w:tcPr>
          <w:p w14:paraId="2C37D916"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567" w:type="dxa"/>
            <w:tcBorders>
              <w:top w:val="nil"/>
              <w:left w:val="nil"/>
              <w:bottom w:val="single" w:sz="4" w:space="0" w:color="auto"/>
              <w:right w:val="single" w:sz="4" w:space="0" w:color="auto"/>
            </w:tcBorders>
            <w:shd w:val="clear" w:color="auto" w:fill="auto"/>
            <w:noWrap/>
            <w:textDirection w:val="btLr"/>
            <w:vAlign w:val="center"/>
            <w:hideMark/>
          </w:tcPr>
          <w:p w14:paraId="758FFDE6"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1106" w:type="dxa"/>
            <w:tcBorders>
              <w:top w:val="nil"/>
              <w:left w:val="nil"/>
              <w:bottom w:val="single" w:sz="4" w:space="0" w:color="auto"/>
              <w:right w:val="single" w:sz="4" w:space="0" w:color="auto"/>
            </w:tcBorders>
            <w:shd w:val="clear" w:color="auto" w:fill="auto"/>
            <w:noWrap/>
            <w:textDirection w:val="btLr"/>
            <w:vAlign w:val="center"/>
            <w:hideMark/>
          </w:tcPr>
          <w:p w14:paraId="300C69C0"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12004,718</w:t>
            </w:r>
          </w:p>
        </w:tc>
      </w:tr>
      <w:tr w:rsidR="006B4969" w:rsidRPr="00C2587D" w14:paraId="0970D3DC" w14:textId="77777777" w:rsidTr="00FF28D2">
        <w:trPr>
          <w:cantSplit/>
          <w:trHeight w:val="1693"/>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BE41F1"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5</w:t>
            </w:r>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F4B19D"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Програма Жмеринської міської територіальної громади «Розвиток плавання» на 2025-2027 року в частині заходу оздоровче плавання для пільгових категорій</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1D4E9F91"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19098,062</w:t>
            </w:r>
          </w:p>
        </w:tc>
        <w:tc>
          <w:tcPr>
            <w:tcW w:w="850" w:type="dxa"/>
            <w:tcBorders>
              <w:top w:val="single" w:sz="4" w:space="0" w:color="auto"/>
              <w:left w:val="single" w:sz="4" w:space="0" w:color="auto"/>
              <w:bottom w:val="single" w:sz="4" w:space="0" w:color="auto"/>
              <w:right w:val="single" w:sz="4" w:space="0" w:color="auto"/>
            </w:tcBorders>
            <w:shd w:val="clear" w:color="000000" w:fill="F8CBAD"/>
            <w:noWrap/>
            <w:textDirection w:val="btLr"/>
            <w:vAlign w:val="center"/>
            <w:hideMark/>
          </w:tcPr>
          <w:p w14:paraId="6C4C34BF"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19098,062</w:t>
            </w:r>
          </w:p>
        </w:tc>
        <w:tc>
          <w:tcPr>
            <w:tcW w:w="99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429070A2"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5835,274</w:t>
            </w:r>
          </w:p>
        </w:tc>
        <w:tc>
          <w:tcPr>
            <w:tcW w:w="851"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3A3DCA66"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6441,538</w:t>
            </w:r>
          </w:p>
        </w:tc>
        <w:tc>
          <w:tcPr>
            <w:tcW w:w="850"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6F8A72D5"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6821,250</w:t>
            </w:r>
          </w:p>
        </w:tc>
        <w:tc>
          <w:tcPr>
            <w:tcW w:w="70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2D645608"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9" w:type="dxa"/>
            <w:tcBorders>
              <w:top w:val="single" w:sz="4" w:space="0" w:color="auto"/>
              <w:left w:val="single" w:sz="4" w:space="0" w:color="auto"/>
              <w:bottom w:val="single" w:sz="4" w:space="0" w:color="auto"/>
              <w:right w:val="single" w:sz="4" w:space="0" w:color="auto"/>
            </w:tcBorders>
            <w:shd w:val="clear" w:color="000000" w:fill="C6E0B4"/>
            <w:textDirection w:val="btLr"/>
            <w:vAlign w:val="center"/>
            <w:hideMark/>
          </w:tcPr>
          <w:p w14:paraId="7D454619"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659F1B13"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8"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23DE9A9F"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2DDE7CC3"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4B6504C1"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567" w:type="dxa"/>
            <w:tcBorders>
              <w:top w:val="single" w:sz="4" w:space="0" w:color="auto"/>
              <w:left w:val="single" w:sz="4" w:space="0" w:color="auto"/>
              <w:bottom w:val="single" w:sz="4" w:space="0" w:color="auto"/>
              <w:right w:val="single" w:sz="4" w:space="0" w:color="auto"/>
            </w:tcBorders>
            <w:shd w:val="clear" w:color="000000" w:fill="D6DCE4"/>
            <w:textDirection w:val="btLr"/>
            <w:vAlign w:val="center"/>
            <w:hideMark/>
          </w:tcPr>
          <w:p w14:paraId="7D7437A0"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567"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6E86FB52"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567"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4B645EEA"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624"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649A2706"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567"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08D8003A"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618D6BE3"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19098,062</w:t>
            </w:r>
          </w:p>
        </w:tc>
      </w:tr>
      <w:tr w:rsidR="006B4969" w:rsidRPr="00C2587D" w14:paraId="0B267085" w14:textId="77777777" w:rsidTr="00FF28D2">
        <w:trPr>
          <w:cantSplit/>
          <w:trHeight w:val="1972"/>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C6415"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lastRenderedPageBreak/>
              <w:t>6</w:t>
            </w:r>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184634"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Проєкт - Програми Жмеринської міської територіальної громади «Розвиток плавання» на 2028-2030 року в частині заходу оздоровче плавання для пільгових категорій</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294A2B28"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7223,704</w:t>
            </w:r>
          </w:p>
        </w:tc>
        <w:tc>
          <w:tcPr>
            <w:tcW w:w="850" w:type="dxa"/>
            <w:tcBorders>
              <w:top w:val="single" w:sz="4" w:space="0" w:color="auto"/>
              <w:left w:val="single" w:sz="4" w:space="0" w:color="auto"/>
              <w:bottom w:val="single" w:sz="4" w:space="0" w:color="auto"/>
              <w:right w:val="single" w:sz="4" w:space="0" w:color="auto"/>
            </w:tcBorders>
            <w:shd w:val="clear" w:color="000000" w:fill="F8CBAD"/>
            <w:noWrap/>
            <w:textDirection w:val="btLr"/>
            <w:vAlign w:val="center"/>
            <w:hideMark/>
          </w:tcPr>
          <w:p w14:paraId="1D667773"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7223,704</w:t>
            </w:r>
          </w:p>
        </w:tc>
        <w:tc>
          <w:tcPr>
            <w:tcW w:w="99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7F01290D"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851"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6A90D35A"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850"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510918CF"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6509935D"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7223,704</w:t>
            </w:r>
          </w:p>
        </w:tc>
        <w:tc>
          <w:tcPr>
            <w:tcW w:w="709" w:type="dxa"/>
            <w:tcBorders>
              <w:top w:val="single" w:sz="4" w:space="0" w:color="auto"/>
              <w:left w:val="single" w:sz="4" w:space="0" w:color="auto"/>
              <w:bottom w:val="single" w:sz="4" w:space="0" w:color="auto"/>
              <w:right w:val="single" w:sz="4" w:space="0" w:color="auto"/>
            </w:tcBorders>
            <w:shd w:val="clear" w:color="000000" w:fill="C6E0B4"/>
            <w:textDirection w:val="btLr"/>
            <w:vAlign w:val="center"/>
            <w:hideMark/>
          </w:tcPr>
          <w:p w14:paraId="3B6752A4"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05DA4116"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8"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20FFA4DD"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0A646AC9"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496152D9"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567" w:type="dxa"/>
            <w:tcBorders>
              <w:top w:val="single" w:sz="4" w:space="0" w:color="auto"/>
              <w:left w:val="single" w:sz="4" w:space="0" w:color="auto"/>
              <w:bottom w:val="single" w:sz="4" w:space="0" w:color="auto"/>
              <w:right w:val="single" w:sz="4" w:space="0" w:color="auto"/>
            </w:tcBorders>
            <w:shd w:val="clear" w:color="000000" w:fill="D6DCE4"/>
            <w:textDirection w:val="btLr"/>
            <w:vAlign w:val="center"/>
            <w:hideMark/>
          </w:tcPr>
          <w:p w14:paraId="35B420A8"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567"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5A558DFE"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567"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1F35359F"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624"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5756E143"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567"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3B0CB2A3"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712DF53F"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7223,704</w:t>
            </w:r>
          </w:p>
        </w:tc>
      </w:tr>
      <w:tr w:rsidR="006B4969" w:rsidRPr="00C2587D" w14:paraId="60B06C16" w14:textId="77777777" w:rsidTr="00FF28D2">
        <w:trPr>
          <w:cantSplit/>
          <w:trHeight w:val="2106"/>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B750E4"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7</w:t>
            </w:r>
          </w:p>
        </w:tc>
        <w:tc>
          <w:tcPr>
            <w:tcW w:w="2113" w:type="dxa"/>
            <w:tcBorders>
              <w:top w:val="single" w:sz="4" w:space="0" w:color="auto"/>
              <w:left w:val="nil"/>
              <w:bottom w:val="single" w:sz="4" w:space="0" w:color="auto"/>
              <w:right w:val="single" w:sz="4" w:space="0" w:color="auto"/>
            </w:tcBorders>
            <w:shd w:val="clear" w:color="auto" w:fill="auto"/>
            <w:vAlign w:val="center"/>
            <w:hideMark/>
          </w:tcPr>
          <w:p w14:paraId="7FA72BF7"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Цільова соціальна програма «Підтримка сім’ї, запобігання та протидія домашньому насильству, забезпечення гендерної рівності, протидія торгівлі людьми до 2025 року»</w:t>
            </w:r>
          </w:p>
        </w:tc>
        <w:tc>
          <w:tcPr>
            <w:tcW w:w="737" w:type="dxa"/>
            <w:tcBorders>
              <w:top w:val="single" w:sz="4" w:space="0" w:color="auto"/>
              <w:left w:val="nil"/>
              <w:bottom w:val="single" w:sz="4" w:space="0" w:color="auto"/>
              <w:right w:val="single" w:sz="4" w:space="0" w:color="auto"/>
            </w:tcBorders>
            <w:shd w:val="clear" w:color="auto" w:fill="auto"/>
            <w:textDirection w:val="btLr"/>
            <w:vAlign w:val="center"/>
            <w:hideMark/>
          </w:tcPr>
          <w:p w14:paraId="4B4EAD92"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63,000</w:t>
            </w:r>
          </w:p>
        </w:tc>
        <w:tc>
          <w:tcPr>
            <w:tcW w:w="850" w:type="dxa"/>
            <w:tcBorders>
              <w:top w:val="single" w:sz="4" w:space="0" w:color="auto"/>
              <w:left w:val="nil"/>
              <w:bottom w:val="single" w:sz="4" w:space="0" w:color="auto"/>
              <w:right w:val="single" w:sz="4" w:space="0" w:color="auto"/>
            </w:tcBorders>
            <w:shd w:val="clear" w:color="000000" w:fill="F8CBAD"/>
            <w:noWrap/>
            <w:textDirection w:val="btLr"/>
            <w:vAlign w:val="center"/>
            <w:hideMark/>
          </w:tcPr>
          <w:p w14:paraId="2465AA35"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63,000</w:t>
            </w:r>
          </w:p>
        </w:tc>
        <w:tc>
          <w:tcPr>
            <w:tcW w:w="992" w:type="dxa"/>
            <w:tcBorders>
              <w:top w:val="single" w:sz="4" w:space="0" w:color="auto"/>
              <w:left w:val="nil"/>
              <w:bottom w:val="single" w:sz="4" w:space="0" w:color="auto"/>
              <w:right w:val="single" w:sz="4" w:space="0" w:color="000000"/>
            </w:tcBorders>
            <w:shd w:val="clear" w:color="auto" w:fill="auto"/>
            <w:noWrap/>
            <w:textDirection w:val="btLr"/>
            <w:vAlign w:val="center"/>
            <w:hideMark/>
          </w:tcPr>
          <w:p w14:paraId="6B3F89DE"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63,000</w:t>
            </w:r>
          </w:p>
        </w:tc>
        <w:tc>
          <w:tcPr>
            <w:tcW w:w="851"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7F9908F3"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850"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2CF9437F"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9"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719F244B"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9" w:type="dxa"/>
            <w:tcBorders>
              <w:top w:val="single" w:sz="4" w:space="0" w:color="auto"/>
              <w:left w:val="nil"/>
              <w:bottom w:val="single" w:sz="4" w:space="0" w:color="auto"/>
              <w:right w:val="single" w:sz="4" w:space="0" w:color="auto"/>
            </w:tcBorders>
            <w:shd w:val="clear" w:color="000000" w:fill="C6E0B4"/>
            <w:textDirection w:val="btLr"/>
            <w:vAlign w:val="center"/>
            <w:hideMark/>
          </w:tcPr>
          <w:p w14:paraId="01404431"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9"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1984B17E"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8"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1299F044"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9"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36A3163E"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9"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299906D4"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567" w:type="dxa"/>
            <w:tcBorders>
              <w:top w:val="single" w:sz="4" w:space="0" w:color="auto"/>
              <w:left w:val="nil"/>
              <w:bottom w:val="single" w:sz="4" w:space="0" w:color="auto"/>
              <w:right w:val="single" w:sz="4" w:space="0" w:color="auto"/>
            </w:tcBorders>
            <w:shd w:val="clear" w:color="000000" w:fill="D6DCE4"/>
            <w:textDirection w:val="btLr"/>
            <w:vAlign w:val="center"/>
            <w:hideMark/>
          </w:tcPr>
          <w:p w14:paraId="6EA7BAF2"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567"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33BBBE24"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567"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447A3808"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624"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1FC4534A"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567"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49BC0331"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1106"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4CD34950"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63,000</w:t>
            </w:r>
          </w:p>
        </w:tc>
      </w:tr>
      <w:tr w:rsidR="006B4969" w:rsidRPr="00C2587D" w14:paraId="23C85B6A" w14:textId="77777777" w:rsidTr="00FF28D2">
        <w:trPr>
          <w:cantSplit/>
          <w:trHeight w:val="1838"/>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2F62A7"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8</w:t>
            </w:r>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E898A2"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Цільова програма «Підвищення якості медичного обслуговування населення Жмеринської міської територіальної громади на 2025-2027 роки»</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5D342AFC"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58352,500</w:t>
            </w:r>
          </w:p>
        </w:tc>
        <w:tc>
          <w:tcPr>
            <w:tcW w:w="850" w:type="dxa"/>
            <w:tcBorders>
              <w:top w:val="single" w:sz="4" w:space="0" w:color="auto"/>
              <w:left w:val="single" w:sz="4" w:space="0" w:color="auto"/>
              <w:bottom w:val="single" w:sz="4" w:space="0" w:color="auto"/>
              <w:right w:val="single" w:sz="4" w:space="0" w:color="auto"/>
            </w:tcBorders>
            <w:shd w:val="clear" w:color="000000" w:fill="F8CBAD"/>
            <w:noWrap/>
            <w:textDirection w:val="btLr"/>
            <w:vAlign w:val="center"/>
            <w:hideMark/>
          </w:tcPr>
          <w:p w14:paraId="3561DEDD"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58352,500</w:t>
            </w:r>
          </w:p>
        </w:tc>
        <w:tc>
          <w:tcPr>
            <w:tcW w:w="99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06AF8B8C"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17561,500</w:t>
            </w:r>
          </w:p>
        </w:tc>
        <w:tc>
          <w:tcPr>
            <w:tcW w:w="851"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1789235F"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24491,900</w:t>
            </w:r>
          </w:p>
        </w:tc>
        <w:tc>
          <w:tcPr>
            <w:tcW w:w="850"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031EBF1E"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16299,100</w:t>
            </w:r>
          </w:p>
        </w:tc>
        <w:tc>
          <w:tcPr>
            <w:tcW w:w="70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4D969FF0"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9" w:type="dxa"/>
            <w:tcBorders>
              <w:top w:val="single" w:sz="4" w:space="0" w:color="auto"/>
              <w:left w:val="single" w:sz="4" w:space="0" w:color="auto"/>
              <w:bottom w:val="single" w:sz="4" w:space="0" w:color="auto"/>
              <w:right w:val="single" w:sz="4" w:space="0" w:color="auto"/>
            </w:tcBorders>
            <w:shd w:val="clear" w:color="000000" w:fill="C6E0B4"/>
            <w:textDirection w:val="btLr"/>
            <w:vAlign w:val="center"/>
            <w:hideMark/>
          </w:tcPr>
          <w:p w14:paraId="2682A351"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7CC01ED5"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8"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716BCB5C"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4F657D89"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038DC704"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567" w:type="dxa"/>
            <w:tcBorders>
              <w:top w:val="single" w:sz="4" w:space="0" w:color="auto"/>
              <w:left w:val="single" w:sz="4" w:space="0" w:color="auto"/>
              <w:bottom w:val="single" w:sz="4" w:space="0" w:color="auto"/>
              <w:right w:val="single" w:sz="4" w:space="0" w:color="auto"/>
            </w:tcBorders>
            <w:shd w:val="clear" w:color="000000" w:fill="D6DCE4"/>
            <w:textDirection w:val="btLr"/>
            <w:vAlign w:val="center"/>
            <w:hideMark/>
          </w:tcPr>
          <w:p w14:paraId="71189A8C"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567"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57EDF29B"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567"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5E8106FD"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624"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16F5FA38"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567"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758CF5CE"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110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3BBEDA45"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58352,500</w:t>
            </w:r>
          </w:p>
        </w:tc>
      </w:tr>
      <w:tr w:rsidR="006B4969" w:rsidRPr="00C2587D" w14:paraId="79530E3D" w14:textId="77777777" w:rsidTr="00FF28D2">
        <w:trPr>
          <w:cantSplit/>
          <w:trHeight w:val="1830"/>
        </w:trPr>
        <w:tc>
          <w:tcPr>
            <w:tcW w:w="531" w:type="dxa"/>
            <w:tcBorders>
              <w:top w:val="nil"/>
              <w:left w:val="single" w:sz="4" w:space="0" w:color="auto"/>
              <w:bottom w:val="single" w:sz="4" w:space="0" w:color="auto"/>
              <w:right w:val="single" w:sz="4" w:space="0" w:color="auto"/>
            </w:tcBorders>
            <w:shd w:val="clear" w:color="auto" w:fill="auto"/>
            <w:noWrap/>
            <w:vAlign w:val="center"/>
            <w:hideMark/>
          </w:tcPr>
          <w:p w14:paraId="5867BCE2"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9</w:t>
            </w:r>
          </w:p>
        </w:tc>
        <w:tc>
          <w:tcPr>
            <w:tcW w:w="2113" w:type="dxa"/>
            <w:tcBorders>
              <w:top w:val="single" w:sz="4" w:space="0" w:color="auto"/>
              <w:left w:val="nil"/>
              <w:bottom w:val="single" w:sz="4" w:space="0" w:color="auto"/>
              <w:right w:val="single" w:sz="4" w:space="0" w:color="auto"/>
            </w:tcBorders>
            <w:shd w:val="clear" w:color="auto" w:fill="auto"/>
            <w:vAlign w:val="center"/>
            <w:hideMark/>
          </w:tcPr>
          <w:p w14:paraId="1EC61FF7"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Проєкт - Цільової програми «Підвищення якості медичного обслуговування населення Жмеринської міської територіальної громади на 2028-2030 роки»</w:t>
            </w:r>
          </w:p>
        </w:tc>
        <w:tc>
          <w:tcPr>
            <w:tcW w:w="737" w:type="dxa"/>
            <w:tcBorders>
              <w:top w:val="nil"/>
              <w:left w:val="nil"/>
              <w:bottom w:val="single" w:sz="4" w:space="0" w:color="auto"/>
              <w:right w:val="single" w:sz="4" w:space="0" w:color="auto"/>
            </w:tcBorders>
            <w:shd w:val="clear" w:color="auto" w:fill="auto"/>
            <w:textDirection w:val="btLr"/>
            <w:vAlign w:val="center"/>
            <w:hideMark/>
          </w:tcPr>
          <w:p w14:paraId="31C515DB"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17260,750</w:t>
            </w:r>
          </w:p>
        </w:tc>
        <w:tc>
          <w:tcPr>
            <w:tcW w:w="850" w:type="dxa"/>
            <w:tcBorders>
              <w:top w:val="nil"/>
              <w:left w:val="nil"/>
              <w:bottom w:val="single" w:sz="4" w:space="0" w:color="auto"/>
              <w:right w:val="single" w:sz="4" w:space="0" w:color="auto"/>
            </w:tcBorders>
            <w:shd w:val="clear" w:color="000000" w:fill="F8CBAD"/>
            <w:noWrap/>
            <w:textDirection w:val="btLr"/>
            <w:vAlign w:val="center"/>
            <w:hideMark/>
          </w:tcPr>
          <w:p w14:paraId="70E44534"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17260,750</w:t>
            </w:r>
          </w:p>
        </w:tc>
        <w:tc>
          <w:tcPr>
            <w:tcW w:w="992" w:type="dxa"/>
            <w:tcBorders>
              <w:top w:val="single" w:sz="4" w:space="0" w:color="auto"/>
              <w:left w:val="nil"/>
              <w:bottom w:val="single" w:sz="4" w:space="0" w:color="auto"/>
              <w:right w:val="single" w:sz="4" w:space="0" w:color="000000"/>
            </w:tcBorders>
            <w:shd w:val="clear" w:color="auto" w:fill="auto"/>
            <w:noWrap/>
            <w:textDirection w:val="btLr"/>
            <w:vAlign w:val="center"/>
            <w:hideMark/>
          </w:tcPr>
          <w:p w14:paraId="003FC325"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851" w:type="dxa"/>
            <w:tcBorders>
              <w:top w:val="nil"/>
              <w:left w:val="nil"/>
              <w:bottom w:val="single" w:sz="4" w:space="0" w:color="auto"/>
              <w:right w:val="single" w:sz="4" w:space="0" w:color="auto"/>
            </w:tcBorders>
            <w:shd w:val="clear" w:color="auto" w:fill="auto"/>
            <w:noWrap/>
            <w:textDirection w:val="btLr"/>
            <w:vAlign w:val="center"/>
            <w:hideMark/>
          </w:tcPr>
          <w:p w14:paraId="292E219C"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850" w:type="dxa"/>
            <w:tcBorders>
              <w:top w:val="nil"/>
              <w:left w:val="nil"/>
              <w:bottom w:val="single" w:sz="4" w:space="0" w:color="auto"/>
              <w:right w:val="single" w:sz="4" w:space="0" w:color="auto"/>
            </w:tcBorders>
            <w:shd w:val="clear" w:color="auto" w:fill="auto"/>
            <w:noWrap/>
            <w:textDirection w:val="btLr"/>
            <w:vAlign w:val="center"/>
            <w:hideMark/>
          </w:tcPr>
          <w:p w14:paraId="69CC15DE"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9" w:type="dxa"/>
            <w:tcBorders>
              <w:top w:val="nil"/>
              <w:left w:val="nil"/>
              <w:bottom w:val="single" w:sz="4" w:space="0" w:color="auto"/>
              <w:right w:val="single" w:sz="4" w:space="0" w:color="auto"/>
            </w:tcBorders>
            <w:shd w:val="clear" w:color="auto" w:fill="auto"/>
            <w:noWrap/>
            <w:textDirection w:val="btLr"/>
            <w:vAlign w:val="center"/>
            <w:hideMark/>
          </w:tcPr>
          <w:p w14:paraId="556FD6B7"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17260,750</w:t>
            </w:r>
          </w:p>
        </w:tc>
        <w:tc>
          <w:tcPr>
            <w:tcW w:w="709" w:type="dxa"/>
            <w:tcBorders>
              <w:top w:val="nil"/>
              <w:left w:val="nil"/>
              <w:bottom w:val="single" w:sz="4" w:space="0" w:color="auto"/>
              <w:right w:val="single" w:sz="4" w:space="0" w:color="auto"/>
            </w:tcBorders>
            <w:shd w:val="clear" w:color="000000" w:fill="C6E0B4"/>
            <w:textDirection w:val="btLr"/>
            <w:vAlign w:val="center"/>
            <w:hideMark/>
          </w:tcPr>
          <w:p w14:paraId="3E8D07FE"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9" w:type="dxa"/>
            <w:tcBorders>
              <w:top w:val="nil"/>
              <w:left w:val="nil"/>
              <w:bottom w:val="single" w:sz="4" w:space="0" w:color="auto"/>
              <w:right w:val="single" w:sz="4" w:space="0" w:color="auto"/>
            </w:tcBorders>
            <w:shd w:val="clear" w:color="auto" w:fill="auto"/>
            <w:noWrap/>
            <w:textDirection w:val="btLr"/>
            <w:vAlign w:val="center"/>
            <w:hideMark/>
          </w:tcPr>
          <w:p w14:paraId="43786920"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8" w:type="dxa"/>
            <w:tcBorders>
              <w:top w:val="nil"/>
              <w:left w:val="nil"/>
              <w:bottom w:val="single" w:sz="4" w:space="0" w:color="auto"/>
              <w:right w:val="single" w:sz="4" w:space="0" w:color="auto"/>
            </w:tcBorders>
            <w:shd w:val="clear" w:color="auto" w:fill="auto"/>
            <w:noWrap/>
            <w:textDirection w:val="btLr"/>
            <w:vAlign w:val="center"/>
            <w:hideMark/>
          </w:tcPr>
          <w:p w14:paraId="7D65BFE5"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9" w:type="dxa"/>
            <w:tcBorders>
              <w:top w:val="nil"/>
              <w:left w:val="nil"/>
              <w:bottom w:val="single" w:sz="4" w:space="0" w:color="auto"/>
              <w:right w:val="single" w:sz="4" w:space="0" w:color="auto"/>
            </w:tcBorders>
            <w:shd w:val="clear" w:color="auto" w:fill="auto"/>
            <w:noWrap/>
            <w:textDirection w:val="btLr"/>
            <w:vAlign w:val="center"/>
            <w:hideMark/>
          </w:tcPr>
          <w:p w14:paraId="437FBB23"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709" w:type="dxa"/>
            <w:tcBorders>
              <w:top w:val="nil"/>
              <w:left w:val="nil"/>
              <w:bottom w:val="single" w:sz="4" w:space="0" w:color="auto"/>
              <w:right w:val="single" w:sz="4" w:space="0" w:color="auto"/>
            </w:tcBorders>
            <w:shd w:val="clear" w:color="auto" w:fill="auto"/>
            <w:noWrap/>
            <w:textDirection w:val="btLr"/>
            <w:vAlign w:val="center"/>
            <w:hideMark/>
          </w:tcPr>
          <w:p w14:paraId="163B0CCD"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567" w:type="dxa"/>
            <w:tcBorders>
              <w:top w:val="nil"/>
              <w:left w:val="nil"/>
              <w:bottom w:val="single" w:sz="4" w:space="0" w:color="auto"/>
              <w:right w:val="single" w:sz="4" w:space="0" w:color="auto"/>
            </w:tcBorders>
            <w:shd w:val="clear" w:color="000000" w:fill="D6DCE4"/>
            <w:textDirection w:val="btLr"/>
            <w:vAlign w:val="center"/>
            <w:hideMark/>
          </w:tcPr>
          <w:p w14:paraId="7266DB34"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567" w:type="dxa"/>
            <w:tcBorders>
              <w:top w:val="nil"/>
              <w:left w:val="nil"/>
              <w:bottom w:val="single" w:sz="4" w:space="0" w:color="auto"/>
              <w:right w:val="single" w:sz="4" w:space="0" w:color="auto"/>
            </w:tcBorders>
            <w:shd w:val="clear" w:color="auto" w:fill="auto"/>
            <w:noWrap/>
            <w:textDirection w:val="btLr"/>
            <w:vAlign w:val="center"/>
            <w:hideMark/>
          </w:tcPr>
          <w:p w14:paraId="6EF445B6"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567" w:type="dxa"/>
            <w:tcBorders>
              <w:top w:val="nil"/>
              <w:left w:val="nil"/>
              <w:bottom w:val="single" w:sz="4" w:space="0" w:color="auto"/>
              <w:right w:val="single" w:sz="4" w:space="0" w:color="auto"/>
            </w:tcBorders>
            <w:shd w:val="clear" w:color="auto" w:fill="auto"/>
            <w:noWrap/>
            <w:textDirection w:val="btLr"/>
            <w:vAlign w:val="center"/>
            <w:hideMark/>
          </w:tcPr>
          <w:p w14:paraId="2C233FA5"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624" w:type="dxa"/>
            <w:tcBorders>
              <w:top w:val="nil"/>
              <w:left w:val="nil"/>
              <w:bottom w:val="single" w:sz="4" w:space="0" w:color="auto"/>
              <w:right w:val="single" w:sz="4" w:space="0" w:color="auto"/>
            </w:tcBorders>
            <w:shd w:val="clear" w:color="auto" w:fill="auto"/>
            <w:noWrap/>
            <w:textDirection w:val="btLr"/>
            <w:vAlign w:val="center"/>
            <w:hideMark/>
          </w:tcPr>
          <w:p w14:paraId="5F4D5F67"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567" w:type="dxa"/>
            <w:tcBorders>
              <w:top w:val="nil"/>
              <w:left w:val="nil"/>
              <w:bottom w:val="single" w:sz="4" w:space="0" w:color="auto"/>
              <w:right w:val="single" w:sz="4" w:space="0" w:color="auto"/>
            </w:tcBorders>
            <w:shd w:val="clear" w:color="auto" w:fill="auto"/>
            <w:noWrap/>
            <w:textDirection w:val="btLr"/>
            <w:vAlign w:val="center"/>
            <w:hideMark/>
          </w:tcPr>
          <w:p w14:paraId="3651D0AE" w14:textId="77777777" w:rsidR="006B4969" w:rsidRPr="00C2587D" w:rsidRDefault="006B4969" w:rsidP="006B4969">
            <w:pPr>
              <w:ind w:left="113" w:right="113"/>
              <w:jc w:val="center"/>
              <w:rPr>
                <w:rFonts w:ascii="Times New Roman" w:hAnsi="Times New Roman"/>
                <w:sz w:val="20"/>
                <w:szCs w:val="20"/>
              </w:rPr>
            </w:pPr>
            <w:r w:rsidRPr="00C2587D">
              <w:rPr>
                <w:rFonts w:ascii="Times New Roman" w:hAnsi="Times New Roman"/>
                <w:sz w:val="20"/>
                <w:szCs w:val="20"/>
              </w:rPr>
              <w:t>-</w:t>
            </w:r>
          </w:p>
        </w:tc>
        <w:tc>
          <w:tcPr>
            <w:tcW w:w="1106" w:type="dxa"/>
            <w:tcBorders>
              <w:top w:val="nil"/>
              <w:left w:val="nil"/>
              <w:bottom w:val="single" w:sz="4" w:space="0" w:color="auto"/>
              <w:right w:val="single" w:sz="4" w:space="0" w:color="auto"/>
            </w:tcBorders>
            <w:shd w:val="clear" w:color="auto" w:fill="auto"/>
            <w:noWrap/>
            <w:textDirection w:val="btLr"/>
            <w:vAlign w:val="center"/>
            <w:hideMark/>
          </w:tcPr>
          <w:p w14:paraId="7BBF6A04" w14:textId="77777777" w:rsidR="006B4969" w:rsidRPr="00C2587D" w:rsidRDefault="006B4969" w:rsidP="006B4969">
            <w:pPr>
              <w:ind w:left="113" w:right="113"/>
              <w:jc w:val="center"/>
              <w:rPr>
                <w:rFonts w:ascii="Times New Roman" w:hAnsi="Times New Roman"/>
                <w:b/>
                <w:sz w:val="20"/>
                <w:szCs w:val="20"/>
              </w:rPr>
            </w:pPr>
            <w:r w:rsidRPr="00C2587D">
              <w:rPr>
                <w:rFonts w:ascii="Times New Roman" w:hAnsi="Times New Roman"/>
                <w:b/>
                <w:sz w:val="20"/>
                <w:szCs w:val="20"/>
              </w:rPr>
              <w:t>17260,750</w:t>
            </w:r>
          </w:p>
        </w:tc>
      </w:tr>
    </w:tbl>
    <w:p w14:paraId="6B8C250A" w14:textId="77777777" w:rsidR="00DE3DCF" w:rsidRDefault="00DE3DCF">
      <w:r>
        <w:br w:type="page"/>
      </w:r>
    </w:p>
    <w:tbl>
      <w:tblPr>
        <w:tblW w:w="15175" w:type="dxa"/>
        <w:tblInd w:w="-12" w:type="dxa"/>
        <w:tblLayout w:type="fixed"/>
        <w:tblLook w:val="04A0" w:firstRow="1" w:lastRow="0" w:firstColumn="1" w:lastColumn="0" w:noHBand="0" w:noVBand="1"/>
      </w:tblPr>
      <w:tblGrid>
        <w:gridCol w:w="531"/>
        <w:gridCol w:w="2113"/>
        <w:gridCol w:w="737"/>
        <w:gridCol w:w="850"/>
        <w:gridCol w:w="979"/>
        <w:gridCol w:w="864"/>
        <w:gridCol w:w="850"/>
        <w:gridCol w:w="709"/>
        <w:gridCol w:w="709"/>
        <w:gridCol w:w="709"/>
        <w:gridCol w:w="708"/>
        <w:gridCol w:w="709"/>
        <w:gridCol w:w="696"/>
        <w:gridCol w:w="580"/>
        <w:gridCol w:w="567"/>
        <w:gridCol w:w="567"/>
        <w:gridCol w:w="567"/>
        <w:gridCol w:w="591"/>
        <w:gridCol w:w="1139"/>
      </w:tblGrid>
      <w:tr w:rsidR="006B4969" w:rsidRPr="00C2587D" w14:paraId="429C416D" w14:textId="77777777" w:rsidTr="00A041B2">
        <w:trPr>
          <w:cantSplit/>
          <w:trHeight w:val="457"/>
        </w:trPr>
        <w:tc>
          <w:tcPr>
            <w:tcW w:w="15175" w:type="dxa"/>
            <w:gridSpan w:val="19"/>
            <w:tcBorders>
              <w:top w:val="single" w:sz="4" w:space="0" w:color="auto"/>
              <w:left w:val="single" w:sz="4" w:space="0" w:color="auto"/>
              <w:bottom w:val="single" w:sz="4" w:space="0" w:color="auto"/>
              <w:right w:val="single" w:sz="4" w:space="0" w:color="auto"/>
            </w:tcBorders>
            <w:shd w:val="clear" w:color="auto" w:fill="auto"/>
            <w:noWrap/>
            <w:vAlign w:val="center"/>
          </w:tcPr>
          <w:p w14:paraId="025644DB" w14:textId="6413ED86" w:rsidR="006B4969" w:rsidRPr="00C2587D" w:rsidRDefault="006B4969" w:rsidP="006B4969">
            <w:pPr>
              <w:jc w:val="center"/>
              <w:rPr>
                <w:rFonts w:ascii="Times New Roman" w:hAnsi="Times New Roman"/>
                <w:b/>
                <w:sz w:val="20"/>
                <w:szCs w:val="20"/>
              </w:rPr>
            </w:pPr>
            <w:r w:rsidRPr="00C2587D">
              <w:rPr>
                <w:rFonts w:ascii="Times New Roman" w:eastAsia="Arial" w:hAnsi="Times New Roman"/>
                <w:b/>
                <w:sz w:val="20"/>
                <w:szCs w:val="20"/>
                <w:lang w:eastAsia="en-US"/>
              </w:rPr>
              <w:lastRenderedPageBreak/>
              <w:t>Проєкти місцевого (регіонального) розвитку</w:t>
            </w:r>
          </w:p>
        </w:tc>
      </w:tr>
      <w:tr w:rsidR="006B4969" w:rsidRPr="00C2587D" w14:paraId="1E031649"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425"/>
        </w:trPr>
        <w:tc>
          <w:tcPr>
            <w:tcW w:w="531" w:type="dxa"/>
            <w:shd w:val="clear" w:color="auto" w:fill="auto"/>
            <w:vAlign w:val="center"/>
          </w:tcPr>
          <w:p w14:paraId="75C74E96" w14:textId="39E5FE95"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1</w:t>
            </w:r>
          </w:p>
        </w:tc>
        <w:tc>
          <w:tcPr>
            <w:tcW w:w="2113" w:type="dxa"/>
            <w:shd w:val="clear" w:color="auto" w:fill="auto"/>
            <w:vAlign w:val="center"/>
          </w:tcPr>
          <w:p w14:paraId="08C94A8E" w14:textId="5B0DF1B9"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hAnsi="Times New Roman"/>
                <w:sz w:val="20"/>
                <w:szCs w:val="20"/>
              </w:rPr>
              <w:t>Капітальний ремонт частини приміщень 3-го поверху у хірургічному відділенні та сходових клітин будівлі головного корпусу КНП «Жмеринська ЦРЛ» по вул.</w:t>
            </w:r>
            <w:r w:rsidR="002F4F1D">
              <w:rPr>
                <w:rFonts w:ascii="Times New Roman" w:hAnsi="Times New Roman"/>
                <w:sz w:val="20"/>
                <w:szCs w:val="20"/>
              </w:rPr>
              <w:t xml:space="preserve"> </w:t>
            </w:r>
            <w:r w:rsidRPr="00C2587D">
              <w:rPr>
                <w:rFonts w:ascii="Times New Roman" w:hAnsi="Times New Roman"/>
                <w:sz w:val="20"/>
                <w:szCs w:val="20"/>
              </w:rPr>
              <w:t>Київська, 288, м.Жмеринка, Вінницької області</w:t>
            </w:r>
          </w:p>
        </w:tc>
        <w:tc>
          <w:tcPr>
            <w:tcW w:w="737" w:type="dxa"/>
            <w:shd w:val="clear" w:color="auto" w:fill="auto"/>
            <w:textDirection w:val="btLr"/>
            <w:vAlign w:val="center"/>
          </w:tcPr>
          <w:p w14:paraId="2D3DD02D"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17247,349</w:t>
            </w:r>
          </w:p>
        </w:tc>
        <w:tc>
          <w:tcPr>
            <w:tcW w:w="850" w:type="dxa"/>
            <w:shd w:val="clear" w:color="auto" w:fill="FBE4D5"/>
            <w:textDirection w:val="btLr"/>
            <w:vAlign w:val="center"/>
          </w:tcPr>
          <w:p w14:paraId="376816B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3449,470</w:t>
            </w:r>
          </w:p>
        </w:tc>
        <w:tc>
          <w:tcPr>
            <w:tcW w:w="979" w:type="dxa"/>
            <w:shd w:val="clear" w:color="auto" w:fill="auto"/>
            <w:textDirection w:val="btLr"/>
            <w:vAlign w:val="center"/>
          </w:tcPr>
          <w:p w14:paraId="2F3CC93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1344,042</w:t>
            </w:r>
          </w:p>
        </w:tc>
        <w:tc>
          <w:tcPr>
            <w:tcW w:w="864" w:type="dxa"/>
            <w:shd w:val="clear" w:color="auto" w:fill="auto"/>
            <w:textDirection w:val="btLr"/>
            <w:vAlign w:val="center"/>
          </w:tcPr>
          <w:p w14:paraId="4A012A0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2105,428</w:t>
            </w:r>
          </w:p>
        </w:tc>
        <w:tc>
          <w:tcPr>
            <w:tcW w:w="850" w:type="dxa"/>
            <w:shd w:val="clear" w:color="auto" w:fill="auto"/>
            <w:textDirection w:val="btLr"/>
            <w:vAlign w:val="center"/>
          </w:tcPr>
          <w:p w14:paraId="29B6854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shd w:val="clear" w:color="auto" w:fill="auto"/>
            <w:textDirection w:val="btLr"/>
            <w:vAlign w:val="center"/>
          </w:tcPr>
          <w:p w14:paraId="5A2468E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shd w:val="clear" w:color="auto" w:fill="C5E0B3"/>
            <w:textDirection w:val="btLr"/>
            <w:vAlign w:val="center"/>
          </w:tcPr>
          <w:p w14:paraId="41D9843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13797,879</w:t>
            </w:r>
          </w:p>
        </w:tc>
        <w:tc>
          <w:tcPr>
            <w:tcW w:w="709" w:type="dxa"/>
            <w:shd w:val="clear" w:color="auto" w:fill="auto"/>
            <w:textDirection w:val="btLr"/>
            <w:vAlign w:val="center"/>
          </w:tcPr>
          <w:p w14:paraId="50B310F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5376,165</w:t>
            </w:r>
          </w:p>
        </w:tc>
        <w:tc>
          <w:tcPr>
            <w:tcW w:w="708" w:type="dxa"/>
            <w:shd w:val="clear" w:color="auto" w:fill="auto"/>
            <w:textDirection w:val="btLr"/>
            <w:vAlign w:val="center"/>
          </w:tcPr>
          <w:p w14:paraId="009DE64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8421,714</w:t>
            </w:r>
          </w:p>
        </w:tc>
        <w:tc>
          <w:tcPr>
            <w:tcW w:w="709" w:type="dxa"/>
            <w:shd w:val="clear" w:color="auto" w:fill="auto"/>
            <w:textDirection w:val="btLr"/>
            <w:vAlign w:val="center"/>
          </w:tcPr>
          <w:p w14:paraId="449763B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696" w:type="dxa"/>
            <w:shd w:val="clear" w:color="auto" w:fill="auto"/>
            <w:textDirection w:val="btLr"/>
            <w:vAlign w:val="center"/>
          </w:tcPr>
          <w:p w14:paraId="7ED9595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80" w:type="dxa"/>
            <w:shd w:val="clear" w:color="auto" w:fill="D9E2F3"/>
            <w:textDirection w:val="btLr"/>
            <w:vAlign w:val="center"/>
          </w:tcPr>
          <w:p w14:paraId="73455F8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shd w:val="clear" w:color="auto" w:fill="auto"/>
            <w:textDirection w:val="btLr"/>
            <w:vAlign w:val="center"/>
          </w:tcPr>
          <w:p w14:paraId="476FBBA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shd w:val="clear" w:color="auto" w:fill="auto"/>
            <w:textDirection w:val="btLr"/>
            <w:vAlign w:val="center"/>
          </w:tcPr>
          <w:p w14:paraId="247ED34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shd w:val="clear" w:color="auto" w:fill="auto"/>
            <w:textDirection w:val="btLr"/>
            <w:vAlign w:val="center"/>
          </w:tcPr>
          <w:p w14:paraId="307B396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91" w:type="dxa"/>
            <w:shd w:val="clear" w:color="auto" w:fill="auto"/>
            <w:textDirection w:val="btLr"/>
            <w:vAlign w:val="center"/>
          </w:tcPr>
          <w:p w14:paraId="0257227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1139" w:type="dxa"/>
            <w:shd w:val="clear" w:color="auto" w:fill="auto"/>
            <w:textDirection w:val="btLr"/>
            <w:vAlign w:val="center"/>
          </w:tcPr>
          <w:p w14:paraId="63D28347"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17247,349</w:t>
            </w:r>
          </w:p>
        </w:tc>
      </w:tr>
      <w:tr w:rsidR="006B4969" w:rsidRPr="00C2587D" w14:paraId="741BC1E1"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661"/>
        </w:trPr>
        <w:tc>
          <w:tcPr>
            <w:tcW w:w="531" w:type="dxa"/>
            <w:tcBorders>
              <w:top w:val="single" w:sz="4" w:space="0" w:color="auto"/>
              <w:left w:val="single" w:sz="4" w:space="0" w:color="auto"/>
              <w:bottom w:val="single" w:sz="4" w:space="0" w:color="auto"/>
              <w:right w:val="single" w:sz="4" w:space="0" w:color="auto"/>
            </w:tcBorders>
            <w:shd w:val="clear" w:color="auto" w:fill="auto"/>
            <w:vAlign w:val="center"/>
          </w:tcPr>
          <w:p w14:paraId="777AB0AE" w14:textId="71381FFE"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2</w:t>
            </w:r>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tcPr>
          <w:p w14:paraId="74E113CE" w14:textId="2C6EBD5F"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Капітальний ремонт будівлі адміністрації з травмпунктом  КНП «Жмеринська ЦРЛ» вул.</w:t>
            </w:r>
            <w:r w:rsidR="002F4F1D">
              <w:rPr>
                <w:rFonts w:ascii="Times New Roman" w:eastAsia="Arial" w:hAnsi="Times New Roman"/>
                <w:sz w:val="20"/>
                <w:szCs w:val="20"/>
                <w:lang w:eastAsia="en-US"/>
              </w:rPr>
              <w:t xml:space="preserve"> </w:t>
            </w:r>
            <w:r w:rsidRPr="00C2587D">
              <w:rPr>
                <w:rFonts w:ascii="Times New Roman" w:eastAsia="Arial" w:hAnsi="Times New Roman"/>
                <w:sz w:val="20"/>
                <w:szCs w:val="20"/>
                <w:lang w:eastAsia="en-US"/>
              </w:rPr>
              <w:t>Київська, 288, м.Жмеринка, Вінницької області</w:t>
            </w:r>
          </w:p>
        </w:tc>
        <w:tc>
          <w:tcPr>
            <w:tcW w:w="73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9C1C510"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7024,662</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19B1E12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7024,662</w:t>
            </w:r>
          </w:p>
        </w:tc>
        <w:tc>
          <w:tcPr>
            <w:tcW w:w="97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816CBF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7024,662</w:t>
            </w:r>
          </w:p>
        </w:tc>
        <w:tc>
          <w:tcPr>
            <w:tcW w:w="86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D9B8AC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3291D5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B583D7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333BFA4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EFCE75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7437F8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380E54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696"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2E83F8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80"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42D96E5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tcPr>
          <w:p w14:paraId="2A69D83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tcPr>
          <w:p w14:paraId="3998981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tcPr>
          <w:p w14:paraId="2E0E6EB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91" w:type="dxa"/>
            <w:tcBorders>
              <w:top w:val="single" w:sz="4" w:space="0" w:color="auto"/>
              <w:left w:val="single" w:sz="4" w:space="0" w:color="auto"/>
              <w:bottom w:val="single" w:sz="4" w:space="0" w:color="auto"/>
              <w:right w:val="single" w:sz="4" w:space="0" w:color="auto"/>
            </w:tcBorders>
            <w:shd w:val="clear" w:color="auto" w:fill="auto"/>
            <w:textDirection w:val="btLr"/>
          </w:tcPr>
          <w:p w14:paraId="7ABB02B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113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3649101"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7024,662</w:t>
            </w:r>
          </w:p>
        </w:tc>
      </w:tr>
      <w:tr w:rsidR="006B4969" w:rsidRPr="00C2587D" w14:paraId="191A6E1F"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745"/>
        </w:trPr>
        <w:tc>
          <w:tcPr>
            <w:tcW w:w="531" w:type="dxa"/>
            <w:shd w:val="clear" w:color="auto" w:fill="auto"/>
            <w:vAlign w:val="center"/>
          </w:tcPr>
          <w:p w14:paraId="67E9D1F1" w14:textId="2155774E"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3</w:t>
            </w:r>
          </w:p>
        </w:tc>
        <w:tc>
          <w:tcPr>
            <w:tcW w:w="2113" w:type="dxa"/>
            <w:shd w:val="clear" w:color="auto" w:fill="auto"/>
            <w:vAlign w:val="center"/>
          </w:tcPr>
          <w:p w14:paraId="6873FF57"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hAnsi="Times New Roman"/>
                <w:sz w:val="20"/>
                <w:szCs w:val="20"/>
              </w:rPr>
              <w:t>Капітальний ремонт харчоблоку КНП «Жмеринська ЦРЛ» за адресою: вул. Київська, 288 в м.Жмеринка Вінницької області</w:t>
            </w:r>
          </w:p>
        </w:tc>
        <w:tc>
          <w:tcPr>
            <w:tcW w:w="737" w:type="dxa"/>
            <w:shd w:val="clear" w:color="auto" w:fill="auto"/>
            <w:textDirection w:val="btLr"/>
            <w:vAlign w:val="center"/>
          </w:tcPr>
          <w:p w14:paraId="45178E16"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11211,696</w:t>
            </w:r>
          </w:p>
        </w:tc>
        <w:tc>
          <w:tcPr>
            <w:tcW w:w="850" w:type="dxa"/>
            <w:shd w:val="clear" w:color="auto" w:fill="FBE4D5"/>
            <w:textDirection w:val="btLr"/>
            <w:vAlign w:val="center"/>
          </w:tcPr>
          <w:p w14:paraId="33B2C7E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11211,696</w:t>
            </w:r>
          </w:p>
        </w:tc>
        <w:tc>
          <w:tcPr>
            <w:tcW w:w="979" w:type="dxa"/>
            <w:shd w:val="clear" w:color="auto" w:fill="auto"/>
            <w:textDirection w:val="btLr"/>
            <w:vAlign w:val="center"/>
          </w:tcPr>
          <w:p w14:paraId="6CAB773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864" w:type="dxa"/>
            <w:shd w:val="clear" w:color="auto" w:fill="auto"/>
            <w:textDirection w:val="btLr"/>
            <w:vAlign w:val="center"/>
          </w:tcPr>
          <w:p w14:paraId="0909E08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850" w:type="dxa"/>
            <w:shd w:val="clear" w:color="auto" w:fill="auto"/>
            <w:textDirection w:val="btLr"/>
            <w:vAlign w:val="center"/>
          </w:tcPr>
          <w:p w14:paraId="5AF6BF8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shd w:val="clear" w:color="auto" w:fill="auto"/>
            <w:textDirection w:val="btLr"/>
            <w:vAlign w:val="center"/>
          </w:tcPr>
          <w:p w14:paraId="471F8CB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11211,696</w:t>
            </w:r>
          </w:p>
        </w:tc>
        <w:tc>
          <w:tcPr>
            <w:tcW w:w="709" w:type="dxa"/>
            <w:shd w:val="clear" w:color="auto" w:fill="C5E0B3"/>
            <w:textDirection w:val="btLr"/>
            <w:vAlign w:val="center"/>
          </w:tcPr>
          <w:p w14:paraId="20672CE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shd w:val="clear" w:color="auto" w:fill="auto"/>
            <w:textDirection w:val="btLr"/>
            <w:vAlign w:val="center"/>
          </w:tcPr>
          <w:p w14:paraId="3132E95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8" w:type="dxa"/>
            <w:shd w:val="clear" w:color="auto" w:fill="auto"/>
            <w:textDirection w:val="btLr"/>
            <w:vAlign w:val="center"/>
          </w:tcPr>
          <w:p w14:paraId="092DC03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shd w:val="clear" w:color="auto" w:fill="auto"/>
            <w:textDirection w:val="btLr"/>
            <w:vAlign w:val="center"/>
          </w:tcPr>
          <w:p w14:paraId="3B34A8A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696" w:type="dxa"/>
            <w:shd w:val="clear" w:color="auto" w:fill="auto"/>
            <w:textDirection w:val="btLr"/>
            <w:vAlign w:val="center"/>
          </w:tcPr>
          <w:p w14:paraId="6E369C8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80" w:type="dxa"/>
            <w:shd w:val="clear" w:color="auto" w:fill="D9E2F3"/>
            <w:textDirection w:val="btLr"/>
            <w:vAlign w:val="center"/>
          </w:tcPr>
          <w:p w14:paraId="401FD80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shd w:val="clear" w:color="auto" w:fill="auto"/>
            <w:textDirection w:val="btLr"/>
            <w:vAlign w:val="center"/>
          </w:tcPr>
          <w:p w14:paraId="20AFA7D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shd w:val="clear" w:color="auto" w:fill="auto"/>
            <w:textDirection w:val="btLr"/>
            <w:vAlign w:val="center"/>
          </w:tcPr>
          <w:p w14:paraId="0DC5A88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shd w:val="clear" w:color="auto" w:fill="auto"/>
            <w:textDirection w:val="btLr"/>
            <w:vAlign w:val="center"/>
          </w:tcPr>
          <w:p w14:paraId="72DF5EA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91" w:type="dxa"/>
            <w:shd w:val="clear" w:color="auto" w:fill="auto"/>
            <w:textDirection w:val="btLr"/>
            <w:vAlign w:val="center"/>
          </w:tcPr>
          <w:p w14:paraId="7E3FAA3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1139" w:type="dxa"/>
            <w:shd w:val="clear" w:color="auto" w:fill="auto"/>
            <w:textDirection w:val="btLr"/>
            <w:vAlign w:val="center"/>
          </w:tcPr>
          <w:p w14:paraId="6B724052"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11211,696</w:t>
            </w:r>
          </w:p>
        </w:tc>
      </w:tr>
      <w:tr w:rsidR="006B4969" w:rsidRPr="00C2587D" w14:paraId="3FA04598"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004"/>
        </w:trPr>
        <w:tc>
          <w:tcPr>
            <w:tcW w:w="531" w:type="dxa"/>
            <w:shd w:val="clear" w:color="auto" w:fill="auto"/>
            <w:vAlign w:val="center"/>
          </w:tcPr>
          <w:p w14:paraId="25FF5722" w14:textId="70F5FD56"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4</w:t>
            </w:r>
          </w:p>
        </w:tc>
        <w:tc>
          <w:tcPr>
            <w:tcW w:w="2113" w:type="dxa"/>
            <w:shd w:val="clear" w:color="auto" w:fill="auto"/>
            <w:vAlign w:val="center"/>
          </w:tcPr>
          <w:p w14:paraId="573C3C06"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hAnsi="Times New Roman"/>
                <w:sz w:val="20"/>
                <w:szCs w:val="20"/>
              </w:rPr>
              <w:t>Придбання наркозно-дихального апарату</w:t>
            </w:r>
          </w:p>
        </w:tc>
        <w:tc>
          <w:tcPr>
            <w:tcW w:w="737" w:type="dxa"/>
            <w:shd w:val="clear" w:color="auto" w:fill="auto"/>
            <w:textDirection w:val="btLr"/>
            <w:vAlign w:val="center"/>
          </w:tcPr>
          <w:p w14:paraId="3CD78400" w14:textId="103CC150"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2600,00</w:t>
            </w:r>
          </w:p>
        </w:tc>
        <w:tc>
          <w:tcPr>
            <w:tcW w:w="850" w:type="dxa"/>
            <w:shd w:val="clear" w:color="auto" w:fill="FBE4D5"/>
            <w:textDirection w:val="btLr"/>
            <w:vAlign w:val="center"/>
          </w:tcPr>
          <w:p w14:paraId="32EFDB54" w14:textId="35560539"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2600,00</w:t>
            </w:r>
          </w:p>
        </w:tc>
        <w:tc>
          <w:tcPr>
            <w:tcW w:w="979" w:type="dxa"/>
            <w:shd w:val="clear" w:color="auto" w:fill="auto"/>
            <w:textDirection w:val="btLr"/>
            <w:vAlign w:val="center"/>
          </w:tcPr>
          <w:p w14:paraId="36BDEB80" w14:textId="37F4FBD5"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2600,00</w:t>
            </w:r>
          </w:p>
        </w:tc>
        <w:tc>
          <w:tcPr>
            <w:tcW w:w="864" w:type="dxa"/>
            <w:shd w:val="clear" w:color="auto" w:fill="auto"/>
            <w:textDirection w:val="btLr"/>
            <w:vAlign w:val="center"/>
          </w:tcPr>
          <w:p w14:paraId="2F005A0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850" w:type="dxa"/>
            <w:shd w:val="clear" w:color="auto" w:fill="auto"/>
            <w:textDirection w:val="btLr"/>
            <w:vAlign w:val="center"/>
          </w:tcPr>
          <w:p w14:paraId="3B899D4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shd w:val="clear" w:color="auto" w:fill="auto"/>
            <w:textDirection w:val="btLr"/>
            <w:vAlign w:val="center"/>
          </w:tcPr>
          <w:p w14:paraId="29644AA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shd w:val="clear" w:color="auto" w:fill="C5E0B3"/>
            <w:textDirection w:val="btLr"/>
            <w:vAlign w:val="center"/>
          </w:tcPr>
          <w:p w14:paraId="0790743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shd w:val="clear" w:color="auto" w:fill="auto"/>
            <w:textDirection w:val="btLr"/>
            <w:vAlign w:val="center"/>
          </w:tcPr>
          <w:p w14:paraId="4BC6EE0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8" w:type="dxa"/>
            <w:shd w:val="clear" w:color="auto" w:fill="auto"/>
            <w:textDirection w:val="btLr"/>
            <w:vAlign w:val="center"/>
          </w:tcPr>
          <w:p w14:paraId="29A6FF3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shd w:val="clear" w:color="auto" w:fill="auto"/>
            <w:textDirection w:val="btLr"/>
            <w:vAlign w:val="center"/>
          </w:tcPr>
          <w:p w14:paraId="0699344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696" w:type="dxa"/>
            <w:shd w:val="clear" w:color="auto" w:fill="auto"/>
            <w:textDirection w:val="btLr"/>
            <w:vAlign w:val="center"/>
          </w:tcPr>
          <w:p w14:paraId="3E76443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80" w:type="dxa"/>
            <w:shd w:val="clear" w:color="auto" w:fill="D9E2F3"/>
            <w:textDirection w:val="btLr"/>
            <w:vAlign w:val="center"/>
          </w:tcPr>
          <w:p w14:paraId="5A24622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shd w:val="clear" w:color="auto" w:fill="auto"/>
            <w:textDirection w:val="btLr"/>
            <w:vAlign w:val="center"/>
          </w:tcPr>
          <w:p w14:paraId="40D5458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shd w:val="clear" w:color="auto" w:fill="auto"/>
            <w:textDirection w:val="btLr"/>
            <w:vAlign w:val="center"/>
          </w:tcPr>
          <w:p w14:paraId="50D95F6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shd w:val="clear" w:color="auto" w:fill="auto"/>
            <w:textDirection w:val="btLr"/>
            <w:vAlign w:val="center"/>
          </w:tcPr>
          <w:p w14:paraId="3E2EBD7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91" w:type="dxa"/>
            <w:shd w:val="clear" w:color="auto" w:fill="auto"/>
            <w:textDirection w:val="btLr"/>
            <w:vAlign w:val="center"/>
          </w:tcPr>
          <w:p w14:paraId="2226D15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1139" w:type="dxa"/>
            <w:shd w:val="clear" w:color="auto" w:fill="auto"/>
            <w:textDirection w:val="btLr"/>
            <w:vAlign w:val="center"/>
          </w:tcPr>
          <w:p w14:paraId="463A24BD" w14:textId="2E0E7EBF"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2600,00</w:t>
            </w:r>
          </w:p>
        </w:tc>
      </w:tr>
      <w:tr w:rsidR="006B4969" w:rsidRPr="00C2587D" w14:paraId="4E234F95"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85"/>
        </w:trPr>
        <w:tc>
          <w:tcPr>
            <w:tcW w:w="531" w:type="dxa"/>
            <w:shd w:val="clear" w:color="auto" w:fill="auto"/>
            <w:vAlign w:val="center"/>
          </w:tcPr>
          <w:p w14:paraId="029AB762" w14:textId="57838CDB"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5</w:t>
            </w:r>
          </w:p>
        </w:tc>
        <w:tc>
          <w:tcPr>
            <w:tcW w:w="2113" w:type="dxa"/>
            <w:shd w:val="clear" w:color="auto" w:fill="auto"/>
            <w:vAlign w:val="center"/>
          </w:tcPr>
          <w:p w14:paraId="0479D1F1" w14:textId="6F1315B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 xml:space="preserve"> Придбання лапароскопічного обладнання</w:t>
            </w:r>
          </w:p>
        </w:tc>
        <w:tc>
          <w:tcPr>
            <w:tcW w:w="737" w:type="dxa"/>
            <w:shd w:val="clear" w:color="auto" w:fill="auto"/>
            <w:textDirection w:val="btLr"/>
            <w:vAlign w:val="center"/>
          </w:tcPr>
          <w:p w14:paraId="5077CBE4"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11825,924</w:t>
            </w:r>
          </w:p>
        </w:tc>
        <w:tc>
          <w:tcPr>
            <w:tcW w:w="850" w:type="dxa"/>
            <w:shd w:val="clear" w:color="auto" w:fill="FBE4D5"/>
            <w:textDirection w:val="btLr"/>
            <w:vAlign w:val="center"/>
          </w:tcPr>
          <w:p w14:paraId="1ED5C34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11825,924</w:t>
            </w:r>
          </w:p>
        </w:tc>
        <w:tc>
          <w:tcPr>
            <w:tcW w:w="979" w:type="dxa"/>
            <w:shd w:val="clear" w:color="auto" w:fill="auto"/>
            <w:textDirection w:val="btLr"/>
            <w:vAlign w:val="center"/>
          </w:tcPr>
          <w:p w14:paraId="09B18D6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864" w:type="dxa"/>
            <w:shd w:val="clear" w:color="auto" w:fill="auto"/>
            <w:textDirection w:val="btLr"/>
            <w:vAlign w:val="center"/>
          </w:tcPr>
          <w:p w14:paraId="7B8B7A7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11825,924</w:t>
            </w:r>
          </w:p>
        </w:tc>
        <w:tc>
          <w:tcPr>
            <w:tcW w:w="850" w:type="dxa"/>
            <w:shd w:val="clear" w:color="auto" w:fill="auto"/>
            <w:textDirection w:val="btLr"/>
            <w:vAlign w:val="center"/>
          </w:tcPr>
          <w:p w14:paraId="30E7233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shd w:val="clear" w:color="auto" w:fill="auto"/>
            <w:textDirection w:val="btLr"/>
            <w:vAlign w:val="center"/>
          </w:tcPr>
          <w:p w14:paraId="2E3DEC8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shd w:val="clear" w:color="auto" w:fill="C5E0B3"/>
            <w:textDirection w:val="btLr"/>
            <w:vAlign w:val="center"/>
          </w:tcPr>
          <w:p w14:paraId="18A8268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shd w:val="clear" w:color="auto" w:fill="auto"/>
            <w:textDirection w:val="btLr"/>
            <w:vAlign w:val="center"/>
          </w:tcPr>
          <w:p w14:paraId="05DACBF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8" w:type="dxa"/>
            <w:shd w:val="clear" w:color="auto" w:fill="auto"/>
            <w:textDirection w:val="btLr"/>
            <w:vAlign w:val="center"/>
          </w:tcPr>
          <w:p w14:paraId="35CF315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shd w:val="clear" w:color="auto" w:fill="auto"/>
            <w:textDirection w:val="btLr"/>
            <w:vAlign w:val="center"/>
          </w:tcPr>
          <w:p w14:paraId="68A4F7C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696" w:type="dxa"/>
            <w:shd w:val="clear" w:color="auto" w:fill="auto"/>
            <w:textDirection w:val="btLr"/>
            <w:vAlign w:val="center"/>
          </w:tcPr>
          <w:p w14:paraId="1BC25BF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80" w:type="dxa"/>
            <w:shd w:val="clear" w:color="auto" w:fill="D9E2F3"/>
            <w:textDirection w:val="btLr"/>
            <w:vAlign w:val="center"/>
          </w:tcPr>
          <w:p w14:paraId="0A4F084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shd w:val="clear" w:color="auto" w:fill="auto"/>
            <w:textDirection w:val="btLr"/>
            <w:vAlign w:val="center"/>
          </w:tcPr>
          <w:p w14:paraId="14FDFED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shd w:val="clear" w:color="auto" w:fill="auto"/>
            <w:textDirection w:val="btLr"/>
            <w:vAlign w:val="center"/>
          </w:tcPr>
          <w:p w14:paraId="6F27210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shd w:val="clear" w:color="auto" w:fill="auto"/>
            <w:textDirection w:val="btLr"/>
            <w:vAlign w:val="center"/>
          </w:tcPr>
          <w:p w14:paraId="4B2BD57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91" w:type="dxa"/>
            <w:shd w:val="clear" w:color="auto" w:fill="auto"/>
            <w:textDirection w:val="btLr"/>
            <w:vAlign w:val="center"/>
          </w:tcPr>
          <w:p w14:paraId="6BA9769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1139" w:type="dxa"/>
            <w:shd w:val="clear" w:color="auto" w:fill="auto"/>
            <w:textDirection w:val="btLr"/>
            <w:vAlign w:val="center"/>
          </w:tcPr>
          <w:p w14:paraId="5F36A34B"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11825,924</w:t>
            </w:r>
          </w:p>
        </w:tc>
      </w:tr>
      <w:tr w:rsidR="006B4969" w:rsidRPr="00C2587D" w14:paraId="12A81C8E"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995"/>
        </w:trPr>
        <w:tc>
          <w:tcPr>
            <w:tcW w:w="531" w:type="dxa"/>
            <w:shd w:val="clear" w:color="auto" w:fill="auto"/>
            <w:vAlign w:val="center"/>
          </w:tcPr>
          <w:p w14:paraId="3BB0F114" w14:textId="0EAB1856"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lastRenderedPageBreak/>
              <w:t>6</w:t>
            </w:r>
          </w:p>
        </w:tc>
        <w:tc>
          <w:tcPr>
            <w:tcW w:w="2113" w:type="dxa"/>
            <w:shd w:val="clear" w:color="auto" w:fill="auto"/>
            <w:vAlign w:val="center"/>
          </w:tcPr>
          <w:p w14:paraId="0E1D5FF7"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Проєкт Придбання цифрового флюорографічного комплексу</w:t>
            </w:r>
          </w:p>
        </w:tc>
        <w:tc>
          <w:tcPr>
            <w:tcW w:w="737" w:type="dxa"/>
            <w:shd w:val="clear" w:color="auto" w:fill="auto"/>
            <w:textDirection w:val="btLr"/>
            <w:vAlign w:val="center"/>
          </w:tcPr>
          <w:p w14:paraId="17F73617"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3900,000</w:t>
            </w:r>
          </w:p>
        </w:tc>
        <w:tc>
          <w:tcPr>
            <w:tcW w:w="850" w:type="dxa"/>
            <w:shd w:val="clear" w:color="auto" w:fill="FBE4D5"/>
            <w:textDirection w:val="btLr"/>
            <w:vAlign w:val="center"/>
          </w:tcPr>
          <w:p w14:paraId="01E2BC0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3900,000</w:t>
            </w:r>
          </w:p>
        </w:tc>
        <w:tc>
          <w:tcPr>
            <w:tcW w:w="979" w:type="dxa"/>
            <w:shd w:val="clear" w:color="auto" w:fill="auto"/>
            <w:textDirection w:val="btLr"/>
            <w:vAlign w:val="center"/>
          </w:tcPr>
          <w:p w14:paraId="7254A17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864" w:type="dxa"/>
            <w:shd w:val="clear" w:color="auto" w:fill="auto"/>
            <w:textDirection w:val="btLr"/>
            <w:vAlign w:val="center"/>
          </w:tcPr>
          <w:p w14:paraId="33C48B7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850" w:type="dxa"/>
            <w:shd w:val="clear" w:color="auto" w:fill="auto"/>
            <w:textDirection w:val="btLr"/>
            <w:vAlign w:val="center"/>
          </w:tcPr>
          <w:p w14:paraId="1627F8A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3900,000</w:t>
            </w:r>
          </w:p>
        </w:tc>
        <w:tc>
          <w:tcPr>
            <w:tcW w:w="709" w:type="dxa"/>
            <w:shd w:val="clear" w:color="auto" w:fill="auto"/>
            <w:textDirection w:val="btLr"/>
            <w:vAlign w:val="center"/>
          </w:tcPr>
          <w:p w14:paraId="167BDC8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C5E0B3"/>
            <w:textDirection w:val="btLr"/>
            <w:vAlign w:val="center"/>
          </w:tcPr>
          <w:p w14:paraId="28C77B5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07D4563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77FCFF2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3FD586A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7D9CC9C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02F6C2B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4F97FF0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151EA92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544B005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5C593A5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6620C811"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3900,000</w:t>
            </w:r>
          </w:p>
        </w:tc>
      </w:tr>
      <w:tr w:rsidR="006B4969" w:rsidRPr="00C2587D" w14:paraId="44EF480C"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34"/>
        </w:trPr>
        <w:tc>
          <w:tcPr>
            <w:tcW w:w="531" w:type="dxa"/>
            <w:shd w:val="clear" w:color="auto" w:fill="auto"/>
            <w:vAlign w:val="center"/>
          </w:tcPr>
          <w:p w14:paraId="565C2809" w14:textId="7E6967A1"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7</w:t>
            </w:r>
          </w:p>
        </w:tc>
        <w:tc>
          <w:tcPr>
            <w:tcW w:w="2113" w:type="dxa"/>
            <w:shd w:val="clear" w:color="auto" w:fill="auto"/>
            <w:vAlign w:val="center"/>
          </w:tcPr>
          <w:p w14:paraId="2878C0CE"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 xml:space="preserve">Проєкт </w:t>
            </w:r>
          </w:p>
          <w:p w14:paraId="3B896904"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hAnsi="Times New Roman"/>
                <w:sz w:val="20"/>
                <w:szCs w:val="20"/>
              </w:rPr>
              <w:t>Придбання автомобіля швидкої медичної допомоги</w:t>
            </w:r>
          </w:p>
        </w:tc>
        <w:tc>
          <w:tcPr>
            <w:tcW w:w="737" w:type="dxa"/>
            <w:shd w:val="clear" w:color="auto" w:fill="auto"/>
            <w:textDirection w:val="btLr"/>
            <w:vAlign w:val="center"/>
          </w:tcPr>
          <w:p w14:paraId="218E918D"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3280,000</w:t>
            </w:r>
          </w:p>
        </w:tc>
        <w:tc>
          <w:tcPr>
            <w:tcW w:w="850" w:type="dxa"/>
            <w:shd w:val="clear" w:color="auto" w:fill="FBE4D5"/>
            <w:textDirection w:val="btLr"/>
            <w:vAlign w:val="center"/>
          </w:tcPr>
          <w:p w14:paraId="7572928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3280,000</w:t>
            </w:r>
          </w:p>
        </w:tc>
        <w:tc>
          <w:tcPr>
            <w:tcW w:w="979" w:type="dxa"/>
            <w:shd w:val="clear" w:color="auto" w:fill="auto"/>
            <w:textDirection w:val="btLr"/>
            <w:vAlign w:val="center"/>
          </w:tcPr>
          <w:p w14:paraId="476D449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864" w:type="dxa"/>
            <w:shd w:val="clear" w:color="auto" w:fill="auto"/>
            <w:textDirection w:val="btLr"/>
            <w:vAlign w:val="center"/>
          </w:tcPr>
          <w:p w14:paraId="45ED9AE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850" w:type="dxa"/>
            <w:shd w:val="clear" w:color="auto" w:fill="auto"/>
            <w:textDirection w:val="btLr"/>
            <w:vAlign w:val="center"/>
          </w:tcPr>
          <w:p w14:paraId="475BF99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shd w:val="clear" w:color="auto" w:fill="auto"/>
            <w:textDirection w:val="btLr"/>
            <w:vAlign w:val="center"/>
          </w:tcPr>
          <w:p w14:paraId="2E82EAC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3280,000</w:t>
            </w:r>
          </w:p>
        </w:tc>
        <w:tc>
          <w:tcPr>
            <w:tcW w:w="709" w:type="dxa"/>
            <w:shd w:val="clear" w:color="auto" w:fill="C5E0B3"/>
            <w:textDirection w:val="btLr"/>
            <w:vAlign w:val="center"/>
          </w:tcPr>
          <w:p w14:paraId="6F7499D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shd w:val="clear" w:color="auto" w:fill="auto"/>
            <w:textDirection w:val="btLr"/>
            <w:vAlign w:val="center"/>
          </w:tcPr>
          <w:p w14:paraId="673FDCD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8" w:type="dxa"/>
            <w:shd w:val="clear" w:color="auto" w:fill="auto"/>
            <w:textDirection w:val="btLr"/>
            <w:vAlign w:val="center"/>
          </w:tcPr>
          <w:p w14:paraId="18084CC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shd w:val="clear" w:color="auto" w:fill="auto"/>
            <w:textDirection w:val="btLr"/>
            <w:vAlign w:val="center"/>
          </w:tcPr>
          <w:p w14:paraId="1175F68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696" w:type="dxa"/>
            <w:shd w:val="clear" w:color="auto" w:fill="auto"/>
            <w:textDirection w:val="btLr"/>
            <w:vAlign w:val="center"/>
          </w:tcPr>
          <w:p w14:paraId="757FBED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80" w:type="dxa"/>
            <w:shd w:val="clear" w:color="auto" w:fill="D9E2F3"/>
            <w:textDirection w:val="btLr"/>
            <w:vAlign w:val="center"/>
          </w:tcPr>
          <w:p w14:paraId="40C9D6A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shd w:val="clear" w:color="auto" w:fill="auto"/>
            <w:textDirection w:val="btLr"/>
            <w:vAlign w:val="center"/>
          </w:tcPr>
          <w:p w14:paraId="1A3C077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shd w:val="clear" w:color="auto" w:fill="auto"/>
            <w:textDirection w:val="btLr"/>
            <w:vAlign w:val="center"/>
          </w:tcPr>
          <w:p w14:paraId="0BF6B79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shd w:val="clear" w:color="auto" w:fill="auto"/>
            <w:textDirection w:val="btLr"/>
            <w:vAlign w:val="center"/>
          </w:tcPr>
          <w:p w14:paraId="12EF175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91" w:type="dxa"/>
            <w:shd w:val="clear" w:color="auto" w:fill="auto"/>
            <w:textDirection w:val="btLr"/>
            <w:vAlign w:val="center"/>
          </w:tcPr>
          <w:p w14:paraId="79604B5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1139" w:type="dxa"/>
            <w:shd w:val="clear" w:color="auto" w:fill="auto"/>
            <w:textDirection w:val="btLr"/>
            <w:vAlign w:val="center"/>
          </w:tcPr>
          <w:p w14:paraId="7E37FCEF"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3280,000</w:t>
            </w:r>
          </w:p>
        </w:tc>
      </w:tr>
      <w:tr w:rsidR="006B4969" w:rsidRPr="00C2587D" w14:paraId="2D56CDC6"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98"/>
        </w:trPr>
        <w:tc>
          <w:tcPr>
            <w:tcW w:w="531" w:type="dxa"/>
            <w:shd w:val="clear" w:color="auto" w:fill="auto"/>
            <w:vAlign w:val="center"/>
          </w:tcPr>
          <w:p w14:paraId="2AABCB81" w14:textId="66F142DF"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8</w:t>
            </w:r>
          </w:p>
        </w:tc>
        <w:tc>
          <w:tcPr>
            <w:tcW w:w="2113" w:type="dxa"/>
            <w:shd w:val="clear" w:color="auto" w:fill="auto"/>
            <w:vAlign w:val="center"/>
          </w:tcPr>
          <w:p w14:paraId="1BAAD0DC"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 xml:space="preserve">Проєкт </w:t>
            </w:r>
          </w:p>
          <w:p w14:paraId="031B35DB"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hAnsi="Times New Roman"/>
                <w:sz w:val="20"/>
                <w:szCs w:val="20"/>
              </w:rPr>
              <w:t>Капітальний ремонт приміщення поліклініки</w:t>
            </w:r>
          </w:p>
        </w:tc>
        <w:tc>
          <w:tcPr>
            <w:tcW w:w="737" w:type="dxa"/>
            <w:shd w:val="clear" w:color="auto" w:fill="auto"/>
            <w:textDirection w:val="btLr"/>
            <w:vAlign w:val="center"/>
          </w:tcPr>
          <w:p w14:paraId="45EDD34C"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20000,000</w:t>
            </w:r>
          </w:p>
        </w:tc>
        <w:tc>
          <w:tcPr>
            <w:tcW w:w="850" w:type="dxa"/>
            <w:shd w:val="clear" w:color="auto" w:fill="FBE4D5"/>
            <w:textDirection w:val="btLr"/>
            <w:vAlign w:val="center"/>
          </w:tcPr>
          <w:p w14:paraId="4FCFE20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20000,000</w:t>
            </w:r>
          </w:p>
        </w:tc>
        <w:tc>
          <w:tcPr>
            <w:tcW w:w="979" w:type="dxa"/>
            <w:shd w:val="clear" w:color="auto" w:fill="auto"/>
            <w:textDirection w:val="btLr"/>
            <w:vAlign w:val="center"/>
          </w:tcPr>
          <w:p w14:paraId="751FFC9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864" w:type="dxa"/>
            <w:shd w:val="clear" w:color="auto" w:fill="auto"/>
            <w:textDirection w:val="btLr"/>
            <w:vAlign w:val="center"/>
          </w:tcPr>
          <w:p w14:paraId="672A0DF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850" w:type="dxa"/>
            <w:shd w:val="clear" w:color="auto" w:fill="auto"/>
            <w:textDirection w:val="btLr"/>
            <w:vAlign w:val="center"/>
          </w:tcPr>
          <w:p w14:paraId="53667FC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10000,000</w:t>
            </w:r>
          </w:p>
        </w:tc>
        <w:tc>
          <w:tcPr>
            <w:tcW w:w="709" w:type="dxa"/>
            <w:shd w:val="clear" w:color="auto" w:fill="auto"/>
            <w:textDirection w:val="btLr"/>
            <w:vAlign w:val="center"/>
          </w:tcPr>
          <w:p w14:paraId="1E41580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10000,000</w:t>
            </w:r>
          </w:p>
        </w:tc>
        <w:tc>
          <w:tcPr>
            <w:tcW w:w="709" w:type="dxa"/>
            <w:shd w:val="clear" w:color="auto" w:fill="C5E0B3"/>
            <w:textDirection w:val="btLr"/>
            <w:vAlign w:val="center"/>
          </w:tcPr>
          <w:p w14:paraId="4BDAD0B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shd w:val="clear" w:color="auto" w:fill="auto"/>
            <w:textDirection w:val="btLr"/>
            <w:vAlign w:val="center"/>
          </w:tcPr>
          <w:p w14:paraId="2486FED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8" w:type="dxa"/>
            <w:shd w:val="clear" w:color="auto" w:fill="auto"/>
            <w:textDirection w:val="btLr"/>
            <w:vAlign w:val="center"/>
          </w:tcPr>
          <w:p w14:paraId="69EA39B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shd w:val="clear" w:color="auto" w:fill="auto"/>
            <w:textDirection w:val="btLr"/>
            <w:vAlign w:val="center"/>
          </w:tcPr>
          <w:p w14:paraId="59B51E9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696" w:type="dxa"/>
            <w:shd w:val="clear" w:color="auto" w:fill="auto"/>
            <w:textDirection w:val="btLr"/>
            <w:vAlign w:val="center"/>
          </w:tcPr>
          <w:p w14:paraId="14642D8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80" w:type="dxa"/>
            <w:shd w:val="clear" w:color="auto" w:fill="D9E2F3"/>
            <w:textDirection w:val="btLr"/>
            <w:vAlign w:val="center"/>
          </w:tcPr>
          <w:p w14:paraId="62343CC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shd w:val="clear" w:color="auto" w:fill="auto"/>
            <w:textDirection w:val="btLr"/>
            <w:vAlign w:val="center"/>
          </w:tcPr>
          <w:p w14:paraId="090BC3B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shd w:val="clear" w:color="auto" w:fill="auto"/>
            <w:textDirection w:val="btLr"/>
            <w:vAlign w:val="center"/>
          </w:tcPr>
          <w:p w14:paraId="235FB97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shd w:val="clear" w:color="auto" w:fill="auto"/>
            <w:textDirection w:val="btLr"/>
            <w:vAlign w:val="center"/>
          </w:tcPr>
          <w:p w14:paraId="2A59F0D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91" w:type="dxa"/>
            <w:shd w:val="clear" w:color="auto" w:fill="auto"/>
            <w:textDirection w:val="btLr"/>
            <w:vAlign w:val="center"/>
          </w:tcPr>
          <w:p w14:paraId="5779BC0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1139" w:type="dxa"/>
            <w:shd w:val="clear" w:color="auto" w:fill="auto"/>
            <w:textDirection w:val="btLr"/>
            <w:vAlign w:val="center"/>
          </w:tcPr>
          <w:p w14:paraId="742E3FE9"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20000,000</w:t>
            </w:r>
          </w:p>
        </w:tc>
      </w:tr>
      <w:tr w:rsidR="006B4969" w:rsidRPr="00C2587D" w14:paraId="3FF5B23B"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391"/>
        </w:trPr>
        <w:tc>
          <w:tcPr>
            <w:tcW w:w="531" w:type="dxa"/>
            <w:shd w:val="clear" w:color="auto" w:fill="auto"/>
            <w:vAlign w:val="center"/>
          </w:tcPr>
          <w:p w14:paraId="7620EFC8" w14:textId="0A998795"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9</w:t>
            </w:r>
          </w:p>
        </w:tc>
        <w:tc>
          <w:tcPr>
            <w:tcW w:w="2113" w:type="dxa"/>
            <w:shd w:val="clear" w:color="auto" w:fill="auto"/>
            <w:vAlign w:val="center"/>
          </w:tcPr>
          <w:p w14:paraId="689BB71A"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 xml:space="preserve">Проєкт </w:t>
            </w:r>
          </w:p>
          <w:p w14:paraId="38CC4C91"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hAnsi="Times New Roman"/>
                <w:sz w:val="20"/>
                <w:szCs w:val="20"/>
              </w:rPr>
              <w:t>Щорічне оновлення та модернізація медичного обладнання в амбулаторіях Жмеринської МТГ</w:t>
            </w:r>
          </w:p>
        </w:tc>
        <w:tc>
          <w:tcPr>
            <w:tcW w:w="737" w:type="dxa"/>
            <w:shd w:val="clear" w:color="auto" w:fill="auto"/>
            <w:textDirection w:val="btLr"/>
            <w:vAlign w:val="center"/>
          </w:tcPr>
          <w:p w14:paraId="10A234A4"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1047,400</w:t>
            </w:r>
          </w:p>
        </w:tc>
        <w:tc>
          <w:tcPr>
            <w:tcW w:w="850" w:type="dxa"/>
            <w:shd w:val="clear" w:color="auto" w:fill="FBE4D5"/>
            <w:textDirection w:val="btLr"/>
            <w:vAlign w:val="center"/>
          </w:tcPr>
          <w:p w14:paraId="39CA228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1047,400</w:t>
            </w:r>
          </w:p>
        </w:tc>
        <w:tc>
          <w:tcPr>
            <w:tcW w:w="979" w:type="dxa"/>
            <w:shd w:val="clear" w:color="auto" w:fill="auto"/>
            <w:textDirection w:val="btLr"/>
            <w:vAlign w:val="center"/>
          </w:tcPr>
          <w:p w14:paraId="1A9AD88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464,000</w:t>
            </w:r>
          </w:p>
        </w:tc>
        <w:tc>
          <w:tcPr>
            <w:tcW w:w="864" w:type="dxa"/>
            <w:shd w:val="clear" w:color="auto" w:fill="auto"/>
            <w:textDirection w:val="btLr"/>
            <w:vAlign w:val="center"/>
          </w:tcPr>
          <w:p w14:paraId="4170895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455,100</w:t>
            </w:r>
          </w:p>
        </w:tc>
        <w:tc>
          <w:tcPr>
            <w:tcW w:w="850" w:type="dxa"/>
            <w:shd w:val="clear" w:color="auto" w:fill="auto"/>
            <w:textDirection w:val="btLr"/>
            <w:vAlign w:val="center"/>
          </w:tcPr>
          <w:p w14:paraId="15514BC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128,300</w:t>
            </w:r>
          </w:p>
        </w:tc>
        <w:tc>
          <w:tcPr>
            <w:tcW w:w="709" w:type="dxa"/>
            <w:shd w:val="clear" w:color="auto" w:fill="auto"/>
            <w:textDirection w:val="btLr"/>
            <w:vAlign w:val="center"/>
          </w:tcPr>
          <w:p w14:paraId="6AD42F0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shd w:val="clear" w:color="auto" w:fill="C5E0B3"/>
            <w:textDirection w:val="btLr"/>
            <w:vAlign w:val="center"/>
          </w:tcPr>
          <w:p w14:paraId="691E4DA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shd w:val="clear" w:color="auto" w:fill="auto"/>
            <w:textDirection w:val="btLr"/>
            <w:vAlign w:val="center"/>
          </w:tcPr>
          <w:p w14:paraId="4A950B0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8" w:type="dxa"/>
            <w:shd w:val="clear" w:color="auto" w:fill="auto"/>
            <w:textDirection w:val="btLr"/>
            <w:vAlign w:val="center"/>
          </w:tcPr>
          <w:p w14:paraId="52D4065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709" w:type="dxa"/>
            <w:shd w:val="clear" w:color="auto" w:fill="auto"/>
            <w:textDirection w:val="btLr"/>
            <w:vAlign w:val="center"/>
          </w:tcPr>
          <w:p w14:paraId="2B03534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696" w:type="dxa"/>
            <w:shd w:val="clear" w:color="auto" w:fill="auto"/>
            <w:textDirection w:val="btLr"/>
            <w:vAlign w:val="center"/>
          </w:tcPr>
          <w:p w14:paraId="399E9C5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80" w:type="dxa"/>
            <w:shd w:val="clear" w:color="auto" w:fill="D9E2F3"/>
            <w:textDirection w:val="btLr"/>
            <w:vAlign w:val="center"/>
          </w:tcPr>
          <w:p w14:paraId="14DF9AE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shd w:val="clear" w:color="auto" w:fill="auto"/>
            <w:textDirection w:val="btLr"/>
            <w:vAlign w:val="center"/>
          </w:tcPr>
          <w:p w14:paraId="6145803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shd w:val="clear" w:color="auto" w:fill="auto"/>
            <w:textDirection w:val="btLr"/>
            <w:vAlign w:val="center"/>
          </w:tcPr>
          <w:p w14:paraId="42543C4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67" w:type="dxa"/>
            <w:shd w:val="clear" w:color="auto" w:fill="auto"/>
            <w:textDirection w:val="btLr"/>
            <w:vAlign w:val="center"/>
          </w:tcPr>
          <w:p w14:paraId="3498830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591" w:type="dxa"/>
            <w:shd w:val="clear" w:color="auto" w:fill="auto"/>
            <w:textDirection w:val="btLr"/>
            <w:vAlign w:val="center"/>
          </w:tcPr>
          <w:p w14:paraId="59E6545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w:t>
            </w:r>
          </w:p>
        </w:tc>
        <w:tc>
          <w:tcPr>
            <w:tcW w:w="1139" w:type="dxa"/>
            <w:shd w:val="clear" w:color="auto" w:fill="auto"/>
            <w:textDirection w:val="btLr"/>
            <w:vAlign w:val="center"/>
          </w:tcPr>
          <w:p w14:paraId="743F6AEB"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1047,400</w:t>
            </w:r>
          </w:p>
        </w:tc>
      </w:tr>
      <w:tr w:rsidR="006B4969" w:rsidRPr="00C2587D" w14:paraId="14801EE1" w14:textId="77777777" w:rsidTr="00A041B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55"/>
        </w:trPr>
        <w:tc>
          <w:tcPr>
            <w:tcW w:w="15175" w:type="dxa"/>
            <w:gridSpan w:val="19"/>
            <w:shd w:val="clear" w:color="auto" w:fill="auto"/>
            <w:vAlign w:val="center"/>
          </w:tcPr>
          <w:p w14:paraId="4FC35AD3" w14:textId="77777777" w:rsidR="006B4969" w:rsidRPr="00C2587D" w:rsidRDefault="006B4969" w:rsidP="002F4F1D">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Відділ молоді  та спорту міської ради</w:t>
            </w:r>
          </w:p>
        </w:tc>
      </w:tr>
      <w:tr w:rsidR="006B4969" w:rsidRPr="00C2587D" w14:paraId="7334D2BF" w14:textId="77777777" w:rsidTr="00A041B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461"/>
        </w:trPr>
        <w:tc>
          <w:tcPr>
            <w:tcW w:w="15175" w:type="dxa"/>
            <w:gridSpan w:val="19"/>
            <w:shd w:val="clear" w:color="auto" w:fill="auto"/>
            <w:vAlign w:val="center"/>
          </w:tcPr>
          <w:p w14:paraId="122D697E" w14:textId="77777777" w:rsidR="006B4969" w:rsidRPr="00C2587D" w:rsidRDefault="006B4969" w:rsidP="002F4F1D">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Програми місцевого розвитку (в тому числі, які реалізуються через проєкти)</w:t>
            </w:r>
          </w:p>
        </w:tc>
      </w:tr>
      <w:tr w:rsidR="006B4969" w:rsidRPr="00C2587D" w14:paraId="7171501C"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760"/>
        </w:trPr>
        <w:tc>
          <w:tcPr>
            <w:tcW w:w="531" w:type="dxa"/>
            <w:shd w:val="clear" w:color="auto" w:fill="auto"/>
            <w:vAlign w:val="center"/>
          </w:tcPr>
          <w:p w14:paraId="4C85F0A2"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1.</w:t>
            </w:r>
          </w:p>
        </w:tc>
        <w:tc>
          <w:tcPr>
            <w:tcW w:w="2113" w:type="dxa"/>
            <w:shd w:val="clear" w:color="auto" w:fill="auto"/>
            <w:vAlign w:val="center"/>
          </w:tcPr>
          <w:p w14:paraId="496D4B72"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Фінансова підтримка комунального підприємства Жмеринської міської ради «Спортивно-оздоровчий заклад «Юність» на 2025-2027 роки»</w:t>
            </w:r>
          </w:p>
        </w:tc>
        <w:tc>
          <w:tcPr>
            <w:tcW w:w="737" w:type="dxa"/>
            <w:shd w:val="clear" w:color="auto" w:fill="auto"/>
            <w:textDirection w:val="btLr"/>
            <w:vAlign w:val="center"/>
          </w:tcPr>
          <w:p w14:paraId="00F43108"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20163,90</w:t>
            </w:r>
          </w:p>
        </w:tc>
        <w:tc>
          <w:tcPr>
            <w:tcW w:w="850" w:type="dxa"/>
            <w:shd w:val="clear" w:color="auto" w:fill="FBE4D5"/>
            <w:textDirection w:val="btLr"/>
            <w:vAlign w:val="center"/>
          </w:tcPr>
          <w:p w14:paraId="3309A08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12635,69</w:t>
            </w:r>
          </w:p>
        </w:tc>
        <w:tc>
          <w:tcPr>
            <w:tcW w:w="979" w:type="dxa"/>
            <w:shd w:val="clear" w:color="auto" w:fill="auto"/>
            <w:textDirection w:val="btLr"/>
            <w:vAlign w:val="center"/>
          </w:tcPr>
          <w:p w14:paraId="135F28D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3860,48</w:t>
            </w:r>
          </w:p>
        </w:tc>
        <w:tc>
          <w:tcPr>
            <w:tcW w:w="864" w:type="dxa"/>
            <w:shd w:val="clear" w:color="auto" w:fill="auto"/>
            <w:textDirection w:val="btLr"/>
            <w:vAlign w:val="center"/>
          </w:tcPr>
          <w:p w14:paraId="44AF8DE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4261,97</w:t>
            </w:r>
          </w:p>
        </w:tc>
        <w:tc>
          <w:tcPr>
            <w:tcW w:w="850" w:type="dxa"/>
            <w:shd w:val="clear" w:color="auto" w:fill="auto"/>
            <w:textDirection w:val="btLr"/>
            <w:vAlign w:val="center"/>
          </w:tcPr>
          <w:p w14:paraId="1DE2959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4513,24</w:t>
            </w:r>
          </w:p>
        </w:tc>
        <w:tc>
          <w:tcPr>
            <w:tcW w:w="709" w:type="dxa"/>
            <w:shd w:val="clear" w:color="auto" w:fill="auto"/>
            <w:textDirection w:val="btLr"/>
            <w:vAlign w:val="center"/>
          </w:tcPr>
          <w:p w14:paraId="1890ACE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C5E0B3"/>
            <w:textDirection w:val="btLr"/>
            <w:vAlign w:val="center"/>
          </w:tcPr>
          <w:p w14:paraId="0145C98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6D4FF41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2F53DFD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3FBFE7A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40266DE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1D53CD6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7528,21</w:t>
            </w:r>
          </w:p>
        </w:tc>
        <w:tc>
          <w:tcPr>
            <w:tcW w:w="567" w:type="dxa"/>
            <w:shd w:val="clear" w:color="auto" w:fill="auto"/>
            <w:textDirection w:val="btLr"/>
            <w:vAlign w:val="center"/>
          </w:tcPr>
          <w:p w14:paraId="32FCAE8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2300,00</w:t>
            </w:r>
          </w:p>
        </w:tc>
        <w:tc>
          <w:tcPr>
            <w:tcW w:w="567" w:type="dxa"/>
            <w:shd w:val="clear" w:color="auto" w:fill="auto"/>
            <w:textDirection w:val="btLr"/>
            <w:vAlign w:val="center"/>
          </w:tcPr>
          <w:p w14:paraId="22BF77E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2539,20</w:t>
            </w:r>
          </w:p>
        </w:tc>
        <w:tc>
          <w:tcPr>
            <w:tcW w:w="567" w:type="dxa"/>
            <w:shd w:val="clear" w:color="auto" w:fill="auto"/>
            <w:textDirection w:val="btLr"/>
            <w:vAlign w:val="center"/>
          </w:tcPr>
          <w:p w14:paraId="2666FDF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2689,01</w:t>
            </w:r>
          </w:p>
        </w:tc>
        <w:tc>
          <w:tcPr>
            <w:tcW w:w="591" w:type="dxa"/>
            <w:shd w:val="clear" w:color="auto" w:fill="auto"/>
            <w:textDirection w:val="btLr"/>
            <w:vAlign w:val="center"/>
          </w:tcPr>
          <w:p w14:paraId="5829663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47430706"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20163,90</w:t>
            </w:r>
          </w:p>
        </w:tc>
      </w:tr>
      <w:tr w:rsidR="006B4969" w:rsidRPr="00C2587D" w14:paraId="2479AA2C"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389"/>
        </w:trPr>
        <w:tc>
          <w:tcPr>
            <w:tcW w:w="531" w:type="dxa"/>
            <w:shd w:val="clear" w:color="auto" w:fill="auto"/>
            <w:vAlign w:val="center"/>
          </w:tcPr>
          <w:p w14:paraId="231B47B2"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lastRenderedPageBreak/>
              <w:t>2</w:t>
            </w:r>
          </w:p>
        </w:tc>
        <w:tc>
          <w:tcPr>
            <w:tcW w:w="2113" w:type="dxa"/>
            <w:shd w:val="clear" w:color="auto" w:fill="auto"/>
            <w:vAlign w:val="center"/>
          </w:tcPr>
          <w:p w14:paraId="689A4583"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Проєкт програми «Фінансова підтримка комунального підприємства Жмеринської міської ради «Спортивно-оздоровчий заклад «Юність» на 2028-2029 роки»</w:t>
            </w:r>
          </w:p>
        </w:tc>
        <w:tc>
          <w:tcPr>
            <w:tcW w:w="737" w:type="dxa"/>
            <w:shd w:val="clear" w:color="auto" w:fill="auto"/>
            <w:textDirection w:val="btLr"/>
            <w:vAlign w:val="center"/>
          </w:tcPr>
          <w:p w14:paraId="0169A83B"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5000,0</w:t>
            </w:r>
          </w:p>
        </w:tc>
        <w:tc>
          <w:tcPr>
            <w:tcW w:w="850" w:type="dxa"/>
            <w:shd w:val="clear" w:color="auto" w:fill="FBE4D5"/>
            <w:textDirection w:val="btLr"/>
            <w:vAlign w:val="center"/>
          </w:tcPr>
          <w:p w14:paraId="4D6799A7" w14:textId="0816D9E9" w:rsidR="006B4969" w:rsidRPr="002F4F1D" w:rsidRDefault="002F4F1D" w:rsidP="006B4969">
            <w:pPr>
              <w:widowControl w:val="0"/>
              <w:autoSpaceDE w:val="0"/>
              <w:autoSpaceDN w:val="0"/>
              <w:ind w:left="113" w:right="113"/>
              <w:jc w:val="center"/>
              <w:rPr>
                <w:rFonts w:ascii="Times New Roman" w:eastAsia="Arial" w:hAnsi="Times New Roman"/>
                <w:sz w:val="20"/>
                <w:szCs w:val="20"/>
                <w:lang w:eastAsia="en-US"/>
              </w:rPr>
            </w:pPr>
            <w:r w:rsidRPr="002F4F1D">
              <w:rPr>
                <w:rFonts w:ascii="Times New Roman" w:eastAsia="Arial" w:hAnsi="Times New Roman"/>
                <w:sz w:val="20"/>
                <w:szCs w:val="20"/>
                <w:lang w:eastAsia="en-US"/>
              </w:rPr>
              <w:t>5000,0</w:t>
            </w:r>
          </w:p>
        </w:tc>
        <w:tc>
          <w:tcPr>
            <w:tcW w:w="979" w:type="dxa"/>
            <w:shd w:val="clear" w:color="auto" w:fill="auto"/>
            <w:textDirection w:val="btLr"/>
            <w:vAlign w:val="center"/>
          </w:tcPr>
          <w:p w14:paraId="1A7E7AA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64" w:type="dxa"/>
            <w:shd w:val="clear" w:color="auto" w:fill="auto"/>
            <w:textDirection w:val="btLr"/>
            <w:vAlign w:val="center"/>
          </w:tcPr>
          <w:p w14:paraId="0135307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50" w:type="dxa"/>
            <w:shd w:val="clear" w:color="auto" w:fill="auto"/>
            <w:textDirection w:val="btLr"/>
            <w:vAlign w:val="center"/>
          </w:tcPr>
          <w:p w14:paraId="7090209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643FFE6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5000,0</w:t>
            </w:r>
          </w:p>
        </w:tc>
        <w:tc>
          <w:tcPr>
            <w:tcW w:w="709" w:type="dxa"/>
            <w:shd w:val="clear" w:color="auto" w:fill="C5E0B3"/>
            <w:textDirection w:val="btLr"/>
            <w:vAlign w:val="center"/>
          </w:tcPr>
          <w:p w14:paraId="060F92D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1E81A27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6E419C7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661BA19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4D14334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1B00989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00EBAD1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6C5CB82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3C10A33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6552DA5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368EEF28"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5000,0</w:t>
            </w:r>
          </w:p>
        </w:tc>
      </w:tr>
      <w:tr w:rsidR="006B4969" w:rsidRPr="00C2587D" w14:paraId="0C5AF19B"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24"/>
        </w:trPr>
        <w:tc>
          <w:tcPr>
            <w:tcW w:w="531" w:type="dxa"/>
            <w:shd w:val="clear" w:color="auto" w:fill="auto"/>
            <w:vAlign w:val="center"/>
          </w:tcPr>
          <w:p w14:paraId="6A822F40"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3</w:t>
            </w:r>
          </w:p>
        </w:tc>
        <w:tc>
          <w:tcPr>
            <w:tcW w:w="2113" w:type="dxa"/>
            <w:shd w:val="clear" w:color="auto" w:fill="auto"/>
            <w:vAlign w:val="center"/>
          </w:tcPr>
          <w:p w14:paraId="1F5B9F37"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Розвиток плавання на 2025-2027 роки» в новій редакції</w:t>
            </w:r>
          </w:p>
        </w:tc>
        <w:tc>
          <w:tcPr>
            <w:tcW w:w="737" w:type="dxa"/>
            <w:shd w:val="clear" w:color="auto" w:fill="auto"/>
            <w:textDirection w:val="btLr"/>
            <w:vAlign w:val="center"/>
          </w:tcPr>
          <w:p w14:paraId="18F7C937"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26470,261</w:t>
            </w:r>
          </w:p>
        </w:tc>
        <w:tc>
          <w:tcPr>
            <w:tcW w:w="850" w:type="dxa"/>
            <w:shd w:val="clear" w:color="auto" w:fill="FBE4D5"/>
            <w:textDirection w:val="btLr"/>
            <w:vAlign w:val="center"/>
          </w:tcPr>
          <w:p w14:paraId="74EEFA5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26470,261</w:t>
            </w:r>
          </w:p>
        </w:tc>
        <w:tc>
          <w:tcPr>
            <w:tcW w:w="979" w:type="dxa"/>
            <w:shd w:val="clear" w:color="auto" w:fill="auto"/>
            <w:textDirection w:val="btLr"/>
            <w:vAlign w:val="center"/>
          </w:tcPr>
          <w:p w14:paraId="0F07317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8308,951</w:t>
            </w:r>
          </w:p>
        </w:tc>
        <w:tc>
          <w:tcPr>
            <w:tcW w:w="864" w:type="dxa"/>
            <w:shd w:val="clear" w:color="auto" w:fill="auto"/>
            <w:textDirection w:val="btLr"/>
            <w:vAlign w:val="center"/>
          </w:tcPr>
          <w:p w14:paraId="2200F23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8786,814</w:t>
            </w:r>
          </w:p>
        </w:tc>
        <w:tc>
          <w:tcPr>
            <w:tcW w:w="850" w:type="dxa"/>
            <w:shd w:val="clear" w:color="auto" w:fill="auto"/>
            <w:textDirection w:val="btLr"/>
            <w:vAlign w:val="center"/>
          </w:tcPr>
          <w:p w14:paraId="19587E2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9374,496</w:t>
            </w:r>
          </w:p>
        </w:tc>
        <w:tc>
          <w:tcPr>
            <w:tcW w:w="709" w:type="dxa"/>
            <w:shd w:val="clear" w:color="auto" w:fill="auto"/>
            <w:textDirection w:val="btLr"/>
            <w:vAlign w:val="center"/>
          </w:tcPr>
          <w:p w14:paraId="72ED2A2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C5E0B3"/>
            <w:textDirection w:val="btLr"/>
            <w:vAlign w:val="center"/>
          </w:tcPr>
          <w:p w14:paraId="0F7842D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13A9E07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771425D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5AFBA9C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03AE067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463A2F9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4141589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02F0D92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6CC6578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1019752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3BB0E556"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26470,261</w:t>
            </w:r>
          </w:p>
        </w:tc>
      </w:tr>
      <w:tr w:rsidR="006B4969" w:rsidRPr="00C2587D" w14:paraId="4ABC9696"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983"/>
        </w:trPr>
        <w:tc>
          <w:tcPr>
            <w:tcW w:w="531" w:type="dxa"/>
            <w:shd w:val="clear" w:color="auto" w:fill="auto"/>
            <w:vAlign w:val="center"/>
          </w:tcPr>
          <w:p w14:paraId="17F3873A"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4</w:t>
            </w:r>
          </w:p>
        </w:tc>
        <w:tc>
          <w:tcPr>
            <w:tcW w:w="2113" w:type="dxa"/>
            <w:shd w:val="clear" w:color="auto" w:fill="auto"/>
            <w:vAlign w:val="center"/>
          </w:tcPr>
          <w:p w14:paraId="74976D38"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 xml:space="preserve">Проєкт програми «Розвиток плавання на 2028-2029 роки» </w:t>
            </w:r>
          </w:p>
        </w:tc>
        <w:tc>
          <w:tcPr>
            <w:tcW w:w="737" w:type="dxa"/>
            <w:shd w:val="clear" w:color="auto" w:fill="auto"/>
            <w:textDirection w:val="btLr"/>
            <w:vAlign w:val="center"/>
          </w:tcPr>
          <w:p w14:paraId="7046038A"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10000,0</w:t>
            </w:r>
          </w:p>
        </w:tc>
        <w:tc>
          <w:tcPr>
            <w:tcW w:w="850" w:type="dxa"/>
            <w:shd w:val="clear" w:color="auto" w:fill="FBE4D5"/>
            <w:textDirection w:val="btLr"/>
            <w:vAlign w:val="center"/>
          </w:tcPr>
          <w:p w14:paraId="4902AB43" w14:textId="22C801CF" w:rsidR="006B4969" w:rsidRPr="002F4F1D" w:rsidRDefault="002F4F1D" w:rsidP="006B4969">
            <w:pPr>
              <w:widowControl w:val="0"/>
              <w:autoSpaceDE w:val="0"/>
              <w:autoSpaceDN w:val="0"/>
              <w:ind w:left="113" w:right="113"/>
              <w:jc w:val="center"/>
              <w:rPr>
                <w:rFonts w:ascii="Times New Roman" w:eastAsia="Arial" w:hAnsi="Times New Roman"/>
                <w:sz w:val="20"/>
                <w:szCs w:val="20"/>
                <w:lang w:eastAsia="en-US"/>
              </w:rPr>
            </w:pPr>
            <w:r w:rsidRPr="002F4F1D">
              <w:rPr>
                <w:rFonts w:ascii="Times New Roman" w:eastAsia="Arial" w:hAnsi="Times New Roman"/>
                <w:sz w:val="20"/>
                <w:szCs w:val="20"/>
                <w:lang w:eastAsia="en-US"/>
              </w:rPr>
              <w:t>10000,0</w:t>
            </w:r>
          </w:p>
        </w:tc>
        <w:tc>
          <w:tcPr>
            <w:tcW w:w="979" w:type="dxa"/>
            <w:shd w:val="clear" w:color="auto" w:fill="auto"/>
            <w:textDirection w:val="btLr"/>
            <w:vAlign w:val="center"/>
          </w:tcPr>
          <w:p w14:paraId="0670F30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64" w:type="dxa"/>
            <w:shd w:val="clear" w:color="auto" w:fill="auto"/>
            <w:textDirection w:val="btLr"/>
            <w:vAlign w:val="center"/>
          </w:tcPr>
          <w:p w14:paraId="3626E95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50" w:type="dxa"/>
            <w:shd w:val="clear" w:color="auto" w:fill="auto"/>
            <w:textDirection w:val="btLr"/>
            <w:vAlign w:val="center"/>
          </w:tcPr>
          <w:p w14:paraId="0DD1A99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3F648FB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10000,0</w:t>
            </w:r>
          </w:p>
        </w:tc>
        <w:tc>
          <w:tcPr>
            <w:tcW w:w="709" w:type="dxa"/>
            <w:shd w:val="clear" w:color="auto" w:fill="C5E0B3"/>
            <w:textDirection w:val="btLr"/>
            <w:vAlign w:val="center"/>
          </w:tcPr>
          <w:p w14:paraId="0FE9B18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134D3AC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14D5966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60F6BAC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7468B00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6F35AB7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78FF298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6FE8F64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573D2B0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60A99E8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6632ED0A"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10000,0</w:t>
            </w:r>
          </w:p>
        </w:tc>
      </w:tr>
      <w:tr w:rsidR="006B4969" w:rsidRPr="00C2587D" w14:paraId="598C2C15"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213"/>
        </w:trPr>
        <w:tc>
          <w:tcPr>
            <w:tcW w:w="531" w:type="dxa"/>
            <w:shd w:val="clear" w:color="auto" w:fill="auto"/>
            <w:vAlign w:val="center"/>
          </w:tcPr>
          <w:p w14:paraId="3FE9DF4B"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5</w:t>
            </w:r>
          </w:p>
        </w:tc>
        <w:tc>
          <w:tcPr>
            <w:tcW w:w="2113" w:type="dxa"/>
            <w:shd w:val="clear" w:color="auto" w:fill="auto"/>
            <w:vAlign w:val="center"/>
          </w:tcPr>
          <w:p w14:paraId="0A28222E"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Програма "Підтримка молоді та національно-патріотичного виховання до 2026  року"</w:t>
            </w:r>
          </w:p>
        </w:tc>
        <w:tc>
          <w:tcPr>
            <w:tcW w:w="737" w:type="dxa"/>
            <w:shd w:val="clear" w:color="auto" w:fill="auto"/>
            <w:textDirection w:val="btLr"/>
            <w:vAlign w:val="center"/>
          </w:tcPr>
          <w:p w14:paraId="40B401B2"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304.2</w:t>
            </w:r>
          </w:p>
        </w:tc>
        <w:tc>
          <w:tcPr>
            <w:tcW w:w="850" w:type="dxa"/>
            <w:shd w:val="clear" w:color="auto" w:fill="FBE4D5"/>
            <w:textDirection w:val="btLr"/>
            <w:vAlign w:val="center"/>
          </w:tcPr>
          <w:p w14:paraId="54B1F257" w14:textId="76CB41ED" w:rsidR="006B4969" w:rsidRPr="002F4F1D" w:rsidRDefault="002F4F1D" w:rsidP="006B4969">
            <w:pPr>
              <w:widowControl w:val="0"/>
              <w:autoSpaceDE w:val="0"/>
              <w:autoSpaceDN w:val="0"/>
              <w:ind w:left="113" w:right="113"/>
              <w:jc w:val="center"/>
              <w:rPr>
                <w:rFonts w:ascii="Times New Roman" w:eastAsia="Arial" w:hAnsi="Times New Roman"/>
                <w:sz w:val="20"/>
                <w:szCs w:val="20"/>
                <w:lang w:eastAsia="en-US"/>
              </w:rPr>
            </w:pPr>
            <w:r w:rsidRPr="002F4F1D">
              <w:rPr>
                <w:rFonts w:ascii="Times New Roman" w:eastAsia="Arial" w:hAnsi="Times New Roman"/>
                <w:sz w:val="20"/>
                <w:szCs w:val="20"/>
                <w:lang w:eastAsia="en-US"/>
              </w:rPr>
              <w:t>304.2</w:t>
            </w:r>
          </w:p>
        </w:tc>
        <w:tc>
          <w:tcPr>
            <w:tcW w:w="979" w:type="dxa"/>
            <w:shd w:val="clear" w:color="auto" w:fill="auto"/>
            <w:textDirection w:val="btLr"/>
            <w:vAlign w:val="center"/>
          </w:tcPr>
          <w:p w14:paraId="49AAC3E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152.1</w:t>
            </w:r>
          </w:p>
        </w:tc>
        <w:tc>
          <w:tcPr>
            <w:tcW w:w="864" w:type="dxa"/>
            <w:shd w:val="clear" w:color="auto" w:fill="auto"/>
            <w:textDirection w:val="btLr"/>
            <w:vAlign w:val="center"/>
          </w:tcPr>
          <w:p w14:paraId="372B508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152.1</w:t>
            </w:r>
          </w:p>
        </w:tc>
        <w:tc>
          <w:tcPr>
            <w:tcW w:w="850" w:type="dxa"/>
            <w:shd w:val="clear" w:color="auto" w:fill="auto"/>
            <w:textDirection w:val="btLr"/>
            <w:vAlign w:val="center"/>
          </w:tcPr>
          <w:p w14:paraId="13BC7D4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411E851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C5E0B3"/>
            <w:textDirection w:val="btLr"/>
            <w:vAlign w:val="center"/>
          </w:tcPr>
          <w:p w14:paraId="4AE40EE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2A1CAE6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295C64C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58926C8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045A28C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11DBE4F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3BEB9CD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58EBC38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67B92EC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4644FB4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5F68FBAE"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304.2</w:t>
            </w:r>
          </w:p>
        </w:tc>
      </w:tr>
      <w:tr w:rsidR="006B4969" w:rsidRPr="00C2587D" w14:paraId="05512FE1"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499"/>
        </w:trPr>
        <w:tc>
          <w:tcPr>
            <w:tcW w:w="531" w:type="dxa"/>
            <w:shd w:val="clear" w:color="auto" w:fill="auto"/>
            <w:vAlign w:val="center"/>
          </w:tcPr>
          <w:p w14:paraId="718414B7"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6</w:t>
            </w:r>
          </w:p>
        </w:tc>
        <w:tc>
          <w:tcPr>
            <w:tcW w:w="2113" w:type="dxa"/>
            <w:shd w:val="clear" w:color="auto" w:fill="auto"/>
            <w:vAlign w:val="center"/>
          </w:tcPr>
          <w:p w14:paraId="731BB0AE"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Проєкт програми «Підтримка молоді та національно-патріотичного виховання до 2030 року»</w:t>
            </w:r>
          </w:p>
        </w:tc>
        <w:tc>
          <w:tcPr>
            <w:tcW w:w="737" w:type="dxa"/>
            <w:shd w:val="clear" w:color="auto" w:fill="auto"/>
            <w:textDirection w:val="btLr"/>
            <w:vAlign w:val="center"/>
          </w:tcPr>
          <w:p w14:paraId="0855FB53"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200,0</w:t>
            </w:r>
          </w:p>
        </w:tc>
        <w:tc>
          <w:tcPr>
            <w:tcW w:w="850" w:type="dxa"/>
            <w:shd w:val="clear" w:color="auto" w:fill="FBE4D5"/>
            <w:textDirection w:val="btLr"/>
            <w:vAlign w:val="center"/>
          </w:tcPr>
          <w:p w14:paraId="65975938" w14:textId="6DFF993B" w:rsidR="006B4969" w:rsidRPr="00C2587D" w:rsidRDefault="002F4F1D" w:rsidP="006B4969">
            <w:pPr>
              <w:widowControl w:val="0"/>
              <w:autoSpaceDE w:val="0"/>
              <w:autoSpaceDN w:val="0"/>
              <w:ind w:left="113" w:right="113"/>
              <w:jc w:val="center"/>
              <w:rPr>
                <w:rFonts w:ascii="Times New Roman" w:eastAsia="Arial" w:hAnsi="Times New Roman"/>
                <w:sz w:val="20"/>
                <w:szCs w:val="20"/>
                <w:lang w:eastAsia="en-US"/>
              </w:rPr>
            </w:pPr>
            <w:r w:rsidRPr="002F4F1D">
              <w:rPr>
                <w:rFonts w:ascii="Times New Roman" w:eastAsia="Arial" w:hAnsi="Times New Roman"/>
                <w:sz w:val="20"/>
                <w:szCs w:val="20"/>
                <w:lang w:eastAsia="en-US"/>
              </w:rPr>
              <w:t>200,0</w:t>
            </w:r>
          </w:p>
        </w:tc>
        <w:tc>
          <w:tcPr>
            <w:tcW w:w="979" w:type="dxa"/>
            <w:shd w:val="clear" w:color="auto" w:fill="auto"/>
            <w:textDirection w:val="btLr"/>
            <w:vAlign w:val="center"/>
          </w:tcPr>
          <w:p w14:paraId="7A46B0C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64" w:type="dxa"/>
            <w:shd w:val="clear" w:color="auto" w:fill="auto"/>
            <w:textDirection w:val="btLr"/>
            <w:vAlign w:val="center"/>
          </w:tcPr>
          <w:p w14:paraId="04F8B0A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50" w:type="dxa"/>
            <w:shd w:val="clear" w:color="auto" w:fill="auto"/>
            <w:textDirection w:val="btLr"/>
            <w:vAlign w:val="center"/>
          </w:tcPr>
          <w:p w14:paraId="539E32A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770A737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200,0</w:t>
            </w:r>
          </w:p>
        </w:tc>
        <w:tc>
          <w:tcPr>
            <w:tcW w:w="709" w:type="dxa"/>
            <w:shd w:val="clear" w:color="auto" w:fill="C5E0B3"/>
            <w:textDirection w:val="btLr"/>
            <w:vAlign w:val="center"/>
          </w:tcPr>
          <w:p w14:paraId="66FD19B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16D047D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4F60CC1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4F823EA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52AB9F7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1D121EB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5B30C43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78E56B1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144A592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0349FF9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48DDF01C"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200,0</w:t>
            </w:r>
          </w:p>
        </w:tc>
      </w:tr>
      <w:tr w:rsidR="006B4969" w:rsidRPr="00C2587D" w14:paraId="35DFF4A0"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517"/>
        </w:trPr>
        <w:tc>
          <w:tcPr>
            <w:tcW w:w="531" w:type="dxa"/>
            <w:shd w:val="clear" w:color="auto" w:fill="auto"/>
            <w:vAlign w:val="center"/>
          </w:tcPr>
          <w:p w14:paraId="16A67CB8"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7</w:t>
            </w:r>
          </w:p>
        </w:tc>
        <w:tc>
          <w:tcPr>
            <w:tcW w:w="2113" w:type="dxa"/>
            <w:shd w:val="clear" w:color="auto" w:fill="auto"/>
            <w:vAlign w:val="center"/>
          </w:tcPr>
          <w:p w14:paraId="0C0B583E"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Програма "Розвиток фізичної культури та спорту Жмеринської міської територіальної громади на 2025-2027 роки"</w:t>
            </w:r>
          </w:p>
        </w:tc>
        <w:tc>
          <w:tcPr>
            <w:tcW w:w="737" w:type="dxa"/>
            <w:shd w:val="clear" w:color="auto" w:fill="auto"/>
            <w:textDirection w:val="btLr"/>
            <w:vAlign w:val="center"/>
          </w:tcPr>
          <w:p w14:paraId="2A44FB3F"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6236.197</w:t>
            </w:r>
          </w:p>
        </w:tc>
        <w:tc>
          <w:tcPr>
            <w:tcW w:w="850" w:type="dxa"/>
            <w:shd w:val="clear" w:color="auto" w:fill="FBE4D5"/>
            <w:textDirection w:val="btLr"/>
            <w:vAlign w:val="center"/>
          </w:tcPr>
          <w:p w14:paraId="3367669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6236.197</w:t>
            </w:r>
          </w:p>
        </w:tc>
        <w:tc>
          <w:tcPr>
            <w:tcW w:w="979" w:type="dxa"/>
            <w:shd w:val="clear" w:color="auto" w:fill="auto"/>
            <w:textDirection w:val="btLr"/>
            <w:vAlign w:val="center"/>
          </w:tcPr>
          <w:p w14:paraId="20D8A73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1905.389</w:t>
            </w:r>
          </w:p>
        </w:tc>
        <w:tc>
          <w:tcPr>
            <w:tcW w:w="864" w:type="dxa"/>
            <w:shd w:val="clear" w:color="auto" w:fill="auto"/>
            <w:textDirection w:val="btLr"/>
            <w:vAlign w:val="center"/>
          </w:tcPr>
          <w:p w14:paraId="3293F7C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2103.549</w:t>
            </w:r>
          </w:p>
        </w:tc>
        <w:tc>
          <w:tcPr>
            <w:tcW w:w="850" w:type="dxa"/>
            <w:shd w:val="clear" w:color="auto" w:fill="auto"/>
            <w:textDirection w:val="btLr"/>
            <w:vAlign w:val="center"/>
          </w:tcPr>
          <w:p w14:paraId="7196088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2227.259</w:t>
            </w:r>
          </w:p>
        </w:tc>
        <w:tc>
          <w:tcPr>
            <w:tcW w:w="709" w:type="dxa"/>
            <w:shd w:val="clear" w:color="auto" w:fill="auto"/>
            <w:textDirection w:val="btLr"/>
            <w:vAlign w:val="center"/>
          </w:tcPr>
          <w:p w14:paraId="23D1FE7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C5E0B3"/>
            <w:textDirection w:val="btLr"/>
            <w:vAlign w:val="center"/>
          </w:tcPr>
          <w:p w14:paraId="4A1B990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1FCBA40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6260504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23F45BF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7078874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5AEA1D8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627CD97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6AB0180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009798C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52CD771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2F5DA06B"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6236.197</w:t>
            </w:r>
          </w:p>
        </w:tc>
      </w:tr>
      <w:tr w:rsidR="006B4969" w:rsidRPr="00C2587D" w14:paraId="6A351D61"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34"/>
        </w:trPr>
        <w:tc>
          <w:tcPr>
            <w:tcW w:w="531" w:type="dxa"/>
            <w:shd w:val="clear" w:color="auto" w:fill="auto"/>
            <w:vAlign w:val="center"/>
          </w:tcPr>
          <w:p w14:paraId="6BB86A1A"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lastRenderedPageBreak/>
              <w:t>8</w:t>
            </w:r>
          </w:p>
        </w:tc>
        <w:tc>
          <w:tcPr>
            <w:tcW w:w="2113" w:type="dxa"/>
            <w:shd w:val="clear" w:color="auto" w:fill="auto"/>
            <w:vAlign w:val="center"/>
          </w:tcPr>
          <w:p w14:paraId="1CCB4854"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Проєкт програми "Розвиток фізичної культури та спорту Жмеринської міської територіальної громади на 2028-2029 роки"</w:t>
            </w:r>
          </w:p>
        </w:tc>
        <w:tc>
          <w:tcPr>
            <w:tcW w:w="737" w:type="dxa"/>
            <w:shd w:val="clear" w:color="auto" w:fill="auto"/>
            <w:textDirection w:val="btLr"/>
            <w:vAlign w:val="center"/>
          </w:tcPr>
          <w:p w14:paraId="3DA2931C"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3000,0</w:t>
            </w:r>
          </w:p>
        </w:tc>
        <w:tc>
          <w:tcPr>
            <w:tcW w:w="850" w:type="dxa"/>
            <w:shd w:val="clear" w:color="auto" w:fill="FBE4D5"/>
            <w:textDirection w:val="btLr"/>
            <w:vAlign w:val="center"/>
          </w:tcPr>
          <w:p w14:paraId="20F275C9" w14:textId="7B39CBA5" w:rsidR="006B4969" w:rsidRPr="002F4F1D" w:rsidRDefault="002F4F1D" w:rsidP="006B4969">
            <w:pPr>
              <w:widowControl w:val="0"/>
              <w:autoSpaceDE w:val="0"/>
              <w:autoSpaceDN w:val="0"/>
              <w:ind w:left="113" w:right="113"/>
              <w:jc w:val="center"/>
              <w:rPr>
                <w:rFonts w:ascii="Times New Roman" w:eastAsia="Arial" w:hAnsi="Times New Roman"/>
                <w:sz w:val="20"/>
                <w:szCs w:val="20"/>
                <w:lang w:eastAsia="en-US"/>
              </w:rPr>
            </w:pPr>
            <w:r w:rsidRPr="002F4F1D">
              <w:rPr>
                <w:rFonts w:ascii="Times New Roman" w:eastAsia="Arial" w:hAnsi="Times New Roman"/>
                <w:sz w:val="20"/>
                <w:szCs w:val="20"/>
                <w:lang w:eastAsia="en-US"/>
              </w:rPr>
              <w:t>3000,0</w:t>
            </w:r>
          </w:p>
        </w:tc>
        <w:tc>
          <w:tcPr>
            <w:tcW w:w="979" w:type="dxa"/>
            <w:shd w:val="clear" w:color="auto" w:fill="auto"/>
            <w:textDirection w:val="btLr"/>
            <w:vAlign w:val="center"/>
          </w:tcPr>
          <w:p w14:paraId="109D66F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64" w:type="dxa"/>
            <w:shd w:val="clear" w:color="auto" w:fill="auto"/>
            <w:textDirection w:val="btLr"/>
            <w:vAlign w:val="center"/>
          </w:tcPr>
          <w:p w14:paraId="01845F3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50" w:type="dxa"/>
            <w:shd w:val="clear" w:color="auto" w:fill="auto"/>
            <w:textDirection w:val="btLr"/>
            <w:vAlign w:val="center"/>
          </w:tcPr>
          <w:p w14:paraId="4E446A2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31A989C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3000,0</w:t>
            </w:r>
          </w:p>
        </w:tc>
        <w:tc>
          <w:tcPr>
            <w:tcW w:w="709" w:type="dxa"/>
            <w:shd w:val="clear" w:color="auto" w:fill="C5E0B3"/>
            <w:textDirection w:val="btLr"/>
            <w:vAlign w:val="center"/>
          </w:tcPr>
          <w:p w14:paraId="501859C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5139457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1D2AD11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0EA3C6D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3C108A3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619229F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3F61542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13E6516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05CECD1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699DD26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669E83DA"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3000,0</w:t>
            </w:r>
          </w:p>
        </w:tc>
      </w:tr>
      <w:tr w:rsidR="006B4969" w:rsidRPr="00C2587D" w14:paraId="58E0C755"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977"/>
        </w:trPr>
        <w:tc>
          <w:tcPr>
            <w:tcW w:w="531" w:type="dxa"/>
            <w:shd w:val="clear" w:color="auto" w:fill="auto"/>
            <w:vAlign w:val="center"/>
          </w:tcPr>
          <w:p w14:paraId="12B5149E"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9</w:t>
            </w:r>
          </w:p>
        </w:tc>
        <w:tc>
          <w:tcPr>
            <w:tcW w:w="2113" w:type="dxa"/>
            <w:shd w:val="clear" w:color="auto" w:fill="auto"/>
            <w:vAlign w:val="center"/>
          </w:tcPr>
          <w:p w14:paraId="47E4A6F9"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"Програма розвитку комунального підприємства "Парковий культурно-спортивний комплекс " Жмеринської міської ради Вінницької області на 2025-2027 роки"</w:t>
            </w:r>
          </w:p>
        </w:tc>
        <w:tc>
          <w:tcPr>
            <w:tcW w:w="737" w:type="dxa"/>
            <w:shd w:val="clear" w:color="auto" w:fill="auto"/>
            <w:textDirection w:val="btLr"/>
            <w:vAlign w:val="center"/>
          </w:tcPr>
          <w:p w14:paraId="29E6736D"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24746,142</w:t>
            </w:r>
          </w:p>
        </w:tc>
        <w:tc>
          <w:tcPr>
            <w:tcW w:w="850" w:type="dxa"/>
            <w:shd w:val="clear" w:color="auto" w:fill="FBE4D5"/>
            <w:textDirection w:val="btLr"/>
            <w:vAlign w:val="center"/>
          </w:tcPr>
          <w:p w14:paraId="08E6F5B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24746,142</w:t>
            </w:r>
          </w:p>
        </w:tc>
        <w:tc>
          <w:tcPr>
            <w:tcW w:w="979" w:type="dxa"/>
            <w:shd w:val="clear" w:color="auto" w:fill="auto"/>
            <w:textDirection w:val="btLr"/>
            <w:vAlign w:val="center"/>
          </w:tcPr>
          <w:p w14:paraId="1F6C39A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7560,377</w:t>
            </w:r>
          </w:p>
        </w:tc>
        <w:tc>
          <w:tcPr>
            <w:tcW w:w="864" w:type="dxa"/>
            <w:shd w:val="clear" w:color="auto" w:fill="auto"/>
            <w:textDirection w:val="btLr"/>
            <w:vAlign w:val="center"/>
          </w:tcPr>
          <w:p w14:paraId="15EC97E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8346,656</w:t>
            </w:r>
          </w:p>
        </w:tc>
        <w:tc>
          <w:tcPr>
            <w:tcW w:w="850" w:type="dxa"/>
            <w:shd w:val="clear" w:color="auto" w:fill="auto"/>
            <w:textDirection w:val="btLr"/>
            <w:vAlign w:val="center"/>
          </w:tcPr>
          <w:p w14:paraId="308C69C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8839,109</w:t>
            </w:r>
          </w:p>
        </w:tc>
        <w:tc>
          <w:tcPr>
            <w:tcW w:w="709" w:type="dxa"/>
            <w:shd w:val="clear" w:color="auto" w:fill="auto"/>
            <w:textDirection w:val="btLr"/>
            <w:vAlign w:val="center"/>
          </w:tcPr>
          <w:p w14:paraId="15C2267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C5E0B3"/>
            <w:textDirection w:val="btLr"/>
            <w:vAlign w:val="center"/>
          </w:tcPr>
          <w:p w14:paraId="5449BDA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2BFC97A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1452335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308946E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1D712C9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19C934B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56F8145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0632235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4C831F4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5D5453C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071F5A8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b/>
                <w:sz w:val="20"/>
                <w:szCs w:val="20"/>
                <w:lang w:eastAsia="en-US"/>
              </w:rPr>
              <w:t>24746,142</w:t>
            </w:r>
          </w:p>
        </w:tc>
      </w:tr>
      <w:tr w:rsidR="006B4969" w:rsidRPr="00C2587D" w14:paraId="30656400"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34"/>
        </w:trPr>
        <w:tc>
          <w:tcPr>
            <w:tcW w:w="531" w:type="dxa"/>
            <w:shd w:val="clear" w:color="auto" w:fill="auto"/>
            <w:vAlign w:val="center"/>
          </w:tcPr>
          <w:p w14:paraId="424BDCFF"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10</w:t>
            </w:r>
          </w:p>
        </w:tc>
        <w:tc>
          <w:tcPr>
            <w:tcW w:w="2113" w:type="dxa"/>
            <w:shd w:val="clear" w:color="auto" w:fill="auto"/>
            <w:vAlign w:val="center"/>
          </w:tcPr>
          <w:p w14:paraId="736A09A9"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Проєкт "Програма розвитку комунального підприємства "Парковий культурно-спортивний комплекс " Жмеринської міської ради Вінницької області на 2028-2029 роки"</w:t>
            </w:r>
          </w:p>
        </w:tc>
        <w:tc>
          <w:tcPr>
            <w:tcW w:w="737" w:type="dxa"/>
            <w:shd w:val="clear" w:color="auto" w:fill="auto"/>
            <w:textDirection w:val="btLr"/>
            <w:vAlign w:val="center"/>
          </w:tcPr>
          <w:p w14:paraId="46018F3B"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10000,0</w:t>
            </w:r>
          </w:p>
        </w:tc>
        <w:tc>
          <w:tcPr>
            <w:tcW w:w="850" w:type="dxa"/>
            <w:shd w:val="clear" w:color="auto" w:fill="FBE4D5"/>
            <w:textDirection w:val="btLr"/>
            <w:vAlign w:val="center"/>
          </w:tcPr>
          <w:p w14:paraId="44E0A792" w14:textId="2D279777" w:rsidR="006B4969" w:rsidRPr="00C2587D" w:rsidRDefault="002F4F1D" w:rsidP="006B4969">
            <w:pPr>
              <w:widowControl w:val="0"/>
              <w:autoSpaceDE w:val="0"/>
              <w:autoSpaceDN w:val="0"/>
              <w:ind w:left="113" w:right="113"/>
              <w:jc w:val="center"/>
              <w:rPr>
                <w:rFonts w:ascii="Times New Roman" w:eastAsia="Arial" w:hAnsi="Times New Roman"/>
                <w:sz w:val="20"/>
                <w:szCs w:val="20"/>
                <w:lang w:eastAsia="en-US"/>
              </w:rPr>
            </w:pPr>
            <w:r w:rsidRPr="002F4F1D">
              <w:rPr>
                <w:rFonts w:ascii="Times New Roman" w:eastAsia="Arial" w:hAnsi="Times New Roman"/>
                <w:sz w:val="20"/>
                <w:szCs w:val="20"/>
                <w:lang w:eastAsia="en-US"/>
              </w:rPr>
              <w:t>10000,0</w:t>
            </w:r>
          </w:p>
        </w:tc>
        <w:tc>
          <w:tcPr>
            <w:tcW w:w="979" w:type="dxa"/>
            <w:shd w:val="clear" w:color="auto" w:fill="auto"/>
            <w:textDirection w:val="btLr"/>
            <w:vAlign w:val="center"/>
          </w:tcPr>
          <w:p w14:paraId="79895D6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64" w:type="dxa"/>
            <w:shd w:val="clear" w:color="auto" w:fill="auto"/>
            <w:textDirection w:val="btLr"/>
            <w:vAlign w:val="center"/>
          </w:tcPr>
          <w:p w14:paraId="25D1690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50" w:type="dxa"/>
            <w:shd w:val="clear" w:color="auto" w:fill="auto"/>
            <w:textDirection w:val="btLr"/>
            <w:vAlign w:val="center"/>
          </w:tcPr>
          <w:p w14:paraId="6DB6E9F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1D3A79F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10000,0</w:t>
            </w:r>
          </w:p>
        </w:tc>
        <w:tc>
          <w:tcPr>
            <w:tcW w:w="709" w:type="dxa"/>
            <w:shd w:val="clear" w:color="auto" w:fill="C5E0B3"/>
            <w:textDirection w:val="btLr"/>
            <w:vAlign w:val="center"/>
          </w:tcPr>
          <w:p w14:paraId="67655B9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36774A1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1961D12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58A0E67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2FB5FFE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742816B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40FD433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4F08D79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2142CB2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1A78DCE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29BF712C"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10000,0</w:t>
            </w:r>
          </w:p>
        </w:tc>
      </w:tr>
      <w:tr w:rsidR="006B4969" w:rsidRPr="00C2587D" w14:paraId="4C1BD2AF" w14:textId="77777777" w:rsidTr="00A041B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21"/>
        </w:trPr>
        <w:tc>
          <w:tcPr>
            <w:tcW w:w="15175" w:type="dxa"/>
            <w:gridSpan w:val="19"/>
            <w:shd w:val="clear" w:color="auto" w:fill="auto"/>
            <w:vAlign w:val="center"/>
          </w:tcPr>
          <w:p w14:paraId="3CBA24A0"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Проєкти місцевого (регіонального) розвитку</w:t>
            </w:r>
          </w:p>
        </w:tc>
      </w:tr>
      <w:tr w:rsidR="006B4969" w:rsidRPr="00C2587D" w14:paraId="2DAAE26B"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309"/>
        </w:trPr>
        <w:tc>
          <w:tcPr>
            <w:tcW w:w="531" w:type="dxa"/>
            <w:shd w:val="clear" w:color="auto" w:fill="auto"/>
            <w:vAlign w:val="center"/>
          </w:tcPr>
          <w:p w14:paraId="626E6521"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1</w:t>
            </w:r>
          </w:p>
        </w:tc>
        <w:tc>
          <w:tcPr>
            <w:tcW w:w="2113" w:type="dxa"/>
            <w:shd w:val="clear" w:color="auto" w:fill="auto"/>
            <w:vAlign w:val="center"/>
          </w:tcPr>
          <w:p w14:paraId="402A8FDC" w14:textId="77777777" w:rsidR="006B4969" w:rsidRPr="00C2587D" w:rsidRDefault="006B4969" w:rsidP="00FF28D2">
            <w:pPr>
              <w:widowControl w:val="0"/>
              <w:autoSpaceDE w:val="0"/>
              <w:autoSpaceDN w:val="0"/>
              <w:rPr>
                <w:rFonts w:ascii="Times New Roman" w:hAnsi="Times New Roman"/>
                <w:bCs/>
                <w:sz w:val="20"/>
                <w:szCs w:val="20"/>
                <w:lang w:eastAsia="it-IT"/>
              </w:rPr>
            </w:pPr>
            <w:r w:rsidRPr="00C2587D">
              <w:rPr>
                <w:rFonts w:ascii="Times New Roman" w:hAnsi="Times New Roman"/>
                <w:bCs/>
                <w:sz w:val="20"/>
                <w:szCs w:val="20"/>
                <w:lang w:eastAsia="it-IT"/>
              </w:rPr>
              <w:t>Капітальний ремонт запасного футбольного поля на території КП «Парковий культурно-спортивний комплекс»</w:t>
            </w:r>
          </w:p>
        </w:tc>
        <w:tc>
          <w:tcPr>
            <w:tcW w:w="737" w:type="dxa"/>
            <w:shd w:val="clear" w:color="auto" w:fill="auto"/>
            <w:textDirection w:val="btLr"/>
            <w:vAlign w:val="center"/>
          </w:tcPr>
          <w:p w14:paraId="3BDDC1D7"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3600,0</w:t>
            </w:r>
          </w:p>
        </w:tc>
        <w:tc>
          <w:tcPr>
            <w:tcW w:w="850" w:type="dxa"/>
            <w:shd w:val="clear" w:color="auto" w:fill="FBE4D5"/>
            <w:textDirection w:val="btLr"/>
            <w:vAlign w:val="center"/>
          </w:tcPr>
          <w:p w14:paraId="4562238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3600,0</w:t>
            </w:r>
          </w:p>
        </w:tc>
        <w:tc>
          <w:tcPr>
            <w:tcW w:w="979" w:type="dxa"/>
            <w:shd w:val="clear" w:color="auto" w:fill="auto"/>
            <w:textDirection w:val="btLr"/>
            <w:vAlign w:val="center"/>
          </w:tcPr>
          <w:p w14:paraId="60FADF3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64" w:type="dxa"/>
            <w:shd w:val="clear" w:color="auto" w:fill="auto"/>
            <w:textDirection w:val="btLr"/>
            <w:vAlign w:val="center"/>
          </w:tcPr>
          <w:p w14:paraId="1353338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50" w:type="dxa"/>
            <w:shd w:val="clear" w:color="auto" w:fill="auto"/>
            <w:textDirection w:val="btLr"/>
            <w:vAlign w:val="center"/>
          </w:tcPr>
          <w:p w14:paraId="79EB978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3600,0</w:t>
            </w:r>
          </w:p>
        </w:tc>
        <w:tc>
          <w:tcPr>
            <w:tcW w:w="709" w:type="dxa"/>
            <w:shd w:val="clear" w:color="auto" w:fill="auto"/>
            <w:textDirection w:val="btLr"/>
            <w:vAlign w:val="center"/>
          </w:tcPr>
          <w:p w14:paraId="5E20202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C5E0B3"/>
            <w:textDirection w:val="btLr"/>
            <w:vAlign w:val="center"/>
          </w:tcPr>
          <w:p w14:paraId="117F695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5FF9064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6F7272D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14AC598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32F45FF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6411AC1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1502EA4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2BE1B6E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0D3275F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63E53BF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6C3AFA8D"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3600,0</w:t>
            </w:r>
          </w:p>
        </w:tc>
      </w:tr>
      <w:tr w:rsidR="006B4969" w:rsidRPr="00C2587D" w14:paraId="49C1DE8E"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413"/>
        </w:trPr>
        <w:tc>
          <w:tcPr>
            <w:tcW w:w="531" w:type="dxa"/>
            <w:shd w:val="clear" w:color="auto" w:fill="auto"/>
            <w:vAlign w:val="center"/>
          </w:tcPr>
          <w:p w14:paraId="0FBCEBA1"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lastRenderedPageBreak/>
              <w:t>2</w:t>
            </w:r>
          </w:p>
        </w:tc>
        <w:tc>
          <w:tcPr>
            <w:tcW w:w="2113" w:type="dxa"/>
            <w:shd w:val="clear" w:color="auto" w:fill="auto"/>
            <w:vAlign w:val="center"/>
          </w:tcPr>
          <w:p w14:paraId="5DA84146"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hAnsi="Times New Roman"/>
                <w:bCs/>
                <w:sz w:val="20"/>
                <w:szCs w:val="20"/>
                <w:lang w:eastAsia="it-IT"/>
              </w:rPr>
              <w:t>Вуличний багатофункціональний спортивно-оздоровчий простір з гумовим або штучним покриттям по вул. Шекінська</w:t>
            </w:r>
          </w:p>
        </w:tc>
        <w:tc>
          <w:tcPr>
            <w:tcW w:w="737" w:type="dxa"/>
            <w:shd w:val="clear" w:color="auto" w:fill="auto"/>
            <w:textDirection w:val="btLr"/>
            <w:vAlign w:val="center"/>
          </w:tcPr>
          <w:p w14:paraId="1ADD06B4"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5500,0</w:t>
            </w:r>
          </w:p>
        </w:tc>
        <w:tc>
          <w:tcPr>
            <w:tcW w:w="850" w:type="dxa"/>
            <w:shd w:val="clear" w:color="auto" w:fill="FBE4D5"/>
            <w:textDirection w:val="btLr"/>
            <w:vAlign w:val="center"/>
          </w:tcPr>
          <w:p w14:paraId="2C56ECE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5500,0</w:t>
            </w:r>
          </w:p>
        </w:tc>
        <w:tc>
          <w:tcPr>
            <w:tcW w:w="979" w:type="dxa"/>
            <w:shd w:val="clear" w:color="auto" w:fill="auto"/>
            <w:textDirection w:val="btLr"/>
            <w:vAlign w:val="center"/>
          </w:tcPr>
          <w:p w14:paraId="1DCC092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64" w:type="dxa"/>
            <w:shd w:val="clear" w:color="auto" w:fill="auto"/>
            <w:textDirection w:val="btLr"/>
            <w:vAlign w:val="center"/>
          </w:tcPr>
          <w:p w14:paraId="3787FAD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50" w:type="dxa"/>
            <w:shd w:val="clear" w:color="auto" w:fill="auto"/>
            <w:textDirection w:val="btLr"/>
            <w:vAlign w:val="center"/>
          </w:tcPr>
          <w:p w14:paraId="76AE72C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5500,0</w:t>
            </w:r>
          </w:p>
        </w:tc>
        <w:tc>
          <w:tcPr>
            <w:tcW w:w="709" w:type="dxa"/>
            <w:shd w:val="clear" w:color="auto" w:fill="auto"/>
            <w:textDirection w:val="btLr"/>
            <w:vAlign w:val="center"/>
          </w:tcPr>
          <w:p w14:paraId="1D770FD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C5E0B3"/>
            <w:textDirection w:val="btLr"/>
            <w:vAlign w:val="center"/>
          </w:tcPr>
          <w:p w14:paraId="7BA898F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0E01AD2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715C6E3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01FDCF1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00FD559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11C8F48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6559766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3420A0F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62CD368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75B25F8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57072FCE"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5500,0</w:t>
            </w:r>
          </w:p>
        </w:tc>
      </w:tr>
      <w:tr w:rsidR="006B4969" w:rsidRPr="00C2587D" w14:paraId="0533284B"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966"/>
        </w:trPr>
        <w:tc>
          <w:tcPr>
            <w:tcW w:w="531" w:type="dxa"/>
            <w:shd w:val="clear" w:color="auto" w:fill="auto"/>
            <w:vAlign w:val="center"/>
          </w:tcPr>
          <w:p w14:paraId="2D83DCEE"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3</w:t>
            </w:r>
          </w:p>
        </w:tc>
        <w:tc>
          <w:tcPr>
            <w:tcW w:w="2113" w:type="dxa"/>
            <w:shd w:val="clear" w:color="auto" w:fill="auto"/>
            <w:vAlign w:val="center"/>
          </w:tcPr>
          <w:p w14:paraId="36BF6D27" w14:textId="77777777" w:rsidR="006B4969" w:rsidRPr="00C2587D" w:rsidRDefault="006B4969" w:rsidP="00FF28D2">
            <w:pPr>
              <w:widowControl w:val="0"/>
              <w:autoSpaceDE w:val="0"/>
              <w:autoSpaceDN w:val="0"/>
              <w:rPr>
                <w:rFonts w:ascii="Times New Roman" w:hAnsi="Times New Roman"/>
                <w:bCs/>
                <w:sz w:val="20"/>
                <w:szCs w:val="20"/>
                <w:lang w:eastAsia="it-IT"/>
              </w:rPr>
            </w:pPr>
            <w:r w:rsidRPr="00C2587D">
              <w:rPr>
                <w:rFonts w:ascii="Times New Roman" w:hAnsi="Times New Roman"/>
                <w:bCs/>
                <w:sz w:val="20"/>
                <w:szCs w:val="20"/>
                <w:lang w:eastAsia="it-IT"/>
              </w:rPr>
              <w:t>Капітальний ремонт залу «Олімп» КП «Парковий культурно-спортивний комплекс»</w:t>
            </w:r>
          </w:p>
        </w:tc>
        <w:tc>
          <w:tcPr>
            <w:tcW w:w="737" w:type="dxa"/>
            <w:shd w:val="clear" w:color="auto" w:fill="auto"/>
            <w:textDirection w:val="btLr"/>
            <w:vAlign w:val="center"/>
          </w:tcPr>
          <w:p w14:paraId="68CB5113"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30000,0</w:t>
            </w:r>
          </w:p>
        </w:tc>
        <w:tc>
          <w:tcPr>
            <w:tcW w:w="850" w:type="dxa"/>
            <w:shd w:val="clear" w:color="auto" w:fill="FBE4D5"/>
            <w:textDirection w:val="btLr"/>
            <w:vAlign w:val="center"/>
          </w:tcPr>
          <w:p w14:paraId="5AF232E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7500,0</w:t>
            </w:r>
          </w:p>
        </w:tc>
        <w:tc>
          <w:tcPr>
            <w:tcW w:w="979" w:type="dxa"/>
            <w:shd w:val="clear" w:color="auto" w:fill="auto"/>
            <w:textDirection w:val="btLr"/>
            <w:vAlign w:val="center"/>
          </w:tcPr>
          <w:p w14:paraId="18986C9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64" w:type="dxa"/>
            <w:shd w:val="clear" w:color="auto" w:fill="auto"/>
            <w:textDirection w:val="btLr"/>
            <w:vAlign w:val="center"/>
          </w:tcPr>
          <w:p w14:paraId="2A8AA31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3750,0</w:t>
            </w:r>
          </w:p>
        </w:tc>
        <w:tc>
          <w:tcPr>
            <w:tcW w:w="850" w:type="dxa"/>
            <w:shd w:val="clear" w:color="auto" w:fill="auto"/>
            <w:textDirection w:val="btLr"/>
            <w:vAlign w:val="center"/>
          </w:tcPr>
          <w:p w14:paraId="239E7E3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3750,0</w:t>
            </w:r>
          </w:p>
        </w:tc>
        <w:tc>
          <w:tcPr>
            <w:tcW w:w="709" w:type="dxa"/>
            <w:shd w:val="clear" w:color="auto" w:fill="auto"/>
            <w:textDirection w:val="btLr"/>
            <w:vAlign w:val="center"/>
          </w:tcPr>
          <w:p w14:paraId="125D094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C5E0B3"/>
            <w:textDirection w:val="btLr"/>
            <w:vAlign w:val="center"/>
          </w:tcPr>
          <w:p w14:paraId="1639C7F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22500,0</w:t>
            </w:r>
          </w:p>
        </w:tc>
        <w:tc>
          <w:tcPr>
            <w:tcW w:w="709" w:type="dxa"/>
            <w:shd w:val="clear" w:color="auto" w:fill="auto"/>
            <w:textDirection w:val="btLr"/>
            <w:vAlign w:val="center"/>
          </w:tcPr>
          <w:p w14:paraId="41B8A95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6445564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11250,0</w:t>
            </w:r>
          </w:p>
        </w:tc>
        <w:tc>
          <w:tcPr>
            <w:tcW w:w="709" w:type="dxa"/>
            <w:shd w:val="clear" w:color="auto" w:fill="auto"/>
            <w:textDirection w:val="btLr"/>
            <w:vAlign w:val="center"/>
          </w:tcPr>
          <w:p w14:paraId="530CD72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11250,0</w:t>
            </w:r>
          </w:p>
        </w:tc>
        <w:tc>
          <w:tcPr>
            <w:tcW w:w="696" w:type="dxa"/>
            <w:shd w:val="clear" w:color="auto" w:fill="auto"/>
            <w:textDirection w:val="btLr"/>
            <w:vAlign w:val="center"/>
          </w:tcPr>
          <w:p w14:paraId="2EA71E2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5C3CAB5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1E85F50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1416183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2EAC97F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2E4E438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0B8194B9"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30000,0</w:t>
            </w:r>
          </w:p>
        </w:tc>
      </w:tr>
      <w:tr w:rsidR="006B4969" w:rsidRPr="00C2587D" w14:paraId="7AC5FD20"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830"/>
        </w:trPr>
        <w:tc>
          <w:tcPr>
            <w:tcW w:w="531" w:type="dxa"/>
            <w:shd w:val="clear" w:color="auto" w:fill="auto"/>
            <w:vAlign w:val="center"/>
          </w:tcPr>
          <w:p w14:paraId="169D89BC"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4</w:t>
            </w:r>
          </w:p>
        </w:tc>
        <w:tc>
          <w:tcPr>
            <w:tcW w:w="2113" w:type="dxa"/>
            <w:shd w:val="clear" w:color="auto" w:fill="auto"/>
            <w:vAlign w:val="center"/>
          </w:tcPr>
          <w:p w14:paraId="34B9A586" w14:textId="77777777" w:rsidR="006B4969" w:rsidRPr="00C2587D" w:rsidRDefault="006B4969" w:rsidP="00FF28D2">
            <w:pPr>
              <w:widowControl w:val="0"/>
              <w:autoSpaceDE w:val="0"/>
              <w:autoSpaceDN w:val="0"/>
              <w:rPr>
                <w:rFonts w:ascii="Times New Roman" w:hAnsi="Times New Roman"/>
                <w:bCs/>
                <w:sz w:val="20"/>
                <w:szCs w:val="20"/>
                <w:lang w:eastAsia="it-IT"/>
              </w:rPr>
            </w:pPr>
            <w:r w:rsidRPr="00C2587D">
              <w:rPr>
                <w:rFonts w:ascii="Times New Roman" w:hAnsi="Times New Roman"/>
                <w:bCs/>
                <w:sz w:val="20"/>
                <w:szCs w:val="20"/>
                <w:lang w:eastAsia="it-IT"/>
              </w:rPr>
              <w:t>Капітальний ремонт трибуни стадіону КП «Парковий культурно-спортивний комплекс»</w:t>
            </w:r>
          </w:p>
        </w:tc>
        <w:tc>
          <w:tcPr>
            <w:tcW w:w="737" w:type="dxa"/>
            <w:shd w:val="clear" w:color="auto" w:fill="auto"/>
            <w:textDirection w:val="btLr"/>
            <w:vAlign w:val="center"/>
          </w:tcPr>
          <w:p w14:paraId="510FD04F"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50000,0</w:t>
            </w:r>
          </w:p>
        </w:tc>
        <w:tc>
          <w:tcPr>
            <w:tcW w:w="850" w:type="dxa"/>
            <w:shd w:val="clear" w:color="auto" w:fill="FBE4D5"/>
            <w:textDirection w:val="btLr"/>
            <w:vAlign w:val="center"/>
          </w:tcPr>
          <w:p w14:paraId="66B73D3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12500,0</w:t>
            </w:r>
          </w:p>
        </w:tc>
        <w:tc>
          <w:tcPr>
            <w:tcW w:w="979" w:type="dxa"/>
            <w:shd w:val="clear" w:color="auto" w:fill="auto"/>
            <w:textDirection w:val="btLr"/>
            <w:vAlign w:val="center"/>
          </w:tcPr>
          <w:p w14:paraId="1EB5457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64" w:type="dxa"/>
            <w:shd w:val="clear" w:color="auto" w:fill="auto"/>
            <w:textDirection w:val="btLr"/>
            <w:vAlign w:val="center"/>
          </w:tcPr>
          <w:p w14:paraId="2B37E80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50" w:type="dxa"/>
            <w:shd w:val="clear" w:color="auto" w:fill="auto"/>
            <w:textDirection w:val="btLr"/>
            <w:vAlign w:val="center"/>
          </w:tcPr>
          <w:p w14:paraId="1ACD856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5982812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12500,0</w:t>
            </w:r>
          </w:p>
        </w:tc>
        <w:tc>
          <w:tcPr>
            <w:tcW w:w="709" w:type="dxa"/>
            <w:shd w:val="clear" w:color="auto" w:fill="C5E0B3"/>
            <w:textDirection w:val="btLr"/>
            <w:vAlign w:val="center"/>
          </w:tcPr>
          <w:p w14:paraId="7EA08CE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37500,0</w:t>
            </w:r>
          </w:p>
        </w:tc>
        <w:tc>
          <w:tcPr>
            <w:tcW w:w="709" w:type="dxa"/>
            <w:shd w:val="clear" w:color="auto" w:fill="auto"/>
            <w:textDirection w:val="btLr"/>
            <w:vAlign w:val="center"/>
          </w:tcPr>
          <w:p w14:paraId="70496EE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4C31562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1BC42C0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4FDAECE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37500,0</w:t>
            </w:r>
          </w:p>
        </w:tc>
        <w:tc>
          <w:tcPr>
            <w:tcW w:w="580" w:type="dxa"/>
            <w:shd w:val="clear" w:color="auto" w:fill="D9E2F3"/>
            <w:textDirection w:val="btLr"/>
            <w:vAlign w:val="center"/>
          </w:tcPr>
          <w:p w14:paraId="1CBF2F4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6D84F2E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206798C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415C024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01D103D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4A8C131C"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50000,0</w:t>
            </w:r>
          </w:p>
        </w:tc>
      </w:tr>
      <w:tr w:rsidR="006B4969" w:rsidRPr="00C2587D" w14:paraId="04A82FBC"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34"/>
        </w:trPr>
        <w:tc>
          <w:tcPr>
            <w:tcW w:w="531" w:type="dxa"/>
            <w:shd w:val="clear" w:color="auto" w:fill="auto"/>
            <w:vAlign w:val="center"/>
          </w:tcPr>
          <w:p w14:paraId="188CB14F"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5</w:t>
            </w:r>
          </w:p>
        </w:tc>
        <w:tc>
          <w:tcPr>
            <w:tcW w:w="2113" w:type="dxa"/>
            <w:shd w:val="clear" w:color="auto" w:fill="auto"/>
            <w:vAlign w:val="center"/>
          </w:tcPr>
          <w:p w14:paraId="687AE0C3" w14:textId="77777777" w:rsidR="006B4969" w:rsidRPr="00C2587D" w:rsidRDefault="006B4969" w:rsidP="00FF28D2">
            <w:pPr>
              <w:widowControl w:val="0"/>
              <w:autoSpaceDE w:val="0"/>
              <w:autoSpaceDN w:val="0"/>
              <w:rPr>
                <w:rFonts w:ascii="Times New Roman" w:hAnsi="Times New Roman"/>
                <w:bCs/>
                <w:sz w:val="20"/>
                <w:szCs w:val="20"/>
                <w:lang w:eastAsia="it-IT"/>
              </w:rPr>
            </w:pPr>
            <w:r w:rsidRPr="00C2587D">
              <w:rPr>
                <w:rFonts w:ascii="Times New Roman" w:hAnsi="Times New Roman"/>
                <w:bCs/>
                <w:sz w:val="20"/>
                <w:szCs w:val="20"/>
                <w:lang w:eastAsia="it-IT"/>
              </w:rPr>
              <w:t>Капітальний ремонт адміністративного приміщення (трибуни стадіону) КП «Парковий культурно-спортивний комплекс»</w:t>
            </w:r>
          </w:p>
        </w:tc>
        <w:tc>
          <w:tcPr>
            <w:tcW w:w="737" w:type="dxa"/>
            <w:shd w:val="clear" w:color="auto" w:fill="auto"/>
            <w:textDirection w:val="btLr"/>
            <w:vAlign w:val="center"/>
          </w:tcPr>
          <w:p w14:paraId="4D0D9A77"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50000,0</w:t>
            </w:r>
          </w:p>
        </w:tc>
        <w:tc>
          <w:tcPr>
            <w:tcW w:w="850" w:type="dxa"/>
            <w:shd w:val="clear" w:color="auto" w:fill="FBE4D5"/>
            <w:textDirection w:val="btLr"/>
            <w:vAlign w:val="center"/>
          </w:tcPr>
          <w:p w14:paraId="1DEBAA3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12500,0</w:t>
            </w:r>
          </w:p>
        </w:tc>
        <w:tc>
          <w:tcPr>
            <w:tcW w:w="979" w:type="dxa"/>
            <w:shd w:val="clear" w:color="auto" w:fill="auto"/>
            <w:textDirection w:val="btLr"/>
            <w:vAlign w:val="center"/>
          </w:tcPr>
          <w:p w14:paraId="74EDB16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64" w:type="dxa"/>
            <w:shd w:val="clear" w:color="auto" w:fill="auto"/>
            <w:textDirection w:val="btLr"/>
            <w:vAlign w:val="center"/>
          </w:tcPr>
          <w:p w14:paraId="5DBCC4A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50" w:type="dxa"/>
            <w:shd w:val="clear" w:color="auto" w:fill="auto"/>
            <w:textDirection w:val="btLr"/>
            <w:vAlign w:val="center"/>
          </w:tcPr>
          <w:p w14:paraId="2DD1A9C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5F6A8F4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12500,0</w:t>
            </w:r>
          </w:p>
        </w:tc>
        <w:tc>
          <w:tcPr>
            <w:tcW w:w="709" w:type="dxa"/>
            <w:shd w:val="clear" w:color="auto" w:fill="C5E0B3"/>
            <w:textDirection w:val="btLr"/>
            <w:vAlign w:val="center"/>
          </w:tcPr>
          <w:p w14:paraId="1607972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37500,0</w:t>
            </w:r>
          </w:p>
        </w:tc>
        <w:tc>
          <w:tcPr>
            <w:tcW w:w="709" w:type="dxa"/>
            <w:shd w:val="clear" w:color="auto" w:fill="auto"/>
            <w:textDirection w:val="btLr"/>
            <w:vAlign w:val="center"/>
          </w:tcPr>
          <w:p w14:paraId="3C3E460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3C1231D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211006F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7EE8DC9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37500,0</w:t>
            </w:r>
          </w:p>
        </w:tc>
        <w:tc>
          <w:tcPr>
            <w:tcW w:w="580" w:type="dxa"/>
            <w:shd w:val="clear" w:color="auto" w:fill="D9E2F3"/>
            <w:textDirection w:val="btLr"/>
            <w:vAlign w:val="center"/>
          </w:tcPr>
          <w:p w14:paraId="466488E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19E4777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6CC79B2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4098AE6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3C67103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58E5D84F"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50000,0</w:t>
            </w:r>
          </w:p>
        </w:tc>
      </w:tr>
      <w:tr w:rsidR="006B4969" w:rsidRPr="00C2587D" w14:paraId="4BB0E221"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948"/>
        </w:trPr>
        <w:tc>
          <w:tcPr>
            <w:tcW w:w="531" w:type="dxa"/>
            <w:shd w:val="clear" w:color="auto" w:fill="auto"/>
            <w:vAlign w:val="center"/>
          </w:tcPr>
          <w:p w14:paraId="433BFB64"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6</w:t>
            </w:r>
          </w:p>
        </w:tc>
        <w:tc>
          <w:tcPr>
            <w:tcW w:w="2113" w:type="dxa"/>
            <w:shd w:val="clear" w:color="auto" w:fill="auto"/>
            <w:vAlign w:val="center"/>
          </w:tcPr>
          <w:p w14:paraId="6F27F8BA" w14:textId="77777777" w:rsidR="006B4969" w:rsidRPr="00C2587D" w:rsidRDefault="006B4969" w:rsidP="00FF28D2">
            <w:pPr>
              <w:widowControl w:val="0"/>
              <w:autoSpaceDE w:val="0"/>
              <w:autoSpaceDN w:val="0"/>
              <w:rPr>
                <w:rFonts w:ascii="Times New Roman" w:hAnsi="Times New Roman"/>
                <w:bCs/>
                <w:sz w:val="20"/>
                <w:szCs w:val="20"/>
                <w:lang w:eastAsia="it-IT"/>
              </w:rPr>
            </w:pPr>
            <w:r w:rsidRPr="00C2587D">
              <w:rPr>
                <w:rFonts w:ascii="Times New Roman" w:hAnsi="Times New Roman"/>
                <w:bCs/>
                <w:sz w:val="20"/>
                <w:szCs w:val="20"/>
                <w:lang w:eastAsia="it-IT"/>
              </w:rPr>
              <w:t>Капітальний ремонт асфальтованих доріжок КП «Парковий культурно-спортивний комплекс»</w:t>
            </w:r>
          </w:p>
        </w:tc>
        <w:tc>
          <w:tcPr>
            <w:tcW w:w="737" w:type="dxa"/>
            <w:shd w:val="clear" w:color="auto" w:fill="auto"/>
            <w:textDirection w:val="btLr"/>
            <w:vAlign w:val="center"/>
          </w:tcPr>
          <w:p w14:paraId="6B7DE9C2"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50000,0</w:t>
            </w:r>
          </w:p>
        </w:tc>
        <w:tc>
          <w:tcPr>
            <w:tcW w:w="850" w:type="dxa"/>
            <w:shd w:val="clear" w:color="auto" w:fill="FBE4D5"/>
            <w:textDirection w:val="btLr"/>
            <w:vAlign w:val="center"/>
          </w:tcPr>
          <w:p w14:paraId="587DB0C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12500,0</w:t>
            </w:r>
          </w:p>
        </w:tc>
        <w:tc>
          <w:tcPr>
            <w:tcW w:w="979" w:type="dxa"/>
            <w:shd w:val="clear" w:color="auto" w:fill="auto"/>
            <w:textDirection w:val="btLr"/>
            <w:vAlign w:val="center"/>
          </w:tcPr>
          <w:p w14:paraId="68F3EBD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64" w:type="dxa"/>
            <w:shd w:val="clear" w:color="auto" w:fill="auto"/>
            <w:textDirection w:val="btLr"/>
            <w:vAlign w:val="center"/>
          </w:tcPr>
          <w:p w14:paraId="70AC0C6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50" w:type="dxa"/>
            <w:shd w:val="clear" w:color="auto" w:fill="auto"/>
            <w:textDirection w:val="btLr"/>
            <w:vAlign w:val="center"/>
          </w:tcPr>
          <w:p w14:paraId="1365593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321D301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12500,0</w:t>
            </w:r>
          </w:p>
        </w:tc>
        <w:tc>
          <w:tcPr>
            <w:tcW w:w="709" w:type="dxa"/>
            <w:shd w:val="clear" w:color="auto" w:fill="C5E0B3"/>
            <w:textDirection w:val="btLr"/>
            <w:vAlign w:val="center"/>
          </w:tcPr>
          <w:p w14:paraId="24CA74F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37500,0</w:t>
            </w:r>
          </w:p>
        </w:tc>
        <w:tc>
          <w:tcPr>
            <w:tcW w:w="709" w:type="dxa"/>
            <w:shd w:val="clear" w:color="auto" w:fill="auto"/>
            <w:textDirection w:val="btLr"/>
            <w:vAlign w:val="center"/>
          </w:tcPr>
          <w:p w14:paraId="05F4F6D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21ADDC1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25E207B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6B50019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37500,0</w:t>
            </w:r>
          </w:p>
        </w:tc>
        <w:tc>
          <w:tcPr>
            <w:tcW w:w="580" w:type="dxa"/>
            <w:shd w:val="clear" w:color="auto" w:fill="D9E2F3"/>
            <w:textDirection w:val="btLr"/>
            <w:vAlign w:val="center"/>
          </w:tcPr>
          <w:p w14:paraId="775A5B4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606C365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326C899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08E6EFE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1E8E0B1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4A4B7413"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50000,0</w:t>
            </w:r>
          </w:p>
        </w:tc>
      </w:tr>
      <w:tr w:rsidR="006B4969" w:rsidRPr="00C2587D" w14:paraId="1AC998E2"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950"/>
        </w:trPr>
        <w:tc>
          <w:tcPr>
            <w:tcW w:w="531" w:type="dxa"/>
            <w:shd w:val="clear" w:color="auto" w:fill="auto"/>
            <w:vAlign w:val="center"/>
          </w:tcPr>
          <w:p w14:paraId="5BDFF509"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7</w:t>
            </w:r>
          </w:p>
        </w:tc>
        <w:tc>
          <w:tcPr>
            <w:tcW w:w="2113" w:type="dxa"/>
            <w:shd w:val="clear" w:color="auto" w:fill="auto"/>
            <w:vAlign w:val="center"/>
          </w:tcPr>
          <w:p w14:paraId="39C84D6F" w14:textId="77777777" w:rsidR="006B4969" w:rsidRPr="00C2587D" w:rsidRDefault="006B4969" w:rsidP="00FF28D2">
            <w:pPr>
              <w:widowControl w:val="0"/>
              <w:autoSpaceDE w:val="0"/>
              <w:autoSpaceDN w:val="0"/>
              <w:rPr>
                <w:rFonts w:ascii="Times New Roman" w:hAnsi="Times New Roman"/>
                <w:bCs/>
                <w:sz w:val="20"/>
                <w:szCs w:val="20"/>
                <w:lang w:eastAsia="it-IT"/>
              </w:rPr>
            </w:pPr>
            <w:r w:rsidRPr="00C2587D">
              <w:rPr>
                <w:rFonts w:ascii="Times New Roman" w:hAnsi="Times New Roman"/>
                <w:bCs/>
                <w:sz w:val="20"/>
                <w:szCs w:val="20"/>
                <w:lang w:eastAsia="it-IT"/>
              </w:rPr>
              <w:t>Капітальний ремонт освітлення території КП «Парковий культурно-спортивний комплекс»</w:t>
            </w:r>
          </w:p>
        </w:tc>
        <w:tc>
          <w:tcPr>
            <w:tcW w:w="737" w:type="dxa"/>
            <w:shd w:val="clear" w:color="auto" w:fill="auto"/>
            <w:textDirection w:val="btLr"/>
            <w:vAlign w:val="center"/>
          </w:tcPr>
          <w:p w14:paraId="544F7C21"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5000,0</w:t>
            </w:r>
          </w:p>
        </w:tc>
        <w:tc>
          <w:tcPr>
            <w:tcW w:w="850" w:type="dxa"/>
            <w:shd w:val="clear" w:color="auto" w:fill="FBE4D5"/>
            <w:textDirection w:val="btLr"/>
            <w:vAlign w:val="center"/>
          </w:tcPr>
          <w:p w14:paraId="0859F1E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5000,0</w:t>
            </w:r>
          </w:p>
        </w:tc>
        <w:tc>
          <w:tcPr>
            <w:tcW w:w="979" w:type="dxa"/>
            <w:shd w:val="clear" w:color="auto" w:fill="auto"/>
            <w:textDirection w:val="btLr"/>
            <w:vAlign w:val="center"/>
          </w:tcPr>
          <w:p w14:paraId="7DA204A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64" w:type="dxa"/>
            <w:shd w:val="clear" w:color="auto" w:fill="auto"/>
            <w:textDirection w:val="btLr"/>
            <w:vAlign w:val="center"/>
          </w:tcPr>
          <w:p w14:paraId="4B9A784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50" w:type="dxa"/>
            <w:shd w:val="clear" w:color="auto" w:fill="auto"/>
            <w:textDirection w:val="btLr"/>
            <w:vAlign w:val="center"/>
          </w:tcPr>
          <w:p w14:paraId="0005196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5000,0</w:t>
            </w:r>
          </w:p>
        </w:tc>
        <w:tc>
          <w:tcPr>
            <w:tcW w:w="709" w:type="dxa"/>
            <w:shd w:val="clear" w:color="auto" w:fill="auto"/>
            <w:textDirection w:val="btLr"/>
            <w:vAlign w:val="center"/>
          </w:tcPr>
          <w:p w14:paraId="5EAB730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C5E0B3"/>
            <w:textDirection w:val="btLr"/>
            <w:vAlign w:val="center"/>
          </w:tcPr>
          <w:p w14:paraId="7269D19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609AEFC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32ECFE8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48EE6AF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7D89AC3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259FAB5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797C224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2A3B240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39E209A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2F99B8E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3756DF84"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5000,0</w:t>
            </w:r>
          </w:p>
        </w:tc>
      </w:tr>
      <w:tr w:rsidR="006B4969" w:rsidRPr="00C2587D" w14:paraId="301E165B"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381"/>
        </w:trPr>
        <w:tc>
          <w:tcPr>
            <w:tcW w:w="531" w:type="dxa"/>
            <w:shd w:val="clear" w:color="auto" w:fill="auto"/>
            <w:vAlign w:val="center"/>
          </w:tcPr>
          <w:p w14:paraId="42FAC5FB"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lastRenderedPageBreak/>
              <w:t>8</w:t>
            </w:r>
          </w:p>
        </w:tc>
        <w:tc>
          <w:tcPr>
            <w:tcW w:w="2113" w:type="dxa"/>
            <w:shd w:val="clear" w:color="auto" w:fill="auto"/>
            <w:vAlign w:val="center"/>
          </w:tcPr>
          <w:p w14:paraId="298A0AA6" w14:textId="77777777" w:rsidR="006B4969" w:rsidRPr="00C2587D" w:rsidRDefault="006B4969" w:rsidP="00FF28D2">
            <w:pPr>
              <w:rPr>
                <w:rFonts w:ascii="Times New Roman" w:hAnsi="Times New Roman"/>
                <w:sz w:val="20"/>
                <w:szCs w:val="20"/>
              </w:rPr>
            </w:pPr>
            <w:r w:rsidRPr="00C2587D">
              <w:rPr>
                <w:rFonts w:ascii="Times New Roman" w:hAnsi="Times New Roman"/>
                <w:bCs/>
                <w:sz w:val="20"/>
                <w:szCs w:val="20"/>
              </w:rPr>
              <w:t>Вуличний багатофункціональний спортивно-оздоровчий простір з гумовим або штучним покриттям у мікрорайоні «Сектор»</w:t>
            </w:r>
          </w:p>
        </w:tc>
        <w:tc>
          <w:tcPr>
            <w:tcW w:w="737" w:type="dxa"/>
            <w:shd w:val="clear" w:color="auto" w:fill="auto"/>
            <w:textDirection w:val="btLr"/>
            <w:vAlign w:val="center"/>
          </w:tcPr>
          <w:p w14:paraId="2FC73B54"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5500,0</w:t>
            </w:r>
          </w:p>
        </w:tc>
        <w:tc>
          <w:tcPr>
            <w:tcW w:w="850" w:type="dxa"/>
            <w:shd w:val="clear" w:color="auto" w:fill="FBE4D5"/>
            <w:textDirection w:val="btLr"/>
            <w:vAlign w:val="center"/>
          </w:tcPr>
          <w:p w14:paraId="093BC1C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5500,0</w:t>
            </w:r>
          </w:p>
        </w:tc>
        <w:tc>
          <w:tcPr>
            <w:tcW w:w="979" w:type="dxa"/>
            <w:shd w:val="clear" w:color="auto" w:fill="auto"/>
            <w:textDirection w:val="btLr"/>
            <w:vAlign w:val="center"/>
          </w:tcPr>
          <w:p w14:paraId="54850AD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64" w:type="dxa"/>
            <w:shd w:val="clear" w:color="auto" w:fill="auto"/>
            <w:textDirection w:val="btLr"/>
            <w:vAlign w:val="center"/>
          </w:tcPr>
          <w:p w14:paraId="0EFCB78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5500,0</w:t>
            </w:r>
          </w:p>
        </w:tc>
        <w:tc>
          <w:tcPr>
            <w:tcW w:w="850" w:type="dxa"/>
            <w:shd w:val="clear" w:color="auto" w:fill="auto"/>
            <w:textDirection w:val="btLr"/>
            <w:vAlign w:val="center"/>
          </w:tcPr>
          <w:p w14:paraId="1018F04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27C6F63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C5E0B3"/>
            <w:textDirection w:val="btLr"/>
            <w:vAlign w:val="center"/>
          </w:tcPr>
          <w:p w14:paraId="16E1543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5D684B1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0516C44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5573728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48FCEC5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2A02F2B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4E26F42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4772796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0DA8457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0B7D2F3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5C89DE32"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5500,0</w:t>
            </w:r>
          </w:p>
        </w:tc>
      </w:tr>
      <w:tr w:rsidR="006B4969" w:rsidRPr="00C2587D" w14:paraId="3239D740"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273"/>
        </w:trPr>
        <w:tc>
          <w:tcPr>
            <w:tcW w:w="531" w:type="dxa"/>
            <w:shd w:val="clear" w:color="auto" w:fill="auto"/>
            <w:vAlign w:val="center"/>
          </w:tcPr>
          <w:p w14:paraId="0D4C7402"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9</w:t>
            </w:r>
          </w:p>
        </w:tc>
        <w:tc>
          <w:tcPr>
            <w:tcW w:w="2113" w:type="dxa"/>
            <w:shd w:val="clear" w:color="auto" w:fill="auto"/>
            <w:vAlign w:val="center"/>
          </w:tcPr>
          <w:p w14:paraId="490B2720"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«Новий подих "Локомотива": реконструкція стадіону для активного життя громади»</w:t>
            </w:r>
          </w:p>
        </w:tc>
        <w:tc>
          <w:tcPr>
            <w:tcW w:w="737" w:type="dxa"/>
            <w:shd w:val="clear" w:color="auto" w:fill="auto"/>
            <w:textDirection w:val="btLr"/>
            <w:vAlign w:val="center"/>
          </w:tcPr>
          <w:p w14:paraId="4BE8CB85" w14:textId="5618952B"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120</w:t>
            </w:r>
            <w:r w:rsidR="001C465A">
              <w:rPr>
                <w:rFonts w:ascii="Times New Roman" w:eastAsia="Arial" w:hAnsi="Times New Roman"/>
                <w:b/>
                <w:sz w:val="20"/>
                <w:szCs w:val="20"/>
                <w:lang w:eastAsia="en-US"/>
              </w:rPr>
              <w:t xml:space="preserve"> </w:t>
            </w:r>
            <w:r w:rsidRPr="00C2587D">
              <w:rPr>
                <w:rFonts w:ascii="Times New Roman" w:eastAsia="Arial" w:hAnsi="Times New Roman"/>
                <w:b/>
                <w:sz w:val="20"/>
                <w:szCs w:val="20"/>
                <w:lang w:eastAsia="en-US"/>
              </w:rPr>
              <w:t>000,0</w:t>
            </w:r>
          </w:p>
        </w:tc>
        <w:tc>
          <w:tcPr>
            <w:tcW w:w="850" w:type="dxa"/>
            <w:shd w:val="clear" w:color="auto" w:fill="FBE4D5"/>
            <w:textDirection w:val="btLr"/>
            <w:vAlign w:val="center"/>
          </w:tcPr>
          <w:p w14:paraId="3CD47F70" w14:textId="0810F104"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120</w:t>
            </w:r>
            <w:r w:rsidR="001C465A">
              <w:rPr>
                <w:rFonts w:ascii="Times New Roman" w:eastAsia="Arial" w:hAnsi="Times New Roman"/>
                <w:sz w:val="20"/>
                <w:szCs w:val="20"/>
                <w:lang w:eastAsia="en-US"/>
              </w:rPr>
              <w:t xml:space="preserve"> </w:t>
            </w:r>
            <w:r w:rsidRPr="00C2587D">
              <w:rPr>
                <w:rFonts w:ascii="Times New Roman" w:eastAsia="Arial" w:hAnsi="Times New Roman"/>
                <w:sz w:val="20"/>
                <w:szCs w:val="20"/>
                <w:lang w:eastAsia="en-US"/>
              </w:rPr>
              <w:t>000,0</w:t>
            </w:r>
          </w:p>
        </w:tc>
        <w:tc>
          <w:tcPr>
            <w:tcW w:w="979" w:type="dxa"/>
            <w:shd w:val="clear" w:color="auto" w:fill="auto"/>
            <w:textDirection w:val="btLr"/>
            <w:vAlign w:val="center"/>
          </w:tcPr>
          <w:p w14:paraId="3F29C88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64" w:type="dxa"/>
            <w:shd w:val="clear" w:color="auto" w:fill="auto"/>
            <w:textDirection w:val="btLr"/>
            <w:vAlign w:val="center"/>
          </w:tcPr>
          <w:p w14:paraId="40FE988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50" w:type="dxa"/>
            <w:shd w:val="clear" w:color="auto" w:fill="auto"/>
            <w:textDirection w:val="btLr"/>
            <w:vAlign w:val="center"/>
          </w:tcPr>
          <w:p w14:paraId="022EDA8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4500,0</w:t>
            </w:r>
          </w:p>
        </w:tc>
        <w:tc>
          <w:tcPr>
            <w:tcW w:w="709" w:type="dxa"/>
            <w:shd w:val="clear" w:color="auto" w:fill="auto"/>
            <w:textDirection w:val="btLr"/>
            <w:vAlign w:val="center"/>
          </w:tcPr>
          <w:p w14:paraId="5A81175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7500,0</w:t>
            </w:r>
          </w:p>
        </w:tc>
        <w:tc>
          <w:tcPr>
            <w:tcW w:w="709" w:type="dxa"/>
            <w:shd w:val="clear" w:color="auto" w:fill="C5E0B3"/>
            <w:textDirection w:val="btLr"/>
            <w:vAlign w:val="center"/>
          </w:tcPr>
          <w:p w14:paraId="256989AD" w14:textId="1D0BB623" w:rsidR="006B4969" w:rsidRPr="00C2587D" w:rsidRDefault="001C465A" w:rsidP="001C465A">
            <w:pPr>
              <w:widowControl w:val="0"/>
              <w:autoSpaceDE w:val="0"/>
              <w:autoSpaceDN w:val="0"/>
              <w:ind w:left="113" w:right="113"/>
              <w:jc w:val="center"/>
              <w:rPr>
                <w:rFonts w:ascii="Times New Roman" w:eastAsia="Arial" w:hAnsi="Times New Roman"/>
                <w:sz w:val="20"/>
                <w:szCs w:val="20"/>
                <w:lang w:eastAsia="en-US"/>
              </w:rPr>
            </w:pPr>
            <w:r>
              <w:rPr>
                <w:rFonts w:ascii="Times New Roman" w:eastAsia="Arial" w:hAnsi="Times New Roman"/>
                <w:sz w:val="20"/>
                <w:szCs w:val="20"/>
                <w:lang w:eastAsia="en-US"/>
              </w:rPr>
              <w:t>25 5</w:t>
            </w:r>
            <w:r w:rsidR="006B4969" w:rsidRPr="00C2587D">
              <w:rPr>
                <w:rFonts w:ascii="Times New Roman" w:eastAsia="Arial" w:hAnsi="Times New Roman"/>
                <w:sz w:val="20"/>
                <w:szCs w:val="20"/>
                <w:lang w:eastAsia="en-US"/>
              </w:rPr>
              <w:t>00,0</w:t>
            </w:r>
          </w:p>
        </w:tc>
        <w:tc>
          <w:tcPr>
            <w:tcW w:w="709" w:type="dxa"/>
            <w:shd w:val="clear" w:color="auto" w:fill="auto"/>
            <w:textDirection w:val="btLr"/>
            <w:vAlign w:val="center"/>
          </w:tcPr>
          <w:p w14:paraId="5CD3823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393880E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47B60BD6" w14:textId="157C49D9" w:rsidR="006B4969" w:rsidRPr="00C2587D" w:rsidRDefault="001C465A" w:rsidP="006B4969">
            <w:pPr>
              <w:widowControl w:val="0"/>
              <w:autoSpaceDE w:val="0"/>
              <w:autoSpaceDN w:val="0"/>
              <w:ind w:left="113" w:right="113"/>
              <w:jc w:val="center"/>
              <w:rPr>
                <w:rFonts w:ascii="Times New Roman" w:eastAsia="Arial" w:hAnsi="Times New Roman"/>
                <w:sz w:val="20"/>
                <w:szCs w:val="20"/>
                <w:lang w:eastAsia="en-US"/>
              </w:rPr>
            </w:pPr>
            <w:r>
              <w:rPr>
                <w:rFonts w:ascii="Times New Roman" w:eastAsia="Arial" w:hAnsi="Times New Roman"/>
                <w:sz w:val="20"/>
                <w:szCs w:val="20"/>
                <w:lang w:eastAsia="en-US"/>
              </w:rPr>
              <w:t>25 500</w:t>
            </w:r>
            <w:r w:rsidR="006B4969" w:rsidRPr="00C2587D">
              <w:rPr>
                <w:rFonts w:ascii="Times New Roman" w:eastAsia="Arial" w:hAnsi="Times New Roman"/>
                <w:sz w:val="20"/>
                <w:szCs w:val="20"/>
                <w:lang w:eastAsia="en-US"/>
              </w:rPr>
              <w:t>,0</w:t>
            </w:r>
          </w:p>
        </w:tc>
        <w:tc>
          <w:tcPr>
            <w:tcW w:w="696" w:type="dxa"/>
            <w:shd w:val="clear" w:color="auto" w:fill="auto"/>
            <w:textDirection w:val="btLr"/>
            <w:vAlign w:val="center"/>
          </w:tcPr>
          <w:p w14:paraId="2DF0FC7E" w14:textId="599AF337" w:rsidR="006B4969" w:rsidRPr="00C2587D" w:rsidRDefault="001C465A" w:rsidP="006B4969">
            <w:pPr>
              <w:widowControl w:val="0"/>
              <w:autoSpaceDE w:val="0"/>
              <w:autoSpaceDN w:val="0"/>
              <w:ind w:left="113" w:right="113"/>
              <w:jc w:val="center"/>
              <w:rPr>
                <w:rFonts w:ascii="Times New Roman" w:eastAsia="Arial" w:hAnsi="Times New Roman"/>
                <w:sz w:val="20"/>
                <w:szCs w:val="20"/>
                <w:lang w:eastAsia="en-US"/>
              </w:rPr>
            </w:pPr>
            <w:r>
              <w:rPr>
                <w:rFonts w:ascii="Times New Roman" w:eastAsia="Arial" w:hAnsi="Times New Roman"/>
                <w:sz w:val="20"/>
                <w:szCs w:val="20"/>
                <w:lang w:eastAsia="en-US"/>
              </w:rPr>
              <w:t>0</w:t>
            </w:r>
          </w:p>
        </w:tc>
        <w:tc>
          <w:tcPr>
            <w:tcW w:w="580" w:type="dxa"/>
            <w:shd w:val="clear" w:color="auto" w:fill="D9E2F3"/>
            <w:textDirection w:val="btLr"/>
            <w:vAlign w:val="center"/>
          </w:tcPr>
          <w:p w14:paraId="111328E5" w14:textId="686B4F19" w:rsidR="006B4969" w:rsidRPr="00C2587D" w:rsidRDefault="001C465A" w:rsidP="006B4969">
            <w:pPr>
              <w:widowControl w:val="0"/>
              <w:autoSpaceDE w:val="0"/>
              <w:autoSpaceDN w:val="0"/>
              <w:ind w:left="113" w:right="113"/>
              <w:jc w:val="center"/>
              <w:rPr>
                <w:rFonts w:ascii="Times New Roman" w:eastAsia="Arial" w:hAnsi="Times New Roman"/>
                <w:sz w:val="20"/>
                <w:szCs w:val="20"/>
                <w:lang w:eastAsia="en-US"/>
              </w:rPr>
            </w:pPr>
            <w:r>
              <w:rPr>
                <w:rFonts w:ascii="Times New Roman" w:eastAsia="Arial" w:hAnsi="Times New Roman"/>
                <w:sz w:val="20"/>
                <w:szCs w:val="20"/>
                <w:lang w:eastAsia="en-US"/>
              </w:rPr>
              <w:t>82 500,0</w:t>
            </w:r>
          </w:p>
        </w:tc>
        <w:tc>
          <w:tcPr>
            <w:tcW w:w="567" w:type="dxa"/>
            <w:shd w:val="clear" w:color="auto" w:fill="auto"/>
            <w:textDirection w:val="btLr"/>
            <w:vAlign w:val="center"/>
          </w:tcPr>
          <w:p w14:paraId="271498B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5C3418F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55AED688" w14:textId="0E4F3856" w:rsidR="006B4969" w:rsidRPr="00C2587D" w:rsidRDefault="001C465A" w:rsidP="006B4969">
            <w:pPr>
              <w:widowControl w:val="0"/>
              <w:autoSpaceDE w:val="0"/>
              <w:autoSpaceDN w:val="0"/>
              <w:ind w:left="113" w:right="113"/>
              <w:jc w:val="center"/>
              <w:rPr>
                <w:rFonts w:ascii="Times New Roman" w:eastAsia="Arial" w:hAnsi="Times New Roman"/>
                <w:sz w:val="20"/>
                <w:szCs w:val="20"/>
                <w:lang w:eastAsia="en-US"/>
              </w:rPr>
            </w:pPr>
            <w:r>
              <w:rPr>
                <w:rFonts w:ascii="Times New Roman" w:eastAsia="Arial" w:hAnsi="Times New Roman"/>
                <w:sz w:val="20"/>
                <w:szCs w:val="20"/>
                <w:lang w:eastAsia="en-US"/>
              </w:rPr>
              <w:t>60 000,0</w:t>
            </w:r>
          </w:p>
        </w:tc>
        <w:tc>
          <w:tcPr>
            <w:tcW w:w="591" w:type="dxa"/>
            <w:shd w:val="clear" w:color="auto" w:fill="auto"/>
            <w:textDirection w:val="btLr"/>
            <w:vAlign w:val="center"/>
          </w:tcPr>
          <w:p w14:paraId="2F690396" w14:textId="74C19A9D" w:rsidR="006B4969" w:rsidRPr="00C2587D" w:rsidRDefault="001C465A" w:rsidP="006B4969">
            <w:pPr>
              <w:widowControl w:val="0"/>
              <w:autoSpaceDE w:val="0"/>
              <w:autoSpaceDN w:val="0"/>
              <w:ind w:left="113" w:right="113"/>
              <w:jc w:val="center"/>
              <w:rPr>
                <w:rFonts w:ascii="Times New Roman" w:eastAsia="Arial" w:hAnsi="Times New Roman"/>
                <w:sz w:val="20"/>
                <w:szCs w:val="20"/>
                <w:lang w:eastAsia="en-US"/>
              </w:rPr>
            </w:pPr>
            <w:r>
              <w:rPr>
                <w:rFonts w:ascii="Times New Roman" w:eastAsia="Arial" w:hAnsi="Times New Roman"/>
                <w:sz w:val="20"/>
                <w:szCs w:val="20"/>
                <w:lang w:eastAsia="en-US"/>
              </w:rPr>
              <w:t>22 500,0</w:t>
            </w:r>
          </w:p>
        </w:tc>
        <w:tc>
          <w:tcPr>
            <w:tcW w:w="1139" w:type="dxa"/>
            <w:shd w:val="clear" w:color="auto" w:fill="auto"/>
            <w:textDirection w:val="btLr"/>
            <w:vAlign w:val="center"/>
          </w:tcPr>
          <w:p w14:paraId="6ABB65B6" w14:textId="476677D3"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120</w:t>
            </w:r>
            <w:r w:rsidR="001C465A">
              <w:rPr>
                <w:rFonts w:ascii="Times New Roman" w:eastAsia="Arial" w:hAnsi="Times New Roman"/>
                <w:b/>
                <w:sz w:val="20"/>
                <w:szCs w:val="20"/>
                <w:lang w:eastAsia="en-US"/>
              </w:rPr>
              <w:t xml:space="preserve"> </w:t>
            </w:r>
            <w:r w:rsidRPr="00C2587D">
              <w:rPr>
                <w:rFonts w:ascii="Times New Roman" w:eastAsia="Arial" w:hAnsi="Times New Roman"/>
                <w:b/>
                <w:sz w:val="20"/>
                <w:szCs w:val="20"/>
                <w:lang w:eastAsia="en-US"/>
              </w:rPr>
              <w:t>000,0</w:t>
            </w:r>
          </w:p>
        </w:tc>
      </w:tr>
      <w:tr w:rsidR="006B4969" w:rsidRPr="00C2587D" w14:paraId="125124E7"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546"/>
        </w:trPr>
        <w:tc>
          <w:tcPr>
            <w:tcW w:w="531" w:type="dxa"/>
            <w:shd w:val="clear" w:color="auto" w:fill="auto"/>
            <w:vAlign w:val="center"/>
          </w:tcPr>
          <w:p w14:paraId="70038DCF"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10</w:t>
            </w:r>
          </w:p>
        </w:tc>
        <w:tc>
          <w:tcPr>
            <w:tcW w:w="2113" w:type="dxa"/>
            <w:shd w:val="clear" w:color="auto" w:fill="auto"/>
            <w:vAlign w:val="center"/>
          </w:tcPr>
          <w:p w14:paraId="53643D0D"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hAnsi="Times New Roman"/>
                <w:bCs/>
                <w:sz w:val="20"/>
                <w:szCs w:val="20"/>
              </w:rPr>
              <w:t>Вуличний багатофункціональний спортивно-оздоровчий простір з гумовим або штучним покриттям у мікрорайоні «Мала Жмеринка»</w:t>
            </w:r>
          </w:p>
        </w:tc>
        <w:tc>
          <w:tcPr>
            <w:tcW w:w="737" w:type="dxa"/>
            <w:shd w:val="clear" w:color="auto" w:fill="auto"/>
            <w:textDirection w:val="btLr"/>
            <w:vAlign w:val="center"/>
          </w:tcPr>
          <w:p w14:paraId="4787097E"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5500,0</w:t>
            </w:r>
          </w:p>
        </w:tc>
        <w:tc>
          <w:tcPr>
            <w:tcW w:w="850" w:type="dxa"/>
            <w:shd w:val="clear" w:color="auto" w:fill="FBE4D5"/>
            <w:textDirection w:val="btLr"/>
            <w:vAlign w:val="center"/>
          </w:tcPr>
          <w:p w14:paraId="2284049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5500,0</w:t>
            </w:r>
          </w:p>
        </w:tc>
        <w:tc>
          <w:tcPr>
            <w:tcW w:w="979" w:type="dxa"/>
            <w:shd w:val="clear" w:color="auto" w:fill="auto"/>
            <w:textDirection w:val="btLr"/>
            <w:vAlign w:val="center"/>
          </w:tcPr>
          <w:p w14:paraId="3DB0B1D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64" w:type="dxa"/>
            <w:shd w:val="clear" w:color="auto" w:fill="auto"/>
            <w:textDirection w:val="btLr"/>
            <w:vAlign w:val="center"/>
          </w:tcPr>
          <w:p w14:paraId="3EA3DD5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5500,0</w:t>
            </w:r>
          </w:p>
        </w:tc>
        <w:tc>
          <w:tcPr>
            <w:tcW w:w="850" w:type="dxa"/>
            <w:shd w:val="clear" w:color="auto" w:fill="auto"/>
            <w:textDirection w:val="btLr"/>
            <w:vAlign w:val="center"/>
          </w:tcPr>
          <w:p w14:paraId="2F6F816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63C4906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C5E0B3"/>
            <w:textDirection w:val="btLr"/>
            <w:vAlign w:val="center"/>
          </w:tcPr>
          <w:p w14:paraId="06E5AC6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34136FC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68B37A3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4864327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46F02E8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0735FF8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3D99D6D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51D47B7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5F91008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58CF4B9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23947B76"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5500,0</w:t>
            </w:r>
          </w:p>
        </w:tc>
      </w:tr>
      <w:tr w:rsidR="006B4969" w:rsidRPr="00C2587D" w14:paraId="61A041C2"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555"/>
        </w:trPr>
        <w:tc>
          <w:tcPr>
            <w:tcW w:w="531" w:type="dxa"/>
            <w:shd w:val="clear" w:color="auto" w:fill="auto"/>
            <w:vAlign w:val="center"/>
          </w:tcPr>
          <w:p w14:paraId="4E016CE3"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11</w:t>
            </w:r>
          </w:p>
        </w:tc>
        <w:tc>
          <w:tcPr>
            <w:tcW w:w="2113" w:type="dxa"/>
            <w:shd w:val="clear" w:color="auto" w:fill="auto"/>
            <w:vAlign w:val="center"/>
          </w:tcPr>
          <w:p w14:paraId="27BB186F"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hAnsi="Times New Roman"/>
                <w:sz w:val="20"/>
                <w:szCs w:val="20"/>
              </w:rPr>
              <w:t>Облаштування мультифункціонального майданчика зі штучним покриттям на території СК «Авангард»</w:t>
            </w:r>
            <w:r w:rsidRPr="00C2587D">
              <w:rPr>
                <w:rFonts w:ascii="Times New Roman" w:hAnsi="Times New Roman"/>
                <w:bCs/>
                <w:sz w:val="20"/>
                <w:szCs w:val="20"/>
              </w:rPr>
              <w:t xml:space="preserve"> за адресою:</w:t>
            </w:r>
            <w:r w:rsidRPr="00C2587D">
              <w:rPr>
                <w:rFonts w:ascii="Times New Roman" w:hAnsi="Times New Roman"/>
                <w:sz w:val="20"/>
                <w:szCs w:val="20"/>
              </w:rPr>
              <w:t xml:space="preserve"> смт Браїлів, вул. Козацька, 3</w:t>
            </w:r>
          </w:p>
        </w:tc>
        <w:tc>
          <w:tcPr>
            <w:tcW w:w="737" w:type="dxa"/>
            <w:shd w:val="clear" w:color="auto" w:fill="auto"/>
            <w:textDirection w:val="btLr"/>
            <w:vAlign w:val="center"/>
          </w:tcPr>
          <w:p w14:paraId="4FA5173E"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5500,0</w:t>
            </w:r>
          </w:p>
        </w:tc>
        <w:tc>
          <w:tcPr>
            <w:tcW w:w="850" w:type="dxa"/>
            <w:shd w:val="clear" w:color="auto" w:fill="FBE4D5"/>
            <w:textDirection w:val="btLr"/>
            <w:vAlign w:val="center"/>
          </w:tcPr>
          <w:p w14:paraId="0B7972D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5500,0</w:t>
            </w:r>
          </w:p>
        </w:tc>
        <w:tc>
          <w:tcPr>
            <w:tcW w:w="979" w:type="dxa"/>
            <w:shd w:val="clear" w:color="auto" w:fill="auto"/>
            <w:textDirection w:val="btLr"/>
            <w:vAlign w:val="center"/>
          </w:tcPr>
          <w:p w14:paraId="4D37DA0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64" w:type="dxa"/>
            <w:shd w:val="clear" w:color="auto" w:fill="auto"/>
            <w:textDirection w:val="btLr"/>
            <w:vAlign w:val="center"/>
          </w:tcPr>
          <w:p w14:paraId="72B5222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50" w:type="dxa"/>
            <w:shd w:val="clear" w:color="auto" w:fill="auto"/>
            <w:textDirection w:val="btLr"/>
            <w:vAlign w:val="center"/>
          </w:tcPr>
          <w:p w14:paraId="29EC0E8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5500,0</w:t>
            </w:r>
          </w:p>
        </w:tc>
        <w:tc>
          <w:tcPr>
            <w:tcW w:w="709" w:type="dxa"/>
            <w:shd w:val="clear" w:color="auto" w:fill="auto"/>
            <w:textDirection w:val="btLr"/>
            <w:vAlign w:val="center"/>
          </w:tcPr>
          <w:p w14:paraId="5FF7361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C5E0B3"/>
            <w:textDirection w:val="btLr"/>
            <w:vAlign w:val="center"/>
          </w:tcPr>
          <w:p w14:paraId="29E2649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6D3A186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68C7D51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5546453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03D95C5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44B852E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6E50D42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2DE71E5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1684423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6AED9B9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3877A922"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5500,0</w:t>
            </w:r>
          </w:p>
        </w:tc>
      </w:tr>
      <w:tr w:rsidR="006B4969" w:rsidRPr="00C2587D" w14:paraId="7AC76EF2"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34"/>
        </w:trPr>
        <w:tc>
          <w:tcPr>
            <w:tcW w:w="531" w:type="dxa"/>
            <w:shd w:val="clear" w:color="auto" w:fill="auto"/>
            <w:vAlign w:val="center"/>
          </w:tcPr>
          <w:p w14:paraId="5C07A975"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12</w:t>
            </w:r>
          </w:p>
        </w:tc>
        <w:tc>
          <w:tcPr>
            <w:tcW w:w="2113" w:type="dxa"/>
            <w:shd w:val="clear" w:color="auto" w:fill="auto"/>
            <w:vAlign w:val="center"/>
          </w:tcPr>
          <w:p w14:paraId="2CFCE29E" w14:textId="77777777" w:rsidR="006B4969" w:rsidRPr="00C2587D" w:rsidRDefault="006B4969" w:rsidP="00FF28D2">
            <w:pPr>
              <w:rPr>
                <w:rFonts w:ascii="Times New Roman" w:eastAsia="Arial" w:hAnsi="Times New Roman"/>
                <w:sz w:val="20"/>
                <w:szCs w:val="20"/>
                <w:lang w:eastAsia="en-US"/>
              </w:rPr>
            </w:pPr>
            <w:r w:rsidRPr="00C2587D">
              <w:rPr>
                <w:rFonts w:ascii="Times New Roman" w:hAnsi="Times New Roman"/>
                <w:sz w:val="20"/>
                <w:szCs w:val="20"/>
              </w:rPr>
              <w:t>Облаштування футбольних полів зі штучним покриттям на території старостинських округів Жмеринської міської територіальної громади</w:t>
            </w:r>
          </w:p>
        </w:tc>
        <w:tc>
          <w:tcPr>
            <w:tcW w:w="737" w:type="dxa"/>
            <w:shd w:val="clear" w:color="auto" w:fill="auto"/>
            <w:textDirection w:val="btLr"/>
            <w:vAlign w:val="center"/>
          </w:tcPr>
          <w:p w14:paraId="7C8E9D90"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38520,0</w:t>
            </w:r>
          </w:p>
        </w:tc>
        <w:tc>
          <w:tcPr>
            <w:tcW w:w="850" w:type="dxa"/>
            <w:shd w:val="clear" w:color="auto" w:fill="FBE4D5"/>
            <w:textDirection w:val="btLr"/>
            <w:vAlign w:val="center"/>
          </w:tcPr>
          <w:p w14:paraId="063F992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38520,0</w:t>
            </w:r>
          </w:p>
        </w:tc>
        <w:tc>
          <w:tcPr>
            <w:tcW w:w="979" w:type="dxa"/>
            <w:shd w:val="clear" w:color="auto" w:fill="auto"/>
            <w:textDirection w:val="btLr"/>
            <w:vAlign w:val="center"/>
          </w:tcPr>
          <w:p w14:paraId="50E3EA3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64" w:type="dxa"/>
            <w:shd w:val="clear" w:color="auto" w:fill="auto"/>
            <w:textDirection w:val="btLr"/>
            <w:vAlign w:val="center"/>
          </w:tcPr>
          <w:p w14:paraId="529C8FB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12840,0</w:t>
            </w:r>
          </w:p>
        </w:tc>
        <w:tc>
          <w:tcPr>
            <w:tcW w:w="850" w:type="dxa"/>
            <w:shd w:val="clear" w:color="auto" w:fill="auto"/>
            <w:textDirection w:val="btLr"/>
            <w:vAlign w:val="center"/>
          </w:tcPr>
          <w:p w14:paraId="5B42AD4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12840,0</w:t>
            </w:r>
          </w:p>
        </w:tc>
        <w:tc>
          <w:tcPr>
            <w:tcW w:w="709" w:type="dxa"/>
            <w:shd w:val="clear" w:color="auto" w:fill="auto"/>
            <w:textDirection w:val="btLr"/>
            <w:vAlign w:val="center"/>
          </w:tcPr>
          <w:p w14:paraId="27FF884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12840,0</w:t>
            </w:r>
          </w:p>
        </w:tc>
        <w:tc>
          <w:tcPr>
            <w:tcW w:w="709" w:type="dxa"/>
            <w:shd w:val="clear" w:color="auto" w:fill="C5E0B3"/>
            <w:textDirection w:val="btLr"/>
            <w:vAlign w:val="center"/>
          </w:tcPr>
          <w:p w14:paraId="111B670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634B641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5E4B67D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0DDBD11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44F1305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73D8D41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604D900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1A9B71B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5866B8D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77CE333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3C8FFC1B"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38520,0</w:t>
            </w:r>
          </w:p>
        </w:tc>
      </w:tr>
      <w:tr w:rsidR="006B4969" w:rsidRPr="00C2587D" w14:paraId="7DAFA36A"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410"/>
        </w:trPr>
        <w:tc>
          <w:tcPr>
            <w:tcW w:w="531" w:type="dxa"/>
            <w:shd w:val="clear" w:color="auto" w:fill="auto"/>
            <w:vAlign w:val="center"/>
          </w:tcPr>
          <w:p w14:paraId="4FF843A2"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lastRenderedPageBreak/>
              <w:t>13</w:t>
            </w:r>
          </w:p>
        </w:tc>
        <w:tc>
          <w:tcPr>
            <w:tcW w:w="2113" w:type="dxa"/>
            <w:shd w:val="clear" w:color="auto" w:fill="auto"/>
            <w:vAlign w:val="center"/>
          </w:tcPr>
          <w:p w14:paraId="0247724D" w14:textId="77777777" w:rsidR="006B4969" w:rsidRPr="00C2587D" w:rsidRDefault="006B4969" w:rsidP="00FF28D2">
            <w:pPr>
              <w:rPr>
                <w:rFonts w:ascii="Times New Roman" w:eastAsia="Arial" w:hAnsi="Times New Roman"/>
                <w:sz w:val="20"/>
                <w:szCs w:val="20"/>
                <w:lang w:eastAsia="en-US"/>
              </w:rPr>
            </w:pPr>
            <w:r w:rsidRPr="00C2587D">
              <w:rPr>
                <w:rFonts w:ascii="Times New Roman" w:hAnsi="Times New Roman"/>
                <w:sz w:val="20"/>
                <w:szCs w:val="20"/>
              </w:rPr>
              <w:t>Будівництво багатофункціонального критого спортивного комплексу на території Центрального міського парку</w:t>
            </w:r>
          </w:p>
        </w:tc>
        <w:tc>
          <w:tcPr>
            <w:tcW w:w="737" w:type="dxa"/>
            <w:shd w:val="clear" w:color="auto" w:fill="auto"/>
            <w:textDirection w:val="btLr"/>
            <w:vAlign w:val="center"/>
          </w:tcPr>
          <w:p w14:paraId="09F89C4A"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35000,0</w:t>
            </w:r>
          </w:p>
        </w:tc>
        <w:tc>
          <w:tcPr>
            <w:tcW w:w="850" w:type="dxa"/>
            <w:shd w:val="clear" w:color="auto" w:fill="FBE4D5"/>
            <w:textDirection w:val="btLr"/>
            <w:vAlign w:val="center"/>
          </w:tcPr>
          <w:p w14:paraId="21906BB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8750,0</w:t>
            </w:r>
          </w:p>
        </w:tc>
        <w:tc>
          <w:tcPr>
            <w:tcW w:w="979" w:type="dxa"/>
            <w:shd w:val="clear" w:color="auto" w:fill="auto"/>
            <w:textDirection w:val="btLr"/>
            <w:vAlign w:val="center"/>
          </w:tcPr>
          <w:p w14:paraId="3C81627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64" w:type="dxa"/>
            <w:shd w:val="clear" w:color="auto" w:fill="auto"/>
            <w:textDirection w:val="btLr"/>
            <w:vAlign w:val="center"/>
          </w:tcPr>
          <w:p w14:paraId="4AAAC6F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4375,0</w:t>
            </w:r>
          </w:p>
        </w:tc>
        <w:tc>
          <w:tcPr>
            <w:tcW w:w="850" w:type="dxa"/>
            <w:shd w:val="clear" w:color="auto" w:fill="auto"/>
            <w:textDirection w:val="btLr"/>
            <w:vAlign w:val="center"/>
          </w:tcPr>
          <w:p w14:paraId="149F79D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4375,0</w:t>
            </w:r>
          </w:p>
        </w:tc>
        <w:tc>
          <w:tcPr>
            <w:tcW w:w="709" w:type="dxa"/>
            <w:shd w:val="clear" w:color="auto" w:fill="auto"/>
            <w:textDirection w:val="btLr"/>
            <w:vAlign w:val="center"/>
          </w:tcPr>
          <w:p w14:paraId="45115EC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C5E0B3"/>
            <w:textDirection w:val="btLr"/>
            <w:vAlign w:val="center"/>
          </w:tcPr>
          <w:p w14:paraId="466EE5C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26250,0</w:t>
            </w:r>
          </w:p>
        </w:tc>
        <w:tc>
          <w:tcPr>
            <w:tcW w:w="709" w:type="dxa"/>
            <w:shd w:val="clear" w:color="auto" w:fill="auto"/>
            <w:textDirection w:val="btLr"/>
            <w:vAlign w:val="center"/>
          </w:tcPr>
          <w:p w14:paraId="2772783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6D7B675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13125,0</w:t>
            </w:r>
          </w:p>
        </w:tc>
        <w:tc>
          <w:tcPr>
            <w:tcW w:w="709" w:type="dxa"/>
            <w:shd w:val="clear" w:color="auto" w:fill="auto"/>
            <w:textDirection w:val="btLr"/>
            <w:vAlign w:val="center"/>
          </w:tcPr>
          <w:p w14:paraId="3237803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13125,0</w:t>
            </w:r>
          </w:p>
        </w:tc>
        <w:tc>
          <w:tcPr>
            <w:tcW w:w="696" w:type="dxa"/>
            <w:shd w:val="clear" w:color="auto" w:fill="auto"/>
            <w:textDirection w:val="btLr"/>
            <w:vAlign w:val="center"/>
          </w:tcPr>
          <w:p w14:paraId="163FA11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2212DB2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486E0FB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415D507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33E5E56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159DEB3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66559E88"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35000,0</w:t>
            </w:r>
          </w:p>
        </w:tc>
      </w:tr>
      <w:tr w:rsidR="006B4969" w:rsidRPr="00C2587D" w14:paraId="5668BCFB"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001"/>
        </w:trPr>
        <w:tc>
          <w:tcPr>
            <w:tcW w:w="531" w:type="dxa"/>
            <w:shd w:val="clear" w:color="auto" w:fill="auto"/>
            <w:vAlign w:val="center"/>
          </w:tcPr>
          <w:p w14:paraId="561D1BCF"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14</w:t>
            </w:r>
          </w:p>
        </w:tc>
        <w:tc>
          <w:tcPr>
            <w:tcW w:w="2113" w:type="dxa"/>
            <w:shd w:val="clear" w:color="auto" w:fill="auto"/>
            <w:vAlign w:val="center"/>
          </w:tcPr>
          <w:p w14:paraId="35C0A93E" w14:textId="77777777" w:rsidR="006B4969" w:rsidRPr="00C2587D" w:rsidRDefault="006B4969" w:rsidP="00FF28D2">
            <w:pPr>
              <w:rPr>
                <w:rFonts w:ascii="Times New Roman" w:eastAsia="Arial" w:hAnsi="Times New Roman"/>
                <w:sz w:val="20"/>
                <w:szCs w:val="20"/>
                <w:lang w:eastAsia="en-US"/>
              </w:rPr>
            </w:pPr>
            <w:r w:rsidRPr="00C2587D">
              <w:rPr>
                <w:rFonts w:ascii="Times New Roman" w:hAnsi="Times New Roman"/>
                <w:bCs/>
                <w:sz w:val="20"/>
                <w:szCs w:val="20"/>
              </w:rPr>
              <w:t>Облаштування скейт-парку</w:t>
            </w:r>
            <w:r w:rsidRPr="00C2587D">
              <w:rPr>
                <w:rFonts w:ascii="Times New Roman" w:hAnsi="Times New Roman"/>
                <w:sz w:val="20"/>
                <w:szCs w:val="20"/>
              </w:rPr>
              <w:t xml:space="preserve"> на території Центрального міського парку</w:t>
            </w:r>
          </w:p>
        </w:tc>
        <w:tc>
          <w:tcPr>
            <w:tcW w:w="737" w:type="dxa"/>
            <w:shd w:val="clear" w:color="auto" w:fill="auto"/>
            <w:textDirection w:val="btLr"/>
            <w:vAlign w:val="center"/>
          </w:tcPr>
          <w:p w14:paraId="3B298F95"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2000,0</w:t>
            </w:r>
          </w:p>
        </w:tc>
        <w:tc>
          <w:tcPr>
            <w:tcW w:w="850" w:type="dxa"/>
            <w:shd w:val="clear" w:color="auto" w:fill="FBE4D5"/>
            <w:textDirection w:val="btLr"/>
            <w:vAlign w:val="center"/>
          </w:tcPr>
          <w:p w14:paraId="44761BB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2000,0</w:t>
            </w:r>
          </w:p>
        </w:tc>
        <w:tc>
          <w:tcPr>
            <w:tcW w:w="979" w:type="dxa"/>
            <w:shd w:val="clear" w:color="auto" w:fill="auto"/>
            <w:textDirection w:val="btLr"/>
            <w:vAlign w:val="center"/>
          </w:tcPr>
          <w:p w14:paraId="021264D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64" w:type="dxa"/>
            <w:shd w:val="clear" w:color="auto" w:fill="auto"/>
            <w:textDirection w:val="btLr"/>
            <w:vAlign w:val="center"/>
          </w:tcPr>
          <w:p w14:paraId="16B2934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2000,0</w:t>
            </w:r>
          </w:p>
        </w:tc>
        <w:tc>
          <w:tcPr>
            <w:tcW w:w="850" w:type="dxa"/>
            <w:shd w:val="clear" w:color="auto" w:fill="auto"/>
            <w:textDirection w:val="btLr"/>
            <w:vAlign w:val="center"/>
          </w:tcPr>
          <w:p w14:paraId="5BC7B24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170E345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C5E0B3"/>
            <w:textDirection w:val="btLr"/>
            <w:vAlign w:val="center"/>
          </w:tcPr>
          <w:p w14:paraId="16FAC77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2DC2321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0E084F6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6FDA30D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209000C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4F7A519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229A024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095521A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21F8B35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5D043EB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06E69181"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2000,0</w:t>
            </w:r>
          </w:p>
        </w:tc>
      </w:tr>
      <w:tr w:rsidR="006B4969" w:rsidRPr="00C2587D" w14:paraId="3CA873A6"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020"/>
        </w:trPr>
        <w:tc>
          <w:tcPr>
            <w:tcW w:w="531" w:type="dxa"/>
            <w:shd w:val="clear" w:color="auto" w:fill="auto"/>
            <w:vAlign w:val="center"/>
          </w:tcPr>
          <w:p w14:paraId="0B26CF17"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15</w:t>
            </w:r>
          </w:p>
        </w:tc>
        <w:tc>
          <w:tcPr>
            <w:tcW w:w="2113" w:type="dxa"/>
            <w:shd w:val="clear" w:color="auto" w:fill="auto"/>
            <w:vAlign w:val="center"/>
          </w:tcPr>
          <w:p w14:paraId="6AE35A07"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 xml:space="preserve">Відкритий теніс для всіх: встановлення антивандальних тенісних столів у громадських просторах на території мікрорайону «ТЕЦ», «Петрівка», «Постройки», </w:t>
            </w:r>
          </w:p>
        </w:tc>
        <w:tc>
          <w:tcPr>
            <w:tcW w:w="737" w:type="dxa"/>
            <w:shd w:val="clear" w:color="auto" w:fill="auto"/>
            <w:textDirection w:val="btLr"/>
            <w:vAlign w:val="center"/>
          </w:tcPr>
          <w:p w14:paraId="2F01B2FC"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360,0</w:t>
            </w:r>
          </w:p>
        </w:tc>
        <w:tc>
          <w:tcPr>
            <w:tcW w:w="850" w:type="dxa"/>
            <w:shd w:val="clear" w:color="auto" w:fill="FBE4D5"/>
            <w:textDirection w:val="btLr"/>
            <w:vAlign w:val="center"/>
          </w:tcPr>
          <w:p w14:paraId="6F3C2B8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360,0</w:t>
            </w:r>
          </w:p>
        </w:tc>
        <w:tc>
          <w:tcPr>
            <w:tcW w:w="979" w:type="dxa"/>
            <w:shd w:val="clear" w:color="auto" w:fill="auto"/>
            <w:textDirection w:val="btLr"/>
            <w:vAlign w:val="center"/>
          </w:tcPr>
          <w:p w14:paraId="725E22B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64" w:type="dxa"/>
            <w:shd w:val="clear" w:color="auto" w:fill="auto"/>
            <w:textDirection w:val="btLr"/>
            <w:vAlign w:val="center"/>
          </w:tcPr>
          <w:p w14:paraId="2067D16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120,0</w:t>
            </w:r>
          </w:p>
        </w:tc>
        <w:tc>
          <w:tcPr>
            <w:tcW w:w="850" w:type="dxa"/>
            <w:shd w:val="clear" w:color="auto" w:fill="auto"/>
            <w:textDirection w:val="btLr"/>
            <w:vAlign w:val="center"/>
          </w:tcPr>
          <w:p w14:paraId="49DA2CE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120,0</w:t>
            </w:r>
          </w:p>
        </w:tc>
        <w:tc>
          <w:tcPr>
            <w:tcW w:w="709" w:type="dxa"/>
            <w:shd w:val="clear" w:color="auto" w:fill="auto"/>
            <w:textDirection w:val="btLr"/>
            <w:vAlign w:val="center"/>
          </w:tcPr>
          <w:p w14:paraId="51FA29E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120,0</w:t>
            </w:r>
          </w:p>
        </w:tc>
        <w:tc>
          <w:tcPr>
            <w:tcW w:w="709" w:type="dxa"/>
            <w:shd w:val="clear" w:color="auto" w:fill="C5E0B3"/>
            <w:textDirection w:val="btLr"/>
            <w:vAlign w:val="center"/>
          </w:tcPr>
          <w:p w14:paraId="052690C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338C366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250FAB5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652C081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653FF12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6113ADA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4AFAA26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0C346FF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52B7C22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6E9F215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69CEC6AB"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360,0</w:t>
            </w:r>
          </w:p>
        </w:tc>
      </w:tr>
      <w:tr w:rsidR="006B4969" w:rsidRPr="00C2587D" w14:paraId="1422169F"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984"/>
        </w:trPr>
        <w:tc>
          <w:tcPr>
            <w:tcW w:w="531" w:type="dxa"/>
            <w:shd w:val="clear" w:color="auto" w:fill="auto"/>
            <w:vAlign w:val="center"/>
          </w:tcPr>
          <w:p w14:paraId="256985DE"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16</w:t>
            </w:r>
          </w:p>
        </w:tc>
        <w:tc>
          <w:tcPr>
            <w:tcW w:w="2113" w:type="dxa"/>
            <w:shd w:val="clear" w:color="auto" w:fill="auto"/>
            <w:vAlign w:val="center"/>
          </w:tcPr>
          <w:p w14:paraId="5C4151F7"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Канатний парк пригод та розваг на території Центрального міського парку</w:t>
            </w:r>
          </w:p>
        </w:tc>
        <w:tc>
          <w:tcPr>
            <w:tcW w:w="737" w:type="dxa"/>
            <w:shd w:val="clear" w:color="auto" w:fill="auto"/>
            <w:textDirection w:val="btLr"/>
            <w:vAlign w:val="center"/>
          </w:tcPr>
          <w:p w14:paraId="50F25309"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2500,0</w:t>
            </w:r>
          </w:p>
        </w:tc>
        <w:tc>
          <w:tcPr>
            <w:tcW w:w="850" w:type="dxa"/>
            <w:shd w:val="clear" w:color="auto" w:fill="FBE4D5"/>
            <w:textDirection w:val="btLr"/>
            <w:vAlign w:val="center"/>
          </w:tcPr>
          <w:p w14:paraId="7B68661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2500,0</w:t>
            </w:r>
          </w:p>
        </w:tc>
        <w:tc>
          <w:tcPr>
            <w:tcW w:w="979" w:type="dxa"/>
            <w:shd w:val="clear" w:color="auto" w:fill="auto"/>
            <w:textDirection w:val="btLr"/>
            <w:vAlign w:val="center"/>
          </w:tcPr>
          <w:p w14:paraId="6F21A12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64" w:type="dxa"/>
            <w:shd w:val="clear" w:color="auto" w:fill="auto"/>
            <w:textDirection w:val="btLr"/>
            <w:vAlign w:val="center"/>
          </w:tcPr>
          <w:p w14:paraId="7830278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50" w:type="dxa"/>
            <w:shd w:val="clear" w:color="auto" w:fill="auto"/>
            <w:textDirection w:val="btLr"/>
            <w:vAlign w:val="center"/>
          </w:tcPr>
          <w:p w14:paraId="6A68BE6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2500,00</w:t>
            </w:r>
          </w:p>
        </w:tc>
        <w:tc>
          <w:tcPr>
            <w:tcW w:w="709" w:type="dxa"/>
            <w:shd w:val="clear" w:color="auto" w:fill="auto"/>
            <w:textDirection w:val="btLr"/>
            <w:vAlign w:val="center"/>
          </w:tcPr>
          <w:p w14:paraId="4F5D725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C5E0B3"/>
            <w:textDirection w:val="btLr"/>
            <w:vAlign w:val="center"/>
          </w:tcPr>
          <w:p w14:paraId="4EF7AC2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0E93168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3BD3F6C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4DAF4A4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58C11D5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038EADF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13B52BD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285F665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6EE5066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633329C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3CD6B672"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2500,0</w:t>
            </w:r>
          </w:p>
        </w:tc>
      </w:tr>
      <w:tr w:rsidR="006B4969" w:rsidRPr="00C2587D" w14:paraId="0083A8BD"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421"/>
        </w:trPr>
        <w:tc>
          <w:tcPr>
            <w:tcW w:w="531" w:type="dxa"/>
            <w:shd w:val="clear" w:color="auto" w:fill="auto"/>
            <w:vAlign w:val="center"/>
          </w:tcPr>
          <w:p w14:paraId="7ACA981E"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17</w:t>
            </w:r>
          </w:p>
        </w:tc>
        <w:tc>
          <w:tcPr>
            <w:tcW w:w="2113" w:type="dxa"/>
            <w:shd w:val="clear" w:color="auto" w:fill="auto"/>
            <w:vAlign w:val="center"/>
          </w:tcPr>
          <w:p w14:paraId="493AA63E"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hAnsi="Times New Roman"/>
                <w:sz w:val="20"/>
                <w:szCs w:val="20"/>
              </w:rPr>
              <w:t>"Pump-track — безпечний простір для активного руху дітей та молоді" на території Центрального міського парку</w:t>
            </w:r>
          </w:p>
        </w:tc>
        <w:tc>
          <w:tcPr>
            <w:tcW w:w="737" w:type="dxa"/>
            <w:shd w:val="clear" w:color="auto" w:fill="auto"/>
            <w:textDirection w:val="btLr"/>
            <w:vAlign w:val="center"/>
          </w:tcPr>
          <w:p w14:paraId="6A086F5D"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3000,0</w:t>
            </w:r>
          </w:p>
        </w:tc>
        <w:tc>
          <w:tcPr>
            <w:tcW w:w="850" w:type="dxa"/>
            <w:shd w:val="clear" w:color="auto" w:fill="FBE4D5"/>
            <w:textDirection w:val="btLr"/>
            <w:vAlign w:val="center"/>
          </w:tcPr>
          <w:p w14:paraId="60A530A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3000,0</w:t>
            </w:r>
          </w:p>
        </w:tc>
        <w:tc>
          <w:tcPr>
            <w:tcW w:w="979" w:type="dxa"/>
            <w:shd w:val="clear" w:color="auto" w:fill="auto"/>
            <w:textDirection w:val="btLr"/>
            <w:vAlign w:val="center"/>
          </w:tcPr>
          <w:p w14:paraId="3C47754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64" w:type="dxa"/>
            <w:shd w:val="clear" w:color="auto" w:fill="auto"/>
            <w:textDirection w:val="btLr"/>
            <w:vAlign w:val="center"/>
          </w:tcPr>
          <w:p w14:paraId="1C6A974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50" w:type="dxa"/>
            <w:shd w:val="clear" w:color="auto" w:fill="auto"/>
            <w:textDirection w:val="btLr"/>
            <w:vAlign w:val="center"/>
          </w:tcPr>
          <w:p w14:paraId="403B70D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3000,0</w:t>
            </w:r>
          </w:p>
        </w:tc>
        <w:tc>
          <w:tcPr>
            <w:tcW w:w="709" w:type="dxa"/>
            <w:shd w:val="clear" w:color="auto" w:fill="auto"/>
            <w:textDirection w:val="btLr"/>
            <w:vAlign w:val="center"/>
          </w:tcPr>
          <w:p w14:paraId="4365ACD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C5E0B3"/>
            <w:textDirection w:val="btLr"/>
            <w:vAlign w:val="center"/>
          </w:tcPr>
          <w:p w14:paraId="2EA4BD2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00F93D1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74AA40F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428C711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20DA9D4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7DD0692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3F60195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64B94D1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33D02CF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545930D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7CB32AF3"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3000,0</w:t>
            </w:r>
          </w:p>
        </w:tc>
      </w:tr>
      <w:tr w:rsidR="006B4969" w:rsidRPr="00C2587D" w14:paraId="1FFB9E77"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34"/>
        </w:trPr>
        <w:tc>
          <w:tcPr>
            <w:tcW w:w="531" w:type="dxa"/>
            <w:shd w:val="clear" w:color="auto" w:fill="auto"/>
            <w:vAlign w:val="center"/>
          </w:tcPr>
          <w:p w14:paraId="55ED02E5"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lastRenderedPageBreak/>
              <w:t>18</w:t>
            </w:r>
          </w:p>
        </w:tc>
        <w:tc>
          <w:tcPr>
            <w:tcW w:w="2113" w:type="dxa"/>
            <w:shd w:val="clear" w:color="auto" w:fill="auto"/>
            <w:vAlign w:val="center"/>
          </w:tcPr>
          <w:p w14:paraId="0094F9CA"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hAnsi="Times New Roman"/>
                <w:sz w:val="20"/>
                <w:szCs w:val="20"/>
              </w:rPr>
              <w:t>"Pump-track — безпечний простір для активного руху дітей та молоді" на території старостинських округів Жмеринської міської територіальної громади</w:t>
            </w:r>
          </w:p>
        </w:tc>
        <w:tc>
          <w:tcPr>
            <w:tcW w:w="737" w:type="dxa"/>
            <w:shd w:val="clear" w:color="auto" w:fill="auto"/>
            <w:textDirection w:val="btLr"/>
            <w:vAlign w:val="center"/>
          </w:tcPr>
          <w:p w14:paraId="6E3F7D37"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27000,0</w:t>
            </w:r>
          </w:p>
        </w:tc>
        <w:tc>
          <w:tcPr>
            <w:tcW w:w="850" w:type="dxa"/>
            <w:shd w:val="clear" w:color="auto" w:fill="FBE4D5"/>
            <w:textDirection w:val="btLr"/>
            <w:vAlign w:val="center"/>
          </w:tcPr>
          <w:p w14:paraId="14B3A81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27000,0</w:t>
            </w:r>
          </w:p>
        </w:tc>
        <w:tc>
          <w:tcPr>
            <w:tcW w:w="979" w:type="dxa"/>
            <w:shd w:val="clear" w:color="auto" w:fill="auto"/>
            <w:textDirection w:val="btLr"/>
            <w:vAlign w:val="center"/>
          </w:tcPr>
          <w:p w14:paraId="4B4411C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64" w:type="dxa"/>
            <w:shd w:val="clear" w:color="auto" w:fill="auto"/>
            <w:textDirection w:val="btLr"/>
            <w:vAlign w:val="center"/>
          </w:tcPr>
          <w:p w14:paraId="0D6C066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9000,0</w:t>
            </w:r>
          </w:p>
        </w:tc>
        <w:tc>
          <w:tcPr>
            <w:tcW w:w="850" w:type="dxa"/>
            <w:shd w:val="clear" w:color="auto" w:fill="auto"/>
            <w:textDirection w:val="btLr"/>
            <w:vAlign w:val="center"/>
          </w:tcPr>
          <w:p w14:paraId="043F170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9000,0</w:t>
            </w:r>
          </w:p>
        </w:tc>
        <w:tc>
          <w:tcPr>
            <w:tcW w:w="709" w:type="dxa"/>
            <w:shd w:val="clear" w:color="auto" w:fill="auto"/>
            <w:textDirection w:val="btLr"/>
            <w:vAlign w:val="center"/>
          </w:tcPr>
          <w:p w14:paraId="03625CE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9000,0</w:t>
            </w:r>
          </w:p>
        </w:tc>
        <w:tc>
          <w:tcPr>
            <w:tcW w:w="709" w:type="dxa"/>
            <w:shd w:val="clear" w:color="auto" w:fill="C5E0B3"/>
            <w:textDirection w:val="btLr"/>
            <w:vAlign w:val="center"/>
          </w:tcPr>
          <w:p w14:paraId="6F93C89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1383103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2610D84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6F4609A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6CEC96F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4B6973F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27921DD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2B8FEF3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4BD9D61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7EF735E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6CDAC670"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27000,0</w:t>
            </w:r>
          </w:p>
        </w:tc>
      </w:tr>
      <w:tr w:rsidR="006B4969" w:rsidRPr="00C2587D" w14:paraId="1836B3EE"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948"/>
        </w:trPr>
        <w:tc>
          <w:tcPr>
            <w:tcW w:w="531" w:type="dxa"/>
            <w:shd w:val="clear" w:color="auto" w:fill="auto"/>
            <w:vAlign w:val="center"/>
          </w:tcPr>
          <w:p w14:paraId="12FB04BD"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19</w:t>
            </w:r>
          </w:p>
        </w:tc>
        <w:tc>
          <w:tcPr>
            <w:tcW w:w="2113" w:type="dxa"/>
            <w:shd w:val="clear" w:color="auto" w:fill="auto"/>
            <w:vAlign w:val="center"/>
          </w:tcPr>
          <w:p w14:paraId="42F18167"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hAnsi="Times New Roman"/>
                <w:sz w:val="20"/>
                <w:szCs w:val="20"/>
              </w:rPr>
              <w:t>"Активна громада: Вуличний тренажерний парк для всіх поколінь"</w:t>
            </w:r>
          </w:p>
        </w:tc>
        <w:tc>
          <w:tcPr>
            <w:tcW w:w="737" w:type="dxa"/>
            <w:shd w:val="clear" w:color="auto" w:fill="auto"/>
            <w:textDirection w:val="btLr"/>
            <w:vAlign w:val="center"/>
          </w:tcPr>
          <w:p w14:paraId="45FE35D8"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7200,0</w:t>
            </w:r>
          </w:p>
        </w:tc>
        <w:tc>
          <w:tcPr>
            <w:tcW w:w="850" w:type="dxa"/>
            <w:shd w:val="clear" w:color="auto" w:fill="FBE4D5"/>
            <w:textDirection w:val="btLr"/>
            <w:vAlign w:val="center"/>
          </w:tcPr>
          <w:p w14:paraId="446468C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7200,0</w:t>
            </w:r>
          </w:p>
        </w:tc>
        <w:tc>
          <w:tcPr>
            <w:tcW w:w="979" w:type="dxa"/>
            <w:shd w:val="clear" w:color="auto" w:fill="auto"/>
            <w:textDirection w:val="btLr"/>
            <w:vAlign w:val="center"/>
          </w:tcPr>
          <w:p w14:paraId="5B1359F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64" w:type="dxa"/>
            <w:shd w:val="clear" w:color="auto" w:fill="auto"/>
            <w:textDirection w:val="btLr"/>
            <w:vAlign w:val="center"/>
          </w:tcPr>
          <w:p w14:paraId="106EB51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2400,0</w:t>
            </w:r>
          </w:p>
        </w:tc>
        <w:tc>
          <w:tcPr>
            <w:tcW w:w="850" w:type="dxa"/>
            <w:shd w:val="clear" w:color="auto" w:fill="auto"/>
            <w:textDirection w:val="btLr"/>
            <w:vAlign w:val="center"/>
          </w:tcPr>
          <w:p w14:paraId="0225155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2400,0</w:t>
            </w:r>
          </w:p>
        </w:tc>
        <w:tc>
          <w:tcPr>
            <w:tcW w:w="709" w:type="dxa"/>
            <w:shd w:val="clear" w:color="auto" w:fill="auto"/>
            <w:textDirection w:val="btLr"/>
            <w:vAlign w:val="center"/>
          </w:tcPr>
          <w:p w14:paraId="63B034A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2400,0</w:t>
            </w:r>
          </w:p>
        </w:tc>
        <w:tc>
          <w:tcPr>
            <w:tcW w:w="709" w:type="dxa"/>
            <w:shd w:val="clear" w:color="auto" w:fill="C5E0B3"/>
            <w:textDirection w:val="btLr"/>
            <w:vAlign w:val="center"/>
          </w:tcPr>
          <w:p w14:paraId="79E084D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355445D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7D07B24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2B4E321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71E48B7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67C7891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6CE3BD3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77DF53E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4DA2AC3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74B6B2F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1FFBC163"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7200,0</w:t>
            </w:r>
          </w:p>
        </w:tc>
      </w:tr>
      <w:tr w:rsidR="006B4969" w:rsidRPr="00C2587D" w14:paraId="09BC9D70"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834"/>
        </w:trPr>
        <w:tc>
          <w:tcPr>
            <w:tcW w:w="531" w:type="dxa"/>
            <w:shd w:val="clear" w:color="auto" w:fill="auto"/>
            <w:vAlign w:val="center"/>
          </w:tcPr>
          <w:p w14:paraId="05A17773"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20</w:t>
            </w:r>
          </w:p>
        </w:tc>
        <w:tc>
          <w:tcPr>
            <w:tcW w:w="2113" w:type="dxa"/>
            <w:shd w:val="clear" w:color="auto" w:fill="auto"/>
            <w:vAlign w:val="center"/>
          </w:tcPr>
          <w:p w14:paraId="1E701CEB"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hAnsi="Times New Roman"/>
                <w:sz w:val="20"/>
                <w:szCs w:val="20"/>
              </w:rPr>
              <w:t>Спортивна бібліотека: Рухайся вільно!"</w:t>
            </w:r>
          </w:p>
        </w:tc>
        <w:tc>
          <w:tcPr>
            <w:tcW w:w="737" w:type="dxa"/>
            <w:shd w:val="clear" w:color="auto" w:fill="auto"/>
            <w:textDirection w:val="btLr"/>
            <w:vAlign w:val="center"/>
          </w:tcPr>
          <w:p w14:paraId="4E12284E"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350,0</w:t>
            </w:r>
          </w:p>
        </w:tc>
        <w:tc>
          <w:tcPr>
            <w:tcW w:w="850" w:type="dxa"/>
            <w:shd w:val="clear" w:color="auto" w:fill="FBE4D5"/>
            <w:textDirection w:val="btLr"/>
            <w:vAlign w:val="center"/>
          </w:tcPr>
          <w:p w14:paraId="29A1165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350,0</w:t>
            </w:r>
          </w:p>
        </w:tc>
        <w:tc>
          <w:tcPr>
            <w:tcW w:w="979" w:type="dxa"/>
            <w:shd w:val="clear" w:color="auto" w:fill="auto"/>
            <w:textDirection w:val="btLr"/>
            <w:vAlign w:val="center"/>
          </w:tcPr>
          <w:p w14:paraId="23E412C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64" w:type="dxa"/>
            <w:shd w:val="clear" w:color="auto" w:fill="auto"/>
            <w:textDirection w:val="btLr"/>
            <w:vAlign w:val="center"/>
          </w:tcPr>
          <w:p w14:paraId="7FB1351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50" w:type="dxa"/>
            <w:shd w:val="clear" w:color="auto" w:fill="auto"/>
            <w:textDirection w:val="btLr"/>
            <w:vAlign w:val="center"/>
          </w:tcPr>
          <w:p w14:paraId="4C4E49D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72735D1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350,0</w:t>
            </w:r>
          </w:p>
        </w:tc>
        <w:tc>
          <w:tcPr>
            <w:tcW w:w="709" w:type="dxa"/>
            <w:shd w:val="clear" w:color="auto" w:fill="C5E0B3"/>
            <w:textDirection w:val="btLr"/>
            <w:vAlign w:val="center"/>
          </w:tcPr>
          <w:p w14:paraId="4EC7776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553D677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2FB6218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7931432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71EB47A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6A299D6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59874A8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364246E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27A5DD9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21319D2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0766B1B8"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350,0</w:t>
            </w:r>
          </w:p>
        </w:tc>
      </w:tr>
      <w:tr w:rsidR="006B4969" w:rsidRPr="00C2587D" w14:paraId="7F3665DB"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832"/>
        </w:trPr>
        <w:tc>
          <w:tcPr>
            <w:tcW w:w="531" w:type="dxa"/>
            <w:shd w:val="clear" w:color="auto" w:fill="auto"/>
            <w:vAlign w:val="center"/>
          </w:tcPr>
          <w:p w14:paraId="23F09101"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21</w:t>
            </w:r>
          </w:p>
        </w:tc>
        <w:tc>
          <w:tcPr>
            <w:tcW w:w="2113" w:type="dxa"/>
            <w:shd w:val="clear" w:color="auto" w:fill="auto"/>
            <w:vAlign w:val="center"/>
          </w:tcPr>
          <w:p w14:paraId="5EF7997F" w14:textId="77777777" w:rsidR="006B4969" w:rsidRPr="00C2587D" w:rsidRDefault="006B4969" w:rsidP="00FF28D2">
            <w:pPr>
              <w:rPr>
                <w:rFonts w:ascii="Times New Roman" w:hAnsi="Times New Roman"/>
                <w:sz w:val="20"/>
                <w:szCs w:val="20"/>
              </w:rPr>
            </w:pPr>
            <w:r w:rsidRPr="00C2587D">
              <w:rPr>
                <w:rFonts w:ascii="Times New Roman" w:hAnsi="Times New Roman"/>
                <w:bCs/>
                <w:sz w:val="20"/>
                <w:szCs w:val="20"/>
              </w:rPr>
              <w:t>"Маршрути здоров’я: Активність у природі для кожного"</w:t>
            </w:r>
          </w:p>
        </w:tc>
        <w:tc>
          <w:tcPr>
            <w:tcW w:w="737" w:type="dxa"/>
            <w:shd w:val="clear" w:color="auto" w:fill="auto"/>
            <w:textDirection w:val="btLr"/>
            <w:vAlign w:val="center"/>
          </w:tcPr>
          <w:p w14:paraId="5BC87793"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1000,0</w:t>
            </w:r>
          </w:p>
        </w:tc>
        <w:tc>
          <w:tcPr>
            <w:tcW w:w="850" w:type="dxa"/>
            <w:shd w:val="clear" w:color="auto" w:fill="FBE4D5"/>
            <w:textDirection w:val="btLr"/>
            <w:vAlign w:val="center"/>
          </w:tcPr>
          <w:p w14:paraId="34A0257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1000,0</w:t>
            </w:r>
          </w:p>
        </w:tc>
        <w:tc>
          <w:tcPr>
            <w:tcW w:w="979" w:type="dxa"/>
            <w:shd w:val="clear" w:color="auto" w:fill="auto"/>
            <w:textDirection w:val="btLr"/>
            <w:vAlign w:val="center"/>
          </w:tcPr>
          <w:p w14:paraId="7EC9D84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64" w:type="dxa"/>
            <w:shd w:val="clear" w:color="auto" w:fill="auto"/>
            <w:textDirection w:val="btLr"/>
            <w:vAlign w:val="center"/>
          </w:tcPr>
          <w:p w14:paraId="207B601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1000,0</w:t>
            </w:r>
          </w:p>
        </w:tc>
        <w:tc>
          <w:tcPr>
            <w:tcW w:w="850" w:type="dxa"/>
            <w:shd w:val="clear" w:color="auto" w:fill="auto"/>
            <w:textDirection w:val="btLr"/>
            <w:vAlign w:val="center"/>
          </w:tcPr>
          <w:p w14:paraId="3822C1C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286FC9B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C5E0B3"/>
            <w:textDirection w:val="btLr"/>
            <w:vAlign w:val="center"/>
          </w:tcPr>
          <w:p w14:paraId="6399C7E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1D967D4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3151B60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26C1408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5ED62D6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59997E0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7084745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246FDE0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72A4D9C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3942919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49D804A1"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1000,0</w:t>
            </w:r>
          </w:p>
        </w:tc>
      </w:tr>
      <w:tr w:rsidR="006B4969" w:rsidRPr="00C2587D" w14:paraId="4E152EFC"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34"/>
        </w:trPr>
        <w:tc>
          <w:tcPr>
            <w:tcW w:w="531" w:type="dxa"/>
            <w:shd w:val="clear" w:color="auto" w:fill="auto"/>
            <w:vAlign w:val="center"/>
          </w:tcPr>
          <w:p w14:paraId="64EE8CCD"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22</w:t>
            </w:r>
          </w:p>
        </w:tc>
        <w:tc>
          <w:tcPr>
            <w:tcW w:w="2113" w:type="dxa"/>
            <w:shd w:val="clear" w:color="auto" w:fill="auto"/>
            <w:vAlign w:val="center"/>
          </w:tcPr>
          <w:p w14:paraId="2E9C7342"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Модернізація спортивної інфраструктури КП "СОЗ «Юність» для розвитку фізичної активності дітей, молоді, осіб середнього й пенсійного віку з урахуванням гендерної рівності та сучасних стандартів інклюзивності</w:t>
            </w:r>
          </w:p>
        </w:tc>
        <w:tc>
          <w:tcPr>
            <w:tcW w:w="737" w:type="dxa"/>
            <w:shd w:val="clear" w:color="auto" w:fill="auto"/>
            <w:textDirection w:val="btLr"/>
            <w:vAlign w:val="center"/>
          </w:tcPr>
          <w:p w14:paraId="42FE7C33"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2000,0</w:t>
            </w:r>
          </w:p>
        </w:tc>
        <w:tc>
          <w:tcPr>
            <w:tcW w:w="850" w:type="dxa"/>
            <w:shd w:val="clear" w:color="auto" w:fill="FBE4D5"/>
            <w:textDirection w:val="btLr"/>
            <w:vAlign w:val="center"/>
          </w:tcPr>
          <w:p w14:paraId="37EF867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2000,0</w:t>
            </w:r>
          </w:p>
        </w:tc>
        <w:tc>
          <w:tcPr>
            <w:tcW w:w="979" w:type="dxa"/>
            <w:shd w:val="clear" w:color="auto" w:fill="auto"/>
            <w:textDirection w:val="btLr"/>
            <w:vAlign w:val="center"/>
          </w:tcPr>
          <w:p w14:paraId="7B06908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64" w:type="dxa"/>
            <w:shd w:val="clear" w:color="auto" w:fill="auto"/>
            <w:textDirection w:val="btLr"/>
            <w:vAlign w:val="center"/>
          </w:tcPr>
          <w:p w14:paraId="45E4145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1000,0</w:t>
            </w:r>
          </w:p>
        </w:tc>
        <w:tc>
          <w:tcPr>
            <w:tcW w:w="850" w:type="dxa"/>
            <w:shd w:val="clear" w:color="auto" w:fill="auto"/>
            <w:textDirection w:val="btLr"/>
            <w:vAlign w:val="center"/>
          </w:tcPr>
          <w:p w14:paraId="59EE14F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1000,0</w:t>
            </w:r>
          </w:p>
        </w:tc>
        <w:tc>
          <w:tcPr>
            <w:tcW w:w="709" w:type="dxa"/>
            <w:shd w:val="clear" w:color="auto" w:fill="auto"/>
            <w:textDirection w:val="btLr"/>
            <w:vAlign w:val="center"/>
          </w:tcPr>
          <w:p w14:paraId="1DA7382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C5E0B3"/>
            <w:textDirection w:val="btLr"/>
            <w:vAlign w:val="center"/>
          </w:tcPr>
          <w:p w14:paraId="3320E8C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108F339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60BB407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0AA5AEF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1135EC0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5CABDDF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48704E3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1776426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2EDDD41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0F1D4C9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720F3FF3"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2000,0</w:t>
            </w:r>
          </w:p>
        </w:tc>
      </w:tr>
      <w:tr w:rsidR="006B4969" w:rsidRPr="00C2587D" w14:paraId="5DEDFA77"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856"/>
        </w:trPr>
        <w:tc>
          <w:tcPr>
            <w:tcW w:w="531" w:type="dxa"/>
            <w:shd w:val="clear" w:color="auto" w:fill="auto"/>
            <w:vAlign w:val="center"/>
          </w:tcPr>
          <w:p w14:paraId="1DB84DFE"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23</w:t>
            </w:r>
          </w:p>
        </w:tc>
        <w:tc>
          <w:tcPr>
            <w:tcW w:w="2113" w:type="dxa"/>
            <w:shd w:val="clear" w:color="auto" w:fill="auto"/>
            <w:vAlign w:val="center"/>
          </w:tcPr>
          <w:p w14:paraId="4294D7F3"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"Громада в грі: участь у всеукраїнських та регіональних змаганнях"</w:t>
            </w:r>
          </w:p>
        </w:tc>
        <w:tc>
          <w:tcPr>
            <w:tcW w:w="737" w:type="dxa"/>
            <w:shd w:val="clear" w:color="auto" w:fill="auto"/>
            <w:textDirection w:val="btLr"/>
            <w:vAlign w:val="center"/>
          </w:tcPr>
          <w:p w14:paraId="632D547A"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6000,0</w:t>
            </w:r>
          </w:p>
        </w:tc>
        <w:tc>
          <w:tcPr>
            <w:tcW w:w="850" w:type="dxa"/>
            <w:shd w:val="clear" w:color="auto" w:fill="FBE4D5"/>
            <w:textDirection w:val="btLr"/>
            <w:vAlign w:val="center"/>
          </w:tcPr>
          <w:p w14:paraId="5D0EA5E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6000,0</w:t>
            </w:r>
          </w:p>
        </w:tc>
        <w:tc>
          <w:tcPr>
            <w:tcW w:w="979" w:type="dxa"/>
            <w:shd w:val="clear" w:color="auto" w:fill="auto"/>
            <w:textDirection w:val="btLr"/>
            <w:vAlign w:val="center"/>
          </w:tcPr>
          <w:p w14:paraId="1600A4F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64" w:type="dxa"/>
            <w:shd w:val="clear" w:color="auto" w:fill="auto"/>
            <w:textDirection w:val="btLr"/>
            <w:vAlign w:val="center"/>
          </w:tcPr>
          <w:p w14:paraId="31C50A6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2000,0</w:t>
            </w:r>
          </w:p>
        </w:tc>
        <w:tc>
          <w:tcPr>
            <w:tcW w:w="850" w:type="dxa"/>
            <w:shd w:val="clear" w:color="auto" w:fill="auto"/>
            <w:textDirection w:val="btLr"/>
            <w:vAlign w:val="center"/>
          </w:tcPr>
          <w:p w14:paraId="6F2C91C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2000,0</w:t>
            </w:r>
          </w:p>
        </w:tc>
        <w:tc>
          <w:tcPr>
            <w:tcW w:w="709" w:type="dxa"/>
            <w:shd w:val="clear" w:color="auto" w:fill="auto"/>
            <w:textDirection w:val="btLr"/>
            <w:vAlign w:val="center"/>
          </w:tcPr>
          <w:p w14:paraId="1BE1EF1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2000,0</w:t>
            </w:r>
          </w:p>
        </w:tc>
        <w:tc>
          <w:tcPr>
            <w:tcW w:w="709" w:type="dxa"/>
            <w:shd w:val="clear" w:color="auto" w:fill="C5E0B3"/>
            <w:textDirection w:val="btLr"/>
            <w:vAlign w:val="center"/>
          </w:tcPr>
          <w:p w14:paraId="459D1C3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375151C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45BB6F0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429E2AD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48DD694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711C51A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66749E5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22EAB45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21152D7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447D3EF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13E54753"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6000,0</w:t>
            </w:r>
          </w:p>
        </w:tc>
      </w:tr>
      <w:tr w:rsidR="006B4969" w:rsidRPr="00C2587D" w14:paraId="54FFCD3A"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34"/>
        </w:trPr>
        <w:tc>
          <w:tcPr>
            <w:tcW w:w="531" w:type="dxa"/>
            <w:shd w:val="clear" w:color="auto" w:fill="auto"/>
            <w:vAlign w:val="center"/>
          </w:tcPr>
          <w:p w14:paraId="0DAE93BB"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lastRenderedPageBreak/>
              <w:t>24</w:t>
            </w:r>
          </w:p>
        </w:tc>
        <w:tc>
          <w:tcPr>
            <w:tcW w:w="2113" w:type="dxa"/>
            <w:shd w:val="clear" w:color="auto" w:fill="auto"/>
            <w:vAlign w:val="center"/>
          </w:tcPr>
          <w:p w14:paraId="7D662101"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 xml:space="preserve">Капітальний ремонт з утепленням приміщення дитячо-юнацької спортивної школи по вул. Богдана Хмельницького </w:t>
            </w:r>
          </w:p>
        </w:tc>
        <w:tc>
          <w:tcPr>
            <w:tcW w:w="737" w:type="dxa"/>
            <w:shd w:val="clear" w:color="auto" w:fill="auto"/>
            <w:textDirection w:val="btLr"/>
            <w:vAlign w:val="center"/>
          </w:tcPr>
          <w:p w14:paraId="520D2CC8"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30000,0</w:t>
            </w:r>
          </w:p>
        </w:tc>
        <w:tc>
          <w:tcPr>
            <w:tcW w:w="850" w:type="dxa"/>
            <w:shd w:val="clear" w:color="auto" w:fill="FBE4D5"/>
            <w:textDirection w:val="btLr"/>
            <w:vAlign w:val="center"/>
          </w:tcPr>
          <w:p w14:paraId="5E7BD39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5000,0</w:t>
            </w:r>
          </w:p>
        </w:tc>
        <w:tc>
          <w:tcPr>
            <w:tcW w:w="979" w:type="dxa"/>
            <w:shd w:val="clear" w:color="auto" w:fill="auto"/>
            <w:textDirection w:val="btLr"/>
            <w:vAlign w:val="center"/>
          </w:tcPr>
          <w:p w14:paraId="4F71270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64" w:type="dxa"/>
            <w:shd w:val="clear" w:color="auto" w:fill="auto"/>
            <w:textDirection w:val="btLr"/>
            <w:vAlign w:val="center"/>
          </w:tcPr>
          <w:p w14:paraId="42F2922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5000,0</w:t>
            </w:r>
          </w:p>
        </w:tc>
        <w:tc>
          <w:tcPr>
            <w:tcW w:w="850" w:type="dxa"/>
            <w:shd w:val="clear" w:color="auto" w:fill="auto"/>
            <w:textDirection w:val="btLr"/>
            <w:vAlign w:val="center"/>
          </w:tcPr>
          <w:p w14:paraId="6EDDC9D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4D96327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C5E0B3"/>
            <w:textDirection w:val="btLr"/>
            <w:vAlign w:val="center"/>
          </w:tcPr>
          <w:p w14:paraId="161B2A4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25000,0</w:t>
            </w:r>
          </w:p>
        </w:tc>
        <w:tc>
          <w:tcPr>
            <w:tcW w:w="709" w:type="dxa"/>
            <w:shd w:val="clear" w:color="auto" w:fill="auto"/>
            <w:textDirection w:val="btLr"/>
            <w:vAlign w:val="center"/>
          </w:tcPr>
          <w:p w14:paraId="2B324D0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43C1A77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25000,0</w:t>
            </w:r>
          </w:p>
        </w:tc>
        <w:tc>
          <w:tcPr>
            <w:tcW w:w="709" w:type="dxa"/>
            <w:shd w:val="clear" w:color="auto" w:fill="auto"/>
            <w:textDirection w:val="btLr"/>
            <w:vAlign w:val="center"/>
          </w:tcPr>
          <w:p w14:paraId="774324B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65E5B86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38DF715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6F0B624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22C72C6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4DFFD5D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6ABC8D0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5E7BF8AC"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30000,0</w:t>
            </w:r>
          </w:p>
        </w:tc>
      </w:tr>
      <w:tr w:rsidR="006B4969" w:rsidRPr="00C2587D" w14:paraId="677099CA"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34"/>
        </w:trPr>
        <w:tc>
          <w:tcPr>
            <w:tcW w:w="531" w:type="dxa"/>
            <w:shd w:val="clear" w:color="auto" w:fill="auto"/>
            <w:vAlign w:val="center"/>
          </w:tcPr>
          <w:p w14:paraId="747115BD"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25</w:t>
            </w:r>
          </w:p>
        </w:tc>
        <w:tc>
          <w:tcPr>
            <w:tcW w:w="2113" w:type="dxa"/>
            <w:shd w:val="clear" w:color="auto" w:fill="auto"/>
            <w:vAlign w:val="center"/>
          </w:tcPr>
          <w:p w14:paraId="315BF48A"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hAnsi="Times New Roman"/>
                <w:sz w:val="20"/>
                <w:szCs w:val="20"/>
              </w:rPr>
              <w:t>«Сильна база — сильні результати: оновлення матеріально-технічного забезпечення спортивних залів КЗ "ЖДЮСШ"»</w:t>
            </w:r>
          </w:p>
        </w:tc>
        <w:tc>
          <w:tcPr>
            <w:tcW w:w="737" w:type="dxa"/>
            <w:shd w:val="clear" w:color="auto" w:fill="auto"/>
            <w:textDirection w:val="btLr"/>
            <w:vAlign w:val="center"/>
          </w:tcPr>
          <w:p w14:paraId="2FC115CB"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2500.00</w:t>
            </w:r>
          </w:p>
        </w:tc>
        <w:tc>
          <w:tcPr>
            <w:tcW w:w="850" w:type="dxa"/>
            <w:shd w:val="clear" w:color="auto" w:fill="FBE4D5"/>
            <w:textDirection w:val="btLr"/>
            <w:vAlign w:val="center"/>
          </w:tcPr>
          <w:p w14:paraId="1D6DE76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2500.00</w:t>
            </w:r>
          </w:p>
        </w:tc>
        <w:tc>
          <w:tcPr>
            <w:tcW w:w="979" w:type="dxa"/>
            <w:shd w:val="clear" w:color="auto" w:fill="auto"/>
            <w:textDirection w:val="btLr"/>
            <w:vAlign w:val="center"/>
          </w:tcPr>
          <w:p w14:paraId="1C5378B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64" w:type="dxa"/>
            <w:shd w:val="clear" w:color="auto" w:fill="auto"/>
            <w:textDirection w:val="btLr"/>
            <w:vAlign w:val="center"/>
          </w:tcPr>
          <w:p w14:paraId="494BE37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1000,0</w:t>
            </w:r>
          </w:p>
        </w:tc>
        <w:tc>
          <w:tcPr>
            <w:tcW w:w="850" w:type="dxa"/>
            <w:shd w:val="clear" w:color="auto" w:fill="auto"/>
            <w:textDirection w:val="btLr"/>
            <w:vAlign w:val="center"/>
          </w:tcPr>
          <w:p w14:paraId="7F615EC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1000,0</w:t>
            </w:r>
          </w:p>
        </w:tc>
        <w:tc>
          <w:tcPr>
            <w:tcW w:w="709" w:type="dxa"/>
            <w:shd w:val="clear" w:color="auto" w:fill="auto"/>
            <w:textDirection w:val="btLr"/>
            <w:vAlign w:val="center"/>
          </w:tcPr>
          <w:p w14:paraId="557D2A3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500,0</w:t>
            </w:r>
          </w:p>
        </w:tc>
        <w:tc>
          <w:tcPr>
            <w:tcW w:w="709" w:type="dxa"/>
            <w:shd w:val="clear" w:color="auto" w:fill="C5E0B3"/>
            <w:textDirection w:val="btLr"/>
            <w:vAlign w:val="center"/>
          </w:tcPr>
          <w:p w14:paraId="3DC975F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74C06E5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1555A3A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1173D90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245953C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11EF032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1957F80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5ED32C1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664F386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0832F32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25A5DF34"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2500,0</w:t>
            </w:r>
          </w:p>
        </w:tc>
      </w:tr>
      <w:tr w:rsidR="006B4969" w:rsidRPr="00C2587D" w14:paraId="536FD88F"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675"/>
        </w:trPr>
        <w:tc>
          <w:tcPr>
            <w:tcW w:w="531" w:type="dxa"/>
            <w:shd w:val="clear" w:color="auto" w:fill="auto"/>
            <w:vAlign w:val="center"/>
          </w:tcPr>
          <w:p w14:paraId="65C8DAA8"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26</w:t>
            </w:r>
          </w:p>
        </w:tc>
        <w:tc>
          <w:tcPr>
            <w:tcW w:w="2113" w:type="dxa"/>
            <w:shd w:val="clear" w:color="auto" w:fill="auto"/>
            <w:vAlign w:val="center"/>
          </w:tcPr>
          <w:p w14:paraId="65795E08"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«Територія дії: розвиток молодіжного лідерства та участі»</w:t>
            </w:r>
          </w:p>
        </w:tc>
        <w:tc>
          <w:tcPr>
            <w:tcW w:w="737" w:type="dxa"/>
            <w:shd w:val="clear" w:color="auto" w:fill="auto"/>
            <w:textDirection w:val="btLr"/>
            <w:vAlign w:val="center"/>
          </w:tcPr>
          <w:p w14:paraId="7C195489"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300,0</w:t>
            </w:r>
          </w:p>
        </w:tc>
        <w:tc>
          <w:tcPr>
            <w:tcW w:w="850" w:type="dxa"/>
            <w:shd w:val="clear" w:color="auto" w:fill="FBE4D5"/>
            <w:textDirection w:val="btLr"/>
            <w:vAlign w:val="center"/>
          </w:tcPr>
          <w:p w14:paraId="72CD00B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300,0</w:t>
            </w:r>
          </w:p>
        </w:tc>
        <w:tc>
          <w:tcPr>
            <w:tcW w:w="979" w:type="dxa"/>
            <w:shd w:val="clear" w:color="auto" w:fill="auto"/>
            <w:textDirection w:val="btLr"/>
            <w:vAlign w:val="center"/>
          </w:tcPr>
          <w:p w14:paraId="3DA1F49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64" w:type="dxa"/>
            <w:shd w:val="clear" w:color="auto" w:fill="auto"/>
            <w:textDirection w:val="btLr"/>
            <w:vAlign w:val="center"/>
          </w:tcPr>
          <w:p w14:paraId="09319CB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w:t>
            </w:r>
          </w:p>
        </w:tc>
        <w:tc>
          <w:tcPr>
            <w:tcW w:w="850" w:type="dxa"/>
            <w:shd w:val="clear" w:color="auto" w:fill="auto"/>
            <w:textDirection w:val="btLr"/>
            <w:vAlign w:val="center"/>
          </w:tcPr>
          <w:p w14:paraId="4F564AC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w:t>
            </w:r>
          </w:p>
        </w:tc>
        <w:tc>
          <w:tcPr>
            <w:tcW w:w="709" w:type="dxa"/>
            <w:shd w:val="clear" w:color="auto" w:fill="auto"/>
            <w:textDirection w:val="btLr"/>
            <w:vAlign w:val="center"/>
          </w:tcPr>
          <w:p w14:paraId="3C80CCB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w:t>
            </w:r>
          </w:p>
        </w:tc>
        <w:tc>
          <w:tcPr>
            <w:tcW w:w="709" w:type="dxa"/>
            <w:shd w:val="clear" w:color="auto" w:fill="C5E0B3"/>
            <w:textDirection w:val="btLr"/>
            <w:vAlign w:val="center"/>
          </w:tcPr>
          <w:p w14:paraId="343ADA2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50CF06A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313FB06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73602B6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4B6EC8A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74151A7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68A538F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2587781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591780D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75B7B56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23B78B83"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300,0</w:t>
            </w:r>
          </w:p>
        </w:tc>
      </w:tr>
      <w:tr w:rsidR="006B4969" w:rsidRPr="00C2587D" w14:paraId="4C2D5946"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840"/>
        </w:trPr>
        <w:tc>
          <w:tcPr>
            <w:tcW w:w="531" w:type="dxa"/>
            <w:shd w:val="clear" w:color="auto" w:fill="auto"/>
            <w:vAlign w:val="center"/>
          </w:tcPr>
          <w:p w14:paraId="04D3DA18"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27</w:t>
            </w:r>
          </w:p>
        </w:tc>
        <w:tc>
          <w:tcPr>
            <w:tcW w:w="2113" w:type="dxa"/>
            <w:shd w:val="clear" w:color="auto" w:fill="auto"/>
            <w:vAlign w:val="center"/>
          </w:tcPr>
          <w:p w14:paraId="4E626CA9"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hAnsi="Times New Roman"/>
                <w:sz w:val="20"/>
                <w:szCs w:val="20"/>
              </w:rPr>
              <w:t>«Громада талантів: розвиток культурно-творчого потенціалу мешканців»</w:t>
            </w:r>
          </w:p>
        </w:tc>
        <w:tc>
          <w:tcPr>
            <w:tcW w:w="737" w:type="dxa"/>
            <w:shd w:val="clear" w:color="auto" w:fill="auto"/>
            <w:textDirection w:val="btLr"/>
            <w:vAlign w:val="center"/>
          </w:tcPr>
          <w:p w14:paraId="30EF7419"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600,0</w:t>
            </w:r>
          </w:p>
        </w:tc>
        <w:tc>
          <w:tcPr>
            <w:tcW w:w="850" w:type="dxa"/>
            <w:shd w:val="clear" w:color="auto" w:fill="FBE4D5"/>
            <w:textDirection w:val="btLr"/>
            <w:vAlign w:val="center"/>
          </w:tcPr>
          <w:p w14:paraId="6D45C1B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600,0</w:t>
            </w:r>
          </w:p>
        </w:tc>
        <w:tc>
          <w:tcPr>
            <w:tcW w:w="979" w:type="dxa"/>
            <w:shd w:val="clear" w:color="auto" w:fill="auto"/>
            <w:textDirection w:val="btLr"/>
            <w:vAlign w:val="center"/>
          </w:tcPr>
          <w:p w14:paraId="2825732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64" w:type="dxa"/>
            <w:shd w:val="clear" w:color="auto" w:fill="auto"/>
            <w:textDirection w:val="btLr"/>
            <w:vAlign w:val="center"/>
          </w:tcPr>
          <w:p w14:paraId="3FBE975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200,0</w:t>
            </w:r>
          </w:p>
        </w:tc>
        <w:tc>
          <w:tcPr>
            <w:tcW w:w="850" w:type="dxa"/>
            <w:shd w:val="clear" w:color="auto" w:fill="auto"/>
            <w:textDirection w:val="btLr"/>
            <w:vAlign w:val="center"/>
          </w:tcPr>
          <w:p w14:paraId="0DC018E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200,0</w:t>
            </w:r>
          </w:p>
        </w:tc>
        <w:tc>
          <w:tcPr>
            <w:tcW w:w="709" w:type="dxa"/>
            <w:shd w:val="clear" w:color="auto" w:fill="auto"/>
            <w:textDirection w:val="btLr"/>
            <w:vAlign w:val="center"/>
          </w:tcPr>
          <w:p w14:paraId="1D892AC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200,0</w:t>
            </w:r>
          </w:p>
        </w:tc>
        <w:tc>
          <w:tcPr>
            <w:tcW w:w="709" w:type="dxa"/>
            <w:shd w:val="clear" w:color="auto" w:fill="C5E0B3"/>
            <w:textDirection w:val="btLr"/>
            <w:vAlign w:val="center"/>
          </w:tcPr>
          <w:p w14:paraId="323A85E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0A2FF3E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6CAD41A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4DBCA83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598E2C4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3E44B77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6D403C9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5461EC5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4BB56E8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0A5EC4A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70AA312C"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600,0</w:t>
            </w:r>
          </w:p>
        </w:tc>
      </w:tr>
      <w:tr w:rsidR="006B4969" w:rsidRPr="00C2587D" w14:paraId="783C424D"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697"/>
        </w:trPr>
        <w:tc>
          <w:tcPr>
            <w:tcW w:w="531" w:type="dxa"/>
            <w:shd w:val="clear" w:color="auto" w:fill="auto"/>
            <w:vAlign w:val="center"/>
          </w:tcPr>
          <w:p w14:paraId="02C6A8AD"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28</w:t>
            </w:r>
          </w:p>
        </w:tc>
        <w:tc>
          <w:tcPr>
            <w:tcW w:w="2113" w:type="dxa"/>
            <w:shd w:val="clear" w:color="auto" w:fill="auto"/>
            <w:vAlign w:val="center"/>
          </w:tcPr>
          <w:p w14:paraId="1A41AAF3"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hAnsi="Times New Roman"/>
                <w:sz w:val="20"/>
                <w:szCs w:val="20"/>
              </w:rPr>
              <w:t>«Місто для дітей і молоді: участь, безпека, розвиток»</w:t>
            </w:r>
          </w:p>
        </w:tc>
        <w:tc>
          <w:tcPr>
            <w:tcW w:w="737" w:type="dxa"/>
            <w:shd w:val="clear" w:color="auto" w:fill="auto"/>
            <w:textDirection w:val="btLr"/>
            <w:vAlign w:val="center"/>
          </w:tcPr>
          <w:p w14:paraId="6447E54C"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300,0</w:t>
            </w:r>
          </w:p>
        </w:tc>
        <w:tc>
          <w:tcPr>
            <w:tcW w:w="850" w:type="dxa"/>
            <w:shd w:val="clear" w:color="auto" w:fill="FBE4D5"/>
            <w:textDirection w:val="btLr"/>
            <w:vAlign w:val="center"/>
          </w:tcPr>
          <w:p w14:paraId="35348E3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300,0</w:t>
            </w:r>
          </w:p>
        </w:tc>
        <w:tc>
          <w:tcPr>
            <w:tcW w:w="979" w:type="dxa"/>
            <w:shd w:val="clear" w:color="auto" w:fill="auto"/>
            <w:textDirection w:val="btLr"/>
            <w:vAlign w:val="center"/>
          </w:tcPr>
          <w:p w14:paraId="3C40CC9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64" w:type="dxa"/>
            <w:shd w:val="clear" w:color="auto" w:fill="auto"/>
            <w:textDirection w:val="btLr"/>
            <w:vAlign w:val="center"/>
          </w:tcPr>
          <w:p w14:paraId="1CF68DC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w:t>
            </w:r>
          </w:p>
        </w:tc>
        <w:tc>
          <w:tcPr>
            <w:tcW w:w="850" w:type="dxa"/>
            <w:shd w:val="clear" w:color="auto" w:fill="auto"/>
            <w:textDirection w:val="btLr"/>
            <w:vAlign w:val="center"/>
          </w:tcPr>
          <w:p w14:paraId="39AB11D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w:t>
            </w:r>
          </w:p>
        </w:tc>
        <w:tc>
          <w:tcPr>
            <w:tcW w:w="709" w:type="dxa"/>
            <w:shd w:val="clear" w:color="auto" w:fill="auto"/>
            <w:textDirection w:val="btLr"/>
            <w:vAlign w:val="center"/>
          </w:tcPr>
          <w:p w14:paraId="72D7740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w:t>
            </w:r>
          </w:p>
        </w:tc>
        <w:tc>
          <w:tcPr>
            <w:tcW w:w="709" w:type="dxa"/>
            <w:shd w:val="clear" w:color="auto" w:fill="C5E0B3"/>
            <w:textDirection w:val="btLr"/>
            <w:vAlign w:val="center"/>
          </w:tcPr>
          <w:p w14:paraId="4E8B79C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57CC831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5BCEE0F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2A99B0D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6520D4C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3790DA5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4B15574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0CC3366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380B234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1E55191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41AF2C1E"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300,0</w:t>
            </w:r>
          </w:p>
        </w:tc>
      </w:tr>
      <w:tr w:rsidR="006B4969" w:rsidRPr="00C2587D" w14:paraId="1742640A"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34"/>
        </w:trPr>
        <w:tc>
          <w:tcPr>
            <w:tcW w:w="531" w:type="dxa"/>
            <w:shd w:val="clear" w:color="auto" w:fill="auto"/>
            <w:vAlign w:val="center"/>
          </w:tcPr>
          <w:p w14:paraId="3AC88826"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29</w:t>
            </w:r>
          </w:p>
        </w:tc>
        <w:tc>
          <w:tcPr>
            <w:tcW w:w="2113" w:type="dxa"/>
            <w:shd w:val="clear" w:color="auto" w:fill="auto"/>
            <w:vAlign w:val="center"/>
          </w:tcPr>
          <w:p w14:paraId="3A1BDD2A"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hAnsi="Times New Roman"/>
                <w:sz w:val="20"/>
                <w:szCs w:val="20"/>
              </w:rPr>
              <w:t>«Простір можливостей: Молодіжний центр громади»</w:t>
            </w:r>
          </w:p>
        </w:tc>
        <w:tc>
          <w:tcPr>
            <w:tcW w:w="737" w:type="dxa"/>
            <w:shd w:val="clear" w:color="auto" w:fill="auto"/>
            <w:textDirection w:val="btLr"/>
            <w:vAlign w:val="center"/>
          </w:tcPr>
          <w:p w14:paraId="5A007969"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1000,0</w:t>
            </w:r>
          </w:p>
        </w:tc>
        <w:tc>
          <w:tcPr>
            <w:tcW w:w="850" w:type="dxa"/>
            <w:shd w:val="clear" w:color="auto" w:fill="FBE4D5"/>
            <w:textDirection w:val="btLr"/>
            <w:vAlign w:val="center"/>
          </w:tcPr>
          <w:p w14:paraId="5F3E933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1000,0</w:t>
            </w:r>
          </w:p>
        </w:tc>
        <w:tc>
          <w:tcPr>
            <w:tcW w:w="979" w:type="dxa"/>
            <w:shd w:val="clear" w:color="auto" w:fill="auto"/>
            <w:textDirection w:val="btLr"/>
            <w:vAlign w:val="center"/>
          </w:tcPr>
          <w:p w14:paraId="7EA2E8F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64" w:type="dxa"/>
            <w:shd w:val="clear" w:color="auto" w:fill="auto"/>
            <w:textDirection w:val="btLr"/>
            <w:vAlign w:val="center"/>
          </w:tcPr>
          <w:p w14:paraId="4AD138B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600,0</w:t>
            </w:r>
          </w:p>
        </w:tc>
        <w:tc>
          <w:tcPr>
            <w:tcW w:w="850" w:type="dxa"/>
            <w:shd w:val="clear" w:color="auto" w:fill="auto"/>
            <w:textDirection w:val="btLr"/>
            <w:vAlign w:val="center"/>
          </w:tcPr>
          <w:p w14:paraId="577948E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200,0</w:t>
            </w:r>
          </w:p>
        </w:tc>
        <w:tc>
          <w:tcPr>
            <w:tcW w:w="709" w:type="dxa"/>
            <w:shd w:val="clear" w:color="auto" w:fill="auto"/>
            <w:textDirection w:val="btLr"/>
            <w:vAlign w:val="center"/>
          </w:tcPr>
          <w:p w14:paraId="62EE94E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200,0</w:t>
            </w:r>
          </w:p>
        </w:tc>
        <w:tc>
          <w:tcPr>
            <w:tcW w:w="709" w:type="dxa"/>
            <w:shd w:val="clear" w:color="auto" w:fill="C5E0B3"/>
            <w:textDirection w:val="btLr"/>
            <w:vAlign w:val="center"/>
          </w:tcPr>
          <w:p w14:paraId="75D2D9E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34FE3C0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18527CF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2F91CD9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07886E2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17F76BC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09EF347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38BCC4B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3CD4B57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47428D8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5F3BE162"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1000,0</w:t>
            </w:r>
          </w:p>
        </w:tc>
      </w:tr>
      <w:tr w:rsidR="006B4969" w:rsidRPr="00C2587D" w14:paraId="25CD41DE"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410"/>
        </w:trPr>
        <w:tc>
          <w:tcPr>
            <w:tcW w:w="531" w:type="dxa"/>
            <w:shd w:val="clear" w:color="auto" w:fill="auto"/>
            <w:vAlign w:val="center"/>
          </w:tcPr>
          <w:p w14:paraId="69049BA3"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30</w:t>
            </w:r>
          </w:p>
        </w:tc>
        <w:tc>
          <w:tcPr>
            <w:tcW w:w="2113" w:type="dxa"/>
            <w:shd w:val="clear" w:color="auto" w:fill="auto"/>
            <w:vAlign w:val="center"/>
          </w:tcPr>
          <w:p w14:paraId="70D3AB68"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hAnsi="Times New Roman"/>
                <w:sz w:val="20"/>
                <w:szCs w:val="20"/>
              </w:rPr>
              <w:t>«Молодь. Здоров’я. Дія» – підтримка молодіжних ініціатив задля активного та здорового життя громади</w:t>
            </w:r>
          </w:p>
        </w:tc>
        <w:tc>
          <w:tcPr>
            <w:tcW w:w="737" w:type="dxa"/>
            <w:shd w:val="clear" w:color="auto" w:fill="auto"/>
            <w:textDirection w:val="btLr"/>
            <w:vAlign w:val="center"/>
          </w:tcPr>
          <w:p w14:paraId="0363A3E7"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300,0</w:t>
            </w:r>
          </w:p>
        </w:tc>
        <w:tc>
          <w:tcPr>
            <w:tcW w:w="850" w:type="dxa"/>
            <w:shd w:val="clear" w:color="auto" w:fill="FBE4D5"/>
            <w:textDirection w:val="btLr"/>
            <w:vAlign w:val="center"/>
          </w:tcPr>
          <w:p w14:paraId="209396C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300,0</w:t>
            </w:r>
          </w:p>
        </w:tc>
        <w:tc>
          <w:tcPr>
            <w:tcW w:w="979" w:type="dxa"/>
            <w:shd w:val="clear" w:color="auto" w:fill="auto"/>
            <w:textDirection w:val="btLr"/>
            <w:vAlign w:val="center"/>
          </w:tcPr>
          <w:p w14:paraId="590C438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64" w:type="dxa"/>
            <w:shd w:val="clear" w:color="auto" w:fill="auto"/>
            <w:textDirection w:val="btLr"/>
            <w:vAlign w:val="center"/>
          </w:tcPr>
          <w:p w14:paraId="4687A02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w:t>
            </w:r>
          </w:p>
        </w:tc>
        <w:tc>
          <w:tcPr>
            <w:tcW w:w="850" w:type="dxa"/>
            <w:shd w:val="clear" w:color="auto" w:fill="auto"/>
            <w:textDirection w:val="btLr"/>
            <w:vAlign w:val="center"/>
          </w:tcPr>
          <w:p w14:paraId="5C18F48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w:t>
            </w:r>
          </w:p>
        </w:tc>
        <w:tc>
          <w:tcPr>
            <w:tcW w:w="709" w:type="dxa"/>
            <w:shd w:val="clear" w:color="auto" w:fill="auto"/>
            <w:textDirection w:val="btLr"/>
            <w:vAlign w:val="center"/>
          </w:tcPr>
          <w:p w14:paraId="4468D30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w:t>
            </w:r>
          </w:p>
        </w:tc>
        <w:tc>
          <w:tcPr>
            <w:tcW w:w="709" w:type="dxa"/>
            <w:shd w:val="clear" w:color="auto" w:fill="C5E0B3"/>
            <w:textDirection w:val="btLr"/>
            <w:vAlign w:val="center"/>
          </w:tcPr>
          <w:p w14:paraId="0473948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611687C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386339E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51B21D2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3914414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5918DC7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29CDB5D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53C6BED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0A93487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4F4FF6B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49B7A8A3"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300,0</w:t>
            </w:r>
          </w:p>
        </w:tc>
      </w:tr>
      <w:tr w:rsidR="006B4969" w:rsidRPr="00C2587D" w14:paraId="737E4248"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43"/>
        </w:trPr>
        <w:tc>
          <w:tcPr>
            <w:tcW w:w="531" w:type="dxa"/>
            <w:shd w:val="clear" w:color="auto" w:fill="auto"/>
            <w:vAlign w:val="center"/>
          </w:tcPr>
          <w:p w14:paraId="4E64B485"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lastRenderedPageBreak/>
              <w:t>31</w:t>
            </w:r>
          </w:p>
        </w:tc>
        <w:tc>
          <w:tcPr>
            <w:tcW w:w="2113" w:type="dxa"/>
            <w:shd w:val="clear" w:color="auto" w:fill="auto"/>
            <w:vAlign w:val="center"/>
          </w:tcPr>
          <w:p w14:paraId="086E281D"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«Пульс нації» — національно-патріотичне виховання через активну участь молоді</w:t>
            </w:r>
          </w:p>
        </w:tc>
        <w:tc>
          <w:tcPr>
            <w:tcW w:w="737" w:type="dxa"/>
            <w:shd w:val="clear" w:color="auto" w:fill="auto"/>
            <w:textDirection w:val="btLr"/>
            <w:vAlign w:val="center"/>
          </w:tcPr>
          <w:p w14:paraId="05059331"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600,0</w:t>
            </w:r>
          </w:p>
        </w:tc>
        <w:tc>
          <w:tcPr>
            <w:tcW w:w="850" w:type="dxa"/>
            <w:shd w:val="clear" w:color="auto" w:fill="FBE4D5"/>
            <w:textDirection w:val="btLr"/>
            <w:vAlign w:val="center"/>
          </w:tcPr>
          <w:p w14:paraId="41EC6A2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600,0</w:t>
            </w:r>
          </w:p>
        </w:tc>
        <w:tc>
          <w:tcPr>
            <w:tcW w:w="979" w:type="dxa"/>
            <w:shd w:val="clear" w:color="auto" w:fill="auto"/>
            <w:textDirection w:val="btLr"/>
            <w:vAlign w:val="center"/>
          </w:tcPr>
          <w:p w14:paraId="25B26D6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64" w:type="dxa"/>
            <w:shd w:val="clear" w:color="auto" w:fill="auto"/>
            <w:textDirection w:val="btLr"/>
            <w:vAlign w:val="center"/>
          </w:tcPr>
          <w:p w14:paraId="491D056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200,0</w:t>
            </w:r>
          </w:p>
        </w:tc>
        <w:tc>
          <w:tcPr>
            <w:tcW w:w="850" w:type="dxa"/>
            <w:shd w:val="clear" w:color="auto" w:fill="auto"/>
            <w:textDirection w:val="btLr"/>
            <w:vAlign w:val="center"/>
          </w:tcPr>
          <w:p w14:paraId="7966191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200,0</w:t>
            </w:r>
          </w:p>
        </w:tc>
        <w:tc>
          <w:tcPr>
            <w:tcW w:w="709" w:type="dxa"/>
            <w:shd w:val="clear" w:color="auto" w:fill="auto"/>
            <w:textDirection w:val="btLr"/>
            <w:vAlign w:val="center"/>
          </w:tcPr>
          <w:p w14:paraId="5CDD4FC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200,0</w:t>
            </w:r>
          </w:p>
        </w:tc>
        <w:tc>
          <w:tcPr>
            <w:tcW w:w="709" w:type="dxa"/>
            <w:shd w:val="clear" w:color="auto" w:fill="C5E0B3"/>
            <w:textDirection w:val="btLr"/>
            <w:vAlign w:val="center"/>
          </w:tcPr>
          <w:p w14:paraId="314BAAE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3EE8B05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7FC2EC6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73F4E91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159FDD5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30FC454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58FA7E5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1CCEEA9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490A61C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2E5698C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4B2F5FE2"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600,0</w:t>
            </w:r>
          </w:p>
        </w:tc>
      </w:tr>
      <w:tr w:rsidR="006B4969" w:rsidRPr="00C2587D" w14:paraId="5039687D"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804"/>
        </w:trPr>
        <w:tc>
          <w:tcPr>
            <w:tcW w:w="531" w:type="dxa"/>
            <w:shd w:val="clear" w:color="auto" w:fill="auto"/>
            <w:vAlign w:val="center"/>
          </w:tcPr>
          <w:p w14:paraId="4DC1B48C"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32</w:t>
            </w:r>
          </w:p>
        </w:tc>
        <w:tc>
          <w:tcPr>
            <w:tcW w:w="2113" w:type="dxa"/>
            <w:shd w:val="clear" w:color="auto" w:fill="auto"/>
            <w:vAlign w:val="center"/>
          </w:tcPr>
          <w:p w14:paraId="1B384A62" w14:textId="77777777" w:rsidR="006B4969" w:rsidRPr="00C2587D" w:rsidRDefault="006B4969" w:rsidP="00FF28D2">
            <w:pPr>
              <w:rPr>
                <w:rFonts w:ascii="Times New Roman" w:hAnsi="Times New Roman"/>
                <w:sz w:val="20"/>
                <w:szCs w:val="20"/>
              </w:rPr>
            </w:pPr>
            <w:r w:rsidRPr="00C2587D">
              <w:rPr>
                <w:rFonts w:ascii="Times New Roman" w:hAnsi="Times New Roman"/>
                <w:sz w:val="20"/>
                <w:szCs w:val="20"/>
              </w:rPr>
              <w:t>«Безпечна громада — стійка молодь»</w:t>
            </w:r>
          </w:p>
        </w:tc>
        <w:tc>
          <w:tcPr>
            <w:tcW w:w="737" w:type="dxa"/>
            <w:shd w:val="clear" w:color="auto" w:fill="auto"/>
            <w:textDirection w:val="btLr"/>
            <w:vAlign w:val="center"/>
          </w:tcPr>
          <w:p w14:paraId="598A5E2D"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600,0</w:t>
            </w:r>
          </w:p>
        </w:tc>
        <w:tc>
          <w:tcPr>
            <w:tcW w:w="850" w:type="dxa"/>
            <w:shd w:val="clear" w:color="auto" w:fill="FBE4D5"/>
            <w:textDirection w:val="btLr"/>
            <w:vAlign w:val="center"/>
          </w:tcPr>
          <w:p w14:paraId="2C4BD69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600,0</w:t>
            </w:r>
          </w:p>
        </w:tc>
        <w:tc>
          <w:tcPr>
            <w:tcW w:w="979" w:type="dxa"/>
            <w:shd w:val="clear" w:color="auto" w:fill="auto"/>
            <w:textDirection w:val="btLr"/>
            <w:vAlign w:val="center"/>
          </w:tcPr>
          <w:p w14:paraId="74751EF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64" w:type="dxa"/>
            <w:shd w:val="clear" w:color="auto" w:fill="auto"/>
            <w:textDirection w:val="btLr"/>
            <w:vAlign w:val="center"/>
          </w:tcPr>
          <w:p w14:paraId="4C3128E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200,00</w:t>
            </w:r>
          </w:p>
        </w:tc>
        <w:tc>
          <w:tcPr>
            <w:tcW w:w="850" w:type="dxa"/>
            <w:shd w:val="clear" w:color="auto" w:fill="auto"/>
            <w:textDirection w:val="btLr"/>
            <w:vAlign w:val="center"/>
          </w:tcPr>
          <w:p w14:paraId="14FB94B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200,00</w:t>
            </w:r>
          </w:p>
        </w:tc>
        <w:tc>
          <w:tcPr>
            <w:tcW w:w="709" w:type="dxa"/>
            <w:shd w:val="clear" w:color="auto" w:fill="auto"/>
            <w:textDirection w:val="btLr"/>
            <w:vAlign w:val="center"/>
          </w:tcPr>
          <w:p w14:paraId="1285060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200,0</w:t>
            </w:r>
          </w:p>
        </w:tc>
        <w:tc>
          <w:tcPr>
            <w:tcW w:w="709" w:type="dxa"/>
            <w:shd w:val="clear" w:color="auto" w:fill="C5E0B3"/>
            <w:textDirection w:val="btLr"/>
            <w:vAlign w:val="center"/>
          </w:tcPr>
          <w:p w14:paraId="1445E4D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58689D7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406EA3A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6F88C59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6D11D54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602EE18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018EB37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5A87914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1DDD41B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4C2EBE2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3841D29B"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600,0</w:t>
            </w:r>
          </w:p>
        </w:tc>
      </w:tr>
      <w:tr w:rsidR="006B4969" w:rsidRPr="00C2587D" w14:paraId="605A7880"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843"/>
        </w:trPr>
        <w:tc>
          <w:tcPr>
            <w:tcW w:w="531" w:type="dxa"/>
            <w:shd w:val="clear" w:color="auto" w:fill="auto"/>
            <w:vAlign w:val="center"/>
          </w:tcPr>
          <w:p w14:paraId="456A57A1"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33</w:t>
            </w:r>
          </w:p>
        </w:tc>
        <w:tc>
          <w:tcPr>
            <w:tcW w:w="2113" w:type="dxa"/>
            <w:shd w:val="clear" w:color="auto" w:fill="auto"/>
            <w:vAlign w:val="center"/>
          </w:tcPr>
          <w:p w14:paraId="1BB09BA0"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hAnsi="Times New Roman"/>
                <w:sz w:val="20"/>
                <w:szCs w:val="20"/>
              </w:rPr>
              <w:t>«Здорове життя – здорова громада»</w:t>
            </w:r>
          </w:p>
        </w:tc>
        <w:tc>
          <w:tcPr>
            <w:tcW w:w="737" w:type="dxa"/>
            <w:shd w:val="clear" w:color="auto" w:fill="auto"/>
            <w:textDirection w:val="btLr"/>
            <w:vAlign w:val="center"/>
          </w:tcPr>
          <w:p w14:paraId="614EFE53"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300,0</w:t>
            </w:r>
          </w:p>
        </w:tc>
        <w:tc>
          <w:tcPr>
            <w:tcW w:w="850" w:type="dxa"/>
            <w:shd w:val="clear" w:color="auto" w:fill="FBE4D5"/>
            <w:textDirection w:val="btLr"/>
            <w:vAlign w:val="center"/>
          </w:tcPr>
          <w:p w14:paraId="2E7F8EA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300,0</w:t>
            </w:r>
          </w:p>
        </w:tc>
        <w:tc>
          <w:tcPr>
            <w:tcW w:w="979" w:type="dxa"/>
            <w:shd w:val="clear" w:color="auto" w:fill="auto"/>
            <w:textDirection w:val="btLr"/>
            <w:vAlign w:val="center"/>
          </w:tcPr>
          <w:p w14:paraId="6E90174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64" w:type="dxa"/>
            <w:shd w:val="clear" w:color="auto" w:fill="auto"/>
            <w:textDirection w:val="btLr"/>
            <w:vAlign w:val="center"/>
          </w:tcPr>
          <w:p w14:paraId="28D9AF4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w:t>
            </w:r>
          </w:p>
        </w:tc>
        <w:tc>
          <w:tcPr>
            <w:tcW w:w="850" w:type="dxa"/>
            <w:shd w:val="clear" w:color="auto" w:fill="auto"/>
            <w:textDirection w:val="btLr"/>
            <w:vAlign w:val="center"/>
          </w:tcPr>
          <w:p w14:paraId="4225D7F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w:t>
            </w:r>
          </w:p>
        </w:tc>
        <w:tc>
          <w:tcPr>
            <w:tcW w:w="709" w:type="dxa"/>
            <w:shd w:val="clear" w:color="auto" w:fill="auto"/>
            <w:textDirection w:val="btLr"/>
            <w:vAlign w:val="center"/>
          </w:tcPr>
          <w:p w14:paraId="40DBCA4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w:t>
            </w:r>
          </w:p>
        </w:tc>
        <w:tc>
          <w:tcPr>
            <w:tcW w:w="709" w:type="dxa"/>
            <w:shd w:val="clear" w:color="auto" w:fill="C5E0B3"/>
            <w:textDirection w:val="btLr"/>
            <w:vAlign w:val="center"/>
          </w:tcPr>
          <w:p w14:paraId="4AEC80B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6E13457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745D0DF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30EEBDC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51F3B33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0D30289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0B92053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7BDFF3E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599E24E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22FB000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123D9A70"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300,0</w:t>
            </w:r>
          </w:p>
        </w:tc>
      </w:tr>
      <w:tr w:rsidR="006B4969" w:rsidRPr="00C2587D" w14:paraId="41FA86A4" w14:textId="77777777" w:rsidTr="00FF28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703"/>
        </w:trPr>
        <w:tc>
          <w:tcPr>
            <w:tcW w:w="531" w:type="dxa"/>
            <w:shd w:val="clear" w:color="auto" w:fill="auto"/>
            <w:vAlign w:val="center"/>
          </w:tcPr>
          <w:p w14:paraId="09CDC116"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34</w:t>
            </w:r>
          </w:p>
        </w:tc>
        <w:tc>
          <w:tcPr>
            <w:tcW w:w="2113" w:type="dxa"/>
            <w:shd w:val="clear" w:color="auto" w:fill="auto"/>
            <w:vAlign w:val="center"/>
          </w:tcPr>
          <w:p w14:paraId="357522C3"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hAnsi="Times New Roman"/>
                <w:sz w:val="20"/>
                <w:szCs w:val="20"/>
              </w:rPr>
              <w:t>«Молодь в дії: інтеграція, розвиток, участь»</w:t>
            </w:r>
          </w:p>
        </w:tc>
        <w:tc>
          <w:tcPr>
            <w:tcW w:w="737" w:type="dxa"/>
            <w:shd w:val="clear" w:color="auto" w:fill="auto"/>
            <w:textDirection w:val="btLr"/>
            <w:vAlign w:val="center"/>
          </w:tcPr>
          <w:p w14:paraId="69C36E66"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360,0</w:t>
            </w:r>
          </w:p>
        </w:tc>
        <w:tc>
          <w:tcPr>
            <w:tcW w:w="850" w:type="dxa"/>
            <w:shd w:val="clear" w:color="auto" w:fill="FBE4D5"/>
            <w:textDirection w:val="btLr"/>
            <w:vAlign w:val="center"/>
          </w:tcPr>
          <w:p w14:paraId="096F3DE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360,0</w:t>
            </w:r>
          </w:p>
        </w:tc>
        <w:tc>
          <w:tcPr>
            <w:tcW w:w="979" w:type="dxa"/>
            <w:shd w:val="clear" w:color="auto" w:fill="auto"/>
            <w:textDirection w:val="btLr"/>
            <w:vAlign w:val="center"/>
          </w:tcPr>
          <w:p w14:paraId="0BA6DAF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64" w:type="dxa"/>
            <w:shd w:val="clear" w:color="auto" w:fill="auto"/>
            <w:textDirection w:val="btLr"/>
            <w:vAlign w:val="center"/>
          </w:tcPr>
          <w:p w14:paraId="1B2B7FA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120,0</w:t>
            </w:r>
          </w:p>
        </w:tc>
        <w:tc>
          <w:tcPr>
            <w:tcW w:w="850" w:type="dxa"/>
            <w:shd w:val="clear" w:color="auto" w:fill="auto"/>
            <w:textDirection w:val="btLr"/>
            <w:vAlign w:val="center"/>
          </w:tcPr>
          <w:p w14:paraId="6ECD643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120,0</w:t>
            </w:r>
          </w:p>
        </w:tc>
        <w:tc>
          <w:tcPr>
            <w:tcW w:w="709" w:type="dxa"/>
            <w:shd w:val="clear" w:color="auto" w:fill="auto"/>
            <w:textDirection w:val="btLr"/>
            <w:vAlign w:val="center"/>
          </w:tcPr>
          <w:p w14:paraId="588B5CF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120,0</w:t>
            </w:r>
          </w:p>
        </w:tc>
        <w:tc>
          <w:tcPr>
            <w:tcW w:w="709" w:type="dxa"/>
            <w:shd w:val="clear" w:color="auto" w:fill="C5E0B3"/>
            <w:textDirection w:val="btLr"/>
            <w:vAlign w:val="center"/>
          </w:tcPr>
          <w:p w14:paraId="757948D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48ED32C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4EC1FD1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031764C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3381DEB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1849E3B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65B15D5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60568A2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72FDDE5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1046AA7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02062D0A"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360,0</w:t>
            </w:r>
          </w:p>
        </w:tc>
      </w:tr>
    </w:tbl>
    <w:p w14:paraId="5BBC18CC" w14:textId="77777777" w:rsidR="002F4F1D" w:rsidRDefault="002F4F1D">
      <w:r>
        <w:br w:type="page"/>
      </w:r>
    </w:p>
    <w:tbl>
      <w:tblPr>
        <w:tblW w:w="15175" w:type="dxa"/>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1"/>
        <w:gridCol w:w="2113"/>
        <w:gridCol w:w="737"/>
        <w:gridCol w:w="850"/>
        <w:gridCol w:w="979"/>
        <w:gridCol w:w="864"/>
        <w:gridCol w:w="850"/>
        <w:gridCol w:w="709"/>
        <w:gridCol w:w="709"/>
        <w:gridCol w:w="709"/>
        <w:gridCol w:w="708"/>
        <w:gridCol w:w="709"/>
        <w:gridCol w:w="696"/>
        <w:gridCol w:w="580"/>
        <w:gridCol w:w="567"/>
        <w:gridCol w:w="567"/>
        <w:gridCol w:w="567"/>
        <w:gridCol w:w="591"/>
        <w:gridCol w:w="1139"/>
      </w:tblGrid>
      <w:tr w:rsidR="006B4969" w:rsidRPr="00C2587D" w14:paraId="3FCD1FD8" w14:textId="77777777" w:rsidTr="00A041B2">
        <w:trPr>
          <w:cantSplit/>
          <w:trHeight w:val="341"/>
        </w:trPr>
        <w:tc>
          <w:tcPr>
            <w:tcW w:w="15175" w:type="dxa"/>
            <w:gridSpan w:val="19"/>
            <w:shd w:val="clear" w:color="auto" w:fill="auto"/>
            <w:vAlign w:val="center"/>
          </w:tcPr>
          <w:p w14:paraId="430C0949" w14:textId="58D4187B"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lastRenderedPageBreak/>
              <w:t>Служба у справах  дітей  міської ради</w:t>
            </w:r>
          </w:p>
        </w:tc>
      </w:tr>
      <w:tr w:rsidR="006B4969" w:rsidRPr="00C2587D" w14:paraId="5853880E" w14:textId="77777777" w:rsidTr="00A041B2">
        <w:trPr>
          <w:cantSplit/>
          <w:trHeight w:val="347"/>
        </w:trPr>
        <w:tc>
          <w:tcPr>
            <w:tcW w:w="15175" w:type="dxa"/>
            <w:gridSpan w:val="19"/>
            <w:shd w:val="clear" w:color="auto" w:fill="auto"/>
            <w:vAlign w:val="center"/>
          </w:tcPr>
          <w:p w14:paraId="3B4B71A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Програми місцевого розвитку ( в тому числі, які реалізуються через проєкти)</w:t>
            </w:r>
          </w:p>
        </w:tc>
      </w:tr>
      <w:tr w:rsidR="006B4969" w:rsidRPr="00C2587D" w14:paraId="66735F50" w14:textId="77777777" w:rsidTr="00FF28D2">
        <w:trPr>
          <w:cantSplit/>
          <w:trHeight w:val="1343"/>
        </w:trPr>
        <w:tc>
          <w:tcPr>
            <w:tcW w:w="531" w:type="dxa"/>
            <w:shd w:val="clear" w:color="auto" w:fill="auto"/>
            <w:vAlign w:val="center"/>
          </w:tcPr>
          <w:p w14:paraId="17975502"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1.</w:t>
            </w:r>
          </w:p>
        </w:tc>
        <w:tc>
          <w:tcPr>
            <w:tcW w:w="2113" w:type="dxa"/>
            <w:shd w:val="clear" w:color="auto" w:fill="auto"/>
            <w:vAlign w:val="center"/>
          </w:tcPr>
          <w:p w14:paraId="23A4F1FD"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Правовий та соціальний захист дітей у Жмеринській міській територіальній громаді на 2024-2028роки</w:t>
            </w:r>
          </w:p>
        </w:tc>
        <w:tc>
          <w:tcPr>
            <w:tcW w:w="737" w:type="dxa"/>
            <w:shd w:val="clear" w:color="auto" w:fill="auto"/>
            <w:textDirection w:val="btLr"/>
            <w:vAlign w:val="center"/>
          </w:tcPr>
          <w:p w14:paraId="09E43C99"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338,691</w:t>
            </w:r>
          </w:p>
        </w:tc>
        <w:tc>
          <w:tcPr>
            <w:tcW w:w="850" w:type="dxa"/>
            <w:shd w:val="clear" w:color="auto" w:fill="FBE4D5"/>
            <w:textDirection w:val="btLr"/>
            <w:vAlign w:val="center"/>
          </w:tcPr>
          <w:p w14:paraId="13F56A3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338,691</w:t>
            </w:r>
          </w:p>
        </w:tc>
        <w:tc>
          <w:tcPr>
            <w:tcW w:w="979" w:type="dxa"/>
            <w:shd w:val="clear" w:color="auto" w:fill="auto"/>
            <w:textDirection w:val="btLr"/>
            <w:vAlign w:val="center"/>
          </w:tcPr>
          <w:p w14:paraId="48F86F0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77,652</w:t>
            </w:r>
          </w:p>
        </w:tc>
        <w:tc>
          <w:tcPr>
            <w:tcW w:w="864" w:type="dxa"/>
            <w:shd w:val="clear" w:color="auto" w:fill="auto"/>
            <w:textDirection w:val="btLr"/>
            <w:vAlign w:val="center"/>
          </w:tcPr>
          <w:p w14:paraId="7DC888C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82,156</w:t>
            </w:r>
          </w:p>
        </w:tc>
        <w:tc>
          <w:tcPr>
            <w:tcW w:w="850" w:type="dxa"/>
            <w:shd w:val="clear" w:color="auto" w:fill="auto"/>
            <w:textDirection w:val="btLr"/>
            <w:vAlign w:val="center"/>
          </w:tcPr>
          <w:p w14:paraId="11352D3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86,921</w:t>
            </w:r>
          </w:p>
        </w:tc>
        <w:tc>
          <w:tcPr>
            <w:tcW w:w="709" w:type="dxa"/>
            <w:shd w:val="clear" w:color="auto" w:fill="auto"/>
            <w:textDirection w:val="btLr"/>
            <w:vAlign w:val="center"/>
          </w:tcPr>
          <w:p w14:paraId="4013691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91,962</w:t>
            </w:r>
          </w:p>
        </w:tc>
        <w:tc>
          <w:tcPr>
            <w:tcW w:w="709" w:type="dxa"/>
            <w:shd w:val="clear" w:color="auto" w:fill="C5E0B3"/>
            <w:textDirection w:val="btLr"/>
            <w:vAlign w:val="center"/>
          </w:tcPr>
          <w:p w14:paraId="43B2C13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3BAA2C9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0A7EB5F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3A17954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35C6A8C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21448D1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5DE48B4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23C1302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456091C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24C5115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37377AEB"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338,691</w:t>
            </w:r>
          </w:p>
        </w:tc>
      </w:tr>
      <w:tr w:rsidR="006B4969" w:rsidRPr="00C2587D" w14:paraId="2F14E448" w14:textId="77777777" w:rsidTr="00FF28D2">
        <w:trPr>
          <w:cantSplit/>
          <w:trHeight w:val="985"/>
        </w:trPr>
        <w:tc>
          <w:tcPr>
            <w:tcW w:w="531" w:type="dxa"/>
            <w:shd w:val="clear" w:color="auto" w:fill="auto"/>
            <w:vAlign w:val="center"/>
          </w:tcPr>
          <w:p w14:paraId="731C6703"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2</w:t>
            </w:r>
          </w:p>
        </w:tc>
        <w:tc>
          <w:tcPr>
            <w:tcW w:w="2113" w:type="dxa"/>
            <w:shd w:val="clear" w:color="auto" w:fill="auto"/>
            <w:vAlign w:val="center"/>
          </w:tcPr>
          <w:p w14:paraId="23A8CDF6"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Розвиток плавання на 2025-2027 роки</w:t>
            </w:r>
          </w:p>
        </w:tc>
        <w:tc>
          <w:tcPr>
            <w:tcW w:w="737" w:type="dxa"/>
            <w:shd w:val="clear" w:color="auto" w:fill="auto"/>
            <w:textDirection w:val="btLr"/>
            <w:vAlign w:val="center"/>
          </w:tcPr>
          <w:p w14:paraId="1DF21130"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390,089</w:t>
            </w:r>
          </w:p>
        </w:tc>
        <w:tc>
          <w:tcPr>
            <w:tcW w:w="850" w:type="dxa"/>
            <w:shd w:val="clear" w:color="auto" w:fill="FBE4D5"/>
            <w:textDirection w:val="btLr"/>
            <w:vAlign w:val="center"/>
          </w:tcPr>
          <w:p w14:paraId="6A8A287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390,089</w:t>
            </w:r>
          </w:p>
        </w:tc>
        <w:tc>
          <w:tcPr>
            <w:tcW w:w="979" w:type="dxa"/>
            <w:shd w:val="clear" w:color="auto" w:fill="auto"/>
            <w:textDirection w:val="btLr"/>
            <w:vAlign w:val="center"/>
          </w:tcPr>
          <w:p w14:paraId="513F48C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117,117</w:t>
            </w:r>
          </w:p>
        </w:tc>
        <w:tc>
          <w:tcPr>
            <w:tcW w:w="864" w:type="dxa"/>
            <w:shd w:val="clear" w:color="auto" w:fill="auto"/>
            <w:textDirection w:val="btLr"/>
            <w:vAlign w:val="center"/>
          </w:tcPr>
          <w:p w14:paraId="03D6E0B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131,906</w:t>
            </w:r>
          </w:p>
        </w:tc>
        <w:tc>
          <w:tcPr>
            <w:tcW w:w="850" w:type="dxa"/>
            <w:shd w:val="clear" w:color="auto" w:fill="auto"/>
            <w:textDirection w:val="btLr"/>
            <w:vAlign w:val="center"/>
          </w:tcPr>
          <w:p w14:paraId="6576B23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141,066</w:t>
            </w:r>
          </w:p>
        </w:tc>
        <w:tc>
          <w:tcPr>
            <w:tcW w:w="709" w:type="dxa"/>
            <w:shd w:val="clear" w:color="auto" w:fill="auto"/>
            <w:textDirection w:val="btLr"/>
            <w:vAlign w:val="center"/>
          </w:tcPr>
          <w:p w14:paraId="159F4EC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C5E0B3"/>
            <w:textDirection w:val="btLr"/>
            <w:vAlign w:val="center"/>
          </w:tcPr>
          <w:p w14:paraId="1B9F0D7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3FD4D69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63392D7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2391A9B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26296F0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1E9568A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64DD04A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0E08F5D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08CB9A7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05F16F8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1A50F6B3"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390,089</w:t>
            </w:r>
          </w:p>
        </w:tc>
      </w:tr>
      <w:tr w:rsidR="006B4969" w:rsidRPr="00C2587D" w14:paraId="104CB1C9" w14:textId="77777777" w:rsidTr="00FF28D2">
        <w:trPr>
          <w:cantSplit/>
          <w:trHeight w:val="1744"/>
        </w:trPr>
        <w:tc>
          <w:tcPr>
            <w:tcW w:w="531" w:type="dxa"/>
            <w:shd w:val="clear" w:color="auto" w:fill="auto"/>
            <w:vAlign w:val="center"/>
          </w:tcPr>
          <w:p w14:paraId="4F865AEC"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3</w:t>
            </w:r>
          </w:p>
        </w:tc>
        <w:tc>
          <w:tcPr>
            <w:tcW w:w="2113" w:type="dxa"/>
            <w:shd w:val="clear" w:color="auto" w:fill="auto"/>
            <w:vAlign w:val="center"/>
          </w:tcPr>
          <w:p w14:paraId="705AF57C"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Забезпечення житлом дітей-сиріт та дітей , позбавлених батьківського піклування, а також осіб з їх числа на 2025-2029 роки</w:t>
            </w:r>
          </w:p>
        </w:tc>
        <w:tc>
          <w:tcPr>
            <w:tcW w:w="737" w:type="dxa"/>
            <w:shd w:val="clear" w:color="auto" w:fill="auto"/>
            <w:textDirection w:val="btLr"/>
            <w:vAlign w:val="center"/>
          </w:tcPr>
          <w:p w14:paraId="6C888982"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3302,01</w:t>
            </w:r>
          </w:p>
        </w:tc>
        <w:tc>
          <w:tcPr>
            <w:tcW w:w="850" w:type="dxa"/>
            <w:shd w:val="clear" w:color="auto" w:fill="FBE4D5"/>
            <w:textDirection w:val="btLr"/>
            <w:vAlign w:val="center"/>
          </w:tcPr>
          <w:p w14:paraId="4D103CF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w:t>
            </w:r>
            <w:r w:rsidRPr="00C2587D">
              <w:rPr>
                <w:rFonts w:ascii="Times New Roman" w:eastAsia="Arial" w:hAnsi="Times New Roman"/>
                <w:sz w:val="20"/>
                <w:szCs w:val="20"/>
                <w:shd w:val="clear" w:color="auto" w:fill="FBE4D5"/>
                <w:lang w:eastAsia="en-US"/>
              </w:rPr>
              <w:t>258,59</w:t>
            </w:r>
          </w:p>
        </w:tc>
        <w:tc>
          <w:tcPr>
            <w:tcW w:w="979" w:type="dxa"/>
            <w:shd w:val="clear" w:color="auto" w:fill="auto"/>
            <w:textDirection w:val="btLr"/>
            <w:vAlign w:val="center"/>
          </w:tcPr>
          <w:p w14:paraId="030053A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716,60</w:t>
            </w:r>
          </w:p>
        </w:tc>
        <w:tc>
          <w:tcPr>
            <w:tcW w:w="864" w:type="dxa"/>
            <w:shd w:val="clear" w:color="auto" w:fill="auto"/>
            <w:textDirection w:val="btLr"/>
            <w:vAlign w:val="center"/>
          </w:tcPr>
          <w:p w14:paraId="3E96322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805,45</w:t>
            </w:r>
          </w:p>
        </w:tc>
        <w:tc>
          <w:tcPr>
            <w:tcW w:w="850" w:type="dxa"/>
            <w:shd w:val="clear" w:color="auto" w:fill="auto"/>
            <w:textDirection w:val="btLr"/>
            <w:vAlign w:val="center"/>
          </w:tcPr>
          <w:p w14:paraId="230E6E5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868,27</w:t>
            </w:r>
          </w:p>
        </w:tc>
        <w:tc>
          <w:tcPr>
            <w:tcW w:w="709" w:type="dxa"/>
            <w:shd w:val="clear" w:color="auto" w:fill="auto"/>
            <w:textDirection w:val="btLr"/>
            <w:vAlign w:val="center"/>
          </w:tcPr>
          <w:p w14:paraId="7BAADEB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868,27</w:t>
            </w:r>
          </w:p>
        </w:tc>
        <w:tc>
          <w:tcPr>
            <w:tcW w:w="709" w:type="dxa"/>
            <w:shd w:val="clear" w:color="auto" w:fill="C5E0B3"/>
            <w:textDirection w:val="btLr"/>
            <w:vAlign w:val="center"/>
          </w:tcPr>
          <w:p w14:paraId="652FACC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71056B3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77EF445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311EC24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040F3E6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57DA133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43,42</w:t>
            </w:r>
          </w:p>
        </w:tc>
        <w:tc>
          <w:tcPr>
            <w:tcW w:w="567" w:type="dxa"/>
            <w:shd w:val="clear" w:color="auto" w:fill="auto"/>
            <w:textDirection w:val="btLr"/>
            <w:vAlign w:val="center"/>
          </w:tcPr>
          <w:p w14:paraId="6420135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9,55</w:t>
            </w:r>
          </w:p>
        </w:tc>
        <w:tc>
          <w:tcPr>
            <w:tcW w:w="567" w:type="dxa"/>
            <w:shd w:val="clear" w:color="auto" w:fill="auto"/>
            <w:textDirection w:val="btLr"/>
            <w:vAlign w:val="center"/>
          </w:tcPr>
          <w:p w14:paraId="3D932C8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10,73</w:t>
            </w:r>
          </w:p>
        </w:tc>
        <w:tc>
          <w:tcPr>
            <w:tcW w:w="567" w:type="dxa"/>
            <w:shd w:val="clear" w:color="auto" w:fill="auto"/>
            <w:textDirection w:val="btLr"/>
            <w:vAlign w:val="center"/>
          </w:tcPr>
          <w:p w14:paraId="521FFFC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11,57</w:t>
            </w:r>
          </w:p>
        </w:tc>
        <w:tc>
          <w:tcPr>
            <w:tcW w:w="591" w:type="dxa"/>
            <w:shd w:val="clear" w:color="auto" w:fill="auto"/>
            <w:textDirection w:val="btLr"/>
            <w:vAlign w:val="center"/>
          </w:tcPr>
          <w:p w14:paraId="30A51D4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11,57</w:t>
            </w:r>
          </w:p>
        </w:tc>
        <w:tc>
          <w:tcPr>
            <w:tcW w:w="1139" w:type="dxa"/>
            <w:shd w:val="clear" w:color="auto" w:fill="auto"/>
            <w:textDirection w:val="btLr"/>
            <w:vAlign w:val="center"/>
          </w:tcPr>
          <w:p w14:paraId="4960593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b/>
                <w:sz w:val="20"/>
                <w:szCs w:val="20"/>
                <w:lang w:eastAsia="en-US"/>
              </w:rPr>
              <w:t>3302,01</w:t>
            </w:r>
            <w:r w:rsidRPr="00C2587D">
              <w:rPr>
                <w:rFonts w:ascii="Times New Roman" w:eastAsia="Arial" w:hAnsi="Times New Roman"/>
                <w:sz w:val="20"/>
                <w:szCs w:val="20"/>
                <w:lang w:eastAsia="en-US"/>
              </w:rPr>
              <w:t>3</w:t>
            </w:r>
          </w:p>
        </w:tc>
      </w:tr>
      <w:tr w:rsidR="006B4969" w:rsidRPr="00C2587D" w14:paraId="51F9F790" w14:textId="77777777" w:rsidTr="00A041B2">
        <w:trPr>
          <w:cantSplit/>
          <w:trHeight w:val="276"/>
        </w:trPr>
        <w:tc>
          <w:tcPr>
            <w:tcW w:w="15175" w:type="dxa"/>
            <w:gridSpan w:val="19"/>
            <w:shd w:val="clear" w:color="auto" w:fill="auto"/>
            <w:vAlign w:val="center"/>
          </w:tcPr>
          <w:p w14:paraId="694D3513"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Проєкти місцевого (регіонального) розвитку</w:t>
            </w:r>
          </w:p>
        </w:tc>
      </w:tr>
      <w:tr w:rsidR="006B4969" w:rsidRPr="00C2587D" w14:paraId="341FB94A" w14:textId="77777777" w:rsidTr="00FF28D2">
        <w:trPr>
          <w:cantSplit/>
          <w:trHeight w:val="1495"/>
        </w:trPr>
        <w:tc>
          <w:tcPr>
            <w:tcW w:w="531" w:type="dxa"/>
            <w:shd w:val="clear" w:color="auto" w:fill="auto"/>
            <w:vAlign w:val="center"/>
          </w:tcPr>
          <w:p w14:paraId="7D9B2B19"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1</w:t>
            </w:r>
          </w:p>
        </w:tc>
        <w:tc>
          <w:tcPr>
            <w:tcW w:w="2113" w:type="dxa"/>
            <w:shd w:val="clear" w:color="auto" w:fill="auto"/>
            <w:vAlign w:val="center"/>
          </w:tcPr>
          <w:p w14:paraId="44D14B7A" w14:textId="77777777" w:rsidR="006B4969" w:rsidRPr="00C2587D" w:rsidRDefault="006B4969" w:rsidP="00FF28D2">
            <w:pPr>
              <w:spacing w:before="40" w:after="40"/>
              <w:rPr>
                <w:rFonts w:ascii="Times New Roman" w:eastAsia="Arial" w:hAnsi="Times New Roman"/>
                <w:sz w:val="20"/>
                <w:szCs w:val="20"/>
                <w:lang w:eastAsia="en-US"/>
              </w:rPr>
            </w:pPr>
            <w:r w:rsidRPr="00C2587D">
              <w:rPr>
                <w:rFonts w:ascii="Times New Roman" w:hAnsi="Times New Roman"/>
                <w:sz w:val="20"/>
                <w:szCs w:val="20"/>
                <w:lang w:eastAsia="it-IT"/>
              </w:rPr>
              <w:t>Вчасне забезпечення дітей-сиріт та дітей, позбавлених батьківського піклування власним житлом.</w:t>
            </w:r>
          </w:p>
        </w:tc>
        <w:tc>
          <w:tcPr>
            <w:tcW w:w="737" w:type="dxa"/>
            <w:shd w:val="clear" w:color="auto" w:fill="auto"/>
            <w:textDirection w:val="btLr"/>
            <w:vAlign w:val="center"/>
          </w:tcPr>
          <w:p w14:paraId="2C4968A7"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3302,01</w:t>
            </w:r>
          </w:p>
        </w:tc>
        <w:tc>
          <w:tcPr>
            <w:tcW w:w="850" w:type="dxa"/>
            <w:shd w:val="clear" w:color="auto" w:fill="FBE4D5"/>
            <w:textDirection w:val="btLr"/>
            <w:vAlign w:val="center"/>
          </w:tcPr>
          <w:p w14:paraId="1740A6A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3258,59</w:t>
            </w:r>
          </w:p>
        </w:tc>
        <w:tc>
          <w:tcPr>
            <w:tcW w:w="979" w:type="dxa"/>
            <w:shd w:val="clear" w:color="auto" w:fill="auto"/>
            <w:textDirection w:val="btLr"/>
            <w:vAlign w:val="center"/>
          </w:tcPr>
          <w:p w14:paraId="2645782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716,60</w:t>
            </w:r>
          </w:p>
        </w:tc>
        <w:tc>
          <w:tcPr>
            <w:tcW w:w="864" w:type="dxa"/>
            <w:shd w:val="clear" w:color="auto" w:fill="auto"/>
            <w:textDirection w:val="btLr"/>
            <w:vAlign w:val="center"/>
          </w:tcPr>
          <w:p w14:paraId="521E7DA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805,45</w:t>
            </w:r>
          </w:p>
        </w:tc>
        <w:tc>
          <w:tcPr>
            <w:tcW w:w="850" w:type="dxa"/>
            <w:shd w:val="clear" w:color="auto" w:fill="auto"/>
            <w:textDirection w:val="btLr"/>
            <w:vAlign w:val="center"/>
          </w:tcPr>
          <w:p w14:paraId="76C8411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868,27</w:t>
            </w:r>
          </w:p>
        </w:tc>
        <w:tc>
          <w:tcPr>
            <w:tcW w:w="709" w:type="dxa"/>
            <w:shd w:val="clear" w:color="auto" w:fill="auto"/>
            <w:textDirection w:val="btLr"/>
            <w:vAlign w:val="center"/>
          </w:tcPr>
          <w:p w14:paraId="7B75269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868,27</w:t>
            </w:r>
          </w:p>
        </w:tc>
        <w:tc>
          <w:tcPr>
            <w:tcW w:w="709" w:type="dxa"/>
            <w:shd w:val="clear" w:color="auto" w:fill="C5E0B3"/>
            <w:textDirection w:val="btLr"/>
            <w:vAlign w:val="center"/>
          </w:tcPr>
          <w:p w14:paraId="5856E4D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189618E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5145EEA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02E1078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0DEAD33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04B57A3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43,42</w:t>
            </w:r>
          </w:p>
        </w:tc>
        <w:tc>
          <w:tcPr>
            <w:tcW w:w="567" w:type="dxa"/>
            <w:shd w:val="clear" w:color="auto" w:fill="auto"/>
            <w:textDirection w:val="btLr"/>
            <w:vAlign w:val="center"/>
          </w:tcPr>
          <w:p w14:paraId="411D5D6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9,55</w:t>
            </w:r>
          </w:p>
        </w:tc>
        <w:tc>
          <w:tcPr>
            <w:tcW w:w="567" w:type="dxa"/>
            <w:shd w:val="clear" w:color="auto" w:fill="auto"/>
            <w:textDirection w:val="btLr"/>
            <w:vAlign w:val="center"/>
          </w:tcPr>
          <w:p w14:paraId="1E95FE3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10,73</w:t>
            </w:r>
          </w:p>
        </w:tc>
        <w:tc>
          <w:tcPr>
            <w:tcW w:w="567" w:type="dxa"/>
            <w:shd w:val="clear" w:color="auto" w:fill="auto"/>
            <w:textDirection w:val="btLr"/>
            <w:vAlign w:val="center"/>
          </w:tcPr>
          <w:p w14:paraId="7B46086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11,57</w:t>
            </w:r>
          </w:p>
        </w:tc>
        <w:tc>
          <w:tcPr>
            <w:tcW w:w="591" w:type="dxa"/>
            <w:shd w:val="clear" w:color="auto" w:fill="auto"/>
            <w:textDirection w:val="btLr"/>
            <w:vAlign w:val="center"/>
          </w:tcPr>
          <w:p w14:paraId="48BD266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11,57</w:t>
            </w:r>
          </w:p>
        </w:tc>
        <w:tc>
          <w:tcPr>
            <w:tcW w:w="1139" w:type="dxa"/>
            <w:shd w:val="clear" w:color="auto" w:fill="auto"/>
            <w:textDirection w:val="btLr"/>
            <w:vAlign w:val="center"/>
          </w:tcPr>
          <w:p w14:paraId="1B76B58E"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3302,01</w:t>
            </w:r>
          </w:p>
        </w:tc>
      </w:tr>
      <w:tr w:rsidR="006B4969" w:rsidRPr="00C2587D" w14:paraId="6059B77B" w14:textId="77777777" w:rsidTr="00A041B2">
        <w:trPr>
          <w:cantSplit/>
          <w:trHeight w:val="341"/>
        </w:trPr>
        <w:tc>
          <w:tcPr>
            <w:tcW w:w="15175" w:type="dxa"/>
            <w:gridSpan w:val="19"/>
            <w:shd w:val="clear" w:color="auto" w:fill="auto"/>
            <w:vAlign w:val="center"/>
          </w:tcPr>
          <w:p w14:paraId="40142845"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Управління культури та туризму міської ради</w:t>
            </w:r>
          </w:p>
        </w:tc>
      </w:tr>
      <w:tr w:rsidR="006B4969" w:rsidRPr="00C2587D" w14:paraId="07A8271C" w14:textId="77777777" w:rsidTr="00A041B2">
        <w:trPr>
          <w:cantSplit/>
          <w:trHeight w:val="358"/>
        </w:trPr>
        <w:tc>
          <w:tcPr>
            <w:tcW w:w="15175" w:type="dxa"/>
            <w:gridSpan w:val="19"/>
            <w:shd w:val="clear" w:color="auto" w:fill="auto"/>
            <w:vAlign w:val="center"/>
          </w:tcPr>
          <w:p w14:paraId="6CE0D068"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Програми місцевого розвитку ( в тому числі, які реалізуються через проєкти)</w:t>
            </w:r>
          </w:p>
        </w:tc>
      </w:tr>
      <w:tr w:rsidR="006B4969" w:rsidRPr="00C2587D" w14:paraId="0B1B32FF" w14:textId="77777777" w:rsidTr="00FF28D2">
        <w:trPr>
          <w:cantSplit/>
          <w:trHeight w:val="1134"/>
        </w:trPr>
        <w:tc>
          <w:tcPr>
            <w:tcW w:w="531" w:type="dxa"/>
            <w:shd w:val="clear" w:color="auto" w:fill="auto"/>
            <w:vAlign w:val="center"/>
          </w:tcPr>
          <w:p w14:paraId="58F1246D"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1.</w:t>
            </w:r>
          </w:p>
        </w:tc>
        <w:tc>
          <w:tcPr>
            <w:tcW w:w="2113" w:type="dxa"/>
            <w:shd w:val="clear" w:color="auto" w:fill="auto"/>
            <w:vAlign w:val="center"/>
          </w:tcPr>
          <w:p w14:paraId="360F5FD6" w14:textId="77777777" w:rsidR="006B4969" w:rsidRPr="00C2587D" w:rsidRDefault="006B4969" w:rsidP="00FF28D2">
            <w:pPr>
              <w:rPr>
                <w:rFonts w:ascii="Times New Roman" w:eastAsia="Arial" w:hAnsi="Times New Roman"/>
                <w:sz w:val="20"/>
                <w:szCs w:val="20"/>
                <w:lang w:eastAsia="en-US"/>
              </w:rPr>
            </w:pPr>
            <w:r w:rsidRPr="00C2587D">
              <w:rPr>
                <w:rFonts w:ascii="Times New Roman" w:hAnsi="Times New Roman"/>
                <w:sz w:val="20"/>
                <w:szCs w:val="20"/>
              </w:rPr>
              <w:t xml:space="preserve">Програма розвитку культури і туризму у  Жмеринській міській  територіальній громаді  на 2025-2027 роки </w:t>
            </w:r>
          </w:p>
        </w:tc>
        <w:tc>
          <w:tcPr>
            <w:tcW w:w="737" w:type="dxa"/>
            <w:shd w:val="clear" w:color="auto" w:fill="auto"/>
            <w:textDirection w:val="btLr"/>
            <w:vAlign w:val="center"/>
          </w:tcPr>
          <w:p w14:paraId="06DC6059"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5557,5</w:t>
            </w:r>
          </w:p>
        </w:tc>
        <w:tc>
          <w:tcPr>
            <w:tcW w:w="850" w:type="dxa"/>
            <w:shd w:val="clear" w:color="auto" w:fill="FBE4D5"/>
            <w:textDirection w:val="btLr"/>
            <w:vAlign w:val="center"/>
          </w:tcPr>
          <w:p w14:paraId="4F68F45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5426,5</w:t>
            </w:r>
          </w:p>
        </w:tc>
        <w:tc>
          <w:tcPr>
            <w:tcW w:w="979" w:type="dxa"/>
            <w:shd w:val="clear" w:color="auto" w:fill="auto"/>
            <w:textDirection w:val="btLr"/>
            <w:vAlign w:val="center"/>
          </w:tcPr>
          <w:p w14:paraId="0873C9A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1726,2</w:t>
            </w:r>
          </w:p>
        </w:tc>
        <w:tc>
          <w:tcPr>
            <w:tcW w:w="864" w:type="dxa"/>
            <w:shd w:val="clear" w:color="auto" w:fill="auto"/>
            <w:textDirection w:val="btLr"/>
            <w:vAlign w:val="center"/>
          </w:tcPr>
          <w:p w14:paraId="5D0B45F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1815,5</w:t>
            </w:r>
          </w:p>
        </w:tc>
        <w:tc>
          <w:tcPr>
            <w:tcW w:w="850" w:type="dxa"/>
            <w:shd w:val="clear" w:color="auto" w:fill="auto"/>
            <w:textDirection w:val="btLr"/>
            <w:vAlign w:val="center"/>
          </w:tcPr>
          <w:p w14:paraId="1488B13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1884,8</w:t>
            </w:r>
          </w:p>
        </w:tc>
        <w:tc>
          <w:tcPr>
            <w:tcW w:w="709" w:type="dxa"/>
            <w:shd w:val="clear" w:color="auto" w:fill="auto"/>
            <w:textDirection w:val="btLr"/>
            <w:vAlign w:val="center"/>
          </w:tcPr>
          <w:p w14:paraId="5B0418B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shd w:val="clear" w:color="auto" w:fill="C5E0B3"/>
            <w:textDirection w:val="btLr"/>
            <w:vAlign w:val="center"/>
          </w:tcPr>
          <w:p w14:paraId="4735477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shd w:val="clear" w:color="auto" w:fill="auto"/>
            <w:textDirection w:val="btLr"/>
            <w:vAlign w:val="center"/>
          </w:tcPr>
          <w:p w14:paraId="6202E33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8" w:type="dxa"/>
            <w:shd w:val="clear" w:color="auto" w:fill="auto"/>
            <w:textDirection w:val="btLr"/>
            <w:vAlign w:val="center"/>
          </w:tcPr>
          <w:p w14:paraId="23D47A8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shd w:val="clear" w:color="auto" w:fill="auto"/>
            <w:textDirection w:val="btLr"/>
            <w:vAlign w:val="center"/>
          </w:tcPr>
          <w:p w14:paraId="296E091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696" w:type="dxa"/>
            <w:shd w:val="clear" w:color="auto" w:fill="auto"/>
            <w:textDirection w:val="btLr"/>
            <w:vAlign w:val="center"/>
          </w:tcPr>
          <w:p w14:paraId="7D6005C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80" w:type="dxa"/>
            <w:shd w:val="clear" w:color="auto" w:fill="D9E2F3"/>
            <w:textDirection w:val="btLr"/>
            <w:vAlign w:val="center"/>
          </w:tcPr>
          <w:p w14:paraId="67CAB39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131,0</w:t>
            </w:r>
          </w:p>
        </w:tc>
        <w:tc>
          <w:tcPr>
            <w:tcW w:w="567" w:type="dxa"/>
            <w:shd w:val="clear" w:color="auto" w:fill="auto"/>
            <w:textDirection w:val="btLr"/>
            <w:vAlign w:val="center"/>
          </w:tcPr>
          <w:p w14:paraId="6659152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85,0</w:t>
            </w:r>
          </w:p>
        </w:tc>
        <w:tc>
          <w:tcPr>
            <w:tcW w:w="567" w:type="dxa"/>
            <w:shd w:val="clear" w:color="auto" w:fill="auto"/>
            <w:textDirection w:val="btLr"/>
            <w:vAlign w:val="center"/>
          </w:tcPr>
          <w:p w14:paraId="028D5CD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33,0</w:t>
            </w:r>
          </w:p>
        </w:tc>
        <w:tc>
          <w:tcPr>
            <w:tcW w:w="567" w:type="dxa"/>
            <w:shd w:val="clear" w:color="auto" w:fill="auto"/>
            <w:textDirection w:val="btLr"/>
            <w:vAlign w:val="center"/>
          </w:tcPr>
          <w:p w14:paraId="042ED47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13,0</w:t>
            </w:r>
          </w:p>
        </w:tc>
        <w:tc>
          <w:tcPr>
            <w:tcW w:w="591" w:type="dxa"/>
            <w:shd w:val="clear" w:color="auto" w:fill="auto"/>
            <w:textDirection w:val="btLr"/>
            <w:vAlign w:val="center"/>
          </w:tcPr>
          <w:p w14:paraId="1399632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1139" w:type="dxa"/>
            <w:shd w:val="clear" w:color="auto" w:fill="auto"/>
            <w:textDirection w:val="btLr"/>
            <w:vAlign w:val="center"/>
          </w:tcPr>
          <w:p w14:paraId="7E7C8C31"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5557,5</w:t>
            </w:r>
          </w:p>
        </w:tc>
      </w:tr>
      <w:tr w:rsidR="006B4969" w:rsidRPr="00C2587D" w14:paraId="697E8643" w14:textId="77777777" w:rsidTr="00FF28D2">
        <w:trPr>
          <w:cantSplit/>
          <w:trHeight w:val="1134"/>
        </w:trPr>
        <w:tc>
          <w:tcPr>
            <w:tcW w:w="531" w:type="dxa"/>
            <w:shd w:val="clear" w:color="auto" w:fill="auto"/>
            <w:vAlign w:val="center"/>
          </w:tcPr>
          <w:p w14:paraId="2D800DD2"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lastRenderedPageBreak/>
              <w:t>2.</w:t>
            </w:r>
          </w:p>
        </w:tc>
        <w:tc>
          <w:tcPr>
            <w:tcW w:w="2113" w:type="dxa"/>
            <w:shd w:val="clear" w:color="auto" w:fill="auto"/>
            <w:vAlign w:val="center"/>
          </w:tcPr>
          <w:p w14:paraId="249EF913" w14:textId="7777777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 xml:space="preserve">Проєкт </w:t>
            </w:r>
            <w:r w:rsidRPr="00C2587D">
              <w:rPr>
                <w:rFonts w:ascii="Times New Roman" w:hAnsi="Times New Roman"/>
                <w:sz w:val="20"/>
                <w:szCs w:val="20"/>
              </w:rPr>
              <w:t xml:space="preserve">Програми розвитку культури і туризму у  Жмеринській міській  територіальній громаді  на 2028-2030 роки </w:t>
            </w:r>
          </w:p>
        </w:tc>
        <w:tc>
          <w:tcPr>
            <w:tcW w:w="737" w:type="dxa"/>
            <w:shd w:val="clear" w:color="auto" w:fill="auto"/>
            <w:textDirection w:val="btLr"/>
            <w:vAlign w:val="center"/>
          </w:tcPr>
          <w:p w14:paraId="01C601D5"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2015,0</w:t>
            </w:r>
          </w:p>
        </w:tc>
        <w:tc>
          <w:tcPr>
            <w:tcW w:w="850" w:type="dxa"/>
            <w:shd w:val="clear" w:color="auto" w:fill="FBE4D5"/>
            <w:textDirection w:val="btLr"/>
            <w:vAlign w:val="center"/>
          </w:tcPr>
          <w:p w14:paraId="2440F72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2000,0</w:t>
            </w:r>
          </w:p>
        </w:tc>
        <w:tc>
          <w:tcPr>
            <w:tcW w:w="979" w:type="dxa"/>
            <w:shd w:val="clear" w:color="auto" w:fill="auto"/>
            <w:textDirection w:val="btLr"/>
            <w:vAlign w:val="center"/>
          </w:tcPr>
          <w:p w14:paraId="6B55BA6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64" w:type="dxa"/>
            <w:shd w:val="clear" w:color="auto" w:fill="auto"/>
            <w:textDirection w:val="btLr"/>
            <w:vAlign w:val="center"/>
          </w:tcPr>
          <w:p w14:paraId="52DC02B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50" w:type="dxa"/>
            <w:shd w:val="clear" w:color="auto" w:fill="auto"/>
            <w:textDirection w:val="btLr"/>
            <w:vAlign w:val="center"/>
          </w:tcPr>
          <w:p w14:paraId="5D60FA7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6C75E58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2000,0</w:t>
            </w:r>
          </w:p>
        </w:tc>
        <w:tc>
          <w:tcPr>
            <w:tcW w:w="709" w:type="dxa"/>
            <w:shd w:val="clear" w:color="auto" w:fill="C5E0B3"/>
            <w:textDirection w:val="btLr"/>
            <w:vAlign w:val="center"/>
          </w:tcPr>
          <w:p w14:paraId="01F413C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0BA7DD7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41E7D0B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753F971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239490B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157FC4D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15,0</w:t>
            </w:r>
          </w:p>
        </w:tc>
        <w:tc>
          <w:tcPr>
            <w:tcW w:w="567" w:type="dxa"/>
            <w:shd w:val="clear" w:color="auto" w:fill="auto"/>
            <w:textDirection w:val="btLr"/>
            <w:vAlign w:val="center"/>
          </w:tcPr>
          <w:p w14:paraId="61AE830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7EE696F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shd w:val="clear" w:color="auto" w:fill="auto"/>
            <w:textDirection w:val="btLr"/>
            <w:vAlign w:val="center"/>
          </w:tcPr>
          <w:p w14:paraId="6F3A444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shd w:val="clear" w:color="auto" w:fill="auto"/>
            <w:textDirection w:val="btLr"/>
            <w:vAlign w:val="center"/>
          </w:tcPr>
          <w:p w14:paraId="2959C9E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15,0</w:t>
            </w:r>
          </w:p>
        </w:tc>
        <w:tc>
          <w:tcPr>
            <w:tcW w:w="1139" w:type="dxa"/>
            <w:shd w:val="clear" w:color="auto" w:fill="auto"/>
            <w:textDirection w:val="btLr"/>
            <w:vAlign w:val="center"/>
          </w:tcPr>
          <w:p w14:paraId="74A49895"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2015,0</w:t>
            </w:r>
          </w:p>
        </w:tc>
      </w:tr>
      <w:tr w:rsidR="006B4969" w:rsidRPr="00C2587D" w14:paraId="0FF4BB37" w14:textId="77777777" w:rsidTr="00A041B2">
        <w:trPr>
          <w:cantSplit/>
          <w:trHeight w:val="365"/>
        </w:trPr>
        <w:tc>
          <w:tcPr>
            <w:tcW w:w="15175" w:type="dxa"/>
            <w:gridSpan w:val="19"/>
            <w:shd w:val="clear" w:color="auto" w:fill="auto"/>
            <w:vAlign w:val="center"/>
          </w:tcPr>
          <w:p w14:paraId="35F1952D"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Проєкти місцевого (регіонального) розвитку</w:t>
            </w:r>
          </w:p>
        </w:tc>
      </w:tr>
      <w:tr w:rsidR="006B4969" w:rsidRPr="00C2587D" w14:paraId="67FFBFA7" w14:textId="77777777" w:rsidTr="00FF28D2">
        <w:trPr>
          <w:cantSplit/>
          <w:trHeight w:val="1134"/>
        </w:trPr>
        <w:tc>
          <w:tcPr>
            <w:tcW w:w="531" w:type="dxa"/>
            <w:shd w:val="clear" w:color="auto" w:fill="auto"/>
            <w:vAlign w:val="center"/>
          </w:tcPr>
          <w:p w14:paraId="0BF5AEDE" w14:textId="2F34BB70"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1</w:t>
            </w:r>
          </w:p>
        </w:tc>
        <w:tc>
          <w:tcPr>
            <w:tcW w:w="2113" w:type="dxa"/>
            <w:shd w:val="clear" w:color="auto" w:fill="auto"/>
            <w:vAlign w:val="center"/>
          </w:tcPr>
          <w:p w14:paraId="6B422282" w14:textId="77777777" w:rsidR="006B4969" w:rsidRPr="00C2587D" w:rsidRDefault="006B4969" w:rsidP="00FF28D2">
            <w:pPr>
              <w:rPr>
                <w:rFonts w:ascii="Times New Roman" w:eastAsia="Arial" w:hAnsi="Times New Roman"/>
                <w:sz w:val="20"/>
                <w:szCs w:val="20"/>
                <w:lang w:eastAsia="en-US"/>
              </w:rPr>
            </w:pPr>
            <w:r w:rsidRPr="00C2587D">
              <w:rPr>
                <w:rFonts w:ascii="Times New Roman" w:hAnsi="Times New Roman"/>
                <w:sz w:val="20"/>
                <w:szCs w:val="20"/>
                <w:lang w:eastAsia="it-IT"/>
              </w:rPr>
              <w:t xml:space="preserve">«В ногу з часом»: тепло- модернізація Жмеринської дитячої музичної школи </w:t>
            </w:r>
            <w:r w:rsidRPr="00C2587D">
              <w:rPr>
                <w:rFonts w:ascii="Times New Roman" w:eastAsia="Arial" w:hAnsi="Times New Roman"/>
                <w:w w:val="105"/>
                <w:sz w:val="20"/>
                <w:szCs w:val="20"/>
                <w:lang w:eastAsia="en-US"/>
              </w:rPr>
              <w:t>реалізація</w:t>
            </w:r>
            <w:r w:rsidRPr="00C2587D">
              <w:rPr>
                <w:rFonts w:ascii="Times New Roman" w:eastAsia="Arial" w:hAnsi="Times New Roman"/>
                <w:spacing w:val="57"/>
                <w:w w:val="105"/>
                <w:sz w:val="20"/>
                <w:szCs w:val="20"/>
                <w:lang w:eastAsia="en-US"/>
              </w:rPr>
              <w:t xml:space="preserve"> </w:t>
            </w:r>
            <w:r w:rsidRPr="00C2587D">
              <w:rPr>
                <w:rFonts w:ascii="Times New Roman" w:eastAsia="Arial" w:hAnsi="Times New Roman"/>
                <w:spacing w:val="-2"/>
                <w:w w:val="105"/>
                <w:sz w:val="20"/>
                <w:szCs w:val="20"/>
                <w:lang w:eastAsia="en-US"/>
              </w:rPr>
              <w:t>триває</w:t>
            </w:r>
          </w:p>
        </w:tc>
        <w:tc>
          <w:tcPr>
            <w:tcW w:w="737" w:type="dxa"/>
            <w:shd w:val="clear" w:color="auto" w:fill="auto"/>
            <w:textDirection w:val="btLr"/>
            <w:vAlign w:val="center"/>
          </w:tcPr>
          <w:p w14:paraId="6332C757" w14:textId="5B073BEB" w:rsidR="006B4969" w:rsidRPr="00C2587D" w:rsidRDefault="00D42210"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50000,</w:t>
            </w:r>
            <w:r w:rsidR="006B4969" w:rsidRPr="00C2587D">
              <w:rPr>
                <w:rFonts w:ascii="Times New Roman" w:eastAsia="Arial" w:hAnsi="Times New Roman"/>
                <w:b/>
                <w:sz w:val="20"/>
                <w:szCs w:val="20"/>
                <w:lang w:eastAsia="en-US"/>
              </w:rPr>
              <w:t>0</w:t>
            </w:r>
          </w:p>
        </w:tc>
        <w:tc>
          <w:tcPr>
            <w:tcW w:w="850" w:type="dxa"/>
            <w:shd w:val="clear" w:color="auto" w:fill="FBE4D5"/>
            <w:textDirection w:val="btLr"/>
            <w:vAlign w:val="center"/>
          </w:tcPr>
          <w:p w14:paraId="2E164706" w14:textId="37527133"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50</w:t>
            </w:r>
            <w:r w:rsidR="00D42210" w:rsidRPr="00C2587D">
              <w:rPr>
                <w:rFonts w:ascii="Times New Roman" w:eastAsia="Arial" w:hAnsi="Times New Roman"/>
                <w:sz w:val="20"/>
                <w:szCs w:val="20"/>
                <w:lang w:eastAsia="en-US"/>
              </w:rPr>
              <w:t>000</w:t>
            </w:r>
            <w:r w:rsidRPr="00C2587D">
              <w:rPr>
                <w:rFonts w:ascii="Times New Roman" w:eastAsia="Arial" w:hAnsi="Times New Roman"/>
                <w:sz w:val="20"/>
                <w:szCs w:val="20"/>
                <w:lang w:eastAsia="en-US"/>
              </w:rPr>
              <w:t>,0</w:t>
            </w:r>
          </w:p>
        </w:tc>
        <w:tc>
          <w:tcPr>
            <w:tcW w:w="979" w:type="dxa"/>
            <w:shd w:val="clear" w:color="auto" w:fill="auto"/>
            <w:textDirection w:val="btLr"/>
            <w:vAlign w:val="center"/>
          </w:tcPr>
          <w:p w14:paraId="27AF72A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864" w:type="dxa"/>
            <w:shd w:val="clear" w:color="auto" w:fill="auto"/>
            <w:textDirection w:val="btLr"/>
            <w:vAlign w:val="center"/>
          </w:tcPr>
          <w:p w14:paraId="10CEDA86" w14:textId="321A5598" w:rsidR="006B4969" w:rsidRPr="00C2587D" w:rsidRDefault="006B4969" w:rsidP="00D42210">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50</w:t>
            </w:r>
            <w:r w:rsidR="00D42210" w:rsidRPr="00C2587D">
              <w:rPr>
                <w:rFonts w:ascii="Times New Roman" w:eastAsia="Arial" w:hAnsi="Times New Roman"/>
                <w:sz w:val="20"/>
                <w:szCs w:val="20"/>
                <w:lang w:eastAsia="en-US"/>
              </w:rPr>
              <w:t>00</w:t>
            </w:r>
            <w:r w:rsidRPr="00C2587D">
              <w:rPr>
                <w:rFonts w:ascii="Times New Roman" w:eastAsia="Arial" w:hAnsi="Times New Roman"/>
                <w:sz w:val="20"/>
                <w:szCs w:val="20"/>
                <w:lang w:eastAsia="en-US"/>
              </w:rPr>
              <w:t>0</w:t>
            </w:r>
            <w:r w:rsidR="00D42210" w:rsidRPr="00C2587D">
              <w:rPr>
                <w:rFonts w:ascii="Times New Roman" w:eastAsia="Arial" w:hAnsi="Times New Roman"/>
                <w:sz w:val="20"/>
                <w:szCs w:val="20"/>
                <w:lang w:eastAsia="en-US"/>
              </w:rPr>
              <w:t>,0</w:t>
            </w:r>
          </w:p>
        </w:tc>
        <w:tc>
          <w:tcPr>
            <w:tcW w:w="850" w:type="dxa"/>
            <w:shd w:val="clear" w:color="auto" w:fill="auto"/>
            <w:textDirection w:val="btLr"/>
            <w:vAlign w:val="center"/>
          </w:tcPr>
          <w:p w14:paraId="6AA1F65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shd w:val="clear" w:color="auto" w:fill="auto"/>
            <w:textDirection w:val="btLr"/>
            <w:vAlign w:val="center"/>
          </w:tcPr>
          <w:p w14:paraId="627408C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shd w:val="clear" w:color="auto" w:fill="C5E0B3"/>
            <w:textDirection w:val="btLr"/>
            <w:vAlign w:val="center"/>
          </w:tcPr>
          <w:p w14:paraId="188265D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shd w:val="clear" w:color="auto" w:fill="auto"/>
            <w:textDirection w:val="btLr"/>
            <w:vAlign w:val="center"/>
          </w:tcPr>
          <w:p w14:paraId="5D8A640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8" w:type="dxa"/>
            <w:shd w:val="clear" w:color="auto" w:fill="auto"/>
            <w:textDirection w:val="btLr"/>
            <w:vAlign w:val="center"/>
          </w:tcPr>
          <w:p w14:paraId="212CB98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shd w:val="clear" w:color="auto" w:fill="auto"/>
            <w:textDirection w:val="btLr"/>
            <w:vAlign w:val="center"/>
          </w:tcPr>
          <w:p w14:paraId="4BD697C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696" w:type="dxa"/>
            <w:shd w:val="clear" w:color="auto" w:fill="auto"/>
            <w:textDirection w:val="btLr"/>
            <w:vAlign w:val="center"/>
          </w:tcPr>
          <w:p w14:paraId="028AAE4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80" w:type="dxa"/>
            <w:shd w:val="clear" w:color="auto" w:fill="D9E2F3"/>
            <w:textDirection w:val="btLr"/>
            <w:vAlign w:val="center"/>
          </w:tcPr>
          <w:p w14:paraId="1D4C979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67" w:type="dxa"/>
            <w:shd w:val="clear" w:color="auto" w:fill="auto"/>
            <w:textDirection w:val="btLr"/>
            <w:vAlign w:val="center"/>
          </w:tcPr>
          <w:p w14:paraId="1E610FE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67" w:type="dxa"/>
            <w:shd w:val="clear" w:color="auto" w:fill="auto"/>
            <w:textDirection w:val="btLr"/>
            <w:vAlign w:val="center"/>
          </w:tcPr>
          <w:p w14:paraId="0CAB94F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67" w:type="dxa"/>
            <w:shd w:val="clear" w:color="auto" w:fill="auto"/>
            <w:textDirection w:val="btLr"/>
            <w:vAlign w:val="center"/>
          </w:tcPr>
          <w:p w14:paraId="2D7E9A3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91" w:type="dxa"/>
            <w:shd w:val="clear" w:color="auto" w:fill="auto"/>
            <w:textDirection w:val="btLr"/>
            <w:vAlign w:val="center"/>
          </w:tcPr>
          <w:p w14:paraId="6CEF7C6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1139" w:type="dxa"/>
            <w:shd w:val="clear" w:color="auto" w:fill="auto"/>
            <w:textDirection w:val="btLr"/>
            <w:vAlign w:val="center"/>
          </w:tcPr>
          <w:p w14:paraId="3A83A939" w14:textId="751C08F4"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50</w:t>
            </w:r>
            <w:r w:rsidR="00D42210" w:rsidRPr="00C2587D">
              <w:rPr>
                <w:rFonts w:ascii="Times New Roman" w:eastAsia="Arial" w:hAnsi="Times New Roman"/>
                <w:b/>
                <w:sz w:val="20"/>
                <w:szCs w:val="20"/>
                <w:lang w:eastAsia="en-US"/>
              </w:rPr>
              <w:t>000</w:t>
            </w:r>
            <w:r w:rsidRPr="00C2587D">
              <w:rPr>
                <w:rFonts w:ascii="Times New Roman" w:eastAsia="Arial" w:hAnsi="Times New Roman"/>
                <w:b/>
                <w:sz w:val="20"/>
                <w:szCs w:val="20"/>
                <w:lang w:eastAsia="en-US"/>
              </w:rPr>
              <w:t>,0</w:t>
            </w:r>
          </w:p>
        </w:tc>
      </w:tr>
      <w:tr w:rsidR="006B4969" w:rsidRPr="00C2587D" w14:paraId="6492F794" w14:textId="77777777" w:rsidTr="00FF28D2">
        <w:trPr>
          <w:cantSplit/>
          <w:trHeight w:val="926"/>
        </w:trPr>
        <w:tc>
          <w:tcPr>
            <w:tcW w:w="531" w:type="dxa"/>
            <w:shd w:val="clear" w:color="auto" w:fill="auto"/>
            <w:vAlign w:val="center"/>
          </w:tcPr>
          <w:p w14:paraId="5968629A" w14:textId="5AEE81AD"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2</w:t>
            </w:r>
          </w:p>
        </w:tc>
        <w:tc>
          <w:tcPr>
            <w:tcW w:w="2113" w:type="dxa"/>
            <w:shd w:val="clear" w:color="auto" w:fill="auto"/>
            <w:vAlign w:val="center"/>
          </w:tcPr>
          <w:p w14:paraId="149B8E3B" w14:textId="77777777" w:rsidR="006B4969" w:rsidRPr="00C2587D" w:rsidRDefault="006B4969" w:rsidP="00FF28D2">
            <w:pPr>
              <w:rPr>
                <w:rFonts w:ascii="Times New Roman" w:eastAsia="Arial" w:hAnsi="Times New Roman"/>
                <w:sz w:val="20"/>
                <w:szCs w:val="20"/>
                <w:lang w:eastAsia="en-US"/>
              </w:rPr>
            </w:pPr>
            <w:r w:rsidRPr="00C2587D">
              <w:rPr>
                <w:rFonts w:ascii="Times New Roman" w:hAnsi="Times New Roman"/>
                <w:sz w:val="20"/>
                <w:szCs w:val="20"/>
                <w:lang w:eastAsia="it-IT"/>
              </w:rPr>
              <w:t xml:space="preserve">«Сучасний клуб — сучасна громада» </w:t>
            </w:r>
            <w:r w:rsidRPr="00C2587D">
              <w:rPr>
                <w:rFonts w:ascii="Times New Roman" w:eastAsia="Arial" w:hAnsi="Times New Roman"/>
                <w:w w:val="105"/>
                <w:sz w:val="20"/>
                <w:szCs w:val="20"/>
                <w:lang w:eastAsia="en-US"/>
              </w:rPr>
              <w:t>реалізація</w:t>
            </w:r>
            <w:r w:rsidRPr="00C2587D">
              <w:rPr>
                <w:rFonts w:ascii="Times New Roman" w:eastAsia="Arial" w:hAnsi="Times New Roman"/>
                <w:spacing w:val="57"/>
                <w:w w:val="105"/>
                <w:sz w:val="20"/>
                <w:szCs w:val="20"/>
                <w:lang w:eastAsia="en-US"/>
              </w:rPr>
              <w:t xml:space="preserve"> </w:t>
            </w:r>
            <w:r w:rsidRPr="00C2587D">
              <w:rPr>
                <w:rFonts w:ascii="Times New Roman" w:eastAsia="Arial" w:hAnsi="Times New Roman"/>
                <w:spacing w:val="-2"/>
                <w:w w:val="105"/>
                <w:sz w:val="20"/>
                <w:szCs w:val="20"/>
                <w:lang w:eastAsia="en-US"/>
              </w:rPr>
              <w:t>триває</w:t>
            </w:r>
          </w:p>
        </w:tc>
        <w:tc>
          <w:tcPr>
            <w:tcW w:w="737" w:type="dxa"/>
            <w:shd w:val="clear" w:color="auto" w:fill="auto"/>
            <w:textDirection w:val="btLr"/>
            <w:vAlign w:val="center"/>
          </w:tcPr>
          <w:p w14:paraId="2EAC3092"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41300,0</w:t>
            </w:r>
          </w:p>
        </w:tc>
        <w:tc>
          <w:tcPr>
            <w:tcW w:w="850" w:type="dxa"/>
            <w:shd w:val="clear" w:color="auto" w:fill="FBE4D5"/>
            <w:textDirection w:val="btLr"/>
            <w:vAlign w:val="center"/>
          </w:tcPr>
          <w:p w14:paraId="1ED0214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41300,0</w:t>
            </w:r>
          </w:p>
        </w:tc>
        <w:tc>
          <w:tcPr>
            <w:tcW w:w="979" w:type="dxa"/>
            <w:shd w:val="clear" w:color="auto" w:fill="auto"/>
            <w:textDirection w:val="btLr"/>
            <w:vAlign w:val="center"/>
          </w:tcPr>
          <w:p w14:paraId="3199DBF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40,0</w:t>
            </w:r>
          </w:p>
        </w:tc>
        <w:tc>
          <w:tcPr>
            <w:tcW w:w="864" w:type="dxa"/>
            <w:shd w:val="clear" w:color="auto" w:fill="auto"/>
            <w:textDirection w:val="btLr"/>
            <w:vAlign w:val="center"/>
          </w:tcPr>
          <w:p w14:paraId="7698628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260,0</w:t>
            </w:r>
          </w:p>
        </w:tc>
        <w:tc>
          <w:tcPr>
            <w:tcW w:w="850" w:type="dxa"/>
            <w:shd w:val="clear" w:color="auto" w:fill="auto"/>
            <w:textDirection w:val="btLr"/>
            <w:vAlign w:val="center"/>
          </w:tcPr>
          <w:p w14:paraId="4F08C00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40000,0</w:t>
            </w:r>
          </w:p>
        </w:tc>
        <w:tc>
          <w:tcPr>
            <w:tcW w:w="709" w:type="dxa"/>
            <w:shd w:val="clear" w:color="auto" w:fill="auto"/>
            <w:textDirection w:val="btLr"/>
            <w:vAlign w:val="center"/>
          </w:tcPr>
          <w:p w14:paraId="1DBC282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1000,0</w:t>
            </w:r>
          </w:p>
        </w:tc>
        <w:tc>
          <w:tcPr>
            <w:tcW w:w="709" w:type="dxa"/>
            <w:shd w:val="clear" w:color="auto" w:fill="C5E0B3"/>
            <w:textDirection w:val="btLr"/>
            <w:vAlign w:val="center"/>
          </w:tcPr>
          <w:p w14:paraId="565D6F4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shd w:val="clear" w:color="auto" w:fill="auto"/>
            <w:textDirection w:val="btLr"/>
            <w:vAlign w:val="center"/>
          </w:tcPr>
          <w:p w14:paraId="5982F47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8" w:type="dxa"/>
            <w:shd w:val="clear" w:color="auto" w:fill="auto"/>
            <w:textDirection w:val="btLr"/>
            <w:vAlign w:val="center"/>
          </w:tcPr>
          <w:p w14:paraId="0FE8AAB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shd w:val="clear" w:color="auto" w:fill="auto"/>
            <w:textDirection w:val="btLr"/>
            <w:vAlign w:val="center"/>
          </w:tcPr>
          <w:p w14:paraId="6BE9ADC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696" w:type="dxa"/>
            <w:shd w:val="clear" w:color="auto" w:fill="auto"/>
            <w:textDirection w:val="btLr"/>
            <w:vAlign w:val="center"/>
          </w:tcPr>
          <w:p w14:paraId="7EBD9FA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80" w:type="dxa"/>
            <w:shd w:val="clear" w:color="auto" w:fill="D9E2F3"/>
            <w:textDirection w:val="btLr"/>
            <w:vAlign w:val="center"/>
          </w:tcPr>
          <w:p w14:paraId="4BA3F37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67" w:type="dxa"/>
            <w:shd w:val="clear" w:color="auto" w:fill="auto"/>
            <w:textDirection w:val="btLr"/>
            <w:vAlign w:val="center"/>
          </w:tcPr>
          <w:p w14:paraId="6BC0C01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67" w:type="dxa"/>
            <w:shd w:val="clear" w:color="auto" w:fill="auto"/>
            <w:textDirection w:val="btLr"/>
            <w:vAlign w:val="center"/>
          </w:tcPr>
          <w:p w14:paraId="5C95858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67" w:type="dxa"/>
            <w:shd w:val="clear" w:color="auto" w:fill="auto"/>
            <w:textDirection w:val="btLr"/>
            <w:vAlign w:val="center"/>
          </w:tcPr>
          <w:p w14:paraId="6F31346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91" w:type="dxa"/>
            <w:shd w:val="clear" w:color="auto" w:fill="auto"/>
            <w:textDirection w:val="btLr"/>
            <w:vAlign w:val="center"/>
          </w:tcPr>
          <w:p w14:paraId="4DB37C5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1139" w:type="dxa"/>
            <w:shd w:val="clear" w:color="auto" w:fill="auto"/>
            <w:textDirection w:val="btLr"/>
            <w:vAlign w:val="center"/>
          </w:tcPr>
          <w:p w14:paraId="79B66022"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41300,0</w:t>
            </w:r>
          </w:p>
        </w:tc>
      </w:tr>
      <w:tr w:rsidR="006B4969" w:rsidRPr="00C2587D" w14:paraId="67D1BE29" w14:textId="77777777" w:rsidTr="00FF28D2">
        <w:trPr>
          <w:cantSplit/>
          <w:trHeight w:val="1134"/>
        </w:trPr>
        <w:tc>
          <w:tcPr>
            <w:tcW w:w="531" w:type="dxa"/>
            <w:shd w:val="clear" w:color="auto" w:fill="auto"/>
            <w:vAlign w:val="center"/>
          </w:tcPr>
          <w:p w14:paraId="7530D316" w14:textId="742CBC94"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3</w:t>
            </w:r>
          </w:p>
        </w:tc>
        <w:tc>
          <w:tcPr>
            <w:tcW w:w="2113" w:type="dxa"/>
            <w:shd w:val="clear" w:color="auto" w:fill="auto"/>
            <w:vAlign w:val="center"/>
          </w:tcPr>
          <w:p w14:paraId="6D1EE987" w14:textId="77777777" w:rsidR="006B4969" w:rsidRPr="00C2587D" w:rsidRDefault="006B4969" w:rsidP="00FF28D2">
            <w:pPr>
              <w:rPr>
                <w:rFonts w:ascii="Times New Roman" w:eastAsia="Arial" w:hAnsi="Times New Roman"/>
                <w:sz w:val="20"/>
                <w:szCs w:val="20"/>
                <w:lang w:eastAsia="en-US"/>
              </w:rPr>
            </w:pPr>
            <w:r w:rsidRPr="00C2587D">
              <w:rPr>
                <w:rFonts w:ascii="Times New Roman" w:hAnsi="Times New Roman"/>
                <w:sz w:val="20"/>
                <w:szCs w:val="20"/>
                <w:lang w:eastAsia="it-IT"/>
              </w:rPr>
              <w:t xml:space="preserve">«Модернізація Жмеринського міського історичного музею: спадщина у новому форматі» </w:t>
            </w:r>
            <w:r w:rsidRPr="00C2587D">
              <w:rPr>
                <w:rFonts w:ascii="Times New Roman" w:eastAsia="Arial" w:hAnsi="Times New Roman"/>
                <w:w w:val="105"/>
                <w:sz w:val="20"/>
                <w:szCs w:val="20"/>
                <w:lang w:eastAsia="en-US"/>
              </w:rPr>
              <w:t>реалізація</w:t>
            </w:r>
            <w:r w:rsidRPr="00C2587D">
              <w:rPr>
                <w:rFonts w:ascii="Times New Roman" w:eastAsia="Arial" w:hAnsi="Times New Roman"/>
                <w:spacing w:val="57"/>
                <w:w w:val="105"/>
                <w:sz w:val="20"/>
                <w:szCs w:val="20"/>
                <w:lang w:eastAsia="en-US"/>
              </w:rPr>
              <w:t xml:space="preserve"> </w:t>
            </w:r>
            <w:r w:rsidRPr="00C2587D">
              <w:rPr>
                <w:rFonts w:ascii="Times New Roman" w:eastAsia="Arial" w:hAnsi="Times New Roman"/>
                <w:spacing w:val="-2"/>
                <w:w w:val="105"/>
                <w:sz w:val="20"/>
                <w:szCs w:val="20"/>
                <w:lang w:eastAsia="en-US"/>
              </w:rPr>
              <w:t>триває</w:t>
            </w:r>
          </w:p>
        </w:tc>
        <w:tc>
          <w:tcPr>
            <w:tcW w:w="737" w:type="dxa"/>
            <w:shd w:val="clear" w:color="auto" w:fill="auto"/>
            <w:textDirection w:val="btLr"/>
            <w:vAlign w:val="center"/>
          </w:tcPr>
          <w:p w14:paraId="55F1C7AB"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60150,0</w:t>
            </w:r>
          </w:p>
        </w:tc>
        <w:tc>
          <w:tcPr>
            <w:tcW w:w="850" w:type="dxa"/>
            <w:shd w:val="clear" w:color="auto" w:fill="FBE4D5"/>
            <w:textDirection w:val="btLr"/>
            <w:vAlign w:val="center"/>
          </w:tcPr>
          <w:p w14:paraId="3785CD0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60150,0</w:t>
            </w:r>
          </w:p>
        </w:tc>
        <w:tc>
          <w:tcPr>
            <w:tcW w:w="979" w:type="dxa"/>
            <w:shd w:val="clear" w:color="auto" w:fill="auto"/>
            <w:textDirection w:val="btLr"/>
            <w:vAlign w:val="center"/>
          </w:tcPr>
          <w:p w14:paraId="2318551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50,0</w:t>
            </w:r>
          </w:p>
        </w:tc>
        <w:tc>
          <w:tcPr>
            <w:tcW w:w="864" w:type="dxa"/>
            <w:shd w:val="clear" w:color="auto" w:fill="auto"/>
            <w:textDirection w:val="btLr"/>
            <w:vAlign w:val="center"/>
          </w:tcPr>
          <w:p w14:paraId="77847C36" w14:textId="730B5FDD"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w:t>
            </w:r>
          </w:p>
        </w:tc>
        <w:tc>
          <w:tcPr>
            <w:tcW w:w="850" w:type="dxa"/>
            <w:shd w:val="clear" w:color="auto" w:fill="auto"/>
            <w:textDirection w:val="btLr"/>
            <w:vAlign w:val="center"/>
          </w:tcPr>
          <w:p w14:paraId="309E1A4E" w14:textId="69519906" w:rsidR="006B4969" w:rsidRPr="00C2587D" w:rsidRDefault="00BC595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60000,0</w:t>
            </w:r>
          </w:p>
        </w:tc>
        <w:tc>
          <w:tcPr>
            <w:tcW w:w="709" w:type="dxa"/>
            <w:shd w:val="clear" w:color="auto" w:fill="auto"/>
            <w:textDirection w:val="btLr"/>
            <w:vAlign w:val="center"/>
          </w:tcPr>
          <w:p w14:paraId="3C63F16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shd w:val="clear" w:color="auto" w:fill="C5E0B3"/>
            <w:textDirection w:val="btLr"/>
            <w:vAlign w:val="center"/>
          </w:tcPr>
          <w:p w14:paraId="61302EA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shd w:val="clear" w:color="auto" w:fill="auto"/>
            <w:textDirection w:val="btLr"/>
            <w:vAlign w:val="center"/>
          </w:tcPr>
          <w:p w14:paraId="107A34F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8" w:type="dxa"/>
            <w:shd w:val="clear" w:color="auto" w:fill="auto"/>
            <w:textDirection w:val="btLr"/>
            <w:vAlign w:val="center"/>
          </w:tcPr>
          <w:p w14:paraId="3B4E334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shd w:val="clear" w:color="auto" w:fill="auto"/>
            <w:textDirection w:val="btLr"/>
            <w:vAlign w:val="center"/>
          </w:tcPr>
          <w:p w14:paraId="4212254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696" w:type="dxa"/>
            <w:shd w:val="clear" w:color="auto" w:fill="auto"/>
            <w:textDirection w:val="btLr"/>
            <w:vAlign w:val="center"/>
          </w:tcPr>
          <w:p w14:paraId="4D2DD42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80" w:type="dxa"/>
            <w:shd w:val="clear" w:color="auto" w:fill="D9E2F3"/>
            <w:textDirection w:val="btLr"/>
            <w:vAlign w:val="center"/>
          </w:tcPr>
          <w:p w14:paraId="7230226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67" w:type="dxa"/>
            <w:shd w:val="clear" w:color="auto" w:fill="auto"/>
            <w:textDirection w:val="btLr"/>
            <w:vAlign w:val="center"/>
          </w:tcPr>
          <w:p w14:paraId="3BA47B2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67" w:type="dxa"/>
            <w:shd w:val="clear" w:color="auto" w:fill="auto"/>
            <w:textDirection w:val="btLr"/>
            <w:vAlign w:val="center"/>
          </w:tcPr>
          <w:p w14:paraId="301611D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67" w:type="dxa"/>
            <w:shd w:val="clear" w:color="auto" w:fill="auto"/>
            <w:textDirection w:val="btLr"/>
            <w:vAlign w:val="center"/>
          </w:tcPr>
          <w:p w14:paraId="59B72A3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91" w:type="dxa"/>
            <w:shd w:val="clear" w:color="auto" w:fill="auto"/>
            <w:textDirection w:val="btLr"/>
            <w:vAlign w:val="center"/>
          </w:tcPr>
          <w:p w14:paraId="62DA5F6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1139" w:type="dxa"/>
            <w:shd w:val="clear" w:color="auto" w:fill="auto"/>
            <w:textDirection w:val="btLr"/>
            <w:vAlign w:val="center"/>
          </w:tcPr>
          <w:p w14:paraId="6E8B0F2A"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60150,0</w:t>
            </w:r>
          </w:p>
        </w:tc>
      </w:tr>
      <w:tr w:rsidR="006B4969" w:rsidRPr="00C2587D" w14:paraId="373FAA4B" w14:textId="77777777" w:rsidTr="00FF28D2">
        <w:trPr>
          <w:cantSplit/>
          <w:trHeight w:val="1134"/>
        </w:trPr>
        <w:tc>
          <w:tcPr>
            <w:tcW w:w="531" w:type="dxa"/>
            <w:shd w:val="clear" w:color="auto" w:fill="auto"/>
            <w:vAlign w:val="center"/>
          </w:tcPr>
          <w:p w14:paraId="74790721" w14:textId="3190110C"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4</w:t>
            </w:r>
          </w:p>
        </w:tc>
        <w:tc>
          <w:tcPr>
            <w:tcW w:w="2113" w:type="dxa"/>
            <w:shd w:val="clear" w:color="auto" w:fill="auto"/>
            <w:vAlign w:val="center"/>
          </w:tcPr>
          <w:p w14:paraId="62136DD4" w14:textId="77777777" w:rsidR="006B4969" w:rsidRPr="00C2587D" w:rsidRDefault="006B4969" w:rsidP="00FF28D2">
            <w:pPr>
              <w:rPr>
                <w:rFonts w:ascii="Times New Roman" w:hAnsi="Times New Roman"/>
                <w:sz w:val="20"/>
                <w:szCs w:val="20"/>
                <w:lang w:eastAsia="it-IT"/>
              </w:rPr>
            </w:pPr>
            <w:r w:rsidRPr="00C2587D">
              <w:rPr>
                <w:rFonts w:ascii="Times New Roman" w:hAnsi="Times New Roman"/>
                <w:sz w:val="20"/>
                <w:szCs w:val="20"/>
                <w:lang w:eastAsia="it-IT"/>
              </w:rPr>
              <w:t>«Сучасна книга – сучасному читачу»: поповнення та оновлення бібліотечних фондів Жмеринської ТГ</w:t>
            </w:r>
          </w:p>
          <w:p w14:paraId="1E694D23" w14:textId="77777777" w:rsidR="006B4969" w:rsidRPr="00C2587D" w:rsidRDefault="006B4969" w:rsidP="00FF28D2">
            <w:pPr>
              <w:rPr>
                <w:rFonts w:ascii="Times New Roman" w:eastAsia="Arial" w:hAnsi="Times New Roman"/>
                <w:sz w:val="20"/>
                <w:szCs w:val="20"/>
                <w:lang w:eastAsia="en-US"/>
              </w:rPr>
            </w:pPr>
            <w:r w:rsidRPr="00C2587D">
              <w:rPr>
                <w:rFonts w:ascii="Times New Roman" w:eastAsia="Arial" w:hAnsi="Times New Roman"/>
                <w:w w:val="105"/>
                <w:sz w:val="20"/>
                <w:szCs w:val="20"/>
                <w:lang w:eastAsia="en-US"/>
              </w:rPr>
              <w:t>реалізація</w:t>
            </w:r>
            <w:r w:rsidRPr="00C2587D">
              <w:rPr>
                <w:rFonts w:ascii="Times New Roman" w:eastAsia="Arial" w:hAnsi="Times New Roman"/>
                <w:spacing w:val="57"/>
                <w:w w:val="105"/>
                <w:sz w:val="20"/>
                <w:szCs w:val="20"/>
                <w:lang w:eastAsia="en-US"/>
              </w:rPr>
              <w:t xml:space="preserve"> </w:t>
            </w:r>
            <w:r w:rsidRPr="00C2587D">
              <w:rPr>
                <w:rFonts w:ascii="Times New Roman" w:eastAsia="Arial" w:hAnsi="Times New Roman"/>
                <w:spacing w:val="-2"/>
                <w:w w:val="105"/>
                <w:sz w:val="20"/>
                <w:szCs w:val="20"/>
                <w:lang w:eastAsia="en-US"/>
              </w:rPr>
              <w:t>триває</w:t>
            </w:r>
          </w:p>
        </w:tc>
        <w:tc>
          <w:tcPr>
            <w:tcW w:w="737" w:type="dxa"/>
            <w:shd w:val="clear" w:color="auto" w:fill="auto"/>
            <w:textDirection w:val="btLr"/>
            <w:vAlign w:val="center"/>
          </w:tcPr>
          <w:p w14:paraId="48C0F980"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4900,0</w:t>
            </w:r>
          </w:p>
        </w:tc>
        <w:tc>
          <w:tcPr>
            <w:tcW w:w="850" w:type="dxa"/>
            <w:shd w:val="clear" w:color="auto" w:fill="FBE4D5"/>
            <w:textDirection w:val="btLr"/>
            <w:vAlign w:val="center"/>
          </w:tcPr>
          <w:p w14:paraId="2E308FC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w:t>
            </w:r>
          </w:p>
        </w:tc>
        <w:tc>
          <w:tcPr>
            <w:tcW w:w="979" w:type="dxa"/>
            <w:shd w:val="clear" w:color="auto" w:fill="auto"/>
            <w:textDirection w:val="btLr"/>
            <w:vAlign w:val="center"/>
          </w:tcPr>
          <w:p w14:paraId="1808647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w:t>
            </w:r>
          </w:p>
        </w:tc>
        <w:tc>
          <w:tcPr>
            <w:tcW w:w="864" w:type="dxa"/>
            <w:shd w:val="clear" w:color="auto" w:fill="auto"/>
            <w:textDirection w:val="btLr"/>
            <w:vAlign w:val="center"/>
          </w:tcPr>
          <w:p w14:paraId="1502F24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850" w:type="dxa"/>
            <w:shd w:val="clear" w:color="auto" w:fill="auto"/>
            <w:textDirection w:val="btLr"/>
            <w:vAlign w:val="center"/>
          </w:tcPr>
          <w:p w14:paraId="2D15B82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shd w:val="clear" w:color="auto" w:fill="auto"/>
            <w:textDirection w:val="btLr"/>
            <w:vAlign w:val="center"/>
          </w:tcPr>
          <w:p w14:paraId="3547988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shd w:val="clear" w:color="auto" w:fill="C5E0B3"/>
            <w:textDirection w:val="btLr"/>
            <w:vAlign w:val="center"/>
          </w:tcPr>
          <w:p w14:paraId="16B22D8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4800,0</w:t>
            </w:r>
          </w:p>
        </w:tc>
        <w:tc>
          <w:tcPr>
            <w:tcW w:w="709" w:type="dxa"/>
            <w:shd w:val="clear" w:color="auto" w:fill="auto"/>
            <w:textDirection w:val="btLr"/>
            <w:vAlign w:val="center"/>
          </w:tcPr>
          <w:p w14:paraId="4C899BB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8" w:type="dxa"/>
            <w:shd w:val="clear" w:color="auto" w:fill="auto"/>
            <w:textDirection w:val="btLr"/>
            <w:vAlign w:val="center"/>
          </w:tcPr>
          <w:p w14:paraId="562879A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1600,0</w:t>
            </w:r>
          </w:p>
        </w:tc>
        <w:tc>
          <w:tcPr>
            <w:tcW w:w="709" w:type="dxa"/>
            <w:shd w:val="clear" w:color="auto" w:fill="auto"/>
            <w:textDirection w:val="btLr"/>
            <w:vAlign w:val="center"/>
          </w:tcPr>
          <w:p w14:paraId="69CED26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1600,0</w:t>
            </w:r>
          </w:p>
        </w:tc>
        <w:tc>
          <w:tcPr>
            <w:tcW w:w="696" w:type="dxa"/>
            <w:shd w:val="clear" w:color="auto" w:fill="auto"/>
            <w:textDirection w:val="btLr"/>
            <w:vAlign w:val="center"/>
          </w:tcPr>
          <w:p w14:paraId="3E6AAD1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1600,0</w:t>
            </w:r>
          </w:p>
        </w:tc>
        <w:tc>
          <w:tcPr>
            <w:tcW w:w="580" w:type="dxa"/>
            <w:shd w:val="clear" w:color="auto" w:fill="D9E2F3"/>
            <w:textDirection w:val="btLr"/>
            <w:vAlign w:val="center"/>
          </w:tcPr>
          <w:p w14:paraId="1D7FD00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67" w:type="dxa"/>
            <w:shd w:val="clear" w:color="auto" w:fill="auto"/>
            <w:textDirection w:val="btLr"/>
            <w:vAlign w:val="center"/>
          </w:tcPr>
          <w:p w14:paraId="4B5C99F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67" w:type="dxa"/>
            <w:shd w:val="clear" w:color="auto" w:fill="auto"/>
            <w:textDirection w:val="btLr"/>
            <w:vAlign w:val="center"/>
          </w:tcPr>
          <w:p w14:paraId="3A8BC1D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67" w:type="dxa"/>
            <w:shd w:val="clear" w:color="auto" w:fill="auto"/>
            <w:textDirection w:val="btLr"/>
            <w:vAlign w:val="center"/>
          </w:tcPr>
          <w:p w14:paraId="1E9853E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91" w:type="dxa"/>
            <w:shd w:val="clear" w:color="auto" w:fill="auto"/>
            <w:textDirection w:val="btLr"/>
            <w:vAlign w:val="center"/>
          </w:tcPr>
          <w:p w14:paraId="54D6EBD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1139" w:type="dxa"/>
            <w:shd w:val="clear" w:color="auto" w:fill="auto"/>
            <w:textDirection w:val="btLr"/>
            <w:vAlign w:val="center"/>
          </w:tcPr>
          <w:p w14:paraId="5421FEFA"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4900,0</w:t>
            </w:r>
          </w:p>
        </w:tc>
      </w:tr>
      <w:tr w:rsidR="006B4969" w:rsidRPr="00C2587D" w14:paraId="7DAFC447" w14:textId="77777777" w:rsidTr="00FF28D2">
        <w:trPr>
          <w:cantSplit/>
          <w:trHeight w:val="879"/>
        </w:trPr>
        <w:tc>
          <w:tcPr>
            <w:tcW w:w="531" w:type="dxa"/>
            <w:shd w:val="clear" w:color="auto" w:fill="auto"/>
            <w:vAlign w:val="center"/>
          </w:tcPr>
          <w:p w14:paraId="2074C12F" w14:textId="0E9BC0E5"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5</w:t>
            </w:r>
          </w:p>
        </w:tc>
        <w:tc>
          <w:tcPr>
            <w:tcW w:w="2113" w:type="dxa"/>
            <w:shd w:val="clear" w:color="auto" w:fill="auto"/>
            <w:vAlign w:val="center"/>
          </w:tcPr>
          <w:p w14:paraId="3A23FBEB" w14:textId="77777777" w:rsidR="006B4969" w:rsidRPr="00C2587D" w:rsidRDefault="006B4969" w:rsidP="00FF28D2">
            <w:pPr>
              <w:rPr>
                <w:rFonts w:ascii="Times New Roman" w:eastAsia="Arial" w:hAnsi="Times New Roman"/>
                <w:sz w:val="20"/>
                <w:szCs w:val="20"/>
                <w:lang w:eastAsia="en-US"/>
              </w:rPr>
            </w:pPr>
            <w:r w:rsidRPr="00C2587D">
              <w:rPr>
                <w:rFonts w:ascii="Times New Roman" w:hAnsi="Times New Roman"/>
                <w:sz w:val="20"/>
                <w:szCs w:val="20"/>
                <w:lang w:eastAsia="it-IT"/>
              </w:rPr>
              <w:t xml:space="preserve">«Бібліотека-інформаційна підтримка громади» </w:t>
            </w:r>
            <w:r w:rsidRPr="00C2587D">
              <w:rPr>
                <w:rFonts w:ascii="Times New Roman" w:eastAsia="Arial" w:hAnsi="Times New Roman"/>
                <w:w w:val="105"/>
                <w:sz w:val="20"/>
                <w:szCs w:val="20"/>
                <w:lang w:eastAsia="en-US"/>
              </w:rPr>
              <w:t>реалізація</w:t>
            </w:r>
            <w:r w:rsidRPr="00C2587D">
              <w:rPr>
                <w:rFonts w:ascii="Times New Roman" w:eastAsia="Arial" w:hAnsi="Times New Roman"/>
                <w:spacing w:val="57"/>
                <w:w w:val="105"/>
                <w:sz w:val="20"/>
                <w:szCs w:val="20"/>
                <w:lang w:eastAsia="en-US"/>
              </w:rPr>
              <w:t xml:space="preserve"> </w:t>
            </w:r>
            <w:r w:rsidRPr="00C2587D">
              <w:rPr>
                <w:rFonts w:ascii="Times New Roman" w:eastAsia="Arial" w:hAnsi="Times New Roman"/>
                <w:spacing w:val="-2"/>
                <w:w w:val="105"/>
                <w:sz w:val="20"/>
                <w:szCs w:val="20"/>
                <w:lang w:eastAsia="en-US"/>
              </w:rPr>
              <w:t>триває</w:t>
            </w:r>
          </w:p>
        </w:tc>
        <w:tc>
          <w:tcPr>
            <w:tcW w:w="737" w:type="dxa"/>
            <w:shd w:val="clear" w:color="auto" w:fill="auto"/>
            <w:textDirection w:val="btLr"/>
            <w:vAlign w:val="center"/>
          </w:tcPr>
          <w:p w14:paraId="11844A07"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1400,0</w:t>
            </w:r>
          </w:p>
        </w:tc>
        <w:tc>
          <w:tcPr>
            <w:tcW w:w="850" w:type="dxa"/>
            <w:shd w:val="clear" w:color="auto" w:fill="FBE4D5"/>
            <w:textDirection w:val="btLr"/>
            <w:vAlign w:val="center"/>
          </w:tcPr>
          <w:p w14:paraId="1B18B85A" w14:textId="15385171" w:rsidR="006B4969" w:rsidRPr="00C2587D" w:rsidRDefault="00BC595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14</w:t>
            </w:r>
            <w:r w:rsidR="006B4969" w:rsidRPr="00C2587D">
              <w:rPr>
                <w:rFonts w:ascii="Times New Roman" w:eastAsia="Arial" w:hAnsi="Times New Roman"/>
                <w:sz w:val="20"/>
                <w:szCs w:val="20"/>
                <w:lang w:eastAsia="en-US"/>
              </w:rPr>
              <w:t>00,0</w:t>
            </w:r>
          </w:p>
        </w:tc>
        <w:tc>
          <w:tcPr>
            <w:tcW w:w="979" w:type="dxa"/>
            <w:shd w:val="clear" w:color="auto" w:fill="auto"/>
            <w:textDirection w:val="btLr"/>
            <w:vAlign w:val="center"/>
          </w:tcPr>
          <w:p w14:paraId="1E6504F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50,0</w:t>
            </w:r>
          </w:p>
        </w:tc>
        <w:tc>
          <w:tcPr>
            <w:tcW w:w="864" w:type="dxa"/>
            <w:shd w:val="clear" w:color="auto" w:fill="auto"/>
            <w:textDirection w:val="btLr"/>
            <w:vAlign w:val="center"/>
          </w:tcPr>
          <w:p w14:paraId="247BB73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450,0</w:t>
            </w:r>
          </w:p>
        </w:tc>
        <w:tc>
          <w:tcPr>
            <w:tcW w:w="850" w:type="dxa"/>
            <w:shd w:val="clear" w:color="auto" w:fill="auto"/>
            <w:textDirection w:val="btLr"/>
            <w:vAlign w:val="center"/>
          </w:tcPr>
          <w:p w14:paraId="3930AA1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450,0</w:t>
            </w:r>
          </w:p>
        </w:tc>
        <w:tc>
          <w:tcPr>
            <w:tcW w:w="709" w:type="dxa"/>
            <w:shd w:val="clear" w:color="auto" w:fill="auto"/>
            <w:textDirection w:val="btLr"/>
            <w:vAlign w:val="center"/>
          </w:tcPr>
          <w:p w14:paraId="1AFB4BB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450,0</w:t>
            </w:r>
          </w:p>
        </w:tc>
        <w:tc>
          <w:tcPr>
            <w:tcW w:w="709" w:type="dxa"/>
            <w:shd w:val="clear" w:color="auto" w:fill="C5E0B3"/>
            <w:textDirection w:val="btLr"/>
            <w:vAlign w:val="center"/>
          </w:tcPr>
          <w:p w14:paraId="359581C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shd w:val="clear" w:color="auto" w:fill="auto"/>
            <w:textDirection w:val="btLr"/>
            <w:vAlign w:val="center"/>
          </w:tcPr>
          <w:p w14:paraId="439F98C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8" w:type="dxa"/>
            <w:shd w:val="clear" w:color="auto" w:fill="auto"/>
            <w:textDirection w:val="btLr"/>
            <w:vAlign w:val="center"/>
          </w:tcPr>
          <w:p w14:paraId="5CB44DE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shd w:val="clear" w:color="auto" w:fill="auto"/>
            <w:textDirection w:val="btLr"/>
            <w:vAlign w:val="center"/>
          </w:tcPr>
          <w:p w14:paraId="0C1D615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696" w:type="dxa"/>
            <w:shd w:val="clear" w:color="auto" w:fill="auto"/>
            <w:textDirection w:val="btLr"/>
            <w:vAlign w:val="center"/>
          </w:tcPr>
          <w:p w14:paraId="5E2B6EC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80" w:type="dxa"/>
            <w:shd w:val="clear" w:color="auto" w:fill="D9E2F3"/>
            <w:textDirection w:val="btLr"/>
            <w:vAlign w:val="center"/>
          </w:tcPr>
          <w:p w14:paraId="434619B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67" w:type="dxa"/>
            <w:shd w:val="clear" w:color="auto" w:fill="auto"/>
            <w:textDirection w:val="btLr"/>
            <w:vAlign w:val="center"/>
          </w:tcPr>
          <w:p w14:paraId="7355759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67" w:type="dxa"/>
            <w:shd w:val="clear" w:color="auto" w:fill="auto"/>
            <w:textDirection w:val="btLr"/>
            <w:vAlign w:val="center"/>
          </w:tcPr>
          <w:p w14:paraId="308E1D1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67" w:type="dxa"/>
            <w:shd w:val="clear" w:color="auto" w:fill="auto"/>
            <w:textDirection w:val="btLr"/>
            <w:vAlign w:val="center"/>
          </w:tcPr>
          <w:p w14:paraId="56FDF9F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91" w:type="dxa"/>
            <w:shd w:val="clear" w:color="auto" w:fill="auto"/>
            <w:textDirection w:val="btLr"/>
            <w:vAlign w:val="center"/>
          </w:tcPr>
          <w:p w14:paraId="686AEB3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1139" w:type="dxa"/>
            <w:shd w:val="clear" w:color="auto" w:fill="auto"/>
            <w:textDirection w:val="btLr"/>
            <w:vAlign w:val="center"/>
          </w:tcPr>
          <w:p w14:paraId="68CF8F0D"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1400,0</w:t>
            </w:r>
          </w:p>
        </w:tc>
      </w:tr>
      <w:tr w:rsidR="006B4969" w:rsidRPr="00C2587D" w14:paraId="5182B974" w14:textId="77777777" w:rsidTr="00FF28D2">
        <w:trPr>
          <w:cantSplit/>
          <w:trHeight w:val="1268"/>
        </w:trPr>
        <w:tc>
          <w:tcPr>
            <w:tcW w:w="531" w:type="dxa"/>
            <w:shd w:val="clear" w:color="auto" w:fill="auto"/>
            <w:vAlign w:val="center"/>
          </w:tcPr>
          <w:p w14:paraId="38C475EE" w14:textId="2E8B7B60"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6</w:t>
            </w:r>
          </w:p>
        </w:tc>
        <w:tc>
          <w:tcPr>
            <w:tcW w:w="2113" w:type="dxa"/>
            <w:shd w:val="clear" w:color="auto" w:fill="auto"/>
            <w:vAlign w:val="center"/>
          </w:tcPr>
          <w:p w14:paraId="63ED0440" w14:textId="77777777" w:rsidR="006B4969" w:rsidRPr="00C2587D" w:rsidRDefault="006B4969" w:rsidP="00FF28D2">
            <w:pPr>
              <w:rPr>
                <w:rFonts w:ascii="Times New Roman" w:hAnsi="Times New Roman"/>
                <w:sz w:val="20"/>
                <w:szCs w:val="20"/>
                <w:lang w:eastAsia="it-IT"/>
              </w:rPr>
            </w:pPr>
            <w:r w:rsidRPr="00C2587D">
              <w:rPr>
                <w:rFonts w:ascii="Times New Roman" w:hAnsi="Times New Roman"/>
                <w:sz w:val="20"/>
                <w:szCs w:val="20"/>
                <w:lang w:eastAsia="it-IT"/>
              </w:rPr>
              <w:t>«Модернізація музейної мережі Жмеринської громади: спадщина у новому форматі»</w:t>
            </w:r>
          </w:p>
          <w:p w14:paraId="16C8EE75" w14:textId="77777777" w:rsidR="006B4969" w:rsidRPr="00C2587D" w:rsidRDefault="006B4969" w:rsidP="00FF28D2">
            <w:pPr>
              <w:rPr>
                <w:rFonts w:ascii="Times New Roman" w:eastAsia="Arial" w:hAnsi="Times New Roman"/>
                <w:sz w:val="20"/>
                <w:szCs w:val="20"/>
                <w:lang w:eastAsia="en-US"/>
              </w:rPr>
            </w:pPr>
            <w:r w:rsidRPr="00C2587D">
              <w:rPr>
                <w:rFonts w:ascii="Times New Roman" w:eastAsia="Arial" w:hAnsi="Times New Roman"/>
                <w:w w:val="105"/>
                <w:sz w:val="20"/>
                <w:szCs w:val="20"/>
                <w:lang w:eastAsia="en-US"/>
              </w:rPr>
              <w:t>реалізація</w:t>
            </w:r>
            <w:r w:rsidRPr="00C2587D">
              <w:rPr>
                <w:rFonts w:ascii="Times New Roman" w:eastAsia="Arial" w:hAnsi="Times New Roman"/>
                <w:spacing w:val="57"/>
                <w:w w:val="105"/>
                <w:sz w:val="20"/>
                <w:szCs w:val="20"/>
                <w:lang w:eastAsia="en-US"/>
              </w:rPr>
              <w:t xml:space="preserve"> </w:t>
            </w:r>
            <w:r w:rsidRPr="00C2587D">
              <w:rPr>
                <w:rFonts w:ascii="Times New Roman" w:eastAsia="Arial" w:hAnsi="Times New Roman"/>
                <w:spacing w:val="-2"/>
                <w:w w:val="105"/>
                <w:sz w:val="20"/>
                <w:szCs w:val="20"/>
                <w:lang w:eastAsia="en-US"/>
              </w:rPr>
              <w:t>триває</w:t>
            </w:r>
          </w:p>
        </w:tc>
        <w:tc>
          <w:tcPr>
            <w:tcW w:w="737" w:type="dxa"/>
            <w:shd w:val="clear" w:color="auto" w:fill="auto"/>
            <w:textDirection w:val="btLr"/>
            <w:vAlign w:val="center"/>
          </w:tcPr>
          <w:p w14:paraId="3570C4DD"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1000,0</w:t>
            </w:r>
          </w:p>
        </w:tc>
        <w:tc>
          <w:tcPr>
            <w:tcW w:w="850" w:type="dxa"/>
            <w:shd w:val="clear" w:color="auto" w:fill="FBE4D5"/>
            <w:textDirection w:val="btLr"/>
            <w:vAlign w:val="center"/>
          </w:tcPr>
          <w:p w14:paraId="423D1B4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900,0</w:t>
            </w:r>
          </w:p>
        </w:tc>
        <w:tc>
          <w:tcPr>
            <w:tcW w:w="979" w:type="dxa"/>
            <w:shd w:val="clear" w:color="auto" w:fill="auto"/>
            <w:textDirection w:val="btLr"/>
            <w:vAlign w:val="center"/>
          </w:tcPr>
          <w:p w14:paraId="3D4BD66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w:t>
            </w:r>
          </w:p>
        </w:tc>
        <w:tc>
          <w:tcPr>
            <w:tcW w:w="864" w:type="dxa"/>
            <w:shd w:val="clear" w:color="auto" w:fill="auto"/>
            <w:textDirection w:val="btLr"/>
            <w:vAlign w:val="center"/>
          </w:tcPr>
          <w:p w14:paraId="216CC09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300,0</w:t>
            </w:r>
          </w:p>
        </w:tc>
        <w:tc>
          <w:tcPr>
            <w:tcW w:w="850" w:type="dxa"/>
            <w:shd w:val="clear" w:color="auto" w:fill="auto"/>
            <w:textDirection w:val="btLr"/>
            <w:vAlign w:val="center"/>
          </w:tcPr>
          <w:p w14:paraId="64259A9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300,0</w:t>
            </w:r>
          </w:p>
        </w:tc>
        <w:tc>
          <w:tcPr>
            <w:tcW w:w="709" w:type="dxa"/>
            <w:shd w:val="clear" w:color="auto" w:fill="auto"/>
            <w:textDirection w:val="btLr"/>
            <w:vAlign w:val="center"/>
          </w:tcPr>
          <w:p w14:paraId="11A8EAC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200,0</w:t>
            </w:r>
          </w:p>
        </w:tc>
        <w:tc>
          <w:tcPr>
            <w:tcW w:w="709" w:type="dxa"/>
            <w:shd w:val="clear" w:color="auto" w:fill="C5E0B3"/>
            <w:textDirection w:val="btLr"/>
            <w:vAlign w:val="center"/>
          </w:tcPr>
          <w:p w14:paraId="184480A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shd w:val="clear" w:color="auto" w:fill="auto"/>
            <w:textDirection w:val="btLr"/>
            <w:vAlign w:val="center"/>
          </w:tcPr>
          <w:p w14:paraId="1709749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8" w:type="dxa"/>
            <w:shd w:val="clear" w:color="auto" w:fill="auto"/>
            <w:textDirection w:val="btLr"/>
            <w:vAlign w:val="center"/>
          </w:tcPr>
          <w:p w14:paraId="60CBB05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shd w:val="clear" w:color="auto" w:fill="auto"/>
            <w:textDirection w:val="btLr"/>
            <w:vAlign w:val="center"/>
          </w:tcPr>
          <w:p w14:paraId="01388C0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696" w:type="dxa"/>
            <w:shd w:val="clear" w:color="auto" w:fill="auto"/>
            <w:textDirection w:val="btLr"/>
            <w:vAlign w:val="center"/>
          </w:tcPr>
          <w:p w14:paraId="7161295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80" w:type="dxa"/>
            <w:shd w:val="clear" w:color="auto" w:fill="D9E2F3"/>
            <w:textDirection w:val="btLr"/>
            <w:vAlign w:val="center"/>
          </w:tcPr>
          <w:p w14:paraId="377B899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w:t>
            </w:r>
          </w:p>
        </w:tc>
        <w:tc>
          <w:tcPr>
            <w:tcW w:w="567" w:type="dxa"/>
            <w:shd w:val="clear" w:color="auto" w:fill="auto"/>
            <w:textDirection w:val="btLr"/>
            <w:vAlign w:val="center"/>
          </w:tcPr>
          <w:p w14:paraId="1959E72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67" w:type="dxa"/>
            <w:shd w:val="clear" w:color="auto" w:fill="auto"/>
            <w:textDirection w:val="btLr"/>
            <w:vAlign w:val="center"/>
          </w:tcPr>
          <w:p w14:paraId="2904BA3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67" w:type="dxa"/>
            <w:shd w:val="clear" w:color="auto" w:fill="auto"/>
            <w:textDirection w:val="btLr"/>
            <w:vAlign w:val="center"/>
          </w:tcPr>
          <w:p w14:paraId="35680ED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91" w:type="dxa"/>
            <w:shd w:val="clear" w:color="auto" w:fill="auto"/>
            <w:textDirection w:val="btLr"/>
            <w:vAlign w:val="center"/>
          </w:tcPr>
          <w:p w14:paraId="740F3A6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w:t>
            </w:r>
          </w:p>
        </w:tc>
        <w:tc>
          <w:tcPr>
            <w:tcW w:w="1139" w:type="dxa"/>
            <w:shd w:val="clear" w:color="auto" w:fill="auto"/>
            <w:textDirection w:val="btLr"/>
            <w:vAlign w:val="center"/>
          </w:tcPr>
          <w:p w14:paraId="074086DE"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1000,0</w:t>
            </w:r>
          </w:p>
        </w:tc>
      </w:tr>
      <w:tr w:rsidR="006B4969" w:rsidRPr="00C2587D" w14:paraId="0778AC89" w14:textId="77777777" w:rsidTr="00FF28D2">
        <w:trPr>
          <w:cantSplit/>
          <w:trHeight w:val="1257"/>
        </w:trPr>
        <w:tc>
          <w:tcPr>
            <w:tcW w:w="531" w:type="dxa"/>
            <w:shd w:val="clear" w:color="auto" w:fill="auto"/>
            <w:vAlign w:val="center"/>
          </w:tcPr>
          <w:p w14:paraId="1F1189EF" w14:textId="14BC9C56"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lastRenderedPageBreak/>
              <w:t>7</w:t>
            </w:r>
          </w:p>
        </w:tc>
        <w:tc>
          <w:tcPr>
            <w:tcW w:w="2113" w:type="dxa"/>
            <w:shd w:val="clear" w:color="auto" w:fill="auto"/>
            <w:vAlign w:val="center"/>
          </w:tcPr>
          <w:p w14:paraId="7EE553C9" w14:textId="341E03FB" w:rsidR="006B4969" w:rsidRPr="00C2587D" w:rsidRDefault="006B4969" w:rsidP="00FF28D2">
            <w:pPr>
              <w:rPr>
                <w:rFonts w:ascii="Times New Roman" w:eastAsia="Arial" w:hAnsi="Times New Roman"/>
                <w:sz w:val="20"/>
                <w:szCs w:val="20"/>
                <w:lang w:eastAsia="en-US"/>
              </w:rPr>
            </w:pPr>
            <w:r w:rsidRPr="00C2587D">
              <w:rPr>
                <w:rFonts w:ascii="Times New Roman" w:hAnsi="Times New Roman"/>
                <w:sz w:val="20"/>
                <w:szCs w:val="20"/>
                <w:lang w:eastAsia="it-IT"/>
              </w:rPr>
              <w:t>«Реконструкц</w:t>
            </w:r>
            <w:r w:rsidR="00670CA6" w:rsidRPr="00C2587D">
              <w:rPr>
                <w:rFonts w:ascii="Times New Roman" w:hAnsi="Times New Roman"/>
                <w:sz w:val="20"/>
                <w:szCs w:val="20"/>
                <w:lang w:eastAsia="it-IT"/>
              </w:rPr>
              <w:t>ія системи опалення Центру куль</w:t>
            </w:r>
            <w:r w:rsidRPr="00C2587D">
              <w:rPr>
                <w:rFonts w:ascii="Times New Roman" w:hAnsi="Times New Roman"/>
                <w:sz w:val="20"/>
                <w:szCs w:val="20"/>
                <w:lang w:eastAsia="it-IT"/>
              </w:rPr>
              <w:t>тури і дозвілля із встановленням модульної котельні</w:t>
            </w:r>
          </w:p>
        </w:tc>
        <w:tc>
          <w:tcPr>
            <w:tcW w:w="737" w:type="dxa"/>
            <w:shd w:val="clear" w:color="auto" w:fill="auto"/>
            <w:textDirection w:val="btLr"/>
            <w:vAlign w:val="center"/>
          </w:tcPr>
          <w:p w14:paraId="3ECC4E8A"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3000,0</w:t>
            </w:r>
          </w:p>
        </w:tc>
        <w:tc>
          <w:tcPr>
            <w:tcW w:w="850" w:type="dxa"/>
            <w:shd w:val="clear" w:color="auto" w:fill="FBE4D5"/>
            <w:textDirection w:val="btLr"/>
            <w:vAlign w:val="center"/>
          </w:tcPr>
          <w:p w14:paraId="3EEDDC2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3000,0</w:t>
            </w:r>
          </w:p>
        </w:tc>
        <w:tc>
          <w:tcPr>
            <w:tcW w:w="979" w:type="dxa"/>
            <w:shd w:val="clear" w:color="auto" w:fill="auto"/>
            <w:textDirection w:val="btLr"/>
            <w:vAlign w:val="center"/>
          </w:tcPr>
          <w:p w14:paraId="46246E3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3000,0</w:t>
            </w:r>
          </w:p>
        </w:tc>
        <w:tc>
          <w:tcPr>
            <w:tcW w:w="864" w:type="dxa"/>
            <w:shd w:val="clear" w:color="auto" w:fill="auto"/>
            <w:textDirection w:val="btLr"/>
            <w:vAlign w:val="center"/>
          </w:tcPr>
          <w:p w14:paraId="7EA5BD0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850" w:type="dxa"/>
            <w:shd w:val="clear" w:color="auto" w:fill="auto"/>
            <w:textDirection w:val="btLr"/>
            <w:vAlign w:val="center"/>
          </w:tcPr>
          <w:p w14:paraId="3750949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shd w:val="clear" w:color="auto" w:fill="auto"/>
            <w:textDirection w:val="btLr"/>
            <w:vAlign w:val="center"/>
          </w:tcPr>
          <w:p w14:paraId="2961852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shd w:val="clear" w:color="auto" w:fill="C5E0B3"/>
            <w:textDirection w:val="btLr"/>
            <w:vAlign w:val="center"/>
          </w:tcPr>
          <w:p w14:paraId="1D3D0AC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shd w:val="clear" w:color="auto" w:fill="auto"/>
            <w:textDirection w:val="btLr"/>
            <w:vAlign w:val="center"/>
          </w:tcPr>
          <w:p w14:paraId="49D301D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8" w:type="dxa"/>
            <w:shd w:val="clear" w:color="auto" w:fill="auto"/>
            <w:textDirection w:val="btLr"/>
            <w:vAlign w:val="center"/>
          </w:tcPr>
          <w:p w14:paraId="3EFB03A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shd w:val="clear" w:color="auto" w:fill="auto"/>
            <w:textDirection w:val="btLr"/>
            <w:vAlign w:val="center"/>
          </w:tcPr>
          <w:p w14:paraId="3EC8EAE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696" w:type="dxa"/>
            <w:shd w:val="clear" w:color="auto" w:fill="auto"/>
            <w:textDirection w:val="btLr"/>
            <w:vAlign w:val="center"/>
          </w:tcPr>
          <w:p w14:paraId="3CE763D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80" w:type="dxa"/>
            <w:shd w:val="clear" w:color="auto" w:fill="D9E2F3"/>
            <w:textDirection w:val="btLr"/>
            <w:vAlign w:val="center"/>
          </w:tcPr>
          <w:p w14:paraId="13EE58D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67" w:type="dxa"/>
            <w:shd w:val="clear" w:color="auto" w:fill="auto"/>
            <w:textDirection w:val="btLr"/>
            <w:vAlign w:val="center"/>
          </w:tcPr>
          <w:p w14:paraId="39D233B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67" w:type="dxa"/>
            <w:shd w:val="clear" w:color="auto" w:fill="auto"/>
            <w:textDirection w:val="btLr"/>
            <w:vAlign w:val="center"/>
          </w:tcPr>
          <w:p w14:paraId="50172C5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67" w:type="dxa"/>
            <w:shd w:val="clear" w:color="auto" w:fill="auto"/>
            <w:textDirection w:val="btLr"/>
            <w:vAlign w:val="center"/>
          </w:tcPr>
          <w:p w14:paraId="240C707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91" w:type="dxa"/>
            <w:shd w:val="clear" w:color="auto" w:fill="auto"/>
            <w:textDirection w:val="btLr"/>
            <w:vAlign w:val="center"/>
          </w:tcPr>
          <w:p w14:paraId="0C43C99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1139" w:type="dxa"/>
            <w:shd w:val="clear" w:color="auto" w:fill="auto"/>
            <w:textDirection w:val="btLr"/>
            <w:vAlign w:val="center"/>
          </w:tcPr>
          <w:p w14:paraId="1F9A8F50"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3000,0</w:t>
            </w:r>
          </w:p>
        </w:tc>
      </w:tr>
      <w:tr w:rsidR="006B4969" w:rsidRPr="00C2587D" w14:paraId="455420E0" w14:textId="77777777" w:rsidTr="00FF28D2">
        <w:trPr>
          <w:cantSplit/>
          <w:trHeight w:val="1810"/>
        </w:trPr>
        <w:tc>
          <w:tcPr>
            <w:tcW w:w="531" w:type="dxa"/>
            <w:shd w:val="clear" w:color="auto" w:fill="auto"/>
            <w:vAlign w:val="center"/>
          </w:tcPr>
          <w:p w14:paraId="3B7FA749" w14:textId="55C5A336"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8</w:t>
            </w:r>
          </w:p>
        </w:tc>
        <w:tc>
          <w:tcPr>
            <w:tcW w:w="2113" w:type="dxa"/>
            <w:shd w:val="clear" w:color="auto" w:fill="auto"/>
            <w:vAlign w:val="center"/>
          </w:tcPr>
          <w:p w14:paraId="2B41791B" w14:textId="77777777" w:rsidR="006B4969" w:rsidRPr="00C2587D" w:rsidRDefault="006B4969" w:rsidP="00FF28D2">
            <w:pPr>
              <w:rPr>
                <w:rFonts w:ascii="Times New Roman" w:hAnsi="Times New Roman"/>
                <w:sz w:val="20"/>
                <w:szCs w:val="20"/>
                <w:lang w:eastAsia="it-IT"/>
              </w:rPr>
            </w:pPr>
            <w:r w:rsidRPr="00C2587D">
              <w:rPr>
                <w:rFonts w:ascii="Times New Roman" w:hAnsi="Times New Roman"/>
                <w:sz w:val="20"/>
                <w:szCs w:val="20"/>
                <w:lang w:eastAsia="it-IT"/>
              </w:rPr>
              <w:t>«Творчим колективам нове обличчя»: оновлення концертного вбрання та технічного оснащення  для учнів Жмеринської дитячої музичної школи</w:t>
            </w:r>
          </w:p>
          <w:p w14:paraId="09CFD5A2" w14:textId="77777777" w:rsidR="006B4969" w:rsidRPr="00C2587D" w:rsidRDefault="006B4969" w:rsidP="00FF28D2">
            <w:pPr>
              <w:rPr>
                <w:rFonts w:ascii="Times New Roman" w:eastAsia="Arial" w:hAnsi="Times New Roman"/>
                <w:sz w:val="20"/>
                <w:szCs w:val="20"/>
                <w:lang w:eastAsia="en-US"/>
              </w:rPr>
            </w:pPr>
            <w:r w:rsidRPr="00C2587D">
              <w:rPr>
                <w:rFonts w:ascii="Times New Roman" w:eastAsia="Arial" w:hAnsi="Times New Roman"/>
                <w:w w:val="105"/>
                <w:sz w:val="20"/>
                <w:szCs w:val="20"/>
                <w:lang w:eastAsia="en-US"/>
              </w:rPr>
              <w:t>реалізація</w:t>
            </w:r>
            <w:r w:rsidRPr="00C2587D">
              <w:rPr>
                <w:rFonts w:ascii="Times New Roman" w:eastAsia="Arial" w:hAnsi="Times New Roman"/>
                <w:spacing w:val="57"/>
                <w:w w:val="105"/>
                <w:sz w:val="20"/>
                <w:szCs w:val="20"/>
                <w:lang w:eastAsia="en-US"/>
              </w:rPr>
              <w:t xml:space="preserve"> </w:t>
            </w:r>
            <w:r w:rsidRPr="00C2587D">
              <w:rPr>
                <w:rFonts w:ascii="Times New Roman" w:eastAsia="Arial" w:hAnsi="Times New Roman"/>
                <w:spacing w:val="-2"/>
                <w:w w:val="105"/>
                <w:sz w:val="20"/>
                <w:szCs w:val="20"/>
                <w:lang w:eastAsia="en-US"/>
              </w:rPr>
              <w:t>триває</w:t>
            </w:r>
          </w:p>
        </w:tc>
        <w:tc>
          <w:tcPr>
            <w:tcW w:w="737" w:type="dxa"/>
            <w:shd w:val="clear" w:color="auto" w:fill="auto"/>
            <w:textDirection w:val="btLr"/>
            <w:vAlign w:val="center"/>
          </w:tcPr>
          <w:p w14:paraId="05434CA5"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536,0</w:t>
            </w:r>
          </w:p>
        </w:tc>
        <w:tc>
          <w:tcPr>
            <w:tcW w:w="850" w:type="dxa"/>
            <w:shd w:val="clear" w:color="auto" w:fill="FBE4D5"/>
            <w:textDirection w:val="btLr"/>
            <w:vAlign w:val="center"/>
          </w:tcPr>
          <w:p w14:paraId="01E0108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536,0</w:t>
            </w:r>
          </w:p>
        </w:tc>
        <w:tc>
          <w:tcPr>
            <w:tcW w:w="979" w:type="dxa"/>
            <w:shd w:val="clear" w:color="auto" w:fill="auto"/>
            <w:textDirection w:val="btLr"/>
            <w:vAlign w:val="center"/>
          </w:tcPr>
          <w:p w14:paraId="0BE7334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50,0</w:t>
            </w:r>
          </w:p>
        </w:tc>
        <w:tc>
          <w:tcPr>
            <w:tcW w:w="864" w:type="dxa"/>
            <w:shd w:val="clear" w:color="auto" w:fill="auto"/>
            <w:textDirection w:val="btLr"/>
            <w:vAlign w:val="center"/>
          </w:tcPr>
          <w:p w14:paraId="3FA63C8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162,0</w:t>
            </w:r>
          </w:p>
        </w:tc>
        <w:tc>
          <w:tcPr>
            <w:tcW w:w="850" w:type="dxa"/>
            <w:shd w:val="clear" w:color="auto" w:fill="auto"/>
            <w:textDirection w:val="btLr"/>
            <w:vAlign w:val="center"/>
          </w:tcPr>
          <w:p w14:paraId="676BDCF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162,0</w:t>
            </w:r>
          </w:p>
        </w:tc>
        <w:tc>
          <w:tcPr>
            <w:tcW w:w="709" w:type="dxa"/>
            <w:shd w:val="clear" w:color="auto" w:fill="auto"/>
            <w:textDirection w:val="btLr"/>
            <w:vAlign w:val="center"/>
          </w:tcPr>
          <w:p w14:paraId="3008146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162,0</w:t>
            </w:r>
          </w:p>
        </w:tc>
        <w:tc>
          <w:tcPr>
            <w:tcW w:w="709" w:type="dxa"/>
            <w:shd w:val="clear" w:color="auto" w:fill="C5E0B3"/>
            <w:textDirection w:val="btLr"/>
            <w:vAlign w:val="center"/>
          </w:tcPr>
          <w:p w14:paraId="4103306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shd w:val="clear" w:color="auto" w:fill="auto"/>
            <w:textDirection w:val="btLr"/>
            <w:vAlign w:val="center"/>
          </w:tcPr>
          <w:p w14:paraId="32656EE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8" w:type="dxa"/>
            <w:shd w:val="clear" w:color="auto" w:fill="auto"/>
            <w:textDirection w:val="btLr"/>
            <w:vAlign w:val="center"/>
          </w:tcPr>
          <w:p w14:paraId="785BB12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shd w:val="clear" w:color="auto" w:fill="auto"/>
            <w:textDirection w:val="btLr"/>
            <w:vAlign w:val="center"/>
          </w:tcPr>
          <w:p w14:paraId="70A862A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696" w:type="dxa"/>
            <w:shd w:val="clear" w:color="auto" w:fill="auto"/>
            <w:textDirection w:val="btLr"/>
            <w:vAlign w:val="center"/>
          </w:tcPr>
          <w:p w14:paraId="06DDD57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80" w:type="dxa"/>
            <w:shd w:val="clear" w:color="auto" w:fill="D9E2F3"/>
            <w:textDirection w:val="btLr"/>
            <w:vAlign w:val="center"/>
          </w:tcPr>
          <w:p w14:paraId="075341F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67" w:type="dxa"/>
            <w:shd w:val="clear" w:color="auto" w:fill="auto"/>
            <w:textDirection w:val="btLr"/>
            <w:vAlign w:val="center"/>
          </w:tcPr>
          <w:p w14:paraId="2016BE1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67" w:type="dxa"/>
            <w:shd w:val="clear" w:color="auto" w:fill="auto"/>
            <w:textDirection w:val="btLr"/>
            <w:vAlign w:val="center"/>
          </w:tcPr>
          <w:p w14:paraId="2386F03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67" w:type="dxa"/>
            <w:shd w:val="clear" w:color="auto" w:fill="auto"/>
            <w:textDirection w:val="btLr"/>
            <w:vAlign w:val="center"/>
          </w:tcPr>
          <w:p w14:paraId="0AB942F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91" w:type="dxa"/>
            <w:shd w:val="clear" w:color="auto" w:fill="auto"/>
            <w:textDirection w:val="btLr"/>
            <w:vAlign w:val="center"/>
          </w:tcPr>
          <w:p w14:paraId="004BF72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1139" w:type="dxa"/>
            <w:shd w:val="clear" w:color="auto" w:fill="auto"/>
            <w:textDirection w:val="btLr"/>
            <w:vAlign w:val="center"/>
          </w:tcPr>
          <w:p w14:paraId="7D551D5B"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536,0</w:t>
            </w:r>
          </w:p>
        </w:tc>
      </w:tr>
      <w:tr w:rsidR="006B4969" w:rsidRPr="00C2587D" w14:paraId="6FAF7BE6" w14:textId="77777777" w:rsidTr="00FF28D2">
        <w:trPr>
          <w:cantSplit/>
          <w:trHeight w:val="1707"/>
        </w:trPr>
        <w:tc>
          <w:tcPr>
            <w:tcW w:w="531" w:type="dxa"/>
            <w:shd w:val="clear" w:color="auto" w:fill="auto"/>
            <w:vAlign w:val="center"/>
          </w:tcPr>
          <w:p w14:paraId="477DFA21" w14:textId="506F4FFD"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9</w:t>
            </w:r>
          </w:p>
        </w:tc>
        <w:tc>
          <w:tcPr>
            <w:tcW w:w="2113" w:type="dxa"/>
            <w:shd w:val="clear" w:color="auto" w:fill="auto"/>
            <w:vAlign w:val="center"/>
          </w:tcPr>
          <w:p w14:paraId="46F1AC23" w14:textId="77777777" w:rsidR="006B4969" w:rsidRPr="00C2587D" w:rsidRDefault="006B4969" w:rsidP="00FF28D2">
            <w:pPr>
              <w:rPr>
                <w:rFonts w:ascii="Times New Roman" w:hAnsi="Times New Roman"/>
                <w:sz w:val="20"/>
                <w:szCs w:val="20"/>
                <w:lang w:eastAsia="it-IT"/>
              </w:rPr>
            </w:pPr>
            <w:r w:rsidRPr="00C2587D">
              <w:rPr>
                <w:rFonts w:ascii="Times New Roman" w:hAnsi="Times New Roman"/>
                <w:sz w:val="20"/>
                <w:szCs w:val="20"/>
                <w:lang w:eastAsia="it-IT"/>
              </w:rPr>
              <w:t>Живе мистецтво — жива громада: підтримка участі колективів громади у культурних конкурсах і фестивалях»</w:t>
            </w:r>
          </w:p>
          <w:p w14:paraId="4065A6FD" w14:textId="77777777" w:rsidR="006B4969" w:rsidRPr="00C2587D" w:rsidRDefault="006B4969" w:rsidP="00FF28D2">
            <w:pPr>
              <w:rPr>
                <w:rFonts w:ascii="Times New Roman" w:eastAsia="Arial" w:hAnsi="Times New Roman"/>
                <w:sz w:val="20"/>
                <w:szCs w:val="20"/>
                <w:lang w:eastAsia="en-US"/>
              </w:rPr>
            </w:pPr>
            <w:r w:rsidRPr="00C2587D">
              <w:rPr>
                <w:rFonts w:ascii="Times New Roman" w:eastAsia="Arial" w:hAnsi="Times New Roman"/>
                <w:w w:val="105"/>
                <w:sz w:val="20"/>
                <w:szCs w:val="20"/>
                <w:lang w:eastAsia="en-US"/>
              </w:rPr>
              <w:t>реалізація</w:t>
            </w:r>
            <w:r w:rsidRPr="00C2587D">
              <w:rPr>
                <w:rFonts w:ascii="Times New Roman" w:eastAsia="Arial" w:hAnsi="Times New Roman"/>
                <w:spacing w:val="57"/>
                <w:w w:val="105"/>
                <w:sz w:val="20"/>
                <w:szCs w:val="20"/>
                <w:lang w:eastAsia="en-US"/>
              </w:rPr>
              <w:t xml:space="preserve"> </w:t>
            </w:r>
            <w:r w:rsidRPr="00C2587D">
              <w:rPr>
                <w:rFonts w:ascii="Times New Roman" w:eastAsia="Arial" w:hAnsi="Times New Roman"/>
                <w:spacing w:val="-2"/>
                <w:w w:val="105"/>
                <w:sz w:val="20"/>
                <w:szCs w:val="20"/>
                <w:lang w:eastAsia="en-US"/>
              </w:rPr>
              <w:t>триває</w:t>
            </w:r>
          </w:p>
        </w:tc>
        <w:tc>
          <w:tcPr>
            <w:tcW w:w="737" w:type="dxa"/>
            <w:shd w:val="clear" w:color="auto" w:fill="auto"/>
            <w:textDirection w:val="btLr"/>
            <w:vAlign w:val="center"/>
          </w:tcPr>
          <w:p w14:paraId="16C3FD72"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292,0</w:t>
            </w:r>
          </w:p>
        </w:tc>
        <w:tc>
          <w:tcPr>
            <w:tcW w:w="850" w:type="dxa"/>
            <w:shd w:val="clear" w:color="auto" w:fill="FBE4D5"/>
            <w:textDirection w:val="btLr"/>
            <w:vAlign w:val="center"/>
          </w:tcPr>
          <w:p w14:paraId="77DEC77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292,0</w:t>
            </w:r>
          </w:p>
        </w:tc>
        <w:tc>
          <w:tcPr>
            <w:tcW w:w="979" w:type="dxa"/>
            <w:shd w:val="clear" w:color="auto" w:fill="auto"/>
            <w:textDirection w:val="btLr"/>
            <w:vAlign w:val="center"/>
          </w:tcPr>
          <w:p w14:paraId="3897244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64,0</w:t>
            </w:r>
          </w:p>
        </w:tc>
        <w:tc>
          <w:tcPr>
            <w:tcW w:w="864" w:type="dxa"/>
            <w:shd w:val="clear" w:color="auto" w:fill="auto"/>
            <w:textDirection w:val="btLr"/>
            <w:vAlign w:val="center"/>
          </w:tcPr>
          <w:p w14:paraId="1956AD8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64,0</w:t>
            </w:r>
          </w:p>
        </w:tc>
        <w:tc>
          <w:tcPr>
            <w:tcW w:w="850" w:type="dxa"/>
            <w:shd w:val="clear" w:color="auto" w:fill="auto"/>
            <w:textDirection w:val="btLr"/>
            <w:vAlign w:val="center"/>
          </w:tcPr>
          <w:p w14:paraId="2D4CCF3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64,0</w:t>
            </w:r>
          </w:p>
        </w:tc>
        <w:tc>
          <w:tcPr>
            <w:tcW w:w="709" w:type="dxa"/>
            <w:shd w:val="clear" w:color="auto" w:fill="auto"/>
            <w:textDirection w:val="btLr"/>
            <w:vAlign w:val="center"/>
          </w:tcPr>
          <w:p w14:paraId="76B563E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w:t>
            </w:r>
          </w:p>
        </w:tc>
        <w:tc>
          <w:tcPr>
            <w:tcW w:w="709" w:type="dxa"/>
            <w:shd w:val="clear" w:color="auto" w:fill="C5E0B3"/>
            <w:textDirection w:val="btLr"/>
            <w:vAlign w:val="center"/>
          </w:tcPr>
          <w:p w14:paraId="27C5FA8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shd w:val="clear" w:color="auto" w:fill="auto"/>
            <w:textDirection w:val="btLr"/>
            <w:vAlign w:val="center"/>
          </w:tcPr>
          <w:p w14:paraId="712982B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8" w:type="dxa"/>
            <w:shd w:val="clear" w:color="auto" w:fill="auto"/>
            <w:textDirection w:val="btLr"/>
            <w:vAlign w:val="center"/>
          </w:tcPr>
          <w:p w14:paraId="608930C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shd w:val="clear" w:color="auto" w:fill="auto"/>
            <w:textDirection w:val="btLr"/>
            <w:vAlign w:val="center"/>
          </w:tcPr>
          <w:p w14:paraId="0A210B0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696" w:type="dxa"/>
            <w:shd w:val="clear" w:color="auto" w:fill="auto"/>
            <w:textDirection w:val="btLr"/>
            <w:vAlign w:val="center"/>
          </w:tcPr>
          <w:p w14:paraId="30B1B38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80" w:type="dxa"/>
            <w:shd w:val="clear" w:color="auto" w:fill="D9E2F3"/>
            <w:textDirection w:val="btLr"/>
            <w:vAlign w:val="center"/>
          </w:tcPr>
          <w:p w14:paraId="2C406E8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67" w:type="dxa"/>
            <w:shd w:val="clear" w:color="auto" w:fill="auto"/>
            <w:textDirection w:val="btLr"/>
            <w:vAlign w:val="center"/>
          </w:tcPr>
          <w:p w14:paraId="3EDBEA0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67" w:type="dxa"/>
            <w:shd w:val="clear" w:color="auto" w:fill="auto"/>
            <w:textDirection w:val="btLr"/>
            <w:vAlign w:val="center"/>
          </w:tcPr>
          <w:p w14:paraId="15AE245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67" w:type="dxa"/>
            <w:shd w:val="clear" w:color="auto" w:fill="auto"/>
            <w:textDirection w:val="btLr"/>
            <w:vAlign w:val="center"/>
          </w:tcPr>
          <w:p w14:paraId="54B461D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91" w:type="dxa"/>
            <w:shd w:val="clear" w:color="auto" w:fill="auto"/>
            <w:textDirection w:val="btLr"/>
            <w:vAlign w:val="center"/>
          </w:tcPr>
          <w:p w14:paraId="2719445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1139" w:type="dxa"/>
            <w:shd w:val="clear" w:color="auto" w:fill="auto"/>
            <w:textDirection w:val="btLr"/>
            <w:vAlign w:val="center"/>
          </w:tcPr>
          <w:p w14:paraId="0F5FF7BB"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292,0</w:t>
            </w:r>
          </w:p>
        </w:tc>
      </w:tr>
      <w:tr w:rsidR="006B4969" w:rsidRPr="00C2587D" w14:paraId="0BE60FCB" w14:textId="77777777" w:rsidTr="00FF28D2">
        <w:trPr>
          <w:cantSplit/>
          <w:trHeight w:val="985"/>
        </w:trPr>
        <w:tc>
          <w:tcPr>
            <w:tcW w:w="531" w:type="dxa"/>
            <w:shd w:val="clear" w:color="auto" w:fill="auto"/>
            <w:vAlign w:val="center"/>
          </w:tcPr>
          <w:p w14:paraId="3A3124E2" w14:textId="4A6FBEFE"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10</w:t>
            </w:r>
          </w:p>
        </w:tc>
        <w:tc>
          <w:tcPr>
            <w:tcW w:w="2113" w:type="dxa"/>
            <w:shd w:val="clear" w:color="auto" w:fill="auto"/>
            <w:vAlign w:val="center"/>
          </w:tcPr>
          <w:p w14:paraId="0A60D589" w14:textId="77777777" w:rsidR="006B4969" w:rsidRPr="00C2587D" w:rsidRDefault="006B4969" w:rsidP="00FF28D2">
            <w:pPr>
              <w:spacing w:before="40" w:after="40"/>
              <w:rPr>
                <w:rFonts w:ascii="Times New Roman" w:hAnsi="Times New Roman"/>
                <w:sz w:val="20"/>
                <w:szCs w:val="20"/>
                <w:lang w:eastAsia="it-IT"/>
              </w:rPr>
            </w:pPr>
            <w:r w:rsidRPr="00C2587D">
              <w:rPr>
                <w:rFonts w:ascii="Times New Roman" w:hAnsi="Times New Roman"/>
                <w:sz w:val="20"/>
                <w:szCs w:val="20"/>
                <w:lang w:eastAsia="it-IT"/>
              </w:rPr>
              <w:t>«Відкрита бібліотека: простір знань, ідей і зустрічей»</w:t>
            </w:r>
          </w:p>
          <w:p w14:paraId="3FEC9DAB" w14:textId="77777777" w:rsidR="006B4969" w:rsidRPr="00C2587D" w:rsidRDefault="006B4969" w:rsidP="00FF28D2">
            <w:pPr>
              <w:spacing w:before="40" w:after="40"/>
              <w:rPr>
                <w:rFonts w:ascii="Times New Roman" w:hAnsi="Times New Roman"/>
                <w:sz w:val="20"/>
                <w:szCs w:val="20"/>
                <w:lang w:eastAsia="it-IT"/>
              </w:rPr>
            </w:pPr>
            <w:r w:rsidRPr="00C2587D">
              <w:rPr>
                <w:rFonts w:ascii="Times New Roman" w:eastAsia="Arial" w:hAnsi="Times New Roman"/>
                <w:w w:val="105"/>
                <w:sz w:val="20"/>
                <w:szCs w:val="20"/>
                <w:lang w:eastAsia="en-US"/>
              </w:rPr>
              <w:t>реалізація</w:t>
            </w:r>
            <w:r w:rsidRPr="00C2587D">
              <w:rPr>
                <w:rFonts w:ascii="Times New Roman" w:eastAsia="Arial" w:hAnsi="Times New Roman"/>
                <w:spacing w:val="57"/>
                <w:w w:val="105"/>
                <w:sz w:val="20"/>
                <w:szCs w:val="20"/>
                <w:lang w:eastAsia="en-US"/>
              </w:rPr>
              <w:t xml:space="preserve"> </w:t>
            </w:r>
            <w:r w:rsidRPr="00C2587D">
              <w:rPr>
                <w:rFonts w:ascii="Times New Roman" w:eastAsia="Arial" w:hAnsi="Times New Roman"/>
                <w:spacing w:val="-2"/>
                <w:w w:val="105"/>
                <w:sz w:val="20"/>
                <w:szCs w:val="20"/>
                <w:lang w:eastAsia="en-US"/>
              </w:rPr>
              <w:t>триває</w:t>
            </w:r>
          </w:p>
        </w:tc>
        <w:tc>
          <w:tcPr>
            <w:tcW w:w="737" w:type="dxa"/>
            <w:shd w:val="clear" w:color="auto" w:fill="auto"/>
            <w:textDirection w:val="btLr"/>
            <w:vAlign w:val="center"/>
          </w:tcPr>
          <w:p w14:paraId="73698C19"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750,0</w:t>
            </w:r>
          </w:p>
        </w:tc>
        <w:tc>
          <w:tcPr>
            <w:tcW w:w="850" w:type="dxa"/>
            <w:shd w:val="clear" w:color="auto" w:fill="FBE4D5"/>
            <w:textDirection w:val="btLr"/>
            <w:vAlign w:val="center"/>
          </w:tcPr>
          <w:p w14:paraId="3330994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550,0</w:t>
            </w:r>
          </w:p>
        </w:tc>
        <w:tc>
          <w:tcPr>
            <w:tcW w:w="979" w:type="dxa"/>
            <w:shd w:val="clear" w:color="auto" w:fill="auto"/>
            <w:textDirection w:val="btLr"/>
            <w:vAlign w:val="center"/>
          </w:tcPr>
          <w:p w14:paraId="6A7474A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50,0</w:t>
            </w:r>
          </w:p>
        </w:tc>
        <w:tc>
          <w:tcPr>
            <w:tcW w:w="864" w:type="dxa"/>
            <w:shd w:val="clear" w:color="auto" w:fill="auto"/>
            <w:textDirection w:val="btLr"/>
            <w:vAlign w:val="center"/>
          </w:tcPr>
          <w:p w14:paraId="10AD332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200,0</w:t>
            </w:r>
          </w:p>
        </w:tc>
        <w:tc>
          <w:tcPr>
            <w:tcW w:w="850" w:type="dxa"/>
            <w:shd w:val="clear" w:color="auto" w:fill="auto"/>
            <w:textDirection w:val="btLr"/>
            <w:vAlign w:val="center"/>
          </w:tcPr>
          <w:p w14:paraId="5F8FD68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150,0</w:t>
            </w:r>
          </w:p>
        </w:tc>
        <w:tc>
          <w:tcPr>
            <w:tcW w:w="709" w:type="dxa"/>
            <w:shd w:val="clear" w:color="auto" w:fill="auto"/>
            <w:textDirection w:val="btLr"/>
            <w:vAlign w:val="center"/>
          </w:tcPr>
          <w:p w14:paraId="2C26BD5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150,0</w:t>
            </w:r>
          </w:p>
        </w:tc>
        <w:tc>
          <w:tcPr>
            <w:tcW w:w="709" w:type="dxa"/>
            <w:shd w:val="clear" w:color="auto" w:fill="C5E0B3"/>
            <w:textDirection w:val="btLr"/>
            <w:vAlign w:val="center"/>
          </w:tcPr>
          <w:p w14:paraId="653A451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shd w:val="clear" w:color="auto" w:fill="auto"/>
            <w:textDirection w:val="btLr"/>
            <w:vAlign w:val="center"/>
          </w:tcPr>
          <w:p w14:paraId="077A3E3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8" w:type="dxa"/>
            <w:shd w:val="clear" w:color="auto" w:fill="auto"/>
            <w:textDirection w:val="btLr"/>
            <w:vAlign w:val="center"/>
          </w:tcPr>
          <w:p w14:paraId="77B1347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shd w:val="clear" w:color="auto" w:fill="auto"/>
            <w:textDirection w:val="btLr"/>
            <w:vAlign w:val="center"/>
          </w:tcPr>
          <w:p w14:paraId="6436C8C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696" w:type="dxa"/>
            <w:shd w:val="clear" w:color="auto" w:fill="auto"/>
            <w:textDirection w:val="btLr"/>
            <w:vAlign w:val="center"/>
          </w:tcPr>
          <w:p w14:paraId="24C1EE7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80" w:type="dxa"/>
            <w:shd w:val="clear" w:color="auto" w:fill="D9E2F3"/>
            <w:textDirection w:val="btLr"/>
            <w:vAlign w:val="center"/>
          </w:tcPr>
          <w:p w14:paraId="3EE6E39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200,0</w:t>
            </w:r>
          </w:p>
        </w:tc>
        <w:tc>
          <w:tcPr>
            <w:tcW w:w="567" w:type="dxa"/>
            <w:shd w:val="clear" w:color="auto" w:fill="auto"/>
            <w:textDirection w:val="btLr"/>
            <w:vAlign w:val="center"/>
          </w:tcPr>
          <w:p w14:paraId="3AB6CC5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67" w:type="dxa"/>
            <w:shd w:val="clear" w:color="auto" w:fill="auto"/>
            <w:textDirection w:val="btLr"/>
            <w:vAlign w:val="center"/>
          </w:tcPr>
          <w:p w14:paraId="11C9D1F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w:t>
            </w:r>
          </w:p>
        </w:tc>
        <w:tc>
          <w:tcPr>
            <w:tcW w:w="567" w:type="dxa"/>
            <w:shd w:val="clear" w:color="auto" w:fill="auto"/>
            <w:textDirection w:val="btLr"/>
            <w:vAlign w:val="center"/>
          </w:tcPr>
          <w:p w14:paraId="0688B89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50,0</w:t>
            </w:r>
          </w:p>
        </w:tc>
        <w:tc>
          <w:tcPr>
            <w:tcW w:w="591" w:type="dxa"/>
            <w:shd w:val="clear" w:color="auto" w:fill="auto"/>
            <w:textDirection w:val="btLr"/>
            <w:vAlign w:val="center"/>
          </w:tcPr>
          <w:p w14:paraId="461E33C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50,0</w:t>
            </w:r>
          </w:p>
        </w:tc>
        <w:tc>
          <w:tcPr>
            <w:tcW w:w="1139" w:type="dxa"/>
            <w:shd w:val="clear" w:color="auto" w:fill="auto"/>
            <w:textDirection w:val="btLr"/>
            <w:vAlign w:val="center"/>
          </w:tcPr>
          <w:p w14:paraId="0FB41DC0"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750,0</w:t>
            </w:r>
          </w:p>
        </w:tc>
      </w:tr>
      <w:tr w:rsidR="006B4969" w:rsidRPr="00C2587D" w14:paraId="595DF1D8" w14:textId="77777777" w:rsidTr="00FF28D2">
        <w:trPr>
          <w:cantSplit/>
          <w:trHeight w:val="1089"/>
        </w:trPr>
        <w:tc>
          <w:tcPr>
            <w:tcW w:w="531" w:type="dxa"/>
            <w:shd w:val="clear" w:color="auto" w:fill="auto"/>
            <w:vAlign w:val="center"/>
          </w:tcPr>
          <w:p w14:paraId="13F88556" w14:textId="3DF25E59"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11</w:t>
            </w:r>
          </w:p>
        </w:tc>
        <w:tc>
          <w:tcPr>
            <w:tcW w:w="2113" w:type="dxa"/>
            <w:shd w:val="clear" w:color="auto" w:fill="auto"/>
            <w:vAlign w:val="center"/>
          </w:tcPr>
          <w:p w14:paraId="401FFCA0" w14:textId="77777777" w:rsidR="006B4969" w:rsidRPr="00C2587D" w:rsidRDefault="006B4969" w:rsidP="00FF28D2">
            <w:pPr>
              <w:rPr>
                <w:rFonts w:ascii="Times New Roman" w:hAnsi="Times New Roman"/>
                <w:sz w:val="20"/>
                <w:szCs w:val="20"/>
                <w:lang w:eastAsia="it-IT"/>
              </w:rPr>
            </w:pPr>
            <w:r w:rsidRPr="00C2587D">
              <w:rPr>
                <w:rFonts w:ascii="Times New Roman" w:hAnsi="Times New Roman"/>
                <w:sz w:val="20"/>
                <w:szCs w:val="20"/>
                <w:lang w:eastAsia="it-IT"/>
              </w:rPr>
              <w:t>«Територія дитинства: розвиток, творчість, пізнання»</w:t>
            </w:r>
          </w:p>
          <w:p w14:paraId="262B4B70" w14:textId="77777777" w:rsidR="006B4969" w:rsidRPr="00C2587D" w:rsidRDefault="006B4969" w:rsidP="00FF28D2">
            <w:pPr>
              <w:rPr>
                <w:rFonts w:ascii="Times New Roman" w:eastAsia="Arial" w:hAnsi="Times New Roman"/>
                <w:sz w:val="20"/>
                <w:szCs w:val="20"/>
                <w:lang w:eastAsia="en-US"/>
              </w:rPr>
            </w:pPr>
            <w:r w:rsidRPr="00C2587D">
              <w:rPr>
                <w:rFonts w:ascii="Times New Roman" w:eastAsia="Arial" w:hAnsi="Times New Roman"/>
                <w:w w:val="105"/>
                <w:sz w:val="20"/>
                <w:szCs w:val="20"/>
                <w:lang w:eastAsia="en-US"/>
              </w:rPr>
              <w:t>реалізація</w:t>
            </w:r>
            <w:r w:rsidRPr="00C2587D">
              <w:rPr>
                <w:rFonts w:ascii="Times New Roman" w:eastAsia="Arial" w:hAnsi="Times New Roman"/>
                <w:spacing w:val="57"/>
                <w:w w:val="105"/>
                <w:sz w:val="20"/>
                <w:szCs w:val="20"/>
                <w:lang w:eastAsia="en-US"/>
              </w:rPr>
              <w:t xml:space="preserve"> </w:t>
            </w:r>
            <w:r w:rsidRPr="00C2587D">
              <w:rPr>
                <w:rFonts w:ascii="Times New Roman" w:eastAsia="Arial" w:hAnsi="Times New Roman"/>
                <w:spacing w:val="-2"/>
                <w:w w:val="105"/>
                <w:sz w:val="20"/>
                <w:szCs w:val="20"/>
                <w:lang w:eastAsia="en-US"/>
              </w:rPr>
              <w:t>триває</w:t>
            </w:r>
          </w:p>
        </w:tc>
        <w:tc>
          <w:tcPr>
            <w:tcW w:w="737" w:type="dxa"/>
            <w:shd w:val="clear" w:color="auto" w:fill="auto"/>
            <w:textDirection w:val="btLr"/>
            <w:vAlign w:val="center"/>
          </w:tcPr>
          <w:p w14:paraId="65F9BBD6"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680,0</w:t>
            </w:r>
          </w:p>
        </w:tc>
        <w:tc>
          <w:tcPr>
            <w:tcW w:w="850" w:type="dxa"/>
            <w:shd w:val="clear" w:color="auto" w:fill="FBE4D5"/>
            <w:textDirection w:val="btLr"/>
            <w:vAlign w:val="center"/>
          </w:tcPr>
          <w:p w14:paraId="38A7EAC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400,0</w:t>
            </w:r>
          </w:p>
        </w:tc>
        <w:tc>
          <w:tcPr>
            <w:tcW w:w="979" w:type="dxa"/>
            <w:shd w:val="clear" w:color="auto" w:fill="auto"/>
            <w:textDirection w:val="btLr"/>
            <w:vAlign w:val="center"/>
          </w:tcPr>
          <w:p w14:paraId="1CE63BD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80,0</w:t>
            </w:r>
          </w:p>
        </w:tc>
        <w:tc>
          <w:tcPr>
            <w:tcW w:w="864" w:type="dxa"/>
            <w:shd w:val="clear" w:color="auto" w:fill="auto"/>
            <w:textDirection w:val="btLr"/>
            <w:vAlign w:val="center"/>
          </w:tcPr>
          <w:p w14:paraId="4793853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w:t>
            </w:r>
          </w:p>
        </w:tc>
        <w:tc>
          <w:tcPr>
            <w:tcW w:w="850" w:type="dxa"/>
            <w:shd w:val="clear" w:color="auto" w:fill="auto"/>
            <w:textDirection w:val="btLr"/>
            <w:vAlign w:val="center"/>
          </w:tcPr>
          <w:p w14:paraId="016B945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w:t>
            </w:r>
          </w:p>
        </w:tc>
        <w:tc>
          <w:tcPr>
            <w:tcW w:w="709" w:type="dxa"/>
            <w:shd w:val="clear" w:color="auto" w:fill="auto"/>
            <w:textDirection w:val="btLr"/>
            <w:vAlign w:val="center"/>
          </w:tcPr>
          <w:p w14:paraId="17256D0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120,0</w:t>
            </w:r>
          </w:p>
        </w:tc>
        <w:tc>
          <w:tcPr>
            <w:tcW w:w="709" w:type="dxa"/>
            <w:shd w:val="clear" w:color="auto" w:fill="C5E0B3"/>
            <w:textDirection w:val="btLr"/>
            <w:vAlign w:val="center"/>
          </w:tcPr>
          <w:p w14:paraId="11D530B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shd w:val="clear" w:color="auto" w:fill="auto"/>
            <w:textDirection w:val="btLr"/>
            <w:vAlign w:val="center"/>
          </w:tcPr>
          <w:p w14:paraId="3ABB9DA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8" w:type="dxa"/>
            <w:shd w:val="clear" w:color="auto" w:fill="auto"/>
            <w:textDirection w:val="btLr"/>
            <w:vAlign w:val="center"/>
          </w:tcPr>
          <w:p w14:paraId="4A9C3A2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shd w:val="clear" w:color="auto" w:fill="auto"/>
            <w:textDirection w:val="btLr"/>
            <w:vAlign w:val="center"/>
          </w:tcPr>
          <w:p w14:paraId="667056A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696" w:type="dxa"/>
            <w:shd w:val="clear" w:color="auto" w:fill="auto"/>
            <w:textDirection w:val="btLr"/>
            <w:vAlign w:val="center"/>
          </w:tcPr>
          <w:p w14:paraId="7EB8B54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80" w:type="dxa"/>
            <w:shd w:val="clear" w:color="auto" w:fill="D9E2F3"/>
            <w:textDirection w:val="btLr"/>
            <w:vAlign w:val="center"/>
          </w:tcPr>
          <w:p w14:paraId="0F10687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280,0</w:t>
            </w:r>
          </w:p>
        </w:tc>
        <w:tc>
          <w:tcPr>
            <w:tcW w:w="567" w:type="dxa"/>
            <w:shd w:val="clear" w:color="auto" w:fill="auto"/>
            <w:textDirection w:val="btLr"/>
            <w:vAlign w:val="center"/>
          </w:tcPr>
          <w:p w14:paraId="0384BC9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40,0</w:t>
            </w:r>
          </w:p>
        </w:tc>
        <w:tc>
          <w:tcPr>
            <w:tcW w:w="567" w:type="dxa"/>
            <w:shd w:val="clear" w:color="auto" w:fill="auto"/>
            <w:textDirection w:val="btLr"/>
            <w:vAlign w:val="center"/>
          </w:tcPr>
          <w:p w14:paraId="1644473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120,0</w:t>
            </w:r>
          </w:p>
        </w:tc>
        <w:tc>
          <w:tcPr>
            <w:tcW w:w="567" w:type="dxa"/>
            <w:shd w:val="clear" w:color="auto" w:fill="auto"/>
            <w:textDirection w:val="btLr"/>
            <w:vAlign w:val="center"/>
          </w:tcPr>
          <w:p w14:paraId="546C2E8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120,0</w:t>
            </w:r>
          </w:p>
        </w:tc>
        <w:tc>
          <w:tcPr>
            <w:tcW w:w="591" w:type="dxa"/>
            <w:shd w:val="clear" w:color="auto" w:fill="auto"/>
            <w:textDirection w:val="btLr"/>
            <w:vAlign w:val="center"/>
          </w:tcPr>
          <w:p w14:paraId="55425B1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1139" w:type="dxa"/>
            <w:shd w:val="clear" w:color="auto" w:fill="auto"/>
            <w:textDirection w:val="btLr"/>
            <w:vAlign w:val="center"/>
          </w:tcPr>
          <w:p w14:paraId="6DAE78D2"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680,0</w:t>
            </w:r>
          </w:p>
        </w:tc>
      </w:tr>
      <w:tr w:rsidR="006B4969" w:rsidRPr="00C2587D" w14:paraId="502BEDE9" w14:textId="77777777" w:rsidTr="00FF28D2">
        <w:trPr>
          <w:cantSplit/>
          <w:trHeight w:val="1596"/>
        </w:trPr>
        <w:tc>
          <w:tcPr>
            <w:tcW w:w="531" w:type="dxa"/>
            <w:shd w:val="clear" w:color="auto" w:fill="auto"/>
            <w:vAlign w:val="center"/>
          </w:tcPr>
          <w:p w14:paraId="0413D87E" w14:textId="081B8DAF"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12</w:t>
            </w:r>
          </w:p>
        </w:tc>
        <w:tc>
          <w:tcPr>
            <w:tcW w:w="2113" w:type="dxa"/>
            <w:shd w:val="clear" w:color="auto" w:fill="auto"/>
            <w:vAlign w:val="center"/>
          </w:tcPr>
          <w:p w14:paraId="08651844" w14:textId="77777777" w:rsidR="006B4969" w:rsidRPr="00C2587D" w:rsidRDefault="006B4969" w:rsidP="00FF28D2">
            <w:pPr>
              <w:rPr>
                <w:rFonts w:ascii="Times New Roman" w:hAnsi="Times New Roman"/>
                <w:sz w:val="20"/>
                <w:szCs w:val="20"/>
                <w:lang w:eastAsia="it-IT"/>
              </w:rPr>
            </w:pPr>
            <w:r w:rsidRPr="00C2587D">
              <w:rPr>
                <w:rFonts w:ascii="Times New Roman" w:hAnsi="Times New Roman"/>
                <w:sz w:val="20"/>
                <w:szCs w:val="20"/>
                <w:lang w:eastAsia="it-IT"/>
              </w:rPr>
              <w:t>«Культура без обмежень: створення безбар’єрного простору у закладах культури Жмеринської громади»</w:t>
            </w:r>
          </w:p>
          <w:p w14:paraId="2960AEEA" w14:textId="77777777" w:rsidR="006B4969" w:rsidRPr="00C2587D" w:rsidRDefault="006B4969" w:rsidP="00FF28D2">
            <w:pPr>
              <w:rPr>
                <w:rFonts w:ascii="Times New Roman" w:hAnsi="Times New Roman"/>
                <w:sz w:val="20"/>
                <w:szCs w:val="20"/>
                <w:lang w:eastAsia="it-IT"/>
              </w:rPr>
            </w:pPr>
            <w:r w:rsidRPr="00C2587D">
              <w:rPr>
                <w:rFonts w:ascii="Times New Roman" w:eastAsia="Arial" w:hAnsi="Times New Roman"/>
                <w:w w:val="105"/>
                <w:sz w:val="20"/>
                <w:szCs w:val="20"/>
                <w:lang w:eastAsia="en-US"/>
              </w:rPr>
              <w:t>реалізація</w:t>
            </w:r>
            <w:r w:rsidRPr="00C2587D">
              <w:rPr>
                <w:rFonts w:ascii="Times New Roman" w:eastAsia="Arial" w:hAnsi="Times New Roman"/>
                <w:spacing w:val="57"/>
                <w:w w:val="105"/>
                <w:sz w:val="20"/>
                <w:szCs w:val="20"/>
                <w:lang w:eastAsia="en-US"/>
              </w:rPr>
              <w:t xml:space="preserve"> </w:t>
            </w:r>
            <w:r w:rsidRPr="00C2587D">
              <w:rPr>
                <w:rFonts w:ascii="Times New Roman" w:eastAsia="Arial" w:hAnsi="Times New Roman"/>
                <w:spacing w:val="-2"/>
                <w:w w:val="105"/>
                <w:sz w:val="20"/>
                <w:szCs w:val="20"/>
                <w:lang w:eastAsia="en-US"/>
              </w:rPr>
              <w:t>триває</w:t>
            </w:r>
          </w:p>
        </w:tc>
        <w:tc>
          <w:tcPr>
            <w:tcW w:w="737" w:type="dxa"/>
            <w:shd w:val="clear" w:color="auto" w:fill="auto"/>
            <w:textDirection w:val="btLr"/>
            <w:vAlign w:val="center"/>
          </w:tcPr>
          <w:p w14:paraId="7D23020C"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800,0</w:t>
            </w:r>
          </w:p>
        </w:tc>
        <w:tc>
          <w:tcPr>
            <w:tcW w:w="850" w:type="dxa"/>
            <w:shd w:val="clear" w:color="auto" w:fill="FBE4D5"/>
            <w:textDirection w:val="btLr"/>
            <w:vAlign w:val="center"/>
          </w:tcPr>
          <w:p w14:paraId="43128BA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700,0</w:t>
            </w:r>
          </w:p>
        </w:tc>
        <w:tc>
          <w:tcPr>
            <w:tcW w:w="979" w:type="dxa"/>
            <w:shd w:val="clear" w:color="auto" w:fill="auto"/>
            <w:textDirection w:val="btLr"/>
            <w:vAlign w:val="center"/>
          </w:tcPr>
          <w:p w14:paraId="39848B4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50,0</w:t>
            </w:r>
          </w:p>
        </w:tc>
        <w:tc>
          <w:tcPr>
            <w:tcW w:w="864" w:type="dxa"/>
            <w:shd w:val="clear" w:color="auto" w:fill="auto"/>
            <w:textDirection w:val="btLr"/>
            <w:vAlign w:val="center"/>
          </w:tcPr>
          <w:p w14:paraId="2CDF846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250,0</w:t>
            </w:r>
          </w:p>
        </w:tc>
        <w:tc>
          <w:tcPr>
            <w:tcW w:w="850" w:type="dxa"/>
            <w:shd w:val="clear" w:color="auto" w:fill="auto"/>
            <w:textDirection w:val="btLr"/>
            <w:vAlign w:val="center"/>
          </w:tcPr>
          <w:p w14:paraId="15E6141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200,0</w:t>
            </w:r>
          </w:p>
        </w:tc>
        <w:tc>
          <w:tcPr>
            <w:tcW w:w="709" w:type="dxa"/>
            <w:shd w:val="clear" w:color="auto" w:fill="auto"/>
            <w:textDirection w:val="btLr"/>
            <w:vAlign w:val="center"/>
          </w:tcPr>
          <w:p w14:paraId="369D9F8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200,0</w:t>
            </w:r>
          </w:p>
        </w:tc>
        <w:tc>
          <w:tcPr>
            <w:tcW w:w="709" w:type="dxa"/>
            <w:shd w:val="clear" w:color="auto" w:fill="C5E0B3"/>
            <w:textDirection w:val="btLr"/>
            <w:vAlign w:val="center"/>
          </w:tcPr>
          <w:p w14:paraId="57FEE55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shd w:val="clear" w:color="auto" w:fill="auto"/>
            <w:textDirection w:val="btLr"/>
            <w:vAlign w:val="center"/>
          </w:tcPr>
          <w:p w14:paraId="68B079B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8" w:type="dxa"/>
            <w:shd w:val="clear" w:color="auto" w:fill="auto"/>
            <w:textDirection w:val="btLr"/>
            <w:vAlign w:val="center"/>
          </w:tcPr>
          <w:p w14:paraId="553A562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709" w:type="dxa"/>
            <w:shd w:val="clear" w:color="auto" w:fill="auto"/>
            <w:textDirection w:val="btLr"/>
            <w:vAlign w:val="center"/>
          </w:tcPr>
          <w:p w14:paraId="3A079C2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696" w:type="dxa"/>
            <w:shd w:val="clear" w:color="auto" w:fill="auto"/>
            <w:textDirection w:val="btLr"/>
            <w:vAlign w:val="center"/>
          </w:tcPr>
          <w:p w14:paraId="50FEBF1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80" w:type="dxa"/>
            <w:shd w:val="clear" w:color="auto" w:fill="D9E2F3"/>
            <w:textDirection w:val="btLr"/>
            <w:vAlign w:val="center"/>
          </w:tcPr>
          <w:p w14:paraId="57F69CC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100,0</w:t>
            </w:r>
          </w:p>
        </w:tc>
        <w:tc>
          <w:tcPr>
            <w:tcW w:w="567" w:type="dxa"/>
            <w:shd w:val="clear" w:color="auto" w:fill="auto"/>
            <w:textDirection w:val="btLr"/>
            <w:vAlign w:val="center"/>
          </w:tcPr>
          <w:p w14:paraId="2AE9E8B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567" w:type="dxa"/>
            <w:shd w:val="clear" w:color="auto" w:fill="auto"/>
            <w:textDirection w:val="btLr"/>
            <w:vAlign w:val="center"/>
          </w:tcPr>
          <w:p w14:paraId="6A92A86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50,0</w:t>
            </w:r>
          </w:p>
        </w:tc>
        <w:tc>
          <w:tcPr>
            <w:tcW w:w="567" w:type="dxa"/>
            <w:shd w:val="clear" w:color="auto" w:fill="auto"/>
            <w:textDirection w:val="btLr"/>
            <w:vAlign w:val="center"/>
          </w:tcPr>
          <w:p w14:paraId="17542A8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50,0</w:t>
            </w:r>
          </w:p>
        </w:tc>
        <w:tc>
          <w:tcPr>
            <w:tcW w:w="591" w:type="dxa"/>
            <w:shd w:val="clear" w:color="auto" w:fill="auto"/>
            <w:textDirection w:val="btLr"/>
            <w:vAlign w:val="center"/>
          </w:tcPr>
          <w:p w14:paraId="12F12B9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0</w:t>
            </w:r>
          </w:p>
        </w:tc>
        <w:tc>
          <w:tcPr>
            <w:tcW w:w="1139" w:type="dxa"/>
            <w:shd w:val="clear" w:color="auto" w:fill="auto"/>
            <w:textDirection w:val="btLr"/>
            <w:vAlign w:val="center"/>
          </w:tcPr>
          <w:p w14:paraId="49229E9E"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800,0</w:t>
            </w:r>
          </w:p>
        </w:tc>
      </w:tr>
    </w:tbl>
    <w:p w14:paraId="0ADD584C" w14:textId="77777777" w:rsidR="002F4F1D" w:rsidRDefault="002F4F1D">
      <w:r>
        <w:br w:type="page"/>
      </w:r>
    </w:p>
    <w:tbl>
      <w:tblPr>
        <w:tblW w:w="15175" w:type="dxa"/>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1"/>
        <w:gridCol w:w="2113"/>
        <w:gridCol w:w="737"/>
        <w:gridCol w:w="850"/>
        <w:gridCol w:w="979"/>
        <w:gridCol w:w="864"/>
        <w:gridCol w:w="850"/>
        <w:gridCol w:w="709"/>
        <w:gridCol w:w="709"/>
        <w:gridCol w:w="709"/>
        <w:gridCol w:w="708"/>
        <w:gridCol w:w="709"/>
        <w:gridCol w:w="696"/>
        <w:gridCol w:w="580"/>
        <w:gridCol w:w="567"/>
        <w:gridCol w:w="567"/>
        <w:gridCol w:w="567"/>
        <w:gridCol w:w="591"/>
        <w:gridCol w:w="1139"/>
      </w:tblGrid>
      <w:tr w:rsidR="006B4969" w:rsidRPr="00C2587D" w14:paraId="487493C9" w14:textId="77777777" w:rsidTr="00A041B2">
        <w:trPr>
          <w:cantSplit/>
          <w:trHeight w:val="428"/>
        </w:trPr>
        <w:tc>
          <w:tcPr>
            <w:tcW w:w="15175" w:type="dxa"/>
            <w:gridSpan w:val="19"/>
            <w:shd w:val="clear" w:color="auto" w:fill="auto"/>
            <w:vAlign w:val="center"/>
          </w:tcPr>
          <w:p w14:paraId="4052EDAB" w14:textId="2EA8554E"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lastRenderedPageBreak/>
              <w:t>Виконавчий комітет Жмеринської міської ради</w:t>
            </w:r>
          </w:p>
        </w:tc>
      </w:tr>
      <w:tr w:rsidR="006B4969" w:rsidRPr="00C2587D" w14:paraId="7A6C1AD1" w14:textId="77777777" w:rsidTr="00A041B2">
        <w:trPr>
          <w:cantSplit/>
          <w:trHeight w:val="394"/>
        </w:trPr>
        <w:tc>
          <w:tcPr>
            <w:tcW w:w="15175" w:type="dxa"/>
            <w:gridSpan w:val="19"/>
            <w:shd w:val="clear" w:color="auto" w:fill="auto"/>
            <w:vAlign w:val="center"/>
          </w:tcPr>
          <w:p w14:paraId="3B56579E" w14:textId="77777777" w:rsidR="006B4969" w:rsidRPr="002F4F1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2F4F1D">
              <w:rPr>
                <w:rFonts w:ascii="Times New Roman" w:eastAsia="Arial" w:hAnsi="Times New Roman"/>
                <w:b/>
                <w:sz w:val="20"/>
                <w:szCs w:val="20"/>
                <w:lang w:eastAsia="en-US"/>
              </w:rPr>
              <w:t>Програми місцевого розвитку ( в тому числі, які реалізуються через проєкти)</w:t>
            </w:r>
          </w:p>
        </w:tc>
      </w:tr>
      <w:tr w:rsidR="006B4969" w:rsidRPr="00C2587D" w14:paraId="2941E2D3" w14:textId="77777777" w:rsidTr="00FF28D2">
        <w:trPr>
          <w:cantSplit/>
          <w:trHeight w:val="2411"/>
        </w:trPr>
        <w:tc>
          <w:tcPr>
            <w:tcW w:w="531" w:type="dxa"/>
            <w:tcBorders>
              <w:top w:val="single" w:sz="4" w:space="0" w:color="auto"/>
              <w:left w:val="single" w:sz="4" w:space="0" w:color="auto"/>
              <w:bottom w:val="single" w:sz="4" w:space="0" w:color="auto"/>
              <w:right w:val="single" w:sz="4" w:space="0" w:color="auto"/>
            </w:tcBorders>
            <w:vAlign w:val="center"/>
          </w:tcPr>
          <w:p w14:paraId="6B0BDEE7" w14:textId="29A01EDE"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1</w:t>
            </w:r>
          </w:p>
        </w:tc>
        <w:tc>
          <w:tcPr>
            <w:tcW w:w="2113" w:type="dxa"/>
            <w:tcBorders>
              <w:top w:val="single" w:sz="4" w:space="0" w:color="auto"/>
              <w:left w:val="single" w:sz="4" w:space="0" w:color="auto"/>
              <w:bottom w:val="single" w:sz="4" w:space="0" w:color="auto"/>
              <w:right w:val="single" w:sz="4" w:space="0" w:color="auto"/>
            </w:tcBorders>
            <w:vAlign w:val="center"/>
          </w:tcPr>
          <w:p w14:paraId="4173295F" w14:textId="6DF9933E"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bCs/>
                <w:sz w:val="20"/>
                <w:szCs w:val="20"/>
                <w:lang w:eastAsia="en-US"/>
              </w:rPr>
              <w:t>Програма підвищення якості надання адміністративних послуг до рівня європейських стандартів у Жмеринській міській територіальній громаді на  2025-2027 роки</w:t>
            </w:r>
          </w:p>
        </w:tc>
        <w:tc>
          <w:tcPr>
            <w:tcW w:w="737" w:type="dxa"/>
            <w:tcBorders>
              <w:top w:val="single" w:sz="4" w:space="0" w:color="auto"/>
              <w:left w:val="single" w:sz="4" w:space="0" w:color="auto"/>
              <w:bottom w:val="single" w:sz="4" w:space="0" w:color="auto"/>
              <w:right w:val="single" w:sz="4" w:space="0" w:color="auto"/>
            </w:tcBorders>
            <w:textDirection w:val="btLr"/>
            <w:vAlign w:val="center"/>
          </w:tcPr>
          <w:p w14:paraId="7A06F940" w14:textId="1A929A4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4723</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789500FC" w14:textId="053546E0"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1100</w:t>
            </w:r>
          </w:p>
        </w:tc>
        <w:tc>
          <w:tcPr>
            <w:tcW w:w="979" w:type="dxa"/>
            <w:tcBorders>
              <w:top w:val="single" w:sz="4" w:space="0" w:color="auto"/>
              <w:left w:val="single" w:sz="4" w:space="0" w:color="auto"/>
              <w:bottom w:val="single" w:sz="4" w:space="0" w:color="auto"/>
              <w:right w:val="single" w:sz="4" w:space="0" w:color="auto"/>
            </w:tcBorders>
            <w:textDirection w:val="btLr"/>
            <w:vAlign w:val="center"/>
          </w:tcPr>
          <w:p w14:paraId="67ECB1E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500</w:t>
            </w:r>
          </w:p>
          <w:p w14:paraId="0753C3C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64" w:type="dxa"/>
            <w:tcBorders>
              <w:top w:val="single" w:sz="4" w:space="0" w:color="auto"/>
              <w:left w:val="single" w:sz="4" w:space="0" w:color="auto"/>
              <w:bottom w:val="single" w:sz="4" w:space="0" w:color="auto"/>
              <w:right w:val="single" w:sz="4" w:space="0" w:color="auto"/>
            </w:tcBorders>
            <w:textDirection w:val="btLr"/>
            <w:vAlign w:val="center"/>
          </w:tcPr>
          <w:p w14:paraId="7E70C88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500</w:t>
            </w:r>
          </w:p>
          <w:p w14:paraId="33896E7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50" w:type="dxa"/>
            <w:tcBorders>
              <w:top w:val="single" w:sz="4" w:space="0" w:color="auto"/>
              <w:left w:val="single" w:sz="4" w:space="0" w:color="auto"/>
              <w:bottom w:val="single" w:sz="4" w:space="0" w:color="auto"/>
              <w:right w:val="single" w:sz="4" w:space="0" w:color="auto"/>
            </w:tcBorders>
            <w:textDirection w:val="btLr"/>
            <w:vAlign w:val="center"/>
          </w:tcPr>
          <w:p w14:paraId="3A60DE7F" w14:textId="47CA8B76"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3144783E"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2AC5AEA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7CCA051F"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textDirection w:val="btLr"/>
            <w:vAlign w:val="center"/>
          </w:tcPr>
          <w:p w14:paraId="6D3368E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684C3C75"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tcBorders>
              <w:top w:val="single" w:sz="4" w:space="0" w:color="auto"/>
              <w:left w:val="single" w:sz="4" w:space="0" w:color="auto"/>
              <w:bottom w:val="single" w:sz="4" w:space="0" w:color="auto"/>
              <w:right w:val="single" w:sz="4" w:space="0" w:color="auto"/>
            </w:tcBorders>
            <w:textDirection w:val="btLr"/>
            <w:vAlign w:val="center"/>
          </w:tcPr>
          <w:p w14:paraId="4FB84CEA"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6C6B82E0" w14:textId="4054F739"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3623</w:t>
            </w: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14:paraId="7388AB5B" w14:textId="169D18E1"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1503</w:t>
            </w: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14:paraId="5D22B61F" w14:textId="23D03B0B"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1480</w:t>
            </w: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14:paraId="17B1AB0A" w14:textId="0675DD88"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640</w:t>
            </w:r>
          </w:p>
        </w:tc>
        <w:tc>
          <w:tcPr>
            <w:tcW w:w="591" w:type="dxa"/>
            <w:tcBorders>
              <w:top w:val="single" w:sz="4" w:space="0" w:color="auto"/>
              <w:left w:val="single" w:sz="4" w:space="0" w:color="auto"/>
              <w:bottom w:val="single" w:sz="4" w:space="0" w:color="auto"/>
              <w:right w:val="single" w:sz="4" w:space="0" w:color="auto"/>
            </w:tcBorders>
            <w:textDirection w:val="btLr"/>
            <w:vAlign w:val="center"/>
          </w:tcPr>
          <w:p w14:paraId="15FB681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tcBorders>
              <w:top w:val="single" w:sz="4" w:space="0" w:color="auto"/>
              <w:left w:val="single" w:sz="4" w:space="0" w:color="auto"/>
              <w:bottom w:val="single" w:sz="4" w:space="0" w:color="auto"/>
              <w:right w:val="single" w:sz="4" w:space="0" w:color="auto"/>
            </w:tcBorders>
            <w:textDirection w:val="btLr"/>
            <w:vAlign w:val="center"/>
          </w:tcPr>
          <w:p w14:paraId="68D407F3" w14:textId="72C05749"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4723</w:t>
            </w:r>
          </w:p>
        </w:tc>
      </w:tr>
      <w:tr w:rsidR="006B4969" w:rsidRPr="00C2587D" w14:paraId="62D70D86" w14:textId="77777777" w:rsidTr="00FF28D2">
        <w:trPr>
          <w:cantSplit/>
          <w:trHeight w:val="2372"/>
        </w:trPr>
        <w:tc>
          <w:tcPr>
            <w:tcW w:w="531" w:type="dxa"/>
            <w:tcBorders>
              <w:top w:val="single" w:sz="4" w:space="0" w:color="auto"/>
              <w:left w:val="single" w:sz="4" w:space="0" w:color="auto"/>
              <w:bottom w:val="single" w:sz="4" w:space="0" w:color="auto"/>
              <w:right w:val="single" w:sz="4" w:space="0" w:color="auto"/>
            </w:tcBorders>
            <w:vAlign w:val="center"/>
          </w:tcPr>
          <w:p w14:paraId="0B18F047" w14:textId="7ECCFC18"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2</w:t>
            </w:r>
          </w:p>
        </w:tc>
        <w:tc>
          <w:tcPr>
            <w:tcW w:w="2113" w:type="dxa"/>
            <w:tcBorders>
              <w:top w:val="single" w:sz="4" w:space="0" w:color="auto"/>
              <w:left w:val="single" w:sz="4" w:space="0" w:color="auto"/>
              <w:bottom w:val="single" w:sz="4" w:space="0" w:color="auto"/>
              <w:right w:val="single" w:sz="4" w:space="0" w:color="auto"/>
            </w:tcBorders>
            <w:vAlign w:val="center"/>
          </w:tcPr>
          <w:p w14:paraId="56C6859F" w14:textId="0197B718"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Проєкт Програми</w:t>
            </w:r>
            <w:r w:rsidRPr="00C2587D">
              <w:rPr>
                <w:rFonts w:ascii="Times New Roman" w:eastAsia="Arial" w:hAnsi="Times New Roman"/>
                <w:bCs/>
                <w:sz w:val="20"/>
                <w:szCs w:val="20"/>
                <w:lang w:eastAsia="en-US"/>
              </w:rPr>
              <w:t xml:space="preserve"> якості надання адміністративних послуг до рівня європейських стандартів у Жмеринській міській територіальній громаді на 2028-2031 роки</w:t>
            </w:r>
          </w:p>
        </w:tc>
        <w:tc>
          <w:tcPr>
            <w:tcW w:w="737" w:type="dxa"/>
            <w:tcBorders>
              <w:top w:val="single" w:sz="4" w:space="0" w:color="auto"/>
              <w:left w:val="single" w:sz="4" w:space="0" w:color="auto"/>
              <w:bottom w:val="single" w:sz="4" w:space="0" w:color="auto"/>
              <w:right w:val="single" w:sz="4" w:space="0" w:color="auto"/>
            </w:tcBorders>
            <w:textDirection w:val="btLr"/>
            <w:vAlign w:val="center"/>
          </w:tcPr>
          <w:p w14:paraId="1900F696" w14:textId="3457CEEA"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1000</w:t>
            </w:r>
          </w:p>
        </w:tc>
        <w:tc>
          <w:tcPr>
            <w:tcW w:w="850" w:type="dxa"/>
            <w:tcBorders>
              <w:top w:val="single" w:sz="4" w:space="0" w:color="auto"/>
              <w:left w:val="single" w:sz="4" w:space="0" w:color="auto"/>
              <w:bottom w:val="single" w:sz="4" w:space="0" w:color="auto"/>
              <w:right w:val="single" w:sz="4" w:space="0" w:color="auto"/>
            </w:tcBorders>
            <w:shd w:val="clear" w:color="auto" w:fill="FBE4D5"/>
            <w:textDirection w:val="btLr"/>
            <w:vAlign w:val="center"/>
          </w:tcPr>
          <w:p w14:paraId="55009974" w14:textId="27A9AD85"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500</w:t>
            </w:r>
          </w:p>
        </w:tc>
        <w:tc>
          <w:tcPr>
            <w:tcW w:w="97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30BE37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6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A22FEE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B9A1BF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22ECA97" w14:textId="3372835F"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500</w:t>
            </w:r>
          </w:p>
        </w:tc>
        <w:tc>
          <w:tcPr>
            <w:tcW w:w="709" w:type="dxa"/>
            <w:tcBorders>
              <w:top w:val="single" w:sz="4" w:space="0" w:color="auto"/>
              <w:left w:val="single" w:sz="4" w:space="0" w:color="auto"/>
              <w:bottom w:val="single" w:sz="4" w:space="0" w:color="auto"/>
              <w:right w:val="single" w:sz="4" w:space="0" w:color="auto"/>
            </w:tcBorders>
            <w:shd w:val="clear" w:color="auto" w:fill="C5E0B3"/>
            <w:textDirection w:val="btLr"/>
            <w:vAlign w:val="center"/>
          </w:tcPr>
          <w:p w14:paraId="781EB4C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D094F4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932C6F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C087EE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CF81C3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tcBorders>
              <w:top w:val="single" w:sz="4" w:space="0" w:color="auto"/>
              <w:left w:val="single" w:sz="4" w:space="0" w:color="auto"/>
              <w:bottom w:val="single" w:sz="4" w:space="0" w:color="auto"/>
              <w:right w:val="single" w:sz="4" w:space="0" w:color="auto"/>
            </w:tcBorders>
            <w:shd w:val="clear" w:color="auto" w:fill="D9E2F3"/>
            <w:textDirection w:val="btLr"/>
            <w:vAlign w:val="center"/>
          </w:tcPr>
          <w:p w14:paraId="356000DD" w14:textId="4B26B09C"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500,0</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F0DFAA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65670E7"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D360E4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9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DCEBB1E" w14:textId="265231BE"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500</w:t>
            </w:r>
          </w:p>
        </w:tc>
        <w:tc>
          <w:tcPr>
            <w:tcW w:w="113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EED5B5F" w14:textId="3A4B18BF"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1000</w:t>
            </w:r>
          </w:p>
        </w:tc>
      </w:tr>
      <w:tr w:rsidR="006B4969" w:rsidRPr="00C2587D" w14:paraId="1DD7B108" w14:textId="77777777" w:rsidTr="00A041B2">
        <w:trPr>
          <w:cantSplit/>
          <w:trHeight w:val="376"/>
        </w:trPr>
        <w:tc>
          <w:tcPr>
            <w:tcW w:w="15175" w:type="dxa"/>
            <w:gridSpan w:val="19"/>
            <w:shd w:val="clear" w:color="auto" w:fill="auto"/>
            <w:vAlign w:val="center"/>
          </w:tcPr>
          <w:p w14:paraId="7E97BA6C" w14:textId="29A84278" w:rsidR="006B4969" w:rsidRPr="00C2587D" w:rsidRDefault="006B4969" w:rsidP="002F4F1D">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Проєкти місцевого (регіонального) розвитку</w:t>
            </w:r>
          </w:p>
        </w:tc>
      </w:tr>
      <w:tr w:rsidR="006B4969" w:rsidRPr="00C2587D" w14:paraId="28CC6FB5" w14:textId="77777777" w:rsidTr="00FF28D2">
        <w:trPr>
          <w:cantSplit/>
          <w:trHeight w:val="1092"/>
        </w:trPr>
        <w:tc>
          <w:tcPr>
            <w:tcW w:w="531" w:type="dxa"/>
            <w:shd w:val="clear" w:color="auto" w:fill="auto"/>
            <w:vAlign w:val="center"/>
          </w:tcPr>
          <w:p w14:paraId="315E2AAA" w14:textId="6EC98C57"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1</w:t>
            </w:r>
          </w:p>
        </w:tc>
        <w:tc>
          <w:tcPr>
            <w:tcW w:w="2113" w:type="dxa"/>
            <w:shd w:val="clear" w:color="auto" w:fill="auto"/>
            <w:vAlign w:val="center"/>
          </w:tcPr>
          <w:p w14:paraId="4278EC9D" w14:textId="168011A5" w:rsidR="006B4969" w:rsidRPr="00C2587D" w:rsidRDefault="006B4969" w:rsidP="00FF28D2">
            <w:pPr>
              <w:widowControl w:val="0"/>
              <w:autoSpaceDE w:val="0"/>
              <w:autoSpaceDN w:val="0"/>
              <w:rPr>
                <w:rFonts w:ascii="Times New Roman" w:eastAsia="Arial" w:hAnsi="Times New Roman"/>
                <w:sz w:val="20"/>
                <w:szCs w:val="20"/>
                <w:lang w:eastAsia="en-US"/>
              </w:rPr>
            </w:pPr>
            <w:r w:rsidRPr="00C2587D">
              <w:rPr>
                <w:rFonts w:ascii="Times New Roman" w:eastAsia="Arial" w:hAnsi="Times New Roman"/>
                <w:sz w:val="20"/>
                <w:szCs w:val="20"/>
                <w:lang w:eastAsia="en-US"/>
              </w:rPr>
              <w:t xml:space="preserve"> «Адміністративні послуги – доступні та комфортні»</w:t>
            </w:r>
          </w:p>
        </w:tc>
        <w:tc>
          <w:tcPr>
            <w:tcW w:w="737" w:type="dxa"/>
            <w:shd w:val="clear" w:color="auto" w:fill="auto"/>
            <w:textDirection w:val="btLr"/>
            <w:vAlign w:val="center"/>
          </w:tcPr>
          <w:p w14:paraId="341A1682"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4723</w:t>
            </w:r>
          </w:p>
        </w:tc>
        <w:tc>
          <w:tcPr>
            <w:tcW w:w="850" w:type="dxa"/>
            <w:shd w:val="clear" w:color="auto" w:fill="FBE4D5"/>
            <w:textDirection w:val="btLr"/>
            <w:vAlign w:val="center"/>
          </w:tcPr>
          <w:p w14:paraId="67DE3A0A" w14:textId="77777777" w:rsidR="006B4969" w:rsidRPr="00C2587D" w:rsidRDefault="006B4969" w:rsidP="006B4969">
            <w:pPr>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1100</w:t>
            </w:r>
          </w:p>
        </w:tc>
        <w:tc>
          <w:tcPr>
            <w:tcW w:w="979" w:type="dxa"/>
            <w:shd w:val="clear" w:color="auto" w:fill="auto"/>
            <w:textDirection w:val="btLr"/>
            <w:vAlign w:val="center"/>
          </w:tcPr>
          <w:p w14:paraId="5365700B"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500</w:t>
            </w:r>
          </w:p>
          <w:p w14:paraId="75882ABD"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64" w:type="dxa"/>
            <w:shd w:val="clear" w:color="auto" w:fill="auto"/>
            <w:textDirection w:val="btLr"/>
            <w:vAlign w:val="center"/>
          </w:tcPr>
          <w:p w14:paraId="03DC7F36"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500</w:t>
            </w:r>
          </w:p>
          <w:p w14:paraId="3D08F97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850" w:type="dxa"/>
            <w:shd w:val="clear" w:color="auto" w:fill="auto"/>
            <w:textDirection w:val="btLr"/>
            <w:vAlign w:val="center"/>
          </w:tcPr>
          <w:p w14:paraId="1C57CCBC"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100</w:t>
            </w:r>
          </w:p>
        </w:tc>
        <w:tc>
          <w:tcPr>
            <w:tcW w:w="709" w:type="dxa"/>
            <w:shd w:val="clear" w:color="auto" w:fill="auto"/>
            <w:textDirection w:val="btLr"/>
            <w:vAlign w:val="center"/>
          </w:tcPr>
          <w:p w14:paraId="6F56151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C5E0B3"/>
            <w:textDirection w:val="btLr"/>
            <w:vAlign w:val="center"/>
          </w:tcPr>
          <w:p w14:paraId="547440E3"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0AEA3862"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8" w:type="dxa"/>
            <w:shd w:val="clear" w:color="auto" w:fill="auto"/>
            <w:textDirection w:val="btLr"/>
            <w:vAlign w:val="center"/>
          </w:tcPr>
          <w:p w14:paraId="5681BB0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709" w:type="dxa"/>
            <w:shd w:val="clear" w:color="auto" w:fill="auto"/>
            <w:textDirection w:val="btLr"/>
            <w:vAlign w:val="center"/>
          </w:tcPr>
          <w:p w14:paraId="49EFE011"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696" w:type="dxa"/>
            <w:shd w:val="clear" w:color="auto" w:fill="auto"/>
            <w:textDirection w:val="btLr"/>
            <w:vAlign w:val="center"/>
          </w:tcPr>
          <w:p w14:paraId="1273C9B0"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580" w:type="dxa"/>
            <w:shd w:val="clear" w:color="auto" w:fill="D9E2F3"/>
            <w:textDirection w:val="btLr"/>
            <w:vAlign w:val="center"/>
          </w:tcPr>
          <w:p w14:paraId="7F0D32C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3623</w:t>
            </w:r>
          </w:p>
        </w:tc>
        <w:tc>
          <w:tcPr>
            <w:tcW w:w="567" w:type="dxa"/>
            <w:shd w:val="clear" w:color="auto" w:fill="auto"/>
            <w:textDirection w:val="btLr"/>
            <w:vAlign w:val="center"/>
          </w:tcPr>
          <w:p w14:paraId="38623EA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1503</w:t>
            </w:r>
          </w:p>
        </w:tc>
        <w:tc>
          <w:tcPr>
            <w:tcW w:w="567" w:type="dxa"/>
            <w:shd w:val="clear" w:color="auto" w:fill="auto"/>
            <w:textDirection w:val="btLr"/>
            <w:vAlign w:val="center"/>
          </w:tcPr>
          <w:p w14:paraId="2C0A93C4"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1480</w:t>
            </w:r>
          </w:p>
        </w:tc>
        <w:tc>
          <w:tcPr>
            <w:tcW w:w="567" w:type="dxa"/>
            <w:shd w:val="clear" w:color="auto" w:fill="auto"/>
            <w:textDirection w:val="btLr"/>
            <w:vAlign w:val="center"/>
          </w:tcPr>
          <w:p w14:paraId="2CD38CC9"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r w:rsidRPr="00C2587D">
              <w:rPr>
                <w:rFonts w:ascii="Times New Roman" w:eastAsia="Arial" w:hAnsi="Times New Roman"/>
                <w:sz w:val="20"/>
                <w:szCs w:val="20"/>
                <w:lang w:eastAsia="en-US"/>
              </w:rPr>
              <w:t>640</w:t>
            </w:r>
          </w:p>
        </w:tc>
        <w:tc>
          <w:tcPr>
            <w:tcW w:w="591" w:type="dxa"/>
            <w:shd w:val="clear" w:color="auto" w:fill="auto"/>
            <w:textDirection w:val="btLr"/>
            <w:vAlign w:val="center"/>
          </w:tcPr>
          <w:p w14:paraId="4ACCD8E8" w14:textId="77777777" w:rsidR="006B4969" w:rsidRPr="00C2587D" w:rsidRDefault="006B4969" w:rsidP="006B4969">
            <w:pPr>
              <w:widowControl w:val="0"/>
              <w:autoSpaceDE w:val="0"/>
              <w:autoSpaceDN w:val="0"/>
              <w:ind w:left="113" w:right="113"/>
              <w:jc w:val="center"/>
              <w:rPr>
                <w:rFonts w:ascii="Times New Roman" w:eastAsia="Arial" w:hAnsi="Times New Roman"/>
                <w:sz w:val="20"/>
                <w:szCs w:val="20"/>
                <w:lang w:eastAsia="en-US"/>
              </w:rPr>
            </w:pPr>
          </w:p>
        </w:tc>
        <w:tc>
          <w:tcPr>
            <w:tcW w:w="1139" w:type="dxa"/>
            <w:shd w:val="clear" w:color="auto" w:fill="auto"/>
            <w:textDirection w:val="btLr"/>
            <w:vAlign w:val="center"/>
          </w:tcPr>
          <w:p w14:paraId="2FAA069D" w14:textId="77777777" w:rsidR="006B4969" w:rsidRPr="00C2587D" w:rsidRDefault="006B4969" w:rsidP="006B4969">
            <w:pPr>
              <w:widowControl w:val="0"/>
              <w:autoSpaceDE w:val="0"/>
              <w:autoSpaceDN w:val="0"/>
              <w:ind w:left="113" w:right="113"/>
              <w:jc w:val="center"/>
              <w:rPr>
                <w:rFonts w:ascii="Times New Roman" w:eastAsia="Arial" w:hAnsi="Times New Roman"/>
                <w:b/>
                <w:sz w:val="20"/>
                <w:szCs w:val="20"/>
                <w:lang w:eastAsia="en-US"/>
              </w:rPr>
            </w:pPr>
            <w:r w:rsidRPr="00C2587D">
              <w:rPr>
                <w:rFonts w:ascii="Times New Roman" w:eastAsia="Arial" w:hAnsi="Times New Roman"/>
                <w:b/>
                <w:sz w:val="20"/>
                <w:szCs w:val="20"/>
                <w:lang w:eastAsia="en-US"/>
              </w:rPr>
              <w:t>4723</w:t>
            </w:r>
          </w:p>
        </w:tc>
      </w:tr>
    </w:tbl>
    <w:p w14:paraId="0AF558E5" w14:textId="77777777" w:rsidR="00F4296B" w:rsidRPr="00C2587D" w:rsidRDefault="00F4296B" w:rsidP="00F4296B">
      <w:pPr>
        <w:rPr>
          <w:rFonts w:ascii="Times New Roman" w:hAnsi="Times New Roman"/>
          <w:i/>
          <w:sz w:val="18"/>
          <w:szCs w:val="18"/>
        </w:rPr>
      </w:pPr>
    </w:p>
    <w:p w14:paraId="64EC4CEE" w14:textId="169A90F0" w:rsidR="00F4296B" w:rsidRPr="00C2587D" w:rsidRDefault="00F4296B" w:rsidP="002E78BD">
      <w:pPr>
        <w:rPr>
          <w:lang w:eastAsia="en-US"/>
        </w:rPr>
      </w:pPr>
    </w:p>
    <w:p w14:paraId="1326E5BA" w14:textId="77777777" w:rsidR="002E78BD" w:rsidRPr="00C2587D" w:rsidRDefault="002E78BD" w:rsidP="002E78BD">
      <w:pPr>
        <w:pStyle w:val="2"/>
        <w:jc w:val="center"/>
      </w:pPr>
    </w:p>
    <w:p w14:paraId="58E32F82" w14:textId="77777777" w:rsidR="00F4296B" w:rsidRPr="00C2587D" w:rsidRDefault="00F4296B" w:rsidP="002E78BD">
      <w:pPr>
        <w:pStyle w:val="2"/>
        <w:jc w:val="center"/>
        <w:sectPr w:rsidR="00F4296B" w:rsidRPr="00C2587D" w:rsidSect="00C60A15">
          <w:pgSz w:w="16838" w:h="11906" w:orient="landscape" w:code="9"/>
          <w:pgMar w:top="1134" w:right="1134" w:bottom="993" w:left="1134" w:header="794" w:footer="794" w:gutter="0"/>
          <w:cols w:space="708"/>
          <w:docGrid w:linePitch="360"/>
        </w:sectPr>
      </w:pPr>
    </w:p>
    <w:p w14:paraId="01CADB81" w14:textId="77777777" w:rsidR="00255B72" w:rsidRPr="00687C3D" w:rsidRDefault="00F4296B" w:rsidP="00255B72">
      <w:pPr>
        <w:pStyle w:val="2"/>
        <w:jc w:val="center"/>
        <w:rPr>
          <w:rFonts w:cs="Arial"/>
          <w:color w:val="auto"/>
        </w:rPr>
      </w:pPr>
      <w:r w:rsidRPr="00687C3D">
        <w:rPr>
          <w:rFonts w:cs="Arial"/>
          <w:color w:val="auto"/>
        </w:rPr>
        <w:lastRenderedPageBreak/>
        <w:t>Р</w:t>
      </w:r>
      <w:r w:rsidR="002E78BD" w:rsidRPr="00687C3D">
        <w:rPr>
          <w:rFonts w:cs="Arial"/>
          <w:color w:val="auto"/>
        </w:rPr>
        <w:t>озділ 5. Моніторинг  та оцінювання реалізації Плану заходів з реалізації у 2025-2028 роках Стратегії розвитку Жмеринської міської територіальної громади до 2030 року</w:t>
      </w:r>
      <w:r w:rsidR="00255B72" w:rsidRPr="00687C3D">
        <w:rPr>
          <w:rFonts w:cs="Arial"/>
          <w:color w:val="auto"/>
        </w:rPr>
        <w:t xml:space="preserve"> </w:t>
      </w:r>
    </w:p>
    <w:p w14:paraId="3FD31FA3" w14:textId="1BCF7BBE" w:rsidR="002E78BD" w:rsidRPr="00255B72" w:rsidRDefault="002E78BD" w:rsidP="00255B72">
      <w:pPr>
        <w:pStyle w:val="2"/>
        <w:jc w:val="center"/>
        <w:rPr>
          <w:rFonts w:ascii="Times New Roman" w:hAnsi="Times New Roman"/>
          <w:color w:val="auto"/>
        </w:rPr>
      </w:pPr>
      <w:r w:rsidRPr="00CB1A01">
        <w:rPr>
          <w:rFonts w:ascii="Times New Roman" w:hAnsi="Times New Roman"/>
          <w:b w:val="0"/>
          <w:bCs w:val="0"/>
          <w:color w:val="FFFFFF"/>
          <w:szCs w:val="22"/>
          <w:lang w:eastAsia="uk-UA"/>
        </w:rPr>
        <w:t xml:space="preserve">Розділ 4. МОНІТОРИНГ ТА ОЦІНЮВАННЯ РЕАЛІЗАЦІЇ ПЛАНУ ЗАХОДІВ </w:t>
      </w:r>
    </w:p>
    <w:p w14:paraId="21717BAB" w14:textId="02294CFF" w:rsidR="002E78BD" w:rsidRPr="00687C3D" w:rsidRDefault="002E78BD" w:rsidP="00CB1A01">
      <w:pPr>
        <w:autoSpaceDE w:val="0"/>
        <w:autoSpaceDN w:val="0"/>
        <w:adjustRightInd w:val="0"/>
        <w:spacing w:after="120"/>
        <w:jc w:val="both"/>
        <w:rPr>
          <w:rFonts w:cs="Arial"/>
          <w:color w:val="000000"/>
          <w:szCs w:val="22"/>
          <w:lang w:eastAsia="uk-UA"/>
        </w:rPr>
      </w:pPr>
      <w:r w:rsidRPr="00CB1A01">
        <w:rPr>
          <w:rFonts w:ascii="Times New Roman" w:hAnsi="Times New Roman"/>
          <w:color w:val="000000"/>
          <w:szCs w:val="22"/>
          <w:lang w:eastAsia="uk-UA"/>
        </w:rPr>
        <w:tab/>
      </w:r>
      <w:r w:rsidRPr="00687C3D">
        <w:rPr>
          <w:rFonts w:cs="Arial"/>
          <w:color w:val="000000"/>
          <w:szCs w:val="22"/>
          <w:lang w:eastAsia="uk-UA"/>
        </w:rPr>
        <w:t>Для в</w:t>
      </w:r>
      <w:r w:rsidR="00687C3D">
        <w:rPr>
          <w:rFonts w:cs="Arial"/>
          <w:color w:val="000000"/>
          <w:szCs w:val="22"/>
          <w:lang w:eastAsia="uk-UA"/>
        </w:rPr>
        <w:t>ідстеження та аналізу динаміки й</w:t>
      </w:r>
      <w:r w:rsidRPr="00687C3D">
        <w:rPr>
          <w:rFonts w:cs="Arial"/>
          <w:color w:val="000000"/>
          <w:szCs w:val="22"/>
          <w:lang w:eastAsia="uk-UA"/>
        </w:rPr>
        <w:t xml:space="preserve"> структурних змін, що відбуваються у громаді відповідно до визначених у Стратегії стратегічних, оперативних цілей та завдань проводиться моніторинг реалізації Стратегії та Плану заходів. Моніторинг є сукупністю заходів з обліку, збору, аналізу та узагальнення інформації про стан реалізації Стратегії та Плану заходів. </w:t>
      </w:r>
    </w:p>
    <w:p w14:paraId="19A22597" w14:textId="77777777" w:rsidR="002E78BD" w:rsidRPr="00687C3D" w:rsidRDefault="002E78BD" w:rsidP="00CB1A01">
      <w:pPr>
        <w:autoSpaceDE w:val="0"/>
        <w:autoSpaceDN w:val="0"/>
        <w:adjustRightInd w:val="0"/>
        <w:spacing w:after="120"/>
        <w:ind w:firstLine="709"/>
        <w:jc w:val="both"/>
        <w:rPr>
          <w:rFonts w:cs="Arial"/>
          <w:color w:val="000000"/>
          <w:szCs w:val="22"/>
          <w:lang w:eastAsia="uk-UA"/>
        </w:rPr>
      </w:pPr>
      <w:r w:rsidRPr="00687C3D">
        <w:rPr>
          <w:rFonts w:cs="Arial"/>
          <w:color w:val="000000"/>
          <w:szCs w:val="22"/>
          <w:lang w:eastAsia="uk-UA"/>
        </w:rPr>
        <w:t xml:space="preserve">Результати моніторингу є основою для висновків про необхідність внесення змін (актуалізації) Стратегії та Плану заходів. </w:t>
      </w:r>
    </w:p>
    <w:p w14:paraId="7C88DCDB" w14:textId="33AF5DAE" w:rsidR="002E78BD" w:rsidRPr="00687C3D" w:rsidRDefault="002E78BD" w:rsidP="00CB1A01">
      <w:pPr>
        <w:autoSpaceDE w:val="0"/>
        <w:autoSpaceDN w:val="0"/>
        <w:adjustRightInd w:val="0"/>
        <w:spacing w:after="120"/>
        <w:jc w:val="both"/>
        <w:rPr>
          <w:rFonts w:cs="Arial"/>
          <w:color w:val="000000"/>
          <w:szCs w:val="22"/>
          <w:lang w:eastAsia="uk-UA"/>
        </w:rPr>
      </w:pPr>
      <w:r w:rsidRPr="00687C3D">
        <w:rPr>
          <w:rFonts w:cs="Arial"/>
          <w:b/>
          <w:bCs/>
          <w:color w:val="000000"/>
          <w:szCs w:val="22"/>
          <w:lang w:eastAsia="uk-UA"/>
        </w:rPr>
        <w:tab/>
        <w:t xml:space="preserve">Моніторинг виконання Плану заходів з реалізації Стратегії </w:t>
      </w:r>
      <w:r w:rsidRPr="00687C3D">
        <w:rPr>
          <w:rFonts w:cs="Arial"/>
          <w:color w:val="000000"/>
          <w:szCs w:val="22"/>
          <w:lang w:eastAsia="uk-UA"/>
        </w:rPr>
        <w:t xml:space="preserve">здійснюється двічі на рік на основі відстеження виконання визначених показників (індикаторів) результативності впровадження кожного проєкту місцевого розвитку. </w:t>
      </w:r>
    </w:p>
    <w:p w14:paraId="298DB6F2" w14:textId="10D41D7D" w:rsidR="002E78BD" w:rsidRPr="00687C3D" w:rsidRDefault="002E78BD" w:rsidP="00CB1A01">
      <w:pPr>
        <w:autoSpaceDE w:val="0"/>
        <w:autoSpaceDN w:val="0"/>
        <w:adjustRightInd w:val="0"/>
        <w:spacing w:after="120"/>
        <w:jc w:val="both"/>
        <w:rPr>
          <w:rFonts w:cs="Arial"/>
          <w:szCs w:val="22"/>
          <w:lang w:eastAsia="uk-UA"/>
        </w:rPr>
      </w:pPr>
      <w:r w:rsidRPr="00687C3D">
        <w:rPr>
          <w:rFonts w:cs="Arial"/>
          <w:color w:val="000000"/>
          <w:szCs w:val="22"/>
          <w:lang w:eastAsia="uk-UA"/>
        </w:rPr>
        <w:tab/>
      </w:r>
      <w:r w:rsidRPr="00687C3D">
        <w:rPr>
          <w:rFonts w:cs="Arial"/>
          <w:szCs w:val="22"/>
          <w:lang w:eastAsia="uk-UA"/>
        </w:rPr>
        <w:t>Система показників (індикаторів) для моніторингу реалізації Плану заходів подана у Таблицях 5.1</w:t>
      </w:r>
      <w:r w:rsidR="00BC7F59" w:rsidRPr="00687C3D">
        <w:rPr>
          <w:rFonts w:cs="Arial"/>
          <w:szCs w:val="22"/>
          <w:lang w:eastAsia="uk-UA"/>
        </w:rPr>
        <w:t>.</w:t>
      </w:r>
    </w:p>
    <w:p w14:paraId="4BACDDEE" w14:textId="02AA290E" w:rsidR="002E78BD" w:rsidRPr="00687C3D" w:rsidRDefault="00F4296B" w:rsidP="00CB1A01">
      <w:pPr>
        <w:autoSpaceDE w:val="0"/>
        <w:autoSpaceDN w:val="0"/>
        <w:adjustRightInd w:val="0"/>
        <w:spacing w:after="120"/>
        <w:jc w:val="both"/>
        <w:rPr>
          <w:rFonts w:cs="Arial"/>
          <w:szCs w:val="22"/>
          <w:lang w:eastAsia="uk-UA"/>
        </w:rPr>
      </w:pPr>
      <w:r w:rsidRPr="00687C3D">
        <w:rPr>
          <w:rFonts w:cs="Arial"/>
          <w:szCs w:val="22"/>
          <w:lang w:eastAsia="uk-UA"/>
        </w:rPr>
        <w:tab/>
      </w:r>
      <w:r w:rsidR="002E78BD" w:rsidRPr="00687C3D">
        <w:rPr>
          <w:rFonts w:cs="Arial"/>
          <w:szCs w:val="22"/>
          <w:lang w:eastAsia="uk-UA"/>
        </w:rPr>
        <w:t xml:space="preserve">Звіт про </w:t>
      </w:r>
      <w:r w:rsidR="002E78BD" w:rsidRPr="00687C3D">
        <w:rPr>
          <w:rFonts w:cs="Arial"/>
          <w:color w:val="000000"/>
          <w:szCs w:val="22"/>
          <w:lang w:eastAsia="uk-UA"/>
        </w:rPr>
        <w:t>результати проведення моніторингу Плану заходів з реалізації Стратегії включає уза</w:t>
      </w:r>
      <w:r w:rsidR="00687C3D">
        <w:rPr>
          <w:rFonts w:cs="Arial"/>
          <w:color w:val="000000"/>
          <w:szCs w:val="22"/>
          <w:lang w:eastAsia="uk-UA"/>
        </w:rPr>
        <w:t>гальнену таблицю у формі згідно з додатком</w:t>
      </w:r>
      <w:r w:rsidR="002E78BD" w:rsidRPr="00687C3D">
        <w:rPr>
          <w:rFonts w:cs="Arial"/>
          <w:color w:val="000000"/>
          <w:szCs w:val="22"/>
          <w:lang w:eastAsia="uk-UA"/>
        </w:rPr>
        <w:t xml:space="preserve"> 13 до Методичних рекомендацій щодо порядку розроблення, затвердження, реалізації, проведення моніторингу та оцінювання реалізації стратегій розвитку територіальних громад, затверджених наказом Міністерства розвитку громад та територ</w:t>
      </w:r>
      <w:r w:rsidR="000B32C2" w:rsidRPr="00687C3D">
        <w:rPr>
          <w:rFonts w:cs="Arial"/>
          <w:color w:val="000000"/>
          <w:szCs w:val="22"/>
          <w:lang w:eastAsia="uk-UA"/>
        </w:rPr>
        <w:t>ій України від 21.12.2022 № 265</w:t>
      </w:r>
      <w:r w:rsidR="002E78BD" w:rsidRPr="00687C3D">
        <w:rPr>
          <w:rFonts w:cs="Arial"/>
          <w:color w:val="000000"/>
          <w:szCs w:val="22"/>
          <w:lang w:eastAsia="uk-UA"/>
        </w:rPr>
        <w:t xml:space="preserve">, та висновки у вигляді аналітичної </w:t>
      </w:r>
      <w:r w:rsidR="002E78BD" w:rsidRPr="00687C3D">
        <w:rPr>
          <w:rFonts w:cs="Arial"/>
          <w:szCs w:val="22"/>
          <w:lang w:eastAsia="uk-UA"/>
        </w:rPr>
        <w:t xml:space="preserve">довідки. </w:t>
      </w:r>
      <w:r w:rsidRPr="00687C3D">
        <w:rPr>
          <w:rFonts w:cs="Arial"/>
          <w:szCs w:val="22"/>
          <w:lang w:eastAsia="uk-UA"/>
        </w:rPr>
        <w:t xml:space="preserve"> </w:t>
      </w:r>
    </w:p>
    <w:p w14:paraId="41CAC5F5" w14:textId="54F5BB87" w:rsidR="002E78BD" w:rsidRPr="00687C3D" w:rsidRDefault="00F4296B" w:rsidP="00CB1A01">
      <w:pPr>
        <w:autoSpaceDE w:val="0"/>
        <w:autoSpaceDN w:val="0"/>
        <w:adjustRightInd w:val="0"/>
        <w:spacing w:after="120"/>
        <w:jc w:val="both"/>
        <w:rPr>
          <w:rFonts w:cs="Arial"/>
          <w:szCs w:val="22"/>
          <w:lang w:eastAsia="uk-UA"/>
        </w:rPr>
      </w:pPr>
      <w:r w:rsidRPr="00687C3D">
        <w:rPr>
          <w:rFonts w:cs="Arial"/>
          <w:szCs w:val="22"/>
          <w:lang w:eastAsia="uk-UA"/>
        </w:rPr>
        <w:tab/>
      </w:r>
      <w:r w:rsidR="002E78BD" w:rsidRPr="00687C3D">
        <w:rPr>
          <w:rFonts w:cs="Arial"/>
          <w:szCs w:val="22"/>
          <w:lang w:eastAsia="uk-UA"/>
        </w:rPr>
        <w:t>Звіти про результати проведення моніторингу Плану заходів з реалізації Стратегії за перше півріччя та за рік готує</w:t>
      </w:r>
      <w:r w:rsidR="000B32C2" w:rsidRPr="00687C3D">
        <w:rPr>
          <w:rFonts w:cs="Arial"/>
          <w:szCs w:val="22"/>
        </w:rPr>
        <w:t xml:space="preserve"> </w:t>
      </w:r>
      <w:r w:rsidR="000B32C2" w:rsidRPr="00687C3D">
        <w:rPr>
          <w:rFonts w:cs="Arial"/>
          <w:szCs w:val="22"/>
          <w:lang w:eastAsia="uk-UA"/>
        </w:rPr>
        <w:t>Комітет з управління впровадженням Стратегії розвитку Жмеринської міської територіальної громади</w:t>
      </w:r>
      <w:r w:rsidR="002E78BD" w:rsidRPr="00687C3D">
        <w:rPr>
          <w:rFonts w:cs="Arial"/>
          <w:szCs w:val="22"/>
          <w:lang w:eastAsia="uk-UA"/>
        </w:rPr>
        <w:t xml:space="preserve">, узагальнення та формування їх тексту здійснює </w:t>
      </w:r>
      <w:r w:rsidR="00B43682" w:rsidRPr="00687C3D">
        <w:rPr>
          <w:rFonts w:cs="Arial"/>
          <w:szCs w:val="22"/>
          <w:lang w:eastAsia="uk-UA"/>
        </w:rPr>
        <w:t>управління</w:t>
      </w:r>
      <w:r w:rsidR="002E78BD" w:rsidRPr="00687C3D">
        <w:rPr>
          <w:rFonts w:cs="Arial"/>
          <w:szCs w:val="22"/>
          <w:lang w:eastAsia="uk-UA"/>
        </w:rPr>
        <w:t xml:space="preserve"> економіки</w:t>
      </w:r>
      <w:r w:rsidR="00B43682" w:rsidRPr="00687C3D">
        <w:rPr>
          <w:rFonts w:cs="Arial"/>
          <w:szCs w:val="22"/>
          <w:lang w:eastAsia="uk-UA"/>
        </w:rPr>
        <w:t xml:space="preserve"> та розвитку інфраструктури виконавчого комітету міської ради</w:t>
      </w:r>
      <w:r w:rsidR="002E78BD" w:rsidRPr="00687C3D">
        <w:rPr>
          <w:rFonts w:cs="Arial"/>
          <w:szCs w:val="22"/>
          <w:lang w:eastAsia="uk-UA"/>
        </w:rPr>
        <w:t xml:space="preserve">. Голова </w:t>
      </w:r>
      <w:r w:rsidR="00B43682" w:rsidRPr="00687C3D">
        <w:rPr>
          <w:rFonts w:cs="Arial"/>
          <w:szCs w:val="22"/>
          <w:lang w:eastAsia="uk-UA"/>
        </w:rPr>
        <w:t xml:space="preserve">Комітету </w:t>
      </w:r>
      <w:r w:rsidR="002E78BD" w:rsidRPr="00687C3D">
        <w:rPr>
          <w:rFonts w:cs="Arial"/>
          <w:szCs w:val="22"/>
          <w:lang w:eastAsia="uk-UA"/>
        </w:rPr>
        <w:t>в термін не пізніше одного місяця після закінчення звітного періоду представля</w:t>
      </w:r>
      <w:r w:rsidR="00B43682" w:rsidRPr="00687C3D">
        <w:rPr>
          <w:rFonts w:cs="Arial"/>
          <w:szCs w:val="22"/>
          <w:lang w:eastAsia="uk-UA"/>
        </w:rPr>
        <w:t>є їх на розгляд сесії міської</w:t>
      </w:r>
      <w:r w:rsidR="002E78BD" w:rsidRPr="00687C3D">
        <w:rPr>
          <w:rFonts w:cs="Arial"/>
          <w:szCs w:val="22"/>
          <w:lang w:eastAsia="uk-UA"/>
        </w:rPr>
        <w:t xml:space="preserve"> ради. Крім того, звіти оприлюднюються на офіційному </w:t>
      </w:r>
      <w:r w:rsidR="00CB1A01" w:rsidRPr="00687C3D">
        <w:rPr>
          <w:rFonts w:cs="Arial"/>
          <w:szCs w:val="22"/>
          <w:lang w:eastAsia="uk-UA"/>
        </w:rPr>
        <w:t>вебсайті</w:t>
      </w:r>
      <w:r w:rsidR="002E78BD" w:rsidRPr="00687C3D">
        <w:rPr>
          <w:rFonts w:cs="Arial"/>
          <w:szCs w:val="22"/>
          <w:lang w:eastAsia="uk-UA"/>
        </w:rPr>
        <w:t xml:space="preserve"> міської ради. </w:t>
      </w:r>
    </w:p>
    <w:p w14:paraId="1B192152" w14:textId="32E53015" w:rsidR="002E78BD" w:rsidRPr="00687C3D" w:rsidRDefault="00CF74A1" w:rsidP="00CB1A01">
      <w:pPr>
        <w:autoSpaceDE w:val="0"/>
        <w:autoSpaceDN w:val="0"/>
        <w:adjustRightInd w:val="0"/>
        <w:spacing w:after="120"/>
        <w:jc w:val="both"/>
        <w:rPr>
          <w:rFonts w:cs="Arial"/>
          <w:szCs w:val="22"/>
          <w:lang w:eastAsia="uk-UA"/>
        </w:rPr>
      </w:pPr>
      <w:r w:rsidRPr="00687C3D">
        <w:rPr>
          <w:rFonts w:cs="Arial"/>
          <w:b/>
          <w:bCs/>
          <w:color w:val="FF0000"/>
          <w:szCs w:val="22"/>
          <w:lang w:eastAsia="uk-UA"/>
        </w:rPr>
        <w:tab/>
      </w:r>
      <w:r w:rsidR="002E78BD" w:rsidRPr="00687C3D">
        <w:rPr>
          <w:rFonts w:cs="Arial"/>
          <w:b/>
          <w:bCs/>
          <w:szCs w:val="22"/>
          <w:lang w:eastAsia="uk-UA"/>
        </w:rPr>
        <w:t xml:space="preserve">Оцінювання результатів реалізації Стратегії та Плану заходів </w:t>
      </w:r>
      <w:r w:rsidR="002E78BD" w:rsidRPr="00687C3D">
        <w:rPr>
          <w:rFonts w:cs="Arial"/>
          <w:szCs w:val="22"/>
          <w:lang w:eastAsia="uk-UA"/>
        </w:rPr>
        <w:t>проводиться після завершення строку їх реалізації на основі даних звітів проведеного моніторингу та є необхідним етапом для отримання інформації стосовно досягнення очікуваних результатів, їх впливу на стан соціально-економічного розвитку територіальної громади та інформації щодо сталості змін з ме</w:t>
      </w:r>
      <w:r w:rsidR="00687C3D">
        <w:rPr>
          <w:rFonts w:cs="Arial"/>
          <w:szCs w:val="22"/>
          <w:lang w:eastAsia="uk-UA"/>
        </w:rPr>
        <w:t>тою прийняття надалі</w:t>
      </w:r>
      <w:r w:rsidR="002E78BD" w:rsidRPr="00687C3D">
        <w:rPr>
          <w:rFonts w:cs="Arial"/>
          <w:szCs w:val="22"/>
          <w:lang w:eastAsia="uk-UA"/>
        </w:rPr>
        <w:t xml:space="preserve"> необхідних управлінських рішень та </w:t>
      </w:r>
      <w:r w:rsidR="00687C3D">
        <w:rPr>
          <w:rFonts w:cs="Arial"/>
          <w:szCs w:val="22"/>
          <w:lang w:eastAsia="uk-UA"/>
        </w:rPr>
        <w:t>їх</w:t>
      </w:r>
      <w:r w:rsidR="002E78BD" w:rsidRPr="00687C3D">
        <w:rPr>
          <w:rFonts w:cs="Arial"/>
          <w:szCs w:val="22"/>
          <w:lang w:eastAsia="uk-UA"/>
        </w:rPr>
        <w:t xml:space="preserve"> коригувань. </w:t>
      </w:r>
    </w:p>
    <w:p w14:paraId="2E200E0C" w14:textId="44F5C7E0" w:rsidR="002E78BD" w:rsidRPr="00687C3D" w:rsidRDefault="002E78BD" w:rsidP="00CB1A01">
      <w:pPr>
        <w:autoSpaceDE w:val="0"/>
        <w:autoSpaceDN w:val="0"/>
        <w:adjustRightInd w:val="0"/>
        <w:spacing w:after="120"/>
        <w:ind w:firstLine="709"/>
        <w:jc w:val="both"/>
        <w:rPr>
          <w:rFonts w:cs="Arial"/>
          <w:szCs w:val="22"/>
          <w:lang w:eastAsia="uk-UA"/>
        </w:rPr>
      </w:pPr>
      <w:r w:rsidRPr="00687C3D">
        <w:rPr>
          <w:rFonts w:cs="Arial"/>
          <w:szCs w:val="22"/>
          <w:lang w:eastAsia="uk-UA"/>
        </w:rPr>
        <w:t>На основі здійснення оцінювання складається за</w:t>
      </w:r>
      <w:r w:rsidR="007B0C93">
        <w:rPr>
          <w:rFonts w:cs="Arial"/>
          <w:szCs w:val="22"/>
          <w:lang w:eastAsia="uk-UA"/>
        </w:rPr>
        <w:t>вершальний</w:t>
      </w:r>
      <w:r w:rsidRPr="00687C3D">
        <w:rPr>
          <w:rFonts w:cs="Arial"/>
          <w:szCs w:val="22"/>
          <w:lang w:eastAsia="uk-UA"/>
        </w:rPr>
        <w:t xml:space="preserve"> звіт, який містить: </w:t>
      </w:r>
    </w:p>
    <w:p w14:paraId="1EC7B23C" w14:textId="77777777" w:rsidR="002E78BD" w:rsidRPr="00687C3D" w:rsidRDefault="002E78BD" w:rsidP="00CB1A01">
      <w:pPr>
        <w:autoSpaceDE w:val="0"/>
        <w:autoSpaceDN w:val="0"/>
        <w:adjustRightInd w:val="0"/>
        <w:spacing w:after="120"/>
        <w:ind w:firstLine="709"/>
        <w:jc w:val="both"/>
        <w:rPr>
          <w:rFonts w:cs="Arial"/>
          <w:szCs w:val="22"/>
          <w:lang w:eastAsia="uk-UA"/>
        </w:rPr>
      </w:pPr>
      <w:r w:rsidRPr="00687C3D">
        <w:rPr>
          <w:rFonts w:cs="Arial"/>
          <w:szCs w:val="22"/>
          <w:lang w:eastAsia="uk-UA"/>
        </w:rPr>
        <w:t xml:space="preserve"> результати порівняння базових (на початок реалізації Стратегії), прогнозованих цільових (станом на останній період) і фактичних значень показників; </w:t>
      </w:r>
    </w:p>
    <w:p w14:paraId="6E0D7366" w14:textId="77777777" w:rsidR="002E78BD" w:rsidRPr="00687C3D" w:rsidRDefault="002E78BD" w:rsidP="00CB1A01">
      <w:pPr>
        <w:autoSpaceDE w:val="0"/>
        <w:autoSpaceDN w:val="0"/>
        <w:adjustRightInd w:val="0"/>
        <w:spacing w:after="120"/>
        <w:ind w:firstLine="709"/>
        <w:jc w:val="both"/>
        <w:rPr>
          <w:rFonts w:cs="Arial"/>
          <w:szCs w:val="22"/>
          <w:lang w:eastAsia="uk-UA"/>
        </w:rPr>
      </w:pPr>
      <w:r w:rsidRPr="00687C3D">
        <w:rPr>
          <w:rFonts w:cs="Arial"/>
          <w:szCs w:val="22"/>
          <w:lang w:eastAsia="uk-UA"/>
        </w:rPr>
        <w:t xml:space="preserve"> досягнення запланованих цілей; </w:t>
      </w:r>
    </w:p>
    <w:p w14:paraId="1510F476" w14:textId="715C0647" w:rsidR="002E78BD" w:rsidRPr="00687C3D" w:rsidRDefault="002E78BD" w:rsidP="00CB1A01">
      <w:pPr>
        <w:autoSpaceDE w:val="0"/>
        <w:autoSpaceDN w:val="0"/>
        <w:adjustRightInd w:val="0"/>
        <w:spacing w:after="120"/>
        <w:ind w:firstLine="709"/>
        <w:jc w:val="both"/>
        <w:rPr>
          <w:rFonts w:cs="Arial"/>
          <w:szCs w:val="22"/>
          <w:lang w:eastAsia="uk-UA"/>
        </w:rPr>
      </w:pPr>
      <w:r w:rsidRPr="00687C3D">
        <w:rPr>
          <w:rFonts w:cs="Arial"/>
          <w:szCs w:val="22"/>
          <w:lang w:eastAsia="uk-UA"/>
        </w:rPr>
        <w:t> задоволення по</w:t>
      </w:r>
      <w:r w:rsidR="007B0C93">
        <w:rPr>
          <w:rFonts w:cs="Arial"/>
          <w:szCs w:val="22"/>
          <w:lang w:eastAsia="uk-UA"/>
        </w:rPr>
        <w:t>треб різних груп зацікавлених</w:t>
      </w:r>
      <w:r w:rsidRPr="00687C3D">
        <w:rPr>
          <w:rFonts w:cs="Arial"/>
          <w:szCs w:val="22"/>
          <w:lang w:eastAsia="uk-UA"/>
        </w:rPr>
        <w:t xml:space="preserve"> осіб; </w:t>
      </w:r>
    </w:p>
    <w:p w14:paraId="467F15A1" w14:textId="77777777" w:rsidR="002E78BD" w:rsidRPr="00687C3D" w:rsidRDefault="002E78BD" w:rsidP="00CB1A01">
      <w:pPr>
        <w:autoSpaceDE w:val="0"/>
        <w:autoSpaceDN w:val="0"/>
        <w:adjustRightInd w:val="0"/>
        <w:spacing w:after="120"/>
        <w:ind w:firstLine="709"/>
        <w:jc w:val="both"/>
        <w:rPr>
          <w:rFonts w:cs="Arial"/>
          <w:szCs w:val="22"/>
          <w:lang w:eastAsia="uk-UA"/>
        </w:rPr>
      </w:pPr>
      <w:r w:rsidRPr="00687C3D">
        <w:rPr>
          <w:rFonts w:cs="Arial"/>
          <w:szCs w:val="22"/>
          <w:lang w:eastAsia="uk-UA"/>
        </w:rPr>
        <w:t xml:space="preserve"> наявних незапланованих змін та впливів; </w:t>
      </w:r>
    </w:p>
    <w:p w14:paraId="146D9543" w14:textId="77777777" w:rsidR="002E78BD" w:rsidRPr="00687C3D" w:rsidRDefault="002E78BD" w:rsidP="00CB1A01">
      <w:pPr>
        <w:autoSpaceDE w:val="0"/>
        <w:autoSpaceDN w:val="0"/>
        <w:adjustRightInd w:val="0"/>
        <w:spacing w:after="120"/>
        <w:ind w:firstLine="709"/>
        <w:jc w:val="both"/>
        <w:rPr>
          <w:rFonts w:cs="Arial"/>
          <w:szCs w:val="22"/>
          <w:lang w:eastAsia="uk-UA"/>
        </w:rPr>
      </w:pPr>
      <w:r w:rsidRPr="00687C3D">
        <w:rPr>
          <w:rFonts w:cs="Arial"/>
          <w:szCs w:val="22"/>
          <w:lang w:eastAsia="uk-UA"/>
        </w:rPr>
        <w:t xml:space="preserve"> діяльності, що призвела до змін (зокрема незапланованих); </w:t>
      </w:r>
    </w:p>
    <w:p w14:paraId="4B03E1AA" w14:textId="77777777" w:rsidR="002E78BD" w:rsidRPr="00687C3D" w:rsidRDefault="002E78BD" w:rsidP="00CB1A01">
      <w:pPr>
        <w:autoSpaceDE w:val="0"/>
        <w:autoSpaceDN w:val="0"/>
        <w:adjustRightInd w:val="0"/>
        <w:spacing w:after="120"/>
        <w:ind w:firstLine="709"/>
        <w:jc w:val="both"/>
        <w:rPr>
          <w:rFonts w:cs="Arial"/>
          <w:szCs w:val="22"/>
          <w:lang w:eastAsia="uk-UA"/>
        </w:rPr>
      </w:pPr>
      <w:r w:rsidRPr="00687C3D">
        <w:rPr>
          <w:rFonts w:cs="Arial"/>
          <w:szCs w:val="22"/>
          <w:lang w:eastAsia="uk-UA"/>
        </w:rPr>
        <w:t xml:space="preserve"> ефективності механізмів реалізації Стратегії або ресурсних витрат; </w:t>
      </w:r>
    </w:p>
    <w:p w14:paraId="6EF504AE" w14:textId="77777777" w:rsidR="002E78BD" w:rsidRPr="00687C3D" w:rsidRDefault="002E78BD" w:rsidP="00CB1A01">
      <w:pPr>
        <w:autoSpaceDE w:val="0"/>
        <w:autoSpaceDN w:val="0"/>
        <w:adjustRightInd w:val="0"/>
        <w:spacing w:after="120"/>
        <w:ind w:firstLine="709"/>
        <w:jc w:val="both"/>
        <w:rPr>
          <w:rFonts w:cs="Arial"/>
          <w:szCs w:val="22"/>
          <w:lang w:eastAsia="uk-UA"/>
        </w:rPr>
      </w:pPr>
      <w:r w:rsidRPr="00687C3D">
        <w:rPr>
          <w:rFonts w:cs="Arial"/>
          <w:szCs w:val="22"/>
          <w:lang w:eastAsia="uk-UA"/>
        </w:rPr>
        <w:t xml:space="preserve"> стійкості результатів Стратегії тощо. </w:t>
      </w:r>
    </w:p>
    <w:p w14:paraId="48C183D1" w14:textId="77777777" w:rsidR="002E78BD" w:rsidRPr="00687C3D" w:rsidRDefault="002E78BD" w:rsidP="00CB1A01">
      <w:pPr>
        <w:autoSpaceDE w:val="0"/>
        <w:autoSpaceDN w:val="0"/>
        <w:adjustRightInd w:val="0"/>
        <w:spacing w:after="120"/>
        <w:jc w:val="both"/>
        <w:rPr>
          <w:rFonts w:cs="Arial"/>
          <w:szCs w:val="22"/>
          <w:lang w:eastAsia="uk-UA"/>
        </w:rPr>
      </w:pPr>
    </w:p>
    <w:p w14:paraId="42EAC576" w14:textId="30B208D3" w:rsidR="002E78BD" w:rsidRPr="00687C3D" w:rsidRDefault="00CF74A1" w:rsidP="00CB1A01">
      <w:pPr>
        <w:autoSpaceDE w:val="0"/>
        <w:autoSpaceDN w:val="0"/>
        <w:adjustRightInd w:val="0"/>
        <w:spacing w:after="120"/>
        <w:jc w:val="both"/>
        <w:rPr>
          <w:rFonts w:cs="Arial"/>
          <w:szCs w:val="22"/>
          <w:lang w:eastAsia="uk-UA"/>
        </w:rPr>
      </w:pPr>
      <w:r w:rsidRPr="00687C3D">
        <w:rPr>
          <w:rFonts w:cs="Arial"/>
          <w:szCs w:val="22"/>
          <w:lang w:eastAsia="uk-UA"/>
        </w:rPr>
        <w:tab/>
      </w:r>
      <w:r w:rsidR="002E78BD" w:rsidRPr="00687C3D">
        <w:rPr>
          <w:rFonts w:cs="Arial"/>
          <w:szCs w:val="22"/>
          <w:lang w:eastAsia="uk-UA"/>
        </w:rPr>
        <w:t xml:space="preserve">Оцінювання може бути внутрішнім (проводиться виконавцями Стратегії) та зовнішнім (проводиться залученими експертами). </w:t>
      </w:r>
    </w:p>
    <w:p w14:paraId="43A62638" w14:textId="77777777" w:rsidR="002E78BD" w:rsidRPr="00687C3D" w:rsidRDefault="002E78BD" w:rsidP="00CB1A01">
      <w:pPr>
        <w:autoSpaceDE w:val="0"/>
        <w:autoSpaceDN w:val="0"/>
        <w:adjustRightInd w:val="0"/>
        <w:spacing w:after="120"/>
        <w:jc w:val="both"/>
        <w:rPr>
          <w:rFonts w:cs="Arial"/>
          <w:szCs w:val="22"/>
          <w:lang w:eastAsia="uk-UA"/>
        </w:rPr>
      </w:pPr>
    </w:p>
    <w:p w14:paraId="433BCD1D" w14:textId="4078A33E" w:rsidR="00842E47" w:rsidRPr="00687C3D" w:rsidRDefault="002E78BD" w:rsidP="00CB1A01">
      <w:pPr>
        <w:pStyle w:val="2"/>
        <w:tabs>
          <w:tab w:val="clear" w:pos="567"/>
        </w:tabs>
        <w:spacing w:before="0" w:after="120"/>
        <w:ind w:firstLine="425"/>
        <w:jc w:val="both"/>
        <w:rPr>
          <w:rFonts w:cs="Arial"/>
          <w:color w:val="auto"/>
          <w:sz w:val="22"/>
          <w:szCs w:val="22"/>
        </w:rPr>
      </w:pPr>
      <w:r w:rsidRPr="00687C3D">
        <w:rPr>
          <w:rFonts w:cs="Arial"/>
          <w:b w:val="0"/>
          <w:bCs w:val="0"/>
          <w:color w:val="auto"/>
          <w:sz w:val="22"/>
          <w:szCs w:val="22"/>
          <w:lang w:eastAsia="uk-UA"/>
        </w:rPr>
        <w:lastRenderedPageBreak/>
        <w:t>Звіти про оцінювання результатів реалізації Стратегії та Плану заходів готує</w:t>
      </w:r>
      <w:r w:rsidR="00CF74A1" w:rsidRPr="00687C3D">
        <w:rPr>
          <w:rFonts w:cs="Arial"/>
          <w:color w:val="auto"/>
          <w:sz w:val="22"/>
          <w:szCs w:val="22"/>
        </w:rPr>
        <w:t xml:space="preserve"> </w:t>
      </w:r>
      <w:r w:rsidR="00CF74A1" w:rsidRPr="00687C3D">
        <w:rPr>
          <w:rFonts w:cs="Arial"/>
          <w:b w:val="0"/>
          <w:bCs w:val="0"/>
          <w:color w:val="auto"/>
          <w:sz w:val="22"/>
          <w:szCs w:val="22"/>
          <w:lang w:eastAsia="uk-UA"/>
        </w:rPr>
        <w:t>Комітет з управління впровадженням Стратегії розвитку Жмеринської міської територіальної громади</w:t>
      </w:r>
      <w:r w:rsidRPr="00687C3D">
        <w:rPr>
          <w:rFonts w:cs="Arial"/>
          <w:b w:val="0"/>
          <w:bCs w:val="0"/>
          <w:color w:val="auto"/>
          <w:sz w:val="22"/>
          <w:szCs w:val="22"/>
          <w:lang w:eastAsia="uk-UA"/>
        </w:rPr>
        <w:t>, узагальнення та формування їх тексту здійснює</w:t>
      </w:r>
      <w:r w:rsidR="00CF74A1" w:rsidRPr="00687C3D">
        <w:rPr>
          <w:rFonts w:cs="Arial"/>
          <w:b w:val="0"/>
          <w:bCs w:val="0"/>
          <w:color w:val="auto"/>
          <w:sz w:val="22"/>
          <w:szCs w:val="22"/>
          <w:lang w:eastAsia="uk-UA"/>
        </w:rPr>
        <w:t xml:space="preserve"> управління економіки та розвитку інфраструктури виконавчого комітету міської ради</w:t>
      </w:r>
      <w:r w:rsidRPr="00687C3D">
        <w:rPr>
          <w:rFonts w:cs="Arial"/>
          <w:b w:val="0"/>
          <w:bCs w:val="0"/>
          <w:color w:val="auto"/>
          <w:sz w:val="22"/>
          <w:szCs w:val="22"/>
          <w:lang w:eastAsia="uk-UA"/>
        </w:rPr>
        <w:t>. Голова Робочої групи  в термін не пізніше трьох місяців після закінчення періоду реалізації Стратегії та Плану заходів представляє їх на розгляд сесії м</w:t>
      </w:r>
      <w:r w:rsidR="007B0C93">
        <w:rPr>
          <w:rFonts w:cs="Arial"/>
          <w:b w:val="0"/>
          <w:bCs w:val="0"/>
          <w:color w:val="auto"/>
          <w:sz w:val="22"/>
          <w:szCs w:val="22"/>
          <w:lang w:eastAsia="uk-UA"/>
        </w:rPr>
        <w:t>іської ради. Крім того, завершальні</w:t>
      </w:r>
      <w:r w:rsidRPr="00687C3D">
        <w:rPr>
          <w:rFonts w:cs="Arial"/>
          <w:b w:val="0"/>
          <w:bCs w:val="0"/>
          <w:color w:val="auto"/>
          <w:sz w:val="22"/>
          <w:szCs w:val="22"/>
          <w:lang w:eastAsia="uk-UA"/>
        </w:rPr>
        <w:t xml:space="preserve"> звіти про оцінювання результатів реалізації Стратегії та Плану заходів оприлюднюються на офіційному </w:t>
      </w:r>
      <w:r w:rsidR="007B0C93">
        <w:rPr>
          <w:rFonts w:cs="Arial"/>
          <w:b w:val="0"/>
          <w:bCs w:val="0"/>
          <w:color w:val="auto"/>
          <w:sz w:val="22"/>
          <w:szCs w:val="22"/>
          <w:lang w:eastAsia="uk-UA"/>
        </w:rPr>
        <w:t>веб</w:t>
      </w:r>
      <w:r w:rsidR="00CB1A01" w:rsidRPr="00687C3D">
        <w:rPr>
          <w:rFonts w:cs="Arial"/>
          <w:b w:val="0"/>
          <w:bCs w:val="0"/>
          <w:color w:val="auto"/>
          <w:sz w:val="22"/>
          <w:szCs w:val="22"/>
          <w:lang w:eastAsia="uk-UA"/>
        </w:rPr>
        <w:t>сайті</w:t>
      </w:r>
      <w:r w:rsidRPr="00687C3D">
        <w:rPr>
          <w:rFonts w:cs="Arial"/>
          <w:b w:val="0"/>
          <w:bCs w:val="0"/>
          <w:color w:val="auto"/>
          <w:sz w:val="22"/>
          <w:szCs w:val="22"/>
          <w:lang w:eastAsia="uk-UA"/>
        </w:rPr>
        <w:t xml:space="preserve"> громади та/або у місцевих засобах масової інформації.</w:t>
      </w:r>
    </w:p>
    <w:p w14:paraId="4B424D91" w14:textId="77777777" w:rsidR="00A42ACD" w:rsidRPr="00687C3D" w:rsidRDefault="00A42ACD" w:rsidP="00A42ACD">
      <w:pPr>
        <w:rPr>
          <w:rFonts w:cs="Arial"/>
          <w:szCs w:val="22"/>
          <w:lang w:eastAsia="en-US"/>
        </w:rPr>
      </w:pPr>
    </w:p>
    <w:p w14:paraId="49A67EC1" w14:textId="77777777" w:rsidR="00A42ACD" w:rsidRPr="00687C3D" w:rsidRDefault="00A42ACD" w:rsidP="00A42ACD">
      <w:pPr>
        <w:rPr>
          <w:rFonts w:cs="Arial"/>
          <w:szCs w:val="22"/>
          <w:lang w:eastAsia="en-US"/>
        </w:rPr>
      </w:pPr>
    </w:p>
    <w:p w14:paraId="59834B82" w14:textId="77777777" w:rsidR="00A42ACD" w:rsidRPr="00687C3D" w:rsidRDefault="00A42ACD" w:rsidP="00A42ACD">
      <w:pPr>
        <w:rPr>
          <w:rFonts w:cs="Arial"/>
          <w:szCs w:val="22"/>
          <w:lang w:eastAsia="en-US"/>
        </w:rPr>
        <w:sectPr w:rsidR="00A42ACD" w:rsidRPr="00687C3D" w:rsidSect="00C60A15">
          <w:pgSz w:w="11906" w:h="16838" w:code="9"/>
          <w:pgMar w:top="1134" w:right="1134" w:bottom="1134" w:left="1134" w:header="794" w:footer="794" w:gutter="0"/>
          <w:cols w:space="708"/>
          <w:docGrid w:linePitch="360"/>
        </w:sectPr>
      </w:pPr>
    </w:p>
    <w:p w14:paraId="58DE9102" w14:textId="77777777" w:rsidR="00255B72" w:rsidRDefault="00255B72" w:rsidP="00255B72">
      <w:pPr>
        <w:widowControl w:val="0"/>
        <w:autoSpaceDE w:val="0"/>
        <w:autoSpaceDN w:val="0"/>
        <w:ind w:right="255"/>
        <w:jc w:val="center"/>
        <w:outlineLvl w:val="2"/>
        <w:rPr>
          <w:rFonts w:ascii="Times New Roman" w:eastAsia="Arial" w:hAnsi="Times New Roman"/>
          <w:b/>
          <w:spacing w:val="-2"/>
          <w:w w:val="110"/>
          <w:lang w:eastAsia="en-US"/>
        </w:rPr>
      </w:pPr>
    </w:p>
    <w:p w14:paraId="4A9B2382" w14:textId="4CA7B52E" w:rsidR="00255B72" w:rsidRPr="00A041B2" w:rsidRDefault="00255B72" w:rsidP="00255B72">
      <w:pPr>
        <w:widowControl w:val="0"/>
        <w:autoSpaceDE w:val="0"/>
        <w:autoSpaceDN w:val="0"/>
        <w:ind w:right="255"/>
        <w:jc w:val="center"/>
        <w:outlineLvl w:val="2"/>
        <w:rPr>
          <w:rFonts w:eastAsia="Arial" w:cs="Arial"/>
          <w:b/>
          <w:spacing w:val="-4"/>
          <w:sz w:val="24"/>
          <w:lang w:eastAsia="en-US"/>
        </w:rPr>
      </w:pPr>
      <w:r w:rsidRPr="00A041B2">
        <w:rPr>
          <w:rFonts w:cs="Arial"/>
          <w:b/>
          <w:noProof/>
          <w:lang w:val="ru-RU"/>
        </w:rPr>
        <mc:AlternateContent>
          <mc:Choice Requires="wps">
            <w:drawing>
              <wp:anchor distT="0" distB="0" distL="0" distR="0" simplePos="0" relativeHeight="251662336" behindDoc="1" locked="0" layoutInCell="1" allowOverlap="1" wp14:anchorId="40C44A63" wp14:editId="396B61A0">
                <wp:simplePos x="0" y="0"/>
                <wp:positionH relativeFrom="page">
                  <wp:posOffset>4855210</wp:posOffset>
                </wp:positionH>
                <wp:positionV relativeFrom="paragraph">
                  <wp:posOffset>6543</wp:posOffset>
                </wp:positionV>
                <wp:extent cx="829310" cy="1270"/>
                <wp:effectExtent l="0" t="0" r="27940" b="17780"/>
                <wp:wrapTopAndBottom/>
                <wp:docPr id="110" name="Полилиния 1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29310" cy="1270"/>
                        </a:xfrm>
                        <a:custGeom>
                          <a:avLst/>
                          <a:gdLst/>
                          <a:ahLst/>
                          <a:cxnLst/>
                          <a:rect l="l" t="t" r="r" b="b"/>
                          <a:pathLst>
                            <a:path w="829310">
                              <a:moveTo>
                                <a:pt x="0" y="0"/>
                              </a:moveTo>
                              <a:lnTo>
                                <a:pt x="829036" y="0"/>
                              </a:lnTo>
                            </a:path>
                          </a:pathLst>
                        </a:custGeom>
                        <a:ln w="21336">
                          <a:solidFill>
                            <a:srgbClr val="00A8C3"/>
                          </a:solidFill>
                          <a:prstDash val="solid"/>
                        </a:ln>
                      </wps:spPr>
                      <wps:bodyPr wrap="square" lIns="0" tIns="0" rIns="0" bIns="0" rtlCol="0">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661F941" id="Полилиния 110" o:spid="_x0000_s1026" style="position:absolute;margin-left:382.3pt;margin-top:.5pt;width:65.3pt;height:.1pt;z-index:-2516541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293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" path="m,l829036,e" filled="f" strokecolor="#00a8c3" strokeweight="1.68pt">
                <v:path arrowok="t"/>
                <w10:wrap type="topAndBottom" anchorx="page"/>
              </v:shape>
            </w:pict>
          </mc:Fallback>
        </mc:AlternateContent>
      </w:r>
      <w:r w:rsidR="00B6282B" w:rsidRPr="00A041B2">
        <w:rPr>
          <w:rFonts w:eastAsia="Arial" w:cs="Arial"/>
          <w:b/>
          <w:spacing w:val="-2"/>
          <w:w w:val="110"/>
          <w:lang w:eastAsia="en-US"/>
        </w:rPr>
        <w:t xml:space="preserve">Таблиця 5.1. </w:t>
      </w:r>
      <w:r w:rsidR="00B6282B" w:rsidRPr="00A041B2">
        <w:rPr>
          <w:rFonts w:eastAsia="Arial" w:cs="Arial"/>
          <w:b/>
          <w:spacing w:val="-2"/>
          <w:w w:val="110"/>
          <w:sz w:val="24"/>
          <w:lang w:eastAsia="en-US"/>
        </w:rPr>
        <w:t>Перелік</w:t>
      </w:r>
      <w:r w:rsidR="0098459F" w:rsidRPr="00A041B2">
        <w:rPr>
          <w:rFonts w:eastAsia="Arial" w:cs="Arial"/>
          <w:b/>
          <w:spacing w:val="-2"/>
          <w:w w:val="110"/>
          <w:sz w:val="24"/>
          <w:lang w:eastAsia="en-US"/>
        </w:rPr>
        <w:t xml:space="preserve"> </w:t>
      </w:r>
      <w:r w:rsidR="00BC7F59" w:rsidRPr="00A041B2">
        <w:rPr>
          <w:rFonts w:eastAsia="Arial" w:cs="Arial"/>
          <w:b/>
          <w:sz w:val="24"/>
          <w:lang w:eastAsia="en-US"/>
        </w:rPr>
        <w:t>проєктів</w:t>
      </w:r>
      <w:r w:rsidR="00BC7F59" w:rsidRPr="00A041B2">
        <w:rPr>
          <w:rFonts w:eastAsia="Arial" w:cs="Arial"/>
          <w:b/>
          <w:spacing w:val="80"/>
          <w:sz w:val="24"/>
          <w:lang w:eastAsia="en-US"/>
        </w:rPr>
        <w:t xml:space="preserve"> </w:t>
      </w:r>
      <w:r w:rsidR="00BC7F59" w:rsidRPr="00A041B2">
        <w:rPr>
          <w:rFonts w:eastAsia="Arial" w:cs="Arial"/>
          <w:b/>
          <w:sz w:val="24"/>
          <w:lang w:eastAsia="en-US"/>
        </w:rPr>
        <w:t>місцевого</w:t>
      </w:r>
      <w:r w:rsidR="00BC7F59" w:rsidRPr="00A041B2">
        <w:rPr>
          <w:rFonts w:eastAsia="Arial" w:cs="Arial"/>
          <w:b/>
          <w:spacing w:val="80"/>
          <w:w w:val="150"/>
          <w:sz w:val="24"/>
          <w:lang w:eastAsia="en-US"/>
        </w:rPr>
        <w:t xml:space="preserve"> </w:t>
      </w:r>
      <w:r w:rsidR="00BC7F59" w:rsidRPr="00A041B2">
        <w:rPr>
          <w:rFonts w:eastAsia="Arial" w:cs="Arial"/>
          <w:b/>
          <w:sz w:val="24"/>
          <w:lang w:eastAsia="en-US"/>
        </w:rPr>
        <w:t xml:space="preserve">розвитку до </w:t>
      </w:r>
      <w:r w:rsidR="00BC7F59" w:rsidRPr="00A041B2">
        <w:rPr>
          <w:rFonts w:eastAsia="Arial" w:cs="Arial"/>
          <w:b/>
          <w:spacing w:val="74"/>
          <w:w w:val="150"/>
          <w:sz w:val="24"/>
          <w:lang w:eastAsia="en-US"/>
        </w:rPr>
        <w:t xml:space="preserve"> </w:t>
      </w:r>
      <w:r w:rsidR="00BC7F59" w:rsidRPr="00A041B2">
        <w:rPr>
          <w:rFonts w:eastAsia="Arial" w:cs="Arial"/>
          <w:b/>
          <w:sz w:val="24"/>
          <w:lang w:eastAsia="en-US"/>
        </w:rPr>
        <w:t>Плану</w:t>
      </w:r>
      <w:r w:rsidR="00BC7F59" w:rsidRPr="00A041B2">
        <w:rPr>
          <w:rFonts w:eastAsia="Arial" w:cs="Arial"/>
          <w:b/>
          <w:spacing w:val="80"/>
          <w:sz w:val="24"/>
          <w:lang w:eastAsia="en-US"/>
        </w:rPr>
        <w:t xml:space="preserve"> </w:t>
      </w:r>
      <w:r w:rsidR="00BC7F59" w:rsidRPr="00A041B2">
        <w:rPr>
          <w:rFonts w:eastAsia="Arial" w:cs="Arial"/>
          <w:b/>
          <w:sz w:val="24"/>
          <w:lang w:eastAsia="en-US"/>
        </w:rPr>
        <w:t>заходів</w:t>
      </w:r>
      <w:r w:rsidR="00BC7F59" w:rsidRPr="00A041B2">
        <w:rPr>
          <w:rFonts w:eastAsia="Arial" w:cs="Arial"/>
          <w:b/>
          <w:spacing w:val="80"/>
          <w:sz w:val="24"/>
          <w:lang w:eastAsia="en-US"/>
        </w:rPr>
        <w:t xml:space="preserve"> </w:t>
      </w:r>
      <w:r w:rsidR="00BC7F59" w:rsidRPr="00A041B2">
        <w:rPr>
          <w:rFonts w:eastAsia="Arial" w:cs="Arial"/>
          <w:b/>
          <w:sz w:val="24"/>
          <w:lang w:eastAsia="en-US"/>
        </w:rPr>
        <w:t xml:space="preserve">на 2025-2028 </w:t>
      </w:r>
      <w:r w:rsidR="00BC7F59" w:rsidRPr="00A041B2">
        <w:rPr>
          <w:rFonts w:eastAsia="Arial" w:cs="Arial"/>
          <w:b/>
          <w:spacing w:val="-4"/>
          <w:sz w:val="24"/>
          <w:lang w:eastAsia="en-US"/>
        </w:rPr>
        <w:t>роки</w:t>
      </w:r>
      <w:r w:rsidR="0098459F" w:rsidRPr="00A041B2">
        <w:rPr>
          <w:rFonts w:eastAsia="Arial" w:cs="Arial"/>
          <w:b/>
          <w:spacing w:val="-4"/>
          <w:sz w:val="24"/>
          <w:lang w:eastAsia="en-US"/>
        </w:rPr>
        <w:t xml:space="preserve"> </w:t>
      </w:r>
    </w:p>
    <w:p w14:paraId="25E463C9" w14:textId="3FD78877" w:rsidR="00BC7F59" w:rsidRPr="00A041B2" w:rsidRDefault="0098459F" w:rsidP="00255B72">
      <w:pPr>
        <w:widowControl w:val="0"/>
        <w:autoSpaceDE w:val="0"/>
        <w:autoSpaceDN w:val="0"/>
        <w:ind w:right="255"/>
        <w:jc w:val="center"/>
        <w:outlineLvl w:val="2"/>
        <w:rPr>
          <w:rFonts w:eastAsia="Arial" w:cs="Arial"/>
          <w:b/>
          <w:spacing w:val="-4"/>
          <w:sz w:val="24"/>
          <w:lang w:eastAsia="en-US"/>
        </w:rPr>
      </w:pPr>
      <w:r w:rsidRPr="00A041B2">
        <w:rPr>
          <w:rFonts w:eastAsia="Arial" w:cs="Arial"/>
          <w:b/>
          <w:spacing w:val="-4"/>
          <w:sz w:val="24"/>
          <w:lang w:eastAsia="en-US"/>
        </w:rPr>
        <w:t xml:space="preserve"> </w:t>
      </w:r>
      <w:r w:rsidR="00BC7F59" w:rsidRPr="00A041B2">
        <w:rPr>
          <w:rFonts w:eastAsia="Arial" w:cs="Arial"/>
          <w:b/>
          <w:sz w:val="24"/>
          <w:lang w:eastAsia="en-US"/>
        </w:rPr>
        <w:t>з</w:t>
      </w:r>
      <w:r w:rsidR="00BC7F59" w:rsidRPr="00A041B2">
        <w:rPr>
          <w:rFonts w:eastAsia="Arial" w:cs="Arial"/>
          <w:b/>
          <w:spacing w:val="38"/>
          <w:sz w:val="24"/>
          <w:lang w:eastAsia="en-US"/>
        </w:rPr>
        <w:t xml:space="preserve"> </w:t>
      </w:r>
      <w:r w:rsidR="00BC7F59" w:rsidRPr="00A041B2">
        <w:rPr>
          <w:rFonts w:eastAsia="Arial" w:cs="Arial"/>
          <w:b/>
          <w:sz w:val="24"/>
          <w:lang w:eastAsia="en-US"/>
        </w:rPr>
        <w:t>реалізації</w:t>
      </w:r>
      <w:r w:rsidR="00BC7F59" w:rsidRPr="00A041B2">
        <w:rPr>
          <w:rFonts w:eastAsia="Arial" w:cs="Arial"/>
          <w:b/>
          <w:spacing w:val="40"/>
          <w:sz w:val="24"/>
          <w:lang w:eastAsia="en-US"/>
        </w:rPr>
        <w:t xml:space="preserve"> </w:t>
      </w:r>
      <w:r w:rsidR="00BC7F59" w:rsidRPr="00A041B2">
        <w:rPr>
          <w:rFonts w:eastAsia="Arial" w:cs="Arial"/>
          <w:b/>
          <w:sz w:val="24"/>
          <w:lang w:eastAsia="en-US"/>
        </w:rPr>
        <w:t>Стратегії</w:t>
      </w:r>
      <w:r w:rsidR="00BC7F59" w:rsidRPr="00A041B2">
        <w:rPr>
          <w:rFonts w:eastAsia="Arial" w:cs="Arial"/>
          <w:b/>
          <w:spacing w:val="80"/>
          <w:w w:val="150"/>
          <w:sz w:val="24"/>
          <w:lang w:eastAsia="en-US"/>
        </w:rPr>
        <w:t xml:space="preserve"> </w:t>
      </w:r>
      <w:r w:rsidR="00BC7F59" w:rsidRPr="00A041B2">
        <w:rPr>
          <w:rFonts w:eastAsia="Arial" w:cs="Arial"/>
          <w:b/>
          <w:sz w:val="24"/>
          <w:lang w:eastAsia="en-US"/>
        </w:rPr>
        <w:t>розвитку Жмеринської міської</w:t>
      </w:r>
      <w:r w:rsidR="00BC7F59" w:rsidRPr="00A041B2">
        <w:rPr>
          <w:rFonts w:eastAsia="Arial" w:cs="Arial"/>
          <w:b/>
          <w:spacing w:val="80"/>
          <w:sz w:val="24"/>
          <w:lang w:eastAsia="en-US"/>
        </w:rPr>
        <w:t xml:space="preserve"> </w:t>
      </w:r>
      <w:r w:rsidR="00BC7F59" w:rsidRPr="00A041B2">
        <w:rPr>
          <w:rFonts w:eastAsia="Arial" w:cs="Arial"/>
          <w:b/>
          <w:sz w:val="24"/>
          <w:lang w:eastAsia="en-US"/>
        </w:rPr>
        <w:t>територіальної</w:t>
      </w:r>
      <w:r w:rsidR="00BC7F59" w:rsidRPr="00A041B2">
        <w:rPr>
          <w:rFonts w:eastAsia="Arial" w:cs="Arial"/>
          <w:b/>
          <w:spacing w:val="55"/>
          <w:w w:val="150"/>
          <w:sz w:val="24"/>
          <w:lang w:eastAsia="en-US"/>
        </w:rPr>
        <w:t xml:space="preserve"> </w:t>
      </w:r>
      <w:r w:rsidR="00BC7F59" w:rsidRPr="00A041B2">
        <w:rPr>
          <w:rFonts w:eastAsia="Arial" w:cs="Arial"/>
          <w:b/>
          <w:sz w:val="24"/>
          <w:lang w:eastAsia="en-US"/>
        </w:rPr>
        <w:t>громади</w:t>
      </w:r>
      <w:r w:rsidR="00BC7F59" w:rsidRPr="00A041B2">
        <w:rPr>
          <w:rFonts w:eastAsia="Arial" w:cs="Arial"/>
          <w:b/>
          <w:spacing w:val="70"/>
          <w:w w:val="150"/>
          <w:sz w:val="24"/>
          <w:lang w:eastAsia="en-US"/>
        </w:rPr>
        <w:t xml:space="preserve"> </w:t>
      </w:r>
      <w:r w:rsidR="00BC7F59" w:rsidRPr="00A041B2">
        <w:rPr>
          <w:rFonts w:eastAsia="Arial" w:cs="Arial"/>
          <w:b/>
          <w:spacing w:val="-5"/>
          <w:sz w:val="24"/>
          <w:lang w:eastAsia="en-US"/>
        </w:rPr>
        <w:t xml:space="preserve">до 2030 </w:t>
      </w:r>
      <w:r w:rsidR="00BC7F59" w:rsidRPr="00A041B2">
        <w:rPr>
          <w:rFonts w:eastAsia="Arial" w:cs="Arial"/>
          <w:b/>
          <w:spacing w:val="-4"/>
          <w:sz w:val="24"/>
          <w:lang w:eastAsia="en-US"/>
        </w:rPr>
        <w:t>року</w:t>
      </w:r>
    </w:p>
    <w:p w14:paraId="45D4E332" w14:textId="77777777" w:rsidR="00BC7F59" w:rsidRPr="00C2587D" w:rsidRDefault="00BC7F59" w:rsidP="00BC7F59">
      <w:pPr>
        <w:widowControl w:val="0"/>
        <w:tabs>
          <w:tab w:val="left" w:pos="5829"/>
          <w:tab w:val="left" w:pos="9720"/>
          <w:tab w:val="left" w:pos="10357"/>
        </w:tabs>
        <w:autoSpaceDE w:val="0"/>
        <w:autoSpaceDN w:val="0"/>
        <w:spacing w:before="106"/>
        <w:ind w:right="1422"/>
        <w:jc w:val="center"/>
        <w:rPr>
          <w:rFonts w:eastAsia="Arial" w:cs="Arial"/>
          <w:b/>
          <w:spacing w:val="-4"/>
          <w:lang w:eastAsia="en-US"/>
        </w:rPr>
      </w:pPr>
    </w:p>
    <w:tbl>
      <w:tblPr>
        <w:tblW w:w="1516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694"/>
        <w:gridCol w:w="2551"/>
        <w:gridCol w:w="2835"/>
        <w:gridCol w:w="1276"/>
        <w:gridCol w:w="2345"/>
        <w:gridCol w:w="2900"/>
      </w:tblGrid>
      <w:tr w:rsidR="00BC7F59" w:rsidRPr="00A041B2" w14:paraId="63C8D3B6" w14:textId="77777777" w:rsidTr="00255B72">
        <w:tc>
          <w:tcPr>
            <w:tcW w:w="567" w:type="dxa"/>
            <w:tcBorders>
              <w:bottom w:val="single" w:sz="4" w:space="0" w:color="auto"/>
            </w:tcBorders>
            <w:shd w:val="clear" w:color="auto" w:fill="auto"/>
            <w:vAlign w:val="center"/>
          </w:tcPr>
          <w:p w14:paraId="131CD274" w14:textId="77777777" w:rsidR="00BC7F59" w:rsidRPr="00A041B2" w:rsidRDefault="00BC7F59" w:rsidP="000413EB">
            <w:pPr>
              <w:widowControl w:val="0"/>
              <w:tabs>
                <w:tab w:val="left" w:pos="5829"/>
                <w:tab w:val="left" w:pos="9720"/>
                <w:tab w:val="left" w:pos="10357"/>
              </w:tabs>
              <w:autoSpaceDE w:val="0"/>
              <w:autoSpaceDN w:val="0"/>
              <w:jc w:val="center"/>
              <w:rPr>
                <w:rFonts w:eastAsia="Arial" w:cs="Arial"/>
                <w:b/>
                <w:szCs w:val="20"/>
                <w:lang w:eastAsia="en-US"/>
              </w:rPr>
            </w:pPr>
            <w:r w:rsidRPr="00A041B2">
              <w:rPr>
                <w:rFonts w:eastAsia="Arial" w:cs="Arial"/>
                <w:b/>
                <w:szCs w:val="20"/>
                <w:lang w:eastAsia="en-US"/>
              </w:rPr>
              <w:t>№</w:t>
            </w:r>
          </w:p>
        </w:tc>
        <w:tc>
          <w:tcPr>
            <w:tcW w:w="2694" w:type="dxa"/>
            <w:tcBorders>
              <w:bottom w:val="single" w:sz="4" w:space="0" w:color="auto"/>
            </w:tcBorders>
            <w:shd w:val="clear" w:color="auto" w:fill="auto"/>
            <w:vAlign w:val="center"/>
          </w:tcPr>
          <w:p w14:paraId="53C26516" w14:textId="77777777" w:rsidR="00BC7F59" w:rsidRPr="00A041B2" w:rsidRDefault="00BC7F59" w:rsidP="000413EB">
            <w:pPr>
              <w:widowControl w:val="0"/>
              <w:tabs>
                <w:tab w:val="left" w:pos="5829"/>
                <w:tab w:val="left" w:pos="9720"/>
                <w:tab w:val="left" w:pos="10357"/>
              </w:tabs>
              <w:autoSpaceDE w:val="0"/>
              <w:autoSpaceDN w:val="0"/>
              <w:jc w:val="center"/>
              <w:rPr>
                <w:rFonts w:eastAsia="Arial" w:cs="Arial"/>
                <w:b/>
                <w:szCs w:val="20"/>
                <w:lang w:eastAsia="en-US"/>
              </w:rPr>
            </w:pPr>
            <w:r w:rsidRPr="00A041B2">
              <w:rPr>
                <w:rFonts w:eastAsia="Arial" w:cs="Arial"/>
                <w:b/>
                <w:szCs w:val="20"/>
                <w:lang w:eastAsia="en-US"/>
              </w:rPr>
              <w:t>Оперативна ціль, на досягнення якої спрямований проєкт</w:t>
            </w:r>
          </w:p>
        </w:tc>
        <w:tc>
          <w:tcPr>
            <w:tcW w:w="2551" w:type="dxa"/>
            <w:tcBorders>
              <w:bottom w:val="single" w:sz="4" w:space="0" w:color="auto"/>
            </w:tcBorders>
            <w:shd w:val="clear" w:color="auto" w:fill="auto"/>
            <w:vAlign w:val="center"/>
          </w:tcPr>
          <w:p w14:paraId="63ACD8A1" w14:textId="77777777" w:rsidR="00BC7F59" w:rsidRPr="00A041B2" w:rsidRDefault="00BC7F59" w:rsidP="000413EB">
            <w:pPr>
              <w:widowControl w:val="0"/>
              <w:tabs>
                <w:tab w:val="left" w:pos="5829"/>
                <w:tab w:val="left" w:pos="9720"/>
                <w:tab w:val="left" w:pos="10357"/>
              </w:tabs>
              <w:autoSpaceDE w:val="0"/>
              <w:autoSpaceDN w:val="0"/>
              <w:jc w:val="center"/>
              <w:rPr>
                <w:rFonts w:eastAsia="Arial" w:cs="Arial"/>
                <w:b/>
                <w:szCs w:val="20"/>
                <w:lang w:eastAsia="en-US"/>
              </w:rPr>
            </w:pPr>
            <w:r w:rsidRPr="00A041B2">
              <w:rPr>
                <w:rFonts w:eastAsia="Arial" w:cs="Arial"/>
                <w:b/>
                <w:szCs w:val="20"/>
                <w:lang w:eastAsia="en-US"/>
              </w:rPr>
              <w:t>Завдання Стратегії</w:t>
            </w:r>
          </w:p>
        </w:tc>
        <w:tc>
          <w:tcPr>
            <w:tcW w:w="2835" w:type="dxa"/>
            <w:tcBorders>
              <w:bottom w:val="single" w:sz="4" w:space="0" w:color="auto"/>
            </w:tcBorders>
            <w:shd w:val="clear" w:color="auto" w:fill="auto"/>
            <w:vAlign w:val="center"/>
          </w:tcPr>
          <w:p w14:paraId="78FF77F2" w14:textId="77777777" w:rsidR="00BC7F59" w:rsidRPr="00A041B2" w:rsidRDefault="00BC7F59" w:rsidP="000413EB">
            <w:pPr>
              <w:widowControl w:val="0"/>
              <w:tabs>
                <w:tab w:val="left" w:pos="5829"/>
                <w:tab w:val="left" w:pos="9720"/>
                <w:tab w:val="left" w:pos="10357"/>
              </w:tabs>
              <w:autoSpaceDE w:val="0"/>
              <w:autoSpaceDN w:val="0"/>
              <w:jc w:val="center"/>
              <w:rPr>
                <w:rFonts w:eastAsia="Arial" w:cs="Arial"/>
                <w:b/>
                <w:szCs w:val="20"/>
                <w:lang w:eastAsia="en-US"/>
              </w:rPr>
            </w:pPr>
            <w:r w:rsidRPr="00A041B2">
              <w:rPr>
                <w:rFonts w:eastAsia="Arial" w:cs="Arial"/>
                <w:b/>
                <w:szCs w:val="20"/>
                <w:lang w:eastAsia="en-US"/>
              </w:rPr>
              <w:t>Назва проєкту місцевого (регіонального) розвитку*</w:t>
            </w:r>
          </w:p>
        </w:tc>
        <w:tc>
          <w:tcPr>
            <w:tcW w:w="1276" w:type="dxa"/>
            <w:tcBorders>
              <w:bottom w:val="single" w:sz="4" w:space="0" w:color="auto"/>
            </w:tcBorders>
            <w:shd w:val="clear" w:color="auto" w:fill="auto"/>
            <w:vAlign w:val="center"/>
          </w:tcPr>
          <w:p w14:paraId="7BA9687C" w14:textId="77777777" w:rsidR="00BC7F59" w:rsidRPr="00A041B2" w:rsidRDefault="00BC7F59" w:rsidP="000413EB">
            <w:pPr>
              <w:widowControl w:val="0"/>
              <w:tabs>
                <w:tab w:val="left" w:pos="5829"/>
                <w:tab w:val="left" w:pos="9720"/>
                <w:tab w:val="left" w:pos="10357"/>
              </w:tabs>
              <w:autoSpaceDE w:val="0"/>
              <w:autoSpaceDN w:val="0"/>
              <w:jc w:val="center"/>
              <w:rPr>
                <w:rFonts w:eastAsia="Arial" w:cs="Arial"/>
                <w:b/>
                <w:szCs w:val="20"/>
                <w:lang w:eastAsia="en-US"/>
              </w:rPr>
            </w:pPr>
            <w:r w:rsidRPr="00A041B2">
              <w:rPr>
                <w:rFonts w:eastAsia="Arial" w:cs="Arial"/>
                <w:b/>
                <w:szCs w:val="20"/>
                <w:lang w:eastAsia="en-US"/>
              </w:rPr>
              <w:t>Період реалізації проєкту місцевого (регіонального) розвитку</w:t>
            </w:r>
          </w:p>
        </w:tc>
        <w:tc>
          <w:tcPr>
            <w:tcW w:w="2345" w:type="dxa"/>
            <w:tcBorders>
              <w:bottom w:val="single" w:sz="4" w:space="0" w:color="auto"/>
            </w:tcBorders>
            <w:shd w:val="clear" w:color="auto" w:fill="auto"/>
            <w:vAlign w:val="center"/>
          </w:tcPr>
          <w:p w14:paraId="2D1A5AB4" w14:textId="77777777" w:rsidR="00BC7F59" w:rsidRPr="00A041B2" w:rsidRDefault="00BC7F59" w:rsidP="00177957">
            <w:pPr>
              <w:widowControl w:val="0"/>
              <w:tabs>
                <w:tab w:val="left" w:pos="5829"/>
                <w:tab w:val="left" w:pos="9720"/>
                <w:tab w:val="left" w:pos="10357"/>
              </w:tabs>
              <w:autoSpaceDE w:val="0"/>
              <w:autoSpaceDN w:val="0"/>
              <w:spacing w:after="60"/>
              <w:jc w:val="center"/>
              <w:rPr>
                <w:rFonts w:eastAsia="Arial" w:cs="Arial"/>
                <w:b/>
                <w:szCs w:val="20"/>
                <w:lang w:eastAsia="en-US"/>
              </w:rPr>
            </w:pPr>
            <w:r w:rsidRPr="00A041B2">
              <w:rPr>
                <w:rFonts w:eastAsia="Arial" w:cs="Arial"/>
                <w:b/>
                <w:szCs w:val="20"/>
                <w:lang w:eastAsia="en-US"/>
              </w:rPr>
              <w:t>Виконавці</w:t>
            </w:r>
          </w:p>
        </w:tc>
        <w:tc>
          <w:tcPr>
            <w:tcW w:w="2900" w:type="dxa"/>
            <w:tcBorders>
              <w:bottom w:val="single" w:sz="4" w:space="0" w:color="auto"/>
            </w:tcBorders>
            <w:shd w:val="clear" w:color="auto" w:fill="auto"/>
            <w:vAlign w:val="center"/>
          </w:tcPr>
          <w:p w14:paraId="67167664" w14:textId="77777777" w:rsidR="00BC7F59" w:rsidRPr="00A041B2" w:rsidRDefault="00BC7F59" w:rsidP="00177957">
            <w:pPr>
              <w:widowControl w:val="0"/>
              <w:tabs>
                <w:tab w:val="left" w:pos="175"/>
                <w:tab w:val="left" w:pos="5829"/>
                <w:tab w:val="left" w:pos="9720"/>
                <w:tab w:val="left" w:pos="10357"/>
              </w:tabs>
              <w:autoSpaceDE w:val="0"/>
              <w:autoSpaceDN w:val="0"/>
              <w:spacing w:after="60"/>
              <w:jc w:val="center"/>
              <w:rPr>
                <w:rFonts w:eastAsia="Arial" w:cs="Arial"/>
                <w:b/>
                <w:szCs w:val="20"/>
                <w:lang w:eastAsia="en-US"/>
              </w:rPr>
            </w:pPr>
            <w:r w:rsidRPr="00A041B2">
              <w:rPr>
                <w:rFonts w:eastAsia="Arial" w:cs="Arial"/>
                <w:b/>
                <w:szCs w:val="20"/>
                <w:lang w:eastAsia="en-US"/>
              </w:rPr>
              <w:t>Індикатори (показники) результативності</w:t>
            </w:r>
          </w:p>
        </w:tc>
      </w:tr>
      <w:tr w:rsidR="00BC7F59" w:rsidRPr="00A041B2" w14:paraId="784EE59A" w14:textId="77777777" w:rsidTr="000413EB">
        <w:trPr>
          <w:trHeight w:val="509"/>
        </w:trPr>
        <w:tc>
          <w:tcPr>
            <w:tcW w:w="15168" w:type="dxa"/>
            <w:gridSpan w:val="7"/>
            <w:shd w:val="clear" w:color="auto" w:fill="auto"/>
            <w:vAlign w:val="center"/>
          </w:tcPr>
          <w:p w14:paraId="2A6ED0D9" w14:textId="77777777" w:rsidR="00BC7F59" w:rsidRPr="00A041B2" w:rsidRDefault="00BC7F59" w:rsidP="00177957">
            <w:pPr>
              <w:widowControl w:val="0"/>
              <w:tabs>
                <w:tab w:val="left" w:pos="175"/>
                <w:tab w:val="left" w:pos="5829"/>
                <w:tab w:val="left" w:pos="9720"/>
                <w:tab w:val="left" w:pos="10357"/>
              </w:tabs>
              <w:autoSpaceDE w:val="0"/>
              <w:autoSpaceDN w:val="0"/>
              <w:spacing w:after="60"/>
              <w:jc w:val="center"/>
              <w:rPr>
                <w:rFonts w:eastAsia="Arial" w:cs="Arial"/>
                <w:b/>
                <w:szCs w:val="20"/>
                <w:lang w:eastAsia="en-US"/>
              </w:rPr>
            </w:pPr>
            <w:r w:rsidRPr="00A041B2">
              <w:rPr>
                <w:rFonts w:eastAsia="Arial" w:cs="Arial"/>
                <w:b/>
                <w:szCs w:val="20"/>
                <w:lang w:eastAsia="en-US"/>
              </w:rPr>
              <w:t>СТРАТЕГІЧНИЙ   НАПРЯМОК:     А   «</w:t>
            </w:r>
            <w:r w:rsidRPr="00A041B2">
              <w:rPr>
                <w:rFonts w:cs="Arial"/>
                <w:b/>
                <w:szCs w:val="20"/>
                <w:lang w:eastAsia="uk-UA"/>
              </w:rPr>
              <w:t>Інвестиційно приваблива громада із розвиненим експортно - орієнтованим бізнесом</w:t>
            </w:r>
            <w:r w:rsidRPr="00A041B2">
              <w:rPr>
                <w:rFonts w:eastAsia="Arial" w:cs="Arial"/>
                <w:b/>
                <w:szCs w:val="20"/>
                <w:lang w:eastAsia="en-US"/>
              </w:rPr>
              <w:t>»</w:t>
            </w:r>
          </w:p>
        </w:tc>
      </w:tr>
      <w:tr w:rsidR="00BC7F59" w:rsidRPr="00A041B2" w14:paraId="0A6F330A" w14:textId="77777777" w:rsidTr="00255B72">
        <w:trPr>
          <w:trHeight w:val="1795"/>
        </w:trPr>
        <w:tc>
          <w:tcPr>
            <w:tcW w:w="567" w:type="dxa"/>
            <w:shd w:val="clear" w:color="auto" w:fill="auto"/>
          </w:tcPr>
          <w:p w14:paraId="05CB3DCF" w14:textId="77777777" w:rsidR="00BC7F59" w:rsidRPr="00A041B2" w:rsidRDefault="00BC7F59" w:rsidP="000413EB">
            <w:pPr>
              <w:pStyle w:val="aa"/>
              <w:jc w:val="both"/>
              <w:rPr>
                <w:rFonts w:ascii="Arial" w:eastAsia="Arial" w:hAnsi="Arial" w:cs="Arial"/>
                <w:sz w:val="20"/>
                <w:szCs w:val="20"/>
              </w:rPr>
            </w:pPr>
            <w:r w:rsidRPr="00A041B2">
              <w:rPr>
                <w:rFonts w:ascii="Arial" w:eastAsia="Arial" w:hAnsi="Arial" w:cs="Arial"/>
                <w:sz w:val="20"/>
                <w:szCs w:val="20"/>
              </w:rPr>
              <w:t>1</w:t>
            </w:r>
          </w:p>
        </w:tc>
        <w:tc>
          <w:tcPr>
            <w:tcW w:w="2694" w:type="dxa"/>
            <w:shd w:val="clear" w:color="auto" w:fill="auto"/>
          </w:tcPr>
          <w:p w14:paraId="610EE139"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sz w:val="20"/>
                <w:szCs w:val="20"/>
                <w:lang w:eastAsia="en-US"/>
              </w:rPr>
            </w:pPr>
            <w:r w:rsidRPr="00A041B2">
              <w:rPr>
                <w:rFonts w:cs="Arial"/>
                <w:bCs/>
                <w:color w:val="000000"/>
                <w:sz w:val="20"/>
                <w:szCs w:val="20"/>
                <w:lang w:eastAsia="uk-UA"/>
              </w:rPr>
              <w:t>А.1.1. Розроблення Концепції міжнародного мультимодального транспортно-логістичного порту «Жмеринка» та підготовка  інвестиційних пропозицій</w:t>
            </w:r>
          </w:p>
        </w:tc>
        <w:tc>
          <w:tcPr>
            <w:tcW w:w="2551" w:type="dxa"/>
            <w:shd w:val="clear" w:color="auto" w:fill="auto"/>
          </w:tcPr>
          <w:p w14:paraId="328CFB5D" w14:textId="7E1F1BF6" w:rsidR="00BC7F59" w:rsidRPr="00A041B2" w:rsidRDefault="00BC7F59" w:rsidP="00255B72">
            <w:pPr>
              <w:suppressAutoHyphens/>
              <w:jc w:val="both"/>
              <w:rPr>
                <w:rFonts w:eastAsia="Arial" w:cs="Arial"/>
                <w:sz w:val="20"/>
                <w:szCs w:val="20"/>
                <w:lang w:eastAsia="en-US"/>
              </w:rPr>
            </w:pPr>
            <w:r w:rsidRPr="00A041B2">
              <w:rPr>
                <w:rFonts w:cs="Arial"/>
                <w:color w:val="000000"/>
                <w:sz w:val="20"/>
                <w:szCs w:val="20"/>
                <w:lang w:eastAsia="uk-UA"/>
              </w:rPr>
              <w:t xml:space="preserve">А.1.1.1. </w:t>
            </w:r>
            <w:r w:rsidRPr="00A041B2">
              <w:rPr>
                <w:rFonts w:eastAsia="Lucida Sans Unicode" w:cs="Arial"/>
                <w:kern w:val="1"/>
                <w:sz w:val="20"/>
                <w:szCs w:val="20"/>
                <w:lang w:eastAsia="ar-SA"/>
              </w:rPr>
              <w:t>Розроблення Концепції міжнародного мультимодального транспортно-логістичного порту «Жмеринка».</w:t>
            </w:r>
          </w:p>
        </w:tc>
        <w:tc>
          <w:tcPr>
            <w:tcW w:w="2835" w:type="dxa"/>
            <w:shd w:val="clear" w:color="auto" w:fill="auto"/>
          </w:tcPr>
          <w:p w14:paraId="6593EAC3" w14:textId="77777777" w:rsidR="00BC7F59" w:rsidRPr="00A041B2" w:rsidRDefault="00BC7F59" w:rsidP="000413EB">
            <w:pPr>
              <w:widowControl w:val="0"/>
              <w:tabs>
                <w:tab w:val="left" w:pos="5829"/>
                <w:tab w:val="left" w:pos="9720"/>
                <w:tab w:val="left" w:pos="10357"/>
              </w:tabs>
              <w:autoSpaceDE w:val="0"/>
              <w:autoSpaceDN w:val="0"/>
              <w:ind w:firstLine="34"/>
              <w:jc w:val="both"/>
              <w:rPr>
                <w:rFonts w:eastAsia="Arial" w:cs="Arial"/>
                <w:sz w:val="20"/>
                <w:szCs w:val="20"/>
                <w:lang w:eastAsia="en-US"/>
              </w:rPr>
            </w:pPr>
            <w:r w:rsidRPr="00A041B2">
              <w:rPr>
                <w:rFonts w:cs="Arial"/>
                <w:sz w:val="20"/>
                <w:szCs w:val="20"/>
              </w:rPr>
              <w:t>Розроблення Концепції мультимодального транспортно-логістичного порту «Жмеринка» та підготовка інвестиційних пропозицій</w:t>
            </w:r>
          </w:p>
        </w:tc>
        <w:tc>
          <w:tcPr>
            <w:tcW w:w="1276" w:type="dxa"/>
            <w:shd w:val="clear" w:color="auto" w:fill="auto"/>
          </w:tcPr>
          <w:p w14:paraId="76A21BB8"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sz w:val="20"/>
                <w:szCs w:val="20"/>
                <w:lang w:eastAsia="en-US"/>
              </w:rPr>
            </w:pPr>
            <w:r w:rsidRPr="00A041B2">
              <w:rPr>
                <w:rFonts w:eastAsia="Arial" w:cs="Arial"/>
                <w:sz w:val="20"/>
                <w:szCs w:val="20"/>
                <w:lang w:eastAsia="en-US"/>
              </w:rPr>
              <w:t xml:space="preserve">2026 - 2028 </w:t>
            </w:r>
          </w:p>
        </w:tc>
        <w:tc>
          <w:tcPr>
            <w:tcW w:w="2345" w:type="dxa"/>
            <w:shd w:val="clear" w:color="auto" w:fill="auto"/>
          </w:tcPr>
          <w:p w14:paraId="76082136" w14:textId="6051027B" w:rsidR="00BC7F59" w:rsidRPr="00A041B2" w:rsidRDefault="00BC7F59" w:rsidP="00177957">
            <w:pPr>
              <w:widowControl w:val="0"/>
              <w:tabs>
                <w:tab w:val="left" w:pos="5829"/>
                <w:tab w:val="left" w:pos="9720"/>
                <w:tab w:val="left" w:pos="10357"/>
              </w:tabs>
              <w:autoSpaceDE w:val="0"/>
              <w:autoSpaceDN w:val="0"/>
              <w:spacing w:after="60"/>
              <w:jc w:val="both"/>
              <w:rPr>
                <w:rFonts w:eastAsia="Arial" w:cs="Arial"/>
                <w:sz w:val="20"/>
                <w:szCs w:val="20"/>
                <w:lang w:eastAsia="en-US"/>
              </w:rPr>
            </w:pPr>
            <w:r w:rsidRPr="00A041B2">
              <w:rPr>
                <w:rFonts w:eastAsia="Arial" w:cs="Arial"/>
                <w:sz w:val="20"/>
                <w:szCs w:val="20"/>
                <w:lang w:eastAsia="en-US"/>
              </w:rPr>
              <w:t>Управління економіки та розвитку інфраструктури виконавчого комітету Жмеринської міської ради</w:t>
            </w:r>
          </w:p>
        </w:tc>
        <w:tc>
          <w:tcPr>
            <w:tcW w:w="2900" w:type="dxa"/>
            <w:shd w:val="clear" w:color="auto" w:fill="auto"/>
          </w:tcPr>
          <w:p w14:paraId="5CC84796" w14:textId="2101149A" w:rsidR="00BC7F59" w:rsidRPr="00A041B2" w:rsidRDefault="00BC7F59" w:rsidP="00177957">
            <w:pPr>
              <w:widowControl w:val="0"/>
              <w:tabs>
                <w:tab w:val="left" w:pos="5829"/>
                <w:tab w:val="left" w:pos="9720"/>
                <w:tab w:val="left" w:pos="10357"/>
              </w:tabs>
              <w:autoSpaceDE w:val="0"/>
              <w:autoSpaceDN w:val="0"/>
              <w:spacing w:after="60"/>
              <w:jc w:val="both"/>
              <w:rPr>
                <w:rFonts w:eastAsia="Arial" w:cs="Arial"/>
                <w:sz w:val="20"/>
                <w:szCs w:val="20"/>
                <w:lang w:eastAsia="en-US"/>
              </w:rPr>
            </w:pPr>
            <w:r w:rsidRPr="00A041B2">
              <w:rPr>
                <w:rFonts w:eastAsia="Arial" w:cs="Arial"/>
                <w:sz w:val="20"/>
                <w:szCs w:val="20"/>
                <w:lang w:eastAsia="en-US"/>
              </w:rPr>
              <w:t xml:space="preserve">Створено </w:t>
            </w:r>
            <w:r w:rsidR="000A7F80">
              <w:rPr>
                <w:rFonts w:eastAsia="Arial" w:cs="Arial"/>
                <w:sz w:val="20"/>
                <w:szCs w:val="20"/>
                <w:lang w:eastAsia="en-US"/>
              </w:rPr>
              <w:t>Концепцію проєкту</w:t>
            </w:r>
            <w:r w:rsidRPr="00A041B2">
              <w:rPr>
                <w:rFonts w:eastAsia="Arial" w:cs="Arial"/>
                <w:sz w:val="20"/>
                <w:szCs w:val="20"/>
                <w:lang w:eastAsia="en-US"/>
              </w:rPr>
              <w:t xml:space="preserve"> мультимодальний транспортно-логістичний порт «Жмеринка».</w:t>
            </w:r>
          </w:p>
        </w:tc>
      </w:tr>
      <w:tr w:rsidR="00BC7F59" w:rsidRPr="00A041B2" w14:paraId="3073AE5B" w14:textId="77777777" w:rsidTr="000413EB">
        <w:tc>
          <w:tcPr>
            <w:tcW w:w="567" w:type="dxa"/>
            <w:shd w:val="clear" w:color="auto" w:fill="auto"/>
          </w:tcPr>
          <w:p w14:paraId="6705CF89" w14:textId="77777777" w:rsidR="00BC7F59" w:rsidRPr="00A041B2" w:rsidRDefault="00BC7F59" w:rsidP="000413EB">
            <w:pPr>
              <w:pStyle w:val="aa"/>
              <w:jc w:val="both"/>
              <w:rPr>
                <w:rFonts w:ascii="Arial" w:eastAsia="Arial" w:hAnsi="Arial" w:cs="Arial"/>
                <w:sz w:val="20"/>
                <w:szCs w:val="20"/>
              </w:rPr>
            </w:pPr>
            <w:r w:rsidRPr="00A041B2">
              <w:rPr>
                <w:rFonts w:ascii="Arial" w:eastAsia="Arial" w:hAnsi="Arial" w:cs="Arial"/>
                <w:sz w:val="20"/>
                <w:szCs w:val="20"/>
              </w:rPr>
              <w:t>2</w:t>
            </w:r>
          </w:p>
        </w:tc>
        <w:tc>
          <w:tcPr>
            <w:tcW w:w="2694" w:type="dxa"/>
            <w:shd w:val="clear" w:color="auto" w:fill="auto"/>
          </w:tcPr>
          <w:p w14:paraId="64F7B0DB" w14:textId="77777777" w:rsidR="00BC7F59" w:rsidRPr="00A041B2" w:rsidRDefault="00BC7F59" w:rsidP="000413EB">
            <w:pPr>
              <w:widowControl w:val="0"/>
              <w:tabs>
                <w:tab w:val="left" w:pos="5829"/>
                <w:tab w:val="left" w:pos="9720"/>
                <w:tab w:val="left" w:pos="10357"/>
              </w:tabs>
              <w:autoSpaceDE w:val="0"/>
              <w:autoSpaceDN w:val="0"/>
              <w:jc w:val="both"/>
              <w:rPr>
                <w:rFonts w:cs="Arial"/>
                <w:bCs/>
                <w:color w:val="000000"/>
                <w:sz w:val="20"/>
                <w:szCs w:val="20"/>
                <w:lang w:eastAsia="uk-UA"/>
              </w:rPr>
            </w:pPr>
            <w:r w:rsidRPr="00A041B2">
              <w:rPr>
                <w:rFonts w:cs="Arial"/>
                <w:bCs/>
                <w:color w:val="000000"/>
                <w:sz w:val="20"/>
                <w:szCs w:val="20"/>
                <w:lang w:eastAsia="uk-UA"/>
              </w:rPr>
              <w:t>А.1.2. Інноваційний  розвиток промислового  сектору громади</w:t>
            </w:r>
          </w:p>
        </w:tc>
        <w:tc>
          <w:tcPr>
            <w:tcW w:w="2551" w:type="dxa"/>
            <w:shd w:val="clear" w:color="auto" w:fill="auto"/>
          </w:tcPr>
          <w:p w14:paraId="0D48A597" w14:textId="77777777" w:rsidR="00BC7F59" w:rsidRPr="00A041B2" w:rsidRDefault="00BC7F59" w:rsidP="000413EB">
            <w:pPr>
              <w:suppressAutoHyphens/>
              <w:jc w:val="both"/>
              <w:rPr>
                <w:rFonts w:cs="Arial"/>
                <w:color w:val="000000"/>
                <w:sz w:val="20"/>
                <w:szCs w:val="20"/>
                <w:lang w:eastAsia="uk-UA"/>
              </w:rPr>
            </w:pPr>
            <w:r w:rsidRPr="00A041B2">
              <w:rPr>
                <w:rFonts w:cs="Arial"/>
                <w:color w:val="000000"/>
                <w:sz w:val="20"/>
                <w:szCs w:val="20"/>
                <w:lang w:eastAsia="uk-UA"/>
              </w:rPr>
              <w:t>А.1.2.3. Сприяння створенню нових  підприємств по виробництву будівельних матеріалів з місцевої сировини, в т.ч. розробці  гранітного сховища в смт.Браїлів, розробці вапнякових та піщаних родовищ в селах Жуківці,  та Кармалюкове використання сировинної бази вапнякового кар’єру для виробництва цементу в с. Рів, та ін.</w:t>
            </w:r>
          </w:p>
        </w:tc>
        <w:tc>
          <w:tcPr>
            <w:tcW w:w="2835" w:type="dxa"/>
            <w:shd w:val="clear" w:color="auto" w:fill="auto"/>
          </w:tcPr>
          <w:p w14:paraId="37055824" w14:textId="77777777" w:rsidR="00BC7F59" w:rsidRPr="00A041B2" w:rsidRDefault="00BC7F59" w:rsidP="000413EB">
            <w:pPr>
              <w:widowControl w:val="0"/>
              <w:tabs>
                <w:tab w:val="left" w:pos="5829"/>
                <w:tab w:val="left" w:pos="9720"/>
                <w:tab w:val="left" w:pos="10357"/>
              </w:tabs>
              <w:autoSpaceDE w:val="0"/>
              <w:autoSpaceDN w:val="0"/>
              <w:ind w:firstLine="34"/>
              <w:jc w:val="both"/>
              <w:rPr>
                <w:rFonts w:cs="Arial"/>
                <w:sz w:val="20"/>
                <w:szCs w:val="20"/>
              </w:rPr>
            </w:pPr>
            <w:r w:rsidRPr="00A041B2">
              <w:rPr>
                <w:rFonts w:cs="Arial"/>
                <w:sz w:val="20"/>
                <w:szCs w:val="20"/>
              </w:rPr>
              <w:t>Підтримка підприємств з виробництва будівельних матеріалів із місцевої сировини</w:t>
            </w:r>
          </w:p>
        </w:tc>
        <w:tc>
          <w:tcPr>
            <w:tcW w:w="1276" w:type="dxa"/>
            <w:shd w:val="clear" w:color="auto" w:fill="auto"/>
          </w:tcPr>
          <w:p w14:paraId="63131F17"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sz w:val="20"/>
                <w:szCs w:val="20"/>
                <w:lang w:eastAsia="en-US"/>
              </w:rPr>
            </w:pPr>
            <w:r w:rsidRPr="00A041B2">
              <w:rPr>
                <w:rFonts w:eastAsia="Arial" w:cs="Arial"/>
                <w:sz w:val="20"/>
                <w:szCs w:val="20"/>
                <w:lang w:eastAsia="en-US"/>
              </w:rPr>
              <w:t>2026-2028</w:t>
            </w:r>
          </w:p>
        </w:tc>
        <w:tc>
          <w:tcPr>
            <w:tcW w:w="2345" w:type="dxa"/>
            <w:shd w:val="clear" w:color="auto" w:fill="auto"/>
          </w:tcPr>
          <w:p w14:paraId="6F9C902A" w14:textId="77777777" w:rsidR="00BC7F59" w:rsidRPr="00A041B2" w:rsidRDefault="00BC7F59" w:rsidP="00177957">
            <w:pPr>
              <w:widowControl w:val="0"/>
              <w:tabs>
                <w:tab w:val="left" w:pos="5829"/>
                <w:tab w:val="left" w:pos="9720"/>
                <w:tab w:val="left" w:pos="10357"/>
              </w:tabs>
              <w:autoSpaceDE w:val="0"/>
              <w:autoSpaceDN w:val="0"/>
              <w:spacing w:after="60"/>
              <w:jc w:val="both"/>
              <w:rPr>
                <w:rFonts w:eastAsia="Arial" w:cs="Arial"/>
                <w:sz w:val="20"/>
                <w:szCs w:val="20"/>
                <w:lang w:eastAsia="en-US"/>
              </w:rPr>
            </w:pPr>
            <w:r w:rsidRPr="00A041B2">
              <w:rPr>
                <w:rFonts w:eastAsia="Arial" w:cs="Arial"/>
                <w:sz w:val="20"/>
                <w:szCs w:val="20"/>
                <w:lang w:eastAsia="en-US"/>
              </w:rPr>
              <w:t>Управління економіки та розвитку інфраструктури виконавчого комітету Жмеринської міської ради</w:t>
            </w:r>
          </w:p>
        </w:tc>
        <w:tc>
          <w:tcPr>
            <w:tcW w:w="2900" w:type="dxa"/>
            <w:shd w:val="clear" w:color="auto" w:fill="auto"/>
          </w:tcPr>
          <w:p w14:paraId="6453A127" w14:textId="397E3D22" w:rsidR="00BC7F59" w:rsidRPr="00A041B2" w:rsidRDefault="00BC7F59" w:rsidP="00177957">
            <w:pPr>
              <w:widowControl w:val="0"/>
              <w:tabs>
                <w:tab w:val="left" w:pos="5829"/>
                <w:tab w:val="left" w:pos="9720"/>
                <w:tab w:val="left" w:pos="10357"/>
              </w:tabs>
              <w:autoSpaceDE w:val="0"/>
              <w:autoSpaceDN w:val="0"/>
              <w:spacing w:after="60"/>
              <w:jc w:val="both"/>
              <w:rPr>
                <w:rFonts w:eastAsia="Arial" w:cs="Arial"/>
                <w:sz w:val="20"/>
                <w:szCs w:val="20"/>
                <w:lang w:eastAsia="en-US"/>
              </w:rPr>
            </w:pPr>
            <w:r w:rsidRPr="00A041B2">
              <w:rPr>
                <w:rFonts w:eastAsia="Arial" w:cs="Arial"/>
                <w:sz w:val="20"/>
                <w:szCs w:val="20"/>
                <w:lang w:eastAsia="en-US"/>
              </w:rPr>
              <w:t>Об’єми родовищ сировини (грані</w:t>
            </w:r>
            <w:r w:rsidR="00E950B0">
              <w:rPr>
                <w:rFonts w:eastAsia="Arial" w:cs="Arial"/>
                <w:sz w:val="20"/>
                <w:szCs w:val="20"/>
                <w:lang w:eastAsia="en-US"/>
              </w:rPr>
              <w:t>т, пісок, вапняк тощо).</w:t>
            </w:r>
          </w:p>
          <w:p w14:paraId="775A45C8" w14:textId="3EBA5C98" w:rsidR="00BC7F59" w:rsidRPr="00A041B2" w:rsidRDefault="00BC7F59" w:rsidP="00177957">
            <w:pPr>
              <w:widowControl w:val="0"/>
              <w:tabs>
                <w:tab w:val="left" w:pos="5829"/>
                <w:tab w:val="left" w:pos="9720"/>
                <w:tab w:val="left" w:pos="10357"/>
              </w:tabs>
              <w:autoSpaceDE w:val="0"/>
              <w:autoSpaceDN w:val="0"/>
              <w:spacing w:after="60"/>
              <w:jc w:val="both"/>
              <w:rPr>
                <w:rFonts w:eastAsia="Arial" w:cs="Arial"/>
                <w:sz w:val="20"/>
                <w:szCs w:val="20"/>
                <w:lang w:eastAsia="en-US"/>
              </w:rPr>
            </w:pPr>
            <w:r w:rsidRPr="00A041B2">
              <w:rPr>
                <w:rFonts w:eastAsia="Arial" w:cs="Arial"/>
                <w:sz w:val="20"/>
                <w:szCs w:val="20"/>
                <w:lang w:eastAsia="en-US"/>
              </w:rPr>
              <w:t>Кількість галузевих виставок в яких пр</w:t>
            </w:r>
            <w:r w:rsidR="00E950B0">
              <w:rPr>
                <w:rFonts w:eastAsia="Arial" w:cs="Arial"/>
                <w:sz w:val="20"/>
                <w:szCs w:val="20"/>
                <w:lang w:eastAsia="en-US"/>
              </w:rPr>
              <w:t>езентовано сировинний потенціал.</w:t>
            </w:r>
          </w:p>
          <w:p w14:paraId="5D340A15" w14:textId="77777777" w:rsidR="00BC7F59" w:rsidRPr="00A041B2" w:rsidRDefault="00BC7F59" w:rsidP="00177957">
            <w:pPr>
              <w:widowControl w:val="0"/>
              <w:tabs>
                <w:tab w:val="left" w:pos="5829"/>
                <w:tab w:val="left" w:pos="9720"/>
                <w:tab w:val="left" w:pos="10357"/>
              </w:tabs>
              <w:autoSpaceDE w:val="0"/>
              <w:autoSpaceDN w:val="0"/>
              <w:spacing w:after="60"/>
              <w:jc w:val="both"/>
              <w:rPr>
                <w:rFonts w:eastAsia="Arial" w:cs="Arial"/>
                <w:sz w:val="20"/>
                <w:szCs w:val="20"/>
                <w:lang w:eastAsia="en-US"/>
              </w:rPr>
            </w:pPr>
            <w:r w:rsidRPr="00A041B2">
              <w:rPr>
                <w:rFonts w:eastAsia="Arial" w:cs="Arial"/>
                <w:sz w:val="20"/>
                <w:szCs w:val="20"/>
                <w:lang w:eastAsia="en-US"/>
              </w:rPr>
              <w:t>Кількість підприємств які використовують місцеву сировину для виробництва будівельних матеріалів тощо.</w:t>
            </w:r>
          </w:p>
        </w:tc>
      </w:tr>
      <w:tr w:rsidR="00BC7F59" w:rsidRPr="00A041B2" w14:paraId="0025D5FF" w14:textId="77777777" w:rsidTr="000413EB">
        <w:tc>
          <w:tcPr>
            <w:tcW w:w="567" w:type="dxa"/>
            <w:shd w:val="clear" w:color="auto" w:fill="auto"/>
          </w:tcPr>
          <w:p w14:paraId="60F4B405"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sz w:val="20"/>
                <w:szCs w:val="20"/>
                <w:lang w:eastAsia="en-US"/>
              </w:rPr>
            </w:pPr>
            <w:r w:rsidRPr="00A041B2">
              <w:rPr>
                <w:rFonts w:eastAsia="Arial" w:cs="Arial"/>
                <w:sz w:val="20"/>
                <w:szCs w:val="20"/>
                <w:lang w:eastAsia="en-US"/>
              </w:rPr>
              <w:lastRenderedPageBreak/>
              <w:t>3</w:t>
            </w:r>
          </w:p>
        </w:tc>
        <w:tc>
          <w:tcPr>
            <w:tcW w:w="2694" w:type="dxa"/>
            <w:shd w:val="clear" w:color="auto" w:fill="auto"/>
          </w:tcPr>
          <w:p w14:paraId="26AB114A"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sz w:val="20"/>
                <w:szCs w:val="20"/>
                <w:lang w:eastAsia="en-US"/>
              </w:rPr>
            </w:pPr>
            <w:r w:rsidRPr="00A041B2">
              <w:rPr>
                <w:rFonts w:cs="Arial"/>
                <w:sz w:val="20"/>
                <w:szCs w:val="20"/>
              </w:rPr>
              <w:t>А.2.3. Підтримка раціонального використання земельних ресурсів та водного фонду для фінансової стабільності громади</w:t>
            </w:r>
          </w:p>
        </w:tc>
        <w:tc>
          <w:tcPr>
            <w:tcW w:w="2551" w:type="dxa"/>
            <w:shd w:val="clear" w:color="auto" w:fill="auto"/>
          </w:tcPr>
          <w:p w14:paraId="0BC305D3"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sz w:val="20"/>
                <w:szCs w:val="20"/>
                <w:lang w:eastAsia="en-US"/>
              </w:rPr>
            </w:pPr>
            <w:r w:rsidRPr="00A041B2">
              <w:rPr>
                <w:rFonts w:cs="Arial"/>
                <w:sz w:val="20"/>
                <w:szCs w:val="20"/>
              </w:rPr>
              <w:t>А.2.3. Підтримка раціонального використання земельних ресурсів та водного фонду для фінансової стабільності громади</w:t>
            </w:r>
          </w:p>
        </w:tc>
        <w:tc>
          <w:tcPr>
            <w:tcW w:w="2835" w:type="dxa"/>
            <w:shd w:val="clear" w:color="auto" w:fill="auto"/>
          </w:tcPr>
          <w:p w14:paraId="53C31D22"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sz w:val="20"/>
                <w:szCs w:val="20"/>
                <w:lang w:eastAsia="en-US"/>
              </w:rPr>
            </w:pPr>
            <w:r w:rsidRPr="00A041B2">
              <w:rPr>
                <w:rFonts w:cs="Arial"/>
                <w:sz w:val="20"/>
                <w:szCs w:val="20"/>
              </w:rPr>
              <w:t>Встановлення (коригування) меж населеного пункту</w:t>
            </w:r>
          </w:p>
        </w:tc>
        <w:tc>
          <w:tcPr>
            <w:tcW w:w="1276" w:type="dxa"/>
            <w:shd w:val="clear" w:color="auto" w:fill="auto"/>
          </w:tcPr>
          <w:p w14:paraId="7F418501"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sz w:val="20"/>
                <w:szCs w:val="20"/>
                <w:lang w:eastAsia="en-US"/>
              </w:rPr>
            </w:pPr>
            <w:r w:rsidRPr="00A041B2">
              <w:rPr>
                <w:rFonts w:eastAsia="Arial" w:cs="Arial"/>
                <w:sz w:val="20"/>
                <w:szCs w:val="20"/>
                <w:lang w:eastAsia="en-US"/>
              </w:rPr>
              <w:t xml:space="preserve">2025 - 2028 </w:t>
            </w:r>
          </w:p>
        </w:tc>
        <w:tc>
          <w:tcPr>
            <w:tcW w:w="2345" w:type="dxa"/>
            <w:shd w:val="clear" w:color="auto" w:fill="auto"/>
          </w:tcPr>
          <w:p w14:paraId="5BFC6F41" w14:textId="77777777" w:rsidR="00177957" w:rsidRPr="00A041B2" w:rsidRDefault="00BC7F59" w:rsidP="00177957">
            <w:pPr>
              <w:widowControl w:val="0"/>
              <w:tabs>
                <w:tab w:val="left" w:pos="5829"/>
                <w:tab w:val="left" w:pos="9720"/>
                <w:tab w:val="left" w:pos="10357"/>
              </w:tabs>
              <w:autoSpaceDE w:val="0"/>
              <w:autoSpaceDN w:val="0"/>
              <w:spacing w:after="60"/>
              <w:jc w:val="both"/>
              <w:rPr>
                <w:rFonts w:cs="Arial"/>
                <w:sz w:val="20"/>
                <w:szCs w:val="20"/>
              </w:rPr>
            </w:pPr>
            <w:r w:rsidRPr="00A041B2">
              <w:rPr>
                <w:rFonts w:cs="Arial"/>
                <w:sz w:val="20"/>
                <w:szCs w:val="20"/>
              </w:rPr>
              <w:t xml:space="preserve">Управління земельних ресурсів виконавчого комітету Жмеринської міської ради, </w:t>
            </w:r>
          </w:p>
          <w:p w14:paraId="0F986789" w14:textId="2093AA64" w:rsidR="00BC7F59" w:rsidRPr="00A041B2" w:rsidRDefault="00BC7F59" w:rsidP="00177957">
            <w:pPr>
              <w:widowControl w:val="0"/>
              <w:tabs>
                <w:tab w:val="left" w:pos="5829"/>
                <w:tab w:val="left" w:pos="9720"/>
                <w:tab w:val="left" w:pos="10357"/>
              </w:tabs>
              <w:autoSpaceDE w:val="0"/>
              <w:autoSpaceDN w:val="0"/>
              <w:spacing w:after="60"/>
              <w:jc w:val="both"/>
              <w:rPr>
                <w:rFonts w:eastAsia="Arial" w:cs="Arial"/>
                <w:sz w:val="20"/>
                <w:szCs w:val="20"/>
                <w:lang w:eastAsia="en-US"/>
              </w:rPr>
            </w:pPr>
            <w:r w:rsidRPr="00A041B2">
              <w:rPr>
                <w:rFonts w:cs="Arial"/>
                <w:sz w:val="20"/>
                <w:szCs w:val="20"/>
              </w:rPr>
              <w:t>управління житлово – комунального господарства Жмеринської міської ради</w:t>
            </w:r>
          </w:p>
        </w:tc>
        <w:tc>
          <w:tcPr>
            <w:tcW w:w="2900" w:type="dxa"/>
            <w:shd w:val="clear" w:color="auto" w:fill="auto"/>
          </w:tcPr>
          <w:p w14:paraId="64C8A319" w14:textId="53E939A9" w:rsidR="00BC7F59" w:rsidRPr="00A041B2" w:rsidRDefault="00BC7F59" w:rsidP="00177957">
            <w:pPr>
              <w:spacing w:after="60"/>
              <w:jc w:val="both"/>
              <w:rPr>
                <w:rFonts w:cs="Arial"/>
                <w:sz w:val="20"/>
                <w:szCs w:val="20"/>
              </w:rPr>
            </w:pPr>
            <w:r w:rsidRPr="00A041B2">
              <w:rPr>
                <w:rFonts w:cs="Arial"/>
                <w:sz w:val="20"/>
                <w:szCs w:val="20"/>
              </w:rPr>
              <w:t>Встановлено межі 28 населених пунктів Жмеринської міської територіальної громади; упорядковано відомості про земельні ділянки і їх землекористувачів; створено реальний банк ринку землі</w:t>
            </w:r>
            <w:r w:rsidR="00E950B0">
              <w:rPr>
                <w:rFonts w:cs="Arial"/>
                <w:sz w:val="20"/>
                <w:szCs w:val="20"/>
              </w:rPr>
              <w:t>.</w:t>
            </w:r>
          </w:p>
        </w:tc>
      </w:tr>
      <w:tr w:rsidR="00BC7F59" w:rsidRPr="00A041B2" w14:paraId="530562E0" w14:textId="77777777" w:rsidTr="000413EB">
        <w:tc>
          <w:tcPr>
            <w:tcW w:w="567" w:type="dxa"/>
            <w:shd w:val="clear" w:color="auto" w:fill="auto"/>
          </w:tcPr>
          <w:p w14:paraId="468F37EE"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sz w:val="20"/>
                <w:szCs w:val="20"/>
                <w:lang w:eastAsia="en-US"/>
              </w:rPr>
            </w:pPr>
            <w:r w:rsidRPr="00A041B2">
              <w:rPr>
                <w:rFonts w:eastAsia="Arial" w:cs="Arial"/>
                <w:sz w:val="20"/>
                <w:szCs w:val="20"/>
                <w:lang w:eastAsia="en-US"/>
              </w:rPr>
              <w:t>4</w:t>
            </w:r>
          </w:p>
        </w:tc>
        <w:tc>
          <w:tcPr>
            <w:tcW w:w="2694" w:type="dxa"/>
            <w:shd w:val="clear" w:color="auto" w:fill="auto"/>
          </w:tcPr>
          <w:p w14:paraId="7F618A50"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sz w:val="20"/>
                <w:szCs w:val="20"/>
                <w:lang w:eastAsia="en-US"/>
              </w:rPr>
            </w:pPr>
            <w:r w:rsidRPr="00A041B2">
              <w:rPr>
                <w:rFonts w:cs="Arial"/>
                <w:sz w:val="20"/>
                <w:szCs w:val="20"/>
              </w:rPr>
              <w:t>А.2.3. Підтримка раціонального використання земельних ресурсів та водного фонду для фінансової стабільності громади</w:t>
            </w:r>
          </w:p>
        </w:tc>
        <w:tc>
          <w:tcPr>
            <w:tcW w:w="2551" w:type="dxa"/>
            <w:shd w:val="clear" w:color="auto" w:fill="auto"/>
          </w:tcPr>
          <w:p w14:paraId="5C041A05"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sz w:val="20"/>
                <w:szCs w:val="20"/>
                <w:lang w:eastAsia="en-US"/>
              </w:rPr>
            </w:pPr>
            <w:r w:rsidRPr="00A041B2">
              <w:rPr>
                <w:rFonts w:cs="Arial"/>
                <w:sz w:val="20"/>
                <w:szCs w:val="20"/>
              </w:rPr>
              <w:t>А.2.3. Підтримка раціонального використання земельних ресурсів та водного фонду для фінансової стабільності громади</w:t>
            </w:r>
          </w:p>
        </w:tc>
        <w:tc>
          <w:tcPr>
            <w:tcW w:w="2835" w:type="dxa"/>
            <w:shd w:val="clear" w:color="auto" w:fill="auto"/>
          </w:tcPr>
          <w:p w14:paraId="24670E81"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sz w:val="20"/>
                <w:szCs w:val="20"/>
                <w:lang w:eastAsia="en-US"/>
              </w:rPr>
            </w:pPr>
            <w:r w:rsidRPr="00A041B2">
              <w:rPr>
                <w:rFonts w:cs="Arial"/>
                <w:sz w:val="20"/>
                <w:szCs w:val="20"/>
              </w:rPr>
              <w:t>Встановлення меж територіальної громади</w:t>
            </w:r>
          </w:p>
        </w:tc>
        <w:tc>
          <w:tcPr>
            <w:tcW w:w="1276" w:type="dxa"/>
            <w:shd w:val="clear" w:color="auto" w:fill="auto"/>
          </w:tcPr>
          <w:p w14:paraId="20A438CA"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sz w:val="20"/>
                <w:szCs w:val="20"/>
                <w:lang w:eastAsia="en-US"/>
              </w:rPr>
            </w:pPr>
            <w:r w:rsidRPr="00A041B2">
              <w:rPr>
                <w:rFonts w:eastAsia="Arial" w:cs="Arial"/>
                <w:sz w:val="20"/>
                <w:szCs w:val="20"/>
                <w:lang w:eastAsia="en-US"/>
              </w:rPr>
              <w:t xml:space="preserve">2025 - 2028 </w:t>
            </w:r>
          </w:p>
        </w:tc>
        <w:tc>
          <w:tcPr>
            <w:tcW w:w="2345" w:type="dxa"/>
            <w:shd w:val="clear" w:color="auto" w:fill="auto"/>
          </w:tcPr>
          <w:p w14:paraId="09427AF5" w14:textId="77777777" w:rsidR="00177957" w:rsidRPr="00A041B2" w:rsidRDefault="00BC7F59" w:rsidP="00177957">
            <w:pPr>
              <w:widowControl w:val="0"/>
              <w:tabs>
                <w:tab w:val="left" w:pos="5829"/>
                <w:tab w:val="left" w:pos="9720"/>
                <w:tab w:val="left" w:pos="10357"/>
              </w:tabs>
              <w:autoSpaceDE w:val="0"/>
              <w:autoSpaceDN w:val="0"/>
              <w:spacing w:after="60"/>
              <w:jc w:val="both"/>
              <w:rPr>
                <w:rFonts w:cs="Arial"/>
                <w:sz w:val="20"/>
                <w:szCs w:val="20"/>
              </w:rPr>
            </w:pPr>
            <w:r w:rsidRPr="00A041B2">
              <w:rPr>
                <w:rFonts w:cs="Arial"/>
                <w:sz w:val="20"/>
                <w:szCs w:val="20"/>
              </w:rPr>
              <w:t xml:space="preserve">Управління земельних ресурсів виконавчого комітету Жмеринської міської ради, </w:t>
            </w:r>
          </w:p>
          <w:p w14:paraId="572373A0" w14:textId="23A4EDC6" w:rsidR="00BC7F59" w:rsidRPr="00A041B2" w:rsidRDefault="00BC7F59" w:rsidP="00177957">
            <w:pPr>
              <w:widowControl w:val="0"/>
              <w:tabs>
                <w:tab w:val="left" w:pos="5829"/>
                <w:tab w:val="left" w:pos="9720"/>
                <w:tab w:val="left" w:pos="10357"/>
              </w:tabs>
              <w:autoSpaceDE w:val="0"/>
              <w:autoSpaceDN w:val="0"/>
              <w:spacing w:after="60"/>
              <w:jc w:val="both"/>
              <w:rPr>
                <w:rFonts w:eastAsia="Arial" w:cs="Arial"/>
                <w:sz w:val="20"/>
                <w:szCs w:val="20"/>
                <w:lang w:eastAsia="en-US"/>
              </w:rPr>
            </w:pPr>
            <w:r w:rsidRPr="00A041B2">
              <w:rPr>
                <w:rFonts w:cs="Arial"/>
                <w:sz w:val="20"/>
                <w:szCs w:val="20"/>
              </w:rPr>
              <w:t>управління житлово – комунального господарства Жмеринської міської ради</w:t>
            </w:r>
          </w:p>
        </w:tc>
        <w:tc>
          <w:tcPr>
            <w:tcW w:w="2900" w:type="dxa"/>
            <w:shd w:val="clear" w:color="auto" w:fill="auto"/>
          </w:tcPr>
          <w:p w14:paraId="06179D97" w14:textId="19E727A9" w:rsidR="00BC7F59" w:rsidRPr="00A041B2" w:rsidRDefault="00BC7F59" w:rsidP="00177957">
            <w:pPr>
              <w:widowControl w:val="0"/>
              <w:tabs>
                <w:tab w:val="left" w:pos="5829"/>
                <w:tab w:val="left" w:pos="9720"/>
                <w:tab w:val="left" w:pos="10357"/>
              </w:tabs>
              <w:autoSpaceDE w:val="0"/>
              <w:autoSpaceDN w:val="0"/>
              <w:spacing w:after="60"/>
              <w:jc w:val="both"/>
              <w:rPr>
                <w:rFonts w:eastAsia="Arial" w:cs="Arial"/>
                <w:sz w:val="20"/>
                <w:szCs w:val="20"/>
                <w:lang w:eastAsia="en-US"/>
              </w:rPr>
            </w:pPr>
            <w:r w:rsidRPr="00A041B2">
              <w:rPr>
                <w:rFonts w:cs="Arial"/>
                <w:sz w:val="20"/>
                <w:szCs w:val="20"/>
              </w:rPr>
              <w:t xml:space="preserve">Встановлено та внесено до Державного земельного кадастру </w:t>
            </w:r>
            <w:r w:rsidRPr="00A041B2">
              <w:rPr>
                <w:rStyle w:val="afd"/>
                <w:rFonts w:cs="Arial"/>
                <w:b w:val="0"/>
                <w:sz w:val="20"/>
                <w:szCs w:val="20"/>
              </w:rPr>
              <w:t>зовнішні межі територіальної громади</w:t>
            </w:r>
            <w:r w:rsidR="00E950B0">
              <w:rPr>
                <w:rStyle w:val="afd"/>
                <w:rFonts w:cs="Arial"/>
                <w:b w:val="0"/>
                <w:sz w:val="20"/>
                <w:szCs w:val="20"/>
              </w:rPr>
              <w:t>.</w:t>
            </w:r>
          </w:p>
        </w:tc>
      </w:tr>
      <w:tr w:rsidR="00BC7F59" w:rsidRPr="00A041B2" w14:paraId="3202986E" w14:textId="77777777" w:rsidTr="000413EB">
        <w:tc>
          <w:tcPr>
            <w:tcW w:w="567" w:type="dxa"/>
            <w:shd w:val="clear" w:color="auto" w:fill="auto"/>
          </w:tcPr>
          <w:p w14:paraId="10AF0DFC"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sz w:val="20"/>
                <w:szCs w:val="20"/>
                <w:lang w:eastAsia="en-US"/>
              </w:rPr>
            </w:pPr>
            <w:r w:rsidRPr="00A041B2">
              <w:rPr>
                <w:rFonts w:eastAsia="Arial" w:cs="Arial"/>
                <w:sz w:val="20"/>
                <w:szCs w:val="20"/>
                <w:lang w:eastAsia="en-US"/>
              </w:rPr>
              <w:t>5</w:t>
            </w:r>
          </w:p>
        </w:tc>
        <w:tc>
          <w:tcPr>
            <w:tcW w:w="2694" w:type="dxa"/>
            <w:shd w:val="clear" w:color="auto" w:fill="auto"/>
          </w:tcPr>
          <w:p w14:paraId="26B83186"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sz w:val="20"/>
                <w:szCs w:val="20"/>
                <w:lang w:eastAsia="en-US"/>
              </w:rPr>
            </w:pPr>
            <w:r w:rsidRPr="00A041B2">
              <w:rPr>
                <w:rFonts w:cs="Arial"/>
                <w:sz w:val="20"/>
                <w:szCs w:val="20"/>
              </w:rPr>
              <w:t>А.2.3. Підтримка раціонального використання земельних ресурсів та водного фонду для фінансової стабільності громади</w:t>
            </w:r>
          </w:p>
        </w:tc>
        <w:tc>
          <w:tcPr>
            <w:tcW w:w="2551" w:type="dxa"/>
            <w:shd w:val="clear" w:color="auto" w:fill="auto"/>
          </w:tcPr>
          <w:p w14:paraId="0350A545"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sz w:val="20"/>
                <w:szCs w:val="20"/>
                <w:lang w:eastAsia="en-US"/>
              </w:rPr>
            </w:pPr>
            <w:r w:rsidRPr="00A041B2">
              <w:rPr>
                <w:rFonts w:cs="Arial"/>
                <w:sz w:val="20"/>
                <w:szCs w:val="20"/>
              </w:rPr>
              <w:t>А.2.3. Підтримка раціонального використання земельних ресурсів та водного фонду для фінансової стабільності громади</w:t>
            </w:r>
          </w:p>
        </w:tc>
        <w:tc>
          <w:tcPr>
            <w:tcW w:w="2835" w:type="dxa"/>
            <w:shd w:val="clear" w:color="auto" w:fill="auto"/>
          </w:tcPr>
          <w:p w14:paraId="47E0F566"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sz w:val="20"/>
                <w:szCs w:val="20"/>
                <w:lang w:eastAsia="en-US"/>
              </w:rPr>
            </w:pPr>
            <w:r w:rsidRPr="00A041B2">
              <w:rPr>
                <w:rFonts w:cs="Arial"/>
                <w:sz w:val="20"/>
                <w:szCs w:val="20"/>
              </w:rPr>
              <w:t>Нормативна грошова оцінка земельних ділянок</w:t>
            </w:r>
          </w:p>
        </w:tc>
        <w:tc>
          <w:tcPr>
            <w:tcW w:w="1276" w:type="dxa"/>
            <w:shd w:val="clear" w:color="auto" w:fill="auto"/>
          </w:tcPr>
          <w:p w14:paraId="1C331FC7"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sz w:val="20"/>
                <w:szCs w:val="20"/>
                <w:lang w:eastAsia="en-US"/>
              </w:rPr>
            </w:pPr>
            <w:r w:rsidRPr="00A041B2">
              <w:rPr>
                <w:rFonts w:eastAsia="Arial" w:cs="Arial"/>
                <w:sz w:val="20"/>
                <w:szCs w:val="20"/>
                <w:lang w:eastAsia="en-US"/>
              </w:rPr>
              <w:t xml:space="preserve">2025 - 2028 </w:t>
            </w:r>
          </w:p>
        </w:tc>
        <w:tc>
          <w:tcPr>
            <w:tcW w:w="2345" w:type="dxa"/>
            <w:shd w:val="clear" w:color="auto" w:fill="auto"/>
          </w:tcPr>
          <w:p w14:paraId="2E9CBD18" w14:textId="77777777" w:rsidR="00177957" w:rsidRPr="00A041B2" w:rsidRDefault="00BC7F59" w:rsidP="00177957">
            <w:pPr>
              <w:widowControl w:val="0"/>
              <w:tabs>
                <w:tab w:val="left" w:pos="5829"/>
                <w:tab w:val="left" w:pos="9720"/>
                <w:tab w:val="left" w:pos="10357"/>
              </w:tabs>
              <w:autoSpaceDE w:val="0"/>
              <w:autoSpaceDN w:val="0"/>
              <w:spacing w:after="60"/>
              <w:jc w:val="both"/>
              <w:rPr>
                <w:rFonts w:cs="Arial"/>
                <w:sz w:val="20"/>
                <w:szCs w:val="20"/>
              </w:rPr>
            </w:pPr>
            <w:r w:rsidRPr="00A041B2">
              <w:rPr>
                <w:rFonts w:cs="Arial"/>
                <w:sz w:val="20"/>
                <w:szCs w:val="20"/>
              </w:rPr>
              <w:t xml:space="preserve">Управління земельних ресурсів виконавчого комітету Жмеринської міської ради, </w:t>
            </w:r>
          </w:p>
          <w:p w14:paraId="7056D7FA" w14:textId="27276D67" w:rsidR="00BC7F59" w:rsidRPr="00A041B2" w:rsidRDefault="00BC7F59" w:rsidP="00177957">
            <w:pPr>
              <w:widowControl w:val="0"/>
              <w:tabs>
                <w:tab w:val="left" w:pos="5829"/>
                <w:tab w:val="left" w:pos="9720"/>
                <w:tab w:val="left" w:pos="10357"/>
              </w:tabs>
              <w:autoSpaceDE w:val="0"/>
              <w:autoSpaceDN w:val="0"/>
              <w:spacing w:after="60"/>
              <w:jc w:val="both"/>
              <w:rPr>
                <w:rFonts w:eastAsia="Arial" w:cs="Arial"/>
                <w:sz w:val="20"/>
                <w:szCs w:val="20"/>
                <w:lang w:eastAsia="en-US"/>
              </w:rPr>
            </w:pPr>
            <w:r w:rsidRPr="00A041B2">
              <w:rPr>
                <w:rFonts w:cs="Arial"/>
                <w:sz w:val="20"/>
                <w:szCs w:val="20"/>
              </w:rPr>
              <w:t>управління житлово – комунального господарства Жмеринської міської ради</w:t>
            </w:r>
          </w:p>
        </w:tc>
        <w:tc>
          <w:tcPr>
            <w:tcW w:w="2900" w:type="dxa"/>
            <w:shd w:val="clear" w:color="auto" w:fill="auto"/>
          </w:tcPr>
          <w:p w14:paraId="4EA884FC" w14:textId="45B05CDB" w:rsidR="00BC7F59" w:rsidRPr="00A041B2" w:rsidRDefault="00BC7F59" w:rsidP="00177957">
            <w:pPr>
              <w:widowControl w:val="0"/>
              <w:tabs>
                <w:tab w:val="left" w:pos="5829"/>
                <w:tab w:val="left" w:pos="9720"/>
                <w:tab w:val="left" w:pos="10357"/>
              </w:tabs>
              <w:autoSpaceDE w:val="0"/>
              <w:autoSpaceDN w:val="0"/>
              <w:spacing w:after="60"/>
              <w:jc w:val="both"/>
              <w:rPr>
                <w:rFonts w:eastAsia="Arial" w:cs="Arial"/>
                <w:sz w:val="20"/>
                <w:szCs w:val="20"/>
                <w:lang w:eastAsia="en-US"/>
              </w:rPr>
            </w:pPr>
            <w:r w:rsidRPr="00A041B2">
              <w:rPr>
                <w:rFonts w:cs="Arial"/>
                <w:sz w:val="20"/>
                <w:szCs w:val="20"/>
              </w:rPr>
              <w:t>Проведено нормативно грошову оцінку по 27 населених пунктах Жмеринської міської територіальної громади; збільшено надходження до місцевого бюджету від земельного податку, орендної плати, державного мита при обміні, успадкуванні та даруванні земельних ділянок</w:t>
            </w:r>
            <w:r w:rsidR="00E950B0">
              <w:rPr>
                <w:rFonts w:cs="Arial"/>
                <w:sz w:val="20"/>
                <w:szCs w:val="20"/>
              </w:rPr>
              <w:t>.</w:t>
            </w:r>
          </w:p>
        </w:tc>
      </w:tr>
      <w:tr w:rsidR="00BC7F59" w:rsidRPr="00A041B2" w14:paraId="26139ADD" w14:textId="77777777" w:rsidTr="000413EB">
        <w:tc>
          <w:tcPr>
            <w:tcW w:w="567" w:type="dxa"/>
            <w:shd w:val="clear" w:color="auto" w:fill="auto"/>
          </w:tcPr>
          <w:p w14:paraId="289E887B"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sz w:val="20"/>
                <w:szCs w:val="20"/>
                <w:lang w:eastAsia="en-US"/>
              </w:rPr>
            </w:pPr>
            <w:r w:rsidRPr="00A041B2">
              <w:rPr>
                <w:rFonts w:eastAsia="Arial" w:cs="Arial"/>
                <w:sz w:val="20"/>
                <w:szCs w:val="20"/>
                <w:lang w:eastAsia="en-US"/>
              </w:rPr>
              <w:t>6</w:t>
            </w:r>
          </w:p>
        </w:tc>
        <w:tc>
          <w:tcPr>
            <w:tcW w:w="2694" w:type="dxa"/>
            <w:shd w:val="clear" w:color="auto" w:fill="auto"/>
          </w:tcPr>
          <w:p w14:paraId="64E6AC53"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sz w:val="20"/>
                <w:szCs w:val="20"/>
                <w:lang w:eastAsia="en-US"/>
              </w:rPr>
            </w:pPr>
            <w:r w:rsidRPr="00A041B2">
              <w:rPr>
                <w:rFonts w:cs="Arial"/>
                <w:sz w:val="20"/>
                <w:szCs w:val="20"/>
              </w:rPr>
              <w:t>А.2.3. Підтримка раціонального використання земельних ресурсів та водного фонду для фінансової стабільності громади</w:t>
            </w:r>
          </w:p>
        </w:tc>
        <w:tc>
          <w:tcPr>
            <w:tcW w:w="2551" w:type="dxa"/>
            <w:shd w:val="clear" w:color="auto" w:fill="auto"/>
          </w:tcPr>
          <w:p w14:paraId="006DDD99"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sz w:val="20"/>
                <w:szCs w:val="20"/>
                <w:lang w:eastAsia="en-US"/>
              </w:rPr>
            </w:pPr>
            <w:r w:rsidRPr="00A041B2">
              <w:rPr>
                <w:rFonts w:cs="Arial"/>
                <w:sz w:val="20"/>
                <w:szCs w:val="20"/>
              </w:rPr>
              <w:t>А.2.3. Підтримка раціонального використання земельних ресурсів та водного фонду для фінансової стабільності громади</w:t>
            </w:r>
          </w:p>
        </w:tc>
        <w:tc>
          <w:tcPr>
            <w:tcW w:w="2835" w:type="dxa"/>
            <w:shd w:val="clear" w:color="auto" w:fill="auto"/>
          </w:tcPr>
          <w:p w14:paraId="11DAEA36"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sz w:val="20"/>
                <w:szCs w:val="20"/>
                <w:lang w:eastAsia="en-US"/>
              </w:rPr>
            </w:pPr>
            <w:r w:rsidRPr="00A041B2">
              <w:rPr>
                <w:rFonts w:cs="Arial"/>
                <w:sz w:val="20"/>
                <w:szCs w:val="20"/>
              </w:rPr>
              <w:t>Складання плану земельно - господарського устрою населеного пункту</w:t>
            </w:r>
          </w:p>
        </w:tc>
        <w:tc>
          <w:tcPr>
            <w:tcW w:w="1276" w:type="dxa"/>
            <w:shd w:val="clear" w:color="auto" w:fill="auto"/>
          </w:tcPr>
          <w:p w14:paraId="1657D2DE"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sz w:val="20"/>
                <w:szCs w:val="20"/>
                <w:lang w:eastAsia="en-US"/>
              </w:rPr>
            </w:pPr>
            <w:r w:rsidRPr="00A041B2">
              <w:rPr>
                <w:rFonts w:eastAsia="Arial" w:cs="Arial"/>
                <w:sz w:val="20"/>
                <w:szCs w:val="20"/>
                <w:lang w:eastAsia="en-US"/>
              </w:rPr>
              <w:t xml:space="preserve">2025 - 2028 </w:t>
            </w:r>
          </w:p>
        </w:tc>
        <w:tc>
          <w:tcPr>
            <w:tcW w:w="2345" w:type="dxa"/>
            <w:shd w:val="clear" w:color="auto" w:fill="auto"/>
          </w:tcPr>
          <w:p w14:paraId="583CB4AC" w14:textId="77777777" w:rsidR="00177957" w:rsidRPr="00A041B2" w:rsidRDefault="00BC7F59" w:rsidP="00177957">
            <w:pPr>
              <w:widowControl w:val="0"/>
              <w:tabs>
                <w:tab w:val="left" w:pos="5829"/>
                <w:tab w:val="left" w:pos="9720"/>
                <w:tab w:val="left" w:pos="10357"/>
              </w:tabs>
              <w:autoSpaceDE w:val="0"/>
              <w:autoSpaceDN w:val="0"/>
              <w:spacing w:after="60"/>
              <w:jc w:val="both"/>
              <w:rPr>
                <w:rFonts w:cs="Arial"/>
                <w:sz w:val="20"/>
                <w:szCs w:val="20"/>
              </w:rPr>
            </w:pPr>
            <w:r w:rsidRPr="00A041B2">
              <w:rPr>
                <w:rFonts w:cs="Arial"/>
                <w:sz w:val="20"/>
                <w:szCs w:val="20"/>
              </w:rPr>
              <w:t xml:space="preserve">Управління земельних ресурсів виконавчого комітету Жмеринської міської ради, </w:t>
            </w:r>
          </w:p>
          <w:p w14:paraId="424144EF" w14:textId="23BB01B1" w:rsidR="00BC7F59" w:rsidRPr="00A041B2" w:rsidRDefault="00BC7F59" w:rsidP="00177957">
            <w:pPr>
              <w:widowControl w:val="0"/>
              <w:tabs>
                <w:tab w:val="left" w:pos="5829"/>
                <w:tab w:val="left" w:pos="9720"/>
                <w:tab w:val="left" w:pos="10357"/>
              </w:tabs>
              <w:autoSpaceDE w:val="0"/>
              <w:autoSpaceDN w:val="0"/>
              <w:spacing w:after="60"/>
              <w:jc w:val="both"/>
              <w:rPr>
                <w:rFonts w:eastAsia="Arial" w:cs="Arial"/>
                <w:sz w:val="20"/>
                <w:szCs w:val="20"/>
                <w:lang w:eastAsia="en-US"/>
              </w:rPr>
            </w:pPr>
            <w:r w:rsidRPr="00A041B2">
              <w:rPr>
                <w:rFonts w:cs="Arial"/>
                <w:sz w:val="20"/>
                <w:szCs w:val="20"/>
              </w:rPr>
              <w:t>управління житлово – комунального господарства Жмеринської міської ради</w:t>
            </w:r>
          </w:p>
        </w:tc>
        <w:tc>
          <w:tcPr>
            <w:tcW w:w="2900" w:type="dxa"/>
            <w:shd w:val="clear" w:color="auto" w:fill="auto"/>
          </w:tcPr>
          <w:p w14:paraId="5CFE6272" w14:textId="3083A727" w:rsidR="00BC7F59" w:rsidRPr="00A041B2" w:rsidRDefault="00BC7F59" w:rsidP="00177957">
            <w:pPr>
              <w:widowControl w:val="0"/>
              <w:tabs>
                <w:tab w:val="left" w:pos="5829"/>
                <w:tab w:val="left" w:pos="9720"/>
                <w:tab w:val="left" w:pos="10357"/>
              </w:tabs>
              <w:autoSpaceDE w:val="0"/>
              <w:autoSpaceDN w:val="0"/>
              <w:spacing w:after="60"/>
              <w:rPr>
                <w:rFonts w:eastAsia="Arial" w:cs="Arial"/>
                <w:sz w:val="20"/>
                <w:szCs w:val="20"/>
                <w:lang w:eastAsia="en-US"/>
              </w:rPr>
            </w:pPr>
            <w:r w:rsidRPr="00A041B2">
              <w:rPr>
                <w:rFonts w:cs="Arial"/>
                <w:sz w:val="20"/>
                <w:szCs w:val="20"/>
              </w:rPr>
              <w:t xml:space="preserve">Упорядковано відомості про земельні ділянки і їх землекористувачів, створено реальний банк ринку землі, оперативне вирішення питання забудови, планування і зонування, експлуатації інженерних мереж, управління земельними </w:t>
            </w:r>
            <w:r w:rsidRPr="00A041B2">
              <w:rPr>
                <w:rFonts w:cs="Arial"/>
                <w:sz w:val="20"/>
                <w:szCs w:val="20"/>
              </w:rPr>
              <w:lastRenderedPageBreak/>
              <w:t>ресурсами</w:t>
            </w:r>
            <w:r w:rsidR="00E950B0">
              <w:rPr>
                <w:rFonts w:cs="Arial"/>
                <w:sz w:val="20"/>
                <w:szCs w:val="20"/>
              </w:rPr>
              <w:t>.</w:t>
            </w:r>
          </w:p>
        </w:tc>
      </w:tr>
      <w:tr w:rsidR="00BC7F59" w:rsidRPr="00A041B2" w14:paraId="1976A54A" w14:textId="77777777" w:rsidTr="000413EB">
        <w:tc>
          <w:tcPr>
            <w:tcW w:w="567" w:type="dxa"/>
            <w:shd w:val="clear" w:color="auto" w:fill="auto"/>
          </w:tcPr>
          <w:p w14:paraId="5928D5E4"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sz w:val="20"/>
                <w:szCs w:val="20"/>
                <w:lang w:eastAsia="en-US"/>
              </w:rPr>
            </w:pPr>
            <w:r w:rsidRPr="00A041B2">
              <w:rPr>
                <w:rFonts w:eastAsia="Arial" w:cs="Arial"/>
                <w:sz w:val="20"/>
                <w:szCs w:val="20"/>
                <w:lang w:eastAsia="en-US"/>
              </w:rPr>
              <w:lastRenderedPageBreak/>
              <w:t>7</w:t>
            </w:r>
          </w:p>
        </w:tc>
        <w:tc>
          <w:tcPr>
            <w:tcW w:w="2694" w:type="dxa"/>
            <w:shd w:val="clear" w:color="auto" w:fill="auto"/>
          </w:tcPr>
          <w:p w14:paraId="0EA28238" w14:textId="77777777" w:rsidR="00BC7F59" w:rsidRPr="00A041B2" w:rsidRDefault="00BC7F59" w:rsidP="000413EB">
            <w:pPr>
              <w:widowControl w:val="0"/>
              <w:tabs>
                <w:tab w:val="left" w:pos="5829"/>
                <w:tab w:val="left" w:pos="9720"/>
                <w:tab w:val="left" w:pos="10357"/>
              </w:tabs>
              <w:autoSpaceDE w:val="0"/>
              <w:autoSpaceDN w:val="0"/>
              <w:jc w:val="both"/>
              <w:rPr>
                <w:rFonts w:cs="Arial"/>
                <w:sz w:val="20"/>
                <w:szCs w:val="20"/>
              </w:rPr>
            </w:pPr>
            <w:r w:rsidRPr="00A041B2">
              <w:rPr>
                <w:rFonts w:cs="Arial"/>
                <w:sz w:val="20"/>
                <w:szCs w:val="20"/>
              </w:rPr>
              <w:t>А.2.3. Підтримка раціонального використання земельних ресурсів та водного фонду для фінансової стабільності громади</w:t>
            </w:r>
          </w:p>
        </w:tc>
        <w:tc>
          <w:tcPr>
            <w:tcW w:w="2551" w:type="dxa"/>
            <w:shd w:val="clear" w:color="auto" w:fill="auto"/>
          </w:tcPr>
          <w:p w14:paraId="0B6A5186" w14:textId="77777777" w:rsidR="00BC7F59" w:rsidRPr="00A041B2" w:rsidRDefault="00BC7F59" w:rsidP="000413EB">
            <w:pPr>
              <w:widowControl w:val="0"/>
              <w:tabs>
                <w:tab w:val="left" w:pos="5829"/>
                <w:tab w:val="left" w:pos="9720"/>
                <w:tab w:val="left" w:pos="10357"/>
              </w:tabs>
              <w:autoSpaceDE w:val="0"/>
              <w:autoSpaceDN w:val="0"/>
              <w:jc w:val="both"/>
              <w:rPr>
                <w:rFonts w:cs="Arial"/>
                <w:sz w:val="20"/>
                <w:szCs w:val="20"/>
              </w:rPr>
            </w:pPr>
            <w:r w:rsidRPr="00A041B2">
              <w:rPr>
                <w:rFonts w:cs="Arial"/>
                <w:sz w:val="20"/>
                <w:szCs w:val="20"/>
              </w:rPr>
              <w:t>А.2.3. Підтримка раціонального використання земельних ресурсів та водного фонду для фінансової стабільності громади</w:t>
            </w:r>
          </w:p>
          <w:p w14:paraId="08C6377B" w14:textId="77777777" w:rsidR="00BC7F59" w:rsidRPr="00A041B2" w:rsidRDefault="00BC7F59" w:rsidP="000413EB">
            <w:pPr>
              <w:widowControl w:val="0"/>
              <w:tabs>
                <w:tab w:val="left" w:pos="5829"/>
                <w:tab w:val="left" w:pos="9720"/>
                <w:tab w:val="left" w:pos="10357"/>
              </w:tabs>
              <w:autoSpaceDE w:val="0"/>
              <w:autoSpaceDN w:val="0"/>
              <w:jc w:val="both"/>
              <w:rPr>
                <w:rFonts w:cs="Arial"/>
                <w:sz w:val="20"/>
                <w:szCs w:val="20"/>
              </w:rPr>
            </w:pPr>
          </w:p>
        </w:tc>
        <w:tc>
          <w:tcPr>
            <w:tcW w:w="2835" w:type="dxa"/>
            <w:shd w:val="clear" w:color="auto" w:fill="auto"/>
          </w:tcPr>
          <w:p w14:paraId="374B2D32"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sz w:val="20"/>
                <w:szCs w:val="20"/>
                <w:lang w:eastAsia="en-US"/>
              </w:rPr>
            </w:pPr>
            <w:r w:rsidRPr="00A041B2">
              <w:rPr>
                <w:rFonts w:cs="Arial"/>
                <w:sz w:val="20"/>
                <w:szCs w:val="20"/>
              </w:rPr>
              <w:t>Проведення  експертної  оцінки земельних ділянок                    комунальної власності при продажу земельних ділянок</w:t>
            </w:r>
          </w:p>
        </w:tc>
        <w:tc>
          <w:tcPr>
            <w:tcW w:w="1276" w:type="dxa"/>
            <w:shd w:val="clear" w:color="auto" w:fill="auto"/>
          </w:tcPr>
          <w:p w14:paraId="5A11A3E4"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sz w:val="20"/>
                <w:szCs w:val="20"/>
                <w:lang w:eastAsia="en-US"/>
              </w:rPr>
            </w:pPr>
            <w:r w:rsidRPr="00A041B2">
              <w:rPr>
                <w:rFonts w:eastAsia="Arial" w:cs="Arial"/>
                <w:sz w:val="20"/>
                <w:szCs w:val="20"/>
                <w:lang w:eastAsia="en-US"/>
              </w:rPr>
              <w:t xml:space="preserve">2025 - 2028 </w:t>
            </w:r>
          </w:p>
        </w:tc>
        <w:tc>
          <w:tcPr>
            <w:tcW w:w="2345" w:type="dxa"/>
            <w:shd w:val="clear" w:color="auto" w:fill="auto"/>
          </w:tcPr>
          <w:p w14:paraId="583011D7" w14:textId="77777777" w:rsidR="00177957" w:rsidRPr="00A041B2" w:rsidRDefault="00BC7F59" w:rsidP="00177957">
            <w:pPr>
              <w:widowControl w:val="0"/>
              <w:tabs>
                <w:tab w:val="left" w:pos="5829"/>
                <w:tab w:val="left" w:pos="9720"/>
                <w:tab w:val="left" w:pos="10357"/>
              </w:tabs>
              <w:autoSpaceDE w:val="0"/>
              <w:autoSpaceDN w:val="0"/>
              <w:spacing w:after="60"/>
              <w:jc w:val="both"/>
              <w:rPr>
                <w:rFonts w:cs="Arial"/>
                <w:sz w:val="20"/>
                <w:szCs w:val="20"/>
              </w:rPr>
            </w:pPr>
            <w:r w:rsidRPr="00A041B2">
              <w:rPr>
                <w:rFonts w:cs="Arial"/>
                <w:sz w:val="20"/>
                <w:szCs w:val="20"/>
              </w:rPr>
              <w:t xml:space="preserve">Управління земельних ресурсів виконавчого комітету Жмеринської міської ради, </w:t>
            </w:r>
          </w:p>
          <w:p w14:paraId="71C93BAA" w14:textId="0CCE0F5D" w:rsidR="00BC7F59" w:rsidRPr="00A041B2" w:rsidRDefault="00BC7F59" w:rsidP="00177957">
            <w:pPr>
              <w:widowControl w:val="0"/>
              <w:tabs>
                <w:tab w:val="left" w:pos="5829"/>
                <w:tab w:val="left" w:pos="9720"/>
                <w:tab w:val="left" w:pos="10357"/>
              </w:tabs>
              <w:autoSpaceDE w:val="0"/>
              <w:autoSpaceDN w:val="0"/>
              <w:spacing w:after="60"/>
              <w:jc w:val="both"/>
              <w:rPr>
                <w:rFonts w:eastAsia="Arial" w:cs="Arial"/>
                <w:sz w:val="20"/>
                <w:szCs w:val="20"/>
                <w:lang w:eastAsia="en-US"/>
              </w:rPr>
            </w:pPr>
            <w:r w:rsidRPr="00A041B2">
              <w:rPr>
                <w:rFonts w:cs="Arial"/>
                <w:sz w:val="20"/>
                <w:szCs w:val="20"/>
              </w:rPr>
              <w:t>управління житлово – комунального господарства Жмеринської міської ради</w:t>
            </w:r>
          </w:p>
        </w:tc>
        <w:tc>
          <w:tcPr>
            <w:tcW w:w="2900" w:type="dxa"/>
            <w:shd w:val="clear" w:color="auto" w:fill="auto"/>
          </w:tcPr>
          <w:p w14:paraId="5002E0CB" w14:textId="2FC84173" w:rsidR="00BC7F59" w:rsidRPr="00A041B2" w:rsidRDefault="00BC7F59" w:rsidP="00177957">
            <w:pPr>
              <w:widowControl w:val="0"/>
              <w:tabs>
                <w:tab w:val="left" w:pos="5829"/>
                <w:tab w:val="left" w:pos="9720"/>
                <w:tab w:val="left" w:pos="10357"/>
              </w:tabs>
              <w:autoSpaceDE w:val="0"/>
              <w:autoSpaceDN w:val="0"/>
              <w:spacing w:after="60"/>
              <w:jc w:val="both"/>
              <w:rPr>
                <w:rFonts w:eastAsia="Arial" w:cs="Arial"/>
                <w:sz w:val="20"/>
                <w:szCs w:val="20"/>
                <w:lang w:eastAsia="en-US"/>
              </w:rPr>
            </w:pPr>
            <w:r w:rsidRPr="00A041B2">
              <w:rPr>
                <w:rFonts w:cs="Arial"/>
                <w:sz w:val="20"/>
                <w:szCs w:val="20"/>
              </w:rPr>
              <w:t>Проведено 80 експертних грошових оцінок земель комунальної власності</w:t>
            </w:r>
            <w:r w:rsidR="00E950B0">
              <w:rPr>
                <w:rFonts w:cs="Arial"/>
                <w:sz w:val="20"/>
                <w:szCs w:val="20"/>
              </w:rPr>
              <w:t>.</w:t>
            </w:r>
          </w:p>
        </w:tc>
      </w:tr>
      <w:tr w:rsidR="00BC7F59" w:rsidRPr="00A041B2" w14:paraId="30AF0948" w14:textId="77777777" w:rsidTr="000413EB">
        <w:tc>
          <w:tcPr>
            <w:tcW w:w="567" w:type="dxa"/>
            <w:shd w:val="clear" w:color="auto" w:fill="auto"/>
          </w:tcPr>
          <w:p w14:paraId="77AFBDAE"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sz w:val="20"/>
                <w:szCs w:val="20"/>
                <w:lang w:eastAsia="en-US"/>
              </w:rPr>
            </w:pPr>
            <w:r w:rsidRPr="00A041B2">
              <w:rPr>
                <w:rFonts w:eastAsia="Arial" w:cs="Arial"/>
                <w:sz w:val="20"/>
                <w:szCs w:val="20"/>
                <w:lang w:eastAsia="en-US"/>
              </w:rPr>
              <w:t>8</w:t>
            </w:r>
          </w:p>
        </w:tc>
        <w:tc>
          <w:tcPr>
            <w:tcW w:w="2694" w:type="dxa"/>
            <w:shd w:val="clear" w:color="auto" w:fill="auto"/>
          </w:tcPr>
          <w:p w14:paraId="2C0CA616" w14:textId="77777777" w:rsidR="00BC7F59" w:rsidRPr="00A041B2" w:rsidRDefault="00BC7F59" w:rsidP="00AF41F8">
            <w:pPr>
              <w:widowControl w:val="0"/>
              <w:tabs>
                <w:tab w:val="left" w:pos="5829"/>
                <w:tab w:val="left" w:pos="9720"/>
                <w:tab w:val="left" w:pos="10357"/>
              </w:tabs>
              <w:autoSpaceDE w:val="0"/>
              <w:autoSpaceDN w:val="0"/>
              <w:rPr>
                <w:rFonts w:cs="Arial"/>
                <w:sz w:val="20"/>
                <w:szCs w:val="20"/>
              </w:rPr>
            </w:pPr>
            <w:r w:rsidRPr="00A041B2">
              <w:rPr>
                <w:rFonts w:cs="Arial"/>
                <w:sz w:val="20"/>
                <w:szCs w:val="20"/>
              </w:rPr>
              <w:t>А.2.3. Підтримка раціонального використання земельних ресурсів та водного фонду для фінансової стабільності громади</w:t>
            </w:r>
          </w:p>
        </w:tc>
        <w:tc>
          <w:tcPr>
            <w:tcW w:w="2551" w:type="dxa"/>
            <w:shd w:val="clear" w:color="auto" w:fill="auto"/>
          </w:tcPr>
          <w:p w14:paraId="1A105A8E" w14:textId="3B979D10" w:rsidR="00BC7F59" w:rsidRPr="00A041B2" w:rsidRDefault="00BC7F59" w:rsidP="00AF41F8">
            <w:pPr>
              <w:widowControl w:val="0"/>
              <w:tabs>
                <w:tab w:val="left" w:pos="5829"/>
                <w:tab w:val="left" w:pos="9720"/>
                <w:tab w:val="left" w:pos="10357"/>
              </w:tabs>
              <w:autoSpaceDE w:val="0"/>
              <w:autoSpaceDN w:val="0"/>
              <w:rPr>
                <w:rFonts w:cs="Arial"/>
                <w:sz w:val="20"/>
                <w:szCs w:val="20"/>
              </w:rPr>
            </w:pPr>
            <w:r w:rsidRPr="00A041B2">
              <w:rPr>
                <w:rFonts w:cs="Arial"/>
                <w:sz w:val="20"/>
                <w:szCs w:val="20"/>
              </w:rPr>
              <w:t>А.2.3. Підтримка раціонального використання земельних ресурсів та водного фонду для фінансової стабільності громади</w:t>
            </w:r>
          </w:p>
        </w:tc>
        <w:tc>
          <w:tcPr>
            <w:tcW w:w="2835" w:type="dxa"/>
            <w:shd w:val="clear" w:color="auto" w:fill="auto"/>
          </w:tcPr>
          <w:p w14:paraId="006EC724"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sz w:val="20"/>
                <w:szCs w:val="20"/>
                <w:lang w:eastAsia="en-US"/>
              </w:rPr>
            </w:pPr>
            <w:r w:rsidRPr="00A041B2">
              <w:rPr>
                <w:rFonts w:cs="Arial"/>
                <w:sz w:val="20"/>
                <w:szCs w:val="20"/>
              </w:rPr>
              <w:t>Виготовлення документації із землеустрою</w:t>
            </w:r>
          </w:p>
        </w:tc>
        <w:tc>
          <w:tcPr>
            <w:tcW w:w="1276" w:type="dxa"/>
            <w:shd w:val="clear" w:color="auto" w:fill="auto"/>
          </w:tcPr>
          <w:p w14:paraId="34DA637B"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sz w:val="20"/>
                <w:szCs w:val="20"/>
                <w:lang w:eastAsia="en-US"/>
              </w:rPr>
            </w:pPr>
            <w:r w:rsidRPr="00A041B2">
              <w:rPr>
                <w:rFonts w:eastAsia="Arial" w:cs="Arial"/>
                <w:sz w:val="20"/>
                <w:szCs w:val="20"/>
                <w:lang w:eastAsia="en-US"/>
              </w:rPr>
              <w:t>2025 - 2028</w:t>
            </w:r>
          </w:p>
        </w:tc>
        <w:tc>
          <w:tcPr>
            <w:tcW w:w="2345" w:type="dxa"/>
            <w:shd w:val="clear" w:color="auto" w:fill="auto"/>
          </w:tcPr>
          <w:p w14:paraId="41AA86BE" w14:textId="77777777" w:rsidR="00177957" w:rsidRPr="00A041B2" w:rsidRDefault="00BC7F59" w:rsidP="00177957">
            <w:pPr>
              <w:widowControl w:val="0"/>
              <w:tabs>
                <w:tab w:val="left" w:pos="5829"/>
                <w:tab w:val="left" w:pos="9720"/>
                <w:tab w:val="left" w:pos="10357"/>
              </w:tabs>
              <w:autoSpaceDE w:val="0"/>
              <w:autoSpaceDN w:val="0"/>
              <w:spacing w:after="60"/>
              <w:jc w:val="both"/>
              <w:rPr>
                <w:rFonts w:cs="Arial"/>
                <w:sz w:val="20"/>
                <w:szCs w:val="20"/>
              </w:rPr>
            </w:pPr>
            <w:r w:rsidRPr="00A041B2">
              <w:rPr>
                <w:rFonts w:cs="Arial"/>
                <w:sz w:val="20"/>
                <w:szCs w:val="20"/>
              </w:rPr>
              <w:t xml:space="preserve">Управління земельних ресурсів виконавчого комітету Жмеринської міської ради, </w:t>
            </w:r>
          </w:p>
          <w:p w14:paraId="39273064" w14:textId="7798F2E1" w:rsidR="00BC7F59" w:rsidRPr="00A041B2" w:rsidRDefault="00BC7F59" w:rsidP="00177957">
            <w:pPr>
              <w:widowControl w:val="0"/>
              <w:tabs>
                <w:tab w:val="left" w:pos="5829"/>
                <w:tab w:val="left" w:pos="9720"/>
                <w:tab w:val="left" w:pos="10357"/>
              </w:tabs>
              <w:autoSpaceDE w:val="0"/>
              <w:autoSpaceDN w:val="0"/>
              <w:spacing w:after="60"/>
              <w:jc w:val="both"/>
              <w:rPr>
                <w:rFonts w:eastAsia="Arial" w:cs="Arial"/>
                <w:sz w:val="20"/>
                <w:szCs w:val="20"/>
                <w:lang w:eastAsia="en-US"/>
              </w:rPr>
            </w:pPr>
            <w:r w:rsidRPr="00A041B2">
              <w:rPr>
                <w:rFonts w:cs="Arial"/>
                <w:sz w:val="20"/>
                <w:szCs w:val="20"/>
              </w:rPr>
              <w:t>управління житлово – комунального господарства Жмеринської міської ради</w:t>
            </w:r>
          </w:p>
        </w:tc>
        <w:tc>
          <w:tcPr>
            <w:tcW w:w="2900" w:type="dxa"/>
            <w:shd w:val="clear" w:color="auto" w:fill="auto"/>
          </w:tcPr>
          <w:p w14:paraId="2F782EFA" w14:textId="38B26B39" w:rsidR="00BC7F59" w:rsidRPr="00A041B2" w:rsidRDefault="00BC7F59" w:rsidP="00177957">
            <w:pPr>
              <w:spacing w:after="60"/>
              <w:jc w:val="both"/>
              <w:rPr>
                <w:rFonts w:cs="Arial"/>
                <w:sz w:val="20"/>
                <w:szCs w:val="20"/>
              </w:rPr>
            </w:pPr>
            <w:r w:rsidRPr="00A041B2">
              <w:rPr>
                <w:rFonts w:cs="Arial"/>
                <w:sz w:val="20"/>
                <w:szCs w:val="20"/>
              </w:rPr>
              <w:t>Розроблено 80 документацій із землеустрою, що наддасть можливість правового оформлення земельної ділянки, встановлення або уточнення її меж, визначення цільового призначення, формування об'єкта земельних відносин, внесення відомостей до Державного земельного кадастру, забезпечення раціонального використання та охорони земель</w:t>
            </w:r>
            <w:r w:rsidR="00E950B0">
              <w:rPr>
                <w:rFonts w:cs="Arial"/>
                <w:sz w:val="20"/>
                <w:szCs w:val="20"/>
              </w:rPr>
              <w:t>.</w:t>
            </w:r>
          </w:p>
        </w:tc>
      </w:tr>
      <w:tr w:rsidR="00BC7F59" w:rsidRPr="00A041B2" w14:paraId="3FA7A2E2" w14:textId="77777777" w:rsidTr="000413EB">
        <w:tc>
          <w:tcPr>
            <w:tcW w:w="567" w:type="dxa"/>
            <w:shd w:val="clear" w:color="auto" w:fill="auto"/>
          </w:tcPr>
          <w:p w14:paraId="4603EE8A" w14:textId="77777777" w:rsidR="00BC7F59" w:rsidRPr="00A041B2" w:rsidRDefault="00BC7F59" w:rsidP="000413EB">
            <w:pPr>
              <w:pStyle w:val="aa"/>
              <w:jc w:val="both"/>
              <w:rPr>
                <w:rFonts w:ascii="Arial" w:eastAsia="Arial" w:hAnsi="Arial" w:cs="Arial"/>
                <w:sz w:val="20"/>
                <w:szCs w:val="20"/>
              </w:rPr>
            </w:pPr>
            <w:r w:rsidRPr="00A041B2">
              <w:rPr>
                <w:rFonts w:ascii="Arial" w:eastAsia="Arial" w:hAnsi="Arial" w:cs="Arial"/>
                <w:sz w:val="20"/>
                <w:szCs w:val="20"/>
              </w:rPr>
              <w:t>9</w:t>
            </w:r>
          </w:p>
        </w:tc>
        <w:tc>
          <w:tcPr>
            <w:tcW w:w="2694" w:type="dxa"/>
            <w:shd w:val="clear" w:color="auto" w:fill="auto"/>
          </w:tcPr>
          <w:p w14:paraId="1FE306BE" w14:textId="77777777" w:rsidR="00BC7F59" w:rsidRPr="00A041B2" w:rsidRDefault="00BC7F59" w:rsidP="000413EB">
            <w:pPr>
              <w:widowControl w:val="0"/>
              <w:tabs>
                <w:tab w:val="left" w:pos="5829"/>
                <w:tab w:val="left" w:pos="9720"/>
                <w:tab w:val="left" w:pos="10357"/>
              </w:tabs>
              <w:autoSpaceDE w:val="0"/>
              <w:autoSpaceDN w:val="0"/>
              <w:jc w:val="both"/>
              <w:rPr>
                <w:rFonts w:cs="Arial"/>
                <w:sz w:val="20"/>
                <w:szCs w:val="20"/>
              </w:rPr>
            </w:pPr>
            <w:r w:rsidRPr="00A041B2">
              <w:rPr>
                <w:rFonts w:cs="Arial"/>
                <w:sz w:val="20"/>
                <w:szCs w:val="20"/>
              </w:rPr>
              <w:t>А.2.3. Підтримка раціонального використання земельних ресурсів та водного фонду для фінансової стабільності громади</w:t>
            </w:r>
          </w:p>
        </w:tc>
        <w:tc>
          <w:tcPr>
            <w:tcW w:w="2551" w:type="dxa"/>
            <w:shd w:val="clear" w:color="auto" w:fill="auto"/>
          </w:tcPr>
          <w:p w14:paraId="63865BFF" w14:textId="77777777" w:rsidR="00BC7F59" w:rsidRPr="00A041B2" w:rsidRDefault="00BC7F59" w:rsidP="000413EB">
            <w:pPr>
              <w:widowControl w:val="0"/>
              <w:tabs>
                <w:tab w:val="left" w:pos="5829"/>
                <w:tab w:val="left" w:pos="9720"/>
                <w:tab w:val="left" w:pos="10357"/>
              </w:tabs>
              <w:autoSpaceDE w:val="0"/>
              <w:autoSpaceDN w:val="0"/>
              <w:jc w:val="both"/>
              <w:rPr>
                <w:rFonts w:cs="Arial"/>
                <w:sz w:val="20"/>
                <w:szCs w:val="20"/>
              </w:rPr>
            </w:pPr>
            <w:r w:rsidRPr="00A041B2">
              <w:rPr>
                <w:rFonts w:cs="Arial"/>
                <w:sz w:val="20"/>
                <w:szCs w:val="20"/>
              </w:rPr>
              <w:t>А.2.3.5. Проведення інвентаризації лісів та встановлення площі  і стану лісомеліоративних насаджень (лісосмуг) на території Жмеринської МТГ.</w:t>
            </w:r>
          </w:p>
          <w:p w14:paraId="34842F96" w14:textId="77777777" w:rsidR="00BC7F59" w:rsidRPr="00A041B2" w:rsidRDefault="00BC7F59" w:rsidP="000413EB">
            <w:pPr>
              <w:widowControl w:val="0"/>
              <w:tabs>
                <w:tab w:val="left" w:pos="5829"/>
                <w:tab w:val="left" w:pos="9720"/>
                <w:tab w:val="left" w:pos="10357"/>
              </w:tabs>
              <w:autoSpaceDE w:val="0"/>
              <w:autoSpaceDN w:val="0"/>
              <w:jc w:val="both"/>
              <w:rPr>
                <w:rFonts w:cs="Arial"/>
                <w:sz w:val="20"/>
                <w:szCs w:val="20"/>
              </w:rPr>
            </w:pPr>
          </w:p>
          <w:p w14:paraId="4E226130" w14:textId="77777777" w:rsidR="00BC7F59" w:rsidRPr="00A041B2" w:rsidRDefault="00BC7F59" w:rsidP="000413EB">
            <w:pPr>
              <w:widowControl w:val="0"/>
              <w:tabs>
                <w:tab w:val="left" w:pos="5829"/>
                <w:tab w:val="left" w:pos="9720"/>
                <w:tab w:val="left" w:pos="10357"/>
              </w:tabs>
              <w:autoSpaceDE w:val="0"/>
              <w:autoSpaceDN w:val="0"/>
              <w:jc w:val="both"/>
              <w:rPr>
                <w:rFonts w:cs="Arial"/>
                <w:sz w:val="20"/>
                <w:szCs w:val="20"/>
              </w:rPr>
            </w:pPr>
            <w:r w:rsidRPr="00A041B2">
              <w:rPr>
                <w:rFonts w:cs="Arial"/>
                <w:sz w:val="20"/>
                <w:szCs w:val="20"/>
              </w:rPr>
              <w:t>А.2.3.9. Впорядкування реєстру водних об’єктів громади.</w:t>
            </w:r>
          </w:p>
          <w:p w14:paraId="17F74429" w14:textId="77777777" w:rsidR="00BC7F59" w:rsidRPr="00A041B2" w:rsidRDefault="00BC7F59" w:rsidP="000413EB">
            <w:pPr>
              <w:widowControl w:val="0"/>
              <w:tabs>
                <w:tab w:val="left" w:pos="5829"/>
                <w:tab w:val="left" w:pos="9720"/>
                <w:tab w:val="left" w:pos="10357"/>
              </w:tabs>
              <w:autoSpaceDE w:val="0"/>
              <w:autoSpaceDN w:val="0"/>
              <w:jc w:val="both"/>
              <w:rPr>
                <w:rFonts w:cs="Arial"/>
                <w:sz w:val="20"/>
                <w:szCs w:val="20"/>
              </w:rPr>
            </w:pPr>
          </w:p>
        </w:tc>
        <w:tc>
          <w:tcPr>
            <w:tcW w:w="2835" w:type="dxa"/>
            <w:shd w:val="clear" w:color="auto" w:fill="auto"/>
          </w:tcPr>
          <w:p w14:paraId="03FE8495" w14:textId="4722A0AD" w:rsidR="00BC7F59" w:rsidRPr="00A041B2" w:rsidRDefault="00BC7F59" w:rsidP="000413EB">
            <w:pPr>
              <w:widowControl w:val="0"/>
              <w:tabs>
                <w:tab w:val="left" w:pos="5829"/>
                <w:tab w:val="left" w:pos="9720"/>
                <w:tab w:val="left" w:pos="10357"/>
              </w:tabs>
              <w:autoSpaceDE w:val="0"/>
              <w:autoSpaceDN w:val="0"/>
              <w:jc w:val="both"/>
              <w:rPr>
                <w:rFonts w:eastAsia="Arial" w:cs="Arial"/>
                <w:sz w:val="20"/>
                <w:szCs w:val="20"/>
                <w:lang w:eastAsia="en-US"/>
              </w:rPr>
            </w:pPr>
            <w:r w:rsidRPr="00A041B2">
              <w:rPr>
                <w:rFonts w:cs="Arial"/>
                <w:sz w:val="20"/>
                <w:szCs w:val="20"/>
              </w:rPr>
              <w:t>Виготовлення проєктів землеустрою щодо організації і встановлення меж територій природно – заповідного фонду та іншого природоохоронного призначення, оздоровчого, рекреаційного, історико-культурного, лісогосподарського призначення, земель водного фонду та водоохоронних зон, обмежень у використанні земель та їх режимо</w:t>
            </w:r>
            <w:r w:rsidR="000413EB" w:rsidRPr="00A041B2">
              <w:rPr>
                <w:rFonts w:cs="Arial"/>
                <w:sz w:val="20"/>
                <w:szCs w:val="20"/>
              </w:rPr>
              <w:t>-</w:t>
            </w:r>
            <w:r w:rsidRPr="00A041B2">
              <w:rPr>
                <w:rFonts w:cs="Arial"/>
                <w:sz w:val="20"/>
                <w:szCs w:val="20"/>
              </w:rPr>
              <w:t>утворюючих об'єктів</w:t>
            </w:r>
          </w:p>
        </w:tc>
        <w:tc>
          <w:tcPr>
            <w:tcW w:w="1276" w:type="dxa"/>
            <w:shd w:val="clear" w:color="auto" w:fill="auto"/>
          </w:tcPr>
          <w:p w14:paraId="5630F7A2"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sz w:val="20"/>
                <w:szCs w:val="20"/>
                <w:lang w:eastAsia="en-US"/>
              </w:rPr>
            </w:pPr>
            <w:r w:rsidRPr="00A041B2">
              <w:rPr>
                <w:rFonts w:eastAsia="Arial" w:cs="Arial"/>
                <w:sz w:val="20"/>
                <w:szCs w:val="20"/>
                <w:lang w:eastAsia="en-US"/>
              </w:rPr>
              <w:t>2025 – 2028</w:t>
            </w:r>
          </w:p>
        </w:tc>
        <w:tc>
          <w:tcPr>
            <w:tcW w:w="2345" w:type="dxa"/>
            <w:shd w:val="clear" w:color="auto" w:fill="auto"/>
          </w:tcPr>
          <w:p w14:paraId="76A34FEC" w14:textId="77777777" w:rsidR="00177957" w:rsidRPr="00A041B2" w:rsidRDefault="00BC7F59" w:rsidP="00177957">
            <w:pPr>
              <w:widowControl w:val="0"/>
              <w:tabs>
                <w:tab w:val="left" w:pos="5829"/>
                <w:tab w:val="left" w:pos="9720"/>
                <w:tab w:val="left" w:pos="10357"/>
              </w:tabs>
              <w:autoSpaceDE w:val="0"/>
              <w:autoSpaceDN w:val="0"/>
              <w:spacing w:after="60"/>
              <w:jc w:val="both"/>
              <w:rPr>
                <w:rFonts w:cs="Arial"/>
                <w:sz w:val="20"/>
                <w:szCs w:val="20"/>
              </w:rPr>
            </w:pPr>
            <w:r w:rsidRPr="00A041B2">
              <w:rPr>
                <w:rFonts w:cs="Arial"/>
                <w:sz w:val="20"/>
                <w:szCs w:val="20"/>
              </w:rPr>
              <w:t xml:space="preserve">Управління земельних ресурсів виконавчого комітету Жмеринської міської ради, </w:t>
            </w:r>
          </w:p>
          <w:p w14:paraId="2F98E1D6" w14:textId="652FD24A" w:rsidR="00BC7F59" w:rsidRPr="00A041B2" w:rsidRDefault="00BC7F59" w:rsidP="00177957">
            <w:pPr>
              <w:widowControl w:val="0"/>
              <w:tabs>
                <w:tab w:val="left" w:pos="5829"/>
                <w:tab w:val="left" w:pos="9720"/>
                <w:tab w:val="left" w:pos="10357"/>
              </w:tabs>
              <w:autoSpaceDE w:val="0"/>
              <w:autoSpaceDN w:val="0"/>
              <w:spacing w:after="60"/>
              <w:jc w:val="both"/>
              <w:rPr>
                <w:rFonts w:eastAsia="Arial" w:cs="Arial"/>
                <w:sz w:val="20"/>
                <w:szCs w:val="20"/>
                <w:lang w:eastAsia="en-US"/>
              </w:rPr>
            </w:pPr>
            <w:r w:rsidRPr="00A041B2">
              <w:rPr>
                <w:rFonts w:cs="Arial"/>
                <w:sz w:val="20"/>
                <w:szCs w:val="20"/>
              </w:rPr>
              <w:t>управління житлово – комунального господарства Жмеринської міської ради</w:t>
            </w:r>
          </w:p>
        </w:tc>
        <w:tc>
          <w:tcPr>
            <w:tcW w:w="2900" w:type="dxa"/>
            <w:shd w:val="clear" w:color="auto" w:fill="auto"/>
          </w:tcPr>
          <w:p w14:paraId="171C9C5F" w14:textId="7B5CF866" w:rsidR="00BC7F59" w:rsidRPr="00A041B2" w:rsidRDefault="00BC7F59" w:rsidP="00177957">
            <w:pPr>
              <w:widowControl w:val="0"/>
              <w:tabs>
                <w:tab w:val="left" w:pos="5829"/>
                <w:tab w:val="left" w:pos="9720"/>
                <w:tab w:val="left" w:pos="10357"/>
              </w:tabs>
              <w:autoSpaceDE w:val="0"/>
              <w:autoSpaceDN w:val="0"/>
              <w:spacing w:after="60"/>
              <w:jc w:val="both"/>
              <w:rPr>
                <w:rFonts w:eastAsia="Arial" w:cs="Arial"/>
                <w:sz w:val="20"/>
                <w:szCs w:val="20"/>
                <w:lang w:eastAsia="en-US"/>
              </w:rPr>
            </w:pPr>
            <w:r w:rsidRPr="00A041B2">
              <w:rPr>
                <w:rStyle w:val="afd"/>
                <w:rFonts w:cs="Arial"/>
                <w:b w:val="0"/>
                <w:sz w:val="20"/>
                <w:szCs w:val="20"/>
              </w:rPr>
              <w:t>Розроблено 20 проєктів землеустрою, що дасть можливість встановити межі, закріпити на місцевості та внести до Державного земельного кадастру</w:t>
            </w:r>
            <w:r w:rsidR="00E950B0">
              <w:rPr>
                <w:rStyle w:val="afd"/>
                <w:rFonts w:cs="Arial"/>
                <w:b w:val="0"/>
                <w:sz w:val="20"/>
                <w:szCs w:val="20"/>
              </w:rPr>
              <w:t>.</w:t>
            </w:r>
          </w:p>
        </w:tc>
      </w:tr>
      <w:tr w:rsidR="00BC7F59" w:rsidRPr="00A041B2" w14:paraId="2415591A" w14:textId="77777777" w:rsidTr="000413EB">
        <w:tc>
          <w:tcPr>
            <w:tcW w:w="567" w:type="dxa"/>
            <w:shd w:val="clear" w:color="auto" w:fill="auto"/>
          </w:tcPr>
          <w:p w14:paraId="1D207EB0" w14:textId="77777777" w:rsidR="00BC7F59" w:rsidRPr="00A041B2" w:rsidRDefault="00BC7F59" w:rsidP="000413EB">
            <w:pPr>
              <w:widowControl w:val="0"/>
              <w:tabs>
                <w:tab w:val="left" w:pos="0"/>
                <w:tab w:val="left" w:pos="5829"/>
                <w:tab w:val="left" w:pos="9720"/>
                <w:tab w:val="left" w:pos="10357"/>
              </w:tabs>
              <w:autoSpaceDE w:val="0"/>
              <w:autoSpaceDN w:val="0"/>
              <w:jc w:val="both"/>
              <w:rPr>
                <w:rFonts w:eastAsia="Arial" w:cs="Arial"/>
                <w:sz w:val="20"/>
                <w:szCs w:val="20"/>
                <w:lang w:eastAsia="en-US"/>
              </w:rPr>
            </w:pPr>
            <w:r w:rsidRPr="00A041B2">
              <w:rPr>
                <w:rFonts w:eastAsia="Arial" w:cs="Arial"/>
                <w:sz w:val="20"/>
                <w:szCs w:val="20"/>
                <w:lang w:eastAsia="en-US"/>
              </w:rPr>
              <w:lastRenderedPageBreak/>
              <w:t>10</w:t>
            </w:r>
          </w:p>
        </w:tc>
        <w:tc>
          <w:tcPr>
            <w:tcW w:w="2694" w:type="dxa"/>
            <w:shd w:val="clear" w:color="auto" w:fill="auto"/>
          </w:tcPr>
          <w:p w14:paraId="02A8DD77" w14:textId="77777777" w:rsidR="00BC7F59" w:rsidRPr="00A041B2" w:rsidRDefault="00BC7F59" w:rsidP="000413EB">
            <w:pPr>
              <w:widowControl w:val="0"/>
              <w:tabs>
                <w:tab w:val="left" w:pos="5829"/>
                <w:tab w:val="left" w:pos="9720"/>
                <w:tab w:val="left" w:pos="10357"/>
              </w:tabs>
              <w:autoSpaceDE w:val="0"/>
              <w:autoSpaceDN w:val="0"/>
              <w:jc w:val="both"/>
              <w:rPr>
                <w:rFonts w:cs="Arial"/>
                <w:sz w:val="20"/>
                <w:szCs w:val="20"/>
              </w:rPr>
            </w:pPr>
            <w:r w:rsidRPr="00A041B2">
              <w:rPr>
                <w:rFonts w:cs="Arial"/>
                <w:sz w:val="20"/>
                <w:szCs w:val="20"/>
              </w:rPr>
              <w:t>А.2.3. Підтримка раціонального використання земельних ресурсів та водного фонду для фінансової стабільності громади</w:t>
            </w:r>
          </w:p>
        </w:tc>
        <w:tc>
          <w:tcPr>
            <w:tcW w:w="2551" w:type="dxa"/>
            <w:shd w:val="clear" w:color="auto" w:fill="auto"/>
          </w:tcPr>
          <w:p w14:paraId="2344C233" w14:textId="77777777" w:rsidR="00BC7F59" w:rsidRPr="00A041B2" w:rsidRDefault="00BC7F59" w:rsidP="000413EB">
            <w:pPr>
              <w:suppressAutoHyphens/>
              <w:jc w:val="both"/>
              <w:rPr>
                <w:rFonts w:eastAsia="Lucida Sans Unicode" w:cs="Arial"/>
                <w:kern w:val="1"/>
                <w:sz w:val="20"/>
                <w:szCs w:val="20"/>
                <w:lang w:eastAsia="ar-SA"/>
              </w:rPr>
            </w:pPr>
            <w:r w:rsidRPr="00A041B2">
              <w:rPr>
                <w:rFonts w:cs="Arial"/>
                <w:color w:val="000000"/>
                <w:sz w:val="20"/>
                <w:szCs w:val="20"/>
              </w:rPr>
              <w:t>А.2.3.9. Впорядкування реєстру водних об’єктів громади.</w:t>
            </w:r>
          </w:p>
          <w:p w14:paraId="1FDAD933" w14:textId="77777777" w:rsidR="00BC7F59" w:rsidRPr="00A041B2" w:rsidRDefault="00BC7F59" w:rsidP="000413EB">
            <w:pPr>
              <w:widowControl w:val="0"/>
              <w:tabs>
                <w:tab w:val="left" w:pos="5829"/>
                <w:tab w:val="left" w:pos="9720"/>
                <w:tab w:val="left" w:pos="10357"/>
              </w:tabs>
              <w:autoSpaceDE w:val="0"/>
              <w:autoSpaceDN w:val="0"/>
              <w:jc w:val="both"/>
              <w:rPr>
                <w:rFonts w:cs="Arial"/>
                <w:sz w:val="20"/>
                <w:szCs w:val="20"/>
              </w:rPr>
            </w:pPr>
          </w:p>
        </w:tc>
        <w:tc>
          <w:tcPr>
            <w:tcW w:w="2835" w:type="dxa"/>
            <w:shd w:val="clear" w:color="auto" w:fill="auto"/>
          </w:tcPr>
          <w:p w14:paraId="29CB4CA0"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sz w:val="20"/>
                <w:szCs w:val="20"/>
                <w:lang w:eastAsia="en-US"/>
              </w:rPr>
            </w:pPr>
            <w:r w:rsidRPr="00A041B2">
              <w:rPr>
                <w:rFonts w:cs="Arial"/>
                <w:sz w:val="20"/>
                <w:szCs w:val="20"/>
              </w:rPr>
              <w:t>Паспорт водного об'єкту</w:t>
            </w:r>
          </w:p>
        </w:tc>
        <w:tc>
          <w:tcPr>
            <w:tcW w:w="1276" w:type="dxa"/>
            <w:shd w:val="clear" w:color="auto" w:fill="auto"/>
          </w:tcPr>
          <w:p w14:paraId="77475A75"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sz w:val="20"/>
                <w:szCs w:val="20"/>
                <w:lang w:eastAsia="en-US"/>
              </w:rPr>
            </w:pPr>
            <w:r w:rsidRPr="00A041B2">
              <w:rPr>
                <w:rFonts w:eastAsia="Arial" w:cs="Arial"/>
                <w:sz w:val="20"/>
                <w:szCs w:val="20"/>
                <w:lang w:eastAsia="en-US"/>
              </w:rPr>
              <w:t xml:space="preserve">2025 – 2028 </w:t>
            </w:r>
          </w:p>
        </w:tc>
        <w:tc>
          <w:tcPr>
            <w:tcW w:w="2345" w:type="dxa"/>
            <w:shd w:val="clear" w:color="auto" w:fill="auto"/>
          </w:tcPr>
          <w:p w14:paraId="5CF8C61C" w14:textId="77777777" w:rsidR="00177957" w:rsidRPr="00A041B2" w:rsidRDefault="00BC7F59" w:rsidP="00177957">
            <w:pPr>
              <w:widowControl w:val="0"/>
              <w:tabs>
                <w:tab w:val="left" w:pos="5829"/>
                <w:tab w:val="left" w:pos="9720"/>
                <w:tab w:val="left" w:pos="10357"/>
              </w:tabs>
              <w:autoSpaceDE w:val="0"/>
              <w:autoSpaceDN w:val="0"/>
              <w:spacing w:after="60"/>
              <w:jc w:val="both"/>
              <w:rPr>
                <w:rFonts w:cs="Arial"/>
                <w:sz w:val="20"/>
                <w:szCs w:val="20"/>
              </w:rPr>
            </w:pPr>
            <w:r w:rsidRPr="00A041B2">
              <w:rPr>
                <w:rFonts w:cs="Arial"/>
                <w:sz w:val="20"/>
                <w:szCs w:val="20"/>
              </w:rPr>
              <w:t xml:space="preserve">Управління земельних ресурсів виконавчого комітету Жмеринської міської ради, </w:t>
            </w:r>
          </w:p>
          <w:p w14:paraId="07662D86" w14:textId="7CEAF653" w:rsidR="00BC7F59" w:rsidRPr="00A041B2" w:rsidRDefault="00BC7F59" w:rsidP="00177957">
            <w:pPr>
              <w:widowControl w:val="0"/>
              <w:tabs>
                <w:tab w:val="left" w:pos="5829"/>
                <w:tab w:val="left" w:pos="9720"/>
                <w:tab w:val="left" w:pos="10357"/>
              </w:tabs>
              <w:autoSpaceDE w:val="0"/>
              <w:autoSpaceDN w:val="0"/>
              <w:spacing w:after="60"/>
              <w:jc w:val="both"/>
              <w:rPr>
                <w:rFonts w:eastAsia="Arial" w:cs="Arial"/>
                <w:sz w:val="20"/>
                <w:szCs w:val="20"/>
                <w:lang w:eastAsia="en-US"/>
              </w:rPr>
            </w:pPr>
            <w:r w:rsidRPr="00A041B2">
              <w:rPr>
                <w:rFonts w:cs="Arial"/>
                <w:sz w:val="20"/>
                <w:szCs w:val="20"/>
              </w:rPr>
              <w:t>управління житлово – комунального господарства Жмеринської міської ради</w:t>
            </w:r>
          </w:p>
        </w:tc>
        <w:tc>
          <w:tcPr>
            <w:tcW w:w="2900" w:type="dxa"/>
            <w:shd w:val="clear" w:color="auto" w:fill="auto"/>
          </w:tcPr>
          <w:p w14:paraId="75ED1A42" w14:textId="214551B9" w:rsidR="00BC7F59" w:rsidRPr="00A041B2" w:rsidRDefault="00BC7F59" w:rsidP="00177957">
            <w:pPr>
              <w:widowControl w:val="0"/>
              <w:tabs>
                <w:tab w:val="left" w:pos="5829"/>
                <w:tab w:val="left" w:pos="9720"/>
                <w:tab w:val="left" w:pos="10357"/>
              </w:tabs>
              <w:autoSpaceDE w:val="0"/>
              <w:autoSpaceDN w:val="0"/>
              <w:spacing w:after="60"/>
              <w:jc w:val="both"/>
              <w:rPr>
                <w:rFonts w:eastAsia="Arial" w:cs="Arial"/>
                <w:sz w:val="20"/>
                <w:szCs w:val="20"/>
                <w:lang w:eastAsia="en-US"/>
              </w:rPr>
            </w:pPr>
            <w:r w:rsidRPr="00A041B2">
              <w:rPr>
                <w:rFonts w:cs="Arial"/>
                <w:sz w:val="20"/>
                <w:szCs w:val="20"/>
              </w:rPr>
              <w:t>Виготовлено 10 паспортів водного об'єкту, які надають  водному об’єкту правовий статус і є необхідним для передачі його в оренду, укладення договорів на водокористування та внесення до державного земельного кадастру</w:t>
            </w:r>
            <w:r w:rsidR="00E950B0">
              <w:rPr>
                <w:rFonts w:cs="Arial"/>
                <w:sz w:val="20"/>
                <w:szCs w:val="20"/>
              </w:rPr>
              <w:t>.</w:t>
            </w:r>
          </w:p>
        </w:tc>
      </w:tr>
      <w:tr w:rsidR="00BC7F59" w:rsidRPr="00A041B2" w14:paraId="2AB98742" w14:textId="77777777" w:rsidTr="000413EB">
        <w:tc>
          <w:tcPr>
            <w:tcW w:w="567" w:type="dxa"/>
            <w:shd w:val="clear" w:color="auto" w:fill="auto"/>
          </w:tcPr>
          <w:p w14:paraId="62080F7D" w14:textId="77777777" w:rsidR="00BC7F59" w:rsidRPr="00A041B2" w:rsidRDefault="00BC7F59" w:rsidP="000413EB">
            <w:pPr>
              <w:widowControl w:val="0"/>
              <w:tabs>
                <w:tab w:val="left" w:pos="0"/>
                <w:tab w:val="left" w:pos="5829"/>
                <w:tab w:val="left" w:pos="9720"/>
                <w:tab w:val="left" w:pos="10357"/>
              </w:tabs>
              <w:autoSpaceDE w:val="0"/>
              <w:autoSpaceDN w:val="0"/>
              <w:jc w:val="both"/>
              <w:rPr>
                <w:rFonts w:eastAsia="Arial" w:cs="Arial"/>
                <w:sz w:val="20"/>
                <w:szCs w:val="20"/>
                <w:lang w:eastAsia="en-US"/>
              </w:rPr>
            </w:pPr>
            <w:r w:rsidRPr="00A041B2">
              <w:rPr>
                <w:rFonts w:eastAsia="Arial" w:cs="Arial"/>
                <w:sz w:val="20"/>
                <w:szCs w:val="20"/>
                <w:lang w:eastAsia="en-US"/>
              </w:rPr>
              <w:t>11</w:t>
            </w:r>
          </w:p>
        </w:tc>
        <w:tc>
          <w:tcPr>
            <w:tcW w:w="2694" w:type="dxa"/>
            <w:shd w:val="clear" w:color="auto" w:fill="auto"/>
          </w:tcPr>
          <w:p w14:paraId="6A470E77" w14:textId="77777777" w:rsidR="00BC7F59" w:rsidRPr="00A041B2" w:rsidRDefault="00BC7F59" w:rsidP="000413EB">
            <w:pPr>
              <w:widowControl w:val="0"/>
              <w:tabs>
                <w:tab w:val="left" w:pos="5829"/>
                <w:tab w:val="left" w:pos="9720"/>
                <w:tab w:val="left" w:pos="10357"/>
              </w:tabs>
              <w:autoSpaceDE w:val="0"/>
              <w:autoSpaceDN w:val="0"/>
              <w:jc w:val="both"/>
              <w:rPr>
                <w:rFonts w:cs="Arial"/>
                <w:sz w:val="20"/>
                <w:szCs w:val="20"/>
              </w:rPr>
            </w:pPr>
            <w:r w:rsidRPr="00A041B2">
              <w:rPr>
                <w:rFonts w:cs="Arial"/>
                <w:sz w:val="20"/>
                <w:szCs w:val="20"/>
              </w:rPr>
              <w:t>А.3.1. Ефективна інфраструктура для підтримки бізнесу</w:t>
            </w:r>
          </w:p>
        </w:tc>
        <w:tc>
          <w:tcPr>
            <w:tcW w:w="2551" w:type="dxa"/>
            <w:shd w:val="clear" w:color="auto" w:fill="auto"/>
          </w:tcPr>
          <w:p w14:paraId="4302E630" w14:textId="77777777" w:rsidR="00BC7F59" w:rsidRPr="00A041B2" w:rsidRDefault="00BC7F59" w:rsidP="000413EB">
            <w:pPr>
              <w:suppressAutoHyphens/>
              <w:jc w:val="both"/>
              <w:rPr>
                <w:rFonts w:cs="Arial"/>
                <w:color w:val="000000"/>
                <w:sz w:val="20"/>
                <w:szCs w:val="20"/>
              </w:rPr>
            </w:pPr>
            <w:r w:rsidRPr="00A041B2">
              <w:rPr>
                <w:rFonts w:cs="Arial"/>
                <w:color w:val="000000"/>
                <w:sz w:val="20"/>
                <w:szCs w:val="20"/>
              </w:rPr>
              <w:t>А.3.1.1. Створення сучасного ХАБу для підтримки малого та середнього бізнесу.</w:t>
            </w:r>
          </w:p>
          <w:p w14:paraId="61459C0C" w14:textId="77777777" w:rsidR="00BC7F59" w:rsidRPr="00A041B2" w:rsidRDefault="00BC7F59" w:rsidP="000413EB">
            <w:pPr>
              <w:suppressAutoHyphens/>
              <w:jc w:val="both"/>
              <w:rPr>
                <w:rFonts w:cs="Arial"/>
                <w:color w:val="000000"/>
                <w:sz w:val="20"/>
                <w:szCs w:val="20"/>
              </w:rPr>
            </w:pPr>
            <w:r w:rsidRPr="00A041B2">
              <w:rPr>
                <w:rFonts w:cs="Arial"/>
                <w:color w:val="000000"/>
                <w:sz w:val="20"/>
                <w:szCs w:val="20"/>
              </w:rPr>
              <w:t>А.3.1.3. Організація на базі інституцій МЕР надання консультаційних, інформаційних, освітніх послуг для підприємців.</w:t>
            </w:r>
          </w:p>
        </w:tc>
        <w:tc>
          <w:tcPr>
            <w:tcW w:w="2835" w:type="dxa"/>
            <w:shd w:val="clear" w:color="auto" w:fill="auto"/>
          </w:tcPr>
          <w:p w14:paraId="468065AE" w14:textId="77777777" w:rsidR="00BC7F59" w:rsidRPr="00A041B2" w:rsidRDefault="00BC7F59" w:rsidP="000413EB">
            <w:pPr>
              <w:widowControl w:val="0"/>
              <w:tabs>
                <w:tab w:val="left" w:pos="5829"/>
                <w:tab w:val="left" w:pos="9720"/>
                <w:tab w:val="left" w:pos="10357"/>
              </w:tabs>
              <w:autoSpaceDE w:val="0"/>
              <w:autoSpaceDN w:val="0"/>
              <w:jc w:val="both"/>
              <w:rPr>
                <w:rFonts w:cs="Arial"/>
                <w:sz w:val="20"/>
                <w:szCs w:val="20"/>
              </w:rPr>
            </w:pPr>
            <w:r w:rsidRPr="00A041B2">
              <w:rPr>
                <w:rFonts w:cs="Arial"/>
                <w:sz w:val="20"/>
                <w:szCs w:val="20"/>
              </w:rPr>
              <w:t>Створення ефективної інфраструктури для розвитку бізнесу в громаді</w:t>
            </w:r>
          </w:p>
        </w:tc>
        <w:tc>
          <w:tcPr>
            <w:tcW w:w="1276" w:type="dxa"/>
            <w:shd w:val="clear" w:color="auto" w:fill="auto"/>
          </w:tcPr>
          <w:p w14:paraId="46C99E93"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sz w:val="20"/>
                <w:szCs w:val="20"/>
                <w:lang w:eastAsia="en-US"/>
              </w:rPr>
            </w:pPr>
            <w:r w:rsidRPr="00A041B2">
              <w:rPr>
                <w:rFonts w:eastAsia="Arial" w:cs="Arial"/>
                <w:sz w:val="20"/>
                <w:szCs w:val="20"/>
                <w:lang w:eastAsia="en-US"/>
              </w:rPr>
              <w:t xml:space="preserve">2025 – 2028 </w:t>
            </w:r>
          </w:p>
        </w:tc>
        <w:tc>
          <w:tcPr>
            <w:tcW w:w="2345" w:type="dxa"/>
            <w:shd w:val="clear" w:color="auto" w:fill="auto"/>
          </w:tcPr>
          <w:p w14:paraId="267AA8A9" w14:textId="77777777" w:rsidR="00177957" w:rsidRPr="00A041B2" w:rsidRDefault="00BC7F59" w:rsidP="00177957">
            <w:pPr>
              <w:widowControl w:val="0"/>
              <w:tabs>
                <w:tab w:val="left" w:pos="5829"/>
                <w:tab w:val="left" w:pos="9720"/>
                <w:tab w:val="left" w:pos="10357"/>
              </w:tabs>
              <w:autoSpaceDE w:val="0"/>
              <w:autoSpaceDN w:val="0"/>
              <w:spacing w:after="60"/>
              <w:jc w:val="both"/>
              <w:rPr>
                <w:rFonts w:cs="Arial"/>
                <w:sz w:val="20"/>
                <w:szCs w:val="20"/>
              </w:rPr>
            </w:pPr>
            <w:r w:rsidRPr="00A041B2">
              <w:rPr>
                <w:rFonts w:cs="Arial"/>
                <w:sz w:val="20"/>
                <w:szCs w:val="20"/>
              </w:rPr>
              <w:t xml:space="preserve">Управління земельних ресурсів виконавчого комітету Жмеринської міської ради, </w:t>
            </w:r>
          </w:p>
          <w:p w14:paraId="3FD5497D" w14:textId="1707EF79" w:rsidR="00BC7F59" w:rsidRPr="00A041B2" w:rsidRDefault="00BC7F59" w:rsidP="00177957">
            <w:pPr>
              <w:widowControl w:val="0"/>
              <w:tabs>
                <w:tab w:val="left" w:pos="5829"/>
                <w:tab w:val="left" w:pos="9720"/>
                <w:tab w:val="left" w:pos="10357"/>
              </w:tabs>
              <w:autoSpaceDE w:val="0"/>
              <w:autoSpaceDN w:val="0"/>
              <w:spacing w:after="60"/>
              <w:jc w:val="both"/>
              <w:rPr>
                <w:rFonts w:eastAsia="Arial" w:cs="Arial"/>
                <w:sz w:val="20"/>
                <w:szCs w:val="20"/>
                <w:lang w:eastAsia="en-US"/>
              </w:rPr>
            </w:pPr>
            <w:r w:rsidRPr="00A041B2">
              <w:rPr>
                <w:rFonts w:cs="Arial"/>
                <w:sz w:val="20"/>
                <w:szCs w:val="20"/>
              </w:rPr>
              <w:t>управління житлово – комунального господарства Жмеринської міської ради</w:t>
            </w:r>
          </w:p>
        </w:tc>
        <w:tc>
          <w:tcPr>
            <w:tcW w:w="2900" w:type="dxa"/>
            <w:shd w:val="clear" w:color="auto" w:fill="auto"/>
          </w:tcPr>
          <w:p w14:paraId="74712350" w14:textId="08BDB7E8" w:rsidR="00BC7F59" w:rsidRPr="00A041B2" w:rsidRDefault="00BC7F59" w:rsidP="00177957">
            <w:pPr>
              <w:widowControl w:val="0"/>
              <w:tabs>
                <w:tab w:val="left" w:pos="5829"/>
                <w:tab w:val="left" w:pos="9720"/>
                <w:tab w:val="left" w:pos="10357"/>
              </w:tabs>
              <w:autoSpaceDE w:val="0"/>
              <w:autoSpaceDN w:val="0"/>
              <w:spacing w:after="60"/>
              <w:jc w:val="both"/>
              <w:rPr>
                <w:rFonts w:cs="Arial"/>
                <w:sz w:val="20"/>
                <w:szCs w:val="20"/>
              </w:rPr>
            </w:pPr>
            <w:r w:rsidRPr="00A041B2">
              <w:rPr>
                <w:rFonts w:cs="Arial"/>
                <w:sz w:val="20"/>
                <w:szCs w:val="20"/>
              </w:rPr>
              <w:t>Створено нових ФОП</w:t>
            </w:r>
            <w:r w:rsidR="00E950B0">
              <w:rPr>
                <w:rFonts w:cs="Arial"/>
                <w:sz w:val="20"/>
                <w:szCs w:val="20"/>
              </w:rPr>
              <w:t>, середніх та малих підприємств.</w:t>
            </w:r>
          </w:p>
          <w:p w14:paraId="3364AB46" w14:textId="4D506BD3" w:rsidR="00BC7F59" w:rsidRPr="00A041B2" w:rsidRDefault="00E950B0" w:rsidP="00177957">
            <w:pPr>
              <w:widowControl w:val="0"/>
              <w:tabs>
                <w:tab w:val="left" w:pos="5829"/>
                <w:tab w:val="left" w:pos="9720"/>
                <w:tab w:val="left" w:pos="10357"/>
              </w:tabs>
              <w:autoSpaceDE w:val="0"/>
              <w:autoSpaceDN w:val="0"/>
              <w:spacing w:after="60"/>
              <w:jc w:val="both"/>
              <w:rPr>
                <w:rFonts w:cs="Arial"/>
                <w:sz w:val="20"/>
                <w:szCs w:val="20"/>
              </w:rPr>
            </w:pPr>
            <w:r>
              <w:rPr>
                <w:rFonts w:cs="Arial"/>
                <w:sz w:val="20"/>
                <w:szCs w:val="20"/>
              </w:rPr>
              <w:t>Збільшення кількості працюючих на 7%.</w:t>
            </w:r>
          </w:p>
          <w:p w14:paraId="380B75F8" w14:textId="77777777" w:rsidR="00BC7F59" w:rsidRPr="00A041B2" w:rsidRDefault="00BC7F59" w:rsidP="00177957">
            <w:pPr>
              <w:widowControl w:val="0"/>
              <w:tabs>
                <w:tab w:val="left" w:pos="5829"/>
                <w:tab w:val="left" w:pos="9720"/>
                <w:tab w:val="left" w:pos="10357"/>
              </w:tabs>
              <w:autoSpaceDE w:val="0"/>
              <w:autoSpaceDN w:val="0"/>
              <w:spacing w:after="60"/>
              <w:jc w:val="both"/>
              <w:rPr>
                <w:rFonts w:cs="Arial"/>
                <w:sz w:val="20"/>
                <w:szCs w:val="20"/>
              </w:rPr>
            </w:pPr>
            <w:r w:rsidRPr="00A041B2">
              <w:rPr>
                <w:rFonts w:cs="Arial"/>
                <w:sz w:val="20"/>
                <w:szCs w:val="20"/>
              </w:rPr>
              <w:t>Зростання податків.</w:t>
            </w:r>
          </w:p>
        </w:tc>
      </w:tr>
      <w:tr w:rsidR="00BC7F59" w:rsidRPr="00A041B2" w14:paraId="501BC84E" w14:textId="77777777" w:rsidTr="000413EB">
        <w:tc>
          <w:tcPr>
            <w:tcW w:w="567" w:type="dxa"/>
            <w:shd w:val="clear" w:color="auto" w:fill="auto"/>
          </w:tcPr>
          <w:p w14:paraId="2A86B27D" w14:textId="77777777" w:rsidR="00BC7F59" w:rsidRPr="00A041B2" w:rsidRDefault="00BC7F59" w:rsidP="000413EB">
            <w:pPr>
              <w:pStyle w:val="aa"/>
              <w:jc w:val="both"/>
              <w:rPr>
                <w:rFonts w:ascii="Arial" w:eastAsia="Arial" w:hAnsi="Arial" w:cs="Arial"/>
                <w:sz w:val="20"/>
                <w:szCs w:val="20"/>
              </w:rPr>
            </w:pPr>
            <w:r w:rsidRPr="00A041B2">
              <w:rPr>
                <w:rFonts w:ascii="Arial" w:eastAsia="Arial" w:hAnsi="Arial" w:cs="Arial"/>
                <w:sz w:val="20"/>
                <w:szCs w:val="20"/>
              </w:rPr>
              <w:t>12</w:t>
            </w:r>
          </w:p>
        </w:tc>
        <w:tc>
          <w:tcPr>
            <w:tcW w:w="2694" w:type="dxa"/>
          </w:tcPr>
          <w:p w14:paraId="0C7A3224" w14:textId="77777777" w:rsidR="00BC7F59" w:rsidRPr="00A041B2" w:rsidRDefault="00BC7F59" w:rsidP="000413EB">
            <w:pPr>
              <w:jc w:val="both"/>
              <w:rPr>
                <w:rFonts w:cs="Arial"/>
                <w:bCs/>
                <w:sz w:val="20"/>
                <w:szCs w:val="20"/>
              </w:rPr>
            </w:pPr>
            <w:r w:rsidRPr="00A041B2">
              <w:rPr>
                <w:rFonts w:eastAsia="SimSun" w:cs="Arial"/>
                <w:bCs/>
                <w:color w:val="000000"/>
                <w:sz w:val="20"/>
                <w:szCs w:val="20"/>
                <w:lang w:eastAsia="zh-CN" w:bidi="ar"/>
              </w:rPr>
              <w:t>А.4.1.Сучасне просторове</w:t>
            </w:r>
          </w:p>
          <w:p w14:paraId="46E2428E" w14:textId="77777777" w:rsidR="00BC7F59" w:rsidRPr="00A041B2" w:rsidRDefault="00BC7F59" w:rsidP="000413EB">
            <w:pPr>
              <w:jc w:val="both"/>
              <w:rPr>
                <w:rFonts w:cs="Arial"/>
                <w:bCs/>
                <w:sz w:val="20"/>
                <w:szCs w:val="20"/>
              </w:rPr>
            </w:pPr>
            <w:r w:rsidRPr="00A041B2">
              <w:rPr>
                <w:rFonts w:eastAsia="SimSun" w:cs="Arial"/>
                <w:bCs/>
                <w:color w:val="000000"/>
                <w:sz w:val="20"/>
                <w:szCs w:val="20"/>
                <w:lang w:eastAsia="zh-CN" w:bidi="ar"/>
              </w:rPr>
              <w:t>планування</w:t>
            </w:r>
          </w:p>
          <w:p w14:paraId="71201341"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bCs/>
                <w:sz w:val="20"/>
                <w:szCs w:val="20"/>
                <w:lang w:eastAsia="en-US"/>
              </w:rPr>
            </w:pPr>
          </w:p>
        </w:tc>
        <w:tc>
          <w:tcPr>
            <w:tcW w:w="2551" w:type="dxa"/>
          </w:tcPr>
          <w:p w14:paraId="768FA45D" w14:textId="77777777" w:rsidR="00BC7F59" w:rsidRPr="00A041B2" w:rsidRDefault="00BC7F59" w:rsidP="000413EB">
            <w:pPr>
              <w:jc w:val="both"/>
              <w:rPr>
                <w:rFonts w:cs="Arial"/>
                <w:bCs/>
                <w:sz w:val="20"/>
                <w:szCs w:val="20"/>
              </w:rPr>
            </w:pPr>
            <w:r w:rsidRPr="00A041B2">
              <w:rPr>
                <w:rFonts w:eastAsia="SimSun" w:cs="Arial"/>
                <w:bCs/>
                <w:color w:val="000000"/>
                <w:sz w:val="20"/>
                <w:szCs w:val="20"/>
                <w:lang w:eastAsia="zh-CN" w:bidi="ar"/>
              </w:rPr>
              <w:t>А.4.1.1 . Розробка Комплексного плану просторового розвитку</w:t>
            </w:r>
          </w:p>
          <w:p w14:paraId="7FA17872" w14:textId="77777777" w:rsidR="00BC7F59" w:rsidRPr="00A041B2" w:rsidRDefault="00BC7F59" w:rsidP="000413EB">
            <w:pPr>
              <w:jc w:val="both"/>
              <w:rPr>
                <w:rFonts w:eastAsia="Arial" w:cs="Arial"/>
                <w:bCs/>
                <w:sz w:val="20"/>
                <w:szCs w:val="20"/>
                <w:lang w:eastAsia="en-US"/>
              </w:rPr>
            </w:pPr>
            <w:r w:rsidRPr="00A041B2">
              <w:rPr>
                <w:rFonts w:eastAsia="SimSun" w:cs="Arial"/>
                <w:bCs/>
                <w:color w:val="000000"/>
                <w:sz w:val="20"/>
                <w:szCs w:val="20"/>
                <w:lang w:eastAsia="zh-CN" w:bidi="ar"/>
              </w:rPr>
              <w:t>території Жмеринської міської територіальної громади</w:t>
            </w:r>
          </w:p>
        </w:tc>
        <w:tc>
          <w:tcPr>
            <w:tcW w:w="2835" w:type="dxa"/>
          </w:tcPr>
          <w:p w14:paraId="7096A692" w14:textId="77777777" w:rsidR="00BC7F59" w:rsidRPr="00A041B2" w:rsidRDefault="00BC7F59" w:rsidP="000413EB">
            <w:pPr>
              <w:jc w:val="both"/>
              <w:rPr>
                <w:rFonts w:cs="Arial"/>
                <w:bCs/>
                <w:sz w:val="20"/>
                <w:szCs w:val="20"/>
              </w:rPr>
            </w:pPr>
            <w:r w:rsidRPr="00A041B2">
              <w:rPr>
                <w:rFonts w:eastAsia="SimSun" w:cs="Arial"/>
                <w:bCs/>
                <w:color w:val="000000"/>
                <w:sz w:val="20"/>
                <w:szCs w:val="20"/>
                <w:lang w:eastAsia="zh-CN" w:bidi="ar"/>
              </w:rPr>
              <w:t>Розроблення містобудівної та наукової документації на території</w:t>
            </w:r>
          </w:p>
          <w:p w14:paraId="5E81244D" w14:textId="77777777" w:rsidR="00BC7F59" w:rsidRPr="00A041B2" w:rsidRDefault="00BC7F59" w:rsidP="000413EB">
            <w:pPr>
              <w:jc w:val="both"/>
              <w:rPr>
                <w:rFonts w:cs="Arial"/>
                <w:bCs/>
                <w:sz w:val="20"/>
                <w:szCs w:val="20"/>
              </w:rPr>
            </w:pPr>
            <w:r w:rsidRPr="00A041B2">
              <w:rPr>
                <w:rFonts w:eastAsia="SimSun" w:cs="Arial"/>
                <w:bCs/>
                <w:color w:val="000000"/>
                <w:sz w:val="20"/>
                <w:szCs w:val="20"/>
                <w:lang w:eastAsia="zh-CN" w:bidi="ar"/>
              </w:rPr>
              <w:t>Жмеринської міської територіальної громади</w:t>
            </w:r>
          </w:p>
          <w:p w14:paraId="1B5A8228"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bCs/>
                <w:sz w:val="20"/>
                <w:szCs w:val="20"/>
                <w:lang w:eastAsia="en-US"/>
              </w:rPr>
            </w:pPr>
          </w:p>
        </w:tc>
        <w:tc>
          <w:tcPr>
            <w:tcW w:w="1276" w:type="dxa"/>
          </w:tcPr>
          <w:p w14:paraId="7A3FE662" w14:textId="77777777" w:rsidR="00BC7F59" w:rsidRPr="00A041B2" w:rsidRDefault="00BC7F59" w:rsidP="000413EB">
            <w:pPr>
              <w:widowControl w:val="0"/>
              <w:tabs>
                <w:tab w:val="left" w:pos="1400"/>
                <w:tab w:val="left" w:pos="5829"/>
                <w:tab w:val="left" w:pos="9720"/>
                <w:tab w:val="left" w:pos="10357"/>
              </w:tabs>
              <w:autoSpaceDE w:val="0"/>
              <w:autoSpaceDN w:val="0"/>
              <w:jc w:val="both"/>
              <w:rPr>
                <w:rFonts w:eastAsia="Arial" w:cs="Arial"/>
                <w:bCs/>
                <w:sz w:val="20"/>
                <w:szCs w:val="20"/>
                <w:lang w:eastAsia="en-US"/>
              </w:rPr>
            </w:pPr>
            <w:r w:rsidRPr="00A041B2">
              <w:rPr>
                <w:rFonts w:eastAsia="Arial" w:cs="Arial"/>
                <w:bCs/>
                <w:sz w:val="20"/>
                <w:szCs w:val="20"/>
                <w:lang w:eastAsia="en-US"/>
              </w:rPr>
              <w:t xml:space="preserve">2025-2028 </w:t>
            </w:r>
          </w:p>
        </w:tc>
        <w:tc>
          <w:tcPr>
            <w:tcW w:w="2345" w:type="dxa"/>
          </w:tcPr>
          <w:p w14:paraId="0076441A" w14:textId="77777777" w:rsidR="00BC7F59" w:rsidRPr="00A041B2" w:rsidRDefault="00BC7F59" w:rsidP="00177957">
            <w:pPr>
              <w:widowControl w:val="0"/>
              <w:tabs>
                <w:tab w:val="left" w:pos="5829"/>
                <w:tab w:val="left" w:pos="9720"/>
                <w:tab w:val="left" w:pos="10357"/>
              </w:tabs>
              <w:autoSpaceDE w:val="0"/>
              <w:autoSpaceDN w:val="0"/>
              <w:spacing w:after="60"/>
              <w:jc w:val="both"/>
              <w:rPr>
                <w:rFonts w:eastAsia="Arial" w:cs="Arial"/>
                <w:bCs/>
                <w:sz w:val="20"/>
                <w:szCs w:val="20"/>
                <w:lang w:eastAsia="en-US"/>
              </w:rPr>
            </w:pPr>
            <w:r w:rsidRPr="00A041B2">
              <w:rPr>
                <w:rFonts w:eastAsia="Arial" w:cs="Arial"/>
                <w:bCs/>
                <w:sz w:val="20"/>
                <w:szCs w:val="20"/>
                <w:lang w:eastAsia="en-US"/>
              </w:rPr>
              <w:t>Управління містобудування та архітектури</w:t>
            </w:r>
          </w:p>
        </w:tc>
        <w:tc>
          <w:tcPr>
            <w:tcW w:w="2900" w:type="dxa"/>
          </w:tcPr>
          <w:p w14:paraId="541F4EB8" w14:textId="385B8DAF" w:rsidR="00BC7F59" w:rsidRPr="00A041B2" w:rsidRDefault="00BC7F59" w:rsidP="00177957">
            <w:pPr>
              <w:widowControl w:val="0"/>
              <w:tabs>
                <w:tab w:val="left" w:pos="400"/>
                <w:tab w:val="left" w:pos="1800"/>
                <w:tab w:val="left" w:pos="5829"/>
                <w:tab w:val="left" w:pos="9720"/>
                <w:tab w:val="left" w:pos="10357"/>
              </w:tabs>
              <w:autoSpaceDE w:val="0"/>
              <w:autoSpaceDN w:val="0"/>
              <w:spacing w:after="60"/>
              <w:jc w:val="both"/>
              <w:rPr>
                <w:rFonts w:eastAsia="Arial" w:cs="Arial"/>
                <w:bCs/>
                <w:sz w:val="20"/>
                <w:szCs w:val="20"/>
                <w:lang w:eastAsia="en-US"/>
              </w:rPr>
            </w:pPr>
            <w:r w:rsidRPr="00A041B2">
              <w:rPr>
                <w:rFonts w:eastAsia="Arial" w:cs="Arial"/>
                <w:bCs/>
                <w:sz w:val="20"/>
                <w:szCs w:val="20"/>
                <w:lang w:eastAsia="en-US"/>
              </w:rPr>
              <w:t>Розроблено комплексний план території та генеральні плани на території населених пунктів громади</w:t>
            </w:r>
            <w:r w:rsidR="00097D39">
              <w:rPr>
                <w:rFonts w:eastAsia="Arial" w:cs="Arial"/>
                <w:bCs/>
                <w:sz w:val="20"/>
                <w:szCs w:val="20"/>
                <w:lang w:eastAsia="en-US"/>
              </w:rPr>
              <w:t>.</w:t>
            </w:r>
          </w:p>
        </w:tc>
      </w:tr>
      <w:tr w:rsidR="00BC7F59" w:rsidRPr="00A041B2" w14:paraId="1E6F46D4" w14:textId="77777777" w:rsidTr="000413EB">
        <w:trPr>
          <w:trHeight w:val="2553"/>
        </w:trPr>
        <w:tc>
          <w:tcPr>
            <w:tcW w:w="567" w:type="dxa"/>
            <w:shd w:val="clear" w:color="auto" w:fill="auto"/>
          </w:tcPr>
          <w:p w14:paraId="54E02702" w14:textId="77777777" w:rsidR="00BC7F59" w:rsidRPr="00A041B2" w:rsidRDefault="00BC7F59" w:rsidP="000413EB">
            <w:pPr>
              <w:pStyle w:val="aa"/>
              <w:jc w:val="both"/>
              <w:rPr>
                <w:rFonts w:ascii="Arial" w:eastAsia="Arial" w:hAnsi="Arial" w:cs="Arial"/>
                <w:sz w:val="20"/>
                <w:szCs w:val="20"/>
              </w:rPr>
            </w:pPr>
            <w:r w:rsidRPr="00A041B2">
              <w:rPr>
                <w:rFonts w:ascii="Arial" w:eastAsia="Arial" w:hAnsi="Arial" w:cs="Arial"/>
                <w:sz w:val="20"/>
                <w:szCs w:val="20"/>
              </w:rPr>
              <w:t>13</w:t>
            </w:r>
          </w:p>
        </w:tc>
        <w:tc>
          <w:tcPr>
            <w:tcW w:w="2694" w:type="dxa"/>
          </w:tcPr>
          <w:p w14:paraId="36456D4A" w14:textId="77777777" w:rsidR="00BC7F59" w:rsidRPr="00A041B2" w:rsidRDefault="00BC7F59" w:rsidP="000413EB">
            <w:pPr>
              <w:jc w:val="both"/>
              <w:rPr>
                <w:rFonts w:cs="Arial"/>
                <w:bCs/>
                <w:sz w:val="20"/>
                <w:szCs w:val="20"/>
              </w:rPr>
            </w:pPr>
            <w:r w:rsidRPr="00A041B2">
              <w:rPr>
                <w:rFonts w:eastAsia="SimSun" w:cs="Arial"/>
                <w:bCs/>
                <w:color w:val="000000"/>
                <w:sz w:val="20"/>
                <w:szCs w:val="20"/>
                <w:lang w:eastAsia="zh-CN" w:bidi="ar"/>
              </w:rPr>
              <w:t>А.4.1.Сучасне просторове</w:t>
            </w:r>
          </w:p>
          <w:p w14:paraId="316DB045" w14:textId="7976A850" w:rsidR="00BC7F59" w:rsidRPr="00A041B2" w:rsidRDefault="00BC7F59" w:rsidP="00AF41F8">
            <w:pPr>
              <w:jc w:val="both"/>
              <w:rPr>
                <w:rFonts w:eastAsia="Arial" w:cs="Arial"/>
                <w:bCs/>
                <w:sz w:val="20"/>
                <w:szCs w:val="20"/>
                <w:lang w:eastAsia="en-US"/>
              </w:rPr>
            </w:pPr>
            <w:r w:rsidRPr="00A041B2">
              <w:rPr>
                <w:rFonts w:eastAsia="SimSun" w:cs="Arial"/>
                <w:bCs/>
                <w:color w:val="000000"/>
                <w:sz w:val="20"/>
                <w:szCs w:val="20"/>
                <w:lang w:eastAsia="zh-CN" w:bidi="ar"/>
              </w:rPr>
              <w:t>планування</w:t>
            </w:r>
          </w:p>
        </w:tc>
        <w:tc>
          <w:tcPr>
            <w:tcW w:w="2551" w:type="dxa"/>
          </w:tcPr>
          <w:p w14:paraId="58100674" w14:textId="77777777" w:rsidR="00BC7F59" w:rsidRPr="00A041B2" w:rsidRDefault="00BC7F59" w:rsidP="000413EB">
            <w:pPr>
              <w:jc w:val="both"/>
              <w:rPr>
                <w:rFonts w:cs="Arial"/>
                <w:bCs/>
                <w:sz w:val="20"/>
                <w:szCs w:val="20"/>
              </w:rPr>
            </w:pPr>
            <w:r w:rsidRPr="00A041B2">
              <w:rPr>
                <w:rFonts w:eastAsia="SimSun" w:cs="Arial"/>
                <w:bCs/>
                <w:color w:val="000000"/>
                <w:sz w:val="20"/>
                <w:szCs w:val="20"/>
                <w:lang w:eastAsia="zh-CN" w:bidi="ar"/>
              </w:rPr>
              <w:t>А.4.1.4. Створення містобудівного кадастру для забезпечення</w:t>
            </w:r>
          </w:p>
          <w:p w14:paraId="79D4839A" w14:textId="77777777" w:rsidR="00BC7F59" w:rsidRPr="00A041B2" w:rsidRDefault="00BC7F59" w:rsidP="000413EB">
            <w:pPr>
              <w:jc w:val="both"/>
              <w:rPr>
                <w:rFonts w:cs="Arial"/>
                <w:bCs/>
                <w:sz w:val="20"/>
                <w:szCs w:val="20"/>
              </w:rPr>
            </w:pPr>
            <w:r w:rsidRPr="00A041B2">
              <w:rPr>
                <w:rFonts w:eastAsia="SimSun" w:cs="Arial"/>
                <w:bCs/>
                <w:color w:val="000000"/>
                <w:sz w:val="20"/>
                <w:szCs w:val="20"/>
                <w:lang w:eastAsia="zh-CN" w:bidi="ar"/>
              </w:rPr>
              <w:t>прозорого всебічного вивчення інвестиційної привабливості території</w:t>
            </w:r>
          </w:p>
          <w:p w14:paraId="1B30888F" w14:textId="218A3E91" w:rsidR="00BC7F59" w:rsidRPr="00A041B2" w:rsidRDefault="00BC7F59" w:rsidP="000413EB">
            <w:pPr>
              <w:jc w:val="both"/>
              <w:rPr>
                <w:rFonts w:eastAsia="Arial" w:cs="Arial"/>
                <w:bCs/>
                <w:sz w:val="20"/>
                <w:szCs w:val="20"/>
                <w:lang w:eastAsia="en-US"/>
              </w:rPr>
            </w:pPr>
            <w:r w:rsidRPr="00A041B2">
              <w:rPr>
                <w:rFonts w:eastAsia="SimSun" w:cs="Arial"/>
                <w:bCs/>
                <w:color w:val="000000"/>
                <w:sz w:val="20"/>
                <w:szCs w:val="20"/>
                <w:lang w:eastAsia="zh-CN" w:bidi="ar"/>
              </w:rPr>
              <w:t>громади.</w:t>
            </w:r>
          </w:p>
        </w:tc>
        <w:tc>
          <w:tcPr>
            <w:tcW w:w="2835" w:type="dxa"/>
          </w:tcPr>
          <w:p w14:paraId="2FF38ADA" w14:textId="77777777" w:rsidR="00BC7F59" w:rsidRPr="00A041B2" w:rsidRDefault="00BC7F59" w:rsidP="000413EB">
            <w:pPr>
              <w:jc w:val="both"/>
              <w:rPr>
                <w:rFonts w:cs="Arial"/>
                <w:bCs/>
                <w:sz w:val="20"/>
                <w:szCs w:val="20"/>
              </w:rPr>
            </w:pPr>
            <w:r w:rsidRPr="00A041B2">
              <w:rPr>
                <w:rFonts w:eastAsia="SimSun" w:cs="Arial"/>
                <w:bCs/>
                <w:color w:val="000000"/>
                <w:sz w:val="20"/>
                <w:szCs w:val="20"/>
                <w:lang w:eastAsia="zh-CN" w:bidi="ar"/>
              </w:rPr>
              <w:t>Розвиток містобудівного кадастру на території Жмеринської</w:t>
            </w:r>
          </w:p>
          <w:p w14:paraId="2D2289D0" w14:textId="77777777" w:rsidR="00BC7F59" w:rsidRPr="00A041B2" w:rsidRDefault="00BC7F59" w:rsidP="000413EB">
            <w:pPr>
              <w:jc w:val="both"/>
              <w:rPr>
                <w:rFonts w:cs="Arial"/>
                <w:bCs/>
                <w:sz w:val="20"/>
                <w:szCs w:val="20"/>
              </w:rPr>
            </w:pPr>
            <w:r w:rsidRPr="00A041B2">
              <w:rPr>
                <w:rFonts w:eastAsia="SimSun" w:cs="Arial"/>
                <w:bCs/>
                <w:color w:val="000000"/>
                <w:sz w:val="20"/>
                <w:szCs w:val="20"/>
                <w:lang w:eastAsia="zh-CN" w:bidi="ar"/>
              </w:rPr>
              <w:t>міської територіальної громади</w:t>
            </w:r>
          </w:p>
          <w:p w14:paraId="210DC861"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bCs/>
                <w:sz w:val="20"/>
                <w:szCs w:val="20"/>
                <w:lang w:eastAsia="en-US"/>
              </w:rPr>
            </w:pPr>
          </w:p>
        </w:tc>
        <w:tc>
          <w:tcPr>
            <w:tcW w:w="1276" w:type="dxa"/>
          </w:tcPr>
          <w:p w14:paraId="28CD0695" w14:textId="461B050D" w:rsidR="00BC7F59" w:rsidRPr="00A041B2" w:rsidRDefault="00BC7F59" w:rsidP="000413EB">
            <w:pPr>
              <w:widowControl w:val="0"/>
              <w:tabs>
                <w:tab w:val="left" w:pos="1400"/>
                <w:tab w:val="left" w:pos="5829"/>
                <w:tab w:val="left" w:pos="9720"/>
                <w:tab w:val="left" w:pos="10357"/>
              </w:tabs>
              <w:autoSpaceDE w:val="0"/>
              <w:autoSpaceDN w:val="0"/>
              <w:jc w:val="center"/>
              <w:rPr>
                <w:rFonts w:eastAsia="Arial" w:cs="Arial"/>
                <w:bCs/>
                <w:sz w:val="20"/>
                <w:szCs w:val="20"/>
                <w:lang w:eastAsia="en-US"/>
              </w:rPr>
            </w:pPr>
            <w:r w:rsidRPr="00A041B2">
              <w:rPr>
                <w:rFonts w:eastAsia="Arial" w:cs="Arial"/>
                <w:bCs/>
                <w:sz w:val="20"/>
                <w:szCs w:val="20"/>
                <w:lang w:eastAsia="en-US"/>
              </w:rPr>
              <w:t>2025-2028</w:t>
            </w:r>
          </w:p>
        </w:tc>
        <w:tc>
          <w:tcPr>
            <w:tcW w:w="2345" w:type="dxa"/>
          </w:tcPr>
          <w:p w14:paraId="5C8257B2" w14:textId="77777777" w:rsidR="00BC7F59" w:rsidRPr="00A041B2" w:rsidRDefault="00BC7F59" w:rsidP="00177957">
            <w:pPr>
              <w:widowControl w:val="0"/>
              <w:tabs>
                <w:tab w:val="left" w:pos="5829"/>
                <w:tab w:val="left" w:pos="9720"/>
                <w:tab w:val="left" w:pos="10357"/>
              </w:tabs>
              <w:autoSpaceDE w:val="0"/>
              <w:autoSpaceDN w:val="0"/>
              <w:spacing w:after="60"/>
              <w:jc w:val="both"/>
              <w:rPr>
                <w:rFonts w:eastAsia="Arial" w:cs="Arial"/>
                <w:bCs/>
                <w:sz w:val="20"/>
                <w:szCs w:val="20"/>
                <w:lang w:eastAsia="en-US"/>
              </w:rPr>
            </w:pPr>
            <w:r w:rsidRPr="00A041B2">
              <w:rPr>
                <w:rFonts w:eastAsia="Arial" w:cs="Arial"/>
                <w:bCs/>
                <w:sz w:val="20"/>
                <w:szCs w:val="20"/>
                <w:lang w:eastAsia="en-US"/>
              </w:rPr>
              <w:t>Управління містобудування та архітектури</w:t>
            </w:r>
          </w:p>
        </w:tc>
        <w:tc>
          <w:tcPr>
            <w:tcW w:w="2900" w:type="dxa"/>
          </w:tcPr>
          <w:p w14:paraId="0F6B3224" w14:textId="405C84B3" w:rsidR="00BC7F59" w:rsidRPr="00A041B2" w:rsidRDefault="00BC7F59" w:rsidP="00177957">
            <w:pPr>
              <w:widowControl w:val="0"/>
              <w:tabs>
                <w:tab w:val="left" w:pos="2000"/>
                <w:tab w:val="left" w:pos="2200"/>
                <w:tab w:val="left" w:pos="5829"/>
                <w:tab w:val="left" w:pos="9720"/>
                <w:tab w:val="left" w:pos="10357"/>
              </w:tabs>
              <w:autoSpaceDE w:val="0"/>
              <w:autoSpaceDN w:val="0"/>
              <w:spacing w:after="60"/>
              <w:jc w:val="both"/>
              <w:rPr>
                <w:rFonts w:eastAsia="Arial" w:cs="Arial"/>
                <w:bCs/>
                <w:sz w:val="20"/>
                <w:szCs w:val="20"/>
                <w:lang w:eastAsia="en-US"/>
              </w:rPr>
            </w:pPr>
            <w:r w:rsidRPr="00A041B2">
              <w:rPr>
                <w:rFonts w:eastAsia="SimSun" w:cs="Arial"/>
                <w:bCs/>
                <w:color w:val="333333"/>
                <w:sz w:val="20"/>
                <w:szCs w:val="20"/>
                <w:shd w:val="clear" w:color="auto" w:fill="FFFFFF"/>
              </w:rPr>
              <w:t>Оновлена та інформаційно насичена картографічна основа містобудівного кадастру території Жмеринської міської територіальної громади, а саме 34 населених пунктів</w:t>
            </w:r>
            <w:r w:rsidR="00097D39">
              <w:rPr>
                <w:rFonts w:eastAsia="SimSun" w:cs="Arial"/>
                <w:bCs/>
                <w:color w:val="333333"/>
                <w:sz w:val="20"/>
                <w:szCs w:val="20"/>
                <w:shd w:val="clear" w:color="auto" w:fill="FFFFFF"/>
              </w:rPr>
              <w:t>.</w:t>
            </w:r>
          </w:p>
        </w:tc>
      </w:tr>
      <w:tr w:rsidR="0098459F" w:rsidRPr="00A041B2" w14:paraId="006EFA1E" w14:textId="77777777" w:rsidTr="000413EB">
        <w:trPr>
          <w:trHeight w:val="2257"/>
        </w:trPr>
        <w:tc>
          <w:tcPr>
            <w:tcW w:w="567" w:type="dxa"/>
            <w:shd w:val="clear" w:color="auto" w:fill="auto"/>
          </w:tcPr>
          <w:p w14:paraId="187D62D7" w14:textId="0DD672AE" w:rsidR="0098459F" w:rsidRPr="00A041B2" w:rsidRDefault="000C55EE" w:rsidP="000413EB">
            <w:pPr>
              <w:pStyle w:val="aa"/>
              <w:jc w:val="both"/>
              <w:rPr>
                <w:rFonts w:ascii="Arial" w:eastAsia="Arial" w:hAnsi="Arial" w:cs="Arial"/>
                <w:sz w:val="20"/>
                <w:szCs w:val="20"/>
              </w:rPr>
            </w:pPr>
            <w:r w:rsidRPr="00A041B2">
              <w:rPr>
                <w:rFonts w:ascii="Arial" w:eastAsia="Arial" w:hAnsi="Arial" w:cs="Arial"/>
                <w:sz w:val="20"/>
                <w:szCs w:val="20"/>
              </w:rPr>
              <w:lastRenderedPageBreak/>
              <w:t>14</w:t>
            </w:r>
          </w:p>
        </w:tc>
        <w:tc>
          <w:tcPr>
            <w:tcW w:w="2694" w:type="dxa"/>
          </w:tcPr>
          <w:p w14:paraId="1D458715" w14:textId="2094DC99" w:rsidR="0098459F" w:rsidRPr="00A041B2" w:rsidRDefault="0098459F" w:rsidP="000413EB">
            <w:pPr>
              <w:jc w:val="both"/>
              <w:rPr>
                <w:rFonts w:eastAsia="SimSun" w:cs="Arial"/>
                <w:bCs/>
                <w:color w:val="000000"/>
                <w:sz w:val="20"/>
                <w:szCs w:val="20"/>
                <w:lang w:eastAsia="zh-CN" w:bidi="ar"/>
              </w:rPr>
            </w:pPr>
            <w:r w:rsidRPr="00A041B2">
              <w:rPr>
                <w:rFonts w:eastAsia="SimSun" w:cs="Arial"/>
                <w:bCs/>
                <w:color w:val="000000"/>
                <w:sz w:val="20"/>
                <w:szCs w:val="20"/>
                <w:lang w:eastAsia="zh-CN" w:bidi="ar"/>
              </w:rPr>
              <w:t>А.4.2. Розробка бренду та маркетингової стратегії громади</w:t>
            </w:r>
          </w:p>
        </w:tc>
        <w:tc>
          <w:tcPr>
            <w:tcW w:w="2551" w:type="dxa"/>
          </w:tcPr>
          <w:p w14:paraId="0F5C0296" w14:textId="6F5D31A4" w:rsidR="0098459F" w:rsidRPr="00A041B2" w:rsidRDefault="0098459F" w:rsidP="000413EB">
            <w:pPr>
              <w:jc w:val="both"/>
              <w:rPr>
                <w:rFonts w:eastAsia="SimSun" w:cs="Arial"/>
                <w:bCs/>
                <w:color w:val="000000"/>
                <w:sz w:val="20"/>
                <w:szCs w:val="20"/>
                <w:lang w:eastAsia="zh-CN" w:bidi="ar"/>
              </w:rPr>
            </w:pPr>
            <w:r w:rsidRPr="00A041B2">
              <w:rPr>
                <w:rFonts w:eastAsia="SimSun" w:cs="Arial"/>
                <w:bCs/>
                <w:color w:val="000000"/>
                <w:sz w:val="20"/>
                <w:szCs w:val="20"/>
                <w:lang w:eastAsia="zh-CN" w:bidi="ar"/>
              </w:rPr>
              <w:t>А 4.2.</w:t>
            </w:r>
            <w:r w:rsidR="002421D5" w:rsidRPr="00A041B2">
              <w:rPr>
                <w:rFonts w:eastAsia="SimSun" w:cs="Arial"/>
                <w:bCs/>
                <w:color w:val="000000"/>
                <w:sz w:val="20"/>
                <w:szCs w:val="20"/>
                <w:lang w:eastAsia="zh-CN" w:bidi="ar"/>
              </w:rPr>
              <w:t>1. Формування цілісної інвестиційної пропозиції громади</w:t>
            </w:r>
          </w:p>
        </w:tc>
        <w:tc>
          <w:tcPr>
            <w:tcW w:w="2835" w:type="dxa"/>
          </w:tcPr>
          <w:p w14:paraId="57DBE4E5" w14:textId="13E3E361" w:rsidR="0098459F" w:rsidRPr="00A041B2" w:rsidRDefault="0098459F" w:rsidP="000413EB">
            <w:pPr>
              <w:jc w:val="both"/>
              <w:rPr>
                <w:rFonts w:eastAsia="SimSun" w:cs="Arial"/>
                <w:bCs/>
                <w:color w:val="000000"/>
                <w:sz w:val="20"/>
                <w:szCs w:val="20"/>
                <w:lang w:eastAsia="zh-CN" w:bidi="ar"/>
              </w:rPr>
            </w:pPr>
            <w:r w:rsidRPr="00A041B2">
              <w:rPr>
                <w:rFonts w:eastAsia="SimSun" w:cs="Arial"/>
                <w:bCs/>
                <w:color w:val="000000"/>
                <w:sz w:val="20"/>
                <w:szCs w:val="20"/>
                <w:lang w:eastAsia="zh-CN" w:bidi="ar"/>
              </w:rPr>
              <w:t>Розробка та затвердження маркетингової стратегії Жмеринської міської територіальної громади</w:t>
            </w:r>
          </w:p>
        </w:tc>
        <w:tc>
          <w:tcPr>
            <w:tcW w:w="1276" w:type="dxa"/>
          </w:tcPr>
          <w:p w14:paraId="29E90C12" w14:textId="65464EDF" w:rsidR="0098459F" w:rsidRPr="00A041B2" w:rsidRDefault="002421D5" w:rsidP="000413EB">
            <w:pPr>
              <w:widowControl w:val="0"/>
              <w:tabs>
                <w:tab w:val="left" w:pos="1400"/>
                <w:tab w:val="left" w:pos="5829"/>
                <w:tab w:val="left" w:pos="9720"/>
                <w:tab w:val="left" w:pos="10357"/>
              </w:tabs>
              <w:autoSpaceDE w:val="0"/>
              <w:autoSpaceDN w:val="0"/>
              <w:jc w:val="center"/>
              <w:rPr>
                <w:rFonts w:eastAsia="Arial" w:cs="Arial"/>
                <w:bCs/>
                <w:sz w:val="20"/>
                <w:szCs w:val="20"/>
                <w:lang w:eastAsia="en-US"/>
              </w:rPr>
            </w:pPr>
            <w:r w:rsidRPr="00A041B2">
              <w:rPr>
                <w:rFonts w:eastAsia="Arial" w:cs="Arial"/>
                <w:bCs/>
                <w:sz w:val="20"/>
                <w:szCs w:val="20"/>
                <w:lang w:eastAsia="en-US"/>
              </w:rPr>
              <w:t>2026</w:t>
            </w:r>
          </w:p>
        </w:tc>
        <w:tc>
          <w:tcPr>
            <w:tcW w:w="2345" w:type="dxa"/>
          </w:tcPr>
          <w:p w14:paraId="6C80D113" w14:textId="4C2BE944" w:rsidR="0098459F" w:rsidRPr="00A041B2" w:rsidRDefault="002421D5" w:rsidP="00177957">
            <w:pPr>
              <w:widowControl w:val="0"/>
              <w:tabs>
                <w:tab w:val="left" w:pos="5829"/>
                <w:tab w:val="left" w:pos="9720"/>
                <w:tab w:val="left" w:pos="10357"/>
              </w:tabs>
              <w:autoSpaceDE w:val="0"/>
              <w:autoSpaceDN w:val="0"/>
              <w:spacing w:after="60"/>
              <w:jc w:val="both"/>
              <w:rPr>
                <w:rFonts w:eastAsia="Arial" w:cs="Arial"/>
                <w:bCs/>
                <w:sz w:val="20"/>
                <w:szCs w:val="20"/>
                <w:lang w:eastAsia="en-US"/>
              </w:rPr>
            </w:pPr>
            <w:r w:rsidRPr="00A041B2">
              <w:rPr>
                <w:rFonts w:eastAsia="Arial" w:cs="Arial"/>
                <w:bCs/>
                <w:sz w:val="20"/>
                <w:szCs w:val="20"/>
                <w:lang w:eastAsia="en-US"/>
              </w:rPr>
              <w:t>Управління економіки та розвитку інфраструктури виконавчого комітету  Жмеринської міської ради</w:t>
            </w:r>
          </w:p>
        </w:tc>
        <w:tc>
          <w:tcPr>
            <w:tcW w:w="2900" w:type="dxa"/>
          </w:tcPr>
          <w:p w14:paraId="71DC0E91" w14:textId="732759C6" w:rsidR="002421D5" w:rsidRPr="00A041B2" w:rsidRDefault="002421D5" w:rsidP="00177957">
            <w:pPr>
              <w:widowControl w:val="0"/>
              <w:tabs>
                <w:tab w:val="left" w:pos="2000"/>
                <w:tab w:val="left" w:pos="2200"/>
                <w:tab w:val="left" w:pos="5829"/>
                <w:tab w:val="left" w:pos="9720"/>
                <w:tab w:val="left" w:pos="10357"/>
              </w:tabs>
              <w:autoSpaceDE w:val="0"/>
              <w:autoSpaceDN w:val="0"/>
              <w:spacing w:after="60"/>
              <w:jc w:val="both"/>
              <w:rPr>
                <w:rFonts w:eastAsia="SimSun" w:cs="Arial"/>
                <w:bCs/>
                <w:color w:val="333333"/>
                <w:sz w:val="20"/>
                <w:szCs w:val="20"/>
                <w:shd w:val="clear" w:color="auto" w:fill="FFFFFF"/>
              </w:rPr>
            </w:pPr>
            <w:r w:rsidRPr="00A041B2">
              <w:rPr>
                <w:rFonts w:eastAsia="SimSun" w:cs="Arial"/>
                <w:bCs/>
                <w:color w:val="333333"/>
                <w:sz w:val="20"/>
                <w:szCs w:val="20"/>
                <w:shd w:val="clear" w:color="auto" w:fill="FFFFFF"/>
              </w:rPr>
              <w:t>Розроблено та затверджено маркетингову стратегію Жмеринської</w:t>
            </w:r>
            <w:r w:rsidR="00097D39">
              <w:rPr>
                <w:rFonts w:eastAsia="SimSun" w:cs="Arial"/>
                <w:bCs/>
                <w:color w:val="333333"/>
                <w:sz w:val="20"/>
                <w:szCs w:val="20"/>
                <w:shd w:val="clear" w:color="auto" w:fill="FFFFFF"/>
              </w:rPr>
              <w:t xml:space="preserve"> міської територіальної громади.</w:t>
            </w:r>
            <w:r w:rsidRPr="00A041B2">
              <w:rPr>
                <w:rFonts w:eastAsia="SimSun" w:cs="Arial"/>
                <w:bCs/>
                <w:color w:val="333333"/>
                <w:sz w:val="20"/>
                <w:szCs w:val="20"/>
                <w:shd w:val="clear" w:color="auto" w:fill="FFFFFF"/>
              </w:rPr>
              <w:t xml:space="preserve"> </w:t>
            </w:r>
          </w:p>
          <w:p w14:paraId="2227D66D" w14:textId="4D00A7A7" w:rsidR="002421D5" w:rsidRPr="00A041B2" w:rsidRDefault="00097D39" w:rsidP="00177957">
            <w:pPr>
              <w:widowControl w:val="0"/>
              <w:tabs>
                <w:tab w:val="left" w:pos="2000"/>
                <w:tab w:val="left" w:pos="2200"/>
                <w:tab w:val="left" w:pos="5829"/>
                <w:tab w:val="left" w:pos="9720"/>
                <w:tab w:val="left" w:pos="10357"/>
              </w:tabs>
              <w:autoSpaceDE w:val="0"/>
              <w:autoSpaceDN w:val="0"/>
              <w:spacing w:after="60"/>
              <w:jc w:val="both"/>
              <w:rPr>
                <w:rFonts w:eastAsia="SimSun" w:cs="Arial"/>
                <w:bCs/>
                <w:color w:val="333333"/>
                <w:sz w:val="20"/>
                <w:szCs w:val="20"/>
                <w:shd w:val="clear" w:color="auto" w:fill="FFFFFF"/>
              </w:rPr>
            </w:pPr>
            <w:r>
              <w:rPr>
                <w:rFonts w:eastAsia="SimSun" w:cs="Arial"/>
                <w:bCs/>
                <w:color w:val="333333"/>
                <w:sz w:val="20"/>
                <w:szCs w:val="20"/>
                <w:shd w:val="clear" w:color="auto" w:fill="FFFFFF"/>
              </w:rPr>
              <w:t>Р</w:t>
            </w:r>
            <w:r w:rsidR="002421D5" w:rsidRPr="00A041B2">
              <w:rPr>
                <w:rFonts w:eastAsia="SimSun" w:cs="Arial"/>
                <w:bCs/>
                <w:color w:val="333333"/>
                <w:sz w:val="20"/>
                <w:szCs w:val="20"/>
                <w:shd w:val="clear" w:color="auto" w:fill="FFFFFF"/>
              </w:rPr>
              <w:t>озроблено та затверджено заходи щодо реа</w:t>
            </w:r>
            <w:r>
              <w:rPr>
                <w:rFonts w:eastAsia="SimSun" w:cs="Arial"/>
                <w:bCs/>
                <w:color w:val="333333"/>
                <w:sz w:val="20"/>
                <w:szCs w:val="20"/>
                <w:shd w:val="clear" w:color="auto" w:fill="FFFFFF"/>
              </w:rPr>
              <w:t>лізації маркетингової стратегії.</w:t>
            </w:r>
          </w:p>
          <w:p w14:paraId="6D59CFEA" w14:textId="53ECF0E1" w:rsidR="002421D5" w:rsidRPr="00A041B2" w:rsidRDefault="00097D39" w:rsidP="00177957">
            <w:pPr>
              <w:widowControl w:val="0"/>
              <w:tabs>
                <w:tab w:val="left" w:pos="2000"/>
                <w:tab w:val="left" w:pos="2200"/>
                <w:tab w:val="left" w:pos="5829"/>
                <w:tab w:val="left" w:pos="9720"/>
                <w:tab w:val="left" w:pos="10357"/>
              </w:tabs>
              <w:autoSpaceDE w:val="0"/>
              <w:autoSpaceDN w:val="0"/>
              <w:spacing w:after="60"/>
              <w:jc w:val="both"/>
              <w:rPr>
                <w:rFonts w:eastAsia="SimSun" w:cs="Arial"/>
                <w:bCs/>
                <w:color w:val="333333"/>
                <w:sz w:val="20"/>
                <w:szCs w:val="20"/>
                <w:shd w:val="clear" w:color="auto" w:fill="FFFFFF"/>
              </w:rPr>
            </w:pPr>
            <w:r>
              <w:rPr>
                <w:rFonts w:eastAsia="SimSun" w:cs="Arial"/>
                <w:bCs/>
                <w:color w:val="333333"/>
                <w:sz w:val="20"/>
                <w:szCs w:val="20"/>
                <w:shd w:val="clear" w:color="auto" w:fill="FFFFFF"/>
              </w:rPr>
              <w:t>Р</w:t>
            </w:r>
            <w:r w:rsidR="002421D5" w:rsidRPr="00A041B2">
              <w:rPr>
                <w:rFonts w:eastAsia="SimSun" w:cs="Arial"/>
                <w:bCs/>
                <w:color w:val="333333"/>
                <w:sz w:val="20"/>
                <w:szCs w:val="20"/>
                <w:shd w:val="clear" w:color="auto" w:fill="FFFFFF"/>
              </w:rPr>
              <w:t>озроблено та затверджено дизайн бренду та логотипу громади, умови і</w:t>
            </w:r>
            <w:r>
              <w:rPr>
                <w:rFonts w:eastAsia="SimSun" w:cs="Arial"/>
                <w:bCs/>
                <w:color w:val="333333"/>
                <w:sz w:val="20"/>
                <w:szCs w:val="20"/>
                <w:shd w:val="clear" w:color="auto" w:fill="FFFFFF"/>
              </w:rPr>
              <w:t xml:space="preserve"> правила їх використання.</w:t>
            </w:r>
            <w:r w:rsidR="002421D5" w:rsidRPr="00A041B2">
              <w:rPr>
                <w:rFonts w:eastAsia="SimSun" w:cs="Arial"/>
                <w:bCs/>
                <w:color w:val="333333"/>
                <w:sz w:val="20"/>
                <w:szCs w:val="20"/>
                <w:shd w:val="clear" w:color="auto" w:fill="FFFFFF"/>
              </w:rPr>
              <w:t xml:space="preserve"> </w:t>
            </w:r>
          </w:p>
          <w:p w14:paraId="24E1AB22" w14:textId="4A051752" w:rsidR="0098459F" w:rsidRPr="00A041B2" w:rsidRDefault="00097D39" w:rsidP="00177957">
            <w:pPr>
              <w:widowControl w:val="0"/>
              <w:tabs>
                <w:tab w:val="left" w:pos="2000"/>
                <w:tab w:val="left" w:pos="2200"/>
                <w:tab w:val="left" w:pos="5829"/>
                <w:tab w:val="left" w:pos="9720"/>
                <w:tab w:val="left" w:pos="10357"/>
              </w:tabs>
              <w:autoSpaceDE w:val="0"/>
              <w:autoSpaceDN w:val="0"/>
              <w:spacing w:after="60"/>
              <w:jc w:val="both"/>
              <w:rPr>
                <w:rFonts w:eastAsia="SimSun" w:cs="Arial"/>
                <w:bCs/>
                <w:color w:val="333333"/>
                <w:sz w:val="20"/>
                <w:szCs w:val="20"/>
                <w:shd w:val="clear" w:color="auto" w:fill="FFFFFF"/>
              </w:rPr>
            </w:pPr>
            <w:r>
              <w:rPr>
                <w:rFonts w:eastAsia="SimSun" w:cs="Arial"/>
                <w:bCs/>
                <w:color w:val="333333"/>
                <w:sz w:val="20"/>
                <w:szCs w:val="20"/>
                <w:shd w:val="clear" w:color="auto" w:fill="FFFFFF"/>
              </w:rPr>
              <w:t>П</w:t>
            </w:r>
            <w:r w:rsidR="002421D5" w:rsidRPr="00A041B2">
              <w:rPr>
                <w:rFonts w:eastAsia="SimSun" w:cs="Arial"/>
                <w:bCs/>
                <w:color w:val="333333"/>
                <w:sz w:val="20"/>
                <w:szCs w:val="20"/>
                <w:shd w:val="clear" w:color="auto" w:fill="FFFFFF"/>
              </w:rPr>
              <w:t>роведено заходи щодо презентації маркетингової стратегії (не менше 5).</w:t>
            </w:r>
          </w:p>
        </w:tc>
      </w:tr>
      <w:tr w:rsidR="002421D5" w:rsidRPr="00A041B2" w14:paraId="627AB88A" w14:textId="77777777" w:rsidTr="000413EB">
        <w:trPr>
          <w:trHeight w:val="2257"/>
        </w:trPr>
        <w:tc>
          <w:tcPr>
            <w:tcW w:w="567" w:type="dxa"/>
            <w:shd w:val="clear" w:color="auto" w:fill="auto"/>
          </w:tcPr>
          <w:p w14:paraId="66B950AA" w14:textId="76FA261E" w:rsidR="002421D5" w:rsidRPr="00A041B2" w:rsidRDefault="000C55EE" w:rsidP="000413EB">
            <w:pPr>
              <w:pStyle w:val="aa"/>
              <w:jc w:val="both"/>
              <w:rPr>
                <w:rFonts w:ascii="Arial" w:eastAsia="Arial" w:hAnsi="Arial" w:cs="Arial"/>
                <w:sz w:val="20"/>
                <w:szCs w:val="20"/>
              </w:rPr>
            </w:pPr>
            <w:r w:rsidRPr="00A041B2">
              <w:rPr>
                <w:rFonts w:ascii="Arial" w:eastAsia="Arial" w:hAnsi="Arial" w:cs="Arial"/>
                <w:sz w:val="20"/>
                <w:szCs w:val="20"/>
              </w:rPr>
              <w:t>15</w:t>
            </w:r>
          </w:p>
        </w:tc>
        <w:tc>
          <w:tcPr>
            <w:tcW w:w="2694" w:type="dxa"/>
          </w:tcPr>
          <w:p w14:paraId="6E5874FA" w14:textId="2E52FAB4" w:rsidR="002421D5" w:rsidRPr="00A041B2" w:rsidRDefault="002421D5" w:rsidP="000413EB">
            <w:pPr>
              <w:jc w:val="both"/>
              <w:rPr>
                <w:rFonts w:eastAsia="SimSun" w:cs="Arial"/>
                <w:bCs/>
                <w:color w:val="000000"/>
                <w:sz w:val="20"/>
                <w:szCs w:val="20"/>
                <w:lang w:eastAsia="zh-CN" w:bidi="ar"/>
              </w:rPr>
            </w:pPr>
            <w:r w:rsidRPr="00A041B2">
              <w:rPr>
                <w:rFonts w:eastAsia="SimSun" w:cs="Arial"/>
                <w:bCs/>
                <w:color w:val="000000"/>
                <w:sz w:val="20"/>
                <w:szCs w:val="20"/>
                <w:lang w:eastAsia="zh-CN" w:bidi="ar"/>
              </w:rPr>
              <w:t>А.4.3. Підготовка  якісних інвестиційних продуктів</w:t>
            </w:r>
          </w:p>
        </w:tc>
        <w:tc>
          <w:tcPr>
            <w:tcW w:w="2551" w:type="dxa"/>
          </w:tcPr>
          <w:p w14:paraId="7978ECA0" w14:textId="77777777" w:rsidR="002421D5" w:rsidRPr="00A041B2" w:rsidRDefault="002421D5" w:rsidP="000413EB">
            <w:pPr>
              <w:jc w:val="both"/>
              <w:rPr>
                <w:rFonts w:eastAsia="SimSun" w:cs="Arial"/>
                <w:bCs/>
                <w:color w:val="000000"/>
                <w:sz w:val="20"/>
                <w:szCs w:val="20"/>
                <w:lang w:eastAsia="zh-CN" w:bidi="ar"/>
              </w:rPr>
            </w:pPr>
            <w:r w:rsidRPr="00A041B2">
              <w:rPr>
                <w:rFonts w:eastAsia="SimSun" w:cs="Arial"/>
                <w:bCs/>
                <w:color w:val="000000"/>
                <w:sz w:val="20"/>
                <w:szCs w:val="20"/>
                <w:lang w:eastAsia="zh-CN" w:bidi="ar"/>
              </w:rPr>
              <w:t>А.4.3.1.Підготовка інвестиційних пропозицій (Каталог) та їх оприлюднення.</w:t>
            </w:r>
          </w:p>
          <w:p w14:paraId="528C9840" w14:textId="77777777" w:rsidR="002421D5" w:rsidRPr="00A041B2" w:rsidRDefault="002421D5" w:rsidP="000413EB">
            <w:pPr>
              <w:jc w:val="both"/>
              <w:rPr>
                <w:rFonts w:eastAsia="SimSun" w:cs="Arial"/>
                <w:bCs/>
                <w:color w:val="000000"/>
                <w:sz w:val="20"/>
                <w:szCs w:val="20"/>
                <w:lang w:eastAsia="zh-CN" w:bidi="ar"/>
              </w:rPr>
            </w:pPr>
          </w:p>
        </w:tc>
        <w:tc>
          <w:tcPr>
            <w:tcW w:w="2835" w:type="dxa"/>
          </w:tcPr>
          <w:p w14:paraId="76B9ABC9" w14:textId="4082D21F" w:rsidR="002421D5" w:rsidRPr="00A041B2" w:rsidRDefault="002421D5" w:rsidP="000413EB">
            <w:pPr>
              <w:jc w:val="both"/>
              <w:rPr>
                <w:rFonts w:eastAsia="SimSun" w:cs="Arial"/>
                <w:bCs/>
                <w:color w:val="000000"/>
                <w:sz w:val="20"/>
                <w:szCs w:val="20"/>
                <w:lang w:eastAsia="zh-CN" w:bidi="ar"/>
              </w:rPr>
            </w:pPr>
            <w:r w:rsidRPr="00A041B2">
              <w:rPr>
                <w:rFonts w:eastAsia="SimSun" w:cs="Arial"/>
                <w:bCs/>
                <w:color w:val="000000"/>
                <w:sz w:val="20"/>
                <w:szCs w:val="20"/>
                <w:lang w:eastAsia="zh-CN" w:bidi="ar"/>
              </w:rPr>
              <w:t>Актуалізація Інвестиційного паспорту Жмеринської міської територіальної громади</w:t>
            </w:r>
          </w:p>
        </w:tc>
        <w:tc>
          <w:tcPr>
            <w:tcW w:w="1276" w:type="dxa"/>
          </w:tcPr>
          <w:p w14:paraId="4C00245F" w14:textId="75C3C38E" w:rsidR="002421D5" w:rsidRPr="00A041B2" w:rsidRDefault="002421D5" w:rsidP="000413EB">
            <w:pPr>
              <w:widowControl w:val="0"/>
              <w:tabs>
                <w:tab w:val="left" w:pos="1400"/>
                <w:tab w:val="left" w:pos="5829"/>
                <w:tab w:val="left" w:pos="9720"/>
                <w:tab w:val="left" w:pos="10357"/>
              </w:tabs>
              <w:autoSpaceDE w:val="0"/>
              <w:autoSpaceDN w:val="0"/>
              <w:jc w:val="center"/>
              <w:rPr>
                <w:rFonts w:eastAsia="Arial" w:cs="Arial"/>
                <w:bCs/>
                <w:sz w:val="20"/>
                <w:szCs w:val="20"/>
                <w:lang w:eastAsia="en-US"/>
              </w:rPr>
            </w:pPr>
            <w:r w:rsidRPr="00A041B2">
              <w:rPr>
                <w:rFonts w:eastAsia="Arial" w:cs="Arial"/>
                <w:bCs/>
                <w:sz w:val="20"/>
                <w:szCs w:val="20"/>
                <w:lang w:eastAsia="en-US"/>
              </w:rPr>
              <w:t>2026</w:t>
            </w:r>
          </w:p>
        </w:tc>
        <w:tc>
          <w:tcPr>
            <w:tcW w:w="2345" w:type="dxa"/>
          </w:tcPr>
          <w:p w14:paraId="3C802F26" w14:textId="655D67EF" w:rsidR="002421D5" w:rsidRPr="00A041B2" w:rsidRDefault="002421D5" w:rsidP="00177957">
            <w:pPr>
              <w:widowControl w:val="0"/>
              <w:tabs>
                <w:tab w:val="left" w:pos="5829"/>
                <w:tab w:val="left" w:pos="9720"/>
                <w:tab w:val="left" w:pos="10357"/>
              </w:tabs>
              <w:autoSpaceDE w:val="0"/>
              <w:autoSpaceDN w:val="0"/>
              <w:spacing w:after="60"/>
              <w:jc w:val="both"/>
              <w:rPr>
                <w:rFonts w:eastAsia="Arial" w:cs="Arial"/>
                <w:bCs/>
                <w:sz w:val="20"/>
                <w:szCs w:val="20"/>
                <w:lang w:eastAsia="en-US"/>
              </w:rPr>
            </w:pPr>
            <w:r w:rsidRPr="00A041B2">
              <w:rPr>
                <w:rFonts w:eastAsia="Arial" w:cs="Arial"/>
                <w:bCs/>
                <w:sz w:val="20"/>
                <w:szCs w:val="20"/>
                <w:lang w:eastAsia="en-US"/>
              </w:rPr>
              <w:t>Управління економіки та розвитку інфраструктури виконавчого комітету  Жмеринської міської ради</w:t>
            </w:r>
          </w:p>
        </w:tc>
        <w:tc>
          <w:tcPr>
            <w:tcW w:w="2900" w:type="dxa"/>
          </w:tcPr>
          <w:p w14:paraId="600AAE9E" w14:textId="28585934" w:rsidR="000C55EE" w:rsidRPr="00A041B2" w:rsidRDefault="00AF41F8" w:rsidP="00177957">
            <w:pPr>
              <w:widowControl w:val="0"/>
              <w:tabs>
                <w:tab w:val="left" w:pos="2000"/>
                <w:tab w:val="left" w:pos="2200"/>
                <w:tab w:val="left" w:pos="5829"/>
                <w:tab w:val="left" w:pos="9720"/>
                <w:tab w:val="left" w:pos="10357"/>
              </w:tabs>
              <w:autoSpaceDE w:val="0"/>
              <w:autoSpaceDN w:val="0"/>
              <w:spacing w:after="60"/>
              <w:jc w:val="both"/>
              <w:rPr>
                <w:rFonts w:eastAsia="SimSun" w:cs="Arial"/>
                <w:bCs/>
                <w:color w:val="333333"/>
                <w:sz w:val="20"/>
                <w:szCs w:val="20"/>
                <w:shd w:val="clear" w:color="auto" w:fill="FFFFFF"/>
              </w:rPr>
            </w:pPr>
            <w:r>
              <w:rPr>
                <w:rFonts w:eastAsia="SimSun" w:cs="Arial"/>
                <w:bCs/>
                <w:color w:val="333333"/>
                <w:sz w:val="20"/>
                <w:szCs w:val="20"/>
                <w:shd w:val="clear" w:color="auto" w:fill="FFFFFF"/>
              </w:rPr>
              <w:t>Р</w:t>
            </w:r>
            <w:r w:rsidR="000C55EE" w:rsidRPr="00A041B2">
              <w:rPr>
                <w:rFonts w:eastAsia="SimSun" w:cs="Arial"/>
                <w:bCs/>
                <w:color w:val="333333"/>
                <w:sz w:val="20"/>
                <w:szCs w:val="20"/>
                <w:shd w:val="clear" w:color="auto" w:fill="FFFFFF"/>
              </w:rPr>
              <w:t xml:space="preserve">озроблено актуалізований сучасний Інвестиційний паспорт Жмеринської міської територіальної громади та </w:t>
            </w:r>
            <w:r w:rsidR="00097D39">
              <w:rPr>
                <w:rFonts w:eastAsia="SimSun" w:cs="Arial"/>
                <w:bCs/>
                <w:color w:val="333333"/>
                <w:sz w:val="20"/>
                <w:szCs w:val="20"/>
                <w:shd w:val="clear" w:color="auto" w:fill="FFFFFF"/>
              </w:rPr>
              <w:t>оновлений профіль громади.</w:t>
            </w:r>
            <w:r w:rsidR="000C55EE" w:rsidRPr="00A041B2">
              <w:rPr>
                <w:rFonts w:eastAsia="SimSun" w:cs="Arial"/>
                <w:bCs/>
                <w:color w:val="333333"/>
                <w:sz w:val="20"/>
                <w:szCs w:val="20"/>
                <w:shd w:val="clear" w:color="auto" w:fill="FFFFFF"/>
              </w:rPr>
              <w:t xml:space="preserve"> </w:t>
            </w:r>
          </w:p>
          <w:p w14:paraId="14D9BF0A" w14:textId="4FC2D03A" w:rsidR="000C55EE" w:rsidRPr="00A041B2" w:rsidRDefault="00AF41F8" w:rsidP="00177957">
            <w:pPr>
              <w:widowControl w:val="0"/>
              <w:tabs>
                <w:tab w:val="left" w:pos="2000"/>
                <w:tab w:val="left" w:pos="2200"/>
                <w:tab w:val="left" w:pos="5829"/>
                <w:tab w:val="left" w:pos="9720"/>
                <w:tab w:val="left" w:pos="10357"/>
              </w:tabs>
              <w:autoSpaceDE w:val="0"/>
              <w:autoSpaceDN w:val="0"/>
              <w:spacing w:after="60"/>
              <w:jc w:val="both"/>
              <w:rPr>
                <w:rFonts w:eastAsia="SimSun" w:cs="Arial"/>
                <w:bCs/>
                <w:color w:val="333333"/>
                <w:sz w:val="20"/>
                <w:szCs w:val="20"/>
                <w:shd w:val="clear" w:color="auto" w:fill="FFFFFF"/>
              </w:rPr>
            </w:pPr>
            <w:r>
              <w:rPr>
                <w:rFonts w:eastAsia="SimSun" w:cs="Arial"/>
                <w:bCs/>
                <w:color w:val="333333"/>
                <w:sz w:val="20"/>
                <w:szCs w:val="20"/>
                <w:shd w:val="clear" w:color="auto" w:fill="FFFFFF"/>
              </w:rPr>
              <w:t>С</w:t>
            </w:r>
            <w:r w:rsidR="000C55EE" w:rsidRPr="00A041B2">
              <w:rPr>
                <w:rFonts w:eastAsia="SimSun" w:cs="Arial"/>
                <w:bCs/>
                <w:color w:val="333333"/>
                <w:sz w:val="20"/>
                <w:szCs w:val="20"/>
                <w:shd w:val="clear" w:color="auto" w:fill="FFFFFF"/>
              </w:rPr>
              <w:t>творено базу даних вільних інвестиційно привабливих земельних ділянок типу greenfield та об’єкт</w:t>
            </w:r>
            <w:r w:rsidR="00097D39">
              <w:rPr>
                <w:rFonts w:eastAsia="SimSun" w:cs="Arial"/>
                <w:bCs/>
                <w:color w:val="333333"/>
                <w:sz w:val="20"/>
                <w:szCs w:val="20"/>
                <w:shd w:val="clear" w:color="auto" w:fill="FFFFFF"/>
              </w:rPr>
              <w:t>ів нерухомості типу brownfield.</w:t>
            </w:r>
          </w:p>
          <w:p w14:paraId="1C9D8818" w14:textId="22FE1876" w:rsidR="002421D5" w:rsidRPr="00A041B2" w:rsidRDefault="00097D39" w:rsidP="00097D39">
            <w:pPr>
              <w:widowControl w:val="0"/>
              <w:tabs>
                <w:tab w:val="left" w:pos="2000"/>
                <w:tab w:val="left" w:pos="2200"/>
                <w:tab w:val="left" w:pos="5829"/>
                <w:tab w:val="left" w:pos="9720"/>
                <w:tab w:val="left" w:pos="10357"/>
              </w:tabs>
              <w:autoSpaceDE w:val="0"/>
              <w:autoSpaceDN w:val="0"/>
              <w:spacing w:after="60"/>
              <w:jc w:val="both"/>
              <w:rPr>
                <w:rFonts w:eastAsia="SimSun" w:cs="Arial"/>
                <w:bCs/>
                <w:color w:val="333333"/>
                <w:sz w:val="20"/>
                <w:szCs w:val="20"/>
                <w:shd w:val="clear" w:color="auto" w:fill="FFFFFF"/>
              </w:rPr>
            </w:pPr>
            <w:r>
              <w:rPr>
                <w:rFonts w:eastAsia="SimSun" w:cs="Arial"/>
                <w:bCs/>
                <w:color w:val="333333"/>
                <w:sz w:val="20"/>
                <w:szCs w:val="20"/>
                <w:shd w:val="clear" w:color="auto" w:fill="FFFFFF"/>
              </w:rPr>
              <w:t>З</w:t>
            </w:r>
            <w:r w:rsidR="000C55EE" w:rsidRPr="00A041B2">
              <w:rPr>
                <w:rFonts w:eastAsia="SimSun" w:cs="Arial"/>
                <w:bCs/>
                <w:color w:val="333333"/>
                <w:sz w:val="20"/>
                <w:szCs w:val="20"/>
                <w:shd w:val="clear" w:color="auto" w:fill="FFFFFF"/>
              </w:rPr>
              <w:t>дійснено поширення та просування актуалізованого Інвестиційного паспорту Жмеринської міської територіальної громади на офіційних джерелах Жмеринської міської ради, українських та міжна</w:t>
            </w:r>
            <w:r>
              <w:rPr>
                <w:rFonts w:eastAsia="SimSun" w:cs="Arial"/>
                <w:bCs/>
                <w:color w:val="333333"/>
                <w:sz w:val="20"/>
                <w:szCs w:val="20"/>
                <w:shd w:val="clear" w:color="auto" w:fill="FFFFFF"/>
              </w:rPr>
              <w:t>родних інвестиційних платформах.</w:t>
            </w:r>
          </w:p>
        </w:tc>
      </w:tr>
      <w:tr w:rsidR="00BC7F59" w:rsidRPr="00A041B2" w14:paraId="16728B16" w14:textId="77777777" w:rsidTr="000413EB">
        <w:trPr>
          <w:trHeight w:val="2684"/>
        </w:trPr>
        <w:tc>
          <w:tcPr>
            <w:tcW w:w="567" w:type="dxa"/>
            <w:shd w:val="clear" w:color="auto" w:fill="auto"/>
          </w:tcPr>
          <w:p w14:paraId="2DFCEBE3" w14:textId="7CBE648D" w:rsidR="00BC7F59" w:rsidRPr="00A041B2" w:rsidRDefault="00BC7F59" w:rsidP="000413EB">
            <w:pPr>
              <w:pStyle w:val="aa"/>
              <w:jc w:val="both"/>
              <w:rPr>
                <w:rFonts w:ascii="Arial" w:eastAsia="Arial" w:hAnsi="Arial" w:cs="Arial"/>
                <w:sz w:val="20"/>
                <w:szCs w:val="20"/>
              </w:rPr>
            </w:pPr>
            <w:r w:rsidRPr="00A041B2">
              <w:rPr>
                <w:rFonts w:ascii="Arial" w:eastAsia="Arial" w:hAnsi="Arial" w:cs="Arial"/>
                <w:sz w:val="20"/>
                <w:szCs w:val="20"/>
              </w:rPr>
              <w:lastRenderedPageBreak/>
              <w:t>1</w:t>
            </w:r>
            <w:r w:rsidR="000C55EE" w:rsidRPr="00A041B2">
              <w:rPr>
                <w:rFonts w:ascii="Arial" w:eastAsia="Arial" w:hAnsi="Arial" w:cs="Arial"/>
                <w:sz w:val="20"/>
                <w:szCs w:val="20"/>
              </w:rPr>
              <w:t>6</w:t>
            </w:r>
          </w:p>
        </w:tc>
        <w:tc>
          <w:tcPr>
            <w:tcW w:w="2694" w:type="dxa"/>
            <w:shd w:val="clear" w:color="auto" w:fill="auto"/>
          </w:tcPr>
          <w:p w14:paraId="5AF23822" w14:textId="77777777" w:rsidR="00BC7F59" w:rsidRPr="00A041B2" w:rsidRDefault="00BC7F59" w:rsidP="00177957">
            <w:pPr>
              <w:rPr>
                <w:rFonts w:cs="Arial"/>
                <w:sz w:val="20"/>
                <w:szCs w:val="20"/>
                <w:lang w:eastAsia="uk-UA"/>
              </w:rPr>
            </w:pPr>
            <w:r w:rsidRPr="00A041B2">
              <w:rPr>
                <w:rFonts w:cs="Arial"/>
                <w:sz w:val="20"/>
                <w:szCs w:val="20"/>
                <w:lang w:eastAsia="uk-UA"/>
              </w:rPr>
              <w:t>А.4.3. Підготовка  якісних інвестиційних продуктів</w:t>
            </w:r>
          </w:p>
          <w:p w14:paraId="196053EF"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sz w:val="20"/>
                <w:szCs w:val="20"/>
                <w:lang w:eastAsia="en-US"/>
              </w:rPr>
            </w:pPr>
          </w:p>
        </w:tc>
        <w:tc>
          <w:tcPr>
            <w:tcW w:w="2551" w:type="dxa"/>
            <w:shd w:val="clear" w:color="auto" w:fill="auto"/>
          </w:tcPr>
          <w:p w14:paraId="1F80BAAA" w14:textId="77777777" w:rsidR="00BC7F59" w:rsidRPr="00A041B2" w:rsidRDefault="00BC7F59" w:rsidP="000413EB">
            <w:pPr>
              <w:widowControl w:val="0"/>
              <w:tabs>
                <w:tab w:val="left" w:pos="5829"/>
                <w:tab w:val="left" w:pos="9720"/>
                <w:tab w:val="left" w:pos="10357"/>
              </w:tabs>
              <w:autoSpaceDE w:val="0"/>
              <w:autoSpaceDN w:val="0"/>
              <w:jc w:val="both"/>
              <w:rPr>
                <w:rFonts w:cs="Arial"/>
                <w:sz w:val="20"/>
                <w:szCs w:val="20"/>
              </w:rPr>
            </w:pPr>
            <w:r w:rsidRPr="00A041B2">
              <w:rPr>
                <w:rFonts w:cs="Arial"/>
                <w:sz w:val="20"/>
                <w:szCs w:val="20"/>
              </w:rPr>
              <w:t>А.4.3.6. Розвиток  та облаштування індустріального парку.</w:t>
            </w:r>
          </w:p>
          <w:p w14:paraId="2885C022"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sz w:val="20"/>
                <w:szCs w:val="20"/>
                <w:lang w:eastAsia="en-US"/>
              </w:rPr>
            </w:pPr>
          </w:p>
        </w:tc>
        <w:tc>
          <w:tcPr>
            <w:tcW w:w="2835" w:type="dxa"/>
            <w:shd w:val="clear" w:color="auto" w:fill="auto"/>
          </w:tcPr>
          <w:p w14:paraId="2E28B0EB"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sz w:val="20"/>
                <w:szCs w:val="20"/>
                <w:lang w:eastAsia="en-US"/>
              </w:rPr>
            </w:pPr>
            <w:r w:rsidRPr="00A041B2">
              <w:rPr>
                <w:rFonts w:cs="Arial"/>
                <w:bCs/>
                <w:color w:val="000000"/>
                <w:sz w:val="20"/>
                <w:szCs w:val="20"/>
                <w:lang w:eastAsia="uk-UA"/>
              </w:rPr>
              <w:t>Створення індустріального парку в Жмеринській міській територіальній громаді</w:t>
            </w:r>
          </w:p>
        </w:tc>
        <w:tc>
          <w:tcPr>
            <w:tcW w:w="1276" w:type="dxa"/>
            <w:shd w:val="clear" w:color="auto" w:fill="auto"/>
          </w:tcPr>
          <w:p w14:paraId="6A17F5AB" w14:textId="01519037" w:rsidR="00BC7F59" w:rsidRPr="00A041B2" w:rsidRDefault="00BC7F59" w:rsidP="000413EB">
            <w:pPr>
              <w:widowControl w:val="0"/>
              <w:tabs>
                <w:tab w:val="left" w:pos="5829"/>
                <w:tab w:val="left" w:pos="9720"/>
                <w:tab w:val="left" w:pos="10357"/>
              </w:tabs>
              <w:autoSpaceDE w:val="0"/>
              <w:autoSpaceDN w:val="0"/>
              <w:jc w:val="center"/>
              <w:rPr>
                <w:rFonts w:eastAsia="Arial" w:cs="Arial"/>
                <w:sz w:val="20"/>
                <w:szCs w:val="20"/>
                <w:lang w:eastAsia="en-US"/>
              </w:rPr>
            </w:pPr>
            <w:r w:rsidRPr="00A041B2">
              <w:rPr>
                <w:rFonts w:eastAsia="Arial" w:cs="Arial"/>
                <w:sz w:val="20"/>
                <w:szCs w:val="20"/>
                <w:lang w:eastAsia="en-US"/>
              </w:rPr>
              <w:t>2027</w:t>
            </w:r>
          </w:p>
        </w:tc>
        <w:tc>
          <w:tcPr>
            <w:tcW w:w="2345" w:type="dxa"/>
            <w:shd w:val="clear" w:color="auto" w:fill="auto"/>
          </w:tcPr>
          <w:p w14:paraId="34389A35" w14:textId="77777777" w:rsidR="00BC7F59" w:rsidRPr="00A041B2" w:rsidRDefault="00BC7F59" w:rsidP="00177957">
            <w:pPr>
              <w:widowControl w:val="0"/>
              <w:tabs>
                <w:tab w:val="left" w:pos="5829"/>
                <w:tab w:val="left" w:pos="9720"/>
                <w:tab w:val="left" w:pos="10357"/>
              </w:tabs>
              <w:autoSpaceDE w:val="0"/>
              <w:autoSpaceDN w:val="0"/>
              <w:spacing w:after="60"/>
              <w:jc w:val="both"/>
              <w:rPr>
                <w:rFonts w:eastAsia="Arial" w:cs="Arial"/>
                <w:sz w:val="20"/>
                <w:szCs w:val="20"/>
                <w:lang w:eastAsia="en-US"/>
              </w:rPr>
            </w:pPr>
            <w:r w:rsidRPr="00A041B2">
              <w:rPr>
                <w:rFonts w:eastAsia="Arial" w:cs="Arial"/>
                <w:sz w:val="20"/>
                <w:szCs w:val="20"/>
                <w:lang w:eastAsia="en-US"/>
              </w:rPr>
              <w:t>Управління економіки та розвитку інфраструктури виконавчого комітету Жмеринської міської ради</w:t>
            </w:r>
          </w:p>
          <w:p w14:paraId="7A80AB1B" w14:textId="77777777" w:rsidR="00BC7F59" w:rsidRPr="00A041B2" w:rsidRDefault="00BC7F59" w:rsidP="00177957">
            <w:pPr>
              <w:widowControl w:val="0"/>
              <w:tabs>
                <w:tab w:val="left" w:pos="5829"/>
                <w:tab w:val="left" w:pos="9720"/>
                <w:tab w:val="left" w:pos="10357"/>
              </w:tabs>
              <w:autoSpaceDE w:val="0"/>
              <w:autoSpaceDN w:val="0"/>
              <w:spacing w:after="60"/>
              <w:jc w:val="both"/>
              <w:rPr>
                <w:rFonts w:eastAsia="Arial" w:cs="Arial"/>
                <w:sz w:val="20"/>
                <w:szCs w:val="20"/>
                <w:lang w:eastAsia="en-US"/>
              </w:rPr>
            </w:pPr>
          </w:p>
        </w:tc>
        <w:tc>
          <w:tcPr>
            <w:tcW w:w="2900" w:type="dxa"/>
            <w:shd w:val="clear" w:color="auto" w:fill="auto"/>
          </w:tcPr>
          <w:p w14:paraId="3531326E" w14:textId="0EEAD66F" w:rsidR="00BC7F59" w:rsidRPr="00A041B2" w:rsidRDefault="00BC7F59" w:rsidP="00177957">
            <w:pPr>
              <w:widowControl w:val="0"/>
              <w:tabs>
                <w:tab w:val="left" w:pos="5829"/>
                <w:tab w:val="left" w:pos="9720"/>
                <w:tab w:val="left" w:pos="10357"/>
              </w:tabs>
              <w:autoSpaceDE w:val="0"/>
              <w:autoSpaceDN w:val="0"/>
              <w:spacing w:after="60"/>
              <w:jc w:val="both"/>
              <w:rPr>
                <w:rFonts w:eastAsia="Arial" w:cs="Arial"/>
                <w:sz w:val="20"/>
                <w:szCs w:val="20"/>
                <w:lang w:eastAsia="en-US"/>
              </w:rPr>
            </w:pPr>
            <w:r w:rsidRPr="00A041B2">
              <w:rPr>
                <w:rFonts w:eastAsia="Arial" w:cs="Arial"/>
                <w:sz w:val="20"/>
                <w:szCs w:val="20"/>
                <w:lang w:eastAsia="en-US"/>
              </w:rPr>
              <w:t>Створено 1-ий індустріальний парк на території Жмеринської міської територіально</w:t>
            </w:r>
            <w:r w:rsidR="00097D39">
              <w:rPr>
                <w:rFonts w:eastAsia="Arial" w:cs="Arial"/>
                <w:sz w:val="20"/>
                <w:szCs w:val="20"/>
                <w:lang w:eastAsia="en-US"/>
              </w:rPr>
              <w:t>ї громади.</w:t>
            </w:r>
          </w:p>
          <w:p w14:paraId="3B68771C" w14:textId="0E30A3E6" w:rsidR="00BC7F59" w:rsidRPr="00A041B2" w:rsidRDefault="00AF41F8" w:rsidP="00177957">
            <w:pPr>
              <w:widowControl w:val="0"/>
              <w:tabs>
                <w:tab w:val="left" w:pos="5829"/>
                <w:tab w:val="left" w:pos="9720"/>
                <w:tab w:val="left" w:pos="10357"/>
              </w:tabs>
              <w:autoSpaceDE w:val="0"/>
              <w:autoSpaceDN w:val="0"/>
              <w:spacing w:after="60"/>
              <w:jc w:val="both"/>
              <w:rPr>
                <w:rFonts w:eastAsia="Arial" w:cs="Arial"/>
                <w:sz w:val="20"/>
                <w:szCs w:val="20"/>
                <w:lang w:eastAsia="en-US"/>
              </w:rPr>
            </w:pPr>
            <w:r>
              <w:rPr>
                <w:rFonts w:eastAsia="Arial" w:cs="Arial"/>
                <w:sz w:val="20"/>
                <w:szCs w:val="20"/>
                <w:lang w:eastAsia="en-US"/>
              </w:rPr>
              <w:t>С</w:t>
            </w:r>
            <w:r w:rsidR="00097D39">
              <w:rPr>
                <w:rFonts w:eastAsia="Arial" w:cs="Arial"/>
                <w:sz w:val="20"/>
                <w:szCs w:val="20"/>
                <w:lang w:eastAsia="en-US"/>
              </w:rPr>
              <w:t>творено 200 нових робочих місць.</w:t>
            </w:r>
          </w:p>
          <w:p w14:paraId="04464285" w14:textId="0F8AA4C7" w:rsidR="00BC7F59" w:rsidRPr="00A041B2" w:rsidRDefault="00AF41F8" w:rsidP="00AF41F8">
            <w:pPr>
              <w:widowControl w:val="0"/>
              <w:tabs>
                <w:tab w:val="left" w:pos="5829"/>
                <w:tab w:val="left" w:pos="9720"/>
                <w:tab w:val="left" w:pos="10357"/>
              </w:tabs>
              <w:autoSpaceDE w:val="0"/>
              <w:autoSpaceDN w:val="0"/>
              <w:spacing w:after="60"/>
              <w:jc w:val="both"/>
              <w:rPr>
                <w:rFonts w:eastAsia="Arial" w:cs="Arial"/>
                <w:sz w:val="20"/>
                <w:szCs w:val="20"/>
                <w:lang w:eastAsia="en-US"/>
              </w:rPr>
            </w:pPr>
            <w:r>
              <w:rPr>
                <w:rFonts w:eastAsia="Arial" w:cs="Arial"/>
                <w:sz w:val="20"/>
                <w:szCs w:val="20"/>
                <w:lang w:eastAsia="en-US"/>
              </w:rPr>
              <w:t>З</w:t>
            </w:r>
            <w:r w:rsidR="00BC7F59" w:rsidRPr="00A041B2">
              <w:rPr>
                <w:rFonts w:eastAsia="Arial" w:cs="Arial"/>
                <w:sz w:val="20"/>
                <w:szCs w:val="20"/>
                <w:lang w:eastAsia="en-US"/>
              </w:rPr>
              <w:t>алучено інвестиції з різних джерел фінансування у сумі майже 0,5 млрд. грн..</w:t>
            </w:r>
          </w:p>
        </w:tc>
      </w:tr>
      <w:tr w:rsidR="0098459F" w:rsidRPr="00A041B2" w14:paraId="3E778EC5" w14:textId="77777777" w:rsidTr="00D83384">
        <w:trPr>
          <w:trHeight w:val="1118"/>
        </w:trPr>
        <w:tc>
          <w:tcPr>
            <w:tcW w:w="567" w:type="dxa"/>
            <w:shd w:val="clear" w:color="auto" w:fill="auto"/>
          </w:tcPr>
          <w:p w14:paraId="7E880096" w14:textId="2F246265" w:rsidR="0098459F" w:rsidRPr="00A041B2" w:rsidRDefault="000C55EE" w:rsidP="000413EB">
            <w:pPr>
              <w:pStyle w:val="aa"/>
              <w:jc w:val="both"/>
              <w:rPr>
                <w:rFonts w:ascii="Arial" w:eastAsia="Arial" w:hAnsi="Arial" w:cs="Arial"/>
                <w:sz w:val="20"/>
                <w:szCs w:val="20"/>
              </w:rPr>
            </w:pPr>
            <w:r w:rsidRPr="00A041B2">
              <w:rPr>
                <w:rFonts w:ascii="Arial" w:eastAsia="Arial" w:hAnsi="Arial" w:cs="Arial"/>
                <w:sz w:val="20"/>
                <w:szCs w:val="20"/>
              </w:rPr>
              <w:t>17</w:t>
            </w:r>
          </w:p>
        </w:tc>
        <w:tc>
          <w:tcPr>
            <w:tcW w:w="2694" w:type="dxa"/>
            <w:shd w:val="clear" w:color="auto" w:fill="auto"/>
          </w:tcPr>
          <w:p w14:paraId="428B87CF" w14:textId="723DF393" w:rsidR="0098459F" w:rsidRPr="00A041B2" w:rsidRDefault="002421D5" w:rsidP="00177957">
            <w:pPr>
              <w:rPr>
                <w:rFonts w:cs="Arial"/>
                <w:sz w:val="20"/>
                <w:szCs w:val="20"/>
                <w:lang w:eastAsia="uk-UA"/>
              </w:rPr>
            </w:pPr>
            <w:r w:rsidRPr="00A041B2">
              <w:rPr>
                <w:rFonts w:cs="Arial"/>
                <w:sz w:val="20"/>
                <w:szCs w:val="20"/>
                <w:lang w:eastAsia="uk-UA"/>
              </w:rPr>
              <w:t>А.4.4. Міжнародне співробітництво</w:t>
            </w:r>
          </w:p>
        </w:tc>
        <w:tc>
          <w:tcPr>
            <w:tcW w:w="2551" w:type="dxa"/>
            <w:shd w:val="clear" w:color="auto" w:fill="auto"/>
          </w:tcPr>
          <w:p w14:paraId="7DE5D9DA" w14:textId="2174EA70" w:rsidR="0098459F" w:rsidRPr="00A041B2" w:rsidRDefault="002421D5" w:rsidP="000413EB">
            <w:pPr>
              <w:widowControl w:val="0"/>
              <w:tabs>
                <w:tab w:val="left" w:pos="5829"/>
                <w:tab w:val="left" w:pos="9720"/>
                <w:tab w:val="left" w:pos="10357"/>
              </w:tabs>
              <w:autoSpaceDE w:val="0"/>
              <w:autoSpaceDN w:val="0"/>
              <w:jc w:val="both"/>
              <w:rPr>
                <w:rFonts w:cs="Arial"/>
                <w:sz w:val="20"/>
                <w:szCs w:val="20"/>
              </w:rPr>
            </w:pPr>
            <w:r w:rsidRPr="00A041B2">
              <w:rPr>
                <w:rFonts w:cs="Arial"/>
                <w:sz w:val="20"/>
                <w:szCs w:val="20"/>
              </w:rPr>
              <w:t>А.4.4.1. Здійснення заходів з поглиблення співпраці з містами побратимами з якими Жмеринською міською територіальною громадою  укладено угоди (протоколи) про співробітництво, зокрема, обмін делегаціями, проведення робочих зустрічей, «круглих столів», конференцій, бізнес - форумів тощо.</w:t>
            </w:r>
          </w:p>
        </w:tc>
        <w:tc>
          <w:tcPr>
            <w:tcW w:w="2835" w:type="dxa"/>
            <w:shd w:val="clear" w:color="auto" w:fill="auto"/>
          </w:tcPr>
          <w:p w14:paraId="75E36F3C" w14:textId="692BC5DE" w:rsidR="0098459F" w:rsidRPr="00A041B2" w:rsidRDefault="002421D5" w:rsidP="000413EB">
            <w:pPr>
              <w:widowControl w:val="0"/>
              <w:tabs>
                <w:tab w:val="left" w:pos="5829"/>
                <w:tab w:val="left" w:pos="9720"/>
                <w:tab w:val="left" w:pos="10357"/>
              </w:tabs>
              <w:autoSpaceDE w:val="0"/>
              <w:autoSpaceDN w:val="0"/>
              <w:jc w:val="both"/>
              <w:rPr>
                <w:rFonts w:cs="Arial"/>
                <w:bCs/>
                <w:color w:val="000000"/>
                <w:sz w:val="20"/>
                <w:szCs w:val="20"/>
                <w:lang w:eastAsia="uk-UA"/>
              </w:rPr>
            </w:pPr>
            <w:r w:rsidRPr="00A041B2">
              <w:rPr>
                <w:rFonts w:cs="Arial"/>
                <w:bCs/>
                <w:color w:val="000000"/>
                <w:sz w:val="20"/>
                <w:szCs w:val="20"/>
                <w:lang w:eastAsia="uk-UA"/>
              </w:rPr>
              <w:t>Розробка і впровадження Програми поглиблення міжнародного та міжмуніципального співробітництва Жмеринської міської територіальної громади з громадами -партнерами</w:t>
            </w:r>
          </w:p>
        </w:tc>
        <w:tc>
          <w:tcPr>
            <w:tcW w:w="1276" w:type="dxa"/>
            <w:shd w:val="clear" w:color="auto" w:fill="auto"/>
          </w:tcPr>
          <w:p w14:paraId="312F587E" w14:textId="37B4DFF0" w:rsidR="0098459F" w:rsidRPr="00A041B2" w:rsidRDefault="002421D5" w:rsidP="00D83384">
            <w:pPr>
              <w:widowControl w:val="0"/>
              <w:tabs>
                <w:tab w:val="left" w:pos="5829"/>
                <w:tab w:val="left" w:pos="9720"/>
                <w:tab w:val="left" w:pos="10357"/>
              </w:tabs>
              <w:autoSpaceDE w:val="0"/>
              <w:autoSpaceDN w:val="0"/>
              <w:jc w:val="center"/>
              <w:rPr>
                <w:rFonts w:eastAsia="Arial" w:cs="Arial"/>
                <w:sz w:val="20"/>
                <w:szCs w:val="20"/>
                <w:lang w:eastAsia="en-US"/>
              </w:rPr>
            </w:pPr>
            <w:r w:rsidRPr="00A041B2">
              <w:rPr>
                <w:rFonts w:eastAsia="Arial" w:cs="Arial"/>
                <w:sz w:val="20"/>
                <w:szCs w:val="20"/>
                <w:lang w:eastAsia="en-US"/>
              </w:rPr>
              <w:t>2025-2028</w:t>
            </w:r>
          </w:p>
        </w:tc>
        <w:tc>
          <w:tcPr>
            <w:tcW w:w="2345" w:type="dxa"/>
            <w:shd w:val="clear" w:color="auto" w:fill="auto"/>
          </w:tcPr>
          <w:p w14:paraId="0062B1D2" w14:textId="0FC58A2A" w:rsidR="0098459F" w:rsidRPr="00A041B2" w:rsidRDefault="002421D5" w:rsidP="00177957">
            <w:pPr>
              <w:widowControl w:val="0"/>
              <w:tabs>
                <w:tab w:val="left" w:pos="5829"/>
                <w:tab w:val="left" w:pos="9720"/>
                <w:tab w:val="left" w:pos="10357"/>
              </w:tabs>
              <w:autoSpaceDE w:val="0"/>
              <w:autoSpaceDN w:val="0"/>
              <w:spacing w:after="60"/>
              <w:jc w:val="both"/>
              <w:rPr>
                <w:rFonts w:eastAsia="Arial" w:cs="Arial"/>
                <w:sz w:val="20"/>
                <w:szCs w:val="20"/>
                <w:lang w:eastAsia="en-US"/>
              </w:rPr>
            </w:pPr>
            <w:r w:rsidRPr="00A041B2">
              <w:rPr>
                <w:rFonts w:eastAsia="Arial" w:cs="Arial"/>
                <w:sz w:val="20"/>
                <w:szCs w:val="20"/>
                <w:lang w:eastAsia="en-US"/>
              </w:rPr>
              <w:t>Управління економіки та розвитку інфраструктури виконавчого комітету Жмеринської міської ради</w:t>
            </w:r>
          </w:p>
        </w:tc>
        <w:tc>
          <w:tcPr>
            <w:tcW w:w="2900" w:type="dxa"/>
            <w:shd w:val="clear" w:color="auto" w:fill="auto"/>
          </w:tcPr>
          <w:p w14:paraId="13B0C270" w14:textId="1C24840B" w:rsidR="002421D5" w:rsidRPr="00A041B2" w:rsidRDefault="00AF41F8" w:rsidP="00177957">
            <w:pPr>
              <w:widowControl w:val="0"/>
              <w:tabs>
                <w:tab w:val="left" w:pos="5829"/>
                <w:tab w:val="left" w:pos="9720"/>
                <w:tab w:val="left" w:pos="10357"/>
              </w:tabs>
              <w:autoSpaceDE w:val="0"/>
              <w:autoSpaceDN w:val="0"/>
              <w:spacing w:after="60"/>
              <w:jc w:val="both"/>
              <w:rPr>
                <w:rFonts w:eastAsia="Arial" w:cs="Arial"/>
                <w:sz w:val="20"/>
                <w:szCs w:val="20"/>
                <w:lang w:eastAsia="en-US"/>
              </w:rPr>
            </w:pPr>
            <w:r>
              <w:rPr>
                <w:rFonts w:eastAsia="Arial" w:cs="Arial"/>
                <w:sz w:val="20"/>
                <w:szCs w:val="20"/>
                <w:lang w:eastAsia="en-US"/>
              </w:rPr>
              <w:t>Р</w:t>
            </w:r>
            <w:r w:rsidR="002421D5" w:rsidRPr="00A041B2">
              <w:rPr>
                <w:rFonts w:eastAsia="Arial" w:cs="Arial"/>
                <w:sz w:val="20"/>
                <w:szCs w:val="20"/>
                <w:lang w:eastAsia="en-US"/>
              </w:rPr>
              <w:t>озроблено та затверджено заходи з реалізації Програми міжнародного співробітництва Жмеринської міської територіал</w:t>
            </w:r>
            <w:r w:rsidR="00097D39">
              <w:rPr>
                <w:rFonts w:eastAsia="Arial" w:cs="Arial"/>
                <w:sz w:val="20"/>
                <w:szCs w:val="20"/>
                <w:lang w:eastAsia="en-US"/>
              </w:rPr>
              <w:t>ьної громади на 2025-2028 роки.</w:t>
            </w:r>
          </w:p>
          <w:p w14:paraId="7F1FEC92" w14:textId="1A99AD68" w:rsidR="002421D5" w:rsidRPr="00A041B2" w:rsidRDefault="00AF41F8" w:rsidP="00177957">
            <w:pPr>
              <w:widowControl w:val="0"/>
              <w:tabs>
                <w:tab w:val="left" w:pos="5829"/>
                <w:tab w:val="left" w:pos="9720"/>
                <w:tab w:val="left" w:pos="10357"/>
              </w:tabs>
              <w:autoSpaceDE w:val="0"/>
              <w:autoSpaceDN w:val="0"/>
              <w:spacing w:after="60"/>
              <w:jc w:val="both"/>
              <w:rPr>
                <w:rFonts w:eastAsia="Arial" w:cs="Arial"/>
                <w:sz w:val="20"/>
                <w:szCs w:val="20"/>
                <w:lang w:eastAsia="en-US"/>
              </w:rPr>
            </w:pPr>
            <w:r>
              <w:rPr>
                <w:rFonts w:eastAsia="Arial" w:cs="Arial"/>
                <w:sz w:val="20"/>
                <w:szCs w:val="20"/>
                <w:lang w:eastAsia="en-US"/>
              </w:rPr>
              <w:t>П</w:t>
            </w:r>
            <w:r w:rsidR="002421D5" w:rsidRPr="00A041B2">
              <w:rPr>
                <w:rFonts w:eastAsia="Arial" w:cs="Arial"/>
                <w:sz w:val="20"/>
                <w:szCs w:val="20"/>
                <w:lang w:eastAsia="en-US"/>
              </w:rPr>
              <w:t>ідписано угоди про співробітництво з 2 міста</w:t>
            </w:r>
            <w:r w:rsidR="00097D39">
              <w:rPr>
                <w:rFonts w:eastAsia="Arial" w:cs="Arial"/>
                <w:sz w:val="20"/>
                <w:szCs w:val="20"/>
                <w:lang w:eastAsia="en-US"/>
              </w:rPr>
              <w:t>ми-партнерами з іноземних країн.</w:t>
            </w:r>
            <w:r w:rsidR="002421D5" w:rsidRPr="00A041B2">
              <w:rPr>
                <w:rFonts w:eastAsia="Arial" w:cs="Arial"/>
                <w:sz w:val="20"/>
                <w:szCs w:val="20"/>
                <w:lang w:eastAsia="en-US"/>
              </w:rPr>
              <w:t xml:space="preserve"> </w:t>
            </w:r>
          </w:p>
          <w:p w14:paraId="3A0DDD3C" w14:textId="153865C0" w:rsidR="002421D5" w:rsidRPr="00A041B2" w:rsidRDefault="00AF41F8" w:rsidP="00177957">
            <w:pPr>
              <w:widowControl w:val="0"/>
              <w:tabs>
                <w:tab w:val="left" w:pos="5829"/>
                <w:tab w:val="left" w:pos="9720"/>
                <w:tab w:val="left" w:pos="10357"/>
              </w:tabs>
              <w:autoSpaceDE w:val="0"/>
              <w:autoSpaceDN w:val="0"/>
              <w:spacing w:after="60"/>
              <w:jc w:val="both"/>
              <w:rPr>
                <w:rFonts w:eastAsia="Arial" w:cs="Arial"/>
                <w:sz w:val="20"/>
                <w:szCs w:val="20"/>
                <w:lang w:eastAsia="en-US"/>
              </w:rPr>
            </w:pPr>
            <w:r>
              <w:rPr>
                <w:rFonts w:eastAsia="Arial" w:cs="Arial"/>
                <w:sz w:val="20"/>
                <w:szCs w:val="20"/>
                <w:lang w:eastAsia="en-US"/>
              </w:rPr>
              <w:t>У</w:t>
            </w:r>
            <w:r w:rsidR="002421D5" w:rsidRPr="00A041B2">
              <w:rPr>
                <w:rFonts w:eastAsia="Arial" w:cs="Arial"/>
                <w:sz w:val="20"/>
                <w:szCs w:val="20"/>
                <w:lang w:eastAsia="en-US"/>
              </w:rPr>
              <w:t>кладено 2 угоди про міжнародне територіальне сп</w:t>
            </w:r>
            <w:r w:rsidR="00097D39">
              <w:rPr>
                <w:rFonts w:eastAsia="Arial" w:cs="Arial"/>
                <w:sz w:val="20"/>
                <w:szCs w:val="20"/>
                <w:lang w:eastAsia="en-US"/>
              </w:rPr>
              <w:t>івробітництво в окремих сферах.</w:t>
            </w:r>
          </w:p>
          <w:p w14:paraId="654C62CF" w14:textId="55A732BC" w:rsidR="0098459F" w:rsidRPr="00A041B2" w:rsidRDefault="00097D39" w:rsidP="00177957">
            <w:pPr>
              <w:widowControl w:val="0"/>
              <w:tabs>
                <w:tab w:val="left" w:pos="5829"/>
                <w:tab w:val="left" w:pos="9720"/>
                <w:tab w:val="left" w:pos="10357"/>
              </w:tabs>
              <w:autoSpaceDE w:val="0"/>
              <w:autoSpaceDN w:val="0"/>
              <w:spacing w:after="60"/>
              <w:jc w:val="both"/>
              <w:rPr>
                <w:rFonts w:eastAsia="Arial" w:cs="Arial"/>
                <w:sz w:val="20"/>
                <w:szCs w:val="20"/>
                <w:lang w:eastAsia="en-US"/>
              </w:rPr>
            </w:pPr>
            <w:r>
              <w:rPr>
                <w:rFonts w:eastAsia="Arial" w:cs="Arial"/>
                <w:sz w:val="20"/>
                <w:szCs w:val="20"/>
                <w:lang w:eastAsia="en-US"/>
              </w:rPr>
              <w:t>У</w:t>
            </w:r>
            <w:r w:rsidR="002421D5" w:rsidRPr="00A041B2">
              <w:rPr>
                <w:rFonts w:eastAsia="Arial" w:cs="Arial"/>
                <w:sz w:val="20"/>
                <w:szCs w:val="20"/>
                <w:lang w:eastAsia="en-US"/>
              </w:rPr>
              <w:t>кладено 2 угоди про міжмуніципальне співробітництво</w:t>
            </w:r>
            <w:r>
              <w:rPr>
                <w:rFonts w:eastAsia="Arial" w:cs="Arial"/>
                <w:sz w:val="20"/>
                <w:szCs w:val="20"/>
                <w:lang w:eastAsia="en-US"/>
              </w:rPr>
              <w:t>.</w:t>
            </w:r>
          </w:p>
        </w:tc>
      </w:tr>
      <w:tr w:rsidR="00BC7F59" w:rsidRPr="00A041B2" w14:paraId="419AC39F" w14:textId="77777777" w:rsidTr="000413EB">
        <w:tc>
          <w:tcPr>
            <w:tcW w:w="567" w:type="dxa"/>
            <w:shd w:val="clear" w:color="auto" w:fill="auto"/>
          </w:tcPr>
          <w:p w14:paraId="434E8942" w14:textId="179F081A" w:rsidR="00BC7F59" w:rsidRPr="00A041B2" w:rsidRDefault="00BC7F59" w:rsidP="000413EB">
            <w:pPr>
              <w:pStyle w:val="aa"/>
              <w:jc w:val="both"/>
              <w:rPr>
                <w:rFonts w:ascii="Arial" w:eastAsia="Arial" w:hAnsi="Arial" w:cs="Arial"/>
                <w:sz w:val="20"/>
                <w:szCs w:val="20"/>
              </w:rPr>
            </w:pPr>
            <w:r w:rsidRPr="00A041B2">
              <w:rPr>
                <w:rFonts w:ascii="Arial" w:eastAsia="Arial" w:hAnsi="Arial" w:cs="Arial"/>
                <w:sz w:val="20"/>
                <w:szCs w:val="20"/>
              </w:rPr>
              <w:t>1</w:t>
            </w:r>
            <w:r w:rsidR="000C55EE" w:rsidRPr="00A041B2">
              <w:rPr>
                <w:rFonts w:ascii="Arial" w:eastAsia="Arial" w:hAnsi="Arial" w:cs="Arial"/>
                <w:sz w:val="20"/>
                <w:szCs w:val="20"/>
              </w:rPr>
              <w:t>8</w:t>
            </w:r>
          </w:p>
        </w:tc>
        <w:tc>
          <w:tcPr>
            <w:tcW w:w="2694" w:type="dxa"/>
            <w:shd w:val="clear" w:color="auto" w:fill="auto"/>
          </w:tcPr>
          <w:p w14:paraId="36F480A5" w14:textId="77777777" w:rsidR="00BC7F59" w:rsidRPr="00A041B2" w:rsidRDefault="00BC7F59" w:rsidP="000413EB">
            <w:pPr>
              <w:jc w:val="both"/>
              <w:rPr>
                <w:rFonts w:eastAsia="Arial" w:cs="Arial"/>
                <w:bCs/>
                <w:sz w:val="20"/>
                <w:szCs w:val="20"/>
                <w:lang w:eastAsia="en-US"/>
              </w:rPr>
            </w:pPr>
            <w:r w:rsidRPr="00A041B2">
              <w:rPr>
                <w:rFonts w:eastAsia="Arial" w:cs="Arial"/>
                <w:sz w:val="20"/>
                <w:szCs w:val="20"/>
                <w:lang w:eastAsia="en-US"/>
              </w:rPr>
              <w:t>А 5.1</w:t>
            </w:r>
            <w:r w:rsidRPr="00A041B2">
              <w:rPr>
                <w:rFonts w:eastAsia="Arial" w:cs="Arial"/>
                <w:bCs/>
                <w:sz w:val="20"/>
                <w:szCs w:val="20"/>
                <w:lang w:eastAsia="en-US"/>
              </w:rPr>
              <w:t>. Маркетингова діяльність у сфері туризму та створення конкурентних туристичних продуктів та маршрутів.</w:t>
            </w:r>
          </w:p>
          <w:p w14:paraId="5CF80159" w14:textId="49E78ECE" w:rsidR="00BC7F59" w:rsidRPr="00A041B2" w:rsidRDefault="00BC7F59" w:rsidP="000413EB">
            <w:pPr>
              <w:jc w:val="both"/>
              <w:rPr>
                <w:rFonts w:eastAsia="Arial" w:cs="Arial"/>
                <w:sz w:val="20"/>
                <w:szCs w:val="20"/>
                <w:lang w:eastAsia="en-US"/>
              </w:rPr>
            </w:pPr>
            <w:r w:rsidRPr="00A041B2">
              <w:rPr>
                <w:rFonts w:eastAsia="Arial" w:cs="Arial"/>
                <w:sz w:val="20"/>
                <w:szCs w:val="20"/>
                <w:lang w:eastAsia="en-US"/>
              </w:rPr>
              <w:t xml:space="preserve">А 5.2. Розвиток туристичної інфраструктури, </w:t>
            </w:r>
            <w:r w:rsidR="00177957" w:rsidRPr="00A041B2">
              <w:rPr>
                <w:rFonts w:eastAsia="Arial" w:cs="Arial"/>
                <w:sz w:val="20"/>
                <w:szCs w:val="20"/>
                <w:lang w:eastAsia="en-US"/>
              </w:rPr>
              <w:t>брендінг</w:t>
            </w:r>
            <w:r w:rsidRPr="00A041B2">
              <w:rPr>
                <w:rFonts w:eastAsia="Arial" w:cs="Arial"/>
                <w:sz w:val="20"/>
                <w:szCs w:val="20"/>
                <w:lang w:eastAsia="en-US"/>
              </w:rPr>
              <w:t xml:space="preserve"> та промоція.</w:t>
            </w:r>
          </w:p>
        </w:tc>
        <w:tc>
          <w:tcPr>
            <w:tcW w:w="2551" w:type="dxa"/>
            <w:shd w:val="clear" w:color="auto" w:fill="auto"/>
          </w:tcPr>
          <w:p w14:paraId="31589125" w14:textId="77777777" w:rsidR="00BC7F59" w:rsidRPr="00A041B2" w:rsidRDefault="00BC7F59" w:rsidP="000413EB">
            <w:pPr>
              <w:pBdr>
                <w:left w:val="single" w:sz="18" w:space="4" w:color="auto"/>
              </w:pBdr>
              <w:jc w:val="both"/>
              <w:rPr>
                <w:rFonts w:eastAsia="Arial" w:cs="Arial"/>
                <w:sz w:val="20"/>
                <w:szCs w:val="20"/>
                <w:lang w:eastAsia="en-US"/>
              </w:rPr>
            </w:pPr>
            <w:r w:rsidRPr="00A041B2">
              <w:rPr>
                <w:rFonts w:eastAsia="Arial" w:cs="Arial"/>
                <w:sz w:val="20"/>
                <w:szCs w:val="20"/>
                <w:lang w:eastAsia="en-US"/>
              </w:rPr>
              <w:t>А.5.1.4. Створення туристично привабливих об’єктів</w:t>
            </w:r>
          </w:p>
        </w:tc>
        <w:tc>
          <w:tcPr>
            <w:tcW w:w="2835" w:type="dxa"/>
            <w:shd w:val="clear" w:color="auto" w:fill="auto"/>
          </w:tcPr>
          <w:p w14:paraId="2DC4FBCE" w14:textId="77777777" w:rsidR="00BC7F59" w:rsidRPr="00A041B2" w:rsidRDefault="00BC7F59" w:rsidP="000413EB">
            <w:pPr>
              <w:jc w:val="both"/>
              <w:rPr>
                <w:rFonts w:cs="Arial"/>
                <w:sz w:val="20"/>
                <w:szCs w:val="20"/>
                <w:lang w:eastAsia="it-IT"/>
              </w:rPr>
            </w:pPr>
            <w:r w:rsidRPr="00A041B2">
              <w:rPr>
                <w:rFonts w:cs="Arial"/>
                <w:sz w:val="20"/>
                <w:szCs w:val="20"/>
                <w:lang w:eastAsia="it-IT"/>
              </w:rPr>
              <w:t>«Кармелюків край: спадок нескореного духу»</w:t>
            </w:r>
          </w:p>
          <w:p w14:paraId="78FCCC9F" w14:textId="77777777" w:rsidR="00BC7F59" w:rsidRPr="00A041B2" w:rsidRDefault="00BC7F59" w:rsidP="000413EB">
            <w:pPr>
              <w:jc w:val="both"/>
              <w:rPr>
                <w:rFonts w:eastAsia="Arial" w:cs="Arial"/>
                <w:sz w:val="20"/>
                <w:szCs w:val="20"/>
                <w:lang w:eastAsia="en-US"/>
              </w:rPr>
            </w:pPr>
            <w:r w:rsidRPr="00A041B2">
              <w:rPr>
                <w:rFonts w:eastAsia="Arial" w:cs="Arial"/>
                <w:w w:val="105"/>
                <w:sz w:val="20"/>
                <w:szCs w:val="20"/>
                <w:lang w:eastAsia="en-US"/>
              </w:rPr>
              <w:t>реалізація</w:t>
            </w:r>
            <w:r w:rsidRPr="00A041B2">
              <w:rPr>
                <w:rFonts w:eastAsia="Arial" w:cs="Arial"/>
                <w:spacing w:val="57"/>
                <w:w w:val="105"/>
                <w:sz w:val="20"/>
                <w:szCs w:val="20"/>
                <w:lang w:eastAsia="en-US"/>
              </w:rPr>
              <w:t xml:space="preserve"> </w:t>
            </w:r>
            <w:r w:rsidRPr="00A041B2">
              <w:rPr>
                <w:rFonts w:eastAsia="Arial" w:cs="Arial"/>
                <w:spacing w:val="-2"/>
                <w:w w:val="105"/>
                <w:sz w:val="20"/>
                <w:szCs w:val="20"/>
                <w:lang w:eastAsia="en-US"/>
              </w:rPr>
              <w:t>триває</w:t>
            </w:r>
          </w:p>
        </w:tc>
        <w:tc>
          <w:tcPr>
            <w:tcW w:w="1276" w:type="dxa"/>
            <w:shd w:val="clear" w:color="auto" w:fill="auto"/>
          </w:tcPr>
          <w:p w14:paraId="1542F836"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sz w:val="20"/>
                <w:szCs w:val="20"/>
                <w:lang w:eastAsia="en-US"/>
              </w:rPr>
            </w:pPr>
            <w:r w:rsidRPr="00A041B2">
              <w:rPr>
                <w:rFonts w:eastAsia="Arial" w:cs="Arial"/>
                <w:sz w:val="20"/>
                <w:szCs w:val="20"/>
                <w:lang w:eastAsia="en-US"/>
              </w:rPr>
              <w:t xml:space="preserve">2025- 2028 </w:t>
            </w:r>
          </w:p>
        </w:tc>
        <w:tc>
          <w:tcPr>
            <w:tcW w:w="2345" w:type="dxa"/>
            <w:shd w:val="clear" w:color="auto" w:fill="auto"/>
          </w:tcPr>
          <w:p w14:paraId="665251D9" w14:textId="77777777" w:rsidR="00177957" w:rsidRPr="00A041B2" w:rsidRDefault="00BC7F59" w:rsidP="00177957">
            <w:pPr>
              <w:widowControl w:val="0"/>
              <w:tabs>
                <w:tab w:val="left" w:pos="5829"/>
                <w:tab w:val="left" w:pos="9720"/>
                <w:tab w:val="left" w:pos="10357"/>
              </w:tabs>
              <w:autoSpaceDE w:val="0"/>
              <w:autoSpaceDN w:val="0"/>
              <w:spacing w:after="60"/>
              <w:jc w:val="both"/>
              <w:rPr>
                <w:rFonts w:eastAsia="Arial" w:cs="Arial"/>
                <w:sz w:val="20"/>
                <w:szCs w:val="20"/>
                <w:lang w:eastAsia="en-US"/>
              </w:rPr>
            </w:pPr>
            <w:r w:rsidRPr="00A041B2">
              <w:rPr>
                <w:rFonts w:eastAsia="Arial" w:cs="Arial"/>
                <w:sz w:val="20"/>
                <w:szCs w:val="20"/>
                <w:lang w:eastAsia="en-US"/>
              </w:rPr>
              <w:t xml:space="preserve">Управління культури і туризму міської ради, </w:t>
            </w:r>
          </w:p>
          <w:p w14:paraId="7B48A887" w14:textId="77777777" w:rsidR="00177957" w:rsidRPr="00A041B2" w:rsidRDefault="00BC7F59" w:rsidP="00177957">
            <w:pPr>
              <w:widowControl w:val="0"/>
              <w:tabs>
                <w:tab w:val="left" w:pos="5829"/>
                <w:tab w:val="left" w:pos="9720"/>
                <w:tab w:val="left" w:pos="10357"/>
              </w:tabs>
              <w:autoSpaceDE w:val="0"/>
              <w:autoSpaceDN w:val="0"/>
              <w:spacing w:after="60"/>
              <w:jc w:val="both"/>
              <w:rPr>
                <w:rFonts w:eastAsia="Arial" w:cs="Arial"/>
                <w:sz w:val="20"/>
                <w:szCs w:val="20"/>
                <w:lang w:eastAsia="en-US"/>
              </w:rPr>
            </w:pPr>
            <w:r w:rsidRPr="00A041B2">
              <w:rPr>
                <w:rFonts w:eastAsia="Arial" w:cs="Arial"/>
                <w:sz w:val="20"/>
                <w:szCs w:val="20"/>
                <w:lang w:eastAsia="en-US"/>
              </w:rPr>
              <w:t xml:space="preserve">КЗ «Центр культури і дозвілля» Жмеринської міської ТГ. </w:t>
            </w:r>
          </w:p>
          <w:p w14:paraId="4538DA40" w14:textId="7851F59E" w:rsidR="00BC7F59" w:rsidRPr="00A041B2" w:rsidRDefault="00BC7F59" w:rsidP="00177957">
            <w:pPr>
              <w:widowControl w:val="0"/>
              <w:tabs>
                <w:tab w:val="left" w:pos="5829"/>
                <w:tab w:val="left" w:pos="9720"/>
                <w:tab w:val="left" w:pos="10357"/>
              </w:tabs>
              <w:autoSpaceDE w:val="0"/>
              <w:autoSpaceDN w:val="0"/>
              <w:spacing w:after="60"/>
              <w:jc w:val="both"/>
              <w:rPr>
                <w:rFonts w:eastAsia="Arial" w:cs="Arial"/>
                <w:sz w:val="20"/>
                <w:szCs w:val="20"/>
                <w:lang w:eastAsia="en-US"/>
              </w:rPr>
            </w:pPr>
            <w:r w:rsidRPr="00A041B2">
              <w:rPr>
                <w:rFonts w:eastAsia="Arial" w:cs="Arial"/>
                <w:sz w:val="20"/>
                <w:szCs w:val="20"/>
                <w:lang w:eastAsia="en-US"/>
              </w:rPr>
              <w:t>Клубні заклади громади.</w:t>
            </w:r>
          </w:p>
        </w:tc>
        <w:tc>
          <w:tcPr>
            <w:tcW w:w="2900" w:type="dxa"/>
            <w:shd w:val="clear" w:color="auto" w:fill="auto"/>
          </w:tcPr>
          <w:p w14:paraId="3119B0A7" w14:textId="65DBE0AA" w:rsidR="00BC7F59" w:rsidRPr="00A041B2" w:rsidRDefault="00BC7F59" w:rsidP="00177957">
            <w:pPr>
              <w:spacing w:after="60"/>
              <w:jc w:val="both"/>
              <w:rPr>
                <w:rFonts w:cs="Arial"/>
                <w:sz w:val="20"/>
                <w:szCs w:val="20"/>
                <w:lang w:eastAsia="it-IT"/>
              </w:rPr>
            </w:pPr>
            <w:r w:rsidRPr="00A041B2">
              <w:rPr>
                <w:rFonts w:cs="Arial"/>
                <w:sz w:val="20"/>
                <w:szCs w:val="20"/>
                <w:lang w:eastAsia="it-IT"/>
              </w:rPr>
              <w:t xml:space="preserve">Відновлено 1 пам’ятник. Облаштовано сквер з елементами благоустрою. Відремонтовано 1 музей, оновлено експозицію повністю. Прокладено 1 туристичний маршрут до печери. Створено 3D-модель та 500 примірників буклетів. Проведено щонайменше 1 фестиваль </w:t>
            </w:r>
            <w:r w:rsidRPr="00A041B2">
              <w:rPr>
                <w:rFonts w:cs="Arial"/>
                <w:sz w:val="20"/>
                <w:szCs w:val="20"/>
                <w:lang w:eastAsia="it-IT"/>
              </w:rPr>
              <w:lastRenderedPageBreak/>
              <w:t>на відкритті. Очікувана кількість туристів – понад 3000 осіб/рік. Молодь, залучена до реалізації – не менше 20 осіб</w:t>
            </w:r>
            <w:r w:rsidR="00097D39">
              <w:rPr>
                <w:rFonts w:cs="Arial"/>
                <w:sz w:val="20"/>
                <w:szCs w:val="20"/>
                <w:lang w:eastAsia="it-IT"/>
              </w:rPr>
              <w:t>.</w:t>
            </w:r>
          </w:p>
        </w:tc>
      </w:tr>
      <w:tr w:rsidR="00BC7F59" w:rsidRPr="00A041B2" w14:paraId="53EBF262" w14:textId="77777777" w:rsidTr="000413EB">
        <w:tc>
          <w:tcPr>
            <w:tcW w:w="567" w:type="dxa"/>
            <w:shd w:val="clear" w:color="auto" w:fill="auto"/>
          </w:tcPr>
          <w:p w14:paraId="694F7324" w14:textId="542DA82A" w:rsidR="00BC7F59" w:rsidRPr="00A041B2" w:rsidRDefault="00BC7F59" w:rsidP="000413EB">
            <w:pPr>
              <w:pStyle w:val="aa"/>
              <w:jc w:val="both"/>
              <w:rPr>
                <w:rFonts w:ascii="Arial" w:eastAsia="Arial" w:hAnsi="Arial" w:cs="Arial"/>
                <w:sz w:val="20"/>
                <w:szCs w:val="20"/>
              </w:rPr>
            </w:pPr>
            <w:r w:rsidRPr="00A041B2">
              <w:rPr>
                <w:rFonts w:ascii="Arial" w:eastAsia="Arial" w:hAnsi="Arial" w:cs="Arial"/>
                <w:sz w:val="20"/>
                <w:szCs w:val="20"/>
              </w:rPr>
              <w:lastRenderedPageBreak/>
              <w:t>1</w:t>
            </w:r>
            <w:r w:rsidR="000C55EE" w:rsidRPr="00A041B2">
              <w:rPr>
                <w:rFonts w:ascii="Arial" w:eastAsia="Arial" w:hAnsi="Arial" w:cs="Arial"/>
                <w:sz w:val="20"/>
                <w:szCs w:val="20"/>
              </w:rPr>
              <w:t>9</w:t>
            </w:r>
          </w:p>
        </w:tc>
        <w:tc>
          <w:tcPr>
            <w:tcW w:w="2694" w:type="dxa"/>
            <w:shd w:val="clear" w:color="auto" w:fill="auto"/>
          </w:tcPr>
          <w:p w14:paraId="280117C0" w14:textId="77777777" w:rsidR="00BC7F59" w:rsidRPr="00A041B2" w:rsidRDefault="00BC7F59" w:rsidP="000413EB">
            <w:pPr>
              <w:jc w:val="both"/>
              <w:rPr>
                <w:rFonts w:eastAsia="Arial" w:cs="Arial"/>
                <w:sz w:val="20"/>
                <w:szCs w:val="20"/>
                <w:lang w:eastAsia="en-US"/>
              </w:rPr>
            </w:pPr>
            <w:r w:rsidRPr="00A041B2">
              <w:rPr>
                <w:rFonts w:cs="Arial"/>
                <w:sz w:val="20"/>
                <w:szCs w:val="20"/>
                <w:lang w:eastAsia="it-IT"/>
              </w:rPr>
              <w:t>А 5.1. Маркетингова діяльність у сфері туризму та створення конкурентних туристичних продуктів та маршрутів</w:t>
            </w:r>
          </w:p>
        </w:tc>
        <w:tc>
          <w:tcPr>
            <w:tcW w:w="2551" w:type="dxa"/>
            <w:shd w:val="clear" w:color="auto" w:fill="auto"/>
          </w:tcPr>
          <w:p w14:paraId="4CF8FB43" w14:textId="77777777" w:rsidR="00BC7F59" w:rsidRPr="00A041B2" w:rsidRDefault="00BC7F59" w:rsidP="000413EB">
            <w:pPr>
              <w:jc w:val="both"/>
              <w:rPr>
                <w:rFonts w:eastAsia="Arial" w:cs="Arial"/>
                <w:sz w:val="20"/>
                <w:szCs w:val="20"/>
                <w:lang w:eastAsia="en-US"/>
              </w:rPr>
            </w:pPr>
            <w:r w:rsidRPr="00A041B2">
              <w:rPr>
                <w:rFonts w:cs="Arial"/>
                <w:sz w:val="20"/>
                <w:szCs w:val="20"/>
              </w:rPr>
              <w:t xml:space="preserve">А.5.1.5. </w:t>
            </w:r>
            <w:r w:rsidRPr="00A041B2">
              <w:rPr>
                <w:rFonts w:eastAsia="Lucida Sans Unicode" w:cs="Arial"/>
                <w:kern w:val="1"/>
                <w:sz w:val="20"/>
                <w:szCs w:val="20"/>
                <w:lang w:eastAsia="it-IT"/>
              </w:rPr>
              <w:t xml:space="preserve">Популяризація творчості відомого мікромініатюриста </w:t>
            </w:r>
            <w:r w:rsidRPr="00A041B2">
              <w:rPr>
                <w:rFonts w:eastAsia="Lucida Sans Unicode" w:cs="Arial"/>
                <w:kern w:val="1"/>
                <w:sz w:val="20"/>
                <w:szCs w:val="20"/>
                <w:shd w:val="clear" w:color="auto" w:fill="FFFFFF"/>
                <w:lang w:eastAsia="ar-SA"/>
              </w:rPr>
              <w:t>М. Маслюка.</w:t>
            </w:r>
          </w:p>
        </w:tc>
        <w:tc>
          <w:tcPr>
            <w:tcW w:w="2835" w:type="dxa"/>
            <w:shd w:val="clear" w:color="auto" w:fill="auto"/>
          </w:tcPr>
          <w:p w14:paraId="06CC235E" w14:textId="77777777" w:rsidR="00BC7F59" w:rsidRPr="00A041B2" w:rsidRDefault="00BC7F59" w:rsidP="000413EB">
            <w:pPr>
              <w:jc w:val="both"/>
              <w:rPr>
                <w:rFonts w:cs="Arial"/>
                <w:sz w:val="20"/>
                <w:szCs w:val="20"/>
                <w:lang w:eastAsia="it-IT"/>
              </w:rPr>
            </w:pPr>
            <w:r w:rsidRPr="00A041B2">
              <w:rPr>
                <w:rFonts w:cs="Arial"/>
                <w:sz w:val="20"/>
                <w:szCs w:val="20"/>
                <w:lang w:eastAsia="it-IT"/>
              </w:rPr>
              <w:t>«Заповіт великого майстра: розвиток культурного туризму та музеєфікація спадщини М. Г. Маслюка»</w:t>
            </w:r>
          </w:p>
          <w:p w14:paraId="60758172" w14:textId="77777777" w:rsidR="00BC7F59" w:rsidRPr="00A041B2" w:rsidRDefault="00BC7F59" w:rsidP="000413EB">
            <w:pPr>
              <w:jc w:val="both"/>
              <w:rPr>
                <w:rFonts w:eastAsia="Arial" w:cs="Arial"/>
                <w:sz w:val="20"/>
                <w:szCs w:val="20"/>
                <w:lang w:eastAsia="en-US"/>
              </w:rPr>
            </w:pPr>
            <w:r w:rsidRPr="00A041B2">
              <w:rPr>
                <w:rFonts w:eastAsia="Arial" w:cs="Arial"/>
                <w:w w:val="105"/>
                <w:sz w:val="20"/>
                <w:szCs w:val="20"/>
                <w:lang w:eastAsia="en-US"/>
              </w:rPr>
              <w:t>реалізація</w:t>
            </w:r>
            <w:r w:rsidRPr="00A041B2">
              <w:rPr>
                <w:rFonts w:eastAsia="Arial" w:cs="Arial"/>
                <w:spacing w:val="57"/>
                <w:w w:val="105"/>
                <w:sz w:val="20"/>
                <w:szCs w:val="20"/>
                <w:lang w:eastAsia="en-US"/>
              </w:rPr>
              <w:t xml:space="preserve"> </w:t>
            </w:r>
            <w:r w:rsidRPr="00A041B2">
              <w:rPr>
                <w:rFonts w:eastAsia="Arial" w:cs="Arial"/>
                <w:spacing w:val="-2"/>
                <w:w w:val="105"/>
                <w:sz w:val="20"/>
                <w:szCs w:val="20"/>
                <w:lang w:eastAsia="en-US"/>
              </w:rPr>
              <w:t>триває</w:t>
            </w:r>
          </w:p>
        </w:tc>
        <w:tc>
          <w:tcPr>
            <w:tcW w:w="1276" w:type="dxa"/>
            <w:shd w:val="clear" w:color="auto" w:fill="auto"/>
          </w:tcPr>
          <w:p w14:paraId="16F3EA61"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sz w:val="20"/>
                <w:szCs w:val="20"/>
                <w:lang w:eastAsia="en-US"/>
              </w:rPr>
            </w:pPr>
            <w:r w:rsidRPr="00A041B2">
              <w:rPr>
                <w:rFonts w:eastAsia="Arial" w:cs="Arial"/>
                <w:sz w:val="20"/>
                <w:szCs w:val="20"/>
                <w:lang w:eastAsia="en-US"/>
              </w:rPr>
              <w:t>2025- 2028</w:t>
            </w:r>
          </w:p>
        </w:tc>
        <w:tc>
          <w:tcPr>
            <w:tcW w:w="2345" w:type="dxa"/>
            <w:shd w:val="clear" w:color="auto" w:fill="auto"/>
          </w:tcPr>
          <w:p w14:paraId="4EF10260" w14:textId="77777777" w:rsidR="00177957" w:rsidRPr="00A041B2" w:rsidRDefault="00BC7F59" w:rsidP="00177957">
            <w:pPr>
              <w:spacing w:after="60"/>
              <w:jc w:val="both"/>
              <w:rPr>
                <w:rFonts w:cs="Arial"/>
                <w:sz w:val="20"/>
                <w:szCs w:val="20"/>
                <w:lang w:eastAsia="it-IT"/>
              </w:rPr>
            </w:pPr>
            <w:r w:rsidRPr="00A041B2">
              <w:rPr>
                <w:rFonts w:cs="Arial"/>
                <w:sz w:val="20"/>
                <w:szCs w:val="20"/>
                <w:lang w:eastAsia="it-IT"/>
              </w:rPr>
              <w:t>Управління культури і туризму Жмеринської міської ради спільно з</w:t>
            </w:r>
          </w:p>
          <w:p w14:paraId="2673374C" w14:textId="4341D0B8" w:rsidR="00BC7F59" w:rsidRPr="00A041B2" w:rsidRDefault="00BC7F59" w:rsidP="00177957">
            <w:pPr>
              <w:spacing w:after="60"/>
              <w:jc w:val="both"/>
              <w:rPr>
                <w:rFonts w:eastAsia="Arial" w:cs="Arial"/>
                <w:sz w:val="20"/>
                <w:szCs w:val="20"/>
                <w:lang w:eastAsia="en-US"/>
              </w:rPr>
            </w:pPr>
            <w:r w:rsidRPr="00A041B2">
              <w:rPr>
                <w:rFonts w:cs="Arial"/>
                <w:sz w:val="20"/>
                <w:szCs w:val="20"/>
                <w:lang w:eastAsia="it-IT"/>
              </w:rPr>
              <w:t xml:space="preserve"> КЗ «Міський історичний музей»</w:t>
            </w:r>
          </w:p>
        </w:tc>
        <w:tc>
          <w:tcPr>
            <w:tcW w:w="2900" w:type="dxa"/>
            <w:shd w:val="clear" w:color="auto" w:fill="auto"/>
          </w:tcPr>
          <w:p w14:paraId="2D1D30F5" w14:textId="063622A6" w:rsidR="00BC7F59" w:rsidRPr="00A041B2" w:rsidRDefault="00BC7F59" w:rsidP="00177957">
            <w:pPr>
              <w:spacing w:after="60"/>
              <w:jc w:val="both"/>
              <w:rPr>
                <w:rFonts w:eastAsia="Arial" w:cs="Arial"/>
                <w:sz w:val="20"/>
                <w:szCs w:val="20"/>
                <w:lang w:eastAsia="en-US"/>
              </w:rPr>
            </w:pPr>
            <w:r w:rsidRPr="00A041B2">
              <w:rPr>
                <w:rFonts w:cs="Arial"/>
                <w:sz w:val="20"/>
                <w:szCs w:val="20"/>
                <w:lang w:eastAsia="it-IT"/>
              </w:rPr>
              <w:t>Проведено щонайменше 20 виставок і понад 100 екскурсій щорічно. Видано: 50 буклетів, 40 комплектів листівок. Виготовлено та встановлено 5 моделей робіт Маслюка в мікрорайонах міста. Проведено щорічний конкурс «Цілий світ на твоїй долоні». Зростання кількості туристів та відвідувачів музею в 2 рази. Установлено відеоспостереження та сенсорну панель. Каталогізовано мікромініатюри майстра. Вивчення спадщини Маслюка включено до шкільних екскурсій</w:t>
            </w:r>
            <w:r w:rsidR="00097D39">
              <w:rPr>
                <w:rFonts w:cs="Arial"/>
                <w:sz w:val="20"/>
                <w:szCs w:val="20"/>
                <w:lang w:eastAsia="it-IT"/>
              </w:rPr>
              <w:t>.</w:t>
            </w:r>
          </w:p>
        </w:tc>
      </w:tr>
      <w:tr w:rsidR="00BC7F59" w:rsidRPr="00A041B2" w14:paraId="36DD2098" w14:textId="77777777" w:rsidTr="000413EB">
        <w:tc>
          <w:tcPr>
            <w:tcW w:w="567" w:type="dxa"/>
            <w:shd w:val="clear" w:color="auto" w:fill="auto"/>
          </w:tcPr>
          <w:p w14:paraId="1DBE691A" w14:textId="2531A009" w:rsidR="00BC7F59" w:rsidRPr="00A041B2" w:rsidRDefault="000C55EE" w:rsidP="000413EB">
            <w:pPr>
              <w:pStyle w:val="aa"/>
              <w:jc w:val="both"/>
              <w:rPr>
                <w:rFonts w:ascii="Arial" w:eastAsia="Arial" w:hAnsi="Arial" w:cs="Arial"/>
                <w:sz w:val="20"/>
                <w:szCs w:val="20"/>
              </w:rPr>
            </w:pPr>
            <w:r w:rsidRPr="00A041B2">
              <w:rPr>
                <w:rFonts w:ascii="Arial" w:eastAsia="Arial" w:hAnsi="Arial" w:cs="Arial"/>
                <w:sz w:val="20"/>
                <w:szCs w:val="20"/>
              </w:rPr>
              <w:t>20</w:t>
            </w:r>
          </w:p>
        </w:tc>
        <w:tc>
          <w:tcPr>
            <w:tcW w:w="2694" w:type="dxa"/>
            <w:shd w:val="clear" w:color="auto" w:fill="auto"/>
          </w:tcPr>
          <w:p w14:paraId="2CD2D992" w14:textId="66DD5CF4" w:rsidR="00BC7F59" w:rsidRPr="00A041B2" w:rsidRDefault="00BC7F59" w:rsidP="000413EB">
            <w:pPr>
              <w:pBdr>
                <w:left w:val="single" w:sz="18" w:space="4" w:color="auto"/>
              </w:pBdr>
              <w:jc w:val="both"/>
              <w:rPr>
                <w:rFonts w:cs="Arial"/>
                <w:iCs/>
                <w:sz w:val="20"/>
                <w:szCs w:val="20"/>
                <w:lang w:eastAsia="it-IT"/>
              </w:rPr>
            </w:pPr>
            <w:r w:rsidRPr="00A041B2">
              <w:rPr>
                <w:rFonts w:cs="Arial"/>
                <w:iCs/>
                <w:sz w:val="20"/>
                <w:szCs w:val="20"/>
                <w:lang w:eastAsia="it-IT"/>
              </w:rPr>
              <w:t xml:space="preserve">А 5.3. Розвиток </w:t>
            </w:r>
            <w:r w:rsidR="00541BDD" w:rsidRPr="00A041B2">
              <w:rPr>
                <w:rFonts w:cs="Arial"/>
                <w:iCs/>
                <w:sz w:val="20"/>
                <w:szCs w:val="20"/>
                <w:lang w:eastAsia="it-IT"/>
              </w:rPr>
              <w:t>«</w:t>
            </w:r>
            <w:r w:rsidRPr="00A041B2">
              <w:rPr>
                <w:rFonts w:cs="Arial"/>
                <w:iCs/>
                <w:sz w:val="20"/>
                <w:szCs w:val="20"/>
                <w:lang w:eastAsia="it-IT"/>
              </w:rPr>
              <w:t>зеленого</w:t>
            </w:r>
            <w:r w:rsidR="00541BDD" w:rsidRPr="00A041B2">
              <w:rPr>
                <w:rFonts w:cs="Arial"/>
                <w:iCs/>
                <w:sz w:val="20"/>
                <w:szCs w:val="20"/>
                <w:lang w:eastAsia="it-IT"/>
              </w:rPr>
              <w:t>»</w:t>
            </w:r>
            <w:r w:rsidRPr="00A041B2">
              <w:rPr>
                <w:rFonts w:cs="Arial"/>
                <w:iCs/>
                <w:sz w:val="20"/>
                <w:szCs w:val="20"/>
                <w:lang w:eastAsia="it-IT"/>
              </w:rPr>
              <w:t xml:space="preserve"> туризму.</w:t>
            </w:r>
          </w:p>
          <w:p w14:paraId="2FF188B0"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sz w:val="20"/>
                <w:szCs w:val="20"/>
                <w:lang w:eastAsia="en-US"/>
              </w:rPr>
            </w:pPr>
          </w:p>
        </w:tc>
        <w:tc>
          <w:tcPr>
            <w:tcW w:w="2551" w:type="dxa"/>
            <w:shd w:val="clear" w:color="auto" w:fill="auto"/>
          </w:tcPr>
          <w:p w14:paraId="601588D3" w14:textId="77777777" w:rsidR="00BC7F59" w:rsidRPr="00A041B2" w:rsidRDefault="00BC7F59" w:rsidP="000413EB">
            <w:pPr>
              <w:suppressAutoHyphens/>
              <w:jc w:val="both"/>
              <w:rPr>
                <w:rFonts w:eastAsia="Lucida Sans Unicode" w:cs="Arial"/>
                <w:kern w:val="1"/>
                <w:sz w:val="20"/>
                <w:szCs w:val="20"/>
                <w:lang w:eastAsia="ar-SA"/>
              </w:rPr>
            </w:pPr>
            <w:r w:rsidRPr="00A041B2">
              <w:rPr>
                <w:rFonts w:cs="Arial"/>
                <w:sz w:val="20"/>
                <w:szCs w:val="20"/>
              </w:rPr>
              <w:t xml:space="preserve">А.5.3.5. </w:t>
            </w:r>
            <w:r w:rsidRPr="00A041B2">
              <w:rPr>
                <w:rFonts w:eastAsia="Arial" w:cs="Arial"/>
                <w:kern w:val="1"/>
                <w:sz w:val="20"/>
                <w:szCs w:val="20"/>
              </w:rPr>
              <w:t>Відтворення домашньої української кухні, виготовлення страв та проведення</w:t>
            </w:r>
            <w:r w:rsidRPr="00A041B2">
              <w:rPr>
                <w:rFonts w:eastAsia="Arial" w:cs="Arial"/>
                <w:spacing w:val="-1"/>
                <w:kern w:val="1"/>
                <w:sz w:val="20"/>
                <w:szCs w:val="20"/>
              </w:rPr>
              <w:t xml:space="preserve"> </w:t>
            </w:r>
            <w:r w:rsidRPr="00A041B2">
              <w:rPr>
                <w:rFonts w:eastAsia="Arial" w:cs="Arial"/>
                <w:kern w:val="1"/>
                <w:sz w:val="20"/>
                <w:szCs w:val="20"/>
              </w:rPr>
              <w:t>майстер-класів.</w:t>
            </w:r>
          </w:p>
          <w:p w14:paraId="352EEC08"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sz w:val="20"/>
                <w:szCs w:val="20"/>
                <w:lang w:eastAsia="en-US"/>
              </w:rPr>
            </w:pPr>
          </w:p>
        </w:tc>
        <w:tc>
          <w:tcPr>
            <w:tcW w:w="2835" w:type="dxa"/>
            <w:shd w:val="clear" w:color="auto" w:fill="auto"/>
          </w:tcPr>
          <w:p w14:paraId="6421BF87" w14:textId="77777777" w:rsidR="00BC7F59" w:rsidRPr="00A041B2" w:rsidRDefault="00BC7F59" w:rsidP="000413EB">
            <w:pPr>
              <w:jc w:val="both"/>
              <w:rPr>
                <w:rFonts w:cs="Arial"/>
                <w:sz w:val="20"/>
                <w:szCs w:val="20"/>
                <w:lang w:eastAsia="it-IT"/>
              </w:rPr>
            </w:pPr>
            <w:r w:rsidRPr="00A041B2">
              <w:rPr>
                <w:rFonts w:cs="Arial"/>
                <w:sz w:val="20"/>
                <w:szCs w:val="20"/>
                <w:lang w:eastAsia="it-IT"/>
              </w:rPr>
              <w:t>Українська народна кухня – культурна спадщина нашого народу</w:t>
            </w:r>
          </w:p>
          <w:p w14:paraId="7DBD88F6" w14:textId="77777777" w:rsidR="00BC7F59" w:rsidRPr="00A041B2" w:rsidRDefault="00BC7F59" w:rsidP="000413EB">
            <w:pPr>
              <w:jc w:val="both"/>
              <w:rPr>
                <w:rFonts w:eastAsia="Arial" w:cs="Arial"/>
                <w:sz w:val="20"/>
                <w:szCs w:val="20"/>
                <w:lang w:eastAsia="en-US"/>
              </w:rPr>
            </w:pPr>
            <w:r w:rsidRPr="00A041B2">
              <w:rPr>
                <w:rFonts w:eastAsia="Arial" w:cs="Arial"/>
                <w:w w:val="105"/>
                <w:sz w:val="20"/>
                <w:szCs w:val="20"/>
                <w:lang w:eastAsia="en-US"/>
              </w:rPr>
              <w:t>реалізація</w:t>
            </w:r>
            <w:r w:rsidRPr="00A041B2">
              <w:rPr>
                <w:rFonts w:eastAsia="Arial" w:cs="Arial"/>
                <w:spacing w:val="57"/>
                <w:w w:val="105"/>
                <w:sz w:val="20"/>
                <w:szCs w:val="20"/>
                <w:lang w:eastAsia="en-US"/>
              </w:rPr>
              <w:t xml:space="preserve"> </w:t>
            </w:r>
            <w:r w:rsidRPr="00A041B2">
              <w:rPr>
                <w:rFonts w:eastAsia="Arial" w:cs="Arial"/>
                <w:spacing w:val="-2"/>
                <w:w w:val="105"/>
                <w:sz w:val="20"/>
                <w:szCs w:val="20"/>
                <w:lang w:eastAsia="en-US"/>
              </w:rPr>
              <w:t>триває</w:t>
            </w:r>
          </w:p>
        </w:tc>
        <w:tc>
          <w:tcPr>
            <w:tcW w:w="1276" w:type="dxa"/>
            <w:shd w:val="clear" w:color="auto" w:fill="auto"/>
          </w:tcPr>
          <w:p w14:paraId="6B3C4D49"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sz w:val="20"/>
                <w:szCs w:val="20"/>
                <w:lang w:eastAsia="en-US"/>
              </w:rPr>
            </w:pPr>
            <w:r w:rsidRPr="00A041B2">
              <w:rPr>
                <w:rFonts w:eastAsia="Arial" w:cs="Arial"/>
                <w:sz w:val="20"/>
                <w:szCs w:val="20"/>
                <w:lang w:eastAsia="en-US"/>
              </w:rPr>
              <w:t>2025- 2028</w:t>
            </w:r>
          </w:p>
        </w:tc>
        <w:tc>
          <w:tcPr>
            <w:tcW w:w="2345" w:type="dxa"/>
            <w:shd w:val="clear" w:color="auto" w:fill="auto"/>
          </w:tcPr>
          <w:p w14:paraId="036DD68B" w14:textId="77777777" w:rsidR="00BC7F59" w:rsidRPr="00A041B2" w:rsidRDefault="00BC7F59" w:rsidP="00177957">
            <w:pPr>
              <w:spacing w:after="60"/>
              <w:jc w:val="both"/>
              <w:rPr>
                <w:rFonts w:cs="Arial"/>
                <w:sz w:val="20"/>
                <w:szCs w:val="20"/>
                <w:lang w:eastAsia="it-IT"/>
              </w:rPr>
            </w:pPr>
            <w:r w:rsidRPr="00A041B2">
              <w:rPr>
                <w:rFonts w:cs="Arial"/>
                <w:sz w:val="20"/>
                <w:szCs w:val="20"/>
                <w:lang w:eastAsia="it-IT"/>
              </w:rPr>
              <w:t>Управління культури і туризму Жмеринської міської ради,</w:t>
            </w:r>
          </w:p>
          <w:p w14:paraId="27CC5110" w14:textId="77777777" w:rsidR="00BC7F59" w:rsidRPr="00A041B2" w:rsidRDefault="00BC7F59" w:rsidP="00177957">
            <w:pPr>
              <w:spacing w:after="60"/>
              <w:jc w:val="both"/>
              <w:rPr>
                <w:rFonts w:cs="Arial"/>
                <w:sz w:val="20"/>
                <w:szCs w:val="20"/>
                <w:lang w:eastAsia="it-IT"/>
              </w:rPr>
            </w:pPr>
            <w:r w:rsidRPr="00A041B2">
              <w:rPr>
                <w:rFonts w:cs="Arial"/>
                <w:sz w:val="20"/>
                <w:szCs w:val="20"/>
                <w:lang w:eastAsia="it-IT"/>
              </w:rPr>
              <w:t>КЗ «Центр культури і дозвілля» Жмеринської міської ТГ</w:t>
            </w:r>
          </w:p>
          <w:p w14:paraId="644E9FFD" w14:textId="77777777" w:rsidR="00BC7F59" w:rsidRPr="00A041B2" w:rsidRDefault="00BC7F59" w:rsidP="00177957">
            <w:pPr>
              <w:spacing w:after="60"/>
              <w:jc w:val="both"/>
              <w:rPr>
                <w:rFonts w:eastAsia="Arial" w:cs="Arial"/>
                <w:sz w:val="20"/>
                <w:szCs w:val="20"/>
                <w:lang w:eastAsia="en-US"/>
              </w:rPr>
            </w:pPr>
          </w:p>
        </w:tc>
        <w:tc>
          <w:tcPr>
            <w:tcW w:w="2900" w:type="dxa"/>
            <w:shd w:val="clear" w:color="auto" w:fill="auto"/>
          </w:tcPr>
          <w:p w14:paraId="375C8A32" w14:textId="456C58E0" w:rsidR="00BC7F59" w:rsidRPr="00A041B2" w:rsidRDefault="00BC7F59" w:rsidP="00177957">
            <w:pPr>
              <w:spacing w:after="60"/>
              <w:jc w:val="both"/>
              <w:rPr>
                <w:rFonts w:cs="Arial"/>
                <w:sz w:val="20"/>
                <w:szCs w:val="20"/>
                <w:lang w:eastAsia="it-IT"/>
              </w:rPr>
            </w:pPr>
            <w:r w:rsidRPr="00A041B2">
              <w:rPr>
                <w:rFonts w:cs="Arial"/>
                <w:sz w:val="20"/>
                <w:szCs w:val="20"/>
                <w:lang w:eastAsia="it-IT"/>
              </w:rPr>
              <w:t>Створено електронну та друковану збірки з традиційними рецептами. Проведено не менше 10 майстер-класів у селах громади. Підвищено туристичну привабливість громади (збільшено кількості відвідувачів на 10%)</w:t>
            </w:r>
            <w:r w:rsidR="00097D39">
              <w:rPr>
                <w:rFonts w:cs="Arial"/>
                <w:sz w:val="20"/>
                <w:szCs w:val="20"/>
                <w:lang w:eastAsia="it-IT"/>
              </w:rPr>
              <w:t>.</w:t>
            </w:r>
          </w:p>
          <w:p w14:paraId="742E7F78" w14:textId="689A6589" w:rsidR="00BC7F59" w:rsidRPr="00A041B2" w:rsidRDefault="00BC7F59" w:rsidP="00177957">
            <w:pPr>
              <w:spacing w:after="60"/>
              <w:jc w:val="both"/>
              <w:rPr>
                <w:rFonts w:cs="Arial"/>
                <w:sz w:val="20"/>
                <w:szCs w:val="20"/>
                <w:lang w:eastAsia="it-IT"/>
              </w:rPr>
            </w:pPr>
            <w:r w:rsidRPr="00A041B2">
              <w:rPr>
                <w:rFonts w:cs="Arial"/>
                <w:sz w:val="20"/>
                <w:szCs w:val="20"/>
                <w:lang w:eastAsia="it-IT"/>
              </w:rPr>
              <w:t xml:space="preserve">Створено </w:t>
            </w:r>
            <w:r w:rsidR="00541BDD" w:rsidRPr="00A041B2">
              <w:rPr>
                <w:rFonts w:cs="Arial"/>
                <w:sz w:val="20"/>
                <w:szCs w:val="20"/>
                <w:lang w:eastAsia="it-IT"/>
              </w:rPr>
              <w:t>відео презентації</w:t>
            </w:r>
            <w:r w:rsidRPr="00A041B2">
              <w:rPr>
                <w:rFonts w:cs="Arial"/>
                <w:sz w:val="20"/>
                <w:szCs w:val="20"/>
                <w:lang w:eastAsia="it-IT"/>
              </w:rPr>
              <w:t xml:space="preserve"> з мінімум 10 рецептами</w:t>
            </w:r>
            <w:r w:rsidR="00097D39">
              <w:rPr>
                <w:rFonts w:cs="Arial"/>
                <w:sz w:val="20"/>
                <w:szCs w:val="20"/>
                <w:lang w:eastAsia="it-IT"/>
              </w:rPr>
              <w:t>.</w:t>
            </w:r>
          </w:p>
        </w:tc>
      </w:tr>
      <w:tr w:rsidR="00BC7F59" w:rsidRPr="00A041B2" w14:paraId="0236B819" w14:textId="77777777" w:rsidTr="000413EB">
        <w:tc>
          <w:tcPr>
            <w:tcW w:w="567" w:type="dxa"/>
            <w:shd w:val="clear" w:color="auto" w:fill="auto"/>
          </w:tcPr>
          <w:p w14:paraId="5C3846C0" w14:textId="1EF5D280" w:rsidR="00BC7F59" w:rsidRPr="00A041B2" w:rsidRDefault="000C55EE" w:rsidP="000413EB">
            <w:pPr>
              <w:pStyle w:val="aa"/>
              <w:jc w:val="both"/>
              <w:rPr>
                <w:rFonts w:ascii="Arial" w:eastAsia="Arial" w:hAnsi="Arial" w:cs="Arial"/>
                <w:sz w:val="20"/>
                <w:szCs w:val="20"/>
              </w:rPr>
            </w:pPr>
            <w:r w:rsidRPr="00A041B2">
              <w:rPr>
                <w:rFonts w:ascii="Arial" w:eastAsia="Arial" w:hAnsi="Arial" w:cs="Arial"/>
                <w:sz w:val="20"/>
                <w:szCs w:val="20"/>
              </w:rPr>
              <w:t>21</w:t>
            </w:r>
          </w:p>
        </w:tc>
        <w:tc>
          <w:tcPr>
            <w:tcW w:w="2694" w:type="dxa"/>
            <w:shd w:val="clear" w:color="auto" w:fill="auto"/>
          </w:tcPr>
          <w:p w14:paraId="75FF244A" w14:textId="0607CBF4" w:rsidR="00BC7F59" w:rsidRPr="00A041B2" w:rsidRDefault="00BC7F59" w:rsidP="00577A56">
            <w:pPr>
              <w:rPr>
                <w:rFonts w:cs="Arial"/>
                <w:sz w:val="20"/>
                <w:szCs w:val="20"/>
                <w:lang w:eastAsia="it-IT"/>
              </w:rPr>
            </w:pPr>
            <w:r w:rsidRPr="00A041B2">
              <w:rPr>
                <w:rFonts w:cs="Arial"/>
                <w:sz w:val="20"/>
                <w:szCs w:val="20"/>
                <w:lang w:eastAsia="it-IT"/>
              </w:rPr>
              <w:t xml:space="preserve">А 5.3. Розвиток </w:t>
            </w:r>
            <w:r w:rsidR="00541BDD" w:rsidRPr="00A041B2">
              <w:rPr>
                <w:rFonts w:cs="Arial"/>
                <w:sz w:val="20"/>
                <w:szCs w:val="20"/>
                <w:lang w:eastAsia="it-IT"/>
              </w:rPr>
              <w:t>«</w:t>
            </w:r>
            <w:r w:rsidRPr="00A041B2">
              <w:rPr>
                <w:rFonts w:cs="Arial"/>
                <w:sz w:val="20"/>
                <w:szCs w:val="20"/>
                <w:lang w:eastAsia="it-IT"/>
              </w:rPr>
              <w:t>зеленого</w:t>
            </w:r>
            <w:r w:rsidR="00541BDD" w:rsidRPr="00A041B2">
              <w:rPr>
                <w:rFonts w:cs="Arial"/>
                <w:sz w:val="20"/>
                <w:szCs w:val="20"/>
                <w:lang w:eastAsia="it-IT"/>
              </w:rPr>
              <w:t>»</w:t>
            </w:r>
            <w:r w:rsidRPr="00A041B2">
              <w:rPr>
                <w:rFonts w:cs="Arial"/>
                <w:sz w:val="20"/>
                <w:szCs w:val="20"/>
                <w:lang w:eastAsia="it-IT"/>
              </w:rPr>
              <w:t xml:space="preserve"> туризму</w:t>
            </w:r>
          </w:p>
          <w:p w14:paraId="58202457" w14:textId="77777777" w:rsidR="00BC7F59" w:rsidRPr="00A041B2" w:rsidRDefault="00BC7F59" w:rsidP="000413EB">
            <w:pPr>
              <w:jc w:val="both"/>
              <w:rPr>
                <w:rFonts w:eastAsia="Arial" w:cs="Arial"/>
                <w:sz w:val="20"/>
                <w:szCs w:val="20"/>
                <w:lang w:eastAsia="en-US"/>
              </w:rPr>
            </w:pPr>
          </w:p>
        </w:tc>
        <w:tc>
          <w:tcPr>
            <w:tcW w:w="2551" w:type="dxa"/>
            <w:shd w:val="clear" w:color="auto" w:fill="auto"/>
          </w:tcPr>
          <w:p w14:paraId="641F0860" w14:textId="77777777" w:rsidR="00BC7F59" w:rsidRPr="00A041B2" w:rsidRDefault="00BC7F59" w:rsidP="000413EB">
            <w:pPr>
              <w:jc w:val="both"/>
              <w:rPr>
                <w:rFonts w:eastAsia="Arial" w:cs="Arial"/>
                <w:sz w:val="20"/>
                <w:szCs w:val="20"/>
                <w:lang w:eastAsia="en-US"/>
              </w:rPr>
            </w:pPr>
            <w:r w:rsidRPr="00A041B2">
              <w:rPr>
                <w:rFonts w:cs="Arial"/>
                <w:sz w:val="20"/>
                <w:szCs w:val="20"/>
              </w:rPr>
              <w:t xml:space="preserve">А.5.3.6. </w:t>
            </w:r>
            <w:r w:rsidRPr="00A041B2">
              <w:rPr>
                <w:rFonts w:cs="Arial"/>
                <w:sz w:val="20"/>
                <w:szCs w:val="20"/>
                <w:lang w:eastAsia="en-US"/>
              </w:rPr>
              <w:t>Створення нових туристичних маршрутів, зокрема екологічних.</w:t>
            </w:r>
          </w:p>
        </w:tc>
        <w:tc>
          <w:tcPr>
            <w:tcW w:w="2835" w:type="dxa"/>
            <w:shd w:val="clear" w:color="auto" w:fill="auto"/>
          </w:tcPr>
          <w:p w14:paraId="159144DC" w14:textId="77777777" w:rsidR="00BC7F59" w:rsidRPr="00A041B2" w:rsidRDefault="00BC7F59" w:rsidP="000413EB">
            <w:pPr>
              <w:jc w:val="both"/>
              <w:rPr>
                <w:rFonts w:cs="Arial"/>
                <w:sz w:val="20"/>
                <w:szCs w:val="20"/>
                <w:lang w:eastAsia="it-IT"/>
              </w:rPr>
            </w:pPr>
            <w:r w:rsidRPr="00A041B2">
              <w:rPr>
                <w:rFonts w:cs="Arial"/>
                <w:sz w:val="20"/>
                <w:szCs w:val="20"/>
                <w:lang w:eastAsia="it-IT"/>
              </w:rPr>
              <w:t>«Води живильної ковток – у чистоту Духовну крок»</w:t>
            </w:r>
          </w:p>
          <w:p w14:paraId="010B7AAD" w14:textId="77777777" w:rsidR="00BC7F59" w:rsidRPr="00A041B2" w:rsidRDefault="00BC7F59" w:rsidP="000413EB">
            <w:pPr>
              <w:jc w:val="both"/>
              <w:rPr>
                <w:rFonts w:cs="Arial"/>
                <w:sz w:val="20"/>
                <w:szCs w:val="20"/>
                <w:lang w:eastAsia="it-IT"/>
              </w:rPr>
            </w:pPr>
            <w:r w:rsidRPr="00A041B2">
              <w:rPr>
                <w:rFonts w:eastAsia="Arial" w:cs="Arial"/>
                <w:w w:val="105"/>
                <w:sz w:val="20"/>
                <w:szCs w:val="20"/>
                <w:lang w:eastAsia="en-US"/>
              </w:rPr>
              <w:t>реалізація</w:t>
            </w:r>
            <w:r w:rsidRPr="00A041B2">
              <w:rPr>
                <w:rFonts w:eastAsia="Arial" w:cs="Arial"/>
                <w:spacing w:val="57"/>
                <w:w w:val="105"/>
                <w:sz w:val="20"/>
                <w:szCs w:val="20"/>
                <w:lang w:eastAsia="en-US"/>
              </w:rPr>
              <w:t xml:space="preserve"> </w:t>
            </w:r>
            <w:r w:rsidRPr="00A041B2">
              <w:rPr>
                <w:rFonts w:eastAsia="Arial" w:cs="Arial"/>
                <w:spacing w:val="-2"/>
                <w:w w:val="105"/>
                <w:sz w:val="20"/>
                <w:szCs w:val="20"/>
                <w:lang w:eastAsia="en-US"/>
              </w:rPr>
              <w:t>триває</w:t>
            </w:r>
          </w:p>
        </w:tc>
        <w:tc>
          <w:tcPr>
            <w:tcW w:w="1276" w:type="dxa"/>
            <w:shd w:val="clear" w:color="auto" w:fill="auto"/>
          </w:tcPr>
          <w:p w14:paraId="306DEEA7"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sz w:val="20"/>
                <w:szCs w:val="20"/>
                <w:lang w:eastAsia="en-US"/>
              </w:rPr>
            </w:pPr>
            <w:r w:rsidRPr="00A041B2">
              <w:rPr>
                <w:rFonts w:eastAsia="Arial" w:cs="Arial"/>
                <w:sz w:val="20"/>
                <w:szCs w:val="20"/>
                <w:lang w:eastAsia="en-US"/>
              </w:rPr>
              <w:t xml:space="preserve">2025- 2028 </w:t>
            </w:r>
          </w:p>
        </w:tc>
        <w:tc>
          <w:tcPr>
            <w:tcW w:w="2345" w:type="dxa"/>
            <w:shd w:val="clear" w:color="auto" w:fill="auto"/>
          </w:tcPr>
          <w:p w14:paraId="0469522B" w14:textId="77777777" w:rsidR="00BC7F59" w:rsidRPr="00A041B2" w:rsidRDefault="00BC7F59" w:rsidP="00177957">
            <w:pPr>
              <w:spacing w:after="60"/>
              <w:jc w:val="both"/>
              <w:rPr>
                <w:rFonts w:eastAsia="Arial" w:cs="Arial"/>
                <w:sz w:val="20"/>
                <w:szCs w:val="20"/>
                <w:lang w:eastAsia="en-US"/>
              </w:rPr>
            </w:pPr>
            <w:r w:rsidRPr="00A041B2">
              <w:rPr>
                <w:rFonts w:cs="Arial"/>
                <w:sz w:val="20"/>
                <w:szCs w:val="20"/>
              </w:rPr>
              <w:t>Управління культури і туризму Жмеринської міської ради</w:t>
            </w:r>
          </w:p>
        </w:tc>
        <w:tc>
          <w:tcPr>
            <w:tcW w:w="2900" w:type="dxa"/>
            <w:shd w:val="clear" w:color="auto" w:fill="auto"/>
          </w:tcPr>
          <w:p w14:paraId="5781DDE6" w14:textId="4AE81B4E" w:rsidR="00BC7F59" w:rsidRPr="00A041B2" w:rsidRDefault="00BC7F59" w:rsidP="00177957">
            <w:pPr>
              <w:spacing w:after="60"/>
              <w:jc w:val="both"/>
              <w:rPr>
                <w:rFonts w:cs="Arial"/>
                <w:sz w:val="20"/>
                <w:szCs w:val="20"/>
                <w:lang w:eastAsia="it-IT"/>
              </w:rPr>
            </w:pPr>
            <w:r w:rsidRPr="00A041B2">
              <w:rPr>
                <w:rFonts w:cs="Arial"/>
                <w:sz w:val="20"/>
                <w:szCs w:val="20"/>
                <w:lang w:eastAsia="it-IT"/>
              </w:rPr>
              <w:t>Облаштовано не менше 6 джерел у різних населених пунктах</w:t>
            </w:r>
            <w:r w:rsidR="00097D39">
              <w:rPr>
                <w:rFonts w:cs="Arial"/>
                <w:sz w:val="20"/>
                <w:szCs w:val="20"/>
                <w:lang w:eastAsia="it-IT"/>
              </w:rPr>
              <w:t>.</w:t>
            </w:r>
          </w:p>
          <w:p w14:paraId="2C2AB170" w14:textId="37453E54" w:rsidR="00BC7F59" w:rsidRPr="00A041B2" w:rsidRDefault="00BC7F59" w:rsidP="00177957">
            <w:pPr>
              <w:spacing w:after="60"/>
              <w:jc w:val="both"/>
              <w:rPr>
                <w:rFonts w:cs="Arial"/>
                <w:sz w:val="20"/>
                <w:szCs w:val="20"/>
                <w:lang w:eastAsia="it-IT"/>
              </w:rPr>
            </w:pPr>
            <w:r w:rsidRPr="00A041B2">
              <w:rPr>
                <w:rFonts w:cs="Arial"/>
                <w:sz w:val="20"/>
                <w:szCs w:val="20"/>
                <w:lang w:eastAsia="it-IT"/>
              </w:rPr>
              <w:lastRenderedPageBreak/>
              <w:t>Підвищено екологічну безпеку джерельних вод</w:t>
            </w:r>
            <w:r w:rsidR="00097D39">
              <w:rPr>
                <w:rFonts w:cs="Arial"/>
                <w:sz w:val="20"/>
                <w:szCs w:val="20"/>
                <w:lang w:eastAsia="it-IT"/>
              </w:rPr>
              <w:t>.</w:t>
            </w:r>
          </w:p>
          <w:p w14:paraId="7CE5CEA1" w14:textId="7674E784" w:rsidR="00BC7F59" w:rsidRPr="00A041B2" w:rsidRDefault="00BC7F59" w:rsidP="00177957">
            <w:pPr>
              <w:spacing w:after="60"/>
              <w:jc w:val="both"/>
              <w:rPr>
                <w:rFonts w:cs="Arial"/>
                <w:sz w:val="20"/>
                <w:szCs w:val="20"/>
                <w:lang w:eastAsia="it-IT"/>
              </w:rPr>
            </w:pPr>
            <w:r w:rsidRPr="00A041B2">
              <w:rPr>
                <w:rFonts w:cs="Arial"/>
                <w:sz w:val="20"/>
                <w:szCs w:val="20"/>
                <w:lang w:eastAsia="it-IT"/>
              </w:rPr>
              <w:t>Створено 6 інформаційних стендів з історико-культурною інформацією</w:t>
            </w:r>
            <w:r w:rsidR="00097D39">
              <w:rPr>
                <w:rFonts w:cs="Arial"/>
                <w:sz w:val="20"/>
                <w:szCs w:val="20"/>
                <w:lang w:eastAsia="it-IT"/>
              </w:rPr>
              <w:t>.</w:t>
            </w:r>
          </w:p>
          <w:p w14:paraId="1734F87E" w14:textId="7DE2AC55" w:rsidR="00BC7F59" w:rsidRPr="00A041B2" w:rsidRDefault="00BC7F59" w:rsidP="00177957">
            <w:pPr>
              <w:spacing w:after="60"/>
              <w:jc w:val="both"/>
              <w:rPr>
                <w:rFonts w:cs="Arial"/>
                <w:sz w:val="20"/>
                <w:szCs w:val="20"/>
                <w:lang w:eastAsia="it-IT"/>
              </w:rPr>
            </w:pPr>
            <w:r w:rsidRPr="00A041B2">
              <w:rPr>
                <w:rFonts w:cs="Arial"/>
                <w:sz w:val="20"/>
                <w:szCs w:val="20"/>
                <w:lang w:eastAsia="it-IT"/>
              </w:rPr>
              <w:t xml:space="preserve">Проведено не менше 5 </w:t>
            </w:r>
            <w:r w:rsidR="00177957" w:rsidRPr="00A041B2">
              <w:rPr>
                <w:rFonts w:cs="Arial"/>
                <w:sz w:val="20"/>
                <w:szCs w:val="20"/>
                <w:lang w:eastAsia="it-IT"/>
              </w:rPr>
              <w:t>еко заходів</w:t>
            </w:r>
            <w:r w:rsidRPr="00A041B2">
              <w:rPr>
                <w:rFonts w:cs="Arial"/>
                <w:sz w:val="20"/>
                <w:szCs w:val="20"/>
                <w:lang w:eastAsia="it-IT"/>
              </w:rPr>
              <w:t xml:space="preserve"> з молоддю</w:t>
            </w:r>
            <w:r w:rsidR="00097D39">
              <w:rPr>
                <w:rFonts w:cs="Arial"/>
                <w:sz w:val="20"/>
                <w:szCs w:val="20"/>
                <w:lang w:eastAsia="it-IT"/>
              </w:rPr>
              <w:t>.</w:t>
            </w:r>
          </w:p>
          <w:p w14:paraId="662DB2F1" w14:textId="7BFA42F8" w:rsidR="00BC7F59" w:rsidRPr="00A041B2" w:rsidRDefault="00BC7F59" w:rsidP="00177957">
            <w:pPr>
              <w:widowControl w:val="0"/>
              <w:tabs>
                <w:tab w:val="left" w:pos="5829"/>
                <w:tab w:val="left" w:pos="9720"/>
                <w:tab w:val="left" w:pos="10357"/>
              </w:tabs>
              <w:autoSpaceDE w:val="0"/>
              <w:autoSpaceDN w:val="0"/>
              <w:spacing w:after="60"/>
              <w:jc w:val="both"/>
              <w:rPr>
                <w:rFonts w:eastAsia="Arial" w:cs="Arial"/>
                <w:sz w:val="20"/>
                <w:szCs w:val="20"/>
                <w:lang w:eastAsia="en-US"/>
              </w:rPr>
            </w:pPr>
            <w:r w:rsidRPr="00A041B2">
              <w:rPr>
                <w:rFonts w:cs="Arial"/>
                <w:sz w:val="20"/>
                <w:szCs w:val="20"/>
                <w:lang w:eastAsia="it-IT"/>
              </w:rPr>
              <w:t>Включення щонайменше 2 джерел у туристичні маршрути громади</w:t>
            </w:r>
            <w:r w:rsidR="00097D39">
              <w:rPr>
                <w:rFonts w:cs="Arial"/>
                <w:sz w:val="20"/>
                <w:szCs w:val="20"/>
                <w:lang w:eastAsia="it-IT"/>
              </w:rPr>
              <w:t>.</w:t>
            </w:r>
          </w:p>
        </w:tc>
      </w:tr>
      <w:tr w:rsidR="00BC7F59" w:rsidRPr="00A041B2" w14:paraId="3BEC9D88" w14:textId="77777777" w:rsidTr="000413EB">
        <w:tc>
          <w:tcPr>
            <w:tcW w:w="567" w:type="dxa"/>
            <w:shd w:val="clear" w:color="auto" w:fill="auto"/>
          </w:tcPr>
          <w:p w14:paraId="084143D1" w14:textId="71088B49" w:rsidR="00BC7F59" w:rsidRPr="00A041B2" w:rsidRDefault="000C55EE" w:rsidP="000413EB">
            <w:pPr>
              <w:pStyle w:val="aa"/>
              <w:jc w:val="both"/>
              <w:rPr>
                <w:rFonts w:ascii="Arial" w:eastAsia="Arial" w:hAnsi="Arial" w:cs="Arial"/>
                <w:sz w:val="20"/>
                <w:szCs w:val="20"/>
              </w:rPr>
            </w:pPr>
            <w:r w:rsidRPr="00A041B2">
              <w:rPr>
                <w:rFonts w:ascii="Arial" w:eastAsia="Arial" w:hAnsi="Arial" w:cs="Arial"/>
                <w:sz w:val="20"/>
                <w:szCs w:val="20"/>
              </w:rPr>
              <w:lastRenderedPageBreak/>
              <w:t>22</w:t>
            </w:r>
          </w:p>
        </w:tc>
        <w:tc>
          <w:tcPr>
            <w:tcW w:w="2694" w:type="dxa"/>
            <w:shd w:val="clear" w:color="auto" w:fill="auto"/>
          </w:tcPr>
          <w:p w14:paraId="4AD36D43" w14:textId="77777777" w:rsidR="00BC7F59" w:rsidRPr="00A041B2" w:rsidRDefault="00BC7F59" w:rsidP="000413EB">
            <w:pPr>
              <w:jc w:val="both"/>
              <w:rPr>
                <w:rFonts w:eastAsia="Arial" w:cs="Arial"/>
                <w:sz w:val="20"/>
                <w:szCs w:val="20"/>
                <w:lang w:eastAsia="en-US"/>
              </w:rPr>
            </w:pPr>
            <w:r w:rsidRPr="00A041B2">
              <w:rPr>
                <w:rFonts w:cs="Arial"/>
                <w:bCs/>
                <w:sz w:val="20"/>
                <w:szCs w:val="20"/>
                <w:lang w:eastAsia="uk-UA"/>
              </w:rPr>
              <w:t>А.5.4. Збереження та реставрація  пам’яток архітектури  та історико-культурної спадщини</w:t>
            </w:r>
          </w:p>
        </w:tc>
        <w:tc>
          <w:tcPr>
            <w:tcW w:w="2551" w:type="dxa"/>
            <w:shd w:val="clear" w:color="auto" w:fill="auto"/>
          </w:tcPr>
          <w:p w14:paraId="2C1386FD" w14:textId="77777777" w:rsidR="00BC7F59" w:rsidRPr="00A041B2" w:rsidRDefault="00BC7F59" w:rsidP="000413EB">
            <w:pPr>
              <w:suppressAutoHyphens/>
              <w:jc w:val="both"/>
              <w:rPr>
                <w:rFonts w:eastAsia="Arial" w:cs="Arial"/>
                <w:sz w:val="20"/>
                <w:szCs w:val="20"/>
                <w:lang w:eastAsia="en-US"/>
              </w:rPr>
            </w:pPr>
            <w:r w:rsidRPr="00A041B2">
              <w:rPr>
                <w:rFonts w:cs="Arial"/>
                <w:sz w:val="20"/>
                <w:szCs w:val="20"/>
              </w:rPr>
              <w:t>А.5.4.1. Проведення інвентаризації та паспортизація пам’яток культурної спадщини.</w:t>
            </w:r>
          </w:p>
        </w:tc>
        <w:tc>
          <w:tcPr>
            <w:tcW w:w="2835" w:type="dxa"/>
            <w:shd w:val="clear" w:color="auto" w:fill="auto"/>
          </w:tcPr>
          <w:p w14:paraId="042E526F" w14:textId="77777777" w:rsidR="00BC7F59" w:rsidRPr="00A041B2" w:rsidRDefault="00BC7F59" w:rsidP="000413EB">
            <w:pPr>
              <w:jc w:val="both"/>
              <w:rPr>
                <w:rFonts w:cs="Arial"/>
                <w:sz w:val="20"/>
                <w:szCs w:val="20"/>
                <w:lang w:eastAsia="it-IT"/>
              </w:rPr>
            </w:pPr>
            <w:r w:rsidRPr="00A041B2">
              <w:rPr>
                <w:rFonts w:cs="Arial"/>
                <w:sz w:val="20"/>
                <w:szCs w:val="20"/>
                <w:lang w:eastAsia="it-IT"/>
              </w:rPr>
              <w:t>«Збереження історико-культурної спадщини Жмеринщини»</w:t>
            </w:r>
          </w:p>
          <w:p w14:paraId="001D1A7C" w14:textId="77777777" w:rsidR="00BC7F59" w:rsidRPr="00A041B2" w:rsidRDefault="00BC7F59" w:rsidP="000413EB">
            <w:pPr>
              <w:jc w:val="both"/>
              <w:rPr>
                <w:rFonts w:eastAsia="Arial" w:cs="Arial"/>
                <w:sz w:val="20"/>
                <w:szCs w:val="20"/>
                <w:lang w:eastAsia="en-US"/>
              </w:rPr>
            </w:pPr>
            <w:r w:rsidRPr="00A041B2">
              <w:rPr>
                <w:rFonts w:eastAsia="Arial" w:cs="Arial"/>
                <w:w w:val="105"/>
                <w:sz w:val="20"/>
                <w:szCs w:val="20"/>
                <w:lang w:eastAsia="en-US"/>
              </w:rPr>
              <w:t>реалізація</w:t>
            </w:r>
            <w:r w:rsidRPr="00A041B2">
              <w:rPr>
                <w:rFonts w:eastAsia="Arial" w:cs="Arial"/>
                <w:spacing w:val="57"/>
                <w:w w:val="105"/>
                <w:sz w:val="20"/>
                <w:szCs w:val="20"/>
                <w:lang w:eastAsia="en-US"/>
              </w:rPr>
              <w:t xml:space="preserve"> </w:t>
            </w:r>
            <w:r w:rsidRPr="00A041B2">
              <w:rPr>
                <w:rFonts w:eastAsia="Arial" w:cs="Arial"/>
                <w:spacing w:val="-2"/>
                <w:w w:val="105"/>
                <w:sz w:val="20"/>
                <w:szCs w:val="20"/>
                <w:lang w:eastAsia="en-US"/>
              </w:rPr>
              <w:t>триває</w:t>
            </w:r>
          </w:p>
        </w:tc>
        <w:tc>
          <w:tcPr>
            <w:tcW w:w="1276" w:type="dxa"/>
            <w:shd w:val="clear" w:color="auto" w:fill="auto"/>
          </w:tcPr>
          <w:p w14:paraId="778DB653" w14:textId="77777777" w:rsidR="00BC7F59" w:rsidRPr="00A041B2" w:rsidRDefault="00BC7F59" w:rsidP="000413EB">
            <w:pPr>
              <w:widowControl w:val="0"/>
              <w:tabs>
                <w:tab w:val="left" w:pos="5829"/>
                <w:tab w:val="left" w:pos="9720"/>
                <w:tab w:val="left" w:pos="10357"/>
              </w:tabs>
              <w:autoSpaceDE w:val="0"/>
              <w:autoSpaceDN w:val="0"/>
              <w:jc w:val="both"/>
              <w:rPr>
                <w:rFonts w:eastAsia="Arial" w:cs="Arial"/>
                <w:sz w:val="20"/>
                <w:szCs w:val="20"/>
                <w:lang w:eastAsia="en-US"/>
              </w:rPr>
            </w:pPr>
            <w:r w:rsidRPr="00A041B2">
              <w:rPr>
                <w:rFonts w:eastAsia="Arial" w:cs="Arial"/>
                <w:sz w:val="20"/>
                <w:szCs w:val="20"/>
                <w:lang w:eastAsia="en-US"/>
              </w:rPr>
              <w:t>2026- 2028</w:t>
            </w:r>
          </w:p>
        </w:tc>
        <w:tc>
          <w:tcPr>
            <w:tcW w:w="2345" w:type="dxa"/>
            <w:shd w:val="clear" w:color="auto" w:fill="auto"/>
          </w:tcPr>
          <w:p w14:paraId="12987F99" w14:textId="77777777" w:rsidR="00BC7F59" w:rsidRPr="00A041B2" w:rsidRDefault="00BC7F59" w:rsidP="00177957">
            <w:pPr>
              <w:spacing w:after="60"/>
              <w:jc w:val="both"/>
              <w:rPr>
                <w:rFonts w:cs="Arial"/>
                <w:color w:val="000000"/>
                <w:sz w:val="20"/>
                <w:szCs w:val="20"/>
                <w:lang w:eastAsia="it-IT"/>
              </w:rPr>
            </w:pPr>
            <w:r w:rsidRPr="00A041B2">
              <w:rPr>
                <w:rFonts w:cs="Arial"/>
                <w:color w:val="000000"/>
                <w:sz w:val="20"/>
                <w:szCs w:val="20"/>
                <w:lang w:eastAsia="it-IT"/>
              </w:rPr>
              <w:t>Управління культури і туризму Жмеринської міської ради,</w:t>
            </w:r>
          </w:p>
          <w:p w14:paraId="7F63D297" w14:textId="77777777" w:rsidR="00BC7F59" w:rsidRPr="00A041B2" w:rsidRDefault="00BC7F59" w:rsidP="00177957">
            <w:pPr>
              <w:spacing w:after="60"/>
              <w:jc w:val="both"/>
              <w:rPr>
                <w:rFonts w:cs="Arial"/>
                <w:color w:val="000000"/>
                <w:sz w:val="20"/>
                <w:szCs w:val="20"/>
                <w:lang w:eastAsia="it-IT"/>
              </w:rPr>
            </w:pPr>
            <w:r w:rsidRPr="00A041B2">
              <w:rPr>
                <w:rFonts w:cs="Arial"/>
                <w:color w:val="000000"/>
                <w:sz w:val="20"/>
                <w:szCs w:val="20"/>
                <w:lang w:eastAsia="it-IT"/>
              </w:rPr>
              <w:t>КЗ «Центр культури і дозвілля» Жмеринської міської ТГ</w:t>
            </w:r>
          </w:p>
        </w:tc>
        <w:tc>
          <w:tcPr>
            <w:tcW w:w="2900" w:type="dxa"/>
            <w:shd w:val="clear" w:color="auto" w:fill="auto"/>
          </w:tcPr>
          <w:p w14:paraId="3392EC08" w14:textId="403D4E1A" w:rsidR="00BC7F59" w:rsidRPr="00A041B2" w:rsidRDefault="00BC7F59" w:rsidP="00177957">
            <w:pPr>
              <w:spacing w:after="60"/>
              <w:jc w:val="both"/>
              <w:rPr>
                <w:rFonts w:cs="Arial"/>
                <w:sz w:val="20"/>
                <w:szCs w:val="20"/>
                <w:lang w:eastAsia="it-IT"/>
              </w:rPr>
            </w:pPr>
            <w:r w:rsidRPr="00A041B2">
              <w:rPr>
                <w:rFonts w:cs="Arial"/>
                <w:sz w:val="20"/>
                <w:szCs w:val="20"/>
                <w:lang w:eastAsia="it-IT"/>
              </w:rPr>
              <w:t>Паспортизовано 50 об’єктів спадщини</w:t>
            </w:r>
            <w:r w:rsidR="00097D39">
              <w:rPr>
                <w:rFonts w:cs="Arial"/>
                <w:sz w:val="20"/>
                <w:szCs w:val="20"/>
                <w:lang w:eastAsia="it-IT"/>
              </w:rPr>
              <w:t>.</w:t>
            </w:r>
          </w:p>
          <w:p w14:paraId="2675CE71" w14:textId="0AEA0CF9" w:rsidR="00BC7F59" w:rsidRPr="00A041B2" w:rsidRDefault="00BC7F59" w:rsidP="00177957">
            <w:pPr>
              <w:spacing w:after="60"/>
              <w:jc w:val="both"/>
              <w:rPr>
                <w:rFonts w:cs="Arial"/>
                <w:sz w:val="20"/>
                <w:szCs w:val="20"/>
                <w:lang w:eastAsia="it-IT"/>
              </w:rPr>
            </w:pPr>
            <w:r w:rsidRPr="00A041B2">
              <w:rPr>
                <w:rFonts w:cs="Arial"/>
                <w:sz w:val="20"/>
                <w:szCs w:val="20"/>
                <w:lang w:eastAsia="it-IT"/>
              </w:rPr>
              <w:t>Створено електронний каталог із 300+ фото- та 50 відеоматеріалами</w:t>
            </w:r>
            <w:r w:rsidR="00097D39">
              <w:rPr>
                <w:rFonts w:cs="Arial"/>
                <w:sz w:val="20"/>
                <w:szCs w:val="20"/>
                <w:lang w:eastAsia="it-IT"/>
              </w:rPr>
              <w:t>.</w:t>
            </w:r>
          </w:p>
          <w:p w14:paraId="107D8F3C" w14:textId="5000518C" w:rsidR="00BC7F59" w:rsidRPr="00A041B2" w:rsidRDefault="00BC7F59" w:rsidP="00177957">
            <w:pPr>
              <w:spacing w:after="60"/>
              <w:jc w:val="both"/>
              <w:rPr>
                <w:rFonts w:eastAsia="Arial" w:cs="Arial"/>
                <w:sz w:val="20"/>
                <w:szCs w:val="20"/>
                <w:lang w:eastAsia="en-US"/>
              </w:rPr>
            </w:pPr>
            <w:r w:rsidRPr="00A041B2">
              <w:rPr>
                <w:rFonts w:cs="Arial"/>
                <w:sz w:val="20"/>
                <w:szCs w:val="20"/>
                <w:lang w:eastAsia="it-IT"/>
              </w:rPr>
              <w:t>Проведено 1 виставку-презентацію проєкту</w:t>
            </w:r>
            <w:r w:rsidR="00097D39">
              <w:rPr>
                <w:rFonts w:cs="Arial"/>
                <w:sz w:val="20"/>
                <w:szCs w:val="20"/>
                <w:lang w:eastAsia="it-IT"/>
              </w:rPr>
              <w:t>.</w:t>
            </w:r>
          </w:p>
        </w:tc>
      </w:tr>
    </w:tbl>
    <w:p w14:paraId="7BCDB4FD" w14:textId="77777777" w:rsidR="00541BDD" w:rsidRDefault="00541BDD">
      <w:r>
        <w:br w:type="page"/>
      </w:r>
    </w:p>
    <w:tbl>
      <w:tblPr>
        <w:tblW w:w="1516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694"/>
        <w:gridCol w:w="2551"/>
        <w:gridCol w:w="2835"/>
        <w:gridCol w:w="1276"/>
        <w:gridCol w:w="2345"/>
        <w:gridCol w:w="2900"/>
      </w:tblGrid>
      <w:tr w:rsidR="00BC7F59" w:rsidRPr="000413EB" w14:paraId="6700EECB" w14:textId="77777777" w:rsidTr="00541BDD">
        <w:trPr>
          <w:trHeight w:val="501"/>
        </w:trPr>
        <w:tc>
          <w:tcPr>
            <w:tcW w:w="15168" w:type="dxa"/>
            <w:gridSpan w:val="7"/>
            <w:shd w:val="clear" w:color="auto" w:fill="auto"/>
            <w:vAlign w:val="center"/>
          </w:tcPr>
          <w:p w14:paraId="4161FBAD" w14:textId="79EFB3B2" w:rsidR="00BC7F59" w:rsidRPr="000413EB" w:rsidRDefault="00BC7F59" w:rsidP="00541BDD">
            <w:pPr>
              <w:jc w:val="center"/>
              <w:rPr>
                <w:rFonts w:ascii="Times New Roman" w:hAnsi="Times New Roman"/>
                <w:b/>
                <w:sz w:val="20"/>
                <w:szCs w:val="20"/>
                <w:lang w:eastAsia="it-IT"/>
              </w:rPr>
            </w:pPr>
            <w:r w:rsidRPr="000413EB">
              <w:rPr>
                <w:rFonts w:ascii="Times New Roman" w:hAnsi="Times New Roman"/>
                <w:b/>
                <w:sz w:val="20"/>
                <w:szCs w:val="20"/>
                <w:lang w:eastAsia="it-IT"/>
              </w:rPr>
              <w:lastRenderedPageBreak/>
              <w:t>СТРАТЕГІЧНИЙ   НАПРЯМОК:     В   «КОМФОРТНА  ГРОМАДА»</w:t>
            </w:r>
          </w:p>
        </w:tc>
      </w:tr>
      <w:tr w:rsidR="00BC7F59" w:rsidRPr="000413EB" w14:paraId="7DBF32B5" w14:textId="77777777" w:rsidTr="00541BDD">
        <w:tc>
          <w:tcPr>
            <w:tcW w:w="567" w:type="dxa"/>
            <w:shd w:val="clear" w:color="auto" w:fill="auto"/>
            <w:vAlign w:val="center"/>
          </w:tcPr>
          <w:p w14:paraId="29D5BE82" w14:textId="77777777" w:rsidR="00BC7F59" w:rsidRPr="000413EB" w:rsidRDefault="00BC7F59" w:rsidP="00541BDD">
            <w:pPr>
              <w:widowControl w:val="0"/>
              <w:tabs>
                <w:tab w:val="left" w:pos="5829"/>
                <w:tab w:val="left" w:pos="9720"/>
                <w:tab w:val="left" w:pos="10357"/>
              </w:tabs>
              <w:autoSpaceDE w:val="0"/>
              <w:autoSpaceDN w:val="0"/>
              <w:jc w:val="center"/>
              <w:rPr>
                <w:rFonts w:ascii="Times New Roman" w:eastAsia="Arial" w:hAnsi="Times New Roman"/>
                <w:b/>
                <w:sz w:val="20"/>
                <w:szCs w:val="20"/>
                <w:lang w:eastAsia="en-US"/>
              </w:rPr>
            </w:pPr>
            <w:r w:rsidRPr="000413EB">
              <w:rPr>
                <w:rFonts w:ascii="Times New Roman" w:eastAsia="Arial" w:hAnsi="Times New Roman"/>
                <w:b/>
                <w:sz w:val="20"/>
                <w:szCs w:val="20"/>
                <w:lang w:eastAsia="en-US"/>
              </w:rPr>
              <w:t>№</w:t>
            </w:r>
          </w:p>
        </w:tc>
        <w:tc>
          <w:tcPr>
            <w:tcW w:w="2694" w:type="dxa"/>
            <w:shd w:val="clear" w:color="auto" w:fill="auto"/>
            <w:vAlign w:val="center"/>
          </w:tcPr>
          <w:p w14:paraId="07FA5620" w14:textId="77777777" w:rsidR="00BC7F59" w:rsidRPr="000413EB" w:rsidRDefault="00BC7F59" w:rsidP="00541BDD">
            <w:pPr>
              <w:widowControl w:val="0"/>
              <w:tabs>
                <w:tab w:val="left" w:pos="5829"/>
                <w:tab w:val="left" w:pos="9720"/>
                <w:tab w:val="left" w:pos="10357"/>
              </w:tabs>
              <w:autoSpaceDE w:val="0"/>
              <w:autoSpaceDN w:val="0"/>
              <w:jc w:val="center"/>
              <w:rPr>
                <w:rFonts w:ascii="Times New Roman" w:eastAsia="Arial" w:hAnsi="Times New Roman"/>
                <w:b/>
                <w:sz w:val="20"/>
                <w:szCs w:val="20"/>
                <w:lang w:eastAsia="en-US"/>
              </w:rPr>
            </w:pPr>
            <w:r w:rsidRPr="000413EB">
              <w:rPr>
                <w:rFonts w:ascii="Times New Roman" w:eastAsia="Arial" w:hAnsi="Times New Roman"/>
                <w:b/>
                <w:sz w:val="20"/>
                <w:szCs w:val="20"/>
                <w:lang w:eastAsia="en-US"/>
              </w:rPr>
              <w:t>Оперативна ціль, на досягнення якої спрямований проєкт</w:t>
            </w:r>
          </w:p>
        </w:tc>
        <w:tc>
          <w:tcPr>
            <w:tcW w:w="2551" w:type="dxa"/>
            <w:shd w:val="clear" w:color="auto" w:fill="auto"/>
            <w:vAlign w:val="center"/>
          </w:tcPr>
          <w:p w14:paraId="29C6B563" w14:textId="77777777" w:rsidR="00BC7F59" w:rsidRPr="000413EB" w:rsidRDefault="00BC7F59" w:rsidP="00541BDD">
            <w:pPr>
              <w:widowControl w:val="0"/>
              <w:tabs>
                <w:tab w:val="left" w:pos="5829"/>
                <w:tab w:val="left" w:pos="9720"/>
                <w:tab w:val="left" w:pos="10357"/>
              </w:tabs>
              <w:autoSpaceDE w:val="0"/>
              <w:autoSpaceDN w:val="0"/>
              <w:jc w:val="center"/>
              <w:rPr>
                <w:rFonts w:ascii="Times New Roman" w:eastAsia="Arial" w:hAnsi="Times New Roman"/>
                <w:b/>
                <w:sz w:val="20"/>
                <w:szCs w:val="20"/>
                <w:lang w:eastAsia="en-US"/>
              </w:rPr>
            </w:pPr>
            <w:r w:rsidRPr="000413EB">
              <w:rPr>
                <w:rFonts w:ascii="Times New Roman" w:eastAsia="Arial" w:hAnsi="Times New Roman"/>
                <w:b/>
                <w:sz w:val="20"/>
                <w:szCs w:val="20"/>
                <w:lang w:eastAsia="en-US"/>
              </w:rPr>
              <w:t>Завдання Стратегії</w:t>
            </w:r>
          </w:p>
        </w:tc>
        <w:tc>
          <w:tcPr>
            <w:tcW w:w="2835" w:type="dxa"/>
            <w:shd w:val="clear" w:color="auto" w:fill="auto"/>
            <w:vAlign w:val="center"/>
          </w:tcPr>
          <w:p w14:paraId="47294D70" w14:textId="77777777" w:rsidR="00BC7F59" w:rsidRPr="000413EB" w:rsidRDefault="00BC7F59" w:rsidP="00541BDD">
            <w:pPr>
              <w:widowControl w:val="0"/>
              <w:tabs>
                <w:tab w:val="left" w:pos="5829"/>
                <w:tab w:val="left" w:pos="9720"/>
                <w:tab w:val="left" w:pos="10357"/>
              </w:tabs>
              <w:autoSpaceDE w:val="0"/>
              <w:autoSpaceDN w:val="0"/>
              <w:jc w:val="center"/>
              <w:rPr>
                <w:rFonts w:ascii="Times New Roman" w:eastAsia="Arial" w:hAnsi="Times New Roman"/>
                <w:b/>
                <w:sz w:val="20"/>
                <w:szCs w:val="20"/>
                <w:lang w:eastAsia="en-US"/>
              </w:rPr>
            </w:pPr>
            <w:r w:rsidRPr="000413EB">
              <w:rPr>
                <w:rFonts w:ascii="Times New Roman" w:eastAsia="Arial" w:hAnsi="Times New Roman"/>
                <w:b/>
                <w:sz w:val="20"/>
                <w:szCs w:val="20"/>
                <w:lang w:eastAsia="en-US"/>
              </w:rPr>
              <w:t>Назва проєкту місцевого (регіонального) розвитку*</w:t>
            </w:r>
          </w:p>
        </w:tc>
        <w:tc>
          <w:tcPr>
            <w:tcW w:w="1276" w:type="dxa"/>
            <w:shd w:val="clear" w:color="auto" w:fill="auto"/>
            <w:vAlign w:val="center"/>
          </w:tcPr>
          <w:p w14:paraId="168C9D8D" w14:textId="77777777" w:rsidR="00BC7F59" w:rsidRPr="000413EB" w:rsidRDefault="00BC7F59" w:rsidP="00541BDD">
            <w:pPr>
              <w:widowControl w:val="0"/>
              <w:tabs>
                <w:tab w:val="left" w:pos="5829"/>
                <w:tab w:val="left" w:pos="9720"/>
                <w:tab w:val="left" w:pos="10357"/>
              </w:tabs>
              <w:autoSpaceDE w:val="0"/>
              <w:autoSpaceDN w:val="0"/>
              <w:jc w:val="center"/>
              <w:rPr>
                <w:rFonts w:ascii="Times New Roman" w:eastAsia="Arial" w:hAnsi="Times New Roman"/>
                <w:b/>
                <w:sz w:val="20"/>
                <w:szCs w:val="20"/>
                <w:lang w:eastAsia="en-US"/>
              </w:rPr>
            </w:pPr>
            <w:r w:rsidRPr="000413EB">
              <w:rPr>
                <w:rFonts w:ascii="Times New Roman" w:eastAsia="Arial" w:hAnsi="Times New Roman"/>
                <w:b/>
                <w:sz w:val="20"/>
                <w:szCs w:val="20"/>
                <w:lang w:eastAsia="en-US"/>
              </w:rPr>
              <w:t>Період реалізації проєкту місцевого (регіонального) розвитку</w:t>
            </w:r>
          </w:p>
        </w:tc>
        <w:tc>
          <w:tcPr>
            <w:tcW w:w="2345" w:type="dxa"/>
            <w:shd w:val="clear" w:color="auto" w:fill="auto"/>
            <w:vAlign w:val="center"/>
          </w:tcPr>
          <w:p w14:paraId="2B84F839" w14:textId="77777777" w:rsidR="00BC7F59" w:rsidRPr="000413EB" w:rsidRDefault="00BC7F59" w:rsidP="00541BDD">
            <w:pPr>
              <w:widowControl w:val="0"/>
              <w:tabs>
                <w:tab w:val="left" w:pos="5829"/>
                <w:tab w:val="left" w:pos="9720"/>
                <w:tab w:val="left" w:pos="10357"/>
              </w:tabs>
              <w:autoSpaceDE w:val="0"/>
              <w:autoSpaceDN w:val="0"/>
              <w:jc w:val="center"/>
              <w:rPr>
                <w:rFonts w:ascii="Times New Roman" w:eastAsia="Arial" w:hAnsi="Times New Roman"/>
                <w:b/>
                <w:sz w:val="20"/>
                <w:szCs w:val="20"/>
                <w:lang w:eastAsia="en-US"/>
              </w:rPr>
            </w:pPr>
            <w:r w:rsidRPr="000413EB">
              <w:rPr>
                <w:rFonts w:ascii="Times New Roman" w:eastAsia="Arial" w:hAnsi="Times New Roman"/>
                <w:b/>
                <w:sz w:val="20"/>
                <w:szCs w:val="20"/>
                <w:lang w:eastAsia="en-US"/>
              </w:rPr>
              <w:t>Виконавці</w:t>
            </w:r>
          </w:p>
        </w:tc>
        <w:tc>
          <w:tcPr>
            <w:tcW w:w="2900" w:type="dxa"/>
            <w:shd w:val="clear" w:color="auto" w:fill="auto"/>
            <w:vAlign w:val="center"/>
          </w:tcPr>
          <w:p w14:paraId="27337FEB" w14:textId="77777777" w:rsidR="00BC7F59" w:rsidRPr="000413EB" w:rsidRDefault="00BC7F59" w:rsidP="00541BDD">
            <w:pPr>
              <w:widowControl w:val="0"/>
              <w:tabs>
                <w:tab w:val="left" w:pos="175"/>
                <w:tab w:val="left" w:pos="5829"/>
                <w:tab w:val="left" w:pos="9720"/>
                <w:tab w:val="left" w:pos="10357"/>
              </w:tabs>
              <w:autoSpaceDE w:val="0"/>
              <w:autoSpaceDN w:val="0"/>
              <w:jc w:val="center"/>
              <w:rPr>
                <w:rFonts w:ascii="Times New Roman" w:eastAsia="Arial" w:hAnsi="Times New Roman"/>
                <w:b/>
                <w:sz w:val="20"/>
                <w:szCs w:val="20"/>
                <w:lang w:eastAsia="en-US"/>
              </w:rPr>
            </w:pPr>
            <w:r w:rsidRPr="000413EB">
              <w:rPr>
                <w:rFonts w:ascii="Times New Roman" w:eastAsia="Arial" w:hAnsi="Times New Roman"/>
                <w:b/>
                <w:sz w:val="20"/>
                <w:szCs w:val="20"/>
                <w:lang w:eastAsia="en-US"/>
              </w:rPr>
              <w:t>Індикатори (показники) результативності</w:t>
            </w:r>
          </w:p>
        </w:tc>
      </w:tr>
      <w:tr w:rsidR="00BC7F59" w:rsidRPr="000413EB" w14:paraId="57E11AC0" w14:textId="77777777" w:rsidTr="00541BDD">
        <w:tc>
          <w:tcPr>
            <w:tcW w:w="567" w:type="dxa"/>
            <w:shd w:val="clear" w:color="auto" w:fill="auto"/>
          </w:tcPr>
          <w:p w14:paraId="2B094FE1" w14:textId="5E3C4417" w:rsidR="00BC7F59"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1</w:t>
            </w:r>
          </w:p>
        </w:tc>
        <w:tc>
          <w:tcPr>
            <w:tcW w:w="2694" w:type="dxa"/>
            <w:shd w:val="clear" w:color="auto" w:fill="auto"/>
          </w:tcPr>
          <w:p w14:paraId="1F4A239C" w14:textId="77777777" w:rsidR="00BC7F59" w:rsidRPr="000413EB" w:rsidRDefault="00BC7F59" w:rsidP="000413EB">
            <w:pPr>
              <w:jc w:val="both"/>
              <w:rPr>
                <w:rFonts w:ascii="Times New Roman" w:hAnsi="Times New Roman"/>
                <w:bCs/>
                <w:sz w:val="20"/>
                <w:szCs w:val="20"/>
                <w:lang w:eastAsia="uk-UA"/>
              </w:rPr>
            </w:pPr>
            <w:r w:rsidRPr="000413EB">
              <w:rPr>
                <w:rFonts w:ascii="Times New Roman" w:hAnsi="Times New Roman"/>
                <w:bCs/>
                <w:sz w:val="20"/>
                <w:szCs w:val="20"/>
                <w:lang w:eastAsia="uk-UA"/>
              </w:rPr>
              <w:t>В.1.1. Розбудова дорожньої інфраструктури</w:t>
            </w:r>
          </w:p>
          <w:p w14:paraId="7A44EC56" w14:textId="77777777" w:rsidR="00BC7F59" w:rsidRPr="000413EB" w:rsidRDefault="00BC7F59" w:rsidP="000413EB">
            <w:pPr>
              <w:jc w:val="both"/>
              <w:rPr>
                <w:rFonts w:ascii="Times New Roman" w:hAnsi="Times New Roman"/>
                <w:bCs/>
                <w:sz w:val="20"/>
                <w:szCs w:val="20"/>
                <w:lang w:eastAsia="uk-UA"/>
              </w:rPr>
            </w:pPr>
          </w:p>
        </w:tc>
        <w:tc>
          <w:tcPr>
            <w:tcW w:w="2551" w:type="dxa"/>
            <w:shd w:val="clear" w:color="auto" w:fill="auto"/>
          </w:tcPr>
          <w:p w14:paraId="412BA92F" w14:textId="77777777" w:rsidR="00BC7F59" w:rsidRPr="000413EB" w:rsidRDefault="00BC7F59" w:rsidP="000413EB">
            <w:pPr>
              <w:suppressAutoHyphens/>
              <w:jc w:val="both"/>
              <w:rPr>
                <w:rFonts w:ascii="Times New Roman" w:hAnsi="Times New Roman"/>
                <w:sz w:val="20"/>
                <w:szCs w:val="20"/>
              </w:rPr>
            </w:pPr>
            <w:r w:rsidRPr="000413EB">
              <w:rPr>
                <w:rFonts w:ascii="Times New Roman" w:hAnsi="Times New Roman"/>
                <w:sz w:val="20"/>
                <w:szCs w:val="20"/>
              </w:rPr>
              <w:t>В.1.1.3. Проведення будівництва, реконструкції та капітального ремонту дорожнього покриття вулиць  та тротуарів в населених пунктах територіальної громади.</w:t>
            </w:r>
          </w:p>
        </w:tc>
        <w:tc>
          <w:tcPr>
            <w:tcW w:w="2835" w:type="dxa"/>
            <w:shd w:val="clear" w:color="auto" w:fill="auto"/>
          </w:tcPr>
          <w:p w14:paraId="43065959" w14:textId="77777777" w:rsidR="00BC7F59" w:rsidRPr="000413EB" w:rsidRDefault="00BC7F59" w:rsidP="000413EB">
            <w:pPr>
              <w:jc w:val="both"/>
              <w:rPr>
                <w:rFonts w:ascii="Times New Roman" w:hAnsi="Times New Roman"/>
                <w:sz w:val="20"/>
                <w:szCs w:val="20"/>
                <w:lang w:eastAsia="it-IT"/>
              </w:rPr>
            </w:pPr>
            <w:r w:rsidRPr="000413EB">
              <w:rPr>
                <w:rFonts w:ascii="Times New Roman" w:hAnsi="Times New Roman"/>
                <w:sz w:val="20"/>
                <w:szCs w:val="20"/>
                <w:lang w:eastAsia="it-IT"/>
              </w:rPr>
              <w:t>Капітальний ремонт дорожнього покриття по вул. Шевченка (від вул. І.Франка до вул. Свободи) в м. Жмеринка Вінницької області</w:t>
            </w:r>
          </w:p>
        </w:tc>
        <w:tc>
          <w:tcPr>
            <w:tcW w:w="1276" w:type="dxa"/>
            <w:shd w:val="clear" w:color="auto" w:fill="auto"/>
          </w:tcPr>
          <w:p w14:paraId="659E8D09" w14:textId="38984B50" w:rsidR="00BC7F59" w:rsidRPr="000413EB" w:rsidRDefault="00BC7F59" w:rsidP="00541BDD">
            <w:pPr>
              <w:widowControl w:val="0"/>
              <w:tabs>
                <w:tab w:val="left" w:pos="5829"/>
                <w:tab w:val="left" w:pos="9720"/>
                <w:tab w:val="left" w:pos="10357"/>
              </w:tabs>
              <w:autoSpaceDE w:val="0"/>
              <w:autoSpaceDN w:val="0"/>
              <w:jc w:val="center"/>
              <w:rPr>
                <w:rFonts w:ascii="Times New Roman" w:eastAsia="Arial" w:hAnsi="Times New Roman"/>
                <w:sz w:val="20"/>
                <w:szCs w:val="20"/>
                <w:lang w:eastAsia="en-US"/>
              </w:rPr>
            </w:pPr>
            <w:r w:rsidRPr="000413EB">
              <w:rPr>
                <w:rFonts w:ascii="Times New Roman" w:eastAsia="Arial" w:hAnsi="Times New Roman"/>
                <w:sz w:val="20"/>
                <w:szCs w:val="20"/>
                <w:lang w:eastAsia="en-US"/>
              </w:rPr>
              <w:t>2026</w:t>
            </w:r>
          </w:p>
        </w:tc>
        <w:tc>
          <w:tcPr>
            <w:tcW w:w="2345" w:type="dxa"/>
            <w:shd w:val="clear" w:color="auto" w:fill="auto"/>
          </w:tcPr>
          <w:p w14:paraId="0E958D15" w14:textId="77777777" w:rsidR="00BC7F59" w:rsidRPr="000413EB" w:rsidRDefault="00BC7F59" w:rsidP="000413EB">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Управління житлово-комунального господарства міської ради</w:t>
            </w:r>
          </w:p>
        </w:tc>
        <w:tc>
          <w:tcPr>
            <w:tcW w:w="2900" w:type="dxa"/>
            <w:shd w:val="clear" w:color="auto" w:fill="auto"/>
          </w:tcPr>
          <w:p w14:paraId="1A5206F1" w14:textId="0D4C3942" w:rsidR="00BC7F59" w:rsidRPr="000413EB" w:rsidRDefault="00BC7F59" w:rsidP="000413EB">
            <w:pPr>
              <w:jc w:val="both"/>
              <w:rPr>
                <w:rFonts w:ascii="Times New Roman" w:hAnsi="Times New Roman"/>
                <w:sz w:val="20"/>
                <w:szCs w:val="20"/>
                <w:lang w:eastAsia="it-IT"/>
              </w:rPr>
            </w:pPr>
            <w:r w:rsidRPr="000413EB">
              <w:rPr>
                <w:rFonts w:ascii="Times New Roman" w:hAnsi="Times New Roman"/>
                <w:sz w:val="20"/>
                <w:szCs w:val="20"/>
                <w:lang w:eastAsia="it-IT"/>
              </w:rPr>
              <w:t>Площа відремонтованого дорожнього покриття становить: 8070 м</w:t>
            </w:r>
            <w:r w:rsidRPr="00097D39">
              <w:rPr>
                <w:rFonts w:ascii="Times New Roman" w:hAnsi="Times New Roman"/>
                <w:sz w:val="20"/>
                <w:szCs w:val="20"/>
                <w:vertAlign w:val="superscript"/>
                <w:lang w:eastAsia="it-IT"/>
              </w:rPr>
              <w:t>2</w:t>
            </w:r>
            <w:r w:rsidRPr="000413EB">
              <w:rPr>
                <w:rFonts w:ascii="Times New Roman" w:hAnsi="Times New Roman"/>
                <w:sz w:val="20"/>
                <w:szCs w:val="20"/>
                <w:lang w:eastAsia="it-IT"/>
              </w:rPr>
              <w:t xml:space="preserve">  та площа озеленення: 70 м</w:t>
            </w:r>
            <w:r w:rsidRPr="00097D39">
              <w:rPr>
                <w:rFonts w:ascii="Times New Roman" w:hAnsi="Times New Roman"/>
                <w:sz w:val="20"/>
                <w:szCs w:val="20"/>
                <w:vertAlign w:val="superscript"/>
                <w:lang w:eastAsia="it-IT"/>
              </w:rPr>
              <w:t>2</w:t>
            </w:r>
            <w:r w:rsidR="00097D39">
              <w:rPr>
                <w:rFonts w:ascii="Times New Roman" w:hAnsi="Times New Roman"/>
                <w:sz w:val="20"/>
                <w:szCs w:val="20"/>
                <w:lang w:eastAsia="it-IT"/>
              </w:rPr>
              <w:t>.</w:t>
            </w:r>
          </w:p>
        </w:tc>
      </w:tr>
      <w:tr w:rsidR="000D5D27" w:rsidRPr="000413EB" w14:paraId="584F39F1" w14:textId="77777777" w:rsidTr="00541BDD">
        <w:trPr>
          <w:trHeight w:val="1771"/>
        </w:trPr>
        <w:tc>
          <w:tcPr>
            <w:tcW w:w="567" w:type="dxa"/>
            <w:shd w:val="clear" w:color="auto" w:fill="auto"/>
          </w:tcPr>
          <w:p w14:paraId="7AE2B793" w14:textId="313A197C" w:rsidR="000D5D27"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2</w:t>
            </w:r>
          </w:p>
        </w:tc>
        <w:tc>
          <w:tcPr>
            <w:tcW w:w="2694" w:type="dxa"/>
            <w:shd w:val="clear" w:color="auto" w:fill="auto"/>
          </w:tcPr>
          <w:p w14:paraId="66A9818E" w14:textId="5307B838" w:rsidR="000D5D27" w:rsidRPr="000413EB" w:rsidRDefault="000D5D27" w:rsidP="000413EB">
            <w:pPr>
              <w:jc w:val="both"/>
              <w:rPr>
                <w:rFonts w:ascii="Times New Roman" w:hAnsi="Times New Roman"/>
                <w:bCs/>
                <w:sz w:val="20"/>
                <w:szCs w:val="20"/>
                <w:lang w:eastAsia="uk-UA"/>
              </w:rPr>
            </w:pPr>
            <w:r w:rsidRPr="000413EB">
              <w:rPr>
                <w:rFonts w:ascii="Times New Roman" w:hAnsi="Times New Roman"/>
                <w:sz w:val="20"/>
                <w:szCs w:val="20"/>
              </w:rPr>
              <w:t>В.1.1. Розбудова дорожньої інфраструктури</w:t>
            </w:r>
          </w:p>
        </w:tc>
        <w:tc>
          <w:tcPr>
            <w:tcW w:w="2551" w:type="dxa"/>
            <w:shd w:val="clear" w:color="auto" w:fill="auto"/>
          </w:tcPr>
          <w:p w14:paraId="0FDC07DF" w14:textId="4593C3F3" w:rsidR="000D5D27" w:rsidRPr="000413EB" w:rsidRDefault="000D5D27" w:rsidP="000413EB">
            <w:pPr>
              <w:suppressAutoHyphens/>
              <w:jc w:val="both"/>
              <w:rPr>
                <w:rFonts w:ascii="Times New Roman" w:hAnsi="Times New Roman"/>
                <w:sz w:val="20"/>
                <w:szCs w:val="20"/>
              </w:rPr>
            </w:pPr>
            <w:r w:rsidRPr="000413EB">
              <w:rPr>
                <w:rFonts w:ascii="Times New Roman" w:hAnsi="Times New Roman"/>
                <w:sz w:val="20"/>
                <w:szCs w:val="20"/>
              </w:rPr>
              <w:t>В.1.1.3. Проведення будівництва, реконструкції та капітального ремонту дорожнього покриття вулиць  та тротуарів в населених пунктах територіальної громади.</w:t>
            </w:r>
          </w:p>
        </w:tc>
        <w:tc>
          <w:tcPr>
            <w:tcW w:w="2835" w:type="dxa"/>
            <w:tcBorders>
              <w:top w:val="single" w:sz="4" w:space="0" w:color="auto"/>
              <w:bottom w:val="single" w:sz="4" w:space="0" w:color="auto"/>
              <w:right w:val="single" w:sz="4" w:space="0" w:color="auto"/>
            </w:tcBorders>
            <w:shd w:val="clear" w:color="auto" w:fill="auto"/>
          </w:tcPr>
          <w:p w14:paraId="07269CFA" w14:textId="306685A2" w:rsidR="000D5D27" w:rsidRPr="000413EB" w:rsidRDefault="000D5D27" w:rsidP="000413EB">
            <w:pPr>
              <w:jc w:val="both"/>
              <w:rPr>
                <w:rFonts w:ascii="Times New Roman" w:hAnsi="Times New Roman"/>
                <w:sz w:val="20"/>
                <w:szCs w:val="20"/>
                <w:lang w:eastAsia="it-IT"/>
              </w:rPr>
            </w:pPr>
            <w:r w:rsidRPr="000413EB">
              <w:rPr>
                <w:rFonts w:ascii="Times New Roman" w:eastAsia="Arial" w:hAnsi="Times New Roman"/>
                <w:sz w:val="20"/>
                <w:szCs w:val="20"/>
              </w:rPr>
              <w:t>Реконструкція частини вулиці Коцюбинського (від вул. Свободи до вул. Глінки) в м. Жмеринка Вінницької області</w:t>
            </w:r>
          </w:p>
        </w:tc>
        <w:tc>
          <w:tcPr>
            <w:tcW w:w="1276" w:type="dxa"/>
            <w:shd w:val="clear" w:color="auto" w:fill="auto"/>
          </w:tcPr>
          <w:p w14:paraId="6F60E7AD" w14:textId="6349DCDD" w:rsidR="000D5D27" w:rsidRPr="000413EB" w:rsidRDefault="000D5D27" w:rsidP="00541BDD">
            <w:pPr>
              <w:widowControl w:val="0"/>
              <w:tabs>
                <w:tab w:val="left" w:pos="5829"/>
                <w:tab w:val="left" w:pos="9720"/>
                <w:tab w:val="left" w:pos="10357"/>
              </w:tabs>
              <w:autoSpaceDE w:val="0"/>
              <w:autoSpaceDN w:val="0"/>
              <w:jc w:val="center"/>
              <w:rPr>
                <w:rFonts w:ascii="Times New Roman" w:eastAsia="Arial" w:hAnsi="Times New Roman"/>
                <w:sz w:val="20"/>
                <w:szCs w:val="20"/>
                <w:lang w:eastAsia="en-US"/>
              </w:rPr>
            </w:pPr>
            <w:r w:rsidRPr="000413EB">
              <w:rPr>
                <w:rFonts w:ascii="Times New Roman" w:eastAsia="Arial" w:hAnsi="Times New Roman"/>
                <w:sz w:val="20"/>
                <w:szCs w:val="20"/>
                <w:lang w:eastAsia="en-US"/>
              </w:rPr>
              <w:t>2026</w:t>
            </w:r>
          </w:p>
        </w:tc>
        <w:tc>
          <w:tcPr>
            <w:tcW w:w="2345" w:type="dxa"/>
            <w:shd w:val="clear" w:color="auto" w:fill="auto"/>
          </w:tcPr>
          <w:p w14:paraId="73A4D546" w14:textId="377B75F1" w:rsidR="000D5D27" w:rsidRPr="000413EB" w:rsidRDefault="000D5D27" w:rsidP="000413EB">
            <w:pPr>
              <w:jc w:val="both"/>
              <w:rPr>
                <w:rFonts w:ascii="Times New Roman" w:hAnsi="Times New Roman"/>
                <w:color w:val="000000"/>
                <w:sz w:val="20"/>
                <w:szCs w:val="20"/>
                <w:lang w:eastAsia="it-IT"/>
              </w:rPr>
            </w:pPr>
            <w:r w:rsidRPr="000413EB">
              <w:rPr>
                <w:rFonts w:ascii="Times New Roman" w:hAnsi="Times New Roman"/>
                <w:sz w:val="20"/>
                <w:szCs w:val="20"/>
              </w:rPr>
              <w:t>Управління житлово-комунального господарства міської ради</w:t>
            </w:r>
          </w:p>
        </w:tc>
        <w:tc>
          <w:tcPr>
            <w:tcW w:w="2900" w:type="dxa"/>
            <w:shd w:val="clear" w:color="auto" w:fill="auto"/>
          </w:tcPr>
          <w:p w14:paraId="1596E155" w14:textId="44A51CBC" w:rsidR="000D5D27" w:rsidRPr="000413EB" w:rsidRDefault="000D5D27" w:rsidP="000413EB">
            <w:pPr>
              <w:jc w:val="both"/>
              <w:rPr>
                <w:rFonts w:ascii="Times New Roman" w:hAnsi="Times New Roman"/>
                <w:sz w:val="20"/>
                <w:szCs w:val="20"/>
                <w:lang w:eastAsia="it-IT"/>
              </w:rPr>
            </w:pPr>
            <w:r w:rsidRPr="000413EB">
              <w:rPr>
                <w:rFonts w:ascii="Times New Roman" w:hAnsi="Times New Roman"/>
                <w:sz w:val="20"/>
                <w:szCs w:val="20"/>
                <w:lang w:eastAsia="it-IT"/>
              </w:rPr>
              <w:t>Довжина відремонтованого покриття проїзної  ділянки: 105 м. Площа ремонтованого покриття проїзної ділянки: 163,4 м</w:t>
            </w:r>
            <w:r w:rsidRPr="00097D39">
              <w:rPr>
                <w:rFonts w:ascii="Times New Roman" w:hAnsi="Times New Roman"/>
                <w:sz w:val="20"/>
                <w:szCs w:val="20"/>
                <w:vertAlign w:val="superscript"/>
                <w:lang w:eastAsia="it-IT"/>
              </w:rPr>
              <w:t>2</w:t>
            </w:r>
            <w:r w:rsidR="00097D39">
              <w:rPr>
                <w:rFonts w:ascii="Times New Roman" w:hAnsi="Times New Roman"/>
                <w:sz w:val="20"/>
                <w:szCs w:val="20"/>
                <w:lang w:eastAsia="it-IT"/>
              </w:rPr>
              <w:t>.</w:t>
            </w:r>
          </w:p>
        </w:tc>
      </w:tr>
      <w:tr w:rsidR="000D5D27" w:rsidRPr="000413EB" w14:paraId="5C40B475" w14:textId="77777777" w:rsidTr="00541BDD">
        <w:trPr>
          <w:trHeight w:val="1697"/>
        </w:trPr>
        <w:tc>
          <w:tcPr>
            <w:tcW w:w="567" w:type="dxa"/>
            <w:shd w:val="clear" w:color="auto" w:fill="auto"/>
          </w:tcPr>
          <w:p w14:paraId="551B23AC" w14:textId="1CF0817E" w:rsidR="000D5D27"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3</w:t>
            </w:r>
          </w:p>
        </w:tc>
        <w:tc>
          <w:tcPr>
            <w:tcW w:w="2694" w:type="dxa"/>
            <w:shd w:val="clear" w:color="auto" w:fill="auto"/>
          </w:tcPr>
          <w:p w14:paraId="0D345202" w14:textId="6A332863" w:rsidR="000D5D27" w:rsidRPr="000413EB" w:rsidRDefault="000D5D27" w:rsidP="000413EB">
            <w:pPr>
              <w:jc w:val="both"/>
              <w:rPr>
                <w:rFonts w:ascii="Times New Roman" w:hAnsi="Times New Roman"/>
                <w:bCs/>
                <w:sz w:val="20"/>
                <w:szCs w:val="20"/>
                <w:lang w:eastAsia="uk-UA"/>
              </w:rPr>
            </w:pPr>
            <w:r w:rsidRPr="000413EB">
              <w:rPr>
                <w:rFonts w:ascii="Times New Roman" w:hAnsi="Times New Roman"/>
                <w:sz w:val="20"/>
                <w:szCs w:val="20"/>
              </w:rPr>
              <w:t>В.1.1. Розбудова дорожньої інфраструктури</w:t>
            </w:r>
          </w:p>
        </w:tc>
        <w:tc>
          <w:tcPr>
            <w:tcW w:w="2551" w:type="dxa"/>
            <w:shd w:val="clear" w:color="auto" w:fill="auto"/>
          </w:tcPr>
          <w:p w14:paraId="2B3AC602" w14:textId="02D1CF61" w:rsidR="000D5D27" w:rsidRPr="000413EB" w:rsidRDefault="000D5D27" w:rsidP="000413EB">
            <w:pPr>
              <w:suppressAutoHyphens/>
              <w:jc w:val="both"/>
              <w:rPr>
                <w:rFonts w:ascii="Times New Roman" w:hAnsi="Times New Roman"/>
                <w:sz w:val="20"/>
                <w:szCs w:val="20"/>
              </w:rPr>
            </w:pPr>
            <w:r w:rsidRPr="000413EB">
              <w:rPr>
                <w:rFonts w:ascii="Times New Roman" w:hAnsi="Times New Roman"/>
                <w:sz w:val="20"/>
                <w:szCs w:val="20"/>
              </w:rPr>
              <w:t>В.1.1.3. Проведення будівництва, реконструкції та капітального ремонту дорожнього покриття вулиць  та тротуарів в населених пунктах територіальної громади.</w:t>
            </w:r>
          </w:p>
        </w:tc>
        <w:tc>
          <w:tcPr>
            <w:tcW w:w="2835" w:type="dxa"/>
            <w:tcBorders>
              <w:top w:val="single" w:sz="4" w:space="0" w:color="auto"/>
              <w:bottom w:val="single" w:sz="4" w:space="0" w:color="auto"/>
              <w:right w:val="single" w:sz="4" w:space="0" w:color="auto"/>
            </w:tcBorders>
            <w:shd w:val="clear" w:color="auto" w:fill="auto"/>
          </w:tcPr>
          <w:p w14:paraId="08CB05CF" w14:textId="68216EFE" w:rsidR="000D5D27" w:rsidRPr="000413EB" w:rsidRDefault="000D5D27" w:rsidP="000413EB">
            <w:pPr>
              <w:jc w:val="both"/>
              <w:rPr>
                <w:rFonts w:ascii="Times New Roman" w:hAnsi="Times New Roman"/>
                <w:sz w:val="20"/>
                <w:szCs w:val="20"/>
                <w:lang w:eastAsia="it-IT"/>
              </w:rPr>
            </w:pPr>
            <w:r w:rsidRPr="000413EB">
              <w:rPr>
                <w:rFonts w:ascii="Times New Roman" w:eastAsia="Arial" w:hAnsi="Times New Roman"/>
                <w:sz w:val="20"/>
                <w:szCs w:val="20"/>
              </w:rPr>
              <w:t>Капітальний ремонт дорожнього покриття по вул. Вишнева, Покровська, Шкільна в с. Сьомаки Жмеринського району Вінницької області (коригування)</w:t>
            </w:r>
          </w:p>
        </w:tc>
        <w:tc>
          <w:tcPr>
            <w:tcW w:w="1276" w:type="dxa"/>
            <w:shd w:val="clear" w:color="auto" w:fill="auto"/>
          </w:tcPr>
          <w:p w14:paraId="6FAA89D2" w14:textId="0C980B5B" w:rsidR="000D5D27" w:rsidRPr="000413EB" w:rsidRDefault="000D5D27" w:rsidP="00541BDD">
            <w:pPr>
              <w:widowControl w:val="0"/>
              <w:tabs>
                <w:tab w:val="left" w:pos="5829"/>
                <w:tab w:val="left" w:pos="9720"/>
                <w:tab w:val="left" w:pos="10357"/>
              </w:tabs>
              <w:autoSpaceDE w:val="0"/>
              <w:autoSpaceDN w:val="0"/>
              <w:jc w:val="center"/>
              <w:rPr>
                <w:rFonts w:ascii="Times New Roman" w:eastAsia="Arial" w:hAnsi="Times New Roman"/>
                <w:sz w:val="20"/>
                <w:szCs w:val="20"/>
                <w:lang w:eastAsia="en-US"/>
              </w:rPr>
            </w:pPr>
            <w:r w:rsidRPr="000413EB">
              <w:rPr>
                <w:rFonts w:ascii="Times New Roman" w:eastAsia="Arial" w:hAnsi="Times New Roman"/>
                <w:sz w:val="20"/>
                <w:szCs w:val="20"/>
                <w:lang w:eastAsia="en-US"/>
              </w:rPr>
              <w:t>2026</w:t>
            </w:r>
          </w:p>
        </w:tc>
        <w:tc>
          <w:tcPr>
            <w:tcW w:w="2345" w:type="dxa"/>
            <w:shd w:val="clear" w:color="auto" w:fill="auto"/>
          </w:tcPr>
          <w:p w14:paraId="7C764342" w14:textId="166873E6" w:rsidR="000D5D27" w:rsidRPr="000413EB" w:rsidRDefault="000D5D27" w:rsidP="000413EB">
            <w:pPr>
              <w:jc w:val="both"/>
              <w:rPr>
                <w:rFonts w:ascii="Times New Roman" w:hAnsi="Times New Roman"/>
                <w:color w:val="000000"/>
                <w:sz w:val="20"/>
                <w:szCs w:val="20"/>
                <w:lang w:eastAsia="it-IT"/>
              </w:rPr>
            </w:pPr>
            <w:r w:rsidRPr="000413EB">
              <w:rPr>
                <w:rFonts w:ascii="Times New Roman" w:hAnsi="Times New Roman"/>
                <w:sz w:val="20"/>
                <w:szCs w:val="20"/>
              </w:rPr>
              <w:t>Управління житлово-комунального господарства міської ради</w:t>
            </w:r>
          </w:p>
        </w:tc>
        <w:tc>
          <w:tcPr>
            <w:tcW w:w="2900" w:type="dxa"/>
            <w:shd w:val="clear" w:color="auto" w:fill="auto"/>
          </w:tcPr>
          <w:p w14:paraId="5FFF327C" w14:textId="5028B498" w:rsidR="000D5D27" w:rsidRPr="00097D39" w:rsidRDefault="000D5D27" w:rsidP="000413EB">
            <w:pPr>
              <w:jc w:val="both"/>
              <w:rPr>
                <w:rFonts w:ascii="Times New Roman" w:hAnsi="Times New Roman"/>
                <w:sz w:val="20"/>
                <w:szCs w:val="20"/>
                <w:lang w:eastAsia="it-IT"/>
              </w:rPr>
            </w:pPr>
            <w:r w:rsidRPr="000413EB">
              <w:rPr>
                <w:rFonts w:ascii="Times New Roman" w:hAnsi="Times New Roman"/>
                <w:sz w:val="20"/>
                <w:szCs w:val="20"/>
                <w:lang w:eastAsia="it-IT"/>
              </w:rPr>
              <w:t>Площа ремонтованого покриття проїзної частини, з’їздів, розширень, площадок: 3658 м</w:t>
            </w:r>
            <w:r w:rsidRPr="000413EB">
              <w:rPr>
                <w:rFonts w:ascii="Times New Roman" w:hAnsi="Times New Roman"/>
                <w:sz w:val="20"/>
                <w:szCs w:val="20"/>
                <w:vertAlign w:val="superscript"/>
                <w:lang w:eastAsia="it-IT"/>
              </w:rPr>
              <w:t xml:space="preserve">2  </w:t>
            </w:r>
            <w:r w:rsidRPr="000413EB">
              <w:rPr>
                <w:rFonts w:ascii="Times New Roman" w:hAnsi="Times New Roman"/>
                <w:sz w:val="20"/>
                <w:szCs w:val="20"/>
                <w:lang w:eastAsia="it-IT"/>
              </w:rPr>
              <w:t>та площа присипних узбіч: 484,2 м</w:t>
            </w:r>
            <w:r w:rsidRPr="000413EB">
              <w:rPr>
                <w:rFonts w:ascii="Times New Roman" w:hAnsi="Times New Roman"/>
                <w:sz w:val="20"/>
                <w:szCs w:val="20"/>
                <w:vertAlign w:val="superscript"/>
                <w:lang w:eastAsia="it-IT"/>
              </w:rPr>
              <w:t>2</w:t>
            </w:r>
            <w:r w:rsidR="00097D39">
              <w:rPr>
                <w:rFonts w:ascii="Times New Roman" w:hAnsi="Times New Roman"/>
                <w:sz w:val="20"/>
                <w:szCs w:val="20"/>
                <w:lang w:eastAsia="it-IT"/>
              </w:rPr>
              <w:t>.</w:t>
            </w:r>
          </w:p>
        </w:tc>
      </w:tr>
      <w:tr w:rsidR="000D5D27" w:rsidRPr="000413EB" w14:paraId="3A58E9C6" w14:textId="77777777" w:rsidTr="00541BDD">
        <w:trPr>
          <w:trHeight w:val="1693"/>
        </w:trPr>
        <w:tc>
          <w:tcPr>
            <w:tcW w:w="567" w:type="dxa"/>
            <w:shd w:val="clear" w:color="auto" w:fill="auto"/>
          </w:tcPr>
          <w:p w14:paraId="206C18FE" w14:textId="51A47146" w:rsidR="000D5D27"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4</w:t>
            </w:r>
          </w:p>
        </w:tc>
        <w:tc>
          <w:tcPr>
            <w:tcW w:w="2694" w:type="dxa"/>
            <w:shd w:val="clear" w:color="auto" w:fill="auto"/>
          </w:tcPr>
          <w:p w14:paraId="6E0789D5" w14:textId="47A15B52" w:rsidR="000D5D27" w:rsidRPr="000413EB" w:rsidRDefault="000D5D27" w:rsidP="000413EB">
            <w:pPr>
              <w:jc w:val="both"/>
              <w:rPr>
                <w:rFonts w:ascii="Times New Roman" w:hAnsi="Times New Roman"/>
                <w:bCs/>
                <w:sz w:val="20"/>
                <w:szCs w:val="20"/>
                <w:lang w:eastAsia="uk-UA"/>
              </w:rPr>
            </w:pPr>
            <w:r w:rsidRPr="000413EB">
              <w:rPr>
                <w:rFonts w:ascii="Times New Roman" w:hAnsi="Times New Roman"/>
                <w:sz w:val="20"/>
                <w:szCs w:val="20"/>
              </w:rPr>
              <w:t>В.1.1. Розбудова дорожньої інфраструктури</w:t>
            </w:r>
          </w:p>
        </w:tc>
        <w:tc>
          <w:tcPr>
            <w:tcW w:w="2551" w:type="dxa"/>
            <w:shd w:val="clear" w:color="auto" w:fill="auto"/>
          </w:tcPr>
          <w:p w14:paraId="323FAE1C" w14:textId="1C9251B5" w:rsidR="000D5D27" w:rsidRPr="000413EB" w:rsidRDefault="000D5D27" w:rsidP="000413EB">
            <w:pPr>
              <w:suppressAutoHyphens/>
              <w:jc w:val="both"/>
              <w:rPr>
                <w:rFonts w:ascii="Times New Roman" w:hAnsi="Times New Roman"/>
                <w:sz w:val="20"/>
                <w:szCs w:val="20"/>
              </w:rPr>
            </w:pPr>
            <w:r w:rsidRPr="000413EB">
              <w:rPr>
                <w:rFonts w:ascii="Times New Roman" w:hAnsi="Times New Roman"/>
                <w:sz w:val="20"/>
                <w:szCs w:val="20"/>
              </w:rPr>
              <w:t>В.1.1.3. Проведення будівництва, реконструкції та капітального ремонту дорожнього покриття вулиць  та тротуарів в населених пунктах територіальної громади.</w:t>
            </w:r>
          </w:p>
        </w:tc>
        <w:tc>
          <w:tcPr>
            <w:tcW w:w="2835" w:type="dxa"/>
            <w:tcBorders>
              <w:top w:val="single" w:sz="4" w:space="0" w:color="auto"/>
              <w:bottom w:val="single" w:sz="4" w:space="0" w:color="auto"/>
              <w:right w:val="single" w:sz="4" w:space="0" w:color="auto"/>
            </w:tcBorders>
            <w:shd w:val="clear" w:color="auto" w:fill="auto"/>
          </w:tcPr>
          <w:p w14:paraId="50073A38" w14:textId="4C87BFFC" w:rsidR="000D5D27" w:rsidRPr="000413EB" w:rsidRDefault="000D5D27" w:rsidP="000413EB">
            <w:pPr>
              <w:jc w:val="both"/>
              <w:rPr>
                <w:rFonts w:ascii="Times New Roman" w:hAnsi="Times New Roman"/>
                <w:sz w:val="20"/>
                <w:szCs w:val="20"/>
                <w:lang w:eastAsia="it-IT"/>
              </w:rPr>
            </w:pPr>
            <w:r w:rsidRPr="000413EB">
              <w:rPr>
                <w:rFonts w:ascii="Times New Roman" w:eastAsia="Arial" w:hAnsi="Times New Roman"/>
                <w:sz w:val="20"/>
                <w:szCs w:val="20"/>
              </w:rPr>
              <w:t xml:space="preserve">Капітальний ремонт дорожнього покриття </w:t>
            </w:r>
            <w:r w:rsidR="00541BDD">
              <w:rPr>
                <w:rFonts w:ascii="Times New Roman" w:eastAsia="Arial" w:hAnsi="Times New Roman"/>
                <w:sz w:val="20"/>
                <w:szCs w:val="20"/>
              </w:rPr>
              <w:t>по вул. Кармелюка (від перехр. з</w:t>
            </w:r>
            <w:r w:rsidRPr="000413EB">
              <w:rPr>
                <w:rFonts w:ascii="Times New Roman" w:eastAsia="Arial" w:hAnsi="Times New Roman"/>
                <w:sz w:val="20"/>
                <w:szCs w:val="20"/>
              </w:rPr>
              <w:t xml:space="preserve"> вул. Центральна до перехрестя з вул. Базарна) в с. Кармалюкове, Жмеринського району</w:t>
            </w:r>
          </w:p>
        </w:tc>
        <w:tc>
          <w:tcPr>
            <w:tcW w:w="1276" w:type="dxa"/>
            <w:shd w:val="clear" w:color="auto" w:fill="auto"/>
          </w:tcPr>
          <w:p w14:paraId="40514C36" w14:textId="7127383F" w:rsidR="000D5D27" w:rsidRPr="000413EB" w:rsidRDefault="0062395F" w:rsidP="00541BDD">
            <w:pPr>
              <w:widowControl w:val="0"/>
              <w:tabs>
                <w:tab w:val="left" w:pos="5829"/>
                <w:tab w:val="left" w:pos="9720"/>
                <w:tab w:val="left" w:pos="10357"/>
              </w:tabs>
              <w:autoSpaceDE w:val="0"/>
              <w:autoSpaceDN w:val="0"/>
              <w:jc w:val="center"/>
              <w:rPr>
                <w:rFonts w:ascii="Times New Roman" w:eastAsia="Arial" w:hAnsi="Times New Roman"/>
                <w:sz w:val="20"/>
                <w:szCs w:val="20"/>
                <w:lang w:eastAsia="en-US"/>
              </w:rPr>
            </w:pPr>
            <w:r w:rsidRPr="000413EB">
              <w:rPr>
                <w:rFonts w:ascii="Times New Roman" w:eastAsia="Arial" w:hAnsi="Times New Roman"/>
                <w:sz w:val="20"/>
                <w:szCs w:val="20"/>
                <w:lang w:eastAsia="en-US"/>
              </w:rPr>
              <w:t>2026</w:t>
            </w:r>
          </w:p>
        </w:tc>
        <w:tc>
          <w:tcPr>
            <w:tcW w:w="2345" w:type="dxa"/>
            <w:shd w:val="clear" w:color="auto" w:fill="auto"/>
          </w:tcPr>
          <w:p w14:paraId="09E5939B" w14:textId="4032EDC3" w:rsidR="000D5D27" w:rsidRPr="000413EB" w:rsidRDefault="000D5D27" w:rsidP="000413EB">
            <w:pPr>
              <w:jc w:val="both"/>
              <w:rPr>
                <w:rFonts w:ascii="Times New Roman" w:hAnsi="Times New Roman"/>
                <w:color w:val="000000"/>
                <w:sz w:val="20"/>
                <w:szCs w:val="20"/>
                <w:lang w:eastAsia="it-IT"/>
              </w:rPr>
            </w:pPr>
            <w:r w:rsidRPr="000413EB">
              <w:rPr>
                <w:rFonts w:ascii="Times New Roman" w:hAnsi="Times New Roman"/>
                <w:sz w:val="20"/>
                <w:szCs w:val="20"/>
              </w:rPr>
              <w:t>Управління житлово-комунального господарства міської ради</w:t>
            </w:r>
          </w:p>
        </w:tc>
        <w:tc>
          <w:tcPr>
            <w:tcW w:w="2900" w:type="dxa"/>
            <w:shd w:val="clear" w:color="auto" w:fill="auto"/>
          </w:tcPr>
          <w:p w14:paraId="475C4892" w14:textId="73990383" w:rsidR="000D5D27" w:rsidRPr="00097D39" w:rsidRDefault="0062395F" w:rsidP="000413EB">
            <w:pPr>
              <w:jc w:val="both"/>
              <w:rPr>
                <w:rFonts w:ascii="Times New Roman" w:hAnsi="Times New Roman"/>
                <w:sz w:val="20"/>
                <w:szCs w:val="20"/>
                <w:lang w:eastAsia="it-IT"/>
              </w:rPr>
            </w:pPr>
            <w:r w:rsidRPr="000413EB">
              <w:rPr>
                <w:rFonts w:ascii="Times New Roman" w:hAnsi="Times New Roman"/>
                <w:sz w:val="20"/>
                <w:szCs w:val="20"/>
                <w:lang w:eastAsia="it-IT"/>
              </w:rPr>
              <w:t>Площа ремонтованого покриття проїзної частини, з’їздів, розширень, площадок: 2142 м</w:t>
            </w:r>
            <w:r w:rsidRPr="00097D39">
              <w:rPr>
                <w:rFonts w:ascii="Times New Roman" w:hAnsi="Times New Roman"/>
                <w:sz w:val="20"/>
                <w:szCs w:val="20"/>
                <w:vertAlign w:val="superscript"/>
                <w:lang w:eastAsia="it-IT"/>
              </w:rPr>
              <w:t>2</w:t>
            </w:r>
            <w:r w:rsidRPr="000413EB">
              <w:rPr>
                <w:rFonts w:ascii="Times New Roman" w:hAnsi="Times New Roman"/>
                <w:sz w:val="20"/>
                <w:szCs w:val="20"/>
                <w:lang w:eastAsia="it-IT"/>
              </w:rPr>
              <w:t xml:space="preserve"> та площа присипних узбіч: 565 м</w:t>
            </w:r>
            <w:r w:rsidRPr="00097D39">
              <w:rPr>
                <w:rFonts w:ascii="Times New Roman" w:hAnsi="Times New Roman"/>
                <w:sz w:val="20"/>
                <w:szCs w:val="20"/>
                <w:vertAlign w:val="superscript"/>
                <w:lang w:eastAsia="it-IT"/>
              </w:rPr>
              <w:t>2</w:t>
            </w:r>
            <w:r w:rsidR="00097D39">
              <w:rPr>
                <w:rFonts w:ascii="Times New Roman" w:hAnsi="Times New Roman"/>
                <w:sz w:val="20"/>
                <w:szCs w:val="20"/>
                <w:lang w:eastAsia="it-IT"/>
              </w:rPr>
              <w:t>.</w:t>
            </w:r>
          </w:p>
        </w:tc>
      </w:tr>
      <w:tr w:rsidR="000D5D27" w:rsidRPr="000413EB" w14:paraId="3752A0CB" w14:textId="77777777" w:rsidTr="00541BDD">
        <w:trPr>
          <w:trHeight w:val="1703"/>
        </w:trPr>
        <w:tc>
          <w:tcPr>
            <w:tcW w:w="567" w:type="dxa"/>
            <w:shd w:val="clear" w:color="auto" w:fill="auto"/>
          </w:tcPr>
          <w:p w14:paraId="5729205A" w14:textId="2C9A749B" w:rsidR="000D5D27"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lastRenderedPageBreak/>
              <w:t>5</w:t>
            </w:r>
          </w:p>
        </w:tc>
        <w:tc>
          <w:tcPr>
            <w:tcW w:w="2694" w:type="dxa"/>
            <w:shd w:val="clear" w:color="auto" w:fill="auto"/>
          </w:tcPr>
          <w:p w14:paraId="5FCAFC01" w14:textId="14392E36" w:rsidR="000D5D27" w:rsidRPr="000413EB" w:rsidRDefault="000D5D27" w:rsidP="000413EB">
            <w:pPr>
              <w:jc w:val="both"/>
              <w:rPr>
                <w:rFonts w:ascii="Times New Roman" w:hAnsi="Times New Roman"/>
                <w:bCs/>
                <w:sz w:val="20"/>
                <w:szCs w:val="20"/>
                <w:lang w:eastAsia="uk-UA"/>
              </w:rPr>
            </w:pPr>
            <w:r w:rsidRPr="000413EB">
              <w:rPr>
                <w:rFonts w:ascii="Times New Roman" w:hAnsi="Times New Roman"/>
                <w:sz w:val="20"/>
                <w:szCs w:val="20"/>
              </w:rPr>
              <w:t>В.1.1. Розбудова дорожньої інфраструктури</w:t>
            </w:r>
          </w:p>
        </w:tc>
        <w:tc>
          <w:tcPr>
            <w:tcW w:w="2551" w:type="dxa"/>
            <w:shd w:val="clear" w:color="auto" w:fill="auto"/>
          </w:tcPr>
          <w:p w14:paraId="09328E01" w14:textId="684EEAD9" w:rsidR="000D5D27" w:rsidRPr="000413EB" w:rsidRDefault="000D5D27" w:rsidP="000413EB">
            <w:pPr>
              <w:suppressAutoHyphens/>
              <w:jc w:val="both"/>
              <w:rPr>
                <w:rFonts w:ascii="Times New Roman" w:hAnsi="Times New Roman"/>
                <w:sz w:val="20"/>
                <w:szCs w:val="20"/>
              </w:rPr>
            </w:pPr>
            <w:r w:rsidRPr="000413EB">
              <w:rPr>
                <w:rFonts w:ascii="Times New Roman" w:hAnsi="Times New Roman"/>
                <w:sz w:val="20"/>
                <w:szCs w:val="20"/>
              </w:rPr>
              <w:t>В.1.1.3. Проведення будівництва, реконструкції та капітального ремонту дорожнього покриття вулиць  та тротуарів в населених пунктах територіальної громади.</w:t>
            </w:r>
          </w:p>
        </w:tc>
        <w:tc>
          <w:tcPr>
            <w:tcW w:w="2835" w:type="dxa"/>
            <w:tcBorders>
              <w:top w:val="single" w:sz="4" w:space="0" w:color="auto"/>
              <w:bottom w:val="single" w:sz="4" w:space="0" w:color="auto"/>
              <w:right w:val="single" w:sz="4" w:space="0" w:color="auto"/>
            </w:tcBorders>
            <w:shd w:val="clear" w:color="auto" w:fill="auto"/>
          </w:tcPr>
          <w:p w14:paraId="737E7575" w14:textId="0F2E99C9" w:rsidR="000D5D27" w:rsidRPr="000413EB" w:rsidRDefault="000D5D27" w:rsidP="000413EB">
            <w:pPr>
              <w:jc w:val="both"/>
              <w:rPr>
                <w:rFonts w:ascii="Times New Roman" w:hAnsi="Times New Roman"/>
                <w:sz w:val="20"/>
                <w:szCs w:val="20"/>
                <w:lang w:eastAsia="it-IT"/>
              </w:rPr>
            </w:pPr>
            <w:r w:rsidRPr="000413EB">
              <w:rPr>
                <w:rFonts w:ascii="Times New Roman" w:eastAsia="Arial" w:hAnsi="Times New Roman"/>
                <w:sz w:val="20"/>
                <w:szCs w:val="20"/>
              </w:rPr>
              <w:t>Капітальний ремонт дорожнього покриття по вул. Олега Кандирала в с. Дубова, Жмеринського району</w:t>
            </w:r>
          </w:p>
        </w:tc>
        <w:tc>
          <w:tcPr>
            <w:tcW w:w="1276" w:type="dxa"/>
            <w:shd w:val="clear" w:color="auto" w:fill="auto"/>
          </w:tcPr>
          <w:p w14:paraId="556CF314" w14:textId="4449FD22" w:rsidR="000D5D27" w:rsidRPr="000413EB" w:rsidRDefault="0062395F" w:rsidP="00541BDD">
            <w:pPr>
              <w:widowControl w:val="0"/>
              <w:tabs>
                <w:tab w:val="left" w:pos="5829"/>
                <w:tab w:val="left" w:pos="9720"/>
                <w:tab w:val="left" w:pos="10357"/>
              </w:tabs>
              <w:autoSpaceDE w:val="0"/>
              <w:autoSpaceDN w:val="0"/>
              <w:jc w:val="center"/>
              <w:rPr>
                <w:rFonts w:ascii="Times New Roman" w:eastAsia="Arial" w:hAnsi="Times New Roman"/>
                <w:sz w:val="20"/>
                <w:szCs w:val="20"/>
                <w:lang w:eastAsia="en-US"/>
              </w:rPr>
            </w:pPr>
            <w:r w:rsidRPr="000413EB">
              <w:rPr>
                <w:rFonts w:ascii="Times New Roman" w:eastAsia="Arial" w:hAnsi="Times New Roman"/>
                <w:sz w:val="20"/>
                <w:szCs w:val="20"/>
                <w:lang w:eastAsia="en-US"/>
              </w:rPr>
              <w:t>2026</w:t>
            </w:r>
          </w:p>
        </w:tc>
        <w:tc>
          <w:tcPr>
            <w:tcW w:w="2345" w:type="dxa"/>
            <w:shd w:val="clear" w:color="auto" w:fill="auto"/>
          </w:tcPr>
          <w:p w14:paraId="4FB61D8E" w14:textId="7CD815F2" w:rsidR="000D5D27" w:rsidRPr="000413EB" w:rsidRDefault="000D5D27" w:rsidP="000413EB">
            <w:pPr>
              <w:jc w:val="both"/>
              <w:rPr>
                <w:rFonts w:ascii="Times New Roman" w:hAnsi="Times New Roman"/>
                <w:color w:val="000000"/>
                <w:sz w:val="20"/>
                <w:szCs w:val="20"/>
                <w:lang w:eastAsia="it-IT"/>
              </w:rPr>
            </w:pPr>
            <w:r w:rsidRPr="000413EB">
              <w:rPr>
                <w:rFonts w:ascii="Times New Roman" w:hAnsi="Times New Roman"/>
                <w:sz w:val="20"/>
                <w:szCs w:val="20"/>
              </w:rPr>
              <w:t>Управління житлово-комунального господарства міської ради</w:t>
            </w:r>
          </w:p>
        </w:tc>
        <w:tc>
          <w:tcPr>
            <w:tcW w:w="2900" w:type="dxa"/>
            <w:shd w:val="clear" w:color="auto" w:fill="auto"/>
          </w:tcPr>
          <w:p w14:paraId="1898C1E1" w14:textId="3DDA1D0B" w:rsidR="000D5D27" w:rsidRPr="00097D39" w:rsidRDefault="0062395F" w:rsidP="000413EB">
            <w:pPr>
              <w:jc w:val="both"/>
              <w:rPr>
                <w:rFonts w:ascii="Times New Roman" w:hAnsi="Times New Roman"/>
                <w:sz w:val="20"/>
                <w:szCs w:val="20"/>
                <w:lang w:eastAsia="it-IT"/>
              </w:rPr>
            </w:pPr>
            <w:r w:rsidRPr="000413EB">
              <w:rPr>
                <w:rFonts w:ascii="Times New Roman" w:hAnsi="Times New Roman"/>
                <w:sz w:val="20"/>
                <w:szCs w:val="20"/>
                <w:lang w:eastAsia="it-IT"/>
              </w:rPr>
              <w:t>Площа ремонтованого покриття проїзної частини, з’їздів, розширень, площадок: 2820,6 м</w:t>
            </w:r>
            <w:r w:rsidRPr="000413EB">
              <w:rPr>
                <w:rFonts w:ascii="Times New Roman" w:hAnsi="Times New Roman"/>
                <w:sz w:val="20"/>
                <w:szCs w:val="20"/>
                <w:vertAlign w:val="superscript"/>
                <w:lang w:eastAsia="it-IT"/>
              </w:rPr>
              <w:t xml:space="preserve">2  </w:t>
            </w:r>
            <w:r w:rsidRPr="000413EB">
              <w:rPr>
                <w:rFonts w:ascii="Times New Roman" w:hAnsi="Times New Roman"/>
                <w:sz w:val="20"/>
                <w:szCs w:val="20"/>
                <w:lang w:eastAsia="it-IT"/>
              </w:rPr>
              <w:t>та площа присипних узбіч: 676,8 м</w:t>
            </w:r>
            <w:r w:rsidRPr="000413EB">
              <w:rPr>
                <w:rFonts w:ascii="Times New Roman" w:hAnsi="Times New Roman"/>
                <w:sz w:val="20"/>
                <w:szCs w:val="20"/>
                <w:vertAlign w:val="superscript"/>
                <w:lang w:eastAsia="it-IT"/>
              </w:rPr>
              <w:t>2</w:t>
            </w:r>
            <w:r w:rsidR="00097D39">
              <w:rPr>
                <w:rFonts w:ascii="Times New Roman" w:hAnsi="Times New Roman"/>
                <w:sz w:val="20"/>
                <w:szCs w:val="20"/>
                <w:lang w:eastAsia="it-IT"/>
              </w:rPr>
              <w:t>.</w:t>
            </w:r>
          </w:p>
        </w:tc>
      </w:tr>
      <w:tr w:rsidR="000D5D27" w:rsidRPr="000413EB" w14:paraId="5DB16652" w14:textId="77777777" w:rsidTr="00541BDD">
        <w:tc>
          <w:tcPr>
            <w:tcW w:w="567" w:type="dxa"/>
            <w:shd w:val="clear" w:color="auto" w:fill="auto"/>
          </w:tcPr>
          <w:p w14:paraId="5F72476C" w14:textId="3C78208C" w:rsidR="000D5D27"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6</w:t>
            </w:r>
          </w:p>
        </w:tc>
        <w:tc>
          <w:tcPr>
            <w:tcW w:w="2694" w:type="dxa"/>
            <w:shd w:val="clear" w:color="auto" w:fill="auto"/>
          </w:tcPr>
          <w:p w14:paraId="3E2AEF59" w14:textId="70AE83CA" w:rsidR="000D5D27" w:rsidRPr="000413EB" w:rsidRDefault="000D5D27" w:rsidP="000413EB">
            <w:pPr>
              <w:jc w:val="both"/>
              <w:rPr>
                <w:rFonts w:ascii="Times New Roman" w:hAnsi="Times New Roman"/>
                <w:bCs/>
                <w:sz w:val="20"/>
                <w:szCs w:val="20"/>
                <w:lang w:eastAsia="uk-UA"/>
              </w:rPr>
            </w:pPr>
            <w:r w:rsidRPr="000413EB">
              <w:rPr>
                <w:rFonts w:ascii="Times New Roman" w:hAnsi="Times New Roman"/>
                <w:sz w:val="20"/>
                <w:szCs w:val="20"/>
              </w:rPr>
              <w:t>В.1.1. Розбудова дорожньої інфраструктури</w:t>
            </w:r>
          </w:p>
        </w:tc>
        <w:tc>
          <w:tcPr>
            <w:tcW w:w="2551" w:type="dxa"/>
            <w:shd w:val="clear" w:color="auto" w:fill="auto"/>
          </w:tcPr>
          <w:p w14:paraId="102CFF81" w14:textId="36946C96" w:rsidR="000D5D27" w:rsidRPr="000413EB" w:rsidRDefault="000D5D27" w:rsidP="000413EB">
            <w:pPr>
              <w:suppressAutoHyphens/>
              <w:jc w:val="both"/>
              <w:rPr>
                <w:rFonts w:ascii="Times New Roman" w:hAnsi="Times New Roman"/>
                <w:sz w:val="20"/>
                <w:szCs w:val="20"/>
              </w:rPr>
            </w:pPr>
            <w:r w:rsidRPr="000413EB">
              <w:rPr>
                <w:rFonts w:ascii="Times New Roman" w:hAnsi="Times New Roman"/>
                <w:sz w:val="20"/>
                <w:szCs w:val="20"/>
              </w:rPr>
              <w:t>В.1.1.3. Проведення будівництва, реконструкції та капітального ремонту дорожнього покриття вулиць  та тротуарів в населених пунктах територіальної громади.</w:t>
            </w:r>
          </w:p>
        </w:tc>
        <w:tc>
          <w:tcPr>
            <w:tcW w:w="2835" w:type="dxa"/>
            <w:tcBorders>
              <w:top w:val="single" w:sz="4" w:space="0" w:color="auto"/>
              <w:bottom w:val="single" w:sz="4" w:space="0" w:color="auto"/>
              <w:right w:val="single" w:sz="4" w:space="0" w:color="auto"/>
            </w:tcBorders>
            <w:shd w:val="clear" w:color="auto" w:fill="auto"/>
          </w:tcPr>
          <w:p w14:paraId="2952A6FF" w14:textId="09CE74C3" w:rsidR="000D5D27" w:rsidRPr="000413EB" w:rsidRDefault="000D5D27" w:rsidP="000413EB">
            <w:pPr>
              <w:jc w:val="both"/>
              <w:rPr>
                <w:rFonts w:ascii="Times New Roman" w:hAnsi="Times New Roman"/>
                <w:sz w:val="20"/>
                <w:szCs w:val="20"/>
                <w:lang w:eastAsia="it-IT"/>
              </w:rPr>
            </w:pPr>
            <w:r w:rsidRPr="000413EB">
              <w:rPr>
                <w:rFonts w:ascii="Times New Roman" w:eastAsia="Arial" w:hAnsi="Times New Roman"/>
                <w:sz w:val="20"/>
                <w:szCs w:val="20"/>
              </w:rPr>
              <w:t>Капітальний ремонт дорожнього покриття по вул. Шкільна (від буд. №5), вул. Космонавтів (буд. №39-буд. №42), вул. Соборна (до буд. №86 по вул. Жовтнева) в с. Людавка Жмеринського району Вінницької області (коригування)</w:t>
            </w:r>
          </w:p>
        </w:tc>
        <w:tc>
          <w:tcPr>
            <w:tcW w:w="1276" w:type="dxa"/>
            <w:shd w:val="clear" w:color="auto" w:fill="auto"/>
          </w:tcPr>
          <w:p w14:paraId="62DD41C7" w14:textId="47400F84" w:rsidR="000D5D27" w:rsidRPr="000413EB" w:rsidRDefault="0062395F" w:rsidP="00541BDD">
            <w:pPr>
              <w:widowControl w:val="0"/>
              <w:tabs>
                <w:tab w:val="left" w:pos="5829"/>
                <w:tab w:val="left" w:pos="9720"/>
                <w:tab w:val="left" w:pos="10357"/>
              </w:tabs>
              <w:autoSpaceDE w:val="0"/>
              <w:autoSpaceDN w:val="0"/>
              <w:jc w:val="center"/>
              <w:rPr>
                <w:rFonts w:ascii="Times New Roman" w:eastAsia="Arial" w:hAnsi="Times New Roman"/>
                <w:sz w:val="20"/>
                <w:szCs w:val="20"/>
                <w:lang w:eastAsia="en-US"/>
              </w:rPr>
            </w:pPr>
            <w:r w:rsidRPr="000413EB">
              <w:rPr>
                <w:rFonts w:ascii="Times New Roman" w:eastAsia="Arial" w:hAnsi="Times New Roman"/>
                <w:sz w:val="20"/>
                <w:szCs w:val="20"/>
                <w:lang w:eastAsia="en-US"/>
              </w:rPr>
              <w:t>2026</w:t>
            </w:r>
          </w:p>
        </w:tc>
        <w:tc>
          <w:tcPr>
            <w:tcW w:w="2345" w:type="dxa"/>
            <w:shd w:val="clear" w:color="auto" w:fill="auto"/>
          </w:tcPr>
          <w:p w14:paraId="5D315186" w14:textId="08CEE964" w:rsidR="000D5D27" w:rsidRPr="000413EB" w:rsidRDefault="000D5D27" w:rsidP="000413EB">
            <w:pPr>
              <w:jc w:val="both"/>
              <w:rPr>
                <w:rFonts w:ascii="Times New Roman" w:hAnsi="Times New Roman"/>
                <w:color w:val="000000"/>
                <w:sz w:val="20"/>
                <w:szCs w:val="20"/>
                <w:lang w:eastAsia="it-IT"/>
              </w:rPr>
            </w:pPr>
            <w:r w:rsidRPr="000413EB">
              <w:rPr>
                <w:rFonts w:ascii="Times New Roman" w:hAnsi="Times New Roman"/>
                <w:sz w:val="20"/>
                <w:szCs w:val="20"/>
              </w:rPr>
              <w:t>Управління житлово-комунального господарства міської ради</w:t>
            </w:r>
          </w:p>
        </w:tc>
        <w:tc>
          <w:tcPr>
            <w:tcW w:w="2900" w:type="dxa"/>
            <w:shd w:val="clear" w:color="auto" w:fill="auto"/>
          </w:tcPr>
          <w:p w14:paraId="4811608A" w14:textId="2662F83E" w:rsidR="000D5D27" w:rsidRPr="00097D39" w:rsidRDefault="0062395F" w:rsidP="000413EB">
            <w:pPr>
              <w:jc w:val="both"/>
              <w:rPr>
                <w:rFonts w:ascii="Times New Roman" w:hAnsi="Times New Roman"/>
                <w:sz w:val="20"/>
                <w:szCs w:val="20"/>
                <w:lang w:eastAsia="it-IT"/>
              </w:rPr>
            </w:pPr>
            <w:r w:rsidRPr="000413EB">
              <w:rPr>
                <w:rFonts w:ascii="Times New Roman" w:hAnsi="Times New Roman"/>
                <w:sz w:val="20"/>
                <w:szCs w:val="20"/>
                <w:lang w:eastAsia="it-IT"/>
              </w:rPr>
              <w:t>Площа ремонтованого покриття проїзної частини, з’їздів, розширень, площадок: 3169,5 м</w:t>
            </w:r>
            <w:r w:rsidRPr="00541BDD">
              <w:rPr>
                <w:rFonts w:ascii="Times New Roman" w:hAnsi="Times New Roman"/>
                <w:sz w:val="20"/>
                <w:szCs w:val="20"/>
                <w:vertAlign w:val="superscript"/>
                <w:lang w:eastAsia="it-IT"/>
              </w:rPr>
              <w:t xml:space="preserve">2 </w:t>
            </w:r>
            <w:r w:rsidRPr="000413EB">
              <w:rPr>
                <w:rFonts w:ascii="Times New Roman" w:hAnsi="Times New Roman"/>
                <w:sz w:val="20"/>
                <w:szCs w:val="20"/>
                <w:lang w:eastAsia="it-IT"/>
              </w:rPr>
              <w:t xml:space="preserve"> та площа присипних узбіч: 642,4 м</w:t>
            </w:r>
            <w:r w:rsidRPr="00541BDD">
              <w:rPr>
                <w:rFonts w:ascii="Times New Roman" w:hAnsi="Times New Roman"/>
                <w:sz w:val="20"/>
                <w:szCs w:val="20"/>
                <w:vertAlign w:val="superscript"/>
                <w:lang w:eastAsia="it-IT"/>
              </w:rPr>
              <w:t>2</w:t>
            </w:r>
            <w:r w:rsidR="00097D39">
              <w:rPr>
                <w:rFonts w:ascii="Times New Roman" w:hAnsi="Times New Roman"/>
                <w:sz w:val="20"/>
                <w:szCs w:val="20"/>
                <w:lang w:eastAsia="it-IT"/>
              </w:rPr>
              <w:t>.</w:t>
            </w:r>
          </w:p>
        </w:tc>
      </w:tr>
      <w:tr w:rsidR="000D5D27" w:rsidRPr="000413EB" w14:paraId="14033C4A" w14:textId="77777777" w:rsidTr="00541BDD">
        <w:tc>
          <w:tcPr>
            <w:tcW w:w="567" w:type="dxa"/>
            <w:shd w:val="clear" w:color="auto" w:fill="auto"/>
          </w:tcPr>
          <w:p w14:paraId="0752C361" w14:textId="67856436" w:rsidR="000D5D27"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7</w:t>
            </w:r>
          </w:p>
        </w:tc>
        <w:tc>
          <w:tcPr>
            <w:tcW w:w="2694" w:type="dxa"/>
            <w:shd w:val="clear" w:color="auto" w:fill="auto"/>
          </w:tcPr>
          <w:p w14:paraId="0D1E1EF5" w14:textId="7202C2BB" w:rsidR="000D5D27" w:rsidRPr="000413EB" w:rsidRDefault="000D5D27" w:rsidP="000413EB">
            <w:pPr>
              <w:jc w:val="both"/>
              <w:rPr>
                <w:rFonts w:ascii="Times New Roman" w:hAnsi="Times New Roman"/>
                <w:bCs/>
                <w:sz w:val="20"/>
                <w:szCs w:val="20"/>
                <w:lang w:eastAsia="uk-UA"/>
              </w:rPr>
            </w:pPr>
            <w:r w:rsidRPr="000413EB">
              <w:rPr>
                <w:rFonts w:ascii="Times New Roman" w:hAnsi="Times New Roman"/>
                <w:sz w:val="20"/>
                <w:szCs w:val="20"/>
              </w:rPr>
              <w:t>В.1.1. Розбудова дорожньої інфраструктури</w:t>
            </w:r>
          </w:p>
        </w:tc>
        <w:tc>
          <w:tcPr>
            <w:tcW w:w="2551" w:type="dxa"/>
            <w:shd w:val="clear" w:color="auto" w:fill="auto"/>
          </w:tcPr>
          <w:p w14:paraId="579651C1" w14:textId="77168397" w:rsidR="000D5D27" w:rsidRPr="000413EB" w:rsidRDefault="000D5D27" w:rsidP="000413EB">
            <w:pPr>
              <w:suppressAutoHyphens/>
              <w:jc w:val="both"/>
              <w:rPr>
                <w:rFonts w:ascii="Times New Roman" w:hAnsi="Times New Roman"/>
                <w:sz w:val="20"/>
                <w:szCs w:val="20"/>
              </w:rPr>
            </w:pPr>
            <w:r w:rsidRPr="000413EB">
              <w:rPr>
                <w:rFonts w:ascii="Times New Roman" w:hAnsi="Times New Roman"/>
                <w:sz w:val="20"/>
                <w:szCs w:val="20"/>
              </w:rPr>
              <w:t>В.1.1.3. Проведення будівництва, реконструкції та капітального ремонту дорожнього покриття вулиць  та тротуарів в населених пунктах територіальної громади.</w:t>
            </w:r>
          </w:p>
        </w:tc>
        <w:tc>
          <w:tcPr>
            <w:tcW w:w="2835" w:type="dxa"/>
            <w:tcBorders>
              <w:top w:val="single" w:sz="4" w:space="0" w:color="auto"/>
              <w:bottom w:val="single" w:sz="4" w:space="0" w:color="auto"/>
              <w:right w:val="single" w:sz="4" w:space="0" w:color="auto"/>
            </w:tcBorders>
            <w:shd w:val="clear" w:color="auto" w:fill="auto"/>
          </w:tcPr>
          <w:p w14:paraId="3CCB2E28" w14:textId="50620DEB" w:rsidR="000D5D27" w:rsidRPr="000413EB" w:rsidRDefault="000D5D27" w:rsidP="000413EB">
            <w:pPr>
              <w:jc w:val="both"/>
              <w:rPr>
                <w:rFonts w:ascii="Times New Roman" w:hAnsi="Times New Roman"/>
                <w:sz w:val="20"/>
                <w:szCs w:val="20"/>
                <w:lang w:eastAsia="it-IT"/>
              </w:rPr>
            </w:pPr>
            <w:r w:rsidRPr="000413EB">
              <w:rPr>
                <w:rFonts w:ascii="Times New Roman" w:eastAsia="Arial" w:hAnsi="Times New Roman"/>
                <w:sz w:val="20"/>
                <w:szCs w:val="20"/>
              </w:rPr>
              <w:t>Капітальний ремонт дорожнього покриття по вул. Достоєвського в м. Жмеринка Вінницької області</w:t>
            </w:r>
          </w:p>
        </w:tc>
        <w:tc>
          <w:tcPr>
            <w:tcW w:w="1276" w:type="dxa"/>
            <w:shd w:val="clear" w:color="auto" w:fill="auto"/>
          </w:tcPr>
          <w:p w14:paraId="59B69497" w14:textId="6E910E0F" w:rsidR="000D5D27" w:rsidRPr="000413EB" w:rsidRDefault="0062395F" w:rsidP="00541BDD">
            <w:pPr>
              <w:widowControl w:val="0"/>
              <w:tabs>
                <w:tab w:val="left" w:pos="5829"/>
                <w:tab w:val="left" w:pos="9720"/>
                <w:tab w:val="left" w:pos="10357"/>
              </w:tabs>
              <w:autoSpaceDE w:val="0"/>
              <w:autoSpaceDN w:val="0"/>
              <w:jc w:val="center"/>
              <w:rPr>
                <w:rFonts w:ascii="Times New Roman" w:eastAsia="Arial" w:hAnsi="Times New Roman"/>
                <w:sz w:val="20"/>
                <w:szCs w:val="20"/>
                <w:lang w:eastAsia="en-US"/>
              </w:rPr>
            </w:pPr>
            <w:r w:rsidRPr="000413EB">
              <w:rPr>
                <w:rFonts w:ascii="Times New Roman" w:eastAsia="Arial" w:hAnsi="Times New Roman"/>
                <w:sz w:val="20"/>
                <w:szCs w:val="20"/>
                <w:lang w:eastAsia="en-US"/>
              </w:rPr>
              <w:t>2025</w:t>
            </w:r>
          </w:p>
        </w:tc>
        <w:tc>
          <w:tcPr>
            <w:tcW w:w="2345" w:type="dxa"/>
            <w:shd w:val="clear" w:color="auto" w:fill="auto"/>
          </w:tcPr>
          <w:p w14:paraId="4C6F3973" w14:textId="04DC5A34" w:rsidR="000D5D27" w:rsidRPr="000413EB" w:rsidRDefault="000D5D27" w:rsidP="000413EB">
            <w:pPr>
              <w:jc w:val="both"/>
              <w:rPr>
                <w:rFonts w:ascii="Times New Roman" w:hAnsi="Times New Roman"/>
                <w:color w:val="000000"/>
                <w:sz w:val="20"/>
                <w:szCs w:val="20"/>
                <w:lang w:eastAsia="it-IT"/>
              </w:rPr>
            </w:pPr>
            <w:r w:rsidRPr="000413EB">
              <w:rPr>
                <w:rFonts w:ascii="Times New Roman" w:hAnsi="Times New Roman"/>
                <w:sz w:val="20"/>
                <w:szCs w:val="20"/>
              </w:rPr>
              <w:t>Управління житлово-комунального господарства міської ради</w:t>
            </w:r>
          </w:p>
        </w:tc>
        <w:tc>
          <w:tcPr>
            <w:tcW w:w="2900" w:type="dxa"/>
            <w:shd w:val="clear" w:color="auto" w:fill="auto"/>
          </w:tcPr>
          <w:p w14:paraId="61FBCD63" w14:textId="499112F6" w:rsidR="000D5D27" w:rsidRPr="000413EB" w:rsidRDefault="0062395F" w:rsidP="000413EB">
            <w:pPr>
              <w:jc w:val="both"/>
              <w:rPr>
                <w:rFonts w:ascii="Times New Roman" w:hAnsi="Times New Roman"/>
                <w:sz w:val="20"/>
                <w:szCs w:val="20"/>
                <w:lang w:eastAsia="it-IT"/>
              </w:rPr>
            </w:pPr>
            <w:r w:rsidRPr="000413EB">
              <w:rPr>
                <w:rFonts w:ascii="Times New Roman" w:hAnsi="Times New Roman"/>
                <w:sz w:val="20"/>
                <w:szCs w:val="20"/>
                <w:lang w:eastAsia="it-IT"/>
              </w:rPr>
              <w:t>Площа дорожнього покриття, що ремонтується: 252 м</w:t>
            </w:r>
            <w:r w:rsidRPr="000413EB">
              <w:rPr>
                <w:rFonts w:ascii="Times New Roman" w:hAnsi="Times New Roman"/>
                <w:sz w:val="20"/>
                <w:szCs w:val="20"/>
                <w:vertAlign w:val="superscript"/>
                <w:lang w:eastAsia="it-IT"/>
              </w:rPr>
              <w:t>2</w:t>
            </w:r>
            <w:r w:rsidRPr="000413EB">
              <w:rPr>
                <w:rFonts w:ascii="Times New Roman" w:hAnsi="Times New Roman"/>
                <w:sz w:val="20"/>
                <w:szCs w:val="20"/>
                <w:lang w:eastAsia="it-IT"/>
              </w:rPr>
              <w:t xml:space="preserve"> та довжина ділянки: 65 м</w:t>
            </w:r>
            <w:r w:rsidR="00097D39">
              <w:rPr>
                <w:rFonts w:ascii="Times New Roman" w:hAnsi="Times New Roman"/>
                <w:sz w:val="20"/>
                <w:szCs w:val="20"/>
                <w:lang w:eastAsia="it-IT"/>
              </w:rPr>
              <w:t>.</w:t>
            </w:r>
          </w:p>
        </w:tc>
      </w:tr>
      <w:tr w:rsidR="000D5D27" w:rsidRPr="000413EB" w14:paraId="44F1F070" w14:textId="77777777" w:rsidTr="00541BDD">
        <w:tc>
          <w:tcPr>
            <w:tcW w:w="567" w:type="dxa"/>
            <w:shd w:val="clear" w:color="auto" w:fill="auto"/>
          </w:tcPr>
          <w:p w14:paraId="0E6CA16B" w14:textId="03626528" w:rsidR="000D5D27"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8</w:t>
            </w:r>
          </w:p>
        </w:tc>
        <w:tc>
          <w:tcPr>
            <w:tcW w:w="2694" w:type="dxa"/>
            <w:shd w:val="clear" w:color="auto" w:fill="auto"/>
          </w:tcPr>
          <w:p w14:paraId="78793CDE" w14:textId="6EF584EE" w:rsidR="000D5D27" w:rsidRPr="000413EB" w:rsidRDefault="000D5D27" w:rsidP="000413EB">
            <w:pPr>
              <w:jc w:val="both"/>
              <w:rPr>
                <w:rFonts w:ascii="Times New Roman" w:hAnsi="Times New Roman"/>
                <w:bCs/>
                <w:sz w:val="20"/>
                <w:szCs w:val="20"/>
                <w:lang w:eastAsia="uk-UA"/>
              </w:rPr>
            </w:pPr>
            <w:r w:rsidRPr="000413EB">
              <w:rPr>
                <w:rFonts w:ascii="Times New Roman" w:hAnsi="Times New Roman"/>
                <w:sz w:val="20"/>
                <w:szCs w:val="20"/>
              </w:rPr>
              <w:t>В.1.1. Розбудова дорожньої інфраструктури</w:t>
            </w:r>
          </w:p>
        </w:tc>
        <w:tc>
          <w:tcPr>
            <w:tcW w:w="2551" w:type="dxa"/>
            <w:shd w:val="clear" w:color="auto" w:fill="auto"/>
          </w:tcPr>
          <w:p w14:paraId="5E20F6ED" w14:textId="35C33489" w:rsidR="000D5D27" w:rsidRPr="000413EB" w:rsidRDefault="000D5D27" w:rsidP="000413EB">
            <w:pPr>
              <w:suppressAutoHyphens/>
              <w:jc w:val="both"/>
              <w:rPr>
                <w:rFonts w:ascii="Times New Roman" w:hAnsi="Times New Roman"/>
                <w:sz w:val="20"/>
                <w:szCs w:val="20"/>
              </w:rPr>
            </w:pPr>
            <w:r w:rsidRPr="000413EB">
              <w:rPr>
                <w:rFonts w:ascii="Times New Roman" w:hAnsi="Times New Roman"/>
                <w:sz w:val="20"/>
                <w:szCs w:val="20"/>
              </w:rPr>
              <w:t>В.1.1.3. Проведення будівництва, реконструкції та капітального ремонту дорожнього покриття вулиць  та тротуарів в населених пунктах територіальної громади.</w:t>
            </w:r>
          </w:p>
        </w:tc>
        <w:tc>
          <w:tcPr>
            <w:tcW w:w="2835" w:type="dxa"/>
            <w:tcBorders>
              <w:top w:val="single" w:sz="4" w:space="0" w:color="auto"/>
              <w:bottom w:val="single" w:sz="4" w:space="0" w:color="auto"/>
              <w:right w:val="single" w:sz="4" w:space="0" w:color="auto"/>
            </w:tcBorders>
            <w:shd w:val="clear" w:color="auto" w:fill="auto"/>
          </w:tcPr>
          <w:p w14:paraId="31ADB9B1" w14:textId="5CBCC93C" w:rsidR="000D5D27" w:rsidRPr="000413EB" w:rsidRDefault="000D5D27" w:rsidP="000413EB">
            <w:pPr>
              <w:jc w:val="both"/>
              <w:rPr>
                <w:rFonts w:ascii="Times New Roman" w:hAnsi="Times New Roman"/>
                <w:sz w:val="20"/>
                <w:szCs w:val="20"/>
                <w:lang w:eastAsia="it-IT"/>
              </w:rPr>
            </w:pPr>
            <w:r w:rsidRPr="000413EB">
              <w:rPr>
                <w:rFonts w:ascii="Times New Roman" w:eastAsia="Arial" w:hAnsi="Times New Roman"/>
                <w:sz w:val="20"/>
                <w:szCs w:val="20"/>
              </w:rPr>
              <w:t xml:space="preserve">Капітальний ремонт дорожнього покриття по вул. Садова (від буд. №20 до вул. Центральної та від вул. Центральної до буд. №25) в с. Почапинці Жмеринського району Вінницької області (коригування) </w:t>
            </w:r>
          </w:p>
        </w:tc>
        <w:tc>
          <w:tcPr>
            <w:tcW w:w="1276" w:type="dxa"/>
            <w:shd w:val="clear" w:color="auto" w:fill="auto"/>
          </w:tcPr>
          <w:p w14:paraId="70B97BBD" w14:textId="584222DF" w:rsidR="000D5D27" w:rsidRPr="000413EB" w:rsidRDefault="0062395F" w:rsidP="00541BDD">
            <w:pPr>
              <w:widowControl w:val="0"/>
              <w:tabs>
                <w:tab w:val="left" w:pos="5829"/>
                <w:tab w:val="left" w:pos="9720"/>
                <w:tab w:val="left" w:pos="10357"/>
              </w:tabs>
              <w:autoSpaceDE w:val="0"/>
              <w:autoSpaceDN w:val="0"/>
              <w:jc w:val="center"/>
              <w:rPr>
                <w:rFonts w:ascii="Times New Roman" w:eastAsia="Arial" w:hAnsi="Times New Roman"/>
                <w:sz w:val="20"/>
                <w:szCs w:val="20"/>
                <w:lang w:eastAsia="en-US"/>
              </w:rPr>
            </w:pPr>
            <w:r w:rsidRPr="000413EB">
              <w:rPr>
                <w:rFonts w:ascii="Times New Roman" w:eastAsia="Arial" w:hAnsi="Times New Roman"/>
                <w:sz w:val="20"/>
                <w:szCs w:val="20"/>
                <w:lang w:eastAsia="en-US"/>
              </w:rPr>
              <w:t>2026</w:t>
            </w:r>
          </w:p>
        </w:tc>
        <w:tc>
          <w:tcPr>
            <w:tcW w:w="2345" w:type="dxa"/>
            <w:shd w:val="clear" w:color="auto" w:fill="auto"/>
          </w:tcPr>
          <w:p w14:paraId="16CCE398" w14:textId="147D2B33" w:rsidR="000D5D27" w:rsidRPr="000413EB" w:rsidRDefault="000D5D27" w:rsidP="000413EB">
            <w:pPr>
              <w:jc w:val="both"/>
              <w:rPr>
                <w:rFonts w:ascii="Times New Roman" w:hAnsi="Times New Roman"/>
                <w:color w:val="000000"/>
                <w:sz w:val="20"/>
                <w:szCs w:val="20"/>
                <w:lang w:eastAsia="it-IT"/>
              </w:rPr>
            </w:pPr>
            <w:r w:rsidRPr="000413EB">
              <w:rPr>
                <w:rFonts w:ascii="Times New Roman" w:hAnsi="Times New Roman"/>
                <w:sz w:val="20"/>
                <w:szCs w:val="20"/>
              </w:rPr>
              <w:t>Управління житлово-комунального господарства міської ради</w:t>
            </w:r>
          </w:p>
        </w:tc>
        <w:tc>
          <w:tcPr>
            <w:tcW w:w="2900" w:type="dxa"/>
            <w:shd w:val="clear" w:color="auto" w:fill="auto"/>
          </w:tcPr>
          <w:p w14:paraId="4D440147" w14:textId="5D91331E" w:rsidR="000D5D27" w:rsidRPr="00097D39" w:rsidRDefault="0062395F" w:rsidP="000413EB">
            <w:pPr>
              <w:jc w:val="both"/>
              <w:rPr>
                <w:rFonts w:ascii="Times New Roman" w:hAnsi="Times New Roman"/>
                <w:sz w:val="20"/>
                <w:szCs w:val="20"/>
                <w:lang w:eastAsia="it-IT"/>
              </w:rPr>
            </w:pPr>
            <w:r w:rsidRPr="000413EB">
              <w:rPr>
                <w:rFonts w:ascii="Times New Roman" w:hAnsi="Times New Roman"/>
                <w:sz w:val="20"/>
                <w:szCs w:val="20"/>
                <w:lang w:eastAsia="it-IT"/>
              </w:rPr>
              <w:t>Площа ремонтованого покриття проїзної частини, з’їздів, розширень, площадок: 1856 м</w:t>
            </w:r>
            <w:r w:rsidRPr="00097D39">
              <w:rPr>
                <w:rFonts w:ascii="Times New Roman" w:hAnsi="Times New Roman"/>
                <w:sz w:val="20"/>
                <w:szCs w:val="20"/>
                <w:vertAlign w:val="superscript"/>
                <w:lang w:eastAsia="it-IT"/>
              </w:rPr>
              <w:t>2</w:t>
            </w:r>
            <w:r w:rsidRPr="000413EB">
              <w:rPr>
                <w:rFonts w:ascii="Times New Roman" w:hAnsi="Times New Roman"/>
                <w:sz w:val="20"/>
                <w:szCs w:val="20"/>
                <w:lang w:eastAsia="it-IT"/>
              </w:rPr>
              <w:t xml:space="preserve">  та площа присипних узбіч: 294</w:t>
            </w:r>
            <w:r w:rsidR="00097D39">
              <w:rPr>
                <w:rFonts w:ascii="Times New Roman" w:hAnsi="Times New Roman"/>
                <w:sz w:val="20"/>
                <w:szCs w:val="20"/>
                <w:lang w:eastAsia="it-IT"/>
              </w:rPr>
              <w:t xml:space="preserve"> </w:t>
            </w:r>
            <w:r w:rsidRPr="000413EB">
              <w:rPr>
                <w:rFonts w:ascii="Times New Roman" w:hAnsi="Times New Roman"/>
                <w:sz w:val="20"/>
                <w:szCs w:val="20"/>
                <w:lang w:eastAsia="it-IT"/>
              </w:rPr>
              <w:t>м</w:t>
            </w:r>
            <w:r w:rsidRPr="00097D39">
              <w:rPr>
                <w:rFonts w:ascii="Times New Roman" w:hAnsi="Times New Roman"/>
                <w:sz w:val="20"/>
                <w:szCs w:val="20"/>
                <w:vertAlign w:val="superscript"/>
                <w:lang w:eastAsia="it-IT"/>
              </w:rPr>
              <w:t>2</w:t>
            </w:r>
            <w:r w:rsidR="00097D39">
              <w:rPr>
                <w:rFonts w:ascii="Times New Roman" w:hAnsi="Times New Roman"/>
                <w:sz w:val="20"/>
                <w:szCs w:val="20"/>
                <w:lang w:eastAsia="it-IT"/>
              </w:rPr>
              <w:t>.</w:t>
            </w:r>
          </w:p>
        </w:tc>
      </w:tr>
      <w:tr w:rsidR="00BC7F59" w:rsidRPr="000413EB" w14:paraId="46B64B26" w14:textId="77777777" w:rsidTr="00541BDD">
        <w:tc>
          <w:tcPr>
            <w:tcW w:w="567" w:type="dxa"/>
            <w:shd w:val="clear" w:color="auto" w:fill="auto"/>
          </w:tcPr>
          <w:p w14:paraId="71CC115D" w14:textId="70CF5478" w:rsidR="00BC7F59"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9</w:t>
            </w:r>
          </w:p>
        </w:tc>
        <w:tc>
          <w:tcPr>
            <w:tcW w:w="2694" w:type="dxa"/>
            <w:shd w:val="clear" w:color="auto" w:fill="auto"/>
          </w:tcPr>
          <w:p w14:paraId="3CC2FFEA" w14:textId="77777777" w:rsidR="00BC7F59" w:rsidRPr="000413EB" w:rsidRDefault="00BC7F59" w:rsidP="000413EB">
            <w:pPr>
              <w:jc w:val="both"/>
              <w:rPr>
                <w:rFonts w:ascii="Times New Roman" w:hAnsi="Times New Roman"/>
                <w:bCs/>
                <w:sz w:val="20"/>
                <w:szCs w:val="20"/>
                <w:lang w:eastAsia="uk-UA"/>
              </w:rPr>
            </w:pPr>
            <w:r w:rsidRPr="000413EB">
              <w:rPr>
                <w:rFonts w:ascii="Times New Roman" w:hAnsi="Times New Roman"/>
                <w:bCs/>
                <w:sz w:val="20"/>
                <w:szCs w:val="20"/>
                <w:lang w:eastAsia="uk-UA"/>
              </w:rPr>
              <w:t>В.1.1. Розбудова дорожньої інфраструктури</w:t>
            </w:r>
          </w:p>
          <w:p w14:paraId="1FE099D6" w14:textId="77777777" w:rsidR="00BC7F59" w:rsidRPr="000413EB" w:rsidRDefault="00BC7F59" w:rsidP="000413EB">
            <w:pPr>
              <w:jc w:val="both"/>
              <w:rPr>
                <w:rFonts w:ascii="Times New Roman" w:hAnsi="Times New Roman"/>
                <w:bCs/>
                <w:sz w:val="20"/>
                <w:szCs w:val="20"/>
                <w:lang w:eastAsia="uk-UA"/>
              </w:rPr>
            </w:pPr>
          </w:p>
        </w:tc>
        <w:tc>
          <w:tcPr>
            <w:tcW w:w="2551" w:type="dxa"/>
            <w:shd w:val="clear" w:color="auto" w:fill="auto"/>
          </w:tcPr>
          <w:p w14:paraId="067A7AD1" w14:textId="77777777" w:rsidR="00BC7F59" w:rsidRPr="000413EB" w:rsidRDefault="00BC7F59" w:rsidP="000413EB">
            <w:pPr>
              <w:suppressAutoHyphens/>
              <w:jc w:val="both"/>
              <w:rPr>
                <w:rFonts w:ascii="Times New Roman" w:hAnsi="Times New Roman"/>
                <w:sz w:val="20"/>
                <w:szCs w:val="20"/>
              </w:rPr>
            </w:pPr>
            <w:r w:rsidRPr="000413EB">
              <w:rPr>
                <w:rFonts w:ascii="Times New Roman" w:hAnsi="Times New Roman"/>
                <w:sz w:val="20"/>
                <w:szCs w:val="20"/>
              </w:rPr>
              <w:t>В.1.1.3. Проведення будівництва, реконструкції та капітального ремонту дорожнього покриття вулиць  та тротуарів в населених пунктах територіальної громади.</w:t>
            </w:r>
          </w:p>
        </w:tc>
        <w:tc>
          <w:tcPr>
            <w:tcW w:w="2835" w:type="dxa"/>
            <w:shd w:val="clear" w:color="auto" w:fill="auto"/>
          </w:tcPr>
          <w:p w14:paraId="23C64FC3" w14:textId="77777777" w:rsidR="00BC7F59" w:rsidRPr="000413EB" w:rsidRDefault="00BC7F59" w:rsidP="000413EB">
            <w:pPr>
              <w:jc w:val="both"/>
              <w:rPr>
                <w:rFonts w:ascii="Times New Roman" w:hAnsi="Times New Roman"/>
                <w:sz w:val="20"/>
                <w:szCs w:val="20"/>
                <w:lang w:eastAsia="it-IT"/>
              </w:rPr>
            </w:pPr>
            <w:r w:rsidRPr="000413EB">
              <w:rPr>
                <w:rFonts w:ascii="Times New Roman" w:hAnsi="Times New Roman"/>
                <w:sz w:val="20"/>
                <w:szCs w:val="20"/>
                <w:lang w:eastAsia="it-IT"/>
              </w:rPr>
              <w:t>Капітальний ремонт дорожнього покриття по вул. Мельнична в м. Жмеринка (Коригування 2)</w:t>
            </w:r>
          </w:p>
        </w:tc>
        <w:tc>
          <w:tcPr>
            <w:tcW w:w="1276" w:type="dxa"/>
            <w:shd w:val="clear" w:color="auto" w:fill="auto"/>
          </w:tcPr>
          <w:p w14:paraId="09EEA949" w14:textId="77777777" w:rsidR="00BC7F59" w:rsidRPr="000413EB" w:rsidRDefault="00BC7F59" w:rsidP="00541BDD">
            <w:pPr>
              <w:widowControl w:val="0"/>
              <w:tabs>
                <w:tab w:val="left" w:pos="5829"/>
                <w:tab w:val="left" w:pos="9720"/>
                <w:tab w:val="left" w:pos="10357"/>
              </w:tabs>
              <w:autoSpaceDE w:val="0"/>
              <w:autoSpaceDN w:val="0"/>
              <w:jc w:val="center"/>
              <w:rPr>
                <w:rFonts w:ascii="Times New Roman" w:eastAsia="Arial" w:hAnsi="Times New Roman"/>
                <w:sz w:val="20"/>
                <w:szCs w:val="20"/>
                <w:lang w:eastAsia="en-US"/>
              </w:rPr>
            </w:pPr>
            <w:r w:rsidRPr="000413EB">
              <w:rPr>
                <w:rFonts w:ascii="Times New Roman" w:eastAsia="Arial" w:hAnsi="Times New Roman"/>
                <w:sz w:val="20"/>
                <w:szCs w:val="20"/>
                <w:lang w:eastAsia="en-US"/>
              </w:rPr>
              <w:t>2027</w:t>
            </w:r>
          </w:p>
        </w:tc>
        <w:tc>
          <w:tcPr>
            <w:tcW w:w="2345" w:type="dxa"/>
            <w:shd w:val="clear" w:color="auto" w:fill="auto"/>
          </w:tcPr>
          <w:p w14:paraId="23E106E6" w14:textId="77777777" w:rsidR="00BC7F59" w:rsidRPr="000413EB" w:rsidRDefault="00BC7F59" w:rsidP="000413EB">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Управління житлово-комунального господарства міської ради</w:t>
            </w:r>
          </w:p>
        </w:tc>
        <w:tc>
          <w:tcPr>
            <w:tcW w:w="2900" w:type="dxa"/>
            <w:shd w:val="clear" w:color="auto" w:fill="auto"/>
          </w:tcPr>
          <w:p w14:paraId="0AD273EF" w14:textId="4FCE522B" w:rsidR="00BC7F59" w:rsidRPr="00097D39" w:rsidRDefault="00BC7F59" w:rsidP="000413EB">
            <w:pPr>
              <w:jc w:val="both"/>
              <w:rPr>
                <w:rFonts w:ascii="Times New Roman" w:hAnsi="Times New Roman"/>
                <w:sz w:val="20"/>
                <w:szCs w:val="20"/>
                <w:lang w:eastAsia="it-IT"/>
              </w:rPr>
            </w:pPr>
            <w:r w:rsidRPr="000413EB">
              <w:rPr>
                <w:rFonts w:ascii="Times New Roman" w:hAnsi="Times New Roman"/>
                <w:sz w:val="20"/>
                <w:szCs w:val="20"/>
                <w:lang w:eastAsia="it-IT"/>
              </w:rPr>
              <w:t>Площа</w:t>
            </w:r>
            <w:r w:rsidRPr="000413EB">
              <w:rPr>
                <w:rFonts w:ascii="Times New Roman" w:hAnsi="Times New Roman"/>
                <w:sz w:val="20"/>
                <w:szCs w:val="20"/>
              </w:rPr>
              <w:t xml:space="preserve"> </w:t>
            </w:r>
            <w:r w:rsidRPr="000413EB">
              <w:rPr>
                <w:rFonts w:ascii="Times New Roman" w:hAnsi="Times New Roman"/>
                <w:sz w:val="20"/>
                <w:szCs w:val="20"/>
                <w:lang w:eastAsia="it-IT"/>
              </w:rPr>
              <w:t>відремонтованого дорожнього покриття становить: 4600 м</w:t>
            </w:r>
            <w:r w:rsidRPr="00097D39">
              <w:rPr>
                <w:rFonts w:ascii="Times New Roman" w:hAnsi="Times New Roman"/>
                <w:sz w:val="20"/>
                <w:szCs w:val="20"/>
                <w:vertAlign w:val="superscript"/>
                <w:lang w:eastAsia="it-IT"/>
              </w:rPr>
              <w:t>2</w:t>
            </w:r>
            <w:r w:rsidRPr="000413EB">
              <w:rPr>
                <w:rFonts w:ascii="Times New Roman" w:hAnsi="Times New Roman"/>
                <w:sz w:val="20"/>
                <w:szCs w:val="20"/>
                <w:lang w:eastAsia="it-IT"/>
              </w:rPr>
              <w:t xml:space="preserve">  та площа присипних узбіч: 1665 м</w:t>
            </w:r>
            <w:r w:rsidRPr="00097D39">
              <w:rPr>
                <w:rFonts w:ascii="Times New Roman" w:hAnsi="Times New Roman"/>
                <w:sz w:val="20"/>
                <w:szCs w:val="20"/>
                <w:vertAlign w:val="superscript"/>
                <w:lang w:eastAsia="it-IT"/>
              </w:rPr>
              <w:t>2</w:t>
            </w:r>
            <w:r w:rsidR="00097D39">
              <w:rPr>
                <w:rFonts w:ascii="Times New Roman" w:hAnsi="Times New Roman"/>
                <w:sz w:val="20"/>
                <w:szCs w:val="20"/>
                <w:lang w:eastAsia="it-IT"/>
              </w:rPr>
              <w:t>.</w:t>
            </w:r>
          </w:p>
        </w:tc>
      </w:tr>
      <w:tr w:rsidR="00473CA0" w:rsidRPr="000413EB" w14:paraId="273DF1EC" w14:textId="77777777" w:rsidTr="00541BDD">
        <w:tc>
          <w:tcPr>
            <w:tcW w:w="567" w:type="dxa"/>
            <w:shd w:val="clear" w:color="auto" w:fill="auto"/>
          </w:tcPr>
          <w:p w14:paraId="2A66BBFC" w14:textId="5CE86E7C" w:rsidR="00473CA0"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10</w:t>
            </w:r>
          </w:p>
        </w:tc>
        <w:tc>
          <w:tcPr>
            <w:tcW w:w="2694" w:type="dxa"/>
            <w:shd w:val="clear" w:color="auto" w:fill="auto"/>
          </w:tcPr>
          <w:p w14:paraId="41A90F3C" w14:textId="77777777" w:rsidR="00473CA0" w:rsidRPr="000413EB" w:rsidRDefault="00473CA0" w:rsidP="000413EB">
            <w:pPr>
              <w:jc w:val="both"/>
              <w:rPr>
                <w:rFonts w:ascii="Times New Roman" w:hAnsi="Times New Roman"/>
                <w:bCs/>
                <w:sz w:val="20"/>
                <w:szCs w:val="20"/>
                <w:lang w:eastAsia="uk-UA"/>
              </w:rPr>
            </w:pPr>
            <w:r w:rsidRPr="000413EB">
              <w:rPr>
                <w:rFonts w:ascii="Times New Roman" w:hAnsi="Times New Roman"/>
                <w:bCs/>
                <w:sz w:val="20"/>
                <w:szCs w:val="20"/>
                <w:lang w:eastAsia="uk-UA"/>
              </w:rPr>
              <w:t>В.1.1. Розбудова дорожньої інфраструктури</w:t>
            </w:r>
          </w:p>
          <w:p w14:paraId="4246832B" w14:textId="77777777" w:rsidR="00473CA0" w:rsidRPr="000413EB" w:rsidRDefault="00473CA0" w:rsidP="000413EB">
            <w:pPr>
              <w:jc w:val="both"/>
              <w:rPr>
                <w:rFonts w:ascii="Times New Roman" w:hAnsi="Times New Roman"/>
                <w:bCs/>
                <w:sz w:val="20"/>
                <w:szCs w:val="20"/>
                <w:lang w:eastAsia="uk-UA"/>
              </w:rPr>
            </w:pPr>
          </w:p>
        </w:tc>
        <w:tc>
          <w:tcPr>
            <w:tcW w:w="2551" w:type="dxa"/>
            <w:shd w:val="clear" w:color="auto" w:fill="auto"/>
          </w:tcPr>
          <w:p w14:paraId="2622F38C" w14:textId="0DBA4864" w:rsidR="00473CA0" w:rsidRPr="000413EB" w:rsidRDefault="00473CA0" w:rsidP="000413EB">
            <w:pPr>
              <w:suppressAutoHyphens/>
              <w:jc w:val="both"/>
              <w:rPr>
                <w:rFonts w:ascii="Times New Roman" w:hAnsi="Times New Roman"/>
                <w:sz w:val="20"/>
                <w:szCs w:val="20"/>
              </w:rPr>
            </w:pPr>
            <w:r w:rsidRPr="000413EB">
              <w:rPr>
                <w:rFonts w:ascii="Times New Roman" w:hAnsi="Times New Roman"/>
                <w:sz w:val="20"/>
                <w:szCs w:val="20"/>
              </w:rPr>
              <w:t xml:space="preserve">В.1.1.3. Проведення будівництва, реконструкції та капітального ремонту </w:t>
            </w:r>
            <w:r w:rsidRPr="000413EB">
              <w:rPr>
                <w:rFonts w:ascii="Times New Roman" w:hAnsi="Times New Roman"/>
                <w:sz w:val="20"/>
                <w:szCs w:val="20"/>
              </w:rPr>
              <w:lastRenderedPageBreak/>
              <w:t>дорожнього покриття вулиць  та тротуарів в населених пунктах територіальної громади.</w:t>
            </w:r>
          </w:p>
        </w:tc>
        <w:tc>
          <w:tcPr>
            <w:tcW w:w="2835" w:type="dxa"/>
            <w:tcBorders>
              <w:top w:val="single" w:sz="4" w:space="0" w:color="auto"/>
              <w:bottom w:val="single" w:sz="4" w:space="0" w:color="auto"/>
              <w:right w:val="single" w:sz="4" w:space="0" w:color="auto"/>
            </w:tcBorders>
            <w:shd w:val="clear" w:color="auto" w:fill="auto"/>
          </w:tcPr>
          <w:p w14:paraId="25E5FD0E" w14:textId="11E1455E" w:rsidR="00473CA0" w:rsidRPr="000413EB" w:rsidRDefault="00473CA0" w:rsidP="000413EB">
            <w:pPr>
              <w:jc w:val="both"/>
              <w:rPr>
                <w:rFonts w:ascii="Times New Roman" w:hAnsi="Times New Roman"/>
                <w:sz w:val="20"/>
                <w:szCs w:val="20"/>
                <w:lang w:eastAsia="it-IT"/>
              </w:rPr>
            </w:pPr>
            <w:r w:rsidRPr="000413EB">
              <w:rPr>
                <w:rFonts w:ascii="Times New Roman" w:eastAsia="Arial" w:hAnsi="Times New Roman"/>
                <w:sz w:val="20"/>
                <w:szCs w:val="20"/>
              </w:rPr>
              <w:lastRenderedPageBreak/>
              <w:t xml:space="preserve">Капітальний ремонт дорожнього покриття прибудинкової території по </w:t>
            </w:r>
            <w:r w:rsidRPr="000413EB">
              <w:rPr>
                <w:rFonts w:ascii="Times New Roman" w:eastAsia="Arial" w:hAnsi="Times New Roman"/>
                <w:sz w:val="20"/>
                <w:szCs w:val="20"/>
              </w:rPr>
              <w:lastRenderedPageBreak/>
              <w:t>вул. 151 Стрілецької дивізії, 6 в м. Жмеринка Вінницької області</w:t>
            </w:r>
          </w:p>
        </w:tc>
        <w:tc>
          <w:tcPr>
            <w:tcW w:w="1276" w:type="dxa"/>
            <w:shd w:val="clear" w:color="auto" w:fill="auto"/>
          </w:tcPr>
          <w:p w14:paraId="0329C899" w14:textId="7E55D4E1" w:rsidR="00473CA0" w:rsidRPr="000413EB" w:rsidRDefault="00473CA0" w:rsidP="00541BDD">
            <w:pPr>
              <w:widowControl w:val="0"/>
              <w:tabs>
                <w:tab w:val="left" w:pos="5829"/>
                <w:tab w:val="left" w:pos="9720"/>
                <w:tab w:val="left" w:pos="10357"/>
              </w:tabs>
              <w:autoSpaceDE w:val="0"/>
              <w:autoSpaceDN w:val="0"/>
              <w:jc w:val="center"/>
              <w:rPr>
                <w:rFonts w:ascii="Times New Roman" w:eastAsia="Arial" w:hAnsi="Times New Roman"/>
                <w:sz w:val="20"/>
                <w:szCs w:val="20"/>
                <w:lang w:eastAsia="en-US"/>
              </w:rPr>
            </w:pPr>
            <w:r w:rsidRPr="000413EB">
              <w:rPr>
                <w:rFonts w:ascii="Times New Roman" w:eastAsia="Arial" w:hAnsi="Times New Roman"/>
                <w:sz w:val="20"/>
                <w:szCs w:val="20"/>
                <w:lang w:eastAsia="en-US"/>
              </w:rPr>
              <w:lastRenderedPageBreak/>
              <w:t>2026</w:t>
            </w:r>
          </w:p>
        </w:tc>
        <w:tc>
          <w:tcPr>
            <w:tcW w:w="2345" w:type="dxa"/>
            <w:shd w:val="clear" w:color="auto" w:fill="auto"/>
          </w:tcPr>
          <w:p w14:paraId="75014622" w14:textId="54639093" w:rsidR="00473CA0" w:rsidRPr="000413EB" w:rsidRDefault="00473CA0" w:rsidP="000413EB">
            <w:pPr>
              <w:jc w:val="both"/>
              <w:rPr>
                <w:rFonts w:ascii="Times New Roman" w:hAnsi="Times New Roman"/>
                <w:color w:val="000000"/>
                <w:sz w:val="20"/>
                <w:szCs w:val="20"/>
                <w:lang w:eastAsia="it-IT"/>
              </w:rPr>
            </w:pPr>
            <w:r w:rsidRPr="000413EB">
              <w:rPr>
                <w:rFonts w:ascii="Times New Roman" w:hAnsi="Times New Roman"/>
                <w:sz w:val="20"/>
                <w:szCs w:val="20"/>
              </w:rPr>
              <w:t xml:space="preserve">Управління житлово-комунального </w:t>
            </w:r>
            <w:r w:rsidRPr="000413EB">
              <w:rPr>
                <w:rFonts w:ascii="Times New Roman" w:hAnsi="Times New Roman"/>
                <w:sz w:val="20"/>
                <w:szCs w:val="20"/>
              </w:rPr>
              <w:lastRenderedPageBreak/>
              <w:t>господарства міської ради</w:t>
            </w:r>
          </w:p>
        </w:tc>
        <w:tc>
          <w:tcPr>
            <w:tcW w:w="2900" w:type="dxa"/>
          </w:tcPr>
          <w:p w14:paraId="4CEC7B2B" w14:textId="258DE671" w:rsidR="00473CA0" w:rsidRPr="00097D39" w:rsidRDefault="00473CA0" w:rsidP="000413EB">
            <w:pPr>
              <w:jc w:val="both"/>
              <w:rPr>
                <w:rFonts w:ascii="Times New Roman" w:hAnsi="Times New Roman"/>
                <w:sz w:val="20"/>
                <w:szCs w:val="20"/>
                <w:lang w:eastAsia="it-IT"/>
              </w:rPr>
            </w:pPr>
            <w:r w:rsidRPr="000413EB">
              <w:rPr>
                <w:rFonts w:ascii="Times New Roman" w:eastAsia="Arial" w:hAnsi="Times New Roman"/>
                <w:sz w:val="20"/>
                <w:szCs w:val="20"/>
                <w:lang w:eastAsia="en-US"/>
              </w:rPr>
              <w:lastRenderedPageBreak/>
              <w:t>Площа території яка підлягає під реконструкцію: 18049 м</w:t>
            </w:r>
            <w:r w:rsidRPr="000413EB">
              <w:rPr>
                <w:rFonts w:ascii="Times New Roman" w:eastAsia="Arial" w:hAnsi="Times New Roman"/>
                <w:sz w:val="20"/>
                <w:szCs w:val="20"/>
                <w:vertAlign w:val="superscript"/>
                <w:lang w:eastAsia="en-US"/>
              </w:rPr>
              <w:t>2</w:t>
            </w:r>
            <w:r w:rsidR="00097D39">
              <w:rPr>
                <w:rFonts w:ascii="Times New Roman" w:eastAsia="Arial" w:hAnsi="Times New Roman"/>
                <w:sz w:val="20"/>
                <w:szCs w:val="20"/>
                <w:lang w:eastAsia="en-US"/>
              </w:rPr>
              <w:t>.</w:t>
            </w:r>
          </w:p>
        </w:tc>
      </w:tr>
      <w:tr w:rsidR="00473CA0" w:rsidRPr="000413EB" w14:paraId="2F2AB826" w14:textId="77777777" w:rsidTr="00541BDD">
        <w:tc>
          <w:tcPr>
            <w:tcW w:w="567" w:type="dxa"/>
            <w:shd w:val="clear" w:color="auto" w:fill="auto"/>
          </w:tcPr>
          <w:p w14:paraId="7842326B" w14:textId="5BE384A7" w:rsidR="00473CA0"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11</w:t>
            </w:r>
          </w:p>
        </w:tc>
        <w:tc>
          <w:tcPr>
            <w:tcW w:w="2694" w:type="dxa"/>
            <w:shd w:val="clear" w:color="auto" w:fill="auto"/>
          </w:tcPr>
          <w:p w14:paraId="3E77E4C4" w14:textId="77777777" w:rsidR="00473CA0" w:rsidRPr="000413EB" w:rsidRDefault="00473CA0" w:rsidP="000413EB">
            <w:pPr>
              <w:jc w:val="both"/>
              <w:rPr>
                <w:rFonts w:ascii="Times New Roman" w:hAnsi="Times New Roman"/>
                <w:bCs/>
                <w:sz w:val="20"/>
                <w:szCs w:val="20"/>
                <w:lang w:eastAsia="uk-UA"/>
              </w:rPr>
            </w:pPr>
            <w:r w:rsidRPr="000413EB">
              <w:rPr>
                <w:rFonts w:ascii="Times New Roman" w:hAnsi="Times New Roman"/>
                <w:bCs/>
                <w:sz w:val="20"/>
                <w:szCs w:val="20"/>
                <w:lang w:eastAsia="uk-UA"/>
              </w:rPr>
              <w:t>В.1.1. Розбудова дорожньої інфраструктури</w:t>
            </w:r>
          </w:p>
          <w:p w14:paraId="1E9527FD" w14:textId="77777777" w:rsidR="00473CA0" w:rsidRPr="000413EB" w:rsidRDefault="00473CA0" w:rsidP="000413EB">
            <w:pPr>
              <w:jc w:val="both"/>
              <w:rPr>
                <w:rFonts w:ascii="Times New Roman" w:hAnsi="Times New Roman"/>
                <w:bCs/>
                <w:sz w:val="20"/>
                <w:szCs w:val="20"/>
                <w:lang w:eastAsia="uk-UA"/>
              </w:rPr>
            </w:pPr>
          </w:p>
        </w:tc>
        <w:tc>
          <w:tcPr>
            <w:tcW w:w="2551" w:type="dxa"/>
            <w:shd w:val="clear" w:color="auto" w:fill="auto"/>
          </w:tcPr>
          <w:p w14:paraId="5B2BC4CA" w14:textId="18901523" w:rsidR="00473CA0" w:rsidRPr="000413EB" w:rsidRDefault="00473CA0" w:rsidP="000413EB">
            <w:pPr>
              <w:suppressAutoHyphens/>
              <w:jc w:val="both"/>
              <w:rPr>
                <w:rFonts w:ascii="Times New Roman" w:hAnsi="Times New Roman"/>
                <w:sz w:val="20"/>
                <w:szCs w:val="20"/>
              </w:rPr>
            </w:pPr>
            <w:r w:rsidRPr="000413EB">
              <w:rPr>
                <w:rFonts w:ascii="Times New Roman" w:hAnsi="Times New Roman"/>
                <w:sz w:val="20"/>
                <w:szCs w:val="20"/>
              </w:rPr>
              <w:t>В.1.1.3. Проведення будівництва, реконструкції та капітального ремонту дорожнього покриття вулиць  та тротуарів в населених пунктах територіальної громади.</w:t>
            </w:r>
          </w:p>
        </w:tc>
        <w:tc>
          <w:tcPr>
            <w:tcW w:w="2835" w:type="dxa"/>
            <w:tcBorders>
              <w:top w:val="single" w:sz="4" w:space="0" w:color="auto"/>
              <w:bottom w:val="single" w:sz="4" w:space="0" w:color="auto"/>
              <w:right w:val="single" w:sz="4" w:space="0" w:color="auto"/>
            </w:tcBorders>
            <w:shd w:val="clear" w:color="auto" w:fill="auto"/>
          </w:tcPr>
          <w:p w14:paraId="392955D8" w14:textId="0A2EF334" w:rsidR="00473CA0" w:rsidRPr="000413EB" w:rsidRDefault="00473CA0" w:rsidP="000413EB">
            <w:pPr>
              <w:jc w:val="both"/>
              <w:rPr>
                <w:rFonts w:ascii="Times New Roman" w:hAnsi="Times New Roman"/>
                <w:sz w:val="20"/>
                <w:szCs w:val="20"/>
                <w:lang w:eastAsia="it-IT"/>
              </w:rPr>
            </w:pPr>
            <w:r w:rsidRPr="000413EB">
              <w:rPr>
                <w:rFonts w:ascii="Times New Roman" w:eastAsia="Arial" w:hAnsi="Times New Roman"/>
                <w:sz w:val="20"/>
                <w:szCs w:val="20"/>
              </w:rPr>
              <w:t>Капітальний ремонт дорожнього покриття прибудинкової території по вул. Соборна, 10,12 в м.Жмеринка Вінницької області(Коригування)</w:t>
            </w:r>
          </w:p>
        </w:tc>
        <w:tc>
          <w:tcPr>
            <w:tcW w:w="1276" w:type="dxa"/>
            <w:shd w:val="clear" w:color="auto" w:fill="auto"/>
          </w:tcPr>
          <w:p w14:paraId="01CF1EDB" w14:textId="23A9B809" w:rsidR="00473CA0" w:rsidRPr="000413EB" w:rsidRDefault="00473CA0" w:rsidP="00541BDD">
            <w:pPr>
              <w:widowControl w:val="0"/>
              <w:tabs>
                <w:tab w:val="left" w:pos="5829"/>
                <w:tab w:val="left" w:pos="9720"/>
                <w:tab w:val="left" w:pos="10357"/>
              </w:tabs>
              <w:autoSpaceDE w:val="0"/>
              <w:autoSpaceDN w:val="0"/>
              <w:jc w:val="center"/>
              <w:rPr>
                <w:rFonts w:ascii="Times New Roman" w:eastAsia="Arial" w:hAnsi="Times New Roman"/>
                <w:sz w:val="20"/>
                <w:szCs w:val="20"/>
                <w:lang w:eastAsia="en-US"/>
              </w:rPr>
            </w:pPr>
            <w:r w:rsidRPr="000413EB">
              <w:rPr>
                <w:rFonts w:ascii="Times New Roman" w:eastAsia="Arial" w:hAnsi="Times New Roman"/>
                <w:sz w:val="20"/>
                <w:szCs w:val="20"/>
                <w:lang w:eastAsia="en-US"/>
              </w:rPr>
              <w:t>2026</w:t>
            </w:r>
          </w:p>
        </w:tc>
        <w:tc>
          <w:tcPr>
            <w:tcW w:w="2345" w:type="dxa"/>
            <w:shd w:val="clear" w:color="auto" w:fill="auto"/>
          </w:tcPr>
          <w:p w14:paraId="01DF73CE" w14:textId="0AAE482C" w:rsidR="00473CA0" w:rsidRPr="000413EB" w:rsidRDefault="00473CA0" w:rsidP="000413EB">
            <w:pPr>
              <w:jc w:val="both"/>
              <w:rPr>
                <w:rFonts w:ascii="Times New Roman" w:hAnsi="Times New Roman"/>
                <w:color w:val="000000"/>
                <w:sz w:val="20"/>
                <w:szCs w:val="20"/>
                <w:lang w:eastAsia="it-IT"/>
              </w:rPr>
            </w:pPr>
            <w:r w:rsidRPr="000413EB">
              <w:rPr>
                <w:rFonts w:ascii="Times New Roman" w:hAnsi="Times New Roman"/>
                <w:sz w:val="20"/>
                <w:szCs w:val="20"/>
              </w:rPr>
              <w:t>Управління житлово-комунального господарства міської ради</w:t>
            </w:r>
          </w:p>
        </w:tc>
        <w:tc>
          <w:tcPr>
            <w:tcW w:w="2900" w:type="dxa"/>
          </w:tcPr>
          <w:p w14:paraId="746A5ACF" w14:textId="48454C53" w:rsidR="00473CA0" w:rsidRPr="00097D39" w:rsidRDefault="00473CA0" w:rsidP="000413EB">
            <w:pPr>
              <w:jc w:val="both"/>
              <w:rPr>
                <w:rFonts w:ascii="Times New Roman" w:hAnsi="Times New Roman"/>
                <w:sz w:val="20"/>
                <w:szCs w:val="20"/>
                <w:lang w:eastAsia="it-IT"/>
              </w:rPr>
            </w:pPr>
            <w:r w:rsidRPr="000413EB">
              <w:rPr>
                <w:rFonts w:ascii="Times New Roman" w:hAnsi="Times New Roman"/>
                <w:sz w:val="20"/>
                <w:szCs w:val="20"/>
              </w:rPr>
              <w:t>Орієнтовна площа ділянки, що ремонтується, 2109,5 м</w:t>
            </w:r>
            <w:r w:rsidRPr="00097D39">
              <w:rPr>
                <w:rFonts w:ascii="Times New Roman" w:hAnsi="Times New Roman"/>
                <w:sz w:val="20"/>
                <w:szCs w:val="20"/>
                <w:vertAlign w:val="superscript"/>
              </w:rPr>
              <w:t>2</w:t>
            </w:r>
            <w:r w:rsidR="00097D39">
              <w:rPr>
                <w:rFonts w:ascii="Times New Roman" w:hAnsi="Times New Roman"/>
                <w:sz w:val="20"/>
                <w:szCs w:val="20"/>
              </w:rPr>
              <w:t>.</w:t>
            </w:r>
          </w:p>
        </w:tc>
      </w:tr>
      <w:tr w:rsidR="00473CA0" w:rsidRPr="000413EB" w14:paraId="20E72E02" w14:textId="77777777" w:rsidTr="00541BDD">
        <w:tc>
          <w:tcPr>
            <w:tcW w:w="567" w:type="dxa"/>
            <w:shd w:val="clear" w:color="auto" w:fill="auto"/>
          </w:tcPr>
          <w:p w14:paraId="03D45636" w14:textId="4264F34D" w:rsidR="00473CA0"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12</w:t>
            </w:r>
          </w:p>
        </w:tc>
        <w:tc>
          <w:tcPr>
            <w:tcW w:w="2694" w:type="dxa"/>
            <w:shd w:val="clear" w:color="auto" w:fill="auto"/>
          </w:tcPr>
          <w:p w14:paraId="6A87A2B3" w14:textId="77777777" w:rsidR="00473CA0" w:rsidRPr="000413EB" w:rsidRDefault="00473CA0" w:rsidP="000413EB">
            <w:pPr>
              <w:jc w:val="both"/>
              <w:rPr>
                <w:rFonts w:ascii="Times New Roman" w:hAnsi="Times New Roman"/>
                <w:bCs/>
                <w:sz w:val="20"/>
                <w:szCs w:val="20"/>
                <w:lang w:eastAsia="uk-UA"/>
              </w:rPr>
            </w:pPr>
            <w:r w:rsidRPr="000413EB">
              <w:rPr>
                <w:rFonts w:ascii="Times New Roman" w:hAnsi="Times New Roman"/>
                <w:bCs/>
                <w:sz w:val="20"/>
                <w:szCs w:val="20"/>
                <w:lang w:eastAsia="uk-UA"/>
              </w:rPr>
              <w:t>В.1.1. Розбудова дорожньої інфраструктури</w:t>
            </w:r>
          </w:p>
          <w:p w14:paraId="03FC14DC" w14:textId="77777777" w:rsidR="00473CA0" w:rsidRPr="000413EB" w:rsidRDefault="00473CA0" w:rsidP="000413EB">
            <w:pPr>
              <w:jc w:val="both"/>
              <w:rPr>
                <w:rFonts w:ascii="Times New Roman" w:hAnsi="Times New Roman"/>
                <w:bCs/>
                <w:sz w:val="20"/>
                <w:szCs w:val="20"/>
                <w:lang w:eastAsia="uk-UA"/>
              </w:rPr>
            </w:pPr>
          </w:p>
        </w:tc>
        <w:tc>
          <w:tcPr>
            <w:tcW w:w="2551" w:type="dxa"/>
            <w:shd w:val="clear" w:color="auto" w:fill="auto"/>
          </w:tcPr>
          <w:p w14:paraId="78B8FB15" w14:textId="707995B3" w:rsidR="00473CA0" w:rsidRPr="000413EB" w:rsidRDefault="00473CA0" w:rsidP="000413EB">
            <w:pPr>
              <w:suppressAutoHyphens/>
              <w:jc w:val="both"/>
              <w:rPr>
                <w:rFonts w:ascii="Times New Roman" w:hAnsi="Times New Roman"/>
                <w:sz w:val="20"/>
                <w:szCs w:val="20"/>
              </w:rPr>
            </w:pPr>
            <w:r w:rsidRPr="000413EB">
              <w:rPr>
                <w:rFonts w:ascii="Times New Roman" w:hAnsi="Times New Roman"/>
                <w:sz w:val="20"/>
                <w:szCs w:val="20"/>
              </w:rPr>
              <w:t>В.1.1.3. Проведення будівництва, реконструкції та капітального ремонту дорожнього покриття вулиць  та тротуарів в населених пунктах територіальної громади.</w:t>
            </w:r>
          </w:p>
        </w:tc>
        <w:tc>
          <w:tcPr>
            <w:tcW w:w="2835" w:type="dxa"/>
            <w:tcBorders>
              <w:top w:val="single" w:sz="4" w:space="0" w:color="auto"/>
              <w:bottom w:val="single" w:sz="4" w:space="0" w:color="auto"/>
              <w:right w:val="single" w:sz="4" w:space="0" w:color="auto"/>
            </w:tcBorders>
            <w:shd w:val="clear" w:color="auto" w:fill="auto"/>
          </w:tcPr>
          <w:p w14:paraId="6B85598D" w14:textId="4634D361" w:rsidR="00473CA0" w:rsidRPr="000413EB" w:rsidRDefault="00473CA0" w:rsidP="000413EB">
            <w:pPr>
              <w:jc w:val="both"/>
              <w:rPr>
                <w:rFonts w:ascii="Times New Roman" w:hAnsi="Times New Roman"/>
                <w:sz w:val="20"/>
                <w:szCs w:val="20"/>
                <w:lang w:eastAsia="it-IT"/>
              </w:rPr>
            </w:pPr>
            <w:r w:rsidRPr="000413EB">
              <w:rPr>
                <w:rFonts w:ascii="Times New Roman" w:eastAsia="Arial" w:hAnsi="Times New Roman"/>
                <w:sz w:val="20"/>
                <w:szCs w:val="20"/>
              </w:rPr>
              <w:t>Капітальний ремонт дорожнього покриття прибудинкової території по вул. Будівельників, 5 в м. Жмеринка Вінницької області</w:t>
            </w:r>
          </w:p>
        </w:tc>
        <w:tc>
          <w:tcPr>
            <w:tcW w:w="1276" w:type="dxa"/>
            <w:shd w:val="clear" w:color="auto" w:fill="auto"/>
          </w:tcPr>
          <w:p w14:paraId="75C9590D" w14:textId="3ADB5D16" w:rsidR="00473CA0" w:rsidRPr="000413EB" w:rsidRDefault="00473CA0" w:rsidP="00541BDD">
            <w:pPr>
              <w:widowControl w:val="0"/>
              <w:tabs>
                <w:tab w:val="left" w:pos="5829"/>
                <w:tab w:val="left" w:pos="9720"/>
                <w:tab w:val="left" w:pos="10357"/>
              </w:tabs>
              <w:autoSpaceDE w:val="0"/>
              <w:autoSpaceDN w:val="0"/>
              <w:jc w:val="center"/>
              <w:rPr>
                <w:rFonts w:ascii="Times New Roman" w:eastAsia="Arial" w:hAnsi="Times New Roman"/>
                <w:sz w:val="20"/>
                <w:szCs w:val="20"/>
                <w:lang w:eastAsia="en-US"/>
              </w:rPr>
            </w:pPr>
            <w:r w:rsidRPr="000413EB">
              <w:rPr>
                <w:rFonts w:ascii="Times New Roman" w:eastAsia="Arial" w:hAnsi="Times New Roman"/>
                <w:sz w:val="20"/>
                <w:szCs w:val="20"/>
                <w:lang w:eastAsia="en-US"/>
              </w:rPr>
              <w:t>2026</w:t>
            </w:r>
          </w:p>
        </w:tc>
        <w:tc>
          <w:tcPr>
            <w:tcW w:w="2345" w:type="dxa"/>
            <w:shd w:val="clear" w:color="auto" w:fill="auto"/>
          </w:tcPr>
          <w:p w14:paraId="486A380A" w14:textId="5B13819F" w:rsidR="00473CA0" w:rsidRPr="000413EB" w:rsidRDefault="00473CA0" w:rsidP="000413EB">
            <w:pPr>
              <w:jc w:val="both"/>
              <w:rPr>
                <w:rFonts w:ascii="Times New Roman" w:hAnsi="Times New Roman"/>
                <w:color w:val="000000"/>
                <w:sz w:val="20"/>
                <w:szCs w:val="20"/>
                <w:lang w:eastAsia="it-IT"/>
              </w:rPr>
            </w:pPr>
            <w:r w:rsidRPr="000413EB">
              <w:rPr>
                <w:rFonts w:ascii="Times New Roman" w:hAnsi="Times New Roman"/>
                <w:sz w:val="20"/>
                <w:szCs w:val="20"/>
              </w:rPr>
              <w:t>Управління житлово-комунального господарства міської ради</w:t>
            </w:r>
          </w:p>
        </w:tc>
        <w:tc>
          <w:tcPr>
            <w:tcW w:w="2900" w:type="dxa"/>
            <w:shd w:val="clear" w:color="auto" w:fill="auto"/>
          </w:tcPr>
          <w:p w14:paraId="2DF4BC43" w14:textId="5D2F455D" w:rsidR="00473CA0" w:rsidRPr="00097D39" w:rsidRDefault="00473CA0" w:rsidP="000413EB">
            <w:pPr>
              <w:jc w:val="both"/>
              <w:rPr>
                <w:rFonts w:ascii="Times New Roman" w:hAnsi="Times New Roman"/>
                <w:sz w:val="20"/>
                <w:szCs w:val="20"/>
                <w:lang w:eastAsia="it-IT"/>
              </w:rPr>
            </w:pPr>
            <w:r w:rsidRPr="000413EB">
              <w:rPr>
                <w:rFonts w:ascii="Times New Roman" w:hAnsi="Times New Roman"/>
                <w:sz w:val="20"/>
                <w:szCs w:val="20"/>
                <w:lang w:eastAsia="it-IT"/>
              </w:rPr>
              <w:t>Площа території яка підлягає під реконструкцію: 18049 м</w:t>
            </w:r>
            <w:r w:rsidRPr="00097D39">
              <w:rPr>
                <w:rFonts w:ascii="Times New Roman" w:hAnsi="Times New Roman"/>
                <w:sz w:val="20"/>
                <w:szCs w:val="20"/>
                <w:vertAlign w:val="superscript"/>
                <w:lang w:eastAsia="it-IT"/>
              </w:rPr>
              <w:t>2</w:t>
            </w:r>
            <w:r w:rsidR="00097D39">
              <w:rPr>
                <w:rFonts w:ascii="Times New Roman" w:hAnsi="Times New Roman"/>
                <w:sz w:val="20"/>
                <w:szCs w:val="20"/>
                <w:lang w:eastAsia="it-IT"/>
              </w:rPr>
              <w:t>.</w:t>
            </w:r>
          </w:p>
        </w:tc>
      </w:tr>
      <w:tr w:rsidR="00473CA0" w:rsidRPr="000413EB" w14:paraId="7F4B1FFF" w14:textId="77777777" w:rsidTr="00541BDD">
        <w:tc>
          <w:tcPr>
            <w:tcW w:w="567" w:type="dxa"/>
            <w:shd w:val="clear" w:color="auto" w:fill="auto"/>
          </w:tcPr>
          <w:p w14:paraId="3F8ED94B" w14:textId="35D6BBBF" w:rsidR="00473CA0"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13</w:t>
            </w:r>
          </w:p>
        </w:tc>
        <w:tc>
          <w:tcPr>
            <w:tcW w:w="2694" w:type="dxa"/>
            <w:shd w:val="clear" w:color="auto" w:fill="auto"/>
          </w:tcPr>
          <w:p w14:paraId="0370EAB8" w14:textId="77777777" w:rsidR="00473CA0" w:rsidRPr="000413EB" w:rsidRDefault="00473CA0" w:rsidP="000413EB">
            <w:pPr>
              <w:jc w:val="both"/>
              <w:rPr>
                <w:rFonts w:ascii="Times New Roman" w:hAnsi="Times New Roman"/>
                <w:bCs/>
                <w:sz w:val="20"/>
                <w:szCs w:val="20"/>
                <w:lang w:eastAsia="uk-UA"/>
              </w:rPr>
            </w:pPr>
            <w:r w:rsidRPr="000413EB">
              <w:rPr>
                <w:rFonts w:ascii="Times New Roman" w:hAnsi="Times New Roman"/>
                <w:bCs/>
                <w:sz w:val="20"/>
                <w:szCs w:val="20"/>
                <w:lang w:eastAsia="uk-UA"/>
              </w:rPr>
              <w:t>В.1.1. Розбудова дорожньої інфраструктури</w:t>
            </w:r>
          </w:p>
          <w:p w14:paraId="6632E138" w14:textId="77777777" w:rsidR="00473CA0" w:rsidRPr="000413EB" w:rsidRDefault="00473CA0" w:rsidP="000413EB">
            <w:pPr>
              <w:jc w:val="both"/>
              <w:rPr>
                <w:rFonts w:ascii="Times New Roman" w:hAnsi="Times New Roman"/>
                <w:bCs/>
                <w:sz w:val="20"/>
                <w:szCs w:val="20"/>
                <w:lang w:eastAsia="uk-UA"/>
              </w:rPr>
            </w:pPr>
          </w:p>
        </w:tc>
        <w:tc>
          <w:tcPr>
            <w:tcW w:w="2551" w:type="dxa"/>
            <w:shd w:val="clear" w:color="auto" w:fill="auto"/>
          </w:tcPr>
          <w:p w14:paraId="48F70C6B" w14:textId="1DE93D88" w:rsidR="00473CA0" w:rsidRPr="000413EB" w:rsidRDefault="00473CA0" w:rsidP="000413EB">
            <w:pPr>
              <w:suppressAutoHyphens/>
              <w:jc w:val="both"/>
              <w:rPr>
                <w:rFonts w:ascii="Times New Roman" w:hAnsi="Times New Roman"/>
                <w:sz w:val="20"/>
                <w:szCs w:val="20"/>
              </w:rPr>
            </w:pPr>
            <w:r w:rsidRPr="000413EB">
              <w:rPr>
                <w:rFonts w:ascii="Times New Roman" w:hAnsi="Times New Roman"/>
                <w:sz w:val="20"/>
                <w:szCs w:val="20"/>
              </w:rPr>
              <w:t>В.1.1.3. Проведення будівництва, реконструкції та капітального ремонту дорожнього покриття вулиць  та тротуарів в населених пунктах територіальної громади.</w:t>
            </w:r>
          </w:p>
        </w:tc>
        <w:tc>
          <w:tcPr>
            <w:tcW w:w="2835" w:type="dxa"/>
            <w:tcBorders>
              <w:top w:val="single" w:sz="4" w:space="0" w:color="auto"/>
              <w:bottom w:val="single" w:sz="4" w:space="0" w:color="auto"/>
              <w:right w:val="single" w:sz="4" w:space="0" w:color="auto"/>
            </w:tcBorders>
            <w:shd w:val="clear" w:color="auto" w:fill="auto"/>
          </w:tcPr>
          <w:p w14:paraId="48A42E00" w14:textId="739E00A2" w:rsidR="00473CA0" w:rsidRPr="000413EB" w:rsidRDefault="00473CA0" w:rsidP="000413EB">
            <w:pPr>
              <w:jc w:val="both"/>
              <w:rPr>
                <w:rFonts w:ascii="Times New Roman" w:hAnsi="Times New Roman"/>
                <w:sz w:val="20"/>
                <w:szCs w:val="20"/>
                <w:lang w:eastAsia="it-IT"/>
              </w:rPr>
            </w:pPr>
            <w:r w:rsidRPr="000413EB">
              <w:rPr>
                <w:rFonts w:ascii="Times New Roman" w:eastAsia="Arial" w:hAnsi="Times New Roman"/>
                <w:sz w:val="20"/>
                <w:szCs w:val="20"/>
              </w:rPr>
              <w:t>Капітальний ремонт вулиці Валерія Брезденюка (від вул. М. Грушевського до вул. Центральна)</w:t>
            </w:r>
          </w:p>
        </w:tc>
        <w:tc>
          <w:tcPr>
            <w:tcW w:w="1276" w:type="dxa"/>
            <w:shd w:val="clear" w:color="auto" w:fill="auto"/>
          </w:tcPr>
          <w:p w14:paraId="5D859AA1" w14:textId="7A52ED0D" w:rsidR="00473CA0" w:rsidRPr="000413EB" w:rsidRDefault="00473CA0" w:rsidP="00541BDD">
            <w:pPr>
              <w:widowControl w:val="0"/>
              <w:tabs>
                <w:tab w:val="left" w:pos="5829"/>
                <w:tab w:val="left" w:pos="9720"/>
                <w:tab w:val="left" w:pos="10357"/>
              </w:tabs>
              <w:autoSpaceDE w:val="0"/>
              <w:autoSpaceDN w:val="0"/>
              <w:jc w:val="center"/>
              <w:rPr>
                <w:rFonts w:ascii="Times New Roman" w:eastAsia="Arial" w:hAnsi="Times New Roman"/>
                <w:sz w:val="20"/>
                <w:szCs w:val="20"/>
                <w:lang w:eastAsia="en-US"/>
              </w:rPr>
            </w:pPr>
            <w:r w:rsidRPr="000413EB">
              <w:rPr>
                <w:rFonts w:ascii="Times New Roman" w:eastAsia="Arial" w:hAnsi="Times New Roman"/>
                <w:sz w:val="20"/>
                <w:szCs w:val="20"/>
                <w:lang w:eastAsia="en-US"/>
              </w:rPr>
              <w:t>2026</w:t>
            </w:r>
          </w:p>
        </w:tc>
        <w:tc>
          <w:tcPr>
            <w:tcW w:w="2345" w:type="dxa"/>
            <w:shd w:val="clear" w:color="auto" w:fill="auto"/>
          </w:tcPr>
          <w:p w14:paraId="6989EA27" w14:textId="16608F19" w:rsidR="00473CA0" w:rsidRPr="000413EB" w:rsidRDefault="00473CA0" w:rsidP="000413EB">
            <w:pPr>
              <w:jc w:val="both"/>
              <w:rPr>
                <w:rFonts w:ascii="Times New Roman" w:hAnsi="Times New Roman"/>
                <w:color w:val="000000"/>
                <w:sz w:val="20"/>
                <w:szCs w:val="20"/>
                <w:lang w:eastAsia="it-IT"/>
              </w:rPr>
            </w:pPr>
            <w:r w:rsidRPr="000413EB">
              <w:rPr>
                <w:rFonts w:ascii="Times New Roman" w:hAnsi="Times New Roman"/>
                <w:sz w:val="20"/>
                <w:szCs w:val="20"/>
              </w:rPr>
              <w:t>Управління житлово-комунального господарства міської ради</w:t>
            </w:r>
          </w:p>
        </w:tc>
        <w:tc>
          <w:tcPr>
            <w:tcW w:w="2900" w:type="dxa"/>
            <w:shd w:val="clear" w:color="auto" w:fill="auto"/>
          </w:tcPr>
          <w:p w14:paraId="6AE8C7F0" w14:textId="07B245E0" w:rsidR="00473CA0" w:rsidRPr="00097D39" w:rsidRDefault="00473CA0" w:rsidP="000413EB">
            <w:pPr>
              <w:jc w:val="both"/>
              <w:rPr>
                <w:rFonts w:ascii="Times New Roman" w:hAnsi="Times New Roman"/>
                <w:sz w:val="20"/>
                <w:szCs w:val="20"/>
                <w:lang w:eastAsia="it-IT"/>
              </w:rPr>
            </w:pPr>
            <w:r w:rsidRPr="000413EB">
              <w:rPr>
                <w:rFonts w:ascii="Times New Roman" w:hAnsi="Times New Roman"/>
                <w:sz w:val="20"/>
                <w:szCs w:val="20"/>
                <w:lang w:eastAsia="it-IT"/>
              </w:rPr>
              <w:t>Довжина ділянки проєктування 240,9 м та площа влаштування тротуарів 541,60 м</w:t>
            </w:r>
            <w:r w:rsidRPr="00097D39">
              <w:rPr>
                <w:rFonts w:ascii="Times New Roman" w:hAnsi="Times New Roman"/>
                <w:sz w:val="20"/>
                <w:szCs w:val="20"/>
                <w:vertAlign w:val="superscript"/>
                <w:lang w:eastAsia="it-IT"/>
              </w:rPr>
              <w:t>2</w:t>
            </w:r>
            <w:r w:rsidR="00097D39">
              <w:rPr>
                <w:rFonts w:ascii="Times New Roman" w:hAnsi="Times New Roman"/>
                <w:sz w:val="20"/>
                <w:szCs w:val="20"/>
                <w:lang w:eastAsia="it-IT"/>
              </w:rPr>
              <w:t>.</w:t>
            </w:r>
          </w:p>
        </w:tc>
      </w:tr>
      <w:tr w:rsidR="00473CA0" w:rsidRPr="000413EB" w14:paraId="1CE23722" w14:textId="77777777" w:rsidTr="00541BDD">
        <w:tc>
          <w:tcPr>
            <w:tcW w:w="567" w:type="dxa"/>
            <w:shd w:val="clear" w:color="auto" w:fill="auto"/>
          </w:tcPr>
          <w:p w14:paraId="3005BD6D" w14:textId="09ED6203" w:rsidR="00473CA0"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14</w:t>
            </w:r>
          </w:p>
        </w:tc>
        <w:tc>
          <w:tcPr>
            <w:tcW w:w="2694" w:type="dxa"/>
            <w:shd w:val="clear" w:color="auto" w:fill="auto"/>
          </w:tcPr>
          <w:p w14:paraId="17EA5616" w14:textId="77777777" w:rsidR="00473CA0" w:rsidRPr="000413EB" w:rsidRDefault="00473CA0" w:rsidP="000413EB">
            <w:pPr>
              <w:jc w:val="both"/>
              <w:rPr>
                <w:rFonts w:ascii="Times New Roman" w:hAnsi="Times New Roman"/>
                <w:bCs/>
                <w:sz w:val="20"/>
                <w:szCs w:val="20"/>
                <w:lang w:eastAsia="uk-UA"/>
              </w:rPr>
            </w:pPr>
            <w:r w:rsidRPr="000413EB">
              <w:rPr>
                <w:rFonts w:ascii="Times New Roman" w:hAnsi="Times New Roman"/>
                <w:bCs/>
                <w:sz w:val="20"/>
                <w:szCs w:val="20"/>
                <w:lang w:eastAsia="uk-UA"/>
              </w:rPr>
              <w:t>В.1.1. Розбудова дорожньої інфраструктури</w:t>
            </w:r>
          </w:p>
          <w:p w14:paraId="6740BF2F" w14:textId="77777777" w:rsidR="00473CA0" w:rsidRPr="000413EB" w:rsidRDefault="00473CA0" w:rsidP="000413EB">
            <w:pPr>
              <w:jc w:val="both"/>
              <w:rPr>
                <w:rFonts w:ascii="Times New Roman" w:hAnsi="Times New Roman"/>
                <w:bCs/>
                <w:sz w:val="20"/>
                <w:szCs w:val="20"/>
                <w:lang w:eastAsia="uk-UA"/>
              </w:rPr>
            </w:pPr>
          </w:p>
        </w:tc>
        <w:tc>
          <w:tcPr>
            <w:tcW w:w="2551" w:type="dxa"/>
            <w:shd w:val="clear" w:color="auto" w:fill="auto"/>
          </w:tcPr>
          <w:p w14:paraId="39F35DF1" w14:textId="13F54F01" w:rsidR="00473CA0" w:rsidRPr="000413EB" w:rsidRDefault="00473CA0" w:rsidP="000413EB">
            <w:pPr>
              <w:suppressAutoHyphens/>
              <w:jc w:val="both"/>
              <w:rPr>
                <w:rFonts w:ascii="Times New Roman" w:hAnsi="Times New Roman"/>
                <w:sz w:val="20"/>
                <w:szCs w:val="20"/>
              </w:rPr>
            </w:pPr>
            <w:r w:rsidRPr="000413EB">
              <w:rPr>
                <w:rFonts w:ascii="Times New Roman" w:hAnsi="Times New Roman"/>
                <w:sz w:val="20"/>
                <w:szCs w:val="20"/>
              </w:rPr>
              <w:t>В.1.1.3. Проведення будівництва, реконструкції та капітального ремонту дорожнього покриття вулиць  та тротуарів в населених пунктах територіальної громади.</w:t>
            </w:r>
          </w:p>
        </w:tc>
        <w:tc>
          <w:tcPr>
            <w:tcW w:w="2835" w:type="dxa"/>
            <w:tcBorders>
              <w:top w:val="single" w:sz="4" w:space="0" w:color="auto"/>
              <w:bottom w:val="single" w:sz="4" w:space="0" w:color="auto"/>
              <w:right w:val="single" w:sz="4" w:space="0" w:color="auto"/>
            </w:tcBorders>
            <w:shd w:val="clear" w:color="auto" w:fill="auto"/>
          </w:tcPr>
          <w:p w14:paraId="4867C7A8" w14:textId="0F8B433C" w:rsidR="00473CA0" w:rsidRPr="000413EB" w:rsidRDefault="00473CA0" w:rsidP="000413EB">
            <w:pPr>
              <w:jc w:val="both"/>
              <w:rPr>
                <w:rFonts w:ascii="Times New Roman" w:hAnsi="Times New Roman"/>
                <w:sz w:val="20"/>
                <w:szCs w:val="20"/>
                <w:lang w:eastAsia="it-IT"/>
              </w:rPr>
            </w:pPr>
            <w:r w:rsidRPr="000413EB">
              <w:rPr>
                <w:rFonts w:ascii="Times New Roman" w:eastAsia="Arial" w:hAnsi="Times New Roman"/>
                <w:sz w:val="20"/>
                <w:szCs w:val="20"/>
              </w:rPr>
              <w:t>Капітальний ремонт доріг (асфальтування) смт.Браїлів</w:t>
            </w:r>
          </w:p>
        </w:tc>
        <w:tc>
          <w:tcPr>
            <w:tcW w:w="1276" w:type="dxa"/>
            <w:shd w:val="clear" w:color="auto" w:fill="auto"/>
          </w:tcPr>
          <w:p w14:paraId="50636174" w14:textId="730319F1" w:rsidR="00473CA0" w:rsidRPr="000413EB" w:rsidRDefault="00473CA0" w:rsidP="00541BDD">
            <w:pPr>
              <w:widowControl w:val="0"/>
              <w:tabs>
                <w:tab w:val="left" w:pos="5829"/>
                <w:tab w:val="left" w:pos="9720"/>
                <w:tab w:val="left" w:pos="10357"/>
              </w:tabs>
              <w:autoSpaceDE w:val="0"/>
              <w:autoSpaceDN w:val="0"/>
              <w:jc w:val="center"/>
              <w:rPr>
                <w:rFonts w:ascii="Times New Roman" w:eastAsia="Arial" w:hAnsi="Times New Roman"/>
                <w:sz w:val="20"/>
                <w:szCs w:val="20"/>
                <w:lang w:eastAsia="en-US"/>
              </w:rPr>
            </w:pPr>
            <w:r w:rsidRPr="000413EB">
              <w:rPr>
                <w:rFonts w:ascii="Times New Roman" w:eastAsia="Arial" w:hAnsi="Times New Roman"/>
                <w:sz w:val="20"/>
                <w:szCs w:val="20"/>
                <w:lang w:eastAsia="en-US"/>
              </w:rPr>
              <w:t>2026</w:t>
            </w:r>
          </w:p>
        </w:tc>
        <w:tc>
          <w:tcPr>
            <w:tcW w:w="2345" w:type="dxa"/>
            <w:shd w:val="clear" w:color="auto" w:fill="auto"/>
          </w:tcPr>
          <w:p w14:paraId="0F9E8EC9" w14:textId="115E7FDC" w:rsidR="00473CA0" w:rsidRPr="000413EB" w:rsidRDefault="00473CA0" w:rsidP="000413EB">
            <w:pPr>
              <w:jc w:val="both"/>
              <w:rPr>
                <w:rFonts w:ascii="Times New Roman" w:hAnsi="Times New Roman"/>
                <w:color w:val="000000"/>
                <w:sz w:val="20"/>
                <w:szCs w:val="20"/>
                <w:lang w:eastAsia="it-IT"/>
              </w:rPr>
            </w:pPr>
            <w:r w:rsidRPr="000413EB">
              <w:rPr>
                <w:rFonts w:ascii="Times New Roman" w:hAnsi="Times New Roman"/>
                <w:sz w:val="20"/>
                <w:szCs w:val="20"/>
              </w:rPr>
              <w:t>Управління житлово-комунального господарства міської ради</w:t>
            </w:r>
          </w:p>
        </w:tc>
        <w:tc>
          <w:tcPr>
            <w:tcW w:w="2900" w:type="dxa"/>
            <w:shd w:val="clear" w:color="auto" w:fill="auto"/>
          </w:tcPr>
          <w:p w14:paraId="50D88139" w14:textId="146BD40A" w:rsidR="00473CA0" w:rsidRPr="00097D39" w:rsidRDefault="00473CA0" w:rsidP="000413EB">
            <w:pPr>
              <w:jc w:val="both"/>
              <w:rPr>
                <w:rFonts w:ascii="Times New Roman" w:hAnsi="Times New Roman"/>
                <w:sz w:val="20"/>
                <w:szCs w:val="20"/>
                <w:lang w:eastAsia="it-IT"/>
              </w:rPr>
            </w:pPr>
            <w:r w:rsidRPr="000413EB">
              <w:rPr>
                <w:rFonts w:ascii="Times New Roman" w:hAnsi="Times New Roman"/>
                <w:sz w:val="20"/>
                <w:szCs w:val="20"/>
                <w:lang w:eastAsia="it-IT"/>
              </w:rPr>
              <w:t>Площа ремонту дорожнього покриття: 48 800 м</w:t>
            </w:r>
            <w:r w:rsidRPr="00097D39">
              <w:rPr>
                <w:rFonts w:ascii="Times New Roman" w:hAnsi="Times New Roman"/>
                <w:sz w:val="20"/>
                <w:szCs w:val="20"/>
                <w:vertAlign w:val="superscript"/>
                <w:lang w:eastAsia="it-IT"/>
              </w:rPr>
              <w:t>2</w:t>
            </w:r>
            <w:r w:rsidR="00097D39">
              <w:rPr>
                <w:rFonts w:ascii="Times New Roman" w:hAnsi="Times New Roman"/>
                <w:sz w:val="20"/>
                <w:szCs w:val="20"/>
                <w:lang w:eastAsia="it-IT"/>
              </w:rPr>
              <w:t>.</w:t>
            </w:r>
          </w:p>
        </w:tc>
      </w:tr>
      <w:tr w:rsidR="00473CA0" w:rsidRPr="000413EB" w14:paraId="5835B740" w14:textId="77777777" w:rsidTr="00541BDD">
        <w:tc>
          <w:tcPr>
            <w:tcW w:w="567" w:type="dxa"/>
            <w:shd w:val="clear" w:color="auto" w:fill="auto"/>
          </w:tcPr>
          <w:p w14:paraId="02DF5794" w14:textId="72D5B579" w:rsidR="00473CA0"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15</w:t>
            </w:r>
          </w:p>
        </w:tc>
        <w:tc>
          <w:tcPr>
            <w:tcW w:w="2694" w:type="dxa"/>
            <w:shd w:val="clear" w:color="auto" w:fill="auto"/>
          </w:tcPr>
          <w:p w14:paraId="44E49801" w14:textId="77777777" w:rsidR="00473CA0" w:rsidRPr="000413EB" w:rsidRDefault="00473CA0" w:rsidP="000413EB">
            <w:pPr>
              <w:jc w:val="both"/>
              <w:rPr>
                <w:rFonts w:ascii="Times New Roman" w:hAnsi="Times New Roman"/>
                <w:bCs/>
                <w:sz w:val="20"/>
                <w:szCs w:val="20"/>
                <w:lang w:eastAsia="uk-UA"/>
              </w:rPr>
            </w:pPr>
            <w:r w:rsidRPr="000413EB">
              <w:rPr>
                <w:rFonts w:ascii="Times New Roman" w:hAnsi="Times New Roman"/>
                <w:bCs/>
                <w:sz w:val="20"/>
                <w:szCs w:val="20"/>
                <w:lang w:eastAsia="uk-UA"/>
              </w:rPr>
              <w:t>В.1.1. Розбудова дорожньої інфраструктури</w:t>
            </w:r>
          </w:p>
          <w:p w14:paraId="4D2F6FF4" w14:textId="77777777" w:rsidR="00473CA0" w:rsidRPr="000413EB" w:rsidRDefault="00473CA0" w:rsidP="000413EB">
            <w:pPr>
              <w:jc w:val="both"/>
              <w:rPr>
                <w:rFonts w:ascii="Times New Roman" w:hAnsi="Times New Roman"/>
                <w:bCs/>
                <w:sz w:val="20"/>
                <w:szCs w:val="20"/>
                <w:lang w:eastAsia="uk-UA"/>
              </w:rPr>
            </w:pPr>
          </w:p>
        </w:tc>
        <w:tc>
          <w:tcPr>
            <w:tcW w:w="2551" w:type="dxa"/>
            <w:shd w:val="clear" w:color="auto" w:fill="auto"/>
          </w:tcPr>
          <w:p w14:paraId="2FE6BD69" w14:textId="10A83283" w:rsidR="00473CA0" w:rsidRPr="000413EB" w:rsidRDefault="00473CA0" w:rsidP="000413EB">
            <w:pPr>
              <w:suppressAutoHyphens/>
              <w:jc w:val="both"/>
              <w:rPr>
                <w:rFonts w:ascii="Times New Roman" w:hAnsi="Times New Roman"/>
                <w:sz w:val="20"/>
                <w:szCs w:val="20"/>
              </w:rPr>
            </w:pPr>
            <w:r w:rsidRPr="000413EB">
              <w:rPr>
                <w:rFonts w:ascii="Times New Roman" w:hAnsi="Times New Roman"/>
                <w:sz w:val="20"/>
                <w:szCs w:val="20"/>
              </w:rPr>
              <w:t>В.1.1.3. Проведення будівництва, реконструкції та капітального ремонту дорожнього покриття вулиць  та тротуарів в населених пунктах територіальної громади.</w:t>
            </w:r>
          </w:p>
        </w:tc>
        <w:tc>
          <w:tcPr>
            <w:tcW w:w="2835" w:type="dxa"/>
            <w:tcBorders>
              <w:top w:val="single" w:sz="4" w:space="0" w:color="auto"/>
              <w:bottom w:val="single" w:sz="4" w:space="0" w:color="auto"/>
              <w:right w:val="single" w:sz="4" w:space="0" w:color="auto"/>
            </w:tcBorders>
            <w:shd w:val="clear" w:color="auto" w:fill="auto"/>
          </w:tcPr>
          <w:p w14:paraId="41FD207D" w14:textId="16BE7EA3" w:rsidR="00473CA0" w:rsidRPr="000413EB" w:rsidRDefault="00473CA0" w:rsidP="000413EB">
            <w:pPr>
              <w:jc w:val="both"/>
              <w:rPr>
                <w:rFonts w:ascii="Times New Roman" w:hAnsi="Times New Roman"/>
                <w:sz w:val="20"/>
                <w:szCs w:val="20"/>
                <w:lang w:eastAsia="it-IT"/>
              </w:rPr>
            </w:pPr>
            <w:r w:rsidRPr="000413EB">
              <w:rPr>
                <w:rFonts w:ascii="Times New Roman" w:hAnsi="Times New Roman"/>
                <w:bCs/>
                <w:spacing w:val="-5"/>
                <w:sz w:val="20"/>
                <w:szCs w:val="20"/>
              </w:rPr>
              <w:t xml:space="preserve">Капітальний ремонт тротуару по вул. Київська (від "АЗС ОККО" до вул. </w:t>
            </w:r>
            <w:r w:rsidR="00A041B2" w:rsidRPr="000413EB">
              <w:rPr>
                <w:rFonts w:ascii="Times New Roman" w:hAnsi="Times New Roman"/>
                <w:bCs/>
                <w:spacing w:val="-5"/>
                <w:sz w:val="20"/>
                <w:szCs w:val="20"/>
              </w:rPr>
              <w:t>Гришина</w:t>
            </w:r>
            <w:r w:rsidRPr="000413EB">
              <w:rPr>
                <w:rFonts w:ascii="Times New Roman" w:hAnsi="Times New Roman"/>
                <w:bCs/>
                <w:spacing w:val="-5"/>
                <w:sz w:val="20"/>
                <w:szCs w:val="20"/>
              </w:rPr>
              <w:t>) в м. Жмеринка Вінницької області</w:t>
            </w:r>
          </w:p>
        </w:tc>
        <w:tc>
          <w:tcPr>
            <w:tcW w:w="1276" w:type="dxa"/>
            <w:shd w:val="clear" w:color="auto" w:fill="auto"/>
          </w:tcPr>
          <w:p w14:paraId="26D42FDB" w14:textId="7EDA836D" w:rsidR="00473CA0" w:rsidRPr="000413EB" w:rsidRDefault="00473CA0" w:rsidP="00541BDD">
            <w:pPr>
              <w:widowControl w:val="0"/>
              <w:tabs>
                <w:tab w:val="left" w:pos="5829"/>
                <w:tab w:val="left" w:pos="9720"/>
                <w:tab w:val="left" w:pos="10357"/>
              </w:tabs>
              <w:autoSpaceDE w:val="0"/>
              <w:autoSpaceDN w:val="0"/>
              <w:jc w:val="center"/>
              <w:rPr>
                <w:rFonts w:ascii="Times New Roman" w:eastAsia="Arial" w:hAnsi="Times New Roman"/>
                <w:sz w:val="20"/>
                <w:szCs w:val="20"/>
                <w:lang w:eastAsia="en-US"/>
              </w:rPr>
            </w:pPr>
            <w:r w:rsidRPr="000413EB">
              <w:rPr>
                <w:rFonts w:ascii="Times New Roman" w:eastAsia="Arial" w:hAnsi="Times New Roman"/>
                <w:sz w:val="20"/>
                <w:szCs w:val="20"/>
                <w:lang w:eastAsia="en-US"/>
              </w:rPr>
              <w:t>2026</w:t>
            </w:r>
          </w:p>
        </w:tc>
        <w:tc>
          <w:tcPr>
            <w:tcW w:w="2345" w:type="dxa"/>
            <w:shd w:val="clear" w:color="auto" w:fill="auto"/>
          </w:tcPr>
          <w:p w14:paraId="353CB33C" w14:textId="715BE33A" w:rsidR="00473CA0" w:rsidRPr="000413EB" w:rsidRDefault="00473CA0" w:rsidP="000413EB">
            <w:pPr>
              <w:jc w:val="both"/>
              <w:rPr>
                <w:rFonts w:ascii="Times New Roman" w:hAnsi="Times New Roman"/>
                <w:color w:val="000000"/>
                <w:sz w:val="20"/>
                <w:szCs w:val="20"/>
                <w:lang w:eastAsia="it-IT"/>
              </w:rPr>
            </w:pPr>
            <w:r w:rsidRPr="000413EB">
              <w:rPr>
                <w:rFonts w:ascii="Times New Roman" w:hAnsi="Times New Roman"/>
                <w:sz w:val="20"/>
                <w:szCs w:val="20"/>
              </w:rPr>
              <w:t>Управління житлово-комунального господарства міської ради</w:t>
            </w:r>
          </w:p>
        </w:tc>
        <w:tc>
          <w:tcPr>
            <w:tcW w:w="2900" w:type="dxa"/>
            <w:shd w:val="clear" w:color="auto" w:fill="auto"/>
          </w:tcPr>
          <w:p w14:paraId="74B4D3FE" w14:textId="49F69981" w:rsidR="00473CA0" w:rsidRPr="00097D39" w:rsidRDefault="00473CA0" w:rsidP="000413EB">
            <w:pPr>
              <w:jc w:val="both"/>
              <w:rPr>
                <w:rFonts w:ascii="Times New Roman" w:hAnsi="Times New Roman"/>
                <w:sz w:val="20"/>
                <w:szCs w:val="20"/>
                <w:lang w:eastAsia="it-IT"/>
              </w:rPr>
            </w:pPr>
            <w:r w:rsidRPr="000413EB">
              <w:rPr>
                <w:rFonts w:ascii="Times New Roman" w:hAnsi="Times New Roman"/>
                <w:sz w:val="20"/>
                <w:szCs w:val="20"/>
                <w:lang w:eastAsia="it-IT"/>
              </w:rPr>
              <w:t>Вла</w:t>
            </w:r>
            <w:r w:rsidR="00097D39">
              <w:rPr>
                <w:rFonts w:ascii="Times New Roman" w:hAnsi="Times New Roman"/>
                <w:sz w:val="20"/>
                <w:szCs w:val="20"/>
                <w:lang w:eastAsia="it-IT"/>
              </w:rPr>
              <w:t>штування тротуару площею 4090 м</w:t>
            </w:r>
            <w:r w:rsidR="00097D39">
              <w:rPr>
                <w:rFonts w:ascii="Times New Roman" w:hAnsi="Times New Roman"/>
                <w:sz w:val="20"/>
                <w:szCs w:val="20"/>
                <w:vertAlign w:val="superscript"/>
                <w:lang w:eastAsia="it-IT"/>
              </w:rPr>
              <w:t>2</w:t>
            </w:r>
            <w:r w:rsidR="00097D39">
              <w:rPr>
                <w:rFonts w:ascii="Times New Roman" w:hAnsi="Times New Roman"/>
                <w:sz w:val="20"/>
                <w:szCs w:val="20"/>
                <w:lang w:eastAsia="it-IT"/>
              </w:rPr>
              <w:t>.</w:t>
            </w:r>
          </w:p>
        </w:tc>
      </w:tr>
      <w:tr w:rsidR="00473CA0" w:rsidRPr="000413EB" w14:paraId="0F27623D" w14:textId="77777777" w:rsidTr="00541BDD">
        <w:tc>
          <w:tcPr>
            <w:tcW w:w="567" w:type="dxa"/>
            <w:shd w:val="clear" w:color="auto" w:fill="auto"/>
          </w:tcPr>
          <w:p w14:paraId="00F566C3" w14:textId="0B9FDF7E" w:rsidR="00473CA0"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16</w:t>
            </w:r>
          </w:p>
        </w:tc>
        <w:tc>
          <w:tcPr>
            <w:tcW w:w="2694" w:type="dxa"/>
            <w:shd w:val="clear" w:color="auto" w:fill="auto"/>
          </w:tcPr>
          <w:p w14:paraId="1FA67E65" w14:textId="77777777" w:rsidR="00473CA0" w:rsidRPr="000413EB" w:rsidRDefault="00473CA0" w:rsidP="000413EB">
            <w:pPr>
              <w:jc w:val="both"/>
              <w:rPr>
                <w:rFonts w:ascii="Times New Roman" w:hAnsi="Times New Roman"/>
                <w:bCs/>
                <w:sz w:val="20"/>
                <w:szCs w:val="20"/>
                <w:lang w:eastAsia="uk-UA"/>
              </w:rPr>
            </w:pPr>
            <w:r w:rsidRPr="000413EB">
              <w:rPr>
                <w:rFonts w:ascii="Times New Roman" w:hAnsi="Times New Roman"/>
                <w:bCs/>
                <w:sz w:val="20"/>
                <w:szCs w:val="20"/>
                <w:lang w:eastAsia="uk-UA"/>
              </w:rPr>
              <w:t>В.1.1. Розбудова дорожньої інфраструктури</w:t>
            </w:r>
          </w:p>
          <w:p w14:paraId="6173F5D1" w14:textId="77777777" w:rsidR="00473CA0" w:rsidRPr="000413EB" w:rsidRDefault="00473CA0" w:rsidP="000413EB">
            <w:pPr>
              <w:jc w:val="both"/>
              <w:rPr>
                <w:rFonts w:ascii="Times New Roman" w:hAnsi="Times New Roman"/>
                <w:bCs/>
                <w:sz w:val="20"/>
                <w:szCs w:val="20"/>
                <w:lang w:eastAsia="uk-UA"/>
              </w:rPr>
            </w:pPr>
          </w:p>
        </w:tc>
        <w:tc>
          <w:tcPr>
            <w:tcW w:w="2551" w:type="dxa"/>
            <w:shd w:val="clear" w:color="auto" w:fill="auto"/>
          </w:tcPr>
          <w:p w14:paraId="38AA4EDC" w14:textId="514BA203" w:rsidR="00473CA0" w:rsidRPr="000413EB" w:rsidRDefault="00473CA0" w:rsidP="000413EB">
            <w:pPr>
              <w:suppressAutoHyphens/>
              <w:jc w:val="both"/>
              <w:rPr>
                <w:rFonts w:ascii="Times New Roman" w:hAnsi="Times New Roman"/>
                <w:sz w:val="20"/>
                <w:szCs w:val="20"/>
              </w:rPr>
            </w:pPr>
            <w:r w:rsidRPr="000413EB">
              <w:rPr>
                <w:rFonts w:ascii="Times New Roman" w:hAnsi="Times New Roman"/>
                <w:sz w:val="20"/>
                <w:szCs w:val="20"/>
              </w:rPr>
              <w:lastRenderedPageBreak/>
              <w:t xml:space="preserve">В.1.1.3. Проведення будівництва, реконструкції </w:t>
            </w:r>
            <w:r w:rsidRPr="000413EB">
              <w:rPr>
                <w:rFonts w:ascii="Times New Roman" w:hAnsi="Times New Roman"/>
                <w:sz w:val="20"/>
                <w:szCs w:val="20"/>
              </w:rPr>
              <w:lastRenderedPageBreak/>
              <w:t>та капітального ремонту дорожнього покриття вулиць  та тротуарів в населених пунктах територіальної громади.</w:t>
            </w:r>
          </w:p>
        </w:tc>
        <w:tc>
          <w:tcPr>
            <w:tcW w:w="2835" w:type="dxa"/>
            <w:tcBorders>
              <w:top w:val="single" w:sz="4" w:space="0" w:color="auto"/>
              <w:bottom w:val="single" w:sz="4" w:space="0" w:color="auto"/>
              <w:right w:val="single" w:sz="4" w:space="0" w:color="auto"/>
            </w:tcBorders>
            <w:shd w:val="clear" w:color="auto" w:fill="auto"/>
          </w:tcPr>
          <w:p w14:paraId="78A01D7E" w14:textId="698C8CD3" w:rsidR="00473CA0" w:rsidRPr="000413EB" w:rsidRDefault="00473CA0" w:rsidP="000413EB">
            <w:pPr>
              <w:jc w:val="both"/>
              <w:rPr>
                <w:rFonts w:ascii="Times New Roman" w:hAnsi="Times New Roman"/>
                <w:sz w:val="20"/>
                <w:szCs w:val="20"/>
                <w:lang w:eastAsia="it-IT"/>
              </w:rPr>
            </w:pPr>
            <w:r w:rsidRPr="000413EB">
              <w:rPr>
                <w:rFonts w:ascii="Times New Roman" w:eastAsia="Arial" w:hAnsi="Times New Roman"/>
                <w:sz w:val="20"/>
                <w:szCs w:val="20"/>
              </w:rPr>
              <w:lastRenderedPageBreak/>
              <w:t xml:space="preserve">Капітальний ремонт дорожнього покриття по вул. </w:t>
            </w:r>
            <w:r w:rsidRPr="000413EB">
              <w:rPr>
                <w:rFonts w:ascii="Times New Roman" w:eastAsia="Arial" w:hAnsi="Times New Roman"/>
                <w:sz w:val="20"/>
                <w:szCs w:val="20"/>
              </w:rPr>
              <w:lastRenderedPageBreak/>
              <w:t xml:space="preserve">Січових стрільців та вул. </w:t>
            </w:r>
            <w:r w:rsidR="00A041B2" w:rsidRPr="000413EB">
              <w:rPr>
                <w:rFonts w:ascii="Times New Roman" w:eastAsia="Arial" w:hAnsi="Times New Roman"/>
                <w:sz w:val="20"/>
                <w:szCs w:val="20"/>
              </w:rPr>
              <w:t>Литвиненка</w:t>
            </w:r>
            <w:r w:rsidRPr="000413EB">
              <w:rPr>
                <w:rFonts w:ascii="Times New Roman" w:eastAsia="Arial" w:hAnsi="Times New Roman"/>
                <w:sz w:val="20"/>
                <w:szCs w:val="20"/>
              </w:rPr>
              <w:t xml:space="preserve"> (від вул. Шевченка до вул. Січових Стрільців) в м. Жмеринка</w:t>
            </w:r>
          </w:p>
        </w:tc>
        <w:tc>
          <w:tcPr>
            <w:tcW w:w="1276" w:type="dxa"/>
            <w:shd w:val="clear" w:color="auto" w:fill="auto"/>
          </w:tcPr>
          <w:p w14:paraId="3198673B" w14:textId="6256AD21" w:rsidR="00473CA0" w:rsidRPr="000413EB" w:rsidRDefault="00473CA0" w:rsidP="00541BDD">
            <w:pPr>
              <w:widowControl w:val="0"/>
              <w:tabs>
                <w:tab w:val="left" w:pos="5829"/>
                <w:tab w:val="left" w:pos="9720"/>
                <w:tab w:val="left" w:pos="10357"/>
              </w:tabs>
              <w:autoSpaceDE w:val="0"/>
              <w:autoSpaceDN w:val="0"/>
              <w:jc w:val="center"/>
              <w:rPr>
                <w:rFonts w:ascii="Times New Roman" w:eastAsia="Arial" w:hAnsi="Times New Roman"/>
                <w:sz w:val="20"/>
                <w:szCs w:val="20"/>
                <w:lang w:eastAsia="en-US"/>
              </w:rPr>
            </w:pPr>
            <w:r w:rsidRPr="000413EB">
              <w:rPr>
                <w:rFonts w:ascii="Times New Roman" w:eastAsia="Arial" w:hAnsi="Times New Roman"/>
                <w:sz w:val="20"/>
                <w:szCs w:val="20"/>
                <w:lang w:eastAsia="en-US"/>
              </w:rPr>
              <w:lastRenderedPageBreak/>
              <w:t>2026</w:t>
            </w:r>
          </w:p>
        </w:tc>
        <w:tc>
          <w:tcPr>
            <w:tcW w:w="2345" w:type="dxa"/>
            <w:shd w:val="clear" w:color="auto" w:fill="auto"/>
          </w:tcPr>
          <w:p w14:paraId="3EBD1109" w14:textId="6D290CC6" w:rsidR="00473CA0" w:rsidRPr="000413EB" w:rsidRDefault="00473CA0" w:rsidP="000413EB">
            <w:pPr>
              <w:jc w:val="both"/>
              <w:rPr>
                <w:rFonts w:ascii="Times New Roman" w:hAnsi="Times New Roman"/>
                <w:color w:val="000000"/>
                <w:sz w:val="20"/>
                <w:szCs w:val="20"/>
                <w:lang w:eastAsia="it-IT"/>
              </w:rPr>
            </w:pPr>
            <w:r w:rsidRPr="000413EB">
              <w:rPr>
                <w:rFonts w:ascii="Times New Roman" w:hAnsi="Times New Roman"/>
                <w:sz w:val="20"/>
                <w:szCs w:val="20"/>
              </w:rPr>
              <w:t xml:space="preserve">Управління житлово-комунального </w:t>
            </w:r>
            <w:r w:rsidRPr="000413EB">
              <w:rPr>
                <w:rFonts w:ascii="Times New Roman" w:hAnsi="Times New Roman"/>
                <w:sz w:val="20"/>
                <w:szCs w:val="20"/>
              </w:rPr>
              <w:lastRenderedPageBreak/>
              <w:t>господарства міської ради</w:t>
            </w:r>
          </w:p>
        </w:tc>
        <w:tc>
          <w:tcPr>
            <w:tcW w:w="2900" w:type="dxa"/>
            <w:shd w:val="clear" w:color="auto" w:fill="auto"/>
          </w:tcPr>
          <w:p w14:paraId="76434E7F" w14:textId="35F34830" w:rsidR="00473CA0" w:rsidRPr="000413EB" w:rsidRDefault="00473CA0" w:rsidP="004D364B">
            <w:pPr>
              <w:jc w:val="both"/>
              <w:rPr>
                <w:rFonts w:ascii="Times New Roman" w:hAnsi="Times New Roman"/>
                <w:sz w:val="20"/>
                <w:szCs w:val="20"/>
                <w:lang w:eastAsia="it-IT"/>
              </w:rPr>
            </w:pPr>
            <w:r w:rsidRPr="000413EB">
              <w:rPr>
                <w:rFonts w:ascii="Times New Roman" w:hAnsi="Times New Roman"/>
                <w:sz w:val="20"/>
                <w:szCs w:val="20"/>
                <w:lang w:eastAsia="it-IT"/>
              </w:rPr>
              <w:lastRenderedPageBreak/>
              <w:t>Площа дорожнього по</w:t>
            </w:r>
            <w:r w:rsidR="00097D39">
              <w:rPr>
                <w:rFonts w:ascii="Times New Roman" w:hAnsi="Times New Roman"/>
                <w:sz w:val="20"/>
                <w:szCs w:val="20"/>
                <w:lang w:eastAsia="it-IT"/>
              </w:rPr>
              <w:t>криття яке ремонтується: 3080 м</w:t>
            </w:r>
            <w:r w:rsidR="00097D39">
              <w:rPr>
                <w:rFonts w:ascii="Times New Roman" w:hAnsi="Times New Roman"/>
                <w:sz w:val="20"/>
                <w:szCs w:val="20"/>
                <w:vertAlign w:val="superscript"/>
                <w:lang w:eastAsia="it-IT"/>
              </w:rPr>
              <w:t>2</w:t>
            </w:r>
            <w:r w:rsidRPr="000413EB">
              <w:rPr>
                <w:rFonts w:ascii="Times New Roman" w:hAnsi="Times New Roman"/>
                <w:sz w:val="20"/>
                <w:szCs w:val="20"/>
                <w:lang w:eastAsia="it-IT"/>
              </w:rPr>
              <w:t xml:space="preserve"> та </w:t>
            </w:r>
            <w:r w:rsidRPr="000413EB">
              <w:rPr>
                <w:rFonts w:ascii="Times New Roman" w:hAnsi="Times New Roman"/>
                <w:sz w:val="20"/>
                <w:szCs w:val="20"/>
                <w:lang w:eastAsia="it-IT"/>
              </w:rPr>
              <w:lastRenderedPageBreak/>
              <w:t xml:space="preserve">площа тротуарного покриття яке ремонтується: 402 </w:t>
            </w:r>
            <w:r w:rsidR="004D364B" w:rsidRPr="004D364B">
              <w:rPr>
                <w:rFonts w:ascii="Times New Roman" w:hAnsi="Times New Roman"/>
                <w:sz w:val="20"/>
                <w:szCs w:val="20"/>
                <w:lang w:eastAsia="it-IT"/>
              </w:rPr>
              <w:t>м</w:t>
            </w:r>
            <w:r w:rsidR="004D364B">
              <w:rPr>
                <w:rFonts w:ascii="Times New Roman" w:hAnsi="Times New Roman"/>
                <w:sz w:val="20"/>
                <w:szCs w:val="20"/>
                <w:vertAlign w:val="superscript"/>
                <w:lang w:eastAsia="it-IT"/>
              </w:rPr>
              <w:t>2</w:t>
            </w:r>
            <w:r w:rsidR="004D364B">
              <w:rPr>
                <w:rFonts w:ascii="Times New Roman" w:hAnsi="Times New Roman"/>
                <w:sz w:val="20"/>
                <w:szCs w:val="20"/>
                <w:lang w:eastAsia="it-IT"/>
              </w:rPr>
              <w:t>.</w:t>
            </w:r>
          </w:p>
        </w:tc>
      </w:tr>
      <w:tr w:rsidR="00473CA0" w:rsidRPr="000413EB" w14:paraId="7AB9F7CE" w14:textId="77777777" w:rsidTr="00541BDD">
        <w:tc>
          <w:tcPr>
            <w:tcW w:w="567" w:type="dxa"/>
            <w:shd w:val="clear" w:color="auto" w:fill="auto"/>
          </w:tcPr>
          <w:p w14:paraId="5160615D" w14:textId="0F4D940E" w:rsidR="00473CA0"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lastRenderedPageBreak/>
              <w:t>17</w:t>
            </w:r>
          </w:p>
        </w:tc>
        <w:tc>
          <w:tcPr>
            <w:tcW w:w="2694" w:type="dxa"/>
            <w:shd w:val="clear" w:color="auto" w:fill="auto"/>
          </w:tcPr>
          <w:p w14:paraId="5D932534" w14:textId="77777777" w:rsidR="00473CA0" w:rsidRPr="000413EB" w:rsidRDefault="00473CA0" w:rsidP="000413EB">
            <w:pPr>
              <w:jc w:val="both"/>
              <w:rPr>
                <w:rFonts w:ascii="Times New Roman" w:hAnsi="Times New Roman"/>
                <w:bCs/>
                <w:sz w:val="20"/>
                <w:szCs w:val="20"/>
                <w:lang w:eastAsia="uk-UA"/>
              </w:rPr>
            </w:pPr>
            <w:r w:rsidRPr="000413EB">
              <w:rPr>
                <w:rFonts w:ascii="Times New Roman" w:hAnsi="Times New Roman"/>
                <w:bCs/>
                <w:sz w:val="20"/>
                <w:szCs w:val="20"/>
                <w:lang w:eastAsia="uk-UA"/>
              </w:rPr>
              <w:t>В.1.1. Розбудова дорожньої інфраструктури</w:t>
            </w:r>
          </w:p>
          <w:p w14:paraId="7983FBFB" w14:textId="77777777" w:rsidR="00473CA0" w:rsidRPr="000413EB" w:rsidRDefault="00473CA0" w:rsidP="000413EB">
            <w:pPr>
              <w:jc w:val="both"/>
              <w:rPr>
                <w:rFonts w:ascii="Times New Roman" w:hAnsi="Times New Roman"/>
                <w:bCs/>
                <w:sz w:val="20"/>
                <w:szCs w:val="20"/>
                <w:lang w:eastAsia="uk-UA"/>
              </w:rPr>
            </w:pPr>
          </w:p>
        </w:tc>
        <w:tc>
          <w:tcPr>
            <w:tcW w:w="2551" w:type="dxa"/>
            <w:shd w:val="clear" w:color="auto" w:fill="auto"/>
          </w:tcPr>
          <w:p w14:paraId="5766CC29" w14:textId="71072D1B" w:rsidR="00473CA0" w:rsidRPr="000413EB" w:rsidRDefault="00473CA0" w:rsidP="000413EB">
            <w:pPr>
              <w:suppressAutoHyphens/>
              <w:jc w:val="both"/>
              <w:rPr>
                <w:rFonts w:ascii="Times New Roman" w:hAnsi="Times New Roman"/>
                <w:sz w:val="20"/>
                <w:szCs w:val="20"/>
              </w:rPr>
            </w:pPr>
            <w:r w:rsidRPr="000413EB">
              <w:rPr>
                <w:rFonts w:ascii="Times New Roman" w:hAnsi="Times New Roman"/>
                <w:sz w:val="20"/>
                <w:szCs w:val="20"/>
              </w:rPr>
              <w:t>В.1.1.3. Проведення будівництва, реконструкції та капітального ремонту дорожнього покриття вулиць  та тротуарів в населених пунктах територіальної громади.</w:t>
            </w:r>
          </w:p>
        </w:tc>
        <w:tc>
          <w:tcPr>
            <w:tcW w:w="2835" w:type="dxa"/>
            <w:tcBorders>
              <w:top w:val="single" w:sz="4" w:space="0" w:color="auto"/>
              <w:bottom w:val="single" w:sz="4" w:space="0" w:color="auto"/>
              <w:right w:val="single" w:sz="4" w:space="0" w:color="auto"/>
            </w:tcBorders>
            <w:shd w:val="clear" w:color="auto" w:fill="auto"/>
          </w:tcPr>
          <w:p w14:paraId="1DB32407" w14:textId="03BE94B0" w:rsidR="00473CA0" w:rsidRPr="000413EB" w:rsidRDefault="00473CA0" w:rsidP="000413EB">
            <w:pPr>
              <w:jc w:val="both"/>
              <w:rPr>
                <w:rFonts w:ascii="Times New Roman" w:hAnsi="Times New Roman"/>
                <w:sz w:val="20"/>
                <w:szCs w:val="20"/>
                <w:lang w:eastAsia="it-IT"/>
              </w:rPr>
            </w:pPr>
            <w:r w:rsidRPr="000413EB">
              <w:rPr>
                <w:rFonts w:ascii="Times New Roman" w:eastAsia="Arial" w:hAnsi="Times New Roman"/>
                <w:sz w:val="20"/>
                <w:szCs w:val="20"/>
              </w:rPr>
              <w:t>Капітальний ремонт дорожнього покриття по вул. Козацька в смт. Браїлів Жмеринського району, Вінницької області (Коригування)</w:t>
            </w:r>
          </w:p>
        </w:tc>
        <w:tc>
          <w:tcPr>
            <w:tcW w:w="1276" w:type="dxa"/>
            <w:shd w:val="clear" w:color="auto" w:fill="auto"/>
          </w:tcPr>
          <w:p w14:paraId="7C79DFEE" w14:textId="625AA088" w:rsidR="00473CA0" w:rsidRPr="000413EB" w:rsidRDefault="00473CA0" w:rsidP="00541BDD">
            <w:pPr>
              <w:widowControl w:val="0"/>
              <w:tabs>
                <w:tab w:val="left" w:pos="5829"/>
                <w:tab w:val="left" w:pos="9720"/>
                <w:tab w:val="left" w:pos="10357"/>
              </w:tabs>
              <w:autoSpaceDE w:val="0"/>
              <w:autoSpaceDN w:val="0"/>
              <w:jc w:val="center"/>
              <w:rPr>
                <w:rFonts w:ascii="Times New Roman" w:eastAsia="Arial" w:hAnsi="Times New Roman"/>
                <w:sz w:val="20"/>
                <w:szCs w:val="20"/>
                <w:lang w:eastAsia="en-US"/>
              </w:rPr>
            </w:pPr>
            <w:r w:rsidRPr="000413EB">
              <w:rPr>
                <w:rFonts w:ascii="Times New Roman" w:eastAsia="Arial" w:hAnsi="Times New Roman"/>
                <w:sz w:val="20"/>
                <w:szCs w:val="20"/>
                <w:lang w:eastAsia="en-US"/>
              </w:rPr>
              <w:t>2026</w:t>
            </w:r>
          </w:p>
        </w:tc>
        <w:tc>
          <w:tcPr>
            <w:tcW w:w="2345" w:type="dxa"/>
            <w:shd w:val="clear" w:color="auto" w:fill="auto"/>
          </w:tcPr>
          <w:p w14:paraId="6A90A0EC" w14:textId="5ADBE690" w:rsidR="00473CA0" w:rsidRPr="000413EB" w:rsidRDefault="00473CA0" w:rsidP="000413EB">
            <w:pPr>
              <w:jc w:val="both"/>
              <w:rPr>
                <w:rFonts w:ascii="Times New Roman" w:hAnsi="Times New Roman"/>
                <w:color w:val="000000"/>
                <w:sz w:val="20"/>
                <w:szCs w:val="20"/>
                <w:lang w:eastAsia="it-IT"/>
              </w:rPr>
            </w:pPr>
            <w:r w:rsidRPr="000413EB">
              <w:rPr>
                <w:rFonts w:ascii="Times New Roman" w:hAnsi="Times New Roman"/>
                <w:sz w:val="20"/>
                <w:szCs w:val="20"/>
              </w:rPr>
              <w:t>Управління житлово-комунального господарства міської ради</w:t>
            </w:r>
          </w:p>
        </w:tc>
        <w:tc>
          <w:tcPr>
            <w:tcW w:w="2900" w:type="dxa"/>
            <w:shd w:val="clear" w:color="auto" w:fill="auto"/>
          </w:tcPr>
          <w:p w14:paraId="497A7A7D" w14:textId="63381095" w:rsidR="00473CA0" w:rsidRPr="004D364B" w:rsidRDefault="00473CA0" w:rsidP="000413EB">
            <w:pPr>
              <w:jc w:val="both"/>
              <w:rPr>
                <w:rFonts w:ascii="Times New Roman" w:hAnsi="Times New Roman"/>
                <w:sz w:val="20"/>
                <w:szCs w:val="20"/>
                <w:vertAlign w:val="superscript"/>
                <w:lang w:eastAsia="it-IT"/>
              </w:rPr>
            </w:pPr>
            <w:r w:rsidRPr="000413EB">
              <w:rPr>
                <w:rFonts w:ascii="Times New Roman" w:hAnsi="Times New Roman"/>
                <w:sz w:val="20"/>
                <w:szCs w:val="20"/>
                <w:lang w:eastAsia="it-IT"/>
              </w:rPr>
              <w:t>Площа ремонтованого покриття проїзної частини, з’їзд</w:t>
            </w:r>
            <w:r w:rsidR="004D364B">
              <w:rPr>
                <w:rFonts w:ascii="Times New Roman" w:hAnsi="Times New Roman"/>
                <w:sz w:val="20"/>
                <w:szCs w:val="20"/>
                <w:lang w:eastAsia="it-IT"/>
              </w:rPr>
              <w:t>ів, розширень, площадок: 3660 м</w:t>
            </w:r>
            <w:r w:rsidR="004D364B">
              <w:rPr>
                <w:rFonts w:ascii="Times New Roman" w:hAnsi="Times New Roman"/>
                <w:sz w:val="20"/>
                <w:szCs w:val="20"/>
                <w:vertAlign w:val="superscript"/>
                <w:lang w:eastAsia="it-IT"/>
              </w:rPr>
              <w:t>2</w:t>
            </w:r>
            <w:r w:rsidRPr="000413EB">
              <w:rPr>
                <w:rFonts w:ascii="Times New Roman" w:hAnsi="Times New Roman"/>
                <w:sz w:val="20"/>
                <w:szCs w:val="20"/>
                <w:lang w:eastAsia="it-IT"/>
              </w:rPr>
              <w:t xml:space="preserve"> </w:t>
            </w:r>
            <w:r w:rsidR="004D364B">
              <w:rPr>
                <w:rFonts w:ascii="Times New Roman" w:hAnsi="Times New Roman"/>
                <w:sz w:val="20"/>
                <w:szCs w:val="20"/>
                <w:lang w:eastAsia="it-IT"/>
              </w:rPr>
              <w:t xml:space="preserve"> та площа присипних узбіч: 455м</w:t>
            </w:r>
            <w:r w:rsidR="004D364B">
              <w:rPr>
                <w:rFonts w:ascii="Times New Roman" w:hAnsi="Times New Roman"/>
                <w:sz w:val="20"/>
                <w:szCs w:val="20"/>
                <w:vertAlign w:val="superscript"/>
                <w:lang w:eastAsia="it-IT"/>
              </w:rPr>
              <w:t>2.</w:t>
            </w:r>
          </w:p>
        </w:tc>
      </w:tr>
      <w:tr w:rsidR="00473CA0" w:rsidRPr="000413EB" w14:paraId="7C0C7152" w14:textId="77777777" w:rsidTr="00541BDD">
        <w:tc>
          <w:tcPr>
            <w:tcW w:w="567" w:type="dxa"/>
            <w:shd w:val="clear" w:color="auto" w:fill="auto"/>
          </w:tcPr>
          <w:p w14:paraId="312E13E8" w14:textId="2E35A82A" w:rsidR="00473CA0"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18</w:t>
            </w:r>
          </w:p>
        </w:tc>
        <w:tc>
          <w:tcPr>
            <w:tcW w:w="2694" w:type="dxa"/>
            <w:shd w:val="clear" w:color="auto" w:fill="auto"/>
          </w:tcPr>
          <w:p w14:paraId="3B5A5042" w14:textId="77777777" w:rsidR="00473CA0" w:rsidRPr="000413EB" w:rsidRDefault="00473CA0" w:rsidP="000413EB">
            <w:pPr>
              <w:jc w:val="both"/>
              <w:rPr>
                <w:rFonts w:ascii="Times New Roman" w:hAnsi="Times New Roman"/>
                <w:bCs/>
                <w:sz w:val="20"/>
                <w:szCs w:val="20"/>
                <w:lang w:eastAsia="uk-UA"/>
              </w:rPr>
            </w:pPr>
            <w:r w:rsidRPr="000413EB">
              <w:rPr>
                <w:rFonts w:ascii="Times New Roman" w:hAnsi="Times New Roman"/>
                <w:bCs/>
                <w:sz w:val="20"/>
                <w:szCs w:val="20"/>
                <w:lang w:eastAsia="uk-UA"/>
              </w:rPr>
              <w:t>В.1.1. Розбудова дорожньої інфраструктури</w:t>
            </w:r>
          </w:p>
          <w:p w14:paraId="4FBE81BF" w14:textId="77777777" w:rsidR="00473CA0" w:rsidRPr="000413EB" w:rsidRDefault="00473CA0" w:rsidP="000413EB">
            <w:pPr>
              <w:jc w:val="both"/>
              <w:rPr>
                <w:rFonts w:ascii="Times New Roman" w:hAnsi="Times New Roman"/>
                <w:bCs/>
                <w:sz w:val="20"/>
                <w:szCs w:val="20"/>
                <w:lang w:eastAsia="uk-UA"/>
              </w:rPr>
            </w:pPr>
          </w:p>
        </w:tc>
        <w:tc>
          <w:tcPr>
            <w:tcW w:w="2551" w:type="dxa"/>
            <w:shd w:val="clear" w:color="auto" w:fill="auto"/>
          </w:tcPr>
          <w:p w14:paraId="5A846DC0" w14:textId="12C5B9BD" w:rsidR="00473CA0" w:rsidRPr="000413EB" w:rsidRDefault="00473CA0" w:rsidP="000413EB">
            <w:pPr>
              <w:suppressAutoHyphens/>
              <w:jc w:val="both"/>
              <w:rPr>
                <w:rFonts w:ascii="Times New Roman" w:hAnsi="Times New Roman"/>
                <w:sz w:val="20"/>
                <w:szCs w:val="20"/>
              </w:rPr>
            </w:pPr>
            <w:r w:rsidRPr="000413EB">
              <w:rPr>
                <w:rFonts w:ascii="Times New Roman" w:hAnsi="Times New Roman"/>
                <w:sz w:val="20"/>
                <w:szCs w:val="20"/>
              </w:rPr>
              <w:t>В.1.1.3. Проведення будівництва, реконструкції та капітального ремонту дорожнього покриття вулиць  та тротуарів в населених пунктах територіальної громади.</w:t>
            </w:r>
          </w:p>
        </w:tc>
        <w:tc>
          <w:tcPr>
            <w:tcW w:w="2835" w:type="dxa"/>
            <w:tcBorders>
              <w:top w:val="single" w:sz="4" w:space="0" w:color="auto"/>
              <w:bottom w:val="single" w:sz="4" w:space="0" w:color="auto"/>
              <w:right w:val="single" w:sz="4" w:space="0" w:color="auto"/>
            </w:tcBorders>
            <w:shd w:val="clear" w:color="auto" w:fill="auto"/>
          </w:tcPr>
          <w:p w14:paraId="25735823" w14:textId="415ACB0D" w:rsidR="00473CA0" w:rsidRPr="000413EB" w:rsidRDefault="00473CA0" w:rsidP="000413EB">
            <w:pPr>
              <w:jc w:val="both"/>
              <w:rPr>
                <w:rFonts w:ascii="Times New Roman" w:hAnsi="Times New Roman"/>
                <w:sz w:val="20"/>
                <w:szCs w:val="20"/>
                <w:lang w:eastAsia="it-IT"/>
              </w:rPr>
            </w:pPr>
            <w:r w:rsidRPr="000413EB">
              <w:rPr>
                <w:rFonts w:ascii="Times New Roman" w:eastAsia="Arial" w:hAnsi="Times New Roman"/>
                <w:sz w:val="20"/>
                <w:szCs w:val="20"/>
              </w:rPr>
              <w:t>Капітальний ремонт дорожнього покриття по вул. Образцова в м. Жмеринка Вінницької області</w:t>
            </w:r>
          </w:p>
        </w:tc>
        <w:tc>
          <w:tcPr>
            <w:tcW w:w="1276" w:type="dxa"/>
            <w:shd w:val="clear" w:color="auto" w:fill="auto"/>
          </w:tcPr>
          <w:p w14:paraId="5508F415" w14:textId="2FD515FC" w:rsidR="00473CA0" w:rsidRPr="000413EB" w:rsidRDefault="00116D21" w:rsidP="00541BDD">
            <w:pPr>
              <w:widowControl w:val="0"/>
              <w:tabs>
                <w:tab w:val="left" w:pos="5829"/>
                <w:tab w:val="left" w:pos="9720"/>
                <w:tab w:val="left" w:pos="10357"/>
              </w:tabs>
              <w:autoSpaceDE w:val="0"/>
              <w:autoSpaceDN w:val="0"/>
              <w:jc w:val="center"/>
              <w:rPr>
                <w:rFonts w:ascii="Times New Roman" w:eastAsia="Arial" w:hAnsi="Times New Roman"/>
                <w:sz w:val="20"/>
                <w:szCs w:val="20"/>
                <w:lang w:eastAsia="en-US"/>
              </w:rPr>
            </w:pPr>
            <w:r w:rsidRPr="000413EB">
              <w:rPr>
                <w:rFonts w:ascii="Times New Roman" w:eastAsia="Arial" w:hAnsi="Times New Roman"/>
                <w:sz w:val="20"/>
                <w:szCs w:val="20"/>
                <w:lang w:eastAsia="en-US"/>
              </w:rPr>
              <w:t>2026</w:t>
            </w:r>
          </w:p>
        </w:tc>
        <w:tc>
          <w:tcPr>
            <w:tcW w:w="2345" w:type="dxa"/>
            <w:shd w:val="clear" w:color="auto" w:fill="auto"/>
          </w:tcPr>
          <w:p w14:paraId="53889A67" w14:textId="41290C09" w:rsidR="00473CA0" w:rsidRPr="000413EB" w:rsidRDefault="00473CA0" w:rsidP="000413EB">
            <w:pPr>
              <w:jc w:val="both"/>
              <w:rPr>
                <w:rFonts w:ascii="Times New Roman" w:hAnsi="Times New Roman"/>
                <w:color w:val="000000"/>
                <w:sz w:val="20"/>
                <w:szCs w:val="20"/>
                <w:lang w:eastAsia="it-IT"/>
              </w:rPr>
            </w:pPr>
            <w:r w:rsidRPr="000413EB">
              <w:rPr>
                <w:rFonts w:ascii="Times New Roman" w:hAnsi="Times New Roman"/>
                <w:sz w:val="20"/>
                <w:szCs w:val="20"/>
              </w:rPr>
              <w:t>Управління житлово-комунального господарства міської ради</w:t>
            </w:r>
          </w:p>
        </w:tc>
        <w:tc>
          <w:tcPr>
            <w:tcW w:w="2900" w:type="dxa"/>
            <w:shd w:val="clear" w:color="auto" w:fill="auto"/>
          </w:tcPr>
          <w:p w14:paraId="3A9833EA" w14:textId="0FD94C63" w:rsidR="00473CA0" w:rsidRPr="000413EB" w:rsidRDefault="00116D21" w:rsidP="000413EB">
            <w:pPr>
              <w:jc w:val="both"/>
              <w:rPr>
                <w:rFonts w:ascii="Times New Roman" w:hAnsi="Times New Roman"/>
                <w:sz w:val="20"/>
                <w:szCs w:val="20"/>
                <w:lang w:eastAsia="it-IT"/>
              </w:rPr>
            </w:pPr>
            <w:r w:rsidRPr="000413EB">
              <w:rPr>
                <w:rFonts w:ascii="Times New Roman" w:hAnsi="Times New Roman"/>
                <w:sz w:val="20"/>
                <w:szCs w:val="20"/>
                <w:lang w:eastAsia="it-IT"/>
              </w:rPr>
              <w:t>Площа пі</w:t>
            </w:r>
            <w:r w:rsidR="004D364B">
              <w:rPr>
                <w:rFonts w:ascii="Times New Roman" w:hAnsi="Times New Roman"/>
                <w:sz w:val="20"/>
                <w:szCs w:val="20"/>
                <w:lang w:eastAsia="it-IT"/>
              </w:rPr>
              <w:t>дсилення основної дороги 2185 м</w:t>
            </w:r>
            <w:r w:rsidR="004D364B">
              <w:rPr>
                <w:rFonts w:ascii="Times New Roman" w:hAnsi="Times New Roman"/>
                <w:sz w:val="20"/>
                <w:szCs w:val="20"/>
                <w:vertAlign w:val="superscript"/>
                <w:lang w:eastAsia="it-IT"/>
              </w:rPr>
              <w:t>2</w:t>
            </w:r>
            <w:r w:rsidR="004D364B">
              <w:rPr>
                <w:rFonts w:ascii="Times New Roman" w:hAnsi="Times New Roman"/>
                <w:sz w:val="20"/>
                <w:szCs w:val="20"/>
                <w:lang w:eastAsia="it-IT"/>
              </w:rPr>
              <w:t xml:space="preserve"> та площа тротуару 213 м</w:t>
            </w:r>
            <w:r w:rsidR="004D364B">
              <w:rPr>
                <w:rFonts w:ascii="Times New Roman" w:hAnsi="Times New Roman"/>
                <w:sz w:val="20"/>
                <w:szCs w:val="20"/>
                <w:vertAlign w:val="superscript"/>
                <w:lang w:eastAsia="it-IT"/>
              </w:rPr>
              <w:t>2</w:t>
            </w:r>
            <w:r w:rsidR="004D364B">
              <w:rPr>
                <w:rFonts w:ascii="Times New Roman" w:hAnsi="Times New Roman"/>
                <w:sz w:val="20"/>
                <w:szCs w:val="20"/>
                <w:lang w:eastAsia="it-IT"/>
              </w:rPr>
              <w:t>.</w:t>
            </w:r>
          </w:p>
        </w:tc>
      </w:tr>
      <w:tr w:rsidR="00473CA0" w:rsidRPr="000413EB" w14:paraId="7B391572" w14:textId="77777777" w:rsidTr="00541BDD">
        <w:tc>
          <w:tcPr>
            <w:tcW w:w="567" w:type="dxa"/>
            <w:shd w:val="clear" w:color="auto" w:fill="auto"/>
          </w:tcPr>
          <w:p w14:paraId="1DE8ED78" w14:textId="5B812D3F" w:rsidR="00473CA0"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19</w:t>
            </w:r>
          </w:p>
        </w:tc>
        <w:tc>
          <w:tcPr>
            <w:tcW w:w="2694" w:type="dxa"/>
            <w:shd w:val="clear" w:color="auto" w:fill="auto"/>
          </w:tcPr>
          <w:p w14:paraId="46733F42" w14:textId="77777777" w:rsidR="00473CA0" w:rsidRPr="000413EB" w:rsidRDefault="00473CA0" w:rsidP="000413EB">
            <w:pPr>
              <w:jc w:val="both"/>
              <w:rPr>
                <w:rFonts w:ascii="Times New Roman" w:hAnsi="Times New Roman"/>
                <w:bCs/>
                <w:sz w:val="20"/>
                <w:szCs w:val="20"/>
                <w:lang w:eastAsia="uk-UA"/>
              </w:rPr>
            </w:pPr>
            <w:r w:rsidRPr="000413EB">
              <w:rPr>
                <w:rFonts w:ascii="Times New Roman" w:hAnsi="Times New Roman"/>
                <w:bCs/>
                <w:sz w:val="20"/>
                <w:szCs w:val="20"/>
                <w:lang w:eastAsia="uk-UA"/>
              </w:rPr>
              <w:t>В.1.1. Розбудова дорожньої інфраструктури</w:t>
            </w:r>
          </w:p>
          <w:p w14:paraId="0BEAD93B" w14:textId="77777777" w:rsidR="00473CA0" w:rsidRPr="000413EB" w:rsidRDefault="00473CA0" w:rsidP="000413EB">
            <w:pPr>
              <w:jc w:val="both"/>
              <w:rPr>
                <w:rFonts w:ascii="Times New Roman" w:hAnsi="Times New Roman"/>
                <w:bCs/>
                <w:sz w:val="20"/>
                <w:szCs w:val="20"/>
                <w:lang w:eastAsia="uk-UA"/>
              </w:rPr>
            </w:pPr>
          </w:p>
        </w:tc>
        <w:tc>
          <w:tcPr>
            <w:tcW w:w="2551" w:type="dxa"/>
            <w:shd w:val="clear" w:color="auto" w:fill="auto"/>
          </w:tcPr>
          <w:p w14:paraId="4B9C6E98" w14:textId="4E4E9846" w:rsidR="00473CA0" w:rsidRPr="000413EB" w:rsidRDefault="00473CA0" w:rsidP="000413EB">
            <w:pPr>
              <w:suppressAutoHyphens/>
              <w:jc w:val="both"/>
              <w:rPr>
                <w:rFonts w:ascii="Times New Roman" w:hAnsi="Times New Roman"/>
                <w:sz w:val="20"/>
                <w:szCs w:val="20"/>
              </w:rPr>
            </w:pPr>
            <w:r w:rsidRPr="000413EB">
              <w:rPr>
                <w:rFonts w:ascii="Times New Roman" w:hAnsi="Times New Roman"/>
                <w:sz w:val="20"/>
                <w:szCs w:val="20"/>
              </w:rPr>
              <w:t>В.1.1.3. Проведення будівництва, реконструкції та капітального ремонту дорожнього покриття вулиць  та тротуарів в населених пунктах територіальної громади.</w:t>
            </w:r>
          </w:p>
        </w:tc>
        <w:tc>
          <w:tcPr>
            <w:tcW w:w="2835" w:type="dxa"/>
            <w:tcBorders>
              <w:top w:val="single" w:sz="4" w:space="0" w:color="auto"/>
              <w:bottom w:val="single" w:sz="4" w:space="0" w:color="auto"/>
              <w:right w:val="single" w:sz="4" w:space="0" w:color="auto"/>
            </w:tcBorders>
            <w:shd w:val="clear" w:color="auto" w:fill="auto"/>
          </w:tcPr>
          <w:p w14:paraId="4B4BA5F8" w14:textId="532C8484" w:rsidR="00473CA0" w:rsidRPr="000413EB" w:rsidRDefault="00473CA0" w:rsidP="000413EB">
            <w:pPr>
              <w:jc w:val="both"/>
              <w:rPr>
                <w:rFonts w:ascii="Times New Roman" w:hAnsi="Times New Roman"/>
                <w:sz w:val="20"/>
                <w:szCs w:val="20"/>
                <w:lang w:eastAsia="it-IT"/>
              </w:rPr>
            </w:pPr>
            <w:r w:rsidRPr="000413EB">
              <w:rPr>
                <w:rFonts w:ascii="Times New Roman" w:eastAsia="Arial" w:hAnsi="Times New Roman"/>
                <w:sz w:val="20"/>
                <w:szCs w:val="20"/>
              </w:rPr>
              <w:t>Реконструкція площі по вул. Б. Хмельницького в м. Жмеринка Вінницької області</w:t>
            </w:r>
          </w:p>
        </w:tc>
        <w:tc>
          <w:tcPr>
            <w:tcW w:w="1276" w:type="dxa"/>
            <w:shd w:val="clear" w:color="auto" w:fill="auto"/>
          </w:tcPr>
          <w:p w14:paraId="302AF263" w14:textId="04EA61F1" w:rsidR="00473CA0" w:rsidRPr="000413EB" w:rsidRDefault="00116D21" w:rsidP="00541BDD">
            <w:pPr>
              <w:widowControl w:val="0"/>
              <w:tabs>
                <w:tab w:val="left" w:pos="5829"/>
                <w:tab w:val="left" w:pos="9720"/>
                <w:tab w:val="left" w:pos="10357"/>
              </w:tabs>
              <w:autoSpaceDE w:val="0"/>
              <w:autoSpaceDN w:val="0"/>
              <w:jc w:val="center"/>
              <w:rPr>
                <w:rFonts w:ascii="Times New Roman" w:eastAsia="Arial" w:hAnsi="Times New Roman"/>
                <w:sz w:val="20"/>
                <w:szCs w:val="20"/>
                <w:lang w:eastAsia="en-US"/>
              </w:rPr>
            </w:pPr>
            <w:r w:rsidRPr="000413EB">
              <w:rPr>
                <w:rFonts w:ascii="Times New Roman" w:eastAsia="Arial" w:hAnsi="Times New Roman"/>
                <w:sz w:val="20"/>
                <w:szCs w:val="20"/>
                <w:lang w:eastAsia="en-US"/>
              </w:rPr>
              <w:t>2026</w:t>
            </w:r>
          </w:p>
        </w:tc>
        <w:tc>
          <w:tcPr>
            <w:tcW w:w="2345" w:type="dxa"/>
            <w:shd w:val="clear" w:color="auto" w:fill="auto"/>
          </w:tcPr>
          <w:p w14:paraId="7AA18AE4" w14:textId="5EBF9A6C" w:rsidR="00473CA0" w:rsidRPr="000413EB" w:rsidRDefault="00473CA0" w:rsidP="000413EB">
            <w:pPr>
              <w:jc w:val="both"/>
              <w:rPr>
                <w:rFonts w:ascii="Times New Roman" w:hAnsi="Times New Roman"/>
                <w:color w:val="000000"/>
                <w:sz w:val="20"/>
                <w:szCs w:val="20"/>
                <w:lang w:eastAsia="it-IT"/>
              </w:rPr>
            </w:pPr>
            <w:r w:rsidRPr="000413EB">
              <w:rPr>
                <w:rFonts w:ascii="Times New Roman" w:hAnsi="Times New Roman"/>
                <w:sz w:val="20"/>
                <w:szCs w:val="20"/>
              </w:rPr>
              <w:t>Управління житлово-комунального господарства міської ради</w:t>
            </w:r>
          </w:p>
        </w:tc>
        <w:tc>
          <w:tcPr>
            <w:tcW w:w="2900" w:type="dxa"/>
            <w:shd w:val="clear" w:color="auto" w:fill="auto"/>
          </w:tcPr>
          <w:p w14:paraId="225A3F3F" w14:textId="424A213D" w:rsidR="00473CA0" w:rsidRPr="000413EB" w:rsidRDefault="00116D21" w:rsidP="004D364B">
            <w:pPr>
              <w:jc w:val="both"/>
              <w:rPr>
                <w:rFonts w:ascii="Times New Roman" w:hAnsi="Times New Roman"/>
                <w:sz w:val="20"/>
                <w:szCs w:val="20"/>
                <w:lang w:eastAsia="it-IT"/>
              </w:rPr>
            </w:pPr>
            <w:r w:rsidRPr="000413EB">
              <w:rPr>
                <w:rFonts w:ascii="Times New Roman" w:hAnsi="Times New Roman"/>
                <w:sz w:val="20"/>
                <w:szCs w:val="20"/>
                <w:lang w:eastAsia="it-IT"/>
              </w:rPr>
              <w:t>Влаштування: пл</w:t>
            </w:r>
            <w:r w:rsidR="004D364B">
              <w:rPr>
                <w:rFonts w:ascii="Times New Roman" w:hAnsi="Times New Roman"/>
                <w:sz w:val="20"/>
                <w:szCs w:val="20"/>
                <w:lang w:eastAsia="it-IT"/>
              </w:rPr>
              <w:t>итка 2046,1 м</w:t>
            </w:r>
            <w:r w:rsidR="004D364B">
              <w:rPr>
                <w:rFonts w:ascii="Times New Roman" w:hAnsi="Times New Roman"/>
                <w:sz w:val="20"/>
                <w:szCs w:val="20"/>
                <w:vertAlign w:val="superscript"/>
                <w:lang w:eastAsia="it-IT"/>
              </w:rPr>
              <w:t>2</w:t>
            </w:r>
            <w:r w:rsidR="004D364B">
              <w:rPr>
                <w:rFonts w:ascii="Times New Roman" w:hAnsi="Times New Roman"/>
                <w:sz w:val="20"/>
                <w:szCs w:val="20"/>
                <w:lang w:eastAsia="it-IT"/>
              </w:rPr>
              <w:t xml:space="preserve"> бордюр: 116,7 м</w:t>
            </w:r>
            <w:r w:rsidR="004D364B">
              <w:rPr>
                <w:rFonts w:ascii="Times New Roman" w:hAnsi="Times New Roman"/>
                <w:sz w:val="20"/>
                <w:szCs w:val="20"/>
                <w:vertAlign w:val="superscript"/>
                <w:lang w:eastAsia="it-IT"/>
              </w:rPr>
              <w:t>2</w:t>
            </w:r>
            <w:r w:rsidR="004D364B">
              <w:rPr>
                <w:rFonts w:ascii="Times New Roman" w:hAnsi="Times New Roman"/>
                <w:sz w:val="20"/>
                <w:szCs w:val="20"/>
                <w:lang w:eastAsia="it-IT"/>
              </w:rPr>
              <w:t xml:space="preserve">, </w:t>
            </w:r>
            <w:r w:rsidRPr="000413EB">
              <w:rPr>
                <w:rFonts w:ascii="Times New Roman" w:hAnsi="Times New Roman"/>
                <w:sz w:val="20"/>
                <w:szCs w:val="20"/>
                <w:lang w:eastAsia="it-IT"/>
              </w:rPr>
              <w:t>гран</w:t>
            </w:r>
            <w:r w:rsidR="004D364B">
              <w:rPr>
                <w:rFonts w:ascii="Times New Roman" w:hAnsi="Times New Roman"/>
                <w:sz w:val="20"/>
                <w:szCs w:val="20"/>
                <w:lang w:eastAsia="it-IT"/>
              </w:rPr>
              <w:t>ітне покриття: 12,7 м</w:t>
            </w:r>
            <w:r w:rsidR="004D364B">
              <w:rPr>
                <w:rFonts w:ascii="Times New Roman" w:hAnsi="Times New Roman"/>
                <w:sz w:val="20"/>
                <w:szCs w:val="20"/>
                <w:vertAlign w:val="superscript"/>
                <w:lang w:eastAsia="it-IT"/>
              </w:rPr>
              <w:t>2</w:t>
            </w:r>
            <w:r w:rsidR="004D364B">
              <w:rPr>
                <w:rFonts w:ascii="Times New Roman" w:hAnsi="Times New Roman"/>
                <w:sz w:val="20"/>
                <w:szCs w:val="20"/>
                <w:lang w:eastAsia="it-IT"/>
              </w:rPr>
              <w:t>, поребрик:</w:t>
            </w:r>
            <w:r w:rsidRPr="000413EB">
              <w:rPr>
                <w:rFonts w:ascii="Times New Roman" w:hAnsi="Times New Roman"/>
                <w:sz w:val="20"/>
                <w:szCs w:val="20"/>
                <w:lang w:eastAsia="it-IT"/>
              </w:rPr>
              <w:t xml:space="preserve"> 234,4 м.м. лава</w:t>
            </w:r>
            <w:r w:rsidR="004D364B">
              <w:rPr>
                <w:rFonts w:ascii="Times New Roman" w:hAnsi="Times New Roman"/>
                <w:sz w:val="20"/>
                <w:szCs w:val="20"/>
                <w:lang w:eastAsia="it-IT"/>
              </w:rPr>
              <w:t>:</w:t>
            </w:r>
            <w:r w:rsidRPr="000413EB">
              <w:rPr>
                <w:rFonts w:ascii="Times New Roman" w:hAnsi="Times New Roman"/>
                <w:sz w:val="20"/>
                <w:szCs w:val="20"/>
                <w:lang w:eastAsia="it-IT"/>
              </w:rPr>
              <w:t xml:space="preserve"> 10 шт.</w:t>
            </w:r>
            <w:r w:rsidR="004D364B">
              <w:rPr>
                <w:rFonts w:ascii="Times New Roman" w:hAnsi="Times New Roman"/>
                <w:sz w:val="20"/>
                <w:szCs w:val="20"/>
                <w:lang w:eastAsia="it-IT"/>
              </w:rPr>
              <w:t>, газон: 200,5 м</w:t>
            </w:r>
            <w:r w:rsidR="004D364B">
              <w:rPr>
                <w:rFonts w:ascii="Times New Roman" w:hAnsi="Times New Roman"/>
                <w:sz w:val="20"/>
                <w:szCs w:val="20"/>
                <w:vertAlign w:val="superscript"/>
                <w:lang w:eastAsia="it-IT"/>
              </w:rPr>
              <w:t>2</w:t>
            </w:r>
            <w:r w:rsidR="004D364B">
              <w:rPr>
                <w:rFonts w:ascii="Times New Roman" w:hAnsi="Times New Roman"/>
                <w:sz w:val="20"/>
                <w:szCs w:val="20"/>
                <w:lang w:eastAsia="it-IT"/>
              </w:rPr>
              <w:t>,</w:t>
            </w:r>
            <w:r w:rsidRPr="000413EB">
              <w:rPr>
                <w:rFonts w:ascii="Times New Roman" w:hAnsi="Times New Roman"/>
                <w:sz w:val="20"/>
                <w:szCs w:val="20"/>
                <w:lang w:eastAsia="it-IT"/>
              </w:rPr>
              <w:t xml:space="preserve"> урна: 7 шт.</w:t>
            </w:r>
            <w:r w:rsidR="004D364B">
              <w:rPr>
                <w:rFonts w:ascii="Times New Roman" w:hAnsi="Times New Roman"/>
                <w:sz w:val="20"/>
                <w:szCs w:val="20"/>
                <w:lang w:eastAsia="it-IT"/>
              </w:rPr>
              <w:t>,</w:t>
            </w:r>
            <w:r w:rsidRPr="000413EB">
              <w:rPr>
                <w:rFonts w:ascii="Times New Roman" w:hAnsi="Times New Roman"/>
                <w:sz w:val="20"/>
                <w:szCs w:val="20"/>
                <w:lang w:eastAsia="it-IT"/>
              </w:rPr>
              <w:t xml:space="preserve"> ваза: 10 шт.</w:t>
            </w:r>
          </w:p>
        </w:tc>
      </w:tr>
      <w:tr w:rsidR="00473CA0" w:rsidRPr="000413EB" w14:paraId="06444C42" w14:textId="77777777" w:rsidTr="00541BDD">
        <w:tc>
          <w:tcPr>
            <w:tcW w:w="567" w:type="dxa"/>
            <w:shd w:val="clear" w:color="auto" w:fill="auto"/>
          </w:tcPr>
          <w:p w14:paraId="5A6DDAE7" w14:textId="05B1A980" w:rsidR="00473CA0"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20</w:t>
            </w:r>
          </w:p>
        </w:tc>
        <w:tc>
          <w:tcPr>
            <w:tcW w:w="2694" w:type="dxa"/>
            <w:shd w:val="clear" w:color="auto" w:fill="auto"/>
          </w:tcPr>
          <w:p w14:paraId="4373B18D" w14:textId="77777777" w:rsidR="00473CA0" w:rsidRPr="000413EB" w:rsidRDefault="00473CA0" w:rsidP="000413EB">
            <w:pPr>
              <w:jc w:val="both"/>
              <w:rPr>
                <w:rFonts w:ascii="Times New Roman" w:hAnsi="Times New Roman"/>
                <w:bCs/>
                <w:sz w:val="20"/>
                <w:szCs w:val="20"/>
                <w:lang w:eastAsia="uk-UA"/>
              </w:rPr>
            </w:pPr>
            <w:r w:rsidRPr="000413EB">
              <w:rPr>
                <w:rFonts w:ascii="Times New Roman" w:hAnsi="Times New Roman"/>
                <w:bCs/>
                <w:sz w:val="20"/>
                <w:szCs w:val="20"/>
                <w:lang w:eastAsia="uk-UA"/>
              </w:rPr>
              <w:t>В.1.2. Розвиток громадських просторів та благоустрій громади</w:t>
            </w:r>
          </w:p>
        </w:tc>
        <w:tc>
          <w:tcPr>
            <w:tcW w:w="2551" w:type="dxa"/>
            <w:shd w:val="clear" w:color="auto" w:fill="auto"/>
          </w:tcPr>
          <w:p w14:paraId="486F3BB3" w14:textId="77777777" w:rsidR="00473CA0" w:rsidRPr="000413EB" w:rsidRDefault="00473CA0" w:rsidP="000413EB">
            <w:pPr>
              <w:suppressAutoHyphens/>
              <w:jc w:val="both"/>
              <w:rPr>
                <w:rFonts w:ascii="Times New Roman" w:hAnsi="Times New Roman"/>
                <w:sz w:val="20"/>
                <w:szCs w:val="20"/>
              </w:rPr>
            </w:pPr>
            <w:r w:rsidRPr="000413EB">
              <w:rPr>
                <w:rFonts w:ascii="Times New Roman" w:hAnsi="Times New Roman"/>
                <w:sz w:val="20"/>
                <w:szCs w:val="20"/>
              </w:rPr>
              <w:t xml:space="preserve">В.1.2.1. Розвиток комфортного вуличного простору шляхом реконструкції площ, парків, пішохідних алей, скверів, набережних, зелених зон. На даних об’єктах передбачити поєднання сучасного архітектурного середовища та ландшафту, вільні зони WI-FI,  встановлення дитячих, спортивних майданчиків з відповідним покриттям, </w:t>
            </w:r>
            <w:r w:rsidRPr="000413EB">
              <w:rPr>
                <w:rFonts w:ascii="Times New Roman" w:hAnsi="Times New Roman"/>
                <w:sz w:val="20"/>
                <w:szCs w:val="20"/>
              </w:rPr>
              <w:lastRenderedPageBreak/>
              <w:t>облаштування скейт-парків, будівництво фонтанів, зонування територій відпочинку, з метою врахування потреб різних верств населення.</w:t>
            </w:r>
          </w:p>
        </w:tc>
        <w:tc>
          <w:tcPr>
            <w:tcW w:w="2835" w:type="dxa"/>
            <w:shd w:val="clear" w:color="auto" w:fill="auto"/>
          </w:tcPr>
          <w:p w14:paraId="6E5214D2" w14:textId="77777777" w:rsidR="00473CA0" w:rsidRPr="000413EB" w:rsidRDefault="00473CA0" w:rsidP="000413EB">
            <w:pPr>
              <w:jc w:val="both"/>
              <w:rPr>
                <w:rFonts w:ascii="Times New Roman" w:hAnsi="Times New Roman"/>
                <w:sz w:val="20"/>
                <w:szCs w:val="20"/>
                <w:lang w:eastAsia="it-IT"/>
              </w:rPr>
            </w:pPr>
            <w:r w:rsidRPr="000413EB">
              <w:rPr>
                <w:rFonts w:ascii="Times New Roman" w:hAnsi="Times New Roman"/>
                <w:sz w:val="20"/>
                <w:szCs w:val="20"/>
                <w:lang w:eastAsia="it-IT"/>
              </w:rPr>
              <w:lastRenderedPageBreak/>
              <w:t>Капітальний ремонт площі Яна Бжехви в м. Жмеринка Вінницької області</w:t>
            </w:r>
          </w:p>
        </w:tc>
        <w:tc>
          <w:tcPr>
            <w:tcW w:w="1276" w:type="dxa"/>
            <w:shd w:val="clear" w:color="auto" w:fill="auto"/>
          </w:tcPr>
          <w:p w14:paraId="5DF5B17A" w14:textId="11B3CA51" w:rsidR="00473CA0" w:rsidRPr="000413EB" w:rsidRDefault="00473CA0" w:rsidP="00541BDD">
            <w:pPr>
              <w:widowControl w:val="0"/>
              <w:tabs>
                <w:tab w:val="left" w:pos="5829"/>
                <w:tab w:val="left" w:pos="9720"/>
                <w:tab w:val="left" w:pos="10357"/>
              </w:tabs>
              <w:autoSpaceDE w:val="0"/>
              <w:autoSpaceDN w:val="0"/>
              <w:jc w:val="center"/>
              <w:rPr>
                <w:rFonts w:ascii="Times New Roman" w:eastAsia="Arial" w:hAnsi="Times New Roman"/>
                <w:sz w:val="20"/>
                <w:szCs w:val="20"/>
                <w:lang w:eastAsia="en-US"/>
              </w:rPr>
            </w:pPr>
            <w:r w:rsidRPr="000413EB">
              <w:rPr>
                <w:rFonts w:ascii="Times New Roman" w:eastAsia="Arial" w:hAnsi="Times New Roman"/>
                <w:sz w:val="20"/>
                <w:szCs w:val="20"/>
                <w:lang w:eastAsia="en-US"/>
              </w:rPr>
              <w:t>2026</w:t>
            </w:r>
          </w:p>
        </w:tc>
        <w:tc>
          <w:tcPr>
            <w:tcW w:w="2345" w:type="dxa"/>
            <w:shd w:val="clear" w:color="auto" w:fill="auto"/>
          </w:tcPr>
          <w:p w14:paraId="35A67275" w14:textId="77777777" w:rsidR="00473CA0" w:rsidRPr="000413EB" w:rsidRDefault="00473CA0" w:rsidP="000413EB">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Управління житлово-комунального господарства міської ради</w:t>
            </w:r>
          </w:p>
        </w:tc>
        <w:tc>
          <w:tcPr>
            <w:tcW w:w="2900" w:type="dxa"/>
            <w:shd w:val="clear" w:color="auto" w:fill="auto"/>
          </w:tcPr>
          <w:p w14:paraId="4D81C3E0" w14:textId="70C862F1" w:rsidR="00473CA0" w:rsidRPr="000413EB" w:rsidRDefault="00473CA0" w:rsidP="000413EB">
            <w:pPr>
              <w:jc w:val="both"/>
              <w:rPr>
                <w:rFonts w:ascii="Times New Roman" w:hAnsi="Times New Roman"/>
                <w:sz w:val="20"/>
                <w:szCs w:val="20"/>
                <w:lang w:eastAsia="it-IT"/>
              </w:rPr>
            </w:pPr>
            <w:r w:rsidRPr="000413EB">
              <w:rPr>
                <w:rFonts w:ascii="Times New Roman" w:hAnsi="Times New Roman"/>
                <w:sz w:val="20"/>
                <w:szCs w:val="20"/>
                <w:lang w:eastAsia="it-IT"/>
              </w:rPr>
              <w:t>Загальна площа відремонто</w:t>
            </w:r>
            <w:r w:rsidR="004D364B">
              <w:rPr>
                <w:rFonts w:ascii="Times New Roman" w:hAnsi="Times New Roman"/>
                <w:sz w:val="20"/>
                <w:szCs w:val="20"/>
                <w:lang w:eastAsia="it-IT"/>
              </w:rPr>
              <w:t>ваної ділянки становить: 2197 м</w:t>
            </w:r>
            <w:r w:rsidR="004D364B">
              <w:rPr>
                <w:rFonts w:ascii="Times New Roman" w:hAnsi="Times New Roman"/>
                <w:sz w:val="20"/>
                <w:szCs w:val="20"/>
                <w:vertAlign w:val="superscript"/>
                <w:lang w:eastAsia="it-IT"/>
              </w:rPr>
              <w:t>2</w:t>
            </w:r>
            <w:r w:rsidR="004D364B">
              <w:rPr>
                <w:rFonts w:ascii="Times New Roman" w:hAnsi="Times New Roman"/>
                <w:sz w:val="20"/>
                <w:szCs w:val="20"/>
                <w:lang w:eastAsia="it-IT"/>
              </w:rPr>
              <w:t xml:space="preserve"> та площа озеленення: 450 м</w:t>
            </w:r>
            <w:r w:rsidR="004D364B">
              <w:rPr>
                <w:rFonts w:ascii="Times New Roman" w:hAnsi="Times New Roman"/>
                <w:sz w:val="20"/>
                <w:szCs w:val="20"/>
                <w:vertAlign w:val="superscript"/>
                <w:lang w:eastAsia="it-IT"/>
              </w:rPr>
              <w:t>2</w:t>
            </w:r>
            <w:r w:rsidR="004D364B">
              <w:rPr>
                <w:rFonts w:ascii="Times New Roman" w:hAnsi="Times New Roman"/>
                <w:sz w:val="20"/>
                <w:szCs w:val="20"/>
                <w:lang w:eastAsia="it-IT"/>
              </w:rPr>
              <w:t>.</w:t>
            </w:r>
          </w:p>
        </w:tc>
      </w:tr>
      <w:tr w:rsidR="009159CD" w:rsidRPr="000413EB" w14:paraId="7BB8F776" w14:textId="77777777" w:rsidTr="00541BDD">
        <w:tc>
          <w:tcPr>
            <w:tcW w:w="567" w:type="dxa"/>
            <w:shd w:val="clear" w:color="auto" w:fill="auto"/>
          </w:tcPr>
          <w:p w14:paraId="636CD974" w14:textId="0BC03E4A" w:rsidR="009159CD"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21</w:t>
            </w:r>
          </w:p>
        </w:tc>
        <w:tc>
          <w:tcPr>
            <w:tcW w:w="2694" w:type="dxa"/>
            <w:shd w:val="clear" w:color="auto" w:fill="auto"/>
          </w:tcPr>
          <w:p w14:paraId="61DF1BFE" w14:textId="7BCC126A" w:rsidR="009159CD" w:rsidRPr="000413EB" w:rsidRDefault="009159CD" w:rsidP="000413EB">
            <w:pPr>
              <w:jc w:val="both"/>
              <w:rPr>
                <w:rFonts w:ascii="Times New Roman" w:hAnsi="Times New Roman"/>
                <w:bCs/>
                <w:sz w:val="20"/>
                <w:szCs w:val="20"/>
                <w:lang w:eastAsia="uk-UA"/>
              </w:rPr>
            </w:pPr>
            <w:r w:rsidRPr="000413EB">
              <w:rPr>
                <w:rFonts w:ascii="Times New Roman" w:hAnsi="Times New Roman"/>
                <w:bCs/>
                <w:sz w:val="20"/>
                <w:szCs w:val="20"/>
                <w:lang w:eastAsia="uk-UA"/>
              </w:rPr>
              <w:t>В.1.2. Розвиток громадських просторів та благоустрій громади</w:t>
            </w:r>
          </w:p>
        </w:tc>
        <w:tc>
          <w:tcPr>
            <w:tcW w:w="2551" w:type="dxa"/>
            <w:shd w:val="clear" w:color="auto" w:fill="auto"/>
          </w:tcPr>
          <w:p w14:paraId="4741CBD8" w14:textId="62D0DDD8" w:rsidR="009159CD" w:rsidRPr="000413EB" w:rsidRDefault="009159CD" w:rsidP="000413EB">
            <w:pPr>
              <w:suppressAutoHyphens/>
              <w:jc w:val="both"/>
              <w:rPr>
                <w:rFonts w:ascii="Times New Roman" w:hAnsi="Times New Roman"/>
                <w:sz w:val="20"/>
                <w:szCs w:val="20"/>
              </w:rPr>
            </w:pPr>
            <w:r w:rsidRPr="000413EB">
              <w:rPr>
                <w:rFonts w:ascii="Times New Roman" w:hAnsi="Times New Roman"/>
                <w:sz w:val="20"/>
                <w:szCs w:val="20"/>
              </w:rPr>
              <w:t>В.1.2.1. Розвиток комфортного вуличного простору шляхом реконструкції площ, парків, пішохідних алей, скверів, набережних, зелених зон. На даних об’єктах передбачити поєднання сучасного архітектурного середовища та ландшафту, вільні зони WI-FI,  встановлення дитячих, спортивних майданчиків з відповідним покриттям, облаштування скейт-парків, будівництво фонтанів, зонування територій відпочинку, з метою врахування потреб різних верств населення.</w:t>
            </w:r>
          </w:p>
        </w:tc>
        <w:tc>
          <w:tcPr>
            <w:tcW w:w="2835" w:type="dxa"/>
            <w:shd w:val="clear" w:color="auto" w:fill="auto"/>
          </w:tcPr>
          <w:p w14:paraId="4235FEE0" w14:textId="70AF5037" w:rsidR="009159CD" w:rsidRPr="000413EB" w:rsidRDefault="009159CD" w:rsidP="000413EB">
            <w:pPr>
              <w:jc w:val="both"/>
              <w:rPr>
                <w:rFonts w:ascii="Times New Roman" w:hAnsi="Times New Roman"/>
                <w:sz w:val="20"/>
                <w:szCs w:val="20"/>
                <w:lang w:eastAsia="it-IT"/>
              </w:rPr>
            </w:pPr>
            <w:r w:rsidRPr="000413EB">
              <w:rPr>
                <w:rFonts w:ascii="Times New Roman" w:hAnsi="Times New Roman"/>
                <w:sz w:val="20"/>
                <w:szCs w:val="20"/>
                <w:lang w:eastAsia="it-IT"/>
              </w:rPr>
              <w:t>Капітальний ремонт з облаштуванням благоустрою території місць поховань полеглих захисників України по вул. Одеська в м. Жмеринка Вінницької області (Коригування 2)</w:t>
            </w:r>
          </w:p>
        </w:tc>
        <w:tc>
          <w:tcPr>
            <w:tcW w:w="1276" w:type="dxa"/>
            <w:shd w:val="clear" w:color="auto" w:fill="auto"/>
          </w:tcPr>
          <w:p w14:paraId="2C7FB650" w14:textId="1BC06B37" w:rsidR="009159CD" w:rsidRPr="000413EB" w:rsidRDefault="009159CD" w:rsidP="00541BDD">
            <w:pPr>
              <w:widowControl w:val="0"/>
              <w:tabs>
                <w:tab w:val="left" w:pos="5829"/>
                <w:tab w:val="left" w:pos="9720"/>
                <w:tab w:val="left" w:pos="10357"/>
              </w:tabs>
              <w:autoSpaceDE w:val="0"/>
              <w:autoSpaceDN w:val="0"/>
              <w:jc w:val="center"/>
              <w:rPr>
                <w:rFonts w:ascii="Times New Roman" w:eastAsia="Arial" w:hAnsi="Times New Roman"/>
                <w:sz w:val="20"/>
                <w:szCs w:val="20"/>
                <w:lang w:eastAsia="en-US"/>
              </w:rPr>
            </w:pPr>
            <w:r w:rsidRPr="000413EB">
              <w:rPr>
                <w:rFonts w:ascii="Times New Roman" w:eastAsia="Arial" w:hAnsi="Times New Roman"/>
                <w:sz w:val="20"/>
                <w:szCs w:val="20"/>
                <w:lang w:eastAsia="en-US"/>
              </w:rPr>
              <w:t>2026</w:t>
            </w:r>
          </w:p>
        </w:tc>
        <w:tc>
          <w:tcPr>
            <w:tcW w:w="2345" w:type="dxa"/>
            <w:shd w:val="clear" w:color="auto" w:fill="auto"/>
          </w:tcPr>
          <w:p w14:paraId="3A81D3DC" w14:textId="55759077" w:rsidR="009159CD" w:rsidRPr="000413EB" w:rsidRDefault="009159CD" w:rsidP="000413EB">
            <w:pPr>
              <w:jc w:val="both"/>
              <w:rPr>
                <w:rFonts w:ascii="Times New Roman" w:hAnsi="Times New Roman"/>
                <w:color w:val="000000"/>
                <w:sz w:val="20"/>
                <w:szCs w:val="20"/>
                <w:lang w:eastAsia="it-IT"/>
              </w:rPr>
            </w:pPr>
            <w:r w:rsidRPr="000413EB">
              <w:rPr>
                <w:rFonts w:ascii="Times New Roman" w:hAnsi="Times New Roman"/>
                <w:sz w:val="20"/>
                <w:szCs w:val="20"/>
              </w:rPr>
              <w:t>Управління житлово-комунального господарства міської ради</w:t>
            </w:r>
          </w:p>
        </w:tc>
        <w:tc>
          <w:tcPr>
            <w:tcW w:w="2900" w:type="dxa"/>
            <w:shd w:val="clear" w:color="auto" w:fill="auto"/>
          </w:tcPr>
          <w:p w14:paraId="7C7633D2" w14:textId="31E7DF8D" w:rsidR="009159CD" w:rsidRPr="000413EB" w:rsidRDefault="009159CD" w:rsidP="000413EB">
            <w:pPr>
              <w:jc w:val="both"/>
              <w:rPr>
                <w:rFonts w:ascii="Times New Roman" w:hAnsi="Times New Roman"/>
                <w:sz w:val="20"/>
                <w:szCs w:val="20"/>
                <w:lang w:eastAsia="it-IT"/>
              </w:rPr>
            </w:pPr>
            <w:r w:rsidRPr="000413EB">
              <w:rPr>
                <w:rFonts w:ascii="Times New Roman" w:hAnsi="Times New Roman"/>
                <w:sz w:val="20"/>
                <w:szCs w:val="20"/>
                <w:lang w:eastAsia="it-IT"/>
              </w:rPr>
              <w:t>Площа ді</w:t>
            </w:r>
            <w:r w:rsidR="004D364B">
              <w:rPr>
                <w:rFonts w:ascii="Times New Roman" w:hAnsi="Times New Roman"/>
                <w:sz w:val="20"/>
                <w:szCs w:val="20"/>
                <w:lang w:eastAsia="it-IT"/>
              </w:rPr>
              <w:t>лянки виконання робіт 1364,86 м</w:t>
            </w:r>
            <w:r w:rsidR="004D364B">
              <w:rPr>
                <w:rFonts w:ascii="Times New Roman" w:hAnsi="Times New Roman"/>
                <w:sz w:val="20"/>
                <w:szCs w:val="20"/>
                <w:vertAlign w:val="superscript"/>
                <w:lang w:eastAsia="it-IT"/>
              </w:rPr>
              <w:t>2</w:t>
            </w:r>
            <w:r w:rsidR="004D364B">
              <w:rPr>
                <w:rFonts w:ascii="Times New Roman" w:hAnsi="Times New Roman"/>
                <w:sz w:val="20"/>
                <w:szCs w:val="20"/>
                <w:lang w:eastAsia="it-IT"/>
              </w:rPr>
              <w:t>.</w:t>
            </w:r>
          </w:p>
          <w:p w14:paraId="21A96CA0" w14:textId="0AB8D103" w:rsidR="009159CD" w:rsidRPr="000413EB" w:rsidRDefault="00097D39" w:rsidP="000413EB">
            <w:pPr>
              <w:jc w:val="both"/>
              <w:rPr>
                <w:rFonts w:ascii="Times New Roman" w:hAnsi="Times New Roman"/>
                <w:sz w:val="20"/>
                <w:szCs w:val="20"/>
                <w:lang w:eastAsia="it-IT"/>
              </w:rPr>
            </w:pPr>
            <w:r>
              <w:rPr>
                <w:rFonts w:ascii="Times New Roman" w:hAnsi="Times New Roman"/>
                <w:sz w:val="20"/>
                <w:szCs w:val="20"/>
                <w:lang w:eastAsia="it-IT"/>
              </w:rPr>
              <w:t>Площа озеленення 144,8 м</w:t>
            </w:r>
            <w:r>
              <w:rPr>
                <w:rFonts w:ascii="Times New Roman" w:hAnsi="Times New Roman"/>
                <w:sz w:val="20"/>
                <w:szCs w:val="20"/>
                <w:vertAlign w:val="superscript"/>
                <w:lang w:eastAsia="it-IT"/>
              </w:rPr>
              <w:t>2</w:t>
            </w:r>
            <w:r w:rsidR="004D364B">
              <w:rPr>
                <w:rFonts w:ascii="Times New Roman" w:hAnsi="Times New Roman"/>
                <w:sz w:val="20"/>
                <w:szCs w:val="20"/>
                <w:lang w:eastAsia="it-IT"/>
              </w:rPr>
              <w:t>.</w:t>
            </w:r>
          </w:p>
        </w:tc>
      </w:tr>
      <w:tr w:rsidR="009159CD" w:rsidRPr="000413EB" w14:paraId="5E1E2805" w14:textId="77777777" w:rsidTr="00541BDD">
        <w:tc>
          <w:tcPr>
            <w:tcW w:w="567" w:type="dxa"/>
            <w:shd w:val="clear" w:color="auto" w:fill="auto"/>
          </w:tcPr>
          <w:p w14:paraId="2EB66C8D" w14:textId="01DB96F7" w:rsidR="009159CD"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22</w:t>
            </w:r>
          </w:p>
        </w:tc>
        <w:tc>
          <w:tcPr>
            <w:tcW w:w="2694" w:type="dxa"/>
            <w:shd w:val="clear" w:color="auto" w:fill="auto"/>
          </w:tcPr>
          <w:p w14:paraId="276F2ED2" w14:textId="1945E298" w:rsidR="009159CD" w:rsidRPr="000413EB" w:rsidRDefault="009159CD" w:rsidP="000413EB">
            <w:pPr>
              <w:jc w:val="both"/>
              <w:rPr>
                <w:rFonts w:ascii="Times New Roman" w:hAnsi="Times New Roman"/>
                <w:bCs/>
                <w:sz w:val="20"/>
                <w:szCs w:val="20"/>
                <w:lang w:eastAsia="uk-UA"/>
              </w:rPr>
            </w:pPr>
            <w:r w:rsidRPr="000413EB">
              <w:rPr>
                <w:rFonts w:ascii="Times New Roman" w:hAnsi="Times New Roman"/>
                <w:bCs/>
                <w:sz w:val="20"/>
                <w:szCs w:val="20"/>
                <w:lang w:eastAsia="uk-UA"/>
              </w:rPr>
              <w:t>В.1.3 Модернізація інженерних мереж</w:t>
            </w:r>
          </w:p>
        </w:tc>
        <w:tc>
          <w:tcPr>
            <w:tcW w:w="2551" w:type="dxa"/>
            <w:shd w:val="clear" w:color="auto" w:fill="auto"/>
          </w:tcPr>
          <w:p w14:paraId="6F6400B5" w14:textId="62169620" w:rsidR="009159CD" w:rsidRPr="000413EB" w:rsidRDefault="009159CD" w:rsidP="000413EB">
            <w:pPr>
              <w:suppressAutoHyphens/>
              <w:jc w:val="both"/>
              <w:rPr>
                <w:rFonts w:ascii="Times New Roman" w:hAnsi="Times New Roman"/>
                <w:sz w:val="20"/>
                <w:szCs w:val="20"/>
              </w:rPr>
            </w:pPr>
            <w:r w:rsidRPr="000413EB">
              <w:rPr>
                <w:rFonts w:ascii="Times New Roman" w:hAnsi="Times New Roman"/>
                <w:sz w:val="20"/>
                <w:szCs w:val="20"/>
              </w:rPr>
              <w:t>В.1.3.1. Будівництво нових, реконструкція, капітальний ремонт, модернізація мереж централізованої системи водопостачання, водовідведення та каналізації.</w:t>
            </w:r>
          </w:p>
        </w:tc>
        <w:tc>
          <w:tcPr>
            <w:tcW w:w="2835" w:type="dxa"/>
            <w:shd w:val="clear" w:color="auto" w:fill="auto"/>
          </w:tcPr>
          <w:p w14:paraId="6A7C1876" w14:textId="4A03A570" w:rsidR="009159CD" w:rsidRPr="000413EB" w:rsidRDefault="009159CD" w:rsidP="000413EB">
            <w:pPr>
              <w:jc w:val="both"/>
              <w:rPr>
                <w:rFonts w:ascii="Times New Roman" w:hAnsi="Times New Roman"/>
                <w:sz w:val="20"/>
                <w:szCs w:val="20"/>
                <w:lang w:eastAsia="it-IT"/>
              </w:rPr>
            </w:pPr>
            <w:r w:rsidRPr="000413EB">
              <w:rPr>
                <w:rFonts w:ascii="Times New Roman" w:hAnsi="Times New Roman"/>
                <w:sz w:val="20"/>
                <w:szCs w:val="20"/>
                <w:lang w:eastAsia="it-IT"/>
              </w:rPr>
              <w:t>Капітальний ремонт водопровідної мережі по вул. Центральній, с. Леляки, Жмеринського району Вінницької області</w:t>
            </w:r>
          </w:p>
        </w:tc>
        <w:tc>
          <w:tcPr>
            <w:tcW w:w="1276" w:type="dxa"/>
            <w:shd w:val="clear" w:color="auto" w:fill="auto"/>
          </w:tcPr>
          <w:p w14:paraId="35C358AF" w14:textId="46256621" w:rsidR="009159CD" w:rsidRPr="000413EB" w:rsidRDefault="009159CD" w:rsidP="00541BDD">
            <w:pPr>
              <w:widowControl w:val="0"/>
              <w:tabs>
                <w:tab w:val="left" w:pos="5829"/>
                <w:tab w:val="left" w:pos="9720"/>
                <w:tab w:val="left" w:pos="10357"/>
              </w:tabs>
              <w:autoSpaceDE w:val="0"/>
              <w:autoSpaceDN w:val="0"/>
              <w:jc w:val="center"/>
              <w:rPr>
                <w:rFonts w:ascii="Times New Roman" w:eastAsia="Arial" w:hAnsi="Times New Roman"/>
                <w:sz w:val="20"/>
                <w:szCs w:val="20"/>
                <w:lang w:eastAsia="en-US"/>
              </w:rPr>
            </w:pPr>
            <w:r w:rsidRPr="000413EB">
              <w:rPr>
                <w:rFonts w:ascii="Times New Roman" w:eastAsia="Arial" w:hAnsi="Times New Roman"/>
                <w:sz w:val="20"/>
                <w:szCs w:val="20"/>
                <w:lang w:eastAsia="en-US"/>
              </w:rPr>
              <w:t>2026</w:t>
            </w:r>
          </w:p>
        </w:tc>
        <w:tc>
          <w:tcPr>
            <w:tcW w:w="2345" w:type="dxa"/>
            <w:shd w:val="clear" w:color="auto" w:fill="auto"/>
          </w:tcPr>
          <w:p w14:paraId="222E080B" w14:textId="1A34048B" w:rsidR="009159CD" w:rsidRPr="000413EB" w:rsidRDefault="009159CD" w:rsidP="000413EB">
            <w:pPr>
              <w:jc w:val="both"/>
              <w:rPr>
                <w:rFonts w:ascii="Times New Roman" w:hAnsi="Times New Roman"/>
                <w:color w:val="000000"/>
                <w:sz w:val="20"/>
                <w:szCs w:val="20"/>
                <w:lang w:eastAsia="it-IT"/>
              </w:rPr>
            </w:pPr>
            <w:r w:rsidRPr="000413EB">
              <w:rPr>
                <w:rFonts w:ascii="Times New Roman" w:hAnsi="Times New Roman"/>
                <w:sz w:val="20"/>
                <w:szCs w:val="20"/>
              </w:rPr>
              <w:t>Управління житлово-комунального господарства міської ради</w:t>
            </w:r>
          </w:p>
        </w:tc>
        <w:tc>
          <w:tcPr>
            <w:tcW w:w="2900" w:type="dxa"/>
            <w:shd w:val="clear" w:color="auto" w:fill="auto"/>
          </w:tcPr>
          <w:p w14:paraId="5AF758FF" w14:textId="2FC296BC" w:rsidR="009159CD" w:rsidRPr="000413EB" w:rsidRDefault="009159CD" w:rsidP="000413EB">
            <w:pPr>
              <w:jc w:val="both"/>
              <w:rPr>
                <w:rFonts w:ascii="Times New Roman" w:hAnsi="Times New Roman"/>
                <w:sz w:val="20"/>
                <w:szCs w:val="20"/>
                <w:lang w:eastAsia="it-IT"/>
              </w:rPr>
            </w:pPr>
            <w:r w:rsidRPr="000413EB">
              <w:rPr>
                <w:rFonts w:ascii="Times New Roman" w:hAnsi="Times New Roman"/>
                <w:sz w:val="20"/>
                <w:szCs w:val="20"/>
                <w:lang w:eastAsia="it-IT"/>
              </w:rPr>
              <w:t>Довжина водонапірної мережі із труб</w:t>
            </w:r>
            <w:r w:rsidR="004D364B">
              <w:rPr>
                <w:rFonts w:ascii="Times New Roman" w:hAnsi="Times New Roman"/>
                <w:sz w:val="20"/>
                <w:szCs w:val="20"/>
                <w:lang w:eastAsia="it-IT"/>
              </w:rPr>
              <w:t>,</w:t>
            </w:r>
            <w:r w:rsidRPr="000413EB">
              <w:rPr>
                <w:rFonts w:ascii="Times New Roman" w:hAnsi="Times New Roman"/>
                <w:sz w:val="20"/>
                <w:szCs w:val="20"/>
                <w:lang w:eastAsia="it-IT"/>
              </w:rPr>
              <w:t xml:space="preserve"> що підлягають монтажу: 950 м.п.</w:t>
            </w:r>
          </w:p>
        </w:tc>
      </w:tr>
      <w:tr w:rsidR="00473CA0" w:rsidRPr="000413EB" w14:paraId="659619EC" w14:textId="77777777" w:rsidTr="00541BDD">
        <w:tc>
          <w:tcPr>
            <w:tcW w:w="567" w:type="dxa"/>
            <w:shd w:val="clear" w:color="auto" w:fill="auto"/>
          </w:tcPr>
          <w:p w14:paraId="052E3854" w14:textId="603B3FFF" w:rsidR="00473CA0"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23</w:t>
            </w:r>
          </w:p>
        </w:tc>
        <w:tc>
          <w:tcPr>
            <w:tcW w:w="2694" w:type="dxa"/>
            <w:shd w:val="clear" w:color="auto" w:fill="auto"/>
          </w:tcPr>
          <w:p w14:paraId="59339268" w14:textId="77777777" w:rsidR="00473CA0" w:rsidRPr="000413EB" w:rsidRDefault="00473CA0" w:rsidP="000413EB">
            <w:pPr>
              <w:jc w:val="both"/>
              <w:rPr>
                <w:rFonts w:ascii="Times New Roman" w:hAnsi="Times New Roman"/>
                <w:bCs/>
                <w:sz w:val="20"/>
                <w:szCs w:val="20"/>
                <w:lang w:eastAsia="uk-UA"/>
              </w:rPr>
            </w:pPr>
            <w:r w:rsidRPr="000413EB">
              <w:rPr>
                <w:rFonts w:ascii="Times New Roman" w:hAnsi="Times New Roman"/>
                <w:bCs/>
                <w:sz w:val="20"/>
                <w:szCs w:val="20"/>
                <w:lang w:eastAsia="uk-UA"/>
              </w:rPr>
              <w:t>В.1.3 Модернізація інженерних мереж</w:t>
            </w:r>
          </w:p>
        </w:tc>
        <w:tc>
          <w:tcPr>
            <w:tcW w:w="2551" w:type="dxa"/>
            <w:shd w:val="clear" w:color="auto" w:fill="auto"/>
          </w:tcPr>
          <w:p w14:paraId="2A8479D9" w14:textId="77777777" w:rsidR="00473CA0" w:rsidRPr="000413EB" w:rsidRDefault="00473CA0" w:rsidP="000413EB">
            <w:pPr>
              <w:suppressAutoHyphens/>
              <w:jc w:val="both"/>
              <w:rPr>
                <w:rFonts w:ascii="Times New Roman" w:eastAsia="Lucida Sans Unicode" w:hAnsi="Times New Roman"/>
                <w:kern w:val="1"/>
                <w:sz w:val="20"/>
                <w:szCs w:val="20"/>
                <w:lang w:eastAsia="ar-SA"/>
              </w:rPr>
            </w:pPr>
            <w:r w:rsidRPr="000413EB">
              <w:rPr>
                <w:rFonts w:ascii="Times New Roman" w:eastAsia="Lucida Sans Unicode" w:hAnsi="Times New Roman"/>
                <w:kern w:val="1"/>
                <w:sz w:val="20"/>
                <w:szCs w:val="20"/>
                <w:lang w:eastAsia="ar-SA"/>
              </w:rPr>
              <w:t xml:space="preserve">В.1.3.1. Будівництво нових, реконструкція, капітальний ремонт, модернізація мереж централізованої системи водопостачання, </w:t>
            </w:r>
            <w:r w:rsidRPr="000413EB">
              <w:rPr>
                <w:rFonts w:ascii="Times New Roman" w:eastAsia="Lucida Sans Unicode" w:hAnsi="Times New Roman"/>
                <w:kern w:val="1"/>
                <w:sz w:val="20"/>
                <w:szCs w:val="20"/>
                <w:lang w:eastAsia="ar-SA"/>
              </w:rPr>
              <w:lastRenderedPageBreak/>
              <w:t>водовідведення та каналізації.</w:t>
            </w:r>
          </w:p>
        </w:tc>
        <w:tc>
          <w:tcPr>
            <w:tcW w:w="2835" w:type="dxa"/>
            <w:shd w:val="clear" w:color="auto" w:fill="auto"/>
          </w:tcPr>
          <w:p w14:paraId="37433A0C" w14:textId="77777777" w:rsidR="00473CA0" w:rsidRPr="000413EB" w:rsidRDefault="00473CA0" w:rsidP="000413EB">
            <w:pPr>
              <w:jc w:val="both"/>
              <w:rPr>
                <w:rFonts w:ascii="Times New Roman" w:hAnsi="Times New Roman"/>
                <w:sz w:val="20"/>
                <w:szCs w:val="20"/>
                <w:lang w:eastAsia="it-IT"/>
              </w:rPr>
            </w:pPr>
            <w:r w:rsidRPr="000413EB">
              <w:rPr>
                <w:rFonts w:ascii="Times New Roman" w:hAnsi="Times New Roman"/>
                <w:sz w:val="20"/>
                <w:szCs w:val="20"/>
                <w:lang w:eastAsia="it-IT"/>
              </w:rPr>
              <w:lastRenderedPageBreak/>
              <w:t>Нове будівництво мереж водопостачання по вул. Асмолова в м. Жмеринка Вінницької області</w:t>
            </w:r>
          </w:p>
        </w:tc>
        <w:tc>
          <w:tcPr>
            <w:tcW w:w="1276" w:type="dxa"/>
            <w:shd w:val="clear" w:color="auto" w:fill="auto"/>
          </w:tcPr>
          <w:p w14:paraId="2916AB63" w14:textId="77777777" w:rsidR="00473CA0" w:rsidRPr="000413EB" w:rsidRDefault="00473CA0" w:rsidP="00541BDD">
            <w:pPr>
              <w:widowControl w:val="0"/>
              <w:tabs>
                <w:tab w:val="left" w:pos="5829"/>
                <w:tab w:val="left" w:pos="9720"/>
                <w:tab w:val="left" w:pos="10357"/>
              </w:tabs>
              <w:autoSpaceDE w:val="0"/>
              <w:autoSpaceDN w:val="0"/>
              <w:jc w:val="center"/>
              <w:rPr>
                <w:rFonts w:ascii="Times New Roman" w:eastAsia="Arial" w:hAnsi="Times New Roman"/>
                <w:sz w:val="20"/>
                <w:szCs w:val="20"/>
                <w:lang w:eastAsia="en-US"/>
              </w:rPr>
            </w:pPr>
            <w:r w:rsidRPr="000413EB">
              <w:rPr>
                <w:rFonts w:ascii="Times New Roman" w:eastAsia="Arial" w:hAnsi="Times New Roman"/>
                <w:sz w:val="20"/>
                <w:szCs w:val="20"/>
                <w:lang w:eastAsia="en-US"/>
              </w:rPr>
              <w:t>2026</w:t>
            </w:r>
          </w:p>
        </w:tc>
        <w:tc>
          <w:tcPr>
            <w:tcW w:w="2345" w:type="dxa"/>
            <w:shd w:val="clear" w:color="auto" w:fill="auto"/>
          </w:tcPr>
          <w:p w14:paraId="65B9C450" w14:textId="77777777" w:rsidR="00473CA0" w:rsidRPr="000413EB" w:rsidRDefault="00473CA0" w:rsidP="000413EB">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Управління житлово-комунального господарства міської ради</w:t>
            </w:r>
          </w:p>
        </w:tc>
        <w:tc>
          <w:tcPr>
            <w:tcW w:w="2900" w:type="dxa"/>
            <w:shd w:val="clear" w:color="auto" w:fill="auto"/>
          </w:tcPr>
          <w:p w14:paraId="22AD189E" w14:textId="2A2A9CB4" w:rsidR="00473CA0" w:rsidRPr="000413EB" w:rsidRDefault="00473CA0" w:rsidP="00A041B2">
            <w:pPr>
              <w:jc w:val="both"/>
              <w:rPr>
                <w:rFonts w:ascii="Times New Roman" w:eastAsia="Arial" w:hAnsi="Times New Roman"/>
                <w:sz w:val="20"/>
                <w:szCs w:val="20"/>
                <w:lang w:eastAsia="en-US"/>
              </w:rPr>
            </w:pPr>
            <w:r w:rsidRPr="000413EB">
              <w:rPr>
                <w:rFonts w:ascii="Times New Roman" w:hAnsi="Times New Roman"/>
                <w:sz w:val="20"/>
                <w:szCs w:val="20"/>
                <w:lang w:eastAsia="it-IT"/>
              </w:rPr>
              <w:t>Збудовано  водопровідну мережу протяжністю 2 км. буріння 1 с</w:t>
            </w:r>
            <w:r w:rsidR="00A041B2">
              <w:rPr>
                <w:rFonts w:ascii="Times New Roman" w:hAnsi="Times New Roman"/>
                <w:sz w:val="20"/>
                <w:szCs w:val="20"/>
                <w:lang w:eastAsia="it-IT"/>
              </w:rPr>
              <w:t>вердловина</w:t>
            </w:r>
            <w:r w:rsidRPr="000413EB">
              <w:rPr>
                <w:rFonts w:ascii="Times New Roman" w:hAnsi="Times New Roman"/>
                <w:sz w:val="20"/>
                <w:szCs w:val="20"/>
                <w:lang w:eastAsia="it-IT"/>
              </w:rPr>
              <w:t xml:space="preserve"> та підключено 30 нових споживачів.</w:t>
            </w:r>
          </w:p>
        </w:tc>
      </w:tr>
      <w:tr w:rsidR="00473CA0" w:rsidRPr="000413EB" w14:paraId="1161FA79" w14:textId="77777777" w:rsidTr="00541BDD">
        <w:tc>
          <w:tcPr>
            <w:tcW w:w="567" w:type="dxa"/>
            <w:shd w:val="clear" w:color="auto" w:fill="auto"/>
          </w:tcPr>
          <w:p w14:paraId="4A6D593C" w14:textId="5C12F14E" w:rsidR="00473CA0"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24</w:t>
            </w:r>
          </w:p>
        </w:tc>
        <w:tc>
          <w:tcPr>
            <w:tcW w:w="2694" w:type="dxa"/>
            <w:shd w:val="clear" w:color="auto" w:fill="auto"/>
          </w:tcPr>
          <w:p w14:paraId="60053F37" w14:textId="77777777" w:rsidR="00473CA0" w:rsidRPr="000413EB" w:rsidRDefault="00473CA0" w:rsidP="000413EB">
            <w:pPr>
              <w:jc w:val="both"/>
              <w:rPr>
                <w:rFonts w:ascii="Times New Roman" w:hAnsi="Times New Roman"/>
                <w:bCs/>
                <w:sz w:val="20"/>
                <w:szCs w:val="20"/>
                <w:lang w:eastAsia="uk-UA"/>
              </w:rPr>
            </w:pPr>
            <w:r w:rsidRPr="000413EB">
              <w:rPr>
                <w:rFonts w:ascii="Times New Roman" w:hAnsi="Times New Roman"/>
                <w:bCs/>
                <w:sz w:val="20"/>
                <w:szCs w:val="20"/>
                <w:lang w:eastAsia="uk-UA"/>
              </w:rPr>
              <w:t>В.1.3 Модернізація інженерних мереж</w:t>
            </w:r>
          </w:p>
        </w:tc>
        <w:tc>
          <w:tcPr>
            <w:tcW w:w="2551" w:type="dxa"/>
            <w:shd w:val="clear" w:color="auto" w:fill="auto"/>
          </w:tcPr>
          <w:p w14:paraId="44571AD0" w14:textId="77777777" w:rsidR="00473CA0" w:rsidRPr="000413EB" w:rsidRDefault="00473CA0" w:rsidP="000413EB">
            <w:pPr>
              <w:suppressAutoHyphens/>
              <w:jc w:val="both"/>
              <w:rPr>
                <w:rFonts w:ascii="Times New Roman" w:eastAsia="Lucida Sans Unicode" w:hAnsi="Times New Roman"/>
                <w:kern w:val="1"/>
                <w:sz w:val="20"/>
                <w:szCs w:val="20"/>
                <w:lang w:eastAsia="ar-SA"/>
              </w:rPr>
            </w:pPr>
            <w:r w:rsidRPr="000413EB">
              <w:rPr>
                <w:rFonts w:ascii="Times New Roman" w:eastAsia="Lucida Sans Unicode" w:hAnsi="Times New Roman"/>
                <w:kern w:val="1"/>
                <w:sz w:val="20"/>
                <w:szCs w:val="20"/>
                <w:lang w:eastAsia="ar-SA"/>
              </w:rPr>
              <w:t>В.1.3.1. Будівництво нових, реконструкція, капітальний ремонт, модернізація мереж централізованої системи водопостачання, водовідведення та каналізації.</w:t>
            </w:r>
          </w:p>
        </w:tc>
        <w:tc>
          <w:tcPr>
            <w:tcW w:w="2835" w:type="dxa"/>
            <w:shd w:val="clear" w:color="auto" w:fill="auto"/>
          </w:tcPr>
          <w:p w14:paraId="5CAC84BD" w14:textId="77777777" w:rsidR="00473CA0" w:rsidRPr="000413EB" w:rsidRDefault="00473CA0" w:rsidP="000413EB">
            <w:pPr>
              <w:jc w:val="both"/>
              <w:rPr>
                <w:rFonts w:ascii="Times New Roman" w:hAnsi="Times New Roman"/>
                <w:sz w:val="20"/>
                <w:szCs w:val="20"/>
                <w:lang w:eastAsia="it-IT"/>
              </w:rPr>
            </w:pPr>
            <w:r w:rsidRPr="000413EB">
              <w:rPr>
                <w:rFonts w:ascii="Times New Roman" w:hAnsi="Times New Roman"/>
                <w:sz w:val="20"/>
                <w:szCs w:val="20"/>
                <w:lang w:eastAsia="it-IT"/>
              </w:rPr>
              <w:t>Нове будівництво мереж водопостачання в с Жуківці,  Жмеринського району Вінницької області</w:t>
            </w:r>
          </w:p>
        </w:tc>
        <w:tc>
          <w:tcPr>
            <w:tcW w:w="1276" w:type="dxa"/>
            <w:shd w:val="clear" w:color="auto" w:fill="auto"/>
          </w:tcPr>
          <w:p w14:paraId="616D2511" w14:textId="77777777" w:rsidR="00473CA0" w:rsidRPr="000413EB" w:rsidRDefault="00473CA0" w:rsidP="00541BDD">
            <w:pPr>
              <w:widowControl w:val="0"/>
              <w:tabs>
                <w:tab w:val="left" w:pos="5829"/>
                <w:tab w:val="left" w:pos="9720"/>
                <w:tab w:val="left" w:pos="10357"/>
              </w:tabs>
              <w:autoSpaceDE w:val="0"/>
              <w:autoSpaceDN w:val="0"/>
              <w:jc w:val="center"/>
              <w:rPr>
                <w:rFonts w:ascii="Times New Roman" w:eastAsia="Arial" w:hAnsi="Times New Roman"/>
                <w:sz w:val="20"/>
                <w:szCs w:val="20"/>
                <w:lang w:eastAsia="en-US"/>
              </w:rPr>
            </w:pPr>
            <w:r w:rsidRPr="000413EB">
              <w:rPr>
                <w:rFonts w:ascii="Times New Roman" w:eastAsia="Arial" w:hAnsi="Times New Roman"/>
                <w:sz w:val="20"/>
                <w:szCs w:val="20"/>
                <w:lang w:eastAsia="en-US"/>
              </w:rPr>
              <w:t>2026</w:t>
            </w:r>
          </w:p>
        </w:tc>
        <w:tc>
          <w:tcPr>
            <w:tcW w:w="2345" w:type="dxa"/>
            <w:shd w:val="clear" w:color="auto" w:fill="auto"/>
          </w:tcPr>
          <w:p w14:paraId="3333F849" w14:textId="77777777" w:rsidR="00473CA0" w:rsidRPr="000413EB" w:rsidRDefault="00473CA0" w:rsidP="000413EB">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Управління житлово-комунального господарства міської ради</w:t>
            </w:r>
          </w:p>
        </w:tc>
        <w:tc>
          <w:tcPr>
            <w:tcW w:w="2900" w:type="dxa"/>
            <w:shd w:val="clear" w:color="auto" w:fill="auto"/>
          </w:tcPr>
          <w:p w14:paraId="6BC8CCB4" w14:textId="77777777" w:rsidR="00473CA0" w:rsidRPr="000413EB" w:rsidRDefault="00473CA0" w:rsidP="000413EB">
            <w:pPr>
              <w:jc w:val="both"/>
              <w:rPr>
                <w:rFonts w:ascii="Times New Roman" w:hAnsi="Times New Roman"/>
                <w:sz w:val="20"/>
                <w:szCs w:val="20"/>
                <w:lang w:eastAsia="it-IT"/>
              </w:rPr>
            </w:pPr>
            <w:r w:rsidRPr="000413EB">
              <w:rPr>
                <w:rFonts w:ascii="Times New Roman" w:hAnsi="Times New Roman"/>
                <w:sz w:val="20"/>
                <w:szCs w:val="20"/>
                <w:lang w:eastAsia="it-IT"/>
              </w:rPr>
              <w:t>Збудовано водопровідну мережу протяжністю 3 км. встановлено насосну станцію та підключено 45 нових споживачів.</w:t>
            </w:r>
          </w:p>
        </w:tc>
      </w:tr>
      <w:tr w:rsidR="00473CA0" w:rsidRPr="000413EB" w14:paraId="6715F388" w14:textId="77777777" w:rsidTr="00541BDD">
        <w:tc>
          <w:tcPr>
            <w:tcW w:w="567" w:type="dxa"/>
            <w:shd w:val="clear" w:color="auto" w:fill="auto"/>
          </w:tcPr>
          <w:p w14:paraId="76D2A8C7" w14:textId="5DC01BBE" w:rsidR="00473CA0"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25</w:t>
            </w:r>
          </w:p>
        </w:tc>
        <w:tc>
          <w:tcPr>
            <w:tcW w:w="2694" w:type="dxa"/>
            <w:shd w:val="clear" w:color="auto" w:fill="auto"/>
          </w:tcPr>
          <w:p w14:paraId="0AA1DCAC" w14:textId="77777777" w:rsidR="00473CA0" w:rsidRPr="000413EB" w:rsidRDefault="00473CA0" w:rsidP="000413EB">
            <w:pPr>
              <w:jc w:val="both"/>
              <w:rPr>
                <w:rFonts w:ascii="Times New Roman" w:hAnsi="Times New Roman"/>
                <w:bCs/>
                <w:sz w:val="20"/>
                <w:szCs w:val="20"/>
                <w:lang w:eastAsia="uk-UA"/>
              </w:rPr>
            </w:pPr>
            <w:r w:rsidRPr="000413EB">
              <w:rPr>
                <w:rFonts w:ascii="Times New Roman" w:hAnsi="Times New Roman"/>
                <w:bCs/>
                <w:sz w:val="20"/>
                <w:szCs w:val="20"/>
                <w:lang w:eastAsia="uk-UA"/>
              </w:rPr>
              <w:t>В.1.3 Модернізація інженерних мереж</w:t>
            </w:r>
          </w:p>
        </w:tc>
        <w:tc>
          <w:tcPr>
            <w:tcW w:w="2551" w:type="dxa"/>
            <w:shd w:val="clear" w:color="auto" w:fill="auto"/>
          </w:tcPr>
          <w:p w14:paraId="7E9B680E" w14:textId="77777777" w:rsidR="00473CA0" w:rsidRPr="000413EB" w:rsidRDefault="00473CA0" w:rsidP="000413EB">
            <w:pPr>
              <w:suppressAutoHyphens/>
              <w:jc w:val="both"/>
              <w:rPr>
                <w:rFonts w:ascii="Times New Roman" w:eastAsia="Lucida Sans Unicode" w:hAnsi="Times New Roman"/>
                <w:kern w:val="1"/>
                <w:sz w:val="20"/>
                <w:szCs w:val="20"/>
                <w:lang w:eastAsia="ar-SA"/>
              </w:rPr>
            </w:pPr>
            <w:r w:rsidRPr="000413EB">
              <w:rPr>
                <w:rFonts w:ascii="Times New Roman" w:eastAsia="Lucida Sans Unicode" w:hAnsi="Times New Roman"/>
                <w:kern w:val="1"/>
                <w:sz w:val="20"/>
                <w:szCs w:val="20"/>
                <w:lang w:eastAsia="ar-SA"/>
              </w:rPr>
              <w:t>В.1.3.1. Будівництво нових, реконструкція, капітальний ремонт, модернізація мереж централізованої системи водопостачання, водовідведення та каналізації.</w:t>
            </w:r>
          </w:p>
        </w:tc>
        <w:tc>
          <w:tcPr>
            <w:tcW w:w="2835" w:type="dxa"/>
            <w:shd w:val="clear" w:color="auto" w:fill="auto"/>
          </w:tcPr>
          <w:p w14:paraId="2AF3DC6B" w14:textId="77777777" w:rsidR="00473CA0" w:rsidRPr="000413EB" w:rsidRDefault="00473CA0" w:rsidP="000413EB">
            <w:pPr>
              <w:jc w:val="both"/>
              <w:rPr>
                <w:rFonts w:ascii="Times New Roman" w:hAnsi="Times New Roman"/>
                <w:sz w:val="20"/>
                <w:szCs w:val="20"/>
                <w:lang w:eastAsia="it-IT"/>
              </w:rPr>
            </w:pPr>
            <w:r w:rsidRPr="000413EB">
              <w:rPr>
                <w:rFonts w:ascii="Times New Roman" w:hAnsi="Times New Roman"/>
                <w:sz w:val="20"/>
                <w:szCs w:val="20"/>
                <w:lang w:eastAsia="it-IT"/>
              </w:rPr>
              <w:t>Нове будівництво мереж водопостачання в с Щучинці,  Жмеринського району Вінницької області</w:t>
            </w:r>
          </w:p>
        </w:tc>
        <w:tc>
          <w:tcPr>
            <w:tcW w:w="1276" w:type="dxa"/>
            <w:shd w:val="clear" w:color="auto" w:fill="auto"/>
          </w:tcPr>
          <w:p w14:paraId="685BCE1C" w14:textId="77777777" w:rsidR="00473CA0" w:rsidRPr="000413EB" w:rsidRDefault="00473CA0" w:rsidP="00541BDD">
            <w:pPr>
              <w:widowControl w:val="0"/>
              <w:tabs>
                <w:tab w:val="left" w:pos="5829"/>
                <w:tab w:val="left" w:pos="9720"/>
                <w:tab w:val="left" w:pos="10357"/>
              </w:tabs>
              <w:autoSpaceDE w:val="0"/>
              <w:autoSpaceDN w:val="0"/>
              <w:jc w:val="center"/>
              <w:rPr>
                <w:rFonts w:ascii="Times New Roman" w:eastAsia="Arial" w:hAnsi="Times New Roman"/>
                <w:sz w:val="20"/>
                <w:szCs w:val="20"/>
                <w:lang w:eastAsia="en-US"/>
              </w:rPr>
            </w:pPr>
            <w:r w:rsidRPr="000413EB">
              <w:rPr>
                <w:rFonts w:ascii="Times New Roman" w:eastAsia="Arial" w:hAnsi="Times New Roman"/>
                <w:sz w:val="20"/>
                <w:szCs w:val="20"/>
                <w:lang w:eastAsia="en-US"/>
              </w:rPr>
              <w:t>2026</w:t>
            </w:r>
          </w:p>
        </w:tc>
        <w:tc>
          <w:tcPr>
            <w:tcW w:w="2345" w:type="dxa"/>
            <w:shd w:val="clear" w:color="auto" w:fill="auto"/>
          </w:tcPr>
          <w:p w14:paraId="24FEEED3" w14:textId="77777777" w:rsidR="00473CA0" w:rsidRPr="000413EB" w:rsidRDefault="00473CA0" w:rsidP="000413EB">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Управління житлово-комунального господарства міської ради</w:t>
            </w:r>
          </w:p>
        </w:tc>
        <w:tc>
          <w:tcPr>
            <w:tcW w:w="2900" w:type="dxa"/>
            <w:shd w:val="clear" w:color="auto" w:fill="auto"/>
          </w:tcPr>
          <w:p w14:paraId="631CE8A5" w14:textId="3B2C5B98" w:rsidR="00473CA0" w:rsidRPr="000413EB" w:rsidRDefault="00473CA0" w:rsidP="000413EB">
            <w:pPr>
              <w:jc w:val="both"/>
              <w:rPr>
                <w:rFonts w:ascii="Times New Roman" w:hAnsi="Times New Roman"/>
                <w:sz w:val="20"/>
                <w:szCs w:val="20"/>
                <w:lang w:eastAsia="it-IT"/>
              </w:rPr>
            </w:pPr>
            <w:r w:rsidRPr="000413EB">
              <w:rPr>
                <w:rFonts w:ascii="Times New Roman" w:hAnsi="Times New Roman"/>
                <w:sz w:val="20"/>
                <w:szCs w:val="20"/>
                <w:lang w:eastAsia="it-IT"/>
              </w:rPr>
              <w:t>Збудовано водопровідну мережу протяжністю 3 км. встановлено насосну станцію та підключено 60 нових споживачів.</w:t>
            </w:r>
          </w:p>
        </w:tc>
      </w:tr>
      <w:tr w:rsidR="00473CA0" w:rsidRPr="000413EB" w14:paraId="7FCB4B30" w14:textId="77777777" w:rsidTr="000413EB">
        <w:tc>
          <w:tcPr>
            <w:tcW w:w="567" w:type="dxa"/>
            <w:shd w:val="clear" w:color="auto" w:fill="auto"/>
          </w:tcPr>
          <w:p w14:paraId="502C9055" w14:textId="2DF54322" w:rsidR="00473CA0"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26</w:t>
            </w:r>
          </w:p>
        </w:tc>
        <w:tc>
          <w:tcPr>
            <w:tcW w:w="2694" w:type="dxa"/>
            <w:shd w:val="clear" w:color="auto" w:fill="auto"/>
          </w:tcPr>
          <w:p w14:paraId="58A9E43E" w14:textId="77777777" w:rsidR="00473CA0" w:rsidRPr="000413EB" w:rsidRDefault="00473CA0" w:rsidP="000413EB">
            <w:pPr>
              <w:jc w:val="both"/>
              <w:rPr>
                <w:rFonts w:ascii="Times New Roman" w:hAnsi="Times New Roman"/>
                <w:bCs/>
                <w:sz w:val="20"/>
                <w:szCs w:val="20"/>
                <w:lang w:eastAsia="uk-UA"/>
              </w:rPr>
            </w:pPr>
            <w:r w:rsidRPr="000413EB">
              <w:rPr>
                <w:rFonts w:ascii="Times New Roman" w:hAnsi="Times New Roman"/>
                <w:bCs/>
                <w:sz w:val="20"/>
                <w:szCs w:val="20"/>
                <w:lang w:eastAsia="uk-UA"/>
              </w:rPr>
              <w:t>В.1.3 Модернізація інженерних мереж</w:t>
            </w:r>
          </w:p>
        </w:tc>
        <w:tc>
          <w:tcPr>
            <w:tcW w:w="2551" w:type="dxa"/>
            <w:shd w:val="clear" w:color="auto" w:fill="auto"/>
          </w:tcPr>
          <w:p w14:paraId="08A616C9" w14:textId="77777777" w:rsidR="00473CA0" w:rsidRPr="000413EB" w:rsidRDefault="00473CA0" w:rsidP="000413EB">
            <w:pPr>
              <w:suppressAutoHyphens/>
              <w:jc w:val="both"/>
              <w:rPr>
                <w:rFonts w:ascii="Times New Roman" w:eastAsia="Lucida Sans Unicode" w:hAnsi="Times New Roman"/>
                <w:kern w:val="1"/>
                <w:sz w:val="20"/>
                <w:szCs w:val="20"/>
                <w:lang w:eastAsia="ar-SA"/>
              </w:rPr>
            </w:pPr>
            <w:r w:rsidRPr="000413EB">
              <w:rPr>
                <w:rFonts w:ascii="Times New Roman" w:eastAsia="Lucida Sans Unicode" w:hAnsi="Times New Roman"/>
                <w:kern w:val="1"/>
                <w:sz w:val="20"/>
                <w:szCs w:val="20"/>
                <w:lang w:eastAsia="ar-SA"/>
              </w:rPr>
              <w:t>В.1.3.1. Будівництво нових, реконструкція, капітальний ремонт, модернізація мереж централізованої системи водопостачання, водовідведення та каналізації.</w:t>
            </w:r>
          </w:p>
        </w:tc>
        <w:tc>
          <w:tcPr>
            <w:tcW w:w="2835" w:type="dxa"/>
            <w:shd w:val="clear" w:color="auto" w:fill="auto"/>
          </w:tcPr>
          <w:p w14:paraId="66C4E4F3" w14:textId="77777777" w:rsidR="00473CA0" w:rsidRPr="000413EB" w:rsidRDefault="00473CA0" w:rsidP="000413EB">
            <w:pPr>
              <w:jc w:val="both"/>
              <w:rPr>
                <w:rFonts w:ascii="Times New Roman" w:hAnsi="Times New Roman"/>
                <w:sz w:val="20"/>
                <w:szCs w:val="20"/>
                <w:lang w:eastAsia="it-IT"/>
              </w:rPr>
            </w:pPr>
            <w:r w:rsidRPr="000413EB">
              <w:rPr>
                <w:rFonts w:ascii="Times New Roman" w:hAnsi="Times New Roman"/>
                <w:sz w:val="20"/>
                <w:szCs w:val="20"/>
                <w:lang w:eastAsia="it-IT"/>
              </w:rPr>
              <w:t>Капітальний ремонт мережі водопостачання по вул. Київська в м. Жмеринка Вінницької області</w:t>
            </w:r>
          </w:p>
        </w:tc>
        <w:tc>
          <w:tcPr>
            <w:tcW w:w="1276" w:type="dxa"/>
            <w:shd w:val="clear" w:color="auto" w:fill="auto"/>
          </w:tcPr>
          <w:p w14:paraId="2A902681" w14:textId="77777777" w:rsidR="00473CA0" w:rsidRPr="000413EB" w:rsidRDefault="00473CA0" w:rsidP="000413EB">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 xml:space="preserve">2027 </w:t>
            </w:r>
          </w:p>
        </w:tc>
        <w:tc>
          <w:tcPr>
            <w:tcW w:w="2345" w:type="dxa"/>
            <w:shd w:val="clear" w:color="auto" w:fill="auto"/>
          </w:tcPr>
          <w:p w14:paraId="7721EFBD" w14:textId="77777777" w:rsidR="00473CA0" w:rsidRPr="000413EB" w:rsidRDefault="00473CA0" w:rsidP="000413EB">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Управління житлово-комунального господарства міської ради</w:t>
            </w:r>
          </w:p>
        </w:tc>
        <w:tc>
          <w:tcPr>
            <w:tcW w:w="2900" w:type="dxa"/>
            <w:shd w:val="clear" w:color="auto" w:fill="auto"/>
          </w:tcPr>
          <w:p w14:paraId="6BF70D6F" w14:textId="77777777" w:rsidR="00473CA0" w:rsidRPr="000413EB" w:rsidRDefault="00473CA0" w:rsidP="000413EB">
            <w:pPr>
              <w:jc w:val="both"/>
              <w:rPr>
                <w:rFonts w:ascii="Times New Roman" w:hAnsi="Times New Roman"/>
                <w:sz w:val="20"/>
                <w:szCs w:val="20"/>
                <w:lang w:eastAsia="it-IT"/>
              </w:rPr>
            </w:pPr>
            <w:r w:rsidRPr="000413EB">
              <w:rPr>
                <w:rFonts w:ascii="Times New Roman" w:eastAsia="Arial" w:hAnsi="Times New Roman"/>
                <w:sz w:val="20"/>
                <w:szCs w:val="20"/>
                <w:lang w:eastAsia="en-US"/>
              </w:rPr>
              <w:t>Довжина водонапірної мережі із труб що підлягають монтажу: 3.5 км та встановлено 20 пожежних гідрантів.</w:t>
            </w:r>
          </w:p>
        </w:tc>
      </w:tr>
      <w:tr w:rsidR="002B49BE" w:rsidRPr="000413EB" w14:paraId="6E6B1EF0" w14:textId="77777777" w:rsidTr="000413EB">
        <w:tc>
          <w:tcPr>
            <w:tcW w:w="567" w:type="dxa"/>
            <w:shd w:val="clear" w:color="auto" w:fill="auto"/>
          </w:tcPr>
          <w:p w14:paraId="0BBA6893" w14:textId="351D338A" w:rsidR="002B49BE"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27</w:t>
            </w:r>
          </w:p>
        </w:tc>
        <w:tc>
          <w:tcPr>
            <w:tcW w:w="2694" w:type="dxa"/>
            <w:shd w:val="clear" w:color="auto" w:fill="auto"/>
          </w:tcPr>
          <w:p w14:paraId="094A97B6" w14:textId="48EF4539" w:rsidR="002B49BE" w:rsidRPr="000413EB" w:rsidRDefault="002B49BE" w:rsidP="000413EB">
            <w:pPr>
              <w:jc w:val="both"/>
              <w:rPr>
                <w:rFonts w:ascii="Times New Roman" w:hAnsi="Times New Roman"/>
                <w:bCs/>
                <w:sz w:val="20"/>
                <w:szCs w:val="20"/>
                <w:lang w:eastAsia="uk-UA"/>
              </w:rPr>
            </w:pPr>
            <w:r w:rsidRPr="000413EB">
              <w:rPr>
                <w:rFonts w:ascii="Times New Roman" w:hAnsi="Times New Roman"/>
                <w:bCs/>
                <w:sz w:val="20"/>
                <w:szCs w:val="20"/>
                <w:lang w:eastAsia="uk-UA"/>
              </w:rPr>
              <w:t>В.1.3 Модернізація інженерних мереж</w:t>
            </w:r>
          </w:p>
        </w:tc>
        <w:tc>
          <w:tcPr>
            <w:tcW w:w="2551" w:type="dxa"/>
            <w:shd w:val="clear" w:color="auto" w:fill="auto"/>
          </w:tcPr>
          <w:p w14:paraId="0DAADF76" w14:textId="1E3F6A29" w:rsidR="002B49BE" w:rsidRPr="000413EB" w:rsidRDefault="002B49BE" w:rsidP="000413EB">
            <w:pPr>
              <w:suppressAutoHyphens/>
              <w:jc w:val="both"/>
              <w:rPr>
                <w:rFonts w:ascii="Times New Roman" w:eastAsia="Lucida Sans Unicode" w:hAnsi="Times New Roman"/>
                <w:kern w:val="1"/>
                <w:sz w:val="20"/>
                <w:szCs w:val="20"/>
                <w:lang w:eastAsia="ar-SA"/>
              </w:rPr>
            </w:pPr>
            <w:r w:rsidRPr="000413EB">
              <w:rPr>
                <w:rFonts w:ascii="Times New Roman" w:eastAsia="Lucida Sans Unicode" w:hAnsi="Times New Roman"/>
                <w:kern w:val="1"/>
                <w:sz w:val="20"/>
                <w:szCs w:val="20"/>
                <w:lang w:eastAsia="ar-SA"/>
              </w:rPr>
              <w:t>В.1.3.1. Будівництво нових, реконструкція, капітальний ремонт, модернізація мереж централізованої системи водопостачання, водовідведення та каналізації.</w:t>
            </w:r>
          </w:p>
        </w:tc>
        <w:tc>
          <w:tcPr>
            <w:tcW w:w="2835" w:type="dxa"/>
            <w:shd w:val="clear" w:color="auto" w:fill="auto"/>
          </w:tcPr>
          <w:p w14:paraId="6F4B6A23" w14:textId="0DA87C9E" w:rsidR="002B49BE" w:rsidRPr="000413EB" w:rsidRDefault="002B49BE" w:rsidP="000413EB">
            <w:pPr>
              <w:jc w:val="both"/>
              <w:rPr>
                <w:rFonts w:ascii="Times New Roman" w:hAnsi="Times New Roman"/>
                <w:sz w:val="20"/>
                <w:szCs w:val="20"/>
                <w:lang w:eastAsia="it-IT"/>
              </w:rPr>
            </w:pPr>
            <w:r w:rsidRPr="000413EB">
              <w:rPr>
                <w:rFonts w:ascii="Times New Roman" w:hAnsi="Times New Roman"/>
                <w:sz w:val="20"/>
                <w:szCs w:val="20"/>
                <w:lang w:eastAsia="it-IT"/>
              </w:rPr>
              <w:t>Реконструкція мереж водопостачання по вулиці Центральна, Нова, 8-го Березня, Монастирська, Північна, Миколи Лисинка, Різдвяна та Володимира Забаштанського в селищі Браїлів, Жмеринського району, Вінницької області</w:t>
            </w:r>
          </w:p>
        </w:tc>
        <w:tc>
          <w:tcPr>
            <w:tcW w:w="1276" w:type="dxa"/>
            <w:shd w:val="clear" w:color="auto" w:fill="auto"/>
          </w:tcPr>
          <w:p w14:paraId="3B33AA5D" w14:textId="0230AB97" w:rsidR="002B49BE" w:rsidRPr="000413EB" w:rsidRDefault="002B49BE" w:rsidP="000413EB">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2025-2027</w:t>
            </w:r>
          </w:p>
        </w:tc>
        <w:tc>
          <w:tcPr>
            <w:tcW w:w="2345" w:type="dxa"/>
            <w:shd w:val="clear" w:color="auto" w:fill="auto"/>
          </w:tcPr>
          <w:p w14:paraId="481B901F" w14:textId="09E7A634" w:rsidR="002B49BE" w:rsidRPr="000413EB" w:rsidRDefault="002B49BE" w:rsidP="000413EB">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Управління житлово-комунального господарства міської ради</w:t>
            </w:r>
          </w:p>
        </w:tc>
        <w:tc>
          <w:tcPr>
            <w:tcW w:w="2900" w:type="dxa"/>
            <w:shd w:val="clear" w:color="auto" w:fill="auto"/>
          </w:tcPr>
          <w:p w14:paraId="6474C309" w14:textId="5834A7FC" w:rsidR="002B49BE" w:rsidRPr="000413EB" w:rsidRDefault="002B49BE" w:rsidP="000413EB">
            <w:pPr>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Реконструкція мереж водопостачання орієнтовною довжиною 5 км. Забезпечення 644 мешканців селища Браїлів послугою з якісного безперебійного водопостачання</w:t>
            </w:r>
            <w:r w:rsidR="004D364B">
              <w:rPr>
                <w:rFonts w:ascii="Times New Roman" w:eastAsia="Arial" w:hAnsi="Times New Roman"/>
                <w:sz w:val="20"/>
                <w:szCs w:val="20"/>
                <w:lang w:eastAsia="en-US"/>
              </w:rPr>
              <w:t>.</w:t>
            </w:r>
          </w:p>
        </w:tc>
      </w:tr>
      <w:tr w:rsidR="00511267" w:rsidRPr="000413EB" w14:paraId="37C8FE74" w14:textId="77777777" w:rsidTr="000413EB">
        <w:tc>
          <w:tcPr>
            <w:tcW w:w="567" w:type="dxa"/>
            <w:shd w:val="clear" w:color="auto" w:fill="auto"/>
          </w:tcPr>
          <w:p w14:paraId="64379358" w14:textId="3C4EF3D9" w:rsidR="00511267"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28</w:t>
            </w:r>
          </w:p>
        </w:tc>
        <w:tc>
          <w:tcPr>
            <w:tcW w:w="2694" w:type="dxa"/>
            <w:shd w:val="clear" w:color="auto" w:fill="auto"/>
          </w:tcPr>
          <w:p w14:paraId="431C7112" w14:textId="04B53D10" w:rsidR="00511267" w:rsidRPr="000413EB" w:rsidRDefault="00511267" w:rsidP="000413EB">
            <w:pPr>
              <w:jc w:val="both"/>
              <w:rPr>
                <w:rFonts w:ascii="Times New Roman" w:hAnsi="Times New Roman"/>
                <w:bCs/>
                <w:sz w:val="20"/>
                <w:szCs w:val="20"/>
                <w:lang w:eastAsia="uk-UA"/>
              </w:rPr>
            </w:pPr>
            <w:r w:rsidRPr="000413EB">
              <w:rPr>
                <w:rFonts w:ascii="Times New Roman" w:hAnsi="Times New Roman"/>
                <w:bCs/>
                <w:sz w:val="20"/>
                <w:szCs w:val="20"/>
                <w:lang w:eastAsia="uk-UA"/>
              </w:rPr>
              <w:t>В.1.3 Модернізація інженерних мереж</w:t>
            </w:r>
          </w:p>
        </w:tc>
        <w:tc>
          <w:tcPr>
            <w:tcW w:w="2551" w:type="dxa"/>
            <w:shd w:val="clear" w:color="auto" w:fill="auto"/>
          </w:tcPr>
          <w:p w14:paraId="352A9675" w14:textId="37F43DCB" w:rsidR="00511267" w:rsidRPr="000413EB" w:rsidRDefault="00511267" w:rsidP="000413EB">
            <w:pPr>
              <w:suppressAutoHyphens/>
              <w:jc w:val="both"/>
              <w:rPr>
                <w:rFonts w:ascii="Times New Roman" w:eastAsia="Lucida Sans Unicode" w:hAnsi="Times New Roman"/>
                <w:kern w:val="1"/>
                <w:sz w:val="20"/>
                <w:szCs w:val="20"/>
                <w:lang w:eastAsia="ar-SA"/>
              </w:rPr>
            </w:pPr>
            <w:r w:rsidRPr="000413EB">
              <w:rPr>
                <w:rFonts w:ascii="Times New Roman" w:eastAsia="Lucida Sans Unicode" w:hAnsi="Times New Roman"/>
                <w:kern w:val="1"/>
                <w:sz w:val="20"/>
                <w:szCs w:val="20"/>
                <w:lang w:eastAsia="ar-SA"/>
              </w:rPr>
              <w:t>В.1.3.1. Будівництво нових, реконструкція, капітальний ремонт, модернізація мереж централізованої системи водопостачання, водовідведення та каналізації.</w:t>
            </w:r>
          </w:p>
        </w:tc>
        <w:tc>
          <w:tcPr>
            <w:tcW w:w="2835" w:type="dxa"/>
            <w:shd w:val="clear" w:color="auto" w:fill="auto"/>
          </w:tcPr>
          <w:p w14:paraId="3DDAD4F4" w14:textId="2B6E948D" w:rsidR="00511267" w:rsidRPr="000413EB" w:rsidRDefault="00511267" w:rsidP="000413EB">
            <w:pPr>
              <w:jc w:val="both"/>
              <w:rPr>
                <w:rFonts w:ascii="Times New Roman" w:hAnsi="Times New Roman"/>
                <w:sz w:val="20"/>
                <w:szCs w:val="20"/>
                <w:lang w:eastAsia="it-IT"/>
              </w:rPr>
            </w:pPr>
            <w:r w:rsidRPr="000413EB">
              <w:rPr>
                <w:rFonts w:ascii="Times New Roman" w:hAnsi="Times New Roman"/>
                <w:sz w:val="20"/>
                <w:szCs w:val="20"/>
                <w:lang w:eastAsia="it-IT"/>
              </w:rPr>
              <w:t xml:space="preserve">Реконструкція мереж водопостачання по вулиці Чайковського, Набережна, Садова та Лісова в селі Рів Жмеринського району, Вінницької області.  </w:t>
            </w:r>
          </w:p>
        </w:tc>
        <w:tc>
          <w:tcPr>
            <w:tcW w:w="1276" w:type="dxa"/>
            <w:shd w:val="clear" w:color="auto" w:fill="auto"/>
          </w:tcPr>
          <w:p w14:paraId="0F28754D" w14:textId="78394A10" w:rsidR="00511267" w:rsidRPr="000413EB" w:rsidRDefault="00511267" w:rsidP="000413EB">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2026-2027</w:t>
            </w:r>
          </w:p>
        </w:tc>
        <w:tc>
          <w:tcPr>
            <w:tcW w:w="2345" w:type="dxa"/>
            <w:shd w:val="clear" w:color="auto" w:fill="auto"/>
          </w:tcPr>
          <w:p w14:paraId="1E28CA97" w14:textId="34EC763D" w:rsidR="00511267" w:rsidRPr="000413EB" w:rsidRDefault="00511267" w:rsidP="000413EB">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Управління житлово-комунального господарства міської ради</w:t>
            </w:r>
          </w:p>
        </w:tc>
        <w:tc>
          <w:tcPr>
            <w:tcW w:w="2900" w:type="dxa"/>
            <w:shd w:val="clear" w:color="auto" w:fill="auto"/>
          </w:tcPr>
          <w:p w14:paraId="1DF0BE80" w14:textId="467E596B" w:rsidR="00511267" w:rsidRPr="000413EB" w:rsidRDefault="00511267" w:rsidP="000413EB">
            <w:pPr>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Реконструкція мереж водопостачання орієнтовною довжиною 3 км.  Зменшення втрат питної води до 50% у порівняні з попереднім роком. Зменшення кількості аварійних поривів на мережах водопостачання до 80% у порівняні з попереднім роком. Забезпечення 100 мешканців села Рів послугою з якісного безперебійного водопостачання. Збереження дорожнього покриття.</w:t>
            </w:r>
          </w:p>
        </w:tc>
      </w:tr>
      <w:tr w:rsidR="00A86C30" w:rsidRPr="000413EB" w14:paraId="1E21BD2B" w14:textId="77777777" w:rsidTr="000413EB">
        <w:tc>
          <w:tcPr>
            <w:tcW w:w="567" w:type="dxa"/>
            <w:shd w:val="clear" w:color="auto" w:fill="auto"/>
          </w:tcPr>
          <w:p w14:paraId="6149E610" w14:textId="3BEDA6F2" w:rsidR="00A86C30"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29</w:t>
            </w:r>
          </w:p>
        </w:tc>
        <w:tc>
          <w:tcPr>
            <w:tcW w:w="2694" w:type="dxa"/>
            <w:shd w:val="clear" w:color="auto" w:fill="auto"/>
          </w:tcPr>
          <w:p w14:paraId="6B0BED1E" w14:textId="0FAF5B2E" w:rsidR="00A86C30" w:rsidRPr="000413EB" w:rsidRDefault="00D80C9D" w:rsidP="000413EB">
            <w:pPr>
              <w:jc w:val="both"/>
              <w:rPr>
                <w:rFonts w:ascii="Times New Roman" w:hAnsi="Times New Roman"/>
                <w:bCs/>
                <w:sz w:val="20"/>
                <w:szCs w:val="20"/>
                <w:lang w:eastAsia="uk-UA"/>
              </w:rPr>
            </w:pPr>
            <w:r w:rsidRPr="000413EB">
              <w:rPr>
                <w:rFonts w:ascii="Times New Roman" w:hAnsi="Times New Roman"/>
                <w:bCs/>
                <w:sz w:val="20"/>
                <w:szCs w:val="20"/>
                <w:lang w:eastAsia="uk-UA"/>
              </w:rPr>
              <w:t>В.1.3 Модернізація інженерних мереж</w:t>
            </w:r>
          </w:p>
        </w:tc>
        <w:tc>
          <w:tcPr>
            <w:tcW w:w="2551" w:type="dxa"/>
            <w:shd w:val="clear" w:color="auto" w:fill="auto"/>
          </w:tcPr>
          <w:p w14:paraId="43949B06" w14:textId="5149007B" w:rsidR="00A86C30" w:rsidRPr="000413EB" w:rsidRDefault="00D80C9D" w:rsidP="000413EB">
            <w:pPr>
              <w:suppressAutoHyphens/>
              <w:jc w:val="both"/>
              <w:rPr>
                <w:rFonts w:ascii="Times New Roman" w:eastAsia="Lucida Sans Unicode" w:hAnsi="Times New Roman"/>
                <w:kern w:val="1"/>
                <w:sz w:val="20"/>
                <w:szCs w:val="20"/>
                <w:lang w:eastAsia="ar-SA"/>
              </w:rPr>
            </w:pPr>
            <w:r w:rsidRPr="000413EB">
              <w:rPr>
                <w:rFonts w:ascii="Times New Roman" w:eastAsia="Lucida Sans Unicode" w:hAnsi="Times New Roman"/>
                <w:kern w:val="1"/>
                <w:sz w:val="20"/>
                <w:szCs w:val="20"/>
                <w:lang w:eastAsia="ar-SA"/>
              </w:rPr>
              <w:t>В.1.3.1.Будівництво нових, реконструкція, капітальний ремонт, модернізація мереж централізованої системи водопостачання, водовідведення та каналізація.</w:t>
            </w:r>
          </w:p>
        </w:tc>
        <w:tc>
          <w:tcPr>
            <w:tcW w:w="2835" w:type="dxa"/>
            <w:shd w:val="clear" w:color="auto" w:fill="auto"/>
          </w:tcPr>
          <w:p w14:paraId="370C0A39" w14:textId="0B3B8290" w:rsidR="00A86C30" w:rsidRPr="000413EB" w:rsidRDefault="00D80C9D" w:rsidP="000413EB">
            <w:pPr>
              <w:jc w:val="both"/>
              <w:rPr>
                <w:rFonts w:ascii="Times New Roman" w:hAnsi="Times New Roman"/>
                <w:sz w:val="20"/>
                <w:szCs w:val="20"/>
                <w:lang w:eastAsia="it-IT"/>
              </w:rPr>
            </w:pPr>
            <w:r w:rsidRPr="000413EB">
              <w:rPr>
                <w:rFonts w:ascii="Times New Roman" w:hAnsi="Times New Roman"/>
                <w:sz w:val="20"/>
                <w:szCs w:val="20"/>
                <w:lang w:eastAsia="it-IT"/>
              </w:rPr>
              <w:t>Нове будівництво розвідувально-експлуатаційної свердловини в селі Лопатинці, Жмеринського району, Вінницької області</w:t>
            </w:r>
          </w:p>
        </w:tc>
        <w:tc>
          <w:tcPr>
            <w:tcW w:w="1276" w:type="dxa"/>
            <w:shd w:val="clear" w:color="auto" w:fill="auto"/>
          </w:tcPr>
          <w:p w14:paraId="63F10CC3" w14:textId="1358D881" w:rsidR="00A86C30" w:rsidRPr="000413EB" w:rsidRDefault="00D80C9D" w:rsidP="000413EB">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2025-2026</w:t>
            </w:r>
          </w:p>
        </w:tc>
        <w:tc>
          <w:tcPr>
            <w:tcW w:w="2345" w:type="dxa"/>
            <w:shd w:val="clear" w:color="auto" w:fill="auto"/>
          </w:tcPr>
          <w:p w14:paraId="31838FCC" w14:textId="5B8CF615" w:rsidR="00A86C30" w:rsidRPr="000413EB" w:rsidRDefault="00D80C9D" w:rsidP="000413EB">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Управління житлово-комунального господарства міської ради</w:t>
            </w:r>
          </w:p>
        </w:tc>
        <w:tc>
          <w:tcPr>
            <w:tcW w:w="2900" w:type="dxa"/>
            <w:shd w:val="clear" w:color="auto" w:fill="auto"/>
          </w:tcPr>
          <w:p w14:paraId="1F3061B9" w14:textId="03DE7788" w:rsidR="00A86C30" w:rsidRPr="000413EB" w:rsidRDefault="00D80C9D" w:rsidP="000413EB">
            <w:pPr>
              <w:jc w:val="both"/>
              <w:rPr>
                <w:rFonts w:ascii="Times New Roman" w:hAnsi="Times New Roman"/>
                <w:sz w:val="20"/>
                <w:szCs w:val="20"/>
                <w:lang w:eastAsia="it-IT"/>
              </w:rPr>
            </w:pPr>
            <w:r w:rsidRPr="000413EB">
              <w:rPr>
                <w:rFonts w:ascii="Times New Roman" w:hAnsi="Times New Roman"/>
                <w:sz w:val="20"/>
                <w:szCs w:val="20"/>
                <w:lang w:eastAsia="it-IT"/>
              </w:rPr>
              <w:t>Будівництво свердловини з дебетом 8 м3 води на годину дасть можливість продуктивно функціонувати водопровідній мер</w:t>
            </w:r>
            <w:r w:rsidR="007B189E">
              <w:rPr>
                <w:rFonts w:ascii="Times New Roman" w:hAnsi="Times New Roman"/>
                <w:sz w:val="20"/>
                <w:szCs w:val="20"/>
                <w:lang w:eastAsia="it-IT"/>
              </w:rPr>
              <w:t>ежі. При впроваджені даного проє</w:t>
            </w:r>
            <w:r w:rsidRPr="000413EB">
              <w:rPr>
                <w:rFonts w:ascii="Times New Roman" w:hAnsi="Times New Roman"/>
                <w:sz w:val="20"/>
                <w:szCs w:val="20"/>
                <w:lang w:eastAsia="it-IT"/>
              </w:rPr>
              <w:t>кту 700 жителів села будуть забезпечені якісною водою та в достатній кількості.</w:t>
            </w:r>
          </w:p>
        </w:tc>
      </w:tr>
      <w:tr w:rsidR="00D80C9D" w:rsidRPr="000413EB" w14:paraId="59E89E83" w14:textId="77777777" w:rsidTr="000413EB">
        <w:tc>
          <w:tcPr>
            <w:tcW w:w="567" w:type="dxa"/>
            <w:shd w:val="clear" w:color="auto" w:fill="auto"/>
          </w:tcPr>
          <w:p w14:paraId="33EF4B84" w14:textId="272A66F6" w:rsidR="00D80C9D"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30</w:t>
            </w:r>
          </w:p>
        </w:tc>
        <w:tc>
          <w:tcPr>
            <w:tcW w:w="2694" w:type="dxa"/>
            <w:shd w:val="clear" w:color="auto" w:fill="auto"/>
          </w:tcPr>
          <w:p w14:paraId="7E30E296" w14:textId="07779D5A" w:rsidR="00D80C9D" w:rsidRPr="000413EB" w:rsidRDefault="00D80C9D" w:rsidP="000413EB">
            <w:pPr>
              <w:jc w:val="both"/>
              <w:rPr>
                <w:rFonts w:ascii="Times New Roman" w:hAnsi="Times New Roman"/>
                <w:bCs/>
                <w:sz w:val="20"/>
                <w:szCs w:val="20"/>
                <w:lang w:eastAsia="uk-UA"/>
              </w:rPr>
            </w:pPr>
            <w:r w:rsidRPr="000413EB">
              <w:rPr>
                <w:rFonts w:ascii="Times New Roman" w:hAnsi="Times New Roman"/>
                <w:bCs/>
                <w:sz w:val="20"/>
                <w:szCs w:val="20"/>
                <w:lang w:eastAsia="uk-UA"/>
              </w:rPr>
              <w:t>В.1.3 Модернізація інженерних мереж</w:t>
            </w:r>
          </w:p>
        </w:tc>
        <w:tc>
          <w:tcPr>
            <w:tcW w:w="2551" w:type="dxa"/>
            <w:shd w:val="clear" w:color="auto" w:fill="auto"/>
          </w:tcPr>
          <w:p w14:paraId="34719A51" w14:textId="12DC3640" w:rsidR="00D80C9D" w:rsidRPr="000413EB" w:rsidRDefault="00D80C9D" w:rsidP="000413EB">
            <w:pPr>
              <w:suppressAutoHyphens/>
              <w:jc w:val="both"/>
              <w:rPr>
                <w:rFonts w:ascii="Times New Roman" w:eastAsia="Lucida Sans Unicode" w:hAnsi="Times New Roman"/>
                <w:kern w:val="1"/>
                <w:sz w:val="20"/>
                <w:szCs w:val="20"/>
                <w:lang w:eastAsia="ar-SA"/>
              </w:rPr>
            </w:pPr>
            <w:r w:rsidRPr="000413EB">
              <w:rPr>
                <w:rFonts w:ascii="Times New Roman" w:eastAsia="Lucida Sans Unicode" w:hAnsi="Times New Roman"/>
                <w:kern w:val="1"/>
                <w:sz w:val="20"/>
                <w:szCs w:val="20"/>
                <w:lang w:eastAsia="ar-SA"/>
              </w:rPr>
              <w:t>В.1.3.1.Будівництво нових, реконструкція, капітальний ремонт, модернізація мереж централізованої системи водопостачання, водовідведення та каналізація.</w:t>
            </w:r>
          </w:p>
        </w:tc>
        <w:tc>
          <w:tcPr>
            <w:tcW w:w="2835" w:type="dxa"/>
            <w:shd w:val="clear" w:color="auto" w:fill="auto"/>
          </w:tcPr>
          <w:p w14:paraId="0539D8CA" w14:textId="1276D6D4" w:rsidR="00D80C9D" w:rsidRPr="000413EB" w:rsidRDefault="00D80C9D" w:rsidP="000413EB">
            <w:pPr>
              <w:jc w:val="both"/>
              <w:rPr>
                <w:rFonts w:ascii="Times New Roman" w:hAnsi="Times New Roman"/>
                <w:sz w:val="20"/>
                <w:szCs w:val="20"/>
                <w:lang w:eastAsia="it-IT"/>
              </w:rPr>
            </w:pPr>
            <w:r w:rsidRPr="000413EB">
              <w:rPr>
                <w:rFonts w:ascii="Times New Roman" w:hAnsi="Times New Roman"/>
                <w:sz w:val="20"/>
                <w:szCs w:val="20"/>
                <w:lang w:eastAsia="it-IT"/>
              </w:rPr>
              <w:t>Нове будівництво розвідувально-експлуатаційної свердловини по вулиці Козацька в селищі Браїлів, Жмеринського району, Вінницької області</w:t>
            </w:r>
          </w:p>
        </w:tc>
        <w:tc>
          <w:tcPr>
            <w:tcW w:w="1276" w:type="dxa"/>
            <w:shd w:val="clear" w:color="auto" w:fill="auto"/>
          </w:tcPr>
          <w:p w14:paraId="173E7C2D" w14:textId="0CF3EAD1" w:rsidR="00D80C9D" w:rsidRPr="000413EB" w:rsidRDefault="00D80C9D" w:rsidP="000413EB">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2026</w:t>
            </w:r>
          </w:p>
        </w:tc>
        <w:tc>
          <w:tcPr>
            <w:tcW w:w="2345" w:type="dxa"/>
            <w:shd w:val="clear" w:color="auto" w:fill="auto"/>
          </w:tcPr>
          <w:p w14:paraId="532E8611" w14:textId="623E5801" w:rsidR="00D80C9D" w:rsidRPr="000413EB" w:rsidRDefault="00D80C9D" w:rsidP="000413EB">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Управління житлово-комунального господарства міської ради</w:t>
            </w:r>
          </w:p>
        </w:tc>
        <w:tc>
          <w:tcPr>
            <w:tcW w:w="2900" w:type="dxa"/>
            <w:shd w:val="clear" w:color="auto" w:fill="auto"/>
          </w:tcPr>
          <w:p w14:paraId="3ADA0B19" w14:textId="54D3B0DB" w:rsidR="00D80C9D" w:rsidRPr="000413EB" w:rsidRDefault="00D80C9D" w:rsidP="000413EB">
            <w:pPr>
              <w:jc w:val="both"/>
              <w:rPr>
                <w:rFonts w:ascii="Times New Roman" w:hAnsi="Times New Roman"/>
                <w:sz w:val="20"/>
                <w:szCs w:val="20"/>
                <w:lang w:eastAsia="it-IT"/>
              </w:rPr>
            </w:pPr>
            <w:r w:rsidRPr="000413EB">
              <w:rPr>
                <w:rFonts w:ascii="Times New Roman" w:hAnsi="Times New Roman"/>
                <w:sz w:val="20"/>
                <w:szCs w:val="20"/>
                <w:lang w:eastAsia="it-IT"/>
              </w:rPr>
              <w:t>Будівництво свердловини з дебетом 8 м3 води на годину дасть можливість продуктивно функціонувати водопровідній мер</w:t>
            </w:r>
            <w:r w:rsidR="007B189E">
              <w:rPr>
                <w:rFonts w:ascii="Times New Roman" w:hAnsi="Times New Roman"/>
                <w:sz w:val="20"/>
                <w:szCs w:val="20"/>
                <w:lang w:eastAsia="it-IT"/>
              </w:rPr>
              <w:t>ежі. При впроваджені даного проє</w:t>
            </w:r>
            <w:r w:rsidRPr="000413EB">
              <w:rPr>
                <w:rFonts w:ascii="Times New Roman" w:hAnsi="Times New Roman"/>
                <w:sz w:val="20"/>
                <w:szCs w:val="20"/>
                <w:lang w:eastAsia="it-IT"/>
              </w:rPr>
              <w:t>кту 1,1 жителів селища будуть забезпечені якісною водою та в достатній кількості</w:t>
            </w:r>
            <w:r w:rsidR="004D364B">
              <w:rPr>
                <w:rFonts w:ascii="Times New Roman" w:hAnsi="Times New Roman"/>
                <w:sz w:val="20"/>
                <w:szCs w:val="20"/>
                <w:lang w:eastAsia="it-IT"/>
              </w:rPr>
              <w:t>.</w:t>
            </w:r>
          </w:p>
        </w:tc>
      </w:tr>
      <w:tr w:rsidR="00BB6EDD" w:rsidRPr="000413EB" w14:paraId="4C577C3F" w14:textId="77777777" w:rsidTr="000413EB">
        <w:tc>
          <w:tcPr>
            <w:tcW w:w="567" w:type="dxa"/>
            <w:shd w:val="clear" w:color="auto" w:fill="auto"/>
          </w:tcPr>
          <w:p w14:paraId="39B2FADF" w14:textId="20BCA510" w:rsidR="00BB6EDD"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31</w:t>
            </w:r>
          </w:p>
        </w:tc>
        <w:tc>
          <w:tcPr>
            <w:tcW w:w="2694" w:type="dxa"/>
            <w:shd w:val="clear" w:color="auto" w:fill="auto"/>
          </w:tcPr>
          <w:p w14:paraId="224F22D7" w14:textId="7A28D767" w:rsidR="00BB6EDD" w:rsidRPr="000413EB" w:rsidRDefault="00BB6EDD" w:rsidP="000413EB">
            <w:pPr>
              <w:jc w:val="both"/>
              <w:rPr>
                <w:rFonts w:ascii="Times New Roman" w:hAnsi="Times New Roman"/>
                <w:bCs/>
                <w:sz w:val="20"/>
                <w:szCs w:val="20"/>
                <w:lang w:eastAsia="uk-UA"/>
              </w:rPr>
            </w:pPr>
            <w:r w:rsidRPr="000413EB">
              <w:rPr>
                <w:rFonts w:ascii="Times New Roman" w:hAnsi="Times New Roman"/>
                <w:bCs/>
                <w:sz w:val="20"/>
                <w:szCs w:val="20"/>
                <w:lang w:eastAsia="uk-UA"/>
              </w:rPr>
              <w:t>В.1.3 Модернізація інженерних мереж</w:t>
            </w:r>
          </w:p>
        </w:tc>
        <w:tc>
          <w:tcPr>
            <w:tcW w:w="2551" w:type="dxa"/>
            <w:shd w:val="clear" w:color="auto" w:fill="auto"/>
          </w:tcPr>
          <w:p w14:paraId="50F8662D" w14:textId="0BDC744C" w:rsidR="00BB6EDD" w:rsidRPr="000413EB" w:rsidRDefault="00BB6EDD" w:rsidP="000413EB">
            <w:pPr>
              <w:suppressAutoHyphens/>
              <w:jc w:val="both"/>
              <w:rPr>
                <w:rFonts w:ascii="Times New Roman" w:eastAsia="Lucida Sans Unicode" w:hAnsi="Times New Roman"/>
                <w:kern w:val="1"/>
                <w:sz w:val="20"/>
                <w:szCs w:val="20"/>
                <w:lang w:eastAsia="ar-SA"/>
              </w:rPr>
            </w:pPr>
            <w:r w:rsidRPr="000413EB">
              <w:rPr>
                <w:rFonts w:ascii="Times New Roman" w:eastAsia="Lucida Sans Unicode" w:hAnsi="Times New Roman"/>
                <w:kern w:val="1"/>
                <w:sz w:val="20"/>
                <w:szCs w:val="20"/>
                <w:lang w:eastAsia="ar-SA"/>
              </w:rPr>
              <w:t>В.1.3.1.Будівництво нових, реконструкція, капітальний ремонт, модернізація мереж централізованої системи водопостачання, водовідведення та каналізація.</w:t>
            </w:r>
          </w:p>
        </w:tc>
        <w:tc>
          <w:tcPr>
            <w:tcW w:w="2835" w:type="dxa"/>
            <w:shd w:val="clear" w:color="auto" w:fill="auto"/>
          </w:tcPr>
          <w:p w14:paraId="64749E8B" w14:textId="4F1427C9" w:rsidR="00BB6EDD" w:rsidRPr="000413EB" w:rsidRDefault="00BB6EDD" w:rsidP="000413EB">
            <w:pPr>
              <w:jc w:val="both"/>
              <w:rPr>
                <w:rFonts w:ascii="Times New Roman" w:hAnsi="Times New Roman"/>
                <w:sz w:val="20"/>
                <w:szCs w:val="20"/>
                <w:lang w:eastAsia="it-IT"/>
              </w:rPr>
            </w:pPr>
            <w:r w:rsidRPr="000413EB">
              <w:rPr>
                <w:rFonts w:ascii="Times New Roman" w:hAnsi="Times New Roman"/>
                <w:sz w:val="20"/>
                <w:szCs w:val="20"/>
                <w:lang w:eastAsia="it-IT"/>
              </w:rPr>
              <w:t>Нове будівництво розвідувально-експлуатаційної свердловини в селі Сьомаки, Жмеринського району, Вінницької області</w:t>
            </w:r>
          </w:p>
        </w:tc>
        <w:tc>
          <w:tcPr>
            <w:tcW w:w="1276" w:type="dxa"/>
            <w:shd w:val="clear" w:color="auto" w:fill="auto"/>
          </w:tcPr>
          <w:p w14:paraId="68F31E4C" w14:textId="55B04ABF" w:rsidR="00BB6EDD" w:rsidRPr="000413EB" w:rsidRDefault="00BB6EDD" w:rsidP="000413EB">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2026-2027</w:t>
            </w:r>
          </w:p>
        </w:tc>
        <w:tc>
          <w:tcPr>
            <w:tcW w:w="2345" w:type="dxa"/>
            <w:shd w:val="clear" w:color="auto" w:fill="auto"/>
          </w:tcPr>
          <w:p w14:paraId="51DE47B7" w14:textId="7395F37C" w:rsidR="00BB6EDD" w:rsidRPr="000413EB" w:rsidRDefault="00BB6EDD" w:rsidP="000413EB">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Управління житлово-комунального господарства міської ради</w:t>
            </w:r>
          </w:p>
        </w:tc>
        <w:tc>
          <w:tcPr>
            <w:tcW w:w="2900" w:type="dxa"/>
            <w:shd w:val="clear" w:color="auto" w:fill="auto"/>
          </w:tcPr>
          <w:p w14:paraId="577205DB" w14:textId="53607EC6" w:rsidR="00BB6EDD" w:rsidRPr="000413EB" w:rsidRDefault="00BB6EDD" w:rsidP="000413EB">
            <w:pPr>
              <w:jc w:val="both"/>
              <w:rPr>
                <w:rFonts w:ascii="Times New Roman" w:hAnsi="Times New Roman"/>
                <w:sz w:val="20"/>
                <w:szCs w:val="20"/>
                <w:lang w:eastAsia="it-IT"/>
              </w:rPr>
            </w:pPr>
            <w:r w:rsidRPr="000413EB">
              <w:rPr>
                <w:rFonts w:ascii="Times New Roman" w:hAnsi="Times New Roman"/>
                <w:sz w:val="20"/>
                <w:szCs w:val="20"/>
                <w:lang w:eastAsia="it-IT"/>
              </w:rPr>
              <w:t>Будівництво свердловини з дебетом 8 м3 води на годину дасть можливість продуктивно функціонувати водопровідній мер</w:t>
            </w:r>
            <w:r w:rsidR="007B189E">
              <w:rPr>
                <w:rFonts w:ascii="Times New Roman" w:hAnsi="Times New Roman"/>
                <w:sz w:val="20"/>
                <w:szCs w:val="20"/>
                <w:lang w:eastAsia="it-IT"/>
              </w:rPr>
              <w:t>ежі. При впроваджені даного проє</w:t>
            </w:r>
            <w:r w:rsidRPr="000413EB">
              <w:rPr>
                <w:rFonts w:ascii="Times New Roman" w:hAnsi="Times New Roman"/>
                <w:sz w:val="20"/>
                <w:szCs w:val="20"/>
                <w:lang w:eastAsia="it-IT"/>
              </w:rPr>
              <w:t>кту 800 жителів селища будуть забезпечені якісною водою та в достатній кількості.</w:t>
            </w:r>
          </w:p>
        </w:tc>
      </w:tr>
      <w:tr w:rsidR="00085424" w:rsidRPr="000413EB" w14:paraId="2613DFAC" w14:textId="77777777" w:rsidTr="000413EB">
        <w:tc>
          <w:tcPr>
            <w:tcW w:w="567" w:type="dxa"/>
            <w:shd w:val="clear" w:color="auto" w:fill="auto"/>
          </w:tcPr>
          <w:p w14:paraId="7C96E30F" w14:textId="00152B69" w:rsidR="00085424"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32</w:t>
            </w:r>
          </w:p>
        </w:tc>
        <w:tc>
          <w:tcPr>
            <w:tcW w:w="2694" w:type="dxa"/>
            <w:shd w:val="clear" w:color="auto" w:fill="auto"/>
          </w:tcPr>
          <w:p w14:paraId="4391BD8C" w14:textId="47A0E7D2" w:rsidR="00085424" w:rsidRPr="000413EB" w:rsidRDefault="00085424" w:rsidP="000413EB">
            <w:pPr>
              <w:jc w:val="both"/>
              <w:rPr>
                <w:rFonts w:ascii="Times New Roman" w:hAnsi="Times New Roman"/>
                <w:bCs/>
                <w:sz w:val="20"/>
                <w:szCs w:val="20"/>
                <w:lang w:eastAsia="uk-UA"/>
              </w:rPr>
            </w:pPr>
            <w:r w:rsidRPr="000413EB">
              <w:rPr>
                <w:rFonts w:ascii="Times New Roman" w:hAnsi="Times New Roman"/>
                <w:bCs/>
                <w:sz w:val="20"/>
                <w:szCs w:val="20"/>
                <w:lang w:eastAsia="uk-UA"/>
              </w:rPr>
              <w:t>В.1.3 Модернізація інженерних мереж</w:t>
            </w:r>
          </w:p>
        </w:tc>
        <w:tc>
          <w:tcPr>
            <w:tcW w:w="2551" w:type="dxa"/>
            <w:shd w:val="clear" w:color="auto" w:fill="auto"/>
          </w:tcPr>
          <w:p w14:paraId="49216A84" w14:textId="02EA37F6" w:rsidR="00085424" w:rsidRPr="000413EB" w:rsidRDefault="00085424" w:rsidP="000413EB">
            <w:pPr>
              <w:suppressAutoHyphens/>
              <w:jc w:val="both"/>
              <w:rPr>
                <w:rFonts w:ascii="Times New Roman" w:eastAsia="Lucida Sans Unicode" w:hAnsi="Times New Roman"/>
                <w:kern w:val="1"/>
                <w:sz w:val="20"/>
                <w:szCs w:val="20"/>
                <w:lang w:eastAsia="ar-SA"/>
              </w:rPr>
            </w:pPr>
            <w:r w:rsidRPr="000413EB">
              <w:rPr>
                <w:rFonts w:ascii="Times New Roman" w:eastAsia="Lucida Sans Unicode" w:hAnsi="Times New Roman"/>
                <w:kern w:val="1"/>
                <w:sz w:val="20"/>
                <w:szCs w:val="20"/>
                <w:lang w:eastAsia="ar-SA"/>
              </w:rPr>
              <w:t>В.1.3.1.Будівництво нових, реконструкція, капітальний ремонт, модернізація мереж централізованої системи водопостачання, водовідведення та каналізація.</w:t>
            </w:r>
          </w:p>
        </w:tc>
        <w:tc>
          <w:tcPr>
            <w:tcW w:w="2835" w:type="dxa"/>
            <w:shd w:val="clear" w:color="auto" w:fill="auto"/>
          </w:tcPr>
          <w:p w14:paraId="22002ECF" w14:textId="7311A353" w:rsidR="00085424" w:rsidRPr="000413EB" w:rsidRDefault="00085424" w:rsidP="000413EB">
            <w:pPr>
              <w:jc w:val="both"/>
              <w:rPr>
                <w:rFonts w:ascii="Times New Roman" w:hAnsi="Times New Roman"/>
                <w:sz w:val="20"/>
                <w:szCs w:val="20"/>
                <w:lang w:eastAsia="it-IT"/>
              </w:rPr>
            </w:pPr>
            <w:r w:rsidRPr="000413EB">
              <w:rPr>
                <w:rFonts w:ascii="Times New Roman" w:hAnsi="Times New Roman"/>
                <w:sz w:val="20"/>
                <w:szCs w:val="20"/>
                <w:lang w:eastAsia="it-IT"/>
              </w:rPr>
              <w:t>Нове будівництво розвідувально-експлуатаційної свердловини в селі Людавка, Жмеринського району, Вінницької області</w:t>
            </w:r>
          </w:p>
        </w:tc>
        <w:tc>
          <w:tcPr>
            <w:tcW w:w="1276" w:type="dxa"/>
            <w:shd w:val="clear" w:color="auto" w:fill="auto"/>
          </w:tcPr>
          <w:p w14:paraId="7C108167" w14:textId="50C198AE" w:rsidR="00085424" w:rsidRPr="000413EB" w:rsidRDefault="00CA175B" w:rsidP="000413EB">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2026</w:t>
            </w:r>
          </w:p>
        </w:tc>
        <w:tc>
          <w:tcPr>
            <w:tcW w:w="2345" w:type="dxa"/>
            <w:shd w:val="clear" w:color="auto" w:fill="auto"/>
          </w:tcPr>
          <w:p w14:paraId="20415431" w14:textId="0C49DC25" w:rsidR="00085424" w:rsidRPr="000413EB" w:rsidRDefault="00CA175B" w:rsidP="000413EB">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Управління житлово-комунального господарства міської ради</w:t>
            </w:r>
          </w:p>
        </w:tc>
        <w:tc>
          <w:tcPr>
            <w:tcW w:w="2900" w:type="dxa"/>
            <w:shd w:val="clear" w:color="auto" w:fill="auto"/>
          </w:tcPr>
          <w:p w14:paraId="05479460" w14:textId="02EC4AA9" w:rsidR="00085424" w:rsidRPr="000413EB" w:rsidRDefault="00CA175B" w:rsidP="000413EB">
            <w:pPr>
              <w:jc w:val="both"/>
              <w:rPr>
                <w:rFonts w:ascii="Times New Roman" w:hAnsi="Times New Roman"/>
                <w:sz w:val="20"/>
                <w:szCs w:val="20"/>
                <w:lang w:eastAsia="it-IT"/>
              </w:rPr>
            </w:pPr>
            <w:r w:rsidRPr="000413EB">
              <w:rPr>
                <w:rFonts w:ascii="Times New Roman" w:hAnsi="Times New Roman"/>
                <w:sz w:val="20"/>
                <w:szCs w:val="20"/>
                <w:lang w:eastAsia="it-IT"/>
              </w:rPr>
              <w:t>Будівництво свердловини з дебетом 8 м3 води на годину дасть можливість продуктивно функціонувати водопровідній мер</w:t>
            </w:r>
            <w:r w:rsidR="007B189E">
              <w:rPr>
                <w:rFonts w:ascii="Times New Roman" w:hAnsi="Times New Roman"/>
                <w:sz w:val="20"/>
                <w:szCs w:val="20"/>
                <w:lang w:eastAsia="it-IT"/>
              </w:rPr>
              <w:t>ежі. При впроваджені даного проє</w:t>
            </w:r>
            <w:r w:rsidRPr="000413EB">
              <w:rPr>
                <w:rFonts w:ascii="Times New Roman" w:hAnsi="Times New Roman"/>
                <w:sz w:val="20"/>
                <w:szCs w:val="20"/>
                <w:lang w:eastAsia="it-IT"/>
              </w:rPr>
              <w:t>кту 750 жителів села будуть забезпечені якісною водою та в достатній кількості.</w:t>
            </w:r>
          </w:p>
        </w:tc>
      </w:tr>
      <w:tr w:rsidR="00BB6EDD" w:rsidRPr="000413EB" w14:paraId="40A20488" w14:textId="77777777" w:rsidTr="000413EB">
        <w:tc>
          <w:tcPr>
            <w:tcW w:w="567" w:type="dxa"/>
            <w:shd w:val="clear" w:color="auto" w:fill="auto"/>
          </w:tcPr>
          <w:p w14:paraId="59E74797" w14:textId="472F1164" w:rsidR="00BB6EDD"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33</w:t>
            </w:r>
          </w:p>
        </w:tc>
        <w:tc>
          <w:tcPr>
            <w:tcW w:w="2694" w:type="dxa"/>
            <w:shd w:val="clear" w:color="auto" w:fill="auto"/>
          </w:tcPr>
          <w:p w14:paraId="18B24C71" w14:textId="06E0D642" w:rsidR="00BB6EDD" w:rsidRPr="000413EB" w:rsidRDefault="00BB6EDD" w:rsidP="000413EB">
            <w:pPr>
              <w:jc w:val="both"/>
              <w:rPr>
                <w:rFonts w:ascii="Times New Roman" w:hAnsi="Times New Roman"/>
                <w:bCs/>
                <w:sz w:val="20"/>
                <w:szCs w:val="20"/>
                <w:lang w:eastAsia="uk-UA"/>
              </w:rPr>
            </w:pPr>
            <w:r w:rsidRPr="000413EB">
              <w:rPr>
                <w:rFonts w:ascii="Times New Roman" w:hAnsi="Times New Roman"/>
                <w:sz w:val="20"/>
                <w:szCs w:val="20"/>
              </w:rPr>
              <w:t>Реконструкція мереж водовідведення в селищі Браїлів, Жмеринського району, Вінницької області</w:t>
            </w:r>
          </w:p>
        </w:tc>
        <w:tc>
          <w:tcPr>
            <w:tcW w:w="2551" w:type="dxa"/>
            <w:shd w:val="clear" w:color="auto" w:fill="auto"/>
          </w:tcPr>
          <w:p w14:paraId="0B2B43B3" w14:textId="7A885DEA" w:rsidR="00BB6EDD" w:rsidRPr="000413EB" w:rsidRDefault="00BB6EDD" w:rsidP="000413EB">
            <w:pPr>
              <w:suppressAutoHyphens/>
              <w:jc w:val="both"/>
              <w:rPr>
                <w:rFonts w:ascii="Times New Roman" w:eastAsia="Lucida Sans Unicode" w:hAnsi="Times New Roman"/>
                <w:kern w:val="1"/>
                <w:sz w:val="20"/>
                <w:szCs w:val="20"/>
                <w:lang w:eastAsia="ar-SA"/>
              </w:rPr>
            </w:pPr>
            <w:r w:rsidRPr="000413EB">
              <w:rPr>
                <w:rFonts w:ascii="Times New Roman" w:hAnsi="Times New Roman"/>
                <w:sz w:val="20"/>
                <w:szCs w:val="20"/>
              </w:rPr>
              <w:t>Реконструкція мереж водовідведення в селищі Браїлів, Жмеринського району, Вінницької області</w:t>
            </w:r>
          </w:p>
        </w:tc>
        <w:tc>
          <w:tcPr>
            <w:tcW w:w="2835" w:type="dxa"/>
            <w:shd w:val="clear" w:color="auto" w:fill="auto"/>
          </w:tcPr>
          <w:p w14:paraId="15D0E9CB" w14:textId="65D31273" w:rsidR="00BB6EDD" w:rsidRPr="000413EB" w:rsidRDefault="00BB6EDD" w:rsidP="000413EB">
            <w:pPr>
              <w:jc w:val="both"/>
              <w:rPr>
                <w:rFonts w:ascii="Times New Roman" w:hAnsi="Times New Roman"/>
                <w:sz w:val="20"/>
                <w:szCs w:val="20"/>
                <w:lang w:eastAsia="it-IT"/>
              </w:rPr>
            </w:pPr>
            <w:r w:rsidRPr="000413EB">
              <w:rPr>
                <w:rFonts w:ascii="Times New Roman" w:hAnsi="Times New Roman"/>
                <w:sz w:val="20"/>
                <w:szCs w:val="20"/>
                <w:lang w:eastAsia="it-IT"/>
              </w:rPr>
              <w:t>Реконструкція мереж водовідведення в селищі Браїлів, Жмеринського району, Вінницької області</w:t>
            </w:r>
          </w:p>
        </w:tc>
        <w:tc>
          <w:tcPr>
            <w:tcW w:w="1276" w:type="dxa"/>
            <w:shd w:val="clear" w:color="auto" w:fill="auto"/>
          </w:tcPr>
          <w:p w14:paraId="0AA5DA54" w14:textId="0B1A3C74" w:rsidR="00BB6EDD" w:rsidRPr="000413EB" w:rsidRDefault="00BB6EDD" w:rsidP="000413EB">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2026-2027</w:t>
            </w:r>
          </w:p>
        </w:tc>
        <w:tc>
          <w:tcPr>
            <w:tcW w:w="2345" w:type="dxa"/>
            <w:shd w:val="clear" w:color="auto" w:fill="auto"/>
          </w:tcPr>
          <w:p w14:paraId="17B58A3B" w14:textId="19DEF31D" w:rsidR="00BB6EDD" w:rsidRPr="000413EB" w:rsidRDefault="00BB6EDD" w:rsidP="000413EB">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Управління житлово-комунального господарства міської ради</w:t>
            </w:r>
          </w:p>
        </w:tc>
        <w:tc>
          <w:tcPr>
            <w:tcW w:w="2900" w:type="dxa"/>
            <w:shd w:val="clear" w:color="auto" w:fill="auto"/>
          </w:tcPr>
          <w:p w14:paraId="2A84B860" w14:textId="7B6B0CB7" w:rsidR="00BB6EDD" w:rsidRPr="000413EB" w:rsidRDefault="00BB6EDD" w:rsidP="004D364B">
            <w:pPr>
              <w:jc w:val="both"/>
              <w:rPr>
                <w:rFonts w:ascii="Times New Roman" w:hAnsi="Times New Roman"/>
                <w:sz w:val="20"/>
                <w:szCs w:val="20"/>
                <w:lang w:eastAsia="it-IT"/>
              </w:rPr>
            </w:pPr>
            <w:r w:rsidRPr="000413EB">
              <w:rPr>
                <w:rFonts w:ascii="Times New Roman" w:hAnsi="Times New Roman"/>
                <w:sz w:val="20"/>
                <w:szCs w:val="20"/>
                <w:lang w:eastAsia="it-IT"/>
              </w:rPr>
              <w:t xml:space="preserve">Реконструкція мереж водовідведення орієнтовною довжиною 6 км. Ліквідація ризику неочищених стічних вод у ґрунт, </w:t>
            </w:r>
            <w:r w:rsidR="004D364B">
              <w:rPr>
                <w:rFonts w:ascii="Times New Roman" w:hAnsi="Times New Roman"/>
                <w:sz w:val="20"/>
                <w:szCs w:val="20"/>
                <w:lang w:eastAsia="it-IT"/>
              </w:rPr>
              <w:t xml:space="preserve">підземні та наземні води, ліси </w:t>
            </w:r>
            <w:r w:rsidRPr="000413EB">
              <w:rPr>
                <w:rFonts w:ascii="Times New Roman" w:hAnsi="Times New Roman"/>
                <w:sz w:val="20"/>
                <w:szCs w:val="20"/>
                <w:lang w:eastAsia="it-IT"/>
              </w:rPr>
              <w:t xml:space="preserve"> т</w:t>
            </w:r>
            <w:r w:rsidR="004D364B">
              <w:rPr>
                <w:rFonts w:ascii="Times New Roman" w:hAnsi="Times New Roman"/>
                <w:sz w:val="20"/>
                <w:szCs w:val="20"/>
                <w:lang w:eastAsia="it-IT"/>
              </w:rPr>
              <w:t>ощо</w:t>
            </w:r>
            <w:r w:rsidRPr="000413EB">
              <w:rPr>
                <w:rFonts w:ascii="Times New Roman" w:hAnsi="Times New Roman"/>
                <w:sz w:val="20"/>
                <w:szCs w:val="20"/>
                <w:lang w:eastAsia="it-IT"/>
              </w:rPr>
              <w:t>, покращення стану навколишнього природного середовища.</w:t>
            </w:r>
            <w:r w:rsidR="004D364B">
              <w:rPr>
                <w:rFonts w:ascii="Times New Roman" w:hAnsi="Times New Roman"/>
                <w:sz w:val="20"/>
                <w:szCs w:val="20"/>
                <w:lang w:eastAsia="it-IT"/>
              </w:rPr>
              <w:t xml:space="preserve"> Надання 2,5 тис. мешканцям сели</w:t>
            </w:r>
            <w:r w:rsidRPr="000413EB">
              <w:rPr>
                <w:rFonts w:ascii="Times New Roman" w:hAnsi="Times New Roman"/>
                <w:sz w:val="20"/>
                <w:szCs w:val="20"/>
                <w:lang w:eastAsia="it-IT"/>
              </w:rPr>
              <w:t>ща Браїлів якісних послуг водовідведення.</w:t>
            </w:r>
          </w:p>
        </w:tc>
      </w:tr>
      <w:tr w:rsidR="00BB6EDD" w:rsidRPr="000413EB" w14:paraId="044FC65B" w14:textId="77777777" w:rsidTr="000413EB">
        <w:tc>
          <w:tcPr>
            <w:tcW w:w="567" w:type="dxa"/>
            <w:shd w:val="clear" w:color="auto" w:fill="auto"/>
          </w:tcPr>
          <w:p w14:paraId="711DE76C" w14:textId="73BB16A6" w:rsidR="00BB6EDD"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34</w:t>
            </w:r>
          </w:p>
        </w:tc>
        <w:tc>
          <w:tcPr>
            <w:tcW w:w="2694" w:type="dxa"/>
            <w:shd w:val="clear" w:color="auto" w:fill="auto"/>
          </w:tcPr>
          <w:p w14:paraId="234400AA" w14:textId="774D015B" w:rsidR="00BB6EDD" w:rsidRPr="000413EB" w:rsidRDefault="00BB6EDD" w:rsidP="000413EB">
            <w:pPr>
              <w:jc w:val="both"/>
              <w:rPr>
                <w:rFonts w:ascii="Times New Roman" w:hAnsi="Times New Roman"/>
                <w:bCs/>
                <w:sz w:val="20"/>
                <w:szCs w:val="20"/>
                <w:lang w:eastAsia="uk-UA"/>
              </w:rPr>
            </w:pPr>
            <w:r w:rsidRPr="000413EB">
              <w:rPr>
                <w:rFonts w:ascii="Times New Roman" w:hAnsi="Times New Roman"/>
                <w:sz w:val="20"/>
                <w:szCs w:val="20"/>
              </w:rPr>
              <w:t>Реконструкція мереж водовідведення в селищі Браїлів, Жмеринського району, Вінницької області</w:t>
            </w:r>
          </w:p>
        </w:tc>
        <w:tc>
          <w:tcPr>
            <w:tcW w:w="2551" w:type="dxa"/>
            <w:shd w:val="clear" w:color="auto" w:fill="auto"/>
          </w:tcPr>
          <w:p w14:paraId="02DA38ED" w14:textId="6039FB74" w:rsidR="00BB6EDD" w:rsidRPr="000413EB" w:rsidRDefault="00BB6EDD" w:rsidP="000413EB">
            <w:pPr>
              <w:suppressAutoHyphens/>
              <w:jc w:val="both"/>
              <w:rPr>
                <w:rFonts w:ascii="Times New Roman" w:eastAsia="Lucida Sans Unicode" w:hAnsi="Times New Roman"/>
                <w:kern w:val="1"/>
                <w:sz w:val="20"/>
                <w:szCs w:val="20"/>
                <w:lang w:eastAsia="ar-SA"/>
              </w:rPr>
            </w:pPr>
            <w:r w:rsidRPr="000413EB">
              <w:rPr>
                <w:rFonts w:ascii="Times New Roman" w:hAnsi="Times New Roman"/>
                <w:sz w:val="20"/>
                <w:szCs w:val="20"/>
              </w:rPr>
              <w:t>Реконструкція мереж водовідведення в селищі Браїлів, Жмеринського району, Вінницької області</w:t>
            </w:r>
          </w:p>
        </w:tc>
        <w:tc>
          <w:tcPr>
            <w:tcW w:w="2835" w:type="dxa"/>
            <w:shd w:val="clear" w:color="auto" w:fill="auto"/>
          </w:tcPr>
          <w:p w14:paraId="08C6944C" w14:textId="330AB794" w:rsidR="00BB6EDD" w:rsidRPr="000413EB" w:rsidRDefault="00BB6EDD" w:rsidP="000413EB">
            <w:pPr>
              <w:jc w:val="both"/>
              <w:rPr>
                <w:rFonts w:ascii="Times New Roman" w:hAnsi="Times New Roman"/>
                <w:sz w:val="20"/>
                <w:szCs w:val="20"/>
                <w:lang w:eastAsia="it-IT"/>
              </w:rPr>
            </w:pPr>
            <w:r w:rsidRPr="000413EB">
              <w:rPr>
                <w:rFonts w:ascii="Times New Roman" w:hAnsi="Times New Roman"/>
                <w:sz w:val="20"/>
                <w:szCs w:val="20"/>
                <w:lang w:eastAsia="it-IT"/>
              </w:rPr>
              <w:t>Нове будівництво самопливної каналізації по площі Базарній, провулку Хлібний та провулку Базарний в м. Жмеринка</w:t>
            </w:r>
          </w:p>
        </w:tc>
        <w:tc>
          <w:tcPr>
            <w:tcW w:w="1276" w:type="dxa"/>
            <w:shd w:val="clear" w:color="auto" w:fill="auto"/>
          </w:tcPr>
          <w:p w14:paraId="4533E3EE" w14:textId="27B5697E" w:rsidR="00BB6EDD" w:rsidRPr="000413EB" w:rsidRDefault="00BB6EDD" w:rsidP="000413EB">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2026</w:t>
            </w:r>
          </w:p>
        </w:tc>
        <w:tc>
          <w:tcPr>
            <w:tcW w:w="2345" w:type="dxa"/>
            <w:shd w:val="clear" w:color="auto" w:fill="auto"/>
          </w:tcPr>
          <w:p w14:paraId="72BBF465" w14:textId="1FD7599E" w:rsidR="00BB6EDD" w:rsidRPr="000413EB" w:rsidRDefault="00BB6EDD" w:rsidP="000413EB">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Управління житлово-комунального господарства міської ради</w:t>
            </w:r>
          </w:p>
        </w:tc>
        <w:tc>
          <w:tcPr>
            <w:tcW w:w="2900" w:type="dxa"/>
            <w:shd w:val="clear" w:color="auto" w:fill="auto"/>
          </w:tcPr>
          <w:p w14:paraId="2F9BBA88" w14:textId="3F11C4BD" w:rsidR="00BB6EDD" w:rsidRPr="000413EB" w:rsidRDefault="00BB6EDD" w:rsidP="000413EB">
            <w:pPr>
              <w:jc w:val="both"/>
              <w:rPr>
                <w:rFonts w:ascii="Times New Roman" w:hAnsi="Times New Roman"/>
                <w:sz w:val="20"/>
                <w:szCs w:val="20"/>
                <w:lang w:eastAsia="it-IT"/>
              </w:rPr>
            </w:pPr>
            <w:r w:rsidRPr="000413EB">
              <w:rPr>
                <w:rFonts w:ascii="Times New Roman" w:hAnsi="Times New Roman"/>
                <w:sz w:val="20"/>
                <w:szCs w:val="20"/>
                <w:lang w:eastAsia="it-IT"/>
              </w:rPr>
              <w:t>Довжина мережі каналізаційних труб що підлягають монтажу: 240 м</w:t>
            </w:r>
          </w:p>
        </w:tc>
      </w:tr>
      <w:tr w:rsidR="00473CA0" w:rsidRPr="000413EB" w14:paraId="56A84C8B" w14:textId="77777777" w:rsidTr="000413EB">
        <w:tc>
          <w:tcPr>
            <w:tcW w:w="567" w:type="dxa"/>
            <w:shd w:val="clear" w:color="auto" w:fill="auto"/>
          </w:tcPr>
          <w:p w14:paraId="351077FC" w14:textId="6B60C64E" w:rsidR="00473CA0"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35</w:t>
            </w:r>
          </w:p>
        </w:tc>
        <w:tc>
          <w:tcPr>
            <w:tcW w:w="2694" w:type="dxa"/>
            <w:shd w:val="clear" w:color="auto" w:fill="auto"/>
          </w:tcPr>
          <w:p w14:paraId="53D7C8A6" w14:textId="77777777" w:rsidR="00473CA0" w:rsidRPr="000413EB" w:rsidRDefault="00473CA0" w:rsidP="000413EB">
            <w:pPr>
              <w:jc w:val="both"/>
              <w:rPr>
                <w:rFonts w:ascii="Times New Roman" w:hAnsi="Times New Roman"/>
                <w:bCs/>
                <w:sz w:val="20"/>
                <w:szCs w:val="20"/>
                <w:lang w:eastAsia="uk-UA"/>
              </w:rPr>
            </w:pPr>
            <w:r w:rsidRPr="000413EB">
              <w:rPr>
                <w:rFonts w:ascii="Times New Roman" w:hAnsi="Times New Roman"/>
                <w:bCs/>
                <w:sz w:val="20"/>
                <w:szCs w:val="20"/>
                <w:lang w:eastAsia="uk-UA"/>
              </w:rPr>
              <w:t>В.1.3 Модернізація інженерних мереж</w:t>
            </w:r>
          </w:p>
        </w:tc>
        <w:tc>
          <w:tcPr>
            <w:tcW w:w="2551" w:type="dxa"/>
            <w:shd w:val="clear" w:color="auto" w:fill="auto"/>
          </w:tcPr>
          <w:p w14:paraId="18397ACC" w14:textId="77777777" w:rsidR="00473CA0" w:rsidRPr="000413EB" w:rsidRDefault="00473CA0" w:rsidP="000413EB">
            <w:pPr>
              <w:suppressAutoHyphens/>
              <w:jc w:val="both"/>
              <w:rPr>
                <w:rFonts w:ascii="Times New Roman" w:eastAsia="Lucida Sans Unicode" w:hAnsi="Times New Roman"/>
                <w:kern w:val="1"/>
                <w:sz w:val="20"/>
                <w:szCs w:val="20"/>
                <w:lang w:eastAsia="ar-SA"/>
              </w:rPr>
            </w:pPr>
            <w:r w:rsidRPr="000413EB">
              <w:rPr>
                <w:rFonts w:ascii="Times New Roman" w:eastAsia="Lucida Sans Unicode" w:hAnsi="Times New Roman"/>
                <w:kern w:val="1"/>
                <w:sz w:val="20"/>
                <w:szCs w:val="20"/>
                <w:lang w:eastAsia="ar-SA"/>
              </w:rPr>
              <w:t>В.1.3.1. Будівництво нових, реконструкція, капітальний ремонт, модернізація мереж централізованої системи водопостачання, водовідведення та каналізації.</w:t>
            </w:r>
          </w:p>
          <w:p w14:paraId="7028AC90" w14:textId="77777777" w:rsidR="00473CA0" w:rsidRPr="000413EB" w:rsidRDefault="00473CA0" w:rsidP="000413EB">
            <w:pPr>
              <w:suppressAutoHyphens/>
              <w:jc w:val="both"/>
              <w:rPr>
                <w:rFonts w:ascii="Times New Roman" w:hAnsi="Times New Roman"/>
                <w:sz w:val="20"/>
                <w:szCs w:val="20"/>
              </w:rPr>
            </w:pPr>
          </w:p>
        </w:tc>
        <w:tc>
          <w:tcPr>
            <w:tcW w:w="2835" w:type="dxa"/>
            <w:shd w:val="clear" w:color="auto" w:fill="auto"/>
          </w:tcPr>
          <w:p w14:paraId="637102F3" w14:textId="77777777" w:rsidR="00473CA0" w:rsidRPr="000413EB" w:rsidRDefault="00473CA0" w:rsidP="000413EB">
            <w:pPr>
              <w:jc w:val="both"/>
              <w:rPr>
                <w:rFonts w:ascii="Times New Roman" w:hAnsi="Times New Roman"/>
                <w:sz w:val="20"/>
                <w:szCs w:val="20"/>
                <w:lang w:eastAsia="it-IT"/>
              </w:rPr>
            </w:pPr>
            <w:r w:rsidRPr="000413EB">
              <w:rPr>
                <w:rFonts w:ascii="Times New Roman" w:hAnsi="Times New Roman"/>
                <w:sz w:val="20"/>
                <w:szCs w:val="20"/>
                <w:lang w:eastAsia="it-IT"/>
              </w:rPr>
              <w:t>Реконструкція мереж водовідведення в селі Мартинівка, Жмеринського району, Вінницької області</w:t>
            </w:r>
          </w:p>
        </w:tc>
        <w:tc>
          <w:tcPr>
            <w:tcW w:w="1276" w:type="dxa"/>
            <w:shd w:val="clear" w:color="auto" w:fill="auto"/>
          </w:tcPr>
          <w:p w14:paraId="018B2130" w14:textId="77777777" w:rsidR="00473CA0" w:rsidRPr="000413EB" w:rsidRDefault="00473CA0" w:rsidP="000413EB">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2025</w:t>
            </w:r>
          </w:p>
        </w:tc>
        <w:tc>
          <w:tcPr>
            <w:tcW w:w="2345" w:type="dxa"/>
            <w:shd w:val="clear" w:color="auto" w:fill="auto"/>
          </w:tcPr>
          <w:p w14:paraId="5184DA0C" w14:textId="77777777" w:rsidR="00473CA0" w:rsidRPr="000413EB" w:rsidRDefault="00473CA0" w:rsidP="000413EB">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Управління житлово-комунального господарства міської ради</w:t>
            </w:r>
          </w:p>
        </w:tc>
        <w:tc>
          <w:tcPr>
            <w:tcW w:w="2900" w:type="dxa"/>
            <w:shd w:val="clear" w:color="auto" w:fill="auto"/>
          </w:tcPr>
          <w:p w14:paraId="70ADCD42" w14:textId="726EF593" w:rsidR="00473CA0" w:rsidRPr="000413EB" w:rsidRDefault="00473CA0" w:rsidP="00177957">
            <w:pPr>
              <w:jc w:val="both"/>
              <w:rPr>
                <w:rFonts w:ascii="Times New Roman" w:hAnsi="Times New Roman"/>
                <w:sz w:val="20"/>
                <w:szCs w:val="20"/>
                <w:lang w:eastAsia="it-IT"/>
              </w:rPr>
            </w:pPr>
            <w:r w:rsidRPr="000413EB">
              <w:rPr>
                <w:rFonts w:ascii="Times New Roman" w:hAnsi="Times New Roman"/>
                <w:sz w:val="20"/>
                <w:szCs w:val="20"/>
                <w:lang w:eastAsia="it-IT"/>
              </w:rPr>
              <w:t xml:space="preserve">Проведено реконструкцію мереж водовідведення довжиною 3 км. Ліквідовано ризик витоку неочищених стічних вод у ґрунт, підземні та наземні води, ліси </w:t>
            </w:r>
            <w:r w:rsidR="00177957">
              <w:rPr>
                <w:rFonts w:ascii="Times New Roman" w:hAnsi="Times New Roman"/>
                <w:sz w:val="20"/>
                <w:szCs w:val="20"/>
                <w:lang w:eastAsia="it-IT"/>
              </w:rPr>
              <w:t xml:space="preserve">тощо </w:t>
            </w:r>
            <w:r w:rsidRPr="000413EB">
              <w:rPr>
                <w:rFonts w:ascii="Times New Roman" w:hAnsi="Times New Roman"/>
                <w:sz w:val="20"/>
                <w:szCs w:val="20"/>
                <w:lang w:eastAsia="it-IT"/>
              </w:rPr>
              <w:t xml:space="preserve"> покращено стан навколишнього природного середовища. Забезпечено 1,0 тис. мешканців села Мартинівка якісними послугами з водовідведення.</w:t>
            </w:r>
          </w:p>
        </w:tc>
      </w:tr>
      <w:tr w:rsidR="00473CA0" w:rsidRPr="000413EB" w14:paraId="3A50A270" w14:textId="77777777" w:rsidTr="000413EB">
        <w:tc>
          <w:tcPr>
            <w:tcW w:w="567" w:type="dxa"/>
            <w:shd w:val="clear" w:color="auto" w:fill="auto"/>
          </w:tcPr>
          <w:p w14:paraId="0CB1F2CE" w14:textId="25F0F168" w:rsidR="00473CA0"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3</w:t>
            </w:r>
            <w:r w:rsidR="0097410E">
              <w:rPr>
                <w:rFonts w:ascii="Times New Roman" w:eastAsia="Arial" w:hAnsi="Times New Roman"/>
                <w:sz w:val="20"/>
                <w:szCs w:val="20"/>
              </w:rPr>
              <w:t>6</w:t>
            </w:r>
          </w:p>
        </w:tc>
        <w:tc>
          <w:tcPr>
            <w:tcW w:w="2694" w:type="dxa"/>
            <w:shd w:val="clear" w:color="auto" w:fill="auto"/>
          </w:tcPr>
          <w:p w14:paraId="21BC8F58" w14:textId="77777777" w:rsidR="00473CA0" w:rsidRPr="000413EB" w:rsidRDefault="00473CA0" w:rsidP="000413EB">
            <w:pPr>
              <w:jc w:val="both"/>
              <w:rPr>
                <w:rFonts w:ascii="Times New Roman" w:hAnsi="Times New Roman"/>
                <w:bCs/>
                <w:sz w:val="20"/>
                <w:szCs w:val="20"/>
                <w:lang w:eastAsia="uk-UA"/>
              </w:rPr>
            </w:pPr>
            <w:r w:rsidRPr="000413EB">
              <w:rPr>
                <w:rFonts w:ascii="Times New Roman" w:hAnsi="Times New Roman"/>
                <w:bCs/>
                <w:sz w:val="20"/>
                <w:szCs w:val="20"/>
                <w:lang w:eastAsia="uk-UA"/>
              </w:rPr>
              <w:t>В.1.3 Модернізація інженерних мереж</w:t>
            </w:r>
          </w:p>
        </w:tc>
        <w:tc>
          <w:tcPr>
            <w:tcW w:w="2551" w:type="dxa"/>
            <w:shd w:val="clear" w:color="auto" w:fill="auto"/>
          </w:tcPr>
          <w:p w14:paraId="59D3F9E2" w14:textId="77777777" w:rsidR="00473CA0" w:rsidRPr="000413EB" w:rsidRDefault="00473CA0" w:rsidP="000413EB">
            <w:pPr>
              <w:jc w:val="both"/>
              <w:rPr>
                <w:rFonts w:ascii="Times New Roman" w:hAnsi="Times New Roman"/>
                <w:bCs/>
                <w:sz w:val="20"/>
                <w:szCs w:val="20"/>
                <w:lang w:eastAsia="uk-UA"/>
              </w:rPr>
            </w:pPr>
            <w:r w:rsidRPr="000413EB">
              <w:rPr>
                <w:rFonts w:ascii="Times New Roman" w:hAnsi="Times New Roman"/>
                <w:bCs/>
                <w:sz w:val="20"/>
                <w:szCs w:val="20"/>
                <w:lang w:eastAsia="uk-UA"/>
              </w:rPr>
              <w:t>В.1.3.2. Реконструкція, модернізація та капітальний ремонт  очисних споруд каналізації.</w:t>
            </w:r>
          </w:p>
          <w:p w14:paraId="342647EA" w14:textId="77777777" w:rsidR="00473CA0" w:rsidRPr="000413EB" w:rsidRDefault="00473CA0" w:rsidP="000413EB">
            <w:pPr>
              <w:jc w:val="both"/>
              <w:rPr>
                <w:rFonts w:ascii="Times New Roman" w:hAnsi="Times New Roman"/>
                <w:bCs/>
                <w:sz w:val="20"/>
                <w:szCs w:val="20"/>
                <w:lang w:eastAsia="uk-UA"/>
              </w:rPr>
            </w:pPr>
          </w:p>
        </w:tc>
        <w:tc>
          <w:tcPr>
            <w:tcW w:w="2835" w:type="dxa"/>
            <w:shd w:val="clear" w:color="auto" w:fill="auto"/>
          </w:tcPr>
          <w:p w14:paraId="3BA1BCAA" w14:textId="77777777" w:rsidR="00473CA0" w:rsidRPr="000413EB" w:rsidRDefault="00473CA0" w:rsidP="000413EB">
            <w:pPr>
              <w:suppressAutoHyphens/>
              <w:jc w:val="both"/>
              <w:rPr>
                <w:rFonts w:ascii="Times New Roman" w:eastAsia="Lucida Sans Unicode" w:hAnsi="Times New Roman"/>
                <w:kern w:val="1"/>
                <w:sz w:val="20"/>
                <w:szCs w:val="20"/>
                <w:lang w:eastAsia="ar-SA"/>
              </w:rPr>
            </w:pPr>
            <w:r w:rsidRPr="000413EB">
              <w:rPr>
                <w:rFonts w:ascii="Times New Roman" w:eastAsia="Lucida Sans Unicode" w:hAnsi="Times New Roman"/>
                <w:kern w:val="1"/>
                <w:sz w:val="20"/>
                <w:szCs w:val="20"/>
                <w:lang w:eastAsia="ar-SA"/>
              </w:rPr>
              <w:t>Реконструкція каналізаційно-насосної станції по вул. Івана Франка в м. Жмеринка Вінницької області</w:t>
            </w:r>
          </w:p>
        </w:tc>
        <w:tc>
          <w:tcPr>
            <w:tcW w:w="1276" w:type="dxa"/>
            <w:shd w:val="clear" w:color="auto" w:fill="auto"/>
          </w:tcPr>
          <w:p w14:paraId="46CFABBC" w14:textId="5FDE5701" w:rsidR="00473CA0" w:rsidRPr="000413EB" w:rsidRDefault="00473CA0" w:rsidP="00541BDD">
            <w:pPr>
              <w:widowControl w:val="0"/>
              <w:tabs>
                <w:tab w:val="left" w:pos="5829"/>
                <w:tab w:val="left" w:pos="9720"/>
                <w:tab w:val="left" w:pos="10357"/>
              </w:tabs>
              <w:autoSpaceDE w:val="0"/>
              <w:autoSpaceDN w:val="0"/>
              <w:jc w:val="center"/>
              <w:rPr>
                <w:rFonts w:ascii="Times New Roman" w:eastAsia="Arial" w:hAnsi="Times New Roman"/>
                <w:sz w:val="20"/>
                <w:szCs w:val="20"/>
                <w:lang w:eastAsia="en-US"/>
              </w:rPr>
            </w:pPr>
            <w:r w:rsidRPr="000413EB">
              <w:rPr>
                <w:rFonts w:ascii="Times New Roman" w:eastAsia="Arial" w:hAnsi="Times New Roman"/>
                <w:sz w:val="20"/>
                <w:szCs w:val="20"/>
                <w:lang w:eastAsia="en-US"/>
              </w:rPr>
              <w:t>2028</w:t>
            </w:r>
          </w:p>
        </w:tc>
        <w:tc>
          <w:tcPr>
            <w:tcW w:w="2345" w:type="dxa"/>
            <w:shd w:val="clear" w:color="auto" w:fill="auto"/>
          </w:tcPr>
          <w:p w14:paraId="27FC2D4E" w14:textId="77777777" w:rsidR="00473CA0" w:rsidRPr="000413EB" w:rsidRDefault="00473CA0" w:rsidP="000413EB">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Управління житлово-комунального господарства міської ради</w:t>
            </w:r>
          </w:p>
        </w:tc>
        <w:tc>
          <w:tcPr>
            <w:tcW w:w="2900" w:type="dxa"/>
            <w:shd w:val="clear" w:color="auto" w:fill="auto"/>
          </w:tcPr>
          <w:p w14:paraId="1062D34B" w14:textId="77777777" w:rsidR="00473CA0" w:rsidRPr="000413EB" w:rsidRDefault="00473CA0" w:rsidP="000413EB">
            <w:pPr>
              <w:jc w:val="both"/>
              <w:rPr>
                <w:rFonts w:ascii="Times New Roman" w:hAnsi="Times New Roman"/>
                <w:sz w:val="20"/>
                <w:szCs w:val="20"/>
                <w:lang w:eastAsia="it-IT"/>
              </w:rPr>
            </w:pPr>
            <w:r w:rsidRPr="000413EB">
              <w:rPr>
                <w:rFonts w:ascii="Times New Roman" w:hAnsi="Times New Roman"/>
                <w:sz w:val="20"/>
                <w:szCs w:val="20"/>
                <w:lang w:eastAsia="it-IT"/>
              </w:rPr>
              <w:t>Встановлено нове обладнання, нове насосне обладнання, ремонт трубопроводу, усунені ризики потрапляння неочищеної води в підземні та наземні воді, ліси та ґрунти.</w:t>
            </w:r>
          </w:p>
        </w:tc>
      </w:tr>
      <w:tr w:rsidR="00B77E4B" w:rsidRPr="000413EB" w14:paraId="1A950B4B" w14:textId="77777777" w:rsidTr="000413EB">
        <w:tc>
          <w:tcPr>
            <w:tcW w:w="567" w:type="dxa"/>
            <w:shd w:val="clear" w:color="auto" w:fill="auto"/>
          </w:tcPr>
          <w:p w14:paraId="4E639C5D" w14:textId="607117EC" w:rsidR="00B77E4B"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3</w:t>
            </w:r>
            <w:r w:rsidR="0097410E">
              <w:rPr>
                <w:rFonts w:ascii="Times New Roman" w:eastAsia="Arial" w:hAnsi="Times New Roman"/>
                <w:sz w:val="20"/>
                <w:szCs w:val="20"/>
              </w:rPr>
              <w:t>7</w:t>
            </w:r>
          </w:p>
        </w:tc>
        <w:tc>
          <w:tcPr>
            <w:tcW w:w="2694" w:type="dxa"/>
            <w:shd w:val="clear" w:color="auto" w:fill="auto"/>
          </w:tcPr>
          <w:p w14:paraId="5E728CA0" w14:textId="164FECDA" w:rsidR="00B77E4B" w:rsidRPr="000413EB" w:rsidRDefault="00B77E4B" w:rsidP="000413EB">
            <w:pPr>
              <w:jc w:val="both"/>
              <w:rPr>
                <w:rFonts w:ascii="Times New Roman" w:hAnsi="Times New Roman"/>
                <w:bCs/>
                <w:sz w:val="20"/>
                <w:szCs w:val="20"/>
                <w:lang w:eastAsia="uk-UA"/>
              </w:rPr>
            </w:pPr>
            <w:r w:rsidRPr="000413EB">
              <w:rPr>
                <w:rFonts w:ascii="Times New Roman" w:hAnsi="Times New Roman"/>
                <w:bCs/>
                <w:sz w:val="20"/>
                <w:szCs w:val="20"/>
                <w:lang w:eastAsia="uk-UA"/>
              </w:rPr>
              <w:t>В.1.3 Модернізація інженерних мереж</w:t>
            </w:r>
          </w:p>
        </w:tc>
        <w:tc>
          <w:tcPr>
            <w:tcW w:w="2551" w:type="dxa"/>
          </w:tcPr>
          <w:p w14:paraId="2472ADA1" w14:textId="77777777" w:rsidR="00B77E4B" w:rsidRPr="000413EB" w:rsidRDefault="00B77E4B" w:rsidP="000413EB">
            <w:pPr>
              <w:contextualSpacing/>
              <w:rPr>
                <w:rFonts w:ascii="Times New Roman" w:eastAsia="Lucida Sans Unicode" w:hAnsi="Times New Roman"/>
                <w:kern w:val="1"/>
                <w:sz w:val="20"/>
                <w:szCs w:val="20"/>
                <w:lang w:eastAsia="ar-SA"/>
              </w:rPr>
            </w:pPr>
            <w:r w:rsidRPr="000413EB">
              <w:rPr>
                <w:rFonts w:ascii="Times New Roman" w:eastAsia="Lucida Sans Unicode" w:hAnsi="Times New Roman"/>
                <w:kern w:val="1"/>
                <w:sz w:val="20"/>
                <w:szCs w:val="20"/>
                <w:lang w:eastAsia="ar-SA"/>
              </w:rPr>
              <w:t>В.1.3.12. Будівництво, реконструкція мереж вуличного освітлення</w:t>
            </w:r>
          </w:p>
          <w:p w14:paraId="6B89C517" w14:textId="77777777" w:rsidR="00B77E4B" w:rsidRPr="000413EB" w:rsidRDefault="00B77E4B" w:rsidP="000413EB">
            <w:pPr>
              <w:jc w:val="both"/>
              <w:rPr>
                <w:rFonts w:ascii="Times New Roman" w:hAnsi="Times New Roman"/>
                <w:bCs/>
                <w:sz w:val="20"/>
                <w:szCs w:val="20"/>
                <w:lang w:eastAsia="uk-UA"/>
              </w:rPr>
            </w:pPr>
          </w:p>
        </w:tc>
        <w:tc>
          <w:tcPr>
            <w:tcW w:w="2835" w:type="dxa"/>
            <w:shd w:val="clear" w:color="auto" w:fill="auto"/>
          </w:tcPr>
          <w:p w14:paraId="1F5B03EF" w14:textId="37B9A925" w:rsidR="00B77E4B" w:rsidRPr="000413EB" w:rsidRDefault="00B77E4B" w:rsidP="000413EB">
            <w:pPr>
              <w:suppressAutoHyphens/>
              <w:jc w:val="both"/>
              <w:rPr>
                <w:rFonts w:ascii="Times New Roman" w:eastAsia="Lucida Sans Unicode" w:hAnsi="Times New Roman"/>
                <w:kern w:val="1"/>
                <w:sz w:val="20"/>
                <w:szCs w:val="20"/>
                <w:lang w:eastAsia="ar-SA"/>
              </w:rPr>
            </w:pPr>
            <w:r w:rsidRPr="000413EB">
              <w:rPr>
                <w:rFonts w:ascii="Times New Roman" w:eastAsia="Lucida Sans Unicode" w:hAnsi="Times New Roman"/>
                <w:kern w:val="1"/>
                <w:sz w:val="20"/>
                <w:szCs w:val="20"/>
                <w:lang w:eastAsia="ar-SA"/>
              </w:rPr>
              <w:t>Капітальний ремонт мережі зовнішнього освітлення по вул. Птахіна в м. Жмеринка</w:t>
            </w:r>
          </w:p>
        </w:tc>
        <w:tc>
          <w:tcPr>
            <w:tcW w:w="1276" w:type="dxa"/>
            <w:shd w:val="clear" w:color="auto" w:fill="auto"/>
          </w:tcPr>
          <w:p w14:paraId="01B2B5FB" w14:textId="5D7F870A" w:rsidR="00B77E4B" w:rsidRPr="000413EB" w:rsidRDefault="00B77E4B" w:rsidP="000413EB">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2026</w:t>
            </w:r>
          </w:p>
        </w:tc>
        <w:tc>
          <w:tcPr>
            <w:tcW w:w="2345" w:type="dxa"/>
            <w:shd w:val="clear" w:color="auto" w:fill="auto"/>
          </w:tcPr>
          <w:p w14:paraId="3FFBFC9B" w14:textId="22404563" w:rsidR="00B77E4B" w:rsidRPr="000413EB" w:rsidRDefault="00B77E4B" w:rsidP="000413EB">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Управління житлово-комунального господарства міської ради</w:t>
            </w:r>
          </w:p>
        </w:tc>
        <w:tc>
          <w:tcPr>
            <w:tcW w:w="2900" w:type="dxa"/>
            <w:shd w:val="clear" w:color="auto" w:fill="auto"/>
          </w:tcPr>
          <w:p w14:paraId="41169669" w14:textId="619C5E3B" w:rsidR="00B77E4B" w:rsidRPr="000413EB" w:rsidRDefault="00B77E4B" w:rsidP="000413EB">
            <w:pPr>
              <w:jc w:val="both"/>
              <w:rPr>
                <w:rFonts w:ascii="Times New Roman" w:hAnsi="Times New Roman"/>
                <w:sz w:val="20"/>
                <w:szCs w:val="20"/>
                <w:lang w:eastAsia="it-IT"/>
              </w:rPr>
            </w:pPr>
            <w:r w:rsidRPr="000413EB">
              <w:rPr>
                <w:rFonts w:ascii="Times New Roman" w:hAnsi="Times New Roman"/>
                <w:sz w:val="20"/>
                <w:szCs w:val="20"/>
                <w:lang w:eastAsia="it-IT"/>
              </w:rPr>
              <w:t>Протяжність мережі, яка капітально ремонтується: 345 м та кількість точок освітлення, які встановлюються 11 шт</w:t>
            </w:r>
            <w:r w:rsidR="004D364B">
              <w:rPr>
                <w:rFonts w:ascii="Times New Roman" w:hAnsi="Times New Roman"/>
                <w:sz w:val="20"/>
                <w:szCs w:val="20"/>
                <w:lang w:eastAsia="it-IT"/>
              </w:rPr>
              <w:t>.</w:t>
            </w:r>
          </w:p>
        </w:tc>
      </w:tr>
      <w:tr w:rsidR="00B77E4B" w:rsidRPr="000413EB" w14:paraId="596CA2BC" w14:textId="77777777" w:rsidTr="000413EB">
        <w:tc>
          <w:tcPr>
            <w:tcW w:w="567" w:type="dxa"/>
            <w:shd w:val="clear" w:color="auto" w:fill="auto"/>
          </w:tcPr>
          <w:p w14:paraId="5D6209C1" w14:textId="0E716F8A" w:rsidR="00B77E4B"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3</w:t>
            </w:r>
            <w:r w:rsidR="0097410E">
              <w:rPr>
                <w:rFonts w:ascii="Times New Roman" w:eastAsia="Arial" w:hAnsi="Times New Roman"/>
                <w:sz w:val="20"/>
                <w:szCs w:val="20"/>
              </w:rPr>
              <w:t>8</w:t>
            </w:r>
          </w:p>
        </w:tc>
        <w:tc>
          <w:tcPr>
            <w:tcW w:w="2694" w:type="dxa"/>
            <w:shd w:val="clear" w:color="auto" w:fill="auto"/>
          </w:tcPr>
          <w:p w14:paraId="151D28A0" w14:textId="4FD64A77" w:rsidR="00B77E4B" w:rsidRPr="000413EB" w:rsidRDefault="00B77E4B" w:rsidP="000413EB">
            <w:pPr>
              <w:jc w:val="both"/>
              <w:rPr>
                <w:rFonts w:ascii="Times New Roman" w:hAnsi="Times New Roman"/>
                <w:bCs/>
                <w:sz w:val="20"/>
                <w:szCs w:val="20"/>
                <w:lang w:eastAsia="uk-UA"/>
              </w:rPr>
            </w:pPr>
            <w:r w:rsidRPr="000413EB">
              <w:rPr>
                <w:rFonts w:ascii="Times New Roman" w:hAnsi="Times New Roman"/>
                <w:bCs/>
                <w:sz w:val="20"/>
                <w:szCs w:val="20"/>
                <w:lang w:eastAsia="uk-UA"/>
              </w:rPr>
              <w:t>В.1.3 Модернізація інженерних мереж</w:t>
            </w:r>
          </w:p>
        </w:tc>
        <w:tc>
          <w:tcPr>
            <w:tcW w:w="2551" w:type="dxa"/>
          </w:tcPr>
          <w:p w14:paraId="6AF38C59" w14:textId="77777777" w:rsidR="00B77E4B" w:rsidRPr="000413EB" w:rsidRDefault="00B77E4B" w:rsidP="000413EB">
            <w:pPr>
              <w:contextualSpacing/>
              <w:rPr>
                <w:rFonts w:ascii="Times New Roman" w:eastAsia="Lucida Sans Unicode" w:hAnsi="Times New Roman"/>
                <w:kern w:val="1"/>
                <w:sz w:val="20"/>
                <w:szCs w:val="20"/>
                <w:lang w:eastAsia="ar-SA"/>
              </w:rPr>
            </w:pPr>
            <w:r w:rsidRPr="000413EB">
              <w:rPr>
                <w:rFonts w:ascii="Times New Roman" w:eastAsia="Lucida Sans Unicode" w:hAnsi="Times New Roman"/>
                <w:kern w:val="1"/>
                <w:sz w:val="20"/>
                <w:szCs w:val="20"/>
                <w:lang w:eastAsia="ar-SA"/>
              </w:rPr>
              <w:t>В.1.3.12. Будівництво, реконструкція мереж вуличного освітлення</w:t>
            </w:r>
          </w:p>
          <w:p w14:paraId="1AAC511A" w14:textId="77777777" w:rsidR="00B77E4B" w:rsidRPr="000413EB" w:rsidRDefault="00B77E4B" w:rsidP="000413EB">
            <w:pPr>
              <w:contextualSpacing/>
              <w:rPr>
                <w:rFonts w:ascii="Times New Roman" w:eastAsia="Lucida Sans Unicode" w:hAnsi="Times New Roman"/>
                <w:kern w:val="1"/>
                <w:sz w:val="20"/>
                <w:szCs w:val="20"/>
                <w:lang w:eastAsia="ar-SA"/>
              </w:rPr>
            </w:pPr>
          </w:p>
        </w:tc>
        <w:tc>
          <w:tcPr>
            <w:tcW w:w="2835" w:type="dxa"/>
            <w:shd w:val="clear" w:color="auto" w:fill="auto"/>
          </w:tcPr>
          <w:p w14:paraId="5FB01727" w14:textId="7405C5FA" w:rsidR="00B77E4B" w:rsidRPr="000413EB" w:rsidRDefault="00B77E4B" w:rsidP="000413EB">
            <w:pPr>
              <w:suppressAutoHyphens/>
              <w:jc w:val="both"/>
              <w:rPr>
                <w:rFonts w:ascii="Times New Roman" w:eastAsia="Lucida Sans Unicode" w:hAnsi="Times New Roman"/>
                <w:kern w:val="1"/>
                <w:sz w:val="20"/>
                <w:szCs w:val="20"/>
                <w:lang w:eastAsia="ar-SA"/>
              </w:rPr>
            </w:pPr>
            <w:r w:rsidRPr="000413EB">
              <w:rPr>
                <w:rFonts w:ascii="Times New Roman" w:eastAsia="Lucida Sans Unicode" w:hAnsi="Times New Roman"/>
                <w:kern w:val="1"/>
                <w:sz w:val="20"/>
                <w:szCs w:val="20"/>
                <w:lang w:eastAsia="ar-SA"/>
              </w:rPr>
              <w:t>Реконструкція мережі вуличного освітлення в с. Ярошенка, с. Щученці</w:t>
            </w:r>
          </w:p>
        </w:tc>
        <w:tc>
          <w:tcPr>
            <w:tcW w:w="1276" w:type="dxa"/>
            <w:shd w:val="clear" w:color="auto" w:fill="auto"/>
          </w:tcPr>
          <w:p w14:paraId="017522AA" w14:textId="29D3AAD9" w:rsidR="00B77E4B" w:rsidRPr="000413EB" w:rsidRDefault="00B77E4B" w:rsidP="000413EB">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2026</w:t>
            </w:r>
          </w:p>
        </w:tc>
        <w:tc>
          <w:tcPr>
            <w:tcW w:w="2345" w:type="dxa"/>
            <w:shd w:val="clear" w:color="auto" w:fill="auto"/>
          </w:tcPr>
          <w:p w14:paraId="05BF9207" w14:textId="384E094B" w:rsidR="00B77E4B" w:rsidRPr="000413EB" w:rsidRDefault="00B77E4B" w:rsidP="000413EB">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Управління житлово-комунального господарства міської ради</w:t>
            </w:r>
          </w:p>
        </w:tc>
        <w:tc>
          <w:tcPr>
            <w:tcW w:w="2900" w:type="dxa"/>
            <w:shd w:val="clear" w:color="auto" w:fill="auto"/>
          </w:tcPr>
          <w:p w14:paraId="2151C7D9" w14:textId="2104A3CB" w:rsidR="00B77E4B" w:rsidRPr="000413EB" w:rsidRDefault="00B77E4B" w:rsidP="00177957">
            <w:pPr>
              <w:jc w:val="both"/>
              <w:rPr>
                <w:rFonts w:ascii="Times New Roman" w:hAnsi="Times New Roman"/>
                <w:sz w:val="20"/>
                <w:szCs w:val="20"/>
                <w:lang w:eastAsia="it-IT"/>
              </w:rPr>
            </w:pPr>
            <w:r w:rsidRPr="000413EB">
              <w:rPr>
                <w:rFonts w:ascii="Times New Roman" w:hAnsi="Times New Roman"/>
                <w:sz w:val="20"/>
                <w:szCs w:val="20"/>
                <w:lang w:eastAsia="it-IT"/>
              </w:rPr>
              <w:t>Протяжність мережі, які реконструюють 12296 м. та кількість точок освітлення, які встановлюються 182 шт.</w:t>
            </w:r>
          </w:p>
        </w:tc>
      </w:tr>
      <w:tr w:rsidR="00B77E4B" w:rsidRPr="000413EB" w14:paraId="2E59DA47" w14:textId="77777777" w:rsidTr="000413EB">
        <w:tc>
          <w:tcPr>
            <w:tcW w:w="567" w:type="dxa"/>
            <w:shd w:val="clear" w:color="auto" w:fill="auto"/>
          </w:tcPr>
          <w:p w14:paraId="5D4FD36F" w14:textId="2B9531C9" w:rsidR="00B77E4B" w:rsidRPr="000413EB" w:rsidRDefault="0097410E" w:rsidP="000413EB">
            <w:pPr>
              <w:pStyle w:val="aa"/>
              <w:jc w:val="both"/>
              <w:rPr>
                <w:rFonts w:ascii="Times New Roman" w:eastAsia="Arial" w:hAnsi="Times New Roman"/>
                <w:sz w:val="20"/>
                <w:szCs w:val="20"/>
              </w:rPr>
            </w:pPr>
            <w:r>
              <w:rPr>
                <w:rFonts w:ascii="Times New Roman" w:eastAsia="Arial" w:hAnsi="Times New Roman"/>
                <w:sz w:val="20"/>
                <w:szCs w:val="20"/>
              </w:rPr>
              <w:t>39</w:t>
            </w:r>
          </w:p>
        </w:tc>
        <w:tc>
          <w:tcPr>
            <w:tcW w:w="2694" w:type="dxa"/>
            <w:shd w:val="clear" w:color="auto" w:fill="auto"/>
          </w:tcPr>
          <w:p w14:paraId="5A6F43C1" w14:textId="4C6C2BE7" w:rsidR="00B77E4B" w:rsidRPr="000413EB" w:rsidRDefault="00B77E4B" w:rsidP="000413EB">
            <w:pPr>
              <w:jc w:val="both"/>
              <w:rPr>
                <w:rFonts w:ascii="Times New Roman" w:hAnsi="Times New Roman"/>
                <w:bCs/>
                <w:sz w:val="20"/>
                <w:szCs w:val="20"/>
                <w:lang w:eastAsia="uk-UA"/>
              </w:rPr>
            </w:pPr>
            <w:r w:rsidRPr="000413EB">
              <w:rPr>
                <w:rFonts w:ascii="Times New Roman" w:hAnsi="Times New Roman"/>
                <w:bCs/>
                <w:sz w:val="20"/>
                <w:szCs w:val="20"/>
                <w:lang w:eastAsia="uk-UA"/>
              </w:rPr>
              <w:t>В.1.3 Модернізація інженерних мереж</w:t>
            </w:r>
          </w:p>
        </w:tc>
        <w:tc>
          <w:tcPr>
            <w:tcW w:w="2551" w:type="dxa"/>
          </w:tcPr>
          <w:p w14:paraId="6CDD2165" w14:textId="77777777" w:rsidR="00B77E4B" w:rsidRPr="000413EB" w:rsidRDefault="00B77E4B" w:rsidP="000413EB">
            <w:pPr>
              <w:contextualSpacing/>
              <w:rPr>
                <w:rFonts w:ascii="Times New Roman" w:eastAsia="Lucida Sans Unicode" w:hAnsi="Times New Roman"/>
                <w:kern w:val="1"/>
                <w:sz w:val="20"/>
                <w:szCs w:val="20"/>
                <w:lang w:eastAsia="ar-SA"/>
              </w:rPr>
            </w:pPr>
            <w:r w:rsidRPr="000413EB">
              <w:rPr>
                <w:rFonts w:ascii="Times New Roman" w:eastAsia="Lucida Sans Unicode" w:hAnsi="Times New Roman"/>
                <w:kern w:val="1"/>
                <w:sz w:val="20"/>
                <w:szCs w:val="20"/>
                <w:lang w:eastAsia="ar-SA"/>
              </w:rPr>
              <w:t>В.1.3.12. Будівництво, реконструкція мереж вуличного освітлення</w:t>
            </w:r>
          </w:p>
          <w:p w14:paraId="79873BAB" w14:textId="77777777" w:rsidR="00B77E4B" w:rsidRPr="000413EB" w:rsidRDefault="00B77E4B" w:rsidP="000413EB">
            <w:pPr>
              <w:contextualSpacing/>
              <w:rPr>
                <w:rFonts w:ascii="Times New Roman" w:eastAsia="Lucida Sans Unicode" w:hAnsi="Times New Roman"/>
                <w:kern w:val="1"/>
                <w:sz w:val="20"/>
                <w:szCs w:val="20"/>
                <w:lang w:eastAsia="ar-SA"/>
              </w:rPr>
            </w:pPr>
          </w:p>
        </w:tc>
        <w:tc>
          <w:tcPr>
            <w:tcW w:w="2835" w:type="dxa"/>
            <w:shd w:val="clear" w:color="auto" w:fill="auto"/>
          </w:tcPr>
          <w:p w14:paraId="5409194A" w14:textId="504B7CAC" w:rsidR="00B77E4B" w:rsidRPr="000413EB" w:rsidRDefault="00B77E4B" w:rsidP="000413EB">
            <w:pPr>
              <w:suppressAutoHyphens/>
              <w:jc w:val="both"/>
              <w:rPr>
                <w:rFonts w:ascii="Times New Roman" w:eastAsia="Lucida Sans Unicode" w:hAnsi="Times New Roman"/>
                <w:kern w:val="1"/>
                <w:sz w:val="20"/>
                <w:szCs w:val="20"/>
                <w:lang w:eastAsia="ar-SA"/>
              </w:rPr>
            </w:pPr>
            <w:r w:rsidRPr="000413EB">
              <w:rPr>
                <w:rFonts w:ascii="Times New Roman" w:eastAsia="Lucida Sans Unicode" w:hAnsi="Times New Roman"/>
                <w:kern w:val="1"/>
                <w:sz w:val="20"/>
                <w:szCs w:val="20"/>
                <w:lang w:eastAsia="ar-SA"/>
              </w:rPr>
              <w:t>Капітальний ремонт мережі вуличного освітлення частини села Подільське ТП-87 Леляцького старостинського округу Жмеринської територіальної громади</w:t>
            </w:r>
          </w:p>
        </w:tc>
        <w:tc>
          <w:tcPr>
            <w:tcW w:w="1276" w:type="dxa"/>
            <w:shd w:val="clear" w:color="auto" w:fill="auto"/>
          </w:tcPr>
          <w:p w14:paraId="7C1C039F" w14:textId="7AFAB22A" w:rsidR="00B77E4B" w:rsidRPr="000413EB" w:rsidRDefault="00B77E4B" w:rsidP="000413EB">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2026</w:t>
            </w:r>
          </w:p>
        </w:tc>
        <w:tc>
          <w:tcPr>
            <w:tcW w:w="2345" w:type="dxa"/>
            <w:shd w:val="clear" w:color="auto" w:fill="auto"/>
          </w:tcPr>
          <w:p w14:paraId="59C3DF80" w14:textId="55561BE6" w:rsidR="00B77E4B" w:rsidRPr="000413EB" w:rsidRDefault="00B77E4B" w:rsidP="000413EB">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Управління житлово-комунального господарства міської ради</w:t>
            </w:r>
          </w:p>
        </w:tc>
        <w:tc>
          <w:tcPr>
            <w:tcW w:w="2900" w:type="dxa"/>
            <w:shd w:val="clear" w:color="auto" w:fill="auto"/>
          </w:tcPr>
          <w:p w14:paraId="4A620B57" w14:textId="4B43DCC4" w:rsidR="00B77E4B" w:rsidRPr="000413EB" w:rsidRDefault="00B77E4B" w:rsidP="000413EB">
            <w:pPr>
              <w:jc w:val="both"/>
              <w:rPr>
                <w:rFonts w:ascii="Times New Roman" w:hAnsi="Times New Roman"/>
                <w:sz w:val="20"/>
                <w:szCs w:val="20"/>
                <w:lang w:eastAsia="it-IT"/>
              </w:rPr>
            </w:pPr>
            <w:r w:rsidRPr="000413EB">
              <w:rPr>
                <w:rFonts w:ascii="Times New Roman" w:hAnsi="Times New Roman"/>
                <w:sz w:val="20"/>
                <w:szCs w:val="20"/>
                <w:lang w:eastAsia="it-IT"/>
              </w:rPr>
              <w:t>Протяжність мереж, що реконструюються: 2384 м2 та кількість точок освітлення які встановлюются:71 шт.</w:t>
            </w:r>
          </w:p>
        </w:tc>
      </w:tr>
      <w:tr w:rsidR="00B77E4B" w:rsidRPr="000413EB" w14:paraId="444C010D" w14:textId="77777777" w:rsidTr="000413EB">
        <w:tc>
          <w:tcPr>
            <w:tcW w:w="567" w:type="dxa"/>
            <w:shd w:val="clear" w:color="auto" w:fill="auto"/>
          </w:tcPr>
          <w:p w14:paraId="42747363" w14:textId="54AA0C95" w:rsidR="00B77E4B" w:rsidRPr="000413EB" w:rsidRDefault="002333F4" w:rsidP="0097410E">
            <w:pPr>
              <w:pStyle w:val="aa"/>
              <w:jc w:val="both"/>
              <w:rPr>
                <w:rFonts w:ascii="Times New Roman" w:eastAsia="Arial" w:hAnsi="Times New Roman"/>
                <w:sz w:val="20"/>
                <w:szCs w:val="20"/>
              </w:rPr>
            </w:pPr>
            <w:r w:rsidRPr="000413EB">
              <w:rPr>
                <w:rFonts w:ascii="Times New Roman" w:eastAsia="Arial" w:hAnsi="Times New Roman"/>
                <w:sz w:val="20"/>
                <w:szCs w:val="20"/>
              </w:rPr>
              <w:t>4</w:t>
            </w:r>
            <w:r w:rsidR="0097410E">
              <w:rPr>
                <w:rFonts w:ascii="Times New Roman" w:eastAsia="Arial" w:hAnsi="Times New Roman"/>
                <w:sz w:val="20"/>
                <w:szCs w:val="20"/>
              </w:rPr>
              <w:t>0</w:t>
            </w:r>
          </w:p>
        </w:tc>
        <w:tc>
          <w:tcPr>
            <w:tcW w:w="2694" w:type="dxa"/>
            <w:shd w:val="clear" w:color="auto" w:fill="auto"/>
          </w:tcPr>
          <w:p w14:paraId="087B687F" w14:textId="77777777" w:rsidR="00B77E4B" w:rsidRPr="000413EB" w:rsidRDefault="00B77E4B" w:rsidP="000413EB">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В.1.4. Організація громадського транспорту</w:t>
            </w:r>
          </w:p>
          <w:p w14:paraId="01648737" w14:textId="77777777" w:rsidR="00B77E4B" w:rsidRPr="000413EB" w:rsidRDefault="00B77E4B" w:rsidP="000413EB">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p>
        </w:tc>
        <w:tc>
          <w:tcPr>
            <w:tcW w:w="2551" w:type="dxa"/>
            <w:shd w:val="clear" w:color="auto" w:fill="auto"/>
          </w:tcPr>
          <w:p w14:paraId="08A3E981" w14:textId="77777777" w:rsidR="00B77E4B" w:rsidRPr="000413EB" w:rsidRDefault="00B77E4B" w:rsidP="000413EB">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В.1.4.6 Створення зручних та комфортних зупинок.</w:t>
            </w:r>
          </w:p>
        </w:tc>
        <w:tc>
          <w:tcPr>
            <w:tcW w:w="2835" w:type="dxa"/>
            <w:shd w:val="clear" w:color="auto" w:fill="auto"/>
          </w:tcPr>
          <w:p w14:paraId="1341A6E6" w14:textId="77777777" w:rsidR="00B77E4B" w:rsidRPr="000413EB" w:rsidRDefault="00B77E4B" w:rsidP="000413EB">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Встановлення сучасних  автобусних зупинок</w:t>
            </w:r>
          </w:p>
        </w:tc>
        <w:tc>
          <w:tcPr>
            <w:tcW w:w="1276" w:type="dxa"/>
            <w:shd w:val="clear" w:color="auto" w:fill="auto"/>
          </w:tcPr>
          <w:p w14:paraId="58AC8AE6" w14:textId="77777777" w:rsidR="00B77E4B" w:rsidRPr="000413EB" w:rsidRDefault="00B77E4B" w:rsidP="000413EB">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2025</w:t>
            </w:r>
          </w:p>
        </w:tc>
        <w:tc>
          <w:tcPr>
            <w:tcW w:w="2345" w:type="dxa"/>
            <w:shd w:val="clear" w:color="auto" w:fill="auto"/>
          </w:tcPr>
          <w:p w14:paraId="4C532076" w14:textId="77777777" w:rsidR="00177957" w:rsidRDefault="00B77E4B" w:rsidP="000413EB">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 xml:space="preserve">Управління житлово-комунального господарства міської ради, </w:t>
            </w:r>
          </w:p>
          <w:p w14:paraId="6E598ABB" w14:textId="6ABC13DE" w:rsidR="00B77E4B" w:rsidRPr="000413EB" w:rsidRDefault="00B77E4B" w:rsidP="000413EB">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фізичні особи підприємці</w:t>
            </w:r>
          </w:p>
        </w:tc>
        <w:tc>
          <w:tcPr>
            <w:tcW w:w="2900" w:type="dxa"/>
            <w:shd w:val="clear" w:color="auto" w:fill="auto"/>
          </w:tcPr>
          <w:p w14:paraId="7C2C231D" w14:textId="0A22517A" w:rsidR="00B77E4B" w:rsidRPr="000413EB" w:rsidRDefault="00B77E4B" w:rsidP="000413EB">
            <w:pPr>
              <w:widowControl w:val="0"/>
              <w:tabs>
                <w:tab w:val="left" w:pos="175"/>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Встановлено  один зупинковий комплекс для посадки пасажирів на міські автобусні маршрути  №1-А, 1-Б, №3, №9 з павільйонами</w:t>
            </w:r>
            <w:r w:rsidR="004D364B">
              <w:rPr>
                <w:rFonts w:ascii="Times New Roman" w:eastAsia="Arial" w:hAnsi="Times New Roman"/>
                <w:sz w:val="20"/>
                <w:szCs w:val="20"/>
                <w:lang w:eastAsia="en-US"/>
              </w:rPr>
              <w:t>.</w:t>
            </w:r>
          </w:p>
        </w:tc>
      </w:tr>
      <w:tr w:rsidR="0059169E" w:rsidRPr="000413EB" w14:paraId="0BEF5097" w14:textId="77777777" w:rsidTr="000413EB">
        <w:tc>
          <w:tcPr>
            <w:tcW w:w="567" w:type="dxa"/>
            <w:shd w:val="clear" w:color="auto" w:fill="auto"/>
          </w:tcPr>
          <w:p w14:paraId="7B74524C" w14:textId="647E1010" w:rsidR="0059169E"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4</w:t>
            </w:r>
            <w:r w:rsidR="0097410E">
              <w:rPr>
                <w:rFonts w:ascii="Times New Roman" w:eastAsia="Arial" w:hAnsi="Times New Roman"/>
                <w:sz w:val="20"/>
                <w:szCs w:val="20"/>
              </w:rPr>
              <w:t>1</w:t>
            </w:r>
          </w:p>
        </w:tc>
        <w:tc>
          <w:tcPr>
            <w:tcW w:w="2694" w:type="dxa"/>
            <w:shd w:val="clear" w:color="auto" w:fill="auto"/>
          </w:tcPr>
          <w:p w14:paraId="388633A8" w14:textId="2BE80395" w:rsidR="0059169E" w:rsidRPr="000413EB" w:rsidRDefault="0059169E" w:rsidP="000413EB">
            <w:pPr>
              <w:jc w:val="both"/>
              <w:rPr>
                <w:rFonts w:ascii="Times New Roman" w:hAnsi="Times New Roman"/>
                <w:bCs/>
                <w:sz w:val="20"/>
                <w:szCs w:val="20"/>
                <w:lang w:eastAsia="uk-UA"/>
              </w:rPr>
            </w:pPr>
            <w:r w:rsidRPr="000413EB">
              <w:rPr>
                <w:rFonts w:ascii="Times New Roman" w:hAnsi="Times New Roman"/>
                <w:bCs/>
                <w:sz w:val="20"/>
                <w:szCs w:val="20"/>
                <w:lang w:eastAsia="uk-UA"/>
              </w:rPr>
              <w:t>В.1.5. Модернізація житлового фонду, покращення якості житлово-комунальних послуг</w:t>
            </w:r>
          </w:p>
        </w:tc>
        <w:tc>
          <w:tcPr>
            <w:tcW w:w="2551" w:type="dxa"/>
            <w:shd w:val="clear" w:color="auto" w:fill="auto"/>
          </w:tcPr>
          <w:p w14:paraId="0F788C3A" w14:textId="7EDE4869" w:rsidR="0059169E" w:rsidRPr="000413EB" w:rsidRDefault="0059169E" w:rsidP="000413EB">
            <w:pPr>
              <w:suppressAutoHyphens/>
              <w:jc w:val="both"/>
              <w:rPr>
                <w:rFonts w:ascii="Times New Roman" w:eastAsia="Lucida Sans Unicode" w:hAnsi="Times New Roman"/>
                <w:kern w:val="1"/>
                <w:sz w:val="20"/>
                <w:szCs w:val="20"/>
                <w:lang w:eastAsia="ar-SA"/>
              </w:rPr>
            </w:pPr>
            <w:r w:rsidRPr="000413EB">
              <w:rPr>
                <w:rFonts w:ascii="Times New Roman" w:eastAsia="Lucida Sans Unicode" w:hAnsi="Times New Roman"/>
                <w:kern w:val="1"/>
                <w:sz w:val="20"/>
                <w:szCs w:val="20"/>
                <w:lang w:eastAsia="ar-SA"/>
              </w:rPr>
              <w:t>В.1.5.3. Модернізація конструктивних елементів багатоповерхових будинків</w:t>
            </w:r>
          </w:p>
        </w:tc>
        <w:tc>
          <w:tcPr>
            <w:tcW w:w="2835" w:type="dxa"/>
            <w:shd w:val="clear" w:color="auto" w:fill="auto"/>
          </w:tcPr>
          <w:p w14:paraId="1EA83888" w14:textId="47853D6A" w:rsidR="0059169E" w:rsidRPr="000413EB" w:rsidRDefault="0059169E" w:rsidP="000413EB">
            <w:pPr>
              <w:jc w:val="both"/>
              <w:rPr>
                <w:rFonts w:ascii="Times New Roman" w:hAnsi="Times New Roman"/>
                <w:sz w:val="20"/>
                <w:szCs w:val="20"/>
                <w:lang w:eastAsia="it-IT"/>
              </w:rPr>
            </w:pPr>
            <w:r w:rsidRPr="000413EB">
              <w:rPr>
                <w:rFonts w:ascii="Times New Roman" w:hAnsi="Times New Roman"/>
                <w:sz w:val="20"/>
                <w:szCs w:val="20"/>
                <w:lang w:eastAsia="it-IT"/>
              </w:rPr>
              <w:t>Капітальний ремонт покрівлі житлового будинку по вул. В. Брезденюка, 53</w:t>
            </w:r>
          </w:p>
        </w:tc>
        <w:tc>
          <w:tcPr>
            <w:tcW w:w="1276" w:type="dxa"/>
            <w:shd w:val="clear" w:color="auto" w:fill="auto"/>
          </w:tcPr>
          <w:p w14:paraId="368D7A5F" w14:textId="4C967C55" w:rsidR="0059169E" w:rsidRPr="000413EB" w:rsidRDefault="0059169E" w:rsidP="000413EB">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2026</w:t>
            </w:r>
          </w:p>
        </w:tc>
        <w:tc>
          <w:tcPr>
            <w:tcW w:w="2345" w:type="dxa"/>
            <w:shd w:val="clear" w:color="auto" w:fill="auto"/>
          </w:tcPr>
          <w:p w14:paraId="34289EF4" w14:textId="77777777" w:rsidR="00177957" w:rsidRDefault="0059169E" w:rsidP="000413EB">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 xml:space="preserve">Управління житлово-комунального господарства міської ради, </w:t>
            </w:r>
          </w:p>
          <w:p w14:paraId="6C9C547E" w14:textId="56527392" w:rsidR="0059169E" w:rsidRPr="000413EB" w:rsidRDefault="0059169E" w:rsidP="000413EB">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фізичні особи підприємці</w:t>
            </w:r>
          </w:p>
        </w:tc>
        <w:tc>
          <w:tcPr>
            <w:tcW w:w="2900" w:type="dxa"/>
            <w:shd w:val="clear" w:color="auto" w:fill="auto"/>
          </w:tcPr>
          <w:p w14:paraId="446258A3" w14:textId="1DF63A2B" w:rsidR="0059169E" w:rsidRPr="000413EB" w:rsidRDefault="0059169E" w:rsidP="000413EB">
            <w:pPr>
              <w:jc w:val="both"/>
              <w:rPr>
                <w:rFonts w:ascii="Times New Roman" w:hAnsi="Times New Roman"/>
                <w:sz w:val="20"/>
                <w:szCs w:val="20"/>
                <w:lang w:eastAsia="it-IT"/>
              </w:rPr>
            </w:pPr>
            <w:r w:rsidRPr="000413EB">
              <w:rPr>
                <w:rFonts w:ascii="Times New Roman" w:hAnsi="Times New Roman"/>
                <w:sz w:val="20"/>
                <w:szCs w:val="20"/>
                <w:lang w:eastAsia="it-IT"/>
              </w:rPr>
              <w:t>Загальна площа покриття, що підлягає ремонту: 312 м2</w:t>
            </w:r>
            <w:r w:rsidR="004D364B">
              <w:rPr>
                <w:rFonts w:ascii="Times New Roman" w:hAnsi="Times New Roman"/>
                <w:sz w:val="20"/>
                <w:szCs w:val="20"/>
                <w:lang w:eastAsia="it-IT"/>
              </w:rPr>
              <w:t>.</w:t>
            </w:r>
          </w:p>
        </w:tc>
      </w:tr>
      <w:tr w:rsidR="00B77E4B" w:rsidRPr="000413EB" w14:paraId="7D1348E0" w14:textId="77777777" w:rsidTr="000413EB">
        <w:tc>
          <w:tcPr>
            <w:tcW w:w="567" w:type="dxa"/>
            <w:shd w:val="clear" w:color="auto" w:fill="auto"/>
          </w:tcPr>
          <w:p w14:paraId="32D130C2" w14:textId="08B276B4" w:rsidR="00B77E4B"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4</w:t>
            </w:r>
            <w:r w:rsidR="0097410E">
              <w:rPr>
                <w:rFonts w:ascii="Times New Roman" w:eastAsia="Arial" w:hAnsi="Times New Roman"/>
                <w:sz w:val="20"/>
                <w:szCs w:val="20"/>
              </w:rPr>
              <w:t>2</w:t>
            </w:r>
          </w:p>
        </w:tc>
        <w:tc>
          <w:tcPr>
            <w:tcW w:w="2694" w:type="dxa"/>
            <w:shd w:val="clear" w:color="auto" w:fill="auto"/>
          </w:tcPr>
          <w:p w14:paraId="1E483E92" w14:textId="77777777" w:rsidR="00B77E4B" w:rsidRPr="000413EB" w:rsidRDefault="00B77E4B" w:rsidP="000413EB">
            <w:pPr>
              <w:jc w:val="both"/>
              <w:rPr>
                <w:rFonts w:ascii="Times New Roman" w:hAnsi="Times New Roman"/>
                <w:bCs/>
                <w:sz w:val="20"/>
                <w:szCs w:val="20"/>
                <w:lang w:eastAsia="uk-UA"/>
              </w:rPr>
            </w:pPr>
            <w:r w:rsidRPr="000413EB">
              <w:rPr>
                <w:rFonts w:ascii="Times New Roman" w:hAnsi="Times New Roman"/>
                <w:bCs/>
                <w:sz w:val="20"/>
                <w:szCs w:val="20"/>
                <w:lang w:eastAsia="uk-UA"/>
              </w:rPr>
              <w:t>В.1.5. Модернізація житлового фонду, покращення якості житлово-комунальних послуг</w:t>
            </w:r>
          </w:p>
        </w:tc>
        <w:tc>
          <w:tcPr>
            <w:tcW w:w="2551" w:type="dxa"/>
            <w:shd w:val="clear" w:color="auto" w:fill="auto"/>
          </w:tcPr>
          <w:p w14:paraId="54953470" w14:textId="77777777" w:rsidR="00B77E4B" w:rsidRPr="000413EB" w:rsidRDefault="00B77E4B" w:rsidP="000413EB">
            <w:pPr>
              <w:suppressAutoHyphens/>
              <w:jc w:val="both"/>
              <w:rPr>
                <w:rFonts w:ascii="Times New Roman" w:eastAsia="Lucida Sans Unicode" w:hAnsi="Times New Roman"/>
                <w:kern w:val="1"/>
                <w:sz w:val="20"/>
                <w:szCs w:val="20"/>
                <w:lang w:eastAsia="ar-SA"/>
              </w:rPr>
            </w:pPr>
            <w:r w:rsidRPr="000413EB">
              <w:rPr>
                <w:rFonts w:ascii="Times New Roman" w:eastAsia="Lucida Sans Unicode" w:hAnsi="Times New Roman"/>
                <w:kern w:val="1"/>
                <w:sz w:val="20"/>
                <w:szCs w:val="20"/>
                <w:lang w:eastAsia="ar-SA"/>
              </w:rPr>
              <w:t>В.1.5.3. Модернізація конструктивних елементів багатоповерхових будинків</w:t>
            </w:r>
          </w:p>
        </w:tc>
        <w:tc>
          <w:tcPr>
            <w:tcW w:w="2835" w:type="dxa"/>
            <w:shd w:val="clear" w:color="auto" w:fill="auto"/>
          </w:tcPr>
          <w:p w14:paraId="7B099EE0" w14:textId="77777777" w:rsidR="00B77E4B" w:rsidRPr="000413EB" w:rsidRDefault="00B77E4B" w:rsidP="000413EB">
            <w:pPr>
              <w:jc w:val="both"/>
              <w:rPr>
                <w:rFonts w:ascii="Times New Roman" w:hAnsi="Times New Roman"/>
                <w:sz w:val="20"/>
                <w:szCs w:val="20"/>
                <w:lang w:eastAsia="it-IT"/>
              </w:rPr>
            </w:pPr>
            <w:r w:rsidRPr="000413EB">
              <w:rPr>
                <w:rFonts w:ascii="Times New Roman" w:hAnsi="Times New Roman"/>
                <w:sz w:val="20"/>
                <w:szCs w:val="20"/>
                <w:lang w:eastAsia="it-IT"/>
              </w:rPr>
              <w:t>Капітальний ремонт багатоквартирного житлового будинку по вул. Пушкіна, 1 в м. Жмеринка Вінницької області (усунення аварійної ситуації)</w:t>
            </w:r>
          </w:p>
        </w:tc>
        <w:tc>
          <w:tcPr>
            <w:tcW w:w="1276" w:type="dxa"/>
            <w:shd w:val="clear" w:color="auto" w:fill="auto"/>
          </w:tcPr>
          <w:p w14:paraId="3B20F0AF" w14:textId="77777777" w:rsidR="00B77E4B" w:rsidRPr="000413EB" w:rsidRDefault="00B77E4B" w:rsidP="000413EB">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 xml:space="preserve">2026 </w:t>
            </w:r>
          </w:p>
        </w:tc>
        <w:tc>
          <w:tcPr>
            <w:tcW w:w="2345" w:type="dxa"/>
            <w:shd w:val="clear" w:color="auto" w:fill="auto"/>
          </w:tcPr>
          <w:p w14:paraId="79BE4668" w14:textId="77777777" w:rsidR="00B77E4B" w:rsidRPr="000413EB" w:rsidRDefault="00B77E4B" w:rsidP="000413EB">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Управління житлово-комунального господарства міської ради</w:t>
            </w:r>
          </w:p>
        </w:tc>
        <w:tc>
          <w:tcPr>
            <w:tcW w:w="2900" w:type="dxa"/>
            <w:shd w:val="clear" w:color="auto" w:fill="auto"/>
          </w:tcPr>
          <w:p w14:paraId="13A00602" w14:textId="25FAB4C9" w:rsidR="00B77E4B" w:rsidRPr="000413EB" w:rsidRDefault="00B77E4B" w:rsidP="000413EB">
            <w:pPr>
              <w:jc w:val="both"/>
              <w:rPr>
                <w:rFonts w:ascii="Times New Roman" w:hAnsi="Times New Roman"/>
                <w:sz w:val="20"/>
                <w:szCs w:val="20"/>
                <w:lang w:eastAsia="it-IT"/>
              </w:rPr>
            </w:pPr>
            <w:r w:rsidRPr="000413EB">
              <w:rPr>
                <w:rFonts w:ascii="Times New Roman" w:hAnsi="Times New Roman"/>
                <w:sz w:val="20"/>
                <w:szCs w:val="20"/>
                <w:lang w:eastAsia="it-IT"/>
              </w:rPr>
              <w:t>Проведено ремонт покрівлі, підсилено конструкції та фундамент</w:t>
            </w:r>
            <w:r w:rsidR="004D364B">
              <w:rPr>
                <w:rFonts w:ascii="Times New Roman" w:hAnsi="Times New Roman"/>
                <w:sz w:val="20"/>
                <w:szCs w:val="20"/>
                <w:lang w:eastAsia="it-IT"/>
              </w:rPr>
              <w:t>.</w:t>
            </w:r>
          </w:p>
        </w:tc>
      </w:tr>
      <w:tr w:rsidR="00B77E4B" w:rsidRPr="000413EB" w14:paraId="7983C376" w14:textId="77777777" w:rsidTr="000413EB">
        <w:tc>
          <w:tcPr>
            <w:tcW w:w="567" w:type="dxa"/>
            <w:shd w:val="clear" w:color="auto" w:fill="auto"/>
          </w:tcPr>
          <w:p w14:paraId="67DFA485" w14:textId="03FED0EB" w:rsidR="00B77E4B"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4</w:t>
            </w:r>
            <w:r w:rsidR="0097410E">
              <w:rPr>
                <w:rFonts w:ascii="Times New Roman" w:eastAsia="Arial" w:hAnsi="Times New Roman"/>
                <w:sz w:val="20"/>
                <w:szCs w:val="20"/>
              </w:rPr>
              <w:t>3</w:t>
            </w:r>
          </w:p>
        </w:tc>
        <w:tc>
          <w:tcPr>
            <w:tcW w:w="2694" w:type="dxa"/>
            <w:shd w:val="clear" w:color="auto" w:fill="auto"/>
          </w:tcPr>
          <w:p w14:paraId="09B778EE" w14:textId="77777777" w:rsidR="00B77E4B" w:rsidRPr="000413EB" w:rsidRDefault="00B77E4B" w:rsidP="000413EB">
            <w:pPr>
              <w:jc w:val="both"/>
              <w:rPr>
                <w:rFonts w:ascii="Times New Roman" w:hAnsi="Times New Roman"/>
                <w:bCs/>
                <w:sz w:val="20"/>
                <w:szCs w:val="20"/>
                <w:lang w:eastAsia="uk-UA"/>
              </w:rPr>
            </w:pPr>
            <w:r w:rsidRPr="000413EB">
              <w:rPr>
                <w:rFonts w:ascii="Times New Roman" w:hAnsi="Times New Roman"/>
                <w:bCs/>
                <w:sz w:val="20"/>
                <w:szCs w:val="20"/>
                <w:lang w:eastAsia="uk-UA"/>
              </w:rPr>
              <w:t>В.1.5. Модернізація житлового фонду, покращення якості житлово-комунальних послуг</w:t>
            </w:r>
          </w:p>
        </w:tc>
        <w:tc>
          <w:tcPr>
            <w:tcW w:w="2551" w:type="dxa"/>
            <w:shd w:val="clear" w:color="auto" w:fill="auto"/>
          </w:tcPr>
          <w:p w14:paraId="5EA70A8A" w14:textId="77777777" w:rsidR="00B77E4B" w:rsidRPr="000413EB" w:rsidRDefault="00B77E4B" w:rsidP="000413EB">
            <w:pPr>
              <w:suppressAutoHyphens/>
              <w:jc w:val="both"/>
              <w:rPr>
                <w:rFonts w:ascii="Times New Roman" w:eastAsia="Lucida Sans Unicode" w:hAnsi="Times New Roman"/>
                <w:kern w:val="1"/>
                <w:sz w:val="20"/>
                <w:szCs w:val="20"/>
                <w:lang w:eastAsia="ar-SA"/>
              </w:rPr>
            </w:pPr>
            <w:r w:rsidRPr="000413EB">
              <w:rPr>
                <w:rFonts w:ascii="Times New Roman" w:eastAsia="Lucida Sans Unicode" w:hAnsi="Times New Roman"/>
                <w:kern w:val="1"/>
                <w:sz w:val="20"/>
                <w:szCs w:val="20"/>
                <w:lang w:eastAsia="ar-SA"/>
              </w:rPr>
              <w:t>В.1.5.3. Модернізація конструктивних елементів багатоповерхових будинків</w:t>
            </w:r>
          </w:p>
        </w:tc>
        <w:tc>
          <w:tcPr>
            <w:tcW w:w="2835" w:type="dxa"/>
            <w:shd w:val="clear" w:color="auto" w:fill="auto"/>
          </w:tcPr>
          <w:p w14:paraId="494C464B" w14:textId="77777777" w:rsidR="00B77E4B" w:rsidRPr="000413EB" w:rsidRDefault="00B77E4B" w:rsidP="000413EB">
            <w:pPr>
              <w:jc w:val="both"/>
              <w:rPr>
                <w:rFonts w:ascii="Times New Roman" w:hAnsi="Times New Roman"/>
                <w:sz w:val="20"/>
                <w:szCs w:val="20"/>
                <w:lang w:eastAsia="it-IT"/>
              </w:rPr>
            </w:pPr>
            <w:r w:rsidRPr="000413EB">
              <w:rPr>
                <w:rFonts w:ascii="Times New Roman" w:hAnsi="Times New Roman"/>
                <w:sz w:val="20"/>
                <w:szCs w:val="20"/>
                <w:lang w:eastAsia="it-IT"/>
              </w:rPr>
              <w:t>Капітальний ремонт адміністративних будівель (А-ІІІцн та Д-Іцн) та прилеглої території по вул. Училищна, 9 в м. Жмеринка Вінницької області</w:t>
            </w:r>
          </w:p>
        </w:tc>
        <w:tc>
          <w:tcPr>
            <w:tcW w:w="1276" w:type="dxa"/>
            <w:shd w:val="clear" w:color="auto" w:fill="auto"/>
          </w:tcPr>
          <w:p w14:paraId="0E31963F" w14:textId="77777777" w:rsidR="00B77E4B" w:rsidRPr="000413EB" w:rsidRDefault="00B77E4B" w:rsidP="000413EB">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 xml:space="preserve">2026 </w:t>
            </w:r>
          </w:p>
        </w:tc>
        <w:tc>
          <w:tcPr>
            <w:tcW w:w="2345" w:type="dxa"/>
            <w:shd w:val="clear" w:color="auto" w:fill="auto"/>
          </w:tcPr>
          <w:p w14:paraId="1F5DB10D" w14:textId="77777777" w:rsidR="00B77E4B" w:rsidRPr="000413EB" w:rsidRDefault="00B77E4B" w:rsidP="000413EB">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Управління житлово-комунального господарства міської ради</w:t>
            </w:r>
          </w:p>
        </w:tc>
        <w:tc>
          <w:tcPr>
            <w:tcW w:w="2900" w:type="dxa"/>
            <w:shd w:val="clear" w:color="auto" w:fill="auto"/>
          </w:tcPr>
          <w:p w14:paraId="685E021B" w14:textId="77777777" w:rsidR="00B77E4B" w:rsidRPr="000413EB" w:rsidRDefault="00B77E4B" w:rsidP="000413EB">
            <w:pPr>
              <w:jc w:val="both"/>
              <w:rPr>
                <w:rFonts w:ascii="Times New Roman" w:hAnsi="Times New Roman"/>
                <w:sz w:val="20"/>
                <w:szCs w:val="20"/>
                <w:lang w:eastAsia="it-IT"/>
              </w:rPr>
            </w:pPr>
            <w:r w:rsidRPr="000413EB">
              <w:rPr>
                <w:rFonts w:ascii="Times New Roman" w:hAnsi="Times New Roman"/>
                <w:sz w:val="20"/>
                <w:szCs w:val="20"/>
                <w:lang w:eastAsia="it-IT"/>
              </w:rPr>
              <w:t>Проведено ремонт внутрішніх приміщень, озеленення та ремонт прибудинкових територій, встановлено нові системи опалення, водопостачання та водовідведення, електромереж та покрівлі.</w:t>
            </w:r>
          </w:p>
        </w:tc>
      </w:tr>
      <w:tr w:rsidR="00B77E4B" w:rsidRPr="000413EB" w14:paraId="0423C77C" w14:textId="77777777" w:rsidTr="000413EB">
        <w:tc>
          <w:tcPr>
            <w:tcW w:w="567" w:type="dxa"/>
            <w:shd w:val="clear" w:color="auto" w:fill="auto"/>
          </w:tcPr>
          <w:p w14:paraId="4EEE7728" w14:textId="786AD56E" w:rsidR="00B77E4B"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4</w:t>
            </w:r>
            <w:r w:rsidR="0097410E">
              <w:rPr>
                <w:rFonts w:ascii="Times New Roman" w:eastAsia="Arial" w:hAnsi="Times New Roman"/>
                <w:sz w:val="20"/>
                <w:szCs w:val="20"/>
              </w:rPr>
              <w:t>4</w:t>
            </w:r>
          </w:p>
        </w:tc>
        <w:tc>
          <w:tcPr>
            <w:tcW w:w="2694" w:type="dxa"/>
            <w:shd w:val="clear" w:color="auto" w:fill="auto"/>
          </w:tcPr>
          <w:p w14:paraId="2D5E2BF3" w14:textId="77777777" w:rsidR="00B77E4B" w:rsidRPr="000413EB" w:rsidRDefault="00B77E4B" w:rsidP="000413EB">
            <w:pPr>
              <w:jc w:val="both"/>
              <w:rPr>
                <w:rFonts w:ascii="Times New Roman" w:hAnsi="Times New Roman"/>
                <w:bCs/>
                <w:sz w:val="20"/>
                <w:szCs w:val="20"/>
                <w:lang w:eastAsia="uk-UA"/>
              </w:rPr>
            </w:pPr>
            <w:r w:rsidRPr="000413EB">
              <w:rPr>
                <w:rFonts w:ascii="Times New Roman" w:hAnsi="Times New Roman"/>
                <w:bCs/>
                <w:sz w:val="20"/>
                <w:szCs w:val="20"/>
                <w:lang w:eastAsia="uk-UA"/>
              </w:rPr>
              <w:t>В.1.5. Модернізація житлового фонду, покращення якості житлово-комунальних послуг</w:t>
            </w:r>
          </w:p>
        </w:tc>
        <w:tc>
          <w:tcPr>
            <w:tcW w:w="2551" w:type="dxa"/>
            <w:shd w:val="clear" w:color="auto" w:fill="auto"/>
          </w:tcPr>
          <w:p w14:paraId="10C8CAC5" w14:textId="77777777" w:rsidR="00B77E4B" w:rsidRPr="000413EB" w:rsidRDefault="00B77E4B" w:rsidP="000413EB">
            <w:pPr>
              <w:suppressAutoHyphens/>
              <w:jc w:val="both"/>
              <w:rPr>
                <w:rFonts w:ascii="Times New Roman" w:eastAsia="Lucida Sans Unicode" w:hAnsi="Times New Roman"/>
                <w:kern w:val="1"/>
                <w:sz w:val="20"/>
                <w:szCs w:val="20"/>
                <w:lang w:eastAsia="ar-SA"/>
              </w:rPr>
            </w:pPr>
            <w:r w:rsidRPr="000413EB">
              <w:rPr>
                <w:rFonts w:ascii="Times New Roman" w:eastAsia="Lucida Sans Unicode" w:hAnsi="Times New Roman"/>
                <w:kern w:val="1"/>
                <w:sz w:val="20"/>
                <w:szCs w:val="20"/>
                <w:lang w:eastAsia="ar-SA"/>
              </w:rPr>
              <w:t>В.1.5.3. Модернізація конструктивних елементів багатоповерхових будинків</w:t>
            </w:r>
          </w:p>
        </w:tc>
        <w:tc>
          <w:tcPr>
            <w:tcW w:w="2835" w:type="dxa"/>
            <w:shd w:val="clear" w:color="auto" w:fill="auto"/>
          </w:tcPr>
          <w:p w14:paraId="0217919B" w14:textId="77777777" w:rsidR="00B77E4B" w:rsidRPr="000413EB" w:rsidRDefault="00B77E4B" w:rsidP="000413EB">
            <w:pPr>
              <w:jc w:val="both"/>
              <w:rPr>
                <w:rFonts w:ascii="Times New Roman" w:hAnsi="Times New Roman"/>
                <w:sz w:val="20"/>
                <w:szCs w:val="20"/>
                <w:lang w:eastAsia="it-IT"/>
              </w:rPr>
            </w:pPr>
            <w:r w:rsidRPr="000413EB">
              <w:rPr>
                <w:rFonts w:ascii="Times New Roman" w:hAnsi="Times New Roman"/>
                <w:sz w:val="20"/>
                <w:szCs w:val="20"/>
                <w:lang w:eastAsia="it-IT"/>
              </w:rPr>
              <w:t>Капітальний ремонт багатоквартирного житлового будинку по вул. Героїв Крут, 21 в м. Жмеринка Вінницької області (усунення аварійної ситуації)</w:t>
            </w:r>
          </w:p>
        </w:tc>
        <w:tc>
          <w:tcPr>
            <w:tcW w:w="1276" w:type="dxa"/>
            <w:shd w:val="clear" w:color="auto" w:fill="auto"/>
          </w:tcPr>
          <w:p w14:paraId="5D3996F6" w14:textId="77777777" w:rsidR="00B77E4B" w:rsidRPr="000413EB" w:rsidRDefault="00B77E4B" w:rsidP="000413EB">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2027</w:t>
            </w:r>
          </w:p>
        </w:tc>
        <w:tc>
          <w:tcPr>
            <w:tcW w:w="2345" w:type="dxa"/>
            <w:shd w:val="clear" w:color="auto" w:fill="auto"/>
          </w:tcPr>
          <w:p w14:paraId="0561494B" w14:textId="77777777" w:rsidR="00B77E4B" w:rsidRPr="000413EB" w:rsidRDefault="00B77E4B" w:rsidP="000413EB">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Управління житлово-комунального господарства міської ради</w:t>
            </w:r>
          </w:p>
        </w:tc>
        <w:tc>
          <w:tcPr>
            <w:tcW w:w="2900" w:type="dxa"/>
            <w:shd w:val="clear" w:color="auto" w:fill="auto"/>
          </w:tcPr>
          <w:p w14:paraId="00457846" w14:textId="10584924" w:rsidR="00B77E4B" w:rsidRPr="000413EB" w:rsidRDefault="00B77E4B" w:rsidP="000413EB">
            <w:pPr>
              <w:jc w:val="both"/>
              <w:rPr>
                <w:rFonts w:ascii="Times New Roman" w:hAnsi="Times New Roman"/>
                <w:sz w:val="20"/>
                <w:szCs w:val="20"/>
                <w:lang w:eastAsia="it-IT"/>
              </w:rPr>
            </w:pPr>
            <w:r w:rsidRPr="000413EB">
              <w:rPr>
                <w:rFonts w:ascii="Times New Roman" w:hAnsi="Times New Roman"/>
                <w:sz w:val="20"/>
                <w:szCs w:val="20"/>
                <w:lang w:eastAsia="it-IT"/>
              </w:rPr>
              <w:t>Проведено ремонт покрівлі, підсилено конструкції та фундамент</w:t>
            </w:r>
            <w:r w:rsidR="004D364B">
              <w:rPr>
                <w:rFonts w:ascii="Times New Roman" w:hAnsi="Times New Roman"/>
                <w:sz w:val="20"/>
                <w:szCs w:val="20"/>
                <w:lang w:eastAsia="it-IT"/>
              </w:rPr>
              <w:t>.</w:t>
            </w:r>
          </w:p>
        </w:tc>
      </w:tr>
      <w:tr w:rsidR="00B77E4B" w:rsidRPr="000413EB" w14:paraId="4C67C9B8" w14:textId="77777777" w:rsidTr="000413EB">
        <w:tc>
          <w:tcPr>
            <w:tcW w:w="567" w:type="dxa"/>
            <w:shd w:val="clear" w:color="auto" w:fill="auto"/>
          </w:tcPr>
          <w:p w14:paraId="6BA8A069" w14:textId="6A8ED52A" w:rsidR="00B77E4B"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4</w:t>
            </w:r>
            <w:r w:rsidR="0097410E">
              <w:rPr>
                <w:rFonts w:ascii="Times New Roman" w:eastAsia="Arial" w:hAnsi="Times New Roman"/>
                <w:sz w:val="20"/>
                <w:szCs w:val="20"/>
              </w:rPr>
              <w:t>5</w:t>
            </w:r>
          </w:p>
        </w:tc>
        <w:tc>
          <w:tcPr>
            <w:tcW w:w="2694" w:type="dxa"/>
            <w:shd w:val="clear" w:color="auto" w:fill="auto"/>
          </w:tcPr>
          <w:p w14:paraId="3F1EC57B" w14:textId="77777777" w:rsidR="00B77E4B" w:rsidRPr="000413EB" w:rsidRDefault="00B77E4B" w:rsidP="000413EB">
            <w:pPr>
              <w:jc w:val="both"/>
              <w:rPr>
                <w:rFonts w:ascii="Times New Roman" w:hAnsi="Times New Roman"/>
                <w:bCs/>
                <w:sz w:val="20"/>
                <w:szCs w:val="20"/>
                <w:lang w:eastAsia="uk-UA"/>
              </w:rPr>
            </w:pPr>
            <w:r w:rsidRPr="000413EB">
              <w:rPr>
                <w:rFonts w:ascii="Times New Roman" w:hAnsi="Times New Roman"/>
                <w:bCs/>
                <w:sz w:val="20"/>
                <w:szCs w:val="20"/>
                <w:lang w:eastAsia="uk-UA"/>
              </w:rPr>
              <w:t>В.1.5. Модернізація житлового фонду, покращення якості житлово-комунальних послуг</w:t>
            </w:r>
          </w:p>
        </w:tc>
        <w:tc>
          <w:tcPr>
            <w:tcW w:w="2551" w:type="dxa"/>
            <w:shd w:val="clear" w:color="auto" w:fill="auto"/>
          </w:tcPr>
          <w:p w14:paraId="1A8AD195" w14:textId="77777777" w:rsidR="00B77E4B" w:rsidRPr="000413EB" w:rsidRDefault="00B77E4B" w:rsidP="000413EB">
            <w:pPr>
              <w:suppressAutoHyphens/>
              <w:jc w:val="both"/>
              <w:rPr>
                <w:rFonts w:ascii="Times New Roman" w:eastAsia="Lucida Sans Unicode" w:hAnsi="Times New Roman"/>
                <w:kern w:val="1"/>
                <w:sz w:val="20"/>
                <w:szCs w:val="20"/>
                <w:lang w:eastAsia="ar-SA"/>
              </w:rPr>
            </w:pPr>
            <w:r w:rsidRPr="000413EB">
              <w:rPr>
                <w:rFonts w:ascii="Times New Roman" w:eastAsia="Lucida Sans Unicode" w:hAnsi="Times New Roman"/>
                <w:kern w:val="1"/>
                <w:sz w:val="20"/>
                <w:szCs w:val="20"/>
                <w:lang w:eastAsia="ar-SA"/>
              </w:rPr>
              <w:t>В.1.5.3. Модернізація конструктивних елементів багатоповерхових будинків</w:t>
            </w:r>
          </w:p>
        </w:tc>
        <w:tc>
          <w:tcPr>
            <w:tcW w:w="2835" w:type="dxa"/>
            <w:shd w:val="clear" w:color="auto" w:fill="auto"/>
          </w:tcPr>
          <w:p w14:paraId="5A97090F" w14:textId="77777777" w:rsidR="00B77E4B" w:rsidRPr="000413EB" w:rsidRDefault="00B77E4B" w:rsidP="000413EB">
            <w:pPr>
              <w:jc w:val="both"/>
              <w:rPr>
                <w:rFonts w:ascii="Times New Roman" w:hAnsi="Times New Roman"/>
                <w:sz w:val="20"/>
                <w:szCs w:val="20"/>
                <w:lang w:eastAsia="it-IT"/>
              </w:rPr>
            </w:pPr>
            <w:r w:rsidRPr="000413EB">
              <w:rPr>
                <w:rFonts w:ascii="Times New Roman" w:hAnsi="Times New Roman"/>
                <w:sz w:val="20"/>
                <w:szCs w:val="20"/>
                <w:lang w:eastAsia="it-IT"/>
              </w:rPr>
              <w:t>Капітальний ремонт багатоквартирного житлового будинку по вул. Шекінська 51А Жмеринка Вінницької області (усунення аварійної ситуації)</w:t>
            </w:r>
          </w:p>
        </w:tc>
        <w:tc>
          <w:tcPr>
            <w:tcW w:w="1276" w:type="dxa"/>
            <w:shd w:val="clear" w:color="auto" w:fill="auto"/>
          </w:tcPr>
          <w:p w14:paraId="6F436CAC" w14:textId="77777777" w:rsidR="00B77E4B" w:rsidRPr="000413EB" w:rsidRDefault="00B77E4B" w:rsidP="000413EB">
            <w:pPr>
              <w:widowControl w:val="0"/>
              <w:tabs>
                <w:tab w:val="left" w:pos="566"/>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 xml:space="preserve">2028 </w:t>
            </w:r>
          </w:p>
        </w:tc>
        <w:tc>
          <w:tcPr>
            <w:tcW w:w="2345" w:type="dxa"/>
            <w:shd w:val="clear" w:color="auto" w:fill="auto"/>
          </w:tcPr>
          <w:p w14:paraId="08ACF5BA" w14:textId="77777777" w:rsidR="00B77E4B" w:rsidRPr="000413EB" w:rsidRDefault="00B77E4B" w:rsidP="000413EB">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Управління житлово-комунального господарства міської ради</w:t>
            </w:r>
          </w:p>
        </w:tc>
        <w:tc>
          <w:tcPr>
            <w:tcW w:w="2900" w:type="dxa"/>
            <w:shd w:val="clear" w:color="auto" w:fill="auto"/>
          </w:tcPr>
          <w:p w14:paraId="6E5BA221" w14:textId="63B776E0" w:rsidR="00B77E4B" w:rsidRPr="000413EB" w:rsidRDefault="00B77E4B" w:rsidP="000413EB">
            <w:pPr>
              <w:jc w:val="both"/>
              <w:rPr>
                <w:rFonts w:ascii="Times New Roman" w:hAnsi="Times New Roman"/>
                <w:sz w:val="20"/>
                <w:szCs w:val="20"/>
                <w:lang w:eastAsia="it-IT"/>
              </w:rPr>
            </w:pPr>
            <w:r w:rsidRPr="000413EB">
              <w:rPr>
                <w:rFonts w:ascii="Times New Roman" w:hAnsi="Times New Roman"/>
                <w:sz w:val="20"/>
                <w:szCs w:val="20"/>
                <w:lang w:eastAsia="it-IT"/>
              </w:rPr>
              <w:t>Проведено ремонт покрівлі, підсилено конструкції та фундамент</w:t>
            </w:r>
            <w:r w:rsidR="004D364B">
              <w:rPr>
                <w:rFonts w:ascii="Times New Roman" w:hAnsi="Times New Roman"/>
                <w:sz w:val="20"/>
                <w:szCs w:val="20"/>
                <w:lang w:eastAsia="it-IT"/>
              </w:rPr>
              <w:t>.</w:t>
            </w:r>
          </w:p>
        </w:tc>
      </w:tr>
      <w:tr w:rsidR="0059169E" w:rsidRPr="000413EB" w14:paraId="4BB1EB64" w14:textId="77777777" w:rsidTr="000413EB">
        <w:tc>
          <w:tcPr>
            <w:tcW w:w="567" w:type="dxa"/>
            <w:shd w:val="clear" w:color="auto" w:fill="auto"/>
          </w:tcPr>
          <w:p w14:paraId="1C8683C8" w14:textId="3E79698D" w:rsidR="0059169E"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4</w:t>
            </w:r>
            <w:r w:rsidR="0097410E">
              <w:rPr>
                <w:rFonts w:ascii="Times New Roman" w:eastAsia="Arial" w:hAnsi="Times New Roman"/>
                <w:sz w:val="20"/>
                <w:szCs w:val="20"/>
              </w:rPr>
              <w:t>6</w:t>
            </w:r>
          </w:p>
        </w:tc>
        <w:tc>
          <w:tcPr>
            <w:tcW w:w="2694" w:type="dxa"/>
            <w:shd w:val="clear" w:color="auto" w:fill="auto"/>
          </w:tcPr>
          <w:p w14:paraId="6F7A5CC1" w14:textId="0E92FFEF" w:rsidR="0059169E" w:rsidRPr="000413EB" w:rsidRDefault="0059169E" w:rsidP="000413EB">
            <w:pPr>
              <w:jc w:val="both"/>
              <w:rPr>
                <w:rFonts w:ascii="Times New Roman" w:hAnsi="Times New Roman"/>
                <w:bCs/>
                <w:sz w:val="20"/>
                <w:szCs w:val="20"/>
                <w:lang w:eastAsia="uk-UA"/>
              </w:rPr>
            </w:pPr>
            <w:r w:rsidRPr="000413EB">
              <w:rPr>
                <w:rFonts w:ascii="Times New Roman" w:hAnsi="Times New Roman"/>
                <w:bCs/>
                <w:sz w:val="20"/>
                <w:szCs w:val="20"/>
                <w:lang w:eastAsia="uk-UA"/>
              </w:rPr>
              <w:t>В.1.5. Модернізація житлового фонду, покращення якості житлово-комунальних послуг</w:t>
            </w:r>
          </w:p>
        </w:tc>
        <w:tc>
          <w:tcPr>
            <w:tcW w:w="2551" w:type="dxa"/>
            <w:shd w:val="clear" w:color="auto" w:fill="auto"/>
          </w:tcPr>
          <w:p w14:paraId="444554CB" w14:textId="387125BA" w:rsidR="0059169E" w:rsidRPr="000413EB" w:rsidRDefault="0059169E" w:rsidP="000413EB">
            <w:pPr>
              <w:suppressAutoHyphens/>
              <w:jc w:val="both"/>
              <w:rPr>
                <w:rFonts w:ascii="Times New Roman" w:eastAsia="Lucida Sans Unicode" w:hAnsi="Times New Roman"/>
                <w:kern w:val="1"/>
                <w:sz w:val="20"/>
                <w:szCs w:val="20"/>
                <w:lang w:eastAsia="ar-SA"/>
              </w:rPr>
            </w:pPr>
            <w:r w:rsidRPr="000413EB">
              <w:rPr>
                <w:rFonts w:ascii="Times New Roman" w:eastAsia="Lucida Sans Unicode" w:hAnsi="Times New Roman"/>
                <w:kern w:val="1"/>
                <w:sz w:val="20"/>
                <w:szCs w:val="20"/>
                <w:lang w:eastAsia="ar-SA"/>
              </w:rPr>
              <w:t>В.1.5.8. Капітальний ремонт прибудинкових територій.</w:t>
            </w:r>
          </w:p>
        </w:tc>
        <w:tc>
          <w:tcPr>
            <w:tcW w:w="2835" w:type="dxa"/>
            <w:shd w:val="clear" w:color="auto" w:fill="auto"/>
          </w:tcPr>
          <w:p w14:paraId="32D2D32D" w14:textId="67C1295C" w:rsidR="0059169E" w:rsidRPr="000413EB" w:rsidRDefault="0059169E" w:rsidP="000413EB">
            <w:pPr>
              <w:jc w:val="both"/>
              <w:rPr>
                <w:rFonts w:ascii="Times New Roman" w:hAnsi="Times New Roman"/>
                <w:sz w:val="20"/>
                <w:szCs w:val="20"/>
                <w:lang w:eastAsia="it-IT"/>
              </w:rPr>
            </w:pPr>
            <w:r w:rsidRPr="000413EB">
              <w:rPr>
                <w:rFonts w:ascii="Times New Roman" w:hAnsi="Times New Roman"/>
                <w:sz w:val="20"/>
                <w:szCs w:val="20"/>
                <w:lang w:eastAsia="it-IT"/>
              </w:rPr>
              <w:t>Капітальний ремонт прибудинкових територій по вул. Горького, 3 та вул. Грушевського, 8 в м. Жмеринка Вінницької області</w:t>
            </w:r>
          </w:p>
        </w:tc>
        <w:tc>
          <w:tcPr>
            <w:tcW w:w="1276" w:type="dxa"/>
            <w:shd w:val="clear" w:color="auto" w:fill="auto"/>
          </w:tcPr>
          <w:p w14:paraId="5CFC409C" w14:textId="785C91A0" w:rsidR="0059169E" w:rsidRPr="000413EB" w:rsidRDefault="0059169E" w:rsidP="000413EB">
            <w:pPr>
              <w:widowControl w:val="0"/>
              <w:tabs>
                <w:tab w:val="left" w:pos="566"/>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2026</w:t>
            </w:r>
          </w:p>
        </w:tc>
        <w:tc>
          <w:tcPr>
            <w:tcW w:w="2345" w:type="dxa"/>
            <w:shd w:val="clear" w:color="auto" w:fill="auto"/>
          </w:tcPr>
          <w:p w14:paraId="71B0F007" w14:textId="77777777" w:rsidR="00177957" w:rsidRDefault="0059169E" w:rsidP="000413EB">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 xml:space="preserve">Управління житлово-комунального господарства міської ради, </w:t>
            </w:r>
          </w:p>
          <w:p w14:paraId="544783A7" w14:textId="6F7B8BD9" w:rsidR="0059169E" w:rsidRPr="000413EB" w:rsidRDefault="0059169E" w:rsidP="000413EB">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фізичні особи підприємці</w:t>
            </w:r>
          </w:p>
        </w:tc>
        <w:tc>
          <w:tcPr>
            <w:tcW w:w="2900" w:type="dxa"/>
            <w:shd w:val="clear" w:color="auto" w:fill="auto"/>
          </w:tcPr>
          <w:p w14:paraId="5692757C" w14:textId="7873B4E2" w:rsidR="0059169E" w:rsidRPr="000413EB" w:rsidRDefault="0059169E" w:rsidP="000413EB">
            <w:pPr>
              <w:jc w:val="both"/>
              <w:rPr>
                <w:rFonts w:ascii="Times New Roman" w:hAnsi="Times New Roman"/>
                <w:sz w:val="20"/>
                <w:szCs w:val="20"/>
                <w:lang w:eastAsia="it-IT"/>
              </w:rPr>
            </w:pPr>
            <w:r w:rsidRPr="000413EB">
              <w:rPr>
                <w:rFonts w:ascii="Times New Roman" w:hAnsi="Times New Roman"/>
                <w:sz w:val="20"/>
                <w:szCs w:val="20"/>
                <w:lang w:eastAsia="it-IT"/>
              </w:rPr>
              <w:t>Площа території яка підлягає під реконструкцію: 18049 м2</w:t>
            </w:r>
          </w:p>
        </w:tc>
      </w:tr>
      <w:tr w:rsidR="00B77E4B" w:rsidRPr="000413EB" w14:paraId="73F6B8FE" w14:textId="77777777" w:rsidTr="000413EB">
        <w:tc>
          <w:tcPr>
            <w:tcW w:w="567" w:type="dxa"/>
            <w:shd w:val="clear" w:color="auto" w:fill="auto"/>
          </w:tcPr>
          <w:p w14:paraId="44B269E4" w14:textId="47DE10EE" w:rsidR="00B77E4B"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4</w:t>
            </w:r>
            <w:r w:rsidR="0097410E">
              <w:rPr>
                <w:rFonts w:ascii="Times New Roman" w:eastAsia="Arial" w:hAnsi="Times New Roman"/>
                <w:sz w:val="20"/>
                <w:szCs w:val="20"/>
              </w:rPr>
              <w:t>7</w:t>
            </w:r>
          </w:p>
        </w:tc>
        <w:tc>
          <w:tcPr>
            <w:tcW w:w="2694" w:type="dxa"/>
            <w:shd w:val="clear" w:color="auto" w:fill="auto"/>
          </w:tcPr>
          <w:p w14:paraId="4C7289BF" w14:textId="71B6898B" w:rsidR="00B77E4B" w:rsidRPr="000413EB" w:rsidRDefault="00B77E4B" w:rsidP="0097410E">
            <w:pPr>
              <w:widowControl w:val="0"/>
              <w:tabs>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В.2.1. Ефективний муніципальний енергоменеджмент, енергомоніторинг та реалізація заходів ПДСЕР і К</w:t>
            </w:r>
          </w:p>
        </w:tc>
        <w:tc>
          <w:tcPr>
            <w:tcW w:w="2551" w:type="dxa"/>
            <w:shd w:val="clear" w:color="auto" w:fill="auto"/>
          </w:tcPr>
          <w:p w14:paraId="611B4245" w14:textId="77777777" w:rsidR="00B77E4B" w:rsidRPr="000413EB" w:rsidRDefault="00B77E4B" w:rsidP="000413EB">
            <w:pPr>
              <w:pBdr>
                <w:left w:val="single" w:sz="18" w:space="4" w:color="auto"/>
              </w:pBdr>
              <w:jc w:val="both"/>
              <w:rPr>
                <w:rFonts w:ascii="Times New Roman" w:hAnsi="Times New Roman"/>
                <w:sz w:val="20"/>
                <w:szCs w:val="20"/>
                <w:lang w:eastAsia="it-IT"/>
              </w:rPr>
            </w:pPr>
            <w:r w:rsidRPr="000413EB">
              <w:rPr>
                <w:rFonts w:ascii="Times New Roman" w:hAnsi="Times New Roman"/>
                <w:sz w:val="20"/>
                <w:szCs w:val="20"/>
                <w:lang w:eastAsia="it-IT"/>
              </w:rPr>
              <w:t>В.2.1.2.Впровадження інформаційної системи енергомоніторингу, аналіз виконання та розробка плану дій сталого енергетичного розвитку</w:t>
            </w:r>
          </w:p>
        </w:tc>
        <w:tc>
          <w:tcPr>
            <w:tcW w:w="2835" w:type="dxa"/>
            <w:shd w:val="clear" w:color="auto" w:fill="auto"/>
          </w:tcPr>
          <w:p w14:paraId="6DCA41C2" w14:textId="77777777" w:rsidR="00B77E4B" w:rsidRPr="000413EB" w:rsidRDefault="00B77E4B" w:rsidP="000413EB">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hAnsi="Times New Roman"/>
                <w:sz w:val="20"/>
                <w:szCs w:val="20"/>
                <w:lang w:eastAsia="it-IT"/>
              </w:rPr>
              <w:t>Вдосконалення системи муніципального енергоменеджменту, запровадження енергомоніторингу фахова освіта та підготовка енергоменеджерів. Розробка та впровадження Муніципального енергетичного плану.</w:t>
            </w:r>
          </w:p>
        </w:tc>
        <w:tc>
          <w:tcPr>
            <w:tcW w:w="1276" w:type="dxa"/>
            <w:shd w:val="clear" w:color="auto" w:fill="auto"/>
          </w:tcPr>
          <w:p w14:paraId="03499083" w14:textId="77777777" w:rsidR="00B77E4B" w:rsidRPr="000413EB" w:rsidRDefault="00B77E4B" w:rsidP="000413EB">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2025-2028</w:t>
            </w:r>
          </w:p>
        </w:tc>
        <w:tc>
          <w:tcPr>
            <w:tcW w:w="2345" w:type="dxa"/>
            <w:shd w:val="clear" w:color="auto" w:fill="auto"/>
          </w:tcPr>
          <w:p w14:paraId="3839ADC2" w14:textId="77777777" w:rsidR="00B77E4B" w:rsidRPr="000413EB" w:rsidRDefault="00B77E4B" w:rsidP="000413EB">
            <w:pPr>
              <w:widowControl w:val="0"/>
              <w:tabs>
                <w:tab w:val="left" w:pos="0"/>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Управління економіки  та розвитку інфраструктури виконавчого комітету  міської ради</w:t>
            </w:r>
          </w:p>
        </w:tc>
        <w:tc>
          <w:tcPr>
            <w:tcW w:w="2900" w:type="dxa"/>
            <w:shd w:val="clear" w:color="auto" w:fill="auto"/>
          </w:tcPr>
          <w:p w14:paraId="17CBBFDA" w14:textId="77777777" w:rsidR="00B77E4B" w:rsidRPr="000413EB" w:rsidRDefault="00B77E4B" w:rsidP="000413EB">
            <w:pPr>
              <w:jc w:val="both"/>
              <w:rPr>
                <w:rFonts w:ascii="Times New Roman" w:hAnsi="Times New Roman"/>
                <w:sz w:val="20"/>
                <w:szCs w:val="20"/>
              </w:rPr>
            </w:pPr>
            <w:r w:rsidRPr="000413EB">
              <w:rPr>
                <w:rFonts w:ascii="Times New Roman" w:hAnsi="Times New Roman"/>
                <w:sz w:val="20"/>
                <w:szCs w:val="20"/>
              </w:rPr>
              <w:t>Проведено навчання енергоменеджерів бюджетних закладів із програмою моніторингу енергоспоживання АСЕМ – 60 осіб.</w:t>
            </w:r>
          </w:p>
          <w:p w14:paraId="7E8BC68A" w14:textId="77777777" w:rsidR="00B77E4B" w:rsidRPr="000413EB" w:rsidRDefault="00B77E4B" w:rsidP="000413EB">
            <w:pPr>
              <w:jc w:val="both"/>
              <w:rPr>
                <w:rFonts w:ascii="Times New Roman" w:hAnsi="Times New Roman"/>
                <w:sz w:val="20"/>
                <w:szCs w:val="20"/>
              </w:rPr>
            </w:pPr>
            <w:r w:rsidRPr="000413EB">
              <w:rPr>
                <w:rFonts w:ascii="Times New Roman" w:hAnsi="Times New Roman"/>
                <w:sz w:val="20"/>
                <w:szCs w:val="20"/>
              </w:rPr>
              <w:t>Проведено технічну інвентаризацію окремих будівель – 111 будівель.</w:t>
            </w:r>
          </w:p>
          <w:p w14:paraId="534C8CC0" w14:textId="77777777" w:rsidR="00B77E4B" w:rsidRPr="000413EB" w:rsidRDefault="00B77E4B" w:rsidP="000413EB">
            <w:pPr>
              <w:jc w:val="both"/>
              <w:rPr>
                <w:rFonts w:ascii="Times New Roman" w:hAnsi="Times New Roman"/>
                <w:sz w:val="20"/>
                <w:szCs w:val="20"/>
              </w:rPr>
            </w:pPr>
            <w:r w:rsidRPr="000413EB">
              <w:rPr>
                <w:rFonts w:ascii="Times New Roman" w:hAnsi="Times New Roman"/>
                <w:sz w:val="20"/>
                <w:szCs w:val="20"/>
              </w:rPr>
              <w:t>Розроблено Муніципальний енергетичний план.</w:t>
            </w:r>
          </w:p>
          <w:p w14:paraId="3AC07BE4" w14:textId="77777777" w:rsidR="00B77E4B" w:rsidRPr="000413EB" w:rsidRDefault="00B77E4B" w:rsidP="000413EB">
            <w:pPr>
              <w:jc w:val="both"/>
              <w:rPr>
                <w:rFonts w:ascii="Times New Roman" w:hAnsi="Times New Roman"/>
                <w:sz w:val="20"/>
                <w:szCs w:val="20"/>
              </w:rPr>
            </w:pPr>
            <w:r w:rsidRPr="000413EB">
              <w:rPr>
                <w:rFonts w:ascii="Times New Roman" w:hAnsi="Times New Roman"/>
                <w:sz w:val="20"/>
                <w:szCs w:val="20"/>
              </w:rPr>
              <w:t>Зменшено загальний обсяг споживання енергії в муніципальних будівлях – на 10%.</w:t>
            </w:r>
          </w:p>
          <w:p w14:paraId="055DA104" w14:textId="77777777" w:rsidR="00B77E4B" w:rsidRPr="000413EB" w:rsidRDefault="00B77E4B" w:rsidP="000413EB">
            <w:pPr>
              <w:jc w:val="both"/>
              <w:rPr>
                <w:rFonts w:ascii="Times New Roman" w:hAnsi="Times New Roman"/>
                <w:sz w:val="20"/>
                <w:szCs w:val="20"/>
                <w:lang w:eastAsia="it-IT"/>
              </w:rPr>
            </w:pPr>
            <w:r w:rsidRPr="000413EB">
              <w:rPr>
                <w:rFonts w:ascii="Times New Roman" w:hAnsi="Times New Roman"/>
                <w:sz w:val="20"/>
                <w:szCs w:val="20"/>
              </w:rPr>
              <w:t>Скорочено викиди СО</w:t>
            </w:r>
            <w:r w:rsidRPr="000413EB">
              <w:rPr>
                <w:rFonts w:ascii="Times New Roman" w:hAnsi="Times New Roman"/>
                <w:sz w:val="20"/>
                <w:szCs w:val="20"/>
                <w:vertAlign w:val="subscript"/>
              </w:rPr>
              <w:t>2</w:t>
            </w:r>
          </w:p>
        </w:tc>
      </w:tr>
      <w:tr w:rsidR="00B77E4B" w:rsidRPr="000413EB" w14:paraId="523BFE41" w14:textId="77777777" w:rsidTr="000413EB">
        <w:tc>
          <w:tcPr>
            <w:tcW w:w="567" w:type="dxa"/>
            <w:shd w:val="clear" w:color="auto" w:fill="auto"/>
          </w:tcPr>
          <w:p w14:paraId="5B23DE5C" w14:textId="32BAFD6D" w:rsidR="00B77E4B"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4</w:t>
            </w:r>
            <w:r w:rsidR="0097410E">
              <w:rPr>
                <w:rFonts w:ascii="Times New Roman" w:eastAsia="Arial" w:hAnsi="Times New Roman"/>
                <w:sz w:val="20"/>
                <w:szCs w:val="20"/>
              </w:rPr>
              <w:t>8</w:t>
            </w:r>
          </w:p>
        </w:tc>
        <w:tc>
          <w:tcPr>
            <w:tcW w:w="2694" w:type="dxa"/>
            <w:shd w:val="clear" w:color="auto" w:fill="auto"/>
          </w:tcPr>
          <w:p w14:paraId="0A165374" w14:textId="77777777" w:rsidR="00B77E4B" w:rsidRPr="000413EB" w:rsidRDefault="00B77E4B" w:rsidP="000413EB">
            <w:pPr>
              <w:jc w:val="both"/>
              <w:rPr>
                <w:rFonts w:ascii="Times New Roman" w:hAnsi="Times New Roman"/>
                <w:bCs/>
                <w:sz w:val="20"/>
                <w:szCs w:val="20"/>
                <w:lang w:eastAsia="it-IT"/>
              </w:rPr>
            </w:pPr>
            <w:r w:rsidRPr="000413EB">
              <w:rPr>
                <w:rFonts w:ascii="Times New Roman" w:hAnsi="Times New Roman"/>
                <w:bCs/>
                <w:sz w:val="20"/>
                <w:szCs w:val="20"/>
                <w:lang w:eastAsia="it-IT"/>
              </w:rPr>
              <w:t>В.2.2. Енергоефективні будівлі бюджетної, комунальної, житлової сфери та енергоаудит</w:t>
            </w:r>
          </w:p>
          <w:p w14:paraId="158C4F6D" w14:textId="77777777" w:rsidR="00B77E4B" w:rsidRPr="000413EB" w:rsidRDefault="00B77E4B" w:rsidP="000413EB">
            <w:pPr>
              <w:jc w:val="both"/>
              <w:rPr>
                <w:rFonts w:ascii="Times New Roman" w:hAnsi="Times New Roman"/>
                <w:sz w:val="20"/>
                <w:szCs w:val="20"/>
                <w:lang w:eastAsia="it-IT"/>
              </w:rPr>
            </w:pPr>
          </w:p>
        </w:tc>
        <w:tc>
          <w:tcPr>
            <w:tcW w:w="2551" w:type="dxa"/>
            <w:shd w:val="clear" w:color="auto" w:fill="auto"/>
          </w:tcPr>
          <w:p w14:paraId="42CFCA9C" w14:textId="77777777" w:rsidR="00B77E4B" w:rsidRPr="000413EB" w:rsidRDefault="00B77E4B" w:rsidP="000413EB">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hAnsi="Times New Roman"/>
                <w:color w:val="000000"/>
                <w:sz w:val="20"/>
                <w:szCs w:val="20"/>
              </w:rPr>
              <w:t>В.2.2.3. Впровадження енергоефективних заходів та обладнання на об’єктах  комунальної власності громади, забезпечення термомодернізації об’єктів комунальної власності.</w:t>
            </w:r>
          </w:p>
        </w:tc>
        <w:tc>
          <w:tcPr>
            <w:tcW w:w="2835" w:type="dxa"/>
            <w:shd w:val="clear" w:color="auto" w:fill="auto"/>
          </w:tcPr>
          <w:p w14:paraId="389C9D7C" w14:textId="77777777" w:rsidR="00B77E4B" w:rsidRPr="000413EB" w:rsidRDefault="00B77E4B" w:rsidP="000413EB">
            <w:pPr>
              <w:jc w:val="both"/>
              <w:rPr>
                <w:rFonts w:ascii="Times New Roman" w:hAnsi="Times New Roman"/>
                <w:sz w:val="20"/>
                <w:szCs w:val="20"/>
                <w:lang w:eastAsia="it-IT"/>
              </w:rPr>
            </w:pPr>
            <w:r w:rsidRPr="000413EB">
              <w:rPr>
                <w:rFonts w:ascii="Times New Roman" w:hAnsi="Times New Roman"/>
                <w:sz w:val="20"/>
                <w:szCs w:val="20"/>
                <w:lang w:eastAsia="it-IT"/>
              </w:rPr>
              <w:t>Встановлення гібридної СЕС  в   КНП «Жмеринська ЦРЛ»</w:t>
            </w:r>
          </w:p>
        </w:tc>
        <w:tc>
          <w:tcPr>
            <w:tcW w:w="1276" w:type="dxa"/>
            <w:shd w:val="clear" w:color="auto" w:fill="auto"/>
          </w:tcPr>
          <w:p w14:paraId="6B527D94" w14:textId="77777777" w:rsidR="00B77E4B" w:rsidRPr="000413EB" w:rsidRDefault="00B77E4B" w:rsidP="000413EB">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 xml:space="preserve">2025-2026 </w:t>
            </w:r>
          </w:p>
        </w:tc>
        <w:tc>
          <w:tcPr>
            <w:tcW w:w="2345" w:type="dxa"/>
            <w:shd w:val="clear" w:color="auto" w:fill="auto"/>
          </w:tcPr>
          <w:p w14:paraId="56A8874F" w14:textId="77777777" w:rsidR="00B77E4B" w:rsidRPr="000413EB" w:rsidRDefault="00B77E4B" w:rsidP="000413EB">
            <w:pPr>
              <w:jc w:val="both"/>
              <w:rPr>
                <w:rFonts w:ascii="Times New Roman" w:hAnsi="Times New Roman"/>
                <w:sz w:val="20"/>
                <w:szCs w:val="20"/>
                <w:lang w:eastAsia="it-IT"/>
              </w:rPr>
            </w:pPr>
            <w:r w:rsidRPr="000413EB">
              <w:rPr>
                <w:rFonts w:ascii="Times New Roman" w:hAnsi="Times New Roman"/>
                <w:sz w:val="20"/>
                <w:szCs w:val="20"/>
                <w:lang w:eastAsia="it-IT"/>
              </w:rPr>
              <w:t>Управління соціального захисту населення  та охорони здоров’я,</w:t>
            </w:r>
          </w:p>
          <w:p w14:paraId="1A5BB4F2" w14:textId="77777777" w:rsidR="00B77E4B" w:rsidRPr="000413EB" w:rsidRDefault="00B77E4B" w:rsidP="000413EB">
            <w:pPr>
              <w:jc w:val="both"/>
              <w:rPr>
                <w:rFonts w:ascii="Times New Roman" w:eastAsia="Arial" w:hAnsi="Times New Roman"/>
                <w:sz w:val="20"/>
                <w:szCs w:val="20"/>
                <w:lang w:eastAsia="en-US"/>
              </w:rPr>
            </w:pPr>
            <w:r w:rsidRPr="000413EB">
              <w:rPr>
                <w:rFonts w:ascii="Times New Roman" w:hAnsi="Times New Roman"/>
                <w:sz w:val="20"/>
                <w:szCs w:val="20"/>
                <w:lang w:eastAsia="it-IT"/>
              </w:rPr>
              <w:t>КНП «Жмеринська ЦРЛ»</w:t>
            </w:r>
          </w:p>
        </w:tc>
        <w:tc>
          <w:tcPr>
            <w:tcW w:w="2900" w:type="dxa"/>
            <w:shd w:val="clear" w:color="auto" w:fill="auto"/>
          </w:tcPr>
          <w:p w14:paraId="4B397A2F" w14:textId="4E544E62" w:rsidR="00B77E4B" w:rsidRPr="000413EB" w:rsidRDefault="00B77E4B" w:rsidP="000413EB">
            <w:pPr>
              <w:jc w:val="both"/>
              <w:rPr>
                <w:rFonts w:ascii="Times New Roman" w:hAnsi="Times New Roman"/>
                <w:sz w:val="20"/>
                <w:szCs w:val="20"/>
                <w:lang w:eastAsia="it-IT"/>
              </w:rPr>
            </w:pPr>
            <w:r w:rsidRPr="000413EB">
              <w:rPr>
                <w:rFonts w:ascii="Times New Roman" w:hAnsi="Times New Roman"/>
                <w:sz w:val="20"/>
                <w:szCs w:val="20"/>
                <w:lang w:eastAsia="it-IT"/>
              </w:rPr>
              <w:t xml:space="preserve">Скорочено витрати на енергоносії </w:t>
            </w:r>
            <w:r w:rsidR="004D364B">
              <w:rPr>
                <w:rFonts w:ascii="Times New Roman" w:hAnsi="Times New Roman"/>
                <w:sz w:val="20"/>
                <w:szCs w:val="20"/>
                <w:lang w:eastAsia="it-IT"/>
              </w:rPr>
              <w:t>після встановлення СЕС – на 6 %.</w:t>
            </w:r>
          </w:p>
          <w:p w14:paraId="4005E73A" w14:textId="77777777" w:rsidR="004D364B" w:rsidRDefault="00B77E4B" w:rsidP="000413EB">
            <w:pPr>
              <w:jc w:val="both"/>
              <w:rPr>
                <w:rFonts w:ascii="Times New Roman" w:hAnsi="Times New Roman"/>
                <w:sz w:val="20"/>
                <w:szCs w:val="20"/>
                <w:lang w:eastAsia="it-IT"/>
              </w:rPr>
            </w:pPr>
            <w:r w:rsidRPr="000413EB">
              <w:rPr>
                <w:rFonts w:ascii="Times New Roman" w:hAnsi="Times New Roman"/>
                <w:sz w:val="20"/>
                <w:szCs w:val="20"/>
                <w:lang w:eastAsia="it-IT"/>
              </w:rPr>
              <w:t>Зменшено с</w:t>
            </w:r>
            <w:r w:rsidR="004D364B">
              <w:rPr>
                <w:rFonts w:ascii="Times New Roman" w:hAnsi="Times New Roman"/>
                <w:sz w:val="20"/>
                <w:szCs w:val="20"/>
                <w:lang w:eastAsia="it-IT"/>
              </w:rPr>
              <w:t>поживання теплової енергії – 2%.</w:t>
            </w:r>
          </w:p>
          <w:p w14:paraId="40A6EC12" w14:textId="2FDBB321" w:rsidR="00B77E4B" w:rsidRPr="004D364B" w:rsidRDefault="00B77E4B" w:rsidP="000413EB">
            <w:pPr>
              <w:jc w:val="both"/>
              <w:rPr>
                <w:rFonts w:ascii="Times New Roman" w:hAnsi="Times New Roman"/>
                <w:sz w:val="20"/>
                <w:szCs w:val="20"/>
                <w:vertAlign w:val="superscript"/>
                <w:lang w:eastAsia="it-IT"/>
              </w:rPr>
            </w:pPr>
            <w:r w:rsidRPr="000413EB">
              <w:rPr>
                <w:rFonts w:ascii="Times New Roman" w:hAnsi="Times New Roman"/>
                <w:sz w:val="20"/>
                <w:szCs w:val="20"/>
                <w:lang w:eastAsia="it-IT"/>
              </w:rPr>
              <w:t>Знижено викиди СО</w:t>
            </w:r>
            <w:r w:rsidRPr="000413EB">
              <w:rPr>
                <w:rFonts w:ascii="Times New Roman" w:hAnsi="Times New Roman"/>
                <w:sz w:val="20"/>
                <w:szCs w:val="20"/>
                <w:vertAlign w:val="superscript"/>
                <w:lang w:eastAsia="it-IT"/>
              </w:rPr>
              <w:t>2,</w:t>
            </w:r>
            <w:r w:rsidR="004D364B">
              <w:rPr>
                <w:rFonts w:ascii="Times New Roman" w:hAnsi="Times New Roman"/>
                <w:sz w:val="20"/>
                <w:szCs w:val="20"/>
                <w:vertAlign w:val="superscript"/>
                <w:lang w:eastAsia="it-IT"/>
              </w:rPr>
              <w:t>.</w:t>
            </w:r>
          </w:p>
          <w:p w14:paraId="5EBB4B13" w14:textId="1A73B36F" w:rsidR="00B77E4B" w:rsidRPr="000413EB" w:rsidRDefault="00B77E4B" w:rsidP="000413EB">
            <w:pPr>
              <w:pStyle w:val="af4"/>
              <w:spacing w:after="0" w:line="240" w:lineRule="auto"/>
              <w:jc w:val="both"/>
              <w:rPr>
                <w:rFonts w:ascii="Times New Roman" w:hAnsi="Times New Roman" w:cs="Times New Roman"/>
                <w:sz w:val="20"/>
                <w:szCs w:val="20"/>
                <w:lang w:eastAsia="it-IT"/>
              </w:rPr>
            </w:pPr>
            <w:r w:rsidRPr="000413EB">
              <w:rPr>
                <w:rFonts w:ascii="Times New Roman" w:hAnsi="Times New Roman" w:cs="Times New Roman"/>
                <w:sz w:val="20"/>
                <w:szCs w:val="20"/>
                <w:lang w:eastAsia="it-IT"/>
              </w:rPr>
              <w:t>Покращено мікроклімат в приміщеннях  лікарні (температура, вологість)</w:t>
            </w:r>
            <w:r w:rsidR="004D364B">
              <w:rPr>
                <w:rFonts w:ascii="Times New Roman" w:hAnsi="Times New Roman" w:cs="Times New Roman"/>
                <w:sz w:val="20"/>
                <w:szCs w:val="20"/>
                <w:lang w:eastAsia="it-IT"/>
              </w:rPr>
              <w:t>.</w:t>
            </w:r>
          </w:p>
        </w:tc>
      </w:tr>
      <w:tr w:rsidR="00B77E4B" w:rsidRPr="000413EB" w14:paraId="69968456" w14:textId="77777777" w:rsidTr="000413EB">
        <w:tc>
          <w:tcPr>
            <w:tcW w:w="567" w:type="dxa"/>
            <w:shd w:val="clear" w:color="auto" w:fill="auto"/>
          </w:tcPr>
          <w:p w14:paraId="6295E219" w14:textId="3D8482F3" w:rsidR="00B77E4B" w:rsidRPr="000413EB" w:rsidRDefault="006E7D52" w:rsidP="006E7D52">
            <w:pPr>
              <w:pStyle w:val="aa"/>
              <w:jc w:val="both"/>
              <w:rPr>
                <w:rFonts w:ascii="Times New Roman" w:eastAsia="Arial" w:hAnsi="Times New Roman"/>
                <w:sz w:val="20"/>
                <w:szCs w:val="20"/>
              </w:rPr>
            </w:pPr>
            <w:r>
              <w:rPr>
                <w:rFonts w:ascii="Times New Roman" w:eastAsia="Arial" w:hAnsi="Times New Roman"/>
                <w:sz w:val="20"/>
                <w:szCs w:val="20"/>
              </w:rPr>
              <w:t>4</w:t>
            </w:r>
            <w:r w:rsidR="0097410E">
              <w:rPr>
                <w:rFonts w:ascii="Times New Roman" w:eastAsia="Arial" w:hAnsi="Times New Roman"/>
                <w:sz w:val="20"/>
                <w:szCs w:val="20"/>
              </w:rPr>
              <w:t>9</w:t>
            </w:r>
          </w:p>
        </w:tc>
        <w:tc>
          <w:tcPr>
            <w:tcW w:w="2694" w:type="dxa"/>
            <w:shd w:val="clear" w:color="auto" w:fill="auto"/>
          </w:tcPr>
          <w:p w14:paraId="2B0FB4CC" w14:textId="77777777" w:rsidR="00B77E4B" w:rsidRPr="000413EB" w:rsidRDefault="00B77E4B" w:rsidP="000413EB">
            <w:pPr>
              <w:jc w:val="both"/>
              <w:rPr>
                <w:rFonts w:ascii="Times New Roman" w:eastAsia="Arial" w:hAnsi="Times New Roman"/>
                <w:bCs/>
                <w:iCs/>
                <w:sz w:val="20"/>
                <w:szCs w:val="20"/>
                <w:lang w:eastAsia="en-US"/>
              </w:rPr>
            </w:pPr>
            <w:r w:rsidRPr="000413EB">
              <w:rPr>
                <w:rFonts w:ascii="Times New Roman" w:eastAsia="Arial" w:hAnsi="Times New Roman"/>
                <w:bCs/>
                <w:iCs/>
                <w:sz w:val="20"/>
                <w:szCs w:val="20"/>
                <w:lang w:eastAsia="en-US"/>
              </w:rPr>
              <w:t>В.2.2. Енергоефективні будівлі бюджетної, комунальної, житлової сфери та енергоаудит</w:t>
            </w:r>
          </w:p>
          <w:p w14:paraId="1497B62D" w14:textId="77777777" w:rsidR="00B77E4B" w:rsidRPr="000413EB" w:rsidRDefault="00B77E4B" w:rsidP="000413EB">
            <w:pPr>
              <w:jc w:val="both"/>
              <w:rPr>
                <w:rFonts w:ascii="Times New Roman" w:eastAsia="Arial" w:hAnsi="Times New Roman"/>
                <w:sz w:val="20"/>
                <w:szCs w:val="20"/>
                <w:lang w:eastAsia="en-US"/>
              </w:rPr>
            </w:pPr>
          </w:p>
        </w:tc>
        <w:tc>
          <w:tcPr>
            <w:tcW w:w="2551" w:type="dxa"/>
            <w:shd w:val="clear" w:color="auto" w:fill="auto"/>
          </w:tcPr>
          <w:p w14:paraId="1B349B71" w14:textId="77777777" w:rsidR="00B77E4B" w:rsidRPr="000413EB" w:rsidRDefault="00B77E4B" w:rsidP="000413EB">
            <w:pPr>
              <w:pBdr>
                <w:left w:val="single" w:sz="18" w:space="4" w:color="auto"/>
              </w:pBdr>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В.2.2.3. Впровадження енергоефективних заходів та обладнання на об’єктах комунальної власності громади, забезпечення термомодернізації об’єктів комунальної власності.</w:t>
            </w:r>
          </w:p>
          <w:p w14:paraId="4C3BEF47" w14:textId="77777777" w:rsidR="00B77E4B" w:rsidRPr="000413EB" w:rsidRDefault="00B77E4B" w:rsidP="000413EB">
            <w:pPr>
              <w:pBdr>
                <w:left w:val="single" w:sz="18" w:space="4" w:color="auto"/>
              </w:pBdr>
              <w:jc w:val="both"/>
              <w:rPr>
                <w:rFonts w:ascii="Times New Roman" w:eastAsia="Arial" w:hAnsi="Times New Roman"/>
                <w:sz w:val="20"/>
                <w:szCs w:val="20"/>
                <w:lang w:eastAsia="en-US"/>
              </w:rPr>
            </w:pPr>
          </w:p>
        </w:tc>
        <w:tc>
          <w:tcPr>
            <w:tcW w:w="2835" w:type="dxa"/>
            <w:shd w:val="clear" w:color="auto" w:fill="auto"/>
          </w:tcPr>
          <w:p w14:paraId="32575D99" w14:textId="77777777" w:rsidR="00B77E4B" w:rsidRPr="000413EB" w:rsidRDefault="00B77E4B" w:rsidP="000413EB">
            <w:pPr>
              <w:jc w:val="both"/>
              <w:rPr>
                <w:rFonts w:ascii="Times New Roman" w:hAnsi="Times New Roman"/>
                <w:sz w:val="20"/>
                <w:szCs w:val="20"/>
                <w:lang w:eastAsia="it-IT"/>
              </w:rPr>
            </w:pPr>
            <w:r w:rsidRPr="000413EB">
              <w:rPr>
                <w:rFonts w:ascii="Times New Roman" w:hAnsi="Times New Roman"/>
                <w:sz w:val="20"/>
                <w:szCs w:val="20"/>
                <w:lang w:eastAsia="it-IT"/>
              </w:rPr>
              <w:t>«Тепло- та енергозбереження закладів культури Жмеринської громади»</w:t>
            </w:r>
          </w:p>
          <w:p w14:paraId="5CAE7226" w14:textId="77777777" w:rsidR="00B77E4B" w:rsidRPr="000413EB" w:rsidRDefault="00B77E4B" w:rsidP="000413EB">
            <w:pPr>
              <w:jc w:val="both"/>
              <w:rPr>
                <w:rFonts w:ascii="Times New Roman" w:hAnsi="Times New Roman"/>
                <w:sz w:val="20"/>
                <w:szCs w:val="20"/>
                <w:lang w:eastAsia="it-IT"/>
              </w:rPr>
            </w:pPr>
            <w:r w:rsidRPr="000413EB">
              <w:rPr>
                <w:rFonts w:ascii="Times New Roman" w:eastAsia="Arial" w:hAnsi="Times New Roman"/>
                <w:w w:val="105"/>
                <w:sz w:val="20"/>
                <w:szCs w:val="20"/>
                <w:lang w:eastAsia="en-US"/>
              </w:rPr>
              <w:t>реалізація</w:t>
            </w:r>
            <w:r w:rsidRPr="000413EB">
              <w:rPr>
                <w:rFonts w:ascii="Times New Roman" w:eastAsia="Arial" w:hAnsi="Times New Roman"/>
                <w:spacing w:val="57"/>
                <w:w w:val="105"/>
                <w:sz w:val="20"/>
                <w:szCs w:val="20"/>
                <w:lang w:eastAsia="en-US"/>
              </w:rPr>
              <w:t xml:space="preserve"> </w:t>
            </w:r>
            <w:r w:rsidRPr="000413EB">
              <w:rPr>
                <w:rFonts w:ascii="Times New Roman" w:eastAsia="Arial" w:hAnsi="Times New Roman"/>
                <w:spacing w:val="-2"/>
                <w:w w:val="105"/>
                <w:sz w:val="20"/>
                <w:szCs w:val="20"/>
                <w:lang w:eastAsia="en-US"/>
              </w:rPr>
              <w:t>триває</w:t>
            </w:r>
          </w:p>
        </w:tc>
        <w:tc>
          <w:tcPr>
            <w:tcW w:w="1276" w:type="dxa"/>
            <w:shd w:val="clear" w:color="auto" w:fill="auto"/>
          </w:tcPr>
          <w:p w14:paraId="2B5E0528" w14:textId="77777777" w:rsidR="00B77E4B" w:rsidRPr="000413EB" w:rsidRDefault="00B77E4B" w:rsidP="000413EB">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 xml:space="preserve">2025- 2027 </w:t>
            </w:r>
          </w:p>
        </w:tc>
        <w:tc>
          <w:tcPr>
            <w:tcW w:w="2345" w:type="dxa"/>
            <w:shd w:val="clear" w:color="auto" w:fill="auto"/>
          </w:tcPr>
          <w:p w14:paraId="50F891D8" w14:textId="77777777" w:rsidR="00B77E4B" w:rsidRPr="000413EB" w:rsidRDefault="00B77E4B" w:rsidP="000413EB">
            <w:pPr>
              <w:jc w:val="both"/>
              <w:rPr>
                <w:rFonts w:ascii="Times New Roman" w:eastAsia="Arial" w:hAnsi="Times New Roman"/>
                <w:sz w:val="20"/>
                <w:szCs w:val="20"/>
                <w:lang w:eastAsia="en-US"/>
              </w:rPr>
            </w:pPr>
            <w:r w:rsidRPr="000413EB">
              <w:rPr>
                <w:rFonts w:ascii="Times New Roman" w:hAnsi="Times New Roman"/>
                <w:sz w:val="20"/>
                <w:szCs w:val="20"/>
                <w:lang w:eastAsia="it-IT"/>
              </w:rPr>
              <w:t>Управління культури і туризму Жмеринської міської ТГ</w:t>
            </w:r>
          </w:p>
        </w:tc>
        <w:tc>
          <w:tcPr>
            <w:tcW w:w="2900" w:type="dxa"/>
            <w:shd w:val="clear" w:color="auto" w:fill="auto"/>
          </w:tcPr>
          <w:p w14:paraId="6AFFDBCA" w14:textId="77777777" w:rsidR="00B77E4B" w:rsidRPr="000413EB" w:rsidRDefault="00B77E4B" w:rsidP="000413EB">
            <w:pPr>
              <w:jc w:val="both"/>
              <w:rPr>
                <w:rFonts w:ascii="Times New Roman" w:hAnsi="Times New Roman"/>
                <w:sz w:val="20"/>
                <w:szCs w:val="20"/>
                <w:lang w:eastAsia="it-IT"/>
              </w:rPr>
            </w:pPr>
            <w:r w:rsidRPr="000413EB">
              <w:rPr>
                <w:rFonts w:ascii="Times New Roman" w:hAnsi="Times New Roman"/>
                <w:sz w:val="20"/>
                <w:szCs w:val="20"/>
                <w:lang w:eastAsia="it-IT"/>
              </w:rPr>
              <w:t>Знижено енергоспоживання в закладах культури на 5%.</w:t>
            </w:r>
          </w:p>
          <w:p w14:paraId="749FC9CB" w14:textId="6598E4FE" w:rsidR="00B77E4B" w:rsidRPr="000413EB" w:rsidRDefault="00B77E4B" w:rsidP="000413EB">
            <w:pPr>
              <w:jc w:val="both"/>
              <w:rPr>
                <w:rFonts w:ascii="Times New Roman" w:hAnsi="Times New Roman"/>
                <w:sz w:val="20"/>
                <w:szCs w:val="20"/>
                <w:lang w:eastAsia="it-IT"/>
              </w:rPr>
            </w:pPr>
            <w:r w:rsidRPr="000413EB">
              <w:rPr>
                <w:rFonts w:ascii="Times New Roman" w:hAnsi="Times New Roman"/>
                <w:sz w:val="20"/>
                <w:szCs w:val="20"/>
                <w:lang w:eastAsia="it-IT"/>
              </w:rPr>
              <w:t>Підвищено температурний режим в закладах до нормативного рівня</w:t>
            </w:r>
            <w:r w:rsidR="004D364B">
              <w:rPr>
                <w:rFonts w:ascii="Times New Roman" w:hAnsi="Times New Roman"/>
                <w:sz w:val="20"/>
                <w:szCs w:val="20"/>
                <w:lang w:eastAsia="it-IT"/>
              </w:rPr>
              <w:t>.</w:t>
            </w:r>
          </w:p>
          <w:p w14:paraId="310D62DD" w14:textId="3595CAA0" w:rsidR="00B77E4B" w:rsidRPr="000413EB" w:rsidRDefault="00B77E4B" w:rsidP="000413EB">
            <w:pPr>
              <w:jc w:val="both"/>
              <w:rPr>
                <w:rFonts w:ascii="Times New Roman" w:hAnsi="Times New Roman"/>
                <w:sz w:val="20"/>
                <w:szCs w:val="20"/>
                <w:lang w:eastAsia="it-IT"/>
              </w:rPr>
            </w:pPr>
            <w:r w:rsidRPr="000413EB">
              <w:rPr>
                <w:rFonts w:ascii="Times New Roman" w:hAnsi="Times New Roman"/>
                <w:sz w:val="20"/>
                <w:szCs w:val="20"/>
                <w:lang w:eastAsia="it-IT"/>
              </w:rPr>
              <w:t>Оснащені щонайменше 10 закладів новим освітленням та опаленням</w:t>
            </w:r>
            <w:r w:rsidR="004D364B">
              <w:rPr>
                <w:rFonts w:ascii="Times New Roman" w:hAnsi="Times New Roman"/>
                <w:sz w:val="20"/>
                <w:szCs w:val="20"/>
                <w:lang w:eastAsia="it-IT"/>
              </w:rPr>
              <w:t>.</w:t>
            </w:r>
          </w:p>
        </w:tc>
      </w:tr>
      <w:tr w:rsidR="00B77E4B" w:rsidRPr="000413EB" w14:paraId="5F2E0DFE" w14:textId="77777777" w:rsidTr="000413EB">
        <w:tc>
          <w:tcPr>
            <w:tcW w:w="567" w:type="dxa"/>
            <w:shd w:val="clear" w:color="auto" w:fill="auto"/>
          </w:tcPr>
          <w:p w14:paraId="4E5FBF18" w14:textId="785918A9" w:rsidR="00B77E4B" w:rsidRPr="000413EB" w:rsidRDefault="002333F4" w:rsidP="0097410E">
            <w:pPr>
              <w:pStyle w:val="aa"/>
              <w:jc w:val="both"/>
              <w:rPr>
                <w:rFonts w:ascii="Times New Roman" w:eastAsia="Arial" w:hAnsi="Times New Roman"/>
                <w:sz w:val="20"/>
                <w:szCs w:val="20"/>
              </w:rPr>
            </w:pPr>
            <w:r w:rsidRPr="000413EB">
              <w:rPr>
                <w:rFonts w:ascii="Times New Roman" w:eastAsia="Arial" w:hAnsi="Times New Roman"/>
                <w:sz w:val="20"/>
                <w:szCs w:val="20"/>
              </w:rPr>
              <w:t>5</w:t>
            </w:r>
            <w:r w:rsidR="0097410E">
              <w:rPr>
                <w:rFonts w:ascii="Times New Roman" w:eastAsia="Arial" w:hAnsi="Times New Roman"/>
                <w:sz w:val="20"/>
                <w:szCs w:val="20"/>
              </w:rPr>
              <w:t>0</w:t>
            </w:r>
          </w:p>
        </w:tc>
        <w:tc>
          <w:tcPr>
            <w:tcW w:w="2694" w:type="dxa"/>
          </w:tcPr>
          <w:p w14:paraId="4A32CC1E" w14:textId="77777777" w:rsidR="00B77E4B" w:rsidRPr="000413EB" w:rsidRDefault="00B77E4B" w:rsidP="000413EB">
            <w:pPr>
              <w:widowControl w:val="0"/>
              <w:tabs>
                <w:tab w:val="left" w:pos="0"/>
                <w:tab w:val="left" w:pos="720"/>
              </w:tabs>
              <w:autoSpaceDE w:val="0"/>
              <w:autoSpaceDN w:val="0"/>
              <w:adjustRightInd w:val="0"/>
              <w:jc w:val="both"/>
              <w:rPr>
                <w:rFonts w:ascii="Times New Roman" w:hAnsi="Times New Roman"/>
                <w:bCs/>
                <w:sz w:val="20"/>
                <w:szCs w:val="20"/>
              </w:rPr>
            </w:pPr>
            <w:r w:rsidRPr="000413EB">
              <w:rPr>
                <w:rFonts w:ascii="Times New Roman" w:hAnsi="Times New Roman"/>
                <w:bCs/>
                <w:sz w:val="20"/>
                <w:szCs w:val="20"/>
              </w:rPr>
              <w:t>В.2.2. Енергоефективні будівлі бюджетної, комунальної, житлової сфери та енергоаудит</w:t>
            </w:r>
          </w:p>
          <w:p w14:paraId="19CD70EB" w14:textId="77777777" w:rsidR="00B77E4B" w:rsidRPr="000413EB" w:rsidRDefault="00B77E4B" w:rsidP="000413EB">
            <w:pPr>
              <w:widowControl w:val="0"/>
              <w:tabs>
                <w:tab w:val="left" w:pos="0"/>
                <w:tab w:val="left" w:pos="720"/>
              </w:tabs>
              <w:autoSpaceDE w:val="0"/>
              <w:autoSpaceDN w:val="0"/>
              <w:adjustRightInd w:val="0"/>
              <w:jc w:val="both"/>
              <w:rPr>
                <w:rFonts w:ascii="Times New Roman" w:hAnsi="Times New Roman"/>
                <w:sz w:val="20"/>
                <w:szCs w:val="20"/>
              </w:rPr>
            </w:pPr>
          </w:p>
        </w:tc>
        <w:tc>
          <w:tcPr>
            <w:tcW w:w="2551" w:type="dxa"/>
          </w:tcPr>
          <w:p w14:paraId="7971AEED" w14:textId="77777777" w:rsidR="00B77E4B" w:rsidRPr="000413EB" w:rsidRDefault="00B77E4B" w:rsidP="000413EB">
            <w:pPr>
              <w:pBdr>
                <w:left w:val="single" w:sz="18" w:space="4" w:color="auto"/>
              </w:pBdr>
              <w:jc w:val="both"/>
              <w:rPr>
                <w:rFonts w:ascii="Times New Roman" w:hAnsi="Times New Roman"/>
                <w:iCs/>
                <w:sz w:val="20"/>
                <w:szCs w:val="20"/>
                <w:lang w:eastAsia="it-IT"/>
              </w:rPr>
            </w:pPr>
            <w:r w:rsidRPr="000413EB">
              <w:rPr>
                <w:rFonts w:ascii="Times New Roman" w:hAnsi="Times New Roman"/>
                <w:iCs/>
                <w:sz w:val="20"/>
                <w:szCs w:val="20"/>
                <w:lang w:eastAsia="it-IT"/>
              </w:rPr>
              <w:t>В.2.2.3. Впровадження енергоефективних заходів та обладнання на</w:t>
            </w:r>
          </w:p>
          <w:p w14:paraId="1950A5D9" w14:textId="77777777" w:rsidR="00B77E4B" w:rsidRPr="000413EB" w:rsidRDefault="00B77E4B" w:rsidP="000413EB">
            <w:pPr>
              <w:pBdr>
                <w:left w:val="single" w:sz="18" w:space="4" w:color="auto"/>
              </w:pBdr>
              <w:jc w:val="both"/>
              <w:rPr>
                <w:rFonts w:ascii="Times New Roman" w:hAnsi="Times New Roman"/>
                <w:iCs/>
                <w:sz w:val="20"/>
                <w:szCs w:val="20"/>
                <w:lang w:eastAsia="it-IT"/>
              </w:rPr>
            </w:pPr>
            <w:r w:rsidRPr="000413EB">
              <w:rPr>
                <w:rFonts w:ascii="Times New Roman" w:hAnsi="Times New Roman"/>
                <w:iCs/>
                <w:sz w:val="20"/>
                <w:szCs w:val="20"/>
                <w:lang w:eastAsia="it-IT"/>
              </w:rPr>
              <w:t>об’єктах комунальної власності громади, забезпечення</w:t>
            </w:r>
          </w:p>
          <w:p w14:paraId="45F7311A" w14:textId="77777777" w:rsidR="00B77E4B" w:rsidRPr="000413EB" w:rsidRDefault="00B77E4B" w:rsidP="000413EB">
            <w:pPr>
              <w:pBdr>
                <w:left w:val="single" w:sz="18" w:space="4" w:color="auto"/>
              </w:pBdr>
              <w:jc w:val="both"/>
              <w:rPr>
                <w:rFonts w:ascii="Times New Roman" w:hAnsi="Times New Roman"/>
                <w:iCs/>
                <w:sz w:val="20"/>
                <w:szCs w:val="20"/>
                <w:lang w:eastAsia="it-IT"/>
              </w:rPr>
            </w:pPr>
            <w:r w:rsidRPr="000413EB">
              <w:rPr>
                <w:rFonts w:ascii="Times New Roman" w:hAnsi="Times New Roman"/>
                <w:iCs/>
                <w:sz w:val="20"/>
                <w:szCs w:val="20"/>
                <w:lang w:eastAsia="it-IT"/>
              </w:rPr>
              <w:t>термомодернізації об’єктів комунальної власності.</w:t>
            </w:r>
          </w:p>
        </w:tc>
        <w:tc>
          <w:tcPr>
            <w:tcW w:w="2835" w:type="dxa"/>
          </w:tcPr>
          <w:p w14:paraId="37237FEC" w14:textId="77777777" w:rsidR="00B77E4B" w:rsidRPr="000413EB" w:rsidRDefault="00B77E4B" w:rsidP="000413EB">
            <w:pPr>
              <w:jc w:val="both"/>
              <w:rPr>
                <w:rFonts w:ascii="Times New Roman" w:hAnsi="Times New Roman"/>
                <w:sz w:val="20"/>
                <w:szCs w:val="20"/>
              </w:rPr>
            </w:pPr>
            <w:r w:rsidRPr="000413EB">
              <w:rPr>
                <w:rFonts w:ascii="Times New Roman" w:hAnsi="Times New Roman"/>
                <w:sz w:val="20"/>
                <w:szCs w:val="20"/>
              </w:rPr>
              <w:t>Капітальний ремонт (термомодернізація) будівлі комунального закладу «Жмеринський ліцей №6»</w:t>
            </w:r>
          </w:p>
        </w:tc>
        <w:tc>
          <w:tcPr>
            <w:tcW w:w="1276" w:type="dxa"/>
          </w:tcPr>
          <w:p w14:paraId="67EF5387" w14:textId="77777777" w:rsidR="00B77E4B" w:rsidRPr="000413EB" w:rsidRDefault="00B77E4B" w:rsidP="000413EB">
            <w:pPr>
              <w:jc w:val="both"/>
              <w:rPr>
                <w:rFonts w:ascii="Times New Roman" w:hAnsi="Times New Roman"/>
                <w:sz w:val="20"/>
                <w:szCs w:val="20"/>
              </w:rPr>
            </w:pPr>
            <w:r w:rsidRPr="000413EB">
              <w:rPr>
                <w:rFonts w:ascii="Times New Roman" w:hAnsi="Times New Roman"/>
                <w:sz w:val="20"/>
                <w:szCs w:val="20"/>
              </w:rPr>
              <w:t>2025-2028</w:t>
            </w:r>
          </w:p>
        </w:tc>
        <w:tc>
          <w:tcPr>
            <w:tcW w:w="2345" w:type="dxa"/>
          </w:tcPr>
          <w:p w14:paraId="6364573B" w14:textId="77777777" w:rsidR="00B77E4B" w:rsidRPr="000413EB" w:rsidRDefault="00B77E4B" w:rsidP="000413EB">
            <w:pPr>
              <w:jc w:val="both"/>
              <w:rPr>
                <w:rFonts w:ascii="Times New Roman" w:hAnsi="Times New Roman"/>
                <w:sz w:val="20"/>
                <w:szCs w:val="20"/>
              </w:rPr>
            </w:pPr>
            <w:r w:rsidRPr="000413EB">
              <w:rPr>
                <w:rFonts w:ascii="Times New Roman" w:hAnsi="Times New Roman"/>
                <w:sz w:val="20"/>
                <w:szCs w:val="20"/>
              </w:rPr>
              <w:t>Управління освіти Жмеринської міської ради, заклад освіти</w:t>
            </w:r>
          </w:p>
        </w:tc>
        <w:tc>
          <w:tcPr>
            <w:tcW w:w="2900" w:type="dxa"/>
          </w:tcPr>
          <w:p w14:paraId="1B734F92" w14:textId="77777777" w:rsidR="00B77E4B" w:rsidRPr="000413EB" w:rsidRDefault="00B77E4B" w:rsidP="000413EB">
            <w:pPr>
              <w:jc w:val="both"/>
              <w:rPr>
                <w:rFonts w:ascii="Times New Roman" w:hAnsi="Times New Roman"/>
                <w:sz w:val="20"/>
                <w:szCs w:val="20"/>
                <w:lang w:eastAsia="it-IT"/>
              </w:rPr>
            </w:pPr>
            <w:r w:rsidRPr="000413EB">
              <w:rPr>
                <w:rFonts w:ascii="Times New Roman" w:hAnsi="Times New Roman"/>
                <w:sz w:val="20"/>
                <w:szCs w:val="20"/>
                <w:lang w:eastAsia="it-IT"/>
              </w:rPr>
              <w:t>1. Покращено умови перебування учнів і персоналу:</w:t>
            </w:r>
          </w:p>
          <w:p w14:paraId="31C0656A" w14:textId="77777777" w:rsidR="00B77E4B" w:rsidRPr="000413EB" w:rsidRDefault="00B77E4B" w:rsidP="000413EB">
            <w:pPr>
              <w:jc w:val="both"/>
              <w:rPr>
                <w:rFonts w:ascii="Times New Roman" w:hAnsi="Times New Roman"/>
                <w:sz w:val="20"/>
                <w:szCs w:val="20"/>
                <w:lang w:eastAsia="it-IT"/>
              </w:rPr>
            </w:pPr>
            <w:r w:rsidRPr="000413EB">
              <w:rPr>
                <w:rFonts w:ascii="Times New Roman" w:hAnsi="Times New Roman"/>
                <w:sz w:val="20"/>
                <w:szCs w:val="20"/>
                <w:lang w:eastAsia="it-IT"/>
              </w:rPr>
              <w:t>- стала температура в приміщеннях в опалювальний період.</w:t>
            </w:r>
          </w:p>
          <w:p w14:paraId="3CFF5106" w14:textId="77777777" w:rsidR="00B77E4B" w:rsidRPr="000413EB" w:rsidRDefault="00B77E4B" w:rsidP="000413EB">
            <w:pPr>
              <w:jc w:val="both"/>
              <w:rPr>
                <w:rFonts w:ascii="Times New Roman" w:hAnsi="Times New Roman"/>
                <w:sz w:val="20"/>
                <w:szCs w:val="20"/>
                <w:lang w:eastAsia="it-IT"/>
              </w:rPr>
            </w:pPr>
            <w:r w:rsidRPr="000413EB">
              <w:rPr>
                <w:rFonts w:ascii="Times New Roman" w:hAnsi="Times New Roman"/>
                <w:sz w:val="20"/>
                <w:szCs w:val="20"/>
                <w:lang w:eastAsia="it-IT"/>
              </w:rPr>
              <w:t>- зменшено рівень вологості, протягів, появи плісняви.</w:t>
            </w:r>
          </w:p>
          <w:p w14:paraId="29D431E4" w14:textId="77777777" w:rsidR="00B77E4B" w:rsidRPr="000413EB" w:rsidRDefault="00B77E4B" w:rsidP="000413EB">
            <w:pPr>
              <w:jc w:val="both"/>
              <w:rPr>
                <w:rFonts w:ascii="Times New Roman" w:hAnsi="Times New Roman"/>
                <w:sz w:val="20"/>
                <w:szCs w:val="20"/>
                <w:lang w:eastAsia="it-IT"/>
              </w:rPr>
            </w:pPr>
            <w:r w:rsidRPr="000413EB">
              <w:rPr>
                <w:rFonts w:ascii="Times New Roman" w:hAnsi="Times New Roman"/>
                <w:sz w:val="20"/>
                <w:szCs w:val="20"/>
                <w:lang w:eastAsia="it-IT"/>
              </w:rPr>
              <w:t>- позитивні відгуки учнів, батьків та працівників.</w:t>
            </w:r>
          </w:p>
          <w:p w14:paraId="4C8AC215" w14:textId="77777777" w:rsidR="00B77E4B" w:rsidRPr="000413EB" w:rsidRDefault="00B77E4B" w:rsidP="000413EB">
            <w:pPr>
              <w:jc w:val="both"/>
              <w:rPr>
                <w:rFonts w:ascii="Times New Roman" w:hAnsi="Times New Roman"/>
                <w:sz w:val="20"/>
                <w:szCs w:val="20"/>
                <w:lang w:eastAsia="it-IT"/>
              </w:rPr>
            </w:pPr>
            <w:r w:rsidRPr="000413EB">
              <w:rPr>
                <w:rFonts w:ascii="Times New Roman" w:hAnsi="Times New Roman"/>
                <w:sz w:val="20"/>
                <w:szCs w:val="20"/>
                <w:lang w:eastAsia="it-IT"/>
              </w:rPr>
              <w:t>2. Зменшено споживання енергоресурсів до 10%:</w:t>
            </w:r>
          </w:p>
          <w:p w14:paraId="024479B2" w14:textId="77777777" w:rsidR="00B77E4B" w:rsidRPr="000413EB" w:rsidRDefault="00B77E4B" w:rsidP="000413EB">
            <w:pPr>
              <w:jc w:val="both"/>
              <w:rPr>
                <w:rFonts w:ascii="Times New Roman" w:hAnsi="Times New Roman"/>
                <w:sz w:val="20"/>
                <w:szCs w:val="20"/>
                <w:lang w:eastAsia="it-IT"/>
              </w:rPr>
            </w:pPr>
            <w:r w:rsidRPr="000413EB">
              <w:rPr>
                <w:rFonts w:ascii="Times New Roman" w:hAnsi="Times New Roman"/>
                <w:sz w:val="20"/>
                <w:szCs w:val="20"/>
                <w:lang w:eastAsia="it-IT"/>
              </w:rPr>
              <w:t>- зменшено споживання теплової енергії  на 5%.</w:t>
            </w:r>
          </w:p>
          <w:p w14:paraId="17FD61E1" w14:textId="77777777" w:rsidR="00B77E4B" w:rsidRPr="000413EB" w:rsidRDefault="00B77E4B" w:rsidP="000413EB">
            <w:pPr>
              <w:jc w:val="both"/>
              <w:rPr>
                <w:rFonts w:ascii="Times New Roman" w:hAnsi="Times New Roman"/>
                <w:sz w:val="20"/>
                <w:szCs w:val="20"/>
                <w:lang w:eastAsia="it-IT"/>
              </w:rPr>
            </w:pPr>
            <w:r w:rsidRPr="000413EB">
              <w:rPr>
                <w:rFonts w:ascii="Times New Roman" w:hAnsi="Times New Roman"/>
                <w:sz w:val="20"/>
                <w:szCs w:val="20"/>
                <w:lang w:eastAsia="it-IT"/>
              </w:rPr>
              <w:t>- зменшено споживання електроенергії.</w:t>
            </w:r>
          </w:p>
          <w:p w14:paraId="6EA0C1C4" w14:textId="77777777" w:rsidR="00B77E4B" w:rsidRPr="000413EB" w:rsidRDefault="00B77E4B" w:rsidP="000413EB">
            <w:pPr>
              <w:jc w:val="both"/>
              <w:rPr>
                <w:rFonts w:ascii="Times New Roman" w:hAnsi="Times New Roman"/>
                <w:sz w:val="20"/>
                <w:szCs w:val="20"/>
                <w:lang w:eastAsia="it-IT"/>
              </w:rPr>
            </w:pPr>
            <w:r w:rsidRPr="000413EB">
              <w:rPr>
                <w:rFonts w:ascii="Times New Roman" w:hAnsi="Times New Roman"/>
                <w:sz w:val="20"/>
                <w:szCs w:val="20"/>
                <w:lang w:eastAsia="it-IT"/>
              </w:rPr>
              <w:t>3. Показники економії коштів:</w:t>
            </w:r>
          </w:p>
          <w:p w14:paraId="2836628F" w14:textId="674D3CE5" w:rsidR="00B77E4B" w:rsidRPr="000413EB" w:rsidRDefault="00B77E4B" w:rsidP="000413EB">
            <w:pPr>
              <w:jc w:val="both"/>
              <w:rPr>
                <w:rFonts w:ascii="Times New Roman" w:hAnsi="Times New Roman"/>
                <w:sz w:val="20"/>
                <w:szCs w:val="20"/>
                <w:lang w:eastAsia="it-IT"/>
              </w:rPr>
            </w:pPr>
            <w:r w:rsidRPr="000413EB">
              <w:rPr>
                <w:rFonts w:ascii="Times New Roman" w:hAnsi="Times New Roman"/>
                <w:sz w:val="20"/>
                <w:szCs w:val="20"/>
                <w:lang w:eastAsia="it-IT"/>
              </w:rPr>
              <w:t>- річна економія на оплаті комунальних послуг</w:t>
            </w:r>
            <w:r w:rsidR="004D364B">
              <w:rPr>
                <w:rFonts w:ascii="Times New Roman" w:hAnsi="Times New Roman"/>
                <w:sz w:val="20"/>
                <w:szCs w:val="20"/>
                <w:lang w:eastAsia="it-IT"/>
              </w:rPr>
              <w:t>.</w:t>
            </w:r>
          </w:p>
          <w:p w14:paraId="496FC038" w14:textId="192618FA" w:rsidR="00B77E4B" w:rsidRPr="000413EB" w:rsidRDefault="00B77E4B" w:rsidP="000413EB">
            <w:pPr>
              <w:jc w:val="both"/>
              <w:rPr>
                <w:rFonts w:ascii="Times New Roman" w:hAnsi="Times New Roman"/>
                <w:sz w:val="20"/>
                <w:szCs w:val="20"/>
                <w:lang w:eastAsia="it-IT"/>
              </w:rPr>
            </w:pPr>
            <w:r w:rsidRPr="000413EB">
              <w:rPr>
                <w:rFonts w:ascii="Times New Roman" w:hAnsi="Times New Roman"/>
                <w:sz w:val="20"/>
                <w:szCs w:val="20"/>
                <w:lang w:eastAsia="it-IT"/>
              </w:rPr>
              <w:t>- термін окупності інвестицій</w:t>
            </w:r>
            <w:r w:rsidR="004D364B">
              <w:rPr>
                <w:rFonts w:ascii="Times New Roman" w:hAnsi="Times New Roman"/>
                <w:sz w:val="20"/>
                <w:szCs w:val="20"/>
                <w:lang w:eastAsia="it-IT"/>
              </w:rPr>
              <w:t>.</w:t>
            </w:r>
          </w:p>
        </w:tc>
      </w:tr>
      <w:tr w:rsidR="00B77E4B" w:rsidRPr="000413EB" w14:paraId="5E164590" w14:textId="77777777" w:rsidTr="000413EB">
        <w:tc>
          <w:tcPr>
            <w:tcW w:w="567" w:type="dxa"/>
            <w:shd w:val="clear" w:color="auto" w:fill="auto"/>
          </w:tcPr>
          <w:p w14:paraId="04DBA776" w14:textId="6E058D1F" w:rsidR="00B77E4B"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5</w:t>
            </w:r>
            <w:r w:rsidR="0097410E">
              <w:rPr>
                <w:rFonts w:ascii="Times New Roman" w:eastAsia="Arial" w:hAnsi="Times New Roman"/>
                <w:sz w:val="20"/>
                <w:szCs w:val="20"/>
              </w:rPr>
              <w:t>1</w:t>
            </w:r>
          </w:p>
        </w:tc>
        <w:tc>
          <w:tcPr>
            <w:tcW w:w="2694" w:type="dxa"/>
          </w:tcPr>
          <w:p w14:paraId="79B419B4" w14:textId="77777777" w:rsidR="00B77E4B" w:rsidRPr="000413EB" w:rsidRDefault="00B77E4B" w:rsidP="000413EB">
            <w:pPr>
              <w:widowControl w:val="0"/>
              <w:tabs>
                <w:tab w:val="left" w:pos="0"/>
                <w:tab w:val="left" w:pos="720"/>
              </w:tabs>
              <w:autoSpaceDE w:val="0"/>
              <w:autoSpaceDN w:val="0"/>
              <w:adjustRightInd w:val="0"/>
              <w:jc w:val="both"/>
              <w:rPr>
                <w:rFonts w:ascii="Times New Roman" w:hAnsi="Times New Roman"/>
                <w:sz w:val="20"/>
                <w:szCs w:val="20"/>
              </w:rPr>
            </w:pPr>
          </w:p>
          <w:p w14:paraId="0D4B054E" w14:textId="77777777" w:rsidR="00B77E4B" w:rsidRPr="000413EB" w:rsidRDefault="00B77E4B" w:rsidP="000413EB">
            <w:pPr>
              <w:jc w:val="both"/>
              <w:rPr>
                <w:rFonts w:ascii="Times New Roman" w:hAnsi="Times New Roman"/>
                <w:bCs/>
                <w:sz w:val="20"/>
                <w:szCs w:val="20"/>
              </w:rPr>
            </w:pPr>
            <w:r w:rsidRPr="000413EB">
              <w:rPr>
                <w:rFonts w:ascii="Times New Roman" w:hAnsi="Times New Roman"/>
                <w:bCs/>
                <w:sz w:val="20"/>
                <w:szCs w:val="20"/>
              </w:rPr>
              <w:t>В.2.2. Енергоефективні будівлі бюджетної, комунальної, житлової сфери та енергоаудит</w:t>
            </w:r>
          </w:p>
          <w:p w14:paraId="12173F01" w14:textId="77777777" w:rsidR="00B77E4B" w:rsidRPr="000413EB" w:rsidRDefault="00B77E4B" w:rsidP="000413EB">
            <w:pPr>
              <w:jc w:val="both"/>
              <w:rPr>
                <w:rFonts w:ascii="Times New Roman" w:hAnsi="Times New Roman"/>
                <w:sz w:val="20"/>
                <w:szCs w:val="20"/>
              </w:rPr>
            </w:pPr>
          </w:p>
        </w:tc>
        <w:tc>
          <w:tcPr>
            <w:tcW w:w="2551" w:type="dxa"/>
          </w:tcPr>
          <w:p w14:paraId="20D8CFA6" w14:textId="77777777" w:rsidR="00B77E4B" w:rsidRPr="000413EB" w:rsidRDefault="00B77E4B" w:rsidP="000413EB">
            <w:pPr>
              <w:jc w:val="both"/>
              <w:rPr>
                <w:rFonts w:ascii="Times New Roman" w:hAnsi="Times New Roman"/>
                <w:sz w:val="20"/>
                <w:szCs w:val="20"/>
              </w:rPr>
            </w:pPr>
            <w:r w:rsidRPr="000413EB">
              <w:rPr>
                <w:rFonts w:ascii="Times New Roman" w:hAnsi="Times New Roman"/>
                <w:sz w:val="20"/>
                <w:szCs w:val="20"/>
              </w:rPr>
              <w:t>В 2.2.3. Впровадження енергоефективних заходів та обладнання на об’єктах комунальної власності громади, забезпечення термомодернізації об’єктів комунальної власності.</w:t>
            </w:r>
          </w:p>
        </w:tc>
        <w:tc>
          <w:tcPr>
            <w:tcW w:w="2835" w:type="dxa"/>
          </w:tcPr>
          <w:p w14:paraId="38A2D551" w14:textId="2422DBB8" w:rsidR="00B77E4B" w:rsidRPr="000413EB" w:rsidRDefault="00B77E4B" w:rsidP="000413EB">
            <w:pPr>
              <w:jc w:val="both"/>
              <w:rPr>
                <w:rFonts w:ascii="Times New Roman" w:hAnsi="Times New Roman"/>
                <w:sz w:val="20"/>
                <w:szCs w:val="20"/>
              </w:rPr>
            </w:pPr>
            <w:r w:rsidRPr="000413EB">
              <w:rPr>
                <w:rFonts w:ascii="Times New Roman" w:hAnsi="Times New Roman"/>
                <w:sz w:val="20"/>
                <w:szCs w:val="20"/>
              </w:rPr>
              <w:t>Модернізація</w:t>
            </w:r>
            <w:r w:rsidR="006266CC">
              <w:rPr>
                <w:rFonts w:ascii="Times New Roman" w:hAnsi="Times New Roman"/>
                <w:sz w:val="20"/>
                <w:szCs w:val="20"/>
              </w:rPr>
              <w:t xml:space="preserve"> покрівлі  </w:t>
            </w:r>
            <w:r w:rsidRPr="000413EB">
              <w:rPr>
                <w:rFonts w:ascii="Times New Roman" w:hAnsi="Times New Roman"/>
                <w:sz w:val="20"/>
                <w:szCs w:val="20"/>
              </w:rPr>
              <w:t xml:space="preserve">  ЗДО № 6 «Казочка»</w:t>
            </w:r>
          </w:p>
        </w:tc>
        <w:tc>
          <w:tcPr>
            <w:tcW w:w="1276" w:type="dxa"/>
          </w:tcPr>
          <w:p w14:paraId="59DE5F3D" w14:textId="77777777" w:rsidR="00B77E4B" w:rsidRPr="000413EB" w:rsidRDefault="00B77E4B" w:rsidP="000413EB">
            <w:pPr>
              <w:jc w:val="both"/>
              <w:rPr>
                <w:rFonts w:ascii="Times New Roman" w:hAnsi="Times New Roman"/>
                <w:sz w:val="20"/>
                <w:szCs w:val="20"/>
              </w:rPr>
            </w:pPr>
            <w:r w:rsidRPr="000413EB">
              <w:rPr>
                <w:rFonts w:ascii="Times New Roman" w:hAnsi="Times New Roman"/>
                <w:sz w:val="20"/>
                <w:szCs w:val="20"/>
              </w:rPr>
              <w:t>2025-2028</w:t>
            </w:r>
          </w:p>
        </w:tc>
        <w:tc>
          <w:tcPr>
            <w:tcW w:w="2345" w:type="dxa"/>
          </w:tcPr>
          <w:p w14:paraId="1F6213B2" w14:textId="77777777" w:rsidR="00177957" w:rsidRDefault="00B77E4B" w:rsidP="000413EB">
            <w:pPr>
              <w:jc w:val="both"/>
              <w:rPr>
                <w:rFonts w:ascii="Times New Roman" w:hAnsi="Times New Roman"/>
                <w:sz w:val="20"/>
                <w:szCs w:val="20"/>
              </w:rPr>
            </w:pPr>
            <w:r w:rsidRPr="000413EB">
              <w:rPr>
                <w:rFonts w:ascii="Times New Roman" w:hAnsi="Times New Roman"/>
                <w:sz w:val="20"/>
                <w:szCs w:val="20"/>
              </w:rPr>
              <w:t xml:space="preserve">Управління ЖКГ Жмеринської міської ради, </w:t>
            </w:r>
          </w:p>
          <w:p w14:paraId="48F4564E" w14:textId="77777777" w:rsidR="00177957" w:rsidRDefault="00B77E4B" w:rsidP="000413EB">
            <w:pPr>
              <w:jc w:val="both"/>
              <w:rPr>
                <w:rFonts w:ascii="Times New Roman" w:hAnsi="Times New Roman"/>
                <w:sz w:val="20"/>
                <w:szCs w:val="20"/>
              </w:rPr>
            </w:pPr>
            <w:r w:rsidRPr="000413EB">
              <w:rPr>
                <w:rFonts w:ascii="Times New Roman" w:hAnsi="Times New Roman"/>
                <w:sz w:val="20"/>
                <w:szCs w:val="20"/>
              </w:rPr>
              <w:t xml:space="preserve">Управління освіти Жмеринської міської ради, </w:t>
            </w:r>
          </w:p>
          <w:p w14:paraId="42F886B2" w14:textId="5EF06F8D" w:rsidR="00B77E4B" w:rsidRPr="000413EB" w:rsidRDefault="00B77E4B" w:rsidP="000413EB">
            <w:pPr>
              <w:jc w:val="both"/>
              <w:rPr>
                <w:rFonts w:ascii="Times New Roman" w:hAnsi="Times New Roman"/>
                <w:sz w:val="20"/>
                <w:szCs w:val="20"/>
              </w:rPr>
            </w:pPr>
            <w:r w:rsidRPr="000413EB">
              <w:rPr>
                <w:rFonts w:ascii="Times New Roman" w:hAnsi="Times New Roman"/>
                <w:sz w:val="20"/>
                <w:szCs w:val="20"/>
              </w:rPr>
              <w:t>заклади освіти</w:t>
            </w:r>
          </w:p>
        </w:tc>
        <w:tc>
          <w:tcPr>
            <w:tcW w:w="2900" w:type="dxa"/>
          </w:tcPr>
          <w:p w14:paraId="535424D8" w14:textId="77777777" w:rsidR="00B77E4B" w:rsidRPr="000413EB" w:rsidRDefault="00B77E4B" w:rsidP="000413EB">
            <w:pPr>
              <w:jc w:val="both"/>
              <w:rPr>
                <w:rFonts w:ascii="Times New Roman" w:hAnsi="Times New Roman"/>
                <w:sz w:val="20"/>
                <w:szCs w:val="20"/>
                <w:lang w:eastAsia="it-IT"/>
              </w:rPr>
            </w:pPr>
            <w:r w:rsidRPr="000413EB">
              <w:rPr>
                <w:rFonts w:ascii="Times New Roman" w:hAnsi="Times New Roman"/>
                <w:sz w:val="20"/>
                <w:szCs w:val="20"/>
                <w:lang w:eastAsia="it-IT"/>
              </w:rPr>
              <w:t>Покращено тепловий режим в приміщеннях (знижено втрати тепла на 20-30%).</w:t>
            </w:r>
          </w:p>
        </w:tc>
      </w:tr>
      <w:tr w:rsidR="00B77E4B" w:rsidRPr="000413EB" w14:paraId="1E1249B0" w14:textId="77777777" w:rsidTr="000413EB">
        <w:tc>
          <w:tcPr>
            <w:tcW w:w="567" w:type="dxa"/>
            <w:shd w:val="clear" w:color="auto" w:fill="auto"/>
          </w:tcPr>
          <w:p w14:paraId="17779003" w14:textId="16CA125A" w:rsidR="00B77E4B"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5</w:t>
            </w:r>
            <w:r w:rsidR="0097410E">
              <w:rPr>
                <w:rFonts w:ascii="Times New Roman" w:eastAsia="Arial" w:hAnsi="Times New Roman"/>
                <w:sz w:val="20"/>
                <w:szCs w:val="20"/>
              </w:rPr>
              <w:t>2</w:t>
            </w:r>
          </w:p>
        </w:tc>
        <w:tc>
          <w:tcPr>
            <w:tcW w:w="2694" w:type="dxa"/>
          </w:tcPr>
          <w:p w14:paraId="60DC8FBD" w14:textId="77777777" w:rsidR="00B77E4B" w:rsidRPr="000413EB" w:rsidRDefault="00B77E4B" w:rsidP="000413EB">
            <w:pPr>
              <w:jc w:val="both"/>
              <w:rPr>
                <w:rFonts w:ascii="Times New Roman" w:hAnsi="Times New Roman"/>
                <w:bCs/>
                <w:sz w:val="20"/>
                <w:szCs w:val="20"/>
              </w:rPr>
            </w:pPr>
            <w:r w:rsidRPr="000413EB">
              <w:rPr>
                <w:rFonts w:ascii="Times New Roman" w:hAnsi="Times New Roman"/>
                <w:bCs/>
                <w:sz w:val="20"/>
                <w:szCs w:val="20"/>
              </w:rPr>
              <w:t>В.2.2. Енергоефективні будівлі бюджетної, комунальної, житлової сфери та енергоаудит</w:t>
            </w:r>
          </w:p>
          <w:p w14:paraId="08833EE6" w14:textId="77777777" w:rsidR="00B77E4B" w:rsidRPr="000413EB" w:rsidRDefault="00B77E4B" w:rsidP="000413EB">
            <w:pPr>
              <w:jc w:val="both"/>
              <w:rPr>
                <w:rFonts w:ascii="Times New Roman" w:hAnsi="Times New Roman"/>
                <w:sz w:val="20"/>
                <w:szCs w:val="20"/>
              </w:rPr>
            </w:pPr>
          </w:p>
        </w:tc>
        <w:tc>
          <w:tcPr>
            <w:tcW w:w="2551" w:type="dxa"/>
          </w:tcPr>
          <w:p w14:paraId="2E10ACFC" w14:textId="77777777" w:rsidR="00B77E4B" w:rsidRPr="000413EB" w:rsidRDefault="00B77E4B" w:rsidP="000413EB">
            <w:pPr>
              <w:jc w:val="both"/>
              <w:rPr>
                <w:rFonts w:ascii="Times New Roman" w:hAnsi="Times New Roman"/>
                <w:sz w:val="20"/>
                <w:szCs w:val="20"/>
              </w:rPr>
            </w:pPr>
            <w:r w:rsidRPr="000413EB">
              <w:rPr>
                <w:rFonts w:ascii="Times New Roman" w:hAnsi="Times New Roman"/>
                <w:sz w:val="20"/>
                <w:szCs w:val="20"/>
              </w:rPr>
              <w:t>В 2.2.3. Впровадження енергоефективних заходів та обладнання на об’єктах комунальної власності громади, забезпечення термомодернізації об’єктів комунальної власності.</w:t>
            </w:r>
          </w:p>
          <w:p w14:paraId="50C91890" w14:textId="77777777" w:rsidR="00B77E4B" w:rsidRPr="000413EB" w:rsidRDefault="00B77E4B" w:rsidP="000413EB">
            <w:pPr>
              <w:jc w:val="both"/>
              <w:rPr>
                <w:rFonts w:ascii="Times New Roman" w:hAnsi="Times New Roman"/>
                <w:iCs/>
                <w:sz w:val="20"/>
                <w:szCs w:val="20"/>
                <w:lang w:eastAsia="it-IT"/>
              </w:rPr>
            </w:pPr>
          </w:p>
        </w:tc>
        <w:tc>
          <w:tcPr>
            <w:tcW w:w="2835" w:type="dxa"/>
          </w:tcPr>
          <w:p w14:paraId="4DC01E0F" w14:textId="77777777" w:rsidR="00B77E4B" w:rsidRPr="000413EB" w:rsidRDefault="00B77E4B" w:rsidP="000413EB">
            <w:pPr>
              <w:jc w:val="both"/>
              <w:rPr>
                <w:rFonts w:ascii="Times New Roman" w:hAnsi="Times New Roman"/>
                <w:sz w:val="20"/>
                <w:szCs w:val="20"/>
              </w:rPr>
            </w:pPr>
            <w:r w:rsidRPr="000413EB">
              <w:rPr>
                <w:rFonts w:ascii="Times New Roman" w:hAnsi="Times New Roman"/>
                <w:sz w:val="20"/>
                <w:szCs w:val="20"/>
              </w:rPr>
              <w:t>Модернізація покрівлі  ЗДО № 2 «Калинка»</w:t>
            </w:r>
          </w:p>
        </w:tc>
        <w:tc>
          <w:tcPr>
            <w:tcW w:w="1276" w:type="dxa"/>
          </w:tcPr>
          <w:p w14:paraId="5E4E05CE" w14:textId="77777777" w:rsidR="00B77E4B" w:rsidRPr="000413EB" w:rsidRDefault="00B77E4B" w:rsidP="000413EB">
            <w:pPr>
              <w:jc w:val="both"/>
              <w:rPr>
                <w:rFonts w:ascii="Times New Roman" w:hAnsi="Times New Roman"/>
                <w:sz w:val="20"/>
                <w:szCs w:val="20"/>
              </w:rPr>
            </w:pPr>
            <w:r w:rsidRPr="000413EB">
              <w:rPr>
                <w:rFonts w:ascii="Times New Roman" w:hAnsi="Times New Roman"/>
                <w:sz w:val="20"/>
                <w:szCs w:val="20"/>
              </w:rPr>
              <w:t>2025-2028</w:t>
            </w:r>
          </w:p>
        </w:tc>
        <w:tc>
          <w:tcPr>
            <w:tcW w:w="2345" w:type="dxa"/>
          </w:tcPr>
          <w:p w14:paraId="25792706" w14:textId="77777777" w:rsidR="00177957" w:rsidRDefault="00B77E4B" w:rsidP="000413EB">
            <w:pPr>
              <w:jc w:val="both"/>
              <w:rPr>
                <w:rFonts w:ascii="Times New Roman" w:hAnsi="Times New Roman"/>
                <w:sz w:val="20"/>
                <w:szCs w:val="20"/>
              </w:rPr>
            </w:pPr>
            <w:r w:rsidRPr="000413EB">
              <w:rPr>
                <w:rFonts w:ascii="Times New Roman" w:hAnsi="Times New Roman"/>
                <w:sz w:val="20"/>
                <w:szCs w:val="20"/>
              </w:rPr>
              <w:t xml:space="preserve">Управління ЖКГ Жмеринської міської ради, </w:t>
            </w:r>
          </w:p>
          <w:p w14:paraId="7241A04D" w14:textId="5AAFCDDB" w:rsidR="00B77E4B" w:rsidRPr="000413EB" w:rsidRDefault="00B77E4B" w:rsidP="000413EB">
            <w:pPr>
              <w:jc w:val="both"/>
              <w:rPr>
                <w:rFonts w:ascii="Times New Roman" w:hAnsi="Times New Roman"/>
                <w:sz w:val="20"/>
                <w:szCs w:val="20"/>
              </w:rPr>
            </w:pPr>
            <w:r w:rsidRPr="000413EB">
              <w:rPr>
                <w:rFonts w:ascii="Times New Roman" w:hAnsi="Times New Roman"/>
                <w:sz w:val="20"/>
                <w:szCs w:val="20"/>
              </w:rPr>
              <w:t>Управління освіти Жмеринської міської ради, заклади освіти</w:t>
            </w:r>
          </w:p>
        </w:tc>
        <w:tc>
          <w:tcPr>
            <w:tcW w:w="2900" w:type="dxa"/>
          </w:tcPr>
          <w:p w14:paraId="5AAF9C76" w14:textId="77777777" w:rsidR="00B77E4B" w:rsidRPr="000413EB" w:rsidRDefault="00B77E4B" w:rsidP="000413EB">
            <w:pPr>
              <w:jc w:val="both"/>
              <w:rPr>
                <w:rFonts w:ascii="Times New Roman" w:hAnsi="Times New Roman"/>
                <w:sz w:val="20"/>
                <w:szCs w:val="20"/>
                <w:lang w:eastAsia="it-IT"/>
              </w:rPr>
            </w:pPr>
            <w:r w:rsidRPr="000413EB">
              <w:rPr>
                <w:rFonts w:ascii="Times New Roman" w:hAnsi="Times New Roman"/>
                <w:sz w:val="20"/>
                <w:szCs w:val="20"/>
                <w:lang w:eastAsia="it-IT"/>
              </w:rPr>
              <w:t>Покращено тепловий режим в приміщеннях (знижено втрати тепла на 20-30%).</w:t>
            </w:r>
          </w:p>
        </w:tc>
      </w:tr>
      <w:tr w:rsidR="00B77E4B" w:rsidRPr="000413EB" w14:paraId="7D3C2E2B" w14:textId="77777777" w:rsidTr="000413EB">
        <w:tc>
          <w:tcPr>
            <w:tcW w:w="567" w:type="dxa"/>
            <w:shd w:val="clear" w:color="auto" w:fill="auto"/>
          </w:tcPr>
          <w:p w14:paraId="3EA1B137" w14:textId="31CBECBD" w:rsidR="00B77E4B"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5</w:t>
            </w:r>
            <w:r w:rsidR="0097410E">
              <w:rPr>
                <w:rFonts w:ascii="Times New Roman" w:eastAsia="Arial" w:hAnsi="Times New Roman"/>
                <w:sz w:val="20"/>
                <w:szCs w:val="20"/>
              </w:rPr>
              <w:t>3</w:t>
            </w:r>
          </w:p>
        </w:tc>
        <w:tc>
          <w:tcPr>
            <w:tcW w:w="2694" w:type="dxa"/>
          </w:tcPr>
          <w:p w14:paraId="5C18615F" w14:textId="77777777" w:rsidR="00B77E4B" w:rsidRPr="000413EB" w:rsidRDefault="00B77E4B" w:rsidP="000413EB">
            <w:pPr>
              <w:widowControl w:val="0"/>
              <w:tabs>
                <w:tab w:val="left" w:pos="0"/>
                <w:tab w:val="left" w:pos="720"/>
              </w:tabs>
              <w:autoSpaceDE w:val="0"/>
              <w:autoSpaceDN w:val="0"/>
              <w:adjustRightInd w:val="0"/>
              <w:jc w:val="both"/>
              <w:rPr>
                <w:rFonts w:ascii="Times New Roman" w:hAnsi="Times New Roman"/>
                <w:bCs/>
                <w:sz w:val="20"/>
                <w:szCs w:val="20"/>
              </w:rPr>
            </w:pPr>
            <w:r w:rsidRPr="000413EB">
              <w:rPr>
                <w:rFonts w:ascii="Times New Roman" w:hAnsi="Times New Roman"/>
                <w:bCs/>
                <w:sz w:val="20"/>
                <w:szCs w:val="20"/>
              </w:rPr>
              <w:t>В.2.2. Енергоефективні будівлі бюджетної, комунальної, житлової сфери та енергоаудит</w:t>
            </w:r>
          </w:p>
          <w:p w14:paraId="2E5C63E9" w14:textId="77777777" w:rsidR="00B77E4B" w:rsidRPr="000413EB" w:rsidRDefault="00B77E4B" w:rsidP="000413EB">
            <w:pPr>
              <w:widowControl w:val="0"/>
              <w:tabs>
                <w:tab w:val="left" w:pos="0"/>
                <w:tab w:val="left" w:pos="720"/>
              </w:tabs>
              <w:autoSpaceDE w:val="0"/>
              <w:autoSpaceDN w:val="0"/>
              <w:adjustRightInd w:val="0"/>
              <w:jc w:val="both"/>
              <w:rPr>
                <w:rFonts w:ascii="Times New Roman" w:hAnsi="Times New Roman"/>
                <w:sz w:val="20"/>
                <w:szCs w:val="20"/>
              </w:rPr>
            </w:pPr>
          </w:p>
        </w:tc>
        <w:tc>
          <w:tcPr>
            <w:tcW w:w="2551" w:type="dxa"/>
          </w:tcPr>
          <w:p w14:paraId="2971B8CA" w14:textId="77777777" w:rsidR="00B77E4B" w:rsidRPr="000413EB" w:rsidRDefault="00B77E4B" w:rsidP="000413EB">
            <w:pPr>
              <w:jc w:val="both"/>
              <w:rPr>
                <w:rFonts w:ascii="Times New Roman" w:hAnsi="Times New Roman"/>
                <w:iCs/>
                <w:sz w:val="20"/>
                <w:szCs w:val="20"/>
                <w:lang w:eastAsia="it-IT"/>
              </w:rPr>
            </w:pPr>
            <w:r w:rsidRPr="000413EB">
              <w:rPr>
                <w:rFonts w:ascii="Times New Roman" w:hAnsi="Times New Roman"/>
                <w:sz w:val="20"/>
                <w:szCs w:val="20"/>
              </w:rPr>
              <w:t>В 2.2.3. Впровадження енергоефективних заходів та обладнання на об’єктах комунальної власності громади, забезпечення термомодернізації об’єктів комунальної власності.</w:t>
            </w:r>
          </w:p>
        </w:tc>
        <w:tc>
          <w:tcPr>
            <w:tcW w:w="2835" w:type="dxa"/>
          </w:tcPr>
          <w:p w14:paraId="0ACADA61" w14:textId="77777777" w:rsidR="00B77E4B" w:rsidRPr="000413EB" w:rsidRDefault="00B77E4B" w:rsidP="000413EB">
            <w:pPr>
              <w:jc w:val="both"/>
              <w:rPr>
                <w:rFonts w:ascii="Times New Roman" w:hAnsi="Times New Roman"/>
                <w:sz w:val="20"/>
                <w:szCs w:val="20"/>
              </w:rPr>
            </w:pPr>
            <w:r w:rsidRPr="000413EB">
              <w:rPr>
                <w:rFonts w:ascii="Times New Roman" w:hAnsi="Times New Roman"/>
                <w:sz w:val="20"/>
                <w:szCs w:val="20"/>
              </w:rPr>
              <w:t>Модернізація покрівлі - важлива складова створення сучасного енергоефективного освітнього простору</w:t>
            </w:r>
          </w:p>
        </w:tc>
        <w:tc>
          <w:tcPr>
            <w:tcW w:w="1276" w:type="dxa"/>
          </w:tcPr>
          <w:p w14:paraId="2328692C" w14:textId="77777777" w:rsidR="00B77E4B" w:rsidRPr="000413EB" w:rsidRDefault="00B77E4B" w:rsidP="000413EB">
            <w:pPr>
              <w:jc w:val="both"/>
              <w:rPr>
                <w:rFonts w:ascii="Times New Roman" w:hAnsi="Times New Roman"/>
                <w:sz w:val="20"/>
                <w:szCs w:val="20"/>
              </w:rPr>
            </w:pPr>
            <w:r w:rsidRPr="000413EB">
              <w:rPr>
                <w:rFonts w:ascii="Times New Roman" w:hAnsi="Times New Roman"/>
                <w:sz w:val="20"/>
                <w:szCs w:val="20"/>
              </w:rPr>
              <w:t>2025-2028</w:t>
            </w:r>
          </w:p>
        </w:tc>
        <w:tc>
          <w:tcPr>
            <w:tcW w:w="2345" w:type="dxa"/>
          </w:tcPr>
          <w:p w14:paraId="7C8892FD" w14:textId="77777777" w:rsidR="00177957" w:rsidRDefault="00B77E4B" w:rsidP="000413EB">
            <w:pPr>
              <w:jc w:val="both"/>
              <w:rPr>
                <w:rFonts w:ascii="Times New Roman" w:hAnsi="Times New Roman"/>
                <w:sz w:val="20"/>
                <w:szCs w:val="20"/>
              </w:rPr>
            </w:pPr>
            <w:r w:rsidRPr="000413EB">
              <w:rPr>
                <w:rFonts w:ascii="Times New Roman" w:hAnsi="Times New Roman"/>
                <w:sz w:val="20"/>
                <w:szCs w:val="20"/>
              </w:rPr>
              <w:t xml:space="preserve">Управління ЖКГ Жмеринської міської ради, </w:t>
            </w:r>
          </w:p>
          <w:p w14:paraId="60577DB9" w14:textId="7789CCF4" w:rsidR="00B77E4B" w:rsidRPr="000413EB" w:rsidRDefault="00B77E4B" w:rsidP="000413EB">
            <w:pPr>
              <w:jc w:val="both"/>
              <w:rPr>
                <w:rFonts w:ascii="Times New Roman" w:hAnsi="Times New Roman"/>
                <w:sz w:val="20"/>
                <w:szCs w:val="20"/>
              </w:rPr>
            </w:pPr>
            <w:r w:rsidRPr="000413EB">
              <w:rPr>
                <w:rFonts w:ascii="Times New Roman" w:hAnsi="Times New Roman"/>
                <w:sz w:val="20"/>
                <w:szCs w:val="20"/>
              </w:rPr>
              <w:t>Управління освіти Жмеринської міської ради, заклади освіти</w:t>
            </w:r>
          </w:p>
        </w:tc>
        <w:tc>
          <w:tcPr>
            <w:tcW w:w="2900" w:type="dxa"/>
          </w:tcPr>
          <w:p w14:paraId="177EF9A7" w14:textId="77777777" w:rsidR="00B77E4B" w:rsidRPr="000413EB" w:rsidRDefault="00B77E4B" w:rsidP="000413EB">
            <w:pPr>
              <w:jc w:val="both"/>
              <w:rPr>
                <w:rFonts w:ascii="Times New Roman" w:hAnsi="Times New Roman"/>
                <w:sz w:val="20"/>
                <w:szCs w:val="20"/>
                <w:lang w:eastAsia="it-IT"/>
              </w:rPr>
            </w:pPr>
            <w:r w:rsidRPr="000413EB">
              <w:rPr>
                <w:rFonts w:ascii="Times New Roman" w:hAnsi="Times New Roman"/>
                <w:sz w:val="20"/>
                <w:szCs w:val="20"/>
                <w:lang w:eastAsia="it-IT"/>
              </w:rPr>
              <w:t>Покращено тепловий режим в приміщеннях (знижено втрати тепла на 20-30%).</w:t>
            </w:r>
          </w:p>
        </w:tc>
      </w:tr>
      <w:tr w:rsidR="00B77E4B" w:rsidRPr="000413EB" w14:paraId="53C08393" w14:textId="77777777" w:rsidTr="00541BDD">
        <w:tc>
          <w:tcPr>
            <w:tcW w:w="567" w:type="dxa"/>
            <w:tcBorders>
              <w:bottom w:val="single" w:sz="4" w:space="0" w:color="auto"/>
            </w:tcBorders>
            <w:shd w:val="clear" w:color="auto" w:fill="auto"/>
          </w:tcPr>
          <w:p w14:paraId="08C411CC" w14:textId="3624A2DB" w:rsidR="00B77E4B"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5</w:t>
            </w:r>
            <w:r w:rsidR="0097410E">
              <w:rPr>
                <w:rFonts w:ascii="Times New Roman" w:eastAsia="Arial" w:hAnsi="Times New Roman"/>
                <w:sz w:val="20"/>
                <w:szCs w:val="20"/>
              </w:rPr>
              <w:t>4</w:t>
            </w:r>
          </w:p>
        </w:tc>
        <w:tc>
          <w:tcPr>
            <w:tcW w:w="2694" w:type="dxa"/>
            <w:tcBorders>
              <w:bottom w:val="single" w:sz="4" w:space="0" w:color="auto"/>
            </w:tcBorders>
            <w:shd w:val="clear" w:color="auto" w:fill="auto"/>
          </w:tcPr>
          <w:p w14:paraId="1CAA2900" w14:textId="5D389AD5" w:rsidR="00B77E4B" w:rsidRPr="000413EB" w:rsidRDefault="00B77E4B" w:rsidP="00541BDD">
            <w:pPr>
              <w:rPr>
                <w:rFonts w:ascii="Times New Roman" w:eastAsia="Arial" w:hAnsi="Times New Roman"/>
                <w:sz w:val="20"/>
                <w:szCs w:val="20"/>
                <w:lang w:eastAsia="en-US"/>
              </w:rPr>
            </w:pPr>
            <w:r w:rsidRPr="000413EB">
              <w:rPr>
                <w:rFonts w:ascii="Times New Roman" w:eastAsia="Arial" w:hAnsi="Times New Roman"/>
                <w:sz w:val="20"/>
                <w:szCs w:val="20"/>
                <w:lang w:eastAsia="en-US"/>
              </w:rPr>
              <w:t>В.2.2.Енергоефективні будівлі бюджетної, комунальної, житлової сфери та енергоаудит</w:t>
            </w:r>
          </w:p>
        </w:tc>
        <w:tc>
          <w:tcPr>
            <w:tcW w:w="2551" w:type="dxa"/>
            <w:shd w:val="clear" w:color="auto" w:fill="auto"/>
          </w:tcPr>
          <w:p w14:paraId="46F3B0AD" w14:textId="77777777" w:rsidR="00B77E4B" w:rsidRPr="000413EB" w:rsidRDefault="00B77E4B" w:rsidP="000413EB">
            <w:pPr>
              <w:pBdr>
                <w:left w:val="single" w:sz="18" w:space="4" w:color="auto"/>
              </w:pBdr>
              <w:jc w:val="both"/>
              <w:rPr>
                <w:rFonts w:ascii="Times New Roman" w:eastAsia="Arial" w:hAnsi="Times New Roman"/>
                <w:sz w:val="20"/>
                <w:szCs w:val="20"/>
                <w:lang w:eastAsia="en-US"/>
              </w:rPr>
            </w:pPr>
            <w:r w:rsidRPr="000413EB">
              <w:rPr>
                <w:rFonts w:ascii="Times New Roman" w:hAnsi="Times New Roman"/>
                <w:sz w:val="20"/>
                <w:szCs w:val="20"/>
              </w:rPr>
              <w:t>В.2.2.3. Впровадження енергоефективних заходів та обладнання на об’єктах комунальної власності громади, забезпечення термомодернізації об’єктів комунальної власності</w:t>
            </w:r>
          </w:p>
        </w:tc>
        <w:tc>
          <w:tcPr>
            <w:tcW w:w="2835" w:type="dxa"/>
            <w:shd w:val="clear" w:color="auto" w:fill="auto"/>
            <w:vAlign w:val="center"/>
          </w:tcPr>
          <w:p w14:paraId="0DCDC839" w14:textId="77777777" w:rsidR="00B77E4B" w:rsidRPr="000413EB" w:rsidRDefault="00B77E4B" w:rsidP="000413EB">
            <w:pPr>
              <w:widowControl w:val="0"/>
              <w:tabs>
                <w:tab w:val="left" w:pos="5829"/>
                <w:tab w:val="left" w:pos="9720"/>
                <w:tab w:val="left" w:pos="10357"/>
              </w:tabs>
              <w:autoSpaceDE w:val="0"/>
              <w:autoSpaceDN w:val="0"/>
              <w:jc w:val="both"/>
              <w:rPr>
                <w:rFonts w:ascii="Times New Roman" w:eastAsia="Arial" w:hAnsi="Times New Roman"/>
                <w:b/>
                <w:sz w:val="20"/>
                <w:szCs w:val="20"/>
                <w:lang w:eastAsia="en-US"/>
              </w:rPr>
            </w:pPr>
            <w:r w:rsidRPr="000413EB">
              <w:rPr>
                <w:rFonts w:ascii="Times New Roman" w:hAnsi="Times New Roman"/>
                <w:sz w:val="20"/>
                <w:szCs w:val="20"/>
              </w:rPr>
              <w:t>Реконструкція даху з утепленням фасадів будівлі головного корпусу КНП «Жмеринська ЦРЛ» по вул. Київська, 288 в м.Жмеринка Вінницької області</w:t>
            </w:r>
          </w:p>
        </w:tc>
        <w:tc>
          <w:tcPr>
            <w:tcW w:w="1276" w:type="dxa"/>
            <w:shd w:val="clear" w:color="auto" w:fill="auto"/>
            <w:vAlign w:val="center"/>
          </w:tcPr>
          <w:p w14:paraId="2A86F159" w14:textId="77777777" w:rsidR="00B77E4B" w:rsidRPr="000413EB" w:rsidRDefault="00B77E4B" w:rsidP="000413EB">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2026-2027 рр.</w:t>
            </w:r>
          </w:p>
        </w:tc>
        <w:tc>
          <w:tcPr>
            <w:tcW w:w="2345" w:type="dxa"/>
            <w:shd w:val="clear" w:color="auto" w:fill="auto"/>
            <w:vAlign w:val="center"/>
          </w:tcPr>
          <w:p w14:paraId="6468E200" w14:textId="77777777" w:rsidR="00177957" w:rsidRDefault="00B77E4B" w:rsidP="000413EB">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 xml:space="preserve">КНП «Жмеринська ЦРЛ», </w:t>
            </w:r>
          </w:p>
          <w:p w14:paraId="12877F7D" w14:textId="77777777" w:rsidR="00177957" w:rsidRDefault="00B77E4B" w:rsidP="000413EB">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 xml:space="preserve">Управління ЖКГ, </w:t>
            </w:r>
          </w:p>
          <w:p w14:paraId="15E5B77B" w14:textId="6E92D879" w:rsidR="00B77E4B" w:rsidRPr="000413EB" w:rsidRDefault="00B77E4B" w:rsidP="000413EB">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Управління соціального захисту населення та охорони здоров’я</w:t>
            </w:r>
          </w:p>
          <w:p w14:paraId="28BC9C7D" w14:textId="77777777" w:rsidR="00B77E4B" w:rsidRPr="000413EB" w:rsidRDefault="00B77E4B" w:rsidP="000413EB">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p>
        </w:tc>
        <w:tc>
          <w:tcPr>
            <w:tcW w:w="2900" w:type="dxa"/>
            <w:shd w:val="clear" w:color="auto" w:fill="auto"/>
            <w:vAlign w:val="center"/>
          </w:tcPr>
          <w:p w14:paraId="66CC20BA" w14:textId="4C83CE28" w:rsidR="00B77E4B" w:rsidRPr="000413EB" w:rsidRDefault="00B77E4B" w:rsidP="000413EB">
            <w:pPr>
              <w:jc w:val="both"/>
              <w:rPr>
                <w:rFonts w:ascii="Times New Roman" w:hAnsi="Times New Roman"/>
                <w:sz w:val="20"/>
                <w:szCs w:val="20"/>
                <w:lang w:eastAsia="it-IT"/>
              </w:rPr>
            </w:pPr>
            <w:r w:rsidRPr="000413EB">
              <w:rPr>
                <w:rFonts w:ascii="Times New Roman" w:hAnsi="Times New Roman"/>
                <w:sz w:val="20"/>
                <w:szCs w:val="20"/>
                <w:lang w:eastAsia="it-IT"/>
              </w:rPr>
              <w:t>Економія енергоносіїв у розмірі 10 %, збережено тепло в приміщенні та як наслідок економія бюджетних коштів, створено комфортні умови для лікування населення</w:t>
            </w:r>
            <w:r w:rsidR="004D364B">
              <w:rPr>
                <w:rFonts w:ascii="Times New Roman" w:hAnsi="Times New Roman"/>
                <w:sz w:val="20"/>
                <w:szCs w:val="20"/>
                <w:lang w:eastAsia="it-IT"/>
              </w:rPr>
              <w:t>.</w:t>
            </w:r>
          </w:p>
          <w:p w14:paraId="40107E0D" w14:textId="77777777" w:rsidR="00B77E4B" w:rsidRPr="000413EB" w:rsidRDefault="00B77E4B" w:rsidP="000413EB">
            <w:pPr>
              <w:jc w:val="both"/>
              <w:rPr>
                <w:rFonts w:ascii="Times New Roman" w:eastAsia="Arial" w:hAnsi="Times New Roman"/>
                <w:sz w:val="20"/>
                <w:szCs w:val="20"/>
                <w:lang w:eastAsia="en-US"/>
              </w:rPr>
            </w:pPr>
          </w:p>
        </w:tc>
      </w:tr>
      <w:tr w:rsidR="00B77E4B" w:rsidRPr="000413EB" w14:paraId="1DB1E1F4" w14:textId="77777777" w:rsidTr="00541BDD">
        <w:tc>
          <w:tcPr>
            <w:tcW w:w="567" w:type="dxa"/>
            <w:tcBorders>
              <w:top w:val="single" w:sz="4" w:space="0" w:color="auto"/>
              <w:left w:val="single" w:sz="4" w:space="0" w:color="auto"/>
              <w:bottom w:val="single" w:sz="4" w:space="0" w:color="auto"/>
              <w:right w:val="single" w:sz="4" w:space="0" w:color="auto"/>
            </w:tcBorders>
            <w:shd w:val="clear" w:color="auto" w:fill="auto"/>
          </w:tcPr>
          <w:p w14:paraId="1B8489DA" w14:textId="4DBA1FCB" w:rsidR="00B77E4B"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5</w:t>
            </w:r>
            <w:r w:rsidR="0097410E">
              <w:rPr>
                <w:rFonts w:ascii="Times New Roman" w:eastAsia="Arial" w:hAnsi="Times New Roman"/>
                <w:sz w:val="20"/>
                <w:szCs w:val="20"/>
              </w:rPr>
              <w:t>5</w:t>
            </w:r>
          </w:p>
        </w:tc>
        <w:tc>
          <w:tcPr>
            <w:tcW w:w="2694" w:type="dxa"/>
            <w:tcBorders>
              <w:top w:val="single" w:sz="4" w:space="0" w:color="auto"/>
              <w:left w:val="single" w:sz="4" w:space="0" w:color="auto"/>
              <w:bottom w:val="single" w:sz="4" w:space="0" w:color="auto"/>
              <w:right w:val="single" w:sz="4" w:space="0" w:color="auto"/>
            </w:tcBorders>
            <w:shd w:val="clear" w:color="auto" w:fill="auto"/>
          </w:tcPr>
          <w:p w14:paraId="46A935CE" w14:textId="77777777" w:rsidR="00B77E4B" w:rsidRPr="000413EB" w:rsidRDefault="00B77E4B" w:rsidP="000413EB">
            <w:pPr>
              <w:pBdr>
                <w:left w:val="single" w:sz="18" w:space="4" w:color="auto"/>
              </w:pBdr>
              <w:jc w:val="both"/>
              <w:rPr>
                <w:rFonts w:ascii="Times New Roman" w:hAnsi="Times New Roman"/>
                <w:bCs/>
                <w:sz w:val="20"/>
                <w:szCs w:val="20"/>
                <w:lang w:eastAsia="it-IT"/>
              </w:rPr>
            </w:pPr>
            <w:r w:rsidRPr="000413EB">
              <w:rPr>
                <w:rFonts w:ascii="Times New Roman" w:hAnsi="Times New Roman"/>
                <w:bCs/>
                <w:sz w:val="20"/>
                <w:szCs w:val="20"/>
                <w:lang w:eastAsia="it-IT"/>
              </w:rPr>
              <w:t>В.2.3. Енергоефективна освітня та діалогова платформа</w:t>
            </w:r>
          </w:p>
          <w:p w14:paraId="6481EFDC" w14:textId="77777777" w:rsidR="00B77E4B" w:rsidRPr="000413EB" w:rsidRDefault="00B77E4B" w:rsidP="000413EB">
            <w:pPr>
              <w:pStyle w:val="af4"/>
              <w:spacing w:after="0" w:line="240" w:lineRule="auto"/>
              <w:jc w:val="both"/>
              <w:rPr>
                <w:rFonts w:ascii="Times New Roman" w:eastAsia="Arial" w:hAnsi="Times New Roman" w:cs="Times New Roman"/>
                <w:sz w:val="20"/>
                <w:szCs w:val="20"/>
                <w:lang w:eastAsia="en-US"/>
              </w:rPr>
            </w:pPr>
          </w:p>
        </w:tc>
        <w:tc>
          <w:tcPr>
            <w:tcW w:w="2551" w:type="dxa"/>
            <w:tcBorders>
              <w:left w:val="single" w:sz="4" w:space="0" w:color="auto"/>
            </w:tcBorders>
            <w:shd w:val="clear" w:color="auto" w:fill="auto"/>
          </w:tcPr>
          <w:p w14:paraId="67DBA476" w14:textId="77777777" w:rsidR="00B77E4B" w:rsidRPr="000413EB" w:rsidRDefault="00B77E4B" w:rsidP="000413EB">
            <w:pPr>
              <w:pBdr>
                <w:left w:val="single" w:sz="18" w:space="4" w:color="auto"/>
              </w:pBdr>
              <w:jc w:val="both"/>
              <w:rPr>
                <w:rFonts w:ascii="Times New Roman" w:hAnsi="Times New Roman"/>
                <w:sz w:val="20"/>
                <w:szCs w:val="20"/>
                <w:lang w:eastAsia="it-IT"/>
              </w:rPr>
            </w:pPr>
            <w:r w:rsidRPr="000413EB">
              <w:rPr>
                <w:rFonts w:ascii="Times New Roman" w:hAnsi="Times New Roman"/>
                <w:sz w:val="20"/>
                <w:szCs w:val="20"/>
                <w:lang w:eastAsia="it-IT"/>
              </w:rPr>
              <w:t>В.2.3.1. Проведення Днів енергії.</w:t>
            </w:r>
          </w:p>
        </w:tc>
        <w:tc>
          <w:tcPr>
            <w:tcW w:w="2835" w:type="dxa"/>
            <w:shd w:val="clear" w:color="auto" w:fill="auto"/>
          </w:tcPr>
          <w:p w14:paraId="70411F07" w14:textId="77777777" w:rsidR="00B77E4B" w:rsidRPr="000413EB" w:rsidRDefault="00B77E4B" w:rsidP="000413EB">
            <w:pPr>
              <w:jc w:val="both"/>
              <w:rPr>
                <w:rFonts w:ascii="Times New Roman" w:hAnsi="Times New Roman"/>
                <w:sz w:val="20"/>
                <w:szCs w:val="20"/>
                <w:lang w:eastAsia="it-IT"/>
              </w:rPr>
            </w:pPr>
            <w:r w:rsidRPr="000413EB">
              <w:rPr>
                <w:rFonts w:ascii="Times New Roman" w:hAnsi="Times New Roman"/>
                <w:sz w:val="20"/>
                <w:szCs w:val="20"/>
                <w:lang w:eastAsia="it-IT"/>
              </w:rPr>
              <w:t>Проведення у громаді Днів сталої енергії</w:t>
            </w:r>
          </w:p>
        </w:tc>
        <w:tc>
          <w:tcPr>
            <w:tcW w:w="1276" w:type="dxa"/>
            <w:shd w:val="clear" w:color="auto" w:fill="auto"/>
          </w:tcPr>
          <w:p w14:paraId="0D50396C" w14:textId="77777777" w:rsidR="00B77E4B" w:rsidRPr="000413EB" w:rsidRDefault="00B77E4B" w:rsidP="000413EB">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2025-2028</w:t>
            </w:r>
          </w:p>
        </w:tc>
        <w:tc>
          <w:tcPr>
            <w:tcW w:w="2345" w:type="dxa"/>
            <w:shd w:val="clear" w:color="auto" w:fill="auto"/>
          </w:tcPr>
          <w:p w14:paraId="59B78AAC" w14:textId="77777777" w:rsidR="00B77E4B" w:rsidRPr="000413EB" w:rsidRDefault="00B77E4B" w:rsidP="000413EB">
            <w:pPr>
              <w:jc w:val="both"/>
              <w:rPr>
                <w:rFonts w:ascii="Times New Roman" w:hAnsi="Times New Roman"/>
                <w:sz w:val="20"/>
                <w:szCs w:val="20"/>
              </w:rPr>
            </w:pPr>
            <w:r w:rsidRPr="000413EB">
              <w:rPr>
                <w:rFonts w:ascii="Times New Roman" w:eastAsia="Arial" w:hAnsi="Times New Roman"/>
                <w:sz w:val="20"/>
                <w:szCs w:val="20"/>
                <w:lang w:eastAsia="en-US"/>
              </w:rPr>
              <w:t>Управління економіки  та розвитку інфраструктури виконавчого комітету міської ради</w:t>
            </w:r>
          </w:p>
        </w:tc>
        <w:tc>
          <w:tcPr>
            <w:tcW w:w="2900" w:type="dxa"/>
            <w:shd w:val="clear" w:color="auto" w:fill="auto"/>
          </w:tcPr>
          <w:p w14:paraId="714FC94A" w14:textId="5D5CDF32" w:rsidR="00B77E4B" w:rsidRPr="000413EB" w:rsidRDefault="00B77E4B" w:rsidP="000413EB">
            <w:pPr>
              <w:jc w:val="both"/>
              <w:rPr>
                <w:rFonts w:ascii="Times New Roman" w:hAnsi="Times New Roman"/>
                <w:sz w:val="20"/>
                <w:szCs w:val="20"/>
                <w:lang w:eastAsia="it-IT"/>
              </w:rPr>
            </w:pPr>
            <w:r w:rsidRPr="000413EB">
              <w:rPr>
                <w:rFonts w:ascii="Times New Roman" w:hAnsi="Times New Roman"/>
                <w:sz w:val="20"/>
                <w:szCs w:val="20"/>
                <w:lang w:eastAsia="it-IT"/>
              </w:rPr>
              <w:t>Охоплено та залучено до проведення  Днів сталої енергії (кількість учасників - 100 осіб, кількість проведених зах</w:t>
            </w:r>
            <w:r w:rsidR="004D364B">
              <w:rPr>
                <w:rFonts w:ascii="Times New Roman" w:hAnsi="Times New Roman"/>
                <w:sz w:val="20"/>
                <w:szCs w:val="20"/>
                <w:lang w:eastAsia="it-IT"/>
              </w:rPr>
              <w:t>одів -4).</w:t>
            </w:r>
          </w:p>
          <w:p w14:paraId="1CEA0FCD" w14:textId="7D3C68AD" w:rsidR="00B77E4B" w:rsidRPr="000413EB" w:rsidRDefault="00B77E4B" w:rsidP="000413EB">
            <w:pPr>
              <w:jc w:val="both"/>
              <w:rPr>
                <w:rFonts w:ascii="Times New Roman" w:hAnsi="Times New Roman"/>
                <w:sz w:val="20"/>
                <w:szCs w:val="20"/>
                <w:lang w:eastAsia="it-IT"/>
              </w:rPr>
            </w:pPr>
            <w:r w:rsidRPr="000413EB">
              <w:rPr>
                <w:rFonts w:ascii="Times New Roman" w:hAnsi="Times New Roman"/>
                <w:sz w:val="20"/>
                <w:szCs w:val="20"/>
                <w:lang w:eastAsia="it-IT"/>
              </w:rPr>
              <w:t>Інформаційна ефективність ( кількіс</w:t>
            </w:r>
            <w:r w:rsidR="004D364B">
              <w:rPr>
                <w:rFonts w:ascii="Times New Roman" w:hAnsi="Times New Roman"/>
                <w:sz w:val="20"/>
                <w:szCs w:val="20"/>
                <w:lang w:eastAsia="it-IT"/>
              </w:rPr>
              <w:t>ть інформаційних матеріалів -5).</w:t>
            </w:r>
          </w:p>
          <w:p w14:paraId="5A6CDEF2" w14:textId="7AA5FA64" w:rsidR="00B77E4B" w:rsidRPr="000413EB" w:rsidRDefault="00B77E4B" w:rsidP="004D364B">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hAnsi="Times New Roman"/>
                <w:sz w:val="20"/>
                <w:szCs w:val="20"/>
                <w:lang w:eastAsia="it-IT"/>
              </w:rPr>
              <w:t>Освітній вплив (кількість учасників освітніх тренінгів, сесій, зміна рівня обізнаності про</w:t>
            </w:r>
            <w:r w:rsidR="004D364B">
              <w:rPr>
                <w:rFonts w:ascii="Times New Roman" w:hAnsi="Times New Roman"/>
                <w:sz w:val="20"/>
                <w:szCs w:val="20"/>
                <w:lang w:eastAsia="it-IT"/>
              </w:rPr>
              <w:t xml:space="preserve"> </w:t>
            </w:r>
            <w:r w:rsidRPr="000413EB">
              <w:rPr>
                <w:rFonts w:ascii="Times New Roman" w:hAnsi="Times New Roman"/>
                <w:sz w:val="20"/>
                <w:szCs w:val="20"/>
                <w:lang w:eastAsia="it-IT"/>
              </w:rPr>
              <w:t>питання енергоефективності, кількість розроблених і запроваджених навчальних матеріалів).</w:t>
            </w:r>
          </w:p>
        </w:tc>
      </w:tr>
      <w:tr w:rsidR="0097410E" w:rsidRPr="000413EB" w14:paraId="3F1235A4" w14:textId="77777777" w:rsidTr="0097410E">
        <w:tc>
          <w:tcPr>
            <w:tcW w:w="567" w:type="dxa"/>
            <w:tcBorders>
              <w:top w:val="single" w:sz="4" w:space="0" w:color="auto"/>
            </w:tcBorders>
            <w:shd w:val="clear" w:color="auto" w:fill="auto"/>
          </w:tcPr>
          <w:p w14:paraId="0D064720" w14:textId="2AA71B32" w:rsidR="0097410E" w:rsidRPr="000413EB" w:rsidRDefault="0097410E" w:rsidP="0097410E">
            <w:pPr>
              <w:pStyle w:val="aa"/>
              <w:jc w:val="both"/>
              <w:rPr>
                <w:rFonts w:ascii="Times New Roman" w:eastAsia="Arial" w:hAnsi="Times New Roman"/>
                <w:sz w:val="20"/>
                <w:szCs w:val="20"/>
              </w:rPr>
            </w:pPr>
            <w:r>
              <w:rPr>
                <w:rFonts w:ascii="Times New Roman" w:eastAsia="Arial" w:hAnsi="Times New Roman"/>
                <w:sz w:val="20"/>
                <w:szCs w:val="20"/>
              </w:rPr>
              <w:t>56</w:t>
            </w:r>
          </w:p>
        </w:tc>
        <w:tc>
          <w:tcPr>
            <w:tcW w:w="2694" w:type="dxa"/>
            <w:tcBorders>
              <w:top w:val="single" w:sz="4" w:space="0" w:color="auto"/>
            </w:tcBorders>
            <w:shd w:val="clear" w:color="auto" w:fill="auto"/>
          </w:tcPr>
          <w:p w14:paraId="44E35604" w14:textId="6A4D8FF3" w:rsidR="0097410E" w:rsidRPr="000413EB" w:rsidRDefault="0097410E" w:rsidP="0097410E">
            <w:pPr>
              <w:autoSpaceDE w:val="0"/>
              <w:autoSpaceDN w:val="0"/>
              <w:adjustRightInd w:val="0"/>
              <w:jc w:val="both"/>
              <w:rPr>
                <w:rFonts w:ascii="Times New Roman" w:hAnsi="Times New Roman"/>
                <w:bCs/>
                <w:sz w:val="20"/>
                <w:szCs w:val="20"/>
              </w:rPr>
            </w:pPr>
            <w:r w:rsidRPr="0097410E">
              <w:rPr>
                <w:rFonts w:ascii="Times New Roman" w:hAnsi="Times New Roman"/>
                <w:bCs/>
                <w:sz w:val="20"/>
                <w:szCs w:val="20"/>
              </w:rPr>
              <w:t>В.3.1. Сприяння збереження екосистеми громади</w:t>
            </w:r>
          </w:p>
        </w:tc>
        <w:tc>
          <w:tcPr>
            <w:tcW w:w="2551" w:type="dxa"/>
            <w:shd w:val="clear" w:color="auto" w:fill="auto"/>
          </w:tcPr>
          <w:p w14:paraId="6067A48D" w14:textId="2D5431E7" w:rsidR="0097410E" w:rsidRPr="000413EB" w:rsidRDefault="0097410E" w:rsidP="0097410E">
            <w:pPr>
              <w:jc w:val="both"/>
              <w:rPr>
                <w:rFonts w:ascii="Times New Roman" w:hAnsi="Times New Roman"/>
                <w:sz w:val="20"/>
                <w:szCs w:val="20"/>
              </w:rPr>
            </w:pPr>
            <w:r w:rsidRPr="0097410E">
              <w:rPr>
                <w:rFonts w:ascii="Times New Roman" w:hAnsi="Times New Roman"/>
                <w:sz w:val="20"/>
                <w:szCs w:val="20"/>
              </w:rPr>
              <w:t>В.3.1.2. Впровадження сучасних технологій очищення стічних вод.</w:t>
            </w:r>
          </w:p>
        </w:tc>
        <w:tc>
          <w:tcPr>
            <w:tcW w:w="2835" w:type="dxa"/>
            <w:shd w:val="clear" w:color="auto" w:fill="auto"/>
          </w:tcPr>
          <w:p w14:paraId="0320B1E8" w14:textId="4276D2D1"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hAnsi="Times New Roman"/>
                <w:sz w:val="20"/>
                <w:szCs w:val="20"/>
                <w:lang w:eastAsia="it-IT"/>
              </w:rPr>
              <w:t>Реконструкція очисних споруд каналізації (ОСК) в с. Сідава, Жмеринського району</w:t>
            </w:r>
          </w:p>
        </w:tc>
        <w:tc>
          <w:tcPr>
            <w:tcW w:w="1276" w:type="dxa"/>
            <w:shd w:val="clear" w:color="auto" w:fill="auto"/>
          </w:tcPr>
          <w:p w14:paraId="1855CE5A" w14:textId="6382692D" w:rsidR="0097410E" w:rsidRPr="000413EB" w:rsidRDefault="0097410E" w:rsidP="0097410E">
            <w:pPr>
              <w:widowControl w:val="0"/>
              <w:tabs>
                <w:tab w:val="left" w:pos="5829"/>
                <w:tab w:val="left" w:pos="9720"/>
                <w:tab w:val="left" w:pos="10357"/>
              </w:tabs>
              <w:autoSpaceDE w:val="0"/>
              <w:autoSpaceDN w:val="0"/>
              <w:jc w:val="center"/>
              <w:rPr>
                <w:rFonts w:ascii="Times New Roman" w:eastAsia="Arial" w:hAnsi="Times New Roman"/>
                <w:sz w:val="20"/>
                <w:szCs w:val="20"/>
                <w:lang w:eastAsia="en-US"/>
              </w:rPr>
            </w:pPr>
            <w:r w:rsidRPr="000413EB">
              <w:rPr>
                <w:rFonts w:ascii="Times New Roman" w:eastAsia="Arial" w:hAnsi="Times New Roman"/>
                <w:sz w:val="20"/>
                <w:szCs w:val="20"/>
                <w:lang w:eastAsia="en-US"/>
              </w:rPr>
              <w:t>2026</w:t>
            </w:r>
          </w:p>
        </w:tc>
        <w:tc>
          <w:tcPr>
            <w:tcW w:w="2345" w:type="dxa"/>
            <w:shd w:val="clear" w:color="auto" w:fill="auto"/>
          </w:tcPr>
          <w:p w14:paraId="2EDA0799" w14:textId="1D09C79B"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hAnsi="Times New Roman"/>
                <w:color w:val="000000"/>
                <w:sz w:val="20"/>
                <w:szCs w:val="20"/>
                <w:lang w:eastAsia="it-IT"/>
              </w:rPr>
              <w:t>Управління житлово-комунального господарства міської ради</w:t>
            </w:r>
          </w:p>
        </w:tc>
        <w:tc>
          <w:tcPr>
            <w:tcW w:w="2900" w:type="dxa"/>
            <w:shd w:val="clear" w:color="auto" w:fill="auto"/>
          </w:tcPr>
          <w:p w14:paraId="1B3B3A23"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Площа забудови:</w:t>
            </w:r>
          </w:p>
          <w:p w14:paraId="7D624C33" w14:textId="2733DB9F"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4322 м</w:t>
            </w:r>
            <w:r w:rsidRPr="0097410E">
              <w:rPr>
                <w:rFonts w:ascii="Times New Roman" w:hAnsi="Times New Roman"/>
                <w:sz w:val="20"/>
                <w:szCs w:val="20"/>
                <w:vertAlign w:val="superscript"/>
                <w:lang w:eastAsia="it-IT"/>
              </w:rPr>
              <w:t>2</w:t>
            </w:r>
            <w:r w:rsidRPr="000413EB">
              <w:rPr>
                <w:rFonts w:ascii="Times New Roman" w:hAnsi="Times New Roman"/>
                <w:sz w:val="20"/>
                <w:szCs w:val="20"/>
                <w:lang w:eastAsia="it-IT"/>
              </w:rPr>
              <w:t xml:space="preserve"> та потужність очисних споруд: 293,7 кВт</w:t>
            </w:r>
            <w:r w:rsidR="004D364B">
              <w:rPr>
                <w:rFonts w:ascii="Times New Roman" w:hAnsi="Times New Roman"/>
                <w:sz w:val="20"/>
                <w:szCs w:val="20"/>
                <w:lang w:eastAsia="it-IT"/>
              </w:rPr>
              <w:t>.</w:t>
            </w:r>
          </w:p>
        </w:tc>
      </w:tr>
      <w:tr w:rsidR="00B77E4B" w:rsidRPr="000413EB" w14:paraId="463359BB" w14:textId="77777777" w:rsidTr="00541BDD">
        <w:tc>
          <w:tcPr>
            <w:tcW w:w="567" w:type="dxa"/>
            <w:tcBorders>
              <w:top w:val="single" w:sz="4" w:space="0" w:color="auto"/>
            </w:tcBorders>
            <w:shd w:val="clear" w:color="auto" w:fill="auto"/>
          </w:tcPr>
          <w:p w14:paraId="4C3600AB" w14:textId="4FFFC59C" w:rsidR="00B77E4B"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57</w:t>
            </w:r>
          </w:p>
        </w:tc>
        <w:tc>
          <w:tcPr>
            <w:tcW w:w="2694" w:type="dxa"/>
            <w:tcBorders>
              <w:top w:val="single" w:sz="4" w:space="0" w:color="auto"/>
            </w:tcBorders>
            <w:shd w:val="clear" w:color="auto" w:fill="auto"/>
          </w:tcPr>
          <w:p w14:paraId="4EC46E58" w14:textId="77777777" w:rsidR="00B77E4B" w:rsidRPr="000413EB" w:rsidRDefault="00B77E4B" w:rsidP="000413EB">
            <w:pPr>
              <w:autoSpaceDE w:val="0"/>
              <w:autoSpaceDN w:val="0"/>
              <w:adjustRightInd w:val="0"/>
              <w:jc w:val="both"/>
              <w:rPr>
                <w:rFonts w:ascii="Times New Roman" w:hAnsi="Times New Roman"/>
                <w:bCs/>
                <w:sz w:val="20"/>
                <w:szCs w:val="20"/>
              </w:rPr>
            </w:pPr>
            <w:r w:rsidRPr="000413EB">
              <w:rPr>
                <w:rFonts w:ascii="Times New Roman" w:hAnsi="Times New Roman"/>
                <w:bCs/>
                <w:sz w:val="20"/>
                <w:szCs w:val="20"/>
              </w:rPr>
              <w:t>В.4.1. Впровадження  Центру безпеки та активної безпекової платформи</w:t>
            </w:r>
          </w:p>
          <w:p w14:paraId="60CA1815" w14:textId="77777777" w:rsidR="00B77E4B" w:rsidRPr="000413EB" w:rsidRDefault="00B77E4B" w:rsidP="000413EB">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p>
        </w:tc>
        <w:tc>
          <w:tcPr>
            <w:tcW w:w="2551" w:type="dxa"/>
            <w:shd w:val="clear" w:color="auto" w:fill="auto"/>
          </w:tcPr>
          <w:p w14:paraId="440ACFF8" w14:textId="6678B8D2" w:rsidR="00B77E4B" w:rsidRPr="000413EB" w:rsidRDefault="00B77E4B" w:rsidP="000413EB">
            <w:pPr>
              <w:jc w:val="both"/>
              <w:rPr>
                <w:rFonts w:ascii="Times New Roman" w:hAnsi="Times New Roman"/>
                <w:sz w:val="20"/>
                <w:szCs w:val="20"/>
              </w:rPr>
            </w:pPr>
            <w:r w:rsidRPr="000413EB">
              <w:rPr>
                <w:rFonts w:ascii="Times New Roman" w:hAnsi="Times New Roman"/>
                <w:sz w:val="20"/>
                <w:szCs w:val="20"/>
              </w:rPr>
              <w:t xml:space="preserve">В.4.1.6. </w:t>
            </w:r>
            <w:r w:rsidRPr="000413EB">
              <w:rPr>
                <w:rFonts w:ascii="Times New Roman" w:hAnsi="Times New Roman"/>
                <w:sz w:val="20"/>
                <w:szCs w:val="20"/>
                <w:lang w:eastAsia="it-IT"/>
              </w:rPr>
              <w:t>Впровадження комплексу програмно-апаратних та організаційних заходів для посилення безпеки мешканців громади, захисту об’єктів забезпечення життєдіяльності громади, безпеки дорожнього руху із встановлення сучасних систем, здатних здійснювати інтелектуальну обробку зображення, забезпечувати контроль та оповіщення проблем.</w:t>
            </w:r>
          </w:p>
          <w:p w14:paraId="6DD93DF9" w14:textId="77777777" w:rsidR="00B77E4B" w:rsidRPr="000413EB" w:rsidRDefault="00B77E4B" w:rsidP="000413EB">
            <w:pPr>
              <w:jc w:val="both"/>
              <w:rPr>
                <w:rFonts w:ascii="Times New Roman" w:hAnsi="Times New Roman"/>
                <w:sz w:val="20"/>
                <w:szCs w:val="20"/>
              </w:rPr>
            </w:pPr>
          </w:p>
          <w:p w14:paraId="422B7457" w14:textId="77777777" w:rsidR="00B77E4B" w:rsidRPr="000413EB" w:rsidRDefault="00B77E4B" w:rsidP="000413EB">
            <w:pPr>
              <w:jc w:val="both"/>
              <w:rPr>
                <w:rFonts w:ascii="Times New Roman" w:hAnsi="Times New Roman"/>
                <w:sz w:val="20"/>
                <w:szCs w:val="20"/>
              </w:rPr>
            </w:pPr>
            <w:r w:rsidRPr="000413EB">
              <w:rPr>
                <w:rFonts w:ascii="Times New Roman" w:hAnsi="Times New Roman"/>
                <w:sz w:val="20"/>
                <w:szCs w:val="20"/>
              </w:rPr>
              <w:t xml:space="preserve">В.4.1.7. </w:t>
            </w:r>
            <w:r w:rsidRPr="000413EB">
              <w:rPr>
                <w:rFonts w:ascii="Times New Roman" w:hAnsi="Times New Roman"/>
                <w:sz w:val="20"/>
                <w:szCs w:val="20"/>
                <w:lang w:eastAsia="it-IT"/>
              </w:rPr>
              <w:t>Придбання та встановлення систем відеоспостереження: відеокамери; серверу із програмним забезпеченням.</w:t>
            </w:r>
          </w:p>
          <w:p w14:paraId="181B0340" w14:textId="77777777" w:rsidR="00B77E4B" w:rsidRPr="000413EB" w:rsidRDefault="00B77E4B" w:rsidP="000413EB">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hAnsi="Times New Roman"/>
                <w:sz w:val="20"/>
                <w:szCs w:val="20"/>
              </w:rPr>
              <w:t xml:space="preserve">В.4.1.8. </w:t>
            </w:r>
            <w:r w:rsidRPr="000413EB">
              <w:rPr>
                <w:rFonts w:ascii="Times New Roman" w:hAnsi="Times New Roman"/>
                <w:sz w:val="20"/>
                <w:szCs w:val="20"/>
                <w:lang w:eastAsia="it-IT"/>
              </w:rPr>
              <w:t>Проведення робіт по прокладці мережі відеоспостереження з урахуванням потреб населення конкретних населених пунктів</w:t>
            </w:r>
          </w:p>
        </w:tc>
        <w:tc>
          <w:tcPr>
            <w:tcW w:w="2835" w:type="dxa"/>
            <w:shd w:val="clear" w:color="auto" w:fill="auto"/>
          </w:tcPr>
          <w:p w14:paraId="5F587954" w14:textId="77777777" w:rsidR="00B77E4B" w:rsidRPr="000413EB" w:rsidRDefault="00B77E4B" w:rsidP="000413EB">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Безпечна громада</w:t>
            </w:r>
          </w:p>
        </w:tc>
        <w:tc>
          <w:tcPr>
            <w:tcW w:w="1276" w:type="dxa"/>
            <w:shd w:val="clear" w:color="auto" w:fill="auto"/>
          </w:tcPr>
          <w:p w14:paraId="60336581" w14:textId="77777777" w:rsidR="00B77E4B" w:rsidRPr="000413EB" w:rsidRDefault="00B77E4B" w:rsidP="000413EB">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2025-2027</w:t>
            </w:r>
          </w:p>
        </w:tc>
        <w:tc>
          <w:tcPr>
            <w:tcW w:w="2345" w:type="dxa"/>
            <w:shd w:val="clear" w:color="auto" w:fill="auto"/>
          </w:tcPr>
          <w:p w14:paraId="2EC9E579" w14:textId="77777777" w:rsidR="00B77E4B" w:rsidRPr="000413EB" w:rsidRDefault="00B77E4B" w:rsidP="000413EB">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Відділ інформаційних технологій та комунікацій</w:t>
            </w:r>
          </w:p>
        </w:tc>
        <w:tc>
          <w:tcPr>
            <w:tcW w:w="2900" w:type="dxa"/>
            <w:shd w:val="clear" w:color="auto" w:fill="auto"/>
          </w:tcPr>
          <w:p w14:paraId="1275241C" w14:textId="029EBA9B" w:rsidR="00B77E4B" w:rsidRPr="000413EB" w:rsidRDefault="00B77E4B" w:rsidP="000413EB">
            <w:pPr>
              <w:jc w:val="both"/>
              <w:rPr>
                <w:rFonts w:ascii="Times New Roman" w:hAnsi="Times New Roman"/>
                <w:sz w:val="20"/>
                <w:szCs w:val="20"/>
                <w:lang w:eastAsia="it-IT"/>
              </w:rPr>
            </w:pPr>
            <w:r w:rsidRPr="000413EB">
              <w:rPr>
                <w:rFonts w:ascii="Times New Roman" w:hAnsi="Times New Roman"/>
                <w:sz w:val="20"/>
                <w:szCs w:val="20"/>
                <w:lang w:eastAsia="it-IT"/>
              </w:rPr>
              <w:t>Встановлено 150 камер відеоспостереження</w:t>
            </w:r>
          </w:p>
          <w:p w14:paraId="32F6EEC9" w14:textId="1961763A" w:rsidR="00B77E4B" w:rsidRPr="000413EB" w:rsidRDefault="00B77E4B"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hAnsi="Times New Roman"/>
                <w:sz w:val="20"/>
                <w:szCs w:val="20"/>
                <w:lang w:eastAsia="it-IT"/>
              </w:rPr>
              <w:t>змонтовано 15 км власних оптоволоконних мереж- зростання ефективності прийняття рішень та стратегічних управлінських рішень щодо забезпечення безпеки у Жмеринській МТГ.</w:t>
            </w:r>
          </w:p>
        </w:tc>
      </w:tr>
      <w:tr w:rsidR="00B77E4B" w:rsidRPr="000413EB" w14:paraId="2250FAA4" w14:textId="77777777" w:rsidTr="000413EB">
        <w:tc>
          <w:tcPr>
            <w:tcW w:w="567" w:type="dxa"/>
            <w:shd w:val="clear" w:color="auto" w:fill="auto"/>
          </w:tcPr>
          <w:p w14:paraId="3B062410" w14:textId="224CC405" w:rsidR="00B77E4B"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58</w:t>
            </w:r>
          </w:p>
        </w:tc>
        <w:tc>
          <w:tcPr>
            <w:tcW w:w="2694" w:type="dxa"/>
            <w:shd w:val="clear" w:color="auto" w:fill="auto"/>
          </w:tcPr>
          <w:p w14:paraId="75A25E70" w14:textId="77777777" w:rsidR="00B77E4B" w:rsidRPr="000413EB" w:rsidRDefault="00B77E4B" w:rsidP="000413EB">
            <w:pPr>
              <w:autoSpaceDE w:val="0"/>
              <w:autoSpaceDN w:val="0"/>
              <w:adjustRightInd w:val="0"/>
              <w:jc w:val="both"/>
              <w:rPr>
                <w:rFonts w:ascii="Times New Roman" w:hAnsi="Times New Roman"/>
                <w:bCs/>
                <w:sz w:val="20"/>
                <w:szCs w:val="20"/>
              </w:rPr>
            </w:pPr>
            <w:r w:rsidRPr="000413EB">
              <w:rPr>
                <w:rFonts w:ascii="Times New Roman" w:hAnsi="Times New Roman"/>
                <w:bCs/>
                <w:sz w:val="20"/>
                <w:szCs w:val="20"/>
              </w:rPr>
              <w:t>В.4.1. Впровадження  Центру безпеки та активної безпекової платформи</w:t>
            </w:r>
          </w:p>
          <w:p w14:paraId="710DECB7" w14:textId="77777777" w:rsidR="00B77E4B" w:rsidRPr="000413EB" w:rsidRDefault="00B77E4B" w:rsidP="000413EB">
            <w:pPr>
              <w:autoSpaceDE w:val="0"/>
              <w:autoSpaceDN w:val="0"/>
              <w:adjustRightInd w:val="0"/>
              <w:jc w:val="both"/>
              <w:rPr>
                <w:rFonts w:ascii="Times New Roman" w:hAnsi="Times New Roman"/>
                <w:bCs/>
                <w:sz w:val="20"/>
                <w:szCs w:val="20"/>
              </w:rPr>
            </w:pPr>
          </w:p>
        </w:tc>
        <w:tc>
          <w:tcPr>
            <w:tcW w:w="2551" w:type="dxa"/>
            <w:shd w:val="clear" w:color="auto" w:fill="auto"/>
          </w:tcPr>
          <w:p w14:paraId="154B32E1" w14:textId="7F871F7A" w:rsidR="00B77E4B" w:rsidRPr="000413EB" w:rsidRDefault="00B77E4B" w:rsidP="0097410E">
            <w:pPr>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В.4.1.6. Впровадження комплексу програмно-апаратних та організаційних заходів для посилення безпеки мешканців громади, захисту об’єктів забезпечення життєдіяльності громади, безпеки дорожнього руху із встановлення сучасних систем, здатних здійснювати інтелектуальну обробку зображення, забезпечувати контроль та оповіщення проблем.</w:t>
            </w:r>
          </w:p>
        </w:tc>
        <w:tc>
          <w:tcPr>
            <w:tcW w:w="2835" w:type="dxa"/>
            <w:shd w:val="clear" w:color="auto" w:fill="auto"/>
          </w:tcPr>
          <w:p w14:paraId="00EBA3D4" w14:textId="77777777" w:rsidR="00B77E4B" w:rsidRPr="000413EB" w:rsidRDefault="00B77E4B" w:rsidP="000413EB">
            <w:pPr>
              <w:jc w:val="both"/>
              <w:rPr>
                <w:rFonts w:ascii="Times New Roman" w:eastAsia="Arial" w:hAnsi="Times New Roman"/>
                <w:sz w:val="20"/>
                <w:szCs w:val="20"/>
                <w:lang w:eastAsia="en-US"/>
              </w:rPr>
            </w:pPr>
            <w:r w:rsidRPr="000413EB">
              <w:rPr>
                <w:rFonts w:ascii="Times New Roman" w:hAnsi="Times New Roman"/>
                <w:sz w:val="20"/>
                <w:szCs w:val="20"/>
                <w:lang w:eastAsia="it-IT"/>
              </w:rPr>
              <w:t>«Безпечні громади» (обласний конкурс), підтримка сил безпеки й оборони України Жмеринською міською територіальною громадою</w:t>
            </w:r>
          </w:p>
        </w:tc>
        <w:tc>
          <w:tcPr>
            <w:tcW w:w="1276" w:type="dxa"/>
            <w:shd w:val="clear" w:color="auto" w:fill="auto"/>
          </w:tcPr>
          <w:p w14:paraId="6AF8B76E" w14:textId="77777777" w:rsidR="00B77E4B" w:rsidRPr="000413EB" w:rsidRDefault="00B77E4B" w:rsidP="000413EB">
            <w:pPr>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2026 -2028</w:t>
            </w:r>
          </w:p>
        </w:tc>
        <w:tc>
          <w:tcPr>
            <w:tcW w:w="2345" w:type="dxa"/>
            <w:shd w:val="clear" w:color="auto" w:fill="auto"/>
          </w:tcPr>
          <w:p w14:paraId="62A1F8BC" w14:textId="77777777" w:rsidR="00B77E4B" w:rsidRPr="000413EB" w:rsidRDefault="00B77E4B" w:rsidP="000413EB">
            <w:pPr>
              <w:jc w:val="both"/>
              <w:rPr>
                <w:rFonts w:ascii="Times New Roman" w:eastAsia="Arial" w:hAnsi="Times New Roman"/>
                <w:sz w:val="20"/>
                <w:szCs w:val="20"/>
                <w:lang w:eastAsia="en-US"/>
              </w:rPr>
            </w:pPr>
            <w:r w:rsidRPr="000413EB">
              <w:rPr>
                <w:rFonts w:ascii="Times New Roman" w:hAnsi="Times New Roman"/>
                <w:sz w:val="20"/>
                <w:szCs w:val="20"/>
              </w:rPr>
              <w:t>Відділ з питань цивільного захисту, оборонно-мобілізаційної роботи та взаємодії з правоохоронними органами виконавчого комітету Жмеринської міської ради</w:t>
            </w:r>
          </w:p>
        </w:tc>
        <w:tc>
          <w:tcPr>
            <w:tcW w:w="2900" w:type="dxa"/>
            <w:shd w:val="clear" w:color="auto" w:fill="auto"/>
          </w:tcPr>
          <w:p w14:paraId="7AD040C0" w14:textId="77777777" w:rsidR="00B77E4B" w:rsidRPr="000413EB" w:rsidRDefault="00B77E4B" w:rsidP="000413EB">
            <w:pPr>
              <w:jc w:val="both"/>
              <w:rPr>
                <w:rFonts w:ascii="Times New Roman" w:eastAsia="Arial" w:hAnsi="Times New Roman"/>
                <w:sz w:val="20"/>
                <w:szCs w:val="20"/>
                <w:lang w:eastAsia="en-US"/>
              </w:rPr>
            </w:pPr>
            <w:r w:rsidRPr="000413EB">
              <w:rPr>
                <w:rFonts w:ascii="Times New Roman" w:hAnsi="Times New Roman"/>
                <w:sz w:val="20"/>
                <w:szCs w:val="20"/>
                <w:lang w:eastAsia="it-IT"/>
              </w:rPr>
              <w:t xml:space="preserve">Покращено забезпечення  підрозділів безпеки й оборони України </w:t>
            </w:r>
            <w:r w:rsidRPr="000413EB">
              <w:rPr>
                <w:rFonts w:ascii="Times New Roman" w:hAnsi="Times New Roman"/>
                <w:sz w:val="20"/>
                <w:szCs w:val="20"/>
              </w:rPr>
              <w:t>матеріально-технічними засобами.</w:t>
            </w:r>
          </w:p>
        </w:tc>
      </w:tr>
      <w:tr w:rsidR="00B77E4B" w:rsidRPr="000413EB" w14:paraId="380EBF4D" w14:textId="77777777" w:rsidTr="000413EB">
        <w:tc>
          <w:tcPr>
            <w:tcW w:w="567" w:type="dxa"/>
            <w:shd w:val="clear" w:color="auto" w:fill="auto"/>
          </w:tcPr>
          <w:p w14:paraId="17AC26D8" w14:textId="7608BF31" w:rsidR="00B77E4B" w:rsidRPr="000413EB" w:rsidRDefault="002333F4" w:rsidP="000413EB">
            <w:pPr>
              <w:pStyle w:val="aa"/>
              <w:jc w:val="both"/>
              <w:rPr>
                <w:rFonts w:ascii="Times New Roman" w:eastAsia="Arial" w:hAnsi="Times New Roman"/>
                <w:sz w:val="20"/>
                <w:szCs w:val="20"/>
              </w:rPr>
            </w:pPr>
            <w:r w:rsidRPr="000413EB">
              <w:rPr>
                <w:rFonts w:ascii="Times New Roman" w:eastAsia="Arial" w:hAnsi="Times New Roman"/>
                <w:sz w:val="20"/>
                <w:szCs w:val="20"/>
              </w:rPr>
              <w:t>59</w:t>
            </w:r>
          </w:p>
        </w:tc>
        <w:tc>
          <w:tcPr>
            <w:tcW w:w="2694" w:type="dxa"/>
            <w:shd w:val="clear" w:color="auto" w:fill="auto"/>
          </w:tcPr>
          <w:p w14:paraId="425AE7F6" w14:textId="77777777" w:rsidR="00B77E4B" w:rsidRPr="000413EB" w:rsidRDefault="00B77E4B" w:rsidP="000413EB">
            <w:pPr>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В. 4. Ефективна система безпеки громади.</w:t>
            </w:r>
          </w:p>
          <w:p w14:paraId="3481AAC0" w14:textId="77777777" w:rsidR="00B77E4B" w:rsidRPr="000413EB" w:rsidRDefault="00B77E4B" w:rsidP="000413EB">
            <w:pPr>
              <w:jc w:val="both"/>
              <w:rPr>
                <w:rFonts w:ascii="Times New Roman" w:eastAsia="Arial" w:hAnsi="Times New Roman"/>
                <w:sz w:val="20"/>
                <w:szCs w:val="20"/>
                <w:lang w:eastAsia="en-US"/>
              </w:rPr>
            </w:pPr>
          </w:p>
        </w:tc>
        <w:tc>
          <w:tcPr>
            <w:tcW w:w="2551" w:type="dxa"/>
            <w:shd w:val="clear" w:color="auto" w:fill="auto"/>
          </w:tcPr>
          <w:p w14:paraId="6D804E2E" w14:textId="77777777" w:rsidR="00B77E4B" w:rsidRPr="000413EB" w:rsidRDefault="00B77E4B" w:rsidP="000413EB">
            <w:pPr>
              <w:jc w:val="both"/>
              <w:rPr>
                <w:rFonts w:ascii="Times New Roman" w:eastAsia="Arial" w:hAnsi="Times New Roman"/>
                <w:sz w:val="20"/>
                <w:szCs w:val="20"/>
                <w:lang w:eastAsia="en-US"/>
              </w:rPr>
            </w:pPr>
            <w:r w:rsidRPr="000413EB">
              <w:rPr>
                <w:rFonts w:ascii="Times New Roman" w:hAnsi="Times New Roman"/>
                <w:sz w:val="20"/>
                <w:szCs w:val="20"/>
                <w:lang w:eastAsia="it-IT"/>
              </w:rPr>
              <w:t>В. 4.2.3. Забезпечення укриття населення в захисних спорудах всіх типів.</w:t>
            </w:r>
          </w:p>
        </w:tc>
        <w:tc>
          <w:tcPr>
            <w:tcW w:w="2835" w:type="dxa"/>
            <w:shd w:val="clear" w:color="auto" w:fill="auto"/>
          </w:tcPr>
          <w:p w14:paraId="6E443105" w14:textId="3F321768" w:rsidR="00B77E4B" w:rsidRPr="000413EB" w:rsidRDefault="00B77E4B" w:rsidP="000413EB">
            <w:pPr>
              <w:jc w:val="both"/>
              <w:rPr>
                <w:rFonts w:ascii="Times New Roman" w:hAnsi="Times New Roman"/>
                <w:sz w:val="20"/>
                <w:szCs w:val="20"/>
                <w:lang w:eastAsia="it-IT"/>
              </w:rPr>
            </w:pPr>
            <w:r w:rsidRPr="000413EB">
              <w:rPr>
                <w:rFonts w:ascii="Times New Roman" w:hAnsi="Times New Roman"/>
                <w:sz w:val="20"/>
                <w:szCs w:val="20"/>
                <w:lang w:eastAsia="it-IT"/>
              </w:rPr>
              <w:t>«Безпечна</w:t>
            </w:r>
            <w:r w:rsidR="006266CC">
              <w:rPr>
                <w:rFonts w:ascii="Times New Roman" w:hAnsi="Times New Roman"/>
                <w:sz w:val="20"/>
                <w:szCs w:val="20"/>
                <w:lang w:eastAsia="it-IT"/>
              </w:rPr>
              <w:t xml:space="preserve"> культура: облаштування укриття будинку культури села Почапинці</w:t>
            </w:r>
          </w:p>
          <w:p w14:paraId="491985D3" w14:textId="77777777" w:rsidR="00B77E4B" w:rsidRPr="000413EB" w:rsidRDefault="00B77E4B" w:rsidP="000413EB">
            <w:pPr>
              <w:jc w:val="both"/>
              <w:rPr>
                <w:rFonts w:ascii="Times New Roman" w:eastAsia="Arial" w:hAnsi="Times New Roman"/>
                <w:sz w:val="20"/>
                <w:szCs w:val="20"/>
                <w:lang w:eastAsia="en-US"/>
              </w:rPr>
            </w:pPr>
            <w:r w:rsidRPr="000413EB">
              <w:rPr>
                <w:rFonts w:ascii="Times New Roman" w:eastAsia="Arial" w:hAnsi="Times New Roman"/>
                <w:w w:val="105"/>
                <w:sz w:val="20"/>
                <w:szCs w:val="20"/>
                <w:lang w:eastAsia="en-US"/>
              </w:rPr>
              <w:t>реалізація</w:t>
            </w:r>
            <w:r w:rsidRPr="000413EB">
              <w:rPr>
                <w:rFonts w:ascii="Times New Roman" w:eastAsia="Arial" w:hAnsi="Times New Roman"/>
                <w:spacing w:val="57"/>
                <w:w w:val="105"/>
                <w:sz w:val="20"/>
                <w:szCs w:val="20"/>
                <w:lang w:eastAsia="en-US"/>
              </w:rPr>
              <w:t xml:space="preserve"> </w:t>
            </w:r>
            <w:r w:rsidRPr="000413EB">
              <w:rPr>
                <w:rFonts w:ascii="Times New Roman" w:eastAsia="Arial" w:hAnsi="Times New Roman"/>
                <w:spacing w:val="-2"/>
                <w:w w:val="105"/>
                <w:sz w:val="20"/>
                <w:szCs w:val="20"/>
                <w:lang w:eastAsia="en-US"/>
              </w:rPr>
              <w:t>триває</w:t>
            </w:r>
          </w:p>
        </w:tc>
        <w:tc>
          <w:tcPr>
            <w:tcW w:w="1276" w:type="dxa"/>
            <w:shd w:val="clear" w:color="auto" w:fill="auto"/>
          </w:tcPr>
          <w:p w14:paraId="732FD6FA" w14:textId="3C199D4B" w:rsidR="00B77E4B" w:rsidRPr="000413EB" w:rsidRDefault="00B77E4B" w:rsidP="000413EB">
            <w:pPr>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 xml:space="preserve">2025 - 2028 </w:t>
            </w:r>
          </w:p>
        </w:tc>
        <w:tc>
          <w:tcPr>
            <w:tcW w:w="2345" w:type="dxa"/>
            <w:shd w:val="clear" w:color="auto" w:fill="auto"/>
          </w:tcPr>
          <w:p w14:paraId="0D57212C" w14:textId="77777777" w:rsidR="00B77E4B" w:rsidRPr="000413EB" w:rsidRDefault="00B77E4B" w:rsidP="000413EB">
            <w:pPr>
              <w:jc w:val="both"/>
              <w:rPr>
                <w:rFonts w:ascii="Times New Roman" w:eastAsia="Arial" w:hAnsi="Times New Roman"/>
                <w:sz w:val="20"/>
                <w:szCs w:val="20"/>
                <w:lang w:eastAsia="en-US"/>
              </w:rPr>
            </w:pPr>
            <w:r w:rsidRPr="000413EB">
              <w:rPr>
                <w:rFonts w:ascii="Times New Roman" w:hAnsi="Times New Roman"/>
                <w:sz w:val="20"/>
                <w:szCs w:val="20"/>
              </w:rPr>
              <w:t>Управління культури і туризму Жмеринської міської ради</w:t>
            </w:r>
          </w:p>
        </w:tc>
        <w:tc>
          <w:tcPr>
            <w:tcW w:w="2900" w:type="dxa"/>
            <w:shd w:val="clear" w:color="auto" w:fill="auto"/>
          </w:tcPr>
          <w:p w14:paraId="62A03B45" w14:textId="434E2024" w:rsidR="00B77E4B" w:rsidRPr="000413EB" w:rsidRDefault="006266CC" w:rsidP="006266CC">
            <w:pPr>
              <w:jc w:val="both"/>
              <w:rPr>
                <w:rFonts w:ascii="Times New Roman" w:eastAsia="Arial" w:hAnsi="Times New Roman"/>
                <w:sz w:val="20"/>
                <w:szCs w:val="20"/>
                <w:lang w:eastAsia="en-US"/>
              </w:rPr>
            </w:pPr>
            <w:r>
              <w:rPr>
                <w:rFonts w:ascii="Times New Roman" w:hAnsi="Times New Roman"/>
                <w:sz w:val="20"/>
                <w:szCs w:val="20"/>
                <w:lang w:eastAsia="it-IT"/>
              </w:rPr>
              <w:t>Облаштовано 1</w:t>
            </w:r>
            <w:r w:rsidR="00B77E4B" w:rsidRPr="000413EB">
              <w:rPr>
                <w:rFonts w:ascii="Times New Roman" w:hAnsi="Times New Roman"/>
                <w:sz w:val="20"/>
                <w:szCs w:val="20"/>
                <w:lang w:eastAsia="it-IT"/>
              </w:rPr>
              <w:t xml:space="preserve"> укриття. Забезпечено б</w:t>
            </w:r>
            <w:r>
              <w:rPr>
                <w:rFonts w:ascii="Times New Roman" w:hAnsi="Times New Roman"/>
                <w:sz w:val="20"/>
                <w:szCs w:val="20"/>
                <w:lang w:eastAsia="it-IT"/>
              </w:rPr>
              <w:t>езпечне перебування не менше 600</w:t>
            </w:r>
            <w:r w:rsidR="00B77E4B" w:rsidRPr="000413EB">
              <w:rPr>
                <w:rFonts w:ascii="Times New Roman" w:hAnsi="Times New Roman"/>
                <w:sz w:val="20"/>
                <w:szCs w:val="20"/>
                <w:lang w:eastAsia="it-IT"/>
              </w:rPr>
              <w:t xml:space="preserve"> осіб одночасно. Проведено перевірку готовності та навчання. Підв</w:t>
            </w:r>
            <w:r>
              <w:rPr>
                <w:rFonts w:ascii="Times New Roman" w:hAnsi="Times New Roman"/>
                <w:sz w:val="20"/>
                <w:szCs w:val="20"/>
                <w:lang w:eastAsia="it-IT"/>
              </w:rPr>
              <w:t>ищено рівень готовності закладу</w:t>
            </w:r>
            <w:r w:rsidR="00B77E4B" w:rsidRPr="000413EB">
              <w:rPr>
                <w:rFonts w:ascii="Times New Roman" w:hAnsi="Times New Roman"/>
                <w:sz w:val="20"/>
                <w:szCs w:val="20"/>
                <w:lang w:eastAsia="it-IT"/>
              </w:rPr>
              <w:t xml:space="preserve"> культури до надзвичайних ситуацій. Створено умови для безпечного функціонування закладу навіть під час воєнного стану</w:t>
            </w:r>
            <w:r w:rsidR="004D364B">
              <w:rPr>
                <w:rFonts w:ascii="Times New Roman" w:hAnsi="Times New Roman"/>
                <w:sz w:val="20"/>
                <w:szCs w:val="20"/>
                <w:lang w:eastAsia="it-IT"/>
              </w:rPr>
              <w:t>.</w:t>
            </w:r>
          </w:p>
        </w:tc>
      </w:tr>
      <w:tr w:rsidR="006266CC" w:rsidRPr="000413EB" w14:paraId="4B1D5433" w14:textId="77777777" w:rsidTr="000413EB">
        <w:tc>
          <w:tcPr>
            <w:tcW w:w="567" w:type="dxa"/>
            <w:shd w:val="clear" w:color="auto" w:fill="auto"/>
          </w:tcPr>
          <w:p w14:paraId="1B77E97D" w14:textId="2B63E8F1" w:rsidR="006266CC" w:rsidRPr="000413EB" w:rsidRDefault="006266CC" w:rsidP="006266CC">
            <w:pPr>
              <w:pStyle w:val="aa"/>
              <w:jc w:val="both"/>
              <w:rPr>
                <w:rFonts w:ascii="Times New Roman" w:eastAsia="Arial" w:hAnsi="Times New Roman"/>
                <w:sz w:val="20"/>
                <w:szCs w:val="20"/>
              </w:rPr>
            </w:pPr>
            <w:r>
              <w:rPr>
                <w:rFonts w:ascii="Times New Roman" w:eastAsia="Arial" w:hAnsi="Times New Roman"/>
                <w:sz w:val="20"/>
                <w:szCs w:val="20"/>
              </w:rPr>
              <w:t>60</w:t>
            </w:r>
          </w:p>
        </w:tc>
        <w:tc>
          <w:tcPr>
            <w:tcW w:w="2694" w:type="dxa"/>
            <w:shd w:val="clear" w:color="auto" w:fill="auto"/>
          </w:tcPr>
          <w:p w14:paraId="33EF95ED" w14:textId="77777777" w:rsidR="006266CC" w:rsidRPr="000413EB" w:rsidRDefault="006266CC" w:rsidP="006266CC">
            <w:pPr>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В. 4. Ефективна система безпеки громади.</w:t>
            </w:r>
          </w:p>
          <w:p w14:paraId="624528A4" w14:textId="77777777" w:rsidR="006266CC" w:rsidRPr="000413EB" w:rsidRDefault="006266CC" w:rsidP="006266CC">
            <w:pPr>
              <w:jc w:val="both"/>
              <w:rPr>
                <w:rFonts w:ascii="Times New Roman" w:eastAsia="Arial" w:hAnsi="Times New Roman"/>
                <w:sz w:val="20"/>
                <w:szCs w:val="20"/>
                <w:lang w:eastAsia="en-US"/>
              </w:rPr>
            </w:pPr>
          </w:p>
        </w:tc>
        <w:tc>
          <w:tcPr>
            <w:tcW w:w="2551" w:type="dxa"/>
            <w:shd w:val="clear" w:color="auto" w:fill="auto"/>
          </w:tcPr>
          <w:p w14:paraId="1234F951" w14:textId="095783F6" w:rsidR="006266CC" w:rsidRPr="000413EB" w:rsidRDefault="006266CC" w:rsidP="006266CC">
            <w:pPr>
              <w:jc w:val="both"/>
              <w:rPr>
                <w:rFonts w:ascii="Times New Roman" w:hAnsi="Times New Roman"/>
                <w:sz w:val="20"/>
                <w:szCs w:val="20"/>
                <w:lang w:eastAsia="it-IT"/>
              </w:rPr>
            </w:pPr>
            <w:r w:rsidRPr="000413EB">
              <w:rPr>
                <w:rFonts w:ascii="Times New Roman" w:hAnsi="Times New Roman"/>
                <w:sz w:val="20"/>
                <w:szCs w:val="20"/>
                <w:lang w:eastAsia="it-IT"/>
              </w:rPr>
              <w:t>В. 4.2.3. Забезпечення укриття населення в захисних спорудах всіх типів.</w:t>
            </w:r>
          </w:p>
        </w:tc>
        <w:tc>
          <w:tcPr>
            <w:tcW w:w="2835" w:type="dxa"/>
            <w:shd w:val="clear" w:color="auto" w:fill="auto"/>
          </w:tcPr>
          <w:p w14:paraId="154D54D2" w14:textId="33F6BCDC" w:rsidR="006266CC" w:rsidRPr="000413EB" w:rsidRDefault="006266CC" w:rsidP="003F7FB6">
            <w:pPr>
              <w:jc w:val="both"/>
              <w:rPr>
                <w:rFonts w:ascii="Times New Roman" w:hAnsi="Times New Roman"/>
                <w:sz w:val="20"/>
                <w:szCs w:val="20"/>
                <w:lang w:eastAsia="it-IT"/>
              </w:rPr>
            </w:pPr>
            <w:r w:rsidRPr="000413EB">
              <w:rPr>
                <w:rFonts w:ascii="Times New Roman" w:hAnsi="Times New Roman"/>
                <w:sz w:val="20"/>
                <w:szCs w:val="20"/>
                <w:lang w:eastAsia="it-IT"/>
              </w:rPr>
              <w:t>«Безпечна</w:t>
            </w:r>
            <w:r>
              <w:rPr>
                <w:rFonts w:ascii="Times New Roman" w:hAnsi="Times New Roman"/>
                <w:sz w:val="20"/>
                <w:szCs w:val="20"/>
                <w:lang w:eastAsia="it-IT"/>
              </w:rPr>
              <w:t xml:space="preserve"> культура: облаштування укриття будинку культури села </w:t>
            </w:r>
            <w:r w:rsidR="003F7FB6">
              <w:rPr>
                <w:rFonts w:ascii="Times New Roman" w:hAnsi="Times New Roman"/>
                <w:sz w:val="20"/>
                <w:szCs w:val="20"/>
                <w:lang w:eastAsia="it-IT"/>
              </w:rPr>
              <w:t xml:space="preserve">Біликівці, </w:t>
            </w:r>
            <w:r w:rsidRPr="000413EB">
              <w:rPr>
                <w:rFonts w:ascii="Times New Roman" w:eastAsia="Arial" w:hAnsi="Times New Roman"/>
                <w:w w:val="105"/>
                <w:sz w:val="20"/>
                <w:szCs w:val="20"/>
                <w:lang w:eastAsia="en-US"/>
              </w:rPr>
              <w:t>реалізація</w:t>
            </w:r>
            <w:r w:rsidRPr="000413EB">
              <w:rPr>
                <w:rFonts w:ascii="Times New Roman" w:eastAsia="Arial" w:hAnsi="Times New Roman"/>
                <w:spacing w:val="57"/>
                <w:w w:val="105"/>
                <w:sz w:val="20"/>
                <w:szCs w:val="20"/>
                <w:lang w:eastAsia="en-US"/>
              </w:rPr>
              <w:t xml:space="preserve"> </w:t>
            </w:r>
            <w:r w:rsidRPr="000413EB">
              <w:rPr>
                <w:rFonts w:ascii="Times New Roman" w:eastAsia="Arial" w:hAnsi="Times New Roman"/>
                <w:spacing w:val="-2"/>
                <w:w w:val="105"/>
                <w:sz w:val="20"/>
                <w:szCs w:val="20"/>
                <w:lang w:eastAsia="en-US"/>
              </w:rPr>
              <w:t>триває</w:t>
            </w:r>
          </w:p>
        </w:tc>
        <w:tc>
          <w:tcPr>
            <w:tcW w:w="1276" w:type="dxa"/>
            <w:shd w:val="clear" w:color="auto" w:fill="auto"/>
          </w:tcPr>
          <w:p w14:paraId="52BBBF33" w14:textId="1CD733E0" w:rsidR="006266CC" w:rsidRPr="000413EB" w:rsidRDefault="006266CC" w:rsidP="006266CC">
            <w:pPr>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 xml:space="preserve">2025 - 2028 </w:t>
            </w:r>
          </w:p>
        </w:tc>
        <w:tc>
          <w:tcPr>
            <w:tcW w:w="2345" w:type="dxa"/>
            <w:shd w:val="clear" w:color="auto" w:fill="auto"/>
          </w:tcPr>
          <w:p w14:paraId="07A2E93D" w14:textId="06EDDE5D" w:rsidR="006266CC" w:rsidRPr="000413EB" w:rsidRDefault="006266CC" w:rsidP="006266CC">
            <w:pPr>
              <w:jc w:val="both"/>
              <w:rPr>
                <w:rFonts w:ascii="Times New Roman" w:hAnsi="Times New Roman"/>
                <w:sz w:val="20"/>
                <w:szCs w:val="20"/>
              </w:rPr>
            </w:pPr>
            <w:r w:rsidRPr="000413EB">
              <w:rPr>
                <w:rFonts w:ascii="Times New Roman" w:hAnsi="Times New Roman"/>
                <w:sz w:val="20"/>
                <w:szCs w:val="20"/>
              </w:rPr>
              <w:t>Управління культури і туризму Жмеринської міської ради</w:t>
            </w:r>
          </w:p>
        </w:tc>
        <w:tc>
          <w:tcPr>
            <w:tcW w:w="2900" w:type="dxa"/>
            <w:shd w:val="clear" w:color="auto" w:fill="auto"/>
          </w:tcPr>
          <w:p w14:paraId="0FDA773F" w14:textId="0E7BED5F" w:rsidR="006266CC" w:rsidRPr="000413EB" w:rsidRDefault="006266CC" w:rsidP="006266CC">
            <w:pPr>
              <w:jc w:val="both"/>
              <w:rPr>
                <w:rFonts w:ascii="Times New Roman" w:hAnsi="Times New Roman"/>
                <w:sz w:val="20"/>
                <w:szCs w:val="20"/>
                <w:lang w:eastAsia="it-IT"/>
              </w:rPr>
            </w:pPr>
            <w:r>
              <w:rPr>
                <w:rFonts w:ascii="Times New Roman" w:hAnsi="Times New Roman"/>
                <w:sz w:val="20"/>
                <w:szCs w:val="20"/>
                <w:lang w:eastAsia="it-IT"/>
              </w:rPr>
              <w:t>Облаштовано 1</w:t>
            </w:r>
            <w:r w:rsidRPr="000413EB">
              <w:rPr>
                <w:rFonts w:ascii="Times New Roman" w:hAnsi="Times New Roman"/>
                <w:sz w:val="20"/>
                <w:szCs w:val="20"/>
                <w:lang w:eastAsia="it-IT"/>
              </w:rPr>
              <w:t xml:space="preserve"> укриття. Забезпечено б</w:t>
            </w:r>
            <w:r w:rsidR="003F7FB6">
              <w:rPr>
                <w:rFonts w:ascii="Times New Roman" w:hAnsi="Times New Roman"/>
                <w:sz w:val="20"/>
                <w:szCs w:val="20"/>
                <w:lang w:eastAsia="it-IT"/>
              </w:rPr>
              <w:t>езпечне перебування не менше 35</w:t>
            </w:r>
            <w:r>
              <w:rPr>
                <w:rFonts w:ascii="Times New Roman" w:hAnsi="Times New Roman"/>
                <w:sz w:val="20"/>
                <w:szCs w:val="20"/>
                <w:lang w:eastAsia="it-IT"/>
              </w:rPr>
              <w:t>0</w:t>
            </w:r>
            <w:r w:rsidRPr="000413EB">
              <w:rPr>
                <w:rFonts w:ascii="Times New Roman" w:hAnsi="Times New Roman"/>
                <w:sz w:val="20"/>
                <w:szCs w:val="20"/>
                <w:lang w:eastAsia="it-IT"/>
              </w:rPr>
              <w:t xml:space="preserve"> осіб одночасно. Проведено перевірку готовності та навчання. Підв</w:t>
            </w:r>
            <w:r>
              <w:rPr>
                <w:rFonts w:ascii="Times New Roman" w:hAnsi="Times New Roman"/>
                <w:sz w:val="20"/>
                <w:szCs w:val="20"/>
                <w:lang w:eastAsia="it-IT"/>
              </w:rPr>
              <w:t>ищено рівень готовності закладу</w:t>
            </w:r>
            <w:r w:rsidRPr="000413EB">
              <w:rPr>
                <w:rFonts w:ascii="Times New Roman" w:hAnsi="Times New Roman"/>
                <w:sz w:val="20"/>
                <w:szCs w:val="20"/>
                <w:lang w:eastAsia="it-IT"/>
              </w:rPr>
              <w:t xml:space="preserve"> культури до надзвичайних ситуацій. Створено умови для безпечного функціонування закладу навіть під час воєнного стану</w:t>
            </w:r>
            <w:r w:rsidR="004D364B">
              <w:rPr>
                <w:rFonts w:ascii="Times New Roman" w:hAnsi="Times New Roman"/>
                <w:sz w:val="20"/>
                <w:szCs w:val="20"/>
                <w:lang w:eastAsia="it-IT"/>
              </w:rPr>
              <w:t>.</w:t>
            </w:r>
          </w:p>
        </w:tc>
      </w:tr>
      <w:tr w:rsidR="0097410E" w:rsidRPr="000413EB" w14:paraId="238B7FF4" w14:textId="77777777" w:rsidTr="0097410E">
        <w:trPr>
          <w:trHeight w:val="353"/>
        </w:trPr>
        <w:tc>
          <w:tcPr>
            <w:tcW w:w="567" w:type="dxa"/>
            <w:shd w:val="clear" w:color="auto" w:fill="auto"/>
          </w:tcPr>
          <w:p w14:paraId="12B1445D" w14:textId="77777777" w:rsidR="0097410E" w:rsidRPr="000413EB" w:rsidRDefault="0097410E" w:rsidP="0097410E">
            <w:pPr>
              <w:pStyle w:val="aa"/>
              <w:jc w:val="both"/>
              <w:rPr>
                <w:rFonts w:ascii="Times New Roman" w:eastAsia="Arial" w:hAnsi="Times New Roman"/>
                <w:sz w:val="20"/>
                <w:szCs w:val="20"/>
              </w:rPr>
            </w:pPr>
          </w:p>
        </w:tc>
        <w:tc>
          <w:tcPr>
            <w:tcW w:w="14601" w:type="dxa"/>
            <w:gridSpan w:val="6"/>
            <w:tcBorders>
              <w:bottom w:val="single" w:sz="4" w:space="0" w:color="auto"/>
            </w:tcBorders>
            <w:vAlign w:val="center"/>
          </w:tcPr>
          <w:p w14:paraId="239B9AB9" w14:textId="35D30247" w:rsidR="0097410E" w:rsidRPr="000413EB" w:rsidRDefault="0097410E" w:rsidP="0097410E">
            <w:pPr>
              <w:jc w:val="center"/>
              <w:rPr>
                <w:rFonts w:ascii="Times New Roman" w:hAnsi="Times New Roman"/>
                <w:sz w:val="20"/>
                <w:szCs w:val="20"/>
                <w:lang w:eastAsia="it-IT"/>
              </w:rPr>
            </w:pPr>
            <w:r w:rsidRPr="000413EB">
              <w:rPr>
                <w:rFonts w:ascii="Times New Roman" w:hAnsi="Times New Roman"/>
                <w:b/>
                <w:sz w:val="20"/>
                <w:szCs w:val="20"/>
                <w:lang w:eastAsia="it-IT"/>
              </w:rPr>
              <w:t>СТРАТЕГІЧНИЙ   НАПРЯМОК:     С. Доступна громада</w:t>
            </w:r>
          </w:p>
        </w:tc>
      </w:tr>
      <w:tr w:rsidR="0097410E" w:rsidRPr="000413EB" w14:paraId="44C4F8A7" w14:textId="77777777" w:rsidTr="004D1B4A">
        <w:trPr>
          <w:trHeight w:val="2811"/>
        </w:trPr>
        <w:tc>
          <w:tcPr>
            <w:tcW w:w="567" w:type="dxa"/>
            <w:tcBorders>
              <w:right w:val="single" w:sz="4" w:space="0" w:color="auto"/>
            </w:tcBorders>
            <w:shd w:val="clear" w:color="auto" w:fill="auto"/>
          </w:tcPr>
          <w:p w14:paraId="5A69749B" w14:textId="4431C3C1" w:rsidR="0097410E" w:rsidRPr="000413EB" w:rsidRDefault="003F7FB6" w:rsidP="0097410E">
            <w:pPr>
              <w:pStyle w:val="aa"/>
              <w:jc w:val="both"/>
              <w:rPr>
                <w:rFonts w:ascii="Times New Roman" w:eastAsia="Arial" w:hAnsi="Times New Roman"/>
                <w:sz w:val="20"/>
                <w:szCs w:val="20"/>
              </w:rPr>
            </w:pPr>
            <w:r>
              <w:rPr>
                <w:rFonts w:ascii="Times New Roman" w:eastAsia="Arial" w:hAnsi="Times New Roman"/>
                <w:sz w:val="20"/>
                <w:szCs w:val="20"/>
              </w:rPr>
              <w:t>1</w:t>
            </w:r>
          </w:p>
        </w:tc>
        <w:tc>
          <w:tcPr>
            <w:tcW w:w="2694" w:type="dxa"/>
            <w:tcBorders>
              <w:top w:val="single" w:sz="4" w:space="0" w:color="auto"/>
              <w:left w:val="single" w:sz="4" w:space="0" w:color="auto"/>
              <w:bottom w:val="single" w:sz="4" w:space="0" w:color="auto"/>
              <w:right w:val="single" w:sz="4" w:space="0" w:color="auto"/>
            </w:tcBorders>
          </w:tcPr>
          <w:p w14:paraId="3F5CAF9E" w14:textId="77777777" w:rsidR="0097410E" w:rsidRPr="000413EB" w:rsidRDefault="0097410E" w:rsidP="0097410E">
            <w:pPr>
              <w:widowControl w:val="0"/>
              <w:tabs>
                <w:tab w:val="left" w:pos="0"/>
                <w:tab w:val="left" w:pos="720"/>
              </w:tabs>
              <w:autoSpaceDE w:val="0"/>
              <w:autoSpaceDN w:val="0"/>
              <w:adjustRightInd w:val="0"/>
              <w:jc w:val="both"/>
              <w:rPr>
                <w:rFonts w:ascii="Times New Roman" w:hAnsi="Times New Roman"/>
                <w:sz w:val="20"/>
                <w:szCs w:val="20"/>
              </w:rPr>
            </w:pPr>
            <w:r w:rsidRPr="000413EB">
              <w:rPr>
                <w:rFonts w:ascii="Times New Roman" w:hAnsi="Times New Roman"/>
                <w:sz w:val="20"/>
                <w:szCs w:val="20"/>
              </w:rPr>
              <w:t>С.1.1. Створення  системи  конкурентоспроможної  освіти відповідно до потреб ринку праці та розвитку особистості</w:t>
            </w:r>
          </w:p>
          <w:p w14:paraId="61CA1A89"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С.1.2. Забезпечення комфортних і безпечних умов навчання та праці</w:t>
            </w:r>
          </w:p>
          <w:p w14:paraId="2168E751" w14:textId="77777777" w:rsidR="0097410E" w:rsidRPr="000413EB" w:rsidRDefault="0097410E" w:rsidP="0097410E">
            <w:pPr>
              <w:autoSpaceDE w:val="0"/>
              <w:autoSpaceDN w:val="0"/>
              <w:adjustRightInd w:val="0"/>
              <w:jc w:val="both"/>
              <w:rPr>
                <w:rFonts w:ascii="Times New Roman" w:hAnsi="Times New Roman"/>
                <w:sz w:val="20"/>
                <w:szCs w:val="20"/>
              </w:rPr>
            </w:pPr>
            <w:r w:rsidRPr="000413EB">
              <w:rPr>
                <w:rFonts w:ascii="Times New Roman" w:hAnsi="Times New Roman"/>
                <w:sz w:val="20"/>
                <w:szCs w:val="20"/>
              </w:rPr>
              <w:t>С.1.3 Забезпечення якості освіти та освітньої діяльності</w:t>
            </w:r>
          </w:p>
          <w:p w14:paraId="1AAB4231" w14:textId="77777777" w:rsidR="0097410E" w:rsidRPr="000413EB" w:rsidRDefault="0097410E" w:rsidP="0097410E">
            <w:pPr>
              <w:jc w:val="both"/>
              <w:rPr>
                <w:rFonts w:ascii="Times New Roman" w:eastAsia="Arial" w:hAnsi="Times New Roman"/>
                <w:sz w:val="20"/>
                <w:szCs w:val="20"/>
                <w:lang w:eastAsia="en-US"/>
              </w:rPr>
            </w:pPr>
          </w:p>
        </w:tc>
        <w:tc>
          <w:tcPr>
            <w:tcW w:w="2551" w:type="dxa"/>
            <w:tcBorders>
              <w:top w:val="single" w:sz="4" w:space="0" w:color="auto"/>
              <w:left w:val="single" w:sz="4" w:space="0" w:color="auto"/>
              <w:bottom w:val="single" w:sz="4" w:space="0" w:color="auto"/>
              <w:right w:val="single" w:sz="4" w:space="0" w:color="auto"/>
            </w:tcBorders>
          </w:tcPr>
          <w:p w14:paraId="507ED755" w14:textId="77777777" w:rsidR="0097410E" w:rsidRPr="000413EB" w:rsidRDefault="0097410E" w:rsidP="0097410E">
            <w:pPr>
              <w:pBdr>
                <w:left w:val="single" w:sz="18" w:space="4" w:color="auto"/>
              </w:pBdr>
              <w:jc w:val="both"/>
              <w:rPr>
                <w:rFonts w:ascii="Times New Roman" w:hAnsi="Times New Roman"/>
                <w:bCs/>
                <w:sz w:val="20"/>
                <w:szCs w:val="20"/>
                <w:lang w:eastAsia="it-IT"/>
              </w:rPr>
            </w:pPr>
            <w:r w:rsidRPr="000413EB">
              <w:rPr>
                <w:rFonts w:ascii="Times New Roman" w:hAnsi="Times New Roman"/>
                <w:bCs/>
                <w:sz w:val="20"/>
                <w:szCs w:val="20"/>
                <w:lang w:eastAsia="it-IT"/>
              </w:rPr>
              <w:t>С.1.1.2. Розвиток освітньої інфраструктури територіальної громади відповідно до вимог часу</w:t>
            </w:r>
          </w:p>
          <w:p w14:paraId="2D17A79B" w14:textId="77777777" w:rsidR="0097410E" w:rsidRPr="000413EB" w:rsidRDefault="0097410E" w:rsidP="0097410E">
            <w:pPr>
              <w:pBdr>
                <w:left w:val="single" w:sz="18" w:space="4" w:color="auto"/>
              </w:pBdr>
              <w:jc w:val="both"/>
              <w:rPr>
                <w:rFonts w:ascii="Times New Roman" w:hAnsi="Times New Roman"/>
                <w:bCs/>
                <w:sz w:val="20"/>
                <w:szCs w:val="20"/>
                <w:lang w:eastAsia="it-IT"/>
              </w:rPr>
            </w:pPr>
            <w:r w:rsidRPr="000413EB">
              <w:rPr>
                <w:rFonts w:ascii="Times New Roman" w:hAnsi="Times New Roman"/>
                <w:bCs/>
                <w:sz w:val="20"/>
                <w:szCs w:val="20"/>
                <w:lang w:eastAsia="it-IT"/>
              </w:rPr>
              <w:t>С1.2.4. Підвищення рівня санітарної безпеки закладів освіти</w:t>
            </w:r>
          </w:p>
          <w:p w14:paraId="37170A26" w14:textId="7F85A2F9" w:rsidR="0097410E" w:rsidRPr="000413EB" w:rsidRDefault="0097410E" w:rsidP="0097410E">
            <w:pPr>
              <w:jc w:val="both"/>
              <w:rPr>
                <w:rFonts w:ascii="Times New Roman" w:hAnsi="Times New Roman"/>
                <w:sz w:val="20"/>
                <w:szCs w:val="20"/>
                <w:lang w:eastAsia="it-IT"/>
              </w:rPr>
            </w:pPr>
            <w:r w:rsidRPr="000413EB">
              <w:rPr>
                <w:rFonts w:ascii="Times New Roman" w:hAnsi="Times New Roman"/>
                <w:bCs/>
                <w:sz w:val="20"/>
                <w:szCs w:val="20"/>
                <w:lang w:eastAsia="it-IT"/>
              </w:rPr>
              <w:t>С.1.2.6. Удосконалення екологічної політики та підвищення рівня екологічної безпеки закладів освіти</w:t>
            </w:r>
          </w:p>
        </w:tc>
        <w:tc>
          <w:tcPr>
            <w:tcW w:w="2835" w:type="dxa"/>
            <w:tcBorders>
              <w:top w:val="single" w:sz="4" w:space="0" w:color="auto"/>
              <w:left w:val="single" w:sz="4" w:space="0" w:color="auto"/>
              <w:bottom w:val="single" w:sz="4" w:space="0" w:color="auto"/>
              <w:right w:val="single" w:sz="4" w:space="0" w:color="auto"/>
            </w:tcBorders>
          </w:tcPr>
          <w:p w14:paraId="09ED1E10" w14:textId="44CA171A"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rPr>
              <w:t>Безпечна школа – запорука якості освіти</w:t>
            </w:r>
          </w:p>
        </w:tc>
        <w:tc>
          <w:tcPr>
            <w:tcW w:w="1276" w:type="dxa"/>
            <w:tcBorders>
              <w:top w:val="single" w:sz="4" w:space="0" w:color="auto"/>
              <w:left w:val="single" w:sz="4" w:space="0" w:color="auto"/>
              <w:bottom w:val="single" w:sz="4" w:space="0" w:color="auto"/>
              <w:right w:val="single" w:sz="4" w:space="0" w:color="auto"/>
            </w:tcBorders>
          </w:tcPr>
          <w:p w14:paraId="68A6FF83" w14:textId="17E528F9" w:rsidR="0097410E" w:rsidRPr="000413EB" w:rsidRDefault="0097410E" w:rsidP="0097410E">
            <w:pPr>
              <w:jc w:val="both"/>
              <w:rPr>
                <w:rFonts w:ascii="Times New Roman" w:eastAsia="Arial" w:hAnsi="Times New Roman"/>
                <w:sz w:val="20"/>
                <w:szCs w:val="20"/>
                <w:lang w:eastAsia="en-US"/>
              </w:rPr>
            </w:pPr>
            <w:r w:rsidRPr="000413EB">
              <w:rPr>
                <w:rFonts w:ascii="Times New Roman" w:hAnsi="Times New Roman"/>
                <w:sz w:val="20"/>
                <w:szCs w:val="20"/>
              </w:rPr>
              <w:t>2025-2028</w:t>
            </w:r>
          </w:p>
        </w:tc>
        <w:tc>
          <w:tcPr>
            <w:tcW w:w="2345" w:type="dxa"/>
            <w:tcBorders>
              <w:top w:val="single" w:sz="4" w:space="0" w:color="auto"/>
              <w:left w:val="single" w:sz="4" w:space="0" w:color="auto"/>
              <w:bottom w:val="single" w:sz="4" w:space="0" w:color="auto"/>
              <w:right w:val="single" w:sz="4" w:space="0" w:color="auto"/>
            </w:tcBorders>
          </w:tcPr>
          <w:p w14:paraId="0EA1DD2A" w14:textId="77777777" w:rsidR="0097410E" w:rsidRDefault="0097410E" w:rsidP="0097410E">
            <w:pPr>
              <w:jc w:val="both"/>
              <w:rPr>
                <w:rFonts w:ascii="Times New Roman" w:hAnsi="Times New Roman"/>
                <w:sz w:val="20"/>
                <w:szCs w:val="20"/>
              </w:rPr>
            </w:pPr>
            <w:r w:rsidRPr="000413EB">
              <w:rPr>
                <w:rFonts w:ascii="Times New Roman" w:hAnsi="Times New Roman"/>
                <w:sz w:val="20"/>
                <w:szCs w:val="20"/>
              </w:rPr>
              <w:t xml:space="preserve">Управління ЖКГ Жмеринської міської ради, </w:t>
            </w:r>
          </w:p>
          <w:p w14:paraId="7BE4A72E" w14:textId="77777777" w:rsidR="00177957" w:rsidRDefault="0097410E" w:rsidP="0097410E">
            <w:pPr>
              <w:jc w:val="both"/>
              <w:rPr>
                <w:rFonts w:ascii="Times New Roman" w:hAnsi="Times New Roman"/>
                <w:sz w:val="20"/>
                <w:szCs w:val="20"/>
              </w:rPr>
            </w:pPr>
            <w:r w:rsidRPr="000413EB">
              <w:rPr>
                <w:rFonts w:ascii="Times New Roman" w:hAnsi="Times New Roman"/>
                <w:sz w:val="20"/>
                <w:szCs w:val="20"/>
              </w:rPr>
              <w:t xml:space="preserve">Управління освіти Жмеринської міської ради, </w:t>
            </w:r>
          </w:p>
          <w:p w14:paraId="69A52B2A" w14:textId="65475069"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заклади освіти</w:t>
            </w:r>
          </w:p>
        </w:tc>
        <w:tc>
          <w:tcPr>
            <w:tcW w:w="2900" w:type="dxa"/>
            <w:tcBorders>
              <w:top w:val="single" w:sz="4" w:space="0" w:color="auto"/>
              <w:left w:val="single" w:sz="4" w:space="0" w:color="auto"/>
              <w:bottom w:val="single" w:sz="4" w:space="0" w:color="auto"/>
              <w:right w:val="single" w:sz="4" w:space="0" w:color="auto"/>
            </w:tcBorders>
          </w:tcPr>
          <w:p w14:paraId="347E27C3"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Термін експлуатації нової покрівлі (гарантійний термін – 10-20 років).</w:t>
            </w:r>
          </w:p>
          <w:p w14:paraId="0075DDA7" w14:textId="66C82EC4"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Скорочено витрати на опалення (на 15-25% за рахунок утеплення).</w:t>
            </w:r>
          </w:p>
        </w:tc>
      </w:tr>
      <w:tr w:rsidR="0097410E" w:rsidRPr="000413EB" w14:paraId="67B096AE" w14:textId="77777777" w:rsidTr="0097410E">
        <w:tc>
          <w:tcPr>
            <w:tcW w:w="567" w:type="dxa"/>
            <w:shd w:val="clear" w:color="auto" w:fill="auto"/>
          </w:tcPr>
          <w:p w14:paraId="31332899" w14:textId="442FAEEF" w:rsidR="0097410E" w:rsidRPr="000413EB" w:rsidRDefault="003F7FB6" w:rsidP="0097410E">
            <w:pPr>
              <w:pStyle w:val="aa"/>
              <w:jc w:val="both"/>
              <w:rPr>
                <w:rFonts w:ascii="Times New Roman" w:eastAsia="Arial" w:hAnsi="Times New Roman"/>
                <w:sz w:val="20"/>
                <w:szCs w:val="20"/>
              </w:rPr>
            </w:pPr>
            <w:r>
              <w:rPr>
                <w:rFonts w:ascii="Times New Roman" w:eastAsia="Arial" w:hAnsi="Times New Roman"/>
                <w:sz w:val="20"/>
                <w:szCs w:val="20"/>
              </w:rPr>
              <w:t>2</w:t>
            </w:r>
          </w:p>
        </w:tc>
        <w:tc>
          <w:tcPr>
            <w:tcW w:w="2694" w:type="dxa"/>
            <w:tcBorders>
              <w:top w:val="single" w:sz="4" w:space="0" w:color="auto"/>
            </w:tcBorders>
          </w:tcPr>
          <w:p w14:paraId="12A93041" w14:textId="77777777" w:rsidR="0097410E" w:rsidRPr="000413EB" w:rsidRDefault="0097410E" w:rsidP="0097410E">
            <w:pPr>
              <w:widowControl w:val="0"/>
              <w:tabs>
                <w:tab w:val="left" w:pos="0"/>
                <w:tab w:val="left" w:pos="720"/>
              </w:tabs>
              <w:autoSpaceDE w:val="0"/>
              <w:autoSpaceDN w:val="0"/>
              <w:adjustRightInd w:val="0"/>
              <w:jc w:val="both"/>
              <w:rPr>
                <w:rFonts w:ascii="Times New Roman" w:hAnsi="Times New Roman"/>
                <w:sz w:val="20"/>
                <w:szCs w:val="20"/>
              </w:rPr>
            </w:pPr>
            <w:r w:rsidRPr="000413EB">
              <w:rPr>
                <w:rFonts w:ascii="Times New Roman" w:hAnsi="Times New Roman"/>
                <w:sz w:val="20"/>
                <w:szCs w:val="20"/>
              </w:rPr>
              <w:t>С.1.1. Створення  системи  конкурентоспроможної  освіти відповідно до потреб ринку праці та розвитку особистості</w:t>
            </w:r>
          </w:p>
          <w:p w14:paraId="7FACE9B4" w14:textId="77777777" w:rsidR="0097410E" w:rsidRPr="000413EB" w:rsidRDefault="0097410E" w:rsidP="0097410E">
            <w:pPr>
              <w:autoSpaceDE w:val="0"/>
              <w:autoSpaceDN w:val="0"/>
              <w:adjustRightInd w:val="0"/>
              <w:jc w:val="both"/>
              <w:rPr>
                <w:rFonts w:ascii="Times New Roman" w:hAnsi="Times New Roman"/>
                <w:sz w:val="20"/>
                <w:szCs w:val="20"/>
              </w:rPr>
            </w:pPr>
            <w:r w:rsidRPr="000413EB">
              <w:rPr>
                <w:rFonts w:ascii="Times New Roman" w:hAnsi="Times New Roman"/>
                <w:sz w:val="20"/>
                <w:szCs w:val="20"/>
              </w:rPr>
              <w:t>С.1.3 Забезпечення якості освіти та освітньої діяльності</w:t>
            </w:r>
          </w:p>
          <w:p w14:paraId="278E9228" w14:textId="77777777" w:rsidR="0097410E" w:rsidRPr="000413EB" w:rsidRDefault="0097410E" w:rsidP="0097410E">
            <w:pPr>
              <w:jc w:val="both"/>
              <w:rPr>
                <w:rFonts w:ascii="Times New Roman" w:hAnsi="Times New Roman"/>
                <w:sz w:val="20"/>
                <w:szCs w:val="20"/>
              </w:rPr>
            </w:pPr>
          </w:p>
        </w:tc>
        <w:tc>
          <w:tcPr>
            <w:tcW w:w="2551" w:type="dxa"/>
            <w:tcBorders>
              <w:top w:val="single" w:sz="4" w:space="0" w:color="auto"/>
            </w:tcBorders>
          </w:tcPr>
          <w:p w14:paraId="2389D470" w14:textId="77777777" w:rsidR="0097410E" w:rsidRPr="000413EB" w:rsidRDefault="0097410E" w:rsidP="0097410E">
            <w:pPr>
              <w:pBdr>
                <w:left w:val="single" w:sz="18" w:space="4" w:color="auto"/>
              </w:pBdr>
              <w:jc w:val="both"/>
              <w:rPr>
                <w:rFonts w:ascii="Times New Roman" w:hAnsi="Times New Roman"/>
                <w:iCs/>
                <w:sz w:val="20"/>
                <w:szCs w:val="20"/>
                <w:lang w:eastAsia="it-IT"/>
              </w:rPr>
            </w:pPr>
            <w:r w:rsidRPr="000413EB">
              <w:rPr>
                <w:rFonts w:ascii="Times New Roman" w:hAnsi="Times New Roman"/>
                <w:iCs/>
                <w:sz w:val="20"/>
                <w:szCs w:val="20"/>
                <w:lang w:eastAsia="it-IT"/>
              </w:rPr>
              <w:t>С.1.1.2. Розвиток освітньої інфраструктури територіальної громади</w:t>
            </w:r>
          </w:p>
          <w:p w14:paraId="79A7803C" w14:textId="77777777" w:rsidR="0097410E" w:rsidRPr="000413EB" w:rsidRDefault="0097410E" w:rsidP="0097410E">
            <w:pPr>
              <w:pBdr>
                <w:left w:val="single" w:sz="18" w:space="4" w:color="auto"/>
              </w:pBdr>
              <w:jc w:val="both"/>
              <w:rPr>
                <w:rFonts w:ascii="Times New Roman" w:hAnsi="Times New Roman"/>
                <w:iCs/>
                <w:sz w:val="20"/>
                <w:szCs w:val="20"/>
                <w:lang w:eastAsia="it-IT"/>
              </w:rPr>
            </w:pPr>
            <w:r w:rsidRPr="000413EB">
              <w:rPr>
                <w:rFonts w:ascii="Times New Roman" w:hAnsi="Times New Roman"/>
                <w:iCs/>
                <w:sz w:val="20"/>
                <w:szCs w:val="20"/>
                <w:lang w:eastAsia="it-IT"/>
              </w:rPr>
              <w:t>відповідно до вимог часу</w:t>
            </w:r>
          </w:p>
          <w:p w14:paraId="29EF7CCD" w14:textId="77777777" w:rsidR="0097410E" w:rsidRPr="000413EB" w:rsidRDefault="0097410E" w:rsidP="0097410E">
            <w:pPr>
              <w:pBdr>
                <w:left w:val="single" w:sz="18" w:space="4" w:color="auto"/>
              </w:pBdr>
              <w:jc w:val="both"/>
              <w:rPr>
                <w:rFonts w:ascii="Times New Roman" w:hAnsi="Times New Roman"/>
                <w:iCs/>
                <w:sz w:val="20"/>
                <w:szCs w:val="20"/>
                <w:lang w:eastAsia="it-IT"/>
              </w:rPr>
            </w:pPr>
            <w:r w:rsidRPr="000413EB">
              <w:rPr>
                <w:rFonts w:ascii="Times New Roman" w:hAnsi="Times New Roman"/>
                <w:iCs/>
                <w:sz w:val="20"/>
                <w:szCs w:val="20"/>
                <w:lang w:eastAsia="it-IT"/>
              </w:rPr>
              <w:t>С.1.1.6. Підвищення орієнтації галузі освіти на потреби ринку праці</w:t>
            </w:r>
          </w:p>
        </w:tc>
        <w:tc>
          <w:tcPr>
            <w:tcW w:w="2835" w:type="dxa"/>
            <w:tcBorders>
              <w:top w:val="single" w:sz="4" w:space="0" w:color="auto"/>
            </w:tcBorders>
          </w:tcPr>
          <w:p w14:paraId="639399D0" w14:textId="430D15A8" w:rsidR="0097410E" w:rsidRPr="000413EB" w:rsidRDefault="0097410E" w:rsidP="00C70BC4">
            <w:pPr>
              <w:jc w:val="both"/>
              <w:rPr>
                <w:rFonts w:ascii="Times New Roman" w:hAnsi="Times New Roman"/>
                <w:sz w:val="20"/>
                <w:szCs w:val="20"/>
              </w:rPr>
            </w:pPr>
            <w:r w:rsidRPr="000413EB">
              <w:rPr>
                <w:rFonts w:ascii="Times New Roman" w:hAnsi="Times New Roman"/>
                <w:sz w:val="20"/>
                <w:szCs w:val="20"/>
              </w:rPr>
              <w:t>Профільна старша школа як</w:t>
            </w:r>
            <w:r w:rsidR="00C70BC4">
              <w:rPr>
                <w:rFonts w:ascii="Times New Roman" w:hAnsi="Times New Roman"/>
                <w:sz w:val="20"/>
                <w:szCs w:val="20"/>
              </w:rPr>
              <w:t xml:space="preserve"> </w:t>
            </w:r>
            <w:r w:rsidRPr="000413EB">
              <w:rPr>
                <w:rFonts w:ascii="Times New Roman" w:hAnsi="Times New Roman"/>
                <w:sz w:val="20"/>
                <w:szCs w:val="20"/>
              </w:rPr>
              <w:t>необхідна умова розвитку освіти громади</w:t>
            </w:r>
          </w:p>
        </w:tc>
        <w:tc>
          <w:tcPr>
            <w:tcW w:w="1276" w:type="dxa"/>
            <w:tcBorders>
              <w:top w:val="single" w:sz="4" w:space="0" w:color="auto"/>
            </w:tcBorders>
          </w:tcPr>
          <w:p w14:paraId="3080BC7F"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2025-2028</w:t>
            </w:r>
          </w:p>
        </w:tc>
        <w:tc>
          <w:tcPr>
            <w:tcW w:w="2345" w:type="dxa"/>
            <w:tcBorders>
              <w:top w:val="single" w:sz="4" w:space="0" w:color="auto"/>
            </w:tcBorders>
          </w:tcPr>
          <w:p w14:paraId="2EC5DFF1" w14:textId="77777777" w:rsidR="0097410E" w:rsidRDefault="0097410E" w:rsidP="0097410E">
            <w:pPr>
              <w:jc w:val="both"/>
              <w:rPr>
                <w:rFonts w:ascii="Times New Roman" w:hAnsi="Times New Roman"/>
                <w:sz w:val="20"/>
                <w:szCs w:val="20"/>
              </w:rPr>
            </w:pPr>
            <w:r w:rsidRPr="000413EB">
              <w:rPr>
                <w:rFonts w:ascii="Times New Roman" w:hAnsi="Times New Roman"/>
                <w:sz w:val="20"/>
                <w:szCs w:val="20"/>
              </w:rPr>
              <w:t xml:space="preserve">Управління ЖКГ Жмеринської міської ради, </w:t>
            </w:r>
          </w:p>
          <w:p w14:paraId="5C15896C" w14:textId="77777777" w:rsidR="00177957" w:rsidRDefault="0097410E" w:rsidP="0097410E">
            <w:pPr>
              <w:jc w:val="both"/>
              <w:rPr>
                <w:rFonts w:ascii="Times New Roman" w:hAnsi="Times New Roman"/>
                <w:sz w:val="20"/>
                <w:szCs w:val="20"/>
              </w:rPr>
            </w:pPr>
            <w:r w:rsidRPr="000413EB">
              <w:rPr>
                <w:rFonts w:ascii="Times New Roman" w:hAnsi="Times New Roman"/>
                <w:sz w:val="20"/>
                <w:szCs w:val="20"/>
              </w:rPr>
              <w:t xml:space="preserve">Управління освіти Жмеринської міської ради, </w:t>
            </w:r>
          </w:p>
          <w:p w14:paraId="55CC183F" w14:textId="30A59A19"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заклади освіти</w:t>
            </w:r>
          </w:p>
        </w:tc>
        <w:tc>
          <w:tcPr>
            <w:tcW w:w="2900" w:type="dxa"/>
            <w:tcBorders>
              <w:top w:val="single" w:sz="4" w:space="0" w:color="auto"/>
            </w:tcBorders>
          </w:tcPr>
          <w:p w14:paraId="11CB0700"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Наявність в громаді профільного ліцею академічного спрямування.</w:t>
            </w:r>
          </w:p>
          <w:p w14:paraId="34D843DF" w14:textId="66489330"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Відсоток випускників, які вступили до закладів вищої освіти за підсумками ЗНО</w:t>
            </w:r>
            <w:r w:rsidR="00A801AF">
              <w:rPr>
                <w:rFonts w:ascii="Times New Roman" w:hAnsi="Times New Roman"/>
                <w:sz w:val="20"/>
                <w:szCs w:val="20"/>
                <w:lang w:eastAsia="it-IT"/>
              </w:rPr>
              <w:t>.</w:t>
            </w:r>
          </w:p>
        </w:tc>
      </w:tr>
      <w:tr w:rsidR="0097410E" w:rsidRPr="000413EB" w14:paraId="701E5718" w14:textId="77777777" w:rsidTr="000413EB">
        <w:tc>
          <w:tcPr>
            <w:tcW w:w="567" w:type="dxa"/>
            <w:shd w:val="clear" w:color="auto" w:fill="auto"/>
          </w:tcPr>
          <w:p w14:paraId="0E28FDEB" w14:textId="7456EF45" w:rsidR="0097410E" w:rsidRPr="000413EB" w:rsidRDefault="003F7FB6" w:rsidP="0097410E">
            <w:pPr>
              <w:pStyle w:val="aa"/>
              <w:jc w:val="both"/>
              <w:rPr>
                <w:rFonts w:ascii="Times New Roman" w:eastAsia="Arial" w:hAnsi="Times New Roman"/>
                <w:sz w:val="20"/>
                <w:szCs w:val="20"/>
              </w:rPr>
            </w:pPr>
            <w:r>
              <w:rPr>
                <w:rFonts w:ascii="Times New Roman" w:eastAsia="Arial" w:hAnsi="Times New Roman"/>
                <w:sz w:val="20"/>
                <w:szCs w:val="20"/>
              </w:rPr>
              <w:t>3</w:t>
            </w:r>
          </w:p>
        </w:tc>
        <w:tc>
          <w:tcPr>
            <w:tcW w:w="2694" w:type="dxa"/>
          </w:tcPr>
          <w:p w14:paraId="55A1D57F"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С.1.2. Забезпечення комфортних і безпечних умов навчання та праці</w:t>
            </w:r>
          </w:p>
          <w:p w14:paraId="3C883AA9" w14:textId="77777777" w:rsidR="0097410E" w:rsidRPr="000413EB" w:rsidRDefault="0097410E" w:rsidP="0097410E">
            <w:pPr>
              <w:jc w:val="both"/>
              <w:rPr>
                <w:rFonts w:ascii="Times New Roman" w:hAnsi="Times New Roman"/>
                <w:sz w:val="20"/>
                <w:szCs w:val="20"/>
              </w:rPr>
            </w:pPr>
          </w:p>
        </w:tc>
        <w:tc>
          <w:tcPr>
            <w:tcW w:w="2551" w:type="dxa"/>
          </w:tcPr>
          <w:p w14:paraId="513F30D9" w14:textId="77777777" w:rsidR="0097410E" w:rsidRPr="000413EB" w:rsidRDefault="0097410E" w:rsidP="0097410E">
            <w:pPr>
              <w:pBdr>
                <w:left w:val="single" w:sz="18" w:space="4" w:color="auto"/>
              </w:pBdr>
              <w:jc w:val="both"/>
              <w:rPr>
                <w:rFonts w:ascii="Times New Roman" w:hAnsi="Times New Roman"/>
                <w:iCs/>
                <w:sz w:val="20"/>
                <w:szCs w:val="20"/>
                <w:lang w:eastAsia="it-IT"/>
              </w:rPr>
            </w:pPr>
            <w:r w:rsidRPr="000413EB">
              <w:rPr>
                <w:rFonts w:ascii="Times New Roman" w:hAnsi="Times New Roman"/>
                <w:iCs/>
                <w:sz w:val="20"/>
                <w:szCs w:val="20"/>
                <w:lang w:eastAsia="it-IT"/>
              </w:rPr>
              <w:t>С.1.1.2. Розвиток освітньої інфраструктури територіальної громади</w:t>
            </w:r>
          </w:p>
          <w:p w14:paraId="0041CB4E" w14:textId="77777777" w:rsidR="0097410E" w:rsidRPr="000413EB" w:rsidRDefault="0097410E" w:rsidP="0097410E">
            <w:pPr>
              <w:pBdr>
                <w:left w:val="single" w:sz="18" w:space="4" w:color="auto"/>
              </w:pBdr>
              <w:jc w:val="both"/>
              <w:rPr>
                <w:rFonts w:ascii="Times New Roman" w:hAnsi="Times New Roman"/>
                <w:iCs/>
                <w:sz w:val="20"/>
                <w:szCs w:val="20"/>
                <w:lang w:eastAsia="it-IT"/>
              </w:rPr>
            </w:pPr>
            <w:r w:rsidRPr="000413EB">
              <w:rPr>
                <w:rFonts w:ascii="Times New Roman" w:hAnsi="Times New Roman"/>
                <w:iCs/>
                <w:sz w:val="20"/>
                <w:szCs w:val="20"/>
                <w:lang w:eastAsia="it-IT"/>
              </w:rPr>
              <w:t>відповідно до вимог час</w:t>
            </w:r>
          </w:p>
          <w:p w14:paraId="772113F9" w14:textId="77777777" w:rsidR="0097410E" w:rsidRPr="000413EB" w:rsidRDefault="0097410E" w:rsidP="0097410E">
            <w:pPr>
              <w:pBdr>
                <w:left w:val="single" w:sz="18" w:space="4" w:color="auto"/>
              </w:pBdr>
              <w:jc w:val="both"/>
              <w:rPr>
                <w:rFonts w:ascii="Times New Roman" w:hAnsi="Times New Roman"/>
                <w:iCs/>
                <w:sz w:val="20"/>
                <w:szCs w:val="20"/>
                <w:lang w:eastAsia="it-IT"/>
              </w:rPr>
            </w:pPr>
            <w:r w:rsidRPr="000413EB">
              <w:rPr>
                <w:rFonts w:ascii="Times New Roman" w:hAnsi="Times New Roman"/>
                <w:iCs/>
                <w:sz w:val="20"/>
                <w:szCs w:val="20"/>
                <w:lang w:eastAsia="it-IT"/>
              </w:rPr>
              <w:t>С.1.2.1. Підвищення рівня громадської безпеки в закладах освіти.</w:t>
            </w:r>
          </w:p>
        </w:tc>
        <w:tc>
          <w:tcPr>
            <w:tcW w:w="2835" w:type="dxa"/>
          </w:tcPr>
          <w:p w14:paraId="4B0830D8"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Пожежна сигналізація як необхідна умова створення безпечного освітнього простору в КЗ «Жмеринський ліцей № 4»</w:t>
            </w:r>
          </w:p>
        </w:tc>
        <w:tc>
          <w:tcPr>
            <w:tcW w:w="1276" w:type="dxa"/>
          </w:tcPr>
          <w:p w14:paraId="14469A39"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2025-2028</w:t>
            </w:r>
          </w:p>
        </w:tc>
        <w:tc>
          <w:tcPr>
            <w:tcW w:w="2345" w:type="dxa"/>
          </w:tcPr>
          <w:p w14:paraId="739748AE"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Управління освіти Жмеринської міської ради, заклади освіти</w:t>
            </w:r>
          </w:p>
        </w:tc>
        <w:tc>
          <w:tcPr>
            <w:tcW w:w="2900" w:type="dxa"/>
          </w:tcPr>
          <w:p w14:paraId="0DCC4276" w14:textId="177107E5"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Збільшено кількість закладів освіти, де створено безпечний освітній простір шляхом облаштування системи автоматичної пожежної сигналізації</w:t>
            </w:r>
            <w:r w:rsidR="00A801AF">
              <w:rPr>
                <w:rFonts w:ascii="Times New Roman" w:hAnsi="Times New Roman"/>
                <w:sz w:val="20"/>
                <w:szCs w:val="20"/>
                <w:lang w:eastAsia="it-IT"/>
              </w:rPr>
              <w:t>.</w:t>
            </w:r>
          </w:p>
        </w:tc>
      </w:tr>
      <w:tr w:rsidR="0097410E" w:rsidRPr="000413EB" w14:paraId="6F8D77EF" w14:textId="77777777" w:rsidTr="000413EB">
        <w:tc>
          <w:tcPr>
            <w:tcW w:w="567" w:type="dxa"/>
            <w:shd w:val="clear" w:color="auto" w:fill="auto"/>
          </w:tcPr>
          <w:p w14:paraId="570036B1" w14:textId="46263236" w:rsidR="0097410E" w:rsidRPr="000413EB" w:rsidRDefault="003F7FB6" w:rsidP="0097410E">
            <w:pPr>
              <w:pStyle w:val="aa"/>
              <w:jc w:val="both"/>
              <w:rPr>
                <w:rFonts w:ascii="Times New Roman" w:eastAsia="Arial" w:hAnsi="Times New Roman"/>
                <w:sz w:val="20"/>
                <w:szCs w:val="20"/>
              </w:rPr>
            </w:pPr>
            <w:r>
              <w:rPr>
                <w:rFonts w:ascii="Times New Roman" w:eastAsia="Arial" w:hAnsi="Times New Roman"/>
                <w:sz w:val="20"/>
                <w:szCs w:val="20"/>
              </w:rPr>
              <w:t>4</w:t>
            </w:r>
          </w:p>
        </w:tc>
        <w:tc>
          <w:tcPr>
            <w:tcW w:w="2694" w:type="dxa"/>
          </w:tcPr>
          <w:p w14:paraId="3E3F119F"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С.1.2. Забезпечення комфортних і безпечних умов навчання та праці</w:t>
            </w:r>
          </w:p>
          <w:p w14:paraId="1493DB21" w14:textId="77777777" w:rsidR="0097410E" w:rsidRPr="000413EB" w:rsidRDefault="0097410E" w:rsidP="0097410E">
            <w:pPr>
              <w:jc w:val="both"/>
              <w:rPr>
                <w:rFonts w:ascii="Times New Roman" w:hAnsi="Times New Roman"/>
                <w:sz w:val="20"/>
                <w:szCs w:val="20"/>
              </w:rPr>
            </w:pPr>
          </w:p>
        </w:tc>
        <w:tc>
          <w:tcPr>
            <w:tcW w:w="2551" w:type="dxa"/>
          </w:tcPr>
          <w:p w14:paraId="074A36B7" w14:textId="77777777" w:rsidR="0097410E" w:rsidRPr="000413EB" w:rsidRDefault="0097410E" w:rsidP="0097410E">
            <w:pPr>
              <w:pBdr>
                <w:left w:val="single" w:sz="18" w:space="4" w:color="auto"/>
              </w:pBdr>
              <w:jc w:val="both"/>
              <w:rPr>
                <w:rFonts w:ascii="Times New Roman" w:hAnsi="Times New Roman"/>
                <w:iCs/>
                <w:sz w:val="20"/>
                <w:szCs w:val="20"/>
                <w:lang w:eastAsia="it-IT"/>
              </w:rPr>
            </w:pPr>
            <w:r w:rsidRPr="000413EB">
              <w:rPr>
                <w:rFonts w:ascii="Times New Roman" w:hAnsi="Times New Roman"/>
                <w:iCs/>
                <w:sz w:val="20"/>
                <w:szCs w:val="20"/>
                <w:lang w:eastAsia="it-IT"/>
              </w:rPr>
              <w:t>С.1.1.2. Розвиток освітньої інфраструктури територіальної громади</w:t>
            </w:r>
          </w:p>
          <w:p w14:paraId="4521C706" w14:textId="77777777" w:rsidR="0097410E" w:rsidRPr="000413EB" w:rsidRDefault="0097410E" w:rsidP="0097410E">
            <w:pPr>
              <w:pBdr>
                <w:left w:val="single" w:sz="18" w:space="4" w:color="auto"/>
              </w:pBdr>
              <w:jc w:val="both"/>
              <w:rPr>
                <w:rFonts w:ascii="Times New Roman" w:hAnsi="Times New Roman"/>
                <w:iCs/>
                <w:sz w:val="20"/>
                <w:szCs w:val="20"/>
                <w:lang w:eastAsia="it-IT"/>
              </w:rPr>
            </w:pPr>
            <w:r w:rsidRPr="000413EB">
              <w:rPr>
                <w:rFonts w:ascii="Times New Roman" w:hAnsi="Times New Roman"/>
                <w:iCs/>
                <w:sz w:val="20"/>
                <w:szCs w:val="20"/>
                <w:lang w:eastAsia="it-IT"/>
              </w:rPr>
              <w:t>відповідно до вимог час</w:t>
            </w:r>
          </w:p>
          <w:p w14:paraId="3BDD0207" w14:textId="77777777" w:rsidR="0097410E" w:rsidRPr="000413EB" w:rsidRDefault="0097410E" w:rsidP="0097410E">
            <w:pPr>
              <w:pBdr>
                <w:left w:val="single" w:sz="18" w:space="4" w:color="auto"/>
              </w:pBdr>
              <w:jc w:val="both"/>
              <w:rPr>
                <w:rFonts w:ascii="Times New Roman" w:hAnsi="Times New Roman"/>
                <w:iCs/>
                <w:sz w:val="20"/>
                <w:szCs w:val="20"/>
                <w:lang w:eastAsia="it-IT"/>
              </w:rPr>
            </w:pPr>
            <w:r w:rsidRPr="000413EB">
              <w:rPr>
                <w:rFonts w:ascii="Times New Roman" w:hAnsi="Times New Roman"/>
                <w:iCs/>
                <w:sz w:val="20"/>
                <w:szCs w:val="20"/>
                <w:lang w:eastAsia="it-IT"/>
              </w:rPr>
              <w:t>С.1.2.1. Підвищення рівня громадської безпеки в закладах освіти.</w:t>
            </w:r>
          </w:p>
        </w:tc>
        <w:tc>
          <w:tcPr>
            <w:tcW w:w="2835" w:type="dxa"/>
          </w:tcPr>
          <w:p w14:paraId="28A3A002"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Пожежна сигналізація – необхідна умова створення безпечного освітнього простору в</w:t>
            </w:r>
            <w:r w:rsidRPr="000413EB">
              <w:rPr>
                <w:rFonts w:ascii="Times New Roman" w:eastAsia="Arial" w:hAnsi="Times New Roman"/>
                <w:sz w:val="20"/>
                <w:szCs w:val="20"/>
                <w:shd w:val="clear" w:color="auto" w:fill="FFFFFF"/>
              </w:rPr>
              <w:t xml:space="preserve"> КЗ «Жмеринський ліцей №2»</w:t>
            </w:r>
          </w:p>
        </w:tc>
        <w:tc>
          <w:tcPr>
            <w:tcW w:w="1276" w:type="dxa"/>
          </w:tcPr>
          <w:p w14:paraId="283E41EC"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2025-2028</w:t>
            </w:r>
          </w:p>
        </w:tc>
        <w:tc>
          <w:tcPr>
            <w:tcW w:w="2345" w:type="dxa"/>
          </w:tcPr>
          <w:p w14:paraId="081F5DD5" w14:textId="77777777" w:rsidR="00177957" w:rsidRDefault="0097410E" w:rsidP="0097410E">
            <w:pPr>
              <w:jc w:val="both"/>
              <w:rPr>
                <w:rFonts w:ascii="Times New Roman" w:hAnsi="Times New Roman"/>
                <w:sz w:val="20"/>
                <w:szCs w:val="20"/>
              </w:rPr>
            </w:pPr>
            <w:r w:rsidRPr="000413EB">
              <w:rPr>
                <w:rFonts w:ascii="Times New Roman" w:hAnsi="Times New Roman"/>
                <w:sz w:val="20"/>
                <w:szCs w:val="20"/>
              </w:rPr>
              <w:t xml:space="preserve">Управління освіти Жмеринської міської ради, </w:t>
            </w:r>
          </w:p>
          <w:p w14:paraId="7773C25D" w14:textId="0056419A"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заклади освіти</w:t>
            </w:r>
          </w:p>
        </w:tc>
        <w:tc>
          <w:tcPr>
            <w:tcW w:w="2900" w:type="dxa"/>
          </w:tcPr>
          <w:p w14:paraId="2EF45C80" w14:textId="259D1D12"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Збільшено кількість закладів освіти, де створено безпечний освітній простір шляхом облаштування системи автоматичної пожежної сигналізації</w:t>
            </w:r>
            <w:r w:rsidR="00A801AF">
              <w:rPr>
                <w:rFonts w:ascii="Times New Roman" w:hAnsi="Times New Roman"/>
                <w:sz w:val="20"/>
                <w:szCs w:val="20"/>
                <w:lang w:eastAsia="it-IT"/>
              </w:rPr>
              <w:t>.</w:t>
            </w:r>
          </w:p>
        </w:tc>
      </w:tr>
      <w:tr w:rsidR="0097410E" w:rsidRPr="000413EB" w14:paraId="787B7AB7" w14:textId="77777777" w:rsidTr="000413EB">
        <w:tc>
          <w:tcPr>
            <w:tcW w:w="567" w:type="dxa"/>
            <w:shd w:val="clear" w:color="auto" w:fill="auto"/>
          </w:tcPr>
          <w:p w14:paraId="213EF912" w14:textId="42611D1B" w:rsidR="0097410E" w:rsidRPr="000413EB" w:rsidRDefault="003F7FB6" w:rsidP="0097410E">
            <w:pPr>
              <w:pStyle w:val="aa"/>
              <w:jc w:val="both"/>
              <w:rPr>
                <w:rFonts w:ascii="Times New Roman" w:eastAsia="Arial" w:hAnsi="Times New Roman"/>
                <w:sz w:val="20"/>
                <w:szCs w:val="20"/>
              </w:rPr>
            </w:pPr>
            <w:r>
              <w:rPr>
                <w:rFonts w:ascii="Times New Roman" w:eastAsia="Arial" w:hAnsi="Times New Roman"/>
                <w:sz w:val="20"/>
                <w:szCs w:val="20"/>
              </w:rPr>
              <w:t>5</w:t>
            </w:r>
          </w:p>
        </w:tc>
        <w:tc>
          <w:tcPr>
            <w:tcW w:w="2694" w:type="dxa"/>
          </w:tcPr>
          <w:p w14:paraId="07E5FB16"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С.1.2. Забезпечення комфортних і безпечних умов навчання та праці</w:t>
            </w:r>
          </w:p>
          <w:p w14:paraId="1CDE42C7" w14:textId="77777777" w:rsidR="0097410E" w:rsidRPr="000413EB" w:rsidRDefault="0097410E" w:rsidP="0097410E">
            <w:pPr>
              <w:jc w:val="both"/>
              <w:rPr>
                <w:rFonts w:ascii="Times New Roman" w:hAnsi="Times New Roman"/>
                <w:sz w:val="20"/>
                <w:szCs w:val="20"/>
              </w:rPr>
            </w:pPr>
          </w:p>
        </w:tc>
        <w:tc>
          <w:tcPr>
            <w:tcW w:w="2551" w:type="dxa"/>
          </w:tcPr>
          <w:p w14:paraId="15B48039" w14:textId="77777777" w:rsidR="0097410E" w:rsidRPr="000413EB" w:rsidRDefault="0097410E" w:rsidP="0097410E">
            <w:pPr>
              <w:pBdr>
                <w:left w:val="single" w:sz="18" w:space="4" w:color="auto"/>
              </w:pBdr>
              <w:jc w:val="both"/>
              <w:rPr>
                <w:rFonts w:ascii="Times New Roman" w:hAnsi="Times New Roman"/>
                <w:iCs/>
                <w:sz w:val="20"/>
                <w:szCs w:val="20"/>
                <w:lang w:eastAsia="it-IT"/>
              </w:rPr>
            </w:pPr>
            <w:r w:rsidRPr="000413EB">
              <w:rPr>
                <w:rFonts w:ascii="Times New Roman" w:hAnsi="Times New Roman"/>
                <w:iCs/>
                <w:sz w:val="20"/>
                <w:szCs w:val="20"/>
                <w:lang w:eastAsia="it-IT"/>
              </w:rPr>
              <w:t>С.1.1.2. Розвиток освітньої інфраструктури територіальної громади</w:t>
            </w:r>
          </w:p>
          <w:p w14:paraId="48A7B976" w14:textId="77777777" w:rsidR="0097410E" w:rsidRPr="000413EB" w:rsidRDefault="0097410E" w:rsidP="0097410E">
            <w:pPr>
              <w:pBdr>
                <w:left w:val="single" w:sz="18" w:space="4" w:color="auto"/>
              </w:pBdr>
              <w:jc w:val="both"/>
              <w:rPr>
                <w:rFonts w:ascii="Times New Roman" w:hAnsi="Times New Roman"/>
                <w:iCs/>
                <w:sz w:val="20"/>
                <w:szCs w:val="20"/>
                <w:lang w:eastAsia="it-IT"/>
              </w:rPr>
            </w:pPr>
            <w:r w:rsidRPr="000413EB">
              <w:rPr>
                <w:rFonts w:ascii="Times New Roman" w:hAnsi="Times New Roman"/>
                <w:iCs/>
                <w:sz w:val="20"/>
                <w:szCs w:val="20"/>
                <w:lang w:eastAsia="it-IT"/>
              </w:rPr>
              <w:t>відповідно до вимог час</w:t>
            </w:r>
          </w:p>
          <w:p w14:paraId="6582CAE4" w14:textId="77777777" w:rsidR="0097410E" w:rsidRPr="000413EB" w:rsidRDefault="0097410E" w:rsidP="0097410E">
            <w:pPr>
              <w:pBdr>
                <w:left w:val="single" w:sz="18" w:space="4" w:color="auto"/>
              </w:pBdr>
              <w:jc w:val="both"/>
              <w:rPr>
                <w:rFonts w:ascii="Times New Roman" w:hAnsi="Times New Roman"/>
                <w:iCs/>
                <w:sz w:val="20"/>
                <w:szCs w:val="20"/>
                <w:lang w:eastAsia="it-IT"/>
              </w:rPr>
            </w:pPr>
            <w:r w:rsidRPr="000413EB">
              <w:rPr>
                <w:rFonts w:ascii="Times New Roman" w:hAnsi="Times New Roman"/>
                <w:iCs/>
                <w:sz w:val="20"/>
                <w:szCs w:val="20"/>
                <w:lang w:eastAsia="it-IT"/>
              </w:rPr>
              <w:t>С.1.2.1. Підвищення рівня громадської безпеки в закладах освіти.</w:t>
            </w:r>
          </w:p>
        </w:tc>
        <w:tc>
          <w:tcPr>
            <w:tcW w:w="2835" w:type="dxa"/>
          </w:tcPr>
          <w:p w14:paraId="65AE83AA"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Облаштування системи пожежної сигналізація  в КЗ «Жмеринський ліцей № 3»</w:t>
            </w:r>
          </w:p>
        </w:tc>
        <w:tc>
          <w:tcPr>
            <w:tcW w:w="1276" w:type="dxa"/>
          </w:tcPr>
          <w:p w14:paraId="72FDEDBE"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2025-2028</w:t>
            </w:r>
          </w:p>
        </w:tc>
        <w:tc>
          <w:tcPr>
            <w:tcW w:w="2345" w:type="dxa"/>
          </w:tcPr>
          <w:p w14:paraId="0D505DF7" w14:textId="77777777" w:rsidR="00177957" w:rsidRDefault="0097410E" w:rsidP="0097410E">
            <w:pPr>
              <w:jc w:val="both"/>
              <w:rPr>
                <w:rFonts w:ascii="Times New Roman" w:hAnsi="Times New Roman"/>
                <w:sz w:val="20"/>
                <w:szCs w:val="20"/>
              </w:rPr>
            </w:pPr>
            <w:r w:rsidRPr="000413EB">
              <w:rPr>
                <w:rFonts w:ascii="Times New Roman" w:hAnsi="Times New Roman"/>
                <w:sz w:val="20"/>
                <w:szCs w:val="20"/>
              </w:rPr>
              <w:t xml:space="preserve">Управління освіти Жмеринської міської ради, </w:t>
            </w:r>
          </w:p>
          <w:p w14:paraId="12967BD3" w14:textId="3A7DF5ED"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заклади освіти</w:t>
            </w:r>
          </w:p>
        </w:tc>
        <w:tc>
          <w:tcPr>
            <w:tcW w:w="2900" w:type="dxa"/>
          </w:tcPr>
          <w:p w14:paraId="32191369"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Забезпечено захист учнів та співробітників навчального закладу в</w:t>
            </w:r>
          </w:p>
          <w:p w14:paraId="070A811C" w14:textId="23B1E1A0"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надзвичайних ситуаціях</w:t>
            </w:r>
            <w:r w:rsidR="00A801AF">
              <w:rPr>
                <w:rFonts w:ascii="Times New Roman" w:hAnsi="Times New Roman"/>
                <w:sz w:val="20"/>
                <w:szCs w:val="20"/>
                <w:lang w:eastAsia="it-IT"/>
              </w:rPr>
              <w:t>.</w:t>
            </w:r>
          </w:p>
          <w:p w14:paraId="3907BA1B" w14:textId="7A298340"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Збільшено кількість закладів освіти, де створено безпечний освітній простір</w:t>
            </w:r>
            <w:r w:rsidR="00A801AF">
              <w:rPr>
                <w:rFonts w:ascii="Times New Roman" w:hAnsi="Times New Roman"/>
                <w:sz w:val="20"/>
                <w:szCs w:val="20"/>
                <w:lang w:eastAsia="it-IT"/>
              </w:rPr>
              <w:t>.</w:t>
            </w:r>
          </w:p>
        </w:tc>
      </w:tr>
      <w:tr w:rsidR="0097410E" w:rsidRPr="000413EB" w14:paraId="529B571E" w14:textId="77777777" w:rsidTr="000413EB">
        <w:tc>
          <w:tcPr>
            <w:tcW w:w="567" w:type="dxa"/>
            <w:shd w:val="clear" w:color="auto" w:fill="auto"/>
          </w:tcPr>
          <w:p w14:paraId="341FC7AD" w14:textId="22A66655" w:rsidR="0097410E" w:rsidRPr="000413EB" w:rsidRDefault="003F7FB6" w:rsidP="0097410E">
            <w:pPr>
              <w:pStyle w:val="aa"/>
              <w:jc w:val="both"/>
              <w:rPr>
                <w:rFonts w:ascii="Times New Roman" w:eastAsia="Arial" w:hAnsi="Times New Roman"/>
                <w:sz w:val="20"/>
                <w:szCs w:val="20"/>
              </w:rPr>
            </w:pPr>
            <w:r>
              <w:rPr>
                <w:rFonts w:ascii="Times New Roman" w:eastAsia="Arial" w:hAnsi="Times New Roman"/>
                <w:sz w:val="20"/>
                <w:szCs w:val="20"/>
              </w:rPr>
              <w:t>6</w:t>
            </w:r>
          </w:p>
        </w:tc>
        <w:tc>
          <w:tcPr>
            <w:tcW w:w="2694" w:type="dxa"/>
          </w:tcPr>
          <w:p w14:paraId="423C01CD"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С.1.2. Забезпечення комфортних і безпечних умов навчання та праці</w:t>
            </w:r>
          </w:p>
          <w:p w14:paraId="131DFA08" w14:textId="77777777" w:rsidR="0097410E" w:rsidRPr="000413EB" w:rsidRDefault="0097410E" w:rsidP="0097410E">
            <w:pPr>
              <w:jc w:val="both"/>
              <w:rPr>
                <w:rFonts w:ascii="Times New Roman" w:hAnsi="Times New Roman"/>
                <w:sz w:val="20"/>
                <w:szCs w:val="20"/>
              </w:rPr>
            </w:pPr>
          </w:p>
        </w:tc>
        <w:tc>
          <w:tcPr>
            <w:tcW w:w="2551" w:type="dxa"/>
          </w:tcPr>
          <w:p w14:paraId="000DAF3F" w14:textId="77777777" w:rsidR="0097410E" w:rsidRPr="000413EB" w:rsidRDefault="0097410E" w:rsidP="0097410E">
            <w:pPr>
              <w:pBdr>
                <w:left w:val="single" w:sz="18" w:space="4" w:color="auto"/>
              </w:pBdr>
              <w:jc w:val="both"/>
              <w:rPr>
                <w:rFonts w:ascii="Times New Roman" w:hAnsi="Times New Roman"/>
                <w:iCs/>
                <w:sz w:val="20"/>
                <w:szCs w:val="20"/>
                <w:lang w:eastAsia="it-IT"/>
              </w:rPr>
            </w:pPr>
            <w:r w:rsidRPr="000413EB">
              <w:rPr>
                <w:rFonts w:ascii="Times New Roman" w:hAnsi="Times New Roman"/>
                <w:iCs/>
                <w:sz w:val="20"/>
                <w:szCs w:val="20"/>
                <w:lang w:eastAsia="it-IT"/>
              </w:rPr>
              <w:t>С.1.1.2. Розвиток освітньої інфраструктури територіальної громади</w:t>
            </w:r>
          </w:p>
          <w:p w14:paraId="2808A90E" w14:textId="77777777" w:rsidR="0097410E" w:rsidRPr="000413EB" w:rsidRDefault="0097410E" w:rsidP="0097410E">
            <w:pPr>
              <w:pBdr>
                <w:left w:val="single" w:sz="18" w:space="4" w:color="auto"/>
              </w:pBdr>
              <w:jc w:val="both"/>
              <w:rPr>
                <w:rFonts w:ascii="Times New Roman" w:hAnsi="Times New Roman"/>
                <w:iCs/>
                <w:sz w:val="20"/>
                <w:szCs w:val="20"/>
                <w:lang w:eastAsia="it-IT"/>
              </w:rPr>
            </w:pPr>
            <w:r w:rsidRPr="000413EB">
              <w:rPr>
                <w:rFonts w:ascii="Times New Roman" w:hAnsi="Times New Roman"/>
                <w:iCs/>
                <w:sz w:val="20"/>
                <w:szCs w:val="20"/>
                <w:lang w:eastAsia="it-IT"/>
              </w:rPr>
              <w:t>відповідно до вимог час</w:t>
            </w:r>
          </w:p>
          <w:p w14:paraId="6F4A3528" w14:textId="77777777" w:rsidR="0097410E" w:rsidRPr="000413EB" w:rsidRDefault="0097410E" w:rsidP="0097410E">
            <w:pPr>
              <w:pBdr>
                <w:left w:val="single" w:sz="18" w:space="4" w:color="auto"/>
              </w:pBdr>
              <w:jc w:val="both"/>
              <w:rPr>
                <w:rFonts w:ascii="Times New Roman" w:hAnsi="Times New Roman"/>
                <w:iCs/>
                <w:sz w:val="20"/>
                <w:szCs w:val="20"/>
                <w:lang w:eastAsia="it-IT"/>
              </w:rPr>
            </w:pPr>
            <w:r w:rsidRPr="000413EB">
              <w:rPr>
                <w:rFonts w:ascii="Times New Roman" w:hAnsi="Times New Roman"/>
                <w:iCs/>
                <w:sz w:val="20"/>
                <w:szCs w:val="20"/>
                <w:lang w:eastAsia="it-IT"/>
              </w:rPr>
              <w:t>С.1.2.1. Підвищення рівня громадської безпеки в закладах освіти.</w:t>
            </w:r>
          </w:p>
        </w:tc>
        <w:tc>
          <w:tcPr>
            <w:tcW w:w="2835" w:type="dxa"/>
          </w:tcPr>
          <w:p w14:paraId="0CE63A6B"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Облаштування сучасної систем пожежної безпеки в КЗ «Жмеринський ліцей № 6»</w:t>
            </w:r>
          </w:p>
        </w:tc>
        <w:tc>
          <w:tcPr>
            <w:tcW w:w="1276" w:type="dxa"/>
          </w:tcPr>
          <w:p w14:paraId="775BCA26"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2025-2028</w:t>
            </w:r>
          </w:p>
        </w:tc>
        <w:tc>
          <w:tcPr>
            <w:tcW w:w="2345" w:type="dxa"/>
          </w:tcPr>
          <w:p w14:paraId="7AA7DED8" w14:textId="77777777" w:rsidR="00177957" w:rsidRDefault="0097410E" w:rsidP="0097410E">
            <w:pPr>
              <w:jc w:val="both"/>
              <w:rPr>
                <w:rFonts w:ascii="Times New Roman" w:hAnsi="Times New Roman"/>
                <w:sz w:val="20"/>
                <w:szCs w:val="20"/>
              </w:rPr>
            </w:pPr>
            <w:r w:rsidRPr="000413EB">
              <w:rPr>
                <w:rFonts w:ascii="Times New Roman" w:hAnsi="Times New Roman"/>
                <w:sz w:val="20"/>
                <w:szCs w:val="20"/>
              </w:rPr>
              <w:t xml:space="preserve">Управління освіти Жмеринської міської ради, </w:t>
            </w:r>
          </w:p>
          <w:p w14:paraId="17670540" w14:textId="00F9651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заклади освіти</w:t>
            </w:r>
          </w:p>
        </w:tc>
        <w:tc>
          <w:tcPr>
            <w:tcW w:w="2900" w:type="dxa"/>
          </w:tcPr>
          <w:p w14:paraId="66411C06"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Забезпечено захист учнів та співробітників навчального закладу в</w:t>
            </w:r>
          </w:p>
          <w:p w14:paraId="6ADCFFB9" w14:textId="085A95D2"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надзвичайних ситуаціях</w:t>
            </w:r>
            <w:r w:rsidR="00A801AF">
              <w:rPr>
                <w:rFonts w:ascii="Times New Roman" w:hAnsi="Times New Roman"/>
                <w:sz w:val="20"/>
                <w:szCs w:val="20"/>
                <w:lang w:eastAsia="it-IT"/>
              </w:rPr>
              <w:t>.</w:t>
            </w:r>
          </w:p>
          <w:p w14:paraId="3B4B4B7A" w14:textId="16325349"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Збільшено кількість закладів освіти, де створено безпечний освітній простір</w:t>
            </w:r>
            <w:r w:rsidR="00A801AF">
              <w:rPr>
                <w:rFonts w:ascii="Times New Roman" w:hAnsi="Times New Roman"/>
                <w:sz w:val="20"/>
                <w:szCs w:val="20"/>
                <w:lang w:eastAsia="it-IT"/>
              </w:rPr>
              <w:t>.</w:t>
            </w:r>
          </w:p>
        </w:tc>
      </w:tr>
      <w:tr w:rsidR="0097410E" w:rsidRPr="000413EB" w14:paraId="3AE3F9C7" w14:textId="77777777" w:rsidTr="000413EB">
        <w:tc>
          <w:tcPr>
            <w:tcW w:w="567" w:type="dxa"/>
            <w:shd w:val="clear" w:color="auto" w:fill="auto"/>
          </w:tcPr>
          <w:p w14:paraId="0F422DFD" w14:textId="64B09654" w:rsidR="0097410E" w:rsidRPr="000413EB" w:rsidRDefault="003F7FB6" w:rsidP="0097410E">
            <w:pPr>
              <w:pStyle w:val="aa"/>
              <w:jc w:val="both"/>
              <w:rPr>
                <w:rFonts w:ascii="Times New Roman" w:eastAsia="Arial" w:hAnsi="Times New Roman"/>
                <w:sz w:val="20"/>
                <w:szCs w:val="20"/>
              </w:rPr>
            </w:pPr>
            <w:r>
              <w:rPr>
                <w:rFonts w:ascii="Times New Roman" w:eastAsia="Arial" w:hAnsi="Times New Roman"/>
                <w:sz w:val="20"/>
                <w:szCs w:val="20"/>
              </w:rPr>
              <w:t>7</w:t>
            </w:r>
          </w:p>
        </w:tc>
        <w:tc>
          <w:tcPr>
            <w:tcW w:w="2694" w:type="dxa"/>
          </w:tcPr>
          <w:p w14:paraId="78EAF0B0"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С.1.2. Забезпечення комфортних і безпечних умов навчання та праці</w:t>
            </w:r>
          </w:p>
          <w:p w14:paraId="68208F77" w14:textId="77777777" w:rsidR="0097410E" w:rsidRPr="000413EB" w:rsidRDefault="0097410E" w:rsidP="0097410E">
            <w:pPr>
              <w:jc w:val="both"/>
              <w:rPr>
                <w:rFonts w:ascii="Times New Roman" w:hAnsi="Times New Roman"/>
                <w:sz w:val="20"/>
                <w:szCs w:val="20"/>
              </w:rPr>
            </w:pPr>
          </w:p>
        </w:tc>
        <w:tc>
          <w:tcPr>
            <w:tcW w:w="2551" w:type="dxa"/>
          </w:tcPr>
          <w:p w14:paraId="442CA810" w14:textId="77777777" w:rsidR="0097410E" w:rsidRPr="000413EB" w:rsidRDefault="0097410E" w:rsidP="0097410E">
            <w:pPr>
              <w:pBdr>
                <w:left w:val="single" w:sz="18" w:space="4" w:color="auto"/>
              </w:pBdr>
              <w:jc w:val="both"/>
              <w:rPr>
                <w:rFonts w:ascii="Times New Roman" w:hAnsi="Times New Roman"/>
                <w:iCs/>
                <w:sz w:val="20"/>
                <w:szCs w:val="20"/>
                <w:lang w:eastAsia="it-IT"/>
              </w:rPr>
            </w:pPr>
            <w:r w:rsidRPr="000413EB">
              <w:rPr>
                <w:rFonts w:ascii="Times New Roman" w:hAnsi="Times New Roman"/>
                <w:iCs/>
                <w:sz w:val="20"/>
                <w:szCs w:val="20"/>
                <w:lang w:eastAsia="it-IT"/>
              </w:rPr>
              <w:t>С.1.1.2. Розвиток освітньої інфраструктури територіальної громади</w:t>
            </w:r>
          </w:p>
          <w:p w14:paraId="003853DE" w14:textId="77777777" w:rsidR="0097410E" w:rsidRPr="000413EB" w:rsidRDefault="0097410E" w:rsidP="0097410E">
            <w:pPr>
              <w:pBdr>
                <w:left w:val="single" w:sz="18" w:space="4" w:color="auto"/>
              </w:pBdr>
              <w:jc w:val="both"/>
              <w:rPr>
                <w:rFonts w:ascii="Times New Roman" w:hAnsi="Times New Roman"/>
                <w:iCs/>
                <w:sz w:val="20"/>
                <w:szCs w:val="20"/>
                <w:lang w:eastAsia="it-IT"/>
              </w:rPr>
            </w:pPr>
            <w:r w:rsidRPr="000413EB">
              <w:rPr>
                <w:rFonts w:ascii="Times New Roman" w:hAnsi="Times New Roman"/>
                <w:iCs/>
                <w:sz w:val="20"/>
                <w:szCs w:val="20"/>
                <w:lang w:eastAsia="it-IT"/>
              </w:rPr>
              <w:t>відповідно до вимог часу.</w:t>
            </w:r>
          </w:p>
          <w:p w14:paraId="0BF62E43" w14:textId="77777777" w:rsidR="0097410E" w:rsidRPr="000413EB" w:rsidRDefault="0097410E" w:rsidP="0097410E">
            <w:pPr>
              <w:pBdr>
                <w:left w:val="single" w:sz="18" w:space="4" w:color="auto"/>
              </w:pBdr>
              <w:jc w:val="both"/>
              <w:rPr>
                <w:rFonts w:ascii="Times New Roman" w:hAnsi="Times New Roman"/>
                <w:iCs/>
                <w:sz w:val="20"/>
                <w:szCs w:val="20"/>
                <w:lang w:eastAsia="it-IT"/>
              </w:rPr>
            </w:pPr>
            <w:r w:rsidRPr="000413EB">
              <w:rPr>
                <w:rFonts w:ascii="Times New Roman" w:hAnsi="Times New Roman"/>
                <w:iCs/>
                <w:sz w:val="20"/>
                <w:szCs w:val="20"/>
                <w:lang w:eastAsia="it-IT"/>
              </w:rPr>
              <w:t>С.1.4.5. Формування та розвиток спроможної освітньої мережі, що</w:t>
            </w:r>
          </w:p>
          <w:p w14:paraId="7E59862C" w14:textId="77777777" w:rsidR="0097410E" w:rsidRPr="000413EB" w:rsidRDefault="0097410E" w:rsidP="0097410E">
            <w:pPr>
              <w:pBdr>
                <w:left w:val="single" w:sz="18" w:space="4" w:color="auto"/>
              </w:pBdr>
              <w:jc w:val="both"/>
              <w:rPr>
                <w:rFonts w:ascii="Times New Roman" w:hAnsi="Times New Roman"/>
                <w:iCs/>
                <w:sz w:val="20"/>
                <w:szCs w:val="20"/>
                <w:lang w:eastAsia="it-IT"/>
              </w:rPr>
            </w:pPr>
            <w:r w:rsidRPr="000413EB">
              <w:rPr>
                <w:rFonts w:ascii="Times New Roman" w:hAnsi="Times New Roman"/>
                <w:iCs/>
                <w:sz w:val="20"/>
                <w:szCs w:val="20"/>
                <w:lang w:eastAsia="it-IT"/>
              </w:rPr>
              <w:t>забезпечує рівний доступ до якісної освіти на всіх її рівнях для всієї громади.</w:t>
            </w:r>
          </w:p>
          <w:p w14:paraId="4B7D394A" w14:textId="77777777" w:rsidR="0097410E" w:rsidRPr="000413EB" w:rsidRDefault="0097410E" w:rsidP="0097410E">
            <w:pPr>
              <w:pBdr>
                <w:left w:val="single" w:sz="18" w:space="4" w:color="auto"/>
              </w:pBdr>
              <w:jc w:val="both"/>
              <w:rPr>
                <w:rFonts w:ascii="Times New Roman" w:hAnsi="Times New Roman"/>
                <w:iCs/>
                <w:sz w:val="20"/>
                <w:szCs w:val="20"/>
                <w:lang w:eastAsia="it-IT"/>
              </w:rPr>
            </w:pPr>
            <w:r w:rsidRPr="000413EB">
              <w:rPr>
                <w:rFonts w:ascii="Times New Roman" w:hAnsi="Times New Roman"/>
                <w:iCs/>
                <w:sz w:val="20"/>
                <w:szCs w:val="20"/>
                <w:lang w:eastAsia="it-IT"/>
              </w:rPr>
              <w:t>С.1.3.1. Забезпечення доступу до якісних освітніх послуг в тому числі для дітей з особливими освітніми потребами.</w:t>
            </w:r>
          </w:p>
        </w:tc>
        <w:tc>
          <w:tcPr>
            <w:tcW w:w="2835" w:type="dxa"/>
          </w:tcPr>
          <w:p w14:paraId="1E0BAB6B"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«Підйомник для дітей з інвалідністю - необхідна умова для забезпечення безбар’єрного доступу до якісної освіти»</w:t>
            </w:r>
          </w:p>
        </w:tc>
        <w:tc>
          <w:tcPr>
            <w:tcW w:w="1276" w:type="dxa"/>
          </w:tcPr>
          <w:p w14:paraId="40BBF20D"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2025-2028</w:t>
            </w:r>
          </w:p>
        </w:tc>
        <w:tc>
          <w:tcPr>
            <w:tcW w:w="2345" w:type="dxa"/>
          </w:tcPr>
          <w:p w14:paraId="7F2E52D5" w14:textId="77777777" w:rsidR="00177957" w:rsidRDefault="0097410E" w:rsidP="0097410E">
            <w:pPr>
              <w:jc w:val="both"/>
              <w:rPr>
                <w:rFonts w:ascii="Times New Roman" w:hAnsi="Times New Roman"/>
                <w:sz w:val="20"/>
                <w:szCs w:val="20"/>
              </w:rPr>
            </w:pPr>
            <w:r w:rsidRPr="000413EB">
              <w:rPr>
                <w:rFonts w:ascii="Times New Roman" w:hAnsi="Times New Roman"/>
                <w:sz w:val="20"/>
                <w:szCs w:val="20"/>
              </w:rPr>
              <w:t xml:space="preserve">Управління освіти Жмеринської міської ради, </w:t>
            </w:r>
          </w:p>
          <w:p w14:paraId="0541AFD2" w14:textId="1C9E479F"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заклади освіти</w:t>
            </w:r>
          </w:p>
        </w:tc>
        <w:tc>
          <w:tcPr>
            <w:tcW w:w="2900" w:type="dxa"/>
          </w:tcPr>
          <w:p w14:paraId="4402CFA0"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Забезпечено 100% доступності приміщень КЗ «Жмеринський ліцей № 5 для дітей, що мають проблеми з опорно-руховим апаратом</w:t>
            </w:r>
          </w:p>
        </w:tc>
      </w:tr>
      <w:tr w:rsidR="0097410E" w:rsidRPr="000413EB" w14:paraId="109803B7" w14:textId="77777777" w:rsidTr="000413EB">
        <w:tc>
          <w:tcPr>
            <w:tcW w:w="567" w:type="dxa"/>
            <w:shd w:val="clear" w:color="auto" w:fill="auto"/>
          </w:tcPr>
          <w:p w14:paraId="56F21A2A" w14:textId="65841158" w:rsidR="0097410E" w:rsidRPr="000413EB" w:rsidRDefault="003F7FB6" w:rsidP="0097410E">
            <w:pPr>
              <w:pStyle w:val="aa"/>
              <w:jc w:val="both"/>
              <w:rPr>
                <w:rFonts w:ascii="Times New Roman" w:eastAsia="Arial" w:hAnsi="Times New Roman"/>
                <w:sz w:val="20"/>
                <w:szCs w:val="20"/>
              </w:rPr>
            </w:pPr>
            <w:r>
              <w:rPr>
                <w:rFonts w:ascii="Times New Roman" w:eastAsia="Arial" w:hAnsi="Times New Roman"/>
                <w:sz w:val="20"/>
                <w:szCs w:val="20"/>
              </w:rPr>
              <w:t>8</w:t>
            </w:r>
          </w:p>
        </w:tc>
        <w:tc>
          <w:tcPr>
            <w:tcW w:w="2694" w:type="dxa"/>
          </w:tcPr>
          <w:p w14:paraId="20E2930E" w14:textId="77777777" w:rsidR="0097410E" w:rsidRPr="000413EB" w:rsidRDefault="0097410E" w:rsidP="0097410E">
            <w:pPr>
              <w:widowControl w:val="0"/>
              <w:tabs>
                <w:tab w:val="left" w:pos="0"/>
                <w:tab w:val="left" w:pos="720"/>
              </w:tabs>
              <w:autoSpaceDE w:val="0"/>
              <w:autoSpaceDN w:val="0"/>
              <w:adjustRightInd w:val="0"/>
              <w:jc w:val="both"/>
              <w:rPr>
                <w:rFonts w:ascii="Times New Roman" w:hAnsi="Times New Roman"/>
                <w:sz w:val="20"/>
                <w:szCs w:val="20"/>
              </w:rPr>
            </w:pPr>
            <w:r w:rsidRPr="000413EB">
              <w:rPr>
                <w:rFonts w:ascii="Times New Roman" w:hAnsi="Times New Roman"/>
                <w:sz w:val="20"/>
                <w:szCs w:val="20"/>
              </w:rPr>
              <w:t>С.1.1. Створення  системи  конкурентоспроможної  освіти відповідно до потреб ринку праці та розвитку особистості</w:t>
            </w:r>
          </w:p>
          <w:p w14:paraId="2F3032BD" w14:textId="77777777" w:rsidR="0097410E" w:rsidRPr="000413EB" w:rsidRDefault="0097410E" w:rsidP="0097410E">
            <w:pPr>
              <w:jc w:val="both"/>
              <w:rPr>
                <w:rFonts w:ascii="Times New Roman" w:hAnsi="Times New Roman"/>
                <w:sz w:val="20"/>
                <w:szCs w:val="20"/>
              </w:rPr>
            </w:pPr>
            <w:r w:rsidRPr="000413EB">
              <w:rPr>
                <w:rFonts w:ascii="Times New Roman" w:hAnsi="Times New Roman"/>
                <w:iCs/>
                <w:sz w:val="20"/>
                <w:szCs w:val="20"/>
                <w:lang w:eastAsia="it-IT"/>
              </w:rPr>
              <w:t>С.1.2. Забезпечення комфортних і безпечних умов навчання та праці.</w:t>
            </w:r>
          </w:p>
        </w:tc>
        <w:tc>
          <w:tcPr>
            <w:tcW w:w="2551" w:type="dxa"/>
          </w:tcPr>
          <w:p w14:paraId="67174E68" w14:textId="77777777" w:rsidR="0097410E" w:rsidRPr="000413EB" w:rsidRDefault="0097410E" w:rsidP="0097410E">
            <w:pPr>
              <w:pBdr>
                <w:left w:val="single" w:sz="18" w:space="4" w:color="auto"/>
              </w:pBdr>
              <w:jc w:val="both"/>
              <w:rPr>
                <w:rFonts w:ascii="Times New Roman" w:hAnsi="Times New Roman"/>
                <w:iCs/>
                <w:sz w:val="20"/>
                <w:szCs w:val="20"/>
                <w:lang w:eastAsia="it-IT"/>
              </w:rPr>
            </w:pPr>
            <w:r w:rsidRPr="000413EB">
              <w:rPr>
                <w:rFonts w:ascii="Times New Roman" w:hAnsi="Times New Roman"/>
                <w:iCs/>
                <w:sz w:val="20"/>
                <w:szCs w:val="20"/>
                <w:lang w:eastAsia="it-IT"/>
              </w:rPr>
              <w:t>С.1.1.2. Розвиток освітньої інфраструктури територіальної громади</w:t>
            </w:r>
          </w:p>
          <w:p w14:paraId="0427CC25" w14:textId="77777777" w:rsidR="0097410E" w:rsidRPr="000413EB" w:rsidRDefault="0097410E" w:rsidP="0097410E">
            <w:pPr>
              <w:pBdr>
                <w:left w:val="single" w:sz="18" w:space="4" w:color="auto"/>
              </w:pBdr>
              <w:jc w:val="both"/>
              <w:rPr>
                <w:rFonts w:ascii="Times New Roman" w:hAnsi="Times New Roman"/>
                <w:iCs/>
                <w:sz w:val="20"/>
                <w:szCs w:val="20"/>
                <w:lang w:eastAsia="it-IT"/>
              </w:rPr>
            </w:pPr>
            <w:r w:rsidRPr="000413EB">
              <w:rPr>
                <w:rFonts w:ascii="Times New Roman" w:hAnsi="Times New Roman"/>
                <w:iCs/>
                <w:sz w:val="20"/>
                <w:szCs w:val="20"/>
                <w:lang w:eastAsia="it-IT"/>
              </w:rPr>
              <w:t>відповідно до вимог часу.</w:t>
            </w:r>
          </w:p>
          <w:p w14:paraId="05CF4B30" w14:textId="77777777" w:rsidR="0097410E" w:rsidRPr="000413EB" w:rsidRDefault="0097410E" w:rsidP="0097410E">
            <w:pPr>
              <w:pBdr>
                <w:left w:val="single" w:sz="18" w:space="4" w:color="auto"/>
              </w:pBdr>
              <w:jc w:val="both"/>
              <w:rPr>
                <w:rFonts w:ascii="Times New Roman" w:hAnsi="Times New Roman"/>
                <w:iCs/>
                <w:sz w:val="20"/>
                <w:szCs w:val="20"/>
                <w:lang w:eastAsia="it-IT"/>
              </w:rPr>
            </w:pPr>
            <w:r w:rsidRPr="000413EB">
              <w:rPr>
                <w:rFonts w:ascii="Times New Roman" w:hAnsi="Times New Roman"/>
                <w:iCs/>
                <w:sz w:val="20"/>
                <w:szCs w:val="20"/>
                <w:lang w:eastAsia="it-IT"/>
              </w:rPr>
              <w:t>С.1.1.6. Підвищення орієнтації галузі освіти на потреби ринку праці.</w:t>
            </w:r>
          </w:p>
          <w:p w14:paraId="7C841633" w14:textId="77777777" w:rsidR="0097410E" w:rsidRPr="000413EB" w:rsidRDefault="0097410E" w:rsidP="0097410E">
            <w:pPr>
              <w:pBdr>
                <w:left w:val="single" w:sz="18" w:space="4" w:color="auto"/>
              </w:pBdr>
              <w:jc w:val="both"/>
              <w:rPr>
                <w:rFonts w:ascii="Times New Roman" w:hAnsi="Times New Roman"/>
                <w:iCs/>
                <w:sz w:val="20"/>
                <w:szCs w:val="20"/>
                <w:lang w:eastAsia="it-IT"/>
              </w:rPr>
            </w:pPr>
          </w:p>
        </w:tc>
        <w:tc>
          <w:tcPr>
            <w:tcW w:w="2835" w:type="dxa"/>
          </w:tcPr>
          <w:p w14:paraId="72549158"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«Капітальний ремонт прибудинкової території КЗ «Жмеринський</w:t>
            </w:r>
          </w:p>
          <w:p w14:paraId="3158CFAF"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ліцей №2» з облаштуванням багатофункціонального спортивного</w:t>
            </w:r>
          </w:p>
          <w:p w14:paraId="37244A03"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майданчика»</w:t>
            </w:r>
          </w:p>
        </w:tc>
        <w:tc>
          <w:tcPr>
            <w:tcW w:w="1276" w:type="dxa"/>
          </w:tcPr>
          <w:p w14:paraId="06381BFA"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2025-2028</w:t>
            </w:r>
          </w:p>
        </w:tc>
        <w:tc>
          <w:tcPr>
            <w:tcW w:w="2345" w:type="dxa"/>
          </w:tcPr>
          <w:p w14:paraId="415F8905" w14:textId="77777777" w:rsidR="00177957" w:rsidRDefault="0097410E" w:rsidP="0097410E">
            <w:pPr>
              <w:jc w:val="both"/>
              <w:rPr>
                <w:rFonts w:ascii="Times New Roman" w:hAnsi="Times New Roman"/>
                <w:sz w:val="20"/>
                <w:szCs w:val="20"/>
              </w:rPr>
            </w:pPr>
            <w:r w:rsidRPr="000413EB">
              <w:rPr>
                <w:rFonts w:ascii="Times New Roman" w:hAnsi="Times New Roman"/>
                <w:sz w:val="20"/>
                <w:szCs w:val="20"/>
              </w:rPr>
              <w:t xml:space="preserve">Управління ЖКГ Жмеринської міської ради, </w:t>
            </w:r>
          </w:p>
          <w:p w14:paraId="31CF86E2" w14:textId="77777777" w:rsidR="00177957" w:rsidRDefault="0097410E" w:rsidP="0097410E">
            <w:pPr>
              <w:jc w:val="both"/>
              <w:rPr>
                <w:rFonts w:ascii="Times New Roman" w:hAnsi="Times New Roman"/>
                <w:sz w:val="20"/>
                <w:szCs w:val="20"/>
              </w:rPr>
            </w:pPr>
            <w:r w:rsidRPr="000413EB">
              <w:rPr>
                <w:rFonts w:ascii="Times New Roman" w:hAnsi="Times New Roman"/>
                <w:sz w:val="20"/>
                <w:szCs w:val="20"/>
              </w:rPr>
              <w:t xml:space="preserve">Управління освіти Жмеринської міської ради, </w:t>
            </w:r>
          </w:p>
          <w:p w14:paraId="3195F2DA" w14:textId="68F24860"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заклади освіти</w:t>
            </w:r>
          </w:p>
        </w:tc>
        <w:tc>
          <w:tcPr>
            <w:tcW w:w="2900" w:type="dxa"/>
          </w:tcPr>
          <w:p w14:paraId="60927567" w14:textId="51A4A124"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Для 787 учнів, 70 працівників закладу та батьків учнів буде облаштовано сучасне безпечне шкільне подвір’я із урахуванням</w:t>
            </w:r>
          </w:p>
          <w:p w14:paraId="6DAED2F2"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принципів універсального дизайну.</w:t>
            </w:r>
          </w:p>
          <w:p w14:paraId="66DF88A5" w14:textId="33C6CC7A"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Створено загальнодоступний</w:t>
            </w:r>
          </w:p>
          <w:p w14:paraId="288A102A"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багатофункціональний спортивний простір – спортивний майданчик:</w:t>
            </w:r>
          </w:p>
          <w:p w14:paraId="539AD627"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(416 м 2 ) для занять з волейболу та баскетболу, майданчик (90 м 2 ) з</w:t>
            </w:r>
          </w:p>
          <w:p w14:paraId="7616672A"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5-ма вуличними тренажерами, а також облаштувати якісне та</w:t>
            </w:r>
          </w:p>
          <w:p w14:paraId="54809DA8"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безпечне для учасників освітнього процесу шкільне подвір’я  (1575,2м 2 ).</w:t>
            </w:r>
          </w:p>
          <w:p w14:paraId="652D2958" w14:textId="6C9F3B76"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Підвищено фізичну активність 787 здобувачів освіти, збільшено результативність участі команд у змаганнях з «Пліч-о-пліч Всеукраїнські шкільні ігри».</w:t>
            </w:r>
          </w:p>
        </w:tc>
      </w:tr>
      <w:tr w:rsidR="0097410E" w:rsidRPr="000413EB" w14:paraId="15166692" w14:textId="77777777" w:rsidTr="000413EB">
        <w:tc>
          <w:tcPr>
            <w:tcW w:w="567" w:type="dxa"/>
            <w:shd w:val="clear" w:color="auto" w:fill="auto"/>
          </w:tcPr>
          <w:p w14:paraId="32D348CA" w14:textId="169A4E57" w:rsidR="0097410E" w:rsidRPr="000413EB" w:rsidRDefault="003F7FB6" w:rsidP="0097410E">
            <w:pPr>
              <w:pStyle w:val="aa"/>
              <w:jc w:val="both"/>
              <w:rPr>
                <w:rFonts w:ascii="Times New Roman" w:eastAsia="Arial" w:hAnsi="Times New Roman"/>
                <w:sz w:val="20"/>
                <w:szCs w:val="20"/>
              </w:rPr>
            </w:pPr>
            <w:r>
              <w:rPr>
                <w:rFonts w:ascii="Times New Roman" w:eastAsia="Arial" w:hAnsi="Times New Roman"/>
                <w:sz w:val="20"/>
                <w:szCs w:val="20"/>
              </w:rPr>
              <w:t>9</w:t>
            </w:r>
          </w:p>
        </w:tc>
        <w:tc>
          <w:tcPr>
            <w:tcW w:w="2694" w:type="dxa"/>
          </w:tcPr>
          <w:p w14:paraId="6E9C47E5" w14:textId="77777777" w:rsidR="0097410E" w:rsidRPr="000413EB" w:rsidRDefault="0097410E" w:rsidP="0097410E">
            <w:pPr>
              <w:widowControl w:val="0"/>
              <w:tabs>
                <w:tab w:val="left" w:pos="0"/>
                <w:tab w:val="left" w:pos="720"/>
              </w:tabs>
              <w:autoSpaceDE w:val="0"/>
              <w:autoSpaceDN w:val="0"/>
              <w:adjustRightInd w:val="0"/>
              <w:jc w:val="both"/>
              <w:rPr>
                <w:rFonts w:ascii="Times New Roman" w:hAnsi="Times New Roman"/>
                <w:sz w:val="20"/>
                <w:szCs w:val="20"/>
              </w:rPr>
            </w:pPr>
            <w:r w:rsidRPr="000413EB">
              <w:rPr>
                <w:rFonts w:ascii="Times New Roman" w:hAnsi="Times New Roman"/>
                <w:sz w:val="20"/>
                <w:szCs w:val="20"/>
              </w:rPr>
              <w:t>С.1.1. Створення  системи  конкурентоспроможної  освіти відповідно до потреб ринку праці та розвитку особистості</w:t>
            </w:r>
          </w:p>
          <w:p w14:paraId="7C7F0636"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С.1.2. Забезпечення комфортних і безпечних умов навчання та праці</w:t>
            </w:r>
          </w:p>
          <w:p w14:paraId="301E46B8" w14:textId="77777777" w:rsidR="0097410E" w:rsidRPr="000413EB" w:rsidRDefault="0097410E" w:rsidP="0097410E">
            <w:pPr>
              <w:autoSpaceDE w:val="0"/>
              <w:autoSpaceDN w:val="0"/>
              <w:adjustRightInd w:val="0"/>
              <w:jc w:val="both"/>
              <w:rPr>
                <w:rFonts w:ascii="Times New Roman" w:hAnsi="Times New Roman"/>
                <w:sz w:val="20"/>
                <w:szCs w:val="20"/>
              </w:rPr>
            </w:pPr>
            <w:r w:rsidRPr="000413EB">
              <w:rPr>
                <w:rFonts w:ascii="Times New Roman" w:hAnsi="Times New Roman"/>
                <w:sz w:val="20"/>
                <w:szCs w:val="20"/>
              </w:rPr>
              <w:t>С.1.3 Забезпечення якості освіти та освітньої діяльності</w:t>
            </w:r>
          </w:p>
          <w:p w14:paraId="148BD97D" w14:textId="77777777" w:rsidR="0097410E" w:rsidRPr="000413EB" w:rsidRDefault="0097410E" w:rsidP="0097410E">
            <w:pPr>
              <w:jc w:val="both"/>
              <w:rPr>
                <w:rFonts w:ascii="Times New Roman" w:hAnsi="Times New Roman"/>
                <w:sz w:val="20"/>
                <w:szCs w:val="20"/>
              </w:rPr>
            </w:pPr>
          </w:p>
        </w:tc>
        <w:tc>
          <w:tcPr>
            <w:tcW w:w="2551" w:type="dxa"/>
          </w:tcPr>
          <w:p w14:paraId="54233F50" w14:textId="77777777" w:rsidR="0097410E" w:rsidRPr="000413EB" w:rsidRDefault="0097410E" w:rsidP="0097410E">
            <w:pPr>
              <w:pBdr>
                <w:left w:val="single" w:sz="18" w:space="4" w:color="auto"/>
              </w:pBdr>
              <w:jc w:val="both"/>
              <w:rPr>
                <w:rFonts w:ascii="Times New Roman" w:hAnsi="Times New Roman"/>
                <w:iCs/>
                <w:sz w:val="20"/>
                <w:szCs w:val="20"/>
                <w:lang w:eastAsia="it-IT"/>
              </w:rPr>
            </w:pPr>
            <w:r w:rsidRPr="000413EB">
              <w:rPr>
                <w:rFonts w:ascii="Times New Roman" w:hAnsi="Times New Roman"/>
                <w:iCs/>
                <w:sz w:val="20"/>
                <w:szCs w:val="20"/>
                <w:lang w:eastAsia="it-IT"/>
              </w:rPr>
              <w:t>С.1.1.2. Розвиток освітньої інфраструктури територіальної громади до вимог часу</w:t>
            </w:r>
          </w:p>
          <w:p w14:paraId="6740D506" w14:textId="77777777" w:rsidR="0097410E" w:rsidRPr="000413EB" w:rsidRDefault="0097410E" w:rsidP="0097410E">
            <w:pPr>
              <w:pBdr>
                <w:left w:val="single" w:sz="18" w:space="4" w:color="auto"/>
              </w:pBdr>
              <w:jc w:val="both"/>
              <w:rPr>
                <w:rFonts w:ascii="Times New Roman" w:hAnsi="Times New Roman"/>
                <w:iCs/>
                <w:sz w:val="20"/>
                <w:szCs w:val="20"/>
                <w:lang w:eastAsia="it-IT"/>
              </w:rPr>
            </w:pPr>
            <w:r w:rsidRPr="000413EB">
              <w:rPr>
                <w:rFonts w:ascii="Times New Roman" w:hAnsi="Times New Roman"/>
                <w:iCs/>
                <w:sz w:val="20"/>
                <w:szCs w:val="20"/>
                <w:lang w:eastAsia="it-IT"/>
              </w:rPr>
              <w:t>С.1.2.4. Підвищення рівня санітарної безпеки закладів освіти</w:t>
            </w:r>
          </w:p>
          <w:p w14:paraId="3D3935C6" w14:textId="77777777" w:rsidR="0097410E" w:rsidRPr="000413EB" w:rsidRDefault="0097410E" w:rsidP="0097410E">
            <w:pPr>
              <w:pBdr>
                <w:left w:val="single" w:sz="18" w:space="4" w:color="auto"/>
              </w:pBdr>
              <w:jc w:val="both"/>
              <w:rPr>
                <w:rFonts w:ascii="Times New Roman" w:hAnsi="Times New Roman"/>
                <w:iCs/>
                <w:sz w:val="20"/>
                <w:szCs w:val="20"/>
                <w:lang w:eastAsia="it-IT"/>
              </w:rPr>
            </w:pPr>
            <w:r w:rsidRPr="000413EB">
              <w:rPr>
                <w:rFonts w:ascii="Times New Roman" w:hAnsi="Times New Roman"/>
                <w:iCs/>
                <w:sz w:val="20"/>
                <w:szCs w:val="20"/>
                <w:lang w:eastAsia="it-IT"/>
              </w:rPr>
              <w:t>С.1.2.6. Удосконалення екологічної політики та підвищення рівня екологічної безпеки закладів освіти діяльності</w:t>
            </w:r>
          </w:p>
        </w:tc>
        <w:tc>
          <w:tcPr>
            <w:tcW w:w="2835" w:type="dxa"/>
          </w:tcPr>
          <w:p w14:paraId="56D0CAAA"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Подвір’я закладу освіти – безпечний та мотивуючий освітній простір</w:t>
            </w:r>
          </w:p>
        </w:tc>
        <w:tc>
          <w:tcPr>
            <w:tcW w:w="1276" w:type="dxa"/>
          </w:tcPr>
          <w:p w14:paraId="22FBBE84"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2025-2028</w:t>
            </w:r>
          </w:p>
        </w:tc>
        <w:tc>
          <w:tcPr>
            <w:tcW w:w="2345" w:type="dxa"/>
          </w:tcPr>
          <w:p w14:paraId="07FA1BA1" w14:textId="77777777" w:rsidR="00177957" w:rsidRDefault="0097410E" w:rsidP="0097410E">
            <w:pPr>
              <w:jc w:val="both"/>
              <w:rPr>
                <w:rFonts w:ascii="Times New Roman" w:hAnsi="Times New Roman"/>
                <w:sz w:val="20"/>
                <w:szCs w:val="20"/>
              </w:rPr>
            </w:pPr>
            <w:r w:rsidRPr="000413EB">
              <w:rPr>
                <w:rFonts w:ascii="Times New Roman" w:hAnsi="Times New Roman"/>
                <w:sz w:val="20"/>
                <w:szCs w:val="20"/>
              </w:rPr>
              <w:t xml:space="preserve">Управління ЖКГ Жмеринської міської ради, </w:t>
            </w:r>
          </w:p>
          <w:p w14:paraId="3112E44B" w14:textId="77777777" w:rsidR="00177957" w:rsidRDefault="0097410E" w:rsidP="0097410E">
            <w:pPr>
              <w:jc w:val="both"/>
              <w:rPr>
                <w:rFonts w:ascii="Times New Roman" w:hAnsi="Times New Roman"/>
                <w:sz w:val="20"/>
                <w:szCs w:val="20"/>
              </w:rPr>
            </w:pPr>
            <w:r w:rsidRPr="000413EB">
              <w:rPr>
                <w:rFonts w:ascii="Times New Roman" w:hAnsi="Times New Roman"/>
                <w:sz w:val="20"/>
                <w:szCs w:val="20"/>
              </w:rPr>
              <w:t>Управління освіти Жмеринської міської ради,</w:t>
            </w:r>
          </w:p>
          <w:p w14:paraId="2EC890DE" w14:textId="2D2CF72A"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 xml:space="preserve"> заклади освіти</w:t>
            </w:r>
          </w:p>
        </w:tc>
        <w:tc>
          <w:tcPr>
            <w:tcW w:w="2900" w:type="dxa"/>
          </w:tcPr>
          <w:p w14:paraId="5F6A4FFD"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Покриття подвір’я закладу освіти замінено та відповідає сучасним вимогам безпеки та розумного пристосування.</w:t>
            </w:r>
          </w:p>
          <w:p w14:paraId="0C8B97B9" w14:textId="29609253"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На подвір’ї облаштовано зони для проведення навчальних занять, загальношкільних заходів</w:t>
            </w:r>
            <w:r w:rsidR="00A801AF">
              <w:rPr>
                <w:rFonts w:ascii="Times New Roman" w:hAnsi="Times New Roman"/>
                <w:sz w:val="20"/>
                <w:szCs w:val="20"/>
                <w:lang w:eastAsia="it-IT"/>
              </w:rPr>
              <w:t>.</w:t>
            </w:r>
          </w:p>
          <w:p w14:paraId="62483C84" w14:textId="78DA3DCF"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Збільшено кількість учнів, які активно відпочивають на перервах на подвір’ї школи</w:t>
            </w:r>
            <w:r w:rsidR="00A801AF">
              <w:rPr>
                <w:rFonts w:ascii="Times New Roman" w:hAnsi="Times New Roman"/>
                <w:sz w:val="20"/>
                <w:szCs w:val="20"/>
                <w:lang w:eastAsia="it-IT"/>
              </w:rPr>
              <w:t>.</w:t>
            </w:r>
          </w:p>
          <w:p w14:paraId="08468985" w14:textId="67822F39"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lang w:eastAsia="it-IT"/>
              </w:rPr>
              <w:t>Подвір’я школи використовується для проведення уроків фізичної культури (модулі «Петанк», «Фрізбі» тощо)</w:t>
            </w:r>
            <w:r w:rsidR="00A801AF">
              <w:rPr>
                <w:rFonts w:ascii="Times New Roman" w:hAnsi="Times New Roman"/>
                <w:sz w:val="20"/>
                <w:szCs w:val="20"/>
                <w:lang w:eastAsia="it-IT"/>
              </w:rPr>
              <w:t>.</w:t>
            </w:r>
          </w:p>
        </w:tc>
      </w:tr>
      <w:tr w:rsidR="0097410E" w:rsidRPr="000413EB" w14:paraId="2E772DC0" w14:textId="77777777" w:rsidTr="000413EB">
        <w:tc>
          <w:tcPr>
            <w:tcW w:w="567" w:type="dxa"/>
            <w:shd w:val="clear" w:color="auto" w:fill="auto"/>
          </w:tcPr>
          <w:p w14:paraId="1769ABCF" w14:textId="38BC0C43" w:rsidR="0097410E" w:rsidRPr="000413EB" w:rsidRDefault="003F7FB6" w:rsidP="0097410E">
            <w:pPr>
              <w:pStyle w:val="aa"/>
              <w:jc w:val="both"/>
              <w:rPr>
                <w:rFonts w:ascii="Times New Roman" w:eastAsia="Arial" w:hAnsi="Times New Roman"/>
                <w:sz w:val="20"/>
                <w:szCs w:val="20"/>
              </w:rPr>
            </w:pPr>
            <w:r>
              <w:rPr>
                <w:rFonts w:ascii="Times New Roman" w:eastAsia="Arial" w:hAnsi="Times New Roman"/>
                <w:sz w:val="20"/>
                <w:szCs w:val="20"/>
              </w:rPr>
              <w:t>10</w:t>
            </w:r>
          </w:p>
        </w:tc>
        <w:tc>
          <w:tcPr>
            <w:tcW w:w="2694" w:type="dxa"/>
          </w:tcPr>
          <w:p w14:paraId="4BF0E397"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С.1.2. Забезпечення комфортних і безпечних умов навчання та праці</w:t>
            </w:r>
          </w:p>
          <w:p w14:paraId="7357E4F4" w14:textId="77777777" w:rsidR="0097410E" w:rsidRPr="000413EB" w:rsidRDefault="0097410E" w:rsidP="0097410E">
            <w:pPr>
              <w:jc w:val="both"/>
              <w:rPr>
                <w:rFonts w:ascii="Times New Roman" w:hAnsi="Times New Roman"/>
                <w:sz w:val="20"/>
                <w:szCs w:val="20"/>
              </w:rPr>
            </w:pPr>
          </w:p>
          <w:p w14:paraId="0DF76153" w14:textId="77777777" w:rsidR="0097410E" w:rsidRPr="000413EB" w:rsidRDefault="0097410E" w:rsidP="0097410E">
            <w:pPr>
              <w:autoSpaceDE w:val="0"/>
              <w:autoSpaceDN w:val="0"/>
              <w:adjustRightInd w:val="0"/>
              <w:jc w:val="both"/>
              <w:rPr>
                <w:rFonts w:ascii="Times New Roman" w:hAnsi="Times New Roman"/>
                <w:sz w:val="20"/>
                <w:szCs w:val="20"/>
              </w:rPr>
            </w:pPr>
            <w:r w:rsidRPr="000413EB">
              <w:rPr>
                <w:rFonts w:ascii="Times New Roman" w:hAnsi="Times New Roman"/>
                <w:sz w:val="20"/>
                <w:szCs w:val="20"/>
              </w:rPr>
              <w:t>С.1.3 Забезпечення якості освіти та освітньої діяльності</w:t>
            </w:r>
          </w:p>
          <w:p w14:paraId="665D6A38" w14:textId="77777777" w:rsidR="0097410E" w:rsidRPr="000413EB" w:rsidRDefault="0097410E" w:rsidP="0097410E">
            <w:pPr>
              <w:jc w:val="both"/>
              <w:rPr>
                <w:rFonts w:ascii="Times New Roman" w:hAnsi="Times New Roman"/>
                <w:sz w:val="20"/>
                <w:szCs w:val="20"/>
              </w:rPr>
            </w:pPr>
          </w:p>
        </w:tc>
        <w:tc>
          <w:tcPr>
            <w:tcW w:w="2551" w:type="dxa"/>
          </w:tcPr>
          <w:p w14:paraId="28C0C19C"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С.1.1.2. Розвиток освітньої інфраструктури територіальної громади відповідно до вимог часу.</w:t>
            </w:r>
          </w:p>
          <w:p w14:paraId="05D03A4B"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С.1.4.5. Формування та розвиток спроможної освітньої мережі, що забезпечує рівний доступ до якісної освіти на всіх її рівнях для всієї громади</w:t>
            </w:r>
            <w:r w:rsidRPr="000413EB">
              <w:rPr>
                <w:rFonts w:ascii="Times New Roman" w:hAnsi="Times New Roman"/>
                <w:i/>
                <w:sz w:val="20"/>
                <w:szCs w:val="20"/>
              </w:rPr>
              <w:t>.</w:t>
            </w:r>
          </w:p>
          <w:p w14:paraId="205900B3" w14:textId="77777777" w:rsidR="0097410E" w:rsidRPr="000413EB" w:rsidRDefault="0097410E" w:rsidP="0097410E">
            <w:pPr>
              <w:pBdr>
                <w:left w:val="single" w:sz="18" w:space="4" w:color="auto"/>
              </w:pBdr>
              <w:jc w:val="both"/>
              <w:rPr>
                <w:rFonts w:ascii="Times New Roman" w:hAnsi="Times New Roman"/>
                <w:sz w:val="20"/>
                <w:szCs w:val="20"/>
                <w:lang w:eastAsia="it-IT"/>
              </w:rPr>
            </w:pPr>
            <w:r w:rsidRPr="000413EB">
              <w:rPr>
                <w:rFonts w:ascii="Times New Roman" w:hAnsi="Times New Roman"/>
                <w:sz w:val="20"/>
                <w:szCs w:val="20"/>
              </w:rPr>
              <w:t>С.1.3.1. Забезпечення доступу до якісних освітніх послуг в тому числі для дітей з особливими освітніми потребами.</w:t>
            </w:r>
          </w:p>
        </w:tc>
        <w:tc>
          <w:tcPr>
            <w:tcW w:w="2835" w:type="dxa"/>
          </w:tcPr>
          <w:p w14:paraId="117CA860"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Освіта без бар’єрів</w:t>
            </w:r>
          </w:p>
        </w:tc>
        <w:tc>
          <w:tcPr>
            <w:tcW w:w="1276" w:type="dxa"/>
          </w:tcPr>
          <w:p w14:paraId="76541A14"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2025-2028</w:t>
            </w:r>
          </w:p>
        </w:tc>
        <w:tc>
          <w:tcPr>
            <w:tcW w:w="2345" w:type="dxa"/>
          </w:tcPr>
          <w:p w14:paraId="5E7D0575" w14:textId="77777777" w:rsidR="00177957" w:rsidRDefault="0097410E" w:rsidP="0097410E">
            <w:pPr>
              <w:jc w:val="both"/>
              <w:rPr>
                <w:rFonts w:ascii="Times New Roman" w:hAnsi="Times New Roman"/>
                <w:sz w:val="20"/>
                <w:szCs w:val="20"/>
              </w:rPr>
            </w:pPr>
            <w:r w:rsidRPr="000413EB">
              <w:rPr>
                <w:rFonts w:ascii="Times New Roman" w:hAnsi="Times New Roman"/>
                <w:sz w:val="20"/>
                <w:szCs w:val="20"/>
              </w:rPr>
              <w:t>Управління освіти Жмеринської міської ради,</w:t>
            </w:r>
          </w:p>
          <w:p w14:paraId="13795BBE" w14:textId="66EAF319"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 xml:space="preserve"> заклади освіти</w:t>
            </w:r>
          </w:p>
        </w:tc>
        <w:tc>
          <w:tcPr>
            <w:tcW w:w="2900" w:type="dxa"/>
          </w:tcPr>
          <w:p w14:paraId="31C13FD9" w14:textId="77777777" w:rsidR="0097410E" w:rsidRPr="000413EB" w:rsidRDefault="0097410E" w:rsidP="0097410E">
            <w:pPr>
              <w:shd w:val="clear" w:color="auto" w:fill="FFFFFF"/>
              <w:jc w:val="both"/>
              <w:textAlignment w:val="baseline"/>
              <w:rPr>
                <w:rFonts w:ascii="Times New Roman" w:hAnsi="Times New Roman"/>
                <w:sz w:val="20"/>
                <w:szCs w:val="20"/>
                <w:lang w:eastAsia="uk-UA"/>
              </w:rPr>
            </w:pPr>
            <w:r w:rsidRPr="000413EB">
              <w:rPr>
                <w:rFonts w:ascii="Times New Roman" w:hAnsi="Times New Roman"/>
                <w:sz w:val="20"/>
                <w:szCs w:val="20"/>
              </w:rPr>
              <w:t>100</w:t>
            </w:r>
            <w:r w:rsidRPr="000413EB">
              <w:rPr>
                <w:rFonts w:ascii="Times New Roman" w:hAnsi="Times New Roman"/>
                <w:sz w:val="20"/>
                <w:szCs w:val="20"/>
                <w:lang w:eastAsia="uk-UA"/>
              </w:rPr>
              <w:t xml:space="preserve"> % закладів освіти обладнано пандусами, поручнями на вході в будівлі та спеціальними туалетними кімнатами.</w:t>
            </w:r>
          </w:p>
          <w:p w14:paraId="5DBB27AB" w14:textId="77777777" w:rsidR="0097410E" w:rsidRPr="000413EB" w:rsidRDefault="0097410E" w:rsidP="0097410E">
            <w:pPr>
              <w:shd w:val="clear" w:color="auto" w:fill="FFFFFF"/>
              <w:jc w:val="both"/>
              <w:textAlignment w:val="baseline"/>
              <w:rPr>
                <w:rFonts w:ascii="Times New Roman" w:hAnsi="Times New Roman"/>
                <w:sz w:val="20"/>
                <w:szCs w:val="20"/>
                <w:lang w:eastAsia="uk-UA"/>
              </w:rPr>
            </w:pPr>
            <w:r w:rsidRPr="000413EB">
              <w:rPr>
                <w:rFonts w:ascii="Times New Roman" w:hAnsi="Times New Roman"/>
                <w:sz w:val="20"/>
                <w:szCs w:val="20"/>
                <w:lang w:eastAsia="uk-UA"/>
              </w:rPr>
              <w:t>Створено спеціальні класи/групи в 4 закладах освіти.</w:t>
            </w:r>
          </w:p>
          <w:p w14:paraId="6FEDC208" w14:textId="77777777" w:rsidR="0097410E" w:rsidRPr="000413EB" w:rsidRDefault="0097410E" w:rsidP="0097410E">
            <w:pPr>
              <w:shd w:val="clear" w:color="auto" w:fill="FFFFFF"/>
              <w:jc w:val="both"/>
              <w:textAlignment w:val="baseline"/>
              <w:rPr>
                <w:rFonts w:ascii="Times New Roman" w:hAnsi="Times New Roman"/>
                <w:sz w:val="20"/>
                <w:szCs w:val="20"/>
                <w:lang w:eastAsia="uk-UA"/>
              </w:rPr>
            </w:pPr>
            <w:r w:rsidRPr="000413EB">
              <w:rPr>
                <w:rFonts w:ascii="Times New Roman" w:hAnsi="Times New Roman"/>
                <w:sz w:val="20"/>
                <w:szCs w:val="20"/>
                <w:lang w:eastAsia="uk-UA"/>
              </w:rPr>
              <w:t>Збільшено кількість безбар’єрних об’єктів фонду захисних споруд,</w:t>
            </w:r>
          </w:p>
          <w:p w14:paraId="0F3990DD" w14:textId="77777777" w:rsidR="0097410E" w:rsidRPr="000413EB" w:rsidRDefault="0097410E" w:rsidP="0097410E">
            <w:pPr>
              <w:shd w:val="clear" w:color="auto" w:fill="FFFFFF"/>
              <w:jc w:val="both"/>
              <w:textAlignment w:val="baseline"/>
              <w:rPr>
                <w:rFonts w:ascii="Times New Roman" w:hAnsi="Times New Roman"/>
                <w:sz w:val="20"/>
                <w:szCs w:val="20"/>
                <w:lang w:eastAsia="uk-UA"/>
              </w:rPr>
            </w:pPr>
            <w:r w:rsidRPr="000413EB">
              <w:rPr>
                <w:rFonts w:ascii="Times New Roman" w:hAnsi="Times New Roman"/>
                <w:sz w:val="20"/>
                <w:szCs w:val="20"/>
                <w:lang w:eastAsia="uk-UA"/>
              </w:rPr>
              <w:t>Придбано 3 шкільних автобуса, обладнаних місцями для осіб з ООП.</w:t>
            </w:r>
          </w:p>
        </w:tc>
      </w:tr>
      <w:tr w:rsidR="0097410E" w:rsidRPr="000413EB" w14:paraId="716EBDAB" w14:textId="77777777" w:rsidTr="000413EB">
        <w:tc>
          <w:tcPr>
            <w:tcW w:w="567" w:type="dxa"/>
            <w:shd w:val="clear" w:color="auto" w:fill="auto"/>
          </w:tcPr>
          <w:p w14:paraId="2D22F2D2" w14:textId="212F4A12" w:rsidR="0097410E" w:rsidRPr="000413EB" w:rsidRDefault="003F7FB6" w:rsidP="0097410E">
            <w:pPr>
              <w:pStyle w:val="aa"/>
              <w:jc w:val="both"/>
              <w:rPr>
                <w:rFonts w:ascii="Times New Roman" w:eastAsia="Arial" w:hAnsi="Times New Roman"/>
                <w:sz w:val="20"/>
                <w:szCs w:val="20"/>
              </w:rPr>
            </w:pPr>
            <w:r>
              <w:rPr>
                <w:rFonts w:ascii="Times New Roman" w:eastAsia="Arial" w:hAnsi="Times New Roman"/>
                <w:sz w:val="20"/>
                <w:szCs w:val="20"/>
              </w:rPr>
              <w:t>11</w:t>
            </w:r>
          </w:p>
        </w:tc>
        <w:tc>
          <w:tcPr>
            <w:tcW w:w="2694" w:type="dxa"/>
          </w:tcPr>
          <w:p w14:paraId="30CA347D"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С.1.2. Забезпечення комфортних і безпечних умов навчання та праці</w:t>
            </w:r>
          </w:p>
        </w:tc>
        <w:tc>
          <w:tcPr>
            <w:tcW w:w="2551" w:type="dxa"/>
          </w:tcPr>
          <w:p w14:paraId="584C5CDA" w14:textId="77777777" w:rsidR="0097410E" w:rsidRPr="000413EB" w:rsidRDefault="0097410E" w:rsidP="0097410E">
            <w:pPr>
              <w:pBdr>
                <w:left w:val="single" w:sz="18" w:space="4" w:color="auto"/>
              </w:pBdr>
              <w:jc w:val="both"/>
              <w:rPr>
                <w:rFonts w:ascii="Times New Roman" w:hAnsi="Times New Roman"/>
                <w:sz w:val="20"/>
                <w:szCs w:val="20"/>
              </w:rPr>
            </w:pPr>
            <w:r w:rsidRPr="000413EB">
              <w:rPr>
                <w:rFonts w:ascii="Times New Roman" w:hAnsi="Times New Roman"/>
                <w:sz w:val="20"/>
                <w:szCs w:val="20"/>
              </w:rPr>
              <w:t>С.1.1.2. Розвиток освітньої інфраструктури територіальної громади відповідно до вимог час</w:t>
            </w:r>
          </w:p>
          <w:p w14:paraId="0492EEF1" w14:textId="77777777" w:rsidR="0097410E" w:rsidRPr="000413EB" w:rsidRDefault="0097410E" w:rsidP="0097410E">
            <w:pPr>
              <w:pBdr>
                <w:left w:val="single" w:sz="18" w:space="4" w:color="auto"/>
              </w:pBdr>
              <w:jc w:val="both"/>
              <w:rPr>
                <w:rFonts w:ascii="Times New Roman" w:hAnsi="Times New Roman"/>
                <w:sz w:val="20"/>
                <w:szCs w:val="20"/>
              </w:rPr>
            </w:pPr>
            <w:r w:rsidRPr="000413EB">
              <w:rPr>
                <w:rFonts w:ascii="Times New Roman" w:hAnsi="Times New Roman"/>
                <w:sz w:val="20"/>
                <w:szCs w:val="20"/>
              </w:rPr>
              <w:t>С.1.2.1. Підвищення рівня громадської безпеки в закладах освіти.</w:t>
            </w:r>
          </w:p>
          <w:p w14:paraId="13E53B91" w14:textId="77777777" w:rsidR="0097410E" w:rsidRPr="000413EB" w:rsidRDefault="0097410E" w:rsidP="0097410E">
            <w:pPr>
              <w:pBdr>
                <w:left w:val="single" w:sz="18" w:space="4" w:color="auto"/>
              </w:pBdr>
              <w:jc w:val="both"/>
              <w:rPr>
                <w:rFonts w:ascii="Times New Roman" w:hAnsi="Times New Roman"/>
                <w:sz w:val="20"/>
                <w:szCs w:val="20"/>
                <w:lang w:eastAsia="it-IT"/>
              </w:rPr>
            </w:pPr>
            <w:r w:rsidRPr="000413EB">
              <w:rPr>
                <w:rFonts w:ascii="Times New Roman" w:hAnsi="Times New Roman"/>
                <w:sz w:val="20"/>
                <w:szCs w:val="20"/>
              </w:rPr>
              <w:t>С.1.3.1.Забезпечення доступу до якісних освітніх послуг, в тому числі для осіб з особливими освітніми потребами</w:t>
            </w:r>
          </w:p>
        </w:tc>
        <w:tc>
          <w:tcPr>
            <w:tcW w:w="2835" w:type="dxa"/>
          </w:tcPr>
          <w:p w14:paraId="5C2ADD00"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Нарощення фонду захисних споруд ЦЗ</w:t>
            </w:r>
          </w:p>
        </w:tc>
        <w:tc>
          <w:tcPr>
            <w:tcW w:w="1276" w:type="dxa"/>
          </w:tcPr>
          <w:p w14:paraId="736D3318"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2025-2028</w:t>
            </w:r>
          </w:p>
        </w:tc>
        <w:tc>
          <w:tcPr>
            <w:tcW w:w="2345" w:type="dxa"/>
          </w:tcPr>
          <w:p w14:paraId="2F65B86F" w14:textId="77777777" w:rsidR="00177957" w:rsidRDefault="0097410E" w:rsidP="0097410E">
            <w:pPr>
              <w:jc w:val="both"/>
              <w:rPr>
                <w:rFonts w:ascii="Times New Roman" w:hAnsi="Times New Roman"/>
                <w:sz w:val="20"/>
                <w:szCs w:val="20"/>
              </w:rPr>
            </w:pPr>
            <w:r w:rsidRPr="000413EB">
              <w:rPr>
                <w:rFonts w:ascii="Times New Roman" w:hAnsi="Times New Roman"/>
                <w:sz w:val="20"/>
                <w:szCs w:val="20"/>
              </w:rPr>
              <w:t>Управління освіти Жмеринської міської ради,</w:t>
            </w:r>
          </w:p>
          <w:p w14:paraId="3F4E27B7" w14:textId="3367C7B8"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 xml:space="preserve"> заклади освіти</w:t>
            </w:r>
          </w:p>
        </w:tc>
        <w:tc>
          <w:tcPr>
            <w:tcW w:w="2900" w:type="dxa"/>
          </w:tcPr>
          <w:p w14:paraId="34566508"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 xml:space="preserve">Збільшено фонд захисних споруд, відновлено роботу 3 закладів дошкільної освіти, </w:t>
            </w:r>
            <w:r w:rsidRPr="000413EB">
              <w:rPr>
                <w:rFonts w:ascii="Times New Roman" w:eastAsia="Arial" w:hAnsi="Times New Roman"/>
                <w:sz w:val="20"/>
                <w:szCs w:val="20"/>
                <w:shd w:val="clear" w:color="auto" w:fill="FFFFFF"/>
              </w:rPr>
              <w:t>підвищено рівень стану безпеки в 2 закладах загальної середньої освіти, що дозволить організувати освітній процес в очному форматі для 1400 учнів.</w:t>
            </w:r>
          </w:p>
        </w:tc>
      </w:tr>
      <w:tr w:rsidR="0097410E" w:rsidRPr="000413EB" w14:paraId="0B83F424" w14:textId="77777777" w:rsidTr="000413EB">
        <w:tc>
          <w:tcPr>
            <w:tcW w:w="567" w:type="dxa"/>
            <w:shd w:val="clear" w:color="auto" w:fill="auto"/>
          </w:tcPr>
          <w:p w14:paraId="406F3A30" w14:textId="2E396550" w:rsidR="0097410E" w:rsidRPr="000413EB" w:rsidRDefault="003F7FB6" w:rsidP="0097410E">
            <w:pPr>
              <w:pStyle w:val="aa"/>
              <w:jc w:val="both"/>
              <w:rPr>
                <w:rFonts w:ascii="Times New Roman" w:eastAsia="Arial" w:hAnsi="Times New Roman"/>
                <w:sz w:val="20"/>
                <w:szCs w:val="20"/>
              </w:rPr>
            </w:pPr>
            <w:r>
              <w:rPr>
                <w:rFonts w:ascii="Times New Roman" w:eastAsia="Arial" w:hAnsi="Times New Roman"/>
                <w:sz w:val="20"/>
                <w:szCs w:val="20"/>
              </w:rPr>
              <w:t>12</w:t>
            </w:r>
          </w:p>
        </w:tc>
        <w:tc>
          <w:tcPr>
            <w:tcW w:w="2694" w:type="dxa"/>
          </w:tcPr>
          <w:p w14:paraId="06182107" w14:textId="77777777" w:rsidR="0097410E" w:rsidRPr="000413EB" w:rsidRDefault="0097410E" w:rsidP="0097410E">
            <w:pPr>
              <w:widowControl w:val="0"/>
              <w:tabs>
                <w:tab w:val="left" w:pos="0"/>
                <w:tab w:val="left" w:pos="720"/>
              </w:tabs>
              <w:autoSpaceDE w:val="0"/>
              <w:autoSpaceDN w:val="0"/>
              <w:adjustRightInd w:val="0"/>
              <w:jc w:val="both"/>
              <w:rPr>
                <w:rFonts w:ascii="Times New Roman" w:hAnsi="Times New Roman"/>
                <w:sz w:val="20"/>
                <w:szCs w:val="20"/>
              </w:rPr>
            </w:pPr>
            <w:r w:rsidRPr="000413EB">
              <w:rPr>
                <w:rFonts w:ascii="Times New Roman" w:hAnsi="Times New Roman"/>
                <w:sz w:val="20"/>
                <w:szCs w:val="20"/>
              </w:rPr>
              <w:t>С.1.1. Створення  системи  конкурентоспроможної  освіти відповідно до потреб ринку праці та розвитку особистості</w:t>
            </w:r>
          </w:p>
          <w:p w14:paraId="66B7B7FF"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С.1.3 Забезпечення якості освіти та освітньої діяльності</w:t>
            </w:r>
          </w:p>
        </w:tc>
        <w:tc>
          <w:tcPr>
            <w:tcW w:w="2551" w:type="dxa"/>
          </w:tcPr>
          <w:p w14:paraId="311AA328"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С.1.1.2. Розвиток освітньої інфраструктури територіальної громади відповідно до вимог часу.</w:t>
            </w:r>
          </w:p>
          <w:p w14:paraId="65F1F020" w14:textId="77777777" w:rsidR="0097410E" w:rsidRPr="000413EB" w:rsidRDefault="0097410E" w:rsidP="0097410E">
            <w:pPr>
              <w:pBdr>
                <w:left w:val="single" w:sz="18" w:space="4" w:color="auto"/>
              </w:pBdr>
              <w:jc w:val="both"/>
              <w:rPr>
                <w:rFonts w:ascii="Times New Roman" w:hAnsi="Times New Roman"/>
                <w:sz w:val="20"/>
                <w:szCs w:val="20"/>
                <w:lang w:eastAsia="it-IT"/>
              </w:rPr>
            </w:pPr>
            <w:r w:rsidRPr="000413EB">
              <w:rPr>
                <w:rFonts w:ascii="Times New Roman" w:hAnsi="Times New Roman"/>
                <w:sz w:val="20"/>
                <w:szCs w:val="20"/>
              </w:rPr>
              <w:t>С.1.3.4. Створення нового освітнього простору як необхідної передумови підвищення якості освіти</w:t>
            </w:r>
          </w:p>
        </w:tc>
        <w:tc>
          <w:tcPr>
            <w:tcW w:w="2835" w:type="dxa"/>
          </w:tcPr>
          <w:p w14:paraId="0D95D71E" w14:textId="0891F065"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Територія закладу освіти як важлива складова сучасного здоров’я</w:t>
            </w:r>
            <w:r w:rsidR="00A041B2">
              <w:rPr>
                <w:rFonts w:ascii="Times New Roman" w:hAnsi="Times New Roman"/>
                <w:sz w:val="20"/>
                <w:szCs w:val="20"/>
              </w:rPr>
              <w:t xml:space="preserve"> </w:t>
            </w:r>
            <w:r w:rsidRPr="000413EB">
              <w:rPr>
                <w:rFonts w:ascii="Times New Roman" w:hAnsi="Times New Roman"/>
                <w:sz w:val="20"/>
                <w:szCs w:val="20"/>
              </w:rPr>
              <w:t>збережувального освітнього простору</w:t>
            </w:r>
          </w:p>
        </w:tc>
        <w:tc>
          <w:tcPr>
            <w:tcW w:w="1276" w:type="dxa"/>
          </w:tcPr>
          <w:p w14:paraId="486A450F"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2025-2028</w:t>
            </w:r>
          </w:p>
        </w:tc>
        <w:tc>
          <w:tcPr>
            <w:tcW w:w="2345" w:type="dxa"/>
          </w:tcPr>
          <w:p w14:paraId="4A00B963" w14:textId="77777777" w:rsidR="00177957" w:rsidRDefault="0097410E" w:rsidP="0097410E">
            <w:pPr>
              <w:jc w:val="both"/>
              <w:rPr>
                <w:rFonts w:ascii="Times New Roman" w:hAnsi="Times New Roman"/>
                <w:sz w:val="20"/>
                <w:szCs w:val="20"/>
              </w:rPr>
            </w:pPr>
            <w:r w:rsidRPr="000413EB">
              <w:rPr>
                <w:rFonts w:ascii="Times New Roman" w:hAnsi="Times New Roman"/>
                <w:sz w:val="20"/>
                <w:szCs w:val="20"/>
              </w:rPr>
              <w:t>Управління освіти Жмеринської міської ради,</w:t>
            </w:r>
          </w:p>
          <w:p w14:paraId="2FE81BE7" w14:textId="470C9D70"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 xml:space="preserve"> заклади освіти</w:t>
            </w:r>
          </w:p>
        </w:tc>
        <w:tc>
          <w:tcPr>
            <w:tcW w:w="2900" w:type="dxa"/>
          </w:tcPr>
          <w:p w14:paraId="76834362" w14:textId="77777777" w:rsidR="0097410E" w:rsidRPr="000413EB" w:rsidRDefault="0097410E" w:rsidP="0097410E">
            <w:pPr>
              <w:autoSpaceDE w:val="0"/>
              <w:autoSpaceDN w:val="0"/>
              <w:adjustRightInd w:val="0"/>
              <w:jc w:val="both"/>
              <w:rPr>
                <w:rFonts w:ascii="Times New Roman" w:eastAsia="MS Mincho" w:hAnsi="Times New Roman"/>
                <w:sz w:val="20"/>
                <w:szCs w:val="20"/>
                <w:lang w:eastAsia="uk-UA"/>
              </w:rPr>
            </w:pPr>
            <w:r w:rsidRPr="000413EB">
              <w:rPr>
                <w:rFonts w:ascii="Times New Roman" w:eastAsia="MS Mincho" w:hAnsi="Times New Roman"/>
                <w:sz w:val="20"/>
                <w:szCs w:val="20"/>
                <w:lang w:eastAsia="uk-UA"/>
              </w:rPr>
              <w:t>100% закладів дошкільної освіти облаштовані сучасним ігровими майданчиками.</w:t>
            </w:r>
          </w:p>
          <w:p w14:paraId="24BCF7F8" w14:textId="77777777" w:rsidR="0097410E" w:rsidRPr="000413EB" w:rsidRDefault="0097410E" w:rsidP="0097410E">
            <w:pPr>
              <w:autoSpaceDE w:val="0"/>
              <w:autoSpaceDN w:val="0"/>
              <w:adjustRightInd w:val="0"/>
              <w:jc w:val="both"/>
              <w:rPr>
                <w:rFonts w:ascii="Times New Roman" w:eastAsia="MS Mincho" w:hAnsi="Times New Roman"/>
                <w:sz w:val="20"/>
                <w:szCs w:val="20"/>
                <w:lang w:eastAsia="uk-UA"/>
              </w:rPr>
            </w:pPr>
            <w:r w:rsidRPr="000413EB">
              <w:rPr>
                <w:rFonts w:ascii="Times New Roman" w:eastAsia="MS Mincho" w:hAnsi="Times New Roman"/>
                <w:sz w:val="20"/>
                <w:szCs w:val="20"/>
                <w:lang w:eastAsia="uk-UA"/>
              </w:rPr>
              <w:t>На 30 % модернізовано спортивну інфраструктури закладів загальної середньої освіти.</w:t>
            </w:r>
          </w:p>
          <w:p w14:paraId="0081B832" w14:textId="77777777" w:rsidR="0097410E" w:rsidRPr="000413EB" w:rsidRDefault="0097410E" w:rsidP="0097410E">
            <w:pPr>
              <w:jc w:val="both"/>
              <w:rPr>
                <w:rFonts w:ascii="Times New Roman" w:hAnsi="Times New Roman"/>
                <w:sz w:val="20"/>
                <w:szCs w:val="20"/>
              </w:rPr>
            </w:pPr>
            <w:r w:rsidRPr="000413EB">
              <w:rPr>
                <w:rFonts w:ascii="Times New Roman" w:eastAsia="MS Mincho" w:hAnsi="Times New Roman"/>
                <w:sz w:val="20"/>
                <w:szCs w:val="20"/>
                <w:lang w:eastAsia="uk-UA"/>
              </w:rPr>
              <w:t>З</w:t>
            </w:r>
            <w:r w:rsidRPr="000413EB">
              <w:rPr>
                <w:rFonts w:ascii="Times New Roman" w:hAnsi="Times New Roman"/>
                <w:sz w:val="20"/>
                <w:szCs w:val="20"/>
                <w:lang w:eastAsia="it-IT"/>
              </w:rPr>
              <w:t>більшено кількість учнів, які відвідують спортивні секції, гуртки, беруть участь в спортивних змаганнях.</w:t>
            </w:r>
          </w:p>
        </w:tc>
      </w:tr>
      <w:tr w:rsidR="0097410E" w:rsidRPr="000413EB" w14:paraId="71260884" w14:textId="77777777" w:rsidTr="000413EB">
        <w:tc>
          <w:tcPr>
            <w:tcW w:w="567" w:type="dxa"/>
            <w:shd w:val="clear" w:color="auto" w:fill="auto"/>
          </w:tcPr>
          <w:p w14:paraId="6039AF5E" w14:textId="6AF0808E" w:rsidR="0097410E" w:rsidRPr="000413EB" w:rsidRDefault="003F7FB6" w:rsidP="0097410E">
            <w:pPr>
              <w:pStyle w:val="aa"/>
              <w:jc w:val="both"/>
              <w:rPr>
                <w:rFonts w:ascii="Times New Roman" w:eastAsia="Arial" w:hAnsi="Times New Roman"/>
                <w:sz w:val="20"/>
                <w:szCs w:val="20"/>
              </w:rPr>
            </w:pPr>
            <w:r>
              <w:rPr>
                <w:rFonts w:ascii="Times New Roman" w:eastAsia="Arial" w:hAnsi="Times New Roman"/>
                <w:sz w:val="20"/>
                <w:szCs w:val="20"/>
              </w:rPr>
              <w:t>13</w:t>
            </w:r>
          </w:p>
        </w:tc>
        <w:tc>
          <w:tcPr>
            <w:tcW w:w="2694" w:type="dxa"/>
          </w:tcPr>
          <w:p w14:paraId="20098786" w14:textId="77777777" w:rsidR="0097410E" w:rsidRPr="000413EB" w:rsidRDefault="0097410E" w:rsidP="0097410E">
            <w:pPr>
              <w:widowControl w:val="0"/>
              <w:tabs>
                <w:tab w:val="left" w:pos="0"/>
                <w:tab w:val="left" w:pos="720"/>
              </w:tabs>
              <w:autoSpaceDE w:val="0"/>
              <w:autoSpaceDN w:val="0"/>
              <w:adjustRightInd w:val="0"/>
              <w:jc w:val="both"/>
              <w:rPr>
                <w:rFonts w:ascii="Times New Roman" w:hAnsi="Times New Roman"/>
                <w:sz w:val="20"/>
                <w:szCs w:val="20"/>
              </w:rPr>
            </w:pPr>
            <w:r w:rsidRPr="000413EB">
              <w:rPr>
                <w:rFonts w:ascii="Times New Roman" w:hAnsi="Times New Roman"/>
                <w:sz w:val="20"/>
                <w:szCs w:val="20"/>
              </w:rPr>
              <w:t>С.1.1. Створення  системи  конкурентоспроможної  освіти відповідно до потреб ринку праці та розвитку особистості</w:t>
            </w:r>
          </w:p>
          <w:p w14:paraId="28A0DDB9"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С.1.2. Забезпечення комфортних і безпечних умов навчання та праці</w:t>
            </w:r>
          </w:p>
          <w:p w14:paraId="3E66C4F8" w14:textId="77777777" w:rsidR="0097410E" w:rsidRPr="000413EB" w:rsidRDefault="0097410E" w:rsidP="0097410E">
            <w:pPr>
              <w:widowControl w:val="0"/>
              <w:tabs>
                <w:tab w:val="left" w:pos="0"/>
                <w:tab w:val="left" w:pos="720"/>
              </w:tabs>
              <w:autoSpaceDE w:val="0"/>
              <w:autoSpaceDN w:val="0"/>
              <w:adjustRightInd w:val="0"/>
              <w:jc w:val="both"/>
              <w:rPr>
                <w:rFonts w:ascii="Times New Roman" w:hAnsi="Times New Roman"/>
                <w:sz w:val="20"/>
                <w:szCs w:val="20"/>
              </w:rPr>
            </w:pPr>
          </w:p>
          <w:p w14:paraId="079F31DE" w14:textId="77777777" w:rsidR="0097410E" w:rsidRPr="000413EB" w:rsidRDefault="0097410E" w:rsidP="0097410E">
            <w:pPr>
              <w:autoSpaceDE w:val="0"/>
              <w:autoSpaceDN w:val="0"/>
              <w:adjustRightInd w:val="0"/>
              <w:jc w:val="both"/>
              <w:rPr>
                <w:rFonts w:ascii="Times New Roman" w:hAnsi="Times New Roman"/>
                <w:sz w:val="20"/>
                <w:szCs w:val="20"/>
              </w:rPr>
            </w:pPr>
          </w:p>
          <w:p w14:paraId="0148C7FA" w14:textId="77777777" w:rsidR="0097410E" w:rsidRPr="000413EB" w:rsidRDefault="0097410E" w:rsidP="0097410E">
            <w:pPr>
              <w:jc w:val="both"/>
              <w:rPr>
                <w:rFonts w:ascii="Times New Roman" w:hAnsi="Times New Roman"/>
                <w:sz w:val="20"/>
                <w:szCs w:val="20"/>
              </w:rPr>
            </w:pPr>
          </w:p>
        </w:tc>
        <w:tc>
          <w:tcPr>
            <w:tcW w:w="2551" w:type="dxa"/>
          </w:tcPr>
          <w:p w14:paraId="602C6961"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С.1.1.2. Розвиток освітньої інфраструктури територіальної громади відповідно до вимог часу.</w:t>
            </w:r>
          </w:p>
          <w:p w14:paraId="22D3AAD9" w14:textId="77777777" w:rsidR="0097410E" w:rsidRPr="000413EB" w:rsidRDefault="0097410E" w:rsidP="0097410E">
            <w:pPr>
              <w:jc w:val="both"/>
              <w:rPr>
                <w:rFonts w:ascii="Times New Roman" w:hAnsi="Times New Roman"/>
                <w:bCs/>
                <w:sz w:val="20"/>
                <w:szCs w:val="20"/>
              </w:rPr>
            </w:pPr>
            <w:r w:rsidRPr="000413EB">
              <w:rPr>
                <w:rFonts w:ascii="Times New Roman" w:hAnsi="Times New Roman"/>
                <w:bCs/>
                <w:sz w:val="20"/>
                <w:szCs w:val="20"/>
              </w:rPr>
              <w:t>С. 1.1.6. Підвищення орієнтації галузі освіти на потреби ринку праці.</w:t>
            </w:r>
          </w:p>
          <w:p w14:paraId="2D4E0865" w14:textId="42226339" w:rsidR="0097410E" w:rsidRPr="000413EB" w:rsidRDefault="0097410E" w:rsidP="0097410E">
            <w:pPr>
              <w:jc w:val="both"/>
              <w:rPr>
                <w:rFonts w:ascii="Times New Roman" w:hAnsi="Times New Roman"/>
                <w:sz w:val="20"/>
                <w:szCs w:val="20"/>
              </w:rPr>
            </w:pPr>
            <w:r w:rsidRPr="000413EB">
              <w:rPr>
                <w:rFonts w:ascii="Times New Roman" w:hAnsi="Times New Roman"/>
                <w:bCs/>
                <w:sz w:val="20"/>
                <w:szCs w:val="20"/>
              </w:rPr>
              <w:t>С. 1.3.1.</w:t>
            </w:r>
            <w:r w:rsidR="00791396">
              <w:rPr>
                <w:rFonts w:ascii="Times New Roman" w:hAnsi="Times New Roman"/>
                <w:bCs/>
                <w:sz w:val="20"/>
                <w:szCs w:val="20"/>
              </w:rPr>
              <w:t xml:space="preserve"> </w:t>
            </w:r>
            <w:r w:rsidRPr="000413EB">
              <w:rPr>
                <w:rFonts w:ascii="Times New Roman" w:hAnsi="Times New Roman"/>
                <w:bCs/>
                <w:sz w:val="20"/>
                <w:szCs w:val="20"/>
              </w:rPr>
              <w:t>Забезпечення доступу до якісних освітніх послуг в тому числі для осіб з ООП.</w:t>
            </w:r>
          </w:p>
          <w:p w14:paraId="25A4E20F"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rPr>
              <w:t>С.1.3.4. Створення нового освітнього простору як необхідної передумови підвищення якості освіти.</w:t>
            </w:r>
          </w:p>
        </w:tc>
        <w:tc>
          <w:tcPr>
            <w:tcW w:w="2835" w:type="dxa"/>
          </w:tcPr>
          <w:p w14:paraId="41812B59"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Створення нового освітнього простору як необхідної передумови підвищення якості освіти</w:t>
            </w:r>
          </w:p>
        </w:tc>
        <w:tc>
          <w:tcPr>
            <w:tcW w:w="1276" w:type="dxa"/>
          </w:tcPr>
          <w:p w14:paraId="1368BD44"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2025-2028</w:t>
            </w:r>
          </w:p>
        </w:tc>
        <w:tc>
          <w:tcPr>
            <w:tcW w:w="2345" w:type="dxa"/>
          </w:tcPr>
          <w:p w14:paraId="4EC7A033" w14:textId="77777777" w:rsidR="00177957" w:rsidRDefault="0097410E" w:rsidP="0097410E">
            <w:pPr>
              <w:jc w:val="both"/>
              <w:rPr>
                <w:rFonts w:ascii="Times New Roman" w:hAnsi="Times New Roman"/>
                <w:sz w:val="20"/>
                <w:szCs w:val="20"/>
              </w:rPr>
            </w:pPr>
            <w:r w:rsidRPr="000413EB">
              <w:rPr>
                <w:rFonts w:ascii="Times New Roman" w:hAnsi="Times New Roman"/>
                <w:sz w:val="20"/>
                <w:szCs w:val="20"/>
              </w:rPr>
              <w:t xml:space="preserve">Управління освіти Жмеринської міської ради, </w:t>
            </w:r>
          </w:p>
          <w:p w14:paraId="34319B91" w14:textId="5796C9C6"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заклади освіти</w:t>
            </w:r>
          </w:p>
        </w:tc>
        <w:tc>
          <w:tcPr>
            <w:tcW w:w="2900" w:type="dxa"/>
          </w:tcPr>
          <w:p w14:paraId="6E29D68D"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Інноваційне оновлення та зміцнення матеріально-технічної бази.</w:t>
            </w:r>
          </w:p>
          <w:p w14:paraId="5618C6FF"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Підвищення показників успішності здобувачів освіти,  зокрема результатів ЗНО (НМТ) на 20 відсотків.</w:t>
            </w:r>
          </w:p>
          <w:p w14:paraId="0F971482"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Збільшення відсотка закладів освіти, де облаштовано природничо-математичні кабінети та СТЕМ-лабораторії.</w:t>
            </w:r>
          </w:p>
          <w:p w14:paraId="31FA79F9"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lang w:eastAsia="it-IT"/>
              </w:rPr>
              <w:t>Збільшення відсотка забезпечення учнів комп’ютерним обладнанням.</w:t>
            </w:r>
          </w:p>
        </w:tc>
      </w:tr>
      <w:tr w:rsidR="0097410E" w:rsidRPr="000413EB" w14:paraId="57CE45D6" w14:textId="77777777" w:rsidTr="000413EB">
        <w:tc>
          <w:tcPr>
            <w:tcW w:w="567" w:type="dxa"/>
            <w:shd w:val="clear" w:color="auto" w:fill="auto"/>
          </w:tcPr>
          <w:p w14:paraId="5B219F98" w14:textId="2780C744" w:rsidR="0097410E" w:rsidRPr="000413EB" w:rsidRDefault="003F7FB6" w:rsidP="0097410E">
            <w:pPr>
              <w:pStyle w:val="aa"/>
              <w:jc w:val="both"/>
              <w:rPr>
                <w:rFonts w:ascii="Times New Roman" w:eastAsia="Arial" w:hAnsi="Times New Roman"/>
                <w:sz w:val="20"/>
                <w:szCs w:val="20"/>
              </w:rPr>
            </w:pPr>
            <w:r>
              <w:rPr>
                <w:rFonts w:ascii="Times New Roman" w:eastAsia="Arial" w:hAnsi="Times New Roman"/>
                <w:sz w:val="20"/>
                <w:szCs w:val="20"/>
              </w:rPr>
              <w:t>14</w:t>
            </w:r>
          </w:p>
        </w:tc>
        <w:tc>
          <w:tcPr>
            <w:tcW w:w="2694" w:type="dxa"/>
          </w:tcPr>
          <w:p w14:paraId="33F47CEF"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С.1.2. Забезпечення комфортних і безпечних умов навчання та праці</w:t>
            </w:r>
          </w:p>
          <w:p w14:paraId="4569BA2F" w14:textId="77777777" w:rsidR="0097410E" w:rsidRPr="000413EB" w:rsidRDefault="0097410E" w:rsidP="0097410E">
            <w:pPr>
              <w:jc w:val="both"/>
              <w:rPr>
                <w:rFonts w:ascii="Times New Roman" w:hAnsi="Times New Roman"/>
                <w:sz w:val="20"/>
                <w:szCs w:val="20"/>
              </w:rPr>
            </w:pPr>
          </w:p>
        </w:tc>
        <w:tc>
          <w:tcPr>
            <w:tcW w:w="2551" w:type="dxa"/>
          </w:tcPr>
          <w:p w14:paraId="0418835B" w14:textId="77777777" w:rsidR="0097410E" w:rsidRPr="000413EB" w:rsidRDefault="0097410E" w:rsidP="0097410E">
            <w:pPr>
              <w:pBdr>
                <w:left w:val="single" w:sz="18" w:space="4" w:color="auto"/>
              </w:pBdr>
              <w:jc w:val="both"/>
              <w:rPr>
                <w:rFonts w:ascii="Times New Roman" w:hAnsi="Times New Roman"/>
                <w:iCs/>
                <w:sz w:val="20"/>
                <w:szCs w:val="20"/>
                <w:lang w:eastAsia="it-IT"/>
              </w:rPr>
            </w:pPr>
            <w:r w:rsidRPr="000413EB">
              <w:rPr>
                <w:rFonts w:ascii="Times New Roman" w:hAnsi="Times New Roman"/>
                <w:iCs/>
                <w:sz w:val="20"/>
                <w:szCs w:val="20"/>
                <w:lang w:eastAsia="it-IT"/>
              </w:rPr>
              <w:t>С.1.2.1. Підвищення рівня громадської безпеки в закладах освіти.</w:t>
            </w:r>
          </w:p>
          <w:p w14:paraId="3B73EB36" w14:textId="77777777" w:rsidR="0097410E" w:rsidRPr="000413EB" w:rsidRDefault="0097410E" w:rsidP="0097410E">
            <w:pPr>
              <w:pBdr>
                <w:left w:val="single" w:sz="18" w:space="4" w:color="auto"/>
              </w:pBdr>
              <w:jc w:val="both"/>
              <w:rPr>
                <w:rFonts w:ascii="Times New Roman" w:hAnsi="Times New Roman"/>
                <w:iCs/>
                <w:sz w:val="20"/>
                <w:szCs w:val="20"/>
                <w:lang w:eastAsia="it-IT"/>
              </w:rPr>
            </w:pPr>
            <w:r w:rsidRPr="000413EB">
              <w:rPr>
                <w:rFonts w:ascii="Times New Roman" w:hAnsi="Times New Roman"/>
                <w:iCs/>
                <w:sz w:val="20"/>
                <w:szCs w:val="20"/>
                <w:lang w:eastAsia="it-IT"/>
              </w:rPr>
              <w:t>С.1.3 Забезпечення якості освіти та освітньої діяльності</w:t>
            </w:r>
          </w:p>
        </w:tc>
        <w:tc>
          <w:tcPr>
            <w:tcW w:w="2835" w:type="dxa"/>
          </w:tcPr>
          <w:p w14:paraId="69135673"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Встановлення та облаштування модульного укриття “Safe Space”</w:t>
            </w:r>
          </w:p>
        </w:tc>
        <w:tc>
          <w:tcPr>
            <w:tcW w:w="1276" w:type="dxa"/>
          </w:tcPr>
          <w:p w14:paraId="25E85FD5"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2025-2028</w:t>
            </w:r>
          </w:p>
        </w:tc>
        <w:tc>
          <w:tcPr>
            <w:tcW w:w="2345" w:type="dxa"/>
          </w:tcPr>
          <w:p w14:paraId="4F3BAE8B" w14:textId="77777777" w:rsidR="00177957" w:rsidRDefault="0097410E" w:rsidP="0097410E">
            <w:pPr>
              <w:jc w:val="both"/>
              <w:rPr>
                <w:rFonts w:ascii="Times New Roman" w:hAnsi="Times New Roman"/>
                <w:sz w:val="20"/>
                <w:szCs w:val="20"/>
              </w:rPr>
            </w:pPr>
            <w:r w:rsidRPr="000413EB">
              <w:rPr>
                <w:rFonts w:ascii="Times New Roman" w:hAnsi="Times New Roman"/>
                <w:sz w:val="20"/>
                <w:szCs w:val="20"/>
              </w:rPr>
              <w:t xml:space="preserve">Управління ЖКГ Жмеринської міської ради, </w:t>
            </w:r>
          </w:p>
          <w:p w14:paraId="05D0EE12" w14:textId="77777777" w:rsidR="00177957" w:rsidRDefault="0097410E" w:rsidP="0097410E">
            <w:pPr>
              <w:jc w:val="both"/>
              <w:rPr>
                <w:rFonts w:ascii="Times New Roman" w:hAnsi="Times New Roman"/>
                <w:sz w:val="20"/>
                <w:szCs w:val="20"/>
              </w:rPr>
            </w:pPr>
            <w:r w:rsidRPr="000413EB">
              <w:rPr>
                <w:rFonts w:ascii="Times New Roman" w:hAnsi="Times New Roman"/>
                <w:sz w:val="20"/>
                <w:szCs w:val="20"/>
              </w:rPr>
              <w:t xml:space="preserve">Управління освіти Жмеринської міської ради, </w:t>
            </w:r>
          </w:p>
          <w:p w14:paraId="5EB130FD" w14:textId="38FE10A2"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заклади освіти</w:t>
            </w:r>
          </w:p>
        </w:tc>
        <w:tc>
          <w:tcPr>
            <w:tcW w:w="2900" w:type="dxa"/>
          </w:tcPr>
          <w:p w14:paraId="4EB1461B" w14:textId="160DAD3C"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У закладі освіти організація освітнього процесу відбувається в очному форматі</w:t>
            </w:r>
            <w:r w:rsidR="00A801AF">
              <w:rPr>
                <w:rFonts w:ascii="Times New Roman" w:hAnsi="Times New Roman"/>
                <w:sz w:val="20"/>
                <w:szCs w:val="20"/>
                <w:lang w:eastAsia="it-IT"/>
              </w:rPr>
              <w:t>.</w:t>
            </w:r>
          </w:p>
          <w:p w14:paraId="01DB5EBE" w14:textId="25BB9C1C"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Облаштовано 500 місць для укриття учасників освітнього процесу</w:t>
            </w:r>
            <w:r w:rsidR="00A801AF">
              <w:rPr>
                <w:rFonts w:ascii="Times New Roman" w:hAnsi="Times New Roman"/>
                <w:sz w:val="20"/>
                <w:szCs w:val="20"/>
                <w:lang w:eastAsia="it-IT"/>
              </w:rPr>
              <w:t>.</w:t>
            </w:r>
          </w:p>
        </w:tc>
      </w:tr>
      <w:tr w:rsidR="0097410E" w:rsidRPr="000413EB" w14:paraId="161E8D36" w14:textId="77777777" w:rsidTr="000413EB">
        <w:tc>
          <w:tcPr>
            <w:tcW w:w="567" w:type="dxa"/>
            <w:shd w:val="clear" w:color="auto" w:fill="auto"/>
          </w:tcPr>
          <w:p w14:paraId="1F5A0008" w14:textId="126942F7" w:rsidR="0097410E" w:rsidRPr="000413EB" w:rsidRDefault="003F7FB6" w:rsidP="0097410E">
            <w:pPr>
              <w:pStyle w:val="aa"/>
              <w:jc w:val="both"/>
              <w:rPr>
                <w:rFonts w:ascii="Times New Roman" w:eastAsia="Arial" w:hAnsi="Times New Roman"/>
                <w:sz w:val="20"/>
                <w:szCs w:val="20"/>
              </w:rPr>
            </w:pPr>
            <w:r>
              <w:rPr>
                <w:rFonts w:ascii="Times New Roman" w:eastAsia="Arial" w:hAnsi="Times New Roman"/>
                <w:sz w:val="20"/>
                <w:szCs w:val="20"/>
              </w:rPr>
              <w:t>15</w:t>
            </w:r>
          </w:p>
        </w:tc>
        <w:tc>
          <w:tcPr>
            <w:tcW w:w="2694" w:type="dxa"/>
          </w:tcPr>
          <w:p w14:paraId="5AC002DA"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С.1.1. Створення  системи  конкурентоспроможної  освіти відповідно до потреб ринку праці та розвитку особистості</w:t>
            </w:r>
          </w:p>
          <w:p w14:paraId="133A5E22" w14:textId="77777777" w:rsidR="0097410E" w:rsidRPr="000413EB" w:rsidRDefault="0097410E" w:rsidP="0097410E">
            <w:pPr>
              <w:autoSpaceDE w:val="0"/>
              <w:autoSpaceDN w:val="0"/>
              <w:adjustRightInd w:val="0"/>
              <w:jc w:val="both"/>
              <w:rPr>
                <w:rFonts w:ascii="Times New Roman" w:hAnsi="Times New Roman"/>
                <w:sz w:val="20"/>
                <w:szCs w:val="20"/>
              </w:rPr>
            </w:pPr>
            <w:r w:rsidRPr="000413EB">
              <w:rPr>
                <w:rFonts w:ascii="Times New Roman" w:hAnsi="Times New Roman"/>
                <w:sz w:val="20"/>
                <w:szCs w:val="20"/>
              </w:rPr>
              <w:t>С.1.3 Забезпечення якості освіти та освітньої діяльності</w:t>
            </w:r>
          </w:p>
          <w:p w14:paraId="4139F845" w14:textId="77777777" w:rsidR="0097410E" w:rsidRPr="000413EB" w:rsidRDefault="0097410E" w:rsidP="0097410E">
            <w:pPr>
              <w:widowControl w:val="0"/>
              <w:tabs>
                <w:tab w:val="left" w:pos="0"/>
                <w:tab w:val="left" w:pos="720"/>
              </w:tabs>
              <w:autoSpaceDE w:val="0"/>
              <w:autoSpaceDN w:val="0"/>
              <w:adjustRightInd w:val="0"/>
              <w:jc w:val="both"/>
              <w:rPr>
                <w:rFonts w:ascii="Times New Roman" w:hAnsi="Times New Roman"/>
                <w:sz w:val="20"/>
                <w:szCs w:val="20"/>
              </w:rPr>
            </w:pPr>
            <w:r w:rsidRPr="000413EB">
              <w:rPr>
                <w:rFonts w:ascii="Times New Roman" w:hAnsi="Times New Roman"/>
                <w:sz w:val="20"/>
                <w:szCs w:val="20"/>
              </w:rPr>
              <w:t>С.1.4. Ефективне управління в галузі освіти</w:t>
            </w:r>
          </w:p>
          <w:p w14:paraId="67F65890" w14:textId="77777777" w:rsidR="0097410E" w:rsidRPr="000413EB" w:rsidRDefault="0097410E" w:rsidP="0097410E">
            <w:pPr>
              <w:jc w:val="both"/>
              <w:rPr>
                <w:rFonts w:ascii="Times New Roman" w:hAnsi="Times New Roman"/>
                <w:sz w:val="20"/>
                <w:szCs w:val="20"/>
              </w:rPr>
            </w:pPr>
          </w:p>
        </w:tc>
        <w:tc>
          <w:tcPr>
            <w:tcW w:w="2551" w:type="dxa"/>
          </w:tcPr>
          <w:p w14:paraId="70B082EC" w14:textId="77777777" w:rsidR="0097410E" w:rsidRPr="000413EB" w:rsidRDefault="0097410E" w:rsidP="0097410E">
            <w:pPr>
              <w:pBdr>
                <w:left w:val="single" w:sz="18" w:space="4" w:color="auto"/>
              </w:pBdr>
              <w:jc w:val="both"/>
              <w:rPr>
                <w:rFonts w:ascii="Times New Roman" w:hAnsi="Times New Roman"/>
                <w:sz w:val="20"/>
                <w:szCs w:val="20"/>
              </w:rPr>
            </w:pPr>
            <w:r w:rsidRPr="000413EB">
              <w:rPr>
                <w:rFonts w:ascii="Times New Roman" w:hAnsi="Times New Roman"/>
                <w:sz w:val="20"/>
                <w:szCs w:val="20"/>
              </w:rPr>
              <w:t>С.1.2.3. Інтернет безпека та медіа грамотність</w:t>
            </w:r>
          </w:p>
          <w:p w14:paraId="3E9B862E"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С.1.3.2. Запровадження в освітній процес закладів освіти інновацій, в тому числі інформаційно-комунікаційних та «Smart» технологій.</w:t>
            </w:r>
          </w:p>
          <w:p w14:paraId="6F7762A8" w14:textId="77777777" w:rsidR="0097410E" w:rsidRPr="000413EB" w:rsidRDefault="0097410E" w:rsidP="0097410E">
            <w:pPr>
              <w:pBdr>
                <w:left w:val="single" w:sz="18" w:space="4" w:color="auto"/>
              </w:pBdr>
              <w:jc w:val="both"/>
              <w:rPr>
                <w:rFonts w:ascii="Times New Roman" w:hAnsi="Times New Roman"/>
                <w:sz w:val="20"/>
                <w:szCs w:val="20"/>
              </w:rPr>
            </w:pPr>
            <w:r w:rsidRPr="000413EB">
              <w:rPr>
                <w:rFonts w:ascii="Times New Roman" w:hAnsi="Times New Roman"/>
                <w:sz w:val="20"/>
                <w:szCs w:val="20"/>
              </w:rPr>
              <w:t>С.1.3.4. Створення нового освітнього простору як необхідної передумови підвищення якості освіти.</w:t>
            </w:r>
          </w:p>
          <w:p w14:paraId="5210BFF7"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С.1.4.3. Впровадження сучасних інформаційно-цифрових технологій управління освітою.</w:t>
            </w:r>
          </w:p>
        </w:tc>
        <w:tc>
          <w:tcPr>
            <w:tcW w:w="2835" w:type="dxa"/>
          </w:tcPr>
          <w:p w14:paraId="67A14729"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Диджиталізація освіти – необхідність для розвитку країни</w:t>
            </w:r>
          </w:p>
        </w:tc>
        <w:tc>
          <w:tcPr>
            <w:tcW w:w="1276" w:type="dxa"/>
          </w:tcPr>
          <w:p w14:paraId="3133E755"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2025-2028</w:t>
            </w:r>
          </w:p>
        </w:tc>
        <w:tc>
          <w:tcPr>
            <w:tcW w:w="2345" w:type="dxa"/>
          </w:tcPr>
          <w:p w14:paraId="289A7375" w14:textId="77777777" w:rsidR="00177957" w:rsidRDefault="0097410E" w:rsidP="0097410E">
            <w:pPr>
              <w:jc w:val="both"/>
              <w:rPr>
                <w:rFonts w:ascii="Times New Roman" w:hAnsi="Times New Roman"/>
                <w:sz w:val="20"/>
                <w:szCs w:val="20"/>
              </w:rPr>
            </w:pPr>
            <w:r w:rsidRPr="000413EB">
              <w:rPr>
                <w:rFonts w:ascii="Times New Roman" w:hAnsi="Times New Roman"/>
                <w:sz w:val="20"/>
                <w:szCs w:val="20"/>
              </w:rPr>
              <w:t xml:space="preserve">Управління освіти Жмеринської міської ради, </w:t>
            </w:r>
          </w:p>
          <w:p w14:paraId="2F3E6FE3" w14:textId="728D0F8C"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заклади освіти</w:t>
            </w:r>
          </w:p>
        </w:tc>
        <w:tc>
          <w:tcPr>
            <w:tcW w:w="2900" w:type="dxa"/>
          </w:tcPr>
          <w:p w14:paraId="0957204C" w14:textId="77777777" w:rsidR="0097410E" w:rsidRPr="000413EB" w:rsidRDefault="0097410E" w:rsidP="0097410E">
            <w:pPr>
              <w:widowControl w:val="0"/>
              <w:tabs>
                <w:tab w:val="left" w:pos="1134"/>
              </w:tabs>
              <w:jc w:val="both"/>
              <w:rPr>
                <w:rFonts w:ascii="Times New Roman" w:hAnsi="Times New Roman"/>
                <w:sz w:val="20"/>
                <w:szCs w:val="20"/>
              </w:rPr>
            </w:pPr>
            <w:r w:rsidRPr="000413EB">
              <w:rPr>
                <w:rFonts w:ascii="Times New Roman" w:hAnsi="Times New Roman"/>
                <w:sz w:val="20"/>
                <w:szCs w:val="20"/>
              </w:rPr>
              <w:t>Створено сучасний освітній простір для організації різних форм навчання.</w:t>
            </w:r>
          </w:p>
          <w:p w14:paraId="6E7ECC5D" w14:textId="77777777" w:rsidR="0097410E" w:rsidRPr="000413EB" w:rsidRDefault="0097410E" w:rsidP="0097410E">
            <w:pPr>
              <w:widowControl w:val="0"/>
              <w:tabs>
                <w:tab w:val="left" w:pos="1134"/>
              </w:tabs>
              <w:jc w:val="both"/>
              <w:rPr>
                <w:rFonts w:ascii="Times New Roman" w:hAnsi="Times New Roman"/>
                <w:sz w:val="20"/>
                <w:szCs w:val="20"/>
                <w:shd w:val="clear" w:color="auto" w:fill="FFFFFF"/>
              </w:rPr>
            </w:pPr>
            <w:r w:rsidRPr="000413EB">
              <w:rPr>
                <w:rFonts w:ascii="Times New Roman" w:hAnsi="Times New Roman"/>
                <w:sz w:val="20"/>
                <w:szCs w:val="20"/>
                <w:shd w:val="clear" w:color="auto" w:fill="FFFFFF"/>
              </w:rPr>
              <w:t>Організовано доступ до мережі Інтернет з усіх наявних ПК  з одночасною можливістю фільтрації шкідливого контенту та "справедливим" поділом одного каналу серед значної кількості користувачів.</w:t>
            </w:r>
          </w:p>
          <w:p w14:paraId="1172F3F0" w14:textId="77777777" w:rsidR="0097410E" w:rsidRPr="000413EB" w:rsidRDefault="0097410E" w:rsidP="0097410E">
            <w:pPr>
              <w:widowControl w:val="0"/>
              <w:tabs>
                <w:tab w:val="left" w:pos="1134"/>
              </w:tabs>
              <w:jc w:val="both"/>
              <w:rPr>
                <w:rFonts w:ascii="Times New Roman" w:hAnsi="Times New Roman"/>
                <w:sz w:val="20"/>
                <w:szCs w:val="20"/>
              </w:rPr>
            </w:pPr>
            <w:r w:rsidRPr="000413EB">
              <w:rPr>
                <w:rFonts w:ascii="Times New Roman" w:hAnsi="Times New Roman"/>
                <w:sz w:val="20"/>
                <w:szCs w:val="20"/>
              </w:rPr>
              <w:t>В закладах освіти ефективно використовуються технології штучного інтелекту.</w:t>
            </w:r>
          </w:p>
          <w:p w14:paraId="02050440" w14:textId="4F0536A1" w:rsidR="0097410E" w:rsidRPr="000413EB" w:rsidRDefault="0097410E" w:rsidP="0097410E">
            <w:pPr>
              <w:widowControl w:val="0"/>
              <w:tabs>
                <w:tab w:val="left" w:pos="1134"/>
              </w:tabs>
              <w:jc w:val="both"/>
              <w:rPr>
                <w:rFonts w:ascii="Times New Roman" w:hAnsi="Times New Roman"/>
                <w:sz w:val="20"/>
                <w:szCs w:val="20"/>
              </w:rPr>
            </w:pPr>
            <w:r w:rsidRPr="000413EB">
              <w:rPr>
                <w:rFonts w:ascii="Times New Roman" w:hAnsi="Times New Roman"/>
                <w:sz w:val="20"/>
                <w:szCs w:val="20"/>
              </w:rPr>
              <w:t>Облаштовано комп’ютерні класи з ліцензованим програмовим забезпеченням</w:t>
            </w:r>
            <w:r w:rsidR="00A801AF">
              <w:rPr>
                <w:rFonts w:ascii="Times New Roman" w:hAnsi="Times New Roman"/>
                <w:sz w:val="20"/>
                <w:szCs w:val="20"/>
              </w:rPr>
              <w:t>.</w:t>
            </w:r>
          </w:p>
          <w:p w14:paraId="1580B85C" w14:textId="77777777" w:rsidR="0097410E" w:rsidRPr="000413EB" w:rsidRDefault="0097410E" w:rsidP="0097410E">
            <w:pPr>
              <w:widowControl w:val="0"/>
              <w:tabs>
                <w:tab w:val="left" w:pos="1134"/>
              </w:tabs>
              <w:jc w:val="both"/>
              <w:rPr>
                <w:rFonts w:ascii="Times New Roman" w:hAnsi="Times New Roman"/>
                <w:sz w:val="20"/>
                <w:szCs w:val="20"/>
              </w:rPr>
            </w:pPr>
            <w:r w:rsidRPr="000413EB">
              <w:rPr>
                <w:rFonts w:ascii="Times New Roman" w:eastAsia="+mn-ea" w:hAnsi="Times New Roman"/>
                <w:bCs/>
                <w:kern w:val="24"/>
                <w:sz w:val="20"/>
                <w:szCs w:val="20"/>
              </w:rPr>
              <w:t xml:space="preserve">Підвищено рівень </w:t>
            </w:r>
            <w:r w:rsidRPr="000413EB">
              <w:rPr>
                <w:rFonts w:ascii="Times New Roman" w:hAnsi="Times New Roman"/>
                <w:sz w:val="20"/>
                <w:szCs w:val="20"/>
              </w:rPr>
              <w:t>викладання дисциплін з використанням комп’ютерних технологій на 50 %.</w:t>
            </w:r>
          </w:p>
          <w:p w14:paraId="062D623E"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shd w:val="clear" w:color="auto" w:fill="FFFFFF"/>
              </w:rPr>
              <w:t>Підвищено рівень цифрових навичок педагогічних працівників.</w:t>
            </w:r>
          </w:p>
        </w:tc>
      </w:tr>
      <w:tr w:rsidR="0097410E" w:rsidRPr="000413EB" w14:paraId="010D0DAC" w14:textId="77777777" w:rsidTr="000413EB">
        <w:tc>
          <w:tcPr>
            <w:tcW w:w="567" w:type="dxa"/>
            <w:shd w:val="clear" w:color="auto" w:fill="auto"/>
          </w:tcPr>
          <w:p w14:paraId="2D1C1C4C" w14:textId="6B3AA73D" w:rsidR="0097410E" w:rsidRPr="000413EB" w:rsidRDefault="003F7FB6" w:rsidP="0097410E">
            <w:pPr>
              <w:pStyle w:val="aa"/>
              <w:jc w:val="both"/>
              <w:rPr>
                <w:rFonts w:ascii="Times New Roman" w:eastAsia="Arial" w:hAnsi="Times New Roman"/>
                <w:sz w:val="20"/>
                <w:szCs w:val="20"/>
              </w:rPr>
            </w:pPr>
            <w:r>
              <w:rPr>
                <w:rFonts w:ascii="Times New Roman" w:eastAsia="Arial" w:hAnsi="Times New Roman"/>
                <w:sz w:val="20"/>
                <w:szCs w:val="20"/>
              </w:rPr>
              <w:t>16</w:t>
            </w:r>
          </w:p>
        </w:tc>
        <w:tc>
          <w:tcPr>
            <w:tcW w:w="2694" w:type="dxa"/>
          </w:tcPr>
          <w:p w14:paraId="2A76549F"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С.1.2. Забезпечення комфортних і безпечних умов навчання та праці</w:t>
            </w:r>
          </w:p>
          <w:p w14:paraId="18991668" w14:textId="77777777" w:rsidR="0097410E" w:rsidRPr="000413EB" w:rsidRDefault="0097410E" w:rsidP="0097410E">
            <w:pPr>
              <w:widowControl w:val="0"/>
              <w:tabs>
                <w:tab w:val="left" w:pos="0"/>
                <w:tab w:val="left" w:pos="720"/>
              </w:tabs>
              <w:autoSpaceDE w:val="0"/>
              <w:autoSpaceDN w:val="0"/>
              <w:adjustRightInd w:val="0"/>
              <w:jc w:val="both"/>
              <w:rPr>
                <w:rFonts w:ascii="Times New Roman" w:hAnsi="Times New Roman"/>
                <w:sz w:val="20"/>
                <w:szCs w:val="20"/>
              </w:rPr>
            </w:pPr>
          </w:p>
        </w:tc>
        <w:tc>
          <w:tcPr>
            <w:tcW w:w="2551" w:type="dxa"/>
          </w:tcPr>
          <w:p w14:paraId="43FD4190"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С.1.2.4. Підвищення рівня санітарної безпеки закладів освіти</w:t>
            </w:r>
          </w:p>
          <w:p w14:paraId="65C90A7A"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С.1.2.5. Підвищення рівня безпечності та якості організації харчування, створення умов для здорового способу життя</w:t>
            </w:r>
          </w:p>
        </w:tc>
        <w:tc>
          <w:tcPr>
            <w:tcW w:w="2835" w:type="dxa"/>
          </w:tcPr>
          <w:p w14:paraId="6CA3CA00"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Капітальний ремонт харчоблоку ЗДО №2 «Калинка»</w:t>
            </w:r>
          </w:p>
        </w:tc>
        <w:tc>
          <w:tcPr>
            <w:tcW w:w="1276" w:type="dxa"/>
          </w:tcPr>
          <w:p w14:paraId="6289607A"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2025-2028</w:t>
            </w:r>
          </w:p>
        </w:tc>
        <w:tc>
          <w:tcPr>
            <w:tcW w:w="2345" w:type="dxa"/>
          </w:tcPr>
          <w:p w14:paraId="4B471989"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Управління освіти Жмеринської міської ради</w:t>
            </w:r>
          </w:p>
        </w:tc>
        <w:tc>
          <w:tcPr>
            <w:tcW w:w="2900" w:type="dxa"/>
          </w:tcPr>
          <w:p w14:paraId="01AB8839"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На 15% зменшено витрати на оплату енергоносіїв.</w:t>
            </w:r>
          </w:p>
          <w:p w14:paraId="2C9591F4" w14:textId="509A6AEF"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На 20% зменшено кількість випадків кишково-шлункових захворювань дітей</w:t>
            </w:r>
            <w:r w:rsidR="00A801AF">
              <w:rPr>
                <w:rFonts w:ascii="Times New Roman" w:hAnsi="Times New Roman"/>
                <w:sz w:val="20"/>
                <w:szCs w:val="20"/>
                <w:lang w:eastAsia="it-IT"/>
              </w:rPr>
              <w:t>.</w:t>
            </w:r>
          </w:p>
        </w:tc>
      </w:tr>
      <w:tr w:rsidR="0097410E" w:rsidRPr="000413EB" w14:paraId="6368E6A5" w14:textId="77777777" w:rsidTr="000413EB">
        <w:tc>
          <w:tcPr>
            <w:tcW w:w="567" w:type="dxa"/>
            <w:shd w:val="clear" w:color="auto" w:fill="auto"/>
          </w:tcPr>
          <w:p w14:paraId="6CD2234C" w14:textId="442EC120" w:rsidR="0097410E" w:rsidRPr="000413EB" w:rsidRDefault="003F7FB6" w:rsidP="0097410E">
            <w:pPr>
              <w:pStyle w:val="aa"/>
              <w:jc w:val="both"/>
              <w:rPr>
                <w:rFonts w:ascii="Times New Roman" w:eastAsia="Arial" w:hAnsi="Times New Roman"/>
                <w:sz w:val="20"/>
                <w:szCs w:val="20"/>
              </w:rPr>
            </w:pPr>
            <w:r>
              <w:rPr>
                <w:rFonts w:ascii="Times New Roman" w:eastAsia="Arial" w:hAnsi="Times New Roman"/>
                <w:sz w:val="20"/>
                <w:szCs w:val="20"/>
              </w:rPr>
              <w:t>17</w:t>
            </w:r>
          </w:p>
        </w:tc>
        <w:tc>
          <w:tcPr>
            <w:tcW w:w="2694" w:type="dxa"/>
          </w:tcPr>
          <w:p w14:paraId="54A11412"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С.1.2. Забезпечення комфортних і безпечних умов навчання та праці</w:t>
            </w:r>
          </w:p>
          <w:p w14:paraId="428BC67D" w14:textId="77777777" w:rsidR="0097410E" w:rsidRPr="000413EB" w:rsidRDefault="0097410E" w:rsidP="0097410E">
            <w:pPr>
              <w:jc w:val="both"/>
              <w:rPr>
                <w:rFonts w:ascii="Times New Roman" w:hAnsi="Times New Roman"/>
                <w:sz w:val="20"/>
                <w:szCs w:val="20"/>
              </w:rPr>
            </w:pPr>
          </w:p>
        </w:tc>
        <w:tc>
          <w:tcPr>
            <w:tcW w:w="2551" w:type="dxa"/>
          </w:tcPr>
          <w:p w14:paraId="074A7BFC" w14:textId="77777777" w:rsidR="0097410E" w:rsidRPr="000413EB" w:rsidRDefault="0097410E" w:rsidP="0097410E">
            <w:pPr>
              <w:pBdr>
                <w:left w:val="single" w:sz="18" w:space="4" w:color="auto"/>
              </w:pBdr>
              <w:jc w:val="both"/>
              <w:rPr>
                <w:rFonts w:ascii="Times New Roman" w:hAnsi="Times New Roman"/>
                <w:iCs/>
                <w:sz w:val="20"/>
                <w:szCs w:val="20"/>
                <w:lang w:eastAsia="it-IT"/>
              </w:rPr>
            </w:pPr>
            <w:r w:rsidRPr="000413EB">
              <w:rPr>
                <w:rFonts w:ascii="Times New Roman" w:hAnsi="Times New Roman"/>
                <w:iCs/>
                <w:sz w:val="20"/>
                <w:szCs w:val="20"/>
                <w:lang w:eastAsia="it-IT"/>
              </w:rPr>
              <w:t>С.1.2.4. Підвищення рівня санітарної безпеки закладів освіти.</w:t>
            </w:r>
          </w:p>
          <w:p w14:paraId="4F832C77" w14:textId="77777777" w:rsidR="0097410E" w:rsidRPr="000413EB" w:rsidRDefault="0097410E" w:rsidP="0097410E">
            <w:pPr>
              <w:pBdr>
                <w:left w:val="single" w:sz="18" w:space="4" w:color="auto"/>
              </w:pBdr>
              <w:jc w:val="both"/>
              <w:rPr>
                <w:rFonts w:ascii="Times New Roman" w:hAnsi="Times New Roman"/>
                <w:iCs/>
                <w:sz w:val="20"/>
                <w:szCs w:val="20"/>
                <w:lang w:eastAsia="it-IT"/>
              </w:rPr>
            </w:pPr>
            <w:r w:rsidRPr="000413EB">
              <w:rPr>
                <w:rFonts w:ascii="Times New Roman" w:hAnsi="Times New Roman"/>
                <w:iCs/>
                <w:sz w:val="20"/>
                <w:szCs w:val="20"/>
                <w:lang w:eastAsia="it-IT"/>
              </w:rPr>
              <w:t>С.1.2.5. Підвищення рівня безпечності та якості організації харчування,</w:t>
            </w:r>
          </w:p>
          <w:p w14:paraId="764DBABA" w14:textId="77777777" w:rsidR="0097410E" w:rsidRPr="000413EB" w:rsidRDefault="0097410E" w:rsidP="0097410E">
            <w:pPr>
              <w:pBdr>
                <w:left w:val="single" w:sz="18" w:space="4" w:color="auto"/>
              </w:pBdr>
              <w:jc w:val="both"/>
              <w:rPr>
                <w:rFonts w:ascii="Times New Roman" w:hAnsi="Times New Roman"/>
                <w:iCs/>
                <w:sz w:val="20"/>
                <w:szCs w:val="20"/>
                <w:lang w:eastAsia="it-IT"/>
              </w:rPr>
            </w:pPr>
            <w:r w:rsidRPr="000413EB">
              <w:rPr>
                <w:rFonts w:ascii="Times New Roman" w:hAnsi="Times New Roman"/>
                <w:iCs/>
                <w:sz w:val="20"/>
                <w:szCs w:val="20"/>
                <w:lang w:eastAsia="it-IT"/>
              </w:rPr>
              <w:t>створення умов для здорового способу життя.</w:t>
            </w:r>
          </w:p>
        </w:tc>
        <w:tc>
          <w:tcPr>
            <w:tcW w:w="2835" w:type="dxa"/>
          </w:tcPr>
          <w:p w14:paraId="1F01682F"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Капітальний ремонт харчоблоку КЗ «Жмеринський ліцей № 1»</w:t>
            </w:r>
          </w:p>
        </w:tc>
        <w:tc>
          <w:tcPr>
            <w:tcW w:w="1276" w:type="dxa"/>
          </w:tcPr>
          <w:p w14:paraId="14069B3C"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2025-2028</w:t>
            </w:r>
          </w:p>
        </w:tc>
        <w:tc>
          <w:tcPr>
            <w:tcW w:w="2345" w:type="dxa"/>
          </w:tcPr>
          <w:p w14:paraId="22019AED" w14:textId="77777777" w:rsidR="00177957" w:rsidRDefault="0097410E" w:rsidP="0097410E">
            <w:pPr>
              <w:jc w:val="both"/>
              <w:rPr>
                <w:rFonts w:ascii="Times New Roman" w:hAnsi="Times New Roman"/>
                <w:sz w:val="20"/>
                <w:szCs w:val="20"/>
              </w:rPr>
            </w:pPr>
            <w:r w:rsidRPr="000413EB">
              <w:rPr>
                <w:rFonts w:ascii="Times New Roman" w:hAnsi="Times New Roman"/>
                <w:sz w:val="20"/>
                <w:szCs w:val="20"/>
              </w:rPr>
              <w:t xml:space="preserve">Управління ЖКГ Жмеринської міської ради,  </w:t>
            </w:r>
          </w:p>
          <w:p w14:paraId="1B181864" w14:textId="77777777" w:rsidR="00177957" w:rsidRDefault="0097410E" w:rsidP="0097410E">
            <w:pPr>
              <w:jc w:val="both"/>
              <w:rPr>
                <w:rFonts w:ascii="Times New Roman" w:hAnsi="Times New Roman"/>
                <w:sz w:val="20"/>
                <w:szCs w:val="20"/>
              </w:rPr>
            </w:pPr>
            <w:r w:rsidRPr="000413EB">
              <w:rPr>
                <w:rFonts w:ascii="Times New Roman" w:hAnsi="Times New Roman"/>
                <w:sz w:val="20"/>
                <w:szCs w:val="20"/>
              </w:rPr>
              <w:t>Управління освіти Жмеринської міської ради,</w:t>
            </w:r>
          </w:p>
          <w:p w14:paraId="5C7DFD33" w14:textId="7AB8B581"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 xml:space="preserve"> заклади освіти</w:t>
            </w:r>
          </w:p>
        </w:tc>
        <w:tc>
          <w:tcPr>
            <w:tcW w:w="2900" w:type="dxa"/>
          </w:tcPr>
          <w:p w14:paraId="68677467" w14:textId="632ADC8A" w:rsidR="0097410E" w:rsidRPr="000413EB" w:rsidRDefault="0097410E" w:rsidP="0097410E">
            <w:pPr>
              <w:widowControl w:val="0"/>
              <w:jc w:val="both"/>
              <w:rPr>
                <w:rFonts w:ascii="Times New Roman" w:hAnsi="Times New Roman"/>
                <w:sz w:val="20"/>
                <w:szCs w:val="20"/>
              </w:rPr>
            </w:pPr>
            <w:r w:rsidRPr="000413EB">
              <w:rPr>
                <w:rFonts w:ascii="Times New Roman" w:hAnsi="Times New Roman"/>
                <w:sz w:val="20"/>
                <w:szCs w:val="20"/>
              </w:rPr>
              <w:t>Збільшено відсоток дітей (30%), які харчуються в шкільній їдальні</w:t>
            </w:r>
            <w:r w:rsidR="00A801AF">
              <w:rPr>
                <w:rFonts w:ascii="Times New Roman" w:hAnsi="Times New Roman"/>
                <w:sz w:val="20"/>
                <w:szCs w:val="20"/>
              </w:rPr>
              <w:t>.</w:t>
            </w:r>
          </w:p>
          <w:p w14:paraId="63E97C51" w14:textId="027B55E2" w:rsidR="0097410E" w:rsidRPr="000413EB" w:rsidRDefault="0097410E" w:rsidP="0097410E">
            <w:pPr>
              <w:widowControl w:val="0"/>
              <w:jc w:val="both"/>
              <w:rPr>
                <w:rFonts w:ascii="Times New Roman" w:hAnsi="Times New Roman"/>
                <w:color w:val="001D35"/>
                <w:sz w:val="20"/>
                <w:szCs w:val="20"/>
                <w:shd w:val="clear" w:color="auto" w:fill="FFFFFF"/>
              </w:rPr>
            </w:pPr>
            <w:r w:rsidRPr="000413EB">
              <w:rPr>
                <w:rFonts w:ascii="Times New Roman" w:hAnsi="Times New Roman"/>
                <w:color w:val="001D35"/>
                <w:sz w:val="20"/>
                <w:szCs w:val="20"/>
                <w:shd w:val="clear" w:color="auto" w:fill="FFFFFF"/>
              </w:rPr>
              <w:t>Використовується суч</w:t>
            </w:r>
            <w:r w:rsidR="00A801AF">
              <w:rPr>
                <w:rFonts w:ascii="Times New Roman" w:hAnsi="Times New Roman"/>
                <w:color w:val="001D35"/>
                <w:sz w:val="20"/>
                <w:szCs w:val="20"/>
                <w:shd w:val="clear" w:color="auto" w:fill="FFFFFF"/>
              </w:rPr>
              <w:t>асне енергоефективне обладнання.</w:t>
            </w:r>
          </w:p>
          <w:p w14:paraId="0F5314A8" w14:textId="19D836F4" w:rsidR="0097410E" w:rsidRPr="000413EB" w:rsidRDefault="0097410E" w:rsidP="0097410E">
            <w:pPr>
              <w:widowControl w:val="0"/>
              <w:jc w:val="both"/>
              <w:rPr>
                <w:rFonts w:ascii="Times New Roman" w:hAnsi="Times New Roman"/>
                <w:color w:val="001D35"/>
                <w:sz w:val="20"/>
                <w:szCs w:val="20"/>
                <w:shd w:val="clear" w:color="auto" w:fill="FFFFFF"/>
              </w:rPr>
            </w:pPr>
            <w:r w:rsidRPr="000413EB">
              <w:rPr>
                <w:rFonts w:ascii="Times New Roman" w:hAnsi="Times New Roman"/>
                <w:color w:val="001D35"/>
                <w:sz w:val="20"/>
                <w:szCs w:val="20"/>
                <w:shd w:val="clear" w:color="auto" w:fill="FFFFFF"/>
              </w:rPr>
              <w:t>Дотримуються вимог</w:t>
            </w:r>
            <w:r w:rsidR="00A801AF">
              <w:rPr>
                <w:rFonts w:ascii="Times New Roman" w:hAnsi="Times New Roman"/>
                <w:color w:val="001D35"/>
                <w:sz w:val="20"/>
                <w:szCs w:val="20"/>
                <w:shd w:val="clear" w:color="auto" w:fill="FFFFFF"/>
              </w:rPr>
              <w:t>и</w:t>
            </w:r>
            <w:r w:rsidRPr="000413EB">
              <w:rPr>
                <w:rFonts w:ascii="Times New Roman" w:hAnsi="Times New Roman"/>
                <w:color w:val="001D35"/>
                <w:sz w:val="20"/>
                <w:szCs w:val="20"/>
                <w:shd w:val="clear" w:color="auto" w:fill="FFFFFF"/>
              </w:rPr>
              <w:t xml:space="preserve"> системи НАССР</w:t>
            </w:r>
            <w:r w:rsidR="00A801AF">
              <w:rPr>
                <w:rFonts w:ascii="Times New Roman" w:hAnsi="Times New Roman"/>
                <w:color w:val="001D35"/>
                <w:sz w:val="20"/>
                <w:szCs w:val="20"/>
                <w:shd w:val="clear" w:color="auto" w:fill="FFFFFF"/>
              </w:rPr>
              <w:t>.</w:t>
            </w:r>
          </w:p>
          <w:p w14:paraId="014C33B9"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color w:val="001D35"/>
                <w:sz w:val="20"/>
                <w:szCs w:val="20"/>
                <w:shd w:val="clear" w:color="auto" w:fill="FFFFFF"/>
              </w:rPr>
              <w:t>Сформовано кваліфіковані кадри для організації харчування</w:t>
            </w:r>
            <w:r w:rsidRPr="000413EB">
              <w:rPr>
                <w:rFonts w:ascii="Times New Roman" w:hAnsi="Times New Roman"/>
                <w:sz w:val="20"/>
                <w:szCs w:val="20"/>
              </w:rPr>
              <w:t>.</w:t>
            </w:r>
          </w:p>
        </w:tc>
      </w:tr>
      <w:tr w:rsidR="0097410E" w:rsidRPr="000413EB" w14:paraId="417C465E" w14:textId="77777777" w:rsidTr="000413EB">
        <w:tc>
          <w:tcPr>
            <w:tcW w:w="567" w:type="dxa"/>
            <w:shd w:val="clear" w:color="auto" w:fill="auto"/>
          </w:tcPr>
          <w:p w14:paraId="4A6528C0" w14:textId="50B3CD1A" w:rsidR="0097410E" w:rsidRPr="000413EB" w:rsidRDefault="003F7FB6" w:rsidP="0097410E">
            <w:pPr>
              <w:pStyle w:val="aa"/>
              <w:jc w:val="both"/>
              <w:rPr>
                <w:rFonts w:ascii="Times New Roman" w:eastAsia="Arial" w:hAnsi="Times New Roman"/>
                <w:sz w:val="20"/>
                <w:szCs w:val="20"/>
              </w:rPr>
            </w:pPr>
            <w:r>
              <w:rPr>
                <w:rFonts w:ascii="Times New Roman" w:eastAsia="Arial" w:hAnsi="Times New Roman"/>
                <w:sz w:val="20"/>
                <w:szCs w:val="20"/>
              </w:rPr>
              <w:t>18</w:t>
            </w:r>
          </w:p>
        </w:tc>
        <w:tc>
          <w:tcPr>
            <w:tcW w:w="2694" w:type="dxa"/>
          </w:tcPr>
          <w:p w14:paraId="25D926C4"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С.1.2. Забезпечення комфортних і безпечних умов навчання та праці</w:t>
            </w:r>
          </w:p>
          <w:p w14:paraId="16B0FEF4" w14:textId="77777777" w:rsidR="0097410E" w:rsidRPr="000413EB" w:rsidRDefault="0097410E" w:rsidP="0097410E">
            <w:pPr>
              <w:jc w:val="both"/>
              <w:rPr>
                <w:rFonts w:ascii="Times New Roman" w:hAnsi="Times New Roman"/>
                <w:sz w:val="20"/>
                <w:szCs w:val="20"/>
              </w:rPr>
            </w:pPr>
          </w:p>
        </w:tc>
        <w:tc>
          <w:tcPr>
            <w:tcW w:w="2551" w:type="dxa"/>
          </w:tcPr>
          <w:p w14:paraId="1F3190A3" w14:textId="77777777" w:rsidR="0097410E" w:rsidRPr="000413EB" w:rsidRDefault="0097410E" w:rsidP="0097410E">
            <w:pPr>
              <w:pBdr>
                <w:left w:val="single" w:sz="18" w:space="4" w:color="auto"/>
              </w:pBdr>
              <w:jc w:val="both"/>
              <w:rPr>
                <w:rFonts w:ascii="Times New Roman" w:hAnsi="Times New Roman"/>
                <w:iCs/>
                <w:sz w:val="20"/>
                <w:szCs w:val="20"/>
                <w:lang w:eastAsia="it-IT"/>
              </w:rPr>
            </w:pPr>
            <w:r w:rsidRPr="000413EB">
              <w:rPr>
                <w:rFonts w:ascii="Times New Roman" w:hAnsi="Times New Roman"/>
                <w:iCs/>
                <w:sz w:val="20"/>
                <w:szCs w:val="20"/>
                <w:lang w:eastAsia="it-IT"/>
              </w:rPr>
              <w:t>С.1.2.4. Підвищення рівня санітарної безпеки закладів освіти.</w:t>
            </w:r>
          </w:p>
          <w:p w14:paraId="4B868752" w14:textId="77777777" w:rsidR="0097410E" w:rsidRPr="000413EB" w:rsidRDefault="0097410E" w:rsidP="0097410E">
            <w:pPr>
              <w:pBdr>
                <w:left w:val="single" w:sz="18" w:space="4" w:color="auto"/>
              </w:pBdr>
              <w:jc w:val="both"/>
              <w:rPr>
                <w:rFonts w:ascii="Times New Roman" w:hAnsi="Times New Roman"/>
                <w:iCs/>
                <w:sz w:val="20"/>
                <w:szCs w:val="20"/>
                <w:lang w:eastAsia="it-IT"/>
              </w:rPr>
            </w:pPr>
            <w:r w:rsidRPr="000413EB">
              <w:rPr>
                <w:rFonts w:ascii="Times New Roman" w:hAnsi="Times New Roman"/>
                <w:iCs/>
                <w:sz w:val="20"/>
                <w:szCs w:val="20"/>
                <w:lang w:eastAsia="it-IT"/>
              </w:rPr>
              <w:t>С.1.2.5. Підвищення рівня безпечності та якості організації харчування,</w:t>
            </w:r>
          </w:p>
          <w:p w14:paraId="030220EC" w14:textId="77777777" w:rsidR="0097410E" w:rsidRPr="000413EB" w:rsidRDefault="0097410E" w:rsidP="0097410E">
            <w:pPr>
              <w:pBdr>
                <w:left w:val="single" w:sz="18" w:space="4" w:color="auto"/>
              </w:pBdr>
              <w:jc w:val="both"/>
              <w:rPr>
                <w:rFonts w:ascii="Times New Roman" w:hAnsi="Times New Roman"/>
                <w:iCs/>
                <w:sz w:val="20"/>
                <w:szCs w:val="20"/>
                <w:lang w:eastAsia="it-IT"/>
              </w:rPr>
            </w:pPr>
            <w:r w:rsidRPr="000413EB">
              <w:rPr>
                <w:rFonts w:ascii="Times New Roman" w:hAnsi="Times New Roman"/>
                <w:iCs/>
                <w:sz w:val="20"/>
                <w:szCs w:val="20"/>
                <w:lang w:eastAsia="it-IT"/>
              </w:rPr>
              <w:t>створення умов для здорового способу життя.</w:t>
            </w:r>
          </w:p>
        </w:tc>
        <w:tc>
          <w:tcPr>
            <w:tcW w:w="2835" w:type="dxa"/>
          </w:tcPr>
          <w:p w14:paraId="03B59FD5"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Капітальний ремонт харчоблоку КЗ «Мартинівський ліцей»</w:t>
            </w:r>
          </w:p>
          <w:p w14:paraId="69C1544B"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Жмеринської міської територіальної громади</w:t>
            </w:r>
          </w:p>
        </w:tc>
        <w:tc>
          <w:tcPr>
            <w:tcW w:w="1276" w:type="dxa"/>
          </w:tcPr>
          <w:p w14:paraId="38CBAEA2"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2025-2028</w:t>
            </w:r>
          </w:p>
        </w:tc>
        <w:tc>
          <w:tcPr>
            <w:tcW w:w="2345" w:type="dxa"/>
          </w:tcPr>
          <w:p w14:paraId="74842606" w14:textId="77777777" w:rsidR="00177957" w:rsidRDefault="0097410E" w:rsidP="0097410E">
            <w:pPr>
              <w:jc w:val="both"/>
              <w:rPr>
                <w:rFonts w:ascii="Times New Roman" w:hAnsi="Times New Roman"/>
                <w:sz w:val="20"/>
                <w:szCs w:val="20"/>
              </w:rPr>
            </w:pPr>
            <w:r w:rsidRPr="000413EB">
              <w:rPr>
                <w:rFonts w:ascii="Times New Roman" w:hAnsi="Times New Roman"/>
                <w:sz w:val="20"/>
                <w:szCs w:val="20"/>
              </w:rPr>
              <w:t xml:space="preserve">Управління ЖКГ Жмеринської міської ради, </w:t>
            </w:r>
          </w:p>
          <w:p w14:paraId="0288EFF0" w14:textId="77777777" w:rsidR="00177957" w:rsidRDefault="0097410E" w:rsidP="0097410E">
            <w:pPr>
              <w:jc w:val="both"/>
              <w:rPr>
                <w:rFonts w:ascii="Times New Roman" w:hAnsi="Times New Roman"/>
                <w:sz w:val="20"/>
                <w:szCs w:val="20"/>
              </w:rPr>
            </w:pPr>
            <w:r w:rsidRPr="000413EB">
              <w:rPr>
                <w:rFonts w:ascii="Times New Roman" w:hAnsi="Times New Roman"/>
                <w:sz w:val="20"/>
                <w:szCs w:val="20"/>
              </w:rPr>
              <w:t xml:space="preserve">Управління освіти Жмеринської міської ради, </w:t>
            </w:r>
          </w:p>
          <w:p w14:paraId="78F74EE5" w14:textId="1B6165BE"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заклади освіти</w:t>
            </w:r>
          </w:p>
        </w:tc>
        <w:tc>
          <w:tcPr>
            <w:tcW w:w="2900" w:type="dxa"/>
          </w:tcPr>
          <w:p w14:paraId="429AA36C"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Збільшено відсоток дітей (30%), які харчуються в шкільній їдальні.</w:t>
            </w:r>
          </w:p>
        </w:tc>
      </w:tr>
      <w:tr w:rsidR="0097410E" w:rsidRPr="000413EB" w14:paraId="6EF3130D" w14:textId="77777777" w:rsidTr="000413EB">
        <w:tc>
          <w:tcPr>
            <w:tcW w:w="567" w:type="dxa"/>
            <w:shd w:val="clear" w:color="auto" w:fill="auto"/>
          </w:tcPr>
          <w:p w14:paraId="57A45FB6" w14:textId="1CD04E8A" w:rsidR="0097410E" w:rsidRPr="000413EB" w:rsidRDefault="003F7FB6" w:rsidP="0097410E">
            <w:pPr>
              <w:pStyle w:val="aa"/>
              <w:jc w:val="both"/>
              <w:rPr>
                <w:rFonts w:ascii="Times New Roman" w:eastAsia="Arial" w:hAnsi="Times New Roman"/>
                <w:sz w:val="20"/>
                <w:szCs w:val="20"/>
              </w:rPr>
            </w:pPr>
            <w:r>
              <w:rPr>
                <w:rFonts w:ascii="Times New Roman" w:eastAsia="Arial" w:hAnsi="Times New Roman"/>
                <w:sz w:val="20"/>
                <w:szCs w:val="20"/>
              </w:rPr>
              <w:t>19</w:t>
            </w:r>
          </w:p>
        </w:tc>
        <w:tc>
          <w:tcPr>
            <w:tcW w:w="2694" w:type="dxa"/>
          </w:tcPr>
          <w:p w14:paraId="57F8A19B"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Забезпечення комфортних і безпечних умов навчання та праці</w:t>
            </w:r>
          </w:p>
        </w:tc>
        <w:tc>
          <w:tcPr>
            <w:tcW w:w="2551" w:type="dxa"/>
          </w:tcPr>
          <w:p w14:paraId="785CA500"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С.1.2.4.Підвищення рівня санітарної безпеки закладів освіти</w:t>
            </w:r>
          </w:p>
          <w:p w14:paraId="1532EE35"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rPr>
              <w:t>С.1.2.5 Підвищення рівня безпечності та якості організації харчування, створення умов для здорового способу життя</w:t>
            </w:r>
          </w:p>
        </w:tc>
        <w:tc>
          <w:tcPr>
            <w:tcW w:w="2835" w:type="dxa"/>
          </w:tcPr>
          <w:p w14:paraId="5DE92ECF"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Опорна кухня - інноваційна модель організації шкільного харчування</w:t>
            </w:r>
          </w:p>
        </w:tc>
        <w:tc>
          <w:tcPr>
            <w:tcW w:w="1276" w:type="dxa"/>
          </w:tcPr>
          <w:p w14:paraId="55B5A6F2"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2025-2028</w:t>
            </w:r>
          </w:p>
        </w:tc>
        <w:tc>
          <w:tcPr>
            <w:tcW w:w="2345" w:type="dxa"/>
          </w:tcPr>
          <w:p w14:paraId="5D6ABDA4" w14:textId="77777777" w:rsidR="00177957" w:rsidRDefault="0097410E" w:rsidP="0097410E">
            <w:pPr>
              <w:jc w:val="both"/>
              <w:rPr>
                <w:rFonts w:ascii="Times New Roman" w:hAnsi="Times New Roman"/>
                <w:sz w:val="20"/>
                <w:szCs w:val="20"/>
              </w:rPr>
            </w:pPr>
            <w:r w:rsidRPr="000413EB">
              <w:rPr>
                <w:rFonts w:ascii="Times New Roman" w:hAnsi="Times New Roman"/>
                <w:sz w:val="20"/>
                <w:szCs w:val="20"/>
              </w:rPr>
              <w:t xml:space="preserve">Управління освіти Жмеринської міської ради, </w:t>
            </w:r>
          </w:p>
          <w:p w14:paraId="34D27366" w14:textId="04341733"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заклади освіти</w:t>
            </w:r>
          </w:p>
        </w:tc>
        <w:tc>
          <w:tcPr>
            <w:tcW w:w="2900" w:type="dxa"/>
          </w:tcPr>
          <w:p w14:paraId="08A1CF99" w14:textId="77777777" w:rsidR="0097410E" w:rsidRPr="000413EB" w:rsidRDefault="0097410E" w:rsidP="0097410E">
            <w:pPr>
              <w:jc w:val="both"/>
              <w:rPr>
                <w:rFonts w:ascii="Times New Roman" w:hAnsi="Times New Roman"/>
                <w:sz w:val="20"/>
                <w:szCs w:val="20"/>
                <w:shd w:val="clear" w:color="auto" w:fill="FFFFFF"/>
              </w:rPr>
            </w:pPr>
            <w:r w:rsidRPr="000413EB">
              <w:rPr>
                <w:rFonts w:ascii="Times New Roman" w:hAnsi="Times New Roman"/>
                <w:sz w:val="20"/>
                <w:szCs w:val="20"/>
                <w:shd w:val="clear" w:color="auto" w:fill="FFFFFF"/>
              </w:rPr>
              <w:t>150 учнів двох закладів освіти сільської місцевості забезпечені якісним і збалансованим гарячим харчуванням.</w:t>
            </w:r>
          </w:p>
          <w:p w14:paraId="42A5D542"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shd w:val="clear" w:color="auto" w:fill="FFFFFF"/>
              </w:rPr>
              <w:t>Створено умови для формування культури здорового харчування у школярів.</w:t>
            </w:r>
          </w:p>
        </w:tc>
      </w:tr>
      <w:tr w:rsidR="00791396" w:rsidRPr="000413EB" w14:paraId="73BE45E1" w14:textId="77777777" w:rsidTr="000413EB">
        <w:tc>
          <w:tcPr>
            <w:tcW w:w="567" w:type="dxa"/>
            <w:shd w:val="clear" w:color="auto" w:fill="auto"/>
          </w:tcPr>
          <w:p w14:paraId="19AE5143" w14:textId="7E61D3C7" w:rsidR="00791396" w:rsidRPr="000413EB" w:rsidRDefault="003F7FB6" w:rsidP="0097410E">
            <w:pPr>
              <w:pStyle w:val="aa"/>
              <w:jc w:val="both"/>
              <w:rPr>
                <w:rFonts w:ascii="Times New Roman" w:eastAsia="Arial" w:hAnsi="Times New Roman"/>
                <w:sz w:val="20"/>
                <w:szCs w:val="20"/>
              </w:rPr>
            </w:pPr>
            <w:r>
              <w:rPr>
                <w:rFonts w:ascii="Times New Roman" w:eastAsia="Arial" w:hAnsi="Times New Roman"/>
                <w:sz w:val="20"/>
                <w:szCs w:val="20"/>
              </w:rPr>
              <w:t>20</w:t>
            </w:r>
          </w:p>
        </w:tc>
        <w:tc>
          <w:tcPr>
            <w:tcW w:w="2694" w:type="dxa"/>
          </w:tcPr>
          <w:p w14:paraId="4F702A71" w14:textId="544184BF" w:rsidR="00791396" w:rsidRPr="000413EB" w:rsidRDefault="00791396" w:rsidP="0097410E">
            <w:pPr>
              <w:jc w:val="both"/>
              <w:rPr>
                <w:rFonts w:ascii="Times New Roman" w:hAnsi="Times New Roman"/>
                <w:sz w:val="20"/>
                <w:szCs w:val="20"/>
              </w:rPr>
            </w:pPr>
            <w:r w:rsidRPr="00791396">
              <w:rPr>
                <w:rFonts w:ascii="Times New Roman" w:hAnsi="Times New Roman"/>
                <w:sz w:val="20"/>
                <w:szCs w:val="20"/>
              </w:rPr>
              <w:t>С.1.3 Забезпечення якості освіти та освітньої діяльності</w:t>
            </w:r>
          </w:p>
        </w:tc>
        <w:tc>
          <w:tcPr>
            <w:tcW w:w="2551" w:type="dxa"/>
          </w:tcPr>
          <w:p w14:paraId="1D19063F" w14:textId="54F53D70" w:rsidR="00791396" w:rsidRPr="000413EB" w:rsidRDefault="00791396" w:rsidP="0097410E">
            <w:pPr>
              <w:jc w:val="both"/>
              <w:rPr>
                <w:rFonts w:ascii="Times New Roman" w:hAnsi="Times New Roman"/>
                <w:sz w:val="20"/>
                <w:szCs w:val="20"/>
              </w:rPr>
            </w:pPr>
            <w:r w:rsidRPr="00791396">
              <w:rPr>
                <w:rFonts w:ascii="Times New Roman" w:hAnsi="Times New Roman"/>
                <w:sz w:val="20"/>
                <w:szCs w:val="20"/>
              </w:rPr>
              <w:t>С. 1.3.1. Забезпечення доступу до якісних освіт</w:t>
            </w:r>
            <w:r>
              <w:rPr>
                <w:rFonts w:ascii="Times New Roman" w:hAnsi="Times New Roman"/>
                <w:sz w:val="20"/>
                <w:szCs w:val="20"/>
              </w:rPr>
              <w:t>ніх послуг в тому числі для дітей</w:t>
            </w:r>
            <w:r w:rsidRPr="00791396">
              <w:rPr>
                <w:rFonts w:ascii="Times New Roman" w:hAnsi="Times New Roman"/>
                <w:sz w:val="20"/>
                <w:szCs w:val="20"/>
              </w:rPr>
              <w:t xml:space="preserve"> з ООП.</w:t>
            </w:r>
          </w:p>
        </w:tc>
        <w:tc>
          <w:tcPr>
            <w:tcW w:w="2835" w:type="dxa"/>
          </w:tcPr>
          <w:p w14:paraId="64116684" w14:textId="7FD24EB5" w:rsidR="00791396" w:rsidRPr="000413EB" w:rsidRDefault="00791396" w:rsidP="0097410E">
            <w:pPr>
              <w:jc w:val="both"/>
              <w:rPr>
                <w:rFonts w:ascii="Times New Roman" w:hAnsi="Times New Roman"/>
                <w:sz w:val="20"/>
                <w:szCs w:val="20"/>
              </w:rPr>
            </w:pPr>
            <w:r w:rsidRPr="00791396">
              <w:rPr>
                <w:rFonts w:ascii="Times New Roman" w:hAnsi="Times New Roman"/>
                <w:sz w:val="20"/>
                <w:szCs w:val="20"/>
              </w:rPr>
              <w:t>Безбар’єрний освітній простір Жмеринського вищого професійного училища</w:t>
            </w:r>
          </w:p>
        </w:tc>
        <w:tc>
          <w:tcPr>
            <w:tcW w:w="1276" w:type="dxa"/>
          </w:tcPr>
          <w:p w14:paraId="0A96C8AC" w14:textId="258ABE84" w:rsidR="00791396" w:rsidRPr="000413EB" w:rsidRDefault="00791396" w:rsidP="0097410E">
            <w:pPr>
              <w:jc w:val="both"/>
              <w:rPr>
                <w:rFonts w:ascii="Times New Roman" w:hAnsi="Times New Roman"/>
                <w:sz w:val="20"/>
                <w:szCs w:val="20"/>
              </w:rPr>
            </w:pPr>
            <w:r>
              <w:rPr>
                <w:rFonts w:ascii="Times New Roman" w:hAnsi="Times New Roman"/>
                <w:sz w:val="20"/>
                <w:szCs w:val="20"/>
              </w:rPr>
              <w:t>2025-2028</w:t>
            </w:r>
          </w:p>
        </w:tc>
        <w:tc>
          <w:tcPr>
            <w:tcW w:w="2345" w:type="dxa"/>
          </w:tcPr>
          <w:p w14:paraId="559D257B" w14:textId="22711BAE" w:rsidR="00791396" w:rsidRPr="000413EB" w:rsidRDefault="00791396" w:rsidP="0097410E">
            <w:pPr>
              <w:jc w:val="both"/>
              <w:rPr>
                <w:rFonts w:ascii="Times New Roman" w:hAnsi="Times New Roman"/>
                <w:sz w:val="20"/>
                <w:szCs w:val="20"/>
              </w:rPr>
            </w:pPr>
            <w:r w:rsidRPr="00791396">
              <w:rPr>
                <w:rFonts w:ascii="Times New Roman" w:hAnsi="Times New Roman"/>
                <w:sz w:val="20"/>
                <w:szCs w:val="20"/>
                <w:lang w:val="ru-RU"/>
              </w:rPr>
              <w:t>ДПТНЗ «Жмеринське вище професійне училище»</w:t>
            </w:r>
          </w:p>
        </w:tc>
        <w:tc>
          <w:tcPr>
            <w:tcW w:w="2900" w:type="dxa"/>
          </w:tcPr>
          <w:p w14:paraId="3327F61B" w14:textId="42A2CE4F" w:rsidR="00791396" w:rsidRPr="00791396" w:rsidRDefault="00791396" w:rsidP="00791396">
            <w:pPr>
              <w:jc w:val="both"/>
              <w:rPr>
                <w:rFonts w:ascii="Times New Roman" w:hAnsi="Times New Roman"/>
                <w:sz w:val="20"/>
                <w:szCs w:val="20"/>
                <w:shd w:val="clear" w:color="auto" w:fill="FFFFFF"/>
              </w:rPr>
            </w:pPr>
            <w:r>
              <w:rPr>
                <w:rFonts w:ascii="Times New Roman" w:hAnsi="Times New Roman"/>
                <w:sz w:val="20"/>
                <w:szCs w:val="20"/>
                <w:shd w:val="clear" w:color="auto" w:fill="FFFFFF"/>
              </w:rPr>
              <w:t>У</w:t>
            </w:r>
            <w:r w:rsidRPr="00791396">
              <w:rPr>
                <w:rFonts w:ascii="Times New Roman" w:hAnsi="Times New Roman"/>
                <w:sz w:val="20"/>
                <w:szCs w:val="20"/>
                <w:shd w:val="clear" w:color="auto" w:fill="FFFFFF"/>
              </w:rPr>
              <w:t>чилище повністю відповідає вимогам безбар’єрності т</w:t>
            </w:r>
            <w:r w:rsidR="00A801AF">
              <w:rPr>
                <w:rFonts w:ascii="Times New Roman" w:hAnsi="Times New Roman"/>
                <w:sz w:val="20"/>
                <w:szCs w:val="20"/>
                <w:shd w:val="clear" w:color="auto" w:fill="FFFFFF"/>
              </w:rPr>
              <w:t>а може отримувати нові ліцензії.</w:t>
            </w:r>
          </w:p>
          <w:p w14:paraId="1F194287" w14:textId="5514776E" w:rsidR="00791396" w:rsidRPr="00791396" w:rsidRDefault="00791396" w:rsidP="00791396">
            <w:pPr>
              <w:jc w:val="both"/>
              <w:rPr>
                <w:rFonts w:ascii="Times New Roman" w:hAnsi="Times New Roman"/>
                <w:sz w:val="20"/>
                <w:szCs w:val="20"/>
                <w:shd w:val="clear" w:color="auto" w:fill="FFFFFF"/>
              </w:rPr>
            </w:pPr>
            <w:r>
              <w:rPr>
                <w:rFonts w:ascii="Times New Roman" w:hAnsi="Times New Roman"/>
                <w:sz w:val="20"/>
                <w:szCs w:val="20"/>
                <w:shd w:val="clear" w:color="auto" w:fill="FFFFFF"/>
              </w:rPr>
              <w:t>В</w:t>
            </w:r>
            <w:r w:rsidRPr="00791396">
              <w:rPr>
                <w:rFonts w:ascii="Times New Roman" w:hAnsi="Times New Roman"/>
                <w:sz w:val="20"/>
                <w:szCs w:val="20"/>
                <w:shd w:val="clear" w:color="auto" w:fill="FFFFFF"/>
              </w:rPr>
              <w:t>ідкрито не менше трьох нових професій, затр</w:t>
            </w:r>
            <w:r w:rsidR="00A801AF">
              <w:rPr>
                <w:rFonts w:ascii="Times New Roman" w:hAnsi="Times New Roman"/>
                <w:sz w:val="20"/>
                <w:szCs w:val="20"/>
                <w:shd w:val="clear" w:color="auto" w:fill="FFFFFF"/>
              </w:rPr>
              <w:t>ебуваних підприємствами громади.</w:t>
            </w:r>
          </w:p>
          <w:p w14:paraId="2719EAEB" w14:textId="03B3BF40" w:rsidR="00791396" w:rsidRPr="00791396" w:rsidRDefault="00791396" w:rsidP="00791396">
            <w:pPr>
              <w:jc w:val="both"/>
              <w:rPr>
                <w:rFonts w:ascii="Times New Roman" w:hAnsi="Times New Roman"/>
                <w:sz w:val="20"/>
                <w:szCs w:val="20"/>
                <w:shd w:val="clear" w:color="auto" w:fill="FFFFFF"/>
              </w:rPr>
            </w:pPr>
            <w:r>
              <w:rPr>
                <w:rFonts w:ascii="Times New Roman" w:hAnsi="Times New Roman"/>
                <w:sz w:val="20"/>
                <w:szCs w:val="20"/>
                <w:shd w:val="clear" w:color="auto" w:fill="FFFFFF"/>
              </w:rPr>
              <w:t>З</w:t>
            </w:r>
            <w:r w:rsidR="00A801AF">
              <w:rPr>
                <w:rFonts w:ascii="Times New Roman" w:hAnsi="Times New Roman"/>
                <w:sz w:val="20"/>
                <w:szCs w:val="20"/>
                <w:shd w:val="clear" w:color="auto" w:fill="FFFFFF"/>
              </w:rPr>
              <w:t>більшено набір учнів на 40%.</w:t>
            </w:r>
          </w:p>
          <w:p w14:paraId="285603DA" w14:textId="5C5661C7" w:rsidR="00791396" w:rsidRPr="00791396" w:rsidRDefault="00791396" w:rsidP="00791396">
            <w:pPr>
              <w:jc w:val="both"/>
              <w:rPr>
                <w:rFonts w:ascii="Times New Roman" w:hAnsi="Times New Roman"/>
                <w:sz w:val="20"/>
                <w:szCs w:val="20"/>
                <w:shd w:val="clear" w:color="auto" w:fill="FFFFFF"/>
              </w:rPr>
            </w:pPr>
            <w:r>
              <w:rPr>
                <w:rFonts w:ascii="Times New Roman" w:hAnsi="Times New Roman"/>
                <w:sz w:val="20"/>
                <w:szCs w:val="20"/>
                <w:shd w:val="clear" w:color="auto" w:fill="FFFFFF"/>
              </w:rPr>
              <w:t>Н</w:t>
            </w:r>
            <w:r w:rsidRPr="00791396">
              <w:rPr>
                <w:rFonts w:ascii="Times New Roman" w:hAnsi="Times New Roman"/>
                <w:sz w:val="20"/>
                <w:szCs w:val="20"/>
                <w:shd w:val="clear" w:color="auto" w:fill="FFFFFF"/>
              </w:rPr>
              <w:t>е менше 400 учнів щороку користу</w:t>
            </w:r>
            <w:r w:rsidR="00A801AF">
              <w:rPr>
                <w:rFonts w:ascii="Times New Roman" w:hAnsi="Times New Roman"/>
                <w:sz w:val="20"/>
                <w:szCs w:val="20"/>
                <w:shd w:val="clear" w:color="auto" w:fill="FFFFFF"/>
              </w:rPr>
              <w:t>ються оновленою інфраструктурою.</w:t>
            </w:r>
          </w:p>
          <w:p w14:paraId="06DE8ACE" w14:textId="76A2EB54" w:rsidR="00791396" w:rsidRPr="00791396" w:rsidRDefault="00791396" w:rsidP="00791396">
            <w:pPr>
              <w:jc w:val="both"/>
              <w:rPr>
                <w:rFonts w:ascii="Times New Roman" w:hAnsi="Times New Roman"/>
                <w:sz w:val="20"/>
                <w:szCs w:val="20"/>
                <w:shd w:val="clear" w:color="auto" w:fill="FFFFFF"/>
              </w:rPr>
            </w:pPr>
            <w:r>
              <w:rPr>
                <w:rFonts w:ascii="Times New Roman" w:hAnsi="Times New Roman"/>
                <w:sz w:val="20"/>
                <w:szCs w:val="20"/>
                <w:shd w:val="clear" w:color="auto" w:fill="FFFFFF"/>
              </w:rPr>
              <w:t>П</w:t>
            </w:r>
            <w:r w:rsidRPr="00791396">
              <w:rPr>
                <w:rFonts w:ascii="Times New Roman" w:hAnsi="Times New Roman"/>
                <w:sz w:val="20"/>
                <w:szCs w:val="20"/>
                <w:shd w:val="clear" w:color="auto" w:fill="FFFFFF"/>
              </w:rPr>
              <w:t>ідготовлено 10 педагогів для р</w:t>
            </w:r>
            <w:r w:rsidR="00A801AF">
              <w:rPr>
                <w:rFonts w:ascii="Times New Roman" w:hAnsi="Times New Roman"/>
                <w:sz w:val="20"/>
                <w:szCs w:val="20"/>
                <w:shd w:val="clear" w:color="auto" w:fill="FFFFFF"/>
              </w:rPr>
              <w:t>оботи в інклюзивному середовищі.</w:t>
            </w:r>
          </w:p>
          <w:p w14:paraId="08B3C5F7" w14:textId="2E2A77B6" w:rsidR="00791396" w:rsidRPr="000413EB" w:rsidRDefault="00791396" w:rsidP="00791396">
            <w:pPr>
              <w:jc w:val="both"/>
              <w:rPr>
                <w:rFonts w:ascii="Times New Roman" w:hAnsi="Times New Roman"/>
                <w:sz w:val="20"/>
                <w:szCs w:val="20"/>
                <w:shd w:val="clear" w:color="auto" w:fill="FFFFFF"/>
              </w:rPr>
            </w:pPr>
            <w:r>
              <w:rPr>
                <w:rFonts w:ascii="Times New Roman" w:hAnsi="Times New Roman"/>
                <w:sz w:val="20"/>
                <w:szCs w:val="20"/>
                <w:shd w:val="clear" w:color="auto" w:fill="FFFFFF"/>
              </w:rPr>
              <w:t>П</w:t>
            </w:r>
            <w:r w:rsidRPr="00791396">
              <w:rPr>
                <w:rFonts w:ascii="Times New Roman" w:hAnsi="Times New Roman"/>
                <w:sz w:val="20"/>
                <w:szCs w:val="20"/>
                <w:shd w:val="clear" w:color="auto" w:fill="FFFFFF"/>
              </w:rPr>
              <w:t>ідвищено рівень працевлаштування випускників до 70%.</w:t>
            </w:r>
          </w:p>
        </w:tc>
      </w:tr>
      <w:tr w:rsidR="0097410E" w:rsidRPr="000413EB" w14:paraId="5CFAB22B" w14:textId="77777777" w:rsidTr="000413EB">
        <w:tc>
          <w:tcPr>
            <w:tcW w:w="567" w:type="dxa"/>
            <w:shd w:val="clear" w:color="auto" w:fill="auto"/>
          </w:tcPr>
          <w:p w14:paraId="7E2EBDE6" w14:textId="0A067CB9" w:rsidR="0097410E" w:rsidRPr="000413EB" w:rsidRDefault="003F7FB6" w:rsidP="0097410E">
            <w:pPr>
              <w:pStyle w:val="aa"/>
              <w:jc w:val="both"/>
              <w:rPr>
                <w:rFonts w:ascii="Times New Roman" w:eastAsia="Arial" w:hAnsi="Times New Roman"/>
                <w:sz w:val="20"/>
                <w:szCs w:val="20"/>
              </w:rPr>
            </w:pPr>
            <w:r>
              <w:rPr>
                <w:rFonts w:ascii="Times New Roman" w:eastAsia="Arial" w:hAnsi="Times New Roman"/>
                <w:sz w:val="20"/>
                <w:szCs w:val="20"/>
              </w:rPr>
              <w:t>21</w:t>
            </w:r>
          </w:p>
        </w:tc>
        <w:tc>
          <w:tcPr>
            <w:tcW w:w="2694" w:type="dxa"/>
            <w:shd w:val="clear" w:color="auto" w:fill="auto"/>
            <w:vAlign w:val="center"/>
          </w:tcPr>
          <w:p w14:paraId="62381B36" w14:textId="77777777" w:rsidR="0097410E" w:rsidRPr="000413EB" w:rsidRDefault="0097410E" w:rsidP="0097410E">
            <w:pPr>
              <w:jc w:val="both"/>
              <w:rPr>
                <w:rFonts w:ascii="Times New Roman" w:eastAsia="Arial" w:hAnsi="Times New Roman"/>
                <w:sz w:val="20"/>
                <w:szCs w:val="20"/>
                <w:lang w:eastAsia="en-US"/>
              </w:rPr>
            </w:pPr>
            <w:r w:rsidRPr="000413EB">
              <w:rPr>
                <w:rFonts w:ascii="Times New Roman" w:hAnsi="Times New Roman"/>
                <w:sz w:val="20"/>
                <w:szCs w:val="20"/>
              </w:rPr>
              <w:t>С.2.1. Створення ефективної системи надання первинної медико-санітарної допомоги</w:t>
            </w:r>
          </w:p>
        </w:tc>
        <w:tc>
          <w:tcPr>
            <w:tcW w:w="2551" w:type="dxa"/>
            <w:shd w:val="clear" w:color="auto" w:fill="auto"/>
            <w:vAlign w:val="center"/>
          </w:tcPr>
          <w:p w14:paraId="1D78CDCC"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С.2.1.1. Створення ефективної структури та управління ЦПМСД на принцип доступності (амбулаторії, матеріально-технічне забезпечення, забезпечення персоналом).</w:t>
            </w:r>
          </w:p>
        </w:tc>
        <w:tc>
          <w:tcPr>
            <w:tcW w:w="2835" w:type="dxa"/>
            <w:shd w:val="clear" w:color="auto" w:fill="auto"/>
            <w:vAlign w:val="center"/>
          </w:tcPr>
          <w:p w14:paraId="3E7BC328"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hAnsi="Times New Roman"/>
                <w:sz w:val="20"/>
                <w:szCs w:val="20"/>
              </w:rPr>
            </w:pPr>
            <w:r w:rsidRPr="000413EB">
              <w:rPr>
                <w:rFonts w:ascii="Times New Roman" w:hAnsi="Times New Roman"/>
                <w:sz w:val="20"/>
                <w:szCs w:val="20"/>
              </w:rPr>
              <w:t>Щорічне оновлення та модернізація медичного обладнання в амбулаторіях Жмеринської МТГ</w:t>
            </w:r>
          </w:p>
        </w:tc>
        <w:tc>
          <w:tcPr>
            <w:tcW w:w="1276" w:type="dxa"/>
            <w:shd w:val="clear" w:color="auto" w:fill="auto"/>
            <w:vAlign w:val="center"/>
          </w:tcPr>
          <w:p w14:paraId="2CFAAA47"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hAnsi="Times New Roman"/>
                <w:sz w:val="20"/>
                <w:szCs w:val="20"/>
              </w:rPr>
            </w:pPr>
            <w:r w:rsidRPr="000413EB">
              <w:rPr>
                <w:rFonts w:ascii="Times New Roman" w:hAnsi="Times New Roman"/>
                <w:sz w:val="20"/>
                <w:szCs w:val="20"/>
              </w:rPr>
              <w:t xml:space="preserve">2025–2027 </w:t>
            </w:r>
          </w:p>
        </w:tc>
        <w:tc>
          <w:tcPr>
            <w:tcW w:w="2345" w:type="dxa"/>
            <w:shd w:val="clear" w:color="auto" w:fill="auto"/>
            <w:vAlign w:val="center"/>
          </w:tcPr>
          <w:p w14:paraId="276329FB"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КНП «Жмеринський МЦ ПМСД»,</w:t>
            </w:r>
          </w:p>
          <w:p w14:paraId="224E40E7" w14:textId="77777777" w:rsidR="0097410E" w:rsidRPr="000413EB" w:rsidRDefault="0097410E" w:rsidP="0097410E">
            <w:pPr>
              <w:jc w:val="both"/>
              <w:rPr>
                <w:rFonts w:ascii="Times New Roman" w:hAnsi="Times New Roman"/>
                <w:sz w:val="20"/>
                <w:szCs w:val="20"/>
              </w:rPr>
            </w:pPr>
            <w:r w:rsidRPr="000413EB">
              <w:rPr>
                <w:rFonts w:ascii="Times New Roman" w:hAnsi="Times New Roman"/>
                <w:color w:val="000000"/>
                <w:sz w:val="20"/>
                <w:szCs w:val="20"/>
                <w:lang w:eastAsia="it-IT"/>
              </w:rPr>
              <w:t>Управління соціального захисту населення та охорони здоров’я</w:t>
            </w:r>
          </w:p>
        </w:tc>
        <w:tc>
          <w:tcPr>
            <w:tcW w:w="2900" w:type="dxa"/>
            <w:shd w:val="clear" w:color="auto" w:fill="auto"/>
          </w:tcPr>
          <w:p w14:paraId="2F1C92AB" w14:textId="77777777" w:rsidR="0097410E" w:rsidRPr="000413EB" w:rsidRDefault="0097410E" w:rsidP="0097410E">
            <w:pPr>
              <w:pStyle w:val="ad"/>
              <w:spacing w:before="0" w:beforeAutospacing="0" w:after="0" w:afterAutospacing="0"/>
              <w:jc w:val="both"/>
              <w:rPr>
                <w:rFonts w:ascii="Times New Roman" w:hAnsi="Times New Roman"/>
                <w:sz w:val="20"/>
                <w:szCs w:val="20"/>
              </w:rPr>
            </w:pPr>
            <w:r w:rsidRPr="000413EB">
              <w:rPr>
                <w:rFonts w:ascii="Times New Roman" w:hAnsi="Times New Roman"/>
                <w:sz w:val="20"/>
                <w:szCs w:val="20"/>
              </w:rPr>
              <w:t>Оновлено не менше 10 одиниць обладнання щороку.</w:t>
            </w:r>
          </w:p>
          <w:p w14:paraId="76337F29" w14:textId="77777777" w:rsidR="0097410E" w:rsidRPr="000413EB" w:rsidRDefault="0097410E" w:rsidP="0097410E">
            <w:pPr>
              <w:pStyle w:val="ad"/>
              <w:spacing w:before="0" w:beforeAutospacing="0" w:after="0" w:afterAutospacing="0"/>
              <w:jc w:val="both"/>
              <w:rPr>
                <w:rFonts w:ascii="Times New Roman" w:hAnsi="Times New Roman"/>
                <w:sz w:val="20"/>
                <w:szCs w:val="20"/>
              </w:rPr>
            </w:pPr>
            <w:r w:rsidRPr="000413EB">
              <w:rPr>
                <w:rFonts w:ascii="Times New Roman" w:hAnsi="Times New Roman"/>
                <w:sz w:val="20"/>
                <w:szCs w:val="20"/>
              </w:rPr>
              <w:t>Покращено забезпечення амбулаторій на 100% протягом 4 років.</w:t>
            </w:r>
          </w:p>
          <w:p w14:paraId="30A24E51" w14:textId="77777777" w:rsidR="0097410E" w:rsidRPr="000413EB" w:rsidRDefault="0097410E" w:rsidP="0097410E">
            <w:pPr>
              <w:pStyle w:val="ad"/>
              <w:spacing w:before="0" w:beforeAutospacing="0" w:after="0" w:afterAutospacing="0"/>
              <w:jc w:val="both"/>
              <w:rPr>
                <w:rFonts w:ascii="Times New Roman" w:hAnsi="Times New Roman"/>
                <w:sz w:val="20"/>
                <w:szCs w:val="20"/>
              </w:rPr>
            </w:pPr>
            <w:r w:rsidRPr="000413EB">
              <w:rPr>
                <w:rFonts w:ascii="Times New Roman" w:hAnsi="Times New Roman"/>
                <w:sz w:val="20"/>
                <w:szCs w:val="20"/>
              </w:rPr>
              <w:t>Скорочено час діагностики на 20–30%.</w:t>
            </w:r>
          </w:p>
          <w:p w14:paraId="5DA34E2B" w14:textId="77777777" w:rsidR="0097410E" w:rsidRPr="000413EB" w:rsidRDefault="0097410E" w:rsidP="0097410E">
            <w:pPr>
              <w:pStyle w:val="ad"/>
              <w:spacing w:before="0" w:beforeAutospacing="0" w:after="0" w:afterAutospacing="0"/>
              <w:jc w:val="both"/>
              <w:rPr>
                <w:rFonts w:ascii="Times New Roman" w:hAnsi="Times New Roman"/>
                <w:sz w:val="20"/>
                <w:szCs w:val="20"/>
              </w:rPr>
            </w:pPr>
            <w:r w:rsidRPr="000413EB">
              <w:rPr>
                <w:rFonts w:ascii="Times New Roman" w:hAnsi="Times New Roman"/>
                <w:sz w:val="20"/>
                <w:szCs w:val="20"/>
              </w:rPr>
              <w:t>Підвищено кількість контрактованих пакетів НСЗУ.</w:t>
            </w:r>
          </w:p>
        </w:tc>
      </w:tr>
      <w:tr w:rsidR="0097410E" w:rsidRPr="000413EB" w14:paraId="5549946B" w14:textId="77777777" w:rsidTr="000413EB">
        <w:tc>
          <w:tcPr>
            <w:tcW w:w="567" w:type="dxa"/>
            <w:shd w:val="clear" w:color="auto" w:fill="auto"/>
          </w:tcPr>
          <w:p w14:paraId="189200B4" w14:textId="35EB6966" w:rsidR="0097410E" w:rsidRPr="000413EB" w:rsidRDefault="003F7FB6" w:rsidP="0097410E">
            <w:pPr>
              <w:pStyle w:val="aa"/>
              <w:jc w:val="both"/>
              <w:rPr>
                <w:rFonts w:ascii="Times New Roman" w:eastAsia="Arial" w:hAnsi="Times New Roman"/>
                <w:sz w:val="20"/>
                <w:szCs w:val="20"/>
              </w:rPr>
            </w:pPr>
            <w:r>
              <w:rPr>
                <w:rFonts w:ascii="Times New Roman" w:eastAsia="Arial" w:hAnsi="Times New Roman"/>
                <w:sz w:val="20"/>
                <w:szCs w:val="20"/>
              </w:rPr>
              <w:t>22</w:t>
            </w:r>
          </w:p>
        </w:tc>
        <w:tc>
          <w:tcPr>
            <w:tcW w:w="2694" w:type="dxa"/>
            <w:shd w:val="clear" w:color="auto" w:fill="auto"/>
            <w:vAlign w:val="center"/>
          </w:tcPr>
          <w:p w14:paraId="3431AE24"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С.2.2. Розбудова ефективної системи вторинної ланки медицини</w:t>
            </w:r>
          </w:p>
        </w:tc>
        <w:tc>
          <w:tcPr>
            <w:tcW w:w="2551" w:type="dxa"/>
            <w:shd w:val="clear" w:color="auto" w:fill="auto"/>
            <w:vAlign w:val="center"/>
          </w:tcPr>
          <w:p w14:paraId="70F2701E"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С.2.2.1. Формування пацієнт-орієнтованої системи охорони здоров’я.</w:t>
            </w:r>
          </w:p>
        </w:tc>
        <w:tc>
          <w:tcPr>
            <w:tcW w:w="2835" w:type="dxa"/>
            <w:shd w:val="clear" w:color="auto" w:fill="auto"/>
            <w:vAlign w:val="center"/>
          </w:tcPr>
          <w:p w14:paraId="1FC43552"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hAnsi="Times New Roman"/>
                <w:sz w:val="20"/>
                <w:szCs w:val="20"/>
              </w:rPr>
              <w:t>Капітальний ремонт частини приміщень 3-го поверху у хірургічному відділенні та сходових клітин будівлі головного корпусу КНП «Жмеринська ЦРЛ» по вул. Київська, 288, м.Жмеринка, Вінницької області</w:t>
            </w:r>
          </w:p>
        </w:tc>
        <w:tc>
          <w:tcPr>
            <w:tcW w:w="1276" w:type="dxa"/>
            <w:shd w:val="clear" w:color="auto" w:fill="auto"/>
            <w:vAlign w:val="center"/>
          </w:tcPr>
          <w:p w14:paraId="453E5F88"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 xml:space="preserve">2025-2026 </w:t>
            </w:r>
          </w:p>
        </w:tc>
        <w:tc>
          <w:tcPr>
            <w:tcW w:w="2345" w:type="dxa"/>
            <w:shd w:val="clear" w:color="auto" w:fill="auto"/>
            <w:vAlign w:val="center"/>
          </w:tcPr>
          <w:p w14:paraId="2694F490" w14:textId="77777777" w:rsidR="00177957" w:rsidRDefault="0097410E" w:rsidP="0097410E">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 xml:space="preserve">КНП «Жмеринська ЦРЛ», </w:t>
            </w:r>
          </w:p>
          <w:p w14:paraId="04E3CEF5" w14:textId="5882A230" w:rsidR="0097410E" w:rsidRPr="000413EB" w:rsidRDefault="0097410E" w:rsidP="0097410E">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Управління ЖКГ,</w:t>
            </w:r>
          </w:p>
          <w:p w14:paraId="0B70ACF6" w14:textId="0005B14F" w:rsidR="0097410E" w:rsidRPr="000413EB" w:rsidRDefault="0097410E" w:rsidP="00177957">
            <w:pPr>
              <w:jc w:val="both"/>
              <w:rPr>
                <w:rFonts w:ascii="Times New Roman" w:eastAsia="Arial" w:hAnsi="Times New Roman"/>
                <w:sz w:val="20"/>
                <w:szCs w:val="20"/>
                <w:lang w:eastAsia="en-US"/>
              </w:rPr>
            </w:pPr>
            <w:r w:rsidRPr="000413EB">
              <w:rPr>
                <w:rFonts w:ascii="Times New Roman" w:hAnsi="Times New Roman"/>
                <w:color w:val="000000"/>
                <w:sz w:val="20"/>
                <w:szCs w:val="20"/>
                <w:lang w:eastAsia="it-IT"/>
              </w:rPr>
              <w:t>Управління соціального захис</w:t>
            </w:r>
            <w:r w:rsidR="00177957">
              <w:rPr>
                <w:rFonts w:ascii="Times New Roman" w:hAnsi="Times New Roman"/>
                <w:color w:val="000000"/>
                <w:sz w:val="20"/>
                <w:szCs w:val="20"/>
                <w:lang w:eastAsia="it-IT"/>
              </w:rPr>
              <w:t>ту населення та охорони здоров’я</w:t>
            </w:r>
          </w:p>
        </w:tc>
        <w:tc>
          <w:tcPr>
            <w:tcW w:w="2900" w:type="dxa"/>
            <w:shd w:val="clear" w:color="auto" w:fill="auto"/>
            <w:vAlign w:val="center"/>
          </w:tcPr>
          <w:p w14:paraId="7CA8080B" w14:textId="3FA280F4"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color w:val="FF0000"/>
                <w:sz w:val="20"/>
                <w:szCs w:val="20"/>
                <w:lang w:eastAsia="en-US"/>
              </w:rPr>
            </w:pPr>
            <w:r w:rsidRPr="000413EB">
              <w:rPr>
                <w:rFonts w:ascii="Times New Roman" w:hAnsi="Times New Roman"/>
                <w:sz w:val="20"/>
                <w:szCs w:val="20"/>
                <w:lang w:eastAsia="it-IT"/>
              </w:rPr>
              <w:t>Створено комфортні умови перебування  пацієнтів у хірургічному відділенні щонайменше для 2 тис. осіб на рік, забезпечено комфортне переміщення сходовими клітинами пацієнтами та  відвідувачами головного корпусу лікарні</w:t>
            </w:r>
            <w:r w:rsidR="00A801AF">
              <w:rPr>
                <w:rFonts w:ascii="Times New Roman" w:hAnsi="Times New Roman"/>
                <w:sz w:val="20"/>
                <w:szCs w:val="20"/>
                <w:lang w:eastAsia="it-IT"/>
              </w:rPr>
              <w:t>.</w:t>
            </w:r>
          </w:p>
        </w:tc>
      </w:tr>
      <w:tr w:rsidR="0097410E" w:rsidRPr="000413EB" w14:paraId="619917B4" w14:textId="77777777" w:rsidTr="000413EB">
        <w:tc>
          <w:tcPr>
            <w:tcW w:w="567" w:type="dxa"/>
            <w:shd w:val="clear" w:color="auto" w:fill="auto"/>
          </w:tcPr>
          <w:p w14:paraId="02CFA19E" w14:textId="23373DA1" w:rsidR="0097410E" w:rsidRPr="000413EB" w:rsidRDefault="003F7FB6" w:rsidP="0097410E">
            <w:pPr>
              <w:pStyle w:val="aa"/>
              <w:jc w:val="both"/>
              <w:rPr>
                <w:rFonts w:ascii="Times New Roman" w:eastAsia="Arial" w:hAnsi="Times New Roman"/>
                <w:sz w:val="20"/>
                <w:szCs w:val="20"/>
              </w:rPr>
            </w:pPr>
            <w:r>
              <w:rPr>
                <w:rFonts w:ascii="Times New Roman" w:eastAsia="Arial" w:hAnsi="Times New Roman"/>
                <w:sz w:val="20"/>
                <w:szCs w:val="20"/>
              </w:rPr>
              <w:t>23</w:t>
            </w:r>
          </w:p>
        </w:tc>
        <w:tc>
          <w:tcPr>
            <w:tcW w:w="2694" w:type="dxa"/>
            <w:shd w:val="clear" w:color="auto" w:fill="auto"/>
            <w:vAlign w:val="center"/>
          </w:tcPr>
          <w:p w14:paraId="7277EE95" w14:textId="77777777" w:rsidR="0097410E" w:rsidRPr="000413EB" w:rsidRDefault="0097410E" w:rsidP="0097410E">
            <w:pPr>
              <w:jc w:val="both"/>
              <w:rPr>
                <w:rFonts w:ascii="Times New Roman" w:hAnsi="Times New Roman"/>
                <w:sz w:val="20"/>
                <w:szCs w:val="20"/>
              </w:rPr>
            </w:pPr>
            <w:r w:rsidRPr="000413EB">
              <w:rPr>
                <w:rFonts w:ascii="Times New Roman" w:eastAsia="Arial" w:hAnsi="Times New Roman"/>
                <w:sz w:val="20"/>
                <w:szCs w:val="20"/>
                <w:lang w:eastAsia="en-US"/>
              </w:rPr>
              <w:t>С.2.2. Розбудова ефективної системи вторинної ланки медицини</w:t>
            </w:r>
          </w:p>
        </w:tc>
        <w:tc>
          <w:tcPr>
            <w:tcW w:w="2551" w:type="dxa"/>
            <w:shd w:val="clear" w:color="auto" w:fill="auto"/>
            <w:vAlign w:val="center"/>
          </w:tcPr>
          <w:p w14:paraId="7E08AF35"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С.2.2.1. Формування пацієнт-орієнтованої системи охорони здоров’я.</w:t>
            </w:r>
          </w:p>
        </w:tc>
        <w:tc>
          <w:tcPr>
            <w:tcW w:w="2835" w:type="dxa"/>
            <w:shd w:val="clear" w:color="auto" w:fill="auto"/>
            <w:vAlign w:val="center"/>
          </w:tcPr>
          <w:p w14:paraId="2E36765F"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hAnsi="Times New Roman"/>
                <w:sz w:val="20"/>
                <w:szCs w:val="20"/>
              </w:rPr>
            </w:pPr>
            <w:r w:rsidRPr="000413EB">
              <w:rPr>
                <w:rFonts w:ascii="Times New Roman" w:hAnsi="Times New Roman"/>
                <w:sz w:val="20"/>
                <w:szCs w:val="20"/>
              </w:rPr>
              <w:t>Капітальний ремонт будівлі адміністрації з травмпунктом  КНП «Жмеринська ЦРЛ» вул. Київська, 288, м.Жмеринка, Вінницької області</w:t>
            </w:r>
          </w:p>
        </w:tc>
        <w:tc>
          <w:tcPr>
            <w:tcW w:w="1276" w:type="dxa"/>
            <w:shd w:val="clear" w:color="auto" w:fill="auto"/>
            <w:vAlign w:val="center"/>
          </w:tcPr>
          <w:p w14:paraId="7A67E690"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 xml:space="preserve">2025 </w:t>
            </w:r>
          </w:p>
        </w:tc>
        <w:tc>
          <w:tcPr>
            <w:tcW w:w="2345" w:type="dxa"/>
            <w:shd w:val="clear" w:color="auto" w:fill="auto"/>
            <w:vAlign w:val="center"/>
          </w:tcPr>
          <w:p w14:paraId="0D943425" w14:textId="77777777" w:rsidR="00177957" w:rsidRDefault="0097410E" w:rsidP="0097410E">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 xml:space="preserve">КНП «Жмеринська ЦРЛ», </w:t>
            </w:r>
          </w:p>
          <w:p w14:paraId="7B706E83" w14:textId="488B2EF6" w:rsidR="00177957" w:rsidRDefault="0097410E" w:rsidP="0097410E">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Управління ЖКГ,</w:t>
            </w:r>
          </w:p>
          <w:p w14:paraId="7F63BDCD" w14:textId="0E94BF02" w:rsidR="0097410E" w:rsidRPr="000413EB" w:rsidRDefault="0097410E" w:rsidP="0097410E">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Управління соціального захисту населення та охорони здоров’я</w:t>
            </w:r>
          </w:p>
          <w:p w14:paraId="30756BDE" w14:textId="77777777" w:rsidR="0097410E" w:rsidRPr="000413EB" w:rsidRDefault="0097410E" w:rsidP="0097410E">
            <w:pPr>
              <w:jc w:val="both"/>
              <w:rPr>
                <w:rFonts w:ascii="Times New Roman" w:hAnsi="Times New Roman"/>
                <w:color w:val="000000"/>
                <w:sz w:val="20"/>
                <w:szCs w:val="20"/>
                <w:lang w:eastAsia="it-IT"/>
              </w:rPr>
            </w:pPr>
          </w:p>
        </w:tc>
        <w:tc>
          <w:tcPr>
            <w:tcW w:w="2900" w:type="dxa"/>
            <w:shd w:val="clear" w:color="auto" w:fill="auto"/>
            <w:vAlign w:val="center"/>
          </w:tcPr>
          <w:p w14:paraId="23B7EA02" w14:textId="3F3A6E33" w:rsidR="0097410E" w:rsidRPr="000413EB" w:rsidRDefault="0097410E" w:rsidP="0097410E">
            <w:pPr>
              <w:widowControl w:val="0"/>
              <w:tabs>
                <w:tab w:val="left" w:pos="5829"/>
                <w:tab w:val="left" w:pos="9720"/>
                <w:tab w:val="left" w:pos="10357"/>
              </w:tabs>
              <w:autoSpaceDE w:val="0"/>
              <w:autoSpaceDN w:val="0"/>
              <w:jc w:val="both"/>
              <w:rPr>
                <w:rFonts w:ascii="Times New Roman" w:hAnsi="Times New Roman"/>
                <w:color w:val="FF0000"/>
                <w:sz w:val="20"/>
                <w:szCs w:val="20"/>
                <w:lang w:eastAsia="it-IT"/>
              </w:rPr>
            </w:pPr>
            <w:r w:rsidRPr="000413EB">
              <w:rPr>
                <w:rFonts w:ascii="Times New Roman" w:hAnsi="Times New Roman"/>
                <w:sz w:val="20"/>
                <w:szCs w:val="20"/>
                <w:lang w:eastAsia="it-IT"/>
              </w:rPr>
              <w:t>Покращено умови перебування відвідувачів та працівників у закладі, створення комфортного робочого місця для фахівця із супроводу ветеранів війни та демобілізованих осіб, забезпечено комфортні умови перебування для осіб, які  потребуватимуть допомоги фахівця із супроводу ветеранів війни та демобілізованих осіб у кількості щонайменше  100 осіб</w:t>
            </w:r>
            <w:r w:rsidR="00A801AF">
              <w:rPr>
                <w:rFonts w:ascii="Times New Roman" w:hAnsi="Times New Roman"/>
                <w:sz w:val="20"/>
                <w:szCs w:val="20"/>
                <w:lang w:eastAsia="it-IT"/>
              </w:rPr>
              <w:t>.</w:t>
            </w:r>
          </w:p>
        </w:tc>
      </w:tr>
      <w:tr w:rsidR="0097410E" w:rsidRPr="000413EB" w14:paraId="495AA71B" w14:textId="77777777" w:rsidTr="000413EB">
        <w:tc>
          <w:tcPr>
            <w:tcW w:w="567" w:type="dxa"/>
            <w:shd w:val="clear" w:color="auto" w:fill="auto"/>
          </w:tcPr>
          <w:p w14:paraId="492F5172" w14:textId="19441F95" w:rsidR="0097410E" w:rsidRPr="000413EB" w:rsidRDefault="003F7FB6" w:rsidP="0097410E">
            <w:pPr>
              <w:pStyle w:val="aa"/>
              <w:jc w:val="both"/>
              <w:rPr>
                <w:rFonts w:ascii="Times New Roman" w:eastAsia="Arial" w:hAnsi="Times New Roman"/>
                <w:sz w:val="20"/>
                <w:szCs w:val="20"/>
              </w:rPr>
            </w:pPr>
            <w:r>
              <w:rPr>
                <w:rFonts w:ascii="Times New Roman" w:eastAsia="Arial" w:hAnsi="Times New Roman"/>
                <w:sz w:val="20"/>
                <w:szCs w:val="20"/>
              </w:rPr>
              <w:t>24</w:t>
            </w:r>
          </w:p>
        </w:tc>
        <w:tc>
          <w:tcPr>
            <w:tcW w:w="2694" w:type="dxa"/>
            <w:shd w:val="clear" w:color="auto" w:fill="auto"/>
            <w:vAlign w:val="center"/>
          </w:tcPr>
          <w:p w14:paraId="37546253" w14:textId="77777777" w:rsidR="0097410E" w:rsidRPr="000413EB" w:rsidRDefault="0097410E" w:rsidP="0097410E">
            <w:pPr>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С.2.2. Розбудова ефективної системи вторинної ланки медицини</w:t>
            </w:r>
          </w:p>
        </w:tc>
        <w:tc>
          <w:tcPr>
            <w:tcW w:w="2551" w:type="dxa"/>
            <w:shd w:val="clear" w:color="auto" w:fill="auto"/>
            <w:vAlign w:val="center"/>
          </w:tcPr>
          <w:p w14:paraId="3B4CD0CF"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С.2.2.1. Формування пацієнт-орієнтованої системи охорони здоров’я.</w:t>
            </w:r>
          </w:p>
        </w:tc>
        <w:tc>
          <w:tcPr>
            <w:tcW w:w="2835" w:type="dxa"/>
            <w:shd w:val="clear" w:color="auto" w:fill="auto"/>
            <w:vAlign w:val="center"/>
          </w:tcPr>
          <w:p w14:paraId="0CF37A0E"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hAnsi="Times New Roman"/>
                <w:sz w:val="20"/>
                <w:szCs w:val="20"/>
              </w:rPr>
            </w:pPr>
            <w:r w:rsidRPr="000413EB">
              <w:rPr>
                <w:rFonts w:ascii="Times New Roman" w:hAnsi="Times New Roman"/>
                <w:sz w:val="20"/>
                <w:szCs w:val="20"/>
              </w:rPr>
              <w:t>Капітальний ремонт приміщення поліклініки</w:t>
            </w:r>
          </w:p>
        </w:tc>
        <w:tc>
          <w:tcPr>
            <w:tcW w:w="1276" w:type="dxa"/>
            <w:shd w:val="clear" w:color="auto" w:fill="auto"/>
            <w:vAlign w:val="center"/>
          </w:tcPr>
          <w:p w14:paraId="739E314A"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 xml:space="preserve">2027-2028 </w:t>
            </w:r>
          </w:p>
        </w:tc>
        <w:tc>
          <w:tcPr>
            <w:tcW w:w="2345" w:type="dxa"/>
            <w:shd w:val="clear" w:color="auto" w:fill="auto"/>
            <w:vAlign w:val="center"/>
          </w:tcPr>
          <w:p w14:paraId="1348C60C" w14:textId="77777777" w:rsidR="008955D4" w:rsidRDefault="0097410E" w:rsidP="0097410E">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 xml:space="preserve">КНП «Жмеринська ЦРЛ»,  </w:t>
            </w:r>
          </w:p>
          <w:p w14:paraId="16D5EBA8" w14:textId="6A748615" w:rsidR="0097410E" w:rsidRPr="000413EB" w:rsidRDefault="0097410E" w:rsidP="0097410E">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Управління соціального захисту населення та охорони здоров’я</w:t>
            </w:r>
          </w:p>
        </w:tc>
        <w:tc>
          <w:tcPr>
            <w:tcW w:w="2900" w:type="dxa"/>
            <w:shd w:val="clear" w:color="auto" w:fill="auto"/>
            <w:vAlign w:val="center"/>
          </w:tcPr>
          <w:p w14:paraId="27BE449B" w14:textId="779C38C2" w:rsidR="0097410E" w:rsidRPr="000413EB" w:rsidRDefault="0097410E" w:rsidP="0097410E">
            <w:pPr>
              <w:widowControl w:val="0"/>
              <w:tabs>
                <w:tab w:val="left" w:pos="5829"/>
                <w:tab w:val="left" w:pos="9720"/>
                <w:tab w:val="left" w:pos="10357"/>
              </w:tabs>
              <w:autoSpaceDE w:val="0"/>
              <w:autoSpaceDN w:val="0"/>
              <w:jc w:val="both"/>
              <w:rPr>
                <w:rFonts w:ascii="Times New Roman" w:hAnsi="Times New Roman"/>
                <w:color w:val="FF0000"/>
                <w:sz w:val="20"/>
                <w:szCs w:val="20"/>
                <w:lang w:eastAsia="it-IT"/>
              </w:rPr>
            </w:pPr>
            <w:r w:rsidRPr="000413EB">
              <w:rPr>
                <w:rFonts w:ascii="Times New Roman" w:hAnsi="Times New Roman"/>
                <w:sz w:val="20"/>
                <w:szCs w:val="20"/>
                <w:lang w:eastAsia="it-IT"/>
              </w:rPr>
              <w:t>Покращено умови перебування пацієнтів, відвідувачів та працівників поліклініки у кількості щонайменше 80 тис. осіб на рік, підвищено якість надання медичної допомоги</w:t>
            </w:r>
            <w:r w:rsidR="00A801AF">
              <w:rPr>
                <w:rFonts w:ascii="Times New Roman" w:hAnsi="Times New Roman"/>
                <w:sz w:val="20"/>
                <w:szCs w:val="20"/>
                <w:lang w:eastAsia="it-IT"/>
              </w:rPr>
              <w:t>.</w:t>
            </w:r>
          </w:p>
        </w:tc>
      </w:tr>
      <w:tr w:rsidR="0097410E" w:rsidRPr="000413EB" w14:paraId="6030D77B" w14:textId="77777777" w:rsidTr="000413EB">
        <w:tc>
          <w:tcPr>
            <w:tcW w:w="567" w:type="dxa"/>
            <w:shd w:val="clear" w:color="auto" w:fill="auto"/>
          </w:tcPr>
          <w:p w14:paraId="35C98483" w14:textId="657C65A7" w:rsidR="0097410E" w:rsidRPr="000413EB" w:rsidRDefault="003F7FB6" w:rsidP="0097410E">
            <w:pPr>
              <w:pStyle w:val="aa"/>
              <w:jc w:val="both"/>
              <w:rPr>
                <w:rFonts w:ascii="Times New Roman" w:eastAsia="Arial" w:hAnsi="Times New Roman"/>
                <w:sz w:val="20"/>
                <w:szCs w:val="20"/>
              </w:rPr>
            </w:pPr>
            <w:r>
              <w:rPr>
                <w:rFonts w:ascii="Times New Roman" w:eastAsia="Arial" w:hAnsi="Times New Roman"/>
                <w:sz w:val="20"/>
                <w:szCs w:val="20"/>
              </w:rPr>
              <w:t>25</w:t>
            </w:r>
          </w:p>
        </w:tc>
        <w:tc>
          <w:tcPr>
            <w:tcW w:w="2694" w:type="dxa"/>
            <w:shd w:val="clear" w:color="auto" w:fill="auto"/>
            <w:vAlign w:val="center"/>
          </w:tcPr>
          <w:p w14:paraId="0EED56EE" w14:textId="77777777" w:rsidR="0097410E" w:rsidRPr="000413EB" w:rsidRDefault="0097410E" w:rsidP="0097410E">
            <w:pPr>
              <w:jc w:val="both"/>
              <w:rPr>
                <w:rFonts w:ascii="Times New Roman" w:hAnsi="Times New Roman"/>
                <w:sz w:val="20"/>
                <w:szCs w:val="20"/>
              </w:rPr>
            </w:pPr>
            <w:r w:rsidRPr="000413EB">
              <w:rPr>
                <w:rFonts w:ascii="Times New Roman" w:eastAsia="Arial" w:hAnsi="Times New Roman"/>
                <w:sz w:val="20"/>
                <w:szCs w:val="20"/>
                <w:lang w:eastAsia="en-US"/>
              </w:rPr>
              <w:t>С.2.2. Розбудова ефективної системи вторинної ланки медицини</w:t>
            </w:r>
          </w:p>
        </w:tc>
        <w:tc>
          <w:tcPr>
            <w:tcW w:w="2551" w:type="dxa"/>
            <w:shd w:val="clear" w:color="auto" w:fill="auto"/>
            <w:vAlign w:val="center"/>
          </w:tcPr>
          <w:p w14:paraId="422CAAEC"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С.2.2.1. Формування пацієнт-орієнтованої системи охорони здоров’я.</w:t>
            </w:r>
          </w:p>
        </w:tc>
        <w:tc>
          <w:tcPr>
            <w:tcW w:w="2835" w:type="dxa"/>
            <w:shd w:val="clear" w:color="auto" w:fill="auto"/>
            <w:vAlign w:val="center"/>
          </w:tcPr>
          <w:p w14:paraId="46A5FDFE"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hAnsi="Times New Roman"/>
                <w:sz w:val="20"/>
                <w:szCs w:val="20"/>
              </w:rPr>
            </w:pPr>
            <w:r w:rsidRPr="000413EB">
              <w:rPr>
                <w:rFonts w:ascii="Times New Roman" w:hAnsi="Times New Roman"/>
                <w:sz w:val="20"/>
                <w:szCs w:val="20"/>
              </w:rPr>
              <w:t>Капітальний ремонт харчоблоку КНП «Жмеринська ЦРЛ», вул. Київська, 288 в м.Жмеринка Вінницької області</w:t>
            </w:r>
          </w:p>
        </w:tc>
        <w:tc>
          <w:tcPr>
            <w:tcW w:w="1276" w:type="dxa"/>
            <w:shd w:val="clear" w:color="auto" w:fill="auto"/>
            <w:vAlign w:val="center"/>
          </w:tcPr>
          <w:p w14:paraId="690DE671"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2028</w:t>
            </w:r>
          </w:p>
        </w:tc>
        <w:tc>
          <w:tcPr>
            <w:tcW w:w="2345" w:type="dxa"/>
            <w:shd w:val="clear" w:color="auto" w:fill="auto"/>
            <w:vAlign w:val="center"/>
          </w:tcPr>
          <w:p w14:paraId="61A5A01C" w14:textId="77777777" w:rsidR="008955D4" w:rsidRDefault="0097410E" w:rsidP="0097410E">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 xml:space="preserve">КНП «Жмеринська ЦРЛ», </w:t>
            </w:r>
          </w:p>
          <w:p w14:paraId="05FD042E" w14:textId="77777777" w:rsidR="008955D4" w:rsidRDefault="0097410E" w:rsidP="0097410E">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Управління ЖКГ,</w:t>
            </w:r>
          </w:p>
          <w:p w14:paraId="554E6FD7" w14:textId="687FB2D8" w:rsidR="0097410E" w:rsidRPr="000413EB" w:rsidRDefault="0097410E" w:rsidP="0097410E">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 xml:space="preserve"> Управління соціального захисту населення та охорони здоров’я</w:t>
            </w:r>
          </w:p>
        </w:tc>
        <w:tc>
          <w:tcPr>
            <w:tcW w:w="2900" w:type="dxa"/>
            <w:shd w:val="clear" w:color="auto" w:fill="auto"/>
            <w:vAlign w:val="center"/>
          </w:tcPr>
          <w:p w14:paraId="3D256F6F"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hAnsi="Times New Roman"/>
                <w:color w:val="FF0000"/>
                <w:sz w:val="20"/>
                <w:szCs w:val="20"/>
                <w:lang w:eastAsia="it-IT"/>
              </w:rPr>
            </w:pPr>
            <w:r w:rsidRPr="000413EB">
              <w:rPr>
                <w:rFonts w:ascii="Times New Roman" w:hAnsi="Times New Roman"/>
                <w:sz w:val="20"/>
                <w:szCs w:val="20"/>
                <w:lang w:eastAsia="it-IT"/>
              </w:rPr>
              <w:t>Створено умови для більш комфортного перебування персоналу на кухні щонайменше для 10 осіб, покращено умови праці, збільшення простору для розміщення необхідної кухонної техніки, покращено умови для приготування їжі.</w:t>
            </w:r>
          </w:p>
        </w:tc>
      </w:tr>
      <w:tr w:rsidR="0097410E" w:rsidRPr="000413EB" w14:paraId="5AD1C3B1" w14:textId="77777777" w:rsidTr="000413EB">
        <w:tc>
          <w:tcPr>
            <w:tcW w:w="567" w:type="dxa"/>
            <w:shd w:val="clear" w:color="auto" w:fill="auto"/>
          </w:tcPr>
          <w:p w14:paraId="4CC76193" w14:textId="5441E1FA" w:rsidR="0097410E" w:rsidRPr="000413EB" w:rsidRDefault="003F7FB6" w:rsidP="0097410E">
            <w:pPr>
              <w:pStyle w:val="aa"/>
              <w:jc w:val="both"/>
              <w:rPr>
                <w:rFonts w:ascii="Times New Roman" w:eastAsia="Arial" w:hAnsi="Times New Roman"/>
                <w:sz w:val="20"/>
                <w:szCs w:val="20"/>
              </w:rPr>
            </w:pPr>
            <w:r>
              <w:rPr>
                <w:rFonts w:ascii="Times New Roman" w:eastAsia="Arial" w:hAnsi="Times New Roman"/>
                <w:sz w:val="20"/>
                <w:szCs w:val="20"/>
              </w:rPr>
              <w:t>26</w:t>
            </w:r>
          </w:p>
        </w:tc>
        <w:tc>
          <w:tcPr>
            <w:tcW w:w="2694" w:type="dxa"/>
            <w:shd w:val="clear" w:color="auto" w:fill="auto"/>
            <w:vAlign w:val="center"/>
          </w:tcPr>
          <w:p w14:paraId="17F720B7" w14:textId="77777777" w:rsidR="0097410E" w:rsidRPr="000413EB" w:rsidRDefault="0097410E" w:rsidP="0097410E">
            <w:pPr>
              <w:jc w:val="both"/>
              <w:rPr>
                <w:rFonts w:ascii="Times New Roman" w:hAnsi="Times New Roman"/>
                <w:sz w:val="20"/>
                <w:szCs w:val="20"/>
              </w:rPr>
            </w:pPr>
            <w:r w:rsidRPr="000413EB">
              <w:rPr>
                <w:rFonts w:ascii="Times New Roman" w:eastAsia="Arial" w:hAnsi="Times New Roman"/>
                <w:sz w:val="20"/>
                <w:szCs w:val="20"/>
                <w:lang w:eastAsia="en-US"/>
              </w:rPr>
              <w:t>С.2.2. Розбудова ефективної системи вторинної ланки медицини</w:t>
            </w:r>
          </w:p>
        </w:tc>
        <w:tc>
          <w:tcPr>
            <w:tcW w:w="2551" w:type="dxa"/>
            <w:shd w:val="clear" w:color="auto" w:fill="auto"/>
            <w:vAlign w:val="center"/>
          </w:tcPr>
          <w:p w14:paraId="7EAEDDED"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С.2.2.6. Автономізація закладів вторинної ланки медицини, визначення переліку медичних послуг, матеріально – технічне забезпечення, встановлення інформаційно-комунікаційних систем</w:t>
            </w:r>
          </w:p>
        </w:tc>
        <w:tc>
          <w:tcPr>
            <w:tcW w:w="2835" w:type="dxa"/>
            <w:shd w:val="clear" w:color="auto" w:fill="auto"/>
            <w:vAlign w:val="center"/>
          </w:tcPr>
          <w:p w14:paraId="1584B7F3"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hAnsi="Times New Roman"/>
                <w:sz w:val="20"/>
                <w:szCs w:val="20"/>
              </w:rPr>
            </w:pPr>
            <w:r w:rsidRPr="000413EB">
              <w:rPr>
                <w:rFonts w:ascii="Times New Roman" w:hAnsi="Times New Roman"/>
                <w:sz w:val="20"/>
                <w:szCs w:val="20"/>
              </w:rPr>
              <w:t>Придбання наркозно-дихального апарату</w:t>
            </w:r>
          </w:p>
        </w:tc>
        <w:tc>
          <w:tcPr>
            <w:tcW w:w="1276" w:type="dxa"/>
            <w:shd w:val="clear" w:color="auto" w:fill="auto"/>
            <w:vAlign w:val="center"/>
          </w:tcPr>
          <w:p w14:paraId="1F9199A8"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 xml:space="preserve">2025 </w:t>
            </w:r>
          </w:p>
        </w:tc>
        <w:tc>
          <w:tcPr>
            <w:tcW w:w="2345" w:type="dxa"/>
            <w:shd w:val="clear" w:color="auto" w:fill="auto"/>
            <w:vAlign w:val="center"/>
          </w:tcPr>
          <w:p w14:paraId="64A4AE4A" w14:textId="77777777" w:rsidR="008955D4" w:rsidRDefault="0097410E" w:rsidP="0097410E">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 xml:space="preserve">КНП «Жмеринська ЦРЛ»,   </w:t>
            </w:r>
          </w:p>
          <w:p w14:paraId="2FC0743C" w14:textId="1EB6C4B2" w:rsidR="0097410E" w:rsidRPr="000413EB" w:rsidRDefault="0097410E" w:rsidP="0097410E">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Управління соціального захисту населення та охорони здоров’я</w:t>
            </w:r>
          </w:p>
          <w:p w14:paraId="0537F01A" w14:textId="77777777" w:rsidR="0097410E" w:rsidRPr="000413EB" w:rsidRDefault="0097410E" w:rsidP="0097410E">
            <w:pPr>
              <w:jc w:val="both"/>
              <w:rPr>
                <w:rFonts w:ascii="Times New Roman" w:hAnsi="Times New Roman"/>
                <w:color w:val="000000"/>
                <w:sz w:val="20"/>
                <w:szCs w:val="20"/>
                <w:lang w:eastAsia="it-IT"/>
              </w:rPr>
            </w:pPr>
          </w:p>
        </w:tc>
        <w:tc>
          <w:tcPr>
            <w:tcW w:w="2900" w:type="dxa"/>
            <w:shd w:val="clear" w:color="auto" w:fill="auto"/>
            <w:vAlign w:val="center"/>
          </w:tcPr>
          <w:p w14:paraId="4E02C1CD" w14:textId="3922657D" w:rsidR="0097410E" w:rsidRPr="000413EB" w:rsidRDefault="0097410E" w:rsidP="0097410E">
            <w:pPr>
              <w:widowControl w:val="0"/>
              <w:tabs>
                <w:tab w:val="left" w:pos="5829"/>
                <w:tab w:val="left" w:pos="9720"/>
                <w:tab w:val="left" w:pos="10357"/>
              </w:tabs>
              <w:autoSpaceDE w:val="0"/>
              <w:autoSpaceDN w:val="0"/>
              <w:jc w:val="both"/>
              <w:rPr>
                <w:rFonts w:ascii="Times New Roman" w:hAnsi="Times New Roman"/>
                <w:color w:val="FF0000"/>
                <w:sz w:val="20"/>
                <w:szCs w:val="20"/>
                <w:lang w:eastAsia="it-IT"/>
              </w:rPr>
            </w:pPr>
            <w:r w:rsidRPr="000413EB">
              <w:rPr>
                <w:rFonts w:ascii="Times New Roman" w:hAnsi="Times New Roman"/>
                <w:sz w:val="20"/>
                <w:szCs w:val="20"/>
                <w:lang w:eastAsia="it-IT"/>
              </w:rPr>
              <w:t>Удосконалено надання медичної допомоги під час проведення операцій у хірургічному відділенні щонайменше для 1 тис. осіб на рік</w:t>
            </w:r>
            <w:r w:rsidR="00A801AF">
              <w:rPr>
                <w:rFonts w:ascii="Times New Roman" w:hAnsi="Times New Roman"/>
                <w:sz w:val="20"/>
                <w:szCs w:val="20"/>
                <w:lang w:eastAsia="it-IT"/>
              </w:rPr>
              <w:t>.</w:t>
            </w:r>
          </w:p>
        </w:tc>
      </w:tr>
      <w:tr w:rsidR="0097410E" w:rsidRPr="000413EB" w14:paraId="7491B00C" w14:textId="77777777" w:rsidTr="000413EB">
        <w:tc>
          <w:tcPr>
            <w:tcW w:w="567" w:type="dxa"/>
            <w:shd w:val="clear" w:color="auto" w:fill="auto"/>
          </w:tcPr>
          <w:p w14:paraId="3C4D3E8F" w14:textId="7E870843" w:rsidR="0097410E" w:rsidRPr="000413EB" w:rsidRDefault="003F7FB6" w:rsidP="0097410E">
            <w:pPr>
              <w:pStyle w:val="aa"/>
              <w:jc w:val="both"/>
              <w:rPr>
                <w:rFonts w:ascii="Times New Roman" w:eastAsia="Arial" w:hAnsi="Times New Roman"/>
                <w:sz w:val="20"/>
                <w:szCs w:val="20"/>
              </w:rPr>
            </w:pPr>
            <w:r>
              <w:rPr>
                <w:rFonts w:ascii="Times New Roman" w:eastAsia="Arial" w:hAnsi="Times New Roman"/>
                <w:sz w:val="20"/>
                <w:szCs w:val="20"/>
              </w:rPr>
              <w:t>27</w:t>
            </w:r>
          </w:p>
        </w:tc>
        <w:tc>
          <w:tcPr>
            <w:tcW w:w="2694" w:type="dxa"/>
            <w:shd w:val="clear" w:color="auto" w:fill="auto"/>
            <w:vAlign w:val="center"/>
          </w:tcPr>
          <w:p w14:paraId="7A65C4F2" w14:textId="77777777" w:rsidR="0097410E" w:rsidRPr="000413EB" w:rsidRDefault="0097410E" w:rsidP="0097410E">
            <w:pPr>
              <w:jc w:val="both"/>
              <w:rPr>
                <w:rFonts w:ascii="Times New Roman" w:hAnsi="Times New Roman"/>
                <w:sz w:val="20"/>
                <w:szCs w:val="20"/>
              </w:rPr>
            </w:pPr>
            <w:r w:rsidRPr="000413EB">
              <w:rPr>
                <w:rFonts w:ascii="Times New Roman" w:eastAsia="Arial" w:hAnsi="Times New Roman"/>
                <w:sz w:val="20"/>
                <w:szCs w:val="20"/>
                <w:lang w:eastAsia="en-US"/>
              </w:rPr>
              <w:t>С.2.2. Розбудова ефективної системи вторинної ланки медицини</w:t>
            </w:r>
          </w:p>
        </w:tc>
        <w:tc>
          <w:tcPr>
            <w:tcW w:w="2551" w:type="dxa"/>
            <w:shd w:val="clear" w:color="auto" w:fill="auto"/>
            <w:vAlign w:val="center"/>
          </w:tcPr>
          <w:p w14:paraId="2D415F51"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С.2.2.6. Автономізація закладів вторинної ланки медицини, визначення переліку медичних послуг, матеріально – технічне забезпечення, встановлення інформаційно-комунікаційних систем</w:t>
            </w:r>
          </w:p>
        </w:tc>
        <w:tc>
          <w:tcPr>
            <w:tcW w:w="2835" w:type="dxa"/>
            <w:shd w:val="clear" w:color="auto" w:fill="auto"/>
            <w:vAlign w:val="center"/>
          </w:tcPr>
          <w:p w14:paraId="3FF27361"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hAnsi="Times New Roman"/>
                <w:sz w:val="20"/>
                <w:szCs w:val="20"/>
              </w:rPr>
            </w:pPr>
            <w:r w:rsidRPr="000413EB">
              <w:rPr>
                <w:rFonts w:ascii="Times New Roman" w:hAnsi="Times New Roman"/>
                <w:sz w:val="20"/>
                <w:szCs w:val="20"/>
              </w:rPr>
              <w:t>Придбання лапароскопічного обладнання</w:t>
            </w:r>
          </w:p>
        </w:tc>
        <w:tc>
          <w:tcPr>
            <w:tcW w:w="1276" w:type="dxa"/>
            <w:shd w:val="clear" w:color="auto" w:fill="auto"/>
            <w:vAlign w:val="center"/>
          </w:tcPr>
          <w:p w14:paraId="5341189E"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2026</w:t>
            </w:r>
          </w:p>
        </w:tc>
        <w:tc>
          <w:tcPr>
            <w:tcW w:w="2345" w:type="dxa"/>
            <w:shd w:val="clear" w:color="auto" w:fill="auto"/>
            <w:vAlign w:val="center"/>
          </w:tcPr>
          <w:p w14:paraId="621DFAF6" w14:textId="77777777" w:rsidR="008955D4" w:rsidRDefault="0097410E" w:rsidP="0097410E">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 xml:space="preserve">КНП «Жмеринська ЦРЛ»,  </w:t>
            </w:r>
          </w:p>
          <w:p w14:paraId="3AE4FA0E" w14:textId="35B852FB" w:rsidR="0097410E" w:rsidRPr="000413EB" w:rsidRDefault="0097410E" w:rsidP="008955D4">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Управління соціального захисту населення та охорони здоров’я</w:t>
            </w:r>
          </w:p>
        </w:tc>
        <w:tc>
          <w:tcPr>
            <w:tcW w:w="2900" w:type="dxa"/>
            <w:shd w:val="clear" w:color="auto" w:fill="auto"/>
            <w:vAlign w:val="center"/>
          </w:tcPr>
          <w:p w14:paraId="7D59AEBE" w14:textId="6C1D3FB8" w:rsidR="0097410E" w:rsidRPr="000413EB" w:rsidRDefault="0097410E" w:rsidP="0097410E">
            <w:pPr>
              <w:widowControl w:val="0"/>
              <w:tabs>
                <w:tab w:val="left" w:pos="5829"/>
                <w:tab w:val="left" w:pos="9720"/>
                <w:tab w:val="left" w:pos="10357"/>
              </w:tabs>
              <w:autoSpaceDE w:val="0"/>
              <w:autoSpaceDN w:val="0"/>
              <w:jc w:val="both"/>
              <w:rPr>
                <w:rFonts w:ascii="Times New Roman" w:hAnsi="Times New Roman"/>
                <w:color w:val="FF0000"/>
                <w:sz w:val="20"/>
                <w:szCs w:val="20"/>
                <w:lang w:eastAsia="it-IT"/>
              </w:rPr>
            </w:pPr>
            <w:r w:rsidRPr="000413EB">
              <w:rPr>
                <w:rFonts w:ascii="Times New Roman" w:hAnsi="Times New Roman"/>
                <w:sz w:val="20"/>
                <w:szCs w:val="20"/>
                <w:lang w:eastAsia="it-IT"/>
              </w:rPr>
              <w:t>Покращено проведення обстежень та оперативних втручань у відділенні малоінвазивної та лапароскопічної хірургії, можливість своєчасного діагностування та лікування хвороб щонайменше для 1 тис. пацієнтів на рік</w:t>
            </w:r>
            <w:r w:rsidR="00A801AF">
              <w:rPr>
                <w:rFonts w:ascii="Times New Roman" w:hAnsi="Times New Roman"/>
                <w:sz w:val="20"/>
                <w:szCs w:val="20"/>
                <w:lang w:eastAsia="it-IT"/>
              </w:rPr>
              <w:t>.</w:t>
            </w:r>
          </w:p>
        </w:tc>
      </w:tr>
      <w:tr w:rsidR="0097410E" w:rsidRPr="000413EB" w14:paraId="7C8495BE" w14:textId="77777777" w:rsidTr="000413EB">
        <w:tc>
          <w:tcPr>
            <w:tcW w:w="567" w:type="dxa"/>
            <w:shd w:val="clear" w:color="auto" w:fill="auto"/>
          </w:tcPr>
          <w:p w14:paraId="141BB479" w14:textId="1D54E761" w:rsidR="0097410E" w:rsidRPr="000413EB" w:rsidRDefault="003F7FB6" w:rsidP="0097410E">
            <w:pPr>
              <w:pStyle w:val="aa"/>
              <w:jc w:val="both"/>
              <w:rPr>
                <w:rFonts w:ascii="Times New Roman" w:eastAsia="Arial" w:hAnsi="Times New Roman"/>
                <w:sz w:val="20"/>
                <w:szCs w:val="20"/>
              </w:rPr>
            </w:pPr>
            <w:r>
              <w:rPr>
                <w:rFonts w:ascii="Times New Roman" w:eastAsia="Arial" w:hAnsi="Times New Roman"/>
                <w:sz w:val="20"/>
                <w:szCs w:val="20"/>
              </w:rPr>
              <w:t>28</w:t>
            </w:r>
          </w:p>
        </w:tc>
        <w:tc>
          <w:tcPr>
            <w:tcW w:w="2694" w:type="dxa"/>
            <w:shd w:val="clear" w:color="auto" w:fill="auto"/>
            <w:vAlign w:val="center"/>
          </w:tcPr>
          <w:p w14:paraId="05E74008" w14:textId="77777777" w:rsidR="0097410E" w:rsidRPr="000413EB" w:rsidRDefault="0097410E" w:rsidP="0097410E">
            <w:pPr>
              <w:jc w:val="both"/>
              <w:rPr>
                <w:rFonts w:ascii="Times New Roman" w:hAnsi="Times New Roman"/>
                <w:sz w:val="20"/>
                <w:szCs w:val="20"/>
              </w:rPr>
            </w:pPr>
            <w:r w:rsidRPr="000413EB">
              <w:rPr>
                <w:rFonts w:ascii="Times New Roman" w:eastAsia="Arial" w:hAnsi="Times New Roman"/>
                <w:sz w:val="20"/>
                <w:szCs w:val="20"/>
                <w:lang w:eastAsia="en-US"/>
              </w:rPr>
              <w:t>С.2.2. Розбудова ефективної системи вторинної ланки медицини</w:t>
            </w:r>
          </w:p>
        </w:tc>
        <w:tc>
          <w:tcPr>
            <w:tcW w:w="2551" w:type="dxa"/>
            <w:shd w:val="clear" w:color="auto" w:fill="auto"/>
            <w:vAlign w:val="center"/>
          </w:tcPr>
          <w:p w14:paraId="13901D9E"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С.2.2.6. Автономізація закладів вторинної ланки медицини, визначення переліку медичних послуг, матеріально – технічне забезпечення, встановлення інформаційно-комунікаційних систем</w:t>
            </w:r>
          </w:p>
        </w:tc>
        <w:tc>
          <w:tcPr>
            <w:tcW w:w="2835" w:type="dxa"/>
            <w:shd w:val="clear" w:color="auto" w:fill="auto"/>
            <w:vAlign w:val="center"/>
          </w:tcPr>
          <w:p w14:paraId="1ACCFE68"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hAnsi="Times New Roman"/>
                <w:sz w:val="20"/>
                <w:szCs w:val="20"/>
              </w:rPr>
            </w:pPr>
            <w:r w:rsidRPr="000413EB">
              <w:rPr>
                <w:rFonts w:ascii="Times New Roman" w:hAnsi="Times New Roman"/>
                <w:sz w:val="20"/>
                <w:szCs w:val="20"/>
              </w:rPr>
              <w:t>Придбання цифрового флюорографічного комплексу</w:t>
            </w:r>
          </w:p>
        </w:tc>
        <w:tc>
          <w:tcPr>
            <w:tcW w:w="1276" w:type="dxa"/>
            <w:shd w:val="clear" w:color="auto" w:fill="auto"/>
            <w:vAlign w:val="center"/>
          </w:tcPr>
          <w:p w14:paraId="4548A49D"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 xml:space="preserve">2027 </w:t>
            </w:r>
          </w:p>
        </w:tc>
        <w:tc>
          <w:tcPr>
            <w:tcW w:w="2345" w:type="dxa"/>
            <w:shd w:val="clear" w:color="auto" w:fill="auto"/>
            <w:vAlign w:val="center"/>
          </w:tcPr>
          <w:p w14:paraId="1D59A472" w14:textId="77777777" w:rsidR="008955D4" w:rsidRDefault="0097410E" w:rsidP="0097410E">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 xml:space="preserve">КНП «Жмеринська ЦРЛ»,   </w:t>
            </w:r>
          </w:p>
          <w:p w14:paraId="0EDFE3CB" w14:textId="75281279" w:rsidR="0097410E" w:rsidRPr="000413EB" w:rsidRDefault="0097410E" w:rsidP="0097410E">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Управління соціального захисту населення та охорони здоров’я</w:t>
            </w:r>
          </w:p>
          <w:p w14:paraId="3E32A489" w14:textId="77777777" w:rsidR="0097410E" w:rsidRPr="000413EB" w:rsidRDefault="0097410E" w:rsidP="0097410E">
            <w:pPr>
              <w:jc w:val="both"/>
              <w:rPr>
                <w:rFonts w:ascii="Times New Roman" w:hAnsi="Times New Roman"/>
                <w:color w:val="000000"/>
                <w:sz w:val="20"/>
                <w:szCs w:val="20"/>
                <w:lang w:eastAsia="it-IT"/>
              </w:rPr>
            </w:pPr>
          </w:p>
        </w:tc>
        <w:tc>
          <w:tcPr>
            <w:tcW w:w="2900" w:type="dxa"/>
            <w:shd w:val="clear" w:color="auto" w:fill="auto"/>
            <w:vAlign w:val="center"/>
          </w:tcPr>
          <w:p w14:paraId="37DEE1AE"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hAnsi="Times New Roman"/>
                <w:color w:val="FF0000"/>
                <w:sz w:val="20"/>
                <w:szCs w:val="20"/>
                <w:lang w:eastAsia="it-IT"/>
              </w:rPr>
            </w:pPr>
            <w:r w:rsidRPr="000413EB">
              <w:rPr>
                <w:rFonts w:ascii="Times New Roman" w:hAnsi="Times New Roman"/>
                <w:sz w:val="20"/>
                <w:szCs w:val="20"/>
                <w:lang w:eastAsia="it-IT"/>
              </w:rPr>
              <w:t>Підвищено якість проведення флюрографічних обстежень, вчасне діагностування та лікування туберкульозних та онкологічних захворювань, щонайменше для 10 тис. пацієнтів на рік.</w:t>
            </w:r>
          </w:p>
        </w:tc>
      </w:tr>
      <w:tr w:rsidR="0097410E" w:rsidRPr="000413EB" w14:paraId="635AD2FF" w14:textId="77777777" w:rsidTr="000413EB">
        <w:tc>
          <w:tcPr>
            <w:tcW w:w="567" w:type="dxa"/>
            <w:shd w:val="clear" w:color="auto" w:fill="auto"/>
          </w:tcPr>
          <w:p w14:paraId="05718972" w14:textId="5D3D4396" w:rsidR="0097410E" w:rsidRPr="000413EB" w:rsidRDefault="003F7FB6" w:rsidP="0097410E">
            <w:pPr>
              <w:pStyle w:val="aa"/>
              <w:jc w:val="both"/>
              <w:rPr>
                <w:rFonts w:ascii="Times New Roman" w:eastAsia="Arial" w:hAnsi="Times New Roman"/>
                <w:sz w:val="20"/>
                <w:szCs w:val="20"/>
              </w:rPr>
            </w:pPr>
            <w:r>
              <w:rPr>
                <w:rFonts w:ascii="Times New Roman" w:eastAsia="Arial" w:hAnsi="Times New Roman"/>
                <w:sz w:val="20"/>
                <w:szCs w:val="20"/>
              </w:rPr>
              <w:t>29</w:t>
            </w:r>
          </w:p>
        </w:tc>
        <w:tc>
          <w:tcPr>
            <w:tcW w:w="2694" w:type="dxa"/>
            <w:shd w:val="clear" w:color="auto" w:fill="auto"/>
            <w:vAlign w:val="center"/>
          </w:tcPr>
          <w:p w14:paraId="6FB291C9" w14:textId="77777777" w:rsidR="0097410E" w:rsidRPr="000413EB" w:rsidRDefault="0097410E" w:rsidP="0097410E">
            <w:pPr>
              <w:jc w:val="both"/>
              <w:rPr>
                <w:rFonts w:ascii="Times New Roman" w:hAnsi="Times New Roman"/>
                <w:sz w:val="20"/>
                <w:szCs w:val="20"/>
              </w:rPr>
            </w:pPr>
            <w:r w:rsidRPr="000413EB">
              <w:rPr>
                <w:rFonts w:ascii="Times New Roman" w:eastAsia="Arial" w:hAnsi="Times New Roman"/>
                <w:sz w:val="20"/>
                <w:szCs w:val="20"/>
                <w:lang w:eastAsia="en-US"/>
              </w:rPr>
              <w:t>С.2.2. Розбудова ефективної системи вторинної ланки медицини</w:t>
            </w:r>
          </w:p>
        </w:tc>
        <w:tc>
          <w:tcPr>
            <w:tcW w:w="2551" w:type="dxa"/>
            <w:shd w:val="clear" w:color="auto" w:fill="auto"/>
            <w:vAlign w:val="center"/>
          </w:tcPr>
          <w:p w14:paraId="308FAEC7"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С.2.2.6. Автономізація закладів вторинної ланки медицини, визначення переліку медичних послуг, матеріально – технічне забезпечення, встановлення інформаційно-комунікаційних систем</w:t>
            </w:r>
          </w:p>
        </w:tc>
        <w:tc>
          <w:tcPr>
            <w:tcW w:w="2835" w:type="dxa"/>
            <w:shd w:val="clear" w:color="auto" w:fill="auto"/>
            <w:vAlign w:val="center"/>
          </w:tcPr>
          <w:p w14:paraId="1330CB5B"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hAnsi="Times New Roman"/>
                <w:sz w:val="20"/>
                <w:szCs w:val="20"/>
              </w:rPr>
            </w:pPr>
            <w:r w:rsidRPr="000413EB">
              <w:rPr>
                <w:rFonts w:ascii="Times New Roman" w:hAnsi="Times New Roman"/>
                <w:sz w:val="20"/>
                <w:szCs w:val="20"/>
              </w:rPr>
              <w:t>Придбання автомобіля швидкої медичної допомоги</w:t>
            </w:r>
          </w:p>
        </w:tc>
        <w:tc>
          <w:tcPr>
            <w:tcW w:w="1276" w:type="dxa"/>
            <w:shd w:val="clear" w:color="auto" w:fill="auto"/>
            <w:vAlign w:val="center"/>
          </w:tcPr>
          <w:p w14:paraId="51F62B56"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 xml:space="preserve">2028 </w:t>
            </w:r>
          </w:p>
        </w:tc>
        <w:tc>
          <w:tcPr>
            <w:tcW w:w="2345" w:type="dxa"/>
            <w:shd w:val="clear" w:color="auto" w:fill="auto"/>
            <w:vAlign w:val="center"/>
          </w:tcPr>
          <w:p w14:paraId="2224F3DF" w14:textId="77777777" w:rsidR="008955D4" w:rsidRDefault="0097410E" w:rsidP="0097410E">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 xml:space="preserve">КНП «Жмеринська ЦРЛ»,  </w:t>
            </w:r>
          </w:p>
          <w:p w14:paraId="6BE974CE" w14:textId="065C6896" w:rsidR="0097410E" w:rsidRPr="000413EB" w:rsidRDefault="0097410E" w:rsidP="0097410E">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Управління соціального захисту населення та охорони здоров’я</w:t>
            </w:r>
          </w:p>
          <w:p w14:paraId="7632F89F" w14:textId="77777777" w:rsidR="0097410E" w:rsidRPr="000413EB" w:rsidRDefault="0097410E" w:rsidP="0097410E">
            <w:pPr>
              <w:jc w:val="both"/>
              <w:rPr>
                <w:rFonts w:ascii="Times New Roman" w:hAnsi="Times New Roman"/>
                <w:color w:val="000000"/>
                <w:sz w:val="20"/>
                <w:szCs w:val="20"/>
                <w:lang w:eastAsia="it-IT"/>
              </w:rPr>
            </w:pPr>
          </w:p>
        </w:tc>
        <w:tc>
          <w:tcPr>
            <w:tcW w:w="2900" w:type="dxa"/>
            <w:shd w:val="clear" w:color="auto" w:fill="auto"/>
            <w:vAlign w:val="center"/>
          </w:tcPr>
          <w:p w14:paraId="1C78DA49" w14:textId="2BEE32BD" w:rsidR="0097410E" w:rsidRPr="000413EB" w:rsidRDefault="0097410E" w:rsidP="0097410E">
            <w:pPr>
              <w:widowControl w:val="0"/>
              <w:tabs>
                <w:tab w:val="left" w:pos="5829"/>
                <w:tab w:val="left" w:pos="9720"/>
                <w:tab w:val="left" w:pos="10357"/>
              </w:tabs>
              <w:autoSpaceDE w:val="0"/>
              <w:autoSpaceDN w:val="0"/>
              <w:jc w:val="both"/>
              <w:rPr>
                <w:rFonts w:ascii="Times New Roman" w:hAnsi="Times New Roman"/>
                <w:color w:val="FF0000"/>
                <w:sz w:val="20"/>
                <w:szCs w:val="20"/>
                <w:lang w:eastAsia="it-IT"/>
              </w:rPr>
            </w:pPr>
            <w:r w:rsidRPr="000413EB">
              <w:rPr>
                <w:rFonts w:ascii="Times New Roman" w:hAnsi="Times New Roman"/>
                <w:sz w:val="20"/>
                <w:szCs w:val="20"/>
                <w:lang w:eastAsia="it-IT"/>
              </w:rPr>
              <w:t>Проведення транспортування важкохворих пацієнтів у заклади третинного рівня щонайменше  1 тис. осіб на рік</w:t>
            </w:r>
            <w:r w:rsidR="00A801AF">
              <w:rPr>
                <w:rFonts w:ascii="Times New Roman" w:hAnsi="Times New Roman"/>
                <w:sz w:val="20"/>
                <w:szCs w:val="20"/>
                <w:lang w:eastAsia="it-IT"/>
              </w:rPr>
              <w:t>.</w:t>
            </w:r>
          </w:p>
        </w:tc>
      </w:tr>
      <w:tr w:rsidR="0097410E" w:rsidRPr="000413EB" w14:paraId="735EE757" w14:textId="77777777" w:rsidTr="000413EB">
        <w:tc>
          <w:tcPr>
            <w:tcW w:w="567" w:type="dxa"/>
            <w:shd w:val="clear" w:color="auto" w:fill="auto"/>
          </w:tcPr>
          <w:p w14:paraId="2E5D6E7C" w14:textId="1256B90C" w:rsidR="0097410E" w:rsidRPr="000413EB" w:rsidRDefault="003F7FB6" w:rsidP="0097410E">
            <w:pPr>
              <w:pStyle w:val="aa"/>
              <w:jc w:val="both"/>
              <w:rPr>
                <w:rFonts w:ascii="Times New Roman" w:eastAsia="Arial" w:hAnsi="Times New Roman"/>
                <w:sz w:val="20"/>
                <w:szCs w:val="20"/>
              </w:rPr>
            </w:pPr>
            <w:r>
              <w:rPr>
                <w:rFonts w:ascii="Times New Roman" w:eastAsia="Arial" w:hAnsi="Times New Roman"/>
                <w:sz w:val="20"/>
                <w:szCs w:val="20"/>
              </w:rPr>
              <w:t>30</w:t>
            </w:r>
          </w:p>
        </w:tc>
        <w:tc>
          <w:tcPr>
            <w:tcW w:w="2694" w:type="dxa"/>
            <w:shd w:val="clear" w:color="auto" w:fill="auto"/>
          </w:tcPr>
          <w:p w14:paraId="51644976" w14:textId="77777777" w:rsidR="0097410E" w:rsidRPr="000413EB" w:rsidRDefault="0097410E" w:rsidP="0097410E">
            <w:pPr>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С.3.1. Впровадження сучасної моделі культурно-мистець кого  обслуговування населення громади.</w:t>
            </w:r>
          </w:p>
        </w:tc>
        <w:tc>
          <w:tcPr>
            <w:tcW w:w="2551" w:type="dxa"/>
            <w:shd w:val="clear" w:color="auto" w:fill="auto"/>
          </w:tcPr>
          <w:p w14:paraId="0F631979" w14:textId="77777777" w:rsidR="0097410E" w:rsidRPr="000413EB" w:rsidRDefault="0097410E" w:rsidP="0097410E">
            <w:pPr>
              <w:pBdr>
                <w:left w:val="single" w:sz="18" w:space="4" w:color="auto"/>
              </w:pBdr>
              <w:jc w:val="both"/>
              <w:rPr>
                <w:rFonts w:ascii="Times New Roman" w:eastAsia="Arial" w:hAnsi="Times New Roman"/>
                <w:sz w:val="20"/>
                <w:szCs w:val="20"/>
                <w:lang w:eastAsia="en-US"/>
              </w:rPr>
            </w:pPr>
            <w:r w:rsidRPr="000413EB">
              <w:rPr>
                <w:rFonts w:ascii="Times New Roman" w:hAnsi="Times New Roman"/>
                <w:iCs/>
                <w:sz w:val="20"/>
                <w:szCs w:val="20"/>
                <w:lang w:eastAsia="it-IT"/>
              </w:rPr>
              <w:t>С.3.1.1. Зміцнення матеріально-технічної бази закладів культури, оновлення їх технічного ресурсу.</w:t>
            </w:r>
          </w:p>
        </w:tc>
        <w:tc>
          <w:tcPr>
            <w:tcW w:w="2835" w:type="dxa"/>
            <w:shd w:val="clear" w:color="auto" w:fill="auto"/>
          </w:tcPr>
          <w:p w14:paraId="67D4F61F" w14:textId="77777777" w:rsidR="0097410E" w:rsidRPr="000413EB" w:rsidRDefault="0097410E" w:rsidP="0097410E">
            <w:pPr>
              <w:jc w:val="both"/>
              <w:rPr>
                <w:rFonts w:ascii="Times New Roman" w:eastAsia="Arial" w:hAnsi="Times New Roman"/>
                <w:sz w:val="20"/>
                <w:szCs w:val="20"/>
                <w:lang w:eastAsia="en-US"/>
              </w:rPr>
            </w:pPr>
            <w:r w:rsidRPr="000413EB">
              <w:rPr>
                <w:rFonts w:ascii="Times New Roman" w:hAnsi="Times New Roman"/>
                <w:sz w:val="20"/>
                <w:szCs w:val="20"/>
                <w:lang w:eastAsia="it-IT"/>
              </w:rPr>
              <w:t>«Реконструкція системи опалення Центру культури і дозвілля із встановленням модульної котельні</w:t>
            </w:r>
          </w:p>
        </w:tc>
        <w:tc>
          <w:tcPr>
            <w:tcW w:w="1276" w:type="dxa"/>
            <w:shd w:val="clear" w:color="auto" w:fill="auto"/>
          </w:tcPr>
          <w:p w14:paraId="6FF2E1D2"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 xml:space="preserve">2025 </w:t>
            </w:r>
          </w:p>
        </w:tc>
        <w:tc>
          <w:tcPr>
            <w:tcW w:w="2345" w:type="dxa"/>
            <w:shd w:val="clear" w:color="auto" w:fill="auto"/>
          </w:tcPr>
          <w:p w14:paraId="44520990" w14:textId="77777777" w:rsidR="008955D4"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 xml:space="preserve">Управління культури і туризму. </w:t>
            </w:r>
          </w:p>
          <w:p w14:paraId="53CE17F8" w14:textId="4773E62C"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КЗ «Центр культури і дозвілля» Жмеринської міської ТГ.</w:t>
            </w:r>
          </w:p>
        </w:tc>
        <w:tc>
          <w:tcPr>
            <w:tcW w:w="2900" w:type="dxa"/>
            <w:shd w:val="clear" w:color="auto" w:fill="auto"/>
          </w:tcPr>
          <w:p w14:paraId="247A677A" w14:textId="79722B25"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Завершено реконструкцію опалення до жовтня 2025 року</w:t>
            </w:r>
            <w:r w:rsidR="00A801AF">
              <w:rPr>
                <w:rFonts w:ascii="Times New Roman" w:hAnsi="Times New Roman"/>
                <w:sz w:val="20"/>
                <w:szCs w:val="20"/>
                <w:lang w:eastAsia="it-IT"/>
              </w:rPr>
              <w:t>.</w:t>
            </w:r>
          </w:p>
          <w:p w14:paraId="06E079C2" w14:textId="30243E2E"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Забезпечено сталу температуру в приміщеннях згідно з санітарними нормами</w:t>
            </w:r>
            <w:r w:rsidR="00A801AF">
              <w:rPr>
                <w:rFonts w:ascii="Times New Roman" w:hAnsi="Times New Roman"/>
                <w:sz w:val="20"/>
                <w:szCs w:val="20"/>
                <w:lang w:eastAsia="it-IT"/>
              </w:rPr>
              <w:t>.</w:t>
            </w:r>
          </w:p>
          <w:p w14:paraId="6CABB10F" w14:textId="2ECAAB8E"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Центр культури повністю функціонує в опалювальний сезон</w:t>
            </w:r>
            <w:r w:rsidR="00A801AF">
              <w:rPr>
                <w:rFonts w:ascii="Times New Roman" w:hAnsi="Times New Roman"/>
                <w:sz w:val="20"/>
                <w:szCs w:val="20"/>
                <w:lang w:eastAsia="it-IT"/>
              </w:rPr>
              <w:t>.</w:t>
            </w:r>
          </w:p>
          <w:p w14:paraId="11B48563" w14:textId="437D08E2"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Економія витрат на теплоенергію до 30% у порівнянні з попередніми періодами</w:t>
            </w:r>
            <w:r w:rsidR="00A801AF">
              <w:rPr>
                <w:rFonts w:ascii="Times New Roman" w:hAnsi="Times New Roman"/>
                <w:sz w:val="20"/>
                <w:szCs w:val="20"/>
                <w:lang w:eastAsia="it-IT"/>
              </w:rPr>
              <w:t>.</w:t>
            </w:r>
          </w:p>
          <w:p w14:paraId="556DE109" w14:textId="38E4FAFA"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Пункт незламності забезпечено теплом на випадок надзвичайної ситуації</w:t>
            </w:r>
            <w:r w:rsidR="00A801AF">
              <w:rPr>
                <w:rFonts w:ascii="Times New Roman" w:hAnsi="Times New Roman"/>
                <w:sz w:val="20"/>
                <w:szCs w:val="20"/>
                <w:lang w:eastAsia="it-IT"/>
              </w:rPr>
              <w:t>.</w:t>
            </w:r>
          </w:p>
        </w:tc>
      </w:tr>
      <w:tr w:rsidR="0097410E" w:rsidRPr="000413EB" w14:paraId="5769D54E" w14:textId="77777777" w:rsidTr="000413EB">
        <w:tc>
          <w:tcPr>
            <w:tcW w:w="567" w:type="dxa"/>
            <w:shd w:val="clear" w:color="auto" w:fill="auto"/>
          </w:tcPr>
          <w:p w14:paraId="1ADDE2FA" w14:textId="2405B5E3" w:rsidR="0097410E" w:rsidRPr="000413EB" w:rsidRDefault="003F7FB6" w:rsidP="0097410E">
            <w:pPr>
              <w:pStyle w:val="aa"/>
              <w:jc w:val="both"/>
              <w:rPr>
                <w:rFonts w:ascii="Times New Roman" w:eastAsia="Arial" w:hAnsi="Times New Roman"/>
                <w:sz w:val="20"/>
                <w:szCs w:val="20"/>
              </w:rPr>
            </w:pPr>
            <w:r>
              <w:rPr>
                <w:rFonts w:ascii="Times New Roman" w:eastAsia="Arial" w:hAnsi="Times New Roman"/>
                <w:sz w:val="20"/>
                <w:szCs w:val="20"/>
              </w:rPr>
              <w:t>31</w:t>
            </w:r>
          </w:p>
        </w:tc>
        <w:tc>
          <w:tcPr>
            <w:tcW w:w="2694" w:type="dxa"/>
            <w:shd w:val="clear" w:color="auto" w:fill="auto"/>
          </w:tcPr>
          <w:p w14:paraId="4D5959BA" w14:textId="77777777" w:rsidR="0097410E" w:rsidRPr="000413EB" w:rsidRDefault="0097410E" w:rsidP="0097410E">
            <w:pPr>
              <w:jc w:val="both"/>
              <w:rPr>
                <w:rFonts w:ascii="Times New Roman" w:eastAsia="Arial" w:hAnsi="Times New Roman"/>
                <w:sz w:val="20"/>
                <w:szCs w:val="20"/>
                <w:lang w:eastAsia="en-US"/>
              </w:rPr>
            </w:pPr>
            <w:r w:rsidRPr="000413EB">
              <w:rPr>
                <w:rFonts w:ascii="Times New Roman" w:eastAsia="Arial" w:hAnsi="Times New Roman"/>
                <w:bCs/>
                <w:sz w:val="20"/>
                <w:szCs w:val="20"/>
                <w:lang w:eastAsia="en-US"/>
              </w:rPr>
              <w:t>С.3.1. Впровадження сучасної моделі культурно-мистецького  обслуговування населення громади</w:t>
            </w:r>
          </w:p>
        </w:tc>
        <w:tc>
          <w:tcPr>
            <w:tcW w:w="2551" w:type="dxa"/>
            <w:shd w:val="clear" w:color="auto" w:fill="auto"/>
          </w:tcPr>
          <w:p w14:paraId="77D4044A" w14:textId="77777777" w:rsidR="0097410E" w:rsidRPr="000413EB" w:rsidRDefault="0097410E" w:rsidP="0097410E">
            <w:pPr>
              <w:pBdr>
                <w:left w:val="single" w:sz="18" w:space="4" w:color="auto"/>
              </w:pBdr>
              <w:jc w:val="both"/>
              <w:rPr>
                <w:rFonts w:ascii="Times New Roman" w:hAnsi="Times New Roman"/>
                <w:iCs/>
                <w:sz w:val="20"/>
                <w:szCs w:val="20"/>
                <w:lang w:eastAsia="it-IT"/>
              </w:rPr>
            </w:pPr>
            <w:r w:rsidRPr="000413EB">
              <w:rPr>
                <w:rFonts w:ascii="Times New Roman" w:hAnsi="Times New Roman"/>
                <w:iCs/>
                <w:sz w:val="20"/>
                <w:szCs w:val="20"/>
                <w:lang w:eastAsia="it-IT"/>
              </w:rPr>
              <w:t>С.3.1.1. Зміцнення матеріально-технічної бази закладів культури, оновлення їх технічного ресурсу.</w:t>
            </w:r>
          </w:p>
          <w:p w14:paraId="1BB59547"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p>
        </w:tc>
        <w:tc>
          <w:tcPr>
            <w:tcW w:w="2835" w:type="dxa"/>
            <w:shd w:val="clear" w:color="auto" w:fill="auto"/>
          </w:tcPr>
          <w:p w14:paraId="202C8B27"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«Сучасний клуб — сучасна громада»</w:t>
            </w:r>
          </w:p>
          <w:p w14:paraId="67E32025" w14:textId="77777777" w:rsidR="0097410E" w:rsidRPr="000413EB" w:rsidRDefault="0097410E" w:rsidP="0097410E">
            <w:pPr>
              <w:jc w:val="both"/>
              <w:rPr>
                <w:rFonts w:ascii="Times New Roman" w:eastAsia="Arial" w:hAnsi="Times New Roman"/>
                <w:sz w:val="20"/>
                <w:szCs w:val="20"/>
                <w:lang w:eastAsia="en-US"/>
              </w:rPr>
            </w:pPr>
            <w:r w:rsidRPr="000413EB">
              <w:rPr>
                <w:rFonts w:ascii="Times New Roman" w:eastAsia="Arial" w:hAnsi="Times New Roman"/>
                <w:w w:val="105"/>
                <w:sz w:val="20"/>
                <w:szCs w:val="20"/>
                <w:lang w:eastAsia="en-US"/>
              </w:rPr>
              <w:t>реалізація</w:t>
            </w:r>
            <w:r w:rsidRPr="000413EB">
              <w:rPr>
                <w:rFonts w:ascii="Times New Roman" w:eastAsia="Arial" w:hAnsi="Times New Roman"/>
                <w:spacing w:val="57"/>
                <w:w w:val="105"/>
                <w:sz w:val="20"/>
                <w:szCs w:val="20"/>
                <w:lang w:eastAsia="en-US"/>
              </w:rPr>
              <w:t xml:space="preserve"> </w:t>
            </w:r>
            <w:r w:rsidRPr="000413EB">
              <w:rPr>
                <w:rFonts w:ascii="Times New Roman" w:eastAsia="Arial" w:hAnsi="Times New Roman"/>
                <w:spacing w:val="-2"/>
                <w:w w:val="105"/>
                <w:sz w:val="20"/>
                <w:szCs w:val="20"/>
                <w:lang w:eastAsia="en-US"/>
              </w:rPr>
              <w:t>триває</w:t>
            </w:r>
          </w:p>
        </w:tc>
        <w:tc>
          <w:tcPr>
            <w:tcW w:w="1276" w:type="dxa"/>
            <w:shd w:val="clear" w:color="auto" w:fill="auto"/>
          </w:tcPr>
          <w:p w14:paraId="0F552880"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 xml:space="preserve">2025- 2028 </w:t>
            </w:r>
          </w:p>
        </w:tc>
        <w:tc>
          <w:tcPr>
            <w:tcW w:w="2345" w:type="dxa"/>
            <w:shd w:val="clear" w:color="auto" w:fill="auto"/>
            <w:vAlign w:val="center"/>
          </w:tcPr>
          <w:p w14:paraId="3C9D8271" w14:textId="77777777" w:rsidR="008955D4"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 xml:space="preserve">Управління культури і туризму. </w:t>
            </w:r>
          </w:p>
          <w:p w14:paraId="212EEB06" w14:textId="77777777" w:rsidR="008955D4"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 xml:space="preserve">КЗ «Центр культури і дозвілля» Жмеринської міської ТГ. </w:t>
            </w:r>
          </w:p>
          <w:p w14:paraId="50FF700B" w14:textId="7EA87F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Клубні заклади громади.</w:t>
            </w:r>
          </w:p>
        </w:tc>
        <w:tc>
          <w:tcPr>
            <w:tcW w:w="2900" w:type="dxa"/>
            <w:shd w:val="clear" w:color="auto" w:fill="auto"/>
          </w:tcPr>
          <w:p w14:paraId="727A4304" w14:textId="55B5C21F"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Оснащені ЦКІД сучасним технічним обладнанням. Проведено не менше 50 культурних заходів із використанням оновленої техніки. Підвищено відвідуваність культурних заходів на 15%.  Підвищено рівень задоволеності населення культурними послугами</w:t>
            </w:r>
            <w:r w:rsidR="00A801AF">
              <w:rPr>
                <w:rFonts w:ascii="Times New Roman" w:hAnsi="Times New Roman"/>
                <w:sz w:val="20"/>
                <w:szCs w:val="20"/>
                <w:lang w:eastAsia="it-IT"/>
              </w:rPr>
              <w:t>.</w:t>
            </w:r>
          </w:p>
        </w:tc>
      </w:tr>
      <w:tr w:rsidR="0097410E" w:rsidRPr="000413EB" w14:paraId="778B63CE" w14:textId="77777777" w:rsidTr="000413EB">
        <w:tc>
          <w:tcPr>
            <w:tcW w:w="567" w:type="dxa"/>
            <w:shd w:val="clear" w:color="auto" w:fill="auto"/>
          </w:tcPr>
          <w:p w14:paraId="1228FE0F" w14:textId="0A1F859B" w:rsidR="0097410E" w:rsidRPr="000413EB" w:rsidRDefault="003F7FB6" w:rsidP="0097410E">
            <w:pPr>
              <w:pStyle w:val="aa"/>
              <w:jc w:val="both"/>
              <w:rPr>
                <w:rFonts w:ascii="Times New Roman" w:eastAsia="Arial" w:hAnsi="Times New Roman"/>
                <w:sz w:val="20"/>
                <w:szCs w:val="20"/>
              </w:rPr>
            </w:pPr>
            <w:r>
              <w:rPr>
                <w:rFonts w:ascii="Times New Roman" w:eastAsia="Arial" w:hAnsi="Times New Roman"/>
                <w:sz w:val="20"/>
                <w:szCs w:val="20"/>
              </w:rPr>
              <w:t>32</w:t>
            </w:r>
          </w:p>
        </w:tc>
        <w:tc>
          <w:tcPr>
            <w:tcW w:w="2694" w:type="dxa"/>
            <w:shd w:val="clear" w:color="auto" w:fill="auto"/>
          </w:tcPr>
          <w:p w14:paraId="49A74E6E"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bCs/>
                <w:sz w:val="20"/>
                <w:szCs w:val="20"/>
                <w:lang w:eastAsia="it-IT"/>
              </w:rPr>
              <w:t>С.3.1. Впровадження сучасної моделі культурно-мистецького  обслуговування населення громади</w:t>
            </w:r>
          </w:p>
        </w:tc>
        <w:tc>
          <w:tcPr>
            <w:tcW w:w="2551" w:type="dxa"/>
            <w:shd w:val="clear" w:color="auto" w:fill="auto"/>
          </w:tcPr>
          <w:p w14:paraId="3278A8A7" w14:textId="77777777" w:rsidR="0097410E" w:rsidRPr="000413EB" w:rsidRDefault="0097410E" w:rsidP="0097410E">
            <w:pPr>
              <w:pBdr>
                <w:left w:val="single" w:sz="18" w:space="4" w:color="auto"/>
              </w:pBdr>
              <w:jc w:val="both"/>
              <w:rPr>
                <w:rFonts w:ascii="Times New Roman" w:hAnsi="Times New Roman"/>
                <w:sz w:val="20"/>
                <w:szCs w:val="20"/>
                <w:lang w:eastAsia="it-IT"/>
              </w:rPr>
            </w:pPr>
            <w:r w:rsidRPr="000413EB">
              <w:rPr>
                <w:rFonts w:ascii="Times New Roman" w:hAnsi="Times New Roman"/>
                <w:sz w:val="20"/>
                <w:szCs w:val="20"/>
                <w:lang w:eastAsia="it-IT"/>
              </w:rPr>
              <w:t>С.3.1.4. Розвиток дитячої музичної школи.</w:t>
            </w:r>
          </w:p>
          <w:p w14:paraId="59EAEE93" w14:textId="77777777" w:rsidR="0097410E" w:rsidRPr="000413EB" w:rsidRDefault="0097410E" w:rsidP="0097410E">
            <w:pPr>
              <w:pBdr>
                <w:left w:val="single" w:sz="18" w:space="4" w:color="auto"/>
              </w:pBdr>
              <w:jc w:val="both"/>
              <w:rPr>
                <w:rFonts w:ascii="Times New Roman" w:hAnsi="Times New Roman"/>
                <w:sz w:val="20"/>
                <w:szCs w:val="20"/>
                <w:lang w:eastAsia="it-IT"/>
              </w:rPr>
            </w:pPr>
          </w:p>
          <w:p w14:paraId="24CF6A6D" w14:textId="77777777" w:rsidR="0097410E" w:rsidRPr="000413EB" w:rsidRDefault="0097410E" w:rsidP="0097410E">
            <w:pPr>
              <w:pBdr>
                <w:left w:val="single" w:sz="18" w:space="4" w:color="auto"/>
              </w:pBdr>
              <w:jc w:val="both"/>
              <w:rPr>
                <w:rFonts w:ascii="Times New Roman" w:hAnsi="Times New Roman"/>
                <w:sz w:val="20"/>
                <w:szCs w:val="20"/>
                <w:lang w:eastAsia="it-IT"/>
              </w:rPr>
            </w:pPr>
          </w:p>
          <w:p w14:paraId="44329617" w14:textId="77777777" w:rsidR="0097410E" w:rsidRPr="000413EB" w:rsidRDefault="0097410E" w:rsidP="0097410E">
            <w:pPr>
              <w:pBdr>
                <w:left w:val="single" w:sz="18" w:space="4" w:color="auto"/>
              </w:pBdr>
              <w:jc w:val="both"/>
              <w:rPr>
                <w:rFonts w:ascii="Times New Roman" w:hAnsi="Times New Roman"/>
                <w:sz w:val="20"/>
                <w:szCs w:val="20"/>
                <w:lang w:eastAsia="it-IT"/>
              </w:rPr>
            </w:pPr>
          </w:p>
        </w:tc>
        <w:tc>
          <w:tcPr>
            <w:tcW w:w="2835" w:type="dxa"/>
            <w:shd w:val="clear" w:color="auto" w:fill="auto"/>
          </w:tcPr>
          <w:p w14:paraId="63B4B690"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«В ногу з часом»: тепло- модернізація Жмеринської дитячої музичної школи</w:t>
            </w:r>
          </w:p>
          <w:p w14:paraId="26CC93B9" w14:textId="77777777" w:rsidR="0097410E" w:rsidRPr="000413EB" w:rsidRDefault="0097410E" w:rsidP="0097410E">
            <w:pPr>
              <w:jc w:val="both"/>
              <w:rPr>
                <w:rFonts w:ascii="Times New Roman" w:eastAsia="Arial" w:hAnsi="Times New Roman"/>
                <w:sz w:val="20"/>
                <w:szCs w:val="20"/>
                <w:lang w:eastAsia="en-US"/>
              </w:rPr>
            </w:pPr>
            <w:r w:rsidRPr="000413EB">
              <w:rPr>
                <w:rFonts w:ascii="Times New Roman" w:eastAsia="Arial" w:hAnsi="Times New Roman"/>
                <w:w w:val="105"/>
                <w:sz w:val="20"/>
                <w:szCs w:val="20"/>
                <w:lang w:eastAsia="en-US"/>
              </w:rPr>
              <w:t>реалізація</w:t>
            </w:r>
            <w:r w:rsidRPr="000413EB">
              <w:rPr>
                <w:rFonts w:ascii="Times New Roman" w:eastAsia="Arial" w:hAnsi="Times New Roman"/>
                <w:spacing w:val="57"/>
                <w:w w:val="105"/>
                <w:sz w:val="20"/>
                <w:szCs w:val="20"/>
                <w:lang w:eastAsia="en-US"/>
              </w:rPr>
              <w:t xml:space="preserve"> </w:t>
            </w:r>
            <w:r w:rsidRPr="000413EB">
              <w:rPr>
                <w:rFonts w:ascii="Times New Roman" w:eastAsia="Arial" w:hAnsi="Times New Roman"/>
                <w:spacing w:val="-2"/>
                <w:w w:val="105"/>
                <w:sz w:val="20"/>
                <w:szCs w:val="20"/>
                <w:lang w:eastAsia="en-US"/>
              </w:rPr>
              <w:t>триває</w:t>
            </w:r>
          </w:p>
        </w:tc>
        <w:tc>
          <w:tcPr>
            <w:tcW w:w="1276" w:type="dxa"/>
            <w:shd w:val="clear" w:color="auto" w:fill="auto"/>
          </w:tcPr>
          <w:p w14:paraId="114BD8C8"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 xml:space="preserve">2026 </w:t>
            </w:r>
          </w:p>
        </w:tc>
        <w:tc>
          <w:tcPr>
            <w:tcW w:w="2345" w:type="dxa"/>
            <w:shd w:val="clear" w:color="auto" w:fill="auto"/>
          </w:tcPr>
          <w:p w14:paraId="206E1C0A" w14:textId="77777777" w:rsidR="008955D4"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 xml:space="preserve">Жмеринська дитяча музична школа за підтримки </w:t>
            </w:r>
          </w:p>
          <w:p w14:paraId="25C82974" w14:textId="55971785" w:rsidR="0097410E" w:rsidRPr="000413EB" w:rsidRDefault="0097410E" w:rsidP="0097410E">
            <w:pPr>
              <w:jc w:val="both"/>
              <w:rPr>
                <w:rFonts w:ascii="Times New Roman" w:eastAsia="Arial" w:hAnsi="Times New Roman"/>
                <w:sz w:val="20"/>
                <w:szCs w:val="20"/>
                <w:lang w:eastAsia="en-US"/>
              </w:rPr>
            </w:pPr>
            <w:r w:rsidRPr="000413EB">
              <w:rPr>
                <w:rFonts w:ascii="Times New Roman" w:hAnsi="Times New Roman"/>
                <w:sz w:val="20"/>
                <w:szCs w:val="20"/>
                <w:lang w:eastAsia="it-IT"/>
              </w:rPr>
              <w:t>Управління культури і туризму Жмеринської міської ради</w:t>
            </w:r>
          </w:p>
        </w:tc>
        <w:tc>
          <w:tcPr>
            <w:tcW w:w="2900" w:type="dxa"/>
            <w:shd w:val="clear" w:color="auto" w:fill="auto"/>
          </w:tcPr>
          <w:p w14:paraId="0AEB14D8" w14:textId="5B6891FF" w:rsidR="0097410E" w:rsidRPr="000413EB" w:rsidRDefault="0097410E" w:rsidP="0097410E">
            <w:pPr>
              <w:jc w:val="both"/>
              <w:rPr>
                <w:rFonts w:ascii="Times New Roman" w:eastAsia="Arial" w:hAnsi="Times New Roman"/>
                <w:sz w:val="20"/>
                <w:szCs w:val="20"/>
                <w:lang w:eastAsia="en-US"/>
              </w:rPr>
            </w:pPr>
            <w:r w:rsidRPr="000413EB">
              <w:rPr>
                <w:rFonts w:ascii="Times New Roman" w:hAnsi="Times New Roman"/>
                <w:sz w:val="20"/>
                <w:szCs w:val="20"/>
                <w:lang w:eastAsia="it-IT"/>
              </w:rPr>
              <w:t>Здійснено капітальний ремонт будівлі дитячої музичної школи; облаштовано безбар’єрний доступ. Позитивні відгуки батьків і партнерів школи не &lt;90%</w:t>
            </w:r>
            <w:r w:rsidR="00A801AF">
              <w:rPr>
                <w:rFonts w:ascii="Times New Roman" w:hAnsi="Times New Roman"/>
                <w:sz w:val="20"/>
                <w:szCs w:val="20"/>
                <w:lang w:eastAsia="it-IT"/>
              </w:rPr>
              <w:t>.</w:t>
            </w:r>
          </w:p>
        </w:tc>
      </w:tr>
      <w:tr w:rsidR="0097410E" w:rsidRPr="000413EB" w14:paraId="56DDE57F" w14:textId="77777777" w:rsidTr="000413EB">
        <w:tc>
          <w:tcPr>
            <w:tcW w:w="567" w:type="dxa"/>
            <w:shd w:val="clear" w:color="auto" w:fill="auto"/>
          </w:tcPr>
          <w:p w14:paraId="3980BEA9" w14:textId="7655515D" w:rsidR="0097410E" w:rsidRPr="000413EB" w:rsidRDefault="003F7FB6" w:rsidP="0097410E">
            <w:pPr>
              <w:pStyle w:val="aa"/>
              <w:jc w:val="both"/>
              <w:rPr>
                <w:rFonts w:ascii="Times New Roman" w:eastAsia="Arial" w:hAnsi="Times New Roman"/>
                <w:sz w:val="20"/>
                <w:szCs w:val="20"/>
              </w:rPr>
            </w:pPr>
            <w:r>
              <w:rPr>
                <w:rFonts w:ascii="Times New Roman" w:eastAsia="Arial" w:hAnsi="Times New Roman"/>
                <w:sz w:val="20"/>
                <w:szCs w:val="20"/>
              </w:rPr>
              <w:t>33</w:t>
            </w:r>
          </w:p>
        </w:tc>
        <w:tc>
          <w:tcPr>
            <w:tcW w:w="2694" w:type="dxa"/>
            <w:shd w:val="clear" w:color="auto" w:fill="auto"/>
          </w:tcPr>
          <w:p w14:paraId="1B1F37BB" w14:textId="77777777" w:rsidR="0097410E" w:rsidRPr="000413EB" w:rsidRDefault="0097410E" w:rsidP="0097410E">
            <w:pPr>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C 3.1 Впровадження сучасної моделі культурно-мистецького обслуговування населення громади</w:t>
            </w:r>
          </w:p>
        </w:tc>
        <w:tc>
          <w:tcPr>
            <w:tcW w:w="2551" w:type="dxa"/>
            <w:shd w:val="clear" w:color="auto" w:fill="auto"/>
          </w:tcPr>
          <w:p w14:paraId="17A9CEB6" w14:textId="77777777" w:rsidR="0097410E" w:rsidRPr="000413EB" w:rsidRDefault="0097410E" w:rsidP="0097410E">
            <w:pPr>
              <w:pBdr>
                <w:left w:val="single" w:sz="18" w:space="4" w:color="auto"/>
              </w:pBdr>
              <w:jc w:val="both"/>
              <w:rPr>
                <w:rFonts w:ascii="Times New Roman" w:hAnsi="Times New Roman"/>
                <w:b/>
                <w:sz w:val="20"/>
                <w:szCs w:val="20"/>
                <w:lang w:eastAsia="it-IT"/>
              </w:rPr>
            </w:pPr>
            <w:r w:rsidRPr="000413EB">
              <w:rPr>
                <w:rFonts w:ascii="Times New Roman" w:hAnsi="Times New Roman"/>
                <w:sz w:val="20"/>
                <w:szCs w:val="20"/>
                <w:lang w:eastAsia="it-IT"/>
              </w:rPr>
              <w:t>С.3.1.4. Розвиток дитячої музичної школи</w:t>
            </w:r>
          </w:p>
          <w:p w14:paraId="686BE46C" w14:textId="77777777" w:rsidR="0097410E" w:rsidRPr="000413EB" w:rsidRDefault="0097410E" w:rsidP="0097410E">
            <w:pPr>
              <w:jc w:val="both"/>
              <w:rPr>
                <w:rFonts w:ascii="Times New Roman" w:eastAsia="Arial" w:hAnsi="Times New Roman"/>
                <w:sz w:val="20"/>
                <w:szCs w:val="20"/>
                <w:lang w:eastAsia="en-US"/>
              </w:rPr>
            </w:pPr>
          </w:p>
        </w:tc>
        <w:tc>
          <w:tcPr>
            <w:tcW w:w="2835" w:type="dxa"/>
            <w:shd w:val="clear" w:color="auto" w:fill="auto"/>
          </w:tcPr>
          <w:p w14:paraId="0E26E7F1"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«Творчим колективам нове обличчя»: оновлення концертного вбрання та технічного оснащення  для учнів Жмеринської дитячої музичної школи</w:t>
            </w:r>
          </w:p>
          <w:p w14:paraId="059CC0D3" w14:textId="77777777" w:rsidR="0097410E" w:rsidRPr="000413EB" w:rsidRDefault="0097410E" w:rsidP="0097410E">
            <w:pPr>
              <w:jc w:val="both"/>
              <w:rPr>
                <w:rFonts w:ascii="Times New Roman" w:hAnsi="Times New Roman"/>
                <w:sz w:val="20"/>
                <w:szCs w:val="20"/>
                <w:lang w:eastAsia="it-IT"/>
              </w:rPr>
            </w:pPr>
            <w:r w:rsidRPr="000413EB">
              <w:rPr>
                <w:rFonts w:ascii="Times New Roman" w:eastAsia="Arial" w:hAnsi="Times New Roman"/>
                <w:w w:val="105"/>
                <w:sz w:val="20"/>
                <w:szCs w:val="20"/>
                <w:lang w:eastAsia="en-US"/>
              </w:rPr>
              <w:t>реалізація</w:t>
            </w:r>
            <w:r w:rsidRPr="000413EB">
              <w:rPr>
                <w:rFonts w:ascii="Times New Roman" w:eastAsia="Arial" w:hAnsi="Times New Roman"/>
                <w:spacing w:val="57"/>
                <w:w w:val="105"/>
                <w:sz w:val="20"/>
                <w:szCs w:val="20"/>
                <w:lang w:eastAsia="en-US"/>
              </w:rPr>
              <w:t xml:space="preserve"> </w:t>
            </w:r>
            <w:r w:rsidRPr="000413EB">
              <w:rPr>
                <w:rFonts w:ascii="Times New Roman" w:eastAsia="Arial" w:hAnsi="Times New Roman"/>
                <w:spacing w:val="-2"/>
                <w:w w:val="105"/>
                <w:sz w:val="20"/>
                <w:szCs w:val="20"/>
                <w:lang w:eastAsia="en-US"/>
              </w:rPr>
              <w:t>триває</w:t>
            </w:r>
          </w:p>
          <w:p w14:paraId="699E21F0" w14:textId="77777777" w:rsidR="0097410E" w:rsidRPr="000413EB" w:rsidRDefault="0097410E" w:rsidP="0097410E">
            <w:pPr>
              <w:jc w:val="both"/>
              <w:rPr>
                <w:rFonts w:ascii="Times New Roman" w:eastAsia="Arial" w:hAnsi="Times New Roman"/>
                <w:sz w:val="20"/>
                <w:szCs w:val="20"/>
                <w:lang w:eastAsia="en-US"/>
              </w:rPr>
            </w:pPr>
          </w:p>
        </w:tc>
        <w:tc>
          <w:tcPr>
            <w:tcW w:w="1276" w:type="dxa"/>
            <w:shd w:val="clear" w:color="auto" w:fill="auto"/>
          </w:tcPr>
          <w:p w14:paraId="7288D25F"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 xml:space="preserve">2025- 2028 </w:t>
            </w:r>
          </w:p>
        </w:tc>
        <w:tc>
          <w:tcPr>
            <w:tcW w:w="2345" w:type="dxa"/>
            <w:shd w:val="clear" w:color="auto" w:fill="auto"/>
          </w:tcPr>
          <w:p w14:paraId="05FB6CB8" w14:textId="77777777" w:rsidR="0097410E" w:rsidRPr="000413EB" w:rsidRDefault="0097410E" w:rsidP="0097410E">
            <w:pPr>
              <w:jc w:val="both"/>
              <w:rPr>
                <w:rFonts w:ascii="Times New Roman" w:eastAsia="Arial" w:hAnsi="Times New Roman"/>
                <w:sz w:val="20"/>
                <w:szCs w:val="20"/>
                <w:lang w:eastAsia="en-US"/>
              </w:rPr>
            </w:pPr>
            <w:r w:rsidRPr="000413EB">
              <w:rPr>
                <w:rFonts w:ascii="Times New Roman" w:hAnsi="Times New Roman"/>
                <w:sz w:val="20"/>
                <w:szCs w:val="20"/>
                <w:lang w:eastAsia="it-IT"/>
              </w:rPr>
              <w:t>Жмеринська дитяча музична школа</w:t>
            </w:r>
          </w:p>
        </w:tc>
        <w:tc>
          <w:tcPr>
            <w:tcW w:w="2900" w:type="dxa"/>
            <w:shd w:val="clear" w:color="auto" w:fill="auto"/>
          </w:tcPr>
          <w:p w14:paraId="19867908" w14:textId="72C3C4FA"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Кількість оновлених колективів – не &lt; 7. Кількість закуплених костюмів – понад 100 од. Збільшено кількість участі у виїзних заходах  +10%.  Зростання естетичного рівня виступів за відгуками журі, глядачів партнерів. Підвищено зацікавленність учнів у колективній сценічній діяльності</w:t>
            </w:r>
            <w:r w:rsidR="00A801AF">
              <w:rPr>
                <w:rFonts w:ascii="Times New Roman" w:hAnsi="Times New Roman"/>
                <w:sz w:val="20"/>
                <w:szCs w:val="20"/>
                <w:lang w:eastAsia="it-IT"/>
              </w:rPr>
              <w:t>.</w:t>
            </w:r>
          </w:p>
        </w:tc>
      </w:tr>
      <w:tr w:rsidR="0097410E" w:rsidRPr="000413EB" w14:paraId="78D7A607" w14:textId="77777777" w:rsidTr="000413EB">
        <w:tc>
          <w:tcPr>
            <w:tcW w:w="567" w:type="dxa"/>
            <w:shd w:val="clear" w:color="auto" w:fill="auto"/>
          </w:tcPr>
          <w:p w14:paraId="19BA1ED1" w14:textId="421F569E" w:rsidR="0097410E" w:rsidRPr="000413EB" w:rsidRDefault="003F7FB6" w:rsidP="0097410E">
            <w:pPr>
              <w:pStyle w:val="aa"/>
              <w:jc w:val="both"/>
              <w:rPr>
                <w:rFonts w:ascii="Times New Roman" w:eastAsia="Arial" w:hAnsi="Times New Roman"/>
                <w:sz w:val="20"/>
                <w:szCs w:val="20"/>
              </w:rPr>
            </w:pPr>
            <w:r>
              <w:rPr>
                <w:rFonts w:ascii="Times New Roman" w:eastAsia="Arial" w:hAnsi="Times New Roman"/>
                <w:sz w:val="20"/>
                <w:szCs w:val="20"/>
              </w:rPr>
              <w:t>34</w:t>
            </w:r>
          </w:p>
        </w:tc>
        <w:tc>
          <w:tcPr>
            <w:tcW w:w="2694" w:type="dxa"/>
            <w:shd w:val="clear" w:color="auto" w:fill="auto"/>
          </w:tcPr>
          <w:p w14:paraId="143CFE10"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bCs/>
                <w:sz w:val="20"/>
                <w:szCs w:val="20"/>
                <w:lang w:eastAsia="it-IT"/>
              </w:rPr>
              <w:t>С.3.1. Впровадження сучасної моделі культурно-мистецького  обслуговування населення громади</w:t>
            </w:r>
          </w:p>
        </w:tc>
        <w:tc>
          <w:tcPr>
            <w:tcW w:w="2551" w:type="dxa"/>
            <w:shd w:val="clear" w:color="auto" w:fill="auto"/>
          </w:tcPr>
          <w:p w14:paraId="02EB5FE4" w14:textId="77777777" w:rsidR="0097410E" w:rsidRPr="000413EB" w:rsidRDefault="0097410E" w:rsidP="0097410E">
            <w:pPr>
              <w:jc w:val="both"/>
              <w:rPr>
                <w:rFonts w:ascii="Times New Roman" w:eastAsia="Arial" w:hAnsi="Times New Roman"/>
                <w:sz w:val="20"/>
                <w:szCs w:val="20"/>
                <w:lang w:eastAsia="en-US"/>
              </w:rPr>
            </w:pPr>
            <w:r w:rsidRPr="000413EB">
              <w:rPr>
                <w:rFonts w:ascii="Times New Roman" w:hAnsi="Times New Roman"/>
                <w:sz w:val="20"/>
                <w:szCs w:val="20"/>
                <w:lang w:eastAsia="it-IT"/>
              </w:rPr>
              <w:t>С.3.1.5. Збереження та розвиток мережі музейних закладів.</w:t>
            </w:r>
          </w:p>
        </w:tc>
        <w:tc>
          <w:tcPr>
            <w:tcW w:w="2835" w:type="dxa"/>
            <w:shd w:val="clear" w:color="auto" w:fill="auto"/>
          </w:tcPr>
          <w:p w14:paraId="1ACA6A86"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«Модернізація Жмеринського міського історичного музею: спадщина у новому форматі»</w:t>
            </w:r>
          </w:p>
          <w:p w14:paraId="62654F1A" w14:textId="77777777" w:rsidR="0097410E" w:rsidRPr="000413EB" w:rsidRDefault="0097410E" w:rsidP="0097410E">
            <w:pPr>
              <w:jc w:val="both"/>
              <w:rPr>
                <w:rFonts w:ascii="Times New Roman" w:eastAsia="Arial" w:hAnsi="Times New Roman"/>
                <w:sz w:val="20"/>
                <w:szCs w:val="20"/>
                <w:lang w:eastAsia="en-US"/>
              </w:rPr>
            </w:pPr>
            <w:r w:rsidRPr="000413EB">
              <w:rPr>
                <w:rFonts w:ascii="Times New Roman" w:eastAsia="Arial" w:hAnsi="Times New Roman"/>
                <w:w w:val="105"/>
                <w:sz w:val="20"/>
                <w:szCs w:val="20"/>
                <w:lang w:eastAsia="en-US"/>
              </w:rPr>
              <w:t>реалізація</w:t>
            </w:r>
            <w:r w:rsidRPr="000413EB">
              <w:rPr>
                <w:rFonts w:ascii="Times New Roman" w:eastAsia="Arial" w:hAnsi="Times New Roman"/>
                <w:spacing w:val="57"/>
                <w:w w:val="105"/>
                <w:sz w:val="20"/>
                <w:szCs w:val="20"/>
                <w:lang w:eastAsia="en-US"/>
              </w:rPr>
              <w:t xml:space="preserve"> </w:t>
            </w:r>
            <w:r w:rsidRPr="000413EB">
              <w:rPr>
                <w:rFonts w:ascii="Times New Roman" w:eastAsia="Arial" w:hAnsi="Times New Roman"/>
                <w:spacing w:val="-2"/>
                <w:w w:val="105"/>
                <w:sz w:val="20"/>
                <w:szCs w:val="20"/>
                <w:lang w:eastAsia="en-US"/>
              </w:rPr>
              <w:t>триває</w:t>
            </w:r>
          </w:p>
        </w:tc>
        <w:tc>
          <w:tcPr>
            <w:tcW w:w="1276" w:type="dxa"/>
            <w:shd w:val="clear" w:color="auto" w:fill="auto"/>
          </w:tcPr>
          <w:p w14:paraId="639880AB"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2025- 2027</w:t>
            </w:r>
          </w:p>
        </w:tc>
        <w:tc>
          <w:tcPr>
            <w:tcW w:w="2345" w:type="dxa"/>
            <w:shd w:val="clear" w:color="auto" w:fill="auto"/>
          </w:tcPr>
          <w:p w14:paraId="6C8D135C" w14:textId="77777777" w:rsidR="0097410E" w:rsidRPr="000413EB" w:rsidRDefault="0097410E" w:rsidP="0097410E">
            <w:pPr>
              <w:jc w:val="both"/>
              <w:rPr>
                <w:rFonts w:ascii="Times New Roman" w:eastAsia="Arial" w:hAnsi="Times New Roman"/>
                <w:sz w:val="20"/>
                <w:szCs w:val="20"/>
                <w:lang w:eastAsia="en-US"/>
              </w:rPr>
            </w:pPr>
            <w:r w:rsidRPr="000413EB">
              <w:rPr>
                <w:rFonts w:ascii="Times New Roman" w:hAnsi="Times New Roman"/>
                <w:sz w:val="20"/>
                <w:szCs w:val="20"/>
                <w:lang w:eastAsia="it-IT"/>
              </w:rPr>
              <w:t>Управління культури і туризму Жмеринської міської ради</w:t>
            </w:r>
          </w:p>
        </w:tc>
        <w:tc>
          <w:tcPr>
            <w:tcW w:w="2900" w:type="dxa"/>
            <w:shd w:val="clear" w:color="auto" w:fill="auto"/>
          </w:tcPr>
          <w:p w14:paraId="7B2C9832" w14:textId="49D45B6A"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Відремонтовано 1 музей. Встановлено 1 систему відеонагляду.  Придбано не менше 10 одиниць нового обладнання.  Кількість відвідувачів зросте на 30%. Проведено не менше 15 культурно-освітніх заходів на рік.  Залучення молоді через тематичні екскурсії та інтерактивні заняття</w:t>
            </w:r>
            <w:r w:rsidR="00A801AF">
              <w:rPr>
                <w:rFonts w:ascii="Times New Roman" w:hAnsi="Times New Roman"/>
                <w:sz w:val="20"/>
                <w:szCs w:val="20"/>
                <w:lang w:eastAsia="it-IT"/>
              </w:rPr>
              <w:t>.</w:t>
            </w:r>
          </w:p>
        </w:tc>
      </w:tr>
      <w:tr w:rsidR="0097410E" w:rsidRPr="000413EB" w14:paraId="2884A3A8" w14:textId="77777777" w:rsidTr="000413EB">
        <w:tc>
          <w:tcPr>
            <w:tcW w:w="567" w:type="dxa"/>
            <w:shd w:val="clear" w:color="auto" w:fill="auto"/>
          </w:tcPr>
          <w:p w14:paraId="04096218" w14:textId="474AD2B9" w:rsidR="0097410E" w:rsidRPr="000413EB" w:rsidRDefault="003F7FB6" w:rsidP="0097410E">
            <w:pPr>
              <w:pStyle w:val="aa"/>
              <w:jc w:val="both"/>
              <w:rPr>
                <w:rFonts w:ascii="Times New Roman" w:eastAsia="Arial" w:hAnsi="Times New Roman"/>
                <w:sz w:val="20"/>
                <w:szCs w:val="20"/>
              </w:rPr>
            </w:pPr>
            <w:r>
              <w:rPr>
                <w:rFonts w:ascii="Times New Roman" w:eastAsia="Arial" w:hAnsi="Times New Roman"/>
                <w:sz w:val="20"/>
                <w:szCs w:val="20"/>
              </w:rPr>
              <w:t>35</w:t>
            </w:r>
          </w:p>
        </w:tc>
        <w:tc>
          <w:tcPr>
            <w:tcW w:w="2694" w:type="dxa"/>
            <w:shd w:val="clear" w:color="auto" w:fill="auto"/>
          </w:tcPr>
          <w:p w14:paraId="7704D675"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С.3.1. Впровадження сучасної моделі культурно-мистецького обслуговування населення громади.</w:t>
            </w:r>
          </w:p>
        </w:tc>
        <w:tc>
          <w:tcPr>
            <w:tcW w:w="2551" w:type="dxa"/>
            <w:shd w:val="clear" w:color="auto" w:fill="auto"/>
          </w:tcPr>
          <w:p w14:paraId="0FA438FF" w14:textId="77777777" w:rsidR="0097410E" w:rsidRPr="000413EB" w:rsidRDefault="0097410E" w:rsidP="0097410E">
            <w:pPr>
              <w:jc w:val="both"/>
              <w:rPr>
                <w:rFonts w:ascii="Times New Roman" w:eastAsia="Arial" w:hAnsi="Times New Roman"/>
                <w:sz w:val="20"/>
                <w:szCs w:val="20"/>
                <w:lang w:eastAsia="en-US"/>
              </w:rPr>
            </w:pPr>
            <w:r w:rsidRPr="000413EB">
              <w:rPr>
                <w:rFonts w:ascii="Times New Roman" w:hAnsi="Times New Roman"/>
                <w:sz w:val="20"/>
                <w:szCs w:val="20"/>
                <w:lang w:eastAsia="it-IT"/>
              </w:rPr>
              <w:t>С.3.1.5. Збереження та розвиток мережі музейних закладів</w:t>
            </w:r>
          </w:p>
        </w:tc>
        <w:tc>
          <w:tcPr>
            <w:tcW w:w="2835" w:type="dxa"/>
            <w:shd w:val="clear" w:color="auto" w:fill="auto"/>
          </w:tcPr>
          <w:p w14:paraId="2A2B5718"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«Модернізація музейної мережі Жмеринської громади: спадщина у новому форматі»</w:t>
            </w:r>
          </w:p>
          <w:p w14:paraId="5BB8FFFF" w14:textId="77777777" w:rsidR="0097410E" w:rsidRPr="000413EB" w:rsidRDefault="0097410E" w:rsidP="0097410E">
            <w:pPr>
              <w:jc w:val="both"/>
              <w:rPr>
                <w:rFonts w:ascii="Times New Roman" w:eastAsia="Arial" w:hAnsi="Times New Roman"/>
                <w:sz w:val="20"/>
                <w:szCs w:val="20"/>
                <w:lang w:eastAsia="en-US"/>
              </w:rPr>
            </w:pPr>
            <w:r w:rsidRPr="000413EB">
              <w:rPr>
                <w:rFonts w:ascii="Times New Roman" w:eastAsia="Arial" w:hAnsi="Times New Roman"/>
                <w:w w:val="105"/>
                <w:sz w:val="20"/>
                <w:szCs w:val="20"/>
                <w:lang w:eastAsia="en-US"/>
              </w:rPr>
              <w:t>реалізація</w:t>
            </w:r>
            <w:r w:rsidRPr="000413EB">
              <w:rPr>
                <w:rFonts w:ascii="Times New Roman" w:eastAsia="Arial" w:hAnsi="Times New Roman"/>
                <w:spacing w:val="57"/>
                <w:w w:val="105"/>
                <w:sz w:val="20"/>
                <w:szCs w:val="20"/>
                <w:lang w:eastAsia="en-US"/>
              </w:rPr>
              <w:t xml:space="preserve"> </w:t>
            </w:r>
            <w:r w:rsidRPr="000413EB">
              <w:rPr>
                <w:rFonts w:ascii="Times New Roman" w:eastAsia="Arial" w:hAnsi="Times New Roman"/>
                <w:spacing w:val="-2"/>
                <w:w w:val="105"/>
                <w:sz w:val="20"/>
                <w:szCs w:val="20"/>
                <w:lang w:eastAsia="en-US"/>
              </w:rPr>
              <w:t>триває</w:t>
            </w:r>
          </w:p>
        </w:tc>
        <w:tc>
          <w:tcPr>
            <w:tcW w:w="1276" w:type="dxa"/>
            <w:shd w:val="clear" w:color="auto" w:fill="auto"/>
          </w:tcPr>
          <w:p w14:paraId="6341B007"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2025- 2028</w:t>
            </w:r>
          </w:p>
        </w:tc>
        <w:tc>
          <w:tcPr>
            <w:tcW w:w="2345" w:type="dxa"/>
            <w:shd w:val="clear" w:color="auto" w:fill="auto"/>
          </w:tcPr>
          <w:p w14:paraId="6A0AE6F0" w14:textId="77777777" w:rsidR="0097410E" w:rsidRPr="000413EB" w:rsidRDefault="0097410E" w:rsidP="0097410E">
            <w:pPr>
              <w:jc w:val="both"/>
              <w:rPr>
                <w:rFonts w:ascii="Times New Roman" w:eastAsia="Arial" w:hAnsi="Times New Roman"/>
                <w:sz w:val="20"/>
                <w:szCs w:val="20"/>
                <w:lang w:eastAsia="en-US"/>
              </w:rPr>
            </w:pPr>
            <w:r w:rsidRPr="000413EB">
              <w:rPr>
                <w:rFonts w:ascii="Times New Roman" w:hAnsi="Times New Roman"/>
                <w:sz w:val="20"/>
                <w:szCs w:val="20"/>
                <w:lang w:eastAsia="it-IT"/>
              </w:rPr>
              <w:t>Управління культури і туризму Жмеринської міської ради</w:t>
            </w:r>
          </w:p>
        </w:tc>
        <w:tc>
          <w:tcPr>
            <w:tcW w:w="2900" w:type="dxa"/>
            <w:shd w:val="clear" w:color="auto" w:fill="auto"/>
          </w:tcPr>
          <w:p w14:paraId="3F4A82B1" w14:textId="56EC7F16"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Встановлено 2 системи відеонагляду, охоронної та пожежної сигналізації.  Придбано не менше 8 одиниць нового обладнання.  Кількість відвідувачів зросте на 30%. Проведено не менше 15 культурно-освітніх заходів на рік.  Залучення молоді через тематичні екскурсії та інтерактивні заняття</w:t>
            </w:r>
            <w:r w:rsidR="00A801AF">
              <w:rPr>
                <w:rFonts w:ascii="Times New Roman" w:hAnsi="Times New Roman"/>
                <w:sz w:val="20"/>
                <w:szCs w:val="20"/>
                <w:lang w:eastAsia="it-IT"/>
              </w:rPr>
              <w:t>.</w:t>
            </w:r>
          </w:p>
        </w:tc>
      </w:tr>
      <w:tr w:rsidR="0097410E" w:rsidRPr="000413EB" w14:paraId="035FAB8B" w14:textId="77777777" w:rsidTr="000413EB">
        <w:tc>
          <w:tcPr>
            <w:tcW w:w="567" w:type="dxa"/>
            <w:shd w:val="clear" w:color="auto" w:fill="auto"/>
          </w:tcPr>
          <w:p w14:paraId="03873854" w14:textId="1C82EF8E" w:rsidR="0097410E" w:rsidRPr="000413EB" w:rsidRDefault="003F7FB6" w:rsidP="0097410E">
            <w:pPr>
              <w:pStyle w:val="aa"/>
              <w:jc w:val="both"/>
              <w:rPr>
                <w:rFonts w:ascii="Times New Roman" w:eastAsia="Arial" w:hAnsi="Times New Roman"/>
                <w:sz w:val="20"/>
                <w:szCs w:val="20"/>
              </w:rPr>
            </w:pPr>
            <w:r>
              <w:rPr>
                <w:rFonts w:ascii="Times New Roman" w:eastAsia="Arial" w:hAnsi="Times New Roman"/>
                <w:sz w:val="20"/>
                <w:szCs w:val="20"/>
              </w:rPr>
              <w:t>36</w:t>
            </w:r>
          </w:p>
        </w:tc>
        <w:tc>
          <w:tcPr>
            <w:tcW w:w="2694" w:type="dxa"/>
            <w:shd w:val="clear" w:color="auto" w:fill="auto"/>
          </w:tcPr>
          <w:p w14:paraId="7588AF40" w14:textId="77777777" w:rsidR="0097410E" w:rsidRPr="000413EB" w:rsidRDefault="0097410E" w:rsidP="0097410E">
            <w:pPr>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С. 3.2. Розвиток народної та аматорської творчості.</w:t>
            </w:r>
          </w:p>
        </w:tc>
        <w:tc>
          <w:tcPr>
            <w:tcW w:w="2551" w:type="dxa"/>
            <w:shd w:val="clear" w:color="auto" w:fill="auto"/>
          </w:tcPr>
          <w:p w14:paraId="17B8280F" w14:textId="77777777" w:rsidR="0097410E" w:rsidRPr="000413EB" w:rsidRDefault="0097410E" w:rsidP="0097410E">
            <w:pPr>
              <w:jc w:val="both"/>
              <w:rPr>
                <w:rFonts w:ascii="Times New Roman" w:eastAsia="Arial" w:hAnsi="Times New Roman"/>
                <w:sz w:val="20"/>
                <w:szCs w:val="20"/>
                <w:lang w:eastAsia="en-US"/>
              </w:rPr>
            </w:pPr>
            <w:r w:rsidRPr="000413EB">
              <w:rPr>
                <w:rFonts w:ascii="Times New Roman" w:hAnsi="Times New Roman"/>
                <w:sz w:val="20"/>
                <w:szCs w:val="20"/>
                <w:lang w:eastAsia="it-IT"/>
              </w:rPr>
              <w:t>С.3.2.3. Участь аматорських колективів у обласних, Всеукраїнських та Міжнародних конкурсах і фестивалях.</w:t>
            </w:r>
          </w:p>
        </w:tc>
        <w:tc>
          <w:tcPr>
            <w:tcW w:w="2835" w:type="dxa"/>
            <w:shd w:val="clear" w:color="auto" w:fill="auto"/>
          </w:tcPr>
          <w:p w14:paraId="0EE57A07"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Живе мистецтво — жива громада: підтримка участі колективів громади у культурних конкурсах і фестивалях»</w:t>
            </w:r>
          </w:p>
          <w:p w14:paraId="14872953" w14:textId="77777777" w:rsidR="0097410E" w:rsidRPr="000413EB" w:rsidRDefault="0097410E" w:rsidP="0097410E">
            <w:pPr>
              <w:jc w:val="both"/>
              <w:rPr>
                <w:rFonts w:ascii="Times New Roman" w:eastAsia="Arial" w:hAnsi="Times New Roman"/>
                <w:sz w:val="20"/>
                <w:szCs w:val="20"/>
                <w:lang w:eastAsia="en-US"/>
              </w:rPr>
            </w:pPr>
            <w:r w:rsidRPr="000413EB">
              <w:rPr>
                <w:rFonts w:ascii="Times New Roman" w:eastAsia="Arial" w:hAnsi="Times New Roman"/>
                <w:w w:val="105"/>
                <w:sz w:val="20"/>
                <w:szCs w:val="20"/>
                <w:lang w:eastAsia="en-US"/>
              </w:rPr>
              <w:t>реалізація</w:t>
            </w:r>
            <w:r w:rsidRPr="000413EB">
              <w:rPr>
                <w:rFonts w:ascii="Times New Roman" w:eastAsia="Arial" w:hAnsi="Times New Roman"/>
                <w:spacing w:val="57"/>
                <w:w w:val="105"/>
                <w:sz w:val="20"/>
                <w:szCs w:val="20"/>
                <w:lang w:eastAsia="en-US"/>
              </w:rPr>
              <w:t xml:space="preserve"> </w:t>
            </w:r>
            <w:r w:rsidRPr="000413EB">
              <w:rPr>
                <w:rFonts w:ascii="Times New Roman" w:eastAsia="Arial" w:hAnsi="Times New Roman"/>
                <w:spacing w:val="-2"/>
                <w:w w:val="105"/>
                <w:sz w:val="20"/>
                <w:szCs w:val="20"/>
                <w:lang w:eastAsia="en-US"/>
              </w:rPr>
              <w:t>триває</w:t>
            </w:r>
          </w:p>
        </w:tc>
        <w:tc>
          <w:tcPr>
            <w:tcW w:w="1276" w:type="dxa"/>
            <w:shd w:val="clear" w:color="auto" w:fill="auto"/>
          </w:tcPr>
          <w:p w14:paraId="20491345"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 xml:space="preserve">2025-2028 </w:t>
            </w:r>
          </w:p>
        </w:tc>
        <w:tc>
          <w:tcPr>
            <w:tcW w:w="2345" w:type="dxa"/>
            <w:shd w:val="clear" w:color="auto" w:fill="auto"/>
          </w:tcPr>
          <w:p w14:paraId="2E7507CC" w14:textId="77777777" w:rsidR="0097410E" w:rsidRPr="000413EB" w:rsidRDefault="0097410E" w:rsidP="0097410E">
            <w:pPr>
              <w:jc w:val="both"/>
              <w:rPr>
                <w:rFonts w:ascii="Times New Roman" w:eastAsia="Arial" w:hAnsi="Times New Roman"/>
                <w:sz w:val="20"/>
                <w:szCs w:val="20"/>
                <w:lang w:eastAsia="en-US"/>
              </w:rPr>
            </w:pPr>
            <w:r w:rsidRPr="000413EB">
              <w:rPr>
                <w:rFonts w:ascii="Times New Roman" w:hAnsi="Times New Roman"/>
                <w:sz w:val="20"/>
                <w:szCs w:val="20"/>
                <w:lang w:eastAsia="it-IT"/>
              </w:rPr>
              <w:t>Управління культури і туризму Жмеринської міської ради спільно з закладами культури</w:t>
            </w:r>
          </w:p>
        </w:tc>
        <w:tc>
          <w:tcPr>
            <w:tcW w:w="2900" w:type="dxa"/>
            <w:shd w:val="clear" w:color="auto" w:fill="auto"/>
          </w:tcPr>
          <w:p w14:paraId="5AB8ECC2" w14:textId="118C858F" w:rsidR="0097410E" w:rsidRPr="000413EB" w:rsidRDefault="0097410E" w:rsidP="0097410E">
            <w:pPr>
              <w:jc w:val="both"/>
              <w:rPr>
                <w:rFonts w:ascii="Times New Roman" w:eastAsia="Arial" w:hAnsi="Times New Roman"/>
                <w:sz w:val="20"/>
                <w:szCs w:val="20"/>
                <w:lang w:eastAsia="en-US"/>
              </w:rPr>
            </w:pPr>
            <w:r w:rsidRPr="000413EB">
              <w:rPr>
                <w:rFonts w:ascii="Times New Roman" w:hAnsi="Times New Roman"/>
                <w:sz w:val="20"/>
                <w:szCs w:val="20"/>
                <w:lang w:eastAsia="it-IT"/>
              </w:rPr>
              <w:t>Кількість конкурсів і фестивалів з участю колективів – не менше 10/рік. Кількість залучених творчих колективів – понад 15 . Кількість нагород, дипломів – не менше 15 щорічно. Кількість майстер-класів і тренінгів – не менше 6/рік</w:t>
            </w:r>
            <w:r w:rsidR="00A801AF">
              <w:rPr>
                <w:rFonts w:ascii="Times New Roman" w:hAnsi="Times New Roman"/>
                <w:sz w:val="20"/>
                <w:szCs w:val="20"/>
                <w:lang w:eastAsia="it-IT"/>
              </w:rPr>
              <w:t>.</w:t>
            </w:r>
            <w:r w:rsidRPr="000413EB">
              <w:rPr>
                <w:rFonts w:ascii="Times New Roman" w:hAnsi="Times New Roman"/>
                <w:sz w:val="20"/>
                <w:szCs w:val="20"/>
                <w:lang w:eastAsia="it-IT"/>
              </w:rPr>
              <w:t xml:space="preserve"> Залучено нових учасників до аматорських колективів  +15% щорічно. Охоплено аудиторії через висвітлення – понад 50000 осіб</w:t>
            </w:r>
            <w:r w:rsidR="00A801AF">
              <w:rPr>
                <w:rFonts w:ascii="Times New Roman" w:hAnsi="Times New Roman"/>
                <w:sz w:val="20"/>
                <w:szCs w:val="20"/>
                <w:lang w:eastAsia="it-IT"/>
              </w:rPr>
              <w:t>.</w:t>
            </w:r>
          </w:p>
        </w:tc>
      </w:tr>
      <w:tr w:rsidR="0097410E" w:rsidRPr="000413EB" w14:paraId="015692BD" w14:textId="77777777" w:rsidTr="000413EB">
        <w:tc>
          <w:tcPr>
            <w:tcW w:w="567" w:type="dxa"/>
            <w:shd w:val="clear" w:color="auto" w:fill="auto"/>
          </w:tcPr>
          <w:p w14:paraId="0844978A" w14:textId="662CE716" w:rsidR="0097410E" w:rsidRPr="000413EB" w:rsidRDefault="003F7FB6" w:rsidP="0097410E">
            <w:pPr>
              <w:pStyle w:val="aa"/>
              <w:jc w:val="both"/>
              <w:rPr>
                <w:rFonts w:ascii="Times New Roman" w:eastAsia="Arial" w:hAnsi="Times New Roman"/>
                <w:sz w:val="20"/>
                <w:szCs w:val="20"/>
              </w:rPr>
            </w:pPr>
            <w:r>
              <w:rPr>
                <w:rFonts w:ascii="Times New Roman" w:eastAsia="Arial" w:hAnsi="Times New Roman"/>
                <w:sz w:val="20"/>
                <w:szCs w:val="20"/>
              </w:rPr>
              <w:t>37</w:t>
            </w:r>
          </w:p>
        </w:tc>
        <w:tc>
          <w:tcPr>
            <w:tcW w:w="2694" w:type="dxa"/>
            <w:shd w:val="clear" w:color="auto" w:fill="auto"/>
          </w:tcPr>
          <w:p w14:paraId="4A764AC5" w14:textId="77777777" w:rsidR="0097410E" w:rsidRPr="000413EB" w:rsidRDefault="0097410E" w:rsidP="0097410E">
            <w:pPr>
              <w:jc w:val="both"/>
              <w:rPr>
                <w:rFonts w:ascii="Times New Roman" w:eastAsia="Arial" w:hAnsi="Times New Roman"/>
                <w:sz w:val="20"/>
                <w:szCs w:val="20"/>
                <w:lang w:eastAsia="en-US"/>
              </w:rPr>
            </w:pPr>
            <w:r w:rsidRPr="000413EB">
              <w:rPr>
                <w:rFonts w:ascii="Times New Roman" w:eastAsia="Arial" w:hAnsi="Times New Roman"/>
                <w:iCs/>
                <w:sz w:val="20"/>
                <w:szCs w:val="20"/>
                <w:lang w:eastAsia="en-US"/>
              </w:rPr>
              <w:t>С.3.3. Новітня бібліотека.</w:t>
            </w:r>
          </w:p>
        </w:tc>
        <w:tc>
          <w:tcPr>
            <w:tcW w:w="2551" w:type="dxa"/>
            <w:shd w:val="clear" w:color="auto" w:fill="auto"/>
          </w:tcPr>
          <w:p w14:paraId="371F45E7" w14:textId="77777777" w:rsidR="0097410E" w:rsidRPr="000413EB" w:rsidRDefault="0097410E" w:rsidP="0097410E">
            <w:pPr>
              <w:pBdr>
                <w:left w:val="single" w:sz="18" w:space="4" w:color="auto"/>
              </w:pBdr>
              <w:jc w:val="both"/>
              <w:rPr>
                <w:rFonts w:ascii="Times New Roman" w:hAnsi="Times New Roman"/>
                <w:iCs/>
                <w:sz w:val="20"/>
                <w:szCs w:val="20"/>
                <w:lang w:eastAsia="it-IT"/>
              </w:rPr>
            </w:pPr>
            <w:r w:rsidRPr="000413EB">
              <w:rPr>
                <w:rFonts w:ascii="Times New Roman" w:hAnsi="Times New Roman"/>
                <w:iCs/>
                <w:sz w:val="20"/>
                <w:szCs w:val="20"/>
                <w:lang w:eastAsia="it-IT"/>
              </w:rPr>
              <w:t>С.3.3.1. Бібліотека, як громадський центр.</w:t>
            </w:r>
          </w:p>
          <w:p w14:paraId="45C97CB2" w14:textId="77777777" w:rsidR="0097410E" w:rsidRPr="000413EB" w:rsidRDefault="0097410E" w:rsidP="0097410E">
            <w:pPr>
              <w:pBdr>
                <w:left w:val="single" w:sz="18" w:space="4" w:color="auto"/>
              </w:pBdr>
              <w:jc w:val="both"/>
              <w:rPr>
                <w:rFonts w:ascii="Times New Roman" w:eastAsia="Arial" w:hAnsi="Times New Roman"/>
                <w:sz w:val="20"/>
                <w:szCs w:val="20"/>
                <w:lang w:eastAsia="en-US"/>
              </w:rPr>
            </w:pPr>
            <w:r w:rsidRPr="000413EB">
              <w:rPr>
                <w:rFonts w:ascii="Times New Roman" w:hAnsi="Times New Roman"/>
                <w:iCs/>
                <w:sz w:val="20"/>
                <w:szCs w:val="20"/>
                <w:lang w:eastAsia="it-IT"/>
              </w:rPr>
              <w:t>С.3.3.3. Облаштування бібліотек, як сучасного, креативного та комфортного простору для жителів громади.</w:t>
            </w:r>
          </w:p>
        </w:tc>
        <w:tc>
          <w:tcPr>
            <w:tcW w:w="2835" w:type="dxa"/>
            <w:shd w:val="clear" w:color="auto" w:fill="auto"/>
          </w:tcPr>
          <w:p w14:paraId="5DC180F8"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«Бібліотека-інформаційна підтримка громади»</w:t>
            </w:r>
          </w:p>
          <w:p w14:paraId="637D8ECC" w14:textId="77777777" w:rsidR="0097410E" w:rsidRPr="000413EB" w:rsidRDefault="0097410E" w:rsidP="0097410E">
            <w:pPr>
              <w:jc w:val="both"/>
              <w:rPr>
                <w:rFonts w:ascii="Times New Roman" w:eastAsia="Arial" w:hAnsi="Times New Roman"/>
                <w:sz w:val="20"/>
                <w:szCs w:val="20"/>
                <w:lang w:eastAsia="en-US"/>
              </w:rPr>
            </w:pPr>
            <w:r w:rsidRPr="000413EB">
              <w:rPr>
                <w:rFonts w:ascii="Times New Roman" w:eastAsia="Arial" w:hAnsi="Times New Roman"/>
                <w:w w:val="105"/>
                <w:sz w:val="20"/>
                <w:szCs w:val="20"/>
                <w:lang w:eastAsia="en-US"/>
              </w:rPr>
              <w:t>реалізація</w:t>
            </w:r>
            <w:r w:rsidRPr="000413EB">
              <w:rPr>
                <w:rFonts w:ascii="Times New Roman" w:eastAsia="Arial" w:hAnsi="Times New Roman"/>
                <w:spacing w:val="57"/>
                <w:w w:val="105"/>
                <w:sz w:val="20"/>
                <w:szCs w:val="20"/>
                <w:lang w:eastAsia="en-US"/>
              </w:rPr>
              <w:t xml:space="preserve"> </w:t>
            </w:r>
            <w:r w:rsidRPr="000413EB">
              <w:rPr>
                <w:rFonts w:ascii="Times New Roman" w:eastAsia="Arial" w:hAnsi="Times New Roman"/>
                <w:spacing w:val="-2"/>
                <w:w w:val="105"/>
                <w:sz w:val="20"/>
                <w:szCs w:val="20"/>
                <w:lang w:eastAsia="en-US"/>
              </w:rPr>
              <w:t>триває</w:t>
            </w:r>
          </w:p>
        </w:tc>
        <w:tc>
          <w:tcPr>
            <w:tcW w:w="1276" w:type="dxa"/>
            <w:shd w:val="clear" w:color="auto" w:fill="auto"/>
          </w:tcPr>
          <w:p w14:paraId="62DC06BE" w14:textId="77777777" w:rsidR="0097410E" w:rsidRPr="000413EB" w:rsidRDefault="0097410E" w:rsidP="0097410E">
            <w:pPr>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 xml:space="preserve">2025-2028 </w:t>
            </w:r>
          </w:p>
        </w:tc>
        <w:tc>
          <w:tcPr>
            <w:tcW w:w="2345" w:type="dxa"/>
            <w:shd w:val="clear" w:color="auto" w:fill="auto"/>
          </w:tcPr>
          <w:p w14:paraId="2DFB90AC" w14:textId="77777777" w:rsidR="0097410E" w:rsidRPr="000413EB" w:rsidRDefault="0097410E" w:rsidP="0097410E">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КЗ Публічна бібліотека Жмеринської міської ТГ</w:t>
            </w:r>
          </w:p>
        </w:tc>
        <w:tc>
          <w:tcPr>
            <w:tcW w:w="2900" w:type="dxa"/>
            <w:shd w:val="clear" w:color="auto" w:fill="auto"/>
          </w:tcPr>
          <w:p w14:paraId="26E9F4AC"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Оснащені інфо-ресурсом 20 бібліотек.</w:t>
            </w:r>
          </w:p>
          <w:p w14:paraId="785C2A52"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Проведено понад 100 інформаційних консультацій щомісяця. Надано допомогу не менше як 200 мешканцям громади.</w:t>
            </w:r>
          </w:p>
          <w:p w14:paraId="02D082B4" w14:textId="13F4E41E"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Бібліотекарі пройшли щонайменше 2 тренінги</w:t>
            </w:r>
            <w:r w:rsidR="00A801AF">
              <w:rPr>
                <w:rFonts w:ascii="Times New Roman" w:hAnsi="Times New Roman"/>
                <w:sz w:val="20"/>
                <w:szCs w:val="20"/>
                <w:lang w:eastAsia="it-IT"/>
              </w:rPr>
              <w:t>.</w:t>
            </w:r>
          </w:p>
          <w:p w14:paraId="1432F10F" w14:textId="34DFFBE3" w:rsidR="0097410E" w:rsidRPr="000413EB" w:rsidRDefault="0097410E" w:rsidP="0097410E">
            <w:pPr>
              <w:jc w:val="both"/>
              <w:rPr>
                <w:rFonts w:ascii="Times New Roman" w:eastAsia="Arial" w:hAnsi="Times New Roman"/>
                <w:sz w:val="20"/>
                <w:szCs w:val="20"/>
                <w:lang w:eastAsia="en-US"/>
              </w:rPr>
            </w:pPr>
            <w:r w:rsidRPr="000413EB">
              <w:rPr>
                <w:rFonts w:ascii="Times New Roman" w:hAnsi="Times New Roman"/>
                <w:sz w:val="20"/>
                <w:szCs w:val="20"/>
                <w:lang w:eastAsia="it-IT"/>
              </w:rPr>
              <w:t>Підвищено рівень цифрової обізнаності серед людей віком 50+</w:t>
            </w:r>
            <w:r w:rsidR="00A801AF">
              <w:rPr>
                <w:rFonts w:ascii="Times New Roman" w:hAnsi="Times New Roman"/>
                <w:sz w:val="20"/>
                <w:szCs w:val="20"/>
                <w:lang w:eastAsia="it-IT"/>
              </w:rPr>
              <w:t>.</w:t>
            </w:r>
          </w:p>
        </w:tc>
      </w:tr>
      <w:tr w:rsidR="0097410E" w:rsidRPr="000413EB" w14:paraId="0A2AEAAF" w14:textId="77777777" w:rsidTr="000413EB">
        <w:tc>
          <w:tcPr>
            <w:tcW w:w="567" w:type="dxa"/>
            <w:shd w:val="clear" w:color="auto" w:fill="auto"/>
          </w:tcPr>
          <w:p w14:paraId="71480F4F" w14:textId="63AA224A" w:rsidR="0097410E" w:rsidRPr="000413EB" w:rsidRDefault="003F7FB6" w:rsidP="0097410E">
            <w:pPr>
              <w:pStyle w:val="aa"/>
              <w:jc w:val="both"/>
              <w:rPr>
                <w:rFonts w:ascii="Times New Roman" w:eastAsia="Arial" w:hAnsi="Times New Roman"/>
                <w:sz w:val="20"/>
                <w:szCs w:val="20"/>
              </w:rPr>
            </w:pPr>
            <w:r>
              <w:rPr>
                <w:rFonts w:ascii="Times New Roman" w:eastAsia="Arial" w:hAnsi="Times New Roman"/>
                <w:sz w:val="20"/>
                <w:szCs w:val="20"/>
              </w:rPr>
              <w:t>38</w:t>
            </w:r>
          </w:p>
        </w:tc>
        <w:tc>
          <w:tcPr>
            <w:tcW w:w="2694" w:type="dxa"/>
            <w:shd w:val="clear" w:color="auto" w:fill="auto"/>
          </w:tcPr>
          <w:p w14:paraId="748041CF" w14:textId="77777777" w:rsidR="0097410E" w:rsidRPr="000413EB" w:rsidRDefault="0097410E" w:rsidP="0097410E">
            <w:pPr>
              <w:jc w:val="both"/>
              <w:rPr>
                <w:rFonts w:ascii="Times New Roman" w:eastAsia="Arial" w:hAnsi="Times New Roman"/>
                <w:sz w:val="20"/>
                <w:szCs w:val="20"/>
                <w:lang w:eastAsia="en-US"/>
              </w:rPr>
            </w:pPr>
            <w:r w:rsidRPr="000413EB">
              <w:rPr>
                <w:rFonts w:ascii="Times New Roman" w:eastAsia="Arial" w:hAnsi="Times New Roman"/>
                <w:iCs/>
                <w:sz w:val="20"/>
                <w:szCs w:val="20"/>
                <w:lang w:eastAsia="en-US"/>
              </w:rPr>
              <w:t>С.3.3. Новітня бібліотека.</w:t>
            </w:r>
          </w:p>
        </w:tc>
        <w:tc>
          <w:tcPr>
            <w:tcW w:w="2551" w:type="dxa"/>
            <w:shd w:val="clear" w:color="auto" w:fill="auto"/>
          </w:tcPr>
          <w:p w14:paraId="77698E2B" w14:textId="77777777" w:rsidR="0097410E" w:rsidRPr="000413EB" w:rsidRDefault="0097410E" w:rsidP="0097410E">
            <w:pPr>
              <w:pBdr>
                <w:left w:val="single" w:sz="18" w:space="4" w:color="auto"/>
              </w:pBdr>
              <w:jc w:val="both"/>
              <w:rPr>
                <w:rFonts w:ascii="Times New Roman" w:hAnsi="Times New Roman"/>
                <w:iCs/>
                <w:sz w:val="20"/>
                <w:szCs w:val="20"/>
                <w:lang w:eastAsia="it-IT"/>
              </w:rPr>
            </w:pPr>
            <w:r w:rsidRPr="000413EB">
              <w:rPr>
                <w:rFonts w:ascii="Times New Roman" w:hAnsi="Times New Roman"/>
                <w:iCs/>
                <w:sz w:val="20"/>
                <w:szCs w:val="20"/>
                <w:lang w:eastAsia="it-IT"/>
              </w:rPr>
              <w:t>С.3.3.1. Бібліотека, як громадський центр.</w:t>
            </w:r>
          </w:p>
          <w:p w14:paraId="277FFE16" w14:textId="77777777" w:rsidR="0097410E" w:rsidRPr="000413EB" w:rsidRDefault="0097410E" w:rsidP="0097410E">
            <w:pPr>
              <w:pBdr>
                <w:left w:val="single" w:sz="18" w:space="4" w:color="auto"/>
              </w:pBdr>
              <w:jc w:val="both"/>
              <w:rPr>
                <w:rFonts w:ascii="Times New Roman" w:hAnsi="Times New Roman"/>
                <w:iCs/>
                <w:sz w:val="20"/>
                <w:szCs w:val="20"/>
                <w:lang w:eastAsia="it-IT"/>
              </w:rPr>
            </w:pPr>
            <w:r w:rsidRPr="000413EB">
              <w:rPr>
                <w:rFonts w:ascii="Times New Roman" w:hAnsi="Times New Roman"/>
                <w:iCs/>
                <w:sz w:val="20"/>
                <w:szCs w:val="20"/>
                <w:lang w:eastAsia="it-IT"/>
              </w:rPr>
              <w:t>С.3.3.3. Облаштування бібліотек, як сучасного, креативного та комфортного простору для жителів громади.</w:t>
            </w:r>
          </w:p>
        </w:tc>
        <w:tc>
          <w:tcPr>
            <w:tcW w:w="2835" w:type="dxa"/>
            <w:shd w:val="clear" w:color="auto" w:fill="auto"/>
          </w:tcPr>
          <w:p w14:paraId="74434C35"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«Відкрита бібліотека: простір знань, ідей і зустрічей»</w:t>
            </w:r>
          </w:p>
          <w:p w14:paraId="54CF92A0" w14:textId="77777777" w:rsidR="0097410E" w:rsidRPr="000413EB" w:rsidRDefault="0097410E" w:rsidP="0097410E">
            <w:pPr>
              <w:jc w:val="both"/>
              <w:rPr>
                <w:rFonts w:ascii="Times New Roman" w:hAnsi="Times New Roman"/>
                <w:sz w:val="20"/>
                <w:szCs w:val="20"/>
                <w:lang w:eastAsia="it-IT"/>
              </w:rPr>
            </w:pPr>
            <w:r w:rsidRPr="000413EB">
              <w:rPr>
                <w:rFonts w:ascii="Times New Roman" w:eastAsia="Arial" w:hAnsi="Times New Roman"/>
                <w:w w:val="105"/>
                <w:sz w:val="20"/>
                <w:szCs w:val="20"/>
                <w:lang w:eastAsia="en-US"/>
              </w:rPr>
              <w:t>реалізація</w:t>
            </w:r>
            <w:r w:rsidRPr="000413EB">
              <w:rPr>
                <w:rFonts w:ascii="Times New Roman" w:eastAsia="Arial" w:hAnsi="Times New Roman"/>
                <w:spacing w:val="57"/>
                <w:w w:val="105"/>
                <w:sz w:val="20"/>
                <w:szCs w:val="20"/>
                <w:lang w:eastAsia="en-US"/>
              </w:rPr>
              <w:t xml:space="preserve"> </w:t>
            </w:r>
            <w:r w:rsidRPr="000413EB">
              <w:rPr>
                <w:rFonts w:ascii="Times New Roman" w:eastAsia="Arial" w:hAnsi="Times New Roman"/>
                <w:spacing w:val="-2"/>
                <w:w w:val="105"/>
                <w:sz w:val="20"/>
                <w:szCs w:val="20"/>
                <w:lang w:eastAsia="en-US"/>
              </w:rPr>
              <w:t>триває</w:t>
            </w:r>
          </w:p>
        </w:tc>
        <w:tc>
          <w:tcPr>
            <w:tcW w:w="1276" w:type="dxa"/>
            <w:shd w:val="clear" w:color="auto" w:fill="auto"/>
          </w:tcPr>
          <w:p w14:paraId="3A38EA41"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2025- 2028</w:t>
            </w:r>
          </w:p>
        </w:tc>
        <w:tc>
          <w:tcPr>
            <w:tcW w:w="2345" w:type="dxa"/>
            <w:shd w:val="clear" w:color="auto" w:fill="auto"/>
          </w:tcPr>
          <w:p w14:paraId="347F8932" w14:textId="77777777" w:rsidR="0097410E" w:rsidRPr="000413EB" w:rsidRDefault="0097410E" w:rsidP="0097410E">
            <w:pPr>
              <w:jc w:val="both"/>
              <w:rPr>
                <w:rFonts w:ascii="Times New Roman" w:eastAsia="Arial" w:hAnsi="Times New Roman"/>
                <w:sz w:val="20"/>
                <w:szCs w:val="20"/>
                <w:lang w:eastAsia="en-US"/>
              </w:rPr>
            </w:pPr>
            <w:r w:rsidRPr="000413EB">
              <w:rPr>
                <w:rFonts w:ascii="Times New Roman" w:hAnsi="Times New Roman"/>
                <w:sz w:val="20"/>
                <w:szCs w:val="20"/>
                <w:lang w:eastAsia="it-IT"/>
              </w:rPr>
              <w:t>КЗ Публічна бібліотека Жмеринської міської ТГ</w:t>
            </w:r>
          </w:p>
        </w:tc>
        <w:tc>
          <w:tcPr>
            <w:tcW w:w="2900" w:type="dxa"/>
            <w:shd w:val="clear" w:color="auto" w:fill="auto"/>
          </w:tcPr>
          <w:p w14:paraId="1BBF04E1" w14:textId="7E62160D" w:rsidR="0097410E" w:rsidRPr="000413EB" w:rsidRDefault="0097410E" w:rsidP="0097410E">
            <w:pPr>
              <w:jc w:val="both"/>
              <w:rPr>
                <w:rFonts w:ascii="Times New Roman" w:eastAsia="Arial" w:hAnsi="Times New Roman"/>
                <w:sz w:val="20"/>
                <w:szCs w:val="20"/>
                <w:lang w:eastAsia="en-US"/>
              </w:rPr>
            </w:pPr>
            <w:r w:rsidRPr="000413EB">
              <w:rPr>
                <w:rFonts w:ascii="Times New Roman" w:hAnsi="Times New Roman"/>
                <w:sz w:val="20"/>
                <w:szCs w:val="20"/>
                <w:lang w:eastAsia="it-IT"/>
              </w:rPr>
              <w:t>Відремонтовано та модернізовано 2 бібліотеки</w:t>
            </w:r>
            <w:r w:rsidR="00A801AF">
              <w:rPr>
                <w:rFonts w:ascii="Times New Roman" w:hAnsi="Times New Roman"/>
                <w:sz w:val="20"/>
                <w:szCs w:val="20"/>
                <w:lang w:eastAsia="it-IT"/>
              </w:rPr>
              <w:t>.</w:t>
            </w:r>
            <w:r w:rsidRPr="000413EB">
              <w:rPr>
                <w:rFonts w:ascii="Times New Roman" w:hAnsi="Times New Roman"/>
                <w:sz w:val="20"/>
                <w:szCs w:val="20"/>
                <w:lang w:eastAsia="it-IT"/>
              </w:rPr>
              <w:t xml:space="preserve"> Придбано щонайменше 20 одиниць техніки та меблів. Кількість відвідувачів зросла на 10% протягом першого року. Проведено понад 50 заходів у нових просторах. Не менше 100 нових активних користувачів за рік</w:t>
            </w:r>
            <w:r w:rsidR="00A801AF">
              <w:rPr>
                <w:rFonts w:ascii="Times New Roman" w:hAnsi="Times New Roman"/>
                <w:sz w:val="20"/>
                <w:szCs w:val="20"/>
                <w:lang w:eastAsia="it-IT"/>
              </w:rPr>
              <w:t>.</w:t>
            </w:r>
          </w:p>
        </w:tc>
      </w:tr>
      <w:tr w:rsidR="0097410E" w:rsidRPr="000413EB" w14:paraId="280FE81D" w14:textId="77777777" w:rsidTr="000413EB">
        <w:tc>
          <w:tcPr>
            <w:tcW w:w="567" w:type="dxa"/>
            <w:shd w:val="clear" w:color="auto" w:fill="auto"/>
          </w:tcPr>
          <w:p w14:paraId="2B79DEDE" w14:textId="67AD666B" w:rsidR="0097410E" w:rsidRPr="000413EB" w:rsidRDefault="00373EDF" w:rsidP="0097410E">
            <w:pPr>
              <w:pStyle w:val="aa"/>
              <w:jc w:val="both"/>
              <w:rPr>
                <w:rFonts w:ascii="Times New Roman" w:eastAsia="Arial" w:hAnsi="Times New Roman"/>
                <w:sz w:val="20"/>
                <w:szCs w:val="20"/>
              </w:rPr>
            </w:pPr>
            <w:r>
              <w:rPr>
                <w:rFonts w:ascii="Times New Roman" w:eastAsia="Arial" w:hAnsi="Times New Roman"/>
                <w:sz w:val="20"/>
                <w:szCs w:val="20"/>
              </w:rPr>
              <w:t>39</w:t>
            </w:r>
          </w:p>
        </w:tc>
        <w:tc>
          <w:tcPr>
            <w:tcW w:w="2694" w:type="dxa"/>
            <w:shd w:val="clear" w:color="auto" w:fill="auto"/>
          </w:tcPr>
          <w:p w14:paraId="7D67B353" w14:textId="77777777" w:rsidR="0097410E" w:rsidRPr="000413EB" w:rsidRDefault="0097410E" w:rsidP="0097410E">
            <w:pPr>
              <w:jc w:val="both"/>
              <w:rPr>
                <w:rFonts w:ascii="Times New Roman" w:eastAsia="Arial" w:hAnsi="Times New Roman"/>
                <w:sz w:val="20"/>
                <w:szCs w:val="20"/>
                <w:lang w:eastAsia="en-US"/>
              </w:rPr>
            </w:pPr>
            <w:r w:rsidRPr="000413EB">
              <w:rPr>
                <w:rFonts w:ascii="Times New Roman" w:eastAsia="Arial" w:hAnsi="Times New Roman"/>
                <w:iCs/>
                <w:sz w:val="20"/>
                <w:szCs w:val="20"/>
                <w:lang w:eastAsia="en-US"/>
              </w:rPr>
              <w:t>С.3.3. Новітня бібліотека.</w:t>
            </w:r>
          </w:p>
        </w:tc>
        <w:tc>
          <w:tcPr>
            <w:tcW w:w="2551" w:type="dxa"/>
            <w:shd w:val="clear" w:color="auto" w:fill="auto"/>
          </w:tcPr>
          <w:p w14:paraId="0E577EB3" w14:textId="77777777" w:rsidR="0097410E" w:rsidRPr="000413EB" w:rsidRDefault="0097410E" w:rsidP="0097410E">
            <w:pPr>
              <w:pBdr>
                <w:left w:val="single" w:sz="18" w:space="4" w:color="auto"/>
              </w:pBdr>
              <w:jc w:val="both"/>
              <w:rPr>
                <w:rFonts w:ascii="Times New Roman" w:hAnsi="Times New Roman"/>
                <w:iCs/>
                <w:sz w:val="20"/>
                <w:szCs w:val="20"/>
                <w:lang w:eastAsia="it-IT"/>
              </w:rPr>
            </w:pPr>
            <w:r w:rsidRPr="000413EB">
              <w:rPr>
                <w:rFonts w:ascii="Times New Roman" w:hAnsi="Times New Roman"/>
                <w:iCs/>
                <w:sz w:val="20"/>
                <w:szCs w:val="20"/>
                <w:lang w:eastAsia="it-IT"/>
              </w:rPr>
              <w:t>С.3.3.2. Пошук нових форм роботи.</w:t>
            </w:r>
          </w:p>
          <w:p w14:paraId="4DA46322" w14:textId="77777777" w:rsidR="0097410E" w:rsidRPr="000413EB" w:rsidRDefault="0097410E" w:rsidP="0097410E">
            <w:pPr>
              <w:jc w:val="both"/>
              <w:rPr>
                <w:rFonts w:ascii="Times New Roman" w:eastAsia="Arial" w:hAnsi="Times New Roman"/>
                <w:sz w:val="20"/>
                <w:szCs w:val="20"/>
                <w:lang w:eastAsia="en-US"/>
              </w:rPr>
            </w:pPr>
          </w:p>
        </w:tc>
        <w:tc>
          <w:tcPr>
            <w:tcW w:w="2835" w:type="dxa"/>
            <w:shd w:val="clear" w:color="auto" w:fill="auto"/>
          </w:tcPr>
          <w:p w14:paraId="367BDB7B"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«Територія дитинства: розвиток, творчість, пізнання»</w:t>
            </w:r>
          </w:p>
          <w:p w14:paraId="489FC624" w14:textId="77777777" w:rsidR="0097410E" w:rsidRPr="000413EB" w:rsidRDefault="0097410E" w:rsidP="0097410E">
            <w:pPr>
              <w:jc w:val="both"/>
              <w:rPr>
                <w:rFonts w:ascii="Times New Roman" w:eastAsia="Arial" w:hAnsi="Times New Roman"/>
                <w:sz w:val="20"/>
                <w:szCs w:val="20"/>
                <w:lang w:eastAsia="en-US"/>
              </w:rPr>
            </w:pPr>
            <w:r w:rsidRPr="000413EB">
              <w:rPr>
                <w:rFonts w:ascii="Times New Roman" w:eastAsia="Arial" w:hAnsi="Times New Roman"/>
                <w:w w:val="105"/>
                <w:sz w:val="20"/>
                <w:szCs w:val="20"/>
                <w:lang w:eastAsia="en-US"/>
              </w:rPr>
              <w:t>реалізація</w:t>
            </w:r>
            <w:r w:rsidRPr="000413EB">
              <w:rPr>
                <w:rFonts w:ascii="Times New Roman" w:eastAsia="Arial" w:hAnsi="Times New Roman"/>
                <w:spacing w:val="57"/>
                <w:w w:val="105"/>
                <w:sz w:val="20"/>
                <w:szCs w:val="20"/>
                <w:lang w:eastAsia="en-US"/>
              </w:rPr>
              <w:t xml:space="preserve"> </w:t>
            </w:r>
            <w:r w:rsidRPr="000413EB">
              <w:rPr>
                <w:rFonts w:ascii="Times New Roman" w:eastAsia="Arial" w:hAnsi="Times New Roman"/>
                <w:spacing w:val="-2"/>
                <w:w w:val="105"/>
                <w:sz w:val="20"/>
                <w:szCs w:val="20"/>
                <w:lang w:eastAsia="en-US"/>
              </w:rPr>
              <w:t>триває</w:t>
            </w:r>
          </w:p>
        </w:tc>
        <w:tc>
          <w:tcPr>
            <w:tcW w:w="1276" w:type="dxa"/>
            <w:shd w:val="clear" w:color="auto" w:fill="auto"/>
          </w:tcPr>
          <w:p w14:paraId="34811F5B"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2025- 2028</w:t>
            </w:r>
          </w:p>
        </w:tc>
        <w:tc>
          <w:tcPr>
            <w:tcW w:w="2345" w:type="dxa"/>
            <w:shd w:val="clear" w:color="auto" w:fill="auto"/>
          </w:tcPr>
          <w:p w14:paraId="4155D06A" w14:textId="77777777" w:rsidR="008955D4"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 xml:space="preserve">Управління культури і туризму Жмеринської міської ради, </w:t>
            </w:r>
          </w:p>
          <w:p w14:paraId="589CBC73" w14:textId="1A621F41" w:rsidR="0097410E" w:rsidRPr="000413EB" w:rsidRDefault="0097410E" w:rsidP="0097410E">
            <w:pPr>
              <w:jc w:val="both"/>
              <w:rPr>
                <w:rFonts w:ascii="Times New Roman" w:eastAsia="Arial" w:hAnsi="Times New Roman"/>
                <w:sz w:val="20"/>
                <w:szCs w:val="20"/>
                <w:lang w:eastAsia="en-US"/>
              </w:rPr>
            </w:pPr>
            <w:r w:rsidRPr="000413EB">
              <w:rPr>
                <w:rFonts w:ascii="Times New Roman" w:hAnsi="Times New Roman"/>
                <w:sz w:val="20"/>
                <w:szCs w:val="20"/>
                <w:lang w:eastAsia="it-IT"/>
              </w:rPr>
              <w:t>КЗ Публічна бібліотека Жмеринської міської ТГ (у партнерстві із закладами культури громади)</w:t>
            </w:r>
          </w:p>
        </w:tc>
        <w:tc>
          <w:tcPr>
            <w:tcW w:w="2900" w:type="dxa"/>
            <w:shd w:val="clear" w:color="auto" w:fill="auto"/>
          </w:tcPr>
          <w:p w14:paraId="0FF6722E" w14:textId="13B52DF5"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Проведено щорічно не менше 3 конкурсів</w:t>
            </w:r>
            <w:r w:rsidR="00A801AF">
              <w:rPr>
                <w:rFonts w:ascii="Times New Roman" w:hAnsi="Times New Roman"/>
                <w:sz w:val="20"/>
                <w:szCs w:val="20"/>
                <w:lang w:eastAsia="it-IT"/>
              </w:rPr>
              <w:t>.</w:t>
            </w:r>
          </w:p>
          <w:p w14:paraId="7C86FF7C" w14:textId="28B0C6C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Створено 1–2 театральні постановки щороку</w:t>
            </w:r>
            <w:r w:rsidR="00A801AF">
              <w:rPr>
                <w:rFonts w:ascii="Times New Roman" w:hAnsi="Times New Roman"/>
                <w:sz w:val="20"/>
                <w:szCs w:val="20"/>
                <w:lang w:eastAsia="it-IT"/>
              </w:rPr>
              <w:t>.</w:t>
            </w:r>
          </w:p>
          <w:p w14:paraId="620441C3" w14:textId="20C691AB"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Надруковано не менше 2 збірок за 4 роки</w:t>
            </w:r>
            <w:r w:rsidR="00A801AF">
              <w:rPr>
                <w:rFonts w:ascii="Times New Roman" w:hAnsi="Times New Roman"/>
                <w:sz w:val="20"/>
                <w:szCs w:val="20"/>
                <w:lang w:eastAsia="it-IT"/>
              </w:rPr>
              <w:t>.</w:t>
            </w:r>
          </w:p>
          <w:p w14:paraId="585BD0A5" w14:textId="7CCF0AA2"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Облаштовано 1 туристичний маршрут</w:t>
            </w:r>
            <w:r w:rsidR="00A801AF">
              <w:rPr>
                <w:rFonts w:ascii="Times New Roman" w:hAnsi="Times New Roman"/>
                <w:sz w:val="20"/>
                <w:szCs w:val="20"/>
                <w:lang w:eastAsia="it-IT"/>
              </w:rPr>
              <w:t>.</w:t>
            </w:r>
          </w:p>
          <w:p w14:paraId="55603EFA"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Створено експозицію в бібліотеці</w:t>
            </w:r>
          </w:p>
          <w:p w14:paraId="685CF261" w14:textId="2DD7EDED"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Охоплення учасників проєкту – понад 300 дітей щороку</w:t>
            </w:r>
            <w:r w:rsidR="00A801AF">
              <w:rPr>
                <w:rFonts w:ascii="Times New Roman" w:hAnsi="Times New Roman"/>
                <w:sz w:val="20"/>
                <w:szCs w:val="20"/>
                <w:lang w:eastAsia="it-IT"/>
              </w:rPr>
              <w:t>.</w:t>
            </w:r>
          </w:p>
          <w:p w14:paraId="50CB7337" w14:textId="4FCF675A" w:rsidR="0097410E" w:rsidRPr="000413EB" w:rsidRDefault="0097410E" w:rsidP="0097410E">
            <w:pPr>
              <w:jc w:val="both"/>
              <w:rPr>
                <w:rFonts w:ascii="Times New Roman" w:eastAsia="Arial" w:hAnsi="Times New Roman"/>
                <w:sz w:val="20"/>
                <w:szCs w:val="20"/>
                <w:lang w:eastAsia="en-US"/>
              </w:rPr>
            </w:pPr>
            <w:r w:rsidRPr="000413EB">
              <w:rPr>
                <w:rFonts w:ascii="Times New Roman" w:hAnsi="Times New Roman"/>
                <w:sz w:val="20"/>
                <w:szCs w:val="20"/>
                <w:lang w:eastAsia="it-IT"/>
              </w:rPr>
              <w:t>Проведено не менше 2 виїзних заходів щороку</w:t>
            </w:r>
            <w:r w:rsidR="00A801AF">
              <w:rPr>
                <w:rFonts w:ascii="Times New Roman" w:hAnsi="Times New Roman"/>
                <w:sz w:val="20"/>
                <w:szCs w:val="20"/>
                <w:lang w:eastAsia="it-IT"/>
              </w:rPr>
              <w:t>.</w:t>
            </w:r>
          </w:p>
        </w:tc>
      </w:tr>
      <w:tr w:rsidR="0097410E" w:rsidRPr="000413EB" w14:paraId="2E048523" w14:textId="77777777" w:rsidTr="000413EB">
        <w:tc>
          <w:tcPr>
            <w:tcW w:w="567" w:type="dxa"/>
            <w:shd w:val="clear" w:color="auto" w:fill="auto"/>
          </w:tcPr>
          <w:p w14:paraId="05485FEE" w14:textId="023F1222" w:rsidR="0097410E" w:rsidRPr="000413EB" w:rsidRDefault="00373EDF" w:rsidP="0097410E">
            <w:pPr>
              <w:pStyle w:val="aa"/>
              <w:jc w:val="both"/>
              <w:rPr>
                <w:rFonts w:ascii="Times New Roman" w:eastAsia="Arial" w:hAnsi="Times New Roman"/>
                <w:sz w:val="20"/>
                <w:szCs w:val="20"/>
              </w:rPr>
            </w:pPr>
            <w:r>
              <w:rPr>
                <w:rFonts w:ascii="Times New Roman" w:eastAsia="Arial" w:hAnsi="Times New Roman"/>
                <w:sz w:val="20"/>
                <w:szCs w:val="20"/>
              </w:rPr>
              <w:t>40</w:t>
            </w:r>
          </w:p>
        </w:tc>
        <w:tc>
          <w:tcPr>
            <w:tcW w:w="2694" w:type="dxa"/>
            <w:shd w:val="clear" w:color="auto" w:fill="auto"/>
          </w:tcPr>
          <w:p w14:paraId="4494D433"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С.3.3. Новітня бібліотека.</w:t>
            </w:r>
          </w:p>
        </w:tc>
        <w:tc>
          <w:tcPr>
            <w:tcW w:w="2551" w:type="dxa"/>
            <w:shd w:val="clear" w:color="auto" w:fill="auto"/>
          </w:tcPr>
          <w:p w14:paraId="1C9D7ED9" w14:textId="77777777" w:rsidR="0097410E" w:rsidRPr="000413EB" w:rsidRDefault="0097410E" w:rsidP="0097410E">
            <w:pPr>
              <w:jc w:val="both"/>
              <w:rPr>
                <w:rFonts w:ascii="Times New Roman" w:eastAsia="Arial" w:hAnsi="Times New Roman"/>
                <w:sz w:val="20"/>
                <w:szCs w:val="20"/>
                <w:lang w:eastAsia="en-US"/>
              </w:rPr>
            </w:pPr>
            <w:r w:rsidRPr="000413EB">
              <w:rPr>
                <w:rFonts w:ascii="Times New Roman" w:hAnsi="Times New Roman"/>
                <w:sz w:val="20"/>
                <w:szCs w:val="20"/>
                <w:lang w:eastAsia="it-IT"/>
              </w:rPr>
              <w:t>С.3.3.5. Підтримка та збереження фонду знань та інформаційного потенціалу для нинішніх і майбутніх поколінь.</w:t>
            </w:r>
          </w:p>
        </w:tc>
        <w:tc>
          <w:tcPr>
            <w:tcW w:w="2835" w:type="dxa"/>
            <w:shd w:val="clear" w:color="auto" w:fill="auto"/>
          </w:tcPr>
          <w:p w14:paraId="611807E6"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«Сучасна книга – сучасному читачу»: поповнення та оновлення бібліотечних фондів Жмеринської ТГ</w:t>
            </w:r>
          </w:p>
          <w:p w14:paraId="71F3DDD1" w14:textId="77777777" w:rsidR="0097410E" w:rsidRPr="000413EB" w:rsidRDefault="0097410E" w:rsidP="0097410E">
            <w:pPr>
              <w:jc w:val="both"/>
              <w:rPr>
                <w:rFonts w:ascii="Times New Roman" w:eastAsia="Arial" w:hAnsi="Times New Roman"/>
                <w:sz w:val="20"/>
                <w:szCs w:val="20"/>
                <w:lang w:eastAsia="en-US"/>
              </w:rPr>
            </w:pPr>
            <w:r w:rsidRPr="000413EB">
              <w:rPr>
                <w:rFonts w:ascii="Times New Roman" w:eastAsia="Arial" w:hAnsi="Times New Roman"/>
                <w:w w:val="105"/>
                <w:sz w:val="20"/>
                <w:szCs w:val="20"/>
                <w:lang w:eastAsia="en-US"/>
              </w:rPr>
              <w:t>реалізація</w:t>
            </w:r>
            <w:r w:rsidRPr="000413EB">
              <w:rPr>
                <w:rFonts w:ascii="Times New Roman" w:eastAsia="Arial" w:hAnsi="Times New Roman"/>
                <w:spacing w:val="57"/>
                <w:w w:val="105"/>
                <w:sz w:val="20"/>
                <w:szCs w:val="20"/>
                <w:lang w:eastAsia="en-US"/>
              </w:rPr>
              <w:t xml:space="preserve"> </w:t>
            </w:r>
            <w:r w:rsidRPr="000413EB">
              <w:rPr>
                <w:rFonts w:ascii="Times New Roman" w:eastAsia="Arial" w:hAnsi="Times New Roman"/>
                <w:spacing w:val="-2"/>
                <w:w w:val="105"/>
                <w:sz w:val="20"/>
                <w:szCs w:val="20"/>
                <w:lang w:eastAsia="en-US"/>
              </w:rPr>
              <w:t>триває</w:t>
            </w:r>
          </w:p>
        </w:tc>
        <w:tc>
          <w:tcPr>
            <w:tcW w:w="1276" w:type="dxa"/>
            <w:shd w:val="clear" w:color="auto" w:fill="auto"/>
          </w:tcPr>
          <w:p w14:paraId="33917DE8"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2025- 2028</w:t>
            </w:r>
          </w:p>
        </w:tc>
        <w:tc>
          <w:tcPr>
            <w:tcW w:w="2345" w:type="dxa"/>
            <w:shd w:val="clear" w:color="auto" w:fill="auto"/>
          </w:tcPr>
          <w:p w14:paraId="6F98052B" w14:textId="77777777" w:rsidR="0097410E" w:rsidRPr="000413EB" w:rsidRDefault="0097410E" w:rsidP="0097410E">
            <w:pPr>
              <w:jc w:val="both"/>
              <w:rPr>
                <w:rFonts w:ascii="Times New Roman" w:eastAsia="Arial" w:hAnsi="Times New Roman"/>
                <w:sz w:val="20"/>
                <w:szCs w:val="20"/>
                <w:lang w:eastAsia="en-US"/>
              </w:rPr>
            </w:pPr>
            <w:r w:rsidRPr="000413EB">
              <w:rPr>
                <w:rFonts w:ascii="Times New Roman" w:hAnsi="Times New Roman"/>
                <w:sz w:val="20"/>
                <w:szCs w:val="20"/>
                <w:lang w:eastAsia="it-IT"/>
              </w:rPr>
              <w:t>КЗ «Публічна бібліотека» Жмеринської МТГ за сприяння Управління культури і туризму та Жмеринської міської ради</w:t>
            </w:r>
          </w:p>
        </w:tc>
        <w:tc>
          <w:tcPr>
            <w:tcW w:w="2900" w:type="dxa"/>
            <w:shd w:val="clear" w:color="auto" w:fill="auto"/>
          </w:tcPr>
          <w:p w14:paraId="360B454C" w14:textId="22438795"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Кількість закуплених книг – не менше 12 000 примірників</w:t>
            </w:r>
            <w:r w:rsidR="00A801AF">
              <w:rPr>
                <w:rFonts w:ascii="Times New Roman" w:hAnsi="Times New Roman"/>
                <w:sz w:val="20"/>
                <w:szCs w:val="20"/>
                <w:lang w:eastAsia="it-IT"/>
              </w:rPr>
              <w:t>.</w:t>
            </w:r>
          </w:p>
          <w:p w14:paraId="696E460E" w14:textId="3115895D"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Кількість оновлених бібліотек – 20. Кількість тематичних заходів, оглядів – понад 30</w:t>
            </w:r>
            <w:r w:rsidR="00A801AF">
              <w:rPr>
                <w:rFonts w:ascii="Times New Roman" w:hAnsi="Times New Roman"/>
                <w:sz w:val="20"/>
                <w:szCs w:val="20"/>
                <w:lang w:eastAsia="it-IT"/>
              </w:rPr>
              <w:t>.</w:t>
            </w:r>
          </w:p>
          <w:p w14:paraId="468271EF" w14:textId="5C11C73E"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Зростання кількості користувачів бібліотек – +20% щороку</w:t>
            </w:r>
            <w:r w:rsidR="00A801AF">
              <w:rPr>
                <w:rFonts w:ascii="Times New Roman" w:hAnsi="Times New Roman"/>
                <w:sz w:val="20"/>
                <w:szCs w:val="20"/>
                <w:lang w:eastAsia="it-IT"/>
              </w:rPr>
              <w:t>.</w:t>
            </w:r>
          </w:p>
          <w:p w14:paraId="1559B86A" w14:textId="29E54842"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Збільшено кількість прочитаних книг – на 20% щороку</w:t>
            </w:r>
            <w:r w:rsidR="00A801AF">
              <w:rPr>
                <w:rFonts w:ascii="Times New Roman" w:hAnsi="Times New Roman"/>
                <w:sz w:val="20"/>
                <w:szCs w:val="20"/>
                <w:lang w:eastAsia="it-IT"/>
              </w:rPr>
              <w:t>.</w:t>
            </w:r>
          </w:p>
        </w:tc>
      </w:tr>
      <w:tr w:rsidR="00373EDF" w:rsidRPr="000413EB" w14:paraId="48887412" w14:textId="77777777" w:rsidTr="000413EB">
        <w:tc>
          <w:tcPr>
            <w:tcW w:w="567" w:type="dxa"/>
            <w:shd w:val="clear" w:color="auto" w:fill="auto"/>
          </w:tcPr>
          <w:p w14:paraId="707A4CFE" w14:textId="0B33813B" w:rsidR="00373EDF" w:rsidRDefault="00373EDF" w:rsidP="0097410E">
            <w:pPr>
              <w:pStyle w:val="aa"/>
              <w:jc w:val="both"/>
              <w:rPr>
                <w:rFonts w:ascii="Times New Roman" w:eastAsia="Arial" w:hAnsi="Times New Roman"/>
                <w:sz w:val="20"/>
                <w:szCs w:val="20"/>
              </w:rPr>
            </w:pPr>
            <w:r>
              <w:rPr>
                <w:rFonts w:ascii="Times New Roman" w:eastAsia="Arial" w:hAnsi="Times New Roman"/>
                <w:sz w:val="20"/>
                <w:szCs w:val="20"/>
              </w:rPr>
              <w:t>41</w:t>
            </w:r>
          </w:p>
        </w:tc>
        <w:tc>
          <w:tcPr>
            <w:tcW w:w="2694" w:type="dxa"/>
            <w:shd w:val="clear" w:color="auto" w:fill="auto"/>
          </w:tcPr>
          <w:p w14:paraId="1EE8A480" w14:textId="7BFFEFB7" w:rsidR="00373EDF" w:rsidRPr="000413EB" w:rsidRDefault="00373EDF" w:rsidP="0097410E">
            <w:pPr>
              <w:jc w:val="both"/>
              <w:rPr>
                <w:rFonts w:ascii="Times New Roman" w:hAnsi="Times New Roman"/>
                <w:sz w:val="20"/>
                <w:szCs w:val="20"/>
                <w:lang w:eastAsia="it-IT"/>
              </w:rPr>
            </w:pPr>
            <w:r>
              <w:rPr>
                <w:rFonts w:ascii="Times New Roman" w:hAnsi="Times New Roman"/>
                <w:sz w:val="20"/>
                <w:szCs w:val="20"/>
                <w:lang w:eastAsia="it-IT"/>
              </w:rPr>
              <w:t>С.4.3. Формування території громади, сприятливої для маломобільних груп населення</w:t>
            </w:r>
          </w:p>
        </w:tc>
        <w:tc>
          <w:tcPr>
            <w:tcW w:w="2551" w:type="dxa"/>
            <w:shd w:val="clear" w:color="auto" w:fill="auto"/>
          </w:tcPr>
          <w:p w14:paraId="5DFB73E0" w14:textId="04FDBB69" w:rsidR="00373EDF" w:rsidRPr="000413EB" w:rsidRDefault="00373EDF" w:rsidP="0097410E">
            <w:pPr>
              <w:jc w:val="both"/>
              <w:rPr>
                <w:rFonts w:ascii="Times New Roman" w:hAnsi="Times New Roman"/>
                <w:sz w:val="20"/>
                <w:szCs w:val="20"/>
                <w:lang w:eastAsia="it-IT"/>
              </w:rPr>
            </w:pPr>
            <w:r>
              <w:rPr>
                <w:rFonts w:ascii="Times New Roman" w:hAnsi="Times New Roman"/>
                <w:sz w:val="20"/>
                <w:szCs w:val="20"/>
                <w:lang w:eastAsia="it-IT"/>
              </w:rPr>
              <w:t>С. 4.3.1. Реконструкція  об’єктів загального користування для доступності маломобільних груп населення</w:t>
            </w:r>
          </w:p>
        </w:tc>
        <w:tc>
          <w:tcPr>
            <w:tcW w:w="2835" w:type="dxa"/>
            <w:shd w:val="clear" w:color="auto" w:fill="auto"/>
          </w:tcPr>
          <w:p w14:paraId="12994D1E" w14:textId="4B976CBE" w:rsidR="00373EDF" w:rsidRPr="000413EB" w:rsidRDefault="00373EDF" w:rsidP="0097410E">
            <w:pPr>
              <w:jc w:val="both"/>
              <w:rPr>
                <w:rFonts w:ascii="Times New Roman" w:hAnsi="Times New Roman"/>
                <w:sz w:val="20"/>
                <w:szCs w:val="20"/>
                <w:lang w:eastAsia="it-IT"/>
              </w:rPr>
            </w:pPr>
            <w:r>
              <w:rPr>
                <w:rFonts w:ascii="Times New Roman" w:hAnsi="Times New Roman"/>
                <w:sz w:val="20"/>
                <w:szCs w:val="20"/>
                <w:lang w:eastAsia="it-IT"/>
              </w:rPr>
              <w:t>Культура без обмежень: створення безбар’єрного простору у закладах культури Жмеринської громади</w:t>
            </w:r>
          </w:p>
        </w:tc>
        <w:tc>
          <w:tcPr>
            <w:tcW w:w="1276" w:type="dxa"/>
            <w:shd w:val="clear" w:color="auto" w:fill="auto"/>
          </w:tcPr>
          <w:p w14:paraId="1E302B3A" w14:textId="150B5003" w:rsidR="00373EDF" w:rsidRPr="000413EB" w:rsidRDefault="00373EDF"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Pr>
                <w:rFonts w:ascii="Times New Roman" w:eastAsia="Arial" w:hAnsi="Times New Roman"/>
                <w:sz w:val="20"/>
                <w:szCs w:val="20"/>
                <w:lang w:eastAsia="en-US"/>
              </w:rPr>
              <w:t>2025-2028</w:t>
            </w:r>
          </w:p>
        </w:tc>
        <w:tc>
          <w:tcPr>
            <w:tcW w:w="2345" w:type="dxa"/>
            <w:shd w:val="clear" w:color="auto" w:fill="auto"/>
          </w:tcPr>
          <w:p w14:paraId="38F713CE" w14:textId="6C9E16F5" w:rsidR="00373EDF" w:rsidRPr="000413EB" w:rsidRDefault="00373EDF" w:rsidP="0097410E">
            <w:pPr>
              <w:jc w:val="both"/>
              <w:rPr>
                <w:rFonts w:ascii="Times New Roman" w:hAnsi="Times New Roman"/>
                <w:sz w:val="20"/>
                <w:szCs w:val="20"/>
                <w:lang w:eastAsia="it-IT"/>
              </w:rPr>
            </w:pPr>
            <w:r w:rsidRPr="000413EB">
              <w:rPr>
                <w:rFonts w:ascii="Times New Roman" w:hAnsi="Times New Roman"/>
                <w:sz w:val="20"/>
                <w:szCs w:val="20"/>
                <w:lang w:eastAsia="it-IT"/>
              </w:rPr>
              <w:t>Управління культури і туризму та Жмеринської міської ради</w:t>
            </w:r>
          </w:p>
        </w:tc>
        <w:tc>
          <w:tcPr>
            <w:tcW w:w="2900" w:type="dxa"/>
            <w:shd w:val="clear" w:color="auto" w:fill="auto"/>
          </w:tcPr>
          <w:p w14:paraId="2CB0D5F7" w14:textId="3782A449" w:rsidR="00373EDF" w:rsidRDefault="00373EDF" w:rsidP="0097410E">
            <w:pPr>
              <w:jc w:val="both"/>
              <w:rPr>
                <w:rFonts w:ascii="Times New Roman" w:hAnsi="Times New Roman"/>
                <w:sz w:val="20"/>
                <w:szCs w:val="20"/>
                <w:lang w:eastAsia="it-IT"/>
              </w:rPr>
            </w:pPr>
            <w:r>
              <w:rPr>
                <w:rFonts w:ascii="Times New Roman" w:hAnsi="Times New Roman"/>
                <w:sz w:val="20"/>
                <w:szCs w:val="20"/>
                <w:lang w:eastAsia="it-IT"/>
              </w:rPr>
              <w:t>Кількість адаптованих будівель</w:t>
            </w:r>
            <w:r w:rsidR="00A801AF">
              <w:rPr>
                <w:rFonts w:ascii="Times New Roman" w:hAnsi="Times New Roman"/>
                <w:sz w:val="20"/>
                <w:szCs w:val="20"/>
                <w:lang w:eastAsia="it-IT"/>
              </w:rPr>
              <w:t xml:space="preserve"> </w:t>
            </w:r>
            <w:r>
              <w:rPr>
                <w:rFonts w:ascii="Times New Roman" w:hAnsi="Times New Roman"/>
                <w:sz w:val="20"/>
                <w:szCs w:val="20"/>
                <w:lang w:eastAsia="it-IT"/>
              </w:rPr>
              <w:t>-10</w:t>
            </w:r>
            <w:r w:rsidR="00A801AF">
              <w:rPr>
                <w:rFonts w:ascii="Times New Roman" w:hAnsi="Times New Roman"/>
                <w:sz w:val="20"/>
                <w:szCs w:val="20"/>
                <w:lang w:eastAsia="it-IT"/>
              </w:rPr>
              <w:t>.</w:t>
            </w:r>
          </w:p>
          <w:p w14:paraId="2A1E389C" w14:textId="52167FF8" w:rsidR="00373EDF" w:rsidRDefault="00373EDF" w:rsidP="0097410E">
            <w:pPr>
              <w:jc w:val="both"/>
              <w:rPr>
                <w:rFonts w:ascii="Times New Roman" w:hAnsi="Times New Roman"/>
                <w:sz w:val="20"/>
                <w:szCs w:val="20"/>
                <w:lang w:eastAsia="it-IT"/>
              </w:rPr>
            </w:pPr>
            <w:r>
              <w:rPr>
                <w:rFonts w:ascii="Times New Roman" w:hAnsi="Times New Roman"/>
                <w:sz w:val="20"/>
                <w:szCs w:val="20"/>
                <w:lang w:eastAsia="it-IT"/>
              </w:rPr>
              <w:t>Встановлено пандусів – 10</w:t>
            </w:r>
            <w:r w:rsidR="00A801AF">
              <w:rPr>
                <w:rFonts w:ascii="Times New Roman" w:hAnsi="Times New Roman"/>
                <w:sz w:val="20"/>
                <w:szCs w:val="20"/>
                <w:lang w:eastAsia="it-IT"/>
              </w:rPr>
              <w:t>.</w:t>
            </w:r>
          </w:p>
          <w:p w14:paraId="7FACEC21" w14:textId="2B721182" w:rsidR="00373EDF" w:rsidRDefault="00373EDF" w:rsidP="0097410E">
            <w:pPr>
              <w:jc w:val="both"/>
              <w:rPr>
                <w:rFonts w:ascii="Times New Roman" w:hAnsi="Times New Roman"/>
                <w:sz w:val="20"/>
                <w:szCs w:val="20"/>
                <w:lang w:eastAsia="it-IT"/>
              </w:rPr>
            </w:pPr>
            <w:r>
              <w:rPr>
                <w:rFonts w:ascii="Times New Roman" w:hAnsi="Times New Roman"/>
                <w:sz w:val="20"/>
                <w:szCs w:val="20"/>
                <w:lang w:eastAsia="it-IT"/>
              </w:rPr>
              <w:t>Облаштовано санітарні приміщення -2</w:t>
            </w:r>
            <w:r w:rsidR="00A801AF">
              <w:rPr>
                <w:rFonts w:ascii="Times New Roman" w:hAnsi="Times New Roman"/>
                <w:sz w:val="20"/>
                <w:szCs w:val="20"/>
                <w:lang w:eastAsia="it-IT"/>
              </w:rPr>
              <w:t>.</w:t>
            </w:r>
          </w:p>
          <w:p w14:paraId="79BFA777" w14:textId="6D533055" w:rsidR="00373EDF" w:rsidRPr="000413EB" w:rsidRDefault="00373EDF" w:rsidP="0097410E">
            <w:pPr>
              <w:jc w:val="both"/>
              <w:rPr>
                <w:rFonts w:ascii="Times New Roman" w:hAnsi="Times New Roman"/>
                <w:sz w:val="20"/>
                <w:szCs w:val="20"/>
                <w:lang w:eastAsia="it-IT"/>
              </w:rPr>
            </w:pPr>
            <w:r>
              <w:rPr>
                <w:rFonts w:ascii="Times New Roman" w:hAnsi="Times New Roman"/>
                <w:sz w:val="20"/>
                <w:szCs w:val="20"/>
                <w:lang w:eastAsia="it-IT"/>
              </w:rPr>
              <w:t>Встановлено 12 інформаційних табличок шрифтом Брайля</w:t>
            </w:r>
            <w:r w:rsidR="00A801AF">
              <w:rPr>
                <w:rFonts w:ascii="Times New Roman" w:hAnsi="Times New Roman"/>
                <w:sz w:val="20"/>
                <w:szCs w:val="20"/>
                <w:lang w:eastAsia="it-IT"/>
              </w:rPr>
              <w:t>.</w:t>
            </w:r>
          </w:p>
        </w:tc>
      </w:tr>
      <w:tr w:rsidR="0097410E" w:rsidRPr="000413EB" w14:paraId="763FEF4E" w14:textId="77777777" w:rsidTr="000413EB">
        <w:tc>
          <w:tcPr>
            <w:tcW w:w="567" w:type="dxa"/>
            <w:shd w:val="clear" w:color="auto" w:fill="auto"/>
          </w:tcPr>
          <w:p w14:paraId="7E746641" w14:textId="1D7976EB" w:rsidR="0097410E" w:rsidRPr="000413EB" w:rsidRDefault="00C52095" w:rsidP="0097410E">
            <w:pPr>
              <w:pStyle w:val="aa"/>
              <w:jc w:val="both"/>
              <w:rPr>
                <w:rFonts w:ascii="Times New Roman" w:eastAsia="Arial" w:hAnsi="Times New Roman"/>
                <w:sz w:val="20"/>
                <w:szCs w:val="20"/>
              </w:rPr>
            </w:pPr>
            <w:r>
              <w:rPr>
                <w:rFonts w:ascii="Times New Roman" w:eastAsia="Arial" w:hAnsi="Times New Roman"/>
                <w:sz w:val="20"/>
                <w:szCs w:val="20"/>
              </w:rPr>
              <w:t>42</w:t>
            </w:r>
          </w:p>
        </w:tc>
        <w:tc>
          <w:tcPr>
            <w:tcW w:w="2694" w:type="dxa"/>
            <w:shd w:val="clear" w:color="auto" w:fill="auto"/>
          </w:tcPr>
          <w:p w14:paraId="5283C3F3"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bCs/>
                <w:sz w:val="20"/>
                <w:szCs w:val="20"/>
                <w:lang w:eastAsia="en-US"/>
              </w:rPr>
            </w:pPr>
            <w:r w:rsidRPr="000413EB">
              <w:rPr>
                <w:rFonts w:ascii="Times New Roman" w:eastAsia="Arial" w:hAnsi="Times New Roman"/>
                <w:bCs/>
                <w:sz w:val="20"/>
                <w:szCs w:val="20"/>
                <w:lang w:eastAsia="en-US"/>
              </w:rPr>
              <w:t>С.3.4. Розбудова мережі сучасних спортивних закладів та споруд</w:t>
            </w:r>
          </w:p>
          <w:p w14:paraId="24011054"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bCs/>
                <w:sz w:val="20"/>
                <w:szCs w:val="20"/>
                <w:lang w:eastAsia="en-US"/>
              </w:rPr>
            </w:pPr>
          </w:p>
        </w:tc>
        <w:tc>
          <w:tcPr>
            <w:tcW w:w="2551" w:type="dxa"/>
            <w:shd w:val="clear" w:color="auto" w:fill="auto"/>
          </w:tcPr>
          <w:p w14:paraId="57DC3231" w14:textId="77777777" w:rsidR="0097410E" w:rsidRPr="000413EB" w:rsidRDefault="0097410E" w:rsidP="0097410E">
            <w:pPr>
              <w:autoSpaceDE w:val="0"/>
              <w:autoSpaceDN w:val="0"/>
              <w:jc w:val="both"/>
              <w:rPr>
                <w:rFonts w:ascii="Times New Roman" w:hAnsi="Times New Roman"/>
                <w:sz w:val="20"/>
                <w:szCs w:val="20"/>
                <w:lang w:eastAsia="en-US"/>
              </w:rPr>
            </w:pPr>
            <w:r w:rsidRPr="000413EB">
              <w:rPr>
                <w:rFonts w:ascii="Times New Roman" w:hAnsi="Times New Roman"/>
                <w:sz w:val="20"/>
                <w:szCs w:val="20"/>
                <w:lang w:eastAsia="en-US"/>
              </w:rPr>
              <w:t>С.3.4.1. Вдосконалення спортивного розвитку та самореалізації дітей, молоді, населення середнього та пенсійного віку.</w:t>
            </w:r>
          </w:p>
          <w:p w14:paraId="357E6D2D" w14:textId="77777777" w:rsidR="0097410E" w:rsidRPr="000413EB" w:rsidRDefault="0097410E" w:rsidP="0097410E">
            <w:pPr>
              <w:autoSpaceDE w:val="0"/>
              <w:autoSpaceDN w:val="0"/>
              <w:jc w:val="both"/>
              <w:rPr>
                <w:rFonts w:ascii="Times New Roman" w:hAnsi="Times New Roman"/>
                <w:bCs/>
                <w:sz w:val="20"/>
                <w:szCs w:val="20"/>
                <w:lang w:eastAsia="en-US"/>
              </w:rPr>
            </w:pPr>
            <w:r w:rsidRPr="000413EB">
              <w:rPr>
                <w:rFonts w:ascii="Times New Roman" w:hAnsi="Times New Roman"/>
                <w:bCs/>
                <w:sz w:val="20"/>
                <w:szCs w:val="20"/>
                <w:lang w:eastAsia="en-US"/>
              </w:rPr>
              <w:t>С.3.4.2. Будівництво, реконструкція інфраструктури спорту з урахуванням гендерного аспекту.</w:t>
            </w:r>
          </w:p>
          <w:p w14:paraId="4E2F15FD" w14:textId="77777777" w:rsidR="0097410E" w:rsidRPr="000413EB" w:rsidRDefault="0097410E" w:rsidP="0097410E">
            <w:pPr>
              <w:autoSpaceDE w:val="0"/>
              <w:autoSpaceDN w:val="0"/>
              <w:jc w:val="both"/>
              <w:rPr>
                <w:rFonts w:ascii="Times New Roman" w:hAnsi="Times New Roman"/>
                <w:sz w:val="20"/>
                <w:szCs w:val="20"/>
                <w:lang w:eastAsia="en-US"/>
              </w:rPr>
            </w:pPr>
          </w:p>
        </w:tc>
        <w:tc>
          <w:tcPr>
            <w:tcW w:w="2835" w:type="dxa"/>
            <w:shd w:val="clear" w:color="auto" w:fill="auto"/>
          </w:tcPr>
          <w:p w14:paraId="7F6B5F0D"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Канатний парк пригод та розваг на території Центрального міського парку</w:t>
            </w:r>
          </w:p>
          <w:p w14:paraId="552A7540"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hAnsi="Times New Roman"/>
                <w:bCs/>
                <w:sz w:val="20"/>
                <w:szCs w:val="20"/>
                <w:lang w:eastAsia="it-IT"/>
              </w:rPr>
            </w:pPr>
          </w:p>
        </w:tc>
        <w:tc>
          <w:tcPr>
            <w:tcW w:w="1276" w:type="dxa"/>
            <w:shd w:val="clear" w:color="auto" w:fill="auto"/>
          </w:tcPr>
          <w:p w14:paraId="58E0F815" w14:textId="77777777" w:rsidR="0097410E" w:rsidRPr="000413EB" w:rsidRDefault="0097410E" w:rsidP="0097410E">
            <w:pPr>
              <w:widowControl w:val="0"/>
              <w:tabs>
                <w:tab w:val="left" w:pos="569"/>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2027</w:t>
            </w:r>
          </w:p>
        </w:tc>
        <w:tc>
          <w:tcPr>
            <w:tcW w:w="2345" w:type="dxa"/>
            <w:shd w:val="clear" w:color="auto" w:fill="auto"/>
          </w:tcPr>
          <w:p w14:paraId="79312C2D" w14:textId="77777777" w:rsidR="008955D4" w:rsidRDefault="0097410E" w:rsidP="0097410E">
            <w:pPr>
              <w:jc w:val="both"/>
              <w:rPr>
                <w:rFonts w:ascii="Times New Roman" w:hAnsi="Times New Roman"/>
                <w:sz w:val="20"/>
                <w:szCs w:val="20"/>
              </w:rPr>
            </w:pPr>
            <w:r w:rsidRPr="000413EB">
              <w:rPr>
                <w:rFonts w:ascii="Times New Roman" w:hAnsi="Times New Roman"/>
                <w:sz w:val="20"/>
                <w:szCs w:val="20"/>
              </w:rPr>
              <w:t xml:space="preserve">Відділ молоді та спорту Жмеринської міської ради, </w:t>
            </w:r>
          </w:p>
          <w:p w14:paraId="30B724AA" w14:textId="77777777" w:rsidR="008955D4" w:rsidRDefault="0097410E" w:rsidP="0097410E">
            <w:pPr>
              <w:jc w:val="both"/>
              <w:rPr>
                <w:rFonts w:ascii="Times New Roman" w:hAnsi="Times New Roman"/>
                <w:sz w:val="20"/>
                <w:szCs w:val="20"/>
              </w:rPr>
            </w:pPr>
            <w:r w:rsidRPr="000413EB">
              <w:rPr>
                <w:rFonts w:ascii="Times New Roman" w:hAnsi="Times New Roman"/>
                <w:sz w:val="20"/>
                <w:szCs w:val="20"/>
              </w:rPr>
              <w:t xml:space="preserve">управління житлово-комунального господарства Жмеринської міської ради, </w:t>
            </w:r>
          </w:p>
          <w:p w14:paraId="499A23AE" w14:textId="18091D56"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комунальне підприємство «Парковий культурно-спортивний комплекс» Жмеринської міської ради Вінницької області</w:t>
            </w:r>
          </w:p>
        </w:tc>
        <w:tc>
          <w:tcPr>
            <w:tcW w:w="2900" w:type="dxa"/>
            <w:shd w:val="clear" w:color="auto" w:fill="auto"/>
          </w:tcPr>
          <w:p w14:paraId="3957B330" w14:textId="152CA8C4"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 xml:space="preserve">Побудовано </w:t>
            </w:r>
            <w:r w:rsidRPr="000413EB">
              <w:rPr>
                <w:rFonts w:ascii="Times New Roman" w:hAnsi="Times New Roman"/>
                <w:bCs/>
                <w:sz w:val="20"/>
                <w:szCs w:val="20"/>
              </w:rPr>
              <w:t>канатний парк із 3–5 маршрутами</w:t>
            </w:r>
            <w:r w:rsidR="00373EDF">
              <w:rPr>
                <w:rFonts w:ascii="Times New Roman" w:hAnsi="Times New Roman"/>
                <w:sz w:val="20"/>
                <w:szCs w:val="20"/>
              </w:rPr>
              <w:t xml:space="preserve"> різного рівня складності</w:t>
            </w:r>
            <w:r w:rsidR="00A801AF">
              <w:rPr>
                <w:rFonts w:ascii="Times New Roman" w:hAnsi="Times New Roman"/>
                <w:sz w:val="20"/>
                <w:szCs w:val="20"/>
              </w:rPr>
              <w:t>.</w:t>
            </w:r>
          </w:p>
          <w:p w14:paraId="7481FE45" w14:textId="77777777" w:rsidR="0097410E" w:rsidRPr="000413EB" w:rsidRDefault="0097410E" w:rsidP="0097410E">
            <w:pPr>
              <w:jc w:val="both"/>
              <w:rPr>
                <w:rFonts w:ascii="Times New Roman" w:hAnsi="Times New Roman"/>
                <w:sz w:val="20"/>
                <w:szCs w:val="20"/>
              </w:rPr>
            </w:pPr>
            <w:r w:rsidRPr="000413EB">
              <w:rPr>
                <w:rFonts w:ascii="Times New Roman" w:hAnsi="Times New Roman"/>
                <w:bCs/>
                <w:sz w:val="20"/>
                <w:szCs w:val="20"/>
              </w:rPr>
              <w:t>Щонайменше 5000 осіб на рік</w:t>
            </w:r>
            <w:r w:rsidRPr="000413EB">
              <w:rPr>
                <w:rFonts w:ascii="Times New Roman" w:hAnsi="Times New Roman"/>
                <w:sz w:val="20"/>
                <w:szCs w:val="20"/>
              </w:rPr>
              <w:t xml:space="preserve"> користуються послугами парку.</w:t>
            </w:r>
          </w:p>
          <w:p w14:paraId="3A0481FF"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 xml:space="preserve">Залучено не менше </w:t>
            </w:r>
            <w:r w:rsidRPr="000413EB">
              <w:rPr>
                <w:rFonts w:ascii="Times New Roman" w:hAnsi="Times New Roman"/>
                <w:bCs/>
                <w:sz w:val="20"/>
                <w:szCs w:val="20"/>
              </w:rPr>
              <w:t>20 освітніх та молодіжних груп</w:t>
            </w:r>
            <w:r w:rsidRPr="000413EB">
              <w:rPr>
                <w:rFonts w:ascii="Times New Roman" w:hAnsi="Times New Roman"/>
                <w:sz w:val="20"/>
                <w:szCs w:val="20"/>
              </w:rPr>
              <w:t xml:space="preserve"> на рік.</w:t>
            </w:r>
          </w:p>
          <w:p w14:paraId="59FBE0E3" w14:textId="77777777" w:rsidR="0097410E" w:rsidRPr="000413EB" w:rsidRDefault="0097410E" w:rsidP="0097410E">
            <w:pPr>
              <w:jc w:val="both"/>
              <w:rPr>
                <w:rFonts w:ascii="Times New Roman" w:hAnsi="Times New Roman"/>
                <w:sz w:val="20"/>
                <w:szCs w:val="20"/>
              </w:rPr>
            </w:pPr>
            <w:r w:rsidRPr="000413EB">
              <w:rPr>
                <w:rFonts w:ascii="Times New Roman" w:hAnsi="Times New Roman"/>
                <w:bCs/>
                <w:sz w:val="20"/>
                <w:szCs w:val="20"/>
              </w:rPr>
              <w:t>0 випадків травмування</w:t>
            </w:r>
            <w:r w:rsidRPr="000413EB">
              <w:rPr>
                <w:rFonts w:ascii="Times New Roman" w:hAnsi="Times New Roman"/>
                <w:sz w:val="20"/>
                <w:szCs w:val="20"/>
              </w:rPr>
              <w:t xml:space="preserve"> завдяки якісному обладнанню та інструктажу.</w:t>
            </w:r>
          </w:p>
          <w:p w14:paraId="2EEF48B8"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 xml:space="preserve">Проведено </w:t>
            </w:r>
            <w:r w:rsidRPr="000413EB">
              <w:rPr>
                <w:rFonts w:ascii="Times New Roman" w:hAnsi="Times New Roman"/>
                <w:bCs/>
                <w:sz w:val="20"/>
                <w:szCs w:val="20"/>
              </w:rPr>
              <w:t>щонайменше 10 публічних заходів</w:t>
            </w:r>
            <w:r w:rsidRPr="000413EB">
              <w:rPr>
                <w:rFonts w:ascii="Times New Roman" w:hAnsi="Times New Roman"/>
                <w:sz w:val="20"/>
                <w:szCs w:val="20"/>
              </w:rPr>
              <w:t xml:space="preserve"> (відкриті дні, змагання, квести).</w:t>
            </w:r>
          </w:p>
          <w:p w14:paraId="2CC59608" w14:textId="77777777" w:rsidR="0097410E" w:rsidRPr="000413EB" w:rsidRDefault="0097410E" w:rsidP="0097410E">
            <w:pPr>
              <w:jc w:val="both"/>
              <w:rPr>
                <w:rFonts w:ascii="Times New Roman" w:hAnsi="Times New Roman"/>
                <w:sz w:val="20"/>
                <w:szCs w:val="20"/>
              </w:rPr>
            </w:pPr>
            <w:r w:rsidRPr="000413EB">
              <w:rPr>
                <w:rFonts w:ascii="Times New Roman" w:hAnsi="Times New Roman"/>
                <w:bCs/>
                <w:sz w:val="20"/>
                <w:szCs w:val="20"/>
              </w:rPr>
              <w:t>Задоволення користувачів</w:t>
            </w:r>
            <w:r w:rsidRPr="000413EB">
              <w:rPr>
                <w:rFonts w:ascii="Times New Roman" w:hAnsi="Times New Roman"/>
                <w:sz w:val="20"/>
                <w:szCs w:val="20"/>
              </w:rPr>
              <w:t xml:space="preserve"> — 90% позитивних відгуків у результаті опитування.</w:t>
            </w:r>
          </w:p>
          <w:p w14:paraId="33198CEB" w14:textId="77777777" w:rsidR="0097410E" w:rsidRPr="000413EB" w:rsidRDefault="0097410E" w:rsidP="0097410E">
            <w:pPr>
              <w:jc w:val="both"/>
              <w:rPr>
                <w:rFonts w:ascii="Times New Roman" w:hAnsi="Times New Roman"/>
                <w:sz w:val="20"/>
                <w:szCs w:val="20"/>
              </w:rPr>
            </w:pPr>
            <w:r w:rsidRPr="000413EB">
              <w:rPr>
                <w:rFonts w:ascii="Times New Roman" w:hAnsi="Times New Roman"/>
                <w:bCs/>
                <w:sz w:val="20"/>
                <w:szCs w:val="20"/>
              </w:rPr>
              <w:t>Підвищено відвідуваність парку</w:t>
            </w:r>
            <w:r w:rsidRPr="000413EB">
              <w:rPr>
                <w:rFonts w:ascii="Times New Roman" w:hAnsi="Times New Roman"/>
                <w:sz w:val="20"/>
                <w:szCs w:val="20"/>
              </w:rPr>
              <w:t xml:space="preserve"> на 30% протягом року.</w:t>
            </w:r>
          </w:p>
        </w:tc>
      </w:tr>
      <w:tr w:rsidR="0097410E" w:rsidRPr="000413EB" w14:paraId="573C3D9C" w14:textId="77777777" w:rsidTr="000413EB">
        <w:tc>
          <w:tcPr>
            <w:tcW w:w="567" w:type="dxa"/>
            <w:shd w:val="clear" w:color="auto" w:fill="auto"/>
          </w:tcPr>
          <w:p w14:paraId="0DCC7EAC" w14:textId="7237853A" w:rsidR="0097410E" w:rsidRPr="000413EB" w:rsidRDefault="00C52095" w:rsidP="0097410E">
            <w:pPr>
              <w:pStyle w:val="aa"/>
              <w:jc w:val="both"/>
              <w:rPr>
                <w:rFonts w:ascii="Times New Roman" w:eastAsia="Arial" w:hAnsi="Times New Roman"/>
                <w:sz w:val="20"/>
                <w:szCs w:val="20"/>
              </w:rPr>
            </w:pPr>
            <w:r>
              <w:rPr>
                <w:rFonts w:ascii="Times New Roman" w:eastAsia="Arial" w:hAnsi="Times New Roman"/>
                <w:sz w:val="20"/>
                <w:szCs w:val="20"/>
              </w:rPr>
              <w:t>43</w:t>
            </w:r>
          </w:p>
        </w:tc>
        <w:tc>
          <w:tcPr>
            <w:tcW w:w="2694" w:type="dxa"/>
            <w:shd w:val="clear" w:color="auto" w:fill="auto"/>
          </w:tcPr>
          <w:p w14:paraId="79243F5C"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bCs/>
                <w:sz w:val="20"/>
                <w:szCs w:val="20"/>
                <w:lang w:eastAsia="en-US"/>
              </w:rPr>
            </w:pPr>
            <w:r w:rsidRPr="000413EB">
              <w:rPr>
                <w:rFonts w:ascii="Times New Roman" w:eastAsia="Arial" w:hAnsi="Times New Roman"/>
                <w:bCs/>
                <w:sz w:val="20"/>
                <w:szCs w:val="20"/>
                <w:lang w:eastAsia="en-US"/>
              </w:rPr>
              <w:t>С.3.4. Розбудова мережі сучасних спортивних закладів та споруд</w:t>
            </w:r>
          </w:p>
        </w:tc>
        <w:tc>
          <w:tcPr>
            <w:tcW w:w="2551" w:type="dxa"/>
            <w:shd w:val="clear" w:color="auto" w:fill="auto"/>
          </w:tcPr>
          <w:p w14:paraId="7E9F9312" w14:textId="77777777" w:rsidR="0097410E" w:rsidRPr="000413EB" w:rsidRDefault="0097410E" w:rsidP="0097410E">
            <w:pPr>
              <w:autoSpaceDE w:val="0"/>
              <w:autoSpaceDN w:val="0"/>
              <w:jc w:val="both"/>
              <w:rPr>
                <w:rFonts w:ascii="Times New Roman" w:hAnsi="Times New Roman"/>
                <w:sz w:val="20"/>
                <w:szCs w:val="20"/>
                <w:lang w:eastAsia="en-US"/>
              </w:rPr>
            </w:pPr>
            <w:r w:rsidRPr="000413EB">
              <w:rPr>
                <w:rFonts w:ascii="Times New Roman" w:hAnsi="Times New Roman"/>
                <w:sz w:val="20"/>
                <w:szCs w:val="20"/>
                <w:lang w:eastAsia="en-US"/>
              </w:rPr>
              <w:t>С.3.4.1. Вдосконалення спортивного розвитку та самореалізації дітей, молоді, населення середнього та пенсійного віку.</w:t>
            </w:r>
          </w:p>
          <w:p w14:paraId="4ADA140C" w14:textId="77777777" w:rsidR="0097410E" w:rsidRPr="000413EB" w:rsidRDefault="0097410E" w:rsidP="0097410E">
            <w:pPr>
              <w:autoSpaceDE w:val="0"/>
              <w:autoSpaceDN w:val="0"/>
              <w:jc w:val="both"/>
              <w:rPr>
                <w:rFonts w:ascii="Times New Roman" w:hAnsi="Times New Roman"/>
                <w:bCs/>
                <w:sz w:val="20"/>
                <w:szCs w:val="20"/>
                <w:lang w:eastAsia="en-US"/>
              </w:rPr>
            </w:pPr>
            <w:r w:rsidRPr="000413EB">
              <w:rPr>
                <w:rFonts w:ascii="Times New Roman" w:hAnsi="Times New Roman"/>
                <w:bCs/>
                <w:sz w:val="20"/>
                <w:szCs w:val="20"/>
                <w:lang w:eastAsia="en-US"/>
              </w:rPr>
              <w:t>С.3.4.2. Будівництво, реконструкція інфраструктури спорту з урахуванням гендерного аспекту.</w:t>
            </w:r>
          </w:p>
          <w:p w14:paraId="2B3FE99A" w14:textId="77777777" w:rsidR="0097410E" w:rsidRPr="000413EB" w:rsidRDefault="0097410E" w:rsidP="0097410E">
            <w:pPr>
              <w:jc w:val="both"/>
              <w:rPr>
                <w:rFonts w:ascii="Times New Roman" w:hAnsi="Times New Roman"/>
                <w:sz w:val="20"/>
                <w:szCs w:val="20"/>
                <w:lang w:eastAsia="en-US"/>
              </w:rPr>
            </w:pPr>
          </w:p>
        </w:tc>
        <w:tc>
          <w:tcPr>
            <w:tcW w:w="2835" w:type="dxa"/>
            <w:shd w:val="clear" w:color="auto" w:fill="auto"/>
          </w:tcPr>
          <w:p w14:paraId="4DF1793C" w14:textId="3ECB2DE6" w:rsidR="0097410E" w:rsidRPr="000413EB" w:rsidRDefault="00612413" w:rsidP="0097410E">
            <w:pPr>
              <w:jc w:val="both"/>
              <w:rPr>
                <w:rFonts w:ascii="Times New Roman" w:hAnsi="Times New Roman"/>
                <w:sz w:val="20"/>
                <w:szCs w:val="20"/>
              </w:rPr>
            </w:pPr>
            <w:r>
              <w:rPr>
                <w:rFonts w:ascii="Times New Roman" w:hAnsi="Times New Roman"/>
                <w:sz w:val="20"/>
                <w:szCs w:val="20"/>
              </w:rPr>
              <w:t>«</w:t>
            </w:r>
            <w:r w:rsidR="0097410E" w:rsidRPr="000413EB">
              <w:rPr>
                <w:rFonts w:ascii="Times New Roman" w:hAnsi="Times New Roman"/>
                <w:sz w:val="20"/>
                <w:szCs w:val="20"/>
              </w:rPr>
              <w:t>Pump-track</w:t>
            </w:r>
            <w:r>
              <w:rPr>
                <w:rFonts w:ascii="Times New Roman" w:hAnsi="Times New Roman"/>
                <w:sz w:val="20"/>
                <w:szCs w:val="20"/>
              </w:rPr>
              <w:t>»</w:t>
            </w:r>
            <w:r w:rsidR="0097410E" w:rsidRPr="000413EB">
              <w:rPr>
                <w:rFonts w:ascii="Times New Roman" w:hAnsi="Times New Roman"/>
                <w:sz w:val="20"/>
                <w:szCs w:val="20"/>
              </w:rPr>
              <w:t xml:space="preserve"> — безпечний простір для активного руху дітей та молоді" на території Центрального міського парку</w:t>
            </w:r>
          </w:p>
        </w:tc>
        <w:tc>
          <w:tcPr>
            <w:tcW w:w="1276" w:type="dxa"/>
            <w:shd w:val="clear" w:color="auto" w:fill="auto"/>
          </w:tcPr>
          <w:p w14:paraId="43C4C6CB" w14:textId="77777777" w:rsidR="0097410E" w:rsidRPr="000413EB" w:rsidRDefault="0097410E" w:rsidP="0097410E">
            <w:pPr>
              <w:widowControl w:val="0"/>
              <w:tabs>
                <w:tab w:val="left" w:pos="569"/>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2027</w:t>
            </w:r>
          </w:p>
        </w:tc>
        <w:tc>
          <w:tcPr>
            <w:tcW w:w="2345" w:type="dxa"/>
            <w:shd w:val="clear" w:color="auto" w:fill="auto"/>
          </w:tcPr>
          <w:p w14:paraId="0F36BB1C" w14:textId="77777777" w:rsidR="008955D4" w:rsidRDefault="0097410E" w:rsidP="0097410E">
            <w:pPr>
              <w:jc w:val="both"/>
              <w:rPr>
                <w:rFonts w:ascii="Times New Roman" w:hAnsi="Times New Roman"/>
                <w:sz w:val="20"/>
                <w:szCs w:val="20"/>
              </w:rPr>
            </w:pPr>
            <w:r w:rsidRPr="000413EB">
              <w:rPr>
                <w:rFonts w:ascii="Times New Roman" w:hAnsi="Times New Roman"/>
                <w:sz w:val="20"/>
                <w:szCs w:val="20"/>
              </w:rPr>
              <w:t xml:space="preserve">Управління житлово-комунального господарства Жмеринської міської ради, </w:t>
            </w:r>
          </w:p>
          <w:p w14:paraId="6F0B24F9" w14:textId="3D1FFCEC"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комунальне підприємство «Парковий культурно-спортивний комплекс» Жмеринської міської ради Вінницької області</w:t>
            </w:r>
          </w:p>
          <w:p w14:paraId="19964C63" w14:textId="77777777" w:rsidR="0097410E" w:rsidRPr="000413EB" w:rsidRDefault="0097410E" w:rsidP="0097410E">
            <w:pPr>
              <w:jc w:val="both"/>
              <w:rPr>
                <w:rFonts w:ascii="Times New Roman" w:hAnsi="Times New Roman"/>
                <w:sz w:val="20"/>
                <w:szCs w:val="20"/>
              </w:rPr>
            </w:pPr>
          </w:p>
        </w:tc>
        <w:tc>
          <w:tcPr>
            <w:tcW w:w="2900" w:type="dxa"/>
            <w:shd w:val="clear" w:color="auto" w:fill="auto"/>
          </w:tcPr>
          <w:p w14:paraId="35FD230B" w14:textId="2B47A0EE" w:rsidR="0097410E" w:rsidRPr="000413EB" w:rsidRDefault="0097410E" w:rsidP="0097410E">
            <w:pPr>
              <w:tabs>
                <w:tab w:val="left" w:pos="99"/>
                <w:tab w:val="num" w:pos="720"/>
              </w:tabs>
              <w:jc w:val="both"/>
              <w:rPr>
                <w:rFonts w:ascii="Times New Roman" w:hAnsi="Times New Roman"/>
                <w:sz w:val="20"/>
                <w:szCs w:val="20"/>
              </w:rPr>
            </w:pPr>
            <w:r w:rsidRPr="000413EB">
              <w:rPr>
                <w:rFonts w:ascii="Times New Roman" w:hAnsi="Times New Roman"/>
                <w:sz w:val="20"/>
                <w:szCs w:val="20"/>
              </w:rPr>
              <w:t xml:space="preserve">Побудована </w:t>
            </w:r>
            <w:r w:rsidRPr="000413EB">
              <w:rPr>
                <w:rFonts w:ascii="Times New Roman" w:hAnsi="Times New Roman"/>
                <w:bCs/>
                <w:sz w:val="20"/>
                <w:szCs w:val="20"/>
              </w:rPr>
              <w:t xml:space="preserve">технічно безпечна </w:t>
            </w:r>
            <w:r w:rsidR="00612413">
              <w:rPr>
                <w:rFonts w:ascii="Times New Roman" w:hAnsi="Times New Roman"/>
                <w:sz w:val="20"/>
                <w:szCs w:val="20"/>
              </w:rPr>
              <w:t>«</w:t>
            </w:r>
            <w:r w:rsidR="00612413" w:rsidRPr="000413EB">
              <w:rPr>
                <w:rFonts w:ascii="Times New Roman" w:hAnsi="Times New Roman"/>
                <w:sz w:val="20"/>
                <w:szCs w:val="20"/>
              </w:rPr>
              <w:t>Pump-track</w:t>
            </w:r>
            <w:r w:rsidR="00612413">
              <w:rPr>
                <w:rFonts w:ascii="Times New Roman" w:hAnsi="Times New Roman"/>
                <w:sz w:val="20"/>
                <w:szCs w:val="20"/>
              </w:rPr>
              <w:t>»</w:t>
            </w:r>
            <w:r w:rsidR="00612413" w:rsidRPr="000413EB">
              <w:rPr>
                <w:rFonts w:ascii="Times New Roman" w:hAnsi="Times New Roman"/>
                <w:sz w:val="20"/>
                <w:szCs w:val="20"/>
              </w:rPr>
              <w:t xml:space="preserve"> </w:t>
            </w:r>
            <w:r w:rsidRPr="000413EB">
              <w:rPr>
                <w:rFonts w:ascii="Times New Roman" w:hAnsi="Times New Roman"/>
                <w:bCs/>
                <w:sz w:val="20"/>
                <w:szCs w:val="20"/>
              </w:rPr>
              <w:t>траса</w:t>
            </w:r>
            <w:r w:rsidRPr="000413EB">
              <w:rPr>
                <w:rFonts w:ascii="Times New Roman" w:hAnsi="Times New Roman"/>
                <w:sz w:val="20"/>
                <w:szCs w:val="20"/>
              </w:rPr>
              <w:t xml:space="preserve"> площею до 800 м².</w:t>
            </w:r>
          </w:p>
          <w:p w14:paraId="4B3635DC" w14:textId="77777777" w:rsidR="0097410E" w:rsidRPr="000413EB" w:rsidRDefault="0097410E" w:rsidP="0097410E">
            <w:pPr>
              <w:tabs>
                <w:tab w:val="left" w:pos="99"/>
              </w:tabs>
              <w:jc w:val="both"/>
              <w:rPr>
                <w:rFonts w:ascii="Times New Roman" w:hAnsi="Times New Roman"/>
                <w:sz w:val="20"/>
                <w:szCs w:val="20"/>
              </w:rPr>
            </w:pPr>
            <w:r w:rsidRPr="000413EB">
              <w:rPr>
                <w:rFonts w:ascii="Times New Roman" w:hAnsi="Times New Roman"/>
                <w:bCs/>
                <w:sz w:val="20"/>
                <w:szCs w:val="20"/>
              </w:rPr>
              <w:t>Щоденне користування — щонайменше 100 відвідувачів у теплий період</w:t>
            </w:r>
            <w:r w:rsidRPr="000413EB">
              <w:rPr>
                <w:rFonts w:ascii="Times New Roman" w:hAnsi="Times New Roman"/>
                <w:sz w:val="20"/>
                <w:szCs w:val="20"/>
              </w:rPr>
              <w:t>.</w:t>
            </w:r>
          </w:p>
          <w:p w14:paraId="79BD2318" w14:textId="77777777" w:rsidR="0097410E" w:rsidRPr="000413EB" w:rsidRDefault="0097410E" w:rsidP="0097410E">
            <w:pPr>
              <w:tabs>
                <w:tab w:val="left" w:pos="99"/>
              </w:tabs>
              <w:jc w:val="both"/>
              <w:rPr>
                <w:rFonts w:ascii="Times New Roman" w:hAnsi="Times New Roman"/>
                <w:sz w:val="20"/>
                <w:szCs w:val="20"/>
              </w:rPr>
            </w:pPr>
            <w:r w:rsidRPr="000413EB">
              <w:rPr>
                <w:rFonts w:ascii="Times New Roman" w:hAnsi="Times New Roman"/>
                <w:sz w:val="20"/>
                <w:szCs w:val="20"/>
              </w:rPr>
              <w:t xml:space="preserve">Проведено </w:t>
            </w:r>
            <w:r w:rsidRPr="000413EB">
              <w:rPr>
                <w:rFonts w:ascii="Times New Roman" w:hAnsi="Times New Roman"/>
                <w:bCs/>
                <w:sz w:val="20"/>
                <w:szCs w:val="20"/>
              </w:rPr>
              <w:t>не менше 6 спортивних заходів</w:t>
            </w:r>
            <w:r w:rsidRPr="000413EB">
              <w:rPr>
                <w:rFonts w:ascii="Times New Roman" w:hAnsi="Times New Roman"/>
                <w:sz w:val="20"/>
                <w:szCs w:val="20"/>
              </w:rPr>
              <w:t xml:space="preserve"> на рік.</w:t>
            </w:r>
          </w:p>
          <w:p w14:paraId="67F83851" w14:textId="77777777" w:rsidR="0097410E" w:rsidRPr="000413EB" w:rsidRDefault="0097410E" w:rsidP="0097410E">
            <w:pPr>
              <w:tabs>
                <w:tab w:val="left" w:pos="99"/>
              </w:tabs>
              <w:jc w:val="both"/>
              <w:rPr>
                <w:rFonts w:ascii="Times New Roman" w:hAnsi="Times New Roman"/>
                <w:sz w:val="20"/>
                <w:szCs w:val="20"/>
              </w:rPr>
            </w:pPr>
            <w:r w:rsidRPr="000413EB">
              <w:rPr>
                <w:rFonts w:ascii="Times New Roman" w:hAnsi="Times New Roman"/>
                <w:bCs/>
                <w:sz w:val="20"/>
                <w:szCs w:val="20"/>
              </w:rPr>
              <w:t>Залучено понад 1000 дітей та підлітків на місяць</w:t>
            </w:r>
            <w:r w:rsidRPr="000413EB">
              <w:rPr>
                <w:rFonts w:ascii="Times New Roman" w:hAnsi="Times New Roman"/>
                <w:sz w:val="20"/>
                <w:szCs w:val="20"/>
              </w:rPr>
              <w:t>.</w:t>
            </w:r>
          </w:p>
          <w:p w14:paraId="38956B25" w14:textId="77777777" w:rsidR="0097410E" w:rsidRPr="000413EB" w:rsidRDefault="0097410E" w:rsidP="0097410E">
            <w:pPr>
              <w:tabs>
                <w:tab w:val="left" w:pos="99"/>
              </w:tabs>
              <w:jc w:val="both"/>
              <w:rPr>
                <w:rFonts w:ascii="Times New Roman" w:hAnsi="Times New Roman"/>
                <w:sz w:val="20"/>
                <w:szCs w:val="20"/>
              </w:rPr>
            </w:pPr>
            <w:r w:rsidRPr="000413EB">
              <w:rPr>
                <w:rFonts w:ascii="Times New Roman" w:hAnsi="Times New Roman"/>
                <w:sz w:val="20"/>
                <w:szCs w:val="20"/>
              </w:rPr>
              <w:t xml:space="preserve">Створено </w:t>
            </w:r>
            <w:r w:rsidRPr="000413EB">
              <w:rPr>
                <w:rFonts w:ascii="Times New Roman" w:hAnsi="Times New Roman"/>
                <w:bCs/>
                <w:sz w:val="20"/>
                <w:szCs w:val="20"/>
              </w:rPr>
              <w:t>нове місце дозвілля</w:t>
            </w:r>
            <w:r w:rsidRPr="000413EB">
              <w:rPr>
                <w:rFonts w:ascii="Times New Roman" w:hAnsi="Times New Roman"/>
                <w:sz w:val="20"/>
                <w:szCs w:val="20"/>
              </w:rPr>
              <w:t xml:space="preserve"> у парку громади або публічному просторі.</w:t>
            </w:r>
          </w:p>
        </w:tc>
      </w:tr>
      <w:tr w:rsidR="0097410E" w:rsidRPr="000413EB" w14:paraId="3F19338A" w14:textId="77777777" w:rsidTr="000413EB">
        <w:tc>
          <w:tcPr>
            <w:tcW w:w="567" w:type="dxa"/>
            <w:shd w:val="clear" w:color="auto" w:fill="auto"/>
          </w:tcPr>
          <w:p w14:paraId="3D147B57" w14:textId="56FEF1F0" w:rsidR="0097410E" w:rsidRPr="000413EB" w:rsidRDefault="00C52095" w:rsidP="0097410E">
            <w:pPr>
              <w:pStyle w:val="aa"/>
              <w:jc w:val="both"/>
              <w:rPr>
                <w:rFonts w:ascii="Times New Roman" w:eastAsia="Arial" w:hAnsi="Times New Roman"/>
                <w:sz w:val="20"/>
                <w:szCs w:val="20"/>
              </w:rPr>
            </w:pPr>
            <w:r>
              <w:rPr>
                <w:rFonts w:ascii="Times New Roman" w:eastAsia="Arial" w:hAnsi="Times New Roman"/>
                <w:sz w:val="20"/>
                <w:szCs w:val="20"/>
              </w:rPr>
              <w:t>44</w:t>
            </w:r>
          </w:p>
        </w:tc>
        <w:tc>
          <w:tcPr>
            <w:tcW w:w="2694" w:type="dxa"/>
            <w:shd w:val="clear" w:color="auto" w:fill="auto"/>
          </w:tcPr>
          <w:p w14:paraId="55CC8123"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bCs/>
                <w:sz w:val="20"/>
                <w:szCs w:val="20"/>
                <w:lang w:eastAsia="en-US"/>
              </w:rPr>
            </w:pPr>
            <w:r w:rsidRPr="000413EB">
              <w:rPr>
                <w:rFonts w:ascii="Times New Roman" w:eastAsia="Arial" w:hAnsi="Times New Roman"/>
                <w:bCs/>
                <w:sz w:val="20"/>
                <w:szCs w:val="20"/>
                <w:lang w:eastAsia="en-US"/>
              </w:rPr>
              <w:t>С.3.4. Розбудова мережі сучасних спортивних закладів та споруд</w:t>
            </w:r>
          </w:p>
        </w:tc>
        <w:tc>
          <w:tcPr>
            <w:tcW w:w="2551" w:type="dxa"/>
            <w:shd w:val="clear" w:color="auto" w:fill="auto"/>
          </w:tcPr>
          <w:p w14:paraId="2182EEF6" w14:textId="77777777" w:rsidR="0097410E" w:rsidRPr="000413EB" w:rsidRDefault="0097410E" w:rsidP="0097410E">
            <w:pPr>
              <w:autoSpaceDE w:val="0"/>
              <w:autoSpaceDN w:val="0"/>
              <w:jc w:val="both"/>
              <w:rPr>
                <w:rFonts w:ascii="Times New Roman" w:hAnsi="Times New Roman"/>
                <w:sz w:val="20"/>
                <w:szCs w:val="20"/>
                <w:lang w:eastAsia="en-US"/>
              </w:rPr>
            </w:pPr>
            <w:r w:rsidRPr="000413EB">
              <w:rPr>
                <w:rFonts w:ascii="Times New Roman" w:hAnsi="Times New Roman"/>
                <w:sz w:val="20"/>
                <w:szCs w:val="20"/>
                <w:lang w:eastAsia="en-US"/>
              </w:rPr>
              <w:t>С.3.4.1. Вдосконалення спортивного розвитку та самореалізації дітей, молоді, населення середнього та пенсійного віку.</w:t>
            </w:r>
          </w:p>
          <w:p w14:paraId="371625A4" w14:textId="77777777" w:rsidR="0097410E" w:rsidRPr="000413EB" w:rsidRDefault="0097410E" w:rsidP="0097410E">
            <w:pPr>
              <w:autoSpaceDE w:val="0"/>
              <w:autoSpaceDN w:val="0"/>
              <w:jc w:val="both"/>
              <w:rPr>
                <w:rFonts w:ascii="Times New Roman" w:hAnsi="Times New Roman"/>
                <w:bCs/>
                <w:sz w:val="20"/>
                <w:szCs w:val="20"/>
                <w:lang w:eastAsia="en-US"/>
              </w:rPr>
            </w:pPr>
            <w:r w:rsidRPr="000413EB">
              <w:rPr>
                <w:rFonts w:ascii="Times New Roman" w:hAnsi="Times New Roman"/>
                <w:bCs/>
                <w:sz w:val="20"/>
                <w:szCs w:val="20"/>
                <w:lang w:eastAsia="en-US"/>
              </w:rPr>
              <w:t>С.3.4.2. Будівництво, реконструкція інфраструктури спорту з урахуванням гендерного аспекту.</w:t>
            </w:r>
          </w:p>
        </w:tc>
        <w:tc>
          <w:tcPr>
            <w:tcW w:w="2835" w:type="dxa"/>
            <w:shd w:val="clear" w:color="auto" w:fill="auto"/>
          </w:tcPr>
          <w:p w14:paraId="67AEC8FC"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"Pump-track — безпечний простір для активного руху дітей та молоді" на території старостинських округів Жмеринської міської територіальної громади</w:t>
            </w:r>
          </w:p>
        </w:tc>
        <w:tc>
          <w:tcPr>
            <w:tcW w:w="1276" w:type="dxa"/>
            <w:shd w:val="clear" w:color="auto" w:fill="auto"/>
          </w:tcPr>
          <w:p w14:paraId="37616588" w14:textId="77777777" w:rsidR="0097410E" w:rsidRPr="000413EB" w:rsidRDefault="0097410E" w:rsidP="0097410E">
            <w:pPr>
              <w:widowControl w:val="0"/>
              <w:tabs>
                <w:tab w:val="left" w:pos="569"/>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2026</w:t>
            </w:r>
          </w:p>
        </w:tc>
        <w:tc>
          <w:tcPr>
            <w:tcW w:w="2345" w:type="dxa"/>
            <w:shd w:val="clear" w:color="auto" w:fill="auto"/>
          </w:tcPr>
          <w:p w14:paraId="2E80E128"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Управління житлово-комунального господарства Жмеринської міської ради</w:t>
            </w:r>
          </w:p>
        </w:tc>
        <w:tc>
          <w:tcPr>
            <w:tcW w:w="2900" w:type="dxa"/>
            <w:shd w:val="clear" w:color="auto" w:fill="auto"/>
          </w:tcPr>
          <w:p w14:paraId="214A91B3" w14:textId="3DB65AEA" w:rsidR="0097410E" w:rsidRPr="000413EB" w:rsidRDefault="0097410E" w:rsidP="0097410E">
            <w:pPr>
              <w:tabs>
                <w:tab w:val="left" w:pos="180"/>
              </w:tabs>
              <w:jc w:val="both"/>
              <w:rPr>
                <w:rFonts w:ascii="Times New Roman" w:hAnsi="Times New Roman"/>
                <w:sz w:val="20"/>
                <w:szCs w:val="20"/>
              </w:rPr>
            </w:pPr>
            <w:r w:rsidRPr="000413EB">
              <w:rPr>
                <w:rFonts w:ascii="Times New Roman" w:hAnsi="Times New Roman"/>
                <w:sz w:val="20"/>
                <w:szCs w:val="20"/>
              </w:rPr>
              <w:t xml:space="preserve">Побудована </w:t>
            </w:r>
            <w:r w:rsidRPr="000413EB">
              <w:rPr>
                <w:rFonts w:ascii="Times New Roman" w:hAnsi="Times New Roman"/>
                <w:bCs/>
                <w:sz w:val="20"/>
                <w:szCs w:val="20"/>
              </w:rPr>
              <w:t xml:space="preserve">технічно безпечна </w:t>
            </w:r>
            <w:r w:rsidR="00612413">
              <w:rPr>
                <w:rFonts w:ascii="Times New Roman" w:hAnsi="Times New Roman"/>
                <w:sz w:val="20"/>
                <w:szCs w:val="20"/>
              </w:rPr>
              <w:t>«</w:t>
            </w:r>
            <w:r w:rsidR="00612413" w:rsidRPr="000413EB">
              <w:rPr>
                <w:rFonts w:ascii="Times New Roman" w:hAnsi="Times New Roman"/>
                <w:sz w:val="20"/>
                <w:szCs w:val="20"/>
              </w:rPr>
              <w:t>Pump-track</w:t>
            </w:r>
            <w:r w:rsidR="00612413">
              <w:rPr>
                <w:rFonts w:ascii="Times New Roman" w:hAnsi="Times New Roman"/>
                <w:sz w:val="20"/>
                <w:szCs w:val="20"/>
              </w:rPr>
              <w:t>»</w:t>
            </w:r>
            <w:r w:rsidR="00612413" w:rsidRPr="000413EB">
              <w:rPr>
                <w:rFonts w:ascii="Times New Roman" w:hAnsi="Times New Roman"/>
                <w:sz w:val="20"/>
                <w:szCs w:val="20"/>
              </w:rPr>
              <w:t xml:space="preserve"> </w:t>
            </w:r>
            <w:r w:rsidRPr="000413EB">
              <w:rPr>
                <w:rFonts w:ascii="Times New Roman" w:hAnsi="Times New Roman"/>
                <w:bCs/>
                <w:sz w:val="20"/>
                <w:szCs w:val="20"/>
              </w:rPr>
              <w:t>траса</w:t>
            </w:r>
            <w:r w:rsidRPr="000413EB">
              <w:rPr>
                <w:rFonts w:ascii="Times New Roman" w:hAnsi="Times New Roman"/>
                <w:sz w:val="20"/>
                <w:szCs w:val="20"/>
              </w:rPr>
              <w:t xml:space="preserve"> площею до 800 м².</w:t>
            </w:r>
          </w:p>
          <w:p w14:paraId="44C45585" w14:textId="77777777" w:rsidR="0097410E" w:rsidRPr="000413EB" w:rsidRDefault="0097410E" w:rsidP="0097410E">
            <w:pPr>
              <w:tabs>
                <w:tab w:val="left" w:pos="180"/>
              </w:tabs>
              <w:jc w:val="both"/>
              <w:rPr>
                <w:rFonts w:ascii="Times New Roman" w:hAnsi="Times New Roman"/>
                <w:sz w:val="20"/>
                <w:szCs w:val="20"/>
              </w:rPr>
            </w:pPr>
            <w:r w:rsidRPr="000413EB">
              <w:rPr>
                <w:rFonts w:ascii="Times New Roman" w:hAnsi="Times New Roman"/>
                <w:bCs/>
                <w:sz w:val="20"/>
                <w:szCs w:val="20"/>
              </w:rPr>
              <w:t>Щоденне користування — щонайменше 100 відвідувачів у теплий період</w:t>
            </w:r>
            <w:r w:rsidRPr="000413EB">
              <w:rPr>
                <w:rFonts w:ascii="Times New Roman" w:hAnsi="Times New Roman"/>
                <w:sz w:val="20"/>
                <w:szCs w:val="20"/>
              </w:rPr>
              <w:t>.</w:t>
            </w:r>
          </w:p>
          <w:p w14:paraId="3B11B2D2"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 xml:space="preserve">Проведено </w:t>
            </w:r>
            <w:r w:rsidRPr="000413EB">
              <w:rPr>
                <w:rFonts w:ascii="Times New Roman" w:hAnsi="Times New Roman"/>
                <w:bCs/>
                <w:sz w:val="20"/>
                <w:szCs w:val="20"/>
              </w:rPr>
              <w:t>не менше 6 спортивних заходів</w:t>
            </w:r>
            <w:r w:rsidRPr="000413EB">
              <w:rPr>
                <w:rFonts w:ascii="Times New Roman" w:hAnsi="Times New Roman"/>
                <w:sz w:val="20"/>
                <w:szCs w:val="20"/>
              </w:rPr>
              <w:t xml:space="preserve"> на рік.</w:t>
            </w:r>
          </w:p>
          <w:p w14:paraId="31060485" w14:textId="77777777" w:rsidR="0097410E" w:rsidRPr="000413EB" w:rsidRDefault="0097410E" w:rsidP="0097410E">
            <w:pPr>
              <w:jc w:val="both"/>
              <w:rPr>
                <w:rFonts w:ascii="Times New Roman" w:hAnsi="Times New Roman"/>
                <w:sz w:val="20"/>
                <w:szCs w:val="20"/>
              </w:rPr>
            </w:pPr>
            <w:r w:rsidRPr="000413EB">
              <w:rPr>
                <w:rFonts w:ascii="Times New Roman" w:hAnsi="Times New Roman"/>
                <w:bCs/>
                <w:sz w:val="20"/>
                <w:szCs w:val="20"/>
              </w:rPr>
              <w:t>Залучено понад 1000 дітей та підлітків на місяць</w:t>
            </w:r>
            <w:r w:rsidRPr="000413EB">
              <w:rPr>
                <w:rFonts w:ascii="Times New Roman" w:hAnsi="Times New Roman"/>
                <w:sz w:val="20"/>
                <w:szCs w:val="20"/>
              </w:rPr>
              <w:t>.</w:t>
            </w:r>
          </w:p>
          <w:p w14:paraId="4EE8412D"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 xml:space="preserve">Створено </w:t>
            </w:r>
            <w:r w:rsidRPr="000413EB">
              <w:rPr>
                <w:rFonts w:ascii="Times New Roman" w:hAnsi="Times New Roman"/>
                <w:bCs/>
                <w:sz w:val="20"/>
                <w:szCs w:val="20"/>
              </w:rPr>
              <w:t>нове місце дозвілля</w:t>
            </w:r>
            <w:r w:rsidRPr="000413EB">
              <w:rPr>
                <w:rFonts w:ascii="Times New Roman" w:hAnsi="Times New Roman"/>
                <w:sz w:val="20"/>
                <w:szCs w:val="20"/>
              </w:rPr>
              <w:t xml:space="preserve"> у парку громади або публічному просторі.</w:t>
            </w:r>
          </w:p>
        </w:tc>
      </w:tr>
      <w:tr w:rsidR="0097410E" w:rsidRPr="000413EB" w14:paraId="59F5CBC7" w14:textId="77777777" w:rsidTr="000413EB">
        <w:tc>
          <w:tcPr>
            <w:tcW w:w="567" w:type="dxa"/>
            <w:shd w:val="clear" w:color="auto" w:fill="auto"/>
          </w:tcPr>
          <w:p w14:paraId="44DB06F4" w14:textId="0D94655F" w:rsidR="0097410E" w:rsidRPr="000413EB" w:rsidRDefault="00C52095" w:rsidP="0097410E">
            <w:pPr>
              <w:pStyle w:val="aa"/>
              <w:jc w:val="both"/>
              <w:rPr>
                <w:rFonts w:ascii="Times New Roman" w:eastAsia="Arial" w:hAnsi="Times New Roman"/>
                <w:sz w:val="20"/>
                <w:szCs w:val="20"/>
              </w:rPr>
            </w:pPr>
            <w:r>
              <w:rPr>
                <w:rFonts w:ascii="Times New Roman" w:eastAsia="Arial" w:hAnsi="Times New Roman"/>
                <w:sz w:val="20"/>
                <w:szCs w:val="20"/>
              </w:rPr>
              <w:t>45</w:t>
            </w:r>
          </w:p>
        </w:tc>
        <w:tc>
          <w:tcPr>
            <w:tcW w:w="2694" w:type="dxa"/>
            <w:shd w:val="clear" w:color="auto" w:fill="auto"/>
          </w:tcPr>
          <w:p w14:paraId="21A6A5F8"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bCs/>
                <w:sz w:val="20"/>
                <w:szCs w:val="20"/>
                <w:lang w:eastAsia="en-US"/>
              </w:rPr>
            </w:pPr>
            <w:r w:rsidRPr="000413EB">
              <w:rPr>
                <w:rFonts w:ascii="Times New Roman" w:eastAsia="Arial" w:hAnsi="Times New Roman"/>
                <w:bCs/>
                <w:sz w:val="20"/>
                <w:szCs w:val="20"/>
                <w:lang w:eastAsia="en-US"/>
              </w:rPr>
              <w:t>С.3.4. Розбудова мережі сучасних спортивних закладів та споруд</w:t>
            </w:r>
          </w:p>
        </w:tc>
        <w:tc>
          <w:tcPr>
            <w:tcW w:w="2551" w:type="dxa"/>
            <w:shd w:val="clear" w:color="auto" w:fill="auto"/>
          </w:tcPr>
          <w:p w14:paraId="1139E114" w14:textId="77777777" w:rsidR="0097410E" w:rsidRPr="000413EB" w:rsidRDefault="0097410E" w:rsidP="0097410E">
            <w:pPr>
              <w:jc w:val="both"/>
              <w:rPr>
                <w:rFonts w:ascii="Times New Roman" w:hAnsi="Times New Roman"/>
                <w:bCs/>
                <w:sz w:val="20"/>
                <w:szCs w:val="20"/>
              </w:rPr>
            </w:pPr>
            <w:r w:rsidRPr="000413EB">
              <w:rPr>
                <w:rFonts w:ascii="Times New Roman" w:hAnsi="Times New Roman"/>
                <w:bCs/>
                <w:sz w:val="20"/>
                <w:szCs w:val="20"/>
              </w:rPr>
              <w:t>С.3.4.1. Вдосконалення спортивного розвитку та самореалізації дітей, молоді, населення середнього та пенсійного віку.</w:t>
            </w:r>
          </w:p>
          <w:p w14:paraId="747C88C4" w14:textId="77777777" w:rsidR="0097410E" w:rsidRPr="000413EB" w:rsidRDefault="0097410E" w:rsidP="0097410E">
            <w:pPr>
              <w:jc w:val="both"/>
              <w:rPr>
                <w:rFonts w:ascii="Times New Roman" w:hAnsi="Times New Roman"/>
                <w:bCs/>
                <w:sz w:val="20"/>
                <w:szCs w:val="20"/>
              </w:rPr>
            </w:pPr>
            <w:r w:rsidRPr="000413EB">
              <w:rPr>
                <w:rFonts w:ascii="Times New Roman" w:hAnsi="Times New Roman"/>
                <w:bCs/>
                <w:sz w:val="20"/>
                <w:szCs w:val="20"/>
              </w:rPr>
              <w:t>С.3.4.2. Будівництво, реконструкція інфраструктури спорту з урахуванням гендерного аспекту.</w:t>
            </w:r>
          </w:p>
        </w:tc>
        <w:tc>
          <w:tcPr>
            <w:tcW w:w="2835" w:type="dxa"/>
            <w:shd w:val="clear" w:color="auto" w:fill="auto"/>
          </w:tcPr>
          <w:p w14:paraId="6897B280"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"Активна громада: Вуличний тренажерний парк для всіх поколінь"</w:t>
            </w:r>
          </w:p>
        </w:tc>
        <w:tc>
          <w:tcPr>
            <w:tcW w:w="1276" w:type="dxa"/>
            <w:shd w:val="clear" w:color="auto" w:fill="auto"/>
          </w:tcPr>
          <w:p w14:paraId="1EA7B68A" w14:textId="77777777" w:rsidR="0097410E" w:rsidRPr="000413EB" w:rsidRDefault="0097410E" w:rsidP="0097410E">
            <w:pPr>
              <w:widowControl w:val="0"/>
              <w:tabs>
                <w:tab w:val="left" w:pos="569"/>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2026-2028</w:t>
            </w:r>
          </w:p>
        </w:tc>
        <w:tc>
          <w:tcPr>
            <w:tcW w:w="2345" w:type="dxa"/>
            <w:shd w:val="clear" w:color="auto" w:fill="auto"/>
          </w:tcPr>
          <w:p w14:paraId="23127E0A"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Управління житлово-комунального господарства Жмеринської міської ради</w:t>
            </w:r>
          </w:p>
          <w:p w14:paraId="1779F810" w14:textId="77777777" w:rsidR="0097410E" w:rsidRPr="000413EB" w:rsidRDefault="0097410E" w:rsidP="0097410E">
            <w:pPr>
              <w:jc w:val="both"/>
              <w:rPr>
                <w:rFonts w:ascii="Times New Roman" w:hAnsi="Times New Roman"/>
                <w:sz w:val="20"/>
                <w:szCs w:val="20"/>
              </w:rPr>
            </w:pPr>
          </w:p>
        </w:tc>
        <w:tc>
          <w:tcPr>
            <w:tcW w:w="2900" w:type="dxa"/>
            <w:shd w:val="clear" w:color="auto" w:fill="auto"/>
          </w:tcPr>
          <w:p w14:paraId="3D2E3AA8" w14:textId="77777777" w:rsidR="0097410E" w:rsidRPr="000413EB" w:rsidRDefault="0097410E" w:rsidP="0097410E">
            <w:pPr>
              <w:tabs>
                <w:tab w:val="left" w:pos="180"/>
              </w:tabs>
              <w:jc w:val="both"/>
              <w:rPr>
                <w:rFonts w:ascii="Times New Roman" w:hAnsi="Times New Roman"/>
                <w:sz w:val="20"/>
                <w:szCs w:val="20"/>
              </w:rPr>
            </w:pPr>
            <w:r w:rsidRPr="000413EB">
              <w:rPr>
                <w:rFonts w:ascii="Times New Roman" w:hAnsi="Times New Roman"/>
                <w:sz w:val="20"/>
                <w:szCs w:val="20"/>
              </w:rPr>
              <w:t>Створено повноцінний вуличний тренажерний парк площею від 150 до 300 м².</w:t>
            </w:r>
          </w:p>
          <w:p w14:paraId="318D0564" w14:textId="77777777" w:rsidR="0097410E" w:rsidRPr="000413EB" w:rsidRDefault="0097410E" w:rsidP="0097410E">
            <w:pPr>
              <w:tabs>
                <w:tab w:val="left" w:pos="180"/>
              </w:tabs>
              <w:jc w:val="both"/>
              <w:rPr>
                <w:rFonts w:ascii="Times New Roman" w:hAnsi="Times New Roman"/>
                <w:sz w:val="20"/>
                <w:szCs w:val="20"/>
              </w:rPr>
            </w:pPr>
            <w:r w:rsidRPr="000413EB">
              <w:rPr>
                <w:rFonts w:ascii="Times New Roman" w:hAnsi="Times New Roman"/>
                <w:sz w:val="20"/>
                <w:szCs w:val="20"/>
              </w:rPr>
              <w:t>Щомісячно залучено від 1000 мешканців до занять фізичною активністю.</w:t>
            </w:r>
          </w:p>
          <w:p w14:paraId="0A149650" w14:textId="77777777" w:rsidR="0097410E" w:rsidRPr="000413EB" w:rsidRDefault="0097410E" w:rsidP="0097410E">
            <w:pPr>
              <w:tabs>
                <w:tab w:val="left" w:pos="180"/>
              </w:tabs>
              <w:jc w:val="both"/>
              <w:rPr>
                <w:rFonts w:ascii="Times New Roman" w:hAnsi="Times New Roman"/>
                <w:sz w:val="20"/>
                <w:szCs w:val="20"/>
              </w:rPr>
            </w:pPr>
            <w:r w:rsidRPr="000413EB">
              <w:rPr>
                <w:rFonts w:ascii="Times New Roman" w:hAnsi="Times New Roman"/>
                <w:sz w:val="20"/>
                <w:szCs w:val="20"/>
              </w:rPr>
              <w:t>Проведено регулярні спортивні події / фітнес-сесій (від 2 на місяць).</w:t>
            </w:r>
          </w:p>
          <w:p w14:paraId="52D72B64" w14:textId="77777777" w:rsidR="0097410E" w:rsidRPr="000413EB" w:rsidRDefault="0097410E" w:rsidP="0097410E">
            <w:pPr>
              <w:tabs>
                <w:tab w:val="left" w:pos="180"/>
              </w:tabs>
              <w:jc w:val="both"/>
              <w:rPr>
                <w:rFonts w:ascii="Times New Roman" w:hAnsi="Times New Roman"/>
                <w:sz w:val="20"/>
                <w:szCs w:val="20"/>
              </w:rPr>
            </w:pPr>
            <w:r w:rsidRPr="000413EB">
              <w:rPr>
                <w:rFonts w:ascii="Times New Roman" w:hAnsi="Times New Roman"/>
                <w:sz w:val="20"/>
                <w:szCs w:val="20"/>
              </w:rPr>
              <w:t>Наявність мінімум 3 інклюзивних тренажерів для людей з інвалідністю.</w:t>
            </w:r>
          </w:p>
          <w:p w14:paraId="23A87B3D" w14:textId="77777777" w:rsidR="0097410E" w:rsidRPr="000413EB" w:rsidRDefault="0097410E" w:rsidP="0097410E">
            <w:pPr>
              <w:tabs>
                <w:tab w:val="left" w:pos="180"/>
              </w:tabs>
              <w:jc w:val="both"/>
              <w:rPr>
                <w:rFonts w:ascii="Times New Roman" w:hAnsi="Times New Roman"/>
                <w:sz w:val="20"/>
                <w:szCs w:val="20"/>
              </w:rPr>
            </w:pPr>
            <w:r w:rsidRPr="000413EB">
              <w:rPr>
                <w:rFonts w:ascii="Times New Roman" w:hAnsi="Times New Roman"/>
                <w:sz w:val="20"/>
                <w:szCs w:val="20"/>
              </w:rPr>
              <w:t>Покращено соціальну взаємодію — особливо між поколіннями.</w:t>
            </w:r>
          </w:p>
          <w:p w14:paraId="118C99D2" w14:textId="77777777" w:rsidR="0097410E" w:rsidRPr="000413EB" w:rsidRDefault="0097410E" w:rsidP="0097410E">
            <w:pPr>
              <w:tabs>
                <w:tab w:val="left" w:pos="180"/>
              </w:tabs>
              <w:jc w:val="both"/>
              <w:rPr>
                <w:rFonts w:ascii="Times New Roman" w:hAnsi="Times New Roman"/>
                <w:sz w:val="20"/>
                <w:szCs w:val="20"/>
              </w:rPr>
            </w:pPr>
            <w:r w:rsidRPr="000413EB">
              <w:rPr>
                <w:rFonts w:ascii="Times New Roman" w:hAnsi="Times New Roman"/>
                <w:sz w:val="20"/>
                <w:szCs w:val="20"/>
              </w:rPr>
              <w:t>Оптимальне використання публічного простору — підвищення його цінності для громади.</w:t>
            </w:r>
          </w:p>
        </w:tc>
      </w:tr>
      <w:tr w:rsidR="0097410E" w:rsidRPr="000413EB" w14:paraId="3DE31405" w14:textId="77777777" w:rsidTr="000413EB">
        <w:tc>
          <w:tcPr>
            <w:tcW w:w="567" w:type="dxa"/>
            <w:shd w:val="clear" w:color="auto" w:fill="auto"/>
          </w:tcPr>
          <w:p w14:paraId="45977DDD" w14:textId="1101B78B" w:rsidR="0097410E" w:rsidRPr="000413EB" w:rsidRDefault="00C52095" w:rsidP="0097410E">
            <w:pPr>
              <w:pStyle w:val="aa"/>
              <w:jc w:val="both"/>
              <w:rPr>
                <w:rFonts w:ascii="Times New Roman" w:eastAsia="Arial" w:hAnsi="Times New Roman"/>
                <w:sz w:val="20"/>
                <w:szCs w:val="20"/>
              </w:rPr>
            </w:pPr>
            <w:r>
              <w:rPr>
                <w:rFonts w:ascii="Times New Roman" w:eastAsia="Arial" w:hAnsi="Times New Roman"/>
                <w:sz w:val="20"/>
                <w:szCs w:val="20"/>
              </w:rPr>
              <w:t>46</w:t>
            </w:r>
          </w:p>
        </w:tc>
        <w:tc>
          <w:tcPr>
            <w:tcW w:w="2694" w:type="dxa"/>
            <w:shd w:val="clear" w:color="auto" w:fill="auto"/>
          </w:tcPr>
          <w:p w14:paraId="5FC468B1"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bCs/>
                <w:sz w:val="20"/>
                <w:szCs w:val="20"/>
                <w:lang w:eastAsia="en-US"/>
              </w:rPr>
            </w:pPr>
            <w:r w:rsidRPr="000413EB">
              <w:rPr>
                <w:rFonts w:ascii="Times New Roman" w:eastAsia="Arial" w:hAnsi="Times New Roman"/>
                <w:bCs/>
                <w:sz w:val="20"/>
                <w:szCs w:val="20"/>
                <w:lang w:eastAsia="en-US"/>
              </w:rPr>
              <w:t>С.3.4. Розбудова мережі сучасних спортивних закладів та споруд</w:t>
            </w:r>
          </w:p>
        </w:tc>
        <w:tc>
          <w:tcPr>
            <w:tcW w:w="2551" w:type="dxa"/>
            <w:shd w:val="clear" w:color="auto" w:fill="auto"/>
          </w:tcPr>
          <w:p w14:paraId="0CF12D3D" w14:textId="77777777" w:rsidR="0097410E" w:rsidRPr="000413EB" w:rsidRDefault="0097410E" w:rsidP="0097410E">
            <w:pPr>
              <w:jc w:val="both"/>
              <w:rPr>
                <w:rFonts w:ascii="Times New Roman" w:hAnsi="Times New Roman"/>
                <w:bCs/>
                <w:sz w:val="20"/>
                <w:szCs w:val="20"/>
              </w:rPr>
            </w:pPr>
            <w:r w:rsidRPr="000413EB">
              <w:rPr>
                <w:rFonts w:ascii="Times New Roman" w:hAnsi="Times New Roman"/>
                <w:bCs/>
                <w:sz w:val="20"/>
                <w:szCs w:val="20"/>
              </w:rPr>
              <w:t>С.3.4.1. Вдосконалення спортивного розвитку та самореалізації дітей, молоді, населення середнього та пенсійного віку.</w:t>
            </w:r>
          </w:p>
          <w:p w14:paraId="1B6135F5" w14:textId="77777777" w:rsidR="0097410E" w:rsidRPr="000413EB" w:rsidRDefault="0097410E" w:rsidP="0097410E">
            <w:pPr>
              <w:jc w:val="both"/>
              <w:rPr>
                <w:rFonts w:ascii="Times New Roman" w:hAnsi="Times New Roman"/>
                <w:bCs/>
                <w:sz w:val="20"/>
                <w:szCs w:val="20"/>
              </w:rPr>
            </w:pPr>
            <w:r w:rsidRPr="000413EB">
              <w:rPr>
                <w:rFonts w:ascii="Times New Roman" w:hAnsi="Times New Roman"/>
                <w:bCs/>
                <w:sz w:val="20"/>
                <w:szCs w:val="20"/>
              </w:rPr>
              <w:t>С.3.4.2. Будівництво, реконструкція інфраструктури спорту з урахуванням гендерного аспекту.</w:t>
            </w:r>
          </w:p>
          <w:p w14:paraId="7B5FC5B4"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С.3.4.4. Облаштування спортивних залів матеріально-технічною базою.</w:t>
            </w:r>
          </w:p>
        </w:tc>
        <w:tc>
          <w:tcPr>
            <w:tcW w:w="2835" w:type="dxa"/>
            <w:shd w:val="clear" w:color="auto" w:fill="auto"/>
          </w:tcPr>
          <w:p w14:paraId="24307218"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"Спортивна бібліотека: Рухайся вільно!"</w:t>
            </w:r>
          </w:p>
        </w:tc>
        <w:tc>
          <w:tcPr>
            <w:tcW w:w="1276" w:type="dxa"/>
            <w:shd w:val="clear" w:color="auto" w:fill="auto"/>
          </w:tcPr>
          <w:p w14:paraId="7195C52D" w14:textId="77777777" w:rsidR="0097410E" w:rsidRPr="000413EB" w:rsidRDefault="0097410E" w:rsidP="0097410E">
            <w:pPr>
              <w:widowControl w:val="0"/>
              <w:tabs>
                <w:tab w:val="left" w:pos="569"/>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2028</w:t>
            </w:r>
          </w:p>
        </w:tc>
        <w:tc>
          <w:tcPr>
            <w:tcW w:w="2345" w:type="dxa"/>
            <w:shd w:val="clear" w:color="auto" w:fill="auto"/>
          </w:tcPr>
          <w:p w14:paraId="19BA53F9"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КЗ «ЖДЮСШ», Відділ молоді та спорту Жмеринської міської ради</w:t>
            </w:r>
          </w:p>
          <w:p w14:paraId="1C343E6B" w14:textId="77777777" w:rsidR="0097410E" w:rsidRPr="000413EB" w:rsidRDefault="0097410E" w:rsidP="0097410E">
            <w:pPr>
              <w:jc w:val="both"/>
              <w:rPr>
                <w:rFonts w:ascii="Times New Roman" w:hAnsi="Times New Roman"/>
                <w:sz w:val="20"/>
                <w:szCs w:val="20"/>
              </w:rPr>
            </w:pPr>
          </w:p>
        </w:tc>
        <w:tc>
          <w:tcPr>
            <w:tcW w:w="2900" w:type="dxa"/>
            <w:shd w:val="clear" w:color="auto" w:fill="auto"/>
          </w:tcPr>
          <w:p w14:paraId="1B4B42E0" w14:textId="77777777" w:rsidR="0097410E" w:rsidRPr="000413EB" w:rsidRDefault="0097410E" w:rsidP="0097410E">
            <w:pPr>
              <w:tabs>
                <w:tab w:val="left" w:pos="180"/>
              </w:tabs>
              <w:jc w:val="both"/>
              <w:rPr>
                <w:rFonts w:ascii="Times New Roman" w:hAnsi="Times New Roman"/>
                <w:sz w:val="20"/>
                <w:szCs w:val="20"/>
              </w:rPr>
            </w:pPr>
            <w:r w:rsidRPr="000413EB">
              <w:rPr>
                <w:rFonts w:ascii="Times New Roman" w:hAnsi="Times New Roman"/>
                <w:sz w:val="20"/>
                <w:szCs w:val="20"/>
              </w:rPr>
              <w:t>Запущено повноцінний пункт прокату інвентарю.</w:t>
            </w:r>
          </w:p>
          <w:p w14:paraId="3151411A" w14:textId="77777777" w:rsidR="0097410E" w:rsidRPr="000413EB" w:rsidRDefault="0097410E" w:rsidP="0097410E">
            <w:pPr>
              <w:tabs>
                <w:tab w:val="left" w:pos="180"/>
              </w:tabs>
              <w:jc w:val="both"/>
              <w:rPr>
                <w:rFonts w:ascii="Times New Roman" w:hAnsi="Times New Roman"/>
                <w:sz w:val="20"/>
                <w:szCs w:val="20"/>
              </w:rPr>
            </w:pPr>
            <w:r w:rsidRPr="000413EB">
              <w:rPr>
                <w:rFonts w:ascii="Times New Roman" w:hAnsi="Times New Roman"/>
                <w:sz w:val="20"/>
                <w:szCs w:val="20"/>
              </w:rPr>
              <w:t>Наявність не менше 100 одиниць спорядження.</w:t>
            </w:r>
          </w:p>
          <w:p w14:paraId="153B3EFE" w14:textId="77777777" w:rsidR="0097410E" w:rsidRPr="000413EB" w:rsidRDefault="0097410E" w:rsidP="0097410E">
            <w:pPr>
              <w:tabs>
                <w:tab w:val="left" w:pos="180"/>
              </w:tabs>
              <w:jc w:val="both"/>
              <w:rPr>
                <w:rFonts w:ascii="Times New Roman" w:hAnsi="Times New Roman"/>
                <w:sz w:val="20"/>
                <w:szCs w:val="20"/>
              </w:rPr>
            </w:pPr>
            <w:r w:rsidRPr="000413EB">
              <w:rPr>
                <w:rFonts w:ascii="Times New Roman" w:hAnsi="Times New Roman"/>
                <w:sz w:val="20"/>
                <w:szCs w:val="20"/>
              </w:rPr>
              <w:t>Щомісячне користування — від 500 осіб.</w:t>
            </w:r>
          </w:p>
          <w:p w14:paraId="1CEC40C3" w14:textId="77777777" w:rsidR="0097410E" w:rsidRPr="000413EB" w:rsidRDefault="0097410E" w:rsidP="0097410E">
            <w:pPr>
              <w:tabs>
                <w:tab w:val="left" w:pos="180"/>
              </w:tabs>
              <w:jc w:val="both"/>
              <w:rPr>
                <w:rFonts w:ascii="Times New Roman" w:hAnsi="Times New Roman"/>
                <w:sz w:val="20"/>
                <w:szCs w:val="20"/>
              </w:rPr>
            </w:pPr>
            <w:r w:rsidRPr="000413EB">
              <w:rPr>
                <w:rFonts w:ascii="Times New Roman" w:hAnsi="Times New Roman"/>
                <w:sz w:val="20"/>
                <w:szCs w:val="20"/>
              </w:rPr>
              <w:t>Проведено не менше 10 спортивних заходів на рік за участю інвентарю з прокату.</w:t>
            </w:r>
          </w:p>
          <w:p w14:paraId="2E7D2BF1" w14:textId="77777777" w:rsidR="0097410E" w:rsidRPr="000413EB" w:rsidRDefault="0097410E" w:rsidP="0097410E">
            <w:pPr>
              <w:tabs>
                <w:tab w:val="left" w:pos="180"/>
              </w:tabs>
              <w:jc w:val="both"/>
              <w:rPr>
                <w:rFonts w:ascii="Times New Roman" w:hAnsi="Times New Roman"/>
                <w:sz w:val="20"/>
                <w:szCs w:val="20"/>
              </w:rPr>
            </w:pPr>
            <w:r w:rsidRPr="000413EB">
              <w:rPr>
                <w:rFonts w:ascii="Times New Roman" w:hAnsi="Times New Roman"/>
                <w:sz w:val="20"/>
                <w:szCs w:val="20"/>
              </w:rPr>
              <w:t>Залучено волонтерів або громаду до управління об'єктом.</w:t>
            </w:r>
          </w:p>
          <w:p w14:paraId="130B91BF" w14:textId="376768CF" w:rsidR="0097410E" w:rsidRPr="000413EB" w:rsidRDefault="0097410E" w:rsidP="0097410E">
            <w:pPr>
              <w:tabs>
                <w:tab w:val="left" w:pos="180"/>
              </w:tabs>
              <w:jc w:val="both"/>
              <w:rPr>
                <w:rFonts w:ascii="Times New Roman" w:hAnsi="Times New Roman"/>
                <w:sz w:val="20"/>
                <w:szCs w:val="20"/>
              </w:rPr>
            </w:pPr>
            <w:r w:rsidRPr="000413EB">
              <w:rPr>
                <w:rFonts w:ascii="Times New Roman" w:hAnsi="Times New Roman"/>
                <w:sz w:val="20"/>
                <w:szCs w:val="20"/>
              </w:rPr>
              <w:t>Підвищено рівень активного дозвілля серед дітей та молоді</w:t>
            </w:r>
            <w:r w:rsidR="00A801AF">
              <w:rPr>
                <w:rFonts w:ascii="Times New Roman" w:hAnsi="Times New Roman"/>
                <w:sz w:val="20"/>
                <w:szCs w:val="20"/>
              </w:rPr>
              <w:t>.</w:t>
            </w:r>
          </w:p>
        </w:tc>
      </w:tr>
      <w:tr w:rsidR="0097410E" w:rsidRPr="000413EB" w14:paraId="5AC9464C" w14:textId="77777777" w:rsidTr="000413EB">
        <w:tc>
          <w:tcPr>
            <w:tcW w:w="567" w:type="dxa"/>
            <w:shd w:val="clear" w:color="auto" w:fill="auto"/>
          </w:tcPr>
          <w:p w14:paraId="4B83D02B" w14:textId="09EB14A9" w:rsidR="0097410E" w:rsidRPr="000413EB" w:rsidRDefault="00C52095" w:rsidP="0097410E">
            <w:pPr>
              <w:pStyle w:val="aa"/>
              <w:jc w:val="both"/>
              <w:rPr>
                <w:rFonts w:ascii="Times New Roman" w:eastAsia="Arial" w:hAnsi="Times New Roman"/>
                <w:sz w:val="20"/>
                <w:szCs w:val="20"/>
              </w:rPr>
            </w:pPr>
            <w:r>
              <w:rPr>
                <w:rFonts w:ascii="Times New Roman" w:eastAsia="Arial" w:hAnsi="Times New Roman"/>
                <w:sz w:val="20"/>
                <w:szCs w:val="20"/>
              </w:rPr>
              <w:t>47</w:t>
            </w:r>
          </w:p>
        </w:tc>
        <w:tc>
          <w:tcPr>
            <w:tcW w:w="2694" w:type="dxa"/>
            <w:shd w:val="clear" w:color="auto" w:fill="auto"/>
          </w:tcPr>
          <w:p w14:paraId="1AD5DEFC"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bCs/>
                <w:sz w:val="20"/>
                <w:szCs w:val="20"/>
                <w:lang w:eastAsia="en-US"/>
              </w:rPr>
            </w:pPr>
            <w:r w:rsidRPr="000413EB">
              <w:rPr>
                <w:rFonts w:ascii="Times New Roman" w:eastAsia="Arial" w:hAnsi="Times New Roman"/>
                <w:bCs/>
                <w:sz w:val="20"/>
                <w:szCs w:val="20"/>
                <w:lang w:eastAsia="en-US"/>
              </w:rPr>
              <w:t>С.3.4. Розбудова мережі сучасних спортивних закладів та споруд</w:t>
            </w:r>
          </w:p>
        </w:tc>
        <w:tc>
          <w:tcPr>
            <w:tcW w:w="2551" w:type="dxa"/>
            <w:shd w:val="clear" w:color="auto" w:fill="auto"/>
          </w:tcPr>
          <w:p w14:paraId="19D82977" w14:textId="77777777" w:rsidR="0097410E" w:rsidRPr="000413EB" w:rsidRDefault="0097410E" w:rsidP="0097410E">
            <w:pPr>
              <w:jc w:val="both"/>
              <w:rPr>
                <w:rFonts w:ascii="Times New Roman" w:hAnsi="Times New Roman"/>
                <w:bCs/>
                <w:sz w:val="20"/>
                <w:szCs w:val="20"/>
              </w:rPr>
            </w:pPr>
            <w:r w:rsidRPr="000413EB">
              <w:rPr>
                <w:rFonts w:ascii="Times New Roman" w:hAnsi="Times New Roman"/>
                <w:bCs/>
                <w:sz w:val="20"/>
                <w:szCs w:val="20"/>
              </w:rPr>
              <w:t>С.3.4.1. Вдосконалення спортивного розвитку та самореалізації дітей, молоді, населення середнього та пенсійного віку.</w:t>
            </w:r>
          </w:p>
          <w:p w14:paraId="14BB6B63" w14:textId="77777777" w:rsidR="0097410E" w:rsidRPr="000413EB" w:rsidRDefault="0097410E" w:rsidP="0097410E">
            <w:pPr>
              <w:jc w:val="both"/>
              <w:rPr>
                <w:rFonts w:ascii="Times New Roman" w:hAnsi="Times New Roman"/>
                <w:bCs/>
                <w:sz w:val="20"/>
                <w:szCs w:val="20"/>
              </w:rPr>
            </w:pPr>
            <w:r w:rsidRPr="000413EB">
              <w:rPr>
                <w:rFonts w:ascii="Times New Roman" w:hAnsi="Times New Roman"/>
                <w:bCs/>
                <w:sz w:val="20"/>
                <w:szCs w:val="20"/>
              </w:rPr>
              <w:t>С.3.4.2. Будівництво, реконструкція інфраструктури спорту з урахуванням гендерного аспекту.</w:t>
            </w:r>
          </w:p>
          <w:p w14:paraId="75136E6F"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С.3.4.4. Облаштування спортивних залів матеріально-технічною базою.</w:t>
            </w:r>
          </w:p>
          <w:p w14:paraId="05807E61" w14:textId="77777777" w:rsidR="0097410E" w:rsidRPr="000413EB" w:rsidRDefault="0097410E" w:rsidP="0097410E">
            <w:pPr>
              <w:jc w:val="both"/>
              <w:rPr>
                <w:rFonts w:ascii="Times New Roman" w:hAnsi="Times New Roman"/>
                <w:bCs/>
                <w:sz w:val="20"/>
                <w:szCs w:val="20"/>
              </w:rPr>
            </w:pPr>
          </w:p>
        </w:tc>
        <w:tc>
          <w:tcPr>
            <w:tcW w:w="2835" w:type="dxa"/>
            <w:shd w:val="clear" w:color="auto" w:fill="auto"/>
          </w:tcPr>
          <w:p w14:paraId="2D7D1200" w14:textId="77777777" w:rsidR="0097410E" w:rsidRPr="000413EB" w:rsidRDefault="0097410E" w:rsidP="0097410E">
            <w:pPr>
              <w:jc w:val="both"/>
              <w:rPr>
                <w:rFonts w:ascii="Times New Roman" w:hAnsi="Times New Roman"/>
                <w:sz w:val="20"/>
                <w:szCs w:val="20"/>
              </w:rPr>
            </w:pPr>
            <w:r w:rsidRPr="000413EB">
              <w:rPr>
                <w:rFonts w:ascii="Times New Roman" w:hAnsi="Times New Roman"/>
                <w:bCs/>
                <w:sz w:val="20"/>
                <w:szCs w:val="20"/>
              </w:rPr>
              <w:t>"Маршрути здоров’я: Активність у природі для кожного"</w:t>
            </w:r>
          </w:p>
          <w:p w14:paraId="32285DC5" w14:textId="77777777" w:rsidR="0097410E" w:rsidRPr="000413EB" w:rsidRDefault="0097410E" w:rsidP="0097410E">
            <w:pPr>
              <w:jc w:val="both"/>
              <w:rPr>
                <w:rFonts w:ascii="Times New Roman" w:hAnsi="Times New Roman"/>
                <w:sz w:val="20"/>
                <w:szCs w:val="20"/>
              </w:rPr>
            </w:pPr>
          </w:p>
        </w:tc>
        <w:tc>
          <w:tcPr>
            <w:tcW w:w="1276" w:type="dxa"/>
            <w:shd w:val="clear" w:color="auto" w:fill="auto"/>
          </w:tcPr>
          <w:p w14:paraId="51A22B40" w14:textId="77777777" w:rsidR="0097410E" w:rsidRPr="000413EB" w:rsidRDefault="0097410E" w:rsidP="0097410E">
            <w:pPr>
              <w:widowControl w:val="0"/>
              <w:tabs>
                <w:tab w:val="left" w:pos="569"/>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2026</w:t>
            </w:r>
          </w:p>
        </w:tc>
        <w:tc>
          <w:tcPr>
            <w:tcW w:w="2345" w:type="dxa"/>
            <w:shd w:val="clear" w:color="auto" w:fill="auto"/>
          </w:tcPr>
          <w:p w14:paraId="11A1667E" w14:textId="77777777" w:rsidR="008955D4" w:rsidRDefault="0097410E" w:rsidP="0097410E">
            <w:pPr>
              <w:jc w:val="both"/>
              <w:rPr>
                <w:rFonts w:ascii="Times New Roman" w:hAnsi="Times New Roman"/>
                <w:sz w:val="20"/>
                <w:szCs w:val="20"/>
              </w:rPr>
            </w:pPr>
            <w:r w:rsidRPr="000413EB">
              <w:rPr>
                <w:rFonts w:ascii="Times New Roman" w:hAnsi="Times New Roman"/>
                <w:sz w:val="20"/>
                <w:szCs w:val="20"/>
              </w:rPr>
              <w:t xml:space="preserve">Управління житлово-комунального господарства Жмеринської міської ради, </w:t>
            </w:r>
          </w:p>
          <w:p w14:paraId="55622A8A" w14:textId="7AA7C79A"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комунальне підприємство «Парковий культурно-спортивний комплекс» Жмеринської міської ради Вінницької області</w:t>
            </w:r>
          </w:p>
        </w:tc>
        <w:tc>
          <w:tcPr>
            <w:tcW w:w="2900" w:type="dxa"/>
            <w:shd w:val="clear" w:color="auto" w:fill="auto"/>
          </w:tcPr>
          <w:p w14:paraId="3206C660" w14:textId="77777777" w:rsidR="0097410E" w:rsidRPr="000413EB" w:rsidRDefault="0097410E" w:rsidP="0097410E">
            <w:pPr>
              <w:tabs>
                <w:tab w:val="left" w:pos="180"/>
              </w:tabs>
              <w:jc w:val="both"/>
              <w:rPr>
                <w:rFonts w:ascii="Times New Roman" w:hAnsi="Times New Roman"/>
                <w:sz w:val="20"/>
                <w:szCs w:val="20"/>
              </w:rPr>
            </w:pPr>
            <w:r w:rsidRPr="000413EB">
              <w:rPr>
                <w:rFonts w:ascii="Times New Roman" w:hAnsi="Times New Roman"/>
                <w:sz w:val="20"/>
                <w:szCs w:val="20"/>
              </w:rPr>
              <w:t>Створено 2–3 маршрути довжиною від 500 м до 3 км.</w:t>
            </w:r>
          </w:p>
          <w:p w14:paraId="48F52D56" w14:textId="77777777" w:rsidR="0097410E" w:rsidRPr="000413EB" w:rsidRDefault="0097410E" w:rsidP="0097410E">
            <w:pPr>
              <w:tabs>
                <w:tab w:val="left" w:pos="180"/>
              </w:tabs>
              <w:jc w:val="both"/>
              <w:rPr>
                <w:rFonts w:ascii="Times New Roman" w:hAnsi="Times New Roman"/>
                <w:sz w:val="20"/>
                <w:szCs w:val="20"/>
              </w:rPr>
            </w:pPr>
            <w:r w:rsidRPr="000413EB">
              <w:rPr>
                <w:rFonts w:ascii="Times New Roman" w:hAnsi="Times New Roman"/>
                <w:sz w:val="20"/>
                <w:szCs w:val="20"/>
              </w:rPr>
              <w:t>Охоплено не менше 2000 мешканців на місяць.</w:t>
            </w:r>
          </w:p>
          <w:p w14:paraId="00D91BA1"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Встановлено 10+ інформаційних та навігаційних табличок.</w:t>
            </w:r>
          </w:p>
          <w:p w14:paraId="2405ABBC" w14:textId="77777777" w:rsidR="0097410E" w:rsidRPr="000413EB" w:rsidRDefault="0097410E" w:rsidP="0097410E">
            <w:pPr>
              <w:tabs>
                <w:tab w:val="left" w:pos="180"/>
              </w:tabs>
              <w:jc w:val="both"/>
              <w:rPr>
                <w:rFonts w:ascii="Times New Roman" w:hAnsi="Times New Roman"/>
                <w:sz w:val="20"/>
                <w:szCs w:val="20"/>
              </w:rPr>
            </w:pPr>
            <w:r w:rsidRPr="000413EB">
              <w:rPr>
                <w:rFonts w:ascii="Times New Roman" w:hAnsi="Times New Roman"/>
                <w:sz w:val="20"/>
                <w:szCs w:val="20"/>
              </w:rPr>
              <w:t>Проведено щонайменше 5 спортивно-оздоровчих заходів за рік.</w:t>
            </w:r>
          </w:p>
          <w:p w14:paraId="089A0047" w14:textId="77777777" w:rsidR="0097410E" w:rsidRPr="000413EB" w:rsidRDefault="0097410E" w:rsidP="0097410E">
            <w:pPr>
              <w:tabs>
                <w:tab w:val="left" w:pos="180"/>
              </w:tabs>
              <w:jc w:val="both"/>
              <w:rPr>
                <w:rFonts w:ascii="Times New Roman" w:hAnsi="Times New Roman"/>
                <w:sz w:val="20"/>
                <w:szCs w:val="20"/>
              </w:rPr>
            </w:pPr>
            <w:r w:rsidRPr="000413EB">
              <w:rPr>
                <w:rFonts w:ascii="Times New Roman" w:hAnsi="Times New Roman"/>
                <w:sz w:val="20"/>
                <w:szCs w:val="20"/>
              </w:rPr>
              <w:t>Підвищено рівень фізичної активності серед людей віком 50+.</w:t>
            </w:r>
          </w:p>
          <w:p w14:paraId="17094C85" w14:textId="77777777" w:rsidR="0097410E" w:rsidRPr="000413EB" w:rsidRDefault="0097410E" w:rsidP="0097410E">
            <w:pPr>
              <w:tabs>
                <w:tab w:val="left" w:pos="180"/>
              </w:tabs>
              <w:jc w:val="both"/>
              <w:rPr>
                <w:rFonts w:ascii="Times New Roman" w:hAnsi="Times New Roman"/>
                <w:sz w:val="20"/>
                <w:szCs w:val="20"/>
              </w:rPr>
            </w:pPr>
            <w:r w:rsidRPr="000413EB">
              <w:rPr>
                <w:rFonts w:ascii="Times New Roman" w:hAnsi="Times New Roman"/>
                <w:sz w:val="20"/>
                <w:szCs w:val="20"/>
              </w:rPr>
              <w:t>Позитивні відгуки від користувачів та підвищена відвідуваність парку.</w:t>
            </w:r>
          </w:p>
        </w:tc>
      </w:tr>
      <w:tr w:rsidR="0097410E" w:rsidRPr="000413EB" w14:paraId="11DC0DD2" w14:textId="77777777" w:rsidTr="000413EB">
        <w:tc>
          <w:tcPr>
            <w:tcW w:w="567" w:type="dxa"/>
            <w:shd w:val="clear" w:color="auto" w:fill="auto"/>
          </w:tcPr>
          <w:p w14:paraId="769AA7BD" w14:textId="1A843D9C" w:rsidR="0097410E" w:rsidRPr="000413EB" w:rsidRDefault="00C52095" w:rsidP="0097410E">
            <w:pPr>
              <w:pStyle w:val="aa"/>
              <w:jc w:val="both"/>
              <w:rPr>
                <w:rFonts w:ascii="Times New Roman" w:eastAsia="Arial" w:hAnsi="Times New Roman"/>
                <w:sz w:val="20"/>
                <w:szCs w:val="20"/>
              </w:rPr>
            </w:pPr>
            <w:r>
              <w:rPr>
                <w:rFonts w:ascii="Times New Roman" w:eastAsia="Arial" w:hAnsi="Times New Roman"/>
                <w:sz w:val="20"/>
                <w:szCs w:val="20"/>
              </w:rPr>
              <w:t>48</w:t>
            </w:r>
          </w:p>
        </w:tc>
        <w:tc>
          <w:tcPr>
            <w:tcW w:w="2694" w:type="dxa"/>
            <w:shd w:val="clear" w:color="auto" w:fill="auto"/>
          </w:tcPr>
          <w:p w14:paraId="2621E2D1"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bCs/>
                <w:sz w:val="20"/>
                <w:szCs w:val="20"/>
                <w:lang w:eastAsia="en-US"/>
              </w:rPr>
            </w:pPr>
            <w:r w:rsidRPr="000413EB">
              <w:rPr>
                <w:rFonts w:ascii="Times New Roman" w:eastAsia="Arial" w:hAnsi="Times New Roman"/>
                <w:bCs/>
                <w:sz w:val="20"/>
                <w:szCs w:val="20"/>
                <w:lang w:eastAsia="en-US"/>
              </w:rPr>
              <w:t>С.3.4. Розбудова мережі сучасних спортивних закладів та споруд</w:t>
            </w:r>
          </w:p>
        </w:tc>
        <w:tc>
          <w:tcPr>
            <w:tcW w:w="2551" w:type="dxa"/>
            <w:shd w:val="clear" w:color="auto" w:fill="auto"/>
          </w:tcPr>
          <w:p w14:paraId="7D0727CA" w14:textId="77777777" w:rsidR="0097410E" w:rsidRPr="000413EB" w:rsidRDefault="0097410E" w:rsidP="0097410E">
            <w:pPr>
              <w:jc w:val="both"/>
              <w:rPr>
                <w:rFonts w:ascii="Times New Roman" w:hAnsi="Times New Roman"/>
                <w:bCs/>
                <w:sz w:val="20"/>
                <w:szCs w:val="20"/>
              </w:rPr>
            </w:pPr>
            <w:r w:rsidRPr="000413EB">
              <w:rPr>
                <w:rFonts w:ascii="Times New Roman" w:hAnsi="Times New Roman"/>
                <w:bCs/>
                <w:sz w:val="20"/>
                <w:szCs w:val="20"/>
              </w:rPr>
              <w:t>С.3.4.1. Вдосконалення спортивного розвитку та самореалізації дітей, молоді, населення середнього та пенсійного віку.</w:t>
            </w:r>
          </w:p>
          <w:p w14:paraId="168E759C" w14:textId="77777777" w:rsidR="0097410E" w:rsidRPr="000413EB" w:rsidRDefault="0097410E" w:rsidP="0097410E">
            <w:pPr>
              <w:jc w:val="both"/>
              <w:rPr>
                <w:rFonts w:ascii="Times New Roman" w:hAnsi="Times New Roman"/>
                <w:bCs/>
                <w:sz w:val="20"/>
                <w:szCs w:val="20"/>
              </w:rPr>
            </w:pPr>
            <w:r w:rsidRPr="000413EB">
              <w:rPr>
                <w:rFonts w:ascii="Times New Roman" w:hAnsi="Times New Roman"/>
                <w:bCs/>
                <w:sz w:val="20"/>
                <w:szCs w:val="20"/>
              </w:rPr>
              <w:t>С.3.4.2. Будівництво, реконструкція інфраструктури спорту з урахуванням гендерного аспекту.</w:t>
            </w:r>
          </w:p>
          <w:p w14:paraId="724293A5" w14:textId="77777777" w:rsidR="0097410E" w:rsidRPr="000413EB" w:rsidRDefault="0097410E" w:rsidP="0097410E">
            <w:pPr>
              <w:jc w:val="both"/>
              <w:rPr>
                <w:rFonts w:ascii="Times New Roman" w:hAnsi="Times New Roman"/>
                <w:bCs/>
                <w:sz w:val="20"/>
                <w:szCs w:val="20"/>
              </w:rPr>
            </w:pPr>
            <w:r w:rsidRPr="000413EB">
              <w:rPr>
                <w:rFonts w:ascii="Times New Roman" w:hAnsi="Times New Roman"/>
                <w:bCs/>
                <w:sz w:val="20"/>
                <w:szCs w:val="20"/>
              </w:rPr>
              <w:t>С.3.4.4. Облаштування спортивних залів матеріально-технічною базою.</w:t>
            </w:r>
          </w:p>
        </w:tc>
        <w:tc>
          <w:tcPr>
            <w:tcW w:w="2835" w:type="dxa"/>
            <w:shd w:val="clear" w:color="auto" w:fill="auto"/>
          </w:tcPr>
          <w:p w14:paraId="7F27270F" w14:textId="77777777" w:rsidR="0097410E" w:rsidRPr="000413EB" w:rsidRDefault="0097410E" w:rsidP="0097410E">
            <w:pPr>
              <w:jc w:val="both"/>
              <w:rPr>
                <w:rFonts w:ascii="Times New Roman" w:hAnsi="Times New Roman"/>
                <w:bCs/>
                <w:sz w:val="20"/>
                <w:szCs w:val="20"/>
              </w:rPr>
            </w:pPr>
            <w:r w:rsidRPr="000413EB">
              <w:rPr>
                <w:rFonts w:ascii="Times New Roman" w:hAnsi="Times New Roman"/>
                <w:bCs/>
                <w:sz w:val="20"/>
                <w:szCs w:val="20"/>
              </w:rPr>
              <w:t>Модернізація спортивної інфраструктури КП "СОЗ «Юність» для розвитку фізичної активності дітей, молоді, осіб середнього й пенсійного віку з урахуванням гендерної рівності та сучасних стандартів інклюзивності</w:t>
            </w:r>
          </w:p>
        </w:tc>
        <w:tc>
          <w:tcPr>
            <w:tcW w:w="1276" w:type="dxa"/>
            <w:shd w:val="clear" w:color="auto" w:fill="auto"/>
          </w:tcPr>
          <w:p w14:paraId="1C12700D" w14:textId="77777777" w:rsidR="0097410E" w:rsidRPr="000413EB" w:rsidRDefault="0097410E" w:rsidP="0097410E">
            <w:pPr>
              <w:widowControl w:val="0"/>
              <w:tabs>
                <w:tab w:val="left" w:pos="569"/>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2026-2027</w:t>
            </w:r>
          </w:p>
        </w:tc>
        <w:tc>
          <w:tcPr>
            <w:tcW w:w="2345" w:type="dxa"/>
            <w:shd w:val="clear" w:color="auto" w:fill="auto"/>
          </w:tcPr>
          <w:p w14:paraId="505E34D7" w14:textId="77777777" w:rsidR="008955D4" w:rsidRDefault="0097410E" w:rsidP="0097410E">
            <w:pPr>
              <w:jc w:val="both"/>
              <w:rPr>
                <w:rFonts w:ascii="Times New Roman" w:hAnsi="Times New Roman"/>
                <w:sz w:val="20"/>
                <w:szCs w:val="20"/>
              </w:rPr>
            </w:pPr>
            <w:r w:rsidRPr="000413EB">
              <w:rPr>
                <w:rFonts w:ascii="Times New Roman" w:hAnsi="Times New Roman"/>
                <w:sz w:val="20"/>
                <w:szCs w:val="20"/>
              </w:rPr>
              <w:t xml:space="preserve">Управління житлово-комунального господарства Жмеринської міської ради, </w:t>
            </w:r>
          </w:p>
          <w:p w14:paraId="0A61511B" w14:textId="29B64412" w:rsidR="0097410E" w:rsidRPr="000413EB" w:rsidRDefault="0097410E" w:rsidP="0097410E">
            <w:pPr>
              <w:jc w:val="both"/>
              <w:rPr>
                <w:rFonts w:ascii="Times New Roman" w:hAnsi="Times New Roman"/>
                <w:sz w:val="20"/>
                <w:szCs w:val="20"/>
              </w:rPr>
            </w:pPr>
            <w:r w:rsidRPr="000413EB">
              <w:rPr>
                <w:rFonts w:ascii="Times New Roman" w:hAnsi="Times New Roman"/>
                <w:bCs/>
                <w:sz w:val="20"/>
                <w:szCs w:val="20"/>
              </w:rPr>
              <w:t>КП "СОЗ «Юність»</w:t>
            </w:r>
          </w:p>
        </w:tc>
        <w:tc>
          <w:tcPr>
            <w:tcW w:w="2900" w:type="dxa"/>
            <w:shd w:val="clear" w:color="auto" w:fill="auto"/>
          </w:tcPr>
          <w:p w14:paraId="52713CFE"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Доступ до залу для занять у зручному форматі для всіх груп населення.</w:t>
            </w:r>
          </w:p>
          <w:p w14:paraId="5D3DC15A"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Не менше ніж 50% користувачів — жінки або дівчата.</w:t>
            </w:r>
          </w:p>
          <w:p w14:paraId="252F74CF"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Позитивні відгуки про безпечність і комфорт серед обох статей (90% і більше).</w:t>
            </w:r>
          </w:p>
          <w:p w14:paraId="28A0FE3F"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Оновлено 100% матеріальної бази залу.</w:t>
            </w:r>
          </w:p>
          <w:p w14:paraId="43467095"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Використання приміщення щонайменше 8 год/день.</w:t>
            </w:r>
          </w:p>
          <w:p w14:paraId="0059D8BA" w14:textId="77777777" w:rsidR="0097410E" w:rsidRPr="000413EB" w:rsidRDefault="0097410E" w:rsidP="0097410E">
            <w:pPr>
              <w:tabs>
                <w:tab w:val="left" w:pos="180"/>
              </w:tabs>
              <w:jc w:val="both"/>
              <w:rPr>
                <w:rFonts w:ascii="Times New Roman" w:hAnsi="Times New Roman"/>
                <w:sz w:val="20"/>
                <w:szCs w:val="20"/>
              </w:rPr>
            </w:pPr>
            <w:r w:rsidRPr="000413EB">
              <w:rPr>
                <w:rFonts w:ascii="Times New Roman" w:hAnsi="Times New Roman"/>
                <w:sz w:val="20"/>
                <w:szCs w:val="20"/>
              </w:rPr>
              <w:t>Залучено не менше 500 відвідувачів на рік, включаючи жінок і осіб старшого віку.</w:t>
            </w:r>
          </w:p>
        </w:tc>
      </w:tr>
      <w:tr w:rsidR="0097410E" w:rsidRPr="000413EB" w14:paraId="731EE71E" w14:textId="77777777" w:rsidTr="000413EB">
        <w:tc>
          <w:tcPr>
            <w:tcW w:w="567" w:type="dxa"/>
            <w:shd w:val="clear" w:color="auto" w:fill="auto"/>
          </w:tcPr>
          <w:p w14:paraId="420AF83F" w14:textId="5E3C5593" w:rsidR="0097410E" w:rsidRPr="000413EB" w:rsidRDefault="00C52095" w:rsidP="0097410E">
            <w:pPr>
              <w:pStyle w:val="aa"/>
              <w:jc w:val="both"/>
              <w:rPr>
                <w:rFonts w:ascii="Times New Roman" w:eastAsia="Arial" w:hAnsi="Times New Roman"/>
                <w:sz w:val="20"/>
                <w:szCs w:val="20"/>
              </w:rPr>
            </w:pPr>
            <w:r>
              <w:rPr>
                <w:rFonts w:ascii="Times New Roman" w:eastAsia="Arial" w:hAnsi="Times New Roman"/>
                <w:sz w:val="20"/>
                <w:szCs w:val="20"/>
              </w:rPr>
              <w:t>49</w:t>
            </w:r>
          </w:p>
        </w:tc>
        <w:tc>
          <w:tcPr>
            <w:tcW w:w="2694" w:type="dxa"/>
            <w:shd w:val="clear" w:color="auto" w:fill="auto"/>
          </w:tcPr>
          <w:p w14:paraId="39E2719E"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bCs/>
                <w:sz w:val="20"/>
                <w:szCs w:val="20"/>
                <w:lang w:eastAsia="en-US"/>
              </w:rPr>
            </w:pPr>
            <w:r w:rsidRPr="000413EB">
              <w:rPr>
                <w:rFonts w:ascii="Times New Roman" w:eastAsia="Arial" w:hAnsi="Times New Roman"/>
                <w:bCs/>
                <w:sz w:val="20"/>
                <w:szCs w:val="20"/>
                <w:lang w:eastAsia="en-US"/>
              </w:rPr>
              <w:t>С.3.4. Розбудова мережі сучасних спортивних закладів та споруд</w:t>
            </w:r>
          </w:p>
        </w:tc>
        <w:tc>
          <w:tcPr>
            <w:tcW w:w="2551" w:type="dxa"/>
            <w:shd w:val="clear" w:color="auto" w:fill="auto"/>
          </w:tcPr>
          <w:p w14:paraId="3F2D998F" w14:textId="77777777" w:rsidR="0097410E" w:rsidRPr="000413EB" w:rsidRDefault="0097410E" w:rsidP="0097410E">
            <w:pPr>
              <w:jc w:val="both"/>
              <w:rPr>
                <w:rFonts w:ascii="Times New Roman" w:hAnsi="Times New Roman"/>
                <w:bCs/>
                <w:sz w:val="20"/>
                <w:szCs w:val="20"/>
              </w:rPr>
            </w:pPr>
            <w:r w:rsidRPr="000413EB">
              <w:rPr>
                <w:rFonts w:ascii="Times New Roman" w:hAnsi="Times New Roman"/>
                <w:bCs/>
                <w:sz w:val="20"/>
                <w:szCs w:val="20"/>
              </w:rPr>
              <w:t>С.3.4.2. Будівництво, реконструкція інфраструктури спорту з урахуванням гендерного аспекту.</w:t>
            </w:r>
          </w:p>
        </w:tc>
        <w:tc>
          <w:tcPr>
            <w:tcW w:w="2835" w:type="dxa"/>
            <w:shd w:val="clear" w:color="auto" w:fill="auto"/>
          </w:tcPr>
          <w:p w14:paraId="5368D0A6" w14:textId="77777777" w:rsidR="0097410E" w:rsidRPr="000413EB" w:rsidRDefault="0097410E" w:rsidP="0097410E">
            <w:pPr>
              <w:jc w:val="both"/>
              <w:rPr>
                <w:rFonts w:ascii="Times New Roman" w:hAnsi="Times New Roman"/>
                <w:bCs/>
                <w:sz w:val="20"/>
                <w:szCs w:val="20"/>
              </w:rPr>
            </w:pPr>
            <w:r w:rsidRPr="000413EB">
              <w:rPr>
                <w:rFonts w:ascii="Times New Roman" w:hAnsi="Times New Roman"/>
                <w:bCs/>
                <w:sz w:val="20"/>
                <w:szCs w:val="20"/>
              </w:rPr>
              <w:t>Капітальний ремонт запасного футбольного поля на території КП «Парковий культурно-спортивний комплекс»</w:t>
            </w:r>
          </w:p>
        </w:tc>
        <w:tc>
          <w:tcPr>
            <w:tcW w:w="1276" w:type="dxa"/>
            <w:shd w:val="clear" w:color="auto" w:fill="auto"/>
          </w:tcPr>
          <w:p w14:paraId="77195801" w14:textId="77777777" w:rsidR="0097410E" w:rsidRPr="000413EB" w:rsidRDefault="0097410E" w:rsidP="0097410E">
            <w:pPr>
              <w:widowControl w:val="0"/>
              <w:tabs>
                <w:tab w:val="left" w:pos="569"/>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2027</w:t>
            </w:r>
          </w:p>
        </w:tc>
        <w:tc>
          <w:tcPr>
            <w:tcW w:w="2345" w:type="dxa"/>
            <w:shd w:val="clear" w:color="auto" w:fill="auto"/>
          </w:tcPr>
          <w:p w14:paraId="22520731"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Управління житлово-комунального господарства Жмеринської міської ради</w:t>
            </w:r>
          </w:p>
          <w:p w14:paraId="3FEA9AC6" w14:textId="77777777" w:rsidR="0097410E" w:rsidRPr="000413EB" w:rsidRDefault="0097410E" w:rsidP="0097410E">
            <w:pPr>
              <w:jc w:val="both"/>
              <w:rPr>
                <w:rFonts w:ascii="Times New Roman" w:hAnsi="Times New Roman"/>
                <w:sz w:val="20"/>
                <w:szCs w:val="20"/>
              </w:rPr>
            </w:pPr>
          </w:p>
        </w:tc>
        <w:tc>
          <w:tcPr>
            <w:tcW w:w="2900" w:type="dxa"/>
            <w:shd w:val="clear" w:color="auto" w:fill="auto"/>
          </w:tcPr>
          <w:p w14:paraId="26406BB5" w14:textId="77777777"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Повністю відремонтоване футбольне поле.</w:t>
            </w:r>
          </w:p>
          <w:p w14:paraId="1070C710" w14:textId="77777777"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Кількість заходів, що проводяться на полі після ремонту: не менше 50 на рік.</w:t>
            </w:r>
          </w:p>
          <w:p w14:paraId="51916F27" w14:textId="77777777"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Кількість активних користувачів поля: понад 1500 осіб щороку.</w:t>
            </w:r>
          </w:p>
          <w:p w14:paraId="536209CD" w14:textId="77777777"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Збільшено кількість дитячих і молодіжних команд на 30% протягом 2 років.</w:t>
            </w:r>
          </w:p>
        </w:tc>
      </w:tr>
      <w:tr w:rsidR="0097410E" w:rsidRPr="000413EB" w14:paraId="7E657E56" w14:textId="77777777" w:rsidTr="000413EB">
        <w:tc>
          <w:tcPr>
            <w:tcW w:w="567" w:type="dxa"/>
            <w:shd w:val="clear" w:color="auto" w:fill="auto"/>
          </w:tcPr>
          <w:p w14:paraId="03956E73" w14:textId="4BABC251" w:rsidR="0097410E" w:rsidRPr="000413EB" w:rsidRDefault="00C52095" w:rsidP="0097410E">
            <w:pPr>
              <w:pStyle w:val="aa"/>
              <w:jc w:val="both"/>
              <w:rPr>
                <w:rFonts w:ascii="Times New Roman" w:eastAsia="Arial" w:hAnsi="Times New Roman"/>
                <w:sz w:val="20"/>
                <w:szCs w:val="20"/>
              </w:rPr>
            </w:pPr>
            <w:r>
              <w:rPr>
                <w:rFonts w:ascii="Times New Roman" w:eastAsia="Arial" w:hAnsi="Times New Roman"/>
                <w:sz w:val="20"/>
                <w:szCs w:val="20"/>
              </w:rPr>
              <w:t>50</w:t>
            </w:r>
          </w:p>
        </w:tc>
        <w:tc>
          <w:tcPr>
            <w:tcW w:w="2694" w:type="dxa"/>
            <w:shd w:val="clear" w:color="auto" w:fill="auto"/>
          </w:tcPr>
          <w:p w14:paraId="16BAF1B2"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С.3.4. Розбудова мережі сучасних спортивних закладів та споруд</w:t>
            </w:r>
          </w:p>
        </w:tc>
        <w:tc>
          <w:tcPr>
            <w:tcW w:w="2551" w:type="dxa"/>
            <w:shd w:val="clear" w:color="auto" w:fill="auto"/>
          </w:tcPr>
          <w:p w14:paraId="1CD6EAD2" w14:textId="77777777" w:rsidR="0097410E" w:rsidRPr="000413EB" w:rsidRDefault="0097410E" w:rsidP="0097410E">
            <w:pPr>
              <w:autoSpaceDE w:val="0"/>
              <w:autoSpaceDN w:val="0"/>
              <w:jc w:val="both"/>
              <w:rPr>
                <w:rFonts w:ascii="Times New Roman" w:hAnsi="Times New Roman"/>
                <w:sz w:val="20"/>
                <w:szCs w:val="20"/>
                <w:lang w:eastAsia="en-US"/>
              </w:rPr>
            </w:pPr>
            <w:r w:rsidRPr="000413EB">
              <w:rPr>
                <w:rFonts w:ascii="Times New Roman" w:hAnsi="Times New Roman"/>
                <w:sz w:val="20"/>
                <w:szCs w:val="20"/>
                <w:lang w:eastAsia="en-US"/>
              </w:rPr>
              <w:t>С.3.4.2. Будівництво, реконструкція інфраструктури спорту з урахуванням гендерного аспекту.</w:t>
            </w:r>
          </w:p>
          <w:p w14:paraId="7BFB33C1"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p>
        </w:tc>
        <w:tc>
          <w:tcPr>
            <w:tcW w:w="2835" w:type="dxa"/>
            <w:shd w:val="clear" w:color="auto" w:fill="auto"/>
          </w:tcPr>
          <w:p w14:paraId="6EFD7F87"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hAnsi="Times New Roman"/>
                <w:bCs/>
                <w:sz w:val="20"/>
                <w:szCs w:val="20"/>
                <w:lang w:eastAsia="it-IT"/>
              </w:rPr>
              <w:t>Вуличний багатофункціональний спортивно-оздоровчий простір з гумовим або штучним покриттям по вул. Шекінська</w:t>
            </w:r>
          </w:p>
        </w:tc>
        <w:tc>
          <w:tcPr>
            <w:tcW w:w="1276" w:type="dxa"/>
            <w:shd w:val="clear" w:color="auto" w:fill="auto"/>
          </w:tcPr>
          <w:p w14:paraId="0E12472C" w14:textId="77777777" w:rsidR="0097410E" w:rsidRPr="000413EB" w:rsidRDefault="0097410E" w:rsidP="0097410E">
            <w:pPr>
              <w:widowControl w:val="0"/>
              <w:tabs>
                <w:tab w:val="left" w:pos="569"/>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2027</w:t>
            </w:r>
          </w:p>
        </w:tc>
        <w:tc>
          <w:tcPr>
            <w:tcW w:w="2345" w:type="dxa"/>
            <w:shd w:val="clear" w:color="auto" w:fill="auto"/>
          </w:tcPr>
          <w:p w14:paraId="6E411077" w14:textId="77777777" w:rsidR="0097410E" w:rsidRPr="000413EB" w:rsidRDefault="0097410E" w:rsidP="0097410E">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Управління житлово-комунального господарства Жмеринської міської ради</w:t>
            </w:r>
          </w:p>
          <w:p w14:paraId="512188E2"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p>
        </w:tc>
        <w:tc>
          <w:tcPr>
            <w:tcW w:w="2900" w:type="dxa"/>
            <w:shd w:val="clear" w:color="auto" w:fill="auto"/>
          </w:tcPr>
          <w:p w14:paraId="0E8D366C"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Побудовано багатофункціональний спортивний майданчик з гумовим або штучним покриттям</w:t>
            </w:r>
          </w:p>
          <w:p w14:paraId="5A6D8B6C"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Залучено щонайменше 500 мешканців громади до занять спортом щомісяця.</w:t>
            </w:r>
          </w:p>
          <w:p w14:paraId="378AA54C"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Проведення регулярних спортивних змагань, тренувань та дозвіллєвих заходів.</w:t>
            </w:r>
          </w:p>
          <w:p w14:paraId="5CF42023"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Підвищено рівень фізичної активності серед дітей, молоді, населення середнього та пенсійного віку, людей з інвалідністю.</w:t>
            </w:r>
          </w:p>
          <w:p w14:paraId="1C81BC27"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Залучено до спорту понад 60% місцевого населення.</w:t>
            </w:r>
          </w:p>
          <w:p w14:paraId="381BEB0D"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Знижено рівень захворюваності та гіподинамії.</w:t>
            </w:r>
          </w:p>
          <w:p w14:paraId="2215251F"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Підвищено соціальну інтеграцію та міжпоколіннєву взаємодію.</w:t>
            </w:r>
          </w:p>
          <w:p w14:paraId="203DD01C"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hAnsi="Times New Roman"/>
                <w:sz w:val="20"/>
                <w:szCs w:val="20"/>
                <w:lang w:eastAsia="it-IT"/>
              </w:rPr>
              <w:t>Поява нового простору для самореалізації та дозвілля.</w:t>
            </w:r>
          </w:p>
        </w:tc>
      </w:tr>
      <w:tr w:rsidR="0097410E" w:rsidRPr="000413EB" w14:paraId="0DA1B447" w14:textId="77777777" w:rsidTr="000413EB">
        <w:tc>
          <w:tcPr>
            <w:tcW w:w="567" w:type="dxa"/>
            <w:shd w:val="clear" w:color="auto" w:fill="auto"/>
          </w:tcPr>
          <w:p w14:paraId="16ACA3FA" w14:textId="174A7612" w:rsidR="0097410E" w:rsidRPr="000413EB" w:rsidRDefault="00C52095" w:rsidP="0097410E">
            <w:pPr>
              <w:pStyle w:val="aa"/>
              <w:jc w:val="both"/>
              <w:rPr>
                <w:rFonts w:ascii="Times New Roman" w:eastAsia="Arial" w:hAnsi="Times New Roman"/>
                <w:sz w:val="20"/>
                <w:szCs w:val="20"/>
              </w:rPr>
            </w:pPr>
            <w:r>
              <w:rPr>
                <w:rFonts w:ascii="Times New Roman" w:eastAsia="Arial" w:hAnsi="Times New Roman"/>
                <w:sz w:val="20"/>
                <w:szCs w:val="20"/>
              </w:rPr>
              <w:t>51</w:t>
            </w:r>
          </w:p>
        </w:tc>
        <w:tc>
          <w:tcPr>
            <w:tcW w:w="2694" w:type="dxa"/>
            <w:shd w:val="clear" w:color="auto" w:fill="auto"/>
          </w:tcPr>
          <w:p w14:paraId="781B75AC"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С.3.4. Розбудова мережі сучасних спортивних закладів та споруд</w:t>
            </w:r>
          </w:p>
        </w:tc>
        <w:tc>
          <w:tcPr>
            <w:tcW w:w="2551" w:type="dxa"/>
            <w:shd w:val="clear" w:color="auto" w:fill="auto"/>
          </w:tcPr>
          <w:p w14:paraId="507E4F1B" w14:textId="77777777" w:rsidR="0097410E" w:rsidRPr="000413EB" w:rsidRDefault="0097410E" w:rsidP="0097410E">
            <w:pPr>
              <w:autoSpaceDE w:val="0"/>
              <w:autoSpaceDN w:val="0"/>
              <w:jc w:val="both"/>
              <w:rPr>
                <w:rFonts w:ascii="Times New Roman" w:hAnsi="Times New Roman"/>
                <w:sz w:val="20"/>
                <w:szCs w:val="20"/>
                <w:lang w:eastAsia="en-US"/>
              </w:rPr>
            </w:pPr>
            <w:r w:rsidRPr="000413EB">
              <w:rPr>
                <w:rFonts w:ascii="Times New Roman" w:hAnsi="Times New Roman"/>
                <w:sz w:val="20"/>
                <w:szCs w:val="20"/>
                <w:lang w:eastAsia="en-US"/>
              </w:rPr>
              <w:t>С.3.4.2. Будівництво, реконструкція інфраструктури спорту з урахуванням гендерного аспекту.</w:t>
            </w:r>
          </w:p>
        </w:tc>
        <w:tc>
          <w:tcPr>
            <w:tcW w:w="2835" w:type="dxa"/>
            <w:shd w:val="clear" w:color="auto" w:fill="auto"/>
          </w:tcPr>
          <w:p w14:paraId="18AD8FF5"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hAnsi="Times New Roman"/>
                <w:bCs/>
                <w:sz w:val="20"/>
                <w:szCs w:val="20"/>
                <w:lang w:eastAsia="it-IT"/>
              </w:rPr>
            </w:pPr>
            <w:r w:rsidRPr="000413EB">
              <w:rPr>
                <w:rFonts w:ascii="Times New Roman" w:hAnsi="Times New Roman"/>
                <w:bCs/>
                <w:sz w:val="20"/>
                <w:szCs w:val="20"/>
                <w:lang w:eastAsia="it-IT"/>
              </w:rPr>
              <w:t>Капітальний ремонт залу «Олімп» КП «Парковий культурно-спортивний комплекс»</w:t>
            </w:r>
          </w:p>
        </w:tc>
        <w:tc>
          <w:tcPr>
            <w:tcW w:w="1276" w:type="dxa"/>
            <w:shd w:val="clear" w:color="auto" w:fill="auto"/>
          </w:tcPr>
          <w:p w14:paraId="557878FA" w14:textId="77777777" w:rsidR="0097410E" w:rsidRPr="000413EB" w:rsidRDefault="0097410E" w:rsidP="0097410E">
            <w:pPr>
              <w:widowControl w:val="0"/>
              <w:tabs>
                <w:tab w:val="left" w:pos="569"/>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2027</w:t>
            </w:r>
          </w:p>
        </w:tc>
        <w:tc>
          <w:tcPr>
            <w:tcW w:w="2345" w:type="dxa"/>
            <w:shd w:val="clear" w:color="auto" w:fill="auto"/>
          </w:tcPr>
          <w:p w14:paraId="09C5F9E5" w14:textId="77777777" w:rsidR="0097410E" w:rsidRPr="000413EB" w:rsidRDefault="0097410E" w:rsidP="0097410E">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Управління житлово-комунального господарства Жмеринської міської ради</w:t>
            </w:r>
          </w:p>
          <w:p w14:paraId="0B108F53" w14:textId="77777777" w:rsidR="0097410E" w:rsidRPr="000413EB" w:rsidRDefault="0097410E" w:rsidP="0097410E">
            <w:pPr>
              <w:jc w:val="both"/>
              <w:rPr>
                <w:rFonts w:ascii="Times New Roman" w:hAnsi="Times New Roman"/>
                <w:color w:val="000000"/>
                <w:sz w:val="20"/>
                <w:szCs w:val="20"/>
                <w:lang w:eastAsia="it-IT"/>
              </w:rPr>
            </w:pPr>
          </w:p>
        </w:tc>
        <w:tc>
          <w:tcPr>
            <w:tcW w:w="2900" w:type="dxa"/>
            <w:shd w:val="clear" w:color="auto" w:fill="auto"/>
          </w:tcPr>
          <w:p w14:paraId="1557216C"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Знижено витрати на енергоносії не менше ніж на 30%.</w:t>
            </w:r>
          </w:p>
          <w:p w14:paraId="4AA9DD89"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Підвищено температурний комфорт у залі до нормативного рівня.</w:t>
            </w:r>
          </w:p>
          <w:p w14:paraId="71A4BE89"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Кількість осіб, які користуються оновленим залом — не менше 150 на місяць.</w:t>
            </w:r>
          </w:p>
          <w:p w14:paraId="582E91F1"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Позитивні відгуки користувачів після ремонту (не менше 80% задоволеності).</w:t>
            </w:r>
          </w:p>
        </w:tc>
      </w:tr>
      <w:tr w:rsidR="0097410E" w:rsidRPr="000413EB" w14:paraId="639F3718" w14:textId="77777777" w:rsidTr="000413EB">
        <w:tc>
          <w:tcPr>
            <w:tcW w:w="567" w:type="dxa"/>
            <w:shd w:val="clear" w:color="auto" w:fill="auto"/>
          </w:tcPr>
          <w:p w14:paraId="0F8DC696" w14:textId="1EA03F72" w:rsidR="0097410E" w:rsidRPr="000413EB" w:rsidRDefault="00C52095" w:rsidP="0097410E">
            <w:pPr>
              <w:pStyle w:val="aa"/>
              <w:jc w:val="both"/>
              <w:rPr>
                <w:rFonts w:ascii="Times New Roman" w:eastAsia="Arial" w:hAnsi="Times New Roman"/>
                <w:sz w:val="20"/>
                <w:szCs w:val="20"/>
              </w:rPr>
            </w:pPr>
            <w:r>
              <w:rPr>
                <w:rFonts w:ascii="Times New Roman" w:eastAsia="Arial" w:hAnsi="Times New Roman"/>
                <w:sz w:val="20"/>
                <w:szCs w:val="20"/>
              </w:rPr>
              <w:t>52</w:t>
            </w:r>
          </w:p>
        </w:tc>
        <w:tc>
          <w:tcPr>
            <w:tcW w:w="2694" w:type="dxa"/>
            <w:shd w:val="clear" w:color="auto" w:fill="auto"/>
          </w:tcPr>
          <w:p w14:paraId="4D082436"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С.3.4. Розбудова мережі сучасних спортивних закладів та споруд</w:t>
            </w:r>
          </w:p>
        </w:tc>
        <w:tc>
          <w:tcPr>
            <w:tcW w:w="2551" w:type="dxa"/>
            <w:shd w:val="clear" w:color="auto" w:fill="auto"/>
          </w:tcPr>
          <w:p w14:paraId="4C61FC8A" w14:textId="77777777" w:rsidR="0097410E" w:rsidRPr="000413EB" w:rsidRDefault="0097410E" w:rsidP="0097410E">
            <w:pPr>
              <w:autoSpaceDE w:val="0"/>
              <w:autoSpaceDN w:val="0"/>
              <w:jc w:val="both"/>
              <w:rPr>
                <w:rFonts w:ascii="Times New Roman" w:hAnsi="Times New Roman"/>
                <w:sz w:val="20"/>
                <w:szCs w:val="20"/>
                <w:lang w:eastAsia="en-US"/>
              </w:rPr>
            </w:pPr>
            <w:r w:rsidRPr="000413EB">
              <w:rPr>
                <w:rFonts w:ascii="Times New Roman" w:hAnsi="Times New Roman"/>
                <w:sz w:val="20"/>
                <w:szCs w:val="20"/>
                <w:lang w:eastAsia="en-US"/>
              </w:rPr>
              <w:t>С.3.4.2. Будівництво, реконструкція інфраструктури спорту з урахуванням гендерного аспекту.</w:t>
            </w:r>
          </w:p>
        </w:tc>
        <w:tc>
          <w:tcPr>
            <w:tcW w:w="2835" w:type="dxa"/>
            <w:shd w:val="clear" w:color="auto" w:fill="auto"/>
          </w:tcPr>
          <w:p w14:paraId="66221A90"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hAnsi="Times New Roman"/>
                <w:bCs/>
                <w:sz w:val="20"/>
                <w:szCs w:val="20"/>
                <w:lang w:eastAsia="it-IT"/>
              </w:rPr>
            </w:pPr>
            <w:r w:rsidRPr="000413EB">
              <w:rPr>
                <w:rFonts w:ascii="Times New Roman" w:hAnsi="Times New Roman"/>
                <w:bCs/>
                <w:sz w:val="20"/>
                <w:szCs w:val="20"/>
                <w:lang w:eastAsia="it-IT"/>
              </w:rPr>
              <w:t>Капітальний ремонт трибуни стадіону КП «Парковий культурно-спортивний комплекс»</w:t>
            </w:r>
          </w:p>
        </w:tc>
        <w:tc>
          <w:tcPr>
            <w:tcW w:w="1276" w:type="dxa"/>
            <w:shd w:val="clear" w:color="auto" w:fill="auto"/>
          </w:tcPr>
          <w:p w14:paraId="4561FDC0" w14:textId="77777777" w:rsidR="0097410E" w:rsidRPr="000413EB" w:rsidRDefault="0097410E" w:rsidP="0097410E">
            <w:pPr>
              <w:widowControl w:val="0"/>
              <w:tabs>
                <w:tab w:val="left" w:pos="569"/>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2028</w:t>
            </w:r>
          </w:p>
        </w:tc>
        <w:tc>
          <w:tcPr>
            <w:tcW w:w="2345" w:type="dxa"/>
            <w:shd w:val="clear" w:color="auto" w:fill="auto"/>
          </w:tcPr>
          <w:p w14:paraId="5B5076C1" w14:textId="77777777" w:rsidR="0097410E" w:rsidRPr="000413EB" w:rsidRDefault="0097410E" w:rsidP="0097410E">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Управління житлово-комунального господарства Жмеринської міської ради</w:t>
            </w:r>
          </w:p>
          <w:p w14:paraId="38E8B94F" w14:textId="77777777" w:rsidR="0097410E" w:rsidRPr="000413EB" w:rsidRDefault="0097410E" w:rsidP="0097410E">
            <w:pPr>
              <w:jc w:val="both"/>
              <w:rPr>
                <w:rFonts w:ascii="Times New Roman" w:hAnsi="Times New Roman"/>
                <w:color w:val="000000"/>
                <w:sz w:val="20"/>
                <w:szCs w:val="20"/>
                <w:lang w:eastAsia="it-IT"/>
              </w:rPr>
            </w:pPr>
          </w:p>
        </w:tc>
        <w:tc>
          <w:tcPr>
            <w:tcW w:w="2900" w:type="dxa"/>
            <w:shd w:val="clear" w:color="auto" w:fill="auto"/>
          </w:tcPr>
          <w:p w14:paraId="5319D474"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Повне відновлення функціональності трибуни (100% сидінь у справному стані).</w:t>
            </w:r>
          </w:p>
          <w:p w14:paraId="20F84E4B"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Забезпечено безпечне перебування не менше ніж 500 осіб одночасно.</w:t>
            </w:r>
          </w:p>
          <w:p w14:paraId="70E05927"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Створено умови доступності для маломобільних груп.</w:t>
            </w:r>
          </w:p>
          <w:p w14:paraId="69C91910"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Проведено не менше 10 спортивних або культурних заходів на рік.</w:t>
            </w:r>
          </w:p>
          <w:p w14:paraId="62D36A3B" w14:textId="46E6B2A4"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Позитивна оцінка з боку користувачів (не менше 85% задоволених відвідувачів)</w:t>
            </w:r>
            <w:r w:rsidR="00F27D41">
              <w:rPr>
                <w:rFonts w:ascii="Times New Roman" w:hAnsi="Times New Roman"/>
                <w:sz w:val="20"/>
                <w:szCs w:val="20"/>
                <w:lang w:eastAsia="it-IT"/>
              </w:rPr>
              <w:t>.</w:t>
            </w:r>
          </w:p>
        </w:tc>
      </w:tr>
      <w:tr w:rsidR="0097410E" w:rsidRPr="000413EB" w14:paraId="5BA7AAAB" w14:textId="77777777" w:rsidTr="000413EB">
        <w:tc>
          <w:tcPr>
            <w:tcW w:w="567" w:type="dxa"/>
            <w:shd w:val="clear" w:color="auto" w:fill="auto"/>
          </w:tcPr>
          <w:p w14:paraId="6E116F81" w14:textId="04AEC705" w:rsidR="0097410E" w:rsidRPr="000413EB" w:rsidRDefault="00C52095" w:rsidP="0097410E">
            <w:pPr>
              <w:pStyle w:val="aa"/>
              <w:jc w:val="both"/>
              <w:rPr>
                <w:rFonts w:ascii="Times New Roman" w:eastAsia="Arial" w:hAnsi="Times New Roman"/>
                <w:sz w:val="20"/>
                <w:szCs w:val="20"/>
              </w:rPr>
            </w:pPr>
            <w:r>
              <w:rPr>
                <w:rFonts w:ascii="Times New Roman" w:eastAsia="Arial" w:hAnsi="Times New Roman"/>
                <w:sz w:val="20"/>
                <w:szCs w:val="20"/>
              </w:rPr>
              <w:t>53</w:t>
            </w:r>
          </w:p>
        </w:tc>
        <w:tc>
          <w:tcPr>
            <w:tcW w:w="2694" w:type="dxa"/>
            <w:shd w:val="clear" w:color="auto" w:fill="auto"/>
          </w:tcPr>
          <w:p w14:paraId="2DEF9543"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С.3.4. Розбудова мережі сучасних спортивних закладів та споруд</w:t>
            </w:r>
          </w:p>
        </w:tc>
        <w:tc>
          <w:tcPr>
            <w:tcW w:w="2551" w:type="dxa"/>
            <w:shd w:val="clear" w:color="auto" w:fill="auto"/>
          </w:tcPr>
          <w:p w14:paraId="5B3DE64F" w14:textId="77777777" w:rsidR="0097410E" w:rsidRPr="000413EB" w:rsidRDefault="0097410E" w:rsidP="0097410E">
            <w:pPr>
              <w:autoSpaceDE w:val="0"/>
              <w:autoSpaceDN w:val="0"/>
              <w:jc w:val="both"/>
              <w:rPr>
                <w:rFonts w:ascii="Times New Roman" w:hAnsi="Times New Roman"/>
                <w:sz w:val="20"/>
                <w:szCs w:val="20"/>
                <w:lang w:eastAsia="en-US"/>
              </w:rPr>
            </w:pPr>
            <w:r w:rsidRPr="000413EB">
              <w:rPr>
                <w:rFonts w:ascii="Times New Roman" w:hAnsi="Times New Roman"/>
                <w:sz w:val="20"/>
                <w:szCs w:val="20"/>
                <w:lang w:eastAsia="en-US"/>
              </w:rPr>
              <w:t>С.3.4.2. Будівництво, реконструкція інфраструктури спорту з урахуванням гендерного аспекту.</w:t>
            </w:r>
          </w:p>
        </w:tc>
        <w:tc>
          <w:tcPr>
            <w:tcW w:w="2835" w:type="dxa"/>
            <w:shd w:val="clear" w:color="auto" w:fill="auto"/>
          </w:tcPr>
          <w:p w14:paraId="70B93CAA"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hAnsi="Times New Roman"/>
                <w:bCs/>
                <w:sz w:val="20"/>
                <w:szCs w:val="20"/>
                <w:lang w:eastAsia="it-IT"/>
              </w:rPr>
            </w:pPr>
            <w:r w:rsidRPr="000413EB">
              <w:rPr>
                <w:rFonts w:ascii="Times New Roman" w:hAnsi="Times New Roman"/>
                <w:bCs/>
                <w:sz w:val="20"/>
                <w:szCs w:val="20"/>
                <w:lang w:eastAsia="it-IT"/>
              </w:rPr>
              <w:t>Капітальний ремонт адміністративного приміщення (трибуни стадіону) КП «Парковий культурно-спортивний комплекс»</w:t>
            </w:r>
          </w:p>
        </w:tc>
        <w:tc>
          <w:tcPr>
            <w:tcW w:w="1276" w:type="dxa"/>
            <w:shd w:val="clear" w:color="auto" w:fill="auto"/>
          </w:tcPr>
          <w:p w14:paraId="0D59290B" w14:textId="77777777" w:rsidR="0097410E" w:rsidRPr="000413EB" w:rsidRDefault="0097410E" w:rsidP="0097410E">
            <w:pPr>
              <w:widowControl w:val="0"/>
              <w:tabs>
                <w:tab w:val="left" w:pos="569"/>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2028</w:t>
            </w:r>
          </w:p>
        </w:tc>
        <w:tc>
          <w:tcPr>
            <w:tcW w:w="2345" w:type="dxa"/>
            <w:shd w:val="clear" w:color="auto" w:fill="auto"/>
          </w:tcPr>
          <w:p w14:paraId="30883209" w14:textId="77777777" w:rsidR="0097410E" w:rsidRPr="000413EB" w:rsidRDefault="0097410E" w:rsidP="0097410E">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Управління житлово-комунального господарства Жмеринської міської ради</w:t>
            </w:r>
          </w:p>
          <w:p w14:paraId="73F44F18" w14:textId="77777777" w:rsidR="0097410E" w:rsidRPr="000413EB" w:rsidRDefault="0097410E" w:rsidP="0097410E">
            <w:pPr>
              <w:jc w:val="both"/>
              <w:rPr>
                <w:rFonts w:ascii="Times New Roman" w:hAnsi="Times New Roman"/>
                <w:color w:val="000000"/>
                <w:sz w:val="20"/>
                <w:szCs w:val="20"/>
                <w:lang w:eastAsia="it-IT"/>
              </w:rPr>
            </w:pPr>
          </w:p>
        </w:tc>
        <w:tc>
          <w:tcPr>
            <w:tcW w:w="2900" w:type="dxa"/>
            <w:shd w:val="clear" w:color="auto" w:fill="auto"/>
          </w:tcPr>
          <w:p w14:paraId="7E8B4506" w14:textId="77777777" w:rsidR="0097410E" w:rsidRPr="000413EB" w:rsidRDefault="0097410E" w:rsidP="0097410E">
            <w:pPr>
              <w:tabs>
                <w:tab w:val="left" w:pos="264"/>
              </w:tabs>
              <w:jc w:val="both"/>
              <w:rPr>
                <w:rFonts w:ascii="Times New Roman" w:hAnsi="Times New Roman"/>
                <w:sz w:val="20"/>
                <w:szCs w:val="20"/>
                <w:lang w:eastAsia="it-IT"/>
              </w:rPr>
            </w:pPr>
            <w:r w:rsidRPr="000413EB">
              <w:rPr>
                <w:rFonts w:ascii="Times New Roman" w:hAnsi="Times New Roman"/>
                <w:sz w:val="20"/>
                <w:szCs w:val="20"/>
                <w:lang w:eastAsia="it-IT"/>
              </w:rPr>
              <w:t>Повна функціональність приміщення для адміністративної роботи (100% робочих площ у використанні).</w:t>
            </w:r>
          </w:p>
          <w:p w14:paraId="3FE3FA61" w14:textId="77777777" w:rsidR="0097410E" w:rsidRPr="000413EB" w:rsidRDefault="0097410E" w:rsidP="0097410E">
            <w:pPr>
              <w:tabs>
                <w:tab w:val="left" w:pos="264"/>
              </w:tabs>
              <w:jc w:val="both"/>
              <w:rPr>
                <w:rFonts w:ascii="Times New Roman" w:hAnsi="Times New Roman"/>
                <w:sz w:val="20"/>
                <w:szCs w:val="20"/>
                <w:lang w:eastAsia="it-IT"/>
              </w:rPr>
            </w:pPr>
            <w:r w:rsidRPr="000413EB">
              <w:rPr>
                <w:rFonts w:ascii="Times New Roman" w:hAnsi="Times New Roman"/>
                <w:sz w:val="20"/>
                <w:szCs w:val="20"/>
                <w:lang w:eastAsia="it-IT"/>
              </w:rPr>
              <w:t>Знижено витрати на комунальні послуги щонайменше на 25% після термомодернізації.</w:t>
            </w:r>
          </w:p>
          <w:p w14:paraId="2809372D" w14:textId="77777777" w:rsidR="0097410E" w:rsidRPr="000413EB" w:rsidRDefault="0097410E" w:rsidP="0097410E">
            <w:pPr>
              <w:tabs>
                <w:tab w:val="left" w:pos="264"/>
              </w:tabs>
              <w:jc w:val="both"/>
              <w:rPr>
                <w:rFonts w:ascii="Times New Roman" w:hAnsi="Times New Roman"/>
                <w:sz w:val="20"/>
                <w:szCs w:val="20"/>
                <w:lang w:eastAsia="it-IT"/>
              </w:rPr>
            </w:pPr>
            <w:r w:rsidRPr="000413EB">
              <w:rPr>
                <w:rFonts w:ascii="Times New Roman" w:hAnsi="Times New Roman"/>
                <w:sz w:val="20"/>
                <w:szCs w:val="20"/>
                <w:lang w:eastAsia="it-IT"/>
              </w:rPr>
              <w:t>Відповідність будівлі нормативам пожежної та санітарної безпеки.</w:t>
            </w:r>
          </w:p>
          <w:p w14:paraId="04968E52" w14:textId="77777777" w:rsidR="0097410E" w:rsidRPr="000413EB" w:rsidRDefault="0097410E" w:rsidP="0097410E">
            <w:pPr>
              <w:tabs>
                <w:tab w:val="left" w:pos="264"/>
              </w:tabs>
              <w:jc w:val="both"/>
              <w:rPr>
                <w:rFonts w:ascii="Times New Roman" w:hAnsi="Times New Roman"/>
                <w:sz w:val="20"/>
                <w:szCs w:val="20"/>
                <w:lang w:eastAsia="it-IT"/>
              </w:rPr>
            </w:pPr>
            <w:r w:rsidRPr="000413EB">
              <w:rPr>
                <w:rFonts w:ascii="Times New Roman" w:hAnsi="Times New Roman"/>
                <w:sz w:val="20"/>
                <w:szCs w:val="20"/>
                <w:lang w:eastAsia="it-IT"/>
              </w:rPr>
              <w:t>Забезпечено доступність для осіб з інвалідністю (наявність пандусів, адаптованих санвузлів тощо).</w:t>
            </w:r>
          </w:p>
          <w:p w14:paraId="1EDE9285" w14:textId="77777777" w:rsidR="0097410E" w:rsidRPr="000413EB" w:rsidRDefault="0097410E" w:rsidP="0097410E">
            <w:pPr>
              <w:tabs>
                <w:tab w:val="left" w:pos="264"/>
              </w:tabs>
              <w:jc w:val="both"/>
              <w:rPr>
                <w:rFonts w:ascii="Times New Roman" w:hAnsi="Times New Roman"/>
                <w:sz w:val="20"/>
                <w:szCs w:val="20"/>
                <w:lang w:eastAsia="it-IT"/>
              </w:rPr>
            </w:pPr>
            <w:r w:rsidRPr="000413EB">
              <w:rPr>
                <w:rFonts w:ascii="Times New Roman" w:hAnsi="Times New Roman"/>
                <w:sz w:val="20"/>
                <w:szCs w:val="20"/>
                <w:lang w:eastAsia="it-IT"/>
              </w:rPr>
              <w:t>Позитивні відгуки персоналу та користувачів (не менше 80% задоволеності).</w:t>
            </w:r>
          </w:p>
        </w:tc>
      </w:tr>
      <w:tr w:rsidR="0097410E" w:rsidRPr="000413EB" w14:paraId="02EEA1AA" w14:textId="77777777" w:rsidTr="000413EB">
        <w:tc>
          <w:tcPr>
            <w:tcW w:w="567" w:type="dxa"/>
            <w:shd w:val="clear" w:color="auto" w:fill="auto"/>
          </w:tcPr>
          <w:p w14:paraId="4A4B3E5C" w14:textId="4015ACAF" w:rsidR="0097410E" w:rsidRPr="000413EB" w:rsidRDefault="00C52095" w:rsidP="0097410E">
            <w:pPr>
              <w:pStyle w:val="aa"/>
              <w:jc w:val="both"/>
              <w:rPr>
                <w:rFonts w:ascii="Times New Roman" w:eastAsia="Arial" w:hAnsi="Times New Roman"/>
                <w:sz w:val="20"/>
                <w:szCs w:val="20"/>
              </w:rPr>
            </w:pPr>
            <w:r>
              <w:rPr>
                <w:rFonts w:ascii="Times New Roman" w:eastAsia="Arial" w:hAnsi="Times New Roman"/>
                <w:sz w:val="20"/>
                <w:szCs w:val="20"/>
              </w:rPr>
              <w:t>54</w:t>
            </w:r>
          </w:p>
        </w:tc>
        <w:tc>
          <w:tcPr>
            <w:tcW w:w="2694" w:type="dxa"/>
            <w:shd w:val="clear" w:color="auto" w:fill="auto"/>
          </w:tcPr>
          <w:p w14:paraId="43A419E7"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С.3.4. Розбудова мережі сучасних спортивних закладів та споруд</w:t>
            </w:r>
          </w:p>
        </w:tc>
        <w:tc>
          <w:tcPr>
            <w:tcW w:w="2551" w:type="dxa"/>
            <w:shd w:val="clear" w:color="auto" w:fill="auto"/>
          </w:tcPr>
          <w:p w14:paraId="09827B87" w14:textId="77777777" w:rsidR="0097410E" w:rsidRPr="000413EB" w:rsidRDefault="0097410E" w:rsidP="0097410E">
            <w:pPr>
              <w:autoSpaceDE w:val="0"/>
              <w:autoSpaceDN w:val="0"/>
              <w:jc w:val="both"/>
              <w:rPr>
                <w:rFonts w:ascii="Times New Roman" w:hAnsi="Times New Roman"/>
                <w:sz w:val="20"/>
                <w:szCs w:val="20"/>
                <w:lang w:eastAsia="en-US"/>
              </w:rPr>
            </w:pPr>
            <w:r w:rsidRPr="000413EB">
              <w:rPr>
                <w:rFonts w:ascii="Times New Roman" w:hAnsi="Times New Roman"/>
                <w:sz w:val="20"/>
                <w:szCs w:val="20"/>
                <w:lang w:eastAsia="en-US"/>
              </w:rPr>
              <w:t>С.3.4.2. Будівництво, реконструкція інфраструктури спорту з урахуванням гендерного аспекту.</w:t>
            </w:r>
          </w:p>
        </w:tc>
        <w:tc>
          <w:tcPr>
            <w:tcW w:w="2835" w:type="dxa"/>
            <w:shd w:val="clear" w:color="auto" w:fill="auto"/>
          </w:tcPr>
          <w:p w14:paraId="6DC99DE4"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hAnsi="Times New Roman"/>
                <w:bCs/>
                <w:sz w:val="20"/>
                <w:szCs w:val="20"/>
                <w:lang w:eastAsia="it-IT"/>
              </w:rPr>
            </w:pPr>
            <w:r w:rsidRPr="000413EB">
              <w:rPr>
                <w:rFonts w:ascii="Times New Roman" w:hAnsi="Times New Roman"/>
                <w:bCs/>
                <w:sz w:val="20"/>
                <w:szCs w:val="20"/>
                <w:lang w:eastAsia="it-IT"/>
              </w:rPr>
              <w:t>Капітальний ремонт асфальтованих доріжок КП «Парковий культурно-спортивний комплекс»</w:t>
            </w:r>
          </w:p>
        </w:tc>
        <w:tc>
          <w:tcPr>
            <w:tcW w:w="1276" w:type="dxa"/>
            <w:shd w:val="clear" w:color="auto" w:fill="auto"/>
          </w:tcPr>
          <w:p w14:paraId="6ABB2857" w14:textId="77777777" w:rsidR="0097410E" w:rsidRPr="000413EB" w:rsidRDefault="0097410E" w:rsidP="0097410E">
            <w:pPr>
              <w:widowControl w:val="0"/>
              <w:tabs>
                <w:tab w:val="left" w:pos="569"/>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2028</w:t>
            </w:r>
          </w:p>
        </w:tc>
        <w:tc>
          <w:tcPr>
            <w:tcW w:w="2345" w:type="dxa"/>
            <w:shd w:val="clear" w:color="auto" w:fill="auto"/>
          </w:tcPr>
          <w:p w14:paraId="29077CD4" w14:textId="77777777" w:rsidR="0097410E" w:rsidRPr="000413EB" w:rsidRDefault="0097410E" w:rsidP="0097410E">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Управління житлово-комунального господарства Жмеринської міської ради</w:t>
            </w:r>
          </w:p>
          <w:p w14:paraId="1F4CA816" w14:textId="77777777" w:rsidR="0097410E" w:rsidRPr="000413EB" w:rsidRDefault="0097410E" w:rsidP="0097410E">
            <w:pPr>
              <w:jc w:val="both"/>
              <w:rPr>
                <w:rFonts w:ascii="Times New Roman" w:hAnsi="Times New Roman"/>
                <w:color w:val="000000"/>
                <w:sz w:val="20"/>
                <w:szCs w:val="20"/>
                <w:lang w:eastAsia="it-IT"/>
              </w:rPr>
            </w:pPr>
          </w:p>
        </w:tc>
        <w:tc>
          <w:tcPr>
            <w:tcW w:w="2900" w:type="dxa"/>
            <w:shd w:val="clear" w:color="auto" w:fill="auto"/>
          </w:tcPr>
          <w:p w14:paraId="5AD90A04" w14:textId="77777777" w:rsidR="0097410E" w:rsidRPr="000413EB" w:rsidRDefault="0097410E" w:rsidP="0097410E">
            <w:pPr>
              <w:tabs>
                <w:tab w:val="left" w:pos="264"/>
              </w:tabs>
              <w:jc w:val="both"/>
              <w:rPr>
                <w:rFonts w:ascii="Times New Roman" w:hAnsi="Times New Roman"/>
                <w:sz w:val="20"/>
                <w:szCs w:val="20"/>
                <w:lang w:eastAsia="it-IT"/>
              </w:rPr>
            </w:pPr>
            <w:r w:rsidRPr="000413EB">
              <w:rPr>
                <w:rFonts w:ascii="Times New Roman" w:hAnsi="Times New Roman"/>
                <w:sz w:val="20"/>
                <w:szCs w:val="20"/>
                <w:lang w:eastAsia="it-IT"/>
              </w:rPr>
              <w:t>Повне оновлення 100% запланованих доріжок у межах комплексу.</w:t>
            </w:r>
          </w:p>
          <w:p w14:paraId="536213DE" w14:textId="77777777" w:rsidR="0097410E" w:rsidRPr="000413EB" w:rsidRDefault="0097410E" w:rsidP="0097410E">
            <w:pPr>
              <w:tabs>
                <w:tab w:val="left" w:pos="264"/>
              </w:tabs>
              <w:jc w:val="both"/>
              <w:rPr>
                <w:rFonts w:ascii="Times New Roman" w:hAnsi="Times New Roman"/>
                <w:sz w:val="20"/>
                <w:szCs w:val="20"/>
                <w:lang w:eastAsia="it-IT"/>
              </w:rPr>
            </w:pPr>
            <w:r w:rsidRPr="000413EB">
              <w:rPr>
                <w:rFonts w:ascii="Times New Roman" w:hAnsi="Times New Roman"/>
                <w:sz w:val="20"/>
                <w:szCs w:val="20"/>
                <w:lang w:eastAsia="it-IT"/>
              </w:rPr>
              <w:t>Підвищено безпеку пересування (відсутність травмонебезпечних ділянок).</w:t>
            </w:r>
          </w:p>
          <w:p w14:paraId="74A1125F" w14:textId="77777777" w:rsidR="0097410E" w:rsidRPr="000413EB" w:rsidRDefault="0097410E" w:rsidP="0097410E">
            <w:pPr>
              <w:tabs>
                <w:tab w:val="left" w:pos="264"/>
              </w:tabs>
              <w:jc w:val="both"/>
              <w:rPr>
                <w:rFonts w:ascii="Times New Roman" w:hAnsi="Times New Roman"/>
                <w:sz w:val="20"/>
                <w:szCs w:val="20"/>
                <w:lang w:eastAsia="it-IT"/>
              </w:rPr>
            </w:pPr>
            <w:r w:rsidRPr="000413EB">
              <w:rPr>
                <w:rFonts w:ascii="Times New Roman" w:hAnsi="Times New Roman"/>
                <w:sz w:val="20"/>
                <w:szCs w:val="20"/>
                <w:lang w:eastAsia="it-IT"/>
              </w:rPr>
              <w:t>Створено безперешкодний доступ для маломобільних груп.</w:t>
            </w:r>
          </w:p>
          <w:p w14:paraId="624AC7D6" w14:textId="77777777" w:rsidR="0097410E" w:rsidRPr="000413EB" w:rsidRDefault="0097410E" w:rsidP="0097410E">
            <w:pPr>
              <w:tabs>
                <w:tab w:val="left" w:pos="264"/>
              </w:tabs>
              <w:jc w:val="both"/>
              <w:rPr>
                <w:rFonts w:ascii="Times New Roman" w:hAnsi="Times New Roman"/>
                <w:sz w:val="20"/>
                <w:szCs w:val="20"/>
                <w:lang w:eastAsia="it-IT"/>
              </w:rPr>
            </w:pPr>
            <w:r w:rsidRPr="000413EB">
              <w:rPr>
                <w:rFonts w:ascii="Times New Roman" w:hAnsi="Times New Roman"/>
                <w:sz w:val="20"/>
                <w:szCs w:val="20"/>
                <w:lang w:eastAsia="it-IT"/>
              </w:rPr>
              <w:t>Позитивна оцінка громадськості (не менше 85% задоволених користувачів).</w:t>
            </w:r>
          </w:p>
          <w:p w14:paraId="69E14A5C" w14:textId="77777777" w:rsidR="0097410E" w:rsidRPr="000413EB" w:rsidRDefault="0097410E" w:rsidP="0097410E">
            <w:pPr>
              <w:tabs>
                <w:tab w:val="left" w:pos="264"/>
              </w:tabs>
              <w:jc w:val="both"/>
              <w:rPr>
                <w:rFonts w:ascii="Times New Roman" w:hAnsi="Times New Roman"/>
                <w:sz w:val="20"/>
                <w:szCs w:val="20"/>
                <w:lang w:eastAsia="it-IT"/>
              </w:rPr>
            </w:pPr>
            <w:r w:rsidRPr="000413EB">
              <w:rPr>
                <w:rFonts w:ascii="Times New Roman" w:hAnsi="Times New Roman"/>
                <w:sz w:val="20"/>
                <w:szCs w:val="20"/>
                <w:lang w:eastAsia="it-IT"/>
              </w:rPr>
              <w:t>Введено оновлену інфраструктуру в експлуатацію в межах запланованого терміну</w:t>
            </w:r>
          </w:p>
        </w:tc>
      </w:tr>
      <w:tr w:rsidR="0097410E" w:rsidRPr="000413EB" w14:paraId="2E46F0E4" w14:textId="77777777" w:rsidTr="000413EB">
        <w:tc>
          <w:tcPr>
            <w:tcW w:w="567" w:type="dxa"/>
            <w:shd w:val="clear" w:color="auto" w:fill="auto"/>
          </w:tcPr>
          <w:p w14:paraId="17BC9C00" w14:textId="1A8E9350" w:rsidR="0097410E" w:rsidRPr="000413EB" w:rsidRDefault="00C52095" w:rsidP="0097410E">
            <w:pPr>
              <w:pStyle w:val="aa"/>
              <w:jc w:val="both"/>
              <w:rPr>
                <w:rFonts w:ascii="Times New Roman" w:eastAsia="Arial" w:hAnsi="Times New Roman"/>
                <w:sz w:val="20"/>
                <w:szCs w:val="20"/>
              </w:rPr>
            </w:pPr>
            <w:r>
              <w:rPr>
                <w:rFonts w:ascii="Times New Roman" w:eastAsia="Arial" w:hAnsi="Times New Roman"/>
                <w:sz w:val="20"/>
                <w:szCs w:val="20"/>
              </w:rPr>
              <w:t>55</w:t>
            </w:r>
          </w:p>
        </w:tc>
        <w:tc>
          <w:tcPr>
            <w:tcW w:w="2694" w:type="dxa"/>
            <w:shd w:val="clear" w:color="auto" w:fill="auto"/>
          </w:tcPr>
          <w:p w14:paraId="39B96A0B"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С.3.4. Розбудова мережі сучасних спортивних закладів та споруд</w:t>
            </w:r>
          </w:p>
        </w:tc>
        <w:tc>
          <w:tcPr>
            <w:tcW w:w="2551" w:type="dxa"/>
            <w:shd w:val="clear" w:color="auto" w:fill="auto"/>
          </w:tcPr>
          <w:p w14:paraId="192601C3" w14:textId="77777777" w:rsidR="0097410E" w:rsidRPr="000413EB" w:rsidRDefault="0097410E" w:rsidP="0097410E">
            <w:pPr>
              <w:autoSpaceDE w:val="0"/>
              <w:autoSpaceDN w:val="0"/>
              <w:jc w:val="both"/>
              <w:rPr>
                <w:rFonts w:ascii="Times New Roman" w:hAnsi="Times New Roman"/>
                <w:sz w:val="20"/>
                <w:szCs w:val="20"/>
                <w:lang w:eastAsia="en-US"/>
              </w:rPr>
            </w:pPr>
            <w:r w:rsidRPr="000413EB">
              <w:rPr>
                <w:rFonts w:ascii="Times New Roman" w:hAnsi="Times New Roman"/>
                <w:sz w:val="20"/>
                <w:szCs w:val="20"/>
                <w:lang w:eastAsia="en-US"/>
              </w:rPr>
              <w:t>С.3.4.2. Будівництво, реконструкція інфраструктури спорту з урахуванням гендерного аспекту.</w:t>
            </w:r>
          </w:p>
        </w:tc>
        <w:tc>
          <w:tcPr>
            <w:tcW w:w="2835" w:type="dxa"/>
            <w:shd w:val="clear" w:color="auto" w:fill="auto"/>
          </w:tcPr>
          <w:p w14:paraId="621E608B"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hAnsi="Times New Roman"/>
                <w:bCs/>
                <w:sz w:val="20"/>
                <w:szCs w:val="20"/>
                <w:lang w:eastAsia="it-IT"/>
              </w:rPr>
            </w:pPr>
            <w:r w:rsidRPr="000413EB">
              <w:rPr>
                <w:rFonts w:ascii="Times New Roman" w:hAnsi="Times New Roman"/>
                <w:bCs/>
                <w:sz w:val="20"/>
                <w:szCs w:val="20"/>
                <w:lang w:eastAsia="it-IT"/>
              </w:rPr>
              <w:t>Капітальний ремонт освітлення території КП «Парковий культурно-спортивний комплекс»</w:t>
            </w:r>
          </w:p>
        </w:tc>
        <w:tc>
          <w:tcPr>
            <w:tcW w:w="1276" w:type="dxa"/>
            <w:shd w:val="clear" w:color="auto" w:fill="auto"/>
          </w:tcPr>
          <w:p w14:paraId="426A9202" w14:textId="77777777" w:rsidR="0097410E" w:rsidRPr="000413EB" w:rsidRDefault="0097410E" w:rsidP="0097410E">
            <w:pPr>
              <w:widowControl w:val="0"/>
              <w:tabs>
                <w:tab w:val="left" w:pos="569"/>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2027</w:t>
            </w:r>
          </w:p>
        </w:tc>
        <w:tc>
          <w:tcPr>
            <w:tcW w:w="2345" w:type="dxa"/>
            <w:shd w:val="clear" w:color="auto" w:fill="auto"/>
          </w:tcPr>
          <w:p w14:paraId="0D702495" w14:textId="77777777" w:rsidR="0097410E" w:rsidRPr="000413EB" w:rsidRDefault="0097410E" w:rsidP="0097410E">
            <w:pPr>
              <w:jc w:val="both"/>
              <w:rPr>
                <w:rFonts w:ascii="Times New Roman" w:hAnsi="Times New Roman"/>
                <w:color w:val="000000"/>
                <w:sz w:val="20"/>
                <w:szCs w:val="20"/>
                <w:lang w:eastAsia="it-IT"/>
              </w:rPr>
            </w:pPr>
            <w:r w:rsidRPr="000413EB">
              <w:rPr>
                <w:rFonts w:ascii="Times New Roman" w:hAnsi="Times New Roman"/>
                <w:color w:val="000000"/>
                <w:sz w:val="20"/>
                <w:szCs w:val="20"/>
                <w:lang w:eastAsia="it-IT"/>
              </w:rPr>
              <w:t>Управління житлово-комунального господарства Жмеринської міської ради</w:t>
            </w:r>
          </w:p>
          <w:p w14:paraId="2238110B" w14:textId="77777777" w:rsidR="0097410E" w:rsidRPr="000413EB" w:rsidRDefault="0097410E" w:rsidP="0097410E">
            <w:pPr>
              <w:jc w:val="both"/>
              <w:rPr>
                <w:rFonts w:ascii="Times New Roman" w:hAnsi="Times New Roman"/>
                <w:color w:val="000000"/>
                <w:sz w:val="20"/>
                <w:szCs w:val="20"/>
                <w:lang w:eastAsia="it-IT"/>
              </w:rPr>
            </w:pPr>
          </w:p>
        </w:tc>
        <w:tc>
          <w:tcPr>
            <w:tcW w:w="2900" w:type="dxa"/>
            <w:shd w:val="clear" w:color="auto" w:fill="auto"/>
          </w:tcPr>
          <w:p w14:paraId="5BF28D37" w14:textId="77777777" w:rsidR="0097410E" w:rsidRPr="000413EB" w:rsidRDefault="0097410E" w:rsidP="0097410E">
            <w:pPr>
              <w:tabs>
                <w:tab w:val="left" w:pos="264"/>
              </w:tabs>
              <w:jc w:val="both"/>
              <w:rPr>
                <w:rFonts w:ascii="Times New Roman" w:hAnsi="Times New Roman"/>
                <w:sz w:val="20"/>
                <w:szCs w:val="20"/>
                <w:lang w:eastAsia="it-IT"/>
              </w:rPr>
            </w:pPr>
            <w:r w:rsidRPr="000413EB">
              <w:rPr>
                <w:rFonts w:ascii="Times New Roman" w:hAnsi="Times New Roman"/>
                <w:sz w:val="20"/>
                <w:szCs w:val="20"/>
                <w:lang w:eastAsia="it-IT"/>
              </w:rPr>
              <w:t>Повне оновлення 100% освітлювальної мережі території КП.</w:t>
            </w:r>
          </w:p>
          <w:p w14:paraId="032055FE" w14:textId="77777777" w:rsidR="0097410E" w:rsidRPr="000413EB" w:rsidRDefault="0097410E" w:rsidP="0097410E">
            <w:pPr>
              <w:tabs>
                <w:tab w:val="left" w:pos="264"/>
              </w:tabs>
              <w:jc w:val="both"/>
              <w:rPr>
                <w:rFonts w:ascii="Times New Roman" w:hAnsi="Times New Roman"/>
                <w:sz w:val="20"/>
                <w:szCs w:val="20"/>
                <w:lang w:eastAsia="it-IT"/>
              </w:rPr>
            </w:pPr>
            <w:r w:rsidRPr="000413EB">
              <w:rPr>
                <w:rFonts w:ascii="Times New Roman" w:hAnsi="Times New Roman"/>
                <w:sz w:val="20"/>
                <w:szCs w:val="20"/>
                <w:lang w:eastAsia="it-IT"/>
              </w:rPr>
              <w:t>Забезпечено нормативний рівень освітленості (20–50 лк у пішохідних зонах).</w:t>
            </w:r>
          </w:p>
          <w:p w14:paraId="0A8FB10A" w14:textId="77777777" w:rsidR="0097410E" w:rsidRPr="000413EB" w:rsidRDefault="0097410E" w:rsidP="0097410E">
            <w:pPr>
              <w:tabs>
                <w:tab w:val="left" w:pos="264"/>
              </w:tabs>
              <w:jc w:val="both"/>
              <w:rPr>
                <w:rFonts w:ascii="Times New Roman" w:hAnsi="Times New Roman"/>
                <w:sz w:val="20"/>
                <w:szCs w:val="20"/>
                <w:lang w:eastAsia="it-IT"/>
              </w:rPr>
            </w:pPr>
            <w:r w:rsidRPr="000413EB">
              <w:rPr>
                <w:rFonts w:ascii="Times New Roman" w:hAnsi="Times New Roman"/>
                <w:sz w:val="20"/>
                <w:szCs w:val="20"/>
                <w:lang w:eastAsia="it-IT"/>
              </w:rPr>
              <w:t>Економія електроенергії щонайменше на 30–50% завдяки LED-технологіям.</w:t>
            </w:r>
          </w:p>
          <w:p w14:paraId="45879637" w14:textId="77777777" w:rsidR="0097410E" w:rsidRPr="000413EB" w:rsidRDefault="0097410E" w:rsidP="0097410E">
            <w:pPr>
              <w:tabs>
                <w:tab w:val="left" w:pos="264"/>
              </w:tabs>
              <w:jc w:val="both"/>
              <w:rPr>
                <w:rFonts w:ascii="Times New Roman" w:hAnsi="Times New Roman"/>
                <w:sz w:val="20"/>
                <w:szCs w:val="20"/>
                <w:lang w:eastAsia="it-IT"/>
              </w:rPr>
            </w:pPr>
            <w:r w:rsidRPr="000413EB">
              <w:rPr>
                <w:rFonts w:ascii="Times New Roman" w:hAnsi="Times New Roman"/>
                <w:sz w:val="20"/>
                <w:szCs w:val="20"/>
                <w:lang w:eastAsia="it-IT"/>
              </w:rPr>
              <w:t>Підвищено безпеку й комфорт пересування у вечірній і нічний час.</w:t>
            </w:r>
          </w:p>
          <w:p w14:paraId="7D9A94AF" w14:textId="77777777" w:rsidR="0097410E" w:rsidRPr="000413EB" w:rsidRDefault="0097410E" w:rsidP="0097410E">
            <w:pPr>
              <w:tabs>
                <w:tab w:val="left" w:pos="264"/>
              </w:tabs>
              <w:jc w:val="both"/>
              <w:rPr>
                <w:rFonts w:ascii="Times New Roman" w:hAnsi="Times New Roman"/>
                <w:sz w:val="20"/>
                <w:szCs w:val="20"/>
                <w:lang w:eastAsia="it-IT"/>
              </w:rPr>
            </w:pPr>
            <w:r w:rsidRPr="000413EB">
              <w:rPr>
                <w:rFonts w:ascii="Times New Roman" w:hAnsi="Times New Roman"/>
                <w:sz w:val="20"/>
                <w:szCs w:val="20"/>
                <w:lang w:eastAsia="it-IT"/>
              </w:rPr>
              <w:t>Позитивна оцінка користувачів (не менше 90% задоволеності).</w:t>
            </w:r>
          </w:p>
        </w:tc>
      </w:tr>
      <w:tr w:rsidR="0097410E" w:rsidRPr="000413EB" w14:paraId="292FDA3D" w14:textId="77777777" w:rsidTr="000413EB">
        <w:tc>
          <w:tcPr>
            <w:tcW w:w="567" w:type="dxa"/>
            <w:shd w:val="clear" w:color="auto" w:fill="auto"/>
          </w:tcPr>
          <w:p w14:paraId="72942348" w14:textId="6AB62074" w:rsidR="0097410E" w:rsidRPr="000413EB" w:rsidRDefault="00C52095" w:rsidP="0097410E">
            <w:pPr>
              <w:pStyle w:val="aa"/>
              <w:jc w:val="both"/>
              <w:rPr>
                <w:rFonts w:ascii="Times New Roman" w:eastAsia="Arial" w:hAnsi="Times New Roman"/>
                <w:sz w:val="20"/>
                <w:szCs w:val="20"/>
              </w:rPr>
            </w:pPr>
            <w:r>
              <w:rPr>
                <w:rFonts w:ascii="Times New Roman" w:eastAsia="Arial" w:hAnsi="Times New Roman"/>
                <w:sz w:val="20"/>
                <w:szCs w:val="20"/>
              </w:rPr>
              <w:t>56</w:t>
            </w:r>
          </w:p>
        </w:tc>
        <w:tc>
          <w:tcPr>
            <w:tcW w:w="2694" w:type="dxa"/>
            <w:shd w:val="clear" w:color="auto" w:fill="auto"/>
          </w:tcPr>
          <w:p w14:paraId="381A73CC"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С.3.4. Розбудова мережі сучасних спортивних закладів та споруд</w:t>
            </w:r>
          </w:p>
        </w:tc>
        <w:tc>
          <w:tcPr>
            <w:tcW w:w="2551" w:type="dxa"/>
            <w:shd w:val="clear" w:color="auto" w:fill="auto"/>
          </w:tcPr>
          <w:p w14:paraId="69D92FA6" w14:textId="77777777" w:rsidR="0097410E" w:rsidRPr="000413EB" w:rsidRDefault="0097410E" w:rsidP="0097410E">
            <w:pPr>
              <w:autoSpaceDE w:val="0"/>
              <w:autoSpaceDN w:val="0"/>
              <w:jc w:val="both"/>
              <w:rPr>
                <w:rFonts w:ascii="Times New Roman" w:hAnsi="Times New Roman"/>
                <w:sz w:val="20"/>
                <w:szCs w:val="20"/>
                <w:lang w:eastAsia="en-US"/>
              </w:rPr>
            </w:pPr>
            <w:r w:rsidRPr="000413EB">
              <w:rPr>
                <w:rFonts w:ascii="Times New Roman" w:hAnsi="Times New Roman"/>
                <w:sz w:val="20"/>
                <w:szCs w:val="20"/>
                <w:lang w:eastAsia="en-US"/>
              </w:rPr>
              <w:t>С.3.4.2. Будівництво, реконструкція інфраструктури спорту з урахуванням гендерного аспекту.</w:t>
            </w:r>
          </w:p>
          <w:p w14:paraId="4C05EBA4"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p>
        </w:tc>
        <w:tc>
          <w:tcPr>
            <w:tcW w:w="2835" w:type="dxa"/>
            <w:shd w:val="clear" w:color="auto" w:fill="auto"/>
          </w:tcPr>
          <w:p w14:paraId="1A2DC17B"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hAnsi="Times New Roman"/>
                <w:bCs/>
                <w:sz w:val="20"/>
                <w:szCs w:val="20"/>
              </w:rPr>
              <w:t>Вуличний багатофункціональний спортивно-оздоровчий простір з гумовим або штучним покриттям у мікрорайоні «Сектор»</w:t>
            </w:r>
          </w:p>
        </w:tc>
        <w:tc>
          <w:tcPr>
            <w:tcW w:w="1276" w:type="dxa"/>
            <w:shd w:val="clear" w:color="auto" w:fill="auto"/>
          </w:tcPr>
          <w:p w14:paraId="6864496C"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2026</w:t>
            </w:r>
          </w:p>
        </w:tc>
        <w:tc>
          <w:tcPr>
            <w:tcW w:w="2345" w:type="dxa"/>
            <w:shd w:val="clear" w:color="auto" w:fill="auto"/>
          </w:tcPr>
          <w:p w14:paraId="6A61A7D9"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Управління житлово-комунального господарства Жмеринської міської ради</w:t>
            </w:r>
          </w:p>
          <w:p w14:paraId="3F711416" w14:textId="77777777" w:rsidR="0097410E" w:rsidRPr="000413EB" w:rsidRDefault="0097410E" w:rsidP="0097410E">
            <w:pPr>
              <w:jc w:val="both"/>
              <w:rPr>
                <w:rFonts w:ascii="Times New Roman" w:hAnsi="Times New Roman"/>
                <w:sz w:val="20"/>
                <w:szCs w:val="20"/>
              </w:rPr>
            </w:pPr>
          </w:p>
          <w:p w14:paraId="701C6B2D"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p>
        </w:tc>
        <w:tc>
          <w:tcPr>
            <w:tcW w:w="2900" w:type="dxa"/>
            <w:shd w:val="clear" w:color="auto" w:fill="auto"/>
          </w:tcPr>
          <w:p w14:paraId="0D489FBA"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Побудова багатофункціонального спортивного майданчику з гумовим або штучним покриттям</w:t>
            </w:r>
          </w:p>
          <w:p w14:paraId="36245825"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Залучено щонайменше 500 мешканців громади до занять спортом щомісяця.</w:t>
            </w:r>
          </w:p>
          <w:p w14:paraId="2B565869" w14:textId="57611310"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 xml:space="preserve">Проведено регулярні спортивні змагання, тренування та </w:t>
            </w:r>
            <w:r w:rsidR="00612413" w:rsidRPr="000413EB">
              <w:rPr>
                <w:rFonts w:ascii="Times New Roman" w:hAnsi="Times New Roman"/>
                <w:sz w:val="20"/>
                <w:szCs w:val="20"/>
              </w:rPr>
              <w:t>дозвіллєвих</w:t>
            </w:r>
            <w:r w:rsidR="00612413">
              <w:rPr>
                <w:rFonts w:ascii="Times New Roman" w:hAnsi="Times New Roman"/>
                <w:sz w:val="20"/>
                <w:szCs w:val="20"/>
              </w:rPr>
              <w:t xml:space="preserve"> заходів</w:t>
            </w:r>
            <w:r w:rsidRPr="000413EB">
              <w:rPr>
                <w:rFonts w:ascii="Times New Roman" w:hAnsi="Times New Roman"/>
                <w:sz w:val="20"/>
                <w:szCs w:val="20"/>
              </w:rPr>
              <w:t>.</w:t>
            </w:r>
          </w:p>
          <w:p w14:paraId="2A8A8D3C"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Підвищено рівень фізичної активності серед дітей, молоді, населення середнього та пенсійного віку, людей з інвалідністю.</w:t>
            </w:r>
          </w:p>
          <w:p w14:paraId="20590F84"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Залучено до спорту понад 60% місцевого населення.</w:t>
            </w:r>
          </w:p>
          <w:p w14:paraId="13B4F0D4"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Знижено рівень захворюваності та гіподинамії.</w:t>
            </w:r>
          </w:p>
          <w:p w14:paraId="1F87BF7F"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Підвищено соціальну інтеграцію. та міжпоколіннєву взаємодію.</w:t>
            </w:r>
          </w:p>
          <w:p w14:paraId="35CA33BE"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Поява нового простору для самореалізації та дозвілля.</w:t>
            </w:r>
          </w:p>
        </w:tc>
      </w:tr>
      <w:tr w:rsidR="0097410E" w:rsidRPr="000413EB" w14:paraId="399B43B8" w14:textId="77777777" w:rsidTr="000413EB">
        <w:tc>
          <w:tcPr>
            <w:tcW w:w="567" w:type="dxa"/>
            <w:shd w:val="clear" w:color="auto" w:fill="auto"/>
          </w:tcPr>
          <w:p w14:paraId="2BD42450" w14:textId="6807EB6A" w:rsidR="0097410E" w:rsidRPr="000413EB" w:rsidRDefault="00C52095" w:rsidP="0097410E">
            <w:pPr>
              <w:pStyle w:val="aa"/>
              <w:jc w:val="both"/>
              <w:rPr>
                <w:rFonts w:ascii="Times New Roman" w:eastAsia="Arial" w:hAnsi="Times New Roman"/>
                <w:sz w:val="20"/>
                <w:szCs w:val="20"/>
              </w:rPr>
            </w:pPr>
            <w:r>
              <w:rPr>
                <w:rFonts w:ascii="Times New Roman" w:eastAsia="Arial" w:hAnsi="Times New Roman"/>
                <w:sz w:val="20"/>
                <w:szCs w:val="20"/>
              </w:rPr>
              <w:t>57</w:t>
            </w:r>
          </w:p>
        </w:tc>
        <w:tc>
          <w:tcPr>
            <w:tcW w:w="2694" w:type="dxa"/>
            <w:shd w:val="clear" w:color="auto" w:fill="auto"/>
          </w:tcPr>
          <w:p w14:paraId="0481D5DA"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С.3.4. Розбудова мережі сучасних спортивних закладів та споруд</w:t>
            </w:r>
          </w:p>
        </w:tc>
        <w:tc>
          <w:tcPr>
            <w:tcW w:w="2551" w:type="dxa"/>
            <w:shd w:val="clear" w:color="auto" w:fill="auto"/>
          </w:tcPr>
          <w:p w14:paraId="03F5B5EF" w14:textId="77777777" w:rsidR="0097410E" w:rsidRPr="000413EB" w:rsidRDefault="0097410E" w:rsidP="0097410E">
            <w:pPr>
              <w:jc w:val="both"/>
              <w:rPr>
                <w:rFonts w:ascii="Times New Roman" w:hAnsi="Times New Roman"/>
                <w:bCs/>
                <w:sz w:val="20"/>
                <w:szCs w:val="20"/>
              </w:rPr>
            </w:pPr>
            <w:r w:rsidRPr="000413EB">
              <w:rPr>
                <w:rFonts w:ascii="Times New Roman" w:hAnsi="Times New Roman"/>
                <w:bCs/>
                <w:sz w:val="20"/>
                <w:szCs w:val="20"/>
              </w:rPr>
              <w:t>С.3.4.2. Будівництво, реконструкція інфраструктури спорту з урахуванням гендерного аспекту</w:t>
            </w:r>
          </w:p>
          <w:p w14:paraId="04514BF9" w14:textId="77777777" w:rsidR="0097410E" w:rsidRPr="000413EB" w:rsidRDefault="0097410E" w:rsidP="0097410E">
            <w:pPr>
              <w:jc w:val="both"/>
              <w:rPr>
                <w:rFonts w:ascii="Times New Roman" w:hAnsi="Times New Roman"/>
                <w:bCs/>
                <w:i/>
                <w:sz w:val="20"/>
                <w:szCs w:val="20"/>
              </w:rPr>
            </w:pPr>
            <w:r w:rsidRPr="000413EB">
              <w:rPr>
                <w:rFonts w:ascii="Times New Roman" w:hAnsi="Times New Roman"/>
                <w:bCs/>
                <w:sz w:val="20"/>
                <w:szCs w:val="20"/>
              </w:rPr>
              <w:t>С.3.4.6. Створення футбольних полів із штучним покриттям.</w:t>
            </w:r>
          </w:p>
          <w:p w14:paraId="3DDC4123"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p>
        </w:tc>
        <w:tc>
          <w:tcPr>
            <w:tcW w:w="2835" w:type="dxa"/>
            <w:shd w:val="clear" w:color="auto" w:fill="auto"/>
          </w:tcPr>
          <w:p w14:paraId="45BB9F9A"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hAnsi="Times New Roman"/>
                <w:sz w:val="20"/>
                <w:szCs w:val="20"/>
              </w:rPr>
              <w:t>«Новий подих "Локомотива": реконструкція стадіону для активного життя громади»</w:t>
            </w:r>
          </w:p>
        </w:tc>
        <w:tc>
          <w:tcPr>
            <w:tcW w:w="1276" w:type="dxa"/>
            <w:shd w:val="clear" w:color="auto" w:fill="auto"/>
          </w:tcPr>
          <w:p w14:paraId="49E6A026"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2027-2028</w:t>
            </w:r>
          </w:p>
        </w:tc>
        <w:tc>
          <w:tcPr>
            <w:tcW w:w="2345" w:type="dxa"/>
            <w:shd w:val="clear" w:color="auto" w:fill="auto"/>
          </w:tcPr>
          <w:p w14:paraId="2F9ABD67"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Управління житлово-комунального господарства Жмеринської міської ради</w:t>
            </w:r>
          </w:p>
        </w:tc>
        <w:tc>
          <w:tcPr>
            <w:tcW w:w="2900" w:type="dxa"/>
            <w:shd w:val="clear" w:color="auto" w:fill="auto"/>
          </w:tcPr>
          <w:p w14:paraId="5E60EBF6"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Реконструйований стадіон загальною площею понад 1 га.</w:t>
            </w:r>
          </w:p>
          <w:p w14:paraId="47492A83"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Нове футбольне поле та бігові доріжки, сертифіковані для змагань.</w:t>
            </w:r>
          </w:p>
          <w:p w14:paraId="5CF0BDE1"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Понад 3000 осіб на місяць зможуть користуватися стадіоном.</w:t>
            </w:r>
          </w:p>
          <w:p w14:paraId="1AB135DC"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Проведено щонайменше 20 спортивних заходів на рік.</w:t>
            </w:r>
          </w:p>
          <w:p w14:paraId="1B6BF996"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Залучено учнів 10+ навчальних закладів до тренувань.</w:t>
            </w:r>
          </w:p>
          <w:p w14:paraId="1852BFF8" w14:textId="281BA070"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 xml:space="preserve">Створено </w:t>
            </w:r>
            <w:r w:rsidR="00612413" w:rsidRPr="000413EB">
              <w:rPr>
                <w:rFonts w:ascii="Times New Roman" w:hAnsi="Times New Roman"/>
                <w:sz w:val="20"/>
                <w:szCs w:val="20"/>
              </w:rPr>
              <w:t>без бар’єрне</w:t>
            </w:r>
            <w:r w:rsidRPr="000413EB">
              <w:rPr>
                <w:rFonts w:ascii="Times New Roman" w:hAnsi="Times New Roman"/>
                <w:sz w:val="20"/>
                <w:szCs w:val="20"/>
              </w:rPr>
              <w:t xml:space="preserve"> середовище для маломобільних відвідувачів</w:t>
            </w:r>
            <w:r w:rsidR="00F27D41">
              <w:rPr>
                <w:rFonts w:ascii="Times New Roman" w:hAnsi="Times New Roman"/>
                <w:sz w:val="20"/>
                <w:szCs w:val="20"/>
              </w:rPr>
              <w:t>.</w:t>
            </w:r>
          </w:p>
        </w:tc>
      </w:tr>
      <w:tr w:rsidR="0097410E" w:rsidRPr="000413EB" w14:paraId="6A786097" w14:textId="77777777" w:rsidTr="000413EB">
        <w:tc>
          <w:tcPr>
            <w:tcW w:w="567" w:type="dxa"/>
            <w:shd w:val="clear" w:color="auto" w:fill="auto"/>
          </w:tcPr>
          <w:p w14:paraId="1481AD48" w14:textId="12DF2338" w:rsidR="0097410E" w:rsidRPr="000413EB" w:rsidRDefault="00C52095" w:rsidP="0097410E">
            <w:pPr>
              <w:pStyle w:val="aa"/>
              <w:jc w:val="both"/>
              <w:rPr>
                <w:rFonts w:ascii="Times New Roman" w:eastAsia="Arial" w:hAnsi="Times New Roman"/>
                <w:sz w:val="20"/>
                <w:szCs w:val="20"/>
              </w:rPr>
            </w:pPr>
            <w:r>
              <w:rPr>
                <w:rFonts w:ascii="Times New Roman" w:eastAsia="Arial" w:hAnsi="Times New Roman"/>
                <w:sz w:val="20"/>
                <w:szCs w:val="20"/>
              </w:rPr>
              <w:t>58</w:t>
            </w:r>
          </w:p>
        </w:tc>
        <w:tc>
          <w:tcPr>
            <w:tcW w:w="2694" w:type="dxa"/>
            <w:shd w:val="clear" w:color="auto" w:fill="auto"/>
          </w:tcPr>
          <w:p w14:paraId="4DE168EA"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С.3.4. Розбудова мережі сучасних спортивних закладів та споруд</w:t>
            </w:r>
          </w:p>
        </w:tc>
        <w:tc>
          <w:tcPr>
            <w:tcW w:w="2551" w:type="dxa"/>
            <w:shd w:val="clear" w:color="auto" w:fill="auto"/>
          </w:tcPr>
          <w:p w14:paraId="5B82B6F7" w14:textId="77777777" w:rsidR="0097410E" w:rsidRPr="000413EB" w:rsidRDefault="0097410E" w:rsidP="0097410E">
            <w:pPr>
              <w:jc w:val="both"/>
              <w:rPr>
                <w:rFonts w:ascii="Times New Roman" w:hAnsi="Times New Roman"/>
                <w:bCs/>
                <w:sz w:val="20"/>
                <w:szCs w:val="20"/>
              </w:rPr>
            </w:pPr>
            <w:r w:rsidRPr="000413EB">
              <w:rPr>
                <w:rFonts w:ascii="Times New Roman" w:hAnsi="Times New Roman"/>
                <w:bCs/>
                <w:sz w:val="20"/>
                <w:szCs w:val="20"/>
              </w:rPr>
              <w:t>С.3.4.2. Будівництво, реконструкція інфраструктури спорту з урахуванням гендерного аспекту</w:t>
            </w:r>
          </w:p>
          <w:p w14:paraId="40B21964" w14:textId="77777777" w:rsidR="0097410E" w:rsidRPr="000413EB" w:rsidRDefault="0097410E" w:rsidP="0097410E">
            <w:pPr>
              <w:jc w:val="both"/>
              <w:rPr>
                <w:rFonts w:ascii="Times New Roman" w:hAnsi="Times New Roman"/>
                <w:bCs/>
                <w:i/>
                <w:sz w:val="20"/>
                <w:szCs w:val="20"/>
              </w:rPr>
            </w:pPr>
          </w:p>
          <w:p w14:paraId="0B84EE3E"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p>
        </w:tc>
        <w:tc>
          <w:tcPr>
            <w:tcW w:w="2835" w:type="dxa"/>
            <w:shd w:val="clear" w:color="auto" w:fill="auto"/>
          </w:tcPr>
          <w:p w14:paraId="05B47CFF"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hAnsi="Times New Roman"/>
                <w:bCs/>
                <w:sz w:val="20"/>
                <w:szCs w:val="20"/>
              </w:rPr>
              <w:t>Вуличний багатофункціональний спортивно-оздоровчий простір з гумовим або штучним покриттям у мікрорайоні «Мала Жмеринка»</w:t>
            </w:r>
          </w:p>
        </w:tc>
        <w:tc>
          <w:tcPr>
            <w:tcW w:w="1276" w:type="dxa"/>
            <w:shd w:val="clear" w:color="auto" w:fill="auto"/>
          </w:tcPr>
          <w:p w14:paraId="782BE626"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2026</w:t>
            </w:r>
          </w:p>
        </w:tc>
        <w:tc>
          <w:tcPr>
            <w:tcW w:w="2345" w:type="dxa"/>
            <w:shd w:val="clear" w:color="auto" w:fill="auto"/>
          </w:tcPr>
          <w:p w14:paraId="472943C1"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Управління житлово-комунального господарства Жмеринської міської ради</w:t>
            </w:r>
          </w:p>
          <w:p w14:paraId="15191803" w14:textId="77777777" w:rsidR="0097410E" w:rsidRPr="000413EB" w:rsidRDefault="0097410E" w:rsidP="0097410E">
            <w:pPr>
              <w:jc w:val="both"/>
              <w:rPr>
                <w:rFonts w:ascii="Times New Roman" w:hAnsi="Times New Roman"/>
                <w:sz w:val="20"/>
                <w:szCs w:val="20"/>
              </w:rPr>
            </w:pPr>
          </w:p>
          <w:p w14:paraId="7EBAD6D8"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p>
        </w:tc>
        <w:tc>
          <w:tcPr>
            <w:tcW w:w="2900" w:type="dxa"/>
            <w:shd w:val="clear" w:color="auto" w:fill="auto"/>
          </w:tcPr>
          <w:p w14:paraId="60D11FAB"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Побудова багатофункціонального спортивного майданчику з гумовим або штучним покриттям</w:t>
            </w:r>
          </w:p>
          <w:p w14:paraId="51B8BF0F"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Залучено щонайменше 500 мешканців громади до занять спортом щомісяця.</w:t>
            </w:r>
          </w:p>
          <w:p w14:paraId="3786776B"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Проведення регулярних спортивних змагань, тренувань та дозвіллєвих заходів.</w:t>
            </w:r>
          </w:p>
          <w:p w14:paraId="3CA01CF6"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Підвищено рівень фізичної активності серед дітей, молоді, населення середнього та пенсійного віку, людей з інвалідністю.</w:t>
            </w:r>
          </w:p>
          <w:p w14:paraId="6583E215"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Залучено до спорту понад 60% місцевого населення.</w:t>
            </w:r>
          </w:p>
          <w:p w14:paraId="0F851BDE"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Знижено рівень захворюваності та гіподинамії.</w:t>
            </w:r>
          </w:p>
          <w:p w14:paraId="008ADE22"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Поява нового простору для самореалізації та дозвілля.</w:t>
            </w:r>
          </w:p>
        </w:tc>
      </w:tr>
      <w:tr w:rsidR="0097410E" w:rsidRPr="000413EB" w14:paraId="585CB8AD" w14:textId="77777777" w:rsidTr="000413EB">
        <w:tc>
          <w:tcPr>
            <w:tcW w:w="567" w:type="dxa"/>
            <w:shd w:val="clear" w:color="auto" w:fill="auto"/>
          </w:tcPr>
          <w:p w14:paraId="271E816F" w14:textId="1556C96D" w:rsidR="0097410E" w:rsidRPr="000413EB" w:rsidRDefault="00C52095" w:rsidP="0097410E">
            <w:pPr>
              <w:pStyle w:val="aa"/>
              <w:jc w:val="both"/>
              <w:rPr>
                <w:rFonts w:ascii="Times New Roman" w:eastAsia="Arial" w:hAnsi="Times New Roman"/>
                <w:sz w:val="20"/>
                <w:szCs w:val="20"/>
              </w:rPr>
            </w:pPr>
            <w:r>
              <w:rPr>
                <w:rFonts w:ascii="Times New Roman" w:eastAsia="Arial" w:hAnsi="Times New Roman"/>
                <w:sz w:val="20"/>
                <w:szCs w:val="20"/>
              </w:rPr>
              <w:t>59</w:t>
            </w:r>
          </w:p>
        </w:tc>
        <w:tc>
          <w:tcPr>
            <w:tcW w:w="2694" w:type="dxa"/>
            <w:shd w:val="clear" w:color="auto" w:fill="auto"/>
          </w:tcPr>
          <w:p w14:paraId="585858F0"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С.3.4. Розбудова мережі сучасних спортивних закладів та споруд</w:t>
            </w:r>
          </w:p>
        </w:tc>
        <w:tc>
          <w:tcPr>
            <w:tcW w:w="2551" w:type="dxa"/>
            <w:shd w:val="clear" w:color="auto" w:fill="auto"/>
          </w:tcPr>
          <w:p w14:paraId="5058D251" w14:textId="77777777" w:rsidR="0097410E" w:rsidRPr="000413EB" w:rsidRDefault="0097410E" w:rsidP="0097410E">
            <w:pPr>
              <w:jc w:val="both"/>
              <w:rPr>
                <w:rFonts w:ascii="Times New Roman" w:hAnsi="Times New Roman"/>
                <w:bCs/>
                <w:sz w:val="20"/>
                <w:szCs w:val="20"/>
              </w:rPr>
            </w:pPr>
            <w:r w:rsidRPr="000413EB">
              <w:rPr>
                <w:rFonts w:ascii="Times New Roman" w:hAnsi="Times New Roman"/>
                <w:bCs/>
                <w:sz w:val="20"/>
                <w:szCs w:val="20"/>
              </w:rPr>
              <w:t>С.3.4.2. Будівництво, реконструкція інфраструктури спорту з урахуванням гендерного аспекту.</w:t>
            </w:r>
          </w:p>
          <w:p w14:paraId="7A89532D" w14:textId="77777777" w:rsidR="0097410E" w:rsidRPr="000413EB" w:rsidRDefault="0097410E" w:rsidP="0097410E">
            <w:pPr>
              <w:jc w:val="both"/>
              <w:rPr>
                <w:rFonts w:ascii="Times New Roman" w:hAnsi="Times New Roman"/>
                <w:bCs/>
                <w:sz w:val="20"/>
                <w:szCs w:val="20"/>
              </w:rPr>
            </w:pPr>
            <w:r w:rsidRPr="000413EB">
              <w:rPr>
                <w:rFonts w:ascii="Times New Roman" w:hAnsi="Times New Roman"/>
                <w:bCs/>
                <w:sz w:val="20"/>
                <w:szCs w:val="20"/>
              </w:rPr>
              <w:t>С.3.4.4. Облаштування спортивних залів матеріально-технічною базою.</w:t>
            </w:r>
          </w:p>
          <w:p w14:paraId="0148D8D1" w14:textId="77777777" w:rsidR="0097410E" w:rsidRPr="000413EB" w:rsidRDefault="0097410E" w:rsidP="0097410E">
            <w:pPr>
              <w:jc w:val="both"/>
              <w:rPr>
                <w:rFonts w:ascii="Times New Roman" w:hAnsi="Times New Roman"/>
                <w:bCs/>
                <w:sz w:val="20"/>
                <w:szCs w:val="20"/>
              </w:rPr>
            </w:pPr>
            <w:r w:rsidRPr="000413EB">
              <w:rPr>
                <w:rFonts w:ascii="Times New Roman" w:hAnsi="Times New Roman"/>
                <w:bCs/>
                <w:sz w:val="20"/>
                <w:szCs w:val="20"/>
              </w:rPr>
              <w:t>С.3.4.7. Облаштування сучасних спортивних закладів, відкриття спортивних секцій.</w:t>
            </w:r>
          </w:p>
          <w:p w14:paraId="62B279F4" w14:textId="77777777" w:rsidR="0097410E" w:rsidRPr="000413EB" w:rsidRDefault="0097410E" w:rsidP="0097410E">
            <w:pPr>
              <w:autoSpaceDE w:val="0"/>
              <w:autoSpaceDN w:val="0"/>
              <w:jc w:val="both"/>
              <w:rPr>
                <w:rFonts w:ascii="Times New Roman" w:eastAsia="Arial" w:hAnsi="Times New Roman"/>
                <w:sz w:val="20"/>
                <w:szCs w:val="20"/>
                <w:lang w:eastAsia="en-US"/>
              </w:rPr>
            </w:pPr>
          </w:p>
        </w:tc>
        <w:tc>
          <w:tcPr>
            <w:tcW w:w="2835" w:type="dxa"/>
            <w:shd w:val="clear" w:color="auto" w:fill="auto"/>
          </w:tcPr>
          <w:p w14:paraId="73FD700A"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Будівництво багатофункціонального критого спортивного комплексу на території Центрального міського парку</w:t>
            </w:r>
          </w:p>
          <w:p w14:paraId="5CC0123D"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hAnsi="Times New Roman"/>
                <w:bCs/>
                <w:sz w:val="20"/>
                <w:szCs w:val="20"/>
              </w:rPr>
            </w:pPr>
          </w:p>
        </w:tc>
        <w:tc>
          <w:tcPr>
            <w:tcW w:w="1276" w:type="dxa"/>
            <w:shd w:val="clear" w:color="auto" w:fill="auto"/>
          </w:tcPr>
          <w:p w14:paraId="4F88897F"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2027</w:t>
            </w:r>
          </w:p>
        </w:tc>
        <w:tc>
          <w:tcPr>
            <w:tcW w:w="2345" w:type="dxa"/>
            <w:shd w:val="clear" w:color="auto" w:fill="auto"/>
          </w:tcPr>
          <w:p w14:paraId="75E04FE2" w14:textId="77777777" w:rsidR="008955D4" w:rsidRDefault="0097410E" w:rsidP="0097410E">
            <w:pPr>
              <w:jc w:val="both"/>
              <w:rPr>
                <w:rFonts w:ascii="Times New Roman" w:hAnsi="Times New Roman"/>
                <w:sz w:val="20"/>
                <w:szCs w:val="20"/>
              </w:rPr>
            </w:pPr>
            <w:r w:rsidRPr="000413EB">
              <w:rPr>
                <w:rFonts w:ascii="Times New Roman" w:hAnsi="Times New Roman"/>
                <w:sz w:val="20"/>
                <w:szCs w:val="20"/>
              </w:rPr>
              <w:t xml:space="preserve">Управління житлово-комунального господарства Жмеринської міської ради, </w:t>
            </w:r>
          </w:p>
          <w:p w14:paraId="440FB716" w14:textId="16AFEB3D"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комунальне підприємство «Парковий культурно-спортивний комплекс» Жмеринської міської ради Вінницької області</w:t>
            </w:r>
          </w:p>
        </w:tc>
        <w:tc>
          <w:tcPr>
            <w:tcW w:w="2900" w:type="dxa"/>
            <w:shd w:val="clear" w:color="auto" w:fill="auto"/>
          </w:tcPr>
          <w:p w14:paraId="29EF9AB0"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Побудовано багатофункціональний критий спортивний комплекс загальною площею ~1000–1500 м².</w:t>
            </w:r>
          </w:p>
          <w:p w14:paraId="680E27A7"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Створено чотири окремі або комбіновані спортивні зони (бокс, футбол, волейбол, баскетбол).</w:t>
            </w:r>
          </w:p>
          <w:p w14:paraId="02142A15"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Щомісячно охоплено спортивними активностями — не менше 2000 мешканців громади.</w:t>
            </w:r>
          </w:p>
          <w:p w14:paraId="5A9F1722"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Відкрито спортивні секції для різних вікових груп.</w:t>
            </w:r>
          </w:p>
          <w:p w14:paraId="24475357"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Підвищено рівень фізичної активності серед дітей, молоді, людей середнього та старшого віку, а також осіб з інвалідністю.</w:t>
            </w:r>
          </w:p>
          <w:p w14:paraId="5F54EEDF"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Підвищено якість дозвілля у міському парку, зменшено соціальну ізольованість серед молоді та пенсіонерів.</w:t>
            </w:r>
          </w:p>
        </w:tc>
      </w:tr>
      <w:tr w:rsidR="0097410E" w:rsidRPr="000413EB" w14:paraId="5CFD9054" w14:textId="77777777" w:rsidTr="000413EB">
        <w:tc>
          <w:tcPr>
            <w:tcW w:w="567" w:type="dxa"/>
            <w:shd w:val="clear" w:color="auto" w:fill="auto"/>
          </w:tcPr>
          <w:p w14:paraId="7825B29D" w14:textId="3D7A2946" w:rsidR="0097410E" w:rsidRPr="000413EB" w:rsidRDefault="00C52095" w:rsidP="0097410E">
            <w:pPr>
              <w:pStyle w:val="aa"/>
              <w:jc w:val="both"/>
              <w:rPr>
                <w:rFonts w:ascii="Times New Roman" w:eastAsia="Arial" w:hAnsi="Times New Roman"/>
                <w:sz w:val="20"/>
                <w:szCs w:val="20"/>
              </w:rPr>
            </w:pPr>
            <w:r>
              <w:rPr>
                <w:rFonts w:ascii="Times New Roman" w:eastAsia="Arial" w:hAnsi="Times New Roman"/>
                <w:sz w:val="20"/>
                <w:szCs w:val="20"/>
              </w:rPr>
              <w:t>60</w:t>
            </w:r>
          </w:p>
        </w:tc>
        <w:tc>
          <w:tcPr>
            <w:tcW w:w="2694" w:type="dxa"/>
            <w:shd w:val="clear" w:color="auto" w:fill="auto"/>
          </w:tcPr>
          <w:p w14:paraId="59423535"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С.3.4. Розбудова мережі сучасних спортивних закладів та споруд</w:t>
            </w:r>
          </w:p>
        </w:tc>
        <w:tc>
          <w:tcPr>
            <w:tcW w:w="2551" w:type="dxa"/>
            <w:shd w:val="clear" w:color="auto" w:fill="auto"/>
          </w:tcPr>
          <w:p w14:paraId="5C001BFA" w14:textId="77777777" w:rsidR="0097410E" w:rsidRPr="000413EB" w:rsidRDefault="0097410E" w:rsidP="0097410E">
            <w:pPr>
              <w:jc w:val="both"/>
              <w:rPr>
                <w:rFonts w:ascii="Times New Roman" w:hAnsi="Times New Roman"/>
                <w:bCs/>
                <w:sz w:val="20"/>
                <w:szCs w:val="20"/>
              </w:rPr>
            </w:pPr>
            <w:r w:rsidRPr="000413EB">
              <w:rPr>
                <w:rFonts w:ascii="Times New Roman" w:hAnsi="Times New Roman"/>
                <w:bCs/>
                <w:sz w:val="20"/>
                <w:szCs w:val="20"/>
              </w:rPr>
              <w:t>С.3.4.2.</w:t>
            </w:r>
            <w:r w:rsidRPr="000413EB">
              <w:rPr>
                <w:rFonts w:ascii="Times New Roman" w:hAnsi="Times New Roman"/>
                <w:b/>
                <w:bCs/>
                <w:sz w:val="20"/>
                <w:szCs w:val="20"/>
              </w:rPr>
              <w:t xml:space="preserve"> </w:t>
            </w:r>
            <w:r w:rsidRPr="000413EB">
              <w:rPr>
                <w:rFonts w:ascii="Times New Roman" w:hAnsi="Times New Roman"/>
                <w:bCs/>
                <w:sz w:val="20"/>
                <w:szCs w:val="20"/>
              </w:rPr>
              <w:t>Будівництво, реконструкція інфраструктури спорту з урахуванням гендерного аспекту.</w:t>
            </w:r>
          </w:p>
          <w:p w14:paraId="0B3E2AFA" w14:textId="77777777" w:rsidR="0097410E" w:rsidRPr="000413EB" w:rsidRDefault="0097410E" w:rsidP="0097410E">
            <w:pPr>
              <w:jc w:val="both"/>
              <w:rPr>
                <w:rFonts w:ascii="Times New Roman" w:hAnsi="Times New Roman"/>
                <w:bCs/>
                <w:sz w:val="20"/>
                <w:szCs w:val="20"/>
              </w:rPr>
            </w:pPr>
            <w:r w:rsidRPr="000413EB">
              <w:rPr>
                <w:rFonts w:ascii="Times New Roman" w:hAnsi="Times New Roman"/>
                <w:bCs/>
                <w:sz w:val="20"/>
                <w:szCs w:val="20"/>
              </w:rPr>
              <w:t>С.3.4.4. Облаштування спортивних залів матеріально-технічною базою.</w:t>
            </w:r>
          </w:p>
          <w:p w14:paraId="6B037489" w14:textId="77777777" w:rsidR="0097410E" w:rsidRPr="000413EB" w:rsidRDefault="0097410E" w:rsidP="0097410E">
            <w:pPr>
              <w:jc w:val="both"/>
              <w:rPr>
                <w:rFonts w:ascii="Times New Roman" w:hAnsi="Times New Roman"/>
                <w:bCs/>
                <w:sz w:val="20"/>
                <w:szCs w:val="20"/>
              </w:rPr>
            </w:pPr>
            <w:r w:rsidRPr="000413EB">
              <w:rPr>
                <w:rFonts w:ascii="Times New Roman" w:hAnsi="Times New Roman"/>
                <w:bCs/>
                <w:sz w:val="20"/>
                <w:szCs w:val="20"/>
              </w:rPr>
              <w:t>С.3.4.7. Облаштування сучасних спортивних закладів, відкриття спортивних секцій.</w:t>
            </w:r>
          </w:p>
          <w:p w14:paraId="7E9AA30D"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p>
        </w:tc>
        <w:tc>
          <w:tcPr>
            <w:tcW w:w="2835" w:type="dxa"/>
            <w:shd w:val="clear" w:color="auto" w:fill="auto"/>
          </w:tcPr>
          <w:p w14:paraId="0D6E3086" w14:textId="77777777" w:rsidR="0097410E" w:rsidRPr="000413EB" w:rsidRDefault="0097410E" w:rsidP="0097410E">
            <w:pPr>
              <w:jc w:val="both"/>
              <w:rPr>
                <w:rFonts w:ascii="Times New Roman" w:hAnsi="Times New Roman"/>
                <w:sz w:val="20"/>
                <w:szCs w:val="20"/>
              </w:rPr>
            </w:pPr>
            <w:r w:rsidRPr="000413EB">
              <w:rPr>
                <w:rFonts w:ascii="Times New Roman" w:hAnsi="Times New Roman"/>
                <w:bCs/>
                <w:sz w:val="20"/>
                <w:szCs w:val="20"/>
              </w:rPr>
              <w:t>Облаштування скейт-парку</w:t>
            </w:r>
            <w:r w:rsidRPr="000413EB">
              <w:rPr>
                <w:rFonts w:ascii="Times New Roman" w:hAnsi="Times New Roman"/>
                <w:sz w:val="20"/>
                <w:szCs w:val="20"/>
              </w:rPr>
              <w:t xml:space="preserve"> на території Центрального міського парку</w:t>
            </w:r>
          </w:p>
          <w:p w14:paraId="57482F76"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hAnsi="Times New Roman"/>
                <w:bCs/>
                <w:sz w:val="20"/>
                <w:szCs w:val="20"/>
              </w:rPr>
            </w:pPr>
          </w:p>
        </w:tc>
        <w:tc>
          <w:tcPr>
            <w:tcW w:w="1276" w:type="dxa"/>
            <w:shd w:val="clear" w:color="auto" w:fill="auto"/>
          </w:tcPr>
          <w:p w14:paraId="0751B735"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2026</w:t>
            </w:r>
          </w:p>
        </w:tc>
        <w:tc>
          <w:tcPr>
            <w:tcW w:w="2345" w:type="dxa"/>
            <w:shd w:val="clear" w:color="auto" w:fill="auto"/>
          </w:tcPr>
          <w:p w14:paraId="458B8849" w14:textId="77777777" w:rsidR="008955D4" w:rsidRDefault="0097410E" w:rsidP="0097410E">
            <w:pPr>
              <w:jc w:val="both"/>
              <w:rPr>
                <w:rFonts w:ascii="Times New Roman" w:hAnsi="Times New Roman"/>
                <w:sz w:val="20"/>
                <w:szCs w:val="20"/>
              </w:rPr>
            </w:pPr>
            <w:r w:rsidRPr="000413EB">
              <w:rPr>
                <w:rFonts w:ascii="Times New Roman" w:hAnsi="Times New Roman"/>
                <w:sz w:val="20"/>
                <w:szCs w:val="20"/>
              </w:rPr>
              <w:t xml:space="preserve">Управління житлово-комунального господарства Жмеринської міської ради, </w:t>
            </w:r>
          </w:p>
          <w:p w14:paraId="64EE30F6" w14:textId="4E4EF14A"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комунальне підприємство «Парковий культурно-спортивний комплекс» Жмеринської міської ради Вінницької області</w:t>
            </w:r>
          </w:p>
        </w:tc>
        <w:tc>
          <w:tcPr>
            <w:tcW w:w="2900" w:type="dxa"/>
            <w:shd w:val="clear" w:color="auto" w:fill="auto"/>
          </w:tcPr>
          <w:p w14:paraId="20D93CDD"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Побудовано скейт-парк площею 450 м² із відповідною інфраструктурою (фігурами для катання, освітленням, лавками, огорожею, інклюзивним доступом тощо).</w:t>
            </w:r>
          </w:p>
          <w:p w14:paraId="4900A88D"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Не менше 1 500 осіб щомісяця користуються скейт-парком.</w:t>
            </w:r>
          </w:p>
          <w:p w14:paraId="394F00E4"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Залучено щонайменше 50% підлітків і молоді громади до активного дозвілля.</w:t>
            </w:r>
          </w:p>
          <w:p w14:paraId="26E1F23D"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Проведено не менше 10 спортивно-молодіжних заходів на рік (турніри, фестивалі, майстер-класи, воркшопи).</w:t>
            </w:r>
          </w:p>
          <w:p w14:paraId="4516C59B"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Забезпечено доступ для людей з інвалідністю (спеціальний вхід, зона спостереження, інформаційні таблички).</w:t>
            </w:r>
          </w:p>
          <w:p w14:paraId="15A7B509"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Користується не менше 50 людей з інвалідністю протягом року.</w:t>
            </w:r>
          </w:p>
          <w:p w14:paraId="5DD8D90F"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Зменшено випадків вандалізму та травматизму на неофіційних місцях катання.</w:t>
            </w:r>
          </w:p>
          <w:p w14:paraId="630BF687"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Підвищено рівень задоволеності молоді міською інфраструктурою (за результатами опитування).</w:t>
            </w:r>
          </w:p>
        </w:tc>
      </w:tr>
      <w:tr w:rsidR="0097410E" w:rsidRPr="000413EB" w14:paraId="0D8C1B2B" w14:textId="77777777" w:rsidTr="000413EB">
        <w:tc>
          <w:tcPr>
            <w:tcW w:w="567" w:type="dxa"/>
            <w:shd w:val="clear" w:color="auto" w:fill="auto"/>
          </w:tcPr>
          <w:p w14:paraId="0696C6F4" w14:textId="128E31A2" w:rsidR="0097410E" w:rsidRPr="000413EB" w:rsidRDefault="00C52095" w:rsidP="0097410E">
            <w:pPr>
              <w:pStyle w:val="aa"/>
              <w:jc w:val="both"/>
              <w:rPr>
                <w:rFonts w:ascii="Times New Roman" w:eastAsia="Arial" w:hAnsi="Times New Roman"/>
                <w:sz w:val="20"/>
                <w:szCs w:val="20"/>
              </w:rPr>
            </w:pPr>
            <w:r>
              <w:rPr>
                <w:rFonts w:ascii="Times New Roman" w:eastAsia="Arial" w:hAnsi="Times New Roman"/>
                <w:sz w:val="20"/>
                <w:szCs w:val="20"/>
              </w:rPr>
              <w:t>61</w:t>
            </w:r>
          </w:p>
        </w:tc>
        <w:tc>
          <w:tcPr>
            <w:tcW w:w="2694" w:type="dxa"/>
            <w:shd w:val="clear" w:color="auto" w:fill="auto"/>
          </w:tcPr>
          <w:p w14:paraId="615B2959"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С.3.4. Розбудова мережі сучасних спортивних закладів та споруд</w:t>
            </w:r>
          </w:p>
        </w:tc>
        <w:tc>
          <w:tcPr>
            <w:tcW w:w="2551" w:type="dxa"/>
            <w:shd w:val="clear" w:color="auto" w:fill="auto"/>
          </w:tcPr>
          <w:p w14:paraId="014E29B5" w14:textId="77777777" w:rsidR="0097410E" w:rsidRPr="000413EB" w:rsidRDefault="0097410E" w:rsidP="0097410E">
            <w:pPr>
              <w:jc w:val="both"/>
              <w:rPr>
                <w:rFonts w:ascii="Times New Roman" w:hAnsi="Times New Roman"/>
                <w:bCs/>
                <w:sz w:val="20"/>
                <w:szCs w:val="20"/>
              </w:rPr>
            </w:pPr>
            <w:r w:rsidRPr="000413EB">
              <w:rPr>
                <w:rFonts w:ascii="Times New Roman" w:hAnsi="Times New Roman"/>
                <w:bCs/>
                <w:sz w:val="20"/>
                <w:szCs w:val="20"/>
              </w:rPr>
              <w:t>С.3.4.2. Будівництво, реконструкція інфраструктури спорту з урахуванням гендерного аспекту.</w:t>
            </w:r>
          </w:p>
          <w:p w14:paraId="2EA2A739"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p>
        </w:tc>
        <w:tc>
          <w:tcPr>
            <w:tcW w:w="2835" w:type="dxa"/>
            <w:shd w:val="clear" w:color="auto" w:fill="auto"/>
          </w:tcPr>
          <w:p w14:paraId="30F5FE77" w14:textId="6B8FDEA9" w:rsidR="0097410E" w:rsidRPr="000413EB" w:rsidRDefault="0097410E" w:rsidP="0097410E">
            <w:pPr>
              <w:widowControl w:val="0"/>
              <w:tabs>
                <w:tab w:val="left" w:pos="5829"/>
                <w:tab w:val="left" w:pos="9720"/>
                <w:tab w:val="left" w:pos="10357"/>
              </w:tabs>
              <w:autoSpaceDE w:val="0"/>
              <w:autoSpaceDN w:val="0"/>
              <w:jc w:val="both"/>
              <w:rPr>
                <w:rFonts w:ascii="Times New Roman" w:hAnsi="Times New Roman"/>
                <w:bCs/>
                <w:sz w:val="20"/>
                <w:szCs w:val="20"/>
              </w:rPr>
            </w:pPr>
            <w:r w:rsidRPr="000413EB">
              <w:rPr>
                <w:rFonts w:ascii="Times New Roman" w:hAnsi="Times New Roman"/>
                <w:sz w:val="20"/>
                <w:szCs w:val="20"/>
              </w:rPr>
              <w:t xml:space="preserve">Відкритий теніс для всіх: встановлення антивандальних тенісних столів у громадських просторах на території </w:t>
            </w:r>
            <w:r w:rsidR="008955D4">
              <w:rPr>
                <w:rFonts w:ascii="Times New Roman" w:hAnsi="Times New Roman"/>
                <w:sz w:val="20"/>
                <w:szCs w:val="20"/>
              </w:rPr>
              <w:t>мікрорайонів</w:t>
            </w:r>
            <w:r w:rsidRPr="000413EB">
              <w:rPr>
                <w:rFonts w:ascii="Times New Roman" w:hAnsi="Times New Roman"/>
                <w:sz w:val="20"/>
                <w:szCs w:val="20"/>
              </w:rPr>
              <w:t xml:space="preserve"> «ТЕЦ», «Петрівка», «Постройки»,</w:t>
            </w:r>
          </w:p>
        </w:tc>
        <w:tc>
          <w:tcPr>
            <w:tcW w:w="1276" w:type="dxa"/>
            <w:shd w:val="clear" w:color="auto" w:fill="auto"/>
          </w:tcPr>
          <w:p w14:paraId="682FE884"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2026-2028</w:t>
            </w:r>
          </w:p>
        </w:tc>
        <w:tc>
          <w:tcPr>
            <w:tcW w:w="2345" w:type="dxa"/>
            <w:shd w:val="clear" w:color="auto" w:fill="auto"/>
          </w:tcPr>
          <w:p w14:paraId="10F80AE0"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Управління житлово-комунального господарства Жмеринської міської ради</w:t>
            </w:r>
          </w:p>
        </w:tc>
        <w:tc>
          <w:tcPr>
            <w:tcW w:w="2900" w:type="dxa"/>
            <w:shd w:val="clear" w:color="auto" w:fill="auto"/>
          </w:tcPr>
          <w:p w14:paraId="16C5F95C"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 xml:space="preserve">Встановлено не менше </w:t>
            </w:r>
            <w:r w:rsidRPr="000413EB">
              <w:rPr>
                <w:rFonts w:ascii="Times New Roman" w:hAnsi="Times New Roman"/>
                <w:bCs/>
                <w:sz w:val="20"/>
                <w:szCs w:val="20"/>
              </w:rPr>
              <w:t>2-3 антивандальних тенісних столів</w:t>
            </w:r>
            <w:r w:rsidRPr="000413EB">
              <w:rPr>
                <w:rFonts w:ascii="Times New Roman" w:hAnsi="Times New Roman"/>
                <w:sz w:val="20"/>
                <w:szCs w:val="20"/>
              </w:rPr>
              <w:t>.</w:t>
            </w:r>
          </w:p>
          <w:p w14:paraId="43FC0AEC" w14:textId="77777777" w:rsidR="0097410E" w:rsidRPr="000413EB" w:rsidRDefault="0097410E" w:rsidP="0097410E">
            <w:pPr>
              <w:jc w:val="both"/>
              <w:rPr>
                <w:rFonts w:ascii="Times New Roman" w:hAnsi="Times New Roman"/>
                <w:sz w:val="20"/>
                <w:szCs w:val="20"/>
              </w:rPr>
            </w:pPr>
            <w:r w:rsidRPr="000413EB">
              <w:rPr>
                <w:rFonts w:ascii="Times New Roman" w:hAnsi="Times New Roman"/>
                <w:bCs/>
                <w:sz w:val="20"/>
                <w:szCs w:val="20"/>
              </w:rPr>
              <w:t>500+ мешканців</w:t>
            </w:r>
            <w:r w:rsidRPr="000413EB">
              <w:rPr>
                <w:rFonts w:ascii="Times New Roman" w:hAnsi="Times New Roman"/>
                <w:sz w:val="20"/>
                <w:szCs w:val="20"/>
              </w:rPr>
              <w:t xml:space="preserve"> щомісяця користуються інфраструктурою.</w:t>
            </w:r>
          </w:p>
          <w:p w14:paraId="373BEB08"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 xml:space="preserve">Проведено щонайменше </w:t>
            </w:r>
            <w:r w:rsidRPr="000413EB">
              <w:rPr>
                <w:rFonts w:ascii="Times New Roman" w:hAnsi="Times New Roman"/>
                <w:bCs/>
                <w:sz w:val="20"/>
                <w:szCs w:val="20"/>
              </w:rPr>
              <w:t>6 спортивних заходів</w:t>
            </w:r>
            <w:r w:rsidRPr="000413EB">
              <w:rPr>
                <w:rFonts w:ascii="Times New Roman" w:hAnsi="Times New Roman"/>
                <w:sz w:val="20"/>
                <w:szCs w:val="20"/>
              </w:rPr>
              <w:t xml:space="preserve"> (турніри, тренування) на рік.</w:t>
            </w:r>
          </w:p>
          <w:p w14:paraId="10B46FF2" w14:textId="77777777" w:rsidR="0097410E" w:rsidRPr="000413EB" w:rsidRDefault="0097410E" w:rsidP="0097410E">
            <w:pPr>
              <w:jc w:val="both"/>
              <w:rPr>
                <w:rFonts w:ascii="Times New Roman" w:hAnsi="Times New Roman"/>
                <w:sz w:val="20"/>
                <w:szCs w:val="20"/>
              </w:rPr>
            </w:pPr>
            <w:r w:rsidRPr="000413EB">
              <w:rPr>
                <w:rFonts w:ascii="Times New Roman" w:hAnsi="Times New Roman"/>
                <w:bCs/>
                <w:sz w:val="20"/>
                <w:szCs w:val="20"/>
              </w:rPr>
              <w:t>30% учнів шкіл/молоді громади</w:t>
            </w:r>
            <w:r w:rsidRPr="000413EB">
              <w:rPr>
                <w:rFonts w:ascii="Times New Roman" w:hAnsi="Times New Roman"/>
                <w:sz w:val="20"/>
                <w:szCs w:val="20"/>
              </w:rPr>
              <w:t xml:space="preserve"> залучено до гри в теніс.</w:t>
            </w:r>
          </w:p>
          <w:p w14:paraId="753748D0"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 xml:space="preserve">Забезпечено </w:t>
            </w:r>
            <w:r w:rsidRPr="000413EB">
              <w:rPr>
                <w:rFonts w:ascii="Times New Roman" w:hAnsi="Times New Roman"/>
                <w:bCs/>
                <w:sz w:val="20"/>
                <w:szCs w:val="20"/>
              </w:rPr>
              <w:t>безбар’єрний доступ</w:t>
            </w:r>
            <w:r w:rsidRPr="000413EB">
              <w:rPr>
                <w:rFonts w:ascii="Times New Roman" w:hAnsi="Times New Roman"/>
                <w:sz w:val="20"/>
                <w:szCs w:val="20"/>
              </w:rPr>
              <w:t xml:space="preserve"> до зони гри для людей з інвалідністю.</w:t>
            </w:r>
          </w:p>
          <w:p w14:paraId="64F152B7"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 xml:space="preserve">Протягом першого року — </w:t>
            </w:r>
            <w:r w:rsidRPr="000413EB">
              <w:rPr>
                <w:rFonts w:ascii="Times New Roman" w:hAnsi="Times New Roman"/>
                <w:bCs/>
                <w:sz w:val="20"/>
                <w:szCs w:val="20"/>
              </w:rPr>
              <w:t>відсутність випадків вандалізму</w:t>
            </w:r>
            <w:r w:rsidRPr="000413EB">
              <w:rPr>
                <w:rFonts w:ascii="Times New Roman" w:hAnsi="Times New Roman"/>
                <w:sz w:val="20"/>
                <w:szCs w:val="20"/>
              </w:rPr>
              <w:t>.</w:t>
            </w:r>
          </w:p>
          <w:p w14:paraId="18FF19C3"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 xml:space="preserve">Отримано </w:t>
            </w:r>
            <w:r w:rsidRPr="000413EB">
              <w:rPr>
                <w:rFonts w:ascii="Times New Roman" w:hAnsi="Times New Roman"/>
                <w:bCs/>
                <w:sz w:val="20"/>
                <w:szCs w:val="20"/>
              </w:rPr>
              <w:t>позитивні відгуки від мешканців</w:t>
            </w:r>
            <w:r w:rsidRPr="000413EB">
              <w:rPr>
                <w:rFonts w:ascii="Times New Roman" w:hAnsi="Times New Roman"/>
                <w:sz w:val="20"/>
                <w:szCs w:val="20"/>
              </w:rPr>
              <w:t xml:space="preserve"> (не менше 80% у межах опитування).</w:t>
            </w:r>
          </w:p>
        </w:tc>
      </w:tr>
      <w:tr w:rsidR="0097410E" w:rsidRPr="000413EB" w14:paraId="43ACF2F7" w14:textId="77777777" w:rsidTr="000413EB">
        <w:tc>
          <w:tcPr>
            <w:tcW w:w="567" w:type="dxa"/>
            <w:shd w:val="clear" w:color="auto" w:fill="auto"/>
          </w:tcPr>
          <w:p w14:paraId="52FB057B" w14:textId="7412C71A" w:rsidR="0097410E" w:rsidRPr="000413EB" w:rsidRDefault="00C52095" w:rsidP="0097410E">
            <w:pPr>
              <w:pStyle w:val="aa"/>
              <w:jc w:val="both"/>
              <w:rPr>
                <w:rFonts w:ascii="Times New Roman" w:eastAsia="Arial" w:hAnsi="Times New Roman"/>
                <w:sz w:val="20"/>
                <w:szCs w:val="20"/>
              </w:rPr>
            </w:pPr>
            <w:r>
              <w:rPr>
                <w:rFonts w:ascii="Times New Roman" w:eastAsia="Arial" w:hAnsi="Times New Roman"/>
                <w:sz w:val="20"/>
                <w:szCs w:val="20"/>
              </w:rPr>
              <w:t>62</w:t>
            </w:r>
          </w:p>
        </w:tc>
        <w:tc>
          <w:tcPr>
            <w:tcW w:w="2694" w:type="dxa"/>
            <w:shd w:val="clear" w:color="auto" w:fill="auto"/>
          </w:tcPr>
          <w:p w14:paraId="030E16C1"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С.3.4. Розбудова мережі сучасних спортивних закладів та споруд</w:t>
            </w:r>
          </w:p>
        </w:tc>
        <w:tc>
          <w:tcPr>
            <w:tcW w:w="2551" w:type="dxa"/>
            <w:shd w:val="clear" w:color="auto" w:fill="auto"/>
          </w:tcPr>
          <w:p w14:paraId="4E8BA023" w14:textId="77777777" w:rsidR="0097410E" w:rsidRPr="000413EB" w:rsidRDefault="0097410E" w:rsidP="0097410E">
            <w:pPr>
              <w:autoSpaceDE w:val="0"/>
              <w:autoSpaceDN w:val="0"/>
              <w:jc w:val="both"/>
              <w:rPr>
                <w:rFonts w:ascii="Times New Roman" w:hAnsi="Times New Roman"/>
                <w:sz w:val="20"/>
                <w:szCs w:val="20"/>
                <w:lang w:eastAsia="en-US"/>
              </w:rPr>
            </w:pPr>
            <w:r w:rsidRPr="000413EB">
              <w:rPr>
                <w:rFonts w:ascii="Times New Roman" w:hAnsi="Times New Roman"/>
                <w:sz w:val="20"/>
                <w:szCs w:val="20"/>
                <w:lang w:eastAsia="en-US"/>
              </w:rPr>
              <w:t>С.3.4.3. Реконструкція та капітальний ремонт приміщень, які відносяться до КЗ «ЖДЮСШ.</w:t>
            </w:r>
          </w:p>
          <w:p w14:paraId="5D8B3722"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p>
        </w:tc>
        <w:tc>
          <w:tcPr>
            <w:tcW w:w="2835" w:type="dxa"/>
            <w:shd w:val="clear" w:color="auto" w:fill="auto"/>
          </w:tcPr>
          <w:p w14:paraId="40CEEAB8"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Капітальний ремонт з утепленням приміщення дитячо-юнацької спортивної школи по вул. Богдана Хмельницького</w:t>
            </w:r>
          </w:p>
          <w:p w14:paraId="5D0F66BD"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hAnsi="Times New Roman"/>
                <w:bCs/>
                <w:sz w:val="20"/>
                <w:szCs w:val="20"/>
              </w:rPr>
            </w:pPr>
          </w:p>
        </w:tc>
        <w:tc>
          <w:tcPr>
            <w:tcW w:w="1276" w:type="dxa"/>
            <w:shd w:val="clear" w:color="auto" w:fill="auto"/>
          </w:tcPr>
          <w:p w14:paraId="32E54EF5"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2026</w:t>
            </w:r>
          </w:p>
        </w:tc>
        <w:tc>
          <w:tcPr>
            <w:tcW w:w="2345" w:type="dxa"/>
            <w:shd w:val="clear" w:color="auto" w:fill="auto"/>
          </w:tcPr>
          <w:p w14:paraId="3B468C96" w14:textId="77777777" w:rsidR="008955D4" w:rsidRDefault="0097410E" w:rsidP="0097410E">
            <w:pPr>
              <w:jc w:val="both"/>
              <w:rPr>
                <w:rFonts w:ascii="Times New Roman" w:hAnsi="Times New Roman"/>
                <w:sz w:val="20"/>
                <w:szCs w:val="20"/>
              </w:rPr>
            </w:pPr>
            <w:r w:rsidRPr="000413EB">
              <w:rPr>
                <w:rFonts w:ascii="Times New Roman" w:hAnsi="Times New Roman"/>
                <w:sz w:val="20"/>
                <w:szCs w:val="20"/>
              </w:rPr>
              <w:t>Управління житлово-комунального господарства Жмеринської міської ради,</w:t>
            </w:r>
          </w:p>
          <w:p w14:paraId="2212CEDE" w14:textId="0FEE1273"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 xml:space="preserve"> КЗ «ЖДЮСШ»</w:t>
            </w:r>
          </w:p>
        </w:tc>
        <w:tc>
          <w:tcPr>
            <w:tcW w:w="2900" w:type="dxa"/>
            <w:shd w:val="clear" w:color="auto" w:fill="auto"/>
          </w:tcPr>
          <w:p w14:paraId="4696E786"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Відремонтовано спортивні і службові приміщення.</w:t>
            </w:r>
          </w:p>
          <w:p w14:paraId="263CE775"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 xml:space="preserve">Забезпечено </w:t>
            </w:r>
            <w:r w:rsidRPr="000413EB">
              <w:rPr>
                <w:rFonts w:ascii="Times New Roman" w:hAnsi="Times New Roman"/>
                <w:bCs/>
                <w:sz w:val="20"/>
                <w:szCs w:val="20"/>
              </w:rPr>
              <w:t>належні умови для занять понад 500 вихованців</w:t>
            </w:r>
            <w:r w:rsidRPr="000413EB">
              <w:rPr>
                <w:rFonts w:ascii="Times New Roman" w:hAnsi="Times New Roman"/>
                <w:sz w:val="20"/>
                <w:szCs w:val="20"/>
              </w:rPr>
              <w:t xml:space="preserve"> щорічно.</w:t>
            </w:r>
          </w:p>
          <w:p w14:paraId="09883CF0"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Підвищено енергоефективність об'єкта (зменшення витрат на комунальні послуги до 30%).</w:t>
            </w:r>
          </w:p>
          <w:p w14:paraId="4A9676F6"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 xml:space="preserve">Поліпшено умови праці для </w:t>
            </w:r>
            <w:r w:rsidRPr="000413EB">
              <w:rPr>
                <w:rFonts w:ascii="Times New Roman" w:hAnsi="Times New Roman"/>
                <w:bCs/>
                <w:sz w:val="20"/>
                <w:szCs w:val="20"/>
              </w:rPr>
              <w:t>10+ тренерів та персоналу</w:t>
            </w:r>
            <w:r w:rsidRPr="000413EB">
              <w:rPr>
                <w:rFonts w:ascii="Times New Roman" w:hAnsi="Times New Roman"/>
                <w:sz w:val="20"/>
                <w:szCs w:val="20"/>
              </w:rPr>
              <w:t>.</w:t>
            </w:r>
          </w:p>
          <w:p w14:paraId="095EA8EA"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Підвищено рівень задоволеності учасників освітнього процесу.</w:t>
            </w:r>
          </w:p>
          <w:p w14:paraId="0F82E1EB"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 xml:space="preserve">Створено </w:t>
            </w:r>
            <w:r w:rsidRPr="000413EB">
              <w:rPr>
                <w:rFonts w:ascii="Times New Roman" w:hAnsi="Times New Roman"/>
                <w:bCs/>
                <w:sz w:val="20"/>
                <w:szCs w:val="20"/>
              </w:rPr>
              <w:t>доступність для дітей з інвалідністю</w:t>
            </w:r>
            <w:r w:rsidRPr="000413EB">
              <w:rPr>
                <w:rFonts w:ascii="Times New Roman" w:hAnsi="Times New Roman"/>
                <w:sz w:val="20"/>
                <w:szCs w:val="20"/>
              </w:rPr>
              <w:t xml:space="preserve"> (1-й поверх, пандус, туалетна кімната).</w:t>
            </w:r>
          </w:p>
          <w:p w14:paraId="2B219DBC"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Розширено спектр спортивних секцій та тренувань.</w:t>
            </w:r>
          </w:p>
        </w:tc>
      </w:tr>
      <w:tr w:rsidR="0097410E" w:rsidRPr="000413EB" w14:paraId="73663C30" w14:textId="77777777" w:rsidTr="000413EB">
        <w:tc>
          <w:tcPr>
            <w:tcW w:w="567" w:type="dxa"/>
            <w:shd w:val="clear" w:color="auto" w:fill="auto"/>
          </w:tcPr>
          <w:p w14:paraId="5CF1B403" w14:textId="0F6D1394" w:rsidR="0097410E" w:rsidRPr="000413EB" w:rsidRDefault="00C52095" w:rsidP="0097410E">
            <w:pPr>
              <w:pStyle w:val="aa"/>
              <w:jc w:val="both"/>
              <w:rPr>
                <w:rFonts w:ascii="Times New Roman" w:eastAsia="Arial" w:hAnsi="Times New Roman"/>
                <w:sz w:val="20"/>
                <w:szCs w:val="20"/>
              </w:rPr>
            </w:pPr>
            <w:r>
              <w:rPr>
                <w:rFonts w:ascii="Times New Roman" w:eastAsia="Arial" w:hAnsi="Times New Roman"/>
                <w:sz w:val="20"/>
                <w:szCs w:val="20"/>
              </w:rPr>
              <w:t>63</w:t>
            </w:r>
          </w:p>
        </w:tc>
        <w:tc>
          <w:tcPr>
            <w:tcW w:w="2694" w:type="dxa"/>
            <w:shd w:val="clear" w:color="auto" w:fill="auto"/>
          </w:tcPr>
          <w:p w14:paraId="3F93BF77"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С.3.4. Розбудова мережі сучасних спортивних закладів та споруд</w:t>
            </w:r>
          </w:p>
        </w:tc>
        <w:tc>
          <w:tcPr>
            <w:tcW w:w="2551" w:type="dxa"/>
            <w:shd w:val="clear" w:color="auto" w:fill="auto"/>
          </w:tcPr>
          <w:p w14:paraId="2225130C" w14:textId="77777777" w:rsidR="0097410E" w:rsidRPr="000413EB" w:rsidRDefault="0097410E" w:rsidP="0097410E">
            <w:pPr>
              <w:autoSpaceDE w:val="0"/>
              <w:autoSpaceDN w:val="0"/>
              <w:jc w:val="both"/>
              <w:rPr>
                <w:rFonts w:ascii="Times New Roman" w:hAnsi="Times New Roman"/>
                <w:sz w:val="20"/>
                <w:szCs w:val="20"/>
                <w:lang w:eastAsia="en-US"/>
              </w:rPr>
            </w:pPr>
            <w:r w:rsidRPr="000413EB">
              <w:rPr>
                <w:rFonts w:ascii="Times New Roman" w:hAnsi="Times New Roman"/>
                <w:sz w:val="20"/>
                <w:szCs w:val="20"/>
                <w:lang w:eastAsia="en-US"/>
              </w:rPr>
              <w:t>С.3.4.4. Облаштування спортивних залів матеріально-технічною базою.</w:t>
            </w:r>
          </w:p>
          <w:p w14:paraId="03586C89"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p>
        </w:tc>
        <w:tc>
          <w:tcPr>
            <w:tcW w:w="2835" w:type="dxa"/>
            <w:shd w:val="clear" w:color="auto" w:fill="auto"/>
          </w:tcPr>
          <w:p w14:paraId="72486795"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hAnsi="Times New Roman"/>
                <w:bCs/>
                <w:sz w:val="20"/>
                <w:szCs w:val="20"/>
              </w:rPr>
            </w:pPr>
            <w:r w:rsidRPr="000413EB">
              <w:rPr>
                <w:rFonts w:ascii="Times New Roman" w:hAnsi="Times New Roman"/>
                <w:sz w:val="20"/>
                <w:szCs w:val="20"/>
              </w:rPr>
              <w:t>«Сильна база — сильні результати: оновлення матеріально-технічного забезпечення спортивних залів КЗ "ЖДЮСШ"»</w:t>
            </w:r>
          </w:p>
        </w:tc>
        <w:tc>
          <w:tcPr>
            <w:tcW w:w="1276" w:type="dxa"/>
            <w:shd w:val="clear" w:color="auto" w:fill="auto"/>
          </w:tcPr>
          <w:p w14:paraId="5EBAB896"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2026-2028</w:t>
            </w:r>
          </w:p>
        </w:tc>
        <w:tc>
          <w:tcPr>
            <w:tcW w:w="2345" w:type="dxa"/>
            <w:shd w:val="clear" w:color="auto" w:fill="auto"/>
          </w:tcPr>
          <w:p w14:paraId="4607BB46" w14:textId="77777777" w:rsidR="008955D4" w:rsidRDefault="0097410E" w:rsidP="0097410E">
            <w:pPr>
              <w:jc w:val="both"/>
              <w:rPr>
                <w:rFonts w:ascii="Times New Roman" w:hAnsi="Times New Roman"/>
                <w:sz w:val="20"/>
                <w:szCs w:val="20"/>
              </w:rPr>
            </w:pPr>
            <w:r w:rsidRPr="000413EB">
              <w:rPr>
                <w:rFonts w:ascii="Times New Roman" w:hAnsi="Times New Roman"/>
                <w:sz w:val="20"/>
                <w:szCs w:val="20"/>
              </w:rPr>
              <w:t xml:space="preserve">Відділ молоді та спорту Жмеринської міської ради, </w:t>
            </w:r>
          </w:p>
          <w:p w14:paraId="3C483D44" w14:textId="0CF59FFF"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КЗ «ЖДЮСШ»</w:t>
            </w:r>
          </w:p>
          <w:p w14:paraId="3A632D53" w14:textId="77777777" w:rsidR="0097410E" w:rsidRPr="000413EB" w:rsidRDefault="0097410E" w:rsidP="0097410E">
            <w:pPr>
              <w:jc w:val="both"/>
              <w:rPr>
                <w:rFonts w:ascii="Times New Roman" w:hAnsi="Times New Roman"/>
                <w:sz w:val="20"/>
                <w:szCs w:val="20"/>
              </w:rPr>
            </w:pPr>
          </w:p>
        </w:tc>
        <w:tc>
          <w:tcPr>
            <w:tcW w:w="2900" w:type="dxa"/>
            <w:shd w:val="clear" w:color="auto" w:fill="auto"/>
          </w:tcPr>
          <w:p w14:paraId="09CE97E8"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 xml:space="preserve">Оновлено </w:t>
            </w:r>
            <w:r w:rsidRPr="000413EB">
              <w:rPr>
                <w:rFonts w:ascii="Times New Roman" w:hAnsi="Times New Roman"/>
                <w:bCs/>
                <w:sz w:val="20"/>
                <w:szCs w:val="20"/>
              </w:rPr>
              <w:t>100+ одиниць</w:t>
            </w:r>
            <w:r w:rsidRPr="000413EB">
              <w:rPr>
                <w:rFonts w:ascii="Times New Roman" w:hAnsi="Times New Roman"/>
                <w:sz w:val="20"/>
                <w:szCs w:val="20"/>
              </w:rPr>
              <w:t xml:space="preserve"> спортивного обладнання.</w:t>
            </w:r>
          </w:p>
          <w:p w14:paraId="55A64F16" w14:textId="77777777" w:rsidR="0097410E" w:rsidRPr="000413EB" w:rsidRDefault="0097410E" w:rsidP="0097410E">
            <w:pPr>
              <w:jc w:val="both"/>
              <w:rPr>
                <w:rFonts w:ascii="Times New Roman" w:hAnsi="Times New Roman"/>
                <w:bCs/>
                <w:sz w:val="20"/>
                <w:szCs w:val="20"/>
              </w:rPr>
            </w:pPr>
            <w:r w:rsidRPr="000413EB">
              <w:rPr>
                <w:rFonts w:ascii="Times New Roman" w:hAnsi="Times New Roman"/>
                <w:sz w:val="20"/>
                <w:szCs w:val="20"/>
              </w:rPr>
              <w:t xml:space="preserve">Підвищено рівень безпеки та умов занять у </w:t>
            </w:r>
            <w:r w:rsidRPr="000413EB">
              <w:rPr>
                <w:rFonts w:ascii="Times New Roman" w:hAnsi="Times New Roman"/>
                <w:bCs/>
                <w:sz w:val="20"/>
                <w:szCs w:val="20"/>
              </w:rPr>
              <w:t>3+ залах.</w:t>
            </w:r>
          </w:p>
          <w:p w14:paraId="6834D47C" w14:textId="77777777" w:rsidR="0097410E" w:rsidRPr="000413EB" w:rsidRDefault="0097410E" w:rsidP="0097410E">
            <w:pPr>
              <w:jc w:val="both"/>
              <w:rPr>
                <w:rFonts w:ascii="Times New Roman" w:hAnsi="Times New Roman"/>
                <w:bCs/>
                <w:sz w:val="20"/>
                <w:szCs w:val="20"/>
              </w:rPr>
            </w:pPr>
            <w:r w:rsidRPr="000413EB">
              <w:rPr>
                <w:rFonts w:ascii="Times New Roman" w:hAnsi="Times New Roman"/>
                <w:sz w:val="20"/>
                <w:szCs w:val="20"/>
              </w:rPr>
              <w:t xml:space="preserve">Залучено до занять спортом понад </w:t>
            </w:r>
            <w:r w:rsidRPr="000413EB">
              <w:rPr>
                <w:rFonts w:ascii="Times New Roman" w:hAnsi="Times New Roman"/>
                <w:bCs/>
                <w:sz w:val="20"/>
                <w:szCs w:val="20"/>
              </w:rPr>
              <w:t>500 вихованців щомісяця.</w:t>
            </w:r>
          </w:p>
          <w:p w14:paraId="4DC87C8D"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 xml:space="preserve">Проведено не менше </w:t>
            </w:r>
            <w:r w:rsidRPr="000413EB">
              <w:rPr>
                <w:rFonts w:ascii="Times New Roman" w:hAnsi="Times New Roman"/>
                <w:bCs/>
                <w:sz w:val="20"/>
                <w:szCs w:val="20"/>
              </w:rPr>
              <w:t>10 змагань / турнірів</w:t>
            </w:r>
            <w:r w:rsidRPr="000413EB">
              <w:rPr>
                <w:rFonts w:ascii="Times New Roman" w:hAnsi="Times New Roman"/>
                <w:sz w:val="20"/>
                <w:szCs w:val="20"/>
              </w:rPr>
              <w:t xml:space="preserve"> на оновленій базі.</w:t>
            </w:r>
          </w:p>
          <w:p w14:paraId="1F5F0F75"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Підвищено мотивацію та задоволення тренерів і учнів (через опитування).</w:t>
            </w:r>
          </w:p>
          <w:p w14:paraId="1CE0B401"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 xml:space="preserve">Забезпечено </w:t>
            </w:r>
            <w:r w:rsidRPr="000413EB">
              <w:rPr>
                <w:rFonts w:ascii="Times New Roman" w:hAnsi="Times New Roman"/>
                <w:bCs/>
                <w:sz w:val="20"/>
                <w:szCs w:val="20"/>
              </w:rPr>
              <w:t>інклюзивність</w:t>
            </w:r>
            <w:r w:rsidRPr="000413EB">
              <w:rPr>
                <w:rFonts w:ascii="Times New Roman" w:hAnsi="Times New Roman"/>
                <w:sz w:val="20"/>
                <w:szCs w:val="20"/>
              </w:rPr>
              <w:t xml:space="preserve"> у щонайменше одному залі.</w:t>
            </w:r>
          </w:p>
        </w:tc>
      </w:tr>
      <w:tr w:rsidR="0097410E" w:rsidRPr="000413EB" w14:paraId="10ABFB81" w14:textId="77777777" w:rsidTr="000413EB">
        <w:tc>
          <w:tcPr>
            <w:tcW w:w="567" w:type="dxa"/>
            <w:shd w:val="clear" w:color="auto" w:fill="auto"/>
          </w:tcPr>
          <w:p w14:paraId="341FF5A0" w14:textId="6694D43A" w:rsidR="0097410E" w:rsidRPr="000413EB" w:rsidRDefault="00C52095" w:rsidP="0097410E">
            <w:pPr>
              <w:pStyle w:val="aa"/>
              <w:jc w:val="both"/>
              <w:rPr>
                <w:rFonts w:ascii="Times New Roman" w:eastAsia="Arial" w:hAnsi="Times New Roman"/>
                <w:sz w:val="20"/>
                <w:szCs w:val="20"/>
              </w:rPr>
            </w:pPr>
            <w:r>
              <w:rPr>
                <w:rFonts w:ascii="Times New Roman" w:eastAsia="Arial" w:hAnsi="Times New Roman"/>
                <w:sz w:val="20"/>
                <w:szCs w:val="20"/>
              </w:rPr>
              <w:t>64</w:t>
            </w:r>
          </w:p>
        </w:tc>
        <w:tc>
          <w:tcPr>
            <w:tcW w:w="2694" w:type="dxa"/>
            <w:shd w:val="clear" w:color="auto" w:fill="auto"/>
          </w:tcPr>
          <w:p w14:paraId="491EBC16"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С.3.4. Розбудова мережі сучасних спортивних закладів та споруд</w:t>
            </w:r>
          </w:p>
        </w:tc>
        <w:tc>
          <w:tcPr>
            <w:tcW w:w="2551" w:type="dxa"/>
            <w:shd w:val="clear" w:color="auto" w:fill="auto"/>
          </w:tcPr>
          <w:p w14:paraId="3B228457" w14:textId="77777777" w:rsidR="0097410E" w:rsidRPr="000413EB" w:rsidRDefault="0097410E" w:rsidP="0097410E">
            <w:pPr>
              <w:autoSpaceDE w:val="0"/>
              <w:autoSpaceDN w:val="0"/>
              <w:jc w:val="both"/>
              <w:rPr>
                <w:rFonts w:ascii="Times New Roman" w:hAnsi="Times New Roman"/>
                <w:sz w:val="20"/>
                <w:szCs w:val="20"/>
                <w:lang w:eastAsia="en-US"/>
              </w:rPr>
            </w:pPr>
            <w:r w:rsidRPr="000413EB">
              <w:rPr>
                <w:rFonts w:ascii="Times New Roman" w:hAnsi="Times New Roman"/>
                <w:sz w:val="20"/>
                <w:szCs w:val="20"/>
                <w:lang w:eastAsia="en-US"/>
              </w:rPr>
              <w:t>С.3.4.5. Участь у всеукраїнських та регіональних спортивних змаганнях, турнірах тощо.</w:t>
            </w:r>
          </w:p>
          <w:p w14:paraId="363BCA1C"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p>
        </w:tc>
        <w:tc>
          <w:tcPr>
            <w:tcW w:w="2835" w:type="dxa"/>
            <w:shd w:val="clear" w:color="auto" w:fill="auto"/>
          </w:tcPr>
          <w:p w14:paraId="2EC5591B"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hAnsi="Times New Roman"/>
                <w:bCs/>
                <w:sz w:val="20"/>
                <w:szCs w:val="20"/>
              </w:rPr>
            </w:pPr>
            <w:r w:rsidRPr="000413EB">
              <w:rPr>
                <w:rFonts w:ascii="Times New Roman" w:hAnsi="Times New Roman"/>
                <w:sz w:val="20"/>
                <w:szCs w:val="20"/>
              </w:rPr>
              <w:t>"Громада в грі: участь у всеукраїнських та регіональних змаганнях"</w:t>
            </w:r>
          </w:p>
        </w:tc>
        <w:tc>
          <w:tcPr>
            <w:tcW w:w="1276" w:type="dxa"/>
            <w:shd w:val="clear" w:color="auto" w:fill="auto"/>
          </w:tcPr>
          <w:p w14:paraId="63F83ED7"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2026-2028</w:t>
            </w:r>
          </w:p>
        </w:tc>
        <w:tc>
          <w:tcPr>
            <w:tcW w:w="2345" w:type="dxa"/>
            <w:shd w:val="clear" w:color="auto" w:fill="auto"/>
          </w:tcPr>
          <w:p w14:paraId="706EC8D6" w14:textId="77777777" w:rsidR="008955D4" w:rsidRDefault="0097410E" w:rsidP="0097410E">
            <w:pPr>
              <w:jc w:val="both"/>
              <w:rPr>
                <w:rFonts w:ascii="Times New Roman" w:hAnsi="Times New Roman"/>
                <w:sz w:val="20"/>
                <w:szCs w:val="20"/>
              </w:rPr>
            </w:pPr>
            <w:r w:rsidRPr="000413EB">
              <w:rPr>
                <w:rFonts w:ascii="Times New Roman" w:hAnsi="Times New Roman"/>
                <w:sz w:val="20"/>
                <w:szCs w:val="20"/>
              </w:rPr>
              <w:t xml:space="preserve">Відділ молоді та спорту Жмеринської міської ради, </w:t>
            </w:r>
          </w:p>
          <w:p w14:paraId="458FBCBC" w14:textId="551DB9D3"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КЗ «ЖДЮСШ»</w:t>
            </w:r>
          </w:p>
        </w:tc>
        <w:tc>
          <w:tcPr>
            <w:tcW w:w="2900" w:type="dxa"/>
            <w:shd w:val="clear" w:color="auto" w:fill="auto"/>
          </w:tcPr>
          <w:p w14:paraId="36485116"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Участь від 5 до 10 команд або 50+ спортсменів у зовнішніх змаганнях за рік.</w:t>
            </w:r>
          </w:p>
          <w:p w14:paraId="0F5B9C33"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Проведено не менше 10 тренувальних зборів або підготовчих заходів.</w:t>
            </w:r>
          </w:p>
          <w:p w14:paraId="488416E3"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Підвищено рівень мотивації спортсменів громади.</w:t>
            </w:r>
          </w:p>
          <w:p w14:paraId="0E6ECB73" w14:textId="422F3546"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Привезено призові місця або нагороди з обласного/</w:t>
            </w:r>
            <w:r w:rsidR="00F27D41">
              <w:rPr>
                <w:rFonts w:ascii="Times New Roman" w:hAnsi="Times New Roman"/>
                <w:sz w:val="20"/>
                <w:szCs w:val="20"/>
              </w:rPr>
              <w:t xml:space="preserve"> </w:t>
            </w:r>
            <w:r w:rsidRPr="000413EB">
              <w:rPr>
                <w:rFonts w:ascii="Times New Roman" w:hAnsi="Times New Roman"/>
                <w:sz w:val="20"/>
                <w:szCs w:val="20"/>
              </w:rPr>
              <w:t>національного рівня.</w:t>
            </w:r>
          </w:p>
          <w:p w14:paraId="4B7FAB1B"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Популяризація громади через участь у змаганнях (ЗМІ, соцмережі).</w:t>
            </w:r>
          </w:p>
          <w:p w14:paraId="7BD40AB7"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Підтримано інклюзивну участь (участь спортсменів з інвалідністю, дівчат, старших вікових груп тощо).</w:t>
            </w:r>
          </w:p>
        </w:tc>
      </w:tr>
      <w:tr w:rsidR="0097410E" w:rsidRPr="000413EB" w14:paraId="4D6E7F36" w14:textId="77777777" w:rsidTr="000413EB">
        <w:tc>
          <w:tcPr>
            <w:tcW w:w="567" w:type="dxa"/>
            <w:shd w:val="clear" w:color="auto" w:fill="auto"/>
          </w:tcPr>
          <w:p w14:paraId="30DC426E" w14:textId="769EAF80" w:rsidR="0097410E" w:rsidRPr="000413EB" w:rsidRDefault="00C52095" w:rsidP="0097410E">
            <w:pPr>
              <w:pStyle w:val="aa"/>
              <w:jc w:val="both"/>
              <w:rPr>
                <w:rFonts w:ascii="Times New Roman" w:eastAsia="Arial" w:hAnsi="Times New Roman"/>
                <w:sz w:val="20"/>
                <w:szCs w:val="20"/>
              </w:rPr>
            </w:pPr>
            <w:r>
              <w:rPr>
                <w:rFonts w:ascii="Times New Roman" w:eastAsia="Arial" w:hAnsi="Times New Roman"/>
                <w:sz w:val="20"/>
                <w:szCs w:val="20"/>
              </w:rPr>
              <w:t>65</w:t>
            </w:r>
          </w:p>
        </w:tc>
        <w:tc>
          <w:tcPr>
            <w:tcW w:w="2694" w:type="dxa"/>
            <w:shd w:val="clear" w:color="auto" w:fill="auto"/>
          </w:tcPr>
          <w:p w14:paraId="0CED4324"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bCs/>
                <w:sz w:val="20"/>
                <w:szCs w:val="20"/>
                <w:lang w:eastAsia="en-US"/>
              </w:rPr>
            </w:pPr>
            <w:r w:rsidRPr="000413EB">
              <w:rPr>
                <w:rFonts w:ascii="Times New Roman" w:eastAsia="Arial" w:hAnsi="Times New Roman"/>
                <w:bCs/>
                <w:sz w:val="20"/>
                <w:szCs w:val="20"/>
                <w:lang w:eastAsia="en-US"/>
              </w:rPr>
              <w:t>С.3.4. Розбудова мережі сучасних спортивних закладів та споруд</w:t>
            </w:r>
          </w:p>
          <w:p w14:paraId="05357301"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p>
        </w:tc>
        <w:tc>
          <w:tcPr>
            <w:tcW w:w="2551" w:type="dxa"/>
            <w:shd w:val="clear" w:color="auto" w:fill="auto"/>
          </w:tcPr>
          <w:p w14:paraId="6E89A64E" w14:textId="77777777" w:rsidR="0097410E" w:rsidRPr="000413EB" w:rsidRDefault="0097410E" w:rsidP="0097410E">
            <w:pPr>
              <w:autoSpaceDE w:val="0"/>
              <w:autoSpaceDN w:val="0"/>
              <w:jc w:val="both"/>
              <w:rPr>
                <w:rFonts w:ascii="Times New Roman" w:hAnsi="Times New Roman"/>
                <w:sz w:val="20"/>
                <w:szCs w:val="20"/>
                <w:lang w:eastAsia="en-US"/>
              </w:rPr>
            </w:pPr>
            <w:r w:rsidRPr="000413EB">
              <w:rPr>
                <w:rFonts w:ascii="Times New Roman" w:hAnsi="Times New Roman"/>
                <w:sz w:val="20"/>
                <w:szCs w:val="20"/>
                <w:lang w:eastAsia="en-US"/>
              </w:rPr>
              <w:t>С.3.4.6. Створення футбольних полів із штучним покриттям.</w:t>
            </w:r>
          </w:p>
          <w:p w14:paraId="31BE0056"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p>
        </w:tc>
        <w:tc>
          <w:tcPr>
            <w:tcW w:w="2835" w:type="dxa"/>
            <w:shd w:val="clear" w:color="auto" w:fill="auto"/>
          </w:tcPr>
          <w:p w14:paraId="611FC2C6" w14:textId="77777777" w:rsidR="0097410E" w:rsidRPr="000413EB" w:rsidRDefault="0097410E" w:rsidP="0097410E">
            <w:pPr>
              <w:jc w:val="both"/>
              <w:rPr>
                <w:rFonts w:ascii="Times New Roman" w:hAnsi="Times New Roman"/>
                <w:bCs/>
                <w:sz w:val="20"/>
                <w:szCs w:val="20"/>
              </w:rPr>
            </w:pPr>
            <w:r w:rsidRPr="000413EB">
              <w:rPr>
                <w:rFonts w:ascii="Times New Roman" w:hAnsi="Times New Roman"/>
                <w:sz w:val="20"/>
                <w:szCs w:val="20"/>
              </w:rPr>
              <w:t>Облаштування мультифункціонального майданчика зі штучним покриттям на території СК «Авангард»</w:t>
            </w:r>
            <w:r w:rsidRPr="000413EB">
              <w:rPr>
                <w:rFonts w:ascii="Times New Roman" w:hAnsi="Times New Roman"/>
                <w:bCs/>
                <w:sz w:val="20"/>
                <w:szCs w:val="20"/>
              </w:rPr>
              <w:t>,</w:t>
            </w:r>
            <w:r w:rsidRPr="000413EB">
              <w:rPr>
                <w:rFonts w:ascii="Times New Roman" w:hAnsi="Times New Roman"/>
                <w:sz w:val="20"/>
                <w:szCs w:val="20"/>
              </w:rPr>
              <w:t xml:space="preserve"> смт Браїлів, вул. Козацька, 3</w:t>
            </w:r>
          </w:p>
        </w:tc>
        <w:tc>
          <w:tcPr>
            <w:tcW w:w="1276" w:type="dxa"/>
            <w:shd w:val="clear" w:color="auto" w:fill="auto"/>
          </w:tcPr>
          <w:p w14:paraId="1A801679"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2027</w:t>
            </w:r>
          </w:p>
        </w:tc>
        <w:tc>
          <w:tcPr>
            <w:tcW w:w="2345" w:type="dxa"/>
            <w:shd w:val="clear" w:color="auto" w:fill="auto"/>
          </w:tcPr>
          <w:p w14:paraId="00C6F7E5" w14:textId="77777777" w:rsidR="008955D4" w:rsidRDefault="0097410E" w:rsidP="0097410E">
            <w:pPr>
              <w:jc w:val="both"/>
              <w:rPr>
                <w:rFonts w:ascii="Times New Roman" w:hAnsi="Times New Roman"/>
                <w:sz w:val="20"/>
                <w:szCs w:val="20"/>
              </w:rPr>
            </w:pPr>
            <w:r w:rsidRPr="000413EB">
              <w:rPr>
                <w:rFonts w:ascii="Times New Roman" w:hAnsi="Times New Roman"/>
                <w:sz w:val="20"/>
                <w:szCs w:val="20"/>
              </w:rPr>
              <w:t xml:space="preserve">Управління житлово-комунального господарства Жмеринської міської ради, </w:t>
            </w:r>
          </w:p>
          <w:p w14:paraId="3EEAF30E" w14:textId="58D865D1"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КЗ «ЖДЮШ»</w:t>
            </w:r>
          </w:p>
        </w:tc>
        <w:tc>
          <w:tcPr>
            <w:tcW w:w="2900" w:type="dxa"/>
            <w:shd w:val="clear" w:color="auto" w:fill="auto"/>
          </w:tcPr>
          <w:p w14:paraId="567B246B" w14:textId="77777777"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100% готовність і придатність майданчика для щоденної експлуатації.</w:t>
            </w:r>
          </w:p>
          <w:p w14:paraId="4D310FE3" w14:textId="77777777"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Можливість одночасного використання 2–3 видів спорту.</w:t>
            </w:r>
          </w:p>
          <w:p w14:paraId="6E3B4A55" w14:textId="77777777"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Щомісячне використання майданчика не менше ніж 300 особами.</w:t>
            </w:r>
          </w:p>
          <w:p w14:paraId="739F9B08" w14:textId="77777777"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Проведено щонайменше 10 спортивних заходів на рік.</w:t>
            </w:r>
          </w:p>
          <w:p w14:paraId="4D0B815C" w14:textId="77777777"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Позитивні відгуки користувачів (не менше 90% задоволеності умовами).</w:t>
            </w:r>
          </w:p>
        </w:tc>
      </w:tr>
      <w:tr w:rsidR="0097410E" w:rsidRPr="000413EB" w14:paraId="3549310C" w14:textId="77777777" w:rsidTr="000413EB">
        <w:tc>
          <w:tcPr>
            <w:tcW w:w="567" w:type="dxa"/>
            <w:shd w:val="clear" w:color="auto" w:fill="auto"/>
          </w:tcPr>
          <w:p w14:paraId="23131DD3" w14:textId="40BFBA0F" w:rsidR="0097410E" w:rsidRPr="000413EB" w:rsidRDefault="00C52095" w:rsidP="0097410E">
            <w:pPr>
              <w:pStyle w:val="aa"/>
              <w:jc w:val="both"/>
              <w:rPr>
                <w:rFonts w:ascii="Times New Roman" w:eastAsia="Arial" w:hAnsi="Times New Roman"/>
                <w:sz w:val="20"/>
                <w:szCs w:val="20"/>
              </w:rPr>
            </w:pPr>
            <w:r>
              <w:rPr>
                <w:rFonts w:ascii="Times New Roman" w:eastAsia="Arial" w:hAnsi="Times New Roman"/>
                <w:sz w:val="20"/>
                <w:szCs w:val="20"/>
              </w:rPr>
              <w:t>66</w:t>
            </w:r>
          </w:p>
        </w:tc>
        <w:tc>
          <w:tcPr>
            <w:tcW w:w="2694" w:type="dxa"/>
            <w:shd w:val="clear" w:color="auto" w:fill="auto"/>
          </w:tcPr>
          <w:p w14:paraId="2F6BEE03"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С.3.4. Розбудова мережі сучасних спортивних закладів та споруд</w:t>
            </w:r>
          </w:p>
        </w:tc>
        <w:tc>
          <w:tcPr>
            <w:tcW w:w="2551" w:type="dxa"/>
            <w:shd w:val="clear" w:color="auto" w:fill="auto"/>
          </w:tcPr>
          <w:p w14:paraId="5A96B212" w14:textId="77777777" w:rsidR="0097410E" w:rsidRPr="000413EB" w:rsidRDefault="0097410E" w:rsidP="0097410E">
            <w:pPr>
              <w:jc w:val="both"/>
              <w:rPr>
                <w:rFonts w:ascii="Times New Roman" w:hAnsi="Times New Roman"/>
                <w:bCs/>
                <w:sz w:val="20"/>
                <w:szCs w:val="20"/>
              </w:rPr>
            </w:pPr>
            <w:r w:rsidRPr="000413EB">
              <w:rPr>
                <w:rFonts w:ascii="Times New Roman" w:hAnsi="Times New Roman"/>
                <w:bCs/>
                <w:sz w:val="20"/>
                <w:szCs w:val="20"/>
              </w:rPr>
              <w:t>С.3.4.6. Створення футбольних полів із штучним покриттям.</w:t>
            </w:r>
          </w:p>
          <w:p w14:paraId="623A333B"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p>
        </w:tc>
        <w:tc>
          <w:tcPr>
            <w:tcW w:w="2835" w:type="dxa"/>
            <w:shd w:val="clear" w:color="auto" w:fill="auto"/>
          </w:tcPr>
          <w:p w14:paraId="6DCC3E57"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Облаштування футбольних полів зі штучним покриттям на території старостинських округів Жмеринської міської територіальної громади</w:t>
            </w:r>
          </w:p>
          <w:p w14:paraId="4F807CA0"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hAnsi="Times New Roman"/>
                <w:bCs/>
                <w:sz w:val="20"/>
                <w:szCs w:val="20"/>
              </w:rPr>
            </w:pPr>
          </w:p>
        </w:tc>
        <w:tc>
          <w:tcPr>
            <w:tcW w:w="1276" w:type="dxa"/>
            <w:shd w:val="clear" w:color="auto" w:fill="auto"/>
          </w:tcPr>
          <w:p w14:paraId="0F39EB0F"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2026</w:t>
            </w:r>
          </w:p>
        </w:tc>
        <w:tc>
          <w:tcPr>
            <w:tcW w:w="2345" w:type="dxa"/>
            <w:shd w:val="clear" w:color="auto" w:fill="auto"/>
          </w:tcPr>
          <w:p w14:paraId="3BFB4543"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Управління житлово-комунального господарства Жмеринської міської ради</w:t>
            </w:r>
          </w:p>
        </w:tc>
        <w:tc>
          <w:tcPr>
            <w:tcW w:w="2900" w:type="dxa"/>
            <w:shd w:val="clear" w:color="auto" w:fill="auto"/>
          </w:tcPr>
          <w:p w14:paraId="319CF8A0"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Побудова футбольних майданчиків зі штучним покриттям</w:t>
            </w:r>
          </w:p>
          <w:p w14:paraId="6DFAF16E"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Залучено щонайменше 15000 мешканців громади до занять спортом.</w:t>
            </w:r>
          </w:p>
          <w:p w14:paraId="4F0D0AF6"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Проведення регулярних спортивних змагань, тренувань та дозвіллєвих заходів.</w:t>
            </w:r>
          </w:p>
          <w:p w14:paraId="426A5EE7"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Підвищено рівень фізичної активності серед дітей, молоді, населення середнього та пенсійного віку, людей з інвалідністю.</w:t>
            </w:r>
          </w:p>
          <w:p w14:paraId="05C78E1A"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Залучено до спорту понад 60% місцевого населення.</w:t>
            </w:r>
          </w:p>
          <w:p w14:paraId="53A3282D"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Поява нового простору для самореалізації та дозвілля.</w:t>
            </w:r>
          </w:p>
        </w:tc>
      </w:tr>
      <w:tr w:rsidR="0097410E" w:rsidRPr="000413EB" w14:paraId="2547DD99" w14:textId="77777777" w:rsidTr="000413EB">
        <w:tc>
          <w:tcPr>
            <w:tcW w:w="567" w:type="dxa"/>
            <w:shd w:val="clear" w:color="auto" w:fill="auto"/>
          </w:tcPr>
          <w:p w14:paraId="53EB6603" w14:textId="1651B555" w:rsidR="0097410E" w:rsidRPr="000413EB" w:rsidRDefault="00C52095" w:rsidP="0097410E">
            <w:pPr>
              <w:pStyle w:val="aa"/>
              <w:jc w:val="both"/>
              <w:rPr>
                <w:rFonts w:ascii="Times New Roman" w:eastAsia="Arial" w:hAnsi="Times New Roman"/>
                <w:sz w:val="20"/>
                <w:szCs w:val="20"/>
              </w:rPr>
            </w:pPr>
            <w:r>
              <w:rPr>
                <w:rFonts w:ascii="Times New Roman" w:eastAsia="Arial" w:hAnsi="Times New Roman"/>
                <w:sz w:val="20"/>
                <w:szCs w:val="20"/>
              </w:rPr>
              <w:t>67</w:t>
            </w:r>
          </w:p>
        </w:tc>
        <w:tc>
          <w:tcPr>
            <w:tcW w:w="2694" w:type="dxa"/>
            <w:shd w:val="clear" w:color="auto" w:fill="auto"/>
          </w:tcPr>
          <w:p w14:paraId="08B553F7"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С.3.5. Створення  активного молодіжного та громадського середовища</w:t>
            </w:r>
          </w:p>
        </w:tc>
        <w:tc>
          <w:tcPr>
            <w:tcW w:w="2551" w:type="dxa"/>
            <w:shd w:val="clear" w:color="auto" w:fill="auto"/>
          </w:tcPr>
          <w:p w14:paraId="2F62DA29" w14:textId="77777777" w:rsidR="0097410E" w:rsidRPr="000413EB" w:rsidRDefault="0097410E" w:rsidP="0097410E">
            <w:pPr>
              <w:autoSpaceDE w:val="0"/>
              <w:autoSpaceDN w:val="0"/>
              <w:jc w:val="both"/>
              <w:rPr>
                <w:rFonts w:ascii="Times New Roman" w:hAnsi="Times New Roman"/>
                <w:sz w:val="20"/>
                <w:szCs w:val="20"/>
                <w:lang w:eastAsia="en-US"/>
              </w:rPr>
            </w:pPr>
            <w:r w:rsidRPr="000413EB">
              <w:rPr>
                <w:rFonts w:ascii="Times New Roman" w:hAnsi="Times New Roman"/>
                <w:sz w:val="20"/>
                <w:szCs w:val="20"/>
                <w:lang w:eastAsia="en-US"/>
              </w:rPr>
              <w:t>С.3.5.1. Створення умов для  самореалізації та участі дітей, молоді   у житті громади.</w:t>
            </w:r>
          </w:p>
          <w:p w14:paraId="7E582FE8"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p>
        </w:tc>
        <w:tc>
          <w:tcPr>
            <w:tcW w:w="2835" w:type="dxa"/>
            <w:shd w:val="clear" w:color="auto" w:fill="auto"/>
          </w:tcPr>
          <w:p w14:paraId="1832CF65"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hAnsi="Times New Roman"/>
                <w:bCs/>
                <w:sz w:val="20"/>
                <w:szCs w:val="20"/>
              </w:rPr>
            </w:pPr>
            <w:r w:rsidRPr="000413EB">
              <w:rPr>
                <w:rFonts w:ascii="Times New Roman" w:hAnsi="Times New Roman"/>
                <w:sz w:val="20"/>
                <w:szCs w:val="20"/>
              </w:rPr>
              <w:t>«Територія дії: розвиток молодіжного лідерства та участі»</w:t>
            </w:r>
          </w:p>
        </w:tc>
        <w:tc>
          <w:tcPr>
            <w:tcW w:w="1276" w:type="dxa"/>
            <w:shd w:val="clear" w:color="auto" w:fill="auto"/>
          </w:tcPr>
          <w:p w14:paraId="704B0FC2"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2026-2028</w:t>
            </w:r>
          </w:p>
        </w:tc>
        <w:tc>
          <w:tcPr>
            <w:tcW w:w="2345" w:type="dxa"/>
            <w:shd w:val="clear" w:color="auto" w:fill="auto"/>
          </w:tcPr>
          <w:p w14:paraId="0AA87CEA"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Відділ молоді та спорту Жмеринської міської ради</w:t>
            </w:r>
          </w:p>
        </w:tc>
        <w:tc>
          <w:tcPr>
            <w:tcW w:w="2900" w:type="dxa"/>
            <w:shd w:val="clear" w:color="auto" w:fill="auto"/>
          </w:tcPr>
          <w:p w14:paraId="7CCCE529" w14:textId="77777777"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200+ дітей і молодих людей пройдуть навчання.</w:t>
            </w:r>
          </w:p>
          <w:p w14:paraId="5B805306" w14:textId="77777777"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Проведено 10+ тренінгів, 5 дебатів/форумів на рік.</w:t>
            </w:r>
          </w:p>
          <w:p w14:paraId="64FDF434" w14:textId="77777777"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Реалізовано не менше 10 молодіжних ініціатив.</w:t>
            </w:r>
          </w:p>
          <w:p w14:paraId="7D8E65B9" w14:textId="77777777"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Участь молоді в громадських консультаціях зросте на 50%.</w:t>
            </w:r>
          </w:p>
          <w:p w14:paraId="5AE16D8E" w14:textId="77777777"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Залучено нових учасників до молодіжної ради або активних груп.</w:t>
            </w:r>
          </w:p>
          <w:p w14:paraId="1534CA76" w14:textId="77777777"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80% учасників відзначать покращення навичок лідерства, комунікації, ініціативності.</w:t>
            </w:r>
          </w:p>
        </w:tc>
      </w:tr>
      <w:tr w:rsidR="0097410E" w:rsidRPr="000413EB" w14:paraId="635EC5F0" w14:textId="77777777" w:rsidTr="000413EB">
        <w:tc>
          <w:tcPr>
            <w:tcW w:w="567" w:type="dxa"/>
            <w:shd w:val="clear" w:color="auto" w:fill="auto"/>
          </w:tcPr>
          <w:p w14:paraId="510CEA0F" w14:textId="57A63639" w:rsidR="0097410E" w:rsidRPr="000413EB" w:rsidRDefault="00C52095" w:rsidP="0097410E">
            <w:pPr>
              <w:pStyle w:val="aa"/>
              <w:jc w:val="both"/>
              <w:rPr>
                <w:rFonts w:ascii="Times New Roman" w:eastAsia="Arial" w:hAnsi="Times New Roman"/>
                <w:sz w:val="20"/>
                <w:szCs w:val="20"/>
              </w:rPr>
            </w:pPr>
            <w:r>
              <w:rPr>
                <w:rFonts w:ascii="Times New Roman" w:eastAsia="Arial" w:hAnsi="Times New Roman"/>
                <w:sz w:val="20"/>
                <w:szCs w:val="20"/>
              </w:rPr>
              <w:t>68</w:t>
            </w:r>
          </w:p>
        </w:tc>
        <w:tc>
          <w:tcPr>
            <w:tcW w:w="2694" w:type="dxa"/>
            <w:shd w:val="clear" w:color="auto" w:fill="auto"/>
          </w:tcPr>
          <w:p w14:paraId="777C131E"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С.3.5. Створення  активного молодіжного та громадського середовища</w:t>
            </w:r>
          </w:p>
        </w:tc>
        <w:tc>
          <w:tcPr>
            <w:tcW w:w="2551" w:type="dxa"/>
            <w:shd w:val="clear" w:color="auto" w:fill="auto"/>
          </w:tcPr>
          <w:p w14:paraId="6DF665A6" w14:textId="77777777" w:rsidR="0097410E" w:rsidRPr="000413EB" w:rsidRDefault="0097410E" w:rsidP="0097410E">
            <w:pPr>
              <w:autoSpaceDE w:val="0"/>
              <w:autoSpaceDN w:val="0"/>
              <w:jc w:val="both"/>
              <w:rPr>
                <w:rFonts w:ascii="Times New Roman" w:hAnsi="Times New Roman"/>
                <w:sz w:val="20"/>
                <w:szCs w:val="20"/>
                <w:lang w:eastAsia="en-US"/>
              </w:rPr>
            </w:pPr>
            <w:r w:rsidRPr="000413EB">
              <w:rPr>
                <w:rFonts w:ascii="Times New Roman" w:hAnsi="Times New Roman"/>
                <w:sz w:val="20"/>
                <w:szCs w:val="20"/>
                <w:lang w:eastAsia="en-US"/>
              </w:rPr>
              <w:t>С.3.5.1. Створення умов для  самореалізації та участі дітей, молоді   у житті громади.</w:t>
            </w:r>
          </w:p>
          <w:p w14:paraId="20A685F8"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p>
        </w:tc>
        <w:tc>
          <w:tcPr>
            <w:tcW w:w="2835" w:type="dxa"/>
            <w:shd w:val="clear" w:color="auto" w:fill="auto"/>
          </w:tcPr>
          <w:p w14:paraId="2F6E4DE4"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hAnsi="Times New Roman"/>
                <w:bCs/>
                <w:sz w:val="20"/>
                <w:szCs w:val="20"/>
              </w:rPr>
            </w:pPr>
            <w:r w:rsidRPr="000413EB">
              <w:rPr>
                <w:rFonts w:ascii="Times New Roman" w:hAnsi="Times New Roman"/>
                <w:sz w:val="20"/>
                <w:szCs w:val="20"/>
              </w:rPr>
              <w:t>«Громада талантів: розвиток культурно-творчого потенціалу мешканців»</w:t>
            </w:r>
          </w:p>
        </w:tc>
        <w:tc>
          <w:tcPr>
            <w:tcW w:w="1276" w:type="dxa"/>
            <w:shd w:val="clear" w:color="auto" w:fill="auto"/>
          </w:tcPr>
          <w:p w14:paraId="35AEF2A7"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2026-2028</w:t>
            </w:r>
          </w:p>
        </w:tc>
        <w:tc>
          <w:tcPr>
            <w:tcW w:w="2345" w:type="dxa"/>
            <w:shd w:val="clear" w:color="auto" w:fill="auto"/>
          </w:tcPr>
          <w:p w14:paraId="139FCDCF"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Відділ молоді та спорту Жмеринської міської ради</w:t>
            </w:r>
          </w:p>
        </w:tc>
        <w:tc>
          <w:tcPr>
            <w:tcW w:w="2900" w:type="dxa"/>
            <w:shd w:val="clear" w:color="auto" w:fill="auto"/>
          </w:tcPr>
          <w:p w14:paraId="74A72935" w14:textId="77777777" w:rsidR="0097410E" w:rsidRPr="000413EB" w:rsidRDefault="0097410E" w:rsidP="0097410E">
            <w:pPr>
              <w:tabs>
                <w:tab w:val="left" w:pos="123"/>
                <w:tab w:val="left" w:pos="276"/>
              </w:tabs>
              <w:jc w:val="both"/>
              <w:rPr>
                <w:rFonts w:ascii="Times New Roman" w:hAnsi="Times New Roman"/>
                <w:sz w:val="20"/>
                <w:szCs w:val="20"/>
              </w:rPr>
            </w:pPr>
            <w:r w:rsidRPr="000413EB">
              <w:rPr>
                <w:rFonts w:ascii="Times New Roman" w:hAnsi="Times New Roman"/>
                <w:sz w:val="20"/>
                <w:szCs w:val="20"/>
              </w:rPr>
              <w:t>Проведено не менше 25 культурно-творчих заходів на рік.</w:t>
            </w:r>
          </w:p>
          <w:p w14:paraId="4BE4BA22" w14:textId="77777777" w:rsidR="0097410E" w:rsidRPr="000413EB" w:rsidRDefault="0097410E" w:rsidP="0097410E">
            <w:pPr>
              <w:tabs>
                <w:tab w:val="left" w:pos="123"/>
                <w:tab w:val="left" w:pos="276"/>
              </w:tabs>
              <w:jc w:val="both"/>
              <w:rPr>
                <w:rFonts w:ascii="Times New Roman" w:hAnsi="Times New Roman"/>
                <w:sz w:val="20"/>
                <w:szCs w:val="20"/>
              </w:rPr>
            </w:pPr>
            <w:r w:rsidRPr="000413EB">
              <w:rPr>
                <w:rFonts w:ascii="Times New Roman" w:hAnsi="Times New Roman"/>
                <w:sz w:val="20"/>
                <w:szCs w:val="20"/>
              </w:rPr>
              <w:t>Участь щонайменше 600 мешканців громади.</w:t>
            </w:r>
          </w:p>
          <w:p w14:paraId="20C58923" w14:textId="77777777" w:rsidR="0097410E" w:rsidRPr="000413EB" w:rsidRDefault="0097410E" w:rsidP="0097410E">
            <w:pPr>
              <w:tabs>
                <w:tab w:val="left" w:pos="123"/>
                <w:tab w:val="left" w:pos="276"/>
              </w:tabs>
              <w:jc w:val="both"/>
              <w:rPr>
                <w:rFonts w:ascii="Times New Roman" w:hAnsi="Times New Roman"/>
                <w:sz w:val="20"/>
                <w:szCs w:val="20"/>
              </w:rPr>
            </w:pPr>
            <w:r w:rsidRPr="000413EB">
              <w:rPr>
                <w:rFonts w:ascii="Times New Roman" w:hAnsi="Times New Roman"/>
                <w:sz w:val="20"/>
                <w:szCs w:val="20"/>
              </w:rPr>
              <w:t>Залучено 10+ колективів або творчих ініціатив.</w:t>
            </w:r>
          </w:p>
          <w:p w14:paraId="552AD4F0" w14:textId="77777777" w:rsidR="0097410E" w:rsidRPr="000413EB" w:rsidRDefault="0097410E" w:rsidP="0097410E">
            <w:pPr>
              <w:tabs>
                <w:tab w:val="left" w:pos="123"/>
                <w:tab w:val="left" w:pos="276"/>
              </w:tabs>
              <w:jc w:val="both"/>
              <w:rPr>
                <w:rFonts w:ascii="Times New Roman" w:hAnsi="Times New Roman"/>
                <w:sz w:val="20"/>
                <w:szCs w:val="20"/>
              </w:rPr>
            </w:pPr>
            <w:r w:rsidRPr="000413EB">
              <w:rPr>
                <w:rFonts w:ascii="Times New Roman" w:hAnsi="Times New Roman"/>
                <w:sz w:val="20"/>
                <w:szCs w:val="20"/>
              </w:rPr>
              <w:t>Зростання рівня участі населення в культурних подіях на 30%.</w:t>
            </w:r>
          </w:p>
          <w:p w14:paraId="6737D121" w14:textId="77777777" w:rsidR="0097410E" w:rsidRPr="000413EB" w:rsidRDefault="0097410E" w:rsidP="0097410E">
            <w:pPr>
              <w:tabs>
                <w:tab w:val="left" w:pos="123"/>
                <w:tab w:val="left" w:pos="276"/>
              </w:tabs>
              <w:jc w:val="both"/>
              <w:rPr>
                <w:rFonts w:ascii="Times New Roman" w:hAnsi="Times New Roman"/>
                <w:sz w:val="20"/>
                <w:szCs w:val="20"/>
              </w:rPr>
            </w:pPr>
            <w:r w:rsidRPr="000413EB">
              <w:rPr>
                <w:rFonts w:ascii="Times New Roman" w:hAnsi="Times New Roman"/>
                <w:sz w:val="20"/>
                <w:szCs w:val="20"/>
              </w:rPr>
              <w:t>Підвищено мотивацію мешканців до творчої самореалізації.</w:t>
            </w:r>
          </w:p>
        </w:tc>
      </w:tr>
      <w:tr w:rsidR="0097410E" w:rsidRPr="000413EB" w14:paraId="357AA1C4" w14:textId="77777777" w:rsidTr="000413EB">
        <w:tc>
          <w:tcPr>
            <w:tcW w:w="567" w:type="dxa"/>
            <w:shd w:val="clear" w:color="auto" w:fill="auto"/>
          </w:tcPr>
          <w:p w14:paraId="45DC780E" w14:textId="1E7B1954" w:rsidR="0097410E" w:rsidRPr="000413EB" w:rsidRDefault="00C52095" w:rsidP="0097410E">
            <w:pPr>
              <w:pStyle w:val="aa"/>
              <w:jc w:val="both"/>
              <w:rPr>
                <w:rFonts w:ascii="Times New Roman" w:eastAsia="Arial" w:hAnsi="Times New Roman"/>
                <w:sz w:val="20"/>
                <w:szCs w:val="20"/>
              </w:rPr>
            </w:pPr>
            <w:r>
              <w:rPr>
                <w:rFonts w:ascii="Times New Roman" w:eastAsia="Arial" w:hAnsi="Times New Roman"/>
                <w:sz w:val="20"/>
                <w:szCs w:val="20"/>
              </w:rPr>
              <w:t>69</w:t>
            </w:r>
          </w:p>
        </w:tc>
        <w:tc>
          <w:tcPr>
            <w:tcW w:w="2694" w:type="dxa"/>
            <w:shd w:val="clear" w:color="auto" w:fill="auto"/>
          </w:tcPr>
          <w:p w14:paraId="35F69232"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С.3.5. Створення  активного молодіжного та громадського середовища</w:t>
            </w:r>
          </w:p>
        </w:tc>
        <w:tc>
          <w:tcPr>
            <w:tcW w:w="2551" w:type="dxa"/>
            <w:shd w:val="clear" w:color="auto" w:fill="auto"/>
          </w:tcPr>
          <w:p w14:paraId="4F534B39"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lang w:eastAsia="en-US"/>
              </w:rPr>
              <w:t xml:space="preserve">С.3.5.2. </w:t>
            </w:r>
            <w:r w:rsidRPr="000413EB">
              <w:rPr>
                <w:rFonts w:ascii="Times New Roman" w:hAnsi="Times New Roman"/>
                <w:sz w:val="20"/>
                <w:szCs w:val="20"/>
              </w:rPr>
              <w:t>Розвиток  місцевої інфраструктури з урахуванням думки та дотриманням прав дітей та молоді.</w:t>
            </w:r>
          </w:p>
          <w:p w14:paraId="4979B95A"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p>
        </w:tc>
        <w:tc>
          <w:tcPr>
            <w:tcW w:w="2835" w:type="dxa"/>
            <w:shd w:val="clear" w:color="auto" w:fill="auto"/>
          </w:tcPr>
          <w:p w14:paraId="5DC87DE5"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hAnsi="Times New Roman"/>
                <w:bCs/>
                <w:sz w:val="20"/>
                <w:szCs w:val="20"/>
              </w:rPr>
            </w:pPr>
            <w:r w:rsidRPr="000413EB">
              <w:rPr>
                <w:rFonts w:ascii="Times New Roman" w:hAnsi="Times New Roman"/>
                <w:sz w:val="20"/>
                <w:szCs w:val="20"/>
              </w:rPr>
              <w:t>«Місто для дітей і молоді: участь, безпека, розвиток»</w:t>
            </w:r>
          </w:p>
        </w:tc>
        <w:tc>
          <w:tcPr>
            <w:tcW w:w="1276" w:type="dxa"/>
            <w:shd w:val="clear" w:color="auto" w:fill="auto"/>
          </w:tcPr>
          <w:p w14:paraId="6F92AFFA"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2026-2028</w:t>
            </w:r>
          </w:p>
        </w:tc>
        <w:tc>
          <w:tcPr>
            <w:tcW w:w="2345" w:type="dxa"/>
            <w:shd w:val="clear" w:color="auto" w:fill="auto"/>
          </w:tcPr>
          <w:p w14:paraId="6975F856"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Відділ молоді та спорту Жмеринської міської ради</w:t>
            </w:r>
          </w:p>
        </w:tc>
        <w:tc>
          <w:tcPr>
            <w:tcW w:w="2900" w:type="dxa"/>
            <w:shd w:val="clear" w:color="auto" w:fill="auto"/>
          </w:tcPr>
          <w:p w14:paraId="6DC4F872" w14:textId="77777777"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Проведено не менше 5 консультацій/сесій з дітьми та молоддю на рік.</w:t>
            </w:r>
          </w:p>
          <w:p w14:paraId="387C1B42" w14:textId="77777777"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Охоплено понад 200 учасників віком 10–25 років на рік.</w:t>
            </w:r>
          </w:p>
          <w:p w14:paraId="0C2E97E9" w14:textId="77777777"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Упроваджено мінімум 2 рішення/покращення в громадському просторі.</w:t>
            </w:r>
          </w:p>
          <w:p w14:paraId="72866C74" w14:textId="77777777"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Підготовлено 1 звіт про врахування думки молоді в розвитку інфраструктури за рік.</w:t>
            </w:r>
          </w:p>
          <w:p w14:paraId="29FBA1CB" w14:textId="77777777"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Залучено до партнерства 5+ установ/організацій.</w:t>
            </w:r>
          </w:p>
        </w:tc>
      </w:tr>
      <w:tr w:rsidR="0097410E" w:rsidRPr="000413EB" w14:paraId="1A7F9785" w14:textId="77777777" w:rsidTr="000413EB">
        <w:tc>
          <w:tcPr>
            <w:tcW w:w="567" w:type="dxa"/>
            <w:shd w:val="clear" w:color="auto" w:fill="auto"/>
          </w:tcPr>
          <w:p w14:paraId="3C9CBECF" w14:textId="73875F37" w:rsidR="0097410E" w:rsidRPr="000413EB" w:rsidRDefault="00C52095" w:rsidP="0097410E">
            <w:pPr>
              <w:pStyle w:val="aa"/>
              <w:jc w:val="both"/>
              <w:rPr>
                <w:rFonts w:ascii="Times New Roman" w:eastAsia="Arial" w:hAnsi="Times New Roman"/>
                <w:sz w:val="20"/>
                <w:szCs w:val="20"/>
              </w:rPr>
            </w:pPr>
            <w:r>
              <w:rPr>
                <w:rFonts w:ascii="Times New Roman" w:eastAsia="Arial" w:hAnsi="Times New Roman"/>
                <w:sz w:val="20"/>
                <w:szCs w:val="20"/>
              </w:rPr>
              <w:t>70</w:t>
            </w:r>
          </w:p>
        </w:tc>
        <w:tc>
          <w:tcPr>
            <w:tcW w:w="2694" w:type="dxa"/>
            <w:shd w:val="clear" w:color="auto" w:fill="auto"/>
          </w:tcPr>
          <w:p w14:paraId="6450E689"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С.3.5. Створення  активного молодіжного та громадського середовища</w:t>
            </w:r>
          </w:p>
        </w:tc>
        <w:tc>
          <w:tcPr>
            <w:tcW w:w="2551" w:type="dxa"/>
            <w:shd w:val="clear" w:color="auto" w:fill="auto"/>
          </w:tcPr>
          <w:p w14:paraId="0EA8FFB9"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lang w:eastAsia="en-US"/>
              </w:rPr>
              <w:t xml:space="preserve">С.3.5.3. </w:t>
            </w:r>
            <w:r w:rsidRPr="000413EB">
              <w:rPr>
                <w:rFonts w:ascii="Times New Roman" w:hAnsi="Times New Roman"/>
                <w:sz w:val="20"/>
                <w:szCs w:val="20"/>
              </w:rPr>
              <w:t>Відкриття молодіжних центрів та установ, що працюють з молоддю.</w:t>
            </w:r>
          </w:p>
          <w:p w14:paraId="0467098B"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p>
        </w:tc>
        <w:tc>
          <w:tcPr>
            <w:tcW w:w="2835" w:type="dxa"/>
            <w:shd w:val="clear" w:color="auto" w:fill="auto"/>
          </w:tcPr>
          <w:p w14:paraId="7FE5C8D9"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hAnsi="Times New Roman"/>
                <w:bCs/>
                <w:sz w:val="20"/>
                <w:szCs w:val="20"/>
              </w:rPr>
            </w:pPr>
            <w:r w:rsidRPr="000413EB">
              <w:rPr>
                <w:rFonts w:ascii="Times New Roman" w:hAnsi="Times New Roman"/>
                <w:sz w:val="20"/>
                <w:szCs w:val="20"/>
              </w:rPr>
              <w:t>«Простір можливостей: Молодіжний центр громади»</w:t>
            </w:r>
          </w:p>
        </w:tc>
        <w:tc>
          <w:tcPr>
            <w:tcW w:w="1276" w:type="dxa"/>
            <w:shd w:val="clear" w:color="auto" w:fill="auto"/>
          </w:tcPr>
          <w:p w14:paraId="2D57253E"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2026-2028</w:t>
            </w:r>
          </w:p>
        </w:tc>
        <w:tc>
          <w:tcPr>
            <w:tcW w:w="2345" w:type="dxa"/>
            <w:shd w:val="clear" w:color="auto" w:fill="auto"/>
          </w:tcPr>
          <w:p w14:paraId="18FF375C" w14:textId="77777777" w:rsidR="008955D4" w:rsidRDefault="0097410E" w:rsidP="0097410E">
            <w:pPr>
              <w:jc w:val="both"/>
              <w:rPr>
                <w:rFonts w:ascii="Times New Roman" w:hAnsi="Times New Roman"/>
                <w:sz w:val="20"/>
                <w:szCs w:val="20"/>
              </w:rPr>
            </w:pPr>
            <w:r w:rsidRPr="000413EB">
              <w:rPr>
                <w:rFonts w:ascii="Times New Roman" w:hAnsi="Times New Roman"/>
                <w:sz w:val="20"/>
                <w:szCs w:val="20"/>
              </w:rPr>
              <w:t xml:space="preserve">Відділ молоді та спорту Жмеринської міської ради, </w:t>
            </w:r>
          </w:p>
          <w:p w14:paraId="033C9178" w14:textId="72DCBB02"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управління житлово-комунального господарства Жмеринської міської ради</w:t>
            </w:r>
          </w:p>
        </w:tc>
        <w:tc>
          <w:tcPr>
            <w:tcW w:w="2900" w:type="dxa"/>
            <w:shd w:val="clear" w:color="auto" w:fill="auto"/>
          </w:tcPr>
          <w:p w14:paraId="45A5692F" w14:textId="77777777"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Облаштовано 1 молодіжний центр.</w:t>
            </w:r>
          </w:p>
          <w:p w14:paraId="75C0F994" w14:textId="77777777"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Охоплено щонайменше 500 молодих людей у перший рік.</w:t>
            </w:r>
          </w:p>
          <w:p w14:paraId="07339AE1" w14:textId="77777777"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Проведено понад 40 тематичних заходів за рік.</w:t>
            </w:r>
          </w:p>
          <w:p w14:paraId="61C963CE" w14:textId="77777777"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Створено не менше 5 молодіжних проєктів або ініціатив.</w:t>
            </w:r>
          </w:p>
          <w:p w14:paraId="0606CD47" w14:textId="77777777"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Залучено до роботи не менше 15 волонтерів.</w:t>
            </w:r>
          </w:p>
          <w:p w14:paraId="4DFDBE6F" w14:textId="551D8224"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Розроблено стратегію /програму розвитку молодіжного центру</w:t>
            </w:r>
            <w:r w:rsidR="00F27D41">
              <w:rPr>
                <w:rFonts w:ascii="Times New Roman" w:hAnsi="Times New Roman"/>
                <w:sz w:val="20"/>
                <w:szCs w:val="20"/>
              </w:rPr>
              <w:t>.</w:t>
            </w:r>
          </w:p>
        </w:tc>
      </w:tr>
      <w:tr w:rsidR="0097410E" w:rsidRPr="000413EB" w14:paraId="2E44EA72" w14:textId="77777777" w:rsidTr="000413EB">
        <w:tc>
          <w:tcPr>
            <w:tcW w:w="567" w:type="dxa"/>
            <w:shd w:val="clear" w:color="auto" w:fill="auto"/>
          </w:tcPr>
          <w:p w14:paraId="2BE49213" w14:textId="2B5CA78F" w:rsidR="0097410E" w:rsidRPr="000413EB" w:rsidRDefault="00C52095" w:rsidP="0097410E">
            <w:pPr>
              <w:pStyle w:val="aa"/>
              <w:jc w:val="both"/>
              <w:rPr>
                <w:rFonts w:ascii="Times New Roman" w:eastAsia="Arial" w:hAnsi="Times New Roman"/>
                <w:sz w:val="20"/>
                <w:szCs w:val="20"/>
              </w:rPr>
            </w:pPr>
            <w:r>
              <w:rPr>
                <w:rFonts w:ascii="Times New Roman" w:eastAsia="Arial" w:hAnsi="Times New Roman"/>
                <w:sz w:val="20"/>
                <w:szCs w:val="20"/>
              </w:rPr>
              <w:t>71</w:t>
            </w:r>
          </w:p>
        </w:tc>
        <w:tc>
          <w:tcPr>
            <w:tcW w:w="2694" w:type="dxa"/>
            <w:shd w:val="clear" w:color="auto" w:fill="auto"/>
          </w:tcPr>
          <w:p w14:paraId="7AC4A4B0"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С.3.5. Створення  активного молодіжного та громадського середовища</w:t>
            </w:r>
          </w:p>
        </w:tc>
        <w:tc>
          <w:tcPr>
            <w:tcW w:w="2551" w:type="dxa"/>
            <w:shd w:val="clear" w:color="auto" w:fill="auto"/>
          </w:tcPr>
          <w:p w14:paraId="64EEE035"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lang w:eastAsia="en-US"/>
              </w:rPr>
              <w:t xml:space="preserve">С.3.5.4. </w:t>
            </w:r>
            <w:r w:rsidRPr="000413EB">
              <w:rPr>
                <w:rFonts w:ascii="Times New Roman" w:hAnsi="Times New Roman"/>
                <w:sz w:val="20"/>
                <w:szCs w:val="20"/>
              </w:rPr>
              <w:t>Забезпечення розвитку системи національно-патріотичного виховання дітей  і молоді.</w:t>
            </w:r>
          </w:p>
          <w:p w14:paraId="3B1C3D3A"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p>
        </w:tc>
        <w:tc>
          <w:tcPr>
            <w:tcW w:w="2835" w:type="dxa"/>
            <w:shd w:val="clear" w:color="auto" w:fill="auto"/>
          </w:tcPr>
          <w:p w14:paraId="4565AA18"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hAnsi="Times New Roman"/>
                <w:bCs/>
                <w:sz w:val="20"/>
                <w:szCs w:val="20"/>
              </w:rPr>
            </w:pPr>
            <w:r w:rsidRPr="000413EB">
              <w:rPr>
                <w:rFonts w:ascii="Times New Roman" w:hAnsi="Times New Roman"/>
                <w:sz w:val="20"/>
                <w:szCs w:val="20"/>
              </w:rPr>
              <w:t>«Пульс нації» — національно-патріотичне виховання через активну участь молоді</w:t>
            </w:r>
          </w:p>
        </w:tc>
        <w:tc>
          <w:tcPr>
            <w:tcW w:w="1276" w:type="dxa"/>
            <w:shd w:val="clear" w:color="auto" w:fill="auto"/>
          </w:tcPr>
          <w:p w14:paraId="683B3442"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2026-2028</w:t>
            </w:r>
          </w:p>
        </w:tc>
        <w:tc>
          <w:tcPr>
            <w:tcW w:w="2345" w:type="dxa"/>
            <w:shd w:val="clear" w:color="auto" w:fill="auto"/>
          </w:tcPr>
          <w:p w14:paraId="4250A423"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Відділ молоді та спорту Жмеринської міської ради</w:t>
            </w:r>
          </w:p>
        </w:tc>
        <w:tc>
          <w:tcPr>
            <w:tcW w:w="2900" w:type="dxa"/>
            <w:shd w:val="clear" w:color="auto" w:fill="auto"/>
          </w:tcPr>
          <w:p w14:paraId="2AB5BC97" w14:textId="68167FBC"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Проведено щонайменше 5 великих заходів з нац.-патр</w:t>
            </w:r>
            <w:r w:rsidR="00F27D41">
              <w:rPr>
                <w:rFonts w:ascii="Times New Roman" w:hAnsi="Times New Roman"/>
                <w:sz w:val="20"/>
                <w:szCs w:val="20"/>
              </w:rPr>
              <w:t>іот</w:t>
            </w:r>
            <w:r w:rsidRPr="000413EB">
              <w:rPr>
                <w:rFonts w:ascii="Times New Roman" w:hAnsi="Times New Roman"/>
                <w:sz w:val="20"/>
                <w:szCs w:val="20"/>
              </w:rPr>
              <w:t>. виховання на рік.</w:t>
            </w:r>
          </w:p>
          <w:p w14:paraId="1910B996" w14:textId="77777777"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Залучено понад 1000 учасників на рік.</w:t>
            </w:r>
          </w:p>
          <w:p w14:paraId="31AC62F8" w14:textId="77777777"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Організовано щонайменше 10 зустрічей з ветеранами на рік.</w:t>
            </w:r>
          </w:p>
          <w:p w14:paraId="3D5D95C4" w14:textId="77777777"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Проведено щонайменше 2 табори/вишколи на рік.</w:t>
            </w:r>
          </w:p>
          <w:p w14:paraId="4A475998" w14:textId="77777777"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Підвищено рівень обізнаності учасників щодо української історії та безпеки.</w:t>
            </w:r>
          </w:p>
        </w:tc>
      </w:tr>
      <w:tr w:rsidR="0097410E" w:rsidRPr="000413EB" w14:paraId="50A9CA37" w14:textId="77777777" w:rsidTr="000413EB">
        <w:tc>
          <w:tcPr>
            <w:tcW w:w="567" w:type="dxa"/>
            <w:shd w:val="clear" w:color="auto" w:fill="auto"/>
          </w:tcPr>
          <w:p w14:paraId="24E2E32B" w14:textId="1C94E60E" w:rsidR="0097410E" w:rsidRPr="000413EB" w:rsidRDefault="00C52095" w:rsidP="0097410E">
            <w:pPr>
              <w:pStyle w:val="aa"/>
              <w:jc w:val="both"/>
              <w:rPr>
                <w:rFonts w:ascii="Times New Roman" w:eastAsia="Arial" w:hAnsi="Times New Roman"/>
                <w:sz w:val="20"/>
                <w:szCs w:val="20"/>
              </w:rPr>
            </w:pPr>
            <w:r>
              <w:rPr>
                <w:rFonts w:ascii="Times New Roman" w:eastAsia="Arial" w:hAnsi="Times New Roman"/>
                <w:sz w:val="20"/>
                <w:szCs w:val="20"/>
              </w:rPr>
              <w:t>72</w:t>
            </w:r>
          </w:p>
        </w:tc>
        <w:tc>
          <w:tcPr>
            <w:tcW w:w="2694" w:type="dxa"/>
            <w:shd w:val="clear" w:color="auto" w:fill="auto"/>
          </w:tcPr>
          <w:p w14:paraId="2F31B49A"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С.3.5. Створення  активного молодіжного та громадського середовища</w:t>
            </w:r>
          </w:p>
        </w:tc>
        <w:tc>
          <w:tcPr>
            <w:tcW w:w="2551" w:type="dxa"/>
            <w:shd w:val="clear" w:color="auto" w:fill="auto"/>
          </w:tcPr>
          <w:p w14:paraId="20EA3277"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lang w:eastAsia="en-US"/>
              </w:rPr>
              <w:t xml:space="preserve">С.3.5.5. </w:t>
            </w:r>
            <w:r w:rsidRPr="000413EB">
              <w:rPr>
                <w:rFonts w:ascii="Times New Roman" w:hAnsi="Times New Roman"/>
                <w:iCs/>
                <w:sz w:val="20"/>
                <w:szCs w:val="20"/>
              </w:rPr>
              <w:t>Підвищення безпечності середовища та посилення життєстійкості молоді.</w:t>
            </w:r>
          </w:p>
          <w:p w14:paraId="539ED3C0"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p>
        </w:tc>
        <w:tc>
          <w:tcPr>
            <w:tcW w:w="2835" w:type="dxa"/>
            <w:shd w:val="clear" w:color="auto" w:fill="auto"/>
          </w:tcPr>
          <w:p w14:paraId="0F2E4265"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hAnsi="Times New Roman"/>
                <w:bCs/>
                <w:sz w:val="20"/>
                <w:szCs w:val="20"/>
              </w:rPr>
            </w:pPr>
            <w:r w:rsidRPr="000413EB">
              <w:rPr>
                <w:rFonts w:ascii="Times New Roman" w:hAnsi="Times New Roman"/>
                <w:sz w:val="20"/>
                <w:szCs w:val="20"/>
              </w:rPr>
              <w:t>«Безпечна громада — стійка молодь»</w:t>
            </w:r>
          </w:p>
        </w:tc>
        <w:tc>
          <w:tcPr>
            <w:tcW w:w="1276" w:type="dxa"/>
            <w:shd w:val="clear" w:color="auto" w:fill="auto"/>
          </w:tcPr>
          <w:p w14:paraId="7CB5E7C4"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2026-2028</w:t>
            </w:r>
          </w:p>
        </w:tc>
        <w:tc>
          <w:tcPr>
            <w:tcW w:w="2345" w:type="dxa"/>
            <w:shd w:val="clear" w:color="auto" w:fill="auto"/>
          </w:tcPr>
          <w:p w14:paraId="69894A8E"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Відділ молоді та спорту Жмеринської міської ради</w:t>
            </w:r>
          </w:p>
        </w:tc>
        <w:tc>
          <w:tcPr>
            <w:tcW w:w="2900" w:type="dxa"/>
            <w:shd w:val="clear" w:color="auto" w:fill="auto"/>
          </w:tcPr>
          <w:p w14:paraId="52FE0945" w14:textId="77777777"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Залучено не менше 300 учасників до очних заходів на рік.</w:t>
            </w:r>
          </w:p>
          <w:p w14:paraId="76B6742E" w14:textId="77777777"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Проведено щонайменше 10 тренінгів і майстер-класів на рік.</w:t>
            </w:r>
          </w:p>
          <w:p w14:paraId="5093F9ED" w14:textId="77777777"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Створено онлайн-ресурс для молоді з теми безпеки.</w:t>
            </w:r>
          </w:p>
          <w:p w14:paraId="57E7E49E" w14:textId="77777777"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Проведено щонайменше 2 симуляційні навчання на рік.</w:t>
            </w:r>
          </w:p>
          <w:p w14:paraId="763A7456" w14:textId="77777777"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80% учасників демонструють підвищення знань у тематиці безпеки.</w:t>
            </w:r>
          </w:p>
          <w:p w14:paraId="3B8DF982" w14:textId="77777777"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Залучено щонайменше 5 фахівців-практиків (ДСНС, медики, психологи) на рік.</w:t>
            </w:r>
          </w:p>
        </w:tc>
      </w:tr>
      <w:tr w:rsidR="0097410E" w:rsidRPr="000413EB" w14:paraId="2F1A025B" w14:textId="77777777" w:rsidTr="000413EB">
        <w:tc>
          <w:tcPr>
            <w:tcW w:w="567" w:type="dxa"/>
            <w:shd w:val="clear" w:color="auto" w:fill="auto"/>
          </w:tcPr>
          <w:p w14:paraId="1CBF7F97" w14:textId="174A570B" w:rsidR="0097410E" w:rsidRPr="000413EB" w:rsidRDefault="00C52095" w:rsidP="0097410E">
            <w:pPr>
              <w:pStyle w:val="aa"/>
              <w:jc w:val="both"/>
              <w:rPr>
                <w:rFonts w:ascii="Times New Roman" w:eastAsia="Arial" w:hAnsi="Times New Roman"/>
                <w:sz w:val="20"/>
                <w:szCs w:val="20"/>
              </w:rPr>
            </w:pPr>
            <w:r>
              <w:rPr>
                <w:rFonts w:ascii="Times New Roman" w:eastAsia="Arial" w:hAnsi="Times New Roman"/>
                <w:sz w:val="20"/>
                <w:szCs w:val="20"/>
              </w:rPr>
              <w:t>73</w:t>
            </w:r>
          </w:p>
        </w:tc>
        <w:tc>
          <w:tcPr>
            <w:tcW w:w="2694" w:type="dxa"/>
            <w:shd w:val="clear" w:color="auto" w:fill="auto"/>
          </w:tcPr>
          <w:p w14:paraId="798E9500"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С.3.5. Створення  активного молодіжного та громадського середовища</w:t>
            </w:r>
          </w:p>
        </w:tc>
        <w:tc>
          <w:tcPr>
            <w:tcW w:w="2551" w:type="dxa"/>
            <w:shd w:val="clear" w:color="auto" w:fill="auto"/>
          </w:tcPr>
          <w:p w14:paraId="6DF71656"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lang w:eastAsia="en-US"/>
              </w:rPr>
              <w:t xml:space="preserve">С.3.5.6. </w:t>
            </w:r>
            <w:r w:rsidRPr="000413EB">
              <w:rPr>
                <w:rFonts w:ascii="Times New Roman" w:hAnsi="Times New Roman"/>
                <w:iCs/>
                <w:sz w:val="20"/>
                <w:szCs w:val="20"/>
              </w:rPr>
              <w:t>Формування навичок здорового способу життя, розвиток фізичної культури, культури здорового харчування та психогігієни.</w:t>
            </w:r>
          </w:p>
        </w:tc>
        <w:tc>
          <w:tcPr>
            <w:tcW w:w="2835" w:type="dxa"/>
            <w:shd w:val="clear" w:color="auto" w:fill="auto"/>
          </w:tcPr>
          <w:p w14:paraId="3B20CC77"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hAnsi="Times New Roman"/>
                <w:bCs/>
                <w:sz w:val="20"/>
                <w:szCs w:val="20"/>
              </w:rPr>
            </w:pPr>
            <w:r w:rsidRPr="000413EB">
              <w:rPr>
                <w:rFonts w:ascii="Times New Roman" w:hAnsi="Times New Roman"/>
                <w:sz w:val="20"/>
                <w:szCs w:val="20"/>
              </w:rPr>
              <w:t>«Здорове життя – здорова громада»</w:t>
            </w:r>
          </w:p>
        </w:tc>
        <w:tc>
          <w:tcPr>
            <w:tcW w:w="1276" w:type="dxa"/>
            <w:shd w:val="clear" w:color="auto" w:fill="auto"/>
          </w:tcPr>
          <w:p w14:paraId="7450C85F"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2026-2028</w:t>
            </w:r>
          </w:p>
        </w:tc>
        <w:tc>
          <w:tcPr>
            <w:tcW w:w="2345" w:type="dxa"/>
            <w:shd w:val="clear" w:color="auto" w:fill="auto"/>
          </w:tcPr>
          <w:p w14:paraId="5A23C7DE"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Відділ молоді та спорту Жмеринської міської ради</w:t>
            </w:r>
          </w:p>
        </w:tc>
        <w:tc>
          <w:tcPr>
            <w:tcW w:w="2900" w:type="dxa"/>
            <w:shd w:val="clear" w:color="auto" w:fill="auto"/>
          </w:tcPr>
          <w:p w14:paraId="29B76418" w14:textId="77777777"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Не менше 500 учасників очних заходів за рік.</w:t>
            </w:r>
          </w:p>
          <w:p w14:paraId="7B87BB64" w14:textId="77777777"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Проведено щонайменше 20 заходів у межах проєкту.</w:t>
            </w:r>
          </w:p>
          <w:p w14:paraId="212CE0E5" w14:textId="77777777"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70% учасників засвоїли основи ЗСЖ (згідно з анкетами).</w:t>
            </w:r>
          </w:p>
          <w:p w14:paraId="4369060D" w14:textId="4EACC565" w:rsidR="0097410E" w:rsidRPr="000413EB" w:rsidRDefault="0097410E" w:rsidP="00F27D41">
            <w:pPr>
              <w:tabs>
                <w:tab w:val="left" w:pos="264"/>
              </w:tabs>
              <w:jc w:val="both"/>
              <w:rPr>
                <w:rFonts w:ascii="Times New Roman" w:hAnsi="Times New Roman"/>
                <w:sz w:val="20"/>
                <w:szCs w:val="20"/>
              </w:rPr>
            </w:pPr>
            <w:r w:rsidRPr="000413EB">
              <w:rPr>
                <w:rFonts w:ascii="Times New Roman" w:hAnsi="Times New Roman"/>
                <w:sz w:val="20"/>
                <w:szCs w:val="20"/>
              </w:rPr>
              <w:t>80% опитаних учасників впровадили щонайменше одну здорову звичку.</w:t>
            </w:r>
          </w:p>
        </w:tc>
      </w:tr>
      <w:tr w:rsidR="0097410E" w:rsidRPr="000413EB" w14:paraId="6E483AE8" w14:textId="77777777" w:rsidTr="000413EB">
        <w:tc>
          <w:tcPr>
            <w:tcW w:w="567" w:type="dxa"/>
            <w:shd w:val="clear" w:color="auto" w:fill="auto"/>
          </w:tcPr>
          <w:p w14:paraId="13D92A8A" w14:textId="19F9FE11" w:rsidR="0097410E" w:rsidRPr="000413EB" w:rsidRDefault="00C52095" w:rsidP="0097410E">
            <w:pPr>
              <w:pStyle w:val="aa"/>
              <w:jc w:val="both"/>
              <w:rPr>
                <w:rFonts w:ascii="Times New Roman" w:eastAsia="Arial" w:hAnsi="Times New Roman"/>
                <w:sz w:val="20"/>
                <w:szCs w:val="20"/>
              </w:rPr>
            </w:pPr>
            <w:r>
              <w:rPr>
                <w:rFonts w:ascii="Times New Roman" w:eastAsia="Arial" w:hAnsi="Times New Roman"/>
                <w:sz w:val="20"/>
                <w:szCs w:val="20"/>
              </w:rPr>
              <w:t>74</w:t>
            </w:r>
          </w:p>
        </w:tc>
        <w:tc>
          <w:tcPr>
            <w:tcW w:w="2694" w:type="dxa"/>
            <w:shd w:val="clear" w:color="auto" w:fill="auto"/>
          </w:tcPr>
          <w:p w14:paraId="0D419C92"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С.3.5. Створення  активного молодіжного та громадського середовища</w:t>
            </w:r>
          </w:p>
        </w:tc>
        <w:tc>
          <w:tcPr>
            <w:tcW w:w="2551" w:type="dxa"/>
            <w:shd w:val="clear" w:color="auto" w:fill="auto"/>
          </w:tcPr>
          <w:p w14:paraId="29203581"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lang w:eastAsia="en-US"/>
              </w:rPr>
              <w:t xml:space="preserve">С.3.5.7. </w:t>
            </w:r>
            <w:r w:rsidRPr="000413EB">
              <w:rPr>
                <w:rFonts w:ascii="Times New Roman" w:hAnsi="Times New Roman"/>
                <w:iCs/>
                <w:sz w:val="20"/>
                <w:szCs w:val="20"/>
              </w:rPr>
              <w:t>Підвищення мобільності, соціальної і культурної інтеграції молоді в суспільне життя.</w:t>
            </w:r>
          </w:p>
          <w:p w14:paraId="53B14CA3"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p>
        </w:tc>
        <w:tc>
          <w:tcPr>
            <w:tcW w:w="2835" w:type="dxa"/>
            <w:shd w:val="clear" w:color="auto" w:fill="auto"/>
          </w:tcPr>
          <w:p w14:paraId="53D5DA96"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hAnsi="Times New Roman"/>
                <w:bCs/>
                <w:sz w:val="20"/>
                <w:szCs w:val="20"/>
              </w:rPr>
            </w:pPr>
            <w:r w:rsidRPr="000413EB">
              <w:rPr>
                <w:rFonts w:ascii="Times New Roman" w:hAnsi="Times New Roman"/>
                <w:sz w:val="20"/>
                <w:szCs w:val="20"/>
              </w:rPr>
              <w:t>«Молодь в дії: інтеграція, розвиток, участь»</w:t>
            </w:r>
          </w:p>
        </w:tc>
        <w:tc>
          <w:tcPr>
            <w:tcW w:w="1276" w:type="dxa"/>
            <w:shd w:val="clear" w:color="auto" w:fill="auto"/>
          </w:tcPr>
          <w:p w14:paraId="4E2F905F"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2026-2028</w:t>
            </w:r>
          </w:p>
        </w:tc>
        <w:tc>
          <w:tcPr>
            <w:tcW w:w="2345" w:type="dxa"/>
            <w:shd w:val="clear" w:color="auto" w:fill="auto"/>
          </w:tcPr>
          <w:p w14:paraId="11C26B39"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Відділ молоді та спорту Жмеринської міської ради</w:t>
            </w:r>
          </w:p>
        </w:tc>
        <w:tc>
          <w:tcPr>
            <w:tcW w:w="2900" w:type="dxa"/>
            <w:shd w:val="clear" w:color="auto" w:fill="auto"/>
          </w:tcPr>
          <w:p w14:paraId="6A9833F5" w14:textId="77777777"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Не менше 150 безпосередніх учасників проєктних активностей за рік.</w:t>
            </w:r>
          </w:p>
          <w:p w14:paraId="6C0E3E6E" w14:textId="77777777"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Проведено щонайменше 15 подій (тренінги, обміни, зустрічі, акції) за рік.</w:t>
            </w:r>
          </w:p>
          <w:p w14:paraId="797DE889" w14:textId="77777777"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Створено 5+ локальних ініціатив молоді у громаді.</w:t>
            </w:r>
          </w:p>
          <w:p w14:paraId="6E4EC33B" w14:textId="77777777"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80% учасників заявили про посилення мотивації до участі в житті громади.</w:t>
            </w:r>
          </w:p>
          <w:p w14:paraId="5EA4AB30" w14:textId="77777777" w:rsidR="0097410E" w:rsidRPr="000413EB" w:rsidRDefault="0097410E" w:rsidP="0097410E">
            <w:pPr>
              <w:tabs>
                <w:tab w:val="left" w:pos="264"/>
              </w:tabs>
              <w:jc w:val="both"/>
              <w:rPr>
                <w:rFonts w:ascii="Times New Roman" w:hAnsi="Times New Roman"/>
                <w:sz w:val="20"/>
                <w:szCs w:val="20"/>
              </w:rPr>
            </w:pPr>
            <w:r w:rsidRPr="000413EB">
              <w:rPr>
                <w:rFonts w:ascii="Times New Roman" w:hAnsi="Times New Roman"/>
                <w:sz w:val="20"/>
                <w:szCs w:val="20"/>
              </w:rPr>
              <w:t>3 партнерські громади /організації залучені до співпраці.</w:t>
            </w:r>
          </w:p>
        </w:tc>
      </w:tr>
      <w:tr w:rsidR="0097410E" w:rsidRPr="000413EB" w14:paraId="5EC9614B" w14:textId="77777777" w:rsidTr="000413EB">
        <w:tc>
          <w:tcPr>
            <w:tcW w:w="567" w:type="dxa"/>
            <w:shd w:val="clear" w:color="auto" w:fill="auto"/>
          </w:tcPr>
          <w:p w14:paraId="6408DAC1" w14:textId="26948714" w:rsidR="0097410E" w:rsidRPr="000413EB" w:rsidRDefault="00C52095" w:rsidP="0097410E">
            <w:pPr>
              <w:pStyle w:val="aa"/>
              <w:jc w:val="both"/>
              <w:rPr>
                <w:rFonts w:ascii="Times New Roman" w:eastAsia="Arial" w:hAnsi="Times New Roman"/>
                <w:sz w:val="20"/>
                <w:szCs w:val="20"/>
              </w:rPr>
            </w:pPr>
            <w:r>
              <w:rPr>
                <w:rFonts w:ascii="Times New Roman" w:eastAsia="Arial" w:hAnsi="Times New Roman"/>
                <w:sz w:val="20"/>
                <w:szCs w:val="20"/>
              </w:rPr>
              <w:t>75</w:t>
            </w:r>
          </w:p>
        </w:tc>
        <w:tc>
          <w:tcPr>
            <w:tcW w:w="2694" w:type="dxa"/>
            <w:shd w:val="clear" w:color="auto" w:fill="auto"/>
          </w:tcPr>
          <w:p w14:paraId="42BCFD59"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С.3.5. Створення  активного молодіжного та громадського середовища</w:t>
            </w:r>
          </w:p>
        </w:tc>
        <w:tc>
          <w:tcPr>
            <w:tcW w:w="2551" w:type="dxa"/>
            <w:shd w:val="clear" w:color="auto" w:fill="auto"/>
          </w:tcPr>
          <w:p w14:paraId="67501400"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hAnsi="Times New Roman"/>
                <w:sz w:val="20"/>
                <w:szCs w:val="20"/>
              </w:rPr>
              <w:t xml:space="preserve">С.3.5.8. </w:t>
            </w:r>
            <w:r w:rsidRPr="000413EB">
              <w:rPr>
                <w:rFonts w:ascii="Times New Roman" w:hAnsi="Times New Roman"/>
                <w:iCs/>
                <w:sz w:val="20"/>
                <w:szCs w:val="20"/>
              </w:rPr>
              <w:t>Реалізація молодіжних ініціатив щодо здорового способу життя, молодіжних акцій, флешмобів, нових видів спорту.</w:t>
            </w:r>
          </w:p>
        </w:tc>
        <w:tc>
          <w:tcPr>
            <w:tcW w:w="2835" w:type="dxa"/>
            <w:shd w:val="clear" w:color="auto" w:fill="auto"/>
          </w:tcPr>
          <w:p w14:paraId="061C2795"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hAnsi="Times New Roman"/>
                <w:bCs/>
                <w:sz w:val="20"/>
                <w:szCs w:val="20"/>
              </w:rPr>
            </w:pPr>
            <w:r w:rsidRPr="000413EB">
              <w:rPr>
                <w:rFonts w:ascii="Times New Roman" w:hAnsi="Times New Roman"/>
                <w:sz w:val="20"/>
                <w:szCs w:val="20"/>
              </w:rPr>
              <w:t>«Молодь. Здоров’я. Дія» – підтримка молодіжних ініціатив задля активного та здорового життя громади</w:t>
            </w:r>
          </w:p>
        </w:tc>
        <w:tc>
          <w:tcPr>
            <w:tcW w:w="1276" w:type="dxa"/>
            <w:shd w:val="clear" w:color="auto" w:fill="auto"/>
          </w:tcPr>
          <w:p w14:paraId="012741F8"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2026-2028</w:t>
            </w:r>
          </w:p>
        </w:tc>
        <w:tc>
          <w:tcPr>
            <w:tcW w:w="2345" w:type="dxa"/>
            <w:shd w:val="clear" w:color="auto" w:fill="auto"/>
          </w:tcPr>
          <w:p w14:paraId="5A1A7B78"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Відділ молоді та спорту Жмеринської міської ради</w:t>
            </w:r>
          </w:p>
        </w:tc>
        <w:tc>
          <w:tcPr>
            <w:tcW w:w="2900" w:type="dxa"/>
            <w:shd w:val="clear" w:color="auto" w:fill="auto"/>
          </w:tcPr>
          <w:p w14:paraId="44FF8329" w14:textId="77777777" w:rsidR="0097410E" w:rsidRPr="000413EB" w:rsidRDefault="0097410E" w:rsidP="0097410E">
            <w:pPr>
              <w:tabs>
                <w:tab w:val="left" w:pos="300"/>
                <w:tab w:val="left" w:pos="468"/>
              </w:tabs>
              <w:jc w:val="both"/>
              <w:rPr>
                <w:rFonts w:ascii="Times New Roman" w:hAnsi="Times New Roman"/>
                <w:sz w:val="20"/>
                <w:szCs w:val="20"/>
              </w:rPr>
            </w:pPr>
            <w:r w:rsidRPr="000413EB">
              <w:rPr>
                <w:rFonts w:ascii="Times New Roman" w:hAnsi="Times New Roman"/>
                <w:sz w:val="20"/>
                <w:szCs w:val="20"/>
              </w:rPr>
              <w:t>Проведено конкурс молодіжних ініціатив.</w:t>
            </w:r>
          </w:p>
          <w:p w14:paraId="195795A9" w14:textId="77777777" w:rsidR="0097410E" w:rsidRPr="000413EB" w:rsidRDefault="0097410E" w:rsidP="0097410E">
            <w:pPr>
              <w:tabs>
                <w:tab w:val="left" w:pos="300"/>
                <w:tab w:val="left" w:pos="468"/>
              </w:tabs>
              <w:jc w:val="both"/>
              <w:rPr>
                <w:rFonts w:ascii="Times New Roman" w:hAnsi="Times New Roman"/>
                <w:sz w:val="20"/>
                <w:szCs w:val="20"/>
              </w:rPr>
            </w:pPr>
            <w:r w:rsidRPr="000413EB">
              <w:rPr>
                <w:rFonts w:ascii="Times New Roman" w:hAnsi="Times New Roman"/>
                <w:sz w:val="20"/>
                <w:szCs w:val="20"/>
              </w:rPr>
              <w:t>Реалізовано щонайменше 10 заходів на рік.</w:t>
            </w:r>
          </w:p>
          <w:p w14:paraId="50153F19" w14:textId="77777777" w:rsidR="0097410E" w:rsidRPr="000413EB" w:rsidRDefault="0097410E" w:rsidP="0097410E">
            <w:pPr>
              <w:tabs>
                <w:tab w:val="left" w:pos="300"/>
                <w:tab w:val="left" w:pos="468"/>
              </w:tabs>
              <w:jc w:val="both"/>
              <w:rPr>
                <w:rFonts w:ascii="Times New Roman" w:hAnsi="Times New Roman"/>
                <w:sz w:val="20"/>
                <w:szCs w:val="20"/>
              </w:rPr>
            </w:pPr>
            <w:r w:rsidRPr="000413EB">
              <w:rPr>
                <w:rFonts w:ascii="Times New Roman" w:hAnsi="Times New Roman"/>
                <w:sz w:val="20"/>
                <w:szCs w:val="20"/>
              </w:rPr>
              <w:t>Охоплено понад 1000 молодих людей на рік.</w:t>
            </w:r>
          </w:p>
          <w:p w14:paraId="5A227F97" w14:textId="77777777" w:rsidR="0097410E" w:rsidRPr="000413EB" w:rsidRDefault="0097410E" w:rsidP="0097410E">
            <w:pPr>
              <w:tabs>
                <w:tab w:val="left" w:pos="300"/>
                <w:tab w:val="left" w:pos="468"/>
              </w:tabs>
              <w:jc w:val="both"/>
              <w:rPr>
                <w:rFonts w:ascii="Times New Roman" w:hAnsi="Times New Roman"/>
                <w:sz w:val="20"/>
                <w:szCs w:val="20"/>
              </w:rPr>
            </w:pPr>
            <w:r w:rsidRPr="000413EB">
              <w:rPr>
                <w:rFonts w:ascii="Times New Roman" w:hAnsi="Times New Roman"/>
                <w:sz w:val="20"/>
                <w:szCs w:val="20"/>
              </w:rPr>
              <w:t>Створено не менше 5 партнерства з освітніми закладами, ГО.</w:t>
            </w:r>
          </w:p>
          <w:p w14:paraId="7885B811" w14:textId="77777777" w:rsidR="0097410E" w:rsidRPr="000413EB" w:rsidRDefault="0097410E" w:rsidP="0097410E">
            <w:pPr>
              <w:tabs>
                <w:tab w:val="left" w:pos="300"/>
                <w:tab w:val="left" w:pos="468"/>
              </w:tabs>
              <w:jc w:val="both"/>
              <w:rPr>
                <w:rFonts w:ascii="Times New Roman" w:hAnsi="Times New Roman"/>
                <w:sz w:val="20"/>
                <w:szCs w:val="20"/>
              </w:rPr>
            </w:pPr>
            <w:r w:rsidRPr="000413EB">
              <w:rPr>
                <w:rFonts w:ascii="Times New Roman" w:hAnsi="Times New Roman"/>
                <w:sz w:val="20"/>
                <w:szCs w:val="20"/>
              </w:rPr>
              <w:t>Підвищено обізнаність молоді щодо здорового способу життя.</w:t>
            </w:r>
          </w:p>
          <w:p w14:paraId="3CF359D0" w14:textId="3005DE3F" w:rsidR="0097410E" w:rsidRPr="000413EB" w:rsidRDefault="0097410E" w:rsidP="0097410E">
            <w:pPr>
              <w:tabs>
                <w:tab w:val="left" w:pos="300"/>
                <w:tab w:val="left" w:pos="468"/>
              </w:tabs>
              <w:jc w:val="both"/>
              <w:rPr>
                <w:rFonts w:ascii="Times New Roman" w:hAnsi="Times New Roman"/>
                <w:sz w:val="20"/>
                <w:szCs w:val="20"/>
              </w:rPr>
            </w:pPr>
            <w:r w:rsidRPr="000413EB">
              <w:rPr>
                <w:rFonts w:ascii="Times New Roman" w:hAnsi="Times New Roman"/>
                <w:sz w:val="20"/>
                <w:szCs w:val="20"/>
              </w:rPr>
              <w:t xml:space="preserve">Запущено активну </w:t>
            </w:r>
            <w:r w:rsidR="00612413" w:rsidRPr="000413EB">
              <w:rPr>
                <w:rFonts w:ascii="Times New Roman" w:hAnsi="Times New Roman"/>
                <w:sz w:val="20"/>
                <w:szCs w:val="20"/>
              </w:rPr>
              <w:t>медіа кампанію</w:t>
            </w:r>
            <w:r w:rsidRPr="000413EB">
              <w:rPr>
                <w:rFonts w:ascii="Times New Roman" w:hAnsi="Times New Roman"/>
                <w:sz w:val="20"/>
                <w:szCs w:val="20"/>
              </w:rPr>
              <w:t xml:space="preserve"> (понад 50 публікацій/постів) на рік.</w:t>
            </w:r>
          </w:p>
        </w:tc>
      </w:tr>
      <w:tr w:rsidR="0097410E" w:rsidRPr="000413EB" w14:paraId="5600664F" w14:textId="77777777" w:rsidTr="000413EB">
        <w:tc>
          <w:tcPr>
            <w:tcW w:w="567" w:type="dxa"/>
            <w:shd w:val="clear" w:color="auto" w:fill="auto"/>
          </w:tcPr>
          <w:p w14:paraId="6EA66730" w14:textId="2B0EC6E2" w:rsidR="0097410E" w:rsidRPr="000413EB" w:rsidRDefault="00C52095" w:rsidP="0097410E">
            <w:pPr>
              <w:pStyle w:val="aa"/>
              <w:jc w:val="both"/>
              <w:rPr>
                <w:rFonts w:ascii="Times New Roman" w:eastAsia="Arial" w:hAnsi="Times New Roman"/>
                <w:sz w:val="20"/>
                <w:szCs w:val="20"/>
              </w:rPr>
            </w:pPr>
            <w:r>
              <w:rPr>
                <w:rFonts w:ascii="Times New Roman" w:eastAsia="Arial" w:hAnsi="Times New Roman"/>
                <w:sz w:val="20"/>
                <w:szCs w:val="20"/>
              </w:rPr>
              <w:t>76</w:t>
            </w:r>
          </w:p>
        </w:tc>
        <w:tc>
          <w:tcPr>
            <w:tcW w:w="2694" w:type="dxa"/>
            <w:tcBorders>
              <w:top w:val="single" w:sz="4" w:space="0" w:color="auto"/>
              <w:left w:val="single" w:sz="4" w:space="0" w:color="auto"/>
              <w:bottom w:val="single" w:sz="4" w:space="0" w:color="auto"/>
              <w:right w:val="single" w:sz="4" w:space="0" w:color="auto"/>
            </w:tcBorders>
          </w:tcPr>
          <w:p w14:paraId="00D1A0B1"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С.4.1. Удосконалення системи надання  адміністративних послуг</w:t>
            </w:r>
          </w:p>
        </w:tc>
        <w:tc>
          <w:tcPr>
            <w:tcW w:w="2551" w:type="dxa"/>
            <w:tcBorders>
              <w:top w:val="single" w:sz="4" w:space="0" w:color="auto"/>
              <w:left w:val="single" w:sz="4" w:space="0" w:color="auto"/>
              <w:bottom w:val="single" w:sz="4" w:space="0" w:color="auto"/>
              <w:right w:val="single" w:sz="4" w:space="0" w:color="auto"/>
            </w:tcBorders>
          </w:tcPr>
          <w:p w14:paraId="050E4A58" w14:textId="77777777" w:rsidR="0097410E" w:rsidRPr="000413EB" w:rsidRDefault="0097410E" w:rsidP="0097410E">
            <w:pPr>
              <w:autoSpaceDE w:val="0"/>
              <w:autoSpaceDN w:val="0"/>
              <w:jc w:val="both"/>
              <w:rPr>
                <w:rFonts w:ascii="Times New Roman" w:hAnsi="Times New Roman"/>
                <w:sz w:val="20"/>
                <w:szCs w:val="20"/>
              </w:rPr>
            </w:pPr>
            <w:r w:rsidRPr="000413EB">
              <w:rPr>
                <w:rFonts w:ascii="Times New Roman" w:hAnsi="Times New Roman"/>
                <w:sz w:val="20"/>
                <w:szCs w:val="20"/>
              </w:rPr>
              <w:t>С.4.1.1. Облаштування ЦНАП відповідно до сучасних ергономічних норм.</w:t>
            </w:r>
          </w:p>
          <w:p w14:paraId="1046D39C" w14:textId="77777777" w:rsidR="0097410E" w:rsidRPr="000413EB" w:rsidRDefault="0097410E" w:rsidP="0097410E">
            <w:pPr>
              <w:autoSpaceDE w:val="0"/>
              <w:autoSpaceDN w:val="0"/>
              <w:jc w:val="both"/>
              <w:rPr>
                <w:rFonts w:ascii="Times New Roman" w:hAnsi="Times New Roman"/>
                <w:sz w:val="20"/>
                <w:szCs w:val="20"/>
              </w:rPr>
            </w:pPr>
            <w:r w:rsidRPr="000413EB">
              <w:rPr>
                <w:rFonts w:ascii="Times New Roman" w:hAnsi="Times New Roman"/>
                <w:sz w:val="20"/>
                <w:szCs w:val="20"/>
              </w:rPr>
              <w:t>С.4.1.2. Доступність до адміністративних послуг.</w:t>
            </w:r>
          </w:p>
          <w:p w14:paraId="0830CB25" w14:textId="77777777" w:rsidR="0097410E" w:rsidRPr="000413EB" w:rsidRDefault="0097410E" w:rsidP="0097410E">
            <w:pPr>
              <w:jc w:val="both"/>
              <w:rPr>
                <w:rFonts w:ascii="Times New Roman" w:hAnsi="Times New Roman"/>
                <w:sz w:val="20"/>
                <w:szCs w:val="20"/>
              </w:rPr>
            </w:pPr>
            <w:r w:rsidRPr="000413EB">
              <w:rPr>
                <w:rFonts w:ascii="Times New Roman" w:hAnsi="Times New Roman"/>
                <w:iCs/>
                <w:sz w:val="20"/>
                <w:szCs w:val="20"/>
              </w:rPr>
              <w:t>С.4.1.3. Інформованість та популяризація ЦНАП.</w:t>
            </w:r>
          </w:p>
        </w:tc>
        <w:tc>
          <w:tcPr>
            <w:tcW w:w="2835" w:type="dxa"/>
            <w:tcBorders>
              <w:top w:val="single" w:sz="4" w:space="0" w:color="auto"/>
              <w:left w:val="single" w:sz="4" w:space="0" w:color="auto"/>
              <w:bottom w:val="single" w:sz="4" w:space="0" w:color="auto"/>
              <w:right w:val="single" w:sz="4" w:space="0" w:color="auto"/>
            </w:tcBorders>
          </w:tcPr>
          <w:p w14:paraId="52EDF8E1"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lang w:eastAsia="it-IT"/>
              </w:rPr>
              <w:t>Адміністративні послуги – доступні та комфортні</w:t>
            </w:r>
          </w:p>
        </w:tc>
        <w:tc>
          <w:tcPr>
            <w:tcW w:w="1276" w:type="dxa"/>
            <w:tcBorders>
              <w:top w:val="single" w:sz="4" w:space="0" w:color="auto"/>
              <w:left w:val="single" w:sz="4" w:space="0" w:color="auto"/>
              <w:bottom w:val="single" w:sz="4" w:space="0" w:color="auto"/>
              <w:right w:val="single" w:sz="4" w:space="0" w:color="auto"/>
            </w:tcBorders>
          </w:tcPr>
          <w:p w14:paraId="0E71A2BE" w14:textId="77777777" w:rsidR="0097410E" w:rsidRPr="000413EB" w:rsidRDefault="0097410E" w:rsidP="0097410E">
            <w:pPr>
              <w:jc w:val="both"/>
              <w:rPr>
                <w:rFonts w:ascii="Times New Roman" w:hAnsi="Times New Roman"/>
                <w:bCs/>
                <w:sz w:val="20"/>
                <w:szCs w:val="20"/>
              </w:rPr>
            </w:pPr>
            <w:r w:rsidRPr="000413EB">
              <w:rPr>
                <w:rFonts w:ascii="Times New Roman" w:hAnsi="Times New Roman"/>
                <w:bCs/>
                <w:color w:val="000000"/>
                <w:sz w:val="20"/>
                <w:szCs w:val="20"/>
              </w:rPr>
              <w:t xml:space="preserve">2025 – 2027 </w:t>
            </w:r>
          </w:p>
        </w:tc>
        <w:tc>
          <w:tcPr>
            <w:tcW w:w="2345" w:type="dxa"/>
            <w:tcBorders>
              <w:top w:val="single" w:sz="4" w:space="0" w:color="auto"/>
              <w:left w:val="single" w:sz="4" w:space="0" w:color="auto"/>
              <w:bottom w:val="single" w:sz="4" w:space="0" w:color="auto"/>
              <w:right w:val="single" w:sz="4" w:space="0" w:color="auto"/>
            </w:tcBorders>
          </w:tcPr>
          <w:p w14:paraId="387D1842"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Виконавчий комітет Жмеринської міської ради,</w:t>
            </w:r>
          </w:p>
          <w:p w14:paraId="32186F86"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Управління «Центр надання адміністративних послуг виконавчого комітету Жмеринської міської ради,</w:t>
            </w:r>
          </w:p>
          <w:p w14:paraId="4E366FB9" w14:textId="77777777" w:rsidR="008955D4" w:rsidRDefault="0097410E" w:rsidP="0097410E">
            <w:pPr>
              <w:jc w:val="both"/>
              <w:rPr>
                <w:rFonts w:ascii="Times New Roman" w:hAnsi="Times New Roman"/>
                <w:sz w:val="20"/>
                <w:szCs w:val="20"/>
              </w:rPr>
            </w:pPr>
            <w:r w:rsidRPr="000413EB">
              <w:rPr>
                <w:rFonts w:ascii="Times New Roman" w:hAnsi="Times New Roman"/>
                <w:sz w:val="20"/>
                <w:szCs w:val="20"/>
              </w:rPr>
              <w:t xml:space="preserve">Управління освіти Жмеринської міської ради, </w:t>
            </w:r>
          </w:p>
          <w:p w14:paraId="6E7B2F75" w14:textId="66DD2DE4"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Управління ЖКГ Жмеринської міської ради.</w:t>
            </w:r>
          </w:p>
          <w:p w14:paraId="06D89C29" w14:textId="77777777" w:rsidR="0097410E" w:rsidRPr="000413EB" w:rsidRDefault="0097410E" w:rsidP="0097410E">
            <w:pPr>
              <w:jc w:val="both"/>
              <w:rPr>
                <w:rFonts w:ascii="Times New Roman" w:hAnsi="Times New Roman"/>
                <w:sz w:val="20"/>
                <w:szCs w:val="20"/>
              </w:rPr>
            </w:pPr>
          </w:p>
        </w:tc>
        <w:tc>
          <w:tcPr>
            <w:tcW w:w="2900" w:type="dxa"/>
            <w:tcBorders>
              <w:top w:val="single" w:sz="4" w:space="0" w:color="auto"/>
              <w:left w:val="single" w:sz="4" w:space="0" w:color="auto"/>
              <w:bottom w:val="single" w:sz="4" w:space="0" w:color="auto"/>
              <w:right w:val="single" w:sz="4" w:space="0" w:color="auto"/>
            </w:tcBorders>
          </w:tcPr>
          <w:p w14:paraId="3EEB7FBA"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Підвищився рівень комфорту та задоволеності громадян відвідинами ЦНАП на 15%.</w:t>
            </w:r>
          </w:p>
          <w:p w14:paraId="6B8FCA33"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Зросло позитивне сприйняття громадського простору серед мешканців (за результатами опитування- не менше 80% позитивних оцінок).</w:t>
            </w:r>
          </w:p>
          <w:p w14:paraId="064CF93F"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Покращено екологічний стан території, прилеглої до ЦНАП</w:t>
            </w:r>
          </w:p>
          <w:p w14:paraId="52029CF5"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Забезпечено рівний доступ до адміністративних послуг усіх категорій населення, включаючи маломобільні групи.</w:t>
            </w:r>
          </w:p>
          <w:p w14:paraId="494C5040"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Покращено ефективність праці персоналу ЦНАП.</w:t>
            </w:r>
          </w:p>
          <w:p w14:paraId="0FAF7AA6"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Покращено умови та зменшено перевантаженість персоналу ЦНАП.</w:t>
            </w:r>
          </w:p>
          <w:p w14:paraId="5A00EC26"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Заохочено нових кандидатів  дефіцитних професій до працевлаштування в ЦНАП.</w:t>
            </w:r>
          </w:p>
          <w:p w14:paraId="70705055"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Підвищено якість та прозорість отримання адміністративних послуг.</w:t>
            </w:r>
          </w:p>
          <w:p w14:paraId="1FC6C79D"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Зросло пізнавання ЦНАП серед громадян.</w:t>
            </w:r>
          </w:p>
          <w:p w14:paraId="27E499E5"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Зросла довіра населення до органів місцевого самоврядування через призму ЦНАП (опитування – не менше 90% позитивних оцінок).</w:t>
            </w:r>
          </w:p>
          <w:p w14:paraId="07F0A117" w14:textId="77777777" w:rsidR="0097410E" w:rsidRPr="000413EB" w:rsidRDefault="0097410E" w:rsidP="0097410E">
            <w:pPr>
              <w:jc w:val="both"/>
              <w:rPr>
                <w:rFonts w:ascii="Times New Roman" w:hAnsi="Times New Roman"/>
                <w:sz w:val="20"/>
                <w:szCs w:val="20"/>
                <w:lang w:eastAsia="it-IT"/>
              </w:rPr>
            </w:pPr>
            <w:r w:rsidRPr="000413EB">
              <w:rPr>
                <w:rFonts w:ascii="Times New Roman" w:hAnsi="Times New Roman"/>
                <w:sz w:val="20"/>
                <w:szCs w:val="20"/>
                <w:lang w:eastAsia="it-IT"/>
              </w:rPr>
              <w:t>Підвищено якість життя в громаді через зручність та прозорість отримання адміністративних послуг.</w:t>
            </w:r>
          </w:p>
          <w:p w14:paraId="356099FE" w14:textId="77777777" w:rsidR="0097410E" w:rsidRPr="000413EB" w:rsidRDefault="0097410E" w:rsidP="0097410E">
            <w:pPr>
              <w:jc w:val="both"/>
              <w:rPr>
                <w:rFonts w:ascii="Times New Roman" w:hAnsi="Times New Roman"/>
                <w:sz w:val="20"/>
                <w:szCs w:val="20"/>
              </w:rPr>
            </w:pPr>
          </w:p>
        </w:tc>
      </w:tr>
      <w:tr w:rsidR="0097410E" w:rsidRPr="000413EB" w14:paraId="38D8CF37" w14:textId="77777777" w:rsidTr="000413EB">
        <w:tc>
          <w:tcPr>
            <w:tcW w:w="567" w:type="dxa"/>
            <w:shd w:val="clear" w:color="auto" w:fill="auto"/>
          </w:tcPr>
          <w:p w14:paraId="5D47A477" w14:textId="38E4C1DB" w:rsidR="0097410E" w:rsidRPr="000413EB" w:rsidRDefault="00C52095" w:rsidP="0097410E">
            <w:pPr>
              <w:pStyle w:val="aa"/>
              <w:jc w:val="both"/>
              <w:rPr>
                <w:rFonts w:ascii="Times New Roman" w:eastAsia="Arial" w:hAnsi="Times New Roman"/>
                <w:sz w:val="20"/>
                <w:szCs w:val="20"/>
              </w:rPr>
            </w:pPr>
            <w:r>
              <w:rPr>
                <w:rFonts w:ascii="Times New Roman" w:eastAsia="Arial" w:hAnsi="Times New Roman"/>
                <w:sz w:val="20"/>
                <w:szCs w:val="20"/>
              </w:rPr>
              <w:t>77</w:t>
            </w:r>
          </w:p>
        </w:tc>
        <w:tc>
          <w:tcPr>
            <w:tcW w:w="2694" w:type="dxa"/>
            <w:shd w:val="clear" w:color="auto" w:fill="auto"/>
          </w:tcPr>
          <w:p w14:paraId="207D585A" w14:textId="77777777" w:rsidR="0097410E" w:rsidRPr="000413EB" w:rsidRDefault="0097410E" w:rsidP="0097410E">
            <w:pPr>
              <w:widowControl w:val="0"/>
              <w:tabs>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С.4.4. Захист прав , свобод і законних інтересів дітей</w:t>
            </w:r>
          </w:p>
          <w:p w14:paraId="03B3367D"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p>
        </w:tc>
        <w:tc>
          <w:tcPr>
            <w:tcW w:w="2551" w:type="dxa"/>
            <w:shd w:val="clear" w:color="auto" w:fill="auto"/>
          </w:tcPr>
          <w:p w14:paraId="0D3DF8F5" w14:textId="77777777" w:rsidR="0097410E" w:rsidRPr="000413EB" w:rsidRDefault="0097410E" w:rsidP="0097410E">
            <w:pPr>
              <w:jc w:val="both"/>
              <w:rPr>
                <w:rFonts w:ascii="Times New Roman" w:hAnsi="Times New Roman"/>
                <w:iCs/>
                <w:sz w:val="20"/>
                <w:szCs w:val="20"/>
              </w:rPr>
            </w:pPr>
            <w:r w:rsidRPr="000413EB">
              <w:rPr>
                <w:rFonts w:ascii="Times New Roman" w:hAnsi="Times New Roman"/>
                <w:iCs/>
                <w:sz w:val="20"/>
                <w:szCs w:val="20"/>
              </w:rPr>
              <w:t>С.4.4.4. Сприяння своєчасній постановці дітей-сиріт та дітей позбавлених батьківського піклування, які не мають житла на квартирний облік.</w:t>
            </w:r>
          </w:p>
          <w:p w14:paraId="1D84948A"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p>
        </w:tc>
        <w:tc>
          <w:tcPr>
            <w:tcW w:w="2835" w:type="dxa"/>
            <w:shd w:val="clear" w:color="auto" w:fill="auto"/>
          </w:tcPr>
          <w:p w14:paraId="02433B31"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hAnsi="Times New Roman"/>
                <w:sz w:val="20"/>
                <w:szCs w:val="20"/>
                <w:lang w:eastAsia="it-IT"/>
              </w:rPr>
              <w:t>Вчасне забезпечення дітей-сиріт та дітей, позбавлених батьківського піклування власним житлом</w:t>
            </w:r>
          </w:p>
        </w:tc>
        <w:tc>
          <w:tcPr>
            <w:tcW w:w="1276" w:type="dxa"/>
            <w:shd w:val="clear" w:color="auto" w:fill="auto"/>
          </w:tcPr>
          <w:p w14:paraId="68427E19"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2025-2029</w:t>
            </w:r>
          </w:p>
        </w:tc>
        <w:tc>
          <w:tcPr>
            <w:tcW w:w="2345" w:type="dxa"/>
            <w:shd w:val="clear" w:color="auto" w:fill="auto"/>
          </w:tcPr>
          <w:p w14:paraId="59EC60DF" w14:textId="77777777" w:rsidR="0097410E" w:rsidRPr="000413EB" w:rsidRDefault="0097410E" w:rsidP="0097410E">
            <w:pPr>
              <w:jc w:val="both"/>
              <w:rPr>
                <w:rFonts w:ascii="Times New Roman" w:hAnsi="Times New Roman"/>
                <w:sz w:val="20"/>
                <w:szCs w:val="20"/>
              </w:rPr>
            </w:pPr>
            <w:r w:rsidRPr="000413EB">
              <w:rPr>
                <w:rFonts w:ascii="Times New Roman" w:hAnsi="Times New Roman"/>
                <w:sz w:val="20"/>
                <w:szCs w:val="20"/>
              </w:rPr>
              <w:t>Служба у справах дітей Жмеринської міської ради</w:t>
            </w:r>
          </w:p>
          <w:p w14:paraId="5C4D290C" w14:textId="77777777" w:rsidR="0097410E" w:rsidRPr="000413EB" w:rsidRDefault="0097410E" w:rsidP="0097410E">
            <w:pPr>
              <w:jc w:val="both"/>
              <w:rPr>
                <w:rFonts w:ascii="Times New Roman" w:hAnsi="Times New Roman"/>
                <w:sz w:val="20"/>
                <w:szCs w:val="20"/>
              </w:rPr>
            </w:pPr>
            <w:r w:rsidRPr="000413EB">
              <w:rPr>
                <w:rFonts w:ascii="Times New Roman" w:hAnsi="Times New Roman"/>
                <w:spacing w:val="-8"/>
                <w:sz w:val="20"/>
                <w:szCs w:val="20"/>
              </w:rPr>
              <w:t>Управління  соціального захисту населення та охорони здоров’я Жмеринської міської ради</w:t>
            </w:r>
          </w:p>
          <w:p w14:paraId="172C89A1" w14:textId="77777777"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p>
        </w:tc>
        <w:tc>
          <w:tcPr>
            <w:tcW w:w="2900" w:type="dxa"/>
            <w:shd w:val="clear" w:color="auto" w:fill="auto"/>
          </w:tcPr>
          <w:p w14:paraId="22A897EB" w14:textId="7CFE9BD2" w:rsidR="0097410E" w:rsidRPr="000413EB" w:rsidRDefault="0097410E" w:rsidP="0097410E">
            <w:pPr>
              <w:widowControl w:val="0"/>
              <w:tabs>
                <w:tab w:val="left" w:pos="5829"/>
                <w:tab w:val="left" w:pos="9720"/>
                <w:tab w:val="left" w:pos="10357"/>
              </w:tabs>
              <w:autoSpaceDE w:val="0"/>
              <w:autoSpaceDN w:val="0"/>
              <w:jc w:val="both"/>
              <w:rPr>
                <w:rFonts w:ascii="Times New Roman" w:eastAsia="Arial" w:hAnsi="Times New Roman"/>
                <w:sz w:val="20"/>
                <w:szCs w:val="20"/>
                <w:lang w:eastAsia="en-US"/>
              </w:rPr>
            </w:pPr>
            <w:r w:rsidRPr="000413EB">
              <w:rPr>
                <w:rFonts w:ascii="Times New Roman" w:eastAsia="Arial" w:hAnsi="Times New Roman"/>
                <w:sz w:val="20"/>
                <w:szCs w:val="20"/>
                <w:lang w:eastAsia="en-US"/>
              </w:rPr>
              <w:t>Кількість придбаного житла</w:t>
            </w:r>
            <w:r w:rsidRPr="000413EB">
              <w:rPr>
                <w:rFonts w:ascii="Times New Roman" w:hAnsi="Times New Roman"/>
                <w:sz w:val="20"/>
                <w:szCs w:val="20"/>
                <w:lang w:eastAsia="it-IT"/>
              </w:rPr>
              <w:t xml:space="preserve"> для забезпечення  дітей-сиріт та дітей, позбавлених батьківського піклування особам з їх числа</w:t>
            </w:r>
            <w:r w:rsidR="00F27D41">
              <w:rPr>
                <w:rFonts w:ascii="Times New Roman" w:hAnsi="Times New Roman"/>
                <w:sz w:val="20"/>
                <w:szCs w:val="20"/>
                <w:lang w:eastAsia="it-IT"/>
              </w:rPr>
              <w:t>.</w:t>
            </w:r>
          </w:p>
        </w:tc>
      </w:tr>
    </w:tbl>
    <w:p w14:paraId="70923756" w14:textId="77777777" w:rsidR="00BC7F59" w:rsidRPr="00C2587D" w:rsidRDefault="00BC7F59" w:rsidP="00BC7F59">
      <w:pPr>
        <w:widowControl w:val="0"/>
        <w:tabs>
          <w:tab w:val="left" w:pos="5829"/>
          <w:tab w:val="left" w:pos="9720"/>
          <w:tab w:val="left" w:pos="10357"/>
        </w:tabs>
        <w:autoSpaceDE w:val="0"/>
        <w:autoSpaceDN w:val="0"/>
        <w:spacing w:before="106"/>
        <w:ind w:right="1422"/>
        <w:jc w:val="center"/>
        <w:rPr>
          <w:rFonts w:eastAsia="Arial" w:cs="Arial"/>
          <w:lang w:eastAsia="en-US"/>
        </w:rPr>
      </w:pPr>
    </w:p>
    <w:p w14:paraId="70878353" w14:textId="77777777" w:rsidR="00A42ACD" w:rsidRPr="00C2587D" w:rsidRDefault="00A42ACD" w:rsidP="00E9247F">
      <w:pPr>
        <w:pStyle w:val="2"/>
        <w:rPr>
          <w:color w:val="FF0000"/>
        </w:rPr>
        <w:sectPr w:rsidR="00A42ACD" w:rsidRPr="00C2587D" w:rsidSect="00C60A15">
          <w:pgSz w:w="16838" w:h="11906" w:orient="landscape" w:code="9"/>
          <w:pgMar w:top="1134" w:right="1134" w:bottom="1134" w:left="1134" w:header="794" w:footer="794" w:gutter="0"/>
          <w:cols w:space="708"/>
          <w:docGrid w:linePitch="360"/>
        </w:sectPr>
      </w:pPr>
    </w:p>
    <w:p w14:paraId="5796ECA0" w14:textId="4FD07091" w:rsidR="00893EA7" w:rsidRPr="00C2587D" w:rsidRDefault="00893EA7" w:rsidP="00E9247F">
      <w:pPr>
        <w:pStyle w:val="2"/>
      </w:pPr>
      <w:r w:rsidRPr="00C2587D">
        <w:tab/>
      </w:r>
      <w:r w:rsidRPr="00C2587D">
        <w:tab/>
      </w:r>
      <w:r w:rsidRPr="00C2587D">
        <w:tab/>
      </w:r>
      <w:r w:rsidRPr="00C2587D">
        <w:tab/>
      </w:r>
      <w:r w:rsidRPr="00C2587D">
        <w:tab/>
      </w:r>
      <w:r w:rsidRPr="00C2587D">
        <w:tab/>
      </w:r>
      <w:r w:rsidRPr="00C2587D">
        <w:tab/>
      </w:r>
      <w:r w:rsidRPr="00C2587D">
        <w:tab/>
      </w:r>
      <w:r w:rsidRPr="00C2587D">
        <w:tab/>
      </w:r>
      <w:r w:rsidRPr="00C2587D">
        <w:tab/>
      </w:r>
      <w:r w:rsidRPr="00C2587D">
        <w:tab/>
      </w:r>
      <w:r w:rsidR="004904DA" w:rsidRPr="00C2587D">
        <w:t>Додаток 1.</w:t>
      </w:r>
    </w:p>
    <w:p w14:paraId="18CFD39F" w14:textId="0FD132C9" w:rsidR="003356A1" w:rsidRPr="00C2587D" w:rsidRDefault="007B189E" w:rsidP="00672B8E">
      <w:pPr>
        <w:pStyle w:val="2"/>
        <w:jc w:val="center"/>
      </w:pPr>
      <w:r>
        <w:t>Каталог технічних завдань проє</w:t>
      </w:r>
      <w:r w:rsidR="003356A1" w:rsidRPr="00C2587D">
        <w:t xml:space="preserve">ктів до Програми А. </w:t>
      </w:r>
      <w:bookmarkEnd w:id="39"/>
      <w:r w:rsidR="00D8031F" w:rsidRPr="00C2587D">
        <w:t>«Інвестиційно приваблива громада із розвиненим експортно - орієнтованим бізнесом»</w:t>
      </w:r>
    </w:p>
    <w:p w14:paraId="2ADCBD6D" w14:textId="77777777" w:rsidR="00B62ED4" w:rsidRPr="00C2587D" w:rsidRDefault="00B62ED4" w:rsidP="00B62ED4">
      <w:pPr>
        <w:rPr>
          <w:lang w:eastAsia="en-US"/>
        </w:rPr>
      </w:pPr>
    </w:p>
    <w:p w14:paraId="77F639EC" w14:textId="77777777" w:rsidR="003356A1" w:rsidRPr="00C2587D" w:rsidRDefault="003356A1" w:rsidP="00364153">
      <w:pPr>
        <w:spacing w:before="120" w:after="120"/>
        <w:jc w:val="center"/>
        <w:rPr>
          <w:rFonts w:cs="Arial"/>
          <w:b/>
          <w:iCs/>
          <w:sz w:val="24"/>
          <w:u w:val="single"/>
        </w:rPr>
      </w:pPr>
      <w:bookmarkStart w:id="40" w:name="_Hlk75353762"/>
      <w:r w:rsidRPr="00C2587D">
        <w:rPr>
          <w:rFonts w:cs="Arial"/>
          <w:b/>
          <w:sz w:val="24"/>
          <w:u w:val="single"/>
        </w:rPr>
        <w:t xml:space="preserve">Стратегічна ціль </w:t>
      </w:r>
      <w:bookmarkEnd w:id="40"/>
      <w:r w:rsidRPr="00C2587D">
        <w:rPr>
          <w:rFonts w:cs="Arial"/>
          <w:b/>
          <w:sz w:val="24"/>
          <w:u w:val="single"/>
        </w:rPr>
        <w:t xml:space="preserve">А.1. </w:t>
      </w:r>
      <w:r w:rsidR="00D8031F" w:rsidRPr="00C2587D">
        <w:rPr>
          <w:rFonts w:cs="Arial"/>
          <w:b/>
          <w:iCs/>
          <w:sz w:val="24"/>
          <w:u w:val="single"/>
        </w:rPr>
        <w:t>Розвиток громади як транспортно-логістичного вузла та промислового центру</w:t>
      </w:r>
    </w:p>
    <w:p w14:paraId="64E15BB7" w14:textId="6200E67B" w:rsidR="00552466" w:rsidRPr="00C2587D" w:rsidRDefault="00552466" w:rsidP="00552466">
      <w:pPr>
        <w:jc w:val="right"/>
        <w:rPr>
          <w:rFonts w:cs="Arial"/>
          <w:b/>
        </w:rPr>
      </w:pPr>
    </w:p>
    <w:p w14:paraId="348867AE" w14:textId="01B95228" w:rsidR="00552466" w:rsidRPr="00C2587D" w:rsidRDefault="00552466" w:rsidP="00552466">
      <w:pPr>
        <w:jc w:val="center"/>
        <w:rPr>
          <w:rFonts w:cs="Arial"/>
          <w:b/>
          <w:color w:val="000000"/>
          <w:szCs w:val="22"/>
        </w:rPr>
      </w:pPr>
      <w:r w:rsidRPr="00C2587D">
        <w:rPr>
          <w:rFonts w:cs="Arial"/>
          <w:b/>
          <w:color w:val="000000"/>
          <w:szCs w:val="22"/>
        </w:rPr>
        <w:t>Ф</w:t>
      </w:r>
      <w:r w:rsidR="007B189E">
        <w:rPr>
          <w:rFonts w:cs="Arial"/>
          <w:b/>
          <w:color w:val="000000"/>
          <w:szCs w:val="22"/>
        </w:rPr>
        <w:t>орма технічного завдання на проє</w:t>
      </w:r>
      <w:r w:rsidRPr="00C2587D">
        <w:rPr>
          <w:rFonts w:cs="Arial"/>
          <w:b/>
          <w:color w:val="000000"/>
          <w:szCs w:val="22"/>
        </w:rPr>
        <w:t xml:space="preserve">кт місцевого розвитку </w:t>
      </w:r>
    </w:p>
    <w:p w14:paraId="6FFE53C7" w14:textId="77777777" w:rsidR="00552466" w:rsidRPr="00C2587D" w:rsidRDefault="00552466" w:rsidP="00552466">
      <w:pPr>
        <w:jc w:val="center"/>
        <w:rPr>
          <w:rFonts w:cs="Arial"/>
          <w:b/>
          <w:color w:val="000000"/>
          <w:szCs w:val="22"/>
        </w:rPr>
      </w:pPr>
      <w:r w:rsidRPr="00C2587D">
        <w:rPr>
          <w:rFonts w:cs="Arial"/>
          <w:b/>
          <w:color w:val="000000"/>
          <w:szCs w:val="22"/>
        </w:rPr>
        <w:t>до Плану заходів з реалізації Стратегії</w:t>
      </w:r>
    </w:p>
    <w:p w14:paraId="0AE0E3C5" w14:textId="77777777" w:rsidR="00552466" w:rsidRPr="00C2587D" w:rsidRDefault="00552466" w:rsidP="00552466">
      <w:pPr>
        <w:rPr>
          <w:rFonts w:cs="Arial"/>
        </w:rPr>
      </w:pPr>
    </w:p>
    <w:tbl>
      <w:tblPr>
        <w:tblW w:w="9923"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6"/>
        <w:gridCol w:w="1350"/>
        <w:gridCol w:w="61"/>
        <w:gridCol w:w="1418"/>
        <w:gridCol w:w="36"/>
        <w:gridCol w:w="1239"/>
        <w:gridCol w:w="6"/>
        <w:gridCol w:w="1128"/>
      </w:tblGrid>
      <w:tr w:rsidR="00552466" w:rsidRPr="00C2587D" w14:paraId="18FDE22C" w14:textId="77777777" w:rsidTr="00672B8E">
        <w:trPr>
          <w:jc w:val="right"/>
        </w:trPr>
        <w:tc>
          <w:tcPr>
            <w:tcW w:w="3425" w:type="dxa"/>
            <w:vAlign w:val="center"/>
          </w:tcPr>
          <w:p w14:paraId="708EB463" w14:textId="0F5B00E8" w:rsidR="00552466" w:rsidRPr="00C2587D" w:rsidRDefault="00552466" w:rsidP="007B189E">
            <w:pPr>
              <w:ind w:firstLine="209"/>
              <w:rPr>
                <w:rFonts w:cs="Arial"/>
                <w:b/>
                <w:sz w:val="20"/>
                <w:szCs w:val="20"/>
              </w:rPr>
            </w:pPr>
            <w:r w:rsidRPr="00C2587D">
              <w:rPr>
                <w:rFonts w:cs="Arial"/>
                <w:b/>
                <w:sz w:val="20"/>
                <w:szCs w:val="20"/>
              </w:rPr>
              <w:t>Назва про</w:t>
            </w:r>
            <w:r w:rsidR="007B189E">
              <w:rPr>
                <w:rFonts w:cs="Arial"/>
                <w:b/>
                <w:sz w:val="20"/>
                <w:szCs w:val="20"/>
              </w:rPr>
              <w:t>є</w:t>
            </w:r>
            <w:r w:rsidRPr="00C2587D">
              <w:rPr>
                <w:rFonts w:cs="Arial"/>
                <w:b/>
                <w:sz w:val="20"/>
                <w:szCs w:val="20"/>
              </w:rPr>
              <w:t>кту:</w:t>
            </w:r>
          </w:p>
        </w:tc>
        <w:tc>
          <w:tcPr>
            <w:tcW w:w="6498" w:type="dxa"/>
            <w:gridSpan w:val="9"/>
            <w:vAlign w:val="center"/>
          </w:tcPr>
          <w:p w14:paraId="2DAB202B" w14:textId="77777777" w:rsidR="00552466" w:rsidRPr="00C2587D" w:rsidRDefault="00552466" w:rsidP="001C4BB5">
            <w:pPr>
              <w:jc w:val="both"/>
              <w:rPr>
                <w:rFonts w:cs="Arial"/>
                <w:b/>
                <w:sz w:val="20"/>
                <w:szCs w:val="20"/>
              </w:rPr>
            </w:pPr>
            <w:r w:rsidRPr="00C2587D">
              <w:rPr>
                <w:rFonts w:cs="Arial"/>
                <w:b/>
                <w:sz w:val="20"/>
                <w:szCs w:val="20"/>
              </w:rPr>
              <w:t>Розроблення Концепції мультимодального транспортно-логістичного порту «Жмеринка» та підготовка інвестиційних пропозицій</w:t>
            </w:r>
          </w:p>
        </w:tc>
      </w:tr>
      <w:tr w:rsidR="00552466" w:rsidRPr="00C2587D" w14:paraId="3535B247" w14:textId="77777777" w:rsidTr="00672B8E">
        <w:trPr>
          <w:jc w:val="right"/>
        </w:trPr>
        <w:tc>
          <w:tcPr>
            <w:tcW w:w="3425" w:type="dxa"/>
          </w:tcPr>
          <w:p w14:paraId="5EDA6F93" w14:textId="77777777" w:rsidR="00552466" w:rsidRPr="00C2587D" w:rsidRDefault="00552466" w:rsidP="00D7011A">
            <w:pPr>
              <w:spacing w:before="40" w:after="40"/>
              <w:rPr>
                <w:rFonts w:cs="Arial"/>
                <w:sz w:val="20"/>
                <w:szCs w:val="20"/>
                <w:lang w:eastAsia="it-IT"/>
              </w:rPr>
            </w:pPr>
            <w:r w:rsidRPr="00C2587D">
              <w:rPr>
                <w:rFonts w:cs="Arial"/>
                <w:b/>
                <w:bCs/>
                <w:sz w:val="20"/>
                <w:szCs w:val="20"/>
              </w:rPr>
              <w:t>Ваші контакти</w:t>
            </w:r>
            <w:r w:rsidRPr="00C2587D">
              <w:rPr>
                <w:rFonts w:cs="Arial"/>
                <w:sz w:val="20"/>
                <w:szCs w:val="20"/>
                <w:lang w:eastAsia="it-IT"/>
              </w:rPr>
              <w:t>:</w:t>
            </w:r>
          </w:p>
          <w:p w14:paraId="7CF74014" w14:textId="77777777" w:rsidR="00552466" w:rsidRPr="00C2587D" w:rsidRDefault="00552466" w:rsidP="00D7011A">
            <w:pPr>
              <w:spacing w:before="40" w:after="40"/>
              <w:rPr>
                <w:rFonts w:cs="Arial"/>
                <w:b/>
                <w:bCs/>
                <w:sz w:val="20"/>
                <w:szCs w:val="20"/>
              </w:rPr>
            </w:pPr>
            <w:r w:rsidRPr="00C2587D">
              <w:rPr>
                <w:rFonts w:cs="Arial"/>
                <w:sz w:val="20"/>
                <w:szCs w:val="20"/>
                <w:lang w:eastAsia="it-IT"/>
              </w:rPr>
              <w:t>Назва установи, організації, підприємства</w:t>
            </w:r>
          </w:p>
        </w:tc>
        <w:tc>
          <w:tcPr>
            <w:tcW w:w="6498" w:type="dxa"/>
            <w:gridSpan w:val="9"/>
            <w:vAlign w:val="center"/>
          </w:tcPr>
          <w:p w14:paraId="34622BC3" w14:textId="77777777" w:rsidR="00552466" w:rsidRPr="00C2587D" w:rsidRDefault="00552466" w:rsidP="001C4BB5">
            <w:pPr>
              <w:spacing w:before="40" w:after="40"/>
              <w:jc w:val="both"/>
              <w:rPr>
                <w:rFonts w:cs="Arial"/>
                <w:sz w:val="20"/>
                <w:szCs w:val="20"/>
                <w:lang w:eastAsia="it-IT"/>
              </w:rPr>
            </w:pPr>
            <w:r w:rsidRPr="00C2587D">
              <w:rPr>
                <w:rFonts w:cs="Arial"/>
                <w:sz w:val="20"/>
                <w:szCs w:val="20"/>
                <w:lang w:eastAsia="it-IT"/>
              </w:rPr>
              <w:t>Управління економіки та розвитку інфраструктури виконавчого комітету  Жмеринської міської ради</w:t>
            </w:r>
          </w:p>
        </w:tc>
      </w:tr>
      <w:tr w:rsidR="00552466" w:rsidRPr="00C2587D" w14:paraId="07D625A0" w14:textId="77777777" w:rsidTr="00672B8E">
        <w:trPr>
          <w:jc w:val="right"/>
        </w:trPr>
        <w:tc>
          <w:tcPr>
            <w:tcW w:w="3425" w:type="dxa"/>
          </w:tcPr>
          <w:p w14:paraId="680530D9" w14:textId="77777777" w:rsidR="00552466" w:rsidRPr="00C2587D" w:rsidRDefault="00552466" w:rsidP="00D7011A">
            <w:pPr>
              <w:spacing w:before="40" w:after="40"/>
              <w:rPr>
                <w:rFonts w:cs="Arial"/>
                <w:b/>
                <w:bCs/>
                <w:sz w:val="20"/>
                <w:szCs w:val="20"/>
              </w:rPr>
            </w:pPr>
            <w:r w:rsidRPr="00C2587D">
              <w:rPr>
                <w:rFonts w:cs="Arial"/>
                <w:sz w:val="20"/>
                <w:szCs w:val="20"/>
                <w:lang w:eastAsia="it-IT"/>
              </w:rPr>
              <w:t>Прізвище Ім’я По-батькові:</w:t>
            </w:r>
          </w:p>
        </w:tc>
        <w:tc>
          <w:tcPr>
            <w:tcW w:w="6498" w:type="dxa"/>
            <w:gridSpan w:val="9"/>
            <w:vAlign w:val="center"/>
          </w:tcPr>
          <w:p w14:paraId="2A2FD39E" w14:textId="77777777" w:rsidR="00552466" w:rsidRPr="00C2587D" w:rsidRDefault="00552466" w:rsidP="001C4BB5">
            <w:pPr>
              <w:spacing w:before="40" w:after="40"/>
              <w:jc w:val="both"/>
              <w:rPr>
                <w:rFonts w:cs="Arial"/>
                <w:sz w:val="20"/>
                <w:szCs w:val="20"/>
                <w:lang w:eastAsia="it-IT"/>
              </w:rPr>
            </w:pPr>
            <w:r w:rsidRPr="00C2587D">
              <w:rPr>
                <w:rFonts w:cs="Arial"/>
                <w:sz w:val="20"/>
                <w:szCs w:val="20"/>
                <w:lang w:eastAsia="it-IT"/>
              </w:rPr>
              <w:t>Коновал Анатолій Романович</w:t>
            </w:r>
          </w:p>
        </w:tc>
      </w:tr>
      <w:tr w:rsidR="00552466" w:rsidRPr="00C2587D" w14:paraId="4E7AC379" w14:textId="77777777" w:rsidTr="00672B8E">
        <w:trPr>
          <w:jc w:val="right"/>
        </w:trPr>
        <w:tc>
          <w:tcPr>
            <w:tcW w:w="3425" w:type="dxa"/>
          </w:tcPr>
          <w:p w14:paraId="3D6E1AB4" w14:textId="77777777" w:rsidR="00552466" w:rsidRPr="00C2587D" w:rsidRDefault="00552466" w:rsidP="00D7011A">
            <w:pPr>
              <w:spacing w:before="40" w:after="40"/>
              <w:rPr>
                <w:rFonts w:cs="Arial"/>
                <w:b/>
                <w:bCs/>
                <w:sz w:val="20"/>
                <w:szCs w:val="20"/>
              </w:rPr>
            </w:pPr>
            <w:r w:rsidRPr="00C2587D">
              <w:rPr>
                <w:rFonts w:cs="Arial"/>
                <w:sz w:val="20"/>
                <w:szCs w:val="20"/>
                <w:lang w:eastAsia="it-IT"/>
              </w:rPr>
              <w:t>Телефон (мобільний):</w:t>
            </w:r>
          </w:p>
        </w:tc>
        <w:tc>
          <w:tcPr>
            <w:tcW w:w="6498" w:type="dxa"/>
            <w:gridSpan w:val="9"/>
            <w:vAlign w:val="center"/>
          </w:tcPr>
          <w:p w14:paraId="44035258" w14:textId="77777777" w:rsidR="00552466" w:rsidRPr="00C2587D" w:rsidRDefault="00552466" w:rsidP="001C4BB5">
            <w:pPr>
              <w:spacing w:before="40" w:after="40"/>
              <w:jc w:val="both"/>
              <w:rPr>
                <w:rFonts w:cs="Arial"/>
                <w:sz w:val="20"/>
                <w:szCs w:val="20"/>
                <w:lang w:eastAsia="it-IT"/>
              </w:rPr>
            </w:pPr>
            <w:r w:rsidRPr="00C2587D">
              <w:rPr>
                <w:rFonts w:cs="Arial"/>
                <w:sz w:val="20"/>
                <w:szCs w:val="20"/>
                <w:lang w:eastAsia="it-IT"/>
              </w:rPr>
              <w:t>0674300414</w:t>
            </w:r>
          </w:p>
        </w:tc>
      </w:tr>
      <w:tr w:rsidR="00552466" w:rsidRPr="00C2587D" w14:paraId="4CADCA71" w14:textId="77777777" w:rsidTr="00672B8E">
        <w:trPr>
          <w:jc w:val="right"/>
        </w:trPr>
        <w:tc>
          <w:tcPr>
            <w:tcW w:w="3425" w:type="dxa"/>
          </w:tcPr>
          <w:p w14:paraId="56A9DA10" w14:textId="77777777" w:rsidR="00552466" w:rsidRPr="00C2587D" w:rsidRDefault="00552466" w:rsidP="00D7011A">
            <w:pPr>
              <w:spacing w:before="40" w:after="40"/>
              <w:rPr>
                <w:rFonts w:cs="Arial"/>
                <w:b/>
                <w:bCs/>
                <w:sz w:val="20"/>
                <w:szCs w:val="20"/>
              </w:rPr>
            </w:pPr>
            <w:r w:rsidRPr="00C2587D">
              <w:rPr>
                <w:rFonts w:cs="Arial"/>
                <w:sz w:val="20"/>
                <w:szCs w:val="20"/>
                <w:lang w:eastAsia="it-IT"/>
              </w:rPr>
              <w:t>Електронна адреса:</w:t>
            </w:r>
          </w:p>
        </w:tc>
        <w:tc>
          <w:tcPr>
            <w:tcW w:w="6498" w:type="dxa"/>
            <w:gridSpan w:val="9"/>
            <w:vAlign w:val="center"/>
          </w:tcPr>
          <w:p w14:paraId="4D1F813C" w14:textId="227A638E" w:rsidR="00552466" w:rsidRPr="00C2587D" w:rsidRDefault="00D85FFD" w:rsidP="001C4BB5">
            <w:pPr>
              <w:spacing w:before="40" w:after="40"/>
              <w:jc w:val="both"/>
              <w:rPr>
                <w:rFonts w:cs="Arial"/>
                <w:sz w:val="20"/>
                <w:szCs w:val="20"/>
                <w:lang w:eastAsia="it-IT"/>
              </w:rPr>
            </w:pPr>
            <w:hyperlink r:id="rId26" w:history="1">
              <w:r w:rsidR="001C4BB5" w:rsidRPr="000A0B5C">
                <w:rPr>
                  <w:rStyle w:val="af0"/>
                  <w:rFonts w:cs="Arial"/>
                  <w:noProof w:val="0"/>
                  <w:lang w:eastAsia="it-IT"/>
                </w:rPr>
                <w:t>econ@zhmr.gov.ua</w:t>
              </w:r>
            </w:hyperlink>
            <w:r w:rsidR="001C4BB5">
              <w:rPr>
                <w:rFonts w:cs="Arial"/>
                <w:sz w:val="20"/>
                <w:szCs w:val="20"/>
                <w:lang w:eastAsia="it-IT"/>
              </w:rPr>
              <w:t xml:space="preserve"> </w:t>
            </w:r>
          </w:p>
        </w:tc>
      </w:tr>
      <w:tr w:rsidR="00552466" w:rsidRPr="00C2587D" w14:paraId="54872D26" w14:textId="77777777" w:rsidTr="00672B8E">
        <w:trPr>
          <w:jc w:val="right"/>
        </w:trPr>
        <w:tc>
          <w:tcPr>
            <w:tcW w:w="3425" w:type="dxa"/>
            <w:vAlign w:val="center"/>
          </w:tcPr>
          <w:p w14:paraId="423C1D41" w14:textId="46202CA8" w:rsidR="00552466" w:rsidRPr="00C2587D" w:rsidRDefault="00552466" w:rsidP="00D7011A">
            <w:pPr>
              <w:pStyle w:val="6"/>
              <w:spacing w:before="0" w:after="0"/>
              <w:rPr>
                <w:rFonts w:ascii="Arial" w:hAnsi="Arial" w:cs="Arial"/>
                <w:color w:val="000000"/>
                <w:sz w:val="20"/>
                <w:szCs w:val="20"/>
                <w:lang w:val="uk-UA"/>
              </w:rPr>
            </w:pPr>
            <w:r w:rsidRPr="00C2587D">
              <w:rPr>
                <w:rFonts w:ascii="Arial" w:hAnsi="Arial" w:cs="Arial"/>
                <w:color w:val="000000"/>
                <w:sz w:val="20"/>
                <w:szCs w:val="20"/>
                <w:lang w:val="uk-UA"/>
              </w:rPr>
              <w:t>Номер і назва завдання з Стратегії</w:t>
            </w:r>
            <w:r w:rsidRPr="00C2587D">
              <w:rPr>
                <w:rFonts w:ascii="Arial" w:hAnsi="Arial" w:cs="Arial"/>
                <w:sz w:val="20"/>
                <w:szCs w:val="20"/>
                <w:lang w:val="uk-UA" w:eastAsia="it-IT"/>
              </w:rPr>
              <w:t xml:space="preserve"> </w:t>
            </w:r>
            <w:r w:rsidRPr="00C2587D">
              <w:rPr>
                <w:rFonts w:ascii="Arial" w:hAnsi="Arial" w:cs="Arial"/>
                <w:color w:val="000000"/>
                <w:sz w:val="20"/>
                <w:szCs w:val="20"/>
                <w:lang w:val="uk-UA"/>
              </w:rPr>
              <w:t>розвитку Жмеринської міської територіальної громади,  як</w:t>
            </w:r>
            <w:r w:rsidR="007B189E">
              <w:rPr>
                <w:rFonts w:ascii="Arial" w:hAnsi="Arial" w:cs="Arial"/>
                <w:color w:val="000000"/>
                <w:sz w:val="20"/>
                <w:szCs w:val="20"/>
                <w:lang w:val="uk-UA"/>
              </w:rPr>
              <w:t>ому відповідає проє</w:t>
            </w:r>
            <w:r w:rsidRPr="00C2587D">
              <w:rPr>
                <w:rFonts w:ascii="Arial" w:hAnsi="Arial" w:cs="Arial"/>
                <w:color w:val="000000"/>
                <w:sz w:val="20"/>
                <w:szCs w:val="20"/>
                <w:lang w:val="uk-UA"/>
              </w:rPr>
              <w:t>кт:</w:t>
            </w:r>
          </w:p>
        </w:tc>
        <w:tc>
          <w:tcPr>
            <w:tcW w:w="6498" w:type="dxa"/>
            <w:gridSpan w:val="9"/>
            <w:vAlign w:val="center"/>
          </w:tcPr>
          <w:p w14:paraId="173B160A" w14:textId="77777777" w:rsidR="00552466" w:rsidRPr="00C2587D" w:rsidRDefault="00552466" w:rsidP="001C4BB5">
            <w:pPr>
              <w:pBdr>
                <w:left w:val="single" w:sz="18" w:space="4" w:color="auto"/>
              </w:pBdr>
              <w:spacing w:before="40" w:after="40"/>
              <w:jc w:val="both"/>
              <w:rPr>
                <w:rFonts w:cs="Arial"/>
                <w:iCs/>
                <w:sz w:val="20"/>
                <w:szCs w:val="20"/>
                <w:lang w:eastAsia="it-IT"/>
              </w:rPr>
            </w:pPr>
            <w:r w:rsidRPr="00C2587D">
              <w:rPr>
                <w:rFonts w:cs="Arial"/>
                <w:iCs/>
                <w:sz w:val="20"/>
                <w:szCs w:val="20"/>
                <w:lang w:eastAsia="it-IT"/>
              </w:rPr>
              <w:t>А.1.1.1. Розроблення Концепції міжнародного мультимодального транспортно-логістичного порту «Жмеринка».</w:t>
            </w:r>
          </w:p>
          <w:p w14:paraId="50C945CA" w14:textId="77777777" w:rsidR="00552466" w:rsidRPr="00C2587D" w:rsidRDefault="00552466" w:rsidP="001C4BB5">
            <w:pPr>
              <w:pBdr>
                <w:left w:val="single" w:sz="18" w:space="4" w:color="auto"/>
              </w:pBdr>
              <w:spacing w:before="40" w:after="40"/>
              <w:jc w:val="both"/>
              <w:rPr>
                <w:rFonts w:cs="Arial"/>
                <w:sz w:val="20"/>
                <w:szCs w:val="20"/>
                <w:lang w:eastAsia="it-IT"/>
              </w:rPr>
            </w:pPr>
            <w:r w:rsidRPr="00C2587D">
              <w:rPr>
                <w:rFonts w:cs="Arial"/>
                <w:iCs/>
                <w:sz w:val="20"/>
                <w:szCs w:val="20"/>
                <w:lang w:eastAsia="it-IT"/>
              </w:rPr>
              <w:t>А.1.1.2. Підготовка інвестиційних пропозицій, пов’язаних з розвитком транспортно-логістичного порту «Жмеринка».</w:t>
            </w:r>
          </w:p>
        </w:tc>
      </w:tr>
      <w:tr w:rsidR="00552466" w:rsidRPr="00C2587D" w14:paraId="7E3FDC66" w14:textId="77777777" w:rsidTr="00672B8E">
        <w:trPr>
          <w:jc w:val="right"/>
        </w:trPr>
        <w:tc>
          <w:tcPr>
            <w:tcW w:w="3425" w:type="dxa"/>
            <w:vAlign w:val="center"/>
          </w:tcPr>
          <w:p w14:paraId="60DBF1AE" w14:textId="77777777" w:rsidR="00552466" w:rsidRPr="00C2587D" w:rsidRDefault="00552466" w:rsidP="00D7011A">
            <w:pPr>
              <w:rPr>
                <w:rFonts w:cs="Arial"/>
                <w:b/>
                <w:bCs/>
                <w:color w:val="000000"/>
                <w:sz w:val="20"/>
                <w:szCs w:val="20"/>
              </w:rPr>
            </w:pPr>
            <w:r w:rsidRPr="00C2587D">
              <w:rPr>
                <w:rFonts w:cs="Arial"/>
                <w:b/>
                <w:bCs/>
                <w:color w:val="000000"/>
                <w:sz w:val="20"/>
                <w:szCs w:val="20"/>
              </w:rPr>
              <w:t>Мета проєкту</w:t>
            </w:r>
          </w:p>
        </w:tc>
        <w:tc>
          <w:tcPr>
            <w:tcW w:w="6498" w:type="dxa"/>
            <w:gridSpan w:val="9"/>
            <w:vAlign w:val="center"/>
          </w:tcPr>
          <w:p w14:paraId="70D3891C" w14:textId="77777777" w:rsidR="00552466" w:rsidRPr="00C2587D" w:rsidRDefault="00552466" w:rsidP="001C4BB5">
            <w:pPr>
              <w:spacing w:before="40" w:after="40"/>
              <w:jc w:val="both"/>
              <w:rPr>
                <w:rFonts w:cs="Arial"/>
                <w:sz w:val="20"/>
                <w:szCs w:val="20"/>
                <w:lang w:eastAsia="it-IT"/>
              </w:rPr>
            </w:pPr>
            <w:r w:rsidRPr="00C2587D">
              <w:rPr>
                <w:rFonts w:cs="Arial"/>
                <w:sz w:val="20"/>
                <w:szCs w:val="20"/>
                <w:lang w:eastAsia="it-IT"/>
              </w:rPr>
              <w:t>Стимулювання збільшення товарообігу на території громади, підвищення рівня промислового виробництва, торгівлі</w:t>
            </w:r>
          </w:p>
        </w:tc>
      </w:tr>
      <w:tr w:rsidR="00552466" w:rsidRPr="00C2587D" w14:paraId="1B239A2D" w14:textId="77777777" w:rsidTr="00672B8E">
        <w:trPr>
          <w:jc w:val="right"/>
        </w:trPr>
        <w:tc>
          <w:tcPr>
            <w:tcW w:w="3425" w:type="dxa"/>
            <w:vAlign w:val="center"/>
          </w:tcPr>
          <w:p w14:paraId="72F71E2D" w14:textId="02E65877" w:rsidR="00552466" w:rsidRPr="00C2587D" w:rsidRDefault="007A71B7" w:rsidP="00D7011A">
            <w:pPr>
              <w:rPr>
                <w:rFonts w:cs="Arial"/>
                <w:b/>
                <w:bCs/>
                <w:color w:val="000000"/>
                <w:sz w:val="20"/>
                <w:szCs w:val="20"/>
              </w:rPr>
            </w:pPr>
            <w:r>
              <w:rPr>
                <w:rFonts w:cs="Arial"/>
                <w:b/>
                <w:bCs/>
                <w:color w:val="000000"/>
                <w:sz w:val="20"/>
                <w:szCs w:val="20"/>
              </w:rPr>
              <w:t>Цілі проє</w:t>
            </w:r>
            <w:r w:rsidR="00552466" w:rsidRPr="00C2587D">
              <w:rPr>
                <w:rFonts w:cs="Arial"/>
                <w:b/>
                <w:bCs/>
                <w:color w:val="000000"/>
                <w:sz w:val="20"/>
                <w:szCs w:val="20"/>
              </w:rPr>
              <w:t>кту:</w:t>
            </w:r>
          </w:p>
        </w:tc>
        <w:tc>
          <w:tcPr>
            <w:tcW w:w="6498" w:type="dxa"/>
            <w:gridSpan w:val="9"/>
            <w:vAlign w:val="center"/>
          </w:tcPr>
          <w:p w14:paraId="0D4D9E8F" w14:textId="77777777" w:rsidR="00552466" w:rsidRPr="00C2587D" w:rsidRDefault="00552466" w:rsidP="001C4BB5">
            <w:pPr>
              <w:pStyle w:val="af4"/>
              <w:numPr>
                <w:ilvl w:val="0"/>
                <w:numId w:val="10"/>
              </w:numPr>
              <w:tabs>
                <w:tab w:val="left" w:pos="285"/>
              </w:tabs>
              <w:suppressAutoHyphens w:val="0"/>
              <w:spacing w:before="40" w:after="40" w:line="240" w:lineRule="auto"/>
              <w:ind w:left="0" w:firstLine="0"/>
              <w:contextualSpacing/>
              <w:jc w:val="both"/>
              <w:rPr>
                <w:rFonts w:ascii="Arial" w:hAnsi="Arial" w:cs="Arial"/>
                <w:sz w:val="20"/>
                <w:szCs w:val="20"/>
                <w:lang w:eastAsia="it-IT"/>
              </w:rPr>
            </w:pPr>
            <w:r w:rsidRPr="00C2587D">
              <w:rPr>
                <w:rFonts w:ascii="Arial" w:hAnsi="Arial" w:cs="Arial"/>
                <w:sz w:val="20"/>
                <w:szCs w:val="20"/>
                <w:lang w:eastAsia="it-IT"/>
              </w:rPr>
              <w:t>Створення постійної консультаційної міжінституційної групи з представників Жмеринської міської ради, Вінницької ОВА, Міністерства інфраструктури, Укрзалізниці;</w:t>
            </w:r>
          </w:p>
          <w:p w14:paraId="75C89150" w14:textId="04B4EDB8" w:rsidR="00552466" w:rsidRPr="00C2587D" w:rsidRDefault="00552466" w:rsidP="001C4BB5">
            <w:pPr>
              <w:pStyle w:val="af4"/>
              <w:numPr>
                <w:ilvl w:val="0"/>
                <w:numId w:val="10"/>
              </w:numPr>
              <w:tabs>
                <w:tab w:val="left" w:pos="285"/>
              </w:tabs>
              <w:suppressAutoHyphens w:val="0"/>
              <w:spacing w:before="40" w:after="40" w:line="240" w:lineRule="auto"/>
              <w:ind w:left="0" w:firstLine="0"/>
              <w:contextualSpacing/>
              <w:jc w:val="both"/>
              <w:rPr>
                <w:rFonts w:ascii="Arial" w:hAnsi="Arial" w:cs="Arial"/>
                <w:sz w:val="20"/>
                <w:szCs w:val="20"/>
                <w:lang w:eastAsia="it-IT"/>
              </w:rPr>
            </w:pPr>
            <w:r w:rsidRPr="00C2587D">
              <w:rPr>
                <w:rFonts w:ascii="Arial" w:hAnsi="Arial" w:cs="Arial"/>
                <w:sz w:val="20"/>
                <w:szCs w:val="20"/>
                <w:lang w:eastAsia="it-IT"/>
              </w:rPr>
              <w:t>Складання робочого плану</w:t>
            </w:r>
            <w:r w:rsidR="007A71B7">
              <w:rPr>
                <w:rFonts w:ascii="Arial" w:hAnsi="Arial" w:cs="Arial"/>
                <w:sz w:val="20"/>
                <w:szCs w:val="20"/>
                <w:lang w:eastAsia="it-IT"/>
              </w:rPr>
              <w:t xml:space="preserve"> розроблення інвестиційного проє</w:t>
            </w:r>
            <w:r w:rsidRPr="00C2587D">
              <w:rPr>
                <w:rFonts w:ascii="Arial" w:hAnsi="Arial" w:cs="Arial"/>
                <w:sz w:val="20"/>
                <w:szCs w:val="20"/>
                <w:lang w:eastAsia="it-IT"/>
              </w:rPr>
              <w:t>кту «Мультимодальний транспортно-логістичний порт «Жмеринка»;</w:t>
            </w:r>
          </w:p>
          <w:p w14:paraId="2A7BA133" w14:textId="77777777" w:rsidR="00552466" w:rsidRPr="00C2587D" w:rsidRDefault="00552466" w:rsidP="001C4BB5">
            <w:pPr>
              <w:pStyle w:val="af4"/>
              <w:numPr>
                <w:ilvl w:val="0"/>
                <w:numId w:val="10"/>
              </w:numPr>
              <w:tabs>
                <w:tab w:val="left" w:pos="285"/>
              </w:tabs>
              <w:suppressAutoHyphens w:val="0"/>
              <w:spacing w:before="40" w:after="40" w:line="240" w:lineRule="auto"/>
              <w:ind w:left="0" w:firstLine="0"/>
              <w:contextualSpacing/>
              <w:jc w:val="both"/>
              <w:rPr>
                <w:rFonts w:ascii="Arial" w:hAnsi="Arial" w:cs="Arial"/>
                <w:sz w:val="20"/>
                <w:szCs w:val="20"/>
                <w:lang w:eastAsia="it-IT"/>
              </w:rPr>
            </w:pPr>
            <w:r w:rsidRPr="00C2587D">
              <w:rPr>
                <w:rFonts w:ascii="Arial" w:hAnsi="Arial" w:cs="Arial"/>
                <w:sz w:val="20"/>
                <w:szCs w:val="20"/>
                <w:lang w:eastAsia="it-IT"/>
              </w:rPr>
              <w:t>Формулювання базової Концепції (основних ідей та підходів) створення мультимодального транспортно-логістичного порту «Жмеринка»;</w:t>
            </w:r>
          </w:p>
          <w:p w14:paraId="63E3F42C" w14:textId="5A5FDCBF" w:rsidR="00552466" w:rsidRPr="00C2587D" w:rsidRDefault="00552466" w:rsidP="001C4BB5">
            <w:pPr>
              <w:pStyle w:val="af4"/>
              <w:numPr>
                <w:ilvl w:val="0"/>
                <w:numId w:val="10"/>
              </w:numPr>
              <w:tabs>
                <w:tab w:val="left" w:pos="285"/>
              </w:tabs>
              <w:suppressAutoHyphens w:val="0"/>
              <w:spacing w:before="40" w:after="40" w:line="240" w:lineRule="auto"/>
              <w:ind w:left="0" w:firstLine="0"/>
              <w:contextualSpacing/>
              <w:jc w:val="both"/>
              <w:rPr>
                <w:rFonts w:ascii="Arial" w:hAnsi="Arial" w:cs="Arial"/>
                <w:sz w:val="20"/>
                <w:szCs w:val="20"/>
                <w:lang w:eastAsia="it-IT"/>
              </w:rPr>
            </w:pPr>
            <w:r w:rsidRPr="00C2587D">
              <w:rPr>
                <w:rFonts w:ascii="Arial" w:hAnsi="Arial" w:cs="Arial"/>
                <w:sz w:val="20"/>
                <w:szCs w:val="20"/>
              </w:rPr>
              <w:t>Сприян</w:t>
            </w:r>
            <w:r w:rsidR="007A71B7">
              <w:rPr>
                <w:rFonts w:ascii="Arial" w:hAnsi="Arial" w:cs="Arial"/>
                <w:sz w:val="20"/>
                <w:szCs w:val="20"/>
              </w:rPr>
              <w:t>ня включенню інвестиційного проє</w:t>
            </w:r>
            <w:r w:rsidRPr="00C2587D">
              <w:rPr>
                <w:rFonts w:ascii="Arial" w:hAnsi="Arial" w:cs="Arial"/>
                <w:sz w:val="20"/>
                <w:szCs w:val="20"/>
              </w:rPr>
              <w:t>кту «Міжнародний мультимодальний транспортно-логістичний порт «Жмеринка» до Плану реалізації Національної транспортної стратегії до 2030 року, а також до Стратегії розвитку Вінницької області до 2027 року та плану її реалізації.</w:t>
            </w:r>
          </w:p>
          <w:p w14:paraId="3B1B233C" w14:textId="0460FEFB" w:rsidR="00552466" w:rsidRPr="00C2587D" w:rsidRDefault="00552466" w:rsidP="001C4BB5">
            <w:pPr>
              <w:spacing w:before="40" w:after="40"/>
              <w:jc w:val="both"/>
              <w:rPr>
                <w:rFonts w:cs="Arial"/>
                <w:color w:val="FF0000"/>
                <w:sz w:val="20"/>
                <w:szCs w:val="20"/>
                <w:lang w:eastAsia="it-IT"/>
              </w:rPr>
            </w:pPr>
            <w:r w:rsidRPr="00C2587D">
              <w:rPr>
                <w:rFonts w:cs="Arial"/>
                <w:sz w:val="20"/>
                <w:szCs w:val="20"/>
                <w:lang w:eastAsia="it-IT"/>
              </w:rPr>
              <w:t>Розроблення та поширення рекламних та інформаційних мате</w:t>
            </w:r>
            <w:r w:rsidR="007A71B7">
              <w:rPr>
                <w:rFonts w:cs="Arial"/>
                <w:sz w:val="20"/>
                <w:szCs w:val="20"/>
                <w:lang w:eastAsia="it-IT"/>
              </w:rPr>
              <w:t>ріалів про ідею розроблення проє</w:t>
            </w:r>
            <w:r w:rsidRPr="00C2587D">
              <w:rPr>
                <w:rFonts w:cs="Arial"/>
                <w:sz w:val="20"/>
                <w:szCs w:val="20"/>
                <w:lang w:eastAsia="it-IT"/>
              </w:rPr>
              <w:t>кту транспортно-логістичного порту Жмеринка серед зацікавлених сторін та у ЗМІ.</w:t>
            </w:r>
          </w:p>
        </w:tc>
      </w:tr>
      <w:tr w:rsidR="00552466" w:rsidRPr="00C2587D" w14:paraId="558F9C02" w14:textId="77777777" w:rsidTr="00672B8E">
        <w:trPr>
          <w:jc w:val="right"/>
        </w:trPr>
        <w:tc>
          <w:tcPr>
            <w:tcW w:w="3425" w:type="dxa"/>
            <w:vAlign w:val="center"/>
          </w:tcPr>
          <w:p w14:paraId="3FDE80F9" w14:textId="7C4AE587" w:rsidR="00552466" w:rsidRPr="00C2587D" w:rsidRDefault="007A71B7" w:rsidP="00D7011A">
            <w:pPr>
              <w:autoSpaceDE w:val="0"/>
              <w:autoSpaceDN w:val="0"/>
              <w:adjustRightInd w:val="0"/>
              <w:rPr>
                <w:rFonts w:cs="Arial"/>
                <w:b/>
                <w:sz w:val="20"/>
                <w:szCs w:val="20"/>
              </w:rPr>
            </w:pPr>
            <w:r>
              <w:rPr>
                <w:rFonts w:cs="Arial"/>
                <w:b/>
                <w:sz w:val="20"/>
                <w:szCs w:val="20"/>
              </w:rPr>
              <w:t>Територія на яку проє</w:t>
            </w:r>
            <w:r w:rsidR="00552466" w:rsidRPr="00C2587D">
              <w:rPr>
                <w:rFonts w:cs="Arial"/>
                <w:b/>
                <w:sz w:val="20"/>
                <w:szCs w:val="20"/>
              </w:rPr>
              <w:t>кт матиме вплив:</w:t>
            </w:r>
          </w:p>
        </w:tc>
        <w:tc>
          <w:tcPr>
            <w:tcW w:w="6498" w:type="dxa"/>
            <w:gridSpan w:val="9"/>
            <w:vAlign w:val="center"/>
          </w:tcPr>
          <w:p w14:paraId="56069504" w14:textId="77777777" w:rsidR="00552466" w:rsidRPr="00C2587D" w:rsidRDefault="00552466" w:rsidP="001C4BB5">
            <w:pPr>
              <w:spacing w:before="40" w:after="40"/>
              <w:jc w:val="both"/>
              <w:rPr>
                <w:rFonts w:cs="Arial"/>
                <w:sz w:val="20"/>
                <w:szCs w:val="20"/>
                <w:lang w:eastAsia="it-IT"/>
              </w:rPr>
            </w:pPr>
            <w:r w:rsidRPr="00C2587D">
              <w:rPr>
                <w:rFonts w:cs="Arial"/>
                <w:sz w:val="20"/>
                <w:szCs w:val="20"/>
                <w:lang w:eastAsia="it-IT"/>
              </w:rPr>
              <w:t xml:space="preserve">Територія Жмеринської міської територіальної громади, суміжні громади Жмеринського району, Вінницької області </w:t>
            </w:r>
          </w:p>
        </w:tc>
      </w:tr>
      <w:tr w:rsidR="00552466" w:rsidRPr="00C2587D" w14:paraId="3F5AFDF4" w14:textId="77777777" w:rsidTr="00672B8E">
        <w:trPr>
          <w:jc w:val="right"/>
        </w:trPr>
        <w:tc>
          <w:tcPr>
            <w:tcW w:w="3425" w:type="dxa"/>
            <w:vAlign w:val="center"/>
          </w:tcPr>
          <w:p w14:paraId="0160E59A" w14:textId="77777777" w:rsidR="00552466" w:rsidRPr="00C2587D" w:rsidRDefault="00552466" w:rsidP="00D7011A">
            <w:pPr>
              <w:autoSpaceDE w:val="0"/>
              <w:autoSpaceDN w:val="0"/>
              <w:adjustRightInd w:val="0"/>
              <w:rPr>
                <w:rFonts w:cs="Arial"/>
                <w:b/>
                <w:sz w:val="20"/>
                <w:szCs w:val="20"/>
              </w:rPr>
            </w:pPr>
            <w:r w:rsidRPr="00C2587D">
              <w:rPr>
                <w:rFonts w:cs="Arial"/>
                <w:b/>
                <w:sz w:val="20"/>
                <w:szCs w:val="20"/>
              </w:rPr>
              <w:t>Цільові групи проєкту та кількість отримувачів вигоди</w:t>
            </w:r>
          </w:p>
        </w:tc>
        <w:tc>
          <w:tcPr>
            <w:tcW w:w="6498" w:type="dxa"/>
            <w:gridSpan w:val="9"/>
            <w:vAlign w:val="center"/>
          </w:tcPr>
          <w:p w14:paraId="7D54F57F" w14:textId="77777777" w:rsidR="00552466" w:rsidRPr="00C2587D" w:rsidRDefault="00552466" w:rsidP="001C4BB5">
            <w:pPr>
              <w:spacing w:before="40" w:after="40"/>
              <w:jc w:val="both"/>
              <w:rPr>
                <w:rFonts w:cs="Arial"/>
                <w:sz w:val="20"/>
                <w:szCs w:val="20"/>
                <w:lang w:eastAsia="it-IT"/>
              </w:rPr>
            </w:pPr>
            <w:r w:rsidRPr="00C2587D">
              <w:rPr>
                <w:rFonts w:cs="Arial"/>
                <w:sz w:val="20"/>
                <w:szCs w:val="20"/>
                <w:lang w:eastAsia="it-IT"/>
              </w:rPr>
              <w:t>СПД, жителі громади, суміжних громад Вінницької області, 160 тис.осіб</w:t>
            </w:r>
          </w:p>
        </w:tc>
      </w:tr>
      <w:tr w:rsidR="00552466" w:rsidRPr="00C2587D" w14:paraId="3F5AD8FF" w14:textId="77777777" w:rsidTr="00672B8E">
        <w:trPr>
          <w:jc w:val="right"/>
        </w:trPr>
        <w:tc>
          <w:tcPr>
            <w:tcW w:w="3425" w:type="dxa"/>
            <w:shd w:val="clear" w:color="auto" w:fill="FFFFFF"/>
            <w:vAlign w:val="center"/>
          </w:tcPr>
          <w:p w14:paraId="20CD3F8D" w14:textId="20177217" w:rsidR="00552466" w:rsidRPr="00C2587D" w:rsidRDefault="007A71B7" w:rsidP="00D7011A">
            <w:pPr>
              <w:rPr>
                <w:rFonts w:cs="Arial"/>
                <w:b/>
                <w:bCs/>
                <w:color w:val="000000"/>
                <w:sz w:val="20"/>
                <w:szCs w:val="20"/>
              </w:rPr>
            </w:pPr>
            <w:r>
              <w:rPr>
                <w:rFonts w:cs="Arial"/>
                <w:b/>
                <w:bCs/>
                <w:color w:val="000000"/>
                <w:sz w:val="20"/>
                <w:szCs w:val="20"/>
              </w:rPr>
              <w:t>Стислий опис проє</w:t>
            </w:r>
            <w:r w:rsidR="00552466" w:rsidRPr="00C2587D">
              <w:rPr>
                <w:rFonts w:cs="Arial"/>
                <w:b/>
                <w:bCs/>
                <w:color w:val="000000"/>
                <w:sz w:val="20"/>
                <w:szCs w:val="20"/>
              </w:rPr>
              <w:t>кту:</w:t>
            </w:r>
          </w:p>
        </w:tc>
        <w:tc>
          <w:tcPr>
            <w:tcW w:w="6498" w:type="dxa"/>
            <w:gridSpan w:val="9"/>
            <w:vAlign w:val="center"/>
          </w:tcPr>
          <w:p w14:paraId="7D0BC9C1" w14:textId="77777777" w:rsidR="00552466" w:rsidRPr="00C2587D" w:rsidRDefault="00552466" w:rsidP="001C4BB5">
            <w:pPr>
              <w:pStyle w:val="a"/>
              <w:numPr>
                <w:ilvl w:val="0"/>
                <w:numId w:val="0"/>
              </w:numPr>
              <w:tabs>
                <w:tab w:val="left" w:pos="285"/>
              </w:tabs>
              <w:rPr>
                <w:sz w:val="20"/>
                <w:szCs w:val="20"/>
                <w:lang w:val="uk-UA"/>
              </w:rPr>
            </w:pPr>
            <w:r w:rsidRPr="00C2587D">
              <w:rPr>
                <w:sz w:val="20"/>
                <w:szCs w:val="20"/>
                <w:lang w:val="uk-UA"/>
              </w:rPr>
              <w:t xml:space="preserve">Стратегічною перевагою Жмеринки як залізничного вузла, є його місце в системі пан’європейських транспортних коридорів. Місто, зокрема, лежить на перетині залізничних коридорів: </w:t>
            </w:r>
            <w:r w:rsidRPr="00C2587D">
              <w:rPr>
                <w:color w:val="000000"/>
                <w:sz w:val="20"/>
                <w:szCs w:val="20"/>
                <w:lang w:val="uk-UA"/>
              </w:rPr>
              <w:t>Критського №3, Критського №5 та</w:t>
            </w:r>
            <w:r w:rsidRPr="00C2587D">
              <w:rPr>
                <w:sz w:val="20"/>
                <w:szCs w:val="20"/>
                <w:lang w:val="uk-UA"/>
              </w:rPr>
              <w:t>, що найважливіше, – Критського №9 у напрямі з Одеси (Чорне море) до Балтики. Враховуючи той факт, що основний потік вантажів морським шляхом проходить через Чорноморський морський порт і далі – залізницею на Захід, Центр, Північ і Схід України, значення такого транспортного вузла як Жмеринка буде у майбутньому лише зростати.</w:t>
            </w:r>
          </w:p>
          <w:p w14:paraId="4847E088" w14:textId="77777777" w:rsidR="00552466" w:rsidRPr="00C2587D" w:rsidRDefault="00552466" w:rsidP="001C4BB5">
            <w:pPr>
              <w:pStyle w:val="a"/>
              <w:numPr>
                <w:ilvl w:val="0"/>
                <w:numId w:val="0"/>
              </w:numPr>
              <w:tabs>
                <w:tab w:val="left" w:pos="285"/>
              </w:tabs>
              <w:rPr>
                <w:sz w:val="20"/>
                <w:szCs w:val="20"/>
                <w:lang w:val="uk-UA"/>
              </w:rPr>
            </w:pPr>
            <w:r w:rsidRPr="00C2587D">
              <w:rPr>
                <w:sz w:val="20"/>
                <w:szCs w:val="20"/>
                <w:lang w:val="uk-UA"/>
              </w:rPr>
              <w:t>Дорожня карта стійкої мобільності ЄС до 2050 р. передбачає впровадження принципу «від дверей до дверей» та комплексну реалізацію ко-модальності (мультимодальності) для вантажних, а також пасажирських послуг перевезень</w:t>
            </w:r>
            <w:r w:rsidRPr="00C2587D">
              <w:rPr>
                <w:b/>
                <w:sz w:val="20"/>
                <w:szCs w:val="20"/>
                <w:lang w:val="uk-UA"/>
              </w:rPr>
              <w:t xml:space="preserve">, </w:t>
            </w:r>
            <w:r w:rsidRPr="00C2587D">
              <w:rPr>
                <w:sz w:val="20"/>
                <w:szCs w:val="20"/>
                <w:lang w:val="uk-UA"/>
              </w:rPr>
              <w:t>що на практиці означає формування на великих залізничних вузлах панєвропейських залізничних транспортних коридорів мультимодальних транспортно-логістичних портів.</w:t>
            </w:r>
          </w:p>
          <w:p w14:paraId="087D9F25" w14:textId="77777777" w:rsidR="00552466" w:rsidRPr="00C2587D" w:rsidRDefault="00552466" w:rsidP="001C4BB5">
            <w:pPr>
              <w:tabs>
                <w:tab w:val="left" w:pos="285"/>
              </w:tabs>
              <w:jc w:val="both"/>
              <w:rPr>
                <w:rFonts w:cs="Arial"/>
                <w:sz w:val="20"/>
                <w:szCs w:val="20"/>
              </w:rPr>
            </w:pPr>
            <w:r w:rsidRPr="00C2587D">
              <w:rPr>
                <w:rFonts w:cs="Arial"/>
                <w:sz w:val="20"/>
                <w:szCs w:val="20"/>
              </w:rPr>
              <w:t>Національна транспортна стратегія України до 2030 року також передбачає:</w:t>
            </w:r>
          </w:p>
          <w:p w14:paraId="564F0AD5" w14:textId="77777777" w:rsidR="00552466" w:rsidRPr="00C2587D" w:rsidRDefault="00552466" w:rsidP="001C4BB5">
            <w:pPr>
              <w:numPr>
                <w:ilvl w:val="0"/>
                <w:numId w:val="11"/>
              </w:numPr>
              <w:tabs>
                <w:tab w:val="left" w:pos="285"/>
              </w:tabs>
              <w:ind w:left="0" w:firstLine="0"/>
              <w:jc w:val="both"/>
              <w:rPr>
                <w:rFonts w:cs="Arial"/>
                <w:sz w:val="20"/>
                <w:szCs w:val="20"/>
              </w:rPr>
            </w:pPr>
            <w:r w:rsidRPr="00C2587D">
              <w:rPr>
                <w:rFonts w:cs="Arial"/>
                <w:sz w:val="20"/>
                <w:szCs w:val="20"/>
              </w:rPr>
              <w:t xml:space="preserve">розвиток мультимодальних транспортних технологій та інфраструктурних комплексів під різні види транспорту, у тому числі в </w:t>
            </w:r>
            <w:r w:rsidRPr="00C2587D">
              <w:rPr>
                <w:rFonts w:cs="Arial"/>
                <w:bCs/>
                <w:sz w:val="20"/>
                <w:szCs w:val="20"/>
              </w:rPr>
              <w:t>комбінаціях «авіація – залізниця – авто», «вода – залізниця – авто»</w:t>
            </w:r>
            <w:r w:rsidRPr="00C2587D">
              <w:rPr>
                <w:rFonts w:cs="Arial"/>
                <w:sz w:val="20"/>
                <w:szCs w:val="20"/>
              </w:rPr>
              <w:t xml:space="preserve"> тощо;</w:t>
            </w:r>
          </w:p>
          <w:p w14:paraId="315F76A8" w14:textId="0AF62D2B" w:rsidR="00552466" w:rsidRPr="00C2587D" w:rsidRDefault="00552466" w:rsidP="001C4BB5">
            <w:pPr>
              <w:numPr>
                <w:ilvl w:val="0"/>
                <w:numId w:val="11"/>
              </w:numPr>
              <w:tabs>
                <w:tab w:val="left" w:pos="285"/>
              </w:tabs>
              <w:ind w:left="0" w:firstLine="0"/>
              <w:jc w:val="both"/>
              <w:rPr>
                <w:rFonts w:cs="Arial"/>
                <w:sz w:val="20"/>
                <w:szCs w:val="20"/>
              </w:rPr>
            </w:pPr>
            <w:r w:rsidRPr="00C2587D">
              <w:rPr>
                <w:rFonts w:cs="Arial"/>
                <w:sz w:val="20"/>
                <w:szCs w:val="20"/>
              </w:rPr>
              <w:t xml:space="preserve">створення </w:t>
            </w:r>
            <w:r w:rsidRPr="00C2587D">
              <w:rPr>
                <w:rFonts w:cs="Arial"/>
                <w:bCs/>
                <w:sz w:val="20"/>
                <w:szCs w:val="20"/>
              </w:rPr>
              <w:t>мережі маршрутів регулярних контейнерних/</w:t>
            </w:r>
            <w:r w:rsidR="001C4BB5">
              <w:rPr>
                <w:rFonts w:cs="Arial"/>
                <w:bCs/>
                <w:sz w:val="20"/>
                <w:szCs w:val="20"/>
              </w:rPr>
              <w:t xml:space="preserve"> </w:t>
            </w:r>
            <w:r w:rsidRPr="00C2587D">
              <w:rPr>
                <w:rFonts w:cs="Arial"/>
                <w:bCs/>
                <w:sz w:val="20"/>
                <w:szCs w:val="20"/>
              </w:rPr>
              <w:t>інтермодальних/</w:t>
            </w:r>
            <w:r w:rsidR="001C4BB5">
              <w:rPr>
                <w:rFonts w:cs="Arial"/>
                <w:bCs/>
                <w:sz w:val="20"/>
                <w:szCs w:val="20"/>
              </w:rPr>
              <w:t xml:space="preserve"> </w:t>
            </w:r>
            <w:r w:rsidRPr="00C2587D">
              <w:rPr>
                <w:rFonts w:cs="Arial"/>
                <w:bCs/>
                <w:sz w:val="20"/>
                <w:szCs w:val="20"/>
              </w:rPr>
              <w:t>мультимодальних вантажних поїздів, синхронізованих з поїздами країн ЄС</w:t>
            </w:r>
            <w:r w:rsidRPr="00C2587D">
              <w:rPr>
                <w:rFonts w:cs="Arial"/>
                <w:sz w:val="20"/>
                <w:szCs w:val="20"/>
              </w:rPr>
              <w:t>;</w:t>
            </w:r>
          </w:p>
          <w:p w14:paraId="3657C660" w14:textId="77777777" w:rsidR="00552466" w:rsidRPr="00C2587D" w:rsidRDefault="00552466" w:rsidP="001C4BB5">
            <w:pPr>
              <w:numPr>
                <w:ilvl w:val="0"/>
                <w:numId w:val="11"/>
              </w:numPr>
              <w:tabs>
                <w:tab w:val="left" w:pos="285"/>
              </w:tabs>
              <w:ind w:left="0" w:firstLine="0"/>
              <w:jc w:val="both"/>
              <w:rPr>
                <w:rFonts w:cs="Arial"/>
                <w:sz w:val="20"/>
                <w:szCs w:val="20"/>
              </w:rPr>
            </w:pPr>
            <w:r w:rsidRPr="00C2587D">
              <w:rPr>
                <w:rFonts w:cs="Arial"/>
                <w:sz w:val="20"/>
                <w:szCs w:val="20"/>
              </w:rPr>
              <w:t xml:space="preserve">створення </w:t>
            </w:r>
            <w:r w:rsidRPr="00C2587D">
              <w:rPr>
                <w:rFonts w:cs="Arial"/>
                <w:bCs/>
                <w:sz w:val="20"/>
                <w:szCs w:val="20"/>
              </w:rPr>
              <w:t>мережі мультимодальних транспортно-логістичних кластерів та базових логістичних центрів</w:t>
            </w:r>
            <w:r w:rsidRPr="00C2587D">
              <w:rPr>
                <w:rFonts w:cs="Arial"/>
                <w:sz w:val="20"/>
                <w:szCs w:val="20"/>
              </w:rPr>
              <w:t>, сухих портів, терміналів, спеціалізованих перевантажувальних комплексів, тощо;</w:t>
            </w:r>
          </w:p>
          <w:p w14:paraId="60622551" w14:textId="664E4236" w:rsidR="00552466" w:rsidRPr="00C2587D" w:rsidRDefault="00552466" w:rsidP="001C4BB5">
            <w:pPr>
              <w:pStyle w:val="a"/>
              <w:numPr>
                <w:ilvl w:val="0"/>
                <w:numId w:val="0"/>
              </w:numPr>
              <w:tabs>
                <w:tab w:val="left" w:pos="285"/>
              </w:tabs>
              <w:rPr>
                <w:sz w:val="20"/>
                <w:szCs w:val="20"/>
                <w:lang w:val="uk-UA"/>
              </w:rPr>
            </w:pPr>
            <w:r w:rsidRPr="00C2587D">
              <w:rPr>
                <w:sz w:val="20"/>
                <w:szCs w:val="20"/>
                <w:lang w:val="uk-UA"/>
              </w:rPr>
              <w:t>Вищезазначене дає право на ініціативу громади розпочати роботу з розроблення спільно з Мінінфрастуркту</w:t>
            </w:r>
            <w:r w:rsidR="001C4BB5">
              <w:rPr>
                <w:sz w:val="20"/>
                <w:szCs w:val="20"/>
                <w:lang w:val="uk-UA"/>
              </w:rPr>
              <w:t>ри, Укрзалізницею, Вінницькою ОВ</w:t>
            </w:r>
            <w:r w:rsidRPr="00C2587D">
              <w:rPr>
                <w:sz w:val="20"/>
                <w:szCs w:val="20"/>
                <w:lang w:val="uk-UA"/>
              </w:rPr>
              <w:t>А, іншими зацікавлени</w:t>
            </w:r>
            <w:r w:rsidR="007A71B7">
              <w:rPr>
                <w:sz w:val="20"/>
                <w:szCs w:val="20"/>
                <w:lang w:val="uk-UA"/>
              </w:rPr>
              <w:t>ми сторонами інвестиційного проє</w:t>
            </w:r>
            <w:r w:rsidRPr="00C2587D">
              <w:rPr>
                <w:sz w:val="20"/>
                <w:szCs w:val="20"/>
                <w:lang w:val="uk-UA"/>
              </w:rPr>
              <w:t>кту Міжнародний мультимодальний транспортно-логістичний порт «Жмеринка» на перетині панєвропейських залізничних транспортних коридорів №3, №5, та №9 в межах Південно-Західної залізниці в рамках Національної транспортної стратегії України до 2030 року.</w:t>
            </w:r>
          </w:p>
          <w:p w14:paraId="303E8977" w14:textId="6882F874" w:rsidR="00552466" w:rsidRPr="00C2587D" w:rsidRDefault="00552466" w:rsidP="001C4BB5">
            <w:pPr>
              <w:pStyle w:val="a"/>
              <w:numPr>
                <w:ilvl w:val="0"/>
                <w:numId w:val="0"/>
              </w:numPr>
              <w:tabs>
                <w:tab w:val="left" w:pos="285"/>
              </w:tabs>
              <w:rPr>
                <w:sz w:val="20"/>
                <w:szCs w:val="20"/>
                <w:lang w:val="uk-UA"/>
              </w:rPr>
            </w:pPr>
            <w:r w:rsidRPr="00C2587D">
              <w:rPr>
                <w:sz w:val="20"/>
                <w:szCs w:val="20"/>
                <w:lang w:val="uk-UA"/>
              </w:rPr>
              <w:t>На операційний період 2025-2028 роки Стратегії розвитку Жмеринської  МТГ до 2030 року першочерговим завданням є розроблення Концепції такого мультимодального транспортно-логістичного порту у м. Жмеринка. Враховуючи військовий стан спричинений агресією рф до</w:t>
            </w:r>
            <w:r w:rsidR="007A71B7">
              <w:rPr>
                <w:sz w:val="20"/>
                <w:szCs w:val="20"/>
                <w:lang w:val="uk-UA"/>
              </w:rPr>
              <w:t xml:space="preserve"> України початок реалізації проє</w:t>
            </w:r>
            <w:r w:rsidRPr="00C2587D">
              <w:rPr>
                <w:sz w:val="20"/>
                <w:szCs w:val="20"/>
                <w:lang w:val="uk-UA"/>
              </w:rPr>
              <w:t>кту може бути відтермінований до закінчення бойових</w:t>
            </w:r>
            <w:r w:rsidR="001C4BB5">
              <w:rPr>
                <w:sz w:val="20"/>
                <w:szCs w:val="20"/>
                <w:lang w:val="uk-UA"/>
              </w:rPr>
              <w:t xml:space="preserve"> дій</w:t>
            </w:r>
            <w:r w:rsidRPr="00C2587D">
              <w:rPr>
                <w:sz w:val="20"/>
                <w:szCs w:val="20"/>
                <w:lang w:val="uk-UA"/>
              </w:rPr>
              <w:t>. транспортно-логістична Інфраструктура в Україні буде відновлюватись, саме тому створення на території .Жмеринської МТГ транспортно логістичного центру може стати актуальним і своєчасним</w:t>
            </w:r>
          </w:p>
          <w:p w14:paraId="6A2C696D" w14:textId="3631BB4B" w:rsidR="00552466" w:rsidRPr="00C2587D" w:rsidRDefault="00314B9D" w:rsidP="001C4BB5">
            <w:pPr>
              <w:tabs>
                <w:tab w:val="left" w:pos="285"/>
              </w:tabs>
              <w:spacing w:before="40" w:after="40"/>
              <w:jc w:val="both"/>
              <w:rPr>
                <w:rFonts w:cs="Arial"/>
                <w:sz w:val="20"/>
                <w:szCs w:val="20"/>
                <w:lang w:eastAsia="it-IT"/>
              </w:rPr>
            </w:pPr>
            <w:r>
              <w:rPr>
                <w:rFonts w:cs="Arial"/>
                <w:sz w:val="20"/>
                <w:szCs w:val="20"/>
                <w:lang w:eastAsia="it-IT"/>
              </w:rPr>
              <w:t>Проєкт</w:t>
            </w:r>
            <w:r w:rsidR="00552466" w:rsidRPr="00C2587D">
              <w:rPr>
                <w:rFonts w:cs="Arial"/>
                <w:sz w:val="20"/>
                <w:szCs w:val="20"/>
                <w:lang w:eastAsia="it-IT"/>
              </w:rPr>
              <w:t xml:space="preserve"> передбачає:</w:t>
            </w:r>
          </w:p>
          <w:p w14:paraId="44D57A93" w14:textId="77777777" w:rsidR="00552466" w:rsidRPr="00C2587D" w:rsidRDefault="00552466" w:rsidP="001C4BB5">
            <w:pPr>
              <w:pStyle w:val="af4"/>
              <w:numPr>
                <w:ilvl w:val="0"/>
                <w:numId w:val="12"/>
              </w:numPr>
              <w:tabs>
                <w:tab w:val="left" w:pos="285"/>
              </w:tabs>
              <w:suppressAutoHyphens w:val="0"/>
              <w:spacing w:before="40" w:after="40" w:line="240" w:lineRule="auto"/>
              <w:ind w:left="0" w:firstLine="0"/>
              <w:contextualSpacing/>
              <w:jc w:val="both"/>
              <w:rPr>
                <w:rFonts w:ascii="Arial" w:hAnsi="Arial" w:cs="Arial"/>
                <w:sz w:val="20"/>
                <w:szCs w:val="20"/>
                <w:lang w:eastAsia="it-IT"/>
              </w:rPr>
            </w:pPr>
            <w:r w:rsidRPr="00C2587D">
              <w:rPr>
                <w:rFonts w:ascii="Arial" w:hAnsi="Arial" w:cs="Arial"/>
                <w:sz w:val="20"/>
                <w:szCs w:val="20"/>
                <w:lang w:eastAsia="it-IT"/>
              </w:rPr>
              <w:t>створення між інституційної консультаційної групи, до якої увійшли б представники Жмеринської міської ради, Вінницької ОВА, Мінінфрастурктури, Укрзалізниці, партнерів з ЄС, потенційних міжнародних інвесторів, інших зацікавлених інституцій та громадян;</w:t>
            </w:r>
          </w:p>
          <w:p w14:paraId="4CCC3C88" w14:textId="3E858030" w:rsidR="00552466" w:rsidRPr="00C2587D" w:rsidRDefault="00552466" w:rsidP="001C4BB5">
            <w:pPr>
              <w:pStyle w:val="af4"/>
              <w:numPr>
                <w:ilvl w:val="0"/>
                <w:numId w:val="12"/>
              </w:numPr>
              <w:tabs>
                <w:tab w:val="left" w:pos="285"/>
              </w:tabs>
              <w:suppressAutoHyphens w:val="0"/>
              <w:spacing w:before="40" w:after="40" w:line="240" w:lineRule="auto"/>
              <w:ind w:left="0" w:firstLine="0"/>
              <w:contextualSpacing/>
              <w:jc w:val="both"/>
              <w:rPr>
                <w:rFonts w:ascii="Arial" w:hAnsi="Arial" w:cs="Arial"/>
                <w:sz w:val="20"/>
                <w:szCs w:val="20"/>
                <w:lang w:eastAsia="it-IT"/>
              </w:rPr>
            </w:pPr>
            <w:r w:rsidRPr="00C2587D">
              <w:rPr>
                <w:rFonts w:ascii="Arial" w:hAnsi="Arial" w:cs="Arial"/>
                <w:sz w:val="20"/>
                <w:szCs w:val="20"/>
              </w:rPr>
              <w:t>створення Концепції про</w:t>
            </w:r>
            <w:r w:rsidR="007A71B7">
              <w:rPr>
                <w:rFonts w:ascii="Arial" w:hAnsi="Arial" w:cs="Arial"/>
                <w:sz w:val="20"/>
                <w:szCs w:val="20"/>
              </w:rPr>
              <w:t>є</w:t>
            </w:r>
            <w:r w:rsidRPr="00C2587D">
              <w:rPr>
                <w:rFonts w:ascii="Arial" w:hAnsi="Arial" w:cs="Arial"/>
                <w:sz w:val="20"/>
                <w:szCs w:val="20"/>
              </w:rPr>
              <w:t>кту мультимодальний транспортно-логістичний порт «Жмеринка»;</w:t>
            </w:r>
          </w:p>
          <w:p w14:paraId="523B1328" w14:textId="0DEBFBA7" w:rsidR="00552466" w:rsidRPr="00C2587D" w:rsidRDefault="00552466" w:rsidP="001C4BB5">
            <w:pPr>
              <w:pStyle w:val="af4"/>
              <w:numPr>
                <w:ilvl w:val="0"/>
                <w:numId w:val="12"/>
              </w:numPr>
              <w:tabs>
                <w:tab w:val="left" w:pos="285"/>
              </w:tabs>
              <w:suppressAutoHyphens w:val="0"/>
              <w:spacing w:before="40" w:after="40" w:line="240" w:lineRule="auto"/>
              <w:ind w:left="0" w:firstLine="0"/>
              <w:contextualSpacing/>
              <w:jc w:val="both"/>
              <w:rPr>
                <w:rFonts w:ascii="Arial" w:hAnsi="Arial" w:cs="Arial"/>
                <w:sz w:val="20"/>
                <w:szCs w:val="20"/>
                <w:lang w:eastAsia="it-IT"/>
              </w:rPr>
            </w:pPr>
            <w:r w:rsidRPr="00C2587D">
              <w:rPr>
                <w:rFonts w:ascii="Arial" w:hAnsi="Arial" w:cs="Arial"/>
                <w:sz w:val="20"/>
                <w:szCs w:val="20"/>
              </w:rPr>
              <w:t xml:space="preserve">поширення інформації про </w:t>
            </w:r>
            <w:r w:rsidRPr="00C2587D">
              <w:rPr>
                <w:rFonts w:ascii="Arial" w:hAnsi="Arial" w:cs="Arial"/>
                <w:sz w:val="20"/>
                <w:szCs w:val="20"/>
                <w:lang w:eastAsia="it-IT"/>
              </w:rPr>
              <w:t xml:space="preserve">ідею </w:t>
            </w:r>
            <w:r w:rsidRPr="00C2587D">
              <w:rPr>
                <w:rFonts w:ascii="Arial" w:hAnsi="Arial" w:cs="Arial"/>
                <w:sz w:val="20"/>
                <w:szCs w:val="20"/>
              </w:rPr>
              <w:t>та процес</w:t>
            </w:r>
            <w:r w:rsidR="007A71B7">
              <w:rPr>
                <w:rFonts w:ascii="Arial" w:hAnsi="Arial" w:cs="Arial"/>
                <w:sz w:val="20"/>
                <w:szCs w:val="20"/>
                <w:lang w:eastAsia="it-IT"/>
              </w:rPr>
              <w:t xml:space="preserve"> розроблення проє</w:t>
            </w:r>
            <w:r w:rsidRPr="00C2587D">
              <w:rPr>
                <w:rFonts w:ascii="Arial" w:hAnsi="Arial" w:cs="Arial"/>
                <w:sz w:val="20"/>
                <w:szCs w:val="20"/>
                <w:lang w:eastAsia="it-IT"/>
              </w:rPr>
              <w:t>кту транспортно-логістичного порту Жмеринка серед зацікавлених сторін та у ЗМІ.</w:t>
            </w:r>
          </w:p>
        </w:tc>
      </w:tr>
      <w:tr w:rsidR="00552466" w:rsidRPr="00C2587D" w14:paraId="3AA97C74" w14:textId="77777777" w:rsidTr="00672B8E">
        <w:trPr>
          <w:jc w:val="right"/>
        </w:trPr>
        <w:tc>
          <w:tcPr>
            <w:tcW w:w="3425" w:type="dxa"/>
            <w:shd w:val="clear" w:color="auto" w:fill="FFFFFF"/>
            <w:vAlign w:val="center"/>
          </w:tcPr>
          <w:p w14:paraId="1B4384F5" w14:textId="77777777" w:rsidR="00552466" w:rsidRPr="00C2587D" w:rsidRDefault="00552466" w:rsidP="00D7011A">
            <w:pPr>
              <w:rPr>
                <w:rFonts w:cs="Arial"/>
                <w:b/>
                <w:bCs/>
                <w:color w:val="000000"/>
                <w:sz w:val="20"/>
                <w:szCs w:val="20"/>
              </w:rPr>
            </w:pPr>
            <w:r w:rsidRPr="00C2587D">
              <w:rPr>
                <w:rFonts w:cs="Arial"/>
                <w:b/>
                <w:bCs/>
                <w:color w:val="000000"/>
                <w:sz w:val="20"/>
                <w:szCs w:val="20"/>
              </w:rPr>
              <w:t>Основні заходи проєкту</w:t>
            </w:r>
          </w:p>
        </w:tc>
        <w:tc>
          <w:tcPr>
            <w:tcW w:w="6498" w:type="dxa"/>
            <w:gridSpan w:val="9"/>
            <w:shd w:val="clear" w:color="auto" w:fill="FFFFFF"/>
          </w:tcPr>
          <w:p w14:paraId="08506813" w14:textId="00107E8E" w:rsidR="00552466" w:rsidRPr="00C2587D" w:rsidRDefault="00552466" w:rsidP="001C4BB5">
            <w:pPr>
              <w:pStyle w:val="af4"/>
              <w:tabs>
                <w:tab w:val="left" w:pos="285"/>
              </w:tabs>
              <w:suppressAutoHyphens w:val="0"/>
              <w:spacing w:before="40" w:after="40" w:line="240" w:lineRule="auto"/>
              <w:contextualSpacing/>
              <w:jc w:val="both"/>
              <w:rPr>
                <w:rFonts w:ascii="Arial" w:hAnsi="Arial" w:cs="Arial"/>
                <w:sz w:val="20"/>
                <w:szCs w:val="20"/>
                <w:lang w:eastAsia="it-IT"/>
              </w:rPr>
            </w:pPr>
            <w:r w:rsidRPr="00C2587D">
              <w:rPr>
                <w:rFonts w:ascii="Arial" w:hAnsi="Arial" w:cs="Arial"/>
                <w:sz w:val="20"/>
                <w:szCs w:val="20"/>
                <w:lang w:eastAsia="it-IT"/>
              </w:rPr>
              <w:t>1. Створення міжінституційної консультаційної групи з розроблен</w:t>
            </w:r>
            <w:r w:rsidR="007A71B7">
              <w:rPr>
                <w:rFonts w:ascii="Arial" w:hAnsi="Arial" w:cs="Arial"/>
                <w:sz w:val="20"/>
                <w:szCs w:val="20"/>
                <w:lang w:eastAsia="it-IT"/>
              </w:rPr>
              <w:t>ня Концепції інвестиційного проє</w:t>
            </w:r>
            <w:r w:rsidRPr="00C2587D">
              <w:rPr>
                <w:rFonts w:ascii="Arial" w:hAnsi="Arial" w:cs="Arial"/>
                <w:sz w:val="20"/>
                <w:szCs w:val="20"/>
                <w:lang w:eastAsia="it-IT"/>
              </w:rPr>
              <w:t xml:space="preserve">кту </w:t>
            </w:r>
            <w:r w:rsidRPr="00C2587D">
              <w:rPr>
                <w:rFonts w:ascii="Arial" w:hAnsi="Arial" w:cs="Arial"/>
                <w:sz w:val="20"/>
                <w:szCs w:val="20"/>
              </w:rPr>
              <w:t>мультимодальний транспортно-логістичний порт «Жмеринка»</w:t>
            </w:r>
          </w:p>
          <w:p w14:paraId="0FB555CE" w14:textId="3A74D916" w:rsidR="00552466" w:rsidRPr="00C2587D" w:rsidRDefault="00552466" w:rsidP="001C4BB5">
            <w:pPr>
              <w:tabs>
                <w:tab w:val="left" w:pos="285"/>
              </w:tabs>
              <w:spacing w:before="40" w:after="40"/>
              <w:contextualSpacing/>
              <w:jc w:val="both"/>
              <w:rPr>
                <w:rFonts w:cs="Arial"/>
                <w:sz w:val="20"/>
                <w:szCs w:val="20"/>
                <w:lang w:eastAsia="it-IT"/>
              </w:rPr>
            </w:pPr>
            <w:r w:rsidRPr="00C2587D">
              <w:rPr>
                <w:rFonts w:cs="Arial"/>
                <w:sz w:val="20"/>
                <w:szCs w:val="20"/>
              </w:rPr>
              <w:t>.</w:t>
            </w:r>
            <w:r w:rsidR="007A71B7">
              <w:rPr>
                <w:rFonts w:cs="Arial"/>
                <w:sz w:val="20"/>
                <w:szCs w:val="20"/>
              </w:rPr>
              <w:t>2. Включення інвестиційного проє</w:t>
            </w:r>
            <w:r w:rsidRPr="00C2587D">
              <w:rPr>
                <w:rFonts w:cs="Arial"/>
                <w:sz w:val="20"/>
                <w:szCs w:val="20"/>
              </w:rPr>
              <w:t xml:space="preserve">кту мультимодальний транспортно-логістичний порт «Жмеринка» до Плану реалізації Національної транспортної стратегії до 2030 року, а також до Плану реалізації. Стратегії збалансованого регіональної розвитку Вінницької області на період до 2027 року </w:t>
            </w:r>
          </w:p>
        </w:tc>
      </w:tr>
      <w:tr w:rsidR="00552466" w:rsidRPr="00C2587D" w14:paraId="3AE134E7" w14:textId="77777777" w:rsidTr="00672B8E">
        <w:trPr>
          <w:jc w:val="right"/>
        </w:trPr>
        <w:tc>
          <w:tcPr>
            <w:tcW w:w="3425" w:type="dxa"/>
            <w:shd w:val="clear" w:color="auto" w:fill="FFFFFF"/>
            <w:vAlign w:val="center"/>
          </w:tcPr>
          <w:p w14:paraId="131845F6" w14:textId="77777777" w:rsidR="00552466" w:rsidRPr="00C2587D" w:rsidRDefault="00552466" w:rsidP="00D7011A">
            <w:pPr>
              <w:rPr>
                <w:rFonts w:cs="Arial"/>
                <w:b/>
                <w:bCs/>
                <w:color w:val="000000"/>
                <w:sz w:val="20"/>
                <w:szCs w:val="20"/>
              </w:rPr>
            </w:pPr>
            <w:r w:rsidRPr="00C2587D">
              <w:rPr>
                <w:rFonts w:cs="Arial"/>
                <w:b/>
                <w:bCs/>
                <w:color w:val="000000"/>
                <w:sz w:val="20"/>
                <w:szCs w:val="20"/>
              </w:rPr>
              <w:t>Індикатори (показники) результативності</w:t>
            </w:r>
          </w:p>
        </w:tc>
        <w:tc>
          <w:tcPr>
            <w:tcW w:w="6498" w:type="dxa"/>
            <w:gridSpan w:val="9"/>
            <w:vAlign w:val="center"/>
          </w:tcPr>
          <w:p w14:paraId="25409D59" w14:textId="6503B7F0" w:rsidR="00552466" w:rsidRPr="00C2587D" w:rsidRDefault="00552466" w:rsidP="001C4BB5">
            <w:pPr>
              <w:jc w:val="both"/>
              <w:rPr>
                <w:rFonts w:cs="Arial"/>
                <w:sz w:val="20"/>
                <w:szCs w:val="20"/>
                <w:lang w:eastAsia="it-IT"/>
              </w:rPr>
            </w:pPr>
            <w:r w:rsidRPr="00C2587D">
              <w:rPr>
                <w:rFonts w:cs="Arial"/>
                <w:sz w:val="20"/>
                <w:szCs w:val="20"/>
                <w:lang w:eastAsia="it-IT"/>
              </w:rPr>
              <w:t>проведення спільних засідань консультаційної групи</w:t>
            </w:r>
            <w:r w:rsidR="007A71B7">
              <w:rPr>
                <w:rFonts w:cs="Arial"/>
                <w:sz w:val="20"/>
                <w:szCs w:val="20"/>
                <w:lang w:eastAsia="it-IT"/>
              </w:rPr>
              <w:t>, підготовка інвестиційного проє</w:t>
            </w:r>
            <w:r w:rsidRPr="00C2587D">
              <w:rPr>
                <w:rFonts w:cs="Arial"/>
                <w:sz w:val="20"/>
                <w:szCs w:val="20"/>
                <w:lang w:eastAsia="it-IT"/>
              </w:rPr>
              <w:t>кту, залучення бюджетного фінансування, іноземних інвестицій</w:t>
            </w:r>
          </w:p>
        </w:tc>
      </w:tr>
      <w:tr w:rsidR="00552466" w:rsidRPr="00C2587D" w14:paraId="6483DDE6" w14:textId="77777777" w:rsidTr="00672B8E">
        <w:trPr>
          <w:jc w:val="right"/>
        </w:trPr>
        <w:tc>
          <w:tcPr>
            <w:tcW w:w="3425" w:type="dxa"/>
            <w:shd w:val="clear" w:color="auto" w:fill="FFFFFF"/>
            <w:vAlign w:val="center"/>
          </w:tcPr>
          <w:p w14:paraId="6CB74606" w14:textId="77777777" w:rsidR="00552466" w:rsidRPr="00C2587D" w:rsidRDefault="00552466" w:rsidP="00D7011A">
            <w:pPr>
              <w:rPr>
                <w:rFonts w:cs="Arial"/>
                <w:b/>
                <w:color w:val="000000"/>
                <w:sz w:val="20"/>
                <w:szCs w:val="20"/>
              </w:rPr>
            </w:pPr>
            <w:r w:rsidRPr="00C2587D">
              <w:rPr>
                <w:rFonts w:cs="Arial"/>
                <w:b/>
                <w:color w:val="000000"/>
                <w:sz w:val="20"/>
                <w:szCs w:val="20"/>
              </w:rPr>
              <w:t xml:space="preserve">Період здійснення: </w:t>
            </w:r>
          </w:p>
        </w:tc>
        <w:tc>
          <w:tcPr>
            <w:tcW w:w="6498" w:type="dxa"/>
            <w:gridSpan w:val="9"/>
            <w:vAlign w:val="center"/>
          </w:tcPr>
          <w:p w14:paraId="4E0658A7" w14:textId="77777777" w:rsidR="00552466" w:rsidRPr="00C2587D" w:rsidRDefault="00552466" w:rsidP="001C4BB5">
            <w:pPr>
              <w:jc w:val="both"/>
              <w:rPr>
                <w:rFonts w:cs="Arial"/>
                <w:sz w:val="20"/>
                <w:szCs w:val="20"/>
                <w:lang w:eastAsia="it-IT"/>
              </w:rPr>
            </w:pPr>
            <w:r w:rsidRPr="00C2587D">
              <w:rPr>
                <w:rFonts w:cs="Arial"/>
                <w:b/>
                <w:sz w:val="20"/>
                <w:szCs w:val="20"/>
              </w:rPr>
              <w:t>2025 – 2028 роки:</w:t>
            </w:r>
          </w:p>
        </w:tc>
      </w:tr>
      <w:tr w:rsidR="00552466" w:rsidRPr="00C2587D" w14:paraId="77F9B088" w14:textId="77777777" w:rsidTr="00672B8E">
        <w:trPr>
          <w:jc w:val="right"/>
        </w:trPr>
        <w:tc>
          <w:tcPr>
            <w:tcW w:w="3425" w:type="dxa"/>
            <w:vMerge w:val="restart"/>
            <w:shd w:val="clear" w:color="auto" w:fill="FFFFFF"/>
            <w:vAlign w:val="center"/>
          </w:tcPr>
          <w:p w14:paraId="31E4BB97" w14:textId="4EE1CFB4" w:rsidR="00552466" w:rsidRPr="00C2587D" w:rsidRDefault="00BD64BB" w:rsidP="00D7011A">
            <w:pPr>
              <w:rPr>
                <w:rFonts w:cs="Arial"/>
                <w:b/>
                <w:bCs/>
                <w:color w:val="000000"/>
                <w:sz w:val="20"/>
                <w:szCs w:val="20"/>
              </w:rPr>
            </w:pPr>
            <w:r>
              <w:rPr>
                <w:rFonts w:cs="Arial"/>
                <w:b/>
                <w:bCs/>
                <w:color w:val="000000"/>
                <w:sz w:val="20"/>
                <w:szCs w:val="20"/>
              </w:rPr>
              <w:t>Орієнтовна вартість проє</w:t>
            </w:r>
            <w:r w:rsidR="00552466" w:rsidRPr="00C2587D">
              <w:rPr>
                <w:rFonts w:cs="Arial"/>
                <w:b/>
                <w:bCs/>
                <w:color w:val="000000"/>
                <w:sz w:val="20"/>
                <w:szCs w:val="20"/>
              </w:rPr>
              <w:t>кту, тис. грн., тому числі:</w:t>
            </w:r>
          </w:p>
        </w:tc>
        <w:tc>
          <w:tcPr>
            <w:tcW w:w="1254" w:type="dxa"/>
            <w:shd w:val="clear" w:color="auto" w:fill="E6E6E6"/>
            <w:vAlign w:val="center"/>
          </w:tcPr>
          <w:p w14:paraId="2EFD4D13" w14:textId="77777777" w:rsidR="00552466" w:rsidRPr="00C2587D" w:rsidRDefault="00552466" w:rsidP="001C4BB5">
            <w:pPr>
              <w:jc w:val="center"/>
              <w:rPr>
                <w:rFonts w:cs="Arial"/>
                <w:b/>
                <w:sz w:val="20"/>
                <w:szCs w:val="20"/>
                <w:lang w:eastAsia="it-IT"/>
              </w:rPr>
            </w:pPr>
            <w:r w:rsidRPr="00C2587D">
              <w:rPr>
                <w:rFonts w:cs="Arial"/>
                <w:b/>
                <w:sz w:val="20"/>
                <w:szCs w:val="20"/>
                <w:lang w:eastAsia="it-IT"/>
              </w:rPr>
              <w:t>2025</w:t>
            </w:r>
          </w:p>
        </w:tc>
        <w:tc>
          <w:tcPr>
            <w:tcW w:w="1417" w:type="dxa"/>
            <w:gridSpan w:val="3"/>
            <w:shd w:val="clear" w:color="auto" w:fill="E6E6E6"/>
            <w:vAlign w:val="center"/>
          </w:tcPr>
          <w:p w14:paraId="468294BD" w14:textId="77777777" w:rsidR="00552466" w:rsidRPr="00C2587D" w:rsidRDefault="00552466" w:rsidP="001C4BB5">
            <w:pPr>
              <w:jc w:val="center"/>
              <w:rPr>
                <w:rFonts w:cs="Arial"/>
                <w:b/>
                <w:sz w:val="20"/>
                <w:szCs w:val="20"/>
                <w:lang w:eastAsia="it-IT"/>
              </w:rPr>
            </w:pPr>
            <w:r w:rsidRPr="00C2587D">
              <w:rPr>
                <w:rFonts w:cs="Arial"/>
                <w:b/>
                <w:sz w:val="20"/>
                <w:szCs w:val="20"/>
                <w:lang w:eastAsia="it-IT"/>
              </w:rPr>
              <w:t>2026</w:t>
            </w:r>
          </w:p>
        </w:tc>
        <w:tc>
          <w:tcPr>
            <w:tcW w:w="1418" w:type="dxa"/>
            <w:tcBorders>
              <w:bottom w:val="single" w:sz="4" w:space="0" w:color="auto"/>
            </w:tcBorders>
            <w:shd w:val="clear" w:color="auto" w:fill="E6E6E6"/>
            <w:vAlign w:val="center"/>
          </w:tcPr>
          <w:p w14:paraId="1A90F167" w14:textId="77777777" w:rsidR="00552466" w:rsidRPr="00C2587D" w:rsidRDefault="00552466" w:rsidP="001C4BB5">
            <w:pPr>
              <w:jc w:val="center"/>
              <w:rPr>
                <w:rFonts w:cs="Arial"/>
                <w:b/>
                <w:sz w:val="20"/>
                <w:szCs w:val="20"/>
                <w:lang w:eastAsia="it-IT"/>
              </w:rPr>
            </w:pPr>
            <w:r w:rsidRPr="00C2587D">
              <w:rPr>
                <w:rFonts w:cs="Arial"/>
                <w:b/>
                <w:sz w:val="20"/>
                <w:szCs w:val="20"/>
                <w:lang w:eastAsia="it-IT"/>
              </w:rPr>
              <w:t>2027</w:t>
            </w:r>
          </w:p>
        </w:tc>
        <w:tc>
          <w:tcPr>
            <w:tcW w:w="1275" w:type="dxa"/>
            <w:gridSpan w:val="2"/>
            <w:shd w:val="clear" w:color="auto" w:fill="E6E6E6"/>
            <w:vAlign w:val="center"/>
          </w:tcPr>
          <w:p w14:paraId="4589AE9F" w14:textId="77777777" w:rsidR="00552466" w:rsidRPr="00C2587D" w:rsidRDefault="00552466" w:rsidP="001C4BB5">
            <w:pPr>
              <w:jc w:val="center"/>
              <w:rPr>
                <w:rFonts w:cs="Arial"/>
                <w:b/>
                <w:sz w:val="20"/>
                <w:szCs w:val="20"/>
                <w:lang w:eastAsia="it-IT"/>
              </w:rPr>
            </w:pPr>
            <w:r w:rsidRPr="00C2587D">
              <w:rPr>
                <w:rFonts w:cs="Arial"/>
                <w:b/>
                <w:sz w:val="20"/>
                <w:szCs w:val="20"/>
                <w:lang w:eastAsia="it-IT"/>
              </w:rPr>
              <w:t>2028</w:t>
            </w:r>
          </w:p>
        </w:tc>
        <w:tc>
          <w:tcPr>
            <w:tcW w:w="1134" w:type="dxa"/>
            <w:gridSpan w:val="2"/>
            <w:shd w:val="clear" w:color="auto" w:fill="E6E6E6"/>
            <w:vAlign w:val="center"/>
          </w:tcPr>
          <w:p w14:paraId="4DFCD810" w14:textId="77777777" w:rsidR="00552466" w:rsidRPr="00C2587D" w:rsidRDefault="00552466" w:rsidP="001C4BB5">
            <w:pPr>
              <w:jc w:val="center"/>
              <w:rPr>
                <w:rFonts w:cs="Arial"/>
                <w:b/>
                <w:sz w:val="20"/>
                <w:szCs w:val="20"/>
                <w:lang w:eastAsia="it-IT"/>
              </w:rPr>
            </w:pPr>
            <w:r w:rsidRPr="00C2587D">
              <w:rPr>
                <w:rFonts w:cs="Arial"/>
                <w:b/>
                <w:sz w:val="20"/>
                <w:szCs w:val="20"/>
                <w:lang w:eastAsia="it-IT"/>
              </w:rPr>
              <w:t>Разом</w:t>
            </w:r>
          </w:p>
        </w:tc>
      </w:tr>
      <w:tr w:rsidR="00552466" w:rsidRPr="00C2587D" w14:paraId="412DDE51" w14:textId="77777777" w:rsidTr="00672B8E">
        <w:trPr>
          <w:jc w:val="right"/>
        </w:trPr>
        <w:tc>
          <w:tcPr>
            <w:tcW w:w="3425" w:type="dxa"/>
            <w:vMerge/>
            <w:shd w:val="clear" w:color="auto" w:fill="FFFFFF"/>
            <w:vAlign w:val="center"/>
          </w:tcPr>
          <w:p w14:paraId="40F63FA0" w14:textId="77777777" w:rsidR="00552466" w:rsidRPr="00C2587D" w:rsidRDefault="00552466" w:rsidP="00D7011A">
            <w:pPr>
              <w:rPr>
                <w:rFonts w:cs="Arial"/>
                <w:b/>
                <w:bCs/>
                <w:color w:val="000000"/>
                <w:sz w:val="20"/>
                <w:szCs w:val="20"/>
              </w:rPr>
            </w:pPr>
          </w:p>
        </w:tc>
        <w:tc>
          <w:tcPr>
            <w:tcW w:w="1254" w:type="dxa"/>
            <w:vAlign w:val="center"/>
          </w:tcPr>
          <w:p w14:paraId="41F3BE75" w14:textId="77777777" w:rsidR="00552466" w:rsidRPr="00C2587D" w:rsidRDefault="00552466" w:rsidP="001C4BB5">
            <w:pPr>
              <w:jc w:val="center"/>
              <w:rPr>
                <w:rFonts w:cs="Arial"/>
                <w:b/>
                <w:sz w:val="20"/>
                <w:szCs w:val="20"/>
                <w:lang w:eastAsia="it-IT"/>
              </w:rPr>
            </w:pPr>
          </w:p>
        </w:tc>
        <w:tc>
          <w:tcPr>
            <w:tcW w:w="1417" w:type="dxa"/>
            <w:gridSpan w:val="3"/>
            <w:shd w:val="clear" w:color="auto" w:fill="FFFFFF"/>
            <w:vAlign w:val="center"/>
          </w:tcPr>
          <w:p w14:paraId="3EDE6678" w14:textId="77777777" w:rsidR="00552466" w:rsidRPr="00C2587D" w:rsidRDefault="00552466" w:rsidP="001C4BB5">
            <w:pPr>
              <w:jc w:val="center"/>
              <w:rPr>
                <w:rFonts w:cs="Arial"/>
                <w:b/>
                <w:sz w:val="20"/>
                <w:szCs w:val="20"/>
                <w:lang w:eastAsia="it-IT"/>
              </w:rPr>
            </w:pPr>
          </w:p>
        </w:tc>
        <w:tc>
          <w:tcPr>
            <w:tcW w:w="1418" w:type="dxa"/>
            <w:shd w:val="clear" w:color="auto" w:fill="auto"/>
            <w:vAlign w:val="center"/>
          </w:tcPr>
          <w:p w14:paraId="750DECDF" w14:textId="77777777" w:rsidR="00552466" w:rsidRPr="00C2587D" w:rsidRDefault="00552466" w:rsidP="001C4BB5">
            <w:pPr>
              <w:jc w:val="center"/>
              <w:rPr>
                <w:rFonts w:cs="Arial"/>
                <w:b/>
                <w:sz w:val="20"/>
                <w:szCs w:val="20"/>
                <w:lang w:eastAsia="it-IT"/>
              </w:rPr>
            </w:pPr>
            <w:r w:rsidRPr="00C2587D">
              <w:rPr>
                <w:rFonts w:cs="Arial"/>
                <w:b/>
                <w:sz w:val="20"/>
                <w:szCs w:val="20"/>
                <w:lang w:eastAsia="it-IT"/>
              </w:rPr>
              <w:t>100,0</w:t>
            </w:r>
          </w:p>
        </w:tc>
        <w:tc>
          <w:tcPr>
            <w:tcW w:w="1275" w:type="dxa"/>
            <w:gridSpan w:val="2"/>
            <w:shd w:val="clear" w:color="auto" w:fill="FFFFFF"/>
            <w:vAlign w:val="center"/>
          </w:tcPr>
          <w:p w14:paraId="32451AB4" w14:textId="77777777" w:rsidR="00552466" w:rsidRPr="00C2587D" w:rsidRDefault="00552466" w:rsidP="001C4BB5">
            <w:pPr>
              <w:jc w:val="center"/>
              <w:rPr>
                <w:rFonts w:cs="Arial"/>
                <w:b/>
                <w:sz w:val="20"/>
                <w:szCs w:val="20"/>
                <w:lang w:eastAsia="it-IT"/>
              </w:rPr>
            </w:pPr>
            <w:r w:rsidRPr="00C2587D">
              <w:rPr>
                <w:rFonts w:cs="Arial"/>
                <w:b/>
                <w:sz w:val="20"/>
                <w:szCs w:val="20"/>
                <w:lang w:eastAsia="it-IT"/>
              </w:rPr>
              <w:t>100,0</w:t>
            </w:r>
          </w:p>
        </w:tc>
        <w:tc>
          <w:tcPr>
            <w:tcW w:w="1134" w:type="dxa"/>
            <w:gridSpan w:val="2"/>
            <w:shd w:val="clear" w:color="auto" w:fill="FFFFFF"/>
            <w:vAlign w:val="center"/>
          </w:tcPr>
          <w:p w14:paraId="201E3041" w14:textId="77777777" w:rsidR="00552466" w:rsidRPr="00C2587D" w:rsidRDefault="00552466" w:rsidP="001C4BB5">
            <w:pPr>
              <w:jc w:val="center"/>
              <w:rPr>
                <w:rFonts w:cs="Arial"/>
                <w:b/>
                <w:sz w:val="20"/>
                <w:szCs w:val="20"/>
                <w:lang w:eastAsia="it-IT"/>
              </w:rPr>
            </w:pPr>
            <w:r w:rsidRPr="00C2587D">
              <w:rPr>
                <w:rFonts w:cs="Arial"/>
                <w:b/>
                <w:sz w:val="20"/>
                <w:szCs w:val="20"/>
                <w:lang w:eastAsia="it-IT"/>
              </w:rPr>
              <w:t>200,0</w:t>
            </w:r>
          </w:p>
        </w:tc>
      </w:tr>
      <w:tr w:rsidR="00552466" w:rsidRPr="00C2587D" w14:paraId="13DA018D" w14:textId="77777777" w:rsidTr="00672B8E">
        <w:trPr>
          <w:trHeight w:val="206"/>
          <w:jc w:val="right"/>
        </w:trPr>
        <w:tc>
          <w:tcPr>
            <w:tcW w:w="3425" w:type="dxa"/>
            <w:shd w:val="clear" w:color="auto" w:fill="FFFFFF"/>
            <w:vAlign w:val="center"/>
          </w:tcPr>
          <w:p w14:paraId="17B6A5D1" w14:textId="77777777" w:rsidR="00552466" w:rsidRPr="00C2587D" w:rsidRDefault="00552466" w:rsidP="00D7011A">
            <w:pPr>
              <w:rPr>
                <w:rFonts w:cs="Arial"/>
                <w:b/>
                <w:bCs/>
                <w:color w:val="000000"/>
                <w:sz w:val="20"/>
                <w:szCs w:val="20"/>
              </w:rPr>
            </w:pPr>
            <w:r w:rsidRPr="00C2587D">
              <w:rPr>
                <w:rFonts w:cs="Arial"/>
                <w:b/>
                <w:bCs/>
                <w:color w:val="000000"/>
                <w:sz w:val="20"/>
                <w:szCs w:val="20"/>
              </w:rPr>
              <w:t>по джерелах фінансування:</w:t>
            </w:r>
          </w:p>
        </w:tc>
        <w:tc>
          <w:tcPr>
            <w:tcW w:w="6498" w:type="dxa"/>
            <w:gridSpan w:val="9"/>
            <w:vAlign w:val="center"/>
          </w:tcPr>
          <w:p w14:paraId="5503F4FA" w14:textId="77777777" w:rsidR="00552466" w:rsidRPr="00C2587D" w:rsidRDefault="00552466" w:rsidP="001C4BB5">
            <w:pPr>
              <w:jc w:val="center"/>
              <w:rPr>
                <w:rFonts w:cs="Arial"/>
                <w:sz w:val="20"/>
                <w:szCs w:val="20"/>
                <w:lang w:eastAsia="it-IT"/>
              </w:rPr>
            </w:pPr>
          </w:p>
        </w:tc>
      </w:tr>
      <w:tr w:rsidR="00552466" w:rsidRPr="00C2587D" w14:paraId="1159950C" w14:textId="77777777" w:rsidTr="00672B8E">
        <w:trPr>
          <w:trHeight w:val="285"/>
          <w:jc w:val="right"/>
        </w:trPr>
        <w:tc>
          <w:tcPr>
            <w:tcW w:w="3425" w:type="dxa"/>
            <w:shd w:val="clear" w:color="auto" w:fill="FFFFFF"/>
            <w:vAlign w:val="center"/>
          </w:tcPr>
          <w:p w14:paraId="2D7A32D3" w14:textId="77777777" w:rsidR="00552466" w:rsidRPr="00C2587D" w:rsidRDefault="00552466" w:rsidP="00C84EFB">
            <w:pPr>
              <w:rPr>
                <w:rFonts w:cs="Arial"/>
                <w:b/>
                <w:bCs/>
                <w:color w:val="000000"/>
                <w:sz w:val="20"/>
                <w:szCs w:val="20"/>
              </w:rPr>
            </w:pPr>
            <w:r w:rsidRPr="00C2587D">
              <w:rPr>
                <w:rFonts w:cs="Arial"/>
                <w:color w:val="000000"/>
                <w:sz w:val="20"/>
                <w:szCs w:val="20"/>
              </w:rPr>
              <w:t>-державний бюджет;</w:t>
            </w:r>
          </w:p>
        </w:tc>
        <w:tc>
          <w:tcPr>
            <w:tcW w:w="1260" w:type="dxa"/>
            <w:gridSpan w:val="2"/>
            <w:vAlign w:val="center"/>
          </w:tcPr>
          <w:p w14:paraId="43FC8FC2" w14:textId="77777777" w:rsidR="00552466" w:rsidRPr="00C2587D" w:rsidRDefault="00552466" w:rsidP="001C4BB5">
            <w:pPr>
              <w:jc w:val="center"/>
              <w:rPr>
                <w:rFonts w:cs="Arial"/>
                <w:sz w:val="20"/>
                <w:szCs w:val="20"/>
                <w:lang w:eastAsia="it-IT"/>
              </w:rPr>
            </w:pPr>
          </w:p>
        </w:tc>
        <w:tc>
          <w:tcPr>
            <w:tcW w:w="1350" w:type="dxa"/>
            <w:vAlign w:val="center"/>
          </w:tcPr>
          <w:p w14:paraId="4B23EDC7" w14:textId="77777777" w:rsidR="00552466" w:rsidRPr="00C2587D" w:rsidRDefault="00552466" w:rsidP="001C4BB5">
            <w:pPr>
              <w:jc w:val="center"/>
              <w:rPr>
                <w:rFonts w:cs="Arial"/>
                <w:sz w:val="20"/>
                <w:szCs w:val="20"/>
                <w:lang w:eastAsia="it-IT"/>
              </w:rPr>
            </w:pPr>
          </w:p>
        </w:tc>
        <w:tc>
          <w:tcPr>
            <w:tcW w:w="1515" w:type="dxa"/>
            <w:gridSpan w:val="3"/>
            <w:vAlign w:val="center"/>
          </w:tcPr>
          <w:p w14:paraId="3C65BF23" w14:textId="77777777" w:rsidR="00552466" w:rsidRPr="00C2587D" w:rsidRDefault="00552466" w:rsidP="001C4BB5">
            <w:pPr>
              <w:jc w:val="center"/>
              <w:rPr>
                <w:rFonts w:cs="Arial"/>
                <w:sz w:val="20"/>
                <w:szCs w:val="20"/>
                <w:lang w:eastAsia="it-IT"/>
              </w:rPr>
            </w:pPr>
          </w:p>
        </w:tc>
        <w:tc>
          <w:tcPr>
            <w:tcW w:w="1245" w:type="dxa"/>
            <w:gridSpan w:val="2"/>
            <w:vAlign w:val="center"/>
          </w:tcPr>
          <w:p w14:paraId="2662855F" w14:textId="77777777" w:rsidR="00552466" w:rsidRPr="00C2587D" w:rsidRDefault="00552466" w:rsidP="001C4BB5">
            <w:pPr>
              <w:jc w:val="center"/>
              <w:rPr>
                <w:rFonts w:cs="Arial"/>
                <w:sz w:val="20"/>
                <w:szCs w:val="20"/>
                <w:lang w:eastAsia="it-IT"/>
              </w:rPr>
            </w:pPr>
          </w:p>
        </w:tc>
        <w:tc>
          <w:tcPr>
            <w:tcW w:w="1128" w:type="dxa"/>
            <w:vAlign w:val="center"/>
          </w:tcPr>
          <w:p w14:paraId="2CA35751" w14:textId="77777777" w:rsidR="00552466" w:rsidRPr="00C2587D" w:rsidRDefault="00552466" w:rsidP="001C4BB5">
            <w:pPr>
              <w:jc w:val="center"/>
              <w:rPr>
                <w:rFonts w:cs="Arial"/>
                <w:sz w:val="20"/>
                <w:szCs w:val="20"/>
                <w:lang w:eastAsia="it-IT"/>
              </w:rPr>
            </w:pPr>
          </w:p>
        </w:tc>
      </w:tr>
      <w:tr w:rsidR="00552466" w:rsidRPr="00C2587D" w14:paraId="56A49B4A" w14:textId="77777777" w:rsidTr="00672B8E">
        <w:trPr>
          <w:trHeight w:val="315"/>
          <w:jc w:val="right"/>
        </w:trPr>
        <w:tc>
          <w:tcPr>
            <w:tcW w:w="3425" w:type="dxa"/>
            <w:shd w:val="clear" w:color="auto" w:fill="FFFFFF"/>
            <w:vAlign w:val="center"/>
          </w:tcPr>
          <w:p w14:paraId="34B79FF0" w14:textId="77777777" w:rsidR="00552466" w:rsidRPr="00C2587D" w:rsidRDefault="00552466" w:rsidP="00D7011A">
            <w:pPr>
              <w:rPr>
                <w:rFonts w:cs="Arial"/>
                <w:b/>
                <w:bCs/>
                <w:color w:val="000000"/>
                <w:sz w:val="20"/>
                <w:szCs w:val="20"/>
              </w:rPr>
            </w:pPr>
            <w:r w:rsidRPr="00C2587D">
              <w:rPr>
                <w:rFonts w:cs="Arial"/>
                <w:color w:val="000000"/>
                <w:sz w:val="20"/>
                <w:szCs w:val="20"/>
              </w:rPr>
              <w:t>-обласний бюджет;</w:t>
            </w:r>
          </w:p>
        </w:tc>
        <w:tc>
          <w:tcPr>
            <w:tcW w:w="1260" w:type="dxa"/>
            <w:gridSpan w:val="2"/>
            <w:vAlign w:val="center"/>
          </w:tcPr>
          <w:p w14:paraId="037F84F8" w14:textId="77777777" w:rsidR="00552466" w:rsidRPr="00C2587D" w:rsidRDefault="00552466" w:rsidP="001C4BB5">
            <w:pPr>
              <w:jc w:val="center"/>
              <w:rPr>
                <w:rFonts w:cs="Arial"/>
                <w:sz w:val="20"/>
                <w:szCs w:val="20"/>
                <w:lang w:eastAsia="it-IT"/>
              </w:rPr>
            </w:pPr>
          </w:p>
        </w:tc>
        <w:tc>
          <w:tcPr>
            <w:tcW w:w="1350" w:type="dxa"/>
            <w:vAlign w:val="center"/>
          </w:tcPr>
          <w:p w14:paraId="4E1CDC35" w14:textId="77777777" w:rsidR="00552466" w:rsidRPr="00C2587D" w:rsidRDefault="00552466" w:rsidP="001C4BB5">
            <w:pPr>
              <w:jc w:val="center"/>
              <w:rPr>
                <w:rFonts w:cs="Arial"/>
                <w:sz w:val="20"/>
                <w:szCs w:val="20"/>
                <w:lang w:eastAsia="it-IT"/>
              </w:rPr>
            </w:pPr>
          </w:p>
        </w:tc>
        <w:tc>
          <w:tcPr>
            <w:tcW w:w="1515" w:type="dxa"/>
            <w:gridSpan w:val="3"/>
            <w:vAlign w:val="center"/>
          </w:tcPr>
          <w:p w14:paraId="4438CD59" w14:textId="77777777" w:rsidR="00552466" w:rsidRPr="00C2587D" w:rsidRDefault="00552466" w:rsidP="001C4BB5">
            <w:pPr>
              <w:jc w:val="center"/>
              <w:rPr>
                <w:rFonts w:cs="Arial"/>
                <w:sz w:val="20"/>
                <w:szCs w:val="20"/>
                <w:lang w:eastAsia="it-IT"/>
              </w:rPr>
            </w:pPr>
          </w:p>
        </w:tc>
        <w:tc>
          <w:tcPr>
            <w:tcW w:w="1245" w:type="dxa"/>
            <w:gridSpan w:val="2"/>
            <w:vAlign w:val="center"/>
          </w:tcPr>
          <w:p w14:paraId="522A9EFB" w14:textId="77777777" w:rsidR="00552466" w:rsidRPr="00C2587D" w:rsidRDefault="00552466" w:rsidP="001C4BB5">
            <w:pPr>
              <w:jc w:val="center"/>
              <w:rPr>
                <w:rFonts w:cs="Arial"/>
                <w:sz w:val="20"/>
                <w:szCs w:val="20"/>
                <w:lang w:eastAsia="it-IT"/>
              </w:rPr>
            </w:pPr>
          </w:p>
        </w:tc>
        <w:tc>
          <w:tcPr>
            <w:tcW w:w="1128" w:type="dxa"/>
            <w:vAlign w:val="center"/>
          </w:tcPr>
          <w:p w14:paraId="4821E03F" w14:textId="77777777" w:rsidR="00552466" w:rsidRPr="00C2587D" w:rsidRDefault="00552466" w:rsidP="001C4BB5">
            <w:pPr>
              <w:jc w:val="center"/>
              <w:rPr>
                <w:rFonts w:cs="Arial"/>
                <w:sz w:val="20"/>
                <w:szCs w:val="20"/>
                <w:lang w:eastAsia="it-IT"/>
              </w:rPr>
            </w:pPr>
          </w:p>
        </w:tc>
      </w:tr>
      <w:tr w:rsidR="00552466" w:rsidRPr="00C2587D" w14:paraId="74CDB844" w14:textId="77777777" w:rsidTr="00672B8E">
        <w:trPr>
          <w:trHeight w:val="240"/>
          <w:jc w:val="right"/>
        </w:trPr>
        <w:tc>
          <w:tcPr>
            <w:tcW w:w="3425" w:type="dxa"/>
            <w:shd w:val="clear" w:color="auto" w:fill="FFFFFF"/>
            <w:vAlign w:val="center"/>
          </w:tcPr>
          <w:p w14:paraId="03E64DE3" w14:textId="77777777" w:rsidR="00552466" w:rsidRPr="00C2587D" w:rsidRDefault="00552466" w:rsidP="00D7011A">
            <w:pPr>
              <w:rPr>
                <w:rFonts w:cs="Arial"/>
                <w:color w:val="000000"/>
                <w:sz w:val="20"/>
                <w:szCs w:val="20"/>
              </w:rPr>
            </w:pPr>
            <w:r w:rsidRPr="00C2587D">
              <w:rPr>
                <w:rFonts w:cs="Arial"/>
                <w:color w:val="000000"/>
                <w:sz w:val="20"/>
                <w:szCs w:val="20"/>
              </w:rPr>
              <w:t xml:space="preserve">-бюджет Жмеринської МТГ; </w:t>
            </w:r>
          </w:p>
        </w:tc>
        <w:tc>
          <w:tcPr>
            <w:tcW w:w="1260" w:type="dxa"/>
            <w:gridSpan w:val="2"/>
            <w:vAlign w:val="center"/>
          </w:tcPr>
          <w:p w14:paraId="3546B570" w14:textId="77777777" w:rsidR="00552466" w:rsidRPr="00C2587D" w:rsidRDefault="00552466" w:rsidP="001C4BB5">
            <w:pPr>
              <w:jc w:val="center"/>
              <w:rPr>
                <w:rFonts w:cs="Arial"/>
                <w:sz w:val="20"/>
                <w:szCs w:val="20"/>
                <w:lang w:eastAsia="it-IT"/>
              </w:rPr>
            </w:pPr>
          </w:p>
        </w:tc>
        <w:tc>
          <w:tcPr>
            <w:tcW w:w="1350" w:type="dxa"/>
            <w:vAlign w:val="center"/>
          </w:tcPr>
          <w:p w14:paraId="74AB5776" w14:textId="77777777" w:rsidR="00552466" w:rsidRPr="00C2587D" w:rsidRDefault="00552466" w:rsidP="001C4BB5">
            <w:pPr>
              <w:jc w:val="center"/>
              <w:rPr>
                <w:rFonts w:cs="Arial"/>
                <w:sz w:val="20"/>
                <w:szCs w:val="20"/>
                <w:lang w:eastAsia="it-IT"/>
              </w:rPr>
            </w:pPr>
          </w:p>
        </w:tc>
        <w:tc>
          <w:tcPr>
            <w:tcW w:w="1515" w:type="dxa"/>
            <w:gridSpan w:val="3"/>
            <w:vAlign w:val="center"/>
          </w:tcPr>
          <w:p w14:paraId="6C473889" w14:textId="77777777" w:rsidR="00552466" w:rsidRPr="00C2587D" w:rsidRDefault="00552466" w:rsidP="001C4BB5">
            <w:pPr>
              <w:jc w:val="center"/>
              <w:rPr>
                <w:rFonts w:cs="Arial"/>
                <w:sz w:val="20"/>
                <w:szCs w:val="20"/>
                <w:lang w:eastAsia="it-IT"/>
              </w:rPr>
            </w:pPr>
          </w:p>
        </w:tc>
        <w:tc>
          <w:tcPr>
            <w:tcW w:w="1245" w:type="dxa"/>
            <w:gridSpan w:val="2"/>
            <w:vAlign w:val="center"/>
          </w:tcPr>
          <w:p w14:paraId="0350C48D" w14:textId="77777777" w:rsidR="00552466" w:rsidRPr="00C2587D" w:rsidRDefault="00552466" w:rsidP="001C4BB5">
            <w:pPr>
              <w:jc w:val="center"/>
              <w:rPr>
                <w:rFonts w:cs="Arial"/>
                <w:sz w:val="20"/>
                <w:szCs w:val="20"/>
                <w:lang w:eastAsia="it-IT"/>
              </w:rPr>
            </w:pPr>
          </w:p>
        </w:tc>
        <w:tc>
          <w:tcPr>
            <w:tcW w:w="1128" w:type="dxa"/>
            <w:vAlign w:val="center"/>
          </w:tcPr>
          <w:p w14:paraId="4C911489" w14:textId="77777777" w:rsidR="00552466" w:rsidRPr="00C2587D" w:rsidRDefault="00552466" w:rsidP="001C4BB5">
            <w:pPr>
              <w:jc w:val="center"/>
              <w:rPr>
                <w:rFonts w:cs="Arial"/>
                <w:sz w:val="20"/>
                <w:szCs w:val="20"/>
                <w:lang w:eastAsia="it-IT"/>
              </w:rPr>
            </w:pPr>
          </w:p>
        </w:tc>
      </w:tr>
      <w:tr w:rsidR="00552466" w:rsidRPr="00C2587D" w14:paraId="5BD80E49" w14:textId="77777777" w:rsidTr="00672B8E">
        <w:trPr>
          <w:trHeight w:val="240"/>
          <w:jc w:val="right"/>
        </w:trPr>
        <w:tc>
          <w:tcPr>
            <w:tcW w:w="3425" w:type="dxa"/>
            <w:shd w:val="clear" w:color="auto" w:fill="FFFFFF"/>
            <w:vAlign w:val="center"/>
          </w:tcPr>
          <w:p w14:paraId="1322FA26" w14:textId="77777777" w:rsidR="00552466" w:rsidRPr="00C2587D" w:rsidRDefault="00552466" w:rsidP="00D7011A">
            <w:pPr>
              <w:rPr>
                <w:rFonts w:cs="Arial"/>
                <w:color w:val="000000"/>
                <w:sz w:val="20"/>
                <w:szCs w:val="20"/>
              </w:rPr>
            </w:pPr>
            <w:r w:rsidRPr="00C2587D">
              <w:rPr>
                <w:rFonts w:cs="Arial"/>
                <w:color w:val="000000"/>
                <w:sz w:val="20"/>
                <w:szCs w:val="20"/>
              </w:rPr>
              <w:t>-інші джерела фінансування.</w:t>
            </w:r>
          </w:p>
        </w:tc>
        <w:tc>
          <w:tcPr>
            <w:tcW w:w="1260" w:type="dxa"/>
            <w:gridSpan w:val="2"/>
            <w:vAlign w:val="center"/>
          </w:tcPr>
          <w:p w14:paraId="3FE33795" w14:textId="77777777" w:rsidR="00552466" w:rsidRPr="00C2587D" w:rsidRDefault="00552466" w:rsidP="001C4BB5">
            <w:pPr>
              <w:jc w:val="center"/>
              <w:rPr>
                <w:rFonts w:cs="Arial"/>
                <w:sz w:val="20"/>
                <w:szCs w:val="20"/>
                <w:lang w:eastAsia="it-IT"/>
              </w:rPr>
            </w:pPr>
          </w:p>
        </w:tc>
        <w:tc>
          <w:tcPr>
            <w:tcW w:w="1350" w:type="dxa"/>
            <w:vAlign w:val="center"/>
          </w:tcPr>
          <w:p w14:paraId="0AD81650" w14:textId="77777777" w:rsidR="00552466" w:rsidRPr="00C2587D" w:rsidRDefault="00552466" w:rsidP="001C4BB5">
            <w:pPr>
              <w:jc w:val="center"/>
              <w:rPr>
                <w:rFonts w:cs="Arial"/>
                <w:sz w:val="20"/>
                <w:szCs w:val="20"/>
                <w:lang w:eastAsia="it-IT"/>
              </w:rPr>
            </w:pPr>
          </w:p>
        </w:tc>
        <w:tc>
          <w:tcPr>
            <w:tcW w:w="1515" w:type="dxa"/>
            <w:gridSpan w:val="3"/>
            <w:vAlign w:val="center"/>
          </w:tcPr>
          <w:p w14:paraId="1EDCC3F8" w14:textId="77777777" w:rsidR="00552466" w:rsidRPr="00C2587D" w:rsidRDefault="00552466" w:rsidP="001C4BB5">
            <w:pPr>
              <w:jc w:val="center"/>
              <w:rPr>
                <w:rFonts w:cs="Arial"/>
                <w:sz w:val="20"/>
                <w:szCs w:val="20"/>
                <w:lang w:eastAsia="it-IT"/>
              </w:rPr>
            </w:pPr>
            <w:r w:rsidRPr="00C2587D">
              <w:rPr>
                <w:rFonts w:cs="Arial"/>
                <w:sz w:val="20"/>
                <w:szCs w:val="20"/>
                <w:lang w:eastAsia="it-IT"/>
              </w:rPr>
              <w:t>100,0</w:t>
            </w:r>
          </w:p>
        </w:tc>
        <w:tc>
          <w:tcPr>
            <w:tcW w:w="1245" w:type="dxa"/>
            <w:gridSpan w:val="2"/>
            <w:vAlign w:val="center"/>
          </w:tcPr>
          <w:p w14:paraId="1656D0D2" w14:textId="77777777" w:rsidR="00552466" w:rsidRPr="00C2587D" w:rsidRDefault="00552466" w:rsidP="001C4BB5">
            <w:pPr>
              <w:jc w:val="center"/>
              <w:rPr>
                <w:rFonts w:cs="Arial"/>
                <w:sz w:val="20"/>
                <w:szCs w:val="20"/>
                <w:lang w:eastAsia="it-IT"/>
              </w:rPr>
            </w:pPr>
            <w:r w:rsidRPr="00C2587D">
              <w:rPr>
                <w:rFonts w:cs="Arial"/>
                <w:sz w:val="20"/>
                <w:szCs w:val="20"/>
                <w:lang w:eastAsia="it-IT"/>
              </w:rPr>
              <w:t>100,0</w:t>
            </w:r>
          </w:p>
        </w:tc>
        <w:tc>
          <w:tcPr>
            <w:tcW w:w="1128" w:type="dxa"/>
            <w:vAlign w:val="center"/>
          </w:tcPr>
          <w:p w14:paraId="1B95C5F5" w14:textId="77777777" w:rsidR="00552466" w:rsidRPr="00C2587D" w:rsidRDefault="00552466" w:rsidP="001C4BB5">
            <w:pPr>
              <w:jc w:val="center"/>
              <w:rPr>
                <w:rFonts w:cs="Arial"/>
                <w:sz w:val="20"/>
                <w:szCs w:val="20"/>
                <w:lang w:eastAsia="it-IT"/>
              </w:rPr>
            </w:pPr>
            <w:r w:rsidRPr="00C2587D">
              <w:rPr>
                <w:rFonts w:cs="Arial"/>
                <w:sz w:val="20"/>
                <w:szCs w:val="20"/>
                <w:lang w:eastAsia="it-IT"/>
              </w:rPr>
              <w:t>200,0</w:t>
            </w:r>
          </w:p>
        </w:tc>
      </w:tr>
      <w:tr w:rsidR="00552466" w:rsidRPr="00C2587D" w14:paraId="2410DFE6" w14:textId="77777777" w:rsidTr="00672B8E">
        <w:trPr>
          <w:jc w:val="right"/>
        </w:trPr>
        <w:tc>
          <w:tcPr>
            <w:tcW w:w="3425" w:type="dxa"/>
            <w:shd w:val="clear" w:color="auto" w:fill="FFFFFF"/>
            <w:vAlign w:val="center"/>
          </w:tcPr>
          <w:p w14:paraId="0AA8EEE6" w14:textId="77777777" w:rsidR="00552466" w:rsidRPr="00C2587D" w:rsidRDefault="00552466" w:rsidP="00D7011A">
            <w:pPr>
              <w:rPr>
                <w:rFonts w:cs="Arial"/>
                <w:b/>
                <w:bCs/>
                <w:color w:val="000000"/>
                <w:sz w:val="20"/>
                <w:szCs w:val="20"/>
              </w:rPr>
            </w:pPr>
            <w:r w:rsidRPr="00C2587D">
              <w:rPr>
                <w:rFonts w:cs="Arial"/>
                <w:b/>
                <w:color w:val="000000"/>
                <w:sz w:val="20"/>
                <w:szCs w:val="20"/>
              </w:rPr>
              <w:t>Відповідальний виконавець проєкту:</w:t>
            </w:r>
          </w:p>
        </w:tc>
        <w:tc>
          <w:tcPr>
            <w:tcW w:w="6498" w:type="dxa"/>
            <w:gridSpan w:val="9"/>
            <w:vAlign w:val="center"/>
          </w:tcPr>
          <w:p w14:paraId="0DE1A202" w14:textId="77777777" w:rsidR="00552466" w:rsidRPr="00C2587D" w:rsidRDefault="00552466" w:rsidP="001C4BB5">
            <w:pPr>
              <w:tabs>
                <w:tab w:val="left" w:pos="285"/>
              </w:tabs>
              <w:jc w:val="both"/>
              <w:rPr>
                <w:rFonts w:cs="Arial"/>
                <w:color w:val="000000"/>
                <w:sz w:val="20"/>
                <w:szCs w:val="20"/>
                <w:lang w:eastAsia="it-IT"/>
              </w:rPr>
            </w:pPr>
            <w:r w:rsidRPr="00C2587D">
              <w:rPr>
                <w:rFonts w:cs="Arial"/>
                <w:color w:val="000000"/>
                <w:sz w:val="20"/>
                <w:szCs w:val="20"/>
                <w:lang w:eastAsia="it-IT"/>
              </w:rPr>
              <w:t>Жмеринська міська рада, Вінницька ОВА, Мінінфрастурктури, Укрзалізниця</w:t>
            </w:r>
          </w:p>
        </w:tc>
      </w:tr>
      <w:tr w:rsidR="00552466" w:rsidRPr="00C2587D" w14:paraId="12214F33" w14:textId="77777777" w:rsidTr="00672B8E">
        <w:trPr>
          <w:jc w:val="right"/>
        </w:trPr>
        <w:tc>
          <w:tcPr>
            <w:tcW w:w="3425" w:type="dxa"/>
            <w:shd w:val="clear" w:color="auto" w:fill="FFFFFF"/>
            <w:vAlign w:val="center"/>
          </w:tcPr>
          <w:p w14:paraId="366A44BC" w14:textId="77777777" w:rsidR="00552466" w:rsidRPr="00C2587D" w:rsidRDefault="00552466" w:rsidP="00D7011A">
            <w:pPr>
              <w:rPr>
                <w:rFonts w:cs="Arial"/>
                <w:b/>
                <w:bCs/>
                <w:sz w:val="20"/>
                <w:szCs w:val="20"/>
              </w:rPr>
            </w:pPr>
            <w:r w:rsidRPr="00C2587D">
              <w:rPr>
                <w:rFonts w:cs="Arial"/>
                <w:b/>
                <w:bCs/>
                <w:sz w:val="20"/>
                <w:szCs w:val="20"/>
              </w:rPr>
              <w:t>Інше:</w:t>
            </w:r>
          </w:p>
        </w:tc>
        <w:tc>
          <w:tcPr>
            <w:tcW w:w="6498" w:type="dxa"/>
            <w:gridSpan w:val="9"/>
            <w:vAlign w:val="center"/>
          </w:tcPr>
          <w:p w14:paraId="25DBB365" w14:textId="77777777" w:rsidR="00552466" w:rsidRPr="00C2587D" w:rsidRDefault="00552466" w:rsidP="001C4BB5">
            <w:pPr>
              <w:jc w:val="both"/>
              <w:rPr>
                <w:rFonts w:cs="Arial"/>
                <w:sz w:val="20"/>
                <w:szCs w:val="20"/>
                <w:lang w:eastAsia="it-IT"/>
              </w:rPr>
            </w:pPr>
          </w:p>
          <w:p w14:paraId="787DEE06" w14:textId="77777777" w:rsidR="00552466" w:rsidRPr="00C2587D" w:rsidRDefault="00552466" w:rsidP="001C4BB5">
            <w:pPr>
              <w:jc w:val="both"/>
              <w:rPr>
                <w:rFonts w:cs="Arial"/>
                <w:sz w:val="20"/>
                <w:szCs w:val="20"/>
                <w:lang w:eastAsia="it-IT"/>
              </w:rPr>
            </w:pPr>
          </w:p>
        </w:tc>
      </w:tr>
    </w:tbl>
    <w:p w14:paraId="22E8041D" w14:textId="77777777" w:rsidR="00552466" w:rsidRPr="00C2587D" w:rsidRDefault="00552466" w:rsidP="00552466">
      <w:pPr>
        <w:rPr>
          <w:rFonts w:cs="Arial"/>
        </w:rPr>
      </w:pPr>
    </w:p>
    <w:p w14:paraId="5B342998" w14:textId="77777777" w:rsidR="00552466" w:rsidRPr="00C2587D" w:rsidRDefault="00552466" w:rsidP="00552466">
      <w:pPr>
        <w:jc w:val="center"/>
        <w:rPr>
          <w:rFonts w:cs="Arial"/>
          <w:b/>
          <w:color w:val="000000"/>
          <w:szCs w:val="22"/>
        </w:rPr>
      </w:pPr>
    </w:p>
    <w:p w14:paraId="13054B92" w14:textId="7A5C5BD0" w:rsidR="00552466" w:rsidRPr="00C2587D" w:rsidRDefault="00552466" w:rsidP="00552466">
      <w:pPr>
        <w:jc w:val="center"/>
        <w:rPr>
          <w:rFonts w:cs="Arial"/>
          <w:b/>
          <w:color w:val="000000"/>
          <w:szCs w:val="22"/>
        </w:rPr>
      </w:pPr>
      <w:r w:rsidRPr="00C2587D">
        <w:rPr>
          <w:rFonts w:cs="Arial"/>
          <w:b/>
          <w:color w:val="000000"/>
          <w:szCs w:val="22"/>
        </w:rPr>
        <w:t>Ф</w:t>
      </w:r>
      <w:r w:rsidR="00BD64BB">
        <w:rPr>
          <w:rFonts w:cs="Arial"/>
          <w:b/>
          <w:color w:val="000000"/>
          <w:szCs w:val="22"/>
        </w:rPr>
        <w:t>орма технічного завдання на проє</w:t>
      </w:r>
      <w:r w:rsidRPr="00C2587D">
        <w:rPr>
          <w:rFonts w:cs="Arial"/>
          <w:b/>
          <w:color w:val="000000"/>
          <w:szCs w:val="22"/>
        </w:rPr>
        <w:t xml:space="preserve">кт місцевого розвитку </w:t>
      </w:r>
    </w:p>
    <w:p w14:paraId="4D30D58A" w14:textId="77777777" w:rsidR="00552466" w:rsidRPr="00C2587D" w:rsidRDefault="00552466" w:rsidP="00552466">
      <w:pPr>
        <w:jc w:val="center"/>
        <w:rPr>
          <w:rFonts w:cs="Arial"/>
          <w:b/>
          <w:color w:val="000000"/>
          <w:szCs w:val="22"/>
        </w:rPr>
      </w:pPr>
      <w:r w:rsidRPr="00C2587D">
        <w:rPr>
          <w:rFonts w:cs="Arial"/>
          <w:b/>
          <w:color w:val="000000"/>
          <w:szCs w:val="22"/>
        </w:rPr>
        <w:t>до Плану заходів з реалізації Стратегії</w:t>
      </w:r>
    </w:p>
    <w:p w14:paraId="657CDD22" w14:textId="77777777" w:rsidR="00552466" w:rsidRPr="00C2587D" w:rsidRDefault="00552466" w:rsidP="00552466">
      <w:pPr>
        <w:rPr>
          <w:rFonts w:cs="Arial"/>
        </w:rPr>
      </w:pPr>
    </w:p>
    <w:tbl>
      <w:tblPr>
        <w:tblW w:w="9923"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6"/>
        <w:gridCol w:w="1350"/>
        <w:gridCol w:w="61"/>
        <w:gridCol w:w="1418"/>
        <w:gridCol w:w="36"/>
        <w:gridCol w:w="1239"/>
        <w:gridCol w:w="6"/>
        <w:gridCol w:w="1128"/>
      </w:tblGrid>
      <w:tr w:rsidR="00552466" w:rsidRPr="00C2587D" w14:paraId="0FC1D06F" w14:textId="77777777" w:rsidTr="00672B8E">
        <w:trPr>
          <w:jc w:val="right"/>
        </w:trPr>
        <w:tc>
          <w:tcPr>
            <w:tcW w:w="3425" w:type="dxa"/>
            <w:vAlign w:val="center"/>
          </w:tcPr>
          <w:p w14:paraId="023C3E91" w14:textId="31248D8A" w:rsidR="00552466" w:rsidRPr="00C2587D" w:rsidRDefault="00BD64BB" w:rsidP="00D7011A">
            <w:pPr>
              <w:rPr>
                <w:rFonts w:cs="Arial"/>
                <w:b/>
                <w:sz w:val="20"/>
                <w:szCs w:val="20"/>
              </w:rPr>
            </w:pPr>
            <w:r>
              <w:rPr>
                <w:rFonts w:cs="Arial"/>
                <w:b/>
                <w:sz w:val="20"/>
                <w:szCs w:val="20"/>
              </w:rPr>
              <w:t>Назва проє</w:t>
            </w:r>
            <w:r w:rsidR="00552466" w:rsidRPr="00C2587D">
              <w:rPr>
                <w:rFonts w:cs="Arial"/>
                <w:b/>
                <w:sz w:val="20"/>
                <w:szCs w:val="20"/>
              </w:rPr>
              <w:t>кту:</w:t>
            </w:r>
          </w:p>
        </w:tc>
        <w:tc>
          <w:tcPr>
            <w:tcW w:w="6498" w:type="dxa"/>
            <w:gridSpan w:val="9"/>
            <w:vAlign w:val="center"/>
          </w:tcPr>
          <w:p w14:paraId="5C38F2A7" w14:textId="77777777" w:rsidR="00552466" w:rsidRPr="00C2587D" w:rsidRDefault="00552466" w:rsidP="00C84EFB">
            <w:pPr>
              <w:jc w:val="both"/>
              <w:rPr>
                <w:rFonts w:cs="Arial"/>
                <w:b/>
                <w:sz w:val="20"/>
                <w:szCs w:val="20"/>
              </w:rPr>
            </w:pPr>
            <w:r w:rsidRPr="00C2587D">
              <w:rPr>
                <w:rFonts w:cs="Arial"/>
                <w:b/>
                <w:sz w:val="20"/>
                <w:szCs w:val="20"/>
              </w:rPr>
              <w:t>Підтримка підприємств з виробництва будівельних матеріалів із місцевої сировини</w:t>
            </w:r>
          </w:p>
        </w:tc>
      </w:tr>
      <w:tr w:rsidR="00552466" w:rsidRPr="00C2587D" w14:paraId="376B9562" w14:textId="77777777" w:rsidTr="00672B8E">
        <w:trPr>
          <w:jc w:val="right"/>
        </w:trPr>
        <w:tc>
          <w:tcPr>
            <w:tcW w:w="3425" w:type="dxa"/>
          </w:tcPr>
          <w:p w14:paraId="1965DBB0" w14:textId="77777777" w:rsidR="00552466" w:rsidRPr="00C2587D" w:rsidRDefault="00552466" w:rsidP="00D7011A">
            <w:pPr>
              <w:spacing w:before="40" w:after="40"/>
              <w:rPr>
                <w:rFonts w:cs="Arial"/>
                <w:sz w:val="20"/>
                <w:szCs w:val="20"/>
                <w:lang w:eastAsia="it-IT"/>
              </w:rPr>
            </w:pPr>
            <w:r w:rsidRPr="00C2587D">
              <w:rPr>
                <w:rFonts w:cs="Arial"/>
                <w:b/>
                <w:bCs/>
                <w:sz w:val="20"/>
                <w:szCs w:val="20"/>
              </w:rPr>
              <w:t>Ваші контакти</w:t>
            </w:r>
            <w:r w:rsidRPr="00C2587D">
              <w:rPr>
                <w:rFonts w:cs="Arial"/>
                <w:sz w:val="20"/>
                <w:szCs w:val="20"/>
                <w:lang w:eastAsia="it-IT"/>
              </w:rPr>
              <w:t>:</w:t>
            </w:r>
          </w:p>
          <w:p w14:paraId="73A9AC9A" w14:textId="77777777" w:rsidR="00552466" w:rsidRPr="00C2587D" w:rsidRDefault="00552466" w:rsidP="00D7011A">
            <w:pPr>
              <w:spacing w:before="40" w:after="40"/>
              <w:rPr>
                <w:rFonts w:cs="Arial"/>
                <w:b/>
                <w:bCs/>
                <w:sz w:val="20"/>
                <w:szCs w:val="20"/>
              </w:rPr>
            </w:pPr>
            <w:r w:rsidRPr="00C2587D">
              <w:rPr>
                <w:rFonts w:cs="Arial"/>
                <w:sz w:val="20"/>
                <w:szCs w:val="20"/>
                <w:lang w:eastAsia="it-IT"/>
              </w:rPr>
              <w:t>Назва установи, організації, підприємства</w:t>
            </w:r>
          </w:p>
        </w:tc>
        <w:tc>
          <w:tcPr>
            <w:tcW w:w="6498" w:type="dxa"/>
            <w:gridSpan w:val="9"/>
            <w:vAlign w:val="center"/>
          </w:tcPr>
          <w:p w14:paraId="4F4F7C97" w14:textId="77777777" w:rsidR="00552466" w:rsidRPr="00C2587D" w:rsidRDefault="00552466" w:rsidP="00C84EFB">
            <w:pPr>
              <w:spacing w:before="40" w:after="40"/>
              <w:jc w:val="both"/>
              <w:rPr>
                <w:rFonts w:cs="Arial"/>
                <w:sz w:val="20"/>
                <w:szCs w:val="20"/>
                <w:lang w:eastAsia="it-IT"/>
              </w:rPr>
            </w:pPr>
            <w:r w:rsidRPr="00C2587D">
              <w:rPr>
                <w:rFonts w:cs="Arial"/>
                <w:sz w:val="20"/>
                <w:szCs w:val="20"/>
                <w:lang w:eastAsia="it-IT"/>
              </w:rPr>
              <w:t>Управління економіки та розвитку інфраструктури виконавчого комітету  Жмеринської міської ради</w:t>
            </w:r>
          </w:p>
        </w:tc>
      </w:tr>
      <w:tr w:rsidR="00552466" w:rsidRPr="00C2587D" w14:paraId="4FA554D1" w14:textId="77777777" w:rsidTr="00672B8E">
        <w:trPr>
          <w:jc w:val="right"/>
        </w:trPr>
        <w:tc>
          <w:tcPr>
            <w:tcW w:w="3425" w:type="dxa"/>
          </w:tcPr>
          <w:p w14:paraId="354E92FD" w14:textId="77777777" w:rsidR="00552466" w:rsidRPr="00C2587D" w:rsidRDefault="00552466" w:rsidP="00D7011A">
            <w:pPr>
              <w:spacing w:before="40" w:after="40"/>
              <w:rPr>
                <w:rFonts w:cs="Arial"/>
                <w:b/>
                <w:bCs/>
                <w:sz w:val="20"/>
                <w:szCs w:val="20"/>
              </w:rPr>
            </w:pPr>
            <w:r w:rsidRPr="00C2587D">
              <w:rPr>
                <w:rFonts w:cs="Arial"/>
                <w:sz w:val="20"/>
                <w:szCs w:val="20"/>
                <w:lang w:eastAsia="it-IT"/>
              </w:rPr>
              <w:t>Прізвище Ім’я По-батькові:</w:t>
            </w:r>
          </w:p>
        </w:tc>
        <w:tc>
          <w:tcPr>
            <w:tcW w:w="6498" w:type="dxa"/>
            <w:gridSpan w:val="9"/>
            <w:vAlign w:val="center"/>
          </w:tcPr>
          <w:p w14:paraId="2269CB34" w14:textId="77777777" w:rsidR="00552466" w:rsidRPr="00C2587D" w:rsidRDefault="00552466" w:rsidP="00C84EFB">
            <w:pPr>
              <w:spacing w:before="40" w:after="40"/>
              <w:jc w:val="both"/>
              <w:rPr>
                <w:rFonts w:cs="Arial"/>
                <w:sz w:val="20"/>
                <w:szCs w:val="20"/>
                <w:lang w:eastAsia="it-IT"/>
              </w:rPr>
            </w:pPr>
            <w:r w:rsidRPr="00C2587D">
              <w:rPr>
                <w:rFonts w:cs="Arial"/>
                <w:sz w:val="20"/>
                <w:szCs w:val="20"/>
                <w:lang w:eastAsia="it-IT"/>
              </w:rPr>
              <w:t>Коновал Анатолій Романович</w:t>
            </w:r>
          </w:p>
        </w:tc>
      </w:tr>
      <w:tr w:rsidR="00552466" w:rsidRPr="00C2587D" w14:paraId="0120EDE8" w14:textId="77777777" w:rsidTr="00672B8E">
        <w:trPr>
          <w:jc w:val="right"/>
        </w:trPr>
        <w:tc>
          <w:tcPr>
            <w:tcW w:w="3425" w:type="dxa"/>
          </w:tcPr>
          <w:p w14:paraId="14B3C858" w14:textId="77777777" w:rsidR="00552466" w:rsidRPr="00C2587D" w:rsidRDefault="00552466" w:rsidP="00D7011A">
            <w:pPr>
              <w:spacing w:before="40" w:after="40"/>
              <w:rPr>
                <w:rFonts w:cs="Arial"/>
                <w:b/>
                <w:bCs/>
                <w:sz w:val="20"/>
                <w:szCs w:val="20"/>
              </w:rPr>
            </w:pPr>
            <w:r w:rsidRPr="00C2587D">
              <w:rPr>
                <w:rFonts w:cs="Arial"/>
                <w:sz w:val="20"/>
                <w:szCs w:val="20"/>
                <w:lang w:eastAsia="it-IT"/>
              </w:rPr>
              <w:t>Телефон (мобільний):</w:t>
            </w:r>
          </w:p>
        </w:tc>
        <w:tc>
          <w:tcPr>
            <w:tcW w:w="6498" w:type="dxa"/>
            <w:gridSpan w:val="9"/>
            <w:vAlign w:val="center"/>
          </w:tcPr>
          <w:p w14:paraId="50199975" w14:textId="77777777" w:rsidR="00552466" w:rsidRPr="00C2587D" w:rsidRDefault="00552466" w:rsidP="00C84EFB">
            <w:pPr>
              <w:spacing w:before="40" w:after="40"/>
              <w:jc w:val="both"/>
              <w:rPr>
                <w:rFonts w:cs="Arial"/>
                <w:sz w:val="20"/>
                <w:szCs w:val="20"/>
                <w:lang w:eastAsia="it-IT"/>
              </w:rPr>
            </w:pPr>
            <w:r w:rsidRPr="00C2587D">
              <w:rPr>
                <w:rFonts w:cs="Arial"/>
                <w:sz w:val="20"/>
                <w:szCs w:val="20"/>
                <w:lang w:eastAsia="it-IT"/>
              </w:rPr>
              <w:t>0674300414</w:t>
            </w:r>
          </w:p>
        </w:tc>
      </w:tr>
      <w:tr w:rsidR="00552466" w:rsidRPr="00C2587D" w14:paraId="7B07623B" w14:textId="77777777" w:rsidTr="00672B8E">
        <w:trPr>
          <w:jc w:val="right"/>
        </w:trPr>
        <w:tc>
          <w:tcPr>
            <w:tcW w:w="3425" w:type="dxa"/>
          </w:tcPr>
          <w:p w14:paraId="67538CEF" w14:textId="77777777" w:rsidR="00552466" w:rsidRPr="00C2587D" w:rsidRDefault="00552466" w:rsidP="00672B8E">
            <w:pPr>
              <w:spacing w:before="40" w:after="40"/>
              <w:ind w:left="209" w:hanging="209"/>
              <w:rPr>
                <w:rFonts w:cs="Arial"/>
                <w:b/>
                <w:bCs/>
                <w:sz w:val="20"/>
                <w:szCs w:val="20"/>
              </w:rPr>
            </w:pPr>
            <w:r w:rsidRPr="00C2587D">
              <w:rPr>
                <w:rFonts w:cs="Arial"/>
                <w:sz w:val="20"/>
                <w:szCs w:val="20"/>
                <w:lang w:eastAsia="it-IT"/>
              </w:rPr>
              <w:t>Електронна адреса:</w:t>
            </w:r>
          </w:p>
        </w:tc>
        <w:tc>
          <w:tcPr>
            <w:tcW w:w="6498" w:type="dxa"/>
            <w:gridSpan w:val="9"/>
            <w:vAlign w:val="center"/>
          </w:tcPr>
          <w:p w14:paraId="0B529AC0" w14:textId="538F3277" w:rsidR="00552466" w:rsidRPr="00C2587D" w:rsidRDefault="00D85FFD" w:rsidP="00C84EFB">
            <w:pPr>
              <w:spacing w:before="40" w:after="40"/>
              <w:jc w:val="both"/>
              <w:rPr>
                <w:rFonts w:cs="Arial"/>
                <w:sz w:val="20"/>
                <w:szCs w:val="20"/>
                <w:lang w:eastAsia="it-IT"/>
              </w:rPr>
            </w:pPr>
            <w:hyperlink r:id="rId27" w:history="1">
              <w:r w:rsidR="00C84EFB" w:rsidRPr="000A0B5C">
                <w:rPr>
                  <w:rStyle w:val="af0"/>
                  <w:rFonts w:cs="Arial"/>
                  <w:noProof w:val="0"/>
                  <w:lang w:eastAsia="it-IT"/>
                </w:rPr>
                <w:t>econ@zhmr.gov.ua</w:t>
              </w:r>
            </w:hyperlink>
            <w:r w:rsidR="00C84EFB">
              <w:rPr>
                <w:rFonts w:cs="Arial"/>
                <w:sz w:val="20"/>
                <w:szCs w:val="20"/>
                <w:lang w:eastAsia="it-IT"/>
              </w:rPr>
              <w:t xml:space="preserve"> </w:t>
            </w:r>
          </w:p>
        </w:tc>
      </w:tr>
      <w:tr w:rsidR="00552466" w:rsidRPr="00C2587D" w14:paraId="42EF0E8D" w14:textId="77777777" w:rsidTr="00672B8E">
        <w:trPr>
          <w:jc w:val="right"/>
        </w:trPr>
        <w:tc>
          <w:tcPr>
            <w:tcW w:w="3425" w:type="dxa"/>
            <w:vAlign w:val="center"/>
          </w:tcPr>
          <w:p w14:paraId="65507142" w14:textId="30FA32E3" w:rsidR="00552466" w:rsidRPr="00C2587D" w:rsidRDefault="00552466" w:rsidP="00D7011A">
            <w:pPr>
              <w:pStyle w:val="6"/>
              <w:spacing w:before="0" w:after="0"/>
              <w:rPr>
                <w:rFonts w:ascii="Arial" w:hAnsi="Arial" w:cs="Arial"/>
                <w:color w:val="000000"/>
                <w:sz w:val="20"/>
                <w:szCs w:val="20"/>
                <w:lang w:val="uk-UA"/>
              </w:rPr>
            </w:pPr>
            <w:r w:rsidRPr="00C2587D">
              <w:rPr>
                <w:rFonts w:ascii="Arial" w:hAnsi="Arial" w:cs="Arial"/>
                <w:color w:val="000000"/>
                <w:sz w:val="20"/>
                <w:szCs w:val="20"/>
                <w:lang w:val="uk-UA"/>
              </w:rPr>
              <w:t>Номер і назва завдання з Стратегії</w:t>
            </w:r>
            <w:r w:rsidRPr="00C2587D">
              <w:rPr>
                <w:rFonts w:ascii="Arial" w:hAnsi="Arial" w:cs="Arial"/>
                <w:sz w:val="20"/>
                <w:szCs w:val="20"/>
                <w:lang w:val="uk-UA" w:eastAsia="it-IT"/>
              </w:rPr>
              <w:t xml:space="preserve"> </w:t>
            </w:r>
            <w:r w:rsidRPr="00C2587D">
              <w:rPr>
                <w:rFonts w:ascii="Arial" w:hAnsi="Arial" w:cs="Arial"/>
                <w:color w:val="000000"/>
                <w:sz w:val="20"/>
                <w:szCs w:val="20"/>
                <w:lang w:val="uk-UA"/>
              </w:rPr>
              <w:t>розвитку Жмеринської міської територіальної грома</w:t>
            </w:r>
            <w:r w:rsidR="00BD64BB">
              <w:rPr>
                <w:rFonts w:ascii="Arial" w:hAnsi="Arial" w:cs="Arial"/>
                <w:color w:val="000000"/>
                <w:sz w:val="20"/>
                <w:szCs w:val="20"/>
                <w:lang w:val="uk-UA"/>
              </w:rPr>
              <w:t>ди,  якому відповідає проє</w:t>
            </w:r>
            <w:r w:rsidRPr="00C2587D">
              <w:rPr>
                <w:rFonts w:ascii="Arial" w:hAnsi="Arial" w:cs="Arial"/>
                <w:color w:val="000000"/>
                <w:sz w:val="20"/>
                <w:szCs w:val="20"/>
                <w:lang w:val="uk-UA"/>
              </w:rPr>
              <w:t>кт:</w:t>
            </w:r>
          </w:p>
        </w:tc>
        <w:tc>
          <w:tcPr>
            <w:tcW w:w="6498" w:type="dxa"/>
            <w:gridSpan w:val="9"/>
            <w:vAlign w:val="center"/>
          </w:tcPr>
          <w:p w14:paraId="5A15ECAF" w14:textId="77777777" w:rsidR="00552466" w:rsidRPr="00C2587D" w:rsidRDefault="00552466" w:rsidP="00C84EFB">
            <w:pPr>
              <w:widowControl w:val="0"/>
              <w:suppressAutoHyphens/>
              <w:spacing w:before="20" w:after="20"/>
              <w:jc w:val="both"/>
              <w:rPr>
                <w:rFonts w:eastAsia="Lucida Sans Unicode" w:cs="Arial"/>
                <w:kern w:val="1"/>
                <w:sz w:val="20"/>
                <w:szCs w:val="20"/>
                <w:lang w:eastAsia="ar-SA"/>
              </w:rPr>
            </w:pPr>
            <w:r w:rsidRPr="00C2587D">
              <w:rPr>
                <w:rFonts w:cs="Arial"/>
                <w:color w:val="000000"/>
                <w:sz w:val="20"/>
                <w:szCs w:val="20"/>
                <w:lang w:eastAsia="uk-UA"/>
              </w:rPr>
              <w:t xml:space="preserve">А.1.2.3. </w:t>
            </w:r>
            <w:r w:rsidRPr="00C2587D">
              <w:rPr>
                <w:rFonts w:eastAsia="Lucida Sans Unicode" w:cs="Arial"/>
                <w:iCs/>
                <w:kern w:val="1"/>
                <w:sz w:val="20"/>
                <w:szCs w:val="20"/>
                <w:lang w:eastAsia="ar-SA"/>
              </w:rPr>
              <w:t>Сприяння створенню нових  підприємств по виробництву будівельних матеріалів з місцевої сировини, в т.ч. розробці  гранітного сховища в смт.Браїлів, розробці вапнякових та піщаних родовищ в селах Жуківці,  та Кармалюкове використання сировинної бази вапнякового кар’єру для виробництва цементу в с. Рів, та ін.</w:t>
            </w:r>
          </w:p>
          <w:p w14:paraId="1625CB25" w14:textId="77777777" w:rsidR="00552466" w:rsidRPr="00C2587D" w:rsidRDefault="00552466" w:rsidP="00C84EFB">
            <w:pPr>
              <w:widowControl w:val="0"/>
              <w:suppressAutoHyphens/>
              <w:spacing w:before="20" w:after="20"/>
              <w:jc w:val="both"/>
              <w:rPr>
                <w:rFonts w:cs="Arial"/>
                <w:sz w:val="20"/>
                <w:szCs w:val="20"/>
                <w:lang w:eastAsia="it-IT"/>
              </w:rPr>
            </w:pPr>
            <w:r w:rsidRPr="00C2587D">
              <w:rPr>
                <w:rFonts w:cs="Arial"/>
                <w:color w:val="000000"/>
                <w:sz w:val="20"/>
                <w:szCs w:val="20"/>
                <w:lang w:eastAsia="uk-UA"/>
              </w:rPr>
              <w:t xml:space="preserve">А.1.2.5. </w:t>
            </w:r>
            <w:r w:rsidRPr="00C2587D">
              <w:rPr>
                <w:rFonts w:eastAsia="Lucida Sans Unicode" w:cs="Arial"/>
                <w:kern w:val="1"/>
                <w:sz w:val="20"/>
                <w:szCs w:val="20"/>
                <w:lang w:eastAsia="ar-SA"/>
              </w:rPr>
              <w:t xml:space="preserve"> Підтримка кластерів.</w:t>
            </w:r>
          </w:p>
        </w:tc>
      </w:tr>
      <w:tr w:rsidR="00552466" w:rsidRPr="00C2587D" w14:paraId="04165635" w14:textId="77777777" w:rsidTr="00672B8E">
        <w:trPr>
          <w:jc w:val="right"/>
        </w:trPr>
        <w:tc>
          <w:tcPr>
            <w:tcW w:w="3425" w:type="dxa"/>
            <w:vAlign w:val="center"/>
          </w:tcPr>
          <w:p w14:paraId="680E1555" w14:textId="77777777" w:rsidR="00552466" w:rsidRPr="00C2587D" w:rsidRDefault="00552466" w:rsidP="00D7011A">
            <w:pPr>
              <w:rPr>
                <w:rFonts w:cs="Arial"/>
                <w:b/>
                <w:bCs/>
                <w:color w:val="000000"/>
                <w:sz w:val="20"/>
                <w:szCs w:val="20"/>
              </w:rPr>
            </w:pPr>
            <w:r w:rsidRPr="00C2587D">
              <w:rPr>
                <w:rFonts w:cs="Arial"/>
                <w:b/>
                <w:bCs/>
                <w:color w:val="000000"/>
                <w:sz w:val="20"/>
                <w:szCs w:val="20"/>
              </w:rPr>
              <w:t>Мета проєкту</w:t>
            </w:r>
          </w:p>
        </w:tc>
        <w:tc>
          <w:tcPr>
            <w:tcW w:w="6498" w:type="dxa"/>
            <w:gridSpan w:val="9"/>
            <w:vAlign w:val="center"/>
          </w:tcPr>
          <w:p w14:paraId="7F553D1C" w14:textId="77777777" w:rsidR="00552466" w:rsidRPr="00C2587D" w:rsidRDefault="00552466" w:rsidP="00C84EFB">
            <w:pPr>
              <w:spacing w:before="40" w:after="40"/>
              <w:jc w:val="both"/>
              <w:rPr>
                <w:rFonts w:cs="Arial"/>
                <w:sz w:val="20"/>
                <w:szCs w:val="20"/>
                <w:lang w:eastAsia="it-IT"/>
              </w:rPr>
            </w:pPr>
            <w:r w:rsidRPr="00C2587D">
              <w:rPr>
                <w:rFonts w:cs="Arial"/>
                <w:sz w:val="20"/>
                <w:szCs w:val="20"/>
                <w:lang w:eastAsia="it-IT"/>
              </w:rPr>
              <w:t>Стимулювання підвищення рівня промислового виробництва, будівництва</w:t>
            </w:r>
          </w:p>
        </w:tc>
      </w:tr>
      <w:tr w:rsidR="00552466" w:rsidRPr="00C2587D" w14:paraId="2B1B3A44" w14:textId="77777777" w:rsidTr="00672B8E">
        <w:trPr>
          <w:jc w:val="right"/>
        </w:trPr>
        <w:tc>
          <w:tcPr>
            <w:tcW w:w="3425" w:type="dxa"/>
            <w:vAlign w:val="center"/>
          </w:tcPr>
          <w:p w14:paraId="67F5EC9E" w14:textId="7A1B5D23" w:rsidR="00552466" w:rsidRPr="00C2587D" w:rsidRDefault="00552466" w:rsidP="00D7011A">
            <w:pPr>
              <w:rPr>
                <w:rFonts w:cs="Arial"/>
                <w:b/>
                <w:bCs/>
                <w:color w:val="000000"/>
                <w:sz w:val="20"/>
                <w:szCs w:val="20"/>
              </w:rPr>
            </w:pPr>
            <w:r w:rsidRPr="00C2587D">
              <w:rPr>
                <w:rFonts w:cs="Arial"/>
                <w:b/>
                <w:bCs/>
                <w:color w:val="000000"/>
                <w:sz w:val="20"/>
                <w:szCs w:val="20"/>
              </w:rPr>
              <w:t xml:space="preserve">Цілі </w:t>
            </w:r>
            <w:r w:rsidR="00314B9D">
              <w:rPr>
                <w:rFonts w:cs="Arial"/>
                <w:b/>
                <w:bCs/>
                <w:color w:val="000000"/>
                <w:sz w:val="20"/>
                <w:szCs w:val="20"/>
              </w:rPr>
              <w:t>проєкту</w:t>
            </w:r>
            <w:r w:rsidRPr="00C2587D">
              <w:rPr>
                <w:rFonts w:cs="Arial"/>
                <w:b/>
                <w:bCs/>
                <w:color w:val="000000"/>
                <w:sz w:val="20"/>
                <w:szCs w:val="20"/>
              </w:rPr>
              <w:t>:</w:t>
            </w:r>
          </w:p>
        </w:tc>
        <w:tc>
          <w:tcPr>
            <w:tcW w:w="6498" w:type="dxa"/>
            <w:gridSpan w:val="9"/>
            <w:vAlign w:val="center"/>
          </w:tcPr>
          <w:p w14:paraId="60836088" w14:textId="77777777" w:rsidR="00552466" w:rsidRPr="00C2587D" w:rsidRDefault="00552466" w:rsidP="00C84EFB">
            <w:pPr>
              <w:spacing w:before="40" w:after="40"/>
              <w:jc w:val="both"/>
              <w:rPr>
                <w:rFonts w:cs="Arial"/>
                <w:sz w:val="20"/>
                <w:szCs w:val="20"/>
                <w:lang w:eastAsia="it-IT"/>
              </w:rPr>
            </w:pPr>
            <w:r w:rsidRPr="00C2587D">
              <w:rPr>
                <w:rFonts w:cs="Arial"/>
                <w:sz w:val="20"/>
                <w:szCs w:val="20"/>
                <w:lang w:eastAsia="it-IT"/>
              </w:rPr>
              <w:t xml:space="preserve">Використати природний потенціал місцевих родовищ сировини пропонуємо до створення на території громади промислових підприємств з </w:t>
            </w:r>
            <w:r w:rsidRPr="00C2587D">
              <w:rPr>
                <w:rFonts w:eastAsia="Lucida Sans Unicode" w:cs="Arial"/>
                <w:iCs/>
                <w:kern w:val="1"/>
                <w:sz w:val="20"/>
                <w:szCs w:val="20"/>
                <w:lang w:eastAsia="ar-SA"/>
              </w:rPr>
              <w:t xml:space="preserve">розробки  гранітного родовища в смт.Браїлів, розробці вапнякових та піщаних родовищ в селах Жуківці,  та Кармалюкове використання сировинної бази вапнякового кар’єру для виробництва цементу в с. Рів, та ін. Ця сировина може використовуватись </w:t>
            </w:r>
            <w:r w:rsidRPr="00C2587D">
              <w:rPr>
                <w:rFonts w:cs="Arial"/>
                <w:sz w:val="20"/>
                <w:szCs w:val="20"/>
                <w:lang w:eastAsia="it-IT"/>
              </w:rPr>
              <w:t>для промислового виробництва будівельних матеріалів та розвитку будівельної галузі</w:t>
            </w:r>
          </w:p>
        </w:tc>
      </w:tr>
      <w:tr w:rsidR="00552466" w:rsidRPr="00C2587D" w14:paraId="1954AFC7" w14:textId="77777777" w:rsidTr="00672B8E">
        <w:trPr>
          <w:jc w:val="right"/>
        </w:trPr>
        <w:tc>
          <w:tcPr>
            <w:tcW w:w="3425" w:type="dxa"/>
            <w:vAlign w:val="center"/>
          </w:tcPr>
          <w:p w14:paraId="4E971C04" w14:textId="667A6C05" w:rsidR="00552466" w:rsidRPr="00C2587D" w:rsidRDefault="00BD64BB" w:rsidP="00D7011A">
            <w:pPr>
              <w:autoSpaceDE w:val="0"/>
              <w:autoSpaceDN w:val="0"/>
              <w:adjustRightInd w:val="0"/>
              <w:rPr>
                <w:rFonts w:cs="Arial"/>
                <w:b/>
                <w:sz w:val="20"/>
                <w:szCs w:val="20"/>
              </w:rPr>
            </w:pPr>
            <w:r>
              <w:rPr>
                <w:rFonts w:cs="Arial"/>
                <w:b/>
                <w:sz w:val="20"/>
                <w:szCs w:val="20"/>
              </w:rPr>
              <w:t>Територія на яку проє</w:t>
            </w:r>
            <w:r w:rsidR="00552466" w:rsidRPr="00C2587D">
              <w:rPr>
                <w:rFonts w:cs="Arial"/>
                <w:b/>
                <w:sz w:val="20"/>
                <w:szCs w:val="20"/>
              </w:rPr>
              <w:t>кт матиме вплив:</w:t>
            </w:r>
          </w:p>
        </w:tc>
        <w:tc>
          <w:tcPr>
            <w:tcW w:w="6498" w:type="dxa"/>
            <w:gridSpan w:val="9"/>
            <w:vAlign w:val="center"/>
          </w:tcPr>
          <w:p w14:paraId="161AB313" w14:textId="77777777" w:rsidR="00552466" w:rsidRPr="00C2587D" w:rsidRDefault="00552466" w:rsidP="00C84EFB">
            <w:pPr>
              <w:spacing w:before="40" w:after="40"/>
              <w:jc w:val="both"/>
              <w:rPr>
                <w:rFonts w:cs="Arial"/>
                <w:sz w:val="20"/>
                <w:szCs w:val="20"/>
                <w:lang w:eastAsia="it-IT"/>
              </w:rPr>
            </w:pPr>
            <w:r w:rsidRPr="00C2587D">
              <w:rPr>
                <w:rFonts w:cs="Arial"/>
                <w:sz w:val="20"/>
                <w:szCs w:val="20"/>
                <w:lang w:eastAsia="it-IT"/>
              </w:rPr>
              <w:t xml:space="preserve">Територія Жмеринської міської територіальної громади, суміжні громади Жмеринського району </w:t>
            </w:r>
          </w:p>
        </w:tc>
      </w:tr>
      <w:tr w:rsidR="00552466" w:rsidRPr="00C2587D" w14:paraId="4EE5A158" w14:textId="77777777" w:rsidTr="00672B8E">
        <w:trPr>
          <w:jc w:val="right"/>
        </w:trPr>
        <w:tc>
          <w:tcPr>
            <w:tcW w:w="3425" w:type="dxa"/>
            <w:vAlign w:val="center"/>
          </w:tcPr>
          <w:p w14:paraId="60E830E5" w14:textId="77777777" w:rsidR="00552466" w:rsidRPr="00C2587D" w:rsidRDefault="00552466" w:rsidP="00D7011A">
            <w:pPr>
              <w:autoSpaceDE w:val="0"/>
              <w:autoSpaceDN w:val="0"/>
              <w:adjustRightInd w:val="0"/>
              <w:rPr>
                <w:rFonts w:cs="Arial"/>
                <w:b/>
                <w:sz w:val="20"/>
                <w:szCs w:val="20"/>
              </w:rPr>
            </w:pPr>
            <w:r w:rsidRPr="00C2587D">
              <w:rPr>
                <w:rFonts w:cs="Arial"/>
                <w:b/>
                <w:sz w:val="20"/>
                <w:szCs w:val="20"/>
              </w:rPr>
              <w:t>Цільові групи проєкту та кількість отримувачів вигоди</w:t>
            </w:r>
          </w:p>
        </w:tc>
        <w:tc>
          <w:tcPr>
            <w:tcW w:w="6498" w:type="dxa"/>
            <w:gridSpan w:val="9"/>
            <w:vAlign w:val="center"/>
          </w:tcPr>
          <w:p w14:paraId="46A8A598" w14:textId="77777777" w:rsidR="00552466" w:rsidRPr="00C2587D" w:rsidRDefault="00552466" w:rsidP="00C84EFB">
            <w:pPr>
              <w:spacing w:before="40" w:after="40"/>
              <w:jc w:val="both"/>
              <w:rPr>
                <w:rFonts w:cs="Arial"/>
                <w:sz w:val="20"/>
                <w:szCs w:val="20"/>
                <w:lang w:eastAsia="it-IT"/>
              </w:rPr>
            </w:pPr>
            <w:r w:rsidRPr="00C2587D">
              <w:rPr>
                <w:rFonts w:cs="Arial"/>
                <w:sz w:val="20"/>
                <w:szCs w:val="20"/>
                <w:lang w:eastAsia="it-IT"/>
              </w:rPr>
              <w:t>СПД, жителі громади та суміжних громад 50 тис.осіб</w:t>
            </w:r>
          </w:p>
        </w:tc>
      </w:tr>
      <w:tr w:rsidR="00552466" w:rsidRPr="00C2587D" w14:paraId="61103538" w14:textId="77777777" w:rsidTr="00672B8E">
        <w:trPr>
          <w:jc w:val="right"/>
        </w:trPr>
        <w:tc>
          <w:tcPr>
            <w:tcW w:w="3425" w:type="dxa"/>
            <w:shd w:val="clear" w:color="auto" w:fill="FFFFFF"/>
            <w:vAlign w:val="center"/>
          </w:tcPr>
          <w:p w14:paraId="5A6B80BD" w14:textId="6108EFCB" w:rsidR="00552466" w:rsidRPr="00C2587D" w:rsidRDefault="00BD64BB" w:rsidP="00D7011A">
            <w:pPr>
              <w:rPr>
                <w:rFonts w:cs="Arial"/>
                <w:b/>
                <w:bCs/>
                <w:color w:val="000000"/>
                <w:sz w:val="20"/>
                <w:szCs w:val="20"/>
              </w:rPr>
            </w:pPr>
            <w:r>
              <w:rPr>
                <w:rFonts w:cs="Arial"/>
                <w:b/>
                <w:bCs/>
                <w:color w:val="000000"/>
                <w:sz w:val="20"/>
                <w:szCs w:val="20"/>
              </w:rPr>
              <w:t>Стислий опис проє</w:t>
            </w:r>
            <w:r w:rsidR="00552466" w:rsidRPr="00C2587D">
              <w:rPr>
                <w:rFonts w:cs="Arial"/>
                <w:b/>
                <w:bCs/>
                <w:color w:val="000000"/>
                <w:sz w:val="20"/>
                <w:szCs w:val="20"/>
              </w:rPr>
              <w:t>кту:</w:t>
            </w:r>
          </w:p>
        </w:tc>
        <w:tc>
          <w:tcPr>
            <w:tcW w:w="6498" w:type="dxa"/>
            <w:gridSpan w:val="9"/>
            <w:vAlign w:val="center"/>
          </w:tcPr>
          <w:p w14:paraId="6936AF58" w14:textId="77777777" w:rsidR="00552466" w:rsidRPr="00C2587D" w:rsidRDefault="00552466" w:rsidP="00C84EFB">
            <w:pPr>
              <w:pStyle w:val="af4"/>
              <w:tabs>
                <w:tab w:val="left" w:pos="285"/>
              </w:tabs>
              <w:suppressAutoHyphens w:val="0"/>
              <w:spacing w:before="40" w:after="40" w:line="240" w:lineRule="auto"/>
              <w:contextualSpacing/>
              <w:jc w:val="both"/>
              <w:rPr>
                <w:rFonts w:ascii="Arial" w:hAnsi="Arial" w:cs="Arial"/>
                <w:sz w:val="20"/>
                <w:szCs w:val="20"/>
                <w:lang w:eastAsia="it-IT"/>
              </w:rPr>
            </w:pPr>
            <w:r w:rsidRPr="00C2587D">
              <w:rPr>
                <w:rFonts w:ascii="Arial" w:hAnsi="Arial" w:cs="Arial"/>
                <w:sz w:val="20"/>
                <w:szCs w:val="20"/>
                <w:lang w:eastAsia="it-IT"/>
              </w:rPr>
              <w:t>Враховуючи наявність на території громади місцевої сировини управлінням економіки та розвитку інфраструктури підготувати презентаційні матеріали про перспективи розвитку будівельної галузі на основі місцевих сировинних ресурсів, довести до потенційних бізнес спільнот</w:t>
            </w:r>
          </w:p>
          <w:p w14:paraId="71F1B741" w14:textId="56218E85" w:rsidR="00552466" w:rsidRPr="00C2587D" w:rsidRDefault="00997CC4" w:rsidP="00C84EFB">
            <w:pPr>
              <w:pStyle w:val="af4"/>
              <w:tabs>
                <w:tab w:val="left" w:pos="285"/>
              </w:tabs>
              <w:suppressAutoHyphens w:val="0"/>
              <w:spacing w:before="40" w:after="40" w:line="240" w:lineRule="auto"/>
              <w:contextualSpacing/>
              <w:jc w:val="both"/>
              <w:rPr>
                <w:rFonts w:ascii="Arial" w:hAnsi="Arial" w:cs="Arial"/>
                <w:sz w:val="20"/>
                <w:szCs w:val="20"/>
                <w:lang w:eastAsia="it-IT"/>
              </w:rPr>
            </w:pPr>
            <w:r>
              <w:rPr>
                <w:rFonts w:ascii="Arial" w:hAnsi="Arial" w:cs="Arial"/>
                <w:sz w:val="20"/>
                <w:szCs w:val="20"/>
                <w:lang w:eastAsia="it-IT"/>
              </w:rPr>
              <w:t>Залучити проє</w:t>
            </w:r>
            <w:r w:rsidR="00552466" w:rsidRPr="00C2587D">
              <w:rPr>
                <w:rFonts w:ascii="Arial" w:hAnsi="Arial" w:cs="Arial"/>
                <w:sz w:val="20"/>
                <w:szCs w:val="20"/>
                <w:lang w:eastAsia="it-IT"/>
              </w:rPr>
              <w:t>ктні організації та підприємства, які працюють в гал</w:t>
            </w:r>
            <w:r w:rsidR="00C84EFB">
              <w:rPr>
                <w:rFonts w:ascii="Arial" w:hAnsi="Arial" w:cs="Arial"/>
                <w:sz w:val="20"/>
                <w:szCs w:val="20"/>
                <w:lang w:eastAsia="it-IT"/>
              </w:rPr>
              <w:t>узі розробки корисних копалин, д</w:t>
            </w:r>
            <w:r w:rsidR="00552466" w:rsidRPr="00C2587D">
              <w:rPr>
                <w:rFonts w:ascii="Arial" w:hAnsi="Arial" w:cs="Arial"/>
                <w:sz w:val="20"/>
                <w:szCs w:val="20"/>
                <w:lang w:eastAsia="it-IT"/>
              </w:rPr>
              <w:t>о створення каталогу корисних копальнь громади</w:t>
            </w:r>
          </w:p>
        </w:tc>
      </w:tr>
      <w:tr w:rsidR="00552466" w:rsidRPr="00C2587D" w14:paraId="19A9A027" w14:textId="77777777" w:rsidTr="00672B8E">
        <w:trPr>
          <w:jc w:val="right"/>
        </w:trPr>
        <w:tc>
          <w:tcPr>
            <w:tcW w:w="3425" w:type="dxa"/>
            <w:shd w:val="clear" w:color="auto" w:fill="FFFFFF"/>
            <w:vAlign w:val="center"/>
          </w:tcPr>
          <w:p w14:paraId="45D681E1" w14:textId="77777777" w:rsidR="00552466" w:rsidRPr="00C2587D" w:rsidRDefault="00552466" w:rsidP="00D7011A">
            <w:pPr>
              <w:rPr>
                <w:rFonts w:cs="Arial"/>
                <w:b/>
                <w:bCs/>
                <w:color w:val="000000"/>
                <w:sz w:val="20"/>
                <w:szCs w:val="20"/>
              </w:rPr>
            </w:pPr>
            <w:r w:rsidRPr="00C2587D">
              <w:rPr>
                <w:rFonts w:cs="Arial"/>
                <w:b/>
                <w:bCs/>
                <w:color w:val="000000"/>
                <w:sz w:val="20"/>
                <w:szCs w:val="20"/>
              </w:rPr>
              <w:t>Основні заходи проєкту</w:t>
            </w:r>
          </w:p>
        </w:tc>
        <w:tc>
          <w:tcPr>
            <w:tcW w:w="6498" w:type="dxa"/>
            <w:gridSpan w:val="9"/>
            <w:shd w:val="clear" w:color="auto" w:fill="FFFFFF"/>
          </w:tcPr>
          <w:p w14:paraId="51417B17" w14:textId="77777777" w:rsidR="00552466" w:rsidRPr="00C2587D" w:rsidRDefault="00552466" w:rsidP="00C84EFB">
            <w:pPr>
              <w:tabs>
                <w:tab w:val="left" w:pos="285"/>
              </w:tabs>
              <w:spacing w:before="40" w:after="40"/>
              <w:contextualSpacing/>
              <w:jc w:val="both"/>
              <w:rPr>
                <w:rFonts w:cs="Arial"/>
                <w:sz w:val="20"/>
                <w:szCs w:val="20"/>
                <w:lang w:eastAsia="it-IT"/>
              </w:rPr>
            </w:pPr>
            <w:r w:rsidRPr="00C2587D">
              <w:rPr>
                <w:rFonts w:cs="Arial"/>
                <w:sz w:val="20"/>
                <w:szCs w:val="20"/>
                <w:lang w:eastAsia="it-IT"/>
              </w:rPr>
              <w:t xml:space="preserve">Підготовка інвестиційного паспорту Жмеринської міської територіальної громади, з урахування сировинного потенціалу. </w:t>
            </w:r>
          </w:p>
          <w:p w14:paraId="581BFFD7" w14:textId="2D0208E2" w:rsidR="00552466" w:rsidRPr="00C2587D" w:rsidRDefault="00997CC4" w:rsidP="00C84EFB">
            <w:pPr>
              <w:tabs>
                <w:tab w:val="left" w:pos="285"/>
              </w:tabs>
              <w:spacing w:before="40" w:after="40"/>
              <w:contextualSpacing/>
              <w:jc w:val="both"/>
              <w:rPr>
                <w:rFonts w:cs="Arial"/>
                <w:sz w:val="20"/>
                <w:szCs w:val="20"/>
                <w:lang w:eastAsia="it-IT"/>
              </w:rPr>
            </w:pPr>
            <w:r>
              <w:rPr>
                <w:rFonts w:cs="Arial"/>
                <w:sz w:val="20"/>
                <w:szCs w:val="20"/>
                <w:lang w:eastAsia="it-IT"/>
              </w:rPr>
              <w:t>Залучення проє</w:t>
            </w:r>
            <w:r w:rsidR="00552466" w:rsidRPr="00C2587D">
              <w:rPr>
                <w:rFonts w:cs="Arial"/>
                <w:sz w:val="20"/>
                <w:szCs w:val="20"/>
                <w:lang w:eastAsia="it-IT"/>
              </w:rPr>
              <w:t>ктних організацій та підприємств, які працюють в гал</w:t>
            </w:r>
            <w:r w:rsidR="00C84EFB">
              <w:rPr>
                <w:rFonts w:cs="Arial"/>
                <w:sz w:val="20"/>
                <w:szCs w:val="20"/>
                <w:lang w:eastAsia="it-IT"/>
              </w:rPr>
              <w:t>узі розробки корисних копалин, д</w:t>
            </w:r>
            <w:r w:rsidR="00552466" w:rsidRPr="00C2587D">
              <w:rPr>
                <w:rFonts w:cs="Arial"/>
                <w:sz w:val="20"/>
                <w:szCs w:val="20"/>
                <w:lang w:eastAsia="it-IT"/>
              </w:rPr>
              <w:t>о створення каталогу корисних копальнь громади</w:t>
            </w:r>
          </w:p>
          <w:p w14:paraId="4532B6D1" w14:textId="77777777" w:rsidR="00552466" w:rsidRPr="00C2587D" w:rsidRDefault="00552466" w:rsidP="00C84EFB">
            <w:pPr>
              <w:tabs>
                <w:tab w:val="left" w:pos="285"/>
              </w:tabs>
              <w:spacing w:before="40" w:after="40"/>
              <w:contextualSpacing/>
              <w:jc w:val="both"/>
              <w:rPr>
                <w:rFonts w:cs="Arial"/>
                <w:sz w:val="20"/>
                <w:szCs w:val="20"/>
                <w:lang w:eastAsia="it-IT"/>
              </w:rPr>
            </w:pPr>
            <w:r w:rsidRPr="00C2587D">
              <w:rPr>
                <w:rFonts w:cs="Arial"/>
                <w:sz w:val="20"/>
                <w:szCs w:val="20"/>
                <w:lang w:eastAsia="it-IT"/>
              </w:rPr>
              <w:t>Проведення промоцій сировинного потенціалу громади серед бізнес спільнот, на виставках будматеріалів та будівництва в Україні та за кордоном.</w:t>
            </w:r>
          </w:p>
          <w:p w14:paraId="459C565A" w14:textId="77777777" w:rsidR="00552466" w:rsidRPr="00C2587D" w:rsidRDefault="00552466" w:rsidP="00C84EFB">
            <w:pPr>
              <w:tabs>
                <w:tab w:val="left" w:pos="285"/>
              </w:tabs>
              <w:spacing w:before="40" w:after="40"/>
              <w:contextualSpacing/>
              <w:jc w:val="both"/>
              <w:rPr>
                <w:rFonts w:cs="Arial"/>
                <w:sz w:val="20"/>
                <w:szCs w:val="20"/>
                <w:lang w:eastAsia="it-IT"/>
              </w:rPr>
            </w:pPr>
            <w:r w:rsidRPr="00C2587D">
              <w:rPr>
                <w:rFonts w:cs="Arial"/>
                <w:sz w:val="20"/>
                <w:szCs w:val="20"/>
                <w:lang w:eastAsia="it-IT"/>
              </w:rPr>
              <w:t>Підтримка будівельних кластерів</w:t>
            </w:r>
          </w:p>
        </w:tc>
      </w:tr>
      <w:tr w:rsidR="00552466" w:rsidRPr="00C2587D" w14:paraId="7F8C17D0" w14:textId="77777777" w:rsidTr="00672B8E">
        <w:trPr>
          <w:jc w:val="right"/>
        </w:trPr>
        <w:tc>
          <w:tcPr>
            <w:tcW w:w="3425" w:type="dxa"/>
            <w:shd w:val="clear" w:color="auto" w:fill="FFFFFF"/>
            <w:vAlign w:val="center"/>
          </w:tcPr>
          <w:p w14:paraId="1B71A966" w14:textId="77777777" w:rsidR="00552466" w:rsidRPr="00C2587D" w:rsidRDefault="00552466" w:rsidP="00D7011A">
            <w:pPr>
              <w:rPr>
                <w:rFonts w:cs="Arial"/>
                <w:b/>
                <w:bCs/>
                <w:color w:val="000000"/>
                <w:sz w:val="20"/>
                <w:szCs w:val="20"/>
              </w:rPr>
            </w:pPr>
            <w:r w:rsidRPr="00C2587D">
              <w:rPr>
                <w:rFonts w:cs="Arial"/>
                <w:b/>
                <w:bCs/>
                <w:color w:val="000000"/>
                <w:sz w:val="20"/>
                <w:szCs w:val="20"/>
              </w:rPr>
              <w:t>Індикатори (показники) результативності</w:t>
            </w:r>
          </w:p>
        </w:tc>
        <w:tc>
          <w:tcPr>
            <w:tcW w:w="6498" w:type="dxa"/>
            <w:gridSpan w:val="9"/>
            <w:vAlign w:val="center"/>
          </w:tcPr>
          <w:p w14:paraId="727C6E7E" w14:textId="77777777" w:rsidR="00552466" w:rsidRPr="00C2587D" w:rsidRDefault="00552466" w:rsidP="00C84EFB">
            <w:pPr>
              <w:jc w:val="both"/>
              <w:rPr>
                <w:rFonts w:cs="Arial"/>
                <w:sz w:val="20"/>
                <w:szCs w:val="20"/>
                <w:lang w:eastAsia="it-IT"/>
              </w:rPr>
            </w:pPr>
            <w:r w:rsidRPr="00C2587D">
              <w:rPr>
                <w:rFonts w:cs="Arial"/>
                <w:sz w:val="20"/>
                <w:szCs w:val="20"/>
                <w:lang w:eastAsia="it-IT"/>
              </w:rPr>
              <w:t>об’єми родовищ сировини (граніт, пісок, вапняк тощо)</w:t>
            </w:r>
          </w:p>
          <w:p w14:paraId="2AA7B9B5" w14:textId="77777777" w:rsidR="00552466" w:rsidRPr="00C2587D" w:rsidRDefault="00552466" w:rsidP="00C84EFB">
            <w:pPr>
              <w:jc w:val="both"/>
              <w:rPr>
                <w:rFonts w:cs="Arial"/>
                <w:sz w:val="20"/>
                <w:szCs w:val="20"/>
                <w:lang w:eastAsia="it-IT"/>
              </w:rPr>
            </w:pPr>
            <w:r w:rsidRPr="00C2587D">
              <w:rPr>
                <w:rFonts w:cs="Arial"/>
                <w:sz w:val="20"/>
                <w:szCs w:val="20"/>
                <w:lang w:eastAsia="it-IT"/>
              </w:rPr>
              <w:t>кількість галузевих виставок в яких презентовано сировинний потенціал, кількість підприємств які використовують місцеву сировину для виробництва будівельних матеріалів тощо.</w:t>
            </w:r>
          </w:p>
        </w:tc>
      </w:tr>
      <w:tr w:rsidR="00552466" w:rsidRPr="00C2587D" w14:paraId="74FF66AB" w14:textId="77777777" w:rsidTr="00672B8E">
        <w:trPr>
          <w:jc w:val="right"/>
        </w:trPr>
        <w:tc>
          <w:tcPr>
            <w:tcW w:w="3425" w:type="dxa"/>
            <w:shd w:val="clear" w:color="auto" w:fill="FFFFFF"/>
            <w:vAlign w:val="center"/>
          </w:tcPr>
          <w:p w14:paraId="3C7A7635" w14:textId="77777777" w:rsidR="00552466" w:rsidRPr="00C2587D" w:rsidRDefault="00552466" w:rsidP="00D7011A">
            <w:pPr>
              <w:rPr>
                <w:rFonts w:cs="Arial"/>
                <w:b/>
                <w:color w:val="000000"/>
                <w:sz w:val="20"/>
                <w:szCs w:val="20"/>
              </w:rPr>
            </w:pPr>
            <w:r w:rsidRPr="00C2587D">
              <w:rPr>
                <w:rFonts w:cs="Arial"/>
                <w:b/>
                <w:color w:val="000000"/>
                <w:sz w:val="20"/>
                <w:szCs w:val="20"/>
              </w:rPr>
              <w:t xml:space="preserve">Період здійснення: </w:t>
            </w:r>
          </w:p>
        </w:tc>
        <w:tc>
          <w:tcPr>
            <w:tcW w:w="6498" w:type="dxa"/>
            <w:gridSpan w:val="9"/>
            <w:vAlign w:val="center"/>
          </w:tcPr>
          <w:p w14:paraId="41159B9B" w14:textId="77777777" w:rsidR="00552466" w:rsidRPr="00C2587D" w:rsidRDefault="00552466" w:rsidP="00C84EFB">
            <w:pPr>
              <w:jc w:val="both"/>
              <w:rPr>
                <w:rFonts w:cs="Arial"/>
                <w:sz w:val="20"/>
                <w:szCs w:val="20"/>
                <w:lang w:eastAsia="it-IT"/>
              </w:rPr>
            </w:pPr>
            <w:r w:rsidRPr="00C2587D">
              <w:rPr>
                <w:rFonts w:cs="Arial"/>
                <w:b/>
                <w:sz w:val="20"/>
                <w:szCs w:val="20"/>
              </w:rPr>
              <w:t>2025 – 2028 роки:</w:t>
            </w:r>
          </w:p>
        </w:tc>
      </w:tr>
      <w:tr w:rsidR="00552466" w:rsidRPr="00C2587D" w14:paraId="7BC30BD0" w14:textId="77777777" w:rsidTr="00672B8E">
        <w:trPr>
          <w:jc w:val="right"/>
        </w:trPr>
        <w:tc>
          <w:tcPr>
            <w:tcW w:w="3425" w:type="dxa"/>
            <w:vMerge w:val="restart"/>
            <w:shd w:val="clear" w:color="auto" w:fill="FFFFFF"/>
            <w:vAlign w:val="center"/>
          </w:tcPr>
          <w:p w14:paraId="05129467" w14:textId="38639744" w:rsidR="00552466" w:rsidRPr="00C2587D" w:rsidRDefault="00997CC4" w:rsidP="00D7011A">
            <w:pPr>
              <w:rPr>
                <w:rFonts w:cs="Arial"/>
                <w:b/>
                <w:bCs/>
                <w:color w:val="000000"/>
                <w:sz w:val="20"/>
                <w:szCs w:val="20"/>
              </w:rPr>
            </w:pPr>
            <w:r>
              <w:rPr>
                <w:rFonts w:cs="Arial"/>
                <w:b/>
                <w:bCs/>
                <w:color w:val="000000"/>
                <w:sz w:val="20"/>
                <w:szCs w:val="20"/>
              </w:rPr>
              <w:t>Орієнтовна вартість проє</w:t>
            </w:r>
            <w:r w:rsidR="00552466" w:rsidRPr="00C2587D">
              <w:rPr>
                <w:rFonts w:cs="Arial"/>
                <w:b/>
                <w:bCs/>
                <w:color w:val="000000"/>
                <w:sz w:val="20"/>
                <w:szCs w:val="20"/>
              </w:rPr>
              <w:t>кту, тис. грн., тому числі:</w:t>
            </w:r>
          </w:p>
        </w:tc>
        <w:tc>
          <w:tcPr>
            <w:tcW w:w="1254" w:type="dxa"/>
            <w:shd w:val="clear" w:color="auto" w:fill="E6E6E6"/>
            <w:vAlign w:val="center"/>
          </w:tcPr>
          <w:p w14:paraId="34D3E4A6" w14:textId="77777777" w:rsidR="00552466" w:rsidRPr="00C2587D" w:rsidRDefault="00552466" w:rsidP="00C84EFB">
            <w:pPr>
              <w:jc w:val="center"/>
              <w:rPr>
                <w:rFonts w:cs="Arial"/>
                <w:b/>
                <w:sz w:val="20"/>
                <w:szCs w:val="20"/>
                <w:lang w:eastAsia="it-IT"/>
              </w:rPr>
            </w:pPr>
            <w:r w:rsidRPr="00C2587D">
              <w:rPr>
                <w:rFonts w:cs="Arial"/>
                <w:b/>
                <w:sz w:val="20"/>
                <w:szCs w:val="20"/>
                <w:lang w:eastAsia="it-IT"/>
              </w:rPr>
              <w:t>2025</w:t>
            </w:r>
          </w:p>
        </w:tc>
        <w:tc>
          <w:tcPr>
            <w:tcW w:w="1417" w:type="dxa"/>
            <w:gridSpan w:val="3"/>
            <w:shd w:val="clear" w:color="auto" w:fill="E6E6E6"/>
            <w:vAlign w:val="center"/>
          </w:tcPr>
          <w:p w14:paraId="3FF774BE" w14:textId="77777777" w:rsidR="00552466" w:rsidRPr="00C2587D" w:rsidRDefault="00552466" w:rsidP="00C84EFB">
            <w:pPr>
              <w:jc w:val="center"/>
              <w:rPr>
                <w:rFonts w:cs="Arial"/>
                <w:b/>
                <w:sz w:val="20"/>
                <w:szCs w:val="20"/>
                <w:lang w:eastAsia="it-IT"/>
              </w:rPr>
            </w:pPr>
            <w:r w:rsidRPr="00C2587D">
              <w:rPr>
                <w:rFonts w:cs="Arial"/>
                <w:b/>
                <w:sz w:val="20"/>
                <w:szCs w:val="20"/>
                <w:lang w:eastAsia="it-IT"/>
              </w:rPr>
              <w:t>2026</w:t>
            </w:r>
          </w:p>
        </w:tc>
        <w:tc>
          <w:tcPr>
            <w:tcW w:w="1418" w:type="dxa"/>
            <w:tcBorders>
              <w:bottom w:val="single" w:sz="4" w:space="0" w:color="auto"/>
            </w:tcBorders>
            <w:shd w:val="clear" w:color="auto" w:fill="E6E6E6"/>
            <w:vAlign w:val="center"/>
          </w:tcPr>
          <w:p w14:paraId="13467EF5" w14:textId="77777777" w:rsidR="00552466" w:rsidRPr="00C2587D" w:rsidRDefault="00552466" w:rsidP="00C84EFB">
            <w:pPr>
              <w:jc w:val="center"/>
              <w:rPr>
                <w:rFonts w:cs="Arial"/>
                <w:b/>
                <w:sz w:val="20"/>
                <w:szCs w:val="20"/>
                <w:lang w:eastAsia="it-IT"/>
              </w:rPr>
            </w:pPr>
            <w:r w:rsidRPr="00C2587D">
              <w:rPr>
                <w:rFonts w:cs="Arial"/>
                <w:b/>
                <w:sz w:val="20"/>
                <w:szCs w:val="20"/>
                <w:lang w:eastAsia="it-IT"/>
              </w:rPr>
              <w:t>2027</w:t>
            </w:r>
          </w:p>
        </w:tc>
        <w:tc>
          <w:tcPr>
            <w:tcW w:w="1275" w:type="dxa"/>
            <w:gridSpan w:val="2"/>
            <w:shd w:val="clear" w:color="auto" w:fill="E6E6E6"/>
            <w:vAlign w:val="center"/>
          </w:tcPr>
          <w:p w14:paraId="12813FFE" w14:textId="77777777" w:rsidR="00552466" w:rsidRPr="00C2587D" w:rsidRDefault="00552466" w:rsidP="00C84EFB">
            <w:pPr>
              <w:jc w:val="center"/>
              <w:rPr>
                <w:rFonts w:cs="Arial"/>
                <w:b/>
                <w:sz w:val="20"/>
                <w:szCs w:val="20"/>
                <w:lang w:eastAsia="it-IT"/>
              </w:rPr>
            </w:pPr>
            <w:r w:rsidRPr="00C2587D">
              <w:rPr>
                <w:rFonts w:cs="Arial"/>
                <w:b/>
                <w:sz w:val="20"/>
                <w:szCs w:val="20"/>
                <w:lang w:eastAsia="it-IT"/>
              </w:rPr>
              <w:t>2028</w:t>
            </w:r>
          </w:p>
        </w:tc>
        <w:tc>
          <w:tcPr>
            <w:tcW w:w="1134" w:type="dxa"/>
            <w:gridSpan w:val="2"/>
            <w:shd w:val="clear" w:color="auto" w:fill="E6E6E6"/>
            <w:vAlign w:val="center"/>
          </w:tcPr>
          <w:p w14:paraId="0380B597" w14:textId="77777777" w:rsidR="00552466" w:rsidRPr="00C2587D" w:rsidRDefault="00552466" w:rsidP="00C84EFB">
            <w:pPr>
              <w:jc w:val="center"/>
              <w:rPr>
                <w:rFonts w:cs="Arial"/>
                <w:b/>
                <w:sz w:val="20"/>
                <w:szCs w:val="20"/>
                <w:lang w:eastAsia="it-IT"/>
              </w:rPr>
            </w:pPr>
            <w:r w:rsidRPr="00C2587D">
              <w:rPr>
                <w:rFonts w:cs="Arial"/>
                <w:b/>
                <w:sz w:val="20"/>
                <w:szCs w:val="20"/>
                <w:lang w:eastAsia="it-IT"/>
              </w:rPr>
              <w:t>Разом</w:t>
            </w:r>
          </w:p>
        </w:tc>
      </w:tr>
      <w:tr w:rsidR="00552466" w:rsidRPr="00C2587D" w14:paraId="07A5A20E" w14:textId="77777777" w:rsidTr="00672B8E">
        <w:trPr>
          <w:jc w:val="right"/>
        </w:trPr>
        <w:tc>
          <w:tcPr>
            <w:tcW w:w="3425" w:type="dxa"/>
            <w:vMerge/>
            <w:shd w:val="clear" w:color="auto" w:fill="FFFFFF"/>
            <w:vAlign w:val="center"/>
          </w:tcPr>
          <w:p w14:paraId="04A91FFB" w14:textId="77777777" w:rsidR="00552466" w:rsidRPr="00C2587D" w:rsidRDefault="00552466" w:rsidP="00D7011A">
            <w:pPr>
              <w:rPr>
                <w:rFonts w:cs="Arial"/>
                <w:b/>
                <w:bCs/>
                <w:color w:val="000000"/>
                <w:sz w:val="20"/>
                <w:szCs w:val="20"/>
              </w:rPr>
            </w:pPr>
          </w:p>
        </w:tc>
        <w:tc>
          <w:tcPr>
            <w:tcW w:w="1254" w:type="dxa"/>
            <w:vAlign w:val="center"/>
          </w:tcPr>
          <w:p w14:paraId="673C8592" w14:textId="77777777" w:rsidR="00552466" w:rsidRPr="00C2587D" w:rsidRDefault="00552466" w:rsidP="00C84EFB">
            <w:pPr>
              <w:jc w:val="center"/>
              <w:rPr>
                <w:rFonts w:cs="Arial"/>
                <w:b/>
                <w:sz w:val="20"/>
                <w:szCs w:val="20"/>
                <w:lang w:eastAsia="it-IT"/>
              </w:rPr>
            </w:pPr>
            <w:r w:rsidRPr="00C2587D">
              <w:rPr>
                <w:rFonts w:cs="Arial"/>
                <w:b/>
                <w:sz w:val="20"/>
                <w:szCs w:val="20"/>
                <w:lang w:eastAsia="it-IT"/>
              </w:rPr>
              <w:t>0</w:t>
            </w:r>
          </w:p>
        </w:tc>
        <w:tc>
          <w:tcPr>
            <w:tcW w:w="1417" w:type="dxa"/>
            <w:gridSpan w:val="3"/>
            <w:shd w:val="clear" w:color="auto" w:fill="FFFFFF"/>
            <w:vAlign w:val="center"/>
          </w:tcPr>
          <w:p w14:paraId="17DD2462" w14:textId="77777777" w:rsidR="00552466" w:rsidRPr="00C2587D" w:rsidRDefault="00552466" w:rsidP="00C84EFB">
            <w:pPr>
              <w:jc w:val="center"/>
              <w:rPr>
                <w:rFonts w:cs="Arial"/>
                <w:b/>
                <w:sz w:val="20"/>
                <w:szCs w:val="20"/>
                <w:lang w:eastAsia="it-IT"/>
              </w:rPr>
            </w:pPr>
            <w:r w:rsidRPr="00C2587D">
              <w:rPr>
                <w:rFonts w:cs="Arial"/>
                <w:b/>
                <w:sz w:val="20"/>
                <w:szCs w:val="20"/>
                <w:lang w:eastAsia="it-IT"/>
              </w:rPr>
              <w:t>50,0</w:t>
            </w:r>
          </w:p>
        </w:tc>
        <w:tc>
          <w:tcPr>
            <w:tcW w:w="1418" w:type="dxa"/>
            <w:shd w:val="clear" w:color="auto" w:fill="auto"/>
            <w:vAlign w:val="center"/>
          </w:tcPr>
          <w:p w14:paraId="19C97E20" w14:textId="77777777" w:rsidR="00552466" w:rsidRPr="00C2587D" w:rsidRDefault="00552466" w:rsidP="00C84EFB">
            <w:pPr>
              <w:jc w:val="center"/>
              <w:rPr>
                <w:rFonts w:cs="Arial"/>
                <w:b/>
                <w:sz w:val="20"/>
                <w:szCs w:val="20"/>
                <w:lang w:eastAsia="it-IT"/>
              </w:rPr>
            </w:pPr>
            <w:r w:rsidRPr="00C2587D">
              <w:rPr>
                <w:rFonts w:cs="Arial"/>
                <w:b/>
                <w:sz w:val="20"/>
                <w:szCs w:val="20"/>
                <w:lang w:eastAsia="it-IT"/>
              </w:rPr>
              <w:t>100,0</w:t>
            </w:r>
          </w:p>
        </w:tc>
        <w:tc>
          <w:tcPr>
            <w:tcW w:w="1275" w:type="dxa"/>
            <w:gridSpan w:val="2"/>
            <w:shd w:val="clear" w:color="auto" w:fill="FFFFFF"/>
            <w:vAlign w:val="center"/>
          </w:tcPr>
          <w:p w14:paraId="61F83FC7" w14:textId="77777777" w:rsidR="00552466" w:rsidRPr="00C2587D" w:rsidRDefault="00552466" w:rsidP="00C84EFB">
            <w:pPr>
              <w:jc w:val="center"/>
              <w:rPr>
                <w:rFonts w:cs="Arial"/>
                <w:b/>
                <w:sz w:val="20"/>
                <w:szCs w:val="20"/>
                <w:lang w:eastAsia="it-IT"/>
              </w:rPr>
            </w:pPr>
            <w:r w:rsidRPr="00C2587D">
              <w:rPr>
                <w:rFonts w:cs="Arial"/>
                <w:b/>
                <w:sz w:val="20"/>
                <w:szCs w:val="20"/>
                <w:lang w:eastAsia="it-IT"/>
              </w:rPr>
              <w:t>100,0</w:t>
            </w:r>
          </w:p>
        </w:tc>
        <w:tc>
          <w:tcPr>
            <w:tcW w:w="1134" w:type="dxa"/>
            <w:gridSpan w:val="2"/>
            <w:shd w:val="clear" w:color="auto" w:fill="FFFFFF"/>
            <w:vAlign w:val="center"/>
          </w:tcPr>
          <w:p w14:paraId="0BB3B14E" w14:textId="77777777" w:rsidR="00552466" w:rsidRPr="00C2587D" w:rsidRDefault="00552466" w:rsidP="00C84EFB">
            <w:pPr>
              <w:jc w:val="center"/>
              <w:rPr>
                <w:rFonts w:cs="Arial"/>
                <w:b/>
                <w:sz w:val="20"/>
                <w:szCs w:val="20"/>
                <w:lang w:eastAsia="it-IT"/>
              </w:rPr>
            </w:pPr>
            <w:r w:rsidRPr="00C2587D">
              <w:rPr>
                <w:rFonts w:cs="Arial"/>
                <w:b/>
                <w:sz w:val="20"/>
                <w:szCs w:val="20"/>
                <w:lang w:eastAsia="it-IT"/>
              </w:rPr>
              <w:t>250,0</w:t>
            </w:r>
          </w:p>
        </w:tc>
      </w:tr>
      <w:tr w:rsidR="00552466" w:rsidRPr="00C2587D" w14:paraId="604277B7" w14:textId="77777777" w:rsidTr="00672B8E">
        <w:trPr>
          <w:trHeight w:val="206"/>
          <w:jc w:val="right"/>
        </w:trPr>
        <w:tc>
          <w:tcPr>
            <w:tcW w:w="3425" w:type="dxa"/>
            <w:shd w:val="clear" w:color="auto" w:fill="FFFFFF"/>
            <w:vAlign w:val="center"/>
          </w:tcPr>
          <w:p w14:paraId="7846A6B5" w14:textId="77777777" w:rsidR="00552466" w:rsidRPr="00C2587D" w:rsidRDefault="00552466" w:rsidP="00D7011A">
            <w:pPr>
              <w:rPr>
                <w:rFonts w:cs="Arial"/>
                <w:b/>
                <w:bCs/>
                <w:color w:val="000000"/>
                <w:sz w:val="20"/>
                <w:szCs w:val="20"/>
              </w:rPr>
            </w:pPr>
            <w:r w:rsidRPr="00C2587D">
              <w:rPr>
                <w:rFonts w:cs="Arial"/>
                <w:b/>
                <w:bCs/>
                <w:color w:val="000000"/>
                <w:sz w:val="20"/>
                <w:szCs w:val="20"/>
              </w:rPr>
              <w:t>по джерелах фінансування:</w:t>
            </w:r>
          </w:p>
        </w:tc>
        <w:tc>
          <w:tcPr>
            <w:tcW w:w="6498" w:type="dxa"/>
            <w:gridSpan w:val="9"/>
            <w:vAlign w:val="center"/>
          </w:tcPr>
          <w:p w14:paraId="497673BA" w14:textId="77777777" w:rsidR="00552466" w:rsidRPr="00C2587D" w:rsidRDefault="00552466" w:rsidP="00C84EFB">
            <w:pPr>
              <w:jc w:val="center"/>
              <w:rPr>
                <w:rFonts w:cs="Arial"/>
                <w:sz w:val="20"/>
                <w:szCs w:val="20"/>
                <w:lang w:eastAsia="it-IT"/>
              </w:rPr>
            </w:pPr>
          </w:p>
        </w:tc>
      </w:tr>
      <w:tr w:rsidR="00552466" w:rsidRPr="00C2587D" w14:paraId="4E0B994F" w14:textId="77777777" w:rsidTr="00672B8E">
        <w:trPr>
          <w:trHeight w:val="285"/>
          <w:jc w:val="right"/>
        </w:trPr>
        <w:tc>
          <w:tcPr>
            <w:tcW w:w="3425" w:type="dxa"/>
            <w:shd w:val="clear" w:color="auto" w:fill="FFFFFF"/>
            <w:vAlign w:val="center"/>
          </w:tcPr>
          <w:p w14:paraId="70F79CD1" w14:textId="77777777" w:rsidR="00552466" w:rsidRPr="00C2587D" w:rsidRDefault="00552466" w:rsidP="00C84EFB">
            <w:pPr>
              <w:rPr>
                <w:rFonts w:cs="Arial"/>
                <w:b/>
                <w:bCs/>
                <w:color w:val="000000"/>
                <w:sz w:val="20"/>
                <w:szCs w:val="20"/>
              </w:rPr>
            </w:pPr>
            <w:r w:rsidRPr="00C2587D">
              <w:rPr>
                <w:rFonts w:cs="Arial"/>
                <w:color w:val="000000"/>
                <w:sz w:val="20"/>
                <w:szCs w:val="20"/>
              </w:rPr>
              <w:t>-державний бюджет;</w:t>
            </w:r>
          </w:p>
        </w:tc>
        <w:tc>
          <w:tcPr>
            <w:tcW w:w="1260" w:type="dxa"/>
            <w:gridSpan w:val="2"/>
            <w:vAlign w:val="center"/>
          </w:tcPr>
          <w:p w14:paraId="6647E8FF" w14:textId="77777777" w:rsidR="00552466" w:rsidRPr="00C2587D" w:rsidRDefault="00552466" w:rsidP="00C84EFB">
            <w:pPr>
              <w:jc w:val="center"/>
              <w:rPr>
                <w:rFonts w:cs="Arial"/>
                <w:sz w:val="20"/>
                <w:szCs w:val="20"/>
                <w:lang w:eastAsia="it-IT"/>
              </w:rPr>
            </w:pPr>
          </w:p>
        </w:tc>
        <w:tc>
          <w:tcPr>
            <w:tcW w:w="1350" w:type="dxa"/>
            <w:vAlign w:val="center"/>
          </w:tcPr>
          <w:p w14:paraId="6FC26E34" w14:textId="77777777" w:rsidR="00552466" w:rsidRPr="00C2587D" w:rsidRDefault="00552466" w:rsidP="00C84EFB">
            <w:pPr>
              <w:jc w:val="center"/>
              <w:rPr>
                <w:rFonts w:cs="Arial"/>
                <w:sz w:val="20"/>
                <w:szCs w:val="20"/>
                <w:lang w:eastAsia="it-IT"/>
              </w:rPr>
            </w:pPr>
          </w:p>
        </w:tc>
        <w:tc>
          <w:tcPr>
            <w:tcW w:w="1515" w:type="dxa"/>
            <w:gridSpan w:val="3"/>
            <w:vAlign w:val="center"/>
          </w:tcPr>
          <w:p w14:paraId="110AAC7E" w14:textId="77777777" w:rsidR="00552466" w:rsidRPr="00C2587D" w:rsidRDefault="00552466" w:rsidP="00C84EFB">
            <w:pPr>
              <w:jc w:val="center"/>
              <w:rPr>
                <w:rFonts w:cs="Arial"/>
                <w:sz w:val="20"/>
                <w:szCs w:val="20"/>
                <w:lang w:eastAsia="it-IT"/>
              </w:rPr>
            </w:pPr>
          </w:p>
        </w:tc>
        <w:tc>
          <w:tcPr>
            <w:tcW w:w="1245" w:type="dxa"/>
            <w:gridSpan w:val="2"/>
            <w:vAlign w:val="center"/>
          </w:tcPr>
          <w:p w14:paraId="61880AF4" w14:textId="77777777" w:rsidR="00552466" w:rsidRPr="00C2587D" w:rsidRDefault="00552466" w:rsidP="00C84EFB">
            <w:pPr>
              <w:jc w:val="center"/>
              <w:rPr>
                <w:rFonts w:cs="Arial"/>
                <w:sz w:val="20"/>
                <w:szCs w:val="20"/>
                <w:lang w:eastAsia="it-IT"/>
              </w:rPr>
            </w:pPr>
          </w:p>
        </w:tc>
        <w:tc>
          <w:tcPr>
            <w:tcW w:w="1128" w:type="dxa"/>
            <w:vAlign w:val="center"/>
          </w:tcPr>
          <w:p w14:paraId="3B1920C9" w14:textId="77777777" w:rsidR="00552466" w:rsidRPr="00C2587D" w:rsidRDefault="00552466" w:rsidP="00C84EFB">
            <w:pPr>
              <w:jc w:val="center"/>
              <w:rPr>
                <w:rFonts w:cs="Arial"/>
                <w:sz w:val="20"/>
                <w:szCs w:val="20"/>
                <w:lang w:eastAsia="it-IT"/>
              </w:rPr>
            </w:pPr>
          </w:p>
        </w:tc>
      </w:tr>
      <w:tr w:rsidR="00552466" w:rsidRPr="00C2587D" w14:paraId="416DA8FE" w14:textId="77777777" w:rsidTr="00672B8E">
        <w:trPr>
          <w:trHeight w:val="315"/>
          <w:jc w:val="right"/>
        </w:trPr>
        <w:tc>
          <w:tcPr>
            <w:tcW w:w="3425" w:type="dxa"/>
            <w:shd w:val="clear" w:color="auto" w:fill="FFFFFF"/>
            <w:vAlign w:val="center"/>
          </w:tcPr>
          <w:p w14:paraId="2E0540D2" w14:textId="77777777" w:rsidR="00552466" w:rsidRPr="00C2587D" w:rsidRDefault="00552466" w:rsidP="00D7011A">
            <w:pPr>
              <w:rPr>
                <w:rFonts w:cs="Arial"/>
                <w:b/>
                <w:bCs/>
                <w:color w:val="000000"/>
                <w:sz w:val="20"/>
                <w:szCs w:val="20"/>
              </w:rPr>
            </w:pPr>
            <w:r w:rsidRPr="00C2587D">
              <w:rPr>
                <w:rFonts w:cs="Arial"/>
                <w:color w:val="000000"/>
                <w:sz w:val="20"/>
                <w:szCs w:val="20"/>
              </w:rPr>
              <w:t>-обласний бюджет;</w:t>
            </w:r>
          </w:p>
        </w:tc>
        <w:tc>
          <w:tcPr>
            <w:tcW w:w="1260" w:type="dxa"/>
            <w:gridSpan w:val="2"/>
            <w:vAlign w:val="center"/>
          </w:tcPr>
          <w:p w14:paraId="1A9478F4" w14:textId="77777777" w:rsidR="00552466" w:rsidRPr="00C2587D" w:rsidRDefault="00552466" w:rsidP="00C84EFB">
            <w:pPr>
              <w:jc w:val="center"/>
              <w:rPr>
                <w:rFonts w:cs="Arial"/>
                <w:sz w:val="20"/>
                <w:szCs w:val="20"/>
                <w:lang w:eastAsia="it-IT"/>
              </w:rPr>
            </w:pPr>
          </w:p>
        </w:tc>
        <w:tc>
          <w:tcPr>
            <w:tcW w:w="1350" w:type="dxa"/>
            <w:vAlign w:val="center"/>
          </w:tcPr>
          <w:p w14:paraId="4CF0F91D" w14:textId="77777777" w:rsidR="00552466" w:rsidRPr="00C2587D" w:rsidRDefault="00552466" w:rsidP="00C84EFB">
            <w:pPr>
              <w:jc w:val="center"/>
              <w:rPr>
                <w:rFonts w:cs="Arial"/>
                <w:sz w:val="20"/>
                <w:szCs w:val="20"/>
                <w:lang w:eastAsia="it-IT"/>
              </w:rPr>
            </w:pPr>
          </w:p>
        </w:tc>
        <w:tc>
          <w:tcPr>
            <w:tcW w:w="1515" w:type="dxa"/>
            <w:gridSpan w:val="3"/>
            <w:vAlign w:val="center"/>
          </w:tcPr>
          <w:p w14:paraId="5391AA85" w14:textId="77777777" w:rsidR="00552466" w:rsidRPr="00C2587D" w:rsidRDefault="00552466" w:rsidP="00C84EFB">
            <w:pPr>
              <w:jc w:val="center"/>
              <w:rPr>
                <w:rFonts w:cs="Arial"/>
                <w:sz w:val="20"/>
                <w:szCs w:val="20"/>
                <w:lang w:eastAsia="it-IT"/>
              </w:rPr>
            </w:pPr>
          </w:p>
        </w:tc>
        <w:tc>
          <w:tcPr>
            <w:tcW w:w="1245" w:type="dxa"/>
            <w:gridSpan w:val="2"/>
            <w:vAlign w:val="center"/>
          </w:tcPr>
          <w:p w14:paraId="16479A1E" w14:textId="77777777" w:rsidR="00552466" w:rsidRPr="00C2587D" w:rsidRDefault="00552466" w:rsidP="00C84EFB">
            <w:pPr>
              <w:jc w:val="center"/>
              <w:rPr>
                <w:rFonts w:cs="Arial"/>
                <w:sz w:val="20"/>
                <w:szCs w:val="20"/>
                <w:lang w:eastAsia="it-IT"/>
              </w:rPr>
            </w:pPr>
          </w:p>
        </w:tc>
        <w:tc>
          <w:tcPr>
            <w:tcW w:w="1128" w:type="dxa"/>
            <w:vAlign w:val="center"/>
          </w:tcPr>
          <w:p w14:paraId="53F036A8" w14:textId="77777777" w:rsidR="00552466" w:rsidRPr="00C2587D" w:rsidRDefault="00552466" w:rsidP="00C84EFB">
            <w:pPr>
              <w:jc w:val="center"/>
              <w:rPr>
                <w:rFonts w:cs="Arial"/>
                <w:sz w:val="20"/>
                <w:szCs w:val="20"/>
                <w:lang w:eastAsia="it-IT"/>
              </w:rPr>
            </w:pPr>
          </w:p>
        </w:tc>
      </w:tr>
      <w:tr w:rsidR="00552466" w:rsidRPr="00C2587D" w14:paraId="54ADAB78" w14:textId="77777777" w:rsidTr="00672B8E">
        <w:trPr>
          <w:trHeight w:val="240"/>
          <w:jc w:val="right"/>
        </w:trPr>
        <w:tc>
          <w:tcPr>
            <w:tcW w:w="3425" w:type="dxa"/>
            <w:shd w:val="clear" w:color="auto" w:fill="FFFFFF"/>
            <w:vAlign w:val="center"/>
          </w:tcPr>
          <w:p w14:paraId="26F8E993" w14:textId="77777777" w:rsidR="00552466" w:rsidRPr="00C2587D" w:rsidRDefault="00552466" w:rsidP="00D7011A">
            <w:pPr>
              <w:rPr>
                <w:rFonts w:cs="Arial"/>
                <w:color w:val="000000"/>
                <w:sz w:val="20"/>
                <w:szCs w:val="20"/>
              </w:rPr>
            </w:pPr>
            <w:r w:rsidRPr="00C2587D">
              <w:rPr>
                <w:rFonts w:cs="Arial"/>
                <w:color w:val="000000"/>
                <w:sz w:val="20"/>
                <w:szCs w:val="20"/>
              </w:rPr>
              <w:t xml:space="preserve">-бюджет Жмеринської МТГ; </w:t>
            </w:r>
          </w:p>
        </w:tc>
        <w:tc>
          <w:tcPr>
            <w:tcW w:w="1260" w:type="dxa"/>
            <w:gridSpan w:val="2"/>
            <w:vAlign w:val="center"/>
          </w:tcPr>
          <w:p w14:paraId="362562F3" w14:textId="77777777" w:rsidR="00552466" w:rsidRPr="00C2587D" w:rsidRDefault="00552466" w:rsidP="00C84EFB">
            <w:pPr>
              <w:jc w:val="center"/>
              <w:rPr>
                <w:rFonts w:cs="Arial"/>
                <w:b/>
                <w:sz w:val="20"/>
                <w:szCs w:val="20"/>
                <w:lang w:eastAsia="it-IT"/>
              </w:rPr>
            </w:pPr>
            <w:r w:rsidRPr="00C2587D">
              <w:rPr>
                <w:rFonts w:cs="Arial"/>
                <w:b/>
                <w:sz w:val="20"/>
                <w:szCs w:val="20"/>
                <w:lang w:eastAsia="it-IT"/>
              </w:rPr>
              <w:t>0</w:t>
            </w:r>
          </w:p>
        </w:tc>
        <w:tc>
          <w:tcPr>
            <w:tcW w:w="1350" w:type="dxa"/>
            <w:vAlign w:val="center"/>
          </w:tcPr>
          <w:p w14:paraId="5351E71B" w14:textId="77777777" w:rsidR="00552466" w:rsidRPr="00C2587D" w:rsidRDefault="00552466" w:rsidP="00C84EFB">
            <w:pPr>
              <w:jc w:val="center"/>
              <w:rPr>
                <w:rFonts w:cs="Arial"/>
                <w:b/>
                <w:sz w:val="20"/>
                <w:szCs w:val="20"/>
                <w:lang w:eastAsia="it-IT"/>
              </w:rPr>
            </w:pPr>
            <w:r w:rsidRPr="00C2587D">
              <w:rPr>
                <w:rFonts w:cs="Arial"/>
                <w:b/>
                <w:sz w:val="20"/>
                <w:szCs w:val="20"/>
                <w:lang w:eastAsia="it-IT"/>
              </w:rPr>
              <w:t>50,0</w:t>
            </w:r>
          </w:p>
        </w:tc>
        <w:tc>
          <w:tcPr>
            <w:tcW w:w="1515" w:type="dxa"/>
            <w:gridSpan w:val="3"/>
            <w:vAlign w:val="center"/>
          </w:tcPr>
          <w:p w14:paraId="081BE70E" w14:textId="77777777" w:rsidR="00552466" w:rsidRPr="00C2587D" w:rsidRDefault="00552466" w:rsidP="00C84EFB">
            <w:pPr>
              <w:jc w:val="center"/>
              <w:rPr>
                <w:rFonts w:cs="Arial"/>
                <w:b/>
                <w:sz w:val="20"/>
                <w:szCs w:val="20"/>
                <w:lang w:eastAsia="it-IT"/>
              </w:rPr>
            </w:pPr>
            <w:r w:rsidRPr="00C2587D">
              <w:rPr>
                <w:rFonts w:cs="Arial"/>
                <w:b/>
                <w:sz w:val="20"/>
                <w:szCs w:val="20"/>
                <w:lang w:eastAsia="it-IT"/>
              </w:rPr>
              <w:t>100,0</w:t>
            </w:r>
          </w:p>
        </w:tc>
        <w:tc>
          <w:tcPr>
            <w:tcW w:w="1245" w:type="dxa"/>
            <w:gridSpan w:val="2"/>
            <w:vAlign w:val="center"/>
          </w:tcPr>
          <w:p w14:paraId="317BBB4F" w14:textId="77777777" w:rsidR="00552466" w:rsidRPr="00C2587D" w:rsidRDefault="00552466" w:rsidP="00C84EFB">
            <w:pPr>
              <w:jc w:val="center"/>
              <w:rPr>
                <w:rFonts w:cs="Arial"/>
                <w:b/>
                <w:sz w:val="20"/>
                <w:szCs w:val="20"/>
                <w:lang w:eastAsia="it-IT"/>
              </w:rPr>
            </w:pPr>
            <w:r w:rsidRPr="00C2587D">
              <w:rPr>
                <w:rFonts w:cs="Arial"/>
                <w:b/>
                <w:sz w:val="20"/>
                <w:szCs w:val="20"/>
                <w:lang w:eastAsia="it-IT"/>
              </w:rPr>
              <w:t>100,0</w:t>
            </w:r>
          </w:p>
        </w:tc>
        <w:tc>
          <w:tcPr>
            <w:tcW w:w="1128" w:type="dxa"/>
            <w:vAlign w:val="center"/>
          </w:tcPr>
          <w:p w14:paraId="72CD9A84" w14:textId="77777777" w:rsidR="00552466" w:rsidRPr="00C2587D" w:rsidRDefault="00552466" w:rsidP="00C84EFB">
            <w:pPr>
              <w:jc w:val="center"/>
              <w:rPr>
                <w:rFonts w:cs="Arial"/>
                <w:b/>
                <w:sz w:val="20"/>
                <w:szCs w:val="20"/>
                <w:lang w:eastAsia="it-IT"/>
              </w:rPr>
            </w:pPr>
            <w:r w:rsidRPr="00C2587D">
              <w:rPr>
                <w:rFonts w:cs="Arial"/>
                <w:b/>
                <w:sz w:val="20"/>
                <w:szCs w:val="20"/>
                <w:lang w:eastAsia="it-IT"/>
              </w:rPr>
              <w:t>250,0</w:t>
            </w:r>
          </w:p>
        </w:tc>
      </w:tr>
      <w:tr w:rsidR="00552466" w:rsidRPr="00C2587D" w14:paraId="67B725E9" w14:textId="77777777" w:rsidTr="00672B8E">
        <w:trPr>
          <w:trHeight w:val="240"/>
          <w:jc w:val="right"/>
        </w:trPr>
        <w:tc>
          <w:tcPr>
            <w:tcW w:w="3425" w:type="dxa"/>
            <w:shd w:val="clear" w:color="auto" w:fill="FFFFFF"/>
            <w:vAlign w:val="center"/>
          </w:tcPr>
          <w:p w14:paraId="2597FBA1" w14:textId="77777777" w:rsidR="00552466" w:rsidRPr="00C2587D" w:rsidRDefault="00552466" w:rsidP="00D7011A">
            <w:pPr>
              <w:rPr>
                <w:rFonts w:cs="Arial"/>
                <w:color w:val="000000"/>
                <w:sz w:val="20"/>
                <w:szCs w:val="20"/>
              </w:rPr>
            </w:pPr>
            <w:r w:rsidRPr="00C2587D">
              <w:rPr>
                <w:rFonts w:cs="Arial"/>
                <w:color w:val="000000"/>
                <w:sz w:val="20"/>
                <w:szCs w:val="20"/>
              </w:rPr>
              <w:t>-інші джерела фінансування.</w:t>
            </w:r>
          </w:p>
        </w:tc>
        <w:tc>
          <w:tcPr>
            <w:tcW w:w="1260" w:type="dxa"/>
            <w:gridSpan w:val="2"/>
            <w:vAlign w:val="center"/>
          </w:tcPr>
          <w:p w14:paraId="529D0B94" w14:textId="77777777" w:rsidR="00552466" w:rsidRPr="00C2587D" w:rsidRDefault="00552466" w:rsidP="00C84EFB">
            <w:pPr>
              <w:jc w:val="center"/>
              <w:rPr>
                <w:rFonts w:cs="Arial"/>
                <w:sz w:val="20"/>
                <w:szCs w:val="20"/>
                <w:lang w:eastAsia="it-IT"/>
              </w:rPr>
            </w:pPr>
          </w:p>
        </w:tc>
        <w:tc>
          <w:tcPr>
            <w:tcW w:w="1350" w:type="dxa"/>
            <w:vAlign w:val="center"/>
          </w:tcPr>
          <w:p w14:paraId="6DD22087" w14:textId="77777777" w:rsidR="00552466" w:rsidRPr="00C2587D" w:rsidRDefault="00552466" w:rsidP="00C84EFB">
            <w:pPr>
              <w:jc w:val="center"/>
              <w:rPr>
                <w:rFonts w:cs="Arial"/>
                <w:sz w:val="20"/>
                <w:szCs w:val="20"/>
                <w:lang w:eastAsia="it-IT"/>
              </w:rPr>
            </w:pPr>
          </w:p>
        </w:tc>
        <w:tc>
          <w:tcPr>
            <w:tcW w:w="1515" w:type="dxa"/>
            <w:gridSpan w:val="3"/>
            <w:vAlign w:val="center"/>
          </w:tcPr>
          <w:p w14:paraId="3136CD3C" w14:textId="77777777" w:rsidR="00552466" w:rsidRPr="00C2587D" w:rsidRDefault="00552466" w:rsidP="00C84EFB">
            <w:pPr>
              <w:jc w:val="center"/>
              <w:rPr>
                <w:rFonts w:cs="Arial"/>
                <w:sz w:val="20"/>
                <w:szCs w:val="20"/>
                <w:lang w:eastAsia="it-IT"/>
              </w:rPr>
            </w:pPr>
          </w:p>
        </w:tc>
        <w:tc>
          <w:tcPr>
            <w:tcW w:w="1245" w:type="dxa"/>
            <w:gridSpan w:val="2"/>
            <w:vAlign w:val="center"/>
          </w:tcPr>
          <w:p w14:paraId="1E6C49BF" w14:textId="77777777" w:rsidR="00552466" w:rsidRPr="00C2587D" w:rsidRDefault="00552466" w:rsidP="00C84EFB">
            <w:pPr>
              <w:jc w:val="center"/>
              <w:rPr>
                <w:rFonts w:cs="Arial"/>
                <w:sz w:val="20"/>
                <w:szCs w:val="20"/>
                <w:lang w:eastAsia="it-IT"/>
              </w:rPr>
            </w:pPr>
          </w:p>
        </w:tc>
        <w:tc>
          <w:tcPr>
            <w:tcW w:w="1128" w:type="dxa"/>
            <w:vAlign w:val="center"/>
          </w:tcPr>
          <w:p w14:paraId="3B55DAC9" w14:textId="77777777" w:rsidR="00552466" w:rsidRPr="00C2587D" w:rsidRDefault="00552466" w:rsidP="00C84EFB">
            <w:pPr>
              <w:jc w:val="center"/>
              <w:rPr>
                <w:rFonts w:cs="Arial"/>
                <w:sz w:val="20"/>
                <w:szCs w:val="20"/>
                <w:lang w:eastAsia="it-IT"/>
              </w:rPr>
            </w:pPr>
          </w:p>
        </w:tc>
      </w:tr>
      <w:tr w:rsidR="00552466" w:rsidRPr="00C2587D" w14:paraId="3FE44497" w14:textId="77777777" w:rsidTr="00672B8E">
        <w:trPr>
          <w:jc w:val="right"/>
        </w:trPr>
        <w:tc>
          <w:tcPr>
            <w:tcW w:w="3425" w:type="dxa"/>
            <w:shd w:val="clear" w:color="auto" w:fill="FFFFFF"/>
            <w:vAlign w:val="center"/>
          </w:tcPr>
          <w:p w14:paraId="78365420" w14:textId="77777777" w:rsidR="00552466" w:rsidRPr="00C2587D" w:rsidRDefault="00552466" w:rsidP="00D7011A">
            <w:pPr>
              <w:rPr>
                <w:rFonts w:cs="Arial"/>
                <w:b/>
                <w:bCs/>
                <w:color w:val="000000"/>
                <w:sz w:val="20"/>
                <w:szCs w:val="20"/>
              </w:rPr>
            </w:pPr>
            <w:r w:rsidRPr="00C2587D">
              <w:rPr>
                <w:rFonts w:cs="Arial"/>
                <w:b/>
                <w:color w:val="000000"/>
                <w:sz w:val="20"/>
                <w:szCs w:val="20"/>
              </w:rPr>
              <w:t>Відповідальний виконавець проєкту:</w:t>
            </w:r>
          </w:p>
        </w:tc>
        <w:tc>
          <w:tcPr>
            <w:tcW w:w="6498" w:type="dxa"/>
            <w:gridSpan w:val="9"/>
            <w:vAlign w:val="center"/>
          </w:tcPr>
          <w:p w14:paraId="574652D3" w14:textId="77777777" w:rsidR="00552466" w:rsidRPr="00C2587D" w:rsidRDefault="00552466" w:rsidP="00C84EFB">
            <w:pPr>
              <w:tabs>
                <w:tab w:val="left" w:pos="285"/>
              </w:tabs>
              <w:jc w:val="both"/>
              <w:rPr>
                <w:rFonts w:cs="Arial"/>
                <w:color w:val="000000"/>
                <w:sz w:val="20"/>
                <w:szCs w:val="20"/>
                <w:lang w:eastAsia="it-IT"/>
              </w:rPr>
            </w:pPr>
          </w:p>
        </w:tc>
      </w:tr>
      <w:tr w:rsidR="00552466" w:rsidRPr="00C2587D" w14:paraId="7BC7BDBC" w14:textId="77777777" w:rsidTr="00672B8E">
        <w:trPr>
          <w:jc w:val="right"/>
        </w:trPr>
        <w:tc>
          <w:tcPr>
            <w:tcW w:w="3425" w:type="dxa"/>
            <w:shd w:val="clear" w:color="auto" w:fill="FFFFFF"/>
            <w:vAlign w:val="center"/>
          </w:tcPr>
          <w:p w14:paraId="332829D3" w14:textId="77777777" w:rsidR="00552466" w:rsidRPr="00C2587D" w:rsidRDefault="00552466" w:rsidP="00D7011A">
            <w:pPr>
              <w:rPr>
                <w:rFonts w:cs="Arial"/>
                <w:b/>
                <w:bCs/>
                <w:sz w:val="20"/>
                <w:szCs w:val="20"/>
              </w:rPr>
            </w:pPr>
            <w:r w:rsidRPr="00C2587D">
              <w:rPr>
                <w:rFonts w:cs="Arial"/>
                <w:b/>
                <w:bCs/>
                <w:sz w:val="20"/>
                <w:szCs w:val="20"/>
              </w:rPr>
              <w:t>Інше:</w:t>
            </w:r>
          </w:p>
        </w:tc>
        <w:tc>
          <w:tcPr>
            <w:tcW w:w="6498" w:type="dxa"/>
            <w:gridSpan w:val="9"/>
            <w:vAlign w:val="center"/>
          </w:tcPr>
          <w:p w14:paraId="26D95CBE" w14:textId="77777777" w:rsidR="00552466" w:rsidRPr="00C2587D" w:rsidRDefault="00552466" w:rsidP="00C84EFB">
            <w:pPr>
              <w:jc w:val="both"/>
              <w:rPr>
                <w:rFonts w:cs="Arial"/>
                <w:sz w:val="20"/>
                <w:szCs w:val="20"/>
                <w:lang w:eastAsia="it-IT"/>
              </w:rPr>
            </w:pPr>
            <w:r w:rsidRPr="00C2587D">
              <w:rPr>
                <w:rFonts w:cs="Arial"/>
                <w:sz w:val="20"/>
                <w:szCs w:val="20"/>
                <w:lang w:eastAsia="it-IT"/>
              </w:rPr>
              <w:t>Управління економіки та розвитку інфраструктури виконавчого комітету  Жмеринської міської ради</w:t>
            </w:r>
          </w:p>
        </w:tc>
      </w:tr>
    </w:tbl>
    <w:p w14:paraId="0641F292" w14:textId="7B2C8E99" w:rsidR="00552466" w:rsidRPr="00C2587D" w:rsidRDefault="00552466" w:rsidP="00364153">
      <w:pPr>
        <w:spacing w:before="120" w:after="120"/>
        <w:jc w:val="center"/>
        <w:rPr>
          <w:rFonts w:cs="Arial"/>
          <w:b/>
          <w:iCs/>
          <w:sz w:val="24"/>
          <w:u w:val="single"/>
        </w:rPr>
      </w:pPr>
    </w:p>
    <w:p w14:paraId="301ABD8C" w14:textId="77777777" w:rsidR="00346E34" w:rsidRPr="00C2587D" w:rsidRDefault="00346E34" w:rsidP="00346E34">
      <w:pPr>
        <w:rPr>
          <w:rFonts w:cs="Arial"/>
          <w:b/>
          <w:sz w:val="24"/>
        </w:rPr>
      </w:pPr>
    </w:p>
    <w:p w14:paraId="0CE67B9B" w14:textId="77777777" w:rsidR="00C901BD" w:rsidRPr="00C2587D" w:rsidRDefault="00C901BD" w:rsidP="00CE2FDC">
      <w:pPr>
        <w:jc w:val="center"/>
        <w:rPr>
          <w:rFonts w:cs="Arial"/>
          <w:b/>
          <w:bCs/>
          <w:color w:val="000000"/>
          <w:szCs w:val="22"/>
          <w:u w:val="single"/>
          <w:lang w:eastAsia="uk-UA"/>
        </w:rPr>
      </w:pPr>
      <w:r w:rsidRPr="00C2587D">
        <w:rPr>
          <w:rFonts w:cs="Arial"/>
          <w:b/>
          <w:bCs/>
          <w:color w:val="000000"/>
          <w:szCs w:val="22"/>
          <w:u w:val="single"/>
          <w:lang w:eastAsia="uk-UA"/>
        </w:rPr>
        <w:t>Стратегічна ціль: А.2. Розвиток агропромислового виробництва</w:t>
      </w:r>
    </w:p>
    <w:p w14:paraId="39CFDE84" w14:textId="77777777" w:rsidR="00364153" w:rsidRPr="00C2587D" w:rsidRDefault="00364153" w:rsidP="00CE2FDC">
      <w:pPr>
        <w:jc w:val="center"/>
        <w:rPr>
          <w:rFonts w:cs="Arial"/>
          <w:b/>
          <w:szCs w:val="22"/>
          <w:u w:val="single"/>
        </w:rPr>
      </w:pPr>
    </w:p>
    <w:p w14:paraId="3FFC90F4" w14:textId="67510EA5" w:rsidR="00552466" w:rsidRPr="00C2587D" w:rsidRDefault="00552466" w:rsidP="00552466">
      <w:pPr>
        <w:jc w:val="center"/>
        <w:rPr>
          <w:rFonts w:cs="Arial"/>
          <w:b/>
          <w:color w:val="000000"/>
          <w:szCs w:val="22"/>
        </w:rPr>
      </w:pPr>
      <w:r w:rsidRPr="00C2587D">
        <w:rPr>
          <w:rFonts w:cs="Arial"/>
          <w:b/>
          <w:color w:val="000000"/>
          <w:szCs w:val="22"/>
        </w:rPr>
        <w:tab/>
      </w:r>
      <w:r w:rsidRPr="00C2587D">
        <w:rPr>
          <w:rFonts w:cs="Arial"/>
          <w:b/>
          <w:color w:val="000000"/>
          <w:szCs w:val="22"/>
        </w:rPr>
        <w:tab/>
      </w:r>
      <w:r w:rsidRPr="00C2587D">
        <w:rPr>
          <w:rFonts w:cs="Arial"/>
          <w:b/>
          <w:color w:val="000000"/>
          <w:szCs w:val="22"/>
        </w:rPr>
        <w:tab/>
      </w:r>
      <w:r w:rsidRPr="00C2587D">
        <w:rPr>
          <w:rFonts w:cs="Arial"/>
          <w:b/>
          <w:color w:val="000000"/>
          <w:szCs w:val="22"/>
        </w:rPr>
        <w:tab/>
      </w:r>
    </w:p>
    <w:p w14:paraId="5751A6D9" w14:textId="54AE6B66" w:rsidR="00552466" w:rsidRPr="00C2587D" w:rsidRDefault="00552466" w:rsidP="00552466">
      <w:pPr>
        <w:jc w:val="center"/>
        <w:rPr>
          <w:rFonts w:cs="Arial"/>
          <w:b/>
          <w:color w:val="000000"/>
          <w:szCs w:val="22"/>
        </w:rPr>
      </w:pPr>
      <w:r w:rsidRPr="00C2587D">
        <w:rPr>
          <w:rFonts w:cs="Arial"/>
          <w:b/>
          <w:color w:val="000000"/>
          <w:szCs w:val="22"/>
        </w:rPr>
        <w:t>Ф</w:t>
      </w:r>
      <w:r w:rsidR="00997CC4">
        <w:rPr>
          <w:rFonts w:cs="Arial"/>
          <w:b/>
          <w:color w:val="000000"/>
          <w:szCs w:val="22"/>
        </w:rPr>
        <w:t>орма технічного завдання на проє</w:t>
      </w:r>
      <w:r w:rsidRPr="00C2587D">
        <w:rPr>
          <w:rFonts w:cs="Arial"/>
          <w:b/>
          <w:color w:val="000000"/>
          <w:szCs w:val="22"/>
        </w:rPr>
        <w:t xml:space="preserve">кт місцевого розвитку </w:t>
      </w:r>
    </w:p>
    <w:p w14:paraId="727AB43C" w14:textId="77777777" w:rsidR="00552466" w:rsidRPr="00C2587D" w:rsidRDefault="00552466" w:rsidP="00552466">
      <w:pPr>
        <w:jc w:val="center"/>
        <w:rPr>
          <w:rFonts w:cs="Arial"/>
          <w:b/>
          <w:color w:val="000000"/>
          <w:szCs w:val="22"/>
        </w:rPr>
      </w:pPr>
      <w:r w:rsidRPr="00C2587D">
        <w:rPr>
          <w:rFonts w:cs="Arial"/>
          <w:b/>
          <w:color w:val="000000"/>
          <w:szCs w:val="22"/>
        </w:rPr>
        <w:t>до Плану заходів з реалізації Стратегії</w:t>
      </w:r>
    </w:p>
    <w:tbl>
      <w:tblPr>
        <w:tblW w:w="1037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1417"/>
        <w:gridCol w:w="1418"/>
        <w:gridCol w:w="1275"/>
        <w:gridCol w:w="1590"/>
      </w:tblGrid>
      <w:tr w:rsidR="00552466" w:rsidRPr="00C2587D" w14:paraId="185B7F50" w14:textId="77777777" w:rsidTr="00672B8E">
        <w:trPr>
          <w:trHeight w:val="510"/>
          <w:jc w:val="right"/>
        </w:trPr>
        <w:tc>
          <w:tcPr>
            <w:tcW w:w="3425" w:type="dxa"/>
            <w:vAlign w:val="center"/>
          </w:tcPr>
          <w:p w14:paraId="68616718" w14:textId="77777777" w:rsidR="00552466" w:rsidRPr="00C2587D" w:rsidRDefault="00552466" w:rsidP="00AB7523">
            <w:pPr>
              <w:spacing w:before="40" w:after="40"/>
              <w:rPr>
                <w:rFonts w:cs="Arial"/>
                <w:b/>
                <w:bCs/>
                <w:szCs w:val="22"/>
              </w:rPr>
            </w:pPr>
            <w:r w:rsidRPr="00C2587D">
              <w:rPr>
                <w:rFonts w:cs="Arial"/>
                <w:b/>
                <w:bCs/>
                <w:szCs w:val="22"/>
              </w:rPr>
              <w:t>Назва проєкту:</w:t>
            </w:r>
          </w:p>
        </w:tc>
        <w:tc>
          <w:tcPr>
            <w:tcW w:w="6954" w:type="dxa"/>
            <w:gridSpan w:val="5"/>
            <w:vAlign w:val="center"/>
          </w:tcPr>
          <w:p w14:paraId="7BBCE2F3" w14:textId="77777777" w:rsidR="00552466" w:rsidRPr="00AB7523" w:rsidRDefault="00552466" w:rsidP="00AB7523">
            <w:pPr>
              <w:spacing w:before="40" w:after="40"/>
              <w:rPr>
                <w:rFonts w:cs="Arial"/>
                <w:b/>
                <w:szCs w:val="22"/>
              </w:rPr>
            </w:pPr>
            <w:r w:rsidRPr="00AB7523">
              <w:rPr>
                <w:rFonts w:cs="Arial"/>
                <w:b/>
                <w:szCs w:val="22"/>
              </w:rPr>
              <w:t xml:space="preserve">Встановлення (коригування) меж населеного пункту </w:t>
            </w:r>
          </w:p>
        </w:tc>
      </w:tr>
      <w:tr w:rsidR="00552466" w:rsidRPr="00C2587D" w14:paraId="6777880F" w14:textId="77777777" w:rsidTr="00672B8E">
        <w:trPr>
          <w:trHeight w:val="960"/>
          <w:jc w:val="right"/>
        </w:trPr>
        <w:tc>
          <w:tcPr>
            <w:tcW w:w="3425" w:type="dxa"/>
          </w:tcPr>
          <w:p w14:paraId="092FDD6F" w14:textId="77777777" w:rsidR="00552466" w:rsidRPr="00C2587D" w:rsidRDefault="00552466" w:rsidP="00D7011A">
            <w:pPr>
              <w:spacing w:before="40" w:after="40"/>
              <w:rPr>
                <w:rFonts w:cs="Arial"/>
                <w:szCs w:val="22"/>
                <w:lang w:eastAsia="it-IT"/>
              </w:rPr>
            </w:pPr>
            <w:r w:rsidRPr="00C2587D">
              <w:rPr>
                <w:rFonts w:cs="Arial"/>
                <w:b/>
                <w:bCs/>
                <w:szCs w:val="22"/>
              </w:rPr>
              <w:t>Ваші контакти</w:t>
            </w:r>
            <w:r w:rsidRPr="00C2587D">
              <w:rPr>
                <w:rFonts w:cs="Arial"/>
                <w:szCs w:val="22"/>
                <w:lang w:eastAsia="it-IT"/>
              </w:rPr>
              <w:t>:</w:t>
            </w:r>
          </w:p>
          <w:p w14:paraId="0C4E95BD" w14:textId="77777777" w:rsidR="00552466" w:rsidRPr="00C2587D" w:rsidRDefault="00552466" w:rsidP="00D7011A">
            <w:pPr>
              <w:spacing w:before="40" w:after="40"/>
              <w:rPr>
                <w:rFonts w:cs="Arial"/>
                <w:b/>
                <w:bCs/>
                <w:szCs w:val="22"/>
              </w:rPr>
            </w:pPr>
            <w:r w:rsidRPr="00C2587D">
              <w:rPr>
                <w:rFonts w:cs="Arial"/>
                <w:szCs w:val="22"/>
                <w:lang w:eastAsia="it-IT"/>
              </w:rPr>
              <w:t>Назва установи, організації, підприємства</w:t>
            </w:r>
          </w:p>
        </w:tc>
        <w:tc>
          <w:tcPr>
            <w:tcW w:w="6954" w:type="dxa"/>
            <w:gridSpan w:val="5"/>
          </w:tcPr>
          <w:p w14:paraId="3DD31FCB" w14:textId="77777777" w:rsidR="00552466" w:rsidRPr="00C2587D" w:rsidRDefault="00552466" w:rsidP="00D7011A">
            <w:pPr>
              <w:spacing w:before="40" w:after="40"/>
              <w:rPr>
                <w:rFonts w:cs="Arial"/>
                <w:szCs w:val="22"/>
                <w:lang w:eastAsia="it-IT"/>
              </w:rPr>
            </w:pPr>
            <w:r w:rsidRPr="00C2587D">
              <w:rPr>
                <w:rFonts w:cs="Arial"/>
                <w:szCs w:val="22"/>
                <w:lang w:eastAsia="it-IT"/>
              </w:rPr>
              <w:t>Управління земельних ресурсів виконавчого комітету Жмеринської міської ради</w:t>
            </w:r>
          </w:p>
        </w:tc>
      </w:tr>
      <w:tr w:rsidR="00552466" w:rsidRPr="00C2587D" w14:paraId="42C3E543" w14:textId="77777777" w:rsidTr="00672B8E">
        <w:trPr>
          <w:jc w:val="right"/>
        </w:trPr>
        <w:tc>
          <w:tcPr>
            <w:tcW w:w="3425" w:type="dxa"/>
          </w:tcPr>
          <w:p w14:paraId="6FAB9511" w14:textId="77777777" w:rsidR="00552466" w:rsidRPr="00C2587D" w:rsidRDefault="00552466" w:rsidP="00D7011A">
            <w:pPr>
              <w:spacing w:before="40" w:after="40"/>
              <w:rPr>
                <w:rFonts w:cs="Arial"/>
                <w:b/>
                <w:bCs/>
                <w:szCs w:val="22"/>
              </w:rPr>
            </w:pPr>
            <w:r w:rsidRPr="00C2587D">
              <w:rPr>
                <w:rFonts w:cs="Arial"/>
                <w:szCs w:val="22"/>
                <w:lang w:eastAsia="it-IT"/>
              </w:rPr>
              <w:t>Прізвище Ім’я По-батькові:</w:t>
            </w:r>
          </w:p>
        </w:tc>
        <w:tc>
          <w:tcPr>
            <w:tcW w:w="6954" w:type="dxa"/>
            <w:gridSpan w:val="5"/>
          </w:tcPr>
          <w:p w14:paraId="2482A36A" w14:textId="77777777" w:rsidR="00552466" w:rsidRPr="00C2587D" w:rsidRDefault="00552466" w:rsidP="00D7011A">
            <w:pPr>
              <w:spacing w:before="40" w:after="40"/>
              <w:rPr>
                <w:rFonts w:cs="Arial"/>
                <w:szCs w:val="22"/>
                <w:lang w:eastAsia="it-IT"/>
              </w:rPr>
            </w:pPr>
            <w:r w:rsidRPr="00C2587D">
              <w:rPr>
                <w:rFonts w:cs="Arial"/>
                <w:szCs w:val="22"/>
                <w:lang w:eastAsia="it-IT"/>
              </w:rPr>
              <w:t>Пилявець Руслан Євгенович</w:t>
            </w:r>
          </w:p>
        </w:tc>
      </w:tr>
      <w:tr w:rsidR="00552466" w:rsidRPr="00C2587D" w14:paraId="0C6E9E4C" w14:textId="77777777" w:rsidTr="00672B8E">
        <w:trPr>
          <w:jc w:val="right"/>
        </w:trPr>
        <w:tc>
          <w:tcPr>
            <w:tcW w:w="3425" w:type="dxa"/>
          </w:tcPr>
          <w:p w14:paraId="703F0751" w14:textId="77777777" w:rsidR="00552466" w:rsidRPr="00C2587D" w:rsidRDefault="00552466" w:rsidP="00D7011A">
            <w:pPr>
              <w:spacing w:before="40" w:after="40"/>
              <w:rPr>
                <w:rFonts w:cs="Arial"/>
                <w:b/>
                <w:bCs/>
                <w:szCs w:val="22"/>
              </w:rPr>
            </w:pPr>
            <w:r w:rsidRPr="00C2587D">
              <w:rPr>
                <w:rFonts w:cs="Arial"/>
                <w:szCs w:val="22"/>
                <w:lang w:eastAsia="it-IT"/>
              </w:rPr>
              <w:t>Телефон (мобільний):</w:t>
            </w:r>
          </w:p>
        </w:tc>
        <w:tc>
          <w:tcPr>
            <w:tcW w:w="6954" w:type="dxa"/>
            <w:gridSpan w:val="5"/>
          </w:tcPr>
          <w:p w14:paraId="3D088F4F" w14:textId="77777777" w:rsidR="00552466" w:rsidRPr="00C2587D" w:rsidRDefault="00552466" w:rsidP="00D7011A">
            <w:pPr>
              <w:spacing w:before="40" w:after="40"/>
              <w:rPr>
                <w:rFonts w:cs="Arial"/>
                <w:szCs w:val="22"/>
                <w:lang w:eastAsia="it-IT"/>
              </w:rPr>
            </w:pPr>
            <w:r w:rsidRPr="00C2587D">
              <w:rPr>
                <w:rFonts w:cs="Arial"/>
                <w:szCs w:val="22"/>
                <w:lang w:eastAsia="it-IT"/>
              </w:rPr>
              <w:t>067-580-45-91</w:t>
            </w:r>
          </w:p>
        </w:tc>
      </w:tr>
      <w:tr w:rsidR="00552466" w:rsidRPr="00C2587D" w14:paraId="5FFA4F1A" w14:textId="77777777" w:rsidTr="00672B8E">
        <w:trPr>
          <w:jc w:val="right"/>
        </w:trPr>
        <w:tc>
          <w:tcPr>
            <w:tcW w:w="3425" w:type="dxa"/>
          </w:tcPr>
          <w:p w14:paraId="0ABB7FDC" w14:textId="77777777" w:rsidR="00552466" w:rsidRPr="00C2587D" w:rsidRDefault="00552466" w:rsidP="00D7011A">
            <w:pPr>
              <w:spacing w:before="40" w:after="40"/>
              <w:rPr>
                <w:rFonts w:cs="Arial"/>
                <w:b/>
                <w:bCs/>
                <w:szCs w:val="22"/>
              </w:rPr>
            </w:pPr>
            <w:r w:rsidRPr="00C2587D">
              <w:rPr>
                <w:rFonts w:cs="Arial"/>
                <w:szCs w:val="22"/>
                <w:lang w:eastAsia="it-IT"/>
              </w:rPr>
              <w:t>Електронна адреса:</w:t>
            </w:r>
          </w:p>
        </w:tc>
        <w:tc>
          <w:tcPr>
            <w:tcW w:w="6954" w:type="dxa"/>
            <w:gridSpan w:val="5"/>
          </w:tcPr>
          <w:p w14:paraId="5624E1E1" w14:textId="3BD741BB" w:rsidR="00552466" w:rsidRPr="00C2587D" w:rsidRDefault="00D85FFD" w:rsidP="00D7011A">
            <w:pPr>
              <w:spacing w:before="40" w:after="40"/>
              <w:rPr>
                <w:rFonts w:cs="Arial"/>
                <w:szCs w:val="22"/>
                <w:lang w:eastAsia="it-IT"/>
              </w:rPr>
            </w:pPr>
            <w:hyperlink r:id="rId28" w:history="1">
              <w:r w:rsidR="00AB7523" w:rsidRPr="000A0B5C">
                <w:rPr>
                  <w:rStyle w:val="af0"/>
                  <w:rFonts w:cs="Arial"/>
                  <w:noProof w:val="0"/>
                  <w:sz w:val="22"/>
                  <w:szCs w:val="22"/>
                  <w:lang w:eastAsia="it-IT"/>
                </w:rPr>
                <w:t>zem@zhmr.gov.ua</w:t>
              </w:r>
            </w:hyperlink>
            <w:r w:rsidR="00AB7523">
              <w:rPr>
                <w:rFonts w:cs="Arial"/>
                <w:szCs w:val="22"/>
                <w:lang w:eastAsia="it-IT"/>
              </w:rPr>
              <w:t xml:space="preserve"> </w:t>
            </w:r>
          </w:p>
        </w:tc>
      </w:tr>
      <w:tr w:rsidR="00552466" w:rsidRPr="00C2587D" w14:paraId="0E8695EA" w14:textId="77777777" w:rsidTr="00672B8E">
        <w:trPr>
          <w:trHeight w:val="1440"/>
          <w:jc w:val="right"/>
        </w:trPr>
        <w:tc>
          <w:tcPr>
            <w:tcW w:w="3425" w:type="dxa"/>
            <w:vAlign w:val="center"/>
          </w:tcPr>
          <w:p w14:paraId="20B97489" w14:textId="399DD1C4" w:rsidR="00552466" w:rsidRPr="00C2587D" w:rsidRDefault="00552466" w:rsidP="00D7011A">
            <w:pPr>
              <w:pStyle w:val="6"/>
              <w:spacing w:before="0" w:after="0"/>
              <w:rPr>
                <w:rFonts w:ascii="Arial" w:hAnsi="Arial" w:cs="Arial"/>
                <w:color w:val="000000"/>
                <w:lang w:val="uk-UA"/>
              </w:rPr>
            </w:pPr>
            <w:r w:rsidRPr="00C2587D">
              <w:rPr>
                <w:rFonts w:ascii="Arial" w:hAnsi="Arial" w:cs="Arial"/>
                <w:color w:val="000000"/>
                <w:lang w:val="uk-UA"/>
              </w:rPr>
              <w:t>Номер і назва завдання з Стратегії</w:t>
            </w:r>
            <w:r w:rsidRPr="00C2587D">
              <w:rPr>
                <w:rFonts w:ascii="Arial" w:hAnsi="Arial" w:cs="Arial"/>
                <w:lang w:val="uk-UA" w:eastAsia="it-IT"/>
              </w:rPr>
              <w:t xml:space="preserve"> </w:t>
            </w:r>
            <w:r w:rsidRPr="00C2587D">
              <w:rPr>
                <w:rFonts w:ascii="Arial" w:hAnsi="Arial" w:cs="Arial"/>
                <w:color w:val="000000"/>
                <w:lang w:val="uk-UA"/>
              </w:rPr>
              <w:t>розвитку Жмеринської міської територіальної</w:t>
            </w:r>
            <w:r w:rsidR="00997CC4">
              <w:rPr>
                <w:rFonts w:ascii="Arial" w:hAnsi="Arial" w:cs="Arial"/>
                <w:color w:val="000000"/>
                <w:lang w:val="uk-UA"/>
              </w:rPr>
              <w:t xml:space="preserve"> громади,  якому відповідає проє</w:t>
            </w:r>
            <w:r w:rsidRPr="00C2587D">
              <w:rPr>
                <w:rFonts w:ascii="Arial" w:hAnsi="Arial" w:cs="Arial"/>
                <w:color w:val="000000"/>
                <w:lang w:val="uk-UA"/>
              </w:rPr>
              <w:t>кт:</w:t>
            </w:r>
          </w:p>
        </w:tc>
        <w:tc>
          <w:tcPr>
            <w:tcW w:w="6954" w:type="dxa"/>
            <w:gridSpan w:val="5"/>
          </w:tcPr>
          <w:p w14:paraId="05B86851" w14:textId="77777777" w:rsidR="00552466" w:rsidRPr="00C2587D" w:rsidRDefault="00552466" w:rsidP="00D7011A">
            <w:pPr>
              <w:pBdr>
                <w:left w:val="single" w:sz="18" w:space="4" w:color="auto"/>
              </w:pBdr>
              <w:spacing w:before="40" w:after="40"/>
              <w:jc w:val="both"/>
              <w:rPr>
                <w:rFonts w:cs="Arial"/>
                <w:szCs w:val="22"/>
                <w:lang w:eastAsia="it-IT"/>
              </w:rPr>
            </w:pPr>
            <w:r w:rsidRPr="00C2587D">
              <w:rPr>
                <w:rFonts w:cs="Arial"/>
                <w:szCs w:val="22"/>
              </w:rPr>
              <w:t xml:space="preserve">А.2.3. Підтримка раціонального використання земельних ресурсів та водного фонду для фінансової стабільності громади </w:t>
            </w:r>
          </w:p>
        </w:tc>
      </w:tr>
      <w:tr w:rsidR="00552466" w:rsidRPr="00C2587D" w14:paraId="03260603" w14:textId="77777777" w:rsidTr="00672B8E">
        <w:trPr>
          <w:trHeight w:val="1050"/>
          <w:jc w:val="right"/>
        </w:trPr>
        <w:tc>
          <w:tcPr>
            <w:tcW w:w="3425" w:type="dxa"/>
            <w:vAlign w:val="center"/>
          </w:tcPr>
          <w:p w14:paraId="5C31E51C" w14:textId="77777777" w:rsidR="00552466" w:rsidRPr="00C2587D" w:rsidRDefault="00552466" w:rsidP="00D7011A">
            <w:pPr>
              <w:jc w:val="both"/>
              <w:rPr>
                <w:rFonts w:cs="Arial"/>
                <w:b/>
                <w:szCs w:val="22"/>
                <w:lang w:eastAsia="en-US"/>
              </w:rPr>
            </w:pPr>
            <w:r w:rsidRPr="00C2587D">
              <w:rPr>
                <w:rFonts w:cs="Arial"/>
                <w:b/>
                <w:szCs w:val="22"/>
                <w:lang w:eastAsia="en-US"/>
              </w:rPr>
              <w:t>Мета проєкту:</w:t>
            </w:r>
          </w:p>
          <w:p w14:paraId="012F385F" w14:textId="77777777" w:rsidR="00552466" w:rsidRPr="00C2587D" w:rsidRDefault="00552466" w:rsidP="00D7011A">
            <w:pPr>
              <w:jc w:val="both"/>
              <w:rPr>
                <w:rFonts w:cs="Arial"/>
                <w:szCs w:val="22"/>
              </w:rPr>
            </w:pPr>
          </w:p>
        </w:tc>
        <w:tc>
          <w:tcPr>
            <w:tcW w:w="6954" w:type="dxa"/>
            <w:gridSpan w:val="5"/>
          </w:tcPr>
          <w:p w14:paraId="0B9235C9" w14:textId="77777777" w:rsidR="00552466" w:rsidRPr="00C2587D" w:rsidRDefault="00552466" w:rsidP="00D7011A">
            <w:pPr>
              <w:pStyle w:val="ad"/>
              <w:jc w:val="both"/>
              <w:rPr>
                <w:rFonts w:cs="Arial"/>
                <w:color w:val="001D35"/>
                <w:szCs w:val="22"/>
                <w:shd w:val="clear" w:color="auto" w:fill="FFFFFF"/>
              </w:rPr>
            </w:pPr>
            <w:r w:rsidRPr="00C2587D">
              <w:rPr>
                <w:rFonts w:cs="Arial"/>
                <w:szCs w:val="22"/>
              </w:rPr>
              <w:t>Створення сприятливих умов для більш ефективного вирішення міською радою та виконавчим органом усіх питань місцевого значення, виходячи із інтересів населення, що проживає у Жмеринській міській територіальній громаді</w:t>
            </w:r>
          </w:p>
        </w:tc>
      </w:tr>
      <w:tr w:rsidR="00552466" w:rsidRPr="00C2587D" w14:paraId="786405C3" w14:textId="77777777" w:rsidTr="00672B8E">
        <w:trPr>
          <w:jc w:val="right"/>
        </w:trPr>
        <w:tc>
          <w:tcPr>
            <w:tcW w:w="3425" w:type="dxa"/>
            <w:vAlign w:val="center"/>
          </w:tcPr>
          <w:p w14:paraId="64C16396" w14:textId="6EAC532C" w:rsidR="00552466" w:rsidRPr="00C2587D" w:rsidRDefault="00997CC4" w:rsidP="00D7011A">
            <w:pPr>
              <w:rPr>
                <w:rFonts w:cs="Arial"/>
                <w:b/>
                <w:bCs/>
                <w:color w:val="000000"/>
                <w:szCs w:val="22"/>
              </w:rPr>
            </w:pPr>
            <w:r>
              <w:rPr>
                <w:rFonts w:cs="Arial"/>
                <w:b/>
                <w:bCs/>
                <w:color w:val="000000"/>
                <w:szCs w:val="22"/>
              </w:rPr>
              <w:t>Цілі проє</w:t>
            </w:r>
            <w:r w:rsidR="00552466" w:rsidRPr="00C2587D">
              <w:rPr>
                <w:rFonts w:cs="Arial"/>
                <w:b/>
                <w:bCs/>
                <w:color w:val="000000"/>
                <w:szCs w:val="22"/>
              </w:rPr>
              <w:t>кту:</w:t>
            </w:r>
          </w:p>
        </w:tc>
        <w:tc>
          <w:tcPr>
            <w:tcW w:w="6954" w:type="dxa"/>
            <w:gridSpan w:val="5"/>
          </w:tcPr>
          <w:p w14:paraId="6A16666B" w14:textId="77777777" w:rsidR="00552466" w:rsidRPr="00C2587D" w:rsidRDefault="00552466" w:rsidP="00D7011A">
            <w:pPr>
              <w:jc w:val="both"/>
              <w:rPr>
                <w:rFonts w:cs="Arial"/>
                <w:szCs w:val="22"/>
                <w:lang w:eastAsia="en-US"/>
              </w:rPr>
            </w:pPr>
            <w:r w:rsidRPr="00C2587D">
              <w:rPr>
                <w:rFonts w:cs="Arial"/>
                <w:szCs w:val="22"/>
              </w:rPr>
              <w:t>Упорядкування адміністративно-територіального поділу, вирішення питання забудови, раціонального використання земель населених пунктів, справедливе оподаткування, контроль за використанням та охороною земель</w:t>
            </w:r>
          </w:p>
        </w:tc>
      </w:tr>
      <w:tr w:rsidR="00552466" w:rsidRPr="00C2587D" w14:paraId="50F80801" w14:textId="77777777" w:rsidTr="00672B8E">
        <w:trPr>
          <w:jc w:val="right"/>
        </w:trPr>
        <w:tc>
          <w:tcPr>
            <w:tcW w:w="3425" w:type="dxa"/>
            <w:vAlign w:val="center"/>
          </w:tcPr>
          <w:p w14:paraId="303E0373" w14:textId="63343EC1" w:rsidR="00552466" w:rsidRPr="00C2587D" w:rsidRDefault="00997CC4" w:rsidP="00D7011A">
            <w:pPr>
              <w:autoSpaceDE w:val="0"/>
              <w:autoSpaceDN w:val="0"/>
              <w:adjustRightInd w:val="0"/>
              <w:rPr>
                <w:rFonts w:cs="Arial"/>
                <w:b/>
                <w:color w:val="000000"/>
                <w:szCs w:val="22"/>
              </w:rPr>
            </w:pPr>
            <w:r>
              <w:rPr>
                <w:rFonts w:cs="Arial"/>
                <w:b/>
                <w:color w:val="000000"/>
                <w:szCs w:val="22"/>
              </w:rPr>
              <w:t>Територія на яку проє</w:t>
            </w:r>
            <w:r w:rsidR="00552466" w:rsidRPr="00C2587D">
              <w:rPr>
                <w:rFonts w:cs="Arial"/>
                <w:b/>
                <w:color w:val="000000"/>
                <w:szCs w:val="22"/>
              </w:rPr>
              <w:t>кт матиме вплив:</w:t>
            </w:r>
          </w:p>
        </w:tc>
        <w:tc>
          <w:tcPr>
            <w:tcW w:w="6954" w:type="dxa"/>
            <w:gridSpan w:val="5"/>
            <w:vAlign w:val="center"/>
          </w:tcPr>
          <w:p w14:paraId="5617251F" w14:textId="77777777" w:rsidR="00552466" w:rsidRPr="00C2587D" w:rsidRDefault="00552466" w:rsidP="00AB7523">
            <w:pPr>
              <w:spacing w:before="40" w:after="40"/>
              <w:rPr>
                <w:rFonts w:cs="Arial"/>
                <w:szCs w:val="22"/>
                <w:lang w:eastAsia="it-IT"/>
              </w:rPr>
            </w:pPr>
            <w:r w:rsidRPr="00C2587D">
              <w:rPr>
                <w:rFonts w:cs="Arial"/>
                <w:szCs w:val="22"/>
                <w:lang w:eastAsia="it-IT"/>
              </w:rPr>
              <w:t>Жмеринська МТГ</w:t>
            </w:r>
          </w:p>
        </w:tc>
      </w:tr>
      <w:tr w:rsidR="00552466" w:rsidRPr="00C2587D" w14:paraId="581F2CCA" w14:textId="77777777" w:rsidTr="00672B8E">
        <w:trPr>
          <w:jc w:val="right"/>
        </w:trPr>
        <w:tc>
          <w:tcPr>
            <w:tcW w:w="3425" w:type="dxa"/>
            <w:vAlign w:val="center"/>
          </w:tcPr>
          <w:p w14:paraId="5657DDDC" w14:textId="77777777" w:rsidR="00552466" w:rsidRPr="00C2587D" w:rsidRDefault="00552466" w:rsidP="00D7011A">
            <w:pPr>
              <w:autoSpaceDE w:val="0"/>
              <w:autoSpaceDN w:val="0"/>
              <w:adjustRightInd w:val="0"/>
              <w:rPr>
                <w:rFonts w:cs="Arial"/>
                <w:b/>
                <w:color w:val="000000"/>
                <w:szCs w:val="22"/>
              </w:rPr>
            </w:pPr>
            <w:r w:rsidRPr="00C2587D">
              <w:rPr>
                <w:rFonts w:cs="Arial"/>
                <w:b/>
                <w:color w:val="000000"/>
                <w:szCs w:val="22"/>
              </w:rPr>
              <w:t>Цільові групи проєкту та  кількість отримувачів вигоди</w:t>
            </w:r>
          </w:p>
        </w:tc>
        <w:tc>
          <w:tcPr>
            <w:tcW w:w="6954" w:type="dxa"/>
            <w:gridSpan w:val="5"/>
            <w:vAlign w:val="center"/>
          </w:tcPr>
          <w:p w14:paraId="03E7366A" w14:textId="77777777" w:rsidR="00552466" w:rsidRPr="00C2587D" w:rsidRDefault="00552466" w:rsidP="00AB7523">
            <w:pPr>
              <w:spacing w:before="40" w:after="40"/>
              <w:rPr>
                <w:rFonts w:cs="Arial"/>
                <w:szCs w:val="22"/>
                <w:lang w:eastAsia="it-IT"/>
              </w:rPr>
            </w:pPr>
            <w:r w:rsidRPr="00C2587D">
              <w:rPr>
                <w:rFonts w:cs="Arial"/>
                <w:szCs w:val="22"/>
                <w:lang w:eastAsia="it-IT"/>
              </w:rPr>
              <w:t>49 474  жителів громади</w:t>
            </w:r>
          </w:p>
        </w:tc>
      </w:tr>
      <w:tr w:rsidR="00552466" w:rsidRPr="00C2587D" w14:paraId="5B7C0C0E" w14:textId="77777777" w:rsidTr="00672B8E">
        <w:trPr>
          <w:jc w:val="right"/>
        </w:trPr>
        <w:tc>
          <w:tcPr>
            <w:tcW w:w="3425" w:type="dxa"/>
            <w:shd w:val="clear" w:color="auto" w:fill="FFFFFF"/>
            <w:vAlign w:val="center"/>
          </w:tcPr>
          <w:p w14:paraId="3F0628A2" w14:textId="67BC5AE7" w:rsidR="00552466" w:rsidRPr="00C2587D" w:rsidRDefault="00997CC4" w:rsidP="00D7011A">
            <w:pPr>
              <w:rPr>
                <w:rFonts w:cs="Arial"/>
                <w:b/>
                <w:bCs/>
                <w:color w:val="000000"/>
                <w:szCs w:val="22"/>
              </w:rPr>
            </w:pPr>
            <w:r>
              <w:rPr>
                <w:rFonts w:cs="Arial"/>
                <w:b/>
                <w:bCs/>
                <w:color w:val="000000"/>
                <w:szCs w:val="22"/>
              </w:rPr>
              <w:t>Стислий опис проє</w:t>
            </w:r>
            <w:r w:rsidR="00552466" w:rsidRPr="00C2587D">
              <w:rPr>
                <w:rFonts w:cs="Arial"/>
                <w:b/>
                <w:bCs/>
                <w:color w:val="000000"/>
                <w:szCs w:val="22"/>
              </w:rPr>
              <w:t>кту:</w:t>
            </w:r>
          </w:p>
        </w:tc>
        <w:tc>
          <w:tcPr>
            <w:tcW w:w="6954" w:type="dxa"/>
            <w:gridSpan w:val="5"/>
          </w:tcPr>
          <w:p w14:paraId="6A51B43A" w14:textId="2EE26397" w:rsidR="00552466" w:rsidRPr="00C2587D" w:rsidRDefault="00552466" w:rsidP="00D7011A">
            <w:pPr>
              <w:jc w:val="both"/>
              <w:rPr>
                <w:rFonts w:cs="Arial"/>
                <w:szCs w:val="22"/>
                <w:lang w:eastAsia="en-US"/>
              </w:rPr>
            </w:pPr>
            <w:r w:rsidRPr="00C2587D">
              <w:rPr>
                <w:rFonts w:cs="Arial"/>
                <w:szCs w:val="22"/>
              </w:rPr>
              <w:t>Встановлення меж 28 населених пунктів Жмеринської м</w:t>
            </w:r>
            <w:r w:rsidR="00997CC4">
              <w:rPr>
                <w:rFonts w:cs="Arial"/>
                <w:szCs w:val="22"/>
              </w:rPr>
              <w:t xml:space="preserve">іської територіальної громади </w:t>
            </w:r>
            <w:r w:rsidRPr="00C2587D">
              <w:rPr>
                <w:rFonts w:cs="Arial"/>
                <w:szCs w:val="22"/>
              </w:rPr>
              <w:t>дасть можливість: упорядкувати адміністративно-територіальний поділ, вирішити питання забудови, раціонального використання земель населених пунктів, справедливого оподаткування, контролю за використанням та охороною земель</w:t>
            </w:r>
          </w:p>
        </w:tc>
      </w:tr>
      <w:tr w:rsidR="00552466" w:rsidRPr="00C2587D" w14:paraId="69A95C75" w14:textId="77777777" w:rsidTr="00672B8E">
        <w:trPr>
          <w:trHeight w:val="56"/>
          <w:jc w:val="right"/>
        </w:trPr>
        <w:tc>
          <w:tcPr>
            <w:tcW w:w="3425" w:type="dxa"/>
            <w:shd w:val="clear" w:color="auto" w:fill="FFFFFF"/>
            <w:vAlign w:val="center"/>
          </w:tcPr>
          <w:p w14:paraId="40E76002" w14:textId="77777777" w:rsidR="00552466" w:rsidRPr="00C2587D" w:rsidRDefault="00552466" w:rsidP="00D7011A">
            <w:pPr>
              <w:rPr>
                <w:rFonts w:cs="Arial"/>
                <w:b/>
                <w:bCs/>
                <w:color w:val="000000"/>
                <w:szCs w:val="22"/>
              </w:rPr>
            </w:pPr>
            <w:r w:rsidRPr="00C2587D">
              <w:rPr>
                <w:rFonts w:cs="Arial"/>
                <w:b/>
                <w:bCs/>
                <w:color w:val="000000"/>
                <w:szCs w:val="22"/>
              </w:rPr>
              <w:t>Основні заходи проєкту:</w:t>
            </w:r>
          </w:p>
          <w:p w14:paraId="075B0E49" w14:textId="77777777" w:rsidR="00552466" w:rsidRPr="00C2587D" w:rsidRDefault="00552466" w:rsidP="00D7011A">
            <w:pPr>
              <w:rPr>
                <w:rFonts w:cs="Arial"/>
                <w:b/>
                <w:bCs/>
                <w:color w:val="000000"/>
                <w:szCs w:val="22"/>
              </w:rPr>
            </w:pPr>
          </w:p>
        </w:tc>
        <w:tc>
          <w:tcPr>
            <w:tcW w:w="6954" w:type="dxa"/>
            <w:gridSpan w:val="5"/>
            <w:shd w:val="clear" w:color="auto" w:fill="FFFFFF"/>
          </w:tcPr>
          <w:p w14:paraId="4B3FCD07" w14:textId="075D151D" w:rsidR="00552466" w:rsidRPr="00C2587D" w:rsidRDefault="00552466" w:rsidP="00D7011A">
            <w:pPr>
              <w:jc w:val="both"/>
              <w:rPr>
                <w:rFonts w:cs="Arial"/>
                <w:szCs w:val="22"/>
              </w:rPr>
            </w:pPr>
            <w:r w:rsidRPr="00C2587D">
              <w:rPr>
                <w:rFonts w:cs="Arial"/>
                <w:szCs w:val="22"/>
                <w:lang w:eastAsia="it-IT"/>
              </w:rPr>
              <w:t>З</w:t>
            </w:r>
            <w:r w:rsidR="00997CC4">
              <w:rPr>
                <w:rFonts w:cs="Arial"/>
                <w:szCs w:val="22"/>
              </w:rPr>
              <w:t>амовлення проє</w:t>
            </w:r>
            <w:r w:rsidRPr="00C2587D">
              <w:rPr>
                <w:rFonts w:cs="Arial"/>
                <w:szCs w:val="22"/>
              </w:rPr>
              <w:t>ктів землеустрою щодо встановлення  меж населеного пункту с. Жуківці, с. Петрівка, с. Сідава, с. Щучинці, с. Ярошенка, с. Рів</w:t>
            </w:r>
            <w:r w:rsidRPr="00C2587D">
              <w:rPr>
                <w:rFonts w:cs="Arial"/>
                <w:b/>
                <w:szCs w:val="22"/>
              </w:rPr>
              <w:t xml:space="preserve">, </w:t>
            </w:r>
            <w:r w:rsidRPr="00C2587D">
              <w:rPr>
                <w:rFonts w:cs="Arial"/>
                <w:szCs w:val="22"/>
              </w:rPr>
              <w:t>с. Межирів, с. Леляки, с. Подільське, с. Тартак, с. Мала Жмеринка, смт. Браїлів, сел. Браїлів, с. Сьомаки, с. Володимирівка, с. Біликівці, с. Лопатинці, с. Мартинівка, с. Дубова, с. Кармалюкове, с. Майдан – Головчинський, с. Петрані, с. Новоселиця, с. Василівка, с. Лисогірка, с. Почапинці, с. Зоринці, с. Слобода</w:t>
            </w:r>
          </w:p>
        </w:tc>
      </w:tr>
      <w:tr w:rsidR="00552466" w:rsidRPr="00C2587D" w14:paraId="6E26709B" w14:textId="77777777" w:rsidTr="00672B8E">
        <w:trPr>
          <w:jc w:val="right"/>
        </w:trPr>
        <w:tc>
          <w:tcPr>
            <w:tcW w:w="3425" w:type="dxa"/>
            <w:shd w:val="clear" w:color="auto" w:fill="FFFFFF"/>
            <w:vAlign w:val="center"/>
          </w:tcPr>
          <w:p w14:paraId="214CE952" w14:textId="77777777" w:rsidR="00552466" w:rsidRPr="00C2587D" w:rsidRDefault="00552466" w:rsidP="00D7011A">
            <w:pPr>
              <w:rPr>
                <w:rFonts w:cs="Arial"/>
                <w:b/>
                <w:bCs/>
                <w:color w:val="000000"/>
                <w:szCs w:val="22"/>
              </w:rPr>
            </w:pPr>
            <w:r w:rsidRPr="00C2587D">
              <w:rPr>
                <w:rFonts w:cs="Arial"/>
                <w:b/>
                <w:bCs/>
                <w:color w:val="000000"/>
                <w:szCs w:val="22"/>
              </w:rPr>
              <w:t>Індикатори (показники) результативності:</w:t>
            </w:r>
          </w:p>
        </w:tc>
        <w:tc>
          <w:tcPr>
            <w:tcW w:w="6954" w:type="dxa"/>
            <w:gridSpan w:val="5"/>
            <w:shd w:val="clear" w:color="auto" w:fill="FFFFFF"/>
          </w:tcPr>
          <w:p w14:paraId="1E9FA916" w14:textId="77777777" w:rsidR="00552466" w:rsidRPr="00C2587D" w:rsidRDefault="00552466" w:rsidP="00D7011A">
            <w:pPr>
              <w:spacing w:before="40" w:after="40"/>
              <w:jc w:val="both"/>
              <w:rPr>
                <w:rFonts w:cs="Arial"/>
                <w:szCs w:val="22"/>
              </w:rPr>
            </w:pPr>
            <w:r w:rsidRPr="00C2587D">
              <w:rPr>
                <w:rFonts w:cs="Arial"/>
                <w:szCs w:val="22"/>
              </w:rPr>
              <w:t>Встановлення меж 28 населених пунктів Жмеринської міської територіальної громади дозволить упорядкувати відомості про земельні ділянки і їх землекористувачів, створити реальний банк ринку землі</w:t>
            </w:r>
          </w:p>
        </w:tc>
      </w:tr>
      <w:tr w:rsidR="00552466" w:rsidRPr="00C2587D" w14:paraId="009DB2CC" w14:textId="77777777" w:rsidTr="00672B8E">
        <w:trPr>
          <w:jc w:val="right"/>
        </w:trPr>
        <w:tc>
          <w:tcPr>
            <w:tcW w:w="3425" w:type="dxa"/>
            <w:shd w:val="clear" w:color="auto" w:fill="FFFFFF"/>
            <w:vAlign w:val="center"/>
          </w:tcPr>
          <w:p w14:paraId="53BACC50" w14:textId="77777777" w:rsidR="00552466" w:rsidRPr="00C2587D" w:rsidRDefault="00552466" w:rsidP="00D7011A">
            <w:pPr>
              <w:rPr>
                <w:rFonts w:cs="Arial"/>
                <w:b/>
                <w:color w:val="000000"/>
                <w:szCs w:val="22"/>
              </w:rPr>
            </w:pPr>
            <w:r w:rsidRPr="00C2587D">
              <w:rPr>
                <w:rFonts w:cs="Arial"/>
                <w:b/>
                <w:color w:val="000000"/>
                <w:szCs w:val="22"/>
              </w:rPr>
              <w:t xml:space="preserve">Період здійснення: </w:t>
            </w:r>
          </w:p>
        </w:tc>
        <w:tc>
          <w:tcPr>
            <w:tcW w:w="6954" w:type="dxa"/>
            <w:gridSpan w:val="5"/>
            <w:vAlign w:val="center"/>
          </w:tcPr>
          <w:p w14:paraId="403D0961" w14:textId="77777777" w:rsidR="00552466" w:rsidRPr="00C2587D" w:rsidRDefault="00552466" w:rsidP="00D7011A">
            <w:pPr>
              <w:rPr>
                <w:rFonts w:cs="Arial"/>
                <w:color w:val="000000"/>
                <w:szCs w:val="22"/>
                <w:lang w:eastAsia="it-IT"/>
              </w:rPr>
            </w:pPr>
            <w:r w:rsidRPr="00C2587D">
              <w:rPr>
                <w:rFonts w:cs="Arial"/>
                <w:b/>
                <w:color w:val="000000"/>
                <w:szCs w:val="22"/>
              </w:rPr>
              <w:t>2025 – 2028 роки:</w:t>
            </w:r>
          </w:p>
        </w:tc>
      </w:tr>
      <w:tr w:rsidR="00552466" w:rsidRPr="00C2587D" w14:paraId="2F9F7282" w14:textId="77777777" w:rsidTr="00672B8E">
        <w:trPr>
          <w:jc w:val="right"/>
        </w:trPr>
        <w:tc>
          <w:tcPr>
            <w:tcW w:w="3425" w:type="dxa"/>
            <w:vMerge w:val="restart"/>
            <w:shd w:val="clear" w:color="auto" w:fill="FFFFFF"/>
            <w:vAlign w:val="center"/>
          </w:tcPr>
          <w:p w14:paraId="3CE0E672" w14:textId="77777777" w:rsidR="00552466" w:rsidRPr="00C2587D" w:rsidRDefault="00552466" w:rsidP="00D7011A">
            <w:pPr>
              <w:rPr>
                <w:rFonts w:cs="Arial"/>
                <w:b/>
                <w:bCs/>
                <w:color w:val="000000"/>
                <w:szCs w:val="22"/>
              </w:rPr>
            </w:pPr>
            <w:r w:rsidRPr="00C2587D">
              <w:rPr>
                <w:rFonts w:cs="Arial"/>
                <w:b/>
                <w:bCs/>
                <w:color w:val="000000"/>
                <w:szCs w:val="22"/>
              </w:rPr>
              <w:t>Орієнтовна вартість проєкту, тис. грн., в тому числі:</w:t>
            </w:r>
          </w:p>
        </w:tc>
        <w:tc>
          <w:tcPr>
            <w:tcW w:w="1254" w:type="dxa"/>
            <w:shd w:val="clear" w:color="auto" w:fill="E6E6E6"/>
            <w:vAlign w:val="center"/>
          </w:tcPr>
          <w:p w14:paraId="1AF56EF2" w14:textId="77777777" w:rsidR="00552466" w:rsidRPr="00C2587D" w:rsidRDefault="00552466" w:rsidP="00D7011A">
            <w:pPr>
              <w:jc w:val="center"/>
              <w:rPr>
                <w:rFonts w:cs="Arial"/>
                <w:b/>
                <w:color w:val="000000"/>
                <w:szCs w:val="22"/>
                <w:lang w:eastAsia="it-IT"/>
              </w:rPr>
            </w:pPr>
            <w:r w:rsidRPr="00C2587D">
              <w:rPr>
                <w:rFonts w:cs="Arial"/>
                <w:b/>
                <w:color w:val="000000"/>
                <w:szCs w:val="22"/>
                <w:lang w:eastAsia="it-IT"/>
              </w:rPr>
              <w:t>2025</w:t>
            </w:r>
          </w:p>
        </w:tc>
        <w:tc>
          <w:tcPr>
            <w:tcW w:w="1417" w:type="dxa"/>
            <w:shd w:val="clear" w:color="auto" w:fill="E6E6E6"/>
            <w:vAlign w:val="center"/>
          </w:tcPr>
          <w:p w14:paraId="54ADFC73" w14:textId="77777777" w:rsidR="00552466" w:rsidRPr="00C2587D" w:rsidRDefault="00552466" w:rsidP="00D7011A">
            <w:pPr>
              <w:jc w:val="center"/>
              <w:rPr>
                <w:rFonts w:cs="Arial"/>
                <w:b/>
                <w:color w:val="000000"/>
                <w:szCs w:val="22"/>
                <w:lang w:eastAsia="it-IT"/>
              </w:rPr>
            </w:pPr>
            <w:r w:rsidRPr="00C2587D">
              <w:rPr>
                <w:rFonts w:cs="Arial"/>
                <w:b/>
                <w:color w:val="000000"/>
                <w:szCs w:val="22"/>
                <w:lang w:eastAsia="it-IT"/>
              </w:rPr>
              <w:t>2026</w:t>
            </w:r>
          </w:p>
        </w:tc>
        <w:tc>
          <w:tcPr>
            <w:tcW w:w="1418" w:type="dxa"/>
            <w:tcBorders>
              <w:bottom w:val="single" w:sz="4" w:space="0" w:color="auto"/>
            </w:tcBorders>
            <w:shd w:val="clear" w:color="auto" w:fill="E6E6E6"/>
            <w:vAlign w:val="center"/>
          </w:tcPr>
          <w:p w14:paraId="31BAAD02" w14:textId="77777777" w:rsidR="00552466" w:rsidRPr="00C2587D" w:rsidRDefault="00552466" w:rsidP="00D7011A">
            <w:pPr>
              <w:jc w:val="center"/>
              <w:rPr>
                <w:rFonts w:cs="Arial"/>
                <w:b/>
                <w:color w:val="000000"/>
                <w:szCs w:val="22"/>
                <w:lang w:eastAsia="it-IT"/>
              </w:rPr>
            </w:pPr>
            <w:r w:rsidRPr="00C2587D">
              <w:rPr>
                <w:rFonts w:cs="Arial"/>
                <w:b/>
                <w:color w:val="000000"/>
                <w:szCs w:val="22"/>
                <w:lang w:eastAsia="it-IT"/>
              </w:rPr>
              <w:t>2027</w:t>
            </w:r>
          </w:p>
        </w:tc>
        <w:tc>
          <w:tcPr>
            <w:tcW w:w="1275" w:type="dxa"/>
            <w:shd w:val="clear" w:color="auto" w:fill="E6E6E6"/>
            <w:vAlign w:val="center"/>
          </w:tcPr>
          <w:p w14:paraId="618BE869" w14:textId="77777777" w:rsidR="00552466" w:rsidRPr="00C2587D" w:rsidRDefault="00552466" w:rsidP="00D7011A">
            <w:pPr>
              <w:jc w:val="center"/>
              <w:rPr>
                <w:rFonts w:cs="Arial"/>
                <w:b/>
                <w:color w:val="000000"/>
                <w:szCs w:val="22"/>
                <w:lang w:eastAsia="it-IT"/>
              </w:rPr>
            </w:pPr>
            <w:r w:rsidRPr="00C2587D">
              <w:rPr>
                <w:rFonts w:cs="Arial"/>
                <w:b/>
                <w:color w:val="000000"/>
                <w:szCs w:val="22"/>
                <w:lang w:eastAsia="it-IT"/>
              </w:rPr>
              <w:t>2028</w:t>
            </w:r>
          </w:p>
        </w:tc>
        <w:tc>
          <w:tcPr>
            <w:tcW w:w="1590" w:type="dxa"/>
            <w:shd w:val="clear" w:color="auto" w:fill="E6E6E6"/>
            <w:vAlign w:val="center"/>
          </w:tcPr>
          <w:p w14:paraId="4F5FF74F" w14:textId="77777777" w:rsidR="00552466" w:rsidRPr="00C2587D" w:rsidRDefault="00552466" w:rsidP="00D7011A">
            <w:pPr>
              <w:jc w:val="center"/>
              <w:rPr>
                <w:rFonts w:cs="Arial"/>
                <w:b/>
                <w:color w:val="000000"/>
                <w:szCs w:val="22"/>
                <w:lang w:eastAsia="it-IT"/>
              </w:rPr>
            </w:pPr>
            <w:r w:rsidRPr="00C2587D">
              <w:rPr>
                <w:rFonts w:cs="Arial"/>
                <w:b/>
                <w:color w:val="000000"/>
                <w:szCs w:val="22"/>
                <w:lang w:eastAsia="it-IT"/>
              </w:rPr>
              <w:t>РАЗОМ</w:t>
            </w:r>
          </w:p>
        </w:tc>
      </w:tr>
      <w:tr w:rsidR="00552466" w:rsidRPr="00C2587D" w14:paraId="17E567BA" w14:textId="77777777" w:rsidTr="00672B8E">
        <w:trPr>
          <w:trHeight w:val="645"/>
          <w:jc w:val="right"/>
        </w:trPr>
        <w:tc>
          <w:tcPr>
            <w:tcW w:w="3425" w:type="dxa"/>
            <w:vMerge/>
            <w:shd w:val="clear" w:color="auto" w:fill="FFFFFF"/>
            <w:vAlign w:val="center"/>
          </w:tcPr>
          <w:p w14:paraId="12F8B2C8" w14:textId="77777777" w:rsidR="00552466" w:rsidRPr="00C2587D" w:rsidRDefault="00552466" w:rsidP="00D7011A">
            <w:pPr>
              <w:rPr>
                <w:rFonts w:cs="Arial"/>
                <w:b/>
                <w:bCs/>
                <w:color w:val="000000"/>
                <w:szCs w:val="22"/>
              </w:rPr>
            </w:pPr>
          </w:p>
        </w:tc>
        <w:tc>
          <w:tcPr>
            <w:tcW w:w="1254" w:type="dxa"/>
            <w:vAlign w:val="center"/>
          </w:tcPr>
          <w:p w14:paraId="69EF560E" w14:textId="77777777" w:rsidR="00552466" w:rsidRPr="00C2587D" w:rsidRDefault="00552466" w:rsidP="00D7011A">
            <w:pPr>
              <w:jc w:val="center"/>
              <w:rPr>
                <w:rFonts w:cs="Arial"/>
                <w:szCs w:val="22"/>
                <w:lang w:eastAsia="it-IT"/>
              </w:rPr>
            </w:pPr>
            <w:r w:rsidRPr="00C2587D">
              <w:rPr>
                <w:rFonts w:cs="Arial"/>
                <w:szCs w:val="22"/>
                <w:lang w:eastAsia="it-IT"/>
              </w:rPr>
              <w:t>700,00</w:t>
            </w:r>
          </w:p>
        </w:tc>
        <w:tc>
          <w:tcPr>
            <w:tcW w:w="1417" w:type="dxa"/>
            <w:shd w:val="clear" w:color="auto" w:fill="FFFFFF"/>
            <w:vAlign w:val="center"/>
          </w:tcPr>
          <w:p w14:paraId="1DC54828" w14:textId="77777777" w:rsidR="00552466" w:rsidRPr="00C2587D" w:rsidRDefault="00552466" w:rsidP="00D7011A">
            <w:pPr>
              <w:jc w:val="center"/>
              <w:rPr>
                <w:rFonts w:cs="Arial"/>
                <w:szCs w:val="22"/>
                <w:lang w:eastAsia="it-IT"/>
              </w:rPr>
            </w:pPr>
            <w:r w:rsidRPr="00C2587D">
              <w:rPr>
                <w:rFonts w:cs="Arial"/>
                <w:szCs w:val="22"/>
                <w:lang w:eastAsia="it-IT"/>
              </w:rPr>
              <w:t>700,00</w:t>
            </w:r>
          </w:p>
        </w:tc>
        <w:tc>
          <w:tcPr>
            <w:tcW w:w="1418" w:type="dxa"/>
            <w:shd w:val="clear" w:color="auto" w:fill="auto"/>
            <w:vAlign w:val="center"/>
          </w:tcPr>
          <w:p w14:paraId="346DDDAE" w14:textId="77777777" w:rsidR="00552466" w:rsidRPr="00C2587D" w:rsidRDefault="00552466" w:rsidP="00D7011A">
            <w:pPr>
              <w:jc w:val="center"/>
              <w:rPr>
                <w:rFonts w:cs="Arial"/>
                <w:szCs w:val="22"/>
                <w:lang w:eastAsia="it-IT"/>
              </w:rPr>
            </w:pPr>
            <w:r w:rsidRPr="00C2587D">
              <w:rPr>
                <w:rFonts w:cs="Arial"/>
                <w:szCs w:val="22"/>
                <w:lang w:eastAsia="it-IT"/>
              </w:rPr>
              <w:t>700,00</w:t>
            </w:r>
          </w:p>
        </w:tc>
        <w:tc>
          <w:tcPr>
            <w:tcW w:w="1275" w:type="dxa"/>
            <w:shd w:val="clear" w:color="auto" w:fill="FFFFFF"/>
            <w:vAlign w:val="center"/>
          </w:tcPr>
          <w:p w14:paraId="75DE2A0F" w14:textId="77777777" w:rsidR="00552466" w:rsidRPr="00C2587D" w:rsidRDefault="00552466" w:rsidP="00D7011A">
            <w:pPr>
              <w:jc w:val="center"/>
              <w:rPr>
                <w:rFonts w:cs="Arial"/>
                <w:szCs w:val="22"/>
                <w:lang w:eastAsia="it-IT"/>
              </w:rPr>
            </w:pPr>
            <w:r w:rsidRPr="00C2587D">
              <w:rPr>
                <w:rFonts w:cs="Arial"/>
                <w:szCs w:val="22"/>
                <w:lang w:eastAsia="it-IT"/>
              </w:rPr>
              <w:t>700,00</w:t>
            </w:r>
          </w:p>
        </w:tc>
        <w:tc>
          <w:tcPr>
            <w:tcW w:w="1590" w:type="dxa"/>
            <w:shd w:val="clear" w:color="auto" w:fill="FFFFFF"/>
            <w:vAlign w:val="center"/>
          </w:tcPr>
          <w:p w14:paraId="67007716" w14:textId="77777777" w:rsidR="00552466" w:rsidRPr="00C2587D" w:rsidRDefault="00552466" w:rsidP="00D7011A">
            <w:pPr>
              <w:jc w:val="center"/>
              <w:rPr>
                <w:rFonts w:cs="Arial"/>
                <w:szCs w:val="22"/>
                <w:lang w:eastAsia="it-IT"/>
              </w:rPr>
            </w:pPr>
            <w:r w:rsidRPr="00C2587D">
              <w:rPr>
                <w:rFonts w:cs="Arial"/>
                <w:szCs w:val="22"/>
                <w:lang w:eastAsia="it-IT"/>
              </w:rPr>
              <w:t>2800,00</w:t>
            </w:r>
          </w:p>
        </w:tc>
      </w:tr>
      <w:tr w:rsidR="00552466" w:rsidRPr="00C2587D" w14:paraId="080B68B3" w14:textId="77777777" w:rsidTr="00672B8E">
        <w:trPr>
          <w:trHeight w:val="276"/>
          <w:jc w:val="right"/>
        </w:trPr>
        <w:tc>
          <w:tcPr>
            <w:tcW w:w="3425" w:type="dxa"/>
            <w:shd w:val="clear" w:color="auto" w:fill="FFFFFF"/>
            <w:vAlign w:val="center"/>
          </w:tcPr>
          <w:p w14:paraId="56C91127" w14:textId="77777777" w:rsidR="00552466" w:rsidRPr="00C2587D" w:rsidRDefault="00552466" w:rsidP="00D7011A">
            <w:pPr>
              <w:rPr>
                <w:rFonts w:cs="Arial"/>
                <w:b/>
                <w:bCs/>
                <w:color w:val="000000"/>
                <w:szCs w:val="22"/>
              </w:rPr>
            </w:pPr>
            <w:r w:rsidRPr="00C2587D">
              <w:rPr>
                <w:rFonts w:cs="Arial"/>
                <w:b/>
                <w:bCs/>
                <w:color w:val="000000"/>
                <w:szCs w:val="22"/>
              </w:rPr>
              <w:t>по джерелах фінансування:</w:t>
            </w:r>
          </w:p>
        </w:tc>
        <w:tc>
          <w:tcPr>
            <w:tcW w:w="1254" w:type="dxa"/>
            <w:vAlign w:val="center"/>
          </w:tcPr>
          <w:p w14:paraId="7AA3E30D" w14:textId="77777777" w:rsidR="00552466" w:rsidRPr="00C2587D" w:rsidRDefault="00552466" w:rsidP="00D7011A">
            <w:pPr>
              <w:rPr>
                <w:rFonts w:cs="Arial"/>
                <w:szCs w:val="22"/>
                <w:lang w:eastAsia="it-IT"/>
              </w:rPr>
            </w:pPr>
          </w:p>
        </w:tc>
        <w:tc>
          <w:tcPr>
            <w:tcW w:w="1417" w:type="dxa"/>
            <w:shd w:val="clear" w:color="auto" w:fill="FFFFFF"/>
            <w:vAlign w:val="center"/>
          </w:tcPr>
          <w:p w14:paraId="7C4A5A69" w14:textId="77777777" w:rsidR="00552466" w:rsidRPr="00C2587D" w:rsidRDefault="00552466" w:rsidP="00D7011A">
            <w:pPr>
              <w:jc w:val="center"/>
              <w:rPr>
                <w:rFonts w:cs="Arial"/>
                <w:szCs w:val="22"/>
                <w:lang w:eastAsia="it-IT"/>
              </w:rPr>
            </w:pPr>
          </w:p>
        </w:tc>
        <w:tc>
          <w:tcPr>
            <w:tcW w:w="1418" w:type="dxa"/>
            <w:shd w:val="clear" w:color="auto" w:fill="auto"/>
            <w:vAlign w:val="center"/>
          </w:tcPr>
          <w:p w14:paraId="4B7B758A" w14:textId="77777777" w:rsidR="00552466" w:rsidRPr="00C2587D" w:rsidRDefault="00552466" w:rsidP="00D7011A">
            <w:pPr>
              <w:jc w:val="center"/>
              <w:rPr>
                <w:rFonts w:cs="Arial"/>
                <w:szCs w:val="22"/>
                <w:lang w:eastAsia="it-IT"/>
              </w:rPr>
            </w:pPr>
          </w:p>
        </w:tc>
        <w:tc>
          <w:tcPr>
            <w:tcW w:w="1275" w:type="dxa"/>
            <w:shd w:val="clear" w:color="auto" w:fill="FFFFFF"/>
            <w:vAlign w:val="center"/>
          </w:tcPr>
          <w:p w14:paraId="5A5911AA" w14:textId="77777777" w:rsidR="00552466" w:rsidRPr="00C2587D" w:rsidRDefault="00552466" w:rsidP="00D7011A">
            <w:pPr>
              <w:jc w:val="center"/>
              <w:rPr>
                <w:rFonts w:cs="Arial"/>
                <w:szCs w:val="22"/>
                <w:lang w:eastAsia="it-IT"/>
              </w:rPr>
            </w:pPr>
          </w:p>
        </w:tc>
        <w:tc>
          <w:tcPr>
            <w:tcW w:w="1590" w:type="dxa"/>
            <w:shd w:val="clear" w:color="auto" w:fill="FFFFFF"/>
            <w:vAlign w:val="center"/>
          </w:tcPr>
          <w:p w14:paraId="26077B21" w14:textId="77777777" w:rsidR="00552466" w:rsidRPr="00C2587D" w:rsidRDefault="00552466" w:rsidP="00D7011A">
            <w:pPr>
              <w:jc w:val="center"/>
              <w:rPr>
                <w:rFonts w:cs="Arial"/>
                <w:szCs w:val="22"/>
                <w:lang w:eastAsia="it-IT"/>
              </w:rPr>
            </w:pPr>
          </w:p>
        </w:tc>
      </w:tr>
      <w:tr w:rsidR="00552466" w:rsidRPr="00C2587D" w14:paraId="76F73567" w14:textId="77777777" w:rsidTr="00672B8E">
        <w:trPr>
          <w:trHeight w:val="230"/>
          <w:jc w:val="right"/>
        </w:trPr>
        <w:tc>
          <w:tcPr>
            <w:tcW w:w="3425" w:type="dxa"/>
            <w:shd w:val="clear" w:color="auto" w:fill="FFFFFF"/>
            <w:vAlign w:val="center"/>
          </w:tcPr>
          <w:p w14:paraId="38BC47FC" w14:textId="77777777" w:rsidR="00552466" w:rsidRPr="00C2587D" w:rsidRDefault="00552466" w:rsidP="00D7011A">
            <w:pPr>
              <w:rPr>
                <w:rFonts w:cs="Arial"/>
                <w:bCs/>
                <w:color w:val="000000"/>
                <w:szCs w:val="22"/>
              </w:rPr>
            </w:pPr>
            <w:r w:rsidRPr="00C2587D">
              <w:rPr>
                <w:rFonts w:cs="Arial"/>
                <w:bCs/>
                <w:color w:val="000000"/>
                <w:szCs w:val="22"/>
              </w:rPr>
              <w:t>-державний бюджет</w:t>
            </w:r>
          </w:p>
        </w:tc>
        <w:tc>
          <w:tcPr>
            <w:tcW w:w="1254" w:type="dxa"/>
            <w:vAlign w:val="center"/>
          </w:tcPr>
          <w:p w14:paraId="2A2267CA" w14:textId="77777777" w:rsidR="00552466" w:rsidRPr="00C2587D" w:rsidRDefault="00552466" w:rsidP="00D7011A">
            <w:pPr>
              <w:rPr>
                <w:rFonts w:cs="Arial"/>
                <w:szCs w:val="22"/>
                <w:lang w:eastAsia="it-IT"/>
              </w:rPr>
            </w:pPr>
          </w:p>
        </w:tc>
        <w:tc>
          <w:tcPr>
            <w:tcW w:w="1417" w:type="dxa"/>
            <w:shd w:val="clear" w:color="auto" w:fill="FFFFFF"/>
            <w:vAlign w:val="center"/>
          </w:tcPr>
          <w:p w14:paraId="04F470AD" w14:textId="77777777" w:rsidR="00552466" w:rsidRPr="00C2587D" w:rsidRDefault="00552466" w:rsidP="00D7011A">
            <w:pPr>
              <w:jc w:val="center"/>
              <w:rPr>
                <w:rFonts w:cs="Arial"/>
                <w:szCs w:val="22"/>
                <w:lang w:eastAsia="it-IT"/>
              </w:rPr>
            </w:pPr>
          </w:p>
        </w:tc>
        <w:tc>
          <w:tcPr>
            <w:tcW w:w="1418" w:type="dxa"/>
            <w:shd w:val="clear" w:color="auto" w:fill="auto"/>
            <w:vAlign w:val="center"/>
          </w:tcPr>
          <w:p w14:paraId="30934A7B" w14:textId="77777777" w:rsidR="00552466" w:rsidRPr="00C2587D" w:rsidRDefault="00552466" w:rsidP="00D7011A">
            <w:pPr>
              <w:jc w:val="center"/>
              <w:rPr>
                <w:rFonts w:cs="Arial"/>
                <w:szCs w:val="22"/>
                <w:lang w:eastAsia="it-IT"/>
              </w:rPr>
            </w:pPr>
          </w:p>
        </w:tc>
        <w:tc>
          <w:tcPr>
            <w:tcW w:w="1275" w:type="dxa"/>
            <w:shd w:val="clear" w:color="auto" w:fill="FFFFFF"/>
            <w:vAlign w:val="center"/>
          </w:tcPr>
          <w:p w14:paraId="1D9D1BEA" w14:textId="77777777" w:rsidR="00552466" w:rsidRPr="00C2587D" w:rsidRDefault="00552466" w:rsidP="00D7011A">
            <w:pPr>
              <w:jc w:val="center"/>
              <w:rPr>
                <w:rFonts w:cs="Arial"/>
                <w:szCs w:val="22"/>
                <w:lang w:eastAsia="it-IT"/>
              </w:rPr>
            </w:pPr>
          </w:p>
        </w:tc>
        <w:tc>
          <w:tcPr>
            <w:tcW w:w="1590" w:type="dxa"/>
            <w:shd w:val="clear" w:color="auto" w:fill="FFFFFF"/>
            <w:vAlign w:val="center"/>
          </w:tcPr>
          <w:p w14:paraId="2F44A192" w14:textId="77777777" w:rsidR="00552466" w:rsidRPr="00C2587D" w:rsidRDefault="00552466" w:rsidP="00D7011A">
            <w:pPr>
              <w:jc w:val="center"/>
              <w:rPr>
                <w:rFonts w:cs="Arial"/>
                <w:szCs w:val="22"/>
                <w:lang w:eastAsia="it-IT"/>
              </w:rPr>
            </w:pPr>
          </w:p>
        </w:tc>
      </w:tr>
      <w:tr w:rsidR="00552466" w:rsidRPr="00C2587D" w14:paraId="699D9432" w14:textId="77777777" w:rsidTr="00672B8E">
        <w:trPr>
          <w:trHeight w:val="253"/>
          <w:jc w:val="right"/>
        </w:trPr>
        <w:tc>
          <w:tcPr>
            <w:tcW w:w="3425" w:type="dxa"/>
            <w:shd w:val="clear" w:color="auto" w:fill="FFFFFF"/>
            <w:vAlign w:val="center"/>
          </w:tcPr>
          <w:p w14:paraId="04C8A8AF" w14:textId="77777777" w:rsidR="00552466" w:rsidRPr="00C2587D" w:rsidRDefault="00552466" w:rsidP="00D7011A">
            <w:pPr>
              <w:rPr>
                <w:rFonts w:cs="Arial"/>
                <w:bCs/>
                <w:color w:val="000000"/>
                <w:szCs w:val="22"/>
              </w:rPr>
            </w:pPr>
            <w:r w:rsidRPr="00C2587D">
              <w:rPr>
                <w:rFonts w:cs="Arial"/>
                <w:bCs/>
                <w:color w:val="000000"/>
                <w:szCs w:val="22"/>
              </w:rPr>
              <w:t>-обласний бюджет</w:t>
            </w:r>
          </w:p>
        </w:tc>
        <w:tc>
          <w:tcPr>
            <w:tcW w:w="1254" w:type="dxa"/>
            <w:vAlign w:val="center"/>
          </w:tcPr>
          <w:p w14:paraId="20FBE338" w14:textId="77777777" w:rsidR="00552466" w:rsidRPr="00C2587D" w:rsidRDefault="00552466" w:rsidP="00D7011A">
            <w:pPr>
              <w:rPr>
                <w:rFonts w:cs="Arial"/>
                <w:szCs w:val="22"/>
                <w:lang w:eastAsia="it-IT"/>
              </w:rPr>
            </w:pPr>
          </w:p>
        </w:tc>
        <w:tc>
          <w:tcPr>
            <w:tcW w:w="1417" w:type="dxa"/>
            <w:shd w:val="clear" w:color="auto" w:fill="FFFFFF"/>
            <w:vAlign w:val="center"/>
          </w:tcPr>
          <w:p w14:paraId="7A48A42C" w14:textId="77777777" w:rsidR="00552466" w:rsidRPr="00C2587D" w:rsidRDefault="00552466" w:rsidP="00D7011A">
            <w:pPr>
              <w:jc w:val="center"/>
              <w:rPr>
                <w:rFonts w:cs="Arial"/>
                <w:szCs w:val="22"/>
                <w:lang w:eastAsia="it-IT"/>
              </w:rPr>
            </w:pPr>
          </w:p>
        </w:tc>
        <w:tc>
          <w:tcPr>
            <w:tcW w:w="1418" w:type="dxa"/>
            <w:shd w:val="clear" w:color="auto" w:fill="auto"/>
            <w:vAlign w:val="center"/>
          </w:tcPr>
          <w:p w14:paraId="4FCF1B1A" w14:textId="77777777" w:rsidR="00552466" w:rsidRPr="00C2587D" w:rsidRDefault="00552466" w:rsidP="00D7011A">
            <w:pPr>
              <w:jc w:val="center"/>
              <w:rPr>
                <w:rFonts w:cs="Arial"/>
                <w:szCs w:val="22"/>
                <w:lang w:eastAsia="it-IT"/>
              </w:rPr>
            </w:pPr>
          </w:p>
        </w:tc>
        <w:tc>
          <w:tcPr>
            <w:tcW w:w="1275" w:type="dxa"/>
            <w:shd w:val="clear" w:color="auto" w:fill="FFFFFF"/>
            <w:vAlign w:val="center"/>
          </w:tcPr>
          <w:p w14:paraId="574F9CAB" w14:textId="77777777" w:rsidR="00552466" w:rsidRPr="00C2587D" w:rsidRDefault="00552466" w:rsidP="00D7011A">
            <w:pPr>
              <w:jc w:val="center"/>
              <w:rPr>
                <w:rFonts w:cs="Arial"/>
                <w:szCs w:val="22"/>
                <w:lang w:eastAsia="it-IT"/>
              </w:rPr>
            </w:pPr>
          </w:p>
        </w:tc>
        <w:tc>
          <w:tcPr>
            <w:tcW w:w="1590" w:type="dxa"/>
            <w:shd w:val="clear" w:color="auto" w:fill="FFFFFF"/>
            <w:vAlign w:val="center"/>
          </w:tcPr>
          <w:p w14:paraId="243A3F5D" w14:textId="77777777" w:rsidR="00552466" w:rsidRPr="00C2587D" w:rsidRDefault="00552466" w:rsidP="00D7011A">
            <w:pPr>
              <w:jc w:val="center"/>
              <w:rPr>
                <w:rFonts w:cs="Arial"/>
                <w:szCs w:val="22"/>
                <w:lang w:eastAsia="it-IT"/>
              </w:rPr>
            </w:pPr>
          </w:p>
        </w:tc>
      </w:tr>
      <w:tr w:rsidR="00552466" w:rsidRPr="00C2587D" w14:paraId="062E819A" w14:textId="77777777" w:rsidTr="00672B8E">
        <w:trPr>
          <w:trHeight w:val="264"/>
          <w:jc w:val="right"/>
        </w:trPr>
        <w:tc>
          <w:tcPr>
            <w:tcW w:w="3425" w:type="dxa"/>
            <w:shd w:val="clear" w:color="auto" w:fill="FFFFFF"/>
            <w:vAlign w:val="center"/>
          </w:tcPr>
          <w:p w14:paraId="5D4B31F5" w14:textId="77777777" w:rsidR="00552466" w:rsidRPr="00C2587D" w:rsidRDefault="00552466" w:rsidP="00D7011A">
            <w:pPr>
              <w:rPr>
                <w:rFonts w:cs="Arial"/>
                <w:bCs/>
                <w:color w:val="000000"/>
                <w:szCs w:val="22"/>
              </w:rPr>
            </w:pPr>
            <w:r w:rsidRPr="00C2587D">
              <w:rPr>
                <w:rFonts w:cs="Arial"/>
                <w:bCs/>
                <w:color w:val="000000"/>
                <w:szCs w:val="22"/>
              </w:rPr>
              <w:t>-бюджет Жмеринської МТГ</w:t>
            </w:r>
          </w:p>
        </w:tc>
        <w:tc>
          <w:tcPr>
            <w:tcW w:w="1254" w:type="dxa"/>
            <w:vAlign w:val="center"/>
          </w:tcPr>
          <w:p w14:paraId="28C85E25" w14:textId="77777777" w:rsidR="00552466" w:rsidRPr="00C2587D" w:rsidRDefault="00552466" w:rsidP="00D7011A">
            <w:pPr>
              <w:jc w:val="center"/>
              <w:rPr>
                <w:rFonts w:cs="Arial"/>
                <w:szCs w:val="22"/>
                <w:lang w:eastAsia="it-IT"/>
              </w:rPr>
            </w:pPr>
            <w:r w:rsidRPr="00C2587D">
              <w:rPr>
                <w:rFonts w:cs="Arial"/>
                <w:szCs w:val="22"/>
                <w:lang w:eastAsia="it-IT"/>
              </w:rPr>
              <w:t>700,00</w:t>
            </w:r>
          </w:p>
        </w:tc>
        <w:tc>
          <w:tcPr>
            <w:tcW w:w="1417" w:type="dxa"/>
            <w:shd w:val="clear" w:color="auto" w:fill="FFFFFF"/>
            <w:vAlign w:val="center"/>
          </w:tcPr>
          <w:p w14:paraId="29D078A0" w14:textId="77777777" w:rsidR="00552466" w:rsidRPr="00C2587D" w:rsidRDefault="00552466" w:rsidP="00D7011A">
            <w:pPr>
              <w:jc w:val="center"/>
              <w:rPr>
                <w:rFonts w:cs="Arial"/>
                <w:szCs w:val="22"/>
                <w:lang w:eastAsia="it-IT"/>
              </w:rPr>
            </w:pPr>
            <w:r w:rsidRPr="00C2587D">
              <w:rPr>
                <w:rFonts w:cs="Arial"/>
                <w:szCs w:val="22"/>
                <w:lang w:eastAsia="it-IT"/>
              </w:rPr>
              <w:t>700,00</w:t>
            </w:r>
          </w:p>
        </w:tc>
        <w:tc>
          <w:tcPr>
            <w:tcW w:w="1418" w:type="dxa"/>
            <w:shd w:val="clear" w:color="auto" w:fill="auto"/>
            <w:vAlign w:val="center"/>
          </w:tcPr>
          <w:p w14:paraId="3DB05B08" w14:textId="77777777" w:rsidR="00552466" w:rsidRPr="00C2587D" w:rsidRDefault="00552466" w:rsidP="00D7011A">
            <w:pPr>
              <w:jc w:val="center"/>
              <w:rPr>
                <w:rFonts w:cs="Arial"/>
                <w:szCs w:val="22"/>
                <w:lang w:eastAsia="it-IT"/>
              </w:rPr>
            </w:pPr>
            <w:r w:rsidRPr="00C2587D">
              <w:rPr>
                <w:rFonts w:cs="Arial"/>
                <w:szCs w:val="22"/>
                <w:lang w:eastAsia="it-IT"/>
              </w:rPr>
              <w:t>700,00</w:t>
            </w:r>
          </w:p>
        </w:tc>
        <w:tc>
          <w:tcPr>
            <w:tcW w:w="1275" w:type="dxa"/>
            <w:shd w:val="clear" w:color="auto" w:fill="FFFFFF"/>
            <w:vAlign w:val="center"/>
          </w:tcPr>
          <w:p w14:paraId="31A111A2" w14:textId="77777777" w:rsidR="00552466" w:rsidRPr="00C2587D" w:rsidRDefault="00552466" w:rsidP="00D7011A">
            <w:pPr>
              <w:jc w:val="center"/>
              <w:rPr>
                <w:rFonts w:cs="Arial"/>
                <w:szCs w:val="22"/>
                <w:lang w:eastAsia="it-IT"/>
              </w:rPr>
            </w:pPr>
            <w:r w:rsidRPr="00C2587D">
              <w:rPr>
                <w:rFonts w:cs="Arial"/>
                <w:szCs w:val="22"/>
                <w:lang w:eastAsia="it-IT"/>
              </w:rPr>
              <w:t>700,00</w:t>
            </w:r>
          </w:p>
        </w:tc>
        <w:tc>
          <w:tcPr>
            <w:tcW w:w="1590" w:type="dxa"/>
            <w:shd w:val="clear" w:color="auto" w:fill="FFFFFF"/>
            <w:vAlign w:val="center"/>
          </w:tcPr>
          <w:p w14:paraId="0B2E3185" w14:textId="77777777" w:rsidR="00552466" w:rsidRPr="00C2587D" w:rsidRDefault="00552466" w:rsidP="00D7011A">
            <w:pPr>
              <w:jc w:val="center"/>
              <w:rPr>
                <w:rFonts w:cs="Arial"/>
                <w:szCs w:val="22"/>
                <w:lang w:eastAsia="it-IT"/>
              </w:rPr>
            </w:pPr>
            <w:r w:rsidRPr="00C2587D">
              <w:rPr>
                <w:rFonts w:cs="Arial"/>
                <w:szCs w:val="22"/>
                <w:lang w:eastAsia="it-IT"/>
              </w:rPr>
              <w:t>2800,00</w:t>
            </w:r>
          </w:p>
        </w:tc>
      </w:tr>
      <w:tr w:rsidR="00552466" w:rsidRPr="00C2587D" w14:paraId="30CE74C2" w14:textId="77777777" w:rsidTr="00672B8E">
        <w:trPr>
          <w:trHeight w:val="369"/>
          <w:jc w:val="right"/>
        </w:trPr>
        <w:tc>
          <w:tcPr>
            <w:tcW w:w="3425" w:type="dxa"/>
            <w:shd w:val="clear" w:color="auto" w:fill="FFFFFF"/>
            <w:vAlign w:val="center"/>
          </w:tcPr>
          <w:p w14:paraId="412EB2F5" w14:textId="77777777" w:rsidR="00552466" w:rsidRPr="00C2587D" w:rsidRDefault="00552466" w:rsidP="00D7011A">
            <w:pPr>
              <w:rPr>
                <w:rFonts w:cs="Arial"/>
                <w:bCs/>
                <w:color w:val="000000"/>
                <w:szCs w:val="22"/>
              </w:rPr>
            </w:pPr>
            <w:r w:rsidRPr="00C2587D">
              <w:rPr>
                <w:rFonts w:cs="Arial"/>
                <w:bCs/>
                <w:color w:val="000000"/>
                <w:szCs w:val="22"/>
              </w:rPr>
              <w:t>-інші джерела фінансування</w:t>
            </w:r>
          </w:p>
        </w:tc>
        <w:tc>
          <w:tcPr>
            <w:tcW w:w="1254" w:type="dxa"/>
            <w:vAlign w:val="center"/>
          </w:tcPr>
          <w:p w14:paraId="37943BD1" w14:textId="77777777" w:rsidR="00552466" w:rsidRPr="00C2587D" w:rsidRDefault="00552466" w:rsidP="00D7011A">
            <w:pPr>
              <w:rPr>
                <w:rFonts w:cs="Arial"/>
                <w:color w:val="000000"/>
                <w:szCs w:val="22"/>
                <w:lang w:eastAsia="it-IT"/>
              </w:rPr>
            </w:pPr>
          </w:p>
        </w:tc>
        <w:tc>
          <w:tcPr>
            <w:tcW w:w="1417" w:type="dxa"/>
            <w:shd w:val="clear" w:color="auto" w:fill="FFFFFF"/>
            <w:vAlign w:val="center"/>
          </w:tcPr>
          <w:p w14:paraId="4CC7A075" w14:textId="77777777" w:rsidR="00552466" w:rsidRPr="00C2587D" w:rsidRDefault="00552466" w:rsidP="00D7011A">
            <w:pPr>
              <w:jc w:val="center"/>
              <w:rPr>
                <w:rFonts w:cs="Arial"/>
                <w:color w:val="000000"/>
                <w:szCs w:val="22"/>
                <w:lang w:eastAsia="it-IT"/>
              </w:rPr>
            </w:pPr>
          </w:p>
        </w:tc>
        <w:tc>
          <w:tcPr>
            <w:tcW w:w="1418" w:type="dxa"/>
            <w:shd w:val="clear" w:color="auto" w:fill="auto"/>
            <w:vAlign w:val="center"/>
          </w:tcPr>
          <w:p w14:paraId="2163990C" w14:textId="77777777" w:rsidR="00552466" w:rsidRPr="00C2587D" w:rsidRDefault="00552466" w:rsidP="00D7011A">
            <w:pPr>
              <w:jc w:val="center"/>
              <w:rPr>
                <w:rFonts w:cs="Arial"/>
                <w:color w:val="000000"/>
                <w:szCs w:val="22"/>
                <w:lang w:eastAsia="it-IT"/>
              </w:rPr>
            </w:pPr>
          </w:p>
        </w:tc>
        <w:tc>
          <w:tcPr>
            <w:tcW w:w="1275" w:type="dxa"/>
            <w:shd w:val="clear" w:color="auto" w:fill="FFFFFF"/>
            <w:vAlign w:val="center"/>
          </w:tcPr>
          <w:p w14:paraId="04F33475" w14:textId="77777777" w:rsidR="00552466" w:rsidRPr="00C2587D" w:rsidRDefault="00552466" w:rsidP="00D7011A">
            <w:pPr>
              <w:jc w:val="center"/>
              <w:rPr>
                <w:rFonts w:cs="Arial"/>
                <w:color w:val="000000"/>
                <w:szCs w:val="22"/>
                <w:lang w:eastAsia="it-IT"/>
              </w:rPr>
            </w:pPr>
          </w:p>
        </w:tc>
        <w:tc>
          <w:tcPr>
            <w:tcW w:w="1590" w:type="dxa"/>
            <w:shd w:val="clear" w:color="auto" w:fill="FFFFFF"/>
            <w:vAlign w:val="center"/>
          </w:tcPr>
          <w:p w14:paraId="013030D8" w14:textId="77777777" w:rsidR="00552466" w:rsidRPr="00C2587D" w:rsidRDefault="00552466" w:rsidP="00D7011A">
            <w:pPr>
              <w:jc w:val="center"/>
              <w:rPr>
                <w:rFonts w:cs="Arial"/>
                <w:color w:val="000000"/>
                <w:szCs w:val="22"/>
                <w:lang w:eastAsia="it-IT"/>
              </w:rPr>
            </w:pPr>
          </w:p>
        </w:tc>
      </w:tr>
      <w:tr w:rsidR="00552466" w:rsidRPr="00C2587D" w14:paraId="4F72EDE6" w14:textId="77777777" w:rsidTr="00672B8E">
        <w:trPr>
          <w:jc w:val="right"/>
        </w:trPr>
        <w:tc>
          <w:tcPr>
            <w:tcW w:w="3425" w:type="dxa"/>
            <w:shd w:val="clear" w:color="auto" w:fill="FFFFFF"/>
            <w:vAlign w:val="center"/>
          </w:tcPr>
          <w:p w14:paraId="7B620958" w14:textId="77777777" w:rsidR="00552466" w:rsidRPr="00C2587D" w:rsidRDefault="00552466" w:rsidP="00D7011A">
            <w:pPr>
              <w:rPr>
                <w:rFonts w:cs="Arial"/>
                <w:b/>
                <w:bCs/>
                <w:color w:val="000000"/>
                <w:szCs w:val="22"/>
              </w:rPr>
            </w:pPr>
            <w:r w:rsidRPr="00C2587D">
              <w:rPr>
                <w:rFonts w:cs="Arial"/>
                <w:b/>
                <w:color w:val="000000"/>
                <w:szCs w:val="22"/>
              </w:rPr>
              <w:t>Відповідальний виконавець проєкту:</w:t>
            </w:r>
          </w:p>
        </w:tc>
        <w:tc>
          <w:tcPr>
            <w:tcW w:w="6954" w:type="dxa"/>
            <w:gridSpan w:val="5"/>
            <w:vAlign w:val="center"/>
          </w:tcPr>
          <w:p w14:paraId="7B0D7CA0" w14:textId="77777777" w:rsidR="00552466" w:rsidRPr="00C2587D" w:rsidRDefault="00552466" w:rsidP="00D7011A">
            <w:pPr>
              <w:jc w:val="both"/>
              <w:rPr>
                <w:rFonts w:cs="Arial"/>
                <w:color w:val="000000"/>
                <w:szCs w:val="22"/>
                <w:lang w:eastAsia="it-IT"/>
              </w:rPr>
            </w:pPr>
            <w:r w:rsidRPr="00C2587D">
              <w:rPr>
                <w:rFonts w:cs="Arial"/>
                <w:szCs w:val="22"/>
              </w:rPr>
              <w:t>Управління земельних ресурсів виконавчого комітету Жмеринської міської ради, управління житлово – комунального господарства Жмеринської міської ради</w:t>
            </w:r>
          </w:p>
        </w:tc>
      </w:tr>
    </w:tbl>
    <w:p w14:paraId="071D806D" w14:textId="77777777" w:rsidR="00552466" w:rsidRPr="00C2587D" w:rsidRDefault="00552466" w:rsidP="00552466">
      <w:pPr>
        <w:rPr>
          <w:rFonts w:cs="Arial"/>
          <w:szCs w:val="22"/>
        </w:rPr>
      </w:pPr>
    </w:p>
    <w:p w14:paraId="25ACF9C3" w14:textId="77777777" w:rsidR="00552466" w:rsidRPr="00C2587D" w:rsidRDefault="00552466" w:rsidP="00552466">
      <w:pPr>
        <w:jc w:val="center"/>
        <w:rPr>
          <w:rFonts w:cs="Arial"/>
          <w:b/>
          <w:color w:val="000000"/>
          <w:szCs w:val="22"/>
        </w:rPr>
      </w:pPr>
    </w:p>
    <w:p w14:paraId="3FFC7294" w14:textId="21CE5296" w:rsidR="00552466" w:rsidRPr="00C2587D" w:rsidRDefault="00552466" w:rsidP="00552466">
      <w:pPr>
        <w:jc w:val="center"/>
        <w:rPr>
          <w:rFonts w:cs="Arial"/>
          <w:b/>
          <w:color w:val="000000"/>
          <w:szCs w:val="22"/>
        </w:rPr>
      </w:pPr>
      <w:r w:rsidRPr="00C2587D">
        <w:rPr>
          <w:rFonts w:cs="Arial"/>
          <w:b/>
          <w:color w:val="000000"/>
          <w:szCs w:val="22"/>
        </w:rPr>
        <w:t>Ф</w:t>
      </w:r>
      <w:r w:rsidR="00997CC4">
        <w:rPr>
          <w:rFonts w:cs="Arial"/>
          <w:b/>
          <w:color w:val="000000"/>
          <w:szCs w:val="22"/>
        </w:rPr>
        <w:t>орма технічного завдання на проє</w:t>
      </w:r>
      <w:r w:rsidRPr="00C2587D">
        <w:rPr>
          <w:rFonts w:cs="Arial"/>
          <w:b/>
          <w:color w:val="000000"/>
          <w:szCs w:val="22"/>
        </w:rPr>
        <w:t xml:space="preserve">кт місцевого розвитку </w:t>
      </w:r>
    </w:p>
    <w:p w14:paraId="52C46AA3" w14:textId="77777777" w:rsidR="00552466" w:rsidRPr="00C2587D" w:rsidRDefault="00552466" w:rsidP="00552466">
      <w:pPr>
        <w:jc w:val="center"/>
        <w:rPr>
          <w:rFonts w:cs="Arial"/>
          <w:b/>
          <w:color w:val="000000"/>
          <w:szCs w:val="22"/>
        </w:rPr>
      </w:pPr>
      <w:r w:rsidRPr="00C2587D">
        <w:rPr>
          <w:rFonts w:cs="Arial"/>
          <w:b/>
          <w:color w:val="000000"/>
          <w:szCs w:val="22"/>
        </w:rPr>
        <w:t>до Плану заходів з реалізації Стратегії</w:t>
      </w:r>
    </w:p>
    <w:tbl>
      <w:tblPr>
        <w:tblW w:w="1037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1417"/>
        <w:gridCol w:w="1418"/>
        <w:gridCol w:w="1275"/>
        <w:gridCol w:w="1590"/>
      </w:tblGrid>
      <w:tr w:rsidR="00552466" w:rsidRPr="00AB7523" w14:paraId="20CC68C6" w14:textId="77777777" w:rsidTr="00AB7523">
        <w:trPr>
          <w:trHeight w:val="510"/>
          <w:jc w:val="right"/>
        </w:trPr>
        <w:tc>
          <w:tcPr>
            <w:tcW w:w="3425" w:type="dxa"/>
            <w:vAlign w:val="center"/>
          </w:tcPr>
          <w:p w14:paraId="543BC502" w14:textId="77777777" w:rsidR="00552466" w:rsidRPr="00AB7523" w:rsidRDefault="00552466" w:rsidP="00AB7523">
            <w:pPr>
              <w:spacing w:before="40" w:after="40"/>
              <w:rPr>
                <w:rFonts w:cs="Arial"/>
                <w:b/>
                <w:bCs/>
                <w:szCs w:val="22"/>
              </w:rPr>
            </w:pPr>
            <w:r w:rsidRPr="00AB7523">
              <w:rPr>
                <w:rFonts w:cs="Arial"/>
                <w:b/>
                <w:bCs/>
                <w:szCs w:val="22"/>
              </w:rPr>
              <w:t>Назва проєкту:</w:t>
            </w:r>
          </w:p>
        </w:tc>
        <w:tc>
          <w:tcPr>
            <w:tcW w:w="6954" w:type="dxa"/>
            <w:gridSpan w:val="5"/>
            <w:vAlign w:val="center"/>
          </w:tcPr>
          <w:p w14:paraId="1401B6BF" w14:textId="77F678C4" w:rsidR="00552466" w:rsidRPr="00AB7523" w:rsidRDefault="00552466" w:rsidP="00AB7523">
            <w:pPr>
              <w:spacing w:before="40" w:after="40"/>
              <w:ind w:right="104"/>
              <w:jc w:val="both"/>
              <w:rPr>
                <w:rFonts w:cs="Arial"/>
                <w:b/>
                <w:szCs w:val="22"/>
              </w:rPr>
            </w:pPr>
            <w:r w:rsidRPr="00AB7523">
              <w:rPr>
                <w:rFonts w:cs="Arial"/>
                <w:b/>
                <w:szCs w:val="22"/>
              </w:rPr>
              <w:t xml:space="preserve">Встановлення меж територіальної громади </w:t>
            </w:r>
          </w:p>
        </w:tc>
      </w:tr>
      <w:tr w:rsidR="00552466" w:rsidRPr="00C2587D" w14:paraId="1EEA8246" w14:textId="77777777" w:rsidTr="00D7011A">
        <w:trPr>
          <w:trHeight w:val="1114"/>
          <w:jc w:val="right"/>
        </w:trPr>
        <w:tc>
          <w:tcPr>
            <w:tcW w:w="3425" w:type="dxa"/>
          </w:tcPr>
          <w:p w14:paraId="5CDC2DEC" w14:textId="77777777" w:rsidR="00552466" w:rsidRPr="00C2587D" w:rsidRDefault="00552466" w:rsidP="00D7011A">
            <w:pPr>
              <w:spacing w:before="40" w:after="40"/>
              <w:rPr>
                <w:rFonts w:cs="Arial"/>
                <w:szCs w:val="22"/>
                <w:lang w:eastAsia="it-IT"/>
              </w:rPr>
            </w:pPr>
            <w:r w:rsidRPr="00C2587D">
              <w:rPr>
                <w:rFonts w:cs="Arial"/>
                <w:b/>
                <w:bCs/>
                <w:szCs w:val="22"/>
              </w:rPr>
              <w:t>Ваші контакти</w:t>
            </w:r>
            <w:r w:rsidRPr="00C2587D">
              <w:rPr>
                <w:rFonts w:cs="Arial"/>
                <w:szCs w:val="22"/>
                <w:lang w:eastAsia="it-IT"/>
              </w:rPr>
              <w:t>:</w:t>
            </w:r>
          </w:p>
          <w:p w14:paraId="05DAA735" w14:textId="77777777" w:rsidR="00552466" w:rsidRPr="00C2587D" w:rsidRDefault="00552466" w:rsidP="00D7011A">
            <w:pPr>
              <w:spacing w:before="40" w:after="40"/>
              <w:rPr>
                <w:rFonts w:cs="Arial"/>
                <w:b/>
                <w:bCs/>
                <w:szCs w:val="22"/>
              </w:rPr>
            </w:pPr>
            <w:r w:rsidRPr="00C2587D">
              <w:rPr>
                <w:rFonts w:cs="Arial"/>
                <w:szCs w:val="22"/>
                <w:lang w:eastAsia="it-IT"/>
              </w:rPr>
              <w:t>Назва установи, організації, підприємства</w:t>
            </w:r>
          </w:p>
        </w:tc>
        <w:tc>
          <w:tcPr>
            <w:tcW w:w="6954" w:type="dxa"/>
            <w:gridSpan w:val="5"/>
          </w:tcPr>
          <w:p w14:paraId="304D4205" w14:textId="77777777" w:rsidR="00552466" w:rsidRPr="00C2587D" w:rsidRDefault="00552466" w:rsidP="00AB7523">
            <w:pPr>
              <w:spacing w:before="40" w:after="40"/>
              <w:ind w:right="104"/>
              <w:jc w:val="both"/>
              <w:rPr>
                <w:rFonts w:cs="Arial"/>
                <w:szCs w:val="22"/>
                <w:lang w:eastAsia="it-IT"/>
              </w:rPr>
            </w:pPr>
            <w:r w:rsidRPr="00C2587D">
              <w:rPr>
                <w:rFonts w:cs="Arial"/>
                <w:szCs w:val="22"/>
                <w:lang w:eastAsia="it-IT"/>
              </w:rPr>
              <w:t>Управління земельних ресурсів виконавчого комітету Жмеринської міської ради</w:t>
            </w:r>
          </w:p>
        </w:tc>
      </w:tr>
      <w:tr w:rsidR="00552466" w:rsidRPr="00C2587D" w14:paraId="4A6CAED7" w14:textId="77777777" w:rsidTr="00D7011A">
        <w:trPr>
          <w:jc w:val="right"/>
        </w:trPr>
        <w:tc>
          <w:tcPr>
            <w:tcW w:w="3425" w:type="dxa"/>
          </w:tcPr>
          <w:p w14:paraId="259483B5" w14:textId="77777777" w:rsidR="00552466" w:rsidRPr="00C2587D" w:rsidRDefault="00552466" w:rsidP="00D7011A">
            <w:pPr>
              <w:spacing w:before="40" w:after="40"/>
              <w:rPr>
                <w:rFonts w:cs="Arial"/>
                <w:b/>
                <w:bCs/>
                <w:szCs w:val="22"/>
              </w:rPr>
            </w:pPr>
            <w:r w:rsidRPr="00C2587D">
              <w:rPr>
                <w:rFonts w:cs="Arial"/>
                <w:szCs w:val="22"/>
                <w:lang w:eastAsia="it-IT"/>
              </w:rPr>
              <w:t>Прізвище Ім’я По-батькові:</w:t>
            </w:r>
          </w:p>
        </w:tc>
        <w:tc>
          <w:tcPr>
            <w:tcW w:w="6954" w:type="dxa"/>
            <w:gridSpan w:val="5"/>
          </w:tcPr>
          <w:p w14:paraId="4D8D8D25" w14:textId="77777777" w:rsidR="00552466" w:rsidRPr="00C2587D" w:rsidRDefault="00552466" w:rsidP="00AB7523">
            <w:pPr>
              <w:spacing w:before="40" w:after="40"/>
              <w:ind w:right="104"/>
              <w:jc w:val="both"/>
              <w:rPr>
                <w:rFonts w:cs="Arial"/>
                <w:szCs w:val="22"/>
                <w:lang w:eastAsia="it-IT"/>
              </w:rPr>
            </w:pPr>
            <w:r w:rsidRPr="00C2587D">
              <w:rPr>
                <w:rFonts w:cs="Arial"/>
                <w:szCs w:val="22"/>
                <w:lang w:eastAsia="it-IT"/>
              </w:rPr>
              <w:t>Пилявець Руслан Євгенович</w:t>
            </w:r>
          </w:p>
        </w:tc>
      </w:tr>
      <w:tr w:rsidR="00552466" w:rsidRPr="00C2587D" w14:paraId="542DCFD1" w14:textId="77777777" w:rsidTr="00D7011A">
        <w:trPr>
          <w:jc w:val="right"/>
        </w:trPr>
        <w:tc>
          <w:tcPr>
            <w:tcW w:w="3425" w:type="dxa"/>
          </w:tcPr>
          <w:p w14:paraId="467C453F" w14:textId="77777777" w:rsidR="00552466" w:rsidRPr="00C2587D" w:rsidRDefault="00552466" w:rsidP="00D7011A">
            <w:pPr>
              <w:spacing w:before="40" w:after="40"/>
              <w:rPr>
                <w:rFonts w:cs="Arial"/>
                <w:b/>
                <w:bCs/>
                <w:szCs w:val="22"/>
              </w:rPr>
            </w:pPr>
            <w:r w:rsidRPr="00C2587D">
              <w:rPr>
                <w:rFonts w:cs="Arial"/>
                <w:szCs w:val="22"/>
                <w:lang w:eastAsia="it-IT"/>
              </w:rPr>
              <w:t>Телефон (мобільний):</w:t>
            </w:r>
          </w:p>
        </w:tc>
        <w:tc>
          <w:tcPr>
            <w:tcW w:w="6954" w:type="dxa"/>
            <w:gridSpan w:val="5"/>
          </w:tcPr>
          <w:p w14:paraId="2879653E" w14:textId="77777777" w:rsidR="00552466" w:rsidRPr="00C2587D" w:rsidRDefault="00552466" w:rsidP="00AB7523">
            <w:pPr>
              <w:spacing w:before="40" w:after="40"/>
              <w:ind w:right="104"/>
              <w:jc w:val="both"/>
              <w:rPr>
                <w:rFonts w:cs="Arial"/>
                <w:szCs w:val="22"/>
                <w:lang w:eastAsia="it-IT"/>
              </w:rPr>
            </w:pPr>
            <w:r w:rsidRPr="00C2587D">
              <w:rPr>
                <w:rFonts w:cs="Arial"/>
                <w:szCs w:val="22"/>
                <w:lang w:eastAsia="it-IT"/>
              </w:rPr>
              <w:t>067-580-45-91</w:t>
            </w:r>
          </w:p>
        </w:tc>
      </w:tr>
      <w:tr w:rsidR="00552466" w:rsidRPr="00C2587D" w14:paraId="0D5ADF7D" w14:textId="77777777" w:rsidTr="00D7011A">
        <w:trPr>
          <w:jc w:val="right"/>
        </w:trPr>
        <w:tc>
          <w:tcPr>
            <w:tcW w:w="3425" w:type="dxa"/>
          </w:tcPr>
          <w:p w14:paraId="7C8A6C06" w14:textId="77777777" w:rsidR="00552466" w:rsidRPr="00C2587D" w:rsidRDefault="00552466" w:rsidP="00D7011A">
            <w:pPr>
              <w:spacing w:before="40" w:after="40"/>
              <w:rPr>
                <w:rFonts w:cs="Arial"/>
                <w:b/>
                <w:bCs/>
                <w:szCs w:val="22"/>
              </w:rPr>
            </w:pPr>
            <w:r w:rsidRPr="00C2587D">
              <w:rPr>
                <w:rFonts w:cs="Arial"/>
                <w:szCs w:val="22"/>
                <w:lang w:eastAsia="it-IT"/>
              </w:rPr>
              <w:t>Електронна адреса:</w:t>
            </w:r>
          </w:p>
        </w:tc>
        <w:tc>
          <w:tcPr>
            <w:tcW w:w="6954" w:type="dxa"/>
            <w:gridSpan w:val="5"/>
          </w:tcPr>
          <w:p w14:paraId="655F1FFB" w14:textId="2329208E" w:rsidR="00552466" w:rsidRPr="00C2587D" w:rsidRDefault="00D85FFD" w:rsidP="00AB7523">
            <w:pPr>
              <w:spacing w:before="40" w:after="40"/>
              <w:ind w:right="104"/>
              <w:jc w:val="both"/>
              <w:rPr>
                <w:rFonts w:cs="Arial"/>
                <w:szCs w:val="22"/>
                <w:lang w:eastAsia="it-IT"/>
              </w:rPr>
            </w:pPr>
            <w:hyperlink r:id="rId29" w:history="1">
              <w:r w:rsidR="00560F31" w:rsidRPr="00BF0394">
                <w:rPr>
                  <w:rStyle w:val="af0"/>
                  <w:rFonts w:cs="Arial"/>
                  <w:noProof w:val="0"/>
                  <w:sz w:val="22"/>
                  <w:szCs w:val="22"/>
                  <w:lang w:eastAsia="it-IT"/>
                </w:rPr>
                <w:t>zem@zhmr.gov.ua</w:t>
              </w:r>
            </w:hyperlink>
            <w:r w:rsidR="00560F31">
              <w:rPr>
                <w:rFonts w:cs="Arial"/>
                <w:szCs w:val="22"/>
                <w:lang w:eastAsia="it-IT"/>
              </w:rPr>
              <w:t xml:space="preserve"> </w:t>
            </w:r>
          </w:p>
        </w:tc>
      </w:tr>
      <w:tr w:rsidR="00552466" w:rsidRPr="00C2587D" w14:paraId="0646332E" w14:textId="77777777" w:rsidTr="00D7011A">
        <w:trPr>
          <w:trHeight w:val="1440"/>
          <w:jc w:val="right"/>
        </w:trPr>
        <w:tc>
          <w:tcPr>
            <w:tcW w:w="3425" w:type="dxa"/>
            <w:vAlign w:val="center"/>
          </w:tcPr>
          <w:p w14:paraId="723C8930" w14:textId="3CD08404" w:rsidR="00552466" w:rsidRPr="00C2587D" w:rsidRDefault="00552466" w:rsidP="00D7011A">
            <w:pPr>
              <w:pStyle w:val="6"/>
              <w:spacing w:before="0" w:after="0"/>
              <w:rPr>
                <w:rFonts w:ascii="Arial" w:hAnsi="Arial" w:cs="Arial"/>
                <w:color w:val="000000"/>
                <w:lang w:val="uk-UA"/>
              </w:rPr>
            </w:pPr>
            <w:r w:rsidRPr="00C2587D">
              <w:rPr>
                <w:rFonts w:ascii="Arial" w:hAnsi="Arial" w:cs="Arial"/>
                <w:color w:val="000000"/>
                <w:lang w:val="uk-UA"/>
              </w:rPr>
              <w:t>Номер і назва завдання з Стратегії</w:t>
            </w:r>
            <w:r w:rsidRPr="00C2587D">
              <w:rPr>
                <w:rFonts w:ascii="Arial" w:hAnsi="Arial" w:cs="Arial"/>
                <w:lang w:val="uk-UA" w:eastAsia="it-IT"/>
              </w:rPr>
              <w:t xml:space="preserve"> </w:t>
            </w:r>
            <w:r w:rsidRPr="00C2587D">
              <w:rPr>
                <w:rFonts w:ascii="Arial" w:hAnsi="Arial" w:cs="Arial"/>
                <w:color w:val="000000"/>
                <w:lang w:val="uk-UA"/>
              </w:rPr>
              <w:t>розвитку Жмеринської міської територіальної</w:t>
            </w:r>
            <w:r w:rsidR="00997CC4">
              <w:rPr>
                <w:rFonts w:ascii="Arial" w:hAnsi="Arial" w:cs="Arial"/>
                <w:color w:val="000000"/>
                <w:lang w:val="uk-UA"/>
              </w:rPr>
              <w:t xml:space="preserve"> громади,  якому відповідає проє</w:t>
            </w:r>
            <w:r w:rsidRPr="00C2587D">
              <w:rPr>
                <w:rFonts w:ascii="Arial" w:hAnsi="Arial" w:cs="Arial"/>
                <w:color w:val="000000"/>
                <w:lang w:val="uk-UA"/>
              </w:rPr>
              <w:t>кт:</w:t>
            </w:r>
          </w:p>
        </w:tc>
        <w:tc>
          <w:tcPr>
            <w:tcW w:w="6954" w:type="dxa"/>
            <w:gridSpan w:val="5"/>
          </w:tcPr>
          <w:p w14:paraId="1767DAEB" w14:textId="77777777" w:rsidR="00552466" w:rsidRPr="00C2587D" w:rsidRDefault="00552466" w:rsidP="00AB7523">
            <w:pPr>
              <w:pBdr>
                <w:left w:val="single" w:sz="18" w:space="4" w:color="auto"/>
              </w:pBdr>
              <w:spacing w:before="40" w:after="40"/>
              <w:ind w:right="104"/>
              <w:jc w:val="both"/>
              <w:rPr>
                <w:rFonts w:cs="Arial"/>
                <w:szCs w:val="22"/>
                <w:lang w:eastAsia="it-IT"/>
              </w:rPr>
            </w:pPr>
            <w:r w:rsidRPr="00C2587D">
              <w:rPr>
                <w:rFonts w:cs="Arial"/>
                <w:szCs w:val="22"/>
              </w:rPr>
              <w:t xml:space="preserve">А.2.3. Підтримка раціонального використання земельних ресурсів та водного фонду для фінансової стабільності громади </w:t>
            </w:r>
          </w:p>
        </w:tc>
      </w:tr>
      <w:tr w:rsidR="00552466" w:rsidRPr="00C2587D" w14:paraId="05C5B044" w14:textId="77777777" w:rsidTr="00D7011A">
        <w:trPr>
          <w:trHeight w:val="702"/>
          <w:jc w:val="right"/>
        </w:trPr>
        <w:tc>
          <w:tcPr>
            <w:tcW w:w="3425" w:type="dxa"/>
            <w:vAlign w:val="center"/>
          </w:tcPr>
          <w:p w14:paraId="4E261BF7" w14:textId="77777777" w:rsidR="00552466" w:rsidRPr="00C2587D" w:rsidRDefault="00552466" w:rsidP="00D7011A">
            <w:pPr>
              <w:rPr>
                <w:rFonts w:cs="Arial"/>
                <w:b/>
                <w:szCs w:val="22"/>
                <w:lang w:eastAsia="en-US"/>
              </w:rPr>
            </w:pPr>
            <w:r w:rsidRPr="00C2587D">
              <w:rPr>
                <w:rFonts w:cs="Arial"/>
                <w:b/>
                <w:szCs w:val="22"/>
                <w:lang w:eastAsia="en-US"/>
              </w:rPr>
              <w:t>Мета проєкту:</w:t>
            </w:r>
          </w:p>
        </w:tc>
        <w:tc>
          <w:tcPr>
            <w:tcW w:w="6954" w:type="dxa"/>
            <w:gridSpan w:val="5"/>
          </w:tcPr>
          <w:p w14:paraId="270BABAC" w14:textId="77777777" w:rsidR="00552466" w:rsidRPr="00C2587D" w:rsidRDefault="00552466" w:rsidP="00AB7523">
            <w:pPr>
              <w:ind w:right="104"/>
              <w:jc w:val="both"/>
              <w:rPr>
                <w:rFonts w:cs="Arial"/>
                <w:szCs w:val="22"/>
                <w:lang w:eastAsia="uk-UA"/>
              </w:rPr>
            </w:pPr>
            <w:r w:rsidRPr="00C2587D">
              <w:rPr>
                <w:rFonts w:cs="Arial"/>
                <w:szCs w:val="22"/>
              </w:rPr>
              <w:t xml:space="preserve">Визначити межі території </w:t>
            </w:r>
            <w:r w:rsidRPr="00C2587D">
              <w:rPr>
                <w:rFonts w:cs="Arial"/>
                <w:szCs w:val="22"/>
                <w:lang w:eastAsia="uk-UA"/>
              </w:rPr>
              <w:t>громади, які дозволять міській раді в повній мірі здійснювати визначені законом повноваження у сфері земельних відносин</w:t>
            </w:r>
          </w:p>
        </w:tc>
      </w:tr>
      <w:tr w:rsidR="00552466" w:rsidRPr="00C2587D" w14:paraId="6F00D776" w14:textId="77777777" w:rsidTr="00D7011A">
        <w:trPr>
          <w:jc w:val="right"/>
        </w:trPr>
        <w:tc>
          <w:tcPr>
            <w:tcW w:w="3425" w:type="dxa"/>
            <w:vAlign w:val="center"/>
          </w:tcPr>
          <w:p w14:paraId="0C07DED2" w14:textId="040A75D6" w:rsidR="00552466" w:rsidRPr="00C2587D" w:rsidRDefault="00A734E4" w:rsidP="00D7011A">
            <w:pPr>
              <w:rPr>
                <w:rFonts w:cs="Arial"/>
                <w:b/>
                <w:bCs/>
                <w:color w:val="000000"/>
                <w:szCs w:val="22"/>
              </w:rPr>
            </w:pPr>
            <w:r>
              <w:rPr>
                <w:rFonts w:cs="Arial"/>
                <w:b/>
                <w:bCs/>
                <w:color w:val="000000"/>
                <w:szCs w:val="22"/>
              </w:rPr>
              <w:t>Цілі проє</w:t>
            </w:r>
            <w:r w:rsidR="00552466" w:rsidRPr="00C2587D">
              <w:rPr>
                <w:rFonts w:cs="Arial"/>
                <w:b/>
                <w:bCs/>
                <w:color w:val="000000"/>
                <w:szCs w:val="22"/>
              </w:rPr>
              <w:t>кту:</w:t>
            </w:r>
          </w:p>
        </w:tc>
        <w:tc>
          <w:tcPr>
            <w:tcW w:w="6954" w:type="dxa"/>
            <w:gridSpan w:val="5"/>
          </w:tcPr>
          <w:p w14:paraId="24FBE805" w14:textId="77777777" w:rsidR="00552466" w:rsidRPr="00C2587D" w:rsidRDefault="00552466" w:rsidP="00AB7523">
            <w:pPr>
              <w:ind w:right="104"/>
              <w:jc w:val="both"/>
              <w:rPr>
                <w:rFonts w:cs="Arial"/>
                <w:szCs w:val="22"/>
              </w:rPr>
            </w:pPr>
            <w:r w:rsidRPr="00C2587D">
              <w:rPr>
                <w:rFonts w:cs="Arial"/>
                <w:szCs w:val="22"/>
              </w:rPr>
              <w:t>З’ясування дійсної межі території територіальної громади;</w:t>
            </w:r>
            <w:r w:rsidRPr="00C2587D">
              <w:rPr>
                <w:rFonts w:eastAsia="Calibri" w:cs="Arial"/>
                <w:szCs w:val="22"/>
                <w:lang w:eastAsia="uk-UA"/>
              </w:rPr>
              <w:t xml:space="preserve"> </w:t>
            </w:r>
            <w:r w:rsidRPr="00C2587D">
              <w:rPr>
                <w:rFonts w:cs="Arial"/>
                <w:szCs w:val="22"/>
              </w:rPr>
              <w:t>вирішення спору між декількома органами місцевого самоврядування щодо меж територій територіальних громад;</w:t>
            </w:r>
            <w:r w:rsidRPr="00C2587D">
              <w:rPr>
                <w:rFonts w:eastAsia="Calibri" w:cs="Arial"/>
                <w:szCs w:val="22"/>
                <w:lang w:eastAsia="uk-UA"/>
              </w:rPr>
              <w:t xml:space="preserve"> </w:t>
            </w:r>
            <w:r w:rsidRPr="00C2587D">
              <w:rPr>
                <w:rFonts w:cs="Arial"/>
                <w:szCs w:val="22"/>
              </w:rPr>
              <w:t>внесення відомостей про межі території територіальної громади до Державного земельного кадастру</w:t>
            </w:r>
          </w:p>
        </w:tc>
      </w:tr>
      <w:tr w:rsidR="00552466" w:rsidRPr="00C2587D" w14:paraId="4E70080C" w14:textId="77777777" w:rsidTr="00D7011A">
        <w:trPr>
          <w:jc w:val="right"/>
        </w:trPr>
        <w:tc>
          <w:tcPr>
            <w:tcW w:w="3425" w:type="dxa"/>
            <w:vAlign w:val="center"/>
          </w:tcPr>
          <w:p w14:paraId="0E56CD4B" w14:textId="4E02C225" w:rsidR="00552466" w:rsidRPr="00C2587D" w:rsidRDefault="00A734E4" w:rsidP="00D7011A">
            <w:pPr>
              <w:autoSpaceDE w:val="0"/>
              <w:autoSpaceDN w:val="0"/>
              <w:adjustRightInd w:val="0"/>
              <w:rPr>
                <w:rFonts w:cs="Arial"/>
                <w:b/>
                <w:color w:val="000000"/>
                <w:szCs w:val="22"/>
              </w:rPr>
            </w:pPr>
            <w:r>
              <w:rPr>
                <w:rFonts w:cs="Arial"/>
                <w:b/>
                <w:color w:val="000000"/>
                <w:szCs w:val="22"/>
              </w:rPr>
              <w:t>Територія на яку проє</w:t>
            </w:r>
            <w:r w:rsidR="00552466" w:rsidRPr="00C2587D">
              <w:rPr>
                <w:rFonts w:cs="Arial"/>
                <w:b/>
                <w:color w:val="000000"/>
                <w:szCs w:val="22"/>
              </w:rPr>
              <w:t>кт матиме вплив:</w:t>
            </w:r>
          </w:p>
        </w:tc>
        <w:tc>
          <w:tcPr>
            <w:tcW w:w="6954" w:type="dxa"/>
            <w:gridSpan w:val="5"/>
          </w:tcPr>
          <w:p w14:paraId="330E80CD" w14:textId="77777777" w:rsidR="00552466" w:rsidRPr="00C2587D" w:rsidRDefault="00552466" w:rsidP="00AB7523">
            <w:pPr>
              <w:spacing w:before="40" w:after="40"/>
              <w:ind w:right="104"/>
              <w:jc w:val="both"/>
              <w:rPr>
                <w:rFonts w:cs="Arial"/>
                <w:szCs w:val="22"/>
                <w:lang w:eastAsia="it-IT"/>
              </w:rPr>
            </w:pPr>
            <w:r w:rsidRPr="00C2587D">
              <w:rPr>
                <w:rFonts w:cs="Arial"/>
                <w:szCs w:val="22"/>
                <w:lang w:eastAsia="it-IT"/>
              </w:rPr>
              <w:t>Жмеринська МТГ</w:t>
            </w:r>
          </w:p>
        </w:tc>
      </w:tr>
      <w:tr w:rsidR="00552466" w:rsidRPr="00C2587D" w14:paraId="00C52B63" w14:textId="77777777" w:rsidTr="00D7011A">
        <w:trPr>
          <w:jc w:val="right"/>
        </w:trPr>
        <w:tc>
          <w:tcPr>
            <w:tcW w:w="3425" w:type="dxa"/>
            <w:vAlign w:val="center"/>
          </w:tcPr>
          <w:p w14:paraId="3AF18A74" w14:textId="77777777" w:rsidR="00552466" w:rsidRPr="00C2587D" w:rsidRDefault="00552466" w:rsidP="00D7011A">
            <w:pPr>
              <w:autoSpaceDE w:val="0"/>
              <w:autoSpaceDN w:val="0"/>
              <w:adjustRightInd w:val="0"/>
              <w:rPr>
                <w:rFonts w:cs="Arial"/>
                <w:b/>
                <w:color w:val="000000"/>
                <w:szCs w:val="22"/>
              </w:rPr>
            </w:pPr>
            <w:r w:rsidRPr="00C2587D">
              <w:rPr>
                <w:rFonts w:cs="Arial"/>
                <w:b/>
                <w:color w:val="000000"/>
                <w:szCs w:val="22"/>
              </w:rPr>
              <w:t>Цільові групи проєкту та  кількість отримувачів вигоди</w:t>
            </w:r>
          </w:p>
        </w:tc>
        <w:tc>
          <w:tcPr>
            <w:tcW w:w="6954" w:type="dxa"/>
            <w:gridSpan w:val="5"/>
          </w:tcPr>
          <w:p w14:paraId="5F5952AA" w14:textId="77777777" w:rsidR="00552466" w:rsidRPr="00C2587D" w:rsidRDefault="00552466" w:rsidP="00AB7523">
            <w:pPr>
              <w:spacing w:before="40" w:after="40"/>
              <w:ind w:right="104"/>
              <w:jc w:val="both"/>
              <w:rPr>
                <w:rFonts w:cs="Arial"/>
                <w:szCs w:val="22"/>
                <w:lang w:eastAsia="it-IT"/>
              </w:rPr>
            </w:pPr>
            <w:r w:rsidRPr="00C2587D">
              <w:rPr>
                <w:rFonts w:cs="Arial"/>
                <w:szCs w:val="22"/>
                <w:lang w:eastAsia="it-IT"/>
              </w:rPr>
              <w:t>49 474  жителів громади</w:t>
            </w:r>
          </w:p>
        </w:tc>
      </w:tr>
      <w:tr w:rsidR="00552466" w:rsidRPr="00C2587D" w14:paraId="491B0866" w14:textId="77777777" w:rsidTr="00D7011A">
        <w:trPr>
          <w:jc w:val="right"/>
        </w:trPr>
        <w:tc>
          <w:tcPr>
            <w:tcW w:w="3425" w:type="dxa"/>
            <w:shd w:val="clear" w:color="auto" w:fill="FFFFFF"/>
            <w:vAlign w:val="center"/>
          </w:tcPr>
          <w:p w14:paraId="271E3076" w14:textId="35450684" w:rsidR="00552466" w:rsidRPr="00C2587D" w:rsidRDefault="00A734E4" w:rsidP="00D7011A">
            <w:pPr>
              <w:rPr>
                <w:rFonts w:cs="Arial"/>
                <w:b/>
                <w:bCs/>
                <w:color w:val="000000"/>
                <w:szCs w:val="22"/>
              </w:rPr>
            </w:pPr>
            <w:r>
              <w:rPr>
                <w:rFonts w:cs="Arial"/>
                <w:b/>
                <w:bCs/>
                <w:color w:val="000000"/>
                <w:szCs w:val="22"/>
              </w:rPr>
              <w:t>Стислий опис проє</w:t>
            </w:r>
            <w:r w:rsidR="00552466" w:rsidRPr="00C2587D">
              <w:rPr>
                <w:rFonts w:cs="Arial"/>
                <w:b/>
                <w:bCs/>
                <w:color w:val="000000"/>
                <w:szCs w:val="22"/>
              </w:rPr>
              <w:t>кту:</w:t>
            </w:r>
          </w:p>
        </w:tc>
        <w:tc>
          <w:tcPr>
            <w:tcW w:w="6954" w:type="dxa"/>
            <w:gridSpan w:val="5"/>
          </w:tcPr>
          <w:p w14:paraId="4C35DAE3" w14:textId="77777777" w:rsidR="00552466" w:rsidRPr="00C2587D" w:rsidRDefault="00552466" w:rsidP="00AB7523">
            <w:pPr>
              <w:ind w:right="104"/>
              <w:jc w:val="both"/>
              <w:rPr>
                <w:rFonts w:cs="Arial"/>
                <w:szCs w:val="22"/>
                <w:lang w:eastAsia="en-US"/>
              </w:rPr>
            </w:pPr>
            <w:r w:rsidRPr="00C2587D">
              <w:rPr>
                <w:rFonts w:cs="Arial"/>
                <w:szCs w:val="22"/>
              </w:rPr>
              <w:t>Встановлення межі Жмеринської міської територіальної громади</w:t>
            </w:r>
          </w:p>
        </w:tc>
      </w:tr>
      <w:tr w:rsidR="00552466" w:rsidRPr="00C2587D" w14:paraId="36CD16D9" w14:textId="77777777" w:rsidTr="00D7011A">
        <w:trPr>
          <w:trHeight w:val="56"/>
          <w:jc w:val="right"/>
        </w:trPr>
        <w:tc>
          <w:tcPr>
            <w:tcW w:w="3425" w:type="dxa"/>
            <w:shd w:val="clear" w:color="auto" w:fill="FFFFFF"/>
            <w:vAlign w:val="center"/>
          </w:tcPr>
          <w:p w14:paraId="2D1E0F9E" w14:textId="77777777" w:rsidR="00552466" w:rsidRPr="00C2587D" w:rsidRDefault="00552466" w:rsidP="00D7011A">
            <w:pPr>
              <w:rPr>
                <w:rFonts w:cs="Arial"/>
                <w:b/>
                <w:bCs/>
                <w:color w:val="000000"/>
                <w:szCs w:val="22"/>
              </w:rPr>
            </w:pPr>
            <w:r w:rsidRPr="00C2587D">
              <w:rPr>
                <w:rFonts w:cs="Arial"/>
                <w:b/>
                <w:bCs/>
                <w:color w:val="000000"/>
                <w:szCs w:val="22"/>
              </w:rPr>
              <w:t>Основні заходи проєкту:</w:t>
            </w:r>
          </w:p>
          <w:p w14:paraId="7549DCB6" w14:textId="77777777" w:rsidR="00552466" w:rsidRPr="00C2587D" w:rsidRDefault="00552466" w:rsidP="00D7011A">
            <w:pPr>
              <w:rPr>
                <w:rFonts w:cs="Arial"/>
                <w:b/>
                <w:bCs/>
                <w:color w:val="000000"/>
                <w:szCs w:val="22"/>
              </w:rPr>
            </w:pPr>
          </w:p>
        </w:tc>
        <w:tc>
          <w:tcPr>
            <w:tcW w:w="6954" w:type="dxa"/>
            <w:gridSpan w:val="5"/>
            <w:shd w:val="clear" w:color="auto" w:fill="FFFFFF"/>
          </w:tcPr>
          <w:p w14:paraId="2DA53ACA" w14:textId="0840E6C5" w:rsidR="00552466" w:rsidRPr="00C2587D" w:rsidRDefault="00552466" w:rsidP="00AB7523">
            <w:pPr>
              <w:spacing w:before="40" w:after="40"/>
              <w:ind w:right="104"/>
              <w:jc w:val="both"/>
              <w:rPr>
                <w:rFonts w:cs="Arial"/>
                <w:szCs w:val="22"/>
              </w:rPr>
            </w:pPr>
            <w:r w:rsidRPr="00C2587D">
              <w:rPr>
                <w:rFonts w:cs="Arial"/>
                <w:szCs w:val="22"/>
                <w:lang w:eastAsia="it-IT"/>
              </w:rPr>
              <w:t>З</w:t>
            </w:r>
            <w:r w:rsidR="00DD16C1">
              <w:rPr>
                <w:rFonts w:cs="Arial"/>
                <w:szCs w:val="22"/>
              </w:rPr>
              <w:t>амовлення проє</w:t>
            </w:r>
            <w:r w:rsidRPr="00C2587D">
              <w:rPr>
                <w:rFonts w:cs="Arial"/>
                <w:szCs w:val="22"/>
              </w:rPr>
              <w:t>кту землеустрою щодо встановлення  межі територіальної громади</w:t>
            </w:r>
          </w:p>
        </w:tc>
      </w:tr>
      <w:tr w:rsidR="00552466" w:rsidRPr="00C2587D" w14:paraId="6BB0726A" w14:textId="77777777" w:rsidTr="00D7011A">
        <w:trPr>
          <w:jc w:val="right"/>
        </w:trPr>
        <w:tc>
          <w:tcPr>
            <w:tcW w:w="3425" w:type="dxa"/>
            <w:shd w:val="clear" w:color="auto" w:fill="FFFFFF"/>
            <w:vAlign w:val="center"/>
          </w:tcPr>
          <w:p w14:paraId="74F256E6" w14:textId="77777777" w:rsidR="00552466" w:rsidRPr="00C2587D" w:rsidRDefault="00552466" w:rsidP="00D7011A">
            <w:pPr>
              <w:rPr>
                <w:rFonts w:cs="Arial"/>
                <w:b/>
                <w:bCs/>
                <w:color w:val="000000"/>
                <w:szCs w:val="22"/>
              </w:rPr>
            </w:pPr>
            <w:r w:rsidRPr="00C2587D">
              <w:rPr>
                <w:rFonts w:cs="Arial"/>
                <w:b/>
                <w:bCs/>
                <w:color w:val="000000"/>
                <w:szCs w:val="22"/>
              </w:rPr>
              <w:t>Індикатори (показники) результативності:</w:t>
            </w:r>
          </w:p>
        </w:tc>
        <w:tc>
          <w:tcPr>
            <w:tcW w:w="6954" w:type="dxa"/>
            <w:gridSpan w:val="5"/>
            <w:shd w:val="clear" w:color="auto" w:fill="FFFFFF"/>
          </w:tcPr>
          <w:p w14:paraId="0FFCAE1E" w14:textId="77777777" w:rsidR="00552466" w:rsidRPr="00C2587D" w:rsidRDefault="00552466" w:rsidP="00AB7523">
            <w:pPr>
              <w:spacing w:before="40" w:after="40"/>
              <w:ind w:right="104"/>
              <w:jc w:val="both"/>
              <w:rPr>
                <w:rFonts w:cs="Arial"/>
                <w:szCs w:val="22"/>
              </w:rPr>
            </w:pPr>
            <w:r w:rsidRPr="00C2587D">
              <w:rPr>
                <w:rFonts w:cs="Arial"/>
                <w:szCs w:val="22"/>
              </w:rPr>
              <w:t xml:space="preserve">Встановлення та внесення до Державного земельного кадастру </w:t>
            </w:r>
            <w:r w:rsidRPr="00C2587D">
              <w:rPr>
                <w:rStyle w:val="afd"/>
                <w:rFonts w:cs="Arial"/>
                <w:b w:val="0"/>
                <w:szCs w:val="22"/>
              </w:rPr>
              <w:t>зовнішніх меж територіальної громади</w:t>
            </w:r>
          </w:p>
        </w:tc>
      </w:tr>
      <w:tr w:rsidR="00552466" w:rsidRPr="00C2587D" w14:paraId="033C40BA" w14:textId="77777777" w:rsidTr="00D7011A">
        <w:trPr>
          <w:jc w:val="right"/>
        </w:trPr>
        <w:tc>
          <w:tcPr>
            <w:tcW w:w="3425" w:type="dxa"/>
            <w:shd w:val="clear" w:color="auto" w:fill="FFFFFF"/>
            <w:vAlign w:val="center"/>
          </w:tcPr>
          <w:p w14:paraId="6B222B37" w14:textId="77777777" w:rsidR="00552466" w:rsidRPr="00C2587D" w:rsidRDefault="00552466" w:rsidP="00D7011A">
            <w:pPr>
              <w:rPr>
                <w:rFonts w:cs="Arial"/>
                <w:b/>
                <w:color w:val="000000"/>
                <w:szCs w:val="22"/>
              </w:rPr>
            </w:pPr>
            <w:r w:rsidRPr="00C2587D">
              <w:rPr>
                <w:rFonts w:cs="Arial"/>
                <w:b/>
                <w:color w:val="000000"/>
                <w:szCs w:val="22"/>
              </w:rPr>
              <w:t xml:space="preserve">Період здійснення: </w:t>
            </w:r>
          </w:p>
        </w:tc>
        <w:tc>
          <w:tcPr>
            <w:tcW w:w="6954" w:type="dxa"/>
            <w:gridSpan w:val="5"/>
            <w:vAlign w:val="center"/>
          </w:tcPr>
          <w:p w14:paraId="18E0CD9A" w14:textId="77777777" w:rsidR="00552466" w:rsidRPr="00C2587D" w:rsidRDefault="00552466" w:rsidP="00AB7523">
            <w:pPr>
              <w:ind w:right="104"/>
              <w:jc w:val="both"/>
              <w:rPr>
                <w:rFonts w:cs="Arial"/>
                <w:color w:val="000000"/>
                <w:szCs w:val="22"/>
                <w:lang w:eastAsia="it-IT"/>
              </w:rPr>
            </w:pPr>
            <w:r w:rsidRPr="00C2587D">
              <w:rPr>
                <w:rFonts w:cs="Arial"/>
                <w:b/>
                <w:color w:val="000000"/>
                <w:szCs w:val="22"/>
              </w:rPr>
              <w:t>2025 – 2028 роки:</w:t>
            </w:r>
          </w:p>
        </w:tc>
      </w:tr>
      <w:tr w:rsidR="00552466" w:rsidRPr="00C2587D" w14:paraId="56E3C43D" w14:textId="77777777" w:rsidTr="00D7011A">
        <w:trPr>
          <w:jc w:val="right"/>
        </w:trPr>
        <w:tc>
          <w:tcPr>
            <w:tcW w:w="3425" w:type="dxa"/>
            <w:vMerge w:val="restart"/>
            <w:shd w:val="clear" w:color="auto" w:fill="FFFFFF"/>
            <w:vAlign w:val="center"/>
          </w:tcPr>
          <w:p w14:paraId="398BC064" w14:textId="77777777" w:rsidR="00552466" w:rsidRPr="00C2587D" w:rsidRDefault="00552466" w:rsidP="00D7011A">
            <w:pPr>
              <w:rPr>
                <w:rFonts w:cs="Arial"/>
                <w:b/>
                <w:bCs/>
                <w:color w:val="000000"/>
                <w:szCs w:val="22"/>
              </w:rPr>
            </w:pPr>
            <w:r w:rsidRPr="00C2587D">
              <w:rPr>
                <w:rFonts w:cs="Arial"/>
                <w:b/>
                <w:bCs/>
                <w:color w:val="000000"/>
                <w:szCs w:val="22"/>
              </w:rPr>
              <w:t>Орієнтовна вартість проєкту, тис. грн., в тому числі:</w:t>
            </w:r>
          </w:p>
        </w:tc>
        <w:tc>
          <w:tcPr>
            <w:tcW w:w="1254" w:type="dxa"/>
            <w:shd w:val="clear" w:color="auto" w:fill="E6E6E6"/>
            <w:vAlign w:val="center"/>
          </w:tcPr>
          <w:p w14:paraId="4160853C" w14:textId="77777777" w:rsidR="00552466" w:rsidRPr="00C2587D" w:rsidRDefault="00552466" w:rsidP="00AB7523">
            <w:pPr>
              <w:ind w:right="104"/>
              <w:jc w:val="center"/>
              <w:rPr>
                <w:rFonts w:cs="Arial"/>
                <w:b/>
                <w:color w:val="000000"/>
                <w:szCs w:val="22"/>
                <w:lang w:eastAsia="it-IT"/>
              </w:rPr>
            </w:pPr>
            <w:r w:rsidRPr="00C2587D">
              <w:rPr>
                <w:rFonts w:cs="Arial"/>
                <w:b/>
                <w:color w:val="000000"/>
                <w:szCs w:val="22"/>
                <w:lang w:eastAsia="it-IT"/>
              </w:rPr>
              <w:t>2025</w:t>
            </w:r>
          </w:p>
        </w:tc>
        <w:tc>
          <w:tcPr>
            <w:tcW w:w="1417" w:type="dxa"/>
            <w:shd w:val="clear" w:color="auto" w:fill="E6E6E6"/>
            <w:vAlign w:val="center"/>
          </w:tcPr>
          <w:p w14:paraId="2EE43586" w14:textId="77777777" w:rsidR="00552466" w:rsidRPr="00C2587D" w:rsidRDefault="00552466" w:rsidP="00AB7523">
            <w:pPr>
              <w:ind w:right="104"/>
              <w:jc w:val="center"/>
              <w:rPr>
                <w:rFonts w:cs="Arial"/>
                <w:b/>
                <w:color w:val="000000"/>
                <w:szCs w:val="22"/>
                <w:lang w:eastAsia="it-IT"/>
              </w:rPr>
            </w:pPr>
            <w:r w:rsidRPr="00C2587D">
              <w:rPr>
                <w:rFonts w:cs="Arial"/>
                <w:b/>
                <w:color w:val="000000"/>
                <w:szCs w:val="22"/>
                <w:lang w:eastAsia="it-IT"/>
              </w:rPr>
              <w:t>2026</w:t>
            </w:r>
          </w:p>
        </w:tc>
        <w:tc>
          <w:tcPr>
            <w:tcW w:w="1418" w:type="dxa"/>
            <w:tcBorders>
              <w:bottom w:val="single" w:sz="4" w:space="0" w:color="auto"/>
            </w:tcBorders>
            <w:shd w:val="clear" w:color="auto" w:fill="E6E6E6"/>
            <w:vAlign w:val="center"/>
          </w:tcPr>
          <w:p w14:paraId="03E630A6" w14:textId="77777777" w:rsidR="00552466" w:rsidRPr="00C2587D" w:rsidRDefault="00552466" w:rsidP="00AB7523">
            <w:pPr>
              <w:ind w:right="104"/>
              <w:jc w:val="center"/>
              <w:rPr>
                <w:rFonts w:cs="Arial"/>
                <w:b/>
                <w:color w:val="000000"/>
                <w:szCs w:val="22"/>
                <w:lang w:eastAsia="it-IT"/>
              </w:rPr>
            </w:pPr>
            <w:r w:rsidRPr="00C2587D">
              <w:rPr>
                <w:rFonts w:cs="Arial"/>
                <w:b/>
                <w:color w:val="000000"/>
                <w:szCs w:val="22"/>
                <w:lang w:eastAsia="it-IT"/>
              </w:rPr>
              <w:t>2027</w:t>
            </w:r>
          </w:p>
        </w:tc>
        <w:tc>
          <w:tcPr>
            <w:tcW w:w="1275" w:type="dxa"/>
            <w:shd w:val="clear" w:color="auto" w:fill="E6E6E6"/>
            <w:vAlign w:val="center"/>
          </w:tcPr>
          <w:p w14:paraId="30E4F10D" w14:textId="77777777" w:rsidR="00552466" w:rsidRPr="00C2587D" w:rsidRDefault="00552466" w:rsidP="00AB7523">
            <w:pPr>
              <w:ind w:right="104"/>
              <w:jc w:val="center"/>
              <w:rPr>
                <w:rFonts w:cs="Arial"/>
                <w:b/>
                <w:color w:val="000000"/>
                <w:szCs w:val="22"/>
                <w:lang w:eastAsia="it-IT"/>
              </w:rPr>
            </w:pPr>
            <w:r w:rsidRPr="00C2587D">
              <w:rPr>
                <w:rFonts w:cs="Arial"/>
                <w:b/>
                <w:color w:val="000000"/>
                <w:szCs w:val="22"/>
                <w:lang w:eastAsia="it-IT"/>
              </w:rPr>
              <w:t>2028</w:t>
            </w:r>
          </w:p>
        </w:tc>
        <w:tc>
          <w:tcPr>
            <w:tcW w:w="1590" w:type="dxa"/>
            <w:shd w:val="clear" w:color="auto" w:fill="E6E6E6"/>
            <w:vAlign w:val="center"/>
          </w:tcPr>
          <w:p w14:paraId="5A0041A9" w14:textId="77777777" w:rsidR="00552466" w:rsidRPr="00C2587D" w:rsidRDefault="00552466" w:rsidP="00AB7523">
            <w:pPr>
              <w:ind w:right="104"/>
              <w:jc w:val="center"/>
              <w:rPr>
                <w:rFonts w:cs="Arial"/>
                <w:b/>
                <w:color w:val="000000"/>
                <w:szCs w:val="22"/>
                <w:lang w:eastAsia="it-IT"/>
              </w:rPr>
            </w:pPr>
            <w:r w:rsidRPr="00C2587D">
              <w:rPr>
                <w:rFonts w:cs="Arial"/>
                <w:b/>
                <w:color w:val="000000"/>
                <w:szCs w:val="22"/>
                <w:lang w:eastAsia="it-IT"/>
              </w:rPr>
              <w:t>РАЗОМ</w:t>
            </w:r>
          </w:p>
        </w:tc>
      </w:tr>
      <w:tr w:rsidR="00552466" w:rsidRPr="00C2587D" w14:paraId="11C315DA" w14:textId="77777777" w:rsidTr="00D7011A">
        <w:trPr>
          <w:trHeight w:val="645"/>
          <w:jc w:val="right"/>
        </w:trPr>
        <w:tc>
          <w:tcPr>
            <w:tcW w:w="3425" w:type="dxa"/>
            <w:vMerge/>
            <w:shd w:val="clear" w:color="auto" w:fill="FFFFFF"/>
            <w:vAlign w:val="center"/>
          </w:tcPr>
          <w:p w14:paraId="7AEC3BD0" w14:textId="77777777" w:rsidR="00552466" w:rsidRPr="00C2587D" w:rsidRDefault="00552466" w:rsidP="00D7011A">
            <w:pPr>
              <w:rPr>
                <w:rFonts w:cs="Arial"/>
                <w:b/>
                <w:bCs/>
                <w:color w:val="000000"/>
                <w:szCs w:val="22"/>
              </w:rPr>
            </w:pPr>
          </w:p>
        </w:tc>
        <w:tc>
          <w:tcPr>
            <w:tcW w:w="1254" w:type="dxa"/>
            <w:vAlign w:val="center"/>
          </w:tcPr>
          <w:p w14:paraId="53BF8ABB" w14:textId="77777777" w:rsidR="00552466" w:rsidRPr="00C2587D" w:rsidRDefault="00552466" w:rsidP="00AB7523">
            <w:pPr>
              <w:ind w:right="104"/>
              <w:jc w:val="center"/>
              <w:rPr>
                <w:rFonts w:cs="Arial"/>
                <w:szCs w:val="22"/>
                <w:lang w:eastAsia="it-IT"/>
              </w:rPr>
            </w:pPr>
            <w:r w:rsidRPr="00C2587D">
              <w:rPr>
                <w:rFonts w:cs="Arial"/>
                <w:szCs w:val="22"/>
                <w:lang w:eastAsia="it-IT"/>
              </w:rPr>
              <w:t>0</w:t>
            </w:r>
          </w:p>
        </w:tc>
        <w:tc>
          <w:tcPr>
            <w:tcW w:w="1417" w:type="dxa"/>
            <w:shd w:val="clear" w:color="auto" w:fill="FFFFFF"/>
            <w:vAlign w:val="center"/>
          </w:tcPr>
          <w:p w14:paraId="7639FE9F" w14:textId="77777777" w:rsidR="00552466" w:rsidRPr="00C2587D" w:rsidRDefault="00552466" w:rsidP="00AB7523">
            <w:pPr>
              <w:ind w:right="104"/>
              <w:jc w:val="center"/>
              <w:rPr>
                <w:rFonts w:cs="Arial"/>
                <w:szCs w:val="22"/>
                <w:lang w:eastAsia="it-IT"/>
              </w:rPr>
            </w:pPr>
            <w:r w:rsidRPr="00C2587D">
              <w:rPr>
                <w:rFonts w:cs="Arial"/>
                <w:szCs w:val="22"/>
                <w:lang w:eastAsia="it-IT"/>
              </w:rPr>
              <w:t>1000,00</w:t>
            </w:r>
          </w:p>
        </w:tc>
        <w:tc>
          <w:tcPr>
            <w:tcW w:w="1418" w:type="dxa"/>
            <w:shd w:val="clear" w:color="auto" w:fill="auto"/>
            <w:vAlign w:val="center"/>
          </w:tcPr>
          <w:p w14:paraId="29EA2009" w14:textId="77777777" w:rsidR="00552466" w:rsidRPr="00C2587D" w:rsidRDefault="00552466" w:rsidP="00AB7523">
            <w:pPr>
              <w:ind w:right="104"/>
              <w:jc w:val="center"/>
              <w:rPr>
                <w:rFonts w:cs="Arial"/>
                <w:szCs w:val="22"/>
                <w:lang w:eastAsia="it-IT"/>
              </w:rPr>
            </w:pPr>
            <w:r w:rsidRPr="00C2587D">
              <w:rPr>
                <w:rFonts w:cs="Arial"/>
                <w:szCs w:val="22"/>
                <w:lang w:eastAsia="it-IT"/>
              </w:rPr>
              <w:t>0</w:t>
            </w:r>
          </w:p>
        </w:tc>
        <w:tc>
          <w:tcPr>
            <w:tcW w:w="1275" w:type="dxa"/>
            <w:shd w:val="clear" w:color="auto" w:fill="FFFFFF"/>
            <w:vAlign w:val="center"/>
          </w:tcPr>
          <w:p w14:paraId="15DBBFEE" w14:textId="77777777" w:rsidR="00552466" w:rsidRPr="00C2587D" w:rsidRDefault="00552466" w:rsidP="00AB7523">
            <w:pPr>
              <w:ind w:right="104"/>
              <w:jc w:val="center"/>
              <w:rPr>
                <w:rFonts w:cs="Arial"/>
                <w:szCs w:val="22"/>
                <w:lang w:eastAsia="it-IT"/>
              </w:rPr>
            </w:pPr>
            <w:r w:rsidRPr="00C2587D">
              <w:rPr>
                <w:rFonts w:cs="Arial"/>
                <w:szCs w:val="22"/>
                <w:lang w:eastAsia="it-IT"/>
              </w:rPr>
              <w:t>0</w:t>
            </w:r>
          </w:p>
        </w:tc>
        <w:tc>
          <w:tcPr>
            <w:tcW w:w="1590" w:type="dxa"/>
            <w:shd w:val="clear" w:color="auto" w:fill="FFFFFF"/>
            <w:vAlign w:val="center"/>
          </w:tcPr>
          <w:p w14:paraId="2A5ECBF4" w14:textId="77777777" w:rsidR="00552466" w:rsidRPr="00C2587D" w:rsidRDefault="00552466" w:rsidP="00AB7523">
            <w:pPr>
              <w:ind w:right="104"/>
              <w:jc w:val="center"/>
              <w:rPr>
                <w:rFonts w:cs="Arial"/>
                <w:szCs w:val="22"/>
                <w:lang w:eastAsia="it-IT"/>
              </w:rPr>
            </w:pPr>
            <w:r w:rsidRPr="00C2587D">
              <w:rPr>
                <w:rFonts w:cs="Arial"/>
                <w:szCs w:val="22"/>
                <w:lang w:eastAsia="it-IT"/>
              </w:rPr>
              <w:t>1000,00</w:t>
            </w:r>
          </w:p>
        </w:tc>
      </w:tr>
      <w:tr w:rsidR="00552466" w:rsidRPr="00C2587D" w14:paraId="27348FB8" w14:textId="77777777" w:rsidTr="00D7011A">
        <w:trPr>
          <w:trHeight w:val="276"/>
          <w:jc w:val="right"/>
        </w:trPr>
        <w:tc>
          <w:tcPr>
            <w:tcW w:w="3425" w:type="dxa"/>
            <w:shd w:val="clear" w:color="auto" w:fill="FFFFFF"/>
            <w:vAlign w:val="center"/>
          </w:tcPr>
          <w:p w14:paraId="042A073E" w14:textId="77777777" w:rsidR="00552466" w:rsidRPr="00C2587D" w:rsidRDefault="00552466" w:rsidP="00D7011A">
            <w:pPr>
              <w:rPr>
                <w:rFonts w:cs="Arial"/>
                <w:b/>
                <w:bCs/>
                <w:color w:val="000000"/>
                <w:szCs w:val="22"/>
              </w:rPr>
            </w:pPr>
            <w:r w:rsidRPr="00C2587D">
              <w:rPr>
                <w:rFonts w:cs="Arial"/>
                <w:b/>
                <w:bCs/>
                <w:color w:val="000000"/>
                <w:szCs w:val="22"/>
              </w:rPr>
              <w:t>по джерелах фінансування:</w:t>
            </w:r>
          </w:p>
        </w:tc>
        <w:tc>
          <w:tcPr>
            <w:tcW w:w="1254" w:type="dxa"/>
            <w:vAlign w:val="center"/>
          </w:tcPr>
          <w:p w14:paraId="5B648E18" w14:textId="77777777" w:rsidR="00552466" w:rsidRPr="00C2587D" w:rsidRDefault="00552466" w:rsidP="00AB7523">
            <w:pPr>
              <w:ind w:right="104"/>
              <w:jc w:val="center"/>
              <w:rPr>
                <w:rFonts w:cs="Arial"/>
                <w:szCs w:val="22"/>
                <w:lang w:eastAsia="it-IT"/>
              </w:rPr>
            </w:pPr>
          </w:p>
        </w:tc>
        <w:tc>
          <w:tcPr>
            <w:tcW w:w="1417" w:type="dxa"/>
            <w:shd w:val="clear" w:color="auto" w:fill="FFFFFF"/>
            <w:vAlign w:val="center"/>
          </w:tcPr>
          <w:p w14:paraId="3BAC0DE1" w14:textId="77777777" w:rsidR="00552466" w:rsidRPr="00C2587D" w:rsidRDefault="00552466" w:rsidP="00AB7523">
            <w:pPr>
              <w:ind w:right="104"/>
              <w:jc w:val="center"/>
              <w:rPr>
                <w:rFonts w:cs="Arial"/>
                <w:szCs w:val="22"/>
                <w:lang w:eastAsia="it-IT"/>
              </w:rPr>
            </w:pPr>
          </w:p>
        </w:tc>
        <w:tc>
          <w:tcPr>
            <w:tcW w:w="1418" w:type="dxa"/>
            <w:shd w:val="clear" w:color="auto" w:fill="auto"/>
            <w:vAlign w:val="center"/>
          </w:tcPr>
          <w:p w14:paraId="529D3E70" w14:textId="77777777" w:rsidR="00552466" w:rsidRPr="00C2587D" w:rsidRDefault="00552466" w:rsidP="00AB7523">
            <w:pPr>
              <w:ind w:right="104"/>
              <w:jc w:val="center"/>
              <w:rPr>
                <w:rFonts w:cs="Arial"/>
                <w:szCs w:val="22"/>
                <w:lang w:eastAsia="it-IT"/>
              </w:rPr>
            </w:pPr>
          </w:p>
        </w:tc>
        <w:tc>
          <w:tcPr>
            <w:tcW w:w="1275" w:type="dxa"/>
            <w:shd w:val="clear" w:color="auto" w:fill="FFFFFF"/>
            <w:vAlign w:val="center"/>
          </w:tcPr>
          <w:p w14:paraId="75713663" w14:textId="77777777" w:rsidR="00552466" w:rsidRPr="00C2587D" w:rsidRDefault="00552466" w:rsidP="00AB7523">
            <w:pPr>
              <w:ind w:right="104"/>
              <w:jc w:val="center"/>
              <w:rPr>
                <w:rFonts w:cs="Arial"/>
                <w:szCs w:val="22"/>
                <w:lang w:eastAsia="it-IT"/>
              </w:rPr>
            </w:pPr>
          </w:p>
        </w:tc>
        <w:tc>
          <w:tcPr>
            <w:tcW w:w="1590" w:type="dxa"/>
            <w:shd w:val="clear" w:color="auto" w:fill="FFFFFF"/>
            <w:vAlign w:val="center"/>
          </w:tcPr>
          <w:p w14:paraId="13405CCB" w14:textId="77777777" w:rsidR="00552466" w:rsidRPr="00C2587D" w:rsidRDefault="00552466" w:rsidP="00AB7523">
            <w:pPr>
              <w:ind w:right="104"/>
              <w:jc w:val="center"/>
              <w:rPr>
                <w:rFonts w:cs="Arial"/>
                <w:szCs w:val="22"/>
                <w:lang w:eastAsia="it-IT"/>
              </w:rPr>
            </w:pPr>
          </w:p>
        </w:tc>
      </w:tr>
      <w:tr w:rsidR="00552466" w:rsidRPr="00C2587D" w14:paraId="1D62B778" w14:textId="77777777" w:rsidTr="00D7011A">
        <w:trPr>
          <w:trHeight w:val="230"/>
          <w:jc w:val="right"/>
        </w:trPr>
        <w:tc>
          <w:tcPr>
            <w:tcW w:w="3425" w:type="dxa"/>
            <w:shd w:val="clear" w:color="auto" w:fill="FFFFFF"/>
            <w:vAlign w:val="center"/>
          </w:tcPr>
          <w:p w14:paraId="267A539F" w14:textId="77777777" w:rsidR="00552466" w:rsidRPr="00C2587D" w:rsidRDefault="00552466" w:rsidP="00D7011A">
            <w:pPr>
              <w:rPr>
                <w:rFonts w:cs="Arial"/>
                <w:bCs/>
                <w:color w:val="000000"/>
                <w:szCs w:val="22"/>
              </w:rPr>
            </w:pPr>
            <w:r w:rsidRPr="00C2587D">
              <w:rPr>
                <w:rFonts w:cs="Arial"/>
                <w:bCs/>
                <w:color w:val="000000"/>
                <w:szCs w:val="22"/>
              </w:rPr>
              <w:t>-державний бюджет</w:t>
            </w:r>
          </w:p>
        </w:tc>
        <w:tc>
          <w:tcPr>
            <w:tcW w:w="1254" w:type="dxa"/>
            <w:vAlign w:val="center"/>
          </w:tcPr>
          <w:p w14:paraId="3DE6C311" w14:textId="77777777" w:rsidR="00552466" w:rsidRPr="00C2587D" w:rsidRDefault="00552466" w:rsidP="00AB7523">
            <w:pPr>
              <w:ind w:right="104"/>
              <w:jc w:val="center"/>
              <w:rPr>
                <w:rFonts w:cs="Arial"/>
                <w:szCs w:val="22"/>
                <w:lang w:eastAsia="it-IT"/>
              </w:rPr>
            </w:pPr>
          </w:p>
        </w:tc>
        <w:tc>
          <w:tcPr>
            <w:tcW w:w="1417" w:type="dxa"/>
            <w:shd w:val="clear" w:color="auto" w:fill="FFFFFF"/>
            <w:vAlign w:val="center"/>
          </w:tcPr>
          <w:p w14:paraId="58D647E1" w14:textId="77777777" w:rsidR="00552466" w:rsidRPr="00C2587D" w:rsidRDefault="00552466" w:rsidP="00AB7523">
            <w:pPr>
              <w:ind w:right="104"/>
              <w:jc w:val="center"/>
              <w:rPr>
                <w:rFonts w:cs="Arial"/>
                <w:szCs w:val="22"/>
                <w:lang w:eastAsia="it-IT"/>
              </w:rPr>
            </w:pPr>
          </w:p>
        </w:tc>
        <w:tc>
          <w:tcPr>
            <w:tcW w:w="1418" w:type="dxa"/>
            <w:shd w:val="clear" w:color="auto" w:fill="auto"/>
            <w:vAlign w:val="center"/>
          </w:tcPr>
          <w:p w14:paraId="2F906160" w14:textId="77777777" w:rsidR="00552466" w:rsidRPr="00C2587D" w:rsidRDefault="00552466" w:rsidP="00AB7523">
            <w:pPr>
              <w:ind w:right="104"/>
              <w:jc w:val="center"/>
              <w:rPr>
                <w:rFonts w:cs="Arial"/>
                <w:szCs w:val="22"/>
                <w:lang w:eastAsia="it-IT"/>
              </w:rPr>
            </w:pPr>
          </w:p>
        </w:tc>
        <w:tc>
          <w:tcPr>
            <w:tcW w:w="1275" w:type="dxa"/>
            <w:shd w:val="clear" w:color="auto" w:fill="FFFFFF"/>
            <w:vAlign w:val="center"/>
          </w:tcPr>
          <w:p w14:paraId="50F46329" w14:textId="77777777" w:rsidR="00552466" w:rsidRPr="00C2587D" w:rsidRDefault="00552466" w:rsidP="00AB7523">
            <w:pPr>
              <w:ind w:right="104"/>
              <w:jc w:val="center"/>
              <w:rPr>
                <w:rFonts w:cs="Arial"/>
                <w:szCs w:val="22"/>
                <w:lang w:eastAsia="it-IT"/>
              </w:rPr>
            </w:pPr>
          </w:p>
        </w:tc>
        <w:tc>
          <w:tcPr>
            <w:tcW w:w="1590" w:type="dxa"/>
            <w:shd w:val="clear" w:color="auto" w:fill="FFFFFF"/>
            <w:vAlign w:val="center"/>
          </w:tcPr>
          <w:p w14:paraId="4A8CFA14" w14:textId="77777777" w:rsidR="00552466" w:rsidRPr="00C2587D" w:rsidRDefault="00552466" w:rsidP="00AB7523">
            <w:pPr>
              <w:ind w:right="104"/>
              <w:jc w:val="center"/>
              <w:rPr>
                <w:rFonts w:cs="Arial"/>
                <w:szCs w:val="22"/>
                <w:lang w:eastAsia="it-IT"/>
              </w:rPr>
            </w:pPr>
          </w:p>
        </w:tc>
      </w:tr>
      <w:tr w:rsidR="00552466" w:rsidRPr="00C2587D" w14:paraId="04B1AEAD" w14:textId="77777777" w:rsidTr="00D7011A">
        <w:trPr>
          <w:trHeight w:val="253"/>
          <w:jc w:val="right"/>
        </w:trPr>
        <w:tc>
          <w:tcPr>
            <w:tcW w:w="3425" w:type="dxa"/>
            <w:shd w:val="clear" w:color="auto" w:fill="FFFFFF"/>
            <w:vAlign w:val="center"/>
          </w:tcPr>
          <w:p w14:paraId="6F254724" w14:textId="77777777" w:rsidR="00552466" w:rsidRPr="00C2587D" w:rsidRDefault="00552466" w:rsidP="00D7011A">
            <w:pPr>
              <w:rPr>
                <w:rFonts w:cs="Arial"/>
                <w:bCs/>
                <w:color w:val="000000"/>
                <w:szCs w:val="22"/>
              </w:rPr>
            </w:pPr>
            <w:r w:rsidRPr="00C2587D">
              <w:rPr>
                <w:rFonts w:cs="Arial"/>
                <w:bCs/>
                <w:color w:val="000000"/>
                <w:szCs w:val="22"/>
              </w:rPr>
              <w:t>-обласний бюджет</w:t>
            </w:r>
          </w:p>
        </w:tc>
        <w:tc>
          <w:tcPr>
            <w:tcW w:w="1254" w:type="dxa"/>
            <w:vAlign w:val="center"/>
          </w:tcPr>
          <w:p w14:paraId="04271409" w14:textId="77777777" w:rsidR="00552466" w:rsidRPr="00C2587D" w:rsidRDefault="00552466" w:rsidP="00AB7523">
            <w:pPr>
              <w:ind w:right="104"/>
              <w:jc w:val="center"/>
              <w:rPr>
                <w:rFonts w:cs="Arial"/>
                <w:szCs w:val="22"/>
                <w:lang w:eastAsia="it-IT"/>
              </w:rPr>
            </w:pPr>
          </w:p>
        </w:tc>
        <w:tc>
          <w:tcPr>
            <w:tcW w:w="1417" w:type="dxa"/>
            <w:shd w:val="clear" w:color="auto" w:fill="FFFFFF"/>
            <w:vAlign w:val="center"/>
          </w:tcPr>
          <w:p w14:paraId="6A385CBB" w14:textId="77777777" w:rsidR="00552466" w:rsidRPr="00C2587D" w:rsidRDefault="00552466" w:rsidP="00AB7523">
            <w:pPr>
              <w:ind w:right="104"/>
              <w:jc w:val="center"/>
              <w:rPr>
                <w:rFonts w:cs="Arial"/>
                <w:szCs w:val="22"/>
                <w:lang w:eastAsia="it-IT"/>
              </w:rPr>
            </w:pPr>
          </w:p>
        </w:tc>
        <w:tc>
          <w:tcPr>
            <w:tcW w:w="1418" w:type="dxa"/>
            <w:shd w:val="clear" w:color="auto" w:fill="auto"/>
            <w:vAlign w:val="center"/>
          </w:tcPr>
          <w:p w14:paraId="0F4A6C5F" w14:textId="77777777" w:rsidR="00552466" w:rsidRPr="00C2587D" w:rsidRDefault="00552466" w:rsidP="00AB7523">
            <w:pPr>
              <w:ind w:right="104"/>
              <w:jc w:val="center"/>
              <w:rPr>
                <w:rFonts w:cs="Arial"/>
                <w:szCs w:val="22"/>
                <w:lang w:eastAsia="it-IT"/>
              </w:rPr>
            </w:pPr>
          </w:p>
        </w:tc>
        <w:tc>
          <w:tcPr>
            <w:tcW w:w="1275" w:type="dxa"/>
            <w:shd w:val="clear" w:color="auto" w:fill="FFFFFF"/>
            <w:vAlign w:val="center"/>
          </w:tcPr>
          <w:p w14:paraId="352C2459" w14:textId="77777777" w:rsidR="00552466" w:rsidRPr="00C2587D" w:rsidRDefault="00552466" w:rsidP="00AB7523">
            <w:pPr>
              <w:ind w:right="104"/>
              <w:jc w:val="center"/>
              <w:rPr>
                <w:rFonts w:cs="Arial"/>
                <w:szCs w:val="22"/>
                <w:lang w:eastAsia="it-IT"/>
              </w:rPr>
            </w:pPr>
          </w:p>
        </w:tc>
        <w:tc>
          <w:tcPr>
            <w:tcW w:w="1590" w:type="dxa"/>
            <w:shd w:val="clear" w:color="auto" w:fill="FFFFFF"/>
            <w:vAlign w:val="center"/>
          </w:tcPr>
          <w:p w14:paraId="797B27C5" w14:textId="77777777" w:rsidR="00552466" w:rsidRPr="00C2587D" w:rsidRDefault="00552466" w:rsidP="00AB7523">
            <w:pPr>
              <w:ind w:right="104"/>
              <w:jc w:val="center"/>
              <w:rPr>
                <w:rFonts w:cs="Arial"/>
                <w:szCs w:val="22"/>
                <w:lang w:eastAsia="it-IT"/>
              </w:rPr>
            </w:pPr>
          </w:p>
        </w:tc>
      </w:tr>
      <w:tr w:rsidR="00552466" w:rsidRPr="00C2587D" w14:paraId="46EE4F06" w14:textId="77777777" w:rsidTr="00D7011A">
        <w:trPr>
          <w:trHeight w:val="264"/>
          <w:jc w:val="right"/>
        </w:trPr>
        <w:tc>
          <w:tcPr>
            <w:tcW w:w="3425" w:type="dxa"/>
            <w:shd w:val="clear" w:color="auto" w:fill="FFFFFF"/>
            <w:vAlign w:val="center"/>
          </w:tcPr>
          <w:p w14:paraId="2F86CAF0" w14:textId="77777777" w:rsidR="00552466" w:rsidRPr="00C2587D" w:rsidRDefault="00552466" w:rsidP="00D7011A">
            <w:pPr>
              <w:rPr>
                <w:rFonts w:cs="Arial"/>
                <w:bCs/>
                <w:color w:val="000000"/>
                <w:szCs w:val="22"/>
              </w:rPr>
            </w:pPr>
            <w:r w:rsidRPr="00C2587D">
              <w:rPr>
                <w:rFonts w:cs="Arial"/>
                <w:bCs/>
                <w:color w:val="000000"/>
                <w:szCs w:val="22"/>
              </w:rPr>
              <w:t>-бюджет Жмеринської МТГ</w:t>
            </w:r>
          </w:p>
        </w:tc>
        <w:tc>
          <w:tcPr>
            <w:tcW w:w="1254" w:type="dxa"/>
            <w:vAlign w:val="center"/>
          </w:tcPr>
          <w:p w14:paraId="6124137B" w14:textId="77777777" w:rsidR="00552466" w:rsidRPr="00C2587D" w:rsidRDefault="00552466" w:rsidP="00AB7523">
            <w:pPr>
              <w:ind w:right="104"/>
              <w:jc w:val="center"/>
              <w:rPr>
                <w:rFonts w:cs="Arial"/>
                <w:szCs w:val="22"/>
                <w:lang w:eastAsia="it-IT"/>
              </w:rPr>
            </w:pPr>
            <w:r w:rsidRPr="00C2587D">
              <w:rPr>
                <w:rFonts w:cs="Arial"/>
                <w:szCs w:val="22"/>
                <w:lang w:eastAsia="it-IT"/>
              </w:rPr>
              <w:t>0</w:t>
            </w:r>
          </w:p>
        </w:tc>
        <w:tc>
          <w:tcPr>
            <w:tcW w:w="1417" w:type="dxa"/>
            <w:shd w:val="clear" w:color="auto" w:fill="FFFFFF"/>
            <w:vAlign w:val="center"/>
          </w:tcPr>
          <w:p w14:paraId="400C3BA9" w14:textId="77777777" w:rsidR="00552466" w:rsidRPr="00C2587D" w:rsidRDefault="00552466" w:rsidP="00AB7523">
            <w:pPr>
              <w:ind w:right="104"/>
              <w:jc w:val="center"/>
              <w:rPr>
                <w:rFonts w:cs="Arial"/>
                <w:szCs w:val="22"/>
                <w:lang w:eastAsia="it-IT"/>
              </w:rPr>
            </w:pPr>
            <w:r w:rsidRPr="00C2587D">
              <w:rPr>
                <w:rFonts w:cs="Arial"/>
                <w:szCs w:val="22"/>
                <w:lang w:eastAsia="it-IT"/>
              </w:rPr>
              <w:t>1000,00</w:t>
            </w:r>
          </w:p>
        </w:tc>
        <w:tc>
          <w:tcPr>
            <w:tcW w:w="1418" w:type="dxa"/>
            <w:shd w:val="clear" w:color="auto" w:fill="auto"/>
            <w:vAlign w:val="center"/>
          </w:tcPr>
          <w:p w14:paraId="3059A467" w14:textId="77777777" w:rsidR="00552466" w:rsidRPr="00C2587D" w:rsidRDefault="00552466" w:rsidP="00AB7523">
            <w:pPr>
              <w:ind w:right="104"/>
              <w:jc w:val="center"/>
              <w:rPr>
                <w:rFonts w:cs="Arial"/>
                <w:szCs w:val="22"/>
                <w:lang w:eastAsia="it-IT"/>
              </w:rPr>
            </w:pPr>
            <w:r w:rsidRPr="00C2587D">
              <w:rPr>
                <w:rFonts w:cs="Arial"/>
                <w:szCs w:val="22"/>
                <w:lang w:eastAsia="it-IT"/>
              </w:rPr>
              <w:t>0</w:t>
            </w:r>
          </w:p>
        </w:tc>
        <w:tc>
          <w:tcPr>
            <w:tcW w:w="1275" w:type="dxa"/>
            <w:shd w:val="clear" w:color="auto" w:fill="FFFFFF"/>
            <w:vAlign w:val="center"/>
          </w:tcPr>
          <w:p w14:paraId="7A04CD5E" w14:textId="77777777" w:rsidR="00552466" w:rsidRPr="00C2587D" w:rsidRDefault="00552466" w:rsidP="00AB7523">
            <w:pPr>
              <w:ind w:right="104"/>
              <w:jc w:val="center"/>
              <w:rPr>
                <w:rFonts w:cs="Arial"/>
                <w:szCs w:val="22"/>
                <w:lang w:eastAsia="it-IT"/>
              </w:rPr>
            </w:pPr>
            <w:r w:rsidRPr="00C2587D">
              <w:rPr>
                <w:rFonts w:cs="Arial"/>
                <w:szCs w:val="22"/>
                <w:lang w:eastAsia="it-IT"/>
              </w:rPr>
              <w:t>0</w:t>
            </w:r>
          </w:p>
        </w:tc>
        <w:tc>
          <w:tcPr>
            <w:tcW w:w="1590" w:type="dxa"/>
            <w:shd w:val="clear" w:color="auto" w:fill="FFFFFF"/>
            <w:vAlign w:val="center"/>
          </w:tcPr>
          <w:p w14:paraId="25479A11" w14:textId="77777777" w:rsidR="00552466" w:rsidRPr="00C2587D" w:rsidRDefault="00552466" w:rsidP="00AB7523">
            <w:pPr>
              <w:ind w:right="104"/>
              <w:jc w:val="center"/>
              <w:rPr>
                <w:rFonts w:cs="Arial"/>
                <w:szCs w:val="22"/>
                <w:lang w:eastAsia="it-IT"/>
              </w:rPr>
            </w:pPr>
            <w:r w:rsidRPr="00C2587D">
              <w:rPr>
                <w:rFonts w:cs="Arial"/>
                <w:szCs w:val="22"/>
                <w:lang w:eastAsia="it-IT"/>
              </w:rPr>
              <w:t>1000,00</w:t>
            </w:r>
          </w:p>
        </w:tc>
      </w:tr>
      <w:tr w:rsidR="00552466" w:rsidRPr="00C2587D" w14:paraId="2F4D930A" w14:textId="77777777" w:rsidTr="00D7011A">
        <w:trPr>
          <w:trHeight w:val="369"/>
          <w:jc w:val="right"/>
        </w:trPr>
        <w:tc>
          <w:tcPr>
            <w:tcW w:w="3425" w:type="dxa"/>
            <w:shd w:val="clear" w:color="auto" w:fill="FFFFFF"/>
            <w:vAlign w:val="center"/>
          </w:tcPr>
          <w:p w14:paraId="3F5A72A5" w14:textId="77777777" w:rsidR="00552466" w:rsidRPr="00C2587D" w:rsidRDefault="00552466" w:rsidP="00D7011A">
            <w:pPr>
              <w:rPr>
                <w:rFonts w:cs="Arial"/>
                <w:bCs/>
                <w:color w:val="000000"/>
                <w:szCs w:val="22"/>
              </w:rPr>
            </w:pPr>
            <w:r w:rsidRPr="00C2587D">
              <w:rPr>
                <w:rFonts w:cs="Arial"/>
                <w:bCs/>
                <w:color w:val="000000"/>
                <w:szCs w:val="22"/>
              </w:rPr>
              <w:t>-інші джерела фінансування</w:t>
            </w:r>
          </w:p>
        </w:tc>
        <w:tc>
          <w:tcPr>
            <w:tcW w:w="1254" w:type="dxa"/>
            <w:vAlign w:val="center"/>
          </w:tcPr>
          <w:p w14:paraId="0BECF923" w14:textId="77777777" w:rsidR="00552466" w:rsidRPr="00C2587D" w:rsidRDefault="00552466" w:rsidP="00AB7523">
            <w:pPr>
              <w:ind w:right="104"/>
              <w:jc w:val="center"/>
              <w:rPr>
                <w:rFonts w:cs="Arial"/>
                <w:szCs w:val="22"/>
                <w:lang w:eastAsia="it-IT"/>
              </w:rPr>
            </w:pPr>
          </w:p>
        </w:tc>
        <w:tc>
          <w:tcPr>
            <w:tcW w:w="1417" w:type="dxa"/>
            <w:shd w:val="clear" w:color="auto" w:fill="FFFFFF"/>
            <w:vAlign w:val="center"/>
          </w:tcPr>
          <w:p w14:paraId="1D1E7B59" w14:textId="77777777" w:rsidR="00552466" w:rsidRPr="00C2587D" w:rsidRDefault="00552466" w:rsidP="00AB7523">
            <w:pPr>
              <w:ind w:right="104"/>
              <w:jc w:val="center"/>
              <w:rPr>
                <w:rFonts w:cs="Arial"/>
                <w:szCs w:val="22"/>
                <w:lang w:eastAsia="it-IT"/>
              </w:rPr>
            </w:pPr>
          </w:p>
        </w:tc>
        <w:tc>
          <w:tcPr>
            <w:tcW w:w="1418" w:type="dxa"/>
            <w:shd w:val="clear" w:color="auto" w:fill="auto"/>
            <w:vAlign w:val="center"/>
          </w:tcPr>
          <w:p w14:paraId="356ED1AF" w14:textId="77777777" w:rsidR="00552466" w:rsidRPr="00C2587D" w:rsidRDefault="00552466" w:rsidP="00AB7523">
            <w:pPr>
              <w:ind w:right="104"/>
              <w:jc w:val="center"/>
              <w:rPr>
                <w:rFonts w:cs="Arial"/>
                <w:szCs w:val="22"/>
                <w:lang w:eastAsia="it-IT"/>
              </w:rPr>
            </w:pPr>
          </w:p>
        </w:tc>
        <w:tc>
          <w:tcPr>
            <w:tcW w:w="1275" w:type="dxa"/>
            <w:shd w:val="clear" w:color="auto" w:fill="FFFFFF"/>
            <w:vAlign w:val="center"/>
          </w:tcPr>
          <w:p w14:paraId="776F03EF" w14:textId="77777777" w:rsidR="00552466" w:rsidRPr="00C2587D" w:rsidRDefault="00552466" w:rsidP="00AB7523">
            <w:pPr>
              <w:ind w:right="104"/>
              <w:jc w:val="center"/>
              <w:rPr>
                <w:rFonts w:cs="Arial"/>
                <w:szCs w:val="22"/>
                <w:lang w:eastAsia="it-IT"/>
              </w:rPr>
            </w:pPr>
          </w:p>
        </w:tc>
        <w:tc>
          <w:tcPr>
            <w:tcW w:w="1590" w:type="dxa"/>
            <w:shd w:val="clear" w:color="auto" w:fill="FFFFFF"/>
            <w:vAlign w:val="center"/>
          </w:tcPr>
          <w:p w14:paraId="78F6CE19" w14:textId="77777777" w:rsidR="00552466" w:rsidRPr="00C2587D" w:rsidRDefault="00552466" w:rsidP="00AB7523">
            <w:pPr>
              <w:ind w:right="104"/>
              <w:jc w:val="center"/>
              <w:rPr>
                <w:rFonts w:cs="Arial"/>
                <w:szCs w:val="22"/>
                <w:lang w:eastAsia="it-IT"/>
              </w:rPr>
            </w:pPr>
          </w:p>
        </w:tc>
      </w:tr>
      <w:tr w:rsidR="00552466" w:rsidRPr="00C2587D" w14:paraId="61D231D5" w14:textId="77777777" w:rsidTr="00D7011A">
        <w:trPr>
          <w:jc w:val="right"/>
        </w:trPr>
        <w:tc>
          <w:tcPr>
            <w:tcW w:w="3425" w:type="dxa"/>
            <w:shd w:val="clear" w:color="auto" w:fill="FFFFFF"/>
            <w:vAlign w:val="center"/>
          </w:tcPr>
          <w:p w14:paraId="4E0EA725" w14:textId="77777777" w:rsidR="00552466" w:rsidRPr="00C2587D" w:rsidRDefault="00552466" w:rsidP="00D7011A">
            <w:pPr>
              <w:rPr>
                <w:rFonts w:cs="Arial"/>
                <w:b/>
                <w:bCs/>
                <w:color w:val="000000"/>
                <w:szCs w:val="22"/>
              </w:rPr>
            </w:pPr>
            <w:r w:rsidRPr="00C2587D">
              <w:rPr>
                <w:rFonts w:cs="Arial"/>
                <w:b/>
                <w:color w:val="000000"/>
                <w:szCs w:val="22"/>
              </w:rPr>
              <w:t>Відповідальний виконавець проєкту:</w:t>
            </w:r>
          </w:p>
        </w:tc>
        <w:tc>
          <w:tcPr>
            <w:tcW w:w="6954" w:type="dxa"/>
            <w:gridSpan w:val="5"/>
            <w:vAlign w:val="center"/>
          </w:tcPr>
          <w:p w14:paraId="232F1F58" w14:textId="77777777" w:rsidR="00552466" w:rsidRPr="00C2587D" w:rsidRDefault="00552466" w:rsidP="00AB7523">
            <w:pPr>
              <w:ind w:right="104"/>
              <w:jc w:val="both"/>
              <w:rPr>
                <w:rFonts w:cs="Arial"/>
                <w:color w:val="000000"/>
                <w:szCs w:val="22"/>
                <w:lang w:eastAsia="it-IT"/>
              </w:rPr>
            </w:pPr>
            <w:r w:rsidRPr="00C2587D">
              <w:rPr>
                <w:rFonts w:cs="Arial"/>
                <w:szCs w:val="22"/>
              </w:rPr>
              <w:t>Управління земельних ресурсів виконавчого комітету Жмеринської міської ради, управління житлово – комунального господарства Жмеринської міської ради</w:t>
            </w:r>
          </w:p>
        </w:tc>
      </w:tr>
    </w:tbl>
    <w:p w14:paraId="57CEA16D" w14:textId="77777777" w:rsidR="00552466" w:rsidRPr="00C2587D" w:rsidRDefault="00552466" w:rsidP="00552466">
      <w:pPr>
        <w:rPr>
          <w:rFonts w:cs="Arial"/>
          <w:szCs w:val="22"/>
        </w:rPr>
      </w:pPr>
    </w:p>
    <w:p w14:paraId="7B37EDAD" w14:textId="77777777" w:rsidR="00552466" w:rsidRPr="00C2587D" w:rsidRDefault="00552466" w:rsidP="00552466">
      <w:pPr>
        <w:jc w:val="center"/>
        <w:rPr>
          <w:rFonts w:cs="Arial"/>
          <w:b/>
          <w:color w:val="000000"/>
          <w:szCs w:val="22"/>
        </w:rPr>
      </w:pPr>
    </w:p>
    <w:p w14:paraId="2BA60C58" w14:textId="3C10E901" w:rsidR="00552466" w:rsidRPr="00C2587D" w:rsidRDefault="00552466" w:rsidP="00552466">
      <w:pPr>
        <w:jc w:val="center"/>
        <w:rPr>
          <w:rFonts w:cs="Arial"/>
          <w:b/>
          <w:color w:val="000000"/>
          <w:szCs w:val="22"/>
        </w:rPr>
      </w:pPr>
      <w:r w:rsidRPr="00C2587D">
        <w:rPr>
          <w:rFonts w:cs="Arial"/>
          <w:b/>
          <w:color w:val="000000"/>
          <w:szCs w:val="22"/>
        </w:rPr>
        <w:t>Ф</w:t>
      </w:r>
      <w:r w:rsidR="00DD16C1">
        <w:rPr>
          <w:rFonts w:cs="Arial"/>
          <w:b/>
          <w:color w:val="000000"/>
          <w:szCs w:val="22"/>
        </w:rPr>
        <w:t>орма технічного завдання на проє</w:t>
      </w:r>
      <w:r w:rsidRPr="00C2587D">
        <w:rPr>
          <w:rFonts w:cs="Arial"/>
          <w:b/>
          <w:color w:val="000000"/>
          <w:szCs w:val="22"/>
        </w:rPr>
        <w:t xml:space="preserve">кт місцевого розвитку </w:t>
      </w:r>
    </w:p>
    <w:p w14:paraId="1C34679C" w14:textId="77777777" w:rsidR="00552466" w:rsidRPr="00C2587D" w:rsidRDefault="00552466" w:rsidP="00552466">
      <w:pPr>
        <w:jc w:val="center"/>
        <w:rPr>
          <w:rFonts w:cs="Arial"/>
          <w:b/>
          <w:color w:val="000000"/>
          <w:szCs w:val="22"/>
        </w:rPr>
      </w:pPr>
      <w:r w:rsidRPr="00C2587D">
        <w:rPr>
          <w:rFonts w:cs="Arial"/>
          <w:b/>
          <w:color w:val="000000"/>
          <w:szCs w:val="22"/>
        </w:rPr>
        <w:t>до Плану заходів з реалізації Стратегії</w:t>
      </w:r>
    </w:p>
    <w:tbl>
      <w:tblPr>
        <w:tblW w:w="1037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1417"/>
        <w:gridCol w:w="1418"/>
        <w:gridCol w:w="1275"/>
        <w:gridCol w:w="1590"/>
      </w:tblGrid>
      <w:tr w:rsidR="00552466" w:rsidRPr="00AB7523" w14:paraId="3F817583" w14:textId="77777777" w:rsidTr="00AB7523">
        <w:trPr>
          <w:trHeight w:val="510"/>
          <w:jc w:val="right"/>
        </w:trPr>
        <w:tc>
          <w:tcPr>
            <w:tcW w:w="3425" w:type="dxa"/>
            <w:vAlign w:val="center"/>
          </w:tcPr>
          <w:p w14:paraId="217784C5" w14:textId="77777777" w:rsidR="00552466" w:rsidRPr="00AB7523" w:rsidRDefault="00552466" w:rsidP="00AB7523">
            <w:pPr>
              <w:spacing w:before="40" w:after="40"/>
              <w:rPr>
                <w:rFonts w:cs="Arial"/>
                <w:b/>
                <w:bCs/>
                <w:szCs w:val="22"/>
              </w:rPr>
            </w:pPr>
            <w:r w:rsidRPr="00AB7523">
              <w:rPr>
                <w:rFonts w:cs="Arial"/>
                <w:b/>
                <w:bCs/>
                <w:szCs w:val="22"/>
              </w:rPr>
              <w:t>Назва проєкту:</w:t>
            </w:r>
          </w:p>
        </w:tc>
        <w:tc>
          <w:tcPr>
            <w:tcW w:w="6954" w:type="dxa"/>
            <w:gridSpan w:val="5"/>
            <w:vAlign w:val="center"/>
          </w:tcPr>
          <w:p w14:paraId="012D3CC8" w14:textId="77777777" w:rsidR="00552466" w:rsidRPr="00AB7523" w:rsidRDefault="00552466" w:rsidP="00AB7523">
            <w:pPr>
              <w:spacing w:before="40" w:after="40"/>
              <w:ind w:right="104"/>
              <w:rPr>
                <w:rFonts w:cs="Arial"/>
                <w:b/>
                <w:szCs w:val="22"/>
              </w:rPr>
            </w:pPr>
            <w:r w:rsidRPr="00AB7523">
              <w:rPr>
                <w:rFonts w:cs="Arial"/>
                <w:b/>
                <w:szCs w:val="22"/>
              </w:rPr>
              <w:t>Нормативна грошова оцінка земельних ділянок</w:t>
            </w:r>
          </w:p>
        </w:tc>
      </w:tr>
      <w:tr w:rsidR="00552466" w:rsidRPr="00C2587D" w14:paraId="55B4E7F6" w14:textId="77777777" w:rsidTr="00D7011A">
        <w:trPr>
          <w:trHeight w:val="1114"/>
          <w:jc w:val="right"/>
        </w:trPr>
        <w:tc>
          <w:tcPr>
            <w:tcW w:w="3425" w:type="dxa"/>
          </w:tcPr>
          <w:p w14:paraId="6485E68D" w14:textId="77777777" w:rsidR="00552466" w:rsidRPr="00C2587D" w:rsidRDefault="00552466" w:rsidP="00D7011A">
            <w:pPr>
              <w:spacing w:before="40" w:after="40"/>
              <w:rPr>
                <w:rFonts w:cs="Arial"/>
                <w:szCs w:val="22"/>
                <w:lang w:eastAsia="it-IT"/>
              </w:rPr>
            </w:pPr>
            <w:r w:rsidRPr="00C2587D">
              <w:rPr>
                <w:rFonts w:cs="Arial"/>
                <w:b/>
                <w:bCs/>
                <w:szCs w:val="22"/>
              </w:rPr>
              <w:t>Ваші контакти</w:t>
            </w:r>
            <w:r w:rsidRPr="00C2587D">
              <w:rPr>
                <w:rFonts w:cs="Arial"/>
                <w:szCs w:val="22"/>
                <w:lang w:eastAsia="it-IT"/>
              </w:rPr>
              <w:t>:</w:t>
            </w:r>
          </w:p>
          <w:p w14:paraId="7FEA8ADB" w14:textId="77777777" w:rsidR="00552466" w:rsidRPr="00C2587D" w:rsidRDefault="00552466" w:rsidP="00D7011A">
            <w:pPr>
              <w:spacing w:before="40" w:after="40"/>
              <w:rPr>
                <w:rFonts w:cs="Arial"/>
                <w:b/>
                <w:bCs/>
                <w:szCs w:val="22"/>
              </w:rPr>
            </w:pPr>
            <w:r w:rsidRPr="00C2587D">
              <w:rPr>
                <w:rFonts w:cs="Arial"/>
                <w:szCs w:val="22"/>
                <w:lang w:eastAsia="it-IT"/>
              </w:rPr>
              <w:t>Назва установи, організації, підприємства</w:t>
            </w:r>
          </w:p>
        </w:tc>
        <w:tc>
          <w:tcPr>
            <w:tcW w:w="6954" w:type="dxa"/>
            <w:gridSpan w:val="5"/>
          </w:tcPr>
          <w:p w14:paraId="63DDF961" w14:textId="77777777" w:rsidR="00552466" w:rsidRPr="00C2587D" w:rsidRDefault="00552466" w:rsidP="00AB7523">
            <w:pPr>
              <w:spacing w:before="40" w:after="40"/>
              <w:ind w:right="104"/>
              <w:jc w:val="both"/>
              <w:rPr>
                <w:rFonts w:cs="Arial"/>
                <w:szCs w:val="22"/>
                <w:lang w:eastAsia="it-IT"/>
              </w:rPr>
            </w:pPr>
            <w:r w:rsidRPr="00C2587D">
              <w:rPr>
                <w:rFonts w:cs="Arial"/>
                <w:szCs w:val="22"/>
                <w:lang w:eastAsia="it-IT"/>
              </w:rPr>
              <w:t>Управління земельних ресурсів виконавчого комітету Жмеринської міської ради</w:t>
            </w:r>
          </w:p>
        </w:tc>
      </w:tr>
      <w:tr w:rsidR="00552466" w:rsidRPr="00C2587D" w14:paraId="0F337EFB" w14:textId="77777777" w:rsidTr="00D7011A">
        <w:trPr>
          <w:jc w:val="right"/>
        </w:trPr>
        <w:tc>
          <w:tcPr>
            <w:tcW w:w="3425" w:type="dxa"/>
          </w:tcPr>
          <w:p w14:paraId="1833AD86" w14:textId="77777777" w:rsidR="00552466" w:rsidRPr="00C2587D" w:rsidRDefault="00552466" w:rsidP="00D7011A">
            <w:pPr>
              <w:spacing w:before="40" w:after="40"/>
              <w:rPr>
                <w:rFonts w:cs="Arial"/>
                <w:b/>
                <w:bCs/>
                <w:szCs w:val="22"/>
              </w:rPr>
            </w:pPr>
            <w:r w:rsidRPr="00C2587D">
              <w:rPr>
                <w:rFonts w:cs="Arial"/>
                <w:szCs w:val="22"/>
                <w:lang w:eastAsia="it-IT"/>
              </w:rPr>
              <w:t>Прізвище Ім’я По-батькові:</w:t>
            </w:r>
          </w:p>
        </w:tc>
        <w:tc>
          <w:tcPr>
            <w:tcW w:w="6954" w:type="dxa"/>
            <w:gridSpan w:val="5"/>
          </w:tcPr>
          <w:p w14:paraId="1194A967" w14:textId="77777777" w:rsidR="00552466" w:rsidRPr="00C2587D" w:rsidRDefault="00552466" w:rsidP="00AB7523">
            <w:pPr>
              <w:spacing w:before="40" w:after="40"/>
              <w:ind w:right="104"/>
              <w:jc w:val="both"/>
              <w:rPr>
                <w:rFonts w:cs="Arial"/>
                <w:szCs w:val="22"/>
                <w:lang w:eastAsia="it-IT"/>
              </w:rPr>
            </w:pPr>
            <w:r w:rsidRPr="00C2587D">
              <w:rPr>
                <w:rFonts w:cs="Arial"/>
                <w:szCs w:val="22"/>
                <w:lang w:eastAsia="it-IT"/>
              </w:rPr>
              <w:t>Пилявець Руслан Євгенович</w:t>
            </w:r>
          </w:p>
        </w:tc>
      </w:tr>
      <w:tr w:rsidR="00552466" w:rsidRPr="00C2587D" w14:paraId="199F82F2" w14:textId="77777777" w:rsidTr="00D7011A">
        <w:trPr>
          <w:jc w:val="right"/>
        </w:trPr>
        <w:tc>
          <w:tcPr>
            <w:tcW w:w="3425" w:type="dxa"/>
          </w:tcPr>
          <w:p w14:paraId="459B1D41" w14:textId="77777777" w:rsidR="00552466" w:rsidRPr="00C2587D" w:rsidRDefault="00552466" w:rsidP="00D7011A">
            <w:pPr>
              <w:spacing w:before="40" w:after="40"/>
              <w:rPr>
                <w:rFonts w:cs="Arial"/>
                <w:b/>
                <w:bCs/>
                <w:szCs w:val="22"/>
              </w:rPr>
            </w:pPr>
            <w:r w:rsidRPr="00C2587D">
              <w:rPr>
                <w:rFonts w:cs="Arial"/>
                <w:szCs w:val="22"/>
                <w:lang w:eastAsia="it-IT"/>
              </w:rPr>
              <w:t>Телефон (мобільний):</w:t>
            </w:r>
          </w:p>
        </w:tc>
        <w:tc>
          <w:tcPr>
            <w:tcW w:w="6954" w:type="dxa"/>
            <w:gridSpan w:val="5"/>
          </w:tcPr>
          <w:p w14:paraId="6ABE17AF" w14:textId="77777777" w:rsidR="00552466" w:rsidRPr="00C2587D" w:rsidRDefault="00552466" w:rsidP="00AB7523">
            <w:pPr>
              <w:spacing w:before="40" w:after="40"/>
              <w:ind w:right="104"/>
              <w:jc w:val="both"/>
              <w:rPr>
                <w:rFonts w:cs="Arial"/>
                <w:szCs w:val="22"/>
                <w:lang w:eastAsia="it-IT"/>
              </w:rPr>
            </w:pPr>
            <w:r w:rsidRPr="00C2587D">
              <w:rPr>
                <w:rFonts w:cs="Arial"/>
                <w:szCs w:val="22"/>
                <w:lang w:eastAsia="it-IT"/>
              </w:rPr>
              <w:t>067-580-45-91</w:t>
            </w:r>
          </w:p>
        </w:tc>
      </w:tr>
      <w:tr w:rsidR="00552466" w:rsidRPr="00C2587D" w14:paraId="65990B3A" w14:textId="77777777" w:rsidTr="00D7011A">
        <w:trPr>
          <w:jc w:val="right"/>
        </w:trPr>
        <w:tc>
          <w:tcPr>
            <w:tcW w:w="3425" w:type="dxa"/>
          </w:tcPr>
          <w:p w14:paraId="176F46BF" w14:textId="77777777" w:rsidR="00552466" w:rsidRPr="00C2587D" w:rsidRDefault="00552466" w:rsidP="00D7011A">
            <w:pPr>
              <w:spacing w:before="40" w:after="40"/>
              <w:rPr>
                <w:rFonts w:cs="Arial"/>
                <w:b/>
                <w:bCs/>
                <w:szCs w:val="22"/>
              </w:rPr>
            </w:pPr>
            <w:r w:rsidRPr="00C2587D">
              <w:rPr>
                <w:rFonts w:cs="Arial"/>
                <w:szCs w:val="22"/>
                <w:lang w:eastAsia="it-IT"/>
              </w:rPr>
              <w:t>Електронна адреса:</w:t>
            </w:r>
          </w:p>
        </w:tc>
        <w:tc>
          <w:tcPr>
            <w:tcW w:w="6954" w:type="dxa"/>
            <w:gridSpan w:val="5"/>
          </w:tcPr>
          <w:p w14:paraId="22F9D625" w14:textId="5E20135D" w:rsidR="00552466" w:rsidRPr="00C2587D" w:rsidRDefault="00D85FFD" w:rsidP="00AB7523">
            <w:pPr>
              <w:spacing w:before="40" w:after="40"/>
              <w:ind w:right="104"/>
              <w:jc w:val="both"/>
              <w:rPr>
                <w:rFonts w:cs="Arial"/>
                <w:szCs w:val="22"/>
                <w:lang w:eastAsia="it-IT"/>
              </w:rPr>
            </w:pPr>
            <w:hyperlink r:id="rId30" w:history="1">
              <w:r w:rsidR="00AB7523" w:rsidRPr="000A0B5C">
                <w:rPr>
                  <w:rStyle w:val="af0"/>
                  <w:rFonts w:cs="Arial"/>
                  <w:noProof w:val="0"/>
                  <w:sz w:val="22"/>
                  <w:szCs w:val="22"/>
                  <w:lang w:eastAsia="it-IT"/>
                </w:rPr>
                <w:t>zem@zhmr.gov.ua</w:t>
              </w:r>
            </w:hyperlink>
            <w:r w:rsidR="00AB7523">
              <w:rPr>
                <w:rFonts w:cs="Arial"/>
                <w:szCs w:val="22"/>
                <w:lang w:eastAsia="it-IT"/>
              </w:rPr>
              <w:t xml:space="preserve"> </w:t>
            </w:r>
          </w:p>
        </w:tc>
      </w:tr>
      <w:tr w:rsidR="00552466" w:rsidRPr="00C2587D" w14:paraId="47629AEB" w14:textId="77777777" w:rsidTr="00D7011A">
        <w:trPr>
          <w:trHeight w:val="1440"/>
          <w:jc w:val="right"/>
        </w:trPr>
        <w:tc>
          <w:tcPr>
            <w:tcW w:w="3425" w:type="dxa"/>
            <w:vAlign w:val="center"/>
          </w:tcPr>
          <w:p w14:paraId="3B509C58" w14:textId="5A8C5CE1" w:rsidR="00552466" w:rsidRPr="00C2587D" w:rsidRDefault="00552466" w:rsidP="00D7011A">
            <w:pPr>
              <w:pStyle w:val="6"/>
              <w:spacing w:before="0" w:after="0"/>
              <w:rPr>
                <w:rFonts w:ascii="Arial" w:hAnsi="Arial" w:cs="Arial"/>
                <w:color w:val="000000"/>
                <w:lang w:val="uk-UA"/>
              </w:rPr>
            </w:pPr>
            <w:r w:rsidRPr="00C2587D">
              <w:rPr>
                <w:rFonts w:ascii="Arial" w:hAnsi="Arial" w:cs="Arial"/>
                <w:color w:val="000000"/>
                <w:lang w:val="uk-UA"/>
              </w:rPr>
              <w:t>Номер і назва завдання з Стратегії</w:t>
            </w:r>
            <w:r w:rsidRPr="00C2587D">
              <w:rPr>
                <w:rFonts w:ascii="Arial" w:hAnsi="Arial" w:cs="Arial"/>
                <w:lang w:val="uk-UA" w:eastAsia="it-IT"/>
              </w:rPr>
              <w:t xml:space="preserve"> </w:t>
            </w:r>
            <w:r w:rsidRPr="00C2587D">
              <w:rPr>
                <w:rFonts w:ascii="Arial" w:hAnsi="Arial" w:cs="Arial"/>
                <w:color w:val="000000"/>
                <w:lang w:val="uk-UA"/>
              </w:rPr>
              <w:t>розвитку Жмеринської міської територіальної</w:t>
            </w:r>
            <w:r w:rsidR="00DD16C1">
              <w:rPr>
                <w:rFonts w:ascii="Arial" w:hAnsi="Arial" w:cs="Arial"/>
                <w:color w:val="000000"/>
                <w:lang w:val="uk-UA"/>
              </w:rPr>
              <w:t xml:space="preserve"> громади,  якому відповідає проє</w:t>
            </w:r>
            <w:r w:rsidRPr="00C2587D">
              <w:rPr>
                <w:rFonts w:ascii="Arial" w:hAnsi="Arial" w:cs="Arial"/>
                <w:color w:val="000000"/>
                <w:lang w:val="uk-UA"/>
              </w:rPr>
              <w:t>кт:</w:t>
            </w:r>
          </w:p>
        </w:tc>
        <w:tc>
          <w:tcPr>
            <w:tcW w:w="6954" w:type="dxa"/>
            <w:gridSpan w:val="5"/>
          </w:tcPr>
          <w:p w14:paraId="1E8AA181" w14:textId="77777777" w:rsidR="00552466" w:rsidRPr="00C2587D" w:rsidRDefault="00552466" w:rsidP="00AB7523">
            <w:pPr>
              <w:pBdr>
                <w:left w:val="single" w:sz="18" w:space="4" w:color="auto"/>
              </w:pBdr>
              <w:spacing w:before="40" w:after="40"/>
              <w:ind w:right="104"/>
              <w:jc w:val="both"/>
              <w:rPr>
                <w:rFonts w:cs="Arial"/>
                <w:szCs w:val="22"/>
                <w:lang w:eastAsia="it-IT"/>
              </w:rPr>
            </w:pPr>
            <w:r w:rsidRPr="00C2587D">
              <w:rPr>
                <w:rFonts w:cs="Arial"/>
                <w:szCs w:val="22"/>
              </w:rPr>
              <w:t xml:space="preserve">А.2.3. Підтримка раціонального використання земельних ресурсів та водного фонду для фінансової стабільності громади </w:t>
            </w:r>
          </w:p>
        </w:tc>
      </w:tr>
      <w:tr w:rsidR="00552466" w:rsidRPr="00C2587D" w14:paraId="7EBB75FE" w14:textId="77777777" w:rsidTr="00D7011A">
        <w:trPr>
          <w:trHeight w:val="1050"/>
          <w:jc w:val="right"/>
        </w:trPr>
        <w:tc>
          <w:tcPr>
            <w:tcW w:w="3425" w:type="dxa"/>
            <w:vAlign w:val="center"/>
          </w:tcPr>
          <w:p w14:paraId="2CDE0708" w14:textId="77777777" w:rsidR="00552466" w:rsidRPr="00C2587D" w:rsidRDefault="00552466" w:rsidP="00D7011A">
            <w:pPr>
              <w:rPr>
                <w:rFonts w:cs="Arial"/>
                <w:b/>
                <w:szCs w:val="22"/>
                <w:lang w:eastAsia="en-US"/>
              </w:rPr>
            </w:pPr>
            <w:r w:rsidRPr="00C2587D">
              <w:rPr>
                <w:rFonts w:cs="Arial"/>
                <w:b/>
                <w:szCs w:val="22"/>
                <w:lang w:eastAsia="en-US"/>
              </w:rPr>
              <w:t>Мета проєкту:</w:t>
            </w:r>
          </w:p>
          <w:p w14:paraId="5CC099B1" w14:textId="77777777" w:rsidR="00552466" w:rsidRPr="00C2587D" w:rsidRDefault="00552466" w:rsidP="00D7011A">
            <w:pPr>
              <w:rPr>
                <w:rFonts w:cs="Arial"/>
                <w:color w:val="000000"/>
                <w:szCs w:val="22"/>
              </w:rPr>
            </w:pPr>
          </w:p>
        </w:tc>
        <w:tc>
          <w:tcPr>
            <w:tcW w:w="6954" w:type="dxa"/>
            <w:gridSpan w:val="5"/>
          </w:tcPr>
          <w:p w14:paraId="63D508B2" w14:textId="77777777" w:rsidR="00552466" w:rsidRPr="00C2587D" w:rsidRDefault="00552466" w:rsidP="00AB7523">
            <w:pPr>
              <w:pStyle w:val="ad"/>
              <w:ind w:right="104"/>
              <w:jc w:val="both"/>
              <w:rPr>
                <w:rFonts w:cs="Arial"/>
                <w:szCs w:val="22"/>
              </w:rPr>
            </w:pPr>
            <w:r w:rsidRPr="00C2587D">
              <w:rPr>
                <w:rFonts w:cs="Arial"/>
                <w:szCs w:val="22"/>
              </w:rPr>
              <w:t xml:space="preserve">Визначення розміру нормативної грошової оцінки земельних ділянок для встановлення об'єктивної бази оподаткування, визначення розміру плати за землю, оформлення прав на земельні ділянки, укладення договорів оренди землі, а також для забезпечення справедливого та ефективного використання земельних ресурсів </w:t>
            </w:r>
          </w:p>
        </w:tc>
      </w:tr>
      <w:tr w:rsidR="00552466" w:rsidRPr="00C2587D" w14:paraId="28534037" w14:textId="77777777" w:rsidTr="00D7011A">
        <w:trPr>
          <w:jc w:val="right"/>
        </w:trPr>
        <w:tc>
          <w:tcPr>
            <w:tcW w:w="3425" w:type="dxa"/>
            <w:vAlign w:val="center"/>
          </w:tcPr>
          <w:p w14:paraId="78AA8F99" w14:textId="41775FA5" w:rsidR="00552466" w:rsidRPr="00C2587D" w:rsidRDefault="00DD16C1" w:rsidP="00D7011A">
            <w:pPr>
              <w:rPr>
                <w:rFonts w:cs="Arial"/>
                <w:b/>
                <w:bCs/>
                <w:color w:val="000000"/>
                <w:szCs w:val="22"/>
              </w:rPr>
            </w:pPr>
            <w:r>
              <w:rPr>
                <w:rFonts w:cs="Arial"/>
                <w:b/>
                <w:bCs/>
                <w:color w:val="000000"/>
                <w:szCs w:val="22"/>
              </w:rPr>
              <w:t>Цілі проє</w:t>
            </w:r>
            <w:r w:rsidR="00552466" w:rsidRPr="00C2587D">
              <w:rPr>
                <w:rFonts w:cs="Arial"/>
                <w:b/>
                <w:bCs/>
                <w:color w:val="000000"/>
                <w:szCs w:val="22"/>
              </w:rPr>
              <w:t>кту:</w:t>
            </w:r>
          </w:p>
        </w:tc>
        <w:tc>
          <w:tcPr>
            <w:tcW w:w="6954" w:type="dxa"/>
            <w:gridSpan w:val="5"/>
          </w:tcPr>
          <w:p w14:paraId="4253EA60" w14:textId="77777777" w:rsidR="00552466" w:rsidRPr="00C2587D" w:rsidRDefault="00552466" w:rsidP="00AB7523">
            <w:pPr>
              <w:ind w:right="104"/>
              <w:jc w:val="both"/>
              <w:rPr>
                <w:rFonts w:cs="Arial"/>
                <w:szCs w:val="22"/>
                <w:lang w:eastAsia="en-US"/>
              </w:rPr>
            </w:pPr>
            <w:r w:rsidRPr="00C2587D">
              <w:rPr>
                <w:rFonts w:cs="Arial"/>
                <w:szCs w:val="22"/>
              </w:rPr>
              <w:t>Наповнення бюджету Жмеринської міської територіальної громади шляхом  збільшення нормативної грошової оцінки земельних ділянок несільськогосподарського призначення комунальної власності</w:t>
            </w:r>
          </w:p>
        </w:tc>
      </w:tr>
      <w:tr w:rsidR="00552466" w:rsidRPr="00C2587D" w14:paraId="2F97B13B" w14:textId="77777777" w:rsidTr="00D7011A">
        <w:trPr>
          <w:jc w:val="right"/>
        </w:trPr>
        <w:tc>
          <w:tcPr>
            <w:tcW w:w="3425" w:type="dxa"/>
            <w:vAlign w:val="center"/>
          </w:tcPr>
          <w:p w14:paraId="1CD34191" w14:textId="697AFB92" w:rsidR="00552466" w:rsidRPr="00C2587D" w:rsidRDefault="00FC1AE5" w:rsidP="00D7011A">
            <w:pPr>
              <w:autoSpaceDE w:val="0"/>
              <w:autoSpaceDN w:val="0"/>
              <w:adjustRightInd w:val="0"/>
              <w:rPr>
                <w:rFonts w:cs="Arial"/>
                <w:b/>
                <w:color w:val="000000"/>
                <w:szCs w:val="22"/>
              </w:rPr>
            </w:pPr>
            <w:r>
              <w:rPr>
                <w:rFonts w:cs="Arial"/>
                <w:b/>
                <w:color w:val="000000"/>
                <w:szCs w:val="22"/>
              </w:rPr>
              <w:t>Територія на яку проє</w:t>
            </w:r>
            <w:r w:rsidR="00552466" w:rsidRPr="00C2587D">
              <w:rPr>
                <w:rFonts w:cs="Arial"/>
                <w:b/>
                <w:color w:val="000000"/>
                <w:szCs w:val="22"/>
              </w:rPr>
              <w:t>кт матиме вплив:</w:t>
            </w:r>
          </w:p>
        </w:tc>
        <w:tc>
          <w:tcPr>
            <w:tcW w:w="6954" w:type="dxa"/>
            <w:gridSpan w:val="5"/>
          </w:tcPr>
          <w:p w14:paraId="6F872B5E" w14:textId="77777777" w:rsidR="00552466" w:rsidRPr="00C2587D" w:rsidRDefault="00552466" w:rsidP="00AB7523">
            <w:pPr>
              <w:spacing w:before="40" w:after="40"/>
              <w:ind w:right="104"/>
              <w:jc w:val="both"/>
              <w:rPr>
                <w:rFonts w:cs="Arial"/>
                <w:szCs w:val="22"/>
                <w:lang w:eastAsia="it-IT"/>
              </w:rPr>
            </w:pPr>
            <w:r w:rsidRPr="00C2587D">
              <w:rPr>
                <w:rFonts w:cs="Arial"/>
                <w:szCs w:val="22"/>
                <w:lang w:eastAsia="it-IT"/>
              </w:rPr>
              <w:t>Жмеринська МТГ</w:t>
            </w:r>
          </w:p>
        </w:tc>
      </w:tr>
      <w:tr w:rsidR="00552466" w:rsidRPr="00C2587D" w14:paraId="459ADB35" w14:textId="77777777" w:rsidTr="00D7011A">
        <w:trPr>
          <w:jc w:val="right"/>
        </w:trPr>
        <w:tc>
          <w:tcPr>
            <w:tcW w:w="3425" w:type="dxa"/>
            <w:vAlign w:val="center"/>
          </w:tcPr>
          <w:p w14:paraId="6976F67A" w14:textId="77777777" w:rsidR="00552466" w:rsidRPr="00C2587D" w:rsidRDefault="00552466" w:rsidP="00D7011A">
            <w:pPr>
              <w:autoSpaceDE w:val="0"/>
              <w:autoSpaceDN w:val="0"/>
              <w:adjustRightInd w:val="0"/>
              <w:rPr>
                <w:rFonts w:cs="Arial"/>
                <w:b/>
                <w:color w:val="000000"/>
                <w:szCs w:val="22"/>
              </w:rPr>
            </w:pPr>
            <w:r w:rsidRPr="00C2587D">
              <w:rPr>
                <w:rFonts w:cs="Arial"/>
                <w:b/>
                <w:color w:val="000000"/>
                <w:szCs w:val="22"/>
              </w:rPr>
              <w:t>Цільові групи проєкту та  кількість отримувачів вигоди</w:t>
            </w:r>
          </w:p>
        </w:tc>
        <w:tc>
          <w:tcPr>
            <w:tcW w:w="6954" w:type="dxa"/>
            <w:gridSpan w:val="5"/>
          </w:tcPr>
          <w:p w14:paraId="13DAA28E" w14:textId="77777777" w:rsidR="00552466" w:rsidRPr="00C2587D" w:rsidRDefault="00552466" w:rsidP="00AB7523">
            <w:pPr>
              <w:spacing w:before="40" w:after="40"/>
              <w:ind w:right="104"/>
              <w:jc w:val="both"/>
              <w:rPr>
                <w:rFonts w:cs="Arial"/>
                <w:szCs w:val="22"/>
                <w:lang w:eastAsia="it-IT"/>
              </w:rPr>
            </w:pPr>
            <w:r w:rsidRPr="00C2587D">
              <w:rPr>
                <w:rFonts w:cs="Arial"/>
                <w:szCs w:val="22"/>
                <w:lang w:eastAsia="it-IT"/>
              </w:rPr>
              <w:t>49 474  жителів громади</w:t>
            </w:r>
          </w:p>
        </w:tc>
      </w:tr>
      <w:tr w:rsidR="00552466" w:rsidRPr="00C2587D" w14:paraId="1349958B" w14:textId="77777777" w:rsidTr="00D7011A">
        <w:trPr>
          <w:jc w:val="right"/>
        </w:trPr>
        <w:tc>
          <w:tcPr>
            <w:tcW w:w="3425" w:type="dxa"/>
            <w:shd w:val="clear" w:color="auto" w:fill="FFFFFF"/>
            <w:vAlign w:val="center"/>
          </w:tcPr>
          <w:p w14:paraId="60D84DE1" w14:textId="057352CB" w:rsidR="00552466" w:rsidRPr="00C2587D" w:rsidRDefault="00FC1AE5" w:rsidP="00D7011A">
            <w:pPr>
              <w:rPr>
                <w:rFonts w:cs="Arial"/>
                <w:b/>
                <w:bCs/>
                <w:color w:val="000000"/>
                <w:szCs w:val="22"/>
              </w:rPr>
            </w:pPr>
            <w:r>
              <w:rPr>
                <w:rFonts w:cs="Arial"/>
                <w:b/>
                <w:bCs/>
                <w:color w:val="000000"/>
                <w:szCs w:val="22"/>
              </w:rPr>
              <w:t>Стислий опис проє</w:t>
            </w:r>
            <w:r w:rsidR="00552466" w:rsidRPr="00C2587D">
              <w:rPr>
                <w:rFonts w:cs="Arial"/>
                <w:b/>
                <w:bCs/>
                <w:color w:val="000000"/>
                <w:szCs w:val="22"/>
              </w:rPr>
              <w:t>кту:</w:t>
            </w:r>
          </w:p>
        </w:tc>
        <w:tc>
          <w:tcPr>
            <w:tcW w:w="6954" w:type="dxa"/>
            <w:gridSpan w:val="5"/>
          </w:tcPr>
          <w:p w14:paraId="65309178" w14:textId="34A60553" w:rsidR="00552466" w:rsidRPr="00C2587D" w:rsidRDefault="00552466" w:rsidP="00B7349E">
            <w:pPr>
              <w:ind w:right="104"/>
              <w:jc w:val="both"/>
              <w:rPr>
                <w:rFonts w:cs="Arial"/>
                <w:szCs w:val="22"/>
              </w:rPr>
            </w:pPr>
            <w:r w:rsidRPr="00C2587D">
              <w:rPr>
                <w:rFonts w:cs="Arial"/>
                <w:szCs w:val="22"/>
              </w:rPr>
              <w:t>Проведення робіт по 27 населених пунктах Жмеринської міської територіальної громади з замовлення нормативної грошової оц</w:t>
            </w:r>
            <w:r w:rsidR="00FC1AE5">
              <w:rPr>
                <w:rFonts w:cs="Arial"/>
                <w:szCs w:val="22"/>
              </w:rPr>
              <w:t xml:space="preserve">інки  земельних   ділянок, що </w:t>
            </w:r>
            <w:r w:rsidR="00B7349E">
              <w:rPr>
                <w:rFonts w:cs="Arial"/>
                <w:szCs w:val="22"/>
              </w:rPr>
              <w:t>дасть змогу</w:t>
            </w:r>
            <w:r w:rsidRPr="00C2587D">
              <w:rPr>
                <w:rFonts w:cs="Arial"/>
                <w:szCs w:val="22"/>
              </w:rPr>
              <w:t xml:space="preserve"> визначити  розмір земельного податку, державного мита при обміні, успадкуванні та даруванні земельних ділянок, орендної плати за земельні ділянки комунальної власності</w:t>
            </w:r>
          </w:p>
        </w:tc>
      </w:tr>
      <w:tr w:rsidR="00552466" w:rsidRPr="00C2587D" w14:paraId="7A68FB69" w14:textId="77777777" w:rsidTr="00D7011A">
        <w:trPr>
          <w:trHeight w:val="56"/>
          <w:jc w:val="right"/>
        </w:trPr>
        <w:tc>
          <w:tcPr>
            <w:tcW w:w="3425" w:type="dxa"/>
            <w:shd w:val="clear" w:color="auto" w:fill="FFFFFF"/>
            <w:vAlign w:val="center"/>
          </w:tcPr>
          <w:p w14:paraId="08FAAD06" w14:textId="77777777" w:rsidR="00552466" w:rsidRPr="00C2587D" w:rsidRDefault="00552466" w:rsidP="00D7011A">
            <w:pPr>
              <w:rPr>
                <w:rFonts w:cs="Arial"/>
                <w:b/>
                <w:bCs/>
                <w:color w:val="000000"/>
                <w:szCs w:val="22"/>
              </w:rPr>
            </w:pPr>
            <w:r w:rsidRPr="00C2587D">
              <w:rPr>
                <w:rFonts w:cs="Arial"/>
                <w:b/>
                <w:bCs/>
                <w:color w:val="000000"/>
                <w:szCs w:val="22"/>
              </w:rPr>
              <w:t>Основні заходи проєкту:</w:t>
            </w:r>
          </w:p>
          <w:p w14:paraId="13CC6326" w14:textId="77777777" w:rsidR="00552466" w:rsidRPr="00C2587D" w:rsidRDefault="00552466" w:rsidP="00D7011A">
            <w:pPr>
              <w:rPr>
                <w:rFonts w:cs="Arial"/>
                <w:b/>
                <w:bCs/>
                <w:color w:val="000000"/>
                <w:szCs w:val="22"/>
              </w:rPr>
            </w:pPr>
          </w:p>
        </w:tc>
        <w:tc>
          <w:tcPr>
            <w:tcW w:w="6954" w:type="dxa"/>
            <w:gridSpan w:val="5"/>
            <w:shd w:val="clear" w:color="auto" w:fill="FFFFFF"/>
          </w:tcPr>
          <w:p w14:paraId="2304637A" w14:textId="4668040A" w:rsidR="00552466" w:rsidRPr="00C2587D" w:rsidRDefault="00552466" w:rsidP="00AB7523">
            <w:pPr>
              <w:spacing w:before="40" w:after="40"/>
              <w:ind w:right="104"/>
              <w:jc w:val="both"/>
              <w:rPr>
                <w:rFonts w:cs="Arial"/>
                <w:szCs w:val="22"/>
              </w:rPr>
            </w:pPr>
            <w:r w:rsidRPr="00C2587D">
              <w:rPr>
                <w:rFonts w:cs="Arial"/>
                <w:szCs w:val="22"/>
                <w:lang w:eastAsia="it-IT"/>
              </w:rPr>
              <w:t>З</w:t>
            </w:r>
            <w:r w:rsidRPr="00C2587D">
              <w:rPr>
                <w:rFonts w:cs="Arial"/>
                <w:szCs w:val="22"/>
              </w:rPr>
              <w:t>амовлення технічної документації з нормативної грошової оцінки земель населеного пункту по наступних селах:  с. Жуківці, с. Петрівка, с. Сідава, с. Щучинці, с. Ярошенка, с. Рів</w:t>
            </w:r>
            <w:r w:rsidRPr="00C2587D">
              <w:rPr>
                <w:rFonts w:cs="Arial"/>
                <w:b/>
                <w:szCs w:val="22"/>
              </w:rPr>
              <w:t xml:space="preserve">, </w:t>
            </w:r>
            <w:r w:rsidRPr="00C2587D">
              <w:rPr>
                <w:rFonts w:cs="Arial"/>
                <w:szCs w:val="22"/>
              </w:rPr>
              <w:t>с. Межирів, с. Леляки, с. Подільське, с. Тартак, с. Мала Жмеринка,  сел. Браїлів, с. Сьомаки, с. Біликівці, с. Лопатинці, с. Мартинівка, с. Дубова, с. Кармалюкове, с. Майдан – Головчинський, с. Петрані, с. Курилівці, с. Новоселиця, с. Василівка, с. Лисогірка, с. Почапинці, с. Зоринці, с. Слобода</w:t>
            </w:r>
            <w:r w:rsidR="00AB7523">
              <w:rPr>
                <w:rFonts w:cs="Arial"/>
                <w:szCs w:val="22"/>
              </w:rPr>
              <w:t>.</w:t>
            </w:r>
          </w:p>
        </w:tc>
      </w:tr>
      <w:tr w:rsidR="00552466" w:rsidRPr="00C2587D" w14:paraId="615840C6" w14:textId="77777777" w:rsidTr="00D7011A">
        <w:trPr>
          <w:jc w:val="right"/>
        </w:trPr>
        <w:tc>
          <w:tcPr>
            <w:tcW w:w="3425" w:type="dxa"/>
            <w:shd w:val="clear" w:color="auto" w:fill="FFFFFF"/>
            <w:vAlign w:val="center"/>
          </w:tcPr>
          <w:p w14:paraId="2881DEE9" w14:textId="77777777" w:rsidR="00552466" w:rsidRPr="00C2587D" w:rsidRDefault="00552466" w:rsidP="00D7011A">
            <w:pPr>
              <w:rPr>
                <w:rFonts w:cs="Arial"/>
                <w:b/>
                <w:bCs/>
                <w:color w:val="000000"/>
                <w:szCs w:val="22"/>
              </w:rPr>
            </w:pPr>
            <w:r w:rsidRPr="00C2587D">
              <w:rPr>
                <w:rFonts w:cs="Arial"/>
                <w:b/>
                <w:bCs/>
                <w:color w:val="000000"/>
                <w:szCs w:val="22"/>
              </w:rPr>
              <w:t>Індикатори (показники) результативності:</w:t>
            </w:r>
          </w:p>
        </w:tc>
        <w:tc>
          <w:tcPr>
            <w:tcW w:w="6954" w:type="dxa"/>
            <w:gridSpan w:val="5"/>
            <w:shd w:val="clear" w:color="auto" w:fill="FFFFFF"/>
          </w:tcPr>
          <w:p w14:paraId="19515C8D" w14:textId="77777777" w:rsidR="00552466" w:rsidRPr="00C2587D" w:rsidRDefault="00552466" w:rsidP="00AB7523">
            <w:pPr>
              <w:spacing w:before="40" w:after="40"/>
              <w:ind w:right="104"/>
              <w:jc w:val="both"/>
              <w:rPr>
                <w:rFonts w:cs="Arial"/>
                <w:szCs w:val="22"/>
              </w:rPr>
            </w:pPr>
            <w:r w:rsidRPr="00C2587D">
              <w:rPr>
                <w:rFonts w:cs="Arial"/>
                <w:szCs w:val="22"/>
              </w:rPr>
              <w:t>Проведення нормативної грошової оцінки по 27 населених пунктах Жмеринської міської територіальної громади, що сприятиме збільшенню надходжень до місцевих бюджетів від земельного податку, орендної плати, державного мита при обміні, успадкуванні та даруванні земельних ділянок</w:t>
            </w:r>
          </w:p>
        </w:tc>
      </w:tr>
      <w:tr w:rsidR="00552466" w:rsidRPr="00C2587D" w14:paraId="6A47A74C" w14:textId="77777777" w:rsidTr="00D7011A">
        <w:trPr>
          <w:jc w:val="right"/>
        </w:trPr>
        <w:tc>
          <w:tcPr>
            <w:tcW w:w="3425" w:type="dxa"/>
            <w:shd w:val="clear" w:color="auto" w:fill="FFFFFF"/>
            <w:vAlign w:val="center"/>
          </w:tcPr>
          <w:p w14:paraId="11B9C493" w14:textId="77777777" w:rsidR="00552466" w:rsidRPr="00C2587D" w:rsidRDefault="00552466" w:rsidP="00D7011A">
            <w:pPr>
              <w:rPr>
                <w:rFonts w:cs="Arial"/>
                <w:b/>
                <w:color w:val="000000"/>
                <w:szCs w:val="22"/>
              </w:rPr>
            </w:pPr>
            <w:r w:rsidRPr="00C2587D">
              <w:rPr>
                <w:rFonts w:cs="Arial"/>
                <w:b/>
                <w:color w:val="000000"/>
                <w:szCs w:val="22"/>
              </w:rPr>
              <w:t xml:space="preserve">Період здійснення: </w:t>
            </w:r>
          </w:p>
        </w:tc>
        <w:tc>
          <w:tcPr>
            <w:tcW w:w="6954" w:type="dxa"/>
            <w:gridSpan w:val="5"/>
            <w:vAlign w:val="center"/>
          </w:tcPr>
          <w:p w14:paraId="1EB6EA4F" w14:textId="77777777" w:rsidR="00552466" w:rsidRPr="00C2587D" w:rsidRDefault="00552466" w:rsidP="00AB7523">
            <w:pPr>
              <w:ind w:right="104"/>
              <w:jc w:val="both"/>
              <w:rPr>
                <w:rFonts w:cs="Arial"/>
                <w:color w:val="000000"/>
                <w:szCs w:val="22"/>
                <w:lang w:eastAsia="it-IT"/>
              </w:rPr>
            </w:pPr>
            <w:r w:rsidRPr="00C2587D">
              <w:rPr>
                <w:rFonts w:cs="Arial"/>
                <w:b/>
                <w:color w:val="000000"/>
                <w:szCs w:val="22"/>
              </w:rPr>
              <w:t>2025 – 2028 роки:</w:t>
            </w:r>
          </w:p>
        </w:tc>
      </w:tr>
      <w:tr w:rsidR="00552466" w:rsidRPr="00C2587D" w14:paraId="34F2248B" w14:textId="77777777" w:rsidTr="00D7011A">
        <w:trPr>
          <w:jc w:val="right"/>
        </w:trPr>
        <w:tc>
          <w:tcPr>
            <w:tcW w:w="3425" w:type="dxa"/>
            <w:vMerge w:val="restart"/>
            <w:shd w:val="clear" w:color="auto" w:fill="FFFFFF"/>
            <w:vAlign w:val="center"/>
          </w:tcPr>
          <w:p w14:paraId="59E9FD34" w14:textId="77777777" w:rsidR="00552466" w:rsidRPr="00C2587D" w:rsidRDefault="00552466" w:rsidP="00D7011A">
            <w:pPr>
              <w:rPr>
                <w:rFonts w:cs="Arial"/>
                <w:b/>
                <w:bCs/>
                <w:color w:val="000000"/>
                <w:szCs w:val="22"/>
              </w:rPr>
            </w:pPr>
            <w:r w:rsidRPr="00C2587D">
              <w:rPr>
                <w:rFonts w:cs="Arial"/>
                <w:b/>
                <w:bCs/>
                <w:color w:val="000000"/>
                <w:szCs w:val="22"/>
              </w:rPr>
              <w:t>Орієнтовна вартість проєкту, тис. грн., в тому числі:</w:t>
            </w:r>
          </w:p>
        </w:tc>
        <w:tc>
          <w:tcPr>
            <w:tcW w:w="1254" w:type="dxa"/>
            <w:shd w:val="clear" w:color="auto" w:fill="E6E6E6"/>
            <w:vAlign w:val="center"/>
          </w:tcPr>
          <w:p w14:paraId="00A391A1" w14:textId="77777777" w:rsidR="00552466" w:rsidRPr="00C2587D" w:rsidRDefault="00552466" w:rsidP="00AB7523">
            <w:pPr>
              <w:ind w:right="104"/>
              <w:jc w:val="center"/>
              <w:rPr>
                <w:rFonts w:cs="Arial"/>
                <w:b/>
                <w:color w:val="000000"/>
                <w:szCs w:val="22"/>
                <w:lang w:eastAsia="it-IT"/>
              </w:rPr>
            </w:pPr>
            <w:r w:rsidRPr="00C2587D">
              <w:rPr>
                <w:rFonts w:cs="Arial"/>
                <w:b/>
                <w:color w:val="000000"/>
                <w:szCs w:val="22"/>
                <w:lang w:eastAsia="it-IT"/>
              </w:rPr>
              <w:t>2025</w:t>
            </w:r>
          </w:p>
        </w:tc>
        <w:tc>
          <w:tcPr>
            <w:tcW w:w="1417" w:type="dxa"/>
            <w:shd w:val="clear" w:color="auto" w:fill="E6E6E6"/>
            <w:vAlign w:val="center"/>
          </w:tcPr>
          <w:p w14:paraId="1E1689E2" w14:textId="77777777" w:rsidR="00552466" w:rsidRPr="00C2587D" w:rsidRDefault="00552466" w:rsidP="00AB7523">
            <w:pPr>
              <w:ind w:right="104"/>
              <w:jc w:val="center"/>
              <w:rPr>
                <w:rFonts w:cs="Arial"/>
                <w:b/>
                <w:color w:val="000000"/>
                <w:szCs w:val="22"/>
                <w:lang w:eastAsia="it-IT"/>
              </w:rPr>
            </w:pPr>
            <w:r w:rsidRPr="00C2587D">
              <w:rPr>
                <w:rFonts w:cs="Arial"/>
                <w:b/>
                <w:color w:val="000000"/>
                <w:szCs w:val="22"/>
                <w:lang w:eastAsia="it-IT"/>
              </w:rPr>
              <w:t>2026</w:t>
            </w:r>
          </w:p>
        </w:tc>
        <w:tc>
          <w:tcPr>
            <w:tcW w:w="1418" w:type="dxa"/>
            <w:tcBorders>
              <w:bottom w:val="single" w:sz="4" w:space="0" w:color="auto"/>
            </w:tcBorders>
            <w:shd w:val="clear" w:color="auto" w:fill="E6E6E6"/>
            <w:vAlign w:val="center"/>
          </w:tcPr>
          <w:p w14:paraId="61B46603" w14:textId="77777777" w:rsidR="00552466" w:rsidRPr="00C2587D" w:rsidRDefault="00552466" w:rsidP="00AB7523">
            <w:pPr>
              <w:ind w:right="104"/>
              <w:jc w:val="center"/>
              <w:rPr>
                <w:rFonts w:cs="Arial"/>
                <w:b/>
                <w:color w:val="000000"/>
                <w:szCs w:val="22"/>
                <w:lang w:eastAsia="it-IT"/>
              </w:rPr>
            </w:pPr>
            <w:r w:rsidRPr="00C2587D">
              <w:rPr>
                <w:rFonts w:cs="Arial"/>
                <w:b/>
                <w:color w:val="000000"/>
                <w:szCs w:val="22"/>
                <w:lang w:eastAsia="it-IT"/>
              </w:rPr>
              <w:t>2027</w:t>
            </w:r>
          </w:p>
        </w:tc>
        <w:tc>
          <w:tcPr>
            <w:tcW w:w="1275" w:type="dxa"/>
            <w:shd w:val="clear" w:color="auto" w:fill="E6E6E6"/>
            <w:vAlign w:val="center"/>
          </w:tcPr>
          <w:p w14:paraId="60BA6E4C" w14:textId="77777777" w:rsidR="00552466" w:rsidRPr="00C2587D" w:rsidRDefault="00552466" w:rsidP="00AB7523">
            <w:pPr>
              <w:ind w:right="104"/>
              <w:jc w:val="center"/>
              <w:rPr>
                <w:rFonts w:cs="Arial"/>
                <w:b/>
                <w:color w:val="000000"/>
                <w:szCs w:val="22"/>
                <w:lang w:eastAsia="it-IT"/>
              </w:rPr>
            </w:pPr>
            <w:r w:rsidRPr="00C2587D">
              <w:rPr>
                <w:rFonts w:cs="Arial"/>
                <w:b/>
                <w:color w:val="000000"/>
                <w:szCs w:val="22"/>
                <w:lang w:eastAsia="it-IT"/>
              </w:rPr>
              <w:t>2028</w:t>
            </w:r>
          </w:p>
        </w:tc>
        <w:tc>
          <w:tcPr>
            <w:tcW w:w="1590" w:type="dxa"/>
            <w:shd w:val="clear" w:color="auto" w:fill="E6E6E6"/>
            <w:vAlign w:val="center"/>
          </w:tcPr>
          <w:p w14:paraId="6B263CAA" w14:textId="77777777" w:rsidR="00552466" w:rsidRPr="00C2587D" w:rsidRDefault="00552466" w:rsidP="00AB7523">
            <w:pPr>
              <w:ind w:right="104"/>
              <w:jc w:val="center"/>
              <w:rPr>
                <w:rFonts w:cs="Arial"/>
                <w:b/>
                <w:color w:val="000000"/>
                <w:szCs w:val="22"/>
                <w:lang w:eastAsia="it-IT"/>
              </w:rPr>
            </w:pPr>
            <w:r w:rsidRPr="00C2587D">
              <w:rPr>
                <w:rFonts w:cs="Arial"/>
                <w:b/>
                <w:color w:val="000000"/>
                <w:szCs w:val="22"/>
                <w:lang w:eastAsia="it-IT"/>
              </w:rPr>
              <w:t>РАЗОМ</w:t>
            </w:r>
          </w:p>
        </w:tc>
      </w:tr>
      <w:tr w:rsidR="00552466" w:rsidRPr="00C2587D" w14:paraId="0C2C510A" w14:textId="77777777" w:rsidTr="00D7011A">
        <w:trPr>
          <w:trHeight w:val="645"/>
          <w:jc w:val="right"/>
        </w:trPr>
        <w:tc>
          <w:tcPr>
            <w:tcW w:w="3425" w:type="dxa"/>
            <w:vMerge/>
            <w:shd w:val="clear" w:color="auto" w:fill="FFFFFF"/>
            <w:vAlign w:val="center"/>
          </w:tcPr>
          <w:p w14:paraId="4870B9CB" w14:textId="77777777" w:rsidR="00552466" w:rsidRPr="00C2587D" w:rsidRDefault="00552466" w:rsidP="00D7011A">
            <w:pPr>
              <w:rPr>
                <w:rFonts w:cs="Arial"/>
                <w:b/>
                <w:bCs/>
                <w:color w:val="000000"/>
                <w:szCs w:val="22"/>
              </w:rPr>
            </w:pPr>
          </w:p>
        </w:tc>
        <w:tc>
          <w:tcPr>
            <w:tcW w:w="1254" w:type="dxa"/>
            <w:vAlign w:val="center"/>
          </w:tcPr>
          <w:p w14:paraId="27947DA9" w14:textId="77777777" w:rsidR="00552466" w:rsidRPr="00C2587D" w:rsidRDefault="00552466" w:rsidP="00AB7523">
            <w:pPr>
              <w:ind w:right="104"/>
              <w:jc w:val="center"/>
              <w:rPr>
                <w:rFonts w:cs="Arial"/>
                <w:szCs w:val="22"/>
                <w:lang w:eastAsia="it-IT"/>
              </w:rPr>
            </w:pPr>
            <w:r w:rsidRPr="00C2587D">
              <w:rPr>
                <w:rFonts w:cs="Arial"/>
                <w:szCs w:val="22"/>
                <w:lang w:eastAsia="it-IT"/>
              </w:rPr>
              <w:t>500,00</w:t>
            </w:r>
          </w:p>
        </w:tc>
        <w:tc>
          <w:tcPr>
            <w:tcW w:w="1417" w:type="dxa"/>
            <w:shd w:val="clear" w:color="auto" w:fill="FFFFFF"/>
            <w:vAlign w:val="center"/>
          </w:tcPr>
          <w:p w14:paraId="06A578DE" w14:textId="77777777" w:rsidR="00552466" w:rsidRPr="00C2587D" w:rsidRDefault="00552466" w:rsidP="00AB7523">
            <w:pPr>
              <w:ind w:right="104"/>
              <w:jc w:val="center"/>
              <w:rPr>
                <w:rFonts w:cs="Arial"/>
                <w:szCs w:val="22"/>
                <w:lang w:eastAsia="it-IT"/>
              </w:rPr>
            </w:pPr>
            <w:r w:rsidRPr="00C2587D">
              <w:rPr>
                <w:rFonts w:cs="Arial"/>
                <w:szCs w:val="22"/>
                <w:lang w:eastAsia="it-IT"/>
              </w:rPr>
              <w:t>300,00</w:t>
            </w:r>
          </w:p>
        </w:tc>
        <w:tc>
          <w:tcPr>
            <w:tcW w:w="1418" w:type="dxa"/>
            <w:shd w:val="clear" w:color="auto" w:fill="auto"/>
            <w:vAlign w:val="center"/>
          </w:tcPr>
          <w:p w14:paraId="151A802B" w14:textId="77777777" w:rsidR="00552466" w:rsidRPr="00C2587D" w:rsidRDefault="00552466" w:rsidP="00AB7523">
            <w:pPr>
              <w:ind w:right="104"/>
              <w:jc w:val="center"/>
              <w:rPr>
                <w:rFonts w:cs="Arial"/>
                <w:szCs w:val="22"/>
                <w:lang w:eastAsia="it-IT"/>
              </w:rPr>
            </w:pPr>
            <w:r w:rsidRPr="00C2587D">
              <w:rPr>
                <w:rFonts w:cs="Arial"/>
                <w:szCs w:val="22"/>
                <w:lang w:eastAsia="it-IT"/>
              </w:rPr>
              <w:t>300,00</w:t>
            </w:r>
          </w:p>
        </w:tc>
        <w:tc>
          <w:tcPr>
            <w:tcW w:w="1275" w:type="dxa"/>
            <w:shd w:val="clear" w:color="auto" w:fill="FFFFFF"/>
            <w:vAlign w:val="center"/>
          </w:tcPr>
          <w:p w14:paraId="34B3A8D8" w14:textId="77777777" w:rsidR="00552466" w:rsidRPr="00C2587D" w:rsidRDefault="00552466" w:rsidP="00AB7523">
            <w:pPr>
              <w:ind w:right="104"/>
              <w:jc w:val="center"/>
              <w:rPr>
                <w:rFonts w:cs="Arial"/>
                <w:szCs w:val="22"/>
                <w:lang w:eastAsia="it-IT"/>
              </w:rPr>
            </w:pPr>
            <w:r w:rsidRPr="00C2587D">
              <w:rPr>
                <w:rFonts w:cs="Arial"/>
                <w:szCs w:val="22"/>
                <w:lang w:eastAsia="it-IT"/>
              </w:rPr>
              <w:t>80,00</w:t>
            </w:r>
          </w:p>
        </w:tc>
        <w:tc>
          <w:tcPr>
            <w:tcW w:w="1590" w:type="dxa"/>
            <w:shd w:val="clear" w:color="auto" w:fill="FFFFFF"/>
            <w:vAlign w:val="center"/>
          </w:tcPr>
          <w:p w14:paraId="6B613B49" w14:textId="77777777" w:rsidR="00552466" w:rsidRPr="00C2587D" w:rsidRDefault="00552466" w:rsidP="00AB7523">
            <w:pPr>
              <w:ind w:right="104"/>
              <w:jc w:val="center"/>
              <w:rPr>
                <w:rFonts w:cs="Arial"/>
                <w:szCs w:val="22"/>
                <w:lang w:eastAsia="it-IT"/>
              </w:rPr>
            </w:pPr>
            <w:r w:rsidRPr="00C2587D">
              <w:rPr>
                <w:rFonts w:cs="Arial"/>
                <w:szCs w:val="22"/>
                <w:lang w:eastAsia="it-IT"/>
              </w:rPr>
              <w:t>1180,00</w:t>
            </w:r>
          </w:p>
        </w:tc>
      </w:tr>
      <w:tr w:rsidR="00552466" w:rsidRPr="00C2587D" w14:paraId="0BB279D0" w14:textId="77777777" w:rsidTr="00D7011A">
        <w:trPr>
          <w:trHeight w:val="276"/>
          <w:jc w:val="right"/>
        </w:trPr>
        <w:tc>
          <w:tcPr>
            <w:tcW w:w="3425" w:type="dxa"/>
            <w:shd w:val="clear" w:color="auto" w:fill="FFFFFF"/>
            <w:vAlign w:val="center"/>
          </w:tcPr>
          <w:p w14:paraId="1B2DA74E" w14:textId="77777777" w:rsidR="00552466" w:rsidRPr="00C2587D" w:rsidRDefault="00552466" w:rsidP="00D7011A">
            <w:pPr>
              <w:rPr>
                <w:rFonts w:cs="Arial"/>
                <w:b/>
                <w:bCs/>
                <w:color w:val="000000"/>
                <w:szCs w:val="22"/>
              </w:rPr>
            </w:pPr>
            <w:r w:rsidRPr="00C2587D">
              <w:rPr>
                <w:rFonts w:cs="Arial"/>
                <w:b/>
                <w:bCs/>
                <w:color w:val="000000"/>
                <w:szCs w:val="22"/>
              </w:rPr>
              <w:t>по джерелах фінансування:</w:t>
            </w:r>
          </w:p>
        </w:tc>
        <w:tc>
          <w:tcPr>
            <w:tcW w:w="1254" w:type="dxa"/>
            <w:vAlign w:val="center"/>
          </w:tcPr>
          <w:p w14:paraId="4178176E" w14:textId="77777777" w:rsidR="00552466" w:rsidRPr="00C2587D" w:rsidRDefault="00552466" w:rsidP="00AB7523">
            <w:pPr>
              <w:ind w:right="104"/>
              <w:jc w:val="center"/>
              <w:rPr>
                <w:rFonts w:cs="Arial"/>
                <w:szCs w:val="22"/>
                <w:lang w:eastAsia="it-IT"/>
              </w:rPr>
            </w:pPr>
          </w:p>
        </w:tc>
        <w:tc>
          <w:tcPr>
            <w:tcW w:w="1417" w:type="dxa"/>
            <w:shd w:val="clear" w:color="auto" w:fill="FFFFFF"/>
            <w:vAlign w:val="center"/>
          </w:tcPr>
          <w:p w14:paraId="3727A45D" w14:textId="77777777" w:rsidR="00552466" w:rsidRPr="00C2587D" w:rsidRDefault="00552466" w:rsidP="00AB7523">
            <w:pPr>
              <w:ind w:right="104"/>
              <w:jc w:val="center"/>
              <w:rPr>
                <w:rFonts w:cs="Arial"/>
                <w:szCs w:val="22"/>
                <w:lang w:eastAsia="it-IT"/>
              </w:rPr>
            </w:pPr>
          </w:p>
        </w:tc>
        <w:tc>
          <w:tcPr>
            <w:tcW w:w="1418" w:type="dxa"/>
            <w:shd w:val="clear" w:color="auto" w:fill="auto"/>
            <w:vAlign w:val="center"/>
          </w:tcPr>
          <w:p w14:paraId="06D94F9E" w14:textId="77777777" w:rsidR="00552466" w:rsidRPr="00C2587D" w:rsidRDefault="00552466" w:rsidP="00AB7523">
            <w:pPr>
              <w:ind w:right="104"/>
              <w:jc w:val="center"/>
              <w:rPr>
                <w:rFonts w:cs="Arial"/>
                <w:szCs w:val="22"/>
                <w:lang w:eastAsia="it-IT"/>
              </w:rPr>
            </w:pPr>
          </w:p>
        </w:tc>
        <w:tc>
          <w:tcPr>
            <w:tcW w:w="1275" w:type="dxa"/>
            <w:shd w:val="clear" w:color="auto" w:fill="FFFFFF"/>
            <w:vAlign w:val="center"/>
          </w:tcPr>
          <w:p w14:paraId="59D00CFB" w14:textId="77777777" w:rsidR="00552466" w:rsidRPr="00C2587D" w:rsidRDefault="00552466" w:rsidP="00AB7523">
            <w:pPr>
              <w:ind w:right="104"/>
              <w:jc w:val="center"/>
              <w:rPr>
                <w:rFonts w:cs="Arial"/>
                <w:szCs w:val="22"/>
                <w:lang w:eastAsia="it-IT"/>
              </w:rPr>
            </w:pPr>
          </w:p>
        </w:tc>
        <w:tc>
          <w:tcPr>
            <w:tcW w:w="1590" w:type="dxa"/>
            <w:shd w:val="clear" w:color="auto" w:fill="FFFFFF"/>
            <w:vAlign w:val="center"/>
          </w:tcPr>
          <w:p w14:paraId="1D8ED5F2" w14:textId="77777777" w:rsidR="00552466" w:rsidRPr="00C2587D" w:rsidRDefault="00552466" w:rsidP="00AB7523">
            <w:pPr>
              <w:ind w:right="104"/>
              <w:jc w:val="center"/>
              <w:rPr>
                <w:rFonts w:cs="Arial"/>
                <w:szCs w:val="22"/>
                <w:lang w:eastAsia="it-IT"/>
              </w:rPr>
            </w:pPr>
          </w:p>
        </w:tc>
      </w:tr>
      <w:tr w:rsidR="00552466" w:rsidRPr="00C2587D" w14:paraId="54278D50" w14:textId="77777777" w:rsidTr="00D7011A">
        <w:trPr>
          <w:trHeight w:val="230"/>
          <w:jc w:val="right"/>
        </w:trPr>
        <w:tc>
          <w:tcPr>
            <w:tcW w:w="3425" w:type="dxa"/>
            <w:shd w:val="clear" w:color="auto" w:fill="FFFFFF"/>
            <w:vAlign w:val="center"/>
          </w:tcPr>
          <w:p w14:paraId="58F7CC52" w14:textId="77777777" w:rsidR="00552466" w:rsidRPr="00C2587D" w:rsidRDefault="00552466" w:rsidP="00D7011A">
            <w:pPr>
              <w:rPr>
                <w:rFonts w:cs="Arial"/>
                <w:bCs/>
                <w:color w:val="000000"/>
                <w:szCs w:val="22"/>
              </w:rPr>
            </w:pPr>
            <w:r w:rsidRPr="00C2587D">
              <w:rPr>
                <w:rFonts w:cs="Arial"/>
                <w:bCs/>
                <w:color w:val="000000"/>
                <w:szCs w:val="22"/>
              </w:rPr>
              <w:t>-державний бюджет</w:t>
            </w:r>
          </w:p>
        </w:tc>
        <w:tc>
          <w:tcPr>
            <w:tcW w:w="1254" w:type="dxa"/>
            <w:vAlign w:val="center"/>
          </w:tcPr>
          <w:p w14:paraId="356642A0" w14:textId="77777777" w:rsidR="00552466" w:rsidRPr="00C2587D" w:rsidRDefault="00552466" w:rsidP="00AB7523">
            <w:pPr>
              <w:ind w:right="104"/>
              <w:jc w:val="center"/>
              <w:rPr>
                <w:rFonts w:cs="Arial"/>
                <w:szCs w:val="22"/>
                <w:lang w:eastAsia="it-IT"/>
              </w:rPr>
            </w:pPr>
          </w:p>
        </w:tc>
        <w:tc>
          <w:tcPr>
            <w:tcW w:w="1417" w:type="dxa"/>
            <w:shd w:val="clear" w:color="auto" w:fill="FFFFFF"/>
            <w:vAlign w:val="center"/>
          </w:tcPr>
          <w:p w14:paraId="2F16CFFD" w14:textId="77777777" w:rsidR="00552466" w:rsidRPr="00C2587D" w:rsidRDefault="00552466" w:rsidP="00AB7523">
            <w:pPr>
              <w:ind w:right="104"/>
              <w:jc w:val="center"/>
              <w:rPr>
                <w:rFonts w:cs="Arial"/>
                <w:szCs w:val="22"/>
                <w:lang w:eastAsia="it-IT"/>
              </w:rPr>
            </w:pPr>
          </w:p>
        </w:tc>
        <w:tc>
          <w:tcPr>
            <w:tcW w:w="1418" w:type="dxa"/>
            <w:shd w:val="clear" w:color="auto" w:fill="auto"/>
            <w:vAlign w:val="center"/>
          </w:tcPr>
          <w:p w14:paraId="1935EAEA" w14:textId="77777777" w:rsidR="00552466" w:rsidRPr="00C2587D" w:rsidRDefault="00552466" w:rsidP="00AB7523">
            <w:pPr>
              <w:ind w:right="104"/>
              <w:jc w:val="center"/>
              <w:rPr>
                <w:rFonts w:cs="Arial"/>
                <w:szCs w:val="22"/>
                <w:lang w:eastAsia="it-IT"/>
              </w:rPr>
            </w:pPr>
          </w:p>
        </w:tc>
        <w:tc>
          <w:tcPr>
            <w:tcW w:w="1275" w:type="dxa"/>
            <w:shd w:val="clear" w:color="auto" w:fill="FFFFFF"/>
            <w:vAlign w:val="center"/>
          </w:tcPr>
          <w:p w14:paraId="4481C9DB" w14:textId="77777777" w:rsidR="00552466" w:rsidRPr="00C2587D" w:rsidRDefault="00552466" w:rsidP="00AB7523">
            <w:pPr>
              <w:ind w:right="104"/>
              <w:jc w:val="center"/>
              <w:rPr>
                <w:rFonts w:cs="Arial"/>
                <w:szCs w:val="22"/>
                <w:lang w:eastAsia="it-IT"/>
              </w:rPr>
            </w:pPr>
          </w:p>
        </w:tc>
        <w:tc>
          <w:tcPr>
            <w:tcW w:w="1590" w:type="dxa"/>
            <w:shd w:val="clear" w:color="auto" w:fill="FFFFFF"/>
            <w:vAlign w:val="center"/>
          </w:tcPr>
          <w:p w14:paraId="4229AEE6" w14:textId="77777777" w:rsidR="00552466" w:rsidRPr="00C2587D" w:rsidRDefault="00552466" w:rsidP="00AB7523">
            <w:pPr>
              <w:ind w:right="104"/>
              <w:jc w:val="center"/>
              <w:rPr>
                <w:rFonts w:cs="Arial"/>
                <w:szCs w:val="22"/>
                <w:lang w:eastAsia="it-IT"/>
              </w:rPr>
            </w:pPr>
          </w:p>
        </w:tc>
      </w:tr>
      <w:tr w:rsidR="00552466" w:rsidRPr="00C2587D" w14:paraId="7D4CD09D" w14:textId="77777777" w:rsidTr="00D7011A">
        <w:trPr>
          <w:trHeight w:val="253"/>
          <w:jc w:val="right"/>
        </w:trPr>
        <w:tc>
          <w:tcPr>
            <w:tcW w:w="3425" w:type="dxa"/>
            <w:shd w:val="clear" w:color="auto" w:fill="FFFFFF"/>
            <w:vAlign w:val="center"/>
          </w:tcPr>
          <w:p w14:paraId="0C651526" w14:textId="77777777" w:rsidR="00552466" w:rsidRPr="00C2587D" w:rsidRDefault="00552466" w:rsidP="00D7011A">
            <w:pPr>
              <w:rPr>
                <w:rFonts w:cs="Arial"/>
                <w:bCs/>
                <w:color w:val="000000"/>
                <w:szCs w:val="22"/>
              </w:rPr>
            </w:pPr>
            <w:r w:rsidRPr="00C2587D">
              <w:rPr>
                <w:rFonts w:cs="Arial"/>
                <w:bCs/>
                <w:color w:val="000000"/>
                <w:szCs w:val="22"/>
              </w:rPr>
              <w:t>-обласний бюджет</w:t>
            </w:r>
          </w:p>
        </w:tc>
        <w:tc>
          <w:tcPr>
            <w:tcW w:w="1254" w:type="dxa"/>
            <w:vAlign w:val="center"/>
          </w:tcPr>
          <w:p w14:paraId="1CE9198A" w14:textId="77777777" w:rsidR="00552466" w:rsidRPr="00C2587D" w:rsidRDefault="00552466" w:rsidP="00AB7523">
            <w:pPr>
              <w:ind w:right="104"/>
              <w:jc w:val="center"/>
              <w:rPr>
                <w:rFonts w:cs="Arial"/>
                <w:szCs w:val="22"/>
                <w:lang w:eastAsia="it-IT"/>
              </w:rPr>
            </w:pPr>
          </w:p>
        </w:tc>
        <w:tc>
          <w:tcPr>
            <w:tcW w:w="1417" w:type="dxa"/>
            <w:shd w:val="clear" w:color="auto" w:fill="FFFFFF"/>
            <w:vAlign w:val="center"/>
          </w:tcPr>
          <w:p w14:paraId="35858898" w14:textId="77777777" w:rsidR="00552466" w:rsidRPr="00C2587D" w:rsidRDefault="00552466" w:rsidP="00AB7523">
            <w:pPr>
              <w:ind w:right="104"/>
              <w:jc w:val="center"/>
              <w:rPr>
                <w:rFonts w:cs="Arial"/>
                <w:szCs w:val="22"/>
                <w:lang w:eastAsia="it-IT"/>
              </w:rPr>
            </w:pPr>
          </w:p>
        </w:tc>
        <w:tc>
          <w:tcPr>
            <w:tcW w:w="1418" w:type="dxa"/>
            <w:shd w:val="clear" w:color="auto" w:fill="auto"/>
            <w:vAlign w:val="center"/>
          </w:tcPr>
          <w:p w14:paraId="5ED5F14E" w14:textId="77777777" w:rsidR="00552466" w:rsidRPr="00C2587D" w:rsidRDefault="00552466" w:rsidP="00AB7523">
            <w:pPr>
              <w:ind w:right="104"/>
              <w:jc w:val="center"/>
              <w:rPr>
                <w:rFonts w:cs="Arial"/>
                <w:szCs w:val="22"/>
                <w:lang w:eastAsia="it-IT"/>
              </w:rPr>
            </w:pPr>
          </w:p>
        </w:tc>
        <w:tc>
          <w:tcPr>
            <w:tcW w:w="1275" w:type="dxa"/>
            <w:shd w:val="clear" w:color="auto" w:fill="FFFFFF"/>
            <w:vAlign w:val="center"/>
          </w:tcPr>
          <w:p w14:paraId="50971F1E" w14:textId="77777777" w:rsidR="00552466" w:rsidRPr="00C2587D" w:rsidRDefault="00552466" w:rsidP="00AB7523">
            <w:pPr>
              <w:ind w:right="104"/>
              <w:jc w:val="center"/>
              <w:rPr>
                <w:rFonts w:cs="Arial"/>
                <w:szCs w:val="22"/>
                <w:lang w:eastAsia="it-IT"/>
              </w:rPr>
            </w:pPr>
          </w:p>
        </w:tc>
        <w:tc>
          <w:tcPr>
            <w:tcW w:w="1590" w:type="dxa"/>
            <w:shd w:val="clear" w:color="auto" w:fill="FFFFFF"/>
            <w:vAlign w:val="center"/>
          </w:tcPr>
          <w:p w14:paraId="50919D4F" w14:textId="77777777" w:rsidR="00552466" w:rsidRPr="00C2587D" w:rsidRDefault="00552466" w:rsidP="00AB7523">
            <w:pPr>
              <w:ind w:right="104"/>
              <w:jc w:val="center"/>
              <w:rPr>
                <w:rFonts w:cs="Arial"/>
                <w:szCs w:val="22"/>
                <w:lang w:eastAsia="it-IT"/>
              </w:rPr>
            </w:pPr>
          </w:p>
        </w:tc>
      </w:tr>
      <w:tr w:rsidR="00552466" w:rsidRPr="00C2587D" w14:paraId="0D258DEF" w14:textId="77777777" w:rsidTr="00D7011A">
        <w:trPr>
          <w:trHeight w:val="264"/>
          <w:jc w:val="right"/>
        </w:trPr>
        <w:tc>
          <w:tcPr>
            <w:tcW w:w="3425" w:type="dxa"/>
            <w:shd w:val="clear" w:color="auto" w:fill="FFFFFF"/>
            <w:vAlign w:val="center"/>
          </w:tcPr>
          <w:p w14:paraId="06EC0CFA" w14:textId="77777777" w:rsidR="00552466" w:rsidRPr="00C2587D" w:rsidRDefault="00552466" w:rsidP="00D7011A">
            <w:pPr>
              <w:rPr>
                <w:rFonts w:cs="Arial"/>
                <w:bCs/>
                <w:color w:val="000000"/>
                <w:szCs w:val="22"/>
              </w:rPr>
            </w:pPr>
            <w:r w:rsidRPr="00C2587D">
              <w:rPr>
                <w:rFonts w:cs="Arial"/>
                <w:bCs/>
                <w:color w:val="000000"/>
                <w:szCs w:val="22"/>
              </w:rPr>
              <w:t>-бюджет Жмеринської МТГ</w:t>
            </w:r>
          </w:p>
        </w:tc>
        <w:tc>
          <w:tcPr>
            <w:tcW w:w="1254" w:type="dxa"/>
            <w:vAlign w:val="center"/>
          </w:tcPr>
          <w:p w14:paraId="28BA82B4" w14:textId="77777777" w:rsidR="00552466" w:rsidRPr="00C2587D" w:rsidRDefault="00552466" w:rsidP="00AB7523">
            <w:pPr>
              <w:ind w:right="104"/>
              <w:jc w:val="center"/>
              <w:rPr>
                <w:rFonts w:cs="Arial"/>
                <w:szCs w:val="22"/>
                <w:lang w:eastAsia="it-IT"/>
              </w:rPr>
            </w:pPr>
            <w:r w:rsidRPr="00C2587D">
              <w:rPr>
                <w:rFonts w:cs="Arial"/>
                <w:szCs w:val="22"/>
                <w:lang w:eastAsia="it-IT"/>
              </w:rPr>
              <w:t>500,00</w:t>
            </w:r>
          </w:p>
        </w:tc>
        <w:tc>
          <w:tcPr>
            <w:tcW w:w="1417" w:type="dxa"/>
            <w:shd w:val="clear" w:color="auto" w:fill="FFFFFF"/>
            <w:vAlign w:val="center"/>
          </w:tcPr>
          <w:p w14:paraId="1634E97E" w14:textId="77777777" w:rsidR="00552466" w:rsidRPr="00C2587D" w:rsidRDefault="00552466" w:rsidP="00AB7523">
            <w:pPr>
              <w:ind w:right="104"/>
              <w:jc w:val="center"/>
              <w:rPr>
                <w:rFonts w:cs="Arial"/>
                <w:szCs w:val="22"/>
                <w:lang w:eastAsia="it-IT"/>
              </w:rPr>
            </w:pPr>
            <w:r w:rsidRPr="00C2587D">
              <w:rPr>
                <w:rFonts w:cs="Arial"/>
                <w:szCs w:val="22"/>
                <w:lang w:eastAsia="it-IT"/>
              </w:rPr>
              <w:t>300,00</w:t>
            </w:r>
          </w:p>
        </w:tc>
        <w:tc>
          <w:tcPr>
            <w:tcW w:w="1418" w:type="dxa"/>
            <w:shd w:val="clear" w:color="auto" w:fill="auto"/>
            <w:vAlign w:val="center"/>
          </w:tcPr>
          <w:p w14:paraId="06EE3FCC" w14:textId="77777777" w:rsidR="00552466" w:rsidRPr="00C2587D" w:rsidRDefault="00552466" w:rsidP="00AB7523">
            <w:pPr>
              <w:ind w:right="104"/>
              <w:jc w:val="center"/>
              <w:rPr>
                <w:rFonts w:cs="Arial"/>
                <w:szCs w:val="22"/>
                <w:lang w:eastAsia="it-IT"/>
              </w:rPr>
            </w:pPr>
            <w:r w:rsidRPr="00C2587D">
              <w:rPr>
                <w:rFonts w:cs="Arial"/>
                <w:szCs w:val="22"/>
                <w:lang w:eastAsia="it-IT"/>
              </w:rPr>
              <w:t>300,00</w:t>
            </w:r>
          </w:p>
        </w:tc>
        <w:tc>
          <w:tcPr>
            <w:tcW w:w="1275" w:type="dxa"/>
            <w:shd w:val="clear" w:color="auto" w:fill="FFFFFF"/>
            <w:vAlign w:val="center"/>
          </w:tcPr>
          <w:p w14:paraId="7D123159" w14:textId="77777777" w:rsidR="00552466" w:rsidRPr="00C2587D" w:rsidRDefault="00552466" w:rsidP="00AB7523">
            <w:pPr>
              <w:ind w:right="104"/>
              <w:jc w:val="center"/>
              <w:rPr>
                <w:rFonts w:cs="Arial"/>
                <w:szCs w:val="22"/>
                <w:lang w:eastAsia="it-IT"/>
              </w:rPr>
            </w:pPr>
            <w:r w:rsidRPr="00C2587D">
              <w:rPr>
                <w:rFonts w:cs="Arial"/>
                <w:szCs w:val="22"/>
                <w:lang w:eastAsia="it-IT"/>
              </w:rPr>
              <w:t>80,00</w:t>
            </w:r>
          </w:p>
        </w:tc>
        <w:tc>
          <w:tcPr>
            <w:tcW w:w="1590" w:type="dxa"/>
            <w:shd w:val="clear" w:color="auto" w:fill="FFFFFF"/>
            <w:vAlign w:val="center"/>
          </w:tcPr>
          <w:p w14:paraId="3DFC2509" w14:textId="77777777" w:rsidR="00552466" w:rsidRPr="00C2587D" w:rsidRDefault="00552466" w:rsidP="00AB7523">
            <w:pPr>
              <w:ind w:right="104"/>
              <w:jc w:val="center"/>
              <w:rPr>
                <w:rFonts w:cs="Arial"/>
                <w:szCs w:val="22"/>
                <w:lang w:eastAsia="it-IT"/>
              </w:rPr>
            </w:pPr>
            <w:r w:rsidRPr="00C2587D">
              <w:rPr>
                <w:rFonts w:cs="Arial"/>
                <w:szCs w:val="22"/>
                <w:lang w:eastAsia="it-IT"/>
              </w:rPr>
              <w:t>1180,00</w:t>
            </w:r>
          </w:p>
        </w:tc>
      </w:tr>
      <w:tr w:rsidR="00552466" w:rsidRPr="00C2587D" w14:paraId="55787E09" w14:textId="77777777" w:rsidTr="00D7011A">
        <w:trPr>
          <w:trHeight w:val="369"/>
          <w:jc w:val="right"/>
        </w:trPr>
        <w:tc>
          <w:tcPr>
            <w:tcW w:w="3425" w:type="dxa"/>
            <w:shd w:val="clear" w:color="auto" w:fill="FFFFFF"/>
            <w:vAlign w:val="center"/>
          </w:tcPr>
          <w:p w14:paraId="74C2BE1F" w14:textId="77777777" w:rsidR="00552466" w:rsidRPr="00C2587D" w:rsidRDefault="00552466" w:rsidP="00D7011A">
            <w:pPr>
              <w:rPr>
                <w:rFonts w:cs="Arial"/>
                <w:bCs/>
                <w:color w:val="000000"/>
                <w:szCs w:val="22"/>
              </w:rPr>
            </w:pPr>
            <w:r w:rsidRPr="00C2587D">
              <w:rPr>
                <w:rFonts w:cs="Arial"/>
                <w:bCs/>
                <w:color w:val="000000"/>
                <w:szCs w:val="22"/>
              </w:rPr>
              <w:t>-інші джерела фінансування</w:t>
            </w:r>
          </w:p>
        </w:tc>
        <w:tc>
          <w:tcPr>
            <w:tcW w:w="1254" w:type="dxa"/>
            <w:vAlign w:val="center"/>
          </w:tcPr>
          <w:p w14:paraId="6E04A338" w14:textId="77777777" w:rsidR="00552466" w:rsidRPr="00C2587D" w:rsidRDefault="00552466" w:rsidP="00AB7523">
            <w:pPr>
              <w:ind w:right="104"/>
              <w:jc w:val="center"/>
              <w:rPr>
                <w:rFonts w:cs="Arial"/>
                <w:b/>
                <w:color w:val="000000"/>
                <w:szCs w:val="22"/>
                <w:lang w:eastAsia="it-IT"/>
              </w:rPr>
            </w:pPr>
          </w:p>
        </w:tc>
        <w:tc>
          <w:tcPr>
            <w:tcW w:w="1417" w:type="dxa"/>
            <w:shd w:val="clear" w:color="auto" w:fill="FFFFFF"/>
            <w:vAlign w:val="center"/>
          </w:tcPr>
          <w:p w14:paraId="42F69434" w14:textId="77777777" w:rsidR="00552466" w:rsidRPr="00C2587D" w:rsidRDefault="00552466" w:rsidP="00AB7523">
            <w:pPr>
              <w:ind w:right="104"/>
              <w:jc w:val="center"/>
              <w:rPr>
                <w:rFonts w:cs="Arial"/>
                <w:b/>
                <w:color w:val="000000"/>
                <w:szCs w:val="22"/>
                <w:lang w:eastAsia="it-IT"/>
              </w:rPr>
            </w:pPr>
          </w:p>
        </w:tc>
        <w:tc>
          <w:tcPr>
            <w:tcW w:w="1418" w:type="dxa"/>
            <w:shd w:val="clear" w:color="auto" w:fill="auto"/>
            <w:vAlign w:val="center"/>
          </w:tcPr>
          <w:p w14:paraId="08A06849" w14:textId="77777777" w:rsidR="00552466" w:rsidRPr="00C2587D" w:rsidRDefault="00552466" w:rsidP="00AB7523">
            <w:pPr>
              <w:ind w:right="104"/>
              <w:jc w:val="center"/>
              <w:rPr>
                <w:rFonts w:cs="Arial"/>
                <w:b/>
                <w:color w:val="000000"/>
                <w:szCs w:val="22"/>
                <w:lang w:eastAsia="it-IT"/>
              </w:rPr>
            </w:pPr>
          </w:p>
        </w:tc>
        <w:tc>
          <w:tcPr>
            <w:tcW w:w="1275" w:type="dxa"/>
            <w:shd w:val="clear" w:color="auto" w:fill="FFFFFF"/>
            <w:vAlign w:val="center"/>
          </w:tcPr>
          <w:p w14:paraId="0CCD6063" w14:textId="77777777" w:rsidR="00552466" w:rsidRPr="00C2587D" w:rsidRDefault="00552466" w:rsidP="00AB7523">
            <w:pPr>
              <w:ind w:right="104"/>
              <w:jc w:val="center"/>
              <w:rPr>
                <w:rFonts w:cs="Arial"/>
                <w:b/>
                <w:color w:val="000000"/>
                <w:szCs w:val="22"/>
                <w:lang w:eastAsia="it-IT"/>
              </w:rPr>
            </w:pPr>
          </w:p>
        </w:tc>
        <w:tc>
          <w:tcPr>
            <w:tcW w:w="1590" w:type="dxa"/>
            <w:shd w:val="clear" w:color="auto" w:fill="FFFFFF"/>
            <w:vAlign w:val="center"/>
          </w:tcPr>
          <w:p w14:paraId="3DF75B5B" w14:textId="77777777" w:rsidR="00552466" w:rsidRPr="00C2587D" w:rsidRDefault="00552466" w:rsidP="00AB7523">
            <w:pPr>
              <w:ind w:right="104"/>
              <w:jc w:val="center"/>
              <w:rPr>
                <w:rFonts w:cs="Arial"/>
                <w:b/>
                <w:color w:val="000000"/>
                <w:szCs w:val="22"/>
                <w:lang w:eastAsia="it-IT"/>
              </w:rPr>
            </w:pPr>
          </w:p>
        </w:tc>
      </w:tr>
      <w:tr w:rsidR="00552466" w:rsidRPr="00C2587D" w14:paraId="633FB194" w14:textId="77777777" w:rsidTr="00D7011A">
        <w:trPr>
          <w:jc w:val="right"/>
        </w:trPr>
        <w:tc>
          <w:tcPr>
            <w:tcW w:w="3425" w:type="dxa"/>
            <w:shd w:val="clear" w:color="auto" w:fill="FFFFFF"/>
            <w:vAlign w:val="center"/>
          </w:tcPr>
          <w:p w14:paraId="0A880028" w14:textId="77777777" w:rsidR="00552466" w:rsidRPr="00C2587D" w:rsidRDefault="00552466" w:rsidP="00D7011A">
            <w:pPr>
              <w:rPr>
                <w:rFonts w:cs="Arial"/>
                <w:b/>
                <w:bCs/>
                <w:color w:val="000000"/>
                <w:szCs w:val="22"/>
              </w:rPr>
            </w:pPr>
            <w:r w:rsidRPr="00C2587D">
              <w:rPr>
                <w:rFonts w:cs="Arial"/>
                <w:b/>
                <w:color w:val="000000"/>
                <w:szCs w:val="22"/>
              </w:rPr>
              <w:t>Відповідальний виконавець проєкту:</w:t>
            </w:r>
          </w:p>
        </w:tc>
        <w:tc>
          <w:tcPr>
            <w:tcW w:w="6954" w:type="dxa"/>
            <w:gridSpan w:val="5"/>
            <w:vAlign w:val="center"/>
          </w:tcPr>
          <w:p w14:paraId="1E7AACB1" w14:textId="77777777" w:rsidR="00552466" w:rsidRPr="00C2587D" w:rsidRDefault="00552466" w:rsidP="00AB7523">
            <w:pPr>
              <w:ind w:right="104"/>
              <w:jc w:val="both"/>
              <w:rPr>
                <w:rFonts w:cs="Arial"/>
                <w:color w:val="000000"/>
                <w:szCs w:val="22"/>
                <w:lang w:eastAsia="it-IT"/>
              </w:rPr>
            </w:pPr>
            <w:r w:rsidRPr="00C2587D">
              <w:rPr>
                <w:rFonts w:cs="Arial"/>
                <w:szCs w:val="22"/>
              </w:rPr>
              <w:t>Управління земельних ресурсів виконавчого комітету Жмеринської міської ради, управління житлово – комунального господарства Жмеринської міської ради</w:t>
            </w:r>
          </w:p>
        </w:tc>
      </w:tr>
    </w:tbl>
    <w:p w14:paraId="5F05DFAA" w14:textId="77777777" w:rsidR="00552466" w:rsidRPr="00C2587D" w:rsidRDefault="00552466" w:rsidP="00552466">
      <w:pPr>
        <w:jc w:val="center"/>
        <w:rPr>
          <w:rFonts w:cs="Arial"/>
          <w:b/>
          <w:color w:val="000000"/>
          <w:szCs w:val="22"/>
        </w:rPr>
      </w:pPr>
    </w:p>
    <w:p w14:paraId="7F625791" w14:textId="77777777" w:rsidR="00552466" w:rsidRPr="00C2587D" w:rsidRDefault="00552466" w:rsidP="00552466">
      <w:pPr>
        <w:jc w:val="center"/>
        <w:rPr>
          <w:rFonts w:cs="Arial"/>
          <w:b/>
          <w:color w:val="000000"/>
          <w:szCs w:val="22"/>
        </w:rPr>
      </w:pPr>
    </w:p>
    <w:p w14:paraId="285D6774" w14:textId="008CCD48" w:rsidR="00552466" w:rsidRPr="00C2587D" w:rsidRDefault="00552466" w:rsidP="00552466">
      <w:pPr>
        <w:jc w:val="center"/>
        <w:rPr>
          <w:rFonts w:cs="Arial"/>
          <w:b/>
          <w:color w:val="000000"/>
          <w:szCs w:val="22"/>
        </w:rPr>
      </w:pPr>
      <w:r w:rsidRPr="00C2587D">
        <w:rPr>
          <w:rFonts w:cs="Arial"/>
          <w:b/>
          <w:color w:val="000000"/>
          <w:szCs w:val="22"/>
        </w:rPr>
        <w:t>Ф</w:t>
      </w:r>
      <w:r w:rsidR="0054534E">
        <w:rPr>
          <w:rFonts w:cs="Arial"/>
          <w:b/>
          <w:color w:val="000000"/>
          <w:szCs w:val="22"/>
        </w:rPr>
        <w:t>орма технічного завдання на проє</w:t>
      </w:r>
      <w:r w:rsidRPr="00C2587D">
        <w:rPr>
          <w:rFonts w:cs="Arial"/>
          <w:b/>
          <w:color w:val="000000"/>
          <w:szCs w:val="22"/>
        </w:rPr>
        <w:t xml:space="preserve">кт місцевого розвитку </w:t>
      </w:r>
    </w:p>
    <w:p w14:paraId="2256984C" w14:textId="77777777" w:rsidR="00552466" w:rsidRPr="00C2587D" w:rsidRDefault="00552466" w:rsidP="00552466">
      <w:pPr>
        <w:jc w:val="center"/>
        <w:rPr>
          <w:rFonts w:cs="Arial"/>
          <w:b/>
          <w:color w:val="000000"/>
          <w:szCs w:val="22"/>
        </w:rPr>
      </w:pPr>
      <w:r w:rsidRPr="00C2587D">
        <w:rPr>
          <w:rFonts w:cs="Arial"/>
          <w:b/>
          <w:color w:val="000000"/>
          <w:szCs w:val="22"/>
        </w:rPr>
        <w:t>до Плану заходів з реалізації Стратегії</w:t>
      </w:r>
    </w:p>
    <w:tbl>
      <w:tblPr>
        <w:tblW w:w="1037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1417"/>
        <w:gridCol w:w="1418"/>
        <w:gridCol w:w="1275"/>
        <w:gridCol w:w="1590"/>
      </w:tblGrid>
      <w:tr w:rsidR="00552466" w:rsidRPr="00AB7523" w14:paraId="12C62ED7" w14:textId="77777777" w:rsidTr="00D7011A">
        <w:trPr>
          <w:trHeight w:val="510"/>
          <w:jc w:val="right"/>
        </w:trPr>
        <w:tc>
          <w:tcPr>
            <w:tcW w:w="3425" w:type="dxa"/>
          </w:tcPr>
          <w:p w14:paraId="6F1D5633" w14:textId="77777777" w:rsidR="00552466" w:rsidRPr="00AB7523" w:rsidRDefault="00552466" w:rsidP="00AB7523">
            <w:pPr>
              <w:spacing w:before="40" w:after="40"/>
              <w:jc w:val="both"/>
              <w:rPr>
                <w:rFonts w:cs="Arial"/>
                <w:b/>
                <w:bCs/>
                <w:szCs w:val="22"/>
              </w:rPr>
            </w:pPr>
            <w:r w:rsidRPr="00AB7523">
              <w:rPr>
                <w:rFonts w:cs="Arial"/>
                <w:b/>
                <w:bCs/>
                <w:szCs w:val="22"/>
              </w:rPr>
              <w:t>Назва проєкту:</w:t>
            </w:r>
          </w:p>
        </w:tc>
        <w:tc>
          <w:tcPr>
            <w:tcW w:w="6954" w:type="dxa"/>
            <w:gridSpan w:val="5"/>
          </w:tcPr>
          <w:p w14:paraId="5380E461" w14:textId="77777777" w:rsidR="00552466" w:rsidRPr="00AB7523" w:rsidRDefault="00552466" w:rsidP="00AB7523">
            <w:pPr>
              <w:spacing w:before="40" w:after="40"/>
              <w:jc w:val="both"/>
              <w:rPr>
                <w:rFonts w:cs="Arial"/>
                <w:b/>
                <w:szCs w:val="22"/>
              </w:rPr>
            </w:pPr>
            <w:r w:rsidRPr="00AB7523">
              <w:rPr>
                <w:rFonts w:cs="Arial"/>
                <w:b/>
                <w:szCs w:val="22"/>
              </w:rPr>
              <w:t>Складання плану земельно - господарського устрою населеного пункту</w:t>
            </w:r>
          </w:p>
        </w:tc>
      </w:tr>
      <w:tr w:rsidR="00552466" w:rsidRPr="00C2587D" w14:paraId="27B3C770" w14:textId="77777777" w:rsidTr="00D7011A">
        <w:trPr>
          <w:trHeight w:val="1114"/>
          <w:jc w:val="right"/>
        </w:trPr>
        <w:tc>
          <w:tcPr>
            <w:tcW w:w="3425" w:type="dxa"/>
          </w:tcPr>
          <w:p w14:paraId="57FF9A2A" w14:textId="77777777" w:rsidR="00552466" w:rsidRPr="00C2587D" w:rsidRDefault="00552466" w:rsidP="00D7011A">
            <w:pPr>
              <w:spacing w:before="40" w:after="40"/>
              <w:rPr>
                <w:rFonts w:cs="Arial"/>
                <w:szCs w:val="22"/>
                <w:lang w:eastAsia="it-IT"/>
              </w:rPr>
            </w:pPr>
            <w:r w:rsidRPr="00C2587D">
              <w:rPr>
                <w:rFonts w:cs="Arial"/>
                <w:b/>
                <w:bCs/>
                <w:szCs w:val="22"/>
              </w:rPr>
              <w:t>Ваші контакти</w:t>
            </w:r>
            <w:r w:rsidRPr="00C2587D">
              <w:rPr>
                <w:rFonts w:cs="Arial"/>
                <w:szCs w:val="22"/>
                <w:lang w:eastAsia="it-IT"/>
              </w:rPr>
              <w:t>:</w:t>
            </w:r>
          </w:p>
          <w:p w14:paraId="03CA0F9C" w14:textId="77777777" w:rsidR="00552466" w:rsidRPr="00C2587D" w:rsidRDefault="00552466" w:rsidP="00D7011A">
            <w:pPr>
              <w:spacing w:before="40" w:after="40"/>
              <w:rPr>
                <w:rFonts w:cs="Arial"/>
                <w:b/>
                <w:bCs/>
                <w:szCs w:val="22"/>
              </w:rPr>
            </w:pPr>
            <w:r w:rsidRPr="00C2587D">
              <w:rPr>
                <w:rFonts w:cs="Arial"/>
                <w:szCs w:val="22"/>
                <w:lang w:eastAsia="it-IT"/>
              </w:rPr>
              <w:t>Назва установи, організації, підприємства</w:t>
            </w:r>
          </w:p>
        </w:tc>
        <w:tc>
          <w:tcPr>
            <w:tcW w:w="6954" w:type="dxa"/>
            <w:gridSpan w:val="5"/>
          </w:tcPr>
          <w:p w14:paraId="79C578AF" w14:textId="77777777" w:rsidR="00552466" w:rsidRPr="00C2587D" w:rsidRDefault="00552466" w:rsidP="00AB7523">
            <w:pPr>
              <w:spacing w:before="40" w:after="40"/>
              <w:jc w:val="both"/>
              <w:rPr>
                <w:rFonts w:cs="Arial"/>
                <w:szCs w:val="22"/>
                <w:lang w:eastAsia="it-IT"/>
              </w:rPr>
            </w:pPr>
            <w:r w:rsidRPr="00C2587D">
              <w:rPr>
                <w:rFonts w:cs="Arial"/>
                <w:szCs w:val="22"/>
                <w:lang w:eastAsia="it-IT"/>
              </w:rPr>
              <w:t>Управління земельних ресурсів виконавчого комітету Жмеринської міської ради</w:t>
            </w:r>
          </w:p>
        </w:tc>
      </w:tr>
      <w:tr w:rsidR="00552466" w:rsidRPr="00C2587D" w14:paraId="7ABBFA64" w14:textId="77777777" w:rsidTr="00D7011A">
        <w:trPr>
          <w:jc w:val="right"/>
        </w:trPr>
        <w:tc>
          <w:tcPr>
            <w:tcW w:w="3425" w:type="dxa"/>
          </w:tcPr>
          <w:p w14:paraId="36F6E2E3" w14:textId="77777777" w:rsidR="00552466" w:rsidRPr="00C2587D" w:rsidRDefault="00552466" w:rsidP="00D7011A">
            <w:pPr>
              <w:spacing w:before="40" w:after="40"/>
              <w:rPr>
                <w:rFonts w:cs="Arial"/>
                <w:b/>
                <w:bCs/>
                <w:szCs w:val="22"/>
              </w:rPr>
            </w:pPr>
            <w:r w:rsidRPr="00C2587D">
              <w:rPr>
                <w:rFonts w:cs="Arial"/>
                <w:szCs w:val="22"/>
                <w:lang w:eastAsia="it-IT"/>
              </w:rPr>
              <w:t>Прізвище Ім’я По-батькові:</w:t>
            </w:r>
          </w:p>
        </w:tc>
        <w:tc>
          <w:tcPr>
            <w:tcW w:w="6954" w:type="dxa"/>
            <w:gridSpan w:val="5"/>
          </w:tcPr>
          <w:p w14:paraId="386AF814" w14:textId="77777777" w:rsidR="00552466" w:rsidRPr="00C2587D" w:rsidRDefault="00552466" w:rsidP="00AB7523">
            <w:pPr>
              <w:spacing w:before="40" w:after="40"/>
              <w:jc w:val="both"/>
              <w:rPr>
                <w:rFonts w:cs="Arial"/>
                <w:szCs w:val="22"/>
                <w:lang w:eastAsia="it-IT"/>
              </w:rPr>
            </w:pPr>
            <w:r w:rsidRPr="00C2587D">
              <w:rPr>
                <w:rFonts w:cs="Arial"/>
                <w:szCs w:val="22"/>
                <w:lang w:eastAsia="it-IT"/>
              </w:rPr>
              <w:t>Пилявець Руслан Євгенович</w:t>
            </w:r>
          </w:p>
        </w:tc>
      </w:tr>
      <w:tr w:rsidR="00552466" w:rsidRPr="00C2587D" w14:paraId="2673A204" w14:textId="77777777" w:rsidTr="00D7011A">
        <w:trPr>
          <w:jc w:val="right"/>
        </w:trPr>
        <w:tc>
          <w:tcPr>
            <w:tcW w:w="3425" w:type="dxa"/>
          </w:tcPr>
          <w:p w14:paraId="1881DA72" w14:textId="77777777" w:rsidR="00552466" w:rsidRPr="00C2587D" w:rsidRDefault="00552466" w:rsidP="00D7011A">
            <w:pPr>
              <w:spacing w:before="40" w:after="40"/>
              <w:rPr>
                <w:rFonts w:cs="Arial"/>
                <w:b/>
                <w:bCs/>
                <w:szCs w:val="22"/>
              </w:rPr>
            </w:pPr>
            <w:r w:rsidRPr="00C2587D">
              <w:rPr>
                <w:rFonts w:cs="Arial"/>
                <w:szCs w:val="22"/>
                <w:lang w:eastAsia="it-IT"/>
              </w:rPr>
              <w:t>Телефон (мобільний):</w:t>
            </w:r>
          </w:p>
        </w:tc>
        <w:tc>
          <w:tcPr>
            <w:tcW w:w="6954" w:type="dxa"/>
            <w:gridSpan w:val="5"/>
          </w:tcPr>
          <w:p w14:paraId="48A614AA" w14:textId="77777777" w:rsidR="00552466" w:rsidRPr="00C2587D" w:rsidRDefault="00552466" w:rsidP="00AB7523">
            <w:pPr>
              <w:spacing w:before="40" w:after="40"/>
              <w:jc w:val="both"/>
              <w:rPr>
                <w:rFonts w:cs="Arial"/>
                <w:szCs w:val="22"/>
                <w:lang w:eastAsia="it-IT"/>
              </w:rPr>
            </w:pPr>
            <w:r w:rsidRPr="00C2587D">
              <w:rPr>
                <w:rFonts w:cs="Arial"/>
                <w:szCs w:val="22"/>
                <w:lang w:eastAsia="it-IT"/>
              </w:rPr>
              <w:t>067-580-45-91</w:t>
            </w:r>
          </w:p>
        </w:tc>
      </w:tr>
      <w:tr w:rsidR="00552466" w:rsidRPr="00C2587D" w14:paraId="4E6945C6" w14:textId="77777777" w:rsidTr="00D7011A">
        <w:trPr>
          <w:jc w:val="right"/>
        </w:trPr>
        <w:tc>
          <w:tcPr>
            <w:tcW w:w="3425" w:type="dxa"/>
          </w:tcPr>
          <w:p w14:paraId="3D1B2847" w14:textId="77777777" w:rsidR="00552466" w:rsidRPr="00C2587D" w:rsidRDefault="00552466" w:rsidP="00D7011A">
            <w:pPr>
              <w:spacing w:before="40" w:after="40"/>
              <w:rPr>
                <w:rFonts w:cs="Arial"/>
                <w:b/>
                <w:bCs/>
                <w:szCs w:val="22"/>
              </w:rPr>
            </w:pPr>
            <w:r w:rsidRPr="00C2587D">
              <w:rPr>
                <w:rFonts w:cs="Arial"/>
                <w:szCs w:val="22"/>
                <w:lang w:eastAsia="it-IT"/>
              </w:rPr>
              <w:t>Електронна адреса:</w:t>
            </w:r>
          </w:p>
        </w:tc>
        <w:tc>
          <w:tcPr>
            <w:tcW w:w="6954" w:type="dxa"/>
            <w:gridSpan w:val="5"/>
          </w:tcPr>
          <w:p w14:paraId="55E507CE" w14:textId="77777777" w:rsidR="00552466" w:rsidRPr="00C2587D" w:rsidRDefault="00552466" w:rsidP="00AB7523">
            <w:pPr>
              <w:spacing w:before="40" w:after="40"/>
              <w:jc w:val="both"/>
              <w:rPr>
                <w:rFonts w:cs="Arial"/>
                <w:szCs w:val="22"/>
                <w:lang w:eastAsia="it-IT"/>
              </w:rPr>
            </w:pPr>
            <w:r w:rsidRPr="00C2587D">
              <w:rPr>
                <w:rFonts w:cs="Arial"/>
                <w:szCs w:val="22"/>
                <w:lang w:eastAsia="it-IT"/>
              </w:rPr>
              <w:t>zem@zhmr.gov.ua</w:t>
            </w:r>
          </w:p>
        </w:tc>
      </w:tr>
      <w:tr w:rsidR="00552466" w:rsidRPr="00C2587D" w14:paraId="5B0A7BA8" w14:textId="77777777" w:rsidTr="00D7011A">
        <w:trPr>
          <w:trHeight w:val="1440"/>
          <w:jc w:val="right"/>
        </w:trPr>
        <w:tc>
          <w:tcPr>
            <w:tcW w:w="3425" w:type="dxa"/>
            <w:vAlign w:val="center"/>
          </w:tcPr>
          <w:p w14:paraId="37A691E6" w14:textId="43697ECD" w:rsidR="00552466" w:rsidRPr="00C2587D" w:rsidRDefault="00552466" w:rsidP="00D7011A">
            <w:pPr>
              <w:pStyle w:val="6"/>
              <w:spacing w:before="0" w:after="0"/>
              <w:rPr>
                <w:rFonts w:ascii="Arial" w:hAnsi="Arial" w:cs="Arial"/>
                <w:color w:val="000000"/>
                <w:lang w:val="uk-UA"/>
              </w:rPr>
            </w:pPr>
            <w:r w:rsidRPr="00C2587D">
              <w:rPr>
                <w:rFonts w:ascii="Arial" w:hAnsi="Arial" w:cs="Arial"/>
                <w:color w:val="000000"/>
                <w:lang w:val="uk-UA"/>
              </w:rPr>
              <w:t>Номер і назва завдання з Стратегії</w:t>
            </w:r>
            <w:r w:rsidRPr="00C2587D">
              <w:rPr>
                <w:rFonts w:ascii="Arial" w:hAnsi="Arial" w:cs="Arial"/>
                <w:lang w:val="uk-UA" w:eastAsia="it-IT"/>
              </w:rPr>
              <w:t xml:space="preserve"> </w:t>
            </w:r>
            <w:r w:rsidRPr="00C2587D">
              <w:rPr>
                <w:rFonts w:ascii="Arial" w:hAnsi="Arial" w:cs="Arial"/>
                <w:color w:val="000000"/>
                <w:lang w:val="uk-UA"/>
              </w:rPr>
              <w:t>розвитку Жмеринської міської територіальної</w:t>
            </w:r>
            <w:r w:rsidR="0054534E">
              <w:rPr>
                <w:rFonts w:ascii="Arial" w:hAnsi="Arial" w:cs="Arial"/>
                <w:color w:val="000000"/>
                <w:lang w:val="uk-UA"/>
              </w:rPr>
              <w:t xml:space="preserve"> громади,  якому відповідає проє</w:t>
            </w:r>
            <w:r w:rsidRPr="00C2587D">
              <w:rPr>
                <w:rFonts w:ascii="Arial" w:hAnsi="Arial" w:cs="Arial"/>
                <w:color w:val="000000"/>
                <w:lang w:val="uk-UA"/>
              </w:rPr>
              <w:t>кт:</w:t>
            </w:r>
          </w:p>
        </w:tc>
        <w:tc>
          <w:tcPr>
            <w:tcW w:w="6954" w:type="dxa"/>
            <w:gridSpan w:val="5"/>
          </w:tcPr>
          <w:p w14:paraId="0C37FDA6" w14:textId="77777777" w:rsidR="00552466" w:rsidRPr="00C2587D" w:rsidRDefault="00552466" w:rsidP="00AB7523">
            <w:pPr>
              <w:pBdr>
                <w:left w:val="single" w:sz="18" w:space="4" w:color="auto"/>
              </w:pBdr>
              <w:spacing w:before="40" w:after="40"/>
              <w:jc w:val="both"/>
              <w:rPr>
                <w:rFonts w:cs="Arial"/>
                <w:szCs w:val="22"/>
                <w:lang w:eastAsia="it-IT"/>
              </w:rPr>
            </w:pPr>
            <w:r w:rsidRPr="00C2587D">
              <w:rPr>
                <w:rFonts w:cs="Arial"/>
                <w:szCs w:val="22"/>
              </w:rPr>
              <w:t xml:space="preserve">А.2.3. Підтримка раціонального використання земельних ресурсів та водного фонду для фінансової стабільності громади </w:t>
            </w:r>
          </w:p>
        </w:tc>
      </w:tr>
      <w:tr w:rsidR="00552466" w:rsidRPr="00C2587D" w14:paraId="05AC0773" w14:textId="77777777" w:rsidTr="00D7011A">
        <w:trPr>
          <w:trHeight w:val="1050"/>
          <w:jc w:val="right"/>
        </w:trPr>
        <w:tc>
          <w:tcPr>
            <w:tcW w:w="3425" w:type="dxa"/>
            <w:vAlign w:val="center"/>
          </w:tcPr>
          <w:p w14:paraId="3C36B845" w14:textId="77777777" w:rsidR="00552466" w:rsidRPr="00C2587D" w:rsidRDefault="00552466" w:rsidP="00D7011A">
            <w:pPr>
              <w:rPr>
                <w:rFonts w:cs="Arial"/>
                <w:b/>
                <w:szCs w:val="22"/>
                <w:lang w:eastAsia="en-US"/>
              </w:rPr>
            </w:pPr>
            <w:r w:rsidRPr="00C2587D">
              <w:rPr>
                <w:rFonts w:cs="Arial"/>
                <w:b/>
                <w:szCs w:val="22"/>
                <w:lang w:eastAsia="en-US"/>
              </w:rPr>
              <w:t>Мета проєкту:</w:t>
            </w:r>
          </w:p>
          <w:p w14:paraId="1A47F98C" w14:textId="77777777" w:rsidR="00552466" w:rsidRPr="00C2587D" w:rsidRDefault="00552466" w:rsidP="00D7011A">
            <w:pPr>
              <w:rPr>
                <w:rFonts w:cs="Arial"/>
                <w:color w:val="000000"/>
                <w:szCs w:val="22"/>
              </w:rPr>
            </w:pPr>
          </w:p>
        </w:tc>
        <w:tc>
          <w:tcPr>
            <w:tcW w:w="6954" w:type="dxa"/>
            <w:gridSpan w:val="5"/>
          </w:tcPr>
          <w:p w14:paraId="563D3877" w14:textId="77777777" w:rsidR="00552466" w:rsidRPr="00C2587D" w:rsidRDefault="00552466" w:rsidP="00AB7523">
            <w:pPr>
              <w:jc w:val="both"/>
              <w:rPr>
                <w:rFonts w:cs="Arial"/>
                <w:szCs w:val="22"/>
              </w:rPr>
            </w:pPr>
            <w:r w:rsidRPr="00C2587D">
              <w:rPr>
                <w:rFonts w:cs="Arial"/>
                <w:szCs w:val="22"/>
              </w:rPr>
              <w:t>Визначення меж земель з особливим режимом використання, розвиток ринку землі зумовлюють необхідність користування традиційною землевпорядною та містобудівною документацією відповідно до особливостей сучасної ринкової економіки</w:t>
            </w:r>
          </w:p>
        </w:tc>
      </w:tr>
      <w:tr w:rsidR="00552466" w:rsidRPr="00C2587D" w14:paraId="1462FFF8" w14:textId="77777777" w:rsidTr="00D7011A">
        <w:trPr>
          <w:jc w:val="right"/>
        </w:trPr>
        <w:tc>
          <w:tcPr>
            <w:tcW w:w="3425" w:type="dxa"/>
            <w:vAlign w:val="center"/>
          </w:tcPr>
          <w:p w14:paraId="33A66E91" w14:textId="4462CBF9" w:rsidR="00552466" w:rsidRPr="00C2587D" w:rsidRDefault="0054534E" w:rsidP="00D7011A">
            <w:pPr>
              <w:rPr>
                <w:rFonts w:cs="Arial"/>
                <w:b/>
                <w:bCs/>
                <w:color w:val="000000"/>
                <w:szCs w:val="22"/>
              </w:rPr>
            </w:pPr>
            <w:r>
              <w:rPr>
                <w:rFonts w:cs="Arial"/>
                <w:b/>
                <w:bCs/>
                <w:color w:val="000000"/>
                <w:szCs w:val="22"/>
              </w:rPr>
              <w:t>Цілі проє</w:t>
            </w:r>
            <w:r w:rsidR="00552466" w:rsidRPr="00C2587D">
              <w:rPr>
                <w:rFonts w:cs="Arial"/>
                <w:b/>
                <w:bCs/>
                <w:color w:val="000000"/>
                <w:szCs w:val="22"/>
              </w:rPr>
              <w:t>кту:</w:t>
            </w:r>
          </w:p>
        </w:tc>
        <w:tc>
          <w:tcPr>
            <w:tcW w:w="6954" w:type="dxa"/>
            <w:gridSpan w:val="5"/>
          </w:tcPr>
          <w:p w14:paraId="12EC7577" w14:textId="77777777" w:rsidR="00552466" w:rsidRPr="00C2587D" w:rsidRDefault="00552466" w:rsidP="00AB7523">
            <w:pPr>
              <w:jc w:val="both"/>
              <w:rPr>
                <w:rFonts w:cs="Arial"/>
                <w:szCs w:val="22"/>
                <w:lang w:eastAsia="en-US"/>
              </w:rPr>
            </w:pPr>
            <w:r w:rsidRPr="00C2587D">
              <w:rPr>
                <w:rFonts w:cs="Arial"/>
                <w:szCs w:val="22"/>
              </w:rPr>
              <w:t>Дозволить упорядкувати відомості про земельні ділянки і їх землекористувачів, створити реальний банк ринку землі, оперативно вирішувати питання забудови, планування і зонування, експлуатації інженерних мереж, управління земельними ресурсами</w:t>
            </w:r>
          </w:p>
        </w:tc>
      </w:tr>
      <w:tr w:rsidR="00552466" w:rsidRPr="00C2587D" w14:paraId="6B2019C6" w14:textId="77777777" w:rsidTr="00D7011A">
        <w:trPr>
          <w:jc w:val="right"/>
        </w:trPr>
        <w:tc>
          <w:tcPr>
            <w:tcW w:w="3425" w:type="dxa"/>
            <w:vAlign w:val="center"/>
          </w:tcPr>
          <w:p w14:paraId="3502873D" w14:textId="059ED30B" w:rsidR="00552466" w:rsidRPr="00C2587D" w:rsidRDefault="0054534E" w:rsidP="00D7011A">
            <w:pPr>
              <w:autoSpaceDE w:val="0"/>
              <w:autoSpaceDN w:val="0"/>
              <w:adjustRightInd w:val="0"/>
              <w:rPr>
                <w:rFonts w:cs="Arial"/>
                <w:b/>
                <w:color w:val="000000"/>
                <w:szCs w:val="22"/>
              </w:rPr>
            </w:pPr>
            <w:r>
              <w:rPr>
                <w:rFonts w:cs="Arial"/>
                <w:b/>
                <w:color w:val="000000"/>
                <w:szCs w:val="22"/>
              </w:rPr>
              <w:t>Територія на яку проє</w:t>
            </w:r>
            <w:r w:rsidR="00552466" w:rsidRPr="00C2587D">
              <w:rPr>
                <w:rFonts w:cs="Arial"/>
                <w:b/>
                <w:color w:val="000000"/>
                <w:szCs w:val="22"/>
              </w:rPr>
              <w:t>кт матиме вплив:</w:t>
            </w:r>
          </w:p>
        </w:tc>
        <w:tc>
          <w:tcPr>
            <w:tcW w:w="6954" w:type="dxa"/>
            <w:gridSpan w:val="5"/>
          </w:tcPr>
          <w:p w14:paraId="3D0B0734" w14:textId="77777777" w:rsidR="00552466" w:rsidRPr="00C2587D" w:rsidRDefault="00552466" w:rsidP="00AB7523">
            <w:pPr>
              <w:spacing w:before="40" w:after="40"/>
              <w:jc w:val="both"/>
              <w:rPr>
                <w:rFonts w:cs="Arial"/>
                <w:szCs w:val="22"/>
                <w:lang w:eastAsia="it-IT"/>
              </w:rPr>
            </w:pPr>
            <w:r w:rsidRPr="00C2587D">
              <w:rPr>
                <w:rFonts w:cs="Arial"/>
                <w:szCs w:val="22"/>
                <w:lang w:eastAsia="it-IT"/>
              </w:rPr>
              <w:t>Жмеринська МТГ</w:t>
            </w:r>
          </w:p>
        </w:tc>
      </w:tr>
      <w:tr w:rsidR="00552466" w:rsidRPr="00C2587D" w14:paraId="67E456B6" w14:textId="77777777" w:rsidTr="00D7011A">
        <w:trPr>
          <w:jc w:val="right"/>
        </w:trPr>
        <w:tc>
          <w:tcPr>
            <w:tcW w:w="3425" w:type="dxa"/>
            <w:vAlign w:val="center"/>
          </w:tcPr>
          <w:p w14:paraId="4989B07F" w14:textId="77777777" w:rsidR="00552466" w:rsidRPr="00C2587D" w:rsidRDefault="00552466" w:rsidP="00D7011A">
            <w:pPr>
              <w:autoSpaceDE w:val="0"/>
              <w:autoSpaceDN w:val="0"/>
              <w:adjustRightInd w:val="0"/>
              <w:rPr>
                <w:rFonts w:cs="Arial"/>
                <w:b/>
                <w:color w:val="000000"/>
                <w:szCs w:val="22"/>
              </w:rPr>
            </w:pPr>
            <w:r w:rsidRPr="00C2587D">
              <w:rPr>
                <w:rFonts w:cs="Arial"/>
                <w:b/>
                <w:color w:val="000000"/>
                <w:szCs w:val="22"/>
              </w:rPr>
              <w:t>Цільові групи проєкту та  кількість отримувачів вигоди</w:t>
            </w:r>
          </w:p>
        </w:tc>
        <w:tc>
          <w:tcPr>
            <w:tcW w:w="6954" w:type="dxa"/>
            <w:gridSpan w:val="5"/>
          </w:tcPr>
          <w:p w14:paraId="4244E3CF" w14:textId="77777777" w:rsidR="00552466" w:rsidRPr="00C2587D" w:rsidRDefault="00552466" w:rsidP="00AB7523">
            <w:pPr>
              <w:spacing w:before="40" w:after="40"/>
              <w:jc w:val="both"/>
              <w:rPr>
                <w:rFonts w:cs="Arial"/>
                <w:szCs w:val="22"/>
                <w:lang w:eastAsia="it-IT"/>
              </w:rPr>
            </w:pPr>
            <w:r w:rsidRPr="00C2587D">
              <w:rPr>
                <w:rFonts w:cs="Arial"/>
                <w:szCs w:val="22"/>
                <w:lang w:eastAsia="it-IT"/>
              </w:rPr>
              <w:t>49 474  жителів громади</w:t>
            </w:r>
          </w:p>
        </w:tc>
      </w:tr>
      <w:tr w:rsidR="00552466" w:rsidRPr="00C2587D" w14:paraId="40C78B9F" w14:textId="77777777" w:rsidTr="00D7011A">
        <w:trPr>
          <w:jc w:val="right"/>
        </w:trPr>
        <w:tc>
          <w:tcPr>
            <w:tcW w:w="3425" w:type="dxa"/>
            <w:shd w:val="clear" w:color="auto" w:fill="FFFFFF"/>
            <w:vAlign w:val="center"/>
          </w:tcPr>
          <w:p w14:paraId="3DDF6E24" w14:textId="12DC5909" w:rsidR="00552466" w:rsidRPr="00C2587D" w:rsidRDefault="00883FA4" w:rsidP="00D7011A">
            <w:pPr>
              <w:rPr>
                <w:rFonts w:cs="Arial"/>
                <w:b/>
                <w:bCs/>
                <w:color w:val="000000"/>
                <w:szCs w:val="22"/>
              </w:rPr>
            </w:pPr>
            <w:r>
              <w:rPr>
                <w:rFonts w:cs="Arial"/>
                <w:b/>
                <w:bCs/>
                <w:color w:val="000000"/>
                <w:szCs w:val="22"/>
              </w:rPr>
              <w:t>Стислий опис проє</w:t>
            </w:r>
            <w:r w:rsidR="00552466" w:rsidRPr="00C2587D">
              <w:rPr>
                <w:rFonts w:cs="Arial"/>
                <w:b/>
                <w:bCs/>
                <w:color w:val="000000"/>
                <w:szCs w:val="22"/>
              </w:rPr>
              <w:t>кту:</w:t>
            </w:r>
          </w:p>
        </w:tc>
        <w:tc>
          <w:tcPr>
            <w:tcW w:w="6954" w:type="dxa"/>
            <w:gridSpan w:val="5"/>
          </w:tcPr>
          <w:p w14:paraId="3F9135BE" w14:textId="77777777" w:rsidR="00552466" w:rsidRPr="00C2587D" w:rsidRDefault="00552466" w:rsidP="00AB7523">
            <w:pPr>
              <w:jc w:val="both"/>
              <w:rPr>
                <w:rFonts w:cs="Arial"/>
                <w:szCs w:val="22"/>
                <w:lang w:eastAsia="en-US"/>
              </w:rPr>
            </w:pPr>
            <w:r w:rsidRPr="00C2587D">
              <w:rPr>
                <w:rFonts w:cs="Arial"/>
                <w:szCs w:val="22"/>
              </w:rPr>
              <w:t>В</w:t>
            </w:r>
            <w:r w:rsidRPr="00C2587D">
              <w:rPr>
                <w:rFonts w:cs="Arial"/>
                <w:szCs w:val="22"/>
                <w:lang w:eastAsia="ar-SA"/>
              </w:rPr>
              <w:t>изначення та реалізація основних напрямів  політики міської ради,  спрямованих  на  удосконалення земельних відносин  та  створення  сприятливих  умов  для  сталого  розвитку землекористування  території громади, сприяння розвитку високоефективного конкурентоспроможного виробництва,</w:t>
            </w:r>
            <w:r w:rsidRPr="00C2587D">
              <w:rPr>
                <w:rFonts w:cs="Arial"/>
                <w:szCs w:val="22"/>
              </w:rPr>
              <w:t xml:space="preserve"> встановлення (коригування) меж населених пунктів, інвентаризація земель, актуалізація нормативної грошової оцінки земель, розвиток ринкових земельних відносин в Жмеринській міській територіальній громаді</w:t>
            </w:r>
          </w:p>
        </w:tc>
      </w:tr>
      <w:tr w:rsidR="00552466" w:rsidRPr="00C2587D" w14:paraId="18C56689" w14:textId="77777777" w:rsidTr="00D7011A">
        <w:trPr>
          <w:trHeight w:val="56"/>
          <w:jc w:val="right"/>
        </w:trPr>
        <w:tc>
          <w:tcPr>
            <w:tcW w:w="3425" w:type="dxa"/>
            <w:shd w:val="clear" w:color="auto" w:fill="FFFFFF"/>
            <w:vAlign w:val="center"/>
          </w:tcPr>
          <w:p w14:paraId="4244252F" w14:textId="77777777" w:rsidR="00552466" w:rsidRPr="00C2587D" w:rsidRDefault="00552466" w:rsidP="00D7011A">
            <w:pPr>
              <w:rPr>
                <w:rFonts w:cs="Arial"/>
                <w:b/>
                <w:bCs/>
                <w:color w:val="000000"/>
                <w:szCs w:val="22"/>
              </w:rPr>
            </w:pPr>
            <w:r w:rsidRPr="00C2587D">
              <w:rPr>
                <w:rFonts w:cs="Arial"/>
                <w:b/>
                <w:bCs/>
                <w:color w:val="000000"/>
                <w:szCs w:val="22"/>
              </w:rPr>
              <w:t>Основні заходи проєкту:</w:t>
            </w:r>
          </w:p>
          <w:p w14:paraId="4B534E6C" w14:textId="77777777" w:rsidR="00552466" w:rsidRPr="00C2587D" w:rsidRDefault="00552466" w:rsidP="00D7011A">
            <w:pPr>
              <w:rPr>
                <w:rFonts w:cs="Arial"/>
                <w:b/>
                <w:bCs/>
                <w:color w:val="000000"/>
                <w:szCs w:val="22"/>
              </w:rPr>
            </w:pPr>
          </w:p>
        </w:tc>
        <w:tc>
          <w:tcPr>
            <w:tcW w:w="6954" w:type="dxa"/>
            <w:gridSpan w:val="5"/>
            <w:shd w:val="clear" w:color="auto" w:fill="FFFFFF"/>
          </w:tcPr>
          <w:p w14:paraId="55F4509C" w14:textId="77777777" w:rsidR="00552466" w:rsidRPr="00C2587D" w:rsidRDefault="00552466" w:rsidP="00AB7523">
            <w:pPr>
              <w:spacing w:before="40" w:after="40"/>
              <w:jc w:val="both"/>
              <w:rPr>
                <w:rFonts w:cs="Arial"/>
                <w:szCs w:val="22"/>
              </w:rPr>
            </w:pPr>
            <w:r w:rsidRPr="00C2587D">
              <w:rPr>
                <w:rFonts w:cs="Arial"/>
                <w:szCs w:val="22"/>
                <w:lang w:eastAsia="it-IT"/>
              </w:rPr>
              <w:t>З</w:t>
            </w:r>
            <w:r w:rsidRPr="00C2587D">
              <w:rPr>
                <w:rFonts w:cs="Arial"/>
                <w:szCs w:val="22"/>
              </w:rPr>
              <w:t>амовлення плану земельно господарського устрою населеного пункту</w:t>
            </w:r>
          </w:p>
        </w:tc>
      </w:tr>
      <w:tr w:rsidR="00552466" w:rsidRPr="00C2587D" w14:paraId="53B433FE" w14:textId="77777777" w:rsidTr="00D7011A">
        <w:trPr>
          <w:jc w:val="right"/>
        </w:trPr>
        <w:tc>
          <w:tcPr>
            <w:tcW w:w="3425" w:type="dxa"/>
            <w:shd w:val="clear" w:color="auto" w:fill="FFFFFF"/>
            <w:vAlign w:val="center"/>
          </w:tcPr>
          <w:p w14:paraId="67FB64E4" w14:textId="77777777" w:rsidR="00552466" w:rsidRPr="00C2587D" w:rsidRDefault="00552466" w:rsidP="00D7011A">
            <w:pPr>
              <w:rPr>
                <w:rFonts w:cs="Arial"/>
                <w:b/>
                <w:bCs/>
                <w:color w:val="000000"/>
                <w:szCs w:val="22"/>
              </w:rPr>
            </w:pPr>
            <w:r w:rsidRPr="00C2587D">
              <w:rPr>
                <w:rFonts w:cs="Arial"/>
                <w:b/>
                <w:bCs/>
                <w:color w:val="000000"/>
                <w:szCs w:val="22"/>
              </w:rPr>
              <w:t>Індикатори (показники) результативності:</w:t>
            </w:r>
          </w:p>
        </w:tc>
        <w:tc>
          <w:tcPr>
            <w:tcW w:w="6954" w:type="dxa"/>
            <w:gridSpan w:val="5"/>
            <w:shd w:val="clear" w:color="auto" w:fill="FFFFFF"/>
          </w:tcPr>
          <w:p w14:paraId="325A77D7" w14:textId="77777777" w:rsidR="00552466" w:rsidRPr="00C2587D" w:rsidRDefault="00552466" w:rsidP="00AB7523">
            <w:pPr>
              <w:spacing w:before="40" w:after="40"/>
              <w:jc w:val="both"/>
              <w:rPr>
                <w:rFonts w:cs="Arial"/>
                <w:szCs w:val="22"/>
              </w:rPr>
            </w:pPr>
            <w:r w:rsidRPr="00C2587D">
              <w:rPr>
                <w:rFonts w:cs="Arial"/>
                <w:szCs w:val="22"/>
              </w:rPr>
              <w:t>Упорядкування відомостей про земельні ділянки і їх землекористувачів, створення реального банку ринку землі, оперативне вирішення питання забудови, планування і зонування, експлуатації інженерних мереж, управління земельними ресурсами</w:t>
            </w:r>
          </w:p>
        </w:tc>
      </w:tr>
      <w:tr w:rsidR="00552466" w:rsidRPr="00C2587D" w14:paraId="4E0178CE" w14:textId="77777777" w:rsidTr="00D7011A">
        <w:trPr>
          <w:jc w:val="right"/>
        </w:trPr>
        <w:tc>
          <w:tcPr>
            <w:tcW w:w="3425" w:type="dxa"/>
            <w:shd w:val="clear" w:color="auto" w:fill="FFFFFF"/>
            <w:vAlign w:val="center"/>
          </w:tcPr>
          <w:p w14:paraId="433B7CA7" w14:textId="77777777" w:rsidR="00552466" w:rsidRPr="00C2587D" w:rsidRDefault="00552466" w:rsidP="00D7011A">
            <w:pPr>
              <w:rPr>
                <w:rFonts w:cs="Arial"/>
                <w:b/>
                <w:color w:val="000000"/>
                <w:szCs w:val="22"/>
              </w:rPr>
            </w:pPr>
            <w:r w:rsidRPr="00C2587D">
              <w:rPr>
                <w:rFonts w:cs="Arial"/>
                <w:b/>
                <w:color w:val="000000"/>
                <w:szCs w:val="22"/>
              </w:rPr>
              <w:t xml:space="preserve">Період здійснення: </w:t>
            </w:r>
          </w:p>
        </w:tc>
        <w:tc>
          <w:tcPr>
            <w:tcW w:w="6954" w:type="dxa"/>
            <w:gridSpan w:val="5"/>
            <w:vAlign w:val="center"/>
          </w:tcPr>
          <w:p w14:paraId="5C29E34A" w14:textId="77777777" w:rsidR="00552466" w:rsidRPr="00C2587D" w:rsidRDefault="00552466" w:rsidP="00AB7523">
            <w:pPr>
              <w:jc w:val="both"/>
              <w:rPr>
                <w:rFonts w:cs="Arial"/>
                <w:color w:val="000000"/>
                <w:szCs w:val="22"/>
                <w:lang w:eastAsia="it-IT"/>
              </w:rPr>
            </w:pPr>
            <w:r w:rsidRPr="00C2587D">
              <w:rPr>
                <w:rFonts w:cs="Arial"/>
                <w:b/>
                <w:color w:val="000000"/>
                <w:szCs w:val="22"/>
              </w:rPr>
              <w:t>2025 – 2028 роки:</w:t>
            </w:r>
          </w:p>
        </w:tc>
      </w:tr>
      <w:tr w:rsidR="00552466" w:rsidRPr="00C2587D" w14:paraId="068B88CB" w14:textId="77777777" w:rsidTr="00D7011A">
        <w:trPr>
          <w:jc w:val="right"/>
        </w:trPr>
        <w:tc>
          <w:tcPr>
            <w:tcW w:w="3425" w:type="dxa"/>
            <w:vMerge w:val="restart"/>
            <w:shd w:val="clear" w:color="auto" w:fill="FFFFFF"/>
            <w:vAlign w:val="center"/>
          </w:tcPr>
          <w:p w14:paraId="29845865" w14:textId="77777777" w:rsidR="00552466" w:rsidRPr="00C2587D" w:rsidRDefault="00552466" w:rsidP="00D7011A">
            <w:pPr>
              <w:rPr>
                <w:rFonts w:cs="Arial"/>
                <w:b/>
                <w:bCs/>
                <w:color w:val="000000"/>
                <w:szCs w:val="22"/>
              </w:rPr>
            </w:pPr>
            <w:r w:rsidRPr="00C2587D">
              <w:rPr>
                <w:rFonts w:cs="Arial"/>
                <w:b/>
                <w:bCs/>
                <w:color w:val="000000"/>
                <w:szCs w:val="22"/>
              </w:rPr>
              <w:t>Орієнтовна вартість проєкту, тис. грн., в тому числі:</w:t>
            </w:r>
          </w:p>
        </w:tc>
        <w:tc>
          <w:tcPr>
            <w:tcW w:w="1254" w:type="dxa"/>
            <w:shd w:val="clear" w:color="auto" w:fill="E6E6E6"/>
            <w:vAlign w:val="center"/>
          </w:tcPr>
          <w:p w14:paraId="553FE133" w14:textId="77777777" w:rsidR="00552466" w:rsidRPr="00C2587D" w:rsidRDefault="00552466" w:rsidP="00AB7523">
            <w:pPr>
              <w:jc w:val="center"/>
              <w:rPr>
                <w:rFonts w:cs="Arial"/>
                <w:b/>
                <w:color w:val="000000"/>
                <w:szCs w:val="22"/>
                <w:lang w:eastAsia="it-IT"/>
              </w:rPr>
            </w:pPr>
            <w:r w:rsidRPr="00C2587D">
              <w:rPr>
                <w:rFonts w:cs="Arial"/>
                <w:b/>
                <w:color w:val="000000"/>
                <w:szCs w:val="22"/>
                <w:lang w:eastAsia="it-IT"/>
              </w:rPr>
              <w:t>2025</w:t>
            </w:r>
          </w:p>
        </w:tc>
        <w:tc>
          <w:tcPr>
            <w:tcW w:w="1417" w:type="dxa"/>
            <w:shd w:val="clear" w:color="auto" w:fill="E6E6E6"/>
            <w:vAlign w:val="center"/>
          </w:tcPr>
          <w:p w14:paraId="0EAF3873" w14:textId="77777777" w:rsidR="00552466" w:rsidRPr="00C2587D" w:rsidRDefault="00552466" w:rsidP="00AB7523">
            <w:pPr>
              <w:jc w:val="center"/>
              <w:rPr>
                <w:rFonts w:cs="Arial"/>
                <w:b/>
                <w:color w:val="000000"/>
                <w:szCs w:val="22"/>
                <w:lang w:eastAsia="it-IT"/>
              </w:rPr>
            </w:pPr>
            <w:r w:rsidRPr="00C2587D">
              <w:rPr>
                <w:rFonts w:cs="Arial"/>
                <w:b/>
                <w:color w:val="000000"/>
                <w:szCs w:val="22"/>
                <w:lang w:eastAsia="it-IT"/>
              </w:rPr>
              <w:t>2026</w:t>
            </w:r>
          </w:p>
        </w:tc>
        <w:tc>
          <w:tcPr>
            <w:tcW w:w="1418" w:type="dxa"/>
            <w:tcBorders>
              <w:bottom w:val="single" w:sz="4" w:space="0" w:color="auto"/>
            </w:tcBorders>
            <w:shd w:val="clear" w:color="auto" w:fill="E6E6E6"/>
            <w:vAlign w:val="center"/>
          </w:tcPr>
          <w:p w14:paraId="73153BDC" w14:textId="77777777" w:rsidR="00552466" w:rsidRPr="00C2587D" w:rsidRDefault="00552466" w:rsidP="00AB7523">
            <w:pPr>
              <w:jc w:val="center"/>
              <w:rPr>
                <w:rFonts w:cs="Arial"/>
                <w:b/>
                <w:color w:val="000000"/>
                <w:szCs w:val="22"/>
                <w:lang w:eastAsia="it-IT"/>
              </w:rPr>
            </w:pPr>
            <w:r w:rsidRPr="00C2587D">
              <w:rPr>
                <w:rFonts w:cs="Arial"/>
                <w:b/>
                <w:color w:val="000000"/>
                <w:szCs w:val="22"/>
                <w:lang w:eastAsia="it-IT"/>
              </w:rPr>
              <w:t>2027</w:t>
            </w:r>
          </w:p>
        </w:tc>
        <w:tc>
          <w:tcPr>
            <w:tcW w:w="1275" w:type="dxa"/>
            <w:shd w:val="clear" w:color="auto" w:fill="E6E6E6"/>
            <w:vAlign w:val="center"/>
          </w:tcPr>
          <w:p w14:paraId="10A66DF2" w14:textId="77777777" w:rsidR="00552466" w:rsidRPr="00C2587D" w:rsidRDefault="00552466" w:rsidP="00AB7523">
            <w:pPr>
              <w:jc w:val="center"/>
              <w:rPr>
                <w:rFonts w:cs="Arial"/>
                <w:b/>
                <w:color w:val="000000"/>
                <w:szCs w:val="22"/>
                <w:lang w:eastAsia="it-IT"/>
              </w:rPr>
            </w:pPr>
            <w:r w:rsidRPr="00C2587D">
              <w:rPr>
                <w:rFonts w:cs="Arial"/>
                <w:b/>
                <w:color w:val="000000"/>
                <w:szCs w:val="22"/>
                <w:lang w:eastAsia="it-IT"/>
              </w:rPr>
              <w:t>2028</w:t>
            </w:r>
          </w:p>
        </w:tc>
        <w:tc>
          <w:tcPr>
            <w:tcW w:w="1590" w:type="dxa"/>
            <w:shd w:val="clear" w:color="auto" w:fill="E6E6E6"/>
            <w:vAlign w:val="center"/>
          </w:tcPr>
          <w:p w14:paraId="5BD49CAD" w14:textId="77777777" w:rsidR="00552466" w:rsidRPr="00C2587D" w:rsidRDefault="00552466" w:rsidP="00AB7523">
            <w:pPr>
              <w:jc w:val="center"/>
              <w:rPr>
                <w:rFonts w:cs="Arial"/>
                <w:b/>
                <w:color w:val="000000"/>
                <w:szCs w:val="22"/>
                <w:lang w:eastAsia="it-IT"/>
              </w:rPr>
            </w:pPr>
            <w:r w:rsidRPr="00C2587D">
              <w:rPr>
                <w:rFonts w:cs="Arial"/>
                <w:b/>
                <w:color w:val="000000"/>
                <w:szCs w:val="22"/>
                <w:lang w:eastAsia="it-IT"/>
              </w:rPr>
              <w:t>РАЗОМ</w:t>
            </w:r>
          </w:p>
        </w:tc>
      </w:tr>
      <w:tr w:rsidR="00552466" w:rsidRPr="00C2587D" w14:paraId="4930DD52" w14:textId="77777777" w:rsidTr="00D7011A">
        <w:trPr>
          <w:trHeight w:val="645"/>
          <w:jc w:val="right"/>
        </w:trPr>
        <w:tc>
          <w:tcPr>
            <w:tcW w:w="3425" w:type="dxa"/>
            <w:vMerge/>
            <w:shd w:val="clear" w:color="auto" w:fill="FFFFFF"/>
            <w:vAlign w:val="center"/>
          </w:tcPr>
          <w:p w14:paraId="320B9576" w14:textId="77777777" w:rsidR="00552466" w:rsidRPr="00C2587D" w:rsidRDefault="00552466" w:rsidP="00D7011A">
            <w:pPr>
              <w:rPr>
                <w:rFonts w:cs="Arial"/>
                <w:b/>
                <w:bCs/>
                <w:color w:val="000000"/>
                <w:szCs w:val="22"/>
              </w:rPr>
            </w:pPr>
          </w:p>
        </w:tc>
        <w:tc>
          <w:tcPr>
            <w:tcW w:w="1254" w:type="dxa"/>
            <w:vAlign w:val="center"/>
          </w:tcPr>
          <w:p w14:paraId="01718ED0" w14:textId="77777777" w:rsidR="00552466" w:rsidRPr="00C2587D" w:rsidRDefault="00552466" w:rsidP="00AB7523">
            <w:pPr>
              <w:jc w:val="center"/>
              <w:rPr>
                <w:rFonts w:cs="Arial"/>
                <w:szCs w:val="22"/>
                <w:lang w:eastAsia="it-IT"/>
              </w:rPr>
            </w:pPr>
            <w:r w:rsidRPr="00C2587D">
              <w:rPr>
                <w:rFonts w:cs="Arial"/>
                <w:szCs w:val="22"/>
                <w:lang w:eastAsia="it-IT"/>
              </w:rPr>
              <w:t>0</w:t>
            </w:r>
          </w:p>
        </w:tc>
        <w:tc>
          <w:tcPr>
            <w:tcW w:w="1417" w:type="dxa"/>
            <w:shd w:val="clear" w:color="auto" w:fill="FFFFFF"/>
            <w:vAlign w:val="center"/>
          </w:tcPr>
          <w:p w14:paraId="7C8064DA" w14:textId="77777777" w:rsidR="00552466" w:rsidRPr="00C2587D" w:rsidRDefault="00552466" w:rsidP="00AB7523">
            <w:pPr>
              <w:jc w:val="center"/>
              <w:rPr>
                <w:rFonts w:cs="Arial"/>
                <w:szCs w:val="22"/>
                <w:lang w:eastAsia="it-IT"/>
              </w:rPr>
            </w:pPr>
            <w:r w:rsidRPr="00C2587D">
              <w:rPr>
                <w:rFonts w:cs="Arial"/>
                <w:szCs w:val="22"/>
                <w:lang w:eastAsia="it-IT"/>
              </w:rPr>
              <w:t>200,00</w:t>
            </w:r>
          </w:p>
        </w:tc>
        <w:tc>
          <w:tcPr>
            <w:tcW w:w="1418" w:type="dxa"/>
            <w:shd w:val="clear" w:color="auto" w:fill="auto"/>
            <w:vAlign w:val="center"/>
          </w:tcPr>
          <w:p w14:paraId="64A9EE3D" w14:textId="77777777" w:rsidR="00552466" w:rsidRPr="00C2587D" w:rsidRDefault="00552466" w:rsidP="00AB7523">
            <w:pPr>
              <w:jc w:val="center"/>
              <w:rPr>
                <w:rFonts w:cs="Arial"/>
                <w:szCs w:val="22"/>
                <w:lang w:eastAsia="it-IT"/>
              </w:rPr>
            </w:pPr>
            <w:r w:rsidRPr="00C2587D">
              <w:rPr>
                <w:rFonts w:cs="Arial"/>
                <w:szCs w:val="22"/>
                <w:lang w:eastAsia="it-IT"/>
              </w:rPr>
              <w:t>0</w:t>
            </w:r>
          </w:p>
        </w:tc>
        <w:tc>
          <w:tcPr>
            <w:tcW w:w="1275" w:type="dxa"/>
            <w:shd w:val="clear" w:color="auto" w:fill="FFFFFF"/>
            <w:vAlign w:val="center"/>
          </w:tcPr>
          <w:p w14:paraId="662586E1" w14:textId="77777777" w:rsidR="00552466" w:rsidRPr="00C2587D" w:rsidRDefault="00552466" w:rsidP="00AB7523">
            <w:pPr>
              <w:jc w:val="center"/>
              <w:rPr>
                <w:rFonts w:cs="Arial"/>
                <w:szCs w:val="22"/>
                <w:lang w:eastAsia="it-IT"/>
              </w:rPr>
            </w:pPr>
            <w:r w:rsidRPr="00C2587D">
              <w:rPr>
                <w:rFonts w:cs="Arial"/>
                <w:szCs w:val="22"/>
                <w:lang w:eastAsia="it-IT"/>
              </w:rPr>
              <w:t>0</w:t>
            </w:r>
          </w:p>
        </w:tc>
        <w:tc>
          <w:tcPr>
            <w:tcW w:w="1590" w:type="dxa"/>
            <w:shd w:val="clear" w:color="auto" w:fill="FFFFFF"/>
            <w:vAlign w:val="center"/>
          </w:tcPr>
          <w:p w14:paraId="48B45515" w14:textId="77777777" w:rsidR="00552466" w:rsidRPr="00C2587D" w:rsidRDefault="00552466" w:rsidP="00AB7523">
            <w:pPr>
              <w:jc w:val="center"/>
              <w:rPr>
                <w:rFonts w:cs="Arial"/>
                <w:szCs w:val="22"/>
                <w:lang w:eastAsia="it-IT"/>
              </w:rPr>
            </w:pPr>
            <w:r w:rsidRPr="00C2587D">
              <w:rPr>
                <w:rFonts w:cs="Arial"/>
                <w:szCs w:val="22"/>
                <w:lang w:eastAsia="it-IT"/>
              </w:rPr>
              <w:t>200,00</w:t>
            </w:r>
          </w:p>
        </w:tc>
      </w:tr>
      <w:tr w:rsidR="00552466" w:rsidRPr="00C2587D" w14:paraId="1A46263D" w14:textId="77777777" w:rsidTr="00D7011A">
        <w:trPr>
          <w:trHeight w:val="276"/>
          <w:jc w:val="right"/>
        </w:trPr>
        <w:tc>
          <w:tcPr>
            <w:tcW w:w="3425" w:type="dxa"/>
            <w:shd w:val="clear" w:color="auto" w:fill="FFFFFF"/>
            <w:vAlign w:val="center"/>
          </w:tcPr>
          <w:p w14:paraId="72A772B2" w14:textId="77777777" w:rsidR="00552466" w:rsidRPr="00C2587D" w:rsidRDefault="00552466" w:rsidP="00D7011A">
            <w:pPr>
              <w:rPr>
                <w:rFonts w:cs="Arial"/>
                <w:b/>
                <w:bCs/>
                <w:color w:val="000000"/>
                <w:szCs w:val="22"/>
              </w:rPr>
            </w:pPr>
            <w:r w:rsidRPr="00C2587D">
              <w:rPr>
                <w:rFonts w:cs="Arial"/>
                <w:b/>
                <w:bCs/>
                <w:color w:val="000000"/>
                <w:szCs w:val="22"/>
              </w:rPr>
              <w:t>по джерелах фінансування:</w:t>
            </w:r>
          </w:p>
        </w:tc>
        <w:tc>
          <w:tcPr>
            <w:tcW w:w="1254" w:type="dxa"/>
            <w:vAlign w:val="center"/>
          </w:tcPr>
          <w:p w14:paraId="1CE803B0" w14:textId="77777777" w:rsidR="00552466" w:rsidRPr="00C2587D" w:rsidRDefault="00552466" w:rsidP="00AB7523">
            <w:pPr>
              <w:jc w:val="center"/>
              <w:rPr>
                <w:rFonts w:cs="Arial"/>
                <w:szCs w:val="22"/>
                <w:lang w:eastAsia="it-IT"/>
              </w:rPr>
            </w:pPr>
          </w:p>
        </w:tc>
        <w:tc>
          <w:tcPr>
            <w:tcW w:w="1417" w:type="dxa"/>
            <w:shd w:val="clear" w:color="auto" w:fill="FFFFFF"/>
            <w:vAlign w:val="center"/>
          </w:tcPr>
          <w:p w14:paraId="0BE23582" w14:textId="77777777" w:rsidR="00552466" w:rsidRPr="00C2587D" w:rsidRDefault="00552466" w:rsidP="00AB7523">
            <w:pPr>
              <w:jc w:val="center"/>
              <w:rPr>
                <w:rFonts w:cs="Arial"/>
                <w:szCs w:val="22"/>
                <w:lang w:eastAsia="it-IT"/>
              </w:rPr>
            </w:pPr>
          </w:p>
        </w:tc>
        <w:tc>
          <w:tcPr>
            <w:tcW w:w="1418" w:type="dxa"/>
            <w:shd w:val="clear" w:color="auto" w:fill="auto"/>
            <w:vAlign w:val="center"/>
          </w:tcPr>
          <w:p w14:paraId="002B630B" w14:textId="77777777" w:rsidR="00552466" w:rsidRPr="00C2587D" w:rsidRDefault="00552466" w:rsidP="00AB7523">
            <w:pPr>
              <w:jc w:val="center"/>
              <w:rPr>
                <w:rFonts w:cs="Arial"/>
                <w:szCs w:val="22"/>
                <w:lang w:eastAsia="it-IT"/>
              </w:rPr>
            </w:pPr>
          </w:p>
        </w:tc>
        <w:tc>
          <w:tcPr>
            <w:tcW w:w="1275" w:type="dxa"/>
            <w:shd w:val="clear" w:color="auto" w:fill="FFFFFF"/>
            <w:vAlign w:val="center"/>
          </w:tcPr>
          <w:p w14:paraId="1B8353EC" w14:textId="77777777" w:rsidR="00552466" w:rsidRPr="00C2587D" w:rsidRDefault="00552466" w:rsidP="00AB7523">
            <w:pPr>
              <w:jc w:val="center"/>
              <w:rPr>
                <w:rFonts w:cs="Arial"/>
                <w:szCs w:val="22"/>
                <w:lang w:eastAsia="it-IT"/>
              </w:rPr>
            </w:pPr>
          </w:p>
        </w:tc>
        <w:tc>
          <w:tcPr>
            <w:tcW w:w="1590" w:type="dxa"/>
            <w:shd w:val="clear" w:color="auto" w:fill="FFFFFF"/>
            <w:vAlign w:val="center"/>
          </w:tcPr>
          <w:p w14:paraId="18373DAF" w14:textId="77777777" w:rsidR="00552466" w:rsidRPr="00C2587D" w:rsidRDefault="00552466" w:rsidP="00AB7523">
            <w:pPr>
              <w:jc w:val="center"/>
              <w:rPr>
                <w:rFonts w:cs="Arial"/>
                <w:szCs w:val="22"/>
                <w:lang w:eastAsia="it-IT"/>
              </w:rPr>
            </w:pPr>
          </w:p>
        </w:tc>
      </w:tr>
      <w:tr w:rsidR="00552466" w:rsidRPr="00C2587D" w14:paraId="1337E6DE" w14:textId="77777777" w:rsidTr="00D7011A">
        <w:trPr>
          <w:trHeight w:val="230"/>
          <w:jc w:val="right"/>
        </w:trPr>
        <w:tc>
          <w:tcPr>
            <w:tcW w:w="3425" w:type="dxa"/>
            <w:shd w:val="clear" w:color="auto" w:fill="FFFFFF"/>
            <w:vAlign w:val="center"/>
          </w:tcPr>
          <w:p w14:paraId="1035A677" w14:textId="77777777" w:rsidR="00552466" w:rsidRPr="00C2587D" w:rsidRDefault="00552466" w:rsidP="00D7011A">
            <w:pPr>
              <w:rPr>
                <w:rFonts w:cs="Arial"/>
                <w:bCs/>
                <w:color w:val="000000"/>
                <w:szCs w:val="22"/>
              </w:rPr>
            </w:pPr>
            <w:r w:rsidRPr="00C2587D">
              <w:rPr>
                <w:rFonts w:cs="Arial"/>
                <w:bCs/>
                <w:color w:val="000000"/>
                <w:szCs w:val="22"/>
              </w:rPr>
              <w:t>-державний бюджет</w:t>
            </w:r>
          </w:p>
        </w:tc>
        <w:tc>
          <w:tcPr>
            <w:tcW w:w="1254" w:type="dxa"/>
            <w:vAlign w:val="center"/>
          </w:tcPr>
          <w:p w14:paraId="753FCE76" w14:textId="77777777" w:rsidR="00552466" w:rsidRPr="00C2587D" w:rsidRDefault="00552466" w:rsidP="00AB7523">
            <w:pPr>
              <w:jc w:val="center"/>
              <w:rPr>
                <w:rFonts w:cs="Arial"/>
                <w:szCs w:val="22"/>
                <w:lang w:eastAsia="it-IT"/>
              </w:rPr>
            </w:pPr>
          </w:p>
        </w:tc>
        <w:tc>
          <w:tcPr>
            <w:tcW w:w="1417" w:type="dxa"/>
            <w:shd w:val="clear" w:color="auto" w:fill="FFFFFF"/>
            <w:vAlign w:val="center"/>
          </w:tcPr>
          <w:p w14:paraId="2BE07DA7" w14:textId="77777777" w:rsidR="00552466" w:rsidRPr="00C2587D" w:rsidRDefault="00552466" w:rsidP="00AB7523">
            <w:pPr>
              <w:jc w:val="center"/>
              <w:rPr>
                <w:rFonts w:cs="Arial"/>
                <w:szCs w:val="22"/>
                <w:lang w:eastAsia="it-IT"/>
              </w:rPr>
            </w:pPr>
          </w:p>
        </w:tc>
        <w:tc>
          <w:tcPr>
            <w:tcW w:w="1418" w:type="dxa"/>
            <w:shd w:val="clear" w:color="auto" w:fill="auto"/>
            <w:vAlign w:val="center"/>
          </w:tcPr>
          <w:p w14:paraId="5E414203" w14:textId="77777777" w:rsidR="00552466" w:rsidRPr="00C2587D" w:rsidRDefault="00552466" w:rsidP="00AB7523">
            <w:pPr>
              <w:jc w:val="center"/>
              <w:rPr>
                <w:rFonts w:cs="Arial"/>
                <w:szCs w:val="22"/>
                <w:lang w:eastAsia="it-IT"/>
              </w:rPr>
            </w:pPr>
          </w:p>
        </w:tc>
        <w:tc>
          <w:tcPr>
            <w:tcW w:w="1275" w:type="dxa"/>
            <w:shd w:val="clear" w:color="auto" w:fill="FFFFFF"/>
            <w:vAlign w:val="center"/>
          </w:tcPr>
          <w:p w14:paraId="088E5ED6" w14:textId="77777777" w:rsidR="00552466" w:rsidRPr="00C2587D" w:rsidRDefault="00552466" w:rsidP="00AB7523">
            <w:pPr>
              <w:jc w:val="center"/>
              <w:rPr>
                <w:rFonts w:cs="Arial"/>
                <w:szCs w:val="22"/>
                <w:lang w:eastAsia="it-IT"/>
              </w:rPr>
            </w:pPr>
          </w:p>
        </w:tc>
        <w:tc>
          <w:tcPr>
            <w:tcW w:w="1590" w:type="dxa"/>
            <w:shd w:val="clear" w:color="auto" w:fill="FFFFFF"/>
            <w:vAlign w:val="center"/>
          </w:tcPr>
          <w:p w14:paraId="58D8E0E0" w14:textId="77777777" w:rsidR="00552466" w:rsidRPr="00C2587D" w:rsidRDefault="00552466" w:rsidP="00AB7523">
            <w:pPr>
              <w:jc w:val="center"/>
              <w:rPr>
                <w:rFonts w:cs="Arial"/>
                <w:szCs w:val="22"/>
                <w:lang w:eastAsia="it-IT"/>
              </w:rPr>
            </w:pPr>
          </w:p>
        </w:tc>
      </w:tr>
      <w:tr w:rsidR="00552466" w:rsidRPr="00C2587D" w14:paraId="4154F26A" w14:textId="77777777" w:rsidTr="00D7011A">
        <w:trPr>
          <w:trHeight w:val="253"/>
          <w:jc w:val="right"/>
        </w:trPr>
        <w:tc>
          <w:tcPr>
            <w:tcW w:w="3425" w:type="dxa"/>
            <w:shd w:val="clear" w:color="auto" w:fill="FFFFFF"/>
            <w:vAlign w:val="center"/>
          </w:tcPr>
          <w:p w14:paraId="62A07EEE" w14:textId="77777777" w:rsidR="00552466" w:rsidRPr="00C2587D" w:rsidRDefault="00552466" w:rsidP="00D7011A">
            <w:pPr>
              <w:rPr>
                <w:rFonts w:cs="Arial"/>
                <w:bCs/>
                <w:color w:val="000000"/>
                <w:szCs w:val="22"/>
              </w:rPr>
            </w:pPr>
            <w:r w:rsidRPr="00C2587D">
              <w:rPr>
                <w:rFonts w:cs="Arial"/>
                <w:bCs/>
                <w:color w:val="000000"/>
                <w:szCs w:val="22"/>
              </w:rPr>
              <w:t>-обласний бюджет</w:t>
            </w:r>
          </w:p>
        </w:tc>
        <w:tc>
          <w:tcPr>
            <w:tcW w:w="1254" w:type="dxa"/>
            <w:vAlign w:val="center"/>
          </w:tcPr>
          <w:p w14:paraId="423257B6" w14:textId="77777777" w:rsidR="00552466" w:rsidRPr="00C2587D" w:rsidRDefault="00552466" w:rsidP="00AB7523">
            <w:pPr>
              <w:jc w:val="center"/>
              <w:rPr>
                <w:rFonts w:cs="Arial"/>
                <w:szCs w:val="22"/>
                <w:lang w:eastAsia="it-IT"/>
              </w:rPr>
            </w:pPr>
          </w:p>
        </w:tc>
        <w:tc>
          <w:tcPr>
            <w:tcW w:w="1417" w:type="dxa"/>
            <w:shd w:val="clear" w:color="auto" w:fill="FFFFFF"/>
            <w:vAlign w:val="center"/>
          </w:tcPr>
          <w:p w14:paraId="205BC67F" w14:textId="77777777" w:rsidR="00552466" w:rsidRPr="00C2587D" w:rsidRDefault="00552466" w:rsidP="00AB7523">
            <w:pPr>
              <w:jc w:val="center"/>
              <w:rPr>
                <w:rFonts w:cs="Arial"/>
                <w:szCs w:val="22"/>
                <w:lang w:eastAsia="it-IT"/>
              </w:rPr>
            </w:pPr>
          </w:p>
        </w:tc>
        <w:tc>
          <w:tcPr>
            <w:tcW w:w="1418" w:type="dxa"/>
            <w:shd w:val="clear" w:color="auto" w:fill="auto"/>
            <w:vAlign w:val="center"/>
          </w:tcPr>
          <w:p w14:paraId="7BDAC6C2" w14:textId="77777777" w:rsidR="00552466" w:rsidRPr="00C2587D" w:rsidRDefault="00552466" w:rsidP="00AB7523">
            <w:pPr>
              <w:jc w:val="center"/>
              <w:rPr>
                <w:rFonts w:cs="Arial"/>
                <w:szCs w:val="22"/>
                <w:lang w:eastAsia="it-IT"/>
              </w:rPr>
            </w:pPr>
          </w:p>
        </w:tc>
        <w:tc>
          <w:tcPr>
            <w:tcW w:w="1275" w:type="dxa"/>
            <w:shd w:val="clear" w:color="auto" w:fill="FFFFFF"/>
            <w:vAlign w:val="center"/>
          </w:tcPr>
          <w:p w14:paraId="1307EB67" w14:textId="77777777" w:rsidR="00552466" w:rsidRPr="00C2587D" w:rsidRDefault="00552466" w:rsidP="00AB7523">
            <w:pPr>
              <w:jc w:val="center"/>
              <w:rPr>
                <w:rFonts w:cs="Arial"/>
                <w:szCs w:val="22"/>
                <w:lang w:eastAsia="it-IT"/>
              </w:rPr>
            </w:pPr>
          </w:p>
        </w:tc>
        <w:tc>
          <w:tcPr>
            <w:tcW w:w="1590" w:type="dxa"/>
            <w:shd w:val="clear" w:color="auto" w:fill="FFFFFF"/>
            <w:vAlign w:val="center"/>
          </w:tcPr>
          <w:p w14:paraId="31DE89B0" w14:textId="77777777" w:rsidR="00552466" w:rsidRPr="00C2587D" w:rsidRDefault="00552466" w:rsidP="00AB7523">
            <w:pPr>
              <w:jc w:val="center"/>
              <w:rPr>
                <w:rFonts w:cs="Arial"/>
                <w:szCs w:val="22"/>
                <w:lang w:eastAsia="it-IT"/>
              </w:rPr>
            </w:pPr>
          </w:p>
        </w:tc>
      </w:tr>
      <w:tr w:rsidR="00552466" w:rsidRPr="00C2587D" w14:paraId="51EE086B" w14:textId="77777777" w:rsidTr="00D7011A">
        <w:trPr>
          <w:trHeight w:val="264"/>
          <w:jc w:val="right"/>
        </w:trPr>
        <w:tc>
          <w:tcPr>
            <w:tcW w:w="3425" w:type="dxa"/>
            <w:shd w:val="clear" w:color="auto" w:fill="FFFFFF"/>
            <w:vAlign w:val="center"/>
          </w:tcPr>
          <w:p w14:paraId="72E49F4D" w14:textId="77777777" w:rsidR="00552466" w:rsidRPr="00C2587D" w:rsidRDefault="00552466" w:rsidP="00D7011A">
            <w:pPr>
              <w:rPr>
                <w:rFonts w:cs="Arial"/>
                <w:bCs/>
                <w:color w:val="000000"/>
                <w:szCs w:val="22"/>
              </w:rPr>
            </w:pPr>
            <w:r w:rsidRPr="00C2587D">
              <w:rPr>
                <w:rFonts w:cs="Arial"/>
                <w:bCs/>
                <w:color w:val="000000"/>
                <w:szCs w:val="22"/>
              </w:rPr>
              <w:t>-бюджет Жмеринської МТГ</w:t>
            </w:r>
          </w:p>
        </w:tc>
        <w:tc>
          <w:tcPr>
            <w:tcW w:w="1254" w:type="dxa"/>
            <w:vAlign w:val="center"/>
          </w:tcPr>
          <w:p w14:paraId="47C04229" w14:textId="77777777" w:rsidR="00552466" w:rsidRPr="00C2587D" w:rsidRDefault="00552466" w:rsidP="00AB7523">
            <w:pPr>
              <w:jc w:val="center"/>
              <w:rPr>
                <w:rFonts w:cs="Arial"/>
                <w:szCs w:val="22"/>
                <w:lang w:eastAsia="it-IT"/>
              </w:rPr>
            </w:pPr>
            <w:r w:rsidRPr="00C2587D">
              <w:rPr>
                <w:rFonts w:cs="Arial"/>
                <w:szCs w:val="22"/>
                <w:lang w:eastAsia="it-IT"/>
              </w:rPr>
              <w:t>0</w:t>
            </w:r>
          </w:p>
        </w:tc>
        <w:tc>
          <w:tcPr>
            <w:tcW w:w="1417" w:type="dxa"/>
            <w:shd w:val="clear" w:color="auto" w:fill="FFFFFF"/>
            <w:vAlign w:val="center"/>
          </w:tcPr>
          <w:p w14:paraId="35B6FC08" w14:textId="77777777" w:rsidR="00552466" w:rsidRPr="00C2587D" w:rsidRDefault="00552466" w:rsidP="00AB7523">
            <w:pPr>
              <w:jc w:val="center"/>
              <w:rPr>
                <w:rFonts w:cs="Arial"/>
                <w:szCs w:val="22"/>
                <w:lang w:eastAsia="it-IT"/>
              </w:rPr>
            </w:pPr>
            <w:r w:rsidRPr="00C2587D">
              <w:rPr>
                <w:rFonts w:cs="Arial"/>
                <w:szCs w:val="22"/>
                <w:lang w:eastAsia="it-IT"/>
              </w:rPr>
              <w:t>200,00</w:t>
            </w:r>
          </w:p>
        </w:tc>
        <w:tc>
          <w:tcPr>
            <w:tcW w:w="1418" w:type="dxa"/>
            <w:shd w:val="clear" w:color="auto" w:fill="auto"/>
            <w:vAlign w:val="center"/>
          </w:tcPr>
          <w:p w14:paraId="47EF9047" w14:textId="77777777" w:rsidR="00552466" w:rsidRPr="00C2587D" w:rsidRDefault="00552466" w:rsidP="00AB7523">
            <w:pPr>
              <w:jc w:val="center"/>
              <w:rPr>
                <w:rFonts w:cs="Arial"/>
                <w:szCs w:val="22"/>
                <w:lang w:eastAsia="it-IT"/>
              </w:rPr>
            </w:pPr>
            <w:r w:rsidRPr="00C2587D">
              <w:rPr>
                <w:rFonts w:cs="Arial"/>
                <w:szCs w:val="22"/>
                <w:lang w:eastAsia="it-IT"/>
              </w:rPr>
              <w:t>0</w:t>
            </w:r>
          </w:p>
        </w:tc>
        <w:tc>
          <w:tcPr>
            <w:tcW w:w="1275" w:type="dxa"/>
            <w:shd w:val="clear" w:color="auto" w:fill="FFFFFF"/>
            <w:vAlign w:val="center"/>
          </w:tcPr>
          <w:p w14:paraId="4C7ED7AC" w14:textId="77777777" w:rsidR="00552466" w:rsidRPr="00C2587D" w:rsidRDefault="00552466" w:rsidP="00AB7523">
            <w:pPr>
              <w:jc w:val="center"/>
              <w:rPr>
                <w:rFonts w:cs="Arial"/>
                <w:szCs w:val="22"/>
                <w:lang w:eastAsia="it-IT"/>
              </w:rPr>
            </w:pPr>
            <w:r w:rsidRPr="00C2587D">
              <w:rPr>
                <w:rFonts w:cs="Arial"/>
                <w:szCs w:val="22"/>
                <w:lang w:eastAsia="it-IT"/>
              </w:rPr>
              <w:t>0</w:t>
            </w:r>
          </w:p>
        </w:tc>
        <w:tc>
          <w:tcPr>
            <w:tcW w:w="1590" w:type="dxa"/>
            <w:shd w:val="clear" w:color="auto" w:fill="FFFFFF"/>
            <w:vAlign w:val="center"/>
          </w:tcPr>
          <w:p w14:paraId="3924C032" w14:textId="77777777" w:rsidR="00552466" w:rsidRPr="00C2587D" w:rsidRDefault="00552466" w:rsidP="00AB7523">
            <w:pPr>
              <w:jc w:val="center"/>
              <w:rPr>
                <w:rFonts w:cs="Arial"/>
                <w:szCs w:val="22"/>
                <w:lang w:eastAsia="it-IT"/>
              </w:rPr>
            </w:pPr>
            <w:r w:rsidRPr="00C2587D">
              <w:rPr>
                <w:rFonts w:cs="Arial"/>
                <w:szCs w:val="22"/>
                <w:lang w:eastAsia="it-IT"/>
              </w:rPr>
              <w:t>200,00</w:t>
            </w:r>
          </w:p>
        </w:tc>
      </w:tr>
      <w:tr w:rsidR="00552466" w:rsidRPr="00C2587D" w14:paraId="38A3F47C" w14:textId="77777777" w:rsidTr="00D7011A">
        <w:trPr>
          <w:trHeight w:val="369"/>
          <w:jc w:val="right"/>
        </w:trPr>
        <w:tc>
          <w:tcPr>
            <w:tcW w:w="3425" w:type="dxa"/>
            <w:shd w:val="clear" w:color="auto" w:fill="FFFFFF"/>
            <w:vAlign w:val="center"/>
          </w:tcPr>
          <w:p w14:paraId="33C5CAF0" w14:textId="77777777" w:rsidR="00552466" w:rsidRPr="00C2587D" w:rsidRDefault="00552466" w:rsidP="00D7011A">
            <w:pPr>
              <w:rPr>
                <w:rFonts w:cs="Arial"/>
                <w:bCs/>
                <w:color w:val="000000"/>
                <w:szCs w:val="22"/>
              </w:rPr>
            </w:pPr>
            <w:r w:rsidRPr="00C2587D">
              <w:rPr>
                <w:rFonts w:cs="Arial"/>
                <w:bCs/>
                <w:color w:val="000000"/>
                <w:szCs w:val="22"/>
              </w:rPr>
              <w:t>-інші джерела фінансування</w:t>
            </w:r>
          </w:p>
        </w:tc>
        <w:tc>
          <w:tcPr>
            <w:tcW w:w="1254" w:type="dxa"/>
            <w:vAlign w:val="center"/>
          </w:tcPr>
          <w:p w14:paraId="46071967" w14:textId="77777777" w:rsidR="00552466" w:rsidRPr="00C2587D" w:rsidRDefault="00552466" w:rsidP="00AB7523">
            <w:pPr>
              <w:jc w:val="center"/>
              <w:rPr>
                <w:rFonts w:cs="Arial"/>
                <w:b/>
                <w:color w:val="000000"/>
                <w:szCs w:val="22"/>
                <w:lang w:eastAsia="it-IT"/>
              </w:rPr>
            </w:pPr>
          </w:p>
        </w:tc>
        <w:tc>
          <w:tcPr>
            <w:tcW w:w="1417" w:type="dxa"/>
            <w:shd w:val="clear" w:color="auto" w:fill="FFFFFF"/>
            <w:vAlign w:val="center"/>
          </w:tcPr>
          <w:p w14:paraId="19665172" w14:textId="77777777" w:rsidR="00552466" w:rsidRPr="00C2587D" w:rsidRDefault="00552466" w:rsidP="00AB7523">
            <w:pPr>
              <w:jc w:val="center"/>
              <w:rPr>
                <w:rFonts w:cs="Arial"/>
                <w:b/>
                <w:color w:val="000000"/>
                <w:szCs w:val="22"/>
                <w:lang w:eastAsia="it-IT"/>
              </w:rPr>
            </w:pPr>
          </w:p>
        </w:tc>
        <w:tc>
          <w:tcPr>
            <w:tcW w:w="1418" w:type="dxa"/>
            <w:shd w:val="clear" w:color="auto" w:fill="auto"/>
            <w:vAlign w:val="center"/>
          </w:tcPr>
          <w:p w14:paraId="054F51C4" w14:textId="77777777" w:rsidR="00552466" w:rsidRPr="00C2587D" w:rsidRDefault="00552466" w:rsidP="00AB7523">
            <w:pPr>
              <w:jc w:val="center"/>
              <w:rPr>
                <w:rFonts w:cs="Arial"/>
                <w:b/>
                <w:color w:val="000000"/>
                <w:szCs w:val="22"/>
                <w:lang w:eastAsia="it-IT"/>
              </w:rPr>
            </w:pPr>
          </w:p>
        </w:tc>
        <w:tc>
          <w:tcPr>
            <w:tcW w:w="1275" w:type="dxa"/>
            <w:shd w:val="clear" w:color="auto" w:fill="FFFFFF"/>
            <w:vAlign w:val="center"/>
          </w:tcPr>
          <w:p w14:paraId="4F008D64" w14:textId="77777777" w:rsidR="00552466" w:rsidRPr="00C2587D" w:rsidRDefault="00552466" w:rsidP="00AB7523">
            <w:pPr>
              <w:jc w:val="center"/>
              <w:rPr>
                <w:rFonts w:cs="Arial"/>
                <w:b/>
                <w:color w:val="000000"/>
                <w:szCs w:val="22"/>
                <w:lang w:eastAsia="it-IT"/>
              </w:rPr>
            </w:pPr>
          </w:p>
        </w:tc>
        <w:tc>
          <w:tcPr>
            <w:tcW w:w="1590" w:type="dxa"/>
            <w:shd w:val="clear" w:color="auto" w:fill="FFFFFF"/>
            <w:vAlign w:val="center"/>
          </w:tcPr>
          <w:p w14:paraId="633D1037" w14:textId="77777777" w:rsidR="00552466" w:rsidRPr="00C2587D" w:rsidRDefault="00552466" w:rsidP="00AB7523">
            <w:pPr>
              <w:jc w:val="center"/>
              <w:rPr>
                <w:rFonts w:cs="Arial"/>
                <w:b/>
                <w:color w:val="000000"/>
                <w:szCs w:val="22"/>
                <w:lang w:eastAsia="it-IT"/>
              </w:rPr>
            </w:pPr>
          </w:p>
        </w:tc>
      </w:tr>
      <w:tr w:rsidR="00552466" w:rsidRPr="00C2587D" w14:paraId="15F3C4F9" w14:textId="77777777" w:rsidTr="00D7011A">
        <w:trPr>
          <w:jc w:val="right"/>
        </w:trPr>
        <w:tc>
          <w:tcPr>
            <w:tcW w:w="3425" w:type="dxa"/>
            <w:shd w:val="clear" w:color="auto" w:fill="FFFFFF"/>
            <w:vAlign w:val="center"/>
          </w:tcPr>
          <w:p w14:paraId="04E6FF1C" w14:textId="77777777" w:rsidR="00552466" w:rsidRPr="00C2587D" w:rsidRDefault="00552466" w:rsidP="00D7011A">
            <w:pPr>
              <w:rPr>
                <w:rFonts w:cs="Arial"/>
                <w:b/>
                <w:bCs/>
                <w:color w:val="000000"/>
                <w:szCs w:val="22"/>
              </w:rPr>
            </w:pPr>
            <w:r w:rsidRPr="00C2587D">
              <w:rPr>
                <w:rFonts w:cs="Arial"/>
                <w:b/>
                <w:color w:val="000000"/>
                <w:szCs w:val="22"/>
              </w:rPr>
              <w:t>Відповідальний виконавець проєкту:</w:t>
            </w:r>
          </w:p>
        </w:tc>
        <w:tc>
          <w:tcPr>
            <w:tcW w:w="6954" w:type="dxa"/>
            <w:gridSpan w:val="5"/>
            <w:vAlign w:val="center"/>
          </w:tcPr>
          <w:p w14:paraId="2CD58248" w14:textId="77777777" w:rsidR="00552466" w:rsidRPr="00C2587D" w:rsidRDefault="00552466" w:rsidP="00AB7523">
            <w:pPr>
              <w:jc w:val="both"/>
              <w:rPr>
                <w:rFonts w:cs="Arial"/>
                <w:color w:val="000000"/>
                <w:szCs w:val="22"/>
                <w:lang w:eastAsia="it-IT"/>
              </w:rPr>
            </w:pPr>
            <w:r w:rsidRPr="00C2587D">
              <w:rPr>
                <w:rFonts w:cs="Arial"/>
                <w:szCs w:val="22"/>
              </w:rPr>
              <w:t>Управління земельних ресурсів виконавчого комітету Жмеринської міської ради, управління житлово – комунального господарства Жмеринської міської ради</w:t>
            </w:r>
          </w:p>
        </w:tc>
      </w:tr>
    </w:tbl>
    <w:p w14:paraId="0A0AEE30" w14:textId="77777777" w:rsidR="00552466" w:rsidRPr="00C2587D" w:rsidRDefault="00552466" w:rsidP="00552466">
      <w:pPr>
        <w:rPr>
          <w:rFonts w:cs="Arial"/>
          <w:szCs w:val="22"/>
        </w:rPr>
      </w:pPr>
    </w:p>
    <w:p w14:paraId="60606494" w14:textId="77777777" w:rsidR="00552466" w:rsidRPr="00C2587D" w:rsidRDefault="00552466" w:rsidP="00552466">
      <w:pPr>
        <w:jc w:val="center"/>
        <w:rPr>
          <w:rFonts w:cs="Arial"/>
          <w:b/>
          <w:color w:val="000000"/>
          <w:szCs w:val="22"/>
        </w:rPr>
      </w:pPr>
    </w:p>
    <w:p w14:paraId="6CFF63FF" w14:textId="68C2AE0E" w:rsidR="00552466" w:rsidRPr="00C2587D" w:rsidRDefault="00552466" w:rsidP="00552466">
      <w:pPr>
        <w:jc w:val="center"/>
        <w:rPr>
          <w:rFonts w:cs="Arial"/>
          <w:b/>
          <w:color w:val="000000"/>
          <w:szCs w:val="22"/>
        </w:rPr>
      </w:pPr>
      <w:r w:rsidRPr="00C2587D">
        <w:rPr>
          <w:rFonts w:cs="Arial"/>
          <w:b/>
          <w:color w:val="000000"/>
          <w:szCs w:val="22"/>
        </w:rPr>
        <w:t>Ф</w:t>
      </w:r>
      <w:r w:rsidR="00883FA4">
        <w:rPr>
          <w:rFonts w:cs="Arial"/>
          <w:b/>
          <w:color w:val="000000"/>
          <w:szCs w:val="22"/>
        </w:rPr>
        <w:t>орма технічного завдання на проє</w:t>
      </w:r>
      <w:r w:rsidRPr="00C2587D">
        <w:rPr>
          <w:rFonts w:cs="Arial"/>
          <w:b/>
          <w:color w:val="000000"/>
          <w:szCs w:val="22"/>
        </w:rPr>
        <w:t xml:space="preserve">кт місцевого розвитку </w:t>
      </w:r>
    </w:p>
    <w:p w14:paraId="1CAC0C80" w14:textId="77777777" w:rsidR="00552466" w:rsidRPr="00C2587D" w:rsidRDefault="00552466" w:rsidP="00552466">
      <w:pPr>
        <w:jc w:val="center"/>
        <w:rPr>
          <w:rFonts w:cs="Arial"/>
          <w:b/>
          <w:color w:val="000000"/>
          <w:szCs w:val="22"/>
        </w:rPr>
      </w:pPr>
      <w:r w:rsidRPr="00C2587D">
        <w:rPr>
          <w:rFonts w:cs="Arial"/>
          <w:b/>
          <w:color w:val="000000"/>
          <w:szCs w:val="22"/>
        </w:rPr>
        <w:t>до Плану заходів з реалізації Стратегії</w:t>
      </w:r>
    </w:p>
    <w:tbl>
      <w:tblPr>
        <w:tblW w:w="1037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1417"/>
        <w:gridCol w:w="1418"/>
        <w:gridCol w:w="1275"/>
        <w:gridCol w:w="1590"/>
      </w:tblGrid>
      <w:tr w:rsidR="00552466" w:rsidRPr="00C2587D" w14:paraId="66748259" w14:textId="77777777" w:rsidTr="00D7011A">
        <w:trPr>
          <w:trHeight w:val="510"/>
          <w:jc w:val="right"/>
        </w:trPr>
        <w:tc>
          <w:tcPr>
            <w:tcW w:w="3425" w:type="dxa"/>
          </w:tcPr>
          <w:p w14:paraId="0F683C7B" w14:textId="77777777" w:rsidR="00552466" w:rsidRPr="00C2587D" w:rsidRDefault="00552466" w:rsidP="00D7011A">
            <w:pPr>
              <w:spacing w:before="40" w:after="40"/>
              <w:rPr>
                <w:rFonts w:cs="Arial"/>
                <w:b/>
                <w:bCs/>
                <w:szCs w:val="22"/>
              </w:rPr>
            </w:pPr>
            <w:r w:rsidRPr="00C2587D">
              <w:rPr>
                <w:rFonts w:cs="Arial"/>
                <w:b/>
                <w:bCs/>
                <w:szCs w:val="22"/>
              </w:rPr>
              <w:t>Назва проєкту:</w:t>
            </w:r>
          </w:p>
        </w:tc>
        <w:tc>
          <w:tcPr>
            <w:tcW w:w="6954" w:type="dxa"/>
            <w:gridSpan w:val="5"/>
          </w:tcPr>
          <w:p w14:paraId="2CE4F415" w14:textId="14D5DE5D" w:rsidR="00552466" w:rsidRPr="00AB7523" w:rsidRDefault="00AB7523" w:rsidP="00D7011A">
            <w:pPr>
              <w:spacing w:before="40" w:after="40"/>
              <w:jc w:val="both"/>
              <w:rPr>
                <w:rFonts w:cs="Arial"/>
                <w:b/>
                <w:szCs w:val="22"/>
              </w:rPr>
            </w:pPr>
            <w:r>
              <w:rPr>
                <w:rFonts w:cs="Arial"/>
                <w:b/>
                <w:szCs w:val="22"/>
              </w:rPr>
              <w:t xml:space="preserve">Проведення експертної </w:t>
            </w:r>
            <w:r w:rsidR="00552466" w:rsidRPr="00AB7523">
              <w:rPr>
                <w:rFonts w:cs="Arial"/>
                <w:b/>
                <w:szCs w:val="22"/>
              </w:rPr>
              <w:t>оцінки земельних ділянок                    комунальної власності при продажу земельних ділянок</w:t>
            </w:r>
          </w:p>
        </w:tc>
      </w:tr>
      <w:tr w:rsidR="00552466" w:rsidRPr="00C2587D" w14:paraId="2C9F3292" w14:textId="77777777" w:rsidTr="00D7011A">
        <w:trPr>
          <w:trHeight w:val="1114"/>
          <w:jc w:val="right"/>
        </w:trPr>
        <w:tc>
          <w:tcPr>
            <w:tcW w:w="3425" w:type="dxa"/>
          </w:tcPr>
          <w:p w14:paraId="1EB97D6E" w14:textId="77777777" w:rsidR="00552466" w:rsidRPr="00C2587D" w:rsidRDefault="00552466" w:rsidP="00D7011A">
            <w:pPr>
              <w:spacing w:before="40" w:after="40"/>
              <w:rPr>
                <w:rFonts w:cs="Arial"/>
                <w:szCs w:val="22"/>
                <w:lang w:eastAsia="it-IT"/>
              </w:rPr>
            </w:pPr>
            <w:r w:rsidRPr="00C2587D">
              <w:rPr>
                <w:rFonts w:cs="Arial"/>
                <w:b/>
                <w:bCs/>
                <w:szCs w:val="22"/>
              </w:rPr>
              <w:t>Ваші контакти</w:t>
            </w:r>
            <w:r w:rsidRPr="00C2587D">
              <w:rPr>
                <w:rFonts w:cs="Arial"/>
                <w:szCs w:val="22"/>
                <w:lang w:eastAsia="it-IT"/>
              </w:rPr>
              <w:t>:</w:t>
            </w:r>
          </w:p>
          <w:p w14:paraId="4D0DAA6B" w14:textId="77777777" w:rsidR="00552466" w:rsidRPr="00C2587D" w:rsidRDefault="00552466" w:rsidP="00D7011A">
            <w:pPr>
              <w:spacing w:before="40" w:after="40"/>
              <w:rPr>
                <w:rFonts w:cs="Arial"/>
                <w:b/>
                <w:bCs/>
                <w:szCs w:val="22"/>
              </w:rPr>
            </w:pPr>
            <w:r w:rsidRPr="00C2587D">
              <w:rPr>
                <w:rFonts w:cs="Arial"/>
                <w:szCs w:val="22"/>
                <w:lang w:eastAsia="it-IT"/>
              </w:rPr>
              <w:t>Назва установи, організації, підприємства</w:t>
            </w:r>
          </w:p>
        </w:tc>
        <w:tc>
          <w:tcPr>
            <w:tcW w:w="6954" w:type="dxa"/>
            <w:gridSpan w:val="5"/>
          </w:tcPr>
          <w:p w14:paraId="204FB353" w14:textId="77777777" w:rsidR="00552466" w:rsidRPr="00C2587D" w:rsidRDefault="00552466" w:rsidP="00AB7523">
            <w:pPr>
              <w:spacing w:before="40" w:after="40"/>
              <w:jc w:val="both"/>
              <w:rPr>
                <w:rFonts w:cs="Arial"/>
                <w:szCs w:val="22"/>
                <w:lang w:eastAsia="it-IT"/>
              </w:rPr>
            </w:pPr>
            <w:r w:rsidRPr="00C2587D">
              <w:rPr>
                <w:rFonts w:cs="Arial"/>
                <w:szCs w:val="22"/>
                <w:lang w:eastAsia="it-IT"/>
              </w:rPr>
              <w:t>Управління земельних ресурсів виконавчого комітету Жмеринської міської ради</w:t>
            </w:r>
          </w:p>
        </w:tc>
      </w:tr>
      <w:tr w:rsidR="00552466" w:rsidRPr="00C2587D" w14:paraId="1AE30E51" w14:textId="77777777" w:rsidTr="00D7011A">
        <w:trPr>
          <w:jc w:val="right"/>
        </w:trPr>
        <w:tc>
          <w:tcPr>
            <w:tcW w:w="3425" w:type="dxa"/>
          </w:tcPr>
          <w:p w14:paraId="7263E673" w14:textId="77777777" w:rsidR="00552466" w:rsidRPr="00C2587D" w:rsidRDefault="00552466" w:rsidP="00D7011A">
            <w:pPr>
              <w:spacing w:before="40" w:after="40"/>
              <w:rPr>
                <w:rFonts w:cs="Arial"/>
                <w:b/>
                <w:bCs/>
                <w:szCs w:val="22"/>
              </w:rPr>
            </w:pPr>
            <w:r w:rsidRPr="00C2587D">
              <w:rPr>
                <w:rFonts w:cs="Arial"/>
                <w:szCs w:val="22"/>
                <w:lang w:eastAsia="it-IT"/>
              </w:rPr>
              <w:t>Прізвище Ім’я По-батькові:</w:t>
            </w:r>
          </w:p>
        </w:tc>
        <w:tc>
          <w:tcPr>
            <w:tcW w:w="6954" w:type="dxa"/>
            <w:gridSpan w:val="5"/>
          </w:tcPr>
          <w:p w14:paraId="7D8CBAB1" w14:textId="77777777" w:rsidR="00552466" w:rsidRPr="00C2587D" w:rsidRDefault="00552466" w:rsidP="00D7011A">
            <w:pPr>
              <w:spacing w:before="40" w:after="40"/>
              <w:rPr>
                <w:rFonts w:cs="Arial"/>
                <w:szCs w:val="22"/>
                <w:lang w:eastAsia="it-IT"/>
              </w:rPr>
            </w:pPr>
            <w:r w:rsidRPr="00C2587D">
              <w:rPr>
                <w:rFonts w:cs="Arial"/>
                <w:szCs w:val="22"/>
                <w:lang w:eastAsia="it-IT"/>
              </w:rPr>
              <w:t>Пилявець Руслан Євгенович</w:t>
            </w:r>
          </w:p>
        </w:tc>
      </w:tr>
      <w:tr w:rsidR="00552466" w:rsidRPr="00C2587D" w14:paraId="33D04C6F" w14:textId="77777777" w:rsidTr="00D7011A">
        <w:trPr>
          <w:jc w:val="right"/>
        </w:trPr>
        <w:tc>
          <w:tcPr>
            <w:tcW w:w="3425" w:type="dxa"/>
          </w:tcPr>
          <w:p w14:paraId="13A8F034" w14:textId="77777777" w:rsidR="00552466" w:rsidRPr="00C2587D" w:rsidRDefault="00552466" w:rsidP="00D7011A">
            <w:pPr>
              <w:spacing w:before="40" w:after="40"/>
              <w:rPr>
                <w:rFonts w:cs="Arial"/>
                <w:b/>
                <w:bCs/>
                <w:szCs w:val="22"/>
              </w:rPr>
            </w:pPr>
            <w:r w:rsidRPr="00C2587D">
              <w:rPr>
                <w:rFonts w:cs="Arial"/>
                <w:szCs w:val="22"/>
                <w:lang w:eastAsia="it-IT"/>
              </w:rPr>
              <w:t>Телефон (мобільний):</w:t>
            </w:r>
          </w:p>
        </w:tc>
        <w:tc>
          <w:tcPr>
            <w:tcW w:w="6954" w:type="dxa"/>
            <w:gridSpan w:val="5"/>
          </w:tcPr>
          <w:p w14:paraId="5313A5E6" w14:textId="77777777" w:rsidR="00552466" w:rsidRPr="00C2587D" w:rsidRDefault="00552466" w:rsidP="00D7011A">
            <w:pPr>
              <w:spacing w:before="40" w:after="40"/>
              <w:rPr>
                <w:rFonts w:cs="Arial"/>
                <w:szCs w:val="22"/>
                <w:lang w:eastAsia="it-IT"/>
              </w:rPr>
            </w:pPr>
            <w:r w:rsidRPr="00C2587D">
              <w:rPr>
                <w:rFonts w:cs="Arial"/>
                <w:szCs w:val="22"/>
                <w:lang w:eastAsia="it-IT"/>
              </w:rPr>
              <w:t>067-580-45-91</w:t>
            </w:r>
          </w:p>
        </w:tc>
      </w:tr>
      <w:tr w:rsidR="00552466" w:rsidRPr="00C2587D" w14:paraId="3C4E6ABE" w14:textId="77777777" w:rsidTr="00D7011A">
        <w:trPr>
          <w:jc w:val="right"/>
        </w:trPr>
        <w:tc>
          <w:tcPr>
            <w:tcW w:w="3425" w:type="dxa"/>
          </w:tcPr>
          <w:p w14:paraId="59111D08" w14:textId="77777777" w:rsidR="00552466" w:rsidRPr="00C2587D" w:rsidRDefault="00552466" w:rsidP="00D7011A">
            <w:pPr>
              <w:spacing w:before="40" w:after="40"/>
              <w:rPr>
                <w:rFonts w:cs="Arial"/>
                <w:b/>
                <w:bCs/>
                <w:szCs w:val="22"/>
              </w:rPr>
            </w:pPr>
            <w:r w:rsidRPr="00C2587D">
              <w:rPr>
                <w:rFonts w:cs="Arial"/>
                <w:szCs w:val="22"/>
                <w:lang w:eastAsia="it-IT"/>
              </w:rPr>
              <w:t>Електронна адреса:</w:t>
            </w:r>
          </w:p>
        </w:tc>
        <w:tc>
          <w:tcPr>
            <w:tcW w:w="6954" w:type="dxa"/>
            <w:gridSpan w:val="5"/>
          </w:tcPr>
          <w:p w14:paraId="0093AC87" w14:textId="3CDB66FB" w:rsidR="00552466" w:rsidRPr="00C2587D" w:rsidRDefault="00D85FFD" w:rsidP="00D7011A">
            <w:pPr>
              <w:spacing w:before="40" w:after="40"/>
              <w:rPr>
                <w:rFonts w:cs="Arial"/>
                <w:szCs w:val="22"/>
                <w:lang w:eastAsia="it-IT"/>
              </w:rPr>
            </w:pPr>
            <w:hyperlink r:id="rId31" w:history="1">
              <w:r w:rsidR="00AB7523" w:rsidRPr="000A0B5C">
                <w:rPr>
                  <w:rStyle w:val="af0"/>
                  <w:rFonts w:cs="Arial"/>
                  <w:noProof w:val="0"/>
                  <w:sz w:val="22"/>
                  <w:szCs w:val="22"/>
                  <w:lang w:eastAsia="it-IT"/>
                </w:rPr>
                <w:t>zem@zhmr.gov.ua</w:t>
              </w:r>
            </w:hyperlink>
            <w:r w:rsidR="00AB7523">
              <w:rPr>
                <w:rFonts w:cs="Arial"/>
                <w:szCs w:val="22"/>
                <w:lang w:eastAsia="it-IT"/>
              </w:rPr>
              <w:t xml:space="preserve"> </w:t>
            </w:r>
          </w:p>
        </w:tc>
      </w:tr>
      <w:tr w:rsidR="00552466" w:rsidRPr="00C2587D" w14:paraId="5A28F505" w14:textId="77777777" w:rsidTr="00D7011A">
        <w:trPr>
          <w:trHeight w:val="1440"/>
          <w:jc w:val="right"/>
        </w:trPr>
        <w:tc>
          <w:tcPr>
            <w:tcW w:w="3425" w:type="dxa"/>
            <w:vAlign w:val="center"/>
          </w:tcPr>
          <w:p w14:paraId="2761E19A" w14:textId="7A895C54" w:rsidR="00552466" w:rsidRPr="00C2587D" w:rsidRDefault="00552466" w:rsidP="00D7011A">
            <w:pPr>
              <w:pStyle w:val="6"/>
              <w:spacing w:before="0" w:after="0"/>
              <w:rPr>
                <w:rFonts w:ascii="Arial" w:hAnsi="Arial" w:cs="Arial"/>
                <w:color w:val="000000"/>
                <w:lang w:val="uk-UA"/>
              </w:rPr>
            </w:pPr>
            <w:r w:rsidRPr="00C2587D">
              <w:rPr>
                <w:rFonts w:ascii="Arial" w:hAnsi="Arial" w:cs="Arial"/>
                <w:color w:val="000000"/>
                <w:lang w:val="uk-UA"/>
              </w:rPr>
              <w:t>Номер і назва завдання з Стратегії</w:t>
            </w:r>
            <w:r w:rsidRPr="00C2587D">
              <w:rPr>
                <w:rFonts w:ascii="Arial" w:hAnsi="Arial" w:cs="Arial"/>
                <w:lang w:val="uk-UA" w:eastAsia="it-IT"/>
              </w:rPr>
              <w:t xml:space="preserve"> </w:t>
            </w:r>
            <w:r w:rsidRPr="00C2587D">
              <w:rPr>
                <w:rFonts w:ascii="Arial" w:hAnsi="Arial" w:cs="Arial"/>
                <w:color w:val="000000"/>
                <w:lang w:val="uk-UA"/>
              </w:rPr>
              <w:t>розвитку Жмеринської міської територіальної</w:t>
            </w:r>
            <w:r w:rsidR="00883FA4">
              <w:rPr>
                <w:rFonts w:ascii="Arial" w:hAnsi="Arial" w:cs="Arial"/>
                <w:color w:val="000000"/>
                <w:lang w:val="uk-UA"/>
              </w:rPr>
              <w:t xml:space="preserve"> громади,  якому відповідає проє</w:t>
            </w:r>
            <w:r w:rsidRPr="00C2587D">
              <w:rPr>
                <w:rFonts w:ascii="Arial" w:hAnsi="Arial" w:cs="Arial"/>
                <w:color w:val="000000"/>
                <w:lang w:val="uk-UA"/>
              </w:rPr>
              <w:t>кт:</w:t>
            </w:r>
          </w:p>
        </w:tc>
        <w:tc>
          <w:tcPr>
            <w:tcW w:w="6954" w:type="dxa"/>
            <w:gridSpan w:val="5"/>
          </w:tcPr>
          <w:p w14:paraId="7118A96F" w14:textId="77777777" w:rsidR="00552466" w:rsidRPr="00C2587D" w:rsidRDefault="00552466" w:rsidP="00D7011A">
            <w:pPr>
              <w:pBdr>
                <w:left w:val="single" w:sz="18" w:space="4" w:color="auto"/>
              </w:pBdr>
              <w:spacing w:before="40" w:after="40"/>
              <w:jc w:val="both"/>
              <w:rPr>
                <w:rFonts w:cs="Arial"/>
                <w:szCs w:val="22"/>
                <w:lang w:eastAsia="it-IT"/>
              </w:rPr>
            </w:pPr>
            <w:r w:rsidRPr="00C2587D">
              <w:rPr>
                <w:rFonts w:cs="Arial"/>
                <w:szCs w:val="22"/>
              </w:rPr>
              <w:t xml:space="preserve">А.2.3. Підтримка раціонального використання земельних ресурсів та водного фонду для фінансової стабільності громади </w:t>
            </w:r>
          </w:p>
        </w:tc>
      </w:tr>
      <w:tr w:rsidR="00552466" w:rsidRPr="00C2587D" w14:paraId="3510B883" w14:textId="77777777" w:rsidTr="00D7011A">
        <w:trPr>
          <w:trHeight w:val="1050"/>
          <w:jc w:val="right"/>
        </w:trPr>
        <w:tc>
          <w:tcPr>
            <w:tcW w:w="3425" w:type="dxa"/>
            <w:vAlign w:val="center"/>
          </w:tcPr>
          <w:p w14:paraId="704C97A8" w14:textId="77777777" w:rsidR="00552466" w:rsidRPr="00C2587D" w:rsidRDefault="00552466" w:rsidP="00D7011A">
            <w:pPr>
              <w:rPr>
                <w:rFonts w:cs="Arial"/>
                <w:b/>
                <w:szCs w:val="22"/>
                <w:lang w:eastAsia="en-US"/>
              </w:rPr>
            </w:pPr>
            <w:r w:rsidRPr="00C2587D">
              <w:rPr>
                <w:rFonts w:cs="Arial"/>
                <w:b/>
                <w:szCs w:val="22"/>
                <w:lang w:eastAsia="en-US"/>
              </w:rPr>
              <w:t>Мета проєкту:</w:t>
            </w:r>
          </w:p>
          <w:p w14:paraId="4562F5E0" w14:textId="77777777" w:rsidR="00552466" w:rsidRPr="00C2587D" w:rsidRDefault="00552466" w:rsidP="00D7011A">
            <w:pPr>
              <w:rPr>
                <w:rFonts w:cs="Arial"/>
                <w:color w:val="000000"/>
                <w:szCs w:val="22"/>
              </w:rPr>
            </w:pPr>
          </w:p>
        </w:tc>
        <w:tc>
          <w:tcPr>
            <w:tcW w:w="6954" w:type="dxa"/>
            <w:gridSpan w:val="5"/>
          </w:tcPr>
          <w:p w14:paraId="007F774F" w14:textId="77777777" w:rsidR="00552466" w:rsidRPr="00C2587D" w:rsidRDefault="00552466" w:rsidP="00D7011A">
            <w:pPr>
              <w:pStyle w:val="ad"/>
              <w:jc w:val="both"/>
              <w:rPr>
                <w:rFonts w:cs="Arial"/>
                <w:szCs w:val="22"/>
              </w:rPr>
            </w:pPr>
            <w:r w:rsidRPr="00C2587D">
              <w:rPr>
                <w:rFonts w:cs="Arial"/>
                <w:szCs w:val="22"/>
              </w:rPr>
              <w:t>Визначення ринкової вартості земельних ділянок комунальної власності шляхом проведення експертної грошової оцінки для забезпечення обґрунтованого формування стартової ціни продажу, укладення договорів купівлі-продажу відповідно до чинного законодавства, забезпечення надходжень до бюджету громади та здійснення прозорого і ефективного відчуження земель</w:t>
            </w:r>
          </w:p>
        </w:tc>
      </w:tr>
      <w:tr w:rsidR="00552466" w:rsidRPr="00C2587D" w14:paraId="6DFB8752" w14:textId="77777777" w:rsidTr="00D7011A">
        <w:trPr>
          <w:jc w:val="right"/>
        </w:trPr>
        <w:tc>
          <w:tcPr>
            <w:tcW w:w="3425" w:type="dxa"/>
            <w:vAlign w:val="center"/>
          </w:tcPr>
          <w:p w14:paraId="5D8356E0" w14:textId="0060B6E8" w:rsidR="00552466" w:rsidRPr="00C2587D" w:rsidRDefault="00883FA4" w:rsidP="00D7011A">
            <w:pPr>
              <w:rPr>
                <w:rFonts w:cs="Arial"/>
                <w:b/>
                <w:bCs/>
                <w:color w:val="000000"/>
                <w:szCs w:val="22"/>
              </w:rPr>
            </w:pPr>
            <w:r>
              <w:rPr>
                <w:rFonts w:cs="Arial"/>
                <w:b/>
                <w:bCs/>
                <w:color w:val="000000"/>
                <w:szCs w:val="22"/>
              </w:rPr>
              <w:t>Цілі проє</w:t>
            </w:r>
            <w:r w:rsidR="00552466" w:rsidRPr="00C2587D">
              <w:rPr>
                <w:rFonts w:cs="Arial"/>
                <w:b/>
                <w:bCs/>
                <w:color w:val="000000"/>
                <w:szCs w:val="22"/>
              </w:rPr>
              <w:t>кту:</w:t>
            </w:r>
          </w:p>
        </w:tc>
        <w:tc>
          <w:tcPr>
            <w:tcW w:w="6954" w:type="dxa"/>
            <w:gridSpan w:val="5"/>
          </w:tcPr>
          <w:p w14:paraId="12A8BA30" w14:textId="77777777" w:rsidR="00552466" w:rsidRPr="00C2587D" w:rsidRDefault="00552466" w:rsidP="00D7011A">
            <w:pPr>
              <w:jc w:val="both"/>
              <w:rPr>
                <w:rFonts w:cs="Arial"/>
                <w:szCs w:val="22"/>
                <w:lang w:eastAsia="en-US"/>
              </w:rPr>
            </w:pPr>
            <w:r w:rsidRPr="00C2587D">
              <w:rPr>
                <w:rFonts w:cs="Arial"/>
                <w:szCs w:val="22"/>
              </w:rPr>
              <w:t>Наповнення бюджету Жмеринської міської територіальної громади шляхом продажу земельних ділянок несільськогосподарського призначення комунальної власності</w:t>
            </w:r>
          </w:p>
        </w:tc>
      </w:tr>
      <w:tr w:rsidR="00552466" w:rsidRPr="00C2587D" w14:paraId="3E26DA73" w14:textId="77777777" w:rsidTr="00D7011A">
        <w:trPr>
          <w:jc w:val="right"/>
        </w:trPr>
        <w:tc>
          <w:tcPr>
            <w:tcW w:w="3425" w:type="dxa"/>
            <w:vAlign w:val="center"/>
          </w:tcPr>
          <w:p w14:paraId="6583445B" w14:textId="0578A3F7" w:rsidR="00552466" w:rsidRPr="00C2587D" w:rsidRDefault="00883FA4" w:rsidP="00D7011A">
            <w:pPr>
              <w:autoSpaceDE w:val="0"/>
              <w:autoSpaceDN w:val="0"/>
              <w:adjustRightInd w:val="0"/>
              <w:rPr>
                <w:rFonts w:cs="Arial"/>
                <w:b/>
                <w:color w:val="000000"/>
                <w:szCs w:val="22"/>
              </w:rPr>
            </w:pPr>
            <w:r>
              <w:rPr>
                <w:rFonts w:cs="Arial"/>
                <w:b/>
                <w:color w:val="000000"/>
                <w:szCs w:val="22"/>
              </w:rPr>
              <w:t>Територія на яку проє</w:t>
            </w:r>
            <w:r w:rsidR="00552466" w:rsidRPr="00C2587D">
              <w:rPr>
                <w:rFonts w:cs="Arial"/>
                <w:b/>
                <w:color w:val="000000"/>
                <w:szCs w:val="22"/>
              </w:rPr>
              <w:t>кт матиме вплив:</w:t>
            </w:r>
          </w:p>
        </w:tc>
        <w:tc>
          <w:tcPr>
            <w:tcW w:w="6954" w:type="dxa"/>
            <w:gridSpan w:val="5"/>
          </w:tcPr>
          <w:p w14:paraId="77E242BA" w14:textId="77777777" w:rsidR="00552466" w:rsidRPr="00C2587D" w:rsidRDefault="00552466" w:rsidP="00D7011A">
            <w:pPr>
              <w:spacing w:before="40" w:after="40"/>
              <w:rPr>
                <w:rFonts w:cs="Arial"/>
                <w:szCs w:val="22"/>
                <w:lang w:eastAsia="it-IT"/>
              </w:rPr>
            </w:pPr>
            <w:r w:rsidRPr="00C2587D">
              <w:rPr>
                <w:rFonts w:cs="Arial"/>
                <w:szCs w:val="22"/>
                <w:lang w:eastAsia="it-IT"/>
              </w:rPr>
              <w:t>Жмеринська МТГ</w:t>
            </w:r>
          </w:p>
        </w:tc>
      </w:tr>
      <w:tr w:rsidR="00552466" w:rsidRPr="00C2587D" w14:paraId="4AF2FE71" w14:textId="77777777" w:rsidTr="00D7011A">
        <w:trPr>
          <w:jc w:val="right"/>
        </w:trPr>
        <w:tc>
          <w:tcPr>
            <w:tcW w:w="3425" w:type="dxa"/>
            <w:vAlign w:val="center"/>
          </w:tcPr>
          <w:p w14:paraId="7397316F" w14:textId="77777777" w:rsidR="00552466" w:rsidRPr="00C2587D" w:rsidRDefault="00552466" w:rsidP="00D7011A">
            <w:pPr>
              <w:autoSpaceDE w:val="0"/>
              <w:autoSpaceDN w:val="0"/>
              <w:adjustRightInd w:val="0"/>
              <w:rPr>
                <w:rFonts w:cs="Arial"/>
                <w:b/>
                <w:color w:val="000000"/>
                <w:szCs w:val="22"/>
              </w:rPr>
            </w:pPr>
            <w:r w:rsidRPr="00C2587D">
              <w:rPr>
                <w:rFonts w:cs="Arial"/>
                <w:b/>
                <w:color w:val="000000"/>
                <w:szCs w:val="22"/>
              </w:rPr>
              <w:t>Цільові групи проєкту та  кількість отримувачів вигоди</w:t>
            </w:r>
          </w:p>
        </w:tc>
        <w:tc>
          <w:tcPr>
            <w:tcW w:w="6954" w:type="dxa"/>
            <w:gridSpan w:val="5"/>
          </w:tcPr>
          <w:p w14:paraId="0A50705B" w14:textId="77777777" w:rsidR="00552466" w:rsidRPr="00C2587D" w:rsidRDefault="00552466" w:rsidP="00D7011A">
            <w:pPr>
              <w:spacing w:before="40" w:after="40"/>
              <w:rPr>
                <w:rFonts w:cs="Arial"/>
                <w:szCs w:val="22"/>
                <w:lang w:eastAsia="it-IT"/>
              </w:rPr>
            </w:pPr>
            <w:r w:rsidRPr="00C2587D">
              <w:rPr>
                <w:rFonts w:cs="Arial"/>
                <w:szCs w:val="22"/>
                <w:lang w:eastAsia="it-IT"/>
              </w:rPr>
              <w:t>49 474  жителів громади</w:t>
            </w:r>
          </w:p>
        </w:tc>
      </w:tr>
      <w:tr w:rsidR="00552466" w:rsidRPr="00C2587D" w14:paraId="14C08E61" w14:textId="77777777" w:rsidTr="00D7011A">
        <w:trPr>
          <w:jc w:val="right"/>
        </w:trPr>
        <w:tc>
          <w:tcPr>
            <w:tcW w:w="3425" w:type="dxa"/>
            <w:shd w:val="clear" w:color="auto" w:fill="FFFFFF"/>
            <w:vAlign w:val="center"/>
          </w:tcPr>
          <w:p w14:paraId="67181568" w14:textId="57BEC904" w:rsidR="00552466" w:rsidRPr="00C2587D" w:rsidRDefault="00883FA4" w:rsidP="00D7011A">
            <w:pPr>
              <w:rPr>
                <w:rFonts w:cs="Arial"/>
                <w:b/>
                <w:bCs/>
                <w:color w:val="000000"/>
                <w:szCs w:val="22"/>
              </w:rPr>
            </w:pPr>
            <w:r>
              <w:rPr>
                <w:rFonts w:cs="Arial"/>
                <w:b/>
                <w:bCs/>
                <w:color w:val="000000"/>
                <w:szCs w:val="22"/>
              </w:rPr>
              <w:t>Стислий опис проє</w:t>
            </w:r>
            <w:r w:rsidR="00552466" w:rsidRPr="00C2587D">
              <w:rPr>
                <w:rFonts w:cs="Arial"/>
                <w:b/>
                <w:bCs/>
                <w:color w:val="000000"/>
                <w:szCs w:val="22"/>
              </w:rPr>
              <w:t>кту:</w:t>
            </w:r>
          </w:p>
        </w:tc>
        <w:tc>
          <w:tcPr>
            <w:tcW w:w="6954" w:type="dxa"/>
            <w:gridSpan w:val="5"/>
          </w:tcPr>
          <w:p w14:paraId="21FA2740" w14:textId="77777777" w:rsidR="00552466" w:rsidRPr="00C2587D" w:rsidRDefault="00552466" w:rsidP="00D7011A">
            <w:pPr>
              <w:jc w:val="both"/>
              <w:rPr>
                <w:rFonts w:cs="Arial"/>
                <w:szCs w:val="22"/>
                <w:lang w:eastAsia="en-US"/>
              </w:rPr>
            </w:pPr>
            <w:r w:rsidRPr="00C2587D">
              <w:rPr>
                <w:rFonts w:cs="Arial"/>
                <w:szCs w:val="22"/>
              </w:rPr>
              <w:t>При продажу земельних ділянок несільськогосподарського призначення комунальної власності замовником експертної оцінки землі згідно чинного законодавства є міська рада</w:t>
            </w:r>
          </w:p>
        </w:tc>
      </w:tr>
      <w:tr w:rsidR="00552466" w:rsidRPr="00C2587D" w14:paraId="09C709F4" w14:textId="77777777" w:rsidTr="00D7011A">
        <w:trPr>
          <w:trHeight w:val="56"/>
          <w:jc w:val="right"/>
        </w:trPr>
        <w:tc>
          <w:tcPr>
            <w:tcW w:w="3425" w:type="dxa"/>
            <w:shd w:val="clear" w:color="auto" w:fill="FFFFFF"/>
            <w:vAlign w:val="center"/>
          </w:tcPr>
          <w:p w14:paraId="3A22E7B2" w14:textId="77777777" w:rsidR="00552466" w:rsidRPr="00C2587D" w:rsidRDefault="00552466" w:rsidP="00D7011A">
            <w:pPr>
              <w:rPr>
                <w:rFonts w:cs="Arial"/>
                <w:b/>
                <w:bCs/>
                <w:color w:val="000000"/>
                <w:szCs w:val="22"/>
              </w:rPr>
            </w:pPr>
            <w:r w:rsidRPr="00C2587D">
              <w:rPr>
                <w:rFonts w:cs="Arial"/>
                <w:b/>
                <w:bCs/>
                <w:color w:val="000000"/>
                <w:szCs w:val="22"/>
              </w:rPr>
              <w:t>Основні заходи проєкту:</w:t>
            </w:r>
          </w:p>
          <w:p w14:paraId="681F63F0" w14:textId="77777777" w:rsidR="00552466" w:rsidRPr="00C2587D" w:rsidRDefault="00552466" w:rsidP="00D7011A">
            <w:pPr>
              <w:rPr>
                <w:rFonts w:cs="Arial"/>
                <w:b/>
                <w:bCs/>
                <w:color w:val="000000"/>
                <w:szCs w:val="22"/>
              </w:rPr>
            </w:pPr>
          </w:p>
        </w:tc>
        <w:tc>
          <w:tcPr>
            <w:tcW w:w="6954" w:type="dxa"/>
            <w:gridSpan w:val="5"/>
            <w:shd w:val="clear" w:color="auto" w:fill="FFFFFF"/>
          </w:tcPr>
          <w:p w14:paraId="1749EAF2" w14:textId="77777777" w:rsidR="00552466" w:rsidRPr="00C2587D" w:rsidRDefault="00552466" w:rsidP="00D7011A">
            <w:pPr>
              <w:spacing w:before="40" w:after="40"/>
              <w:jc w:val="both"/>
              <w:rPr>
                <w:rFonts w:cs="Arial"/>
                <w:szCs w:val="22"/>
              </w:rPr>
            </w:pPr>
            <w:r w:rsidRPr="00C2587D">
              <w:rPr>
                <w:rFonts w:cs="Arial"/>
                <w:szCs w:val="22"/>
                <w:lang w:eastAsia="it-IT"/>
              </w:rPr>
              <w:t>З</w:t>
            </w:r>
            <w:r w:rsidRPr="00C2587D">
              <w:rPr>
                <w:rFonts w:cs="Arial"/>
                <w:szCs w:val="22"/>
              </w:rPr>
              <w:t>амовлення звіту про  експертну  грошову оцінку земельної ділянки</w:t>
            </w:r>
          </w:p>
        </w:tc>
      </w:tr>
      <w:tr w:rsidR="00552466" w:rsidRPr="00C2587D" w14:paraId="1033775E" w14:textId="77777777" w:rsidTr="00D7011A">
        <w:trPr>
          <w:jc w:val="right"/>
        </w:trPr>
        <w:tc>
          <w:tcPr>
            <w:tcW w:w="3425" w:type="dxa"/>
            <w:shd w:val="clear" w:color="auto" w:fill="FFFFFF"/>
            <w:vAlign w:val="center"/>
          </w:tcPr>
          <w:p w14:paraId="33D5866C" w14:textId="77777777" w:rsidR="00552466" w:rsidRPr="00C2587D" w:rsidRDefault="00552466" w:rsidP="00D7011A">
            <w:pPr>
              <w:rPr>
                <w:rFonts w:cs="Arial"/>
                <w:b/>
                <w:bCs/>
                <w:color w:val="000000"/>
                <w:szCs w:val="22"/>
              </w:rPr>
            </w:pPr>
            <w:r w:rsidRPr="00C2587D">
              <w:rPr>
                <w:rFonts w:cs="Arial"/>
                <w:b/>
                <w:bCs/>
                <w:color w:val="000000"/>
                <w:szCs w:val="22"/>
              </w:rPr>
              <w:t>Індикатори (показники) результативності:</w:t>
            </w:r>
          </w:p>
        </w:tc>
        <w:tc>
          <w:tcPr>
            <w:tcW w:w="6954" w:type="dxa"/>
            <w:gridSpan w:val="5"/>
            <w:shd w:val="clear" w:color="auto" w:fill="FFFFFF"/>
          </w:tcPr>
          <w:p w14:paraId="21929A3A" w14:textId="77777777" w:rsidR="00552466" w:rsidRPr="00C2587D" w:rsidRDefault="00552466" w:rsidP="00D7011A">
            <w:pPr>
              <w:spacing w:before="40" w:after="40"/>
              <w:jc w:val="both"/>
              <w:rPr>
                <w:rFonts w:cs="Arial"/>
                <w:szCs w:val="22"/>
              </w:rPr>
            </w:pPr>
            <w:r w:rsidRPr="00C2587D">
              <w:rPr>
                <w:rFonts w:cs="Arial"/>
                <w:szCs w:val="22"/>
              </w:rPr>
              <w:t>Проведення 80 експертних грошових оцінок земель комунальної власності</w:t>
            </w:r>
          </w:p>
        </w:tc>
      </w:tr>
      <w:tr w:rsidR="00552466" w:rsidRPr="00C2587D" w14:paraId="4CC08525" w14:textId="77777777" w:rsidTr="00D7011A">
        <w:trPr>
          <w:jc w:val="right"/>
        </w:trPr>
        <w:tc>
          <w:tcPr>
            <w:tcW w:w="3425" w:type="dxa"/>
            <w:shd w:val="clear" w:color="auto" w:fill="FFFFFF"/>
            <w:vAlign w:val="center"/>
          </w:tcPr>
          <w:p w14:paraId="217711E4" w14:textId="77777777" w:rsidR="00552466" w:rsidRPr="00C2587D" w:rsidRDefault="00552466" w:rsidP="00D7011A">
            <w:pPr>
              <w:rPr>
                <w:rFonts w:cs="Arial"/>
                <w:b/>
                <w:color w:val="000000"/>
                <w:szCs w:val="22"/>
              </w:rPr>
            </w:pPr>
            <w:r w:rsidRPr="00C2587D">
              <w:rPr>
                <w:rFonts w:cs="Arial"/>
                <w:b/>
                <w:color w:val="000000"/>
                <w:szCs w:val="22"/>
              </w:rPr>
              <w:t xml:space="preserve">Період здійснення: </w:t>
            </w:r>
          </w:p>
        </w:tc>
        <w:tc>
          <w:tcPr>
            <w:tcW w:w="6954" w:type="dxa"/>
            <w:gridSpan w:val="5"/>
            <w:vAlign w:val="center"/>
          </w:tcPr>
          <w:p w14:paraId="6FF608E7" w14:textId="77777777" w:rsidR="00552466" w:rsidRPr="00C2587D" w:rsidRDefault="00552466" w:rsidP="00D7011A">
            <w:pPr>
              <w:rPr>
                <w:rFonts w:cs="Arial"/>
                <w:color w:val="000000"/>
                <w:szCs w:val="22"/>
                <w:lang w:eastAsia="it-IT"/>
              </w:rPr>
            </w:pPr>
            <w:r w:rsidRPr="00C2587D">
              <w:rPr>
                <w:rFonts w:cs="Arial"/>
                <w:b/>
                <w:color w:val="000000"/>
                <w:szCs w:val="22"/>
              </w:rPr>
              <w:t>2025 – 2028 роки:</w:t>
            </w:r>
          </w:p>
        </w:tc>
      </w:tr>
      <w:tr w:rsidR="00552466" w:rsidRPr="00C2587D" w14:paraId="3BFC7742" w14:textId="77777777" w:rsidTr="00D7011A">
        <w:trPr>
          <w:jc w:val="right"/>
        </w:trPr>
        <w:tc>
          <w:tcPr>
            <w:tcW w:w="3425" w:type="dxa"/>
            <w:vMerge w:val="restart"/>
            <w:shd w:val="clear" w:color="auto" w:fill="FFFFFF"/>
            <w:vAlign w:val="center"/>
          </w:tcPr>
          <w:p w14:paraId="10C0C6C5" w14:textId="77777777" w:rsidR="00552466" w:rsidRPr="00C2587D" w:rsidRDefault="00552466" w:rsidP="00D7011A">
            <w:pPr>
              <w:rPr>
                <w:rFonts w:cs="Arial"/>
                <w:b/>
                <w:bCs/>
                <w:color w:val="000000"/>
                <w:szCs w:val="22"/>
              </w:rPr>
            </w:pPr>
            <w:r w:rsidRPr="00C2587D">
              <w:rPr>
                <w:rFonts w:cs="Arial"/>
                <w:b/>
                <w:bCs/>
                <w:color w:val="000000"/>
                <w:szCs w:val="22"/>
              </w:rPr>
              <w:t>Орієнтовна вартість проєкту, тис. грн., в тому числі:</w:t>
            </w:r>
          </w:p>
        </w:tc>
        <w:tc>
          <w:tcPr>
            <w:tcW w:w="1254" w:type="dxa"/>
            <w:shd w:val="clear" w:color="auto" w:fill="E6E6E6"/>
            <w:vAlign w:val="center"/>
          </w:tcPr>
          <w:p w14:paraId="4E961D60" w14:textId="77777777" w:rsidR="00552466" w:rsidRPr="00C2587D" w:rsidRDefault="00552466" w:rsidP="00D7011A">
            <w:pPr>
              <w:jc w:val="center"/>
              <w:rPr>
                <w:rFonts w:cs="Arial"/>
                <w:b/>
                <w:color w:val="000000"/>
                <w:szCs w:val="22"/>
                <w:lang w:eastAsia="it-IT"/>
              </w:rPr>
            </w:pPr>
            <w:r w:rsidRPr="00C2587D">
              <w:rPr>
                <w:rFonts w:cs="Arial"/>
                <w:b/>
                <w:color w:val="000000"/>
                <w:szCs w:val="22"/>
                <w:lang w:eastAsia="it-IT"/>
              </w:rPr>
              <w:t>2025</w:t>
            </w:r>
          </w:p>
        </w:tc>
        <w:tc>
          <w:tcPr>
            <w:tcW w:w="1417" w:type="dxa"/>
            <w:shd w:val="clear" w:color="auto" w:fill="E6E6E6"/>
            <w:vAlign w:val="center"/>
          </w:tcPr>
          <w:p w14:paraId="6FF1D359" w14:textId="77777777" w:rsidR="00552466" w:rsidRPr="00C2587D" w:rsidRDefault="00552466" w:rsidP="00D7011A">
            <w:pPr>
              <w:jc w:val="center"/>
              <w:rPr>
                <w:rFonts w:cs="Arial"/>
                <w:b/>
                <w:color w:val="000000"/>
                <w:szCs w:val="22"/>
                <w:lang w:eastAsia="it-IT"/>
              </w:rPr>
            </w:pPr>
            <w:r w:rsidRPr="00C2587D">
              <w:rPr>
                <w:rFonts w:cs="Arial"/>
                <w:b/>
                <w:color w:val="000000"/>
                <w:szCs w:val="22"/>
                <w:lang w:eastAsia="it-IT"/>
              </w:rPr>
              <w:t>2026</w:t>
            </w:r>
          </w:p>
        </w:tc>
        <w:tc>
          <w:tcPr>
            <w:tcW w:w="1418" w:type="dxa"/>
            <w:tcBorders>
              <w:bottom w:val="single" w:sz="4" w:space="0" w:color="auto"/>
            </w:tcBorders>
            <w:shd w:val="clear" w:color="auto" w:fill="E6E6E6"/>
            <w:vAlign w:val="center"/>
          </w:tcPr>
          <w:p w14:paraId="2B45F79E" w14:textId="77777777" w:rsidR="00552466" w:rsidRPr="00C2587D" w:rsidRDefault="00552466" w:rsidP="00D7011A">
            <w:pPr>
              <w:jc w:val="center"/>
              <w:rPr>
                <w:rFonts w:cs="Arial"/>
                <w:b/>
                <w:color w:val="000000"/>
                <w:szCs w:val="22"/>
                <w:lang w:eastAsia="it-IT"/>
              </w:rPr>
            </w:pPr>
            <w:r w:rsidRPr="00C2587D">
              <w:rPr>
                <w:rFonts w:cs="Arial"/>
                <w:b/>
                <w:color w:val="000000"/>
                <w:szCs w:val="22"/>
                <w:lang w:eastAsia="it-IT"/>
              </w:rPr>
              <w:t>2027</w:t>
            </w:r>
          </w:p>
        </w:tc>
        <w:tc>
          <w:tcPr>
            <w:tcW w:w="1275" w:type="dxa"/>
            <w:shd w:val="clear" w:color="auto" w:fill="E6E6E6"/>
            <w:vAlign w:val="center"/>
          </w:tcPr>
          <w:p w14:paraId="36392CA9" w14:textId="77777777" w:rsidR="00552466" w:rsidRPr="00C2587D" w:rsidRDefault="00552466" w:rsidP="00D7011A">
            <w:pPr>
              <w:jc w:val="center"/>
              <w:rPr>
                <w:rFonts w:cs="Arial"/>
                <w:b/>
                <w:color w:val="000000"/>
                <w:szCs w:val="22"/>
                <w:lang w:eastAsia="it-IT"/>
              </w:rPr>
            </w:pPr>
            <w:r w:rsidRPr="00C2587D">
              <w:rPr>
                <w:rFonts w:cs="Arial"/>
                <w:b/>
                <w:color w:val="000000"/>
                <w:szCs w:val="22"/>
                <w:lang w:eastAsia="it-IT"/>
              </w:rPr>
              <w:t>2028</w:t>
            </w:r>
          </w:p>
        </w:tc>
        <w:tc>
          <w:tcPr>
            <w:tcW w:w="1590" w:type="dxa"/>
            <w:shd w:val="clear" w:color="auto" w:fill="E6E6E6"/>
            <w:vAlign w:val="center"/>
          </w:tcPr>
          <w:p w14:paraId="4A731514" w14:textId="77777777" w:rsidR="00552466" w:rsidRPr="00C2587D" w:rsidRDefault="00552466" w:rsidP="00D7011A">
            <w:pPr>
              <w:jc w:val="center"/>
              <w:rPr>
                <w:rFonts w:cs="Arial"/>
                <w:b/>
                <w:color w:val="000000"/>
                <w:szCs w:val="22"/>
                <w:lang w:eastAsia="it-IT"/>
              </w:rPr>
            </w:pPr>
            <w:r w:rsidRPr="00C2587D">
              <w:rPr>
                <w:rFonts w:cs="Arial"/>
                <w:b/>
                <w:color w:val="000000"/>
                <w:szCs w:val="22"/>
                <w:lang w:eastAsia="it-IT"/>
              </w:rPr>
              <w:t>РАЗОМ</w:t>
            </w:r>
          </w:p>
        </w:tc>
      </w:tr>
      <w:tr w:rsidR="00552466" w:rsidRPr="00C2587D" w14:paraId="6B80DB8A" w14:textId="77777777" w:rsidTr="00D7011A">
        <w:trPr>
          <w:trHeight w:val="645"/>
          <w:jc w:val="right"/>
        </w:trPr>
        <w:tc>
          <w:tcPr>
            <w:tcW w:w="3425" w:type="dxa"/>
            <w:vMerge/>
            <w:shd w:val="clear" w:color="auto" w:fill="FFFFFF"/>
            <w:vAlign w:val="center"/>
          </w:tcPr>
          <w:p w14:paraId="5F77F465" w14:textId="77777777" w:rsidR="00552466" w:rsidRPr="00C2587D" w:rsidRDefault="00552466" w:rsidP="00D7011A">
            <w:pPr>
              <w:rPr>
                <w:rFonts w:cs="Arial"/>
                <w:b/>
                <w:bCs/>
                <w:color w:val="000000"/>
                <w:szCs w:val="22"/>
              </w:rPr>
            </w:pPr>
          </w:p>
        </w:tc>
        <w:tc>
          <w:tcPr>
            <w:tcW w:w="1254" w:type="dxa"/>
            <w:vAlign w:val="center"/>
          </w:tcPr>
          <w:p w14:paraId="17E7A33B" w14:textId="77777777" w:rsidR="00552466" w:rsidRPr="00C2587D" w:rsidRDefault="00552466" w:rsidP="00D7011A">
            <w:pPr>
              <w:jc w:val="center"/>
              <w:rPr>
                <w:rFonts w:cs="Arial"/>
                <w:szCs w:val="22"/>
                <w:lang w:eastAsia="it-IT"/>
              </w:rPr>
            </w:pPr>
            <w:r w:rsidRPr="00C2587D">
              <w:rPr>
                <w:rFonts w:cs="Arial"/>
                <w:szCs w:val="22"/>
                <w:lang w:eastAsia="it-IT"/>
              </w:rPr>
              <w:t>130,00</w:t>
            </w:r>
          </w:p>
        </w:tc>
        <w:tc>
          <w:tcPr>
            <w:tcW w:w="1417" w:type="dxa"/>
            <w:shd w:val="clear" w:color="auto" w:fill="FFFFFF"/>
            <w:vAlign w:val="center"/>
          </w:tcPr>
          <w:p w14:paraId="2C6DCE6D" w14:textId="77777777" w:rsidR="00552466" w:rsidRPr="00C2587D" w:rsidRDefault="00552466" w:rsidP="00D7011A">
            <w:pPr>
              <w:jc w:val="center"/>
              <w:rPr>
                <w:rFonts w:cs="Arial"/>
                <w:szCs w:val="22"/>
                <w:lang w:eastAsia="it-IT"/>
              </w:rPr>
            </w:pPr>
            <w:r w:rsidRPr="00C2587D">
              <w:rPr>
                <w:rFonts w:cs="Arial"/>
                <w:szCs w:val="22"/>
                <w:lang w:eastAsia="it-IT"/>
              </w:rPr>
              <w:t>130,00</w:t>
            </w:r>
          </w:p>
        </w:tc>
        <w:tc>
          <w:tcPr>
            <w:tcW w:w="1418" w:type="dxa"/>
            <w:shd w:val="clear" w:color="auto" w:fill="auto"/>
            <w:vAlign w:val="center"/>
          </w:tcPr>
          <w:p w14:paraId="0B94E3B9" w14:textId="77777777" w:rsidR="00552466" w:rsidRPr="00C2587D" w:rsidRDefault="00552466" w:rsidP="00D7011A">
            <w:pPr>
              <w:jc w:val="center"/>
              <w:rPr>
                <w:rFonts w:cs="Arial"/>
                <w:szCs w:val="22"/>
                <w:lang w:eastAsia="it-IT"/>
              </w:rPr>
            </w:pPr>
            <w:r w:rsidRPr="00C2587D">
              <w:rPr>
                <w:rFonts w:cs="Arial"/>
                <w:szCs w:val="22"/>
                <w:lang w:eastAsia="it-IT"/>
              </w:rPr>
              <w:t>130,00</w:t>
            </w:r>
          </w:p>
        </w:tc>
        <w:tc>
          <w:tcPr>
            <w:tcW w:w="1275" w:type="dxa"/>
            <w:shd w:val="clear" w:color="auto" w:fill="FFFFFF"/>
            <w:vAlign w:val="center"/>
          </w:tcPr>
          <w:p w14:paraId="69F0E58E" w14:textId="77777777" w:rsidR="00552466" w:rsidRPr="00C2587D" w:rsidRDefault="00552466" w:rsidP="00D7011A">
            <w:pPr>
              <w:jc w:val="center"/>
              <w:rPr>
                <w:rFonts w:cs="Arial"/>
                <w:szCs w:val="22"/>
                <w:lang w:eastAsia="it-IT"/>
              </w:rPr>
            </w:pPr>
            <w:r w:rsidRPr="00C2587D">
              <w:rPr>
                <w:rFonts w:cs="Arial"/>
                <w:szCs w:val="22"/>
                <w:lang w:eastAsia="it-IT"/>
              </w:rPr>
              <w:t>130,00</w:t>
            </w:r>
          </w:p>
        </w:tc>
        <w:tc>
          <w:tcPr>
            <w:tcW w:w="1590" w:type="dxa"/>
            <w:shd w:val="clear" w:color="auto" w:fill="FFFFFF"/>
            <w:vAlign w:val="center"/>
          </w:tcPr>
          <w:p w14:paraId="59A35F03" w14:textId="77777777" w:rsidR="00552466" w:rsidRPr="00C2587D" w:rsidRDefault="00552466" w:rsidP="00D7011A">
            <w:pPr>
              <w:jc w:val="center"/>
              <w:rPr>
                <w:rFonts w:cs="Arial"/>
                <w:szCs w:val="22"/>
                <w:lang w:eastAsia="it-IT"/>
              </w:rPr>
            </w:pPr>
            <w:r w:rsidRPr="00C2587D">
              <w:rPr>
                <w:rFonts w:cs="Arial"/>
                <w:szCs w:val="22"/>
                <w:lang w:eastAsia="it-IT"/>
              </w:rPr>
              <w:t>520,00</w:t>
            </w:r>
          </w:p>
        </w:tc>
      </w:tr>
      <w:tr w:rsidR="00552466" w:rsidRPr="00C2587D" w14:paraId="3B9563A9" w14:textId="77777777" w:rsidTr="00D7011A">
        <w:trPr>
          <w:trHeight w:val="276"/>
          <w:jc w:val="right"/>
        </w:trPr>
        <w:tc>
          <w:tcPr>
            <w:tcW w:w="3425" w:type="dxa"/>
            <w:shd w:val="clear" w:color="auto" w:fill="FFFFFF"/>
            <w:vAlign w:val="center"/>
          </w:tcPr>
          <w:p w14:paraId="49733B16" w14:textId="77777777" w:rsidR="00552466" w:rsidRPr="00C2587D" w:rsidRDefault="00552466" w:rsidP="00D7011A">
            <w:pPr>
              <w:rPr>
                <w:rFonts w:cs="Arial"/>
                <w:b/>
                <w:bCs/>
                <w:color w:val="000000"/>
                <w:szCs w:val="22"/>
              </w:rPr>
            </w:pPr>
            <w:r w:rsidRPr="00C2587D">
              <w:rPr>
                <w:rFonts w:cs="Arial"/>
                <w:b/>
                <w:bCs/>
                <w:color w:val="000000"/>
                <w:szCs w:val="22"/>
              </w:rPr>
              <w:t>по джерелах фінансування:</w:t>
            </w:r>
          </w:p>
        </w:tc>
        <w:tc>
          <w:tcPr>
            <w:tcW w:w="1254" w:type="dxa"/>
            <w:vAlign w:val="center"/>
          </w:tcPr>
          <w:p w14:paraId="64AEA1DE" w14:textId="77777777" w:rsidR="00552466" w:rsidRPr="00C2587D" w:rsidRDefault="00552466" w:rsidP="00D7011A">
            <w:pPr>
              <w:jc w:val="center"/>
              <w:rPr>
                <w:rFonts w:cs="Arial"/>
                <w:szCs w:val="22"/>
                <w:lang w:eastAsia="it-IT"/>
              </w:rPr>
            </w:pPr>
          </w:p>
        </w:tc>
        <w:tc>
          <w:tcPr>
            <w:tcW w:w="1417" w:type="dxa"/>
            <w:shd w:val="clear" w:color="auto" w:fill="FFFFFF"/>
            <w:vAlign w:val="center"/>
          </w:tcPr>
          <w:p w14:paraId="1A84AA8D" w14:textId="77777777" w:rsidR="00552466" w:rsidRPr="00C2587D" w:rsidRDefault="00552466" w:rsidP="00D7011A">
            <w:pPr>
              <w:jc w:val="center"/>
              <w:rPr>
                <w:rFonts w:cs="Arial"/>
                <w:szCs w:val="22"/>
                <w:lang w:eastAsia="it-IT"/>
              </w:rPr>
            </w:pPr>
          </w:p>
        </w:tc>
        <w:tc>
          <w:tcPr>
            <w:tcW w:w="1418" w:type="dxa"/>
            <w:shd w:val="clear" w:color="auto" w:fill="auto"/>
            <w:vAlign w:val="center"/>
          </w:tcPr>
          <w:p w14:paraId="6E8FA216" w14:textId="77777777" w:rsidR="00552466" w:rsidRPr="00C2587D" w:rsidRDefault="00552466" w:rsidP="00D7011A">
            <w:pPr>
              <w:jc w:val="center"/>
              <w:rPr>
                <w:rFonts w:cs="Arial"/>
                <w:szCs w:val="22"/>
                <w:lang w:eastAsia="it-IT"/>
              </w:rPr>
            </w:pPr>
          </w:p>
        </w:tc>
        <w:tc>
          <w:tcPr>
            <w:tcW w:w="1275" w:type="dxa"/>
            <w:shd w:val="clear" w:color="auto" w:fill="FFFFFF"/>
            <w:vAlign w:val="center"/>
          </w:tcPr>
          <w:p w14:paraId="174A0F0B" w14:textId="77777777" w:rsidR="00552466" w:rsidRPr="00C2587D" w:rsidRDefault="00552466" w:rsidP="00D7011A">
            <w:pPr>
              <w:jc w:val="center"/>
              <w:rPr>
                <w:rFonts w:cs="Arial"/>
                <w:szCs w:val="22"/>
                <w:lang w:eastAsia="it-IT"/>
              </w:rPr>
            </w:pPr>
          </w:p>
        </w:tc>
        <w:tc>
          <w:tcPr>
            <w:tcW w:w="1590" w:type="dxa"/>
            <w:shd w:val="clear" w:color="auto" w:fill="FFFFFF"/>
            <w:vAlign w:val="center"/>
          </w:tcPr>
          <w:p w14:paraId="0F2FE5F3" w14:textId="77777777" w:rsidR="00552466" w:rsidRPr="00C2587D" w:rsidRDefault="00552466" w:rsidP="00D7011A">
            <w:pPr>
              <w:jc w:val="center"/>
              <w:rPr>
                <w:rFonts w:cs="Arial"/>
                <w:szCs w:val="22"/>
                <w:lang w:eastAsia="it-IT"/>
              </w:rPr>
            </w:pPr>
          </w:p>
        </w:tc>
      </w:tr>
      <w:tr w:rsidR="00552466" w:rsidRPr="00C2587D" w14:paraId="6812A7C8" w14:textId="77777777" w:rsidTr="00D7011A">
        <w:trPr>
          <w:trHeight w:val="230"/>
          <w:jc w:val="right"/>
        </w:trPr>
        <w:tc>
          <w:tcPr>
            <w:tcW w:w="3425" w:type="dxa"/>
            <w:shd w:val="clear" w:color="auto" w:fill="FFFFFF"/>
            <w:vAlign w:val="center"/>
          </w:tcPr>
          <w:p w14:paraId="6D1D0FB3" w14:textId="77777777" w:rsidR="00552466" w:rsidRPr="00C2587D" w:rsidRDefault="00552466" w:rsidP="00D7011A">
            <w:pPr>
              <w:rPr>
                <w:rFonts w:cs="Arial"/>
                <w:bCs/>
                <w:color w:val="000000"/>
                <w:szCs w:val="22"/>
              </w:rPr>
            </w:pPr>
            <w:r w:rsidRPr="00C2587D">
              <w:rPr>
                <w:rFonts w:cs="Arial"/>
                <w:bCs/>
                <w:color w:val="000000"/>
                <w:szCs w:val="22"/>
              </w:rPr>
              <w:t>-державний бюджет</w:t>
            </w:r>
          </w:p>
        </w:tc>
        <w:tc>
          <w:tcPr>
            <w:tcW w:w="1254" w:type="dxa"/>
            <w:vAlign w:val="center"/>
          </w:tcPr>
          <w:p w14:paraId="0EF046E8" w14:textId="77777777" w:rsidR="00552466" w:rsidRPr="00C2587D" w:rsidRDefault="00552466" w:rsidP="00D7011A">
            <w:pPr>
              <w:jc w:val="center"/>
              <w:rPr>
                <w:rFonts w:cs="Arial"/>
                <w:szCs w:val="22"/>
                <w:lang w:eastAsia="it-IT"/>
              </w:rPr>
            </w:pPr>
          </w:p>
        </w:tc>
        <w:tc>
          <w:tcPr>
            <w:tcW w:w="1417" w:type="dxa"/>
            <w:shd w:val="clear" w:color="auto" w:fill="FFFFFF"/>
            <w:vAlign w:val="center"/>
          </w:tcPr>
          <w:p w14:paraId="32DCF5F1" w14:textId="77777777" w:rsidR="00552466" w:rsidRPr="00C2587D" w:rsidRDefault="00552466" w:rsidP="00D7011A">
            <w:pPr>
              <w:jc w:val="center"/>
              <w:rPr>
                <w:rFonts w:cs="Arial"/>
                <w:szCs w:val="22"/>
                <w:lang w:eastAsia="it-IT"/>
              </w:rPr>
            </w:pPr>
          </w:p>
        </w:tc>
        <w:tc>
          <w:tcPr>
            <w:tcW w:w="1418" w:type="dxa"/>
            <w:shd w:val="clear" w:color="auto" w:fill="auto"/>
            <w:vAlign w:val="center"/>
          </w:tcPr>
          <w:p w14:paraId="61D3F936" w14:textId="77777777" w:rsidR="00552466" w:rsidRPr="00C2587D" w:rsidRDefault="00552466" w:rsidP="00D7011A">
            <w:pPr>
              <w:jc w:val="center"/>
              <w:rPr>
                <w:rFonts w:cs="Arial"/>
                <w:szCs w:val="22"/>
                <w:lang w:eastAsia="it-IT"/>
              </w:rPr>
            </w:pPr>
          </w:p>
        </w:tc>
        <w:tc>
          <w:tcPr>
            <w:tcW w:w="1275" w:type="dxa"/>
            <w:shd w:val="clear" w:color="auto" w:fill="FFFFFF"/>
            <w:vAlign w:val="center"/>
          </w:tcPr>
          <w:p w14:paraId="1C0C8494" w14:textId="77777777" w:rsidR="00552466" w:rsidRPr="00C2587D" w:rsidRDefault="00552466" w:rsidP="00D7011A">
            <w:pPr>
              <w:jc w:val="center"/>
              <w:rPr>
                <w:rFonts w:cs="Arial"/>
                <w:szCs w:val="22"/>
                <w:lang w:eastAsia="it-IT"/>
              </w:rPr>
            </w:pPr>
          </w:p>
        </w:tc>
        <w:tc>
          <w:tcPr>
            <w:tcW w:w="1590" w:type="dxa"/>
            <w:shd w:val="clear" w:color="auto" w:fill="FFFFFF"/>
            <w:vAlign w:val="center"/>
          </w:tcPr>
          <w:p w14:paraId="2746F430" w14:textId="77777777" w:rsidR="00552466" w:rsidRPr="00C2587D" w:rsidRDefault="00552466" w:rsidP="00D7011A">
            <w:pPr>
              <w:jc w:val="center"/>
              <w:rPr>
                <w:rFonts w:cs="Arial"/>
                <w:szCs w:val="22"/>
                <w:lang w:eastAsia="it-IT"/>
              </w:rPr>
            </w:pPr>
          </w:p>
        </w:tc>
      </w:tr>
      <w:tr w:rsidR="00552466" w:rsidRPr="00C2587D" w14:paraId="463654CF" w14:textId="77777777" w:rsidTr="00D7011A">
        <w:trPr>
          <w:trHeight w:val="253"/>
          <w:jc w:val="right"/>
        </w:trPr>
        <w:tc>
          <w:tcPr>
            <w:tcW w:w="3425" w:type="dxa"/>
            <w:shd w:val="clear" w:color="auto" w:fill="FFFFFF"/>
            <w:vAlign w:val="center"/>
          </w:tcPr>
          <w:p w14:paraId="2EBB9566" w14:textId="77777777" w:rsidR="00552466" w:rsidRPr="00C2587D" w:rsidRDefault="00552466" w:rsidP="00D7011A">
            <w:pPr>
              <w:rPr>
                <w:rFonts w:cs="Arial"/>
                <w:bCs/>
                <w:color w:val="000000"/>
                <w:szCs w:val="22"/>
              </w:rPr>
            </w:pPr>
            <w:r w:rsidRPr="00C2587D">
              <w:rPr>
                <w:rFonts w:cs="Arial"/>
                <w:bCs/>
                <w:color w:val="000000"/>
                <w:szCs w:val="22"/>
              </w:rPr>
              <w:t>-обласний бюджет</w:t>
            </w:r>
          </w:p>
        </w:tc>
        <w:tc>
          <w:tcPr>
            <w:tcW w:w="1254" w:type="dxa"/>
            <w:vAlign w:val="center"/>
          </w:tcPr>
          <w:p w14:paraId="6D5F398D" w14:textId="77777777" w:rsidR="00552466" w:rsidRPr="00C2587D" w:rsidRDefault="00552466" w:rsidP="00D7011A">
            <w:pPr>
              <w:jc w:val="center"/>
              <w:rPr>
                <w:rFonts w:cs="Arial"/>
                <w:szCs w:val="22"/>
                <w:lang w:eastAsia="it-IT"/>
              </w:rPr>
            </w:pPr>
          </w:p>
        </w:tc>
        <w:tc>
          <w:tcPr>
            <w:tcW w:w="1417" w:type="dxa"/>
            <w:shd w:val="clear" w:color="auto" w:fill="FFFFFF"/>
            <w:vAlign w:val="center"/>
          </w:tcPr>
          <w:p w14:paraId="792FCBB5" w14:textId="77777777" w:rsidR="00552466" w:rsidRPr="00C2587D" w:rsidRDefault="00552466" w:rsidP="00D7011A">
            <w:pPr>
              <w:jc w:val="center"/>
              <w:rPr>
                <w:rFonts w:cs="Arial"/>
                <w:szCs w:val="22"/>
                <w:lang w:eastAsia="it-IT"/>
              </w:rPr>
            </w:pPr>
          </w:p>
        </w:tc>
        <w:tc>
          <w:tcPr>
            <w:tcW w:w="1418" w:type="dxa"/>
            <w:shd w:val="clear" w:color="auto" w:fill="auto"/>
            <w:vAlign w:val="center"/>
          </w:tcPr>
          <w:p w14:paraId="39A6D7C4" w14:textId="77777777" w:rsidR="00552466" w:rsidRPr="00C2587D" w:rsidRDefault="00552466" w:rsidP="00D7011A">
            <w:pPr>
              <w:jc w:val="center"/>
              <w:rPr>
                <w:rFonts w:cs="Arial"/>
                <w:szCs w:val="22"/>
                <w:lang w:eastAsia="it-IT"/>
              </w:rPr>
            </w:pPr>
          </w:p>
        </w:tc>
        <w:tc>
          <w:tcPr>
            <w:tcW w:w="1275" w:type="dxa"/>
            <w:shd w:val="clear" w:color="auto" w:fill="FFFFFF"/>
            <w:vAlign w:val="center"/>
          </w:tcPr>
          <w:p w14:paraId="50B03B2A" w14:textId="77777777" w:rsidR="00552466" w:rsidRPr="00C2587D" w:rsidRDefault="00552466" w:rsidP="00D7011A">
            <w:pPr>
              <w:jc w:val="center"/>
              <w:rPr>
                <w:rFonts w:cs="Arial"/>
                <w:szCs w:val="22"/>
                <w:lang w:eastAsia="it-IT"/>
              </w:rPr>
            </w:pPr>
          </w:p>
        </w:tc>
        <w:tc>
          <w:tcPr>
            <w:tcW w:w="1590" w:type="dxa"/>
            <w:shd w:val="clear" w:color="auto" w:fill="FFFFFF"/>
            <w:vAlign w:val="center"/>
          </w:tcPr>
          <w:p w14:paraId="13DAA69B" w14:textId="77777777" w:rsidR="00552466" w:rsidRPr="00C2587D" w:rsidRDefault="00552466" w:rsidP="00D7011A">
            <w:pPr>
              <w:jc w:val="center"/>
              <w:rPr>
                <w:rFonts w:cs="Arial"/>
                <w:szCs w:val="22"/>
                <w:lang w:eastAsia="it-IT"/>
              </w:rPr>
            </w:pPr>
          </w:p>
        </w:tc>
      </w:tr>
      <w:tr w:rsidR="00552466" w:rsidRPr="00C2587D" w14:paraId="5CC9B836" w14:textId="77777777" w:rsidTr="00D7011A">
        <w:trPr>
          <w:trHeight w:val="264"/>
          <w:jc w:val="right"/>
        </w:trPr>
        <w:tc>
          <w:tcPr>
            <w:tcW w:w="3425" w:type="dxa"/>
            <w:shd w:val="clear" w:color="auto" w:fill="FFFFFF"/>
            <w:vAlign w:val="center"/>
          </w:tcPr>
          <w:p w14:paraId="2D60747F" w14:textId="77777777" w:rsidR="00552466" w:rsidRPr="00C2587D" w:rsidRDefault="00552466" w:rsidP="00D7011A">
            <w:pPr>
              <w:rPr>
                <w:rFonts w:cs="Arial"/>
                <w:bCs/>
                <w:color w:val="000000"/>
                <w:szCs w:val="22"/>
              </w:rPr>
            </w:pPr>
            <w:r w:rsidRPr="00C2587D">
              <w:rPr>
                <w:rFonts w:cs="Arial"/>
                <w:bCs/>
                <w:color w:val="000000"/>
                <w:szCs w:val="22"/>
              </w:rPr>
              <w:t>-бюджет Жмеринської МТГ</w:t>
            </w:r>
          </w:p>
        </w:tc>
        <w:tc>
          <w:tcPr>
            <w:tcW w:w="1254" w:type="dxa"/>
            <w:vAlign w:val="center"/>
          </w:tcPr>
          <w:p w14:paraId="68620A2B" w14:textId="77777777" w:rsidR="00552466" w:rsidRPr="00C2587D" w:rsidRDefault="00552466" w:rsidP="00D7011A">
            <w:pPr>
              <w:jc w:val="center"/>
              <w:rPr>
                <w:rFonts w:cs="Arial"/>
                <w:szCs w:val="22"/>
                <w:lang w:eastAsia="it-IT"/>
              </w:rPr>
            </w:pPr>
            <w:r w:rsidRPr="00C2587D">
              <w:rPr>
                <w:rFonts w:cs="Arial"/>
                <w:szCs w:val="22"/>
                <w:lang w:eastAsia="it-IT"/>
              </w:rPr>
              <w:t>130,00</w:t>
            </w:r>
          </w:p>
        </w:tc>
        <w:tc>
          <w:tcPr>
            <w:tcW w:w="1417" w:type="dxa"/>
            <w:shd w:val="clear" w:color="auto" w:fill="FFFFFF"/>
            <w:vAlign w:val="center"/>
          </w:tcPr>
          <w:p w14:paraId="142D1241" w14:textId="77777777" w:rsidR="00552466" w:rsidRPr="00C2587D" w:rsidRDefault="00552466" w:rsidP="00D7011A">
            <w:pPr>
              <w:jc w:val="center"/>
              <w:rPr>
                <w:rFonts w:cs="Arial"/>
                <w:szCs w:val="22"/>
                <w:lang w:eastAsia="it-IT"/>
              </w:rPr>
            </w:pPr>
            <w:r w:rsidRPr="00C2587D">
              <w:rPr>
                <w:rFonts w:cs="Arial"/>
                <w:szCs w:val="22"/>
                <w:lang w:eastAsia="it-IT"/>
              </w:rPr>
              <w:t>130,00</w:t>
            </w:r>
          </w:p>
        </w:tc>
        <w:tc>
          <w:tcPr>
            <w:tcW w:w="1418" w:type="dxa"/>
            <w:shd w:val="clear" w:color="auto" w:fill="auto"/>
            <w:vAlign w:val="center"/>
          </w:tcPr>
          <w:p w14:paraId="2021FA0B" w14:textId="77777777" w:rsidR="00552466" w:rsidRPr="00C2587D" w:rsidRDefault="00552466" w:rsidP="00D7011A">
            <w:pPr>
              <w:jc w:val="center"/>
              <w:rPr>
                <w:rFonts w:cs="Arial"/>
                <w:szCs w:val="22"/>
                <w:lang w:eastAsia="it-IT"/>
              </w:rPr>
            </w:pPr>
            <w:r w:rsidRPr="00C2587D">
              <w:rPr>
                <w:rFonts w:cs="Arial"/>
                <w:szCs w:val="22"/>
                <w:lang w:eastAsia="it-IT"/>
              </w:rPr>
              <w:t>130,00</w:t>
            </w:r>
          </w:p>
        </w:tc>
        <w:tc>
          <w:tcPr>
            <w:tcW w:w="1275" w:type="dxa"/>
            <w:shd w:val="clear" w:color="auto" w:fill="FFFFFF"/>
            <w:vAlign w:val="center"/>
          </w:tcPr>
          <w:p w14:paraId="528234D6" w14:textId="77777777" w:rsidR="00552466" w:rsidRPr="00C2587D" w:rsidRDefault="00552466" w:rsidP="00D7011A">
            <w:pPr>
              <w:jc w:val="center"/>
              <w:rPr>
                <w:rFonts w:cs="Arial"/>
                <w:szCs w:val="22"/>
                <w:lang w:eastAsia="it-IT"/>
              </w:rPr>
            </w:pPr>
            <w:r w:rsidRPr="00C2587D">
              <w:rPr>
                <w:rFonts w:cs="Arial"/>
                <w:szCs w:val="22"/>
                <w:lang w:eastAsia="it-IT"/>
              </w:rPr>
              <w:t>130,00</w:t>
            </w:r>
          </w:p>
        </w:tc>
        <w:tc>
          <w:tcPr>
            <w:tcW w:w="1590" w:type="dxa"/>
            <w:shd w:val="clear" w:color="auto" w:fill="FFFFFF"/>
            <w:vAlign w:val="center"/>
          </w:tcPr>
          <w:p w14:paraId="6831E276" w14:textId="77777777" w:rsidR="00552466" w:rsidRPr="00C2587D" w:rsidRDefault="00552466" w:rsidP="00D7011A">
            <w:pPr>
              <w:jc w:val="center"/>
              <w:rPr>
                <w:rFonts w:cs="Arial"/>
                <w:szCs w:val="22"/>
                <w:lang w:eastAsia="it-IT"/>
              </w:rPr>
            </w:pPr>
            <w:r w:rsidRPr="00C2587D">
              <w:rPr>
                <w:rFonts w:cs="Arial"/>
                <w:szCs w:val="22"/>
                <w:lang w:eastAsia="it-IT"/>
              </w:rPr>
              <w:t>520,00</w:t>
            </w:r>
          </w:p>
        </w:tc>
      </w:tr>
      <w:tr w:rsidR="00552466" w:rsidRPr="00C2587D" w14:paraId="0A5011F8" w14:textId="77777777" w:rsidTr="00D7011A">
        <w:trPr>
          <w:trHeight w:val="369"/>
          <w:jc w:val="right"/>
        </w:trPr>
        <w:tc>
          <w:tcPr>
            <w:tcW w:w="3425" w:type="dxa"/>
            <w:shd w:val="clear" w:color="auto" w:fill="FFFFFF"/>
            <w:vAlign w:val="center"/>
          </w:tcPr>
          <w:p w14:paraId="41ACC64F" w14:textId="77777777" w:rsidR="00552466" w:rsidRPr="00C2587D" w:rsidRDefault="00552466" w:rsidP="00D7011A">
            <w:pPr>
              <w:rPr>
                <w:rFonts w:cs="Arial"/>
                <w:bCs/>
                <w:color w:val="000000"/>
                <w:szCs w:val="22"/>
              </w:rPr>
            </w:pPr>
            <w:r w:rsidRPr="00C2587D">
              <w:rPr>
                <w:rFonts w:cs="Arial"/>
                <w:bCs/>
                <w:color w:val="000000"/>
                <w:szCs w:val="22"/>
              </w:rPr>
              <w:t>-інші джерела фінансування</w:t>
            </w:r>
          </w:p>
        </w:tc>
        <w:tc>
          <w:tcPr>
            <w:tcW w:w="1254" w:type="dxa"/>
            <w:vAlign w:val="center"/>
          </w:tcPr>
          <w:p w14:paraId="1C40A49C" w14:textId="77777777" w:rsidR="00552466" w:rsidRPr="00C2587D" w:rsidRDefault="00552466" w:rsidP="00D7011A">
            <w:pPr>
              <w:rPr>
                <w:rFonts w:cs="Arial"/>
                <w:b/>
                <w:color w:val="000000"/>
                <w:szCs w:val="22"/>
                <w:lang w:eastAsia="it-IT"/>
              </w:rPr>
            </w:pPr>
          </w:p>
        </w:tc>
        <w:tc>
          <w:tcPr>
            <w:tcW w:w="1417" w:type="dxa"/>
            <w:shd w:val="clear" w:color="auto" w:fill="FFFFFF"/>
            <w:vAlign w:val="center"/>
          </w:tcPr>
          <w:p w14:paraId="76F7BB54" w14:textId="77777777" w:rsidR="00552466" w:rsidRPr="00C2587D" w:rsidRDefault="00552466" w:rsidP="00D7011A">
            <w:pPr>
              <w:jc w:val="center"/>
              <w:rPr>
                <w:rFonts w:cs="Arial"/>
                <w:b/>
                <w:color w:val="000000"/>
                <w:szCs w:val="22"/>
                <w:lang w:eastAsia="it-IT"/>
              </w:rPr>
            </w:pPr>
          </w:p>
        </w:tc>
        <w:tc>
          <w:tcPr>
            <w:tcW w:w="1418" w:type="dxa"/>
            <w:shd w:val="clear" w:color="auto" w:fill="auto"/>
            <w:vAlign w:val="center"/>
          </w:tcPr>
          <w:p w14:paraId="18DA6A5F" w14:textId="77777777" w:rsidR="00552466" w:rsidRPr="00C2587D" w:rsidRDefault="00552466" w:rsidP="00D7011A">
            <w:pPr>
              <w:jc w:val="center"/>
              <w:rPr>
                <w:rFonts w:cs="Arial"/>
                <w:b/>
                <w:color w:val="000000"/>
                <w:szCs w:val="22"/>
                <w:lang w:eastAsia="it-IT"/>
              </w:rPr>
            </w:pPr>
          </w:p>
        </w:tc>
        <w:tc>
          <w:tcPr>
            <w:tcW w:w="1275" w:type="dxa"/>
            <w:shd w:val="clear" w:color="auto" w:fill="FFFFFF"/>
            <w:vAlign w:val="center"/>
          </w:tcPr>
          <w:p w14:paraId="0E2F84DF" w14:textId="77777777" w:rsidR="00552466" w:rsidRPr="00C2587D" w:rsidRDefault="00552466" w:rsidP="00D7011A">
            <w:pPr>
              <w:jc w:val="center"/>
              <w:rPr>
                <w:rFonts w:cs="Arial"/>
                <w:b/>
                <w:color w:val="000000"/>
                <w:szCs w:val="22"/>
                <w:lang w:eastAsia="it-IT"/>
              </w:rPr>
            </w:pPr>
          </w:p>
        </w:tc>
        <w:tc>
          <w:tcPr>
            <w:tcW w:w="1590" w:type="dxa"/>
            <w:shd w:val="clear" w:color="auto" w:fill="FFFFFF"/>
            <w:vAlign w:val="center"/>
          </w:tcPr>
          <w:p w14:paraId="500927FE" w14:textId="77777777" w:rsidR="00552466" w:rsidRPr="00C2587D" w:rsidRDefault="00552466" w:rsidP="00D7011A">
            <w:pPr>
              <w:jc w:val="center"/>
              <w:rPr>
                <w:rFonts w:cs="Arial"/>
                <w:b/>
                <w:color w:val="000000"/>
                <w:szCs w:val="22"/>
                <w:lang w:eastAsia="it-IT"/>
              </w:rPr>
            </w:pPr>
          </w:p>
        </w:tc>
      </w:tr>
      <w:tr w:rsidR="00552466" w:rsidRPr="00C2587D" w14:paraId="529E24A6" w14:textId="77777777" w:rsidTr="00D7011A">
        <w:trPr>
          <w:jc w:val="right"/>
        </w:trPr>
        <w:tc>
          <w:tcPr>
            <w:tcW w:w="3425" w:type="dxa"/>
            <w:shd w:val="clear" w:color="auto" w:fill="FFFFFF"/>
            <w:vAlign w:val="center"/>
          </w:tcPr>
          <w:p w14:paraId="3CCE10A4" w14:textId="77777777" w:rsidR="00552466" w:rsidRPr="00C2587D" w:rsidRDefault="00552466" w:rsidP="00D7011A">
            <w:pPr>
              <w:rPr>
                <w:rFonts w:cs="Arial"/>
                <w:b/>
                <w:bCs/>
                <w:color w:val="000000"/>
                <w:szCs w:val="22"/>
              </w:rPr>
            </w:pPr>
            <w:r w:rsidRPr="00C2587D">
              <w:rPr>
                <w:rFonts w:cs="Arial"/>
                <w:b/>
                <w:color w:val="000000"/>
                <w:szCs w:val="22"/>
              </w:rPr>
              <w:t>Відповідальний виконавець проєкту:</w:t>
            </w:r>
          </w:p>
        </w:tc>
        <w:tc>
          <w:tcPr>
            <w:tcW w:w="6954" w:type="dxa"/>
            <w:gridSpan w:val="5"/>
            <w:vAlign w:val="center"/>
          </w:tcPr>
          <w:p w14:paraId="48612A3C" w14:textId="77777777" w:rsidR="00552466" w:rsidRPr="00C2587D" w:rsidRDefault="00552466" w:rsidP="00D7011A">
            <w:pPr>
              <w:jc w:val="both"/>
              <w:rPr>
                <w:rFonts w:cs="Arial"/>
                <w:color w:val="000000"/>
                <w:szCs w:val="22"/>
                <w:lang w:eastAsia="it-IT"/>
              </w:rPr>
            </w:pPr>
            <w:r w:rsidRPr="00C2587D">
              <w:rPr>
                <w:rFonts w:cs="Arial"/>
                <w:szCs w:val="22"/>
              </w:rPr>
              <w:t>Управління земельних ресурсів виконавчого комітету Жмеринської міської ради, управління житлово – комунального господарства Жмеринської міської ради</w:t>
            </w:r>
          </w:p>
        </w:tc>
      </w:tr>
    </w:tbl>
    <w:p w14:paraId="017CC0B2" w14:textId="77777777" w:rsidR="00AB7523" w:rsidRDefault="00AB7523" w:rsidP="00552466">
      <w:pPr>
        <w:jc w:val="center"/>
        <w:rPr>
          <w:rFonts w:cs="Arial"/>
          <w:b/>
          <w:color w:val="000000"/>
          <w:szCs w:val="22"/>
        </w:rPr>
      </w:pPr>
    </w:p>
    <w:p w14:paraId="1C2CB8DA" w14:textId="12CA980C" w:rsidR="00552466" w:rsidRPr="00C2587D" w:rsidRDefault="00552466" w:rsidP="00552466">
      <w:pPr>
        <w:jc w:val="center"/>
        <w:rPr>
          <w:rFonts w:cs="Arial"/>
          <w:b/>
          <w:color w:val="000000"/>
          <w:szCs w:val="22"/>
        </w:rPr>
      </w:pPr>
      <w:r w:rsidRPr="00C2587D">
        <w:rPr>
          <w:rFonts w:cs="Arial"/>
          <w:b/>
          <w:color w:val="000000"/>
          <w:szCs w:val="22"/>
        </w:rPr>
        <w:t>Ф</w:t>
      </w:r>
      <w:r w:rsidR="00B7349E">
        <w:rPr>
          <w:rFonts w:cs="Arial"/>
          <w:b/>
          <w:color w:val="000000"/>
          <w:szCs w:val="22"/>
        </w:rPr>
        <w:t>орма технічного завдання на проє</w:t>
      </w:r>
      <w:r w:rsidRPr="00C2587D">
        <w:rPr>
          <w:rFonts w:cs="Arial"/>
          <w:b/>
          <w:color w:val="000000"/>
          <w:szCs w:val="22"/>
        </w:rPr>
        <w:t xml:space="preserve">кт місцевого розвитку </w:t>
      </w:r>
    </w:p>
    <w:p w14:paraId="7ABC5071" w14:textId="77777777" w:rsidR="00552466" w:rsidRPr="00C2587D" w:rsidRDefault="00552466" w:rsidP="00552466">
      <w:pPr>
        <w:jc w:val="center"/>
        <w:rPr>
          <w:rFonts w:cs="Arial"/>
          <w:b/>
          <w:color w:val="000000"/>
          <w:szCs w:val="22"/>
        </w:rPr>
      </w:pPr>
      <w:r w:rsidRPr="00C2587D">
        <w:rPr>
          <w:rFonts w:cs="Arial"/>
          <w:b/>
          <w:color w:val="000000"/>
          <w:szCs w:val="22"/>
        </w:rPr>
        <w:t>до Плану заходів з реалізації Стратегії</w:t>
      </w:r>
    </w:p>
    <w:tbl>
      <w:tblPr>
        <w:tblW w:w="1037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1417"/>
        <w:gridCol w:w="1418"/>
        <w:gridCol w:w="1275"/>
        <w:gridCol w:w="1590"/>
      </w:tblGrid>
      <w:tr w:rsidR="00552466" w:rsidRPr="00C2587D" w14:paraId="54E63274" w14:textId="77777777" w:rsidTr="00D7011A">
        <w:trPr>
          <w:trHeight w:val="510"/>
          <w:jc w:val="right"/>
        </w:trPr>
        <w:tc>
          <w:tcPr>
            <w:tcW w:w="3425" w:type="dxa"/>
          </w:tcPr>
          <w:p w14:paraId="256709AC" w14:textId="77777777" w:rsidR="00552466" w:rsidRPr="00C2587D" w:rsidRDefault="00552466" w:rsidP="00D7011A">
            <w:pPr>
              <w:spacing w:before="40" w:after="40"/>
              <w:rPr>
                <w:rFonts w:cs="Arial"/>
                <w:b/>
                <w:bCs/>
                <w:szCs w:val="22"/>
              </w:rPr>
            </w:pPr>
            <w:r w:rsidRPr="00C2587D">
              <w:rPr>
                <w:rFonts w:cs="Arial"/>
                <w:b/>
                <w:bCs/>
                <w:szCs w:val="22"/>
              </w:rPr>
              <w:t>Назва проєкту:</w:t>
            </w:r>
          </w:p>
        </w:tc>
        <w:tc>
          <w:tcPr>
            <w:tcW w:w="6954" w:type="dxa"/>
            <w:gridSpan w:val="5"/>
          </w:tcPr>
          <w:p w14:paraId="7CEAC075" w14:textId="77777777" w:rsidR="00552466" w:rsidRPr="00AB7523" w:rsidRDefault="00552466" w:rsidP="00D7011A">
            <w:pPr>
              <w:spacing w:before="40" w:after="40"/>
              <w:rPr>
                <w:rFonts w:cs="Arial"/>
                <w:b/>
                <w:szCs w:val="22"/>
              </w:rPr>
            </w:pPr>
            <w:r w:rsidRPr="00AB7523">
              <w:rPr>
                <w:rFonts w:cs="Arial"/>
                <w:b/>
                <w:szCs w:val="22"/>
              </w:rPr>
              <w:t xml:space="preserve">Виготовлення документації із землеустрою </w:t>
            </w:r>
          </w:p>
        </w:tc>
      </w:tr>
      <w:tr w:rsidR="00552466" w:rsidRPr="00C2587D" w14:paraId="56B54148" w14:textId="77777777" w:rsidTr="00D7011A">
        <w:trPr>
          <w:trHeight w:val="1114"/>
          <w:jc w:val="right"/>
        </w:trPr>
        <w:tc>
          <w:tcPr>
            <w:tcW w:w="3425" w:type="dxa"/>
          </w:tcPr>
          <w:p w14:paraId="1E2A5FFD" w14:textId="77777777" w:rsidR="00552466" w:rsidRPr="00C2587D" w:rsidRDefault="00552466" w:rsidP="00D7011A">
            <w:pPr>
              <w:spacing w:before="40" w:after="40"/>
              <w:rPr>
                <w:rFonts w:cs="Arial"/>
                <w:szCs w:val="22"/>
                <w:lang w:eastAsia="it-IT"/>
              </w:rPr>
            </w:pPr>
            <w:r w:rsidRPr="00C2587D">
              <w:rPr>
                <w:rFonts w:cs="Arial"/>
                <w:b/>
                <w:bCs/>
                <w:szCs w:val="22"/>
              </w:rPr>
              <w:t>Ваші контакти</w:t>
            </w:r>
            <w:r w:rsidRPr="00C2587D">
              <w:rPr>
                <w:rFonts w:cs="Arial"/>
                <w:szCs w:val="22"/>
                <w:lang w:eastAsia="it-IT"/>
              </w:rPr>
              <w:t>:</w:t>
            </w:r>
          </w:p>
          <w:p w14:paraId="5AB12A33" w14:textId="77777777" w:rsidR="00552466" w:rsidRPr="00C2587D" w:rsidRDefault="00552466" w:rsidP="00D7011A">
            <w:pPr>
              <w:spacing w:before="40" w:after="40"/>
              <w:rPr>
                <w:rFonts w:cs="Arial"/>
                <w:b/>
                <w:bCs/>
                <w:szCs w:val="22"/>
              </w:rPr>
            </w:pPr>
            <w:r w:rsidRPr="00C2587D">
              <w:rPr>
                <w:rFonts w:cs="Arial"/>
                <w:szCs w:val="22"/>
                <w:lang w:eastAsia="it-IT"/>
              </w:rPr>
              <w:t>Назва установи, організації, підприємства</w:t>
            </w:r>
          </w:p>
        </w:tc>
        <w:tc>
          <w:tcPr>
            <w:tcW w:w="6954" w:type="dxa"/>
            <w:gridSpan w:val="5"/>
          </w:tcPr>
          <w:p w14:paraId="59ACD6B2" w14:textId="77777777" w:rsidR="00552466" w:rsidRPr="00C2587D" w:rsidRDefault="00552466" w:rsidP="00AB7523">
            <w:pPr>
              <w:spacing w:before="40" w:after="40"/>
              <w:jc w:val="both"/>
              <w:rPr>
                <w:rFonts w:cs="Arial"/>
                <w:szCs w:val="22"/>
                <w:lang w:eastAsia="it-IT"/>
              </w:rPr>
            </w:pPr>
            <w:r w:rsidRPr="00C2587D">
              <w:rPr>
                <w:rFonts w:cs="Arial"/>
                <w:szCs w:val="22"/>
                <w:lang w:eastAsia="it-IT"/>
              </w:rPr>
              <w:t>Управління земельних ресурсів виконавчого комітету Жмеринської міської ради</w:t>
            </w:r>
          </w:p>
        </w:tc>
      </w:tr>
      <w:tr w:rsidR="00552466" w:rsidRPr="00C2587D" w14:paraId="19BDE168" w14:textId="77777777" w:rsidTr="00D7011A">
        <w:trPr>
          <w:jc w:val="right"/>
        </w:trPr>
        <w:tc>
          <w:tcPr>
            <w:tcW w:w="3425" w:type="dxa"/>
          </w:tcPr>
          <w:p w14:paraId="0296401A" w14:textId="77777777" w:rsidR="00552466" w:rsidRPr="00C2587D" w:rsidRDefault="00552466" w:rsidP="00D7011A">
            <w:pPr>
              <w:spacing w:before="40" w:after="40"/>
              <w:rPr>
                <w:rFonts w:cs="Arial"/>
                <w:b/>
                <w:bCs/>
                <w:szCs w:val="22"/>
              </w:rPr>
            </w:pPr>
            <w:r w:rsidRPr="00C2587D">
              <w:rPr>
                <w:rFonts w:cs="Arial"/>
                <w:szCs w:val="22"/>
                <w:lang w:eastAsia="it-IT"/>
              </w:rPr>
              <w:t>Прізвище Ім’я По-батькові:</w:t>
            </w:r>
          </w:p>
        </w:tc>
        <w:tc>
          <w:tcPr>
            <w:tcW w:w="6954" w:type="dxa"/>
            <w:gridSpan w:val="5"/>
          </w:tcPr>
          <w:p w14:paraId="5925C9DC" w14:textId="77777777" w:rsidR="00552466" w:rsidRPr="00C2587D" w:rsidRDefault="00552466" w:rsidP="00D7011A">
            <w:pPr>
              <w:spacing w:before="40" w:after="40"/>
              <w:rPr>
                <w:rFonts w:cs="Arial"/>
                <w:szCs w:val="22"/>
                <w:lang w:eastAsia="it-IT"/>
              </w:rPr>
            </w:pPr>
            <w:r w:rsidRPr="00C2587D">
              <w:rPr>
                <w:rFonts w:cs="Arial"/>
                <w:szCs w:val="22"/>
                <w:lang w:eastAsia="it-IT"/>
              </w:rPr>
              <w:t>Пилявець Руслан Євгенович</w:t>
            </w:r>
          </w:p>
        </w:tc>
      </w:tr>
      <w:tr w:rsidR="00552466" w:rsidRPr="00C2587D" w14:paraId="60293EA2" w14:textId="77777777" w:rsidTr="00D7011A">
        <w:trPr>
          <w:jc w:val="right"/>
        </w:trPr>
        <w:tc>
          <w:tcPr>
            <w:tcW w:w="3425" w:type="dxa"/>
          </w:tcPr>
          <w:p w14:paraId="247D0D27" w14:textId="77777777" w:rsidR="00552466" w:rsidRPr="00C2587D" w:rsidRDefault="00552466" w:rsidP="00D7011A">
            <w:pPr>
              <w:spacing w:before="40" w:after="40"/>
              <w:rPr>
                <w:rFonts w:cs="Arial"/>
                <w:b/>
                <w:bCs/>
                <w:szCs w:val="22"/>
              </w:rPr>
            </w:pPr>
            <w:r w:rsidRPr="00C2587D">
              <w:rPr>
                <w:rFonts w:cs="Arial"/>
                <w:szCs w:val="22"/>
                <w:lang w:eastAsia="it-IT"/>
              </w:rPr>
              <w:t>Телефон (мобільний):</w:t>
            </w:r>
          </w:p>
        </w:tc>
        <w:tc>
          <w:tcPr>
            <w:tcW w:w="6954" w:type="dxa"/>
            <w:gridSpan w:val="5"/>
          </w:tcPr>
          <w:p w14:paraId="6C6E57BF" w14:textId="77777777" w:rsidR="00552466" w:rsidRPr="00C2587D" w:rsidRDefault="00552466" w:rsidP="00D7011A">
            <w:pPr>
              <w:spacing w:before="40" w:after="40"/>
              <w:rPr>
                <w:rFonts w:cs="Arial"/>
                <w:szCs w:val="22"/>
                <w:lang w:eastAsia="it-IT"/>
              </w:rPr>
            </w:pPr>
            <w:r w:rsidRPr="00C2587D">
              <w:rPr>
                <w:rFonts w:cs="Arial"/>
                <w:szCs w:val="22"/>
                <w:lang w:eastAsia="it-IT"/>
              </w:rPr>
              <w:t>067-580-45-91</w:t>
            </w:r>
          </w:p>
        </w:tc>
      </w:tr>
      <w:tr w:rsidR="00552466" w:rsidRPr="00C2587D" w14:paraId="6B95AD63" w14:textId="77777777" w:rsidTr="00D7011A">
        <w:trPr>
          <w:jc w:val="right"/>
        </w:trPr>
        <w:tc>
          <w:tcPr>
            <w:tcW w:w="3425" w:type="dxa"/>
          </w:tcPr>
          <w:p w14:paraId="2954BD9F" w14:textId="77777777" w:rsidR="00552466" w:rsidRPr="00C2587D" w:rsidRDefault="00552466" w:rsidP="00D7011A">
            <w:pPr>
              <w:spacing w:before="40" w:after="40"/>
              <w:rPr>
                <w:rFonts w:cs="Arial"/>
                <w:b/>
                <w:bCs/>
                <w:szCs w:val="22"/>
              </w:rPr>
            </w:pPr>
            <w:r w:rsidRPr="00C2587D">
              <w:rPr>
                <w:rFonts w:cs="Arial"/>
                <w:szCs w:val="22"/>
                <w:lang w:eastAsia="it-IT"/>
              </w:rPr>
              <w:t>Електронна адреса:</w:t>
            </w:r>
          </w:p>
        </w:tc>
        <w:tc>
          <w:tcPr>
            <w:tcW w:w="6954" w:type="dxa"/>
            <w:gridSpan w:val="5"/>
          </w:tcPr>
          <w:p w14:paraId="32FB3E66" w14:textId="332D24F6" w:rsidR="00552466" w:rsidRPr="00C2587D" w:rsidRDefault="00D85FFD" w:rsidP="00D7011A">
            <w:pPr>
              <w:spacing w:before="40" w:after="40"/>
              <w:rPr>
                <w:rFonts w:cs="Arial"/>
                <w:szCs w:val="22"/>
                <w:lang w:eastAsia="it-IT"/>
              </w:rPr>
            </w:pPr>
            <w:hyperlink r:id="rId32" w:history="1">
              <w:r w:rsidR="00AB7523" w:rsidRPr="000A0B5C">
                <w:rPr>
                  <w:rStyle w:val="af0"/>
                  <w:rFonts w:cs="Arial"/>
                  <w:noProof w:val="0"/>
                  <w:sz w:val="22"/>
                  <w:szCs w:val="22"/>
                  <w:lang w:eastAsia="it-IT"/>
                </w:rPr>
                <w:t>zem@zhmr.gov.ua</w:t>
              </w:r>
            </w:hyperlink>
            <w:r w:rsidR="00AB7523">
              <w:rPr>
                <w:rFonts w:cs="Arial"/>
                <w:szCs w:val="22"/>
                <w:lang w:eastAsia="it-IT"/>
              </w:rPr>
              <w:t xml:space="preserve"> </w:t>
            </w:r>
          </w:p>
        </w:tc>
      </w:tr>
      <w:tr w:rsidR="00552466" w:rsidRPr="00C2587D" w14:paraId="12B3FBFC" w14:textId="77777777" w:rsidTr="00D7011A">
        <w:trPr>
          <w:trHeight w:val="1440"/>
          <w:jc w:val="right"/>
        </w:trPr>
        <w:tc>
          <w:tcPr>
            <w:tcW w:w="3425" w:type="dxa"/>
            <w:vAlign w:val="center"/>
          </w:tcPr>
          <w:p w14:paraId="6829A31A" w14:textId="539CA701" w:rsidR="00552466" w:rsidRPr="00C2587D" w:rsidRDefault="00552466" w:rsidP="00D7011A">
            <w:pPr>
              <w:pStyle w:val="6"/>
              <w:spacing w:before="0" w:after="0"/>
              <w:rPr>
                <w:rFonts w:ascii="Arial" w:hAnsi="Arial" w:cs="Arial"/>
                <w:color w:val="000000"/>
                <w:lang w:val="uk-UA"/>
              </w:rPr>
            </w:pPr>
            <w:r w:rsidRPr="00C2587D">
              <w:rPr>
                <w:rFonts w:ascii="Arial" w:hAnsi="Arial" w:cs="Arial"/>
                <w:color w:val="000000"/>
                <w:lang w:val="uk-UA"/>
              </w:rPr>
              <w:t>Номер і назва завдання з Стратегії</w:t>
            </w:r>
            <w:r w:rsidRPr="00C2587D">
              <w:rPr>
                <w:rFonts w:ascii="Arial" w:hAnsi="Arial" w:cs="Arial"/>
                <w:lang w:val="uk-UA" w:eastAsia="it-IT"/>
              </w:rPr>
              <w:t xml:space="preserve"> </w:t>
            </w:r>
            <w:r w:rsidRPr="00C2587D">
              <w:rPr>
                <w:rFonts w:ascii="Arial" w:hAnsi="Arial" w:cs="Arial"/>
                <w:color w:val="000000"/>
                <w:lang w:val="uk-UA"/>
              </w:rPr>
              <w:t>розвитку Жмеринської міської територіальної громади,  якому відповідає пр</w:t>
            </w:r>
            <w:r w:rsidR="00B7349E">
              <w:rPr>
                <w:rFonts w:ascii="Arial" w:hAnsi="Arial" w:cs="Arial"/>
                <w:color w:val="000000"/>
                <w:lang w:val="uk-UA"/>
              </w:rPr>
              <w:t>оє</w:t>
            </w:r>
            <w:r w:rsidRPr="00C2587D">
              <w:rPr>
                <w:rFonts w:ascii="Arial" w:hAnsi="Arial" w:cs="Arial"/>
                <w:color w:val="000000"/>
                <w:lang w:val="uk-UA"/>
              </w:rPr>
              <w:t>кт:</w:t>
            </w:r>
          </w:p>
        </w:tc>
        <w:tc>
          <w:tcPr>
            <w:tcW w:w="6954" w:type="dxa"/>
            <w:gridSpan w:val="5"/>
          </w:tcPr>
          <w:p w14:paraId="20630B44" w14:textId="77777777" w:rsidR="00552466" w:rsidRPr="00C2587D" w:rsidRDefault="00552466" w:rsidP="00D7011A">
            <w:pPr>
              <w:pBdr>
                <w:left w:val="single" w:sz="18" w:space="4" w:color="auto"/>
              </w:pBdr>
              <w:spacing w:before="40" w:after="40"/>
              <w:jc w:val="both"/>
              <w:rPr>
                <w:rFonts w:cs="Arial"/>
                <w:szCs w:val="22"/>
                <w:lang w:eastAsia="it-IT"/>
              </w:rPr>
            </w:pPr>
            <w:r w:rsidRPr="00C2587D">
              <w:rPr>
                <w:rFonts w:cs="Arial"/>
                <w:szCs w:val="22"/>
              </w:rPr>
              <w:t xml:space="preserve">А.2.3. Підтримка раціонального використання земельних ресурсів та водного фонду для фінансової стабільності громади </w:t>
            </w:r>
          </w:p>
        </w:tc>
      </w:tr>
      <w:tr w:rsidR="00552466" w:rsidRPr="00C2587D" w14:paraId="244EC064" w14:textId="77777777" w:rsidTr="00D7011A">
        <w:trPr>
          <w:trHeight w:val="274"/>
          <w:jc w:val="right"/>
        </w:trPr>
        <w:tc>
          <w:tcPr>
            <w:tcW w:w="3425" w:type="dxa"/>
            <w:vAlign w:val="center"/>
          </w:tcPr>
          <w:p w14:paraId="1DD6A294" w14:textId="77777777" w:rsidR="00552466" w:rsidRPr="00C2587D" w:rsidRDefault="00552466" w:rsidP="00D7011A">
            <w:pPr>
              <w:rPr>
                <w:rFonts w:cs="Arial"/>
                <w:b/>
                <w:szCs w:val="22"/>
                <w:lang w:eastAsia="en-US"/>
              </w:rPr>
            </w:pPr>
            <w:r w:rsidRPr="00C2587D">
              <w:rPr>
                <w:rFonts w:cs="Arial"/>
                <w:b/>
                <w:szCs w:val="22"/>
                <w:lang w:eastAsia="en-US"/>
              </w:rPr>
              <w:t>Мета проєкту:</w:t>
            </w:r>
          </w:p>
          <w:p w14:paraId="4E27CBCD" w14:textId="77777777" w:rsidR="00552466" w:rsidRPr="00C2587D" w:rsidRDefault="00552466" w:rsidP="00D7011A">
            <w:pPr>
              <w:rPr>
                <w:rFonts w:cs="Arial"/>
                <w:color w:val="000000"/>
                <w:szCs w:val="22"/>
              </w:rPr>
            </w:pPr>
          </w:p>
        </w:tc>
        <w:tc>
          <w:tcPr>
            <w:tcW w:w="6954" w:type="dxa"/>
            <w:gridSpan w:val="5"/>
          </w:tcPr>
          <w:p w14:paraId="67C24E9D" w14:textId="77777777" w:rsidR="00552466" w:rsidRPr="00C2587D" w:rsidRDefault="00552466" w:rsidP="00D7011A">
            <w:pPr>
              <w:pStyle w:val="ad"/>
              <w:jc w:val="both"/>
              <w:rPr>
                <w:rFonts w:cs="Arial"/>
                <w:szCs w:val="22"/>
              </w:rPr>
            </w:pPr>
            <w:r w:rsidRPr="00C2587D">
              <w:rPr>
                <w:rFonts w:cs="Arial"/>
                <w:szCs w:val="22"/>
              </w:rPr>
              <w:t>Замовлення документації із землеустрою по Жмеринській міській територіальній громаді по формуванню земельних ділянок для подальшої їх передачі в користування, відповідно до вимог чинного законодавства</w:t>
            </w:r>
          </w:p>
        </w:tc>
      </w:tr>
      <w:tr w:rsidR="00552466" w:rsidRPr="00C2587D" w14:paraId="681197B9" w14:textId="77777777" w:rsidTr="00D7011A">
        <w:trPr>
          <w:jc w:val="right"/>
        </w:trPr>
        <w:tc>
          <w:tcPr>
            <w:tcW w:w="3425" w:type="dxa"/>
            <w:vAlign w:val="center"/>
          </w:tcPr>
          <w:p w14:paraId="7C37909E" w14:textId="4639C2F2" w:rsidR="00552466" w:rsidRPr="00C2587D" w:rsidRDefault="00B7349E" w:rsidP="00D7011A">
            <w:pPr>
              <w:rPr>
                <w:rFonts w:cs="Arial"/>
                <w:b/>
                <w:bCs/>
                <w:color w:val="000000"/>
                <w:szCs w:val="22"/>
              </w:rPr>
            </w:pPr>
            <w:r>
              <w:rPr>
                <w:rFonts w:cs="Arial"/>
                <w:b/>
                <w:bCs/>
                <w:color w:val="000000"/>
                <w:szCs w:val="22"/>
              </w:rPr>
              <w:t>Цілі проє</w:t>
            </w:r>
            <w:r w:rsidR="00552466" w:rsidRPr="00C2587D">
              <w:rPr>
                <w:rFonts w:cs="Arial"/>
                <w:b/>
                <w:bCs/>
                <w:color w:val="000000"/>
                <w:szCs w:val="22"/>
              </w:rPr>
              <w:t>кту:</w:t>
            </w:r>
          </w:p>
        </w:tc>
        <w:tc>
          <w:tcPr>
            <w:tcW w:w="6954" w:type="dxa"/>
            <w:gridSpan w:val="5"/>
          </w:tcPr>
          <w:p w14:paraId="7AB40ADC" w14:textId="77777777" w:rsidR="00552466" w:rsidRPr="00C2587D" w:rsidRDefault="00552466" w:rsidP="00D7011A">
            <w:pPr>
              <w:jc w:val="both"/>
              <w:rPr>
                <w:rFonts w:cs="Arial"/>
                <w:szCs w:val="22"/>
                <w:lang w:eastAsia="en-US"/>
              </w:rPr>
            </w:pPr>
            <w:r w:rsidRPr="00C2587D">
              <w:rPr>
                <w:rFonts w:cs="Arial"/>
                <w:szCs w:val="22"/>
              </w:rPr>
              <w:t>Оформлення права комунальної власності на земельні ділянки, що будуть передаватися у постійне користування та наповнення бюджету Жмеринської міської територіальної громади шляхом надання земельних ділянок несільськогосподарського призначення в оренду, сервітутне користування (встановлення особистого сервітуту), а також у власність шляхом продажу на неконкурентних засадах і на земельних торгах</w:t>
            </w:r>
          </w:p>
        </w:tc>
      </w:tr>
      <w:tr w:rsidR="00552466" w:rsidRPr="00C2587D" w14:paraId="2C0AA1A1" w14:textId="77777777" w:rsidTr="00D7011A">
        <w:trPr>
          <w:jc w:val="right"/>
        </w:trPr>
        <w:tc>
          <w:tcPr>
            <w:tcW w:w="3425" w:type="dxa"/>
            <w:vAlign w:val="center"/>
          </w:tcPr>
          <w:p w14:paraId="05F69384" w14:textId="4AC8E575" w:rsidR="00552466" w:rsidRPr="00C2587D" w:rsidRDefault="00552466" w:rsidP="00D7011A">
            <w:pPr>
              <w:autoSpaceDE w:val="0"/>
              <w:autoSpaceDN w:val="0"/>
              <w:adjustRightInd w:val="0"/>
              <w:rPr>
                <w:rFonts w:cs="Arial"/>
                <w:b/>
                <w:color w:val="000000"/>
                <w:szCs w:val="22"/>
              </w:rPr>
            </w:pPr>
            <w:r w:rsidRPr="00C2587D">
              <w:rPr>
                <w:rFonts w:cs="Arial"/>
                <w:b/>
                <w:color w:val="000000"/>
                <w:szCs w:val="22"/>
              </w:rPr>
              <w:t>Територія на яку</w:t>
            </w:r>
            <w:r w:rsidR="00B7349E">
              <w:rPr>
                <w:rFonts w:cs="Arial"/>
                <w:b/>
                <w:color w:val="000000"/>
                <w:szCs w:val="22"/>
              </w:rPr>
              <w:t xml:space="preserve"> проє</w:t>
            </w:r>
            <w:r w:rsidRPr="00C2587D">
              <w:rPr>
                <w:rFonts w:cs="Arial"/>
                <w:b/>
                <w:color w:val="000000"/>
                <w:szCs w:val="22"/>
              </w:rPr>
              <w:t>кт матиме вплив:</w:t>
            </w:r>
          </w:p>
        </w:tc>
        <w:tc>
          <w:tcPr>
            <w:tcW w:w="6954" w:type="dxa"/>
            <w:gridSpan w:val="5"/>
          </w:tcPr>
          <w:p w14:paraId="5F85D35E" w14:textId="77777777" w:rsidR="00552466" w:rsidRPr="00C2587D" w:rsidRDefault="00552466" w:rsidP="00D7011A">
            <w:pPr>
              <w:spacing w:before="40" w:after="40"/>
              <w:rPr>
                <w:rFonts w:cs="Arial"/>
                <w:szCs w:val="22"/>
                <w:lang w:eastAsia="it-IT"/>
              </w:rPr>
            </w:pPr>
            <w:r w:rsidRPr="00C2587D">
              <w:rPr>
                <w:rFonts w:cs="Arial"/>
                <w:szCs w:val="22"/>
                <w:lang w:eastAsia="it-IT"/>
              </w:rPr>
              <w:t>Жмеринська МТГ</w:t>
            </w:r>
          </w:p>
        </w:tc>
      </w:tr>
      <w:tr w:rsidR="00552466" w:rsidRPr="00C2587D" w14:paraId="1B335356" w14:textId="77777777" w:rsidTr="00D7011A">
        <w:trPr>
          <w:jc w:val="right"/>
        </w:trPr>
        <w:tc>
          <w:tcPr>
            <w:tcW w:w="3425" w:type="dxa"/>
            <w:vAlign w:val="center"/>
          </w:tcPr>
          <w:p w14:paraId="2EE76738" w14:textId="77777777" w:rsidR="00552466" w:rsidRPr="00C2587D" w:rsidRDefault="00552466" w:rsidP="00D7011A">
            <w:pPr>
              <w:autoSpaceDE w:val="0"/>
              <w:autoSpaceDN w:val="0"/>
              <w:adjustRightInd w:val="0"/>
              <w:rPr>
                <w:rFonts w:cs="Arial"/>
                <w:b/>
                <w:color w:val="000000"/>
                <w:szCs w:val="22"/>
              </w:rPr>
            </w:pPr>
            <w:r w:rsidRPr="00C2587D">
              <w:rPr>
                <w:rFonts w:cs="Arial"/>
                <w:b/>
                <w:color w:val="000000"/>
                <w:szCs w:val="22"/>
              </w:rPr>
              <w:t>Цільові групи проєкту та  кількість отримувачів вигоди</w:t>
            </w:r>
          </w:p>
        </w:tc>
        <w:tc>
          <w:tcPr>
            <w:tcW w:w="6954" w:type="dxa"/>
            <w:gridSpan w:val="5"/>
          </w:tcPr>
          <w:p w14:paraId="7E6F9EFD" w14:textId="77777777" w:rsidR="00552466" w:rsidRPr="00C2587D" w:rsidRDefault="00552466" w:rsidP="00D7011A">
            <w:pPr>
              <w:spacing w:before="40" w:after="40"/>
              <w:rPr>
                <w:rFonts w:cs="Arial"/>
                <w:szCs w:val="22"/>
                <w:lang w:eastAsia="it-IT"/>
              </w:rPr>
            </w:pPr>
            <w:r w:rsidRPr="00C2587D">
              <w:rPr>
                <w:rFonts w:cs="Arial"/>
                <w:szCs w:val="22"/>
                <w:lang w:eastAsia="it-IT"/>
              </w:rPr>
              <w:t>49 474  жителів громади</w:t>
            </w:r>
          </w:p>
        </w:tc>
      </w:tr>
      <w:tr w:rsidR="00552466" w:rsidRPr="00C2587D" w14:paraId="4309C0AB" w14:textId="77777777" w:rsidTr="00D7011A">
        <w:trPr>
          <w:jc w:val="right"/>
        </w:trPr>
        <w:tc>
          <w:tcPr>
            <w:tcW w:w="3425" w:type="dxa"/>
            <w:shd w:val="clear" w:color="auto" w:fill="FFFFFF"/>
            <w:vAlign w:val="center"/>
          </w:tcPr>
          <w:p w14:paraId="1B10D4CC" w14:textId="5E73467F" w:rsidR="00552466" w:rsidRPr="00C2587D" w:rsidRDefault="00B7349E" w:rsidP="00D7011A">
            <w:pPr>
              <w:rPr>
                <w:rFonts w:cs="Arial"/>
                <w:b/>
                <w:bCs/>
                <w:color w:val="000000"/>
                <w:szCs w:val="22"/>
              </w:rPr>
            </w:pPr>
            <w:r>
              <w:rPr>
                <w:rFonts w:cs="Arial"/>
                <w:b/>
                <w:bCs/>
                <w:color w:val="000000"/>
                <w:szCs w:val="22"/>
              </w:rPr>
              <w:t>Стислий опис проє</w:t>
            </w:r>
            <w:r w:rsidR="00552466" w:rsidRPr="00C2587D">
              <w:rPr>
                <w:rFonts w:cs="Arial"/>
                <w:b/>
                <w:bCs/>
                <w:color w:val="000000"/>
                <w:szCs w:val="22"/>
              </w:rPr>
              <w:t>кту:</w:t>
            </w:r>
          </w:p>
        </w:tc>
        <w:tc>
          <w:tcPr>
            <w:tcW w:w="6954" w:type="dxa"/>
            <w:gridSpan w:val="5"/>
          </w:tcPr>
          <w:p w14:paraId="6FC065AE" w14:textId="570EDE53" w:rsidR="00552466" w:rsidRPr="00C2587D" w:rsidRDefault="00552466" w:rsidP="00D7011A">
            <w:pPr>
              <w:jc w:val="both"/>
              <w:rPr>
                <w:rFonts w:cs="Arial"/>
                <w:szCs w:val="22"/>
                <w:lang w:eastAsia="en-US"/>
              </w:rPr>
            </w:pPr>
            <w:r w:rsidRPr="00C2587D">
              <w:rPr>
                <w:rFonts w:cs="Arial"/>
                <w:szCs w:val="22"/>
              </w:rPr>
              <w:t xml:space="preserve">Міській раді потрібно оформити право комунальної власності на земельні ділянки, які будуть передаватися у постійне користування, оренду та сервітутне користування (встановлення особистого сервітуту), а також у власність шляхом продажу на неконкурентних засадах і на земельних торгах. Для цього потрібно виготовлення технічної документації із землеустрою щодо встановлення меж земельних ділянок </w:t>
            </w:r>
            <w:r w:rsidR="00B7349E">
              <w:rPr>
                <w:rFonts w:cs="Arial"/>
                <w:szCs w:val="22"/>
              </w:rPr>
              <w:t>в натурі (на місцевості) та проє</w:t>
            </w:r>
            <w:r w:rsidRPr="00C2587D">
              <w:rPr>
                <w:rFonts w:cs="Arial"/>
                <w:szCs w:val="22"/>
              </w:rPr>
              <w:t>ктів землеустрою щодо відведення земельних ділянок для подальшого внесення відомостей про земельні ділянки комунальної власності до бази даних державного земельного кадастру, тобто державної реєстрації земельних ділянок</w:t>
            </w:r>
          </w:p>
        </w:tc>
      </w:tr>
      <w:tr w:rsidR="00552466" w:rsidRPr="00C2587D" w14:paraId="6B8DA16C" w14:textId="77777777" w:rsidTr="00D7011A">
        <w:trPr>
          <w:trHeight w:val="56"/>
          <w:jc w:val="right"/>
        </w:trPr>
        <w:tc>
          <w:tcPr>
            <w:tcW w:w="3425" w:type="dxa"/>
            <w:shd w:val="clear" w:color="auto" w:fill="FFFFFF"/>
            <w:vAlign w:val="center"/>
          </w:tcPr>
          <w:p w14:paraId="68312EB8" w14:textId="77777777" w:rsidR="00552466" w:rsidRPr="00C2587D" w:rsidRDefault="00552466" w:rsidP="00D7011A">
            <w:pPr>
              <w:rPr>
                <w:rFonts w:cs="Arial"/>
                <w:b/>
                <w:bCs/>
                <w:color w:val="000000"/>
                <w:szCs w:val="22"/>
              </w:rPr>
            </w:pPr>
            <w:r w:rsidRPr="00C2587D">
              <w:rPr>
                <w:rFonts w:cs="Arial"/>
                <w:b/>
                <w:bCs/>
                <w:color w:val="000000"/>
                <w:szCs w:val="22"/>
              </w:rPr>
              <w:t>Основні заходи проєкту:</w:t>
            </w:r>
          </w:p>
        </w:tc>
        <w:tc>
          <w:tcPr>
            <w:tcW w:w="6954" w:type="dxa"/>
            <w:gridSpan w:val="5"/>
            <w:shd w:val="clear" w:color="auto" w:fill="FFFFFF"/>
          </w:tcPr>
          <w:p w14:paraId="41DA3770" w14:textId="77777777" w:rsidR="00552466" w:rsidRPr="00C2587D" w:rsidRDefault="00552466" w:rsidP="00D7011A">
            <w:pPr>
              <w:spacing w:before="40" w:after="40"/>
              <w:jc w:val="both"/>
              <w:rPr>
                <w:rFonts w:cs="Arial"/>
                <w:szCs w:val="22"/>
              </w:rPr>
            </w:pPr>
            <w:r w:rsidRPr="00C2587D">
              <w:rPr>
                <w:rFonts w:cs="Arial"/>
                <w:szCs w:val="22"/>
                <w:lang w:eastAsia="it-IT"/>
              </w:rPr>
              <w:t>З</w:t>
            </w:r>
            <w:r w:rsidRPr="00C2587D">
              <w:rPr>
                <w:rFonts w:cs="Arial"/>
                <w:szCs w:val="22"/>
              </w:rPr>
              <w:t>амовлення  документації із землеустрою</w:t>
            </w:r>
          </w:p>
        </w:tc>
      </w:tr>
      <w:tr w:rsidR="00552466" w:rsidRPr="00C2587D" w14:paraId="68CDD185" w14:textId="77777777" w:rsidTr="00D7011A">
        <w:trPr>
          <w:jc w:val="right"/>
        </w:trPr>
        <w:tc>
          <w:tcPr>
            <w:tcW w:w="3425" w:type="dxa"/>
            <w:shd w:val="clear" w:color="auto" w:fill="FFFFFF"/>
            <w:vAlign w:val="center"/>
          </w:tcPr>
          <w:p w14:paraId="33768EFE" w14:textId="77777777" w:rsidR="00552466" w:rsidRPr="00C2587D" w:rsidRDefault="00552466" w:rsidP="00D7011A">
            <w:pPr>
              <w:rPr>
                <w:rFonts w:cs="Arial"/>
                <w:b/>
                <w:bCs/>
                <w:color w:val="000000"/>
                <w:szCs w:val="22"/>
              </w:rPr>
            </w:pPr>
            <w:r w:rsidRPr="00C2587D">
              <w:rPr>
                <w:rFonts w:cs="Arial"/>
                <w:b/>
                <w:bCs/>
                <w:color w:val="000000"/>
                <w:szCs w:val="22"/>
              </w:rPr>
              <w:t>Індикатори (показники) результативності:</w:t>
            </w:r>
          </w:p>
        </w:tc>
        <w:tc>
          <w:tcPr>
            <w:tcW w:w="6954" w:type="dxa"/>
            <w:gridSpan w:val="5"/>
            <w:shd w:val="clear" w:color="auto" w:fill="FFFFFF"/>
          </w:tcPr>
          <w:p w14:paraId="66586955" w14:textId="77777777" w:rsidR="00552466" w:rsidRPr="00C2587D" w:rsidRDefault="00552466" w:rsidP="00D7011A">
            <w:pPr>
              <w:spacing w:before="40" w:after="40"/>
              <w:jc w:val="both"/>
              <w:rPr>
                <w:rFonts w:cs="Arial"/>
                <w:szCs w:val="22"/>
              </w:rPr>
            </w:pPr>
            <w:r w:rsidRPr="00C2587D">
              <w:rPr>
                <w:rFonts w:cs="Arial"/>
                <w:szCs w:val="22"/>
              </w:rPr>
              <w:t>Розроблення 80 документацій із землеустрою, що надасть можливість правового оформлення земельної ділянки, встановлення або уточнення її меж, визначення цільового призначення, формування об'єкта земельних відносин, внесення відомостей до Державного земельного кадастру, забезпечення раціонального використання та охорони земель</w:t>
            </w:r>
          </w:p>
        </w:tc>
      </w:tr>
      <w:tr w:rsidR="00552466" w:rsidRPr="00C2587D" w14:paraId="3540D133" w14:textId="77777777" w:rsidTr="00D7011A">
        <w:trPr>
          <w:jc w:val="right"/>
        </w:trPr>
        <w:tc>
          <w:tcPr>
            <w:tcW w:w="3425" w:type="dxa"/>
            <w:shd w:val="clear" w:color="auto" w:fill="FFFFFF"/>
            <w:vAlign w:val="center"/>
          </w:tcPr>
          <w:p w14:paraId="3AEBCDE2" w14:textId="77777777" w:rsidR="00552466" w:rsidRPr="00C2587D" w:rsidRDefault="00552466" w:rsidP="00D7011A">
            <w:pPr>
              <w:rPr>
                <w:rFonts w:cs="Arial"/>
                <w:b/>
                <w:color w:val="000000"/>
                <w:szCs w:val="22"/>
              </w:rPr>
            </w:pPr>
            <w:r w:rsidRPr="00C2587D">
              <w:rPr>
                <w:rFonts w:cs="Arial"/>
                <w:b/>
                <w:color w:val="000000"/>
                <w:szCs w:val="22"/>
              </w:rPr>
              <w:t xml:space="preserve">Період здійснення: </w:t>
            </w:r>
          </w:p>
        </w:tc>
        <w:tc>
          <w:tcPr>
            <w:tcW w:w="6954" w:type="dxa"/>
            <w:gridSpan w:val="5"/>
            <w:vAlign w:val="center"/>
          </w:tcPr>
          <w:p w14:paraId="03462688" w14:textId="77777777" w:rsidR="00552466" w:rsidRPr="00C2587D" w:rsidRDefault="00552466" w:rsidP="00D7011A">
            <w:pPr>
              <w:rPr>
                <w:rFonts w:cs="Arial"/>
                <w:color w:val="000000"/>
                <w:szCs w:val="22"/>
                <w:lang w:eastAsia="it-IT"/>
              </w:rPr>
            </w:pPr>
            <w:r w:rsidRPr="00C2587D">
              <w:rPr>
                <w:rFonts w:cs="Arial"/>
                <w:b/>
                <w:color w:val="000000"/>
                <w:szCs w:val="22"/>
              </w:rPr>
              <w:t>2025 – 2028 роки:</w:t>
            </w:r>
          </w:p>
        </w:tc>
      </w:tr>
      <w:tr w:rsidR="00552466" w:rsidRPr="00C2587D" w14:paraId="01755A60" w14:textId="77777777" w:rsidTr="00D7011A">
        <w:trPr>
          <w:jc w:val="right"/>
        </w:trPr>
        <w:tc>
          <w:tcPr>
            <w:tcW w:w="3425" w:type="dxa"/>
            <w:vMerge w:val="restart"/>
            <w:shd w:val="clear" w:color="auto" w:fill="FFFFFF"/>
            <w:vAlign w:val="center"/>
          </w:tcPr>
          <w:p w14:paraId="12A6684D" w14:textId="77777777" w:rsidR="00552466" w:rsidRPr="00C2587D" w:rsidRDefault="00552466" w:rsidP="00D7011A">
            <w:pPr>
              <w:rPr>
                <w:rFonts w:cs="Arial"/>
                <w:b/>
                <w:bCs/>
                <w:color w:val="000000"/>
                <w:szCs w:val="22"/>
              </w:rPr>
            </w:pPr>
            <w:r w:rsidRPr="00C2587D">
              <w:rPr>
                <w:rFonts w:cs="Arial"/>
                <w:b/>
                <w:bCs/>
                <w:color w:val="000000"/>
                <w:szCs w:val="22"/>
              </w:rPr>
              <w:t>Орієнтовна вартість проєкту, тис. грн., в тому числі:</w:t>
            </w:r>
          </w:p>
        </w:tc>
        <w:tc>
          <w:tcPr>
            <w:tcW w:w="1254" w:type="dxa"/>
            <w:shd w:val="clear" w:color="auto" w:fill="E6E6E6"/>
            <w:vAlign w:val="center"/>
          </w:tcPr>
          <w:p w14:paraId="14FC0321" w14:textId="77777777" w:rsidR="00552466" w:rsidRPr="00C2587D" w:rsidRDefault="00552466" w:rsidP="00D7011A">
            <w:pPr>
              <w:jc w:val="center"/>
              <w:rPr>
                <w:rFonts w:cs="Arial"/>
                <w:b/>
                <w:color w:val="000000"/>
                <w:szCs w:val="22"/>
                <w:lang w:eastAsia="it-IT"/>
              </w:rPr>
            </w:pPr>
            <w:r w:rsidRPr="00C2587D">
              <w:rPr>
                <w:rFonts w:cs="Arial"/>
                <w:b/>
                <w:color w:val="000000"/>
                <w:szCs w:val="22"/>
                <w:lang w:eastAsia="it-IT"/>
              </w:rPr>
              <w:t>2025</w:t>
            </w:r>
          </w:p>
        </w:tc>
        <w:tc>
          <w:tcPr>
            <w:tcW w:w="1417" w:type="dxa"/>
            <w:shd w:val="clear" w:color="auto" w:fill="E6E6E6"/>
            <w:vAlign w:val="center"/>
          </w:tcPr>
          <w:p w14:paraId="2310C276" w14:textId="77777777" w:rsidR="00552466" w:rsidRPr="00C2587D" w:rsidRDefault="00552466" w:rsidP="00D7011A">
            <w:pPr>
              <w:jc w:val="center"/>
              <w:rPr>
                <w:rFonts w:cs="Arial"/>
                <w:b/>
                <w:color w:val="000000"/>
                <w:szCs w:val="22"/>
                <w:lang w:eastAsia="it-IT"/>
              </w:rPr>
            </w:pPr>
            <w:r w:rsidRPr="00C2587D">
              <w:rPr>
                <w:rFonts w:cs="Arial"/>
                <w:b/>
                <w:color w:val="000000"/>
                <w:szCs w:val="22"/>
                <w:lang w:eastAsia="it-IT"/>
              </w:rPr>
              <w:t>2026</w:t>
            </w:r>
          </w:p>
        </w:tc>
        <w:tc>
          <w:tcPr>
            <w:tcW w:w="1418" w:type="dxa"/>
            <w:tcBorders>
              <w:bottom w:val="single" w:sz="4" w:space="0" w:color="auto"/>
            </w:tcBorders>
            <w:shd w:val="clear" w:color="auto" w:fill="E6E6E6"/>
            <w:vAlign w:val="center"/>
          </w:tcPr>
          <w:p w14:paraId="5500E88E" w14:textId="77777777" w:rsidR="00552466" w:rsidRPr="00C2587D" w:rsidRDefault="00552466" w:rsidP="00D7011A">
            <w:pPr>
              <w:jc w:val="center"/>
              <w:rPr>
                <w:rFonts w:cs="Arial"/>
                <w:b/>
                <w:color w:val="000000"/>
                <w:szCs w:val="22"/>
                <w:lang w:eastAsia="it-IT"/>
              </w:rPr>
            </w:pPr>
            <w:r w:rsidRPr="00C2587D">
              <w:rPr>
                <w:rFonts w:cs="Arial"/>
                <w:b/>
                <w:color w:val="000000"/>
                <w:szCs w:val="22"/>
                <w:lang w:eastAsia="it-IT"/>
              </w:rPr>
              <w:t>2027</w:t>
            </w:r>
          </w:p>
        </w:tc>
        <w:tc>
          <w:tcPr>
            <w:tcW w:w="1275" w:type="dxa"/>
            <w:shd w:val="clear" w:color="auto" w:fill="E6E6E6"/>
            <w:vAlign w:val="center"/>
          </w:tcPr>
          <w:p w14:paraId="1EE67890" w14:textId="77777777" w:rsidR="00552466" w:rsidRPr="00C2587D" w:rsidRDefault="00552466" w:rsidP="00D7011A">
            <w:pPr>
              <w:jc w:val="center"/>
              <w:rPr>
                <w:rFonts w:cs="Arial"/>
                <w:b/>
                <w:color w:val="000000"/>
                <w:szCs w:val="22"/>
                <w:lang w:eastAsia="it-IT"/>
              </w:rPr>
            </w:pPr>
            <w:r w:rsidRPr="00C2587D">
              <w:rPr>
                <w:rFonts w:cs="Arial"/>
                <w:b/>
                <w:color w:val="000000"/>
                <w:szCs w:val="22"/>
                <w:lang w:eastAsia="it-IT"/>
              </w:rPr>
              <w:t>2028</w:t>
            </w:r>
          </w:p>
        </w:tc>
        <w:tc>
          <w:tcPr>
            <w:tcW w:w="1590" w:type="dxa"/>
            <w:shd w:val="clear" w:color="auto" w:fill="E6E6E6"/>
            <w:vAlign w:val="center"/>
          </w:tcPr>
          <w:p w14:paraId="0AABF226" w14:textId="77777777" w:rsidR="00552466" w:rsidRPr="00C2587D" w:rsidRDefault="00552466" w:rsidP="00D7011A">
            <w:pPr>
              <w:jc w:val="center"/>
              <w:rPr>
                <w:rFonts w:cs="Arial"/>
                <w:b/>
                <w:color w:val="000000"/>
                <w:szCs w:val="22"/>
                <w:lang w:eastAsia="it-IT"/>
              </w:rPr>
            </w:pPr>
            <w:r w:rsidRPr="00C2587D">
              <w:rPr>
                <w:rFonts w:cs="Arial"/>
                <w:b/>
                <w:color w:val="000000"/>
                <w:szCs w:val="22"/>
                <w:lang w:eastAsia="it-IT"/>
              </w:rPr>
              <w:t>РАЗОМ</w:t>
            </w:r>
          </w:p>
        </w:tc>
      </w:tr>
      <w:tr w:rsidR="00552466" w:rsidRPr="00C2587D" w14:paraId="74E1D9F8" w14:textId="77777777" w:rsidTr="00D7011A">
        <w:trPr>
          <w:trHeight w:val="645"/>
          <w:jc w:val="right"/>
        </w:trPr>
        <w:tc>
          <w:tcPr>
            <w:tcW w:w="3425" w:type="dxa"/>
            <w:vMerge/>
            <w:shd w:val="clear" w:color="auto" w:fill="FFFFFF"/>
            <w:vAlign w:val="center"/>
          </w:tcPr>
          <w:p w14:paraId="0E18BBB1" w14:textId="77777777" w:rsidR="00552466" w:rsidRPr="00C2587D" w:rsidRDefault="00552466" w:rsidP="00D7011A">
            <w:pPr>
              <w:rPr>
                <w:rFonts w:cs="Arial"/>
                <w:b/>
                <w:bCs/>
                <w:color w:val="000000"/>
                <w:szCs w:val="22"/>
              </w:rPr>
            </w:pPr>
          </w:p>
        </w:tc>
        <w:tc>
          <w:tcPr>
            <w:tcW w:w="1254" w:type="dxa"/>
            <w:vAlign w:val="center"/>
          </w:tcPr>
          <w:p w14:paraId="65E52C39" w14:textId="77777777" w:rsidR="00552466" w:rsidRPr="00C2587D" w:rsidRDefault="00552466" w:rsidP="00D7011A">
            <w:pPr>
              <w:jc w:val="center"/>
              <w:rPr>
                <w:rFonts w:cs="Arial"/>
                <w:szCs w:val="22"/>
                <w:lang w:eastAsia="it-IT"/>
              </w:rPr>
            </w:pPr>
            <w:r w:rsidRPr="00C2587D">
              <w:rPr>
                <w:rFonts w:cs="Arial"/>
                <w:szCs w:val="22"/>
                <w:lang w:eastAsia="it-IT"/>
              </w:rPr>
              <w:t>120,00</w:t>
            </w:r>
          </w:p>
        </w:tc>
        <w:tc>
          <w:tcPr>
            <w:tcW w:w="1417" w:type="dxa"/>
            <w:shd w:val="clear" w:color="auto" w:fill="FFFFFF"/>
            <w:vAlign w:val="center"/>
          </w:tcPr>
          <w:p w14:paraId="23DE7185" w14:textId="77777777" w:rsidR="00552466" w:rsidRPr="00C2587D" w:rsidRDefault="00552466" w:rsidP="00D7011A">
            <w:pPr>
              <w:jc w:val="center"/>
              <w:rPr>
                <w:rFonts w:cs="Arial"/>
                <w:szCs w:val="22"/>
                <w:lang w:eastAsia="it-IT"/>
              </w:rPr>
            </w:pPr>
            <w:r w:rsidRPr="00C2587D">
              <w:rPr>
                <w:rFonts w:cs="Arial"/>
                <w:szCs w:val="22"/>
                <w:lang w:eastAsia="it-IT"/>
              </w:rPr>
              <w:t>120,00</w:t>
            </w:r>
          </w:p>
        </w:tc>
        <w:tc>
          <w:tcPr>
            <w:tcW w:w="1418" w:type="dxa"/>
            <w:shd w:val="clear" w:color="auto" w:fill="auto"/>
            <w:vAlign w:val="center"/>
          </w:tcPr>
          <w:p w14:paraId="27B5BF34" w14:textId="77777777" w:rsidR="00552466" w:rsidRPr="00C2587D" w:rsidRDefault="00552466" w:rsidP="00D7011A">
            <w:pPr>
              <w:jc w:val="center"/>
              <w:rPr>
                <w:rFonts w:cs="Arial"/>
                <w:szCs w:val="22"/>
                <w:lang w:eastAsia="it-IT"/>
              </w:rPr>
            </w:pPr>
            <w:r w:rsidRPr="00C2587D">
              <w:rPr>
                <w:rFonts w:cs="Arial"/>
                <w:szCs w:val="22"/>
                <w:lang w:eastAsia="it-IT"/>
              </w:rPr>
              <w:t>120,00</w:t>
            </w:r>
          </w:p>
        </w:tc>
        <w:tc>
          <w:tcPr>
            <w:tcW w:w="1275" w:type="dxa"/>
            <w:shd w:val="clear" w:color="auto" w:fill="FFFFFF"/>
            <w:vAlign w:val="center"/>
          </w:tcPr>
          <w:p w14:paraId="0274F71A" w14:textId="77777777" w:rsidR="00552466" w:rsidRPr="00C2587D" w:rsidRDefault="00552466" w:rsidP="00D7011A">
            <w:pPr>
              <w:jc w:val="center"/>
              <w:rPr>
                <w:rFonts w:cs="Arial"/>
                <w:szCs w:val="22"/>
                <w:lang w:eastAsia="it-IT"/>
              </w:rPr>
            </w:pPr>
            <w:r w:rsidRPr="00C2587D">
              <w:rPr>
                <w:rFonts w:cs="Arial"/>
                <w:szCs w:val="22"/>
                <w:lang w:eastAsia="it-IT"/>
              </w:rPr>
              <w:t>120,00</w:t>
            </w:r>
          </w:p>
        </w:tc>
        <w:tc>
          <w:tcPr>
            <w:tcW w:w="1590" w:type="dxa"/>
            <w:shd w:val="clear" w:color="auto" w:fill="FFFFFF"/>
            <w:vAlign w:val="center"/>
          </w:tcPr>
          <w:p w14:paraId="5C383F50" w14:textId="77777777" w:rsidR="00552466" w:rsidRPr="00C2587D" w:rsidRDefault="00552466" w:rsidP="00D7011A">
            <w:pPr>
              <w:jc w:val="center"/>
              <w:rPr>
                <w:rFonts w:cs="Arial"/>
                <w:szCs w:val="22"/>
                <w:lang w:eastAsia="it-IT"/>
              </w:rPr>
            </w:pPr>
            <w:r w:rsidRPr="00C2587D">
              <w:rPr>
                <w:rFonts w:cs="Arial"/>
                <w:szCs w:val="22"/>
                <w:lang w:eastAsia="it-IT"/>
              </w:rPr>
              <w:t>480,00</w:t>
            </w:r>
          </w:p>
        </w:tc>
      </w:tr>
      <w:tr w:rsidR="00552466" w:rsidRPr="00C2587D" w14:paraId="6BD083C4" w14:textId="77777777" w:rsidTr="00D7011A">
        <w:trPr>
          <w:trHeight w:val="276"/>
          <w:jc w:val="right"/>
        </w:trPr>
        <w:tc>
          <w:tcPr>
            <w:tcW w:w="3425" w:type="dxa"/>
            <w:shd w:val="clear" w:color="auto" w:fill="FFFFFF"/>
            <w:vAlign w:val="center"/>
          </w:tcPr>
          <w:p w14:paraId="1774043E" w14:textId="77777777" w:rsidR="00552466" w:rsidRPr="00C2587D" w:rsidRDefault="00552466" w:rsidP="00D7011A">
            <w:pPr>
              <w:rPr>
                <w:rFonts w:cs="Arial"/>
                <w:b/>
                <w:bCs/>
                <w:color w:val="000000"/>
                <w:szCs w:val="22"/>
              </w:rPr>
            </w:pPr>
            <w:r w:rsidRPr="00C2587D">
              <w:rPr>
                <w:rFonts w:cs="Arial"/>
                <w:b/>
                <w:bCs/>
                <w:color w:val="000000"/>
                <w:szCs w:val="22"/>
              </w:rPr>
              <w:t>по джерелах фінансування:</w:t>
            </w:r>
          </w:p>
        </w:tc>
        <w:tc>
          <w:tcPr>
            <w:tcW w:w="1254" w:type="dxa"/>
            <w:vAlign w:val="center"/>
          </w:tcPr>
          <w:p w14:paraId="58D38FD2" w14:textId="77777777" w:rsidR="00552466" w:rsidRPr="00C2587D" w:rsidRDefault="00552466" w:rsidP="00D7011A">
            <w:pPr>
              <w:jc w:val="center"/>
              <w:rPr>
                <w:rFonts w:cs="Arial"/>
                <w:szCs w:val="22"/>
                <w:lang w:eastAsia="it-IT"/>
              </w:rPr>
            </w:pPr>
          </w:p>
        </w:tc>
        <w:tc>
          <w:tcPr>
            <w:tcW w:w="1417" w:type="dxa"/>
            <w:shd w:val="clear" w:color="auto" w:fill="FFFFFF"/>
            <w:vAlign w:val="center"/>
          </w:tcPr>
          <w:p w14:paraId="47414833" w14:textId="77777777" w:rsidR="00552466" w:rsidRPr="00C2587D" w:rsidRDefault="00552466" w:rsidP="00D7011A">
            <w:pPr>
              <w:jc w:val="center"/>
              <w:rPr>
                <w:rFonts w:cs="Arial"/>
                <w:szCs w:val="22"/>
                <w:lang w:eastAsia="it-IT"/>
              </w:rPr>
            </w:pPr>
          </w:p>
        </w:tc>
        <w:tc>
          <w:tcPr>
            <w:tcW w:w="1418" w:type="dxa"/>
            <w:shd w:val="clear" w:color="auto" w:fill="auto"/>
            <w:vAlign w:val="center"/>
          </w:tcPr>
          <w:p w14:paraId="2E7BAF5C" w14:textId="77777777" w:rsidR="00552466" w:rsidRPr="00C2587D" w:rsidRDefault="00552466" w:rsidP="00D7011A">
            <w:pPr>
              <w:jc w:val="center"/>
              <w:rPr>
                <w:rFonts w:cs="Arial"/>
                <w:szCs w:val="22"/>
                <w:lang w:eastAsia="it-IT"/>
              </w:rPr>
            </w:pPr>
          </w:p>
        </w:tc>
        <w:tc>
          <w:tcPr>
            <w:tcW w:w="1275" w:type="dxa"/>
            <w:shd w:val="clear" w:color="auto" w:fill="FFFFFF"/>
            <w:vAlign w:val="center"/>
          </w:tcPr>
          <w:p w14:paraId="5A03264D" w14:textId="77777777" w:rsidR="00552466" w:rsidRPr="00C2587D" w:rsidRDefault="00552466" w:rsidP="00D7011A">
            <w:pPr>
              <w:jc w:val="center"/>
              <w:rPr>
                <w:rFonts w:cs="Arial"/>
                <w:szCs w:val="22"/>
                <w:lang w:eastAsia="it-IT"/>
              </w:rPr>
            </w:pPr>
          </w:p>
        </w:tc>
        <w:tc>
          <w:tcPr>
            <w:tcW w:w="1590" w:type="dxa"/>
            <w:shd w:val="clear" w:color="auto" w:fill="FFFFFF"/>
            <w:vAlign w:val="center"/>
          </w:tcPr>
          <w:p w14:paraId="45E1358F" w14:textId="77777777" w:rsidR="00552466" w:rsidRPr="00C2587D" w:rsidRDefault="00552466" w:rsidP="00D7011A">
            <w:pPr>
              <w:jc w:val="center"/>
              <w:rPr>
                <w:rFonts w:cs="Arial"/>
                <w:szCs w:val="22"/>
                <w:lang w:eastAsia="it-IT"/>
              </w:rPr>
            </w:pPr>
          </w:p>
        </w:tc>
      </w:tr>
      <w:tr w:rsidR="00552466" w:rsidRPr="00C2587D" w14:paraId="6E8DBD08" w14:textId="77777777" w:rsidTr="00D7011A">
        <w:trPr>
          <w:trHeight w:val="230"/>
          <w:jc w:val="right"/>
        </w:trPr>
        <w:tc>
          <w:tcPr>
            <w:tcW w:w="3425" w:type="dxa"/>
            <w:shd w:val="clear" w:color="auto" w:fill="FFFFFF"/>
            <w:vAlign w:val="center"/>
          </w:tcPr>
          <w:p w14:paraId="395BE7B8" w14:textId="77777777" w:rsidR="00552466" w:rsidRPr="00C2587D" w:rsidRDefault="00552466" w:rsidP="00D7011A">
            <w:pPr>
              <w:rPr>
                <w:rFonts w:cs="Arial"/>
                <w:bCs/>
                <w:color w:val="000000"/>
                <w:szCs w:val="22"/>
              </w:rPr>
            </w:pPr>
            <w:r w:rsidRPr="00C2587D">
              <w:rPr>
                <w:rFonts w:cs="Arial"/>
                <w:bCs/>
                <w:color w:val="000000"/>
                <w:szCs w:val="22"/>
              </w:rPr>
              <w:t>-державний бюджет</w:t>
            </w:r>
          </w:p>
        </w:tc>
        <w:tc>
          <w:tcPr>
            <w:tcW w:w="1254" w:type="dxa"/>
            <w:vAlign w:val="center"/>
          </w:tcPr>
          <w:p w14:paraId="15D55EE1" w14:textId="77777777" w:rsidR="00552466" w:rsidRPr="00C2587D" w:rsidRDefault="00552466" w:rsidP="00D7011A">
            <w:pPr>
              <w:jc w:val="center"/>
              <w:rPr>
                <w:rFonts w:cs="Arial"/>
                <w:szCs w:val="22"/>
                <w:lang w:eastAsia="it-IT"/>
              </w:rPr>
            </w:pPr>
          </w:p>
        </w:tc>
        <w:tc>
          <w:tcPr>
            <w:tcW w:w="1417" w:type="dxa"/>
            <w:shd w:val="clear" w:color="auto" w:fill="FFFFFF"/>
            <w:vAlign w:val="center"/>
          </w:tcPr>
          <w:p w14:paraId="35A599D5" w14:textId="77777777" w:rsidR="00552466" w:rsidRPr="00C2587D" w:rsidRDefault="00552466" w:rsidP="00D7011A">
            <w:pPr>
              <w:jc w:val="center"/>
              <w:rPr>
                <w:rFonts w:cs="Arial"/>
                <w:szCs w:val="22"/>
                <w:lang w:eastAsia="it-IT"/>
              </w:rPr>
            </w:pPr>
          </w:p>
        </w:tc>
        <w:tc>
          <w:tcPr>
            <w:tcW w:w="1418" w:type="dxa"/>
            <w:shd w:val="clear" w:color="auto" w:fill="auto"/>
            <w:vAlign w:val="center"/>
          </w:tcPr>
          <w:p w14:paraId="2D0B4DC8" w14:textId="77777777" w:rsidR="00552466" w:rsidRPr="00C2587D" w:rsidRDefault="00552466" w:rsidP="00D7011A">
            <w:pPr>
              <w:jc w:val="center"/>
              <w:rPr>
                <w:rFonts w:cs="Arial"/>
                <w:szCs w:val="22"/>
                <w:lang w:eastAsia="it-IT"/>
              </w:rPr>
            </w:pPr>
          </w:p>
        </w:tc>
        <w:tc>
          <w:tcPr>
            <w:tcW w:w="1275" w:type="dxa"/>
            <w:shd w:val="clear" w:color="auto" w:fill="FFFFFF"/>
            <w:vAlign w:val="center"/>
          </w:tcPr>
          <w:p w14:paraId="25B3BD7C" w14:textId="77777777" w:rsidR="00552466" w:rsidRPr="00C2587D" w:rsidRDefault="00552466" w:rsidP="00D7011A">
            <w:pPr>
              <w:jc w:val="center"/>
              <w:rPr>
                <w:rFonts w:cs="Arial"/>
                <w:szCs w:val="22"/>
                <w:lang w:eastAsia="it-IT"/>
              </w:rPr>
            </w:pPr>
          </w:p>
        </w:tc>
        <w:tc>
          <w:tcPr>
            <w:tcW w:w="1590" w:type="dxa"/>
            <w:shd w:val="clear" w:color="auto" w:fill="FFFFFF"/>
            <w:vAlign w:val="center"/>
          </w:tcPr>
          <w:p w14:paraId="7B7910FD" w14:textId="77777777" w:rsidR="00552466" w:rsidRPr="00C2587D" w:rsidRDefault="00552466" w:rsidP="00D7011A">
            <w:pPr>
              <w:jc w:val="center"/>
              <w:rPr>
                <w:rFonts w:cs="Arial"/>
                <w:szCs w:val="22"/>
                <w:lang w:eastAsia="it-IT"/>
              </w:rPr>
            </w:pPr>
          </w:p>
        </w:tc>
      </w:tr>
      <w:tr w:rsidR="00552466" w:rsidRPr="00C2587D" w14:paraId="100B2069" w14:textId="77777777" w:rsidTr="00D7011A">
        <w:trPr>
          <w:trHeight w:val="253"/>
          <w:jc w:val="right"/>
        </w:trPr>
        <w:tc>
          <w:tcPr>
            <w:tcW w:w="3425" w:type="dxa"/>
            <w:shd w:val="clear" w:color="auto" w:fill="FFFFFF"/>
            <w:vAlign w:val="center"/>
          </w:tcPr>
          <w:p w14:paraId="4E99D750" w14:textId="77777777" w:rsidR="00552466" w:rsidRPr="00C2587D" w:rsidRDefault="00552466" w:rsidP="00D7011A">
            <w:pPr>
              <w:rPr>
                <w:rFonts w:cs="Arial"/>
                <w:bCs/>
                <w:color w:val="000000"/>
                <w:szCs w:val="22"/>
              </w:rPr>
            </w:pPr>
            <w:r w:rsidRPr="00C2587D">
              <w:rPr>
                <w:rFonts w:cs="Arial"/>
                <w:bCs/>
                <w:color w:val="000000"/>
                <w:szCs w:val="22"/>
              </w:rPr>
              <w:t>-обласний бюджет</w:t>
            </w:r>
          </w:p>
        </w:tc>
        <w:tc>
          <w:tcPr>
            <w:tcW w:w="1254" w:type="dxa"/>
            <w:vAlign w:val="center"/>
          </w:tcPr>
          <w:p w14:paraId="7EE5F831" w14:textId="77777777" w:rsidR="00552466" w:rsidRPr="00C2587D" w:rsidRDefault="00552466" w:rsidP="00D7011A">
            <w:pPr>
              <w:jc w:val="center"/>
              <w:rPr>
                <w:rFonts w:cs="Arial"/>
                <w:szCs w:val="22"/>
                <w:lang w:eastAsia="it-IT"/>
              </w:rPr>
            </w:pPr>
          </w:p>
        </w:tc>
        <w:tc>
          <w:tcPr>
            <w:tcW w:w="1417" w:type="dxa"/>
            <w:shd w:val="clear" w:color="auto" w:fill="FFFFFF"/>
            <w:vAlign w:val="center"/>
          </w:tcPr>
          <w:p w14:paraId="576F71BA" w14:textId="77777777" w:rsidR="00552466" w:rsidRPr="00C2587D" w:rsidRDefault="00552466" w:rsidP="00D7011A">
            <w:pPr>
              <w:jc w:val="center"/>
              <w:rPr>
                <w:rFonts w:cs="Arial"/>
                <w:szCs w:val="22"/>
                <w:lang w:eastAsia="it-IT"/>
              </w:rPr>
            </w:pPr>
          </w:p>
        </w:tc>
        <w:tc>
          <w:tcPr>
            <w:tcW w:w="1418" w:type="dxa"/>
            <w:shd w:val="clear" w:color="auto" w:fill="auto"/>
            <w:vAlign w:val="center"/>
          </w:tcPr>
          <w:p w14:paraId="696AC535" w14:textId="77777777" w:rsidR="00552466" w:rsidRPr="00C2587D" w:rsidRDefault="00552466" w:rsidP="00D7011A">
            <w:pPr>
              <w:jc w:val="center"/>
              <w:rPr>
                <w:rFonts w:cs="Arial"/>
                <w:szCs w:val="22"/>
                <w:lang w:eastAsia="it-IT"/>
              </w:rPr>
            </w:pPr>
          </w:p>
        </w:tc>
        <w:tc>
          <w:tcPr>
            <w:tcW w:w="1275" w:type="dxa"/>
            <w:shd w:val="clear" w:color="auto" w:fill="FFFFFF"/>
            <w:vAlign w:val="center"/>
          </w:tcPr>
          <w:p w14:paraId="401C7DE3" w14:textId="77777777" w:rsidR="00552466" w:rsidRPr="00C2587D" w:rsidRDefault="00552466" w:rsidP="00D7011A">
            <w:pPr>
              <w:jc w:val="center"/>
              <w:rPr>
                <w:rFonts w:cs="Arial"/>
                <w:szCs w:val="22"/>
                <w:lang w:eastAsia="it-IT"/>
              </w:rPr>
            </w:pPr>
          </w:p>
        </w:tc>
        <w:tc>
          <w:tcPr>
            <w:tcW w:w="1590" w:type="dxa"/>
            <w:shd w:val="clear" w:color="auto" w:fill="FFFFFF"/>
            <w:vAlign w:val="center"/>
          </w:tcPr>
          <w:p w14:paraId="20163C11" w14:textId="77777777" w:rsidR="00552466" w:rsidRPr="00C2587D" w:rsidRDefault="00552466" w:rsidP="00D7011A">
            <w:pPr>
              <w:jc w:val="center"/>
              <w:rPr>
                <w:rFonts w:cs="Arial"/>
                <w:szCs w:val="22"/>
                <w:lang w:eastAsia="it-IT"/>
              </w:rPr>
            </w:pPr>
          </w:p>
        </w:tc>
      </w:tr>
      <w:tr w:rsidR="00552466" w:rsidRPr="00C2587D" w14:paraId="5DE6C6F4" w14:textId="77777777" w:rsidTr="00D7011A">
        <w:trPr>
          <w:trHeight w:val="264"/>
          <w:jc w:val="right"/>
        </w:trPr>
        <w:tc>
          <w:tcPr>
            <w:tcW w:w="3425" w:type="dxa"/>
            <w:shd w:val="clear" w:color="auto" w:fill="FFFFFF"/>
            <w:vAlign w:val="center"/>
          </w:tcPr>
          <w:p w14:paraId="15E71385" w14:textId="77777777" w:rsidR="00552466" w:rsidRPr="00C2587D" w:rsidRDefault="00552466" w:rsidP="00D7011A">
            <w:pPr>
              <w:rPr>
                <w:rFonts w:cs="Arial"/>
                <w:bCs/>
                <w:color w:val="000000"/>
                <w:szCs w:val="22"/>
              </w:rPr>
            </w:pPr>
            <w:r w:rsidRPr="00C2587D">
              <w:rPr>
                <w:rFonts w:cs="Arial"/>
                <w:bCs/>
                <w:color w:val="000000"/>
                <w:szCs w:val="22"/>
              </w:rPr>
              <w:t>-бюджет Жмеринської МТГ</w:t>
            </w:r>
          </w:p>
        </w:tc>
        <w:tc>
          <w:tcPr>
            <w:tcW w:w="1254" w:type="dxa"/>
            <w:vAlign w:val="center"/>
          </w:tcPr>
          <w:p w14:paraId="5CE491B5" w14:textId="77777777" w:rsidR="00552466" w:rsidRPr="00C2587D" w:rsidRDefault="00552466" w:rsidP="00D7011A">
            <w:pPr>
              <w:jc w:val="center"/>
              <w:rPr>
                <w:rFonts w:cs="Arial"/>
                <w:szCs w:val="22"/>
                <w:lang w:eastAsia="it-IT"/>
              </w:rPr>
            </w:pPr>
            <w:r w:rsidRPr="00C2587D">
              <w:rPr>
                <w:rFonts w:cs="Arial"/>
                <w:szCs w:val="22"/>
                <w:lang w:eastAsia="it-IT"/>
              </w:rPr>
              <w:t>120,00</w:t>
            </w:r>
          </w:p>
        </w:tc>
        <w:tc>
          <w:tcPr>
            <w:tcW w:w="1417" w:type="dxa"/>
            <w:shd w:val="clear" w:color="auto" w:fill="FFFFFF"/>
            <w:vAlign w:val="center"/>
          </w:tcPr>
          <w:p w14:paraId="47B6B607" w14:textId="77777777" w:rsidR="00552466" w:rsidRPr="00C2587D" w:rsidRDefault="00552466" w:rsidP="00D7011A">
            <w:pPr>
              <w:jc w:val="center"/>
              <w:rPr>
                <w:rFonts w:cs="Arial"/>
                <w:szCs w:val="22"/>
                <w:lang w:eastAsia="it-IT"/>
              </w:rPr>
            </w:pPr>
            <w:r w:rsidRPr="00C2587D">
              <w:rPr>
                <w:rFonts w:cs="Arial"/>
                <w:szCs w:val="22"/>
                <w:lang w:eastAsia="it-IT"/>
              </w:rPr>
              <w:t>120,00</w:t>
            </w:r>
          </w:p>
        </w:tc>
        <w:tc>
          <w:tcPr>
            <w:tcW w:w="1418" w:type="dxa"/>
            <w:shd w:val="clear" w:color="auto" w:fill="auto"/>
            <w:vAlign w:val="center"/>
          </w:tcPr>
          <w:p w14:paraId="47720C40" w14:textId="77777777" w:rsidR="00552466" w:rsidRPr="00C2587D" w:rsidRDefault="00552466" w:rsidP="00D7011A">
            <w:pPr>
              <w:jc w:val="center"/>
              <w:rPr>
                <w:rFonts w:cs="Arial"/>
                <w:szCs w:val="22"/>
                <w:lang w:eastAsia="it-IT"/>
              </w:rPr>
            </w:pPr>
            <w:r w:rsidRPr="00C2587D">
              <w:rPr>
                <w:rFonts w:cs="Arial"/>
                <w:szCs w:val="22"/>
                <w:lang w:eastAsia="it-IT"/>
              </w:rPr>
              <w:t>120,00</w:t>
            </w:r>
          </w:p>
        </w:tc>
        <w:tc>
          <w:tcPr>
            <w:tcW w:w="1275" w:type="dxa"/>
            <w:shd w:val="clear" w:color="auto" w:fill="FFFFFF"/>
            <w:vAlign w:val="center"/>
          </w:tcPr>
          <w:p w14:paraId="7D4CC7B1" w14:textId="77777777" w:rsidR="00552466" w:rsidRPr="00C2587D" w:rsidRDefault="00552466" w:rsidP="00D7011A">
            <w:pPr>
              <w:jc w:val="center"/>
              <w:rPr>
                <w:rFonts w:cs="Arial"/>
                <w:szCs w:val="22"/>
                <w:lang w:eastAsia="it-IT"/>
              </w:rPr>
            </w:pPr>
            <w:r w:rsidRPr="00C2587D">
              <w:rPr>
                <w:rFonts w:cs="Arial"/>
                <w:szCs w:val="22"/>
                <w:lang w:eastAsia="it-IT"/>
              </w:rPr>
              <w:t>120,00</w:t>
            </w:r>
          </w:p>
        </w:tc>
        <w:tc>
          <w:tcPr>
            <w:tcW w:w="1590" w:type="dxa"/>
            <w:shd w:val="clear" w:color="auto" w:fill="FFFFFF"/>
            <w:vAlign w:val="center"/>
          </w:tcPr>
          <w:p w14:paraId="0595C658" w14:textId="77777777" w:rsidR="00552466" w:rsidRPr="00C2587D" w:rsidRDefault="00552466" w:rsidP="00D7011A">
            <w:pPr>
              <w:jc w:val="center"/>
              <w:rPr>
                <w:rFonts w:cs="Arial"/>
                <w:szCs w:val="22"/>
                <w:lang w:eastAsia="it-IT"/>
              </w:rPr>
            </w:pPr>
            <w:r w:rsidRPr="00C2587D">
              <w:rPr>
                <w:rFonts w:cs="Arial"/>
                <w:szCs w:val="22"/>
                <w:lang w:eastAsia="it-IT"/>
              </w:rPr>
              <w:t>480,00</w:t>
            </w:r>
          </w:p>
        </w:tc>
      </w:tr>
      <w:tr w:rsidR="00552466" w:rsidRPr="00C2587D" w14:paraId="3D8FD00B" w14:textId="77777777" w:rsidTr="00D7011A">
        <w:trPr>
          <w:trHeight w:val="369"/>
          <w:jc w:val="right"/>
        </w:trPr>
        <w:tc>
          <w:tcPr>
            <w:tcW w:w="3425" w:type="dxa"/>
            <w:shd w:val="clear" w:color="auto" w:fill="FFFFFF"/>
            <w:vAlign w:val="center"/>
          </w:tcPr>
          <w:p w14:paraId="796B6630" w14:textId="77777777" w:rsidR="00552466" w:rsidRPr="00C2587D" w:rsidRDefault="00552466" w:rsidP="00D7011A">
            <w:pPr>
              <w:rPr>
                <w:rFonts w:cs="Arial"/>
                <w:bCs/>
                <w:color w:val="000000"/>
                <w:szCs w:val="22"/>
              </w:rPr>
            </w:pPr>
            <w:r w:rsidRPr="00C2587D">
              <w:rPr>
                <w:rFonts w:cs="Arial"/>
                <w:bCs/>
                <w:color w:val="000000"/>
                <w:szCs w:val="22"/>
              </w:rPr>
              <w:t>-інші джерела фінансування</w:t>
            </w:r>
          </w:p>
        </w:tc>
        <w:tc>
          <w:tcPr>
            <w:tcW w:w="1254" w:type="dxa"/>
            <w:vAlign w:val="center"/>
          </w:tcPr>
          <w:p w14:paraId="283C40B1" w14:textId="77777777" w:rsidR="00552466" w:rsidRPr="00C2587D" w:rsidRDefault="00552466" w:rsidP="00D7011A">
            <w:pPr>
              <w:rPr>
                <w:rFonts w:cs="Arial"/>
                <w:b/>
                <w:color w:val="000000"/>
                <w:szCs w:val="22"/>
                <w:lang w:eastAsia="it-IT"/>
              </w:rPr>
            </w:pPr>
          </w:p>
        </w:tc>
        <w:tc>
          <w:tcPr>
            <w:tcW w:w="1417" w:type="dxa"/>
            <w:shd w:val="clear" w:color="auto" w:fill="FFFFFF"/>
            <w:vAlign w:val="center"/>
          </w:tcPr>
          <w:p w14:paraId="2A8A8684" w14:textId="77777777" w:rsidR="00552466" w:rsidRPr="00C2587D" w:rsidRDefault="00552466" w:rsidP="00D7011A">
            <w:pPr>
              <w:jc w:val="center"/>
              <w:rPr>
                <w:rFonts w:cs="Arial"/>
                <w:b/>
                <w:color w:val="000000"/>
                <w:szCs w:val="22"/>
                <w:lang w:eastAsia="it-IT"/>
              </w:rPr>
            </w:pPr>
          </w:p>
        </w:tc>
        <w:tc>
          <w:tcPr>
            <w:tcW w:w="1418" w:type="dxa"/>
            <w:shd w:val="clear" w:color="auto" w:fill="auto"/>
            <w:vAlign w:val="center"/>
          </w:tcPr>
          <w:p w14:paraId="1F5742FB" w14:textId="77777777" w:rsidR="00552466" w:rsidRPr="00C2587D" w:rsidRDefault="00552466" w:rsidP="00D7011A">
            <w:pPr>
              <w:jc w:val="center"/>
              <w:rPr>
                <w:rFonts w:cs="Arial"/>
                <w:b/>
                <w:color w:val="000000"/>
                <w:szCs w:val="22"/>
                <w:lang w:eastAsia="it-IT"/>
              </w:rPr>
            </w:pPr>
          </w:p>
        </w:tc>
        <w:tc>
          <w:tcPr>
            <w:tcW w:w="1275" w:type="dxa"/>
            <w:shd w:val="clear" w:color="auto" w:fill="FFFFFF"/>
            <w:vAlign w:val="center"/>
          </w:tcPr>
          <w:p w14:paraId="71B16688" w14:textId="77777777" w:rsidR="00552466" w:rsidRPr="00C2587D" w:rsidRDefault="00552466" w:rsidP="00D7011A">
            <w:pPr>
              <w:jc w:val="center"/>
              <w:rPr>
                <w:rFonts w:cs="Arial"/>
                <w:b/>
                <w:color w:val="000000"/>
                <w:szCs w:val="22"/>
                <w:lang w:eastAsia="it-IT"/>
              </w:rPr>
            </w:pPr>
          </w:p>
        </w:tc>
        <w:tc>
          <w:tcPr>
            <w:tcW w:w="1590" w:type="dxa"/>
            <w:shd w:val="clear" w:color="auto" w:fill="FFFFFF"/>
            <w:vAlign w:val="center"/>
          </w:tcPr>
          <w:p w14:paraId="3DB756F5" w14:textId="77777777" w:rsidR="00552466" w:rsidRPr="00C2587D" w:rsidRDefault="00552466" w:rsidP="00D7011A">
            <w:pPr>
              <w:jc w:val="center"/>
              <w:rPr>
                <w:rFonts w:cs="Arial"/>
                <w:b/>
                <w:color w:val="000000"/>
                <w:szCs w:val="22"/>
                <w:lang w:eastAsia="it-IT"/>
              </w:rPr>
            </w:pPr>
          </w:p>
        </w:tc>
      </w:tr>
      <w:tr w:rsidR="00552466" w:rsidRPr="00C2587D" w14:paraId="34620910" w14:textId="77777777" w:rsidTr="00D7011A">
        <w:trPr>
          <w:jc w:val="right"/>
        </w:trPr>
        <w:tc>
          <w:tcPr>
            <w:tcW w:w="3425" w:type="dxa"/>
            <w:shd w:val="clear" w:color="auto" w:fill="FFFFFF"/>
            <w:vAlign w:val="center"/>
          </w:tcPr>
          <w:p w14:paraId="512D0412" w14:textId="77777777" w:rsidR="00552466" w:rsidRPr="00C2587D" w:rsidRDefault="00552466" w:rsidP="00D7011A">
            <w:pPr>
              <w:rPr>
                <w:rFonts w:cs="Arial"/>
                <w:b/>
                <w:bCs/>
                <w:color w:val="000000"/>
                <w:szCs w:val="22"/>
              </w:rPr>
            </w:pPr>
            <w:r w:rsidRPr="00C2587D">
              <w:rPr>
                <w:rFonts w:cs="Arial"/>
                <w:b/>
                <w:color w:val="000000"/>
                <w:szCs w:val="22"/>
              </w:rPr>
              <w:t>Відповідальний виконавець проєкту:</w:t>
            </w:r>
          </w:p>
        </w:tc>
        <w:tc>
          <w:tcPr>
            <w:tcW w:w="6954" w:type="dxa"/>
            <w:gridSpan w:val="5"/>
            <w:vAlign w:val="center"/>
          </w:tcPr>
          <w:p w14:paraId="47020AB8" w14:textId="77777777" w:rsidR="00552466" w:rsidRPr="00C2587D" w:rsidRDefault="00552466" w:rsidP="00D7011A">
            <w:pPr>
              <w:jc w:val="both"/>
              <w:rPr>
                <w:rFonts w:cs="Arial"/>
                <w:color w:val="000000"/>
                <w:szCs w:val="22"/>
                <w:lang w:eastAsia="it-IT"/>
              </w:rPr>
            </w:pPr>
            <w:r w:rsidRPr="00C2587D">
              <w:rPr>
                <w:rFonts w:cs="Arial"/>
                <w:szCs w:val="22"/>
              </w:rPr>
              <w:t>Управління земельних ресурсів виконавчого комітету Жмеринської міської ради, управління житлово – комунального господарства Жмеринської міської ради</w:t>
            </w:r>
          </w:p>
        </w:tc>
      </w:tr>
    </w:tbl>
    <w:p w14:paraId="03421712" w14:textId="77777777" w:rsidR="00552466" w:rsidRPr="00C2587D" w:rsidRDefault="00552466" w:rsidP="00552466">
      <w:pPr>
        <w:jc w:val="center"/>
        <w:rPr>
          <w:rFonts w:cs="Arial"/>
          <w:b/>
          <w:color w:val="000000"/>
          <w:szCs w:val="22"/>
        </w:rPr>
      </w:pPr>
    </w:p>
    <w:p w14:paraId="197BBC86" w14:textId="62AADA35" w:rsidR="00560F31" w:rsidRDefault="00560F31">
      <w:pPr>
        <w:rPr>
          <w:rFonts w:cs="Arial"/>
          <w:b/>
          <w:color w:val="000000"/>
          <w:szCs w:val="22"/>
        </w:rPr>
      </w:pPr>
      <w:r>
        <w:rPr>
          <w:rFonts w:cs="Arial"/>
          <w:b/>
          <w:color w:val="000000"/>
          <w:szCs w:val="22"/>
        </w:rPr>
        <w:br w:type="page"/>
      </w:r>
    </w:p>
    <w:p w14:paraId="4F8206D5" w14:textId="77777777" w:rsidR="00552466" w:rsidRPr="00C2587D" w:rsidRDefault="00552466" w:rsidP="00552466">
      <w:pPr>
        <w:jc w:val="center"/>
        <w:rPr>
          <w:rFonts w:cs="Arial"/>
          <w:b/>
          <w:color w:val="000000"/>
          <w:szCs w:val="22"/>
        </w:rPr>
      </w:pPr>
    </w:p>
    <w:p w14:paraId="3AFC0FE3" w14:textId="2AC21556" w:rsidR="00552466" w:rsidRPr="00C2587D" w:rsidRDefault="00552466" w:rsidP="00552466">
      <w:pPr>
        <w:jc w:val="center"/>
        <w:rPr>
          <w:rFonts w:cs="Arial"/>
          <w:b/>
          <w:color w:val="000000"/>
          <w:szCs w:val="22"/>
        </w:rPr>
      </w:pPr>
      <w:r w:rsidRPr="00C2587D">
        <w:rPr>
          <w:rFonts w:cs="Arial"/>
          <w:b/>
          <w:color w:val="000000"/>
          <w:szCs w:val="22"/>
        </w:rPr>
        <w:t>Ф</w:t>
      </w:r>
      <w:r w:rsidR="00B7349E">
        <w:rPr>
          <w:rFonts w:cs="Arial"/>
          <w:b/>
          <w:color w:val="000000"/>
          <w:szCs w:val="22"/>
        </w:rPr>
        <w:t>орма технічного завдання на проє</w:t>
      </w:r>
      <w:r w:rsidRPr="00C2587D">
        <w:rPr>
          <w:rFonts w:cs="Arial"/>
          <w:b/>
          <w:color w:val="000000"/>
          <w:szCs w:val="22"/>
        </w:rPr>
        <w:t xml:space="preserve">кт місцевого розвитку </w:t>
      </w:r>
    </w:p>
    <w:p w14:paraId="72FA5293" w14:textId="77777777" w:rsidR="00552466" w:rsidRPr="00C2587D" w:rsidRDefault="00552466" w:rsidP="00552466">
      <w:pPr>
        <w:jc w:val="center"/>
        <w:rPr>
          <w:rFonts w:cs="Arial"/>
          <w:b/>
          <w:color w:val="000000"/>
          <w:szCs w:val="22"/>
        </w:rPr>
      </w:pPr>
      <w:r w:rsidRPr="00C2587D">
        <w:rPr>
          <w:rFonts w:cs="Arial"/>
          <w:b/>
          <w:color w:val="000000"/>
          <w:szCs w:val="22"/>
        </w:rPr>
        <w:t>до Плану заходів з реалізації Стратегії</w:t>
      </w:r>
    </w:p>
    <w:tbl>
      <w:tblPr>
        <w:tblW w:w="1037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1417"/>
        <w:gridCol w:w="1418"/>
        <w:gridCol w:w="1275"/>
        <w:gridCol w:w="1590"/>
      </w:tblGrid>
      <w:tr w:rsidR="00552466" w:rsidRPr="00C2587D" w14:paraId="07F3F572" w14:textId="77777777" w:rsidTr="00201B0C">
        <w:trPr>
          <w:trHeight w:val="510"/>
          <w:jc w:val="right"/>
        </w:trPr>
        <w:tc>
          <w:tcPr>
            <w:tcW w:w="3425" w:type="dxa"/>
            <w:vAlign w:val="center"/>
          </w:tcPr>
          <w:p w14:paraId="083ECCD0" w14:textId="77777777" w:rsidR="00552466" w:rsidRPr="00C2587D" w:rsidRDefault="00552466" w:rsidP="00201B0C">
            <w:pPr>
              <w:spacing w:before="40" w:after="40"/>
              <w:rPr>
                <w:rFonts w:cs="Arial"/>
                <w:b/>
                <w:bCs/>
                <w:szCs w:val="22"/>
              </w:rPr>
            </w:pPr>
            <w:r w:rsidRPr="00C2587D">
              <w:rPr>
                <w:rFonts w:cs="Arial"/>
                <w:b/>
                <w:bCs/>
                <w:szCs w:val="22"/>
              </w:rPr>
              <w:t>Назва проєкту:</w:t>
            </w:r>
          </w:p>
        </w:tc>
        <w:tc>
          <w:tcPr>
            <w:tcW w:w="6954" w:type="dxa"/>
            <w:gridSpan w:val="5"/>
            <w:vAlign w:val="center"/>
          </w:tcPr>
          <w:p w14:paraId="6C440154" w14:textId="77777777" w:rsidR="00552466" w:rsidRPr="00E05554" w:rsidRDefault="00552466" w:rsidP="00201B0C">
            <w:pPr>
              <w:spacing w:before="40" w:after="40"/>
              <w:rPr>
                <w:rFonts w:cs="Arial"/>
                <w:b/>
                <w:szCs w:val="22"/>
              </w:rPr>
            </w:pPr>
            <w:r w:rsidRPr="00E05554">
              <w:rPr>
                <w:rFonts w:cs="Arial"/>
                <w:b/>
                <w:szCs w:val="22"/>
              </w:rPr>
              <w:t>Паспорт водного об'єкту</w:t>
            </w:r>
          </w:p>
        </w:tc>
      </w:tr>
      <w:tr w:rsidR="00552466" w:rsidRPr="00C2587D" w14:paraId="779949CE" w14:textId="77777777" w:rsidTr="00D7011A">
        <w:trPr>
          <w:trHeight w:val="1114"/>
          <w:jc w:val="right"/>
        </w:trPr>
        <w:tc>
          <w:tcPr>
            <w:tcW w:w="3425" w:type="dxa"/>
          </w:tcPr>
          <w:p w14:paraId="351BC8B1" w14:textId="77777777" w:rsidR="00552466" w:rsidRPr="00C2587D" w:rsidRDefault="00552466" w:rsidP="00D7011A">
            <w:pPr>
              <w:spacing w:before="40" w:after="40"/>
              <w:rPr>
                <w:rFonts w:cs="Arial"/>
                <w:szCs w:val="22"/>
                <w:lang w:eastAsia="it-IT"/>
              </w:rPr>
            </w:pPr>
            <w:r w:rsidRPr="00C2587D">
              <w:rPr>
                <w:rFonts w:cs="Arial"/>
                <w:b/>
                <w:bCs/>
                <w:szCs w:val="22"/>
              </w:rPr>
              <w:t>Ваші контакти</w:t>
            </w:r>
            <w:r w:rsidRPr="00C2587D">
              <w:rPr>
                <w:rFonts w:cs="Arial"/>
                <w:szCs w:val="22"/>
                <w:lang w:eastAsia="it-IT"/>
              </w:rPr>
              <w:t>:</w:t>
            </w:r>
          </w:p>
          <w:p w14:paraId="05EF0393" w14:textId="77777777" w:rsidR="00552466" w:rsidRPr="00C2587D" w:rsidRDefault="00552466" w:rsidP="00D7011A">
            <w:pPr>
              <w:spacing w:before="40" w:after="40"/>
              <w:rPr>
                <w:rFonts w:cs="Arial"/>
                <w:b/>
                <w:bCs/>
                <w:szCs w:val="22"/>
              </w:rPr>
            </w:pPr>
            <w:r w:rsidRPr="00C2587D">
              <w:rPr>
                <w:rFonts w:cs="Arial"/>
                <w:szCs w:val="22"/>
                <w:lang w:eastAsia="it-IT"/>
              </w:rPr>
              <w:t>Назва установи, організації, підприємства</w:t>
            </w:r>
          </w:p>
        </w:tc>
        <w:tc>
          <w:tcPr>
            <w:tcW w:w="6954" w:type="dxa"/>
            <w:gridSpan w:val="5"/>
          </w:tcPr>
          <w:p w14:paraId="3D68C6A4" w14:textId="77777777" w:rsidR="00552466" w:rsidRPr="00C2587D" w:rsidRDefault="00552466" w:rsidP="00201B0C">
            <w:pPr>
              <w:spacing w:before="40" w:after="40"/>
              <w:jc w:val="both"/>
              <w:rPr>
                <w:rFonts w:cs="Arial"/>
                <w:szCs w:val="22"/>
                <w:lang w:eastAsia="it-IT"/>
              </w:rPr>
            </w:pPr>
            <w:r w:rsidRPr="00C2587D">
              <w:rPr>
                <w:rFonts w:cs="Arial"/>
                <w:szCs w:val="22"/>
                <w:lang w:eastAsia="it-IT"/>
              </w:rPr>
              <w:t>Управління земельних ресурсів виконавчого комітету Жмеринської міської ради</w:t>
            </w:r>
          </w:p>
        </w:tc>
      </w:tr>
      <w:tr w:rsidR="00552466" w:rsidRPr="00C2587D" w14:paraId="51BDDCE9" w14:textId="77777777" w:rsidTr="00D7011A">
        <w:trPr>
          <w:jc w:val="right"/>
        </w:trPr>
        <w:tc>
          <w:tcPr>
            <w:tcW w:w="3425" w:type="dxa"/>
          </w:tcPr>
          <w:p w14:paraId="4EB167EF" w14:textId="77777777" w:rsidR="00552466" w:rsidRPr="00C2587D" w:rsidRDefault="00552466" w:rsidP="00D7011A">
            <w:pPr>
              <w:spacing w:before="40" w:after="40"/>
              <w:rPr>
                <w:rFonts w:cs="Arial"/>
                <w:b/>
                <w:bCs/>
                <w:szCs w:val="22"/>
              </w:rPr>
            </w:pPr>
            <w:r w:rsidRPr="00C2587D">
              <w:rPr>
                <w:rFonts w:cs="Arial"/>
                <w:szCs w:val="22"/>
                <w:lang w:eastAsia="it-IT"/>
              </w:rPr>
              <w:t>Прізвище Ім’я По-батькові:</w:t>
            </w:r>
          </w:p>
        </w:tc>
        <w:tc>
          <w:tcPr>
            <w:tcW w:w="6954" w:type="dxa"/>
            <w:gridSpan w:val="5"/>
          </w:tcPr>
          <w:p w14:paraId="06ED1EA9" w14:textId="77777777" w:rsidR="00552466" w:rsidRPr="00C2587D" w:rsidRDefault="00552466" w:rsidP="00D7011A">
            <w:pPr>
              <w:spacing w:before="40" w:after="40"/>
              <w:rPr>
                <w:rFonts w:cs="Arial"/>
                <w:szCs w:val="22"/>
                <w:lang w:eastAsia="it-IT"/>
              </w:rPr>
            </w:pPr>
            <w:r w:rsidRPr="00C2587D">
              <w:rPr>
                <w:rFonts w:cs="Arial"/>
                <w:szCs w:val="22"/>
                <w:lang w:eastAsia="it-IT"/>
              </w:rPr>
              <w:t>Пилявець Руслан Євгенович</w:t>
            </w:r>
          </w:p>
        </w:tc>
      </w:tr>
      <w:tr w:rsidR="00552466" w:rsidRPr="00C2587D" w14:paraId="413F58C4" w14:textId="77777777" w:rsidTr="00D7011A">
        <w:trPr>
          <w:jc w:val="right"/>
        </w:trPr>
        <w:tc>
          <w:tcPr>
            <w:tcW w:w="3425" w:type="dxa"/>
          </w:tcPr>
          <w:p w14:paraId="7BD0B43A" w14:textId="77777777" w:rsidR="00552466" w:rsidRPr="00C2587D" w:rsidRDefault="00552466" w:rsidP="00D7011A">
            <w:pPr>
              <w:spacing w:before="40" w:after="40"/>
              <w:rPr>
                <w:rFonts w:cs="Arial"/>
                <w:b/>
                <w:bCs/>
                <w:szCs w:val="22"/>
              </w:rPr>
            </w:pPr>
            <w:r w:rsidRPr="00C2587D">
              <w:rPr>
                <w:rFonts w:cs="Arial"/>
                <w:szCs w:val="22"/>
                <w:lang w:eastAsia="it-IT"/>
              </w:rPr>
              <w:t>Телефон (мобільний):</w:t>
            </w:r>
          </w:p>
        </w:tc>
        <w:tc>
          <w:tcPr>
            <w:tcW w:w="6954" w:type="dxa"/>
            <w:gridSpan w:val="5"/>
          </w:tcPr>
          <w:p w14:paraId="109F1041" w14:textId="77777777" w:rsidR="00552466" w:rsidRPr="00C2587D" w:rsidRDefault="00552466" w:rsidP="00D7011A">
            <w:pPr>
              <w:spacing w:before="40" w:after="40"/>
              <w:rPr>
                <w:rFonts w:cs="Arial"/>
                <w:szCs w:val="22"/>
                <w:lang w:eastAsia="it-IT"/>
              </w:rPr>
            </w:pPr>
            <w:r w:rsidRPr="00C2587D">
              <w:rPr>
                <w:rFonts w:cs="Arial"/>
                <w:szCs w:val="22"/>
                <w:lang w:eastAsia="it-IT"/>
              </w:rPr>
              <w:t>067-580-45-91</w:t>
            </w:r>
          </w:p>
        </w:tc>
      </w:tr>
      <w:tr w:rsidR="00552466" w:rsidRPr="00C2587D" w14:paraId="536B791F" w14:textId="77777777" w:rsidTr="00D7011A">
        <w:trPr>
          <w:jc w:val="right"/>
        </w:trPr>
        <w:tc>
          <w:tcPr>
            <w:tcW w:w="3425" w:type="dxa"/>
          </w:tcPr>
          <w:p w14:paraId="363D3829" w14:textId="77777777" w:rsidR="00552466" w:rsidRPr="00C2587D" w:rsidRDefault="00552466" w:rsidP="00D7011A">
            <w:pPr>
              <w:spacing w:before="40" w:after="40"/>
              <w:rPr>
                <w:rFonts w:cs="Arial"/>
                <w:b/>
                <w:bCs/>
                <w:szCs w:val="22"/>
              </w:rPr>
            </w:pPr>
            <w:r w:rsidRPr="00C2587D">
              <w:rPr>
                <w:rFonts w:cs="Arial"/>
                <w:szCs w:val="22"/>
                <w:lang w:eastAsia="it-IT"/>
              </w:rPr>
              <w:t>Електронна адреса:</w:t>
            </w:r>
          </w:p>
        </w:tc>
        <w:tc>
          <w:tcPr>
            <w:tcW w:w="6954" w:type="dxa"/>
            <w:gridSpan w:val="5"/>
          </w:tcPr>
          <w:p w14:paraId="65A05861" w14:textId="1B009DFC" w:rsidR="00552466" w:rsidRPr="00C2587D" w:rsidRDefault="00D85FFD" w:rsidP="00D7011A">
            <w:pPr>
              <w:spacing w:before="40" w:after="40"/>
              <w:rPr>
                <w:rFonts w:cs="Arial"/>
                <w:szCs w:val="22"/>
                <w:lang w:eastAsia="it-IT"/>
              </w:rPr>
            </w:pPr>
            <w:hyperlink r:id="rId33" w:history="1">
              <w:r w:rsidR="00201B0C" w:rsidRPr="000A0B5C">
                <w:rPr>
                  <w:rStyle w:val="af0"/>
                  <w:rFonts w:cs="Arial"/>
                  <w:noProof w:val="0"/>
                  <w:sz w:val="22"/>
                  <w:szCs w:val="22"/>
                  <w:lang w:eastAsia="it-IT"/>
                </w:rPr>
                <w:t>zem@zhmr.gov.ua</w:t>
              </w:r>
            </w:hyperlink>
            <w:r w:rsidR="00201B0C">
              <w:rPr>
                <w:rFonts w:cs="Arial"/>
                <w:szCs w:val="22"/>
                <w:lang w:eastAsia="it-IT"/>
              </w:rPr>
              <w:t xml:space="preserve"> </w:t>
            </w:r>
          </w:p>
        </w:tc>
      </w:tr>
      <w:tr w:rsidR="00552466" w:rsidRPr="00C2587D" w14:paraId="0273444E" w14:textId="77777777" w:rsidTr="00D7011A">
        <w:trPr>
          <w:trHeight w:val="1440"/>
          <w:jc w:val="right"/>
        </w:trPr>
        <w:tc>
          <w:tcPr>
            <w:tcW w:w="3425" w:type="dxa"/>
            <w:vAlign w:val="center"/>
          </w:tcPr>
          <w:p w14:paraId="5D128C14" w14:textId="48674AD3" w:rsidR="00552466" w:rsidRPr="00C2587D" w:rsidRDefault="00552466" w:rsidP="00D7011A">
            <w:pPr>
              <w:pStyle w:val="6"/>
              <w:spacing w:before="0" w:after="0"/>
              <w:rPr>
                <w:rFonts w:ascii="Arial" w:hAnsi="Arial" w:cs="Arial"/>
                <w:color w:val="000000"/>
                <w:lang w:val="uk-UA"/>
              </w:rPr>
            </w:pPr>
            <w:r w:rsidRPr="00C2587D">
              <w:rPr>
                <w:rFonts w:ascii="Arial" w:hAnsi="Arial" w:cs="Arial"/>
                <w:color w:val="000000"/>
                <w:lang w:val="uk-UA"/>
              </w:rPr>
              <w:t>Номер і назва завдання з Стратегії</w:t>
            </w:r>
            <w:r w:rsidRPr="00C2587D">
              <w:rPr>
                <w:rFonts w:ascii="Arial" w:hAnsi="Arial" w:cs="Arial"/>
                <w:lang w:val="uk-UA" w:eastAsia="it-IT"/>
              </w:rPr>
              <w:t xml:space="preserve"> </w:t>
            </w:r>
            <w:r w:rsidRPr="00C2587D">
              <w:rPr>
                <w:rFonts w:ascii="Arial" w:hAnsi="Arial" w:cs="Arial"/>
                <w:color w:val="000000"/>
                <w:lang w:val="uk-UA"/>
              </w:rPr>
              <w:t>розвитку Жмеринської міської територіальної</w:t>
            </w:r>
            <w:r w:rsidR="00B7349E">
              <w:rPr>
                <w:rFonts w:ascii="Arial" w:hAnsi="Arial" w:cs="Arial"/>
                <w:color w:val="000000"/>
                <w:lang w:val="uk-UA"/>
              </w:rPr>
              <w:t xml:space="preserve"> громади,  якому відповідає проє</w:t>
            </w:r>
            <w:r w:rsidRPr="00C2587D">
              <w:rPr>
                <w:rFonts w:ascii="Arial" w:hAnsi="Arial" w:cs="Arial"/>
                <w:color w:val="000000"/>
                <w:lang w:val="uk-UA"/>
              </w:rPr>
              <w:t>кт:</w:t>
            </w:r>
          </w:p>
        </w:tc>
        <w:tc>
          <w:tcPr>
            <w:tcW w:w="6954" w:type="dxa"/>
            <w:gridSpan w:val="5"/>
          </w:tcPr>
          <w:p w14:paraId="2B94B1BC" w14:textId="77777777" w:rsidR="00552466" w:rsidRPr="00C2587D" w:rsidRDefault="00552466" w:rsidP="00D7011A">
            <w:pPr>
              <w:pBdr>
                <w:left w:val="single" w:sz="18" w:space="4" w:color="auto"/>
              </w:pBdr>
              <w:spacing w:before="40" w:after="40"/>
              <w:jc w:val="both"/>
              <w:rPr>
                <w:rFonts w:cs="Arial"/>
                <w:szCs w:val="22"/>
                <w:lang w:eastAsia="it-IT"/>
              </w:rPr>
            </w:pPr>
            <w:r w:rsidRPr="00C2587D">
              <w:rPr>
                <w:rFonts w:cs="Arial"/>
                <w:szCs w:val="22"/>
              </w:rPr>
              <w:t xml:space="preserve">А.2.3. Підтримка раціонального використання земельних ресурсів та водного фонду для фінансової стабільності громади </w:t>
            </w:r>
          </w:p>
        </w:tc>
      </w:tr>
      <w:tr w:rsidR="00552466" w:rsidRPr="00C2587D" w14:paraId="27DA2882" w14:textId="77777777" w:rsidTr="00D7011A">
        <w:trPr>
          <w:trHeight w:val="1050"/>
          <w:jc w:val="right"/>
        </w:trPr>
        <w:tc>
          <w:tcPr>
            <w:tcW w:w="3425" w:type="dxa"/>
            <w:vAlign w:val="center"/>
          </w:tcPr>
          <w:p w14:paraId="1B1010FF" w14:textId="77777777" w:rsidR="00552466" w:rsidRPr="00C2587D" w:rsidRDefault="00552466" w:rsidP="00D7011A">
            <w:pPr>
              <w:rPr>
                <w:rFonts w:cs="Arial"/>
                <w:b/>
                <w:szCs w:val="22"/>
                <w:lang w:eastAsia="en-US"/>
              </w:rPr>
            </w:pPr>
            <w:r w:rsidRPr="00C2587D">
              <w:rPr>
                <w:rFonts w:cs="Arial"/>
                <w:b/>
                <w:szCs w:val="22"/>
                <w:lang w:eastAsia="en-US"/>
              </w:rPr>
              <w:t>Мета проєкту:</w:t>
            </w:r>
          </w:p>
          <w:p w14:paraId="5268C401" w14:textId="77777777" w:rsidR="00552466" w:rsidRPr="00C2587D" w:rsidRDefault="00552466" w:rsidP="00D7011A">
            <w:pPr>
              <w:rPr>
                <w:rFonts w:cs="Arial"/>
                <w:color w:val="000000"/>
                <w:szCs w:val="22"/>
              </w:rPr>
            </w:pPr>
          </w:p>
        </w:tc>
        <w:tc>
          <w:tcPr>
            <w:tcW w:w="6954" w:type="dxa"/>
            <w:gridSpan w:val="5"/>
          </w:tcPr>
          <w:p w14:paraId="18344224" w14:textId="77777777" w:rsidR="00552466" w:rsidRPr="00C2587D" w:rsidRDefault="00552466" w:rsidP="00D7011A">
            <w:pPr>
              <w:pStyle w:val="ad"/>
              <w:jc w:val="both"/>
              <w:rPr>
                <w:rFonts w:cs="Arial"/>
                <w:szCs w:val="22"/>
              </w:rPr>
            </w:pPr>
            <w:r w:rsidRPr="00C2587D">
              <w:rPr>
                <w:rFonts w:cs="Arial"/>
                <w:szCs w:val="22"/>
              </w:rPr>
              <w:t>Забезпечення ефективного, раціонального та сталого використання водних об'єктів шляхом проведення їх паспортизації, що дозволить здійснювати належний моніторинг, контроль, планування господарської діяльності та підвищити фінансову спроможність громад через легалізацію користування водними ресурсами</w:t>
            </w:r>
          </w:p>
        </w:tc>
      </w:tr>
      <w:tr w:rsidR="00552466" w:rsidRPr="00C2587D" w14:paraId="355053EF" w14:textId="77777777" w:rsidTr="00D7011A">
        <w:trPr>
          <w:jc w:val="right"/>
        </w:trPr>
        <w:tc>
          <w:tcPr>
            <w:tcW w:w="3425" w:type="dxa"/>
            <w:vAlign w:val="center"/>
          </w:tcPr>
          <w:p w14:paraId="7750DD5D" w14:textId="63B2F260" w:rsidR="00552466" w:rsidRPr="00C2587D" w:rsidRDefault="00B7349E" w:rsidP="00D7011A">
            <w:pPr>
              <w:rPr>
                <w:rFonts w:cs="Arial"/>
                <w:b/>
                <w:bCs/>
                <w:color w:val="000000"/>
                <w:szCs w:val="22"/>
              </w:rPr>
            </w:pPr>
            <w:r>
              <w:rPr>
                <w:rFonts w:cs="Arial"/>
                <w:b/>
                <w:bCs/>
                <w:color w:val="000000"/>
                <w:szCs w:val="22"/>
              </w:rPr>
              <w:t>Цілі проє</w:t>
            </w:r>
            <w:r w:rsidR="00552466" w:rsidRPr="00C2587D">
              <w:rPr>
                <w:rFonts w:cs="Arial"/>
                <w:b/>
                <w:bCs/>
                <w:color w:val="000000"/>
                <w:szCs w:val="22"/>
              </w:rPr>
              <w:t>кту:</w:t>
            </w:r>
          </w:p>
        </w:tc>
        <w:tc>
          <w:tcPr>
            <w:tcW w:w="6954" w:type="dxa"/>
            <w:gridSpan w:val="5"/>
          </w:tcPr>
          <w:p w14:paraId="74492654" w14:textId="77777777" w:rsidR="00552466" w:rsidRPr="00C2587D" w:rsidRDefault="00552466" w:rsidP="00D7011A">
            <w:pPr>
              <w:jc w:val="both"/>
              <w:rPr>
                <w:rFonts w:cs="Arial"/>
                <w:szCs w:val="22"/>
                <w:lang w:eastAsia="en-US"/>
              </w:rPr>
            </w:pPr>
            <w:r w:rsidRPr="00C2587D">
              <w:rPr>
                <w:rFonts w:cs="Arial"/>
                <w:szCs w:val="22"/>
              </w:rPr>
              <w:t xml:space="preserve">Здійснення паспортизації водних об'єктів для сталого використання всіх ресурсів, пов'язаних з існуванням таких водойм, а також збільшенню надходжень до місцевих бюджетів            </w:t>
            </w:r>
          </w:p>
        </w:tc>
      </w:tr>
      <w:tr w:rsidR="00552466" w:rsidRPr="00C2587D" w14:paraId="5E972FAA" w14:textId="77777777" w:rsidTr="00D7011A">
        <w:trPr>
          <w:jc w:val="right"/>
        </w:trPr>
        <w:tc>
          <w:tcPr>
            <w:tcW w:w="3425" w:type="dxa"/>
            <w:vAlign w:val="center"/>
          </w:tcPr>
          <w:p w14:paraId="65B0D58F" w14:textId="75521BC8" w:rsidR="00552466" w:rsidRPr="00C2587D" w:rsidRDefault="00B7349E" w:rsidP="00D7011A">
            <w:pPr>
              <w:autoSpaceDE w:val="0"/>
              <w:autoSpaceDN w:val="0"/>
              <w:adjustRightInd w:val="0"/>
              <w:rPr>
                <w:rFonts w:cs="Arial"/>
                <w:b/>
                <w:color w:val="000000"/>
                <w:szCs w:val="22"/>
              </w:rPr>
            </w:pPr>
            <w:r>
              <w:rPr>
                <w:rFonts w:cs="Arial"/>
                <w:b/>
                <w:color w:val="000000"/>
                <w:szCs w:val="22"/>
              </w:rPr>
              <w:t>Територія на яку проє</w:t>
            </w:r>
            <w:r w:rsidR="00552466" w:rsidRPr="00C2587D">
              <w:rPr>
                <w:rFonts w:cs="Arial"/>
                <w:b/>
                <w:color w:val="000000"/>
                <w:szCs w:val="22"/>
              </w:rPr>
              <w:t>кт матиме вплив:</w:t>
            </w:r>
          </w:p>
        </w:tc>
        <w:tc>
          <w:tcPr>
            <w:tcW w:w="6954" w:type="dxa"/>
            <w:gridSpan w:val="5"/>
          </w:tcPr>
          <w:p w14:paraId="4BFDB1B4" w14:textId="77777777" w:rsidR="00552466" w:rsidRPr="00C2587D" w:rsidRDefault="00552466" w:rsidP="00D7011A">
            <w:pPr>
              <w:spacing w:before="40" w:after="40"/>
              <w:rPr>
                <w:rFonts w:cs="Arial"/>
                <w:szCs w:val="22"/>
                <w:lang w:eastAsia="it-IT"/>
              </w:rPr>
            </w:pPr>
            <w:r w:rsidRPr="00C2587D">
              <w:rPr>
                <w:rFonts w:cs="Arial"/>
                <w:szCs w:val="22"/>
                <w:lang w:eastAsia="it-IT"/>
              </w:rPr>
              <w:t>Жмеринська МТГ</w:t>
            </w:r>
          </w:p>
        </w:tc>
      </w:tr>
      <w:tr w:rsidR="00552466" w:rsidRPr="00C2587D" w14:paraId="3C587E86" w14:textId="77777777" w:rsidTr="00D7011A">
        <w:trPr>
          <w:jc w:val="right"/>
        </w:trPr>
        <w:tc>
          <w:tcPr>
            <w:tcW w:w="3425" w:type="dxa"/>
            <w:vAlign w:val="center"/>
          </w:tcPr>
          <w:p w14:paraId="690C6E76" w14:textId="77777777" w:rsidR="00552466" w:rsidRPr="00C2587D" w:rsidRDefault="00552466" w:rsidP="00D7011A">
            <w:pPr>
              <w:autoSpaceDE w:val="0"/>
              <w:autoSpaceDN w:val="0"/>
              <w:adjustRightInd w:val="0"/>
              <w:rPr>
                <w:rFonts w:cs="Arial"/>
                <w:b/>
                <w:color w:val="000000"/>
                <w:szCs w:val="22"/>
              </w:rPr>
            </w:pPr>
            <w:r w:rsidRPr="00C2587D">
              <w:rPr>
                <w:rFonts w:cs="Arial"/>
                <w:b/>
                <w:color w:val="000000"/>
                <w:szCs w:val="22"/>
              </w:rPr>
              <w:t>Цільові групи проєкту та  кількість отримувачів вигоди</w:t>
            </w:r>
          </w:p>
        </w:tc>
        <w:tc>
          <w:tcPr>
            <w:tcW w:w="6954" w:type="dxa"/>
            <w:gridSpan w:val="5"/>
          </w:tcPr>
          <w:p w14:paraId="1CF69FAD" w14:textId="77777777" w:rsidR="00552466" w:rsidRPr="00C2587D" w:rsidRDefault="00552466" w:rsidP="00D7011A">
            <w:pPr>
              <w:spacing w:before="40" w:after="40"/>
              <w:rPr>
                <w:rFonts w:cs="Arial"/>
                <w:szCs w:val="22"/>
                <w:lang w:eastAsia="it-IT"/>
              </w:rPr>
            </w:pPr>
            <w:r w:rsidRPr="00C2587D">
              <w:rPr>
                <w:rFonts w:cs="Arial"/>
                <w:szCs w:val="22"/>
                <w:lang w:eastAsia="it-IT"/>
              </w:rPr>
              <w:t>49 474  жителів громади</w:t>
            </w:r>
          </w:p>
        </w:tc>
      </w:tr>
      <w:tr w:rsidR="00552466" w:rsidRPr="00C2587D" w14:paraId="001EBDD4" w14:textId="77777777" w:rsidTr="00D7011A">
        <w:trPr>
          <w:jc w:val="right"/>
        </w:trPr>
        <w:tc>
          <w:tcPr>
            <w:tcW w:w="3425" w:type="dxa"/>
            <w:shd w:val="clear" w:color="auto" w:fill="FFFFFF"/>
            <w:vAlign w:val="center"/>
          </w:tcPr>
          <w:p w14:paraId="29FAA9E1" w14:textId="39EC2116" w:rsidR="00552466" w:rsidRPr="00C2587D" w:rsidRDefault="00B7349E" w:rsidP="00D7011A">
            <w:pPr>
              <w:rPr>
                <w:rFonts w:cs="Arial"/>
                <w:b/>
                <w:bCs/>
                <w:color w:val="000000"/>
                <w:szCs w:val="22"/>
              </w:rPr>
            </w:pPr>
            <w:r>
              <w:rPr>
                <w:rFonts w:cs="Arial"/>
                <w:b/>
                <w:bCs/>
                <w:color w:val="000000"/>
                <w:szCs w:val="22"/>
              </w:rPr>
              <w:t>Стислий опис проє</w:t>
            </w:r>
            <w:r w:rsidR="00552466" w:rsidRPr="00C2587D">
              <w:rPr>
                <w:rFonts w:cs="Arial"/>
                <w:b/>
                <w:bCs/>
                <w:color w:val="000000"/>
                <w:szCs w:val="22"/>
              </w:rPr>
              <w:t>кту:</w:t>
            </w:r>
          </w:p>
        </w:tc>
        <w:tc>
          <w:tcPr>
            <w:tcW w:w="6954" w:type="dxa"/>
            <w:gridSpan w:val="5"/>
          </w:tcPr>
          <w:p w14:paraId="1053F65B" w14:textId="77777777" w:rsidR="00552466" w:rsidRPr="00C2587D" w:rsidRDefault="00552466" w:rsidP="00D7011A">
            <w:pPr>
              <w:pStyle w:val="ad"/>
              <w:jc w:val="both"/>
              <w:rPr>
                <w:rFonts w:cs="Arial"/>
                <w:szCs w:val="22"/>
              </w:rPr>
            </w:pPr>
            <w:r w:rsidRPr="00C2587D">
              <w:rPr>
                <w:rFonts w:cs="Arial"/>
                <w:szCs w:val="22"/>
              </w:rPr>
              <w:t>Створити базу даних усіх водних об'єктів, підвищити прозорість у сфері користування водними ресурсами, збільшити надходження до місцевих бюджетів через легалізацію орендних відносин</w:t>
            </w:r>
          </w:p>
        </w:tc>
      </w:tr>
      <w:tr w:rsidR="00552466" w:rsidRPr="00C2587D" w14:paraId="25B3B1CF" w14:textId="77777777" w:rsidTr="00D7011A">
        <w:trPr>
          <w:trHeight w:val="56"/>
          <w:jc w:val="right"/>
        </w:trPr>
        <w:tc>
          <w:tcPr>
            <w:tcW w:w="3425" w:type="dxa"/>
            <w:shd w:val="clear" w:color="auto" w:fill="FFFFFF"/>
            <w:vAlign w:val="center"/>
          </w:tcPr>
          <w:p w14:paraId="36652D68" w14:textId="77777777" w:rsidR="00552466" w:rsidRPr="00C2587D" w:rsidRDefault="00552466" w:rsidP="00D7011A">
            <w:pPr>
              <w:rPr>
                <w:rFonts w:cs="Arial"/>
                <w:b/>
                <w:bCs/>
                <w:color w:val="000000"/>
                <w:szCs w:val="22"/>
              </w:rPr>
            </w:pPr>
            <w:r w:rsidRPr="00C2587D">
              <w:rPr>
                <w:rFonts w:cs="Arial"/>
                <w:b/>
                <w:bCs/>
                <w:color w:val="000000"/>
                <w:szCs w:val="22"/>
              </w:rPr>
              <w:t>Основні заходи проєкту:</w:t>
            </w:r>
          </w:p>
        </w:tc>
        <w:tc>
          <w:tcPr>
            <w:tcW w:w="6954" w:type="dxa"/>
            <w:gridSpan w:val="5"/>
            <w:shd w:val="clear" w:color="auto" w:fill="FFFFFF"/>
          </w:tcPr>
          <w:p w14:paraId="628BBBE2" w14:textId="77777777" w:rsidR="00552466" w:rsidRPr="00C2587D" w:rsidRDefault="00552466" w:rsidP="00D7011A">
            <w:pPr>
              <w:spacing w:before="40" w:after="40"/>
              <w:jc w:val="both"/>
              <w:rPr>
                <w:rFonts w:cs="Arial"/>
                <w:szCs w:val="22"/>
              </w:rPr>
            </w:pPr>
            <w:r w:rsidRPr="00C2587D">
              <w:rPr>
                <w:rFonts w:cs="Arial"/>
                <w:szCs w:val="22"/>
                <w:lang w:eastAsia="it-IT"/>
              </w:rPr>
              <w:t>З</w:t>
            </w:r>
            <w:r w:rsidRPr="00C2587D">
              <w:rPr>
                <w:rFonts w:cs="Arial"/>
                <w:szCs w:val="22"/>
              </w:rPr>
              <w:t>амовлення паспортів водних об'єктів</w:t>
            </w:r>
          </w:p>
        </w:tc>
      </w:tr>
      <w:tr w:rsidR="00552466" w:rsidRPr="00C2587D" w14:paraId="2FF833DC" w14:textId="77777777" w:rsidTr="00D7011A">
        <w:trPr>
          <w:jc w:val="right"/>
        </w:trPr>
        <w:tc>
          <w:tcPr>
            <w:tcW w:w="3425" w:type="dxa"/>
            <w:shd w:val="clear" w:color="auto" w:fill="FFFFFF"/>
            <w:vAlign w:val="center"/>
          </w:tcPr>
          <w:p w14:paraId="79B90A78" w14:textId="77777777" w:rsidR="00552466" w:rsidRPr="00C2587D" w:rsidRDefault="00552466" w:rsidP="00D7011A">
            <w:pPr>
              <w:rPr>
                <w:rFonts w:cs="Arial"/>
                <w:b/>
                <w:bCs/>
                <w:color w:val="000000"/>
                <w:szCs w:val="22"/>
              </w:rPr>
            </w:pPr>
            <w:r w:rsidRPr="00C2587D">
              <w:rPr>
                <w:rFonts w:cs="Arial"/>
                <w:b/>
                <w:bCs/>
                <w:color w:val="000000"/>
                <w:szCs w:val="22"/>
              </w:rPr>
              <w:t>Індикатори (показники) результативності:</w:t>
            </w:r>
          </w:p>
        </w:tc>
        <w:tc>
          <w:tcPr>
            <w:tcW w:w="6954" w:type="dxa"/>
            <w:gridSpan w:val="5"/>
            <w:shd w:val="clear" w:color="auto" w:fill="FFFFFF"/>
          </w:tcPr>
          <w:p w14:paraId="4AD3873E" w14:textId="77777777" w:rsidR="00552466" w:rsidRPr="00C2587D" w:rsidRDefault="00552466" w:rsidP="00D7011A">
            <w:pPr>
              <w:spacing w:before="40" w:after="40"/>
              <w:jc w:val="both"/>
              <w:rPr>
                <w:rFonts w:cs="Arial"/>
                <w:szCs w:val="22"/>
              </w:rPr>
            </w:pPr>
            <w:r w:rsidRPr="00C2587D">
              <w:rPr>
                <w:rFonts w:cs="Arial"/>
                <w:szCs w:val="22"/>
              </w:rPr>
              <w:t>Виготовлення 10 паспортів водного об'єкту, які надають  водному об’єкту правовий статус і є необхідним для передачі його в оренду, укладення договорів на водокористування та внесення до державного земельного кадастру</w:t>
            </w:r>
          </w:p>
        </w:tc>
      </w:tr>
      <w:tr w:rsidR="00552466" w:rsidRPr="00C2587D" w14:paraId="56909C95" w14:textId="77777777" w:rsidTr="00D7011A">
        <w:trPr>
          <w:jc w:val="right"/>
        </w:trPr>
        <w:tc>
          <w:tcPr>
            <w:tcW w:w="3425" w:type="dxa"/>
            <w:shd w:val="clear" w:color="auto" w:fill="FFFFFF"/>
            <w:vAlign w:val="center"/>
          </w:tcPr>
          <w:p w14:paraId="5FEA4CB2" w14:textId="77777777" w:rsidR="00552466" w:rsidRPr="00C2587D" w:rsidRDefault="00552466" w:rsidP="00D7011A">
            <w:pPr>
              <w:rPr>
                <w:rFonts w:cs="Arial"/>
                <w:b/>
                <w:color w:val="000000"/>
                <w:szCs w:val="22"/>
              </w:rPr>
            </w:pPr>
            <w:r w:rsidRPr="00C2587D">
              <w:rPr>
                <w:rFonts w:cs="Arial"/>
                <w:b/>
                <w:color w:val="000000"/>
                <w:szCs w:val="22"/>
              </w:rPr>
              <w:t xml:space="preserve">Період здійснення: </w:t>
            </w:r>
          </w:p>
        </w:tc>
        <w:tc>
          <w:tcPr>
            <w:tcW w:w="6954" w:type="dxa"/>
            <w:gridSpan w:val="5"/>
            <w:vAlign w:val="center"/>
          </w:tcPr>
          <w:p w14:paraId="3A8D3755" w14:textId="77777777" w:rsidR="00552466" w:rsidRPr="00C2587D" w:rsidRDefault="00552466" w:rsidP="00D7011A">
            <w:pPr>
              <w:rPr>
                <w:rFonts w:cs="Arial"/>
                <w:color w:val="000000"/>
                <w:szCs w:val="22"/>
                <w:lang w:eastAsia="it-IT"/>
              </w:rPr>
            </w:pPr>
            <w:r w:rsidRPr="00C2587D">
              <w:rPr>
                <w:rFonts w:cs="Arial"/>
                <w:b/>
                <w:color w:val="000000"/>
                <w:szCs w:val="22"/>
              </w:rPr>
              <w:t>2025 – 2028 роки:</w:t>
            </w:r>
          </w:p>
        </w:tc>
      </w:tr>
      <w:tr w:rsidR="00552466" w:rsidRPr="00C2587D" w14:paraId="68A4DB7F" w14:textId="77777777" w:rsidTr="00D7011A">
        <w:trPr>
          <w:jc w:val="right"/>
        </w:trPr>
        <w:tc>
          <w:tcPr>
            <w:tcW w:w="3425" w:type="dxa"/>
            <w:vMerge w:val="restart"/>
            <w:shd w:val="clear" w:color="auto" w:fill="FFFFFF"/>
            <w:vAlign w:val="center"/>
          </w:tcPr>
          <w:p w14:paraId="04D3DEC4" w14:textId="77777777" w:rsidR="00552466" w:rsidRPr="00C2587D" w:rsidRDefault="00552466" w:rsidP="00D7011A">
            <w:pPr>
              <w:rPr>
                <w:rFonts w:cs="Arial"/>
                <w:b/>
                <w:bCs/>
                <w:color w:val="000000"/>
                <w:szCs w:val="22"/>
              </w:rPr>
            </w:pPr>
            <w:r w:rsidRPr="00C2587D">
              <w:rPr>
                <w:rFonts w:cs="Arial"/>
                <w:b/>
                <w:bCs/>
                <w:color w:val="000000"/>
                <w:szCs w:val="22"/>
              </w:rPr>
              <w:t>Орієнтовна вартість проєкту, тис. грн., в тому числі:</w:t>
            </w:r>
          </w:p>
        </w:tc>
        <w:tc>
          <w:tcPr>
            <w:tcW w:w="1254" w:type="dxa"/>
            <w:shd w:val="clear" w:color="auto" w:fill="E6E6E6"/>
            <w:vAlign w:val="center"/>
          </w:tcPr>
          <w:p w14:paraId="4F15C87D" w14:textId="77777777" w:rsidR="00552466" w:rsidRPr="00C2587D" w:rsidRDefault="00552466" w:rsidP="00D7011A">
            <w:pPr>
              <w:jc w:val="center"/>
              <w:rPr>
                <w:rFonts w:cs="Arial"/>
                <w:b/>
                <w:color w:val="000000"/>
                <w:szCs w:val="22"/>
                <w:lang w:eastAsia="it-IT"/>
              </w:rPr>
            </w:pPr>
            <w:r w:rsidRPr="00C2587D">
              <w:rPr>
                <w:rFonts w:cs="Arial"/>
                <w:b/>
                <w:color w:val="000000"/>
                <w:szCs w:val="22"/>
                <w:lang w:eastAsia="it-IT"/>
              </w:rPr>
              <w:t>2025</w:t>
            </w:r>
          </w:p>
        </w:tc>
        <w:tc>
          <w:tcPr>
            <w:tcW w:w="1417" w:type="dxa"/>
            <w:shd w:val="clear" w:color="auto" w:fill="E6E6E6"/>
            <w:vAlign w:val="center"/>
          </w:tcPr>
          <w:p w14:paraId="11B94199" w14:textId="77777777" w:rsidR="00552466" w:rsidRPr="00C2587D" w:rsidRDefault="00552466" w:rsidP="00D7011A">
            <w:pPr>
              <w:jc w:val="center"/>
              <w:rPr>
                <w:rFonts w:cs="Arial"/>
                <w:b/>
                <w:color w:val="000000"/>
                <w:szCs w:val="22"/>
                <w:lang w:eastAsia="it-IT"/>
              </w:rPr>
            </w:pPr>
            <w:r w:rsidRPr="00C2587D">
              <w:rPr>
                <w:rFonts w:cs="Arial"/>
                <w:b/>
                <w:color w:val="000000"/>
                <w:szCs w:val="22"/>
                <w:lang w:eastAsia="it-IT"/>
              </w:rPr>
              <w:t>2026</w:t>
            </w:r>
          </w:p>
        </w:tc>
        <w:tc>
          <w:tcPr>
            <w:tcW w:w="1418" w:type="dxa"/>
            <w:tcBorders>
              <w:bottom w:val="single" w:sz="4" w:space="0" w:color="auto"/>
            </w:tcBorders>
            <w:shd w:val="clear" w:color="auto" w:fill="E6E6E6"/>
            <w:vAlign w:val="center"/>
          </w:tcPr>
          <w:p w14:paraId="0B164A6D" w14:textId="77777777" w:rsidR="00552466" w:rsidRPr="00C2587D" w:rsidRDefault="00552466" w:rsidP="00D7011A">
            <w:pPr>
              <w:jc w:val="center"/>
              <w:rPr>
                <w:rFonts w:cs="Arial"/>
                <w:b/>
                <w:color w:val="000000"/>
                <w:szCs w:val="22"/>
                <w:lang w:eastAsia="it-IT"/>
              </w:rPr>
            </w:pPr>
            <w:r w:rsidRPr="00C2587D">
              <w:rPr>
                <w:rFonts w:cs="Arial"/>
                <w:b/>
                <w:color w:val="000000"/>
                <w:szCs w:val="22"/>
                <w:lang w:eastAsia="it-IT"/>
              </w:rPr>
              <w:t>2027</w:t>
            </w:r>
          </w:p>
        </w:tc>
        <w:tc>
          <w:tcPr>
            <w:tcW w:w="1275" w:type="dxa"/>
            <w:shd w:val="clear" w:color="auto" w:fill="E6E6E6"/>
            <w:vAlign w:val="center"/>
          </w:tcPr>
          <w:p w14:paraId="7131E1C8" w14:textId="77777777" w:rsidR="00552466" w:rsidRPr="00C2587D" w:rsidRDefault="00552466" w:rsidP="00D7011A">
            <w:pPr>
              <w:jc w:val="center"/>
              <w:rPr>
                <w:rFonts w:cs="Arial"/>
                <w:b/>
                <w:color w:val="000000"/>
                <w:szCs w:val="22"/>
                <w:lang w:eastAsia="it-IT"/>
              </w:rPr>
            </w:pPr>
            <w:r w:rsidRPr="00C2587D">
              <w:rPr>
                <w:rFonts w:cs="Arial"/>
                <w:b/>
                <w:color w:val="000000"/>
                <w:szCs w:val="22"/>
                <w:lang w:eastAsia="it-IT"/>
              </w:rPr>
              <w:t>2028</w:t>
            </w:r>
          </w:p>
        </w:tc>
        <w:tc>
          <w:tcPr>
            <w:tcW w:w="1590" w:type="dxa"/>
            <w:shd w:val="clear" w:color="auto" w:fill="E6E6E6"/>
            <w:vAlign w:val="center"/>
          </w:tcPr>
          <w:p w14:paraId="21AF999D" w14:textId="77777777" w:rsidR="00552466" w:rsidRPr="00C2587D" w:rsidRDefault="00552466" w:rsidP="00D7011A">
            <w:pPr>
              <w:jc w:val="center"/>
              <w:rPr>
                <w:rFonts w:cs="Arial"/>
                <w:b/>
                <w:color w:val="000000"/>
                <w:szCs w:val="22"/>
                <w:lang w:eastAsia="it-IT"/>
              </w:rPr>
            </w:pPr>
            <w:r w:rsidRPr="00C2587D">
              <w:rPr>
                <w:rFonts w:cs="Arial"/>
                <w:b/>
                <w:color w:val="000000"/>
                <w:szCs w:val="22"/>
                <w:lang w:eastAsia="it-IT"/>
              </w:rPr>
              <w:t>РАЗОМ</w:t>
            </w:r>
          </w:p>
        </w:tc>
      </w:tr>
      <w:tr w:rsidR="00552466" w:rsidRPr="00C2587D" w14:paraId="71D07396" w14:textId="77777777" w:rsidTr="00D7011A">
        <w:trPr>
          <w:trHeight w:val="645"/>
          <w:jc w:val="right"/>
        </w:trPr>
        <w:tc>
          <w:tcPr>
            <w:tcW w:w="3425" w:type="dxa"/>
            <w:vMerge/>
            <w:shd w:val="clear" w:color="auto" w:fill="FFFFFF"/>
            <w:vAlign w:val="center"/>
          </w:tcPr>
          <w:p w14:paraId="17859193" w14:textId="77777777" w:rsidR="00552466" w:rsidRPr="00C2587D" w:rsidRDefault="00552466" w:rsidP="00D7011A">
            <w:pPr>
              <w:rPr>
                <w:rFonts w:cs="Arial"/>
                <w:b/>
                <w:bCs/>
                <w:color w:val="000000"/>
                <w:szCs w:val="22"/>
              </w:rPr>
            </w:pPr>
          </w:p>
        </w:tc>
        <w:tc>
          <w:tcPr>
            <w:tcW w:w="1254" w:type="dxa"/>
            <w:vAlign w:val="center"/>
          </w:tcPr>
          <w:p w14:paraId="7A2E603B" w14:textId="77777777" w:rsidR="00552466" w:rsidRPr="00C2587D" w:rsidRDefault="00552466" w:rsidP="00D7011A">
            <w:pPr>
              <w:jc w:val="center"/>
              <w:rPr>
                <w:rFonts w:cs="Arial"/>
                <w:szCs w:val="22"/>
                <w:lang w:eastAsia="it-IT"/>
              </w:rPr>
            </w:pPr>
            <w:r w:rsidRPr="00C2587D">
              <w:rPr>
                <w:rFonts w:cs="Arial"/>
                <w:szCs w:val="22"/>
                <w:lang w:eastAsia="it-IT"/>
              </w:rPr>
              <w:t>150,00</w:t>
            </w:r>
          </w:p>
        </w:tc>
        <w:tc>
          <w:tcPr>
            <w:tcW w:w="1417" w:type="dxa"/>
            <w:shd w:val="clear" w:color="auto" w:fill="FFFFFF"/>
            <w:vAlign w:val="center"/>
          </w:tcPr>
          <w:p w14:paraId="602EC19A" w14:textId="77777777" w:rsidR="00552466" w:rsidRPr="00C2587D" w:rsidRDefault="00552466" w:rsidP="00D7011A">
            <w:pPr>
              <w:jc w:val="center"/>
              <w:rPr>
                <w:rFonts w:cs="Arial"/>
                <w:szCs w:val="22"/>
                <w:lang w:eastAsia="it-IT"/>
              </w:rPr>
            </w:pPr>
            <w:r w:rsidRPr="00C2587D">
              <w:rPr>
                <w:rFonts w:cs="Arial"/>
                <w:szCs w:val="22"/>
                <w:lang w:eastAsia="it-IT"/>
              </w:rPr>
              <w:t>150,00</w:t>
            </w:r>
          </w:p>
        </w:tc>
        <w:tc>
          <w:tcPr>
            <w:tcW w:w="1418" w:type="dxa"/>
            <w:shd w:val="clear" w:color="auto" w:fill="auto"/>
            <w:vAlign w:val="center"/>
          </w:tcPr>
          <w:p w14:paraId="7CC608AF" w14:textId="77777777" w:rsidR="00552466" w:rsidRPr="00C2587D" w:rsidRDefault="00552466" w:rsidP="00D7011A">
            <w:pPr>
              <w:jc w:val="center"/>
              <w:rPr>
                <w:rFonts w:cs="Arial"/>
                <w:szCs w:val="22"/>
                <w:lang w:eastAsia="it-IT"/>
              </w:rPr>
            </w:pPr>
            <w:r w:rsidRPr="00C2587D">
              <w:rPr>
                <w:rFonts w:cs="Arial"/>
                <w:szCs w:val="22"/>
                <w:lang w:eastAsia="it-IT"/>
              </w:rPr>
              <w:t>50,00</w:t>
            </w:r>
          </w:p>
        </w:tc>
        <w:tc>
          <w:tcPr>
            <w:tcW w:w="1275" w:type="dxa"/>
            <w:shd w:val="clear" w:color="auto" w:fill="FFFFFF"/>
            <w:vAlign w:val="center"/>
          </w:tcPr>
          <w:p w14:paraId="54481650" w14:textId="77777777" w:rsidR="00552466" w:rsidRPr="00C2587D" w:rsidRDefault="00552466" w:rsidP="00D7011A">
            <w:pPr>
              <w:jc w:val="center"/>
              <w:rPr>
                <w:rFonts w:cs="Arial"/>
                <w:szCs w:val="22"/>
                <w:lang w:eastAsia="it-IT"/>
              </w:rPr>
            </w:pPr>
            <w:r w:rsidRPr="00C2587D">
              <w:rPr>
                <w:rFonts w:cs="Arial"/>
                <w:szCs w:val="22"/>
                <w:lang w:eastAsia="it-IT"/>
              </w:rPr>
              <w:t>50,00</w:t>
            </w:r>
          </w:p>
        </w:tc>
        <w:tc>
          <w:tcPr>
            <w:tcW w:w="1590" w:type="dxa"/>
            <w:shd w:val="clear" w:color="auto" w:fill="FFFFFF"/>
            <w:vAlign w:val="center"/>
          </w:tcPr>
          <w:p w14:paraId="6C8CD4E6" w14:textId="77777777" w:rsidR="00552466" w:rsidRPr="00C2587D" w:rsidRDefault="00552466" w:rsidP="00D7011A">
            <w:pPr>
              <w:jc w:val="center"/>
              <w:rPr>
                <w:rFonts w:cs="Arial"/>
                <w:szCs w:val="22"/>
                <w:lang w:eastAsia="it-IT"/>
              </w:rPr>
            </w:pPr>
            <w:r w:rsidRPr="00C2587D">
              <w:rPr>
                <w:rFonts w:cs="Arial"/>
                <w:szCs w:val="22"/>
                <w:lang w:eastAsia="it-IT"/>
              </w:rPr>
              <w:t>400,00</w:t>
            </w:r>
          </w:p>
        </w:tc>
      </w:tr>
      <w:tr w:rsidR="00552466" w:rsidRPr="00C2587D" w14:paraId="3064BECF" w14:textId="77777777" w:rsidTr="00D7011A">
        <w:trPr>
          <w:trHeight w:val="276"/>
          <w:jc w:val="right"/>
        </w:trPr>
        <w:tc>
          <w:tcPr>
            <w:tcW w:w="3425" w:type="dxa"/>
            <w:shd w:val="clear" w:color="auto" w:fill="FFFFFF"/>
            <w:vAlign w:val="center"/>
          </w:tcPr>
          <w:p w14:paraId="64EF4165" w14:textId="77777777" w:rsidR="00552466" w:rsidRPr="00C2587D" w:rsidRDefault="00552466" w:rsidP="00D7011A">
            <w:pPr>
              <w:rPr>
                <w:rFonts w:cs="Arial"/>
                <w:b/>
                <w:bCs/>
                <w:color w:val="000000"/>
                <w:szCs w:val="22"/>
              </w:rPr>
            </w:pPr>
            <w:r w:rsidRPr="00C2587D">
              <w:rPr>
                <w:rFonts w:cs="Arial"/>
                <w:b/>
                <w:bCs/>
                <w:color w:val="000000"/>
                <w:szCs w:val="22"/>
              </w:rPr>
              <w:t>по джерелах фінансування:</w:t>
            </w:r>
          </w:p>
        </w:tc>
        <w:tc>
          <w:tcPr>
            <w:tcW w:w="1254" w:type="dxa"/>
            <w:vAlign w:val="center"/>
          </w:tcPr>
          <w:p w14:paraId="49AC9BEE" w14:textId="77777777" w:rsidR="00552466" w:rsidRPr="00C2587D" w:rsidRDefault="00552466" w:rsidP="00D7011A">
            <w:pPr>
              <w:jc w:val="center"/>
              <w:rPr>
                <w:rFonts w:cs="Arial"/>
                <w:szCs w:val="22"/>
                <w:lang w:eastAsia="it-IT"/>
              </w:rPr>
            </w:pPr>
          </w:p>
        </w:tc>
        <w:tc>
          <w:tcPr>
            <w:tcW w:w="1417" w:type="dxa"/>
            <w:shd w:val="clear" w:color="auto" w:fill="FFFFFF"/>
            <w:vAlign w:val="center"/>
          </w:tcPr>
          <w:p w14:paraId="7DE6C3F0" w14:textId="77777777" w:rsidR="00552466" w:rsidRPr="00C2587D" w:rsidRDefault="00552466" w:rsidP="00D7011A">
            <w:pPr>
              <w:jc w:val="center"/>
              <w:rPr>
                <w:rFonts w:cs="Arial"/>
                <w:szCs w:val="22"/>
                <w:lang w:eastAsia="it-IT"/>
              </w:rPr>
            </w:pPr>
          </w:p>
        </w:tc>
        <w:tc>
          <w:tcPr>
            <w:tcW w:w="1418" w:type="dxa"/>
            <w:shd w:val="clear" w:color="auto" w:fill="auto"/>
            <w:vAlign w:val="center"/>
          </w:tcPr>
          <w:p w14:paraId="18F7BD29" w14:textId="77777777" w:rsidR="00552466" w:rsidRPr="00C2587D" w:rsidRDefault="00552466" w:rsidP="00D7011A">
            <w:pPr>
              <w:jc w:val="center"/>
              <w:rPr>
                <w:rFonts w:cs="Arial"/>
                <w:szCs w:val="22"/>
                <w:lang w:eastAsia="it-IT"/>
              </w:rPr>
            </w:pPr>
          </w:p>
        </w:tc>
        <w:tc>
          <w:tcPr>
            <w:tcW w:w="1275" w:type="dxa"/>
            <w:shd w:val="clear" w:color="auto" w:fill="FFFFFF"/>
            <w:vAlign w:val="center"/>
          </w:tcPr>
          <w:p w14:paraId="732081D1" w14:textId="77777777" w:rsidR="00552466" w:rsidRPr="00C2587D" w:rsidRDefault="00552466" w:rsidP="00D7011A">
            <w:pPr>
              <w:jc w:val="center"/>
              <w:rPr>
                <w:rFonts w:cs="Arial"/>
                <w:szCs w:val="22"/>
                <w:lang w:eastAsia="it-IT"/>
              </w:rPr>
            </w:pPr>
          </w:p>
        </w:tc>
        <w:tc>
          <w:tcPr>
            <w:tcW w:w="1590" w:type="dxa"/>
            <w:shd w:val="clear" w:color="auto" w:fill="FFFFFF"/>
            <w:vAlign w:val="center"/>
          </w:tcPr>
          <w:p w14:paraId="41212A68" w14:textId="77777777" w:rsidR="00552466" w:rsidRPr="00C2587D" w:rsidRDefault="00552466" w:rsidP="00D7011A">
            <w:pPr>
              <w:jc w:val="center"/>
              <w:rPr>
                <w:rFonts w:cs="Arial"/>
                <w:szCs w:val="22"/>
                <w:lang w:eastAsia="it-IT"/>
              </w:rPr>
            </w:pPr>
          </w:p>
        </w:tc>
      </w:tr>
      <w:tr w:rsidR="00552466" w:rsidRPr="00C2587D" w14:paraId="4649B2FD" w14:textId="77777777" w:rsidTr="00D7011A">
        <w:trPr>
          <w:trHeight w:val="230"/>
          <w:jc w:val="right"/>
        </w:trPr>
        <w:tc>
          <w:tcPr>
            <w:tcW w:w="3425" w:type="dxa"/>
            <w:shd w:val="clear" w:color="auto" w:fill="FFFFFF"/>
            <w:vAlign w:val="center"/>
          </w:tcPr>
          <w:p w14:paraId="23F8DBAD" w14:textId="77777777" w:rsidR="00552466" w:rsidRPr="00C2587D" w:rsidRDefault="00552466" w:rsidP="00D7011A">
            <w:pPr>
              <w:rPr>
                <w:rFonts w:cs="Arial"/>
                <w:bCs/>
                <w:color w:val="000000"/>
                <w:szCs w:val="22"/>
              </w:rPr>
            </w:pPr>
            <w:r w:rsidRPr="00C2587D">
              <w:rPr>
                <w:rFonts w:cs="Arial"/>
                <w:bCs/>
                <w:color w:val="000000"/>
                <w:szCs w:val="22"/>
              </w:rPr>
              <w:t>-державний бюджет</w:t>
            </w:r>
          </w:p>
        </w:tc>
        <w:tc>
          <w:tcPr>
            <w:tcW w:w="1254" w:type="dxa"/>
            <w:vAlign w:val="center"/>
          </w:tcPr>
          <w:p w14:paraId="1D103279" w14:textId="77777777" w:rsidR="00552466" w:rsidRPr="00C2587D" w:rsidRDefault="00552466" w:rsidP="00D7011A">
            <w:pPr>
              <w:jc w:val="center"/>
              <w:rPr>
                <w:rFonts w:cs="Arial"/>
                <w:szCs w:val="22"/>
                <w:lang w:eastAsia="it-IT"/>
              </w:rPr>
            </w:pPr>
          </w:p>
        </w:tc>
        <w:tc>
          <w:tcPr>
            <w:tcW w:w="1417" w:type="dxa"/>
            <w:shd w:val="clear" w:color="auto" w:fill="FFFFFF"/>
            <w:vAlign w:val="center"/>
          </w:tcPr>
          <w:p w14:paraId="116D0F65" w14:textId="77777777" w:rsidR="00552466" w:rsidRPr="00C2587D" w:rsidRDefault="00552466" w:rsidP="00D7011A">
            <w:pPr>
              <w:jc w:val="center"/>
              <w:rPr>
                <w:rFonts w:cs="Arial"/>
                <w:szCs w:val="22"/>
                <w:lang w:eastAsia="it-IT"/>
              </w:rPr>
            </w:pPr>
          </w:p>
        </w:tc>
        <w:tc>
          <w:tcPr>
            <w:tcW w:w="1418" w:type="dxa"/>
            <w:shd w:val="clear" w:color="auto" w:fill="auto"/>
            <w:vAlign w:val="center"/>
          </w:tcPr>
          <w:p w14:paraId="1FF45B74" w14:textId="77777777" w:rsidR="00552466" w:rsidRPr="00C2587D" w:rsidRDefault="00552466" w:rsidP="00D7011A">
            <w:pPr>
              <w:jc w:val="center"/>
              <w:rPr>
                <w:rFonts w:cs="Arial"/>
                <w:szCs w:val="22"/>
                <w:lang w:eastAsia="it-IT"/>
              </w:rPr>
            </w:pPr>
          </w:p>
        </w:tc>
        <w:tc>
          <w:tcPr>
            <w:tcW w:w="1275" w:type="dxa"/>
            <w:shd w:val="clear" w:color="auto" w:fill="FFFFFF"/>
            <w:vAlign w:val="center"/>
          </w:tcPr>
          <w:p w14:paraId="7C6528BC" w14:textId="77777777" w:rsidR="00552466" w:rsidRPr="00C2587D" w:rsidRDefault="00552466" w:rsidP="00D7011A">
            <w:pPr>
              <w:jc w:val="center"/>
              <w:rPr>
                <w:rFonts w:cs="Arial"/>
                <w:szCs w:val="22"/>
                <w:lang w:eastAsia="it-IT"/>
              </w:rPr>
            </w:pPr>
          </w:p>
        </w:tc>
        <w:tc>
          <w:tcPr>
            <w:tcW w:w="1590" w:type="dxa"/>
            <w:shd w:val="clear" w:color="auto" w:fill="FFFFFF"/>
            <w:vAlign w:val="center"/>
          </w:tcPr>
          <w:p w14:paraId="4FD8ABF5" w14:textId="77777777" w:rsidR="00552466" w:rsidRPr="00C2587D" w:rsidRDefault="00552466" w:rsidP="00D7011A">
            <w:pPr>
              <w:jc w:val="center"/>
              <w:rPr>
                <w:rFonts w:cs="Arial"/>
                <w:szCs w:val="22"/>
                <w:lang w:eastAsia="it-IT"/>
              </w:rPr>
            </w:pPr>
          </w:p>
        </w:tc>
      </w:tr>
      <w:tr w:rsidR="00552466" w:rsidRPr="00C2587D" w14:paraId="366A414D" w14:textId="77777777" w:rsidTr="00D7011A">
        <w:trPr>
          <w:trHeight w:val="253"/>
          <w:jc w:val="right"/>
        </w:trPr>
        <w:tc>
          <w:tcPr>
            <w:tcW w:w="3425" w:type="dxa"/>
            <w:shd w:val="clear" w:color="auto" w:fill="FFFFFF"/>
            <w:vAlign w:val="center"/>
          </w:tcPr>
          <w:p w14:paraId="14647DB6" w14:textId="77777777" w:rsidR="00552466" w:rsidRPr="00C2587D" w:rsidRDefault="00552466" w:rsidP="00D7011A">
            <w:pPr>
              <w:rPr>
                <w:rFonts w:cs="Arial"/>
                <w:bCs/>
                <w:color w:val="000000"/>
                <w:szCs w:val="22"/>
              </w:rPr>
            </w:pPr>
            <w:r w:rsidRPr="00C2587D">
              <w:rPr>
                <w:rFonts w:cs="Arial"/>
                <w:bCs/>
                <w:color w:val="000000"/>
                <w:szCs w:val="22"/>
              </w:rPr>
              <w:t>-обласний бюджет</w:t>
            </w:r>
          </w:p>
        </w:tc>
        <w:tc>
          <w:tcPr>
            <w:tcW w:w="1254" w:type="dxa"/>
            <w:vAlign w:val="center"/>
          </w:tcPr>
          <w:p w14:paraId="6E3774DF" w14:textId="77777777" w:rsidR="00552466" w:rsidRPr="00C2587D" w:rsidRDefault="00552466" w:rsidP="00D7011A">
            <w:pPr>
              <w:jc w:val="center"/>
              <w:rPr>
                <w:rFonts w:cs="Arial"/>
                <w:szCs w:val="22"/>
                <w:lang w:eastAsia="it-IT"/>
              </w:rPr>
            </w:pPr>
          </w:p>
        </w:tc>
        <w:tc>
          <w:tcPr>
            <w:tcW w:w="1417" w:type="dxa"/>
            <w:shd w:val="clear" w:color="auto" w:fill="FFFFFF"/>
            <w:vAlign w:val="center"/>
          </w:tcPr>
          <w:p w14:paraId="608B9355" w14:textId="77777777" w:rsidR="00552466" w:rsidRPr="00C2587D" w:rsidRDefault="00552466" w:rsidP="00D7011A">
            <w:pPr>
              <w:jc w:val="center"/>
              <w:rPr>
                <w:rFonts w:cs="Arial"/>
                <w:szCs w:val="22"/>
                <w:lang w:eastAsia="it-IT"/>
              </w:rPr>
            </w:pPr>
          </w:p>
        </w:tc>
        <w:tc>
          <w:tcPr>
            <w:tcW w:w="1418" w:type="dxa"/>
            <w:shd w:val="clear" w:color="auto" w:fill="auto"/>
            <w:vAlign w:val="center"/>
          </w:tcPr>
          <w:p w14:paraId="65A01BB0" w14:textId="77777777" w:rsidR="00552466" w:rsidRPr="00C2587D" w:rsidRDefault="00552466" w:rsidP="00D7011A">
            <w:pPr>
              <w:jc w:val="center"/>
              <w:rPr>
                <w:rFonts w:cs="Arial"/>
                <w:szCs w:val="22"/>
                <w:lang w:eastAsia="it-IT"/>
              </w:rPr>
            </w:pPr>
          </w:p>
        </w:tc>
        <w:tc>
          <w:tcPr>
            <w:tcW w:w="1275" w:type="dxa"/>
            <w:shd w:val="clear" w:color="auto" w:fill="FFFFFF"/>
            <w:vAlign w:val="center"/>
          </w:tcPr>
          <w:p w14:paraId="4A5319C9" w14:textId="77777777" w:rsidR="00552466" w:rsidRPr="00C2587D" w:rsidRDefault="00552466" w:rsidP="00D7011A">
            <w:pPr>
              <w:jc w:val="center"/>
              <w:rPr>
                <w:rFonts w:cs="Arial"/>
                <w:szCs w:val="22"/>
                <w:lang w:eastAsia="it-IT"/>
              </w:rPr>
            </w:pPr>
          </w:p>
        </w:tc>
        <w:tc>
          <w:tcPr>
            <w:tcW w:w="1590" w:type="dxa"/>
            <w:shd w:val="clear" w:color="auto" w:fill="FFFFFF"/>
            <w:vAlign w:val="center"/>
          </w:tcPr>
          <w:p w14:paraId="71110E9B" w14:textId="77777777" w:rsidR="00552466" w:rsidRPr="00C2587D" w:rsidRDefault="00552466" w:rsidP="00D7011A">
            <w:pPr>
              <w:jc w:val="center"/>
              <w:rPr>
                <w:rFonts w:cs="Arial"/>
                <w:szCs w:val="22"/>
                <w:lang w:eastAsia="it-IT"/>
              </w:rPr>
            </w:pPr>
          </w:p>
        </w:tc>
      </w:tr>
      <w:tr w:rsidR="00552466" w:rsidRPr="00C2587D" w14:paraId="569315C3" w14:textId="77777777" w:rsidTr="00D7011A">
        <w:trPr>
          <w:trHeight w:val="264"/>
          <w:jc w:val="right"/>
        </w:trPr>
        <w:tc>
          <w:tcPr>
            <w:tcW w:w="3425" w:type="dxa"/>
            <w:shd w:val="clear" w:color="auto" w:fill="FFFFFF"/>
            <w:vAlign w:val="center"/>
          </w:tcPr>
          <w:p w14:paraId="2557FD84" w14:textId="77777777" w:rsidR="00552466" w:rsidRPr="00C2587D" w:rsidRDefault="00552466" w:rsidP="00D7011A">
            <w:pPr>
              <w:rPr>
                <w:rFonts w:cs="Arial"/>
                <w:bCs/>
                <w:color w:val="000000"/>
                <w:szCs w:val="22"/>
              </w:rPr>
            </w:pPr>
            <w:r w:rsidRPr="00C2587D">
              <w:rPr>
                <w:rFonts w:cs="Arial"/>
                <w:bCs/>
                <w:color w:val="000000"/>
                <w:szCs w:val="22"/>
              </w:rPr>
              <w:t>-бюджет Жмеринської МТГ</w:t>
            </w:r>
          </w:p>
        </w:tc>
        <w:tc>
          <w:tcPr>
            <w:tcW w:w="1254" w:type="dxa"/>
            <w:vAlign w:val="center"/>
          </w:tcPr>
          <w:p w14:paraId="3BA582ED" w14:textId="77777777" w:rsidR="00552466" w:rsidRPr="00C2587D" w:rsidRDefault="00552466" w:rsidP="00D7011A">
            <w:pPr>
              <w:jc w:val="center"/>
              <w:rPr>
                <w:rFonts w:cs="Arial"/>
                <w:szCs w:val="22"/>
                <w:lang w:eastAsia="it-IT"/>
              </w:rPr>
            </w:pPr>
            <w:r w:rsidRPr="00C2587D">
              <w:rPr>
                <w:rFonts w:cs="Arial"/>
                <w:szCs w:val="22"/>
                <w:lang w:eastAsia="it-IT"/>
              </w:rPr>
              <w:t>150,00</w:t>
            </w:r>
          </w:p>
        </w:tc>
        <w:tc>
          <w:tcPr>
            <w:tcW w:w="1417" w:type="dxa"/>
            <w:shd w:val="clear" w:color="auto" w:fill="FFFFFF"/>
            <w:vAlign w:val="center"/>
          </w:tcPr>
          <w:p w14:paraId="579C8CFF" w14:textId="77777777" w:rsidR="00552466" w:rsidRPr="00C2587D" w:rsidRDefault="00552466" w:rsidP="00D7011A">
            <w:pPr>
              <w:jc w:val="center"/>
              <w:rPr>
                <w:rFonts w:cs="Arial"/>
                <w:szCs w:val="22"/>
                <w:lang w:eastAsia="it-IT"/>
              </w:rPr>
            </w:pPr>
            <w:r w:rsidRPr="00C2587D">
              <w:rPr>
                <w:rFonts w:cs="Arial"/>
                <w:szCs w:val="22"/>
                <w:lang w:eastAsia="it-IT"/>
              </w:rPr>
              <w:t>150,00</w:t>
            </w:r>
          </w:p>
        </w:tc>
        <w:tc>
          <w:tcPr>
            <w:tcW w:w="1418" w:type="dxa"/>
            <w:shd w:val="clear" w:color="auto" w:fill="auto"/>
            <w:vAlign w:val="center"/>
          </w:tcPr>
          <w:p w14:paraId="2BD9F6BE" w14:textId="77777777" w:rsidR="00552466" w:rsidRPr="00C2587D" w:rsidRDefault="00552466" w:rsidP="00D7011A">
            <w:pPr>
              <w:jc w:val="center"/>
              <w:rPr>
                <w:rFonts w:cs="Arial"/>
                <w:szCs w:val="22"/>
                <w:lang w:eastAsia="it-IT"/>
              </w:rPr>
            </w:pPr>
            <w:r w:rsidRPr="00C2587D">
              <w:rPr>
                <w:rFonts w:cs="Arial"/>
                <w:szCs w:val="22"/>
                <w:lang w:eastAsia="it-IT"/>
              </w:rPr>
              <w:t>50,00</w:t>
            </w:r>
          </w:p>
        </w:tc>
        <w:tc>
          <w:tcPr>
            <w:tcW w:w="1275" w:type="dxa"/>
            <w:shd w:val="clear" w:color="auto" w:fill="FFFFFF"/>
            <w:vAlign w:val="center"/>
          </w:tcPr>
          <w:p w14:paraId="63DBA446" w14:textId="77777777" w:rsidR="00552466" w:rsidRPr="00C2587D" w:rsidRDefault="00552466" w:rsidP="00D7011A">
            <w:pPr>
              <w:jc w:val="center"/>
              <w:rPr>
                <w:rFonts w:cs="Arial"/>
                <w:szCs w:val="22"/>
                <w:lang w:eastAsia="it-IT"/>
              </w:rPr>
            </w:pPr>
            <w:r w:rsidRPr="00C2587D">
              <w:rPr>
                <w:rFonts w:cs="Arial"/>
                <w:szCs w:val="22"/>
                <w:lang w:eastAsia="it-IT"/>
              </w:rPr>
              <w:t>50,00</w:t>
            </w:r>
          </w:p>
        </w:tc>
        <w:tc>
          <w:tcPr>
            <w:tcW w:w="1590" w:type="dxa"/>
            <w:shd w:val="clear" w:color="auto" w:fill="FFFFFF"/>
            <w:vAlign w:val="center"/>
          </w:tcPr>
          <w:p w14:paraId="7C39F5AE" w14:textId="77777777" w:rsidR="00552466" w:rsidRPr="00C2587D" w:rsidRDefault="00552466" w:rsidP="00D7011A">
            <w:pPr>
              <w:jc w:val="center"/>
              <w:rPr>
                <w:rFonts w:cs="Arial"/>
                <w:szCs w:val="22"/>
                <w:lang w:eastAsia="it-IT"/>
              </w:rPr>
            </w:pPr>
            <w:r w:rsidRPr="00C2587D">
              <w:rPr>
                <w:rFonts w:cs="Arial"/>
                <w:szCs w:val="22"/>
                <w:lang w:eastAsia="it-IT"/>
              </w:rPr>
              <w:t>400,00</w:t>
            </w:r>
          </w:p>
        </w:tc>
      </w:tr>
      <w:tr w:rsidR="00552466" w:rsidRPr="00C2587D" w14:paraId="4BC8C926" w14:textId="77777777" w:rsidTr="00D7011A">
        <w:trPr>
          <w:trHeight w:val="369"/>
          <w:jc w:val="right"/>
        </w:trPr>
        <w:tc>
          <w:tcPr>
            <w:tcW w:w="3425" w:type="dxa"/>
            <w:shd w:val="clear" w:color="auto" w:fill="FFFFFF"/>
            <w:vAlign w:val="center"/>
          </w:tcPr>
          <w:p w14:paraId="63B6B5ED" w14:textId="77777777" w:rsidR="00552466" w:rsidRPr="00C2587D" w:rsidRDefault="00552466" w:rsidP="00D7011A">
            <w:pPr>
              <w:rPr>
                <w:rFonts w:cs="Arial"/>
                <w:bCs/>
                <w:color w:val="000000"/>
                <w:szCs w:val="22"/>
              </w:rPr>
            </w:pPr>
            <w:r w:rsidRPr="00C2587D">
              <w:rPr>
                <w:rFonts w:cs="Arial"/>
                <w:bCs/>
                <w:color w:val="000000"/>
                <w:szCs w:val="22"/>
              </w:rPr>
              <w:t>-інші джерела фінансування</w:t>
            </w:r>
          </w:p>
        </w:tc>
        <w:tc>
          <w:tcPr>
            <w:tcW w:w="1254" w:type="dxa"/>
            <w:vAlign w:val="center"/>
          </w:tcPr>
          <w:p w14:paraId="736E2800" w14:textId="77777777" w:rsidR="00552466" w:rsidRPr="00C2587D" w:rsidRDefault="00552466" w:rsidP="00D7011A">
            <w:pPr>
              <w:rPr>
                <w:rFonts w:cs="Arial"/>
                <w:b/>
                <w:color w:val="000000"/>
                <w:szCs w:val="22"/>
                <w:lang w:eastAsia="it-IT"/>
              </w:rPr>
            </w:pPr>
          </w:p>
        </w:tc>
        <w:tc>
          <w:tcPr>
            <w:tcW w:w="1417" w:type="dxa"/>
            <w:shd w:val="clear" w:color="auto" w:fill="FFFFFF"/>
            <w:vAlign w:val="center"/>
          </w:tcPr>
          <w:p w14:paraId="64017F36" w14:textId="77777777" w:rsidR="00552466" w:rsidRPr="00C2587D" w:rsidRDefault="00552466" w:rsidP="00D7011A">
            <w:pPr>
              <w:jc w:val="center"/>
              <w:rPr>
                <w:rFonts w:cs="Arial"/>
                <w:b/>
                <w:color w:val="000000"/>
                <w:szCs w:val="22"/>
                <w:lang w:eastAsia="it-IT"/>
              </w:rPr>
            </w:pPr>
          </w:p>
        </w:tc>
        <w:tc>
          <w:tcPr>
            <w:tcW w:w="1418" w:type="dxa"/>
            <w:shd w:val="clear" w:color="auto" w:fill="auto"/>
            <w:vAlign w:val="center"/>
          </w:tcPr>
          <w:p w14:paraId="287A1429" w14:textId="77777777" w:rsidR="00552466" w:rsidRPr="00C2587D" w:rsidRDefault="00552466" w:rsidP="00D7011A">
            <w:pPr>
              <w:jc w:val="center"/>
              <w:rPr>
                <w:rFonts w:cs="Arial"/>
                <w:b/>
                <w:color w:val="000000"/>
                <w:szCs w:val="22"/>
                <w:lang w:eastAsia="it-IT"/>
              </w:rPr>
            </w:pPr>
          </w:p>
        </w:tc>
        <w:tc>
          <w:tcPr>
            <w:tcW w:w="1275" w:type="dxa"/>
            <w:shd w:val="clear" w:color="auto" w:fill="FFFFFF"/>
            <w:vAlign w:val="center"/>
          </w:tcPr>
          <w:p w14:paraId="6E641EB1" w14:textId="77777777" w:rsidR="00552466" w:rsidRPr="00C2587D" w:rsidRDefault="00552466" w:rsidP="00D7011A">
            <w:pPr>
              <w:jc w:val="center"/>
              <w:rPr>
                <w:rFonts w:cs="Arial"/>
                <w:b/>
                <w:color w:val="000000"/>
                <w:szCs w:val="22"/>
                <w:lang w:eastAsia="it-IT"/>
              </w:rPr>
            </w:pPr>
          </w:p>
        </w:tc>
        <w:tc>
          <w:tcPr>
            <w:tcW w:w="1590" w:type="dxa"/>
            <w:shd w:val="clear" w:color="auto" w:fill="FFFFFF"/>
            <w:vAlign w:val="center"/>
          </w:tcPr>
          <w:p w14:paraId="11FA562D" w14:textId="77777777" w:rsidR="00552466" w:rsidRPr="00C2587D" w:rsidRDefault="00552466" w:rsidP="00D7011A">
            <w:pPr>
              <w:jc w:val="center"/>
              <w:rPr>
                <w:rFonts w:cs="Arial"/>
                <w:b/>
                <w:color w:val="000000"/>
                <w:szCs w:val="22"/>
                <w:lang w:eastAsia="it-IT"/>
              </w:rPr>
            </w:pPr>
          </w:p>
        </w:tc>
      </w:tr>
      <w:tr w:rsidR="00552466" w:rsidRPr="00C2587D" w14:paraId="44206755" w14:textId="77777777" w:rsidTr="00D7011A">
        <w:trPr>
          <w:jc w:val="right"/>
        </w:trPr>
        <w:tc>
          <w:tcPr>
            <w:tcW w:w="3425" w:type="dxa"/>
            <w:shd w:val="clear" w:color="auto" w:fill="FFFFFF"/>
            <w:vAlign w:val="center"/>
          </w:tcPr>
          <w:p w14:paraId="70D9979C" w14:textId="77777777" w:rsidR="00552466" w:rsidRPr="00C2587D" w:rsidRDefault="00552466" w:rsidP="00D7011A">
            <w:pPr>
              <w:rPr>
                <w:rFonts w:cs="Arial"/>
                <w:b/>
                <w:bCs/>
                <w:color w:val="000000"/>
                <w:szCs w:val="22"/>
              </w:rPr>
            </w:pPr>
            <w:r w:rsidRPr="00C2587D">
              <w:rPr>
                <w:rFonts w:cs="Arial"/>
                <w:b/>
                <w:color w:val="000000"/>
                <w:szCs w:val="22"/>
              </w:rPr>
              <w:t>Відповідальний виконавець проєкту:</w:t>
            </w:r>
          </w:p>
        </w:tc>
        <w:tc>
          <w:tcPr>
            <w:tcW w:w="6954" w:type="dxa"/>
            <w:gridSpan w:val="5"/>
            <w:vAlign w:val="center"/>
          </w:tcPr>
          <w:p w14:paraId="669A2F95" w14:textId="77777777" w:rsidR="00552466" w:rsidRPr="00C2587D" w:rsidRDefault="00552466" w:rsidP="00D7011A">
            <w:pPr>
              <w:jc w:val="both"/>
              <w:rPr>
                <w:rFonts w:cs="Arial"/>
                <w:color w:val="000000"/>
                <w:szCs w:val="22"/>
                <w:lang w:eastAsia="it-IT"/>
              </w:rPr>
            </w:pPr>
            <w:r w:rsidRPr="00C2587D">
              <w:rPr>
                <w:rFonts w:cs="Arial"/>
                <w:szCs w:val="22"/>
              </w:rPr>
              <w:t>Управління земельних ресурсів виконавчого комітету Жмеринської міської ради, управління житлово – комунального господарства Жмеринської міської ради</w:t>
            </w:r>
          </w:p>
        </w:tc>
      </w:tr>
    </w:tbl>
    <w:p w14:paraId="75380E72" w14:textId="77777777" w:rsidR="00201B0C" w:rsidRPr="00C2587D" w:rsidRDefault="00201B0C" w:rsidP="00552466">
      <w:pPr>
        <w:rPr>
          <w:rFonts w:cs="Arial"/>
          <w:szCs w:val="22"/>
        </w:rPr>
      </w:pPr>
    </w:p>
    <w:p w14:paraId="00FA6F9E" w14:textId="305BF7BD" w:rsidR="00560F31" w:rsidRDefault="00560F31">
      <w:pPr>
        <w:rPr>
          <w:rFonts w:cs="Arial"/>
          <w:b/>
          <w:color w:val="000000"/>
          <w:szCs w:val="22"/>
        </w:rPr>
      </w:pPr>
      <w:r>
        <w:rPr>
          <w:rFonts w:cs="Arial"/>
          <w:b/>
          <w:color w:val="000000"/>
          <w:szCs w:val="22"/>
        </w:rPr>
        <w:br w:type="page"/>
      </w:r>
    </w:p>
    <w:p w14:paraId="533BD956" w14:textId="77777777" w:rsidR="00552466" w:rsidRPr="00C2587D" w:rsidRDefault="00552466" w:rsidP="00552466">
      <w:pPr>
        <w:jc w:val="center"/>
        <w:rPr>
          <w:rFonts w:cs="Arial"/>
          <w:b/>
          <w:color w:val="000000"/>
          <w:szCs w:val="22"/>
        </w:rPr>
      </w:pPr>
    </w:p>
    <w:p w14:paraId="701D6A7F" w14:textId="6B5F684D" w:rsidR="00552466" w:rsidRPr="00C2587D" w:rsidRDefault="00552466" w:rsidP="00552466">
      <w:pPr>
        <w:jc w:val="center"/>
        <w:rPr>
          <w:rFonts w:cs="Arial"/>
          <w:b/>
          <w:color w:val="000000"/>
          <w:szCs w:val="22"/>
        </w:rPr>
      </w:pPr>
      <w:r w:rsidRPr="00C2587D">
        <w:rPr>
          <w:rFonts w:cs="Arial"/>
          <w:b/>
          <w:color w:val="000000"/>
          <w:szCs w:val="22"/>
        </w:rPr>
        <w:t>Фо</w:t>
      </w:r>
      <w:r w:rsidR="009949A5">
        <w:rPr>
          <w:rFonts w:cs="Arial"/>
          <w:b/>
          <w:color w:val="000000"/>
          <w:szCs w:val="22"/>
        </w:rPr>
        <w:t>рма технічного завдання на проє</w:t>
      </w:r>
      <w:r w:rsidRPr="00C2587D">
        <w:rPr>
          <w:rFonts w:cs="Arial"/>
          <w:b/>
          <w:color w:val="000000"/>
          <w:szCs w:val="22"/>
        </w:rPr>
        <w:t xml:space="preserve">кт місцевого розвитку </w:t>
      </w:r>
    </w:p>
    <w:p w14:paraId="338B6D1E" w14:textId="3FE60FBC" w:rsidR="00552466" w:rsidRDefault="00552466" w:rsidP="00552466">
      <w:pPr>
        <w:jc w:val="center"/>
        <w:rPr>
          <w:rFonts w:cs="Arial"/>
          <w:b/>
          <w:color w:val="000000"/>
          <w:szCs w:val="22"/>
        </w:rPr>
      </w:pPr>
      <w:r w:rsidRPr="00C2587D">
        <w:rPr>
          <w:rFonts w:cs="Arial"/>
          <w:b/>
          <w:color w:val="000000"/>
          <w:szCs w:val="22"/>
        </w:rPr>
        <w:t>до Плану заходів з реалізації Стратегії</w:t>
      </w:r>
    </w:p>
    <w:p w14:paraId="77F672C4" w14:textId="77777777" w:rsidR="00201B0C" w:rsidRPr="00C2587D" w:rsidRDefault="00201B0C" w:rsidP="00552466">
      <w:pPr>
        <w:jc w:val="center"/>
        <w:rPr>
          <w:rFonts w:cs="Arial"/>
          <w:b/>
          <w:color w:val="000000"/>
          <w:szCs w:val="22"/>
        </w:rPr>
      </w:pPr>
    </w:p>
    <w:tbl>
      <w:tblPr>
        <w:tblW w:w="1037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1417"/>
        <w:gridCol w:w="1418"/>
        <w:gridCol w:w="1275"/>
        <w:gridCol w:w="1590"/>
      </w:tblGrid>
      <w:tr w:rsidR="00552466" w:rsidRPr="00C2587D" w14:paraId="5DB4221C" w14:textId="77777777" w:rsidTr="00201B0C">
        <w:trPr>
          <w:trHeight w:val="1928"/>
          <w:jc w:val="right"/>
        </w:trPr>
        <w:tc>
          <w:tcPr>
            <w:tcW w:w="3425" w:type="dxa"/>
          </w:tcPr>
          <w:p w14:paraId="06E5EFCB" w14:textId="77777777" w:rsidR="00552466" w:rsidRPr="00C2587D" w:rsidRDefault="00552466" w:rsidP="00D7011A">
            <w:pPr>
              <w:spacing w:before="40" w:after="40"/>
              <w:rPr>
                <w:rFonts w:cs="Arial"/>
                <w:b/>
                <w:bCs/>
                <w:szCs w:val="22"/>
              </w:rPr>
            </w:pPr>
            <w:r w:rsidRPr="00C2587D">
              <w:rPr>
                <w:rFonts w:cs="Arial"/>
                <w:b/>
                <w:bCs/>
                <w:szCs w:val="22"/>
              </w:rPr>
              <w:t>Назва проєкту:</w:t>
            </w:r>
          </w:p>
        </w:tc>
        <w:tc>
          <w:tcPr>
            <w:tcW w:w="6954" w:type="dxa"/>
            <w:gridSpan w:val="5"/>
          </w:tcPr>
          <w:p w14:paraId="3E2CF4B2" w14:textId="72DF8A9E" w:rsidR="00552466" w:rsidRPr="00201B0C" w:rsidRDefault="00552466" w:rsidP="00201B0C">
            <w:pPr>
              <w:spacing w:before="40" w:after="40"/>
              <w:jc w:val="both"/>
              <w:rPr>
                <w:rFonts w:cs="Arial"/>
                <w:b/>
                <w:szCs w:val="22"/>
              </w:rPr>
            </w:pPr>
            <w:r w:rsidRPr="00201B0C">
              <w:rPr>
                <w:rFonts w:cs="Arial"/>
                <w:b/>
                <w:szCs w:val="22"/>
              </w:rPr>
              <w:t xml:space="preserve">Виготовлення проєктів землеустрою щодо організації і встановлення меж територій природно – заповідного фонду та іншого природоохоронного призначення, оздоровчого, рекреаційного, історико-культурного, лісогосподарського призначення, земель водного фонду та водоохоронних зон, обмежень у використанні земель та їх </w:t>
            </w:r>
            <w:r w:rsidR="00201B0C" w:rsidRPr="00201B0C">
              <w:rPr>
                <w:rFonts w:cs="Arial"/>
                <w:b/>
                <w:szCs w:val="22"/>
              </w:rPr>
              <w:t>режим</w:t>
            </w:r>
            <w:r w:rsidR="00201B0C">
              <w:rPr>
                <w:rFonts w:cs="Arial"/>
                <w:b/>
                <w:szCs w:val="22"/>
              </w:rPr>
              <w:t>о</w:t>
            </w:r>
            <w:r w:rsidR="00201B0C" w:rsidRPr="00201B0C">
              <w:rPr>
                <w:rFonts w:cs="Arial"/>
                <w:b/>
                <w:szCs w:val="22"/>
              </w:rPr>
              <w:t>утворюючих</w:t>
            </w:r>
            <w:r w:rsidRPr="00201B0C">
              <w:rPr>
                <w:rFonts w:cs="Arial"/>
                <w:b/>
                <w:szCs w:val="22"/>
              </w:rPr>
              <w:t xml:space="preserve"> об'єктів</w:t>
            </w:r>
          </w:p>
        </w:tc>
      </w:tr>
      <w:tr w:rsidR="00552466" w:rsidRPr="00C2587D" w14:paraId="5FC6AFAF" w14:textId="77777777" w:rsidTr="00D7011A">
        <w:trPr>
          <w:trHeight w:val="1114"/>
          <w:jc w:val="right"/>
        </w:trPr>
        <w:tc>
          <w:tcPr>
            <w:tcW w:w="3425" w:type="dxa"/>
          </w:tcPr>
          <w:p w14:paraId="628D7705" w14:textId="77777777" w:rsidR="00552466" w:rsidRPr="00C2587D" w:rsidRDefault="00552466" w:rsidP="00D7011A">
            <w:pPr>
              <w:spacing w:before="40" w:after="40"/>
              <w:rPr>
                <w:rFonts w:cs="Arial"/>
                <w:szCs w:val="22"/>
                <w:lang w:eastAsia="it-IT"/>
              </w:rPr>
            </w:pPr>
            <w:r w:rsidRPr="00C2587D">
              <w:rPr>
                <w:rFonts w:cs="Arial"/>
                <w:b/>
                <w:bCs/>
                <w:szCs w:val="22"/>
              </w:rPr>
              <w:t>Ваші контакти</w:t>
            </w:r>
            <w:r w:rsidRPr="00C2587D">
              <w:rPr>
                <w:rFonts w:cs="Arial"/>
                <w:szCs w:val="22"/>
                <w:lang w:eastAsia="it-IT"/>
              </w:rPr>
              <w:t>:</w:t>
            </w:r>
          </w:p>
          <w:p w14:paraId="681BD567" w14:textId="77777777" w:rsidR="00552466" w:rsidRPr="00C2587D" w:rsidRDefault="00552466" w:rsidP="00D7011A">
            <w:pPr>
              <w:spacing w:before="40" w:after="40"/>
              <w:rPr>
                <w:rFonts w:cs="Arial"/>
                <w:b/>
                <w:bCs/>
                <w:szCs w:val="22"/>
              </w:rPr>
            </w:pPr>
            <w:r w:rsidRPr="00C2587D">
              <w:rPr>
                <w:rFonts w:cs="Arial"/>
                <w:szCs w:val="22"/>
                <w:lang w:eastAsia="it-IT"/>
              </w:rPr>
              <w:t>Назва установи, організації, підприємства</w:t>
            </w:r>
          </w:p>
        </w:tc>
        <w:tc>
          <w:tcPr>
            <w:tcW w:w="6954" w:type="dxa"/>
            <w:gridSpan w:val="5"/>
          </w:tcPr>
          <w:p w14:paraId="0ED6C16A" w14:textId="77777777" w:rsidR="00552466" w:rsidRPr="00C2587D" w:rsidRDefault="00552466" w:rsidP="00201B0C">
            <w:pPr>
              <w:spacing w:before="40" w:after="40"/>
              <w:jc w:val="both"/>
              <w:rPr>
                <w:rFonts w:cs="Arial"/>
                <w:szCs w:val="22"/>
                <w:lang w:eastAsia="it-IT"/>
              </w:rPr>
            </w:pPr>
            <w:r w:rsidRPr="00C2587D">
              <w:rPr>
                <w:rFonts w:cs="Arial"/>
                <w:szCs w:val="22"/>
                <w:lang w:eastAsia="it-IT"/>
              </w:rPr>
              <w:t>Управління земельних ресурсів виконавчого комітету Жмеринської міської ради</w:t>
            </w:r>
          </w:p>
        </w:tc>
      </w:tr>
      <w:tr w:rsidR="00552466" w:rsidRPr="00C2587D" w14:paraId="3579D19A" w14:textId="77777777" w:rsidTr="00D7011A">
        <w:trPr>
          <w:jc w:val="right"/>
        </w:trPr>
        <w:tc>
          <w:tcPr>
            <w:tcW w:w="3425" w:type="dxa"/>
          </w:tcPr>
          <w:p w14:paraId="644EC4E8" w14:textId="77777777" w:rsidR="00552466" w:rsidRPr="00C2587D" w:rsidRDefault="00552466" w:rsidP="00D7011A">
            <w:pPr>
              <w:spacing w:before="40" w:after="40"/>
              <w:rPr>
                <w:rFonts w:cs="Arial"/>
                <w:b/>
                <w:bCs/>
                <w:szCs w:val="22"/>
              </w:rPr>
            </w:pPr>
            <w:r w:rsidRPr="00C2587D">
              <w:rPr>
                <w:rFonts w:cs="Arial"/>
                <w:szCs w:val="22"/>
                <w:lang w:eastAsia="it-IT"/>
              </w:rPr>
              <w:t>Прізвище Ім’я По-батькові:</w:t>
            </w:r>
          </w:p>
        </w:tc>
        <w:tc>
          <w:tcPr>
            <w:tcW w:w="6954" w:type="dxa"/>
            <w:gridSpan w:val="5"/>
          </w:tcPr>
          <w:p w14:paraId="3CE4ED8B" w14:textId="77777777" w:rsidR="00552466" w:rsidRPr="00C2587D" w:rsidRDefault="00552466" w:rsidP="00D7011A">
            <w:pPr>
              <w:spacing w:before="40" w:after="40"/>
              <w:rPr>
                <w:rFonts w:cs="Arial"/>
                <w:szCs w:val="22"/>
                <w:lang w:eastAsia="it-IT"/>
              </w:rPr>
            </w:pPr>
            <w:r w:rsidRPr="00C2587D">
              <w:rPr>
                <w:rFonts w:cs="Arial"/>
                <w:szCs w:val="22"/>
                <w:lang w:eastAsia="it-IT"/>
              </w:rPr>
              <w:t>Пилявець Руслан Євгенович</w:t>
            </w:r>
          </w:p>
        </w:tc>
      </w:tr>
      <w:tr w:rsidR="00552466" w:rsidRPr="00C2587D" w14:paraId="1D023C10" w14:textId="77777777" w:rsidTr="00D7011A">
        <w:trPr>
          <w:jc w:val="right"/>
        </w:trPr>
        <w:tc>
          <w:tcPr>
            <w:tcW w:w="3425" w:type="dxa"/>
          </w:tcPr>
          <w:p w14:paraId="1D6ACE33" w14:textId="77777777" w:rsidR="00552466" w:rsidRPr="00C2587D" w:rsidRDefault="00552466" w:rsidP="00D7011A">
            <w:pPr>
              <w:spacing w:before="40" w:after="40"/>
              <w:rPr>
                <w:rFonts w:cs="Arial"/>
                <w:b/>
                <w:bCs/>
                <w:szCs w:val="22"/>
              </w:rPr>
            </w:pPr>
            <w:r w:rsidRPr="00C2587D">
              <w:rPr>
                <w:rFonts w:cs="Arial"/>
                <w:szCs w:val="22"/>
                <w:lang w:eastAsia="it-IT"/>
              </w:rPr>
              <w:t>Телефон (мобільний):</w:t>
            </w:r>
          </w:p>
        </w:tc>
        <w:tc>
          <w:tcPr>
            <w:tcW w:w="6954" w:type="dxa"/>
            <w:gridSpan w:val="5"/>
          </w:tcPr>
          <w:p w14:paraId="2575386C" w14:textId="77777777" w:rsidR="00552466" w:rsidRPr="00C2587D" w:rsidRDefault="00552466" w:rsidP="00D7011A">
            <w:pPr>
              <w:spacing w:before="40" w:after="40"/>
              <w:rPr>
                <w:rFonts w:cs="Arial"/>
                <w:szCs w:val="22"/>
                <w:lang w:eastAsia="it-IT"/>
              </w:rPr>
            </w:pPr>
            <w:r w:rsidRPr="00C2587D">
              <w:rPr>
                <w:rFonts w:cs="Arial"/>
                <w:szCs w:val="22"/>
                <w:lang w:eastAsia="it-IT"/>
              </w:rPr>
              <w:t>067-580-45-91</w:t>
            </w:r>
          </w:p>
        </w:tc>
      </w:tr>
      <w:tr w:rsidR="00552466" w:rsidRPr="00C2587D" w14:paraId="4C7634E1" w14:textId="77777777" w:rsidTr="00D7011A">
        <w:trPr>
          <w:jc w:val="right"/>
        </w:trPr>
        <w:tc>
          <w:tcPr>
            <w:tcW w:w="3425" w:type="dxa"/>
          </w:tcPr>
          <w:p w14:paraId="79C6E775" w14:textId="77777777" w:rsidR="00552466" w:rsidRPr="00C2587D" w:rsidRDefault="00552466" w:rsidP="00D7011A">
            <w:pPr>
              <w:spacing w:before="40" w:after="40"/>
              <w:rPr>
                <w:rFonts w:cs="Arial"/>
                <w:b/>
                <w:bCs/>
                <w:szCs w:val="22"/>
              </w:rPr>
            </w:pPr>
            <w:r w:rsidRPr="00C2587D">
              <w:rPr>
                <w:rFonts w:cs="Arial"/>
                <w:szCs w:val="22"/>
                <w:lang w:eastAsia="it-IT"/>
              </w:rPr>
              <w:t>Електронна адреса:</w:t>
            </w:r>
          </w:p>
        </w:tc>
        <w:tc>
          <w:tcPr>
            <w:tcW w:w="6954" w:type="dxa"/>
            <w:gridSpan w:val="5"/>
          </w:tcPr>
          <w:p w14:paraId="5EAA75CD" w14:textId="2E4FACE9" w:rsidR="00552466" w:rsidRPr="00C2587D" w:rsidRDefault="00D85FFD" w:rsidP="00D7011A">
            <w:pPr>
              <w:spacing w:before="40" w:after="40"/>
              <w:rPr>
                <w:rFonts w:cs="Arial"/>
                <w:szCs w:val="22"/>
                <w:lang w:eastAsia="it-IT"/>
              </w:rPr>
            </w:pPr>
            <w:hyperlink r:id="rId34" w:history="1">
              <w:r w:rsidR="00201B0C" w:rsidRPr="000A0B5C">
                <w:rPr>
                  <w:rStyle w:val="af0"/>
                  <w:rFonts w:cs="Arial"/>
                  <w:noProof w:val="0"/>
                  <w:sz w:val="22"/>
                  <w:szCs w:val="22"/>
                  <w:lang w:eastAsia="it-IT"/>
                </w:rPr>
                <w:t>zem@zhmr.gov.ua</w:t>
              </w:r>
            </w:hyperlink>
            <w:r w:rsidR="00201B0C">
              <w:rPr>
                <w:rFonts w:cs="Arial"/>
                <w:szCs w:val="22"/>
                <w:lang w:eastAsia="it-IT"/>
              </w:rPr>
              <w:t xml:space="preserve"> </w:t>
            </w:r>
          </w:p>
        </w:tc>
      </w:tr>
      <w:tr w:rsidR="00552466" w:rsidRPr="00C2587D" w14:paraId="040E7715" w14:textId="77777777" w:rsidTr="00D7011A">
        <w:trPr>
          <w:trHeight w:val="1440"/>
          <w:jc w:val="right"/>
        </w:trPr>
        <w:tc>
          <w:tcPr>
            <w:tcW w:w="3425" w:type="dxa"/>
            <w:vAlign w:val="center"/>
          </w:tcPr>
          <w:p w14:paraId="6DD77BCB" w14:textId="690E496D" w:rsidR="00552466" w:rsidRPr="00C2587D" w:rsidRDefault="00552466" w:rsidP="00D7011A">
            <w:pPr>
              <w:pStyle w:val="6"/>
              <w:spacing w:before="0" w:after="0"/>
              <w:rPr>
                <w:rFonts w:ascii="Arial" w:hAnsi="Arial" w:cs="Arial"/>
                <w:color w:val="000000"/>
                <w:lang w:val="uk-UA"/>
              </w:rPr>
            </w:pPr>
            <w:r w:rsidRPr="00C2587D">
              <w:rPr>
                <w:rFonts w:ascii="Arial" w:hAnsi="Arial" w:cs="Arial"/>
                <w:color w:val="000000"/>
                <w:lang w:val="uk-UA"/>
              </w:rPr>
              <w:t>Номер і назва завдання з Стратегії</w:t>
            </w:r>
            <w:r w:rsidRPr="00C2587D">
              <w:rPr>
                <w:rFonts w:ascii="Arial" w:hAnsi="Arial" w:cs="Arial"/>
                <w:lang w:val="uk-UA" w:eastAsia="it-IT"/>
              </w:rPr>
              <w:t xml:space="preserve"> </w:t>
            </w:r>
            <w:r w:rsidRPr="00C2587D">
              <w:rPr>
                <w:rFonts w:ascii="Arial" w:hAnsi="Arial" w:cs="Arial"/>
                <w:color w:val="000000"/>
                <w:lang w:val="uk-UA"/>
              </w:rPr>
              <w:t>розвитку Жмеринської міської територіальної</w:t>
            </w:r>
            <w:r w:rsidR="009949A5">
              <w:rPr>
                <w:rFonts w:ascii="Arial" w:hAnsi="Arial" w:cs="Arial"/>
                <w:color w:val="000000"/>
                <w:lang w:val="uk-UA"/>
              </w:rPr>
              <w:t xml:space="preserve"> громади,  якому відповідає проє</w:t>
            </w:r>
            <w:r w:rsidRPr="00C2587D">
              <w:rPr>
                <w:rFonts w:ascii="Arial" w:hAnsi="Arial" w:cs="Arial"/>
                <w:color w:val="000000"/>
                <w:lang w:val="uk-UA"/>
              </w:rPr>
              <w:t>кт:</w:t>
            </w:r>
          </w:p>
        </w:tc>
        <w:tc>
          <w:tcPr>
            <w:tcW w:w="6954" w:type="dxa"/>
            <w:gridSpan w:val="5"/>
          </w:tcPr>
          <w:p w14:paraId="7EB515B3" w14:textId="77777777" w:rsidR="00552466" w:rsidRPr="00C2587D" w:rsidRDefault="00552466" w:rsidP="00D7011A">
            <w:pPr>
              <w:pBdr>
                <w:left w:val="single" w:sz="18" w:space="4" w:color="auto"/>
              </w:pBdr>
              <w:spacing w:before="40" w:after="40"/>
              <w:jc w:val="both"/>
              <w:rPr>
                <w:rFonts w:cs="Arial"/>
                <w:szCs w:val="22"/>
                <w:lang w:eastAsia="it-IT"/>
              </w:rPr>
            </w:pPr>
            <w:r w:rsidRPr="00C2587D">
              <w:rPr>
                <w:rFonts w:cs="Arial"/>
                <w:szCs w:val="22"/>
              </w:rPr>
              <w:t xml:space="preserve">А.2.3. Підтримка раціонального використання земельних ресурсів та водного фонду для фінансової стабільності громади </w:t>
            </w:r>
          </w:p>
        </w:tc>
      </w:tr>
      <w:tr w:rsidR="00552466" w:rsidRPr="00C2587D" w14:paraId="6CF1382A" w14:textId="77777777" w:rsidTr="00D7011A">
        <w:trPr>
          <w:trHeight w:val="1050"/>
          <w:jc w:val="right"/>
        </w:trPr>
        <w:tc>
          <w:tcPr>
            <w:tcW w:w="3425" w:type="dxa"/>
            <w:vAlign w:val="center"/>
          </w:tcPr>
          <w:p w14:paraId="39FB0844" w14:textId="77777777" w:rsidR="00552466" w:rsidRPr="00C2587D" w:rsidRDefault="00552466" w:rsidP="00D7011A">
            <w:pPr>
              <w:rPr>
                <w:rFonts w:cs="Arial"/>
                <w:b/>
                <w:szCs w:val="22"/>
                <w:lang w:eastAsia="en-US"/>
              </w:rPr>
            </w:pPr>
            <w:r w:rsidRPr="00C2587D">
              <w:rPr>
                <w:rFonts w:cs="Arial"/>
                <w:b/>
                <w:szCs w:val="22"/>
                <w:lang w:eastAsia="en-US"/>
              </w:rPr>
              <w:t>Мета проєкту:</w:t>
            </w:r>
          </w:p>
          <w:p w14:paraId="6E78F5E9" w14:textId="77777777" w:rsidR="00552466" w:rsidRPr="00C2587D" w:rsidRDefault="00552466" w:rsidP="00D7011A">
            <w:pPr>
              <w:rPr>
                <w:rFonts w:cs="Arial"/>
                <w:color w:val="000000"/>
                <w:szCs w:val="22"/>
              </w:rPr>
            </w:pPr>
          </w:p>
        </w:tc>
        <w:tc>
          <w:tcPr>
            <w:tcW w:w="6954" w:type="dxa"/>
            <w:gridSpan w:val="5"/>
          </w:tcPr>
          <w:p w14:paraId="317EEA59" w14:textId="77777777" w:rsidR="00552466" w:rsidRPr="00C2587D" w:rsidRDefault="00552466" w:rsidP="00D7011A">
            <w:pPr>
              <w:pStyle w:val="ad"/>
              <w:jc w:val="both"/>
              <w:rPr>
                <w:rFonts w:cs="Arial"/>
                <w:szCs w:val="22"/>
              </w:rPr>
            </w:pPr>
            <w:r w:rsidRPr="00C2587D">
              <w:rPr>
                <w:rFonts w:cs="Arial"/>
                <w:szCs w:val="22"/>
              </w:rPr>
              <w:t>Забезпечення правової охорони, раціонального використання та ефективного управління землями природоохоронного, оздоровчого, рекреаційного, історико-культурного, лісогосподарського призначення, земель водного фонду, водоохоронних зон, а також установлення обґрунтованих обмежень у використанні земель відповідно до їх цільового призначення та вимог природоохоронного законодавства</w:t>
            </w:r>
          </w:p>
        </w:tc>
      </w:tr>
      <w:tr w:rsidR="00552466" w:rsidRPr="00C2587D" w14:paraId="5838667F" w14:textId="77777777" w:rsidTr="00D7011A">
        <w:trPr>
          <w:trHeight w:val="410"/>
          <w:jc w:val="right"/>
        </w:trPr>
        <w:tc>
          <w:tcPr>
            <w:tcW w:w="3425" w:type="dxa"/>
            <w:vAlign w:val="center"/>
          </w:tcPr>
          <w:p w14:paraId="7D04894F" w14:textId="4B99BE28" w:rsidR="00552466" w:rsidRPr="00C2587D" w:rsidRDefault="009949A5" w:rsidP="00D7011A">
            <w:pPr>
              <w:rPr>
                <w:rFonts w:cs="Arial"/>
                <w:b/>
                <w:bCs/>
                <w:color w:val="000000"/>
                <w:szCs w:val="22"/>
              </w:rPr>
            </w:pPr>
            <w:r>
              <w:rPr>
                <w:rFonts w:cs="Arial"/>
                <w:b/>
                <w:bCs/>
                <w:color w:val="000000"/>
                <w:szCs w:val="22"/>
              </w:rPr>
              <w:t>Цілі проє</w:t>
            </w:r>
            <w:r w:rsidR="00552466" w:rsidRPr="00C2587D">
              <w:rPr>
                <w:rFonts w:cs="Arial"/>
                <w:b/>
                <w:bCs/>
                <w:color w:val="000000"/>
                <w:szCs w:val="22"/>
              </w:rPr>
              <w:t>кту:</w:t>
            </w:r>
          </w:p>
        </w:tc>
        <w:tc>
          <w:tcPr>
            <w:tcW w:w="6954" w:type="dxa"/>
            <w:gridSpan w:val="5"/>
          </w:tcPr>
          <w:p w14:paraId="321484D3" w14:textId="77777777" w:rsidR="00552466" w:rsidRPr="00C2587D" w:rsidRDefault="00552466" w:rsidP="00D7011A">
            <w:pPr>
              <w:shd w:val="clear" w:color="auto" w:fill="FFFFFF"/>
              <w:spacing w:after="200"/>
              <w:jc w:val="both"/>
              <w:rPr>
                <w:rFonts w:cs="Arial"/>
                <w:spacing w:val="7"/>
                <w:szCs w:val="22"/>
              </w:rPr>
            </w:pPr>
            <w:r w:rsidRPr="00C2587D">
              <w:rPr>
                <w:rFonts w:cs="Arial"/>
                <w:spacing w:val="7"/>
                <w:szCs w:val="22"/>
              </w:rPr>
              <w:t>Дозволить раціонально використовувати та охороняти землі природоохоронного значення, встановлення режиму використання водоохоронних зон та прибережних захисних смуг, інвентаризувати землі лісогосподарського призначення та земель під полезахисними лісовими смугами</w:t>
            </w:r>
          </w:p>
        </w:tc>
      </w:tr>
      <w:tr w:rsidR="00552466" w:rsidRPr="00C2587D" w14:paraId="700AB9D6" w14:textId="77777777" w:rsidTr="00D7011A">
        <w:trPr>
          <w:jc w:val="right"/>
        </w:trPr>
        <w:tc>
          <w:tcPr>
            <w:tcW w:w="3425" w:type="dxa"/>
            <w:vAlign w:val="center"/>
          </w:tcPr>
          <w:p w14:paraId="06C0F9CC" w14:textId="5D614446" w:rsidR="00552466" w:rsidRPr="00C2587D" w:rsidRDefault="009949A5" w:rsidP="00D7011A">
            <w:pPr>
              <w:autoSpaceDE w:val="0"/>
              <w:autoSpaceDN w:val="0"/>
              <w:adjustRightInd w:val="0"/>
              <w:rPr>
                <w:rFonts w:cs="Arial"/>
                <w:b/>
                <w:color w:val="000000"/>
                <w:szCs w:val="22"/>
              </w:rPr>
            </w:pPr>
            <w:r>
              <w:rPr>
                <w:rFonts w:cs="Arial"/>
                <w:b/>
                <w:color w:val="000000"/>
                <w:szCs w:val="22"/>
              </w:rPr>
              <w:t>Територія на яку проє</w:t>
            </w:r>
            <w:r w:rsidR="00552466" w:rsidRPr="00C2587D">
              <w:rPr>
                <w:rFonts w:cs="Arial"/>
                <w:b/>
                <w:color w:val="000000"/>
                <w:szCs w:val="22"/>
              </w:rPr>
              <w:t>кт матиме вплив:</w:t>
            </w:r>
          </w:p>
        </w:tc>
        <w:tc>
          <w:tcPr>
            <w:tcW w:w="6954" w:type="dxa"/>
            <w:gridSpan w:val="5"/>
          </w:tcPr>
          <w:p w14:paraId="343BAA8D" w14:textId="77777777" w:rsidR="00552466" w:rsidRPr="00C2587D" w:rsidRDefault="00552466" w:rsidP="00D7011A">
            <w:pPr>
              <w:spacing w:before="40" w:after="40"/>
              <w:rPr>
                <w:rFonts w:cs="Arial"/>
                <w:szCs w:val="22"/>
                <w:lang w:eastAsia="it-IT"/>
              </w:rPr>
            </w:pPr>
            <w:r w:rsidRPr="00C2587D">
              <w:rPr>
                <w:rFonts w:cs="Arial"/>
                <w:szCs w:val="22"/>
                <w:lang w:eastAsia="it-IT"/>
              </w:rPr>
              <w:t>Жмеринська МТГ</w:t>
            </w:r>
          </w:p>
        </w:tc>
      </w:tr>
      <w:tr w:rsidR="00552466" w:rsidRPr="00C2587D" w14:paraId="7078D410" w14:textId="77777777" w:rsidTr="00D7011A">
        <w:trPr>
          <w:jc w:val="right"/>
        </w:trPr>
        <w:tc>
          <w:tcPr>
            <w:tcW w:w="3425" w:type="dxa"/>
            <w:vAlign w:val="center"/>
          </w:tcPr>
          <w:p w14:paraId="6688460B" w14:textId="77777777" w:rsidR="00552466" w:rsidRPr="00C2587D" w:rsidRDefault="00552466" w:rsidP="00D7011A">
            <w:pPr>
              <w:autoSpaceDE w:val="0"/>
              <w:autoSpaceDN w:val="0"/>
              <w:adjustRightInd w:val="0"/>
              <w:rPr>
                <w:rFonts w:cs="Arial"/>
                <w:b/>
                <w:color w:val="000000"/>
                <w:szCs w:val="22"/>
              </w:rPr>
            </w:pPr>
            <w:r w:rsidRPr="00C2587D">
              <w:rPr>
                <w:rFonts w:cs="Arial"/>
                <w:b/>
                <w:color w:val="000000"/>
                <w:szCs w:val="22"/>
              </w:rPr>
              <w:t>Цільові групи проєкту та  кількість отримувачів вигоди</w:t>
            </w:r>
          </w:p>
        </w:tc>
        <w:tc>
          <w:tcPr>
            <w:tcW w:w="6954" w:type="dxa"/>
            <w:gridSpan w:val="5"/>
          </w:tcPr>
          <w:p w14:paraId="14F40537" w14:textId="77777777" w:rsidR="00552466" w:rsidRPr="00C2587D" w:rsidRDefault="00552466" w:rsidP="00D7011A">
            <w:pPr>
              <w:spacing w:before="40" w:after="40"/>
              <w:rPr>
                <w:rFonts w:cs="Arial"/>
                <w:szCs w:val="22"/>
                <w:lang w:eastAsia="it-IT"/>
              </w:rPr>
            </w:pPr>
            <w:r w:rsidRPr="00C2587D">
              <w:rPr>
                <w:rFonts w:cs="Arial"/>
                <w:szCs w:val="22"/>
                <w:lang w:eastAsia="it-IT"/>
              </w:rPr>
              <w:t>49 474  жителів громади</w:t>
            </w:r>
          </w:p>
        </w:tc>
      </w:tr>
      <w:tr w:rsidR="00552466" w:rsidRPr="00C2587D" w14:paraId="29F3EF68" w14:textId="77777777" w:rsidTr="00201B0C">
        <w:trPr>
          <w:trHeight w:val="2094"/>
          <w:jc w:val="right"/>
        </w:trPr>
        <w:tc>
          <w:tcPr>
            <w:tcW w:w="3425" w:type="dxa"/>
            <w:shd w:val="clear" w:color="auto" w:fill="FFFFFF"/>
            <w:vAlign w:val="center"/>
          </w:tcPr>
          <w:p w14:paraId="666C55C8" w14:textId="3732DC9E" w:rsidR="00552466" w:rsidRPr="00C2587D" w:rsidRDefault="00552466" w:rsidP="00D7011A">
            <w:pPr>
              <w:rPr>
                <w:rFonts w:cs="Arial"/>
                <w:b/>
                <w:bCs/>
                <w:color w:val="000000"/>
                <w:szCs w:val="22"/>
              </w:rPr>
            </w:pPr>
            <w:r w:rsidRPr="00C2587D">
              <w:rPr>
                <w:rFonts w:cs="Arial"/>
                <w:b/>
                <w:bCs/>
                <w:color w:val="000000"/>
                <w:szCs w:val="22"/>
              </w:rPr>
              <w:t>Ст</w:t>
            </w:r>
            <w:r w:rsidR="00A81449">
              <w:rPr>
                <w:rFonts w:cs="Arial"/>
                <w:b/>
                <w:bCs/>
                <w:color w:val="000000"/>
                <w:szCs w:val="22"/>
              </w:rPr>
              <w:t>ислий опис проє</w:t>
            </w:r>
            <w:r w:rsidRPr="00C2587D">
              <w:rPr>
                <w:rFonts w:cs="Arial"/>
                <w:b/>
                <w:bCs/>
                <w:color w:val="000000"/>
                <w:szCs w:val="22"/>
              </w:rPr>
              <w:t>кту:</w:t>
            </w:r>
          </w:p>
        </w:tc>
        <w:tc>
          <w:tcPr>
            <w:tcW w:w="6954" w:type="dxa"/>
            <w:gridSpan w:val="5"/>
          </w:tcPr>
          <w:p w14:paraId="6523D01E" w14:textId="77777777" w:rsidR="00552466" w:rsidRPr="00C2587D" w:rsidRDefault="00552466" w:rsidP="00D7011A">
            <w:pPr>
              <w:pStyle w:val="ad"/>
              <w:jc w:val="both"/>
              <w:rPr>
                <w:rFonts w:cs="Arial"/>
                <w:szCs w:val="22"/>
              </w:rPr>
            </w:pPr>
            <w:r w:rsidRPr="00C2587D">
              <w:rPr>
                <w:rFonts w:cs="Arial"/>
                <w:szCs w:val="22"/>
              </w:rPr>
              <w:t xml:space="preserve">Розробити проєкти землеустрою з організації та встановлення меж територій природно-заповідного фонду, інших природоохоронних, оздоровчих, рекреаційних, історико-культурних, лісогосподарських територій, земель водного фонду та водоохоронних зон. Визначити та закріпити межі, розробити режим використання земель, встановити обмеження та режимоутворюючі об’єкти з метою охорони та раціонального використання земель відповідно до законодавства </w:t>
            </w:r>
          </w:p>
        </w:tc>
      </w:tr>
      <w:tr w:rsidR="00552466" w:rsidRPr="00C2587D" w14:paraId="0B135157" w14:textId="77777777" w:rsidTr="00D7011A">
        <w:trPr>
          <w:trHeight w:val="56"/>
          <w:jc w:val="right"/>
        </w:trPr>
        <w:tc>
          <w:tcPr>
            <w:tcW w:w="3425" w:type="dxa"/>
            <w:shd w:val="clear" w:color="auto" w:fill="FFFFFF"/>
            <w:vAlign w:val="center"/>
          </w:tcPr>
          <w:p w14:paraId="0E3440D3" w14:textId="77777777" w:rsidR="00552466" w:rsidRPr="00C2587D" w:rsidRDefault="00552466" w:rsidP="00D7011A">
            <w:pPr>
              <w:rPr>
                <w:rFonts w:cs="Arial"/>
                <w:b/>
                <w:bCs/>
                <w:color w:val="000000"/>
                <w:szCs w:val="22"/>
              </w:rPr>
            </w:pPr>
            <w:r w:rsidRPr="00C2587D">
              <w:rPr>
                <w:rFonts w:cs="Arial"/>
                <w:b/>
                <w:bCs/>
                <w:color w:val="000000"/>
                <w:szCs w:val="22"/>
              </w:rPr>
              <w:t>Основні заходи проєкту:</w:t>
            </w:r>
          </w:p>
        </w:tc>
        <w:tc>
          <w:tcPr>
            <w:tcW w:w="6954" w:type="dxa"/>
            <w:gridSpan w:val="5"/>
            <w:shd w:val="clear" w:color="auto" w:fill="FFFFFF"/>
          </w:tcPr>
          <w:p w14:paraId="05A7A28B" w14:textId="77777777" w:rsidR="00552466" w:rsidRPr="00C2587D" w:rsidRDefault="00552466" w:rsidP="00D7011A">
            <w:pPr>
              <w:spacing w:before="40" w:after="40"/>
              <w:jc w:val="both"/>
              <w:rPr>
                <w:rFonts w:cs="Arial"/>
                <w:szCs w:val="22"/>
              </w:rPr>
            </w:pPr>
            <w:r w:rsidRPr="00C2587D">
              <w:rPr>
                <w:rFonts w:cs="Arial"/>
                <w:szCs w:val="22"/>
                <w:lang w:eastAsia="it-IT"/>
              </w:rPr>
              <w:t>З</w:t>
            </w:r>
            <w:r w:rsidRPr="00C2587D">
              <w:rPr>
                <w:rFonts w:cs="Arial"/>
                <w:szCs w:val="22"/>
              </w:rPr>
              <w:t>амовлення проєктів землеустрою</w:t>
            </w:r>
          </w:p>
        </w:tc>
      </w:tr>
      <w:tr w:rsidR="00552466" w:rsidRPr="00C2587D" w14:paraId="42262086" w14:textId="77777777" w:rsidTr="00D7011A">
        <w:trPr>
          <w:jc w:val="right"/>
        </w:trPr>
        <w:tc>
          <w:tcPr>
            <w:tcW w:w="3425" w:type="dxa"/>
            <w:shd w:val="clear" w:color="auto" w:fill="FFFFFF"/>
            <w:vAlign w:val="center"/>
          </w:tcPr>
          <w:p w14:paraId="7F243BD6" w14:textId="77777777" w:rsidR="00552466" w:rsidRPr="00C2587D" w:rsidRDefault="00552466" w:rsidP="00D7011A">
            <w:pPr>
              <w:rPr>
                <w:rFonts w:cs="Arial"/>
                <w:b/>
                <w:bCs/>
                <w:color w:val="000000"/>
                <w:szCs w:val="22"/>
              </w:rPr>
            </w:pPr>
            <w:r w:rsidRPr="00C2587D">
              <w:rPr>
                <w:rFonts w:cs="Arial"/>
                <w:b/>
                <w:bCs/>
                <w:color w:val="000000"/>
                <w:szCs w:val="22"/>
              </w:rPr>
              <w:t>Індикатори (показники) результативності:</w:t>
            </w:r>
          </w:p>
        </w:tc>
        <w:tc>
          <w:tcPr>
            <w:tcW w:w="6954" w:type="dxa"/>
            <w:gridSpan w:val="5"/>
            <w:shd w:val="clear" w:color="auto" w:fill="FFFFFF"/>
          </w:tcPr>
          <w:p w14:paraId="2C187AA7" w14:textId="77777777" w:rsidR="00552466" w:rsidRPr="00C2587D" w:rsidRDefault="00552466" w:rsidP="00D7011A">
            <w:pPr>
              <w:spacing w:before="40" w:after="40"/>
              <w:jc w:val="both"/>
              <w:rPr>
                <w:rFonts w:cs="Arial"/>
                <w:bCs/>
                <w:szCs w:val="22"/>
              </w:rPr>
            </w:pPr>
            <w:r w:rsidRPr="00C2587D">
              <w:rPr>
                <w:rStyle w:val="afd"/>
                <w:rFonts w:cs="Arial"/>
                <w:b w:val="0"/>
                <w:szCs w:val="22"/>
              </w:rPr>
              <w:t>Розроблення 20 проєктів землеустрою, що надасть можливість встановити межі, закріпити на місцевості та внести до Державного земельного кадастру</w:t>
            </w:r>
          </w:p>
        </w:tc>
      </w:tr>
      <w:tr w:rsidR="00552466" w:rsidRPr="00C2587D" w14:paraId="19FC977A" w14:textId="77777777" w:rsidTr="00201B0C">
        <w:trPr>
          <w:trHeight w:val="426"/>
          <w:jc w:val="right"/>
        </w:trPr>
        <w:tc>
          <w:tcPr>
            <w:tcW w:w="3425" w:type="dxa"/>
            <w:shd w:val="clear" w:color="auto" w:fill="FFFFFF"/>
            <w:vAlign w:val="center"/>
          </w:tcPr>
          <w:p w14:paraId="4BBA95F0" w14:textId="77777777" w:rsidR="00552466" w:rsidRPr="00C2587D" w:rsidRDefault="00552466" w:rsidP="00D7011A">
            <w:pPr>
              <w:rPr>
                <w:rFonts w:cs="Arial"/>
                <w:b/>
                <w:color w:val="000000"/>
                <w:szCs w:val="22"/>
              </w:rPr>
            </w:pPr>
            <w:r w:rsidRPr="00C2587D">
              <w:rPr>
                <w:rFonts w:cs="Arial"/>
                <w:b/>
                <w:color w:val="000000"/>
                <w:szCs w:val="22"/>
              </w:rPr>
              <w:t xml:space="preserve">Період здійснення: </w:t>
            </w:r>
          </w:p>
        </w:tc>
        <w:tc>
          <w:tcPr>
            <w:tcW w:w="6954" w:type="dxa"/>
            <w:gridSpan w:val="5"/>
            <w:vAlign w:val="center"/>
          </w:tcPr>
          <w:p w14:paraId="5016E92F" w14:textId="77777777" w:rsidR="00552466" w:rsidRPr="00C2587D" w:rsidRDefault="00552466" w:rsidP="00D7011A">
            <w:pPr>
              <w:rPr>
                <w:rFonts w:cs="Arial"/>
                <w:color w:val="000000"/>
                <w:szCs w:val="22"/>
                <w:lang w:eastAsia="it-IT"/>
              </w:rPr>
            </w:pPr>
            <w:r w:rsidRPr="00C2587D">
              <w:rPr>
                <w:rFonts w:cs="Arial"/>
                <w:b/>
                <w:color w:val="000000"/>
                <w:szCs w:val="22"/>
              </w:rPr>
              <w:t>2025 – 2028 роки:</w:t>
            </w:r>
          </w:p>
        </w:tc>
      </w:tr>
      <w:tr w:rsidR="00552466" w:rsidRPr="00C2587D" w14:paraId="6B4BF6AE" w14:textId="77777777" w:rsidTr="00D7011A">
        <w:trPr>
          <w:jc w:val="right"/>
        </w:trPr>
        <w:tc>
          <w:tcPr>
            <w:tcW w:w="3425" w:type="dxa"/>
            <w:vMerge w:val="restart"/>
            <w:shd w:val="clear" w:color="auto" w:fill="FFFFFF"/>
            <w:vAlign w:val="center"/>
          </w:tcPr>
          <w:p w14:paraId="0A4BF046" w14:textId="77777777" w:rsidR="00552466" w:rsidRPr="00C2587D" w:rsidRDefault="00552466" w:rsidP="00D7011A">
            <w:pPr>
              <w:rPr>
                <w:rFonts w:cs="Arial"/>
                <w:b/>
                <w:bCs/>
                <w:color w:val="000000"/>
                <w:szCs w:val="22"/>
              </w:rPr>
            </w:pPr>
            <w:r w:rsidRPr="00C2587D">
              <w:rPr>
                <w:rFonts w:cs="Arial"/>
                <w:b/>
                <w:bCs/>
                <w:color w:val="000000"/>
                <w:szCs w:val="22"/>
              </w:rPr>
              <w:t>Орієнтовна вартість проєкту, тис. грн., в тому числі:</w:t>
            </w:r>
          </w:p>
        </w:tc>
        <w:tc>
          <w:tcPr>
            <w:tcW w:w="1254" w:type="dxa"/>
            <w:shd w:val="clear" w:color="auto" w:fill="E6E6E6"/>
            <w:vAlign w:val="center"/>
          </w:tcPr>
          <w:p w14:paraId="1E4D75D0" w14:textId="77777777" w:rsidR="00552466" w:rsidRPr="00C2587D" w:rsidRDefault="00552466" w:rsidP="00D7011A">
            <w:pPr>
              <w:jc w:val="center"/>
              <w:rPr>
                <w:rFonts w:cs="Arial"/>
                <w:b/>
                <w:color w:val="000000"/>
                <w:szCs w:val="22"/>
                <w:lang w:eastAsia="it-IT"/>
              </w:rPr>
            </w:pPr>
            <w:r w:rsidRPr="00C2587D">
              <w:rPr>
                <w:rFonts w:cs="Arial"/>
                <w:b/>
                <w:color w:val="000000"/>
                <w:szCs w:val="22"/>
                <w:lang w:eastAsia="it-IT"/>
              </w:rPr>
              <w:t>2025</w:t>
            </w:r>
          </w:p>
        </w:tc>
        <w:tc>
          <w:tcPr>
            <w:tcW w:w="1417" w:type="dxa"/>
            <w:shd w:val="clear" w:color="auto" w:fill="E6E6E6"/>
            <w:vAlign w:val="center"/>
          </w:tcPr>
          <w:p w14:paraId="1CAD71E0" w14:textId="77777777" w:rsidR="00552466" w:rsidRPr="00C2587D" w:rsidRDefault="00552466" w:rsidP="00D7011A">
            <w:pPr>
              <w:jc w:val="center"/>
              <w:rPr>
                <w:rFonts w:cs="Arial"/>
                <w:b/>
                <w:color w:val="000000"/>
                <w:szCs w:val="22"/>
                <w:lang w:eastAsia="it-IT"/>
              </w:rPr>
            </w:pPr>
            <w:r w:rsidRPr="00C2587D">
              <w:rPr>
                <w:rFonts w:cs="Arial"/>
                <w:b/>
                <w:color w:val="000000"/>
                <w:szCs w:val="22"/>
                <w:lang w:eastAsia="it-IT"/>
              </w:rPr>
              <w:t>2026</w:t>
            </w:r>
          </w:p>
        </w:tc>
        <w:tc>
          <w:tcPr>
            <w:tcW w:w="1418" w:type="dxa"/>
            <w:tcBorders>
              <w:bottom w:val="single" w:sz="4" w:space="0" w:color="auto"/>
            </w:tcBorders>
            <w:shd w:val="clear" w:color="auto" w:fill="E6E6E6"/>
            <w:vAlign w:val="center"/>
          </w:tcPr>
          <w:p w14:paraId="44F65286" w14:textId="77777777" w:rsidR="00552466" w:rsidRPr="00C2587D" w:rsidRDefault="00552466" w:rsidP="00D7011A">
            <w:pPr>
              <w:jc w:val="center"/>
              <w:rPr>
                <w:rFonts w:cs="Arial"/>
                <w:b/>
                <w:color w:val="000000"/>
                <w:szCs w:val="22"/>
                <w:lang w:eastAsia="it-IT"/>
              </w:rPr>
            </w:pPr>
            <w:r w:rsidRPr="00C2587D">
              <w:rPr>
                <w:rFonts w:cs="Arial"/>
                <w:b/>
                <w:color w:val="000000"/>
                <w:szCs w:val="22"/>
                <w:lang w:eastAsia="it-IT"/>
              </w:rPr>
              <w:t>2027</w:t>
            </w:r>
          </w:p>
        </w:tc>
        <w:tc>
          <w:tcPr>
            <w:tcW w:w="1275" w:type="dxa"/>
            <w:shd w:val="clear" w:color="auto" w:fill="E6E6E6"/>
            <w:vAlign w:val="center"/>
          </w:tcPr>
          <w:p w14:paraId="38C8C8B4" w14:textId="77777777" w:rsidR="00552466" w:rsidRPr="00C2587D" w:rsidRDefault="00552466" w:rsidP="00D7011A">
            <w:pPr>
              <w:jc w:val="center"/>
              <w:rPr>
                <w:rFonts w:cs="Arial"/>
                <w:b/>
                <w:color w:val="000000"/>
                <w:szCs w:val="22"/>
                <w:lang w:eastAsia="it-IT"/>
              </w:rPr>
            </w:pPr>
            <w:r w:rsidRPr="00C2587D">
              <w:rPr>
                <w:rFonts w:cs="Arial"/>
                <w:b/>
                <w:color w:val="000000"/>
                <w:szCs w:val="22"/>
                <w:lang w:eastAsia="it-IT"/>
              </w:rPr>
              <w:t>2028</w:t>
            </w:r>
          </w:p>
        </w:tc>
        <w:tc>
          <w:tcPr>
            <w:tcW w:w="1590" w:type="dxa"/>
            <w:shd w:val="clear" w:color="auto" w:fill="E6E6E6"/>
            <w:vAlign w:val="center"/>
          </w:tcPr>
          <w:p w14:paraId="09C87C0F" w14:textId="77777777" w:rsidR="00552466" w:rsidRPr="00C2587D" w:rsidRDefault="00552466" w:rsidP="00D7011A">
            <w:pPr>
              <w:jc w:val="center"/>
              <w:rPr>
                <w:rFonts w:cs="Arial"/>
                <w:b/>
                <w:color w:val="000000"/>
                <w:szCs w:val="22"/>
                <w:lang w:eastAsia="it-IT"/>
              </w:rPr>
            </w:pPr>
            <w:r w:rsidRPr="00C2587D">
              <w:rPr>
                <w:rFonts w:cs="Arial"/>
                <w:b/>
                <w:color w:val="000000"/>
                <w:szCs w:val="22"/>
                <w:lang w:eastAsia="it-IT"/>
              </w:rPr>
              <w:t>РАЗОМ</w:t>
            </w:r>
          </w:p>
        </w:tc>
      </w:tr>
      <w:tr w:rsidR="00552466" w:rsidRPr="00C2587D" w14:paraId="459AEC4E" w14:textId="77777777" w:rsidTr="00D7011A">
        <w:trPr>
          <w:trHeight w:val="645"/>
          <w:jc w:val="right"/>
        </w:trPr>
        <w:tc>
          <w:tcPr>
            <w:tcW w:w="3425" w:type="dxa"/>
            <w:vMerge/>
            <w:shd w:val="clear" w:color="auto" w:fill="FFFFFF"/>
            <w:vAlign w:val="center"/>
          </w:tcPr>
          <w:p w14:paraId="5C4369FE" w14:textId="77777777" w:rsidR="00552466" w:rsidRPr="00C2587D" w:rsidRDefault="00552466" w:rsidP="00D7011A">
            <w:pPr>
              <w:rPr>
                <w:rFonts w:cs="Arial"/>
                <w:b/>
                <w:bCs/>
                <w:color w:val="000000"/>
                <w:szCs w:val="22"/>
              </w:rPr>
            </w:pPr>
          </w:p>
        </w:tc>
        <w:tc>
          <w:tcPr>
            <w:tcW w:w="1254" w:type="dxa"/>
            <w:vAlign w:val="center"/>
          </w:tcPr>
          <w:p w14:paraId="21462DFC" w14:textId="77777777" w:rsidR="00552466" w:rsidRPr="00C2587D" w:rsidRDefault="00552466" w:rsidP="00D7011A">
            <w:pPr>
              <w:jc w:val="center"/>
              <w:rPr>
                <w:rFonts w:cs="Arial"/>
                <w:szCs w:val="22"/>
                <w:lang w:eastAsia="it-IT"/>
              </w:rPr>
            </w:pPr>
            <w:r w:rsidRPr="00C2587D">
              <w:rPr>
                <w:rFonts w:cs="Arial"/>
                <w:szCs w:val="22"/>
                <w:lang w:eastAsia="it-IT"/>
              </w:rPr>
              <w:t>105,00</w:t>
            </w:r>
          </w:p>
        </w:tc>
        <w:tc>
          <w:tcPr>
            <w:tcW w:w="1417" w:type="dxa"/>
            <w:shd w:val="clear" w:color="auto" w:fill="FFFFFF"/>
            <w:vAlign w:val="center"/>
          </w:tcPr>
          <w:p w14:paraId="1C5EE7ED" w14:textId="77777777" w:rsidR="00552466" w:rsidRPr="00C2587D" w:rsidRDefault="00552466" w:rsidP="00D7011A">
            <w:pPr>
              <w:jc w:val="center"/>
              <w:rPr>
                <w:rFonts w:cs="Arial"/>
                <w:szCs w:val="22"/>
                <w:lang w:eastAsia="it-IT"/>
              </w:rPr>
            </w:pPr>
            <w:r w:rsidRPr="00C2587D">
              <w:rPr>
                <w:rFonts w:cs="Arial"/>
                <w:szCs w:val="22"/>
                <w:lang w:eastAsia="it-IT"/>
              </w:rPr>
              <w:t>105,00</w:t>
            </w:r>
          </w:p>
        </w:tc>
        <w:tc>
          <w:tcPr>
            <w:tcW w:w="1418" w:type="dxa"/>
            <w:shd w:val="clear" w:color="auto" w:fill="auto"/>
            <w:vAlign w:val="center"/>
          </w:tcPr>
          <w:p w14:paraId="7FF43E98" w14:textId="77777777" w:rsidR="00552466" w:rsidRPr="00C2587D" w:rsidRDefault="00552466" w:rsidP="00D7011A">
            <w:pPr>
              <w:jc w:val="center"/>
              <w:rPr>
                <w:rFonts w:cs="Arial"/>
                <w:szCs w:val="22"/>
                <w:lang w:eastAsia="it-IT"/>
              </w:rPr>
            </w:pPr>
            <w:r w:rsidRPr="00C2587D">
              <w:rPr>
                <w:rFonts w:cs="Arial"/>
                <w:szCs w:val="22"/>
                <w:lang w:eastAsia="it-IT"/>
              </w:rPr>
              <w:t>0</w:t>
            </w:r>
          </w:p>
        </w:tc>
        <w:tc>
          <w:tcPr>
            <w:tcW w:w="1275" w:type="dxa"/>
            <w:shd w:val="clear" w:color="auto" w:fill="FFFFFF"/>
            <w:vAlign w:val="center"/>
          </w:tcPr>
          <w:p w14:paraId="581242B5" w14:textId="77777777" w:rsidR="00552466" w:rsidRPr="00C2587D" w:rsidRDefault="00552466" w:rsidP="00D7011A">
            <w:pPr>
              <w:jc w:val="center"/>
              <w:rPr>
                <w:rFonts w:cs="Arial"/>
                <w:szCs w:val="22"/>
                <w:lang w:eastAsia="it-IT"/>
              </w:rPr>
            </w:pPr>
            <w:r w:rsidRPr="00C2587D">
              <w:rPr>
                <w:rFonts w:cs="Arial"/>
                <w:szCs w:val="22"/>
                <w:lang w:eastAsia="it-IT"/>
              </w:rPr>
              <w:t>0</w:t>
            </w:r>
          </w:p>
        </w:tc>
        <w:tc>
          <w:tcPr>
            <w:tcW w:w="1590" w:type="dxa"/>
            <w:shd w:val="clear" w:color="auto" w:fill="FFFFFF"/>
            <w:vAlign w:val="center"/>
          </w:tcPr>
          <w:p w14:paraId="4F95EC66" w14:textId="77777777" w:rsidR="00552466" w:rsidRPr="00C2587D" w:rsidRDefault="00552466" w:rsidP="00D7011A">
            <w:pPr>
              <w:jc w:val="center"/>
              <w:rPr>
                <w:rFonts w:cs="Arial"/>
                <w:szCs w:val="22"/>
                <w:lang w:eastAsia="it-IT"/>
              </w:rPr>
            </w:pPr>
            <w:r w:rsidRPr="00C2587D">
              <w:rPr>
                <w:rFonts w:cs="Arial"/>
                <w:szCs w:val="22"/>
                <w:lang w:eastAsia="it-IT"/>
              </w:rPr>
              <w:t>210,00</w:t>
            </w:r>
          </w:p>
        </w:tc>
      </w:tr>
      <w:tr w:rsidR="00552466" w:rsidRPr="00C2587D" w14:paraId="526FDE35" w14:textId="77777777" w:rsidTr="00D7011A">
        <w:trPr>
          <w:trHeight w:val="276"/>
          <w:jc w:val="right"/>
        </w:trPr>
        <w:tc>
          <w:tcPr>
            <w:tcW w:w="3425" w:type="dxa"/>
            <w:shd w:val="clear" w:color="auto" w:fill="FFFFFF"/>
            <w:vAlign w:val="center"/>
          </w:tcPr>
          <w:p w14:paraId="636851B6" w14:textId="77777777" w:rsidR="00552466" w:rsidRPr="00C2587D" w:rsidRDefault="00552466" w:rsidP="00D7011A">
            <w:pPr>
              <w:rPr>
                <w:rFonts w:cs="Arial"/>
                <w:b/>
                <w:bCs/>
                <w:color w:val="000000"/>
                <w:szCs w:val="22"/>
              </w:rPr>
            </w:pPr>
            <w:r w:rsidRPr="00C2587D">
              <w:rPr>
                <w:rFonts w:cs="Arial"/>
                <w:b/>
                <w:bCs/>
                <w:color w:val="000000"/>
                <w:szCs w:val="22"/>
              </w:rPr>
              <w:t>по джерелах фінансування:</w:t>
            </w:r>
          </w:p>
        </w:tc>
        <w:tc>
          <w:tcPr>
            <w:tcW w:w="1254" w:type="dxa"/>
            <w:vAlign w:val="center"/>
          </w:tcPr>
          <w:p w14:paraId="3413AA1B" w14:textId="77777777" w:rsidR="00552466" w:rsidRPr="00C2587D" w:rsidRDefault="00552466" w:rsidP="00D7011A">
            <w:pPr>
              <w:jc w:val="center"/>
              <w:rPr>
                <w:rFonts w:cs="Arial"/>
                <w:szCs w:val="22"/>
                <w:lang w:eastAsia="it-IT"/>
              </w:rPr>
            </w:pPr>
          </w:p>
        </w:tc>
        <w:tc>
          <w:tcPr>
            <w:tcW w:w="1417" w:type="dxa"/>
            <w:shd w:val="clear" w:color="auto" w:fill="FFFFFF"/>
            <w:vAlign w:val="center"/>
          </w:tcPr>
          <w:p w14:paraId="7171925E" w14:textId="77777777" w:rsidR="00552466" w:rsidRPr="00C2587D" w:rsidRDefault="00552466" w:rsidP="00D7011A">
            <w:pPr>
              <w:jc w:val="center"/>
              <w:rPr>
                <w:rFonts w:cs="Arial"/>
                <w:szCs w:val="22"/>
                <w:lang w:eastAsia="it-IT"/>
              </w:rPr>
            </w:pPr>
          </w:p>
        </w:tc>
        <w:tc>
          <w:tcPr>
            <w:tcW w:w="1418" w:type="dxa"/>
            <w:shd w:val="clear" w:color="auto" w:fill="auto"/>
            <w:vAlign w:val="center"/>
          </w:tcPr>
          <w:p w14:paraId="2D0901B5" w14:textId="77777777" w:rsidR="00552466" w:rsidRPr="00C2587D" w:rsidRDefault="00552466" w:rsidP="00D7011A">
            <w:pPr>
              <w:jc w:val="center"/>
              <w:rPr>
                <w:rFonts w:cs="Arial"/>
                <w:szCs w:val="22"/>
                <w:lang w:eastAsia="it-IT"/>
              </w:rPr>
            </w:pPr>
          </w:p>
        </w:tc>
        <w:tc>
          <w:tcPr>
            <w:tcW w:w="1275" w:type="dxa"/>
            <w:shd w:val="clear" w:color="auto" w:fill="FFFFFF"/>
            <w:vAlign w:val="center"/>
          </w:tcPr>
          <w:p w14:paraId="4D934369" w14:textId="77777777" w:rsidR="00552466" w:rsidRPr="00C2587D" w:rsidRDefault="00552466" w:rsidP="00D7011A">
            <w:pPr>
              <w:jc w:val="center"/>
              <w:rPr>
                <w:rFonts w:cs="Arial"/>
                <w:szCs w:val="22"/>
                <w:lang w:eastAsia="it-IT"/>
              </w:rPr>
            </w:pPr>
          </w:p>
        </w:tc>
        <w:tc>
          <w:tcPr>
            <w:tcW w:w="1590" w:type="dxa"/>
            <w:shd w:val="clear" w:color="auto" w:fill="FFFFFF"/>
            <w:vAlign w:val="center"/>
          </w:tcPr>
          <w:p w14:paraId="258DF800" w14:textId="77777777" w:rsidR="00552466" w:rsidRPr="00C2587D" w:rsidRDefault="00552466" w:rsidP="00D7011A">
            <w:pPr>
              <w:jc w:val="center"/>
              <w:rPr>
                <w:rFonts w:cs="Arial"/>
                <w:szCs w:val="22"/>
                <w:lang w:eastAsia="it-IT"/>
              </w:rPr>
            </w:pPr>
          </w:p>
        </w:tc>
      </w:tr>
      <w:tr w:rsidR="00552466" w:rsidRPr="00C2587D" w14:paraId="26174D5C" w14:textId="77777777" w:rsidTr="00D7011A">
        <w:trPr>
          <w:trHeight w:val="230"/>
          <w:jc w:val="right"/>
        </w:trPr>
        <w:tc>
          <w:tcPr>
            <w:tcW w:w="3425" w:type="dxa"/>
            <w:shd w:val="clear" w:color="auto" w:fill="FFFFFF"/>
            <w:vAlign w:val="center"/>
          </w:tcPr>
          <w:p w14:paraId="28AC78AA" w14:textId="77777777" w:rsidR="00552466" w:rsidRPr="00C2587D" w:rsidRDefault="00552466" w:rsidP="00D7011A">
            <w:pPr>
              <w:rPr>
                <w:rFonts w:cs="Arial"/>
                <w:bCs/>
                <w:color w:val="000000"/>
                <w:szCs w:val="22"/>
              </w:rPr>
            </w:pPr>
            <w:r w:rsidRPr="00C2587D">
              <w:rPr>
                <w:rFonts w:cs="Arial"/>
                <w:bCs/>
                <w:color w:val="000000"/>
                <w:szCs w:val="22"/>
              </w:rPr>
              <w:t>-державний бюджет</w:t>
            </w:r>
          </w:p>
        </w:tc>
        <w:tc>
          <w:tcPr>
            <w:tcW w:w="1254" w:type="dxa"/>
            <w:vAlign w:val="center"/>
          </w:tcPr>
          <w:p w14:paraId="7B9DCA53" w14:textId="77777777" w:rsidR="00552466" w:rsidRPr="00C2587D" w:rsidRDefault="00552466" w:rsidP="00D7011A">
            <w:pPr>
              <w:jc w:val="center"/>
              <w:rPr>
                <w:rFonts w:cs="Arial"/>
                <w:szCs w:val="22"/>
                <w:lang w:eastAsia="it-IT"/>
              </w:rPr>
            </w:pPr>
          </w:p>
        </w:tc>
        <w:tc>
          <w:tcPr>
            <w:tcW w:w="1417" w:type="dxa"/>
            <w:shd w:val="clear" w:color="auto" w:fill="FFFFFF"/>
            <w:vAlign w:val="center"/>
          </w:tcPr>
          <w:p w14:paraId="6F67D7AC" w14:textId="77777777" w:rsidR="00552466" w:rsidRPr="00C2587D" w:rsidRDefault="00552466" w:rsidP="00D7011A">
            <w:pPr>
              <w:jc w:val="center"/>
              <w:rPr>
                <w:rFonts w:cs="Arial"/>
                <w:szCs w:val="22"/>
                <w:lang w:eastAsia="it-IT"/>
              </w:rPr>
            </w:pPr>
          </w:p>
        </w:tc>
        <w:tc>
          <w:tcPr>
            <w:tcW w:w="1418" w:type="dxa"/>
            <w:shd w:val="clear" w:color="auto" w:fill="auto"/>
            <w:vAlign w:val="center"/>
          </w:tcPr>
          <w:p w14:paraId="7DC9D5B2" w14:textId="77777777" w:rsidR="00552466" w:rsidRPr="00C2587D" w:rsidRDefault="00552466" w:rsidP="00D7011A">
            <w:pPr>
              <w:jc w:val="center"/>
              <w:rPr>
                <w:rFonts w:cs="Arial"/>
                <w:szCs w:val="22"/>
                <w:lang w:eastAsia="it-IT"/>
              </w:rPr>
            </w:pPr>
          </w:p>
        </w:tc>
        <w:tc>
          <w:tcPr>
            <w:tcW w:w="1275" w:type="dxa"/>
            <w:shd w:val="clear" w:color="auto" w:fill="FFFFFF"/>
            <w:vAlign w:val="center"/>
          </w:tcPr>
          <w:p w14:paraId="43180360" w14:textId="77777777" w:rsidR="00552466" w:rsidRPr="00C2587D" w:rsidRDefault="00552466" w:rsidP="00D7011A">
            <w:pPr>
              <w:jc w:val="center"/>
              <w:rPr>
                <w:rFonts w:cs="Arial"/>
                <w:szCs w:val="22"/>
                <w:lang w:eastAsia="it-IT"/>
              </w:rPr>
            </w:pPr>
          </w:p>
        </w:tc>
        <w:tc>
          <w:tcPr>
            <w:tcW w:w="1590" w:type="dxa"/>
            <w:shd w:val="clear" w:color="auto" w:fill="FFFFFF"/>
            <w:vAlign w:val="center"/>
          </w:tcPr>
          <w:p w14:paraId="0B466181" w14:textId="77777777" w:rsidR="00552466" w:rsidRPr="00C2587D" w:rsidRDefault="00552466" w:rsidP="00D7011A">
            <w:pPr>
              <w:jc w:val="center"/>
              <w:rPr>
                <w:rFonts w:cs="Arial"/>
                <w:szCs w:val="22"/>
                <w:lang w:eastAsia="it-IT"/>
              </w:rPr>
            </w:pPr>
          </w:p>
        </w:tc>
      </w:tr>
      <w:tr w:rsidR="00552466" w:rsidRPr="00C2587D" w14:paraId="25984D85" w14:textId="77777777" w:rsidTr="00D7011A">
        <w:trPr>
          <w:trHeight w:val="253"/>
          <w:jc w:val="right"/>
        </w:trPr>
        <w:tc>
          <w:tcPr>
            <w:tcW w:w="3425" w:type="dxa"/>
            <w:shd w:val="clear" w:color="auto" w:fill="FFFFFF"/>
            <w:vAlign w:val="center"/>
          </w:tcPr>
          <w:p w14:paraId="66FF7E70" w14:textId="77777777" w:rsidR="00552466" w:rsidRPr="00C2587D" w:rsidRDefault="00552466" w:rsidP="00D7011A">
            <w:pPr>
              <w:rPr>
                <w:rFonts w:cs="Arial"/>
                <w:bCs/>
                <w:color w:val="000000"/>
                <w:szCs w:val="22"/>
              </w:rPr>
            </w:pPr>
            <w:r w:rsidRPr="00C2587D">
              <w:rPr>
                <w:rFonts w:cs="Arial"/>
                <w:bCs/>
                <w:color w:val="000000"/>
                <w:szCs w:val="22"/>
              </w:rPr>
              <w:t>-обласний бюджет</w:t>
            </w:r>
          </w:p>
        </w:tc>
        <w:tc>
          <w:tcPr>
            <w:tcW w:w="1254" w:type="dxa"/>
            <w:vAlign w:val="center"/>
          </w:tcPr>
          <w:p w14:paraId="72A27B7B" w14:textId="77777777" w:rsidR="00552466" w:rsidRPr="00C2587D" w:rsidRDefault="00552466" w:rsidP="00D7011A">
            <w:pPr>
              <w:jc w:val="center"/>
              <w:rPr>
                <w:rFonts w:cs="Arial"/>
                <w:szCs w:val="22"/>
                <w:lang w:eastAsia="it-IT"/>
              </w:rPr>
            </w:pPr>
          </w:p>
        </w:tc>
        <w:tc>
          <w:tcPr>
            <w:tcW w:w="1417" w:type="dxa"/>
            <w:shd w:val="clear" w:color="auto" w:fill="FFFFFF"/>
            <w:vAlign w:val="center"/>
          </w:tcPr>
          <w:p w14:paraId="5E6813FE" w14:textId="77777777" w:rsidR="00552466" w:rsidRPr="00C2587D" w:rsidRDefault="00552466" w:rsidP="00D7011A">
            <w:pPr>
              <w:jc w:val="center"/>
              <w:rPr>
                <w:rFonts w:cs="Arial"/>
                <w:szCs w:val="22"/>
                <w:lang w:eastAsia="it-IT"/>
              </w:rPr>
            </w:pPr>
          </w:p>
        </w:tc>
        <w:tc>
          <w:tcPr>
            <w:tcW w:w="1418" w:type="dxa"/>
            <w:shd w:val="clear" w:color="auto" w:fill="auto"/>
            <w:vAlign w:val="center"/>
          </w:tcPr>
          <w:p w14:paraId="59D3F048" w14:textId="77777777" w:rsidR="00552466" w:rsidRPr="00C2587D" w:rsidRDefault="00552466" w:rsidP="00D7011A">
            <w:pPr>
              <w:jc w:val="center"/>
              <w:rPr>
                <w:rFonts w:cs="Arial"/>
                <w:szCs w:val="22"/>
                <w:lang w:eastAsia="it-IT"/>
              </w:rPr>
            </w:pPr>
          </w:p>
        </w:tc>
        <w:tc>
          <w:tcPr>
            <w:tcW w:w="1275" w:type="dxa"/>
            <w:shd w:val="clear" w:color="auto" w:fill="FFFFFF"/>
            <w:vAlign w:val="center"/>
          </w:tcPr>
          <w:p w14:paraId="32B5E169" w14:textId="77777777" w:rsidR="00552466" w:rsidRPr="00C2587D" w:rsidRDefault="00552466" w:rsidP="00D7011A">
            <w:pPr>
              <w:jc w:val="center"/>
              <w:rPr>
                <w:rFonts w:cs="Arial"/>
                <w:szCs w:val="22"/>
                <w:lang w:eastAsia="it-IT"/>
              </w:rPr>
            </w:pPr>
          </w:p>
        </w:tc>
        <w:tc>
          <w:tcPr>
            <w:tcW w:w="1590" w:type="dxa"/>
            <w:shd w:val="clear" w:color="auto" w:fill="FFFFFF"/>
            <w:vAlign w:val="center"/>
          </w:tcPr>
          <w:p w14:paraId="0695382A" w14:textId="77777777" w:rsidR="00552466" w:rsidRPr="00C2587D" w:rsidRDefault="00552466" w:rsidP="00D7011A">
            <w:pPr>
              <w:jc w:val="center"/>
              <w:rPr>
                <w:rFonts w:cs="Arial"/>
                <w:szCs w:val="22"/>
                <w:lang w:eastAsia="it-IT"/>
              </w:rPr>
            </w:pPr>
          </w:p>
        </w:tc>
      </w:tr>
      <w:tr w:rsidR="00552466" w:rsidRPr="00C2587D" w14:paraId="5BAB396F" w14:textId="77777777" w:rsidTr="00D7011A">
        <w:trPr>
          <w:trHeight w:val="264"/>
          <w:jc w:val="right"/>
        </w:trPr>
        <w:tc>
          <w:tcPr>
            <w:tcW w:w="3425" w:type="dxa"/>
            <w:shd w:val="clear" w:color="auto" w:fill="FFFFFF"/>
            <w:vAlign w:val="center"/>
          </w:tcPr>
          <w:p w14:paraId="5EE2ABE0" w14:textId="77777777" w:rsidR="00552466" w:rsidRPr="00C2587D" w:rsidRDefault="00552466" w:rsidP="00D7011A">
            <w:pPr>
              <w:rPr>
                <w:rFonts w:cs="Arial"/>
                <w:bCs/>
                <w:color w:val="000000"/>
                <w:szCs w:val="22"/>
              </w:rPr>
            </w:pPr>
            <w:r w:rsidRPr="00C2587D">
              <w:rPr>
                <w:rFonts w:cs="Arial"/>
                <w:bCs/>
                <w:color w:val="000000"/>
                <w:szCs w:val="22"/>
              </w:rPr>
              <w:t>-бюджет Жмеринської МТГ</w:t>
            </w:r>
          </w:p>
        </w:tc>
        <w:tc>
          <w:tcPr>
            <w:tcW w:w="1254" w:type="dxa"/>
            <w:vAlign w:val="center"/>
          </w:tcPr>
          <w:p w14:paraId="38E891EF" w14:textId="77777777" w:rsidR="00552466" w:rsidRPr="00C2587D" w:rsidRDefault="00552466" w:rsidP="00D7011A">
            <w:pPr>
              <w:jc w:val="center"/>
              <w:rPr>
                <w:rFonts w:cs="Arial"/>
                <w:szCs w:val="22"/>
                <w:lang w:eastAsia="it-IT"/>
              </w:rPr>
            </w:pPr>
            <w:r w:rsidRPr="00C2587D">
              <w:rPr>
                <w:rFonts w:cs="Arial"/>
                <w:szCs w:val="22"/>
                <w:lang w:eastAsia="it-IT"/>
              </w:rPr>
              <w:t>105,00</w:t>
            </w:r>
          </w:p>
        </w:tc>
        <w:tc>
          <w:tcPr>
            <w:tcW w:w="1417" w:type="dxa"/>
            <w:shd w:val="clear" w:color="auto" w:fill="FFFFFF"/>
            <w:vAlign w:val="center"/>
          </w:tcPr>
          <w:p w14:paraId="4D334455" w14:textId="77777777" w:rsidR="00552466" w:rsidRPr="00C2587D" w:rsidRDefault="00552466" w:rsidP="00D7011A">
            <w:pPr>
              <w:jc w:val="center"/>
              <w:rPr>
                <w:rFonts w:cs="Arial"/>
                <w:szCs w:val="22"/>
                <w:lang w:eastAsia="it-IT"/>
              </w:rPr>
            </w:pPr>
            <w:r w:rsidRPr="00C2587D">
              <w:rPr>
                <w:rFonts w:cs="Arial"/>
                <w:szCs w:val="22"/>
                <w:lang w:eastAsia="it-IT"/>
              </w:rPr>
              <w:t>105,00</w:t>
            </w:r>
          </w:p>
        </w:tc>
        <w:tc>
          <w:tcPr>
            <w:tcW w:w="1418" w:type="dxa"/>
            <w:shd w:val="clear" w:color="auto" w:fill="auto"/>
            <w:vAlign w:val="center"/>
          </w:tcPr>
          <w:p w14:paraId="42D147CC" w14:textId="77777777" w:rsidR="00552466" w:rsidRPr="00C2587D" w:rsidRDefault="00552466" w:rsidP="00D7011A">
            <w:pPr>
              <w:jc w:val="center"/>
              <w:rPr>
                <w:rFonts w:cs="Arial"/>
                <w:szCs w:val="22"/>
                <w:lang w:eastAsia="it-IT"/>
              </w:rPr>
            </w:pPr>
            <w:r w:rsidRPr="00C2587D">
              <w:rPr>
                <w:rFonts w:cs="Arial"/>
                <w:szCs w:val="22"/>
                <w:lang w:eastAsia="it-IT"/>
              </w:rPr>
              <w:t>0</w:t>
            </w:r>
          </w:p>
        </w:tc>
        <w:tc>
          <w:tcPr>
            <w:tcW w:w="1275" w:type="dxa"/>
            <w:shd w:val="clear" w:color="auto" w:fill="FFFFFF"/>
            <w:vAlign w:val="center"/>
          </w:tcPr>
          <w:p w14:paraId="71BC2B8E" w14:textId="77777777" w:rsidR="00552466" w:rsidRPr="00C2587D" w:rsidRDefault="00552466" w:rsidP="00D7011A">
            <w:pPr>
              <w:jc w:val="center"/>
              <w:rPr>
                <w:rFonts w:cs="Arial"/>
                <w:szCs w:val="22"/>
                <w:lang w:eastAsia="it-IT"/>
              </w:rPr>
            </w:pPr>
            <w:r w:rsidRPr="00C2587D">
              <w:rPr>
                <w:rFonts w:cs="Arial"/>
                <w:szCs w:val="22"/>
                <w:lang w:eastAsia="it-IT"/>
              </w:rPr>
              <w:t>0</w:t>
            </w:r>
          </w:p>
        </w:tc>
        <w:tc>
          <w:tcPr>
            <w:tcW w:w="1590" w:type="dxa"/>
            <w:shd w:val="clear" w:color="auto" w:fill="FFFFFF"/>
            <w:vAlign w:val="center"/>
          </w:tcPr>
          <w:p w14:paraId="5ADFED9B" w14:textId="77777777" w:rsidR="00552466" w:rsidRPr="00C2587D" w:rsidRDefault="00552466" w:rsidP="00D7011A">
            <w:pPr>
              <w:jc w:val="center"/>
              <w:rPr>
                <w:rFonts w:cs="Arial"/>
                <w:szCs w:val="22"/>
                <w:lang w:eastAsia="it-IT"/>
              </w:rPr>
            </w:pPr>
            <w:r w:rsidRPr="00C2587D">
              <w:rPr>
                <w:rFonts w:cs="Arial"/>
                <w:szCs w:val="22"/>
                <w:lang w:eastAsia="it-IT"/>
              </w:rPr>
              <w:t>210,00</w:t>
            </w:r>
          </w:p>
        </w:tc>
      </w:tr>
      <w:tr w:rsidR="00552466" w:rsidRPr="00C2587D" w14:paraId="5F3ACCCD" w14:textId="77777777" w:rsidTr="00D7011A">
        <w:trPr>
          <w:trHeight w:val="369"/>
          <w:jc w:val="right"/>
        </w:trPr>
        <w:tc>
          <w:tcPr>
            <w:tcW w:w="3425" w:type="dxa"/>
            <w:shd w:val="clear" w:color="auto" w:fill="FFFFFF"/>
            <w:vAlign w:val="center"/>
          </w:tcPr>
          <w:p w14:paraId="52C74744" w14:textId="77777777" w:rsidR="00552466" w:rsidRPr="00C2587D" w:rsidRDefault="00552466" w:rsidP="00D7011A">
            <w:pPr>
              <w:rPr>
                <w:rFonts w:cs="Arial"/>
                <w:bCs/>
                <w:color w:val="000000"/>
                <w:szCs w:val="22"/>
              </w:rPr>
            </w:pPr>
            <w:r w:rsidRPr="00C2587D">
              <w:rPr>
                <w:rFonts w:cs="Arial"/>
                <w:bCs/>
                <w:color w:val="000000"/>
                <w:szCs w:val="22"/>
              </w:rPr>
              <w:t>-інші джерела фінансування</w:t>
            </w:r>
          </w:p>
        </w:tc>
        <w:tc>
          <w:tcPr>
            <w:tcW w:w="1254" w:type="dxa"/>
            <w:vAlign w:val="center"/>
          </w:tcPr>
          <w:p w14:paraId="4205E3C7" w14:textId="77777777" w:rsidR="00552466" w:rsidRPr="00C2587D" w:rsidRDefault="00552466" w:rsidP="00D7011A">
            <w:pPr>
              <w:rPr>
                <w:rFonts w:cs="Arial"/>
                <w:b/>
                <w:color w:val="000000"/>
                <w:szCs w:val="22"/>
                <w:lang w:eastAsia="it-IT"/>
              </w:rPr>
            </w:pPr>
          </w:p>
        </w:tc>
        <w:tc>
          <w:tcPr>
            <w:tcW w:w="1417" w:type="dxa"/>
            <w:shd w:val="clear" w:color="auto" w:fill="FFFFFF"/>
            <w:vAlign w:val="center"/>
          </w:tcPr>
          <w:p w14:paraId="77002E98" w14:textId="77777777" w:rsidR="00552466" w:rsidRPr="00C2587D" w:rsidRDefault="00552466" w:rsidP="00D7011A">
            <w:pPr>
              <w:jc w:val="center"/>
              <w:rPr>
                <w:rFonts w:cs="Arial"/>
                <w:b/>
                <w:color w:val="000000"/>
                <w:szCs w:val="22"/>
                <w:lang w:eastAsia="it-IT"/>
              </w:rPr>
            </w:pPr>
          </w:p>
        </w:tc>
        <w:tc>
          <w:tcPr>
            <w:tcW w:w="1418" w:type="dxa"/>
            <w:shd w:val="clear" w:color="auto" w:fill="auto"/>
            <w:vAlign w:val="center"/>
          </w:tcPr>
          <w:p w14:paraId="5D086D3C" w14:textId="77777777" w:rsidR="00552466" w:rsidRPr="00C2587D" w:rsidRDefault="00552466" w:rsidP="00D7011A">
            <w:pPr>
              <w:jc w:val="center"/>
              <w:rPr>
                <w:rFonts w:cs="Arial"/>
                <w:b/>
                <w:color w:val="000000"/>
                <w:szCs w:val="22"/>
                <w:lang w:eastAsia="it-IT"/>
              </w:rPr>
            </w:pPr>
          </w:p>
        </w:tc>
        <w:tc>
          <w:tcPr>
            <w:tcW w:w="1275" w:type="dxa"/>
            <w:shd w:val="clear" w:color="auto" w:fill="FFFFFF"/>
            <w:vAlign w:val="center"/>
          </w:tcPr>
          <w:p w14:paraId="275385EB" w14:textId="77777777" w:rsidR="00552466" w:rsidRPr="00C2587D" w:rsidRDefault="00552466" w:rsidP="00D7011A">
            <w:pPr>
              <w:jc w:val="center"/>
              <w:rPr>
                <w:rFonts w:cs="Arial"/>
                <w:b/>
                <w:color w:val="000000"/>
                <w:szCs w:val="22"/>
                <w:lang w:eastAsia="it-IT"/>
              </w:rPr>
            </w:pPr>
          </w:p>
        </w:tc>
        <w:tc>
          <w:tcPr>
            <w:tcW w:w="1590" w:type="dxa"/>
            <w:shd w:val="clear" w:color="auto" w:fill="FFFFFF"/>
            <w:vAlign w:val="center"/>
          </w:tcPr>
          <w:p w14:paraId="4A454A28" w14:textId="77777777" w:rsidR="00552466" w:rsidRPr="00C2587D" w:rsidRDefault="00552466" w:rsidP="00D7011A">
            <w:pPr>
              <w:jc w:val="center"/>
              <w:rPr>
                <w:rFonts w:cs="Arial"/>
                <w:b/>
                <w:color w:val="000000"/>
                <w:szCs w:val="22"/>
                <w:lang w:eastAsia="it-IT"/>
              </w:rPr>
            </w:pPr>
          </w:p>
        </w:tc>
      </w:tr>
      <w:tr w:rsidR="00552466" w:rsidRPr="00C2587D" w14:paraId="4F8F2969" w14:textId="77777777" w:rsidTr="00D7011A">
        <w:trPr>
          <w:jc w:val="right"/>
        </w:trPr>
        <w:tc>
          <w:tcPr>
            <w:tcW w:w="3425" w:type="dxa"/>
            <w:shd w:val="clear" w:color="auto" w:fill="FFFFFF"/>
            <w:vAlign w:val="center"/>
          </w:tcPr>
          <w:p w14:paraId="6DCFC05E" w14:textId="77777777" w:rsidR="00552466" w:rsidRPr="00C2587D" w:rsidRDefault="00552466" w:rsidP="00D7011A">
            <w:pPr>
              <w:rPr>
                <w:rFonts w:cs="Arial"/>
                <w:b/>
                <w:bCs/>
                <w:color w:val="000000"/>
                <w:szCs w:val="22"/>
              </w:rPr>
            </w:pPr>
            <w:r w:rsidRPr="00C2587D">
              <w:rPr>
                <w:rFonts w:cs="Arial"/>
                <w:b/>
                <w:color w:val="000000"/>
                <w:szCs w:val="22"/>
              </w:rPr>
              <w:t>Відповідальний виконавець проєкту:</w:t>
            </w:r>
          </w:p>
        </w:tc>
        <w:tc>
          <w:tcPr>
            <w:tcW w:w="6954" w:type="dxa"/>
            <w:gridSpan w:val="5"/>
            <w:vAlign w:val="center"/>
          </w:tcPr>
          <w:p w14:paraId="5613C591" w14:textId="77777777" w:rsidR="00552466" w:rsidRPr="00C2587D" w:rsidRDefault="00552466" w:rsidP="00D7011A">
            <w:pPr>
              <w:jc w:val="both"/>
              <w:rPr>
                <w:rFonts w:cs="Arial"/>
                <w:color w:val="000000"/>
                <w:szCs w:val="22"/>
                <w:lang w:eastAsia="it-IT"/>
              </w:rPr>
            </w:pPr>
            <w:r w:rsidRPr="00C2587D">
              <w:rPr>
                <w:rFonts w:cs="Arial"/>
                <w:szCs w:val="22"/>
              </w:rPr>
              <w:t>Управління земельних ресурсів виконавчого комітету Жмеринської міської ради, управління житлово – комунального господарства Жмеринської міської ради</w:t>
            </w:r>
          </w:p>
        </w:tc>
      </w:tr>
    </w:tbl>
    <w:p w14:paraId="73B4F7D3" w14:textId="77777777" w:rsidR="00552466" w:rsidRPr="00C2587D" w:rsidRDefault="00552466" w:rsidP="00552466">
      <w:pPr>
        <w:rPr>
          <w:rFonts w:cs="Arial"/>
          <w:szCs w:val="22"/>
        </w:rPr>
      </w:pPr>
    </w:p>
    <w:p w14:paraId="4332ED31" w14:textId="77777777" w:rsidR="00C901BD" w:rsidRPr="00C2587D" w:rsidRDefault="00C901BD" w:rsidP="00346E34">
      <w:pPr>
        <w:rPr>
          <w:rFonts w:cs="Arial"/>
          <w:b/>
          <w:sz w:val="24"/>
        </w:rPr>
      </w:pPr>
    </w:p>
    <w:p w14:paraId="13C25163" w14:textId="5A8AD169" w:rsidR="00346E34" w:rsidRPr="00C2587D" w:rsidRDefault="00346E34" w:rsidP="00D22D53">
      <w:pPr>
        <w:jc w:val="center"/>
        <w:rPr>
          <w:rFonts w:cs="Arial"/>
          <w:b/>
          <w:sz w:val="24"/>
        </w:rPr>
      </w:pPr>
      <w:r w:rsidRPr="00C2587D">
        <w:rPr>
          <w:rFonts w:cs="Arial"/>
          <w:b/>
          <w:sz w:val="24"/>
          <w:u w:val="single"/>
        </w:rPr>
        <w:t>Стратегічна ціль А.3. Розвиток підприємницького потенціалу громади</w:t>
      </w:r>
    </w:p>
    <w:p w14:paraId="1A9084C9" w14:textId="77777777" w:rsidR="00F256A8" w:rsidRPr="00C2587D" w:rsidRDefault="00F256A8" w:rsidP="00346E34">
      <w:pPr>
        <w:rPr>
          <w:rFonts w:cs="Arial"/>
          <w:b/>
          <w:sz w:val="24"/>
        </w:rPr>
      </w:pPr>
    </w:p>
    <w:p w14:paraId="6CAA42CE" w14:textId="675BA3E3" w:rsidR="00D7011A" w:rsidRPr="00C2587D" w:rsidRDefault="00D7011A" w:rsidP="00D7011A">
      <w:pPr>
        <w:jc w:val="center"/>
        <w:rPr>
          <w:rFonts w:cs="Arial"/>
          <w:b/>
          <w:color w:val="000000"/>
          <w:szCs w:val="22"/>
        </w:rPr>
      </w:pPr>
      <w:r w:rsidRPr="00C2587D">
        <w:rPr>
          <w:rFonts w:cs="Arial"/>
          <w:b/>
          <w:color w:val="000000"/>
          <w:szCs w:val="22"/>
        </w:rPr>
        <w:t>Форма техні</w:t>
      </w:r>
      <w:r w:rsidR="00A81449">
        <w:rPr>
          <w:rFonts w:cs="Arial"/>
          <w:b/>
          <w:color w:val="000000"/>
          <w:szCs w:val="22"/>
        </w:rPr>
        <w:t>чного завдання на проє</w:t>
      </w:r>
      <w:r w:rsidRPr="00C2587D">
        <w:rPr>
          <w:rFonts w:cs="Arial"/>
          <w:b/>
          <w:color w:val="000000"/>
          <w:szCs w:val="22"/>
        </w:rPr>
        <w:t xml:space="preserve">кт місцевого розвитку </w:t>
      </w:r>
    </w:p>
    <w:p w14:paraId="5AD1BF1D" w14:textId="77777777" w:rsidR="00D7011A" w:rsidRPr="00C2587D" w:rsidRDefault="00D7011A" w:rsidP="00D7011A">
      <w:pPr>
        <w:jc w:val="center"/>
        <w:rPr>
          <w:rFonts w:cs="Arial"/>
          <w:b/>
          <w:color w:val="000000"/>
          <w:szCs w:val="22"/>
        </w:rPr>
      </w:pPr>
      <w:r w:rsidRPr="00C2587D">
        <w:rPr>
          <w:rFonts w:cs="Arial"/>
          <w:b/>
          <w:color w:val="000000"/>
          <w:szCs w:val="22"/>
        </w:rPr>
        <w:t>до Плану заходів з реалізації Стратегії</w:t>
      </w:r>
    </w:p>
    <w:p w14:paraId="3B9D9320" w14:textId="77777777" w:rsidR="00D7011A" w:rsidRPr="00C2587D" w:rsidRDefault="00D7011A" w:rsidP="00D7011A">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6"/>
        <w:gridCol w:w="1411"/>
        <w:gridCol w:w="1418"/>
        <w:gridCol w:w="36"/>
        <w:gridCol w:w="1239"/>
        <w:gridCol w:w="6"/>
        <w:gridCol w:w="1424"/>
      </w:tblGrid>
      <w:tr w:rsidR="00D7011A" w:rsidRPr="00C2587D" w14:paraId="5822C064" w14:textId="77777777" w:rsidTr="00D7011A">
        <w:trPr>
          <w:jc w:val="right"/>
        </w:trPr>
        <w:tc>
          <w:tcPr>
            <w:tcW w:w="3425" w:type="dxa"/>
            <w:vAlign w:val="center"/>
          </w:tcPr>
          <w:p w14:paraId="2722196E" w14:textId="5DD5868E" w:rsidR="00D7011A" w:rsidRPr="00A81449" w:rsidRDefault="00D7011A" w:rsidP="00A81449">
            <w:pPr>
              <w:rPr>
                <w:rFonts w:cs="Arial"/>
                <w:b/>
                <w:szCs w:val="22"/>
              </w:rPr>
            </w:pPr>
            <w:r w:rsidRPr="00A81449">
              <w:rPr>
                <w:rFonts w:cs="Arial"/>
                <w:b/>
                <w:szCs w:val="22"/>
              </w:rPr>
              <w:t>Назва про</w:t>
            </w:r>
            <w:r w:rsidR="00A81449" w:rsidRPr="00A81449">
              <w:rPr>
                <w:rFonts w:cs="Arial"/>
                <w:b/>
                <w:szCs w:val="22"/>
              </w:rPr>
              <w:t>є</w:t>
            </w:r>
            <w:r w:rsidRPr="00A81449">
              <w:rPr>
                <w:rFonts w:cs="Arial"/>
                <w:b/>
                <w:szCs w:val="22"/>
              </w:rPr>
              <w:t>кту:</w:t>
            </w:r>
          </w:p>
        </w:tc>
        <w:tc>
          <w:tcPr>
            <w:tcW w:w="6794" w:type="dxa"/>
            <w:gridSpan w:val="8"/>
            <w:vAlign w:val="center"/>
          </w:tcPr>
          <w:p w14:paraId="62364C87" w14:textId="77777777" w:rsidR="00D7011A" w:rsidRPr="00A81449" w:rsidRDefault="00D7011A" w:rsidP="00D7011A">
            <w:pPr>
              <w:jc w:val="both"/>
              <w:rPr>
                <w:rFonts w:cs="Arial"/>
                <w:b/>
                <w:szCs w:val="22"/>
              </w:rPr>
            </w:pPr>
            <w:r w:rsidRPr="00A81449">
              <w:rPr>
                <w:rFonts w:cs="Arial"/>
                <w:b/>
                <w:szCs w:val="22"/>
              </w:rPr>
              <w:t>Створення ефективної інфраструктури для розвитку бізнесу в громаді</w:t>
            </w:r>
          </w:p>
        </w:tc>
      </w:tr>
      <w:tr w:rsidR="00D7011A" w:rsidRPr="00C2587D" w14:paraId="231FCA97" w14:textId="77777777" w:rsidTr="00D7011A">
        <w:trPr>
          <w:jc w:val="right"/>
        </w:trPr>
        <w:tc>
          <w:tcPr>
            <w:tcW w:w="3425" w:type="dxa"/>
          </w:tcPr>
          <w:p w14:paraId="483BA501" w14:textId="77777777" w:rsidR="00D7011A" w:rsidRPr="00A81449" w:rsidRDefault="00D7011A" w:rsidP="00D7011A">
            <w:pPr>
              <w:spacing w:before="40" w:after="40"/>
              <w:rPr>
                <w:rFonts w:cs="Arial"/>
                <w:szCs w:val="22"/>
                <w:lang w:eastAsia="it-IT"/>
              </w:rPr>
            </w:pPr>
            <w:r w:rsidRPr="00A81449">
              <w:rPr>
                <w:rFonts w:cs="Arial"/>
                <w:b/>
                <w:bCs/>
                <w:szCs w:val="22"/>
              </w:rPr>
              <w:t>Ваші контакти</w:t>
            </w:r>
            <w:r w:rsidRPr="00A81449">
              <w:rPr>
                <w:rFonts w:cs="Arial"/>
                <w:szCs w:val="22"/>
                <w:lang w:eastAsia="it-IT"/>
              </w:rPr>
              <w:t>:</w:t>
            </w:r>
          </w:p>
          <w:p w14:paraId="3335E7B0" w14:textId="77777777" w:rsidR="00D7011A" w:rsidRPr="00A81449" w:rsidRDefault="00D7011A" w:rsidP="00D7011A">
            <w:pPr>
              <w:spacing w:before="40" w:after="40"/>
              <w:rPr>
                <w:rFonts w:cs="Arial"/>
                <w:b/>
                <w:bCs/>
                <w:szCs w:val="22"/>
              </w:rPr>
            </w:pPr>
            <w:r w:rsidRPr="00A81449">
              <w:rPr>
                <w:rFonts w:cs="Arial"/>
                <w:szCs w:val="22"/>
                <w:lang w:eastAsia="it-IT"/>
              </w:rPr>
              <w:t>Назва установи, організації, підприємства</w:t>
            </w:r>
          </w:p>
        </w:tc>
        <w:tc>
          <w:tcPr>
            <w:tcW w:w="6794" w:type="dxa"/>
            <w:gridSpan w:val="8"/>
            <w:vAlign w:val="center"/>
          </w:tcPr>
          <w:p w14:paraId="360619FD" w14:textId="77777777" w:rsidR="00D7011A" w:rsidRPr="00A81449" w:rsidRDefault="00D7011A" w:rsidP="00D7011A">
            <w:pPr>
              <w:spacing w:before="40" w:after="40"/>
              <w:jc w:val="both"/>
              <w:rPr>
                <w:rFonts w:cs="Arial"/>
                <w:szCs w:val="22"/>
                <w:lang w:eastAsia="it-IT"/>
              </w:rPr>
            </w:pPr>
            <w:r w:rsidRPr="00A81449">
              <w:rPr>
                <w:rFonts w:cs="Arial"/>
                <w:szCs w:val="22"/>
                <w:lang w:eastAsia="it-IT"/>
              </w:rPr>
              <w:t>Управління економіки та розвитку інфраструктури виконавчого комітету  Жмеринської міської ради</w:t>
            </w:r>
          </w:p>
        </w:tc>
      </w:tr>
      <w:tr w:rsidR="00D7011A" w:rsidRPr="00C2587D" w14:paraId="1E0B4108" w14:textId="77777777" w:rsidTr="00D7011A">
        <w:trPr>
          <w:jc w:val="right"/>
        </w:trPr>
        <w:tc>
          <w:tcPr>
            <w:tcW w:w="3425" w:type="dxa"/>
          </w:tcPr>
          <w:p w14:paraId="15ABC7DE" w14:textId="77777777" w:rsidR="00D7011A" w:rsidRPr="00A81449" w:rsidRDefault="00D7011A" w:rsidP="00D7011A">
            <w:pPr>
              <w:spacing w:before="40" w:after="40"/>
              <w:rPr>
                <w:rFonts w:cs="Arial"/>
                <w:b/>
                <w:bCs/>
                <w:szCs w:val="22"/>
              </w:rPr>
            </w:pPr>
            <w:r w:rsidRPr="00A81449">
              <w:rPr>
                <w:rFonts w:cs="Arial"/>
                <w:szCs w:val="22"/>
                <w:lang w:eastAsia="it-IT"/>
              </w:rPr>
              <w:t>Прізвище Ім’я По-батькові:</w:t>
            </w:r>
          </w:p>
        </w:tc>
        <w:tc>
          <w:tcPr>
            <w:tcW w:w="6794" w:type="dxa"/>
            <w:gridSpan w:val="8"/>
            <w:vAlign w:val="center"/>
          </w:tcPr>
          <w:p w14:paraId="7A1F4E49" w14:textId="77777777" w:rsidR="00D7011A" w:rsidRPr="00A81449" w:rsidRDefault="00D7011A" w:rsidP="00D7011A">
            <w:pPr>
              <w:spacing w:before="40" w:after="40"/>
              <w:rPr>
                <w:rFonts w:cs="Arial"/>
                <w:szCs w:val="22"/>
                <w:lang w:eastAsia="it-IT"/>
              </w:rPr>
            </w:pPr>
            <w:r w:rsidRPr="00A81449">
              <w:rPr>
                <w:rFonts w:cs="Arial"/>
                <w:szCs w:val="22"/>
                <w:lang w:eastAsia="it-IT"/>
              </w:rPr>
              <w:t>Коновал Анатолій Романович</w:t>
            </w:r>
          </w:p>
        </w:tc>
      </w:tr>
      <w:tr w:rsidR="00D7011A" w:rsidRPr="00C2587D" w14:paraId="25BFBFB2" w14:textId="77777777" w:rsidTr="00D7011A">
        <w:trPr>
          <w:jc w:val="right"/>
        </w:trPr>
        <w:tc>
          <w:tcPr>
            <w:tcW w:w="3425" w:type="dxa"/>
          </w:tcPr>
          <w:p w14:paraId="30CA82C9" w14:textId="77777777" w:rsidR="00D7011A" w:rsidRPr="00A81449" w:rsidRDefault="00D7011A" w:rsidP="00D7011A">
            <w:pPr>
              <w:spacing w:before="40" w:after="40"/>
              <w:rPr>
                <w:rFonts w:cs="Arial"/>
                <w:b/>
                <w:bCs/>
                <w:szCs w:val="22"/>
              </w:rPr>
            </w:pPr>
            <w:r w:rsidRPr="00A81449">
              <w:rPr>
                <w:rFonts w:cs="Arial"/>
                <w:szCs w:val="22"/>
                <w:lang w:eastAsia="it-IT"/>
              </w:rPr>
              <w:t>Телефон (мобільний):</w:t>
            </w:r>
          </w:p>
        </w:tc>
        <w:tc>
          <w:tcPr>
            <w:tcW w:w="6794" w:type="dxa"/>
            <w:gridSpan w:val="8"/>
            <w:vAlign w:val="center"/>
          </w:tcPr>
          <w:p w14:paraId="6408194E" w14:textId="77777777" w:rsidR="00D7011A" w:rsidRPr="00A81449" w:rsidRDefault="00D7011A" w:rsidP="00D7011A">
            <w:pPr>
              <w:spacing w:before="40" w:after="40"/>
              <w:rPr>
                <w:rFonts w:cs="Arial"/>
                <w:szCs w:val="22"/>
                <w:lang w:eastAsia="it-IT"/>
              </w:rPr>
            </w:pPr>
            <w:r w:rsidRPr="00A81449">
              <w:rPr>
                <w:rFonts w:cs="Arial"/>
                <w:szCs w:val="22"/>
                <w:lang w:eastAsia="it-IT"/>
              </w:rPr>
              <w:t>0674300414</w:t>
            </w:r>
          </w:p>
        </w:tc>
      </w:tr>
      <w:tr w:rsidR="00D7011A" w:rsidRPr="00C2587D" w14:paraId="2CBD777B" w14:textId="77777777" w:rsidTr="00D7011A">
        <w:trPr>
          <w:jc w:val="right"/>
        </w:trPr>
        <w:tc>
          <w:tcPr>
            <w:tcW w:w="3425" w:type="dxa"/>
          </w:tcPr>
          <w:p w14:paraId="4829DAE4" w14:textId="77777777" w:rsidR="00D7011A" w:rsidRPr="00A81449" w:rsidRDefault="00D7011A" w:rsidP="00D7011A">
            <w:pPr>
              <w:spacing w:before="40" w:after="40"/>
              <w:rPr>
                <w:rFonts w:cs="Arial"/>
                <w:b/>
                <w:bCs/>
                <w:szCs w:val="22"/>
              </w:rPr>
            </w:pPr>
            <w:r w:rsidRPr="00A81449">
              <w:rPr>
                <w:rFonts w:cs="Arial"/>
                <w:szCs w:val="22"/>
                <w:lang w:eastAsia="it-IT"/>
              </w:rPr>
              <w:t>Електронна адреса:</w:t>
            </w:r>
          </w:p>
        </w:tc>
        <w:tc>
          <w:tcPr>
            <w:tcW w:w="6794" w:type="dxa"/>
            <w:gridSpan w:val="8"/>
            <w:vAlign w:val="center"/>
          </w:tcPr>
          <w:p w14:paraId="08BF44C2" w14:textId="31D9E81A" w:rsidR="00D7011A" w:rsidRPr="00A81449" w:rsidRDefault="00D85FFD" w:rsidP="00D7011A">
            <w:pPr>
              <w:spacing w:before="40" w:after="40"/>
              <w:rPr>
                <w:rFonts w:cs="Arial"/>
                <w:szCs w:val="22"/>
                <w:lang w:eastAsia="it-IT"/>
              </w:rPr>
            </w:pPr>
            <w:hyperlink r:id="rId35" w:history="1">
              <w:r w:rsidR="00201B0C" w:rsidRPr="00A81449">
                <w:rPr>
                  <w:rStyle w:val="af0"/>
                  <w:rFonts w:cs="Arial"/>
                  <w:noProof w:val="0"/>
                  <w:sz w:val="22"/>
                  <w:szCs w:val="22"/>
                  <w:lang w:eastAsia="it-IT"/>
                </w:rPr>
                <w:t>econ@zhmr.gov.ua</w:t>
              </w:r>
            </w:hyperlink>
            <w:r w:rsidR="00201B0C" w:rsidRPr="00A81449">
              <w:rPr>
                <w:rFonts w:cs="Arial"/>
                <w:szCs w:val="22"/>
                <w:lang w:eastAsia="it-IT"/>
              </w:rPr>
              <w:t xml:space="preserve"> </w:t>
            </w:r>
          </w:p>
        </w:tc>
      </w:tr>
      <w:tr w:rsidR="00D7011A" w:rsidRPr="00C2587D" w14:paraId="3DAFE46D" w14:textId="77777777" w:rsidTr="00D7011A">
        <w:trPr>
          <w:jc w:val="right"/>
        </w:trPr>
        <w:tc>
          <w:tcPr>
            <w:tcW w:w="3425" w:type="dxa"/>
            <w:vAlign w:val="center"/>
          </w:tcPr>
          <w:p w14:paraId="7B9D7B94" w14:textId="540882BB" w:rsidR="00D7011A" w:rsidRPr="00A81449" w:rsidRDefault="00D7011A" w:rsidP="00A81449">
            <w:pPr>
              <w:pStyle w:val="6"/>
              <w:spacing w:before="0" w:after="0"/>
              <w:rPr>
                <w:rFonts w:ascii="Arial" w:hAnsi="Arial" w:cs="Arial"/>
                <w:color w:val="000000"/>
                <w:lang w:val="uk-UA"/>
              </w:rPr>
            </w:pPr>
            <w:r w:rsidRPr="00A81449">
              <w:rPr>
                <w:rFonts w:ascii="Arial" w:hAnsi="Arial" w:cs="Arial"/>
                <w:color w:val="000000"/>
                <w:lang w:val="uk-UA"/>
              </w:rPr>
              <w:t>Номер і назва завдання з Стратегії</w:t>
            </w:r>
            <w:r w:rsidRPr="00A81449">
              <w:rPr>
                <w:rFonts w:ascii="Arial" w:hAnsi="Arial" w:cs="Arial"/>
                <w:lang w:val="uk-UA" w:eastAsia="it-IT"/>
              </w:rPr>
              <w:t xml:space="preserve"> </w:t>
            </w:r>
            <w:r w:rsidRPr="00A81449">
              <w:rPr>
                <w:rFonts w:ascii="Arial" w:hAnsi="Arial" w:cs="Arial"/>
                <w:color w:val="000000"/>
                <w:lang w:val="uk-UA"/>
              </w:rPr>
              <w:t>розвитку Жмеринської міської територіальної громади,  якому відповідає про</w:t>
            </w:r>
            <w:r w:rsidR="00A81449" w:rsidRPr="00A81449">
              <w:rPr>
                <w:rFonts w:ascii="Arial" w:hAnsi="Arial" w:cs="Arial"/>
                <w:color w:val="000000"/>
                <w:lang w:val="uk-UA"/>
              </w:rPr>
              <w:t>є</w:t>
            </w:r>
            <w:r w:rsidRPr="00A81449">
              <w:rPr>
                <w:rFonts w:ascii="Arial" w:hAnsi="Arial" w:cs="Arial"/>
                <w:color w:val="000000"/>
                <w:lang w:val="uk-UA"/>
              </w:rPr>
              <w:t>кт:</w:t>
            </w:r>
          </w:p>
        </w:tc>
        <w:tc>
          <w:tcPr>
            <w:tcW w:w="6794" w:type="dxa"/>
            <w:gridSpan w:val="8"/>
            <w:vAlign w:val="center"/>
          </w:tcPr>
          <w:p w14:paraId="639ACB0F" w14:textId="77777777" w:rsidR="00D7011A" w:rsidRPr="00A81449" w:rsidRDefault="00D7011A" w:rsidP="00D7011A">
            <w:pPr>
              <w:suppressAutoHyphens/>
              <w:spacing w:before="20" w:after="20"/>
              <w:rPr>
                <w:rFonts w:eastAsia="Lucida Sans Unicode" w:cs="Arial"/>
                <w:kern w:val="1"/>
                <w:szCs w:val="22"/>
                <w:lang w:eastAsia="ar-SA"/>
              </w:rPr>
            </w:pPr>
            <w:r w:rsidRPr="00A81449">
              <w:rPr>
                <w:rFonts w:cs="Arial"/>
                <w:color w:val="000000"/>
                <w:szCs w:val="22"/>
                <w:lang w:eastAsia="uk-UA"/>
              </w:rPr>
              <w:t xml:space="preserve">А.3.1.1. </w:t>
            </w:r>
            <w:r w:rsidRPr="00A81449">
              <w:rPr>
                <w:rFonts w:eastAsia="Lucida Sans Unicode" w:cs="Arial"/>
                <w:kern w:val="1"/>
                <w:szCs w:val="22"/>
                <w:lang w:eastAsia="ar-SA"/>
              </w:rPr>
              <w:t>Створення сучасного ХАБу для підтримки малого та середнього бізнесу.</w:t>
            </w:r>
          </w:p>
          <w:p w14:paraId="446CE6AD" w14:textId="77777777" w:rsidR="00D7011A" w:rsidRPr="00A81449" w:rsidRDefault="00D7011A" w:rsidP="00D7011A">
            <w:pPr>
              <w:widowControl w:val="0"/>
              <w:suppressAutoHyphens/>
              <w:spacing w:before="20" w:after="20"/>
              <w:rPr>
                <w:rFonts w:eastAsia="Lucida Sans Unicode" w:cs="Arial"/>
                <w:kern w:val="1"/>
                <w:szCs w:val="22"/>
                <w:lang w:eastAsia="ar-SA"/>
              </w:rPr>
            </w:pPr>
            <w:r w:rsidRPr="00A81449">
              <w:rPr>
                <w:rFonts w:cs="Arial"/>
                <w:color w:val="000000"/>
                <w:szCs w:val="22"/>
                <w:lang w:eastAsia="uk-UA"/>
              </w:rPr>
              <w:t xml:space="preserve">А.3.1.3. </w:t>
            </w:r>
            <w:r w:rsidRPr="00A81449">
              <w:rPr>
                <w:rFonts w:eastAsia="Lucida Sans Unicode" w:cs="Arial"/>
                <w:kern w:val="1"/>
                <w:szCs w:val="22"/>
                <w:lang w:eastAsia="ar-SA"/>
              </w:rPr>
              <w:t>Організація на базі інституцій МЕР надання консультаційних, інформаційних, освітніх послуг для підприємців.</w:t>
            </w:r>
          </w:p>
          <w:p w14:paraId="20DA47BA" w14:textId="77777777" w:rsidR="00D7011A" w:rsidRPr="00A81449" w:rsidRDefault="00D7011A" w:rsidP="00D7011A">
            <w:pPr>
              <w:widowControl w:val="0"/>
              <w:suppressAutoHyphens/>
              <w:spacing w:before="20" w:after="20"/>
              <w:rPr>
                <w:rFonts w:eastAsia="Lucida Sans Unicode" w:cs="Arial"/>
                <w:kern w:val="1"/>
                <w:szCs w:val="22"/>
                <w:lang w:eastAsia="ar-SA"/>
              </w:rPr>
            </w:pPr>
            <w:r w:rsidRPr="00A81449">
              <w:rPr>
                <w:rFonts w:cs="Arial"/>
                <w:color w:val="000000"/>
                <w:szCs w:val="22"/>
                <w:lang w:eastAsia="uk-UA"/>
              </w:rPr>
              <w:t xml:space="preserve">А.3.1.3. </w:t>
            </w:r>
            <w:r w:rsidRPr="00A81449">
              <w:rPr>
                <w:rFonts w:eastAsia="Lucida Sans Unicode" w:cs="Arial"/>
                <w:kern w:val="1"/>
                <w:szCs w:val="22"/>
                <w:lang w:eastAsia="ar-SA"/>
              </w:rPr>
              <w:t>Налагодження  співпраці  з міжнародними бізнес-асоціаціями та торгово-промисловими палатами.</w:t>
            </w:r>
          </w:p>
          <w:p w14:paraId="70FE6BFB" w14:textId="77777777" w:rsidR="00D7011A" w:rsidRPr="00A81449" w:rsidRDefault="00D7011A" w:rsidP="00D7011A">
            <w:pPr>
              <w:widowControl w:val="0"/>
              <w:suppressAutoHyphens/>
              <w:spacing w:before="20" w:after="20"/>
              <w:rPr>
                <w:rFonts w:eastAsia="Lucida Sans Unicode" w:cs="Arial"/>
                <w:kern w:val="1"/>
                <w:szCs w:val="22"/>
                <w:lang w:eastAsia="ar-SA"/>
              </w:rPr>
            </w:pPr>
            <w:r w:rsidRPr="00A81449">
              <w:rPr>
                <w:rFonts w:cs="Arial"/>
                <w:color w:val="000000"/>
                <w:szCs w:val="22"/>
                <w:lang w:eastAsia="uk-UA"/>
              </w:rPr>
              <w:t xml:space="preserve">А.3.1.4. </w:t>
            </w:r>
            <w:r w:rsidRPr="00A81449">
              <w:rPr>
                <w:rFonts w:eastAsia="Lucida Sans Unicode" w:cs="Arial"/>
                <w:kern w:val="1"/>
                <w:szCs w:val="22"/>
                <w:lang w:eastAsia="ar-SA"/>
              </w:rPr>
              <w:t>Підтримка виставкової та ярмаркової діяльності.</w:t>
            </w:r>
          </w:p>
          <w:p w14:paraId="6B816BF9" w14:textId="77777777" w:rsidR="00D7011A" w:rsidRPr="00A81449" w:rsidRDefault="00D7011A" w:rsidP="00D7011A">
            <w:pPr>
              <w:widowControl w:val="0"/>
              <w:suppressAutoHyphens/>
              <w:spacing w:before="20" w:after="20"/>
              <w:rPr>
                <w:rFonts w:eastAsia="Lucida Sans Unicode" w:cs="Arial"/>
                <w:kern w:val="1"/>
                <w:szCs w:val="22"/>
                <w:lang w:eastAsia="ar-SA"/>
              </w:rPr>
            </w:pPr>
            <w:r w:rsidRPr="00A81449">
              <w:rPr>
                <w:rFonts w:cs="Arial"/>
                <w:color w:val="000000"/>
                <w:szCs w:val="22"/>
                <w:lang w:eastAsia="uk-UA"/>
              </w:rPr>
              <w:t xml:space="preserve">А.3.1.5. </w:t>
            </w:r>
            <w:r w:rsidRPr="00A81449">
              <w:rPr>
                <w:rFonts w:eastAsia="Lucida Sans Unicode" w:cs="Arial"/>
                <w:kern w:val="1"/>
                <w:szCs w:val="22"/>
                <w:lang w:eastAsia="ar-SA"/>
              </w:rPr>
              <w:t>Підтримка співпраці між секторами влада-бізнес-громада.</w:t>
            </w:r>
          </w:p>
          <w:p w14:paraId="5F182FF5" w14:textId="77777777" w:rsidR="00D7011A" w:rsidRPr="00A81449" w:rsidRDefault="00D7011A" w:rsidP="00D7011A">
            <w:pPr>
              <w:widowControl w:val="0"/>
              <w:suppressAutoHyphens/>
              <w:spacing w:before="20" w:after="20"/>
              <w:rPr>
                <w:rFonts w:eastAsia="Lucida Sans Unicode" w:cs="Arial"/>
                <w:kern w:val="1"/>
                <w:szCs w:val="22"/>
                <w:lang w:eastAsia="ar-SA"/>
              </w:rPr>
            </w:pPr>
            <w:r w:rsidRPr="00A81449">
              <w:rPr>
                <w:rFonts w:cs="Arial"/>
                <w:color w:val="000000"/>
                <w:szCs w:val="22"/>
                <w:lang w:eastAsia="uk-UA"/>
              </w:rPr>
              <w:t xml:space="preserve">А.3.1.6. </w:t>
            </w:r>
            <w:r w:rsidRPr="00A81449">
              <w:rPr>
                <w:rFonts w:eastAsia="Lucida Sans Unicode" w:cs="Arial"/>
                <w:kern w:val="1"/>
                <w:szCs w:val="22"/>
                <w:lang w:eastAsia="ar-SA"/>
              </w:rPr>
              <w:t>Встановлення партнерства між Центром зайнятості, Асоціаціями підприємців, міжнародними донорськими організаціями.</w:t>
            </w:r>
          </w:p>
          <w:p w14:paraId="3DF4B7A0" w14:textId="77777777" w:rsidR="00D7011A" w:rsidRPr="00A81449" w:rsidRDefault="00D7011A" w:rsidP="00D7011A">
            <w:pPr>
              <w:widowControl w:val="0"/>
              <w:suppressAutoHyphens/>
              <w:spacing w:before="20" w:after="20"/>
              <w:rPr>
                <w:rFonts w:eastAsia="Lucida Sans Unicode" w:cs="Arial"/>
                <w:kern w:val="1"/>
                <w:szCs w:val="22"/>
                <w:lang w:eastAsia="ar-SA"/>
              </w:rPr>
            </w:pPr>
            <w:r w:rsidRPr="00A81449">
              <w:rPr>
                <w:rFonts w:cs="Arial"/>
                <w:color w:val="000000"/>
                <w:szCs w:val="22"/>
                <w:lang w:eastAsia="uk-UA"/>
              </w:rPr>
              <w:t xml:space="preserve">А.3.1.7. </w:t>
            </w:r>
            <w:r w:rsidRPr="00A81449">
              <w:rPr>
                <w:rFonts w:eastAsia="Lucida Sans Unicode" w:cs="Arial"/>
                <w:kern w:val="1"/>
                <w:szCs w:val="22"/>
                <w:lang w:eastAsia="ar-SA"/>
              </w:rPr>
              <w:t>Проведення тренінгів для представників малого та середнього бізнесу з питань «зеленого» бізнесу, енергоменеджменту альтернативної енергетики та збалансованих моделей споживання і виробництва.</w:t>
            </w:r>
          </w:p>
          <w:p w14:paraId="703544FF" w14:textId="77777777" w:rsidR="00D7011A" w:rsidRPr="00A81449" w:rsidRDefault="00D7011A" w:rsidP="00D7011A">
            <w:pPr>
              <w:widowControl w:val="0"/>
              <w:suppressAutoHyphens/>
              <w:spacing w:before="20" w:after="20"/>
              <w:rPr>
                <w:rFonts w:eastAsia="Lucida Sans Unicode" w:cs="Arial"/>
                <w:kern w:val="1"/>
                <w:szCs w:val="22"/>
                <w:lang w:eastAsia="ar-SA"/>
              </w:rPr>
            </w:pPr>
            <w:r w:rsidRPr="00A81449">
              <w:rPr>
                <w:rFonts w:cs="Arial"/>
                <w:color w:val="000000"/>
                <w:szCs w:val="22"/>
                <w:lang w:eastAsia="uk-UA"/>
              </w:rPr>
              <w:t xml:space="preserve">А.3.1.8. </w:t>
            </w:r>
            <w:r w:rsidRPr="00A81449">
              <w:rPr>
                <w:rFonts w:eastAsia="MS Mincho" w:cs="Arial"/>
                <w:kern w:val="1"/>
                <w:szCs w:val="22"/>
                <w:lang w:eastAsia="ar-SA"/>
              </w:rPr>
              <w:t xml:space="preserve">Розроблення заходів для підтримки підприємців-початківців. </w:t>
            </w:r>
          </w:p>
          <w:p w14:paraId="46A4DC9A" w14:textId="77777777" w:rsidR="00D7011A" w:rsidRPr="00A81449" w:rsidRDefault="00D7011A" w:rsidP="00D7011A">
            <w:pPr>
              <w:rPr>
                <w:rFonts w:cs="Arial"/>
                <w:color w:val="000000"/>
                <w:szCs w:val="22"/>
                <w:lang w:eastAsia="uk-UA"/>
              </w:rPr>
            </w:pPr>
            <w:r w:rsidRPr="00A81449">
              <w:rPr>
                <w:rFonts w:cs="Arial"/>
                <w:color w:val="000000"/>
                <w:szCs w:val="22"/>
                <w:lang w:eastAsia="uk-UA"/>
              </w:rPr>
              <w:t xml:space="preserve">А.3.1.9. </w:t>
            </w:r>
            <w:r w:rsidRPr="00A81449">
              <w:rPr>
                <w:rFonts w:eastAsia="Lucida Sans Unicode" w:cs="Arial"/>
                <w:kern w:val="1"/>
                <w:szCs w:val="22"/>
                <w:lang w:eastAsia="ar-SA"/>
              </w:rPr>
              <w:t>Розроблення заходів по підтримці соціального підприємництва.</w:t>
            </w:r>
          </w:p>
        </w:tc>
      </w:tr>
      <w:tr w:rsidR="00D7011A" w:rsidRPr="00C2587D" w14:paraId="2DC10152" w14:textId="77777777" w:rsidTr="00D7011A">
        <w:trPr>
          <w:jc w:val="right"/>
        </w:trPr>
        <w:tc>
          <w:tcPr>
            <w:tcW w:w="3425" w:type="dxa"/>
            <w:vAlign w:val="center"/>
          </w:tcPr>
          <w:p w14:paraId="1FDAF354" w14:textId="77777777" w:rsidR="00D7011A" w:rsidRPr="00A81449" w:rsidRDefault="00D7011A" w:rsidP="00D7011A">
            <w:pPr>
              <w:rPr>
                <w:rFonts w:cs="Arial"/>
                <w:b/>
                <w:bCs/>
                <w:color w:val="000000"/>
                <w:szCs w:val="22"/>
              </w:rPr>
            </w:pPr>
            <w:r w:rsidRPr="00A81449">
              <w:rPr>
                <w:rFonts w:cs="Arial"/>
                <w:b/>
                <w:bCs/>
                <w:color w:val="000000"/>
                <w:szCs w:val="22"/>
              </w:rPr>
              <w:t>Мета проєкту</w:t>
            </w:r>
          </w:p>
        </w:tc>
        <w:tc>
          <w:tcPr>
            <w:tcW w:w="6794" w:type="dxa"/>
            <w:gridSpan w:val="8"/>
            <w:vAlign w:val="center"/>
          </w:tcPr>
          <w:p w14:paraId="2DB5AD2A" w14:textId="77777777" w:rsidR="00D7011A" w:rsidRPr="00A81449" w:rsidRDefault="00D7011A" w:rsidP="00D7011A">
            <w:pPr>
              <w:spacing w:before="40" w:after="40"/>
              <w:rPr>
                <w:rFonts w:cs="Arial"/>
                <w:szCs w:val="22"/>
                <w:lang w:eastAsia="it-IT"/>
              </w:rPr>
            </w:pPr>
            <w:r w:rsidRPr="00A81449">
              <w:rPr>
                <w:rFonts w:cs="Arial"/>
                <w:szCs w:val="22"/>
                <w:lang w:eastAsia="it-IT"/>
              </w:rPr>
              <w:t>Збільшення кількості підприємців, малих та середніх підприємств, зростання рівня зайнятості населення</w:t>
            </w:r>
          </w:p>
        </w:tc>
      </w:tr>
      <w:tr w:rsidR="00D7011A" w:rsidRPr="00C2587D" w14:paraId="29E232CF" w14:textId="77777777" w:rsidTr="00D7011A">
        <w:trPr>
          <w:jc w:val="right"/>
        </w:trPr>
        <w:tc>
          <w:tcPr>
            <w:tcW w:w="3425" w:type="dxa"/>
            <w:vAlign w:val="center"/>
          </w:tcPr>
          <w:p w14:paraId="605C7131" w14:textId="62930609" w:rsidR="00D7011A" w:rsidRPr="00A81449" w:rsidRDefault="00A81449" w:rsidP="00D7011A">
            <w:pPr>
              <w:rPr>
                <w:rFonts w:cs="Arial"/>
                <w:b/>
                <w:bCs/>
                <w:color w:val="000000"/>
                <w:szCs w:val="22"/>
              </w:rPr>
            </w:pPr>
            <w:r>
              <w:rPr>
                <w:rFonts w:cs="Arial"/>
                <w:b/>
                <w:bCs/>
                <w:color w:val="000000"/>
                <w:szCs w:val="22"/>
              </w:rPr>
              <w:t>Цілі проє</w:t>
            </w:r>
            <w:r w:rsidR="00D7011A" w:rsidRPr="00A81449">
              <w:rPr>
                <w:rFonts w:cs="Arial"/>
                <w:b/>
                <w:bCs/>
                <w:color w:val="000000"/>
                <w:szCs w:val="22"/>
              </w:rPr>
              <w:t>кту:</w:t>
            </w:r>
          </w:p>
        </w:tc>
        <w:tc>
          <w:tcPr>
            <w:tcW w:w="6794" w:type="dxa"/>
            <w:gridSpan w:val="8"/>
            <w:vAlign w:val="center"/>
          </w:tcPr>
          <w:p w14:paraId="556F4CCD" w14:textId="77777777" w:rsidR="00D7011A" w:rsidRPr="00A81449" w:rsidRDefault="00D7011A" w:rsidP="00D7011A">
            <w:pPr>
              <w:spacing w:before="40" w:after="40"/>
              <w:jc w:val="both"/>
              <w:rPr>
                <w:rFonts w:cs="Arial"/>
                <w:szCs w:val="22"/>
                <w:lang w:eastAsia="it-IT"/>
              </w:rPr>
            </w:pPr>
            <w:r w:rsidRPr="00A81449">
              <w:rPr>
                <w:rFonts w:cs="Arial"/>
                <w:szCs w:val="22"/>
                <w:lang w:eastAsia="it-IT"/>
              </w:rPr>
              <w:t>Підтримка СПД, працюючих у малому та середньому підприємництві завдяки надання консультацій, проведення тренінгів, залучення грантових коштів на розвиток бізнесу, підтримки виставкової та ярмаркової діяльності</w:t>
            </w:r>
          </w:p>
        </w:tc>
      </w:tr>
      <w:tr w:rsidR="00D7011A" w:rsidRPr="00C2587D" w14:paraId="0D996F55" w14:textId="77777777" w:rsidTr="00D7011A">
        <w:trPr>
          <w:jc w:val="right"/>
        </w:trPr>
        <w:tc>
          <w:tcPr>
            <w:tcW w:w="3425" w:type="dxa"/>
            <w:vAlign w:val="center"/>
          </w:tcPr>
          <w:p w14:paraId="65C3FCF9" w14:textId="4D4975A2" w:rsidR="00D7011A" w:rsidRPr="00A81449" w:rsidRDefault="00A81449" w:rsidP="00D7011A">
            <w:pPr>
              <w:autoSpaceDE w:val="0"/>
              <w:autoSpaceDN w:val="0"/>
              <w:adjustRightInd w:val="0"/>
              <w:rPr>
                <w:rFonts w:cs="Arial"/>
                <w:b/>
                <w:szCs w:val="22"/>
              </w:rPr>
            </w:pPr>
            <w:r w:rsidRPr="00A81449">
              <w:rPr>
                <w:rFonts w:cs="Arial"/>
                <w:b/>
                <w:szCs w:val="22"/>
              </w:rPr>
              <w:t>Територія на яку проє</w:t>
            </w:r>
            <w:r w:rsidR="00D7011A" w:rsidRPr="00A81449">
              <w:rPr>
                <w:rFonts w:cs="Arial"/>
                <w:b/>
                <w:szCs w:val="22"/>
              </w:rPr>
              <w:t>кт матиме вплив:</w:t>
            </w:r>
          </w:p>
        </w:tc>
        <w:tc>
          <w:tcPr>
            <w:tcW w:w="6794" w:type="dxa"/>
            <w:gridSpan w:val="8"/>
            <w:vAlign w:val="center"/>
          </w:tcPr>
          <w:p w14:paraId="2ACCCB21" w14:textId="77777777" w:rsidR="00D7011A" w:rsidRPr="00A81449" w:rsidRDefault="00D7011A" w:rsidP="00D7011A">
            <w:pPr>
              <w:spacing w:before="40" w:after="40"/>
              <w:jc w:val="both"/>
              <w:rPr>
                <w:rFonts w:cs="Arial"/>
                <w:szCs w:val="22"/>
                <w:lang w:eastAsia="it-IT"/>
              </w:rPr>
            </w:pPr>
            <w:r w:rsidRPr="00A81449">
              <w:rPr>
                <w:rFonts w:cs="Arial"/>
                <w:szCs w:val="22"/>
                <w:lang w:eastAsia="it-IT"/>
              </w:rPr>
              <w:t>Територія Жмеринської міської територіальної громади</w:t>
            </w:r>
          </w:p>
        </w:tc>
      </w:tr>
      <w:tr w:rsidR="00D7011A" w:rsidRPr="00C2587D" w14:paraId="30F79754" w14:textId="77777777" w:rsidTr="00D7011A">
        <w:trPr>
          <w:jc w:val="right"/>
        </w:trPr>
        <w:tc>
          <w:tcPr>
            <w:tcW w:w="3425" w:type="dxa"/>
            <w:vAlign w:val="center"/>
          </w:tcPr>
          <w:p w14:paraId="5250C826" w14:textId="77777777" w:rsidR="00D7011A" w:rsidRPr="00A81449" w:rsidRDefault="00D7011A" w:rsidP="00D7011A">
            <w:pPr>
              <w:autoSpaceDE w:val="0"/>
              <w:autoSpaceDN w:val="0"/>
              <w:adjustRightInd w:val="0"/>
              <w:rPr>
                <w:rFonts w:cs="Arial"/>
                <w:b/>
                <w:szCs w:val="22"/>
              </w:rPr>
            </w:pPr>
            <w:r w:rsidRPr="00A81449">
              <w:rPr>
                <w:rFonts w:cs="Arial"/>
                <w:b/>
                <w:szCs w:val="22"/>
              </w:rPr>
              <w:t>Цільові групи проєкту та кількість отримувачів вигоди</w:t>
            </w:r>
          </w:p>
        </w:tc>
        <w:tc>
          <w:tcPr>
            <w:tcW w:w="6794" w:type="dxa"/>
            <w:gridSpan w:val="8"/>
            <w:vAlign w:val="center"/>
          </w:tcPr>
          <w:p w14:paraId="001B4375" w14:textId="77777777" w:rsidR="00D7011A" w:rsidRPr="00A81449" w:rsidRDefault="00D7011A" w:rsidP="00D7011A">
            <w:pPr>
              <w:spacing w:before="40" w:after="40"/>
              <w:rPr>
                <w:rFonts w:cs="Arial"/>
                <w:szCs w:val="22"/>
                <w:lang w:eastAsia="it-IT"/>
              </w:rPr>
            </w:pPr>
            <w:r w:rsidRPr="00A81449">
              <w:rPr>
                <w:rFonts w:cs="Arial"/>
                <w:szCs w:val="22"/>
                <w:lang w:eastAsia="it-IT"/>
              </w:rPr>
              <w:t>підприємці, жінки, чоловіки, безробітні, 20 тис.осіб</w:t>
            </w:r>
          </w:p>
        </w:tc>
      </w:tr>
      <w:tr w:rsidR="00D7011A" w:rsidRPr="00C2587D" w14:paraId="1D8E4A63" w14:textId="77777777" w:rsidTr="00D7011A">
        <w:trPr>
          <w:jc w:val="right"/>
        </w:trPr>
        <w:tc>
          <w:tcPr>
            <w:tcW w:w="3425" w:type="dxa"/>
            <w:shd w:val="clear" w:color="auto" w:fill="FFFFFF"/>
            <w:vAlign w:val="center"/>
          </w:tcPr>
          <w:p w14:paraId="2575315C" w14:textId="2F0499E3" w:rsidR="00D7011A" w:rsidRPr="00A81449" w:rsidRDefault="00A81449" w:rsidP="00D7011A">
            <w:pPr>
              <w:rPr>
                <w:rFonts w:cs="Arial"/>
                <w:b/>
                <w:bCs/>
                <w:color w:val="000000"/>
                <w:szCs w:val="22"/>
              </w:rPr>
            </w:pPr>
            <w:r w:rsidRPr="00A81449">
              <w:rPr>
                <w:rFonts w:cs="Arial"/>
                <w:b/>
                <w:bCs/>
                <w:color w:val="000000"/>
                <w:szCs w:val="22"/>
              </w:rPr>
              <w:t>Стислий опис проє</w:t>
            </w:r>
            <w:r w:rsidR="00D7011A" w:rsidRPr="00A81449">
              <w:rPr>
                <w:rFonts w:cs="Arial"/>
                <w:b/>
                <w:bCs/>
                <w:color w:val="000000"/>
                <w:szCs w:val="22"/>
              </w:rPr>
              <w:t>кту:</w:t>
            </w:r>
          </w:p>
        </w:tc>
        <w:tc>
          <w:tcPr>
            <w:tcW w:w="6794" w:type="dxa"/>
            <w:gridSpan w:val="8"/>
            <w:vAlign w:val="center"/>
          </w:tcPr>
          <w:p w14:paraId="1BF34EFF" w14:textId="195E965B" w:rsidR="00D7011A" w:rsidRPr="00A81449" w:rsidRDefault="00A81449" w:rsidP="00D7011A">
            <w:pPr>
              <w:pStyle w:val="af4"/>
              <w:tabs>
                <w:tab w:val="left" w:pos="285"/>
              </w:tabs>
              <w:suppressAutoHyphens w:val="0"/>
              <w:spacing w:before="40" w:after="40" w:line="240" w:lineRule="auto"/>
              <w:contextualSpacing/>
              <w:jc w:val="both"/>
              <w:rPr>
                <w:rFonts w:ascii="Arial" w:hAnsi="Arial" w:cs="Arial"/>
                <w:lang w:eastAsia="it-IT"/>
              </w:rPr>
            </w:pPr>
            <w:r>
              <w:rPr>
                <w:rFonts w:ascii="Arial" w:hAnsi="Arial" w:cs="Arial"/>
                <w:lang w:eastAsia="it-IT"/>
              </w:rPr>
              <w:t>В рамках проєкту передбачено:</w:t>
            </w:r>
          </w:p>
          <w:p w14:paraId="602A456E" w14:textId="77777777" w:rsidR="00D7011A" w:rsidRPr="00A81449" w:rsidRDefault="00D7011A" w:rsidP="00D7011A">
            <w:pPr>
              <w:suppressAutoHyphens/>
              <w:spacing w:before="20" w:after="20"/>
              <w:rPr>
                <w:rFonts w:eastAsia="Lucida Sans Unicode" w:cs="Arial"/>
                <w:kern w:val="1"/>
                <w:szCs w:val="22"/>
                <w:lang w:eastAsia="ar-SA"/>
              </w:rPr>
            </w:pPr>
            <w:r w:rsidRPr="00A81449">
              <w:rPr>
                <w:rFonts w:eastAsia="Lucida Sans Unicode" w:cs="Arial"/>
                <w:kern w:val="1"/>
                <w:szCs w:val="22"/>
                <w:lang w:eastAsia="ar-SA"/>
              </w:rPr>
              <w:t>Створення сучасного ХАБу для підтримки малого та середнього бізнесу.</w:t>
            </w:r>
          </w:p>
          <w:p w14:paraId="50B68106" w14:textId="77777777" w:rsidR="00D7011A" w:rsidRPr="00A81449" w:rsidRDefault="00D7011A" w:rsidP="00D7011A">
            <w:pPr>
              <w:widowControl w:val="0"/>
              <w:suppressAutoHyphens/>
              <w:spacing w:before="20" w:after="20"/>
              <w:rPr>
                <w:rFonts w:eastAsia="Lucida Sans Unicode" w:cs="Arial"/>
                <w:kern w:val="1"/>
                <w:szCs w:val="22"/>
                <w:lang w:eastAsia="ar-SA"/>
              </w:rPr>
            </w:pPr>
            <w:r w:rsidRPr="00A81449">
              <w:rPr>
                <w:rFonts w:eastAsia="Lucida Sans Unicode" w:cs="Arial"/>
                <w:kern w:val="1"/>
                <w:szCs w:val="22"/>
                <w:lang w:eastAsia="ar-SA"/>
              </w:rPr>
              <w:t>Організація на базі інституцій МЕР надання консультаційних, інформаційних, освітніх послуг для підприємців.</w:t>
            </w:r>
          </w:p>
          <w:p w14:paraId="0480AAE2" w14:textId="77777777" w:rsidR="00D7011A" w:rsidRPr="00A81449" w:rsidRDefault="00D7011A" w:rsidP="00D7011A">
            <w:pPr>
              <w:widowControl w:val="0"/>
              <w:suppressAutoHyphens/>
              <w:spacing w:before="20" w:after="20"/>
              <w:rPr>
                <w:rFonts w:eastAsia="Lucida Sans Unicode" w:cs="Arial"/>
                <w:kern w:val="1"/>
                <w:szCs w:val="22"/>
                <w:lang w:eastAsia="ar-SA"/>
              </w:rPr>
            </w:pPr>
            <w:r w:rsidRPr="00A81449">
              <w:rPr>
                <w:rFonts w:eastAsia="Lucida Sans Unicode" w:cs="Arial"/>
                <w:kern w:val="1"/>
                <w:szCs w:val="22"/>
                <w:lang w:eastAsia="ar-SA"/>
              </w:rPr>
              <w:t>Налагодження  співпраці  з міжнародними бізнес-асоціаціями та торгово-промисловими палатами.</w:t>
            </w:r>
          </w:p>
          <w:p w14:paraId="57286290" w14:textId="77777777" w:rsidR="00D7011A" w:rsidRPr="00A81449" w:rsidRDefault="00D7011A" w:rsidP="00D7011A">
            <w:pPr>
              <w:widowControl w:val="0"/>
              <w:suppressAutoHyphens/>
              <w:spacing w:before="20" w:after="20"/>
              <w:rPr>
                <w:rFonts w:eastAsia="Lucida Sans Unicode" w:cs="Arial"/>
                <w:kern w:val="1"/>
                <w:szCs w:val="22"/>
                <w:lang w:eastAsia="ar-SA"/>
              </w:rPr>
            </w:pPr>
            <w:r w:rsidRPr="00A81449">
              <w:rPr>
                <w:rFonts w:eastAsia="Lucida Sans Unicode" w:cs="Arial"/>
                <w:kern w:val="1"/>
                <w:szCs w:val="22"/>
                <w:lang w:eastAsia="ar-SA"/>
              </w:rPr>
              <w:t>Підтримка виставкової та ярмаркової діяльності.</w:t>
            </w:r>
          </w:p>
          <w:p w14:paraId="435A0C93" w14:textId="77777777" w:rsidR="00D7011A" w:rsidRPr="00A81449" w:rsidRDefault="00D7011A" w:rsidP="00D7011A">
            <w:pPr>
              <w:widowControl w:val="0"/>
              <w:suppressAutoHyphens/>
              <w:spacing w:before="20" w:after="20"/>
              <w:rPr>
                <w:rFonts w:eastAsia="Lucida Sans Unicode" w:cs="Arial"/>
                <w:kern w:val="1"/>
                <w:szCs w:val="22"/>
                <w:lang w:eastAsia="ar-SA"/>
              </w:rPr>
            </w:pPr>
            <w:r w:rsidRPr="00A81449">
              <w:rPr>
                <w:rFonts w:eastAsia="Lucida Sans Unicode" w:cs="Arial"/>
                <w:kern w:val="1"/>
                <w:szCs w:val="22"/>
                <w:lang w:eastAsia="ar-SA"/>
              </w:rPr>
              <w:t>Підтримка співпраці між секторами влада-бізнес-громада.</w:t>
            </w:r>
          </w:p>
          <w:p w14:paraId="70A12A35" w14:textId="77777777" w:rsidR="00D7011A" w:rsidRPr="00A81449" w:rsidRDefault="00D7011A" w:rsidP="00D7011A">
            <w:pPr>
              <w:widowControl w:val="0"/>
              <w:suppressAutoHyphens/>
              <w:spacing w:before="20" w:after="20"/>
              <w:rPr>
                <w:rFonts w:eastAsia="Lucida Sans Unicode" w:cs="Arial"/>
                <w:kern w:val="1"/>
                <w:szCs w:val="22"/>
                <w:lang w:eastAsia="ar-SA"/>
              </w:rPr>
            </w:pPr>
            <w:r w:rsidRPr="00A81449">
              <w:rPr>
                <w:rFonts w:eastAsia="Lucida Sans Unicode" w:cs="Arial"/>
                <w:kern w:val="1"/>
                <w:szCs w:val="22"/>
                <w:lang w:eastAsia="ar-SA"/>
              </w:rPr>
              <w:t>Встановлення партнерства між Центром зайнятості, Асоціаціями підприємців, міжнародними донорськими організаціями.</w:t>
            </w:r>
          </w:p>
          <w:p w14:paraId="71DD260B" w14:textId="77777777" w:rsidR="00D7011A" w:rsidRPr="00A81449" w:rsidRDefault="00D7011A" w:rsidP="00D7011A">
            <w:pPr>
              <w:widowControl w:val="0"/>
              <w:suppressAutoHyphens/>
              <w:spacing w:before="20" w:after="20"/>
              <w:rPr>
                <w:rFonts w:eastAsia="Lucida Sans Unicode" w:cs="Arial"/>
                <w:kern w:val="1"/>
                <w:szCs w:val="22"/>
                <w:lang w:eastAsia="ar-SA"/>
              </w:rPr>
            </w:pPr>
            <w:r w:rsidRPr="00A81449">
              <w:rPr>
                <w:rFonts w:eastAsia="Lucida Sans Unicode" w:cs="Arial"/>
                <w:kern w:val="1"/>
                <w:szCs w:val="22"/>
                <w:lang w:eastAsia="ar-SA"/>
              </w:rPr>
              <w:t>Проведення тренінгів для представників малого та середнього бізнесу з питань «зеленого» бізнесу, енергоменеджменту альтернативної енергетики та збалансованих моделей споживання і виробництва.</w:t>
            </w:r>
          </w:p>
          <w:p w14:paraId="4C095853" w14:textId="77777777" w:rsidR="00D7011A" w:rsidRPr="00A81449" w:rsidRDefault="00D7011A" w:rsidP="00D7011A">
            <w:pPr>
              <w:widowControl w:val="0"/>
              <w:suppressAutoHyphens/>
              <w:spacing w:before="20" w:after="20"/>
              <w:rPr>
                <w:rFonts w:cs="Arial"/>
                <w:szCs w:val="22"/>
                <w:lang w:eastAsia="it-IT"/>
              </w:rPr>
            </w:pPr>
            <w:r w:rsidRPr="00A81449">
              <w:rPr>
                <w:rFonts w:eastAsia="MS Mincho" w:cs="Arial"/>
                <w:kern w:val="1"/>
                <w:szCs w:val="22"/>
                <w:lang w:eastAsia="ar-SA"/>
              </w:rPr>
              <w:t xml:space="preserve">Розроблення заходів для підтримки підприємців-початківців та </w:t>
            </w:r>
            <w:r w:rsidRPr="00A81449">
              <w:rPr>
                <w:rFonts w:eastAsia="Lucida Sans Unicode" w:cs="Arial"/>
                <w:kern w:val="1"/>
                <w:szCs w:val="22"/>
                <w:lang w:eastAsia="ar-SA"/>
              </w:rPr>
              <w:t>соціального підприємництва</w:t>
            </w:r>
            <w:r w:rsidRPr="00A81449">
              <w:rPr>
                <w:rFonts w:cs="Arial"/>
                <w:szCs w:val="22"/>
                <w:lang w:eastAsia="it-IT"/>
              </w:rPr>
              <w:t xml:space="preserve"> </w:t>
            </w:r>
          </w:p>
        </w:tc>
      </w:tr>
      <w:tr w:rsidR="00D7011A" w:rsidRPr="00C2587D" w14:paraId="16DDDE84" w14:textId="77777777" w:rsidTr="00D7011A">
        <w:trPr>
          <w:jc w:val="right"/>
        </w:trPr>
        <w:tc>
          <w:tcPr>
            <w:tcW w:w="3425" w:type="dxa"/>
            <w:shd w:val="clear" w:color="auto" w:fill="FFFFFF"/>
            <w:vAlign w:val="center"/>
          </w:tcPr>
          <w:p w14:paraId="76C87075" w14:textId="77777777" w:rsidR="00D7011A" w:rsidRPr="00A81449" w:rsidRDefault="00D7011A" w:rsidP="00D7011A">
            <w:pPr>
              <w:rPr>
                <w:rFonts w:cs="Arial"/>
                <w:b/>
                <w:bCs/>
                <w:color w:val="000000"/>
                <w:szCs w:val="22"/>
              </w:rPr>
            </w:pPr>
            <w:r w:rsidRPr="00A81449">
              <w:rPr>
                <w:rFonts w:cs="Arial"/>
                <w:b/>
                <w:bCs/>
                <w:color w:val="000000"/>
                <w:szCs w:val="22"/>
              </w:rPr>
              <w:t>Основні заходи проєкту</w:t>
            </w:r>
          </w:p>
        </w:tc>
        <w:tc>
          <w:tcPr>
            <w:tcW w:w="6794" w:type="dxa"/>
            <w:gridSpan w:val="8"/>
            <w:shd w:val="clear" w:color="auto" w:fill="FFFFFF"/>
          </w:tcPr>
          <w:p w14:paraId="028F3710" w14:textId="77777777" w:rsidR="00D7011A" w:rsidRPr="00A81449" w:rsidRDefault="00D7011A" w:rsidP="00D7011A">
            <w:pPr>
              <w:suppressAutoHyphens/>
              <w:spacing w:before="20" w:after="20"/>
              <w:rPr>
                <w:rFonts w:eastAsia="Lucida Sans Unicode" w:cs="Arial"/>
                <w:kern w:val="1"/>
                <w:szCs w:val="22"/>
                <w:lang w:eastAsia="ar-SA"/>
              </w:rPr>
            </w:pPr>
            <w:r w:rsidRPr="00A81449">
              <w:rPr>
                <w:rFonts w:eastAsia="Lucida Sans Unicode" w:cs="Arial"/>
                <w:kern w:val="1"/>
                <w:szCs w:val="22"/>
                <w:lang w:eastAsia="ar-SA"/>
              </w:rPr>
              <w:t>Створення сучасного ХАБу для підтримки малого та середнього бізнесу.</w:t>
            </w:r>
          </w:p>
          <w:p w14:paraId="4B400C58" w14:textId="77777777" w:rsidR="00D7011A" w:rsidRPr="00A81449" w:rsidRDefault="00D7011A" w:rsidP="00D7011A">
            <w:pPr>
              <w:widowControl w:val="0"/>
              <w:suppressAutoHyphens/>
              <w:spacing w:before="20" w:after="20"/>
              <w:rPr>
                <w:rFonts w:eastAsia="Lucida Sans Unicode" w:cs="Arial"/>
                <w:kern w:val="1"/>
                <w:szCs w:val="22"/>
                <w:lang w:eastAsia="ar-SA"/>
              </w:rPr>
            </w:pPr>
            <w:r w:rsidRPr="00A81449">
              <w:rPr>
                <w:rFonts w:eastAsia="Lucida Sans Unicode" w:cs="Arial"/>
                <w:kern w:val="1"/>
                <w:szCs w:val="22"/>
                <w:lang w:eastAsia="ar-SA"/>
              </w:rPr>
              <w:t>Організація на базі інституцій МЕР надання консультаційних, інформаційних, освітніх послуг для підприємців.</w:t>
            </w:r>
          </w:p>
          <w:p w14:paraId="73267A43" w14:textId="77777777" w:rsidR="00D7011A" w:rsidRPr="00A81449" w:rsidRDefault="00D7011A" w:rsidP="00D7011A">
            <w:pPr>
              <w:widowControl w:val="0"/>
              <w:suppressAutoHyphens/>
              <w:spacing w:before="20" w:after="20"/>
              <w:rPr>
                <w:rFonts w:eastAsia="Lucida Sans Unicode" w:cs="Arial"/>
                <w:kern w:val="1"/>
                <w:szCs w:val="22"/>
                <w:lang w:eastAsia="ar-SA"/>
              </w:rPr>
            </w:pPr>
            <w:r w:rsidRPr="00A81449">
              <w:rPr>
                <w:rFonts w:eastAsia="Lucida Sans Unicode" w:cs="Arial"/>
                <w:kern w:val="1"/>
                <w:szCs w:val="22"/>
                <w:lang w:eastAsia="ar-SA"/>
              </w:rPr>
              <w:t>Налагодження  співпраці  з міжнародними бізнес-асоціаціями та торгово-промисловими палатами.</w:t>
            </w:r>
          </w:p>
          <w:p w14:paraId="262D5B92" w14:textId="77777777" w:rsidR="00D7011A" w:rsidRPr="00A81449" w:rsidRDefault="00D7011A" w:rsidP="00D7011A">
            <w:pPr>
              <w:widowControl w:val="0"/>
              <w:suppressAutoHyphens/>
              <w:spacing w:before="20" w:after="20"/>
              <w:rPr>
                <w:rFonts w:eastAsia="Lucida Sans Unicode" w:cs="Arial"/>
                <w:kern w:val="1"/>
                <w:szCs w:val="22"/>
                <w:lang w:eastAsia="ar-SA"/>
              </w:rPr>
            </w:pPr>
            <w:r w:rsidRPr="00A81449">
              <w:rPr>
                <w:rFonts w:eastAsia="Lucida Sans Unicode" w:cs="Arial"/>
                <w:kern w:val="1"/>
                <w:szCs w:val="22"/>
                <w:lang w:eastAsia="ar-SA"/>
              </w:rPr>
              <w:t>Підтримка виставкової та ярмаркової діяльності.</w:t>
            </w:r>
          </w:p>
          <w:p w14:paraId="351EB400" w14:textId="77777777" w:rsidR="00D7011A" w:rsidRPr="00A81449" w:rsidRDefault="00D7011A" w:rsidP="00D7011A">
            <w:pPr>
              <w:widowControl w:val="0"/>
              <w:suppressAutoHyphens/>
              <w:spacing w:before="20" w:after="20"/>
              <w:rPr>
                <w:rFonts w:eastAsia="Lucida Sans Unicode" w:cs="Arial"/>
                <w:kern w:val="1"/>
                <w:szCs w:val="22"/>
                <w:lang w:eastAsia="ar-SA"/>
              </w:rPr>
            </w:pPr>
            <w:r w:rsidRPr="00A81449">
              <w:rPr>
                <w:rFonts w:eastAsia="Lucida Sans Unicode" w:cs="Arial"/>
                <w:kern w:val="1"/>
                <w:szCs w:val="22"/>
                <w:lang w:eastAsia="ar-SA"/>
              </w:rPr>
              <w:t>Підтримка співпраці між секторами влада-бізнес-громада.</w:t>
            </w:r>
          </w:p>
          <w:p w14:paraId="75EC342C" w14:textId="77777777" w:rsidR="00D7011A" w:rsidRPr="00A81449" w:rsidRDefault="00D7011A" w:rsidP="00D7011A">
            <w:pPr>
              <w:widowControl w:val="0"/>
              <w:suppressAutoHyphens/>
              <w:spacing w:before="20" w:after="20"/>
              <w:rPr>
                <w:rFonts w:eastAsia="Lucida Sans Unicode" w:cs="Arial"/>
                <w:kern w:val="1"/>
                <w:szCs w:val="22"/>
                <w:lang w:eastAsia="ar-SA"/>
              </w:rPr>
            </w:pPr>
            <w:r w:rsidRPr="00A81449">
              <w:rPr>
                <w:rFonts w:eastAsia="Lucida Sans Unicode" w:cs="Arial"/>
                <w:kern w:val="1"/>
                <w:szCs w:val="22"/>
                <w:lang w:eastAsia="ar-SA"/>
              </w:rPr>
              <w:t>Встановлення партнерства між Центром зайнятості, Асоціаціями підприємців, міжнародними донорськими організаціями.</w:t>
            </w:r>
          </w:p>
          <w:p w14:paraId="019A6377" w14:textId="77777777" w:rsidR="00D7011A" w:rsidRPr="00A81449" w:rsidRDefault="00D7011A" w:rsidP="00D7011A">
            <w:pPr>
              <w:widowControl w:val="0"/>
              <w:suppressAutoHyphens/>
              <w:spacing w:before="20" w:after="20"/>
              <w:rPr>
                <w:rFonts w:eastAsia="Lucida Sans Unicode" w:cs="Arial"/>
                <w:kern w:val="1"/>
                <w:szCs w:val="22"/>
                <w:lang w:eastAsia="ar-SA"/>
              </w:rPr>
            </w:pPr>
            <w:r w:rsidRPr="00A81449">
              <w:rPr>
                <w:rFonts w:eastAsia="Lucida Sans Unicode" w:cs="Arial"/>
                <w:kern w:val="1"/>
                <w:szCs w:val="22"/>
                <w:lang w:eastAsia="ar-SA"/>
              </w:rPr>
              <w:t>Проведення тренінгів для представників малого та середнього бізнесу з питань «зеленого» бізнесу, енергоменеджменту альтернативної енергетики та збалансованих моделей споживання і виробництва.</w:t>
            </w:r>
          </w:p>
          <w:p w14:paraId="1AE679DD" w14:textId="77777777" w:rsidR="00D7011A" w:rsidRPr="00A81449" w:rsidRDefault="00D7011A" w:rsidP="00D7011A">
            <w:pPr>
              <w:tabs>
                <w:tab w:val="left" w:pos="285"/>
              </w:tabs>
              <w:spacing w:before="40" w:after="40"/>
              <w:contextualSpacing/>
              <w:jc w:val="both"/>
              <w:rPr>
                <w:rFonts w:cs="Arial"/>
                <w:szCs w:val="22"/>
                <w:lang w:eastAsia="it-IT"/>
              </w:rPr>
            </w:pPr>
            <w:r w:rsidRPr="00A81449">
              <w:rPr>
                <w:rFonts w:eastAsia="MS Mincho" w:cs="Arial"/>
                <w:kern w:val="1"/>
                <w:szCs w:val="22"/>
                <w:lang w:eastAsia="ar-SA"/>
              </w:rPr>
              <w:t xml:space="preserve">Розроблення заходів для підтримки підприємців-початківців та </w:t>
            </w:r>
            <w:r w:rsidRPr="00A81449">
              <w:rPr>
                <w:rFonts w:eastAsia="Lucida Sans Unicode" w:cs="Arial"/>
                <w:kern w:val="1"/>
                <w:szCs w:val="22"/>
                <w:lang w:eastAsia="ar-SA"/>
              </w:rPr>
              <w:t>соціального підприємництва</w:t>
            </w:r>
          </w:p>
        </w:tc>
      </w:tr>
      <w:tr w:rsidR="00D7011A" w:rsidRPr="00C2587D" w14:paraId="373B43DE" w14:textId="77777777" w:rsidTr="00D7011A">
        <w:trPr>
          <w:jc w:val="right"/>
        </w:trPr>
        <w:tc>
          <w:tcPr>
            <w:tcW w:w="3425" w:type="dxa"/>
            <w:shd w:val="clear" w:color="auto" w:fill="FFFFFF"/>
            <w:vAlign w:val="center"/>
          </w:tcPr>
          <w:p w14:paraId="58AE3B04" w14:textId="77777777" w:rsidR="00D7011A" w:rsidRPr="00A81449" w:rsidRDefault="00D7011A" w:rsidP="00D7011A">
            <w:pPr>
              <w:rPr>
                <w:rFonts w:cs="Arial"/>
                <w:b/>
                <w:bCs/>
                <w:color w:val="000000"/>
                <w:szCs w:val="22"/>
              </w:rPr>
            </w:pPr>
            <w:r w:rsidRPr="00A81449">
              <w:rPr>
                <w:rFonts w:cs="Arial"/>
                <w:b/>
                <w:bCs/>
                <w:color w:val="000000"/>
                <w:szCs w:val="22"/>
              </w:rPr>
              <w:t>Індикатори (показники) результативності</w:t>
            </w:r>
          </w:p>
        </w:tc>
        <w:tc>
          <w:tcPr>
            <w:tcW w:w="6794" w:type="dxa"/>
            <w:gridSpan w:val="8"/>
            <w:vAlign w:val="center"/>
          </w:tcPr>
          <w:p w14:paraId="2F1AEE78" w14:textId="77777777" w:rsidR="00D7011A" w:rsidRPr="00A81449" w:rsidRDefault="00D7011A" w:rsidP="00D7011A">
            <w:pPr>
              <w:jc w:val="both"/>
              <w:rPr>
                <w:rFonts w:cs="Arial"/>
                <w:szCs w:val="22"/>
                <w:lang w:eastAsia="it-IT"/>
              </w:rPr>
            </w:pPr>
            <w:r w:rsidRPr="00A81449">
              <w:rPr>
                <w:rFonts w:cs="Arial"/>
                <w:szCs w:val="22"/>
                <w:lang w:eastAsia="it-IT"/>
              </w:rPr>
              <w:t>створено нових ФОП, середніх та малих підприємств, збільшення кількості працюючих , зростання податків</w:t>
            </w:r>
          </w:p>
        </w:tc>
      </w:tr>
      <w:tr w:rsidR="00D7011A" w:rsidRPr="00C2587D" w14:paraId="50A5C84A" w14:textId="77777777" w:rsidTr="00D7011A">
        <w:trPr>
          <w:jc w:val="right"/>
        </w:trPr>
        <w:tc>
          <w:tcPr>
            <w:tcW w:w="3425" w:type="dxa"/>
            <w:shd w:val="clear" w:color="auto" w:fill="FFFFFF"/>
            <w:vAlign w:val="center"/>
          </w:tcPr>
          <w:p w14:paraId="77A7600E" w14:textId="77777777" w:rsidR="00D7011A" w:rsidRPr="00A81449" w:rsidRDefault="00D7011A" w:rsidP="00D7011A">
            <w:pPr>
              <w:rPr>
                <w:rFonts w:cs="Arial"/>
                <w:b/>
                <w:color w:val="000000"/>
                <w:szCs w:val="22"/>
              </w:rPr>
            </w:pPr>
            <w:r w:rsidRPr="00A81449">
              <w:rPr>
                <w:rFonts w:cs="Arial"/>
                <w:b/>
                <w:color w:val="000000"/>
                <w:szCs w:val="22"/>
              </w:rPr>
              <w:t xml:space="preserve">Період здійснення: </w:t>
            </w:r>
          </w:p>
        </w:tc>
        <w:tc>
          <w:tcPr>
            <w:tcW w:w="6794" w:type="dxa"/>
            <w:gridSpan w:val="8"/>
            <w:vAlign w:val="center"/>
          </w:tcPr>
          <w:p w14:paraId="6B1CF311" w14:textId="77777777" w:rsidR="00D7011A" w:rsidRPr="00A81449" w:rsidRDefault="00D7011A" w:rsidP="00D7011A">
            <w:pPr>
              <w:rPr>
                <w:rFonts w:cs="Arial"/>
                <w:szCs w:val="22"/>
                <w:lang w:eastAsia="it-IT"/>
              </w:rPr>
            </w:pPr>
            <w:r w:rsidRPr="00A81449">
              <w:rPr>
                <w:rFonts w:cs="Arial"/>
                <w:b/>
                <w:szCs w:val="22"/>
              </w:rPr>
              <w:t>2025 – 2028 роки:</w:t>
            </w:r>
          </w:p>
        </w:tc>
      </w:tr>
      <w:tr w:rsidR="00D7011A" w:rsidRPr="00C2587D" w14:paraId="67CE6925" w14:textId="77777777" w:rsidTr="00D7011A">
        <w:trPr>
          <w:jc w:val="right"/>
        </w:trPr>
        <w:tc>
          <w:tcPr>
            <w:tcW w:w="3425" w:type="dxa"/>
            <w:vMerge w:val="restart"/>
            <w:shd w:val="clear" w:color="auto" w:fill="FFFFFF"/>
            <w:vAlign w:val="center"/>
          </w:tcPr>
          <w:p w14:paraId="03019521" w14:textId="35991CAB" w:rsidR="00D7011A" w:rsidRPr="00A81449" w:rsidRDefault="00D7011A" w:rsidP="00D7011A">
            <w:pPr>
              <w:rPr>
                <w:rFonts w:cs="Arial"/>
                <w:b/>
                <w:bCs/>
                <w:color w:val="000000"/>
                <w:szCs w:val="22"/>
              </w:rPr>
            </w:pPr>
            <w:r w:rsidRPr="00A81449">
              <w:rPr>
                <w:rFonts w:cs="Arial"/>
                <w:b/>
                <w:bCs/>
                <w:color w:val="000000"/>
                <w:szCs w:val="22"/>
              </w:rPr>
              <w:t>Орієнтовна вартіс</w:t>
            </w:r>
            <w:r w:rsidR="0092424D">
              <w:rPr>
                <w:rFonts w:cs="Arial"/>
                <w:b/>
                <w:bCs/>
                <w:color w:val="000000"/>
                <w:szCs w:val="22"/>
              </w:rPr>
              <w:t>ть проє</w:t>
            </w:r>
            <w:r w:rsidRPr="00A81449">
              <w:rPr>
                <w:rFonts w:cs="Arial"/>
                <w:b/>
                <w:bCs/>
                <w:color w:val="000000"/>
                <w:szCs w:val="22"/>
              </w:rPr>
              <w:t>кту, тис. грн., тому числі:</w:t>
            </w:r>
          </w:p>
        </w:tc>
        <w:tc>
          <w:tcPr>
            <w:tcW w:w="1254" w:type="dxa"/>
            <w:shd w:val="clear" w:color="auto" w:fill="E6E6E6"/>
            <w:vAlign w:val="center"/>
          </w:tcPr>
          <w:p w14:paraId="6EC2C915" w14:textId="77777777" w:rsidR="00D7011A" w:rsidRPr="00A81449" w:rsidRDefault="00D7011A" w:rsidP="00D7011A">
            <w:pPr>
              <w:jc w:val="center"/>
              <w:rPr>
                <w:rFonts w:cs="Arial"/>
                <w:b/>
                <w:szCs w:val="22"/>
                <w:lang w:eastAsia="it-IT"/>
              </w:rPr>
            </w:pPr>
            <w:r w:rsidRPr="00A81449">
              <w:rPr>
                <w:rFonts w:cs="Arial"/>
                <w:b/>
                <w:szCs w:val="22"/>
                <w:lang w:eastAsia="it-IT"/>
              </w:rPr>
              <w:t>2025</w:t>
            </w:r>
          </w:p>
        </w:tc>
        <w:tc>
          <w:tcPr>
            <w:tcW w:w="1417" w:type="dxa"/>
            <w:gridSpan w:val="2"/>
            <w:shd w:val="clear" w:color="auto" w:fill="E6E6E6"/>
            <w:vAlign w:val="center"/>
          </w:tcPr>
          <w:p w14:paraId="41A93061" w14:textId="77777777" w:rsidR="00D7011A" w:rsidRPr="00A81449" w:rsidRDefault="00D7011A" w:rsidP="00D7011A">
            <w:pPr>
              <w:jc w:val="center"/>
              <w:rPr>
                <w:rFonts w:cs="Arial"/>
                <w:b/>
                <w:szCs w:val="22"/>
                <w:lang w:eastAsia="it-IT"/>
              </w:rPr>
            </w:pPr>
            <w:r w:rsidRPr="00A81449">
              <w:rPr>
                <w:rFonts w:cs="Arial"/>
                <w:b/>
                <w:szCs w:val="22"/>
                <w:lang w:eastAsia="it-IT"/>
              </w:rPr>
              <w:t>2026</w:t>
            </w:r>
          </w:p>
        </w:tc>
        <w:tc>
          <w:tcPr>
            <w:tcW w:w="1418" w:type="dxa"/>
            <w:tcBorders>
              <w:bottom w:val="single" w:sz="4" w:space="0" w:color="auto"/>
            </w:tcBorders>
            <w:shd w:val="clear" w:color="auto" w:fill="E6E6E6"/>
            <w:vAlign w:val="center"/>
          </w:tcPr>
          <w:p w14:paraId="12B1CC7D" w14:textId="77777777" w:rsidR="00D7011A" w:rsidRPr="00A81449" w:rsidRDefault="00D7011A" w:rsidP="00D7011A">
            <w:pPr>
              <w:jc w:val="center"/>
              <w:rPr>
                <w:rFonts w:cs="Arial"/>
                <w:b/>
                <w:szCs w:val="22"/>
                <w:lang w:eastAsia="it-IT"/>
              </w:rPr>
            </w:pPr>
            <w:r w:rsidRPr="00A81449">
              <w:rPr>
                <w:rFonts w:cs="Arial"/>
                <w:b/>
                <w:szCs w:val="22"/>
                <w:lang w:eastAsia="it-IT"/>
              </w:rPr>
              <w:t>2027</w:t>
            </w:r>
          </w:p>
        </w:tc>
        <w:tc>
          <w:tcPr>
            <w:tcW w:w="1275" w:type="dxa"/>
            <w:gridSpan w:val="2"/>
            <w:shd w:val="clear" w:color="auto" w:fill="E6E6E6"/>
            <w:vAlign w:val="center"/>
          </w:tcPr>
          <w:p w14:paraId="49FE8351" w14:textId="77777777" w:rsidR="00D7011A" w:rsidRPr="00A81449" w:rsidRDefault="00D7011A" w:rsidP="00D7011A">
            <w:pPr>
              <w:jc w:val="center"/>
              <w:rPr>
                <w:rFonts w:cs="Arial"/>
                <w:b/>
                <w:szCs w:val="22"/>
                <w:lang w:eastAsia="it-IT"/>
              </w:rPr>
            </w:pPr>
            <w:r w:rsidRPr="00A81449">
              <w:rPr>
                <w:rFonts w:cs="Arial"/>
                <w:b/>
                <w:szCs w:val="22"/>
                <w:lang w:eastAsia="it-IT"/>
              </w:rPr>
              <w:t>2028</w:t>
            </w:r>
          </w:p>
        </w:tc>
        <w:tc>
          <w:tcPr>
            <w:tcW w:w="1430" w:type="dxa"/>
            <w:gridSpan w:val="2"/>
            <w:shd w:val="clear" w:color="auto" w:fill="E6E6E6"/>
            <w:vAlign w:val="center"/>
          </w:tcPr>
          <w:p w14:paraId="4400A533" w14:textId="77777777" w:rsidR="00D7011A" w:rsidRPr="00A81449" w:rsidRDefault="00D7011A" w:rsidP="00D7011A">
            <w:pPr>
              <w:jc w:val="center"/>
              <w:rPr>
                <w:rFonts w:cs="Arial"/>
                <w:b/>
                <w:szCs w:val="22"/>
                <w:lang w:eastAsia="it-IT"/>
              </w:rPr>
            </w:pPr>
            <w:r w:rsidRPr="00A81449">
              <w:rPr>
                <w:rFonts w:cs="Arial"/>
                <w:b/>
                <w:szCs w:val="22"/>
                <w:lang w:eastAsia="it-IT"/>
              </w:rPr>
              <w:t>Разом</w:t>
            </w:r>
          </w:p>
        </w:tc>
      </w:tr>
      <w:tr w:rsidR="00D7011A" w:rsidRPr="00C2587D" w14:paraId="09B64072" w14:textId="77777777" w:rsidTr="00D7011A">
        <w:trPr>
          <w:jc w:val="right"/>
        </w:trPr>
        <w:tc>
          <w:tcPr>
            <w:tcW w:w="3425" w:type="dxa"/>
            <w:vMerge/>
            <w:shd w:val="clear" w:color="auto" w:fill="FFFFFF"/>
            <w:vAlign w:val="center"/>
          </w:tcPr>
          <w:p w14:paraId="74A4A58D" w14:textId="77777777" w:rsidR="00D7011A" w:rsidRPr="00A81449" w:rsidRDefault="00D7011A" w:rsidP="00D7011A">
            <w:pPr>
              <w:rPr>
                <w:rFonts w:cs="Arial"/>
                <w:b/>
                <w:bCs/>
                <w:color w:val="000000"/>
                <w:szCs w:val="22"/>
              </w:rPr>
            </w:pPr>
          </w:p>
        </w:tc>
        <w:tc>
          <w:tcPr>
            <w:tcW w:w="1254" w:type="dxa"/>
            <w:vAlign w:val="center"/>
          </w:tcPr>
          <w:p w14:paraId="6B700EC0" w14:textId="77777777" w:rsidR="00D7011A" w:rsidRPr="00A81449" w:rsidRDefault="00D7011A" w:rsidP="00D7011A">
            <w:pPr>
              <w:jc w:val="center"/>
              <w:rPr>
                <w:rFonts w:cs="Arial"/>
                <w:b/>
                <w:szCs w:val="22"/>
                <w:lang w:eastAsia="it-IT"/>
              </w:rPr>
            </w:pPr>
            <w:r w:rsidRPr="00A81449">
              <w:rPr>
                <w:rFonts w:cs="Arial"/>
                <w:b/>
                <w:szCs w:val="22"/>
                <w:lang w:eastAsia="it-IT"/>
              </w:rPr>
              <w:t>0</w:t>
            </w:r>
          </w:p>
        </w:tc>
        <w:tc>
          <w:tcPr>
            <w:tcW w:w="1417" w:type="dxa"/>
            <w:gridSpan w:val="2"/>
            <w:shd w:val="clear" w:color="auto" w:fill="FFFFFF"/>
            <w:vAlign w:val="center"/>
          </w:tcPr>
          <w:p w14:paraId="44F2D7C2" w14:textId="77777777" w:rsidR="00D7011A" w:rsidRPr="00A81449" w:rsidRDefault="00D7011A" w:rsidP="00D7011A">
            <w:pPr>
              <w:jc w:val="center"/>
              <w:rPr>
                <w:rFonts w:cs="Arial"/>
                <w:b/>
                <w:szCs w:val="22"/>
                <w:lang w:eastAsia="it-IT"/>
              </w:rPr>
            </w:pPr>
            <w:r w:rsidRPr="00A81449">
              <w:rPr>
                <w:rFonts w:cs="Arial"/>
                <w:b/>
                <w:szCs w:val="22"/>
                <w:lang w:eastAsia="it-IT"/>
              </w:rPr>
              <w:t>50,0</w:t>
            </w:r>
          </w:p>
        </w:tc>
        <w:tc>
          <w:tcPr>
            <w:tcW w:w="1418" w:type="dxa"/>
            <w:shd w:val="clear" w:color="auto" w:fill="auto"/>
            <w:vAlign w:val="center"/>
          </w:tcPr>
          <w:p w14:paraId="334BF8A1" w14:textId="77777777" w:rsidR="00D7011A" w:rsidRPr="00A81449" w:rsidRDefault="00D7011A" w:rsidP="00D7011A">
            <w:pPr>
              <w:jc w:val="center"/>
              <w:rPr>
                <w:rFonts w:cs="Arial"/>
                <w:b/>
                <w:szCs w:val="22"/>
                <w:lang w:eastAsia="it-IT"/>
              </w:rPr>
            </w:pPr>
            <w:r w:rsidRPr="00A81449">
              <w:rPr>
                <w:rFonts w:cs="Arial"/>
                <w:b/>
                <w:szCs w:val="22"/>
                <w:lang w:eastAsia="it-IT"/>
              </w:rPr>
              <w:t>100,0</w:t>
            </w:r>
          </w:p>
        </w:tc>
        <w:tc>
          <w:tcPr>
            <w:tcW w:w="1275" w:type="dxa"/>
            <w:gridSpan w:val="2"/>
            <w:shd w:val="clear" w:color="auto" w:fill="FFFFFF"/>
            <w:vAlign w:val="center"/>
          </w:tcPr>
          <w:p w14:paraId="048E1973" w14:textId="77777777" w:rsidR="00D7011A" w:rsidRPr="00A81449" w:rsidRDefault="00D7011A" w:rsidP="00D7011A">
            <w:pPr>
              <w:jc w:val="center"/>
              <w:rPr>
                <w:rFonts w:cs="Arial"/>
                <w:b/>
                <w:szCs w:val="22"/>
                <w:lang w:eastAsia="it-IT"/>
              </w:rPr>
            </w:pPr>
            <w:r w:rsidRPr="00A81449">
              <w:rPr>
                <w:rFonts w:cs="Arial"/>
                <w:b/>
                <w:szCs w:val="22"/>
                <w:lang w:eastAsia="it-IT"/>
              </w:rPr>
              <w:t>100,0</w:t>
            </w:r>
          </w:p>
        </w:tc>
        <w:tc>
          <w:tcPr>
            <w:tcW w:w="1430" w:type="dxa"/>
            <w:gridSpan w:val="2"/>
            <w:shd w:val="clear" w:color="auto" w:fill="FFFFFF"/>
            <w:vAlign w:val="center"/>
          </w:tcPr>
          <w:p w14:paraId="5A7305E6" w14:textId="77777777" w:rsidR="00D7011A" w:rsidRPr="00A81449" w:rsidRDefault="00D7011A" w:rsidP="00D7011A">
            <w:pPr>
              <w:jc w:val="center"/>
              <w:rPr>
                <w:rFonts w:cs="Arial"/>
                <w:b/>
                <w:szCs w:val="22"/>
                <w:lang w:eastAsia="it-IT"/>
              </w:rPr>
            </w:pPr>
            <w:r w:rsidRPr="00A81449">
              <w:rPr>
                <w:rFonts w:cs="Arial"/>
                <w:b/>
                <w:szCs w:val="22"/>
                <w:lang w:eastAsia="it-IT"/>
              </w:rPr>
              <w:t>250,0</w:t>
            </w:r>
          </w:p>
        </w:tc>
      </w:tr>
      <w:tr w:rsidR="00D7011A" w:rsidRPr="00C2587D" w14:paraId="116370E3" w14:textId="77777777" w:rsidTr="00D7011A">
        <w:trPr>
          <w:trHeight w:val="206"/>
          <w:jc w:val="right"/>
        </w:trPr>
        <w:tc>
          <w:tcPr>
            <w:tcW w:w="3425" w:type="dxa"/>
            <w:shd w:val="clear" w:color="auto" w:fill="FFFFFF"/>
            <w:vAlign w:val="center"/>
          </w:tcPr>
          <w:p w14:paraId="2FD2FA81" w14:textId="77777777" w:rsidR="00D7011A" w:rsidRPr="00A81449" w:rsidRDefault="00D7011A" w:rsidP="00D7011A">
            <w:pPr>
              <w:rPr>
                <w:rFonts w:cs="Arial"/>
                <w:b/>
                <w:bCs/>
                <w:color w:val="000000"/>
                <w:szCs w:val="22"/>
              </w:rPr>
            </w:pPr>
            <w:r w:rsidRPr="00A81449">
              <w:rPr>
                <w:rFonts w:cs="Arial"/>
                <w:b/>
                <w:bCs/>
                <w:color w:val="000000"/>
                <w:szCs w:val="22"/>
              </w:rPr>
              <w:t>по джерелах фінансування:</w:t>
            </w:r>
          </w:p>
        </w:tc>
        <w:tc>
          <w:tcPr>
            <w:tcW w:w="6794" w:type="dxa"/>
            <w:gridSpan w:val="8"/>
            <w:vAlign w:val="center"/>
          </w:tcPr>
          <w:p w14:paraId="4BE0FD55" w14:textId="77777777" w:rsidR="00D7011A" w:rsidRPr="00A81449" w:rsidRDefault="00D7011A" w:rsidP="00D7011A">
            <w:pPr>
              <w:jc w:val="both"/>
              <w:rPr>
                <w:rFonts w:cs="Arial"/>
                <w:szCs w:val="22"/>
                <w:lang w:eastAsia="it-IT"/>
              </w:rPr>
            </w:pPr>
          </w:p>
        </w:tc>
      </w:tr>
      <w:tr w:rsidR="00D7011A" w:rsidRPr="00C2587D" w14:paraId="4163B0BA" w14:textId="77777777" w:rsidTr="00D7011A">
        <w:trPr>
          <w:trHeight w:val="285"/>
          <w:jc w:val="right"/>
        </w:trPr>
        <w:tc>
          <w:tcPr>
            <w:tcW w:w="3425" w:type="dxa"/>
            <w:shd w:val="clear" w:color="auto" w:fill="FFFFFF"/>
            <w:vAlign w:val="center"/>
          </w:tcPr>
          <w:p w14:paraId="2EEE6120" w14:textId="77777777" w:rsidR="00D7011A" w:rsidRPr="00A81449" w:rsidRDefault="00D7011A" w:rsidP="002E6F44">
            <w:pPr>
              <w:numPr>
                <w:ilvl w:val="0"/>
                <w:numId w:val="14"/>
              </w:numPr>
              <w:ind w:hanging="936"/>
              <w:rPr>
                <w:rFonts w:cs="Arial"/>
                <w:b/>
                <w:bCs/>
                <w:color w:val="000000"/>
                <w:szCs w:val="22"/>
              </w:rPr>
            </w:pPr>
            <w:r w:rsidRPr="00A81449">
              <w:rPr>
                <w:rFonts w:cs="Arial"/>
                <w:color w:val="000000"/>
                <w:szCs w:val="22"/>
              </w:rPr>
              <w:t>-державний бюджет;</w:t>
            </w:r>
          </w:p>
        </w:tc>
        <w:tc>
          <w:tcPr>
            <w:tcW w:w="1260" w:type="dxa"/>
            <w:gridSpan w:val="2"/>
            <w:vAlign w:val="center"/>
          </w:tcPr>
          <w:p w14:paraId="0A10C5FF" w14:textId="77777777" w:rsidR="00D7011A" w:rsidRPr="00A81449" w:rsidRDefault="00D7011A" w:rsidP="00D7011A">
            <w:pPr>
              <w:jc w:val="center"/>
              <w:rPr>
                <w:rFonts w:cs="Arial"/>
                <w:szCs w:val="22"/>
                <w:lang w:eastAsia="it-IT"/>
              </w:rPr>
            </w:pPr>
          </w:p>
        </w:tc>
        <w:tc>
          <w:tcPr>
            <w:tcW w:w="1411" w:type="dxa"/>
            <w:vAlign w:val="center"/>
          </w:tcPr>
          <w:p w14:paraId="4088720C" w14:textId="77777777" w:rsidR="00D7011A" w:rsidRPr="00A81449" w:rsidRDefault="00D7011A" w:rsidP="00D7011A">
            <w:pPr>
              <w:jc w:val="center"/>
              <w:rPr>
                <w:rFonts w:cs="Arial"/>
                <w:szCs w:val="22"/>
                <w:lang w:eastAsia="it-IT"/>
              </w:rPr>
            </w:pPr>
          </w:p>
        </w:tc>
        <w:tc>
          <w:tcPr>
            <w:tcW w:w="1454" w:type="dxa"/>
            <w:gridSpan w:val="2"/>
            <w:vAlign w:val="center"/>
          </w:tcPr>
          <w:p w14:paraId="4D8C08DB" w14:textId="77777777" w:rsidR="00D7011A" w:rsidRPr="00A81449" w:rsidRDefault="00D7011A" w:rsidP="00D7011A">
            <w:pPr>
              <w:jc w:val="center"/>
              <w:rPr>
                <w:rFonts w:cs="Arial"/>
                <w:szCs w:val="22"/>
                <w:lang w:eastAsia="it-IT"/>
              </w:rPr>
            </w:pPr>
          </w:p>
        </w:tc>
        <w:tc>
          <w:tcPr>
            <w:tcW w:w="1245" w:type="dxa"/>
            <w:gridSpan w:val="2"/>
            <w:vAlign w:val="center"/>
          </w:tcPr>
          <w:p w14:paraId="103C92E0" w14:textId="77777777" w:rsidR="00D7011A" w:rsidRPr="00A81449" w:rsidRDefault="00D7011A" w:rsidP="00D7011A">
            <w:pPr>
              <w:jc w:val="center"/>
              <w:rPr>
                <w:rFonts w:cs="Arial"/>
                <w:szCs w:val="22"/>
                <w:lang w:eastAsia="it-IT"/>
              </w:rPr>
            </w:pPr>
          </w:p>
        </w:tc>
        <w:tc>
          <w:tcPr>
            <w:tcW w:w="1424" w:type="dxa"/>
            <w:vAlign w:val="center"/>
          </w:tcPr>
          <w:p w14:paraId="7EDB62A1" w14:textId="77777777" w:rsidR="00D7011A" w:rsidRPr="00A81449" w:rsidRDefault="00D7011A" w:rsidP="00D7011A">
            <w:pPr>
              <w:jc w:val="center"/>
              <w:rPr>
                <w:rFonts w:cs="Arial"/>
                <w:szCs w:val="22"/>
                <w:lang w:eastAsia="it-IT"/>
              </w:rPr>
            </w:pPr>
          </w:p>
        </w:tc>
      </w:tr>
      <w:tr w:rsidR="00D7011A" w:rsidRPr="00C2587D" w14:paraId="2642A656" w14:textId="77777777" w:rsidTr="00D7011A">
        <w:trPr>
          <w:trHeight w:val="315"/>
          <w:jc w:val="right"/>
        </w:trPr>
        <w:tc>
          <w:tcPr>
            <w:tcW w:w="3425" w:type="dxa"/>
            <w:shd w:val="clear" w:color="auto" w:fill="FFFFFF"/>
            <w:vAlign w:val="center"/>
          </w:tcPr>
          <w:p w14:paraId="287F9B53" w14:textId="77777777" w:rsidR="00D7011A" w:rsidRPr="00A81449" w:rsidRDefault="00D7011A" w:rsidP="00D7011A">
            <w:pPr>
              <w:rPr>
                <w:rFonts w:cs="Arial"/>
                <w:b/>
                <w:bCs/>
                <w:color w:val="000000"/>
                <w:szCs w:val="22"/>
              </w:rPr>
            </w:pPr>
            <w:r w:rsidRPr="00A81449">
              <w:rPr>
                <w:rFonts w:cs="Arial"/>
                <w:color w:val="000000"/>
                <w:szCs w:val="22"/>
              </w:rPr>
              <w:t>-обласний бюджет;</w:t>
            </w:r>
          </w:p>
        </w:tc>
        <w:tc>
          <w:tcPr>
            <w:tcW w:w="1260" w:type="dxa"/>
            <w:gridSpan w:val="2"/>
            <w:vAlign w:val="center"/>
          </w:tcPr>
          <w:p w14:paraId="42768B21" w14:textId="77777777" w:rsidR="00D7011A" w:rsidRPr="00A81449" w:rsidRDefault="00D7011A" w:rsidP="00D7011A">
            <w:pPr>
              <w:jc w:val="center"/>
              <w:rPr>
                <w:rFonts w:cs="Arial"/>
                <w:szCs w:val="22"/>
                <w:lang w:eastAsia="it-IT"/>
              </w:rPr>
            </w:pPr>
          </w:p>
        </w:tc>
        <w:tc>
          <w:tcPr>
            <w:tcW w:w="1411" w:type="dxa"/>
            <w:vAlign w:val="center"/>
          </w:tcPr>
          <w:p w14:paraId="58C451DF" w14:textId="77777777" w:rsidR="00D7011A" w:rsidRPr="00A81449" w:rsidRDefault="00D7011A" w:rsidP="00D7011A">
            <w:pPr>
              <w:jc w:val="center"/>
              <w:rPr>
                <w:rFonts w:cs="Arial"/>
                <w:szCs w:val="22"/>
                <w:lang w:eastAsia="it-IT"/>
              </w:rPr>
            </w:pPr>
          </w:p>
        </w:tc>
        <w:tc>
          <w:tcPr>
            <w:tcW w:w="1454" w:type="dxa"/>
            <w:gridSpan w:val="2"/>
            <w:vAlign w:val="center"/>
          </w:tcPr>
          <w:p w14:paraId="7E85AC87" w14:textId="77777777" w:rsidR="00D7011A" w:rsidRPr="00A81449" w:rsidRDefault="00D7011A" w:rsidP="00D7011A">
            <w:pPr>
              <w:jc w:val="center"/>
              <w:rPr>
                <w:rFonts w:cs="Arial"/>
                <w:szCs w:val="22"/>
                <w:lang w:eastAsia="it-IT"/>
              </w:rPr>
            </w:pPr>
          </w:p>
        </w:tc>
        <w:tc>
          <w:tcPr>
            <w:tcW w:w="1245" w:type="dxa"/>
            <w:gridSpan w:val="2"/>
            <w:vAlign w:val="center"/>
          </w:tcPr>
          <w:p w14:paraId="6938B30C" w14:textId="77777777" w:rsidR="00D7011A" w:rsidRPr="00A81449" w:rsidRDefault="00D7011A" w:rsidP="00D7011A">
            <w:pPr>
              <w:jc w:val="center"/>
              <w:rPr>
                <w:rFonts w:cs="Arial"/>
                <w:szCs w:val="22"/>
                <w:lang w:eastAsia="it-IT"/>
              </w:rPr>
            </w:pPr>
          </w:p>
        </w:tc>
        <w:tc>
          <w:tcPr>
            <w:tcW w:w="1424" w:type="dxa"/>
            <w:vAlign w:val="center"/>
          </w:tcPr>
          <w:p w14:paraId="3F39C4E0" w14:textId="77777777" w:rsidR="00D7011A" w:rsidRPr="00A81449" w:rsidRDefault="00D7011A" w:rsidP="00D7011A">
            <w:pPr>
              <w:jc w:val="center"/>
              <w:rPr>
                <w:rFonts w:cs="Arial"/>
                <w:szCs w:val="22"/>
                <w:lang w:eastAsia="it-IT"/>
              </w:rPr>
            </w:pPr>
          </w:p>
        </w:tc>
      </w:tr>
      <w:tr w:rsidR="00D7011A" w:rsidRPr="00C2587D" w14:paraId="51DA619D" w14:textId="77777777" w:rsidTr="00D7011A">
        <w:trPr>
          <w:trHeight w:val="240"/>
          <w:jc w:val="right"/>
        </w:trPr>
        <w:tc>
          <w:tcPr>
            <w:tcW w:w="3425" w:type="dxa"/>
            <w:shd w:val="clear" w:color="auto" w:fill="FFFFFF"/>
            <w:vAlign w:val="center"/>
          </w:tcPr>
          <w:p w14:paraId="65F3E65D" w14:textId="77777777" w:rsidR="00D7011A" w:rsidRPr="00A81449" w:rsidRDefault="00D7011A" w:rsidP="00D7011A">
            <w:pPr>
              <w:rPr>
                <w:rFonts w:cs="Arial"/>
                <w:color w:val="000000"/>
                <w:szCs w:val="22"/>
              </w:rPr>
            </w:pPr>
            <w:r w:rsidRPr="00A81449">
              <w:rPr>
                <w:rFonts w:cs="Arial"/>
                <w:color w:val="000000"/>
                <w:szCs w:val="22"/>
              </w:rPr>
              <w:t xml:space="preserve">-бюджет Жмеринської МТГ; </w:t>
            </w:r>
          </w:p>
        </w:tc>
        <w:tc>
          <w:tcPr>
            <w:tcW w:w="1260" w:type="dxa"/>
            <w:gridSpan w:val="2"/>
            <w:vAlign w:val="center"/>
          </w:tcPr>
          <w:p w14:paraId="58D975AB" w14:textId="77777777" w:rsidR="00D7011A" w:rsidRPr="00A81449" w:rsidRDefault="00D7011A" w:rsidP="00D7011A">
            <w:pPr>
              <w:jc w:val="center"/>
              <w:rPr>
                <w:rFonts w:cs="Arial"/>
                <w:b/>
                <w:szCs w:val="22"/>
                <w:lang w:eastAsia="it-IT"/>
              </w:rPr>
            </w:pPr>
            <w:r w:rsidRPr="00A81449">
              <w:rPr>
                <w:rFonts w:cs="Arial"/>
                <w:b/>
                <w:szCs w:val="22"/>
                <w:lang w:eastAsia="it-IT"/>
              </w:rPr>
              <w:t>0</w:t>
            </w:r>
          </w:p>
        </w:tc>
        <w:tc>
          <w:tcPr>
            <w:tcW w:w="1411" w:type="dxa"/>
            <w:vAlign w:val="center"/>
          </w:tcPr>
          <w:p w14:paraId="298412F0" w14:textId="77777777" w:rsidR="00D7011A" w:rsidRPr="00A81449" w:rsidRDefault="00D7011A" w:rsidP="00D7011A">
            <w:pPr>
              <w:jc w:val="center"/>
              <w:rPr>
                <w:rFonts w:cs="Arial"/>
                <w:b/>
                <w:szCs w:val="22"/>
                <w:lang w:eastAsia="it-IT"/>
              </w:rPr>
            </w:pPr>
            <w:r w:rsidRPr="00A81449">
              <w:rPr>
                <w:rFonts w:cs="Arial"/>
                <w:b/>
                <w:szCs w:val="22"/>
                <w:lang w:eastAsia="it-IT"/>
              </w:rPr>
              <w:t>50,0</w:t>
            </w:r>
          </w:p>
        </w:tc>
        <w:tc>
          <w:tcPr>
            <w:tcW w:w="1454" w:type="dxa"/>
            <w:gridSpan w:val="2"/>
            <w:vAlign w:val="center"/>
          </w:tcPr>
          <w:p w14:paraId="4AD757A8" w14:textId="77777777" w:rsidR="00D7011A" w:rsidRPr="00A81449" w:rsidRDefault="00D7011A" w:rsidP="00D7011A">
            <w:pPr>
              <w:jc w:val="center"/>
              <w:rPr>
                <w:rFonts w:cs="Arial"/>
                <w:b/>
                <w:szCs w:val="22"/>
                <w:lang w:eastAsia="it-IT"/>
              </w:rPr>
            </w:pPr>
            <w:r w:rsidRPr="00A81449">
              <w:rPr>
                <w:rFonts w:cs="Arial"/>
                <w:b/>
                <w:szCs w:val="22"/>
                <w:lang w:eastAsia="it-IT"/>
              </w:rPr>
              <w:t>100,0</w:t>
            </w:r>
          </w:p>
        </w:tc>
        <w:tc>
          <w:tcPr>
            <w:tcW w:w="1245" w:type="dxa"/>
            <w:gridSpan w:val="2"/>
            <w:vAlign w:val="center"/>
          </w:tcPr>
          <w:p w14:paraId="424A9309" w14:textId="77777777" w:rsidR="00D7011A" w:rsidRPr="00A81449" w:rsidRDefault="00D7011A" w:rsidP="00D7011A">
            <w:pPr>
              <w:jc w:val="center"/>
              <w:rPr>
                <w:rFonts w:cs="Arial"/>
                <w:b/>
                <w:szCs w:val="22"/>
                <w:lang w:eastAsia="it-IT"/>
              </w:rPr>
            </w:pPr>
            <w:r w:rsidRPr="00A81449">
              <w:rPr>
                <w:rFonts w:cs="Arial"/>
                <w:b/>
                <w:szCs w:val="22"/>
                <w:lang w:eastAsia="it-IT"/>
              </w:rPr>
              <w:t>100,0</w:t>
            </w:r>
          </w:p>
        </w:tc>
        <w:tc>
          <w:tcPr>
            <w:tcW w:w="1424" w:type="dxa"/>
            <w:vAlign w:val="center"/>
          </w:tcPr>
          <w:p w14:paraId="41F7934A" w14:textId="77777777" w:rsidR="00D7011A" w:rsidRPr="00A81449" w:rsidRDefault="00D7011A" w:rsidP="00D7011A">
            <w:pPr>
              <w:jc w:val="center"/>
              <w:rPr>
                <w:rFonts w:cs="Arial"/>
                <w:b/>
                <w:szCs w:val="22"/>
                <w:lang w:eastAsia="it-IT"/>
              </w:rPr>
            </w:pPr>
            <w:r w:rsidRPr="00A81449">
              <w:rPr>
                <w:rFonts w:cs="Arial"/>
                <w:b/>
                <w:szCs w:val="22"/>
                <w:lang w:eastAsia="it-IT"/>
              </w:rPr>
              <w:t>250,0</w:t>
            </w:r>
          </w:p>
        </w:tc>
      </w:tr>
      <w:tr w:rsidR="00D7011A" w:rsidRPr="00C2587D" w14:paraId="2380A06F" w14:textId="77777777" w:rsidTr="00D7011A">
        <w:trPr>
          <w:trHeight w:val="240"/>
          <w:jc w:val="right"/>
        </w:trPr>
        <w:tc>
          <w:tcPr>
            <w:tcW w:w="3425" w:type="dxa"/>
            <w:shd w:val="clear" w:color="auto" w:fill="FFFFFF"/>
            <w:vAlign w:val="center"/>
          </w:tcPr>
          <w:p w14:paraId="41DF94CF" w14:textId="77777777" w:rsidR="00D7011A" w:rsidRPr="00A81449" w:rsidRDefault="00D7011A" w:rsidP="00D7011A">
            <w:pPr>
              <w:rPr>
                <w:rFonts w:cs="Arial"/>
                <w:color w:val="000000"/>
                <w:szCs w:val="22"/>
              </w:rPr>
            </w:pPr>
            <w:r w:rsidRPr="00A81449">
              <w:rPr>
                <w:rFonts w:cs="Arial"/>
                <w:color w:val="000000"/>
                <w:szCs w:val="22"/>
              </w:rPr>
              <w:t>-інші джерела фінансування.</w:t>
            </w:r>
          </w:p>
        </w:tc>
        <w:tc>
          <w:tcPr>
            <w:tcW w:w="1260" w:type="dxa"/>
            <w:gridSpan w:val="2"/>
            <w:vAlign w:val="center"/>
          </w:tcPr>
          <w:p w14:paraId="395C9BB2" w14:textId="77777777" w:rsidR="00D7011A" w:rsidRPr="00A81449" w:rsidRDefault="00D7011A" w:rsidP="00D7011A">
            <w:pPr>
              <w:jc w:val="center"/>
              <w:rPr>
                <w:rFonts w:cs="Arial"/>
                <w:szCs w:val="22"/>
                <w:lang w:eastAsia="it-IT"/>
              </w:rPr>
            </w:pPr>
          </w:p>
        </w:tc>
        <w:tc>
          <w:tcPr>
            <w:tcW w:w="1411" w:type="dxa"/>
            <w:vAlign w:val="center"/>
          </w:tcPr>
          <w:p w14:paraId="30CDD4FB" w14:textId="77777777" w:rsidR="00D7011A" w:rsidRPr="00A81449" w:rsidRDefault="00D7011A" w:rsidP="00D7011A">
            <w:pPr>
              <w:jc w:val="center"/>
              <w:rPr>
                <w:rFonts w:cs="Arial"/>
                <w:szCs w:val="22"/>
                <w:lang w:eastAsia="it-IT"/>
              </w:rPr>
            </w:pPr>
          </w:p>
        </w:tc>
        <w:tc>
          <w:tcPr>
            <w:tcW w:w="1454" w:type="dxa"/>
            <w:gridSpan w:val="2"/>
            <w:vAlign w:val="center"/>
          </w:tcPr>
          <w:p w14:paraId="63706870" w14:textId="77777777" w:rsidR="00D7011A" w:rsidRPr="00A81449" w:rsidRDefault="00D7011A" w:rsidP="00D7011A">
            <w:pPr>
              <w:jc w:val="center"/>
              <w:rPr>
                <w:rFonts w:cs="Arial"/>
                <w:szCs w:val="22"/>
                <w:lang w:eastAsia="it-IT"/>
              </w:rPr>
            </w:pPr>
          </w:p>
        </w:tc>
        <w:tc>
          <w:tcPr>
            <w:tcW w:w="1245" w:type="dxa"/>
            <w:gridSpan w:val="2"/>
            <w:vAlign w:val="center"/>
          </w:tcPr>
          <w:p w14:paraId="6A6386EC" w14:textId="77777777" w:rsidR="00D7011A" w:rsidRPr="00A81449" w:rsidRDefault="00D7011A" w:rsidP="00D7011A">
            <w:pPr>
              <w:jc w:val="center"/>
              <w:rPr>
                <w:rFonts w:cs="Arial"/>
                <w:szCs w:val="22"/>
                <w:lang w:eastAsia="it-IT"/>
              </w:rPr>
            </w:pPr>
          </w:p>
        </w:tc>
        <w:tc>
          <w:tcPr>
            <w:tcW w:w="1424" w:type="dxa"/>
            <w:vAlign w:val="center"/>
          </w:tcPr>
          <w:p w14:paraId="073BFDB4" w14:textId="77777777" w:rsidR="00D7011A" w:rsidRPr="00A81449" w:rsidRDefault="00D7011A" w:rsidP="00D7011A">
            <w:pPr>
              <w:jc w:val="center"/>
              <w:rPr>
                <w:rFonts w:cs="Arial"/>
                <w:szCs w:val="22"/>
                <w:lang w:eastAsia="it-IT"/>
              </w:rPr>
            </w:pPr>
          </w:p>
        </w:tc>
      </w:tr>
      <w:tr w:rsidR="00D7011A" w:rsidRPr="00C2587D" w14:paraId="3BC7C587" w14:textId="77777777" w:rsidTr="00D7011A">
        <w:trPr>
          <w:jc w:val="right"/>
        </w:trPr>
        <w:tc>
          <w:tcPr>
            <w:tcW w:w="3425" w:type="dxa"/>
            <w:shd w:val="clear" w:color="auto" w:fill="FFFFFF"/>
            <w:vAlign w:val="center"/>
          </w:tcPr>
          <w:p w14:paraId="18978517" w14:textId="77777777" w:rsidR="00D7011A" w:rsidRPr="00A81449" w:rsidRDefault="00D7011A" w:rsidP="00D7011A">
            <w:pPr>
              <w:rPr>
                <w:rFonts w:cs="Arial"/>
                <w:b/>
                <w:bCs/>
                <w:color w:val="000000"/>
                <w:szCs w:val="22"/>
              </w:rPr>
            </w:pPr>
            <w:r w:rsidRPr="00A81449">
              <w:rPr>
                <w:rFonts w:cs="Arial"/>
                <w:b/>
                <w:color w:val="000000"/>
                <w:szCs w:val="22"/>
              </w:rPr>
              <w:t>Відповідальний виконавець проєкту:</w:t>
            </w:r>
          </w:p>
        </w:tc>
        <w:tc>
          <w:tcPr>
            <w:tcW w:w="6794" w:type="dxa"/>
            <w:gridSpan w:val="8"/>
            <w:vAlign w:val="center"/>
          </w:tcPr>
          <w:p w14:paraId="07D970C4" w14:textId="77777777" w:rsidR="00D7011A" w:rsidRPr="00A81449" w:rsidRDefault="00D7011A" w:rsidP="00D7011A">
            <w:pPr>
              <w:tabs>
                <w:tab w:val="left" w:pos="285"/>
              </w:tabs>
              <w:jc w:val="both"/>
              <w:rPr>
                <w:rFonts w:cs="Arial"/>
                <w:color w:val="000000"/>
                <w:szCs w:val="22"/>
                <w:lang w:eastAsia="it-IT"/>
              </w:rPr>
            </w:pPr>
          </w:p>
        </w:tc>
      </w:tr>
      <w:tr w:rsidR="00D7011A" w:rsidRPr="00C2587D" w14:paraId="2BE9E0C8" w14:textId="77777777" w:rsidTr="00D7011A">
        <w:trPr>
          <w:jc w:val="right"/>
        </w:trPr>
        <w:tc>
          <w:tcPr>
            <w:tcW w:w="3425" w:type="dxa"/>
            <w:shd w:val="clear" w:color="auto" w:fill="FFFFFF"/>
            <w:vAlign w:val="center"/>
          </w:tcPr>
          <w:p w14:paraId="79F199F7" w14:textId="77777777" w:rsidR="00D7011A" w:rsidRPr="00A81449" w:rsidRDefault="00D7011A" w:rsidP="00D7011A">
            <w:pPr>
              <w:rPr>
                <w:rFonts w:cs="Arial"/>
                <w:b/>
                <w:bCs/>
                <w:szCs w:val="22"/>
              </w:rPr>
            </w:pPr>
            <w:r w:rsidRPr="00A81449">
              <w:rPr>
                <w:rFonts w:cs="Arial"/>
                <w:b/>
                <w:bCs/>
                <w:szCs w:val="22"/>
              </w:rPr>
              <w:t>Інше:</w:t>
            </w:r>
          </w:p>
        </w:tc>
        <w:tc>
          <w:tcPr>
            <w:tcW w:w="6794" w:type="dxa"/>
            <w:gridSpan w:val="8"/>
            <w:vAlign w:val="center"/>
          </w:tcPr>
          <w:p w14:paraId="44AC9556" w14:textId="77777777" w:rsidR="00D7011A" w:rsidRPr="00A81449" w:rsidRDefault="00D7011A" w:rsidP="00D7011A">
            <w:pPr>
              <w:jc w:val="both"/>
              <w:rPr>
                <w:rFonts w:cs="Arial"/>
                <w:szCs w:val="22"/>
                <w:lang w:eastAsia="it-IT"/>
              </w:rPr>
            </w:pPr>
            <w:r w:rsidRPr="00A81449">
              <w:rPr>
                <w:rFonts w:cs="Arial"/>
                <w:szCs w:val="22"/>
                <w:lang w:eastAsia="it-IT"/>
              </w:rPr>
              <w:t>Управління економіки та розвитку інфраструктури виконавчого комітету  Жмеринської міської ради</w:t>
            </w:r>
          </w:p>
        </w:tc>
      </w:tr>
    </w:tbl>
    <w:p w14:paraId="5B450361" w14:textId="77777777" w:rsidR="00D7011A" w:rsidRDefault="00D7011A" w:rsidP="00D7011A">
      <w:pPr>
        <w:rPr>
          <w:rFonts w:cs="Arial"/>
          <w:b/>
          <w:sz w:val="24"/>
          <w:u w:val="single"/>
        </w:rPr>
      </w:pPr>
    </w:p>
    <w:p w14:paraId="7AC28041" w14:textId="77777777" w:rsidR="00820A36" w:rsidRDefault="00820A36" w:rsidP="00D7011A">
      <w:pPr>
        <w:rPr>
          <w:rFonts w:cs="Arial"/>
          <w:b/>
          <w:sz w:val="24"/>
          <w:u w:val="single"/>
        </w:rPr>
      </w:pPr>
    </w:p>
    <w:p w14:paraId="12BF3161" w14:textId="77777777" w:rsidR="00820A36" w:rsidRDefault="00820A36" w:rsidP="00D7011A">
      <w:pPr>
        <w:rPr>
          <w:rFonts w:cs="Arial"/>
          <w:b/>
          <w:sz w:val="24"/>
          <w:u w:val="single"/>
        </w:rPr>
      </w:pPr>
    </w:p>
    <w:p w14:paraId="4BD62224" w14:textId="77777777" w:rsidR="00820A36" w:rsidRPr="00C2587D" w:rsidRDefault="00820A36" w:rsidP="00D7011A">
      <w:pPr>
        <w:rPr>
          <w:rFonts w:cs="Arial"/>
          <w:b/>
          <w:sz w:val="24"/>
          <w:u w:val="single"/>
        </w:rPr>
      </w:pPr>
    </w:p>
    <w:p w14:paraId="1CC8CF2C" w14:textId="7000496A" w:rsidR="009774BD" w:rsidRPr="00C2587D" w:rsidRDefault="009774BD" w:rsidP="00D7011A">
      <w:pPr>
        <w:rPr>
          <w:rFonts w:cs="Arial"/>
          <w:b/>
          <w:iCs/>
          <w:sz w:val="24"/>
          <w:u w:val="single"/>
        </w:rPr>
      </w:pPr>
      <w:r w:rsidRPr="00C2587D">
        <w:rPr>
          <w:rFonts w:cs="Arial"/>
          <w:b/>
          <w:sz w:val="24"/>
          <w:u w:val="single"/>
        </w:rPr>
        <w:t>Стратегічна ціль А.4. Ефективна інвестиційна політика та маркетинг  території</w:t>
      </w:r>
    </w:p>
    <w:p w14:paraId="5EC09550" w14:textId="77777777" w:rsidR="00667F91" w:rsidRPr="00C2587D" w:rsidRDefault="00667F91" w:rsidP="00667F91">
      <w:pPr>
        <w:jc w:val="center"/>
        <w:rPr>
          <w:b/>
          <w:color w:val="000000"/>
          <w:szCs w:val="22"/>
        </w:rPr>
      </w:pPr>
    </w:p>
    <w:p w14:paraId="5CCD8259" w14:textId="665A527A" w:rsidR="009F618C" w:rsidRPr="00C2587D" w:rsidRDefault="009F618C" w:rsidP="009F618C">
      <w:pPr>
        <w:jc w:val="right"/>
        <w:rPr>
          <w:rFonts w:cs="Arial"/>
          <w:b/>
        </w:rPr>
      </w:pPr>
    </w:p>
    <w:p w14:paraId="530E6EAA" w14:textId="77777777" w:rsidR="009F618C" w:rsidRPr="00C2587D" w:rsidRDefault="009F618C" w:rsidP="009F618C">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6BB863E5" w14:textId="77777777" w:rsidR="009F618C" w:rsidRPr="00C2587D" w:rsidRDefault="009F618C" w:rsidP="009F618C">
      <w:pPr>
        <w:jc w:val="center"/>
        <w:rPr>
          <w:rFonts w:cs="Arial"/>
          <w:b/>
          <w:color w:val="000000"/>
          <w:szCs w:val="22"/>
        </w:rPr>
      </w:pPr>
      <w:r w:rsidRPr="00C2587D">
        <w:rPr>
          <w:rFonts w:cs="Arial"/>
          <w:b/>
          <w:color w:val="000000"/>
          <w:szCs w:val="22"/>
        </w:rPr>
        <w:t>до Плану заходів з реалізації Стратегії</w:t>
      </w:r>
    </w:p>
    <w:p w14:paraId="1BDD36DD" w14:textId="77777777" w:rsidR="009F618C" w:rsidRPr="00C2587D" w:rsidRDefault="009F618C" w:rsidP="009F618C">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1"/>
        <w:gridCol w:w="1253"/>
        <w:gridCol w:w="1278"/>
        <w:gridCol w:w="1419"/>
        <w:gridCol w:w="1274"/>
        <w:gridCol w:w="1574"/>
      </w:tblGrid>
      <w:tr w:rsidR="009F618C" w:rsidRPr="00C2587D" w14:paraId="0F28C8E0" w14:textId="77777777" w:rsidTr="00201B0C">
        <w:trPr>
          <w:jc w:val="right"/>
        </w:trPr>
        <w:tc>
          <w:tcPr>
            <w:tcW w:w="3422" w:type="dxa"/>
            <w:vAlign w:val="center"/>
          </w:tcPr>
          <w:p w14:paraId="108E7AB4" w14:textId="77777777" w:rsidR="009F618C" w:rsidRPr="00C2587D" w:rsidRDefault="009F618C" w:rsidP="00FD75D9">
            <w:pPr>
              <w:rPr>
                <w:rFonts w:cs="Arial"/>
                <w:b/>
                <w:bCs/>
                <w:color w:val="000000"/>
                <w:szCs w:val="22"/>
              </w:rPr>
            </w:pPr>
            <w:r w:rsidRPr="00C2587D">
              <w:rPr>
                <w:rFonts w:cs="Arial"/>
                <w:b/>
                <w:bCs/>
                <w:color w:val="000000"/>
                <w:szCs w:val="22"/>
              </w:rPr>
              <w:t>Назва проєкту:</w:t>
            </w:r>
          </w:p>
        </w:tc>
        <w:tc>
          <w:tcPr>
            <w:tcW w:w="6797" w:type="dxa"/>
            <w:gridSpan w:val="5"/>
          </w:tcPr>
          <w:p w14:paraId="45060AA1" w14:textId="77777777" w:rsidR="009F618C" w:rsidRPr="00C2587D" w:rsidRDefault="009F618C" w:rsidP="00FD75D9">
            <w:r w:rsidRPr="00C2587D">
              <w:rPr>
                <w:rFonts w:eastAsia="SimSun" w:cs="Arial"/>
                <w:b/>
                <w:bCs/>
                <w:color w:val="000000"/>
                <w:sz w:val="20"/>
                <w:szCs w:val="20"/>
                <w:lang w:eastAsia="zh-CN" w:bidi="ar"/>
              </w:rPr>
              <w:t xml:space="preserve">Розроблення містобудівної та наукової документації на території </w:t>
            </w:r>
          </w:p>
          <w:p w14:paraId="5D2FD5C5" w14:textId="0DEE770B" w:rsidR="009F618C" w:rsidRPr="00C2587D" w:rsidRDefault="009F618C" w:rsidP="00201B0C">
            <w:pPr>
              <w:rPr>
                <w:rFonts w:cs="Arial"/>
                <w:sz w:val="16"/>
                <w:szCs w:val="16"/>
                <w:lang w:eastAsia="it-IT"/>
              </w:rPr>
            </w:pPr>
            <w:r w:rsidRPr="00C2587D">
              <w:rPr>
                <w:rFonts w:eastAsia="SimSun" w:cs="Arial"/>
                <w:b/>
                <w:bCs/>
                <w:color w:val="000000"/>
                <w:sz w:val="20"/>
                <w:szCs w:val="20"/>
                <w:lang w:eastAsia="zh-CN" w:bidi="ar"/>
              </w:rPr>
              <w:t>Жмеринської міської територіальної громади</w:t>
            </w:r>
          </w:p>
        </w:tc>
      </w:tr>
      <w:tr w:rsidR="009F618C" w:rsidRPr="00C2587D" w14:paraId="54024C4D" w14:textId="77777777" w:rsidTr="00201B0C">
        <w:trPr>
          <w:jc w:val="right"/>
        </w:trPr>
        <w:tc>
          <w:tcPr>
            <w:tcW w:w="3422" w:type="dxa"/>
          </w:tcPr>
          <w:p w14:paraId="2AAEF8D7" w14:textId="77777777" w:rsidR="009F618C" w:rsidRPr="00C2587D" w:rsidRDefault="009F618C" w:rsidP="00FD75D9">
            <w:pPr>
              <w:spacing w:before="40" w:after="40"/>
              <w:rPr>
                <w:rFonts w:cs="Arial"/>
                <w:sz w:val="20"/>
                <w:szCs w:val="22"/>
                <w:lang w:eastAsia="it-IT"/>
              </w:rPr>
            </w:pPr>
            <w:r w:rsidRPr="00C2587D">
              <w:rPr>
                <w:rFonts w:cs="Arial"/>
                <w:b/>
                <w:bCs/>
                <w:szCs w:val="22"/>
              </w:rPr>
              <w:t>Ваші контакти</w:t>
            </w:r>
            <w:r w:rsidRPr="00C2587D">
              <w:rPr>
                <w:rFonts w:cs="Arial"/>
                <w:sz w:val="20"/>
                <w:szCs w:val="22"/>
                <w:lang w:eastAsia="it-IT"/>
              </w:rPr>
              <w:t>:</w:t>
            </w:r>
          </w:p>
          <w:p w14:paraId="158D242E" w14:textId="77777777" w:rsidR="009F618C" w:rsidRPr="00C2587D" w:rsidRDefault="009F618C" w:rsidP="00FD75D9">
            <w:pPr>
              <w:spacing w:before="40" w:after="40"/>
              <w:rPr>
                <w:rFonts w:cs="Arial"/>
                <w:b/>
                <w:bCs/>
                <w:szCs w:val="22"/>
              </w:rPr>
            </w:pPr>
            <w:r w:rsidRPr="00C2587D">
              <w:rPr>
                <w:rFonts w:cs="Arial"/>
                <w:sz w:val="20"/>
                <w:szCs w:val="22"/>
                <w:lang w:eastAsia="it-IT"/>
              </w:rPr>
              <w:t>Назва установи, організації, підприємства</w:t>
            </w:r>
          </w:p>
        </w:tc>
        <w:tc>
          <w:tcPr>
            <w:tcW w:w="6797" w:type="dxa"/>
            <w:gridSpan w:val="5"/>
          </w:tcPr>
          <w:p w14:paraId="62B1A48B" w14:textId="77777777" w:rsidR="009F618C" w:rsidRPr="00C2587D" w:rsidRDefault="009F618C" w:rsidP="00FD75D9">
            <w:pPr>
              <w:spacing w:before="40" w:after="40"/>
              <w:ind w:firstLineChars="50" w:firstLine="110"/>
              <w:rPr>
                <w:rFonts w:cs="Arial"/>
                <w:szCs w:val="22"/>
                <w:lang w:eastAsia="it-IT"/>
              </w:rPr>
            </w:pPr>
            <w:r w:rsidRPr="00C2587D">
              <w:rPr>
                <w:rFonts w:cs="Arial"/>
                <w:szCs w:val="22"/>
                <w:lang w:eastAsia="it-IT"/>
              </w:rPr>
              <w:t>Управління містобудування та архітектури виконавчого комітету Жмеринської міської ради</w:t>
            </w:r>
          </w:p>
        </w:tc>
      </w:tr>
      <w:tr w:rsidR="009F618C" w:rsidRPr="00C2587D" w14:paraId="29936266" w14:textId="77777777" w:rsidTr="00201B0C">
        <w:trPr>
          <w:jc w:val="right"/>
        </w:trPr>
        <w:tc>
          <w:tcPr>
            <w:tcW w:w="3422" w:type="dxa"/>
          </w:tcPr>
          <w:p w14:paraId="7735FDB6" w14:textId="77777777" w:rsidR="009F618C" w:rsidRPr="00C2587D" w:rsidRDefault="009F618C" w:rsidP="00FD75D9">
            <w:pPr>
              <w:spacing w:before="40" w:after="40"/>
              <w:rPr>
                <w:rFonts w:cs="Arial"/>
                <w:b/>
                <w:bCs/>
                <w:szCs w:val="22"/>
              </w:rPr>
            </w:pPr>
            <w:r w:rsidRPr="00C2587D">
              <w:rPr>
                <w:rFonts w:cs="Arial"/>
                <w:sz w:val="20"/>
                <w:szCs w:val="22"/>
                <w:lang w:eastAsia="it-IT"/>
              </w:rPr>
              <w:t>Прізвище Ім’я По-батькові:</w:t>
            </w:r>
          </w:p>
        </w:tc>
        <w:tc>
          <w:tcPr>
            <w:tcW w:w="6797" w:type="dxa"/>
            <w:gridSpan w:val="5"/>
          </w:tcPr>
          <w:p w14:paraId="6D5323DA" w14:textId="77777777" w:rsidR="009F618C" w:rsidRPr="00C2587D" w:rsidRDefault="009F618C" w:rsidP="00FD75D9">
            <w:pPr>
              <w:spacing w:before="40" w:after="40"/>
              <w:rPr>
                <w:rFonts w:cs="Arial"/>
                <w:szCs w:val="22"/>
                <w:lang w:eastAsia="it-IT"/>
              </w:rPr>
            </w:pPr>
            <w:r w:rsidRPr="00C2587D">
              <w:rPr>
                <w:rFonts w:cs="Arial"/>
                <w:szCs w:val="22"/>
                <w:lang w:eastAsia="it-IT"/>
              </w:rPr>
              <w:t xml:space="preserve"> Капустян Олена Миколаївна</w:t>
            </w:r>
          </w:p>
        </w:tc>
      </w:tr>
      <w:tr w:rsidR="009F618C" w:rsidRPr="00C2587D" w14:paraId="1B46417C" w14:textId="77777777" w:rsidTr="00201B0C">
        <w:trPr>
          <w:jc w:val="right"/>
        </w:trPr>
        <w:tc>
          <w:tcPr>
            <w:tcW w:w="3422" w:type="dxa"/>
          </w:tcPr>
          <w:p w14:paraId="1632B4CE" w14:textId="77777777" w:rsidR="009F618C" w:rsidRPr="00C2587D" w:rsidRDefault="009F618C" w:rsidP="00FD75D9">
            <w:pPr>
              <w:spacing w:before="40" w:after="40"/>
              <w:rPr>
                <w:rFonts w:cs="Arial"/>
                <w:b/>
                <w:bCs/>
                <w:szCs w:val="22"/>
              </w:rPr>
            </w:pPr>
            <w:r w:rsidRPr="00C2587D">
              <w:rPr>
                <w:rFonts w:cs="Arial"/>
                <w:sz w:val="20"/>
                <w:szCs w:val="22"/>
                <w:lang w:eastAsia="it-IT"/>
              </w:rPr>
              <w:t>Телефон (мобільний):</w:t>
            </w:r>
          </w:p>
        </w:tc>
        <w:tc>
          <w:tcPr>
            <w:tcW w:w="6797" w:type="dxa"/>
            <w:gridSpan w:val="5"/>
          </w:tcPr>
          <w:p w14:paraId="324EFCD5" w14:textId="77777777" w:rsidR="009F618C" w:rsidRPr="00C2587D" w:rsidRDefault="009F618C" w:rsidP="00FD75D9">
            <w:pPr>
              <w:spacing w:before="40" w:after="40"/>
              <w:rPr>
                <w:rFonts w:cs="Arial"/>
                <w:szCs w:val="22"/>
                <w:lang w:eastAsia="it-IT"/>
              </w:rPr>
            </w:pPr>
            <w:r w:rsidRPr="00C2587D">
              <w:rPr>
                <w:rFonts w:cs="Arial"/>
                <w:szCs w:val="22"/>
                <w:lang w:eastAsia="it-IT"/>
              </w:rPr>
              <w:t>0977578866</w:t>
            </w:r>
          </w:p>
        </w:tc>
      </w:tr>
      <w:tr w:rsidR="009F618C" w:rsidRPr="00C2587D" w14:paraId="2A8EC731" w14:textId="77777777" w:rsidTr="00201B0C">
        <w:trPr>
          <w:jc w:val="right"/>
        </w:trPr>
        <w:tc>
          <w:tcPr>
            <w:tcW w:w="3422" w:type="dxa"/>
          </w:tcPr>
          <w:p w14:paraId="714AFE2C" w14:textId="77777777" w:rsidR="009F618C" w:rsidRPr="00C2587D" w:rsidRDefault="009F618C" w:rsidP="00FD75D9">
            <w:pPr>
              <w:spacing w:before="40" w:after="40"/>
              <w:rPr>
                <w:rFonts w:cs="Arial"/>
                <w:b/>
                <w:bCs/>
                <w:szCs w:val="22"/>
              </w:rPr>
            </w:pPr>
            <w:r w:rsidRPr="00C2587D">
              <w:rPr>
                <w:rFonts w:cs="Arial"/>
                <w:sz w:val="20"/>
                <w:szCs w:val="22"/>
                <w:lang w:eastAsia="it-IT"/>
              </w:rPr>
              <w:t>Електронна адреса:</w:t>
            </w:r>
          </w:p>
        </w:tc>
        <w:tc>
          <w:tcPr>
            <w:tcW w:w="6797" w:type="dxa"/>
            <w:gridSpan w:val="5"/>
          </w:tcPr>
          <w:p w14:paraId="6505CCCD" w14:textId="77777777" w:rsidR="009F618C" w:rsidRPr="00201B0C" w:rsidRDefault="00D85FFD" w:rsidP="00FD75D9">
            <w:pPr>
              <w:spacing w:before="40" w:after="40"/>
              <w:rPr>
                <w:rFonts w:cs="Arial"/>
                <w:i/>
                <w:sz w:val="20"/>
                <w:szCs w:val="22"/>
                <w:u w:val="single"/>
                <w:lang w:eastAsia="it-IT"/>
              </w:rPr>
            </w:pPr>
            <w:hyperlink r:id="rId36" w:history="1">
              <w:r w:rsidR="009F618C" w:rsidRPr="00201B0C">
                <w:rPr>
                  <w:rStyle w:val="af0"/>
                  <w:rFonts w:eastAsia="Helvetica" w:cs="Arial"/>
                  <w:bCs/>
                  <w:i w:val="0"/>
                  <w:noProof w:val="0"/>
                  <w:szCs w:val="22"/>
                  <w:shd w:val="clear" w:color="auto" w:fill="ECE9E0"/>
                </w:rPr>
                <w:t>arh@zhmr.gov.ua</w:t>
              </w:r>
            </w:hyperlink>
          </w:p>
        </w:tc>
      </w:tr>
      <w:tr w:rsidR="009F618C" w:rsidRPr="00C2587D" w14:paraId="2FDC4157" w14:textId="77777777" w:rsidTr="00612413">
        <w:trPr>
          <w:jc w:val="right"/>
        </w:trPr>
        <w:tc>
          <w:tcPr>
            <w:tcW w:w="3422" w:type="dxa"/>
            <w:vAlign w:val="center"/>
          </w:tcPr>
          <w:p w14:paraId="427C59CC" w14:textId="77777777" w:rsidR="009F618C" w:rsidRPr="00C2587D" w:rsidRDefault="009F618C" w:rsidP="00FD75D9">
            <w:pPr>
              <w:pStyle w:val="6"/>
              <w:spacing w:before="0" w:after="0"/>
              <w:rPr>
                <w:rFonts w:ascii="Arial" w:hAnsi="Arial" w:cs="Arial"/>
                <w:color w:val="000000"/>
                <w:lang w:val="uk-UA"/>
              </w:rPr>
            </w:pPr>
            <w:r w:rsidRPr="00C2587D">
              <w:rPr>
                <w:rFonts w:ascii="Arial" w:hAnsi="Arial" w:cs="Arial"/>
                <w:color w:val="000000"/>
                <w:lang w:val="uk-UA"/>
              </w:rPr>
              <w:t>Номер і назва завдання з Стратегії</w:t>
            </w:r>
            <w:r w:rsidRPr="00C2587D">
              <w:rPr>
                <w:rFonts w:ascii="Arial" w:hAnsi="Arial" w:cs="Arial"/>
                <w:sz w:val="16"/>
                <w:szCs w:val="16"/>
                <w:lang w:val="uk-UA" w:eastAsia="it-IT"/>
              </w:rPr>
              <w:t xml:space="preserve"> </w:t>
            </w:r>
            <w:r w:rsidRPr="00C2587D">
              <w:rPr>
                <w:rFonts w:ascii="Arial" w:hAnsi="Arial" w:cs="Arial"/>
                <w:color w:val="000000"/>
                <w:lang w:val="uk-UA"/>
              </w:rPr>
              <w:t>розвитку Жмеринської міської територіальної громади,  якому відповідає проєкт:</w:t>
            </w:r>
          </w:p>
        </w:tc>
        <w:tc>
          <w:tcPr>
            <w:tcW w:w="6797" w:type="dxa"/>
            <w:gridSpan w:val="5"/>
            <w:vAlign w:val="center"/>
          </w:tcPr>
          <w:p w14:paraId="3A74DA02" w14:textId="4F3119CD" w:rsidR="009F618C" w:rsidRPr="00C2587D" w:rsidRDefault="009F618C" w:rsidP="00612413">
            <w:pPr>
              <w:rPr>
                <w:rFonts w:cs="Arial"/>
                <w:szCs w:val="22"/>
                <w:lang w:eastAsia="it-IT"/>
              </w:rPr>
            </w:pPr>
            <w:r w:rsidRPr="00C2587D">
              <w:rPr>
                <w:rFonts w:eastAsia="SimSun" w:cs="Arial"/>
                <w:color w:val="000000"/>
                <w:szCs w:val="22"/>
                <w:lang w:eastAsia="zh-CN" w:bidi="ar"/>
              </w:rPr>
              <w:t>А.4.1.Сучасне просторове планування</w:t>
            </w:r>
          </w:p>
        </w:tc>
      </w:tr>
      <w:tr w:rsidR="009F618C" w:rsidRPr="00C2587D" w14:paraId="410EA24E" w14:textId="77777777" w:rsidTr="00201B0C">
        <w:trPr>
          <w:jc w:val="right"/>
        </w:trPr>
        <w:tc>
          <w:tcPr>
            <w:tcW w:w="3422" w:type="dxa"/>
            <w:vAlign w:val="center"/>
          </w:tcPr>
          <w:p w14:paraId="2FC36C71" w14:textId="77777777" w:rsidR="009F618C" w:rsidRPr="00C2587D" w:rsidRDefault="009F618C" w:rsidP="00FD75D9">
            <w:pPr>
              <w:rPr>
                <w:rFonts w:cs="Arial"/>
                <w:b/>
                <w:bCs/>
                <w:color w:val="000000"/>
                <w:szCs w:val="22"/>
              </w:rPr>
            </w:pPr>
            <w:r w:rsidRPr="00C2587D">
              <w:rPr>
                <w:rFonts w:cs="Arial"/>
                <w:b/>
                <w:bCs/>
                <w:color w:val="000000"/>
                <w:szCs w:val="22"/>
              </w:rPr>
              <w:t>Мета проєкту:</w:t>
            </w:r>
          </w:p>
        </w:tc>
        <w:tc>
          <w:tcPr>
            <w:tcW w:w="6797" w:type="dxa"/>
            <w:gridSpan w:val="5"/>
          </w:tcPr>
          <w:p w14:paraId="552329FD" w14:textId="0B940400" w:rsidR="009F618C" w:rsidRPr="00C2587D" w:rsidRDefault="009F618C" w:rsidP="00201B0C">
            <w:pPr>
              <w:jc w:val="both"/>
              <w:rPr>
                <w:rFonts w:cs="Arial"/>
                <w:szCs w:val="22"/>
                <w:lang w:eastAsia="it-IT"/>
              </w:rPr>
            </w:pPr>
            <w:r w:rsidRPr="00C2587D">
              <w:rPr>
                <w:rFonts w:eastAsia="SimSun" w:cs="Arial"/>
                <w:color w:val="000000"/>
                <w:szCs w:val="22"/>
                <w:lang w:eastAsia="zh-CN" w:bidi="ar"/>
              </w:rPr>
              <w:t>Оновлення містобудівної та розроблення наукової документації на території Жмеринської міської територіальної громади</w:t>
            </w:r>
          </w:p>
        </w:tc>
      </w:tr>
      <w:tr w:rsidR="009F618C" w:rsidRPr="00C2587D" w14:paraId="09E995EA" w14:textId="77777777" w:rsidTr="00201B0C">
        <w:trPr>
          <w:jc w:val="right"/>
        </w:trPr>
        <w:tc>
          <w:tcPr>
            <w:tcW w:w="3422" w:type="dxa"/>
            <w:vAlign w:val="center"/>
          </w:tcPr>
          <w:p w14:paraId="69756A8B" w14:textId="77777777" w:rsidR="009F618C" w:rsidRPr="00C2587D" w:rsidRDefault="009F618C" w:rsidP="00FD75D9">
            <w:pPr>
              <w:rPr>
                <w:rFonts w:cs="Arial"/>
                <w:b/>
                <w:bCs/>
                <w:color w:val="000000"/>
                <w:szCs w:val="22"/>
              </w:rPr>
            </w:pPr>
            <w:r w:rsidRPr="00C2587D">
              <w:rPr>
                <w:rFonts w:cs="Arial"/>
                <w:b/>
                <w:bCs/>
                <w:color w:val="000000"/>
                <w:szCs w:val="22"/>
              </w:rPr>
              <w:t>Цілі проєкту:</w:t>
            </w:r>
          </w:p>
        </w:tc>
        <w:tc>
          <w:tcPr>
            <w:tcW w:w="6797" w:type="dxa"/>
            <w:gridSpan w:val="5"/>
          </w:tcPr>
          <w:p w14:paraId="58853907" w14:textId="77777777" w:rsidR="009F618C" w:rsidRPr="00C2587D" w:rsidRDefault="009F618C" w:rsidP="00201B0C">
            <w:pPr>
              <w:spacing w:before="40" w:after="40"/>
              <w:jc w:val="both"/>
              <w:rPr>
                <w:rFonts w:cs="Arial"/>
                <w:szCs w:val="22"/>
                <w:lang w:eastAsia="it-IT"/>
              </w:rPr>
            </w:pPr>
            <w:r w:rsidRPr="00C2587D">
              <w:rPr>
                <w:rFonts w:cs="Arial"/>
                <w:szCs w:val="22"/>
                <w:lang w:eastAsia="it-IT"/>
              </w:rPr>
              <w:t xml:space="preserve"> Виготовлення </w:t>
            </w:r>
            <w:r w:rsidRPr="00C2587D">
              <w:rPr>
                <w:rFonts w:eastAsia="SimSun" w:cs="Arial"/>
                <w:color w:val="000000"/>
                <w:szCs w:val="22"/>
                <w:lang w:eastAsia="zh-CN" w:bidi="ar"/>
              </w:rPr>
              <w:t xml:space="preserve">містобудівної та наукової документації </w:t>
            </w:r>
          </w:p>
        </w:tc>
      </w:tr>
      <w:tr w:rsidR="009F618C" w:rsidRPr="00C2587D" w14:paraId="1EF32DD9" w14:textId="77777777" w:rsidTr="00201B0C">
        <w:trPr>
          <w:jc w:val="right"/>
        </w:trPr>
        <w:tc>
          <w:tcPr>
            <w:tcW w:w="3422" w:type="dxa"/>
            <w:vAlign w:val="center"/>
          </w:tcPr>
          <w:p w14:paraId="6128F9B6" w14:textId="77777777" w:rsidR="009F618C" w:rsidRPr="00C2587D" w:rsidRDefault="009F618C" w:rsidP="00FD75D9">
            <w:pPr>
              <w:autoSpaceDE w:val="0"/>
              <w:autoSpaceDN w:val="0"/>
              <w:adjustRightInd w:val="0"/>
              <w:rPr>
                <w:rFonts w:cs="Arial"/>
                <w:b/>
                <w:color w:val="000000"/>
                <w:szCs w:val="22"/>
              </w:rPr>
            </w:pPr>
            <w:r w:rsidRPr="00C2587D">
              <w:rPr>
                <w:rFonts w:cs="Arial"/>
                <w:b/>
                <w:color w:val="000000"/>
                <w:szCs w:val="22"/>
              </w:rPr>
              <w:t>Територія на яку проєкт матиме вплив:</w:t>
            </w:r>
          </w:p>
        </w:tc>
        <w:tc>
          <w:tcPr>
            <w:tcW w:w="6797" w:type="dxa"/>
            <w:gridSpan w:val="5"/>
          </w:tcPr>
          <w:p w14:paraId="4224F5B6" w14:textId="76BE5A2E" w:rsidR="009F618C" w:rsidRPr="00C2587D" w:rsidRDefault="009F618C" w:rsidP="00201B0C">
            <w:pPr>
              <w:jc w:val="both"/>
              <w:rPr>
                <w:rFonts w:cs="Arial"/>
                <w:szCs w:val="22"/>
                <w:lang w:eastAsia="it-IT"/>
              </w:rPr>
            </w:pPr>
            <w:r w:rsidRPr="00C2587D">
              <w:rPr>
                <w:rFonts w:cs="Arial"/>
                <w:szCs w:val="22"/>
                <w:lang w:eastAsia="it-IT"/>
              </w:rPr>
              <w:t xml:space="preserve"> </w:t>
            </w:r>
            <w:r w:rsidRPr="00C2587D">
              <w:rPr>
                <w:rFonts w:eastAsia="SimSun" w:cs="Arial"/>
                <w:color w:val="000000"/>
                <w:szCs w:val="22"/>
                <w:lang w:eastAsia="zh-CN" w:bidi="ar"/>
              </w:rPr>
              <w:t>Територія Жмеринської міської територіальної громади</w:t>
            </w:r>
          </w:p>
        </w:tc>
      </w:tr>
      <w:tr w:rsidR="009F618C" w:rsidRPr="00C2587D" w14:paraId="3C485D0E" w14:textId="77777777" w:rsidTr="00201B0C">
        <w:trPr>
          <w:jc w:val="right"/>
        </w:trPr>
        <w:tc>
          <w:tcPr>
            <w:tcW w:w="3422" w:type="dxa"/>
            <w:vAlign w:val="center"/>
          </w:tcPr>
          <w:p w14:paraId="7232926E" w14:textId="77777777" w:rsidR="009F618C" w:rsidRPr="00C2587D" w:rsidRDefault="009F618C" w:rsidP="00FD75D9">
            <w:pPr>
              <w:autoSpaceDE w:val="0"/>
              <w:autoSpaceDN w:val="0"/>
              <w:adjustRightInd w:val="0"/>
              <w:rPr>
                <w:rFonts w:cs="Arial"/>
                <w:b/>
                <w:color w:val="000000"/>
                <w:szCs w:val="22"/>
              </w:rPr>
            </w:pPr>
            <w:r w:rsidRPr="00C2587D">
              <w:rPr>
                <w:rFonts w:cs="Arial"/>
                <w:b/>
                <w:color w:val="000000"/>
                <w:szCs w:val="22"/>
              </w:rPr>
              <w:t>Цільові групи проєкту та кількість отримувачів вигоди</w:t>
            </w:r>
          </w:p>
        </w:tc>
        <w:tc>
          <w:tcPr>
            <w:tcW w:w="6797" w:type="dxa"/>
            <w:gridSpan w:val="5"/>
          </w:tcPr>
          <w:p w14:paraId="3FE12B56" w14:textId="304408B5" w:rsidR="009F618C" w:rsidRPr="00C2587D" w:rsidRDefault="009F618C" w:rsidP="00560F31">
            <w:pPr>
              <w:jc w:val="both"/>
              <w:rPr>
                <w:rFonts w:cs="Arial"/>
                <w:szCs w:val="22"/>
                <w:lang w:eastAsia="it-IT"/>
              </w:rPr>
            </w:pPr>
            <w:r w:rsidRPr="00C2587D">
              <w:rPr>
                <w:rFonts w:eastAsia="SimSun" w:cs="Arial"/>
                <w:color w:val="000000"/>
                <w:szCs w:val="22"/>
                <w:lang w:eastAsia="zh-CN" w:bidi="ar"/>
              </w:rPr>
              <w:t xml:space="preserve">Отримувачами вигоди від реалізації </w:t>
            </w:r>
            <w:r w:rsidR="0092424D">
              <w:rPr>
                <w:rFonts w:eastAsia="SimSun" w:cs="Arial"/>
                <w:color w:val="000000"/>
                <w:szCs w:val="22"/>
                <w:lang w:eastAsia="zh-CN" w:bidi="ar"/>
              </w:rPr>
              <w:t>проє</w:t>
            </w:r>
            <w:r w:rsidRPr="00C2587D">
              <w:rPr>
                <w:rFonts w:eastAsia="SimSun" w:cs="Arial"/>
                <w:color w:val="000000"/>
                <w:szCs w:val="22"/>
                <w:lang w:eastAsia="zh-CN" w:bidi="ar"/>
              </w:rPr>
              <w:t>кту є жителі населених пунктів, інвестори та забудовники – 49474 чол.</w:t>
            </w:r>
          </w:p>
        </w:tc>
      </w:tr>
      <w:tr w:rsidR="009F618C" w:rsidRPr="00C2587D" w14:paraId="2241262C" w14:textId="77777777" w:rsidTr="00201B0C">
        <w:trPr>
          <w:jc w:val="right"/>
        </w:trPr>
        <w:tc>
          <w:tcPr>
            <w:tcW w:w="3422" w:type="dxa"/>
            <w:shd w:val="clear" w:color="auto" w:fill="FFFFFF"/>
            <w:vAlign w:val="center"/>
          </w:tcPr>
          <w:p w14:paraId="3F26C19F" w14:textId="77777777" w:rsidR="009F618C" w:rsidRPr="00C2587D" w:rsidRDefault="009F618C" w:rsidP="00FD75D9">
            <w:pPr>
              <w:rPr>
                <w:rFonts w:cs="Arial"/>
                <w:b/>
                <w:bCs/>
                <w:color w:val="000000"/>
                <w:szCs w:val="22"/>
              </w:rPr>
            </w:pPr>
            <w:r w:rsidRPr="00C2587D">
              <w:rPr>
                <w:rFonts w:cs="Arial"/>
                <w:b/>
                <w:bCs/>
                <w:color w:val="000000"/>
                <w:szCs w:val="22"/>
              </w:rPr>
              <w:t>Стислий опис проєкту:</w:t>
            </w:r>
          </w:p>
        </w:tc>
        <w:tc>
          <w:tcPr>
            <w:tcW w:w="6797" w:type="dxa"/>
            <w:gridSpan w:val="5"/>
          </w:tcPr>
          <w:p w14:paraId="17F0251D" w14:textId="0DE46EEE" w:rsidR="009F618C" w:rsidRPr="00201B0C" w:rsidRDefault="009F618C" w:rsidP="00201B0C">
            <w:pPr>
              <w:jc w:val="both"/>
            </w:pPr>
            <w:r w:rsidRPr="00201B0C">
              <w:rPr>
                <w:rFonts w:eastAsia="SimSun" w:cs="Arial"/>
                <w:color w:val="000000"/>
                <w:szCs w:val="20"/>
                <w:lang w:eastAsia="zh-CN" w:bidi="ar"/>
              </w:rPr>
              <w:t xml:space="preserve">Розроблення містобудівної та наукової документації на території Жмеринської міської територіальної громади здійснюється відповідно </w:t>
            </w:r>
            <w:r w:rsidR="00201B0C" w:rsidRPr="00201B0C">
              <w:rPr>
                <w:rFonts w:eastAsia="SimSun" w:cs="Arial"/>
                <w:color w:val="000000"/>
                <w:szCs w:val="20"/>
                <w:lang w:eastAsia="zh-CN" w:bidi="ar"/>
              </w:rPr>
              <w:t xml:space="preserve"> </w:t>
            </w:r>
            <w:r w:rsidRPr="00201B0C">
              <w:rPr>
                <w:rFonts w:eastAsia="SimSun" w:cs="Arial"/>
                <w:color w:val="000000"/>
                <w:szCs w:val="20"/>
                <w:lang w:eastAsia="zh-CN" w:bidi="ar"/>
              </w:rPr>
              <w:t xml:space="preserve">до вимог Законів України «Про основи містобудування», «Про регулювання містобудівної діяльності», «Про стратегічну екологічну оцінку», вимог ст.32 Закону України «Про охорону культурної спадщини», «Про Генеральну схему планування території України», постанови Кабінету Міністрів України від 13 березня 2002 року №318 «Про затвердження Порядку визначення меж та режимів використання </w:t>
            </w:r>
          </w:p>
          <w:p w14:paraId="3ED8E7CB" w14:textId="70278C2B" w:rsidR="009F618C" w:rsidRPr="00201B0C" w:rsidRDefault="009F618C" w:rsidP="00201B0C">
            <w:pPr>
              <w:jc w:val="both"/>
              <w:rPr>
                <w:rFonts w:cs="Arial"/>
                <w:szCs w:val="16"/>
                <w:lang w:eastAsia="it-IT"/>
              </w:rPr>
            </w:pPr>
            <w:r w:rsidRPr="00201B0C">
              <w:rPr>
                <w:rFonts w:eastAsia="SimSun" w:cs="Arial"/>
                <w:color w:val="000000"/>
                <w:szCs w:val="20"/>
                <w:lang w:eastAsia="zh-CN" w:bidi="ar"/>
              </w:rPr>
              <w:t>історичних ареалів населених місць, обмеження господарської діяльності на території історичних ареалів населених місць»</w:t>
            </w:r>
          </w:p>
        </w:tc>
      </w:tr>
      <w:tr w:rsidR="009F618C" w:rsidRPr="00C2587D" w14:paraId="281ED5FE" w14:textId="77777777" w:rsidTr="00201B0C">
        <w:trPr>
          <w:jc w:val="right"/>
        </w:trPr>
        <w:tc>
          <w:tcPr>
            <w:tcW w:w="3422" w:type="dxa"/>
            <w:shd w:val="clear" w:color="auto" w:fill="FFFFFF"/>
            <w:vAlign w:val="center"/>
          </w:tcPr>
          <w:p w14:paraId="38622E24" w14:textId="77777777" w:rsidR="009F618C" w:rsidRPr="00C2587D" w:rsidRDefault="009F618C" w:rsidP="00FD75D9">
            <w:pPr>
              <w:rPr>
                <w:rFonts w:cs="Arial"/>
                <w:b/>
                <w:bCs/>
                <w:color w:val="000000"/>
                <w:szCs w:val="22"/>
              </w:rPr>
            </w:pPr>
            <w:r w:rsidRPr="00C2587D">
              <w:rPr>
                <w:rFonts w:cs="Arial"/>
                <w:b/>
                <w:bCs/>
                <w:color w:val="000000"/>
                <w:szCs w:val="22"/>
              </w:rPr>
              <w:t>Основні заходи проєкту:</w:t>
            </w:r>
          </w:p>
        </w:tc>
        <w:tc>
          <w:tcPr>
            <w:tcW w:w="6797" w:type="dxa"/>
            <w:gridSpan w:val="5"/>
          </w:tcPr>
          <w:p w14:paraId="2990F1D9" w14:textId="77777777" w:rsidR="009F618C" w:rsidRPr="00201B0C" w:rsidRDefault="009F618C" w:rsidP="00201B0C">
            <w:pPr>
              <w:jc w:val="both"/>
            </w:pPr>
            <w:r w:rsidRPr="00201B0C">
              <w:rPr>
                <w:rFonts w:eastAsia="SimSun" w:cs="Arial"/>
                <w:color w:val="000000"/>
                <w:szCs w:val="20"/>
                <w:lang w:eastAsia="zh-CN" w:bidi="ar"/>
              </w:rPr>
              <w:t xml:space="preserve">1). замовлення аерофотознімання території Жмеринської міської </w:t>
            </w:r>
          </w:p>
          <w:p w14:paraId="389AD259" w14:textId="77777777" w:rsidR="009F618C" w:rsidRPr="00201B0C" w:rsidRDefault="009F618C" w:rsidP="00201B0C">
            <w:pPr>
              <w:jc w:val="both"/>
            </w:pPr>
            <w:r w:rsidRPr="00201B0C">
              <w:rPr>
                <w:rFonts w:eastAsia="SimSun" w:cs="Arial"/>
                <w:color w:val="000000"/>
                <w:szCs w:val="20"/>
                <w:lang w:eastAsia="zh-CN" w:bidi="ar"/>
              </w:rPr>
              <w:t xml:space="preserve">територіальної громади та виготовлення топографічної карти; </w:t>
            </w:r>
          </w:p>
          <w:p w14:paraId="3FD1C3E0" w14:textId="7CECC20D" w:rsidR="009F618C" w:rsidRPr="00201B0C" w:rsidRDefault="009F618C" w:rsidP="00201B0C">
            <w:pPr>
              <w:jc w:val="both"/>
            </w:pPr>
            <w:r w:rsidRPr="00201B0C">
              <w:rPr>
                <w:rFonts w:eastAsia="SimSun" w:cs="Arial"/>
                <w:color w:val="000000"/>
                <w:szCs w:val="20"/>
                <w:lang w:eastAsia="zh-CN" w:bidi="ar"/>
              </w:rPr>
              <w:t xml:space="preserve">2). розроблення комплексного плану просторового розвитку території Жмеринської територіальної громади; </w:t>
            </w:r>
          </w:p>
          <w:p w14:paraId="56C48F66" w14:textId="05245389" w:rsidR="009F618C" w:rsidRPr="00201B0C" w:rsidRDefault="009F618C" w:rsidP="00201B0C">
            <w:pPr>
              <w:jc w:val="both"/>
            </w:pPr>
            <w:r w:rsidRPr="00201B0C">
              <w:rPr>
                <w:rFonts w:eastAsia="SimSun" w:cs="Arial"/>
                <w:color w:val="000000"/>
                <w:szCs w:val="20"/>
                <w:lang w:eastAsia="zh-CN" w:bidi="ar"/>
              </w:rPr>
              <w:t xml:space="preserve">3). розроблення детальних планів територій на території Жмеринської міської територіальної громади; </w:t>
            </w:r>
          </w:p>
          <w:p w14:paraId="1168F7B6" w14:textId="6874FC93" w:rsidR="009F618C" w:rsidRPr="00201B0C" w:rsidRDefault="009F618C" w:rsidP="00201B0C">
            <w:pPr>
              <w:jc w:val="both"/>
            </w:pPr>
            <w:r w:rsidRPr="00201B0C">
              <w:rPr>
                <w:rFonts w:eastAsia="SimSun" w:cs="Arial"/>
                <w:color w:val="000000"/>
                <w:szCs w:val="20"/>
                <w:lang w:eastAsia="zh-CN" w:bidi="ar"/>
              </w:rPr>
              <w:t xml:space="preserve">4). розроблення історико-архітектурного опорного плану смт. Браїлів, Жмеринського району; </w:t>
            </w:r>
          </w:p>
          <w:p w14:paraId="59C30422" w14:textId="1E237ABD" w:rsidR="009F618C" w:rsidRPr="00201B0C" w:rsidRDefault="009F618C" w:rsidP="00201B0C">
            <w:pPr>
              <w:jc w:val="both"/>
            </w:pPr>
            <w:r w:rsidRPr="00201B0C">
              <w:rPr>
                <w:rFonts w:eastAsia="SimSun" w:cs="Arial"/>
                <w:color w:val="000000"/>
                <w:szCs w:val="20"/>
                <w:lang w:eastAsia="zh-CN" w:bidi="ar"/>
              </w:rPr>
              <w:t xml:space="preserve">5). виконання розділів ІТЗ і ЦЗ (цивільної оборони) на мирний час та особливий період; </w:t>
            </w:r>
          </w:p>
          <w:p w14:paraId="4637426D" w14:textId="0FF48987" w:rsidR="009F618C" w:rsidRPr="00201B0C" w:rsidRDefault="009F618C" w:rsidP="00201B0C">
            <w:pPr>
              <w:jc w:val="both"/>
            </w:pPr>
            <w:r w:rsidRPr="00201B0C">
              <w:rPr>
                <w:rFonts w:eastAsia="SimSun" w:cs="Arial"/>
                <w:color w:val="000000"/>
                <w:szCs w:val="20"/>
                <w:lang w:eastAsia="zh-CN" w:bidi="ar"/>
              </w:rPr>
              <w:t xml:space="preserve">6). проведення стратегічної екологічної оцінки вже розроблених генеральних планів населених пунктів Жмеринської міської територіальної громади; </w:t>
            </w:r>
          </w:p>
          <w:p w14:paraId="50FC1F65" w14:textId="77777777" w:rsidR="009F618C" w:rsidRPr="00201B0C" w:rsidRDefault="009F618C" w:rsidP="00201B0C">
            <w:pPr>
              <w:jc w:val="both"/>
            </w:pPr>
            <w:r w:rsidRPr="00201B0C">
              <w:rPr>
                <w:rFonts w:eastAsia="SimSun" w:cs="Arial"/>
                <w:color w:val="000000"/>
                <w:szCs w:val="20"/>
                <w:lang w:eastAsia="zh-CN" w:bidi="ar"/>
              </w:rPr>
              <w:t xml:space="preserve">7). отримання рецензій на проєкти генеральних планів населених </w:t>
            </w:r>
          </w:p>
          <w:p w14:paraId="734D50B0" w14:textId="77777777" w:rsidR="009F618C" w:rsidRPr="00201B0C" w:rsidRDefault="009F618C" w:rsidP="00201B0C">
            <w:pPr>
              <w:jc w:val="both"/>
            </w:pPr>
            <w:r w:rsidRPr="00201B0C">
              <w:rPr>
                <w:rFonts w:eastAsia="SimSun" w:cs="Arial"/>
                <w:color w:val="000000"/>
                <w:szCs w:val="20"/>
                <w:lang w:eastAsia="zh-CN" w:bidi="ar"/>
              </w:rPr>
              <w:t xml:space="preserve">пунктів Жмеринської міської територіальної громади; </w:t>
            </w:r>
          </w:p>
          <w:p w14:paraId="20B057A3" w14:textId="31D1D375" w:rsidR="009F618C" w:rsidRPr="00201B0C" w:rsidRDefault="00201B0C" w:rsidP="00201B0C">
            <w:pPr>
              <w:jc w:val="both"/>
              <w:rPr>
                <w:rFonts w:cs="Arial"/>
                <w:szCs w:val="16"/>
                <w:lang w:eastAsia="it-IT"/>
              </w:rPr>
            </w:pPr>
            <w:r>
              <w:rPr>
                <w:rFonts w:eastAsia="SimSun" w:cs="Arial"/>
                <w:color w:val="000000"/>
                <w:szCs w:val="20"/>
                <w:lang w:eastAsia="zh-CN" w:bidi="ar"/>
              </w:rPr>
              <w:t>8).</w:t>
            </w:r>
            <w:r w:rsidR="009F618C" w:rsidRPr="00201B0C">
              <w:rPr>
                <w:rFonts w:eastAsia="SimSun" w:cs="Arial"/>
                <w:color w:val="000000"/>
                <w:szCs w:val="20"/>
                <w:lang w:eastAsia="zh-CN" w:bidi="ar"/>
              </w:rPr>
              <w:t>проведення експертизи містобудівної документації Жмеринської міської територіальної громади</w:t>
            </w:r>
          </w:p>
        </w:tc>
      </w:tr>
      <w:tr w:rsidR="009F618C" w:rsidRPr="00C2587D" w14:paraId="3C170BB8" w14:textId="77777777" w:rsidTr="00201B0C">
        <w:trPr>
          <w:jc w:val="right"/>
        </w:trPr>
        <w:tc>
          <w:tcPr>
            <w:tcW w:w="3422" w:type="dxa"/>
            <w:shd w:val="clear" w:color="auto" w:fill="FFFFFF"/>
            <w:vAlign w:val="center"/>
          </w:tcPr>
          <w:p w14:paraId="42043994" w14:textId="77777777" w:rsidR="009F618C" w:rsidRPr="00C2587D" w:rsidRDefault="009F618C" w:rsidP="00FD75D9">
            <w:pPr>
              <w:rPr>
                <w:rFonts w:cs="Arial"/>
                <w:b/>
                <w:bCs/>
                <w:color w:val="000000"/>
                <w:szCs w:val="22"/>
              </w:rPr>
            </w:pPr>
            <w:r w:rsidRPr="00C2587D">
              <w:rPr>
                <w:rFonts w:cs="Arial"/>
                <w:b/>
                <w:bCs/>
                <w:color w:val="000000"/>
                <w:szCs w:val="22"/>
              </w:rPr>
              <w:t>Індикатори (показники) результативності:</w:t>
            </w:r>
          </w:p>
        </w:tc>
        <w:tc>
          <w:tcPr>
            <w:tcW w:w="6797" w:type="dxa"/>
            <w:gridSpan w:val="5"/>
          </w:tcPr>
          <w:p w14:paraId="25EE253B" w14:textId="09903163" w:rsidR="009F618C" w:rsidRPr="00201B0C" w:rsidRDefault="00201B0C" w:rsidP="00201B0C">
            <w:pPr>
              <w:spacing w:before="40" w:after="40"/>
              <w:rPr>
                <w:rFonts w:cs="Arial"/>
                <w:szCs w:val="16"/>
                <w:lang w:eastAsia="it-IT"/>
              </w:rPr>
            </w:pPr>
            <w:r w:rsidRPr="00201B0C">
              <w:rPr>
                <w:rFonts w:cs="Arial"/>
                <w:szCs w:val="16"/>
                <w:lang w:eastAsia="it-IT"/>
              </w:rPr>
              <w:t>Розроблена та</w:t>
            </w:r>
            <w:r w:rsidR="009F618C" w:rsidRPr="00201B0C">
              <w:rPr>
                <w:rFonts w:cs="Arial"/>
                <w:szCs w:val="16"/>
                <w:lang w:eastAsia="it-IT"/>
              </w:rPr>
              <w:t xml:space="preserve"> оновлена містобудівна документація на територію Жмеринської міської територіальної громади , а саме 34 населених пунктів</w:t>
            </w:r>
          </w:p>
        </w:tc>
      </w:tr>
      <w:tr w:rsidR="009F618C" w:rsidRPr="00C2587D" w14:paraId="3C5F49EF" w14:textId="77777777" w:rsidTr="00201B0C">
        <w:trPr>
          <w:jc w:val="right"/>
        </w:trPr>
        <w:tc>
          <w:tcPr>
            <w:tcW w:w="3422" w:type="dxa"/>
            <w:shd w:val="clear" w:color="auto" w:fill="FFFFFF"/>
            <w:vAlign w:val="center"/>
          </w:tcPr>
          <w:p w14:paraId="5B297007" w14:textId="77777777" w:rsidR="009F618C" w:rsidRPr="00C2587D" w:rsidRDefault="009F618C" w:rsidP="00FD75D9">
            <w:pPr>
              <w:rPr>
                <w:rFonts w:cs="Arial"/>
                <w:b/>
                <w:color w:val="000000"/>
                <w:szCs w:val="22"/>
              </w:rPr>
            </w:pPr>
            <w:r w:rsidRPr="00C2587D">
              <w:rPr>
                <w:rFonts w:cs="Arial"/>
                <w:b/>
                <w:color w:val="000000"/>
                <w:szCs w:val="22"/>
              </w:rPr>
              <w:t xml:space="preserve">Період здійснення: </w:t>
            </w:r>
          </w:p>
        </w:tc>
        <w:tc>
          <w:tcPr>
            <w:tcW w:w="6797" w:type="dxa"/>
            <w:gridSpan w:val="5"/>
            <w:vAlign w:val="center"/>
          </w:tcPr>
          <w:p w14:paraId="5FBBA2BE" w14:textId="77777777" w:rsidR="009F618C" w:rsidRPr="00C2587D" w:rsidRDefault="009F618C" w:rsidP="00FD75D9">
            <w:pPr>
              <w:rPr>
                <w:rFonts w:cs="Arial"/>
                <w:color w:val="000000"/>
                <w:szCs w:val="22"/>
                <w:lang w:eastAsia="it-IT"/>
              </w:rPr>
            </w:pPr>
            <w:r w:rsidRPr="00C2587D">
              <w:rPr>
                <w:rFonts w:cs="Arial"/>
                <w:b/>
                <w:color w:val="000000"/>
                <w:szCs w:val="22"/>
              </w:rPr>
              <w:t>2025 – 2028 роки:</w:t>
            </w:r>
          </w:p>
        </w:tc>
      </w:tr>
      <w:tr w:rsidR="009F618C" w:rsidRPr="00C2587D" w14:paraId="43D93BB4" w14:textId="77777777" w:rsidTr="00201B0C">
        <w:trPr>
          <w:jc w:val="right"/>
        </w:trPr>
        <w:tc>
          <w:tcPr>
            <w:tcW w:w="3422" w:type="dxa"/>
            <w:vMerge w:val="restart"/>
            <w:shd w:val="clear" w:color="auto" w:fill="FFFFFF"/>
            <w:vAlign w:val="center"/>
          </w:tcPr>
          <w:p w14:paraId="2EA439C8" w14:textId="77777777" w:rsidR="009F618C" w:rsidRPr="00C2587D" w:rsidRDefault="009F618C" w:rsidP="00FD75D9">
            <w:pPr>
              <w:rPr>
                <w:rFonts w:cs="Arial"/>
                <w:b/>
                <w:bCs/>
                <w:color w:val="000000"/>
                <w:szCs w:val="22"/>
              </w:rPr>
            </w:pPr>
            <w:r w:rsidRPr="00C2587D">
              <w:rPr>
                <w:rFonts w:cs="Arial"/>
                <w:b/>
                <w:bCs/>
                <w:color w:val="000000"/>
                <w:szCs w:val="22"/>
              </w:rPr>
              <w:t>Орієнтовна вартість проєкту, тис. грн., в тому числі:</w:t>
            </w:r>
          </w:p>
        </w:tc>
        <w:tc>
          <w:tcPr>
            <w:tcW w:w="1253" w:type="dxa"/>
            <w:shd w:val="clear" w:color="auto" w:fill="E6E6E6"/>
          </w:tcPr>
          <w:p w14:paraId="6D496CF8" w14:textId="77777777" w:rsidR="009F618C" w:rsidRPr="00C2587D" w:rsidRDefault="009F618C" w:rsidP="00201B0C">
            <w:pPr>
              <w:jc w:val="center"/>
              <w:rPr>
                <w:rFonts w:cs="Arial"/>
                <w:b/>
                <w:color w:val="000000"/>
                <w:szCs w:val="22"/>
                <w:lang w:eastAsia="it-IT"/>
              </w:rPr>
            </w:pPr>
            <w:r w:rsidRPr="00C2587D">
              <w:rPr>
                <w:rFonts w:cs="Arial"/>
                <w:b/>
                <w:color w:val="000000"/>
                <w:szCs w:val="22"/>
                <w:lang w:eastAsia="it-IT"/>
              </w:rPr>
              <w:t>2025</w:t>
            </w:r>
          </w:p>
        </w:tc>
        <w:tc>
          <w:tcPr>
            <w:tcW w:w="1279" w:type="dxa"/>
            <w:shd w:val="clear" w:color="auto" w:fill="E6E6E6"/>
          </w:tcPr>
          <w:p w14:paraId="34E65297" w14:textId="77777777" w:rsidR="009F618C" w:rsidRPr="00C2587D" w:rsidRDefault="009F618C" w:rsidP="00201B0C">
            <w:pPr>
              <w:jc w:val="center"/>
              <w:rPr>
                <w:rFonts w:cs="Arial"/>
                <w:b/>
                <w:color w:val="000000"/>
                <w:szCs w:val="22"/>
                <w:lang w:eastAsia="it-IT"/>
              </w:rPr>
            </w:pPr>
            <w:r w:rsidRPr="00C2587D">
              <w:rPr>
                <w:rFonts w:cs="Arial"/>
                <w:b/>
                <w:color w:val="000000"/>
                <w:szCs w:val="22"/>
                <w:lang w:eastAsia="it-IT"/>
              </w:rPr>
              <w:t>2026</w:t>
            </w:r>
          </w:p>
        </w:tc>
        <w:tc>
          <w:tcPr>
            <w:tcW w:w="1420" w:type="dxa"/>
            <w:tcBorders>
              <w:bottom w:val="single" w:sz="4" w:space="0" w:color="auto"/>
            </w:tcBorders>
            <w:shd w:val="clear" w:color="auto" w:fill="E6E6E6"/>
          </w:tcPr>
          <w:p w14:paraId="02FB454C" w14:textId="77777777" w:rsidR="009F618C" w:rsidRPr="00C2587D" w:rsidRDefault="009F618C" w:rsidP="00201B0C">
            <w:pPr>
              <w:jc w:val="center"/>
              <w:rPr>
                <w:rFonts w:cs="Arial"/>
                <w:b/>
                <w:color w:val="000000"/>
                <w:szCs w:val="22"/>
                <w:lang w:eastAsia="it-IT"/>
              </w:rPr>
            </w:pPr>
            <w:r w:rsidRPr="00C2587D">
              <w:rPr>
                <w:rFonts w:cs="Arial"/>
                <w:b/>
                <w:color w:val="000000"/>
                <w:szCs w:val="22"/>
                <w:lang w:eastAsia="it-IT"/>
              </w:rPr>
              <w:t>2027</w:t>
            </w:r>
          </w:p>
        </w:tc>
        <w:tc>
          <w:tcPr>
            <w:tcW w:w="1275" w:type="dxa"/>
            <w:shd w:val="clear" w:color="auto" w:fill="E6E6E6"/>
          </w:tcPr>
          <w:p w14:paraId="7C9E314C" w14:textId="77777777" w:rsidR="009F618C" w:rsidRPr="00C2587D" w:rsidRDefault="009F618C" w:rsidP="00201B0C">
            <w:pPr>
              <w:jc w:val="center"/>
              <w:rPr>
                <w:rFonts w:cs="Arial"/>
                <w:b/>
                <w:color w:val="000000"/>
                <w:szCs w:val="22"/>
                <w:lang w:eastAsia="it-IT"/>
              </w:rPr>
            </w:pPr>
            <w:r w:rsidRPr="00C2587D">
              <w:rPr>
                <w:rFonts w:cs="Arial"/>
                <w:b/>
                <w:color w:val="000000"/>
                <w:szCs w:val="22"/>
                <w:lang w:eastAsia="it-IT"/>
              </w:rPr>
              <w:t>2028</w:t>
            </w:r>
          </w:p>
        </w:tc>
        <w:tc>
          <w:tcPr>
            <w:tcW w:w="1570" w:type="dxa"/>
            <w:shd w:val="clear" w:color="auto" w:fill="E6E6E6"/>
          </w:tcPr>
          <w:p w14:paraId="5BD635C2" w14:textId="77777777" w:rsidR="009F618C" w:rsidRPr="00C2587D" w:rsidRDefault="009F618C" w:rsidP="00201B0C">
            <w:pPr>
              <w:jc w:val="center"/>
              <w:rPr>
                <w:rFonts w:cs="Arial"/>
                <w:b/>
                <w:color w:val="000000"/>
                <w:szCs w:val="22"/>
                <w:lang w:eastAsia="it-IT"/>
              </w:rPr>
            </w:pPr>
            <w:r w:rsidRPr="00C2587D">
              <w:rPr>
                <w:rFonts w:cs="Arial"/>
                <w:b/>
                <w:color w:val="000000"/>
                <w:szCs w:val="22"/>
                <w:lang w:eastAsia="it-IT"/>
              </w:rPr>
              <w:t>РАЗОМ</w:t>
            </w:r>
          </w:p>
        </w:tc>
      </w:tr>
      <w:tr w:rsidR="009F618C" w:rsidRPr="00C2587D" w14:paraId="639F6CA7" w14:textId="77777777" w:rsidTr="00201B0C">
        <w:trPr>
          <w:jc w:val="right"/>
        </w:trPr>
        <w:tc>
          <w:tcPr>
            <w:tcW w:w="3422" w:type="dxa"/>
            <w:vMerge/>
            <w:shd w:val="clear" w:color="auto" w:fill="FFFFFF"/>
            <w:vAlign w:val="center"/>
          </w:tcPr>
          <w:p w14:paraId="7FD43543" w14:textId="77777777" w:rsidR="009F618C" w:rsidRPr="00C2587D" w:rsidRDefault="009F618C" w:rsidP="00FD75D9">
            <w:pPr>
              <w:rPr>
                <w:rFonts w:cs="Arial"/>
                <w:b/>
                <w:bCs/>
                <w:color w:val="000000"/>
                <w:szCs w:val="22"/>
              </w:rPr>
            </w:pPr>
          </w:p>
        </w:tc>
        <w:tc>
          <w:tcPr>
            <w:tcW w:w="1253" w:type="dxa"/>
            <w:shd w:val="clear" w:color="auto" w:fill="auto"/>
          </w:tcPr>
          <w:p w14:paraId="0B0C597B" w14:textId="77777777" w:rsidR="009F618C" w:rsidRPr="00C2587D" w:rsidRDefault="009F618C" w:rsidP="00201B0C">
            <w:pPr>
              <w:jc w:val="center"/>
              <w:rPr>
                <w:rFonts w:cs="Arial"/>
                <w:b/>
                <w:color w:val="000000"/>
                <w:szCs w:val="22"/>
                <w:lang w:eastAsia="it-IT"/>
              </w:rPr>
            </w:pPr>
            <w:r w:rsidRPr="00C2587D">
              <w:rPr>
                <w:rFonts w:cs="Arial"/>
                <w:b/>
                <w:color w:val="000000"/>
                <w:szCs w:val="22"/>
                <w:lang w:eastAsia="it-IT"/>
              </w:rPr>
              <w:t>596,50</w:t>
            </w:r>
          </w:p>
        </w:tc>
        <w:tc>
          <w:tcPr>
            <w:tcW w:w="1279" w:type="dxa"/>
            <w:shd w:val="clear" w:color="auto" w:fill="FFFFFF"/>
          </w:tcPr>
          <w:p w14:paraId="73D18D2F" w14:textId="77777777" w:rsidR="009F618C" w:rsidRPr="00C2587D" w:rsidRDefault="009F618C" w:rsidP="00201B0C">
            <w:pPr>
              <w:jc w:val="center"/>
              <w:rPr>
                <w:rFonts w:cs="Arial"/>
                <w:b/>
                <w:color w:val="000000"/>
                <w:szCs w:val="22"/>
                <w:lang w:eastAsia="it-IT"/>
              </w:rPr>
            </w:pPr>
            <w:r w:rsidRPr="00C2587D">
              <w:rPr>
                <w:rFonts w:cs="Arial"/>
                <w:b/>
                <w:color w:val="000000"/>
                <w:szCs w:val="22"/>
                <w:lang w:eastAsia="it-IT"/>
              </w:rPr>
              <w:t>23995,12</w:t>
            </w:r>
          </w:p>
        </w:tc>
        <w:tc>
          <w:tcPr>
            <w:tcW w:w="1420" w:type="dxa"/>
            <w:shd w:val="clear" w:color="auto" w:fill="auto"/>
          </w:tcPr>
          <w:p w14:paraId="49224B8B" w14:textId="77777777" w:rsidR="009F618C" w:rsidRPr="00C2587D" w:rsidRDefault="009F618C" w:rsidP="00201B0C">
            <w:pPr>
              <w:jc w:val="center"/>
              <w:rPr>
                <w:rFonts w:cs="Arial"/>
                <w:b/>
                <w:color w:val="000000"/>
                <w:szCs w:val="22"/>
                <w:lang w:eastAsia="it-IT"/>
              </w:rPr>
            </w:pPr>
            <w:r w:rsidRPr="00C2587D">
              <w:rPr>
                <w:rFonts w:cs="Arial"/>
                <w:b/>
                <w:color w:val="000000"/>
                <w:szCs w:val="22"/>
                <w:lang w:eastAsia="it-IT"/>
              </w:rPr>
              <w:t>219,72</w:t>
            </w:r>
          </w:p>
        </w:tc>
        <w:tc>
          <w:tcPr>
            <w:tcW w:w="1275" w:type="dxa"/>
            <w:shd w:val="clear" w:color="auto" w:fill="FFFFFF"/>
          </w:tcPr>
          <w:p w14:paraId="43B8FCEC" w14:textId="77777777" w:rsidR="009F618C" w:rsidRPr="00C2587D" w:rsidRDefault="009F618C" w:rsidP="00201B0C">
            <w:pPr>
              <w:jc w:val="center"/>
              <w:rPr>
                <w:rFonts w:cs="Arial"/>
                <w:b/>
                <w:color w:val="000000"/>
                <w:szCs w:val="22"/>
                <w:lang w:eastAsia="it-IT"/>
              </w:rPr>
            </w:pPr>
          </w:p>
        </w:tc>
        <w:tc>
          <w:tcPr>
            <w:tcW w:w="1570" w:type="dxa"/>
            <w:shd w:val="clear" w:color="auto" w:fill="FFFFFF"/>
          </w:tcPr>
          <w:p w14:paraId="2ACBB304" w14:textId="77777777" w:rsidR="009F618C" w:rsidRPr="00C2587D" w:rsidRDefault="009F618C" w:rsidP="00201B0C">
            <w:pPr>
              <w:jc w:val="center"/>
              <w:rPr>
                <w:rFonts w:cs="Arial"/>
                <w:b/>
                <w:color w:val="000000"/>
                <w:szCs w:val="22"/>
                <w:lang w:eastAsia="it-IT"/>
              </w:rPr>
            </w:pPr>
            <w:r w:rsidRPr="00C2587D">
              <w:rPr>
                <w:rFonts w:cs="Arial"/>
                <w:b/>
                <w:color w:val="000000"/>
                <w:szCs w:val="22"/>
                <w:lang w:eastAsia="it-IT"/>
              </w:rPr>
              <w:t>24811,34</w:t>
            </w:r>
          </w:p>
        </w:tc>
      </w:tr>
      <w:tr w:rsidR="00201B0C" w:rsidRPr="00C2587D" w14:paraId="5765323C" w14:textId="40DF602F" w:rsidTr="00201B0C">
        <w:trPr>
          <w:trHeight w:val="276"/>
          <w:jc w:val="right"/>
        </w:trPr>
        <w:tc>
          <w:tcPr>
            <w:tcW w:w="3422" w:type="dxa"/>
            <w:shd w:val="clear" w:color="auto" w:fill="FFFFFF"/>
            <w:vAlign w:val="center"/>
          </w:tcPr>
          <w:p w14:paraId="76183874" w14:textId="77777777" w:rsidR="00201B0C" w:rsidRPr="00C2587D" w:rsidRDefault="00201B0C" w:rsidP="00FD75D9">
            <w:pPr>
              <w:rPr>
                <w:rFonts w:cs="Arial"/>
                <w:b/>
                <w:bCs/>
                <w:color w:val="000000"/>
                <w:szCs w:val="22"/>
              </w:rPr>
            </w:pPr>
            <w:r w:rsidRPr="00C2587D">
              <w:rPr>
                <w:rFonts w:cs="Arial"/>
                <w:b/>
                <w:bCs/>
                <w:color w:val="000000"/>
                <w:szCs w:val="22"/>
              </w:rPr>
              <w:t>по джерелах фінансування:</w:t>
            </w:r>
          </w:p>
        </w:tc>
        <w:tc>
          <w:tcPr>
            <w:tcW w:w="1253" w:type="dxa"/>
          </w:tcPr>
          <w:p w14:paraId="1A3AA8AA" w14:textId="77777777" w:rsidR="00201B0C" w:rsidRPr="00C2587D" w:rsidRDefault="00201B0C" w:rsidP="00201B0C">
            <w:pPr>
              <w:jc w:val="center"/>
              <w:rPr>
                <w:rFonts w:cs="Arial"/>
                <w:color w:val="000000"/>
                <w:szCs w:val="22"/>
                <w:lang w:eastAsia="it-IT"/>
              </w:rPr>
            </w:pPr>
          </w:p>
        </w:tc>
        <w:tc>
          <w:tcPr>
            <w:tcW w:w="1279" w:type="dxa"/>
          </w:tcPr>
          <w:p w14:paraId="3590C8D6" w14:textId="77777777" w:rsidR="00201B0C" w:rsidRPr="00C2587D" w:rsidRDefault="00201B0C" w:rsidP="00201B0C">
            <w:pPr>
              <w:jc w:val="center"/>
              <w:rPr>
                <w:rFonts w:cs="Arial"/>
                <w:color w:val="000000"/>
                <w:szCs w:val="22"/>
                <w:lang w:eastAsia="it-IT"/>
              </w:rPr>
            </w:pPr>
          </w:p>
        </w:tc>
        <w:tc>
          <w:tcPr>
            <w:tcW w:w="1420" w:type="dxa"/>
          </w:tcPr>
          <w:p w14:paraId="5E2053D5" w14:textId="77777777" w:rsidR="00201B0C" w:rsidRPr="00C2587D" w:rsidRDefault="00201B0C" w:rsidP="00201B0C">
            <w:pPr>
              <w:jc w:val="center"/>
              <w:rPr>
                <w:rFonts w:cs="Arial"/>
                <w:color w:val="000000"/>
                <w:szCs w:val="22"/>
                <w:lang w:eastAsia="it-IT"/>
              </w:rPr>
            </w:pPr>
          </w:p>
        </w:tc>
        <w:tc>
          <w:tcPr>
            <w:tcW w:w="1270" w:type="dxa"/>
          </w:tcPr>
          <w:p w14:paraId="4E149146" w14:textId="77777777" w:rsidR="00201B0C" w:rsidRPr="00C2587D" w:rsidRDefault="00201B0C" w:rsidP="00201B0C">
            <w:pPr>
              <w:jc w:val="center"/>
              <w:rPr>
                <w:rFonts w:cs="Arial"/>
                <w:color w:val="000000"/>
                <w:szCs w:val="22"/>
                <w:lang w:eastAsia="it-IT"/>
              </w:rPr>
            </w:pPr>
          </w:p>
        </w:tc>
        <w:tc>
          <w:tcPr>
            <w:tcW w:w="1575" w:type="dxa"/>
          </w:tcPr>
          <w:p w14:paraId="5479BE3E" w14:textId="77777777" w:rsidR="00201B0C" w:rsidRPr="00C2587D" w:rsidRDefault="00201B0C" w:rsidP="00201B0C">
            <w:pPr>
              <w:jc w:val="center"/>
              <w:rPr>
                <w:rFonts w:cs="Arial"/>
                <w:color w:val="000000"/>
                <w:szCs w:val="22"/>
                <w:lang w:eastAsia="it-IT"/>
              </w:rPr>
            </w:pPr>
          </w:p>
        </w:tc>
      </w:tr>
      <w:tr w:rsidR="00201B0C" w:rsidRPr="00C2587D" w14:paraId="49459DA9" w14:textId="42B0C609" w:rsidTr="00201B0C">
        <w:trPr>
          <w:trHeight w:val="240"/>
          <w:jc w:val="right"/>
        </w:trPr>
        <w:tc>
          <w:tcPr>
            <w:tcW w:w="3422" w:type="dxa"/>
            <w:shd w:val="clear" w:color="auto" w:fill="FFFFFF"/>
            <w:vAlign w:val="center"/>
          </w:tcPr>
          <w:p w14:paraId="604515A4" w14:textId="77777777" w:rsidR="00201B0C" w:rsidRPr="00C2587D" w:rsidRDefault="00201B0C" w:rsidP="00FD75D9">
            <w:pPr>
              <w:rPr>
                <w:rFonts w:cs="Arial"/>
                <w:b/>
                <w:bCs/>
                <w:color w:val="000000"/>
                <w:szCs w:val="22"/>
              </w:rPr>
            </w:pPr>
            <w:r w:rsidRPr="00C2587D">
              <w:rPr>
                <w:rFonts w:cs="Arial"/>
                <w:color w:val="000000"/>
                <w:szCs w:val="22"/>
              </w:rPr>
              <w:t>- державний бюджет</w:t>
            </w:r>
          </w:p>
        </w:tc>
        <w:tc>
          <w:tcPr>
            <w:tcW w:w="1253" w:type="dxa"/>
          </w:tcPr>
          <w:p w14:paraId="555C195B" w14:textId="7A160F7C" w:rsidR="00201B0C" w:rsidRPr="00C2587D" w:rsidRDefault="00201B0C" w:rsidP="00201B0C">
            <w:pPr>
              <w:jc w:val="center"/>
              <w:rPr>
                <w:rFonts w:cs="Arial"/>
                <w:color w:val="000000"/>
                <w:szCs w:val="22"/>
                <w:lang w:eastAsia="it-IT"/>
              </w:rPr>
            </w:pPr>
          </w:p>
        </w:tc>
        <w:tc>
          <w:tcPr>
            <w:tcW w:w="1279" w:type="dxa"/>
          </w:tcPr>
          <w:p w14:paraId="574134C2" w14:textId="00633C89" w:rsidR="00201B0C" w:rsidRPr="00C2587D" w:rsidRDefault="00201B0C" w:rsidP="00201B0C">
            <w:pPr>
              <w:ind w:left="160"/>
              <w:jc w:val="center"/>
              <w:rPr>
                <w:rFonts w:cs="Arial"/>
                <w:color w:val="000000"/>
                <w:szCs w:val="22"/>
                <w:lang w:eastAsia="it-IT"/>
              </w:rPr>
            </w:pPr>
            <w:r w:rsidRPr="00C2587D">
              <w:rPr>
                <w:rFonts w:cs="Arial"/>
                <w:b/>
                <w:bCs/>
                <w:color w:val="000000"/>
                <w:szCs w:val="22"/>
                <w:lang w:eastAsia="it-IT"/>
              </w:rPr>
              <w:t>23805,0</w:t>
            </w:r>
          </w:p>
        </w:tc>
        <w:tc>
          <w:tcPr>
            <w:tcW w:w="1420" w:type="dxa"/>
          </w:tcPr>
          <w:p w14:paraId="53703463" w14:textId="77777777" w:rsidR="00201B0C" w:rsidRPr="00C2587D" w:rsidRDefault="00201B0C" w:rsidP="00201B0C">
            <w:pPr>
              <w:jc w:val="center"/>
              <w:rPr>
                <w:rFonts w:cs="Arial"/>
                <w:color w:val="000000"/>
                <w:szCs w:val="22"/>
                <w:lang w:eastAsia="it-IT"/>
              </w:rPr>
            </w:pPr>
          </w:p>
        </w:tc>
        <w:tc>
          <w:tcPr>
            <w:tcW w:w="1270" w:type="dxa"/>
          </w:tcPr>
          <w:p w14:paraId="67323996" w14:textId="77777777" w:rsidR="00201B0C" w:rsidRPr="00C2587D" w:rsidRDefault="00201B0C" w:rsidP="00201B0C">
            <w:pPr>
              <w:jc w:val="center"/>
              <w:rPr>
                <w:rFonts w:cs="Arial"/>
                <w:color w:val="000000"/>
                <w:szCs w:val="22"/>
                <w:lang w:eastAsia="it-IT"/>
              </w:rPr>
            </w:pPr>
          </w:p>
        </w:tc>
        <w:tc>
          <w:tcPr>
            <w:tcW w:w="1575" w:type="dxa"/>
          </w:tcPr>
          <w:p w14:paraId="12AA163F" w14:textId="77777777" w:rsidR="00201B0C" w:rsidRPr="00C2587D" w:rsidRDefault="00201B0C" w:rsidP="00201B0C">
            <w:pPr>
              <w:jc w:val="center"/>
              <w:rPr>
                <w:rFonts w:cs="Arial"/>
                <w:color w:val="000000"/>
                <w:szCs w:val="22"/>
                <w:lang w:eastAsia="it-IT"/>
              </w:rPr>
            </w:pPr>
          </w:p>
        </w:tc>
      </w:tr>
      <w:tr w:rsidR="00201B0C" w:rsidRPr="00C2587D" w14:paraId="2CE3F4EE" w14:textId="7C8E4E69" w:rsidTr="00201B0C">
        <w:trPr>
          <w:trHeight w:val="254"/>
          <w:jc w:val="right"/>
        </w:trPr>
        <w:tc>
          <w:tcPr>
            <w:tcW w:w="3422" w:type="dxa"/>
            <w:shd w:val="clear" w:color="auto" w:fill="FFFFFF"/>
            <w:vAlign w:val="center"/>
          </w:tcPr>
          <w:p w14:paraId="0EBE41ED" w14:textId="77777777" w:rsidR="00201B0C" w:rsidRPr="00C2587D" w:rsidRDefault="00201B0C" w:rsidP="00FD75D9">
            <w:pPr>
              <w:rPr>
                <w:rFonts w:cs="Arial"/>
                <w:color w:val="000000"/>
                <w:szCs w:val="22"/>
              </w:rPr>
            </w:pPr>
            <w:r w:rsidRPr="00C2587D">
              <w:rPr>
                <w:rFonts w:cs="Arial"/>
                <w:color w:val="000000"/>
                <w:szCs w:val="22"/>
              </w:rPr>
              <w:t>- обласний бюджет</w:t>
            </w:r>
          </w:p>
        </w:tc>
        <w:tc>
          <w:tcPr>
            <w:tcW w:w="1253" w:type="dxa"/>
          </w:tcPr>
          <w:p w14:paraId="33F3D94C" w14:textId="77777777" w:rsidR="00201B0C" w:rsidRPr="00C2587D" w:rsidRDefault="00201B0C" w:rsidP="00201B0C">
            <w:pPr>
              <w:jc w:val="center"/>
              <w:rPr>
                <w:rFonts w:cs="Arial"/>
                <w:color w:val="000000"/>
                <w:szCs w:val="22"/>
                <w:lang w:eastAsia="it-IT"/>
              </w:rPr>
            </w:pPr>
          </w:p>
        </w:tc>
        <w:tc>
          <w:tcPr>
            <w:tcW w:w="1279" w:type="dxa"/>
          </w:tcPr>
          <w:p w14:paraId="5B012C5F" w14:textId="77777777" w:rsidR="00201B0C" w:rsidRPr="00C2587D" w:rsidRDefault="00201B0C" w:rsidP="00201B0C">
            <w:pPr>
              <w:jc w:val="center"/>
              <w:rPr>
                <w:rFonts w:cs="Arial"/>
                <w:color w:val="000000"/>
                <w:szCs w:val="22"/>
                <w:lang w:eastAsia="it-IT"/>
              </w:rPr>
            </w:pPr>
          </w:p>
        </w:tc>
        <w:tc>
          <w:tcPr>
            <w:tcW w:w="1420" w:type="dxa"/>
          </w:tcPr>
          <w:p w14:paraId="15B16A81" w14:textId="77777777" w:rsidR="00201B0C" w:rsidRPr="00C2587D" w:rsidRDefault="00201B0C" w:rsidP="00201B0C">
            <w:pPr>
              <w:jc w:val="center"/>
              <w:rPr>
                <w:rFonts w:cs="Arial"/>
                <w:color w:val="000000"/>
                <w:szCs w:val="22"/>
                <w:lang w:eastAsia="it-IT"/>
              </w:rPr>
            </w:pPr>
          </w:p>
        </w:tc>
        <w:tc>
          <w:tcPr>
            <w:tcW w:w="1270" w:type="dxa"/>
          </w:tcPr>
          <w:p w14:paraId="22062398" w14:textId="77777777" w:rsidR="00201B0C" w:rsidRPr="00C2587D" w:rsidRDefault="00201B0C" w:rsidP="00201B0C">
            <w:pPr>
              <w:jc w:val="center"/>
              <w:rPr>
                <w:rFonts w:cs="Arial"/>
                <w:color w:val="000000"/>
                <w:szCs w:val="22"/>
                <w:lang w:eastAsia="it-IT"/>
              </w:rPr>
            </w:pPr>
          </w:p>
        </w:tc>
        <w:tc>
          <w:tcPr>
            <w:tcW w:w="1575" w:type="dxa"/>
          </w:tcPr>
          <w:p w14:paraId="7A63096D" w14:textId="77777777" w:rsidR="00201B0C" w:rsidRPr="00C2587D" w:rsidRDefault="00201B0C" w:rsidP="00201B0C">
            <w:pPr>
              <w:jc w:val="center"/>
              <w:rPr>
                <w:rFonts w:cs="Arial"/>
                <w:color w:val="000000"/>
                <w:szCs w:val="22"/>
                <w:lang w:eastAsia="it-IT"/>
              </w:rPr>
            </w:pPr>
          </w:p>
        </w:tc>
      </w:tr>
      <w:tr w:rsidR="00201B0C" w:rsidRPr="00C2587D" w14:paraId="6A60FFF4" w14:textId="40D9C27B" w:rsidTr="00201B0C">
        <w:trPr>
          <w:trHeight w:val="275"/>
          <w:jc w:val="right"/>
        </w:trPr>
        <w:tc>
          <w:tcPr>
            <w:tcW w:w="3422" w:type="dxa"/>
            <w:shd w:val="clear" w:color="auto" w:fill="FFFFFF"/>
            <w:vAlign w:val="center"/>
          </w:tcPr>
          <w:p w14:paraId="40380A67" w14:textId="77777777" w:rsidR="00201B0C" w:rsidRPr="00C2587D" w:rsidRDefault="00201B0C" w:rsidP="00FD75D9">
            <w:pPr>
              <w:rPr>
                <w:rFonts w:cs="Arial"/>
                <w:color w:val="000000"/>
                <w:szCs w:val="22"/>
              </w:rPr>
            </w:pPr>
            <w:r w:rsidRPr="00C2587D">
              <w:rPr>
                <w:rFonts w:cs="Arial"/>
                <w:color w:val="000000"/>
                <w:szCs w:val="22"/>
              </w:rPr>
              <w:t>- бюджет Жмеринської МТГ</w:t>
            </w:r>
          </w:p>
        </w:tc>
        <w:tc>
          <w:tcPr>
            <w:tcW w:w="1253" w:type="dxa"/>
          </w:tcPr>
          <w:p w14:paraId="40F3F73F" w14:textId="0CD8C773" w:rsidR="00201B0C" w:rsidRPr="00C2587D" w:rsidRDefault="00201B0C" w:rsidP="00201B0C">
            <w:pPr>
              <w:jc w:val="center"/>
              <w:rPr>
                <w:rFonts w:cs="Arial"/>
                <w:color w:val="000000"/>
                <w:szCs w:val="22"/>
                <w:lang w:eastAsia="it-IT"/>
              </w:rPr>
            </w:pPr>
            <w:r w:rsidRPr="00C2587D">
              <w:rPr>
                <w:rFonts w:cs="Arial"/>
                <w:b/>
                <w:bCs/>
                <w:color w:val="000000"/>
                <w:szCs w:val="22"/>
                <w:lang w:eastAsia="it-IT"/>
              </w:rPr>
              <w:t>596,50</w:t>
            </w:r>
          </w:p>
        </w:tc>
        <w:tc>
          <w:tcPr>
            <w:tcW w:w="1279" w:type="dxa"/>
          </w:tcPr>
          <w:p w14:paraId="6422D067" w14:textId="772D5E64" w:rsidR="00201B0C" w:rsidRPr="00C2587D" w:rsidRDefault="00201B0C" w:rsidP="00201B0C">
            <w:pPr>
              <w:ind w:left="280"/>
              <w:jc w:val="center"/>
              <w:rPr>
                <w:rFonts w:cs="Arial"/>
                <w:color w:val="000000"/>
                <w:szCs w:val="22"/>
                <w:lang w:eastAsia="it-IT"/>
              </w:rPr>
            </w:pPr>
            <w:r w:rsidRPr="00C2587D">
              <w:rPr>
                <w:rFonts w:cs="Arial"/>
                <w:b/>
                <w:color w:val="000000"/>
                <w:szCs w:val="22"/>
                <w:lang w:eastAsia="it-IT"/>
              </w:rPr>
              <w:t>190,12</w:t>
            </w:r>
          </w:p>
        </w:tc>
        <w:tc>
          <w:tcPr>
            <w:tcW w:w="1420" w:type="dxa"/>
          </w:tcPr>
          <w:p w14:paraId="6A373891" w14:textId="4F39CAFE" w:rsidR="00201B0C" w:rsidRPr="00C2587D" w:rsidRDefault="00201B0C" w:rsidP="00201B0C">
            <w:pPr>
              <w:jc w:val="center"/>
              <w:rPr>
                <w:rFonts w:cs="Arial"/>
                <w:color w:val="000000"/>
                <w:szCs w:val="22"/>
                <w:lang w:eastAsia="it-IT"/>
              </w:rPr>
            </w:pPr>
            <w:r w:rsidRPr="00C2587D">
              <w:rPr>
                <w:rFonts w:cs="Arial"/>
                <w:b/>
                <w:color w:val="000000"/>
                <w:szCs w:val="22"/>
                <w:lang w:eastAsia="it-IT"/>
              </w:rPr>
              <w:t>219,72</w:t>
            </w:r>
          </w:p>
        </w:tc>
        <w:tc>
          <w:tcPr>
            <w:tcW w:w="1270" w:type="dxa"/>
          </w:tcPr>
          <w:p w14:paraId="0CCF7E8E" w14:textId="77777777" w:rsidR="00201B0C" w:rsidRPr="00C2587D" w:rsidRDefault="00201B0C" w:rsidP="00201B0C">
            <w:pPr>
              <w:jc w:val="center"/>
              <w:rPr>
                <w:rFonts w:cs="Arial"/>
                <w:color w:val="000000"/>
                <w:szCs w:val="22"/>
                <w:lang w:eastAsia="it-IT"/>
              </w:rPr>
            </w:pPr>
          </w:p>
        </w:tc>
        <w:tc>
          <w:tcPr>
            <w:tcW w:w="1575" w:type="dxa"/>
          </w:tcPr>
          <w:p w14:paraId="7D06D267" w14:textId="77777777" w:rsidR="00201B0C" w:rsidRPr="00C2587D" w:rsidRDefault="00201B0C" w:rsidP="00201B0C">
            <w:pPr>
              <w:jc w:val="center"/>
              <w:rPr>
                <w:rFonts w:cs="Arial"/>
                <w:color w:val="000000"/>
                <w:szCs w:val="22"/>
                <w:lang w:eastAsia="it-IT"/>
              </w:rPr>
            </w:pPr>
          </w:p>
        </w:tc>
      </w:tr>
      <w:tr w:rsidR="00201B0C" w:rsidRPr="00C2587D" w14:paraId="28E5889F" w14:textId="1C518EBE" w:rsidTr="00201B0C">
        <w:trPr>
          <w:trHeight w:val="226"/>
          <w:jc w:val="right"/>
        </w:trPr>
        <w:tc>
          <w:tcPr>
            <w:tcW w:w="3422" w:type="dxa"/>
            <w:shd w:val="clear" w:color="auto" w:fill="FFFFFF"/>
            <w:vAlign w:val="center"/>
          </w:tcPr>
          <w:p w14:paraId="26482C34" w14:textId="77777777" w:rsidR="00201B0C" w:rsidRPr="00C2587D" w:rsidRDefault="00201B0C" w:rsidP="00FD75D9">
            <w:pPr>
              <w:rPr>
                <w:rFonts w:cs="Arial"/>
                <w:color w:val="000000"/>
                <w:szCs w:val="22"/>
              </w:rPr>
            </w:pPr>
            <w:r w:rsidRPr="00C2587D">
              <w:rPr>
                <w:rFonts w:cs="Arial"/>
                <w:color w:val="000000"/>
                <w:szCs w:val="22"/>
              </w:rPr>
              <w:t>- інші джерела фінансування</w:t>
            </w:r>
          </w:p>
        </w:tc>
        <w:tc>
          <w:tcPr>
            <w:tcW w:w="1253" w:type="dxa"/>
          </w:tcPr>
          <w:p w14:paraId="39D48455" w14:textId="77777777" w:rsidR="00201B0C" w:rsidRPr="00C2587D" w:rsidRDefault="00201B0C" w:rsidP="00201B0C">
            <w:pPr>
              <w:jc w:val="center"/>
              <w:rPr>
                <w:rFonts w:cs="Arial"/>
                <w:color w:val="000000"/>
                <w:szCs w:val="22"/>
                <w:lang w:eastAsia="it-IT"/>
              </w:rPr>
            </w:pPr>
          </w:p>
        </w:tc>
        <w:tc>
          <w:tcPr>
            <w:tcW w:w="1279" w:type="dxa"/>
          </w:tcPr>
          <w:p w14:paraId="2EABDF50" w14:textId="77777777" w:rsidR="00201B0C" w:rsidRPr="00C2587D" w:rsidRDefault="00201B0C" w:rsidP="00201B0C">
            <w:pPr>
              <w:jc w:val="center"/>
              <w:rPr>
                <w:rFonts w:cs="Arial"/>
                <w:color w:val="000000"/>
                <w:szCs w:val="22"/>
                <w:lang w:eastAsia="it-IT"/>
              </w:rPr>
            </w:pPr>
          </w:p>
        </w:tc>
        <w:tc>
          <w:tcPr>
            <w:tcW w:w="1420" w:type="dxa"/>
          </w:tcPr>
          <w:p w14:paraId="05FB44E9" w14:textId="77777777" w:rsidR="00201B0C" w:rsidRPr="00C2587D" w:rsidRDefault="00201B0C" w:rsidP="00201B0C">
            <w:pPr>
              <w:jc w:val="center"/>
              <w:rPr>
                <w:rFonts w:cs="Arial"/>
                <w:color w:val="000000"/>
                <w:szCs w:val="22"/>
                <w:lang w:eastAsia="it-IT"/>
              </w:rPr>
            </w:pPr>
          </w:p>
        </w:tc>
        <w:tc>
          <w:tcPr>
            <w:tcW w:w="1270" w:type="dxa"/>
          </w:tcPr>
          <w:p w14:paraId="525D6423" w14:textId="77777777" w:rsidR="00201B0C" w:rsidRPr="00C2587D" w:rsidRDefault="00201B0C" w:rsidP="00201B0C">
            <w:pPr>
              <w:jc w:val="center"/>
              <w:rPr>
                <w:rFonts w:cs="Arial"/>
                <w:color w:val="000000"/>
                <w:szCs w:val="22"/>
                <w:lang w:eastAsia="it-IT"/>
              </w:rPr>
            </w:pPr>
          </w:p>
        </w:tc>
        <w:tc>
          <w:tcPr>
            <w:tcW w:w="1575" w:type="dxa"/>
          </w:tcPr>
          <w:p w14:paraId="7FDDC6B1" w14:textId="77777777" w:rsidR="00201B0C" w:rsidRPr="00C2587D" w:rsidRDefault="00201B0C" w:rsidP="00201B0C">
            <w:pPr>
              <w:jc w:val="center"/>
              <w:rPr>
                <w:rFonts w:cs="Arial"/>
                <w:color w:val="000000"/>
                <w:szCs w:val="22"/>
                <w:lang w:eastAsia="it-IT"/>
              </w:rPr>
            </w:pPr>
          </w:p>
        </w:tc>
      </w:tr>
      <w:tr w:rsidR="009F618C" w:rsidRPr="00C2587D" w14:paraId="66460FE3" w14:textId="77777777" w:rsidTr="006D4A2C">
        <w:trPr>
          <w:trHeight w:val="697"/>
          <w:jc w:val="right"/>
        </w:trPr>
        <w:tc>
          <w:tcPr>
            <w:tcW w:w="3422" w:type="dxa"/>
            <w:shd w:val="clear" w:color="auto" w:fill="FFFFFF"/>
            <w:vAlign w:val="center"/>
          </w:tcPr>
          <w:p w14:paraId="08B70A24" w14:textId="77777777" w:rsidR="009F618C" w:rsidRPr="00C2587D" w:rsidRDefault="009F618C" w:rsidP="00FD75D9">
            <w:pPr>
              <w:rPr>
                <w:rFonts w:cs="Arial"/>
                <w:b/>
                <w:bCs/>
                <w:color w:val="000000"/>
                <w:szCs w:val="22"/>
              </w:rPr>
            </w:pPr>
            <w:r w:rsidRPr="00C2587D">
              <w:rPr>
                <w:rFonts w:cs="Arial"/>
                <w:b/>
                <w:color w:val="000000"/>
                <w:szCs w:val="22"/>
              </w:rPr>
              <w:t>Відповідальний виконавець проєкту:</w:t>
            </w:r>
          </w:p>
        </w:tc>
        <w:tc>
          <w:tcPr>
            <w:tcW w:w="6797" w:type="dxa"/>
            <w:gridSpan w:val="5"/>
            <w:vAlign w:val="center"/>
          </w:tcPr>
          <w:p w14:paraId="619D2FF7" w14:textId="02F99402" w:rsidR="009F618C" w:rsidRPr="00C2587D" w:rsidRDefault="009F618C" w:rsidP="006D4A2C">
            <w:pPr>
              <w:jc w:val="both"/>
              <w:rPr>
                <w:rFonts w:cs="Arial"/>
                <w:color w:val="000000"/>
                <w:szCs w:val="22"/>
                <w:lang w:eastAsia="it-IT"/>
              </w:rPr>
            </w:pPr>
            <w:r w:rsidRPr="00C2587D">
              <w:rPr>
                <w:rFonts w:cs="Arial"/>
                <w:color w:val="000000"/>
                <w:szCs w:val="22"/>
                <w:lang w:eastAsia="it-IT"/>
              </w:rPr>
              <w:t>Управління містобудування та архітектури виконавчого комітету Жмеринської міської ради</w:t>
            </w:r>
          </w:p>
        </w:tc>
      </w:tr>
      <w:tr w:rsidR="009F618C" w:rsidRPr="00C2587D" w14:paraId="21181C23" w14:textId="77777777" w:rsidTr="00201B0C">
        <w:trPr>
          <w:jc w:val="right"/>
        </w:trPr>
        <w:tc>
          <w:tcPr>
            <w:tcW w:w="3422" w:type="dxa"/>
            <w:shd w:val="clear" w:color="auto" w:fill="FFFFFF"/>
            <w:vAlign w:val="center"/>
          </w:tcPr>
          <w:p w14:paraId="28DC6CA8" w14:textId="77777777" w:rsidR="009F618C" w:rsidRPr="00C2587D" w:rsidRDefault="009F618C" w:rsidP="00FD75D9">
            <w:pPr>
              <w:rPr>
                <w:rFonts w:cs="Arial"/>
                <w:b/>
                <w:bCs/>
                <w:color w:val="000000"/>
                <w:szCs w:val="22"/>
              </w:rPr>
            </w:pPr>
            <w:r w:rsidRPr="00C2587D">
              <w:rPr>
                <w:rFonts w:cs="Arial"/>
                <w:b/>
                <w:bCs/>
                <w:color w:val="000000"/>
                <w:szCs w:val="22"/>
              </w:rPr>
              <w:t>Інше:</w:t>
            </w:r>
          </w:p>
        </w:tc>
        <w:tc>
          <w:tcPr>
            <w:tcW w:w="6797" w:type="dxa"/>
            <w:gridSpan w:val="5"/>
            <w:vAlign w:val="center"/>
          </w:tcPr>
          <w:p w14:paraId="2B411FCE" w14:textId="77777777" w:rsidR="009F618C" w:rsidRPr="00C2587D" w:rsidRDefault="009F618C" w:rsidP="00FD75D9">
            <w:pPr>
              <w:rPr>
                <w:rFonts w:cs="Arial"/>
                <w:color w:val="000000"/>
                <w:szCs w:val="22"/>
                <w:lang w:eastAsia="it-IT"/>
              </w:rPr>
            </w:pPr>
          </w:p>
          <w:p w14:paraId="7C6DF334" w14:textId="77777777" w:rsidR="009F618C" w:rsidRPr="00C2587D" w:rsidRDefault="009F618C" w:rsidP="00FD75D9">
            <w:pPr>
              <w:rPr>
                <w:rFonts w:cs="Arial"/>
                <w:color w:val="000000"/>
                <w:szCs w:val="22"/>
                <w:lang w:eastAsia="it-IT"/>
              </w:rPr>
            </w:pPr>
          </w:p>
        </w:tc>
      </w:tr>
    </w:tbl>
    <w:p w14:paraId="34FC2323" w14:textId="77777777" w:rsidR="009F618C" w:rsidRPr="00C2587D" w:rsidRDefault="009F618C" w:rsidP="009F618C">
      <w:pPr>
        <w:rPr>
          <w:rFonts w:cs="Arial"/>
        </w:rPr>
      </w:pPr>
    </w:p>
    <w:p w14:paraId="47DCC6F0" w14:textId="77777777" w:rsidR="009F618C" w:rsidRPr="00C2587D" w:rsidRDefault="009F618C" w:rsidP="009F618C">
      <w:pPr>
        <w:jc w:val="right"/>
        <w:rPr>
          <w:rFonts w:cs="Arial"/>
          <w:b/>
          <w:highlight w:val="lightGray"/>
        </w:rPr>
      </w:pPr>
    </w:p>
    <w:p w14:paraId="7D3381F6" w14:textId="3ABD7407" w:rsidR="009F618C" w:rsidRPr="00C2587D" w:rsidRDefault="009F618C" w:rsidP="009F618C">
      <w:pPr>
        <w:jc w:val="right"/>
        <w:rPr>
          <w:rFonts w:cs="Arial"/>
          <w:b/>
        </w:rPr>
      </w:pPr>
    </w:p>
    <w:p w14:paraId="3C0DBFD1" w14:textId="77777777" w:rsidR="009F618C" w:rsidRPr="00C2587D" w:rsidRDefault="009F618C" w:rsidP="009F618C">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76847BBB" w14:textId="77777777" w:rsidR="009F618C" w:rsidRPr="00C2587D" w:rsidRDefault="009F618C" w:rsidP="009F618C">
      <w:pPr>
        <w:jc w:val="center"/>
        <w:rPr>
          <w:rFonts w:cs="Arial"/>
          <w:b/>
          <w:color w:val="000000"/>
          <w:szCs w:val="22"/>
        </w:rPr>
      </w:pPr>
      <w:r w:rsidRPr="00C2587D">
        <w:rPr>
          <w:rFonts w:cs="Arial"/>
          <w:b/>
          <w:color w:val="000000"/>
          <w:szCs w:val="22"/>
        </w:rPr>
        <w:t>до Плану заходів з реалізації Стратегії</w:t>
      </w:r>
    </w:p>
    <w:p w14:paraId="538BA7B9" w14:textId="77777777" w:rsidR="009F618C" w:rsidRPr="00C2587D" w:rsidRDefault="009F618C" w:rsidP="009F618C">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1"/>
        <w:gridCol w:w="1253"/>
        <w:gridCol w:w="1279"/>
        <w:gridCol w:w="1416"/>
        <w:gridCol w:w="1275"/>
        <w:gridCol w:w="1575"/>
      </w:tblGrid>
      <w:tr w:rsidR="009F618C" w:rsidRPr="006D4A2C" w14:paraId="30019228" w14:textId="77777777" w:rsidTr="00B451AE">
        <w:trPr>
          <w:jc w:val="right"/>
        </w:trPr>
        <w:tc>
          <w:tcPr>
            <w:tcW w:w="3421" w:type="dxa"/>
            <w:vAlign w:val="center"/>
          </w:tcPr>
          <w:p w14:paraId="2FAE488A" w14:textId="77777777" w:rsidR="009F618C" w:rsidRPr="006D4A2C" w:rsidRDefault="009F618C" w:rsidP="00FD75D9">
            <w:pPr>
              <w:rPr>
                <w:rFonts w:cs="Arial"/>
                <w:b/>
                <w:bCs/>
                <w:color w:val="000000"/>
                <w:szCs w:val="22"/>
              </w:rPr>
            </w:pPr>
            <w:r w:rsidRPr="006D4A2C">
              <w:rPr>
                <w:rFonts w:cs="Arial"/>
                <w:b/>
                <w:bCs/>
                <w:color w:val="000000"/>
                <w:szCs w:val="22"/>
              </w:rPr>
              <w:t>Назва проєкту:</w:t>
            </w:r>
          </w:p>
        </w:tc>
        <w:tc>
          <w:tcPr>
            <w:tcW w:w="6798" w:type="dxa"/>
            <w:gridSpan w:val="5"/>
          </w:tcPr>
          <w:p w14:paraId="66ADAE38" w14:textId="7EBCD9B1" w:rsidR="009F618C" w:rsidRPr="006D4A2C" w:rsidRDefault="009F618C" w:rsidP="006D4A2C">
            <w:pPr>
              <w:jc w:val="both"/>
              <w:rPr>
                <w:rFonts w:cs="Arial"/>
                <w:sz w:val="16"/>
                <w:szCs w:val="16"/>
                <w:lang w:eastAsia="it-IT"/>
              </w:rPr>
            </w:pPr>
            <w:r w:rsidRPr="006D4A2C">
              <w:rPr>
                <w:rFonts w:eastAsia="SimSun" w:cs="Arial"/>
                <w:b/>
                <w:bCs/>
                <w:color w:val="000000"/>
                <w:sz w:val="20"/>
                <w:szCs w:val="20"/>
                <w:lang w:eastAsia="zh-CN" w:bidi="ar"/>
              </w:rPr>
              <w:t>Розвиток містобудівного кадастру на території Жмеринської міської територіальної громади</w:t>
            </w:r>
          </w:p>
        </w:tc>
      </w:tr>
      <w:tr w:rsidR="009F618C" w:rsidRPr="006D4A2C" w14:paraId="47F395AB" w14:textId="77777777" w:rsidTr="00B451AE">
        <w:trPr>
          <w:jc w:val="right"/>
        </w:trPr>
        <w:tc>
          <w:tcPr>
            <w:tcW w:w="3421" w:type="dxa"/>
          </w:tcPr>
          <w:p w14:paraId="4750CD04" w14:textId="77777777" w:rsidR="009F618C" w:rsidRPr="006D4A2C" w:rsidRDefault="009F618C" w:rsidP="00FD75D9">
            <w:pPr>
              <w:spacing w:before="40" w:after="40"/>
              <w:rPr>
                <w:rFonts w:cs="Arial"/>
                <w:sz w:val="20"/>
                <w:szCs w:val="22"/>
                <w:lang w:eastAsia="it-IT"/>
              </w:rPr>
            </w:pPr>
            <w:r w:rsidRPr="006D4A2C">
              <w:rPr>
                <w:rFonts w:cs="Arial"/>
                <w:b/>
                <w:bCs/>
                <w:szCs w:val="22"/>
              </w:rPr>
              <w:t>Ваші контакти</w:t>
            </w:r>
            <w:r w:rsidRPr="006D4A2C">
              <w:rPr>
                <w:rFonts w:cs="Arial"/>
                <w:sz w:val="20"/>
                <w:szCs w:val="22"/>
                <w:lang w:eastAsia="it-IT"/>
              </w:rPr>
              <w:t>:</w:t>
            </w:r>
          </w:p>
          <w:p w14:paraId="01D5ED0C" w14:textId="77777777" w:rsidR="009F618C" w:rsidRPr="006D4A2C" w:rsidRDefault="009F618C" w:rsidP="00FD75D9">
            <w:pPr>
              <w:spacing w:before="40" w:after="40"/>
              <w:rPr>
                <w:rFonts w:cs="Arial"/>
                <w:b/>
                <w:bCs/>
                <w:szCs w:val="22"/>
              </w:rPr>
            </w:pPr>
            <w:r w:rsidRPr="006D4A2C">
              <w:rPr>
                <w:rFonts w:cs="Arial"/>
                <w:sz w:val="20"/>
                <w:szCs w:val="22"/>
                <w:lang w:eastAsia="it-IT"/>
              </w:rPr>
              <w:t>Назва установи, організації, підприємства</w:t>
            </w:r>
          </w:p>
        </w:tc>
        <w:tc>
          <w:tcPr>
            <w:tcW w:w="6798" w:type="dxa"/>
            <w:gridSpan w:val="5"/>
          </w:tcPr>
          <w:p w14:paraId="06F389A1" w14:textId="77777777" w:rsidR="009F618C" w:rsidRPr="006D4A2C" w:rsidRDefault="009F618C" w:rsidP="006D4A2C">
            <w:pPr>
              <w:spacing w:before="40" w:after="40"/>
              <w:rPr>
                <w:rFonts w:cs="Arial"/>
                <w:szCs w:val="22"/>
                <w:lang w:eastAsia="it-IT"/>
              </w:rPr>
            </w:pPr>
            <w:r w:rsidRPr="006D4A2C">
              <w:rPr>
                <w:rFonts w:cs="Arial"/>
                <w:szCs w:val="22"/>
                <w:lang w:eastAsia="it-IT"/>
              </w:rPr>
              <w:t>Управління містобудування та архітектури виконавчого комітету Жмеринської міської ради</w:t>
            </w:r>
          </w:p>
        </w:tc>
      </w:tr>
      <w:tr w:rsidR="009F618C" w:rsidRPr="006D4A2C" w14:paraId="548E82BF" w14:textId="77777777" w:rsidTr="00B451AE">
        <w:trPr>
          <w:jc w:val="right"/>
        </w:trPr>
        <w:tc>
          <w:tcPr>
            <w:tcW w:w="3421" w:type="dxa"/>
          </w:tcPr>
          <w:p w14:paraId="66C1AA16" w14:textId="77777777" w:rsidR="009F618C" w:rsidRPr="006D4A2C" w:rsidRDefault="009F618C" w:rsidP="00FD75D9">
            <w:pPr>
              <w:spacing w:before="40" w:after="40"/>
              <w:rPr>
                <w:rFonts w:cs="Arial"/>
                <w:b/>
                <w:bCs/>
                <w:szCs w:val="22"/>
              </w:rPr>
            </w:pPr>
            <w:r w:rsidRPr="006D4A2C">
              <w:rPr>
                <w:rFonts w:cs="Arial"/>
                <w:sz w:val="20"/>
                <w:szCs w:val="22"/>
                <w:lang w:eastAsia="it-IT"/>
              </w:rPr>
              <w:t>Прізвище Ім’я По-батькові:</w:t>
            </w:r>
          </w:p>
        </w:tc>
        <w:tc>
          <w:tcPr>
            <w:tcW w:w="6798" w:type="dxa"/>
            <w:gridSpan w:val="5"/>
          </w:tcPr>
          <w:p w14:paraId="2EA6EAE8" w14:textId="77777777" w:rsidR="009F618C" w:rsidRPr="006D4A2C" w:rsidRDefault="009F618C" w:rsidP="00FD75D9">
            <w:pPr>
              <w:spacing w:before="40" w:after="40"/>
              <w:rPr>
                <w:rFonts w:cs="Arial"/>
                <w:szCs w:val="22"/>
                <w:lang w:eastAsia="it-IT"/>
              </w:rPr>
            </w:pPr>
            <w:r w:rsidRPr="006D4A2C">
              <w:rPr>
                <w:rFonts w:cs="Arial"/>
                <w:szCs w:val="22"/>
                <w:lang w:eastAsia="it-IT"/>
              </w:rPr>
              <w:t xml:space="preserve"> Капустян Олена Миколаївна</w:t>
            </w:r>
          </w:p>
        </w:tc>
      </w:tr>
      <w:tr w:rsidR="009F618C" w:rsidRPr="006D4A2C" w14:paraId="4AC0C4CC" w14:textId="77777777" w:rsidTr="00B451AE">
        <w:trPr>
          <w:jc w:val="right"/>
        </w:trPr>
        <w:tc>
          <w:tcPr>
            <w:tcW w:w="3421" w:type="dxa"/>
          </w:tcPr>
          <w:p w14:paraId="7A3AC9A0" w14:textId="77777777" w:rsidR="009F618C" w:rsidRPr="006D4A2C" w:rsidRDefault="009F618C" w:rsidP="00FD75D9">
            <w:pPr>
              <w:spacing w:before="40" w:after="40"/>
              <w:rPr>
                <w:rFonts w:cs="Arial"/>
                <w:b/>
                <w:bCs/>
                <w:szCs w:val="22"/>
              </w:rPr>
            </w:pPr>
            <w:r w:rsidRPr="006D4A2C">
              <w:rPr>
                <w:rFonts w:cs="Arial"/>
                <w:sz w:val="20"/>
                <w:szCs w:val="22"/>
                <w:lang w:eastAsia="it-IT"/>
              </w:rPr>
              <w:t>Телефон (мобільний):</w:t>
            </w:r>
          </w:p>
        </w:tc>
        <w:tc>
          <w:tcPr>
            <w:tcW w:w="6798" w:type="dxa"/>
            <w:gridSpan w:val="5"/>
          </w:tcPr>
          <w:p w14:paraId="3C560313" w14:textId="77777777" w:rsidR="009F618C" w:rsidRPr="006D4A2C" w:rsidRDefault="009F618C" w:rsidP="00FD75D9">
            <w:pPr>
              <w:spacing w:before="40" w:after="40"/>
              <w:rPr>
                <w:rFonts w:cs="Arial"/>
                <w:szCs w:val="22"/>
                <w:lang w:eastAsia="it-IT"/>
              </w:rPr>
            </w:pPr>
            <w:r w:rsidRPr="006D4A2C">
              <w:rPr>
                <w:rFonts w:cs="Arial"/>
                <w:szCs w:val="22"/>
                <w:lang w:eastAsia="it-IT"/>
              </w:rPr>
              <w:t>0977578866</w:t>
            </w:r>
          </w:p>
        </w:tc>
      </w:tr>
      <w:tr w:rsidR="009F618C" w:rsidRPr="006D4A2C" w14:paraId="3F7AEEEE" w14:textId="77777777" w:rsidTr="00B451AE">
        <w:trPr>
          <w:jc w:val="right"/>
        </w:trPr>
        <w:tc>
          <w:tcPr>
            <w:tcW w:w="3421" w:type="dxa"/>
          </w:tcPr>
          <w:p w14:paraId="604A983B" w14:textId="77777777" w:rsidR="009F618C" w:rsidRPr="006D4A2C" w:rsidRDefault="009F618C" w:rsidP="00FD75D9">
            <w:pPr>
              <w:spacing w:before="40" w:after="40"/>
              <w:rPr>
                <w:rFonts w:cs="Arial"/>
                <w:b/>
                <w:bCs/>
                <w:szCs w:val="22"/>
              </w:rPr>
            </w:pPr>
            <w:r w:rsidRPr="006D4A2C">
              <w:rPr>
                <w:rFonts w:cs="Arial"/>
                <w:sz w:val="20"/>
                <w:szCs w:val="22"/>
                <w:lang w:eastAsia="it-IT"/>
              </w:rPr>
              <w:t>Електронна адреса:</w:t>
            </w:r>
          </w:p>
        </w:tc>
        <w:tc>
          <w:tcPr>
            <w:tcW w:w="6798" w:type="dxa"/>
            <w:gridSpan w:val="5"/>
          </w:tcPr>
          <w:p w14:paraId="28BEEC46" w14:textId="77777777" w:rsidR="009F618C" w:rsidRPr="006D4A2C" w:rsidRDefault="00D85FFD" w:rsidP="00FD75D9">
            <w:pPr>
              <w:spacing w:before="40" w:after="40"/>
              <w:rPr>
                <w:rFonts w:cs="Arial"/>
                <w:sz w:val="20"/>
                <w:szCs w:val="20"/>
                <w:u w:val="single"/>
                <w:lang w:eastAsia="it-IT"/>
              </w:rPr>
            </w:pPr>
            <w:hyperlink r:id="rId37" w:history="1">
              <w:r w:rsidR="009F618C" w:rsidRPr="006D4A2C">
                <w:rPr>
                  <w:rStyle w:val="af0"/>
                  <w:rFonts w:eastAsia="Helvetica" w:cs="Arial"/>
                  <w:bCs/>
                  <w:noProof w:val="0"/>
                  <w:shd w:val="clear" w:color="auto" w:fill="ECE9E0"/>
                </w:rPr>
                <w:t>arh@zhmr.gov.ua</w:t>
              </w:r>
            </w:hyperlink>
          </w:p>
        </w:tc>
      </w:tr>
      <w:tr w:rsidR="009F618C" w:rsidRPr="006D4A2C" w14:paraId="789CB642" w14:textId="77777777" w:rsidTr="00B451AE">
        <w:trPr>
          <w:jc w:val="right"/>
        </w:trPr>
        <w:tc>
          <w:tcPr>
            <w:tcW w:w="3421" w:type="dxa"/>
            <w:vAlign w:val="center"/>
          </w:tcPr>
          <w:p w14:paraId="6A2CEE76" w14:textId="77777777" w:rsidR="009F618C" w:rsidRPr="006D4A2C" w:rsidRDefault="009F618C" w:rsidP="00FD75D9">
            <w:pPr>
              <w:pStyle w:val="6"/>
              <w:spacing w:before="0" w:after="0"/>
              <w:rPr>
                <w:rFonts w:ascii="Arial" w:hAnsi="Arial" w:cs="Arial"/>
                <w:color w:val="000000"/>
                <w:lang w:val="uk-UA"/>
              </w:rPr>
            </w:pPr>
            <w:r w:rsidRPr="006D4A2C">
              <w:rPr>
                <w:rFonts w:ascii="Arial" w:hAnsi="Arial" w:cs="Arial"/>
                <w:color w:val="000000"/>
                <w:lang w:val="uk-UA"/>
              </w:rPr>
              <w:t>Номер і назва завдання з Стратегії</w:t>
            </w:r>
            <w:r w:rsidRPr="006D4A2C">
              <w:rPr>
                <w:rFonts w:ascii="Arial" w:hAnsi="Arial" w:cs="Arial"/>
                <w:sz w:val="16"/>
                <w:szCs w:val="16"/>
                <w:lang w:val="uk-UA" w:eastAsia="it-IT"/>
              </w:rPr>
              <w:t xml:space="preserve"> </w:t>
            </w:r>
            <w:r w:rsidRPr="006D4A2C">
              <w:rPr>
                <w:rFonts w:ascii="Arial" w:hAnsi="Arial" w:cs="Arial"/>
                <w:color w:val="000000"/>
                <w:lang w:val="uk-UA"/>
              </w:rPr>
              <w:t>розвитку Жмеринської міської територіальної громади,  якому відповідає проєкт:</w:t>
            </w:r>
          </w:p>
        </w:tc>
        <w:tc>
          <w:tcPr>
            <w:tcW w:w="6798" w:type="dxa"/>
            <w:gridSpan w:val="5"/>
          </w:tcPr>
          <w:p w14:paraId="6CF7C711" w14:textId="35FE3B57" w:rsidR="009F618C" w:rsidRPr="006D4A2C" w:rsidRDefault="009F618C" w:rsidP="006D4A2C">
            <w:pPr>
              <w:jc w:val="both"/>
              <w:rPr>
                <w:rFonts w:cs="Arial"/>
                <w:szCs w:val="22"/>
                <w:lang w:eastAsia="it-IT"/>
              </w:rPr>
            </w:pPr>
            <w:r w:rsidRPr="006D4A2C">
              <w:rPr>
                <w:rFonts w:eastAsia="SimSun" w:cs="Arial"/>
                <w:color w:val="000000"/>
                <w:szCs w:val="22"/>
                <w:lang w:eastAsia="zh-CN" w:bidi="ar"/>
              </w:rPr>
              <w:t>А.4.1.4. Оновлення містобудівного кадастру для забезпечення прозорого всебічного вивчення інвестиційної привабливості території громади</w:t>
            </w:r>
          </w:p>
        </w:tc>
      </w:tr>
      <w:tr w:rsidR="009F618C" w:rsidRPr="006D4A2C" w14:paraId="67870CE2" w14:textId="77777777" w:rsidTr="00B451AE">
        <w:trPr>
          <w:jc w:val="right"/>
        </w:trPr>
        <w:tc>
          <w:tcPr>
            <w:tcW w:w="3421" w:type="dxa"/>
            <w:vAlign w:val="center"/>
          </w:tcPr>
          <w:p w14:paraId="2F08EF26" w14:textId="77777777" w:rsidR="009F618C" w:rsidRPr="006D4A2C" w:rsidRDefault="009F618C" w:rsidP="00FD75D9">
            <w:pPr>
              <w:rPr>
                <w:rFonts w:cs="Arial"/>
                <w:b/>
                <w:bCs/>
                <w:color w:val="000000"/>
                <w:szCs w:val="22"/>
              </w:rPr>
            </w:pPr>
            <w:r w:rsidRPr="006D4A2C">
              <w:rPr>
                <w:rFonts w:cs="Arial"/>
                <w:b/>
                <w:bCs/>
                <w:color w:val="000000"/>
                <w:szCs w:val="22"/>
              </w:rPr>
              <w:t>Мета проєкту:</w:t>
            </w:r>
          </w:p>
        </w:tc>
        <w:tc>
          <w:tcPr>
            <w:tcW w:w="6798" w:type="dxa"/>
            <w:gridSpan w:val="5"/>
          </w:tcPr>
          <w:p w14:paraId="06FB08A3" w14:textId="6692F043" w:rsidR="009F618C" w:rsidRPr="006D4A2C" w:rsidRDefault="009F618C" w:rsidP="006D4A2C">
            <w:pPr>
              <w:spacing w:before="40" w:after="40"/>
              <w:jc w:val="both"/>
              <w:rPr>
                <w:rFonts w:cs="Arial"/>
                <w:szCs w:val="22"/>
                <w:lang w:eastAsia="it-IT"/>
              </w:rPr>
            </w:pPr>
            <w:r w:rsidRPr="006D4A2C">
              <w:rPr>
                <w:rFonts w:cs="Arial"/>
                <w:b/>
                <w:bCs/>
                <w:szCs w:val="22"/>
                <w:lang w:eastAsia="it-IT"/>
              </w:rPr>
              <w:t xml:space="preserve">Оновлення та насичення інформацією картографічну основу містобудівного кадастру </w:t>
            </w:r>
            <w:r w:rsidRPr="006D4A2C">
              <w:rPr>
                <w:rFonts w:eastAsia="SimSun" w:cs="Arial"/>
                <w:b/>
                <w:bCs/>
                <w:color w:val="000000"/>
                <w:szCs w:val="22"/>
                <w:lang w:eastAsia="zh-CN" w:bidi="ar"/>
              </w:rPr>
              <w:t>на території Жмеринської міської територіальної громади</w:t>
            </w:r>
          </w:p>
        </w:tc>
      </w:tr>
      <w:tr w:rsidR="009F618C" w:rsidRPr="006D4A2C" w14:paraId="73E0BADD" w14:textId="77777777" w:rsidTr="00B451AE">
        <w:trPr>
          <w:jc w:val="right"/>
        </w:trPr>
        <w:tc>
          <w:tcPr>
            <w:tcW w:w="3421" w:type="dxa"/>
            <w:vAlign w:val="center"/>
          </w:tcPr>
          <w:p w14:paraId="430638BB" w14:textId="77777777" w:rsidR="009F618C" w:rsidRPr="006D4A2C" w:rsidRDefault="009F618C" w:rsidP="00FD75D9">
            <w:pPr>
              <w:rPr>
                <w:rFonts w:cs="Arial"/>
                <w:b/>
                <w:bCs/>
                <w:color w:val="000000"/>
                <w:szCs w:val="22"/>
              </w:rPr>
            </w:pPr>
            <w:r w:rsidRPr="006D4A2C">
              <w:rPr>
                <w:rFonts w:cs="Arial"/>
                <w:b/>
                <w:bCs/>
                <w:color w:val="000000"/>
                <w:szCs w:val="22"/>
              </w:rPr>
              <w:t>Цілі проєкту:</w:t>
            </w:r>
          </w:p>
        </w:tc>
        <w:tc>
          <w:tcPr>
            <w:tcW w:w="6798" w:type="dxa"/>
            <w:gridSpan w:val="5"/>
          </w:tcPr>
          <w:p w14:paraId="092F3A6A" w14:textId="17CC3364" w:rsidR="009F618C" w:rsidRPr="006D4A2C" w:rsidRDefault="009F618C" w:rsidP="006D4A2C">
            <w:pPr>
              <w:rPr>
                <w:rFonts w:cs="Arial"/>
                <w:szCs w:val="22"/>
                <w:lang w:eastAsia="it-IT"/>
              </w:rPr>
            </w:pPr>
            <w:r w:rsidRPr="006D4A2C">
              <w:rPr>
                <w:rFonts w:eastAsia="SimSun" w:cs="Arial"/>
                <w:color w:val="000000"/>
                <w:szCs w:val="22"/>
                <w:lang w:eastAsia="zh-CN" w:bidi="ar"/>
              </w:rPr>
              <w:t>Розвиток містобудівного кадастру на території Жмеринської міської територіальної громади</w:t>
            </w:r>
          </w:p>
        </w:tc>
      </w:tr>
      <w:tr w:rsidR="009F618C" w:rsidRPr="006D4A2C" w14:paraId="1EB4AC5A" w14:textId="77777777" w:rsidTr="00B451AE">
        <w:trPr>
          <w:jc w:val="right"/>
        </w:trPr>
        <w:tc>
          <w:tcPr>
            <w:tcW w:w="3421" w:type="dxa"/>
            <w:vAlign w:val="center"/>
          </w:tcPr>
          <w:p w14:paraId="0F6D9FA2" w14:textId="77777777" w:rsidR="009F618C" w:rsidRPr="006D4A2C" w:rsidRDefault="009F618C" w:rsidP="00FD75D9">
            <w:pPr>
              <w:autoSpaceDE w:val="0"/>
              <w:autoSpaceDN w:val="0"/>
              <w:adjustRightInd w:val="0"/>
              <w:rPr>
                <w:rFonts w:cs="Arial"/>
                <w:b/>
                <w:color w:val="000000"/>
                <w:szCs w:val="22"/>
              </w:rPr>
            </w:pPr>
            <w:r w:rsidRPr="006D4A2C">
              <w:rPr>
                <w:rFonts w:cs="Arial"/>
                <w:b/>
                <w:color w:val="000000"/>
                <w:szCs w:val="22"/>
              </w:rPr>
              <w:t>Територія на яку проєкт матиме вплив:</w:t>
            </w:r>
          </w:p>
        </w:tc>
        <w:tc>
          <w:tcPr>
            <w:tcW w:w="6798" w:type="dxa"/>
            <w:gridSpan w:val="5"/>
          </w:tcPr>
          <w:p w14:paraId="20A6165D" w14:textId="3E9297C1" w:rsidR="009F618C" w:rsidRPr="006D4A2C" w:rsidRDefault="009F618C" w:rsidP="006D4A2C">
            <w:pPr>
              <w:rPr>
                <w:rFonts w:cs="Arial"/>
                <w:szCs w:val="22"/>
                <w:lang w:eastAsia="it-IT"/>
              </w:rPr>
            </w:pPr>
            <w:r w:rsidRPr="006D4A2C">
              <w:rPr>
                <w:rFonts w:cs="Arial"/>
                <w:szCs w:val="22"/>
                <w:lang w:eastAsia="it-IT"/>
              </w:rPr>
              <w:t xml:space="preserve"> </w:t>
            </w:r>
            <w:r w:rsidRPr="006D4A2C">
              <w:rPr>
                <w:rFonts w:eastAsia="SimSun" w:cs="Arial"/>
                <w:color w:val="000000"/>
                <w:szCs w:val="22"/>
                <w:lang w:eastAsia="zh-CN" w:bidi="ar"/>
              </w:rPr>
              <w:t>Територія Жмеринської міської територіальної громади</w:t>
            </w:r>
          </w:p>
        </w:tc>
      </w:tr>
      <w:tr w:rsidR="009F618C" w:rsidRPr="006D4A2C" w14:paraId="458A6E02" w14:textId="77777777" w:rsidTr="00B451AE">
        <w:trPr>
          <w:jc w:val="right"/>
        </w:trPr>
        <w:tc>
          <w:tcPr>
            <w:tcW w:w="3421" w:type="dxa"/>
            <w:vAlign w:val="center"/>
          </w:tcPr>
          <w:p w14:paraId="1444C5E0" w14:textId="77777777" w:rsidR="009F618C" w:rsidRPr="006D4A2C" w:rsidRDefault="009F618C" w:rsidP="00FD75D9">
            <w:pPr>
              <w:autoSpaceDE w:val="0"/>
              <w:autoSpaceDN w:val="0"/>
              <w:adjustRightInd w:val="0"/>
              <w:rPr>
                <w:rFonts w:cs="Arial"/>
                <w:b/>
                <w:color w:val="000000"/>
                <w:szCs w:val="22"/>
              </w:rPr>
            </w:pPr>
            <w:r w:rsidRPr="006D4A2C">
              <w:rPr>
                <w:rFonts w:cs="Arial"/>
                <w:b/>
                <w:color w:val="000000"/>
                <w:szCs w:val="22"/>
              </w:rPr>
              <w:t>Цільові групи проєкту та кількість отримувачів вигоди</w:t>
            </w:r>
          </w:p>
        </w:tc>
        <w:tc>
          <w:tcPr>
            <w:tcW w:w="6798" w:type="dxa"/>
            <w:gridSpan w:val="5"/>
          </w:tcPr>
          <w:p w14:paraId="040817EC" w14:textId="7A42ABD1" w:rsidR="009F618C" w:rsidRPr="006D4A2C" w:rsidRDefault="009F618C" w:rsidP="006D4A2C">
            <w:pPr>
              <w:rPr>
                <w:rFonts w:cs="Arial"/>
                <w:szCs w:val="22"/>
                <w:lang w:eastAsia="it-IT"/>
              </w:rPr>
            </w:pPr>
            <w:r w:rsidRPr="006D4A2C">
              <w:rPr>
                <w:rFonts w:eastAsia="SimSun" w:cs="Arial"/>
                <w:color w:val="000000"/>
                <w:szCs w:val="22"/>
                <w:lang w:eastAsia="zh-CN" w:bidi="ar"/>
              </w:rPr>
              <w:t>Отримув</w:t>
            </w:r>
            <w:r w:rsidR="0092424D">
              <w:rPr>
                <w:rFonts w:eastAsia="SimSun" w:cs="Arial"/>
                <w:color w:val="000000"/>
                <w:szCs w:val="22"/>
                <w:lang w:eastAsia="zh-CN" w:bidi="ar"/>
              </w:rPr>
              <w:t>ачами вигоди від реалізації проє</w:t>
            </w:r>
            <w:r w:rsidRPr="006D4A2C">
              <w:rPr>
                <w:rFonts w:eastAsia="SimSun" w:cs="Arial"/>
                <w:color w:val="000000"/>
                <w:szCs w:val="22"/>
                <w:lang w:eastAsia="zh-CN" w:bidi="ar"/>
              </w:rPr>
              <w:t>кту є жителі населених пунктів, інвестори та забудовники – 49474 чол.</w:t>
            </w:r>
          </w:p>
        </w:tc>
      </w:tr>
      <w:tr w:rsidR="009F618C" w:rsidRPr="006D4A2C" w14:paraId="5E150D85" w14:textId="77777777" w:rsidTr="00B451AE">
        <w:trPr>
          <w:jc w:val="right"/>
        </w:trPr>
        <w:tc>
          <w:tcPr>
            <w:tcW w:w="3421" w:type="dxa"/>
            <w:shd w:val="clear" w:color="auto" w:fill="FFFFFF"/>
            <w:vAlign w:val="center"/>
          </w:tcPr>
          <w:p w14:paraId="6AAB222F" w14:textId="77777777" w:rsidR="009F618C" w:rsidRPr="006D4A2C" w:rsidRDefault="009F618C" w:rsidP="00FD75D9">
            <w:pPr>
              <w:rPr>
                <w:rFonts w:cs="Arial"/>
                <w:b/>
                <w:bCs/>
                <w:color w:val="000000"/>
                <w:szCs w:val="22"/>
              </w:rPr>
            </w:pPr>
            <w:r w:rsidRPr="006D4A2C">
              <w:rPr>
                <w:rFonts w:cs="Arial"/>
                <w:b/>
                <w:bCs/>
                <w:color w:val="000000"/>
                <w:szCs w:val="22"/>
              </w:rPr>
              <w:t>Стислий опис проєкту:</w:t>
            </w:r>
          </w:p>
        </w:tc>
        <w:tc>
          <w:tcPr>
            <w:tcW w:w="6798" w:type="dxa"/>
            <w:gridSpan w:val="5"/>
          </w:tcPr>
          <w:p w14:paraId="424B4EA6" w14:textId="77777777" w:rsidR="009F618C" w:rsidRPr="006D4A2C" w:rsidRDefault="009F618C" w:rsidP="00FD75D9">
            <w:pPr>
              <w:jc w:val="both"/>
              <w:rPr>
                <w:rFonts w:cs="Arial"/>
                <w:szCs w:val="22"/>
                <w:lang w:eastAsia="it-IT"/>
              </w:rPr>
            </w:pPr>
            <w:r w:rsidRPr="006D4A2C">
              <w:rPr>
                <w:rFonts w:eastAsia="SimSun" w:cs="Arial"/>
                <w:color w:val="000000"/>
                <w:szCs w:val="22"/>
                <w:lang w:eastAsia="zh-CN" w:bidi="ar"/>
              </w:rPr>
              <w:t xml:space="preserve">Оновлення та наповнення інформацією містобудівного кадастру її на території Жмеринської міської територіальної громади здійснюється відповідно до вимог </w:t>
            </w:r>
            <w:r w:rsidRPr="006D4A2C">
              <w:rPr>
                <w:rFonts w:cs="Arial"/>
                <w:szCs w:val="22"/>
              </w:rPr>
              <w:t xml:space="preserve">ст.22 Закону України «Про регулювання містобудівної діяльності», ст.14 </w:t>
            </w:r>
            <w:r w:rsidRPr="006D4A2C">
              <w:rPr>
                <w:rFonts w:cs="Arial"/>
                <w:color w:val="000000"/>
                <w:szCs w:val="22"/>
              </w:rPr>
              <w:t xml:space="preserve">Закону України «Про основи містобудування», </w:t>
            </w:r>
            <w:r w:rsidRPr="006D4A2C">
              <w:rPr>
                <w:rFonts w:cs="Arial"/>
                <w:szCs w:val="22"/>
              </w:rPr>
              <w:t>постанови  Кабінету Міністрів  України від 25 травня 2011р. №556 «Про Порядок обміну інформацією між містобудівним та державним земельним кадастрами», Типового положення про Службу містобудівного кадастру, затвердженого постановою Кабінету Міністрів України від 25.05.2011р. №559 "Про містобудівний кадастр".</w:t>
            </w:r>
          </w:p>
        </w:tc>
      </w:tr>
      <w:tr w:rsidR="009F618C" w:rsidRPr="006D4A2C" w14:paraId="3909FE40" w14:textId="77777777" w:rsidTr="00B451AE">
        <w:trPr>
          <w:jc w:val="right"/>
        </w:trPr>
        <w:tc>
          <w:tcPr>
            <w:tcW w:w="3421" w:type="dxa"/>
            <w:shd w:val="clear" w:color="auto" w:fill="FFFFFF"/>
            <w:vAlign w:val="center"/>
          </w:tcPr>
          <w:p w14:paraId="68B491A3" w14:textId="77777777" w:rsidR="009F618C" w:rsidRPr="006D4A2C" w:rsidRDefault="009F618C" w:rsidP="00FD75D9">
            <w:pPr>
              <w:rPr>
                <w:rFonts w:cs="Arial"/>
                <w:b/>
                <w:bCs/>
                <w:color w:val="000000"/>
                <w:szCs w:val="22"/>
              </w:rPr>
            </w:pPr>
            <w:r w:rsidRPr="006D4A2C">
              <w:rPr>
                <w:rFonts w:cs="Arial"/>
                <w:b/>
                <w:bCs/>
                <w:color w:val="000000"/>
                <w:szCs w:val="22"/>
              </w:rPr>
              <w:t>Основні заходи проєкту:</w:t>
            </w:r>
          </w:p>
        </w:tc>
        <w:tc>
          <w:tcPr>
            <w:tcW w:w="6798" w:type="dxa"/>
            <w:gridSpan w:val="5"/>
          </w:tcPr>
          <w:p w14:paraId="38437D3A" w14:textId="67C90C11" w:rsidR="009F618C" w:rsidRPr="006D4A2C" w:rsidRDefault="009F618C" w:rsidP="006D4A2C">
            <w:pPr>
              <w:jc w:val="both"/>
              <w:rPr>
                <w:rFonts w:cs="Arial"/>
                <w:szCs w:val="22"/>
              </w:rPr>
            </w:pPr>
            <w:r w:rsidRPr="006D4A2C">
              <w:rPr>
                <w:rFonts w:eastAsia="SimSun" w:cs="Arial"/>
                <w:color w:val="000000"/>
                <w:szCs w:val="22"/>
                <w:lang w:eastAsia="zh-CN" w:bidi="ar"/>
              </w:rPr>
              <w:t xml:space="preserve">1). оновлення та технічна підтримка ПК системи містобудівного кадастру; </w:t>
            </w:r>
          </w:p>
          <w:p w14:paraId="66E4CD67" w14:textId="6E45F122" w:rsidR="009F618C" w:rsidRPr="006D4A2C" w:rsidRDefault="009F618C" w:rsidP="006D4A2C">
            <w:pPr>
              <w:jc w:val="both"/>
              <w:rPr>
                <w:rFonts w:cs="Arial"/>
                <w:szCs w:val="22"/>
              </w:rPr>
            </w:pPr>
            <w:r w:rsidRPr="006D4A2C">
              <w:rPr>
                <w:rFonts w:eastAsia="SimSun" w:cs="Arial"/>
                <w:color w:val="000000"/>
                <w:szCs w:val="22"/>
                <w:lang w:eastAsia="zh-CN" w:bidi="ar"/>
              </w:rPr>
              <w:t xml:space="preserve">2). редагування баз геоданих, додаткове завантаження тематичних карт; </w:t>
            </w:r>
          </w:p>
          <w:p w14:paraId="514D9756" w14:textId="369232A0" w:rsidR="009F618C" w:rsidRPr="006D4A2C" w:rsidRDefault="009F618C" w:rsidP="006D4A2C">
            <w:pPr>
              <w:jc w:val="both"/>
              <w:rPr>
                <w:rFonts w:cs="Arial"/>
                <w:szCs w:val="22"/>
              </w:rPr>
            </w:pPr>
            <w:r w:rsidRPr="006D4A2C">
              <w:rPr>
                <w:rFonts w:eastAsia="SimSun" w:cs="Arial"/>
                <w:color w:val="000000"/>
                <w:szCs w:val="22"/>
                <w:lang w:eastAsia="zh-CN" w:bidi="ar"/>
              </w:rPr>
              <w:t xml:space="preserve">3). створення та ведення бази даних про інформаційні ресурси містобудівного та земельного кадастру, формування їх та забезпечення доступу до них в мережі геопорталів; </w:t>
            </w:r>
          </w:p>
          <w:p w14:paraId="28B3904A" w14:textId="77777777" w:rsidR="009F618C" w:rsidRPr="006D4A2C" w:rsidRDefault="009F618C" w:rsidP="006D4A2C">
            <w:pPr>
              <w:jc w:val="both"/>
              <w:rPr>
                <w:rFonts w:cs="Arial"/>
                <w:szCs w:val="22"/>
              </w:rPr>
            </w:pPr>
            <w:r w:rsidRPr="006D4A2C">
              <w:rPr>
                <w:rFonts w:eastAsia="SimSun" w:cs="Arial"/>
                <w:color w:val="000000"/>
                <w:szCs w:val="22"/>
                <w:lang w:eastAsia="zh-CN" w:bidi="ar"/>
              </w:rPr>
              <w:t xml:space="preserve">4). створення геопорталу містобудівного кадастру; </w:t>
            </w:r>
          </w:p>
          <w:p w14:paraId="70EC6C77" w14:textId="6D4DDA86" w:rsidR="009F618C" w:rsidRPr="006D4A2C" w:rsidRDefault="009F618C" w:rsidP="006D4A2C">
            <w:pPr>
              <w:jc w:val="both"/>
              <w:rPr>
                <w:rFonts w:cs="Arial"/>
                <w:szCs w:val="22"/>
                <w:lang w:eastAsia="it-IT"/>
              </w:rPr>
            </w:pPr>
            <w:r w:rsidRPr="006D4A2C">
              <w:rPr>
                <w:rFonts w:eastAsia="SimSun" w:cs="Arial"/>
                <w:color w:val="000000"/>
                <w:szCs w:val="22"/>
                <w:lang w:eastAsia="zh-CN" w:bidi="ar"/>
              </w:rPr>
              <w:t>5). створення геопорталу земельного кадастру</w:t>
            </w:r>
          </w:p>
        </w:tc>
      </w:tr>
      <w:tr w:rsidR="009F618C" w:rsidRPr="006D4A2C" w14:paraId="057180C1" w14:textId="77777777" w:rsidTr="00B451AE">
        <w:trPr>
          <w:jc w:val="right"/>
        </w:trPr>
        <w:tc>
          <w:tcPr>
            <w:tcW w:w="3421" w:type="dxa"/>
            <w:shd w:val="clear" w:color="auto" w:fill="FFFFFF"/>
            <w:vAlign w:val="center"/>
          </w:tcPr>
          <w:p w14:paraId="4F6BC22E" w14:textId="77777777" w:rsidR="009F618C" w:rsidRPr="006D4A2C" w:rsidRDefault="009F618C" w:rsidP="00FD75D9">
            <w:pPr>
              <w:rPr>
                <w:rFonts w:cs="Arial"/>
                <w:b/>
                <w:bCs/>
                <w:color w:val="000000"/>
                <w:szCs w:val="22"/>
              </w:rPr>
            </w:pPr>
            <w:r w:rsidRPr="006D4A2C">
              <w:rPr>
                <w:rFonts w:cs="Arial"/>
                <w:b/>
                <w:bCs/>
                <w:color w:val="000000"/>
                <w:szCs w:val="22"/>
              </w:rPr>
              <w:t>Індикатори (показники) результативності:</w:t>
            </w:r>
          </w:p>
        </w:tc>
        <w:tc>
          <w:tcPr>
            <w:tcW w:w="6798" w:type="dxa"/>
            <w:gridSpan w:val="5"/>
          </w:tcPr>
          <w:p w14:paraId="74052BE2" w14:textId="77777777" w:rsidR="009F618C" w:rsidRPr="006D4A2C" w:rsidRDefault="009F618C" w:rsidP="006D4A2C">
            <w:pPr>
              <w:jc w:val="both"/>
              <w:rPr>
                <w:rFonts w:cs="Arial"/>
                <w:sz w:val="16"/>
                <w:szCs w:val="16"/>
                <w:lang w:eastAsia="it-IT"/>
              </w:rPr>
            </w:pPr>
            <w:r w:rsidRPr="006D4A2C">
              <w:rPr>
                <w:rFonts w:cs="Arial"/>
                <w:szCs w:val="22"/>
                <w:lang w:eastAsia="it-IT"/>
              </w:rPr>
              <w:t xml:space="preserve">Оновлена та насичена інформацією картографічна основа містобудівного кадастру </w:t>
            </w:r>
            <w:r w:rsidRPr="006D4A2C">
              <w:rPr>
                <w:rFonts w:eastAsia="SimSun" w:cs="Arial"/>
                <w:color w:val="000000"/>
                <w:szCs w:val="22"/>
                <w:lang w:eastAsia="zh-CN" w:bidi="ar"/>
              </w:rPr>
              <w:t>на території Жмеринської міської територіальної громади, а саме 34 населених пунктів.</w:t>
            </w:r>
          </w:p>
        </w:tc>
      </w:tr>
      <w:tr w:rsidR="009F618C" w:rsidRPr="006D4A2C" w14:paraId="10907158" w14:textId="77777777" w:rsidTr="00B451AE">
        <w:trPr>
          <w:jc w:val="right"/>
        </w:trPr>
        <w:tc>
          <w:tcPr>
            <w:tcW w:w="3421" w:type="dxa"/>
            <w:shd w:val="clear" w:color="auto" w:fill="FFFFFF"/>
            <w:vAlign w:val="center"/>
          </w:tcPr>
          <w:p w14:paraId="6E652522" w14:textId="77777777" w:rsidR="009F618C" w:rsidRPr="006D4A2C" w:rsidRDefault="009F618C" w:rsidP="00FD75D9">
            <w:pPr>
              <w:rPr>
                <w:rFonts w:cs="Arial"/>
                <w:b/>
                <w:color w:val="000000"/>
                <w:szCs w:val="22"/>
              </w:rPr>
            </w:pPr>
            <w:r w:rsidRPr="006D4A2C">
              <w:rPr>
                <w:rFonts w:cs="Arial"/>
                <w:b/>
                <w:color w:val="000000"/>
                <w:szCs w:val="22"/>
              </w:rPr>
              <w:t xml:space="preserve">Період здійснення: </w:t>
            </w:r>
          </w:p>
        </w:tc>
        <w:tc>
          <w:tcPr>
            <w:tcW w:w="6798" w:type="dxa"/>
            <w:gridSpan w:val="5"/>
            <w:vAlign w:val="center"/>
          </w:tcPr>
          <w:p w14:paraId="394E6BF5" w14:textId="77777777" w:rsidR="009F618C" w:rsidRPr="006D4A2C" w:rsidRDefault="009F618C" w:rsidP="00FD75D9">
            <w:pPr>
              <w:rPr>
                <w:rFonts w:cs="Arial"/>
                <w:color w:val="000000"/>
                <w:szCs w:val="22"/>
                <w:lang w:eastAsia="it-IT"/>
              </w:rPr>
            </w:pPr>
            <w:r w:rsidRPr="006D4A2C">
              <w:rPr>
                <w:rFonts w:cs="Arial"/>
                <w:b/>
                <w:color w:val="000000"/>
                <w:szCs w:val="22"/>
              </w:rPr>
              <w:t>2025 – 2028 роки:</w:t>
            </w:r>
          </w:p>
        </w:tc>
      </w:tr>
      <w:tr w:rsidR="009F618C" w:rsidRPr="006D4A2C" w14:paraId="298C4454" w14:textId="77777777" w:rsidTr="00B451AE">
        <w:trPr>
          <w:jc w:val="right"/>
        </w:trPr>
        <w:tc>
          <w:tcPr>
            <w:tcW w:w="3421" w:type="dxa"/>
            <w:vMerge w:val="restart"/>
            <w:shd w:val="clear" w:color="auto" w:fill="FFFFFF"/>
            <w:vAlign w:val="center"/>
          </w:tcPr>
          <w:p w14:paraId="1059008F" w14:textId="77777777" w:rsidR="009F618C" w:rsidRPr="006D4A2C" w:rsidRDefault="009F618C" w:rsidP="00FD75D9">
            <w:pPr>
              <w:rPr>
                <w:rFonts w:cs="Arial"/>
                <w:b/>
                <w:bCs/>
                <w:color w:val="000000"/>
                <w:szCs w:val="22"/>
              </w:rPr>
            </w:pPr>
            <w:r w:rsidRPr="006D4A2C">
              <w:rPr>
                <w:rFonts w:cs="Arial"/>
                <w:b/>
                <w:bCs/>
                <w:color w:val="000000"/>
                <w:szCs w:val="22"/>
              </w:rPr>
              <w:t>Орієнтовна вартість проєкту, тис. грн., в тому числі:</w:t>
            </w:r>
          </w:p>
        </w:tc>
        <w:tc>
          <w:tcPr>
            <w:tcW w:w="1253" w:type="dxa"/>
            <w:shd w:val="clear" w:color="auto" w:fill="E6E6E6"/>
            <w:vAlign w:val="center"/>
          </w:tcPr>
          <w:p w14:paraId="41771B48" w14:textId="77777777" w:rsidR="009F618C" w:rsidRPr="006D4A2C" w:rsidRDefault="009F618C" w:rsidP="00FD75D9">
            <w:pPr>
              <w:jc w:val="center"/>
              <w:rPr>
                <w:rFonts w:cs="Arial"/>
                <w:b/>
                <w:color w:val="000000"/>
                <w:szCs w:val="22"/>
                <w:lang w:eastAsia="it-IT"/>
              </w:rPr>
            </w:pPr>
            <w:r w:rsidRPr="006D4A2C">
              <w:rPr>
                <w:rFonts w:cs="Arial"/>
                <w:b/>
                <w:color w:val="000000"/>
                <w:szCs w:val="22"/>
                <w:lang w:eastAsia="it-IT"/>
              </w:rPr>
              <w:t>2025</w:t>
            </w:r>
          </w:p>
        </w:tc>
        <w:tc>
          <w:tcPr>
            <w:tcW w:w="1279" w:type="dxa"/>
            <w:shd w:val="clear" w:color="auto" w:fill="E6E6E6"/>
            <w:vAlign w:val="center"/>
          </w:tcPr>
          <w:p w14:paraId="115E6EE1" w14:textId="77777777" w:rsidR="009F618C" w:rsidRPr="006D4A2C" w:rsidRDefault="009F618C" w:rsidP="00FD75D9">
            <w:pPr>
              <w:jc w:val="center"/>
              <w:rPr>
                <w:rFonts w:cs="Arial"/>
                <w:b/>
                <w:color w:val="000000"/>
                <w:szCs w:val="22"/>
                <w:lang w:eastAsia="it-IT"/>
              </w:rPr>
            </w:pPr>
            <w:r w:rsidRPr="006D4A2C">
              <w:rPr>
                <w:rFonts w:cs="Arial"/>
                <w:b/>
                <w:color w:val="000000"/>
                <w:szCs w:val="22"/>
                <w:lang w:eastAsia="it-IT"/>
              </w:rPr>
              <w:t>2026</w:t>
            </w:r>
          </w:p>
        </w:tc>
        <w:tc>
          <w:tcPr>
            <w:tcW w:w="1416" w:type="dxa"/>
            <w:tcBorders>
              <w:bottom w:val="single" w:sz="4" w:space="0" w:color="auto"/>
            </w:tcBorders>
            <w:shd w:val="clear" w:color="auto" w:fill="E6E6E6"/>
            <w:vAlign w:val="center"/>
          </w:tcPr>
          <w:p w14:paraId="6ED0596B" w14:textId="77777777" w:rsidR="009F618C" w:rsidRPr="006D4A2C" w:rsidRDefault="009F618C" w:rsidP="00FD75D9">
            <w:pPr>
              <w:jc w:val="center"/>
              <w:rPr>
                <w:rFonts w:cs="Arial"/>
                <w:b/>
                <w:color w:val="000000"/>
                <w:szCs w:val="22"/>
                <w:lang w:eastAsia="it-IT"/>
              </w:rPr>
            </w:pPr>
            <w:r w:rsidRPr="006D4A2C">
              <w:rPr>
                <w:rFonts w:cs="Arial"/>
                <w:b/>
                <w:color w:val="000000"/>
                <w:szCs w:val="22"/>
                <w:lang w:eastAsia="it-IT"/>
              </w:rPr>
              <w:t>2027</w:t>
            </w:r>
          </w:p>
        </w:tc>
        <w:tc>
          <w:tcPr>
            <w:tcW w:w="1275" w:type="dxa"/>
            <w:shd w:val="clear" w:color="auto" w:fill="E6E6E6"/>
            <w:vAlign w:val="center"/>
          </w:tcPr>
          <w:p w14:paraId="4A035A1A" w14:textId="77777777" w:rsidR="009F618C" w:rsidRPr="006D4A2C" w:rsidRDefault="009F618C" w:rsidP="00FD75D9">
            <w:pPr>
              <w:jc w:val="center"/>
              <w:rPr>
                <w:rFonts w:cs="Arial"/>
                <w:b/>
                <w:color w:val="000000"/>
                <w:szCs w:val="22"/>
                <w:lang w:eastAsia="it-IT"/>
              </w:rPr>
            </w:pPr>
            <w:r w:rsidRPr="006D4A2C">
              <w:rPr>
                <w:rFonts w:cs="Arial"/>
                <w:b/>
                <w:color w:val="000000"/>
                <w:szCs w:val="22"/>
                <w:lang w:eastAsia="it-IT"/>
              </w:rPr>
              <w:t>2028</w:t>
            </w:r>
          </w:p>
        </w:tc>
        <w:tc>
          <w:tcPr>
            <w:tcW w:w="1575" w:type="dxa"/>
            <w:shd w:val="clear" w:color="auto" w:fill="E6E6E6"/>
            <w:vAlign w:val="center"/>
          </w:tcPr>
          <w:p w14:paraId="7DA47793" w14:textId="77777777" w:rsidR="009F618C" w:rsidRPr="006D4A2C" w:rsidRDefault="009F618C" w:rsidP="00FD75D9">
            <w:pPr>
              <w:jc w:val="center"/>
              <w:rPr>
                <w:rFonts w:cs="Arial"/>
                <w:b/>
                <w:color w:val="000000"/>
                <w:szCs w:val="22"/>
                <w:lang w:eastAsia="it-IT"/>
              </w:rPr>
            </w:pPr>
            <w:r w:rsidRPr="006D4A2C">
              <w:rPr>
                <w:rFonts w:cs="Arial"/>
                <w:b/>
                <w:color w:val="000000"/>
                <w:szCs w:val="22"/>
                <w:lang w:eastAsia="it-IT"/>
              </w:rPr>
              <w:t>РАЗОМ</w:t>
            </w:r>
          </w:p>
        </w:tc>
      </w:tr>
      <w:tr w:rsidR="009F618C" w:rsidRPr="006D4A2C" w14:paraId="601182A9" w14:textId="77777777" w:rsidTr="00B451AE">
        <w:trPr>
          <w:jc w:val="right"/>
        </w:trPr>
        <w:tc>
          <w:tcPr>
            <w:tcW w:w="3421" w:type="dxa"/>
            <w:vMerge/>
            <w:shd w:val="clear" w:color="auto" w:fill="FFFFFF"/>
            <w:vAlign w:val="center"/>
          </w:tcPr>
          <w:p w14:paraId="05262329" w14:textId="77777777" w:rsidR="009F618C" w:rsidRPr="006D4A2C" w:rsidRDefault="009F618C" w:rsidP="00FD75D9">
            <w:pPr>
              <w:rPr>
                <w:rFonts w:cs="Arial"/>
                <w:b/>
                <w:bCs/>
                <w:color w:val="000000"/>
                <w:szCs w:val="22"/>
              </w:rPr>
            </w:pPr>
          </w:p>
        </w:tc>
        <w:tc>
          <w:tcPr>
            <w:tcW w:w="1253" w:type="dxa"/>
            <w:shd w:val="clear" w:color="auto" w:fill="auto"/>
          </w:tcPr>
          <w:p w14:paraId="231F8ACD" w14:textId="77777777" w:rsidR="009F618C" w:rsidRPr="006D4A2C" w:rsidRDefault="009F618C" w:rsidP="006D4A2C">
            <w:pPr>
              <w:jc w:val="center"/>
              <w:rPr>
                <w:rFonts w:cs="Arial"/>
                <w:b/>
                <w:color w:val="000000"/>
                <w:szCs w:val="22"/>
                <w:lang w:eastAsia="it-IT"/>
              </w:rPr>
            </w:pPr>
            <w:r w:rsidRPr="006D4A2C">
              <w:rPr>
                <w:rFonts w:cs="Arial"/>
                <w:b/>
                <w:color w:val="000000"/>
                <w:szCs w:val="22"/>
                <w:lang w:eastAsia="it-IT"/>
              </w:rPr>
              <w:t>15306,4</w:t>
            </w:r>
          </w:p>
        </w:tc>
        <w:tc>
          <w:tcPr>
            <w:tcW w:w="1279" w:type="dxa"/>
            <w:shd w:val="clear" w:color="auto" w:fill="FFFFFF"/>
          </w:tcPr>
          <w:p w14:paraId="0C1CA913" w14:textId="77777777" w:rsidR="009F618C" w:rsidRPr="006D4A2C" w:rsidRDefault="009F618C" w:rsidP="006D4A2C">
            <w:pPr>
              <w:jc w:val="center"/>
              <w:rPr>
                <w:rFonts w:cs="Arial"/>
                <w:b/>
                <w:color w:val="000000"/>
                <w:szCs w:val="22"/>
                <w:lang w:eastAsia="it-IT"/>
              </w:rPr>
            </w:pPr>
            <w:r w:rsidRPr="006D4A2C">
              <w:rPr>
                <w:rFonts w:cs="Arial"/>
                <w:b/>
                <w:color w:val="000000"/>
                <w:szCs w:val="22"/>
                <w:lang w:eastAsia="it-IT"/>
              </w:rPr>
              <w:t>3345,56</w:t>
            </w:r>
          </w:p>
        </w:tc>
        <w:tc>
          <w:tcPr>
            <w:tcW w:w="1416" w:type="dxa"/>
            <w:shd w:val="clear" w:color="auto" w:fill="auto"/>
          </w:tcPr>
          <w:p w14:paraId="428F0622" w14:textId="77777777" w:rsidR="009F618C" w:rsidRPr="006D4A2C" w:rsidRDefault="009F618C" w:rsidP="006D4A2C">
            <w:pPr>
              <w:jc w:val="center"/>
              <w:rPr>
                <w:rFonts w:cs="Arial"/>
                <w:b/>
                <w:color w:val="000000"/>
                <w:szCs w:val="22"/>
                <w:lang w:eastAsia="it-IT"/>
              </w:rPr>
            </w:pPr>
            <w:r w:rsidRPr="006D4A2C">
              <w:rPr>
                <w:rFonts w:cs="Arial"/>
                <w:b/>
                <w:color w:val="000000"/>
                <w:szCs w:val="22"/>
                <w:lang w:eastAsia="it-IT"/>
              </w:rPr>
              <w:t>1400,0</w:t>
            </w:r>
          </w:p>
        </w:tc>
        <w:tc>
          <w:tcPr>
            <w:tcW w:w="1275" w:type="dxa"/>
            <w:shd w:val="clear" w:color="auto" w:fill="FFFFFF"/>
          </w:tcPr>
          <w:p w14:paraId="03EB2417" w14:textId="77777777" w:rsidR="009F618C" w:rsidRPr="006D4A2C" w:rsidRDefault="009F618C" w:rsidP="006D4A2C">
            <w:pPr>
              <w:jc w:val="center"/>
              <w:rPr>
                <w:rFonts w:cs="Arial"/>
                <w:b/>
                <w:color w:val="000000"/>
                <w:szCs w:val="22"/>
                <w:lang w:eastAsia="it-IT"/>
              </w:rPr>
            </w:pPr>
          </w:p>
        </w:tc>
        <w:tc>
          <w:tcPr>
            <w:tcW w:w="1575" w:type="dxa"/>
            <w:shd w:val="clear" w:color="auto" w:fill="FFFFFF"/>
          </w:tcPr>
          <w:p w14:paraId="6ED442BF" w14:textId="77777777" w:rsidR="009F618C" w:rsidRPr="006D4A2C" w:rsidRDefault="009F618C" w:rsidP="006D4A2C">
            <w:pPr>
              <w:jc w:val="center"/>
              <w:rPr>
                <w:rFonts w:cs="Arial"/>
                <w:b/>
                <w:color w:val="000000"/>
                <w:szCs w:val="22"/>
                <w:lang w:eastAsia="it-IT"/>
              </w:rPr>
            </w:pPr>
            <w:r w:rsidRPr="006D4A2C">
              <w:rPr>
                <w:rFonts w:cs="Arial"/>
                <w:b/>
                <w:color w:val="000000"/>
                <w:szCs w:val="22"/>
                <w:lang w:eastAsia="it-IT"/>
              </w:rPr>
              <w:t>20051,96</w:t>
            </w:r>
          </w:p>
        </w:tc>
      </w:tr>
      <w:tr w:rsidR="006D4A2C" w:rsidRPr="006D4A2C" w14:paraId="1F06BF65" w14:textId="6345EBF3" w:rsidTr="00B451AE">
        <w:trPr>
          <w:trHeight w:val="276"/>
          <w:jc w:val="right"/>
        </w:trPr>
        <w:tc>
          <w:tcPr>
            <w:tcW w:w="3421" w:type="dxa"/>
            <w:shd w:val="clear" w:color="auto" w:fill="FFFFFF"/>
            <w:vAlign w:val="center"/>
          </w:tcPr>
          <w:p w14:paraId="1ACE6F2E" w14:textId="77777777" w:rsidR="006D4A2C" w:rsidRPr="006D4A2C" w:rsidRDefault="006D4A2C" w:rsidP="00FD75D9">
            <w:pPr>
              <w:rPr>
                <w:rFonts w:cs="Arial"/>
                <w:b/>
                <w:bCs/>
                <w:color w:val="000000"/>
                <w:szCs w:val="22"/>
              </w:rPr>
            </w:pPr>
            <w:r w:rsidRPr="006D4A2C">
              <w:rPr>
                <w:rFonts w:cs="Arial"/>
                <w:b/>
                <w:bCs/>
                <w:color w:val="000000"/>
                <w:szCs w:val="22"/>
              </w:rPr>
              <w:t>по джерелах фінансування:</w:t>
            </w:r>
          </w:p>
        </w:tc>
        <w:tc>
          <w:tcPr>
            <w:tcW w:w="1253" w:type="dxa"/>
          </w:tcPr>
          <w:p w14:paraId="7C8BECC2" w14:textId="77777777" w:rsidR="006D4A2C" w:rsidRPr="006D4A2C" w:rsidRDefault="006D4A2C" w:rsidP="006D4A2C">
            <w:pPr>
              <w:jc w:val="center"/>
              <w:rPr>
                <w:rFonts w:cs="Arial"/>
                <w:color w:val="000000"/>
                <w:szCs w:val="22"/>
                <w:lang w:eastAsia="it-IT"/>
              </w:rPr>
            </w:pPr>
          </w:p>
        </w:tc>
        <w:tc>
          <w:tcPr>
            <w:tcW w:w="1279" w:type="dxa"/>
          </w:tcPr>
          <w:p w14:paraId="727A2EEF" w14:textId="77777777" w:rsidR="006D4A2C" w:rsidRPr="006D4A2C" w:rsidRDefault="006D4A2C" w:rsidP="006D4A2C">
            <w:pPr>
              <w:jc w:val="center"/>
              <w:rPr>
                <w:rFonts w:cs="Arial"/>
                <w:color w:val="000000"/>
                <w:szCs w:val="22"/>
                <w:lang w:eastAsia="it-IT"/>
              </w:rPr>
            </w:pPr>
          </w:p>
        </w:tc>
        <w:tc>
          <w:tcPr>
            <w:tcW w:w="1416" w:type="dxa"/>
          </w:tcPr>
          <w:p w14:paraId="218A7849" w14:textId="77777777" w:rsidR="006D4A2C" w:rsidRPr="006D4A2C" w:rsidRDefault="006D4A2C" w:rsidP="006D4A2C">
            <w:pPr>
              <w:jc w:val="center"/>
              <w:rPr>
                <w:rFonts w:cs="Arial"/>
                <w:color w:val="000000"/>
                <w:szCs w:val="22"/>
                <w:lang w:eastAsia="it-IT"/>
              </w:rPr>
            </w:pPr>
          </w:p>
        </w:tc>
        <w:tc>
          <w:tcPr>
            <w:tcW w:w="2850" w:type="dxa"/>
            <w:gridSpan w:val="2"/>
          </w:tcPr>
          <w:p w14:paraId="0C79B567" w14:textId="77777777" w:rsidR="006D4A2C" w:rsidRPr="006D4A2C" w:rsidRDefault="006D4A2C" w:rsidP="006D4A2C">
            <w:pPr>
              <w:jc w:val="center"/>
              <w:rPr>
                <w:rFonts w:cs="Arial"/>
                <w:color w:val="000000"/>
                <w:szCs w:val="22"/>
                <w:lang w:eastAsia="it-IT"/>
              </w:rPr>
            </w:pPr>
          </w:p>
        </w:tc>
      </w:tr>
      <w:tr w:rsidR="006D4A2C" w:rsidRPr="006D4A2C" w14:paraId="11A7B587" w14:textId="1540B06E" w:rsidTr="00B451AE">
        <w:trPr>
          <w:trHeight w:val="240"/>
          <w:jc w:val="right"/>
        </w:trPr>
        <w:tc>
          <w:tcPr>
            <w:tcW w:w="3421" w:type="dxa"/>
            <w:shd w:val="clear" w:color="auto" w:fill="FFFFFF"/>
            <w:vAlign w:val="center"/>
          </w:tcPr>
          <w:p w14:paraId="60E95557" w14:textId="77777777" w:rsidR="006D4A2C" w:rsidRPr="006D4A2C" w:rsidRDefault="006D4A2C" w:rsidP="00FD75D9">
            <w:pPr>
              <w:rPr>
                <w:rFonts w:cs="Arial"/>
                <w:b/>
                <w:bCs/>
                <w:color w:val="000000"/>
                <w:szCs w:val="22"/>
              </w:rPr>
            </w:pPr>
            <w:r w:rsidRPr="006D4A2C">
              <w:rPr>
                <w:rFonts w:cs="Arial"/>
                <w:color w:val="000000"/>
                <w:szCs w:val="22"/>
              </w:rPr>
              <w:t>- державний бюджет</w:t>
            </w:r>
          </w:p>
        </w:tc>
        <w:tc>
          <w:tcPr>
            <w:tcW w:w="1253" w:type="dxa"/>
          </w:tcPr>
          <w:p w14:paraId="727BC7AA" w14:textId="5FA6494C" w:rsidR="006D4A2C" w:rsidRPr="006D4A2C" w:rsidRDefault="006D4A2C" w:rsidP="006D4A2C">
            <w:pPr>
              <w:jc w:val="center"/>
              <w:rPr>
                <w:rFonts w:cs="Arial"/>
                <w:color w:val="000000"/>
                <w:szCs w:val="22"/>
                <w:lang w:eastAsia="it-IT"/>
              </w:rPr>
            </w:pPr>
          </w:p>
        </w:tc>
        <w:tc>
          <w:tcPr>
            <w:tcW w:w="1279" w:type="dxa"/>
          </w:tcPr>
          <w:p w14:paraId="3917952F" w14:textId="77777777" w:rsidR="006D4A2C" w:rsidRPr="006D4A2C" w:rsidRDefault="006D4A2C" w:rsidP="006D4A2C">
            <w:pPr>
              <w:jc w:val="center"/>
              <w:rPr>
                <w:rFonts w:cs="Arial"/>
                <w:color w:val="000000"/>
                <w:szCs w:val="22"/>
                <w:lang w:eastAsia="it-IT"/>
              </w:rPr>
            </w:pPr>
          </w:p>
        </w:tc>
        <w:tc>
          <w:tcPr>
            <w:tcW w:w="1416" w:type="dxa"/>
          </w:tcPr>
          <w:p w14:paraId="22F247EC" w14:textId="77777777" w:rsidR="006D4A2C" w:rsidRPr="006D4A2C" w:rsidRDefault="006D4A2C" w:rsidP="006D4A2C">
            <w:pPr>
              <w:jc w:val="center"/>
              <w:rPr>
                <w:rFonts w:cs="Arial"/>
                <w:color w:val="000000"/>
                <w:szCs w:val="22"/>
                <w:lang w:eastAsia="it-IT"/>
              </w:rPr>
            </w:pPr>
          </w:p>
        </w:tc>
        <w:tc>
          <w:tcPr>
            <w:tcW w:w="2850" w:type="dxa"/>
            <w:gridSpan w:val="2"/>
          </w:tcPr>
          <w:p w14:paraId="6DBD2FEB" w14:textId="77777777" w:rsidR="006D4A2C" w:rsidRPr="006D4A2C" w:rsidRDefault="006D4A2C" w:rsidP="006D4A2C">
            <w:pPr>
              <w:jc w:val="center"/>
              <w:rPr>
                <w:rFonts w:cs="Arial"/>
                <w:color w:val="000000"/>
                <w:szCs w:val="22"/>
                <w:lang w:eastAsia="it-IT"/>
              </w:rPr>
            </w:pPr>
          </w:p>
        </w:tc>
      </w:tr>
      <w:tr w:rsidR="006D4A2C" w:rsidRPr="006D4A2C" w14:paraId="65F42486" w14:textId="30B31A64" w:rsidTr="00B451AE">
        <w:trPr>
          <w:trHeight w:val="254"/>
          <w:jc w:val="right"/>
        </w:trPr>
        <w:tc>
          <w:tcPr>
            <w:tcW w:w="3421" w:type="dxa"/>
            <w:shd w:val="clear" w:color="auto" w:fill="FFFFFF"/>
            <w:vAlign w:val="center"/>
          </w:tcPr>
          <w:p w14:paraId="69EBBDC1" w14:textId="77777777" w:rsidR="006D4A2C" w:rsidRPr="006D4A2C" w:rsidRDefault="006D4A2C" w:rsidP="00FD75D9">
            <w:pPr>
              <w:rPr>
                <w:rFonts w:cs="Arial"/>
                <w:color w:val="000000"/>
                <w:szCs w:val="22"/>
              </w:rPr>
            </w:pPr>
            <w:r w:rsidRPr="006D4A2C">
              <w:rPr>
                <w:rFonts w:cs="Arial"/>
                <w:color w:val="000000"/>
                <w:szCs w:val="22"/>
              </w:rPr>
              <w:t>- обласний бюджет</w:t>
            </w:r>
          </w:p>
        </w:tc>
        <w:tc>
          <w:tcPr>
            <w:tcW w:w="1253" w:type="dxa"/>
          </w:tcPr>
          <w:p w14:paraId="13DB7A6B" w14:textId="77777777" w:rsidR="006D4A2C" w:rsidRPr="006D4A2C" w:rsidRDefault="006D4A2C" w:rsidP="006D4A2C">
            <w:pPr>
              <w:jc w:val="center"/>
              <w:rPr>
                <w:rFonts w:cs="Arial"/>
                <w:color w:val="000000"/>
                <w:szCs w:val="22"/>
                <w:lang w:eastAsia="it-IT"/>
              </w:rPr>
            </w:pPr>
          </w:p>
        </w:tc>
        <w:tc>
          <w:tcPr>
            <w:tcW w:w="1279" w:type="dxa"/>
          </w:tcPr>
          <w:p w14:paraId="0F5C3408" w14:textId="77777777" w:rsidR="006D4A2C" w:rsidRPr="006D4A2C" w:rsidRDefault="006D4A2C" w:rsidP="006D4A2C">
            <w:pPr>
              <w:jc w:val="center"/>
              <w:rPr>
                <w:rFonts w:cs="Arial"/>
                <w:color w:val="000000"/>
                <w:szCs w:val="22"/>
                <w:lang w:eastAsia="it-IT"/>
              </w:rPr>
            </w:pPr>
          </w:p>
        </w:tc>
        <w:tc>
          <w:tcPr>
            <w:tcW w:w="1416" w:type="dxa"/>
          </w:tcPr>
          <w:p w14:paraId="4A749287" w14:textId="77777777" w:rsidR="006D4A2C" w:rsidRPr="006D4A2C" w:rsidRDefault="006D4A2C" w:rsidP="006D4A2C">
            <w:pPr>
              <w:jc w:val="center"/>
              <w:rPr>
                <w:rFonts w:cs="Arial"/>
                <w:color w:val="000000"/>
                <w:szCs w:val="22"/>
                <w:lang w:eastAsia="it-IT"/>
              </w:rPr>
            </w:pPr>
          </w:p>
        </w:tc>
        <w:tc>
          <w:tcPr>
            <w:tcW w:w="2850" w:type="dxa"/>
            <w:gridSpan w:val="2"/>
          </w:tcPr>
          <w:p w14:paraId="620845FE" w14:textId="77777777" w:rsidR="006D4A2C" w:rsidRPr="006D4A2C" w:rsidRDefault="006D4A2C" w:rsidP="006D4A2C">
            <w:pPr>
              <w:jc w:val="center"/>
              <w:rPr>
                <w:rFonts w:cs="Arial"/>
                <w:color w:val="000000"/>
                <w:szCs w:val="22"/>
                <w:lang w:eastAsia="it-IT"/>
              </w:rPr>
            </w:pPr>
          </w:p>
        </w:tc>
      </w:tr>
      <w:tr w:rsidR="006D4A2C" w:rsidRPr="006D4A2C" w14:paraId="4EBEC75B" w14:textId="24948419" w:rsidTr="00B451AE">
        <w:trPr>
          <w:trHeight w:val="275"/>
          <w:jc w:val="right"/>
        </w:trPr>
        <w:tc>
          <w:tcPr>
            <w:tcW w:w="3421" w:type="dxa"/>
            <w:shd w:val="clear" w:color="auto" w:fill="FFFFFF"/>
            <w:vAlign w:val="center"/>
          </w:tcPr>
          <w:p w14:paraId="622A17B9" w14:textId="77777777" w:rsidR="006D4A2C" w:rsidRPr="006D4A2C" w:rsidRDefault="006D4A2C" w:rsidP="00FD75D9">
            <w:pPr>
              <w:rPr>
                <w:rFonts w:cs="Arial"/>
                <w:color w:val="000000"/>
                <w:szCs w:val="22"/>
              </w:rPr>
            </w:pPr>
            <w:r w:rsidRPr="006D4A2C">
              <w:rPr>
                <w:rFonts w:cs="Arial"/>
                <w:color w:val="000000"/>
                <w:szCs w:val="22"/>
              </w:rPr>
              <w:t>- бюджет Жмеринської МТГ</w:t>
            </w:r>
          </w:p>
        </w:tc>
        <w:tc>
          <w:tcPr>
            <w:tcW w:w="1253" w:type="dxa"/>
          </w:tcPr>
          <w:p w14:paraId="03DCF565" w14:textId="52B710EC" w:rsidR="006D4A2C" w:rsidRPr="006D4A2C" w:rsidRDefault="006D4A2C" w:rsidP="006D4A2C">
            <w:pPr>
              <w:jc w:val="center"/>
              <w:rPr>
                <w:rFonts w:cs="Arial"/>
                <w:color w:val="000000"/>
                <w:szCs w:val="22"/>
                <w:lang w:eastAsia="it-IT"/>
              </w:rPr>
            </w:pPr>
            <w:r w:rsidRPr="006D4A2C">
              <w:rPr>
                <w:rFonts w:cs="Arial"/>
                <w:color w:val="000000"/>
                <w:szCs w:val="22"/>
                <w:lang w:eastAsia="it-IT"/>
              </w:rPr>
              <w:t>14606,4</w:t>
            </w:r>
          </w:p>
        </w:tc>
        <w:tc>
          <w:tcPr>
            <w:tcW w:w="1279" w:type="dxa"/>
          </w:tcPr>
          <w:p w14:paraId="59EB877D" w14:textId="7526206E" w:rsidR="006D4A2C" w:rsidRPr="006D4A2C" w:rsidRDefault="006D4A2C" w:rsidP="006D4A2C">
            <w:pPr>
              <w:jc w:val="center"/>
              <w:rPr>
                <w:rFonts w:cs="Arial"/>
                <w:color w:val="000000"/>
                <w:szCs w:val="22"/>
                <w:lang w:eastAsia="it-IT"/>
              </w:rPr>
            </w:pPr>
            <w:r w:rsidRPr="006D4A2C">
              <w:rPr>
                <w:rFonts w:cs="Arial"/>
                <w:color w:val="000000"/>
                <w:szCs w:val="22"/>
                <w:lang w:eastAsia="it-IT"/>
              </w:rPr>
              <w:t>2645,56</w:t>
            </w:r>
          </w:p>
        </w:tc>
        <w:tc>
          <w:tcPr>
            <w:tcW w:w="1416" w:type="dxa"/>
          </w:tcPr>
          <w:p w14:paraId="2A601D38" w14:textId="77777777" w:rsidR="006D4A2C" w:rsidRPr="006D4A2C" w:rsidRDefault="006D4A2C" w:rsidP="006D4A2C">
            <w:pPr>
              <w:jc w:val="center"/>
              <w:rPr>
                <w:rFonts w:cs="Arial"/>
                <w:color w:val="000000"/>
                <w:szCs w:val="22"/>
                <w:lang w:eastAsia="it-IT"/>
              </w:rPr>
            </w:pPr>
          </w:p>
        </w:tc>
        <w:tc>
          <w:tcPr>
            <w:tcW w:w="2850" w:type="dxa"/>
            <w:gridSpan w:val="2"/>
          </w:tcPr>
          <w:p w14:paraId="709C789D" w14:textId="77777777" w:rsidR="006D4A2C" w:rsidRPr="006D4A2C" w:rsidRDefault="006D4A2C" w:rsidP="006D4A2C">
            <w:pPr>
              <w:jc w:val="center"/>
              <w:rPr>
                <w:rFonts w:cs="Arial"/>
                <w:color w:val="000000"/>
                <w:szCs w:val="22"/>
                <w:lang w:eastAsia="it-IT"/>
              </w:rPr>
            </w:pPr>
          </w:p>
        </w:tc>
      </w:tr>
      <w:tr w:rsidR="006D4A2C" w:rsidRPr="006D4A2C" w14:paraId="1C8BECA9" w14:textId="23A3F97F" w:rsidTr="00B451AE">
        <w:trPr>
          <w:trHeight w:val="226"/>
          <w:jc w:val="right"/>
        </w:trPr>
        <w:tc>
          <w:tcPr>
            <w:tcW w:w="3421" w:type="dxa"/>
            <w:shd w:val="clear" w:color="auto" w:fill="FFFFFF"/>
            <w:vAlign w:val="center"/>
          </w:tcPr>
          <w:p w14:paraId="07F2D996" w14:textId="77777777" w:rsidR="006D4A2C" w:rsidRPr="006D4A2C" w:rsidRDefault="006D4A2C" w:rsidP="00FD75D9">
            <w:pPr>
              <w:rPr>
                <w:rFonts w:cs="Arial"/>
                <w:color w:val="000000"/>
                <w:szCs w:val="22"/>
              </w:rPr>
            </w:pPr>
            <w:r w:rsidRPr="006D4A2C">
              <w:rPr>
                <w:rFonts w:cs="Arial"/>
                <w:color w:val="000000"/>
                <w:szCs w:val="22"/>
              </w:rPr>
              <w:t>- інші джерела фінансування</w:t>
            </w:r>
          </w:p>
        </w:tc>
        <w:tc>
          <w:tcPr>
            <w:tcW w:w="1253" w:type="dxa"/>
          </w:tcPr>
          <w:p w14:paraId="0A91F5B6" w14:textId="55AFF522" w:rsidR="006D4A2C" w:rsidRPr="006D4A2C" w:rsidRDefault="006D4A2C" w:rsidP="006D4A2C">
            <w:pPr>
              <w:jc w:val="center"/>
              <w:rPr>
                <w:rFonts w:cs="Arial"/>
                <w:color w:val="000000"/>
                <w:szCs w:val="22"/>
                <w:lang w:eastAsia="it-IT"/>
              </w:rPr>
            </w:pPr>
            <w:r w:rsidRPr="006D4A2C">
              <w:rPr>
                <w:rFonts w:cs="Arial"/>
                <w:color w:val="000000"/>
                <w:szCs w:val="22"/>
                <w:lang w:eastAsia="it-IT"/>
              </w:rPr>
              <w:t>700,0</w:t>
            </w:r>
          </w:p>
        </w:tc>
        <w:tc>
          <w:tcPr>
            <w:tcW w:w="1279" w:type="dxa"/>
          </w:tcPr>
          <w:p w14:paraId="21CEBC8E" w14:textId="77E46BF4" w:rsidR="006D4A2C" w:rsidRPr="006D4A2C" w:rsidRDefault="006D4A2C" w:rsidP="006D4A2C">
            <w:pPr>
              <w:jc w:val="center"/>
              <w:rPr>
                <w:rFonts w:cs="Arial"/>
                <w:color w:val="000000"/>
                <w:szCs w:val="22"/>
                <w:lang w:eastAsia="it-IT"/>
              </w:rPr>
            </w:pPr>
            <w:r w:rsidRPr="006D4A2C">
              <w:rPr>
                <w:rFonts w:cs="Arial"/>
                <w:color w:val="000000"/>
                <w:szCs w:val="22"/>
                <w:lang w:eastAsia="it-IT"/>
              </w:rPr>
              <w:t>700,0</w:t>
            </w:r>
          </w:p>
        </w:tc>
        <w:tc>
          <w:tcPr>
            <w:tcW w:w="1416" w:type="dxa"/>
          </w:tcPr>
          <w:p w14:paraId="35188149" w14:textId="53657FCB" w:rsidR="006D4A2C" w:rsidRPr="006D4A2C" w:rsidRDefault="006D4A2C" w:rsidP="006D4A2C">
            <w:pPr>
              <w:jc w:val="center"/>
              <w:rPr>
                <w:rFonts w:cs="Arial"/>
                <w:color w:val="000000"/>
                <w:szCs w:val="22"/>
                <w:lang w:eastAsia="it-IT"/>
              </w:rPr>
            </w:pPr>
            <w:r w:rsidRPr="006D4A2C">
              <w:rPr>
                <w:rFonts w:cs="Arial"/>
                <w:color w:val="000000"/>
                <w:szCs w:val="22"/>
                <w:lang w:eastAsia="it-IT"/>
              </w:rPr>
              <w:t>1400,0</w:t>
            </w:r>
          </w:p>
        </w:tc>
        <w:tc>
          <w:tcPr>
            <w:tcW w:w="2850" w:type="dxa"/>
            <w:gridSpan w:val="2"/>
          </w:tcPr>
          <w:p w14:paraId="64A74BF6" w14:textId="77777777" w:rsidR="006D4A2C" w:rsidRPr="006D4A2C" w:rsidRDefault="006D4A2C" w:rsidP="006D4A2C">
            <w:pPr>
              <w:jc w:val="center"/>
              <w:rPr>
                <w:rFonts w:cs="Arial"/>
                <w:color w:val="000000"/>
                <w:szCs w:val="22"/>
                <w:lang w:eastAsia="it-IT"/>
              </w:rPr>
            </w:pPr>
          </w:p>
        </w:tc>
      </w:tr>
      <w:tr w:rsidR="009F618C" w:rsidRPr="006D4A2C" w14:paraId="14FE645D" w14:textId="77777777" w:rsidTr="00B451AE">
        <w:trPr>
          <w:jc w:val="right"/>
        </w:trPr>
        <w:tc>
          <w:tcPr>
            <w:tcW w:w="3421" w:type="dxa"/>
            <w:shd w:val="clear" w:color="auto" w:fill="FFFFFF"/>
            <w:vAlign w:val="center"/>
          </w:tcPr>
          <w:p w14:paraId="3F02C2F2" w14:textId="77777777" w:rsidR="009F618C" w:rsidRPr="006D4A2C" w:rsidRDefault="009F618C" w:rsidP="00FD75D9">
            <w:pPr>
              <w:rPr>
                <w:rFonts w:cs="Arial"/>
                <w:b/>
                <w:bCs/>
                <w:color w:val="000000"/>
                <w:szCs w:val="22"/>
              </w:rPr>
            </w:pPr>
            <w:r w:rsidRPr="006D4A2C">
              <w:rPr>
                <w:rFonts w:cs="Arial"/>
                <w:b/>
                <w:color w:val="000000"/>
                <w:szCs w:val="22"/>
              </w:rPr>
              <w:t>Відповідальний виконавець проєкту:</w:t>
            </w:r>
          </w:p>
        </w:tc>
        <w:tc>
          <w:tcPr>
            <w:tcW w:w="6798" w:type="dxa"/>
            <w:gridSpan w:val="5"/>
            <w:vAlign w:val="center"/>
          </w:tcPr>
          <w:p w14:paraId="67FDF720" w14:textId="1FF8C91D" w:rsidR="009F618C" w:rsidRPr="006D4A2C" w:rsidRDefault="009F618C" w:rsidP="006D4A2C">
            <w:pPr>
              <w:jc w:val="both"/>
              <w:rPr>
                <w:rFonts w:cs="Arial"/>
                <w:color w:val="000000"/>
                <w:szCs w:val="22"/>
                <w:lang w:eastAsia="it-IT"/>
              </w:rPr>
            </w:pPr>
            <w:r w:rsidRPr="006D4A2C">
              <w:rPr>
                <w:rFonts w:cs="Arial"/>
                <w:color w:val="000000"/>
                <w:szCs w:val="22"/>
                <w:lang w:eastAsia="it-IT"/>
              </w:rPr>
              <w:t>Управління містобудування та архітектури виконавчого комітету Жмеринської міської ради</w:t>
            </w:r>
          </w:p>
        </w:tc>
      </w:tr>
      <w:tr w:rsidR="009F618C" w:rsidRPr="006D4A2C" w14:paraId="67DF8FE8" w14:textId="77777777" w:rsidTr="00B451AE">
        <w:trPr>
          <w:jc w:val="right"/>
        </w:trPr>
        <w:tc>
          <w:tcPr>
            <w:tcW w:w="3421" w:type="dxa"/>
            <w:shd w:val="clear" w:color="auto" w:fill="FFFFFF"/>
            <w:vAlign w:val="center"/>
          </w:tcPr>
          <w:p w14:paraId="7E5D002D" w14:textId="77777777" w:rsidR="009F618C" w:rsidRPr="006D4A2C" w:rsidRDefault="009F618C" w:rsidP="00FD75D9">
            <w:pPr>
              <w:rPr>
                <w:rFonts w:cs="Arial"/>
                <w:b/>
                <w:bCs/>
                <w:color w:val="000000"/>
                <w:szCs w:val="22"/>
              </w:rPr>
            </w:pPr>
            <w:r w:rsidRPr="006D4A2C">
              <w:rPr>
                <w:rFonts w:cs="Arial"/>
                <w:b/>
                <w:bCs/>
                <w:color w:val="000000"/>
                <w:szCs w:val="22"/>
              </w:rPr>
              <w:t>Інше:</w:t>
            </w:r>
          </w:p>
        </w:tc>
        <w:tc>
          <w:tcPr>
            <w:tcW w:w="6798" w:type="dxa"/>
            <w:gridSpan w:val="5"/>
            <w:vAlign w:val="center"/>
          </w:tcPr>
          <w:p w14:paraId="3C17608B" w14:textId="77777777" w:rsidR="009F618C" w:rsidRPr="006D4A2C" w:rsidRDefault="009F618C" w:rsidP="00FD75D9">
            <w:pPr>
              <w:rPr>
                <w:rFonts w:cs="Arial"/>
                <w:color w:val="000000"/>
                <w:szCs w:val="22"/>
                <w:lang w:eastAsia="it-IT"/>
              </w:rPr>
            </w:pPr>
          </w:p>
        </w:tc>
      </w:tr>
    </w:tbl>
    <w:p w14:paraId="06A0A834" w14:textId="77777777" w:rsidR="009F618C" w:rsidRPr="00C2587D" w:rsidRDefault="009F618C" w:rsidP="009F618C"/>
    <w:p w14:paraId="3020B929" w14:textId="77777777" w:rsidR="00E9247F" w:rsidRPr="00C2587D" w:rsidRDefault="00E9247F" w:rsidP="003356A1">
      <w:pPr>
        <w:rPr>
          <w:rFonts w:cs="Arial"/>
          <w:b/>
          <w:sz w:val="20"/>
          <w:szCs w:val="20"/>
        </w:rPr>
      </w:pPr>
    </w:p>
    <w:p w14:paraId="5CBCCEFD" w14:textId="58AFBF04" w:rsidR="009F618C" w:rsidRPr="00C2587D" w:rsidRDefault="009F618C" w:rsidP="009F618C">
      <w:pPr>
        <w:jc w:val="center"/>
        <w:rPr>
          <w:rFonts w:cs="Arial"/>
          <w:b/>
          <w:color w:val="000000"/>
          <w:szCs w:val="22"/>
        </w:rPr>
      </w:pPr>
      <w:r w:rsidRPr="00C2587D">
        <w:rPr>
          <w:rFonts w:cs="Arial"/>
          <w:b/>
          <w:color w:val="000000"/>
          <w:szCs w:val="22"/>
        </w:rPr>
        <w:t>Ф</w:t>
      </w:r>
      <w:r w:rsidR="0092424D">
        <w:rPr>
          <w:rFonts w:cs="Arial"/>
          <w:b/>
          <w:color w:val="000000"/>
          <w:szCs w:val="22"/>
        </w:rPr>
        <w:t>орма технічного завдання на проє</w:t>
      </w:r>
      <w:r w:rsidRPr="00C2587D">
        <w:rPr>
          <w:rFonts w:cs="Arial"/>
          <w:b/>
          <w:color w:val="000000"/>
          <w:szCs w:val="22"/>
        </w:rPr>
        <w:t xml:space="preserve">кт місцевого розвитку </w:t>
      </w:r>
    </w:p>
    <w:p w14:paraId="525DB4DF" w14:textId="77777777" w:rsidR="009F618C" w:rsidRPr="00C2587D" w:rsidRDefault="009F618C" w:rsidP="009F618C">
      <w:pPr>
        <w:jc w:val="center"/>
        <w:rPr>
          <w:rFonts w:cs="Arial"/>
          <w:b/>
          <w:color w:val="000000"/>
          <w:szCs w:val="22"/>
        </w:rPr>
      </w:pPr>
      <w:r w:rsidRPr="00C2587D">
        <w:rPr>
          <w:rFonts w:cs="Arial"/>
          <w:b/>
          <w:color w:val="000000"/>
          <w:szCs w:val="22"/>
        </w:rPr>
        <w:t>до Плану заходів з реалізації Стратегії</w:t>
      </w:r>
    </w:p>
    <w:p w14:paraId="6FF0BD9A" w14:textId="77777777" w:rsidR="009F618C" w:rsidRPr="00C2587D" w:rsidRDefault="009F618C" w:rsidP="009F618C">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6"/>
        <w:gridCol w:w="1411"/>
        <w:gridCol w:w="1418"/>
        <w:gridCol w:w="36"/>
        <w:gridCol w:w="1239"/>
        <w:gridCol w:w="6"/>
        <w:gridCol w:w="1424"/>
      </w:tblGrid>
      <w:tr w:rsidR="009F618C" w:rsidRPr="00C2587D" w14:paraId="7F0E7FE4" w14:textId="77777777" w:rsidTr="00FD75D9">
        <w:trPr>
          <w:jc w:val="right"/>
        </w:trPr>
        <w:tc>
          <w:tcPr>
            <w:tcW w:w="3425" w:type="dxa"/>
            <w:vAlign w:val="center"/>
          </w:tcPr>
          <w:p w14:paraId="01A6C10C" w14:textId="1B29BFB5" w:rsidR="009F618C" w:rsidRPr="00C2587D" w:rsidRDefault="009F618C" w:rsidP="00FD75D9">
            <w:pPr>
              <w:rPr>
                <w:b/>
              </w:rPr>
            </w:pPr>
            <w:r w:rsidRPr="00C2587D">
              <w:rPr>
                <w:b/>
              </w:rPr>
              <w:t xml:space="preserve">Назва </w:t>
            </w:r>
            <w:r w:rsidR="00314B9D">
              <w:rPr>
                <w:b/>
              </w:rPr>
              <w:t>проєкту</w:t>
            </w:r>
            <w:r w:rsidRPr="00C2587D">
              <w:rPr>
                <w:b/>
              </w:rPr>
              <w:t>:</w:t>
            </w:r>
          </w:p>
        </w:tc>
        <w:tc>
          <w:tcPr>
            <w:tcW w:w="6794" w:type="dxa"/>
            <w:gridSpan w:val="8"/>
            <w:vAlign w:val="center"/>
          </w:tcPr>
          <w:p w14:paraId="7548A5D3" w14:textId="77777777" w:rsidR="009F618C" w:rsidRPr="00C2587D" w:rsidRDefault="009F618C" w:rsidP="00FD75D9">
            <w:pPr>
              <w:jc w:val="both"/>
              <w:rPr>
                <w:b/>
              </w:rPr>
            </w:pPr>
            <w:r w:rsidRPr="00C2587D">
              <w:rPr>
                <w:b/>
              </w:rPr>
              <w:t>Створення індустріальних парків</w:t>
            </w:r>
          </w:p>
        </w:tc>
      </w:tr>
      <w:tr w:rsidR="009F618C" w:rsidRPr="00C2587D" w14:paraId="0E545504" w14:textId="77777777" w:rsidTr="00FD75D9">
        <w:trPr>
          <w:jc w:val="right"/>
        </w:trPr>
        <w:tc>
          <w:tcPr>
            <w:tcW w:w="3425" w:type="dxa"/>
          </w:tcPr>
          <w:p w14:paraId="6A4D5D50" w14:textId="77777777" w:rsidR="009F618C" w:rsidRPr="00C2587D" w:rsidRDefault="009F618C" w:rsidP="00FD75D9">
            <w:pPr>
              <w:spacing w:before="40" w:after="40"/>
              <w:rPr>
                <w:lang w:eastAsia="it-IT"/>
              </w:rPr>
            </w:pPr>
            <w:r w:rsidRPr="00C2587D">
              <w:rPr>
                <w:b/>
                <w:bCs/>
              </w:rPr>
              <w:t>Ваші контакти</w:t>
            </w:r>
            <w:r w:rsidRPr="00C2587D">
              <w:rPr>
                <w:lang w:eastAsia="it-IT"/>
              </w:rPr>
              <w:t>:</w:t>
            </w:r>
          </w:p>
          <w:p w14:paraId="3501C046" w14:textId="77777777" w:rsidR="009F618C" w:rsidRPr="00C2587D" w:rsidRDefault="009F618C" w:rsidP="00FD75D9">
            <w:pPr>
              <w:spacing w:before="40" w:after="40"/>
              <w:rPr>
                <w:b/>
                <w:bCs/>
              </w:rPr>
            </w:pPr>
            <w:r w:rsidRPr="00C2587D">
              <w:rPr>
                <w:lang w:eastAsia="it-IT"/>
              </w:rPr>
              <w:t>Назва установи, організації, підприємства</w:t>
            </w:r>
          </w:p>
        </w:tc>
        <w:tc>
          <w:tcPr>
            <w:tcW w:w="6794" w:type="dxa"/>
            <w:gridSpan w:val="8"/>
            <w:vAlign w:val="center"/>
          </w:tcPr>
          <w:p w14:paraId="1F39FAB9" w14:textId="77777777" w:rsidR="009F618C" w:rsidRPr="00C2587D" w:rsidRDefault="009F618C" w:rsidP="00FD75D9">
            <w:pPr>
              <w:spacing w:before="40" w:after="40"/>
              <w:jc w:val="both"/>
              <w:rPr>
                <w:lang w:eastAsia="it-IT"/>
              </w:rPr>
            </w:pPr>
            <w:r w:rsidRPr="00C2587D">
              <w:rPr>
                <w:lang w:eastAsia="it-IT"/>
              </w:rPr>
              <w:t>Управління економіки та розвитку інфраструктури виконавчого комітету  Жмеринської міської ради</w:t>
            </w:r>
          </w:p>
        </w:tc>
      </w:tr>
      <w:tr w:rsidR="009F618C" w:rsidRPr="00C2587D" w14:paraId="23DD8972" w14:textId="77777777" w:rsidTr="00FD75D9">
        <w:trPr>
          <w:jc w:val="right"/>
        </w:trPr>
        <w:tc>
          <w:tcPr>
            <w:tcW w:w="3425" w:type="dxa"/>
          </w:tcPr>
          <w:p w14:paraId="544E2AB5" w14:textId="77777777" w:rsidR="009F618C" w:rsidRPr="00C2587D" w:rsidRDefault="009F618C" w:rsidP="00FD75D9">
            <w:pPr>
              <w:spacing w:before="40" w:after="40"/>
              <w:rPr>
                <w:b/>
                <w:bCs/>
              </w:rPr>
            </w:pPr>
            <w:r w:rsidRPr="00C2587D">
              <w:rPr>
                <w:lang w:eastAsia="it-IT"/>
              </w:rPr>
              <w:t>Прізвище Ім’я По-батькові:</w:t>
            </w:r>
          </w:p>
        </w:tc>
        <w:tc>
          <w:tcPr>
            <w:tcW w:w="6794" w:type="dxa"/>
            <w:gridSpan w:val="8"/>
            <w:vAlign w:val="center"/>
          </w:tcPr>
          <w:p w14:paraId="55C93AB1" w14:textId="77777777" w:rsidR="009F618C" w:rsidRPr="00C2587D" w:rsidRDefault="009F618C" w:rsidP="00FD75D9">
            <w:pPr>
              <w:spacing w:before="40" w:after="40"/>
              <w:rPr>
                <w:lang w:eastAsia="it-IT"/>
              </w:rPr>
            </w:pPr>
            <w:r w:rsidRPr="00C2587D">
              <w:rPr>
                <w:lang w:eastAsia="it-IT"/>
              </w:rPr>
              <w:t>Коновал Анатолій Романович</w:t>
            </w:r>
          </w:p>
        </w:tc>
      </w:tr>
      <w:tr w:rsidR="009F618C" w:rsidRPr="00C2587D" w14:paraId="500E055D" w14:textId="77777777" w:rsidTr="00FD75D9">
        <w:trPr>
          <w:jc w:val="right"/>
        </w:trPr>
        <w:tc>
          <w:tcPr>
            <w:tcW w:w="3425" w:type="dxa"/>
          </w:tcPr>
          <w:p w14:paraId="04EE9889" w14:textId="77777777" w:rsidR="009F618C" w:rsidRPr="00C2587D" w:rsidRDefault="009F618C" w:rsidP="00FD75D9">
            <w:pPr>
              <w:spacing w:before="40" w:after="40"/>
              <w:rPr>
                <w:b/>
                <w:bCs/>
              </w:rPr>
            </w:pPr>
            <w:r w:rsidRPr="00C2587D">
              <w:rPr>
                <w:lang w:eastAsia="it-IT"/>
              </w:rPr>
              <w:t>Телефон (мобільний):</w:t>
            </w:r>
          </w:p>
        </w:tc>
        <w:tc>
          <w:tcPr>
            <w:tcW w:w="6794" w:type="dxa"/>
            <w:gridSpan w:val="8"/>
            <w:vAlign w:val="center"/>
          </w:tcPr>
          <w:p w14:paraId="505E6323" w14:textId="77777777" w:rsidR="009F618C" w:rsidRPr="00C2587D" w:rsidRDefault="009F618C" w:rsidP="00FD75D9">
            <w:pPr>
              <w:spacing w:before="40" w:after="40"/>
              <w:rPr>
                <w:lang w:eastAsia="it-IT"/>
              </w:rPr>
            </w:pPr>
            <w:r w:rsidRPr="00C2587D">
              <w:rPr>
                <w:lang w:eastAsia="it-IT"/>
              </w:rPr>
              <w:t>0674300414</w:t>
            </w:r>
          </w:p>
        </w:tc>
      </w:tr>
      <w:tr w:rsidR="009F618C" w:rsidRPr="00C2587D" w14:paraId="1C19DDCD" w14:textId="77777777" w:rsidTr="00FD75D9">
        <w:trPr>
          <w:jc w:val="right"/>
        </w:trPr>
        <w:tc>
          <w:tcPr>
            <w:tcW w:w="3425" w:type="dxa"/>
          </w:tcPr>
          <w:p w14:paraId="44F09DD9" w14:textId="77777777" w:rsidR="009F618C" w:rsidRPr="00C2587D" w:rsidRDefault="009F618C" w:rsidP="00FD75D9">
            <w:pPr>
              <w:spacing w:before="40" w:after="40"/>
              <w:rPr>
                <w:b/>
                <w:bCs/>
              </w:rPr>
            </w:pPr>
            <w:r w:rsidRPr="00C2587D">
              <w:rPr>
                <w:lang w:eastAsia="it-IT"/>
              </w:rPr>
              <w:t>Електронна адреса:</w:t>
            </w:r>
          </w:p>
        </w:tc>
        <w:tc>
          <w:tcPr>
            <w:tcW w:w="6794" w:type="dxa"/>
            <w:gridSpan w:val="8"/>
            <w:vAlign w:val="center"/>
          </w:tcPr>
          <w:p w14:paraId="5DE4583C" w14:textId="213D348B" w:rsidR="009F618C" w:rsidRPr="00C2587D" w:rsidRDefault="00D85FFD" w:rsidP="00FD75D9">
            <w:pPr>
              <w:spacing w:before="40" w:after="40"/>
              <w:rPr>
                <w:lang w:eastAsia="it-IT"/>
              </w:rPr>
            </w:pPr>
            <w:hyperlink r:id="rId38" w:history="1">
              <w:r w:rsidR="006D4A2C" w:rsidRPr="006D4A2C">
                <w:rPr>
                  <w:rStyle w:val="af0"/>
                  <w:noProof w:val="0"/>
                  <w:szCs w:val="24"/>
                  <w:lang w:eastAsia="it-IT"/>
                </w:rPr>
                <w:t>econ@zhmr.gov.ua</w:t>
              </w:r>
            </w:hyperlink>
            <w:r w:rsidR="006D4A2C" w:rsidRPr="006D4A2C">
              <w:rPr>
                <w:sz w:val="20"/>
                <w:lang w:eastAsia="it-IT"/>
              </w:rPr>
              <w:t xml:space="preserve">  </w:t>
            </w:r>
          </w:p>
        </w:tc>
      </w:tr>
      <w:tr w:rsidR="009F618C" w:rsidRPr="00C2587D" w14:paraId="66906896" w14:textId="77777777" w:rsidTr="00FD75D9">
        <w:trPr>
          <w:jc w:val="right"/>
        </w:trPr>
        <w:tc>
          <w:tcPr>
            <w:tcW w:w="3425" w:type="dxa"/>
            <w:vAlign w:val="center"/>
          </w:tcPr>
          <w:p w14:paraId="275EB972" w14:textId="67E98A99" w:rsidR="009F618C" w:rsidRPr="0092424D" w:rsidRDefault="009F618C" w:rsidP="00FD75D9">
            <w:pPr>
              <w:pStyle w:val="6"/>
              <w:spacing w:before="0" w:after="0"/>
              <w:rPr>
                <w:rFonts w:ascii="Arial" w:hAnsi="Arial" w:cs="Arial"/>
                <w:color w:val="000000"/>
                <w:lang w:val="uk-UA"/>
              </w:rPr>
            </w:pPr>
            <w:r w:rsidRPr="0092424D">
              <w:rPr>
                <w:rFonts w:ascii="Arial" w:hAnsi="Arial" w:cs="Arial"/>
                <w:color w:val="000000"/>
                <w:lang w:val="uk-UA"/>
              </w:rPr>
              <w:t>Номер і назва завдання з Стратегії</w:t>
            </w:r>
            <w:r w:rsidRPr="0092424D">
              <w:rPr>
                <w:rFonts w:ascii="Arial" w:hAnsi="Arial" w:cs="Arial"/>
                <w:lang w:val="uk-UA" w:eastAsia="it-IT"/>
              </w:rPr>
              <w:t xml:space="preserve"> </w:t>
            </w:r>
            <w:r w:rsidRPr="0092424D">
              <w:rPr>
                <w:rFonts w:ascii="Arial" w:hAnsi="Arial" w:cs="Arial"/>
                <w:color w:val="000000"/>
                <w:lang w:val="uk-UA"/>
              </w:rPr>
              <w:t>розвитку Жмеринської міської територіальної</w:t>
            </w:r>
            <w:r w:rsidR="0092424D">
              <w:rPr>
                <w:rFonts w:ascii="Arial" w:hAnsi="Arial" w:cs="Arial"/>
                <w:color w:val="000000"/>
                <w:lang w:val="uk-UA"/>
              </w:rPr>
              <w:t xml:space="preserve"> громади,  якому відповідає проє</w:t>
            </w:r>
            <w:r w:rsidRPr="0092424D">
              <w:rPr>
                <w:rFonts w:ascii="Arial" w:hAnsi="Arial" w:cs="Arial"/>
                <w:color w:val="000000"/>
                <w:lang w:val="uk-UA"/>
              </w:rPr>
              <w:t>кт:</w:t>
            </w:r>
          </w:p>
        </w:tc>
        <w:tc>
          <w:tcPr>
            <w:tcW w:w="6794" w:type="dxa"/>
            <w:gridSpan w:val="8"/>
            <w:vAlign w:val="center"/>
          </w:tcPr>
          <w:p w14:paraId="77FD1830" w14:textId="77777777" w:rsidR="009F618C" w:rsidRPr="00C2587D" w:rsidRDefault="009F618C" w:rsidP="00FD75D9">
            <w:pPr>
              <w:rPr>
                <w:color w:val="000000"/>
                <w:lang w:eastAsia="uk-UA"/>
              </w:rPr>
            </w:pPr>
            <w:r w:rsidRPr="00C2587D">
              <w:rPr>
                <w:b/>
                <w:bCs/>
                <w:color w:val="000000"/>
                <w:lang w:eastAsia="uk-UA"/>
              </w:rPr>
              <w:t>А.4. Ефективна інвестиційна політика та маркетинг території</w:t>
            </w:r>
          </w:p>
          <w:p w14:paraId="4395D81B" w14:textId="77777777" w:rsidR="009F618C" w:rsidRPr="00C2587D" w:rsidRDefault="009F618C" w:rsidP="00FD75D9">
            <w:pPr>
              <w:spacing w:before="20" w:after="20"/>
              <w:rPr>
                <w:color w:val="000000"/>
                <w:lang w:eastAsia="uk-UA"/>
              </w:rPr>
            </w:pPr>
            <w:r w:rsidRPr="00C2587D">
              <w:t>А.4.3.6.Розвиток  та облаштування індустріального парку.</w:t>
            </w:r>
          </w:p>
        </w:tc>
      </w:tr>
      <w:tr w:rsidR="009F618C" w:rsidRPr="00C2587D" w14:paraId="79807D71" w14:textId="77777777" w:rsidTr="00FD75D9">
        <w:trPr>
          <w:jc w:val="right"/>
        </w:trPr>
        <w:tc>
          <w:tcPr>
            <w:tcW w:w="3425" w:type="dxa"/>
            <w:vAlign w:val="center"/>
          </w:tcPr>
          <w:p w14:paraId="4D092818" w14:textId="77777777" w:rsidR="009F618C" w:rsidRPr="0092424D" w:rsidRDefault="009F618C" w:rsidP="00FD75D9">
            <w:pPr>
              <w:rPr>
                <w:rFonts w:cs="Arial"/>
                <w:b/>
                <w:bCs/>
                <w:color w:val="000000"/>
                <w:szCs w:val="22"/>
              </w:rPr>
            </w:pPr>
            <w:r w:rsidRPr="0092424D">
              <w:rPr>
                <w:rFonts w:cs="Arial"/>
                <w:b/>
                <w:bCs/>
                <w:color w:val="000000"/>
                <w:szCs w:val="22"/>
              </w:rPr>
              <w:t>Мета проєкту</w:t>
            </w:r>
          </w:p>
        </w:tc>
        <w:tc>
          <w:tcPr>
            <w:tcW w:w="6794" w:type="dxa"/>
            <w:gridSpan w:val="8"/>
            <w:vAlign w:val="center"/>
          </w:tcPr>
          <w:p w14:paraId="7354063E" w14:textId="77777777" w:rsidR="009F618C" w:rsidRPr="00C2587D" w:rsidRDefault="009F618C" w:rsidP="00FD75D9">
            <w:pPr>
              <w:spacing w:before="40" w:after="40"/>
              <w:rPr>
                <w:lang w:eastAsia="it-IT"/>
              </w:rPr>
            </w:pPr>
            <w:r w:rsidRPr="00C2587D">
              <w:rPr>
                <w:lang w:eastAsia="it-IT"/>
              </w:rPr>
              <w:t>Створення сприятливих умов для залучення зовнішніх і внутрішніх інвестицій у промисловий сектор економіки; впровадження новітніх ресурсо- та енергоефективних технологій для стимулювання розвитку принципів циркулярної економіки та підвищення ресурсоефективності; посилення конкурентоспроможності вітчизняного виробництва та підвищення рівня зайнятості населення; забезпечення збалансованого регіонального та місцевого розвитку.</w:t>
            </w:r>
          </w:p>
        </w:tc>
      </w:tr>
      <w:tr w:rsidR="009F618C" w:rsidRPr="00C2587D" w14:paraId="00EC7F70" w14:textId="77777777" w:rsidTr="00FD75D9">
        <w:trPr>
          <w:jc w:val="right"/>
        </w:trPr>
        <w:tc>
          <w:tcPr>
            <w:tcW w:w="3425" w:type="dxa"/>
            <w:vAlign w:val="center"/>
          </w:tcPr>
          <w:p w14:paraId="5159613E" w14:textId="40EAE31E" w:rsidR="009F618C" w:rsidRPr="00C2587D" w:rsidRDefault="0092424D" w:rsidP="00FD75D9">
            <w:pPr>
              <w:rPr>
                <w:b/>
                <w:bCs/>
                <w:color w:val="000000"/>
              </w:rPr>
            </w:pPr>
            <w:r>
              <w:rPr>
                <w:b/>
                <w:bCs/>
                <w:color w:val="000000"/>
              </w:rPr>
              <w:t>Цілі проє</w:t>
            </w:r>
            <w:r w:rsidR="009F618C" w:rsidRPr="00C2587D">
              <w:rPr>
                <w:b/>
                <w:bCs/>
                <w:color w:val="000000"/>
              </w:rPr>
              <w:t>кту:</w:t>
            </w:r>
          </w:p>
        </w:tc>
        <w:tc>
          <w:tcPr>
            <w:tcW w:w="6794" w:type="dxa"/>
            <w:gridSpan w:val="8"/>
            <w:vAlign w:val="center"/>
          </w:tcPr>
          <w:p w14:paraId="6CF477D7" w14:textId="77777777" w:rsidR="009F618C" w:rsidRPr="00C2587D" w:rsidRDefault="009F618C" w:rsidP="006D4A2C">
            <w:pPr>
              <w:jc w:val="both"/>
              <w:rPr>
                <w:b/>
                <w:bCs/>
                <w:lang w:eastAsia="it-IT"/>
              </w:rPr>
            </w:pPr>
            <w:r w:rsidRPr="00C2587D">
              <w:rPr>
                <w:b/>
                <w:bCs/>
                <w:lang w:eastAsia="it-IT"/>
              </w:rPr>
              <w:t>Залучення інвестицій</w:t>
            </w:r>
          </w:p>
          <w:p w14:paraId="79A657A8" w14:textId="77777777" w:rsidR="009F618C" w:rsidRPr="00C2587D" w:rsidRDefault="009F618C" w:rsidP="006D4A2C">
            <w:pPr>
              <w:jc w:val="both"/>
              <w:rPr>
                <w:lang w:eastAsia="it-IT"/>
              </w:rPr>
            </w:pPr>
            <w:r w:rsidRPr="00C2587D">
              <w:rPr>
                <w:lang w:eastAsia="it-IT"/>
              </w:rPr>
              <w:t>– створення сприятливих умов для залучення внутрішніх і зовнішніх інвесторів шляхом пропозиції підготовлених майданчиків з розвиненою інфраструктурою.</w:t>
            </w:r>
          </w:p>
          <w:p w14:paraId="7D7DBF3D" w14:textId="77777777" w:rsidR="009F618C" w:rsidRPr="00C2587D" w:rsidRDefault="009F618C" w:rsidP="006D4A2C">
            <w:pPr>
              <w:jc w:val="both"/>
              <w:rPr>
                <w:b/>
                <w:bCs/>
                <w:lang w:eastAsia="it-IT"/>
              </w:rPr>
            </w:pPr>
            <w:r w:rsidRPr="00C2587D">
              <w:rPr>
                <w:b/>
                <w:bCs/>
                <w:lang w:eastAsia="it-IT"/>
              </w:rPr>
              <w:t>Розвиток місцевої економіки</w:t>
            </w:r>
          </w:p>
          <w:p w14:paraId="5C1E8710" w14:textId="77777777" w:rsidR="009F618C" w:rsidRPr="00C2587D" w:rsidRDefault="009F618C" w:rsidP="006D4A2C">
            <w:pPr>
              <w:jc w:val="both"/>
              <w:rPr>
                <w:lang w:eastAsia="it-IT"/>
              </w:rPr>
            </w:pPr>
            <w:r w:rsidRPr="00C2587D">
              <w:rPr>
                <w:lang w:eastAsia="it-IT"/>
              </w:rPr>
              <w:t>– стимулювання виробничої діяльності, підтримка малого та середнього бізнесу, формування нових економічних кластерів.</w:t>
            </w:r>
          </w:p>
          <w:p w14:paraId="1A304D0D" w14:textId="77777777" w:rsidR="009F618C" w:rsidRPr="00C2587D" w:rsidRDefault="009F618C" w:rsidP="006D4A2C">
            <w:pPr>
              <w:jc w:val="both"/>
              <w:rPr>
                <w:b/>
                <w:bCs/>
                <w:lang w:eastAsia="it-IT"/>
              </w:rPr>
            </w:pPr>
            <w:r w:rsidRPr="00C2587D">
              <w:rPr>
                <w:b/>
                <w:bCs/>
                <w:lang w:eastAsia="it-IT"/>
              </w:rPr>
              <w:t>Створення нових робочих місць</w:t>
            </w:r>
          </w:p>
          <w:p w14:paraId="4A08B633" w14:textId="77777777" w:rsidR="009F618C" w:rsidRPr="00C2587D" w:rsidRDefault="009F618C" w:rsidP="006D4A2C">
            <w:pPr>
              <w:jc w:val="both"/>
              <w:rPr>
                <w:lang w:eastAsia="it-IT"/>
              </w:rPr>
            </w:pPr>
            <w:r w:rsidRPr="00C2587D">
              <w:rPr>
                <w:lang w:eastAsia="it-IT"/>
              </w:rPr>
              <w:t>– забезпечення зайнятості населення громади через створення сучасних робочих місць із конкурентною оплатою праці.</w:t>
            </w:r>
          </w:p>
          <w:p w14:paraId="4B42B17F" w14:textId="77777777" w:rsidR="009F618C" w:rsidRPr="00C2587D" w:rsidRDefault="009F618C" w:rsidP="006D4A2C">
            <w:pPr>
              <w:jc w:val="both"/>
              <w:rPr>
                <w:lang w:eastAsia="it-IT"/>
              </w:rPr>
            </w:pPr>
            <w:r w:rsidRPr="00C2587D">
              <w:rPr>
                <w:b/>
                <w:bCs/>
                <w:lang w:eastAsia="it-IT"/>
              </w:rPr>
              <w:t>Збільшення надходжень до місцевого бюджету</w:t>
            </w:r>
            <w:r w:rsidRPr="00C2587D">
              <w:rPr>
                <w:lang w:eastAsia="it-IT"/>
              </w:rPr>
              <w:br/>
              <w:t>– розширення податкової бази завдяки реєстрації нових підприємств та активізації господарської діяльності.</w:t>
            </w:r>
          </w:p>
          <w:p w14:paraId="58A02F59" w14:textId="77777777" w:rsidR="009F618C" w:rsidRPr="00C2587D" w:rsidRDefault="009F618C" w:rsidP="006D4A2C">
            <w:pPr>
              <w:jc w:val="both"/>
              <w:rPr>
                <w:lang w:eastAsia="it-IT"/>
              </w:rPr>
            </w:pPr>
            <w:r w:rsidRPr="00C2587D">
              <w:rPr>
                <w:b/>
                <w:bCs/>
                <w:lang w:eastAsia="it-IT"/>
              </w:rPr>
              <w:t>Підвищення інвестиційної привабливості громади</w:t>
            </w:r>
            <w:r w:rsidRPr="00C2587D">
              <w:rPr>
                <w:lang w:eastAsia="it-IT"/>
              </w:rPr>
              <w:br/>
              <w:t>– формування позитивного іміджу території як центру ділової активності, логістики, інновацій та сучасного виробництва.</w:t>
            </w:r>
          </w:p>
          <w:p w14:paraId="14455DD9" w14:textId="77777777" w:rsidR="009F618C" w:rsidRPr="00C2587D" w:rsidRDefault="009F618C" w:rsidP="006D4A2C">
            <w:pPr>
              <w:jc w:val="both"/>
              <w:rPr>
                <w:b/>
                <w:bCs/>
                <w:lang w:eastAsia="it-IT"/>
              </w:rPr>
            </w:pPr>
            <w:r w:rsidRPr="00C2587D">
              <w:rPr>
                <w:b/>
                <w:bCs/>
                <w:lang w:eastAsia="it-IT"/>
              </w:rPr>
              <w:t>Ефективне використання територій</w:t>
            </w:r>
          </w:p>
          <w:p w14:paraId="442E129E" w14:textId="77777777" w:rsidR="009F618C" w:rsidRPr="00C2587D" w:rsidRDefault="009F618C" w:rsidP="006D4A2C">
            <w:pPr>
              <w:jc w:val="both"/>
              <w:rPr>
                <w:lang w:eastAsia="it-IT"/>
              </w:rPr>
            </w:pPr>
            <w:r w:rsidRPr="00C2587D">
              <w:rPr>
                <w:lang w:eastAsia="it-IT"/>
              </w:rPr>
              <w:t>– розвиток раніше не задіяних або депресивних промислових зон з новим функціональним навантаженням.</w:t>
            </w:r>
          </w:p>
          <w:p w14:paraId="368D077F" w14:textId="77777777" w:rsidR="009F618C" w:rsidRPr="00C2587D" w:rsidRDefault="009F618C" w:rsidP="006D4A2C">
            <w:pPr>
              <w:jc w:val="both"/>
              <w:rPr>
                <w:lang w:eastAsia="it-IT"/>
              </w:rPr>
            </w:pPr>
            <w:r w:rsidRPr="00C2587D">
              <w:rPr>
                <w:b/>
                <w:bCs/>
                <w:lang w:eastAsia="it-IT"/>
              </w:rPr>
              <w:t>Інтеграція в регіональні та міжнародні економічні ланцюги</w:t>
            </w:r>
            <w:r w:rsidRPr="00C2587D">
              <w:rPr>
                <w:lang w:eastAsia="it-IT"/>
              </w:rPr>
              <w:br/>
              <w:t>– створення умов для співпраці з українськими та іноземними партнерами, участь у транснаціональних виробничих мережах.</w:t>
            </w:r>
          </w:p>
          <w:p w14:paraId="5B6573A5" w14:textId="77777777" w:rsidR="009F618C" w:rsidRPr="00C2587D" w:rsidRDefault="009F618C" w:rsidP="006D4A2C">
            <w:pPr>
              <w:jc w:val="both"/>
              <w:rPr>
                <w:b/>
                <w:bCs/>
                <w:lang w:eastAsia="it-IT"/>
              </w:rPr>
            </w:pPr>
            <w:r w:rsidRPr="00C2587D">
              <w:rPr>
                <w:b/>
                <w:bCs/>
                <w:lang w:eastAsia="it-IT"/>
              </w:rPr>
              <w:t>Інноваційний та технологічний розвиток</w:t>
            </w:r>
          </w:p>
          <w:p w14:paraId="5E1258FB" w14:textId="77777777" w:rsidR="009F618C" w:rsidRPr="00C2587D" w:rsidRDefault="009F618C" w:rsidP="006D4A2C">
            <w:pPr>
              <w:jc w:val="both"/>
              <w:rPr>
                <w:lang w:eastAsia="it-IT"/>
              </w:rPr>
            </w:pPr>
            <w:r w:rsidRPr="00C2587D">
              <w:rPr>
                <w:lang w:eastAsia="it-IT"/>
              </w:rPr>
              <w:t>– підтримка підприємств, що впроваджують сучасні технології, цифровізацію та екологічно чисті виробництва.</w:t>
            </w:r>
          </w:p>
        </w:tc>
      </w:tr>
      <w:tr w:rsidR="009F618C" w:rsidRPr="00C2587D" w14:paraId="2DC2BEA0" w14:textId="77777777" w:rsidTr="00FD75D9">
        <w:trPr>
          <w:jc w:val="right"/>
        </w:trPr>
        <w:tc>
          <w:tcPr>
            <w:tcW w:w="3425" w:type="dxa"/>
            <w:vAlign w:val="center"/>
          </w:tcPr>
          <w:p w14:paraId="0BE18E88" w14:textId="3E33AFBE" w:rsidR="009F618C" w:rsidRPr="00C2587D" w:rsidRDefault="006C54F4" w:rsidP="00FD75D9">
            <w:pPr>
              <w:autoSpaceDE w:val="0"/>
              <w:autoSpaceDN w:val="0"/>
              <w:adjustRightInd w:val="0"/>
              <w:rPr>
                <w:b/>
              </w:rPr>
            </w:pPr>
            <w:r>
              <w:rPr>
                <w:b/>
              </w:rPr>
              <w:t>Територія на яку проє</w:t>
            </w:r>
            <w:r w:rsidR="009F618C" w:rsidRPr="00C2587D">
              <w:rPr>
                <w:b/>
              </w:rPr>
              <w:t>кт матиме вплив:</w:t>
            </w:r>
          </w:p>
        </w:tc>
        <w:tc>
          <w:tcPr>
            <w:tcW w:w="6794" w:type="dxa"/>
            <w:gridSpan w:val="8"/>
            <w:vAlign w:val="center"/>
          </w:tcPr>
          <w:p w14:paraId="6725BCA4" w14:textId="77777777" w:rsidR="009F618C" w:rsidRPr="00C2587D" w:rsidRDefault="009F618C" w:rsidP="00FD75D9">
            <w:pPr>
              <w:spacing w:before="40" w:after="40"/>
              <w:jc w:val="both"/>
              <w:rPr>
                <w:lang w:eastAsia="it-IT"/>
              </w:rPr>
            </w:pPr>
            <w:r w:rsidRPr="00C2587D">
              <w:rPr>
                <w:lang w:eastAsia="it-IT"/>
              </w:rPr>
              <w:t>Жмеринська міська територіальна громада</w:t>
            </w:r>
          </w:p>
        </w:tc>
      </w:tr>
      <w:tr w:rsidR="009F618C" w:rsidRPr="00C2587D" w14:paraId="0F626DBB" w14:textId="77777777" w:rsidTr="00FD75D9">
        <w:trPr>
          <w:jc w:val="right"/>
        </w:trPr>
        <w:tc>
          <w:tcPr>
            <w:tcW w:w="3425" w:type="dxa"/>
            <w:vAlign w:val="center"/>
          </w:tcPr>
          <w:p w14:paraId="2317D698" w14:textId="77777777" w:rsidR="009F618C" w:rsidRPr="00C2587D" w:rsidRDefault="009F618C" w:rsidP="00FD75D9">
            <w:pPr>
              <w:autoSpaceDE w:val="0"/>
              <w:autoSpaceDN w:val="0"/>
              <w:adjustRightInd w:val="0"/>
              <w:rPr>
                <w:b/>
              </w:rPr>
            </w:pPr>
            <w:r w:rsidRPr="00C2587D">
              <w:rPr>
                <w:b/>
              </w:rPr>
              <w:t>Цільові групи проєкту та кількість отримувачів вигоди</w:t>
            </w:r>
          </w:p>
        </w:tc>
        <w:tc>
          <w:tcPr>
            <w:tcW w:w="6794" w:type="dxa"/>
            <w:gridSpan w:val="8"/>
            <w:vAlign w:val="center"/>
          </w:tcPr>
          <w:p w14:paraId="64905038" w14:textId="77777777" w:rsidR="009F618C" w:rsidRPr="00C2587D" w:rsidRDefault="009F618C" w:rsidP="00FD75D9">
            <w:pPr>
              <w:spacing w:before="40" w:after="40"/>
              <w:rPr>
                <w:lang w:eastAsia="it-IT"/>
              </w:rPr>
            </w:pPr>
            <w:r w:rsidRPr="00C2587D">
              <w:t>Суб'єкти господарювання, інвестори, жителі Жмеринської міської територіальної громади, Вінницької області, України, 70 тис.осіб</w:t>
            </w:r>
          </w:p>
        </w:tc>
      </w:tr>
      <w:tr w:rsidR="009F618C" w:rsidRPr="00C2587D" w14:paraId="68ED3A6A" w14:textId="77777777" w:rsidTr="00FD75D9">
        <w:trPr>
          <w:jc w:val="right"/>
        </w:trPr>
        <w:tc>
          <w:tcPr>
            <w:tcW w:w="3425" w:type="dxa"/>
            <w:shd w:val="clear" w:color="auto" w:fill="FFFFFF"/>
            <w:vAlign w:val="center"/>
          </w:tcPr>
          <w:p w14:paraId="4E185C4D" w14:textId="292A37B8" w:rsidR="009F618C" w:rsidRPr="00C2587D" w:rsidRDefault="006C54F4" w:rsidP="00FD75D9">
            <w:pPr>
              <w:rPr>
                <w:b/>
                <w:bCs/>
                <w:color w:val="000000"/>
              </w:rPr>
            </w:pPr>
            <w:r>
              <w:rPr>
                <w:b/>
                <w:bCs/>
                <w:color w:val="000000"/>
              </w:rPr>
              <w:t>Стислий опис проє</w:t>
            </w:r>
            <w:r w:rsidR="009F618C" w:rsidRPr="00C2587D">
              <w:rPr>
                <w:b/>
                <w:bCs/>
                <w:color w:val="000000"/>
              </w:rPr>
              <w:t>кту:</w:t>
            </w:r>
          </w:p>
        </w:tc>
        <w:tc>
          <w:tcPr>
            <w:tcW w:w="6794" w:type="dxa"/>
            <w:gridSpan w:val="8"/>
            <w:vAlign w:val="center"/>
          </w:tcPr>
          <w:p w14:paraId="1799C6C0" w14:textId="77777777" w:rsidR="009F618C" w:rsidRPr="00C2587D" w:rsidRDefault="009F618C" w:rsidP="00FD75D9">
            <w:pPr>
              <w:widowControl w:val="0"/>
              <w:suppressAutoHyphens/>
              <w:spacing w:before="20" w:after="20"/>
              <w:rPr>
                <w:rFonts w:eastAsia="Lucida Sans Unicode"/>
                <w:kern w:val="1"/>
                <w:lang w:eastAsia="it-IT"/>
              </w:rPr>
            </w:pPr>
            <w:r w:rsidRPr="00C2587D">
              <w:rPr>
                <w:rFonts w:eastAsia="Lucida Sans Unicode"/>
                <w:kern w:val="1"/>
                <w:lang w:eastAsia="it-IT"/>
              </w:rPr>
              <w:t>Жмеринська міська територіальна громада має вигідне географічне розташування, розвинену транспортну інфраструктуру (ключовий залізничний вузол), кадровий потенціал і готова запропонувати інвесторам вільні земельні ділянки для розвитку виробничої діяльності.</w:t>
            </w:r>
          </w:p>
          <w:p w14:paraId="016A5FE3" w14:textId="77777777" w:rsidR="009F618C" w:rsidRPr="00C2587D" w:rsidRDefault="009F618C" w:rsidP="00FD75D9">
            <w:pPr>
              <w:widowControl w:val="0"/>
              <w:suppressAutoHyphens/>
              <w:spacing w:before="20" w:after="20"/>
              <w:rPr>
                <w:lang w:eastAsia="it-IT"/>
              </w:rPr>
            </w:pPr>
            <w:r w:rsidRPr="00C2587D">
              <w:rPr>
                <w:rFonts w:eastAsia="Lucida Sans Unicode"/>
                <w:kern w:val="1"/>
                <w:lang w:eastAsia="it-IT"/>
              </w:rPr>
              <w:t>У відповідь на потреби економічного зростання громади та національні пріоритети відновлення промислового потенціалу України, створення індустріальних парків є стратегічним напрямом підвищення інвестиційної привабливості громади, залучення нових виробництв та створення робочих місць.</w:t>
            </w:r>
          </w:p>
        </w:tc>
      </w:tr>
      <w:tr w:rsidR="009F618C" w:rsidRPr="00C2587D" w14:paraId="11721979" w14:textId="77777777" w:rsidTr="00FD75D9">
        <w:trPr>
          <w:jc w:val="right"/>
        </w:trPr>
        <w:tc>
          <w:tcPr>
            <w:tcW w:w="3425" w:type="dxa"/>
            <w:shd w:val="clear" w:color="auto" w:fill="FFFFFF"/>
            <w:vAlign w:val="center"/>
          </w:tcPr>
          <w:p w14:paraId="6FE6E220" w14:textId="77777777" w:rsidR="009F618C" w:rsidRPr="00C2587D" w:rsidRDefault="009F618C" w:rsidP="00FD75D9">
            <w:pPr>
              <w:rPr>
                <w:b/>
                <w:bCs/>
                <w:color w:val="000000"/>
              </w:rPr>
            </w:pPr>
            <w:r w:rsidRPr="00C2587D">
              <w:rPr>
                <w:b/>
                <w:bCs/>
                <w:color w:val="000000"/>
              </w:rPr>
              <w:t>Основні заходи проєкту</w:t>
            </w:r>
          </w:p>
        </w:tc>
        <w:tc>
          <w:tcPr>
            <w:tcW w:w="6794" w:type="dxa"/>
            <w:gridSpan w:val="8"/>
            <w:shd w:val="clear" w:color="auto" w:fill="FFFFFF"/>
          </w:tcPr>
          <w:p w14:paraId="077DE754" w14:textId="77777777" w:rsidR="009F618C" w:rsidRPr="00C2587D" w:rsidRDefault="009F618C" w:rsidP="00FD75D9">
            <w:pPr>
              <w:tabs>
                <w:tab w:val="left" w:pos="285"/>
              </w:tabs>
              <w:spacing w:before="40" w:after="40"/>
              <w:contextualSpacing/>
              <w:jc w:val="both"/>
              <w:rPr>
                <w:rFonts w:eastAsia="Lucida Sans Unicode"/>
                <w:kern w:val="1"/>
                <w:lang w:eastAsia="ar-SA"/>
              </w:rPr>
            </w:pPr>
            <w:r w:rsidRPr="00C2587D">
              <w:rPr>
                <w:rFonts w:eastAsia="Lucida Sans Unicode"/>
                <w:kern w:val="1"/>
                <w:lang w:eastAsia="ar-SA"/>
              </w:rPr>
              <w:t xml:space="preserve">1. Оформлення документів на земельні ділянки, на яких передбачається створення індустріальних парків, відповідно до вимог Закону України «Про регулювання містобудівної діяльності». </w:t>
            </w:r>
          </w:p>
          <w:p w14:paraId="0420452E" w14:textId="77777777" w:rsidR="009F618C" w:rsidRPr="00C2587D" w:rsidRDefault="009F618C" w:rsidP="00FD75D9">
            <w:pPr>
              <w:tabs>
                <w:tab w:val="left" w:pos="285"/>
              </w:tabs>
              <w:spacing w:before="40" w:after="40"/>
              <w:contextualSpacing/>
              <w:jc w:val="both"/>
              <w:rPr>
                <w:rFonts w:eastAsia="Lucida Sans Unicode"/>
                <w:kern w:val="1"/>
                <w:lang w:eastAsia="ar-SA"/>
              </w:rPr>
            </w:pPr>
            <w:r w:rsidRPr="00C2587D">
              <w:rPr>
                <w:rFonts w:eastAsia="Lucida Sans Unicode"/>
                <w:kern w:val="1"/>
                <w:lang w:eastAsia="ar-SA"/>
              </w:rPr>
              <w:t xml:space="preserve">2. Розроблення і затвердження Концепцій індустріальних парків відповідно до вимог Закону України «Про індустріальні парки», Розпорядження КМУ «Про схвалення стратегії розвитку індустріальних парків на 2023 – 2030 роки». </w:t>
            </w:r>
          </w:p>
          <w:p w14:paraId="650AAA02" w14:textId="77777777" w:rsidR="009F618C" w:rsidRPr="00C2587D" w:rsidRDefault="009F618C" w:rsidP="00FD75D9">
            <w:pPr>
              <w:tabs>
                <w:tab w:val="left" w:pos="285"/>
              </w:tabs>
              <w:spacing w:before="40" w:after="40"/>
              <w:contextualSpacing/>
              <w:jc w:val="both"/>
              <w:rPr>
                <w:rFonts w:eastAsia="Lucida Sans Unicode"/>
                <w:kern w:val="1"/>
                <w:lang w:eastAsia="ar-SA"/>
              </w:rPr>
            </w:pPr>
            <w:r w:rsidRPr="00C2587D">
              <w:rPr>
                <w:rFonts w:eastAsia="Lucida Sans Unicode"/>
                <w:kern w:val="1"/>
                <w:lang w:eastAsia="ar-SA"/>
              </w:rPr>
              <w:t xml:space="preserve">3. Здійснення стратегічної екологічної оцінки детальних планів територій земельних ділянок, на яких будуть розміщені індустріальні парки. </w:t>
            </w:r>
          </w:p>
          <w:p w14:paraId="652906AF" w14:textId="77777777" w:rsidR="009F618C" w:rsidRPr="00C2587D" w:rsidRDefault="009F618C" w:rsidP="00FD75D9">
            <w:pPr>
              <w:tabs>
                <w:tab w:val="left" w:pos="285"/>
              </w:tabs>
              <w:spacing w:before="40" w:after="40"/>
              <w:contextualSpacing/>
              <w:jc w:val="both"/>
              <w:rPr>
                <w:rFonts w:eastAsia="Lucida Sans Unicode"/>
                <w:kern w:val="1"/>
                <w:lang w:eastAsia="ar-SA"/>
              </w:rPr>
            </w:pPr>
            <w:r w:rsidRPr="00C2587D">
              <w:rPr>
                <w:rFonts w:eastAsia="Lucida Sans Unicode"/>
                <w:kern w:val="1"/>
                <w:lang w:eastAsia="ar-SA"/>
              </w:rPr>
              <w:t xml:space="preserve">4. Вибір керуючих компаній індустріальних парків та потенційних учасників. </w:t>
            </w:r>
          </w:p>
          <w:p w14:paraId="71F2605B" w14:textId="77777777" w:rsidR="009F618C" w:rsidRPr="00C2587D" w:rsidRDefault="009F618C" w:rsidP="00FD75D9">
            <w:pPr>
              <w:tabs>
                <w:tab w:val="left" w:pos="285"/>
              </w:tabs>
              <w:spacing w:before="40" w:after="40"/>
              <w:contextualSpacing/>
              <w:jc w:val="both"/>
              <w:rPr>
                <w:rFonts w:eastAsia="Lucida Sans Unicode"/>
                <w:kern w:val="1"/>
                <w:lang w:eastAsia="ar-SA"/>
              </w:rPr>
            </w:pPr>
            <w:r w:rsidRPr="00C2587D">
              <w:rPr>
                <w:rFonts w:eastAsia="Lucida Sans Unicode"/>
                <w:kern w:val="1"/>
                <w:lang w:eastAsia="ar-SA"/>
              </w:rPr>
              <w:t xml:space="preserve">5. Подання документів до Міністерства економіки України для включення індустріальних парків до Реєстру індустріальних парків. </w:t>
            </w:r>
          </w:p>
          <w:p w14:paraId="7A677BC4" w14:textId="77777777" w:rsidR="009F618C" w:rsidRPr="00C2587D" w:rsidRDefault="009F618C" w:rsidP="00FD75D9">
            <w:pPr>
              <w:tabs>
                <w:tab w:val="left" w:pos="285"/>
              </w:tabs>
              <w:spacing w:before="40" w:after="40"/>
              <w:contextualSpacing/>
              <w:jc w:val="both"/>
              <w:rPr>
                <w:rFonts w:eastAsia="Lucida Sans Unicode"/>
                <w:kern w:val="1"/>
                <w:lang w:eastAsia="ar-SA"/>
              </w:rPr>
            </w:pPr>
            <w:r w:rsidRPr="00C2587D">
              <w:rPr>
                <w:rFonts w:eastAsia="Lucida Sans Unicode"/>
                <w:kern w:val="1"/>
                <w:lang w:eastAsia="ar-SA"/>
              </w:rPr>
              <w:t xml:space="preserve">6. Розробка проєктів з облаштування індустріальних парків інженерно-транспортною інфраструктурою та підключення (приєднання) до зовнішніх мереж і комунікацій. </w:t>
            </w:r>
          </w:p>
          <w:p w14:paraId="6F040004" w14:textId="77777777" w:rsidR="009F618C" w:rsidRPr="00C2587D" w:rsidRDefault="009F618C" w:rsidP="00FD75D9">
            <w:pPr>
              <w:tabs>
                <w:tab w:val="left" w:pos="285"/>
              </w:tabs>
              <w:spacing w:before="40" w:after="40"/>
              <w:contextualSpacing/>
              <w:jc w:val="both"/>
              <w:rPr>
                <w:rFonts w:eastAsia="Lucida Sans Unicode"/>
                <w:kern w:val="1"/>
                <w:lang w:eastAsia="ar-SA"/>
              </w:rPr>
            </w:pPr>
            <w:r w:rsidRPr="00C2587D">
              <w:rPr>
                <w:rFonts w:eastAsia="Lucida Sans Unicode"/>
                <w:kern w:val="1"/>
                <w:lang w:eastAsia="ar-SA"/>
              </w:rPr>
              <w:t>7. Подання проєктів з облаштування індустріальних парків інженерно-транспортною інфраструктурою та підключення (приєднання) до зовнішніх мереж і комунікацій до Жмеринської міської ради, Вінницької обласної військової (державної) адміністрації, ЦОВВ для участі у конкурсах на отримання фінансової підтримки на їх реалізацію.</w:t>
            </w:r>
          </w:p>
          <w:p w14:paraId="0781965D" w14:textId="77777777" w:rsidR="009F618C" w:rsidRPr="00C2587D" w:rsidRDefault="009F618C" w:rsidP="00FD75D9">
            <w:pPr>
              <w:tabs>
                <w:tab w:val="left" w:pos="285"/>
              </w:tabs>
              <w:spacing w:before="40" w:after="40"/>
              <w:contextualSpacing/>
              <w:jc w:val="both"/>
              <w:rPr>
                <w:lang w:eastAsia="it-IT"/>
              </w:rPr>
            </w:pPr>
            <w:r w:rsidRPr="00C2587D">
              <w:rPr>
                <w:rFonts w:eastAsia="Lucida Sans Unicode"/>
                <w:kern w:val="1"/>
                <w:lang w:eastAsia="ar-SA"/>
              </w:rPr>
              <w:t xml:space="preserve"> 8. Внесення проєктів з облаштування індустріальних парків інженерно-транспортною інфраструктурою та підключення (приєднання) до зовнішніх мереж і комунікацій на платформу DREAM.</w:t>
            </w:r>
          </w:p>
        </w:tc>
      </w:tr>
      <w:tr w:rsidR="009F618C" w:rsidRPr="00C2587D" w14:paraId="2A6BED06" w14:textId="77777777" w:rsidTr="00FD75D9">
        <w:trPr>
          <w:jc w:val="right"/>
        </w:trPr>
        <w:tc>
          <w:tcPr>
            <w:tcW w:w="3425" w:type="dxa"/>
            <w:shd w:val="clear" w:color="auto" w:fill="FFFFFF"/>
            <w:vAlign w:val="center"/>
          </w:tcPr>
          <w:p w14:paraId="6147E676" w14:textId="77777777" w:rsidR="009F618C" w:rsidRPr="00C2587D" w:rsidRDefault="009F618C" w:rsidP="00FD75D9">
            <w:pPr>
              <w:rPr>
                <w:b/>
                <w:bCs/>
                <w:color w:val="000000"/>
              </w:rPr>
            </w:pPr>
            <w:r w:rsidRPr="00C2587D">
              <w:rPr>
                <w:b/>
                <w:bCs/>
                <w:color w:val="000000"/>
              </w:rPr>
              <w:t>Індикатори (показники) результативності</w:t>
            </w:r>
          </w:p>
        </w:tc>
        <w:tc>
          <w:tcPr>
            <w:tcW w:w="6794" w:type="dxa"/>
            <w:gridSpan w:val="8"/>
            <w:vAlign w:val="center"/>
          </w:tcPr>
          <w:p w14:paraId="1E611CDA" w14:textId="77777777" w:rsidR="009F618C" w:rsidRPr="00C2587D" w:rsidRDefault="009F618C" w:rsidP="00FD75D9">
            <w:pPr>
              <w:jc w:val="both"/>
              <w:rPr>
                <w:lang w:eastAsia="it-IT"/>
              </w:rPr>
            </w:pPr>
            <w:r w:rsidRPr="00C2587D">
              <w:rPr>
                <w:lang w:eastAsia="it-IT"/>
              </w:rPr>
              <w:t xml:space="preserve">- розроблено 2 концепції індустріальних парків та здійснено документальне оформлення створення 2-х індустріальних парків на території Жмеринської міської територіальної громади; </w:t>
            </w:r>
          </w:p>
          <w:p w14:paraId="0E9CA4D3" w14:textId="77777777" w:rsidR="009F618C" w:rsidRPr="00C2587D" w:rsidRDefault="009F618C" w:rsidP="00FD75D9">
            <w:pPr>
              <w:jc w:val="both"/>
              <w:rPr>
                <w:lang w:eastAsia="it-IT"/>
              </w:rPr>
            </w:pPr>
            <w:r w:rsidRPr="00C2587D">
              <w:rPr>
                <w:lang w:eastAsia="it-IT"/>
              </w:rPr>
              <w:t>- включено 2 індустріальних парки до реєстру індустріальних парків України; - створено 1100 нових робочих місць; - залучено інвестиції з різних джерел фінансування у сумі майже 0,5 млрд. грн..</w:t>
            </w:r>
          </w:p>
        </w:tc>
      </w:tr>
      <w:tr w:rsidR="009F618C" w:rsidRPr="00C2587D" w14:paraId="5EB254E6" w14:textId="77777777" w:rsidTr="00FD75D9">
        <w:trPr>
          <w:jc w:val="right"/>
        </w:trPr>
        <w:tc>
          <w:tcPr>
            <w:tcW w:w="3425" w:type="dxa"/>
            <w:shd w:val="clear" w:color="auto" w:fill="FFFFFF"/>
            <w:vAlign w:val="center"/>
          </w:tcPr>
          <w:p w14:paraId="0970C5C4" w14:textId="77777777" w:rsidR="009F618C" w:rsidRPr="00C2587D" w:rsidRDefault="009F618C" w:rsidP="00FD75D9">
            <w:pPr>
              <w:rPr>
                <w:b/>
                <w:color w:val="000000"/>
              </w:rPr>
            </w:pPr>
            <w:r w:rsidRPr="00C2587D">
              <w:rPr>
                <w:b/>
                <w:color w:val="000000"/>
              </w:rPr>
              <w:t xml:space="preserve">Період здійснення: </w:t>
            </w:r>
          </w:p>
        </w:tc>
        <w:tc>
          <w:tcPr>
            <w:tcW w:w="6794" w:type="dxa"/>
            <w:gridSpan w:val="8"/>
            <w:vAlign w:val="center"/>
          </w:tcPr>
          <w:p w14:paraId="465FA7BA" w14:textId="77777777" w:rsidR="009F618C" w:rsidRPr="00C2587D" w:rsidRDefault="009F618C" w:rsidP="00FD75D9">
            <w:pPr>
              <w:rPr>
                <w:lang w:eastAsia="it-IT"/>
              </w:rPr>
            </w:pPr>
            <w:r w:rsidRPr="00C2587D">
              <w:rPr>
                <w:b/>
              </w:rPr>
              <w:t>2025 – 2028 роки:</w:t>
            </w:r>
          </w:p>
        </w:tc>
      </w:tr>
      <w:tr w:rsidR="009F618C" w:rsidRPr="00C2587D" w14:paraId="0CA68C8D" w14:textId="77777777" w:rsidTr="00FD75D9">
        <w:trPr>
          <w:jc w:val="right"/>
        </w:trPr>
        <w:tc>
          <w:tcPr>
            <w:tcW w:w="3425" w:type="dxa"/>
            <w:vMerge w:val="restart"/>
            <w:shd w:val="clear" w:color="auto" w:fill="FFFFFF"/>
            <w:vAlign w:val="center"/>
          </w:tcPr>
          <w:p w14:paraId="7A6FDC95" w14:textId="7E033D3A" w:rsidR="009F618C" w:rsidRPr="00C2587D" w:rsidRDefault="006C54F4" w:rsidP="00FD75D9">
            <w:pPr>
              <w:rPr>
                <w:b/>
                <w:bCs/>
                <w:color w:val="000000"/>
              </w:rPr>
            </w:pPr>
            <w:r>
              <w:rPr>
                <w:b/>
                <w:bCs/>
                <w:color w:val="000000"/>
              </w:rPr>
              <w:t>Орієнтовна вартість проє</w:t>
            </w:r>
            <w:r w:rsidR="009F618C" w:rsidRPr="00C2587D">
              <w:rPr>
                <w:b/>
                <w:bCs/>
                <w:color w:val="000000"/>
              </w:rPr>
              <w:t>кту, тис. грн., тому числі:</w:t>
            </w:r>
          </w:p>
        </w:tc>
        <w:tc>
          <w:tcPr>
            <w:tcW w:w="1254" w:type="dxa"/>
            <w:shd w:val="clear" w:color="auto" w:fill="E6E6E6"/>
            <w:vAlign w:val="center"/>
          </w:tcPr>
          <w:p w14:paraId="306E48F3" w14:textId="77777777" w:rsidR="009F618C" w:rsidRPr="00C2587D" w:rsidRDefault="009F618C" w:rsidP="00FD75D9">
            <w:pPr>
              <w:jc w:val="center"/>
              <w:rPr>
                <w:b/>
                <w:lang w:eastAsia="it-IT"/>
              </w:rPr>
            </w:pPr>
            <w:r w:rsidRPr="00C2587D">
              <w:rPr>
                <w:b/>
                <w:lang w:eastAsia="it-IT"/>
              </w:rPr>
              <w:t>2025</w:t>
            </w:r>
          </w:p>
        </w:tc>
        <w:tc>
          <w:tcPr>
            <w:tcW w:w="1417" w:type="dxa"/>
            <w:gridSpan w:val="2"/>
            <w:shd w:val="clear" w:color="auto" w:fill="E6E6E6"/>
            <w:vAlign w:val="center"/>
          </w:tcPr>
          <w:p w14:paraId="11F15FD5" w14:textId="77777777" w:rsidR="009F618C" w:rsidRPr="00C2587D" w:rsidRDefault="009F618C" w:rsidP="00FD75D9">
            <w:pPr>
              <w:jc w:val="center"/>
              <w:rPr>
                <w:b/>
                <w:lang w:eastAsia="it-IT"/>
              </w:rPr>
            </w:pPr>
            <w:r w:rsidRPr="00C2587D">
              <w:rPr>
                <w:b/>
                <w:lang w:eastAsia="it-IT"/>
              </w:rPr>
              <w:t>2026</w:t>
            </w:r>
          </w:p>
        </w:tc>
        <w:tc>
          <w:tcPr>
            <w:tcW w:w="1418" w:type="dxa"/>
            <w:tcBorders>
              <w:bottom w:val="single" w:sz="4" w:space="0" w:color="auto"/>
            </w:tcBorders>
            <w:shd w:val="clear" w:color="auto" w:fill="E6E6E6"/>
            <w:vAlign w:val="center"/>
          </w:tcPr>
          <w:p w14:paraId="73F621C7" w14:textId="77777777" w:rsidR="009F618C" w:rsidRPr="00C2587D" w:rsidRDefault="009F618C" w:rsidP="00FD75D9">
            <w:pPr>
              <w:jc w:val="center"/>
              <w:rPr>
                <w:b/>
                <w:lang w:eastAsia="it-IT"/>
              </w:rPr>
            </w:pPr>
            <w:r w:rsidRPr="00C2587D">
              <w:rPr>
                <w:b/>
                <w:lang w:eastAsia="it-IT"/>
              </w:rPr>
              <w:t>2027</w:t>
            </w:r>
          </w:p>
        </w:tc>
        <w:tc>
          <w:tcPr>
            <w:tcW w:w="1275" w:type="dxa"/>
            <w:gridSpan w:val="2"/>
            <w:shd w:val="clear" w:color="auto" w:fill="E6E6E6"/>
            <w:vAlign w:val="center"/>
          </w:tcPr>
          <w:p w14:paraId="447AC05C" w14:textId="77777777" w:rsidR="009F618C" w:rsidRPr="00C2587D" w:rsidRDefault="009F618C" w:rsidP="00FD75D9">
            <w:pPr>
              <w:jc w:val="center"/>
              <w:rPr>
                <w:b/>
                <w:lang w:eastAsia="it-IT"/>
              </w:rPr>
            </w:pPr>
            <w:r w:rsidRPr="00C2587D">
              <w:rPr>
                <w:b/>
                <w:lang w:eastAsia="it-IT"/>
              </w:rPr>
              <w:t>2028</w:t>
            </w:r>
          </w:p>
        </w:tc>
        <w:tc>
          <w:tcPr>
            <w:tcW w:w="1430" w:type="dxa"/>
            <w:gridSpan w:val="2"/>
            <w:shd w:val="clear" w:color="auto" w:fill="E6E6E6"/>
            <w:vAlign w:val="center"/>
          </w:tcPr>
          <w:p w14:paraId="34326702" w14:textId="77777777" w:rsidR="009F618C" w:rsidRPr="00C2587D" w:rsidRDefault="009F618C" w:rsidP="00FD75D9">
            <w:pPr>
              <w:jc w:val="center"/>
              <w:rPr>
                <w:b/>
                <w:lang w:eastAsia="it-IT"/>
              </w:rPr>
            </w:pPr>
            <w:r w:rsidRPr="00C2587D">
              <w:rPr>
                <w:b/>
                <w:lang w:eastAsia="it-IT"/>
              </w:rPr>
              <w:t>Разом</w:t>
            </w:r>
          </w:p>
        </w:tc>
      </w:tr>
      <w:tr w:rsidR="009F618C" w:rsidRPr="00C2587D" w14:paraId="342D4A31" w14:textId="77777777" w:rsidTr="00FD75D9">
        <w:trPr>
          <w:jc w:val="right"/>
        </w:trPr>
        <w:tc>
          <w:tcPr>
            <w:tcW w:w="3425" w:type="dxa"/>
            <w:vMerge/>
            <w:shd w:val="clear" w:color="auto" w:fill="FFFFFF"/>
            <w:vAlign w:val="center"/>
          </w:tcPr>
          <w:p w14:paraId="6C6AA203" w14:textId="77777777" w:rsidR="009F618C" w:rsidRPr="00C2587D" w:rsidRDefault="009F618C" w:rsidP="00FD75D9">
            <w:pPr>
              <w:rPr>
                <w:b/>
                <w:bCs/>
                <w:color w:val="000000"/>
              </w:rPr>
            </w:pPr>
          </w:p>
        </w:tc>
        <w:tc>
          <w:tcPr>
            <w:tcW w:w="1254" w:type="dxa"/>
            <w:vAlign w:val="center"/>
          </w:tcPr>
          <w:p w14:paraId="51D62E0C" w14:textId="77777777" w:rsidR="009F618C" w:rsidRPr="00C2587D" w:rsidRDefault="009F618C" w:rsidP="00FD75D9">
            <w:pPr>
              <w:jc w:val="center"/>
              <w:rPr>
                <w:b/>
                <w:lang w:eastAsia="it-IT"/>
              </w:rPr>
            </w:pPr>
            <w:r w:rsidRPr="00C2587D">
              <w:rPr>
                <w:b/>
                <w:lang w:eastAsia="it-IT"/>
              </w:rPr>
              <w:t>0</w:t>
            </w:r>
          </w:p>
        </w:tc>
        <w:tc>
          <w:tcPr>
            <w:tcW w:w="1417" w:type="dxa"/>
            <w:gridSpan w:val="2"/>
            <w:shd w:val="clear" w:color="auto" w:fill="FFFFFF"/>
            <w:vAlign w:val="center"/>
          </w:tcPr>
          <w:p w14:paraId="20B15E00" w14:textId="77777777" w:rsidR="009F618C" w:rsidRPr="00C2587D" w:rsidRDefault="009F618C" w:rsidP="00FD75D9">
            <w:pPr>
              <w:jc w:val="center"/>
              <w:rPr>
                <w:b/>
                <w:lang w:eastAsia="it-IT"/>
              </w:rPr>
            </w:pPr>
            <w:r w:rsidRPr="00C2587D">
              <w:rPr>
                <w:b/>
                <w:lang w:eastAsia="it-IT"/>
              </w:rPr>
              <w:t>161000,0</w:t>
            </w:r>
          </w:p>
        </w:tc>
        <w:tc>
          <w:tcPr>
            <w:tcW w:w="1418" w:type="dxa"/>
            <w:shd w:val="clear" w:color="auto" w:fill="auto"/>
            <w:vAlign w:val="center"/>
          </w:tcPr>
          <w:p w14:paraId="4F6FDF18" w14:textId="77777777" w:rsidR="009F618C" w:rsidRPr="00C2587D" w:rsidRDefault="009F618C" w:rsidP="00FD75D9">
            <w:pPr>
              <w:jc w:val="center"/>
              <w:rPr>
                <w:b/>
                <w:lang w:eastAsia="it-IT"/>
              </w:rPr>
            </w:pPr>
            <w:r w:rsidRPr="00C2587D">
              <w:rPr>
                <w:b/>
                <w:lang w:eastAsia="it-IT"/>
              </w:rPr>
              <w:t>157000,0</w:t>
            </w:r>
          </w:p>
        </w:tc>
        <w:tc>
          <w:tcPr>
            <w:tcW w:w="1275" w:type="dxa"/>
            <w:gridSpan w:val="2"/>
            <w:shd w:val="clear" w:color="auto" w:fill="FFFFFF"/>
            <w:vAlign w:val="center"/>
          </w:tcPr>
          <w:p w14:paraId="11CE854C" w14:textId="77777777" w:rsidR="009F618C" w:rsidRPr="00C2587D" w:rsidRDefault="009F618C" w:rsidP="00FD75D9">
            <w:pPr>
              <w:jc w:val="center"/>
              <w:rPr>
                <w:b/>
                <w:lang w:eastAsia="it-IT"/>
              </w:rPr>
            </w:pPr>
            <w:r w:rsidRPr="00C2587D">
              <w:rPr>
                <w:b/>
                <w:lang w:eastAsia="it-IT"/>
              </w:rPr>
              <w:t>132000,0</w:t>
            </w:r>
          </w:p>
        </w:tc>
        <w:tc>
          <w:tcPr>
            <w:tcW w:w="1430" w:type="dxa"/>
            <w:gridSpan w:val="2"/>
            <w:shd w:val="clear" w:color="auto" w:fill="FFFFFF"/>
            <w:vAlign w:val="center"/>
          </w:tcPr>
          <w:p w14:paraId="3ADC6577" w14:textId="77777777" w:rsidR="009F618C" w:rsidRPr="00C2587D" w:rsidRDefault="009F618C" w:rsidP="00FD75D9">
            <w:pPr>
              <w:jc w:val="center"/>
              <w:rPr>
                <w:b/>
                <w:lang w:eastAsia="it-IT"/>
              </w:rPr>
            </w:pPr>
            <w:r w:rsidRPr="00C2587D">
              <w:rPr>
                <w:b/>
                <w:lang w:eastAsia="it-IT"/>
              </w:rPr>
              <w:t>450000,0</w:t>
            </w:r>
          </w:p>
        </w:tc>
      </w:tr>
      <w:tr w:rsidR="009F618C" w:rsidRPr="00C2587D" w14:paraId="11E8B0BF" w14:textId="77777777" w:rsidTr="00FD75D9">
        <w:trPr>
          <w:trHeight w:val="206"/>
          <w:jc w:val="right"/>
        </w:trPr>
        <w:tc>
          <w:tcPr>
            <w:tcW w:w="3425" w:type="dxa"/>
            <w:shd w:val="clear" w:color="auto" w:fill="FFFFFF"/>
            <w:vAlign w:val="center"/>
          </w:tcPr>
          <w:p w14:paraId="488409F9" w14:textId="77777777" w:rsidR="009F618C" w:rsidRPr="00C2587D" w:rsidRDefault="009F618C" w:rsidP="00FD75D9">
            <w:pPr>
              <w:rPr>
                <w:b/>
                <w:bCs/>
                <w:color w:val="000000"/>
              </w:rPr>
            </w:pPr>
            <w:r w:rsidRPr="00C2587D">
              <w:rPr>
                <w:b/>
                <w:bCs/>
                <w:color w:val="000000"/>
              </w:rPr>
              <w:t>по джерелах фінансування:</w:t>
            </w:r>
          </w:p>
        </w:tc>
        <w:tc>
          <w:tcPr>
            <w:tcW w:w="6794" w:type="dxa"/>
            <w:gridSpan w:val="8"/>
            <w:vAlign w:val="center"/>
          </w:tcPr>
          <w:p w14:paraId="0C7F7CF0" w14:textId="77777777" w:rsidR="009F618C" w:rsidRPr="00C2587D" w:rsidRDefault="009F618C" w:rsidP="00FD75D9">
            <w:pPr>
              <w:jc w:val="both"/>
              <w:rPr>
                <w:lang w:eastAsia="it-IT"/>
              </w:rPr>
            </w:pPr>
          </w:p>
        </w:tc>
      </w:tr>
      <w:tr w:rsidR="009F618C" w:rsidRPr="00C2587D" w14:paraId="0792224D" w14:textId="77777777" w:rsidTr="00FD75D9">
        <w:trPr>
          <w:trHeight w:val="285"/>
          <w:jc w:val="right"/>
        </w:trPr>
        <w:tc>
          <w:tcPr>
            <w:tcW w:w="3425" w:type="dxa"/>
            <w:shd w:val="clear" w:color="auto" w:fill="FFFFFF"/>
            <w:vAlign w:val="center"/>
          </w:tcPr>
          <w:p w14:paraId="26D153A6" w14:textId="77777777" w:rsidR="009F618C" w:rsidRPr="00C2587D" w:rsidRDefault="009F618C" w:rsidP="002E6F44">
            <w:pPr>
              <w:numPr>
                <w:ilvl w:val="0"/>
                <w:numId w:val="14"/>
              </w:numPr>
              <w:ind w:hanging="936"/>
              <w:rPr>
                <w:b/>
                <w:bCs/>
                <w:color w:val="000000"/>
              </w:rPr>
            </w:pPr>
            <w:r w:rsidRPr="00C2587D">
              <w:rPr>
                <w:color w:val="000000"/>
              </w:rPr>
              <w:t>-державний бюджет;</w:t>
            </w:r>
          </w:p>
        </w:tc>
        <w:tc>
          <w:tcPr>
            <w:tcW w:w="1260" w:type="dxa"/>
            <w:gridSpan w:val="2"/>
            <w:vAlign w:val="center"/>
          </w:tcPr>
          <w:p w14:paraId="4782CCFD" w14:textId="77777777" w:rsidR="009F618C" w:rsidRPr="00C2587D" w:rsidRDefault="009F618C" w:rsidP="00FD75D9">
            <w:pPr>
              <w:jc w:val="center"/>
              <w:rPr>
                <w:lang w:eastAsia="it-IT"/>
              </w:rPr>
            </w:pPr>
          </w:p>
        </w:tc>
        <w:tc>
          <w:tcPr>
            <w:tcW w:w="1411" w:type="dxa"/>
            <w:vAlign w:val="center"/>
          </w:tcPr>
          <w:p w14:paraId="7FFEDCE6" w14:textId="77777777" w:rsidR="009F618C" w:rsidRPr="00C2587D" w:rsidRDefault="009F618C" w:rsidP="00FD75D9">
            <w:pPr>
              <w:jc w:val="center"/>
              <w:rPr>
                <w:lang w:eastAsia="it-IT"/>
              </w:rPr>
            </w:pPr>
            <w:r w:rsidRPr="00C2587D">
              <w:rPr>
                <w:lang w:eastAsia="it-IT"/>
              </w:rPr>
              <w:t>26000,0</w:t>
            </w:r>
          </w:p>
        </w:tc>
        <w:tc>
          <w:tcPr>
            <w:tcW w:w="1454" w:type="dxa"/>
            <w:gridSpan w:val="2"/>
            <w:vAlign w:val="center"/>
          </w:tcPr>
          <w:p w14:paraId="6F6D5F55" w14:textId="77777777" w:rsidR="009F618C" w:rsidRPr="00C2587D" w:rsidRDefault="009F618C" w:rsidP="00FD75D9">
            <w:pPr>
              <w:jc w:val="center"/>
              <w:rPr>
                <w:lang w:eastAsia="it-IT"/>
              </w:rPr>
            </w:pPr>
            <w:r w:rsidRPr="00C2587D">
              <w:rPr>
                <w:lang w:eastAsia="it-IT"/>
              </w:rPr>
              <w:t>30000,0</w:t>
            </w:r>
          </w:p>
        </w:tc>
        <w:tc>
          <w:tcPr>
            <w:tcW w:w="1245" w:type="dxa"/>
            <w:gridSpan w:val="2"/>
            <w:vAlign w:val="center"/>
          </w:tcPr>
          <w:p w14:paraId="51EF42C7" w14:textId="77777777" w:rsidR="009F618C" w:rsidRPr="00C2587D" w:rsidRDefault="009F618C" w:rsidP="00FD75D9">
            <w:pPr>
              <w:jc w:val="center"/>
              <w:rPr>
                <w:lang w:eastAsia="it-IT"/>
              </w:rPr>
            </w:pPr>
            <w:r w:rsidRPr="00C2587D">
              <w:rPr>
                <w:lang w:eastAsia="it-IT"/>
              </w:rPr>
              <w:t>28000,0</w:t>
            </w:r>
          </w:p>
        </w:tc>
        <w:tc>
          <w:tcPr>
            <w:tcW w:w="1424" w:type="dxa"/>
            <w:vAlign w:val="center"/>
          </w:tcPr>
          <w:p w14:paraId="62E1B2B8" w14:textId="77777777" w:rsidR="009F618C" w:rsidRPr="00C2587D" w:rsidRDefault="009F618C" w:rsidP="00FD75D9">
            <w:pPr>
              <w:jc w:val="center"/>
              <w:rPr>
                <w:lang w:eastAsia="it-IT"/>
              </w:rPr>
            </w:pPr>
            <w:r w:rsidRPr="00C2587D">
              <w:rPr>
                <w:lang w:eastAsia="it-IT"/>
              </w:rPr>
              <w:t>84000,0</w:t>
            </w:r>
          </w:p>
        </w:tc>
      </w:tr>
      <w:tr w:rsidR="009F618C" w:rsidRPr="00C2587D" w14:paraId="625C3623" w14:textId="77777777" w:rsidTr="00FD75D9">
        <w:trPr>
          <w:trHeight w:val="315"/>
          <w:jc w:val="right"/>
        </w:trPr>
        <w:tc>
          <w:tcPr>
            <w:tcW w:w="3425" w:type="dxa"/>
            <w:shd w:val="clear" w:color="auto" w:fill="FFFFFF"/>
            <w:vAlign w:val="center"/>
          </w:tcPr>
          <w:p w14:paraId="0C3A9534" w14:textId="77777777" w:rsidR="009F618C" w:rsidRPr="00C2587D" w:rsidRDefault="009F618C" w:rsidP="00FD75D9">
            <w:pPr>
              <w:rPr>
                <w:b/>
                <w:bCs/>
                <w:color w:val="000000"/>
              </w:rPr>
            </w:pPr>
            <w:r w:rsidRPr="00C2587D">
              <w:rPr>
                <w:color w:val="000000"/>
              </w:rPr>
              <w:t>-обласний бюджет;</w:t>
            </w:r>
          </w:p>
        </w:tc>
        <w:tc>
          <w:tcPr>
            <w:tcW w:w="1260" w:type="dxa"/>
            <w:gridSpan w:val="2"/>
            <w:vAlign w:val="center"/>
          </w:tcPr>
          <w:p w14:paraId="3E7AAC54" w14:textId="77777777" w:rsidR="009F618C" w:rsidRPr="00C2587D" w:rsidRDefault="009F618C" w:rsidP="00FD75D9">
            <w:pPr>
              <w:jc w:val="center"/>
              <w:rPr>
                <w:lang w:eastAsia="it-IT"/>
              </w:rPr>
            </w:pPr>
          </w:p>
        </w:tc>
        <w:tc>
          <w:tcPr>
            <w:tcW w:w="1411" w:type="dxa"/>
            <w:vAlign w:val="center"/>
          </w:tcPr>
          <w:p w14:paraId="0331F473" w14:textId="77777777" w:rsidR="009F618C" w:rsidRPr="00C2587D" w:rsidRDefault="009F618C" w:rsidP="00FD75D9">
            <w:pPr>
              <w:jc w:val="center"/>
              <w:rPr>
                <w:lang w:eastAsia="it-IT"/>
              </w:rPr>
            </w:pPr>
          </w:p>
        </w:tc>
        <w:tc>
          <w:tcPr>
            <w:tcW w:w="1454" w:type="dxa"/>
            <w:gridSpan w:val="2"/>
            <w:vAlign w:val="center"/>
          </w:tcPr>
          <w:p w14:paraId="2E7BA2C4" w14:textId="77777777" w:rsidR="009F618C" w:rsidRPr="00C2587D" w:rsidRDefault="009F618C" w:rsidP="00FD75D9">
            <w:pPr>
              <w:jc w:val="center"/>
              <w:rPr>
                <w:lang w:eastAsia="it-IT"/>
              </w:rPr>
            </w:pPr>
          </w:p>
        </w:tc>
        <w:tc>
          <w:tcPr>
            <w:tcW w:w="1245" w:type="dxa"/>
            <w:gridSpan w:val="2"/>
            <w:vAlign w:val="center"/>
          </w:tcPr>
          <w:p w14:paraId="581FFB84" w14:textId="77777777" w:rsidR="009F618C" w:rsidRPr="00C2587D" w:rsidRDefault="009F618C" w:rsidP="00FD75D9">
            <w:pPr>
              <w:jc w:val="center"/>
              <w:rPr>
                <w:lang w:eastAsia="it-IT"/>
              </w:rPr>
            </w:pPr>
          </w:p>
        </w:tc>
        <w:tc>
          <w:tcPr>
            <w:tcW w:w="1424" w:type="dxa"/>
            <w:vAlign w:val="center"/>
          </w:tcPr>
          <w:p w14:paraId="5E00DE47" w14:textId="77777777" w:rsidR="009F618C" w:rsidRPr="00C2587D" w:rsidRDefault="009F618C" w:rsidP="00FD75D9">
            <w:pPr>
              <w:jc w:val="center"/>
              <w:rPr>
                <w:lang w:eastAsia="it-IT"/>
              </w:rPr>
            </w:pPr>
          </w:p>
        </w:tc>
      </w:tr>
      <w:tr w:rsidR="009F618C" w:rsidRPr="00C2587D" w14:paraId="099DEFB4" w14:textId="77777777" w:rsidTr="00FD75D9">
        <w:trPr>
          <w:trHeight w:val="240"/>
          <w:jc w:val="right"/>
        </w:trPr>
        <w:tc>
          <w:tcPr>
            <w:tcW w:w="3425" w:type="dxa"/>
            <w:shd w:val="clear" w:color="auto" w:fill="FFFFFF"/>
            <w:vAlign w:val="center"/>
          </w:tcPr>
          <w:p w14:paraId="0695CF95" w14:textId="77777777" w:rsidR="009F618C" w:rsidRPr="00C2587D" w:rsidRDefault="009F618C" w:rsidP="00FD75D9">
            <w:pPr>
              <w:rPr>
                <w:color w:val="000000"/>
              </w:rPr>
            </w:pPr>
            <w:r w:rsidRPr="00C2587D">
              <w:rPr>
                <w:color w:val="000000"/>
              </w:rPr>
              <w:t xml:space="preserve">-бюджет Жмеринської МТГ; </w:t>
            </w:r>
          </w:p>
        </w:tc>
        <w:tc>
          <w:tcPr>
            <w:tcW w:w="1260" w:type="dxa"/>
            <w:gridSpan w:val="2"/>
            <w:vAlign w:val="center"/>
          </w:tcPr>
          <w:p w14:paraId="3C494C10" w14:textId="77777777" w:rsidR="009F618C" w:rsidRPr="00C2587D" w:rsidRDefault="009F618C" w:rsidP="00FD75D9">
            <w:pPr>
              <w:jc w:val="center"/>
              <w:rPr>
                <w:b/>
                <w:lang w:eastAsia="it-IT"/>
              </w:rPr>
            </w:pPr>
            <w:r w:rsidRPr="00C2587D">
              <w:rPr>
                <w:b/>
                <w:lang w:eastAsia="it-IT"/>
              </w:rPr>
              <w:t>0</w:t>
            </w:r>
          </w:p>
        </w:tc>
        <w:tc>
          <w:tcPr>
            <w:tcW w:w="1411" w:type="dxa"/>
            <w:vAlign w:val="center"/>
          </w:tcPr>
          <w:p w14:paraId="62F7DFD8" w14:textId="77777777" w:rsidR="009F618C" w:rsidRPr="00C2587D" w:rsidRDefault="009F618C" w:rsidP="00FD75D9">
            <w:pPr>
              <w:jc w:val="center"/>
              <w:rPr>
                <w:b/>
                <w:lang w:eastAsia="it-IT"/>
              </w:rPr>
            </w:pPr>
            <w:r w:rsidRPr="00C2587D">
              <w:rPr>
                <w:b/>
                <w:lang w:eastAsia="it-IT"/>
              </w:rPr>
              <w:t>5000,0</w:t>
            </w:r>
          </w:p>
        </w:tc>
        <w:tc>
          <w:tcPr>
            <w:tcW w:w="1454" w:type="dxa"/>
            <w:gridSpan w:val="2"/>
            <w:vAlign w:val="center"/>
          </w:tcPr>
          <w:p w14:paraId="5A536019" w14:textId="77777777" w:rsidR="009F618C" w:rsidRPr="00C2587D" w:rsidRDefault="009F618C" w:rsidP="00FD75D9">
            <w:pPr>
              <w:jc w:val="center"/>
              <w:rPr>
                <w:b/>
                <w:lang w:eastAsia="it-IT"/>
              </w:rPr>
            </w:pPr>
            <w:r w:rsidRPr="00C2587D">
              <w:rPr>
                <w:b/>
                <w:lang w:eastAsia="it-IT"/>
              </w:rPr>
              <w:t>7000,0</w:t>
            </w:r>
          </w:p>
        </w:tc>
        <w:tc>
          <w:tcPr>
            <w:tcW w:w="1245" w:type="dxa"/>
            <w:gridSpan w:val="2"/>
            <w:vAlign w:val="center"/>
          </w:tcPr>
          <w:p w14:paraId="4B9A77DF" w14:textId="77777777" w:rsidR="009F618C" w:rsidRPr="00C2587D" w:rsidRDefault="009F618C" w:rsidP="00FD75D9">
            <w:pPr>
              <w:jc w:val="center"/>
              <w:rPr>
                <w:b/>
                <w:lang w:eastAsia="it-IT"/>
              </w:rPr>
            </w:pPr>
            <w:r w:rsidRPr="00C2587D">
              <w:rPr>
                <w:b/>
                <w:lang w:eastAsia="it-IT"/>
              </w:rPr>
              <w:t>4000,0</w:t>
            </w:r>
          </w:p>
        </w:tc>
        <w:tc>
          <w:tcPr>
            <w:tcW w:w="1424" w:type="dxa"/>
            <w:vAlign w:val="center"/>
          </w:tcPr>
          <w:p w14:paraId="7FF58937" w14:textId="77777777" w:rsidR="009F618C" w:rsidRPr="00C2587D" w:rsidRDefault="009F618C" w:rsidP="00FD75D9">
            <w:pPr>
              <w:jc w:val="center"/>
              <w:rPr>
                <w:b/>
                <w:lang w:eastAsia="it-IT"/>
              </w:rPr>
            </w:pPr>
            <w:r w:rsidRPr="00C2587D">
              <w:rPr>
                <w:b/>
                <w:lang w:eastAsia="it-IT"/>
              </w:rPr>
              <w:t>16000,0</w:t>
            </w:r>
          </w:p>
        </w:tc>
      </w:tr>
      <w:tr w:rsidR="009F618C" w:rsidRPr="00C2587D" w14:paraId="448B1169" w14:textId="77777777" w:rsidTr="00FD75D9">
        <w:trPr>
          <w:trHeight w:val="240"/>
          <w:jc w:val="right"/>
        </w:trPr>
        <w:tc>
          <w:tcPr>
            <w:tcW w:w="3425" w:type="dxa"/>
            <w:shd w:val="clear" w:color="auto" w:fill="FFFFFF"/>
            <w:vAlign w:val="center"/>
          </w:tcPr>
          <w:p w14:paraId="0B019573" w14:textId="77777777" w:rsidR="009F618C" w:rsidRPr="00C2587D" w:rsidRDefault="009F618C" w:rsidP="00FD75D9">
            <w:pPr>
              <w:rPr>
                <w:color w:val="000000"/>
              </w:rPr>
            </w:pPr>
            <w:r w:rsidRPr="00C2587D">
              <w:rPr>
                <w:color w:val="000000"/>
              </w:rPr>
              <w:t>-інші джерела фінансування.</w:t>
            </w:r>
          </w:p>
        </w:tc>
        <w:tc>
          <w:tcPr>
            <w:tcW w:w="1260" w:type="dxa"/>
            <w:gridSpan w:val="2"/>
            <w:vAlign w:val="center"/>
          </w:tcPr>
          <w:p w14:paraId="56CF1413" w14:textId="77777777" w:rsidR="009F618C" w:rsidRPr="00C2587D" w:rsidRDefault="009F618C" w:rsidP="00FD75D9">
            <w:pPr>
              <w:jc w:val="center"/>
              <w:rPr>
                <w:lang w:eastAsia="it-IT"/>
              </w:rPr>
            </w:pPr>
          </w:p>
        </w:tc>
        <w:tc>
          <w:tcPr>
            <w:tcW w:w="1411" w:type="dxa"/>
            <w:vAlign w:val="center"/>
          </w:tcPr>
          <w:p w14:paraId="6141F8B0" w14:textId="77777777" w:rsidR="009F618C" w:rsidRPr="00C2587D" w:rsidRDefault="009F618C" w:rsidP="00FD75D9">
            <w:pPr>
              <w:jc w:val="center"/>
              <w:rPr>
                <w:lang w:eastAsia="it-IT"/>
              </w:rPr>
            </w:pPr>
            <w:r w:rsidRPr="00C2587D">
              <w:rPr>
                <w:lang w:eastAsia="it-IT"/>
              </w:rPr>
              <w:t>130000,0</w:t>
            </w:r>
          </w:p>
        </w:tc>
        <w:tc>
          <w:tcPr>
            <w:tcW w:w="1454" w:type="dxa"/>
            <w:gridSpan w:val="2"/>
            <w:vAlign w:val="center"/>
          </w:tcPr>
          <w:p w14:paraId="3AEE6555" w14:textId="77777777" w:rsidR="009F618C" w:rsidRPr="00C2587D" w:rsidRDefault="009F618C" w:rsidP="00FD75D9">
            <w:pPr>
              <w:jc w:val="center"/>
              <w:rPr>
                <w:lang w:eastAsia="it-IT"/>
              </w:rPr>
            </w:pPr>
            <w:r w:rsidRPr="00C2587D">
              <w:rPr>
                <w:lang w:eastAsia="it-IT"/>
              </w:rPr>
              <w:t>120000,0</w:t>
            </w:r>
          </w:p>
        </w:tc>
        <w:tc>
          <w:tcPr>
            <w:tcW w:w="1245" w:type="dxa"/>
            <w:gridSpan w:val="2"/>
            <w:vAlign w:val="center"/>
          </w:tcPr>
          <w:p w14:paraId="66B24F35" w14:textId="77777777" w:rsidR="009F618C" w:rsidRPr="00C2587D" w:rsidRDefault="009F618C" w:rsidP="00FD75D9">
            <w:pPr>
              <w:jc w:val="center"/>
              <w:rPr>
                <w:lang w:eastAsia="it-IT"/>
              </w:rPr>
            </w:pPr>
            <w:r w:rsidRPr="00C2587D">
              <w:rPr>
                <w:lang w:eastAsia="it-IT"/>
              </w:rPr>
              <w:t>100000,0</w:t>
            </w:r>
          </w:p>
        </w:tc>
        <w:tc>
          <w:tcPr>
            <w:tcW w:w="1424" w:type="dxa"/>
            <w:vAlign w:val="center"/>
          </w:tcPr>
          <w:p w14:paraId="6195A295" w14:textId="77777777" w:rsidR="009F618C" w:rsidRPr="00C2587D" w:rsidRDefault="009F618C" w:rsidP="00FD75D9">
            <w:pPr>
              <w:jc w:val="center"/>
              <w:rPr>
                <w:lang w:eastAsia="it-IT"/>
              </w:rPr>
            </w:pPr>
            <w:r w:rsidRPr="00C2587D">
              <w:rPr>
                <w:lang w:eastAsia="it-IT"/>
              </w:rPr>
              <w:t>350000,0</w:t>
            </w:r>
          </w:p>
        </w:tc>
      </w:tr>
      <w:tr w:rsidR="009F618C" w:rsidRPr="00C2587D" w14:paraId="1C159CFF" w14:textId="77777777" w:rsidTr="00FD75D9">
        <w:trPr>
          <w:jc w:val="right"/>
        </w:trPr>
        <w:tc>
          <w:tcPr>
            <w:tcW w:w="3425" w:type="dxa"/>
            <w:shd w:val="clear" w:color="auto" w:fill="FFFFFF"/>
            <w:vAlign w:val="center"/>
          </w:tcPr>
          <w:p w14:paraId="2627B679" w14:textId="77777777" w:rsidR="009F618C" w:rsidRPr="00C2587D" w:rsidRDefault="009F618C" w:rsidP="00FD75D9">
            <w:pPr>
              <w:rPr>
                <w:b/>
                <w:bCs/>
                <w:color w:val="000000"/>
              </w:rPr>
            </w:pPr>
            <w:r w:rsidRPr="00C2587D">
              <w:rPr>
                <w:b/>
                <w:color w:val="000000"/>
              </w:rPr>
              <w:t>Відповідальний виконавець проєкту:</w:t>
            </w:r>
          </w:p>
        </w:tc>
        <w:tc>
          <w:tcPr>
            <w:tcW w:w="6794" w:type="dxa"/>
            <w:gridSpan w:val="8"/>
            <w:vAlign w:val="center"/>
          </w:tcPr>
          <w:p w14:paraId="5C9004D1" w14:textId="77777777" w:rsidR="009F618C" w:rsidRPr="00C2587D" w:rsidRDefault="009F618C" w:rsidP="00FD75D9">
            <w:pPr>
              <w:tabs>
                <w:tab w:val="left" w:pos="285"/>
              </w:tabs>
              <w:jc w:val="both"/>
              <w:rPr>
                <w:color w:val="000000"/>
                <w:lang w:eastAsia="it-IT"/>
              </w:rPr>
            </w:pPr>
          </w:p>
        </w:tc>
      </w:tr>
      <w:tr w:rsidR="009F618C" w:rsidRPr="00C2587D" w14:paraId="2BEEE2ED" w14:textId="77777777" w:rsidTr="00FD75D9">
        <w:trPr>
          <w:jc w:val="right"/>
        </w:trPr>
        <w:tc>
          <w:tcPr>
            <w:tcW w:w="3425" w:type="dxa"/>
            <w:shd w:val="clear" w:color="auto" w:fill="FFFFFF"/>
            <w:vAlign w:val="center"/>
          </w:tcPr>
          <w:p w14:paraId="043498AA" w14:textId="77777777" w:rsidR="009F618C" w:rsidRPr="00C2587D" w:rsidRDefault="009F618C" w:rsidP="00FD75D9">
            <w:pPr>
              <w:rPr>
                <w:b/>
                <w:bCs/>
              </w:rPr>
            </w:pPr>
            <w:r w:rsidRPr="00C2587D">
              <w:rPr>
                <w:b/>
                <w:bCs/>
              </w:rPr>
              <w:t>Інше:</w:t>
            </w:r>
          </w:p>
        </w:tc>
        <w:tc>
          <w:tcPr>
            <w:tcW w:w="6794" w:type="dxa"/>
            <w:gridSpan w:val="8"/>
            <w:vAlign w:val="center"/>
          </w:tcPr>
          <w:p w14:paraId="70D163CF" w14:textId="77777777" w:rsidR="009F618C" w:rsidRPr="00C2587D" w:rsidRDefault="009F618C" w:rsidP="00FD75D9">
            <w:pPr>
              <w:jc w:val="both"/>
              <w:rPr>
                <w:lang w:eastAsia="it-IT"/>
              </w:rPr>
            </w:pPr>
            <w:r w:rsidRPr="00C2587D">
              <w:rPr>
                <w:lang w:eastAsia="it-IT"/>
              </w:rPr>
              <w:t>Управління економіки та розвитку інфраструктури виконавчого комітету  Жмеринської міської ради</w:t>
            </w:r>
          </w:p>
        </w:tc>
      </w:tr>
    </w:tbl>
    <w:p w14:paraId="5DDA0CB3" w14:textId="77777777" w:rsidR="006D4A2C" w:rsidRDefault="006D4A2C" w:rsidP="009F618C">
      <w:pPr>
        <w:jc w:val="center"/>
        <w:rPr>
          <w:rFonts w:cs="Arial"/>
          <w:b/>
          <w:color w:val="000000"/>
          <w:szCs w:val="22"/>
        </w:rPr>
      </w:pPr>
    </w:p>
    <w:p w14:paraId="551A92F6" w14:textId="0D0EC2F7" w:rsidR="009F618C" w:rsidRPr="00C2587D" w:rsidRDefault="009F618C" w:rsidP="009F618C">
      <w:pPr>
        <w:jc w:val="center"/>
        <w:rPr>
          <w:rFonts w:cs="Arial"/>
          <w:b/>
          <w:color w:val="000000"/>
          <w:szCs w:val="22"/>
        </w:rPr>
      </w:pPr>
      <w:r w:rsidRPr="00C2587D">
        <w:rPr>
          <w:rFonts w:cs="Arial"/>
          <w:b/>
          <w:color w:val="000000"/>
          <w:szCs w:val="22"/>
        </w:rPr>
        <w:t>Форма технічного завдання на про</w:t>
      </w:r>
      <w:r w:rsidR="006C54F4">
        <w:rPr>
          <w:rFonts w:cs="Arial"/>
          <w:b/>
          <w:color w:val="000000"/>
          <w:szCs w:val="22"/>
        </w:rPr>
        <w:t>є</w:t>
      </w:r>
      <w:r w:rsidRPr="00C2587D">
        <w:rPr>
          <w:rFonts w:cs="Arial"/>
          <w:b/>
          <w:color w:val="000000"/>
          <w:szCs w:val="22"/>
        </w:rPr>
        <w:t xml:space="preserve">кт місцевого розвитку </w:t>
      </w:r>
    </w:p>
    <w:p w14:paraId="7784BB82" w14:textId="77777777" w:rsidR="009F618C" w:rsidRPr="00C2587D" w:rsidRDefault="009F618C" w:rsidP="009F618C">
      <w:pPr>
        <w:jc w:val="center"/>
        <w:rPr>
          <w:rFonts w:cs="Arial"/>
          <w:b/>
          <w:color w:val="000000"/>
          <w:szCs w:val="22"/>
        </w:rPr>
      </w:pPr>
      <w:r w:rsidRPr="00C2587D">
        <w:rPr>
          <w:rFonts w:cs="Arial"/>
          <w:b/>
          <w:color w:val="000000"/>
          <w:szCs w:val="22"/>
        </w:rPr>
        <w:t>до Плану заходів з реалізації Стратегії</w:t>
      </w:r>
    </w:p>
    <w:p w14:paraId="3A1A69C1" w14:textId="77777777" w:rsidR="009F618C" w:rsidRPr="00C2587D" w:rsidRDefault="009F618C" w:rsidP="009F618C">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6"/>
        <w:gridCol w:w="1350"/>
        <w:gridCol w:w="61"/>
        <w:gridCol w:w="1418"/>
        <w:gridCol w:w="36"/>
        <w:gridCol w:w="1239"/>
        <w:gridCol w:w="6"/>
        <w:gridCol w:w="1424"/>
      </w:tblGrid>
      <w:tr w:rsidR="009F618C" w:rsidRPr="00C2587D" w14:paraId="3B5F41B5" w14:textId="77777777" w:rsidTr="00FD75D9">
        <w:trPr>
          <w:jc w:val="right"/>
        </w:trPr>
        <w:tc>
          <w:tcPr>
            <w:tcW w:w="3425" w:type="dxa"/>
            <w:vAlign w:val="center"/>
          </w:tcPr>
          <w:p w14:paraId="2257F0F3" w14:textId="009C0F26" w:rsidR="009F618C" w:rsidRPr="006D4A2C" w:rsidRDefault="006C54F4" w:rsidP="00FD75D9">
            <w:pPr>
              <w:rPr>
                <w:rFonts w:cs="Arial"/>
                <w:b/>
              </w:rPr>
            </w:pPr>
            <w:r>
              <w:rPr>
                <w:rFonts w:cs="Arial"/>
                <w:b/>
              </w:rPr>
              <w:t>Назва проє</w:t>
            </w:r>
            <w:r w:rsidR="009F618C" w:rsidRPr="006D4A2C">
              <w:rPr>
                <w:rFonts w:cs="Arial"/>
                <w:b/>
              </w:rPr>
              <w:t>кту:</w:t>
            </w:r>
          </w:p>
        </w:tc>
        <w:tc>
          <w:tcPr>
            <w:tcW w:w="6794" w:type="dxa"/>
            <w:gridSpan w:val="9"/>
            <w:vAlign w:val="center"/>
          </w:tcPr>
          <w:p w14:paraId="22C359F8" w14:textId="77777777" w:rsidR="009F618C" w:rsidRPr="006D4A2C" w:rsidRDefault="009F618C" w:rsidP="00FD75D9">
            <w:pPr>
              <w:jc w:val="both"/>
              <w:rPr>
                <w:rFonts w:cs="Arial"/>
                <w:b/>
                <w:bCs/>
              </w:rPr>
            </w:pPr>
            <w:r w:rsidRPr="006D4A2C">
              <w:rPr>
                <w:rFonts w:cs="Arial"/>
                <w:b/>
                <w:bCs/>
              </w:rPr>
              <w:t>Розробка та затвердження маркетингової стратегії Жмеринської міської територіальної громади</w:t>
            </w:r>
          </w:p>
        </w:tc>
      </w:tr>
      <w:tr w:rsidR="009F618C" w:rsidRPr="00C2587D" w14:paraId="6C8F466E" w14:textId="77777777" w:rsidTr="00FD75D9">
        <w:trPr>
          <w:jc w:val="right"/>
        </w:trPr>
        <w:tc>
          <w:tcPr>
            <w:tcW w:w="3425" w:type="dxa"/>
          </w:tcPr>
          <w:p w14:paraId="50688296" w14:textId="77777777" w:rsidR="009F618C" w:rsidRPr="006D4A2C" w:rsidRDefault="009F618C" w:rsidP="00FD75D9">
            <w:pPr>
              <w:spacing w:before="40" w:after="40"/>
              <w:rPr>
                <w:rFonts w:cs="Arial"/>
                <w:lang w:eastAsia="it-IT"/>
              </w:rPr>
            </w:pPr>
            <w:r w:rsidRPr="006D4A2C">
              <w:rPr>
                <w:rFonts w:cs="Arial"/>
                <w:b/>
                <w:bCs/>
              </w:rPr>
              <w:t>Ваші контакти</w:t>
            </w:r>
            <w:r w:rsidRPr="006D4A2C">
              <w:rPr>
                <w:rFonts w:cs="Arial"/>
                <w:lang w:eastAsia="it-IT"/>
              </w:rPr>
              <w:t>:</w:t>
            </w:r>
          </w:p>
          <w:p w14:paraId="5466996B" w14:textId="77777777" w:rsidR="009F618C" w:rsidRPr="006D4A2C" w:rsidRDefault="009F618C" w:rsidP="00FD75D9">
            <w:pPr>
              <w:spacing w:before="40" w:after="40"/>
              <w:rPr>
                <w:rFonts w:cs="Arial"/>
                <w:b/>
                <w:bCs/>
              </w:rPr>
            </w:pPr>
            <w:r w:rsidRPr="006D4A2C">
              <w:rPr>
                <w:rFonts w:cs="Arial"/>
                <w:lang w:eastAsia="it-IT"/>
              </w:rPr>
              <w:t>Назва установи, організації, підприємства</w:t>
            </w:r>
          </w:p>
        </w:tc>
        <w:tc>
          <w:tcPr>
            <w:tcW w:w="6794" w:type="dxa"/>
            <w:gridSpan w:val="9"/>
            <w:vAlign w:val="center"/>
          </w:tcPr>
          <w:p w14:paraId="7F189168" w14:textId="77777777" w:rsidR="009F618C" w:rsidRPr="006D4A2C" w:rsidRDefault="009F618C" w:rsidP="00FD75D9">
            <w:pPr>
              <w:spacing w:before="40" w:after="40"/>
              <w:rPr>
                <w:rFonts w:cs="Arial"/>
                <w:lang w:eastAsia="it-IT"/>
              </w:rPr>
            </w:pPr>
            <w:r w:rsidRPr="006D4A2C">
              <w:rPr>
                <w:rFonts w:cs="Arial"/>
                <w:lang w:eastAsia="it-IT"/>
              </w:rPr>
              <w:t>Управління економіки та розвитку інфраструктури виконавчого комітету  Жмеринської міської ради</w:t>
            </w:r>
          </w:p>
        </w:tc>
      </w:tr>
      <w:tr w:rsidR="009F618C" w:rsidRPr="00C2587D" w14:paraId="6D021D9C" w14:textId="77777777" w:rsidTr="00FD75D9">
        <w:trPr>
          <w:jc w:val="right"/>
        </w:trPr>
        <w:tc>
          <w:tcPr>
            <w:tcW w:w="3425" w:type="dxa"/>
          </w:tcPr>
          <w:p w14:paraId="4F8DC958" w14:textId="77777777" w:rsidR="009F618C" w:rsidRPr="006D4A2C" w:rsidRDefault="009F618C" w:rsidP="00FD75D9">
            <w:pPr>
              <w:spacing w:before="40" w:after="40"/>
              <w:rPr>
                <w:rFonts w:cs="Arial"/>
                <w:b/>
                <w:bCs/>
              </w:rPr>
            </w:pPr>
            <w:r w:rsidRPr="006D4A2C">
              <w:rPr>
                <w:rFonts w:cs="Arial"/>
                <w:lang w:eastAsia="it-IT"/>
              </w:rPr>
              <w:t>Прізвище Ім’я По-батькові:</w:t>
            </w:r>
          </w:p>
        </w:tc>
        <w:tc>
          <w:tcPr>
            <w:tcW w:w="6794" w:type="dxa"/>
            <w:gridSpan w:val="9"/>
            <w:vAlign w:val="center"/>
          </w:tcPr>
          <w:p w14:paraId="0D7217A7" w14:textId="77777777" w:rsidR="009F618C" w:rsidRPr="006D4A2C" w:rsidRDefault="009F618C" w:rsidP="00FD75D9">
            <w:pPr>
              <w:spacing w:before="40" w:after="40"/>
              <w:rPr>
                <w:rFonts w:cs="Arial"/>
                <w:lang w:eastAsia="it-IT"/>
              </w:rPr>
            </w:pPr>
            <w:r w:rsidRPr="006D4A2C">
              <w:rPr>
                <w:rFonts w:cs="Arial"/>
                <w:lang w:eastAsia="it-IT"/>
              </w:rPr>
              <w:t>Коновал Анатолій Романович</w:t>
            </w:r>
          </w:p>
        </w:tc>
      </w:tr>
      <w:tr w:rsidR="009F618C" w:rsidRPr="00C2587D" w14:paraId="35EDD41B" w14:textId="77777777" w:rsidTr="00FD75D9">
        <w:trPr>
          <w:jc w:val="right"/>
        </w:trPr>
        <w:tc>
          <w:tcPr>
            <w:tcW w:w="3425" w:type="dxa"/>
          </w:tcPr>
          <w:p w14:paraId="0536CF81" w14:textId="77777777" w:rsidR="009F618C" w:rsidRPr="006D4A2C" w:rsidRDefault="009F618C" w:rsidP="00FD75D9">
            <w:pPr>
              <w:spacing w:before="40" w:after="40"/>
              <w:rPr>
                <w:rFonts w:cs="Arial"/>
                <w:b/>
                <w:bCs/>
              </w:rPr>
            </w:pPr>
            <w:r w:rsidRPr="006D4A2C">
              <w:rPr>
                <w:rFonts w:cs="Arial"/>
                <w:lang w:eastAsia="it-IT"/>
              </w:rPr>
              <w:t>Телефон (мобільний):</w:t>
            </w:r>
          </w:p>
        </w:tc>
        <w:tc>
          <w:tcPr>
            <w:tcW w:w="6794" w:type="dxa"/>
            <w:gridSpan w:val="9"/>
            <w:vAlign w:val="center"/>
          </w:tcPr>
          <w:p w14:paraId="22C335A6" w14:textId="77777777" w:rsidR="009F618C" w:rsidRPr="006D4A2C" w:rsidRDefault="009F618C" w:rsidP="00FD75D9">
            <w:pPr>
              <w:spacing w:before="40" w:after="40"/>
              <w:rPr>
                <w:rFonts w:cs="Arial"/>
                <w:lang w:eastAsia="it-IT"/>
              </w:rPr>
            </w:pPr>
            <w:r w:rsidRPr="006D4A2C">
              <w:rPr>
                <w:rFonts w:cs="Arial"/>
                <w:lang w:eastAsia="it-IT"/>
              </w:rPr>
              <w:t>0674300414</w:t>
            </w:r>
          </w:p>
        </w:tc>
      </w:tr>
      <w:tr w:rsidR="009F618C" w:rsidRPr="00C2587D" w14:paraId="5537D1AE" w14:textId="77777777" w:rsidTr="00FD75D9">
        <w:trPr>
          <w:jc w:val="right"/>
        </w:trPr>
        <w:tc>
          <w:tcPr>
            <w:tcW w:w="3425" w:type="dxa"/>
          </w:tcPr>
          <w:p w14:paraId="7FEEEF7D" w14:textId="77777777" w:rsidR="009F618C" w:rsidRPr="006D4A2C" w:rsidRDefault="009F618C" w:rsidP="00FD75D9">
            <w:pPr>
              <w:spacing w:before="40" w:after="40"/>
              <w:rPr>
                <w:rFonts w:cs="Arial"/>
                <w:b/>
                <w:bCs/>
              </w:rPr>
            </w:pPr>
            <w:r w:rsidRPr="006D4A2C">
              <w:rPr>
                <w:rFonts w:cs="Arial"/>
                <w:lang w:eastAsia="it-IT"/>
              </w:rPr>
              <w:t>Електронна адреса:</w:t>
            </w:r>
          </w:p>
        </w:tc>
        <w:tc>
          <w:tcPr>
            <w:tcW w:w="6794" w:type="dxa"/>
            <w:gridSpan w:val="9"/>
            <w:vAlign w:val="center"/>
          </w:tcPr>
          <w:p w14:paraId="0C668CE5" w14:textId="66E4986F" w:rsidR="009F618C" w:rsidRPr="006D4A2C" w:rsidRDefault="00D85FFD" w:rsidP="00FD75D9">
            <w:pPr>
              <w:spacing w:before="40" w:after="40"/>
              <w:rPr>
                <w:rFonts w:cs="Arial"/>
                <w:lang w:eastAsia="it-IT"/>
              </w:rPr>
            </w:pPr>
            <w:hyperlink r:id="rId39" w:history="1">
              <w:r w:rsidR="006D4A2C" w:rsidRPr="006D4A2C">
                <w:rPr>
                  <w:rStyle w:val="af0"/>
                  <w:rFonts w:cs="Arial"/>
                  <w:noProof w:val="0"/>
                  <w:sz w:val="22"/>
                  <w:szCs w:val="24"/>
                  <w:lang w:eastAsia="it-IT"/>
                </w:rPr>
                <w:t>econ@zhmr.gov.ua</w:t>
              </w:r>
            </w:hyperlink>
            <w:r w:rsidR="006D4A2C" w:rsidRPr="006D4A2C">
              <w:rPr>
                <w:rFonts w:cs="Arial"/>
                <w:lang w:eastAsia="it-IT"/>
              </w:rPr>
              <w:t xml:space="preserve"> </w:t>
            </w:r>
          </w:p>
        </w:tc>
      </w:tr>
      <w:tr w:rsidR="009F618C" w:rsidRPr="00C2587D" w14:paraId="5A6A4206" w14:textId="77777777" w:rsidTr="00FD75D9">
        <w:trPr>
          <w:jc w:val="right"/>
        </w:trPr>
        <w:tc>
          <w:tcPr>
            <w:tcW w:w="3425" w:type="dxa"/>
            <w:vAlign w:val="center"/>
          </w:tcPr>
          <w:p w14:paraId="5973EBA8" w14:textId="39419DCF" w:rsidR="009F618C" w:rsidRPr="006C54F4" w:rsidRDefault="009F618C" w:rsidP="00FD75D9">
            <w:pPr>
              <w:pStyle w:val="6"/>
              <w:spacing w:before="0" w:after="0"/>
              <w:rPr>
                <w:rFonts w:ascii="Arial" w:hAnsi="Arial" w:cs="Arial"/>
                <w:color w:val="000000"/>
                <w:lang w:val="uk-UA"/>
              </w:rPr>
            </w:pPr>
            <w:r w:rsidRPr="006C54F4">
              <w:rPr>
                <w:rFonts w:ascii="Arial" w:hAnsi="Arial" w:cs="Arial"/>
                <w:color w:val="000000"/>
                <w:lang w:val="uk-UA"/>
              </w:rPr>
              <w:t>Номер і назва завдання з Стратегії</w:t>
            </w:r>
            <w:r w:rsidRPr="006C54F4">
              <w:rPr>
                <w:rFonts w:ascii="Arial" w:hAnsi="Arial" w:cs="Arial"/>
                <w:lang w:val="uk-UA" w:eastAsia="it-IT"/>
              </w:rPr>
              <w:t xml:space="preserve"> </w:t>
            </w:r>
            <w:r w:rsidRPr="006C54F4">
              <w:rPr>
                <w:rFonts w:ascii="Arial" w:hAnsi="Arial" w:cs="Arial"/>
                <w:color w:val="000000"/>
                <w:lang w:val="uk-UA"/>
              </w:rPr>
              <w:t>розвитку Жмеринської міської територіальної</w:t>
            </w:r>
            <w:r w:rsidR="006C54F4">
              <w:rPr>
                <w:rFonts w:ascii="Arial" w:hAnsi="Arial" w:cs="Arial"/>
                <w:color w:val="000000"/>
                <w:lang w:val="uk-UA"/>
              </w:rPr>
              <w:t xml:space="preserve"> громади,  якому відповідає проє</w:t>
            </w:r>
            <w:r w:rsidRPr="006C54F4">
              <w:rPr>
                <w:rFonts w:ascii="Arial" w:hAnsi="Arial" w:cs="Arial"/>
                <w:color w:val="000000"/>
                <w:lang w:val="uk-UA"/>
              </w:rPr>
              <w:t>кт:</w:t>
            </w:r>
          </w:p>
        </w:tc>
        <w:tc>
          <w:tcPr>
            <w:tcW w:w="6794" w:type="dxa"/>
            <w:gridSpan w:val="9"/>
            <w:vAlign w:val="center"/>
          </w:tcPr>
          <w:p w14:paraId="4F247801" w14:textId="77777777" w:rsidR="009F618C" w:rsidRPr="006D4A2C" w:rsidRDefault="009F618C" w:rsidP="00FD75D9">
            <w:pPr>
              <w:rPr>
                <w:rFonts w:cs="Arial"/>
                <w:color w:val="000000"/>
                <w:lang w:eastAsia="uk-UA"/>
              </w:rPr>
            </w:pPr>
            <w:r w:rsidRPr="006D4A2C">
              <w:rPr>
                <w:rFonts w:cs="Arial"/>
                <w:color w:val="000000"/>
                <w:lang w:eastAsia="uk-UA"/>
              </w:rPr>
              <w:t>А.4. Ефективна інвестиційна політика та маркетинг території</w:t>
            </w:r>
          </w:p>
          <w:p w14:paraId="738F4580" w14:textId="041F27DD" w:rsidR="009F618C" w:rsidRPr="006D4A2C" w:rsidRDefault="009F618C" w:rsidP="006D4A2C">
            <w:pPr>
              <w:rPr>
                <w:rFonts w:cs="Arial"/>
                <w:lang w:eastAsia="uk-UA"/>
              </w:rPr>
            </w:pPr>
            <w:r w:rsidRPr="006D4A2C">
              <w:rPr>
                <w:rFonts w:cs="Arial"/>
                <w:lang w:eastAsia="uk-UA"/>
              </w:rPr>
              <w:t>А.4.2. Розробка бренду та маркетингової стратегії громади</w:t>
            </w:r>
          </w:p>
        </w:tc>
      </w:tr>
      <w:tr w:rsidR="009F618C" w:rsidRPr="00C2587D" w14:paraId="502BA42F" w14:textId="77777777" w:rsidTr="00FD75D9">
        <w:trPr>
          <w:jc w:val="right"/>
        </w:trPr>
        <w:tc>
          <w:tcPr>
            <w:tcW w:w="3425" w:type="dxa"/>
            <w:vAlign w:val="center"/>
          </w:tcPr>
          <w:p w14:paraId="3973CA34" w14:textId="77777777" w:rsidR="009F618C" w:rsidRPr="006D4A2C" w:rsidRDefault="009F618C" w:rsidP="00FD75D9">
            <w:pPr>
              <w:rPr>
                <w:rFonts w:cs="Arial"/>
                <w:b/>
                <w:bCs/>
                <w:color w:val="000000"/>
              </w:rPr>
            </w:pPr>
            <w:r w:rsidRPr="006D4A2C">
              <w:rPr>
                <w:rFonts w:cs="Arial"/>
                <w:b/>
                <w:bCs/>
                <w:color w:val="000000"/>
              </w:rPr>
              <w:t>Мета проєкту</w:t>
            </w:r>
          </w:p>
        </w:tc>
        <w:tc>
          <w:tcPr>
            <w:tcW w:w="6794" w:type="dxa"/>
            <w:gridSpan w:val="9"/>
            <w:vAlign w:val="center"/>
          </w:tcPr>
          <w:p w14:paraId="2A21078E" w14:textId="77777777" w:rsidR="009F618C" w:rsidRPr="006D4A2C" w:rsidRDefault="009F618C" w:rsidP="00FD75D9">
            <w:pPr>
              <w:spacing w:before="40" w:after="40"/>
              <w:rPr>
                <w:rFonts w:cs="Arial"/>
                <w:lang w:eastAsia="it-IT"/>
              </w:rPr>
            </w:pPr>
            <w:r w:rsidRPr="006D4A2C">
              <w:rPr>
                <w:rFonts w:cs="Arial"/>
              </w:rPr>
              <w:t>Створення та зміцнення інвестиційного іміджу Жмеринської міської територіальної громади шляхом розробки стратегічного документу, що передбачатиме впровадження заходів щодо забезпечення формування потужного цілісного унікального іміджу громади на внутрішньому та міжнародному ринках через комплексне просування бренду громади</w:t>
            </w:r>
          </w:p>
        </w:tc>
      </w:tr>
      <w:tr w:rsidR="009F618C" w:rsidRPr="00C2587D" w14:paraId="2A2C8C13" w14:textId="77777777" w:rsidTr="00FD75D9">
        <w:trPr>
          <w:jc w:val="right"/>
        </w:trPr>
        <w:tc>
          <w:tcPr>
            <w:tcW w:w="3425" w:type="dxa"/>
            <w:vAlign w:val="center"/>
          </w:tcPr>
          <w:p w14:paraId="3546717F" w14:textId="039CEF4B" w:rsidR="009F618C" w:rsidRPr="006D4A2C" w:rsidRDefault="006C54F4" w:rsidP="00FD75D9">
            <w:pPr>
              <w:rPr>
                <w:rFonts w:cs="Arial"/>
                <w:b/>
                <w:bCs/>
                <w:color w:val="000000"/>
              </w:rPr>
            </w:pPr>
            <w:r>
              <w:rPr>
                <w:rFonts w:cs="Arial"/>
                <w:b/>
                <w:bCs/>
                <w:color w:val="000000"/>
              </w:rPr>
              <w:t>Цілі проє</w:t>
            </w:r>
            <w:r w:rsidR="009F618C" w:rsidRPr="006D4A2C">
              <w:rPr>
                <w:rFonts w:cs="Arial"/>
                <w:b/>
                <w:bCs/>
                <w:color w:val="000000"/>
              </w:rPr>
              <w:t>кту:</w:t>
            </w:r>
          </w:p>
        </w:tc>
        <w:tc>
          <w:tcPr>
            <w:tcW w:w="6794" w:type="dxa"/>
            <w:gridSpan w:val="9"/>
            <w:vAlign w:val="center"/>
          </w:tcPr>
          <w:p w14:paraId="6A7CE77B" w14:textId="77777777" w:rsidR="009F618C" w:rsidRPr="006D4A2C" w:rsidRDefault="009F618C" w:rsidP="006D4A2C">
            <w:pPr>
              <w:spacing w:before="40" w:after="40"/>
              <w:jc w:val="both"/>
              <w:rPr>
                <w:rFonts w:cs="Arial"/>
                <w:szCs w:val="22"/>
              </w:rPr>
            </w:pPr>
            <w:r w:rsidRPr="006D4A2C">
              <w:rPr>
                <w:rFonts w:cs="Arial"/>
                <w:szCs w:val="22"/>
              </w:rPr>
              <w:t xml:space="preserve">1. Підготовка технічного завдання на розробку маркетингової стратегії Жмеринської міської територіальної громади. </w:t>
            </w:r>
          </w:p>
          <w:p w14:paraId="54C94B6C" w14:textId="77777777" w:rsidR="009F618C" w:rsidRPr="006D4A2C" w:rsidRDefault="009F618C" w:rsidP="006D4A2C">
            <w:pPr>
              <w:spacing w:before="40" w:after="40"/>
              <w:jc w:val="both"/>
              <w:rPr>
                <w:rFonts w:cs="Arial"/>
                <w:szCs w:val="22"/>
              </w:rPr>
            </w:pPr>
            <w:r w:rsidRPr="006D4A2C">
              <w:rPr>
                <w:rFonts w:cs="Arial"/>
                <w:szCs w:val="22"/>
              </w:rPr>
              <w:t xml:space="preserve">2. Подання проєктної заявки на участь у проєктах та програмах міжнародної технічної допомоги. </w:t>
            </w:r>
          </w:p>
          <w:p w14:paraId="495F6419" w14:textId="77777777" w:rsidR="009F618C" w:rsidRPr="006D4A2C" w:rsidRDefault="009F618C" w:rsidP="006D4A2C">
            <w:pPr>
              <w:spacing w:before="40" w:after="40"/>
              <w:jc w:val="both"/>
              <w:rPr>
                <w:rFonts w:cs="Arial"/>
                <w:szCs w:val="22"/>
              </w:rPr>
            </w:pPr>
            <w:r w:rsidRPr="006D4A2C">
              <w:rPr>
                <w:rFonts w:cs="Arial"/>
                <w:szCs w:val="22"/>
              </w:rPr>
              <w:t xml:space="preserve">3. Конкурсний відбір виконавця з розробки маркетингової стратегії Жмеринської міської територіальної громади. </w:t>
            </w:r>
          </w:p>
          <w:p w14:paraId="6B8FE234" w14:textId="77777777" w:rsidR="009F618C" w:rsidRPr="006D4A2C" w:rsidRDefault="009F618C" w:rsidP="006D4A2C">
            <w:pPr>
              <w:spacing w:before="40" w:after="40"/>
              <w:jc w:val="both"/>
              <w:rPr>
                <w:rFonts w:cs="Arial"/>
                <w:szCs w:val="22"/>
              </w:rPr>
            </w:pPr>
            <w:r w:rsidRPr="006D4A2C">
              <w:rPr>
                <w:rFonts w:cs="Arial"/>
                <w:szCs w:val="22"/>
              </w:rPr>
              <w:t xml:space="preserve">4. Розробка маркетингової стратегії, що включатиме: - позиціонування громади (розробка концепції бренду: проведення маркетингових досліджень для визначення перспективних соціально-економічних ніш і конкурентних позицій громади, формування концепції та характеристик перспективного іміджу громади, визначення цільової аудиторії маркетингу, розробка заходів маркетингової стратегії громади, розробка та дизайн бренду і логотипу громади); </w:t>
            </w:r>
          </w:p>
          <w:p w14:paraId="09E5DDE7" w14:textId="77777777" w:rsidR="009F618C" w:rsidRPr="006D4A2C" w:rsidRDefault="009F618C" w:rsidP="006D4A2C">
            <w:pPr>
              <w:spacing w:before="40" w:after="40"/>
              <w:jc w:val="both"/>
              <w:rPr>
                <w:rFonts w:cs="Arial"/>
                <w:szCs w:val="22"/>
              </w:rPr>
            </w:pPr>
            <w:r w:rsidRPr="006D4A2C">
              <w:rPr>
                <w:rFonts w:cs="Arial"/>
                <w:szCs w:val="22"/>
              </w:rPr>
              <w:t xml:space="preserve">- розробку маркетингової комунікації або просування (визначення заходів, методів впливу, каналів маркетингової комунікації); </w:t>
            </w:r>
          </w:p>
          <w:p w14:paraId="527EA7E1" w14:textId="77777777" w:rsidR="009F618C" w:rsidRPr="006D4A2C" w:rsidRDefault="009F618C" w:rsidP="006D4A2C">
            <w:pPr>
              <w:spacing w:before="40" w:after="40"/>
              <w:jc w:val="both"/>
              <w:rPr>
                <w:rFonts w:cs="Arial"/>
                <w:szCs w:val="22"/>
              </w:rPr>
            </w:pPr>
            <w:r w:rsidRPr="006D4A2C">
              <w:rPr>
                <w:rFonts w:cs="Arial"/>
                <w:szCs w:val="22"/>
              </w:rPr>
              <w:t xml:space="preserve">- опис організаційного забезпечення реалізації маркетингової стратегії (визначення обсягів ресурсного забезпечення, механізмів координації та контролю за реалізацією, системи моніторингу й оцінки результативності). </w:t>
            </w:r>
          </w:p>
          <w:p w14:paraId="5FFB4F15" w14:textId="77777777" w:rsidR="009F618C" w:rsidRPr="006D4A2C" w:rsidRDefault="009F618C" w:rsidP="006D4A2C">
            <w:pPr>
              <w:spacing w:before="40" w:after="40"/>
              <w:jc w:val="both"/>
              <w:rPr>
                <w:rFonts w:cs="Arial"/>
                <w:szCs w:val="22"/>
              </w:rPr>
            </w:pPr>
            <w:r w:rsidRPr="006D4A2C">
              <w:rPr>
                <w:rFonts w:cs="Arial"/>
                <w:szCs w:val="22"/>
              </w:rPr>
              <w:t xml:space="preserve">5. Переклад маркетингової стратегії англійською мовою. </w:t>
            </w:r>
          </w:p>
          <w:p w14:paraId="4715CB7E" w14:textId="77777777" w:rsidR="009F618C" w:rsidRPr="006D4A2C" w:rsidRDefault="009F618C" w:rsidP="006D4A2C">
            <w:pPr>
              <w:spacing w:before="40" w:after="40"/>
              <w:jc w:val="both"/>
              <w:rPr>
                <w:rFonts w:cs="Arial"/>
                <w:color w:val="FF0000"/>
                <w:szCs w:val="22"/>
                <w:lang w:eastAsia="it-IT"/>
              </w:rPr>
            </w:pPr>
            <w:r w:rsidRPr="006D4A2C">
              <w:rPr>
                <w:rFonts w:cs="Arial"/>
                <w:szCs w:val="22"/>
              </w:rPr>
              <w:t>6. Презентація маркетингової стратегії.</w:t>
            </w:r>
          </w:p>
        </w:tc>
      </w:tr>
      <w:tr w:rsidR="009F618C" w:rsidRPr="00C2587D" w14:paraId="54B247E9" w14:textId="77777777" w:rsidTr="00FD75D9">
        <w:trPr>
          <w:jc w:val="right"/>
        </w:trPr>
        <w:tc>
          <w:tcPr>
            <w:tcW w:w="3425" w:type="dxa"/>
            <w:vAlign w:val="center"/>
          </w:tcPr>
          <w:p w14:paraId="0A066C94" w14:textId="05955154" w:rsidR="009F618C" w:rsidRPr="006D4A2C" w:rsidRDefault="006C54F4" w:rsidP="00FD75D9">
            <w:pPr>
              <w:autoSpaceDE w:val="0"/>
              <w:autoSpaceDN w:val="0"/>
              <w:adjustRightInd w:val="0"/>
              <w:rPr>
                <w:rFonts w:cs="Arial"/>
                <w:b/>
              </w:rPr>
            </w:pPr>
            <w:r>
              <w:rPr>
                <w:rFonts w:cs="Arial"/>
                <w:b/>
              </w:rPr>
              <w:t>Територія на яку проє</w:t>
            </w:r>
            <w:r w:rsidR="009F618C" w:rsidRPr="006D4A2C">
              <w:rPr>
                <w:rFonts w:cs="Arial"/>
                <w:b/>
              </w:rPr>
              <w:t>кт матиме вплив:</w:t>
            </w:r>
          </w:p>
        </w:tc>
        <w:tc>
          <w:tcPr>
            <w:tcW w:w="6794" w:type="dxa"/>
            <w:gridSpan w:val="9"/>
            <w:vAlign w:val="center"/>
          </w:tcPr>
          <w:p w14:paraId="33801BAB" w14:textId="77777777" w:rsidR="009F618C" w:rsidRPr="006D4A2C" w:rsidRDefault="009F618C" w:rsidP="00FD75D9">
            <w:pPr>
              <w:spacing w:before="40" w:after="40"/>
              <w:rPr>
                <w:rFonts w:cs="Arial"/>
                <w:szCs w:val="22"/>
                <w:lang w:eastAsia="it-IT"/>
              </w:rPr>
            </w:pPr>
            <w:r w:rsidRPr="006D4A2C">
              <w:rPr>
                <w:rFonts w:cs="Arial"/>
                <w:szCs w:val="22"/>
                <w:lang w:eastAsia="it-IT"/>
              </w:rPr>
              <w:t xml:space="preserve">Жмеринська міська територіальна громада </w:t>
            </w:r>
          </w:p>
        </w:tc>
      </w:tr>
      <w:tr w:rsidR="009F618C" w:rsidRPr="00C2587D" w14:paraId="433E7591" w14:textId="77777777" w:rsidTr="00FD75D9">
        <w:trPr>
          <w:jc w:val="right"/>
        </w:trPr>
        <w:tc>
          <w:tcPr>
            <w:tcW w:w="3425" w:type="dxa"/>
            <w:vAlign w:val="center"/>
          </w:tcPr>
          <w:p w14:paraId="567D98D9" w14:textId="77777777" w:rsidR="009F618C" w:rsidRPr="006D4A2C" w:rsidRDefault="009F618C" w:rsidP="00FD75D9">
            <w:pPr>
              <w:autoSpaceDE w:val="0"/>
              <w:autoSpaceDN w:val="0"/>
              <w:adjustRightInd w:val="0"/>
              <w:rPr>
                <w:rFonts w:cs="Arial"/>
                <w:b/>
              </w:rPr>
            </w:pPr>
            <w:r w:rsidRPr="006D4A2C">
              <w:rPr>
                <w:rFonts w:cs="Arial"/>
                <w:b/>
              </w:rPr>
              <w:t>Цільові групи проєкту та кількість отримувачів вигоди</w:t>
            </w:r>
          </w:p>
        </w:tc>
        <w:tc>
          <w:tcPr>
            <w:tcW w:w="6794" w:type="dxa"/>
            <w:gridSpan w:val="9"/>
            <w:vAlign w:val="center"/>
          </w:tcPr>
          <w:p w14:paraId="2B5DA98E" w14:textId="77777777" w:rsidR="009F618C" w:rsidRPr="006D4A2C" w:rsidRDefault="009F618C" w:rsidP="006D4A2C">
            <w:pPr>
              <w:spacing w:before="40" w:after="40"/>
              <w:jc w:val="both"/>
              <w:rPr>
                <w:rFonts w:cs="Arial"/>
                <w:szCs w:val="22"/>
                <w:lang w:eastAsia="it-IT"/>
              </w:rPr>
            </w:pPr>
            <w:r w:rsidRPr="006D4A2C">
              <w:rPr>
                <w:rFonts w:cs="Arial"/>
                <w:szCs w:val="22"/>
              </w:rPr>
              <w:t>Представники місцевого бізнесу, інвестори, громадські організації, населення громади, міжнародні партнери, 10 тис.осіб</w:t>
            </w:r>
          </w:p>
        </w:tc>
      </w:tr>
      <w:tr w:rsidR="009F618C" w:rsidRPr="00C2587D" w14:paraId="012F861C" w14:textId="77777777" w:rsidTr="00FD75D9">
        <w:trPr>
          <w:jc w:val="right"/>
        </w:trPr>
        <w:tc>
          <w:tcPr>
            <w:tcW w:w="3425" w:type="dxa"/>
            <w:shd w:val="clear" w:color="auto" w:fill="FFFFFF"/>
            <w:vAlign w:val="center"/>
          </w:tcPr>
          <w:p w14:paraId="4E31125E" w14:textId="4A628A17" w:rsidR="009F618C" w:rsidRPr="006D4A2C" w:rsidRDefault="00D46D2E" w:rsidP="00FD75D9">
            <w:pPr>
              <w:rPr>
                <w:rFonts w:cs="Arial"/>
                <w:b/>
                <w:bCs/>
                <w:color w:val="000000"/>
              </w:rPr>
            </w:pPr>
            <w:r>
              <w:rPr>
                <w:rFonts w:cs="Arial"/>
                <w:b/>
                <w:bCs/>
                <w:color w:val="000000"/>
              </w:rPr>
              <w:t>Стислий опис проє</w:t>
            </w:r>
            <w:r w:rsidR="009F618C" w:rsidRPr="006D4A2C">
              <w:rPr>
                <w:rFonts w:cs="Arial"/>
                <w:b/>
                <w:bCs/>
                <w:color w:val="000000"/>
              </w:rPr>
              <w:t>кту:</w:t>
            </w:r>
          </w:p>
        </w:tc>
        <w:tc>
          <w:tcPr>
            <w:tcW w:w="6794" w:type="dxa"/>
            <w:gridSpan w:val="9"/>
            <w:vAlign w:val="center"/>
          </w:tcPr>
          <w:p w14:paraId="4B9A800E" w14:textId="77777777" w:rsidR="009F618C" w:rsidRPr="006D4A2C" w:rsidRDefault="009F618C" w:rsidP="00FD75D9">
            <w:pPr>
              <w:pStyle w:val="af4"/>
              <w:tabs>
                <w:tab w:val="left" w:pos="285"/>
              </w:tabs>
              <w:suppressAutoHyphens w:val="0"/>
              <w:spacing w:before="40" w:after="40" w:line="240" w:lineRule="auto"/>
              <w:contextualSpacing/>
              <w:jc w:val="both"/>
              <w:rPr>
                <w:rFonts w:ascii="Arial" w:hAnsi="Arial" w:cs="Arial"/>
                <w:lang w:eastAsia="it-IT"/>
              </w:rPr>
            </w:pPr>
            <w:r w:rsidRPr="006D4A2C">
              <w:rPr>
                <w:rFonts w:ascii="Arial" w:hAnsi="Arial" w:cs="Arial"/>
              </w:rPr>
              <w:t>Жмеринська міська територіальна громада — одна з провідних громад Вінниччини, яка має вигідне географічне положення, транспортний потенціал, розвинену соціальну інфраструктуру та унікальні культурні ресурси. Для забезпечення сталого розвитку громади, підвищення її конкурентоспроможності, залучення інвестицій та активізації туристичної привабливості необхідно розробити сучасну маркетингову стратегію.</w:t>
            </w:r>
          </w:p>
        </w:tc>
      </w:tr>
      <w:tr w:rsidR="009F618C" w:rsidRPr="00C2587D" w14:paraId="3DB1F664" w14:textId="77777777" w:rsidTr="00FD75D9">
        <w:trPr>
          <w:jc w:val="right"/>
        </w:trPr>
        <w:tc>
          <w:tcPr>
            <w:tcW w:w="3425" w:type="dxa"/>
            <w:shd w:val="clear" w:color="auto" w:fill="FFFFFF"/>
            <w:vAlign w:val="center"/>
          </w:tcPr>
          <w:p w14:paraId="17389EAA" w14:textId="77777777" w:rsidR="009F618C" w:rsidRPr="006D4A2C" w:rsidRDefault="009F618C" w:rsidP="00FD75D9">
            <w:pPr>
              <w:rPr>
                <w:rFonts w:cs="Arial"/>
                <w:b/>
                <w:bCs/>
                <w:color w:val="000000"/>
              </w:rPr>
            </w:pPr>
            <w:r w:rsidRPr="006D4A2C">
              <w:rPr>
                <w:rFonts w:cs="Arial"/>
                <w:b/>
                <w:bCs/>
                <w:color w:val="000000"/>
              </w:rPr>
              <w:t>Основні заходи проєкту</w:t>
            </w:r>
          </w:p>
        </w:tc>
        <w:tc>
          <w:tcPr>
            <w:tcW w:w="6794" w:type="dxa"/>
            <w:gridSpan w:val="9"/>
            <w:shd w:val="clear" w:color="auto" w:fill="FFFFFF"/>
          </w:tcPr>
          <w:p w14:paraId="722BA5F7" w14:textId="77777777" w:rsidR="009F618C" w:rsidRPr="006D4A2C" w:rsidRDefault="009F618C" w:rsidP="00FD75D9">
            <w:pPr>
              <w:tabs>
                <w:tab w:val="left" w:pos="285"/>
              </w:tabs>
              <w:spacing w:before="40" w:after="40"/>
              <w:contextualSpacing/>
              <w:jc w:val="both"/>
              <w:rPr>
                <w:rFonts w:cs="Arial"/>
              </w:rPr>
            </w:pPr>
            <w:r w:rsidRPr="006D4A2C">
              <w:rPr>
                <w:rFonts w:cs="Arial"/>
              </w:rPr>
              <w:t xml:space="preserve">1. Підготовка технічного завдання на розробку маркетингової стратегії Жмеринської міської територіальної громади. </w:t>
            </w:r>
          </w:p>
          <w:p w14:paraId="0F8AE1A4" w14:textId="77777777" w:rsidR="009F618C" w:rsidRPr="006D4A2C" w:rsidRDefault="009F618C" w:rsidP="00FD75D9">
            <w:pPr>
              <w:tabs>
                <w:tab w:val="left" w:pos="285"/>
              </w:tabs>
              <w:spacing w:before="40" w:after="40"/>
              <w:contextualSpacing/>
              <w:jc w:val="both"/>
              <w:rPr>
                <w:rFonts w:cs="Arial"/>
              </w:rPr>
            </w:pPr>
            <w:r w:rsidRPr="006D4A2C">
              <w:rPr>
                <w:rFonts w:cs="Arial"/>
              </w:rPr>
              <w:t xml:space="preserve">2. Подання проєктної заявки на участь у проєктах та програмах міжнародної технічної допомоги. </w:t>
            </w:r>
          </w:p>
          <w:p w14:paraId="5DFF17D5" w14:textId="77777777" w:rsidR="009F618C" w:rsidRPr="006D4A2C" w:rsidRDefault="009F618C" w:rsidP="00FD75D9">
            <w:pPr>
              <w:tabs>
                <w:tab w:val="left" w:pos="285"/>
              </w:tabs>
              <w:spacing w:before="40" w:after="40"/>
              <w:contextualSpacing/>
              <w:jc w:val="both"/>
              <w:rPr>
                <w:rFonts w:cs="Arial"/>
              </w:rPr>
            </w:pPr>
            <w:r w:rsidRPr="006D4A2C">
              <w:rPr>
                <w:rFonts w:cs="Arial"/>
              </w:rPr>
              <w:t>3. Конкурсний відбір виконавця з розробки маркетингової стратегії Жмеринської міської територіальної громади.</w:t>
            </w:r>
          </w:p>
          <w:p w14:paraId="1E423C9E" w14:textId="77777777" w:rsidR="009F618C" w:rsidRPr="006D4A2C" w:rsidRDefault="009F618C" w:rsidP="00FD75D9">
            <w:pPr>
              <w:tabs>
                <w:tab w:val="left" w:pos="285"/>
              </w:tabs>
              <w:spacing w:before="40" w:after="40"/>
              <w:contextualSpacing/>
              <w:jc w:val="both"/>
              <w:rPr>
                <w:rFonts w:cs="Arial"/>
              </w:rPr>
            </w:pPr>
            <w:r w:rsidRPr="006D4A2C">
              <w:rPr>
                <w:rFonts w:cs="Arial"/>
              </w:rPr>
              <w:t xml:space="preserve"> 4. Розробка маркетингової стратегії, що включатиме: - позиціонування громади (розробка концепції бренду: проведення маркетингових досліджень для визначення перспективних соціально-економічних ніш і конкурентних позицій громади, формування концепції та характеристик перспективного іміджу громади, визначення цільової аудиторії маркетингу, розробка заходів маркетингової стратегії громади, розробка та дизайн бренду і логотипу громади); </w:t>
            </w:r>
          </w:p>
          <w:p w14:paraId="6E1C4500" w14:textId="77777777" w:rsidR="009F618C" w:rsidRPr="006D4A2C" w:rsidRDefault="009F618C" w:rsidP="00FD75D9">
            <w:pPr>
              <w:tabs>
                <w:tab w:val="left" w:pos="285"/>
              </w:tabs>
              <w:spacing w:before="40" w:after="40"/>
              <w:contextualSpacing/>
              <w:jc w:val="both"/>
              <w:rPr>
                <w:rFonts w:cs="Arial"/>
              </w:rPr>
            </w:pPr>
            <w:r w:rsidRPr="006D4A2C">
              <w:rPr>
                <w:rFonts w:cs="Arial"/>
              </w:rPr>
              <w:t xml:space="preserve">- розробку маркетингової комунікації або просування (визначення заходів, методів впливу, каналів маркетингової комунікації); </w:t>
            </w:r>
          </w:p>
          <w:p w14:paraId="4D8FF567" w14:textId="77777777" w:rsidR="009F618C" w:rsidRPr="006D4A2C" w:rsidRDefault="009F618C" w:rsidP="00FD75D9">
            <w:pPr>
              <w:tabs>
                <w:tab w:val="left" w:pos="285"/>
              </w:tabs>
              <w:spacing w:before="40" w:after="40"/>
              <w:contextualSpacing/>
              <w:jc w:val="both"/>
              <w:rPr>
                <w:rFonts w:cs="Arial"/>
              </w:rPr>
            </w:pPr>
            <w:r w:rsidRPr="006D4A2C">
              <w:rPr>
                <w:rFonts w:cs="Arial"/>
              </w:rPr>
              <w:t xml:space="preserve">- опис організаційного забезпечення реалізації маркетингової стратегії (визначення обсягів ресурсного забезпечення, механізмів координації та контролю за реалізацією, системи моніторингу й оцінки результативності). </w:t>
            </w:r>
          </w:p>
          <w:p w14:paraId="26C6598B" w14:textId="77777777" w:rsidR="009F618C" w:rsidRPr="006D4A2C" w:rsidRDefault="009F618C" w:rsidP="00FD75D9">
            <w:pPr>
              <w:tabs>
                <w:tab w:val="left" w:pos="285"/>
              </w:tabs>
              <w:spacing w:before="40" w:after="40"/>
              <w:contextualSpacing/>
              <w:jc w:val="both"/>
              <w:rPr>
                <w:rFonts w:cs="Arial"/>
              </w:rPr>
            </w:pPr>
            <w:r w:rsidRPr="006D4A2C">
              <w:rPr>
                <w:rFonts w:cs="Arial"/>
              </w:rPr>
              <w:t>5. Переклад маркетингової стратегії англійською мовою.</w:t>
            </w:r>
          </w:p>
          <w:p w14:paraId="2265FD45" w14:textId="77777777" w:rsidR="009F618C" w:rsidRPr="006D4A2C" w:rsidRDefault="009F618C" w:rsidP="00FD75D9">
            <w:pPr>
              <w:tabs>
                <w:tab w:val="left" w:pos="285"/>
              </w:tabs>
              <w:spacing w:before="40" w:after="40"/>
              <w:contextualSpacing/>
              <w:jc w:val="both"/>
              <w:rPr>
                <w:rFonts w:cs="Arial"/>
                <w:lang w:eastAsia="it-IT"/>
              </w:rPr>
            </w:pPr>
            <w:r w:rsidRPr="006D4A2C">
              <w:rPr>
                <w:rFonts w:cs="Arial"/>
              </w:rPr>
              <w:t xml:space="preserve"> 6. Презентація маркетингової стратегії.</w:t>
            </w:r>
          </w:p>
        </w:tc>
      </w:tr>
      <w:tr w:rsidR="009F618C" w:rsidRPr="00C2587D" w14:paraId="49F300C8" w14:textId="77777777" w:rsidTr="00FD75D9">
        <w:trPr>
          <w:jc w:val="right"/>
        </w:trPr>
        <w:tc>
          <w:tcPr>
            <w:tcW w:w="3425" w:type="dxa"/>
            <w:shd w:val="clear" w:color="auto" w:fill="FFFFFF"/>
            <w:vAlign w:val="center"/>
          </w:tcPr>
          <w:p w14:paraId="6F462840" w14:textId="77777777" w:rsidR="009F618C" w:rsidRPr="006D4A2C" w:rsidRDefault="009F618C" w:rsidP="00FD75D9">
            <w:pPr>
              <w:rPr>
                <w:rFonts w:cs="Arial"/>
                <w:b/>
                <w:bCs/>
                <w:color w:val="000000"/>
              </w:rPr>
            </w:pPr>
            <w:r w:rsidRPr="006D4A2C">
              <w:rPr>
                <w:rFonts w:cs="Arial"/>
                <w:b/>
                <w:bCs/>
                <w:color w:val="000000"/>
              </w:rPr>
              <w:t>Індикатори (показники) результативності</w:t>
            </w:r>
          </w:p>
        </w:tc>
        <w:tc>
          <w:tcPr>
            <w:tcW w:w="6794" w:type="dxa"/>
            <w:gridSpan w:val="9"/>
            <w:vAlign w:val="center"/>
          </w:tcPr>
          <w:p w14:paraId="71831BDA" w14:textId="77777777" w:rsidR="009F618C" w:rsidRPr="006D4A2C" w:rsidRDefault="009F618C" w:rsidP="00FD75D9">
            <w:pPr>
              <w:jc w:val="both"/>
              <w:rPr>
                <w:rFonts w:cs="Arial"/>
              </w:rPr>
            </w:pPr>
            <w:r w:rsidRPr="006D4A2C">
              <w:rPr>
                <w:rFonts w:cs="Arial"/>
              </w:rPr>
              <w:t xml:space="preserve">- розроблено та затверджено маркетингову стратегію Жмеринської міської територіальної громади; </w:t>
            </w:r>
          </w:p>
          <w:p w14:paraId="4DD07D18" w14:textId="77777777" w:rsidR="009F618C" w:rsidRPr="006D4A2C" w:rsidRDefault="009F618C" w:rsidP="00FD75D9">
            <w:pPr>
              <w:jc w:val="both"/>
              <w:rPr>
                <w:rFonts w:cs="Arial"/>
              </w:rPr>
            </w:pPr>
            <w:r w:rsidRPr="006D4A2C">
              <w:rPr>
                <w:rFonts w:cs="Arial"/>
              </w:rPr>
              <w:t>- розроблено та затверджено заходи щодо реалізації маркетингової стратегії;</w:t>
            </w:r>
          </w:p>
          <w:p w14:paraId="525BE825" w14:textId="77777777" w:rsidR="009F618C" w:rsidRPr="006D4A2C" w:rsidRDefault="009F618C" w:rsidP="00FD75D9">
            <w:pPr>
              <w:jc w:val="both"/>
              <w:rPr>
                <w:rFonts w:cs="Arial"/>
              </w:rPr>
            </w:pPr>
            <w:r w:rsidRPr="006D4A2C">
              <w:rPr>
                <w:rFonts w:cs="Arial"/>
              </w:rPr>
              <w:t xml:space="preserve"> - розроблено та затверджено дизайн бренду та логотипу громади, умови і правила їх використання; </w:t>
            </w:r>
          </w:p>
          <w:p w14:paraId="2AE5B8E5" w14:textId="77777777" w:rsidR="009F618C" w:rsidRPr="006D4A2C" w:rsidRDefault="009F618C" w:rsidP="00FD75D9">
            <w:pPr>
              <w:jc w:val="both"/>
              <w:rPr>
                <w:rFonts w:cs="Arial"/>
                <w:lang w:eastAsia="it-IT"/>
              </w:rPr>
            </w:pPr>
            <w:r w:rsidRPr="006D4A2C">
              <w:rPr>
                <w:rFonts w:cs="Arial"/>
              </w:rPr>
              <w:t>- проведено заходи щодо презентації маркетингової стратегії (не менше 5).</w:t>
            </w:r>
          </w:p>
        </w:tc>
      </w:tr>
      <w:tr w:rsidR="009F618C" w:rsidRPr="00C2587D" w14:paraId="1EF124AD" w14:textId="77777777" w:rsidTr="00FD75D9">
        <w:trPr>
          <w:jc w:val="right"/>
        </w:trPr>
        <w:tc>
          <w:tcPr>
            <w:tcW w:w="3425" w:type="dxa"/>
            <w:shd w:val="clear" w:color="auto" w:fill="FFFFFF"/>
            <w:vAlign w:val="center"/>
          </w:tcPr>
          <w:p w14:paraId="0A71DF76" w14:textId="77777777" w:rsidR="009F618C" w:rsidRPr="006D4A2C" w:rsidRDefault="009F618C" w:rsidP="00FD75D9">
            <w:pPr>
              <w:rPr>
                <w:rFonts w:cs="Arial"/>
                <w:b/>
                <w:color w:val="000000"/>
              </w:rPr>
            </w:pPr>
            <w:r w:rsidRPr="006D4A2C">
              <w:rPr>
                <w:rFonts w:cs="Arial"/>
                <w:b/>
                <w:color w:val="000000"/>
              </w:rPr>
              <w:t xml:space="preserve">Період здійснення: </w:t>
            </w:r>
          </w:p>
        </w:tc>
        <w:tc>
          <w:tcPr>
            <w:tcW w:w="6794" w:type="dxa"/>
            <w:gridSpan w:val="9"/>
            <w:vAlign w:val="center"/>
          </w:tcPr>
          <w:p w14:paraId="4D966D6F" w14:textId="77777777" w:rsidR="009F618C" w:rsidRPr="006D4A2C" w:rsidRDefault="009F618C" w:rsidP="00FD75D9">
            <w:pPr>
              <w:rPr>
                <w:rFonts w:cs="Arial"/>
                <w:lang w:eastAsia="it-IT"/>
              </w:rPr>
            </w:pPr>
            <w:r w:rsidRPr="006D4A2C">
              <w:rPr>
                <w:rFonts w:cs="Arial"/>
                <w:b/>
              </w:rPr>
              <w:t>2025 – 2028 роки:</w:t>
            </w:r>
          </w:p>
        </w:tc>
      </w:tr>
      <w:tr w:rsidR="009F618C" w:rsidRPr="00C2587D" w14:paraId="49EBB2EF" w14:textId="77777777" w:rsidTr="00FD75D9">
        <w:trPr>
          <w:jc w:val="right"/>
        </w:trPr>
        <w:tc>
          <w:tcPr>
            <w:tcW w:w="3425" w:type="dxa"/>
            <w:vMerge w:val="restart"/>
            <w:shd w:val="clear" w:color="auto" w:fill="FFFFFF"/>
            <w:vAlign w:val="center"/>
          </w:tcPr>
          <w:p w14:paraId="2418C329" w14:textId="7ACFCB94" w:rsidR="009F618C" w:rsidRPr="006D4A2C" w:rsidRDefault="00D46D2E" w:rsidP="00FD75D9">
            <w:pPr>
              <w:rPr>
                <w:rFonts w:cs="Arial"/>
                <w:b/>
                <w:bCs/>
                <w:color w:val="000000"/>
              </w:rPr>
            </w:pPr>
            <w:r>
              <w:rPr>
                <w:rFonts w:cs="Arial"/>
                <w:b/>
                <w:bCs/>
                <w:color w:val="000000"/>
              </w:rPr>
              <w:t>Орієнтовна вартість проє</w:t>
            </w:r>
            <w:r w:rsidR="009F618C" w:rsidRPr="006D4A2C">
              <w:rPr>
                <w:rFonts w:cs="Arial"/>
                <w:b/>
                <w:bCs/>
                <w:color w:val="000000"/>
              </w:rPr>
              <w:t>кту, тис. грн., тому числі:</w:t>
            </w:r>
          </w:p>
        </w:tc>
        <w:tc>
          <w:tcPr>
            <w:tcW w:w="1254" w:type="dxa"/>
            <w:shd w:val="clear" w:color="auto" w:fill="E6E6E6"/>
            <w:vAlign w:val="center"/>
          </w:tcPr>
          <w:p w14:paraId="6503CC37" w14:textId="77777777" w:rsidR="009F618C" w:rsidRPr="006D4A2C" w:rsidRDefault="009F618C" w:rsidP="00FD75D9">
            <w:pPr>
              <w:jc w:val="center"/>
              <w:rPr>
                <w:rFonts w:cs="Arial"/>
                <w:b/>
                <w:lang w:eastAsia="it-IT"/>
              </w:rPr>
            </w:pPr>
            <w:r w:rsidRPr="006D4A2C">
              <w:rPr>
                <w:rFonts w:cs="Arial"/>
                <w:b/>
                <w:lang w:eastAsia="it-IT"/>
              </w:rPr>
              <w:t>2025</w:t>
            </w:r>
          </w:p>
        </w:tc>
        <w:tc>
          <w:tcPr>
            <w:tcW w:w="1417" w:type="dxa"/>
            <w:gridSpan w:val="3"/>
            <w:shd w:val="clear" w:color="auto" w:fill="E6E6E6"/>
            <w:vAlign w:val="center"/>
          </w:tcPr>
          <w:p w14:paraId="5DBE4F64" w14:textId="77777777" w:rsidR="009F618C" w:rsidRPr="006D4A2C" w:rsidRDefault="009F618C" w:rsidP="00FD75D9">
            <w:pPr>
              <w:jc w:val="center"/>
              <w:rPr>
                <w:rFonts w:cs="Arial"/>
                <w:b/>
                <w:lang w:eastAsia="it-IT"/>
              </w:rPr>
            </w:pPr>
            <w:r w:rsidRPr="006D4A2C">
              <w:rPr>
                <w:rFonts w:cs="Arial"/>
                <w:b/>
                <w:lang w:eastAsia="it-IT"/>
              </w:rPr>
              <w:t>2026</w:t>
            </w:r>
          </w:p>
        </w:tc>
        <w:tc>
          <w:tcPr>
            <w:tcW w:w="1418" w:type="dxa"/>
            <w:tcBorders>
              <w:bottom w:val="single" w:sz="4" w:space="0" w:color="auto"/>
            </w:tcBorders>
            <w:shd w:val="clear" w:color="auto" w:fill="E6E6E6"/>
            <w:vAlign w:val="center"/>
          </w:tcPr>
          <w:p w14:paraId="68F8A15E" w14:textId="77777777" w:rsidR="009F618C" w:rsidRPr="006D4A2C" w:rsidRDefault="009F618C" w:rsidP="00FD75D9">
            <w:pPr>
              <w:jc w:val="center"/>
              <w:rPr>
                <w:rFonts w:cs="Arial"/>
                <w:b/>
                <w:lang w:eastAsia="it-IT"/>
              </w:rPr>
            </w:pPr>
            <w:r w:rsidRPr="006D4A2C">
              <w:rPr>
                <w:rFonts w:cs="Arial"/>
                <w:b/>
                <w:lang w:eastAsia="it-IT"/>
              </w:rPr>
              <w:t>2027</w:t>
            </w:r>
          </w:p>
        </w:tc>
        <w:tc>
          <w:tcPr>
            <w:tcW w:w="1275" w:type="dxa"/>
            <w:gridSpan w:val="2"/>
            <w:shd w:val="clear" w:color="auto" w:fill="E6E6E6"/>
            <w:vAlign w:val="center"/>
          </w:tcPr>
          <w:p w14:paraId="25537E86" w14:textId="77777777" w:rsidR="009F618C" w:rsidRPr="006D4A2C" w:rsidRDefault="009F618C" w:rsidP="00FD75D9">
            <w:pPr>
              <w:jc w:val="center"/>
              <w:rPr>
                <w:rFonts w:cs="Arial"/>
                <w:b/>
                <w:lang w:eastAsia="it-IT"/>
              </w:rPr>
            </w:pPr>
            <w:r w:rsidRPr="006D4A2C">
              <w:rPr>
                <w:rFonts w:cs="Arial"/>
                <w:b/>
                <w:lang w:eastAsia="it-IT"/>
              </w:rPr>
              <w:t>2028</w:t>
            </w:r>
          </w:p>
        </w:tc>
        <w:tc>
          <w:tcPr>
            <w:tcW w:w="1430" w:type="dxa"/>
            <w:gridSpan w:val="2"/>
            <w:shd w:val="clear" w:color="auto" w:fill="E6E6E6"/>
            <w:vAlign w:val="center"/>
          </w:tcPr>
          <w:p w14:paraId="0F299953" w14:textId="77777777" w:rsidR="009F618C" w:rsidRPr="006D4A2C" w:rsidRDefault="009F618C" w:rsidP="00FD75D9">
            <w:pPr>
              <w:jc w:val="center"/>
              <w:rPr>
                <w:rFonts w:cs="Arial"/>
                <w:b/>
                <w:lang w:eastAsia="it-IT"/>
              </w:rPr>
            </w:pPr>
            <w:r w:rsidRPr="006D4A2C">
              <w:rPr>
                <w:rFonts w:cs="Arial"/>
                <w:b/>
                <w:lang w:eastAsia="it-IT"/>
              </w:rPr>
              <w:t>Разом</w:t>
            </w:r>
          </w:p>
        </w:tc>
      </w:tr>
      <w:tr w:rsidR="009F618C" w:rsidRPr="00C2587D" w14:paraId="7FB982D3" w14:textId="77777777" w:rsidTr="00FD75D9">
        <w:trPr>
          <w:jc w:val="right"/>
        </w:trPr>
        <w:tc>
          <w:tcPr>
            <w:tcW w:w="3425" w:type="dxa"/>
            <w:vMerge/>
            <w:shd w:val="clear" w:color="auto" w:fill="FFFFFF"/>
            <w:vAlign w:val="center"/>
          </w:tcPr>
          <w:p w14:paraId="723C53FC" w14:textId="77777777" w:rsidR="009F618C" w:rsidRPr="006D4A2C" w:rsidRDefault="009F618C" w:rsidP="00FD75D9">
            <w:pPr>
              <w:rPr>
                <w:rFonts w:cs="Arial"/>
                <w:b/>
                <w:bCs/>
                <w:color w:val="000000"/>
              </w:rPr>
            </w:pPr>
          </w:p>
        </w:tc>
        <w:tc>
          <w:tcPr>
            <w:tcW w:w="1254" w:type="dxa"/>
            <w:vAlign w:val="center"/>
          </w:tcPr>
          <w:p w14:paraId="0F6EF099" w14:textId="77777777" w:rsidR="009F618C" w:rsidRPr="006D4A2C" w:rsidRDefault="009F618C" w:rsidP="00FD75D9">
            <w:pPr>
              <w:jc w:val="center"/>
              <w:rPr>
                <w:rFonts w:cs="Arial"/>
                <w:b/>
                <w:lang w:eastAsia="it-IT"/>
              </w:rPr>
            </w:pPr>
          </w:p>
        </w:tc>
        <w:tc>
          <w:tcPr>
            <w:tcW w:w="1417" w:type="dxa"/>
            <w:gridSpan w:val="3"/>
            <w:shd w:val="clear" w:color="auto" w:fill="FFFFFF"/>
            <w:vAlign w:val="center"/>
          </w:tcPr>
          <w:p w14:paraId="2E10CF69" w14:textId="77777777" w:rsidR="009F618C" w:rsidRPr="006D4A2C" w:rsidRDefault="009F618C" w:rsidP="00FD75D9">
            <w:pPr>
              <w:jc w:val="center"/>
              <w:rPr>
                <w:rFonts w:cs="Arial"/>
                <w:b/>
                <w:lang w:eastAsia="it-IT"/>
              </w:rPr>
            </w:pPr>
            <w:r w:rsidRPr="006D4A2C">
              <w:rPr>
                <w:rFonts w:cs="Arial"/>
                <w:b/>
                <w:lang w:eastAsia="it-IT"/>
              </w:rPr>
              <w:t>600,0</w:t>
            </w:r>
          </w:p>
        </w:tc>
        <w:tc>
          <w:tcPr>
            <w:tcW w:w="1418" w:type="dxa"/>
            <w:shd w:val="clear" w:color="auto" w:fill="auto"/>
            <w:vAlign w:val="center"/>
          </w:tcPr>
          <w:p w14:paraId="55F1C0F7" w14:textId="77777777" w:rsidR="009F618C" w:rsidRPr="006D4A2C" w:rsidRDefault="009F618C" w:rsidP="00FD75D9">
            <w:pPr>
              <w:jc w:val="center"/>
              <w:rPr>
                <w:rFonts w:cs="Arial"/>
                <w:b/>
                <w:lang w:eastAsia="it-IT"/>
              </w:rPr>
            </w:pPr>
          </w:p>
        </w:tc>
        <w:tc>
          <w:tcPr>
            <w:tcW w:w="1275" w:type="dxa"/>
            <w:gridSpan w:val="2"/>
            <w:shd w:val="clear" w:color="auto" w:fill="FFFFFF"/>
            <w:vAlign w:val="center"/>
          </w:tcPr>
          <w:p w14:paraId="3684AB0F" w14:textId="77777777" w:rsidR="009F618C" w:rsidRPr="006D4A2C" w:rsidRDefault="009F618C" w:rsidP="00FD75D9">
            <w:pPr>
              <w:jc w:val="center"/>
              <w:rPr>
                <w:rFonts w:cs="Arial"/>
                <w:b/>
                <w:lang w:eastAsia="it-IT"/>
              </w:rPr>
            </w:pPr>
          </w:p>
        </w:tc>
        <w:tc>
          <w:tcPr>
            <w:tcW w:w="1430" w:type="dxa"/>
            <w:gridSpan w:val="2"/>
            <w:shd w:val="clear" w:color="auto" w:fill="FFFFFF"/>
            <w:vAlign w:val="center"/>
          </w:tcPr>
          <w:p w14:paraId="1AA3246F" w14:textId="77777777" w:rsidR="009F618C" w:rsidRPr="006D4A2C" w:rsidRDefault="009F618C" w:rsidP="00FD75D9">
            <w:pPr>
              <w:jc w:val="center"/>
              <w:rPr>
                <w:rFonts w:cs="Arial"/>
                <w:b/>
                <w:lang w:eastAsia="it-IT"/>
              </w:rPr>
            </w:pPr>
            <w:r w:rsidRPr="006D4A2C">
              <w:rPr>
                <w:rFonts w:cs="Arial"/>
                <w:b/>
                <w:lang w:eastAsia="it-IT"/>
              </w:rPr>
              <w:t>600,0</w:t>
            </w:r>
          </w:p>
        </w:tc>
      </w:tr>
      <w:tr w:rsidR="009F618C" w:rsidRPr="00C2587D" w14:paraId="4CFC1854" w14:textId="77777777" w:rsidTr="00FD75D9">
        <w:trPr>
          <w:trHeight w:val="206"/>
          <w:jc w:val="right"/>
        </w:trPr>
        <w:tc>
          <w:tcPr>
            <w:tcW w:w="3425" w:type="dxa"/>
            <w:shd w:val="clear" w:color="auto" w:fill="FFFFFF"/>
            <w:vAlign w:val="center"/>
          </w:tcPr>
          <w:p w14:paraId="0ADCC3F4" w14:textId="77777777" w:rsidR="009F618C" w:rsidRPr="006D4A2C" w:rsidRDefault="009F618C" w:rsidP="00FD75D9">
            <w:pPr>
              <w:rPr>
                <w:rFonts w:cs="Arial"/>
                <w:b/>
                <w:bCs/>
                <w:color w:val="000000"/>
              </w:rPr>
            </w:pPr>
            <w:r w:rsidRPr="006D4A2C">
              <w:rPr>
                <w:rFonts w:cs="Arial"/>
                <w:b/>
                <w:bCs/>
                <w:color w:val="000000"/>
              </w:rPr>
              <w:t>по джерелах фінансування:</w:t>
            </w:r>
          </w:p>
        </w:tc>
        <w:tc>
          <w:tcPr>
            <w:tcW w:w="6794" w:type="dxa"/>
            <w:gridSpan w:val="9"/>
            <w:vAlign w:val="center"/>
          </w:tcPr>
          <w:p w14:paraId="52561F50" w14:textId="77777777" w:rsidR="009F618C" w:rsidRPr="006D4A2C" w:rsidRDefault="009F618C" w:rsidP="00560F31">
            <w:pPr>
              <w:jc w:val="center"/>
              <w:rPr>
                <w:rFonts w:cs="Arial"/>
                <w:lang w:eastAsia="it-IT"/>
              </w:rPr>
            </w:pPr>
          </w:p>
        </w:tc>
      </w:tr>
      <w:tr w:rsidR="009F618C" w:rsidRPr="00C2587D" w14:paraId="40D366F8" w14:textId="77777777" w:rsidTr="00FD75D9">
        <w:trPr>
          <w:trHeight w:val="285"/>
          <w:jc w:val="right"/>
        </w:trPr>
        <w:tc>
          <w:tcPr>
            <w:tcW w:w="3425" w:type="dxa"/>
            <w:shd w:val="clear" w:color="auto" w:fill="FFFFFF"/>
            <w:vAlign w:val="center"/>
          </w:tcPr>
          <w:p w14:paraId="7E3E274D" w14:textId="77777777" w:rsidR="009F618C" w:rsidRPr="006D4A2C" w:rsidRDefault="009F618C" w:rsidP="006D4A2C">
            <w:pPr>
              <w:ind w:left="51"/>
              <w:rPr>
                <w:rFonts w:cs="Arial"/>
                <w:b/>
                <w:bCs/>
                <w:color w:val="000000"/>
              </w:rPr>
            </w:pPr>
            <w:r w:rsidRPr="006D4A2C">
              <w:rPr>
                <w:rFonts w:cs="Arial"/>
                <w:color w:val="000000"/>
              </w:rPr>
              <w:t>-державний бюджет;</w:t>
            </w:r>
          </w:p>
        </w:tc>
        <w:tc>
          <w:tcPr>
            <w:tcW w:w="1260" w:type="dxa"/>
            <w:gridSpan w:val="2"/>
            <w:vAlign w:val="center"/>
          </w:tcPr>
          <w:p w14:paraId="3176BE8B" w14:textId="77777777" w:rsidR="009F618C" w:rsidRPr="006D4A2C" w:rsidRDefault="009F618C" w:rsidP="00FD75D9">
            <w:pPr>
              <w:jc w:val="center"/>
              <w:rPr>
                <w:rFonts w:cs="Arial"/>
                <w:lang w:eastAsia="it-IT"/>
              </w:rPr>
            </w:pPr>
          </w:p>
        </w:tc>
        <w:tc>
          <w:tcPr>
            <w:tcW w:w="1350" w:type="dxa"/>
            <w:vAlign w:val="center"/>
          </w:tcPr>
          <w:p w14:paraId="3378A0DB" w14:textId="77777777" w:rsidR="009F618C" w:rsidRPr="006D4A2C" w:rsidRDefault="009F618C" w:rsidP="00FD75D9">
            <w:pPr>
              <w:jc w:val="center"/>
              <w:rPr>
                <w:rFonts w:cs="Arial"/>
                <w:lang w:eastAsia="it-IT"/>
              </w:rPr>
            </w:pPr>
          </w:p>
        </w:tc>
        <w:tc>
          <w:tcPr>
            <w:tcW w:w="1515" w:type="dxa"/>
            <w:gridSpan w:val="3"/>
            <w:vAlign w:val="center"/>
          </w:tcPr>
          <w:p w14:paraId="35BFBA8A" w14:textId="77777777" w:rsidR="009F618C" w:rsidRPr="006D4A2C" w:rsidRDefault="009F618C" w:rsidP="00FD75D9">
            <w:pPr>
              <w:jc w:val="center"/>
              <w:rPr>
                <w:rFonts w:cs="Arial"/>
                <w:lang w:eastAsia="it-IT"/>
              </w:rPr>
            </w:pPr>
          </w:p>
        </w:tc>
        <w:tc>
          <w:tcPr>
            <w:tcW w:w="1245" w:type="dxa"/>
            <w:gridSpan w:val="2"/>
            <w:vAlign w:val="center"/>
          </w:tcPr>
          <w:p w14:paraId="176416D4" w14:textId="77777777" w:rsidR="009F618C" w:rsidRPr="006D4A2C" w:rsidRDefault="009F618C" w:rsidP="00FD75D9">
            <w:pPr>
              <w:jc w:val="center"/>
              <w:rPr>
                <w:rFonts w:cs="Arial"/>
                <w:lang w:eastAsia="it-IT"/>
              </w:rPr>
            </w:pPr>
          </w:p>
        </w:tc>
        <w:tc>
          <w:tcPr>
            <w:tcW w:w="1424" w:type="dxa"/>
            <w:vAlign w:val="center"/>
          </w:tcPr>
          <w:p w14:paraId="75CC7C8F" w14:textId="77777777" w:rsidR="009F618C" w:rsidRPr="006D4A2C" w:rsidRDefault="009F618C" w:rsidP="00FD75D9">
            <w:pPr>
              <w:jc w:val="center"/>
              <w:rPr>
                <w:rFonts w:cs="Arial"/>
                <w:lang w:eastAsia="it-IT"/>
              </w:rPr>
            </w:pPr>
          </w:p>
        </w:tc>
      </w:tr>
      <w:tr w:rsidR="009F618C" w:rsidRPr="00C2587D" w14:paraId="1D75C98A" w14:textId="77777777" w:rsidTr="00FD75D9">
        <w:trPr>
          <w:trHeight w:val="315"/>
          <w:jc w:val="right"/>
        </w:trPr>
        <w:tc>
          <w:tcPr>
            <w:tcW w:w="3425" w:type="dxa"/>
            <w:shd w:val="clear" w:color="auto" w:fill="FFFFFF"/>
            <w:vAlign w:val="center"/>
          </w:tcPr>
          <w:p w14:paraId="09221D07" w14:textId="77777777" w:rsidR="009F618C" w:rsidRPr="006D4A2C" w:rsidRDefault="009F618C" w:rsidP="00FD75D9">
            <w:pPr>
              <w:rPr>
                <w:rFonts w:cs="Arial"/>
                <w:b/>
                <w:bCs/>
                <w:color w:val="000000"/>
              </w:rPr>
            </w:pPr>
            <w:r w:rsidRPr="006D4A2C">
              <w:rPr>
                <w:rFonts w:cs="Arial"/>
                <w:color w:val="000000"/>
              </w:rPr>
              <w:t>-обласний бюджет;</w:t>
            </w:r>
          </w:p>
        </w:tc>
        <w:tc>
          <w:tcPr>
            <w:tcW w:w="1260" w:type="dxa"/>
            <w:gridSpan w:val="2"/>
            <w:vAlign w:val="center"/>
          </w:tcPr>
          <w:p w14:paraId="7CC03C5A" w14:textId="77777777" w:rsidR="009F618C" w:rsidRPr="006D4A2C" w:rsidRDefault="009F618C" w:rsidP="00FD75D9">
            <w:pPr>
              <w:jc w:val="center"/>
              <w:rPr>
                <w:rFonts w:cs="Arial"/>
                <w:lang w:eastAsia="it-IT"/>
              </w:rPr>
            </w:pPr>
          </w:p>
        </w:tc>
        <w:tc>
          <w:tcPr>
            <w:tcW w:w="1350" w:type="dxa"/>
            <w:vAlign w:val="center"/>
          </w:tcPr>
          <w:p w14:paraId="75D84C57" w14:textId="77777777" w:rsidR="009F618C" w:rsidRPr="006D4A2C" w:rsidRDefault="009F618C" w:rsidP="00FD75D9">
            <w:pPr>
              <w:jc w:val="center"/>
              <w:rPr>
                <w:rFonts w:cs="Arial"/>
                <w:lang w:eastAsia="it-IT"/>
              </w:rPr>
            </w:pPr>
          </w:p>
        </w:tc>
        <w:tc>
          <w:tcPr>
            <w:tcW w:w="1515" w:type="dxa"/>
            <w:gridSpan w:val="3"/>
            <w:vAlign w:val="center"/>
          </w:tcPr>
          <w:p w14:paraId="05F5AB5B" w14:textId="77777777" w:rsidR="009F618C" w:rsidRPr="006D4A2C" w:rsidRDefault="009F618C" w:rsidP="00FD75D9">
            <w:pPr>
              <w:jc w:val="center"/>
              <w:rPr>
                <w:rFonts w:cs="Arial"/>
                <w:lang w:eastAsia="it-IT"/>
              </w:rPr>
            </w:pPr>
          </w:p>
        </w:tc>
        <w:tc>
          <w:tcPr>
            <w:tcW w:w="1245" w:type="dxa"/>
            <w:gridSpan w:val="2"/>
            <w:vAlign w:val="center"/>
          </w:tcPr>
          <w:p w14:paraId="3CBB7E60" w14:textId="77777777" w:rsidR="009F618C" w:rsidRPr="006D4A2C" w:rsidRDefault="009F618C" w:rsidP="00FD75D9">
            <w:pPr>
              <w:jc w:val="center"/>
              <w:rPr>
                <w:rFonts w:cs="Arial"/>
                <w:lang w:eastAsia="it-IT"/>
              </w:rPr>
            </w:pPr>
          </w:p>
        </w:tc>
        <w:tc>
          <w:tcPr>
            <w:tcW w:w="1424" w:type="dxa"/>
            <w:vAlign w:val="center"/>
          </w:tcPr>
          <w:p w14:paraId="7FEC0B2D" w14:textId="77777777" w:rsidR="009F618C" w:rsidRPr="006D4A2C" w:rsidRDefault="009F618C" w:rsidP="00FD75D9">
            <w:pPr>
              <w:jc w:val="center"/>
              <w:rPr>
                <w:rFonts w:cs="Arial"/>
                <w:lang w:eastAsia="it-IT"/>
              </w:rPr>
            </w:pPr>
          </w:p>
        </w:tc>
      </w:tr>
      <w:tr w:rsidR="009F618C" w:rsidRPr="00C2587D" w14:paraId="5DC46106" w14:textId="77777777" w:rsidTr="00FD75D9">
        <w:trPr>
          <w:trHeight w:val="240"/>
          <w:jc w:val="right"/>
        </w:trPr>
        <w:tc>
          <w:tcPr>
            <w:tcW w:w="3425" w:type="dxa"/>
            <w:shd w:val="clear" w:color="auto" w:fill="FFFFFF"/>
            <w:vAlign w:val="center"/>
          </w:tcPr>
          <w:p w14:paraId="4AC18747" w14:textId="77777777" w:rsidR="009F618C" w:rsidRPr="006D4A2C" w:rsidRDefault="009F618C" w:rsidP="00FD75D9">
            <w:pPr>
              <w:rPr>
                <w:rFonts w:cs="Arial"/>
                <w:color w:val="000000"/>
              </w:rPr>
            </w:pPr>
            <w:r w:rsidRPr="006D4A2C">
              <w:rPr>
                <w:rFonts w:cs="Arial"/>
                <w:color w:val="000000"/>
              </w:rPr>
              <w:t xml:space="preserve">-бюджет Жмеринської МТГ; </w:t>
            </w:r>
          </w:p>
        </w:tc>
        <w:tc>
          <w:tcPr>
            <w:tcW w:w="1260" w:type="dxa"/>
            <w:gridSpan w:val="2"/>
            <w:vAlign w:val="center"/>
          </w:tcPr>
          <w:p w14:paraId="7D6F87F4" w14:textId="77777777" w:rsidR="009F618C" w:rsidRPr="006D4A2C" w:rsidRDefault="009F618C" w:rsidP="00FD75D9">
            <w:pPr>
              <w:jc w:val="center"/>
              <w:rPr>
                <w:rFonts w:cs="Arial"/>
                <w:lang w:eastAsia="it-IT"/>
              </w:rPr>
            </w:pPr>
          </w:p>
        </w:tc>
        <w:tc>
          <w:tcPr>
            <w:tcW w:w="1350" w:type="dxa"/>
            <w:vAlign w:val="center"/>
          </w:tcPr>
          <w:p w14:paraId="3ABFA1B0" w14:textId="77777777" w:rsidR="009F618C" w:rsidRPr="006D4A2C" w:rsidRDefault="009F618C" w:rsidP="00FD75D9">
            <w:pPr>
              <w:jc w:val="center"/>
              <w:rPr>
                <w:rFonts w:cs="Arial"/>
                <w:lang w:eastAsia="it-IT"/>
              </w:rPr>
            </w:pPr>
            <w:r w:rsidRPr="006D4A2C">
              <w:rPr>
                <w:rFonts w:cs="Arial"/>
                <w:lang w:eastAsia="it-IT"/>
              </w:rPr>
              <w:t>600,0</w:t>
            </w:r>
          </w:p>
        </w:tc>
        <w:tc>
          <w:tcPr>
            <w:tcW w:w="1515" w:type="dxa"/>
            <w:gridSpan w:val="3"/>
            <w:vAlign w:val="center"/>
          </w:tcPr>
          <w:p w14:paraId="64AAB520" w14:textId="77777777" w:rsidR="009F618C" w:rsidRPr="006D4A2C" w:rsidRDefault="009F618C" w:rsidP="00FD75D9">
            <w:pPr>
              <w:jc w:val="center"/>
              <w:rPr>
                <w:rFonts w:cs="Arial"/>
                <w:lang w:eastAsia="it-IT"/>
              </w:rPr>
            </w:pPr>
          </w:p>
        </w:tc>
        <w:tc>
          <w:tcPr>
            <w:tcW w:w="1245" w:type="dxa"/>
            <w:gridSpan w:val="2"/>
            <w:vAlign w:val="center"/>
          </w:tcPr>
          <w:p w14:paraId="03F384D0" w14:textId="77777777" w:rsidR="009F618C" w:rsidRPr="006D4A2C" w:rsidRDefault="009F618C" w:rsidP="00FD75D9">
            <w:pPr>
              <w:jc w:val="center"/>
              <w:rPr>
                <w:rFonts w:cs="Arial"/>
                <w:lang w:eastAsia="it-IT"/>
              </w:rPr>
            </w:pPr>
          </w:p>
        </w:tc>
        <w:tc>
          <w:tcPr>
            <w:tcW w:w="1424" w:type="dxa"/>
            <w:vAlign w:val="center"/>
          </w:tcPr>
          <w:p w14:paraId="303AE087" w14:textId="77777777" w:rsidR="009F618C" w:rsidRPr="006D4A2C" w:rsidRDefault="009F618C" w:rsidP="00FD75D9">
            <w:pPr>
              <w:jc w:val="center"/>
              <w:rPr>
                <w:rFonts w:cs="Arial"/>
                <w:lang w:eastAsia="it-IT"/>
              </w:rPr>
            </w:pPr>
            <w:r w:rsidRPr="006D4A2C">
              <w:rPr>
                <w:rFonts w:cs="Arial"/>
                <w:lang w:eastAsia="it-IT"/>
              </w:rPr>
              <w:t>600,0</w:t>
            </w:r>
          </w:p>
        </w:tc>
      </w:tr>
      <w:tr w:rsidR="009F618C" w:rsidRPr="00C2587D" w14:paraId="1E31D187" w14:textId="77777777" w:rsidTr="00FD75D9">
        <w:trPr>
          <w:trHeight w:val="240"/>
          <w:jc w:val="right"/>
        </w:trPr>
        <w:tc>
          <w:tcPr>
            <w:tcW w:w="3425" w:type="dxa"/>
            <w:shd w:val="clear" w:color="auto" w:fill="FFFFFF"/>
            <w:vAlign w:val="center"/>
          </w:tcPr>
          <w:p w14:paraId="51CB160B" w14:textId="77777777" w:rsidR="009F618C" w:rsidRPr="006D4A2C" w:rsidRDefault="009F618C" w:rsidP="00FD75D9">
            <w:pPr>
              <w:rPr>
                <w:rFonts w:cs="Arial"/>
                <w:color w:val="000000"/>
              </w:rPr>
            </w:pPr>
            <w:r w:rsidRPr="006D4A2C">
              <w:rPr>
                <w:rFonts w:cs="Arial"/>
                <w:color w:val="000000"/>
              </w:rPr>
              <w:t>-інші джерела фінансування.</w:t>
            </w:r>
          </w:p>
        </w:tc>
        <w:tc>
          <w:tcPr>
            <w:tcW w:w="1260" w:type="dxa"/>
            <w:gridSpan w:val="2"/>
            <w:vAlign w:val="center"/>
          </w:tcPr>
          <w:p w14:paraId="77198F4A" w14:textId="77777777" w:rsidR="009F618C" w:rsidRPr="006D4A2C" w:rsidRDefault="009F618C" w:rsidP="00FD75D9">
            <w:pPr>
              <w:jc w:val="center"/>
              <w:rPr>
                <w:rFonts w:cs="Arial"/>
                <w:lang w:eastAsia="it-IT"/>
              </w:rPr>
            </w:pPr>
          </w:p>
        </w:tc>
        <w:tc>
          <w:tcPr>
            <w:tcW w:w="1350" w:type="dxa"/>
            <w:vAlign w:val="center"/>
          </w:tcPr>
          <w:p w14:paraId="2A9B0E48" w14:textId="77777777" w:rsidR="009F618C" w:rsidRPr="006D4A2C" w:rsidRDefault="009F618C" w:rsidP="00FD75D9">
            <w:pPr>
              <w:jc w:val="center"/>
              <w:rPr>
                <w:rFonts w:cs="Arial"/>
                <w:lang w:eastAsia="it-IT"/>
              </w:rPr>
            </w:pPr>
          </w:p>
        </w:tc>
        <w:tc>
          <w:tcPr>
            <w:tcW w:w="1515" w:type="dxa"/>
            <w:gridSpan w:val="3"/>
            <w:vAlign w:val="center"/>
          </w:tcPr>
          <w:p w14:paraId="197FB880" w14:textId="77777777" w:rsidR="009F618C" w:rsidRPr="006D4A2C" w:rsidRDefault="009F618C" w:rsidP="00FD75D9">
            <w:pPr>
              <w:jc w:val="center"/>
              <w:rPr>
                <w:rFonts w:cs="Arial"/>
                <w:lang w:eastAsia="it-IT"/>
              </w:rPr>
            </w:pPr>
          </w:p>
        </w:tc>
        <w:tc>
          <w:tcPr>
            <w:tcW w:w="1245" w:type="dxa"/>
            <w:gridSpan w:val="2"/>
            <w:vAlign w:val="center"/>
          </w:tcPr>
          <w:p w14:paraId="53D5BFE5" w14:textId="77777777" w:rsidR="009F618C" w:rsidRPr="006D4A2C" w:rsidRDefault="009F618C" w:rsidP="00FD75D9">
            <w:pPr>
              <w:jc w:val="center"/>
              <w:rPr>
                <w:rFonts w:cs="Arial"/>
                <w:lang w:eastAsia="it-IT"/>
              </w:rPr>
            </w:pPr>
          </w:p>
        </w:tc>
        <w:tc>
          <w:tcPr>
            <w:tcW w:w="1424" w:type="dxa"/>
            <w:vAlign w:val="center"/>
          </w:tcPr>
          <w:p w14:paraId="4A2F9346" w14:textId="77777777" w:rsidR="009F618C" w:rsidRPr="006D4A2C" w:rsidRDefault="009F618C" w:rsidP="00FD75D9">
            <w:pPr>
              <w:jc w:val="center"/>
              <w:rPr>
                <w:rFonts w:cs="Arial"/>
                <w:lang w:eastAsia="it-IT"/>
              </w:rPr>
            </w:pPr>
          </w:p>
        </w:tc>
      </w:tr>
      <w:tr w:rsidR="009F618C" w:rsidRPr="00C2587D" w14:paraId="28475F36" w14:textId="77777777" w:rsidTr="00FD75D9">
        <w:trPr>
          <w:jc w:val="right"/>
        </w:trPr>
        <w:tc>
          <w:tcPr>
            <w:tcW w:w="3425" w:type="dxa"/>
            <w:shd w:val="clear" w:color="auto" w:fill="FFFFFF"/>
            <w:vAlign w:val="center"/>
          </w:tcPr>
          <w:p w14:paraId="783FED80" w14:textId="77777777" w:rsidR="009F618C" w:rsidRPr="006D4A2C" w:rsidRDefault="009F618C" w:rsidP="00FD75D9">
            <w:pPr>
              <w:rPr>
                <w:rFonts w:cs="Arial"/>
                <w:b/>
                <w:bCs/>
                <w:color w:val="000000"/>
              </w:rPr>
            </w:pPr>
            <w:r w:rsidRPr="006D4A2C">
              <w:rPr>
                <w:rFonts w:cs="Arial"/>
                <w:b/>
                <w:color w:val="000000"/>
              </w:rPr>
              <w:t>Відповідальний виконавець проєкту:</w:t>
            </w:r>
          </w:p>
        </w:tc>
        <w:tc>
          <w:tcPr>
            <w:tcW w:w="6794" w:type="dxa"/>
            <w:gridSpan w:val="9"/>
            <w:vAlign w:val="center"/>
          </w:tcPr>
          <w:p w14:paraId="47872FF3" w14:textId="77777777" w:rsidR="009F618C" w:rsidRPr="006D4A2C" w:rsidRDefault="009F618C" w:rsidP="00FD75D9">
            <w:pPr>
              <w:tabs>
                <w:tab w:val="left" w:pos="285"/>
              </w:tabs>
              <w:jc w:val="both"/>
              <w:rPr>
                <w:rFonts w:cs="Arial"/>
                <w:color w:val="000000"/>
                <w:lang w:eastAsia="it-IT"/>
              </w:rPr>
            </w:pPr>
            <w:r w:rsidRPr="006D4A2C">
              <w:rPr>
                <w:rFonts w:cs="Arial"/>
                <w:color w:val="000000"/>
                <w:lang w:eastAsia="it-IT"/>
              </w:rPr>
              <w:t>Управління економіки та розвитку інфраструктури виконавчого комітету Жмеринської міської ради</w:t>
            </w:r>
          </w:p>
        </w:tc>
      </w:tr>
      <w:tr w:rsidR="009F618C" w:rsidRPr="00C2587D" w14:paraId="453A5C0B" w14:textId="77777777" w:rsidTr="00FD75D9">
        <w:trPr>
          <w:jc w:val="right"/>
        </w:trPr>
        <w:tc>
          <w:tcPr>
            <w:tcW w:w="3425" w:type="dxa"/>
            <w:shd w:val="clear" w:color="auto" w:fill="FFFFFF"/>
            <w:vAlign w:val="center"/>
          </w:tcPr>
          <w:p w14:paraId="551C5D9A" w14:textId="77777777" w:rsidR="009F618C" w:rsidRPr="006D4A2C" w:rsidRDefault="009F618C" w:rsidP="00FD75D9">
            <w:pPr>
              <w:rPr>
                <w:rFonts w:cs="Arial"/>
                <w:b/>
                <w:bCs/>
              </w:rPr>
            </w:pPr>
            <w:r w:rsidRPr="006D4A2C">
              <w:rPr>
                <w:rFonts w:cs="Arial"/>
                <w:b/>
                <w:bCs/>
              </w:rPr>
              <w:t>Інше:</w:t>
            </w:r>
          </w:p>
        </w:tc>
        <w:tc>
          <w:tcPr>
            <w:tcW w:w="6794" w:type="dxa"/>
            <w:gridSpan w:val="9"/>
            <w:vAlign w:val="center"/>
          </w:tcPr>
          <w:p w14:paraId="3C3FC59F" w14:textId="77777777" w:rsidR="009F618C" w:rsidRPr="006D4A2C" w:rsidRDefault="009F618C" w:rsidP="00FD75D9">
            <w:pPr>
              <w:rPr>
                <w:rFonts w:cs="Arial"/>
                <w:lang w:eastAsia="it-IT"/>
              </w:rPr>
            </w:pPr>
          </w:p>
          <w:p w14:paraId="758D3515" w14:textId="77777777" w:rsidR="009F618C" w:rsidRPr="006D4A2C" w:rsidRDefault="009F618C" w:rsidP="00FD75D9">
            <w:pPr>
              <w:rPr>
                <w:rFonts w:cs="Arial"/>
                <w:lang w:eastAsia="it-IT"/>
              </w:rPr>
            </w:pPr>
          </w:p>
        </w:tc>
      </w:tr>
    </w:tbl>
    <w:p w14:paraId="647B81D8" w14:textId="2E05A976" w:rsidR="00560F31" w:rsidRDefault="00560F31" w:rsidP="009F618C">
      <w:pPr>
        <w:jc w:val="center"/>
        <w:rPr>
          <w:rFonts w:cs="Arial"/>
          <w:b/>
          <w:color w:val="000000"/>
          <w:szCs w:val="22"/>
        </w:rPr>
      </w:pPr>
    </w:p>
    <w:p w14:paraId="25224033" w14:textId="77777777" w:rsidR="009F618C" w:rsidRPr="00C2587D" w:rsidRDefault="009F618C" w:rsidP="009F618C">
      <w:pPr>
        <w:jc w:val="center"/>
        <w:rPr>
          <w:rFonts w:cs="Arial"/>
          <w:b/>
          <w:color w:val="000000"/>
          <w:szCs w:val="22"/>
        </w:rPr>
      </w:pPr>
    </w:p>
    <w:p w14:paraId="7131183A" w14:textId="7BB80BBC" w:rsidR="009F618C" w:rsidRPr="00C2587D" w:rsidRDefault="009F618C" w:rsidP="009F618C">
      <w:pPr>
        <w:jc w:val="center"/>
        <w:rPr>
          <w:rFonts w:cs="Arial"/>
          <w:b/>
          <w:color w:val="000000"/>
          <w:szCs w:val="22"/>
        </w:rPr>
      </w:pPr>
      <w:r w:rsidRPr="00C2587D">
        <w:rPr>
          <w:rFonts w:cs="Arial"/>
          <w:b/>
          <w:color w:val="000000"/>
          <w:szCs w:val="22"/>
        </w:rPr>
        <w:t>Форма технічного завдання на про</w:t>
      </w:r>
      <w:r w:rsidR="00D46D2E">
        <w:rPr>
          <w:rFonts w:cs="Arial"/>
          <w:b/>
          <w:color w:val="000000"/>
          <w:szCs w:val="22"/>
        </w:rPr>
        <w:t>є</w:t>
      </w:r>
      <w:r w:rsidRPr="00C2587D">
        <w:rPr>
          <w:rFonts w:cs="Arial"/>
          <w:b/>
          <w:color w:val="000000"/>
          <w:szCs w:val="22"/>
        </w:rPr>
        <w:t xml:space="preserve">кт місцевого розвитку </w:t>
      </w:r>
    </w:p>
    <w:p w14:paraId="037B6455" w14:textId="77777777" w:rsidR="009F618C" w:rsidRPr="00C2587D" w:rsidRDefault="009F618C" w:rsidP="009F618C">
      <w:pPr>
        <w:jc w:val="center"/>
        <w:rPr>
          <w:rFonts w:cs="Arial"/>
          <w:b/>
          <w:color w:val="000000"/>
          <w:szCs w:val="22"/>
        </w:rPr>
      </w:pPr>
      <w:r w:rsidRPr="00C2587D">
        <w:rPr>
          <w:rFonts w:cs="Arial"/>
          <w:b/>
          <w:color w:val="000000"/>
          <w:szCs w:val="22"/>
        </w:rPr>
        <w:t>до Плану заходів з реалізації Стратегії</w:t>
      </w:r>
    </w:p>
    <w:p w14:paraId="2FC4BCB7" w14:textId="77777777" w:rsidR="009F618C" w:rsidRPr="00C2587D" w:rsidRDefault="009F618C" w:rsidP="009F618C">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6"/>
        <w:gridCol w:w="1350"/>
        <w:gridCol w:w="61"/>
        <w:gridCol w:w="1418"/>
        <w:gridCol w:w="36"/>
        <w:gridCol w:w="1239"/>
        <w:gridCol w:w="6"/>
        <w:gridCol w:w="1424"/>
      </w:tblGrid>
      <w:tr w:rsidR="009F618C" w:rsidRPr="00C2587D" w14:paraId="490534B2" w14:textId="77777777" w:rsidTr="00FD75D9">
        <w:trPr>
          <w:jc w:val="right"/>
        </w:trPr>
        <w:tc>
          <w:tcPr>
            <w:tcW w:w="3425" w:type="dxa"/>
            <w:vAlign w:val="center"/>
          </w:tcPr>
          <w:p w14:paraId="298875EC" w14:textId="4E39BF73" w:rsidR="009F618C" w:rsidRPr="00C2587D" w:rsidRDefault="00D46D2E" w:rsidP="00FD75D9">
            <w:pPr>
              <w:rPr>
                <w:b/>
              </w:rPr>
            </w:pPr>
            <w:r>
              <w:rPr>
                <w:b/>
              </w:rPr>
              <w:t>Назва проє</w:t>
            </w:r>
            <w:r w:rsidR="009F618C" w:rsidRPr="00C2587D">
              <w:rPr>
                <w:b/>
              </w:rPr>
              <w:t>кту:</w:t>
            </w:r>
          </w:p>
        </w:tc>
        <w:tc>
          <w:tcPr>
            <w:tcW w:w="6794" w:type="dxa"/>
            <w:gridSpan w:val="9"/>
            <w:vAlign w:val="center"/>
          </w:tcPr>
          <w:p w14:paraId="7320B679" w14:textId="77777777" w:rsidR="009F618C" w:rsidRPr="00C2587D" w:rsidRDefault="009F618C" w:rsidP="00FD75D9">
            <w:pPr>
              <w:jc w:val="both"/>
              <w:rPr>
                <w:b/>
                <w:bCs/>
              </w:rPr>
            </w:pPr>
            <w:r w:rsidRPr="00C2587D">
              <w:rPr>
                <w:b/>
                <w:bCs/>
              </w:rPr>
              <w:t>Розробка і впровадження Програми поглиблення міжнародного та міжмуніципального співробітництва Жмеринської міської територіальної громади з громадами -партнерами</w:t>
            </w:r>
          </w:p>
        </w:tc>
      </w:tr>
      <w:tr w:rsidR="009F618C" w:rsidRPr="00C2587D" w14:paraId="5C86181E" w14:textId="77777777" w:rsidTr="00FD75D9">
        <w:trPr>
          <w:jc w:val="right"/>
        </w:trPr>
        <w:tc>
          <w:tcPr>
            <w:tcW w:w="3425" w:type="dxa"/>
          </w:tcPr>
          <w:p w14:paraId="67C36A80" w14:textId="77777777" w:rsidR="009F618C" w:rsidRPr="00C2587D" w:rsidRDefault="009F618C" w:rsidP="00FD75D9">
            <w:pPr>
              <w:spacing w:before="40" w:after="40"/>
              <w:rPr>
                <w:lang w:eastAsia="it-IT"/>
              </w:rPr>
            </w:pPr>
            <w:r w:rsidRPr="00C2587D">
              <w:rPr>
                <w:b/>
                <w:bCs/>
              </w:rPr>
              <w:t>Ваші контакти</w:t>
            </w:r>
            <w:r w:rsidRPr="00C2587D">
              <w:rPr>
                <w:lang w:eastAsia="it-IT"/>
              </w:rPr>
              <w:t>:</w:t>
            </w:r>
          </w:p>
          <w:p w14:paraId="4ED9A889" w14:textId="77777777" w:rsidR="009F618C" w:rsidRPr="00C2587D" w:rsidRDefault="009F618C" w:rsidP="00FD75D9">
            <w:pPr>
              <w:spacing w:before="40" w:after="40"/>
              <w:rPr>
                <w:b/>
                <w:bCs/>
              </w:rPr>
            </w:pPr>
            <w:r w:rsidRPr="00C2587D">
              <w:rPr>
                <w:lang w:eastAsia="it-IT"/>
              </w:rPr>
              <w:t>Назва установи, організації, підприємства</w:t>
            </w:r>
          </w:p>
        </w:tc>
        <w:tc>
          <w:tcPr>
            <w:tcW w:w="6794" w:type="dxa"/>
            <w:gridSpan w:val="9"/>
            <w:vAlign w:val="center"/>
          </w:tcPr>
          <w:p w14:paraId="0F23692A" w14:textId="77777777" w:rsidR="009F618C" w:rsidRPr="00C2587D" w:rsidRDefault="009F618C" w:rsidP="00FD75D9">
            <w:pPr>
              <w:spacing w:before="40" w:after="40"/>
              <w:jc w:val="both"/>
              <w:rPr>
                <w:lang w:eastAsia="it-IT"/>
              </w:rPr>
            </w:pPr>
            <w:r w:rsidRPr="00C2587D">
              <w:rPr>
                <w:lang w:eastAsia="it-IT"/>
              </w:rPr>
              <w:t>Управління економіки та розвитку інфраструктури виконавчого комітету  Жмеринської міської ради</w:t>
            </w:r>
          </w:p>
        </w:tc>
      </w:tr>
      <w:tr w:rsidR="009F618C" w:rsidRPr="00C2587D" w14:paraId="35763ED8" w14:textId="77777777" w:rsidTr="00FD75D9">
        <w:trPr>
          <w:jc w:val="right"/>
        </w:trPr>
        <w:tc>
          <w:tcPr>
            <w:tcW w:w="3425" w:type="dxa"/>
          </w:tcPr>
          <w:p w14:paraId="1F582904" w14:textId="77777777" w:rsidR="009F618C" w:rsidRPr="00C2587D" w:rsidRDefault="009F618C" w:rsidP="00FD75D9">
            <w:pPr>
              <w:spacing w:before="40" w:after="40"/>
              <w:rPr>
                <w:b/>
                <w:bCs/>
              </w:rPr>
            </w:pPr>
            <w:r w:rsidRPr="00C2587D">
              <w:rPr>
                <w:lang w:eastAsia="it-IT"/>
              </w:rPr>
              <w:t>Прізвище Ім’я По-батькові:</w:t>
            </w:r>
          </w:p>
        </w:tc>
        <w:tc>
          <w:tcPr>
            <w:tcW w:w="6794" w:type="dxa"/>
            <w:gridSpan w:val="9"/>
            <w:vAlign w:val="center"/>
          </w:tcPr>
          <w:p w14:paraId="142A4A6F" w14:textId="77777777" w:rsidR="009F618C" w:rsidRPr="00C2587D" w:rsidRDefault="009F618C" w:rsidP="00FD75D9">
            <w:pPr>
              <w:spacing w:before="40" w:after="40"/>
              <w:rPr>
                <w:lang w:eastAsia="it-IT"/>
              </w:rPr>
            </w:pPr>
            <w:r w:rsidRPr="00C2587D">
              <w:rPr>
                <w:lang w:eastAsia="it-IT"/>
              </w:rPr>
              <w:t>Коновал Анатолій Романович</w:t>
            </w:r>
          </w:p>
        </w:tc>
      </w:tr>
      <w:tr w:rsidR="009F618C" w:rsidRPr="00C2587D" w14:paraId="0D10EDAB" w14:textId="77777777" w:rsidTr="00FD75D9">
        <w:trPr>
          <w:jc w:val="right"/>
        </w:trPr>
        <w:tc>
          <w:tcPr>
            <w:tcW w:w="3425" w:type="dxa"/>
          </w:tcPr>
          <w:p w14:paraId="1455B8FE" w14:textId="77777777" w:rsidR="009F618C" w:rsidRPr="00C2587D" w:rsidRDefault="009F618C" w:rsidP="00FD75D9">
            <w:pPr>
              <w:spacing w:before="40" w:after="40"/>
              <w:rPr>
                <w:b/>
                <w:bCs/>
              </w:rPr>
            </w:pPr>
            <w:r w:rsidRPr="00C2587D">
              <w:rPr>
                <w:lang w:eastAsia="it-IT"/>
              </w:rPr>
              <w:t>Телефон (мобільний):</w:t>
            </w:r>
          </w:p>
        </w:tc>
        <w:tc>
          <w:tcPr>
            <w:tcW w:w="6794" w:type="dxa"/>
            <w:gridSpan w:val="9"/>
            <w:vAlign w:val="center"/>
          </w:tcPr>
          <w:p w14:paraId="37A6978E" w14:textId="77777777" w:rsidR="009F618C" w:rsidRPr="00C2587D" w:rsidRDefault="009F618C" w:rsidP="00FD75D9">
            <w:pPr>
              <w:spacing w:before="40" w:after="40"/>
              <w:rPr>
                <w:lang w:eastAsia="it-IT"/>
              </w:rPr>
            </w:pPr>
            <w:r w:rsidRPr="00C2587D">
              <w:rPr>
                <w:lang w:eastAsia="it-IT"/>
              </w:rPr>
              <w:t>0674300414</w:t>
            </w:r>
          </w:p>
        </w:tc>
      </w:tr>
      <w:tr w:rsidR="009F618C" w:rsidRPr="00C2587D" w14:paraId="7CD499C8" w14:textId="77777777" w:rsidTr="00FD75D9">
        <w:trPr>
          <w:jc w:val="right"/>
        </w:trPr>
        <w:tc>
          <w:tcPr>
            <w:tcW w:w="3425" w:type="dxa"/>
          </w:tcPr>
          <w:p w14:paraId="5D7A6CBF" w14:textId="77777777" w:rsidR="009F618C" w:rsidRPr="00C2587D" w:rsidRDefault="009F618C" w:rsidP="00FD75D9">
            <w:pPr>
              <w:spacing w:before="40" w:after="40"/>
              <w:rPr>
                <w:b/>
                <w:bCs/>
              </w:rPr>
            </w:pPr>
            <w:r w:rsidRPr="00C2587D">
              <w:rPr>
                <w:lang w:eastAsia="it-IT"/>
              </w:rPr>
              <w:t>Електронна адреса:</w:t>
            </w:r>
          </w:p>
        </w:tc>
        <w:tc>
          <w:tcPr>
            <w:tcW w:w="6794" w:type="dxa"/>
            <w:gridSpan w:val="9"/>
            <w:vAlign w:val="center"/>
          </w:tcPr>
          <w:p w14:paraId="3CAABAFF" w14:textId="5AC694EC" w:rsidR="009F618C" w:rsidRPr="006D4A2C" w:rsidRDefault="00D85FFD" w:rsidP="00FD75D9">
            <w:pPr>
              <w:spacing w:before="40" w:after="40"/>
              <w:rPr>
                <w:sz w:val="20"/>
                <w:szCs w:val="20"/>
                <w:lang w:eastAsia="it-IT"/>
              </w:rPr>
            </w:pPr>
            <w:hyperlink r:id="rId40" w:history="1">
              <w:r w:rsidR="006D4A2C" w:rsidRPr="000A0B5C">
                <w:rPr>
                  <w:rStyle w:val="af0"/>
                  <w:noProof w:val="0"/>
                  <w:lang w:eastAsia="it-IT"/>
                </w:rPr>
                <w:t>econ@zhmr.gov.ua</w:t>
              </w:r>
            </w:hyperlink>
            <w:r w:rsidR="006D4A2C">
              <w:rPr>
                <w:sz w:val="20"/>
                <w:szCs w:val="20"/>
                <w:lang w:eastAsia="it-IT"/>
              </w:rPr>
              <w:t xml:space="preserve"> </w:t>
            </w:r>
          </w:p>
        </w:tc>
      </w:tr>
      <w:tr w:rsidR="009F618C" w:rsidRPr="00C2587D" w14:paraId="00DA6091" w14:textId="77777777" w:rsidTr="00FD75D9">
        <w:trPr>
          <w:jc w:val="right"/>
        </w:trPr>
        <w:tc>
          <w:tcPr>
            <w:tcW w:w="3425" w:type="dxa"/>
            <w:vAlign w:val="center"/>
          </w:tcPr>
          <w:p w14:paraId="031C82FF" w14:textId="4D3611C5" w:rsidR="009F618C" w:rsidRPr="00D46D2E" w:rsidRDefault="009F618C" w:rsidP="00FD75D9">
            <w:pPr>
              <w:pStyle w:val="6"/>
              <w:spacing w:before="0" w:after="0"/>
              <w:rPr>
                <w:rFonts w:ascii="Arial" w:hAnsi="Arial" w:cs="Arial"/>
                <w:color w:val="000000"/>
                <w:lang w:val="uk-UA"/>
              </w:rPr>
            </w:pPr>
            <w:r w:rsidRPr="00D46D2E">
              <w:rPr>
                <w:rFonts w:ascii="Arial" w:hAnsi="Arial" w:cs="Arial"/>
                <w:color w:val="000000"/>
                <w:lang w:val="uk-UA"/>
              </w:rPr>
              <w:t>Номер і назва завдання з Стратегії</w:t>
            </w:r>
            <w:r w:rsidRPr="00D46D2E">
              <w:rPr>
                <w:rFonts w:ascii="Arial" w:hAnsi="Arial" w:cs="Arial"/>
                <w:lang w:val="uk-UA" w:eastAsia="it-IT"/>
              </w:rPr>
              <w:t xml:space="preserve"> </w:t>
            </w:r>
            <w:r w:rsidRPr="00D46D2E">
              <w:rPr>
                <w:rFonts w:ascii="Arial" w:hAnsi="Arial" w:cs="Arial"/>
                <w:color w:val="000000"/>
                <w:lang w:val="uk-UA"/>
              </w:rPr>
              <w:t>розвитку Жмеринської міської територіальної</w:t>
            </w:r>
            <w:r w:rsidR="00D46D2E">
              <w:rPr>
                <w:rFonts w:ascii="Arial" w:hAnsi="Arial" w:cs="Arial"/>
                <w:color w:val="000000"/>
                <w:lang w:val="uk-UA"/>
              </w:rPr>
              <w:t xml:space="preserve"> громади,  якому відповідає проє</w:t>
            </w:r>
            <w:r w:rsidRPr="00D46D2E">
              <w:rPr>
                <w:rFonts w:ascii="Arial" w:hAnsi="Arial" w:cs="Arial"/>
                <w:color w:val="000000"/>
                <w:lang w:val="uk-UA"/>
              </w:rPr>
              <w:t>кт:</w:t>
            </w:r>
          </w:p>
        </w:tc>
        <w:tc>
          <w:tcPr>
            <w:tcW w:w="6794" w:type="dxa"/>
            <w:gridSpan w:val="9"/>
            <w:vAlign w:val="center"/>
          </w:tcPr>
          <w:p w14:paraId="77DA357E" w14:textId="77777777" w:rsidR="009F618C" w:rsidRPr="00C2587D" w:rsidRDefault="009F618C" w:rsidP="006D4A2C">
            <w:pPr>
              <w:jc w:val="both"/>
              <w:rPr>
                <w:color w:val="000000"/>
                <w:lang w:eastAsia="uk-UA"/>
              </w:rPr>
            </w:pPr>
            <w:r w:rsidRPr="00C2587D">
              <w:rPr>
                <w:b/>
                <w:bCs/>
                <w:color w:val="000000"/>
                <w:lang w:eastAsia="uk-UA"/>
              </w:rPr>
              <w:t>А.4. Ефективна інвестиційна політика та маркетинг території</w:t>
            </w:r>
          </w:p>
          <w:p w14:paraId="09432036" w14:textId="77777777" w:rsidR="009F618C" w:rsidRPr="00C2587D" w:rsidRDefault="009F618C" w:rsidP="006D4A2C">
            <w:pPr>
              <w:widowControl w:val="0"/>
              <w:suppressAutoHyphens/>
              <w:spacing w:before="20" w:after="20"/>
              <w:jc w:val="both"/>
              <w:rPr>
                <w:lang w:eastAsia="uk-UA"/>
              </w:rPr>
            </w:pPr>
            <w:r w:rsidRPr="00C2587D">
              <w:rPr>
                <w:lang w:eastAsia="uk-UA"/>
              </w:rPr>
              <w:t>А.4.4. Міжнародне співробітництво</w:t>
            </w:r>
          </w:p>
          <w:p w14:paraId="6F375E5A" w14:textId="77777777" w:rsidR="009F618C" w:rsidRPr="00C2587D" w:rsidRDefault="009F618C" w:rsidP="006D4A2C">
            <w:pPr>
              <w:spacing w:before="20" w:after="20"/>
              <w:jc w:val="both"/>
            </w:pPr>
            <w:r w:rsidRPr="00C2587D">
              <w:t>А.4.4.1. Здійснення заходів з поглиблення співпраці з містами побратимами з якими Жмеринською міською територіальною громадою  укладено угоди (протоколи) про співробітництво, зокрема, обмін делегаціями, проведення робочих зустрічей, «круглих столів», конференцій, бізнес - форумів тощо.</w:t>
            </w:r>
          </w:p>
          <w:p w14:paraId="3A2B9F60" w14:textId="77777777" w:rsidR="009F618C" w:rsidRPr="00C2587D" w:rsidRDefault="009F618C" w:rsidP="006D4A2C">
            <w:pPr>
              <w:spacing w:before="20" w:after="20"/>
              <w:jc w:val="both"/>
            </w:pPr>
            <w:r w:rsidRPr="00C2587D">
              <w:t>А.4.4.2. Формування позитивного іміджу та популяризація Жмеринської міської територіальної громади на міжнародному рівні.</w:t>
            </w:r>
          </w:p>
          <w:p w14:paraId="368E094E" w14:textId="77777777" w:rsidR="009F618C" w:rsidRPr="00C2587D" w:rsidRDefault="009F618C" w:rsidP="006D4A2C">
            <w:pPr>
              <w:spacing w:before="20" w:after="20"/>
              <w:jc w:val="both"/>
            </w:pPr>
            <w:r w:rsidRPr="00C2587D">
              <w:t>А.4.4.3. Пошук контактів з іноземними посольствами та зарубіжними організаціями, обмін інформацією та встановлення партнерських стосунків між закордонними громадами.</w:t>
            </w:r>
          </w:p>
          <w:p w14:paraId="0207D09A" w14:textId="77777777" w:rsidR="009F618C" w:rsidRPr="00C2587D" w:rsidRDefault="009F618C" w:rsidP="006D4A2C">
            <w:pPr>
              <w:widowControl w:val="0"/>
              <w:suppressAutoHyphens/>
              <w:spacing w:before="20" w:after="20"/>
              <w:jc w:val="both"/>
              <w:rPr>
                <w:lang w:eastAsia="it-IT"/>
              </w:rPr>
            </w:pPr>
            <w:r w:rsidRPr="00C2587D">
              <w:t>А.4.4.4. Посилення міжнародної співпраці у сферах: культури, освіти, спорту та інших.</w:t>
            </w:r>
          </w:p>
        </w:tc>
      </w:tr>
      <w:tr w:rsidR="009F618C" w:rsidRPr="00C2587D" w14:paraId="2291C847" w14:textId="77777777" w:rsidTr="00FD75D9">
        <w:trPr>
          <w:jc w:val="right"/>
        </w:trPr>
        <w:tc>
          <w:tcPr>
            <w:tcW w:w="3425" w:type="dxa"/>
            <w:vAlign w:val="center"/>
          </w:tcPr>
          <w:p w14:paraId="54B74C21" w14:textId="77777777" w:rsidR="009F618C" w:rsidRPr="00C2587D" w:rsidRDefault="009F618C" w:rsidP="00FD75D9">
            <w:pPr>
              <w:rPr>
                <w:b/>
                <w:bCs/>
                <w:color w:val="000000"/>
              </w:rPr>
            </w:pPr>
            <w:r w:rsidRPr="00C2587D">
              <w:rPr>
                <w:b/>
                <w:bCs/>
                <w:color w:val="000000"/>
              </w:rPr>
              <w:t>Мета проєкту</w:t>
            </w:r>
          </w:p>
        </w:tc>
        <w:tc>
          <w:tcPr>
            <w:tcW w:w="6794" w:type="dxa"/>
            <w:gridSpan w:val="9"/>
            <w:vAlign w:val="center"/>
          </w:tcPr>
          <w:p w14:paraId="16F07A55" w14:textId="77777777" w:rsidR="009F618C" w:rsidRPr="00C2587D" w:rsidRDefault="009F618C" w:rsidP="00FD75D9">
            <w:pPr>
              <w:spacing w:before="40" w:after="40"/>
              <w:rPr>
                <w:lang w:eastAsia="it-IT"/>
              </w:rPr>
            </w:pPr>
            <w:r w:rsidRPr="00C2587D">
              <w:rPr>
                <w:lang w:eastAsia="it-IT"/>
              </w:rPr>
              <w:t>Налагодження міжнародної територіальної співпраці з територіальними громадами інших країн та громад- партнерів для поглиблення економічних, соціальних, науково-технічних, екологічних, культурних та інших відносин, у тому числі в рамках норм та положень Закону України «Про міжнародне територіальне співробітництво України»</w:t>
            </w:r>
          </w:p>
        </w:tc>
      </w:tr>
      <w:tr w:rsidR="009F618C" w:rsidRPr="00C2587D" w14:paraId="35D3BDF9" w14:textId="77777777" w:rsidTr="00FD75D9">
        <w:trPr>
          <w:jc w:val="right"/>
        </w:trPr>
        <w:tc>
          <w:tcPr>
            <w:tcW w:w="3425" w:type="dxa"/>
            <w:vAlign w:val="center"/>
          </w:tcPr>
          <w:p w14:paraId="4DBD0483" w14:textId="775FE5DC" w:rsidR="009F618C" w:rsidRPr="00C2587D" w:rsidRDefault="00DF2EFB" w:rsidP="00FD75D9">
            <w:pPr>
              <w:rPr>
                <w:b/>
                <w:bCs/>
                <w:color w:val="000000"/>
              </w:rPr>
            </w:pPr>
            <w:r>
              <w:rPr>
                <w:b/>
                <w:bCs/>
                <w:color w:val="000000"/>
              </w:rPr>
              <w:t>Цілі проє</w:t>
            </w:r>
            <w:r w:rsidR="009F618C" w:rsidRPr="00C2587D">
              <w:rPr>
                <w:b/>
                <w:bCs/>
                <w:color w:val="000000"/>
              </w:rPr>
              <w:t>кту:</w:t>
            </w:r>
          </w:p>
        </w:tc>
        <w:tc>
          <w:tcPr>
            <w:tcW w:w="6794" w:type="dxa"/>
            <w:gridSpan w:val="9"/>
            <w:vAlign w:val="center"/>
          </w:tcPr>
          <w:p w14:paraId="676302AF" w14:textId="77777777" w:rsidR="009F618C" w:rsidRPr="00C2587D" w:rsidRDefault="009F618C" w:rsidP="00FD75D9">
            <w:pPr>
              <w:spacing w:before="40" w:after="40"/>
              <w:jc w:val="both"/>
              <w:rPr>
                <w:b/>
                <w:bCs/>
                <w:lang w:eastAsia="it-IT"/>
              </w:rPr>
            </w:pPr>
            <w:r w:rsidRPr="00C2587D">
              <w:rPr>
                <w:b/>
                <w:bCs/>
                <w:lang w:eastAsia="it-IT"/>
              </w:rPr>
              <w:t>Поглиблення міжмуніципального діалогу та партнерства</w:t>
            </w:r>
          </w:p>
          <w:p w14:paraId="5C6ADF65" w14:textId="77777777" w:rsidR="009F618C" w:rsidRPr="00C2587D" w:rsidRDefault="009F618C" w:rsidP="00FD75D9">
            <w:pPr>
              <w:spacing w:before="40" w:after="40"/>
              <w:jc w:val="both"/>
              <w:rPr>
                <w:lang w:eastAsia="it-IT"/>
              </w:rPr>
            </w:pPr>
            <w:r w:rsidRPr="00C2587D">
              <w:rPr>
                <w:lang w:eastAsia="it-IT"/>
              </w:rPr>
              <w:t>– встановлення сталих зв’язків між органами місцевого самоврядування, сприяння обміну кращими практиками в управлінні, адміністративному розвитку та соціально-економічному плануванні.</w:t>
            </w:r>
          </w:p>
          <w:p w14:paraId="0B090E25" w14:textId="77777777" w:rsidR="009F618C" w:rsidRPr="00C2587D" w:rsidRDefault="009F618C" w:rsidP="00FD75D9">
            <w:pPr>
              <w:spacing w:before="40" w:after="40"/>
              <w:jc w:val="both"/>
              <w:rPr>
                <w:b/>
                <w:bCs/>
                <w:lang w:eastAsia="it-IT"/>
              </w:rPr>
            </w:pPr>
            <w:r w:rsidRPr="00C2587D">
              <w:rPr>
                <w:b/>
                <w:bCs/>
                <w:lang w:eastAsia="it-IT"/>
              </w:rPr>
              <w:t>Підвищення інституційної спроможності громад</w:t>
            </w:r>
          </w:p>
          <w:p w14:paraId="75705CDB" w14:textId="77777777" w:rsidR="009F618C" w:rsidRPr="00C2587D" w:rsidRDefault="009F618C" w:rsidP="00FD75D9">
            <w:pPr>
              <w:spacing w:before="40" w:after="40"/>
              <w:jc w:val="both"/>
              <w:rPr>
                <w:lang w:eastAsia="it-IT"/>
              </w:rPr>
            </w:pPr>
            <w:r w:rsidRPr="00C2587D">
              <w:rPr>
                <w:lang w:eastAsia="it-IT"/>
              </w:rPr>
              <w:t>– залучення до міжнародних програм, проєктів та ініціатив, які сприяють підвищенню кваліфікації кадрів, розвитку місцевих інституцій, цифровізації та інновацій.</w:t>
            </w:r>
          </w:p>
          <w:p w14:paraId="72A73F55" w14:textId="77777777" w:rsidR="009F618C" w:rsidRPr="00C2587D" w:rsidRDefault="009F618C" w:rsidP="00FD75D9">
            <w:pPr>
              <w:spacing w:before="40" w:after="40"/>
              <w:jc w:val="both"/>
              <w:rPr>
                <w:b/>
                <w:bCs/>
                <w:lang w:eastAsia="it-IT"/>
              </w:rPr>
            </w:pPr>
            <w:r w:rsidRPr="00C2587D">
              <w:rPr>
                <w:b/>
                <w:bCs/>
                <w:lang w:eastAsia="it-IT"/>
              </w:rPr>
              <w:t>Економічна співпраця та залучення інвестицій</w:t>
            </w:r>
          </w:p>
          <w:p w14:paraId="153590CC" w14:textId="77777777" w:rsidR="009F618C" w:rsidRPr="00C2587D" w:rsidRDefault="009F618C" w:rsidP="00FD75D9">
            <w:pPr>
              <w:spacing w:before="40" w:after="40"/>
              <w:jc w:val="both"/>
              <w:rPr>
                <w:lang w:eastAsia="it-IT"/>
              </w:rPr>
            </w:pPr>
            <w:r w:rsidRPr="00C2587D">
              <w:rPr>
                <w:lang w:eastAsia="it-IT"/>
              </w:rPr>
              <w:t>– спільна участь у проєктах транскордонного співробітництва, підтримка малого й середнього бізнесу, розвиток туризму, інфраструктури та зелених технологій.</w:t>
            </w:r>
          </w:p>
          <w:p w14:paraId="4300B1C2" w14:textId="77777777" w:rsidR="009F618C" w:rsidRPr="00C2587D" w:rsidRDefault="009F618C" w:rsidP="00FD75D9">
            <w:pPr>
              <w:spacing w:before="40" w:after="40"/>
              <w:jc w:val="both"/>
              <w:rPr>
                <w:b/>
                <w:bCs/>
                <w:lang w:eastAsia="it-IT"/>
              </w:rPr>
            </w:pPr>
            <w:r w:rsidRPr="00C2587D">
              <w:rPr>
                <w:b/>
                <w:bCs/>
                <w:lang w:eastAsia="it-IT"/>
              </w:rPr>
              <w:t>Культурний і гуманітарний обмін</w:t>
            </w:r>
          </w:p>
          <w:p w14:paraId="0CB03C8A" w14:textId="77777777" w:rsidR="009F618C" w:rsidRPr="00C2587D" w:rsidRDefault="009F618C" w:rsidP="00FD75D9">
            <w:pPr>
              <w:spacing w:before="40" w:after="40"/>
              <w:jc w:val="both"/>
              <w:rPr>
                <w:lang w:eastAsia="it-IT"/>
              </w:rPr>
            </w:pPr>
            <w:r w:rsidRPr="00C2587D">
              <w:rPr>
                <w:lang w:eastAsia="it-IT"/>
              </w:rPr>
              <w:t>– організація спільних культурних подій, молодіжних обмінів, освітніх програм і волонтерських ініціатив з метою зміцнення добросусідських зв’язків і взаємної поваги.</w:t>
            </w:r>
          </w:p>
          <w:p w14:paraId="600F4489" w14:textId="77777777" w:rsidR="009F618C" w:rsidRPr="00C2587D" w:rsidRDefault="009F618C" w:rsidP="00FD75D9">
            <w:pPr>
              <w:spacing w:before="40" w:after="40"/>
              <w:jc w:val="both"/>
              <w:rPr>
                <w:b/>
                <w:bCs/>
                <w:lang w:eastAsia="it-IT"/>
              </w:rPr>
            </w:pPr>
            <w:r w:rsidRPr="00C2587D">
              <w:rPr>
                <w:b/>
                <w:bCs/>
                <w:lang w:eastAsia="it-IT"/>
              </w:rPr>
              <w:t>Сприяння сталому розвитку та екологічній безпеці</w:t>
            </w:r>
          </w:p>
          <w:p w14:paraId="44C523C5" w14:textId="77777777" w:rsidR="009F618C" w:rsidRPr="00C2587D" w:rsidRDefault="009F618C" w:rsidP="00FD75D9">
            <w:pPr>
              <w:spacing w:before="40" w:after="40"/>
              <w:jc w:val="both"/>
              <w:rPr>
                <w:lang w:eastAsia="it-IT"/>
              </w:rPr>
            </w:pPr>
            <w:r w:rsidRPr="00C2587D">
              <w:rPr>
                <w:lang w:eastAsia="it-IT"/>
              </w:rPr>
              <w:t>– реалізація спільних екологічних ініціатив, охорона довкілля, розвиток «зелених» громад, впровадження принципів сталого розвитку на місцевому рівні.</w:t>
            </w:r>
          </w:p>
          <w:p w14:paraId="59FA1AE6" w14:textId="77777777" w:rsidR="009F618C" w:rsidRPr="00C2587D" w:rsidRDefault="009F618C" w:rsidP="00FD75D9">
            <w:pPr>
              <w:spacing w:before="40" w:after="40"/>
              <w:jc w:val="both"/>
              <w:rPr>
                <w:b/>
                <w:bCs/>
                <w:lang w:eastAsia="it-IT"/>
              </w:rPr>
            </w:pPr>
            <w:r w:rsidRPr="00C2587D">
              <w:rPr>
                <w:b/>
                <w:bCs/>
                <w:lang w:eastAsia="it-IT"/>
              </w:rPr>
              <w:t>Підтримка в умовах криз і надзвичайних ситуацій</w:t>
            </w:r>
          </w:p>
          <w:p w14:paraId="6AE6DDB1" w14:textId="77777777" w:rsidR="009F618C" w:rsidRPr="00C2587D" w:rsidRDefault="009F618C" w:rsidP="00FD75D9">
            <w:pPr>
              <w:spacing w:before="40" w:after="40"/>
              <w:jc w:val="both"/>
              <w:rPr>
                <w:lang w:eastAsia="it-IT"/>
              </w:rPr>
            </w:pPr>
            <w:r w:rsidRPr="00C2587D">
              <w:rPr>
                <w:lang w:eastAsia="it-IT"/>
              </w:rPr>
              <w:t>– взаємодопомога в гуманітарних питаннях, координація зусиль під час надзвичайних ситуацій, розбудова систем цивільного захисту та кризового управління.</w:t>
            </w:r>
          </w:p>
        </w:tc>
      </w:tr>
      <w:tr w:rsidR="009F618C" w:rsidRPr="00C2587D" w14:paraId="5B452B90" w14:textId="77777777" w:rsidTr="00FD75D9">
        <w:trPr>
          <w:jc w:val="right"/>
        </w:trPr>
        <w:tc>
          <w:tcPr>
            <w:tcW w:w="3425" w:type="dxa"/>
            <w:vAlign w:val="center"/>
          </w:tcPr>
          <w:p w14:paraId="172BB7E0" w14:textId="2B642B3E" w:rsidR="009F618C" w:rsidRPr="00C2587D" w:rsidRDefault="00DF2EFB" w:rsidP="00FD75D9">
            <w:pPr>
              <w:autoSpaceDE w:val="0"/>
              <w:autoSpaceDN w:val="0"/>
              <w:adjustRightInd w:val="0"/>
              <w:rPr>
                <w:b/>
              </w:rPr>
            </w:pPr>
            <w:r>
              <w:rPr>
                <w:b/>
              </w:rPr>
              <w:t>Територія на яку проє</w:t>
            </w:r>
            <w:r w:rsidR="009F618C" w:rsidRPr="00C2587D">
              <w:rPr>
                <w:b/>
              </w:rPr>
              <w:t>кт матиме вплив:</w:t>
            </w:r>
          </w:p>
        </w:tc>
        <w:tc>
          <w:tcPr>
            <w:tcW w:w="6794" w:type="dxa"/>
            <w:gridSpan w:val="9"/>
            <w:vAlign w:val="center"/>
          </w:tcPr>
          <w:p w14:paraId="0339CB9E" w14:textId="77777777" w:rsidR="009F618C" w:rsidRPr="00C2587D" w:rsidRDefault="009F618C" w:rsidP="00FD75D9">
            <w:pPr>
              <w:spacing w:before="40" w:after="40"/>
              <w:jc w:val="both"/>
              <w:rPr>
                <w:lang w:eastAsia="it-IT"/>
              </w:rPr>
            </w:pPr>
            <w:r w:rsidRPr="00C2587D">
              <w:rPr>
                <w:lang w:eastAsia="it-IT"/>
              </w:rPr>
              <w:t xml:space="preserve">Жмеринська міська територіальна громада </w:t>
            </w:r>
          </w:p>
        </w:tc>
      </w:tr>
      <w:tr w:rsidR="009F618C" w:rsidRPr="00C2587D" w14:paraId="6B0132E7" w14:textId="77777777" w:rsidTr="00FD75D9">
        <w:trPr>
          <w:jc w:val="right"/>
        </w:trPr>
        <w:tc>
          <w:tcPr>
            <w:tcW w:w="3425" w:type="dxa"/>
            <w:vAlign w:val="center"/>
          </w:tcPr>
          <w:p w14:paraId="07A511E1" w14:textId="77777777" w:rsidR="009F618C" w:rsidRPr="00C2587D" w:rsidRDefault="009F618C" w:rsidP="00FD75D9">
            <w:pPr>
              <w:autoSpaceDE w:val="0"/>
              <w:autoSpaceDN w:val="0"/>
              <w:adjustRightInd w:val="0"/>
              <w:rPr>
                <w:b/>
              </w:rPr>
            </w:pPr>
            <w:r w:rsidRPr="00C2587D">
              <w:rPr>
                <w:b/>
              </w:rPr>
              <w:t>Цільові групи проєкту та кількість отримувачів вигоди</w:t>
            </w:r>
          </w:p>
        </w:tc>
        <w:tc>
          <w:tcPr>
            <w:tcW w:w="6794" w:type="dxa"/>
            <w:gridSpan w:val="9"/>
            <w:vAlign w:val="center"/>
          </w:tcPr>
          <w:p w14:paraId="62AB91B2" w14:textId="77777777" w:rsidR="009F618C" w:rsidRPr="00C2587D" w:rsidRDefault="009F618C" w:rsidP="00FD75D9">
            <w:pPr>
              <w:spacing w:before="40" w:after="40"/>
              <w:rPr>
                <w:lang w:eastAsia="it-IT"/>
              </w:rPr>
            </w:pPr>
            <w:r w:rsidRPr="00C2587D">
              <w:t>Представники місцевого бізнесу, інвестори, громадські організації, населення громади, міжнародні партнери, 10 тис.осіб</w:t>
            </w:r>
          </w:p>
        </w:tc>
      </w:tr>
      <w:tr w:rsidR="009F618C" w:rsidRPr="00C2587D" w14:paraId="555FE895" w14:textId="77777777" w:rsidTr="00FD75D9">
        <w:trPr>
          <w:jc w:val="right"/>
        </w:trPr>
        <w:tc>
          <w:tcPr>
            <w:tcW w:w="3425" w:type="dxa"/>
            <w:shd w:val="clear" w:color="auto" w:fill="FFFFFF"/>
            <w:vAlign w:val="center"/>
          </w:tcPr>
          <w:p w14:paraId="280AAE92" w14:textId="54B76D58" w:rsidR="009F618C" w:rsidRPr="00C2587D" w:rsidRDefault="00AA12D9" w:rsidP="00FD75D9">
            <w:pPr>
              <w:rPr>
                <w:b/>
                <w:bCs/>
                <w:color w:val="000000"/>
              </w:rPr>
            </w:pPr>
            <w:r>
              <w:rPr>
                <w:b/>
                <w:bCs/>
                <w:color w:val="000000"/>
              </w:rPr>
              <w:t>Стислий опис проє</w:t>
            </w:r>
            <w:r w:rsidR="009F618C" w:rsidRPr="00C2587D">
              <w:rPr>
                <w:b/>
                <w:bCs/>
                <w:color w:val="000000"/>
              </w:rPr>
              <w:t>кту:</w:t>
            </w:r>
          </w:p>
        </w:tc>
        <w:tc>
          <w:tcPr>
            <w:tcW w:w="6794" w:type="dxa"/>
            <w:gridSpan w:val="9"/>
            <w:vAlign w:val="center"/>
          </w:tcPr>
          <w:p w14:paraId="3CD7EB2F" w14:textId="77777777" w:rsidR="009F618C" w:rsidRPr="00C2587D" w:rsidRDefault="009F618C" w:rsidP="00FD75D9">
            <w:pPr>
              <w:pStyle w:val="af4"/>
              <w:tabs>
                <w:tab w:val="left" w:pos="285"/>
              </w:tabs>
              <w:spacing w:before="40" w:after="40" w:line="240" w:lineRule="auto"/>
              <w:contextualSpacing/>
              <w:jc w:val="both"/>
              <w:rPr>
                <w:rFonts w:ascii="Arial" w:hAnsi="Arial" w:cs="Arial"/>
                <w:lang w:eastAsia="it-IT"/>
              </w:rPr>
            </w:pPr>
            <w:r w:rsidRPr="00C2587D">
              <w:rPr>
                <w:rFonts w:ascii="Arial" w:hAnsi="Arial" w:cs="Arial"/>
                <w:lang w:eastAsia="it-IT"/>
              </w:rPr>
              <w:t>Жмеринська міська територіальна громада активно розвиває партнерські відносини з громадами інших країн та регіонів України. В умовах європейської інтеграції, децентралізації та зростання ролі місцевого самоврядування міжнародне та міжмуніципальне співробітництво стає важливим інструментом розвитку громади, залучення інвестицій, обміну досвідом та підвищення якості життя.</w:t>
            </w:r>
          </w:p>
          <w:p w14:paraId="682E5AD7" w14:textId="2F5E20C9" w:rsidR="009F618C" w:rsidRPr="00C2587D" w:rsidRDefault="009F618C" w:rsidP="006D4A2C">
            <w:pPr>
              <w:pStyle w:val="af4"/>
              <w:tabs>
                <w:tab w:val="left" w:pos="285"/>
              </w:tabs>
              <w:spacing w:before="40" w:after="40" w:line="240" w:lineRule="auto"/>
              <w:contextualSpacing/>
              <w:jc w:val="both"/>
              <w:rPr>
                <w:rFonts w:ascii="Times New Roman" w:hAnsi="Times New Roman"/>
                <w:sz w:val="24"/>
                <w:szCs w:val="24"/>
                <w:lang w:eastAsia="it-IT"/>
              </w:rPr>
            </w:pPr>
            <w:r w:rsidRPr="00C2587D">
              <w:rPr>
                <w:rFonts w:ascii="Arial" w:hAnsi="Arial" w:cs="Arial"/>
                <w:lang w:eastAsia="it-IT"/>
              </w:rPr>
              <w:t>Проєкт передбачає розробку та впровадження цілісної Програми, що систематизує, координує та поглиблює співпрацю Жмеринської громади з громадами-партнерами.</w:t>
            </w:r>
          </w:p>
        </w:tc>
      </w:tr>
      <w:tr w:rsidR="009F618C" w:rsidRPr="00C2587D" w14:paraId="2BD508B5" w14:textId="77777777" w:rsidTr="00FD75D9">
        <w:trPr>
          <w:jc w:val="right"/>
        </w:trPr>
        <w:tc>
          <w:tcPr>
            <w:tcW w:w="3425" w:type="dxa"/>
            <w:shd w:val="clear" w:color="auto" w:fill="FFFFFF"/>
            <w:vAlign w:val="center"/>
          </w:tcPr>
          <w:p w14:paraId="5B6A8D58" w14:textId="77777777" w:rsidR="009F618C" w:rsidRPr="00C2587D" w:rsidRDefault="009F618C" w:rsidP="00FD75D9">
            <w:pPr>
              <w:rPr>
                <w:b/>
                <w:bCs/>
                <w:color w:val="000000"/>
              </w:rPr>
            </w:pPr>
            <w:r w:rsidRPr="00C2587D">
              <w:rPr>
                <w:b/>
                <w:bCs/>
                <w:color w:val="000000"/>
              </w:rPr>
              <w:t>Основні заходи проєкту</w:t>
            </w:r>
          </w:p>
        </w:tc>
        <w:tc>
          <w:tcPr>
            <w:tcW w:w="6794" w:type="dxa"/>
            <w:gridSpan w:val="9"/>
            <w:shd w:val="clear" w:color="auto" w:fill="FFFFFF"/>
          </w:tcPr>
          <w:p w14:paraId="21BD546B" w14:textId="77777777" w:rsidR="009F618C" w:rsidRPr="00C2587D" w:rsidRDefault="009F618C" w:rsidP="00FD75D9">
            <w:pPr>
              <w:tabs>
                <w:tab w:val="left" w:pos="285"/>
              </w:tabs>
              <w:spacing w:before="40" w:after="40"/>
              <w:contextualSpacing/>
              <w:jc w:val="both"/>
            </w:pPr>
            <w:r w:rsidRPr="00C2587D">
              <w:t xml:space="preserve">1. Підготовка проєкту Програми міжнародного співробітництва Жмеринської міської територіальної громади на 2025-2028 роки. </w:t>
            </w:r>
          </w:p>
          <w:p w14:paraId="775C527A" w14:textId="77777777" w:rsidR="009F618C" w:rsidRPr="00C2587D" w:rsidRDefault="009F618C" w:rsidP="00FD75D9">
            <w:pPr>
              <w:tabs>
                <w:tab w:val="left" w:pos="285"/>
              </w:tabs>
              <w:spacing w:before="40" w:after="40"/>
              <w:contextualSpacing/>
              <w:jc w:val="both"/>
              <w:rPr>
                <w:lang w:eastAsia="it-IT"/>
              </w:rPr>
            </w:pPr>
            <w:r w:rsidRPr="00C2587D">
              <w:t>2. Затвердження рішенням Жмеринської міської ради Програми міжнародного співробітництва Жмеринської міської територіальної громади на 2025- 2028 роки.</w:t>
            </w:r>
          </w:p>
        </w:tc>
      </w:tr>
      <w:tr w:rsidR="009F618C" w:rsidRPr="00C2587D" w14:paraId="7EAE6318" w14:textId="77777777" w:rsidTr="00FD75D9">
        <w:trPr>
          <w:jc w:val="right"/>
        </w:trPr>
        <w:tc>
          <w:tcPr>
            <w:tcW w:w="3425" w:type="dxa"/>
            <w:shd w:val="clear" w:color="auto" w:fill="FFFFFF"/>
            <w:vAlign w:val="center"/>
          </w:tcPr>
          <w:p w14:paraId="26BBE14C" w14:textId="77777777" w:rsidR="009F618C" w:rsidRPr="00C2587D" w:rsidRDefault="009F618C" w:rsidP="00FD75D9">
            <w:pPr>
              <w:rPr>
                <w:b/>
                <w:bCs/>
                <w:color w:val="000000"/>
              </w:rPr>
            </w:pPr>
            <w:r w:rsidRPr="00C2587D">
              <w:rPr>
                <w:b/>
                <w:bCs/>
                <w:color w:val="000000"/>
              </w:rPr>
              <w:t>Індикатори (показники) результативності</w:t>
            </w:r>
          </w:p>
        </w:tc>
        <w:tc>
          <w:tcPr>
            <w:tcW w:w="6794" w:type="dxa"/>
            <w:gridSpan w:val="9"/>
            <w:vAlign w:val="center"/>
          </w:tcPr>
          <w:p w14:paraId="10BED669" w14:textId="77777777" w:rsidR="009F618C" w:rsidRPr="00C2587D" w:rsidRDefault="009F618C" w:rsidP="00FD75D9">
            <w:pPr>
              <w:jc w:val="both"/>
            </w:pPr>
            <w:r w:rsidRPr="00C2587D">
              <w:t xml:space="preserve">- розроблено та затверджено заходи з реалізації Програми міжнародного співробітництва Жмеринської міської територіальної громади на 2025-2028 роки; </w:t>
            </w:r>
          </w:p>
          <w:p w14:paraId="04343DA9" w14:textId="77777777" w:rsidR="009F618C" w:rsidRPr="00C2587D" w:rsidRDefault="009F618C" w:rsidP="00FD75D9">
            <w:pPr>
              <w:jc w:val="both"/>
            </w:pPr>
            <w:r w:rsidRPr="00C2587D">
              <w:t xml:space="preserve">- підписано угоди про співробітництво з 2 містами-партнерами з іноземних країн; </w:t>
            </w:r>
          </w:p>
          <w:p w14:paraId="632E22C2" w14:textId="77777777" w:rsidR="009F618C" w:rsidRPr="00C2587D" w:rsidRDefault="009F618C" w:rsidP="00FD75D9">
            <w:pPr>
              <w:jc w:val="both"/>
            </w:pPr>
            <w:r w:rsidRPr="00C2587D">
              <w:t xml:space="preserve">- укладено 2 угоди про міжнародне територіальне співробітництво в окремих сферах; </w:t>
            </w:r>
          </w:p>
          <w:p w14:paraId="7BF84650" w14:textId="77777777" w:rsidR="009F618C" w:rsidRPr="00C2587D" w:rsidRDefault="009F618C" w:rsidP="00FD75D9">
            <w:pPr>
              <w:jc w:val="both"/>
              <w:rPr>
                <w:lang w:eastAsia="it-IT"/>
              </w:rPr>
            </w:pPr>
            <w:r w:rsidRPr="00C2587D">
              <w:t>-  укладено 2 угоди про міжмуніципальне співробітництво</w:t>
            </w:r>
          </w:p>
        </w:tc>
      </w:tr>
      <w:tr w:rsidR="009F618C" w:rsidRPr="00C2587D" w14:paraId="2180017C" w14:textId="77777777" w:rsidTr="00FD75D9">
        <w:trPr>
          <w:jc w:val="right"/>
        </w:trPr>
        <w:tc>
          <w:tcPr>
            <w:tcW w:w="3425" w:type="dxa"/>
            <w:shd w:val="clear" w:color="auto" w:fill="FFFFFF"/>
            <w:vAlign w:val="center"/>
          </w:tcPr>
          <w:p w14:paraId="031C8FA0" w14:textId="77777777" w:rsidR="009F618C" w:rsidRPr="00C2587D" w:rsidRDefault="009F618C" w:rsidP="00FD75D9">
            <w:pPr>
              <w:rPr>
                <w:b/>
                <w:color w:val="000000"/>
              </w:rPr>
            </w:pPr>
            <w:r w:rsidRPr="00C2587D">
              <w:rPr>
                <w:b/>
                <w:color w:val="000000"/>
              </w:rPr>
              <w:t xml:space="preserve">Період здійснення: </w:t>
            </w:r>
          </w:p>
        </w:tc>
        <w:tc>
          <w:tcPr>
            <w:tcW w:w="6794" w:type="dxa"/>
            <w:gridSpan w:val="9"/>
            <w:vAlign w:val="center"/>
          </w:tcPr>
          <w:p w14:paraId="79BEA2FF" w14:textId="77777777" w:rsidR="009F618C" w:rsidRPr="00C2587D" w:rsidRDefault="009F618C" w:rsidP="00FD75D9">
            <w:pPr>
              <w:rPr>
                <w:lang w:eastAsia="it-IT"/>
              </w:rPr>
            </w:pPr>
            <w:r w:rsidRPr="00C2587D">
              <w:rPr>
                <w:b/>
              </w:rPr>
              <w:t>2025 – 2028 роки:</w:t>
            </w:r>
          </w:p>
        </w:tc>
      </w:tr>
      <w:tr w:rsidR="009F618C" w:rsidRPr="00C2587D" w14:paraId="728D9E60" w14:textId="77777777" w:rsidTr="00FD75D9">
        <w:trPr>
          <w:jc w:val="right"/>
        </w:trPr>
        <w:tc>
          <w:tcPr>
            <w:tcW w:w="3425" w:type="dxa"/>
            <w:vMerge w:val="restart"/>
            <w:shd w:val="clear" w:color="auto" w:fill="FFFFFF"/>
            <w:vAlign w:val="center"/>
          </w:tcPr>
          <w:p w14:paraId="46C5AB5E" w14:textId="0827ECEE" w:rsidR="009F618C" w:rsidRPr="00C2587D" w:rsidRDefault="009F618C" w:rsidP="00FD75D9">
            <w:pPr>
              <w:rPr>
                <w:b/>
                <w:bCs/>
                <w:color w:val="000000"/>
              </w:rPr>
            </w:pPr>
            <w:r w:rsidRPr="00C2587D">
              <w:rPr>
                <w:b/>
                <w:bCs/>
                <w:color w:val="000000"/>
              </w:rPr>
              <w:t xml:space="preserve">Орієнтовна вартість </w:t>
            </w:r>
            <w:r w:rsidR="00314B9D">
              <w:rPr>
                <w:b/>
                <w:bCs/>
                <w:color w:val="000000"/>
              </w:rPr>
              <w:t>проєкту</w:t>
            </w:r>
            <w:r w:rsidRPr="00C2587D">
              <w:rPr>
                <w:b/>
                <w:bCs/>
                <w:color w:val="000000"/>
              </w:rPr>
              <w:t>, тис. грн., тому числі:</w:t>
            </w:r>
          </w:p>
        </w:tc>
        <w:tc>
          <w:tcPr>
            <w:tcW w:w="1254" w:type="dxa"/>
            <w:shd w:val="clear" w:color="auto" w:fill="E6E6E6"/>
            <w:vAlign w:val="center"/>
          </w:tcPr>
          <w:p w14:paraId="284C0D44" w14:textId="77777777" w:rsidR="009F618C" w:rsidRPr="00C2587D" w:rsidRDefault="009F618C" w:rsidP="00FD75D9">
            <w:pPr>
              <w:jc w:val="center"/>
              <w:rPr>
                <w:b/>
                <w:lang w:eastAsia="it-IT"/>
              </w:rPr>
            </w:pPr>
            <w:r w:rsidRPr="00C2587D">
              <w:rPr>
                <w:b/>
                <w:lang w:eastAsia="it-IT"/>
              </w:rPr>
              <w:t>2025</w:t>
            </w:r>
          </w:p>
        </w:tc>
        <w:tc>
          <w:tcPr>
            <w:tcW w:w="1417" w:type="dxa"/>
            <w:gridSpan w:val="3"/>
            <w:shd w:val="clear" w:color="auto" w:fill="E6E6E6"/>
            <w:vAlign w:val="center"/>
          </w:tcPr>
          <w:p w14:paraId="08A5B48F" w14:textId="77777777" w:rsidR="009F618C" w:rsidRPr="00C2587D" w:rsidRDefault="009F618C" w:rsidP="00FD75D9">
            <w:pPr>
              <w:jc w:val="center"/>
              <w:rPr>
                <w:b/>
                <w:lang w:eastAsia="it-IT"/>
              </w:rPr>
            </w:pPr>
            <w:r w:rsidRPr="00C2587D">
              <w:rPr>
                <w:b/>
                <w:lang w:eastAsia="it-IT"/>
              </w:rPr>
              <w:t>2026</w:t>
            </w:r>
          </w:p>
        </w:tc>
        <w:tc>
          <w:tcPr>
            <w:tcW w:w="1418" w:type="dxa"/>
            <w:tcBorders>
              <w:bottom w:val="single" w:sz="4" w:space="0" w:color="auto"/>
            </w:tcBorders>
            <w:shd w:val="clear" w:color="auto" w:fill="E6E6E6"/>
            <w:vAlign w:val="center"/>
          </w:tcPr>
          <w:p w14:paraId="580C9708" w14:textId="77777777" w:rsidR="009F618C" w:rsidRPr="00C2587D" w:rsidRDefault="009F618C" w:rsidP="00FD75D9">
            <w:pPr>
              <w:jc w:val="center"/>
              <w:rPr>
                <w:b/>
                <w:lang w:eastAsia="it-IT"/>
              </w:rPr>
            </w:pPr>
            <w:r w:rsidRPr="00C2587D">
              <w:rPr>
                <w:b/>
                <w:lang w:eastAsia="it-IT"/>
              </w:rPr>
              <w:t>2027</w:t>
            </w:r>
          </w:p>
        </w:tc>
        <w:tc>
          <w:tcPr>
            <w:tcW w:w="1275" w:type="dxa"/>
            <w:gridSpan w:val="2"/>
            <w:shd w:val="clear" w:color="auto" w:fill="E6E6E6"/>
            <w:vAlign w:val="center"/>
          </w:tcPr>
          <w:p w14:paraId="760AF9E0" w14:textId="77777777" w:rsidR="009F618C" w:rsidRPr="00C2587D" w:rsidRDefault="009F618C" w:rsidP="00FD75D9">
            <w:pPr>
              <w:jc w:val="center"/>
              <w:rPr>
                <w:b/>
                <w:lang w:eastAsia="it-IT"/>
              </w:rPr>
            </w:pPr>
            <w:r w:rsidRPr="00C2587D">
              <w:rPr>
                <w:b/>
                <w:lang w:eastAsia="it-IT"/>
              </w:rPr>
              <w:t>2028</w:t>
            </w:r>
          </w:p>
        </w:tc>
        <w:tc>
          <w:tcPr>
            <w:tcW w:w="1430" w:type="dxa"/>
            <w:gridSpan w:val="2"/>
            <w:shd w:val="clear" w:color="auto" w:fill="E6E6E6"/>
            <w:vAlign w:val="center"/>
          </w:tcPr>
          <w:p w14:paraId="1E20FCC4" w14:textId="77777777" w:rsidR="009F618C" w:rsidRPr="00C2587D" w:rsidRDefault="009F618C" w:rsidP="00FD75D9">
            <w:pPr>
              <w:jc w:val="center"/>
              <w:rPr>
                <w:b/>
                <w:lang w:eastAsia="it-IT"/>
              </w:rPr>
            </w:pPr>
            <w:r w:rsidRPr="00C2587D">
              <w:rPr>
                <w:b/>
                <w:lang w:eastAsia="it-IT"/>
              </w:rPr>
              <w:t>Разом</w:t>
            </w:r>
          </w:p>
        </w:tc>
      </w:tr>
      <w:tr w:rsidR="009F618C" w:rsidRPr="00C2587D" w14:paraId="0D13B5CE" w14:textId="77777777" w:rsidTr="00FD75D9">
        <w:trPr>
          <w:jc w:val="right"/>
        </w:trPr>
        <w:tc>
          <w:tcPr>
            <w:tcW w:w="3425" w:type="dxa"/>
            <w:vMerge/>
            <w:shd w:val="clear" w:color="auto" w:fill="FFFFFF"/>
            <w:vAlign w:val="center"/>
          </w:tcPr>
          <w:p w14:paraId="3E01CB67" w14:textId="77777777" w:rsidR="009F618C" w:rsidRPr="00C2587D" w:rsidRDefault="009F618C" w:rsidP="00FD75D9">
            <w:pPr>
              <w:rPr>
                <w:b/>
                <w:bCs/>
                <w:color w:val="000000"/>
              </w:rPr>
            </w:pPr>
          </w:p>
        </w:tc>
        <w:tc>
          <w:tcPr>
            <w:tcW w:w="1254" w:type="dxa"/>
            <w:vAlign w:val="center"/>
          </w:tcPr>
          <w:p w14:paraId="65E4F214" w14:textId="77777777" w:rsidR="009F618C" w:rsidRPr="00C2587D" w:rsidRDefault="009F618C" w:rsidP="00FD75D9">
            <w:pPr>
              <w:jc w:val="center"/>
              <w:rPr>
                <w:b/>
                <w:lang w:eastAsia="it-IT"/>
              </w:rPr>
            </w:pPr>
            <w:r w:rsidRPr="00C2587D">
              <w:rPr>
                <w:b/>
                <w:lang w:eastAsia="it-IT"/>
              </w:rPr>
              <w:t>300,0</w:t>
            </w:r>
          </w:p>
        </w:tc>
        <w:tc>
          <w:tcPr>
            <w:tcW w:w="1417" w:type="dxa"/>
            <w:gridSpan w:val="3"/>
            <w:shd w:val="clear" w:color="auto" w:fill="FFFFFF"/>
            <w:vAlign w:val="center"/>
          </w:tcPr>
          <w:p w14:paraId="1B27C3EE" w14:textId="77777777" w:rsidR="009F618C" w:rsidRPr="00C2587D" w:rsidRDefault="009F618C" w:rsidP="00FD75D9">
            <w:pPr>
              <w:jc w:val="center"/>
              <w:rPr>
                <w:b/>
                <w:lang w:eastAsia="it-IT"/>
              </w:rPr>
            </w:pPr>
            <w:r w:rsidRPr="00C2587D">
              <w:rPr>
                <w:b/>
                <w:lang w:eastAsia="it-IT"/>
              </w:rPr>
              <w:t>500,0</w:t>
            </w:r>
          </w:p>
        </w:tc>
        <w:tc>
          <w:tcPr>
            <w:tcW w:w="1418" w:type="dxa"/>
            <w:shd w:val="clear" w:color="auto" w:fill="auto"/>
            <w:vAlign w:val="center"/>
          </w:tcPr>
          <w:p w14:paraId="5F94530E" w14:textId="77777777" w:rsidR="009F618C" w:rsidRPr="00C2587D" w:rsidRDefault="009F618C" w:rsidP="00FD75D9">
            <w:pPr>
              <w:jc w:val="center"/>
              <w:rPr>
                <w:b/>
                <w:lang w:eastAsia="it-IT"/>
              </w:rPr>
            </w:pPr>
            <w:r w:rsidRPr="00C2587D">
              <w:rPr>
                <w:b/>
                <w:lang w:eastAsia="it-IT"/>
              </w:rPr>
              <w:t>500,0</w:t>
            </w:r>
          </w:p>
        </w:tc>
        <w:tc>
          <w:tcPr>
            <w:tcW w:w="1275" w:type="dxa"/>
            <w:gridSpan w:val="2"/>
            <w:shd w:val="clear" w:color="auto" w:fill="FFFFFF"/>
            <w:vAlign w:val="center"/>
          </w:tcPr>
          <w:p w14:paraId="584338DF" w14:textId="77777777" w:rsidR="009F618C" w:rsidRPr="00C2587D" w:rsidRDefault="009F618C" w:rsidP="00FD75D9">
            <w:pPr>
              <w:jc w:val="center"/>
              <w:rPr>
                <w:b/>
                <w:lang w:eastAsia="it-IT"/>
              </w:rPr>
            </w:pPr>
            <w:r w:rsidRPr="00C2587D">
              <w:rPr>
                <w:b/>
                <w:lang w:eastAsia="it-IT"/>
              </w:rPr>
              <w:t>500,0</w:t>
            </w:r>
          </w:p>
        </w:tc>
        <w:tc>
          <w:tcPr>
            <w:tcW w:w="1430" w:type="dxa"/>
            <w:gridSpan w:val="2"/>
            <w:shd w:val="clear" w:color="auto" w:fill="FFFFFF"/>
            <w:vAlign w:val="center"/>
          </w:tcPr>
          <w:p w14:paraId="25E9955C" w14:textId="77777777" w:rsidR="009F618C" w:rsidRPr="00C2587D" w:rsidRDefault="009F618C" w:rsidP="00FD75D9">
            <w:pPr>
              <w:jc w:val="center"/>
              <w:rPr>
                <w:b/>
                <w:lang w:eastAsia="it-IT"/>
              </w:rPr>
            </w:pPr>
            <w:r w:rsidRPr="00C2587D">
              <w:rPr>
                <w:b/>
                <w:lang w:eastAsia="it-IT"/>
              </w:rPr>
              <w:t>1800,0</w:t>
            </w:r>
          </w:p>
        </w:tc>
      </w:tr>
      <w:tr w:rsidR="009F618C" w:rsidRPr="00C2587D" w14:paraId="7394F1C6" w14:textId="77777777" w:rsidTr="00FD75D9">
        <w:trPr>
          <w:trHeight w:val="206"/>
          <w:jc w:val="right"/>
        </w:trPr>
        <w:tc>
          <w:tcPr>
            <w:tcW w:w="3425" w:type="dxa"/>
            <w:shd w:val="clear" w:color="auto" w:fill="FFFFFF"/>
            <w:vAlign w:val="center"/>
          </w:tcPr>
          <w:p w14:paraId="483248F9" w14:textId="77777777" w:rsidR="009F618C" w:rsidRPr="00C2587D" w:rsidRDefault="009F618C" w:rsidP="00FD75D9">
            <w:pPr>
              <w:rPr>
                <w:b/>
                <w:bCs/>
                <w:color w:val="000000"/>
              </w:rPr>
            </w:pPr>
            <w:r w:rsidRPr="00C2587D">
              <w:rPr>
                <w:b/>
                <w:bCs/>
                <w:color w:val="000000"/>
              </w:rPr>
              <w:t>по джерелах фінансування:</w:t>
            </w:r>
          </w:p>
        </w:tc>
        <w:tc>
          <w:tcPr>
            <w:tcW w:w="6794" w:type="dxa"/>
            <w:gridSpan w:val="9"/>
            <w:vAlign w:val="center"/>
          </w:tcPr>
          <w:p w14:paraId="4C264795" w14:textId="77777777" w:rsidR="009F618C" w:rsidRPr="00C2587D" w:rsidRDefault="009F618C" w:rsidP="00FD75D9">
            <w:pPr>
              <w:jc w:val="both"/>
              <w:rPr>
                <w:lang w:eastAsia="it-IT"/>
              </w:rPr>
            </w:pPr>
          </w:p>
        </w:tc>
      </w:tr>
      <w:tr w:rsidR="009F618C" w:rsidRPr="00C2587D" w14:paraId="6CE8CEF1" w14:textId="77777777" w:rsidTr="00FD75D9">
        <w:trPr>
          <w:trHeight w:val="285"/>
          <w:jc w:val="right"/>
        </w:trPr>
        <w:tc>
          <w:tcPr>
            <w:tcW w:w="3425" w:type="dxa"/>
            <w:shd w:val="clear" w:color="auto" w:fill="FFFFFF"/>
            <w:vAlign w:val="center"/>
          </w:tcPr>
          <w:p w14:paraId="340C202F" w14:textId="77777777" w:rsidR="009F618C" w:rsidRPr="00C2587D" w:rsidRDefault="009F618C" w:rsidP="006D4A2C">
            <w:pPr>
              <w:rPr>
                <w:b/>
                <w:bCs/>
                <w:color w:val="000000"/>
              </w:rPr>
            </w:pPr>
            <w:r w:rsidRPr="00C2587D">
              <w:rPr>
                <w:color w:val="000000"/>
              </w:rPr>
              <w:t>-державний бюджет;</w:t>
            </w:r>
          </w:p>
        </w:tc>
        <w:tc>
          <w:tcPr>
            <w:tcW w:w="1260" w:type="dxa"/>
            <w:gridSpan w:val="2"/>
            <w:vAlign w:val="center"/>
          </w:tcPr>
          <w:p w14:paraId="503B6A3D" w14:textId="77777777" w:rsidR="009F618C" w:rsidRPr="00C2587D" w:rsidRDefault="009F618C" w:rsidP="00FD75D9">
            <w:pPr>
              <w:jc w:val="center"/>
              <w:rPr>
                <w:lang w:eastAsia="it-IT"/>
              </w:rPr>
            </w:pPr>
          </w:p>
        </w:tc>
        <w:tc>
          <w:tcPr>
            <w:tcW w:w="1350" w:type="dxa"/>
            <w:vAlign w:val="center"/>
          </w:tcPr>
          <w:p w14:paraId="126784B9" w14:textId="77777777" w:rsidR="009F618C" w:rsidRPr="00C2587D" w:rsidRDefault="009F618C" w:rsidP="00FD75D9">
            <w:pPr>
              <w:jc w:val="center"/>
              <w:rPr>
                <w:lang w:eastAsia="it-IT"/>
              </w:rPr>
            </w:pPr>
          </w:p>
        </w:tc>
        <w:tc>
          <w:tcPr>
            <w:tcW w:w="1515" w:type="dxa"/>
            <w:gridSpan w:val="3"/>
            <w:vAlign w:val="center"/>
          </w:tcPr>
          <w:p w14:paraId="285B6987" w14:textId="77777777" w:rsidR="009F618C" w:rsidRPr="00C2587D" w:rsidRDefault="009F618C" w:rsidP="00FD75D9">
            <w:pPr>
              <w:jc w:val="center"/>
              <w:rPr>
                <w:lang w:eastAsia="it-IT"/>
              </w:rPr>
            </w:pPr>
          </w:p>
        </w:tc>
        <w:tc>
          <w:tcPr>
            <w:tcW w:w="1245" w:type="dxa"/>
            <w:gridSpan w:val="2"/>
            <w:vAlign w:val="center"/>
          </w:tcPr>
          <w:p w14:paraId="55EC1BFC" w14:textId="77777777" w:rsidR="009F618C" w:rsidRPr="00C2587D" w:rsidRDefault="009F618C" w:rsidP="00FD75D9">
            <w:pPr>
              <w:jc w:val="center"/>
              <w:rPr>
                <w:lang w:eastAsia="it-IT"/>
              </w:rPr>
            </w:pPr>
          </w:p>
        </w:tc>
        <w:tc>
          <w:tcPr>
            <w:tcW w:w="1424" w:type="dxa"/>
            <w:vAlign w:val="center"/>
          </w:tcPr>
          <w:p w14:paraId="5DFA785F" w14:textId="77777777" w:rsidR="009F618C" w:rsidRPr="00C2587D" w:rsidRDefault="009F618C" w:rsidP="00FD75D9">
            <w:pPr>
              <w:jc w:val="center"/>
              <w:rPr>
                <w:lang w:eastAsia="it-IT"/>
              </w:rPr>
            </w:pPr>
          </w:p>
        </w:tc>
      </w:tr>
      <w:tr w:rsidR="009F618C" w:rsidRPr="00C2587D" w14:paraId="01DD5953" w14:textId="77777777" w:rsidTr="00FD75D9">
        <w:trPr>
          <w:trHeight w:val="315"/>
          <w:jc w:val="right"/>
        </w:trPr>
        <w:tc>
          <w:tcPr>
            <w:tcW w:w="3425" w:type="dxa"/>
            <w:shd w:val="clear" w:color="auto" w:fill="FFFFFF"/>
            <w:vAlign w:val="center"/>
          </w:tcPr>
          <w:p w14:paraId="3A57EC1C" w14:textId="77777777" w:rsidR="009F618C" w:rsidRPr="00C2587D" w:rsidRDefault="009F618C" w:rsidP="00FD75D9">
            <w:pPr>
              <w:rPr>
                <w:b/>
                <w:bCs/>
                <w:color w:val="000000"/>
              </w:rPr>
            </w:pPr>
            <w:r w:rsidRPr="00C2587D">
              <w:rPr>
                <w:color w:val="000000"/>
              </w:rPr>
              <w:t>-обласний бюджет;</w:t>
            </w:r>
          </w:p>
        </w:tc>
        <w:tc>
          <w:tcPr>
            <w:tcW w:w="1260" w:type="dxa"/>
            <w:gridSpan w:val="2"/>
            <w:vAlign w:val="center"/>
          </w:tcPr>
          <w:p w14:paraId="5A09D20D" w14:textId="77777777" w:rsidR="009F618C" w:rsidRPr="00C2587D" w:rsidRDefault="009F618C" w:rsidP="00FD75D9">
            <w:pPr>
              <w:jc w:val="center"/>
              <w:rPr>
                <w:lang w:eastAsia="it-IT"/>
              </w:rPr>
            </w:pPr>
          </w:p>
        </w:tc>
        <w:tc>
          <w:tcPr>
            <w:tcW w:w="1350" w:type="dxa"/>
            <w:vAlign w:val="center"/>
          </w:tcPr>
          <w:p w14:paraId="45CC1B6F" w14:textId="77777777" w:rsidR="009F618C" w:rsidRPr="00C2587D" w:rsidRDefault="009F618C" w:rsidP="00FD75D9">
            <w:pPr>
              <w:jc w:val="center"/>
              <w:rPr>
                <w:lang w:eastAsia="it-IT"/>
              </w:rPr>
            </w:pPr>
          </w:p>
        </w:tc>
        <w:tc>
          <w:tcPr>
            <w:tcW w:w="1515" w:type="dxa"/>
            <w:gridSpan w:val="3"/>
            <w:vAlign w:val="center"/>
          </w:tcPr>
          <w:p w14:paraId="42453B94" w14:textId="77777777" w:rsidR="009F618C" w:rsidRPr="00C2587D" w:rsidRDefault="009F618C" w:rsidP="00FD75D9">
            <w:pPr>
              <w:jc w:val="center"/>
              <w:rPr>
                <w:lang w:eastAsia="it-IT"/>
              </w:rPr>
            </w:pPr>
          </w:p>
        </w:tc>
        <w:tc>
          <w:tcPr>
            <w:tcW w:w="1245" w:type="dxa"/>
            <w:gridSpan w:val="2"/>
            <w:vAlign w:val="center"/>
          </w:tcPr>
          <w:p w14:paraId="750B76D4" w14:textId="77777777" w:rsidR="009F618C" w:rsidRPr="00C2587D" w:rsidRDefault="009F618C" w:rsidP="00FD75D9">
            <w:pPr>
              <w:jc w:val="center"/>
              <w:rPr>
                <w:lang w:eastAsia="it-IT"/>
              </w:rPr>
            </w:pPr>
          </w:p>
        </w:tc>
        <w:tc>
          <w:tcPr>
            <w:tcW w:w="1424" w:type="dxa"/>
            <w:vAlign w:val="center"/>
          </w:tcPr>
          <w:p w14:paraId="53DA8997" w14:textId="77777777" w:rsidR="009F618C" w:rsidRPr="00C2587D" w:rsidRDefault="009F618C" w:rsidP="00FD75D9">
            <w:pPr>
              <w:jc w:val="center"/>
              <w:rPr>
                <w:lang w:eastAsia="it-IT"/>
              </w:rPr>
            </w:pPr>
          </w:p>
        </w:tc>
      </w:tr>
      <w:tr w:rsidR="009F618C" w:rsidRPr="00C2587D" w14:paraId="4E245915" w14:textId="77777777" w:rsidTr="00FD75D9">
        <w:trPr>
          <w:trHeight w:val="240"/>
          <w:jc w:val="right"/>
        </w:trPr>
        <w:tc>
          <w:tcPr>
            <w:tcW w:w="3425" w:type="dxa"/>
            <w:shd w:val="clear" w:color="auto" w:fill="FFFFFF"/>
            <w:vAlign w:val="center"/>
          </w:tcPr>
          <w:p w14:paraId="23B8751C" w14:textId="77777777" w:rsidR="009F618C" w:rsidRPr="00C2587D" w:rsidRDefault="009F618C" w:rsidP="00FD75D9">
            <w:pPr>
              <w:rPr>
                <w:color w:val="000000"/>
              </w:rPr>
            </w:pPr>
            <w:r w:rsidRPr="00C2587D">
              <w:rPr>
                <w:color w:val="000000"/>
              </w:rPr>
              <w:t xml:space="preserve">-бюджет Жмеринської МТГ; </w:t>
            </w:r>
          </w:p>
        </w:tc>
        <w:tc>
          <w:tcPr>
            <w:tcW w:w="1260" w:type="dxa"/>
            <w:gridSpan w:val="2"/>
            <w:vAlign w:val="center"/>
          </w:tcPr>
          <w:p w14:paraId="7671703D" w14:textId="77777777" w:rsidR="009F618C" w:rsidRPr="00C2587D" w:rsidRDefault="009F618C" w:rsidP="00FD75D9">
            <w:pPr>
              <w:jc w:val="center"/>
              <w:rPr>
                <w:b/>
                <w:lang w:eastAsia="it-IT"/>
              </w:rPr>
            </w:pPr>
            <w:r w:rsidRPr="00C2587D">
              <w:rPr>
                <w:b/>
                <w:lang w:eastAsia="it-IT"/>
              </w:rPr>
              <w:t>300,0</w:t>
            </w:r>
          </w:p>
        </w:tc>
        <w:tc>
          <w:tcPr>
            <w:tcW w:w="1350" w:type="dxa"/>
            <w:vAlign w:val="center"/>
          </w:tcPr>
          <w:p w14:paraId="78EBC66C" w14:textId="77777777" w:rsidR="009F618C" w:rsidRPr="00C2587D" w:rsidRDefault="009F618C" w:rsidP="00FD75D9">
            <w:pPr>
              <w:jc w:val="center"/>
              <w:rPr>
                <w:b/>
                <w:lang w:eastAsia="it-IT"/>
              </w:rPr>
            </w:pPr>
            <w:r w:rsidRPr="00C2587D">
              <w:rPr>
                <w:b/>
                <w:lang w:eastAsia="it-IT"/>
              </w:rPr>
              <w:t>500,0</w:t>
            </w:r>
          </w:p>
        </w:tc>
        <w:tc>
          <w:tcPr>
            <w:tcW w:w="1515" w:type="dxa"/>
            <w:gridSpan w:val="3"/>
            <w:vAlign w:val="center"/>
          </w:tcPr>
          <w:p w14:paraId="08281D97" w14:textId="77777777" w:rsidR="009F618C" w:rsidRPr="00C2587D" w:rsidRDefault="009F618C" w:rsidP="00FD75D9">
            <w:pPr>
              <w:jc w:val="center"/>
              <w:rPr>
                <w:b/>
                <w:lang w:eastAsia="it-IT"/>
              </w:rPr>
            </w:pPr>
            <w:r w:rsidRPr="00C2587D">
              <w:rPr>
                <w:b/>
                <w:lang w:eastAsia="it-IT"/>
              </w:rPr>
              <w:t>500,0</w:t>
            </w:r>
          </w:p>
        </w:tc>
        <w:tc>
          <w:tcPr>
            <w:tcW w:w="1245" w:type="dxa"/>
            <w:gridSpan w:val="2"/>
            <w:vAlign w:val="center"/>
          </w:tcPr>
          <w:p w14:paraId="0603E32E" w14:textId="77777777" w:rsidR="009F618C" w:rsidRPr="00C2587D" w:rsidRDefault="009F618C" w:rsidP="00FD75D9">
            <w:pPr>
              <w:jc w:val="center"/>
              <w:rPr>
                <w:b/>
                <w:lang w:eastAsia="it-IT"/>
              </w:rPr>
            </w:pPr>
            <w:r w:rsidRPr="00C2587D">
              <w:rPr>
                <w:b/>
                <w:lang w:eastAsia="it-IT"/>
              </w:rPr>
              <w:t>500,0</w:t>
            </w:r>
          </w:p>
        </w:tc>
        <w:tc>
          <w:tcPr>
            <w:tcW w:w="1424" w:type="dxa"/>
            <w:vAlign w:val="center"/>
          </w:tcPr>
          <w:p w14:paraId="5E2F0D76" w14:textId="77777777" w:rsidR="009F618C" w:rsidRPr="00C2587D" w:rsidRDefault="009F618C" w:rsidP="00FD75D9">
            <w:pPr>
              <w:jc w:val="center"/>
              <w:rPr>
                <w:b/>
                <w:lang w:eastAsia="it-IT"/>
              </w:rPr>
            </w:pPr>
            <w:r w:rsidRPr="00C2587D">
              <w:rPr>
                <w:b/>
                <w:lang w:eastAsia="it-IT"/>
              </w:rPr>
              <w:t>1800,0</w:t>
            </w:r>
          </w:p>
        </w:tc>
      </w:tr>
      <w:tr w:rsidR="009F618C" w:rsidRPr="00C2587D" w14:paraId="45CB2C43" w14:textId="77777777" w:rsidTr="00FD75D9">
        <w:trPr>
          <w:trHeight w:val="240"/>
          <w:jc w:val="right"/>
        </w:trPr>
        <w:tc>
          <w:tcPr>
            <w:tcW w:w="3425" w:type="dxa"/>
            <w:shd w:val="clear" w:color="auto" w:fill="FFFFFF"/>
            <w:vAlign w:val="center"/>
          </w:tcPr>
          <w:p w14:paraId="637A6613" w14:textId="77777777" w:rsidR="009F618C" w:rsidRPr="00C2587D" w:rsidRDefault="009F618C" w:rsidP="00FD75D9">
            <w:pPr>
              <w:rPr>
                <w:color w:val="000000"/>
              </w:rPr>
            </w:pPr>
            <w:r w:rsidRPr="00C2587D">
              <w:rPr>
                <w:color w:val="000000"/>
              </w:rPr>
              <w:t>-інші джерела фінансування.</w:t>
            </w:r>
          </w:p>
        </w:tc>
        <w:tc>
          <w:tcPr>
            <w:tcW w:w="1260" w:type="dxa"/>
            <w:gridSpan w:val="2"/>
            <w:vAlign w:val="center"/>
          </w:tcPr>
          <w:p w14:paraId="69AAD2DF" w14:textId="77777777" w:rsidR="009F618C" w:rsidRPr="00C2587D" w:rsidRDefault="009F618C" w:rsidP="00FD75D9">
            <w:pPr>
              <w:jc w:val="center"/>
              <w:rPr>
                <w:lang w:eastAsia="it-IT"/>
              </w:rPr>
            </w:pPr>
          </w:p>
        </w:tc>
        <w:tc>
          <w:tcPr>
            <w:tcW w:w="1350" w:type="dxa"/>
            <w:vAlign w:val="center"/>
          </w:tcPr>
          <w:p w14:paraId="5968AB66" w14:textId="77777777" w:rsidR="009F618C" w:rsidRPr="00C2587D" w:rsidRDefault="009F618C" w:rsidP="00FD75D9">
            <w:pPr>
              <w:jc w:val="center"/>
              <w:rPr>
                <w:lang w:eastAsia="it-IT"/>
              </w:rPr>
            </w:pPr>
          </w:p>
        </w:tc>
        <w:tc>
          <w:tcPr>
            <w:tcW w:w="1515" w:type="dxa"/>
            <w:gridSpan w:val="3"/>
            <w:vAlign w:val="center"/>
          </w:tcPr>
          <w:p w14:paraId="1F844199" w14:textId="77777777" w:rsidR="009F618C" w:rsidRPr="00C2587D" w:rsidRDefault="009F618C" w:rsidP="00FD75D9">
            <w:pPr>
              <w:jc w:val="center"/>
              <w:rPr>
                <w:lang w:eastAsia="it-IT"/>
              </w:rPr>
            </w:pPr>
          </w:p>
        </w:tc>
        <w:tc>
          <w:tcPr>
            <w:tcW w:w="1245" w:type="dxa"/>
            <w:gridSpan w:val="2"/>
            <w:vAlign w:val="center"/>
          </w:tcPr>
          <w:p w14:paraId="2FD54062" w14:textId="77777777" w:rsidR="009F618C" w:rsidRPr="00C2587D" w:rsidRDefault="009F618C" w:rsidP="00FD75D9">
            <w:pPr>
              <w:jc w:val="center"/>
              <w:rPr>
                <w:lang w:eastAsia="it-IT"/>
              </w:rPr>
            </w:pPr>
          </w:p>
        </w:tc>
        <w:tc>
          <w:tcPr>
            <w:tcW w:w="1424" w:type="dxa"/>
            <w:vAlign w:val="center"/>
          </w:tcPr>
          <w:p w14:paraId="2313B31D" w14:textId="77777777" w:rsidR="009F618C" w:rsidRPr="00C2587D" w:rsidRDefault="009F618C" w:rsidP="00FD75D9">
            <w:pPr>
              <w:jc w:val="center"/>
              <w:rPr>
                <w:lang w:eastAsia="it-IT"/>
              </w:rPr>
            </w:pPr>
          </w:p>
        </w:tc>
      </w:tr>
      <w:tr w:rsidR="009F618C" w:rsidRPr="00C2587D" w14:paraId="00ED86FF" w14:textId="77777777" w:rsidTr="00FD75D9">
        <w:trPr>
          <w:jc w:val="right"/>
        </w:trPr>
        <w:tc>
          <w:tcPr>
            <w:tcW w:w="3425" w:type="dxa"/>
            <w:shd w:val="clear" w:color="auto" w:fill="FFFFFF"/>
            <w:vAlign w:val="center"/>
          </w:tcPr>
          <w:p w14:paraId="1E6DE02E" w14:textId="77777777" w:rsidR="009F618C" w:rsidRPr="00C2587D" w:rsidRDefault="009F618C" w:rsidP="00FD75D9">
            <w:pPr>
              <w:rPr>
                <w:b/>
                <w:bCs/>
                <w:color w:val="000000"/>
              </w:rPr>
            </w:pPr>
            <w:r w:rsidRPr="00C2587D">
              <w:rPr>
                <w:b/>
                <w:color w:val="000000"/>
              </w:rPr>
              <w:t>Відповідальний виконавець проєкту:</w:t>
            </w:r>
          </w:p>
        </w:tc>
        <w:tc>
          <w:tcPr>
            <w:tcW w:w="6794" w:type="dxa"/>
            <w:gridSpan w:val="9"/>
            <w:vAlign w:val="center"/>
          </w:tcPr>
          <w:p w14:paraId="783E1661" w14:textId="77777777" w:rsidR="009F618C" w:rsidRPr="00C2587D" w:rsidRDefault="009F618C" w:rsidP="00FD75D9">
            <w:pPr>
              <w:tabs>
                <w:tab w:val="left" w:pos="285"/>
              </w:tabs>
              <w:jc w:val="both"/>
              <w:rPr>
                <w:color w:val="000000"/>
                <w:lang w:eastAsia="it-IT"/>
              </w:rPr>
            </w:pPr>
          </w:p>
        </w:tc>
      </w:tr>
      <w:tr w:rsidR="009F618C" w:rsidRPr="00C2587D" w14:paraId="3540BCFC" w14:textId="77777777" w:rsidTr="00FD75D9">
        <w:trPr>
          <w:jc w:val="right"/>
        </w:trPr>
        <w:tc>
          <w:tcPr>
            <w:tcW w:w="3425" w:type="dxa"/>
            <w:shd w:val="clear" w:color="auto" w:fill="FFFFFF"/>
            <w:vAlign w:val="center"/>
          </w:tcPr>
          <w:p w14:paraId="33608C93" w14:textId="77777777" w:rsidR="009F618C" w:rsidRPr="00C2587D" w:rsidRDefault="009F618C" w:rsidP="00FD75D9">
            <w:pPr>
              <w:rPr>
                <w:b/>
                <w:bCs/>
              </w:rPr>
            </w:pPr>
            <w:r w:rsidRPr="00C2587D">
              <w:rPr>
                <w:b/>
                <w:bCs/>
              </w:rPr>
              <w:t>Інше:</w:t>
            </w:r>
          </w:p>
        </w:tc>
        <w:tc>
          <w:tcPr>
            <w:tcW w:w="6794" w:type="dxa"/>
            <w:gridSpan w:val="9"/>
            <w:vAlign w:val="center"/>
          </w:tcPr>
          <w:p w14:paraId="19FDB621" w14:textId="77777777" w:rsidR="009F618C" w:rsidRPr="00C2587D" w:rsidRDefault="009F618C" w:rsidP="00FD75D9">
            <w:pPr>
              <w:jc w:val="both"/>
              <w:rPr>
                <w:lang w:eastAsia="it-IT"/>
              </w:rPr>
            </w:pPr>
            <w:r w:rsidRPr="00C2587D">
              <w:rPr>
                <w:lang w:eastAsia="it-IT"/>
              </w:rPr>
              <w:t>Управління економіки та розвитку інфраструктури виконавчого комітету  Жмеринської міської ради</w:t>
            </w:r>
          </w:p>
        </w:tc>
      </w:tr>
    </w:tbl>
    <w:p w14:paraId="34956CE4" w14:textId="77777777" w:rsidR="009F618C" w:rsidRPr="00C2587D" w:rsidRDefault="009F618C" w:rsidP="009F618C">
      <w:pPr>
        <w:jc w:val="center"/>
        <w:rPr>
          <w:rFonts w:cs="Arial"/>
          <w:b/>
          <w:color w:val="000000"/>
          <w:szCs w:val="22"/>
        </w:rPr>
      </w:pPr>
    </w:p>
    <w:p w14:paraId="0F9ED918" w14:textId="160F92DF" w:rsidR="009F618C" w:rsidRPr="00C2587D" w:rsidRDefault="009F618C" w:rsidP="009F618C">
      <w:pPr>
        <w:jc w:val="center"/>
        <w:rPr>
          <w:rFonts w:cs="Arial"/>
          <w:b/>
          <w:color w:val="000000"/>
          <w:szCs w:val="22"/>
        </w:rPr>
      </w:pPr>
      <w:r w:rsidRPr="00C2587D">
        <w:rPr>
          <w:rFonts w:cs="Arial"/>
          <w:b/>
          <w:color w:val="000000"/>
          <w:szCs w:val="22"/>
        </w:rPr>
        <w:t>Ф</w:t>
      </w:r>
      <w:r w:rsidR="00AA12D9">
        <w:rPr>
          <w:rFonts w:cs="Arial"/>
          <w:b/>
          <w:color w:val="000000"/>
          <w:szCs w:val="22"/>
        </w:rPr>
        <w:t>орма технічного завдання на проє</w:t>
      </w:r>
      <w:r w:rsidRPr="00C2587D">
        <w:rPr>
          <w:rFonts w:cs="Arial"/>
          <w:b/>
          <w:color w:val="000000"/>
          <w:szCs w:val="22"/>
        </w:rPr>
        <w:t xml:space="preserve">кт місцевого розвитку </w:t>
      </w:r>
    </w:p>
    <w:p w14:paraId="5BFB18C4" w14:textId="77777777" w:rsidR="009F618C" w:rsidRPr="00C2587D" w:rsidRDefault="009F618C" w:rsidP="009F618C">
      <w:pPr>
        <w:jc w:val="center"/>
        <w:rPr>
          <w:rFonts w:cs="Arial"/>
          <w:b/>
          <w:color w:val="000000"/>
          <w:szCs w:val="22"/>
        </w:rPr>
      </w:pPr>
      <w:r w:rsidRPr="00C2587D">
        <w:rPr>
          <w:rFonts w:cs="Arial"/>
          <w:b/>
          <w:color w:val="000000"/>
          <w:szCs w:val="22"/>
        </w:rPr>
        <w:t>до Плану заходів з реалізації Стратегії</w:t>
      </w:r>
    </w:p>
    <w:p w14:paraId="4AF1EB62" w14:textId="77777777" w:rsidR="009F618C" w:rsidRPr="00C2587D" w:rsidRDefault="009F618C" w:rsidP="009F618C">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6"/>
        <w:gridCol w:w="1411"/>
        <w:gridCol w:w="1418"/>
        <w:gridCol w:w="36"/>
        <w:gridCol w:w="1239"/>
        <w:gridCol w:w="6"/>
        <w:gridCol w:w="1424"/>
      </w:tblGrid>
      <w:tr w:rsidR="009F618C" w:rsidRPr="00C2587D" w14:paraId="1123AC90" w14:textId="77777777" w:rsidTr="00FD75D9">
        <w:trPr>
          <w:jc w:val="right"/>
        </w:trPr>
        <w:tc>
          <w:tcPr>
            <w:tcW w:w="3425" w:type="dxa"/>
            <w:vAlign w:val="center"/>
          </w:tcPr>
          <w:p w14:paraId="3DDFFE65" w14:textId="12B9D0B0" w:rsidR="009F618C" w:rsidRPr="00C2587D" w:rsidRDefault="00AA12D9" w:rsidP="00FD75D9">
            <w:pPr>
              <w:rPr>
                <w:b/>
              </w:rPr>
            </w:pPr>
            <w:r>
              <w:rPr>
                <w:b/>
              </w:rPr>
              <w:t>Назва проє</w:t>
            </w:r>
            <w:r w:rsidR="009F618C" w:rsidRPr="00C2587D">
              <w:rPr>
                <w:b/>
              </w:rPr>
              <w:t>кту:</w:t>
            </w:r>
          </w:p>
        </w:tc>
        <w:tc>
          <w:tcPr>
            <w:tcW w:w="6794" w:type="dxa"/>
            <w:gridSpan w:val="8"/>
            <w:vAlign w:val="center"/>
          </w:tcPr>
          <w:p w14:paraId="552F42D4" w14:textId="77777777" w:rsidR="009F618C" w:rsidRPr="00C2587D" w:rsidRDefault="009F618C" w:rsidP="00FD75D9">
            <w:pPr>
              <w:jc w:val="both"/>
              <w:rPr>
                <w:b/>
              </w:rPr>
            </w:pPr>
            <w:r w:rsidRPr="00C2587D">
              <w:rPr>
                <w:b/>
              </w:rPr>
              <w:t>Актуалізація Інвестиційного паспорту Жмеринської міської територіальної громади</w:t>
            </w:r>
          </w:p>
        </w:tc>
      </w:tr>
      <w:tr w:rsidR="009F618C" w:rsidRPr="00C2587D" w14:paraId="51017889" w14:textId="77777777" w:rsidTr="00FD75D9">
        <w:trPr>
          <w:jc w:val="right"/>
        </w:trPr>
        <w:tc>
          <w:tcPr>
            <w:tcW w:w="3425" w:type="dxa"/>
          </w:tcPr>
          <w:p w14:paraId="209FD938" w14:textId="77777777" w:rsidR="009F618C" w:rsidRPr="00C2587D" w:rsidRDefault="009F618C" w:rsidP="00FD75D9">
            <w:pPr>
              <w:spacing w:before="40" w:after="40"/>
              <w:rPr>
                <w:lang w:eastAsia="it-IT"/>
              </w:rPr>
            </w:pPr>
            <w:r w:rsidRPr="00C2587D">
              <w:rPr>
                <w:b/>
                <w:bCs/>
              </w:rPr>
              <w:t>Ваші контакти</w:t>
            </w:r>
            <w:r w:rsidRPr="00C2587D">
              <w:rPr>
                <w:lang w:eastAsia="it-IT"/>
              </w:rPr>
              <w:t>:</w:t>
            </w:r>
          </w:p>
          <w:p w14:paraId="2F5D0912" w14:textId="77777777" w:rsidR="009F618C" w:rsidRPr="00C2587D" w:rsidRDefault="009F618C" w:rsidP="00FD75D9">
            <w:pPr>
              <w:spacing w:before="40" w:after="40"/>
              <w:rPr>
                <w:b/>
                <w:bCs/>
              </w:rPr>
            </w:pPr>
            <w:r w:rsidRPr="00C2587D">
              <w:rPr>
                <w:lang w:eastAsia="it-IT"/>
              </w:rPr>
              <w:t>Назва установи, організації, підприємства</w:t>
            </w:r>
          </w:p>
        </w:tc>
        <w:tc>
          <w:tcPr>
            <w:tcW w:w="6794" w:type="dxa"/>
            <w:gridSpan w:val="8"/>
            <w:vAlign w:val="center"/>
          </w:tcPr>
          <w:p w14:paraId="1F31B535" w14:textId="77777777" w:rsidR="009F618C" w:rsidRPr="00C2587D" w:rsidRDefault="009F618C" w:rsidP="00FD75D9">
            <w:pPr>
              <w:spacing w:before="40" w:after="40"/>
              <w:jc w:val="both"/>
              <w:rPr>
                <w:lang w:eastAsia="it-IT"/>
              </w:rPr>
            </w:pPr>
            <w:r w:rsidRPr="00C2587D">
              <w:rPr>
                <w:lang w:eastAsia="it-IT"/>
              </w:rPr>
              <w:t>Управління економіки та розвитку інфраструктури виконавчого комітету  Жмеринської міської ради</w:t>
            </w:r>
          </w:p>
        </w:tc>
      </w:tr>
      <w:tr w:rsidR="009F618C" w:rsidRPr="00C2587D" w14:paraId="5BA1F325" w14:textId="77777777" w:rsidTr="00FD75D9">
        <w:trPr>
          <w:jc w:val="right"/>
        </w:trPr>
        <w:tc>
          <w:tcPr>
            <w:tcW w:w="3425" w:type="dxa"/>
          </w:tcPr>
          <w:p w14:paraId="407A0825" w14:textId="77777777" w:rsidR="009F618C" w:rsidRPr="00C2587D" w:rsidRDefault="009F618C" w:rsidP="00FD75D9">
            <w:pPr>
              <w:spacing w:before="40" w:after="40"/>
              <w:rPr>
                <w:b/>
                <w:bCs/>
              </w:rPr>
            </w:pPr>
            <w:r w:rsidRPr="00C2587D">
              <w:rPr>
                <w:lang w:eastAsia="it-IT"/>
              </w:rPr>
              <w:t>Прізвище Ім’я По-батькові:</w:t>
            </w:r>
          </w:p>
        </w:tc>
        <w:tc>
          <w:tcPr>
            <w:tcW w:w="6794" w:type="dxa"/>
            <w:gridSpan w:val="8"/>
            <w:vAlign w:val="center"/>
          </w:tcPr>
          <w:p w14:paraId="24974E42" w14:textId="77777777" w:rsidR="009F618C" w:rsidRPr="00C2587D" w:rsidRDefault="009F618C" w:rsidP="00FD75D9">
            <w:pPr>
              <w:spacing w:before="40" w:after="40"/>
              <w:rPr>
                <w:lang w:eastAsia="it-IT"/>
              </w:rPr>
            </w:pPr>
            <w:r w:rsidRPr="00C2587D">
              <w:rPr>
                <w:lang w:eastAsia="it-IT"/>
              </w:rPr>
              <w:t>Коновал Анатолій Романович</w:t>
            </w:r>
          </w:p>
        </w:tc>
      </w:tr>
      <w:tr w:rsidR="009F618C" w:rsidRPr="00C2587D" w14:paraId="431D4E5A" w14:textId="77777777" w:rsidTr="00FD75D9">
        <w:trPr>
          <w:jc w:val="right"/>
        </w:trPr>
        <w:tc>
          <w:tcPr>
            <w:tcW w:w="3425" w:type="dxa"/>
          </w:tcPr>
          <w:p w14:paraId="6EF9C2FB" w14:textId="77777777" w:rsidR="009F618C" w:rsidRPr="00C2587D" w:rsidRDefault="009F618C" w:rsidP="00FD75D9">
            <w:pPr>
              <w:spacing w:before="40" w:after="40"/>
              <w:rPr>
                <w:b/>
                <w:bCs/>
              </w:rPr>
            </w:pPr>
            <w:r w:rsidRPr="00C2587D">
              <w:rPr>
                <w:lang w:eastAsia="it-IT"/>
              </w:rPr>
              <w:t>Телефон (мобільний):</w:t>
            </w:r>
          </w:p>
        </w:tc>
        <w:tc>
          <w:tcPr>
            <w:tcW w:w="6794" w:type="dxa"/>
            <w:gridSpan w:val="8"/>
            <w:vAlign w:val="center"/>
          </w:tcPr>
          <w:p w14:paraId="7EBA10A4" w14:textId="77777777" w:rsidR="009F618C" w:rsidRPr="00C2587D" w:rsidRDefault="009F618C" w:rsidP="00FD75D9">
            <w:pPr>
              <w:spacing w:before="40" w:after="40"/>
              <w:rPr>
                <w:lang w:eastAsia="it-IT"/>
              </w:rPr>
            </w:pPr>
            <w:r w:rsidRPr="00C2587D">
              <w:rPr>
                <w:lang w:eastAsia="it-IT"/>
              </w:rPr>
              <w:t>0674300414</w:t>
            </w:r>
          </w:p>
        </w:tc>
      </w:tr>
      <w:tr w:rsidR="009F618C" w:rsidRPr="00C2587D" w14:paraId="78913E67" w14:textId="77777777" w:rsidTr="00FD75D9">
        <w:trPr>
          <w:jc w:val="right"/>
        </w:trPr>
        <w:tc>
          <w:tcPr>
            <w:tcW w:w="3425" w:type="dxa"/>
          </w:tcPr>
          <w:p w14:paraId="5653A664" w14:textId="77777777" w:rsidR="009F618C" w:rsidRPr="00C2587D" w:rsidRDefault="009F618C" w:rsidP="00FD75D9">
            <w:pPr>
              <w:spacing w:before="40" w:after="40"/>
              <w:rPr>
                <w:b/>
                <w:bCs/>
              </w:rPr>
            </w:pPr>
            <w:r w:rsidRPr="00C2587D">
              <w:rPr>
                <w:lang w:eastAsia="it-IT"/>
              </w:rPr>
              <w:t>Електронна адреса:</w:t>
            </w:r>
          </w:p>
        </w:tc>
        <w:tc>
          <w:tcPr>
            <w:tcW w:w="6794" w:type="dxa"/>
            <w:gridSpan w:val="8"/>
            <w:vAlign w:val="center"/>
          </w:tcPr>
          <w:p w14:paraId="6223200B" w14:textId="3DA3283A" w:rsidR="009F618C" w:rsidRPr="00C2587D" w:rsidRDefault="00D85FFD" w:rsidP="00FD75D9">
            <w:pPr>
              <w:spacing w:before="40" w:after="40"/>
              <w:rPr>
                <w:lang w:eastAsia="it-IT"/>
              </w:rPr>
            </w:pPr>
            <w:hyperlink r:id="rId41" w:history="1">
              <w:r w:rsidR="006D4A2C" w:rsidRPr="000A0B5C">
                <w:rPr>
                  <w:rStyle w:val="af0"/>
                  <w:noProof w:val="0"/>
                  <w:sz w:val="22"/>
                  <w:szCs w:val="24"/>
                  <w:lang w:eastAsia="it-IT"/>
                </w:rPr>
                <w:t>econ@zhmr.gov.ua</w:t>
              </w:r>
            </w:hyperlink>
            <w:r w:rsidR="006D4A2C">
              <w:rPr>
                <w:lang w:eastAsia="it-IT"/>
              </w:rPr>
              <w:t xml:space="preserve"> </w:t>
            </w:r>
          </w:p>
        </w:tc>
      </w:tr>
      <w:tr w:rsidR="009F618C" w:rsidRPr="00C2587D" w14:paraId="5415EC49" w14:textId="77777777" w:rsidTr="00FD75D9">
        <w:trPr>
          <w:jc w:val="right"/>
        </w:trPr>
        <w:tc>
          <w:tcPr>
            <w:tcW w:w="3425" w:type="dxa"/>
            <w:vAlign w:val="center"/>
          </w:tcPr>
          <w:p w14:paraId="7713F1A5" w14:textId="2FD2FFB0" w:rsidR="009F618C" w:rsidRPr="00C2587D" w:rsidRDefault="009F618C" w:rsidP="00FD75D9">
            <w:pPr>
              <w:pStyle w:val="6"/>
              <w:spacing w:before="0" w:after="0"/>
              <w:rPr>
                <w:color w:val="000000"/>
                <w:sz w:val="24"/>
                <w:szCs w:val="24"/>
                <w:lang w:val="uk-UA"/>
              </w:rPr>
            </w:pPr>
            <w:r w:rsidRPr="00AA12D9">
              <w:rPr>
                <w:rFonts w:ascii="Arial" w:hAnsi="Arial" w:cs="Arial"/>
                <w:color w:val="000000"/>
                <w:lang w:val="uk-UA"/>
              </w:rPr>
              <w:t>Номер і назва завдання з Стратегії</w:t>
            </w:r>
            <w:r w:rsidRPr="00AA12D9">
              <w:rPr>
                <w:rFonts w:ascii="Arial" w:hAnsi="Arial" w:cs="Arial"/>
                <w:lang w:val="uk-UA" w:eastAsia="it-IT"/>
              </w:rPr>
              <w:t xml:space="preserve"> </w:t>
            </w:r>
            <w:r w:rsidRPr="00AA12D9">
              <w:rPr>
                <w:rFonts w:ascii="Arial" w:hAnsi="Arial" w:cs="Arial"/>
                <w:color w:val="000000"/>
                <w:lang w:val="uk-UA"/>
              </w:rPr>
              <w:t>розвитку Жмеринської міської територіальної</w:t>
            </w:r>
            <w:r w:rsidR="00AA12D9">
              <w:rPr>
                <w:rFonts w:ascii="Arial" w:hAnsi="Arial" w:cs="Arial"/>
                <w:color w:val="000000"/>
                <w:lang w:val="uk-UA"/>
              </w:rPr>
              <w:t xml:space="preserve"> громади,  якому відповідає проє</w:t>
            </w:r>
            <w:r w:rsidRPr="00AA12D9">
              <w:rPr>
                <w:rFonts w:ascii="Arial" w:hAnsi="Arial" w:cs="Arial"/>
                <w:color w:val="000000"/>
                <w:lang w:val="uk-UA"/>
              </w:rPr>
              <w:t>кт</w:t>
            </w:r>
            <w:r w:rsidRPr="00C2587D">
              <w:rPr>
                <w:color w:val="000000"/>
                <w:sz w:val="24"/>
                <w:szCs w:val="24"/>
                <w:lang w:val="uk-UA"/>
              </w:rPr>
              <w:t>:</w:t>
            </w:r>
          </w:p>
        </w:tc>
        <w:tc>
          <w:tcPr>
            <w:tcW w:w="6794" w:type="dxa"/>
            <w:gridSpan w:val="8"/>
            <w:vAlign w:val="center"/>
          </w:tcPr>
          <w:p w14:paraId="532A4D70" w14:textId="77777777" w:rsidR="009F618C" w:rsidRPr="00C2587D" w:rsidRDefault="009F618C" w:rsidP="00560F31">
            <w:pPr>
              <w:jc w:val="both"/>
              <w:rPr>
                <w:color w:val="000000"/>
                <w:lang w:eastAsia="uk-UA"/>
              </w:rPr>
            </w:pPr>
            <w:r w:rsidRPr="00C2587D">
              <w:rPr>
                <w:b/>
                <w:bCs/>
                <w:color w:val="000000"/>
                <w:lang w:eastAsia="uk-UA"/>
              </w:rPr>
              <w:t>А.4. Ефективна інвестиційна політика та маркетинг території</w:t>
            </w:r>
          </w:p>
          <w:p w14:paraId="18E99D54" w14:textId="77777777" w:rsidR="009F618C" w:rsidRPr="00C2587D" w:rsidRDefault="009F618C" w:rsidP="00560F31">
            <w:pPr>
              <w:jc w:val="both"/>
              <w:rPr>
                <w:lang w:eastAsia="uk-UA"/>
              </w:rPr>
            </w:pPr>
            <w:r w:rsidRPr="00C2587D">
              <w:rPr>
                <w:lang w:eastAsia="uk-UA"/>
              </w:rPr>
              <w:t>А.4.3. Підготовка  якісних інвестиційних продуктів</w:t>
            </w:r>
          </w:p>
          <w:p w14:paraId="5545589C" w14:textId="77777777" w:rsidR="009F618C" w:rsidRPr="00C2587D" w:rsidRDefault="009F618C" w:rsidP="00560F31">
            <w:pPr>
              <w:spacing w:before="20" w:after="20"/>
              <w:jc w:val="both"/>
            </w:pPr>
            <w:r w:rsidRPr="00C2587D">
              <w:t>А.4.3.1.Підготовка інвестиційних пропозицій (Каталог) та їх оприлюднення.</w:t>
            </w:r>
          </w:p>
          <w:p w14:paraId="6065423F" w14:textId="77777777" w:rsidR="009F618C" w:rsidRPr="00C2587D" w:rsidRDefault="009F618C" w:rsidP="00560F31">
            <w:pPr>
              <w:spacing w:before="20" w:after="20"/>
              <w:jc w:val="both"/>
            </w:pPr>
            <w:r w:rsidRPr="00C2587D">
              <w:t>А.4.3.2.Розробка інвестиційних продуктів.</w:t>
            </w:r>
          </w:p>
          <w:p w14:paraId="27AB421B" w14:textId="77777777" w:rsidR="009F618C" w:rsidRPr="00C2587D" w:rsidRDefault="009F618C" w:rsidP="00560F31">
            <w:pPr>
              <w:spacing w:before="20" w:after="20"/>
              <w:jc w:val="both"/>
            </w:pPr>
            <w:r w:rsidRPr="00C2587D">
              <w:t>А.4.3.3. Пошук фінансування (фандрайзинг).</w:t>
            </w:r>
          </w:p>
          <w:p w14:paraId="7013C9C4" w14:textId="4BCBD467" w:rsidR="009F618C" w:rsidRPr="00C2587D" w:rsidRDefault="009F618C" w:rsidP="00560F31">
            <w:pPr>
              <w:spacing w:before="20" w:after="20"/>
              <w:jc w:val="both"/>
            </w:pPr>
            <w:r w:rsidRPr="00C2587D">
              <w:t xml:space="preserve">А.4.3.4.Залучення коштів міжнародної технічної допомоги та реалізація </w:t>
            </w:r>
            <w:r w:rsidR="00314B9D">
              <w:t>проєкт</w:t>
            </w:r>
            <w:r w:rsidRPr="00C2587D">
              <w:t>ів МТД.</w:t>
            </w:r>
          </w:p>
          <w:p w14:paraId="42305ABD" w14:textId="50C0DA28" w:rsidR="009F618C" w:rsidRPr="00C2587D" w:rsidRDefault="009F618C" w:rsidP="00560F31">
            <w:pPr>
              <w:spacing w:before="20" w:after="20"/>
              <w:jc w:val="both"/>
              <w:rPr>
                <w:color w:val="000000"/>
                <w:lang w:eastAsia="uk-UA"/>
              </w:rPr>
            </w:pPr>
            <w:r w:rsidRPr="00C2587D">
              <w:t xml:space="preserve">А.4.3.5.Розроблення критеріїв екологічної безпечності інвестиційних </w:t>
            </w:r>
            <w:r w:rsidR="00314B9D">
              <w:t>проєкт</w:t>
            </w:r>
            <w:r w:rsidRPr="00C2587D">
              <w:t>ів і застосування цих критеріїв під час підготовки та відбору інвестиційних пропозицій.</w:t>
            </w:r>
          </w:p>
        </w:tc>
      </w:tr>
      <w:tr w:rsidR="009F618C" w:rsidRPr="00C2587D" w14:paraId="52C83969" w14:textId="77777777" w:rsidTr="00FD75D9">
        <w:trPr>
          <w:jc w:val="right"/>
        </w:trPr>
        <w:tc>
          <w:tcPr>
            <w:tcW w:w="3425" w:type="dxa"/>
            <w:vAlign w:val="center"/>
          </w:tcPr>
          <w:p w14:paraId="68168E60" w14:textId="77777777" w:rsidR="009F618C" w:rsidRPr="00C2587D" w:rsidRDefault="009F618C" w:rsidP="00FD75D9">
            <w:pPr>
              <w:rPr>
                <w:b/>
                <w:bCs/>
                <w:color w:val="000000"/>
              </w:rPr>
            </w:pPr>
            <w:r w:rsidRPr="00C2587D">
              <w:rPr>
                <w:b/>
                <w:bCs/>
                <w:color w:val="000000"/>
              </w:rPr>
              <w:t>Мета проєкту</w:t>
            </w:r>
          </w:p>
        </w:tc>
        <w:tc>
          <w:tcPr>
            <w:tcW w:w="6794" w:type="dxa"/>
            <w:gridSpan w:val="8"/>
            <w:vAlign w:val="center"/>
          </w:tcPr>
          <w:p w14:paraId="4460DB42" w14:textId="77777777" w:rsidR="009F618C" w:rsidRPr="00C2587D" w:rsidRDefault="009F618C" w:rsidP="00560F31">
            <w:pPr>
              <w:spacing w:before="40" w:after="40"/>
              <w:jc w:val="both"/>
              <w:rPr>
                <w:lang w:eastAsia="it-IT"/>
              </w:rPr>
            </w:pPr>
            <w:r w:rsidRPr="00C2587D">
              <w:rPr>
                <w:lang w:eastAsia="it-IT"/>
              </w:rPr>
              <w:t>Розробка актуалізованого структурованого документа, спрямованого на висвітлення наявного ресурсного потенціалу Жмеринської міської територіальної громади, її сильних сторін та можливостей для налагодження ефективної комунікації з потенційними інвесторами; підвищення інвестиційної привабливості території для потенційних інвесторів; прийняття ефективних інвестиційних рішень.</w:t>
            </w:r>
          </w:p>
        </w:tc>
      </w:tr>
      <w:tr w:rsidR="009F618C" w:rsidRPr="00C2587D" w14:paraId="0DC8AB97" w14:textId="77777777" w:rsidTr="00FD75D9">
        <w:trPr>
          <w:jc w:val="right"/>
        </w:trPr>
        <w:tc>
          <w:tcPr>
            <w:tcW w:w="3425" w:type="dxa"/>
            <w:vAlign w:val="center"/>
          </w:tcPr>
          <w:p w14:paraId="664F4117" w14:textId="5F3ACB0D" w:rsidR="009F618C" w:rsidRPr="00C2587D" w:rsidRDefault="00AA12D9" w:rsidP="00FD75D9">
            <w:pPr>
              <w:rPr>
                <w:b/>
                <w:bCs/>
                <w:color w:val="000000"/>
              </w:rPr>
            </w:pPr>
            <w:r>
              <w:rPr>
                <w:b/>
                <w:bCs/>
                <w:color w:val="000000"/>
              </w:rPr>
              <w:t>Цілі проє</w:t>
            </w:r>
            <w:r w:rsidR="009F618C" w:rsidRPr="00C2587D">
              <w:rPr>
                <w:b/>
                <w:bCs/>
                <w:color w:val="000000"/>
              </w:rPr>
              <w:t>кту:</w:t>
            </w:r>
          </w:p>
        </w:tc>
        <w:tc>
          <w:tcPr>
            <w:tcW w:w="6794" w:type="dxa"/>
            <w:gridSpan w:val="8"/>
            <w:vAlign w:val="center"/>
          </w:tcPr>
          <w:p w14:paraId="0981084B" w14:textId="77777777" w:rsidR="009F618C" w:rsidRPr="00C2587D" w:rsidRDefault="009F618C" w:rsidP="00FD75D9">
            <w:pPr>
              <w:spacing w:before="40" w:after="40"/>
              <w:jc w:val="both"/>
              <w:rPr>
                <w:lang w:eastAsia="it-IT"/>
              </w:rPr>
            </w:pPr>
            <w:r w:rsidRPr="00C2587D">
              <w:rPr>
                <w:b/>
                <w:bCs/>
                <w:lang w:eastAsia="it-IT"/>
              </w:rPr>
              <w:t>Формування позитивного іміджу громади для інвесторів</w:t>
            </w:r>
            <w:r w:rsidRPr="00C2587D">
              <w:rPr>
                <w:lang w:eastAsia="it-IT"/>
              </w:rPr>
              <w:br/>
              <w:t>– представлення громади як відкритої, стабільної, інвестиційно привабливої території з чіткою візією розвитку та сприятливим діловим кліматом.</w:t>
            </w:r>
          </w:p>
          <w:p w14:paraId="3627DF2B" w14:textId="77777777" w:rsidR="009F618C" w:rsidRPr="00C2587D" w:rsidRDefault="009F618C" w:rsidP="00FD75D9">
            <w:pPr>
              <w:spacing w:before="40" w:after="40"/>
              <w:jc w:val="both"/>
              <w:rPr>
                <w:b/>
                <w:bCs/>
                <w:lang w:eastAsia="it-IT"/>
              </w:rPr>
            </w:pPr>
            <w:r w:rsidRPr="00C2587D">
              <w:rPr>
                <w:b/>
                <w:bCs/>
                <w:lang w:eastAsia="it-IT"/>
              </w:rPr>
              <w:t>Систематизація ключової інформації про інвестиційний потенціал громади</w:t>
            </w:r>
          </w:p>
          <w:p w14:paraId="32A937C2" w14:textId="77777777" w:rsidR="009F618C" w:rsidRPr="00C2587D" w:rsidRDefault="009F618C" w:rsidP="00FD75D9">
            <w:pPr>
              <w:spacing w:before="40" w:after="40"/>
              <w:jc w:val="both"/>
              <w:rPr>
                <w:lang w:eastAsia="it-IT"/>
              </w:rPr>
            </w:pPr>
            <w:r w:rsidRPr="00C2587D">
              <w:rPr>
                <w:lang w:eastAsia="it-IT"/>
              </w:rPr>
              <w:t>– зібрання й узагальнення актуальних даних про ресурси, інфраструктуру, земельні ділянки, економічну структуру, кадровий потенціал і пріоритетні напрямки розвитку.</w:t>
            </w:r>
          </w:p>
          <w:p w14:paraId="20CCDDBA" w14:textId="77777777" w:rsidR="009F618C" w:rsidRPr="00C2587D" w:rsidRDefault="009F618C" w:rsidP="00FD75D9">
            <w:pPr>
              <w:spacing w:before="40" w:after="40"/>
              <w:jc w:val="both"/>
              <w:rPr>
                <w:lang w:eastAsia="it-IT"/>
              </w:rPr>
            </w:pPr>
            <w:r w:rsidRPr="00C2587D">
              <w:rPr>
                <w:b/>
                <w:bCs/>
                <w:lang w:eastAsia="it-IT"/>
              </w:rPr>
              <w:t>Залучення внутрішніх та зовнішніх інвестицій</w:t>
            </w:r>
            <w:r w:rsidRPr="00C2587D">
              <w:rPr>
                <w:lang w:eastAsia="it-IT"/>
              </w:rPr>
              <w:br/>
              <w:t>– презентація готових інвестиційних проєктів та вільних майданчиків з метою зацікавлення приватного капіталу, міжнародних донорів і стратегічних партнерів.</w:t>
            </w:r>
          </w:p>
          <w:p w14:paraId="6E62F0A6" w14:textId="77777777" w:rsidR="009F618C" w:rsidRPr="00C2587D" w:rsidRDefault="009F618C" w:rsidP="00FD75D9">
            <w:pPr>
              <w:spacing w:before="40" w:after="40"/>
              <w:jc w:val="both"/>
              <w:rPr>
                <w:lang w:eastAsia="it-IT"/>
              </w:rPr>
            </w:pPr>
            <w:r w:rsidRPr="00C2587D">
              <w:rPr>
                <w:b/>
                <w:bCs/>
                <w:lang w:eastAsia="it-IT"/>
              </w:rPr>
              <w:t>Покращення комунікації з потенційними інвесторами</w:t>
            </w:r>
            <w:r w:rsidRPr="00C2587D">
              <w:rPr>
                <w:lang w:eastAsia="it-IT"/>
              </w:rPr>
              <w:br/>
              <w:t>– створення зручного, доступного та інформативного інструменту, що дозволяє швидко ознайомитися з умовами ведення бізнесу на території громади.</w:t>
            </w:r>
          </w:p>
          <w:p w14:paraId="64B70677" w14:textId="77777777" w:rsidR="009F618C" w:rsidRPr="00C2587D" w:rsidRDefault="009F618C" w:rsidP="00FD75D9">
            <w:pPr>
              <w:spacing w:before="40" w:after="40"/>
              <w:jc w:val="both"/>
              <w:rPr>
                <w:lang w:eastAsia="it-IT"/>
              </w:rPr>
            </w:pPr>
            <w:r w:rsidRPr="00C2587D">
              <w:rPr>
                <w:b/>
                <w:bCs/>
                <w:lang w:eastAsia="it-IT"/>
              </w:rPr>
              <w:t>Підвищення прозорості та відкритості місцевої влади</w:t>
            </w:r>
            <w:r w:rsidRPr="00C2587D">
              <w:rPr>
                <w:lang w:eastAsia="it-IT"/>
              </w:rPr>
              <w:br/>
              <w:t>– демонстрація чітких процедур, регуляторного середовища, переваг та гарантій для інвесторів, що сприяє зростанню довіри до місцевої влади.</w:t>
            </w:r>
          </w:p>
          <w:p w14:paraId="5C7FEE4D" w14:textId="77777777" w:rsidR="009F618C" w:rsidRPr="00C2587D" w:rsidRDefault="009F618C" w:rsidP="00FD75D9">
            <w:pPr>
              <w:spacing w:before="40" w:after="40"/>
              <w:jc w:val="both"/>
              <w:rPr>
                <w:lang w:eastAsia="it-IT"/>
              </w:rPr>
            </w:pPr>
            <w:r w:rsidRPr="00C2587D">
              <w:rPr>
                <w:b/>
                <w:bCs/>
                <w:lang w:eastAsia="it-IT"/>
              </w:rPr>
              <w:t>Визначення стратегічних напрямів економічного розвитку</w:t>
            </w:r>
            <w:r w:rsidRPr="00C2587D">
              <w:rPr>
                <w:lang w:eastAsia="it-IT"/>
              </w:rPr>
              <w:br/>
              <w:t>– акцентування на пріоритетних секторах економіки та інфраструктурних проєктах, що мають потенціал для зростання, модернізації та створення нових робочих місць.</w:t>
            </w:r>
          </w:p>
          <w:p w14:paraId="32E5EF78" w14:textId="77777777" w:rsidR="009F618C" w:rsidRPr="00C2587D" w:rsidRDefault="009F618C" w:rsidP="00FD75D9">
            <w:pPr>
              <w:spacing w:before="40" w:after="40"/>
              <w:jc w:val="both"/>
              <w:rPr>
                <w:b/>
                <w:bCs/>
                <w:lang w:eastAsia="it-IT"/>
              </w:rPr>
            </w:pPr>
            <w:r w:rsidRPr="00C2587D">
              <w:rPr>
                <w:b/>
                <w:bCs/>
                <w:lang w:eastAsia="it-IT"/>
              </w:rPr>
              <w:t>Конкуренція за інвестиції на регіональному та міжнародному рівнях</w:t>
            </w:r>
          </w:p>
          <w:p w14:paraId="3A208CDC" w14:textId="77777777" w:rsidR="009F618C" w:rsidRPr="00C2587D" w:rsidRDefault="009F618C" w:rsidP="00FD75D9">
            <w:pPr>
              <w:spacing w:before="40" w:after="40"/>
              <w:jc w:val="both"/>
              <w:rPr>
                <w:lang w:eastAsia="it-IT"/>
              </w:rPr>
            </w:pPr>
            <w:r w:rsidRPr="00C2587D">
              <w:rPr>
                <w:lang w:eastAsia="it-IT"/>
              </w:rPr>
              <w:t>– посилення позицій громади серед інших територій у боротьбі за ресурси та увагу інвесторів.</w:t>
            </w:r>
          </w:p>
        </w:tc>
      </w:tr>
      <w:tr w:rsidR="009F618C" w:rsidRPr="00C2587D" w14:paraId="5EECE287" w14:textId="77777777" w:rsidTr="00FD75D9">
        <w:trPr>
          <w:jc w:val="right"/>
        </w:trPr>
        <w:tc>
          <w:tcPr>
            <w:tcW w:w="3425" w:type="dxa"/>
            <w:vAlign w:val="center"/>
          </w:tcPr>
          <w:p w14:paraId="666B8743" w14:textId="4348EB31" w:rsidR="009F618C" w:rsidRPr="00C2587D" w:rsidRDefault="00AA12D9" w:rsidP="00FD75D9">
            <w:pPr>
              <w:autoSpaceDE w:val="0"/>
              <w:autoSpaceDN w:val="0"/>
              <w:adjustRightInd w:val="0"/>
              <w:rPr>
                <w:b/>
              </w:rPr>
            </w:pPr>
            <w:r>
              <w:rPr>
                <w:b/>
              </w:rPr>
              <w:t>Територія на яку проє</w:t>
            </w:r>
            <w:r w:rsidR="009F618C" w:rsidRPr="00C2587D">
              <w:rPr>
                <w:b/>
              </w:rPr>
              <w:t>кт матиме вплив:</w:t>
            </w:r>
          </w:p>
        </w:tc>
        <w:tc>
          <w:tcPr>
            <w:tcW w:w="6794" w:type="dxa"/>
            <w:gridSpan w:val="8"/>
            <w:vAlign w:val="center"/>
          </w:tcPr>
          <w:p w14:paraId="4630F326" w14:textId="77777777" w:rsidR="009F618C" w:rsidRPr="00C2587D" w:rsidRDefault="009F618C" w:rsidP="00FD75D9">
            <w:pPr>
              <w:spacing w:before="40" w:after="40"/>
              <w:jc w:val="both"/>
              <w:rPr>
                <w:lang w:eastAsia="it-IT"/>
              </w:rPr>
            </w:pPr>
            <w:r w:rsidRPr="00C2587D">
              <w:rPr>
                <w:lang w:eastAsia="it-IT"/>
              </w:rPr>
              <w:t>Жмеринська міська територіальна громада</w:t>
            </w:r>
          </w:p>
        </w:tc>
      </w:tr>
      <w:tr w:rsidR="009F618C" w:rsidRPr="00C2587D" w14:paraId="4A8FABCF" w14:textId="77777777" w:rsidTr="00FD75D9">
        <w:trPr>
          <w:jc w:val="right"/>
        </w:trPr>
        <w:tc>
          <w:tcPr>
            <w:tcW w:w="3425" w:type="dxa"/>
            <w:vAlign w:val="center"/>
          </w:tcPr>
          <w:p w14:paraId="40BB3A32" w14:textId="77777777" w:rsidR="009F618C" w:rsidRPr="00C2587D" w:rsidRDefault="009F618C" w:rsidP="00FD75D9">
            <w:pPr>
              <w:autoSpaceDE w:val="0"/>
              <w:autoSpaceDN w:val="0"/>
              <w:adjustRightInd w:val="0"/>
              <w:rPr>
                <w:b/>
              </w:rPr>
            </w:pPr>
            <w:r w:rsidRPr="00C2587D">
              <w:rPr>
                <w:b/>
              </w:rPr>
              <w:t>Цільові групи проєкту та кількість отримувачів вигоди</w:t>
            </w:r>
          </w:p>
        </w:tc>
        <w:tc>
          <w:tcPr>
            <w:tcW w:w="6794" w:type="dxa"/>
            <w:gridSpan w:val="8"/>
            <w:vAlign w:val="center"/>
          </w:tcPr>
          <w:p w14:paraId="69B4723E" w14:textId="77777777" w:rsidR="009F618C" w:rsidRPr="00C2587D" w:rsidRDefault="009F618C" w:rsidP="00DD6DC0">
            <w:pPr>
              <w:spacing w:before="40" w:after="40"/>
              <w:jc w:val="both"/>
              <w:rPr>
                <w:lang w:eastAsia="it-IT"/>
              </w:rPr>
            </w:pPr>
            <w:r w:rsidRPr="00C2587D">
              <w:t>Представники місцевого бізнесу, інвестори, громадські організації, економічно активне працездатне населення громади, міжнародні партнери,  20 тис.осіб</w:t>
            </w:r>
          </w:p>
        </w:tc>
      </w:tr>
      <w:tr w:rsidR="009F618C" w:rsidRPr="00C2587D" w14:paraId="20D993A4" w14:textId="77777777" w:rsidTr="00FD75D9">
        <w:trPr>
          <w:jc w:val="right"/>
        </w:trPr>
        <w:tc>
          <w:tcPr>
            <w:tcW w:w="3425" w:type="dxa"/>
            <w:shd w:val="clear" w:color="auto" w:fill="FFFFFF"/>
            <w:vAlign w:val="center"/>
          </w:tcPr>
          <w:p w14:paraId="04BF04A3" w14:textId="705B2B6B" w:rsidR="009F618C" w:rsidRPr="00C2587D" w:rsidRDefault="009F618C" w:rsidP="00AA12D9">
            <w:pPr>
              <w:rPr>
                <w:b/>
                <w:bCs/>
                <w:color w:val="000000"/>
              </w:rPr>
            </w:pPr>
            <w:r w:rsidRPr="00C2587D">
              <w:rPr>
                <w:b/>
                <w:bCs/>
                <w:color w:val="000000"/>
              </w:rPr>
              <w:t>Стислий опис про</w:t>
            </w:r>
            <w:r w:rsidR="00AA12D9">
              <w:rPr>
                <w:b/>
                <w:bCs/>
                <w:color w:val="000000"/>
              </w:rPr>
              <w:t>є</w:t>
            </w:r>
            <w:r w:rsidRPr="00C2587D">
              <w:rPr>
                <w:b/>
                <w:bCs/>
                <w:color w:val="000000"/>
              </w:rPr>
              <w:t>кту:</w:t>
            </w:r>
          </w:p>
        </w:tc>
        <w:tc>
          <w:tcPr>
            <w:tcW w:w="6794" w:type="dxa"/>
            <w:gridSpan w:val="8"/>
            <w:vAlign w:val="center"/>
          </w:tcPr>
          <w:p w14:paraId="2F218BED" w14:textId="77777777" w:rsidR="009F618C" w:rsidRPr="00C2587D" w:rsidRDefault="009F618C" w:rsidP="00DD6DC0">
            <w:pPr>
              <w:widowControl w:val="0"/>
              <w:suppressAutoHyphens/>
              <w:spacing w:before="20" w:after="20"/>
              <w:jc w:val="both"/>
              <w:rPr>
                <w:rFonts w:eastAsia="Lucida Sans Unicode"/>
                <w:kern w:val="1"/>
                <w:lang w:eastAsia="it-IT"/>
              </w:rPr>
            </w:pPr>
            <w:r w:rsidRPr="00C2587D">
              <w:rPr>
                <w:rFonts w:eastAsia="Lucida Sans Unicode"/>
                <w:kern w:val="1"/>
                <w:lang w:eastAsia="it-IT"/>
              </w:rPr>
              <w:t>Інвестиційний паспорт — це ключовий інформаційний інструмент для залучення інвесторів та партнерів до Жмеринської міської територіальної громади. Він системно презентує економічний, соціальний, інфраструктурний та ресурсний потенціал громади, а також інвестиційні можливості.</w:t>
            </w:r>
          </w:p>
          <w:p w14:paraId="3501CB1B" w14:textId="77777777" w:rsidR="009F618C" w:rsidRPr="00C2587D" w:rsidRDefault="009F618C" w:rsidP="00DD6DC0">
            <w:pPr>
              <w:widowControl w:val="0"/>
              <w:suppressAutoHyphens/>
              <w:spacing w:before="20" w:after="20"/>
              <w:jc w:val="both"/>
              <w:rPr>
                <w:lang w:eastAsia="it-IT"/>
              </w:rPr>
            </w:pPr>
            <w:r w:rsidRPr="00C2587D">
              <w:rPr>
                <w:rFonts w:eastAsia="Lucida Sans Unicode"/>
                <w:kern w:val="1"/>
                <w:lang w:eastAsia="it-IT"/>
              </w:rPr>
              <w:t>В умовах динамічних змін, реформ, розвитку нових секторів економіки та впливу зовнішніх факторів (зокрема війни та відновлення економіки), актуалізація Інвестиційного паспорту є важливим завданням для забезпечення ефективної інвестиційної політики громади.</w:t>
            </w:r>
          </w:p>
        </w:tc>
      </w:tr>
      <w:tr w:rsidR="009F618C" w:rsidRPr="00C2587D" w14:paraId="086ECD99" w14:textId="77777777" w:rsidTr="00FD75D9">
        <w:trPr>
          <w:jc w:val="right"/>
        </w:trPr>
        <w:tc>
          <w:tcPr>
            <w:tcW w:w="3425" w:type="dxa"/>
            <w:shd w:val="clear" w:color="auto" w:fill="FFFFFF"/>
            <w:vAlign w:val="center"/>
          </w:tcPr>
          <w:p w14:paraId="5601C355" w14:textId="77777777" w:rsidR="009F618C" w:rsidRPr="00C2587D" w:rsidRDefault="009F618C" w:rsidP="00FD75D9">
            <w:pPr>
              <w:rPr>
                <w:b/>
                <w:bCs/>
                <w:color w:val="000000"/>
              </w:rPr>
            </w:pPr>
            <w:r w:rsidRPr="00C2587D">
              <w:rPr>
                <w:b/>
                <w:bCs/>
                <w:color w:val="000000"/>
              </w:rPr>
              <w:t>Основні заходи проєкту</w:t>
            </w:r>
          </w:p>
        </w:tc>
        <w:tc>
          <w:tcPr>
            <w:tcW w:w="6794" w:type="dxa"/>
            <w:gridSpan w:val="8"/>
            <w:shd w:val="clear" w:color="auto" w:fill="FFFFFF"/>
          </w:tcPr>
          <w:p w14:paraId="1CAF7C08" w14:textId="77777777" w:rsidR="009F618C" w:rsidRPr="00C2587D" w:rsidRDefault="009F618C" w:rsidP="00FD75D9">
            <w:pPr>
              <w:tabs>
                <w:tab w:val="left" w:pos="285"/>
              </w:tabs>
              <w:spacing w:before="40" w:after="40"/>
              <w:contextualSpacing/>
              <w:jc w:val="both"/>
              <w:rPr>
                <w:rFonts w:eastAsia="Lucida Sans Unicode"/>
                <w:kern w:val="1"/>
                <w:lang w:eastAsia="ar-SA"/>
              </w:rPr>
            </w:pPr>
            <w:r w:rsidRPr="00C2587D">
              <w:rPr>
                <w:rFonts w:eastAsia="Lucida Sans Unicode"/>
                <w:kern w:val="1"/>
                <w:lang w:eastAsia="ar-SA"/>
              </w:rPr>
              <w:t xml:space="preserve">1. Розробка технічного завдання щодо актуалізації Інвестиційного паспорту Жмеринської міської територіальної громади. </w:t>
            </w:r>
          </w:p>
          <w:p w14:paraId="133604D1" w14:textId="77777777" w:rsidR="009F618C" w:rsidRPr="00C2587D" w:rsidRDefault="009F618C" w:rsidP="00FD75D9">
            <w:pPr>
              <w:tabs>
                <w:tab w:val="left" w:pos="285"/>
              </w:tabs>
              <w:spacing w:before="40" w:after="40"/>
              <w:contextualSpacing/>
              <w:jc w:val="both"/>
              <w:rPr>
                <w:rFonts w:eastAsia="Lucida Sans Unicode"/>
                <w:kern w:val="1"/>
                <w:lang w:eastAsia="ar-SA"/>
              </w:rPr>
            </w:pPr>
            <w:r w:rsidRPr="00C2587D">
              <w:rPr>
                <w:rFonts w:eastAsia="Lucida Sans Unicode"/>
                <w:kern w:val="1"/>
                <w:lang w:eastAsia="ar-SA"/>
              </w:rPr>
              <w:t xml:space="preserve">2. Конкурсний відбір виконавця з розробки актуалізованого Інвестиційного паспорту. </w:t>
            </w:r>
          </w:p>
          <w:p w14:paraId="1A638B76" w14:textId="77777777" w:rsidR="009F618C" w:rsidRPr="00C2587D" w:rsidRDefault="009F618C" w:rsidP="00FD75D9">
            <w:pPr>
              <w:tabs>
                <w:tab w:val="left" w:pos="285"/>
              </w:tabs>
              <w:spacing w:before="40" w:after="40"/>
              <w:contextualSpacing/>
              <w:jc w:val="both"/>
              <w:rPr>
                <w:rFonts w:eastAsia="Lucida Sans Unicode"/>
                <w:kern w:val="1"/>
                <w:lang w:eastAsia="ar-SA"/>
              </w:rPr>
            </w:pPr>
            <w:r w:rsidRPr="00C2587D">
              <w:rPr>
                <w:rFonts w:eastAsia="Lucida Sans Unicode"/>
                <w:kern w:val="1"/>
                <w:lang w:eastAsia="ar-SA"/>
              </w:rPr>
              <w:t xml:space="preserve">3. Здійснення аналізу економічного, ресурсного, соціального та інвестиційного потенціалу Жмеринської міської територіальної громади, у тому числі розробка оновленого профілю громади. </w:t>
            </w:r>
          </w:p>
          <w:p w14:paraId="77E9F6EB" w14:textId="3A60B361" w:rsidR="009F618C" w:rsidRPr="00C2587D" w:rsidRDefault="009F618C" w:rsidP="00FD75D9">
            <w:pPr>
              <w:tabs>
                <w:tab w:val="left" w:pos="285"/>
              </w:tabs>
              <w:spacing w:before="40" w:after="40"/>
              <w:contextualSpacing/>
              <w:jc w:val="both"/>
              <w:rPr>
                <w:rFonts w:eastAsia="Lucida Sans Unicode"/>
                <w:kern w:val="1"/>
                <w:lang w:eastAsia="ar-SA"/>
              </w:rPr>
            </w:pPr>
            <w:r w:rsidRPr="00C2587D">
              <w:rPr>
                <w:rFonts w:eastAsia="Lucida Sans Unicode"/>
                <w:kern w:val="1"/>
                <w:lang w:eastAsia="ar-SA"/>
              </w:rPr>
              <w:t xml:space="preserve">4. Створення бази даних вільних інвестиційно привабливих земельних ділянок типу </w:t>
            </w:r>
            <w:r w:rsidRPr="006D4A2C">
              <w:rPr>
                <w:rFonts w:eastAsia="Lucida Sans Unicode"/>
                <w:kern w:val="1"/>
                <w:lang w:val="en-US" w:eastAsia="ar-SA"/>
              </w:rPr>
              <w:t>greenfield</w:t>
            </w:r>
            <w:r w:rsidRPr="00C2587D">
              <w:rPr>
                <w:rFonts w:eastAsia="Lucida Sans Unicode"/>
                <w:kern w:val="1"/>
                <w:lang w:eastAsia="ar-SA"/>
              </w:rPr>
              <w:t xml:space="preserve"> та об’єктів нерухомості типу </w:t>
            </w:r>
            <w:r w:rsidR="006D4A2C" w:rsidRPr="00C2587D">
              <w:rPr>
                <w:rFonts w:eastAsia="Lucida Sans Unicode"/>
                <w:kern w:val="1"/>
                <w:lang w:eastAsia="ar-SA"/>
              </w:rPr>
              <w:t>Brownfield</w:t>
            </w:r>
            <w:r w:rsidRPr="00C2587D">
              <w:rPr>
                <w:rFonts w:eastAsia="Lucida Sans Unicode"/>
                <w:kern w:val="1"/>
                <w:lang w:eastAsia="ar-SA"/>
              </w:rPr>
              <w:t xml:space="preserve">. </w:t>
            </w:r>
          </w:p>
          <w:p w14:paraId="65B29965" w14:textId="77777777" w:rsidR="009F618C" w:rsidRPr="00C2587D" w:rsidRDefault="009F618C" w:rsidP="00FD75D9">
            <w:pPr>
              <w:tabs>
                <w:tab w:val="left" w:pos="285"/>
              </w:tabs>
              <w:spacing w:before="40" w:after="40"/>
              <w:contextualSpacing/>
              <w:jc w:val="both"/>
              <w:rPr>
                <w:rFonts w:eastAsia="Lucida Sans Unicode"/>
                <w:kern w:val="1"/>
                <w:lang w:eastAsia="ar-SA"/>
              </w:rPr>
            </w:pPr>
            <w:r w:rsidRPr="00C2587D">
              <w:rPr>
                <w:rFonts w:eastAsia="Lucida Sans Unicode"/>
                <w:kern w:val="1"/>
                <w:lang w:eastAsia="ar-SA"/>
              </w:rPr>
              <w:t xml:space="preserve">5. Розробка сучасного дизайну Інвестиційного паспорту та оновленого профілю громади. </w:t>
            </w:r>
          </w:p>
          <w:p w14:paraId="0FB393A2" w14:textId="77777777" w:rsidR="009F618C" w:rsidRPr="00C2587D" w:rsidRDefault="009F618C" w:rsidP="00FD75D9">
            <w:pPr>
              <w:tabs>
                <w:tab w:val="left" w:pos="285"/>
              </w:tabs>
              <w:spacing w:before="40" w:after="40"/>
              <w:contextualSpacing/>
              <w:jc w:val="both"/>
              <w:rPr>
                <w:rFonts w:eastAsia="Lucida Sans Unicode"/>
                <w:kern w:val="1"/>
                <w:lang w:eastAsia="ar-SA"/>
              </w:rPr>
            </w:pPr>
            <w:r w:rsidRPr="00C2587D">
              <w:rPr>
                <w:rFonts w:eastAsia="Lucida Sans Unicode"/>
                <w:kern w:val="1"/>
                <w:lang w:eastAsia="ar-SA"/>
              </w:rPr>
              <w:t>6. Переклад актуалізованого Інвестиційного паспорту та оновленого профілю громади англійською мовою.</w:t>
            </w:r>
          </w:p>
          <w:p w14:paraId="77335C74" w14:textId="77777777" w:rsidR="009F618C" w:rsidRPr="00C2587D" w:rsidRDefault="009F618C" w:rsidP="00FD75D9">
            <w:pPr>
              <w:tabs>
                <w:tab w:val="left" w:pos="285"/>
              </w:tabs>
              <w:spacing w:before="40" w:after="40"/>
              <w:contextualSpacing/>
              <w:jc w:val="both"/>
              <w:rPr>
                <w:lang w:eastAsia="it-IT"/>
              </w:rPr>
            </w:pPr>
            <w:r w:rsidRPr="00C2587D">
              <w:rPr>
                <w:rFonts w:eastAsia="Lucida Sans Unicode"/>
                <w:kern w:val="1"/>
                <w:lang w:eastAsia="ar-SA"/>
              </w:rPr>
              <w:t xml:space="preserve"> 7. Презентація Інвестиційного паспорту.</w:t>
            </w:r>
          </w:p>
        </w:tc>
      </w:tr>
      <w:tr w:rsidR="009F618C" w:rsidRPr="00C2587D" w14:paraId="539B7033" w14:textId="77777777" w:rsidTr="00FD75D9">
        <w:trPr>
          <w:jc w:val="right"/>
        </w:trPr>
        <w:tc>
          <w:tcPr>
            <w:tcW w:w="3425" w:type="dxa"/>
            <w:shd w:val="clear" w:color="auto" w:fill="FFFFFF"/>
            <w:vAlign w:val="center"/>
          </w:tcPr>
          <w:p w14:paraId="1DD21903" w14:textId="77777777" w:rsidR="009F618C" w:rsidRPr="00C2587D" w:rsidRDefault="009F618C" w:rsidP="00FD75D9">
            <w:pPr>
              <w:rPr>
                <w:b/>
                <w:bCs/>
                <w:color w:val="000000"/>
              </w:rPr>
            </w:pPr>
            <w:r w:rsidRPr="00C2587D">
              <w:rPr>
                <w:b/>
                <w:bCs/>
                <w:color w:val="000000"/>
              </w:rPr>
              <w:t>Індикатори (показники) результативності</w:t>
            </w:r>
          </w:p>
        </w:tc>
        <w:tc>
          <w:tcPr>
            <w:tcW w:w="6794" w:type="dxa"/>
            <w:gridSpan w:val="8"/>
            <w:vAlign w:val="center"/>
          </w:tcPr>
          <w:p w14:paraId="201644EF" w14:textId="77777777" w:rsidR="009F618C" w:rsidRPr="00C2587D" w:rsidRDefault="009F618C" w:rsidP="00FD75D9">
            <w:pPr>
              <w:jc w:val="both"/>
              <w:rPr>
                <w:lang w:eastAsia="it-IT"/>
              </w:rPr>
            </w:pPr>
            <w:r w:rsidRPr="00C2587D">
              <w:rPr>
                <w:lang w:eastAsia="it-IT"/>
              </w:rPr>
              <w:t xml:space="preserve">- розроблено актуалізований сучасний Інвестиційний паспорт Жмеринської міської територіальної громади та оновлений профіль громади; </w:t>
            </w:r>
          </w:p>
          <w:p w14:paraId="115F4B2F" w14:textId="1AEA1310" w:rsidR="009F618C" w:rsidRPr="00C2587D" w:rsidRDefault="009F618C" w:rsidP="00FD75D9">
            <w:pPr>
              <w:jc w:val="both"/>
              <w:rPr>
                <w:lang w:eastAsia="it-IT"/>
              </w:rPr>
            </w:pPr>
            <w:r w:rsidRPr="00C2587D">
              <w:rPr>
                <w:lang w:eastAsia="it-IT"/>
              </w:rPr>
              <w:t xml:space="preserve">- створено базу даних вільних інвестиційно привабливих земельних ділянок типу greenfield та об’єктів нерухомості типу </w:t>
            </w:r>
            <w:r w:rsidR="00D911C9" w:rsidRPr="00C2587D">
              <w:rPr>
                <w:lang w:eastAsia="it-IT"/>
              </w:rPr>
              <w:t>Brownfield</w:t>
            </w:r>
            <w:r w:rsidRPr="00C2587D">
              <w:rPr>
                <w:lang w:eastAsia="it-IT"/>
              </w:rPr>
              <w:t xml:space="preserve">; </w:t>
            </w:r>
          </w:p>
          <w:p w14:paraId="0FD4130F" w14:textId="77777777" w:rsidR="009F618C" w:rsidRPr="00C2587D" w:rsidRDefault="009F618C" w:rsidP="00FD75D9">
            <w:pPr>
              <w:jc w:val="both"/>
              <w:rPr>
                <w:lang w:eastAsia="it-IT"/>
              </w:rPr>
            </w:pPr>
            <w:r w:rsidRPr="00C2587D">
              <w:rPr>
                <w:lang w:eastAsia="it-IT"/>
              </w:rPr>
              <w:t>- здійснено поширення та просування актуалізованого Інвестиційного паспорту Жмеринської міської територіальної громади на офіційних джерелах Жмеринської міської ради, українських та міжнародних інвестиційних платформах;</w:t>
            </w:r>
          </w:p>
          <w:p w14:paraId="55EBD6C7" w14:textId="77777777" w:rsidR="009F618C" w:rsidRPr="00C2587D" w:rsidRDefault="009F618C" w:rsidP="00FD75D9">
            <w:pPr>
              <w:jc w:val="both"/>
              <w:rPr>
                <w:lang w:eastAsia="it-IT"/>
              </w:rPr>
            </w:pPr>
            <w:r w:rsidRPr="00C2587D">
              <w:rPr>
                <w:lang w:eastAsia="it-IT"/>
              </w:rPr>
              <w:t>- залучення інвестицій</w:t>
            </w:r>
          </w:p>
        </w:tc>
      </w:tr>
      <w:tr w:rsidR="009F618C" w:rsidRPr="00C2587D" w14:paraId="004C3EB1" w14:textId="77777777" w:rsidTr="00FD75D9">
        <w:trPr>
          <w:jc w:val="right"/>
        </w:trPr>
        <w:tc>
          <w:tcPr>
            <w:tcW w:w="3425" w:type="dxa"/>
            <w:shd w:val="clear" w:color="auto" w:fill="FFFFFF"/>
            <w:vAlign w:val="center"/>
          </w:tcPr>
          <w:p w14:paraId="0D2C418D" w14:textId="77777777" w:rsidR="009F618C" w:rsidRPr="00C2587D" w:rsidRDefault="009F618C" w:rsidP="00FD75D9">
            <w:pPr>
              <w:rPr>
                <w:b/>
                <w:color w:val="000000"/>
              </w:rPr>
            </w:pPr>
            <w:r w:rsidRPr="00C2587D">
              <w:rPr>
                <w:b/>
                <w:color w:val="000000"/>
              </w:rPr>
              <w:t xml:space="preserve">Період здійснення: </w:t>
            </w:r>
          </w:p>
        </w:tc>
        <w:tc>
          <w:tcPr>
            <w:tcW w:w="6794" w:type="dxa"/>
            <w:gridSpan w:val="8"/>
            <w:vAlign w:val="center"/>
          </w:tcPr>
          <w:p w14:paraId="75DB7CB6" w14:textId="77777777" w:rsidR="009F618C" w:rsidRPr="00C2587D" w:rsidRDefault="009F618C" w:rsidP="00FD75D9">
            <w:pPr>
              <w:rPr>
                <w:lang w:eastAsia="it-IT"/>
              </w:rPr>
            </w:pPr>
            <w:r w:rsidRPr="00C2587D">
              <w:rPr>
                <w:b/>
              </w:rPr>
              <w:t>2025 – 2028 роки:</w:t>
            </w:r>
          </w:p>
        </w:tc>
      </w:tr>
      <w:tr w:rsidR="009F618C" w:rsidRPr="00C2587D" w14:paraId="00FE2D56" w14:textId="77777777" w:rsidTr="00FD75D9">
        <w:trPr>
          <w:jc w:val="right"/>
        </w:trPr>
        <w:tc>
          <w:tcPr>
            <w:tcW w:w="3425" w:type="dxa"/>
            <w:vMerge w:val="restart"/>
            <w:shd w:val="clear" w:color="auto" w:fill="FFFFFF"/>
            <w:vAlign w:val="center"/>
          </w:tcPr>
          <w:p w14:paraId="080DC76C" w14:textId="5E42FE49" w:rsidR="009F618C" w:rsidRPr="00C2587D" w:rsidRDefault="00AA12D9" w:rsidP="00FD75D9">
            <w:pPr>
              <w:rPr>
                <w:b/>
                <w:bCs/>
                <w:color w:val="000000"/>
              </w:rPr>
            </w:pPr>
            <w:r>
              <w:rPr>
                <w:b/>
                <w:bCs/>
                <w:color w:val="000000"/>
              </w:rPr>
              <w:t>Орієнтовна вартість проє</w:t>
            </w:r>
            <w:r w:rsidR="009F618C" w:rsidRPr="00C2587D">
              <w:rPr>
                <w:b/>
                <w:bCs/>
                <w:color w:val="000000"/>
              </w:rPr>
              <w:t>кту, тис. грн., тому числі:</w:t>
            </w:r>
          </w:p>
        </w:tc>
        <w:tc>
          <w:tcPr>
            <w:tcW w:w="1254" w:type="dxa"/>
            <w:shd w:val="clear" w:color="auto" w:fill="E6E6E6"/>
            <w:vAlign w:val="center"/>
          </w:tcPr>
          <w:p w14:paraId="13A839C7" w14:textId="77777777" w:rsidR="009F618C" w:rsidRPr="00C2587D" w:rsidRDefault="009F618C" w:rsidP="00FD75D9">
            <w:pPr>
              <w:jc w:val="center"/>
              <w:rPr>
                <w:b/>
                <w:lang w:eastAsia="it-IT"/>
              </w:rPr>
            </w:pPr>
            <w:r w:rsidRPr="00C2587D">
              <w:rPr>
                <w:b/>
                <w:lang w:eastAsia="it-IT"/>
              </w:rPr>
              <w:t>2025</w:t>
            </w:r>
          </w:p>
        </w:tc>
        <w:tc>
          <w:tcPr>
            <w:tcW w:w="1417" w:type="dxa"/>
            <w:gridSpan w:val="2"/>
            <w:shd w:val="clear" w:color="auto" w:fill="E6E6E6"/>
            <w:vAlign w:val="center"/>
          </w:tcPr>
          <w:p w14:paraId="37BD4A58" w14:textId="77777777" w:rsidR="009F618C" w:rsidRPr="00C2587D" w:rsidRDefault="009F618C" w:rsidP="00FD75D9">
            <w:pPr>
              <w:jc w:val="center"/>
              <w:rPr>
                <w:b/>
                <w:lang w:eastAsia="it-IT"/>
              </w:rPr>
            </w:pPr>
            <w:r w:rsidRPr="00C2587D">
              <w:rPr>
                <w:b/>
                <w:lang w:eastAsia="it-IT"/>
              </w:rPr>
              <w:t>2026</w:t>
            </w:r>
          </w:p>
        </w:tc>
        <w:tc>
          <w:tcPr>
            <w:tcW w:w="1418" w:type="dxa"/>
            <w:tcBorders>
              <w:bottom w:val="single" w:sz="4" w:space="0" w:color="auto"/>
            </w:tcBorders>
            <w:shd w:val="clear" w:color="auto" w:fill="E6E6E6"/>
            <w:vAlign w:val="center"/>
          </w:tcPr>
          <w:p w14:paraId="73D9F25C" w14:textId="77777777" w:rsidR="009F618C" w:rsidRPr="00C2587D" w:rsidRDefault="009F618C" w:rsidP="00FD75D9">
            <w:pPr>
              <w:jc w:val="center"/>
              <w:rPr>
                <w:b/>
                <w:lang w:eastAsia="it-IT"/>
              </w:rPr>
            </w:pPr>
            <w:r w:rsidRPr="00C2587D">
              <w:rPr>
                <w:b/>
                <w:lang w:eastAsia="it-IT"/>
              </w:rPr>
              <w:t>2027</w:t>
            </w:r>
          </w:p>
        </w:tc>
        <w:tc>
          <w:tcPr>
            <w:tcW w:w="1275" w:type="dxa"/>
            <w:gridSpan w:val="2"/>
            <w:shd w:val="clear" w:color="auto" w:fill="E6E6E6"/>
            <w:vAlign w:val="center"/>
          </w:tcPr>
          <w:p w14:paraId="0B33BA99" w14:textId="77777777" w:rsidR="009F618C" w:rsidRPr="00C2587D" w:rsidRDefault="009F618C" w:rsidP="00FD75D9">
            <w:pPr>
              <w:jc w:val="center"/>
              <w:rPr>
                <w:b/>
                <w:lang w:eastAsia="it-IT"/>
              </w:rPr>
            </w:pPr>
            <w:r w:rsidRPr="00C2587D">
              <w:rPr>
                <w:b/>
                <w:lang w:eastAsia="it-IT"/>
              </w:rPr>
              <w:t>2028</w:t>
            </w:r>
          </w:p>
        </w:tc>
        <w:tc>
          <w:tcPr>
            <w:tcW w:w="1430" w:type="dxa"/>
            <w:gridSpan w:val="2"/>
            <w:shd w:val="clear" w:color="auto" w:fill="E6E6E6"/>
            <w:vAlign w:val="center"/>
          </w:tcPr>
          <w:p w14:paraId="5A8A26C5" w14:textId="77777777" w:rsidR="009F618C" w:rsidRPr="00C2587D" w:rsidRDefault="009F618C" w:rsidP="00FD75D9">
            <w:pPr>
              <w:jc w:val="center"/>
              <w:rPr>
                <w:b/>
                <w:lang w:eastAsia="it-IT"/>
              </w:rPr>
            </w:pPr>
            <w:r w:rsidRPr="00C2587D">
              <w:rPr>
                <w:b/>
                <w:lang w:eastAsia="it-IT"/>
              </w:rPr>
              <w:t>Разом</w:t>
            </w:r>
          </w:p>
        </w:tc>
      </w:tr>
      <w:tr w:rsidR="009F618C" w:rsidRPr="00C2587D" w14:paraId="2AD49D42" w14:textId="77777777" w:rsidTr="00FD75D9">
        <w:trPr>
          <w:jc w:val="right"/>
        </w:trPr>
        <w:tc>
          <w:tcPr>
            <w:tcW w:w="3425" w:type="dxa"/>
            <w:vMerge/>
            <w:shd w:val="clear" w:color="auto" w:fill="FFFFFF"/>
            <w:vAlign w:val="center"/>
          </w:tcPr>
          <w:p w14:paraId="321DE095" w14:textId="77777777" w:rsidR="009F618C" w:rsidRPr="00C2587D" w:rsidRDefault="009F618C" w:rsidP="00FD75D9">
            <w:pPr>
              <w:rPr>
                <w:b/>
                <w:bCs/>
                <w:color w:val="000000"/>
              </w:rPr>
            </w:pPr>
          </w:p>
        </w:tc>
        <w:tc>
          <w:tcPr>
            <w:tcW w:w="1254" w:type="dxa"/>
            <w:vAlign w:val="center"/>
          </w:tcPr>
          <w:p w14:paraId="3F3D91A4" w14:textId="77777777" w:rsidR="009F618C" w:rsidRPr="00C2587D" w:rsidRDefault="009F618C" w:rsidP="00FD75D9">
            <w:pPr>
              <w:jc w:val="center"/>
              <w:rPr>
                <w:b/>
                <w:lang w:eastAsia="it-IT"/>
              </w:rPr>
            </w:pPr>
            <w:r w:rsidRPr="00C2587D">
              <w:rPr>
                <w:b/>
                <w:lang w:eastAsia="it-IT"/>
              </w:rPr>
              <w:t>0</w:t>
            </w:r>
          </w:p>
        </w:tc>
        <w:tc>
          <w:tcPr>
            <w:tcW w:w="1417" w:type="dxa"/>
            <w:gridSpan w:val="2"/>
            <w:shd w:val="clear" w:color="auto" w:fill="FFFFFF"/>
            <w:vAlign w:val="center"/>
          </w:tcPr>
          <w:p w14:paraId="380919EE" w14:textId="77777777" w:rsidR="009F618C" w:rsidRPr="00C2587D" w:rsidRDefault="009F618C" w:rsidP="00FD75D9">
            <w:pPr>
              <w:jc w:val="center"/>
              <w:rPr>
                <w:b/>
                <w:lang w:eastAsia="it-IT"/>
              </w:rPr>
            </w:pPr>
            <w:r w:rsidRPr="00C2587D">
              <w:rPr>
                <w:b/>
                <w:lang w:eastAsia="it-IT"/>
              </w:rPr>
              <w:t>300,0</w:t>
            </w:r>
          </w:p>
        </w:tc>
        <w:tc>
          <w:tcPr>
            <w:tcW w:w="1418" w:type="dxa"/>
            <w:shd w:val="clear" w:color="auto" w:fill="auto"/>
            <w:vAlign w:val="center"/>
          </w:tcPr>
          <w:p w14:paraId="50349D6C" w14:textId="77777777" w:rsidR="009F618C" w:rsidRPr="00C2587D" w:rsidRDefault="009F618C" w:rsidP="00FD75D9">
            <w:pPr>
              <w:jc w:val="center"/>
              <w:rPr>
                <w:b/>
                <w:lang w:eastAsia="it-IT"/>
              </w:rPr>
            </w:pPr>
          </w:p>
        </w:tc>
        <w:tc>
          <w:tcPr>
            <w:tcW w:w="1275" w:type="dxa"/>
            <w:gridSpan w:val="2"/>
            <w:shd w:val="clear" w:color="auto" w:fill="FFFFFF"/>
            <w:vAlign w:val="center"/>
          </w:tcPr>
          <w:p w14:paraId="0D880989" w14:textId="77777777" w:rsidR="009F618C" w:rsidRPr="00C2587D" w:rsidRDefault="009F618C" w:rsidP="00FD75D9">
            <w:pPr>
              <w:jc w:val="center"/>
              <w:rPr>
                <w:b/>
                <w:lang w:eastAsia="it-IT"/>
              </w:rPr>
            </w:pPr>
          </w:p>
        </w:tc>
        <w:tc>
          <w:tcPr>
            <w:tcW w:w="1430" w:type="dxa"/>
            <w:gridSpan w:val="2"/>
            <w:shd w:val="clear" w:color="auto" w:fill="FFFFFF"/>
            <w:vAlign w:val="center"/>
          </w:tcPr>
          <w:p w14:paraId="36E28351" w14:textId="77777777" w:rsidR="009F618C" w:rsidRPr="00C2587D" w:rsidRDefault="009F618C" w:rsidP="00FD75D9">
            <w:pPr>
              <w:jc w:val="center"/>
              <w:rPr>
                <w:b/>
                <w:lang w:eastAsia="it-IT"/>
              </w:rPr>
            </w:pPr>
            <w:r w:rsidRPr="00C2587D">
              <w:rPr>
                <w:b/>
                <w:lang w:eastAsia="it-IT"/>
              </w:rPr>
              <w:t>300,0</w:t>
            </w:r>
          </w:p>
        </w:tc>
      </w:tr>
      <w:tr w:rsidR="009F618C" w:rsidRPr="00C2587D" w14:paraId="2FFAD943" w14:textId="77777777" w:rsidTr="00FD75D9">
        <w:trPr>
          <w:trHeight w:val="206"/>
          <w:jc w:val="right"/>
        </w:trPr>
        <w:tc>
          <w:tcPr>
            <w:tcW w:w="3425" w:type="dxa"/>
            <w:shd w:val="clear" w:color="auto" w:fill="FFFFFF"/>
            <w:vAlign w:val="center"/>
          </w:tcPr>
          <w:p w14:paraId="39A1B6DB" w14:textId="77777777" w:rsidR="009F618C" w:rsidRPr="00C2587D" w:rsidRDefault="009F618C" w:rsidP="00FD75D9">
            <w:pPr>
              <w:rPr>
                <w:b/>
                <w:bCs/>
                <w:color w:val="000000"/>
              </w:rPr>
            </w:pPr>
            <w:r w:rsidRPr="00C2587D">
              <w:rPr>
                <w:b/>
                <w:bCs/>
                <w:color w:val="000000"/>
              </w:rPr>
              <w:t>по джерелах фінансування:</w:t>
            </w:r>
          </w:p>
        </w:tc>
        <w:tc>
          <w:tcPr>
            <w:tcW w:w="6794" w:type="dxa"/>
            <w:gridSpan w:val="8"/>
            <w:vAlign w:val="center"/>
          </w:tcPr>
          <w:p w14:paraId="0BF0CD26" w14:textId="77777777" w:rsidR="009F618C" w:rsidRPr="00C2587D" w:rsidRDefault="009F618C" w:rsidP="00FD75D9">
            <w:pPr>
              <w:jc w:val="both"/>
              <w:rPr>
                <w:lang w:eastAsia="it-IT"/>
              </w:rPr>
            </w:pPr>
          </w:p>
        </w:tc>
      </w:tr>
      <w:tr w:rsidR="009F618C" w:rsidRPr="00C2587D" w14:paraId="3B025F9D" w14:textId="77777777" w:rsidTr="00FD75D9">
        <w:trPr>
          <w:trHeight w:val="285"/>
          <w:jc w:val="right"/>
        </w:trPr>
        <w:tc>
          <w:tcPr>
            <w:tcW w:w="3425" w:type="dxa"/>
            <w:shd w:val="clear" w:color="auto" w:fill="FFFFFF"/>
            <w:vAlign w:val="center"/>
          </w:tcPr>
          <w:p w14:paraId="456DAA7E" w14:textId="77777777" w:rsidR="009F618C" w:rsidRPr="00C2587D" w:rsidRDefault="009F618C" w:rsidP="00D911C9">
            <w:pPr>
              <w:ind w:left="62"/>
              <w:rPr>
                <w:b/>
                <w:bCs/>
                <w:color w:val="000000"/>
              </w:rPr>
            </w:pPr>
            <w:r w:rsidRPr="00C2587D">
              <w:rPr>
                <w:color w:val="000000"/>
              </w:rPr>
              <w:t>-державний бюджет;</w:t>
            </w:r>
          </w:p>
        </w:tc>
        <w:tc>
          <w:tcPr>
            <w:tcW w:w="1260" w:type="dxa"/>
            <w:gridSpan w:val="2"/>
            <w:vAlign w:val="center"/>
          </w:tcPr>
          <w:p w14:paraId="1B3284BC" w14:textId="77777777" w:rsidR="009F618C" w:rsidRPr="00C2587D" w:rsidRDefault="009F618C" w:rsidP="00FD75D9">
            <w:pPr>
              <w:jc w:val="center"/>
              <w:rPr>
                <w:lang w:eastAsia="it-IT"/>
              </w:rPr>
            </w:pPr>
          </w:p>
        </w:tc>
        <w:tc>
          <w:tcPr>
            <w:tcW w:w="1411" w:type="dxa"/>
            <w:vAlign w:val="center"/>
          </w:tcPr>
          <w:p w14:paraId="7C1AD56B" w14:textId="77777777" w:rsidR="009F618C" w:rsidRPr="00C2587D" w:rsidRDefault="009F618C" w:rsidP="00FD75D9">
            <w:pPr>
              <w:jc w:val="center"/>
              <w:rPr>
                <w:lang w:eastAsia="it-IT"/>
              </w:rPr>
            </w:pPr>
          </w:p>
        </w:tc>
        <w:tc>
          <w:tcPr>
            <w:tcW w:w="1454" w:type="dxa"/>
            <w:gridSpan w:val="2"/>
            <w:vAlign w:val="center"/>
          </w:tcPr>
          <w:p w14:paraId="2C7A61C2" w14:textId="77777777" w:rsidR="009F618C" w:rsidRPr="00C2587D" w:rsidRDefault="009F618C" w:rsidP="00FD75D9">
            <w:pPr>
              <w:jc w:val="center"/>
              <w:rPr>
                <w:lang w:eastAsia="it-IT"/>
              </w:rPr>
            </w:pPr>
          </w:p>
        </w:tc>
        <w:tc>
          <w:tcPr>
            <w:tcW w:w="1245" w:type="dxa"/>
            <w:gridSpan w:val="2"/>
            <w:vAlign w:val="center"/>
          </w:tcPr>
          <w:p w14:paraId="6E051AED" w14:textId="77777777" w:rsidR="009F618C" w:rsidRPr="00C2587D" w:rsidRDefault="009F618C" w:rsidP="00FD75D9">
            <w:pPr>
              <w:jc w:val="center"/>
              <w:rPr>
                <w:lang w:eastAsia="it-IT"/>
              </w:rPr>
            </w:pPr>
          </w:p>
        </w:tc>
        <w:tc>
          <w:tcPr>
            <w:tcW w:w="1424" w:type="dxa"/>
            <w:vAlign w:val="center"/>
          </w:tcPr>
          <w:p w14:paraId="54E6F2ED" w14:textId="77777777" w:rsidR="009F618C" w:rsidRPr="00C2587D" w:rsidRDefault="009F618C" w:rsidP="00FD75D9">
            <w:pPr>
              <w:jc w:val="center"/>
              <w:rPr>
                <w:lang w:eastAsia="it-IT"/>
              </w:rPr>
            </w:pPr>
          </w:p>
        </w:tc>
      </w:tr>
      <w:tr w:rsidR="009F618C" w:rsidRPr="00C2587D" w14:paraId="74AC97CB" w14:textId="77777777" w:rsidTr="00FD75D9">
        <w:trPr>
          <w:trHeight w:val="315"/>
          <w:jc w:val="right"/>
        </w:trPr>
        <w:tc>
          <w:tcPr>
            <w:tcW w:w="3425" w:type="dxa"/>
            <w:shd w:val="clear" w:color="auto" w:fill="FFFFFF"/>
            <w:vAlign w:val="center"/>
          </w:tcPr>
          <w:p w14:paraId="651AEAFE" w14:textId="77777777" w:rsidR="009F618C" w:rsidRPr="00C2587D" w:rsidRDefault="009F618C" w:rsidP="00FD75D9">
            <w:pPr>
              <w:rPr>
                <w:b/>
                <w:bCs/>
                <w:color w:val="000000"/>
              </w:rPr>
            </w:pPr>
            <w:r w:rsidRPr="00C2587D">
              <w:rPr>
                <w:color w:val="000000"/>
              </w:rPr>
              <w:t>-обласний бюджет;</w:t>
            </w:r>
          </w:p>
        </w:tc>
        <w:tc>
          <w:tcPr>
            <w:tcW w:w="1260" w:type="dxa"/>
            <w:gridSpan w:val="2"/>
            <w:vAlign w:val="center"/>
          </w:tcPr>
          <w:p w14:paraId="54B5EDC3" w14:textId="77777777" w:rsidR="009F618C" w:rsidRPr="00C2587D" w:rsidRDefault="009F618C" w:rsidP="00FD75D9">
            <w:pPr>
              <w:jc w:val="center"/>
              <w:rPr>
                <w:lang w:eastAsia="it-IT"/>
              </w:rPr>
            </w:pPr>
          </w:p>
        </w:tc>
        <w:tc>
          <w:tcPr>
            <w:tcW w:w="1411" w:type="dxa"/>
            <w:vAlign w:val="center"/>
          </w:tcPr>
          <w:p w14:paraId="626F235C" w14:textId="77777777" w:rsidR="009F618C" w:rsidRPr="00C2587D" w:rsidRDefault="009F618C" w:rsidP="00FD75D9">
            <w:pPr>
              <w:jc w:val="center"/>
              <w:rPr>
                <w:lang w:eastAsia="it-IT"/>
              </w:rPr>
            </w:pPr>
          </w:p>
        </w:tc>
        <w:tc>
          <w:tcPr>
            <w:tcW w:w="1454" w:type="dxa"/>
            <w:gridSpan w:val="2"/>
            <w:vAlign w:val="center"/>
          </w:tcPr>
          <w:p w14:paraId="5CAC723D" w14:textId="77777777" w:rsidR="009F618C" w:rsidRPr="00C2587D" w:rsidRDefault="009F618C" w:rsidP="00FD75D9">
            <w:pPr>
              <w:jc w:val="center"/>
              <w:rPr>
                <w:lang w:eastAsia="it-IT"/>
              </w:rPr>
            </w:pPr>
          </w:p>
        </w:tc>
        <w:tc>
          <w:tcPr>
            <w:tcW w:w="1245" w:type="dxa"/>
            <w:gridSpan w:val="2"/>
            <w:vAlign w:val="center"/>
          </w:tcPr>
          <w:p w14:paraId="5EA764A0" w14:textId="77777777" w:rsidR="009F618C" w:rsidRPr="00C2587D" w:rsidRDefault="009F618C" w:rsidP="00FD75D9">
            <w:pPr>
              <w:jc w:val="center"/>
              <w:rPr>
                <w:lang w:eastAsia="it-IT"/>
              </w:rPr>
            </w:pPr>
          </w:p>
        </w:tc>
        <w:tc>
          <w:tcPr>
            <w:tcW w:w="1424" w:type="dxa"/>
            <w:vAlign w:val="center"/>
          </w:tcPr>
          <w:p w14:paraId="56CC3F7E" w14:textId="77777777" w:rsidR="009F618C" w:rsidRPr="00C2587D" w:rsidRDefault="009F618C" w:rsidP="00FD75D9">
            <w:pPr>
              <w:jc w:val="center"/>
              <w:rPr>
                <w:lang w:eastAsia="it-IT"/>
              </w:rPr>
            </w:pPr>
          </w:p>
        </w:tc>
      </w:tr>
      <w:tr w:rsidR="009F618C" w:rsidRPr="00C2587D" w14:paraId="3E5F6E30" w14:textId="77777777" w:rsidTr="00FD75D9">
        <w:trPr>
          <w:trHeight w:val="240"/>
          <w:jc w:val="right"/>
        </w:trPr>
        <w:tc>
          <w:tcPr>
            <w:tcW w:w="3425" w:type="dxa"/>
            <w:shd w:val="clear" w:color="auto" w:fill="FFFFFF"/>
            <w:vAlign w:val="center"/>
          </w:tcPr>
          <w:p w14:paraId="1C482A7A" w14:textId="77777777" w:rsidR="009F618C" w:rsidRPr="00C2587D" w:rsidRDefault="009F618C" w:rsidP="00FD75D9">
            <w:pPr>
              <w:rPr>
                <w:color w:val="000000"/>
              </w:rPr>
            </w:pPr>
            <w:r w:rsidRPr="00C2587D">
              <w:rPr>
                <w:color w:val="000000"/>
              </w:rPr>
              <w:t xml:space="preserve">-бюджет Жмеринської МТГ; </w:t>
            </w:r>
          </w:p>
        </w:tc>
        <w:tc>
          <w:tcPr>
            <w:tcW w:w="1260" w:type="dxa"/>
            <w:gridSpan w:val="2"/>
            <w:vAlign w:val="center"/>
          </w:tcPr>
          <w:p w14:paraId="17925B2C" w14:textId="77777777" w:rsidR="009F618C" w:rsidRPr="00C2587D" w:rsidRDefault="009F618C" w:rsidP="00FD75D9">
            <w:pPr>
              <w:jc w:val="center"/>
              <w:rPr>
                <w:b/>
                <w:lang w:eastAsia="it-IT"/>
              </w:rPr>
            </w:pPr>
            <w:r w:rsidRPr="00C2587D">
              <w:rPr>
                <w:b/>
                <w:lang w:eastAsia="it-IT"/>
              </w:rPr>
              <w:t>0</w:t>
            </w:r>
          </w:p>
        </w:tc>
        <w:tc>
          <w:tcPr>
            <w:tcW w:w="1411" w:type="dxa"/>
            <w:vAlign w:val="center"/>
          </w:tcPr>
          <w:p w14:paraId="64C05A15" w14:textId="77777777" w:rsidR="009F618C" w:rsidRPr="00C2587D" w:rsidRDefault="009F618C" w:rsidP="00FD75D9">
            <w:pPr>
              <w:jc w:val="center"/>
              <w:rPr>
                <w:b/>
                <w:lang w:eastAsia="it-IT"/>
              </w:rPr>
            </w:pPr>
            <w:r w:rsidRPr="00C2587D">
              <w:rPr>
                <w:b/>
                <w:lang w:eastAsia="it-IT"/>
              </w:rPr>
              <w:t>300,0</w:t>
            </w:r>
          </w:p>
        </w:tc>
        <w:tc>
          <w:tcPr>
            <w:tcW w:w="1454" w:type="dxa"/>
            <w:gridSpan w:val="2"/>
            <w:vAlign w:val="center"/>
          </w:tcPr>
          <w:p w14:paraId="424CD330" w14:textId="77777777" w:rsidR="009F618C" w:rsidRPr="00C2587D" w:rsidRDefault="009F618C" w:rsidP="00FD75D9">
            <w:pPr>
              <w:jc w:val="center"/>
              <w:rPr>
                <w:b/>
                <w:lang w:eastAsia="it-IT"/>
              </w:rPr>
            </w:pPr>
          </w:p>
        </w:tc>
        <w:tc>
          <w:tcPr>
            <w:tcW w:w="1245" w:type="dxa"/>
            <w:gridSpan w:val="2"/>
            <w:vAlign w:val="center"/>
          </w:tcPr>
          <w:p w14:paraId="184EA012" w14:textId="77777777" w:rsidR="009F618C" w:rsidRPr="00C2587D" w:rsidRDefault="009F618C" w:rsidP="00FD75D9">
            <w:pPr>
              <w:jc w:val="center"/>
              <w:rPr>
                <w:b/>
                <w:lang w:eastAsia="it-IT"/>
              </w:rPr>
            </w:pPr>
          </w:p>
        </w:tc>
        <w:tc>
          <w:tcPr>
            <w:tcW w:w="1424" w:type="dxa"/>
            <w:vAlign w:val="center"/>
          </w:tcPr>
          <w:p w14:paraId="1B5F9EE5" w14:textId="77777777" w:rsidR="009F618C" w:rsidRPr="00C2587D" w:rsidRDefault="009F618C" w:rsidP="00FD75D9">
            <w:pPr>
              <w:jc w:val="center"/>
              <w:rPr>
                <w:b/>
                <w:lang w:eastAsia="it-IT"/>
              </w:rPr>
            </w:pPr>
            <w:r w:rsidRPr="00C2587D">
              <w:rPr>
                <w:b/>
                <w:lang w:eastAsia="it-IT"/>
              </w:rPr>
              <w:t>300,0</w:t>
            </w:r>
          </w:p>
        </w:tc>
      </w:tr>
      <w:tr w:rsidR="009F618C" w:rsidRPr="00C2587D" w14:paraId="6D5BC205" w14:textId="77777777" w:rsidTr="00FD75D9">
        <w:trPr>
          <w:trHeight w:val="240"/>
          <w:jc w:val="right"/>
        </w:trPr>
        <w:tc>
          <w:tcPr>
            <w:tcW w:w="3425" w:type="dxa"/>
            <w:shd w:val="clear" w:color="auto" w:fill="FFFFFF"/>
            <w:vAlign w:val="center"/>
          </w:tcPr>
          <w:p w14:paraId="6E130DB6" w14:textId="77777777" w:rsidR="009F618C" w:rsidRPr="00C2587D" w:rsidRDefault="009F618C" w:rsidP="00FD75D9">
            <w:pPr>
              <w:rPr>
                <w:color w:val="000000"/>
              </w:rPr>
            </w:pPr>
            <w:r w:rsidRPr="00C2587D">
              <w:rPr>
                <w:color w:val="000000"/>
              </w:rPr>
              <w:t>-інші джерела фінансування.</w:t>
            </w:r>
          </w:p>
        </w:tc>
        <w:tc>
          <w:tcPr>
            <w:tcW w:w="1260" w:type="dxa"/>
            <w:gridSpan w:val="2"/>
            <w:vAlign w:val="center"/>
          </w:tcPr>
          <w:p w14:paraId="6C01FCFF" w14:textId="77777777" w:rsidR="009F618C" w:rsidRPr="00C2587D" w:rsidRDefault="009F618C" w:rsidP="00FD75D9">
            <w:pPr>
              <w:jc w:val="center"/>
              <w:rPr>
                <w:lang w:eastAsia="it-IT"/>
              </w:rPr>
            </w:pPr>
          </w:p>
        </w:tc>
        <w:tc>
          <w:tcPr>
            <w:tcW w:w="1411" w:type="dxa"/>
            <w:vAlign w:val="center"/>
          </w:tcPr>
          <w:p w14:paraId="2353A279" w14:textId="77777777" w:rsidR="009F618C" w:rsidRPr="00C2587D" w:rsidRDefault="009F618C" w:rsidP="00FD75D9">
            <w:pPr>
              <w:jc w:val="center"/>
              <w:rPr>
                <w:lang w:eastAsia="it-IT"/>
              </w:rPr>
            </w:pPr>
          </w:p>
        </w:tc>
        <w:tc>
          <w:tcPr>
            <w:tcW w:w="1454" w:type="dxa"/>
            <w:gridSpan w:val="2"/>
            <w:vAlign w:val="center"/>
          </w:tcPr>
          <w:p w14:paraId="5A8CBBB8" w14:textId="77777777" w:rsidR="009F618C" w:rsidRPr="00C2587D" w:rsidRDefault="009F618C" w:rsidP="00FD75D9">
            <w:pPr>
              <w:jc w:val="center"/>
              <w:rPr>
                <w:lang w:eastAsia="it-IT"/>
              </w:rPr>
            </w:pPr>
          </w:p>
        </w:tc>
        <w:tc>
          <w:tcPr>
            <w:tcW w:w="1245" w:type="dxa"/>
            <w:gridSpan w:val="2"/>
            <w:vAlign w:val="center"/>
          </w:tcPr>
          <w:p w14:paraId="640A71C9" w14:textId="77777777" w:rsidR="009F618C" w:rsidRPr="00C2587D" w:rsidRDefault="009F618C" w:rsidP="00FD75D9">
            <w:pPr>
              <w:jc w:val="center"/>
              <w:rPr>
                <w:lang w:eastAsia="it-IT"/>
              </w:rPr>
            </w:pPr>
          </w:p>
        </w:tc>
        <w:tc>
          <w:tcPr>
            <w:tcW w:w="1424" w:type="dxa"/>
            <w:vAlign w:val="center"/>
          </w:tcPr>
          <w:p w14:paraId="7FBC1417" w14:textId="77777777" w:rsidR="009F618C" w:rsidRPr="00C2587D" w:rsidRDefault="009F618C" w:rsidP="00FD75D9">
            <w:pPr>
              <w:jc w:val="center"/>
              <w:rPr>
                <w:lang w:eastAsia="it-IT"/>
              </w:rPr>
            </w:pPr>
          </w:p>
        </w:tc>
      </w:tr>
      <w:tr w:rsidR="009F618C" w:rsidRPr="00C2587D" w14:paraId="4413535D" w14:textId="77777777" w:rsidTr="00FD75D9">
        <w:trPr>
          <w:jc w:val="right"/>
        </w:trPr>
        <w:tc>
          <w:tcPr>
            <w:tcW w:w="3425" w:type="dxa"/>
            <w:shd w:val="clear" w:color="auto" w:fill="FFFFFF"/>
            <w:vAlign w:val="center"/>
          </w:tcPr>
          <w:p w14:paraId="742F29D5" w14:textId="77777777" w:rsidR="009F618C" w:rsidRPr="00C2587D" w:rsidRDefault="009F618C" w:rsidP="00FD75D9">
            <w:pPr>
              <w:rPr>
                <w:b/>
                <w:bCs/>
                <w:color w:val="000000"/>
              </w:rPr>
            </w:pPr>
            <w:r w:rsidRPr="00C2587D">
              <w:rPr>
                <w:b/>
                <w:color w:val="000000"/>
              </w:rPr>
              <w:t>Відповідальний виконавець проєкту:</w:t>
            </w:r>
          </w:p>
        </w:tc>
        <w:tc>
          <w:tcPr>
            <w:tcW w:w="6794" w:type="dxa"/>
            <w:gridSpan w:val="8"/>
            <w:vAlign w:val="center"/>
          </w:tcPr>
          <w:p w14:paraId="5064BF7F" w14:textId="77777777" w:rsidR="009F618C" w:rsidRPr="00C2587D" w:rsidRDefault="009F618C" w:rsidP="00FD75D9">
            <w:pPr>
              <w:tabs>
                <w:tab w:val="left" w:pos="285"/>
              </w:tabs>
              <w:jc w:val="both"/>
              <w:rPr>
                <w:color w:val="000000"/>
                <w:lang w:eastAsia="it-IT"/>
              </w:rPr>
            </w:pPr>
          </w:p>
        </w:tc>
      </w:tr>
      <w:tr w:rsidR="009F618C" w:rsidRPr="00C2587D" w14:paraId="43BB0B6A" w14:textId="77777777" w:rsidTr="00FD75D9">
        <w:trPr>
          <w:jc w:val="right"/>
        </w:trPr>
        <w:tc>
          <w:tcPr>
            <w:tcW w:w="3425" w:type="dxa"/>
            <w:shd w:val="clear" w:color="auto" w:fill="FFFFFF"/>
            <w:vAlign w:val="center"/>
          </w:tcPr>
          <w:p w14:paraId="3471E3AA" w14:textId="77777777" w:rsidR="009F618C" w:rsidRPr="00C2587D" w:rsidRDefault="009F618C" w:rsidP="00FD75D9">
            <w:pPr>
              <w:rPr>
                <w:b/>
                <w:bCs/>
              </w:rPr>
            </w:pPr>
            <w:r w:rsidRPr="00C2587D">
              <w:rPr>
                <w:b/>
                <w:bCs/>
              </w:rPr>
              <w:t>Інше:</w:t>
            </w:r>
          </w:p>
        </w:tc>
        <w:tc>
          <w:tcPr>
            <w:tcW w:w="6794" w:type="dxa"/>
            <w:gridSpan w:val="8"/>
            <w:vAlign w:val="center"/>
          </w:tcPr>
          <w:p w14:paraId="1037B22C" w14:textId="77777777" w:rsidR="009F618C" w:rsidRPr="00C2587D" w:rsidRDefault="009F618C" w:rsidP="00FD75D9">
            <w:pPr>
              <w:jc w:val="both"/>
              <w:rPr>
                <w:lang w:eastAsia="it-IT"/>
              </w:rPr>
            </w:pPr>
            <w:r w:rsidRPr="00C2587D">
              <w:rPr>
                <w:lang w:eastAsia="it-IT"/>
              </w:rPr>
              <w:t>Управління економіки та розвитку інфраструктури виконавчого комітету  Жмеринської міської ради</w:t>
            </w:r>
          </w:p>
        </w:tc>
      </w:tr>
    </w:tbl>
    <w:p w14:paraId="3B90CA67" w14:textId="77777777" w:rsidR="00E9247F" w:rsidRPr="00C2587D" w:rsidRDefault="00E9247F" w:rsidP="003356A1">
      <w:pPr>
        <w:rPr>
          <w:rFonts w:cs="Arial"/>
          <w:b/>
          <w:sz w:val="20"/>
          <w:szCs w:val="20"/>
        </w:rPr>
      </w:pPr>
    </w:p>
    <w:p w14:paraId="3CB19813" w14:textId="77777777" w:rsidR="00E9247F" w:rsidRPr="00C2587D" w:rsidRDefault="00E9247F" w:rsidP="003356A1">
      <w:pPr>
        <w:rPr>
          <w:rFonts w:cs="Arial"/>
          <w:b/>
          <w:sz w:val="20"/>
          <w:szCs w:val="20"/>
        </w:rPr>
      </w:pPr>
    </w:p>
    <w:p w14:paraId="0A25CCAE" w14:textId="264220EA" w:rsidR="00DD6DC0" w:rsidRDefault="00DD6DC0">
      <w:pPr>
        <w:rPr>
          <w:rFonts w:cs="Arial"/>
          <w:b/>
          <w:sz w:val="24"/>
          <w:u w:val="single"/>
        </w:rPr>
      </w:pPr>
    </w:p>
    <w:p w14:paraId="51F5865A" w14:textId="77777777" w:rsidR="00820A36" w:rsidRDefault="00820A36">
      <w:pPr>
        <w:rPr>
          <w:rFonts w:cs="Arial"/>
          <w:b/>
          <w:sz w:val="24"/>
          <w:u w:val="single"/>
        </w:rPr>
      </w:pPr>
    </w:p>
    <w:p w14:paraId="1F373649" w14:textId="2E0B7F77" w:rsidR="003356A1" w:rsidRPr="00C2587D" w:rsidRDefault="00D52ABC" w:rsidP="00196593">
      <w:pPr>
        <w:jc w:val="center"/>
        <w:rPr>
          <w:rFonts w:cs="Arial"/>
          <w:b/>
          <w:sz w:val="24"/>
          <w:u w:val="single"/>
        </w:rPr>
      </w:pPr>
      <w:r w:rsidRPr="00C2587D">
        <w:rPr>
          <w:rFonts w:cs="Arial"/>
          <w:b/>
          <w:sz w:val="24"/>
          <w:u w:val="single"/>
        </w:rPr>
        <w:t>Стратегічна ціль А.5</w:t>
      </w:r>
      <w:r w:rsidR="003356A1" w:rsidRPr="00C2587D">
        <w:rPr>
          <w:rFonts w:cs="Arial"/>
          <w:b/>
          <w:sz w:val="24"/>
          <w:u w:val="single"/>
        </w:rPr>
        <w:t>. Регіональний</w:t>
      </w:r>
      <w:r w:rsidR="003459E5" w:rsidRPr="00C2587D">
        <w:rPr>
          <w:rFonts w:cs="Arial"/>
          <w:b/>
          <w:sz w:val="24"/>
          <w:u w:val="single"/>
        </w:rPr>
        <w:t xml:space="preserve"> туристичний,</w:t>
      </w:r>
      <w:r w:rsidR="003356A1" w:rsidRPr="00C2587D">
        <w:rPr>
          <w:rFonts w:cs="Arial"/>
          <w:b/>
          <w:sz w:val="24"/>
          <w:u w:val="single"/>
        </w:rPr>
        <w:t xml:space="preserve"> культурно-історичний центр</w:t>
      </w:r>
    </w:p>
    <w:p w14:paraId="6B1F2DB1" w14:textId="77777777" w:rsidR="009C40E4" w:rsidRPr="00C2587D" w:rsidRDefault="009C40E4" w:rsidP="00196593">
      <w:pPr>
        <w:jc w:val="center"/>
        <w:rPr>
          <w:rFonts w:cs="Arial"/>
          <w:b/>
          <w:sz w:val="24"/>
          <w:u w:val="single"/>
        </w:rPr>
      </w:pPr>
    </w:p>
    <w:p w14:paraId="30932D02" w14:textId="77777777" w:rsidR="009F618C" w:rsidRPr="00C2587D" w:rsidRDefault="009F618C" w:rsidP="009F618C">
      <w:pPr>
        <w:jc w:val="center"/>
        <w:rPr>
          <w:rFonts w:cs="Arial"/>
          <w:b/>
          <w:color w:val="000000"/>
          <w:sz w:val="24"/>
        </w:rPr>
      </w:pPr>
      <w:r w:rsidRPr="00C2587D">
        <w:rPr>
          <w:rFonts w:cs="Arial"/>
          <w:b/>
          <w:color w:val="000000"/>
          <w:sz w:val="24"/>
        </w:rPr>
        <w:t xml:space="preserve">Форма технічного завдання на проєкт місцевого розвитку </w:t>
      </w:r>
    </w:p>
    <w:p w14:paraId="19327E12" w14:textId="77777777" w:rsidR="009F618C" w:rsidRPr="00C2587D" w:rsidRDefault="009F618C" w:rsidP="009F618C">
      <w:pPr>
        <w:jc w:val="center"/>
        <w:rPr>
          <w:rFonts w:cs="Arial"/>
          <w:b/>
          <w:color w:val="000000"/>
          <w:sz w:val="24"/>
        </w:rPr>
      </w:pPr>
      <w:r w:rsidRPr="00C2587D">
        <w:rPr>
          <w:rFonts w:cs="Arial"/>
          <w:b/>
          <w:color w:val="000000"/>
          <w:sz w:val="24"/>
        </w:rPr>
        <w:t>до Плану заходів з реалізації Стратегії</w:t>
      </w:r>
    </w:p>
    <w:p w14:paraId="411B31EF" w14:textId="77777777" w:rsidR="009F618C" w:rsidRPr="00C2587D" w:rsidRDefault="009F618C" w:rsidP="009F618C">
      <w:pPr>
        <w:rPr>
          <w:rFonts w:cs="Arial"/>
          <w:sz w:val="24"/>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3"/>
        <w:gridCol w:w="1254"/>
        <w:gridCol w:w="1278"/>
        <w:gridCol w:w="1419"/>
        <w:gridCol w:w="1274"/>
        <w:gridCol w:w="1571"/>
      </w:tblGrid>
      <w:tr w:rsidR="009F618C" w:rsidRPr="00C2587D" w14:paraId="51F0F7B2" w14:textId="77777777" w:rsidTr="00D911C9">
        <w:trPr>
          <w:jc w:val="right"/>
        </w:trPr>
        <w:tc>
          <w:tcPr>
            <w:tcW w:w="3424" w:type="dxa"/>
            <w:vAlign w:val="center"/>
          </w:tcPr>
          <w:p w14:paraId="4B577CE8" w14:textId="77777777" w:rsidR="009F618C" w:rsidRPr="00C2587D" w:rsidRDefault="009F618C" w:rsidP="00FD75D9">
            <w:pPr>
              <w:rPr>
                <w:rFonts w:cs="Arial"/>
                <w:b/>
                <w:bCs/>
                <w:color w:val="000000"/>
              </w:rPr>
            </w:pPr>
            <w:r w:rsidRPr="00C2587D">
              <w:rPr>
                <w:rFonts w:cs="Arial"/>
                <w:b/>
                <w:bCs/>
                <w:color w:val="000000"/>
              </w:rPr>
              <w:t>Назва проєкту:</w:t>
            </w:r>
          </w:p>
        </w:tc>
        <w:tc>
          <w:tcPr>
            <w:tcW w:w="6795" w:type="dxa"/>
            <w:gridSpan w:val="5"/>
          </w:tcPr>
          <w:p w14:paraId="765FBD60" w14:textId="77777777" w:rsidR="009F618C" w:rsidRPr="00D911C9" w:rsidRDefault="009F618C" w:rsidP="00FD75D9">
            <w:pPr>
              <w:spacing w:before="40" w:after="40"/>
              <w:rPr>
                <w:rFonts w:cs="Arial"/>
                <w:b/>
                <w:sz w:val="20"/>
                <w:szCs w:val="20"/>
                <w:lang w:eastAsia="it-IT"/>
              </w:rPr>
            </w:pPr>
            <w:r w:rsidRPr="00D911C9">
              <w:rPr>
                <w:rFonts w:cs="Arial"/>
                <w:b/>
                <w:sz w:val="20"/>
                <w:szCs w:val="20"/>
                <w:lang w:eastAsia="it-IT"/>
              </w:rPr>
              <w:t>«Кармелюків край: спадок нескореного духу»</w:t>
            </w:r>
          </w:p>
        </w:tc>
      </w:tr>
      <w:tr w:rsidR="009F618C" w:rsidRPr="00C2587D" w14:paraId="66E2B2DC" w14:textId="77777777" w:rsidTr="00D911C9">
        <w:trPr>
          <w:jc w:val="right"/>
        </w:trPr>
        <w:tc>
          <w:tcPr>
            <w:tcW w:w="3424" w:type="dxa"/>
          </w:tcPr>
          <w:p w14:paraId="245B5031" w14:textId="77777777" w:rsidR="009F618C" w:rsidRPr="00C2587D" w:rsidRDefault="009F618C" w:rsidP="00FD75D9">
            <w:pPr>
              <w:spacing w:before="40" w:after="40"/>
              <w:rPr>
                <w:rFonts w:cs="Arial"/>
                <w:sz w:val="20"/>
                <w:lang w:eastAsia="it-IT"/>
              </w:rPr>
            </w:pPr>
            <w:r w:rsidRPr="00C2587D">
              <w:rPr>
                <w:rFonts w:cs="Arial"/>
                <w:b/>
                <w:bCs/>
              </w:rPr>
              <w:t>Ваші контакти</w:t>
            </w:r>
            <w:r w:rsidRPr="00C2587D">
              <w:rPr>
                <w:rFonts w:cs="Arial"/>
                <w:sz w:val="20"/>
                <w:lang w:eastAsia="it-IT"/>
              </w:rPr>
              <w:t>:</w:t>
            </w:r>
          </w:p>
          <w:p w14:paraId="5E202A30" w14:textId="77777777" w:rsidR="009F618C" w:rsidRPr="00C2587D" w:rsidRDefault="009F618C" w:rsidP="00FD75D9">
            <w:pPr>
              <w:spacing w:before="40" w:after="40"/>
              <w:rPr>
                <w:rFonts w:cs="Arial"/>
                <w:b/>
                <w:bCs/>
              </w:rPr>
            </w:pPr>
            <w:r w:rsidRPr="00C2587D">
              <w:rPr>
                <w:rFonts w:cs="Arial"/>
                <w:sz w:val="20"/>
                <w:lang w:eastAsia="it-IT"/>
              </w:rPr>
              <w:t>Назва установи, організації, підприємства</w:t>
            </w:r>
          </w:p>
        </w:tc>
        <w:tc>
          <w:tcPr>
            <w:tcW w:w="6795" w:type="dxa"/>
            <w:gridSpan w:val="5"/>
            <w:vAlign w:val="center"/>
          </w:tcPr>
          <w:p w14:paraId="12FF4ABB" w14:textId="77777777" w:rsidR="009F618C" w:rsidRPr="00D911C9" w:rsidRDefault="009F618C" w:rsidP="00D911C9">
            <w:pPr>
              <w:spacing w:before="40" w:after="40"/>
              <w:rPr>
                <w:rFonts w:cs="Arial"/>
                <w:sz w:val="20"/>
                <w:szCs w:val="20"/>
                <w:lang w:eastAsia="it-IT"/>
              </w:rPr>
            </w:pPr>
            <w:r w:rsidRPr="00D911C9">
              <w:rPr>
                <w:rFonts w:cs="Arial"/>
                <w:sz w:val="20"/>
                <w:szCs w:val="20"/>
                <w:lang w:eastAsia="it-IT"/>
              </w:rPr>
              <w:t>КЗ «Музей історії села Кармалюкове»</w:t>
            </w:r>
          </w:p>
        </w:tc>
      </w:tr>
      <w:tr w:rsidR="009F618C" w:rsidRPr="00C2587D" w14:paraId="6DDD5C1D" w14:textId="77777777" w:rsidTr="00D911C9">
        <w:trPr>
          <w:jc w:val="right"/>
        </w:trPr>
        <w:tc>
          <w:tcPr>
            <w:tcW w:w="3424" w:type="dxa"/>
          </w:tcPr>
          <w:p w14:paraId="21F49457" w14:textId="77777777" w:rsidR="009F618C" w:rsidRPr="00C2587D" w:rsidRDefault="009F618C" w:rsidP="00FD75D9">
            <w:pPr>
              <w:spacing w:before="40" w:after="40"/>
              <w:rPr>
                <w:rFonts w:cs="Arial"/>
                <w:b/>
                <w:bCs/>
              </w:rPr>
            </w:pPr>
            <w:r w:rsidRPr="00C2587D">
              <w:rPr>
                <w:rFonts w:cs="Arial"/>
                <w:sz w:val="20"/>
                <w:lang w:eastAsia="it-IT"/>
              </w:rPr>
              <w:t>Прізвище Ім’я По-батькові:</w:t>
            </w:r>
          </w:p>
        </w:tc>
        <w:tc>
          <w:tcPr>
            <w:tcW w:w="6795" w:type="dxa"/>
            <w:gridSpan w:val="5"/>
          </w:tcPr>
          <w:p w14:paraId="3EEB8F18" w14:textId="77777777" w:rsidR="009F618C" w:rsidRPr="00D911C9" w:rsidRDefault="009F618C" w:rsidP="00FD75D9">
            <w:pPr>
              <w:spacing w:before="40" w:after="40"/>
              <w:rPr>
                <w:rFonts w:cs="Arial"/>
                <w:sz w:val="20"/>
                <w:szCs w:val="20"/>
                <w:lang w:eastAsia="it-IT"/>
              </w:rPr>
            </w:pPr>
            <w:r w:rsidRPr="00D911C9">
              <w:rPr>
                <w:rFonts w:cs="Arial"/>
                <w:sz w:val="20"/>
                <w:szCs w:val="20"/>
                <w:lang w:eastAsia="it-IT"/>
              </w:rPr>
              <w:t>Крайнік Людмила Василівна</w:t>
            </w:r>
          </w:p>
        </w:tc>
      </w:tr>
      <w:tr w:rsidR="009F618C" w:rsidRPr="00C2587D" w14:paraId="3C2575D8" w14:textId="77777777" w:rsidTr="00D911C9">
        <w:trPr>
          <w:jc w:val="right"/>
        </w:trPr>
        <w:tc>
          <w:tcPr>
            <w:tcW w:w="3424" w:type="dxa"/>
          </w:tcPr>
          <w:p w14:paraId="6023C0EA" w14:textId="77777777" w:rsidR="009F618C" w:rsidRPr="00C2587D" w:rsidRDefault="009F618C" w:rsidP="00FD75D9">
            <w:pPr>
              <w:spacing w:before="40" w:after="40"/>
              <w:rPr>
                <w:rFonts w:cs="Arial"/>
                <w:b/>
                <w:bCs/>
              </w:rPr>
            </w:pPr>
            <w:r w:rsidRPr="00C2587D">
              <w:rPr>
                <w:rFonts w:cs="Arial"/>
                <w:sz w:val="20"/>
                <w:lang w:eastAsia="it-IT"/>
              </w:rPr>
              <w:t>Телефон (мобільний):</w:t>
            </w:r>
          </w:p>
        </w:tc>
        <w:tc>
          <w:tcPr>
            <w:tcW w:w="6795" w:type="dxa"/>
            <w:gridSpan w:val="5"/>
          </w:tcPr>
          <w:p w14:paraId="56ACBEED" w14:textId="77777777" w:rsidR="009F618C" w:rsidRPr="00D911C9" w:rsidRDefault="009F618C" w:rsidP="00FD75D9">
            <w:pPr>
              <w:spacing w:before="40" w:after="40"/>
              <w:rPr>
                <w:rFonts w:cs="Arial"/>
                <w:sz w:val="20"/>
                <w:szCs w:val="20"/>
                <w:lang w:eastAsia="it-IT"/>
              </w:rPr>
            </w:pPr>
            <w:r w:rsidRPr="00D911C9">
              <w:rPr>
                <w:rFonts w:cs="Arial"/>
                <w:sz w:val="20"/>
                <w:szCs w:val="20"/>
                <w:lang w:eastAsia="it-IT"/>
              </w:rPr>
              <w:t>0680518577</w:t>
            </w:r>
          </w:p>
        </w:tc>
      </w:tr>
      <w:tr w:rsidR="009F618C" w:rsidRPr="00C2587D" w14:paraId="6C0A8FBF" w14:textId="77777777" w:rsidTr="00D911C9">
        <w:trPr>
          <w:jc w:val="right"/>
        </w:trPr>
        <w:tc>
          <w:tcPr>
            <w:tcW w:w="3424" w:type="dxa"/>
          </w:tcPr>
          <w:p w14:paraId="0426C0F4" w14:textId="77777777" w:rsidR="009F618C" w:rsidRPr="00C2587D" w:rsidRDefault="009F618C" w:rsidP="00FD75D9">
            <w:pPr>
              <w:spacing w:before="40" w:after="40"/>
              <w:rPr>
                <w:rFonts w:cs="Arial"/>
                <w:b/>
                <w:bCs/>
              </w:rPr>
            </w:pPr>
            <w:r w:rsidRPr="00C2587D">
              <w:rPr>
                <w:rFonts w:cs="Arial"/>
                <w:sz w:val="20"/>
                <w:lang w:eastAsia="it-IT"/>
              </w:rPr>
              <w:t>Електронна адреса:</w:t>
            </w:r>
          </w:p>
        </w:tc>
        <w:tc>
          <w:tcPr>
            <w:tcW w:w="6795" w:type="dxa"/>
            <w:gridSpan w:val="5"/>
          </w:tcPr>
          <w:p w14:paraId="5DC5102E" w14:textId="23B4ED3E" w:rsidR="009F618C" w:rsidRPr="00D911C9" w:rsidRDefault="00D85FFD" w:rsidP="00FD75D9">
            <w:pPr>
              <w:spacing w:before="40" w:after="40"/>
              <w:rPr>
                <w:rFonts w:cs="Arial"/>
                <w:sz w:val="20"/>
                <w:szCs w:val="20"/>
                <w:lang w:eastAsia="it-IT"/>
              </w:rPr>
            </w:pPr>
            <w:hyperlink r:id="rId42" w:history="1">
              <w:r w:rsidR="00D911C9" w:rsidRPr="000A0B5C">
                <w:rPr>
                  <w:rStyle w:val="af0"/>
                  <w:rFonts w:cs="Arial"/>
                  <w:noProof w:val="0"/>
                  <w:lang w:eastAsia="it-IT"/>
                </w:rPr>
                <w:t>muzeukarmaluka@ukr.net</w:t>
              </w:r>
            </w:hyperlink>
            <w:r w:rsidR="00D911C9">
              <w:rPr>
                <w:rFonts w:cs="Arial"/>
                <w:sz w:val="20"/>
                <w:szCs w:val="20"/>
                <w:lang w:eastAsia="it-IT"/>
              </w:rPr>
              <w:t xml:space="preserve"> </w:t>
            </w:r>
          </w:p>
        </w:tc>
      </w:tr>
      <w:tr w:rsidR="009F618C" w:rsidRPr="00C2587D" w14:paraId="4FED9236" w14:textId="77777777" w:rsidTr="00D911C9">
        <w:trPr>
          <w:jc w:val="right"/>
        </w:trPr>
        <w:tc>
          <w:tcPr>
            <w:tcW w:w="3424" w:type="dxa"/>
            <w:vAlign w:val="center"/>
          </w:tcPr>
          <w:p w14:paraId="6C3986D3" w14:textId="77777777" w:rsidR="009F618C" w:rsidRPr="00C2587D" w:rsidRDefault="009F618C" w:rsidP="00FD75D9">
            <w:pPr>
              <w:outlineLvl w:val="5"/>
              <w:rPr>
                <w:rFonts w:cs="Arial"/>
                <w:b/>
                <w:bCs/>
                <w:color w:val="000000"/>
              </w:rPr>
            </w:pPr>
            <w:r w:rsidRPr="00C2587D">
              <w:rPr>
                <w:rFonts w:cs="Arial"/>
                <w:b/>
                <w:bCs/>
                <w:color w:val="000000"/>
              </w:rPr>
              <w:t>Номер і назва завдання з Стратегії</w:t>
            </w:r>
            <w:r w:rsidRPr="00C2587D">
              <w:rPr>
                <w:rFonts w:cs="Arial"/>
                <w:b/>
                <w:bCs/>
                <w:sz w:val="16"/>
                <w:szCs w:val="16"/>
                <w:lang w:eastAsia="it-IT"/>
              </w:rPr>
              <w:t xml:space="preserve"> </w:t>
            </w:r>
            <w:r w:rsidRPr="00C2587D">
              <w:rPr>
                <w:rFonts w:cs="Arial"/>
                <w:b/>
                <w:bCs/>
                <w:color w:val="000000"/>
              </w:rPr>
              <w:t>розвитку Жмеринської міської територіальної громади,  якому відповідає проєкт:</w:t>
            </w:r>
          </w:p>
        </w:tc>
        <w:tc>
          <w:tcPr>
            <w:tcW w:w="6795" w:type="dxa"/>
            <w:gridSpan w:val="5"/>
          </w:tcPr>
          <w:p w14:paraId="75F630FA" w14:textId="77777777" w:rsidR="009F618C" w:rsidRPr="00D911C9" w:rsidRDefault="009F618C" w:rsidP="00DD6DC0">
            <w:pPr>
              <w:pBdr>
                <w:left w:val="single" w:sz="18" w:space="4" w:color="auto"/>
              </w:pBdr>
              <w:spacing w:before="40" w:after="40"/>
              <w:jc w:val="both"/>
              <w:rPr>
                <w:rFonts w:cs="Arial"/>
                <w:sz w:val="20"/>
                <w:szCs w:val="20"/>
                <w:lang w:eastAsia="it-IT"/>
              </w:rPr>
            </w:pPr>
            <w:r w:rsidRPr="00D911C9">
              <w:rPr>
                <w:rFonts w:cs="Arial"/>
                <w:sz w:val="20"/>
                <w:szCs w:val="20"/>
                <w:lang w:eastAsia="it-IT"/>
              </w:rPr>
              <w:t>А 5. Регіональний туристичний, культурно-історичний центр</w:t>
            </w:r>
          </w:p>
          <w:p w14:paraId="00C1EF6B" w14:textId="77777777" w:rsidR="009F618C" w:rsidRPr="00D911C9" w:rsidRDefault="009F618C" w:rsidP="00DD6DC0">
            <w:pPr>
              <w:pBdr>
                <w:left w:val="single" w:sz="18" w:space="4" w:color="auto"/>
              </w:pBdr>
              <w:spacing w:before="40" w:after="40"/>
              <w:jc w:val="both"/>
              <w:rPr>
                <w:rFonts w:cs="Arial"/>
                <w:i/>
                <w:sz w:val="20"/>
                <w:szCs w:val="20"/>
                <w:lang w:eastAsia="it-IT"/>
              </w:rPr>
            </w:pPr>
            <w:r w:rsidRPr="00D911C9">
              <w:rPr>
                <w:rFonts w:cs="Arial"/>
                <w:i/>
                <w:sz w:val="20"/>
                <w:szCs w:val="20"/>
                <w:lang w:eastAsia="it-IT"/>
              </w:rPr>
              <w:t>А 5.1</w:t>
            </w:r>
            <w:r w:rsidRPr="00D911C9">
              <w:rPr>
                <w:rFonts w:cs="Arial"/>
                <w:bCs/>
                <w:i/>
                <w:sz w:val="20"/>
                <w:szCs w:val="20"/>
                <w:lang w:eastAsia="it-IT"/>
              </w:rPr>
              <w:t>. Маркетингова діяльність у сфері туризму та створення конкурентних туристичних продуктів та маршрутів</w:t>
            </w:r>
          </w:p>
          <w:p w14:paraId="2B0A9472" w14:textId="77777777" w:rsidR="009F618C" w:rsidRPr="00D911C9" w:rsidRDefault="009F618C" w:rsidP="00DD6DC0">
            <w:pPr>
              <w:pBdr>
                <w:left w:val="single" w:sz="18" w:space="4" w:color="auto"/>
              </w:pBdr>
              <w:spacing w:before="40" w:after="40"/>
              <w:jc w:val="both"/>
              <w:rPr>
                <w:rFonts w:cs="Arial"/>
                <w:sz w:val="20"/>
                <w:szCs w:val="20"/>
                <w:lang w:eastAsia="it-IT"/>
              </w:rPr>
            </w:pPr>
            <w:r w:rsidRPr="00D911C9">
              <w:rPr>
                <w:rFonts w:cs="Arial"/>
                <w:bCs/>
                <w:i/>
                <w:sz w:val="20"/>
                <w:szCs w:val="20"/>
                <w:lang w:eastAsia="it-IT"/>
              </w:rPr>
              <w:t>А 5.2. Розвиток туристичної інфраструктури, брендинг та промоція.</w:t>
            </w:r>
          </w:p>
        </w:tc>
      </w:tr>
      <w:tr w:rsidR="009F618C" w:rsidRPr="00C2587D" w14:paraId="5533489A" w14:textId="77777777" w:rsidTr="00D911C9">
        <w:trPr>
          <w:jc w:val="right"/>
        </w:trPr>
        <w:tc>
          <w:tcPr>
            <w:tcW w:w="3424" w:type="dxa"/>
            <w:vAlign w:val="center"/>
          </w:tcPr>
          <w:p w14:paraId="680EFAD1" w14:textId="77777777" w:rsidR="009F618C" w:rsidRPr="00C2587D" w:rsidRDefault="009F618C" w:rsidP="00FD75D9">
            <w:pPr>
              <w:rPr>
                <w:rFonts w:cs="Arial"/>
                <w:b/>
                <w:bCs/>
                <w:color w:val="000000"/>
              </w:rPr>
            </w:pPr>
            <w:r w:rsidRPr="00C2587D">
              <w:rPr>
                <w:rFonts w:cs="Arial"/>
                <w:b/>
                <w:bCs/>
                <w:color w:val="000000"/>
              </w:rPr>
              <w:t>Мета проєкту:</w:t>
            </w:r>
          </w:p>
        </w:tc>
        <w:tc>
          <w:tcPr>
            <w:tcW w:w="6795" w:type="dxa"/>
            <w:gridSpan w:val="5"/>
          </w:tcPr>
          <w:p w14:paraId="21B91A51" w14:textId="77777777" w:rsidR="009F618C" w:rsidRPr="00D911C9" w:rsidRDefault="009F618C" w:rsidP="00DD6DC0">
            <w:pPr>
              <w:spacing w:before="40" w:after="40"/>
              <w:jc w:val="both"/>
              <w:rPr>
                <w:rFonts w:cs="Arial"/>
                <w:sz w:val="20"/>
                <w:szCs w:val="20"/>
                <w:lang w:eastAsia="it-IT"/>
              </w:rPr>
            </w:pPr>
            <w:r w:rsidRPr="00D911C9">
              <w:rPr>
                <w:rFonts w:cs="Arial"/>
                <w:sz w:val="20"/>
                <w:szCs w:val="20"/>
                <w:lang w:eastAsia="it-IT"/>
              </w:rPr>
              <w:t>Відновити, зберегти та популяризувати культурно-історичну спадщину Устима Кармелюка в селі Кармалюкове шляхом створення туристично-пізнавального маршруту, що поєднує історію, природу та сучасну інфраструктуру, і тим самим посилити туристичну привабливість регіону, активізувати громаду та зміцнити національну пам’ять.</w:t>
            </w:r>
          </w:p>
        </w:tc>
      </w:tr>
      <w:tr w:rsidR="009F618C" w:rsidRPr="00C2587D" w14:paraId="30C3B622" w14:textId="77777777" w:rsidTr="00D911C9">
        <w:trPr>
          <w:jc w:val="right"/>
        </w:trPr>
        <w:tc>
          <w:tcPr>
            <w:tcW w:w="3424" w:type="dxa"/>
            <w:vAlign w:val="center"/>
          </w:tcPr>
          <w:p w14:paraId="2B75181C" w14:textId="77777777" w:rsidR="009F618C" w:rsidRPr="00C2587D" w:rsidRDefault="009F618C" w:rsidP="00FD75D9">
            <w:pPr>
              <w:rPr>
                <w:rFonts w:cs="Arial"/>
                <w:b/>
                <w:bCs/>
                <w:color w:val="000000"/>
              </w:rPr>
            </w:pPr>
            <w:r w:rsidRPr="00C2587D">
              <w:rPr>
                <w:rFonts w:cs="Arial"/>
                <w:b/>
                <w:bCs/>
                <w:color w:val="000000"/>
              </w:rPr>
              <w:t>Цілі проєкту:</w:t>
            </w:r>
          </w:p>
        </w:tc>
        <w:tc>
          <w:tcPr>
            <w:tcW w:w="6795" w:type="dxa"/>
            <w:gridSpan w:val="5"/>
          </w:tcPr>
          <w:p w14:paraId="462AADAF" w14:textId="77777777" w:rsidR="009F618C" w:rsidRPr="00D911C9" w:rsidRDefault="009F618C" w:rsidP="00DD6DC0">
            <w:pPr>
              <w:spacing w:before="40" w:after="40"/>
              <w:jc w:val="both"/>
              <w:rPr>
                <w:rFonts w:cs="Arial"/>
                <w:sz w:val="20"/>
                <w:szCs w:val="20"/>
                <w:lang w:eastAsia="it-IT"/>
              </w:rPr>
            </w:pPr>
            <w:r w:rsidRPr="00D911C9">
              <w:rPr>
                <w:rFonts w:cs="Arial"/>
                <w:sz w:val="20"/>
                <w:szCs w:val="20"/>
                <w:lang w:eastAsia="it-IT"/>
              </w:rPr>
              <w:t>  Створити привабливий туристичний об’єкт місцевого та національного значення</w:t>
            </w:r>
          </w:p>
          <w:p w14:paraId="6E55DF4C" w14:textId="77777777" w:rsidR="009F618C" w:rsidRPr="00D911C9" w:rsidRDefault="009F618C" w:rsidP="00DD6DC0">
            <w:pPr>
              <w:spacing w:before="40" w:after="40"/>
              <w:jc w:val="both"/>
              <w:rPr>
                <w:rFonts w:cs="Arial"/>
                <w:sz w:val="20"/>
                <w:szCs w:val="20"/>
                <w:lang w:eastAsia="it-IT"/>
              </w:rPr>
            </w:pPr>
            <w:r w:rsidRPr="00D911C9">
              <w:rPr>
                <w:rFonts w:cs="Arial"/>
                <w:sz w:val="20"/>
                <w:szCs w:val="20"/>
                <w:lang w:eastAsia="it-IT"/>
              </w:rPr>
              <w:t>  Відновити матеріальні об'єкти культурної спадщини, пов'язані з Устимом Кармелюком</w:t>
            </w:r>
          </w:p>
          <w:p w14:paraId="6F6466CF" w14:textId="77777777" w:rsidR="009F618C" w:rsidRPr="00D911C9" w:rsidRDefault="009F618C" w:rsidP="00DD6DC0">
            <w:pPr>
              <w:spacing w:before="40" w:after="40"/>
              <w:jc w:val="both"/>
              <w:rPr>
                <w:rFonts w:cs="Arial"/>
                <w:sz w:val="20"/>
                <w:szCs w:val="20"/>
                <w:lang w:eastAsia="it-IT"/>
              </w:rPr>
            </w:pPr>
            <w:r w:rsidRPr="00D911C9">
              <w:rPr>
                <w:rFonts w:cs="Arial"/>
                <w:sz w:val="20"/>
                <w:szCs w:val="20"/>
                <w:lang w:eastAsia="it-IT"/>
              </w:rPr>
              <w:t>  Посилити історичну ідентичність молодого покоління</w:t>
            </w:r>
          </w:p>
          <w:p w14:paraId="79C90B4E" w14:textId="77777777" w:rsidR="009F618C" w:rsidRPr="00D911C9" w:rsidRDefault="009F618C" w:rsidP="00DD6DC0">
            <w:pPr>
              <w:spacing w:before="40" w:after="40"/>
              <w:jc w:val="both"/>
              <w:rPr>
                <w:rFonts w:cs="Arial"/>
                <w:sz w:val="20"/>
                <w:szCs w:val="20"/>
                <w:lang w:eastAsia="it-IT"/>
              </w:rPr>
            </w:pPr>
            <w:r w:rsidRPr="00D911C9">
              <w:rPr>
                <w:rFonts w:cs="Arial"/>
                <w:sz w:val="20"/>
                <w:szCs w:val="20"/>
                <w:lang w:eastAsia="it-IT"/>
              </w:rPr>
              <w:t>  Пожвавити економічне та культурне життя громади через розвиток туризму</w:t>
            </w:r>
          </w:p>
        </w:tc>
      </w:tr>
      <w:tr w:rsidR="009F618C" w:rsidRPr="00C2587D" w14:paraId="62637507" w14:textId="77777777" w:rsidTr="00D911C9">
        <w:trPr>
          <w:jc w:val="right"/>
        </w:trPr>
        <w:tc>
          <w:tcPr>
            <w:tcW w:w="3424" w:type="dxa"/>
            <w:vAlign w:val="center"/>
          </w:tcPr>
          <w:p w14:paraId="5F2F077F" w14:textId="77777777" w:rsidR="009F618C" w:rsidRPr="00C2587D" w:rsidRDefault="009F618C" w:rsidP="00FD75D9">
            <w:pPr>
              <w:autoSpaceDE w:val="0"/>
              <w:autoSpaceDN w:val="0"/>
              <w:adjustRightInd w:val="0"/>
              <w:rPr>
                <w:rFonts w:cs="Arial"/>
                <w:b/>
                <w:color w:val="000000"/>
              </w:rPr>
            </w:pPr>
            <w:r w:rsidRPr="00C2587D">
              <w:rPr>
                <w:rFonts w:cs="Arial"/>
                <w:b/>
                <w:color w:val="000000"/>
              </w:rPr>
              <w:t>Територія на яку проєкт матиме вплив:</w:t>
            </w:r>
          </w:p>
        </w:tc>
        <w:tc>
          <w:tcPr>
            <w:tcW w:w="6795" w:type="dxa"/>
            <w:gridSpan w:val="5"/>
          </w:tcPr>
          <w:p w14:paraId="2A3F887A" w14:textId="77777777" w:rsidR="009F618C" w:rsidRPr="00D911C9" w:rsidRDefault="009F618C" w:rsidP="00DD6DC0">
            <w:pPr>
              <w:spacing w:before="40" w:after="40"/>
              <w:jc w:val="both"/>
              <w:rPr>
                <w:rFonts w:cs="Arial"/>
                <w:sz w:val="20"/>
                <w:szCs w:val="20"/>
                <w:lang w:eastAsia="it-IT"/>
              </w:rPr>
            </w:pPr>
            <w:r w:rsidRPr="00D911C9">
              <w:rPr>
                <w:rFonts w:cs="Arial"/>
                <w:sz w:val="20"/>
                <w:szCs w:val="20"/>
                <w:lang w:eastAsia="it-IT"/>
              </w:rPr>
              <w:t>Село Кармалюкове, Жмеринська міська територіальна громада, туристи з усієї України</w:t>
            </w:r>
          </w:p>
        </w:tc>
      </w:tr>
      <w:tr w:rsidR="009F618C" w:rsidRPr="00C2587D" w14:paraId="62CAFE79" w14:textId="77777777" w:rsidTr="00D911C9">
        <w:trPr>
          <w:jc w:val="right"/>
        </w:trPr>
        <w:tc>
          <w:tcPr>
            <w:tcW w:w="3424" w:type="dxa"/>
            <w:vAlign w:val="center"/>
          </w:tcPr>
          <w:p w14:paraId="1C8D7D0A" w14:textId="77777777" w:rsidR="009F618C" w:rsidRPr="00C2587D" w:rsidRDefault="009F618C" w:rsidP="00FD75D9">
            <w:pPr>
              <w:autoSpaceDE w:val="0"/>
              <w:autoSpaceDN w:val="0"/>
              <w:adjustRightInd w:val="0"/>
              <w:rPr>
                <w:rFonts w:cs="Arial"/>
                <w:b/>
                <w:color w:val="000000"/>
              </w:rPr>
            </w:pPr>
            <w:r w:rsidRPr="00C2587D">
              <w:rPr>
                <w:rFonts w:cs="Arial"/>
                <w:b/>
                <w:color w:val="000000"/>
              </w:rPr>
              <w:t>Цільові групи проєкту та кількість отримувачів вигоди</w:t>
            </w:r>
          </w:p>
        </w:tc>
        <w:tc>
          <w:tcPr>
            <w:tcW w:w="6795" w:type="dxa"/>
            <w:gridSpan w:val="5"/>
          </w:tcPr>
          <w:p w14:paraId="7B02A6E5" w14:textId="77777777" w:rsidR="009F618C" w:rsidRPr="00D911C9" w:rsidRDefault="009F618C" w:rsidP="00DD6DC0">
            <w:pPr>
              <w:spacing w:before="40" w:after="40"/>
              <w:jc w:val="both"/>
              <w:rPr>
                <w:rFonts w:cs="Arial"/>
                <w:sz w:val="20"/>
                <w:szCs w:val="20"/>
                <w:lang w:eastAsia="it-IT"/>
              </w:rPr>
            </w:pPr>
            <w:r w:rsidRPr="00D911C9">
              <w:rPr>
                <w:rFonts w:cs="Arial"/>
                <w:sz w:val="20"/>
                <w:szCs w:val="20"/>
                <w:lang w:eastAsia="it-IT"/>
              </w:rPr>
              <w:t>  Мешканці села Кармалюкове (41 особа)</w:t>
            </w:r>
          </w:p>
          <w:p w14:paraId="2FC99D39" w14:textId="77777777" w:rsidR="009F618C" w:rsidRPr="00D911C9" w:rsidRDefault="009F618C" w:rsidP="00DD6DC0">
            <w:pPr>
              <w:spacing w:before="40" w:after="40"/>
              <w:jc w:val="both"/>
              <w:rPr>
                <w:rFonts w:cs="Arial"/>
                <w:sz w:val="20"/>
                <w:szCs w:val="20"/>
                <w:lang w:eastAsia="it-IT"/>
              </w:rPr>
            </w:pPr>
            <w:r w:rsidRPr="00D911C9">
              <w:rPr>
                <w:rFonts w:cs="Arial"/>
                <w:sz w:val="20"/>
                <w:szCs w:val="20"/>
                <w:lang w:eastAsia="it-IT"/>
              </w:rPr>
              <w:t>  Мешканці Жмеринської громади</w:t>
            </w:r>
          </w:p>
          <w:p w14:paraId="64A15B43" w14:textId="77777777" w:rsidR="009F618C" w:rsidRPr="00D911C9" w:rsidRDefault="009F618C" w:rsidP="00DD6DC0">
            <w:pPr>
              <w:spacing w:before="40" w:after="40"/>
              <w:jc w:val="both"/>
              <w:rPr>
                <w:rFonts w:cs="Arial"/>
                <w:sz w:val="20"/>
                <w:szCs w:val="20"/>
                <w:lang w:eastAsia="it-IT"/>
              </w:rPr>
            </w:pPr>
            <w:r w:rsidRPr="00D911C9">
              <w:rPr>
                <w:rFonts w:cs="Arial"/>
                <w:sz w:val="20"/>
                <w:szCs w:val="20"/>
                <w:lang w:eastAsia="it-IT"/>
              </w:rPr>
              <w:t>  Молодь, краєзнавці, школярі, студенти, туристи — понад 3000 відвідувачів на рік</w:t>
            </w:r>
          </w:p>
          <w:p w14:paraId="1D370517" w14:textId="77777777" w:rsidR="009F618C" w:rsidRPr="00D911C9" w:rsidRDefault="009F618C" w:rsidP="00DD6DC0">
            <w:pPr>
              <w:spacing w:before="40" w:after="40"/>
              <w:jc w:val="both"/>
              <w:rPr>
                <w:rFonts w:cs="Arial"/>
                <w:sz w:val="20"/>
                <w:szCs w:val="20"/>
                <w:lang w:eastAsia="it-IT"/>
              </w:rPr>
            </w:pPr>
            <w:r w:rsidRPr="00D911C9">
              <w:rPr>
                <w:rFonts w:cs="Arial"/>
                <w:sz w:val="20"/>
                <w:szCs w:val="20"/>
                <w:lang w:eastAsia="it-IT"/>
              </w:rPr>
              <w:t>  Представники локального бізнесу, які отримають прибуток від розвитку туризму</w:t>
            </w:r>
          </w:p>
        </w:tc>
      </w:tr>
      <w:tr w:rsidR="009F618C" w:rsidRPr="00C2587D" w14:paraId="12F16A72" w14:textId="77777777" w:rsidTr="00D911C9">
        <w:trPr>
          <w:jc w:val="right"/>
        </w:trPr>
        <w:tc>
          <w:tcPr>
            <w:tcW w:w="3424" w:type="dxa"/>
            <w:shd w:val="clear" w:color="auto" w:fill="FFFFFF"/>
            <w:vAlign w:val="center"/>
          </w:tcPr>
          <w:p w14:paraId="20914DDD" w14:textId="77777777" w:rsidR="009F618C" w:rsidRPr="00C2587D" w:rsidRDefault="009F618C" w:rsidP="00FD75D9">
            <w:pPr>
              <w:rPr>
                <w:rFonts w:cs="Arial"/>
                <w:b/>
                <w:bCs/>
                <w:color w:val="000000"/>
              </w:rPr>
            </w:pPr>
            <w:r w:rsidRPr="00C2587D">
              <w:rPr>
                <w:rFonts w:cs="Arial"/>
                <w:b/>
                <w:bCs/>
                <w:color w:val="000000"/>
              </w:rPr>
              <w:t>Стислий опис проєкту:</w:t>
            </w:r>
          </w:p>
        </w:tc>
        <w:tc>
          <w:tcPr>
            <w:tcW w:w="6795" w:type="dxa"/>
            <w:gridSpan w:val="5"/>
          </w:tcPr>
          <w:p w14:paraId="0164CBF7" w14:textId="77777777" w:rsidR="009F618C" w:rsidRPr="00D911C9" w:rsidRDefault="009F618C" w:rsidP="00DD6DC0">
            <w:pPr>
              <w:spacing w:before="40" w:after="40"/>
              <w:jc w:val="both"/>
              <w:rPr>
                <w:rFonts w:cs="Arial"/>
                <w:sz w:val="20"/>
                <w:szCs w:val="20"/>
                <w:lang w:eastAsia="it-IT"/>
              </w:rPr>
            </w:pPr>
            <w:r w:rsidRPr="00D911C9">
              <w:rPr>
                <w:rFonts w:cs="Arial"/>
                <w:sz w:val="20"/>
                <w:szCs w:val="20"/>
                <w:lang w:eastAsia="it-IT"/>
              </w:rPr>
              <w:t>Проєкт передбачає відновлення історичного ландшафту села Кармалюкове, батьківщини Устима Кармелюка — народного героя та символу боротьби за справедливість. Планується реставрація пам’ятника, облаштування скверу з тематичними доріжками, ремонт музею, прокладання туристичних маршрутів до печери Кармелюка, створення візуального образу проєкту (3D-модель, друкована продукція), та проведення фестивалю відкриття. Проєкт має об’єднати громаду, активізувати молодь та популяризувати унікальну історичну спадщину села.</w:t>
            </w:r>
          </w:p>
        </w:tc>
      </w:tr>
      <w:tr w:rsidR="009F618C" w:rsidRPr="00C2587D" w14:paraId="4ED4FBC1" w14:textId="77777777" w:rsidTr="00D911C9">
        <w:trPr>
          <w:jc w:val="right"/>
        </w:trPr>
        <w:tc>
          <w:tcPr>
            <w:tcW w:w="3424" w:type="dxa"/>
            <w:shd w:val="clear" w:color="auto" w:fill="FFFFFF"/>
            <w:vAlign w:val="center"/>
          </w:tcPr>
          <w:p w14:paraId="528D553B" w14:textId="77777777" w:rsidR="009F618C" w:rsidRPr="00C2587D" w:rsidRDefault="009F618C" w:rsidP="00FD75D9">
            <w:pPr>
              <w:rPr>
                <w:rFonts w:cs="Arial"/>
                <w:b/>
                <w:bCs/>
                <w:color w:val="000000"/>
              </w:rPr>
            </w:pPr>
            <w:r w:rsidRPr="00C2587D">
              <w:rPr>
                <w:rFonts w:cs="Arial"/>
                <w:b/>
                <w:bCs/>
                <w:color w:val="000000"/>
              </w:rPr>
              <w:t>Основні заходи проєкту:</w:t>
            </w:r>
          </w:p>
        </w:tc>
        <w:tc>
          <w:tcPr>
            <w:tcW w:w="6795" w:type="dxa"/>
            <w:gridSpan w:val="5"/>
          </w:tcPr>
          <w:p w14:paraId="130B9828" w14:textId="77777777" w:rsidR="009F618C" w:rsidRPr="00D911C9" w:rsidRDefault="009F618C" w:rsidP="00DD6DC0">
            <w:pPr>
              <w:spacing w:before="40" w:after="40"/>
              <w:jc w:val="both"/>
              <w:rPr>
                <w:rFonts w:cs="Arial"/>
                <w:sz w:val="20"/>
                <w:szCs w:val="20"/>
                <w:lang w:eastAsia="it-IT"/>
              </w:rPr>
            </w:pPr>
            <w:r w:rsidRPr="00D911C9">
              <w:rPr>
                <w:rFonts w:cs="Arial"/>
                <w:sz w:val="20"/>
                <w:szCs w:val="20"/>
                <w:lang w:eastAsia="it-IT"/>
              </w:rPr>
              <w:t>  Реставрація пам’ятника Устиму Кармелюку</w:t>
            </w:r>
          </w:p>
          <w:p w14:paraId="3ED8FEEA" w14:textId="77777777" w:rsidR="009F618C" w:rsidRPr="00D911C9" w:rsidRDefault="009F618C" w:rsidP="00DD6DC0">
            <w:pPr>
              <w:spacing w:before="40" w:after="40"/>
              <w:jc w:val="both"/>
              <w:rPr>
                <w:rFonts w:cs="Arial"/>
                <w:sz w:val="20"/>
                <w:szCs w:val="20"/>
                <w:lang w:eastAsia="it-IT"/>
              </w:rPr>
            </w:pPr>
            <w:r w:rsidRPr="00D911C9">
              <w:rPr>
                <w:rFonts w:cs="Arial"/>
                <w:sz w:val="20"/>
                <w:szCs w:val="20"/>
                <w:lang w:eastAsia="it-IT"/>
              </w:rPr>
              <w:t>  Створення скверу з доріжками у формі козацького хреста, лавками, зеленими насадженнями, стендами</w:t>
            </w:r>
          </w:p>
          <w:p w14:paraId="25B81C52" w14:textId="77777777" w:rsidR="009F618C" w:rsidRPr="00D911C9" w:rsidRDefault="009F618C" w:rsidP="00DD6DC0">
            <w:pPr>
              <w:spacing w:before="40" w:after="40"/>
              <w:jc w:val="both"/>
              <w:rPr>
                <w:rFonts w:cs="Arial"/>
                <w:sz w:val="20"/>
                <w:szCs w:val="20"/>
                <w:lang w:eastAsia="it-IT"/>
              </w:rPr>
            </w:pPr>
            <w:r w:rsidRPr="00D911C9">
              <w:rPr>
                <w:rFonts w:cs="Arial"/>
                <w:sz w:val="20"/>
                <w:szCs w:val="20"/>
                <w:lang w:eastAsia="it-IT"/>
              </w:rPr>
              <w:t>  Капітальний ремонт музею та оновлення експозиції</w:t>
            </w:r>
          </w:p>
          <w:p w14:paraId="232329F1" w14:textId="77777777" w:rsidR="009F618C" w:rsidRPr="00D911C9" w:rsidRDefault="009F618C" w:rsidP="00DD6DC0">
            <w:pPr>
              <w:spacing w:before="40" w:after="40"/>
              <w:jc w:val="both"/>
              <w:rPr>
                <w:rFonts w:cs="Arial"/>
                <w:sz w:val="20"/>
                <w:szCs w:val="20"/>
                <w:lang w:eastAsia="it-IT"/>
              </w:rPr>
            </w:pPr>
            <w:r w:rsidRPr="00D911C9">
              <w:rPr>
                <w:rFonts w:cs="Arial"/>
                <w:sz w:val="20"/>
                <w:szCs w:val="20"/>
                <w:lang w:eastAsia="it-IT"/>
              </w:rPr>
              <w:t>  Прокладання туристичної стежки лісом до печери Кармелюка з вказівниками та інформаційними табличками</w:t>
            </w:r>
          </w:p>
          <w:p w14:paraId="170CC637" w14:textId="77777777" w:rsidR="009F618C" w:rsidRPr="00D911C9" w:rsidRDefault="009F618C" w:rsidP="00DD6DC0">
            <w:pPr>
              <w:spacing w:before="40" w:after="40"/>
              <w:jc w:val="both"/>
              <w:rPr>
                <w:rFonts w:cs="Arial"/>
                <w:sz w:val="20"/>
                <w:szCs w:val="20"/>
                <w:lang w:eastAsia="it-IT"/>
              </w:rPr>
            </w:pPr>
            <w:r w:rsidRPr="00D911C9">
              <w:rPr>
                <w:rFonts w:cs="Arial"/>
                <w:sz w:val="20"/>
                <w:szCs w:val="20"/>
                <w:lang w:eastAsia="it-IT"/>
              </w:rPr>
              <w:t>  Створення 3D-моделі скверу, друк буклетів</w:t>
            </w:r>
          </w:p>
          <w:p w14:paraId="601CE047" w14:textId="77777777" w:rsidR="009F618C" w:rsidRPr="00D911C9" w:rsidRDefault="009F618C" w:rsidP="00DD6DC0">
            <w:pPr>
              <w:spacing w:before="40" w:after="40"/>
              <w:jc w:val="both"/>
              <w:rPr>
                <w:rFonts w:cs="Arial"/>
                <w:sz w:val="20"/>
                <w:szCs w:val="20"/>
                <w:lang w:eastAsia="it-IT"/>
              </w:rPr>
            </w:pPr>
            <w:r w:rsidRPr="00D911C9">
              <w:rPr>
                <w:rFonts w:cs="Arial"/>
                <w:sz w:val="20"/>
                <w:szCs w:val="20"/>
                <w:lang w:eastAsia="it-IT"/>
              </w:rPr>
              <w:t>  Проведення відкриття маршруту у формі свята-фестивалю з екскурсіями</w:t>
            </w:r>
          </w:p>
        </w:tc>
      </w:tr>
      <w:tr w:rsidR="009F618C" w:rsidRPr="00C2587D" w14:paraId="3524BCC0" w14:textId="77777777" w:rsidTr="00D911C9">
        <w:trPr>
          <w:jc w:val="right"/>
        </w:trPr>
        <w:tc>
          <w:tcPr>
            <w:tcW w:w="3424" w:type="dxa"/>
            <w:shd w:val="clear" w:color="auto" w:fill="FFFFFF"/>
            <w:vAlign w:val="center"/>
          </w:tcPr>
          <w:p w14:paraId="5BCAED88" w14:textId="77777777" w:rsidR="009F618C" w:rsidRPr="00C2587D" w:rsidRDefault="009F618C" w:rsidP="00FD75D9">
            <w:pPr>
              <w:rPr>
                <w:rFonts w:cs="Arial"/>
                <w:b/>
                <w:bCs/>
                <w:color w:val="000000"/>
              </w:rPr>
            </w:pPr>
            <w:r w:rsidRPr="00C2587D">
              <w:rPr>
                <w:rFonts w:cs="Arial"/>
                <w:b/>
                <w:bCs/>
                <w:color w:val="000000"/>
              </w:rPr>
              <w:t>Індикатори (показники) результативності:</w:t>
            </w:r>
          </w:p>
        </w:tc>
        <w:tc>
          <w:tcPr>
            <w:tcW w:w="6795" w:type="dxa"/>
            <w:gridSpan w:val="5"/>
          </w:tcPr>
          <w:p w14:paraId="1307731E" w14:textId="77777777" w:rsidR="009F618C" w:rsidRPr="00D911C9" w:rsidRDefault="009F618C" w:rsidP="00FD75D9">
            <w:pPr>
              <w:spacing w:before="40" w:after="40"/>
              <w:rPr>
                <w:rFonts w:cs="Arial"/>
                <w:sz w:val="20"/>
                <w:szCs w:val="20"/>
                <w:lang w:eastAsia="it-IT"/>
              </w:rPr>
            </w:pPr>
            <w:r w:rsidRPr="00D911C9">
              <w:rPr>
                <w:rFonts w:cs="Arial"/>
                <w:sz w:val="20"/>
                <w:szCs w:val="20"/>
                <w:lang w:eastAsia="it-IT"/>
              </w:rPr>
              <w:t>  Відновлено пам’ятник – 1</w:t>
            </w:r>
          </w:p>
          <w:p w14:paraId="1FD81147" w14:textId="77777777" w:rsidR="009F618C" w:rsidRPr="00D911C9" w:rsidRDefault="009F618C" w:rsidP="00FD75D9">
            <w:pPr>
              <w:spacing w:before="40" w:after="40"/>
              <w:rPr>
                <w:rFonts w:cs="Arial"/>
                <w:sz w:val="20"/>
                <w:szCs w:val="20"/>
                <w:lang w:eastAsia="it-IT"/>
              </w:rPr>
            </w:pPr>
            <w:r w:rsidRPr="00D911C9">
              <w:rPr>
                <w:rFonts w:cs="Arial"/>
                <w:sz w:val="20"/>
                <w:szCs w:val="20"/>
                <w:lang w:eastAsia="it-IT"/>
              </w:rPr>
              <w:t>  Облаштовано сквер з елементами благоустрою – 1</w:t>
            </w:r>
          </w:p>
          <w:p w14:paraId="3F1BA04B" w14:textId="77777777" w:rsidR="009F618C" w:rsidRPr="00D911C9" w:rsidRDefault="009F618C" w:rsidP="00FD75D9">
            <w:pPr>
              <w:spacing w:before="40" w:after="40"/>
              <w:rPr>
                <w:rFonts w:cs="Arial"/>
                <w:sz w:val="20"/>
                <w:szCs w:val="20"/>
                <w:lang w:eastAsia="it-IT"/>
              </w:rPr>
            </w:pPr>
            <w:r w:rsidRPr="00D911C9">
              <w:rPr>
                <w:rFonts w:cs="Arial"/>
                <w:sz w:val="20"/>
                <w:szCs w:val="20"/>
                <w:lang w:eastAsia="it-IT"/>
              </w:rPr>
              <w:t>  Відремонтовано музей – 1, оновлено експозицію – повністю</w:t>
            </w:r>
          </w:p>
          <w:p w14:paraId="21E12C5F" w14:textId="77777777" w:rsidR="009F618C" w:rsidRPr="00D911C9" w:rsidRDefault="009F618C" w:rsidP="00FD75D9">
            <w:pPr>
              <w:spacing w:before="40" w:after="40"/>
              <w:rPr>
                <w:rFonts w:cs="Arial"/>
                <w:sz w:val="20"/>
                <w:szCs w:val="20"/>
                <w:lang w:eastAsia="it-IT"/>
              </w:rPr>
            </w:pPr>
            <w:r w:rsidRPr="00D911C9">
              <w:rPr>
                <w:rFonts w:cs="Arial"/>
                <w:sz w:val="20"/>
                <w:szCs w:val="20"/>
                <w:lang w:eastAsia="it-IT"/>
              </w:rPr>
              <w:t>  Прокладено туристичний маршрут до печери – 1</w:t>
            </w:r>
          </w:p>
          <w:p w14:paraId="56700B28" w14:textId="77777777" w:rsidR="009F618C" w:rsidRPr="00D911C9" w:rsidRDefault="009F618C" w:rsidP="00FD75D9">
            <w:pPr>
              <w:spacing w:before="40" w:after="40"/>
              <w:rPr>
                <w:rFonts w:cs="Arial"/>
                <w:sz w:val="20"/>
                <w:szCs w:val="20"/>
                <w:lang w:eastAsia="it-IT"/>
              </w:rPr>
            </w:pPr>
            <w:r w:rsidRPr="00D911C9">
              <w:rPr>
                <w:rFonts w:cs="Arial"/>
                <w:sz w:val="20"/>
                <w:szCs w:val="20"/>
                <w:lang w:eastAsia="it-IT"/>
              </w:rPr>
              <w:t>  Створено 3D-модель та 500 примірників буклетів</w:t>
            </w:r>
          </w:p>
          <w:p w14:paraId="2368E4C9" w14:textId="77777777" w:rsidR="009F618C" w:rsidRPr="00D911C9" w:rsidRDefault="009F618C" w:rsidP="00FD75D9">
            <w:pPr>
              <w:spacing w:before="40" w:after="40"/>
              <w:rPr>
                <w:rFonts w:cs="Arial"/>
                <w:sz w:val="20"/>
                <w:szCs w:val="20"/>
                <w:lang w:eastAsia="it-IT"/>
              </w:rPr>
            </w:pPr>
            <w:r w:rsidRPr="00D911C9">
              <w:rPr>
                <w:rFonts w:cs="Arial"/>
                <w:sz w:val="20"/>
                <w:szCs w:val="20"/>
                <w:lang w:eastAsia="it-IT"/>
              </w:rPr>
              <w:t>  Проведено щонайменше 1 фестиваль на відкритті</w:t>
            </w:r>
          </w:p>
          <w:p w14:paraId="0A1DB20A" w14:textId="77777777" w:rsidR="009F618C" w:rsidRPr="00D911C9" w:rsidRDefault="009F618C" w:rsidP="00FD75D9">
            <w:pPr>
              <w:spacing w:before="40" w:after="40"/>
              <w:rPr>
                <w:rFonts w:cs="Arial"/>
                <w:sz w:val="20"/>
                <w:szCs w:val="20"/>
                <w:lang w:eastAsia="it-IT"/>
              </w:rPr>
            </w:pPr>
            <w:r w:rsidRPr="00D911C9">
              <w:rPr>
                <w:rFonts w:cs="Arial"/>
                <w:sz w:val="20"/>
                <w:szCs w:val="20"/>
                <w:lang w:eastAsia="it-IT"/>
              </w:rPr>
              <w:t>  Очікувана кількість туристів – понад 3000 осіб/рік</w:t>
            </w:r>
          </w:p>
          <w:p w14:paraId="3043D3E5" w14:textId="77777777" w:rsidR="009F618C" w:rsidRPr="00D911C9" w:rsidRDefault="009F618C" w:rsidP="00FD75D9">
            <w:pPr>
              <w:spacing w:before="40" w:after="40"/>
              <w:rPr>
                <w:rFonts w:cs="Arial"/>
                <w:sz w:val="20"/>
                <w:szCs w:val="20"/>
                <w:lang w:eastAsia="it-IT"/>
              </w:rPr>
            </w:pPr>
            <w:r w:rsidRPr="00D911C9">
              <w:rPr>
                <w:rFonts w:cs="Arial"/>
                <w:sz w:val="20"/>
                <w:szCs w:val="20"/>
                <w:lang w:eastAsia="it-IT"/>
              </w:rPr>
              <w:t>  Молодь, залучена до реалізації – не менше 20 осіб</w:t>
            </w:r>
          </w:p>
        </w:tc>
      </w:tr>
      <w:tr w:rsidR="009F618C" w:rsidRPr="00C2587D" w14:paraId="77EA9C2B" w14:textId="77777777" w:rsidTr="00D911C9">
        <w:trPr>
          <w:jc w:val="right"/>
        </w:trPr>
        <w:tc>
          <w:tcPr>
            <w:tcW w:w="3424" w:type="dxa"/>
            <w:shd w:val="clear" w:color="auto" w:fill="FFFFFF"/>
            <w:vAlign w:val="center"/>
          </w:tcPr>
          <w:p w14:paraId="5D69F34E" w14:textId="77777777" w:rsidR="009F618C" w:rsidRPr="00C2587D" w:rsidRDefault="009F618C" w:rsidP="00FD75D9">
            <w:pPr>
              <w:rPr>
                <w:rFonts w:cs="Arial"/>
                <w:b/>
                <w:color w:val="000000"/>
              </w:rPr>
            </w:pPr>
            <w:r w:rsidRPr="00C2587D">
              <w:rPr>
                <w:rFonts w:cs="Arial"/>
                <w:b/>
                <w:color w:val="000000"/>
              </w:rPr>
              <w:t xml:space="preserve">Період здійснення: </w:t>
            </w:r>
          </w:p>
        </w:tc>
        <w:tc>
          <w:tcPr>
            <w:tcW w:w="6795" w:type="dxa"/>
            <w:gridSpan w:val="5"/>
            <w:vAlign w:val="center"/>
          </w:tcPr>
          <w:p w14:paraId="44A7E435" w14:textId="77777777" w:rsidR="009F618C" w:rsidRPr="00D911C9" w:rsidRDefault="009F618C" w:rsidP="00FD75D9">
            <w:pPr>
              <w:rPr>
                <w:rFonts w:cs="Arial"/>
                <w:b/>
                <w:color w:val="000000"/>
                <w:lang w:eastAsia="it-IT"/>
              </w:rPr>
            </w:pPr>
            <w:r w:rsidRPr="00D911C9">
              <w:rPr>
                <w:rFonts w:cs="Arial"/>
                <w:b/>
                <w:color w:val="000000"/>
              </w:rPr>
              <w:t>2025 – 2028 роки:</w:t>
            </w:r>
          </w:p>
        </w:tc>
      </w:tr>
      <w:tr w:rsidR="009F618C" w:rsidRPr="00C2587D" w14:paraId="5AEB64A6" w14:textId="77777777" w:rsidTr="00D911C9">
        <w:trPr>
          <w:jc w:val="right"/>
        </w:trPr>
        <w:tc>
          <w:tcPr>
            <w:tcW w:w="3424" w:type="dxa"/>
            <w:vMerge w:val="restart"/>
            <w:shd w:val="clear" w:color="auto" w:fill="FFFFFF"/>
            <w:vAlign w:val="center"/>
          </w:tcPr>
          <w:p w14:paraId="7E76126E" w14:textId="77777777" w:rsidR="009F618C" w:rsidRPr="00C2587D" w:rsidRDefault="009F618C" w:rsidP="00FD75D9">
            <w:pPr>
              <w:rPr>
                <w:rFonts w:cs="Arial"/>
                <w:b/>
                <w:bCs/>
                <w:color w:val="000000"/>
              </w:rPr>
            </w:pPr>
            <w:r w:rsidRPr="00C2587D">
              <w:rPr>
                <w:rFonts w:cs="Arial"/>
                <w:b/>
                <w:bCs/>
                <w:color w:val="000000"/>
              </w:rPr>
              <w:t>Орієнтовна вартість проєкту, тис. грн., в тому числі:</w:t>
            </w:r>
          </w:p>
        </w:tc>
        <w:tc>
          <w:tcPr>
            <w:tcW w:w="1254" w:type="dxa"/>
            <w:shd w:val="clear" w:color="auto" w:fill="E6E6E6"/>
            <w:vAlign w:val="center"/>
          </w:tcPr>
          <w:p w14:paraId="12AE0D0F" w14:textId="77777777" w:rsidR="009F618C" w:rsidRPr="00D911C9" w:rsidRDefault="009F618C" w:rsidP="00D911C9">
            <w:pPr>
              <w:jc w:val="center"/>
              <w:rPr>
                <w:rFonts w:cs="Arial"/>
                <w:b/>
                <w:color w:val="000000"/>
                <w:lang w:eastAsia="it-IT"/>
              </w:rPr>
            </w:pPr>
            <w:r w:rsidRPr="00D911C9">
              <w:rPr>
                <w:rFonts w:cs="Arial"/>
                <w:b/>
                <w:color w:val="000000"/>
                <w:lang w:eastAsia="it-IT"/>
              </w:rPr>
              <w:t>2025</w:t>
            </w:r>
          </w:p>
        </w:tc>
        <w:tc>
          <w:tcPr>
            <w:tcW w:w="1279" w:type="dxa"/>
            <w:shd w:val="clear" w:color="auto" w:fill="E6E6E6"/>
            <w:vAlign w:val="center"/>
          </w:tcPr>
          <w:p w14:paraId="3A37BF1B" w14:textId="77777777" w:rsidR="009F618C" w:rsidRPr="00D911C9" w:rsidRDefault="009F618C" w:rsidP="00D911C9">
            <w:pPr>
              <w:jc w:val="center"/>
              <w:rPr>
                <w:rFonts w:cs="Arial"/>
                <w:b/>
                <w:color w:val="000000"/>
                <w:lang w:eastAsia="it-IT"/>
              </w:rPr>
            </w:pPr>
            <w:r w:rsidRPr="00D911C9">
              <w:rPr>
                <w:rFonts w:cs="Arial"/>
                <w:b/>
                <w:color w:val="000000"/>
                <w:lang w:eastAsia="it-IT"/>
              </w:rPr>
              <w:t>2026</w:t>
            </w:r>
          </w:p>
        </w:tc>
        <w:tc>
          <w:tcPr>
            <w:tcW w:w="1417" w:type="dxa"/>
            <w:tcBorders>
              <w:bottom w:val="single" w:sz="4" w:space="0" w:color="auto"/>
            </w:tcBorders>
            <w:shd w:val="clear" w:color="auto" w:fill="E6E6E6"/>
            <w:vAlign w:val="center"/>
          </w:tcPr>
          <w:p w14:paraId="07AB53AA" w14:textId="77777777" w:rsidR="009F618C" w:rsidRPr="00D911C9" w:rsidRDefault="009F618C" w:rsidP="00D911C9">
            <w:pPr>
              <w:jc w:val="center"/>
              <w:rPr>
                <w:rFonts w:cs="Arial"/>
                <w:b/>
                <w:color w:val="000000"/>
                <w:lang w:eastAsia="it-IT"/>
              </w:rPr>
            </w:pPr>
            <w:r w:rsidRPr="00D911C9">
              <w:rPr>
                <w:rFonts w:cs="Arial"/>
                <w:b/>
                <w:color w:val="000000"/>
                <w:lang w:eastAsia="it-IT"/>
              </w:rPr>
              <w:t>2027</w:t>
            </w:r>
          </w:p>
        </w:tc>
        <w:tc>
          <w:tcPr>
            <w:tcW w:w="1275" w:type="dxa"/>
            <w:shd w:val="clear" w:color="auto" w:fill="E6E6E6"/>
            <w:vAlign w:val="center"/>
          </w:tcPr>
          <w:p w14:paraId="52B566F7" w14:textId="77777777" w:rsidR="009F618C" w:rsidRPr="00D911C9" w:rsidRDefault="009F618C" w:rsidP="00D911C9">
            <w:pPr>
              <w:jc w:val="center"/>
              <w:rPr>
                <w:rFonts w:cs="Arial"/>
                <w:b/>
                <w:color w:val="000000"/>
                <w:lang w:eastAsia="it-IT"/>
              </w:rPr>
            </w:pPr>
            <w:r w:rsidRPr="00D911C9">
              <w:rPr>
                <w:rFonts w:cs="Arial"/>
                <w:b/>
                <w:color w:val="000000"/>
                <w:lang w:eastAsia="it-IT"/>
              </w:rPr>
              <w:t>2028</w:t>
            </w:r>
          </w:p>
        </w:tc>
        <w:tc>
          <w:tcPr>
            <w:tcW w:w="1570" w:type="dxa"/>
            <w:shd w:val="clear" w:color="auto" w:fill="E6E6E6"/>
            <w:vAlign w:val="center"/>
          </w:tcPr>
          <w:p w14:paraId="143BF324" w14:textId="77777777" w:rsidR="009F618C" w:rsidRPr="00D911C9" w:rsidRDefault="009F618C" w:rsidP="00D911C9">
            <w:pPr>
              <w:jc w:val="center"/>
              <w:rPr>
                <w:rFonts w:cs="Arial"/>
                <w:b/>
                <w:color w:val="000000"/>
                <w:lang w:eastAsia="it-IT"/>
              </w:rPr>
            </w:pPr>
            <w:r w:rsidRPr="00D911C9">
              <w:rPr>
                <w:rFonts w:cs="Arial"/>
                <w:b/>
                <w:color w:val="000000"/>
                <w:lang w:eastAsia="it-IT"/>
              </w:rPr>
              <w:t>РАЗОМ</w:t>
            </w:r>
          </w:p>
        </w:tc>
      </w:tr>
      <w:tr w:rsidR="009F618C" w:rsidRPr="00C2587D" w14:paraId="66E5C4D3" w14:textId="77777777" w:rsidTr="00D911C9">
        <w:trPr>
          <w:jc w:val="right"/>
        </w:trPr>
        <w:tc>
          <w:tcPr>
            <w:tcW w:w="3424" w:type="dxa"/>
            <w:vMerge/>
            <w:shd w:val="clear" w:color="auto" w:fill="FFFFFF"/>
            <w:vAlign w:val="center"/>
          </w:tcPr>
          <w:p w14:paraId="13811377" w14:textId="77777777" w:rsidR="009F618C" w:rsidRPr="00C2587D" w:rsidRDefault="009F618C" w:rsidP="00FD75D9">
            <w:pPr>
              <w:rPr>
                <w:rFonts w:cs="Arial"/>
                <w:b/>
                <w:bCs/>
                <w:color w:val="000000"/>
              </w:rPr>
            </w:pPr>
          </w:p>
        </w:tc>
        <w:tc>
          <w:tcPr>
            <w:tcW w:w="1254" w:type="dxa"/>
            <w:vAlign w:val="center"/>
          </w:tcPr>
          <w:p w14:paraId="59D489EE" w14:textId="77777777" w:rsidR="009F618C" w:rsidRPr="00D911C9" w:rsidRDefault="009F618C" w:rsidP="00D911C9">
            <w:pPr>
              <w:jc w:val="center"/>
              <w:rPr>
                <w:rFonts w:cs="Arial"/>
                <w:color w:val="000000"/>
                <w:lang w:eastAsia="it-IT"/>
              </w:rPr>
            </w:pPr>
            <w:r w:rsidRPr="00D911C9">
              <w:rPr>
                <w:rFonts w:cs="Arial"/>
                <w:color w:val="000000"/>
                <w:lang w:eastAsia="it-IT"/>
              </w:rPr>
              <w:t>217,0</w:t>
            </w:r>
          </w:p>
        </w:tc>
        <w:tc>
          <w:tcPr>
            <w:tcW w:w="1279" w:type="dxa"/>
            <w:shd w:val="clear" w:color="auto" w:fill="FFFFFF"/>
            <w:vAlign w:val="center"/>
          </w:tcPr>
          <w:p w14:paraId="49BC5729" w14:textId="77777777" w:rsidR="009F618C" w:rsidRPr="00D911C9" w:rsidRDefault="009F618C" w:rsidP="00D911C9">
            <w:pPr>
              <w:jc w:val="center"/>
              <w:rPr>
                <w:rFonts w:cs="Arial"/>
                <w:color w:val="000000"/>
                <w:lang w:eastAsia="it-IT"/>
              </w:rPr>
            </w:pPr>
            <w:r w:rsidRPr="00D911C9">
              <w:rPr>
                <w:rFonts w:cs="Arial"/>
                <w:color w:val="000000"/>
                <w:lang w:eastAsia="it-IT"/>
              </w:rPr>
              <w:t>113,0</w:t>
            </w:r>
          </w:p>
        </w:tc>
        <w:tc>
          <w:tcPr>
            <w:tcW w:w="1417" w:type="dxa"/>
            <w:shd w:val="clear" w:color="auto" w:fill="auto"/>
            <w:vAlign w:val="center"/>
          </w:tcPr>
          <w:p w14:paraId="5968A8B8" w14:textId="77777777" w:rsidR="009F618C" w:rsidRPr="00D911C9" w:rsidRDefault="009F618C" w:rsidP="00D911C9">
            <w:pPr>
              <w:jc w:val="center"/>
              <w:rPr>
                <w:rFonts w:cs="Arial"/>
                <w:color w:val="000000"/>
                <w:lang w:eastAsia="it-IT"/>
              </w:rPr>
            </w:pPr>
            <w:r w:rsidRPr="00D911C9">
              <w:rPr>
                <w:rFonts w:cs="Arial"/>
                <w:color w:val="000000"/>
                <w:lang w:eastAsia="it-IT"/>
              </w:rPr>
              <w:t>150,0</w:t>
            </w:r>
          </w:p>
        </w:tc>
        <w:tc>
          <w:tcPr>
            <w:tcW w:w="1275" w:type="dxa"/>
            <w:shd w:val="clear" w:color="auto" w:fill="FFFFFF"/>
            <w:vAlign w:val="center"/>
          </w:tcPr>
          <w:p w14:paraId="1F1D791B" w14:textId="77777777" w:rsidR="009F618C" w:rsidRPr="00D911C9" w:rsidRDefault="009F618C" w:rsidP="00D911C9">
            <w:pPr>
              <w:jc w:val="center"/>
              <w:rPr>
                <w:rFonts w:cs="Arial"/>
                <w:color w:val="000000"/>
                <w:lang w:eastAsia="it-IT"/>
              </w:rPr>
            </w:pPr>
            <w:r w:rsidRPr="00D911C9">
              <w:rPr>
                <w:rFonts w:cs="Arial"/>
                <w:color w:val="000000"/>
                <w:lang w:eastAsia="it-IT"/>
              </w:rPr>
              <w:t>4000,0</w:t>
            </w:r>
          </w:p>
        </w:tc>
        <w:tc>
          <w:tcPr>
            <w:tcW w:w="1570" w:type="dxa"/>
            <w:shd w:val="clear" w:color="auto" w:fill="FFFFFF"/>
            <w:vAlign w:val="center"/>
          </w:tcPr>
          <w:p w14:paraId="48BBC79E" w14:textId="77777777" w:rsidR="009F618C" w:rsidRPr="00D911C9" w:rsidRDefault="009F618C" w:rsidP="00D911C9">
            <w:pPr>
              <w:jc w:val="center"/>
              <w:rPr>
                <w:rFonts w:cs="Arial"/>
                <w:color w:val="000000"/>
                <w:lang w:eastAsia="it-IT"/>
              </w:rPr>
            </w:pPr>
            <w:r w:rsidRPr="00D911C9">
              <w:rPr>
                <w:rFonts w:cs="Arial"/>
                <w:color w:val="000000"/>
                <w:lang w:eastAsia="it-IT"/>
              </w:rPr>
              <w:t>4480,0</w:t>
            </w:r>
          </w:p>
        </w:tc>
      </w:tr>
      <w:tr w:rsidR="00D911C9" w:rsidRPr="00C2587D" w14:paraId="3AD4EA7F" w14:textId="41D73B3E" w:rsidTr="00D911C9">
        <w:trPr>
          <w:trHeight w:val="276"/>
          <w:jc w:val="right"/>
        </w:trPr>
        <w:tc>
          <w:tcPr>
            <w:tcW w:w="3424" w:type="dxa"/>
            <w:shd w:val="clear" w:color="auto" w:fill="FFFFFF"/>
            <w:vAlign w:val="center"/>
          </w:tcPr>
          <w:p w14:paraId="17BCB6FC" w14:textId="77777777" w:rsidR="00D911C9" w:rsidRPr="00C2587D" w:rsidRDefault="00D911C9" w:rsidP="00FD75D9">
            <w:pPr>
              <w:rPr>
                <w:rFonts w:cs="Arial"/>
                <w:b/>
                <w:bCs/>
                <w:color w:val="000000"/>
              </w:rPr>
            </w:pPr>
            <w:r w:rsidRPr="00C2587D">
              <w:rPr>
                <w:rFonts w:cs="Arial"/>
                <w:b/>
                <w:bCs/>
                <w:color w:val="000000"/>
              </w:rPr>
              <w:t>по джерелах фінансування:</w:t>
            </w:r>
          </w:p>
        </w:tc>
        <w:tc>
          <w:tcPr>
            <w:tcW w:w="1254" w:type="dxa"/>
            <w:vAlign w:val="center"/>
          </w:tcPr>
          <w:p w14:paraId="3DC49D57" w14:textId="77777777" w:rsidR="00D911C9" w:rsidRPr="00D911C9" w:rsidRDefault="00D911C9" w:rsidP="00D911C9">
            <w:pPr>
              <w:jc w:val="center"/>
              <w:rPr>
                <w:rFonts w:cs="Arial"/>
                <w:color w:val="000000"/>
                <w:lang w:eastAsia="it-IT"/>
              </w:rPr>
            </w:pPr>
          </w:p>
        </w:tc>
        <w:tc>
          <w:tcPr>
            <w:tcW w:w="1279" w:type="dxa"/>
            <w:vAlign w:val="center"/>
          </w:tcPr>
          <w:p w14:paraId="7FA0017C" w14:textId="77777777" w:rsidR="00D911C9" w:rsidRPr="00D911C9" w:rsidRDefault="00D911C9" w:rsidP="00D911C9">
            <w:pPr>
              <w:jc w:val="center"/>
              <w:rPr>
                <w:rFonts w:cs="Arial"/>
                <w:color w:val="000000"/>
                <w:lang w:eastAsia="it-IT"/>
              </w:rPr>
            </w:pPr>
          </w:p>
        </w:tc>
        <w:tc>
          <w:tcPr>
            <w:tcW w:w="1420" w:type="dxa"/>
            <w:vAlign w:val="center"/>
          </w:tcPr>
          <w:p w14:paraId="28A07077" w14:textId="77777777" w:rsidR="00D911C9" w:rsidRPr="00D911C9" w:rsidRDefault="00D911C9" w:rsidP="00D911C9">
            <w:pPr>
              <w:jc w:val="center"/>
              <w:rPr>
                <w:rFonts w:cs="Arial"/>
                <w:color w:val="000000"/>
                <w:lang w:eastAsia="it-IT"/>
              </w:rPr>
            </w:pPr>
          </w:p>
        </w:tc>
        <w:tc>
          <w:tcPr>
            <w:tcW w:w="1270" w:type="dxa"/>
            <w:vAlign w:val="center"/>
          </w:tcPr>
          <w:p w14:paraId="5F6F8680" w14:textId="77777777" w:rsidR="00D911C9" w:rsidRPr="00D911C9" w:rsidRDefault="00D911C9" w:rsidP="00D911C9">
            <w:pPr>
              <w:jc w:val="center"/>
              <w:rPr>
                <w:rFonts w:cs="Arial"/>
                <w:color w:val="000000"/>
                <w:lang w:eastAsia="it-IT"/>
              </w:rPr>
            </w:pPr>
          </w:p>
        </w:tc>
        <w:tc>
          <w:tcPr>
            <w:tcW w:w="1572" w:type="dxa"/>
            <w:vAlign w:val="center"/>
          </w:tcPr>
          <w:p w14:paraId="79089455" w14:textId="77777777" w:rsidR="00D911C9" w:rsidRPr="00D911C9" w:rsidRDefault="00D911C9" w:rsidP="00D911C9">
            <w:pPr>
              <w:jc w:val="center"/>
              <w:rPr>
                <w:rFonts w:cs="Arial"/>
                <w:color w:val="000000"/>
                <w:lang w:eastAsia="it-IT"/>
              </w:rPr>
            </w:pPr>
          </w:p>
        </w:tc>
      </w:tr>
      <w:tr w:rsidR="00D911C9" w:rsidRPr="00C2587D" w14:paraId="3944C48E" w14:textId="77386464" w:rsidTr="00D911C9">
        <w:trPr>
          <w:trHeight w:val="240"/>
          <w:jc w:val="right"/>
        </w:trPr>
        <w:tc>
          <w:tcPr>
            <w:tcW w:w="3424" w:type="dxa"/>
            <w:shd w:val="clear" w:color="auto" w:fill="FFFFFF"/>
            <w:vAlign w:val="center"/>
          </w:tcPr>
          <w:p w14:paraId="1534E674" w14:textId="77777777" w:rsidR="00D911C9" w:rsidRPr="00C2587D" w:rsidRDefault="00D911C9" w:rsidP="00FD75D9">
            <w:pPr>
              <w:rPr>
                <w:rFonts w:cs="Arial"/>
                <w:b/>
                <w:bCs/>
                <w:color w:val="000000"/>
              </w:rPr>
            </w:pPr>
            <w:r w:rsidRPr="00C2587D">
              <w:rPr>
                <w:rFonts w:cs="Arial"/>
                <w:color w:val="000000"/>
              </w:rPr>
              <w:t>- державний бюджет</w:t>
            </w:r>
          </w:p>
        </w:tc>
        <w:tc>
          <w:tcPr>
            <w:tcW w:w="1254" w:type="dxa"/>
            <w:vAlign w:val="center"/>
          </w:tcPr>
          <w:p w14:paraId="29799B3A" w14:textId="77777777" w:rsidR="00D911C9" w:rsidRPr="00D911C9" w:rsidRDefault="00D911C9" w:rsidP="00D911C9">
            <w:pPr>
              <w:jc w:val="center"/>
              <w:rPr>
                <w:rFonts w:cs="Arial"/>
                <w:color w:val="000000"/>
                <w:lang w:eastAsia="it-IT"/>
              </w:rPr>
            </w:pPr>
          </w:p>
        </w:tc>
        <w:tc>
          <w:tcPr>
            <w:tcW w:w="1279" w:type="dxa"/>
            <w:vAlign w:val="center"/>
          </w:tcPr>
          <w:p w14:paraId="08A00172" w14:textId="77777777" w:rsidR="00D911C9" w:rsidRPr="00D911C9" w:rsidRDefault="00D911C9" w:rsidP="00D911C9">
            <w:pPr>
              <w:jc w:val="center"/>
              <w:rPr>
                <w:rFonts w:cs="Arial"/>
                <w:color w:val="000000"/>
                <w:lang w:eastAsia="it-IT"/>
              </w:rPr>
            </w:pPr>
          </w:p>
        </w:tc>
        <w:tc>
          <w:tcPr>
            <w:tcW w:w="1420" w:type="dxa"/>
            <w:vAlign w:val="center"/>
          </w:tcPr>
          <w:p w14:paraId="3AD98801" w14:textId="77777777" w:rsidR="00D911C9" w:rsidRPr="00D911C9" w:rsidRDefault="00D911C9" w:rsidP="00D911C9">
            <w:pPr>
              <w:jc w:val="center"/>
              <w:rPr>
                <w:rFonts w:cs="Arial"/>
                <w:color w:val="000000"/>
                <w:lang w:eastAsia="it-IT"/>
              </w:rPr>
            </w:pPr>
          </w:p>
        </w:tc>
        <w:tc>
          <w:tcPr>
            <w:tcW w:w="1270" w:type="dxa"/>
            <w:vAlign w:val="center"/>
          </w:tcPr>
          <w:p w14:paraId="34E33819" w14:textId="77777777" w:rsidR="00D911C9" w:rsidRPr="00D911C9" w:rsidRDefault="00D911C9" w:rsidP="00D911C9">
            <w:pPr>
              <w:jc w:val="center"/>
              <w:rPr>
                <w:rFonts w:cs="Arial"/>
                <w:color w:val="000000"/>
                <w:lang w:eastAsia="it-IT"/>
              </w:rPr>
            </w:pPr>
          </w:p>
        </w:tc>
        <w:tc>
          <w:tcPr>
            <w:tcW w:w="1572" w:type="dxa"/>
            <w:vAlign w:val="center"/>
          </w:tcPr>
          <w:p w14:paraId="49703781" w14:textId="77777777" w:rsidR="00D911C9" w:rsidRPr="00D911C9" w:rsidRDefault="00D911C9" w:rsidP="00D911C9">
            <w:pPr>
              <w:jc w:val="center"/>
              <w:rPr>
                <w:rFonts w:cs="Arial"/>
                <w:color w:val="000000"/>
                <w:lang w:eastAsia="it-IT"/>
              </w:rPr>
            </w:pPr>
          </w:p>
        </w:tc>
      </w:tr>
      <w:tr w:rsidR="00D911C9" w:rsidRPr="00C2587D" w14:paraId="19D93B5D" w14:textId="58C8CC7A" w:rsidTr="00D911C9">
        <w:trPr>
          <w:trHeight w:val="254"/>
          <w:jc w:val="right"/>
        </w:trPr>
        <w:tc>
          <w:tcPr>
            <w:tcW w:w="3424" w:type="dxa"/>
            <w:shd w:val="clear" w:color="auto" w:fill="FFFFFF"/>
            <w:vAlign w:val="center"/>
          </w:tcPr>
          <w:p w14:paraId="1E35562D" w14:textId="77777777" w:rsidR="00D911C9" w:rsidRPr="00C2587D" w:rsidRDefault="00D911C9" w:rsidP="00FD75D9">
            <w:pPr>
              <w:rPr>
                <w:rFonts w:cs="Arial"/>
                <w:color w:val="000000"/>
              </w:rPr>
            </w:pPr>
            <w:r w:rsidRPr="00C2587D">
              <w:rPr>
                <w:rFonts w:cs="Arial"/>
                <w:color w:val="000000"/>
              </w:rPr>
              <w:t>- обласний бюджет</w:t>
            </w:r>
          </w:p>
        </w:tc>
        <w:tc>
          <w:tcPr>
            <w:tcW w:w="1254" w:type="dxa"/>
            <w:vAlign w:val="center"/>
          </w:tcPr>
          <w:p w14:paraId="7F37C6F9" w14:textId="77777777" w:rsidR="00D911C9" w:rsidRPr="00D911C9" w:rsidRDefault="00D911C9" w:rsidP="00D911C9">
            <w:pPr>
              <w:jc w:val="center"/>
              <w:rPr>
                <w:rFonts w:cs="Arial"/>
                <w:color w:val="000000"/>
                <w:lang w:eastAsia="it-IT"/>
              </w:rPr>
            </w:pPr>
          </w:p>
        </w:tc>
        <w:tc>
          <w:tcPr>
            <w:tcW w:w="1279" w:type="dxa"/>
            <w:vAlign w:val="center"/>
          </w:tcPr>
          <w:p w14:paraId="48532EEA" w14:textId="77777777" w:rsidR="00D911C9" w:rsidRPr="00D911C9" w:rsidRDefault="00D911C9" w:rsidP="00D911C9">
            <w:pPr>
              <w:jc w:val="center"/>
              <w:rPr>
                <w:rFonts w:cs="Arial"/>
                <w:color w:val="000000"/>
                <w:lang w:eastAsia="it-IT"/>
              </w:rPr>
            </w:pPr>
          </w:p>
        </w:tc>
        <w:tc>
          <w:tcPr>
            <w:tcW w:w="1420" w:type="dxa"/>
            <w:vAlign w:val="center"/>
          </w:tcPr>
          <w:p w14:paraId="1AD6D726" w14:textId="77777777" w:rsidR="00D911C9" w:rsidRPr="00D911C9" w:rsidRDefault="00D911C9" w:rsidP="00D911C9">
            <w:pPr>
              <w:jc w:val="center"/>
              <w:rPr>
                <w:rFonts w:cs="Arial"/>
                <w:color w:val="000000"/>
                <w:lang w:eastAsia="it-IT"/>
              </w:rPr>
            </w:pPr>
          </w:p>
        </w:tc>
        <w:tc>
          <w:tcPr>
            <w:tcW w:w="1270" w:type="dxa"/>
            <w:vAlign w:val="center"/>
          </w:tcPr>
          <w:p w14:paraId="5039D21A" w14:textId="77777777" w:rsidR="00D911C9" w:rsidRPr="00D911C9" w:rsidRDefault="00D911C9" w:rsidP="00D911C9">
            <w:pPr>
              <w:jc w:val="center"/>
              <w:rPr>
                <w:rFonts w:cs="Arial"/>
                <w:color w:val="000000"/>
                <w:lang w:eastAsia="it-IT"/>
              </w:rPr>
            </w:pPr>
          </w:p>
        </w:tc>
        <w:tc>
          <w:tcPr>
            <w:tcW w:w="1572" w:type="dxa"/>
            <w:vAlign w:val="center"/>
          </w:tcPr>
          <w:p w14:paraId="2A59564A" w14:textId="77777777" w:rsidR="00D911C9" w:rsidRPr="00D911C9" w:rsidRDefault="00D911C9" w:rsidP="00D911C9">
            <w:pPr>
              <w:jc w:val="center"/>
              <w:rPr>
                <w:rFonts w:cs="Arial"/>
                <w:color w:val="000000"/>
                <w:lang w:eastAsia="it-IT"/>
              </w:rPr>
            </w:pPr>
          </w:p>
        </w:tc>
      </w:tr>
      <w:tr w:rsidR="00D911C9" w:rsidRPr="00C2587D" w14:paraId="7ED31DDE" w14:textId="75947C53" w:rsidTr="00D911C9">
        <w:trPr>
          <w:trHeight w:val="275"/>
          <w:jc w:val="right"/>
        </w:trPr>
        <w:tc>
          <w:tcPr>
            <w:tcW w:w="3424" w:type="dxa"/>
            <w:shd w:val="clear" w:color="auto" w:fill="FFFFFF"/>
            <w:vAlign w:val="center"/>
          </w:tcPr>
          <w:p w14:paraId="3DC730D5" w14:textId="77777777" w:rsidR="00D911C9" w:rsidRPr="00C2587D" w:rsidRDefault="00D911C9" w:rsidP="00FD75D9">
            <w:pPr>
              <w:rPr>
                <w:rFonts w:cs="Arial"/>
                <w:color w:val="000000"/>
              </w:rPr>
            </w:pPr>
            <w:r w:rsidRPr="00C2587D">
              <w:rPr>
                <w:rFonts w:cs="Arial"/>
                <w:color w:val="000000"/>
              </w:rPr>
              <w:t>- бюджет Жмеринської МТГ</w:t>
            </w:r>
          </w:p>
        </w:tc>
        <w:tc>
          <w:tcPr>
            <w:tcW w:w="1254" w:type="dxa"/>
            <w:vAlign w:val="center"/>
          </w:tcPr>
          <w:p w14:paraId="1DA93140" w14:textId="5984B072" w:rsidR="00D911C9" w:rsidRPr="00D911C9" w:rsidRDefault="00D911C9" w:rsidP="00D911C9">
            <w:pPr>
              <w:jc w:val="center"/>
              <w:rPr>
                <w:rFonts w:cs="Arial"/>
                <w:color w:val="000000"/>
                <w:sz w:val="20"/>
                <w:szCs w:val="20"/>
                <w:lang w:eastAsia="it-IT"/>
              </w:rPr>
            </w:pPr>
          </w:p>
        </w:tc>
        <w:tc>
          <w:tcPr>
            <w:tcW w:w="1279" w:type="dxa"/>
            <w:vAlign w:val="center"/>
          </w:tcPr>
          <w:p w14:paraId="508241E4" w14:textId="345A0A5F" w:rsidR="00D911C9" w:rsidRPr="00D911C9" w:rsidRDefault="00D911C9" w:rsidP="00D911C9">
            <w:pPr>
              <w:jc w:val="center"/>
              <w:rPr>
                <w:rFonts w:cs="Arial"/>
                <w:color w:val="000000"/>
                <w:sz w:val="20"/>
                <w:szCs w:val="20"/>
                <w:lang w:eastAsia="it-IT"/>
              </w:rPr>
            </w:pPr>
            <w:r w:rsidRPr="00D911C9">
              <w:rPr>
                <w:rFonts w:cs="Arial"/>
                <w:color w:val="000000"/>
                <w:lang w:eastAsia="it-IT"/>
              </w:rPr>
              <w:t>113,0</w:t>
            </w:r>
          </w:p>
        </w:tc>
        <w:tc>
          <w:tcPr>
            <w:tcW w:w="1420" w:type="dxa"/>
            <w:vAlign w:val="center"/>
          </w:tcPr>
          <w:p w14:paraId="62A48952" w14:textId="77777777" w:rsidR="00D911C9" w:rsidRPr="00D911C9" w:rsidRDefault="00D911C9" w:rsidP="00D911C9">
            <w:pPr>
              <w:jc w:val="center"/>
              <w:rPr>
                <w:rFonts w:cs="Arial"/>
                <w:color w:val="000000"/>
                <w:sz w:val="20"/>
                <w:szCs w:val="20"/>
                <w:lang w:eastAsia="it-IT"/>
              </w:rPr>
            </w:pPr>
          </w:p>
        </w:tc>
        <w:tc>
          <w:tcPr>
            <w:tcW w:w="1270" w:type="dxa"/>
            <w:vAlign w:val="center"/>
          </w:tcPr>
          <w:p w14:paraId="2D5392DB" w14:textId="746AE818" w:rsidR="00D911C9" w:rsidRPr="00D911C9" w:rsidRDefault="00D911C9" w:rsidP="00D911C9">
            <w:pPr>
              <w:jc w:val="center"/>
              <w:rPr>
                <w:rFonts w:cs="Arial"/>
                <w:color w:val="000000"/>
                <w:sz w:val="20"/>
                <w:szCs w:val="20"/>
                <w:lang w:eastAsia="it-IT"/>
              </w:rPr>
            </w:pPr>
            <w:r w:rsidRPr="00D911C9">
              <w:rPr>
                <w:rFonts w:cs="Arial"/>
                <w:color w:val="000000"/>
                <w:lang w:eastAsia="it-IT"/>
              </w:rPr>
              <w:t>4000,0</w:t>
            </w:r>
          </w:p>
        </w:tc>
        <w:tc>
          <w:tcPr>
            <w:tcW w:w="1572" w:type="dxa"/>
            <w:vAlign w:val="center"/>
          </w:tcPr>
          <w:p w14:paraId="5C7276A9" w14:textId="5271D909" w:rsidR="00D911C9" w:rsidRPr="00D911C9" w:rsidRDefault="00D911C9" w:rsidP="00D911C9">
            <w:pPr>
              <w:jc w:val="center"/>
              <w:rPr>
                <w:rFonts w:cs="Arial"/>
                <w:color w:val="000000"/>
                <w:sz w:val="20"/>
                <w:szCs w:val="20"/>
                <w:lang w:eastAsia="it-IT"/>
              </w:rPr>
            </w:pPr>
            <w:r w:rsidRPr="00D911C9">
              <w:rPr>
                <w:rFonts w:cs="Arial"/>
                <w:color w:val="000000"/>
                <w:sz w:val="20"/>
                <w:szCs w:val="20"/>
                <w:lang w:eastAsia="it-IT"/>
              </w:rPr>
              <w:t>4113</w:t>
            </w:r>
          </w:p>
        </w:tc>
      </w:tr>
      <w:tr w:rsidR="00D911C9" w:rsidRPr="00C2587D" w14:paraId="0F95B2DD" w14:textId="4A94554E" w:rsidTr="00D911C9">
        <w:trPr>
          <w:trHeight w:val="226"/>
          <w:jc w:val="right"/>
        </w:trPr>
        <w:tc>
          <w:tcPr>
            <w:tcW w:w="3424" w:type="dxa"/>
            <w:shd w:val="clear" w:color="auto" w:fill="FFFFFF"/>
            <w:vAlign w:val="center"/>
          </w:tcPr>
          <w:p w14:paraId="042DC1A4" w14:textId="77777777" w:rsidR="00D911C9" w:rsidRPr="00C2587D" w:rsidRDefault="00D911C9" w:rsidP="00FD75D9">
            <w:pPr>
              <w:rPr>
                <w:rFonts w:cs="Arial"/>
                <w:color w:val="000000"/>
              </w:rPr>
            </w:pPr>
            <w:r w:rsidRPr="00C2587D">
              <w:rPr>
                <w:rFonts w:cs="Arial"/>
                <w:color w:val="000000"/>
              </w:rPr>
              <w:t>- інші джерела фінансування</w:t>
            </w:r>
          </w:p>
        </w:tc>
        <w:tc>
          <w:tcPr>
            <w:tcW w:w="1254" w:type="dxa"/>
            <w:vAlign w:val="center"/>
          </w:tcPr>
          <w:p w14:paraId="6A6A6AF2" w14:textId="7F57DA79" w:rsidR="00D911C9" w:rsidRPr="00D911C9" w:rsidRDefault="00D911C9" w:rsidP="00D911C9">
            <w:pPr>
              <w:jc w:val="center"/>
              <w:rPr>
                <w:rFonts w:cs="Arial"/>
                <w:sz w:val="20"/>
                <w:szCs w:val="20"/>
              </w:rPr>
            </w:pPr>
            <w:r w:rsidRPr="00D911C9">
              <w:rPr>
                <w:rFonts w:cs="Arial"/>
                <w:color w:val="000000"/>
                <w:lang w:eastAsia="it-IT"/>
              </w:rPr>
              <w:t>217,0</w:t>
            </w:r>
          </w:p>
        </w:tc>
        <w:tc>
          <w:tcPr>
            <w:tcW w:w="1279" w:type="dxa"/>
            <w:vAlign w:val="center"/>
          </w:tcPr>
          <w:p w14:paraId="07F92483" w14:textId="77777777" w:rsidR="00D911C9" w:rsidRPr="00D911C9" w:rsidRDefault="00D911C9" w:rsidP="00D911C9">
            <w:pPr>
              <w:jc w:val="center"/>
              <w:rPr>
                <w:rFonts w:cs="Arial"/>
                <w:sz w:val="20"/>
                <w:szCs w:val="20"/>
              </w:rPr>
            </w:pPr>
          </w:p>
        </w:tc>
        <w:tc>
          <w:tcPr>
            <w:tcW w:w="1420" w:type="dxa"/>
            <w:vAlign w:val="center"/>
          </w:tcPr>
          <w:p w14:paraId="055C339A" w14:textId="4EFCDA54" w:rsidR="00D911C9" w:rsidRPr="00D911C9" w:rsidRDefault="00D911C9" w:rsidP="00D911C9">
            <w:pPr>
              <w:jc w:val="center"/>
              <w:rPr>
                <w:rFonts w:cs="Arial"/>
                <w:sz w:val="20"/>
                <w:szCs w:val="20"/>
              </w:rPr>
            </w:pPr>
            <w:r w:rsidRPr="00D911C9">
              <w:rPr>
                <w:rFonts w:cs="Arial"/>
                <w:color w:val="000000"/>
                <w:lang w:eastAsia="it-IT"/>
              </w:rPr>
              <w:t>150,0</w:t>
            </w:r>
          </w:p>
        </w:tc>
        <w:tc>
          <w:tcPr>
            <w:tcW w:w="1270" w:type="dxa"/>
            <w:vAlign w:val="center"/>
          </w:tcPr>
          <w:p w14:paraId="4F9B216A" w14:textId="77777777" w:rsidR="00D911C9" w:rsidRPr="00D911C9" w:rsidRDefault="00D911C9" w:rsidP="00D911C9">
            <w:pPr>
              <w:jc w:val="center"/>
              <w:rPr>
                <w:rFonts w:cs="Arial"/>
                <w:sz w:val="20"/>
                <w:szCs w:val="20"/>
              </w:rPr>
            </w:pPr>
          </w:p>
        </w:tc>
        <w:tc>
          <w:tcPr>
            <w:tcW w:w="1572" w:type="dxa"/>
            <w:vAlign w:val="center"/>
          </w:tcPr>
          <w:p w14:paraId="37995CA4" w14:textId="62F7F388" w:rsidR="00D911C9" w:rsidRPr="00D911C9" w:rsidRDefault="00D911C9" w:rsidP="00D911C9">
            <w:pPr>
              <w:jc w:val="center"/>
              <w:rPr>
                <w:rFonts w:cs="Arial"/>
                <w:sz w:val="20"/>
                <w:szCs w:val="20"/>
              </w:rPr>
            </w:pPr>
            <w:r>
              <w:rPr>
                <w:rFonts w:cs="Arial"/>
                <w:sz w:val="20"/>
                <w:szCs w:val="20"/>
              </w:rPr>
              <w:t>367</w:t>
            </w:r>
          </w:p>
        </w:tc>
      </w:tr>
      <w:tr w:rsidR="009F618C" w:rsidRPr="00C2587D" w14:paraId="09FF0614" w14:textId="77777777" w:rsidTr="00D911C9">
        <w:trPr>
          <w:jc w:val="right"/>
        </w:trPr>
        <w:tc>
          <w:tcPr>
            <w:tcW w:w="3424" w:type="dxa"/>
            <w:shd w:val="clear" w:color="auto" w:fill="FFFFFF"/>
            <w:vAlign w:val="center"/>
          </w:tcPr>
          <w:p w14:paraId="7CFB7FCE" w14:textId="77777777" w:rsidR="009F618C" w:rsidRPr="00C2587D" w:rsidRDefault="009F618C" w:rsidP="00FD75D9">
            <w:pPr>
              <w:rPr>
                <w:rFonts w:cs="Arial"/>
                <w:b/>
                <w:bCs/>
                <w:color w:val="000000"/>
              </w:rPr>
            </w:pPr>
            <w:r w:rsidRPr="00C2587D">
              <w:rPr>
                <w:rFonts w:cs="Arial"/>
                <w:b/>
                <w:color w:val="000000"/>
              </w:rPr>
              <w:t>Відповідальний виконавець проєкту:</w:t>
            </w:r>
          </w:p>
        </w:tc>
        <w:tc>
          <w:tcPr>
            <w:tcW w:w="6795" w:type="dxa"/>
            <w:gridSpan w:val="5"/>
            <w:vAlign w:val="center"/>
          </w:tcPr>
          <w:p w14:paraId="5762F287" w14:textId="77777777" w:rsidR="009F618C" w:rsidRPr="00D911C9" w:rsidRDefault="009F618C" w:rsidP="00FD75D9">
            <w:pPr>
              <w:jc w:val="both"/>
              <w:rPr>
                <w:rFonts w:cs="Arial"/>
                <w:color w:val="000000"/>
                <w:sz w:val="20"/>
                <w:szCs w:val="20"/>
                <w:lang w:eastAsia="it-IT"/>
              </w:rPr>
            </w:pPr>
            <w:r w:rsidRPr="00D911C9">
              <w:rPr>
                <w:rFonts w:cs="Arial"/>
                <w:color w:val="000000"/>
                <w:sz w:val="20"/>
                <w:szCs w:val="20"/>
                <w:lang w:eastAsia="it-IT"/>
              </w:rPr>
              <w:t>КЗ «Музей історії села Кармалюкове»</w:t>
            </w:r>
          </w:p>
        </w:tc>
      </w:tr>
      <w:tr w:rsidR="009F618C" w:rsidRPr="00C2587D" w14:paraId="282CD97B" w14:textId="77777777" w:rsidTr="00D911C9">
        <w:trPr>
          <w:jc w:val="right"/>
        </w:trPr>
        <w:tc>
          <w:tcPr>
            <w:tcW w:w="3424" w:type="dxa"/>
            <w:shd w:val="clear" w:color="auto" w:fill="FFFFFF"/>
            <w:vAlign w:val="center"/>
          </w:tcPr>
          <w:p w14:paraId="1798E95C" w14:textId="77777777" w:rsidR="009F618C" w:rsidRPr="00C2587D" w:rsidRDefault="009F618C" w:rsidP="00FD75D9">
            <w:pPr>
              <w:rPr>
                <w:rFonts w:cs="Arial"/>
                <w:b/>
                <w:bCs/>
                <w:color w:val="000000"/>
              </w:rPr>
            </w:pPr>
            <w:r w:rsidRPr="00C2587D">
              <w:rPr>
                <w:rFonts w:cs="Arial"/>
                <w:b/>
                <w:bCs/>
                <w:color w:val="000000"/>
              </w:rPr>
              <w:t>Інше:</w:t>
            </w:r>
          </w:p>
        </w:tc>
        <w:tc>
          <w:tcPr>
            <w:tcW w:w="6795" w:type="dxa"/>
            <w:gridSpan w:val="5"/>
            <w:vAlign w:val="center"/>
          </w:tcPr>
          <w:p w14:paraId="603D3BD2" w14:textId="77777777" w:rsidR="009F618C" w:rsidRPr="00D911C9" w:rsidRDefault="009F618C" w:rsidP="00FD75D9">
            <w:pPr>
              <w:rPr>
                <w:rFonts w:cs="Arial"/>
                <w:color w:val="000000"/>
                <w:sz w:val="20"/>
                <w:szCs w:val="20"/>
                <w:lang w:eastAsia="it-IT"/>
              </w:rPr>
            </w:pPr>
            <w:r w:rsidRPr="00D911C9">
              <w:rPr>
                <w:rFonts w:cs="Arial"/>
                <w:color w:val="000000"/>
                <w:sz w:val="20"/>
                <w:szCs w:val="20"/>
                <w:lang w:eastAsia="it-IT"/>
              </w:rPr>
              <w:t>Проєкт стане прикладом сучасного підходу до збереження історичної пам’яті, залучення громади до культурного відродження та формування туристичного бренду Жмеринщини.</w:t>
            </w:r>
          </w:p>
        </w:tc>
      </w:tr>
    </w:tbl>
    <w:p w14:paraId="5BA016A1" w14:textId="77777777" w:rsidR="009F618C" w:rsidRPr="00C2587D" w:rsidRDefault="009F618C" w:rsidP="009F618C">
      <w:pPr>
        <w:rPr>
          <w:rFonts w:cs="Arial"/>
          <w:sz w:val="24"/>
        </w:rPr>
      </w:pPr>
    </w:p>
    <w:p w14:paraId="00039B26" w14:textId="77777777" w:rsidR="009F618C" w:rsidRPr="00C2587D" w:rsidRDefault="009F618C" w:rsidP="009F618C">
      <w:pPr>
        <w:jc w:val="right"/>
        <w:rPr>
          <w:rFonts w:cs="Arial"/>
          <w:b/>
          <w:sz w:val="24"/>
          <w:highlight w:val="lightGray"/>
        </w:rPr>
      </w:pPr>
    </w:p>
    <w:p w14:paraId="6037A5BE" w14:textId="77777777" w:rsidR="009F618C" w:rsidRPr="00C2587D" w:rsidRDefault="009F618C" w:rsidP="009F618C">
      <w:pPr>
        <w:jc w:val="center"/>
        <w:rPr>
          <w:rFonts w:cs="Arial"/>
          <w:b/>
          <w:color w:val="000000"/>
          <w:sz w:val="24"/>
        </w:rPr>
      </w:pPr>
      <w:r w:rsidRPr="00C2587D">
        <w:rPr>
          <w:rFonts w:cs="Arial"/>
          <w:b/>
          <w:color w:val="000000"/>
          <w:sz w:val="24"/>
        </w:rPr>
        <w:t xml:space="preserve">Форма технічного завдання на проєкт місцевого розвитку </w:t>
      </w:r>
    </w:p>
    <w:p w14:paraId="51DE66DA" w14:textId="77777777" w:rsidR="009F618C" w:rsidRPr="00C2587D" w:rsidRDefault="009F618C" w:rsidP="009F618C">
      <w:pPr>
        <w:jc w:val="center"/>
        <w:rPr>
          <w:rFonts w:cs="Arial"/>
          <w:b/>
          <w:color w:val="000000"/>
          <w:sz w:val="24"/>
        </w:rPr>
      </w:pPr>
      <w:r w:rsidRPr="00C2587D">
        <w:rPr>
          <w:rFonts w:cs="Arial"/>
          <w:b/>
          <w:color w:val="000000"/>
          <w:sz w:val="24"/>
        </w:rPr>
        <w:t>до Плану заходів з реалізації Стратегії</w:t>
      </w:r>
    </w:p>
    <w:p w14:paraId="5C1CAA8F" w14:textId="77777777" w:rsidR="009F618C" w:rsidRPr="00C2587D" w:rsidRDefault="009F618C" w:rsidP="009F618C">
      <w:pPr>
        <w:rPr>
          <w:rFonts w:cs="Arial"/>
          <w:sz w:val="24"/>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3"/>
        <w:gridCol w:w="1252"/>
        <w:gridCol w:w="1279"/>
        <w:gridCol w:w="1419"/>
        <w:gridCol w:w="1274"/>
        <w:gridCol w:w="1572"/>
      </w:tblGrid>
      <w:tr w:rsidR="009F618C" w:rsidRPr="00C2587D" w14:paraId="1DA08272" w14:textId="77777777" w:rsidTr="00D911C9">
        <w:trPr>
          <w:jc w:val="right"/>
        </w:trPr>
        <w:tc>
          <w:tcPr>
            <w:tcW w:w="3423" w:type="dxa"/>
            <w:vAlign w:val="center"/>
          </w:tcPr>
          <w:p w14:paraId="52C82955" w14:textId="77777777" w:rsidR="009F618C" w:rsidRPr="00C2587D" w:rsidRDefault="009F618C" w:rsidP="00FD75D9">
            <w:pPr>
              <w:rPr>
                <w:rFonts w:cs="Arial"/>
                <w:b/>
                <w:bCs/>
                <w:color w:val="000000"/>
              </w:rPr>
            </w:pPr>
            <w:r w:rsidRPr="00C2587D">
              <w:rPr>
                <w:rFonts w:cs="Arial"/>
                <w:b/>
                <w:bCs/>
                <w:color w:val="000000"/>
              </w:rPr>
              <w:t>Назва проєкту:</w:t>
            </w:r>
          </w:p>
        </w:tc>
        <w:tc>
          <w:tcPr>
            <w:tcW w:w="6796" w:type="dxa"/>
            <w:gridSpan w:val="5"/>
          </w:tcPr>
          <w:p w14:paraId="63E6859B" w14:textId="77777777" w:rsidR="009F618C" w:rsidRPr="00C2587D" w:rsidRDefault="009F618C" w:rsidP="00FD75D9">
            <w:pPr>
              <w:spacing w:before="40" w:after="40"/>
              <w:rPr>
                <w:rFonts w:cs="Arial"/>
                <w:b/>
                <w:sz w:val="20"/>
                <w:szCs w:val="20"/>
                <w:lang w:eastAsia="it-IT"/>
              </w:rPr>
            </w:pPr>
            <w:r w:rsidRPr="00C2587D">
              <w:rPr>
                <w:rFonts w:cs="Arial"/>
                <w:b/>
                <w:sz w:val="20"/>
                <w:szCs w:val="20"/>
                <w:lang w:eastAsia="it-IT"/>
              </w:rPr>
              <w:t>«Заповіт великого майстра: розвиток культурного туризму та музеєфікація спадщини М. Г. Маслюка»</w:t>
            </w:r>
          </w:p>
        </w:tc>
      </w:tr>
      <w:tr w:rsidR="009F618C" w:rsidRPr="00C2587D" w14:paraId="40621E00" w14:textId="77777777" w:rsidTr="00D911C9">
        <w:trPr>
          <w:jc w:val="right"/>
        </w:trPr>
        <w:tc>
          <w:tcPr>
            <w:tcW w:w="3423" w:type="dxa"/>
          </w:tcPr>
          <w:p w14:paraId="31B921E9" w14:textId="77777777" w:rsidR="009F618C" w:rsidRPr="00C2587D" w:rsidRDefault="009F618C" w:rsidP="00FD75D9">
            <w:pPr>
              <w:spacing w:before="40" w:after="40"/>
              <w:rPr>
                <w:rFonts w:cs="Arial"/>
                <w:sz w:val="20"/>
                <w:lang w:eastAsia="it-IT"/>
              </w:rPr>
            </w:pPr>
            <w:r w:rsidRPr="00C2587D">
              <w:rPr>
                <w:rFonts w:cs="Arial"/>
                <w:b/>
                <w:bCs/>
              </w:rPr>
              <w:t>Ваші контакти</w:t>
            </w:r>
            <w:r w:rsidRPr="00C2587D">
              <w:rPr>
                <w:rFonts w:cs="Arial"/>
                <w:sz w:val="20"/>
                <w:lang w:eastAsia="it-IT"/>
              </w:rPr>
              <w:t>:</w:t>
            </w:r>
          </w:p>
          <w:p w14:paraId="2656C0F6" w14:textId="77777777" w:rsidR="009F618C" w:rsidRPr="00C2587D" w:rsidRDefault="009F618C" w:rsidP="00FD75D9">
            <w:pPr>
              <w:spacing w:before="40" w:after="40"/>
              <w:rPr>
                <w:rFonts w:cs="Arial"/>
                <w:b/>
                <w:bCs/>
              </w:rPr>
            </w:pPr>
            <w:r w:rsidRPr="00C2587D">
              <w:rPr>
                <w:rFonts w:cs="Arial"/>
                <w:sz w:val="20"/>
                <w:lang w:eastAsia="it-IT"/>
              </w:rPr>
              <w:t>Назва установи, організації, підприємства</w:t>
            </w:r>
          </w:p>
        </w:tc>
        <w:tc>
          <w:tcPr>
            <w:tcW w:w="6796" w:type="dxa"/>
            <w:gridSpan w:val="5"/>
          </w:tcPr>
          <w:p w14:paraId="6935649F" w14:textId="77777777" w:rsidR="009F618C" w:rsidRPr="00D911C9" w:rsidRDefault="009F618C" w:rsidP="00FD75D9">
            <w:pPr>
              <w:spacing w:before="40" w:after="40"/>
              <w:rPr>
                <w:rFonts w:cs="Arial"/>
                <w:sz w:val="20"/>
                <w:szCs w:val="20"/>
                <w:lang w:eastAsia="it-IT"/>
              </w:rPr>
            </w:pPr>
            <w:r w:rsidRPr="00D911C9">
              <w:rPr>
                <w:rFonts w:cs="Arial"/>
                <w:sz w:val="20"/>
                <w:szCs w:val="20"/>
                <w:lang w:eastAsia="it-IT"/>
              </w:rPr>
              <w:t>КЗ «Міський історичний музей»</w:t>
            </w:r>
          </w:p>
        </w:tc>
      </w:tr>
      <w:tr w:rsidR="009F618C" w:rsidRPr="00C2587D" w14:paraId="15405076" w14:textId="77777777" w:rsidTr="00D911C9">
        <w:trPr>
          <w:jc w:val="right"/>
        </w:trPr>
        <w:tc>
          <w:tcPr>
            <w:tcW w:w="3423" w:type="dxa"/>
          </w:tcPr>
          <w:p w14:paraId="0F25B19B" w14:textId="77777777" w:rsidR="009F618C" w:rsidRPr="00C2587D" w:rsidRDefault="009F618C" w:rsidP="00FD75D9">
            <w:pPr>
              <w:spacing w:before="40" w:after="40"/>
              <w:rPr>
                <w:rFonts w:cs="Arial"/>
                <w:b/>
                <w:bCs/>
              </w:rPr>
            </w:pPr>
            <w:r w:rsidRPr="00C2587D">
              <w:rPr>
                <w:rFonts w:cs="Arial"/>
                <w:sz w:val="20"/>
                <w:lang w:eastAsia="it-IT"/>
              </w:rPr>
              <w:t>Прізвище Ім’я По-батькові:</w:t>
            </w:r>
          </w:p>
        </w:tc>
        <w:tc>
          <w:tcPr>
            <w:tcW w:w="6796" w:type="dxa"/>
            <w:gridSpan w:val="5"/>
          </w:tcPr>
          <w:p w14:paraId="341B455A" w14:textId="77777777" w:rsidR="009F618C" w:rsidRPr="00D911C9" w:rsidRDefault="009F618C" w:rsidP="00FD75D9">
            <w:pPr>
              <w:spacing w:before="40" w:after="40"/>
              <w:rPr>
                <w:rFonts w:cs="Arial"/>
                <w:sz w:val="20"/>
                <w:szCs w:val="20"/>
                <w:lang w:eastAsia="it-IT"/>
              </w:rPr>
            </w:pPr>
            <w:r w:rsidRPr="00D911C9">
              <w:rPr>
                <w:rFonts w:cs="Arial"/>
                <w:sz w:val="20"/>
                <w:szCs w:val="20"/>
                <w:lang w:eastAsia="it-IT"/>
              </w:rPr>
              <w:t>Шеремета Ганна Станіславівна</w:t>
            </w:r>
          </w:p>
        </w:tc>
      </w:tr>
      <w:tr w:rsidR="009F618C" w:rsidRPr="00C2587D" w14:paraId="5B6CCAD3" w14:textId="77777777" w:rsidTr="00D911C9">
        <w:trPr>
          <w:jc w:val="right"/>
        </w:trPr>
        <w:tc>
          <w:tcPr>
            <w:tcW w:w="3423" w:type="dxa"/>
          </w:tcPr>
          <w:p w14:paraId="5F5B6C46" w14:textId="77777777" w:rsidR="009F618C" w:rsidRPr="00C2587D" w:rsidRDefault="009F618C" w:rsidP="00FD75D9">
            <w:pPr>
              <w:spacing w:before="40" w:after="40"/>
              <w:rPr>
                <w:rFonts w:cs="Arial"/>
                <w:b/>
                <w:bCs/>
              </w:rPr>
            </w:pPr>
            <w:r w:rsidRPr="00C2587D">
              <w:rPr>
                <w:rFonts w:cs="Arial"/>
                <w:sz w:val="20"/>
                <w:lang w:eastAsia="it-IT"/>
              </w:rPr>
              <w:t>Телефон (мобільний):</w:t>
            </w:r>
          </w:p>
        </w:tc>
        <w:tc>
          <w:tcPr>
            <w:tcW w:w="6796" w:type="dxa"/>
            <w:gridSpan w:val="5"/>
          </w:tcPr>
          <w:p w14:paraId="5155961E" w14:textId="77777777" w:rsidR="009F618C" w:rsidRPr="00D911C9" w:rsidRDefault="009F618C" w:rsidP="00FD75D9">
            <w:pPr>
              <w:spacing w:before="40" w:after="40"/>
              <w:rPr>
                <w:rFonts w:cs="Arial"/>
                <w:sz w:val="20"/>
                <w:szCs w:val="20"/>
                <w:lang w:eastAsia="it-IT"/>
              </w:rPr>
            </w:pPr>
            <w:r w:rsidRPr="00D911C9">
              <w:rPr>
                <w:rFonts w:cs="Arial"/>
                <w:sz w:val="20"/>
                <w:szCs w:val="20"/>
                <w:lang w:eastAsia="it-IT"/>
              </w:rPr>
              <w:t>0978492746</w:t>
            </w:r>
          </w:p>
        </w:tc>
      </w:tr>
      <w:tr w:rsidR="009F618C" w:rsidRPr="00C2587D" w14:paraId="74724533" w14:textId="77777777" w:rsidTr="00D911C9">
        <w:trPr>
          <w:jc w:val="right"/>
        </w:trPr>
        <w:tc>
          <w:tcPr>
            <w:tcW w:w="3423" w:type="dxa"/>
          </w:tcPr>
          <w:p w14:paraId="77ADD6E4" w14:textId="77777777" w:rsidR="009F618C" w:rsidRPr="00C2587D" w:rsidRDefault="009F618C" w:rsidP="00FD75D9">
            <w:pPr>
              <w:spacing w:before="40" w:after="40"/>
              <w:rPr>
                <w:rFonts w:cs="Arial"/>
                <w:b/>
                <w:bCs/>
              </w:rPr>
            </w:pPr>
            <w:r w:rsidRPr="00C2587D">
              <w:rPr>
                <w:rFonts w:cs="Arial"/>
                <w:sz w:val="20"/>
                <w:lang w:eastAsia="it-IT"/>
              </w:rPr>
              <w:t>Електронна адреса:</w:t>
            </w:r>
          </w:p>
        </w:tc>
        <w:tc>
          <w:tcPr>
            <w:tcW w:w="6796" w:type="dxa"/>
            <w:gridSpan w:val="5"/>
          </w:tcPr>
          <w:p w14:paraId="6319EBA7" w14:textId="779C7D0F" w:rsidR="009F618C" w:rsidRPr="00D911C9" w:rsidRDefault="00D85FFD" w:rsidP="00FD75D9">
            <w:pPr>
              <w:spacing w:before="40" w:after="40"/>
              <w:rPr>
                <w:rFonts w:cs="Arial"/>
                <w:sz w:val="20"/>
                <w:szCs w:val="20"/>
                <w:lang w:eastAsia="it-IT"/>
              </w:rPr>
            </w:pPr>
            <w:hyperlink r:id="rId43" w:history="1">
              <w:r w:rsidR="00D911C9" w:rsidRPr="00D911C9">
                <w:rPr>
                  <w:rStyle w:val="af0"/>
                  <w:rFonts w:cs="Arial"/>
                  <w:noProof w:val="0"/>
                  <w:lang w:eastAsia="it-IT"/>
                </w:rPr>
                <w:t>museum23100@i.ua</w:t>
              </w:r>
            </w:hyperlink>
            <w:r w:rsidR="00D911C9" w:rsidRPr="00D911C9">
              <w:rPr>
                <w:rFonts w:cs="Arial"/>
                <w:sz w:val="20"/>
                <w:szCs w:val="20"/>
                <w:lang w:eastAsia="it-IT"/>
              </w:rPr>
              <w:t xml:space="preserve"> </w:t>
            </w:r>
          </w:p>
        </w:tc>
      </w:tr>
      <w:tr w:rsidR="009F618C" w:rsidRPr="00C2587D" w14:paraId="48D9984A" w14:textId="77777777" w:rsidTr="00D911C9">
        <w:trPr>
          <w:jc w:val="right"/>
        </w:trPr>
        <w:tc>
          <w:tcPr>
            <w:tcW w:w="3423" w:type="dxa"/>
            <w:vAlign w:val="center"/>
          </w:tcPr>
          <w:p w14:paraId="5ED5A611" w14:textId="77777777" w:rsidR="009F618C" w:rsidRPr="00C2587D" w:rsidRDefault="009F618C" w:rsidP="00FD75D9">
            <w:pPr>
              <w:outlineLvl w:val="5"/>
              <w:rPr>
                <w:rFonts w:cs="Arial"/>
                <w:b/>
                <w:bCs/>
                <w:color w:val="000000"/>
              </w:rPr>
            </w:pPr>
            <w:r w:rsidRPr="00C2587D">
              <w:rPr>
                <w:rFonts w:cs="Arial"/>
                <w:b/>
                <w:bCs/>
                <w:color w:val="000000"/>
              </w:rPr>
              <w:t>Номер і назва завдання з Стратегії</w:t>
            </w:r>
            <w:r w:rsidRPr="00C2587D">
              <w:rPr>
                <w:rFonts w:cs="Arial"/>
                <w:b/>
                <w:bCs/>
                <w:sz w:val="16"/>
                <w:szCs w:val="16"/>
                <w:lang w:eastAsia="it-IT"/>
              </w:rPr>
              <w:t xml:space="preserve"> </w:t>
            </w:r>
            <w:r w:rsidRPr="00C2587D">
              <w:rPr>
                <w:rFonts w:cs="Arial"/>
                <w:b/>
                <w:bCs/>
                <w:color w:val="000000"/>
              </w:rPr>
              <w:t>розвитку Жмеринської міської територіальної громади,  якому відповідає проєкт:</w:t>
            </w:r>
          </w:p>
        </w:tc>
        <w:tc>
          <w:tcPr>
            <w:tcW w:w="6796" w:type="dxa"/>
            <w:gridSpan w:val="5"/>
          </w:tcPr>
          <w:p w14:paraId="4550D3C9" w14:textId="77777777" w:rsidR="009F618C" w:rsidRPr="00D911C9" w:rsidRDefault="009F618C" w:rsidP="00FD75D9">
            <w:pPr>
              <w:pBdr>
                <w:left w:val="single" w:sz="18" w:space="4" w:color="auto"/>
              </w:pBdr>
              <w:spacing w:before="40" w:after="40"/>
              <w:rPr>
                <w:rFonts w:cs="Arial"/>
                <w:sz w:val="20"/>
                <w:szCs w:val="20"/>
                <w:lang w:eastAsia="it-IT"/>
              </w:rPr>
            </w:pPr>
            <w:r w:rsidRPr="00D911C9">
              <w:rPr>
                <w:rFonts w:cs="Arial"/>
                <w:sz w:val="20"/>
                <w:szCs w:val="20"/>
                <w:lang w:eastAsia="it-IT"/>
              </w:rPr>
              <w:t>А 5.1</w:t>
            </w:r>
            <w:r w:rsidRPr="00D911C9">
              <w:rPr>
                <w:rFonts w:cs="Arial"/>
                <w:bCs/>
                <w:sz w:val="20"/>
                <w:szCs w:val="20"/>
                <w:lang w:eastAsia="it-IT"/>
              </w:rPr>
              <w:t>. Маркетингова діяльність у сфері туризму та створення конкурентних туристичних продуктів та маршрутів</w:t>
            </w:r>
          </w:p>
        </w:tc>
      </w:tr>
      <w:tr w:rsidR="009F618C" w:rsidRPr="00C2587D" w14:paraId="0C89966C" w14:textId="77777777" w:rsidTr="00D911C9">
        <w:trPr>
          <w:jc w:val="right"/>
        </w:trPr>
        <w:tc>
          <w:tcPr>
            <w:tcW w:w="3423" w:type="dxa"/>
            <w:vAlign w:val="center"/>
          </w:tcPr>
          <w:p w14:paraId="5EB439A7" w14:textId="77777777" w:rsidR="009F618C" w:rsidRPr="00C2587D" w:rsidRDefault="009F618C" w:rsidP="00FD75D9">
            <w:pPr>
              <w:rPr>
                <w:rFonts w:cs="Arial"/>
                <w:b/>
                <w:bCs/>
                <w:color w:val="000000"/>
              </w:rPr>
            </w:pPr>
            <w:r w:rsidRPr="00C2587D">
              <w:rPr>
                <w:rFonts w:cs="Arial"/>
                <w:b/>
                <w:bCs/>
                <w:color w:val="000000"/>
              </w:rPr>
              <w:t>Мета проєкту:</w:t>
            </w:r>
          </w:p>
        </w:tc>
        <w:tc>
          <w:tcPr>
            <w:tcW w:w="6796" w:type="dxa"/>
            <w:gridSpan w:val="5"/>
          </w:tcPr>
          <w:p w14:paraId="4314B5A7" w14:textId="77777777"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Популяризувати творчість народного майстра мікромініатюри М. Г. Маслюка як частину нематеріальної культурної спадщини Жмеринської громади, шляхом модернізації музейного простору, розвитку туристичної інфраструктури та організації комплексної освітньо-просвітницької діяльності.</w:t>
            </w:r>
          </w:p>
        </w:tc>
      </w:tr>
      <w:tr w:rsidR="009F618C" w:rsidRPr="00C2587D" w14:paraId="08019287" w14:textId="77777777" w:rsidTr="00D911C9">
        <w:trPr>
          <w:jc w:val="right"/>
        </w:trPr>
        <w:tc>
          <w:tcPr>
            <w:tcW w:w="3423" w:type="dxa"/>
            <w:vAlign w:val="center"/>
          </w:tcPr>
          <w:p w14:paraId="155C5D0B" w14:textId="77777777" w:rsidR="009F618C" w:rsidRPr="00C2587D" w:rsidRDefault="009F618C" w:rsidP="00FD75D9">
            <w:pPr>
              <w:rPr>
                <w:rFonts w:cs="Arial"/>
                <w:b/>
                <w:bCs/>
                <w:color w:val="000000"/>
              </w:rPr>
            </w:pPr>
            <w:r w:rsidRPr="00C2587D">
              <w:rPr>
                <w:rFonts w:cs="Arial"/>
                <w:b/>
                <w:bCs/>
                <w:color w:val="000000"/>
              </w:rPr>
              <w:t>Цілі проєкту:</w:t>
            </w:r>
          </w:p>
        </w:tc>
        <w:tc>
          <w:tcPr>
            <w:tcW w:w="6796" w:type="dxa"/>
            <w:gridSpan w:val="5"/>
          </w:tcPr>
          <w:p w14:paraId="136A1E21" w14:textId="77777777" w:rsidR="009F618C" w:rsidRPr="00C2587D" w:rsidRDefault="009F618C" w:rsidP="00FD75D9">
            <w:pPr>
              <w:spacing w:before="40" w:after="40"/>
              <w:rPr>
                <w:rFonts w:cs="Arial"/>
                <w:sz w:val="20"/>
                <w:szCs w:val="20"/>
                <w:lang w:eastAsia="it-IT"/>
              </w:rPr>
            </w:pPr>
            <w:r w:rsidRPr="00C2587D">
              <w:rPr>
                <w:rFonts w:cs="Arial"/>
                <w:sz w:val="20"/>
                <w:szCs w:val="20"/>
                <w:lang w:eastAsia="it-IT"/>
              </w:rPr>
              <w:t>  Підвищення туристичної привабливості громади</w:t>
            </w:r>
          </w:p>
          <w:p w14:paraId="69129521" w14:textId="77777777" w:rsidR="009F618C" w:rsidRPr="00C2587D" w:rsidRDefault="009F618C" w:rsidP="00FD75D9">
            <w:pPr>
              <w:spacing w:before="40" w:after="40"/>
              <w:rPr>
                <w:rFonts w:cs="Arial"/>
                <w:sz w:val="20"/>
                <w:szCs w:val="20"/>
                <w:lang w:eastAsia="it-IT"/>
              </w:rPr>
            </w:pPr>
            <w:r w:rsidRPr="00C2587D">
              <w:rPr>
                <w:rFonts w:cs="Arial"/>
                <w:sz w:val="20"/>
                <w:szCs w:val="20"/>
                <w:lang w:eastAsia="it-IT"/>
              </w:rPr>
              <w:t>  Розширення експозиційних можливостей музею</w:t>
            </w:r>
          </w:p>
          <w:p w14:paraId="08EFF539" w14:textId="77777777"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  Створення інноваційного культурного продукту на основі мікромініатюр</w:t>
            </w:r>
          </w:p>
          <w:p w14:paraId="789F4433" w14:textId="77777777" w:rsidR="009F618C" w:rsidRPr="00C2587D" w:rsidRDefault="009F618C" w:rsidP="00FD75D9">
            <w:pPr>
              <w:spacing w:before="40" w:after="40"/>
              <w:rPr>
                <w:rFonts w:cs="Arial"/>
                <w:sz w:val="20"/>
                <w:szCs w:val="20"/>
                <w:lang w:eastAsia="it-IT"/>
              </w:rPr>
            </w:pPr>
            <w:r w:rsidRPr="00C2587D">
              <w:rPr>
                <w:rFonts w:cs="Arial"/>
                <w:sz w:val="20"/>
                <w:szCs w:val="20"/>
                <w:lang w:eastAsia="it-IT"/>
              </w:rPr>
              <w:t>  Формування системної просвітницької програми для дітей і молоді</w:t>
            </w:r>
          </w:p>
          <w:p w14:paraId="11085716" w14:textId="77777777" w:rsidR="009F618C" w:rsidRPr="00C2587D" w:rsidRDefault="009F618C" w:rsidP="00FD75D9">
            <w:pPr>
              <w:spacing w:before="40" w:after="40"/>
              <w:rPr>
                <w:rFonts w:cs="Arial"/>
                <w:sz w:val="20"/>
                <w:szCs w:val="20"/>
                <w:lang w:eastAsia="it-IT"/>
              </w:rPr>
            </w:pPr>
            <w:r w:rsidRPr="00C2587D">
              <w:rPr>
                <w:rFonts w:cs="Arial"/>
                <w:sz w:val="20"/>
                <w:szCs w:val="20"/>
                <w:lang w:eastAsia="it-IT"/>
              </w:rPr>
              <w:t>  Збереження й популяризація унікальної спадщини М. Г. Маслюка</w:t>
            </w:r>
          </w:p>
        </w:tc>
      </w:tr>
      <w:tr w:rsidR="009F618C" w:rsidRPr="00C2587D" w14:paraId="5231CA73" w14:textId="77777777" w:rsidTr="00DD6DC0">
        <w:trPr>
          <w:jc w:val="right"/>
        </w:trPr>
        <w:tc>
          <w:tcPr>
            <w:tcW w:w="3423" w:type="dxa"/>
            <w:vAlign w:val="center"/>
          </w:tcPr>
          <w:p w14:paraId="3F5F0CF9" w14:textId="77777777" w:rsidR="009F618C" w:rsidRPr="00C2587D" w:rsidRDefault="009F618C" w:rsidP="00FD75D9">
            <w:pPr>
              <w:autoSpaceDE w:val="0"/>
              <w:autoSpaceDN w:val="0"/>
              <w:adjustRightInd w:val="0"/>
              <w:rPr>
                <w:rFonts w:cs="Arial"/>
                <w:b/>
                <w:color w:val="000000"/>
              </w:rPr>
            </w:pPr>
            <w:r w:rsidRPr="00C2587D">
              <w:rPr>
                <w:rFonts w:cs="Arial"/>
                <w:b/>
                <w:color w:val="000000"/>
              </w:rPr>
              <w:t>Територія на яку проєкт матиме вплив:</w:t>
            </w:r>
          </w:p>
        </w:tc>
        <w:tc>
          <w:tcPr>
            <w:tcW w:w="6796" w:type="dxa"/>
            <w:gridSpan w:val="5"/>
            <w:vAlign w:val="center"/>
          </w:tcPr>
          <w:p w14:paraId="3C8194AF" w14:textId="77777777" w:rsidR="009F618C" w:rsidRPr="00C2587D" w:rsidRDefault="009F618C" w:rsidP="00DD6DC0">
            <w:pPr>
              <w:rPr>
                <w:rFonts w:cs="Arial"/>
                <w:sz w:val="20"/>
                <w:szCs w:val="20"/>
                <w:lang w:eastAsia="it-IT"/>
              </w:rPr>
            </w:pPr>
            <w:r w:rsidRPr="00C2587D">
              <w:rPr>
                <w:rFonts w:cs="Arial"/>
                <w:sz w:val="20"/>
                <w:szCs w:val="20"/>
                <w:lang w:eastAsia="it-IT"/>
              </w:rPr>
              <w:t>Місто Жмеринка та Жмеринська міська територіальна громада</w:t>
            </w:r>
          </w:p>
        </w:tc>
      </w:tr>
      <w:tr w:rsidR="009F618C" w:rsidRPr="00C2587D" w14:paraId="5509C0C4" w14:textId="77777777" w:rsidTr="00D911C9">
        <w:trPr>
          <w:jc w:val="right"/>
        </w:trPr>
        <w:tc>
          <w:tcPr>
            <w:tcW w:w="3423" w:type="dxa"/>
            <w:vAlign w:val="center"/>
          </w:tcPr>
          <w:p w14:paraId="5B30858D" w14:textId="77777777" w:rsidR="009F618C" w:rsidRPr="00C2587D" w:rsidRDefault="009F618C" w:rsidP="00FD75D9">
            <w:pPr>
              <w:autoSpaceDE w:val="0"/>
              <w:autoSpaceDN w:val="0"/>
              <w:adjustRightInd w:val="0"/>
              <w:rPr>
                <w:rFonts w:cs="Arial"/>
                <w:b/>
                <w:color w:val="000000"/>
              </w:rPr>
            </w:pPr>
            <w:r w:rsidRPr="00C2587D">
              <w:rPr>
                <w:rFonts w:cs="Arial"/>
                <w:b/>
                <w:color w:val="000000"/>
              </w:rPr>
              <w:t>Цільові групи проєкту та кількість отримувачів вигоди</w:t>
            </w:r>
          </w:p>
        </w:tc>
        <w:tc>
          <w:tcPr>
            <w:tcW w:w="6796" w:type="dxa"/>
            <w:gridSpan w:val="5"/>
          </w:tcPr>
          <w:p w14:paraId="6F806203" w14:textId="77777777" w:rsidR="009F618C" w:rsidRPr="00C2587D" w:rsidRDefault="009F618C" w:rsidP="00FD75D9">
            <w:pPr>
              <w:rPr>
                <w:rFonts w:cs="Arial"/>
                <w:sz w:val="20"/>
                <w:szCs w:val="20"/>
                <w:lang w:eastAsia="it-IT"/>
              </w:rPr>
            </w:pPr>
            <w:r w:rsidRPr="00C2587D">
              <w:rPr>
                <w:rFonts w:cs="Arial"/>
                <w:sz w:val="20"/>
                <w:szCs w:val="20"/>
                <w:lang w:eastAsia="it-IT"/>
              </w:rPr>
              <w:t>  Мешканці громади – понад 35 000 осіб</w:t>
            </w:r>
          </w:p>
          <w:p w14:paraId="2B3D0D98" w14:textId="77777777" w:rsidR="009F618C" w:rsidRPr="00C2587D" w:rsidRDefault="009F618C" w:rsidP="00FD75D9">
            <w:pPr>
              <w:rPr>
                <w:rFonts w:cs="Arial"/>
                <w:sz w:val="20"/>
                <w:szCs w:val="20"/>
                <w:lang w:eastAsia="it-IT"/>
              </w:rPr>
            </w:pPr>
            <w:r w:rsidRPr="00C2587D">
              <w:rPr>
                <w:rFonts w:cs="Arial"/>
                <w:sz w:val="20"/>
                <w:szCs w:val="20"/>
                <w:lang w:eastAsia="it-IT"/>
              </w:rPr>
              <w:t>  Школярі, студенти, освітяни – близько 5 000 осіб</w:t>
            </w:r>
          </w:p>
          <w:p w14:paraId="603F4779" w14:textId="77777777" w:rsidR="009F618C" w:rsidRPr="00C2587D" w:rsidRDefault="009F618C" w:rsidP="00FD75D9">
            <w:pPr>
              <w:rPr>
                <w:rFonts w:cs="Arial"/>
                <w:sz w:val="20"/>
                <w:szCs w:val="20"/>
                <w:lang w:eastAsia="it-IT"/>
              </w:rPr>
            </w:pPr>
            <w:r w:rsidRPr="00C2587D">
              <w:rPr>
                <w:rFonts w:cs="Arial"/>
                <w:sz w:val="20"/>
                <w:szCs w:val="20"/>
                <w:lang w:eastAsia="it-IT"/>
              </w:rPr>
              <w:t>  Відвідувачі музею, туристи – понад 6 000 осіб на рік</w:t>
            </w:r>
          </w:p>
          <w:p w14:paraId="76A5E331" w14:textId="77777777" w:rsidR="009F618C" w:rsidRPr="00C2587D" w:rsidRDefault="009F618C" w:rsidP="00FD75D9">
            <w:pPr>
              <w:rPr>
                <w:rFonts w:cs="Arial"/>
                <w:sz w:val="20"/>
                <w:szCs w:val="20"/>
                <w:lang w:eastAsia="it-IT"/>
              </w:rPr>
            </w:pPr>
            <w:r w:rsidRPr="00C2587D">
              <w:rPr>
                <w:rFonts w:cs="Arial"/>
                <w:sz w:val="20"/>
                <w:szCs w:val="20"/>
                <w:lang w:eastAsia="it-IT"/>
              </w:rPr>
              <w:t>  Творча молодь, митці, музейники, екскурсоводи</w:t>
            </w:r>
          </w:p>
        </w:tc>
      </w:tr>
      <w:tr w:rsidR="009F618C" w:rsidRPr="00C2587D" w14:paraId="4E8CF1FC" w14:textId="77777777" w:rsidTr="00D911C9">
        <w:trPr>
          <w:jc w:val="right"/>
        </w:trPr>
        <w:tc>
          <w:tcPr>
            <w:tcW w:w="3423" w:type="dxa"/>
            <w:shd w:val="clear" w:color="auto" w:fill="FFFFFF"/>
            <w:vAlign w:val="center"/>
          </w:tcPr>
          <w:p w14:paraId="723503AE" w14:textId="77777777" w:rsidR="009F618C" w:rsidRPr="00C2587D" w:rsidRDefault="009F618C" w:rsidP="00FD75D9">
            <w:pPr>
              <w:rPr>
                <w:rFonts w:cs="Arial"/>
                <w:b/>
                <w:bCs/>
                <w:color w:val="000000"/>
              </w:rPr>
            </w:pPr>
            <w:r w:rsidRPr="00C2587D">
              <w:rPr>
                <w:rFonts w:cs="Arial"/>
                <w:b/>
                <w:bCs/>
                <w:color w:val="000000"/>
              </w:rPr>
              <w:t>Стислий опис проєкту:</w:t>
            </w:r>
          </w:p>
        </w:tc>
        <w:tc>
          <w:tcPr>
            <w:tcW w:w="6796" w:type="dxa"/>
            <w:gridSpan w:val="5"/>
          </w:tcPr>
          <w:p w14:paraId="76DB1A4D" w14:textId="77777777"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Проєкт передбачає осучаснення музейного простору (експозиційні зали, сенсорне обладнання, відеоспостереження), створення мобільних і стаціонарних експозицій, друкованої продукції. Ключовим акцентом є розкриття постаті майстра М. Г. Маслюка як символу культурного потенціалу громади. Проєкт включає створення 3D-моделей, презентацій, відео, виставкових турів, художнє оформлення залів, видання буклетів і листівок, а також проведення конкурсу «Цілий світ на твоїй долоні».</w:t>
            </w:r>
          </w:p>
        </w:tc>
      </w:tr>
      <w:tr w:rsidR="009F618C" w:rsidRPr="00C2587D" w14:paraId="0C1C20F7" w14:textId="77777777" w:rsidTr="00D911C9">
        <w:trPr>
          <w:jc w:val="right"/>
        </w:trPr>
        <w:tc>
          <w:tcPr>
            <w:tcW w:w="3423" w:type="dxa"/>
            <w:shd w:val="clear" w:color="auto" w:fill="FFFFFF"/>
            <w:vAlign w:val="center"/>
          </w:tcPr>
          <w:p w14:paraId="102C2DB0" w14:textId="77777777" w:rsidR="009F618C" w:rsidRPr="00C2587D" w:rsidRDefault="009F618C" w:rsidP="00FD75D9">
            <w:pPr>
              <w:rPr>
                <w:rFonts w:cs="Arial"/>
                <w:b/>
                <w:bCs/>
                <w:color w:val="000000"/>
              </w:rPr>
            </w:pPr>
            <w:r w:rsidRPr="00C2587D">
              <w:rPr>
                <w:rFonts w:cs="Arial"/>
                <w:b/>
                <w:bCs/>
                <w:color w:val="000000"/>
              </w:rPr>
              <w:t>Основні заходи проєкту:</w:t>
            </w:r>
          </w:p>
        </w:tc>
        <w:tc>
          <w:tcPr>
            <w:tcW w:w="6796" w:type="dxa"/>
            <w:gridSpan w:val="5"/>
          </w:tcPr>
          <w:p w14:paraId="09E163F3" w14:textId="77777777" w:rsidR="009F618C" w:rsidRPr="00C2587D" w:rsidRDefault="009F618C" w:rsidP="00DD6DC0">
            <w:pPr>
              <w:jc w:val="both"/>
              <w:rPr>
                <w:rFonts w:cs="Arial"/>
                <w:sz w:val="20"/>
                <w:szCs w:val="20"/>
                <w:lang w:eastAsia="it-IT"/>
              </w:rPr>
            </w:pPr>
            <w:r w:rsidRPr="00C2587D">
              <w:rPr>
                <w:rFonts w:cs="Arial"/>
                <w:sz w:val="20"/>
                <w:szCs w:val="20"/>
                <w:lang w:eastAsia="it-IT"/>
              </w:rPr>
              <w:t>  Ремонт та оформлення фасаду музею, експозиційних зал</w:t>
            </w:r>
          </w:p>
          <w:p w14:paraId="26C41ECC" w14:textId="77777777" w:rsidR="009F618C" w:rsidRPr="00C2587D" w:rsidRDefault="009F618C" w:rsidP="00DD6DC0">
            <w:pPr>
              <w:jc w:val="both"/>
              <w:rPr>
                <w:rFonts w:cs="Arial"/>
                <w:sz w:val="20"/>
                <w:szCs w:val="20"/>
                <w:lang w:eastAsia="it-IT"/>
              </w:rPr>
            </w:pPr>
            <w:r w:rsidRPr="00C2587D">
              <w:rPr>
                <w:rFonts w:cs="Arial"/>
                <w:sz w:val="20"/>
                <w:szCs w:val="20"/>
                <w:lang w:eastAsia="it-IT"/>
              </w:rPr>
              <w:t>  Облаштування прилеглої території (озеленення, благоустрій)</w:t>
            </w:r>
          </w:p>
          <w:p w14:paraId="4CDE3074" w14:textId="77777777" w:rsidR="009F618C" w:rsidRPr="00C2587D" w:rsidRDefault="009F618C" w:rsidP="00DD6DC0">
            <w:pPr>
              <w:jc w:val="both"/>
              <w:rPr>
                <w:rFonts w:cs="Arial"/>
                <w:sz w:val="20"/>
                <w:szCs w:val="20"/>
                <w:lang w:eastAsia="it-IT"/>
              </w:rPr>
            </w:pPr>
            <w:r w:rsidRPr="00C2587D">
              <w:rPr>
                <w:rFonts w:cs="Arial"/>
                <w:sz w:val="20"/>
                <w:szCs w:val="20"/>
                <w:lang w:eastAsia="it-IT"/>
              </w:rPr>
              <w:t>  Придбання: сенсорний настінний кіоск, багатофункціональний пристрій Epson, мольберти, гучномовці, відеомонітор, фотопапір, чорнило, стелажі</w:t>
            </w:r>
          </w:p>
          <w:p w14:paraId="02F5C2C3" w14:textId="77777777" w:rsidR="009F618C" w:rsidRPr="00C2587D" w:rsidRDefault="009F618C" w:rsidP="00DD6DC0">
            <w:pPr>
              <w:jc w:val="both"/>
              <w:rPr>
                <w:rFonts w:cs="Arial"/>
                <w:sz w:val="20"/>
                <w:szCs w:val="20"/>
                <w:lang w:eastAsia="it-IT"/>
              </w:rPr>
            </w:pPr>
            <w:r w:rsidRPr="00C2587D">
              <w:rPr>
                <w:rFonts w:cs="Arial"/>
                <w:sz w:val="20"/>
                <w:szCs w:val="20"/>
                <w:lang w:eastAsia="it-IT"/>
              </w:rPr>
              <w:t>  Створення пересувної виставки та 3D-моделей мікромініатюр</w:t>
            </w:r>
          </w:p>
          <w:p w14:paraId="293D668B" w14:textId="77777777" w:rsidR="009F618C" w:rsidRPr="00C2587D" w:rsidRDefault="009F618C" w:rsidP="00DD6DC0">
            <w:pPr>
              <w:jc w:val="both"/>
              <w:rPr>
                <w:rFonts w:cs="Arial"/>
                <w:sz w:val="20"/>
                <w:szCs w:val="20"/>
                <w:lang w:eastAsia="it-IT"/>
              </w:rPr>
            </w:pPr>
            <w:r w:rsidRPr="00C2587D">
              <w:rPr>
                <w:rFonts w:cs="Arial"/>
                <w:sz w:val="20"/>
                <w:szCs w:val="20"/>
                <w:lang w:eastAsia="it-IT"/>
              </w:rPr>
              <w:t>  Проведення виставок, майстер-класів, пішохідних екскурсій</w:t>
            </w:r>
          </w:p>
          <w:p w14:paraId="3393A2B7" w14:textId="77777777" w:rsidR="009F618C" w:rsidRPr="00C2587D" w:rsidRDefault="009F618C" w:rsidP="00DD6DC0">
            <w:pPr>
              <w:jc w:val="both"/>
              <w:rPr>
                <w:rFonts w:cs="Arial"/>
                <w:sz w:val="20"/>
                <w:szCs w:val="20"/>
                <w:lang w:eastAsia="it-IT"/>
              </w:rPr>
            </w:pPr>
            <w:r w:rsidRPr="00C2587D">
              <w:rPr>
                <w:rFonts w:cs="Arial"/>
                <w:sz w:val="20"/>
                <w:szCs w:val="20"/>
                <w:lang w:eastAsia="it-IT"/>
              </w:rPr>
              <w:t>  Організація конкурсу для дітей і молоді</w:t>
            </w:r>
          </w:p>
          <w:p w14:paraId="41D60426" w14:textId="77777777" w:rsidR="009F618C" w:rsidRPr="00C2587D" w:rsidRDefault="009F618C" w:rsidP="00DD6DC0">
            <w:pPr>
              <w:jc w:val="both"/>
              <w:rPr>
                <w:rFonts w:cs="Arial"/>
                <w:sz w:val="20"/>
                <w:szCs w:val="20"/>
                <w:lang w:eastAsia="it-IT"/>
              </w:rPr>
            </w:pPr>
            <w:r w:rsidRPr="00C2587D">
              <w:rPr>
                <w:rFonts w:cs="Arial"/>
                <w:sz w:val="20"/>
                <w:szCs w:val="20"/>
                <w:lang w:eastAsia="it-IT"/>
              </w:rPr>
              <w:t>  Друк буклетів, флаєрів, листівок</w:t>
            </w:r>
          </w:p>
          <w:p w14:paraId="4A69EC16" w14:textId="77777777" w:rsidR="009F618C" w:rsidRPr="00C2587D" w:rsidRDefault="009F618C" w:rsidP="00DD6DC0">
            <w:pPr>
              <w:jc w:val="both"/>
              <w:rPr>
                <w:rFonts w:cs="Arial"/>
                <w:sz w:val="20"/>
                <w:szCs w:val="20"/>
                <w:lang w:eastAsia="it-IT"/>
              </w:rPr>
            </w:pPr>
            <w:r w:rsidRPr="00C2587D">
              <w:rPr>
                <w:rFonts w:cs="Arial"/>
                <w:sz w:val="20"/>
                <w:szCs w:val="20"/>
                <w:lang w:eastAsia="it-IT"/>
              </w:rPr>
              <w:t>  Розробка й запуск промоційного контенту</w:t>
            </w:r>
          </w:p>
          <w:p w14:paraId="5C92F05E" w14:textId="77777777" w:rsidR="009F618C" w:rsidRPr="00C2587D" w:rsidRDefault="009F618C" w:rsidP="00DD6DC0">
            <w:pPr>
              <w:jc w:val="both"/>
              <w:rPr>
                <w:rFonts w:cs="Arial"/>
                <w:sz w:val="20"/>
                <w:szCs w:val="20"/>
                <w:lang w:eastAsia="it-IT"/>
              </w:rPr>
            </w:pPr>
            <w:r w:rsidRPr="00C2587D">
              <w:rPr>
                <w:rFonts w:cs="Arial"/>
                <w:sz w:val="20"/>
                <w:szCs w:val="20"/>
                <w:lang w:eastAsia="it-IT"/>
              </w:rPr>
              <w:t>  Виготовлення пам’ятного знаку М. Г. Маслюку</w:t>
            </w:r>
          </w:p>
        </w:tc>
      </w:tr>
      <w:tr w:rsidR="009F618C" w:rsidRPr="00C2587D" w14:paraId="5D5D15AF" w14:textId="77777777" w:rsidTr="00D911C9">
        <w:trPr>
          <w:jc w:val="right"/>
        </w:trPr>
        <w:tc>
          <w:tcPr>
            <w:tcW w:w="3423" w:type="dxa"/>
            <w:shd w:val="clear" w:color="auto" w:fill="FFFFFF"/>
            <w:vAlign w:val="center"/>
          </w:tcPr>
          <w:p w14:paraId="2E295CE7" w14:textId="77777777" w:rsidR="009F618C" w:rsidRPr="00C2587D" w:rsidRDefault="009F618C" w:rsidP="00FD75D9">
            <w:pPr>
              <w:rPr>
                <w:rFonts w:cs="Arial"/>
                <w:b/>
                <w:bCs/>
                <w:color w:val="000000"/>
              </w:rPr>
            </w:pPr>
            <w:r w:rsidRPr="00C2587D">
              <w:rPr>
                <w:rFonts w:cs="Arial"/>
                <w:b/>
                <w:bCs/>
                <w:color w:val="000000"/>
              </w:rPr>
              <w:t>Індикатори (показники) результативності:</w:t>
            </w:r>
          </w:p>
        </w:tc>
        <w:tc>
          <w:tcPr>
            <w:tcW w:w="6796" w:type="dxa"/>
            <w:gridSpan w:val="5"/>
          </w:tcPr>
          <w:p w14:paraId="03DDD41A" w14:textId="77777777" w:rsidR="009F618C" w:rsidRPr="00C2587D" w:rsidRDefault="009F618C" w:rsidP="00DD6DC0">
            <w:pPr>
              <w:jc w:val="both"/>
              <w:rPr>
                <w:rFonts w:cs="Arial"/>
                <w:sz w:val="20"/>
                <w:szCs w:val="20"/>
                <w:lang w:eastAsia="it-IT"/>
              </w:rPr>
            </w:pPr>
            <w:r w:rsidRPr="00C2587D">
              <w:rPr>
                <w:rFonts w:cs="Arial"/>
                <w:sz w:val="20"/>
                <w:szCs w:val="20"/>
                <w:lang w:eastAsia="it-IT"/>
              </w:rPr>
              <w:t>  Проведено щонайменше 20 виставок і понад 100 екскурсій щорічно</w:t>
            </w:r>
          </w:p>
          <w:p w14:paraId="701E962D" w14:textId="77777777" w:rsidR="009F618C" w:rsidRPr="00C2587D" w:rsidRDefault="009F618C" w:rsidP="00DD6DC0">
            <w:pPr>
              <w:jc w:val="both"/>
              <w:rPr>
                <w:rFonts w:cs="Arial"/>
                <w:sz w:val="20"/>
                <w:szCs w:val="20"/>
                <w:lang w:eastAsia="it-IT"/>
              </w:rPr>
            </w:pPr>
            <w:r w:rsidRPr="00C2587D">
              <w:rPr>
                <w:rFonts w:cs="Arial"/>
                <w:sz w:val="20"/>
                <w:szCs w:val="20"/>
                <w:lang w:eastAsia="it-IT"/>
              </w:rPr>
              <w:t>  Видано: 50 буклетів, 40 комплектів листівок</w:t>
            </w:r>
          </w:p>
          <w:p w14:paraId="6074270B" w14:textId="77777777" w:rsidR="009F618C" w:rsidRPr="00C2587D" w:rsidRDefault="009F618C" w:rsidP="00DD6DC0">
            <w:pPr>
              <w:jc w:val="both"/>
              <w:rPr>
                <w:rFonts w:cs="Arial"/>
                <w:sz w:val="20"/>
                <w:szCs w:val="20"/>
                <w:lang w:eastAsia="it-IT"/>
              </w:rPr>
            </w:pPr>
            <w:r w:rsidRPr="00C2587D">
              <w:rPr>
                <w:rFonts w:cs="Arial"/>
                <w:sz w:val="20"/>
                <w:szCs w:val="20"/>
                <w:lang w:eastAsia="it-IT"/>
              </w:rPr>
              <w:t>  Виготовлено та встановлено 5 моделей робіт Маслюка в мікрорайонах міста</w:t>
            </w:r>
          </w:p>
          <w:p w14:paraId="630AC402" w14:textId="77777777" w:rsidR="009F618C" w:rsidRPr="00C2587D" w:rsidRDefault="009F618C" w:rsidP="00DD6DC0">
            <w:pPr>
              <w:jc w:val="both"/>
              <w:rPr>
                <w:rFonts w:cs="Arial"/>
                <w:sz w:val="20"/>
                <w:szCs w:val="20"/>
                <w:lang w:eastAsia="it-IT"/>
              </w:rPr>
            </w:pPr>
            <w:r w:rsidRPr="00C2587D">
              <w:rPr>
                <w:rFonts w:cs="Arial"/>
                <w:sz w:val="20"/>
                <w:szCs w:val="20"/>
                <w:lang w:eastAsia="it-IT"/>
              </w:rPr>
              <w:t>  Проведено щорічний конкурс «Цілий світ на твоїй долоні»</w:t>
            </w:r>
          </w:p>
          <w:p w14:paraId="2F0E79F6" w14:textId="77777777" w:rsidR="009F618C" w:rsidRPr="00C2587D" w:rsidRDefault="009F618C" w:rsidP="00DD6DC0">
            <w:pPr>
              <w:jc w:val="both"/>
              <w:rPr>
                <w:rFonts w:cs="Arial"/>
                <w:sz w:val="20"/>
                <w:szCs w:val="20"/>
                <w:lang w:eastAsia="it-IT"/>
              </w:rPr>
            </w:pPr>
            <w:r w:rsidRPr="00C2587D">
              <w:rPr>
                <w:rFonts w:cs="Arial"/>
                <w:sz w:val="20"/>
                <w:szCs w:val="20"/>
                <w:lang w:eastAsia="it-IT"/>
              </w:rPr>
              <w:t>  Зростання кількості туристів та відвідувачів музею в 2 рази</w:t>
            </w:r>
          </w:p>
          <w:p w14:paraId="5969A829" w14:textId="77777777" w:rsidR="009F618C" w:rsidRPr="00C2587D" w:rsidRDefault="009F618C" w:rsidP="00DD6DC0">
            <w:pPr>
              <w:jc w:val="both"/>
              <w:rPr>
                <w:rFonts w:cs="Arial"/>
                <w:sz w:val="20"/>
                <w:szCs w:val="20"/>
                <w:lang w:eastAsia="it-IT"/>
              </w:rPr>
            </w:pPr>
            <w:r w:rsidRPr="00C2587D">
              <w:rPr>
                <w:rFonts w:cs="Arial"/>
                <w:sz w:val="20"/>
                <w:szCs w:val="20"/>
                <w:lang w:eastAsia="it-IT"/>
              </w:rPr>
              <w:t>  Установлено відеоспостереження та сенсорну панель</w:t>
            </w:r>
          </w:p>
          <w:p w14:paraId="456505E9" w14:textId="77777777" w:rsidR="009F618C" w:rsidRPr="00C2587D" w:rsidRDefault="009F618C" w:rsidP="00DD6DC0">
            <w:pPr>
              <w:jc w:val="both"/>
              <w:rPr>
                <w:rFonts w:cs="Arial"/>
                <w:sz w:val="20"/>
                <w:szCs w:val="20"/>
                <w:lang w:eastAsia="it-IT"/>
              </w:rPr>
            </w:pPr>
            <w:r w:rsidRPr="00C2587D">
              <w:rPr>
                <w:rFonts w:cs="Arial"/>
                <w:sz w:val="20"/>
                <w:szCs w:val="20"/>
                <w:lang w:eastAsia="it-IT"/>
              </w:rPr>
              <w:t>  Каталогізовано мікромініатюри майстра</w:t>
            </w:r>
          </w:p>
          <w:p w14:paraId="4FA08D64" w14:textId="77777777" w:rsidR="009F618C" w:rsidRPr="00C2587D" w:rsidRDefault="009F618C" w:rsidP="00DD6DC0">
            <w:pPr>
              <w:jc w:val="both"/>
              <w:rPr>
                <w:rFonts w:cs="Arial"/>
                <w:sz w:val="20"/>
                <w:szCs w:val="20"/>
                <w:lang w:eastAsia="it-IT"/>
              </w:rPr>
            </w:pPr>
            <w:r w:rsidRPr="00C2587D">
              <w:rPr>
                <w:rFonts w:cs="Arial"/>
                <w:sz w:val="20"/>
                <w:szCs w:val="20"/>
                <w:lang w:eastAsia="it-IT"/>
              </w:rPr>
              <w:t>  Вивчення спадщини Маслюка включено до шкільних екскурсій</w:t>
            </w:r>
          </w:p>
        </w:tc>
      </w:tr>
      <w:tr w:rsidR="009F618C" w:rsidRPr="00C2587D" w14:paraId="00386116" w14:textId="77777777" w:rsidTr="00D911C9">
        <w:trPr>
          <w:jc w:val="right"/>
        </w:trPr>
        <w:tc>
          <w:tcPr>
            <w:tcW w:w="3423" w:type="dxa"/>
            <w:shd w:val="clear" w:color="auto" w:fill="FFFFFF"/>
            <w:vAlign w:val="center"/>
          </w:tcPr>
          <w:p w14:paraId="5715CB0A" w14:textId="77777777" w:rsidR="009F618C" w:rsidRPr="00C2587D" w:rsidRDefault="009F618C" w:rsidP="00FD75D9">
            <w:pPr>
              <w:rPr>
                <w:rFonts w:cs="Arial"/>
                <w:b/>
                <w:color w:val="000000"/>
              </w:rPr>
            </w:pPr>
            <w:r w:rsidRPr="00C2587D">
              <w:rPr>
                <w:rFonts w:cs="Arial"/>
                <w:b/>
                <w:color w:val="000000"/>
              </w:rPr>
              <w:t xml:space="preserve">Період здійснення: </w:t>
            </w:r>
          </w:p>
        </w:tc>
        <w:tc>
          <w:tcPr>
            <w:tcW w:w="6796" w:type="dxa"/>
            <w:gridSpan w:val="5"/>
            <w:vAlign w:val="center"/>
          </w:tcPr>
          <w:p w14:paraId="7A1B311F" w14:textId="77777777" w:rsidR="009F618C" w:rsidRPr="00C2587D" w:rsidRDefault="009F618C" w:rsidP="00FD75D9">
            <w:pPr>
              <w:rPr>
                <w:rFonts w:cs="Arial"/>
                <w:color w:val="000000"/>
                <w:lang w:eastAsia="it-IT"/>
              </w:rPr>
            </w:pPr>
            <w:r w:rsidRPr="00C2587D">
              <w:rPr>
                <w:rFonts w:cs="Arial"/>
                <w:b/>
                <w:color w:val="000000"/>
              </w:rPr>
              <w:t>2025 – 2028 роки:</w:t>
            </w:r>
          </w:p>
        </w:tc>
      </w:tr>
      <w:tr w:rsidR="009F618C" w:rsidRPr="00C2587D" w14:paraId="6110B937" w14:textId="77777777" w:rsidTr="00D911C9">
        <w:trPr>
          <w:jc w:val="right"/>
        </w:trPr>
        <w:tc>
          <w:tcPr>
            <w:tcW w:w="3423" w:type="dxa"/>
            <w:vMerge w:val="restart"/>
            <w:shd w:val="clear" w:color="auto" w:fill="FFFFFF"/>
            <w:vAlign w:val="center"/>
          </w:tcPr>
          <w:p w14:paraId="0DF12EFC" w14:textId="77777777" w:rsidR="009F618C" w:rsidRPr="00C2587D" w:rsidRDefault="009F618C" w:rsidP="00FD75D9">
            <w:pPr>
              <w:rPr>
                <w:rFonts w:cs="Arial"/>
                <w:b/>
                <w:bCs/>
                <w:color w:val="000000"/>
              </w:rPr>
            </w:pPr>
            <w:r w:rsidRPr="00C2587D">
              <w:rPr>
                <w:rFonts w:cs="Arial"/>
                <w:b/>
                <w:bCs/>
                <w:color w:val="000000"/>
              </w:rPr>
              <w:t>Орієнтовна вартість проєкту, тис. грн., в тому числі:</w:t>
            </w:r>
          </w:p>
        </w:tc>
        <w:tc>
          <w:tcPr>
            <w:tcW w:w="1252" w:type="dxa"/>
            <w:shd w:val="clear" w:color="auto" w:fill="E6E6E6"/>
            <w:vAlign w:val="center"/>
          </w:tcPr>
          <w:p w14:paraId="78A4308B" w14:textId="77777777" w:rsidR="009F618C" w:rsidRPr="00C2587D" w:rsidRDefault="009F618C" w:rsidP="00FD75D9">
            <w:pPr>
              <w:jc w:val="center"/>
              <w:rPr>
                <w:rFonts w:cs="Arial"/>
                <w:b/>
                <w:color w:val="000000"/>
                <w:lang w:eastAsia="it-IT"/>
              </w:rPr>
            </w:pPr>
            <w:r w:rsidRPr="00C2587D">
              <w:rPr>
                <w:rFonts w:cs="Arial"/>
                <w:b/>
                <w:color w:val="000000"/>
                <w:lang w:eastAsia="it-IT"/>
              </w:rPr>
              <w:t>2025</w:t>
            </w:r>
          </w:p>
        </w:tc>
        <w:tc>
          <w:tcPr>
            <w:tcW w:w="1279" w:type="dxa"/>
            <w:shd w:val="clear" w:color="auto" w:fill="E6E6E6"/>
            <w:vAlign w:val="center"/>
          </w:tcPr>
          <w:p w14:paraId="4DE73924" w14:textId="77777777" w:rsidR="009F618C" w:rsidRPr="00C2587D" w:rsidRDefault="009F618C" w:rsidP="00FD75D9">
            <w:pPr>
              <w:jc w:val="center"/>
              <w:rPr>
                <w:rFonts w:cs="Arial"/>
                <w:b/>
                <w:color w:val="000000"/>
                <w:lang w:eastAsia="it-IT"/>
              </w:rPr>
            </w:pPr>
            <w:r w:rsidRPr="00C2587D">
              <w:rPr>
                <w:rFonts w:cs="Arial"/>
                <w:b/>
                <w:color w:val="000000"/>
                <w:lang w:eastAsia="it-IT"/>
              </w:rPr>
              <w:t>2026</w:t>
            </w:r>
          </w:p>
        </w:tc>
        <w:tc>
          <w:tcPr>
            <w:tcW w:w="1419" w:type="dxa"/>
            <w:tcBorders>
              <w:bottom w:val="single" w:sz="4" w:space="0" w:color="auto"/>
            </w:tcBorders>
            <w:shd w:val="clear" w:color="auto" w:fill="E6E6E6"/>
            <w:vAlign w:val="center"/>
          </w:tcPr>
          <w:p w14:paraId="3A87F4AB" w14:textId="77777777" w:rsidR="009F618C" w:rsidRPr="00C2587D" w:rsidRDefault="009F618C" w:rsidP="00FD75D9">
            <w:pPr>
              <w:jc w:val="center"/>
              <w:rPr>
                <w:rFonts w:cs="Arial"/>
                <w:b/>
                <w:color w:val="000000"/>
                <w:lang w:eastAsia="it-IT"/>
              </w:rPr>
            </w:pPr>
            <w:r w:rsidRPr="00C2587D">
              <w:rPr>
                <w:rFonts w:cs="Arial"/>
                <w:b/>
                <w:color w:val="000000"/>
                <w:lang w:eastAsia="it-IT"/>
              </w:rPr>
              <w:t>2027</w:t>
            </w:r>
          </w:p>
        </w:tc>
        <w:tc>
          <w:tcPr>
            <w:tcW w:w="1274" w:type="dxa"/>
            <w:shd w:val="clear" w:color="auto" w:fill="E6E6E6"/>
            <w:vAlign w:val="center"/>
          </w:tcPr>
          <w:p w14:paraId="0CC20EC1" w14:textId="77777777" w:rsidR="009F618C" w:rsidRPr="00C2587D" w:rsidRDefault="009F618C" w:rsidP="00FD75D9">
            <w:pPr>
              <w:jc w:val="center"/>
              <w:rPr>
                <w:rFonts w:cs="Arial"/>
                <w:b/>
                <w:color w:val="000000"/>
                <w:lang w:eastAsia="it-IT"/>
              </w:rPr>
            </w:pPr>
            <w:r w:rsidRPr="00C2587D">
              <w:rPr>
                <w:rFonts w:cs="Arial"/>
                <w:b/>
                <w:color w:val="000000"/>
                <w:lang w:eastAsia="it-IT"/>
              </w:rPr>
              <w:t>2028</w:t>
            </w:r>
          </w:p>
        </w:tc>
        <w:tc>
          <w:tcPr>
            <w:tcW w:w="1572" w:type="dxa"/>
            <w:shd w:val="clear" w:color="auto" w:fill="E6E6E6"/>
            <w:vAlign w:val="center"/>
          </w:tcPr>
          <w:p w14:paraId="0BBCB24C" w14:textId="77777777" w:rsidR="009F618C" w:rsidRPr="00C2587D" w:rsidRDefault="009F618C" w:rsidP="00FD75D9">
            <w:pPr>
              <w:jc w:val="center"/>
              <w:rPr>
                <w:rFonts w:cs="Arial"/>
                <w:b/>
                <w:color w:val="000000"/>
                <w:lang w:eastAsia="it-IT"/>
              </w:rPr>
            </w:pPr>
            <w:r w:rsidRPr="00C2587D">
              <w:rPr>
                <w:rFonts w:cs="Arial"/>
                <w:b/>
                <w:color w:val="000000"/>
                <w:lang w:eastAsia="it-IT"/>
              </w:rPr>
              <w:t>РАЗОМ</w:t>
            </w:r>
          </w:p>
        </w:tc>
      </w:tr>
      <w:tr w:rsidR="009F618C" w:rsidRPr="00C2587D" w14:paraId="4377E149" w14:textId="77777777" w:rsidTr="00D911C9">
        <w:trPr>
          <w:jc w:val="right"/>
        </w:trPr>
        <w:tc>
          <w:tcPr>
            <w:tcW w:w="3423" w:type="dxa"/>
            <w:vMerge/>
            <w:shd w:val="clear" w:color="auto" w:fill="FFFFFF"/>
            <w:vAlign w:val="center"/>
          </w:tcPr>
          <w:p w14:paraId="599E683E" w14:textId="77777777" w:rsidR="009F618C" w:rsidRPr="00C2587D" w:rsidRDefault="009F618C" w:rsidP="00FD75D9">
            <w:pPr>
              <w:rPr>
                <w:rFonts w:cs="Arial"/>
                <w:b/>
                <w:bCs/>
                <w:color w:val="000000"/>
              </w:rPr>
            </w:pPr>
          </w:p>
        </w:tc>
        <w:tc>
          <w:tcPr>
            <w:tcW w:w="1252" w:type="dxa"/>
          </w:tcPr>
          <w:p w14:paraId="2D11F6A1" w14:textId="77777777" w:rsidR="009F618C" w:rsidRPr="00C2587D" w:rsidRDefault="009F618C" w:rsidP="00D911C9">
            <w:pPr>
              <w:jc w:val="center"/>
              <w:rPr>
                <w:rFonts w:cs="Arial"/>
                <w:b/>
                <w:color w:val="000000"/>
                <w:lang w:eastAsia="it-IT"/>
              </w:rPr>
            </w:pPr>
            <w:r w:rsidRPr="00C2587D">
              <w:rPr>
                <w:rFonts w:cs="Arial"/>
                <w:b/>
                <w:color w:val="000000"/>
                <w:lang w:eastAsia="it-IT"/>
              </w:rPr>
              <w:t>50,0</w:t>
            </w:r>
          </w:p>
        </w:tc>
        <w:tc>
          <w:tcPr>
            <w:tcW w:w="1279" w:type="dxa"/>
            <w:shd w:val="clear" w:color="auto" w:fill="FFFFFF"/>
          </w:tcPr>
          <w:p w14:paraId="252F4BBE" w14:textId="77777777" w:rsidR="009F618C" w:rsidRPr="00C2587D" w:rsidRDefault="009F618C" w:rsidP="00D911C9">
            <w:pPr>
              <w:jc w:val="center"/>
              <w:rPr>
                <w:rFonts w:cs="Arial"/>
                <w:b/>
                <w:color w:val="000000"/>
                <w:lang w:eastAsia="it-IT"/>
              </w:rPr>
            </w:pPr>
            <w:r w:rsidRPr="00C2587D">
              <w:rPr>
                <w:rFonts w:cs="Arial"/>
                <w:b/>
                <w:color w:val="000000"/>
                <w:lang w:eastAsia="it-IT"/>
              </w:rPr>
              <w:t>150,0</w:t>
            </w:r>
          </w:p>
        </w:tc>
        <w:tc>
          <w:tcPr>
            <w:tcW w:w="1419" w:type="dxa"/>
            <w:shd w:val="clear" w:color="auto" w:fill="auto"/>
          </w:tcPr>
          <w:p w14:paraId="227975EB" w14:textId="77777777" w:rsidR="009F618C" w:rsidRPr="00C2587D" w:rsidRDefault="009F618C" w:rsidP="00D911C9">
            <w:pPr>
              <w:jc w:val="center"/>
              <w:rPr>
                <w:rFonts w:cs="Arial"/>
                <w:b/>
                <w:color w:val="000000"/>
                <w:lang w:eastAsia="it-IT"/>
              </w:rPr>
            </w:pPr>
            <w:r w:rsidRPr="00C2587D">
              <w:rPr>
                <w:rFonts w:cs="Arial"/>
                <w:b/>
                <w:color w:val="000000"/>
                <w:lang w:eastAsia="it-IT"/>
              </w:rPr>
              <w:t>140,0</w:t>
            </w:r>
          </w:p>
        </w:tc>
        <w:tc>
          <w:tcPr>
            <w:tcW w:w="1274" w:type="dxa"/>
            <w:shd w:val="clear" w:color="auto" w:fill="FFFFFF"/>
          </w:tcPr>
          <w:p w14:paraId="28AD6D33" w14:textId="77777777" w:rsidR="009F618C" w:rsidRPr="00C2587D" w:rsidRDefault="009F618C" w:rsidP="00D911C9">
            <w:pPr>
              <w:jc w:val="center"/>
              <w:rPr>
                <w:rFonts w:cs="Arial"/>
                <w:b/>
                <w:color w:val="000000"/>
                <w:lang w:eastAsia="it-IT"/>
              </w:rPr>
            </w:pPr>
            <w:r w:rsidRPr="00C2587D">
              <w:rPr>
                <w:rFonts w:cs="Arial"/>
                <w:b/>
                <w:color w:val="000000"/>
                <w:lang w:eastAsia="it-IT"/>
              </w:rPr>
              <w:t>300,0</w:t>
            </w:r>
          </w:p>
        </w:tc>
        <w:tc>
          <w:tcPr>
            <w:tcW w:w="1572" w:type="dxa"/>
            <w:shd w:val="clear" w:color="auto" w:fill="FFFFFF"/>
          </w:tcPr>
          <w:p w14:paraId="2042F32E" w14:textId="77777777" w:rsidR="009F618C" w:rsidRPr="00C2587D" w:rsidRDefault="009F618C" w:rsidP="00D911C9">
            <w:pPr>
              <w:jc w:val="center"/>
              <w:rPr>
                <w:rFonts w:cs="Arial"/>
                <w:b/>
                <w:color w:val="000000"/>
                <w:lang w:eastAsia="it-IT"/>
              </w:rPr>
            </w:pPr>
            <w:r w:rsidRPr="00C2587D">
              <w:rPr>
                <w:rFonts w:cs="Arial"/>
                <w:b/>
                <w:color w:val="000000"/>
                <w:lang w:eastAsia="it-IT"/>
              </w:rPr>
              <w:t>640,0</w:t>
            </w:r>
          </w:p>
        </w:tc>
      </w:tr>
      <w:tr w:rsidR="00D911C9" w:rsidRPr="00C2587D" w14:paraId="5ECADD37" w14:textId="792ED55B" w:rsidTr="00D911C9">
        <w:trPr>
          <w:trHeight w:val="276"/>
          <w:jc w:val="right"/>
        </w:trPr>
        <w:tc>
          <w:tcPr>
            <w:tcW w:w="3423" w:type="dxa"/>
            <w:shd w:val="clear" w:color="auto" w:fill="FFFFFF"/>
            <w:vAlign w:val="center"/>
          </w:tcPr>
          <w:p w14:paraId="690A827C" w14:textId="77777777" w:rsidR="00D911C9" w:rsidRPr="00C2587D" w:rsidRDefault="00D911C9" w:rsidP="00FD75D9">
            <w:pPr>
              <w:rPr>
                <w:rFonts w:cs="Arial"/>
                <w:b/>
                <w:bCs/>
                <w:color w:val="000000"/>
              </w:rPr>
            </w:pPr>
            <w:r w:rsidRPr="00C2587D">
              <w:rPr>
                <w:rFonts w:cs="Arial"/>
                <w:b/>
                <w:bCs/>
                <w:color w:val="000000"/>
              </w:rPr>
              <w:t>по джерелах фінансування:</w:t>
            </w:r>
          </w:p>
        </w:tc>
        <w:tc>
          <w:tcPr>
            <w:tcW w:w="1252" w:type="dxa"/>
          </w:tcPr>
          <w:p w14:paraId="533CCE80" w14:textId="77777777" w:rsidR="00D911C9" w:rsidRPr="00D911C9" w:rsidRDefault="00D911C9" w:rsidP="00D911C9">
            <w:pPr>
              <w:jc w:val="center"/>
              <w:rPr>
                <w:rFonts w:cs="Arial"/>
                <w:color w:val="000000"/>
                <w:lang w:eastAsia="it-IT"/>
              </w:rPr>
            </w:pPr>
          </w:p>
        </w:tc>
        <w:tc>
          <w:tcPr>
            <w:tcW w:w="1279" w:type="dxa"/>
          </w:tcPr>
          <w:p w14:paraId="2787B35D" w14:textId="77777777" w:rsidR="00D911C9" w:rsidRPr="00D911C9" w:rsidRDefault="00D911C9" w:rsidP="00D911C9">
            <w:pPr>
              <w:jc w:val="center"/>
              <w:rPr>
                <w:rFonts w:cs="Arial"/>
                <w:color w:val="000000"/>
                <w:lang w:eastAsia="it-IT"/>
              </w:rPr>
            </w:pPr>
          </w:p>
        </w:tc>
        <w:tc>
          <w:tcPr>
            <w:tcW w:w="1419" w:type="dxa"/>
          </w:tcPr>
          <w:p w14:paraId="053AE415" w14:textId="395907A9" w:rsidR="00D911C9" w:rsidRPr="00D911C9" w:rsidRDefault="00D911C9" w:rsidP="00D911C9">
            <w:pPr>
              <w:jc w:val="center"/>
              <w:rPr>
                <w:rFonts w:cs="Arial"/>
                <w:color w:val="000000"/>
                <w:lang w:eastAsia="it-IT"/>
              </w:rPr>
            </w:pPr>
          </w:p>
        </w:tc>
        <w:tc>
          <w:tcPr>
            <w:tcW w:w="1274" w:type="dxa"/>
          </w:tcPr>
          <w:p w14:paraId="26B2E78A" w14:textId="601448D4" w:rsidR="00D911C9" w:rsidRPr="00D911C9" w:rsidRDefault="00D911C9" w:rsidP="00D911C9">
            <w:pPr>
              <w:jc w:val="center"/>
              <w:rPr>
                <w:rFonts w:cs="Arial"/>
                <w:color w:val="000000"/>
                <w:lang w:eastAsia="it-IT"/>
              </w:rPr>
            </w:pPr>
          </w:p>
        </w:tc>
        <w:tc>
          <w:tcPr>
            <w:tcW w:w="1572" w:type="dxa"/>
          </w:tcPr>
          <w:p w14:paraId="14BC03D0" w14:textId="050EDFF8" w:rsidR="00D911C9" w:rsidRPr="00D911C9" w:rsidRDefault="00D911C9" w:rsidP="00D911C9">
            <w:pPr>
              <w:jc w:val="center"/>
              <w:rPr>
                <w:rFonts w:cs="Arial"/>
                <w:color w:val="000000"/>
                <w:lang w:eastAsia="it-IT"/>
              </w:rPr>
            </w:pPr>
          </w:p>
        </w:tc>
      </w:tr>
      <w:tr w:rsidR="00D911C9" w:rsidRPr="00C2587D" w14:paraId="5213D842" w14:textId="07CA8900" w:rsidTr="00D911C9">
        <w:trPr>
          <w:trHeight w:val="240"/>
          <w:jc w:val="right"/>
        </w:trPr>
        <w:tc>
          <w:tcPr>
            <w:tcW w:w="3423" w:type="dxa"/>
            <w:shd w:val="clear" w:color="auto" w:fill="FFFFFF"/>
            <w:vAlign w:val="center"/>
          </w:tcPr>
          <w:p w14:paraId="27956338" w14:textId="77777777" w:rsidR="00D911C9" w:rsidRPr="00C2587D" w:rsidRDefault="00D911C9" w:rsidP="00FD75D9">
            <w:pPr>
              <w:rPr>
                <w:rFonts w:cs="Arial"/>
                <w:b/>
                <w:bCs/>
                <w:color w:val="000000"/>
              </w:rPr>
            </w:pPr>
            <w:r w:rsidRPr="00C2587D">
              <w:rPr>
                <w:rFonts w:cs="Arial"/>
                <w:color w:val="000000"/>
              </w:rPr>
              <w:t>- державний бюджет</w:t>
            </w:r>
          </w:p>
        </w:tc>
        <w:tc>
          <w:tcPr>
            <w:tcW w:w="1252" w:type="dxa"/>
          </w:tcPr>
          <w:p w14:paraId="290C25D3" w14:textId="77777777" w:rsidR="00D911C9" w:rsidRPr="00D911C9" w:rsidRDefault="00D911C9" w:rsidP="00D911C9">
            <w:pPr>
              <w:jc w:val="center"/>
              <w:rPr>
                <w:rFonts w:cs="Arial"/>
                <w:color w:val="000000"/>
                <w:sz w:val="20"/>
                <w:lang w:eastAsia="it-IT"/>
              </w:rPr>
            </w:pPr>
          </w:p>
        </w:tc>
        <w:tc>
          <w:tcPr>
            <w:tcW w:w="1279" w:type="dxa"/>
          </w:tcPr>
          <w:p w14:paraId="7E3F8412" w14:textId="77777777" w:rsidR="00D911C9" w:rsidRPr="00D911C9" w:rsidRDefault="00D911C9" w:rsidP="00D911C9">
            <w:pPr>
              <w:jc w:val="center"/>
              <w:rPr>
                <w:rFonts w:cs="Arial"/>
                <w:color w:val="000000"/>
                <w:sz w:val="20"/>
                <w:lang w:eastAsia="it-IT"/>
              </w:rPr>
            </w:pPr>
          </w:p>
        </w:tc>
        <w:tc>
          <w:tcPr>
            <w:tcW w:w="1419" w:type="dxa"/>
          </w:tcPr>
          <w:p w14:paraId="3E9DB65B" w14:textId="329E4EBD" w:rsidR="00D911C9" w:rsidRPr="00D911C9" w:rsidRDefault="00D911C9" w:rsidP="00D911C9">
            <w:pPr>
              <w:jc w:val="center"/>
              <w:rPr>
                <w:rFonts w:cs="Arial"/>
                <w:color w:val="000000"/>
                <w:sz w:val="20"/>
                <w:lang w:eastAsia="it-IT"/>
              </w:rPr>
            </w:pPr>
          </w:p>
        </w:tc>
        <w:tc>
          <w:tcPr>
            <w:tcW w:w="1274" w:type="dxa"/>
          </w:tcPr>
          <w:p w14:paraId="0C424463" w14:textId="1EAF1AA4" w:rsidR="00D911C9" w:rsidRPr="00D911C9" w:rsidRDefault="00D911C9" w:rsidP="00D911C9">
            <w:pPr>
              <w:jc w:val="center"/>
              <w:rPr>
                <w:rFonts w:cs="Arial"/>
                <w:color w:val="000000"/>
                <w:sz w:val="20"/>
                <w:lang w:eastAsia="it-IT"/>
              </w:rPr>
            </w:pPr>
          </w:p>
        </w:tc>
        <w:tc>
          <w:tcPr>
            <w:tcW w:w="1572" w:type="dxa"/>
          </w:tcPr>
          <w:p w14:paraId="7FF66A9C" w14:textId="3DF8C8F5" w:rsidR="00D911C9" w:rsidRPr="00D911C9" w:rsidRDefault="00D911C9" w:rsidP="00D911C9">
            <w:pPr>
              <w:jc w:val="center"/>
              <w:rPr>
                <w:rFonts w:cs="Arial"/>
                <w:color w:val="000000"/>
                <w:sz w:val="20"/>
                <w:lang w:eastAsia="it-IT"/>
              </w:rPr>
            </w:pPr>
          </w:p>
        </w:tc>
      </w:tr>
      <w:tr w:rsidR="00D911C9" w:rsidRPr="00C2587D" w14:paraId="63452C6C" w14:textId="4A1573C4" w:rsidTr="00D911C9">
        <w:trPr>
          <w:trHeight w:val="254"/>
          <w:jc w:val="right"/>
        </w:trPr>
        <w:tc>
          <w:tcPr>
            <w:tcW w:w="3423" w:type="dxa"/>
            <w:shd w:val="clear" w:color="auto" w:fill="FFFFFF"/>
            <w:vAlign w:val="center"/>
          </w:tcPr>
          <w:p w14:paraId="5E5C3630" w14:textId="77777777" w:rsidR="00D911C9" w:rsidRPr="00C2587D" w:rsidRDefault="00D911C9" w:rsidP="00FD75D9">
            <w:pPr>
              <w:rPr>
                <w:rFonts w:cs="Arial"/>
                <w:color w:val="000000"/>
              </w:rPr>
            </w:pPr>
            <w:r w:rsidRPr="00C2587D">
              <w:rPr>
                <w:rFonts w:cs="Arial"/>
                <w:color w:val="000000"/>
              </w:rPr>
              <w:t>- обласний бюджет</w:t>
            </w:r>
          </w:p>
        </w:tc>
        <w:tc>
          <w:tcPr>
            <w:tcW w:w="1252" w:type="dxa"/>
          </w:tcPr>
          <w:p w14:paraId="1297C3F4" w14:textId="77777777" w:rsidR="00D911C9" w:rsidRPr="00D911C9" w:rsidRDefault="00D911C9" w:rsidP="00D911C9">
            <w:pPr>
              <w:jc w:val="center"/>
              <w:rPr>
                <w:rFonts w:cs="Arial"/>
                <w:color w:val="000000"/>
                <w:sz w:val="20"/>
                <w:lang w:eastAsia="it-IT"/>
              </w:rPr>
            </w:pPr>
          </w:p>
        </w:tc>
        <w:tc>
          <w:tcPr>
            <w:tcW w:w="1279" w:type="dxa"/>
          </w:tcPr>
          <w:p w14:paraId="3175034D" w14:textId="77777777" w:rsidR="00D911C9" w:rsidRPr="00D911C9" w:rsidRDefault="00D911C9" w:rsidP="00D911C9">
            <w:pPr>
              <w:jc w:val="center"/>
              <w:rPr>
                <w:rFonts w:cs="Arial"/>
                <w:color w:val="000000"/>
                <w:sz w:val="20"/>
                <w:lang w:eastAsia="it-IT"/>
              </w:rPr>
            </w:pPr>
          </w:p>
        </w:tc>
        <w:tc>
          <w:tcPr>
            <w:tcW w:w="1419" w:type="dxa"/>
          </w:tcPr>
          <w:p w14:paraId="37CE5064" w14:textId="6A7F51E1" w:rsidR="00D911C9" w:rsidRPr="00D911C9" w:rsidRDefault="00D911C9" w:rsidP="00D911C9">
            <w:pPr>
              <w:jc w:val="center"/>
              <w:rPr>
                <w:rFonts w:cs="Arial"/>
                <w:color w:val="000000"/>
                <w:sz w:val="20"/>
                <w:lang w:eastAsia="it-IT"/>
              </w:rPr>
            </w:pPr>
          </w:p>
        </w:tc>
        <w:tc>
          <w:tcPr>
            <w:tcW w:w="1274" w:type="dxa"/>
          </w:tcPr>
          <w:p w14:paraId="18C385F0" w14:textId="146668C7" w:rsidR="00D911C9" w:rsidRPr="00D911C9" w:rsidRDefault="00D911C9" w:rsidP="00D911C9">
            <w:pPr>
              <w:jc w:val="center"/>
              <w:rPr>
                <w:rFonts w:cs="Arial"/>
                <w:color w:val="000000"/>
                <w:sz w:val="20"/>
                <w:lang w:eastAsia="it-IT"/>
              </w:rPr>
            </w:pPr>
          </w:p>
        </w:tc>
        <w:tc>
          <w:tcPr>
            <w:tcW w:w="1572" w:type="dxa"/>
          </w:tcPr>
          <w:p w14:paraId="3406F28E" w14:textId="6D776751" w:rsidR="00D911C9" w:rsidRPr="00D911C9" w:rsidRDefault="00D911C9" w:rsidP="00D911C9">
            <w:pPr>
              <w:jc w:val="center"/>
              <w:rPr>
                <w:rFonts w:cs="Arial"/>
                <w:color w:val="000000"/>
                <w:sz w:val="20"/>
                <w:lang w:eastAsia="it-IT"/>
              </w:rPr>
            </w:pPr>
          </w:p>
        </w:tc>
      </w:tr>
      <w:tr w:rsidR="00D911C9" w:rsidRPr="00C2587D" w14:paraId="7F4C9206" w14:textId="3759C8D6" w:rsidTr="00D911C9">
        <w:trPr>
          <w:trHeight w:val="275"/>
          <w:jc w:val="right"/>
        </w:trPr>
        <w:tc>
          <w:tcPr>
            <w:tcW w:w="3423" w:type="dxa"/>
            <w:shd w:val="clear" w:color="auto" w:fill="FFFFFF"/>
            <w:vAlign w:val="center"/>
          </w:tcPr>
          <w:p w14:paraId="6FC621B2" w14:textId="77777777" w:rsidR="00D911C9" w:rsidRPr="00C2587D" w:rsidRDefault="00D911C9" w:rsidP="00D911C9">
            <w:pPr>
              <w:rPr>
                <w:rFonts w:cs="Arial"/>
                <w:color w:val="000000"/>
              </w:rPr>
            </w:pPr>
            <w:r w:rsidRPr="00C2587D">
              <w:rPr>
                <w:rFonts w:cs="Arial"/>
                <w:color w:val="000000"/>
              </w:rPr>
              <w:t>- бюджет Жмеринської МТГ</w:t>
            </w:r>
          </w:p>
        </w:tc>
        <w:tc>
          <w:tcPr>
            <w:tcW w:w="1252" w:type="dxa"/>
          </w:tcPr>
          <w:p w14:paraId="1F078A2D" w14:textId="471BF30D" w:rsidR="00D911C9" w:rsidRPr="00D911C9" w:rsidRDefault="00D911C9" w:rsidP="00D911C9">
            <w:pPr>
              <w:jc w:val="center"/>
              <w:rPr>
                <w:rFonts w:cs="Arial"/>
                <w:color w:val="000000"/>
                <w:sz w:val="20"/>
                <w:szCs w:val="20"/>
                <w:lang w:eastAsia="it-IT"/>
              </w:rPr>
            </w:pPr>
          </w:p>
        </w:tc>
        <w:tc>
          <w:tcPr>
            <w:tcW w:w="1279" w:type="dxa"/>
          </w:tcPr>
          <w:p w14:paraId="1F89FEB6" w14:textId="77777777" w:rsidR="00D911C9" w:rsidRPr="00D911C9" w:rsidRDefault="00D911C9" w:rsidP="00D911C9">
            <w:pPr>
              <w:jc w:val="center"/>
              <w:rPr>
                <w:rFonts w:cs="Arial"/>
                <w:color w:val="000000"/>
                <w:sz w:val="20"/>
                <w:szCs w:val="20"/>
                <w:lang w:eastAsia="it-IT"/>
              </w:rPr>
            </w:pPr>
          </w:p>
        </w:tc>
        <w:tc>
          <w:tcPr>
            <w:tcW w:w="1419" w:type="dxa"/>
          </w:tcPr>
          <w:p w14:paraId="022BF11E" w14:textId="433F7213" w:rsidR="00D911C9" w:rsidRPr="00D911C9" w:rsidRDefault="00D911C9" w:rsidP="00D911C9">
            <w:pPr>
              <w:jc w:val="center"/>
              <w:rPr>
                <w:rFonts w:cs="Arial"/>
                <w:color w:val="000000"/>
                <w:sz w:val="20"/>
                <w:szCs w:val="20"/>
                <w:lang w:eastAsia="it-IT"/>
              </w:rPr>
            </w:pPr>
            <w:r w:rsidRPr="00D911C9">
              <w:rPr>
                <w:rFonts w:cs="Arial"/>
                <w:color w:val="000000"/>
                <w:lang w:eastAsia="it-IT"/>
              </w:rPr>
              <w:t>140,0</w:t>
            </w:r>
          </w:p>
        </w:tc>
        <w:tc>
          <w:tcPr>
            <w:tcW w:w="1274" w:type="dxa"/>
          </w:tcPr>
          <w:p w14:paraId="477C9B7D" w14:textId="74081EC3" w:rsidR="00D911C9" w:rsidRPr="00D911C9" w:rsidRDefault="00D911C9" w:rsidP="00D911C9">
            <w:pPr>
              <w:jc w:val="center"/>
              <w:rPr>
                <w:rFonts w:cs="Arial"/>
                <w:color w:val="000000"/>
                <w:sz w:val="20"/>
                <w:szCs w:val="20"/>
                <w:lang w:eastAsia="it-IT"/>
              </w:rPr>
            </w:pPr>
            <w:r w:rsidRPr="00D911C9">
              <w:rPr>
                <w:rFonts w:cs="Arial"/>
                <w:color w:val="000000"/>
                <w:lang w:eastAsia="it-IT"/>
              </w:rPr>
              <w:t>300,0</w:t>
            </w:r>
          </w:p>
        </w:tc>
        <w:tc>
          <w:tcPr>
            <w:tcW w:w="1572" w:type="dxa"/>
          </w:tcPr>
          <w:p w14:paraId="0A7A8606" w14:textId="2251D779" w:rsidR="00D911C9" w:rsidRPr="00D911C9" w:rsidRDefault="00D911C9" w:rsidP="00D911C9">
            <w:pPr>
              <w:jc w:val="center"/>
              <w:rPr>
                <w:rFonts w:cs="Arial"/>
                <w:color w:val="000000"/>
                <w:sz w:val="20"/>
                <w:szCs w:val="20"/>
                <w:lang w:eastAsia="it-IT"/>
              </w:rPr>
            </w:pPr>
            <w:r w:rsidRPr="00D911C9">
              <w:rPr>
                <w:rFonts w:cs="Arial"/>
                <w:color w:val="000000"/>
                <w:sz w:val="20"/>
                <w:szCs w:val="20"/>
                <w:lang w:eastAsia="it-IT"/>
              </w:rPr>
              <w:t>440</w:t>
            </w:r>
          </w:p>
        </w:tc>
      </w:tr>
      <w:tr w:rsidR="00D911C9" w:rsidRPr="00C2587D" w14:paraId="11F03199" w14:textId="45DF2876" w:rsidTr="00D911C9">
        <w:trPr>
          <w:trHeight w:val="226"/>
          <w:jc w:val="right"/>
        </w:trPr>
        <w:tc>
          <w:tcPr>
            <w:tcW w:w="3423" w:type="dxa"/>
            <w:shd w:val="clear" w:color="auto" w:fill="FFFFFF"/>
            <w:vAlign w:val="center"/>
          </w:tcPr>
          <w:p w14:paraId="378ADA6E" w14:textId="77777777" w:rsidR="00D911C9" w:rsidRPr="00C2587D" w:rsidRDefault="00D911C9" w:rsidP="00D911C9">
            <w:pPr>
              <w:rPr>
                <w:rFonts w:cs="Arial"/>
                <w:color w:val="000000"/>
              </w:rPr>
            </w:pPr>
            <w:r w:rsidRPr="00C2587D">
              <w:rPr>
                <w:rFonts w:cs="Arial"/>
                <w:color w:val="000000"/>
              </w:rPr>
              <w:t>- інші джерела фінансування</w:t>
            </w:r>
          </w:p>
        </w:tc>
        <w:tc>
          <w:tcPr>
            <w:tcW w:w="1252" w:type="dxa"/>
          </w:tcPr>
          <w:p w14:paraId="64EA7750" w14:textId="39E16369" w:rsidR="00D911C9" w:rsidRPr="00D911C9" w:rsidRDefault="00D911C9" w:rsidP="00D911C9">
            <w:pPr>
              <w:jc w:val="center"/>
              <w:rPr>
                <w:rFonts w:cs="Arial"/>
                <w:sz w:val="20"/>
                <w:szCs w:val="20"/>
              </w:rPr>
            </w:pPr>
            <w:r w:rsidRPr="00D911C9">
              <w:rPr>
                <w:rFonts w:cs="Arial"/>
                <w:color w:val="000000"/>
                <w:lang w:eastAsia="it-IT"/>
              </w:rPr>
              <w:t>50,0</w:t>
            </w:r>
          </w:p>
        </w:tc>
        <w:tc>
          <w:tcPr>
            <w:tcW w:w="1279" w:type="dxa"/>
          </w:tcPr>
          <w:p w14:paraId="6E8F9E0D" w14:textId="16AF8F16" w:rsidR="00D911C9" w:rsidRPr="00D911C9" w:rsidRDefault="00D911C9" w:rsidP="00D911C9">
            <w:pPr>
              <w:jc w:val="center"/>
              <w:rPr>
                <w:rFonts w:cs="Arial"/>
                <w:sz w:val="20"/>
                <w:szCs w:val="20"/>
              </w:rPr>
            </w:pPr>
            <w:r w:rsidRPr="00D911C9">
              <w:rPr>
                <w:rFonts w:cs="Arial"/>
                <w:color w:val="000000"/>
                <w:lang w:eastAsia="it-IT"/>
              </w:rPr>
              <w:t>150,0</w:t>
            </w:r>
          </w:p>
        </w:tc>
        <w:tc>
          <w:tcPr>
            <w:tcW w:w="1419" w:type="dxa"/>
          </w:tcPr>
          <w:p w14:paraId="117A2804" w14:textId="6ED7F99B" w:rsidR="00D911C9" w:rsidRPr="00D911C9" w:rsidRDefault="00D911C9" w:rsidP="00D911C9">
            <w:pPr>
              <w:jc w:val="center"/>
              <w:rPr>
                <w:rFonts w:cs="Arial"/>
                <w:sz w:val="20"/>
                <w:szCs w:val="20"/>
              </w:rPr>
            </w:pPr>
          </w:p>
        </w:tc>
        <w:tc>
          <w:tcPr>
            <w:tcW w:w="1274" w:type="dxa"/>
          </w:tcPr>
          <w:p w14:paraId="44D00D58" w14:textId="4BAB9B85" w:rsidR="00D911C9" w:rsidRPr="00D911C9" w:rsidRDefault="00D911C9" w:rsidP="00D911C9">
            <w:pPr>
              <w:jc w:val="center"/>
              <w:rPr>
                <w:rFonts w:cs="Arial"/>
                <w:sz w:val="20"/>
                <w:szCs w:val="20"/>
              </w:rPr>
            </w:pPr>
          </w:p>
        </w:tc>
        <w:tc>
          <w:tcPr>
            <w:tcW w:w="1572" w:type="dxa"/>
          </w:tcPr>
          <w:p w14:paraId="1D200A1D" w14:textId="072421CF" w:rsidR="00D911C9" w:rsidRPr="00D911C9" w:rsidRDefault="00D911C9" w:rsidP="00D911C9">
            <w:pPr>
              <w:jc w:val="center"/>
              <w:rPr>
                <w:rFonts w:cs="Arial"/>
                <w:sz w:val="20"/>
                <w:szCs w:val="20"/>
              </w:rPr>
            </w:pPr>
            <w:r w:rsidRPr="00D911C9">
              <w:rPr>
                <w:rFonts w:cs="Arial"/>
                <w:sz w:val="20"/>
                <w:szCs w:val="20"/>
              </w:rPr>
              <w:t>200</w:t>
            </w:r>
          </w:p>
        </w:tc>
      </w:tr>
      <w:tr w:rsidR="00D911C9" w:rsidRPr="00C2587D" w14:paraId="465792E2" w14:textId="77777777" w:rsidTr="00D911C9">
        <w:trPr>
          <w:jc w:val="right"/>
        </w:trPr>
        <w:tc>
          <w:tcPr>
            <w:tcW w:w="3423" w:type="dxa"/>
            <w:shd w:val="clear" w:color="auto" w:fill="FFFFFF"/>
            <w:vAlign w:val="center"/>
          </w:tcPr>
          <w:p w14:paraId="46AB85E3" w14:textId="77777777" w:rsidR="00D911C9" w:rsidRPr="00C2587D" w:rsidRDefault="00D911C9" w:rsidP="00D911C9">
            <w:pPr>
              <w:rPr>
                <w:rFonts w:cs="Arial"/>
                <w:b/>
                <w:bCs/>
                <w:color w:val="000000"/>
              </w:rPr>
            </w:pPr>
            <w:r w:rsidRPr="00C2587D">
              <w:rPr>
                <w:rFonts w:cs="Arial"/>
                <w:b/>
                <w:color w:val="000000"/>
              </w:rPr>
              <w:t>Відповідальний виконавець проєкту:</w:t>
            </w:r>
          </w:p>
        </w:tc>
        <w:tc>
          <w:tcPr>
            <w:tcW w:w="6796" w:type="dxa"/>
            <w:gridSpan w:val="5"/>
            <w:vAlign w:val="center"/>
          </w:tcPr>
          <w:p w14:paraId="3D3C1DFF" w14:textId="77777777" w:rsidR="00D911C9" w:rsidRPr="00C2587D" w:rsidRDefault="00D911C9" w:rsidP="00D911C9">
            <w:pPr>
              <w:jc w:val="both"/>
              <w:rPr>
                <w:rFonts w:cs="Arial"/>
                <w:color w:val="000000"/>
                <w:sz w:val="20"/>
                <w:szCs w:val="20"/>
                <w:lang w:eastAsia="it-IT"/>
              </w:rPr>
            </w:pPr>
            <w:r w:rsidRPr="00C2587D">
              <w:rPr>
                <w:rFonts w:cs="Arial"/>
                <w:color w:val="000000"/>
                <w:sz w:val="20"/>
                <w:szCs w:val="20"/>
                <w:lang w:eastAsia="it-IT"/>
              </w:rPr>
              <w:t>Управління культури і туризму Жмеринської міської ради спільно з КЗ «Міський історичний музей»</w:t>
            </w:r>
          </w:p>
        </w:tc>
      </w:tr>
      <w:tr w:rsidR="00D911C9" w:rsidRPr="00C2587D" w14:paraId="3B1CF924" w14:textId="77777777" w:rsidTr="00D911C9">
        <w:trPr>
          <w:jc w:val="right"/>
        </w:trPr>
        <w:tc>
          <w:tcPr>
            <w:tcW w:w="3423" w:type="dxa"/>
            <w:shd w:val="clear" w:color="auto" w:fill="FFFFFF"/>
            <w:vAlign w:val="center"/>
          </w:tcPr>
          <w:p w14:paraId="28AABA60" w14:textId="77777777" w:rsidR="00D911C9" w:rsidRPr="00C2587D" w:rsidRDefault="00D911C9" w:rsidP="00D911C9">
            <w:pPr>
              <w:rPr>
                <w:rFonts w:cs="Arial"/>
                <w:b/>
                <w:bCs/>
                <w:color w:val="000000"/>
              </w:rPr>
            </w:pPr>
            <w:r w:rsidRPr="00C2587D">
              <w:rPr>
                <w:rFonts w:cs="Arial"/>
                <w:b/>
                <w:bCs/>
                <w:color w:val="000000"/>
              </w:rPr>
              <w:t>Інше:</w:t>
            </w:r>
          </w:p>
        </w:tc>
        <w:tc>
          <w:tcPr>
            <w:tcW w:w="6796" w:type="dxa"/>
            <w:gridSpan w:val="5"/>
            <w:vAlign w:val="center"/>
          </w:tcPr>
          <w:p w14:paraId="38BCB949" w14:textId="77777777" w:rsidR="00D911C9" w:rsidRPr="00C2587D" w:rsidRDefault="00D911C9" w:rsidP="00DD6DC0">
            <w:pPr>
              <w:jc w:val="both"/>
              <w:rPr>
                <w:rFonts w:cs="Arial"/>
                <w:color w:val="000000"/>
                <w:sz w:val="20"/>
                <w:szCs w:val="20"/>
                <w:lang w:eastAsia="it-IT"/>
              </w:rPr>
            </w:pPr>
            <w:r w:rsidRPr="00C2587D">
              <w:rPr>
                <w:rFonts w:cs="Arial"/>
                <w:color w:val="000000"/>
                <w:sz w:val="20"/>
                <w:szCs w:val="20"/>
                <w:lang w:eastAsia="it-IT"/>
              </w:rPr>
              <w:t>Проєкт спрямований на формування сучасного іміджу Жмеринщини як території, де поєднуються інновації, мистецтво та збереження культурної спадщини. Творчість М. Г. Маслюка може стати елементом нематеріальної культурної спадщини України.</w:t>
            </w:r>
          </w:p>
        </w:tc>
      </w:tr>
    </w:tbl>
    <w:p w14:paraId="618EA8D3" w14:textId="77777777" w:rsidR="009F618C" w:rsidRPr="00C2587D" w:rsidRDefault="009F618C" w:rsidP="009F618C">
      <w:pPr>
        <w:jc w:val="right"/>
        <w:rPr>
          <w:rFonts w:cs="Arial"/>
          <w:b/>
          <w:sz w:val="24"/>
          <w:highlight w:val="lightGray"/>
        </w:rPr>
      </w:pPr>
    </w:p>
    <w:p w14:paraId="5C541791" w14:textId="5F066752" w:rsidR="009F618C" w:rsidRDefault="009F618C" w:rsidP="009F618C">
      <w:pPr>
        <w:jc w:val="right"/>
        <w:rPr>
          <w:rFonts w:cs="Arial"/>
          <w:b/>
          <w:sz w:val="24"/>
          <w:highlight w:val="lightGray"/>
        </w:rPr>
      </w:pPr>
    </w:p>
    <w:p w14:paraId="53300043" w14:textId="77777777" w:rsidR="00820A36" w:rsidRDefault="00820A36" w:rsidP="009F618C">
      <w:pPr>
        <w:jc w:val="center"/>
        <w:rPr>
          <w:rFonts w:cs="Arial"/>
          <w:b/>
          <w:color w:val="000000"/>
          <w:sz w:val="24"/>
        </w:rPr>
      </w:pPr>
    </w:p>
    <w:p w14:paraId="60FCD0A5" w14:textId="77777777" w:rsidR="009F618C" w:rsidRPr="00C2587D" w:rsidRDefault="009F618C" w:rsidP="009F618C">
      <w:pPr>
        <w:jc w:val="center"/>
        <w:rPr>
          <w:rFonts w:cs="Arial"/>
          <w:b/>
          <w:color w:val="000000"/>
          <w:sz w:val="24"/>
        </w:rPr>
      </w:pPr>
      <w:r w:rsidRPr="00C2587D">
        <w:rPr>
          <w:rFonts w:cs="Arial"/>
          <w:b/>
          <w:color w:val="000000"/>
          <w:sz w:val="24"/>
        </w:rPr>
        <w:t xml:space="preserve">Форма технічного завдання на проєкт місцевого розвитку </w:t>
      </w:r>
    </w:p>
    <w:p w14:paraId="5DDD3264" w14:textId="77777777" w:rsidR="009F618C" w:rsidRPr="00C2587D" w:rsidRDefault="009F618C" w:rsidP="009F618C">
      <w:pPr>
        <w:jc w:val="center"/>
        <w:rPr>
          <w:rFonts w:cs="Arial"/>
          <w:b/>
          <w:color w:val="000000"/>
          <w:sz w:val="24"/>
        </w:rPr>
      </w:pPr>
      <w:r w:rsidRPr="00C2587D">
        <w:rPr>
          <w:rFonts w:cs="Arial"/>
          <w:b/>
          <w:color w:val="000000"/>
          <w:sz w:val="24"/>
        </w:rPr>
        <w:t>до Плану заходів з реалізації Стратегії</w:t>
      </w:r>
    </w:p>
    <w:p w14:paraId="09E3081D" w14:textId="77777777" w:rsidR="009F618C" w:rsidRPr="00C2587D" w:rsidRDefault="009F618C" w:rsidP="009F618C">
      <w:pPr>
        <w:rPr>
          <w:rFonts w:cs="Arial"/>
          <w:sz w:val="24"/>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3"/>
        <w:gridCol w:w="1252"/>
        <w:gridCol w:w="1279"/>
        <w:gridCol w:w="1419"/>
        <w:gridCol w:w="1274"/>
        <w:gridCol w:w="1572"/>
      </w:tblGrid>
      <w:tr w:rsidR="009F618C" w:rsidRPr="00C2587D" w14:paraId="64C809EE" w14:textId="77777777" w:rsidTr="00D911C9">
        <w:trPr>
          <w:jc w:val="right"/>
        </w:trPr>
        <w:tc>
          <w:tcPr>
            <w:tcW w:w="3424" w:type="dxa"/>
            <w:vAlign w:val="center"/>
          </w:tcPr>
          <w:p w14:paraId="65BAF595" w14:textId="77777777" w:rsidR="009F618C" w:rsidRPr="00C2587D" w:rsidRDefault="009F618C" w:rsidP="00FD75D9">
            <w:pPr>
              <w:rPr>
                <w:rFonts w:cs="Arial"/>
                <w:b/>
                <w:bCs/>
                <w:color w:val="000000"/>
              </w:rPr>
            </w:pPr>
            <w:r w:rsidRPr="00C2587D">
              <w:rPr>
                <w:rFonts w:cs="Arial"/>
                <w:b/>
                <w:bCs/>
                <w:color w:val="000000"/>
              </w:rPr>
              <w:t>Назва проєкту:</w:t>
            </w:r>
          </w:p>
        </w:tc>
        <w:tc>
          <w:tcPr>
            <w:tcW w:w="6795" w:type="dxa"/>
            <w:gridSpan w:val="5"/>
          </w:tcPr>
          <w:p w14:paraId="506C460C" w14:textId="77777777" w:rsidR="009F618C" w:rsidRPr="00C2587D" w:rsidRDefault="009F618C" w:rsidP="00FD75D9">
            <w:pPr>
              <w:spacing w:before="40" w:after="40"/>
              <w:rPr>
                <w:rFonts w:cs="Arial"/>
                <w:b/>
                <w:sz w:val="20"/>
                <w:szCs w:val="20"/>
                <w:lang w:eastAsia="it-IT"/>
              </w:rPr>
            </w:pPr>
            <w:r w:rsidRPr="00C2587D">
              <w:rPr>
                <w:rFonts w:cs="Arial"/>
                <w:b/>
                <w:sz w:val="20"/>
                <w:szCs w:val="20"/>
                <w:lang w:eastAsia="it-IT"/>
              </w:rPr>
              <w:t>«Води живильної ковток – у чистоту Духовну крок.»</w:t>
            </w:r>
          </w:p>
        </w:tc>
      </w:tr>
      <w:tr w:rsidR="009F618C" w:rsidRPr="00C2587D" w14:paraId="439A0FC8" w14:textId="77777777" w:rsidTr="00D911C9">
        <w:trPr>
          <w:jc w:val="right"/>
        </w:trPr>
        <w:tc>
          <w:tcPr>
            <w:tcW w:w="3424" w:type="dxa"/>
          </w:tcPr>
          <w:p w14:paraId="6931EBEA" w14:textId="77777777" w:rsidR="009F618C" w:rsidRPr="00C2587D" w:rsidRDefault="009F618C" w:rsidP="00FD75D9">
            <w:pPr>
              <w:spacing w:before="40" w:after="40"/>
              <w:rPr>
                <w:rFonts w:cs="Arial"/>
                <w:sz w:val="20"/>
                <w:lang w:eastAsia="it-IT"/>
              </w:rPr>
            </w:pPr>
            <w:r w:rsidRPr="00C2587D">
              <w:rPr>
                <w:rFonts w:cs="Arial"/>
                <w:b/>
                <w:bCs/>
              </w:rPr>
              <w:t>Ваші контакти</w:t>
            </w:r>
            <w:r w:rsidRPr="00C2587D">
              <w:rPr>
                <w:rFonts w:cs="Arial"/>
                <w:sz w:val="20"/>
                <w:lang w:eastAsia="it-IT"/>
              </w:rPr>
              <w:t>:</w:t>
            </w:r>
          </w:p>
          <w:p w14:paraId="3B3464E6" w14:textId="77777777" w:rsidR="009F618C" w:rsidRPr="00C2587D" w:rsidRDefault="009F618C" w:rsidP="00FD75D9">
            <w:pPr>
              <w:spacing w:before="40" w:after="40"/>
              <w:rPr>
                <w:rFonts w:cs="Arial"/>
                <w:b/>
                <w:bCs/>
              </w:rPr>
            </w:pPr>
            <w:r w:rsidRPr="00C2587D">
              <w:rPr>
                <w:rFonts w:cs="Arial"/>
                <w:sz w:val="20"/>
                <w:lang w:eastAsia="it-IT"/>
              </w:rPr>
              <w:t>Назва установи, організації, підприємства</w:t>
            </w:r>
          </w:p>
        </w:tc>
        <w:tc>
          <w:tcPr>
            <w:tcW w:w="6795" w:type="dxa"/>
            <w:gridSpan w:val="5"/>
          </w:tcPr>
          <w:p w14:paraId="640F8CD1" w14:textId="77777777" w:rsidR="009F618C" w:rsidRPr="00D911C9" w:rsidRDefault="009F618C" w:rsidP="00FD75D9">
            <w:pPr>
              <w:spacing w:before="40" w:after="40"/>
              <w:rPr>
                <w:rFonts w:cs="Arial"/>
                <w:sz w:val="20"/>
                <w:szCs w:val="20"/>
                <w:lang w:eastAsia="it-IT"/>
              </w:rPr>
            </w:pPr>
            <w:r w:rsidRPr="00D911C9">
              <w:rPr>
                <w:rFonts w:cs="Arial"/>
                <w:sz w:val="20"/>
                <w:szCs w:val="20"/>
                <w:lang w:eastAsia="it-IT"/>
              </w:rPr>
              <w:t>Управління культури і туризму Жмеринської міської ТГ</w:t>
            </w:r>
          </w:p>
        </w:tc>
      </w:tr>
      <w:tr w:rsidR="009F618C" w:rsidRPr="00C2587D" w14:paraId="75B2081F" w14:textId="77777777" w:rsidTr="00D911C9">
        <w:trPr>
          <w:jc w:val="right"/>
        </w:trPr>
        <w:tc>
          <w:tcPr>
            <w:tcW w:w="3424" w:type="dxa"/>
          </w:tcPr>
          <w:p w14:paraId="085C4E0A" w14:textId="77777777" w:rsidR="009F618C" w:rsidRPr="00C2587D" w:rsidRDefault="009F618C" w:rsidP="00FD75D9">
            <w:pPr>
              <w:spacing w:before="40" w:after="40"/>
              <w:rPr>
                <w:rFonts w:cs="Arial"/>
                <w:b/>
                <w:bCs/>
              </w:rPr>
            </w:pPr>
            <w:r w:rsidRPr="00C2587D">
              <w:rPr>
                <w:rFonts w:cs="Arial"/>
                <w:sz w:val="20"/>
                <w:lang w:eastAsia="it-IT"/>
              </w:rPr>
              <w:t>Прізвище Ім’я По-батькові:</w:t>
            </w:r>
          </w:p>
        </w:tc>
        <w:tc>
          <w:tcPr>
            <w:tcW w:w="6795" w:type="dxa"/>
            <w:gridSpan w:val="5"/>
          </w:tcPr>
          <w:p w14:paraId="582A9C10" w14:textId="77777777" w:rsidR="009F618C" w:rsidRPr="00D911C9" w:rsidRDefault="009F618C" w:rsidP="00FD75D9">
            <w:pPr>
              <w:spacing w:before="40" w:after="40"/>
              <w:rPr>
                <w:rFonts w:cs="Arial"/>
                <w:sz w:val="20"/>
                <w:szCs w:val="20"/>
                <w:lang w:eastAsia="it-IT"/>
              </w:rPr>
            </w:pPr>
            <w:r w:rsidRPr="00D911C9">
              <w:rPr>
                <w:rFonts w:cs="Arial"/>
                <w:sz w:val="20"/>
                <w:szCs w:val="20"/>
                <w:lang w:eastAsia="it-IT"/>
              </w:rPr>
              <w:t>Дудік Володимир Валентинович</w:t>
            </w:r>
          </w:p>
        </w:tc>
      </w:tr>
      <w:tr w:rsidR="009F618C" w:rsidRPr="00C2587D" w14:paraId="16B31AA8" w14:textId="77777777" w:rsidTr="00D911C9">
        <w:trPr>
          <w:jc w:val="right"/>
        </w:trPr>
        <w:tc>
          <w:tcPr>
            <w:tcW w:w="3424" w:type="dxa"/>
          </w:tcPr>
          <w:p w14:paraId="49EE8632" w14:textId="77777777" w:rsidR="009F618C" w:rsidRPr="00C2587D" w:rsidRDefault="009F618C" w:rsidP="00FD75D9">
            <w:pPr>
              <w:spacing w:before="40" w:after="40"/>
              <w:rPr>
                <w:rFonts w:cs="Arial"/>
                <w:b/>
                <w:bCs/>
              </w:rPr>
            </w:pPr>
            <w:r w:rsidRPr="00C2587D">
              <w:rPr>
                <w:rFonts w:cs="Arial"/>
                <w:sz w:val="20"/>
                <w:lang w:eastAsia="it-IT"/>
              </w:rPr>
              <w:t>Телефон (мобільний):</w:t>
            </w:r>
          </w:p>
        </w:tc>
        <w:tc>
          <w:tcPr>
            <w:tcW w:w="6795" w:type="dxa"/>
            <w:gridSpan w:val="5"/>
          </w:tcPr>
          <w:p w14:paraId="5E9F0C98" w14:textId="77777777" w:rsidR="009F618C" w:rsidRPr="00D911C9" w:rsidRDefault="009F618C" w:rsidP="00FD75D9">
            <w:pPr>
              <w:spacing w:before="40" w:after="40"/>
              <w:rPr>
                <w:rFonts w:cs="Arial"/>
                <w:sz w:val="20"/>
                <w:szCs w:val="20"/>
                <w:lang w:eastAsia="it-IT"/>
              </w:rPr>
            </w:pPr>
            <w:r w:rsidRPr="00D911C9">
              <w:rPr>
                <w:rFonts w:cs="Arial"/>
                <w:sz w:val="20"/>
                <w:szCs w:val="20"/>
                <w:lang w:eastAsia="it-IT"/>
              </w:rPr>
              <w:t>0674303746</w:t>
            </w:r>
          </w:p>
        </w:tc>
      </w:tr>
      <w:tr w:rsidR="009F618C" w:rsidRPr="00C2587D" w14:paraId="7B7CA4FC" w14:textId="77777777" w:rsidTr="00D911C9">
        <w:trPr>
          <w:jc w:val="right"/>
        </w:trPr>
        <w:tc>
          <w:tcPr>
            <w:tcW w:w="3424" w:type="dxa"/>
          </w:tcPr>
          <w:p w14:paraId="70126709" w14:textId="77777777" w:rsidR="009F618C" w:rsidRPr="00C2587D" w:rsidRDefault="009F618C" w:rsidP="00FD75D9">
            <w:pPr>
              <w:spacing w:before="40" w:after="40"/>
              <w:rPr>
                <w:rFonts w:cs="Arial"/>
                <w:b/>
                <w:bCs/>
              </w:rPr>
            </w:pPr>
            <w:r w:rsidRPr="00C2587D">
              <w:rPr>
                <w:rFonts w:cs="Arial"/>
                <w:sz w:val="20"/>
                <w:lang w:eastAsia="it-IT"/>
              </w:rPr>
              <w:t>Електронна адреса:</w:t>
            </w:r>
          </w:p>
        </w:tc>
        <w:tc>
          <w:tcPr>
            <w:tcW w:w="6795" w:type="dxa"/>
            <w:gridSpan w:val="5"/>
          </w:tcPr>
          <w:p w14:paraId="0D07B377" w14:textId="57D81CFC" w:rsidR="009F618C" w:rsidRPr="00D911C9" w:rsidRDefault="00D85FFD" w:rsidP="00FD75D9">
            <w:pPr>
              <w:spacing w:before="40" w:after="40"/>
              <w:rPr>
                <w:rFonts w:cs="Arial"/>
                <w:sz w:val="20"/>
                <w:szCs w:val="20"/>
                <w:lang w:eastAsia="it-IT"/>
              </w:rPr>
            </w:pPr>
            <w:hyperlink r:id="rId44" w:history="1">
              <w:r w:rsidR="00D911C9" w:rsidRPr="000A0B5C">
                <w:rPr>
                  <w:rStyle w:val="af0"/>
                  <w:rFonts w:cs="Arial"/>
                  <w:noProof w:val="0"/>
                  <w:lang w:eastAsia="it-IT"/>
                </w:rPr>
                <w:t>kult@zhmr.gov.ua</w:t>
              </w:r>
            </w:hyperlink>
            <w:r w:rsidR="00D911C9">
              <w:rPr>
                <w:rFonts w:cs="Arial"/>
                <w:sz w:val="20"/>
                <w:szCs w:val="20"/>
                <w:lang w:eastAsia="it-IT"/>
              </w:rPr>
              <w:t xml:space="preserve"> </w:t>
            </w:r>
          </w:p>
        </w:tc>
      </w:tr>
      <w:tr w:rsidR="009F618C" w:rsidRPr="00C2587D" w14:paraId="118D2F4D" w14:textId="77777777" w:rsidTr="00D911C9">
        <w:trPr>
          <w:jc w:val="right"/>
        </w:trPr>
        <w:tc>
          <w:tcPr>
            <w:tcW w:w="3424" w:type="dxa"/>
            <w:vAlign w:val="center"/>
          </w:tcPr>
          <w:p w14:paraId="77D23FB2" w14:textId="77777777" w:rsidR="009F618C" w:rsidRPr="00C2587D" w:rsidRDefault="009F618C" w:rsidP="00FD75D9">
            <w:pPr>
              <w:outlineLvl w:val="5"/>
              <w:rPr>
                <w:rFonts w:cs="Arial"/>
                <w:b/>
                <w:bCs/>
                <w:color w:val="000000"/>
              </w:rPr>
            </w:pPr>
            <w:r w:rsidRPr="00C2587D">
              <w:rPr>
                <w:rFonts w:cs="Arial"/>
                <w:b/>
                <w:bCs/>
                <w:color w:val="000000"/>
              </w:rPr>
              <w:t>Номер і назва завдання з Стратегії</w:t>
            </w:r>
            <w:r w:rsidRPr="00C2587D">
              <w:rPr>
                <w:rFonts w:cs="Arial"/>
                <w:b/>
                <w:bCs/>
                <w:sz w:val="16"/>
                <w:szCs w:val="16"/>
                <w:lang w:eastAsia="it-IT"/>
              </w:rPr>
              <w:t xml:space="preserve"> </w:t>
            </w:r>
            <w:r w:rsidRPr="00C2587D">
              <w:rPr>
                <w:rFonts w:cs="Arial"/>
                <w:b/>
                <w:bCs/>
                <w:color w:val="000000"/>
              </w:rPr>
              <w:t>розвитку Жмеринської міської територіальної громади,  якому відповідає проєкт:</w:t>
            </w:r>
          </w:p>
        </w:tc>
        <w:tc>
          <w:tcPr>
            <w:tcW w:w="6795" w:type="dxa"/>
            <w:gridSpan w:val="5"/>
          </w:tcPr>
          <w:p w14:paraId="57E27C16" w14:textId="77777777" w:rsidR="009F618C" w:rsidRPr="00D911C9" w:rsidRDefault="009F618C" w:rsidP="00DD6DC0">
            <w:pPr>
              <w:pBdr>
                <w:left w:val="single" w:sz="18" w:space="4" w:color="auto"/>
              </w:pBdr>
              <w:spacing w:before="40" w:after="40"/>
              <w:jc w:val="both"/>
              <w:rPr>
                <w:rFonts w:cs="Arial"/>
                <w:iCs/>
                <w:sz w:val="20"/>
                <w:szCs w:val="20"/>
                <w:lang w:eastAsia="it-IT"/>
              </w:rPr>
            </w:pPr>
            <w:r w:rsidRPr="00D911C9">
              <w:rPr>
                <w:rFonts w:cs="Arial"/>
                <w:iCs/>
                <w:sz w:val="20"/>
                <w:szCs w:val="20"/>
                <w:lang w:eastAsia="it-IT"/>
              </w:rPr>
              <w:t>А5.3. Розвиток зеленого туризму. Створення нових туристичних маршрутів, зокрема екологічних.</w:t>
            </w:r>
          </w:p>
          <w:p w14:paraId="26BF2B8A" w14:textId="77777777" w:rsidR="009F618C" w:rsidRPr="00D911C9" w:rsidRDefault="009F618C" w:rsidP="00DD6DC0">
            <w:pPr>
              <w:pBdr>
                <w:left w:val="single" w:sz="18" w:space="4" w:color="auto"/>
              </w:pBdr>
              <w:spacing w:before="40" w:after="40"/>
              <w:jc w:val="both"/>
              <w:rPr>
                <w:rFonts w:cs="Arial"/>
                <w:iCs/>
                <w:sz w:val="20"/>
                <w:szCs w:val="20"/>
                <w:lang w:eastAsia="it-IT"/>
              </w:rPr>
            </w:pPr>
          </w:p>
          <w:p w14:paraId="0EF614EB" w14:textId="77777777" w:rsidR="009F618C" w:rsidRPr="00D911C9" w:rsidRDefault="009F618C" w:rsidP="00DD6DC0">
            <w:pPr>
              <w:pBdr>
                <w:left w:val="single" w:sz="18" w:space="4" w:color="auto"/>
              </w:pBdr>
              <w:spacing w:before="40" w:after="40"/>
              <w:jc w:val="both"/>
              <w:rPr>
                <w:rFonts w:cs="Arial"/>
                <w:sz w:val="20"/>
                <w:szCs w:val="20"/>
                <w:lang w:eastAsia="it-IT"/>
              </w:rPr>
            </w:pPr>
          </w:p>
        </w:tc>
      </w:tr>
      <w:tr w:rsidR="009F618C" w:rsidRPr="00C2587D" w14:paraId="572D8F21" w14:textId="77777777" w:rsidTr="00D911C9">
        <w:trPr>
          <w:jc w:val="right"/>
        </w:trPr>
        <w:tc>
          <w:tcPr>
            <w:tcW w:w="3424" w:type="dxa"/>
            <w:vAlign w:val="center"/>
          </w:tcPr>
          <w:p w14:paraId="705C4BBA" w14:textId="77777777" w:rsidR="009F618C" w:rsidRPr="00C2587D" w:rsidRDefault="009F618C" w:rsidP="00FD75D9">
            <w:pPr>
              <w:rPr>
                <w:rFonts w:cs="Arial"/>
                <w:b/>
                <w:bCs/>
                <w:color w:val="000000"/>
              </w:rPr>
            </w:pPr>
            <w:r w:rsidRPr="00C2587D">
              <w:rPr>
                <w:rFonts w:cs="Arial"/>
                <w:b/>
                <w:bCs/>
                <w:color w:val="000000"/>
              </w:rPr>
              <w:t>Мета проєкту:</w:t>
            </w:r>
          </w:p>
        </w:tc>
        <w:tc>
          <w:tcPr>
            <w:tcW w:w="6795" w:type="dxa"/>
            <w:gridSpan w:val="5"/>
          </w:tcPr>
          <w:p w14:paraId="1FD20599" w14:textId="77777777"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Збереження та екологічне облаштування джерел питної води як елементу духовної, культурної та природної спадщини громади</w:t>
            </w:r>
          </w:p>
        </w:tc>
      </w:tr>
      <w:tr w:rsidR="009F618C" w:rsidRPr="00C2587D" w14:paraId="4132BC91" w14:textId="77777777" w:rsidTr="00D911C9">
        <w:trPr>
          <w:jc w:val="right"/>
        </w:trPr>
        <w:tc>
          <w:tcPr>
            <w:tcW w:w="3424" w:type="dxa"/>
            <w:vAlign w:val="center"/>
          </w:tcPr>
          <w:p w14:paraId="09D8C8F2" w14:textId="77777777" w:rsidR="009F618C" w:rsidRPr="00C2587D" w:rsidRDefault="009F618C" w:rsidP="00FD75D9">
            <w:pPr>
              <w:rPr>
                <w:rFonts w:cs="Arial"/>
                <w:b/>
                <w:bCs/>
                <w:color w:val="000000"/>
              </w:rPr>
            </w:pPr>
            <w:r w:rsidRPr="00C2587D">
              <w:rPr>
                <w:rFonts w:cs="Arial"/>
                <w:b/>
                <w:bCs/>
                <w:color w:val="000000"/>
              </w:rPr>
              <w:t>Цілі проєкту:</w:t>
            </w:r>
          </w:p>
        </w:tc>
        <w:tc>
          <w:tcPr>
            <w:tcW w:w="6795" w:type="dxa"/>
            <w:gridSpan w:val="5"/>
          </w:tcPr>
          <w:p w14:paraId="5CA1AB3A" w14:textId="4E784F24"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 xml:space="preserve">Виявлення, відродження та збереження духовної та історико-культурної спадщини, створення якісного  туристичного продукту (маршрутів), забезпечення можливостей змістовного дозвілля та самозайнятості сільського населення. При цьому наявні природно-ресурсний, духовний та історико-культурний потенціал у поєднанні з вигідним географічним положенням і можливістю міжсекторальної співпраці (зокрема, в межах туристичного кластеру, що поєднає владу, бізнес, неурядові організації) </w:t>
            </w:r>
            <w:r w:rsidR="00DD6DC0" w:rsidRPr="00C2587D">
              <w:rPr>
                <w:rFonts w:cs="Arial"/>
                <w:sz w:val="20"/>
                <w:szCs w:val="20"/>
                <w:lang w:eastAsia="it-IT"/>
              </w:rPr>
              <w:t>створлять</w:t>
            </w:r>
            <w:r w:rsidRPr="00C2587D">
              <w:rPr>
                <w:rFonts w:cs="Arial"/>
                <w:sz w:val="20"/>
                <w:szCs w:val="20"/>
                <w:lang w:eastAsia="it-IT"/>
              </w:rPr>
              <w:t xml:space="preserve"> усі інші необхідні передумови для розвитку сфери культури  на території  Жмеринської ТГ.</w:t>
            </w:r>
          </w:p>
        </w:tc>
      </w:tr>
      <w:tr w:rsidR="009F618C" w:rsidRPr="00C2587D" w14:paraId="5D2D97A3" w14:textId="77777777" w:rsidTr="00D911C9">
        <w:trPr>
          <w:jc w:val="right"/>
        </w:trPr>
        <w:tc>
          <w:tcPr>
            <w:tcW w:w="3424" w:type="dxa"/>
            <w:vAlign w:val="center"/>
          </w:tcPr>
          <w:p w14:paraId="5278E11D" w14:textId="77777777" w:rsidR="009F618C" w:rsidRPr="00C2587D" w:rsidRDefault="009F618C" w:rsidP="00FD75D9">
            <w:pPr>
              <w:autoSpaceDE w:val="0"/>
              <w:autoSpaceDN w:val="0"/>
              <w:adjustRightInd w:val="0"/>
              <w:rPr>
                <w:rFonts w:cs="Arial"/>
                <w:b/>
                <w:color w:val="000000"/>
              </w:rPr>
            </w:pPr>
            <w:r w:rsidRPr="00C2587D">
              <w:rPr>
                <w:rFonts w:cs="Arial"/>
                <w:b/>
                <w:color w:val="000000"/>
              </w:rPr>
              <w:t>Територія на яку проєкт матиме вплив:</w:t>
            </w:r>
          </w:p>
        </w:tc>
        <w:tc>
          <w:tcPr>
            <w:tcW w:w="6795" w:type="dxa"/>
            <w:gridSpan w:val="5"/>
          </w:tcPr>
          <w:p w14:paraId="0260F898" w14:textId="77777777"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Територія Жмеринської міської ТГ</w:t>
            </w:r>
          </w:p>
        </w:tc>
      </w:tr>
      <w:tr w:rsidR="009F618C" w:rsidRPr="00C2587D" w14:paraId="5BB732E1" w14:textId="77777777" w:rsidTr="00D911C9">
        <w:trPr>
          <w:jc w:val="right"/>
        </w:trPr>
        <w:tc>
          <w:tcPr>
            <w:tcW w:w="3424" w:type="dxa"/>
            <w:vAlign w:val="center"/>
          </w:tcPr>
          <w:p w14:paraId="391F3FCE" w14:textId="77777777" w:rsidR="009F618C" w:rsidRPr="00C2587D" w:rsidRDefault="009F618C" w:rsidP="00FD75D9">
            <w:pPr>
              <w:autoSpaceDE w:val="0"/>
              <w:autoSpaceDN w:val="0"/>
              <w:adjustRightInd w:val="0"/>
              <w:rPr>
                <w:rFonts w:cs="Arial"/>
                <w:b/>
                <w:color w:val="000000"/>
              </w:rPr>
            </w:pPr>
            <w:r w:rsidRPr="00C2587D">
              <w:rPr>
                <w:rFonts w:cs="Arial"/>
                <w:b/>
                <w:color w:val="000000"/>
              </w:rPr>
              <w:t>Цільові групи проєкту та кількість отримувачів вигоди</w:t>
            </w:r>
          </w:p>
        </w:tc>
        <w:tc>
          <w:tcPr>
            <w:tcW w:w="6795" w:type="dxa"/>
            <w:gridSpan w:val="5"/>
          </w:tcPr>
          <w:p w14:paraId="7EDF886A" w14:textId="77777777"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  Жителі сіл громади — понад 10 000 осіб</w:t>
            </w:r>
          </w:p>
          <w:p w14:paraId="60814EC1" w14:textId="77777777"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  Туристи, паломники, природоохоронці</w:t>
            </w:r>
          </w:p>
        </w:tc>
      </w:tr>
      <w:tr w:rsidR="009F618C" w:rsidRPr="00C2587D" w14:paraId="58898644" w14:textId="77777777" w:rsidTr="00D911C9">
        <w:trPr>
          <w:jc w:val="right"/>
        </w:trPr>
        <w:tc>
          <w:tcPr>
            <w:tcW w:w="3424" w:type="dxa"/>
            <w:shd w:val="clear" w:color="auto" w:fill="FFFFFF"/>
            <w:vAlign w:val="center"/>
          </w:tcPr>
          <w:p w14:paraId="1E27C9BE" w14:textId="77777777" w:rsidR="009F618C" w:rsidRPr="00C2587D" w:rsidRDefault="009F618C" w:rsidP="00FD75D9">
            <w:pPr>
              <w:rPr>
                <w:rFonts w:cs="Arial"/>
                <w:b/>
                <w:bCs/>
                <w:color w:val="000000"/>
              </w:rPr>
            </w:pPr>
            <w:r w:rsidRPr="00C2587D">
              <w:rPr>
                <w:rFonts w:cs="Arial"/>
                <w:b/>
                <w:bCs/>
                <w:color w:val="000000"/>
              </w:rPr>
              <w:t>Стислий опис проєкту:</w:t>
            </w:r>
          </w:p>
        </w:tc>
        <w:tc>
          <w:tcPr>
            <w:tcW w:w="6795" w:type="dxa"/>
            <w:gridSpan w:val="5"/>
          </w:tcPr>
          <w:p w14:paraId="777335FE" w14:textId="77777777"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Жмеринська громада має значний духовний, історико-культурний, туристичний потенціал, основою якого є:</w:t>
            </w:r>
          </w:p>
          <w:p w14:paraId="19EB456A" w14:textId="77777777" w:rsidR="009F618C" w:rsidRPr="00C2587D" w:rsidRDefault="009F618C" w:rsidP="00DD6DC0">
            <w:pPr>
              <w:tabs>
                <w:tab w:val="left" w:pos="270"/>
              </w:tabs>
              <w:spacing w:before="40" w:after="40"/>
              <w:jc w:val="both"/>
              <w:rPr>
                <w:rFonts w:cs="Arial"/>
                <w:sz w:val="20"/>
                <w:szCs w:val="20"/>
                <w:lang w:eastAsia="it-IT"/>
              </w:rPr>
            </w:pPr>
            <w:r w:rsidRPr="00C2587D">
              <w:rPr>
                <w:rFonts w:cs="Arial"/>
                <w:sz w:val="20"/>
                <w:szCs w:val="20"/>
                <w:lang w:eastAsia="it-IT"/>
              </w:rPr>
              <w:t>•</w:t>
            </w:r>
            <w:r w:rsidRPr="00C2587D">
              <w:rPr>
                <w:rFonts w:cs="Arial"/>
                <w:sz w:val="20"/>
                <w:szCs w:val="20"/>
                <w:lang w:eastAsia="it-IT"/>
              </w:rPr>
              <w:tab/>
              <w:t xml:space="preserve">природне багатство та багатоманітність території , а саме землі водного фонду багаті на природні джерела; </w:t>
            </w:r>
          </w:p>
          <w:p w14:paraId="71D2BBF6" w14:textId="77777777" w:rsidR="009F618C" w:rsidRPr="00C2587D" w:rsidRDefault="009F618C" w:rsidP="00DD6DC0">
            <w:pPr>
              <w:tabs>
                <w:tab w:val="left" w:pos="180"/>
              </w:tabs>
              <w:spacing w:before="40" w:after="40"/>
              <w:jc w:val="both"/>
              <w:rPr>
                <w:rFonts w:cs="Arial"/>
                <w:sz w:val="20"/>
                <w:szCs w:val="20"/>
                <w:lang w:eastAsia="it-IT"/>
              </w:rPr>
            </w:pPr>
            <w:r w:rsidRPr="00C2587D">
              <w:rPr>
                <w:rFonts w:cs="Arial"/>
                <w:sz w:val="20"/>
                <w:szCs w:val="20"/>
                <w:lang w:eastAsia="it-IT"/>
              </w:rPr>
              <w:t>•</w:t>
            </w:r>
            <w:r w:rsidRPr="00C2587D">
              <w:rPr>
                <w:rFonts w:cs="Arial"/>
                <w:sz w:val="20"/>
                <w:szCs w:val="20"/>
                <w:lang w:eastAsia="it-IT"/>
              </w:rPr>
              <w:tab/>
              <w:t>пам’ятки історії, археології та архітектури – на території громади знаходяться велика кількість пам’яток археології  та інших нерухомих об’єктів культурної і духовної спадщини.</w:t>
            </w:r>
          </w:p>
          <w:p w14:paraId="3C81BF02" w14:textId="2E4A3152"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Досі наявні ресурси не використовувались у повній мірі для оздоровлення, розвитку духовної і історико-культурної  діяльності, створення якісного туристичного продукту й умов для зайнятос</w:t>
            </w:r>
            <w:r w:rsidR="003E5778">
              <w:rPr>
                <w:rFonts w:cs="Arial"/>
                <w:sz w:val="20"/>
                <w:szCs w:val="20"/>
                <w:lang w:eastAsia="it-IT"/>
              </w:rPr>
              <w:t>ті місцевого населення. Цей проє</w:t>
            </w:r>
            <w:r w:rsidRPr="00C2587D">
              <w:rPr>
                <w:rFonts w:cs="Arial"/>
                <w:sz w:val="20"/>
                <w:szCs w:val="20"/>
                <w:lang w:eastAsia="it-IT"/>
              </w:rPr>
              <w:t>кт спрямований на духовне збагачення населення, відродження та пропаганду звичаїв, традицій і обрядів (через освячення джерел)  т</w:t>
            </w:r>
            <w:r w:rsidR="003E5778">
              <w:rPr>
                <w:rFonts w:cs="Arial"/>
                <w:sz w:val="20"/>
                <w:szCs w:val="20"/>
                <w:lang w:eastAsia="it-IT"/>
              </w:rPr>
              <w:t>а впровадження інноваційних проє</w:t>
            </w:r>
            <w:r w:rsidRPr="00C2587D">
              <w:rPr>
                <w:rFonts w:cs="Arial"/>
                <w:sz w:val="20"/>
                <w:szCs w:val="20"/>
                <w:lang w:eastAsia="it-IT"/>
              </w:rPr>
              <w:t>ктів у цій сфері.</w:t>
            </w:r>
          </w:p>
        </w:tc>
      </w:tr>
      <w:tr w:rsidR="009F618C" w:rsidRPr="00C2587D" w14:paraId="4828738F" w14:textId="77777777" w:rsidTr="00D911C9">
        <w:trPr>
          <w:jc w:val="right"/>
        </w:trPr>
        <w:tc>
          <w:tcPr>
            <w:tcW w:w="3424" w:type="dxa"/>
            <w:shd w:val="clear" w:color="auto" w:fill="FFFFFF"/>
            <w:vAlign w:val="center"/>
          </w:tcPr>
          <w:p w14:paraId="2EF0D70A" w14:textId="77777777" w:rsidR="009F618C" w:rsidRPr="00C2587D" w:rsidRDefault="009F618C" w:rsidP="00FD75D9">
            <w:pPr>
              <w:rPr>
                <w:rFonts w:cs="Arial"/>
                <w:b/>
                <w:bCs/>
                <w:color w:val="000000"/>
              </w:rPr>
            </w:pPr>
            <w:r w:rsidRPr="00C2587D">
              <w:rPr>
                <w:rFonts w:cs="Arial"/>
                <w:b/>
                <w:bCs/>
                <w:color w:val="000000"/>
              </w:rPr>
              <w:t>Основні заходи проєкту:</w:t>
            </w:r>
          </w:p>
        </w:tc>
        <w:tc>
          <w:tcPr>
            <w:tcW w:w="6795" w:type="dxa"/>
            <w:gridSpan w:val="5"/>
          </w:tcPr>
          <w:p w14:paraId="68766988" w14:textId="58EC646E" w:rsidR="009F618C" w:rsidRPr="00C2587D" w:rsidRDefault="009F618C" w:rsidP="00DD6DC0">
            <w:pPr>
              <w:jc w:val="both"/>
              <w:rPr>
                <w:rFonts w:cs="Arial"/>
                <w:sz w:val="20"/>
                <w:szCs w:val="20"/>
                <w:lang w:eastAsia="it-IT"/>
              </w:rPr>
            </w:pPr>
            <w:r w:rsidRPr="00C2587D">
              <w:rPr>
                <w:rFonts w:cs="Arial"/>
                <w:sz w:val="20"/>
                <w:szCs w:val="20"/>
                <w:lang w:eastAsia="it-IT"/>
              </w:rPr>
              <w:t>1.   Підготовка до реалізації про</w:t>
            </w:r>
            <w:r w:rsidR="003E5778">
              <w:rPr>
                <w:rFonts w:cs="Arial"/>
                <w:sz w:val="20"/>
                <w:szCs w:val="20"/>
                <w:lang w:eastAsia="it-IT"/>
              </w:rPr>
              <w:t>є</w:t>
            </w:r>
            <w:r w:rsidRPr="00C2587D">
              <w:rPr>
                <w:rFonts w:cs="Arial"/>
                <w:sz w:val="20"/>
                <w:szCs w:val="20"/>
                <w:lang w:eastAsia="it-IT"/>
              </w:rPr>
              <w:t xml:space="preserve">кту, укладення необхідних угод, вирішення базових юридичних, комунікаційних, організаційних, технічних та інших питань. Формування ініціативної групи зі створення кластеру.  </w:t>
            </w:r>
          </w:p>
          <w:p w14:paraId="21BB6A83" w14:textId="77777777" w:rsidR="009F618C" w:rsidRPr="00C2587D" w:rsidRDefault="009F618C" w:rsidP="00DD6DC0">
            <w:pPr>
              <w:jc w:val="both"/>
              <w:rPr>
                <w:rFonts w:cs="Arial"/>
                <w:sz w:val="20"/>
                <w:szCs w:val="20"/>
                <w:lang w:eastAsia="it-IT"/>
              </w:rPr>
            </w:pPr>
            <w:r w:rsidRPr="00C2587D">
              <w:rPr>
                <w:rFonts w:cs="Arial"/>
                <w:sz w:val="20"/>
                <w:szCs w:val="20"/>
                <w:lang w:eastAsia="it-IT"/>
              </w:rPr>
              <w:t>2.  Проведення інвентаризації природних та історико-культурних туристичних об’єктів на території Жмеринської громади.</w:t>
            </w:r>
          </w:p>
          <w:p w14:paraId="2DF1F0D8" w14:textId="77777777" w:rsidR="009F618C" w:rsidRPr="00C2587D" w:rsidRDefault="009F618C" w:rsidP="00DD6DC0">
            <w:pPr>
              <w:jc w:val="both"/>
              <w:rPr>
                <w:rFonts w:cs="Arial"/>
                <w:sz w:val="20"/>
                <w:szCs w:val="20"/>
                <w:lang w:eastAsia="it-IT"/>
              </w:rPr>
            </w:pPr>
            <w:r w:rsidRPr="00C2587D">
              <w:rPr>
                <w:rFonts w:cs="Arial"/>
                <w:sz w:val="20"/>
                <w:szCs w:val="20"/>
                <w:lang w:eastAsia="it-IT"/>
              </w:rPr>
              <w:t>3.  Розробка туристичних та екскурсійних маршрутів за різними напрямами з урахуванням проведеного аналізу (інвентаризації).</w:t>
            </w:r>
          </w:p>
          <w:p w14:paraId="35B14C5C" w14:textId="77777777" w:rsidR="009F618C" w:rsidRPr="00C2587D" w:rsidRDefault="009F618C" w:rsidP="00DD6DC0">
            <w:pPr>
              <w:jc w:val="both"/>
              <w:rPr>
                <w:rFonts w:cs="Arial"/>
                <w:sz w:val="20"/>
                <w:szCs w:val="20"/>
                <w:lang w:eastAsia="it-IT"/>
              </w:rPr>
            </w:pPr>
            <w:r w:rsidRPr="00C2587D">
              <w:rPr>
                <w:rFonts w:cs="Arial"/>
                <w:sz w:val="20"/>
                <w:szCs w:val="20"/>
                <w:lang w:eastAsia="it-IT"/>
              </w:rPr>
              <w:t>4.   Придбання обладнання і технічне оснащення туристично-екскурсійних маршрутів; облаштування малими об’єктами обслуговування, встановлення туристичних знаків, інформаційних щитів і покажчиків. Забезпечення виконання санітарно-технічних та екологічних норм.</w:t>
            </w:r>
          </w:p>
          <w:p w14:paraId="6DCB409B" w14:textId="77777777" w:rsidR="009F618C" w:rsidRPr="00C2587D" w:rsidRDefault="009F618C" w:rsidP="00DD6DC0">
            <w:pPr>
              <w:jc w:val="both"/>
              <w:rPr>
                <w:rFonts w:cs="Arial"/>
                <w:sz w:val="20"/>
                <w:szCs w:val="20"/>
                <w:lang w:eastAsia="it-IT"/>
              </w:rPr>
            </w:pPr>
            <w:r w:rsidRPr="00C2587D">
              <w:rPr>
                <w:rFonts w:cs="Arial"/>
                <w:sz w:val="20"/>
                <w:szCs w:val="20"/>
                <w:lang w:eastAsia="it-IT"/>
              </w:rPr>
              <w:t>5.   Очищення територій, встановлення урн, лав, криниць, джерельних будиночків</w:t>
            </w:r>
          </w:p>
          <w:p w14:paraId="297A7CAF" w14:textId="77777777" w:rsidR="009F618C" w:rsidRPr="00C2587D" w:rsidRDefault="009F618C" w:rsidP="00DD6DC0">
            <w:pPr>
              <w:jc w:val="both"/>
              <w:rPr>
                <w:rFonts w:cs="Arial"/>
                <w:sz w:val="20"/>
                <w:szCs w:val="20"/>
                <w:lang w:eastAsia="it-IT"/>
              </w:rPr>
            </w:pPr>
            <w:r w:rsidRPr="00C2587D">
              <w:rPr>
                <w:rFonts w:cs="Arial"/>
                <w:sz w:val="20"/>
                <w:szCs w:val="20"/>
                <w:lang w:eastAsia="it-IT"/>
              </w:rPr>
              <w:t>6.   Підведення пішохідних доріжок, огородження небезпечних ділянок</w:t>
            </w:r>
          </w:p>
          <w:p w14:paraId="5B0E2183" w14:textId="77777777" w:rsidR="009F618C" w:rsidRPr="00C2587D" w:rsidRDefault="009F618C" w:rsidP="00DD6DC0">
            <w:pPr>
              <w:jc w:val="both"/>
              <w:rPr>
                <w:rFonts w:cs="Arial"/>
                <w:sz w:val="20"/>
                <w:szCs w:val="20"/>
                <w:lang w:eastAsia="it-IT"/>
              </w:rPr>
            </w:pPr>
            <w:r w:rsidRPr="00C2587D">
              <w:rPr>
                <w:rFonts w:cs="Arial"/>
                <w:sz w:val="20"/>
                <w:szCs w:val="20"/>
                <w:lang w:eastAsia="it-IT"/>
              </w:rPr>
              <w:t>7.   Встановлення інформаційних табличок з історією, легендами, хімічним складом води</w:t>
            </w:r>
          </w:p>
        </w:tc>
      </w:tr>
      <w:tr w:rsidR="009F618C" w:rsidRPr="00C2587D" w14:paraId="64FDEC35" w14:textId="77777777" w:rsidTr="00D911C9">
        <w:trPr>
          <w:jc w:val="right"/>
        </w:trPr>
        <w:tc>
          <w:tcPr>
            <w:tcW w:w="3424" w:type="dxa"/>
            <w:shd w:val="clear" w:color="auto" w:fill="FFFFFF"/>
            <w:vAlign w:val="center"/>
          </w:tcPr>
          <w:p w14:paraId="52E60E0A" w14:textId="77777777" w:rsidR="009F618C" w:rsidRPr="00C2587D" w:rsidRDefault="009F618C" w:rsidP="00FD75D9">
            <w:pPr>
              <w:rPr>
                <w:rFonts w:cs="Arial"/>
                <w:b/>
                <w:bCs/>
                <w:color w:val="000000"/>
              </w:rPr>
            </w:pPr>
            <w:r w:rsidRPr="00C2587D">
              <w:rPr>
                <w:rFonts w:cs="Arial"/>
                <w:b/>
                <w:bCs/>
                <w:color w:val="000000"/>
              </w:rPr>
              <w:t>Індикатори (показники) результативності:</w:t>
            </w:r>
          </w:p>
        </w:tc>
        <w:tc>
          <w:tcPr>
            <w:tcW w:w="6795" w:type="dxa"/>
            <w:gridSpan w:val="5"/>
          </w:tcPr>
          <w:p w14:paraId="5EB56E59" w14:textId="77777777"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  Облаштовано не менше 6 джерел у різних населених пунктах</w:t>
            </w:r>
          </w:p>
          <w:p w14:paraId="71572891" w14:textId="77777777"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  Підвищено екологічну безпеку джерельних вод</w:t>
            </w:r>
          </w:p>
          <w:p w14:paraId="37BC3385" w14:textId="77777777"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  Створено 6 інформаційних стендів з історико-культурною інформацією</w:t>
            </w:r>
          </w:p>
          <w:p w14:paraId="4A113E12" w14:textId="77777777"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  Проведено не менше 5 екозаходів з молоддю</w:t>
            </w:r>
          </w:p>
          <w:p w14:paraId="128720B1" w14:textId="77777777" w:rsidR="009F618C" w:rsidRPr="00C2587D" w:rsidRDefault="009F618C" w:rsidP="00FD75D9">
            <w:pPr>
              <w:spacing w:before="40" w:after="40"/>
              <w:rPr>
                <w:rFonts w:cs="Arial"/>
                <w:sz w:val="20"/>
                <w:szCs w:val="20"/>
                <w:lang w:eastAsia="it-IT"/>
              </w:rPr>
            </w:pPr>
            <w:r w:rsidRPr="00C2587D">
              <w:rPr>
                <w:rFonts w:cs="Arial"/>
                <w:sz w:val="20"/>
                <w:szCs w:val="20"/>
                <w:lang w:eastAsia="it-IT"/>
              </w:rPr>
              <w:t>  Включення щонайменше 2 джерел у туристичні маршрути громади</w:t>
            </w:r>
          </w:p>
        </w:tc>
      </w:tr>
      <w:tr w:rsidR="009F618C" w:rsidRPr="00C2587D" w14:paraId="1FA00672" w14:textId="77777777" w:rsidTr="00D911C9">
        <w:trPr>
          <w:jc w:val="right"/>
        </w:trPr>
        <w:tc>
          <w:tcPr>
            <w:tcW w:w="3424" w:type="dxa"/>
            <w:shd w:val="clear" w:color="auto" w:fill="FFFFFF"/>
            <w:vAlign w:val="center"/>
          </w:tcPr>
          <w:p w14:paraId="7C5B9926" w14:textId="77777777" w:rsidR="009F618C" w:rsidRPr="00C2587D" w:rsidRDefault="009F618C" w:rsidP="00FD75D9">
            <w:pPr>
              <w:rPr>
                <w:rFonts w:cs="Arial"/>
                <w:b/>
                <w:color w:val="000000"/>
              </w:rPr>
            </w:pPr>
            <w:r w:rsidRPr="00C2587D">
              <w:rPr>
                <w:rFonts w:cs="Arial"/>
                <w:b/>
                <w:color w:val="000000"/>
              </w:rPr>
              <w:t xml:space="preserve">Період здійснення: </w:t>
            </w:r>
          </w:p>
        </w:tc>
        <w:tc>
          <w:tcPr>
            <w:tcW w:w="6795" w:type="dxa"/>
            <w:gridSpan w:val="5"/>
            <w:vAlign w:val="center"/>
          </w:tcPr>
          <w:p w14:paraId="610F3639" w14:textId="77777777" w:rsidR="009F618C" w:rsidRPr="00C2587D" w:rsidRDefault="009F618C" w:rsidP="00FD75D9">
            <w:pPr>
              <w:rPr>
                <w:rFonts w:cs="Arial"/>
                <w:color w:val="000000"/>
                <w:lang w:eastAsia="it-IT"/>
              </w:rPr>
            </w:pPr>
            <w:r w:rsidRPr="00C2587D">
              <w:rPr>
                <w:rFonts w:cs="Arial"/>
                <w:b/>
                <w:color w:val="000000"/>
              </w:rPr>
              <w:t>2025 – 2028 роки:</w:t>
            </w:r>
          </w:p>
        </w:tc>
      </w:tr>
      <w:tr w:rsidR="009F618C" w:rsidRPr="00C2587D" w14:paraId="4408B6E4" w14:textId="77777777" w:rsidTr="00D911C9">
        <w:trPr>
          <w:jc w:val="right"/>
        </w:trPr>
        <w:tc>
          <w:tcPr>
            <w:tcW w:w="3424" w:type="dxa"/>
            <w:vMerge w:val="restart"/>
            <w:shd w:val="clear" w:color="auto" w:fill="FFFFFF"/>
            <w:vAlign w:val="center"/>
          </w:tcPr>
          <w:p w14:paraId="5923FFCE" w14:textId="77777777" w:rsidR="009F618C" w:rsidRPr="00C2587D" w:rsidRDefault="009F618C" w:rsidP="00FD75D9">
            <w:pPr>
              <w:rPr>
                <w:rFonts w:cs="Arial"/>
                <w:b/>
                <w:bCs/>
                <w:color w:val="000000"/>
              </w:rPr>
            </w:pPr>
            <w:r w:rsidRPr="00C2587D">
              <w:rPr>
                <w:rFonts w:cs="Arial"/>
                <w:b/>
                <w:bCs/>
                <w:color w:val="000000"/>
              </w:rPr>
              <w:t>Орієнтовна вартість проєкту, тис. грн., в тому числі:</w:t>
            </w:r>
          </w:p>
        </w:tc>
        <w:tc>
          <w:tcPr>
            <w:tcW w:w="1253" w:type="dxa"/>
            <w:shd w:val="clear" w:color="auto" w:fill="E6E6E6"/>
            <w:vAlign w:val="center"/>
          </w:tcPr>
          <w:p w14:paraId="55196B1C" w14:textId="77777777" w:rsidR="009F618C" w:rsidRPr="00C2587D" w:rsidRDefault="009F618C" w:rsidP="00FD75D9">
            <w:pPr>
              <w:jc w:val="center"/>
              <w:rPr>
                <w:rFonts w:cs="Arial"/>
                <w:b/>
                <w:color w:val="000000"/>
                <w:lang w:eastAsia="it-IT"/>
              </w:rPr>
            </w:pPr>
            <w:r w:rsidRPr="00C2587D">
              <w:rPr>
                <w:rFonts w:cs="Arial"/>
                <w:b/>
                <w:color w:val="000000"/>
                <w:lang w:eastAsia="it-IT"/>
              </w:rPr>
              <w:t>2025</w:t>
            </w:r>
          </w:p>
        </w:tc>
        <w:tc>
          <w:tcPr>
            <w:tcW w:w="1274" w:type="dxa"/>
            <w:shd w:val="clear" w:color="auto" w:fill="E6E6E6"/>
            <w:vAlign w:val="center"/>
          </w:tcPr>
          <w:p w14:paraId="4B2EF2E1" w14:textId="77777777" w:rsidR="009F618C" w:rsidRPr="00C2587D" w:rsidRDefault="009F618C" w:rsidP="00FD75D9">
            <w:pPr>
              <w:jc w:val="center"/>
              <w:rPr>
                <w:rFonts w:cs="Arial"/>
                <w:b/>
                <w:color w:val="000000"/>
                <w:lang w:eastAsia="it-IT"/>
              </w:rPr>
            </w:pPr>
            <w:r w:rsidRPr="00C2587D">
              <w:rPr>
                <w:rFonts w:cs="Arial"/>
                <w:b/>
                <w:color w:val="000000"/>
                <w:lang w:eastAsia="it-IT"/>
              </w:rPr>
              <w:t>2026</w:t>
            </w:r>
          </w:p>
        </w:tc>
        <w:tc>
          <w:tcPr>
            <w:tcW w:w="1420" w:type="dxa"/>
            <w:tcBorders>
              <w:bottom w:val="single" w:sz="4" w:space="0" w:color="auto"/>
            </w:tcBorders>
            <w:shd w:val="clear" w:color="auto" w:fill="E6E6E6"/>
            <w:vAlign w:val="center"/>
          </w:tcPr>
          <w:p w14:paraId="6328762E" w14:textId="77777777" w:rsidR="009F618C" w:rsidRPr="00C2587D" w:rsidRDefault="009F618C" w:rsidP="00FD75D9">
            <w:pPr>
              <w:jc w:val="center"/>
              <w:rPr>
                <w:rFonts w:cs="Arial"/>
                <w:b/>
                <w:color w:val="000000"/>
                <w:lang w:eastAsia="it-IT"/>
              </w:rPr>
            </w:pPr>
            <w:r w:rsidRPr="00C2587D">
              <w:rPr>
                <w:rFonts w:cs="Arial"/>
                <w:b/>
                <w:color w:val="000000"/>
                <w:lang w:eastAsia="it-IT"/>
              </w:rPr>
              <w:t>2027</w:t>
            </w:r>
          </w:p>
        </w:tc>
        <w:tc>
          <w:tcPr>
            <w:tcW w:w="1275" w:type="dxa"/>
            <w:shd w:val="clear" w:color="auto" w:fill="E6E6E6"/>
            <w:vAlign w:val="center"/>
          </w:tcPr>
          <w:p w14:paraId="224AB7C0" w14:textId="77777777" w:rsidR="009F618C" w:rsidRPr="00C2587D" w:rsidRDefault="009F618C" w:rsidP="00FD75D9">
            <w:pPr>
              <w:jc w:val="center"/>
              <w:rPr>
                <w:rFonts w:cs="Arial"/>
                <w:b/>
                <w:color w:val="000000"/>
                <w:lang w:eastAsia="it-IT"/>
              </w:rPr>
            </w:pPr>
            <w:r w:rsidRPr="00C2587D">
              <w:rPr>
                <w:rFonts w:cs="Arial"/>
                <w:b/>
                <w:color w:val="000000"/>
                <w:lang w:eastAsia="it-IT"/>
              </w:rPr>
              <w:t>2028</w:t>
            </w:r>
          </w:p>
        </w:tc>
        <w:tc>
          <w:tcPr>
            <w:tcW w:w="1573" w:type="dxa"/>
            <w:shd w:val="clear" w:color="auto" w:fill="E6E6E6"/>
          </w:tcPr>
          <w:p w14:paraId="27780FF3" w14:textId="77777777" w:rsidR="009F618C" w:rsidRPr="00C2587D" w:rsidRDefault="009F618C" w:rsidP="00D911C9">
            <w:pPr>
              <w:jc w:val="center"/>
              <w:rPr>
                <w:rFonts w:cs="Arial"/>
                <w:b/>
                <w:color w:val="000000"/>
                <w:lang w:eastAsia="it-IT"/>
              </w:rPr>
            </w:pPr>
            <w:r w:rsidRPr="00C2587D">
              <w:rPr>
                <w:rFonts w:cs="Arial"/>
                <w:b/>
                <w:color w:val="000000"/>
                <w:lang w:eastAsia="it-IT"/>
              </w:rPr>
              <w:t>РАЗОМ</w:t>
            </w:r>
          </w:p>
        </w:tc>
      </w:tr>
      <w:tr w:rsidR="009F618C" w:rsidRPr="00C2587D" w14:paraId="1AFA6E40" w14:textId="77777777" w:rsidTr="00D911C9">
        <w:trPr>
          <w:jc w:val="right"/>
        </w:trPr>
        <w:tc>
          <w:tcPr>
            <w:tcW w:w="3424" w:type="dxa"/>
            <w:vMerge/>
            <w:shd w:val="clear" w:color="auto" w:fill="FFFFFF"/>
            <w:vAlign w:val="center"/>
          </w:tcPr>
          <w:p w14:paraId="1D5D2BF6" w14:textId="77777777" w:rsidR="009F618C" w:rsidRPr="00C2587D" w:rsidRDefault="009F618C" w:rsidP="00FD75D9">
            <w:pPr>
              <w:rPr>
                <w:rFonts w:cs="Arial"/>
                <w:b/>
                <w:bCs/>
                <w:color w:val="000000"/>
              </w:rPr>
            </w:pPr>
          </w:p>
        </w:tc>
        <w:tc>
          <w:tcPr>
            <w:tcW w:w="1253" w:type="dxa"/>
            <w:vAlign w:val="center"/>
          </w:tcPr>
          <w:p w14:paraId="1A6C3BC2" w14:textId="77777777" w:rsidR="009F618C" w:rsidRPr="00C2587D" w:rsidRDefault="009F618C" w:rsidP="00FD75D9">
            <w:pPr>
              <w:jc w:val="center"/>
              <w:rPr>
                <w:rFonts w:cs="Arial"/>
                <w:b/>
                <w:color w:val="000000"/>
                <w:lang w:eastAsia="it-IT"/>
              </w:rPr>
            </w:pPr>
            <w:r w:rsidRPr="00C2587D">
              <w:rPr>
                <w:rFonts w:cs="Arial"/>
                <w:b/>
                <w:color w:val="000000"/>
                <w:lang w:eastAsia="it-IT"/>
              </w:rPr>
              <w:t>-</w:t>
            </w:r>
          </w:p>
        </w:tc>
        <w:tc>
          <w:tcPr>
            <w:tcW w:w="1274" w:type="dxa"/>
            <w:shd w:val="clear" w:color="auto" w:fill="FFFFFF"/>
          </w:tcPr>
          <w:p w14:paraId="453D4E94" w14:textId="77777777" w:rsidR="009F618C" w:rsidRPr="00C2587D" w:rsidRDefault="009F618C" w:rsidP="00D911C9">
            <w:pPr>
              <w:jc w:val="center"/>
              <w:rPr>
                <w:rFonts w:cs="Arial"/>
                <w:b/>
                <w:color w:val="000000"/>
                <w:lang w:eastAsia="it-IT"/>
              </w:rPr>
            </w:pPr>
            <w:r w:rsidRPr="00C2587D">
              <w:rPr>
                <w:rFonts w:cs="Arial"/>
                <w:b/>
                <w:color w:val="000000"/>
                <w:lang w:eastAsia="it-IT"/>
              </w:rPr>
              <w:t>200,0</w:t>
            </w:r>
          </w:p>
        </w:tc>
        <w:tc>
          <w:tcPr>
            <w:tcW w:w="1420" w:type="dxa"/>
            <w:shd w:val="clear" w:color="auto" w:fill="auto"/>
          </w:tcPr>
          <w:p w14:paraId="5BFC5A15" w14:textId="77777777" w:rsidR="009F618C" w:rsidRPr="00C2587D" w:rsidRDefault="009F618C" w:rsidP="00D911C9">
            <w:pPr>
              <w:jc w:val="center"/>
              <w:rPr>
                <w:rFonts w:cs="Arial"/>
                <w:b/>
                <w:color w:val="000000"/>
                <w:lang w:eastAsia="it-IT"/>
              </w:rPr>
            </w:pPr>
            <w:r w:rsidRPr="00C2587D">
              <w:rPr>
                <w:rFonts w:cs="Arial"/>
                <w:b/>
                <w:color w:val="000000"/>
                <w:lang w:eastAsia="it-IT"/>
              </w:rPr>
              <w:t>200,0</w:t>
            </w:r>
          </w:p>
        </w:tc>
        <w:tc>
          <w:tcPr>
            <w:tcW w:w="1275" w:type="dxa"/>
            <w:shd w:val="clear" w:color="auto" w:fill="FFFFFF"/>
          </w:tcPr>
          <w:p w14:paraId="7B18BB0E" w14:textId="77777777" w:rsidR="009F618C" w:rsidRPr="00C2587D" w:rsidRDefault="009F618C" w:rsidP="00D911C9">
            <w:pPr>
              <w:jc w:val="center"/>
              <w:rPr>
                <w:rFonts w:cs="Arial"/>
                <w:b/>
                <w:color w:val="000000"/>
                <w:lang w:eastAsia="it-IT"/>
              </w:rPr>
            </w:pPr>
            <w:r w:rsidRPr="00C2587D">
              <w:rPr>
                <w:rFonts w:cs="Arial"/>
                <w:b/>
                <w:color w:val="000000"/>
                <w:lang w:eastAsia="it-IT"/>
              </w:rPr>
              <w:t>200,0</w:t>
            </w:r>
          </w:p>
        </w:tc>
        <w:tc>
          <w:tcPr>
            <w:tcW w:w="1573" w:type="dxa"/>
            <w:shd w:val="clear" w:color="auto" w:fill="FFFFFF"/>
          </w:tcPr>
          <w:p w14:paraId="7ECD09B5" w14:textId="77777777" w:rsidR="009F618C" w:rsidRPr="00C2587D" w:rsidRDefault="009F618C" w:rsidP="00D911C9">
            <w:pPr>
              <w:jc w:val="center"/>
              <w:rPr>
                <w:rFonts w:cs="Arial"/>
                <w:b/>
                <w:color w:val="000000"/>
                <w:lang w:eastAsia="it-IT"/>
              </w:rPr>
            </w:pPr>
            <w:r w:rsidRPr="00C2587D">
              <w:rPr>
                <w:rFonts w:cs="Arial"/>
                <w:b/>
                <w:color w:val="000000"/>
                <w:lang w:eastAsia="it-IT"/>
              </w:rPr>
              <w:t>600,0</w:t>
            </w:r>
          </w:p>
        </w:tc>
      </w:tr>
      <w:tr w:rsidR="00D911C9" w:rsidRPr="00C2587D" w14:paraId="351CDF6C" w14:textId="5CCBA6E0" w:rsidTr="00D911C9">
        <w:trPr>
          <w:trHeight w:val="276"/>
          <w:jc w:val="right"/>
        </w:trPr>
        <w:tc>
          <w:tcPr>
            <w:tcW w:w="3424" w:type="dxa"/>
            <w:shd w:val="clear" w:color="auto" w:fill="FFFFFF"/>
            <w:vAlign w:val="center"/>
          </w:tcPr>
          <w:p w14:paraId="14644CB8" w14:textId="77777777" w:rsidR="00D911C9" w:rsidRPr="00C2587D" w:rsidRDefault="00D911C9" w:rsidP="00FD75D9">
            <w:pPr>
              <w:rPr>
                <w:rFonts w:cs="Arial"/>
                <w:b/>
                <w:bCs/>
                <w:color w:val="000000"/>
              </w:rPr>
            </w:pPr>
            <w:r w:rsidRPr="00C2587D">
              <w:rPr>
                <w:rFonts w:cs="Arial"/>
                <w:b/>
                <w:bCs/>
                <w:color w:val="000000"/>
              </w:rPr>
              <w:t>по джерелах фінансування:</w:t>
            </w:r>
          </w:p>
        </w:tc>
        <w:tc>
          <w:tcPr>
            <w:tcW w:w="1250" w:type="dxa"/>
            <w:vAlign w:val="center"/>
          </w:tcPr>
          <w:p w14:paraId="66DFDC8C" w14:textId="77777777" w:rsidR="00D911C9" w:rsidRPr="00C2587D" w:rsidRDefault="00D911C9" w:rsidP="00FD75D9">
            <w:pPr>
              <w:jc w:val="both"/>
              <w:rPr>
                <w:rFonts w:cs="Arial"/>
                <w:color w:val="000000"/>
                <w:lang w:eastAsia="it-IT"/>
              </w:rPr>
            </w:pPr>
          </w:p>
        </w:tc>
        <w:tc>
          <w:tcPr>
            <w:tcW w:w="1280" w:type="dxa"/>
          </w:tcPr>
          <w:p w14:paraId="3CFCBB24" w14:textId="77777777" w:rsidR="00D911C9" w:rsidRPr="00C2587D" w:rsidRDefault="00D911C9" w:rsidP="00D911C9">
            <w:pPr>
              <w:jc w:val="center"/>
              <w:rPr>
                <w:rFonts w:cs="Arial"/>
                <w:color w:val="000000"/>
                <w:lang w:eastAsia="it-IT"/>
              </w:rPr>
            </w:pPr>
          </w:p>
        </w:tc>
        <w:tc>
          <w:tcPr>
            <w:tcW w:w="1417" w:type="dxa"/>
          </w:tcPr>
          <w:p w14:paraId="6710D508" w14:textId="27AD4354" w:rsidR="00D911C9" w:rsidRPr="00C2587D" w:rsidRDefault="00D911C9" w:rsidP="00D911C9">
            <w:pPr>
              <w:jc w:val="center"/>
              <w:rPr>
                <w:rFonts w:cs="Arial"/>
                <w:color w:val="000000"/>
                <w:lang w:eastAsia="it-IT"/>
              </w:rPr>
            </w:pPr>
          </w:p>
        </w:tc>
        <w:tc>
          <w:tcPr>
            <w:tcW w:w="1275" w:type="dxa"/>
          </w:tcPr>
          <w:p w14:paraId="2F23949E" w14:textId="39A0C0CA" w:rsidR="00D911C9" w:rsidRPr="00C2587D" w:rsidRDefault="00D911C9" w:rsidP="00D911C9">
            <w:pPr>
              <w:jc w:val="center"/>
              <w:rPr>
                <w:rFonts w:cs="Arial"/>
                <w:color w:val="000000"/>
                <w:lang w:eastAsia="it-IT"/>
              </w:rPr>
            </w:pPr>
          </w:p>
        </w:tc>
        <w:tc>
          <w:tcPr>
            <w:tcW w:w="1573" w:type="dxa"/>
          </w:tcPr>
          <w:p w14:paraId="0BCDCB33" w14:textId="531A3301" w:rsidR="00D911C9" w:rsidRPr="00C2587D" w:rsidRDefault="00D911C9" w:rsidP="00D911C9">
            <w:pPr>
              <w:jc w:val="center"/>
              <w:rPr>
                <w:rFonts w:cs="Arial"/>
                <w:color w:val="000000"/>
                <w:lang w:eastAsia="it-IT"/>
              </w:rPr>
            </w:pPr>
          </w:p>
        </w:tc>
      </w:tr>
      <w:tr w:rsidR="00D911C9" w:rsidRPr="00C2587D" w14:paraId="560A4A3B" w14:textId="0AB47E36" w:rsidTr="00D911C9">
        <w:trPr>
          <w:trHeight w:val="240"/>
          <w:jc w:val="right"/>
        </w:trPr>
        <w:tc>
          <w:tcPr>
            <w:tcW w:w="3424" w:type="dxa"/>
            <w:shd w:val="clear" w:color="auto" w:fill="FFFFFF"/>
            <w:vAlign w:val="center"/>
          </w:tcPr>
          <w:p w14:paraId="2FB3EFAD" w14:textId="77777777" w:rsidR="00D911C9" w:rsidRPr="00C2587D" w:rsidRDefault="00D911C9" w:rsidP="00FD75D9">
            <w:pPr>
              <w:rPr>
                <w:rFonts w:cs="Arial"/>
                <w:b/>
                <w:bCs/>
                <w:color w:val="000000"/>
              </w:rPr>
            </w:pPr>
            <w:r w:rsidRPr="00C2587D">
              <w:rPr>
                <w:rFonts w:cs="Arial"/>
                <w:color w:val="000000"/>
              </w:rPr>
              <w:t>- державний бюджет</w:t>
            </w:r>
          </w:p>
        </w:tc>
        <w:tc>
          <w:tcPr>
            <w:tcW w:w="1250" w:type="dxa"/>
            <w:vAlign w:val="center"/>
          </w:tcPr>
          <w:p w14:paraId="24FE9797" w14:textId="77777777" w:rsidR="00D911C9" w:rsidRPr="00C2587D" w:rsidRDefault="00D911C9" w:rsidP="00FD75D9">
            <w:pPr>
              <w:jc w:val="both"/>
              <w:rPr>
                <w:rFonts w:cs="Arial"/>
                <w:color w:val="000000"/>
                <w:lang w:eastAsia="it-IT"/>
              </w:rPr>
            </w:pPr>
          </w:p>
        </w:tc>
        <w:tc>
          <w:tcPr>
            <w:tcW w:w="1280" w:type="dxa"/>
          </w:tcPr>
          <w:p w14:paraId="2191F652" w14:textId="77777777" w:rsidR="00D911C9" w:rsidRPr="00C2587D" w:rsidRDefault="00D911C9" w:rsidP="00D911C9">
            <w:pPr>
              <w:jc w:val="center"/>
              <w:rPr>
                <w:rFonts w:cs="Arial"/>
                <w:color w:val="000000"/>
                <w:lang w:eastAsia="it-IT"/>
              </w:rPr>
            </w:pPr>
          </w:p>
        </w:tc>
        <w:tc>
          <w:tcPr>
            <w:tcW w:w="1417" w:type="dxa"/>
          </w:tcPr>
          <w:p w14:paraId="12522F25" w14:textId="11CDDC88" w:rsidR="00D911C9" w:rsidRPr="00C2587D" w:rsidRDefault="00D911C9" w:rsidP="00D911C9">
            <w:pPr>
              <w:jc w:val="center"/>
              <w:rPr>
                <w:rFonts w:cs="Arial"/>
                <w:color w:val="000000"/>
                <w:lang w:eastAsia="it-IT"/>
              </w:rPr>
            </w:pPr>
          </w:p>
        </w:tc>
        <w:tc>
          <w:tcPr>
            <w:tcW w:w="1275" w:type="dxa"/>
          </w:tcPr>
          <w:p w14:paraId="03AFA665" w14:textId="1B25C062" w:rsidR="00D911C9" w:rsidRPr="00C2587D" w:rsidRDefault="00D911C9" w:rsidP="00D911C9">
            <w:pPr>
              <w:jc w:val="center"/>
              <w:rPr>
                <w:rFonts w:cs="Arial"/>
                <w:color w:val="000000"/>
                <w:lang w:eastAsia="it-IT"/>
              </w:rPr>
            </w:pPr>
          </w:p>
        </w:tc>
        <w:tc>
          <w:tcPr>
            <w:tcW w:w="1573" w:type="dxa"/>
          </w:tcPr>
          <w:p w14:paraId="495A9058" w14:textId="6713F51F" w:rsidR="00D911C9" w:rsidRPr="00C2587D" w:rsidRDefault="00D911C9" w:rsidP="00D911C9">
            <w:pPr>
              <w:jc w:val="center"/>
              <w:rPr>
                <w:rFonts w:cs="Arial"/>
                <w:color w:val="000000"/>
                <w:lang w:eastAsia="it-IT"/>
              </w:rPr>
            </w:pPr>
          </w:p>
        </w:tc>
      </w:tr>
      <w:tr w:rsidR="00D911C9" w:rsidRPr="00C2587D" w14:paraId="186E090E" w14:textId="7B4D66A5" w:rsidTr="00D911C9">
        <w:trPr>
          <w:trHeight w:val="254"/>
          <w:jc w:val="right"/>
        </w:trPr>
        <w:tc>
          <w:tcPr>
            <w:tcW w:w="3424" w:type="dxa"/>
            <w:shd w:val="clear" w:color="auto" w:fill="FFFFFF"/>
            <w:vAlign w:val="center"/>
          </w:tcPr>
          <w:p w14:paraId="63CE931F" w14:textId="77777777" w:rsidR="00D911C9" w:rsidRPr="00C2587D" w:rsidRDefault="00D911C9" w:rsidP="00FD75D9">
            <w:pPr>
              <w:rPr>
                <w:rFonts w:cs="Arial"/>
                <w:color w:val="000000"/>
              </w:rPr>
            </w:pPr>
            <w:r w:rsidRPr="00C2587D">
              <w:rPr>
                <w:rFonts w:cs="Arial"/>
                <w:color w:val="000000"/>
              </w:rPr>
              <w:t>- обласний бюджет</w:t>
            </w:r>
          </w:p>
        </w:tc>
        <w:tc>
          <w:tcPr>
            <w:tcW w:w="1250" w:type="dxa"/>
            <w:vAlign w:val="center"/>
          </w:tcPr>
          <w:p w14:paraId="06EEF65D" w14:textId="77777777" w:rsidR="00D911C9" w:rsidRPr="00C2587D" w:rsidRDefault="00D911C9" w:rsidP="00FD75D9">
            <w:pPr>
              <w:jc w:val="both"/>
              <w:rPr>
                <w:rFonts w:cs="Arial"/>
                <w:color w:val="000000"/>
                <w:lang w:eastAsia="it-IT"/>
              </w:rPr>
            </w:pPr>
          </w:p>
        </w:tc>
        <w:tc>
          <w:tcPr>
            <w:tcW w:w="1280" w:type="dxa"/>
          </w:tcPr>
          <w:p w14:paraId="5C34F107" w14:textId="77777777" w:rsidR="00D911C9" w:rsidRPr="00C2587D" w:rsidRDefault="00D911C9" w:rsidP="00D911C9">
            <w:pPr>
              <w:jc w:val="center"/>
              <w:rPr>
                <w:rFonts w:cs="Arial"/>
                <w:color w:val="000000"/>
                <w:lang w:eastAsia="it-IT"/>
              </w:rPr>
            </w:pPr>
          </w:p>
        </w:tc>
        <w:tc>
          <w:tcPr>
            <w:tcW w:w="1417" w:type="dxa"/>
          </w:tcPr>
          <w:p w14:paraId="6CD61957" w14:textId="6F4243EE" w:rsidR="00D911C9" w:rsidRPr="00C2587D" w:rsidRDefault="00D911C9" w:rsidP="00D911C9">
            <w:pPr>
              <w:jc w:val="center"/>
              <w:rPr>
                <w:rFonts w:cs="Arial"/>
                <w:color w:val="000000"/>
                <w:lang w:eastAsia="it-IT"/>
              </w:rPr>
            </w:pPr>
          </w:p>
        </w:tc>
        <w:tc>
          <w:tcPr>
            <w:tcW w:w="1275" w:type="dxa"/>
          </w:tcPr>
          <w:p w14:paraId="1D7F55DF" w14:textId="0FBD50EC" w:rsidR="00D911C9" w:rsidRPr="00C2587D" w:rsidRDefault="00D911C9" w:rsidP="00D911C9">
            <w:pPr>
              <w:jc w:val="center"/>
              <w:rPr>
                <w:rFonts w:cs="Arial"/>
                <w:color w:val="000000"/>
                <w:lang w:eastAsia="it-IT"/>
              </w:rPr>
            </w:pPr>
          </w:p>
        </w:tc>
        <w:tc>
          <w:tcPr>
            <w:tcW w:w="1573" w:type="dxa"/>
          </w:tcPr>
          <w:p w14:paraId="6367B782" w14:textId="7AA816CB" w:rsidR="00D911C9" w:rsidRPr="00C2587D" w:rsidRDefault="00D911C9" w:rsidP="00D911C9">
            <w:pPr>
              <w:jc w:val="center"/>
              <w:rPr>
                <w:rFonts w:cs="Arial"/>
                <w:color w:val="000000"/>
                <w:lang w:eastAsia="it-IT"/>
              </w:rPr>
            </w:pPr>
          </w:p>
        </w:tc>
      </w:tr>
      <w:tr w:rsidR="00D911C9" w:rsidRPr="00C2587D" w14:paraId="46892EFF" w14:textId="54F29B15" w:rsidTr="00D911C9">
        <w:trPr>
          <w:trHeight w:val="275"/>
          <w:jc w:val="right"/>
        </w:trPr>
        <w:tc>
          <w:tcPr>
            <w:tcW w:w="3424" w:type="dxa"/>
            <w:shd w:val="clear" w:color="auto" w:fill="FFFFFF"/>
            <w:vAlign w:val="center"/>
          </w:tcPr>
          <w:p w14:paraId="505E2B90" w14:textId="77777777" w:rsidR="00D911C9" w:rsidRPr="00C2587D" w:rsidRDefault="00D911C9" w:rsidP="00FD75D9">
            <w:pPr>
              <w:rPr>
                <w:rFonts w:cs="Arial"/>
                <w:color w:val="000000"/>
              </w:rPr>
            </w:pPr>
            <w:r w:rsidRPr="00C2587D">
              <w:rPr>
                <w:rFonts w:cs="Arial"/>
                <w:color w:val="000000"/>
              </w:rPr>
              <w:t>- бюджет Жмеринської МТГ</w:t>
            </w:r>
          </w:p>
        </w:tc>
        <w:tc>
          <w:tcPr>
            <w:tcW w:w="1250" w:type="dxa"/>
            <w:vAlign w:val="center"/>
          </w:tcPr>
          <w:p w14:paraId="47BA061C" w14:textId="5F8B07C6" w:rsidR="00D911C9" w:rsidRPr="00C2587D" w:rsidRDefault="00D911C9" w:rsidP="00FD75D9">
            <w:pPr>
              <w:jc w:val="both"/>
              <w:rPr>
                <w:rFonts w:cs="Arial"/>
                <w:color w:val="000000"/>
                <w:sz w:val="20"/>
                <w:szCs w:val="20"/>
                <w:lang w:eastAsia="it-IT"/>
              </w:rPr>
            </w:pPr>
          </w:p>
        </w:tc>
        <w:tc>
          <w:tcPr>
            <w:tcW w:w="1280" w:type="dxa"/>
          </w:tcPr>
          <w:p w14:paraId="6B65DA06" w14:textId="6F1C60EC" w:rsidR="00D911C9" w:rsidRPr="00C2587D" w:rsidRDefault="00D911C9" w:rsidP="00D911C9">
            <w:pPr>
              <w:jc w:val="center"/>
              <w:rPr>
                <w:rFonts w:cs="Arial"/>
                <w:color w:val="000000"/>
                <w:sz w:val="20"/>
                <w:szCs w:val="20"/>
                <w:lang w:eastAsia="it-IT"/>
              </w:rPr>
            </w:pPr>
            <w:r>
              <w:rPr>
                <w:rFonts w:cs="Arial"/>
                <w:color w:val="000000"/>
                <w:sz w:val="20"/>
                <w:szCs w:val="20"/>
                <w:lang w:eastAsia="it-IT"/>
              </w:rPr>
              <w:t>100</w:t>
            </w:r>
          </w:p>
        </w:tc>
        <w:tc>
          <w:tcPr>
            <w:tcW w:w="1417" w:type="dxa"/>
          </w:tcPr>
          <w:p w14:paraId="49ABDF3A" w14:textId="039B8239" w:rsidR="00D911C9" w:rsidRPr="00C2587D" w:rsidRDefault="00D911C9" w:rsidP="00D911C9">
            <w:pPr>
              <w:jc w:val="center"/>
              <w:rPr>
                <w:rFonts w:cs="Arial"/>
                <w:color w:val="000000"/>
                <w:sz w:val="20"/>
                <w:szCs w:val="20"/>
                <w:lang w:eastAsia="it-IT"/>
              </w:rPr>
            </w:pPr>
            <w:r>
              <w:rPr>
                <w:rFonts w:cs="Arial"/>
                <w:color w:val="000000"/>
                <w:sz w:val="20"/>
                <w:szCs w:val="20"/>
                <w:lang w:eastAsia="it-IT"/>
              </w:rPr>
              <w:t>200</w:t>
            </w:r>
          </w:p>
        </w:tc>
        <w:tc>
          <w:tcPr>
            <w:tcW w:w="1275" w:type="dxa"/>
          </w:tcPr>
          <w:p w14:paraId="2BE10130" w14:textId="667EE89E" w:rsidR="00D911C9" w:rsidRPr="00C2587D" w:rsidRDefault="00D911C9" w:rsidP="00D911C9">
            <w:pPr>
              <w:jc w:val="center"/>
              <w:rPr>
                <w:rFonts w:cs="Arial"/>
                <w:color w:val="000000"/>
                <w:sz w:val="20"/>
                <w:szCs w:val="20"/>
                <w:lang w:eastAsia="it-IT"/>
              </w:rPr>
            </w:pPr>
            <w:r>
              <w:rPr>
                <w:rFonts w:cs="Arial"/>
                <w:color w:val="000000"/>
                <w:sz w:val="20"/>
                <w:szCs w:val="20"/>
                <w:lang w:eastAsia="it-IT"/>
              </w:rPr>
              <w:t>200</w:t>
            </w:r>
          </w:p>
        </w:tc>
        <w:tc>
          <w:tcPr>
            <w:tcW w:w="1573" w:type="dxa"/>
          </w:tcPr>
          <w:p w14:paraId="7A346851" w14:textId="50B628FB" w:rsidR="00D911C9" w:rsidRPr="00D911C9" w:rsidRDefault="00D911C9" w:rsidP="00D911C9">
            <w:pPr>
              <w:jc w:val="center"/>
              <w:rPr>
                <w:rFonts w:cs="Arial"/>
                <w:b/>
                <w:color w:val="000000"/>
                <w:sz w:val="20"/>
                <w:szCs w:val="20"/>
                <w:lang w:eastAsia="it-IT"/>
              </w:rPr>
            </w:pPr>
            <w:r w:rsidRPr="00D911C9">
              <w:rPr>
                <w:rFonts w:cs="Arial"/>
                <w:b/>
                <w:color w:val="000000"/>
                <w:sz w:val="20"/>
                <w:szCs w:val="20"/>
                <w:lang w:eastAsia="it-IT"/>
              </w:rPr>
              <w:t>500</w:t>
            </w:r>
          </w:p>
        </w:tc>
      </w:tr>
      <w:tr w:rsidR="00D911C9" w:rsidRPr="00C2587D" w14:paraId="7BD4A7D9" w14:textId="6FDA35B3" w:rsidTr="00D911C9">
        <w:trPr>
          <w:trHeight w:val="226"/>
          <w:jc w:val="right"/>
        </w:trPr>
        <w:tc>
          <w:tcPr>
            <w:tcW w:w="3424" w:type="dxa"/>
            <w:shd w:val="clear" w:color="auto" w:fill="FFFFFF"/>
            <w:vAlign w:val="center"/>
          </w:tcPr>
          <w:p w14:paraId="17DCC9C6" w14:textId="77777777" w:rsidR="00D911C9" w:rsidRPr="00C2587D" w:rsidRDefault="00D911C9" w:rsidP="00FD75D9">
            <w:pPr>
              <w:rPr>
                <w:rFonts w:cs="Arial"/>
                <w:color w:val="000000"/>
              </w:rPr>
            </w:pPr>
            <w:r w:rsidRPr="00C2587D">
              <w:rPr>
                <w:rFonts w:cs="Arial"/>
                <w:color w:val="000000"/>
              </w:rPr>
              <w:t>- інші джерела фінансування</w:t>
            </w:r>
          </w:p>
        </w:tc>
        <w:tc>
          <w:tcPr>
            <w:tcW w:w="1250" w:type="dxa"/>
            <w:vAlign w:val="center"/>
          </w:tcPr>
          <w:p w14:paraId="0C35824E" w14:textId="2CB524CB" w:rsidR="00D911C9" w:rsidRPr="00C2587D" w:rsidRDefault="00D911C9" w:rsidP="00D911C9">
            <w:pPr>
              <w:jc w:val="both"/>
              <w:rPr>
                <w:rFonts w:cs="Arial"/>
                <w:color w:val="000000"/>
                <w:sz w:val="20"/>
                <w:szCs w:val="20"/>
                <w:lang w:eastAsia="it-IT"/>
              </w:rPr>
            </w:pPr>
          </w:p>
        </w:tc>
        <w:tc>
          <w:tcPr>
            <w:tcW w:w="1280" w:type="dxa"/>
          </w:tcPr>
          <w:p w14:paraId="5CF25946" w14:textId="66BF0E15" w:rsidR="00D911C9" w:rsidRPr="00C2587D" w:rsidRDefault="00D911C9" w:rsidP="00D911C9">
            <w:pPr>
              <w:jc w:val="center"/>
              <w:rPr>
                <w:rFonts w:cs="Arial"/>
                <w:color w:val="000000"/>
                <w:sz w:val="20"/>
                <w:szCs w:val="20"/>
                <w:lang w:eastAsia="it-IT"/>
              </w:rPr>
            </w:pPr>
            <w:r>
              <w:rPr>
                <w:rFonts w:cs="Arial"/>
                <w:color w:val="000000"/>
                <w:sz w:val="20"/>
                <w:szCs w:val="20"/>
                <w:lang w:eastAsia="it-IT"/>
              </w:rPr>
              <w:t>100</w:t>
            </w:r>
          </w:p>
        </w:tc>
        <w:tc>
          <w:tcPr>
            <w:tcW w:w="1417" w:type="dxa"/>
          </w:tcPr>
          <w:p w14:paraId="757DC080" w14:textId="51B9B8C6" w:rsidR="00D911C9" w:rsidRPr="00C2587D" w:rsidRDefault="00D911C9" w:rsidP="00D911C9">
            <w:pPr>
              <w:jc w:val="center"/>
              <w:rPr>
                <w:rFonts w:cs="Arial"/>
                <w:color w:val="000000"/>
                <w:sz w:val="20"/>
                <w:szCs w:val="20"/>
                <w:lang w:eastAsia="it-IT"/>
              </w:rPr>
            </w:pPr>
          </w:p>
        </w:tc>
        <w:tc>
          <w:tcPr>
            <w:tcW w:w="1275" w:type="dxa"/>
          </w:tcPr>
          <w:p w14:paraId="4470F5D9" w14:textId="5D252809" w:rsidR="00D911C9" w:rsidRPr="00C2587D" w:rsidRDefault="00D911C9" w:rsidP="00D911C9">
            <w:pPr>
              <w:jc w:val="center"/>
              <w:rPr>
                <w:rFonts w:cs="Arial"/>
                <w:color w:val="000000"/>
                <w:sz w:val="20"/>
                <w:szCs w:val="20"/>
                <w:lang w:eastAsia="it-IT"/>
              </w:rPr>
            </w:pPr>
          </w:p>
        </w:tc>
        <w:tc>
          <w:tcPr>
            <w:tcW w:w="1573" w:type="dxa"/>
          </w:tcPr>
          <w:p w14:paraId="214B0CBD" w14:textId="1F24EC28" w:rsidR="00D911C9" w:rsidRPr="00D911C9" w:rsidRDefault="00D911C9" w:rsidP="00D911C9">
            <w:pPr>
              <w:jc w:val="center"/>
              <w:rPr>
                <w:rFonts w:cs="Arial"/>
                <w:b/>
                <w:color w:val="000000"/>
                <w:sz w:val="20"/>
                <w:szCs w:val="20"/>
                <w:lang w:eastAsia="it-IT"/>
              </w:rPr>
            </w:pPr>
            <w:r w:rsidRPr="00D911C9">
              <w:rPr>
                <w:rFonts w:cs="Arial"/>
                <w:b/>
                <w:color w:val="000000"/>
                <w:sz w:val="20"/>
                <w:szCs w:val="20"/>
                <w:lang w:eastAsia="it-IT"/>
              </w:rPr>
              <w:t>100</w:t>
            </w:r>
          </w:p>
        </w:tc>
      </w:tr>
      <w:tr w:rsidR="009F618C" w:rsidRPr="00C2587D" w14:paraId="6900CBD5" w14:textId="77777777" w:rsidTr="00D911C9">
        <w:trPr>
          <w:jc w:val="right"/>
        </w:trPr>
        <w:tc>
          <w:tcPr>
            <w:tcW w:w="3424" w:type="dxa"/>
            <w:shd w:val="clear" w:color="auto" w:fill="FFFFFF"/>
            <w:vAlign w:val="center"/>
          </w:tcPr>
          <w:p w14:paraId="283834E8" w14:textId="77777777" w:rsidR="009F618C" w:rsidRPr="00C2587D" w:rsidRDefault="009F618C" w:rsidP="00FD75D9">
            <w:pPr>
              <w:rPr>
                <w:rFonts w:cs="Arial"/>
                <w:b/>
                <w:bCs/>
                <w:color w:val="000000"/>
              </w:rPr>
            </w:pPr>
            <w:r w:rsidRPr="00C2587D">
              <w:rPr>
                <w:rFonts w:cs="Arial"/>
                <w:b/>
                <w:color w:val="000000"/>
              </w:rPr>
              <w:t>Відповідальний виконавець проєкту:</w:t>
            </w:r>
          </w:p>
        </w:tc>
        <w:tc>
          <w:tcPr>
            <w:tcW w:w="6795" w:type="dxa"/>
            <w:gridSpan w:val="5"/>
            <w:vAlign w:val="center"/>
          </w:tcPr>
          <w:p w14:paraId="0F52728A" w14:textId="77777777" w:rsidR="009F618C" w:rsidRPr="00C2587D" w:rsidRDefault="009F618C" w:rsidP="00FD75D9">
            <w:pPr>
              <w:jc w:val="both"/>
              <w:rPr>
                <w:rFonts w:cs="Arial"/>
                <w:color w:val="000000"/>
                <w:sz w:val="20"/>
                <w:szCs w:val="20"/>
                <w:lang w:eastAsia="it-IT"/>
              </w:rPr>
            </w:pPr>
            <w:r w:rsidRPr="00C2587D">
              <w:rPr>
                <w:rFonts w:cs="Arial"/>
                <w:b/>
                <w:color w:val="000000"/>
                <w:sz w:val="20"/>
                <w:szCs w:val="20"/>
                <w:lang w:eastAsia="it-IT"/>
              </w:rPr>
              <w:t>Управління культури і туризму Жмеринської міської ТГ</w:t>
            </w:r>
          </w:p>
        </w:tc>
      </w:tr>
      <w:tr w:rsidR="009F618C" w:rsidRPr="00C2587D" w14:paraId="2DBC0642" w14:textId="77777777" w:rsidTr="00D911C9">
        <w:trPr>
          <w:jc w:val="right"/>
        </w:trPr>
        <w:tc>
          <w:tcPr>
            <w:tcW w:w="3424" w:type="dxa"/>
            <w:shd w:val="clear" w:color="auto" w:fill="FFFFFF"/>
            <w:vAlign w:val="center"/>
          </w:tcPr>
          <w:p w14:paraId="5E9890F4" w14:textId="77777777" w:rsidR="009F618C" w:rsidRPr="00C2587D" w:rsidRDefault="009F618C" w:rsidP="00FD75D9">
            <w:pPr>
              <w:rPr>
                <w:rFonts w:cs="Arial"/>
                <w:b/>
                <w:bCs/>
                <w:color w:val="000000"/>
              </w:rPr>
            </w:pPr>
            <w:r w:rsidRPr="00C2587D">
              <w:rPr>
                <w:rFonts w:cs="Arial"/>
                <w:b/>
                <w:bCs/>
                <w:color w:val="000000"/>
              </w:rPr>
              <w:t>Інше:</w:t>
            </w:r>
          </w:p>
        </w:tc>
        <w:tc>
          <w:tcPr>
            <w:tcW w:w="6795" w:type="dxa"/>
            <w:gridSpan w:val="5"/>
            <w:vAlign w:val="center"/>
          </w:tcPr>
          <w:p w14:paraId="1DFDD408" w14:textId="77777777" w:rsidR="009F618C" w:rsidRPr="00C2587D" w:rsidRDefault="009F618C" w:rsidP="00FD75D9">
            <w:pPr>
              <w:rPr>
                <w:rFonts w:cs="Arial"/>
                <w:color w:val="000000"/>
                <w:lang w:eastAsia="it-IT"/>
              </w:rPr>
            </w:pPr>
          </w:p>
        </w:tc>
      </w:tr>
    </w:tbl>
    <w:p w14:paraId="2148D32B" w14:textId="16C40CDA" w:rsidR="009F618C" w:rsidRDefault="009F618C" w:rsidP="009F618C">
      <w:pPr>
        <w:rPr>
          <w:rFonts w:ascii="Times New Roman" w:hAnsi="Times New Roman"/>
          <w:sz w:val="24"/>
        </w:rPr>
      </w:pPr>
    </w:p>
    <w:p w14:paraId="7A2DB546" w14:textId="77777777" w:rsidR="00DD6DC0" w:rsidRPr="00C2587D" w:rsidRDefault="00DD6DC0" w:rsidP="009F618C">
      <w:pPr>
        <w:rPr>
          <w:rFonts w:ascii="Times New Roman" w:hAnsi="Times New Roman"/>
          <w:sz w:val="24"/>
        </w:rPr>
      </w:pPr>
    </w:p>
    <w:p w14:paraId="0DCE7109" w14:textId="77777777" w:rsidR="009F618C" w:rsidRPr="00C2587D" w:rsidRDefault="009F618C" w:rsidP="009F618C">
      <w:pPr>
        <w:jc w:val="center"/>
        <w:rPr>
          <w:rFonts w:cs="Arial"/>
          <w:b/>
          <w:color w:val="000000"/>
          <w:sz w:val="24"/>
        </w:rPr>
      </w:pPr>
      <w:r w:rsidRPr="00C2587D">
        <w:rPr>
          <w:rFonts w:cs="Arial"/>
          <w:b/>
          <w:color w:val="000000"/>
          <w:sz w:val="24"/>
        </w:rPr>
        <w:t xml:space="preserve">Форма технічного завдання на проєкт місцевого розвитку </w:t>
      </w:r>
    </w:p>
    <w:p w14:paraId="43D31147" w14:textId="77777777" w:rsidR="009F618C" w:rsidRPr="00C2587D" w:rsidRDefault="009F618C" w:rsidP="009F618C">
      <w:pPr>
        <w:jc w:val="center"/>
        <w:rPr>
          <w:rFonts w:cs="Arial"/>
          <w:b/>
          <w:color w:val="000000"/>
          <w:sz w:val="24"/>
        </w:rPr>
      </w:pPr>
      <w:r w:rsidRPr="00C2587D">
        <w:rPr>
          <w:rFonts w:cs="Arial"/>
          <w:b/>
          <w:color w:val="000000"/>
          <w:sz w:val="24"/>
        </w:rPr>
        <w:t>до Плану заходів з реалізації Стратегії</w:t>
      </w:r>
    </w:p>
    <w:p w14:paraId="134AB4AD" w14:textId="77777777" w:rsidR="009F618C" w:rsidRPr="00C2587D" w:rsidRDefault="009F618C" w:rsidP="009F618C">
      <w:pPr>
        <w:rPr>
          <w:rFonts w:cs="Arial"/>
          <w:sz w:val="24"/>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1275"/>
        <w:gridCol w:w="1418"/>
        <w:gridCol w:w="1276"/>
        <w:gridCol w:w="1571"/>
      </w:tblGrid>
      <w:tr w:rsidR="009F618C" w:rsidRPr="00C2587D" w14:paraId="01691BF0" w14:textId="77777777" w:rsidTr="00FD75D9">
        <w:trPr>
          <w:jc w:val="right"/>
        </w:trPr>
        <w:tc>
          <w:tcPr>
            <w:tcW w:w="3425" w:type="dxa"/>
            <w:vAlign w:val="center"/>
          </w:tcPr>
          <w:p w14:paraId="34020932" w14:textId="77777777" w:rsidR="009F618C" w:rsidRPr="00C2587D" w:rsidRDefault="009F618C" w:rsidP="00FD75D9">
            <w:pPr>
              <w:rPr>
                <w:rFonts w:cs="Arial"/>
                <w:b/>
                <w:bCs/>
                <w:color w:val="000000"/>
              </w:rPr>
            </w:pPr>
            <w:r w:rsidRPr="00C2587D">
              <w:rPr>
                <w:rFonts w:cs="Arial"/>
                <w:b/>
                <w:bCs/>
                <w:color w:val="000000"/>
              </w:rPr>
              <w:t>Назва проєкту:</w:t>
            </w:r>
          </w:p>
        </w:tc>
        <w:tc>
          <w:tcPr>
            <w:tcW w:w="6794" w:type="dxa"/>
            <w:gridSpan w:val="5"/>
          </w:tcPr>
          <w:p w14:paraId="4D278D6B" w14:textId="77777777" w:rsidR="009F618C" w:rsidRPr="00C2587D" w:rsidRDefault="009F618C" w:rsidP="00FD75D9">
            <w:pPr>
              <w:spacing w:before="40" w:after="40"/>
              <w:rPr>
                <w:rFonts w:cs="Arial"/>
                <w:sz w:val="20"/>
                <w:szCs w:val="20"/>
                <w:lang w:eastAsia="it-IT"/>
              </w:rPr>
            </w:pPr>
            <w:r w:rsidRPr="00C2587D">
              <w:rPr>
                <w:rFonts w:cs="Arial"/>
                <w:b/>
                <w:sz w:val="20"/>
                <w:szCs w:val="20"/>
                <w:lang w:eastAsia="it-IT"/>
              </w:rPr>
              <w:t>«Українська народна кухня – культурна спадщина нашого народу</w:t>
            </w:r>
            <w:r w:rsidRPr="00C2587D">
              <w:rPr>
                <w:rFonts w:cs="Arial"/>
                <w:sz w:val="20"/>
                <w:szCs w:val="20"/>
                <w:lang w:eastAsia="it-IT"/>
              </w:rPr>
              <w:t>»</w:t>
            </w:r>
          </w:p>
        </w:tc>
      </w:tr>
      <w:tr w:rsidR="009F618C" w:rsidRPr="00C2587D" w14:paraId="08A47A9C" w14:textId="77777777" w:rsidTr="00FD75D9">
        <w:trPr>
          <w:jc w:val="right"/>
        </w:trPr>
        <w:tc>
          <w:tcPr>
            <w:tcW w:w="3425" w:type="dxa"/>
          </w:tcPr>
          <w:p w14:paraId="38618667" w14:textId="77777777" w:rsidR="009F618C" w:rsidRPr="00C2587D" w:rsidRDefault="009F618C" w:rsidP="00FD75D9">
            <w:pPr>
              <w:spacing w:before="40" w:after="40"/>
              <w:rPr>
                <w:rFonts w:cs="Arial"/>
                <w:sz w:val="20"/>
                <w:lang w:eastAsia="it-IT"/>
              </w:rPr>
            </w:pPr>
            <w:r w:rsidRPr="00C2587D">
              <w:rPr>
                <w:rFonts w:cs="Arial"/>
                <w:b/>
                <w:bCs/>
              </w:rPr>
              <w:t>Ваші контакти</w:t>
            </w:r>
            <w:r w:rsidRPr="00C2587D">
              <w:rPr>
                <w:rFonts w:cs="Arial"/>
                <w:sz w:val="20"/>
                <w:lang w:eastAsia="it-IT"/>
              </w:rPr>
              <w:t>:</w:t>
            </w:r>
          </w:p>
          <w:p w14:paraId="106DEA73" w14:textId="77777777" w:rsidR="009F618C" w:rsidRPr="00C2587D" w:rsidRDefault="009F618C" w:rsidP="00FD75D9">
            <w:pPr>
              <w:spacing w:before="40" w:after="40"/>
              <w:rPr>
                <w:rFonts w:cs="Arial"/>
                <w:b/>
                <w:bCs/>
              </w:rPr>
            </w:pPr>
            <w:r w:rsidRPr="00C2587D">
              <w:rPr>
                <w:rFonts w:cs="Arial"/>
                <w:sz w:val="20"/>
                <w:lang w:eastAsia="it-IT"/>
              </w:rPr>
              <w:t>Назва установи, організації, підприємства</w:t>
            </w:r>
          </w:p>
        </w:tc>
        <w:tc>
          <w:tcPr>
            <w:tcW w:w="6794" w:type="dxa"/>
            <w:gridSpan w:val="5"/>
          </w:tcPr>
          <w:p w14:paraId="63C7F23A" w14:textId="77777777" w:rsidR="009F618C" w:rsidRPr="00EF4E67" w:rsidRDefault="009F618C" w:rsidP="00FD75D9">
            <w:pPr>
              <w:spacing w:before="40" w:after="40"/>
              <w:rPr>
                <w:rFonts w:cs="Arial"/>
                <w:sz w:val="20"/>
                <w:szCs w:val="20"/>
                <w:lang w:eastAsia="it-IT"/>
              </w:rPr>
            </w:pPr>
            <w:r w:rsidRPr="00EF4E67">
              <w:rPr>
                <w:rFonts w:cs="Arial"/>
                <w:sz w:val="20"/>
                <w:szCs w:val="20"/>
                <w:lang w:eastAsia="it-IT"/>
              </w:rPr>
              <w:t>КЗ «Центр культури і дозвілля» Жмеринської міської ТГ</w:t>
            </w:r>
          </w:p>
        </w:tc>
      </w:tr>
      <w:tr w:rsidR="009F618C" w:rsidRPr="00C2587D" w14:paraId="3F6C5B90" w14:textId="77777777" w:rsidTr="00FD75D9">
        <w:trPr>
          <w:jc w:val="right"/>
        </w:trPr>
        <w:tc>
          <w:tcPr>
            <w:tcW w:w="3425" w:type="dxa"/>
          </w:tcPr>
          <w:p w14:paraId="2900567D" w14:textId="77777777" w:rsidR="009F618C" w:rsidRPr="00C2587D" w:rsidRDefault="009F618C" w:rsidP="00FD75D9">
            <w:pPr>
              <w:spacing w:before="40" w:after="40"/>
              <w:rPr>
                <w:rFonts w:cs="Arial"/>
                <w:b/>
                <w:bCs/>
              </w:rPr>
            </w:pPr>
            <w:r w:rsidRPr="00C2587D">
              <w:rPr>
                <w:rFonts w:cs="Arial"/>
                <w:sz w:val="20"/>
                <w:lang w:eastAsia="it-IT"/>
              </w:rPr>
              <w:t>Прізвище Ім’я По-батькові:</w:t>
            </w:r>
          </w:p>
        </w:tc>
        <w:tc>
          <w:tcPr>
            <w:tcW w:w="6794" w:type="dxa"/>
            <w:gridSpan w:val="5"/>
          </w:tcPr>
          <w:p w14:paraId="0D02CC82" w14:textId="39B7CA1A" w:rsidR="009F618C" w:rsidRPr="00EF4E67" w:rsidRDefault="009F618C" w:rsidP="00FD75D9">
            <w:pPr>
              <w:spacing w:before="40" w:after="40"/>
              <w:rPr>
                <w:rFonts w:cs="Arial"/>
                <w:sz w:val="20"/>
                <w:szCs w:val="20"/>
                <w:lang w:eastAsia="it-IT"/>
              </w:rPr>
            </w:pPr>
            <w:r w:rsidRPr="00EF4E67">
              <w:rPr>
                <w:rFonts w:cs="Arial"/>
                <w:sz w:val="20"/>
                <w:szCs w:val="20"/>
                <w:lang w:eastAsia="it-IT"/>
              </w:rPr>
              <w:t xml:space="preserve">Луценко Галина </w:t>
            </w:r>
            <w:r w:rsidR="00EF4E67" w:rsidRPr="00EF4E67">
              <w:rPr>
                <w:rFonts w:cs="Arial"/>
                <w:sz w:val="20"/>
                <w:szCs w:val="20"/>
                <w:lang w:eastAsia="it-IT"/>
              </w:rPr>
              <w:t>Феодосіївна</w:t>
            </w:r>
          </w:p>
        </w:tc>
      </w:tr>
      <w:tr w:rsidR="009F618C" w:rsidRPr="00C2587D" w14:paraId="1615CEBE" w14:textId="77777777" w:rsidTr="00FD75D9">
        <w:trPr>
          <w:jc w:val="right"/>
        </w:trPr>
        <w:tc>
          <w:tcPr>
            <w:tcW w:w="3425" w:type="dxa"/>
          </w:tcPr>
          <w:p w14:paraId="3B016FF7" w14:textId="77777777" w:rsidR="009F618C" w:rsidRPr="00C2587D" w:rsidRDefault="009F618C" w:rsidP="00FD75D9">
            <w:pPr>
              <w:spacing w:before="40" w:after="40"/>
              <w:rPr>
                <w:rFonts w:cs="Arial"/>
                <w:b/>
                <w:bCs/>
              </w:rPr>
            </w:pPr>
            <w:r w:rsidRPr="00C2587D">
              <w:rPr>
                <w:rFonts w:cs="Arial"/>
                <w:sz w:val="20"/>
                <w:lang w:eastAsia="it-IT"/>
              </w:rPr>
              <w:t>Телефон (мобільний):</w:t>
            </w:r>
          </w:p>
        </w:tc>
        <w:tc>
          <w:tcPr>
            <w:tcW w:w="6794" w:type="dxa"/>
            <w:gridSpan w:val="5"/>
          </w:tcPr>
          <w:p w14:paraId="4131299A" w14:textId="77777777" w:rsidR="009F618C" w:rsidRPr="00EF4E67" w:rsidRDefault="009F618C" w:rsidP="00FD75D9">
            <w:pPr>
              <w:spacing w:before="40" w:after="40"/>
              <w:rPr>
                <w:rFonts w:cs="Arial"/>
                <w:sz w:val="20"/>
                <w:szCs w:val="20"/>
                <w:lang w:eastAsia="it-IT"/>
              </w:rPr>
            </w:pPr>
            <w:r w:rsidRPr="00EF4E67">
              <w:rPr>
                <w:rFonts w:cs="Arial"/>
                <w:sz w:val="20"/>
                <w:szCs w:val="20"/>
                <w:lang w:eastAsia="it-IT"/>
              </w:rPr>
              <w:t>0963611021</w:t>
            </w:r>
          </w:p>
        </w:tc>
      </w:tr>
      <w:tr w:rsidR="009F618C" w:rsidRPr="00C2587D" w14:paraId="46D97694" w14:textId="77777777" w:rsidTr="00FD75D9">
        <w:trPr>
          <w:jc w:val="right"/>
        </w:trPr>
        <w:tc>
          <w:tcPr>
            <w:tcW w:w="3425" w:type="dxa"/>
          </w:tcPr>
          <w:p w14:paraId="5DA901AC" w14:textId="77777777" w:rsidR="009F618C" w:rsidRPr="00C2587D" w:rsidRDefault="009F618C" w:rsidP="00FD75D9">
            <w:pPr>
              <w:spacing w:before="40" w:after="40"/>
              <w:rPr>
                <w:rFonts w:cs="Arial"/>
                <w:b/>
                <w:bCs/>
              </w:rPr>
            </w:pPr>
            <w:r w:rsidRPr="00C2587D">
              <w:rPr>
                <w:rFonts w:cs="Arial"/>
                <w:sz w:val="20"/>
                <w:lang w:eastAsia="it-IT"/>
              </w:rPr>
              <w:t>Електронна адреса:</w:t>
            </w:r>
          </w:p>
        </w:tc>
        <w:tc>
          <w:tcPr>
            <w:tcW w:w="6794" w:type="dxa"/>
            <w:gridSpan w:val="5"/>
          </w:tcPr>
          <w:p w14:paraId="37B21B98" w14:textId="09FE9AD5" w:rsidR="009F618C" w:rsidRPr="00EF4E67" w:rsidRDefault="00D85FFD" w:rsidP="00FD75D9">
            <w:pPr>
              <w:spacing w:before="40" w:after="40"/>
              <w:rPr>
                <w:rFonts w:cs="Arial"/>
                <w:sz w:val="20"/>
                <w:szCs w:val="20"/>
                <w:lang w:eastAsia="it-IT"/>
              </w:rPr>
            </w:pPr>
            <w:hyperlink r:id="rId45" w:history="1">
              <w:r w:rsidR="00EF4E67" w:rsidRPr="000A0B5C">
                <w:rPr>
                  <w:rStyle w:val="af0"/>
                  <w:rFonts w:cs="Arial"/>
                  <w:noProof w:val="0"/>
                  <w:lang w:eastAsia="it-IT"/>
                </w:rPr>
                <w:t>domkulturi23@ukr.net</w:t>
              </w:r>
            </w:hyperlink>
            <w:r w:rsidR="00EF4E67">
              <w:rPr>
                <w:rFonts w:cs="Arial"/>
                <w:sz w:val="20"/>
                <w:szCs w:val="20"/>
                <w:lang w:eastAsia="it-IT"/>
              </w:rPr>
              <w:t xml:space="preserve"> </w:t>
            </w:r>
          </w:p>
        </w:tc>
      </w:tr>
      <w:tr w:rsidR="009F618C" w:rsidRPr="00C2587D" w14:paraId="36E673C1" w14:textId="77777777" w:rsidTr="00FD75D9">
        <w:trPr>
          <w:jc w:val="right"/>
        </w:trPr>
        <w:tc>
          <w:tcPr>
            <w:tcW w:w="3425" w:type="dxa"/>
            <w:vAlign w:val="center"/>
          </w:tcPr>
          <w:p w14:paraId="1FA6D5DF" w14:textId="77777777" w:rsidR="009F618C" w:rsidRPr="00C2587D" w:rsidRDefault="009F618C" w:rsidP="00FD75D9">
            <w:pPr>
              <w:outlineLvl w:val="5"/>
              <w:rPr>
                <w:rFonts w:cs="Arial"/>
                <w:b/>
                <w:bCs/>
                <w:color w:val="000000"/>
              </w:rPr>
            </w:pPr>
            <w:r w:rsidRPr="00C2587D">
              <w:rPr>
                <w:rFonts w:cs="Arial"/>
                <w:b/>
                <w:bCs/>
                <w:color w:val="000000"/>
              </w:rPr>
              <w:t>Номер і назва завдання з Стратегії</w:t>
            </w:r>
            <w:r w:rsidRPr="00C2587D">
              <w:rPr>
                <w:rFonts w:cs="Arial"/>
                <w:b/>
                <w:bCs/>
                <w:sz w:val="16"/>
                <w:szCs w:val="16"/>
                <w:lang w:eastAsia="it-IT"/>
              </w:rPr>
              <w:t xml:space="preserve"> </w:t>
            </w:r>
            <w:r w:rsidRPr="00C2587D">
              <w:rPr>
                <w:rFonts w:cs="Arial"/>
                <w:b/>
                <w:bCs/>
                <w:color w:val="000000"/>
              </w:rPr>
              <w:t>розвитку Жмеринської міської територіальної громади,  якому відповідає проєкт:</w:t>
            </w:r>
          </w:p>
        </w:tc>
        <w:tc>
          <w:tcPr>
            <w:tcW w:w="6794" w:type="dxa"/>
            <w:gridSpan w:val="5"/>
          </w:tcPr>
          <w:p w14:paraId="5E679823" w14:textId="77777777" w:rsidR="009F618C" w:rsidRPr="00C2587D" w:rsidRDefault="009F618C" w:rsidP="00FD75D9">
            <w:pPr>
              <w:pBdr>
                <w:left w:val="single" w:sz="18" w:space="4" w:color="auto"/>
              </w:pBdr>
              <w:spacing w:before="40" w:after="40"/>
              <w:rPr>
                <w:rFonts w:cs="Arial"/>
                <w:iCs/>
                <w:sz w:val="20"/>
                <w:szCs w:val="20"/>
                <w:lang w:eastAsia="it-IT"/>
              </w:rPr>
            </w:pPr>
            <w:r w:rsidRPr="00C2587D">
              <w:rPr>
                <w:rFonts w:cs="Arial"/>
                <w:iCs/>
                <w:sz w:val="20"/>
                <w:szCs w:val="20"/>
                <w:lang w:eastAsia="it-IT"/>
              </w:rPr>
              <w:t>А 5.3. Розвиток зеленого туризму.</w:t>
            </w:r>
          </w:p>
          <w:p w14:paraId="47446589" w14:textId="77777777" w:rsidR="009F618C" w:rsidRPr="00C2587D" w:rsidRDefault="009F618C" w:rsidP="00FD75D9">
            <w:pPr>
              <w:pBdr>
                <w:left w:val="single" w:sz="18" w:space="4" w:color="auto"/>
              </w:pBdr>
              <w:spacing w:before="40" w:after="40"/>
              <w:rPr>
                <w:rFonts w:cs="Arial"/>
                <w:b/>
                <w:bCs/>
                <w:i/>
                <w:sz w:val="20"/>
                <w:szCs w:val="20"/>
                <w:lang w:eastAsia="it-IT"/>
              </w:rPr>
            </w:pPr>
          </w:p>
          <w:p w14:paraId="25F8050C" w14:textId="77777777" w:rsidR="009F618C" w:rsidRPr="00C2587D" w:rsidRDefault="009F618C" w:rsidP="00FD75D9">
            <w:pPr>
              <w:pBdr>
                <w:left w:val="single" w:sz="18" w:space="4" w:color="auto"/>
              </w:pBdr>
              <w:spacing w:before="40" w:after="40"/>
              <w:rPr>
                <w:rFonts w:cs="Arial"/>
                <w:sz w:val="20"/>
                <w:szCs w:val="20"/>
                <w:lang w:eastAsia="it-IT"/>
              </w:rPr>
            </w:pPr>
          </w:p>
        </w:tc>
      </w:tr>
      <w:tr w:rsidR="009F618C" w:rsidRPr="00C2587D" w14:paraId="436A715C" w14:textId="77777777" w:rsidTr="00FD75D9">
        <w:trPr>
          <w:jc w:val="right"/>
        </w:trPr>
        <w:tc>
          <w:tcPr>
            <w:tcW w:w="3425" w:type="dxa"/>
            <w:vAlign w:val="center"/>
          </w:tcPr>
          <w:p w14:paraId="41F37726" w14:textId="77777777" w:rsidR="009F618C" w:rsidRPr="00C2587D" w:rsidRDefault="009F618C" w:rsidP="00FD75D9">
            <w:pPr>
              <w:rPr>
                <w:rFonts w:cs="Arial"/>
                <w:b/>
                <w:bCs/>
                <w:color w:val="000000"/>
              </w:rPr>
            </w:pPr>
            <w:r w:rsidRPr="00C2587D">
              <w:rPr>
                <w:rFonts w:cs="Arial"/>
                <w:b/>
                <w:bCs/>
                <w:color w:val="000000"/>
              </w:rPr>
              <w:t>Мета проєкту:</w:t>
            </w:r>
          </w:p>
        </w:tc>
        <w:tc>
          <w:tcPr>
            <w:tcW w:w="6794" w:type="dxa"/>
            <w:gridSpan w:val="5"/>
          </w:tcPr>
          <w:p w14:paraId="342EC3F3" w14:textId="77777777" w:rsidR="009F618C" w:rsidRPr="00C2587D" w:rsidRDefault="009F618C" w:rsidP="00FD75D9">
            <w:pPr>
              <w:spacing w:before="40" w:after="40"/>
              <w:rPr>
                <w:rFonts w:cs="Arial"/>
                <w:sz w:val="20"/>
                <w:szCs w:val="20"/>
                <w:lang w:eastAsia="it-IT"/>
              </w:rPr>
            </w:pPr>
            <w:r w:rsidRPr="00C2587D">
              <w:rPr>
                <w:rFonts w:cs="Arial"/>
                <w:sz w:val="20"/>
                <w:szCs w:val="20"/>
                <w:lang w:eastAsia="it-IT"/>
              </w:rPr>
              <w:t>. Відтворення та збереження кулінарних традицій для промоції туристичного потенціалу нашого регіону.</w:t>
            </w:r>
          </w:p>
          <w:p w14:paraId="011FFE46" w14:textId="77777777" w:rsidR="009F618C" w:rsidRPr="00C2587D" w:rsidRDefault="009F618C" w:rsidP="00FD75D9">
            <w:pPr>
              <w:spacing w:before="40" w:after="40"/>
              <w:rPr>
                <w:rFonts w:cs="Arial"/>
                <w:sz w:val="20"/>
                <w:szCs w:val="20"/>
                <w:lang w:eastAsia="it-IT"/>
              </w:rPr>
            </w:pPr>
          </w:p>
        </w:tc>
      </w:tr>
      <w:tr w:rsidR="009F618C" w:rsidRPr="00C2587D" w14:paraId="4A7E50EE" w14:textId="77777777" w:rsidTr="00FD75D9">
        <w:trPr>
          <w:jc w:val="right"/>
        </w:trPr>
        <w:tc>
          <w:tcPr>
            <w:tcW w:w="3425" w:type="dxa"/>
            <w:vAlign w:val="center"/>
          </w:tcPr>
          <w:p w14:paraId="658BBD86" w14:textId="77777777" w:rsidR="009F618C" w:rsidRPr="00C2587D" w:rsidRDefault="009F618C" w:rsidP="00FD75D9">
            <w:pPr>
              <w:rPr>
                <w:rFonts w:cs="Arial"/>
                <w:b/>
                <w:bCs/>
                <w:color w:val="000000"/>
              </w:rPr>
            </w:pPr>
            <w:r w:rsidRPr="00C2587D">
              <w:rPr>
                <w:rFonts w:cs="Arial"/>
                <w:b/>
                <w:bCs/>
                <w:color w:val="000000"/>
              </w:rPr>
              <w:t>Цілі проєкту:</w:t>
            </w:r>
          </w:p>
        </w:tc>
        <w:tc>
          <w:tcPr>
            <w:tcW w:w="6794" w:type="dxa"/>
            <w:gridSpan w:val="5"/>
          </w:tcPr>
          <w:p w14:paraId="3CF2A096" w14:textId="77777777"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  Популяризація традиційної української кухні як елементу нематеріальної культурної спадщини</w:t>
            </w:r>
          </w:p>
          <w:p w14:paraId="43076B57" w14:textId="77777777"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  Створення умов для розвитку гастрономічного та сільського туризму</w:t>
            </w:r>
          </w:p>
          <w:p w14:paraId="0EADC213" w14:textId="77777777"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  Посилення міжрегіональної співпраці та обміну кулінарною спадщиною</w:t>
            </w:r>
          </w:p>
          <w:p w14:paraId="3AFB01BC" w14:textId="77777777"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  Формування культурної ідентичності молоді через пізнання народних традицій</w:t>
            </w:r>
          </w:p>
        </w:tc>
      </w:tr>
      <w:tr w:rsidR="009F618C" w:rsidRPr="00C2587D" w14:paraId="40816229" w14:textId="77777777" w:rsidTr="00FD75D9">
        <w:trPr>
          <w:jc w:val="right"/>
        </w:trPr>
        <w:tc>
          <w:tcPr>
            <w:tcW w:w="3425" w:type="dxa"/>
            <w:vAlign w:val="center"/>
          </w:tcPr>
          <w:p w14:paraId="6AF386D0" w14:textId="77777777" w:rsidR="009F618C" w:rsidRPr="00C2587D" w:rsidRDefault="009F618C" w:rsidP="00FD75D9">
            <w:pPr>
              <w:autoSpaceDE w:val="0"/>
              <w:autoSpaceDN w:val="0"/>
              <w:adjustRightInd w:val="0"/>
              <w:rPr>
                <w:rFonts w:cs="Arial"/>
                <w:b/>
                <w:color w:val="000000"/>
              </w:rPr>
            </w:pPr>
            <w:r w:rsidRPr="00C2587D">
              <w:rPr>
                <w:rFonts w:cs="Arial"/>
                <w:b/>
                <w:color w:val="000000"/>
              </w:rPr>
              <w:t>Територія на яку проєкт матиме вплив:</w:t>
            </w:r>
          </w:p>
        </w:tc>
        <w:tc>
          <w:tcPr>
            <w:tcW w:w="6794" w:type="dxa"/>
            <w:gridSpan w:val="5"/>
          </w:tcPr>
          <w:p w14:paraId="1B87B6ED" w14:textId="77777777"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Села та місто Жмеринської міської територіальної громади</w:t>
            </w:r>
          </w:p>
        </w:tc>
      </w:tr>
      <w:tr w:rsidR="009F618C" w:rsidRPr="00C2587D" w14:paraId="6CF8EDB2" w14:textId="77777777" w:rsidTr="00FD75D9">
        <w:trPr>
          <w:jc w:val="right"/>
        </w:trPr>
        <w:tc>
          <w:tcPr>
            <w:tcW w:w="3425" w:type="dxa"/>
            <w:vAlign w:val="center"/>
          </w:tcPr>
          <w:p w14:paraId="3E9FA459" w14:textId="77777777" w:rsidR="009F618C" w:rsidRPr="00C2587D" w:rsidRDefault="009F618C" w:rsidP="00FD75D9">
            <w:pPr>
              <w:autoSpaceDE w:val="0"/>
              <w:autoSpaceDN w:val="0"/>
              <w:adjustRightInd w:val="0"/>
              <w:rPr>
                <w:rFonts w:cs="Arial"/>
                <w:b/>
                <w:color w:val="000000"/>
              </w:rPr>
            </w:pPr>
            <w:r w:rsidRPr="00C2587D">
              <w:rPr>
                <w:rFonts w:cs="Arial"/>
                <w:b/>
                <w:color w:val="000000"/>
              </w:rPr>
              <w:t>Цільові групи проєкту та кількість отримувачів вигоди</w:t>
            </w:r>
          </w:p>
        </w:tc>
        <w:tc>
          <w:tcPr>
            <w:tcW w:w="6794" w:type="dxa"/>
            <w:gridSpan w:val="5"/>
          </w:tcPr>
          <w:p w14:paraId="0D70C1ED" w14:textId="77777777"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  Діти, молодь, сім’ї – понад 1500 осіб</w:t>
            </w:r>
          </w:p>
          <w:p w14:paraId="39CC6189" w14:textId="5FFAE374"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 xml:space="preserve">  Клубні працівники та </w:t>
            </w:r>
            <w:r w:rsidR="00DD6DC0" w:rsidRPr="00C2587D">
              <w:rPr>
                <w:rFonts w:cs="Arial"/>
                <w:sz w:val="20"/>
                <w:szCs w:val="20"/>
                <w:lang w:eastAsia="it-IT"/>
              </w:rPr>
              <w:t>бібліотекари</w:t>
            </w:r>
            <w:r w:rsidRPr="00C2587D">
              <w:rPr>
                <w:rFonts w:cs="Arial"/>
                <w:sz w:val="20"/>
                <w:szCs w:val="20"/>
                <w:lang w:eastAsia="it-IT"/>
              </w:rPr>
              <w:t xml:space="preserve"> – до 60 осіб</w:t>
            </w:r>
          </w:p>
          <w:p w14:paraId="70C6A6B3" w14:textId="77777777"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  Представники малого бізнесу в сфері харчування, агротуризму – до 40 осіб</w:t>
            </w:r>
          </w:p>
          <w:p w14:paraId="0FF60A61" w14:textId="77777777"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  Туристи та гості громади – щорічно орієнтовно 1000 осіб</w:t>
            </w:r>
          </w:p>
        </w:tc>
      </w:tr>
      <w:tr w:rsidR="009F618C" w:rsidRPr="00C2587D" w14:paraId="1D81F579" w14:textId="77777777" w:rsidTr="00FD75D9">
        <w:trPr>
          <w:jc w:val="right"/>
        </w:trPr>
        <w:tc>
          <w:tcPr>
            <w:tcW w:w="3425" w:type="dxa"/>
            <w:shd w:val="clear" w:color="auto" w:fill="FFFFFF"/>
            <w:vAlign w:val="center"/>
          </w:tcPr>
          <w:p w14:paraId="24C3CA4A" w14:textId="77777777" w:rsidR="009F618C" w:rsidRPr="00C2587D" w:rsidRDefault="009F618C" w:rsidP="00FD75D9">
            <w:pPr>
              <w:rPr>
                <w:rFonts w:cs="Arial"/>
                <w:b/>
                <w:bCs/>
                <w:color w:val="000000"/>
              </w:rPr>
            </w:pPr>
            <w:r w:rsidRPr="00C2587D">
              <w:rPr>
                <w:rFonts w:cs="Arial"/>
                <w:b/>
                <w:bCs/>
                <w:color w:val="000000"/>
              </w:rPr>
              <w:t>Стислий опис проєкту:</w:t>
            </w:r>
          </w:p>
        </w:tc>
        <w:tc>
          <w:tcPr>
            <w:tcW w:w="6794" w:type="dxa"/>
            <w:gridSpan w:val="5"/>
          </w:tcPr>
          <w:p w14:paraId="06343FD8" w14:textId="77777777"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 xml:space="preserve">Проєкт спрямований на збереження, популяризацію та передачу кулінарної спадщини українського народу через освітні, пізнавальні та гастрономічні активності. Заплановано організацію кулінарних майстер-класів, етнографічних експедицій, створення відеорецептів страв, видання збірки традиційних рецептів. Завдяки цьому громада отримає не лише туристичну привабливість, а й зміцнить локальну ідентичність. </w:t>
            </w:r>
          </w:p>
        </w:tc>
      </w:tr>
      <w:tr w:rsidR="009F618C" w:rsidRPr="00C2587D" w14:paraId="2BEFBDAA" w14:textId="77777777" w:rsidTr="00FD75D9">
        <w:trPr>
          <w:jc w:val="right"/>
        </w:trPr>
        <w:tc>
          <w:tcPr>
            <w:tcW w:w="3425" w:type="dxa"/>
            <w:shd w:val="clear" w:color="auto" w:fill="FFFFFF"/>
            <w:vAlign w:val="center"/>
          </w:tcPr>
          <w:p w14:paraId="1DB2D8AF" w14:textId="77777777" w:rsidR="009F618C" w:rsidRPr="00C2587D" w:rsidRDefault="009F618C" w:rsidP="00FD75D9">
            <w:pPr>
              <w:rPr>
                <w:rFonts w:cs="Arial"/>
                <w:b/>
                <w:bCs/>
                <w:color w:val="000000"/>
              </w:rPr>
            </w:pPr>
            <w:r w:rsidRPr="00C2587D">
              <w:rPr>
                <w:rFonts w:cs="Arial"/>
                <w:b/>
                <w:bCs/>
                <w:color w:val="000000"/>
              </w:rPr>
              <w:t>Основні заходи проєкту:</w:t>
            </w:r>
          </w:p>
        </w:tc>
        <w:tc>
          <w:tcPr>
            <w:tcW w:w="6794" w:type="dxa"/>
            <w:gridSpan w:val="5"/>
          </w:tcPr>
          <w:p w14:paraId="712F6E1D" w14:textId="77777777"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  Дослідження кулінарних традицій сіл громади</w:t>
            </w:r>
          </w:p>
          <w:p w14:paraId="43A045BF" w14:textId="77777777"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  Проведення експедицій та запис спогадів старожилів</w:t>
            </w:r>
          </w:p>
          <w:p w14:paraId="76A089EC" w14:textId="644F4B41"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 xml:space="preserve">  Підготовка та зйомка </w:t>
            </w:r>
            <w:r w:rsidR="00DD6DC0" w:rsidRPr="00C2587D">
              <w:rPr>
                <w:rFonts w:cs="Arial"/>
                <w:sz w:val="20"/>
                <w:szCs w:val="20"/>
                <w:lang w:eastAsia="it-IT"/>
              </w:rPr>
              <w:t>відео рецептів</w:t>
            </w:r>
            <w:r w:rsidRPr="00C2587D">
              <w:rPr>
                <w:rFonts w:cs="Arial"/>
                <w:sz w:val="20"/>
                <w:szCs w:val="20"/>
                <w:lang w:eastAsia="it-IT"/>
              </w:rPr>
              <w:t xml:space="preserve"> автентичних страв</w:t>
            </w:r>
          </w:p>
          <w:p w14:paraId="07D82543" w14:textId="77777777"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  Видання збірки традиційних рецептів</w:t>
            </w:r>
          </w:p>
          <w:p w14:paraId="0A1A3F01" w14:textId="77777777"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  Проведення майстер-класів у школах та закладах культури</w:t>
            </w:r>
          </w:p>
        </w:tc>
      </w:tr>
      <w:tr w:rsidR="009F618C" w:rsidRPr="00C2587D" w14:paraId="79426B03" w14:textId="77777777" w:rsidTr="00FD75D9">
        <w:trPr>
          <w:jc w:val="right"/>
        </w:trPr>
        <w:tc>
          <w:tcPr>
            <w:tcW w:w="3425" w:type="dxa"/>
            <w:shd w:val="clear" w:color="auto" w:fill="FFFFFF"/>
            <w:vAlign w:val="center"/>
          </w:tcPr>
          <w:p w14:paraId="274BF45B" w14:textId="77777777" w:rsidR="009F618C" w:rsidRPr="00C2587D" w:rsidRDefault="009F618C" w:rsidP="00FD75D9">
            <w:pPr>
              <w:rPr>
                <w:rFonts w:cs="Arial"/>
                <w:b/>
                <w:bCs/>
                <w:color w:val="000000"/>
              </w:rPr>
            </w:pPr>
            <w:r w:rsidRPr="00C2587D">
              <w:rPr>
                <w:rFonts w:cs="Arial"/>
                <w:b/>
                <w:bCs/>
                <w:color w:val="000000"/>
              </w:rPr>
              <w:t>Індикатори (показники) результативності:</w:t>
            </w:r>
          </w:p>
        </w:tc>
        <w:tc>
          <w:tcPr>
            <w:tcW w:w="6794" w:type="dxa"/>
            <w:gridSpan w:val="5"/>
          </w:tcPr>
          <w:p w14:paraId="27EA197B" w14:textId="77777777"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  Створення електронної та друкованої збірки з традиційними рецептами</w:t>
            </w:r>
          </w:p>
          <w:p w14:paraId="5AE05607" w14:textId="77777777"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  Проведення не менше 10 майстер-класів у селах громади</w:t>
            </w:r>
          </w:p>
          <w:p w14:paraId="6B513C48" w14:textId="77777777"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  Підвищення туристичної привабливості громади (збільшення кількості відвідувачів на 10%)</w:t>
            </w:r>
          </w:p>
          <w:p w14:paraId="26828C05" w14:textId="5E1D830D"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 xml:space="preserve">  Створення </w:t>
            </w:r>
            <w:r w:rsidR="00DD6DC0" w:rsidRPr="00C2587D">
              <w:rPr>
                <w:rFonts w:cs="Arial"/>
                <w:sz w:val="20"/>
                <w:szCs w:val="20"/>
                <w:lang w:eastAsia="it-IT"/>
              </w:rPr>
              <w:t>відео презентації</w:t>
            </w:r>
            <w:r w:rsidRPr="00C2587D">
              <w:rPr>
                <w:rFonts w:cs="Arial"/>
                <w:sz w:val="20"/>
                <w:szCs w:val="20"/>
                <w:lang w:eastAsia="it-IT"/>
              </w:rPr>
              <w:t xml:space="preserve"> з мінімум 10 рецептами</w:t>
            </w:r>
          </w:p>
        </w:tc>
      </w:tr>
      <w:tr w:rsidR="009F618C" w:rsidRPr="00C2587D" w14:paraId="25884B17" w14:textId="77777777" w:rsidTr="00FD75D9">
        <w:trPr>
          <w:jc w:val="right"/>
        </w:trPr>
        <w:tc>
          <w:tcPr>
            <w:tcW w:w="3425" w:type="dxa"/>
            <w:shd w:val="clear" w:color="auto" w:fill="FFFFFF"/>
            <w:vAlign w:val="center"/>
          </w:tcPr>
          <w:p w14:paraId="04105212" w14:textId="77777777" w:rsidR="009F618C" w:rsidRPr="00C2587D" w:rsidRDefault="009F618C" w:rsidP="00FD75D9">
            <w:pPr>
              <w:rPr>
                <w:rFonts w:cs="Arial"/>
                <w:b/>
                <w:color w:val="000000"/>
              </w:rPr>
            </w:pPr>
            <w:r w:rsidRPr="00C2587D">
              <w:rPr>
                <w:rFonts w:cs="Arial"/>
                <w:b/>
                <w:color w:val="000000"/>
              </w:rPr>
              <w:t xml:space="preserve">Період здійснення: </w:t>
            </w:r>
          </w:p>
        </w:tc>
        <w:tc>
          <w:tcPr>
            <w:tcW w:w="6794" w:type="dxa"/>
            <w:gridSpan w:val="5"/>
            <w:vAlign w:val="center"/>
          </w:tcPr>
          <w:p w14:paraId="0129394F" w14:textId="77777777" w:rsidR="009F618C" w:rsidRPr="00C2587D" w:rsidRDefault="009F618C" w:rsidP="00FD75D9">
            <w:pPr>
              <w:rPr>
                <w:rFonts w:cs="Arial"/>
                <w:color w:val="000000"/>
                <w:lang w:eastAsia="it-IT"/>
              </w:rPr>
            </w:pPr>
            <w:r w:rsidRPr="00C2587D">
              <w:rPr>
                <w:rFonts w:cs="Arial"/>
                <w:b/>
                <w:color w:val="000000"/>
              </w:rPr>
              <w:t>2025 – 2028 роки:</w:t>
            </w:r>
          </w:p>
        </w:tc>
      </w:tr>
      <w:tr w:rsidR="009F618C" w:rsidRPr="00C2587D" w14:paraId="507A2FB1" w14:textId="77777777" w:rsidTr="00FD75D9">
        <w:trPr>
          <w:jc w:val="right"/>
        </w:trPr>
        <w:tc>
          <w:tcPr>
            <w:tcW w:w="3425" w:type="dxa"/>
            <w:vMerge w:val="restart"/>
            <w:shd w:val="clear" w:color="auto" w:fill="FFFFFF"/>
            <w:vAlign w:val="center"/>
          </w:tcPr>
          <w:p w14:paraId="78B57E74" w14:textId="77777777" w:rsidR="009F618C" w:rsidRPr="00C2587D" w:rsidRDefault="009F618C" w:rsidP="00FD75D9">
            <w:pPr>
              <w:rPr>
                <w:rFonts w:cs="Arial"/>
                <w:b/>
                <w:bCs/>
                <w:color w:val="000000"/>
              </w:rPr>
            </w:pPr>
            <w:r w:rsidRPr="00C2587D">
              <w:rPr>
                <w:rFonts w:cs="Arial"/>
                <w:b/>
                <w:bCs/>
                <w:color w:val="000000"/>
              </w:rPr>
              <w:t>Орієнтовна вартість проєкту, тис. грн., в тому числі:</w:t>
            </w:r>
          </w:p>
        </w:tc>
        <w:tc>
          <w:tcPr>
            <w:tcW w:w="1254" w:type="dxa"/>
            <w:shd w:val="clear" w:color="auto" w:fill="E6E6E6"/>
            <w:vAlign w:val="center"/>
          </w:tcPr>
          <w:p w14:paraId="65C13052" w14:textId="77777777" w:rsidR="009F618C" w:rsidRPr="00C2587D" w:rsidRDefault="009F618C" w:rsidP="00FD75D9">
            <w:pPr>
              <w:jc w:val="center"/>
              <w:rPr>
                <w:rFonts w:cs="Arial"/>
                <w:b/>
                <w:color w:val="000000"/>
                <w:lang w:eastAsia="it-IT"/>
              </w:rPr>
            </w:pPr>
            <w:r w:rsidRPr="00C2587D">
              <w:rPr>
                <w:rFonts w:cs="Arial"/>
                <w:b/>
                <w:color w:val="000000"/>
                <w:lang w:eastAsia="it-IT"/>
              </w:rPr>
              <w:t>2025</w:t>
            </w:r>
          </w:p>
        </w:tc>
        <w:tc>
          <w:tcPr>
            <w:tcW w:w="1275" w:type="dxa"/>
            <w:shd w:val="clear" w:color="auto" w:fill="E6E6E6"/>
            <w:vAlign w:val="center"/>
          </w:tcPr>
          <w:p w14:paraId="3F67ABE8" w14:textId="77777777" w:rsidR="009F618C" w:rsidRPr="00C2587D" w:rsidRDefault="009F618C" w:rsidP="00FD75D9">
            <w:pPr>
              <w:jc w:val="center"/>
              <w:rPr>
                <w:rFonts w:cs="Arial"/>
                <w:b/>
                <w:color w:val="000000"/>
                <w:lang w:eastAsia="it-IT"/>
              </w:rPr>
            </w:pPr>
            <w:r w:rsidRPr="00C2587D">
              <w:rPr>
                <w:rFonts w:cs="Arial"/>
                <w:b/>
                <w:color w:val="000000"/>
                <w:lang w:eastAsia="it-IT"/>
              </w:rPr>
              <w:t>2026</w:t>
            </w:r>
          </w:p>
        </w:tc>
        <w:tc>
          <w:tcPr>
            <w:tcW w:w="1418" w:type="dxa"/>
            <w:tcBorders>
              <w:bottom w:val="single" w:sz="4" w:space="0" w:color="auto"/>
            </w:tcBorders>
            <w:shd w:val="clear" w:color="auto" w:fill="E6E6E6"/>
            <w:vAlign w:val="center"/>
          </w:tcPr>
          <w:p w14:paraId="073AAF43" w14:textId="77777777" w:rsidR="009F618C" w:rsidRPr="00C2587D" w:rsidRDefault="009F618C" w:rsidP="00FD75D9">
            <w:pPr>
              <w:jc w:val="center"/>
              <w:rPr>
                <w:rFonts w:cs="Arial"/>
                <w:b/>
                <w:color w:val="000000"/>
                <w:lang w:eastAsia="it-IT"/>
              </w:rPr>
            </w:pPr>
            <w:r w:rsidRPr="00C2587D">
              <w:rPr>
                <w:rFonts w:cs="Arial"/>
                <w:b/>
                <w:color w:val="000000"/>
                <w:lang w:eastAsia="it-IT"/>
              </w:rPr>
              <w:t>2027</w:t>
            </w:r>
          </w:p>
        </w:tc>
        <w:tc>
          <w:tcPr>
            <w:tcW w:w="1276" w:type="dxa"/>
            <w:shd w:val="clear" w:color="auto" w:fill="E6E6E6"/>
            <w:vAlign w:val="center"/>
          </w:tcPr>
          <w:p w14:paraId="716257DB" w14:textId="77777777" w:rsidR="009F618C" w:rsidRPr="00C2587D" w:rsidRDefault="009F618C" w:rsidP="00FD75D9">
            <w:pPr>
              <w:jc w:val="center"/>
              <w:rPr>
                <w:rFonts w:cs="Arial"/>
                <w:b/>
                <w:color w:val="000000"/>
                <w:lang w:eastAsia="it-IT"/>
              </w:rPr>
            </w:pPr>
            <w:r w:rsidRPr="00C2587D">
              <w:rPr>
                <w:rFonts w:cs="Arial"/>
                <w:b/>
                <w:color w:val="000000"/>
                <w:lang w:eastAsia="it-IT"/>
              </w:rPr>
              <w:t>2028</w:t>
            </w:r>
          </w:p>
        </w:tc>
        <w:tc>
          <w:tcPr>
            <w:tcW w:w="1571" w:type="dxa"/>
            <w:shd w:val="clear" w:color="auto" w:fill="E6E6E6"/>
            <w:vAlign w:val="center"/>
          </w:tcPr>
          <w:p w14:paraId="64D16770" w14:textId="77777777" w:rsidR="009F618C" w:rsidRPr="00C2587D" w:rsidRDefault="009F618C" w:rsidP="00FD75D9">
            <w:pPr>
              <w:jc w:val="center"/>
              <w:rPr>
                <w:rFonts w:cs="Arial"/>
                <w:b/>
                <w:color w:val="000000"/>
                <w:lang w:eastAsia="it-IT"/>
              </w:rPr>
            </w:pPr>
            <w:r w:rsidRPr="00C2587D">
              <w:rPr>
                <w:rFonts w:cs="Arial"/>
                <w:b/>
                <w:color w:val="000000"/>
                <w:lang w:eastAsia="it-IT"/>
              </w:rPr>
              <w:t>РАЗОМ</w:t>
            </w:r>
          </w:p>
        </w:tc>
      </w:tr>
      <w:tr w:rsidR="009F618C" w:rsidRPr="00C2587D" w14:paraId="3B2CCEC9" w14:textId="77777777" w:rsidTr="00FD75D9">
        <w:trPr>
          <w:jc w:val="right"/>
        </w:trPr>
        <w:tc>
          <w:tcPr>
            <w:tcW w:w="3425" w:type="dxa"/>
            <w:vMerge/>
            <w:shd w:val="clear" w:color="auto" w:fill="FFFFFF"/>
            <w:vAlign w:val="center"/>
          </w:tcPr>
          <w:p w14:paraId="7A848ABD" w14:textId="77777777" w:rsidR="009F618C" w:rsidRPr="00C2587D" w:rsidRDefault="009F618C" w:rsidP="00FD75D9">
            <w:pPr>
              <w:rPr>
                <w:rFonts w:cs="Arial"/>
                <w:b/>
                <w:bCs/>
                <w:color w:val="000000"/>
              </w:rPr>
            </w:pPr>
          </w:p>
        </w:tc>
        <w:tc>
          <w:tcPr>
            <w:tcW w:w="1254" w:type="dxa"/>
            <w:vAlign w:val="center"/>
          </w:tcPr>
          <w:p w14:paraId="49CB7503" w14:textId="77777777" w:rsidR="009F618C" w:rsidRPr="00C2587D" w:rsidRDefault="009F618C" w:rsidP="00FD75D9">
            <w:pPr>
              <w:jc w:val="center"/>
              <w:rPr>
                <w:rFonts w:cs="Arial"/>
                <w:b/>
                <w:color w:val="000000"/>
                <w:lang w:eastAsia="it-IT"/>
              </w:rPr>
            </w:pPr>
            <w:r w:rsidRPr="00C2587D">
              <w:rPr>
                <w:rFonts w:cs="Arial"/>
                <w:b/>
                <w:color w:val="000000"/>
                <w:lang w:eastAsia="it-IT"/>
              </w:rPr>
              <w:t>-</w:t>
            </w:r>
          </w:p>
        </w:tc>
        <w:tc>
          <w:tcPr>
            <w:tcW w:w="1275" w:type="dxa"/>
            <w:shd w:val="clear" w:color="auto" w:fill="FFFFFF"/>
            <w:vAlign w:val="center"/>
          </w:tcPr>
          <w:p w14:paraId="1D54D3C7" w14:textId="77777777" w:rsidR="009F618C" w:rsidRPr="00C2587D" w:rsidRDefault="009F618C" w:rsidP="00FD75D9">
            <w:pPr>
              <w:jc w:val="center"/>
              <w:rPr>
                <w:rFonts w:cs="Arial"/>
                <w:b/>
                <w:color w:val="000000"/>
                <w:lang w:eastAsia="it-IT"/>
              </w:rPr>
            </w:pPr>
            <w:r w:rsidRPr="00C2587D">
              <w:rPr>
                <w:rFonts w:cs="Arial"/>
                <w:b/>
                <w:color w:val="000000"/>
                <w:lang w:eastAsia="it-IT"/>
              </w:rPr>
              <w:t>45,0</w:t>
            </w:r>
          </w:p>
        </w:tc>
        <w:tc>
          <w:tcPr>
            <w:tcW w:w="1418" w:type="dxa"/>
            <w:shd w:val="clear" w:color="auto" w:fill="auto"/>
            <w:vAlign w:val="center"/>
          </w:tcPr>
          <w:p w14:paraId="5A4D2B0B" w14:textId="77777777" w:rsidR="009F618C" w:rsidRPr="00C2587D" w:rsidRDefault="009F618C" w:rsidP="00FD75D9">
            <w:pPr>
              <w:jc w:val="center"/>
              <w:rPr>
                <w:rFonts w:cs="Arial"/>
                <w:b/>
                <w:color w:val="000000"/>
                <w:lang w:eastAsia="it-IT"/>
              </w:rPr>
            </w:pPr>
            <w:r w:rsidRPr="00C2587D">
              <w:rPr>
                <w:rFonts w:cs="Arial"/>
                <w:b/>
                <w:color w:val="000000"/>
                <w:lang w:eastAsia="it-IT"/>
              </w:rPr>
              <w:t>50,0</w:t>
            </w:r>
          </w:p>
        </w:tc>
        <w:tc>
          <w:tcPr>
            <w:tcW w:w="1276" w:type="dxa"/>
            <w:shd w:val="clear" w:color="auto" w:fill="FFFFFF"/>
            <w:vAlign w:val="center"/>
          </w:tcPr>
          <w:p w14:paraId="5D793636" w14:textId="77777777" w:rsidR="009F618C" w:rsidRPr="00C2587D" w:rsidRDefault="009F618C" w:rsidP="00FD75D9">
            <w:pPr>
              <w:jc w:val="center"/>
              <w:rPr>
                <w:rFonts w:cs="Arial"/>
                <w:b/>
                <w:color w:val="000000"/>
                <w:lang w:eastAsia="it-IT"/>
              </w:rPr>
            </w:pPr>
            <w:r w:rsidRPr="00C2587D">
              <w:rPr>
                <w:rFonts w:cs="Arial"/>
                <w:b/>
                <w:color w:val="000000"/>
                <w:lang w:eastAsia="it-IT"/>
              </w:rPr>
              <w:t>56,0</w:t>
            </w:r>
          </w:p>
        </w:tc>
        <w:tc>
          <w:tcPr>
            <w:tcW w:w="1571" w:type="dxa"/>
            <w:shd w:val="clear" w:color="auto" w:fill="FFFFFF"/>
            <w:vAlign w:val="center"/>
          </w:tcPr>
          <w:p w14:paraId="0E21A111" w14:textId="77777777" w:rsidR="009F618C" w:rsidRPr="00C2587D" w:rsidRDefault="009F618C" w:rsidP="00FD75D9">
            <w:pPr>
              <w:jc w:val="center"/>
              <w:rPr>
                <w:rFonts w:cs="Arial"/>
                <w:b/>
                <w:color w:val="000000"/>
                <w:lang w:eastAsia="it-IT"/>
              </w:rPr>
            </w:pPr>
            <w:r w:rsidRPr="00C2587D">
              <w:rPr>
                <w:rFonts w:cs="Arial"/>
                <w:b/>
                <w:color w:val="000000"/>
                <w:lang w:eastAsia="it-IT"/>
              </w:rPr>
              <w:t>151,0</w:t>
            </w:r>
          </w:p>
        </w:tc>
      </w:tr>
      <w:tr w:rsidR="009F618C" w:rsidRPr="00C2587D" w14:paraId="613833EE" w14:textId="77777777" w:rsidTr="00FD75D9">
        <w:trPr>
          <w:trHeight w:val="276"/>
          <w:jc w:val="right"/>
        </w:trPr>
        <w:tc>
          <w:tcPr>
            <w:tcW w:w="3425" w:type="dxa"/>
            <w:shd w:val="clear" w:color="auto" w:fill="FFFFFF"/>
            <w:vAlign w:val="center"/>
          </w:tcPr>
          <w:p w14:paraId="4105C50B" w14:textId="77777777" w:rsidR="009F618C" w:rsidRPr="00C2587D" w:rsidRDefault="009F618C" w:rsidP="00FD75D9">
            <w:pPr>
              <w:rPr>
                <w:rFonts w:cs="Arial"/>
                <w:b/>
                <w:bCs/>
                <w:color w:val="000000"/>
              </w:rPr>
            </w:pPr>
            <w:r w:rsidRPr="00C2587D">
              <w:rPr>
                <w:rFonts w:cs="Arial"/>
                <w:b/>
                <w:bCs/>
                <w:color w:val="000000"/>
              </w:rPr>
              <w:t>по джерелах фінансування:</w:t>
            </w:r>
          </w:p>
        </w:tc>
        <w:tc>
          <w:tcPr>
            <w:tcW w:w="6794" w:type="dxa"/>
            <w:gridSpan w:val="5"/>
            <w:vAlign w:val="center"/>
          </w:tcPr>
          <w:p w14:paraId="1565108A" w14:textId="77777777" w:rsidR="009F618C" w:rsidRPr="00C2587D" w:rsidRDefault="009F618C" w:rsidP="00FD75D9">
            <w:pPr>
              <w:jc w:val="both"/>
              <w:rPr>
                <w:rFonts w:cs="Arial"/>
                <w:color w:val="000000"/>
                <w:lang w:eastAsia="it-IT"/>
              </w:rPr>
            </w:pPr>
          </w:p>
        </w:tc>
      </w:tr>
      <w:tr w:rsidR="009F618C" w:rsidRPr="00C2587D" w14:paraId="3CD9C9EF" w14:textId="77777777" w:rsidTr="00FD75D9">
        <w:trPr>
          <w:trHeight w:val="240"/>
          <w:jc w:val="right"/>
        </w:trPr>
        <w:tc>
          <w:tcPr>
            <w:tcW w:w="3425" w:type="dxa"/>
            <w:shd w:val="clear" w:color="auto" w:fill="FFFFFF"/>
            <w:vAlign w:val="center"/>
          </w:tcPr>
          <w:p w14:paraId="442D1B56" w14:textId="77777777" w:rsidR="009F618C" w:rsidRPr="00C2587D" w:rsidRDefault="009F618C" w:rsidP="00FD75D9">
            <w:pPr>
              <w:rPr>
                <w:rFonts w:cs="Arial"/>
                <w:b/>
                <w:bCs/>
                <w:color w:val="000000"/>
              </w:rPr>
            </w:pPr>
            <w:r w:rsidRPr="00C2587D">
              <w:rPr>
                <w:rFonts w:cs="Arial"/>
                <w:color w:val="000000"/>
              </w:rPr>
              <w:t>- державний бюджет</w:t>
            </w:r>
          </w:p>
        </w:tc>
        <w:tc>
          <w:tcPr>
            <w:tcW w:w="6794" w:type="dxa"/>
            <w:gridSpan w:val="5"/>
            <w:vAlign w:val="center"/>
          </w:tcPr>
          <w:p w14:paraId="117E7EF9" w14:textId="77777777" w:rsidR="009F618C" w:rsidRPr="00C2587D" w:rsidRDefault="009F618C" w:rsidP="00FD75D9">
            <w:pPr>
              <w:jc w:val="both"/>
              <w:rPr>
                <w:rFonts w:cs="Arial"/>
                <w:color w:val="000000"/>
                <w:lang w:eastAsia="it-IT"/>
              </w:rPr>
            </w:pPr>
          </w:p>
        </w:tc>
      </w:tr>
      <w:tr w:rsidR="009F618C" w:rsidRPr="00C2587D" w14:paraId="502DE544" w14:textId="77777777" w:rsidTr="00FD75D9">
        <w:trPr>
          <w:trHeight w:val="254"/>
          <w:jc w:val="right"/>
        </w:trPr>
        <w:tc>
          <w:tcPr>
            <w:tcW w:w="3425" w:type="dxa"/>
            <w:shd w:val="clear" w:color="auto" w:fill="FFFFFF"/>
            <w:vAlign w:val="center"/>
          </w:tcPr>
          <w:p w14:paraId="0A24A780" w14:textId="77777777" w:rsidR="009F618C" w:rsidRPr="00C2587D" w:rsidRDefault="009F618C" w:rsidP="00FD75D9">
            <w:pPr>
              <w:rPr>
                <w:rFonts w:cs="Arial"/>
                <w:color w:val="000000"/>
              </w:rPr>
            </w:pPr>
            <w:r w:rsidRPr="00C2587D">
              <w:rPr>
                <w:rFonts w:cs="Arial"/>
                <w:color w:val="000000"/>
              </w:rPr>
              <w:t>- обласний бюджет</w:t>
            </w:r>
          </w:p>
        </w:tc>
        <w:tc>
          <w:tcPr>
            <w:tcW w:w="6794" w:type="dxa"/>
            <w:gridSpan w:val="5"/>
            <w:vAlign w:val="center"/>
          </w:tcPr>
          <w:p w14:paraId="3B3A8C87" w14:textId="77777777" w:rsidR="009F618C" w:rsidRPr="00C2587D" w:rsidRDefault="009F618C" w:rsidP="00FD75D9">
            <w:pPr>
              <w:jc w:val="both"/>
              <w:rPr>
                <w:rFonts w:cs="Arial"/>
                <w:color w:val="000000"/>
                <w:lang w:eastAsia="it-IT"/>
              </w:rPr>
            </w:pPr>
          </w:p>
        </w:tc>
      </w:tr>
      <w:tr w:rsidR="009F618C" w:rsidRPr="00C2587D" w14:paraId="6E54F095" w14:textId="77777777" w:rsidTr="00FD75D9">
        <w:trPr>
          <w:trHeight w:val="275"/>
          <w:jc w:val="right"/>
        </w:trPr>
        <w:tc>
          <w:tcPr>
            <w:tcW w:w="3425" w:type="dxa"/>
            <w:shd w:val="clear" w:color="auto" w:fill="FFFFFF"/>
            <w:vAlign w:val="center"/>
          </w:tcPr>
          <w:p w14:paraId="0BC153D3" w14:textId="77777777" w:rsidR="009F618C" w:rsidRPr="00C2587D" w:rsidRDefault="009F618C" w:rsidP="00FD75D9">
            <w:pPr>
              <w:rPr>
                <w:rFonts w:cs="Arial"/>
                <w:color w:val="000000"/>
              </w:rPr>
            </w:pPr>
            <w:r w:rsidRPr="00C2587D">
              <w:rPr>
                <w:rFonts w:cs="Arial"/>
                <w:color w:val="000000"/>
              </w:rPr>
              <w:t>- бюджет Жмеринської МТГ</w:t>
            </w:r>
          </w:p>
        </w:tc>
        <w:tc>
          <w:tcPr>
            <w:tcW w:w="6794" w:type="dxa"/>
            <w:gridSpan w:val="5"/>
          </w:tcPr>
          <w:p w14:paraId="12B96B45" w14:textId="77777777" w:rsidR="009F618C" w:rsidRPr="00C2587D" w:rsidRDefault="009F618C" w:rsidP="00FD75D9">
            <w:pPr>
              <w:jc w:val="both"/>
              <w:rPr>
                <w:rFonts w:cs="Arial"/>
                <w:color w:val="000000"/>
                <w:sz w:val="20"/>
                <w:szCs w:val="20"/>
                <w:lang w:eastAsia="it-IT"/>
              </w:rPr>
            </w:pPr>
            <w:r w:rsidRPr="00C2587D">
              <w:rPr>
                <w:rFonts w:cs="Arial"/>
                <w:color w:val="000000"/>
                <w:sz w:val="20"/>
                <w:szCs w:val="20"/>
                <w:lang w:eastAsia="it-IT"/>
              </w:rPr>
              <w:t>91,0 тис. грн.</w:t>
            </w:r>
          </w:p>
        </w:tc>
      </w:tr>
      <w:tr w:rsidR="009F618C" w:rsidRPr="00C2587D" w14:paraId="0BE0D661" w14:textId="77777777" w:rsidTr="00FD75D9">
        <w:trPr>
          <w:trHeight w:val="226"/>
          <w:jc w:val="right"/>
        </w:trPr>
        <w:tc>
          <w:tcPr>
            <w:tcW w:w="3425" w:type="dxa"/>
            <w:shd w:val="clear" w:color="auto" w:fill="FFFFFF"/>
            <w:vAlign w:val="center"/>
          </w:tcPr>
          <w:p w14:paraId="4B9E7F03" w14:textId="77777777" w:rsidR="009F618C" w:rsidRPr="00C2587D" w:rsidRDefault="009F618C" w:rsidP="00FD75D9">
            <w:pPr>
              <w:rPr>
                <w:rFonts w:cs="Arial"/>
                <w:color w:val="000000"/>
              </w:rPr>
            </w:pPr>
            <w:r w:rsidRPr="00C2587D">
              <w:rPr>
                <w:rFonts w:cs="Arial"/>
                <w:color w:val="000000"/>
              </w:rPr>
              <w:t>- інші джерела фінансування</w:t>
            </w:r>
          </w:p>
        </w:tc>
        <w:tc>
          <w:tcPr>
            <w:tcW w:w="6794" w:type="dxa"/>
            <w:gridSpan w:val="5"/>
          </w:tcPr>
          <w:p w14:paraId="1A7B6BBC" w14:textId="77777777" w:rsidR="009F618C" w:rsidRPr="00C2587D" w:rsidRDefault="009F618C" w:rsidP="00FD75D9">
            <w:pPr>
              <w:rPr>
                <w:rFonts w:cs="Arial"/>
                <w:sz w:val="20"/>
                <w:szCs w:val="20"/>
              </w:rPr>
            </w:pPr>
            <w:r w:rsidRPr="00C2587D">
              <w:rPr>
                <w:rFonts w:cs="Arial"/>
                <w:color w:val="000000"/>
                <w:sz w:val="20"/>
                <w:szCs w:val="20"/>
                <w:lang w:eastAsia="it-IT"/>
              </w:rPr>
              <w:t>(грантові надходження, спецфонд ) 60,0 тис. грн.</w:t>
            </w:r>
          </w:p>
        </w:tc>
      </w:tr>
      <w:tr w:rsidR="009F618C" w:rsidRPr="00C2587D" w14:paraId="333AB9A8" w14:textId="77777777" w:rsidTr="00FD75D9">
        <w:trPr>
          <w:jc w:val="right"/>
        </w:trPr>
        <w:tc>
          <w:tcPr>
            <w:tcW w:w="3425" w:type="dxa"/>
            <w:shd w:val="clear" w:color="auto" w:fill="FFFFFF"/>
            <w:vAlign w:val="center"/>
          </w:tcPr>
          <w:p w14:paraId="4B8CFADD" w14:textId="77777777" w:rsidR="009F618C" w:rsidRPr="00C2587D" w:rsidRDefault="009F618C" w:rsidP="00FD75D9">
            <w:pPr>
              <w:rPr>
                <w:rFonts w:cs="Arial"/>
                <w:b/>
                <w:bCs/>
                <w:color w:val="000000"/>
              </w:rPr>
            </w:pPr>
            <w:r w:rsidRPr="00C2587D">
              <w:rPr>
                <w:rFonts w:cs="Arial"/>
                <w:b/>
                <w:color w:val="000000"/>
              </w:rPr>
              <w:t>Відповідальний виконавець проєкту:</w:t>
            </w:r>
          </w:p>
        </w:tc>
        <w:tc>
          <w:tcPr>
            <w:tcW w:w="6794" w:type="dxa"/>
            <w:gridSpan w:val="5"/>
            <w:vAlign w:val="center"/>
          </w:tcPr>
          <w:p w14:paraId="3AB45557" w14:textId="61F91070" w:rsidR="009F618C" w:rsidRPr="00C2587D" w:rsidRDefault="009F618C" w:rsidP="00DD6DC0">
            <w:pPr>
              <w:jc w:val="both"/>
              <w:rPr>
                <w:rFonts w:cs="Arial"/>
                <w:color w:val="000000"/>
                <w:sz w:val="20"/>
                <w:szCs w:val="20"/>
                <w:lang w:eastAsia="it-IT"/>
              </w:rPr>
            </w:pPr>
            <w:r w:rsidRPr="00C2587D">
              <w:rPr>
                <w:rFonts w:cs="Arial"/>
                <w:color w:val="000000"/>
                <w:sz w:val="20"/>
                <w:szCs w:val="20"/>
                <w:lang w:eastAsia="it-IT"/>
              </w:rPr>
              <w:t>КЗ «Центр культури і дозвілля» Жмеринської міської ТГ</w:t>
            </w:r>
          </w:p>
        </w:tc>
      </w:tr>
      <w:tr w:rsidR="009F618C" w:rsidRPr="00C2587D" w14:paraId="55224881" w14:textId="77777777" w:rsidTr="00FD75D9">
        <w:trPr>
          <w:jc w:val="right"/>
        </w:trPr>
        <w:tc>
          <w:tcPr>
            <w:tcW w:w="3425" w:type="dxa"/>
            <w:shd w:val="clear" w:color="auto" w:fill="FFFFFF"/>
            <w:vAlign w:val="center"/>
          </w:tcPr>
          <w:p w14:paraId="6EF12DB5" w14:textId="77777777" w:rsidR="009F618C" w:rsidRPr="00C2587D" w:rsidRDefault="009F618C" w:rsidP="00FD75D9">
            <w:pPr>
              <w:rPr>
                <w:rFonts w:cs="Arial"/>
                <w:b/>
                <w:bCs/>
                <w:color w:val="000000"/>
              </w:rPr>
            </w:pPr>
            <w:r w:rsidRPr="00C2587D">
              <w:rPr>
                <w:rFonts w:cs="Arial"/>
                <w:b/>
                <w:bCs/>
                <w:color w:val="000000"/>
              </w:rPr>
              <w:t>Інше:</w:t>
            </w:r>
          </w:p>
        </w:tc>
        <w:tc>
          <w:tcPr>
            <w:tcW w:w="6794" w:type="dxa"/>
            <w:gridSpan w:val="5"/>
            <w:vAlign w:val="center"/>
          </w:tcPr>
          <w:p w14:paraId="35736421" w14:textId="77777777" w:rsidR="009F618C" w:rsidRPr="00C2587D" w:rsidRDefault="009F618C" w:rsidP="00DD6DC0">
            <w:pPr>
              <w:jc w:val="both"/>
              <w:rPr>
                <w:rFonts w:cs="Arial"/>
                <w:color w:val="000000"/>
                <w:sz w:val="20"/>
                <w:szCs w:val="20"/>
                <w:lang w:eastAsia="it-IT"/>
              </w:rPr>
            </w:pPr>
            <w:r w:rsidRPr="00C2587D">
              <w:rPr>
                <w:rFonts w:cs="Arial"/>
                <w:color w:val="000000"/>
                <w:sz w:val="20"/>
                <w:szCs w:val="20"/>
                <w:lang w:eastAsia="it-IT"/>
              </w:rPr>
              <w:t>Можливість залучення молоді до етнографічної роботи; співпраця з музеями, фермерами, майстрами народної творчості</w:t>
            </w:r>
          </w:p>
          <w:p w14:paraId="26D504B5" w14:textId="77777777" w:rsidR="009F618C" w:rsidRPr="00C2587D" w:rsidRDefault="009F618C" w:rsidP="00DD6DC0">
            <w:pPr>
              <w:jc w:val="both"/>
              <w:rPr>
                <w:rFonts w:cs="Arial"/>
                <w:color w:val="000000"/>
                <w:sz w:val="20"/>
                <w:szCs w:val="20"/>
                <w:lang w:eastAsia="it-IT"/>
              </w:rPr>
            </w:pPr>
          </w:p>
        </w:tc>
      </w:tr>
    </w:tbl>
    <w:p w14:paraId="1F4451E9" w14:textId="77777777" w:rsidR="009F618C" w:rsidRPr="00C2587D" w:rsidRDefault="009F618C" w:rsidP="009F618C">
      <w:pPr>
        <w:rPr>
          <w:rFonts w:cs="Arial"/>
          <w:sz w:val="24"/>
        </w:rPr>
      </w:pPr>
    </w:p>
    <w:p w14:paraId="1B071158" w14:textId="77777777" w:rsidR="009F618C" w:rsidRPr="00C2587D" w:rsidRDefault="009F618C" w:rsidP="009F618C">
      <w:pPr>
        <w:rPr>
          <w:rFonts w:ascii="Times New Roman" w:hAnsi="Times New Roman"/>
          <w:sz w:val="24"/>
        </w:rPr>
      </w:pPr>
    </w:p>
    <w:p w14:paraId="7422F906" w14:textId="77777777" w:rsidR="009F618C" w:rsidRPr="00C2587D" w:rsidRDefault="009F618C" w:rsidP="009F618C">
      <w:pPr>
        <w:jc w:val="center"/>
        <w:rPr>
          <w:rFonts w:cs="Arial"/>
          <w:b/>
          <w:color w:val="000000"/>
          <w:sz w:val="24"/>
        </w:rPr>
      </w:pPr>
      <w:r w:rsidRPr="00C2587D">
        <w:rPr>
          <w:rFonts w:cs="Arial"/>
          <w:b/>
          <w:color w:val="000000"/>
          <w:sz w:val="24"/>
        </w:rPr>
        <w:t xml:space="preserve">Форма технічного завдання на проєкт місцевого розвитку </w:t>
      </w:r>
    </w:p>
    <w:p w14:paraId="7CB84C18" w14:textId="77777777" w:rsidR="009F618C" w:rsidRPr="00C2587D" w:rsidRDefault="009F618C" w:rsidP="009F618C">
      <w:pPr>
        <w:jc w:val="center"/>
        <w:rPr>
          <w:rFonts w:cs="Arial"/>
          <w:b/>
          <w:color w:val="000000"/>
          <w:sz w:val="24"/>
        </w:rPr>
      </w:pPr>
      <w:r w:rsidRPr="00C2587D">
        <w:rPr>
          <w:rFonts w:cs="Arial"/>
          <w:b/>
          <w:color w:val="000000"/>
          <w:sz w:val="24"/>
        </w:rPr>
        <w:t>до Плану заходів з реалізації Стратегії</w:t>
      </w:r>
    </w:p>
    <w:p w14:paraId="454C2ABB" w14:textId="77777777" w:rsidR="009F618C" w:rsidRPr="00C2587D" w:rsidRDefault="009F618C" w:rsidP="009F618C">
      <w:pPr>
        <w:rPr>
          <w:rFonts w:cs="Arial"/>
          <w:sz w:val="24"/>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3"/>
        <w:gridCol w:w="1254"/>
        <w:gridCol w:w="1278"/>
        <w:gridCol w:w="1419"/>
        <w:gridCol w:w="1274"/>
        <w:gridCol w:w="1571"/>
      </w:tblGrid>
      <w:tr w:rsidR="009F618C" w:rsidRPr="00C2587D" w14:paraId="16427287" w14:textId="77777777" w:rsidTr="00EF4E67">
        <w:trPr>
          <w:jc w:val="right"/>
        </w:trPr>
        <w:tc>
          <w:tcPr>
            <w:tcW w:w="3423" w:type="dxa"/>
            <w:vAlign w:val="center"/>
          </w:tcPr>
          <w:p w14:paraId="16102513" w14:textId="77777777" w:rsidR="009F618C" w:rsidRPr="00C2587D" w:rsidRDefault="009F618C" w:rsidP="00FD75D9">
            <w:pPr>
              <w:rPr>
                <w:rFonts w:cs="Arial"/>
                <w:b/>
                <w:bCs/>
                <w:color w:val="000000"/>
              </w:rPr>
            </w:pPr>
            <w:r w:rsidRPr="00C2587D">
              <w:rPr>
                <w:rFonts w:cs="Arial"/>
                <w:b/>
                <w:bCs/>
                <w:color w:val="000000"/>
              </w:rPr>
              <w:t>Назва проєкту:</w:t>
            </w:r>
          </w:p>
        </w:tc>
        <w:tc>
          <w:tcPr>
            <w:tcW w:w="6796" w:type="dxa"/>
            <w:gridSpan w:val="5"/>
          </w:tcPr>
          <w:p w14:paraId="046AF4EA" w14:textId="77777777" w:rsidR="009F618C" w:rsidRPr="00C2587D" w:rsidRDefault="009F618C" w:rsidP="00FD75D9">
            <w:pPr>
              <w:spacing w:before="40" w:after="40"/>
              <w:rPr>
                <w:rFonts w:cs="Arial"/>
                <w:b/>
                <w:sz w:val="20"/>
                <w:szCs w:val="20"/>
                <w:lang w:eastAsia="it-IT"/>
              </w:rPr>
            </w:pPr>
            <w:r w:rsidRPr="00C2587D">
              <w:rPr>
                <w:rFonts w:cs="Arial"/>
                <w:b/>
                <w:sz w:val="20"/>
                <w:szCs w:val="20"/>
                <w:lang w:eastAsia="it-IT"/>
              </w:rPr>
              <w:t>«Збереження історико-культурної спадщини Жмеринщини»</w:t>
            </w:r>
          </w:p>
        </w:tc>
      </w:tr>
      <w:tr w:rsidR="009F618C" w:rsidRPr="00C2587D" w14:paraId="6A463B86" w14:textId="77777777" w:rsidTr="00EF4E67">
        <w:trPr>
          <w:jc w:val="right"/>
        </w:trPr>
        <w:tc>
          <w:tcPr>
            <w:tcW w:w="3423" w:type="dxa"/>
          </w:tcPr>
          <w:p w14:paraId="0E305D64" w14:textId="77777777" w:rsidR="009F618C" w:rsidRPr="00C2587D" w:rsidRDefault="009F618C" w:rsidP="00FD75D9">
            <w:pPr>
              <w:spacing w:before="40" w:after="40"/>
              <w:rPr>
                <w:rFonts w:cs="Arial"/>
                <w:sz w:val="20"/>
                <w:lang w:eastAsia="it-IT"/>
              </w:rPr>
            </w:pPr>
            <w:r w:rsidRPr="00C2587D">
              <w:rPr>
                <w:rFonts w:cs="Arial"/>
                <w:b/>
                <w:bCs/>
              </w:rPr>
              <w:t>Ваші контакти</w:t>
            </w:r>
            <w:r w:rsidRPr="00C2587D">
              <w:rPr>
                <w:rFonts w:cs="Arial"/>
                <w:sz w:val="20"/>
                <w:lang w:eastAsia="it-IT"/>
              </w:rPr>
              <w:t>:</w:t>
            </w:r>
          </w:p>
          <w:p w14:paraId="707B8F94" w14:textId="77777777" w:rsidR="009F618C" w:rsidRPr="00C2587D" w:rsidRDefault="009F618C" w:rsidP="00FD75D9">
            <w:pPr>
              <w:spacing w:before="40" w:after="40"/>
              <w:rPr>
                <w:rFonts w:cs="Arial"/>
                <w:b/>
                <w:bCs/>
              </w:rPr>
            </w:pPr>
            <w:r w:rsidRPr="00C2587D">
              <w:rPr>
                <w:rFonts w:cs="Arial"/>
                <w:sz w:val="20"/>
                <w:lang w:eastAsia="it-IT"/>
              </w:rPr>
              <w:t>Назва установи, організації, підприємства</w:t>
            </w:r>
          </w:p>
        </w:tc>
        <w:tc>
          <w:tcPr>
            <w:tcW w:w="6796" w:type="dxa"/>
            <w:gridSpan w:val="5"/>
          </w:tcPr>
          <w:p w14:paraId="4F402131" w14:textId="77777777" w:rsidR="009F618C" w:rsidRPr="00EF4E67" w:rsidRDefault="009F618C" w:rsidP="00FD75D9">
            <w:pPr>
              <w:spacing w:before="40" w:after="40"/>
              <w:rPr>
                <w:rFonts w:cs="Arial"/>
                <w:sz w:val="20"/>
                <w:szCs w:val="20"/>
                <w:lang w:eastAsia="it-IT"/>
              </w:rPr>
            </w:pPr>
            <w:r w:rsidRPr="00EF4E67">
              <w:rPr>
                <w:rFonts w:cs="Arial"/>
                <w:sz w:val="20"/>
                <w:szCs w:val="20"/>
                <w:lang w:eastAsia="it-IT"/>
              </w:rPr>
              <w:t>Управління культури і туризму Жмеринської міської ТГ</w:t>
            </w:r>
          </w:p>
        </w:tc>
      </w:tr>
      <w:tr w:rsidR="009F618C" w:rsidRPr="00C2587D" w14:paraId="166E27AF" w14:textId="77777777" w:rsidTr="00EF4E67">
        <w:trPr>
          <w:jc w:val="right"/>
        </w:trPr>
        <w:tc>
          <w:tcPr>
            <w:tcW w:w="3423" w:type="dxa"/>
          </w:tcPr>
          <w:p w14:paraId="23668502" w14:textId="77777777" w:rsidR="009F618C" w:rsidRPr="00C2587D" w:rsidRDefault="009F618C" w:rsidP="00FD75D9">
            <w:pPr>
              <w:spacing w:before="40" w:after="40"/>
              <w:rPr>
                <w:rFonts w:cs="Arial"/>
                <w:b/>
                <w:bCs/>
              </w:rPr>
            </w:pPr>
            <w:r w:rsidRPr="00C2587D">
              <w:rPr>
                <w:rFonts w:cs="Arial"/>
                <w:sz w:val="20"/>
                <w:lang w:eastAsia="it-IT"/>
              </w:rPr>
              <w:t>Прізвище Ім’я По-батькові:</w:t>
            </w:r>
          </w:p>
        </w:tc>
        <w:tc>
          <w:tcPr>
            <w:tcW w:w="6796" w:type="dxa"/>
            <w:gridSpan w:val="5"/>
          </w:tcPr>
          <w:p w14:paraId="2F0964D6" w14:textId="77777777" w:rsidR="009F618C" w:rsidRPr="00EF4E67" w:rsidRDefault="009F618C" w:rsidP="00FD75D9">
            <w:pPr>
              <w:spacing w:before="40" w:after="40"/>
              <w:rPr>
                <w:rFonts w:cs="Arial"/>
                <w:sz w:val="20"/>
                <w:szCs w:val="20"/>
                <w:lang w:eastAsia="it-IT"/>
              </w:rPr>
            </w:pPr>
            <w:r w:rsidRPr="00EF4E67">
              <w:rPr>
                <w:rFonts w:cs="Arial"/>
                <w:sz w:val="20"/>
                <w:szCs w:val="20"/>
                <w:lang w:eastAsia="it-IT"/>
              </w:rPr>
              <w:t>Дудік Володимир Валентинович</w:t>
            </w:r>
          </w:p>
        </w:tc>
      </w:tr>
      <w:tr w:rsidR="009F618C" w:rsidRPr="00C2587D" w14:paraId="2FB7F0D4" w14:textId="77777777" w:rsidTr="00EF4E67">
        <w:trPr>
          <w:jc w:val="right"/>
        </w:trPr>
        <w:tc>
          <w:tcPr>
            <w:tcW w:w="3423" w:type="dxa"/>
          </w:tcPr>
          <w:p w14:paraId="1AF5120F" w14:textId="77777777" w:rsidR="009F618C" w:rsidRPr="00C2587D" w:rsidRDefault="009F618C" w:rsidP="00FD75D9">
            <w:pPr>
              <w:spacing w:before="40" w:after="40"/>
              <w:rPr>
                <w:rFonts w:cs="Arial"/>
                <w:b/>
                <w:bCs/>
              </w:rPr>
            </w:pPr>
            <w:r w:rsidRPr="00C2587D">
              <w:rPr>
                <w:rFonts w:cs="Arial"/>
                <w:sz w:val="20"/>
                <w:lang w:eastAsia="it-IT"/>
              </w:rPr>
              <w:t>Телефон (мобільний):</w:t>
            </w:r>
          </w:p>
        </w:tc>
        <w:tc>
          <w:tcPr>
            <w:tcW w:w="6796" w:type="dxa"/>
            <w:gridSpan w:val="5"/>
          </w:tcPr>
          <w:p w14:paraId="46C286BE" w14:textId="77777777" w:rsidR="009F618C" w:rsidRPr="00EF4E67" w:rsidRDefault="009F618C" w:rsidP="00FD75D9">
            <w:pPr>
              <w:spacing w:before="40" w:after="40"/>
              <w:rPr>
                <w:rFonts w:cs="Arial"/>
                <w:sz w:val="20"/>
                <w:szCs w:val="20"/>
                <w:lang w:eastAsia="it-IT"/>
              </w:rPr>
            </w:pPr>
            <w:r w:rsidRPr="00EF4E67">
              <w:rPr>
                <w:rFonts w:cs="Arial"/>
                <w:sz w:val="20"/>
                <w:szCs w:val="20"/>
                <w:lang w:eastAsia="it-IT"/>
              </w:rPr>
              <w:t>0674303746</w:t>
            </w:r>
          </w:p>
        </w:tc>
      </w:tr>
      <w:tr w:rsidR="009F618C" w:rsidRPr="00C2587D" w14:paraId="55CDDC86" w14:textId="77777777" w:rsidTr="00EF4E67">
        <w:trPr>
          <w:jc w:val="right"/>
        </w:trPr>
        <w:tc>
          <w:tcPr>
            <w:tcW w:w="3423" w:type="dxa"/>
          </w:tcPr>
          <w:p w14:paraId="3E9ECBA2" w14:textId="77777777" w:rsidR="009F618C" w:rsidRPr="00C2587D" w:rsidRDefault="009F618C" w:rsidP="00FD75D9">
            <w:pPr>
              <w:spacing w:before="40" w:after="40"/>
              <w:rPr>
                <w:rFonts w:cs="Arial"/>
                <w:b/>
                <w:bCs/>
              </w:rPr>
            </w:pPr>
            <w:r w:rsidRPr="00C2587D">
              <w:rPr>
                <w:rFonts w:cs="Arial"/>
                <w:sz w:val="20"/>
                <w:lang w:eastAsia="it-IT"/>
              </w:rPr>
              <w:t>Електронна адреса:</w:t>
            </w:r>
          </w:p>
        </w:tc>
        <w:tc>
          <w:tcPr>
            <w:tcW w:w="6796" w:type="dxa"/>
            <w:gridSpan w:val="5"/>
          </w:tcPr>
          <w:p w14:paraId="6CF6DECA" w14:textId="4E3C0079" w:rsidR="009F618C" w:rsidRPr="00EF4E67" w:rsidRDefault="00D85FFD" w:rsidP="00FD75D9">
            <w:pPr>
              <w:spacing w:before="40" w:after="40"/>
              <w:rPr>
                <w:rFonts w:cs="Arial"/>
                <w:sz w:val="20"/>
                <w:szCs w:val="20"/>
                <w:lang w:eastAsia="it-IT"/>
              </w:rPr>
            </w:pPr>
            <w:hyperlink r:id="rId46" w:history="1">
              <w:r w:rsidR="00EF4E67" w:rsidRPr="000A0B5C">
                <w:rPr>
                  <w:rStyle w:val="af0"/>
                  <w:rFonts w:cs="Arial"/>
                  <w:noProof w:val="0"/>
                  <w:lang w:eastAsia="it-IT"/>
                </w:rPr>
                <w:t>kult@zhmr.gov.ua</w:t>
              </w:r>
            </w:hyperlink>
            <w:r w:rsidR="00EF4E67">
              <w:rPr>
                <w:rFonts w:cs="Arial"/>
                <w:sz w:val="20"/>
                <w:szCs w:val="20"/>
                <w:lang w:eastAsia="it-IT"/>
              </w:rPr>
              <w:t xml:space="preserve"> </w:t>
            </w:r>
          </w:p>
        </w:tc>
      </w:tr>
      <w:tr w:rsidR="009F618C" w:rsidRPr="00C2587D" w14:paraId="36C890A9" w14:textId="77777777" w:rsidTr="00EF4E67">
        <w:trPr>
          <w:jc w:val="right"/>
        </w:trPr>
        <w:tc>
          <w:tcPr>
            <w:tcW w:w="3423" w:type="dxa"/>
            <w:vAlign w:val="center"/>
          </w:tcPr>
          <w:p w14:paraId="5591E54F" w14:textId="77777777" w:rsidR="009F618C" w:rsidRPr="00C2587D" w:rsidRDefault="009F618C" w:rsidP="00FD75D9">
            <w:pPr>
              <w:outlineLvl w:val="5"/>
              <w:rPr>
                <w:rFonts w:cs="Arial"/>
                <w:b/>
                <w:bCs/>
                <w:color w:val="000000"/>
              </w:rPr>
            </w:pPr>
            <w:r w:rsidRPr="00C2587D">
              <w:rPr>
                <w:rFonts w:cs="Arial"/>
                <w:b/>
                <w:bCs/>
                <w:color w:val="000000"/>
              </w:rPr>
              <w:t>Номер і назва завдання з Стратегії</w:t>
            </w:r>
            <w:r w:rsidRPr="00C2587D">
              <w:rPr>
                <w:rFonts w:cs="Arial"/>
                <w:b/>
                <w:bCs/>
                <w:sz w:val="16"/>
                <w:szCs w:val="16"/>
                <w:lang w:eastAsia="it-IT"/>
              </w:rPr>
              <w:t xml:space="preserve"> </w:t>
            </w:r>
            <w:r w:rsidRPr="00C2587D">
              <w:rPr>
                <w:rFonts w:cs="Arial"/>
                <w:b/>
                <w:bCs/>
                <w:color w:val="000000"/>
              </w:rPr>
              <w:t>розвитку Жмеринської міської територіальної громади,  якому відповідає проєкт:</w:t>
            </w:r>
          </w:p>
        </w:tc>
        <w:tc>
          <w:tcPr>
            <w:tcW w:w="6796" w:type="dxa"/>
            <w:gridSpan w:val="5"/>
          </w:tcPr>
          <w:p w14:paraId="5916DF5D" w14:textId="77777777" w:rsidR="009F618C" w:rsidRPr="00C2587D" w:rsidRDefault="009F618C" w:rsidP="00DD6DC0">
            <w:pPr>
              <w:pBdr>
                <w:left w:val="single" w:sz="18" w:space="4" w:color="auto"/>
              </w:pBdr>
              <w:spacing w:before="40" w:after="40"/>
              <w:jc w:val="both"/>
              <w:rPr>
                <w:rFonts w:cs="Arial"/>
                <w:iCs/>
                <w:sz w:val="20"/>
                <w:szCs w:val="20"/>
                <w:lang w:eastAsia="it-IT"/>
              </w:rPr>
            </w:pPr>
            <w:r w:rsidRPr="00C2587D">
              <w:rPr>
                <w:rFonts w:cs="Arial"/>
                <w:iCs/>
                <w:sz w:val="20"/>
                <w:szCs w:val="20"/>
                <w:lang w:eastAsia="it-IT"/>
              </w:rPr>
              <w:t>А 5.4. Збереження та реставрація пам’яток архітектури та історико-культурної спадщини</w:t>
            </w:r>
          </w:p>
          <w:p w14:paraId="5D83E08E" w14:textId="77777777" w:rsidR="009F618C" w:rsidRPr="00C2587D" w:rsidRDefault="009F618C" w:rsidP="00DD6DC0">
            <w:pPr>
              <w:pBdr>
                <w:left w:val="single" w:sz="18" w:space="4" w:color="auto"/>
              </w:pBdr>
              <w:spacing w:before="40" w:after="40"/>
              <w:jc w:val="both"/>
              <w:rPr>
                <w:rFonts w:cs="Arial"/>
                <w:iCs/>
                <w:sz w:val="20"/>
                <w:szCs w:val="20"/>
                <w:lang w:eastAsia="it-IT"/>
              </w:rPr>
            </w:pPr>
            <w:r w:rsidRPr="00C2587D">
              <w:rPr>
                <w:rFonts w:cs="Arial"/>
                <w:iCs/>
                <w:sz w:val="20"/>
                <w:szCs w:val="20"/>
                <w:lang w:eastAsia="it-IT"/>
              </w:rPr>
              <w:t>•</w:t>
            </w:r>
            <w:r w:rsidRPr="00C2587D">
              <w:rPr>
                <w:rFonts w:cs="Arial"/>
                <w:iCs/>
                <w:sz w:val="20"/>
                <w:szCs w:val="20"/>
                <w:lang w:eastAsia="it-IT"/>
              </w:rPr>
              <w:tab/>
              <w:t xml:space="preserve">Проведення інвентаризації та паспортизація пам’яток культурної спадщини. </w:t>
            </w:r>
          </w:p>
          <w:p w14:paraId="274A8566" w14:textId="77777777" w:rsidR="009F618C" w:rsidRPr="00C2587D" w:rsidRDefault="009F618C" w:rsidP="00DD6DC0">
            <w:pPr>
              <w:pBdr>
                <w:left w:val="single" w:sz="18" w:space="4" w:color="auto"/>
              </w:pBdr>
              <w:spacing w:before="40" w:after="40"/>
              <w:jc w:val="both"/>
              <w:rPr>
                <w:rFonts w:cs="Arial"/>
                <w:b/>
                <w:bCs/>
                <w:i/>
                <w:sz w:val="20"/>
                <w:szCs w:val="20"/>
                <w:lang w:eastAsia="it-IT"/>
              </w:rPr>
            </w:pPr>
            <w:r w:rsidRPr="00C2587D">
              <w:rPr>
                <w:rFonts w:cs="Arial"/>
                <w:iCs/>
                <w:sz w:val="20"/>
                <w:szCs w:val="20"/>
                <w:lang w:eastAsia="it-IT"/>
              </w:rPr>
              <w:t>•</w:t>
            </w:r>
            <w:r w:rsidRPr="00C2587D">
              <w:rPr>
                <w:rFonts w:cs="Arial"/>
                <w:iCs/>
                <w:sz w:val="20"/>
                <w:szCs w:val="20"/>
                <w:lang w:eastAsia="it-IT"/>
              </w:rPr>
              <w:tab/>
              <w:t>Відео та фото зйомка історико-культурних об’єктів та об’єктів природно-заповідного фонду (пам’яток природи тощо).</w:t>
            </w:r>
          </w:p>
          <w:p w14:paraId="70EC5D6A" w14:textId="77777777" w:rsidR="009F618C" w:rsidRPr="00C2587D" w:rsidRDefault="009F618C" w:rsidP="00DD6DC0">
            <w:pPr>
              <w:pBdr>
                <w:left w:val="single" w:sz="18" w:space="4" w:color="auto"/>
              </w:pBdr>
              <w:spacing w:before="40" w:after="40"/>
              <w:jc w:val="both"/>
              <w:rPr>
                <w:rFonts w:cs="Arial"/>
                <w:sz w:val="20"/>
                <w:szCs w:val="20"/>
                <w:lang w:eastAsia="it-IT"/>
              </w:rPr>
            </w:pPr>
          </w:p>
        </w:tc>
      </w:tr>
      <w:tr w:rsidR="009F618C" w:rsidRPr="00C2587D" w14:paraId="733080BC" w14:textId="77777777" w:rsidTr="00EF4E67">
        <w:trPr>
          <w:jc w:val="right"/>
        </w:trPr>
        <w:tc>
          <w:tcPr>
            <w:tcW w:w="3423" w:type="dxa"/>
            <w:vAlign w:val="center"/>
          </w:tcPr>
          <w:p w14:paraId="476285A0" w14:textId="77777777" w:rsidR="009F618C" w:rsidRPr="00C2587D" w:rsidRDefault="009F618C" w:rsidP="00FD75D9">
            <w:pPr>
              <w:rPr>
                <w:rFonts w:cs="Arial"/>
                <w:b/>
                <w:bCs/>
                <w:color w:val="000000"/>
              </w:rPr>
            </w:pPr>
            <w:r w:rsidRPr="00C2587D">
              <w:rPr>
                <w:rFonts w:cs="Arial"/>
                <w:b/>
                <w:bCs/>
                <w:color w:val="000000"/>
              </w:rPr>
              <w:t>Мета проєкту:</w:t>
            </w:r>
          </w:p>
        </w:tc>
        <w:tc>
          <w:tcPr>
            <w:tcW w:w="6796" w:type="dxa"/>
            <w:gridSpan w:val="5"/>
          </w:tcPr>
          <w:p w14:paraId="29AD29FC" w14:textId="77777777"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w:t>
            </w:r>
            <w:r w:rsidRPr="00C2587D">
              <w:rPr>
                <w:rFonts w:cs="Arial"/>
                <w:sz w:val="20"/>
                <w:szCs w:val="20"/>
              </w:rPr>
              <w:t xml:space="preserve"> </w:t>
            </w:r>
            <w:r w:rsidRPr="00C2587D">
              <w:rPr>
                <w:rFonts w:cs="Arial"/>
                <w:sz w:val="20"/>
                <w:szCs w:val="20"/>
                <w:lang w:eastAsia="it-IT"/>
              </w:rPr>
              <w:t>Ідентифікація, документування та популяризація об’єктів культурної спадщини Жмеринської громади для збереження національної пам’яті та розвитку туризму</w:t>
            </w:r>
          </w:p>
        </w:tc>
      </w:tr>
      <w:tr w:rsidR="009F618C" w:rsidRPr="00C2587D" w14:paraId="6326B083" w14:textId="77777777" w:rsidTr="00EF4E67">
        <w:trPr>
          <w:jc w:val="right"/>
        </w:trPr>
        <w:tc>
          <w:tcPr>
            <w:tcW w:w="3423" w:type="dxa"/>
            <w:vAlign w:val="center"/>
          </w:tcPr>
          <w:p w14:paraId="26C7A47C" w14:textId="77777777" w:rsidR="009F618C" w:rsidRPr="00C2587D" w:rsidRDefault="009F618C" w:rsidP="00FD75D9">
            <w:pPr>
              <w:rPr>
                <w:rFonts w:cs="Arial"/>
                <w:b/>
                <w:bCs/>
                <w:color w:val="000000"/>
              </w:rPr>
            </w:pPr>
            <w:r w:rsidRPr="00C2587D">
              <w:rPr>
                <w:rFonts w:cs="Arial"/>
                <w:b/>
                <w:bCs/>
                <w:color w:val="000000"/>
              </w:rPr>
              <w:t>Цілі проєкту:</w:t>
            </w:r>
          </w:p>
        </w:tc>
        <w:tc>
          <w:tcPr>
            <w:tcW w:w="6796" w:type="dxa"/>
            <w:gridSpan w:val="5"/>
          </w:tcPr>
          <w:p w14:paraId="53FDEA02" w14:textId="77777777"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  Проведення інвентаризації пам’яток історії, культури, архітектури та природи</w:t>
            </w:r>
          </w:p>
          <w:p w14:paraId="4F073B13" w14:textId="77777777"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  Створення єдиної бази фото-, відео- та описової інформації про об’єкти</w:t>
            </w:r>
          </w:p>
          <w:p w14:paraId="63721467" w14:textId="77777777"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  Паспортизація об’єктів з метою охорони та подальшої реставрації</w:t>
            </w:r>
          </w:p>
          <w:p w14:paraId="2A859EB8" w14:textId="77777777"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  Розробка інформаційних та просвітницьких матеріалів</w:t>
            </w:r>
          </w:p>
        </w:tc>
      </w:tr>
      <w:tr w:rsidR="009F618C" w:rsidRPr="00C2587D" w14:paraId="14D6348F" w14:textId="77777777" w:rsidTr="00EF4E67">
        <w:trPr>
          <w:jc w:val="right"/>
        </w:trPr>
        <w:tc>
          <w:tcPr>
            <w:tcW w:w="3423" w:type="dxa"/>
            <w:vAlign w:val="center"/>
          </w:tcPr>
          <w:p w14:paraId="5E4E9038" w14:textId="77777777" w:rsidR="009F618C" w:rsidRPr="00C2587D" w:rsidRDefault="009F618C" w:rsidP="00FD75D9">
            <w:pPr>
              <w:autoSpaceDE w:val="0"/>
              <w:autoSpaceDN w:val="0"/>
              <w:adjustRightInd w:val="0"/>
              <w:rPr>
                <w:rFonts w:cs="Arial"/>
                <w:b/>
                <w:color w:val="000000"/>
              </w:rPr>
            </w:pPr>
            <w:r w:rsidRPr="00C2587D">
              <w:rPr>
                <w:rFonts w:cs="Arial"/>
                <w:b/>
                <w:color w:val="000000"/>
              </w:rPr>
              <w:t>Територія на яку проєкт матиме вплив:</w:t>
            </w:r>
          </w:p>
        </w:tc>
        <w:tc>
          <w:tcPr>
            <w:tcW w:w="6796" w:type="dxa"/>
            <w:gridSpan w:val="5"/>
          </w:tcPr>
          <w:p w14:paraId="06FF8D23" w14:textId="77777777"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Уся територія Жмеринської міської територіальної громади (м. Жмеринка, села громади)</w:t>
            </w:r>
          </w:p>
        </w:tc>
      </w:tr>
      <w:tr w:rsidR="009F618C" w:rsidRPr="00C2587D" w14:paraId="72236C74" w14:textId="77777777" w:rsidTr="00EF4E67">
        <w:trPr>
          <w:jc w:val="right"/>
        </w:trPr>
        <w:tc>
          <w:tcPr>
            <w:tcW w:w="3423" w:type="dxa"/>
            <w:vAlign w:val="center"/>
          </w:tcPr>
          <w:p w14:paraId="78AB184E" w14:textId="77777777" w:rsidR="009F618C" w:rsidRPr="00C2587D" w:rsidRDefault="009F618C" w:rsidP="00FD75D9">
            <w:pPr>
              <w:autoSpaceDE w:val="0"/>
              <w:autoSpaceDN w:val="0"/>
              <w:adjustRightInd w:val="0"/>
              <w:rPr>
                <w:rFonts w:cs="Arial"/>
                <w:b/>
                <w:color w:val="000000"/>
              </w:rPr>
            </w:pPr>
            <w:r w:rsidRPr="00C2587D">
              <w:rPr>
                <w:rFonts w:cs="Arial"/>
                <w:b/>
                <w:color w:val="000000"/>
              </w:rPr>
              <w:t>Цільові групи проєкту та кількість отримувачів вигоди</w:t>
            </w:r>
          </w:p>
        </w:tc>
        <w:tc>
          <w:tcPr>
            <w:tcW w:w="6796" w:type="dxa"/>
            <w:gridSpan w:val="5"/>
          </w:tcPr>
          <w:p w14:paraId="56D057AE" w14:textId="77777777"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  Громадськість громади — понад 30 тис. осіб</w:t>
            </w:r>
          </w:p>
          <w:p w14:paraId="11C0850E" w14:textId="77777777"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  Педагоги, краєзнавці, екскурсоводи — близько 80 осіб</w:t>
            </w:r>
          </w:p>
          <w:p w14:paraId="21BD3192" w14:textId="77777777"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  Місцева влада, культурні установи, туристичні оператори</w:t>
            </w:r>
          </w:p>
        </w:tc>
      </w:tr>
      <w:tr w:rsidR="009F618C" w:rsidRPr="00C2587D" w14:paraId="265F00C9" w14:textId="77777777" w:rsidTr="00EF4E67">
        <w:trPr>
          <w:jc w:val="right"/>
        </w:trPr>
        <w:tc>
          <w:tcPr>
            <w:tcW w:w="3423" w:type="dxa"/>
            <w:shd w:val="clear" w:color="auto" w:fill="FFFFFF"/>
            <w:vAlign w:val="center"/>
          </w:tcPr>
          <w:p w14:paraId="540483BE" w14:textId="77777777" w:rsidR="009F618C" w:rsidRPr="00C2587D" w:rsidRDefault="009F618C" w:rsidP="00FD75D9">
            <w:pPr>
              <w:rPr>
                <w:rFonts w:cs="Arial"/>
                <w:b/>
                <w:bCs/>
                <w:color w:val="000000"/>
              </w:rPr>
            </w:pPr>
            <w:r w:rsidRPr="00C2587D">
              <w:rPr>
                <w:rFonts w:cs="Arial"/>
                <w:b/>
                <w:bCs/>
                <w:color w:val="000000"/>
              </w:rPr>
              <w:t>Стислий опис проєкту:</w:t>
            </w:r>
          </w:p>
        </w:tc>
        <w:tc>
          <w:tcPr>
            <w:tcW w:w="6796" w:type="dxa"/>
            <w:gridSpan w:val="5"/>
          </w:tcPr>
          <w:p w14:paraId="4C3EF58D" w14:textId="6FE421B0"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 xml:space="preserve">Проєкт спрямований на виявлення, систематизацію та цифрову фіксацію історико-культурної спадщини Жмеринської громади. Планується інвентаризація, фото- та </w:t>
            </w:r>
            <w:r w:rsidR="00DD6DC0" w:rsidRPr="00C2587D">
              <w:rPr>
                <w:rFonts w:cs="Arial"/>
                <w:sz w:val="20"/>
                <w:szCs w:val="20"/>
                <w:lang w:eastAsia="it-IT"/>
              </w:rPr>
              <w:t>відео зйомка</w:t>
            </w:r>
            <w:r w:rsidRPr="00C2587D">
              <w:rPr>
                <w:rFonts w:cs="Arial"/>
                <w:sz w:val="20"/>
                <w:szCs w:val="20"/>
                <w:lang w:eastAsia="it-IT"/>
              </w:rPr>
              <w:t>, опис та паспортизація об’єктів культурної та природної спадщини. Результатом стане створення візуального архіву та відкритої бази даних для збереження пам’яток і розвитку краєзнавчого та туристичного потенціалу громади.</w:t>
            </w:r>
          </w:p>
        </w:tc>
      </w:tr>
      <w:tr w:rsidR="009F618C" w:rsidRPr="00C2587D" w14:paraId="1651EF8B" w14:textId="77777777" w:rsidTr="00EF4E67">
        <w:trPr>
          <w:jc w:val="right"/>
        </w:trPr>
        <w:tc>
          <w:tcPr>
            <w:tcW w:w="3423" w:type="dxa"/>
            <w:shd w:val="clear" w:color="auto" w:fill="FFFFFF"/>
            <w:vAlign w:val="center"/>
          </w:tcPr>
          <w:p w14:paraId="25ADDB57" w14:textId="77777777" w:rsidR="009F618C" w:rsidRPr="00C2587D" w:rsidRDefault="009F618C" w:rsidP="00FD75D9">
            <w:pPr>
              <w:rPr>
                <w:rFonts w:cs="Arial"/>
                <w:b/>
                <w:bCs/>
                <w:color w:val="000000"/>
              </w:rPr>
            </w:pPr>
            <w:r w:rsidRPr="00C2587D">
              <w:rPr>
                <w:rFonts w:cs="Arial"/>
                <w:b/>
                <w:bCs/>
                <w:color w:val="000000"/>
              </w:rPr>
              <w:t>Основні заходи проєкту:</w:t>
            </w:r>
          </w:p>
        </w:tc>
        <w:tc>
          <w:tcPr>
            <w:tcW w:w="6796" w:type="dxa"/>
            <w:gridSpan w:val="5"/>
          </w:tcPr>
          <w:p w14:paraId="19C4548D" w14:textId="77777777"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  Збір та аналіз інформації про наявні об’єкти спадщини</w:t>
            </w:r>
          </w:p>
          <w:p w14:paraId="1BEC64B0" w14:textId="6B35B591"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 xml:space="preserve">  Виїзна фото- та </w:t>
            </w:r>
            <w:r w:rsidR="00DD6DC0" w:rsidRPr="00C2587D">
              <w:rPr>
                <w:rFonts w:cs="Arial"/>
                <w:sz w:val="20"/>
                <w:szCs w:val="20"/>
                <w:lang w:eastAsia="it-IT"/>
              </w:rPr>
              <w:t>відео фіксація</w:t>
            </w:r>
            <w:r w:rsidRPr="00C2587D">
              <w:rPr>
                <w:rFonts w:cs="Arial"/>
                <w:sz w:val="20"/>
                <w:szCs w:val="20"/>
                <w:lang w:eastAsia="it-IT"/>
              </w:rPr>
              <w:t xml:space="preserve"> об’єктів культурної та природної спадщини</w:t>
            </w:r>
          </w:p>
          <w:p w14:paraId="56DF8802" w14:textId="77777777"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  Проведення паспортизації та опису 50 об’єктів</w:t>
            </w:r>
          </w:p>
          <w:p w14:paraId="587186EC" w14:textId="77777777"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  Видання електронного та друкованого каталогу</w:t>
            </w:r>
          </w:p>
        </w:tc>
      </w:tr>
      <w:tr w:rsidR="009F618C" w:rsidRPr="00C2587D" w14:paraId="25D034A7" w14:textId="77777777" w:rsidTr="00EF4E67">
        <w:trPr>
          <w:jc w:val="right"/>
        </w:trPr>
        <w:tc>
          <w:tcPr>
            <w:tcW w:w="3423" w:type="dxa"/>
            <w:shd w:val="clear" w:color="auto" w:fill="FFFFFF"/>
            <w:vAlign w:val="center"/>
          </w:tcPr>
          <w:p w14:paraId="605F58DF" w14:textId="77777777" w:rsidR="009F618C" w:rsidRPr="00C2587D" w:rsidRDefault="009F618C" w:rsidP="00FD75D9">
            <w:pPr>
              <w:rPr>
                <w:rFonts w:cs="Arial"/>
                <w:b/>
                <w:bCs/>
                <w:color w:val="000000"/>
              </w:rPr>
            </w:pPr>
            <w:r w:rsidRPr="00C2587D">
              <w:rPr>
                <w:rFonts w:cs="Arial"/>
                <w:b/>
                <w:bCs/>
                <w:color w:val="000000"/>
              </w:rPr>
              <w:t>Індикатори (показники) результативності:</w:t>
            </w:r>
          </w:p>
        </w:tc>
        <w:tc>
          <w:tcPr>
            <w:tcW w:w="6796" w:type="dxa"/>
            <w:gridSpan w:val="5"/>
          </w:tcPr>
          <w:p w14:paraId="44E157C0" w14:textId="77777777"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  Паспортизовано 50 об’єктів спадщини</w:t>
            </w:r>
          </w:p>
          <w:p w14:paraId="13F03A71" w14:textId="77777777"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  Створено електронний каталог із 300+ фото- та 50 відеоматеріалами</w:t>
            </w:r>
          </w:p>
          <w:p w14:paraId="01FEC4CA" w14:textId="77777777" w:rsidR="009F618C" w:rsidRPr="00C2587D" w:rsidRDefault="009F618C" w:rsidP="00DD6DC0">
            <w:pPr>
              <w:spacing w:before="40" w:after="40"/>
              <w:jc w:val="both"/>
              <w:rPr>
                <w:rFonts w:cs="Arial"/>
                <w:sz w:val="20"/>
                <w:szCs w:val="20"/>
                <w:lang w:eastAsia="it-IT"/>
              </w:rPr>
            </w:pPr>
            <w:r w:rsidRPr="00C2587D">
              <w:rPr>
                <w:rFonts w:cs="Arial"/>
                <w:sz w:val="20"/>
                <w:szCs w:val="20"/>
                <w:lang w:eastAsia="it-IT"/>
              </w:rPr>
              <w:t>  Проведено 1 виставку-презентацію проєкту</w:t>
            </w:r>
          </w:p>
        </w:tc>
      </w:tr>
      <w:tr w:rsidR="009F618C" w:rsidRPr="00C2587D" w14:paraId="5A110948" w14:textId="77777777" w:rsidTr="00EF4E67">
        <w:trPr>
          <w:jc w:val="right"/>
        </w:trPr>
        <w:tc>
          <w:tcPr>
            <w:tcW w:w="3423" w:type="dxa"/>
            <w:shd w:val="clear" w:color="auto" w:fill="FFFFFF"/>
            <w:vAlign w:val="center"/>
          </w:tcPr>
          <w:p w14:paraId="3F80B826" w14:textId="77777777" w:rsidR="009F618C" w:rsidRPr="00C2587D" w:rsidRDefault="009F618C" w:rsidP="00FD75D9">
            <w:pPr>
              <w:rPr>
                <w:rFonts w:cs="Arial"/>
                <w:b/>
                <w:color w:val="000000"/>
              </w:rPr>
            </w:pPr>
            <w:r w:rsidRPr="00C2587D">
              <w:rPr>
                <w:rFonts w:cs="Arial"/>
                <w:b/>
                <w:color w:val="000000"/>
              </w:rPr>
              <w:t xml:space="preserve">Період здійснення: </w:t>
            </w:r>
          </w:p>
        </w:tc>
        <w:tc>
          <w:tcPr>
            <w:tcW w:w="6796" w:type="dxa"/>
            <w:gridSpan w:val="5"/>
            <w:vAlign w:val="center"/>
          </w:tcPr>
          <w:p w14:paraId="48254D3D" w14:textId="77777777" w:rsidR="009F618C" w:rsidRPr="00C2587D" w:rsidRDefault="009F618C" w:rsidP="00FD75D9">
            <w:pPr>
              <w:rPr>
                <w:rFonts w:cs="Arial"/>
                <w:color w:val="000000"/>
                <w:lang w:eastAsia="it-IT"/>
              </w:rPr>
            </w:pPr>
            <w:r w:rsidRPr="00C2587D">
              <w:rPr>
                <w:rFonts w:cs="Arial"/>
                <w:b/>
                <w:color w:val="000000"/>
              </w:rPr>
              <w:t>2025 – 2028 роки:</w:t>
            </w:r>
          </w:p>
        </w:tc>
      </w:tr>
      <w:tr w:rsidR="009F618C" w:rsidRPr="00C2587D" w14:paraId="047E41A6" w14:textId="77777777" w:rsidTr="00EF4E67">
        <w:trPr>
          <w:jc w:val="right"/>
        </w:trPr>
        <w:tc>
          <w:tcPr>
            <w:tcW w:w="3423" w:type="dxa"/>
            <w:vMerge w:val="restart"/>
            <w:shd w:val="clear" w:color="auto" w:fill="FFFFFF"/>
            <w:vAlign w:val="center"/>
          </w:tcPr>
          <w:p w14:paraId="5A9DED1D" w14:textId="77777777" w:rsidR="009F618C" w:rsidRPr="00C2587D" w:rsidRDefault="009F618C" w:rsidP="00FD75D9">
            <w:pPr>
              <w:rPr>
                <w:rFonts w:cs="Arial"/>
                <w:b/>
                <w:bCs/>
                <w:color w:val="000000"/>
              </w:rPr>
            </w:pPr>
            <w:r w:rsidRPr="00C2587D">
              <w:rPr>
                <w:rFonts w:cs="Arial"/>
                <w:b/>
                <w:bCs/>
                <w:color w:val="000000"/>
              </w:rPr>
              <w:t>Орієнтовна вартість проєкту, тис. грн., в тому числі:</w:t>
            </w:r>
          </w:p>
        </w:tc>
        <w:tc>
          <w:tcPr>
            <w:tcW w:w="1254" w:type="dxa"/>
            <w:shd w:val="clear" w:color="auto" w:fill="auto"/>
            <w:vAlign w:val="center"/>
          </w:tcPr>
          <w:p w14:paraId="779E6931" w14:textId="77777777" w:rsidR="009F618C" w:rsidRPr="00C2587D" w:rsidRDefault="009F618C" w:rsidP="00EF4E67">
            <w:pPr>
              <w:jc w:val="center"/>
              <w:rPr>
                <w:rFonts w:cs="Arial"/>
                <w:b/>
                <w:color w:val="000000"/>
                <w:lang w:eastAsia="it-IT"/>
              </w:rPr>
            </w:pPr>
            <w:r w:rsidRPr="00C2587D">
              <w:rPr>
                <w:rFonts w:cs="Arial"/>
                <w:b/>
                <w:color w:val="000000"/>
                <w:lang w:eastAsia="it-IT"/>
              </w:rPr>
              <w:t>2025</w:t>
            </w:r>
          </w:p>
        </w:tc>
        <w:tc>
          <w:tcPr>
            <w:tcW w:w="1278" w:type="dxa"/>
            <w:shd w:val="clear" w:color="auto" w:fill="auto"/>
            <w:vAlign w:val="center"/>
          </w:tcPr>
          <w:p w14:paraId="13368014" w14:textId="77777777" w:rsidR="009F618C" w:rsidRPr="00C2587D" w:rsidRDefault="009F618C" w:rsidP="00EF4E67">
            <w:pPr>
              <w:jc w:val="center"/>
              <w:rPr>
                <w:rFonts w:cs="Arial"/>
                <w:b/>
                <w:color w:val="000000"/>
                <w:lang w:eastAsia="it-IT"/>
              </w:rPr>
            </w:pPr>
            <w:r w:rsidRPr="00C2587D">
              <w:rPr>
                <w:rFonts w:cs="Arial"/>
                <w:b/>
                <w:color w:val="000000"/>
                <w:lang w:eastAsia="it-IT"/>
              </w:rPr>
              <w:t>2026</w:t>
            </w:r>
          </w:p>
        </w:tc>
        <w:tc>
          <w:tcPr>
            <w:tcW w:w="1419" w:type="dxa"/>
            <w:tcBorders>
              <w:bottom w:val="single" w:sz="4" w:space="0" w:color="auto"/>
            </w:tcBorders>
            <w:shd w:val="clear" w:color="auto" w:fill="auto"/>
            <w:vAlign w:val="center"/>
          </w:tcPr>
          <w:p w14:paraId="2CDC3BBC" w14:textId="77777777" w:rsidR="009F618C" w:rsidRPr="00C2587D" w:rsidRDefault="009F618C" w:rsidP="00EF4E67">
            <w:pPr>
              <w:jc w:val="center"/>
              <w:rPr>
                <w:rFonts w:cs="Arial"/>
                <w:b/>
                <w:color w:val="000000"/>
                <w:lang w:eastAsia="it-IT"/>
              </w:rPr>
            </w:pPr>
            <w:r w:rsidRPr="00C2587D">
              <w:rPr>
                <w:rFonts w:cs="Arial"/>
                <w:b/>
                <w:color w:val="000000"/>
                <w:lang w:eastAsia="it-IT"/>
              </w:rPr>
              <w:t>2027</w:t>
            </w:r>
          </w:p>
        </w:tc>
        <w:tc>
          <w:tcPr>
            <w:tcW w:w="1274" w:type="dxa"/>
            <w:shd w:val="clear" w:color="auto" w:fill="auto"/>
            <w:vAlign w:val="center"/>
          </w:tcPr>
          <w:p w14:paraId="17EC652E" w14:textId="77777777" w:rsidR="009F618C" w:rsidRPr="00C2587D" w:rsidRDefault="009F618C" w:rsidP="00EF4E67">
            <w:pPr>
              <w:jc w:val="center"/>
              <w:rPr>
                <w:rFonts w:cs="Arial"/>
                <w:b/>
                <w:color w:val="000000"/>
                <w:lang w:eastAsia="it-IT"/>
              </w:rPr>
            </w:pPr>
            <w:r w:rsidRPr="00C2587D">
              <w:rPr>
                <w:rFonts w:cs="Arial"/>
                <w:b/>
                <w:color w:val="000000"/>
                <w:lang w:eastAsia="it-IT"/>
              </w:rPr>
              <w:t>2028</w:t>
            </w:r>
          </w:p>
        </w:tc>
        <w:tc>
          <w:tcPr>
            <w:tcW w:w="1571" w:type="dxa"/>
            <w:shd w:val="clear" w:color="auto" w:fill="auto"/>
            <w:vAlign w:val="center"/>
          </w:tcPr>
          <w:p w14:paraId="62F24CEE" w14:textId="77777777" w:rsidR="009F618C" w:rsidRPr="00C2587D" w:rsidRDefault="009F618C" w:rsidP="00EF4E67">
            <w:pPr>
              <w:jc w:val="center"/>
              <w:rPr>
                <w:rFonts w:cs="Arial"/>
                <w:b/>
                <w:color w:val="000000"/>
                <w:lang w:eastAsia="it-IT"/>
              </w:rPr>
            </w:pPr>
            <w:r w:rsidRPr="00C2587D">
              <w:rPr>
                <w:rFonts w:cs="Arial"/>
                <w:b/>
                <w:color w:val="000000"/>
                <w:lang w:eastAsia="it-IT"/>
              </w:rPr>
              <w:t>РАЗОМ</w:t>
            </w:r>
          </w:p>
        </w:tc>
      </w:tr>
      <w:tr w:rsidR="009F618C" w:rsidRPr="00C2587D" w14:paraId="03D18FE6" w14:textId="77777777" w:rsidTr="00EF4E67">
        <w:trPr>
          <w:jc w:val="right"/>
        </w:trPr>
        <w:tc>
          <w:tcPr>
            <w:tcW w:w="3423" w:type="dxa"/>
            <w:vMerge/>
            <w:shd w:val="clear" w:color="auto" w:fill="FFFFFF"/>
            <w:vAlign w:val="center"/>
          </w:tcPr>
          <w:p w14:paraId="7AA92217" w14:textId="77777777" w:rsidR="009F618C" w:rsidRPr="00C2587D" w:rsidRDefault="009F618C" w:rsidP="00FD75D9">
            <w:pPr>
              <w:rPr>
                <w:rFonts w:cs="Arial"/>
                <w:b/>
                <w:bCs/>
                <w:color w:val="000000"/>
              </w:rPr>
            </w:pPr>
          </w:p>
        </w:tc>
        <w:tc>
          <w:tcPr>
            <w:tcW w:w="1254" w:type="dxa"/>
            <w:shd w:val="clear" w:color="auto" w:fill="auto"/>
            <w:vAlign w:val="center"/>
          </w:tcPr>
          <w:p w14:paraId="458DD3AD" w14:textId="77777777" w:rsidR="009F618C" w:rsidRPr="00EF4E67" w:rsidRDefault="009F618C" w:rsidP="00EF4E67">
            <w:pPr>
              <w:jc w:val="center"/>
              <w:rPr>
                <w:rFonts w:cs="Arial"/>
                <w:color w:val="000000"/>
                <w:lang w:eastAsia="it-IT"/>
              </w:rPr>
            </w:pPr>
            <w:r w:rsidRPr="00EF4E67">
              <w:rPr>
                <w:rFonts w:cs="Arial"/>
                <w:color w:val="000000"/>
                <w:lang w:eastAsia="it-IT"/>
              </w:rPr>
              <w:t>-</w:t>
            </w:r>
          </w:p>
        </w:tc>
        <w:tc>
          <w:tcPr>
            <w:tcW w:w="1278" w:type="dxa"/>
            <w:shd w:val="clear" w:color="auto" w:fill="auto"/>
            <w:vAlign w:val="center"/>
          </w:tcPr>
          <w:p w14:paraId="6CFE6F7C" w14:textId="77777777" w:rsidR="009F618C" w:rsidRPr="00EF4E67" w:rsidRDefault="009F618C" w:rsidP="00EF4E67">
            <w:pPr>
              <w:jc w:val="center"/>
              <w:rPr>
                <w:rFonts w:cs="Arial"/>
                <w:color w:val="000000"/>
                <w:lang w:eastAsia="it-IT"/>
              </w:rPr>
            </w:pPr>
            <w:r w:rsidRPr="00EF4E67">
              <w:rPr>
                <w:rFonts w:cs="Arial"/>
                <w:color w:val="000000"/>
                <w:lang w:eastAsia="it-IT"/>
              </w:rPr>
              <w:t>57,0</w:t>
            </w:r>
          </w:p>
        </w:tc>
        <w:tc>
          <w:tcPr>
            <w:tcW w:w="1419" w:type="dxa"/>
            <w:shd w:val="clear" w:color="auto" w:fill="auto"/>
            <w:vAlign w:val="center"/>
          </w:tcPr>
          <w:p w14:paraId="7807C781" w14:textId="77777777" w:rsidR="009F618C" w:rsidRPr="00EF4E67" w:rsidRDefault="009F618C" w:rsidP="00EF4E67">
            <w:pPr>
              <w:jc w:val="center"/>
              <w:rPr>
                <w:rFonts w:cs="Arial"/>
                <w:color w:val="000000"/>
                <w:lang w:eastAsia="it-IT"/>
              </w:rPr>
            </w:pPr>
            <w:r w:rsidRPr="00EF4E67">
              <w:rPr>
                <w:rFonts w:cs="Arial"/>
                <w:color w:val="000000"/>
                <w:lang w:eastAsia="it-IT"/>
              </w:rPr>
              <w:t>50,0</w:t>
            </w:r>
          </w:p>
        </w:tc>
        <w:tc>
          <w:tcPr>
            <w:tcW w:w="1274" w:type="dxa"/>
            <w:shd w:val="clear" w:color="auto" w:fill="auto"/>
            <w:vAlign w:val="center"/>
          </w:tcPr>
          <w:p w14:paraId="5D7D8996" w14:textId="77777777" w:rsidR="009F618C" w:rsidRPr="00EF4E67" w:rsidRDefault="009F618C" w:rsidP="00EF4E67">
            <w:pPr>
              <w:jc w:val="center"/>
              <w:rPr>
                <w:rFonts w:cs="Arial"/>
                <w:color w:val="000000"/>
                <w:lang w:eastAsia="it-IT"/>
              </w:rPr>
            </w:pPr>
            <w:r w:rsidRPr="00EF4E67">
              <w:rPr>
                <w:rFonts w:cs="Arial"/>
                <w:color w:val="000000"/>
                <w:lang w:eastAsia="it-IT"/>
              </w:rPr>
              <w:t>100,0</w:t>
            </w:r>
          </w:p>
        </w:tc>
        <w:tc>
          <w:tcPr>
            <w:tcW w:w="1571" w:type="dxa"/>
            <w:shd w:val="clear" w:color="auto" w:fill="auto"/>
            <w:vAlign w:val="center"/>
          </w:tcPr>
          <w:p w14:paraId="341424B9" w14:textId="77777777" w:rsidR="009F618C" w:rsidRPr="00C2587D" w:rsidRDefault="009F618C" w:rsidP="00EF4E67">
            <w:pPr>
              <w:jc w:val="center"/>
              <w:rPr>
                <w:rFonts w:cs="Arial"/>
                <w:b/>
                <w:color w:val="000000"/>
                <w:lang w:eastAsia="it-IT"/>
              </w:rPr>
            </w:pPr>
            <w:r w:rsidRPr="00C2587D">
              <w:rPr>
                <w:rFonts w:cs="Arial"/>
                <w:b/>
                <w:color w:val="000000"/>
                <w:lang w:eastAsia="it-IT"/>
              </w:rPr>
              <w:t>207,0</w:t>
            </w:r>
          </w:p>
        </w:tc>
      </w:tr>
      <w:tr w:rsidR="00EF4E67" w:rsidRPr="00C2587D" w14:paraId="778E102D" w14:textId="74168DA5" w:rsidTr="00EF4E67">
        <w:trPr>
          <w:trHeight w:val="276"/>
          <w:jc w:val="right"/>
        </w:trPr>
        <w:tc>
          <w:tcPr>
            <w:tcW w:w="3423" w:type="dxa"/>
            <w:shd w:val="clear" w:color="auto" w:fill="FFFFFF"/>
            <w:vAlign w:val="center"/>
          </w:tcPr>
          <w:p w14:paraId="198A10FF" w14:textId="77777777" w:rsidR="00EF4E67" w:rsidRPr="00C2587D" w:rsidRDefault="00EF4E67" w:rsidP="00FD75D9">
            <w:pPr>
              <w:rPr>
                <w:rFonts w:cs="Arial"/>
                <w:b/>
                <w:bCs/>
                <w:color w:val="000000"/>
              </w:rPr>
            </w:pPr>
            <w:r w:rsidRPr="00C2587D">
              <w:rPr>
                <w:rFonts w:cs="Arial"/>
                <w:b/>
                <w:bCs/>
                <w:color w:val="000000"/>
              </w:rPr>
              <w:t>по джерелах фінансування:</w:t>
            </w:r>
          </w:p>
        </w:tc>
        <w:tc>
          <w:tcPr>
            <w:tcW w:w="1254" w:type="dxa"/>
            <w:shd w:val="clear" w:color="auto" w:fill="auto"/>
            <w:vAlign w:val="center"/>
          </w:tcPr>
          <w:p w14:paraId="60BAC114" w14:textId="77777777" w:rsidR="00EF4E67" w:rsidRPr="00EF4E67" w:rsidRDefault="00EF4E67" w:rsidP="00EF4E67">
            <w:pPr>
              <w:jc w:val="center"/>
              <w:rPr>
                <w:rFonts w:cs="Arial"/>
                <w:color w:val="000000"/>
                <w:lang w:eastAsia="it-IT"/>
              </w:rPr>
            </w:pPr>
          </w:p>
        </w:tc>
        <w:tc>
          <w:tcPr>
            <w:tcW w:w="1278" w:type="dxa"/>
            <w:shd w:val="clear" w:color="auto" w:fill="auto"/>
            <w:vAlign w:val="center"/>
          </w:tcPr>
          <w:p w14:paraId="4F632495" w14:textId="77777777" w:rsidR="00EF4E67" w:rsidRPr="00EF4E67" w:rsidRDefault="00EF4E67" w:rsidP="00EF4E67">
            <w:pPr>
              <w:jc w:val="center"/>
              <w:rPr>
                <w:rFonts w:cs="Arial"/>
                <w:color w:val="000000"/>
                <w:lang w:eastAsia="it-IT"/>
              </w:rPr>
            </w:pPr>
          </w:p>
        </w:tc>
        <w:tc>
          <w:tcPr>
            <w:tcW w:w="1419" w:type="dxa"/>
            <w:shd w:val="clear" w:color="auto" w:fill="auto"/>
            <w:vAlign w:val="center"/>
          </w:tcPr>
          <w:p w14:paraId="05E315F1" w14:textId="77777777" w:rsidR="00EF4E67" w:rsidRPr="00EF4E67" w:rsidRDefault="00EF4E67" w:rsidP="00EF4E67">
            <w:pPr>
              <w:jc w:val="center"/>
              <w:rPr>
                <w:rFonts w:cs="Arial"/>
                <w:color w:val="000000"/>
                <w:lang w:eastAsia="it-IT"/>
              </w:rPr>
            </w:pPr>
          </w:p>
        </w:tc>
        <w:tc>
          <w:tcPr>
            <w:tcW w:w="1274" w:type="dxa"/>
            <w:shd w:val="clear" w:color="auto" w:fill="auto"/>
            <w:vAlign w:val="center"/>
          </w:tcPr>
          <w:p w14:paraId="440B05CE" w14:textId="77777777" w:rsidR="00EF4E67" w:rsidRPr="00EF4E67" w:rsidRDefault="00EF4E67" w:rsidP="00EF4E67">
            <w:pPr>
              <w:jc w:val="center"/>
              <w:rPr>
                <w:rFonts w:cs="Arial"/>
                <w:color w:val="000000"/>
                <w:lang w:eastAsia="it-IT"/>
              </w:rPr>
            </w:pPr>
          </w:p>
        </w:tc>
        <w:tc>
          <w:tcPr>
            <w:tcW w:w="1571" w:type="dxa"/>
            <w:shd w:val="clear" w:color="auto" w:fill="auto"/>
            <w:vAlign w:val="center"/>
          </w:tcPr>
          <w:p w14:paraId="2044DD0B" w14:textId="77777777" w:rsidR="00EF4E67" w:rsidRPr="00C2587D" w:rsidRDefault="00EF4E67" w:rsidP="00EF4E67">
            <w:pPr>
              <w:jc w:val="center"/>
              <w:rPr>
                <w:rFonts w:cs="Arial"/>
                <w:color w:val="000000"/>
                <w:lang w:eastAsia="it-IT"/>
              </w:rPr>
            </w:pPr>
          </w:p>
        </w:tc>
      </w:tr>
      <w:tr w:rsidR="00EF4E67" w:rsidRPr="00C2587D" w14:paraId="2C3BE86F" w14:textId="57A661EE" w:rsidTr="00EF4E67">
        <w:trPr>
          <w:trHeight w:val="240"/>
          <w:jc w:val="right"/>
        </w:trPr>
        <w:tc>
          <w:tcPr>
            <w:tcW w:w="3423" w:type="dxa"/>
            <w:shd w:val="clear" w:color="auto" w:fill="FFFFFF"/>
            <w:vAlign w:val="center"/>
          </w:tcPr>
          <w:p w14:paraId="200F8E7A" w14:textId="77777777" w:rsidR="00EF4E67" w:rsidRPr="00C2587D" w:rsidRDefault="00EF4E67" w:rsidP="00FD75D9">
            <w:pPr>
              <w:rPr>
                <w:rFonts w:cs="Arial"/>
                <w:b/>
                <w:bCs/>
                <w:color w:val="000000"/>
              </w:rPr>
            </w:pPr>
            <w:r w:rsidRPr="00C2587D">
              <w:rPr>
                <w:rFonts w:cs="Arial"/>
                <w:color w:val="000000"/>
              </w:rPr>
              <w:t>- державний бюджет</w:t>
            </w:r>
          </w:p>
        </w:tc>
        <w:tc>
          <w:tcPr>
            <w:tcW w:w="1254" w:type="dxa"/>
            <w:shd w:val="clear" w:color="auto" w:fill="auto"/>
            <w:vAlign w:val="center"/>
          </w:tcPr>
          <w:p w14:paraId="0FD9A92D" w14:textId="77777777" w:rsidR="00EF4E67" w:rsidRPr="00EF4E67" w:rsidRDefault="00EF4E67" w:rsidP="00EF4E67">
            <w:pPr>
              <w:jc w:val="center"/>
              <w:rPr>
                <w:rFonts w:cs="Arial"/>
                <w:color w:val="000000"/>
                <w:lang w:eastAsia="it-IT"/>
              </w:rPr>
            </w:pPr>
          </w:p>
        </w:tc>
        <w:tc>
          <w:tcPr>
            <w:tcW w:w="1278" w:type="dxa"/>
            <w:shd w:val="clear" w:color="auto" w:fill="auto"/>
            <w:vAlign w:val="center"/>
          </w:tcPr>
          <w:p w14:paraId="3641D394" w14:textId="77777777" w:rsidR="00EF4E67" w:rsidRPr="00EF4E67" w:rsidRDefault="00EF4E67" w:rsidP="00EF4E67">
            <w:pPr>
              <w:jc w:val="center"/>
              <w:rPr>
                <w:rFonts w:cs="Arial"/>
                <w:color w:val="000000"/>
                <w:lang w:eastAsia="it-IT"/>
              </w:rPr>
            </w:pPr>
          </w:p>
        </w:tc>
        <w:tc>
          <w:tcPr>
            <w:tcW w:w="1419" w:type="dxa"/>
            <w:shd w:val="clear" w:color="auto" w:fill="auto"/>
            <w:vAlign w:val="center"/>
          </w:tcPr>
          <w:p w14:paraId="6E916C4F" w14:textId="77777777" w:rsidR="00EF4E67" w:rsidRPr="00EF4E67" w:rsidRDefault="00EF4E67" w:rsidP="00EF4E67">
            <w:pPr>
              <w:jc w:val="center"/>
              <w:rPr>
                <w:rFonts w:cs="Arial"/>
                <w:color w:val="000000"/>
                <w:lang w:eastAsia="it-IT"/>
              </w:rPr>
            </w:pPr>
          </w:p>
        </w:tc>
        <w:tc>
          <w:tcPr>
            <w:tcW w:w="1274" w:type="dxa"/>
            <w:shd w:val="clear" w:color="auto" w:fill="auto"/>
            <w:vAlign w:val="center"/>
          </w:tcPr>
          <w:p w14:paraId="6182676A" w14:textId="77777777" w:rsidR="00EF4E67" w:rsidRPr="00EF4E67" w:rsidRDefault="00EF4E67" w:rsidP="00EF4E67">
            <w:pPr>
              <w:jc w:val="center"/>
              <w:rPr>
                <w:rFonts w:cs="Arial"/>
                <w:color w:val="000000"/>
                <w:lang w:eastAsia="it-IT"/>
              </w:rPr>
            </w:pPr>
          </w:p>
        </w:tc>
        <w:tc>
          <w:tcPr>
            <w:tcW w:w="1571" w:type="dxa"/>
            <w:shd w:val="clear" w:color="auto" w:fill="auto"/>
            <w:vAlign w:val="center"/>
          </w:tcPr>
          <w:p w14:paraId="2507C174" w14:textId="77777777" w:rsidR="00EF4E67" w:rsidRPr="00C2587D" w:rsidRDefault="00EF4E67" w:rsidP="00EF4E67">
            <w:pPr>
              <w:jc w:val="center"/>
              <w:rPr>
                <w:rFonts w:cs="Arial"/>
                <w:color w:val="000000"/>
                <w:lang w:eastAsia="it-IT"/>
              </w:rPr>
            </w:pPr>
          </w:p>
        </w:tc>
      </w:tr>
      <w:tr w:rsidR="00EF4E67" w:rsidRPr="00C2587D" w14:paraId="6E23E55E" w14:textId="1274083A" w:rsidTr="00EF4E67">
        <w:trPr>
          <w:trHeight w:val="254"/>
          <w:jc w:val="right"/>
        </w:trPr>
        <w:tc>
          <w:tcPr>
            <w:tcW w:w="3423" w:type="dxa"/>
            <w:shd w:val="clear" w:color="auto" w:fill="FFFFFF"/>
            <w:vAlign w:val="center"/>
          </w:tcPr>
          <w:p w14:paraId="1150AFF0" w14:textId="77777777" w:rsidR="00EF4E67" w:rsidRPr="00C2587D" w:rsidRDefault="00EF4E67" w:rsidP="00FD75D9">
            <w:pPr>
              <w:rPr>
                <w:rFonts w:cs="Arial"/>
                <w:color w:val="000000"/>
              </w:rPr>
            </w:pPr>
            <w:r w:rsidRPr="00C2587D">
              <w:rPr>
                <w:rFonts w:cs="Arial"/>
                <w:color w:val="000000"/>
              </w:rPr>
              <w:t>- обласний бюджет</w:t>
            </w:r>
          </w:p>
        </w:tc>
        <w:tc>
          <w:tcPr>
            <w:tcW w:w="1254" w:type="dxa"/>
            <w:shd w:val="clear" w:color="auto" w:fill="auto"/>
            <w:vAlign w:val="center"/>
          </w:tcPr>
          <w:p w14:paraId="5F7A33D9" w14:textId="77777777" w:rsidR="00EF4E67" w:rsidRPr="00EF4E67" w:rsidRDefault="00EF4E67" w:rsidP="00EF4E67">
            <w:pPr>
              <w:jc w:val="center"/>
              <w:rPr>
                <w:rFonts w:cs="Arial"/>
                <w:color w:val="000000"/>
                <w:lang w:eastAsia="it-IT"/>
              </w:rPr>
            </w:pPr>
          </w:p>
        </w:tc>
        <w:tc>
          <w:tcPr>
            <w:tcW w:w="1278" w:type="dxa"/>
            <w:shd w:val="clear" w:color="auto" w:fill="auto"/>
            <w:vAlign w:val="center"/>
          </w:tcPr>
          <w:p w14:paraId="6358A19A" w14:textId="77777777" w:rsidR="00EF4E67" w:rsidRPr="00EF4E67" w:rsidRDefault="00EF4E67" w:rsidP="00EF4E67">
            <w:pPr>
              <w:jc w:val="center"/>
              <w:rPr>
                <w:rFonts w:cs="Arial"/>
                <w:color w:val="000000"/>
                <w:lang w:eastAsia="it-IT"/>
              </w:rPr>
            </w:pPr>
          </w:p>
        </w:tc>
        <w:tc>
          <w:tcPr>
            <w:tcW w:w="1419" w:type="dxa"/>
            <w:shd w:val="clear" w:color="auto" w:fill="auto"/>
            <w:vAlign w:val="center"/>
          </w:tcPr>
          <w:p w14:paraId="7CBF49D7" w14:textId="77777777" w:rsidR="00EF4E67" w:rsidRPr="00EF4E67" w:rsidRDefault="00EF4E67" w:rsidP="00EF4E67">
            <w:pPr>
              <w:jc w:val="center"/>
              <w:rPr>
                <w:rFonts w:cs="Arial"/>
                <w:color w:val="000000"/>
                <w:lang w:eastAsia="it-IT"/>
              </w:rPr>
            </w:pPr>
          </w:p>
        </w:tc>
        <w:tc>
          <w:tcPr>
            <w:tcW w:w="1274" w:type="dxa"/>
            <w:shd w:val="clear" w:color="auto" w:fill="auto"/>
            <w:vAlign w:val="center"/>
          </w:tcPr>
          <w:p w14:paraId="7112D4B8" w14:textId="77777777" w:rsidR="00EF4E67" w:rsidRPr="00EF4E67" w:rsidRDefault="00EF4E67" w:rsidP="00EF4E67">
            <w:pPr>
              <w:jc w:val="center"/>
              <w:rPr>
                <w:rFonts w:cs="Arial"/>
                <w:color w:val="000000"/>
                <w:lang w:eastAsia="it-IT"/>
              </w:rPr>
            </w:pPr>
          </w:p>
        </w:tc>
        <w:tc>
          <w:tcPr>
            <w:tcW w:w="1571" w:type="dxa"/>
            <w:shd w:val="clear" w:color="auto" w:fill="auto"/>
            <w:vAlign w:val="center"/>
          </w:tcPr>
          <w:p w14:paraId="086C5C6F" w14:textId="77777777" w:rsidR="00EF4E67" w:rsidRPr="00C2587D" w:rsidRDefault="00EF4E67" w:rsidP="00EF4E67">
            <w:pPr>
              <w:jc w:val="center"/>
              <w:rPr>
                <w:rFonts w:cs="Arial"/>
                <w:color w:val="000000"/>
                <w:lang w:eastAsia="it-IT"/>
              </w:rPr>
            </w:pPr>
          </w:p>
        </w:tc>
      </w:tr>
      <w:tr w:rsidR="00EF4E67" w:rsidRPr="00C2587D" w14:paraId="57E796F7" w14:textId="301D0131" w:rsidTr="00EF4E67">
        <w:trPr>
          <w:trHeight w:val="275"/>
          <w:jc w:val="right"/>
        </w:trPr>
        <w:tc>
          <w:tcPr>
            <w:tcW w:w="3423" w:type="dxa"/>
            <w:shd w:val="clear" w:color="auto" w:fill="FFFFFF"/>
            <w:vAlign w:val="center"/>
          </w:tcPr>
          <w:p w14:paraId="722349AC" w14:textId="77777777" w:rsidR="00EF4E67" w:rsidRPr="00C2587D" w:rsidRDefault="00EF4E67" w:rsidP="00EF4E67">
            <w:pPr>
              <w:rPr>
                <w:rFonts w:cs="Arial"/>
                <w:color w:val="000000"/>
              </w:rPr>
            </w:pPr>
            <w:r w:rsidRPr="00C2587D">
              <w:rPr>
                <w:rFonts w:cs="Arial"/>
                <w:color w:val="000000"/>
              </w:rPr>
              <w:t>- бюджет Жмеринської МТГ</w:t>
            </w:r>
          </w:p>
        </w:tc>
        <w:tc>
          <w:tcPr>
            <w:tcW w:w="1254" w:type="dxa"/>
            <w:shd w:val="clear" w:color="auto" w:fill="auto"/>
            <w:vAlign w:val="center"/>
          </w:tcPr>
          <w:p w14:paraId="4ECE3582" w14:textId="2730623A" w:rsidR="00EF4E67" w:rsidRPr="00EF4E67" w:rsidRDefault="00EF4E67" w:rsidP="00EF4E67">
            <w:pPr>
              <w:jc w:val="center"/>
              <w:rPr>
                <w:rFonts w:cs="Arial"/>
                <w:color w:val="000000"/>
                <w:sz w:val="20"/>
                <w:szCs w:val="20"/>
                <w:lang w:eastAsia="it-IT"/>
              </w:rPr>
            </w:pPr>
            <w:r w:rsidRPr="00EF4E67">
              <w:rPr>
                <w:rFonts w:cs="Arial"/>
                <w:color w:val="000000"/>
                <w:sz w:val="20"/>
                <w:szCs w:val="20"/>
                <w:lang w:eastAsia="it-IT"/>
              </w:rPr>
              <w:t>0</w:t>
            </w:r>
          </w:p>
        </w:tc>
        <w:tc>
          <w:tcPr>
            <w:tcW w:w="1278" w:type="dxa"/>
            <w:shd w:val="clear" w:color="auto" w:fill="auto"/>
            <w:vAlign w:val="center"/>
          </w:tcPr>
          <w:p w14:paraId="666698D2" w14:textId="77A19214" w:rsidR="00EF4E67" w:rsidRPr="00EF4E67" w:rsidRDefault="00EF4E67" w:rsidP="00EF4E67">
            <w:pPr>
              <w:jc w:val="center"/>
              <w:rPr>
                <w:rFonts w:cs="Arial"/>
                <w:color w:val="000000"/>
                <w:sz w:val="20"/>
                <w:szCs w:val="20"/>
                <w:lang w:eastAsia="it-IT"/>
              </w:rPr>
            </w:pPr>
            <w:r w:rsidRPr="00EF4E67">
              <w:rPr>
                <w:rFonts w:cs="Arial"/>
                <w:color w:val="000000"/>
                <w:lang w:eastAsia="it-IT"/>
              </w:rPr>
              <w:t>57,0</w:t>
            </w:r>
          </w:p>
        </w:tc>
        <w:tc>
          <w:tcPr>
            <w:tcW w:w="1419" w:type="dxa"/>
            <w:shd w:val="clear" w:color="auto" w:fill="auto"/>
            <w:vAlign w:val="center"/>
          </w:tcPr>
          <w:p w14:paraId="038DF71E" w14:textId="0C6E1037" w:rsidR="00EF4E67" w:rsidRPr="00EF4E67" w:rsidRDefault="00EF4E67" w:rsidP="00EF4E67">
            <w:pPr>
              <w:jc w:val="center"/>
              <w:rPr>
                <w:rFonts w:cs="Arial"/>
                <w:color w:val="000000"/>
                <w:sz w:val="20"/>
                <w:szCs w:val="20"/>
                <w:lang w:eastAsia="it-IT"/>
              </w:rPr>
            </w:pPr>
            <w:r w:rsidRPr="00EF4E67">
              <w:rPr>
                <w:rFonts w:cs="Arial"/>
                <w:color w:val="000000"/>
                <w:lang w:eastAsia="it-IT"/>
              </w:rPr>
              <w:t>50,0</w:t>
            </w:r>
          </w:p>
        </w:tc>
        <w:tc>
          <w:tcPr>
            <w:tcW w:w="1274" w:type="dxa"/>
            <w:shd w:val="clear" w:color="auto" w:fill="auto"/>
            <w:vAlign w:val="center"/>
          </w:tcPr>
          <w:p w14:paraId="2A940754" w14:textId="7570C6B3" w:rsidR="00EF4E67" w:rsidRPr="00EF4E67" w:rsidRDefault="00EF4E67" w:rsidP="00EF4E67">
            <w:pPr>
              <w:jc w:val="center"/>
              <w:rPr>
                <w:rFonts w:cs="Arial"/>
                <w:color w:val="000000"/>
                <w:sz w:val="20"/>
                <w:szCs w:val="20"/>
                <w:lang w:eastAsia="it-IT"/>
              </w:rPr>
            </w:pPr>
            <w:r w:rsidRPr="00EF4E67">
              <w:rPr>
                <w:rFonts w:cs="Arial"/>
                <w:color w:val="000000"/>
                <w:lang w:eastAsia="it-IT"/>
              </w:rPr>
              <w:t>100,0</w:t>
            </w:r>
          </w:p>
        </w:tc>
        <w:tc>
          <w:tcPr>
            <w:tcW w:w="1571" w:type="dxa"/>
            <w:shd w:val="clear" w:color="auto" w:fill="auto"/>
            <w:vAlign w:val="center"/>
          </w:tcPr>
          <w:p w14:paraId="63C38C77" w14:textId="0283AE21" w:rsidR="00EF4E67" w:rsidRPr="00C2587D" w:rsidRDefault="00EF4E67" w:rsidP="00EF4E67">
            <w:pPr>
              <w:jc w:val="center"/>
              <w:rPr>
                <w:rFonts w:cs="Arial"/>
                <w:color w:val="000000"/>
                <w:sz w:val="20"/>
                <w:szCs w:val="20"/>
                <w:lang w:eastAsia="it-IT"/>
              </w:rPr>
            </w:pPr>
            <w:r w:rsidRPr="00C2587D">
              <w:rPr>
                <w:rFonts w:cs="Arial"/>
                <w:b/>
                <w:color w:val="000000"/>
                <w:lang w:eastAsia="it-IT"/>
              </w:rPr>
              <w:t>207,0</w:t>
            </w:r>
          </w:p>
        </w:tc>
      </w:tr>
      <w:tr w:rsidR="00EF4E67" w:rsidRPr="00C2587D" w14:paraId="1E87345E" w14:textId="1EB3DFB5" w:rsidTr="00EF4E67">
        <w:trPr>
          <w:trHeight w:val="226"/>
          <w:jc w:val="right"/>
        </w:trPr>
        <w:tc>
          <w:tcPr>
            <w:tcW w:w="3423" w:type="dxa"/>
            <w:shd w:val="clear" w:color="auto" w:fill="FFFFFF"/>
            <w:vAlign w:val="center"/>
          </w:tcPr>
          <w:p w14:paraId="6A975A4B" w14:textId="77777777" w:rsidR="00EF4E67" w:rsidRPr="00C2587D" w:rsidRDefault="00EF4E67" w:rsidP="00EF4E67">
            <w:pPr>
              <w:rPr>
                <w:rFonts w:cs="Arial"/>
                <w:color w:val="000000"/>
              </w:rPr>
            </w:pPr>
            <w:r w:rsidRPr="00C2587D">
              <w:rPr>
                <w:rFonts w:cs="Arial"/>
                <w:color w:val="000000"/>
              </w:rPr>
              <w:t>- інші джерела фінансування</w:t>
            </w:r>
          </w:p>
        </w:tc>
        <w:tc>
          <w:tcPr>
            <w:tcW w:w="1254" w:type="dxa"/>
            <w:vAlign w:val="center"/>
          </w:tcPr>
          <w:p w14:paraId="4B6FE3E9" w14:textId="77777777" w:rsidR="00EF4E67" w:rsidRPr="00C2587D" w:rsidRDefault="00EF4E67" w:rsidP="00EF4E67">
            <w:pPr>
              <w:jc w:val="both"/>
              <w:rPr>
                <w:rFonts w:cs="Arial"/>
                <w:color w:val="000000"/>
                <w:sz w:val="20"/>
                <w:szCs w:val="20"/>
                <w:lang w:eastAsia="it-IT"/>
              </w:rPr>
            </w:pPr>
          </w:p>
        </w:tc>
        <w:tc>
          <w:tcPr>
            <w:tcW w:w="1278" w:type="dxa"/>
            <w:vAlign w:val="center"/>
          </w:tcPr>
          <w:p w14:paraId="2F6354A6" w14:textId="77777777" w:rsidR="00EF4E67" w:rsidRPr="00C2587D" w:rsidRDefault="00EF4E67" w:rsidP="00EF4E67">
            <w:pPr>
              <w:jc w:val="both"/>
              <w:rPr>
                <w:rFonts w:cs="Arial"/>
                <w:color w:val="000000"/>
                <w:sz w:val="20"/>
                <w:szCs w:val="20"/>
                <w:lang w:eastAsia="it-IT"/>
              </w:rPr>
            </w:pPr>
          </w:p>
        </w:tc>
        <w:tc>
          <w:tcPr>
            <w:tcW w:w="1419" w:type="dxa"/>
            <w:vAlign w:val="center"/>
          </w:tcPr>
          <w:p w14:paraId="258D9E09" w14:textId="77777777" w:rsidR="00EF4E67" w:rsidRPr="00C2587D" w:rsidRDefault="00EF4E67" w:rsidP="00EF4E67">
            <w:pPr>
              <w:jc w:val="both"/>
              <w:rPr>
                <w:rFonts w:cs="Arial"/>
                <w:color w:val="000000"/>
                <w:sz w:val="20"/>
                <w:szCs w:val="20"/>
                <w:lang w:eastAsia="it-IT"/>
              </w:rPr>
            </w:pPr>
          </w:p>
        </w:tc>
        <w:tc>
          <w:tcPr>
            <w:tcW w:w="1274" w:type="dxa"/>
            <w:vAlign w:val="center"/>
          </w:tcPr>
          <w:p w14:paraId="0EE840F6" w14:textId="77777777" w:rsidR="00EF4E67" w:rsidRPr="00C2587D" w:rsidRDefault="00EF4E67" w:rsidP="00EF4E67">
            <w:pPr>
              <w:jc w:val="both"/>
              <w:rPr>
                <w:rFonts w:cs="Arial"/>
                <w:color w:val="000000"/>
                <w:sz w:val="20"/>
                <w:szCs w:val="20"/>
                <w:lang w:eastAsia="it-IT"/>
              </w:rPr>
            </w:pPr>
          </w:p>
        </w:tc>
        <w:tc>
          <w:tcPr>
            <w:tcW w:w="1571" w:type="dxa"/>
            <w:vAlign w:val="center"/>
          </w:tcPr>
          <w:p w14:paraId="7599E8BC" w14:textId="77777777" w:rsidR="00EF4E67" w:rsidRPr="00C2587D" w:rsidRDefault="00EF4E67" w:rsidP="00EF4E67">
            <w:pPr>
              <w:jc w:val="both"/>
              <w:rPr>
                <w:rFonts w:cs="Arial"/>
                <w:color w:val="000000"/>
                <w:sz w:val="20"/>
                <w:szCs w:val="20"/>
                <w:lang w:eastAsia="it-IT"/>
              </w:rPr>
            </w:pPr>
          </w:p>
        </w:tc>
      </w:tr>
      <w:tr w:rsidR="00EF4E67" w:rsidRPr="00C2587D" w14:paraId="7C9242B0" w14:textId="77777777" w:rsidTr="00EF4E67">
        <w:trPr>
          <w:jc w:val="right"/>
        </w:trPr>
        <w:tc>
          <w:tcPr>
            <w:tcW w:w="3423" w:type="dxa"/>
            <w:shd w:val="clear" w:color="auto" w:fill="FFFFFF"/>
            <w:vAlign w:val="center"/>
          </w:tcPr>
          <w:p w14:paraId="43F0C201" w14:textId="77777777" w:rsidR="00EF4E67" w:rsidRPr="00C2587D" w:rsidRDefault="00EF4E67" w:rsidP="00EF4E67">
            <w:pPr>
              <w:rPr>
                <w:rFonts w:cs="Arial"/>
                <w:b/>
                <w:bCs/>
                <w:color w:val="000000"/>
              </w:rPr>
            </w:pPr>
            <w:r w:rsidRPr="00C2587D">
              <w:rPr>
                <w:rFonts w:cs="Arial"/>
                <w:b/>
                <w:color w:val="000000"/>
              </w:rPr>
              <w:t>Відповідальний виконавець проєкту:</w:t>
            </w:r>
          </w:p>
        </w:tc>
        <w:tc>
          <w:tcPr>
            <w:tcW w:w="6796" w:type="dxa"/>
            <w:gridSpan w:val="5"/>
            <w:vAlign w:val="center"/>
          </w:tcPr>
          <w:p w14:paraId="064F81A0" w14:textId="77777777" w:rsidR="00EF4E67" w:rsidRPr="00C2587D" w:rsidRDefault="00EF4E67" w:rsidP="00EF4E67">
            <w:pPr>
              <w:jc w:val="both"/>
              <w:rPr>
                <w:rFonts w:cs="Arial"/>
                <w:color w:val="000000"/>
                <w:sz w:val="20"/>
                <w:szCs w:val="20"/>
                <w:lang w:eastAsia="it-IT"/>
              </w:rPr>
            </w:pPr>
          </w:p>
          <w:p w14:paraId="332C81C3" w14:textId="77777777" w:rsidR="00EF4E67" w:rsidRPr="00C2587D" w:rsidRDefault="00EF4E67" w:rsidP="00EF4E67">
            <w:pPr>
              <w:jc w:val="both"/>
              <w:rPr>
                <w:rFonts w:cs="Arial"/>
                <w:color w:val="000000"/>
                <w:sz w:val="20"/>
                <w:szCs w:val="20"/>
                <w:lang w:eastAsia="it-IT"/>
              </w:rPr>
            </w:pPr>
            <w:r w:rsidRPr="00C2587D">
              <w:rPr>
                <w:rFonts w:cs="Arial"/>
                <w:b/>
                <w:color w:val="000000"/>
                <w:sz w:val="20"/>
                <w:szCs w:val="20"/>
                <w:lang w:eastAsia="it-IT"/>
              </w:rPr>
              <w:t>Управління культури і туризму Жмеринської міської ТГ</w:t>
            </w:r>
          </w:p>
          <w:p w14:paraId="4D7AD6E1" w14:textId="77777777" w:rsidR="00EF4E67" w:rsidRPr="00C2587D" w:rsidRDefault="00EF4E67" w:rsidP="00EF4E67">
            <w:pPr>
              <w:jc w:val="both"/>
              <w:rPr>
                <w:rFonts w:cs="Arial"/>
                <w:color w:val="000000"/>
                <w:sz w:val="20"/>
                <w:szCs w:val="20"/>
                <w:lang w:eastAsia="it-IT"/>
              </w:rPr>
            </w:pPr>
          </w:p>
        </w:tc>
      </w:tr>
      <w:tr w:rsidR="00EF4E67" w:rsidRPr="00C2587D" w14:paraId="36C7F2D7" w14:textId="77777777" w:rsidTr="00EF4E67">
        <w:trPr>
          <w:jc w:val="right"/>
        </w:trPr>
        <w:tc>
          <w:tcPr>
            <w:tcW w:w="3423" w:type="dxa"/>
            <w:shd w:val="clear" w:color="auto" w:fill="FFFFFF"/>
            <w:vAlign w:val="center"/>
          </w:tcPr>
          <w:p w14:paraId="121548AF" w14:textId="77777777" w:rsidR="00EF4E67" w:rsidRPr="00C2587D" w:rsidRDefault="00EF4E67" w:rsidP="00EF4E67">
            <w:pPr>
              <w:rPr>
                <w:rFonts w:cs="Arial"/>
                <w:b/>
                <w:bCs/>
                <w:color w:val="000000"/>
              </w:rPr>
            </w:pPr>
            <w:r w:rsidRPr="00C2587D">
              <w:rPr>
                <w:rFonts w:cs="Arial"/>
                <w:b/>
                <w:bCs/>
                <w:color w:val="000000"/>
              </w:rPr>
              <w:t>Інше:</w:t>
            </w:r>
          </w:p>
        </w:tc>
        <w:tc>
          <w:tcPr>
            <w:tcW w:w="6796" w:type="dxa"/>
            <w:gridSpan w:val="5"/>
            <w:vAlign w:val="center"/>
          </w:tcPr>
          <w:p w14:paraId="55922708" w14:textId="77777777" w:rsidR="00EF4E67" w:rsidRPr="00C2587D" w:rsidRDefault="00EF4E67" w:rsidP="00EF4E67">
            <w:pPr>
              <w:rPr>
                <w:rFonts w:cs="Arial"/>
                <w:color w:val="000000"/>
                <w:sz w:val="20"/>
                <w:szCs w:val="20"/>
                <w:lang w:eastAsia="it-IT"/>
              </w:rPr>
            </w:pPr>
            <w:r w:rsidRPr="00C2587D">
              <w:rPr>
                <w:rFonts w:cs="Arial"/>
                <w:color w:val="000000"/>
                <w:sz w:val="20"/>
                <w:szCs w:val="20"/>
                <w:lang w:eastAsia="it-IT"/>
              </w:rPr>
              <w:t>Проєкт реалізовуватиметься спільно з КЗ «Центр культури і дозвілля» Жмеринської міської ТГ</w:t>
            </w:r>
          </w:p>
          <w:p w14:paraId="62F0465B" w14:textId="77777777" w:rsidR="00EF4E67" w:rsidRPr="00C2587D" w:rsidRDefault="00EF4E67" w:rsidP="00EF4E67">
            <w:pPr>
              <w:rPr>
                <w:rFonts w:cs="Arial"/>
                <w:color w:val="000000"/>
                <w:sz w:val="20"/>
                <w:szCs w:val="20"/>
                <w:lang w:eastAsia="it-IT"/>
              </w:rPr>
            </w:pPr>
          </w:p>
        </w:tc>
      </w:tr>
    </w:tbl>
    <w:p w14:paraId="2FBBFD85" w14:textId="77777777" w:rsidR="009F618C" w:rsidRPr="00C2587D" w:rsidRDefault="009F618C" w:rsidP="009F618C">
      <w:pPr>
        <w:rPr>
          <w:rFonts w:cs="Arial"/>
          <w:sz w:val="24"/>
        </w:rPr>
      </w:pPr>
    </w:p>
    <w:p w14:paraId="246DA338" w14:textId="77777777" w:rsidR="009F618C" w:rsidRPr="00C2587D" w:rsidRDefault="009F618C" w:rsidP="00196593">
      <w:pPr>
        <w:jc w:val="center"/>
        <w:rPr>
          <w:rFonts w:cs="Arial"/>
          <w:b/>
          <w:sz w:val="24"/>
          <w:u w:val="single"/>
        </w:rPr>
      </w:pPr>
    </w:p>
    <w:p w14:paraId="2889747E" w14:textId="77777777" w:rsidR="00EF4E67" w:rsidRDefault="005D39E8" w:rsidP="00077603">
      <w:pPr>
        <w:pStyle w:val="2"/>
      </w:pPr>
      <w:bookmarkStart w:id="41" w:name="_Toc1743586"/>
      <w:bookmarkStart w:id="42" w:name="_Hlk75338419"/>
      <w:bookmarkEnd w:id="6"/>
      <w:r w:rsidRPr="00C2587D">
        <w:tab/>
      </w:r>
    </w:p>
    <w:p w14:paraId="0608DB32" w14:textId="77777777" w:rsidR="00EF4E67" w:rsidRDefault="00EF4E67">
      <w:pPr>
        <w:rPr>
          <w:b/>
          <w:bCs/>
          <w:color w:val="455E63"/>
          <w:sz w:val="28"/>
          <w:szCs w:val="28"/>
          <w:lang w:eastAsia="en-US"/>
        </w:rPr>
      </w:pPr>
      <w:r>
        <w:br w:type="page"/>
      </w:r>
    </w:p>
    <w:p w14:paraId="3107A0CF" w14:textId="458090E2" w:rsidR="003356A1" w:rsidRPr="00C2587D" w:rsidRDefault="003E5778" w:rsidP="00077603">
      <w:pPr>
        <w:pStyle w:val="2"/>
      </w:pPr>
      <w:r>
        <w:t>Каталог технічних завдань проє</w:t>
      </w:r>
      <w:r w:rsidR="003356A1" w:rsidRPr="00C2587D">
        <w:t xml:space="preserve">ктів до Програми </w:t>
      </w:r>
      <w:bookmarkEnd w:id="41"/>
      <w:r w:rsidR="000C06C9" w:rsidRPr="00C2587D">
        <w:t>В. «Комфортна громада»</w:t>
      </w:r>
    </w:p>
    <w:p w14:paraId="0CB0FC45" w14:textId="77777777" w:rsidR="00F050BC" w:rsidRPr="00C2587D" w:rsidRDefault="00F050BC" w:rsidP="003356A1">
      <w:pPr>
        <w:rPr>
          <w:rFonts w:cs="Arial"/>
          <w:b/>
          <w:szCs w:val="22"/>
        </w:rPr>
      </w:pPr>
    </w:p>
    <w:bookmarkEnd w:id="42"/>
    <w:p w14:paraId="7CCA9916" w14:textId="6534CA7E" w:rsidR="003356A1" w:rsidRPr="00C2587D" w:rsidRDefault="003356A1" w:rsidP="003356A1">
      <w:pPr>
        <w:rPr>
          <w:rFonts w:cs="Arial"/>
          <w:b/>
          <w:szCs w:val="22"/>
        </w:rPr>
      </w:pPr>
      <w:r w:rsidRPr="00C2587D">
        <w:rPr>
          <w:rFonts w:cs="Arial"/>
          <w:b/>
          <w:szCs w:val="22"/>
        </w:rPr>
        <w:t>С</w:t>
      </w:r>
      <w:r w:rsidRPr="00C2587D">
        <w:rPr>
          <w:rFonts w:cs="Arial"/>
          <w:b/>
          <w:szCs w:val="22"/>
          <w:u w:val="single"/>
        </w:rPr>
        <w:t>тратегічна ціль</w:t>
      </w:r>
      <w:r w:rsidR="000C06C9" w:rsidRPr="00C2587D">
        <w:rPr>
          <w:rFonts w:cs="Arial"/>
          <w:b/>
          <w:szCs w:val="22"/>
          <w:u w:val="single"/>
        </w:rPr>
        <w:t xml:space="preserve"> В</w:t>
      </w:r>
      <w:r w:rsidRPr="00C2587D">
        <w:rPr>
          <w:rFonts w:cs="Arial"/>
          <w:b/>
          <w:szCs w:val="22"/>
          <w:u w:val="single"/>
        </w:rPr>
        <w:t xml:space="preserve">.1. </w:t>
      </w:r>
      <w:r w:rsidR="000C06C9" w:rsidRPr="00C2587D">
        <w:rPr>
          <w:rFonts w:cs="Arial"/>
          <w:b/>
          <w:szCs w:val="22"/>
          <w:u w:val="single"/>
        </w:rPr>
        <w:t>Покращення  технічної інфраструктури та благоустрою громади</w:t>
      </w:r>
    </w:p>
    <w:p w14:paraId="2A73FB94" w14:textId="77777777" w:rsidR="00CB33C7" w:rsidRPr="00C2587D" w:rsidRDefault="00CB33C7" w:rsidP="00CB33C7"/>
    <w:p w14:paraId="3E873136" w14:textId="77777777" w:rsidR="00CB33C7" w:rsidRPr="00C2587D" w:rsidRDefault="00CB33C7" w:rsidP="00CB33C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6377B34A" w14:textId="77777777" w:rsidR="00CB33C7" w:rsidRPr="00C2587D" w:rsidRDefault="00CB33C7" w:rsidP="00CB33C7">
      <w:pPr>
        <w:jc w:val="center"/>
        <w:rPr>
          <w:rFonts w:cs="Arial"/>
          <w:b/>
          <w:color w:val="000000"/>
          <w:szCs w:val="22"/>
        </w:rPr>
      </w:pPr>
      <w:r w:rsidRPr="00C2587D">
        <w:rPr>
          <w:rFonts w:cs="Arial"/>
          <w:b/>
          <w:color w:val="000000"/>
          <w:szCs w:val="22"/>
        </w:rPr>
        <w:t>до Плану заходів з реалізації Стратегії</w:t>
      </w:r>
    </w:p>
    <w:p w14:paraId="02261373" w14:textId="77777777" w:rsidR="00CB33C7" w:rsidRPr="00C2587D" w:rsidRDefault="00CB33C7" w:rsidP="00CB33C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0"/>
        <w:gridCol w:w="1253"/>
        <w:gridCol w:w="1278"/>
        <w:gridCol w:w="1415"/>
        <w:gridCol w:w="1279"/>
        <w:gridCol w:w="1574"/>
      </w:tblGrid>
      <w:tr w:rsidR="00CB33C7" w:rsidRPr="00EF4E67" w14:paraId="283A9C3B" w14:textId="77777777" w:rsidTr="00EF4E67">
        <w:trPr>
          <w:jc w:val="right"/>
        </w:trPr>
        <w:tc>
          <w:tcPr>
            <w:tcW w:w="3420" w:type="dxa"/>
            <w:vAlign w:val="center"/>
          </w:tcPr>
          <w:p w14:paraId="09C4D608" w14:textId="77777777" w:rsidR="00CB33C7" w:rsidRPr="00EF4E67" w:rsidRDefault="00CB33C7" w:rsidP="00EA6E27">
            <w:pPr>
              <w:rPr>
                <w:rFonts w:cs="Arial"/>
                <w:b/>
                <w:bCs/>
                <w:color w:val="000000"/>
                <w:szCs w:val="22"/>
              </w:rPr>
            </w:pPr>
            <w:r w:rsidRPr="00EF4E67">
              <w:rPr>
                <w:rFonts w:cs="Arial"/>
                <w:b/>
                <w:bCs/>
                <w:color w:val="000000"/>
                <w:szCs w:val="22"/>
              </w:rPr>
              <w:t>Назва проєкту:</w:t>
            </w:r>
          </w:p>
        </w:tc>
        <w:tc>
          <w:tcPr>
            <w:tcW w:w="6799" w:type="dxa"/>
            <w:gridSpan w:val="5"/>
          </w:tcPr>
          <w:p w14:paraId="5F53ADAD" w14:textId="77777777" w:rsidR="00CB33C7" w:rsidRPr="00EF4E67" w:rsidRDefault="00CB33C7" w:rsidP="00EA6E27">
            <w:pPr>
              <w:spacing w:before="40" w:after="40"/>
              <w:rPr>
                <w:rFonts w:cs="Arial"/>
                <w:b/>
                <w:lang w:eastAsia="it-IT"/>
              </w:rPr>
            </w:pPr>
            <w:r w:rsidRPr="00EF4E67">
              <w:rPr>
                <w:rFonts w:eastAsia="Arial" w:cs="Arial"/>
                <w:b/>
                <w:lang w:eastAsia="en-US"/>
              </w:rPr>
              <w:t>Реконструкція частини вулиці Коцюбинського (від вул. Свободи до вул. Глінки) в м. Жмеринка Вінницької області</w:t>
            </w:r>
          </w:p>
        </w:tc>
      </w:tr>
      <w:tr w:rsidR="00CB33C7" w:rsidRPr="00EF4E67" w14:paraId="597BF149" w14:textId="77777777" w:rsidTr="00EF4E67">
        <w:trPr>
          <w:jc w:val="right"/>
        </w:trPr>
        <w:tc>
          <w:tcPr>
            <w:tcW w:w="3420" w:type="dxa"/>
          </w:tcPr>
          <w:p w14:paraId="6B885E8B" w14:textId="77777777" w:rsidR="00CB33C7" w:rsidRPr="00EF4E67" w:rsidRDefault="00CB33C7" w:rsidP="00EA6E27">
            <w:pPr>
              <w:spacing w:before="40" w:after="40"/>
              <w:rPr>
                <w:rFonts w:cs="Arial"/>
                <w:sz w:val="20"/>
                <w:szCs w:val="22"/>
                <w:lang w:eastAsia="it-IT"/>
              </w:rPr>
            </w:pPr>
            <w:r w:rsidRPr="00EF4E67">
              <w:rPr>
                <w:rFonts w:cs="Arial"/>
                <w:b/>
                <w:bCs/>
                <w:szCs w:val="22"/>
              </w:rPr>
              <w:t>Ваші контакти</w:t>
            </w:r>
            <w:r w:rsidRPr="00EF4E67">
              <w:rPr>
                <w:rFonts w:cs="Arial"/>
                <w:sz w:val="20"/>
                <w:szCs w:val="22"/>
                <w:lang w:eastAsia="it-IT"/>
              </w:rPr>
              <w:t>:</w:t>
            </w:r>
          </w:p>
          <w:p w14:paraId="699FF5E7" w14:textId="77777777" w:rsidR="00CB33C7" w:rsidRPr="00EF4E67" w:rsidRDefault="00CB33C7" w:rsidP="00EA6E27">
            <w:pPr>
              <w:spacing w:before="40" w:after="40"/>
              <w:rPr>
                <w:rFonts w:cs="Arial"/>
                <w:b/>
                <w:bCs/>
                <w:szCs w:val="22"/>
              </w:rPr>
            </w:pPr>
            <w:r w:rsidRPr="00EF4E67">
              <w:rPr>
                <w:rFonts w:cs="Arial"/>
                <w:sz w:val="20"/>
                <w:szCs w:val="22"/>
                <w:lang w:eastAsia="it-IT"/>
              </w:rPr>
              <w:t>Назва установи, організації, підприємства</w:t>
            </w:r>
          </w:p>
        </w:tc>
        <w:tc>
          <w:tcPr>
            <w:tcW w:w="6799" w:type="dxa"/>
            <w:gridSpan w:val="5"/>
          </w:tcPr>
          <w:p w14:paraId="38A97F0D" w14:textId="77777777" w:rsidR="00CB33C7" w:rsidRPr="00EF4E67" w:rsidRDefault="00CB33C7" w:rsidP="00EA6E27">
            <w:pPr>
              <w:spacing w:before="40" w:after="40"/>
              <w:rPr>
                <w:rFonts w:cs="Arial"/>
                <w:lang w:eastAsia="it-IT"/>
              </w:rPr>
            </w:pPr>
            <w:r w:rsidRPr="00EF4E67">
              <w:rPr>
                <w:rFonts w:cs="Arial"/>
                <w:lang w:eastAsia="it-IT"/>
              </w:rPr>
              <w:t>Управління житлово-комунального господарства Жмеринської міської ради</w:t>
            </w:r>
          </w:p>
        </w:tc>
      </w:tr>
      <w:tr w:rsidR="00CB33C7" w:rsidRPr="00EF4E67" w14:paraId="684C9E14" w14:textId="77777777" w:rsidTr="00EF4E67">
        <w:trPr>
          <w:jc w:val="right"/>
        </w:trPr>
        <w:tc>
          <w:tcPr>
            <w:tcW w:w="3420" w:type="dxa"/>
          </w:tcPr>
          <w:p w14:paraId="02E45604" w14:textId="77777777" w:rsidR="00CB33C7" w:rsidRPr="00EF4E67" w:rsidRDefault="00CB33C7" w:rsidP="00EA6E27">
            <w:pPr>
              <w:spacing w:before="40" w:after="40"/>
              <w:rPr>
                <w:rFonts w:cs="Arial"/>
                <w:b/>
                <w:bCs/>
                <w:szCs w:val="22"/>
              </w:rPr>
            </w:pPr>
            <w:r w:rsidRPr="00EF4E67">
              <w:rPr>
                <w:rFonts w:cs="Arial"/>
                <w:sz w:val="20"/>
                <w:szCs w:val="22"/>
                <w:lang w:eastAsia="it-IT"/>
              </w:rPr>
              <w:t>Прізвище Ім’я По-батькові:</w:t>
            </w:r>
          </w:p>
        </w:tc>
        <w:tc>
          <w:tcPr>
            <w:tcW w:w="6799" w:type="dxa"/>
            <w:gridSpan w:val="5"/>
          </w:tcPr>
          <w:p w14:paraId="0CC4786D" w14:textId="77777777" w:rsidR="00CB33C7" w:rsidRPr="00EF4E67" w:rsidRDefault="00CB33C7" w:rsidP="00EA6E27">
            <w:pPr>
              <w:spacing w:before="40" w:after="40"/>
              <w:rPr>
                <w:rFonts w:cs="Arial"/>
                <w:lang w:eastAsia="it-IT"/>
              </w:rPr>
            </w:pPr>
            <w:r w:rsidRPr="00EF4E67">
              <w:rPr>
                <w:rFonts w:cs="Arial"/>
                <w:lang w:eastAsia="it-IT"/>
              </w:rPr>
              <w:t>Оленич Андрій Васильович</w:t>
            </w:r>
          </w:p>
        </w:tc>
      </w:tr>
      <w:tr w:rsidR="00CB33C7" w:rsidRPr="00EF4E67" w14:paraId="10E6CC1C" w14:textId="77777777" w:rsidTr="00EF4E67">
        <w:trPr>
          <w:jc w:val="right"/>
        </w:trPr>
        <w:tc>
          <w:tcPr>
            <w:tcW w:w="3420" w:type="dxa"/>
          </w:tcPr>
          <w:p w14:paraId="5E5943BD" w14:textId="77777777" w:rsidR="00CB33C7" w:rsidRPr="00EF4E67" w:rsidRDefault="00CB33C7" w:rsidP="00EA6E27">
            <w:pPr>
              <w:spacing w:before="40" w:after="40"/>
              <w:rPr>
                <w:rFonts w:cs="Arial"/>
                <w:b/>
                <w:bCs/>
                <w:szCs w:val="22"/>
              </w:rPr>
            </w:pPr>
            <w:r w:rsidRPr="00EF4E67">
              <w:rPr>
                <w:rFonts w:cs="Arial"/>
                <w:sz w:val="20"/>
                <w:szCs w:val="22"/>
                <w:lang w:eastAsia="it-IT"/>
              </w:rPr>
              <w:t>Телефон (мобільний):</w:t>
            </w:r>
          </w:p>
        </w:tc>
        <w:tc>
          <w:tcPr>
            <w:tcW w:w="6799" w:type="dxa"/>
            <w:gridSpan w:val="5"/>
          </w:tcPr>
          <w:p w14:paraId="21889C74" w14:textId="77777777" w:rsidR="00CB33C7" w:rsidRPr="00EF4E67" w:rsidRDefault="00CB33C7" w:rsidP="00EA6E27">
            <w:pPr>
              <w:spacing w:before="40" w:after="40"/>
              <w:rPr>
                <w:rFonts w:cs="Arial"/>
                <w:lang w:eastAsia="it-IT"/>
              </w:rPr>
            </w:pPr>
            <w:r w:rsidRPr="00EF4E67">
              <w:rPr>
                <w:rFonts w:cs="Arial"/>
                <w:lang w:eastAsia="it-IT"/>
              </w:rPr>
              <w:t>0972561907</w:t>
            </w:r>
          </w:p>
        </w:tc>
      </w:tr>
      <w:tr w:rsidR="00CB33C7" w:rsidRPr="00EF4E67" w14:paraId="3CE85013" w14:textId="77777777" w:rsidTr="00EF4E67">
        <w:trPr>
          <w:jc w:val="right"/>
        </w:trPr>
        <w:tc>
          <w:tcPr>
            <w:tcW w:w="3420" w:type="dxa"/>
          </w:tcPr>
          <w:p w14:paraId="013109F8" w14:textId="77777777" w:rsidR="00CB33C7" w:rsidRPr="00EF4E67" w:rsidRDefault="00CB33C7" w:rsidP="00EA6E27">
            <w:pPr>
              <w:spacing w:before="40" w:after="40"/>
              <w:rPr>
                <w:rFonts w:cs="Arial"/>
                <w:b/>
                <w:bCs/>
                <w:szCs w:val="22"/>
              </w:rPr>
            </w:pPr>
            <w:r w:rsidRPr="00EF4E67">
              <w:rPr>
                <w:rFonts w:cs="Arial"/>
                <w:sz w:val="20"/>
                <w:szCs w:val="22"/>
                <w:lang w:eastAsia="it-IT"/>
              </w:rPr>
              <w:t>Електронна адреса:</w:t>
            </w:r>
          </w:p>
        </w:tc>
        <w:tc>
          <w:tcPr>
            <w:tcW w:w="6799" w:type="dxa"/>
            <w:gridSpan w:val="5"/>
          </w:tcPr>
          <w:p w14:paraId="5158209F" w14:textId="77777777" w:rsidR="00CB33C7" w:rsidRPr="00EF4E67" w:rsidRDefault="00D85FFD" w:rsidP="00EA6E27">
            <w:pPr>
              <w:spacing w:before="40" w:after="40"/>
              <w:rPr>
                <w:rFonts w:cs="Arial"/>
                <w:sz w:val="20"/>
                <w:szCs w:val="20"/>
                <w:lang w:eastAsia="it-IT"/>
              </w:rPr>
            </w:pPr>
            <w:hyperlink r:id="rId47" w:history="1">
              <w:r w:rsidR="00CB33C7" w:rsidRPr="00EF4E67">
                <w:rPr>
                  <w:rStyle w:val="af0"/>
                  <w:rFonts w:cs="Arial"/>
                  <w:noProof w:val="0"/>
                  <w:lang w:eastAsia="it-IT"/>
                </w:rPr>
                <w:t>Aolenych03@ukr.net</w:t>
              </w:r>
            </w:hyperlink>
          </w:p>
        </w:tc>
      </w:tr>
      <w:tr w:rsidR="00CB33C7" w:rsidRPr="00EF4E67" w14:paraId="0630AF93" w14:textId="77777777" w:rsidTr="00EF4E67">
        <w:trPr>
          <w:jc w:val="right"/>
        </w:trPr>
        <w:tc>
          <w:tcPr>
            <w:tcW w:w="3420" w:type="dxa"/>
            <w:vAlign w:val="center"/>
          </w:tcPr>
          <w:p w14:paraId="3754C5D0" w14:textId="77777777" w:rsidR="00CB33C7" w:rsidRPr="00EF4E67" w:rsidRDefault="00CB33C7" w:rsidP="00EA6E27">
            <w:pPr>
              <w:pStyle w:val="6"/>
              <w:spacing w:before="0" w:after="0"/>
              <w:rPr>
                <w:rFonts w:ascii="Arial" w:hAnsi="Arial" w:cs="Arial"/>
                <w:color w:val="000000"/>
                <w:lang w:val="uk-UA"/>
              </w:rPr>
            </w:pPr>
            <w:r w:rsidRPr="00EF4E67">
              <w:rPr>
                <w:rFonts w:ascii="Arial" w:hAnsi="Arial" w:cs="Arial"/>
                <w:color w:val="000000"/>
                <w:lang w:val="uk-UA"/>
              </w:rPr>
              <w:t>Номер і назва завдання з Стратегії</w:t>
            </w:r>
            <w:r w:rsidRPr="00EF4E67">
              <w:rPr>
                <w:rFonts w:ascii="Arial" w:hAnsi="Arial" w:cs="Arial"/>
                <w:sz w:val="16"/>
                <w:szCs w:val="16"/>
                <w:lang w:val="uk-UA" w:eastAsia="it-IT"/>
              </w:rPr>
              <w:t xml:space="preserve"> </w:t>
            </w:r>
            <w:r w:rsidRPr="00EF4E67">
              <w:rPr>
                <w:rFonts w:ascii="Arial" w:hAnsi="Arial" w:cs="Arial"/>
                <w:color w:val="000000"/>
                <w:lang w:val="uk-UA"/>
              </w:rPr>
              <w:t>розвитку Жмеринської міської територіальної громади,  якому відповідає проєкт:</w:t>
            </w:r>
          </w:p>
        </w:tc>
        <w:tc>
          <w:tcPr>
            <w:tcW w:w="6799" w:type="dxa"/>
            <w:gridSpan w:val="5"/>
          </w:tcPr>
          <w:p w14:paraId="4A359F65" w14:textId="77777777" w:rsidR="00CB33C7" w:rsidRPr="00EF4E67" w:rsidRDefault="00CB33C7" w:rsidP="00EA6E27">
            <w:pPr>
              <w:pBdr>
                <w:left w:val="single" w:sz="18" w:space="4" w:color="auto"/>
              </w:pBdr>
              <w:spacing w:before="40" w:after="40"/>
              <w:rPr>
                <w:rFonts w:cs="Arial"/>
                <w:lang w:eastAsia="it-IT"/>
              </w:rPr>
            </w:pPr>
            <w:r w:rsidRPr="00EF4E67">
              <w:rPr>
                <w:rFonts w:eastAsia="Lucida Sans Unicode" w:cs="Arial"/>
                <w:kern w:val="1"/>
                <w:lang w:eastAsia="ar-SA"/>
              </w:rPr>
              <w:t>В.1.1.3. Проведення будівництва, реконструкції та капітального ремонту дорожнього покриття вулиць  та тротуарів в населених пунктах територіальної громади.</w:t>
            </w:r>
          </w:p>
        </w:tc>
      </w:tr>
      <w:tr w:rsidR="00CB33C7" w:rsidRPr="00EF4E67" w14:paraId="3C5D3335" w14:textId="77777777" w:rsidTr="00EF4E67">
        <w:trPr>
          <w:jc w:val="right"/>
        </w:trPr>
        <w:tc>
          <w:tcPr>
            <w:tcW w:w="3420" w:type="dxa"/>
            <w:vAlign w:val="center"/>
          </w:tcPr>
          <w:p w14:paraId="14CC51A1" w14:textId="77777777" w:rsidR="00CB33C7" w:rsidRPr="00EF4E67" w:rsidRDefault="00CB33C7" w:rsidP="00EA6E27">
            <w:pPr>
              <w:rPr>
                <w:rFonts w:cs="Arial"/>
                <w:b/>
                <w:bCs/>
                <w:color w:val="000000"/>
                <w:szCs w:val="22"/>
              </w:rPr>
            </w:pPr>
            <w:r w:rsidRPr="00EF4E67">
              <w:rPr>
                <w:rFonts w:cs="Arial"/>
                <w:b/>
                <w:bCs/>
                <w:color w:val="000000"/>
                <w:szCs w:val="22"/>
              </w:rPr>
              <w:t>Мета проєкту:</w:t>
            </w:r>
          </w:p>
        </w:tc>
        <w:tc>
          <w:tcPr>
            <w:tcW w:w="6799" w:type="dxa"/>
            <w:gridSpan w:val="5"/>
          </w:tcPr>
          <w:p w14:paraId="7D643BF1" w14:textId="77777777" w:rsidR="00CB33C7" w:rsidRPr="00EF4E67" w:rsidRDefault="00CB33C7" w:rsidP="00EA6E27">
            <w:pPr>
              <w:spacing w:before="40" w:after="40"/>
              <w:jc w:val="both"/>
              <w:rPr>
                <w:rFonts w:cs="Arial"/>
                <w:lang w:eastAsia="it-IT"/>
              </w:rPr>
            </w:pPr>
            <w:r w:rsidRPr="00EF4E67">
              <w:rPr>
                <w:rFonts w:cs="Arial"/>
                <w:lang w:eastAsia="it-IT"/>
              </w:rPr>
              <w:t>Забезпечення  населення громади м. Жмеринка якісною інфраструктурою, а саме дорогами з рівним покриттям.</w:t>
            </w:r>
          </w:p>
          <w:p w14:paraId="095C7E12" w14:textId="77777777" w:rsidR="00CB33C7" w:rsidRPr="00EF4E67" w:rsidRDefault="00CB33C7" w:rsidP="00EF4E67">
            <w:pPr>
              <w:spacing w:before="40" w:after="40"/>
              <w:jc w:val="both"/>
              <w:rPr>
                <w:rFonts w:cs="Arial"/>
                <w:sz w:val="16"/>
                <w:szCs w:val="16"/>
                <w:lang w:eastAsia="it-IT"/>
              </w:rPr>
            </w:pPr>
            <w:r w:rsidRPr="00EF4E67">
              <w:rPr>
                <w:rFonts w:cs="Arial"/>
                <w:lang w:eastAsia="it-IT"/>
              </w:rPr>
              <w:t>Мешканці громади отримують більш комфортні   та безпечні умови проживання та перебування в населеному пункті.</w:t>
            </w:r>
          </w:p>
        </w:tc>
      </w:tr>
      <w:tr w:rsidR="00CB33C7" w:rsidRPr="00EF4E67" w14:paraId="024C4B26" w14:textId="77777777" w:rsidTr="00EF4E67">
        <w:trPr>
          <w:jc w:val="right"/>
        </w:trPr>
        <w:tc>
          <w:tcPr>
            <w:tcW w:w="3420" w:type="dxa"/>
            <w:vAlign w:val="center"/>
          </w:tcPr>
          <w:p w14:paraId="5E825AB5" w14:textId="77777777" w:rsidR="00CB33C7" w:rsidRPr="00EF4E67" w:rsidRDefault="00CB33C7" w:rsidP="00EA6E27">
            <w:pPr>
              <w:rPr>
                <w:rFonts w:cs="Arial"/>
                <w:b/>
                <w:bCs/>
                <w:color w:val="000000"/>
                <w:szCs w:val="22"/>
              </w:rPr>
            </w:pPr>
            <w:r w:rsidRPr="00EF4E67">
              <w:rPr>
                <w:rFonts w:cs="Arial"/>
                <w:b/>
                <w:bCs/>
                <w:color w:val="000000"/>
                <w:szCs w:val="22"/>
              </w:rPr>
              <w:t>Цілі проєкту:</w:t>
            </w:r>
          </w:p>
        </w:tc>
        <w:tc>
          <w:tcPr>
            <w:tcW w:w="6799" w:type="dxa"/>
            <w:gridSpan w:val="5"/>
            <w:vAlign w:val="center"/>
          </w:tcPr>
          <w:p w14:paraId="49DEC585" w14:textId="77777777" w:rsidR="00CB33C7" w:rsidRPr="00EF4E67" w:rsidRDefault="00CB33C7" w:rsidP="00EA6E27">
            <w:pPr>
              <w:spacing w:before="40" w:after="40"/>
              <w:jc w:val="both"/>
              <w:rPr>
                <w:rFonts w:cs="Arial"/>
                <w:lang w:eastAsia="it-IT"/>
              </w:rPr>
            </w:pPr>
            <w:r w:rsidRPr="00EF4E67">
              <w:rPr>
                <w:rFonts w:cs="Arial"/>
                <w:lang w:eastAsia="it-IT"/>
              </w:rPr>
              <w:t>Покращити інфраструктуру   дорожнього покриття   по м. Жмеринка.</w:t>
            </w:r>
          </w:p>
        </w:tc>
      </w:tr>
      <w:tr w:rsidR="00CB33C7" w:rsidRPr="00EF4E67" w14:paraId="7A8BBA77" w14:textId="77777777" w:rsidTr="00EF4E67">
        <w:trPr>
          <w:jc w:val="right"/>
        </w:trPr>
        <w:tc>
          <w:tcPr>
            <w:tcW w:w="3420" w:type="dxa"/>
            <w:vAlign w:val="center"/>
          </w:tcPr>
          <w:p w14:paraId="43EB9D63" w14:textId="77777777" w:rsidR="00CB33C7" w:rsidRPr="00EF4E67" w:rsidRDefault="00CB33C7" w:rsidP="00EA6E27">
            <w:pPr>
              <w:autoSpaceDE w:val="0"/>
              <w:autoSpaceDN w:val="0"/>
              <w:adjustRightInd w:val="0"/>
              <w:rPr>
                <w:rFonts w:cs="Arial"/>
                <w:b/>
                <w:color w:val="000000"/>
                <w:szCs w:val="22"/>
              </w:rPr>
            </w:pPr>
            <w:r w:rsidRPr="00EF4E67">
              <w:rPr>
                <w:rFonts w:cs="Arial"/>
                <w:b/>
                <w:color w:val="000000"/>
                <w:szCs w:val="22"/>
              </w:rPr>
              <w:t>Територія на яку проєкт матиме вплив:</w:t>
            </w:r>
          </w:p>
        </w:tc>
        <w:tc>
          <w:tcPr>
            <w:tcW w:w="6799" w:type="dxa"/>
            <w:gridSpan w:val="5"/>
          </w:tcPr>
          <w:p w14:paraId="4101BBBB" w14:textId="77777777" w:rsidR="00CB33C7" w:rsidRPr="00EF4E67" w:rsidRDefault="00CB33C7" w:rsidP="00EA6E27">
            <w:pPr>
              <w:spacing w:before="40" w:after="40"/>
              <w:rPr>
                <w:rFonts w:cs="Arial"/>
                <w:lang w:eastAsia="it-IT"/>
              </w:rPr>
            </w:pPr>
            <w:r w:rsidRPr="00EF4E67">
              <w:rPr>
                <w:rFonts w:cs="Arial"/>
                <w:lang w:eastAsia="it-IT"/>
              </w:rPr>
              <w:t xml:space="preserve">Територія м Жмеринка </w:t>
            </w:r>
          </w:p>
        </w:tc>
      </w:tr>
      <w:tr w:rsidR="00CB33C7" w:rsidRPr="00EF4E67" w14:paraId="2BDEEE64" w14:textId="77777777" w:rsidTr="00EF4E67">
        <w:trPr>
          <w:jc w:val="right"/>
        </w:trPr>
        <w:tc>
          <w:tcPr>
            <w:tcW w:w="3420" w:type="dxa"/>
            <w:vAlign w:val="center"/>
          </w:tcPr>
          <w:p w14:paraId="5D7D56A6" w14:textId="77777777" w:rsidR="00CB33C7" w:rsidRPr="00EF4E67" w:rsidRDefault="00CB33C7" w:rsidP="00EA6E27">
            <w:pPr>
              <w:autoSpaceDE w:val="0"/>
              <w:autoSpaceDN w:val="0"/>
              <w:adjustRightInd w:val="0"/>
              <w:rPr>
                <w:rFonts w:cs="Arial"/>
                <w:b/>
                <w:color w:val="000000"/>
                <w:szCs w:val="22"/>
              </w:rPr>
            </w:pPr>
            <w:r w:rsidRPr="00EF4E67">
              <w:rPr>
                <w:rFonts w:cs="Arial"/>
                <w:b/>
                <w:color w:val="000000"/>
                <w:szCs w:val="22"/>
              </w:rPr>
              <w:t>Цільові групи проєкту та кількість отримувачів вигоди</w:t>
            </w:r>
          </w:p>
        </w:tc>
        <w:tc>
          <w:tcPr>
            <w:tcW w:w="6799" w:type="dxa"/>
            <w:gridSpan w:val="5"/>
          </w:tcPr>
          <w:p w14:paraId="2C71FC0B" w14:textId="77777777" w:rsidR="00CB33C7" w:rsidRPr="00EF4E67" w:rsidRDefault="00CB33C7" w:rsidP="00EA6E27">
            <w:pPr>
              <w:spacing w:before="40" w:after="40"/>
              <w:rPr>
                <w:rFonts w:cs="Arial"/>
                <w:lang w:eastAsia="it-IT"/>
              </w:rPr>
            </w:pPr>
            <w:r w:rsidRPr="00EF4E67">
              <w:rPr>
                <w:rFonts w:cs="Arial"/>
                <w:lang w:eastAsia="it-IT"/>
              </w:rPr>
              <w:t>Жителі м. Жмеринка в кількості 34353 містян</w:t>
            </w:r>
          </w:p>
        </w:tc>
      </w:tr>
      <w:tr w:rsidR="00CB33C7" w:rsidRPr="00EF4E67" w14:paraId="698C1384" w14:textId="77777777" w:rsidTr="00EF4E67">
        <w:trPr>
          <w:jc w:val="right"/>
        </w:trPr>
        <w:tc>
          <w:tcPr>
            <w:tcW w:w="3420" w:type="dxa"/>
            <w:shd w:val="clear" w:color="auto" w:fill="FFFFFF"/>
            <w:vAlign w:val="center"/>
          </w:tcPr>
          <w:p w14:paraId="226C353E" w14:textId="77777777" w:rsidR="00CB33C7" w:rsidRPr="00EF4E67" w:rsidRDefault="00CB33C7" w:rsidP="00EA6E27">
            <w:pPr>
              <w:rPr>
                <w:rFonts w:cs="Arial"/>
                <w:b/>
                <w:bCs/>
                <w:color w:val="000000"/>
                <w:szCs w:val="22"/>
              </w:rPr>
            </w:pPr>
            <w:r w:rsidRPr="00EF4E67">
              <w:rPr>
                <w:rFonts w:cs="Arial"/>
                <w:b/>
                <w:bCs/>
                <w:color w:val="000000"/>
                <w:szCs w:val="22"/>
              </w:rPr>
              <w:t>Стислий опис проєкту:</w:t>
            </w:r>
          </w:p>
        </w:tc>
        <w:tc>
          <w:tcPr>
            <w:tcW w:w="6799" w:type="dxa"/>
            <w:gridSpan w:val="5"/>
          </w:tcPr>
          <w:p w14:paraId="2C4346DE" w14:textId="77777777" w:rsidR="00CB33C7" w:rsidRPr="00EF4E67" w:rsidRDefault="00CB33C7" w:rsidP="00EF4E67">
            <w:pPr>
              <w:pStyle w:val="ad"/>
              <w:shd w:val="clear" w:color="auto" w:fill="FFFFFF"/>
              <w:spacing w:before="0" w:beforeAutospacing="0" w:after="0" w:afterAutospacing="0"/>
              <w:ind w:firstLine="44"/>
              <w:jc w:val="both"/>
              <w:rPr>
                <w:rFonts w:cs="Arial"/>
                <w:szCs w:val="22"/>
              </w:rPr>
            </w:pPr>
            <w:r w:rsidRPr="00EF4E67">
              <w:rPr>
                <w:rFonts w:cs="Arial"/>
                <w:szCs w:val="22"/>
              </w:rPr>
              <w:t>Якість доріг забезпечує роботу всіх галузей промисловості, соціальний розвиток суспільства. Забезпечує доступ у різні місця населеного пункту, а також безпечне та надійне переміщення людей і транспортування товарів і має надзвичайно важливе значення.</w:t>
            </w:r>
          </w:p>
          <w:p w14:paraId="2C028718" w14:textId="77777777" w:rsidR="00CB33C7" w:rsidRPr="00EF4E67" w:rsidRDefault="00CB33C7" w:rsidP="00EF4E67">
            <w:pPr>
              <w:pStyle w:val="ad"/>
              <w:shd w:val="clear" w:color="auto" w:fill="FFFFFF"/>
              <w:spacing w:before="0" w:beforeAutospacing="0" w:after="0" w:afterAutospacing="0"/>
              <w:ind w:firstLine="44"/>
              <w:jc w:val="both"/>
              <w:rPr>
                <w:rFonts w:cs="Arial"/>
                <w:szCs w:val="22"/>
              </w:rPr>
            </w:pPr>
            <w:r w:rsidRPr="00EF4E67">
              <w:rPr>
                <w:rFonts w:cs="Arial"/>
                <w:szCs w:val="22"/>
              </w:rPr>
              <w:t>Від стану автомобільних доріг залежать витрати на перевезення вантажів та пасажирів, рівень цін, певною мірою зайнятість населення.</w:t>
            </w:r>
          </w:p>
          <w:p w14:paraId="78057264" w14:textId="4E6CDE17" w:rsidR="00CB33C7" w:rsidRPr="00EF4E67" w:rsidRDefault="00CB33C7" w:rsidP="00EF4E67">
            <w:pPr>
              <w:pStyle w:val="ad"/>
              <w:shd w:val="clear" w:color="auto" w:fill="FFFFFF"/>
              <w:spacing w:before="0" w:beforeAutospacing="0" w:after="0" w:afterAutospacing="0"/>
              <w:ind w:firstLine="44"/>
              <w:jc w:val="both"/>
              <w:rPr>
                <w:rFonts w:cs="Arial"/>
                <w:szCs w:val="22"/>
                <w:shd w:val="clear" w:color="auto" w:fill="FFFFFF"/>
              </w:rPr>
            </w:pPr>
            <w:r w:rsidRPr="00EF4E67">
              <w:rPr>
                <w:rFonts w:cs="Arial"/>
                <w:szCs w:val="22"/>
                <w:shd w:val="clear" w:color="auto" w:fill="FFFFFF"/>
              </w:rPr>
              <w:t>Перш за все викликають занепокоєння ті ділянки доріг, по яких проходять автобусні сполучення, підвезення дітей до навчальних закладів, надання невідкладної медичної допомоги.</w:t>
            </w:r>
          </w:p>
          <w:p w14:paraId="04025BE5" w14:textId="77777777" w:rsidR="00CB33C7" w:rsidRPr="00EF4E67" w:rsidRDefault="00CB33C7" w:rsidP="00EF4E67">
            <w:pPr>
              <w:ind w:firstLine="44"/>
              <w:rPr>
                <w:rFonts w:cs="Arial"/>
                <w:szCs w:val="22"/>
                <w:lang w:eastAsia="it-IT"/>
              </w:rPr>
            </w:pPr>
            <w:r w:rsidRPr="00EF4E67">
              <w:rPr>
                <w:rFonts w:cs="Arial"/>
                <w:szCs w:val="22"/>
                <w:shd w:val="clear" w:color="auto" w:fill="FFFFFF"/>
              </w:rPr>
              <w:t xml:space="preserve">З метою безперебійного перевезення людей, необхідно провести </w:t>
            </w:r>
            <w:r w:rsidRPr="00EF4E67">
              <w:rPr>
                <w:rFonts w:eastAsia="Arial" w:cs="Arial"/>
                <w:szCs w:val="22"/>
                <w:lang w:eastAsia="en-US"/>
              </w:rPr>
              <w:t>реконструкцію частини вулиці Коцюбинського</w:t>
            </w:r>
            <w:r w:rsidRPr="00EF4E67">
              <w:rPr>
                <w:rFonts w:cs="Arial"/>
                <w:szCs w:val="22"/>
                <w:shd w:val="clear" w:color="auto" w:fill="FFFFFF"/>
              </w:rPr>
              <w:t>.</w:t>
            </w:r>
          </w:p>
        </w:tc>
      </w:tr>
      <w:tr w:rsidR="00CB33C7" w:rsidRPr="00EF4E67" w14:paraId="5A749F5F" w14:textId="77777777" w:rsidTr="00EF4E67">
        <w:trPr>
          <w:jc w:val="right"/>
        </w:trPr>
        <w:tc>
          <w:tcPr>
            <w:tcW w:w="3420" w:type="dxa"/>
            <w:shd w:val="clear" w:color="auto" w:fill="FFFFFF"/>
            <w:vAlign w:val="center"/>
          </w:tcPr>
          <w:p w14:paraId="3DD5990D" w14:textId="77777777" w:rsidR="00CB33C7" w:rsidRPr="00EF4E67" w:rsidRDefault="00CB33C7" w:rsidP="00EA6E27">
            <w:pPr>
              <w:rPr>
                <w:rFonts w:cs="Arial"/>
                <w:b/>
                <w:bCs/>
                <w:color w:val="000000"/>
                <w:szCs w:val="22"/>
              </w:rPr>
            </w:pPr>
            <w:r w:rsidRPr="00EF4E67">
              <w:rPr>
                <w:rFonts w:cs="Arial"/>
                <w:b/>
                <w:bCs/>
                <w:color w:val="000000"/>
                <w:szCs w:val="22"/>
              </w:rPr>
              <w:t>Основні заходи проєкту:</w:t>
            </w:r>
          </w:p>
        </w:tc>
        <w:tc>
          <w:tcPr>
            <w:tcW w:w="6799" w:type="dxa"/>
            <w:gridSpan w:val="5"/>
          </w:tcPr>
          <w:p w14:paraId="465D695B" w14:textId="55BA040D" w:rsidR="00CB33C7" w:rsidRPr="00EF4E67" w:rsidRDefault="00CB33C7" w:rsidP="00EA6E27">
            <w:pPr>
              <w:spacing w:before="40" w:after="40"/>
              <w:jc w:val="both"/>
              <w:rPr>
                <w:rFonts w:cs="Arial"/>
                <w:lang w:eastAsia="it-IT"/>
              </w:rPr>
            </w:pPr>
            <w:r w:rsidRPr="00EF4E67">
              <w:rPr>
                <w:rFonts w:cs="Arial"/>
                <w:lang w:eastAsia="it-IT"/>
              </w:rPr>
              <w:t>Створення робочо</w:t>
            </w:r>
            <w:r w:rsidR="003E5778">
              <w:rPr>
                <w:rFonts w:cs="Arial"/>
                <w:lang w:eastAsia="it-IT"/>
              </w:rPr>
              <w:t>ї групи з питань реалізації проє</w:t>
            </w:r>
            <w:r w:rsidRPr="00EF4E67">
              <w:rPr>
                <w:rFonts w:cs="Arial"/>
                <w:lang w:eastAsia="it-IT"/>
              </w:rPr>
              <w:t xml:space="preserve">кту. </w:t>
            </w:r>
          </w:p>
          <w:p w14:paraId="089F958A" w14:textId="77777777" w:rsidR="00CB33C7" w:rsidRPr="00EF4E67" w:rsidRDefault="00CB33C7" w:rsidP="00EA6E27">
            <w:pPr>
              <w:spacing w:before="40" w:after="40"/>
              <w:jc w:val="both"/>
              <w:rPr>
                <w:rFonts w:cs="Arial"/>
                <w:lang w:eastAsia="it-IT"/>
              </w:rPr>
            </w:pPr>
            <w:r w:rsidRPr="00EF4E67">
              <w:rPr>
                <w:rFonts w:cs="Arial"/>
                <w:lang w:eastAsia="it-IT"/>
              </w:rPr>
              <w:t>Проведення процедури закупівель (визначення виконавця робіт).</w:t>
            </w:r>
          </w:p>
          <w:p w14:paraId="6D387B90" w14:textId="77777777" w:rsidR="00CB33C7" w:rsidRPr="00EF4E67" w:rsidRDefault="00CB33C7" w:rsidP="00EA6E27">
            <w:pPr>
              <w:spacing w:before="40" w:after="40"/>
              <w:jc w:val="both"/>
              <w:rPr>
                <w:rFonts w:cs="Arial"/>
                <w:lang w:eastAsia="it-IT"/>
              </w:rPr>
            </w:pPr>
            <w:r w:rsidRPr="00EF4E67">
              <w:rPr>
                <w:rFonts w:cs="Arial"/>
                <w:lang w:eastAsia="it-IT"/>
              </w:rPr>
              <w:t>Укладення договорів з виконавцем робіт, організаціями, що здійснюватимуть  технічний та авторський  нагляд .</w:t>
            </w:r>
          </w:p>
          <w:p w14:paraId="2AE93881" w14:textId="77777777" w:rsidR="00CB33C7" w:rsidRPr="00EF4E67" w:rsidRDefault="00CB33C7" w:rsidP="00EA6E27">
            <w:pPr>
              <w:spacing w:before="40" w:after="40"/>
              <w:jc w:val="both"/>
              <w:rPr>
                <w:rFonts w:cs="Arial"/>
                <w:b/>
                <w:lang w:eastAsia="it-IT"/>
              </w:rPr>
            </w:pPr>
            <w:r w:rsidRPr="00EF4E67">
              <w:rPr>
                <w:rFonts w:cs="Arial"/>
                <w:lang w:eastAsia="it-IT"/>
              </w:rPr>
              <w:t xml:space="preserve">Виконання робіт з </w:t>
            </w:r>
            <w:r w:rsidRPr="00EF4E67">
              <w:rPr>
                <w:rFonts w:eastAsia="Arial" w:cs="Arial"/>
                <w:lang w:eastAsia="en-US"/>
              </w:rPr>
              <w:t>реконструкції частини вулиці Коцюбинського (від. вул. Свободи до вул. Глінки)</w:t>
            </w:r>
            <w:r w:rsidRPr="00EF4E67">
              <w:rPr>
                <w:rFonts w:cs="Arial"/>
                <w:lang w:eastAsia="it-IT"/>
              </w:rPr>
              <w:t xml:space="preserve"> в м. Жмеринка</w:t>
            </w:r>
            <w:r w:rsidRPr="00EF4E67">
              <w:rPr>
                <w:rFonts w:cs="Arial"/>
                <w:b/>
                <w:lang w:eastAsia="it-IT"/>
              </w:rPr>
              <w:t xml:space="preserve"> </w:t>
            </w:r>
          </w:p>
          <w:p w14:paraId="502963A3" w14:textId="77777777" w:rsidR="00CB33C7" w:rsidRPr="00EF4E67" w:rsidRDefault="00CB33C7" w:rsidP="00EA6E27">
            <w:pPr>
              <w:spacing w:before="40" w:after="40"/>
              <w:jc w:val="both"/>
              <w:rPr>
                <w:rFonts w:cs="Arial"/>
                <w:lang w:eastAsia="it-IT"/>
              </w:rPr>
            </w:pPr>
            <w:r w:rsidRPr="00EF4E67">
              <w:rPr>
                <w:rFonts w:cs="Arial"/>
                <w:lang w:eastAsia="it-IT"/>
              </w:rPr>
              <w:t>Введення  об’єкту в експлуатацію .</w:t>
            </w:r>
          </w:p>
          <w:p w14:paraId="5EE03596" w14:textId="42B19BA3" w:rsidR="00CB33C7" w:rsidRPr="00EF4E67" w:rsidRDefault="00CB33C7" w:rsidP="003E5778">
            <w:pPr>
              <w:spacing w:before="40" w:after="40"/>
              <w:rPr>
                <w:rFonts w:cs="Arial"/>
                <w:sz w:val="16"/>
                <w:szCs w:val="16"/>
                <w:lang w:eastAsia="it-IT"/>
              </w:rPr>
            </w:pPr>
            <w:r w:rsidRPr="00EF4E67">
              <w:rPr>
                <w:rFonts w:cs="Arial"/>
                <w:lang w:eastAsia="it-IT"/>
              </w:rPr>
              <w:t>Проведення інформаційних заходів (розміщення  інформації  про реалізацію  про</w:t>
            </w:r>
            <w:r w:rsidR="003E5778">
              <w:rPr>
                <w:rFonts w:cs="Arial"/>
                <w:lang w:eastAsia="it-IT"/>
              </w:rPr>
              <w:t>є</w:t>
            </w:r>
            <w:r w:rsidRPr="00EF4E67">
              <w:rPr>
                <w:rFonts w:cs="Arial"/>
                <w:lang w:eastAsia="it-IT"/>
              </w:rPr>
              <w:t>кту у ЗМІ) .</w:t>
            </w:r>
          </w:p>
        </w:tc>
      </w:tr>
      <w:tr w:rsidR="00CB33C7" w:rsidRPr="00EF4E67" w14:paraId="7A1F896E" w14:textId="77777777" w:rsidTr="00EF4E67">
        <w:trPr>
          <w:jc w:val="right"/>
        </w:trPr>
        <w:tc>
          <w:tcPr>
            <w:tcW w:w="3420" w:type="dxa"/>
            <w:shd w:val="clear" w:color="auto" w:fill="FFFFFF"/>
            <w:vAlign w:val="center"/>
          </w:tcPr>
          <w:p w14:paraId="4712DE39" w14:textId="77777777" w:rsidR="00CB33C7" w:rsidRPr="00EF4E67" w:rsidRDefault="00CB33C7" w:rsidP="00EA6E27">
            <w:pPr>
              <w:rPr>
                <w:rFonts w:cs="Arial"/>
                <w:b/>
                <w:bCs/>
                <w:color w:val="000000"/>
                <w:szCs w:val="22"/>
              </w:rPr>
            </w:pPr>
            <w:r w:rsidRPr="00EF4E67">
              <w:rPr>
                <w:rFonts w:cs="Arial"/>
                <w:b/>
                <w:bCs/>
                <w:color w:val="000000"/>
                <w:szCs w:val="22"/>
              </w:rPr>
              <w:t>Індикатори (показники) результативності:</w:t>
            </w:r>
          </w:p>
        </w:tc>
        <w:tc>
          <w:tcPr>
            <w:tcW w:w="6799" w:type="dxa"/>
            <w:gridSpan w:val="5"/>
          </w:tcPr>
          <w:p w14:paraId="39E3FAF6" w14:textId="77777777" w:rsidR="00CB33C7" w:rsidRPr="00EF4E67" w:rsidRDefault="00CB33C7" w:rsidP="00EA6E27">
            <w:pPr>
              <w:spacing w:before="40" w:after="40"/>
              <w:rPr>
                <w:rFonts w:cs="Arial"/>
                <w:sz w:val="16"/>
                <w:szCs w:val="16"/>
                <w:lang w:eastAsia="it-IT"/>
              </w:rPr>
            </w:pPr>
            <w:r w:rsidRPr="00EF4E67">
              <w:rPr>
                <w:rFonts w:eastAsia="Arial" w:cs="Arial"/>
                <w:lang w:eastAsia="en-US"/>
              </w:rPr>
              <w:t xml:space="preserve">Довжина відремонтованого покриття проїзної  ділянки: 105 м. Площа ремонтованого покриття проїзної ділянки: 163,4 </w:t>
            </w:r>
            <w:r w:rsidRPr="00EF4E67">
              <w:rPr>
                <w:rFonts w:cs="Arial"/>
                <w:color w:val="000000"/>
              </w:rPr>
              <w:t>м</w:t>
            </w:r>
            <w:r w:rsidRPr="00EF4E67">
              <w:rPr>
                <w:rFonts w:cs="Arial"/>
                <w:color w:val="000000"/>
                <w:vertAlign w:val="superscript"/>
              </w:rPr>
              <w:t>2</w:t>
            </w:r>
          </w:p>
        </w:tc>
      </w:tr>
      <w:tr w:rsidR="00CB33C7" w:rsidRPr="00EF4E67" w14:paraId="7893221C" w14:textId="77777777" w:rsidTr="00EF4E67">
        <w:trPr>
          <w:jc w:val="right"/>
        </w:trPr>
        <w:tc>
          <w:tcPr>
            <w:tcW w:w="3420" w:type="dxa"/>
            <w:shd w:val="clear" w:color="auto" w:fill="FFFFFF"/>
            <w:vAlign w:val="center"/>
          </w:tcPr>
          <w:p w14:paraId="26E8278A" w14:textId="77777777" w:rsidR="00CB33C7" w:rsidRPr="00EF4E67" w:rsidRDefault="00CB33C7" w:rsidP="00EA6E27">
            <w:pPr>
              <w:rPr>
                <w:rFonts w:cs="Arial"/>
                <w:b/>
                <w:color w:val="000000"/>
                <w:szCs w:val="22"/>
              </w:rPr>
            </w:pPr>
            <w:r w:rsidRPr="00EF4E67">
              <w:rPr>
                <w:rFonts w:cs="Arial"/>
                <w:b/>
                <w:color w:val="000000"/>
                <w:szCs w:val="22"/>
              </w:rPr>
              <w:t xml:space="preserve">Період здійснення: </w:t>
            </w:r>
          </w:p>
        </w:tc>
        <w:tc>
          <w:tcPr>
            <w:tcW w:w="6799" w:type="dxa"/>
            <w:gridSpan w:val="5"/>
            <w:vAlign w:val="center"/>
          </w:tcPr>
          <w:p w14:paraId="3341A63C" w14:textId="77777777" w:rsidR="00CB33C7" w:rsidRPr="00EF4E67" w:rsidRDefault="00CB33C7" w:rsidP="00EA6E27">
            <w:pPr>
              <w:rPr>
                <w:rFonts w:cs="Arial"/>
                <w:color w:val="000000"/>
                <w:szCs w:val="22"/>
                <w:lang w:eastAsia="it-IT"/>
              </w:rPr>
            </w:pPr>
            <w:r w:rsidRPr="00EF4E67">
              <w:rPr>
                <w:rFonts w:cs="Arial"/>
                <w:b/>
                <w:color w:val="000000"/>
                <w:szCs w:val="22"/>
              </w:rPr>
              <w:t>2025 – 2028 роки:</w:t>
            </w:r>
          </w:p>
        </w:tc>
      </w:tr>
      <w:tr w:rsidR="00CB33C7" w:rsidRPr="00EF4E67" w14:paraId="13A5144D" w14:textId="77777777" w:rsidTr="00EF4E67">
        <w:trPr>
          <w:jc w:val="right"/>
        </w:trPr>
        <w:tc>
          <w:tcPr>
            <w:tcW w:w="3420" w:type="dxa"/>
            <w:shd w:val="clear" w:color="auto" w:fill="FFFFFF"/>
            <w:vAlign w:val="center"/>
          </w:tcPr>
          <w:p w14:paraId="3F9095F7" w14:textId="26C5B689" w:rsidR="00CB33C7" w:rsidRPr="00EF4E67" w:rsidRDefault="00CB33C7" w:rsidP="00EA6E27">
            <w:pPr>
              <w:rPr>
                <w:rFonts w:cs="Arial"/>
                <w:b/>
                <w:bCs/>
                <w:color w:val="000000"/>
                <w:szCs w:val="22"/>
              </w:rPr>
            </w:pPr>
            <w:r w:rsidRPr="00EF4E67">
              <w:rPr>
                <w:rFonts w:cs="Arial"/>
                <w:b/>
                <w:bCs/>
                <w:color w:val="000000"/>
                <w:szCs w:val="22"/>
              </w:rPr>
              <w:t xml:space="preserve">Орієнтовна вартість проєкту, </w:t>
            </w:r>
          </w:p>
        </w:tc>
        <w:tc>
          <w:tcPr>
            <w:tcW w:w="1253" w:type="dxa"/>
            <w:shd w:val="clear" w:color="auto" w:fill="E6E6E6"/>
            <w:vAlign w:val="center"/>
          </w:tcPr>
          <w:p w14:paraId="28D60012" w14:textId="77777777" w:rsidR="00CB33C7" w:rsidRPr="00EF4E67" w:rsidRDefault="00CB33C7" w:rsidP="00EA6E27">
            <w:pPr>
              <w:jc w:val="center"/>
              <w:rPr>
                <w:rFonts w:cs="Arial"/>
                <w:b/>
                <w:color w:val="000000"/>
                <w:szCs w:val="22"/>
                <w:lang w:eastAsia="it-IT"/>
              </w:rPr>
            </w:pPr>
            <w:r w:rsidRPr="00EF4E67">
              <w:rPr>
                <w:rFonts w:cs="Arial"/>
                <w:b/>
                <w:color w:val="000000"/>
                <w:szCs w:val="22"/>
                <w:lang w:eastAsia="it-IT"/>
              </w:rPr>
              <w:t>2025</w:t>
            </w:r>
          </w:p>
        </w:tc>
        <w:tc>
          <w:tcPr>
            <w:tcW w:w="1278" w:type="dxa"/>
            <w:shd w:val="clear" w:color="auto" w:fill="E6E6E6"/>
            <w:vAlign w:val="center"/>
          </w:tcPr>
          <w:p w14:paraId="34CD7620" w14:textId="77777777" w:rsidR="00CB33C7" w:rsidRPr="00EF4E67" w:rsidRDefault="00CB33C7" w:rsidP="00EA6E27">
            <w:pPr>
              <w:jc w:val="center"/>
              <w:rPr>
                <w:rFonts w:cs="Arial"/>
                <w:b/>
                <w:color w:val="000000"/>
                <w:szCs w:val="22"/>
                <w:lang w:eastAsia="it-IT"/>
              </w:rPr>
            </w:pPr>
            <w:r w:rsidRPr="00EF4E67">
              <w:rPr>
                <w:rFonts w:cs="Arial"/>
                <w:b/>
                <w:color w:val="000000"/>
                <w:szCs w:val="22"/>
                <w:lang w:eastAsia="it-IT"/>
              </w:rPr>
              <w:t>2026</w:t>
            </w:r>
          </w:p>
        </w:tc>
        <w:tc>
          <w:tcPr>
            <w:tcW w:w="1415" w:type="dxa"/>
            <w:tcBorders>
              <w:bottom w:val="single" w:sz="4" w:space="0" w:color="auto"/>
            </w:tcBorders>
            <w:shd w:val="clear" w:color="auto" w:fill="E6E6E6"/>
            <w:vAlign w:val="center"/>
          </w:tcPr>
          <w:p w14:paraId="49397D52" w14:textId="77777777" w:rsidR="00CB33C7" w:rsidRPr="00EF4E67" w:rsidRDefault="00CB33C7" w:rsidP="00EA6E27">
            <w:pPr>
              <w:jc w:val="center"/>
              <w:rPr>
                <w:rFonts w:cs="Arial"/>
                <w:b/>
                <w:color w:val="000000"/>
                <w:szCs w:val="22"/>
                <w:lang w:eastAsia="it-IT"/>
              </w:rPr>
            </w:pPr>
            <w:r w:rsidRPr="00EF4E67">
              <w:rPr>
                <w:rFonts w:cs="Arial"/>
                <w:b/>
                <w:color w:val="000000"/>
                <w:szCs w:val="22"/>
                <w:lang w:eastAsia="it-IT"/>
              </w:rPr>
              <w:t>2027</w:t>
            </w:r>
          </w:p>
        </w:tc>
        <w:tc>
          <w:tcPr>
            <w:tcW w:w="1279" w:type="dxa"/>
            <w:shd w:val="clear" w:color="auto" w:fill="E6E6E6"/>
            <w:vAlign w:val="center"/>
          </w:tcPr>
          <w:p w14:paraId="3D898882" w14:textId="77777777" w:rsidR="00CB33C7" w:rsidRPr="00EF4E67" w:rsidRDefault="00CB33C7" w:rsidP="00EA6E27">
            <w:pPr>
              <w:jc w:val="center"/>
              <w:rPr>
                <w:rFonts w:cs="Arial"/>
                <w:b/>
                <w:color w:val="000000"/>
                <w:szCs w:val="22"/>
                <w:lang w:eastAsia="it-IT"/>
              </w:rPr>
            </w:pPr>
            <w:r w:rsidRPr="00EF4E67">
              <w:rPr>
                <w:rFonts w:cs="Arial"/>
                <w:b/>
                <w:color w:val="000000"/>
                <w:szCs w:val="22"/>
                <w:lang w:eastAsia="it-IT"/>
              </w:rPr>
              <w:t>2028</w:t>
            </w:r>
          </w:p>
        </w:tc>
        <w:tc>
          <w:tcPr>
            <w:tcW w:w="1574" w:type="dxa"/>
            <w:shd w:val="clear" w:color="auto" w:fill="E6E6E6"/>
            <w:vAlign w:val="center"/>
          </w:tcPr>
          <w:p w14:paraId="6046B545" w14:textId="77777777" w:rsidR="00CB33C7" w:rsidRPr="00EF4E67" w:rsidRDefault="00CB33C7" w:rsidP="00EA6E27">
            <w:pPr>
              <w:jc w:val="center"/>
              <w:rPr>
                <w:rFonts w:cs="Arial"/>
                <w:b/>
                <w:color w:val="000000"/>
                <w:szCs w:val="22"/>
                <w:lang w:eastAsia="it-IT"/>
              </w:rPr>
            </w:pPr>
            <w:r w:rsidRPr="00EF4E67">
              <w:rPr>
                <w:rFonts w:cs="Arial"/>
                <w:b/>
                <w:color w:val="000000"/>
                <w:szCs w:val="22"/>
                <w:lang w:eastAsia="it-IT"/>
              </w:rPr>
              <w:t>РАЗОМ</w:t>
            </w:r>
          </w:p>
        </w:tc>
      </w:tr>
      <w:tr w:rsidR="00CB33C7" w:rsidRPr="00EF4E67" w14:paraId="0E39A925" w14:textId="77777777" w:rsidTr="00EF4E67">
        <w:trPr>
          <w:jc w:val="right"/>
        </w:trPr>
        <w:tc>
          <w:tcPr>
            <w:tcW w:w="3420" w:type="dxa"/>
            <w:shd w:val="clear" w:color="auto" w:fill="FFFFFF"/>
            <w:vAlign w:val="center"/>
          </w:tcPr>
          <w:p w14:paraId="3F088798" w14:textId="491787E8" w:rsidR="00CB33C7" w:rsidRPr="00EF4E67" w:rsidRDefault="00EF4E67" w:rsidP="00EA6E27">
            <w:pPr>
              <w:rPr>
                <w:rFonts w:cs="Arial"/>
                <w:b/>
                <w:bCs/>
                <w:color w:val="000000"/>
                <w:szCs w:val="22"/>
              </w:rPr>
            </w:pPr>
            <w:r w:rsidRPr="00EF4E67">
              <w:rPr>
                <w:rFonts w:cs="Arial"/>
                <w:b/>
                <w:bCs/>
                <w:color w:val="000000"/>
                <w:szCs w:val="22"/>
              </w:rPr>
              <w:t>тис. грн., в тому числі:</w:t>
            </w:r>
          </w:p>
        </w:tc>
        <w:tc>
          <w:tcPr>
            <w:tcW w:w="1253" w:type="dxa"/>
            <w:vAlign w:val="center"/>
          </w:tcPr>
          <w:p w14:paraId="45469FD8" w14:textId="77777777" w:rsidR="00CB33C7" w:rsidRPr="00EF4E67" w:rsidRDefault="00CB33C7" w:rsidP="00EF4E67">
            <w:pPr>
              <w:jc w:val="center"/>
              <w:rPr>
                <w:rFonts w:cs="Arial"/>
                <w:color w:val="000000"/>
                <w:szCs w:val="22"/>
                <w:lang w:eastAsia="it-IT"/>
              </w:rPr>
            </w:pPr>
          </w:p>
        </w:tc>
        <w:tc>
          <w:tcPr>
            <w:tcW w:w="1278" w:type="dxa"/>
            <w:shd w:val="clear" w:color="auto" w:fill="FFFFFF"/>
            <w:vAlign w:val="center"/>
          </w:tcPr>
          <w:p w14:paraId="416F0234" w14:textId="77777777" w:rsidR="00CB33C7" w:rsidRPr="00EF4E67" w:rsidRDefault="00CB33C7" w:rsidP="00EF4E67">
            <w:pPr>
              <w:jc w:val="center"/>
              <w:rPr>
                <w:rFonts w:cs="Arial"/>
                <w:color w:val="000000"/>
                <w:szCs w:val="22"/>
                <w:lang w:eastAsia="it-IT"/>
              </w:rPr>
            </w:pPr>
            <w:r w:rsidRPr="00EF4E67">
              <w:rPr>
                <w:rFonts w:cs="Arial"/>
                <w:color w:val="000000"/>
                <w:szCs w:val="22"/>
                <w:lang w:eastAsia="it-IT"/>
              </w:rPr>
              <w:t>5337,773</w:t>
            </w:r>
          </w:p>
        </w:tc>
        <w:tc>
          <w:tcPr>
            <w:tcW w:w="1415" w:type="dxa"/>
            <w:shd w:val="clear" w:color="auto" w:fill="auto"/>
            <w:vAlign w:val="center"/>
          </w:tcPr>
          <w:p w14:paraId="5AB44B79" w14:textId="77777777" w:rsidR="00CB33C7" w:rsidRPr="00EF4E67" w:rsidRDefault="00CB33C7" w:rsidP="00EF4E67">
            <w:pPr>
              <w:jc w:val="center"/>
              <w:rPr>
                <w:rFonts w:cs="Arial"/>
                <w:color w:val="000000"/>
                <w:szCs w:val="22"/>
                <w:lang w:eastAsia="it-IT"/>
              </w:rPr>
            </w:pPr>
          </w:p>
        </w:tc>
        <w:tc>
          <w:tcPr>
            <w:tcW w:w="1279" w:type="dxa"/>
            <w:shd w:val="clear" w:color="auto" w:fill="FFFFFF"/>
            <w:vAlign w:val="center"/>
          </w:tcPr>
          <w:p w14:paraId="51C03ED7" w14:textId="77777777" w:rsidR="00CB33C7" w:rsidRPr="00EF4E67" w:rsidRDefault="00CB33C7" w:rsidP="00EF4E67">
            <w:pPr>
              <w:jc w:val="center"/>
              <w:rPr>
                <w:rFonts w:cs="Arial"/>
                <w:color w:val="000000"/>
                <w:szCs w:val="22"/>
                <w:lang w:eastAsia="it-IT"/>
              </w:rPr>
            </w:pPr>
          </w:p>
        </w:tc>
        <w:tc>
          <w:tcPr>
            <w:tcW w:w="1574" w:type="dxa"/>
            <w:shd w:val="clear" w:color="auto" w:fill="FFFFFF"/>
            <w:vAlign w:val="center"/>
          </w:tcPr>
          <w:p w14:paraId="5737AECC" w14:textId="77777777" w:rsidR="00CB33C7" w:rsidRPr="00EF4E67" w:rsidRDefault="00CB33C7" w:rsidP="00EF4E67">
            <w:pPr>
              <w:jc w:val="center"/>
              <w:rPr>
                <w:rFonts w:cs="Arial"/>
                <w:b/>
                <w:color w:val="000000"/>
                <w:szCs w:val="22"/>
                <w:lang w:eastAsia="it-IT"/>
              </w:rPr>
            </w:pPr>
            <w:r w:rsidRPr="00EF4E67">
              <w:rPr>
                <w:rFonts w:cs="Arial"/>
                <w:b/>
                <w:color w:val="000000"/>
                <w:szCs w:val="22"/>
                <w:lang w:eastAsia="it-IT"/>
              </w:rPr>
              <w:t>5337,773</w:t>
            </w:r>
          </w:p>
        </w:tc>
      </w:tr>
      <w:tr w:rsidR="00EF4E67" w:rsidRPr="00EF4E67" w14:paraId="3FBA50D0" w14:textId="5504A941" w:rsidTr="00EF4E67">
        <w:trPr>
          <w:trHeight w:val="276"/>
          <w:jc w:val="right"/>
        </w:trPr>
        <w:tc>
          <w:tcPr>
            <w:tcW w:w="3420" w:type="dxa"/>
            <w:shd w:val="clear" w:color="auto" w:fill="FFFFFF"/>
            <w:vAlign w:val="center"/>
          </w:tcPr>
          <w:p w14:paraId="551AAC88" w14:textId="77777777" w:rsidR="00EF4E67" w:rsidRPr="00EF4E67" w:rsidRDefault="00EF4E67" w:rsidP="00EA6E27">
            <w:pPr>
              <w:rPr>
                <w:rFonts w:cs="Arial"/>
                <w:b/>
                <w:bCs/>
                <w:color w:val="000000"/>
                <w:szCs w:val="22"/>
              </w:rPr>
            </w:pPr>
            <w:r w:rsidRPr="00EF4E67">
              <w:rPr>
                <w:rFonts w:cs="Arial"/>
                <w:b/>
                <w:bCs/>
                <w:color w:val="000000"/>
                <w:szCs w:val="22"/>
              </w:rPr>
              <w:t>по джерелах фінансування:</w:t>
            </w:r>
          </w:p>
        </w:tc>
        <w:tc>
          <w:tcPr>
            <w:tcW w:w="1253" w:type="dxa"/>
            <w:vAlign w:val="center"/>
          </w:tcPr>
          <w:p w14:paraId="7B59D12B" w14:textId="77777777" w:rsidR="00EF4E67" w:rsidRPr="00EF4E67" w:rsidRDefault="00EF4E67" w:rsidP="00EF4E67">
            <w:pPr>
              <w:jc w:val="center"/>
              <w:rPr>
                <w:rFonts w:cs="Arial"/>
                <w:color w:val="000000"/>
                <w:szCs w:val="22"/>
                <w:lang w:eastAsia="it-IT"/>
              </w:rPr>
            </w:pPr>
          </w:p>
        </w:tc>
        <w:tc>
          <w:tcPr>
            <w:tcW w:w="1278" w:type="dxa"/>
            <w:vAlign w:val="center"/>
          </w:tcPr>
          <w:p w14:paraId="5F4ABAA1" w14:textId="77777777" w:rsidR="00EF4E67" w:rsidRPr="00EF4E67" w:rsidRDefault="00EF4E67" w:rsidP="00EF4E67">
            <w:pPr>
              <w:jc w:val="center"/>
              <w:rPr>
                <w:rFonts w:cs="Arial"/>
                <w:color w:val="000000"/>
                <w:szCs w:val="22"/>
                <w:lang w:eastAsia="it-IT"/>
              </w:rPr>
            </w:pPr>
          </w:p>
        </w:tc>
        <w:tc>
          <w:tcPr>
            <w:tcW w:w="1415" w:type="dxa"/>
            <w:vAlign w:val="center"/>
          </w:tcPr>
          <w:p w14:paraId="24D3A3A0" w14:textId="77777777" w:rsidR="00EF4E67" w:rsidRPr="00EF4E67" w:rsidRDefault="00EF4E67" w:rsidP="00EF4E67">
            <w:pPr>
              <w:jc w:val="center"/>
              <w:rPr>
                <w:rFonts w:cs="Arial"/>
                <w:color w:val="000000"/>
                <w:szCs w:val="22"/>
                <w:lang w:eastAsia="it-IT"/>
              </w:rPr>
            </w:pPr>
          </w:p>
        </w:tc>
        <w:tc>
          <w:tcPr>
            <w:tcW w:w="1279" w:type="dxa"/>
            <w:vAlign w:val="center"/>
          </w:tcPr>
          <w:p w14:paraId="3E2B019E" w14:textId="77777777" w:rsidR="00EF4E67" w:rsidRPr="00EF4E67" w:rsidRDefault="00EF4E67" w:rsidP="00EF4E67">
            <w:pPr>
              <w:jc w:val="center"/>
              <w:rPr>
                <w:rFonts w:cs="Arial"/>
                <w:color w:val="000000"/>
                <w:szCs w:val="22"/>
                <w:lang w:eastAsia="it-IT"/>
              </w:rPr>
            </w:pPr>
          </w:p>
        </w:tc>
        <w:tc>
          <w:tcPr>
            <w:tcW w:w="1574" w:type="dxa"/>
            <w:vAlign w:val="center"/>
          </w:tcPr>
          <w:p w14:paraId="2EDDF94F" w14:textId="77777777" w:rsidR="00EF4E67" w:rsidRPr="00EF4E67" w:rsidRDefault="00EF4E67" w:rsidP="00EF4E67">
            <w:pPr>
              <w:jc w:val="center"/>
              <w:rPr>
                <w:rFonts w:cs="Arial"/>
                <w:color w:val="000000"/>
                <w:szCs w:val="22"/>
                <w:lang w:eastAsia="it-IT"/>
              </w:rPr>
            </w:pPr>
          </w:p>
        </w:tc>
      </w:tr>
      <w:tr w:rsidR="00EF4E67" w:rsidRPr="00EF4E67" w14:paraId="521057CE" w14:textId="1BE62DD4" w:rsidTr="00EF4E67">
        <w:trPr>
          <w:trHeight w:val="240"/>
          <w:jc w:val="right"/>
        </w:trPr>
        <w:tc>
          <w:tcPr>
            <w:tcW w:w="3420" w:type="dxa"/>
            <w:shd w:val="clear" w:color="auto" w:fill="FFFFFF"/>
            <w:vAlign w:val="center"/>
          </w:tcPr>
          <w:p w14:paraId="69BB0E82" w14:textId="77777777" w:rsidR="00EF4E67" w:rsidRPr="00EF4E67" w:rsidRDefault="00EF4E67" w:rsidP="00EA6E27">
            <w:pPr>
              <w:rPr>
                <w:rFonts w:cs="Arial"/>
                <w:b/>
                <w:bCs/>
                <w:color w:val="000000"/>
                <w:szCs w:val="22"/>
              </w:rPr>
            </w:pPr>
            <w:r w:rsidRPr="00EF4E67">
              <w:rPr>
                <w:rFonts w:cs="Arial"/>
                <w:color w:val="000000"/>
                <w:szCs w:val="22"/>
              </w:rPr>
              <w:t>- державний бюджет</w:t>
            </w:r>
          </w:p>
        </w:tc>
        <w:tc>
          <w:tcPr>
            <w:tcW w:w="1253" w:type="dxa"/>
            <w:vAlign w:val="center"/>
          </w:tcPr>
          <w:p w14:paraId="48286DFD" w14:textId="77777777" w:rsidR="00EF4E67" w:rsidRPr="00EF4E67" w:rsidRDefault="00EF4E67" w:rsidP="00EF4E67">
            <w:pPr>
              <w:jc w:val="center"/>
              <w:rPr>
                <w:rFonts w:cs="Arial"/>
                <w:color w:val="000000"/>
                <w:szCs w:val="22"/>
                <w:lang w:eastAsia="it-IT"/>
              </w:rPr>
            </w:pPr>
          </w:p>
        </w:tc>
        <w:tc>
          <w:tcPr>
            <w:tcW w:w="1278" w:type="dxa"/>
            <w:vAlign w:val="center"/>
          </w:tcPr>
          <w:p w14:paraId="687B4441" w14:textId="77777777" w:rsidR="00EF4E67" w:rsidRPr="00EF4E67" w:rsidRDefault="00EF4E67" w:rsidP="00EF4E67">
            <w:pPr>
              <w:jc w:val="center"/>
              <w:rPr>
                <w:rFonts w:cs="Arial"/>
                <w:color w:val="000000"/>
                <w:szCs w:val="22"/>
                <w:lang w:eastAsia="it-IT"/>
              </w:rPr>
            </w:pPr>
          </w:p>
        </w:tc>
        <w:tc>
          <w:tcPr>
            <w:tcW w:w="1415" w:type="dxa"/>
            <w:vAlign w:val="center"/>
          </w:tcPr>
          <w:p w14:paraId="4C83EAC8" w14:textId="77777777" w:rsidR="00EF4E67" w:rsidRPr="00EF4E67" w:rsidRDefault="00EF4E67" w:rsidP="00EF4E67">
            <w:pPr>
              <w:jc w:val="center"/>
              <w:rPr>
                <w:rFonts w:cs="Arial"/>
                <w:color w:val="000000"/>
                <w:szCs w:val="22"/>
                <w:lang w:eastAsia="it-IT"/>
              </w:rPr>
            </w:pPr>
          </w:p>
        </w:tc>
        <w:tc>
          <w:tcPr>
            <w:tcW w:w="1279" w:type="dxa"/>
            <w:vAlign w:val="center"/>
          </w:tcPr>
          <w:p w14:paraId="3C4712D9" w14:textId="77777777" w:rsidR="00EF4E67" w:rsidRPr="00EF4E67" w:rsidRDefault="00EF4E67" w:rsidP="00EF4E67">
            <w:pPr>
              <w:jc w:val="center"/>
              <w:rPr>
                <w:rFonts w:cs="Arial"/>
                <w:color w:val="000000"/>
                <w:szCs w:val="22"/>
                <w:lang w:eastAsia="it-IT"/>
              </w:rPr>
            </w:pPr>
          </w:p>
        </w:tc>
        <w:tc>
          <w:tcPr>
            <w:tcW w:w="1574" w:type="dxa"/>
            <w:vAlign w:val="center"/>
          </w:tcPr>
          <w:p w14:paraId="6878D8E8" w14:textId="77777777" w:rsidR="00EF4E67" w:rsidRPr="00EF4E67" w:rsidRDefault="00EF4E67" w:rsidP="00EF4E67">
            <w:pPr>
              <w:jc w:val="center"/>
              <w:rPr>
                <w:rFonts w:cs="Arial"/>
                <w:color w:val="000000"/>
                <w:szCs w:val="22"/>
                <w:lang w:eastAsia="it-IT"/>
              </w:rPr>
            </w:pPr>
          </w:p>
        </w:tc>
      </w:tr>
      <w:tr w:rsidR="00EF4E67" w:rsidRPr="00EF4E67" w14:paraId="51885DF8" w14:textId="36282F58" w:rsidTr="00EF4E67">
        <w:trPr>
          <w:trHeight w:val="254"/>
          <w:jc w:val="right"/>
        </w:trPr>
        <w:tc>
          <w:tcPr>
            <w:tcW w:w="3420" w:type="dxa"/>
            <w:shd w:val="clear" w:color="auto" w:fill="FFFFFF"/>
            <w:vAlign w:val="center"/>
          </w:tcPr>
          <w:p w14:paraId="58054BF5" w14:textId="77777777" w:rsidR="00EF4E67" w:rsidRPr="00EF4E67" w:rsidRDefault="00EF4E67" w:rsidP="00EA6E27">
            <w:pPr>
              <w:rPr>
                <w:rFonts w:cs="Arial"/>
                <w:color w:val="000000"/>
                <w:szCs w:val="22"/>
              </w:rPr>
            </w:pPr>
            <w:r w:rsidRPr="00EF4E67">
              <w:rPr>
                <w:rFonts w:cs="Arial"/>
                <w:color w:val="000000"/>
                <w:szCs w:val="22"/>
              </w:rPr>
              <w:t>- обласний бюджет</w:t>
            </w:r>
          </w:p>
        </w:tc>
        <w:tc>
          <w:tcPr>
            <w:tcW w:w="1253" w:type="dxa"/>
            <w:vAlign w:val="center"/>
          </w:tcPr>
          <w:p w14:paraId="5E3FD2D7" w14:textId="77777777" w:rsidR="00EF4E67" w:rsidRPr="00EF4E67" w:rsidRDefault="00EF4E67" w:rsidP="00EF4E67">
            <w:pPr>
              <w:jc w:val="center"/>
              <w:rPr>
                <w:rFonts w:cs="Arial"/>
                <w:color w:val="000000"/>
                <w:szCs w:val="22"/>
                <w:lang w:eastAsia="it-IT"/>
              </w:rPr>
            </w:pPr>
          </w:p>
        </w:tc>
        <w:tc>
          <w:tcPr>
            <w:tcW w:w="1278" w:type="dxa"/>
            <w:vAlign w:val="center"/>
          </w:tcPr>
          <w:p w14:paraId="220C818A" w14:textId="77777777" w:rsidR="00EF4E67" w:rsidRPr="00EF4E67" w:rsidRDefault="00EF4E67" w:rsidP="00EF4E67">
            <w:pPr>
              <w:jc w:val="center"/>
              <w:rPr>
                <w:rFonts w:cs="Arial"/>
                <w:color w:val="000000"/>
                <w:szCs w:val="22"/>
                <w:lang w:eastAsia="it-IT"/>
              </w:rPr>
            </w:pPr>
          </w:p>
        </w:tc>
        <w:tc>
          <w:tcPr>
            <w:tcW w:w="1415" w:type="dxa"/>
            <w:vAlign w:val="center"/>
          </w:tcPr>
          <w:p w14:paraId="04C5E83D" w14:textId="77777777" w:rsidR="00EF4E67" w:rsidRPr="00EF4E67" w:rsidRDefault="00EF4E67" w:rsidP="00EF4E67">
            <w:pPr>
              <w:jc w:val="center"/>
              <w:rPr>
                <w:rFonts w:cs="Arial"/>
                <w:color w:val="000000"/>
                <w:szCs w:val="22"/>
                <w:lang w:eastAsia="it-IT"/>
              </w:rPr>
            </w:pPr>
          </w:p>
        </w:tc>
        <w:tc>
          <w:tcPr>
            <w:tcW w:w="1279" w:type="dxa"/>
            <w:vAlign w:val="center"/>
          </w:tcPr>
          <w:p w14:paraId="7DA0C249" w14:textId="77777777" w:rsidR="00EF4E67" w:rsidRPr="00EF4E67" w:rsidRDefault="00EF4E67" w:rsidP="00EF4E67">
            <w:pPr>
              <w:jc w:val="center"/>
              <w:rPr>
                <w:rFonts w:cs="Arial"/>
                <w:color w:val="000000"/>
                <w:szCs w:val="22"/>
                <w:lang w:eastAsia="it-IT"/>
              </w:rPr>
            </w:pPr>
          </w:p>
        </w:tc>
        <w:tc>
          <w:tcPr>
            <w:tcW w:w="1574" w:type="dxa"/>
            <w:vAlign w:val="center"/>
          </w:tcPr>
          <w:p w14:paraId="3EAD134B" w14:textId="77777777" w:rsidR="00EF4E67" w:rsidRPr="00EF4E67" w:rsidRDefault="00EF4E67" w:rsidP="00EF4E67">
            <w:pPr>
              <w:jc w:val="center"/>
              <w:rPr>
                <w:rFonts w:cs="Arial"/>
                <w:color w:val="000000"/>
                <w:szCs w:val="22"/>
                <w:lang w:eastAsia="it-IT"/>
              </w:rPr>
            </w:pPr>
          </w:p>
        </w:tc>
      </w:tr>
      <w:tr w:rsidR="00EF4E67" w:rsidRPr="00EF4E67" w14:paraId="6F2E8CCD" w14:textId="5AD79E35" w:rsidTr="00EF4E67">
        <w:trPr>
          <w:trHeight w:val="275"/>
          <w:jc w:val="right"/>
        </w:trPr>
        <w:tc>
          <w:tcPr>
            <w:tcW w:w="3420" w:type="dxa"/>
            <w:shd w:val="clear" w:color="auto" w:fill="FFFFFF"/>
            <w:vAlign w:val="center"/>
          </w:tcPr>
          <w:p w14:paraId="7789C117" w14:textId="77777777" w:rsidR="00EF4E67" w:rsidRPr="00EF4E67" w:rsidRDefault="00EF4E67" w:rsidP="00EF4E67">
            <w:pPr>
              <w:rPr>
                <w:rFonts w:cs="Arial"/>
                <w:color w:val="000000"/>
                <w:szCs w:val="22"/>
              </w:rPr>
            </w:pPr>
            <w:r w:rsidRPr="00EF4E67">
              <w:rPr>
                <w:rFonts w:cs="Arial"/>
                <w:color w:val="000000"/>
                <w:szCs w:val="22"/>
              </w:rPr>
              <w:t>- бюджет Жмеринської МТГ</w:t>
            </w:r>
          </w:p>
        </w:tc>
        <w:tc>
          <w:tcPr>
            <w:tcW w:w="1253" w:type="dxa"/>
            <w:vAlign w:val="center"/>
          </w:tcPr>
          <w:p w14:paraId="7AC192ED" w14:textId="56273218" w:rsidR="00EF4E67" w:rsidRPr="00EF4E67" w:rsidRDefault="00EF4E67" w:rsidP="00EF4E67">
            <w:pPr>
              <w:jc w:val="center"/>
              <w:rPr>
                <w:rFonts w:cs="Arial"/>
                <w:color w:val="000000"/>
                <w:szCs w:val="22"/>
                <w:lang w:eastAsia="it-IT"/>
              </w:rPr>
            </w:pPr>
          </w:p>
        </w:tc>
        <w:tc>
          <w:tcPr>
            <w:tcW w:w="1278" w:type="dxa"/>
            <w:vAlign w:val="center"/>
          </w:tcPr>
          <w:p w14:paraId="45F0F604" w14:textId="3F9224BC" w:rsidR="00EF4E67" w:rsidRPr="00EF4E67" w:rsidRDefault="00EF4E67" w:rsidP="00EF4E67">
            <w:pPr>
              <w:jc w:val="center"/>
              <w:rPr>
                <w:rFonts w:cs="Arial"/>
                <w:color w:val="000000"/>
                <w:szCs w:val="22"/>
                <w:lang w:eastAsia="it-IT"/>
              </w:rPr>
            </w:pPr>
            <w:r w:rsidRPr="00EF4E67">
              <w:rPr>
                <w:rFonts w:cs="Arial"/>
                <w:color w:val="000000"/>
                <w:szCs w:val="22"/>
                <w:lang w:eastAsia="it-IT"/>
              </w:rPr>
              <w:t>5337,773</w:t>
            </w:r>
          </w:p>
        </w:tc>
        <w:tc>
          <w:tcPr>
            <w:tcW w:w="1415" w:type="dxa"/>
            <w:vAlign w:val="center"/>
          </w:tcPr>
          <w:p w14:paraId="58153E07" w14:textId="77777777" w:rsidR="00EF4E67" w:rsidRPr="00EF4E67" w:rsidRDefault="00EF4E67" w:rsidP="00EF4E67">
            <w:pPr>
              <w:jc w:val="center"/>
              <w:rPr>
                <w:rFonts w:cs="Arial"/>
                <w:color w:val="000000"/>
                <w:szCs w:val="22"/>
                <w:lang w:eastAsia="it-IT"/>
              </w:rPr>
            </w:pPr>
          </w:p>
        </w:tc>
        <w:tc>
          <w:tcPr>
            <w:tcW w:w="1279" w:type="dxa"/>
            <w:vAlign w:val="center"/>
          </w:tcPr>
          <w:p w14:paraId="02CD759F" w14:textId="77777777" w:rsidR="00EF4E67" w:rsidRPr="00EF4E67" w:rsidRDefault="00EF4E67" w:rsidP="00EF4E67">
            <w:pPr>
              <w:jc w:val="center"/>
              <w:rPr>
                <w:rFonts w:cs="Arial"/>
                <w:color w:val="000000"/>
                <w:szCs w:val="22"/>
                <w:lang w:eastAsia="it-IT"/>
              </w:rPr>
            </w:pPr>
          </w:p>
        </w:tc>
        <w:tc>
          <w:tcPr>
            <w:tcW w:w="1574" w:type="dxa"/>
            <w:vAlign w:val="center"/>
          </w:tcPr>
          <w:p w14:paraId="1CDD463A" w14:textId="649819FC" w:rsidR="00EF4E67" w:rsidRPr="00EF4E67" w:rsidRDefault="00EF4E67" w:rsidP="00EF4E67">
            <w:pPr>
              <w:jc w:val="center"/>
              <w:rPr>
                <w:rFonts w:cs="Arial"/>
                <w:color w:val="000000"/>
                <w:szCs w:val="22"/>
                <w:lang w:eastAsia="it-IT"/>
              </w:rPr>
            </w:pPr>
            <w:r w:rsidRPr="00EF4E67">
              <w:rPr>
                <w:rFonts w:cs="Arial"/>
                <w:b/>
                <w:color w:val="000000"/>
                <w:szCs w:val="22"/>
                <w:lang w:eastAsia="it-IT"/>
              </w:rPr>
              <w:t>5337,773</w:t>
            </w:r>
          </w:p>
        </w:tc>
      </w:tr>
      <w:tr w:rsidR="00EF4E67" w:rsidRPr="00EF4E67" w14:paraId="730C30CF" w14:textId="13D57B0E" w:rsidTr="00EF4E67">
        <w:trPr>
          <w:trHeight w:val="226"/>
          <w:jc w:val="right"/>
        </w:trPr>
        <w:tc>
          <w:tcPr>
            <w:tcW w:w="3420" w:type="dxa"/>
            <w:shd w:val="clear" w:color="auto" w:fill="FFFFFF"/>
            <w:vAlign w:val="center"/>
          </w:tcPr>
          <w:p w14:paraId="67DC744E" w14:textId="77777777" w:rsidR="00EF4E67" w:rsidRPr="00EF4E67" w:rsidRDefault="00EF4E67" w:rsidP="00EF4E67">
            <w:pPr>
              <w:rPr>
                <w:rFonts w:cs="Arial"/>
                <w:color w:val="000000"/>
                <w:szCs w:val="22"/>
              </w:rPr>
            </w:pPr>
            <w:r w:rsidRPr="00EF4E67">
              <w:rPr>
                <w:rFonts w:cs="Arial"/>
                <w:color w:val="000000"/>
                <w:szCs w:val="22"/>
              </w:rPr>
              <w:t>- інші джерела фінансування</w:t>
            </w:r>
          </w:p>
        </w:tc>
        <w:tc>
          <w:tcPr>
            <w:tcW w:w="1253" w:type="dxa"/>
            <w:vAlign w:val="center"/>
          </w:tcPr>
          <w:p w14:paraId="0F66BA77" w14:textId="77777777" w:rsidR="00EF4E67" w:rsidRPr="00EF4E67" w:rsidRDefault="00EF4E67" w:rsidP="00EF4E67">
            <w:pPr>
              <w:jc w:val="both"/>
              <w:rPr>
                <w:rFonts w:cs="Arial"/>
                <w:color w:val="000000"/>
                <w:szCs w:val="22"/>
                <w:lang w:eastAsia="it-IT"/>
              </w:rPr>
            </w:pPr>
          </w:p>
        </w:tc>
        <w:tc>
          <w:tcPr>
            <w:tcW w:w="1278" w:type="dxa"/>
            <w:vAlign w:val="center"/>
          </w:tcPr>
          <w:p w14:paraId="526EE50E" w14:textId="77777777" w:rsidR="00EF4E67" w:rsidRPr="00EF4E67" w:rsidRDefault="00EF4E67" w:rsidP="00EF4E67">
            <w:pPr>
              <w:jc w:val="both"/>
              <w:rPr>
                <w:rFonts w:cs="Arial"/>
                <w:color w:val="000000"/>
                <w:szCs w:val="22"/>
                <w:lang w:eastAsia="it-IT"/>
              </w:rPr>
            </w:pPr>
          </w:p>
        </w:tc>
        <w:tc>
          <w:tcPr>
            <w:tcW w:w="1415" w:type="dxa"/>
            <w:vAlign w:val="center"/>
          </w:tcPr>
          <w:p w14:paraId="44DFA92B" w14:textId="77777777" w:rsidR="00EF4E67" w:rsidRPr="00EF4E67" w:rsidRDefault="00EF4E67" w:rsidP="00EF4E67">
            <w:pPr>
              <w:jc w:val="both"/>
              <w:rPr>
                <w:rFonts w:cs="Arial"/>
                <w:color w:val="000000"/>
                <w:szCs w:val="22"/>
                <w:lang w:eastAsia="it-IT"/>
              </w:rPr>
            </w:pPr>
          </w:p>
        </w:tc>
        <w:tc>
          <w:tcPr>
            <w:tcW w:w="1279" w:type="dxa"/>
            <w:vAlign w:val="center"/>
          </w:tcPr>
          <w:p w14:paraId="6C92D1CF" w14:textId="77777777" w:rsidR="00EF4E67" w:rsidRPr="00EF4E67" w:rsidRDefault="00EF4E67" w:rsidP="00EF4E67">
            <w:pPr>
              <w:jc w:val="both"/>
              <w:rPr>
                <w:rFonts w:cs="Arial"/>
                <w:color w:val="000000"/>
                <w:szCs w:val="22"/>
                <w:lang w:eastAsia="it-IT"/>
              </w:rPr>
            </w:pPr>
          </w:p>
        </w:tc>
        <w:tc>
          <w:tcPr>
            <w:tcW w:w="1574" w:type="dxa"/>
            <w:vAlign w:val="center"/>
          </w:tcPr>
          <w:p w14:paraId="7FDE7916" w14:textId="77777777" w:rsidR="00EF4E67" w:rsidRPr="00EF4E67" w:rsidRDefault="00EF4E67" w:rsidP="00EF4E67">
            <w:pPr>
              <w:jc w:val="both"/>
              <w:rPr>
                <w:rFonts w:cs="Arial"/>
                <w:color w:val="000000"/>
                <w:szCs w:val="22"/>
                <w:lang w:eastAsia="it-IT"/>
              </w:rPr>
            </w:pPr>
          </w:p>
        </w:tc>
      </w:tr>
      <w:tr w:rsidR="00EF4E67" w:rsidRPr="00EF4E67" w14:paraId="5057042C" w14:textId="77777777" w:rsidTr="00EF4E67">
        <w:trPr>
          <w:jc w:val="right"/>
        </w:trPr>
        <w:tc>
          <w:tcPr>
            <w:tcW w:w="3420" w:type="dxa"/>
            <w:shd w:val="clear" w:color="auto" w:fill="FFFFFF"/>
            <w:vAlign w:val="center"/>
          </w:tcPr>
          <w:p w14:paraId="35B95D47" w14:textId="77777777" w:rsidR="00EF4E67" w:rsidRPr="00EF4E67" w:rsidRDefault="00EF4E67" w:rsidP="00EF4E67">
            <w:pPr>
              <w:rPr>
                <w:rFonts w:cs="Arial"/>
                <w:b/>
                <w:bCs/>
                <w:color w:val="000000"/>
                <w:szCs w:val="22"/>
              </w:rPr>
            </w:pPr>
            <w:r w:rsidRPr="00EF4E67">
              <w:rPr>
                <w:rFonts w:cs="Arial"/>
                <w:b/>
                <w:color w:val="000000"/>
                <w:szCs w:val="22"/>
              </w:rPr>
              <w:t>Відповідальний виконавець проєкту:</w:t>
            </w:r>
          </w:p>
        </w:tc>
        <w:tc>
          <w:tcPr>
            <w:tcW w:w="6799" w:type="dxa"/>
            <w:gridSpan w:val="5"/>
            <w:vAlign w:val="center"/>
          </w:tcPr>
          <w:p w14:paraId="26B38737" w14:textId="76DE9A3F" w:rsidR="00EF4E67" w:rsidRPr="00EF4E67" w:rsidRDefault="00EF4E67" w:rsidP="00EF4E67">
            <w:pPr>
              <w:jc w:val="both"/>
              <w:rPr>
                <w:rFonts w:cs="Arial"/>
                <w:color w:val="000000"/>
                <w:szCs w:val="22"/>
                <w:lang w:eastAsia="it-IT"/>
              </w:rPr>
            </w:pPr>
            <w:r w:rsidRPr="00EF4E67">
              <w:rPr>
                <w:rFonts w:cs="Arial"/>
                <w:color w:val="000000"/>
                <w:szCs w:val="22"/>
                <w:lang w:eastAsia="it-IT"/>
              </w:rPr>
              <w:t>Управління ЖКГ.</w:t>
            </w:r>
          </w:p>
        </w:tc>
      </w:tr>
      <w:tr w:rsidR="00EF4E67" w:rsidRPr="00EF4E67" w14:paraId="22C2243A" w14:textId="77777777" w:rsidTr="00EF4E67">
        <w:trPr>
          <w:jc w:val="right"/>
        </w:trPr>
        <w:tc>
          <w:tcPr>
            <w:tcW w:w="3420" w:type="dxa"/>
            <w:shd w:val="clear" w:color="auto" w:fill="FFFFFF"/>
            <w:vAlign w:val="center"/>
          </w:tcPr>
          <w:p w14:paraId="3547F8DB" w14:textId="77777777" w:rsidR="00EF4E67" w:rsidRPr="00EF4E67" w:rsidRDefault="00EF4E67" w:rsidP="00EF4E67">
            <w:pPr>
              <w:rPr>
                <w:rFonts w:cs="Arial"/>
                <w:b/>
                <w:bCs/>
                <w:color w:val="000000"/>
                <w:szCs w:val="22"/>
              </w:rPr>
            </w:pPr>
            <w:r w:rsidRPr="00EF4E67">
              <w:rPr>
                <w:rFonts w:cs="Arial"/>
                <w:b/>
                <w:bCs/>
                <w:color w:val="000000"/>
                <w:szCs w:val="22"/>
              </w:rPr>
              <w:t>Інше:</w:t>
            </w:r>
          </w:p>
        </w:tc>
        <w:tc>
          <w:tcPr>
            <w:tcW w:w="6799" w:type="dxa"/>
            <w:gridSpan w:val="5"/>
            <w:vAlign w:val="center"/>
          </w:tcPr>
          <w:p w14:paraId="413ED6C5" w14:textId="77777777" w:rsidR="00EF4E67" w:rsidRPr="00EF4E67" w:rsidRDefault="00EF4E67" w:rsidP="00EF4E67">
            <w:pPr>
              <w:rPr>
                <w:rFonts w:cs="Arial"/>
                <w:color w:val="000000"/>
                <w:szCs w:val="22"/>
                <w:lang w:eastAsia="it-IT"/>
              </w:rPr>
            </w:pPr>
          </w:p>
        </w:tc>
      </w:tr>
    </w:tbl>
    <w:p w14:paraId="0CF484B0" w14:textId="21CAE5F5" w:rsidR="00CB33C7" w:rsidRDefault="00CB33C7" w:rsidP="00CB33C7"/>
    <w:p w14:paraId="7FE4AE48" w14:textId="77777777" w:rsidR="00DD6DC0" w:rsidRPr="00C2587D" w:rsidRDefault="00DD6DC0" w:rsidP="00CB33C7"/>
    <w:p w14:paraId="1B930F95" w14:textId="77777777" w:rsidR="00CB33C7" w:rsidRPr="00C2587D" w:rsidRDefault="00CB33C7" w:rsidP="00CB33C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73C99115" w14:textId="77777777" w:rsidR="00CB33C7" w:rsidRPr="00C2587D" w:rsidRDefault="00CB33C7" w:rsidP="00CB33C7">
      <w:pPr>
        <w:jc w:val="center"/>
        <w:rPr>
          <w:rFonts w:cs="Arial"/>
          <w:b/>
          <w:color w:val="000000"/>
          <w:szCs w:val="22"/>
        </w:rPr>
      </w:pPr>
      <w:r w:rsidRPr="00C2587D">
        <w:rPr>
          <w:rFonts w:cs="Arial"/>
          <w:b/>
          <w:color w:val="000000"/>
          <w:szCs w:val="22"/>
        </w:rPr>
        <w:t>до Плану заходів з реалізації Стратегії</w:t>
      </w:r>
    </w:p>
    <w:p w14:paraId="16CFB72F" w14:textId="77777777" w:rsidR="00CB33C7" w:rsidRPr="00C2587D" w:rsidRDefault="00CB33C7" w:rsidP="00CB33C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40"/>
        <w:gridCol w:w="14"/>
        <w:gridCol w:w="1412"/>
        <w:gridCol w:w="34"/>
        <w:gridCol w:w="1247"/>
        <w:gridCol w:w="13"/>
        <w:gridCol w:w="1263"/>
        <w:gridCol w:w="47"/>
        <w:gridCol w:w="1524"/>
      </w:tblGrid>
      <w:tr w:rsidR="00CB33C7" w:rsidRPr="00EF4E67" w14:paraId="020EFABA" w14:textId="77777777" w:rsidTr="00EA6E27">
        <w:trPr>
          <w:jc w:val="right"/>
        </w:trPr>
        <w:tc>
          <w:tcPr>
            <w:tcW w:w="3425" w:type="dxa"/>
            <w:vAlign w:val="center"/>
          </w:tcPr>
          <w:p w14:paraId="39B356EC" w14:textId="77777777" w:rsidR="00CB33C7" w:rsidRPr="00EF4E67" w:rsidRDefault="00CB33C7" w:rsidP="00EF4E67">
            <w:pPr>
              <w:rPr>
                <w:rFonts w:cs="Arial"/>
                <w:b/>
                <w:bCs/>
                <w:color w:val="000000"/>
                <w:szCs w:val="22"/>
              </w:rPr>
            </w:pPr>
            <w:r w:rsidRPr="00EF4E67">
              <w:rPr>
                <w:rFonts w:cs="Arial"/>
                <w:b/>
                <w:bCs/>
                <w:color w:val="000000"/>
                <w:szCs w:val="22"/>
              </w:rPr>
              <w:t>Назва проєкту:</w:t>
            </w:r>
          </w:p>
        </w:tc>
        <w:tc>
          <w:tcPr>
            <w:tcW w:w="6794" w:type="dxa"/>
            <w:gridSpan w:val="9"/>
          </w:tcPr>
          <w:p w14:paraId="301A7533" w14:textId="77777777" w:rsidR="00CB33C7" w:rsidRPr="00EF4E67" w:rsidRDefault="00CB33C7" w:rsidP="00EF4E67">
            <w:pPr>
              <w:rPr>
                <w:rFonts w:cs="Arial"/>
                <w:b/>
                <w:szCs w:val="22"/>
                <w:lang w:eastAsia="it-IT"/>
              </w:rPr>
            </w:pPr>
            <w:r w:rsidRPr="00EF4E67">
              <w:rPr>
                <w:rFonts w:cs="Arial"/>
                <w:b/>
                <w:szCs w:val="22"/>
                <w:lang w:eastAsia="it-IT"/>
              </w:rPr>
              <w:t>Капітальний ремонт дорожнього покриття по вул, Вишнева, Покровська, Шкільна в с. Сьомаки, Жмеринського району (коригування)</w:t>
            </w:r>
          </w:p>
        </w:tc>
      </w:tr>
      <w:tr w:rsidR="00CB33C7" w:rsidRPr="00EF4E67" w14:paraId="2A8FEBDC" w14:textId="77777777" w:rsidTr="00EA6E27">
        <w:trPr>
          <w:jc w:val="right"/>
        </w:trPr>
        <w:tc>
          <w:tcPr>
            <w:tcW w:w="3425" w:type="dxa"/>
          </w:tcPr>
          <w:p w14:paraId="13B552D7" w14:textId="77777777" w:rsidR="00CB33C7" w:rsidRPr="00EF4E67" w:rsidRDefault="00CB33C7" w:rsidP="00EF4E67">
            <w:pPr>
              <w:rPr>
                <w:rFonts w:cs="Arial"/>
                <w:szCs w:val="22"/>
                <w:lang w:eastAsia="it-IT"/>
              </w:rPr>
            </w:pPr>
            <w:r w:rsidRPr="00EF4E67">
              <w:rPr>
                <w:rFonts w:cs="Arial"/>
                <w:b/>
                <w:bCs/>
                <w:szCs w:val="22"/>
              </w:rPr>
              <w:t>Ваші контакти</w:t>
            </w:r>
            <w:r w:rsidRPr="00EF4E67">
              <w:rPr>
                <w:rFonts w:cs="Arial"/>
                <w:szCs w:val="22"/>
                <w:lang w:eastAsia="it-IT"/>
              </w:rPr>
              <w:t>:</w:t>
            </w:r>
          </w:p>
          <w:p w14:paraId="2E37CE76" w14:textId="77777777" w:rsidR="00CB33C7" w:rsidRPr="00EF4E67" w:rsidRDefault="00CB33C7" w:rsidP="00EF4E67">
            <w:pPr>
              <w:rPr>
                <w:rFonts w:cs="Arial"/>
                <w:b/>
                <w:bCs/>
                <w:szCs w:val="22"/>
              </w:rPr>
            </w:pPr>
            <w:r w:rsidRPr="00EF4E67">
              <w:rPr>
                <w:rFonts w:cs="Arial"/>
                <w:szCs w:val="22"/>
                <w:lang w:eastAsia="it-IT"/>
              </w:rPr>
              <w:t>Назва установи, організації, підприємства</w:t>
            </w:r>
          </w:p>
        </w:tc>
        <w:tc>
          <w:tcPr>
            <w:tcW w:w="6794" w:type="dxa"/>
            <w:gridSpan w:val="9"/>
          </w:tcPr>
          <w:p w14:paraId="2DF852DE" w14:textId="77777777" w:rsidR="00CB33C7" w:rsidRPr="00EF4E67" w:rsidRDefault="00CB33C7" w:rsidP="00EF4E67">
            <w:pPr>
              <w:rPr>
                <w:rFonts w:cs="Arial"/>
                <w:szCs w:val="22"/>
                <w:lang w:eastAsia="it-IT"/>
              </w:rPr>
            </w:pPr>
            <w:r w:rsidRPr="00EF4E67">
              <w:rPr>
                <w:rFonts w:cs="Arial"/>
                <w:szCs w:val="22"/>
                <w:lang w:eastAsia="it-IT"/>
              </w:rPr>
              <w:t>Управління житлово-комунального господарства Жмеринської міської ради</w:t>
            </w:r>
          </w:p>
        </w:tc>
      </w:tr>
      <w:tr w:rsidR="00CB33C7" w:rsidRPr="00EF4E67" w14:paraId="280F8751" w14:textId="77777777" w:rsidTr="00EA6E27">
        <w:trPr>
          <w:jc w:val="right"/>
        </w:trPr>
        <w:tc>
          <w:tcPr>
            <w:tcW w:w="3425" w:type="dxa"/>
          </w:tcPr>
          <w:p w14:paraId="6E582F43" w14:textId="77777777" w:rsidR="00CB33C7" w:rsidRPr="00EF4E67" w:rsidRDefault="00CB33C7" w:rsidP="00EF4E67">
            <w:pPr>
              <w:rPr>
                <w:rFonts w:cs="Arial"/>
                <w:b/>
                <w:bCs/>
                <w:szCs w:val="22"/>
              </w:rPr>
            </w:pPr>
            <w:r w:rsidRPr="00EF4E67">
              <w:rPr>
                <w:rFonts w:cs="Arial"/>
                <w:szCs w:val="22"/>
                <w:lang w:eastAsia="it-IT"/>
              </w:rPr>
              <w:t>Прізвище Ім’я По-батькові:</w:t>
            </w:r>
          </w:p>
        </w:tc>
        <w:tc>
          <w:tcPr>
            <w:tcW w:w="6794" w:type="dxa"/>
            <w:gridSpan w:val="9"/>
          </w:tcPr>
          <w:p w14:paraId="4819FD19" w14:textId="77777777" w:rsidR="00CB33C7" w:rsidRPr="00EF4E67" w:rsidRDefault="00CB33C7" w:rsidP="00EF4E67">
            <w:pPr>
              <w:rPr>
                <w:rFonts w:cs="Arial"/>
                <w:szCs w:val="22"/>
                <w:lang w:eastAsia="it-IT"/>
              </w:rPr>
            </w:pPr>
            <w:r w:rsidRPr="00EF4E67">
              <w:rPr>
                <w:rFonts w:cs="Arial"/>
                <w:szCs w:val="22"/>
                <w:lang w:eastAsia="it-IT"/>
              </w:rPr>
              <w:t>Оленич Андрій Васильович</w:t>
            </w:r>
          </w:p>
        </w:tc>
      </w:tr>
      <w:tr w:rsidR="00CB33C7" w:rsidRPr="00EF4E67" w14:paraId="4EF5B3E2" w14:textId="77777777" w:rsidTr="00EA6E27">
        <w:trPr>
          <w:jc w:val="right"/>
        </w:trPr>
        <w:tc>
          <w:tcPr>
            <w:tcW w:w="3425" w:type="dxa"/>
          </w:tcPr>
          <w:p w14:paraId="76C70317" w14:textId="77777777" w:rsidR="00CB33C7" w:rsidRPr="00EF4E67" w:rsidRDefault="00CB33C7" w:rsidP="00EF4E67">
            <w:pPr>
              <w:rPr>
                <w:rFonts w:cs="Arial"/>
                <w:b/>
                <w:bCs/>
                <w:szCs w:val="22"/>
              </w:rPr>
            </w:pPr>
            <w:r w:rsidRPr="00EF4E67">
              <w:rPr>
                <w:rFonts w:cs="Arial"/>
                <w:szCs w:val="22"/>
                <w:lang w:eastAsia="it-IT"/>
              </w:rPr>
              <w:t>Телефон (мобільний):</w:t>
            </w:r>
          </w:p>
        </w:tc>
        <w:tc>
          <w:tcPr>
            <w:tcW w:w="6794" w:type="dxa"/>
            <w:gridSpan w:val="9"/>
          </w:tcPr>
          <w:p w14:paraId="4BCE934C" w14:textId="77777777" w:rsidR="00CB33C7" w:rsidRPr="00EF4E67" w:rsidRDefault="00CB33C7" w:rsidP="00EF4E67">
            <w:pPr>
              <w:rPr>
                <w:rFonts w:cs="Arial"/>
                <w:szCs w:val="22"/>
                <w:lang w:eastAsia="it-IT"/>
              </w:rPr>
            </w:pPr>
            <w:r w:rsidRPr="00EF4E67">
              <w:rPr>
                <w:rFonts w:cs="Arial"/>
                <w:szCs w:val="22"/>
                <w:lang w:eastAsia="it-IT"/>
              </w:rPr>
              <w:t>0972561907</w:t>
            </w:r>
          </w:p>
        </w:tc>
      </w:tr>
      <w:tr w:rsidR="00CB33C7" w:rsidRPr="00EF4E67" w14:paraId="5FA4D39D" w14:textId="77777777" w:rsidTr="00EA6E27">
        <w:trPr>
          <w:jc w:val="right"/>
        </w:trPr>
        <w:tc>
          <w:tcPr>
            <w:tcW w:w="3425" w:type="dxa"/>
          </w:tcPr>
          <w:p w14:paraId="4302C6CF" w14:textId="77777777" w:rsidR="00CB33C7" w:rsidRPr="00EF4E67" w:rsidRDefault="00CB33C7" w:rsidP="00EF4E67">
            <w:pPr>
              <w:rPr>
                <w:rFonts w:cs="Arial"/>
                <w:b/>
                <w:bCs/>
                <w:szCs w:val="22"/>
              </w:rPr>
            </w:pPr>
            <w:r w:rsidRPr="00EF4E67">
              <w:rPr>
                <w:rFonts w:cs="Arial"/>
                <w:szCs w:val="22"/>
                <w:lang w:eastAsia="it-IT"/>
              </w:rPr>
              <w:t>Електронна адреса:</w:t>
            </w:r>
          </w:p>
        </w:tc>
        <w:tc>
          <w:tcPr>
            <w:tcW w:w="6794" w:type="dxa"/>
            <w:gridSpan w:val="9"/>
          </w:tcPr>
          <w:p w14:paraId="5C91C7A4" w14:textId="77777777" w:rsidR="00CB33C7" w:rsidRPr="00EF4E67" w:rsidRDefault="00D85FFD" w:rsidP="00EF4E67">
            <w:pPr>
              <w:rPr>
                <w:rFonts w:cs="Arial"/>
                <w:szCs w:val="22"/>
                <w:lang w:eastAsia="it-IT"/>
              </w:rPr>
            </w:pPr>
            <w:hyperlink r:id="rId48" w:history="1">
              <w:r w:rsidR="00CB33C7" w:rsidRPr="00EF4E67">
                <w:rPr>
                  <w:rStyle w:val="af0"/>
                  <w:rFonts w:cs="Arial"/>
                  <w:noProof w:val="0"/>
                  <w:sz w:val="22"/>
                  <w:szCs w:val="22"/>
                  <w:lang w:eastAsia="it-IT"/>
                </w:rPr>
                <w:t>Aolenych03@ukr.net</w:t>
              </w:r>
            </w:hyperlink>
          </w:p>
        </w:tc>
      </w:tr>
      <w:tr w:rsidR="00CB33C7" w:rsidRPr="00EF4E67" w14:paraId="15DF274C" w14:textId="77777777" w:rsidTr="00EA6E27">
        <w:trPr>
          <w:jc w:val="right"/>
        </w:trPr>
        <w:tc>
          <w:tcPr>
            <w:tcW w:w="3425" w:type="dxa"/>
            <w:vAlign w:val="center"/>
          </w:tcPr>
          <w:p w14:paraId="51572399" w14:textId="77777777" w:rsidR="00CB33C7" w:rsidRPr="00EF4E67" w:rsidRDefault="00CB33C7" w:rsidP="00EF4E67">
            <w:pPr>
              <w:pStyle w:val="6"/>
              <w:spacing w:before="0" w:after="0"/>
              <w:rPr>
                <w:rFonts w:ascii="Arial" w:hAnsi="Arial" w:cs="Arial"/>
                <w:color w:val="000000"/>
                <w:lang w:val="uk-UA"/>
              </w:rPr>
            </w:pPr>
            <w:r w:rsidRPr="00EF4E67">
              <w:rPr>
                <w:rFonts w:ascii="Arial" w:hAnsi="Arial" w:cs="Arial"/>
                <w:color w:val="000000"/>
                <w:lang w:val="uk-UA"/>
              </w:rPr>
              <w:t>Номер і назва завдання з Стратегії</w:t>
            </w:r>
            <w:r w:rsidRPr="00EF4E67">
              <w:rPr>
                <w:rFonts w:ascii="Arial" w:hAnsi="Arial" w:cs="Arial"/>
                <w:lang w:val="uk-UA" w:eastAsia="it-IT"/>
              </w:rPr>
              <w:t xml:space="preserve"> </w:t>
            </w:r>
            <w:r w:rsidRPr="00EF4E67">
              <w:rPr>
                <w:rFonts w:ascii="Arial" w:hAnsi="Arial" w:cs="Arial"/>
                <w:color w:val="000000"/>
                <w:lang w:val="uk-UA"/>
              </w:rPr>
              <w:t xml:space="preserve">розвитку Жмеринської міської </w:t>
            </w:r>
          </w:p>
        </w:tc>
        <w:tc>
          <w:tcPr>
            <w:tcW w:w="6794" w:type="dxa"/>
            <w:gridSpan w:val="9"/>
            <w:vAlign w:val="center"/>
          </w:tcPr>
          <w:p w14:paraId="16FD7E33" w14:textId="77777777" w:rsidR="00CB33C7" w:rsidRPr="00EF4E67" w:rsidRDefault="00CB33C7" w:rsidP="00EF4E67">
            <w:pPr>
              <w:suppressAutoHyphens/>
              <w:jc w:val="both"/>
              <w:rPr>
                <w:rFonts w:eastAsia="Lucida Sans Unicode" w:cs="Arial"/>
                <w:kern w:val="1"/>
                <w:szCs w:val="22"/>
                <w:lang w:eastAsia="ar-SA"/>
              </w:rPr>
            </w:pPr>
            <w:r w:rsidRPr="00EF4E67">
              <w:rPr>
                <w:rFonts w:eastAsia="Lucida Sans Unicode" w:cs="Arial"/>
                <w:kern w:val="1"/>
                <w:szCs w:val="22"/>
                <w:lang w:eastAsia="ar-SA"/>
              </w:rPr>
              <w:t>В.1.1.3. Проведення будівництва, реконструкції та капітального ремонту дорожнього покриття вулиць  та тротуарів в населених пунктах територіальної громади.</w:t>
            </w:r>
          </w:p>
        </w:tc>
      </w:tr>
      <w:tr w:rsidR="00CB33C7" w:rsidRPr="00EF4E67" w14:paraId="4F168645" w14:textId="77777777" w:rsidTr="00EA6E27">
        <w:trPr>
          <w:jc w:val="right"/>
        </w:trPr>
        <w:tc>
          <w:tcPr>
            <w:tcW w:w="3425" w:type="dxa"/>
            <w:vAlign w:val="center"/>
          </w:tcPr>
          <w:p w14:paraId="2CF34E00" w14:textId="77777777" w:rsidR="00CB33C7" w:rsidRPr="00EF4E67" w:rsidRDefault="00CB33C7" w:rsidP="00EF4E67">
            <w:pPr>
              <w:rPr>
                <w:rFonts w:cs="Arial"/>
                <w:b/>
                <w:bCs/>
                <w:color w:val="000000"/>
                <w:szCs w:val="22"/>
              </w:rPr>
            </w:pPr>
            <w:r w:rsidRPr="00EF4E67">
              <w:rPr>
                <w:rFonts w:cs="Arial"/>
                <w:b/>
                <w:bCs/>
                <w:color w:val="000000"/>
                <w:szCs w:val="22"/>
              </w:rPr>
              <w:t>Мета проєкту:</w:t>
            </w:r>
          </w:p>
        </w:tc>
        <w:tc>
          <w:tcPr>
            <w:tcW w:w="6794" w:type="dxa"/>
            <w:gridSpan w:val="9"/>
          </w:tcPr>
          <w:p w14:paraId="0D04231B" w14:textId="11661641" w:rsidR="00CB33C7" w:rsidRPr="00EF4E67" w:rsidRDefault="00CB33C7" w:rsidP="00EF4E67">
            <w:pPr>
              <w:jc w:val="both"/>
              <w:rPr>
                <w:rFonts w:cs="Arial"/>
                <w:szCs w:val="22"/>
                <w:lang w:eastAsia="it-IT"/>
              </w:rPr>
            </w:pPr>
            <w:r w:rsidRPr="00EF4E67">
              <w:rPr>
                <w:rFonts w:cs="Arial"/>
                <w:szCs w:val="22"/>
                <w:lang w:eastAsia="it-IT"/>
              </w:rPr>
              <w:t xml:space="preserve">Забезпечення  населення громади Браїлівського </w:t>
            </w:r>
            <w:r w:rsidR="00EF4E67" w:rsidRPr="00EF4E67">
              <w:rPr>
                <w:rFonts w:cs="Arial"/>
                <w:szCs w:val="22"/>
                <w:lang w:eastAsia="it-IT"/>
              </w:rPr>
              <w:t>старостинського</w:t>
            </w:r>
            <w:r w:rsidRPr="00EF4E67">
              <w:rPr>
                <w:rFonts w:cs="Arial"/>
                <w:szCs w:val="22"/>
                <w:lang w:eastAsia="it-IT"/>
              </w:rPr>
              <w:t xml:space="preserve"> округу, а саме: с. Сьомаки якісною інфраструктурою, а саме дорогами з рівним покриттям.</w:t>
            </w:r>
          </w:p>
          <w:p w14:paraId="72C372C3" w14:textId="77777777" w:rsidR="00CB33C7" w:rsidRPr="00EF4E67" w:rsidRDefault="00CB33C7" w:rsidP="00EF4E67">
            <w:pPr>
              <w:rPr>
                <w:rFonts w:cs="Arial"/>
                <w:szCs w:val="22"/>
                <w:lang w:eastAsia="it-IT"/>
              </w:rPr>
            </w:pPr>
            <w:r w:rsidRPr="00EF4E67">
              <w:rPr>
                <w:rFonts w:cs="Arial"/>
                <w:szCs w:val="22"/>
                <w:lang w:eastAsia="it-IT"/>
              </w:rPr>
              <w:t>Мешканці громади отримують більш комфортні   та безпечні умови проживання та перебування в населеному пункті.</w:t>
            </w:r>
          </w:p>
        </w:tc>
      </w:tr>
      <w:tr w:rsidR="00CB33C7" w:rsidRPr="00EF4E67" w14:paraId="72DE1ED7" w14:textId="77777777" w:rsidTr="00EA6E27">
        <w:trPr>
          <w:jc w:val="right"/>
        </w:trPr>
        <w:tc>
          <w:tcPr>
            <w:tcW w:w="3425" w:type="dxa"/>
            <w:vAlign w:val="center"/>
          </w:tcPr>
          <w:p w14:paraId="2E29E068" w14:textId="77777777" w:rsidR="00CB33C7" w:rsidRPr="00EF4E67" w:rsidRDefault="00CB33C7" w:rsidP="00EF4E67">
            <w:pPr>
              <w:rPr>
                <w:rFonts w:cs="Arial"/>
                <w:b/>
                <w:bCs/>
                <w:color w:val="000000"/>
                <w:szCs w:val="22"/>
              </w:rPr>
            </w:pPr>
            <w:r w:rsidRPr="00EF4E67">
              <w:rPr>
                <w:rFonts w:cs="Arial"/>
                <w:b/>
                <w:bCs/>
                <w:color w:val="000000"/>
                <w:szCs w:val="22"/>
              </w:rPr>
              <w:t>Цілі проєкту:</w:t>
            </w:r>
          </w:p>
        </w:tc>
        <w:tc>
          <w:tcPr>
            <w:tcW w:w="6794" w:type="dxa"/>
            <w:gridSpan w:val="9"/>
          </w:tcPr>
          <w:p w14:paraId="1792B95F" w14:textId="77777777" w:rsidR="00CB33C7" w:rsidRPr="00EF4E67" w:rsidRDefault="00CB33C7" w:rsidP="00EF4E67">
            <w:pPr>
              <w:rPr>
                <w:rFonts w:cs="Arial"/>
                <w:szCs w:val="22"/>
                <w:lang w:eastAsia="it-IT"/>
              </w:rPr>
            </w:pPr>
            <w:r w:rsidRPr="00EF4E67">
              <w:rPr>
                <w:rFonts w:cs="Arial"/>
                <w:szCs w:val="22"/>
                <w:lang w:eastAsia="it-IT"/>
              </w:rPr>
              <w:t>Покращити інфраструктуру   дорожнього покриття в с. Сьомаки</w:t>
            </w:r>
          </w:p>
        </w:tc>
      </w:tr>
      <w:tr w:rsidR="00CB33C7" w:rsidRPr="00EF4E67" w14:paraId="6B7EEBEA" w14:textId="77777777" w:rsidTr="00EA6E27">
        <w:trPr>
          <w:jc w:val="right"/>
        </w:trPr>
        <w:tc>
          <w:tcPr>
            <w:tcW w:w="3425" w:type="dxa"/>
            <w:vAlign w:val="center"/>
          </w:tcPr>
          <w:p w14:paraId="4E521A30" w14:textId="77777777" w:rsidR="00CB33C7" w:rsidRPr="00EF4E67" w:rsidRDefault="00CB33C7" w:rsidP="00EF4E67">
            <w:pPr>
              <w:autoSpaceDE w:val="0"/>
              <w:autoSpaceDN w:val="0"/>
              <w:adjustRightInd w:val="0"/>
              <w:rPr>
                <w:rFonts w:cs="Arial"/>
                <w:b/>
                <w:color w:val="000000"/>
                <w:szCs w:val="22"/>
              </w:rPr>
            </w:pPr>
            <w:r w:rsidRPr="00EF4E67">
              <w:rPr>
                <w:rFonts w:cs="Arial"/>
                <w:b/>
                <w:color w:val="000000"/>
                <w:szCs w:val="22"/>
              </w:rPr>
              <w:t>Територія на яку проєкт матиме вплив:</w:t>
            </w:r>
          </w:p>
        </w:tc>
        <w:tc>
          <w:tcPr>
            <w:tcW w:w="6794" w:type="dxa"/>
            <w:gridSpan w:val="9"/>
          </w:tcPr>
          <w:p w14:paraId="3EC3757C" w14:textId="05612FC9" w:rsidR="00CB33C7" w:rsidRPr="00EF4E67" w:rsidRDefault="00CB33C7" w:rsidP="00EF4E67">
            <w:pPr>
              <w:rPr>
                <w:rFonts w:cs="Arial"/>
                <w:szCs w:val="22"/>
                <w:lang w:eastAsia="it-IT"/>
              </w:rPr>
            </w:pPr>
            <w:r w:rsidRPr="00EF4E67">
              <w:rPr>
                <w:rFonts w:cs="Arial"/>
                <w:szCs w:val="22"/>
                <w:lang w:eastAsia="it-IT"/>
              </w:rPr>
              <w:t xml:space="preserve">Території Браїлівського </w:t>
            </w:r>
            <w:r w:rsidR="00EF4E67" w:rsidRPr="00EF4E67">
              <w:rPr>
                <w:rFonts w:cs="Arial"/>
                <w:szCs w:val="22"/>
                <w:lang w:eastAsia="it-IT"/>
              </w:rPr>
              <w:t>старостинського</w:t>
            </w:r>
            <w:r w:rsidRPr="00EF4E67">
              <w:rPr>
                <w:rFonts w:cs="Arial"/>
                <w:szCs w:val="22"/>
                <w:lang w:eastAsia="it-IT"/>
              </w:rPr>
              <w:t xml:space="preserve"> округу, а саме: с. Сьомаки</w:t>
            </w:r>
          </w:p>
        </w:tc>
      </w:tr>
      <w:tr w:rsidR="00CB33C7" w:rsidRPr="00EF4E67" w14:paraId="4860883C" w14:textId="77777777" w:rsidTr="00EA6E27">
        <w:trPr>
          <w:jc w:val="right"/>
        </w:trPr>
        <w:tc>
          <w:tcPr>
            <w:tcW w:w="3425" w:type="dxa"/>
            <w:vAlign w:val="center"/>
          </w:tcPr>
          <w:p w14:paraId="7F2D4FFD" w14:textId="77777777" w:rsidR="00CB33C7" w:rsidRPr="00EF4E67" w:rsidRDefault="00CB33C7" w:rsidP="00EF4E67">
            <w:pPr>
              <w:autoSpaceDE w:val="0"/>
              <w:autoSpaceDN w:val="0"/>
              <w:adjustRightInd w:val="0"/>
              <w:rPr>
                <w:rFonts w:cs="Arial"/>
                <w:b/>
                <w:color w:val="000000"/>
                <w:szCs w:val="22"/>
              </w:rPr>
            </w:pPr>
            <w:r w:rsidRPr="00EF4E67">
              <w:rPr>
                <w:rFonts w:cs="Arial"/>
                <w:b/>
                <w:color w:val="000000"/>
                <w:szCs w:val="22"/>
              </w:rPr>
              <w:t>Цільові групи проєкту та кількість отримувачів вигоди</w:t>
            </w:r>
          </w:p>
        </w:tc>
        <w:tc>
          <w:tcPr>
            <w:tcW w:w="6794" w:type="dxa"/>
            <w:gridSpan w:val="9"/>
          </w:tcPr>
          <w:p w14:paraId="086290FA" w14:textId="77777777" w:rsidR="00CB33C7" w:rsidRPr="00EF4E67" w:rsidRDefault="00CB33C7" w:rsidP="00EF4E67">
            <w:pPr>
              <w:rPr>
                <w:rFonts w:cs="Arial"/>
                <w:szCs w:val="22"/>
                <w:lang w:eastAsia="it-IT"/>
              </w:rPr>
            </w:pPr>
            <w:r w:rsidRPr="00EF4E67">
              <w:rPr>
                <w:rFonts w:cs="Arial"/>
                <w:szCs w:val="22"/>
                <w:lang w:eastAsia="it-IT"/>
              </w:rPr>
              <w:t>Жителі с. Сьомаки в кількості 775 сельчан</w:t>
            </w:r>
          </w:p>
        </w:tc>
      </w:tr>
      <w:tr w:rsidR="00CB33C7" w:rsidRPr="00EF4E67" w14:paraId="272C5666" w14:textId="77777777" w:rsidTr="00EA6E27">
        <w:trPr>
          <w:jc w:val="right"/>
        </w:trPr>
        <w:tc>
          <w:tcPr>
            <w:tcW w:w="3425" w:type="dxa"/>
            <w:shd w:val="clear" w:color="auto" w:fill="FFFFFF"/>
            <w:vAlign w:val="center"/>
          </w:tcPr>
          <w:p w14:paraId="3A572F3A" w14:textId="77777777" w:rsidR="00CB33C7" w:rsidRPr="00EF4E67" w:rsidRDefault="00CB33C7" w:rsidP="00EF4E67">
            <w:pPr>
              <w:rPr>
                <w:rFonts w:cs="Arial"/>
                <w:b/>
                <w:bCs/>
                <w:color w:val="000000"/>
                <w:szCs w:val="22"/>
              </w:rPr>
            </w:pPr>
            <w:r w:rsidRPr="00EF4E67">
              <w:rPr>
                <w:rFonts w:cs="Arial"/>
                <w:b/>
                <w:bCs/>
                <w:color w:val="000000"/>
                <w:szCs w:val="22"/>
              </w:rPr>
              <w:t>Стислий опис проєкту:</w:t>
            </w:r>
          </w:p>
        </w:tc>
        <w:tc>
          <w:tcPr>
            <w:tcW w:w="6794" w:type="dxa"/>
            <w:gridSpan w:val="9"/>
          </w:tcPr>
          <w:p w14:paraId="3DBB9E36" w14:textId="77777777" w:rsidR="00CB33C7" w:rsidRPr="00EF4E67" w:rsidRDefault="00CB33C7" w:rsidP="00EF4E67">
            <w:pPr>
              <w:pStyle w:val="ad"/>
              <w:shd w:val="clear" w:color="auto" w:fill="FFFFFF"/>
              <w:spacing w:before="0" w:beforeAutospacing="0" w:after="0" w:afterAutospacing="0"/>
              <w:ind w:firstLine="148"/>
              <w:jc w:val="both"/>
              <w:rPr>
                <w:rFonts w:cs="Arial"/>
                <w:szCs w:val="22"/>
              </w:rPr>
            </w:pPr>
            <w:r w:rsidRPr="00EF4E67">
              <w:rPr>
                <w:rFonts w:cs="Arial"/>
                <w:szCs w:val="22"/>
              </w:rPr>
              <w:t>Якість доріг забезпечує роботу всіх галузей промисловості, соціальний розвиток суспільства. Забезпечує доступ у різні місця населеного пункту, а також безпечне та надійне переміщення людей і транспортування товарів і має надзвичайно важливе значення.</w:t>
            </w:r>
          </w:p>
          <w:p w14:paraId="61B144CC" w14:textId="77777777" w:rsidR="00CB33C7" w:rsidRPr="00EF4E67" w:rsidRDefault="00CB33C7" w:rsidP="00EF4E67">
            <w:pPr>
              <w:pStyle w:val="ad"/>
              <w:shd w:val="clear" w:color="auto" w:fill="FFFFFF"/>
              <w:spacing w:before="0" w:beforeAutospacing="0" w:after="0" w:afterAutospacing="0"/>
              <w:ind w:firstLine="148"/>
              <w:jc w:val="both"/>
              <w:rPr>
                <w:rFonts w:cs="Arial"/>
                <w:szCs w:val="22"/>
              </w:rPr>
            </w:pPr>
            <w:r w:rsidRPr="00EF4E67">
              <w:rPr>
                <w:rFonts w:cs="Arial"/>
                <w:szCs w:val="22"/>
              </w:rPr>
              <w:t>Від стану автомобільних доріг залежать витрати на перевезення вантажів та пасажирів, рівень цін, певною мірою зайнятість населення.</w:t>
            </w:r>
          </w:p>
          <w:p w14:paraId="68A93560" w14:textId="54CCF6F5" w:rsidR="00CB33C7" w:rsidRPr="00EF4E67" w:rsidRDefault="00CB33C7" w:rsidP="00EF4E67">
            <w:pPr>
              <w:pStyle w:val="ad"/>
              <w:shd w:val="clear" w:color="auto" w:fill="FFFFFF"/>
              <w:spacing w:before="0" w:beforeAutospacing="0" w:after="0" w:afterAutospacing="0"/>
              <w:jc w:val="both"/>
              <w:rPr>
                <w:rFonts w:cs="Arial"/>
                <w:szCs w:val="22"/>
                <w:shd w:val="clear" w:color="auto" w:fill="FFFFFF"/>
              </w:rPr>
            </w:pPr>
            <w:r w:rsidRPr="00EF4E67">
              <w:rPr>
                <w:rFonts w:cs="Arial"/>
                <w:szCs w:val="22"/>
                <w:shd w:val="clear" w:color="auto" w:fill="FFFFFF"/>
              </w:rPr>
              <w:t>Перш за все викликають занепокоєння ті ділянки доріг, по яких проходять автобусні сполучення, підвезення дітей до навчальних закладів, надання невідкладної медичної допомоги.</w:t>
            </w:r>
          </w:p>
          <w:p w14:paraId="3E7199F6" w14:textId="77777777" w:rsidR="00CB33C7" w:rsidRPr="00EF4E67" w:rsidRDefault="00CB33C7" w:rsidP="00EF4E67">
            <w:pPr>
              <w:rPr>
                <w:rFonts w:cs="Arial"/>
                <w:szCs w:val="22"/>
                <w:lang w:eastAsia="it-IT"/>
              </w:rPr>
            </w:pPr>
            <w:r w:rsidRPr="00EF4E67">
              <w:rPr>
                <w:rFonts w:cs="Arial"/>
                <w:szCs w:val="22"/>
                <w:shd w:val="clear" w:color="auto" w:fill="FFFFFF"/>
              </w:rPr>
              <w:t>З метою безперебійного перевезення людей, необхідно провести капітальний ремонт доріг по вул. Вишнева, Покровська, Шкільна в с. Сьомаки</w:t>
            </w:r>
          </w:p>
        </w:tc>
      </w:tr>
      <w:tr w:rsidR="00CB33C7" w:rsidRPr="00EF4E67" w14:paraId="1460C12C" w14:textId="77777777" w:rsidTr="00EA6E27">
        <w:trPr>
          <w:jc w:val="right"/>
        </w:trPr>
        <w:tc>
          <w:tcPr>
            <w:tcW w:w="3425" w:type="dxa"/>
            <w:shd w:val="clear" w:color="auto" w:fill="FFFFFF"/>
            <w:vAlign w:val="center"/>
          </w:tcPr>
          <w:p w14:paraId="6AFB4D56" w14:textId="77777777" w:rsidR="00CB33C7" w:rsidRPr="00EF4E67" w:rsidRDefault="00CB33C7" w:rsidP="00EF4E67">
            <w:pPr>
              <w:rPr>
                <w:rFonts w:cs="Arial"/>
                <w:b/>
                <w:bCs/>
                <w:color w:val="000000"/>
                <w:szCs w:val="22"/>
              </w:rPr>
            </w:pPr>
            <w:r w:rsidRPr="00EF4E67">
              <w:rPr>
                <w:rFonts w:cs="Arial"/>
                <w:b/>
                <w:bCs/>
                <w:color w:val="000000"/>
                <w:szCs w:val="22"/>
              </w:rPr>
              <w:t>Основні заходи проєкту:</w:t>
            </w:r>
          </w:p>
        </w:tc>
        <w:tc>
          <w:tcPr>
            <w:tcW w:w="6794" w:type="dxa"/>
            <w:gridSpan w:val="9"/>
          </w:tcPr>
          <w:p w14:paraId="45D2C49E" w14:textId="244A0EA3" w:rsidR="00CB33C7" w:rsidRPr="00EF4E67" w:rsidRDefault="00CB33C7" w:rsidP="00EF4E67">
            <w:pPr>
              <w:jc w:val="both"/>
              <w:rPr>
                <w:rFonts w:cs="Arial"/>
                <w:szCs w:val="22"/>
                <w:lang w:eastAsia="it-IT"/>
              </w:rPr>
            </w:pPr>
            <w:r w:rsidRPr="00EF4E67">
              <w:rPr>
                <w:rFonts w:cs="Arial"/>
                <w:szCs w:val="22"/>
                <w:lang w:eastAsia="it-IT"/>
              </w:rPr>
              <w:t>Створення робочо</w:t>
            </w:r>
            <w:r w:rsidR="003E5778">
              <w:rPr>
                <w:rFonts w:cs="Arial"/>
                <w:szCs w:val="22"/>
                <w:lang w:eastAsia="it-IT"/>
              </w:rPr>
              <w:t>ї групи з питань реалізації проє</w:t>
            </w:r>
            <w:r w:rsidRPr="00EF4E67">
              <w:rPr>
                <w:rFonts w:cs="Arial"/>
                <w:szCs w:val="22"/>
                <w:lang w:eastAsia="it-IT"/>
              </w:rPr>
              <w:t xml:space="preserve">кту. </w:t>
            </w:r>
          </w:p>
          <w:p w14:paraId="41CDBC49" w14:textId="77777777" w:rsidR="00CB33C7" w:rsidRPr="00EF4E67" w:rsidRDefault="00CB33C7" w:rsidP="00EF4E67">
            <w:pPr>
              <w:jc w:val="both"/>
              <w:rPr>
                <w:rFonts w:cs="Arial"/>
                <w:szCs w:val="22"/>
                <w:lang w:eastAsia="it-IT"/>
              </w:rPr>
            </w:pPr>
            <w:r w:rsidRPr="00EF4E67">
              <w:rPr>
                <w:rFonts w:cs="Arial"/>
                <w:szCs w:val="22"/>
                <w:lang w:eastAsia="it-IT"/>
              </w:rPr>
              <w:t>Проведення процедури закупівель (визначення виконавця робіт).</w:t>
            </w:r>
          </w:p>
          <w:p w14:paraId="0CBD2306" w14:textId="77777777" w:rsidR="00CB33C7" w:rsidRPr="00EF4E67" w:rsidRDefault="00CB33C7" w:rsidP="00EF4E67">
            <w:pPr>
              <w:jc w:val="both"/>
              <w:rPr>
                <w:rFonts w:cs="Arial"/>
                <w:szCs w:val="22"/>
                <w:lang w:eastAsia="it-IT"/>
              </w:rPr>
            </w:pPr>
            <w:r w:rsidRPr="00EF4E67">
              <w:rPr>
                <w:rFonts w:cs="Arial"/>
                <w:szCs w:val="22"/>
                <w:lang w:eastAsia="it-IT"/>
              </w:rPr>
              <w:t>Укладення договорів з виконавцем робіт, організаціями, що здійснюватимуть  технічний та авторський  нагляд .</w:t>
            </w:r>
          </w:p>
          <w:p w14:paraId="4EF5633D" w14:textId="188862D6" w:rsidR="00CB33C7" w:rsidRPr="00EF4E67" w:rsidRDefault="00CB33C7" w:rsidP="00EF4E67">
            <w:pPr>
              <w:jc w:val="both"/>
              <w:rPr>
                <w:rFonts w:cs="Arial"/>
                <w:szCs w:val="22"/>
                <w:lang w:eastAsia="it-IT"/>
              </w:rPr>
            </w:pPr>
            <w:r w:rsidRPr="00EF4E67">
              <w:rPr>
                <w:rFonts w:cs="Arial"/>
                <w:szCs w:val="22"/>
                <w:lang w:eastAsia="it-IT"/>
              </w:rPr>
              <w:t>Виконання робіт з капітального ремонту дорожнього покриття по вул</w:t>
            </w:r>
            <w:r w:rsidR="003E5778">
              <w:rPr>
                <w:rFonts w:cs="Arial"/>
                <w:szCs w:val="22"/>
                <w:lang w:eastAsia="it-IT"/>
              </w:rPr>
              <w:t>.</w:t>
            </w:r>
            <w:r w:rsidRPr="00EF4E67">
              <w:rPr>
                <w:rFonts w:cs="Arial"/>
                <w:szCs w:val="22"/>
                <w:lang w:eastAsia="it-IT"/>
              </w:rPr>
              <w:t xml:space="preserve"> Вишнева, Покровська, Шкільна в с. Сьомаки, Жмеринського району</w:t>
            </w:r>
          </w:p>
          <w:p w14:paraId="36ECEEA2" w14:textId="77777777" w:rsidR="00CB33C7" w:rsidRPr="00EF4E67" w:rsidRDefault="00CB33C7" w:rsidP="00EF4E67">
            <w:pPr>
              <w:jc w:val="both"/>
              <w:rPr>
                <w:rFonts w:cs="Arial"/>
                <w:szCs w:val="22"/>
                <w:lang w:eastAsia="it-IT"/>
              </w:rPr>
            </w:pPr>
            <w:r w:rsidRPr="00EF4E67">
              <w:rPr>
                <w:rFonts w:cs="Arial"/>
                <w:szCs w:val="22"/>
                <w:lang w:eastAsia="it-IT"/>
              </w:rPr>
              <w:t>Введення  об’єкту в експлуатацію .</w:t>
            </w:r>
          </w:p>
          <w:p w14:paraId="3A8B7DAA" w14:textId="3189F311" w:rsidR="00CB33C7" w:rsidRPr="00EF4E67" w:rsidRDefault="00CB33C7" w:rsidP="00EF4E67">
            <w:pPr>
              <w:rPr>
                <w:rFonts w:cs="Arial"/>
                <w:szCs w:val="22"/>
                <w:lang w:eastAsia="it-IT"/>
              </w:rPr>
            </w:pPr>
            <w:r w:rsidRPr="00EF4E67">
              <w:rPr>
                <w:rFonts w:cs="Arial"/>
                <w:szCs w:val="22"/>
                <w:lang w:eastAsia="it-IT"/>
              </w:rPr>
              <w:t>Проведення інформаційних заходів (розміщення  інфор</w:t>
            </w:r>
            <w:r w:rsidR="003E5778">
              <w:rPr>
                <w:rFonts w:cs="Arial"/>
                <w:szCs w:val="22"/>
                <w:lang w:eastAsia="it-IT"/>
              </w:rPr>
              <w:t>мації  про реалізацію  проє</w:t>
            </w:r>
            <w:r w:rsidRPr="00EF4E67">
              <w:rPr>
                <w:rFonts w:cs="Arial"/>
                <w:szCs w:val="22"/>
                <w:lang w:eastAsia="it-IT"/>
              </w:rPr>
              <w:t>кту у ЗМІ) .</w:t>
            </w:r>
          </w:p>
        </w:tc>
      </w:tr>
      <w:tr w:rsidR="00CB33C7" w:rsidRPr="00EF4E67" w14:paraId="36B28EF5" w14:textId="77777777" w:rsidTr="00EA6E27">
        <w:trPr>
          <w:jc w:val="right"/>
        </w:trPr>
        <w:tc>
          <w:tcPr>
            <w:tcW w:w="3425" w:type="dxa"/>
            <w:shd w:val="clear" w:color="auto" w:fill="FFFFFF"/>
            <w:vAlign w:val="center"/>
          </w:tcPr>
          <w:p w14:paraId="5EDF635D" w14:textId="77777777" w:rsidR="00CB33C7" w:rsidRPr="00EF4E67" w:rsidRDefault="00CB33C7" w:rsidP="00EF4E67">
            <w:pPr>
              <w:rPr>
                <w:rFonts w:cs="Arial"/>
                <w:b/>
                <w:bCs/>
                <w:color w:val="000000"/>
                <w:szCs w:val="22"/>
              </w:rPr>
            </w:pPr>
            <w:r w:rsidRPr="00EF4E67">
              <w:rPr>
                <w:rFonts w:cs="Arial"/>
                <w:b/>
                <w:bCs/>
                <w:color w:val="000000"/>
                <w:szCs w:val="22"/>
              </w:rPr>
              <w:t>Індикатори (показники) результативності:</w:t>
            </w:r>
          </w:p>
        </w:tc>
        <w:tc>
          <w:tcPr>
            <w:tcW w:w="6794" w:type="dxa"/>
            <w:gridSpan w:val="9"/>
          </w:tcPr>
          <w:p w14:paraId="3AF3D155" w14:textId="77777777" w:rsidR="00CB33C7" w:rsidRPr="00EF4E67" w:rsidRDefault="00CB33C7" w:rsidP="00EF4E67">
            <w:pPr>
              <w:rPr>
                <w:rFonts w:cs="Arial"/>
                <w:szCs w:val="22"/>
                <w:lang w:eastAsia="it-IT"/>
              </w:rPr>
            </w:pPr>
            <w:r w:rsidRPr="00EF4E67">
              <w:rPr>
                <w:rFonts w:eastAsia="Arial" w:cs="Arial"/>
                <w:szCs w:val="22"/>
                <w:lang w:eastAsia="en-US"/>
              </w:rPr>
              <w:t xml:space="preserve">Площа ремонтованого покриття проїзної частини, з’їздів, розширень, площадок: 3658 </w:t>
            </w:r>
            <w:r w:rsidRPr="00EF4E67">
              <w:rPr>
                <w:rFonts w:cs="Arial"/>
                <w:color w:val="000000"/>
                <w:szCs w:val="22"/>
              </w:rPr>
              <w:t>м</w:t>
            </w:r>
            <w:r w:rsidRPr="00EF4E67">
              <w:rPr>
                <w:rFonts w:cs="Arial"/>
                <w:color w:val="000000"/>
                <w:szCs w:val="22"/>
                <w:vertAlign w:val="superscript"/>
              </w:rPr>
              <w:t xml:space="preserve">2  </w:t>
            </w:r>
            <w:r w:rsidRPr="00EF4E67">
              <w:rPr>
                <w:rFonts w:eastAsia="Arial" w:cs="Arial"/>
                <w:szCs w:val="22"/>
                <w:lang w:eastAsia="en-US"/>
              </w:rPr>
              <w:t xml:space="preserve">та площа присипних узбіч: 484,2 </w:t>
            </w:r>
            <w:r w:rsidRPr="00EF4E67">
              <w:rPr>
                <w:rFonts w:cs="Arial"/>
                <w:color w:val="000000"/>
                <w:szCs w:val="22"/>
              </w:rPr>
              <w:t>м</w:t>
            </w:r>
            <w:r w:rsidRPr="00EF4E67">
              <w:rPr>
                <w:rFonts w:cs="Arial"/>
                <w:color w:val="000000"/>
                <w:szCs w:val="22"/>
                <w:vertAlign w:val="superscript"/>
              </w:rPr>
              <w:t>2</w:t>
            </w:r>
          </w:p>
        </w:tc>
      </w:tr>
      <w:tr w:rsidR="00CB33C7" w:rsidRPr="00EF4E67" w14:paraId="7DF08CAE" w14:textId="77777777" w:rsidTr="00EA6E27">
        <w:trPr>
          <w:jc w:val="right"/>
        </w:trPr>
        <w:tc>
          <w:tcPr>
            <w:tcW w:w="3425" w:type="dxa"/>
            <w:shd w:val="clear" w:color="auto" w:fill="FFFFFF"/>
            <w:vAlign w:val="center"/>
          </w:tcPr>
          <w:p w14:paraId="7B23281D" w14:textId="77777777" w:rsidR="00CB33C7" w:rsidRPr="00EF4E67" w:rsidRDefault="00CB33C7" w:rsidP="00EF4E67">
            <w:pPr>
              <w:rPr>
                <w:rFonts w:cs="Arial"/>
                <w:b/>
                <w:color w:val="000000"/>
                <w:szCs w:val="22"/>
              </w:rPr>
            </w:pPr>
            <w:r w:rsidRPr="00EF4E67">
              <w:rPr>
                <w:rFonts w:cs="Arial"/>
                <w:b/>
                <w:color w:val="000000"/>
                <w:szCs w:val="22"/>
              </w:rPr>
              <w:t xml:space="preserve">Період здійснення: </w:t>
            </w:r>
          </w:p>
        </w:tc>
        <w:tc>
          <w:tcPr>
            <w:tcW w:w="6794" w:type="dxa"/>
            <w:gridSpan w:val="9"/>
            <w:vAlign w:val="center"/>
          </w:tcPr>
          <w:p w14:paraId="0EC6DBF2" w14:textId="77777777" w:rsidR="00CB33C7" w:rsidRPr="00EF4E67" w:rsidRDefault="00CB33C7" w:rsidP="00EF4E67">
            <w:pPr>
              <w:rPr>
                <w:rFonts w:cs="Arial"/>
                <w:color w:val="000000"/>
                <w:szCs w:val="22"/>
                <w:lang w:eastAsia="it-IT"/>
              </w:rPr>
            </w:pPr>
            <w:r w:rsidRPr="00EF4E67">
              <w:rPr>
                <w:rFonts w:cs="Arial"/>
                <w:b/>
                <w:color w:val="000000"/>
                <w:szCs w:val="22"/>
              </w:rPr>
              <w:t>2025 – 2028 роки:</w:t>
            </w:r>
          </w:p>
        </w:tc>
      </w:tr>
      <w:tr w:rsidR="00CB33C7" w:rsidRPr="00EF4E67" w14:paraId="501552F6" w14:textId="77777777" w:rsidTr="00EA6E27">
        <w:trPr>
          <w:jc w:val="right"/>
        </w:trPr>
        <w:tc>
          <w:tcPr>
            <w:tcW w:w="3425" w:type="dxa"/>
            <w:vMerge w:val="restart"/>
            <w:shd w:val="clear" w:color="auto" w:fill="FFFFFF"/>
            <w:vAlign w:val="center"/>
          </w:tcPr>
          <w:p w14:paraId="1051F124" w14:textId="77777777" w:rsidR="00CB33C7" w:rsidRPr="00EF4E67" w:rsidRDefault="00CB33C7" w:rsidP="00EF4E67">
            <w:pPr>
              <w:rPr>
                <w:rFonts w:cs="Arial"/>
                <w:b/>
                <w:bCs/>
                <w:color w:val="000000"/>
                <w:szCs w:val="22"/>
              </w:rPr>
            </w:pPr>
            <w:r w:rsidRPr="00EF4E67">
              <w:rPr>
                <w:rFonts w:cs="Arial"/>
                <w:b/>
                <w:bCs/>
                <w:color w:val="000000"/>
                <w:szCs w:val="22"/>
              </w:rPr>
              <w:t>Орієнтовна вартість проєкту, тис. грн., в тому числі:</w:t>
            </w:r>
          </w:p>
        </w:tc>
        <w:tc>
          <w:tcPr>
            <w:tcW w:w="1254" w:type="dxa"/>
            <w:gridSpan w:val="2"/>
            <w:shd w:val="clear" w:color="auto" w:fill="E6E6E6"/>
            <w:vAlign w:val="center"/>
          </w:tcPr>
          <w:p w14:paraId="329CA45B" w14:textId="77777777" w:rsidR="00CB33C7" w:rsidRPr="00EF4E67" w:rsidRDefault="00CB33C7" w:rsidP="00EF4E67">
            <w:pPr>
              <w:jc w:val="center"/>
              <w:rPr>
                <w:rFonts w:cs="Arial"/>
                <w:b/>
                <w:color w:val="000000"/>
                <w:szCs w:val="22"/>
                <w:lang w:eastAsia="it-IT"/>
              </w:rPr>
            </w:pPr>
            <w:r w:rsidRPr="00EF4E67">
              <w:rPr>
                <w:rFonts w:cs="Arial"/>
                <w:b/>
                <w:color w:val="000000"/>
                <w:szCs w:val="22"/>
                <w:lang w:eastAsia="it-IT"/>
              </w:rPr>
              <w:t>2025</w:t>
            </w:r>
          </w:p>
        </w:tc>
        <w:tc>
          <w:tcPr>
            <w:tcW w:w="1412" w:type="dxa"/>
            <w:shd w:val="clear" w:color="auto" w:fill="E6E6E6"/>
            <w:vAlign w:val="center"/>
          </w:tcPr>
          <w:p w14:paraId="3E5A0C54" w14:textId="77777777" w:rsidR="00CB33C7" w:rsidRPr="00EF4E67" w:rsidRDefault="00CB33C7" w:rsidP="00EF4E67">
            <w:pPr>
              <w:jc w:val="center"/>
              <w:rPr>
                <w:rFonts w:cs="Arial"/>
                <w:b/>
                <w:color w:val="000000"/>
                <w:szCs w:val="22"/>
                <w:lang w:eastAsia="it-IT"/>
              </w:rPr>
            </w:pPr>
            <w:r w:rsidRPr="00EF4E67">
              <w:rPr>
                <w:rFonts w:cs="Arial"/>
                <w:b/>
                <w:color w:val="000000"/>
                <w:szCs w:val="22"/>
                <w:lang w:eastAsia="it-IT"/>
              </w:rPr>
              <w:t>2026</w:t>
            </w:r>
          </w:p>
        </w:tc>
        <w:tc>
          <w:tcPr>
            <w:tcW w:w="1281" w:type="dxa"/>
            <w:gridSpan w:val="2"/>
            <w:tcBorders>
              <w:bottom w:val="single" w:sz="4" w:space="0" w:color="auto"/>
            </w:tcBorders>
            <w:shd w:val="clear" w:color="auto" w:fill="E6E6E6"/>
            <w:vAlign w:val="center"/>
          </w:tcPr>
          <w:p w14:paraId="1F97C11E" w14:textId="77777777" w:rsidR="00CB33C7" w:rsidRPr="00EF4E67" w:rsidRDefault="00CB33C7" w:rsidP="00EF4E67">
            <w:pPr>
              <w:jc w:val="center"/>
              <w:rPr>
                <w:rFonts w:cs="Arial"/>
                <w:b/>
                <w:color w:val="000000"/>
                <w:szCs w:val="22"/>
                <w:lang w:eastAsia="it-IT"/>
              </w:rPr>
            </w:pPr>
            <w:r w:rsidRPr="00EF4E67">
              <w:rPr>
                <w:rFonts w:cs="Arial"/>
                <w:b/>
                <w:color w:val="000000"/>
                <w:szCs w:val="22"/>
                <w:lang w:eastAsia="it-IT"/>
              </w:rPr>
              <w:t>2027</w:t>
            </w:r>
          </w:p>
        </w:tc>
        <w:tc>
          <w:tcPr>
            <w:tcW w:w="1276" w:type="dxa"/>
            <w:gridSpan w:val="2"/>
            <w:shd w:val="clear" w:color="auto" w:fill="E6E6E6"/>
            <w:vAlign w:val="center"/>
          </w:tcPr>
          <w:p w14:paraId="1BD86422" w14:textId="77777777" w:rsidR="00CB33C7" w:rsidRPr="00EF4E67" w:rsidRDefault="00CB33C7" w:rsidP="00EF4E67">
            <w:pPr>
              <w:jc w:val="center"/>
              <w:rPr>
                <w:rFonts w:cs="Arial"/>
                <w:b/>
                <w:color w:val="000000"/>
                <w:szCs w:val="22"/>
                <w:lang w:eastAsia="it-IT"/>
              </w:rPr>
            </w:pPr>
            <w:r w:rsidRPr="00EF4E67">
              <w:rPr>
                <w:rFonts w:cs="Arial"/>
                <w:b/>
                <w:color w:val="000000"/>
                <w:szCs w:val="22"/>
                <w:lang w:eastAsia="it-IT"/>
              </w:rPr>
              <w:t>2028</w:t>
            </w:r>
          </w:p>
        </w:tc>
        <w:tc>
          <w:tcPr>
            <w:tcW w:w="1571" w:type="dxa"/>
            <w:gridSpan w:val="2"/>
            <w:shd w:val="clear" w:color="auto" w:fill="E6E6E6"/>
            <w:vAlign w:val="center"/>
          </w:tcPr>
          <w:p w14:paraId="578623B9" w14:textId="77777777" w:rsidR="00CB33C7" w:rsidRPr="00EF4E67" w:rsidRDefault="00CB33C7" w:rsidP="00EF4E67">
            <w:pPr>
              <w:jc w:val="center"/>
              <w:rPr>
                <w:rFonts w:cs="Arial"/>
                <w:b/>
                <w:color w:val="000000"/>
                <w:szCs w:val="22"/>
                <w:lang w:eastAsia="it-IT"/>
              </w:rPr>
            </w:pPr>
            <w:r w:rsidRPr="00EF4E67">
              <w:rPr>
                <w:rFonts w:cs="Arial"/>
                <w:b/>
                <w:color w:val="000000"/>
                <w:szCs w:val="22"/>
                <w:lang w:eastAsia="it-IT"/>
              </w:rPr>
              <w:t>РАЗОМ</w:t>
            </w:r>
          </w:p>
        </w:tc>
      </w:tr>
      <w:tr w:rsidR="00CB33C7" w:rsidRPr="00EF4E67" w14:paraId="53D2563D" w14:textId="77777777" w:rsidTr="00EA6E27">
        <w:trPr>
          <w:jc w:val="right"/>
        </w:trPr>
        <w:tc>
          <w:tcPr>
            <w:tcW w:w="3425" w:type="dxa"/>
            <w:vMerge/>
            <w:shd w:val="clear" w:color="auto" w:fill="FFFFFF"/>
            <w:vAlign w:val="center"/>
          </w:tcPr>
          <w:p w14:paraId="5D1C90A4" w14:textId="77777777" w:rsidR="00CB33C7" w:rsidRPr="00EF4E67" w:rsidRDefault="00CB33C7" w:rsidP="00EF4E67">
            <w:pPr>
              <w:rPr>
                <w:rFonts w:cs="Arial"/>
                <w:b/>
                <w:bCs/>
                <w:color w:val="000000"/>
                <w:szCs w:val="22"/>
              </w:rPr>
            </w:pPr>
          </w:p>
        </w:tc>
        <w:tc>
          <w:tcPr>
            <w:tcW w:w="1254" w:type="dxa"/>
            <w:gridSpan w:val="2"/>
            <w:vAlign w:val="center"/>
          </w:tcPr>
          <w:p w14:paraId="2BE5C549" w14:textId="77777777" w:rsidR="00CB33C7" w:rsidRPr="00EF4E67" w:rsidRDefault="00CB33C7" w:rsidP="00EF4E67">
            <w:pPr>
              <w:jc w:val="center"/>
              <w:rPr>
                <w:rFonts w:cs="Arial"/>
                <w:b/>
                <w:color w:val="000000"/>
                <w:szCs w:val="22"/>
                <w:lang w:eastAsia="it-IT"/>
              </w:rPr>
            </w:pPr>
          </w:p>
        </w:tc>
        <w:tc>
          <w:tcPr>
            <w:tcW w:w="1412" w:type="dxa"/>
            <w:shd w:val="clear" w:color="auto" w:fill="FFFFFF"/>
            <w:vAlign w:val="center"/>
          </w:tcPr>
          <w:p w14:paraId="28CE55F7" w14:textId="77777777" w:rsidR="00CB33C7" w:rsidRPr="00EF4E67" w:rsidRDefault="00CB33C7" w:rsidP="00EF4E67">
            <w:pPr>
              <w:jc w:val="center"/>
              <w:rPr>
                <w:rFonts w:cs="Arial"/>
                <w:color w:val="000000"/>
                <w:szCs w:val="22"/>
                <w:lang w:eastAsia="it-IT"/>
              </w:rPr>
            </w:pPr>
            <w:r w:rsidRPr="00EF4E67">
              <w:rPr>
                <w:rFonts w:cs="Arial"/>
                <w:color w:val="000000"/>
                <w:szCs w:val="22"/>
                <w:lang w:eastAsia="it-IT"/>
              </w:rPr>
              <w:t>2217,503</w:t>
            </w:r>
          </w:p>
        </w:tc>
        <w:tc>
          <w:tcPr>
            <w:tcW w:w="1281" w:type="dxa"/>
            <w:gridSpan w:val="2"/>
            <w:shd w:val="clear" w:color="auto" w:fill="auto"/>
            <w:vAlign w:val="center"/>
          </w:tcPr>
          <w:p w14:paraId="0EC4B369" w14:textId="77777777" w:rsidR="00CB33C7" w:rsidRPr="00EF4E67" w:rsidRDefault="00CB33C7" w:rsidP="00EF4E67">
            <w:pPr>
              <w:jc w:val="center"/>
              <w:rPr>
                <w:rFonts w:cs="Arial"/>
                <w:b/>
                <w:color w:val="000000"/>
                <w:szCs w:val="22"/>
                <w:lang w:eastAsia="it-IT"/>
              </w:rPr>
            </w:pPr>
          </w:p>
        </w:tc>
        <w:tc>
          <w:tcPr>
            <w:tcW w:w="1276" w:type="dxa"/>
            <w:gridSpan w:val="2"/>
            <w:shd w:val="clear" w:color="auto" w:fill="FFFFFF"/>
            <w:vAlign w:val="center"/>
          </w:tcPr>
          <w:p w14:paraId="2B236BFB" w14:textId="77777777" w:rsidR="00CB33C7" w:rsidRPr="00EF4E67" w:rsidRDefault="00CB33C7" w:rsidP="00EF4E67">
            <w:pPr>
              <w:jc w:val="center"/>
              <w:rPr>
                <w:rFonts w:cs="Arial"/>
                <w:b/>
                <w:color w:val="000000"/>
                <w:szCs w:val="22"/>
                <w:lang w:eastAsia="it-IT"/>
              </w:rPr>
            </w:pPr>
          </w:p>
        </w:tc>
        <w:tc>
          <w:tcPr>
            <w:tcW w:w="1571" w:type="dxa"/>
            <w:gridSpan w:val="2"/>
            <w:shd w:val="clear" w:color="auto" w:fill="FFFFFF"/>
            <w:vAlign w:val="center"/>
          </w:tcPr>
          <w:p w14:paraId="08F255CD" w14:textId="77777777" w:rsidR="00CB33C7" w:rsidRPr="00EF4E67" w:rsidRDefault="00CB33C7" w:rsidP="00EF4E67">
            <w:pPr>
              <w:jc w:val="center"/>
              <w:rPr>
                <w:rFonts w:cs="Arial"/>
                <w:b/>
                <w:color w:val="000000"/>
                <w:szCs w:val="22"/>
                <w:lang w:eastAsia="it-IT"/>
              </w:rPr>
            </w:pPr>
            <w:r w:rsidRPr="00EF4E67">
              <w:rPr>
                <w:rFonts w:cs="Arial"/>
                <w:b/>
                <w:color w:val="000000"/>
                <w:szCs w:val="22"/>
                <w:lang w:eastAsia="it-IT"/>
              </w:rPr>
              <w:t>2217,503</w:t>
            </w:r>
          </w:p>
        </w:tc>
      </w:tr>
      <w:tr w:rsidR="00CB33C7" w:rsidRPr="00EF4E67" w14:paraId="2EA66D7E" w14:textId="77777777" w:rsidTr="00EA6E27">
        <w:trPr>
          <w:trHeight w:val="276"/>
          <w:jc w:val="right"/>
        </w:trPr>
        <w:tc>
          <w:tcPr>
            <w:tcW w:w="3425" w:type="dxa"/>
            <w:shd w:val="clear" w:color="auto" w:fill="FFFFFF"/>
            <w:vAlign w:val="center"/>
          </w:tcPr>
          <w:p w14:paraId="474347EA" w14:textId="77777777" w:rsidR="00CB33C7" w:rsidRPr="00EF4E67" w:rsidRDefault="00CB33C7" w:rsidP="00EF4E67">
            <w:pPr>
              <w:rPr>
                <w:rFonts w:cs="Arial"/>
                <w:b/>
                <w:bCs/>
                <w:color w:val="000000"/>
                <w:szCs w:val="22"/>
              </w:rPr>
            </w:pPr>
            <w:r w:rsidRPr="00EF4E67">
              <w:rPr>
                <w:rFonts w:cs="Arial"/>
                <w:b/>
                <w:bCs/>
                <w:color w:val="000000"/>
                <w:szCs w:val="22"/>
              </w:rPr>
              <w:t>по джерелах фінансування:</w:t>
            </w:r>
          </w:p>
        </w:tc>
        <w:tc>
          <w:tcPr>
            <w:tcW w:w="6794" w:type="dxa"/>
            <w:gridSpan w:val="9"/>
            <w:vAlign w:val="center"/>
          </w:tcPr>
          <w:p w14:paraId="7B2AA91B" w14:textId="77777777" w:rsidR="00CB33C7" w:rsidRPr="00EF4E67" w:rsidRDefault="00CB33C7" w:rsidP="00EF4E67">
            <w:pPr>
              <w:jc w:val="both"/>
              <w:rPr>
                <w:rFonts w:cs="Arial"/>
                <w:color w:val="000000"/>
                <w:szCs w:val="22"/>
                <w:lang w:eastAsia="it-IT"/>
              </w:rPr>
            </w:pPr>
          </w:p>
        </w:tc>
      </w:tr>
      <w:tr w:rsidR="00EF4E67" w:rsidRPr="00EF4E67" w14:paraId="762E0F20" w14:textId="565E9751" w:rsidTr="00EF4E67">
        <w:trPr>
          <w:trHeight w:val="240"/>
          <w:jc w:val="right"/>
        </w:trPr>
        <w:tc>
          <w:tcPr>
            <w:tcW w:w="3425" w:type="dxa"/>
            <w:shd w:val="clear" w:color="auto" w:fill="FFFFFF"/>
            <w:vAlign w:val="center"/>
          </w:tcPr>
          <w:p w14:paraId="41C337D7" w14:textId="77777777" w:rsidR="00EF4E67" w:rsidRPr="00EF4E67" w:rsidRDefault="00EF4E67" w:rsidP="00EF4E67">
            <w:pPr>
              <w:rPr>
                <w:rFonts w:cs="Arial"/>
                <w:b/>
                <w:bCs/>
                <w:color w:val="000000"/>
                <w:szCs w:val="22"/>
              </w:rPr>
            </w:pPr>
            <w:r w:rsidRPr="00EF4E67">
              <w:rPr>
                <w:rFonts w:cs="Arial"/>
                <w:color w:val="000000"/>
                <w:szCs w:val="22"/>
              </w:rPr>
              <w:t>- державний бюджет</w:t>
            </w:r>
          </w:p>
        </w:tc>
        <w:tc>
          <w:tcPr>
            <w:tcW w:w="1240" w:type="dxa"/>
            <w:vAlign w:val="center"/>
          </w:tcPr>
          <w:p w14:paraId="79420E5D" w14:textId="77777777" w:rsidR="00EF4E67" w:rsidRPr="00EF4E67" w:rsidRDefault="00EF4E67" w:rsidP="00EF4E67">
            <w:pPr>
              <w:jc w:val="both"/>
              <w:rPr>
                <w:rFonts w:cs="Arial"/>
                <w:color w:val="000000"/>
                <w:szCs w:val="22"/>
                <w:lang w:eastAsia="it-IT"/>
              </w:rPr>
            </w:pPr>
          </w:p>
        </w:tc>
        <w:tc>
          <w:tcPr>
            <w:tcW w:w="1460" w:type="dxa"/>
            <w:gridSpan w:val="3"/>
            <w:vAlign w:val="center"/>
          </w:tcPr>
          <w:p w14:paraId="2F7F6C71" w14:textId="77777777" w:rsidR="00EF4E67" w:rsidRPr="00EF4E67" w:rsidRDefault="00EF4E67" w:rsidP="00EF4E67">
            <w:pPr>
              <w:jc w:val="both"/>
              <w:rPr>
                <w:rFonts w:cs="Arial"/>
                <w:color w:val="000000"/>
                <w:szCs w:val="22"/>
                <w:lang w:eastAsia="it-IT"/>
              </w:rPr>
            </w:pPr>
          </w:p>
        </w:tc>
        <w:tc>
          <w:tcPr>
            <w:tcW w:w="1260" w:type="dxa"/>
            <w:gridSpan w:val="2"/>
            <w:vAlign w:val="center"/>
          </w:tcPr>
          <w:p w14:paraId="69BCFF16" w14:textId="77777777" w:rsidR="00EF4E67" w:rsidRPr="00EF4E67" w:rsidRDefault="00EF4E67" w:rsidP="00EF4E67">
            <w:pPr>
              <w:jc w:val="both"/>
              <w:rPr>
                <w:rFonts w:cs="Arial"/>
                <w:color w:val="000000"/>
                <w:szCs w:val="22"/>
                <w:lang w:eastAsia="it-IT"/>
              </w:rPr>
            </w:pPr>
          </w:p>
        </w:tc>
        <w:tc>
          <w:tcPr>
            <w:tcW w:w="1310" w:type="dxa"/>
            <w:gridSpan w:val="2"/>
            <w:vAlign w:val="center"/>
          </w:tcPr>
          <w:p w14:paraId="0B1EB94A" w14:textId="77777777" w:rsidR="00EF4E67" w:rsidRPr="00EF4E67" w:rsidRDefault="00EF4E67" w:rsidP="00EF4E67">
            <w:pPr>
              <w:jc w:val="both"/>
              <w:rPr>
                <w:rFonts w:cs="Arial"/>
                <w:color w:val="000000"/>
                <w:szCs w:val="22"/>
                <w:lang w:eastAsia="it-IT"/>
              </w:rPr>
            </w:pPr>
          </w:p>
        </w:tc>
        <w:tc>
          <w:tcPr>
            <w:tcW w:w="1524" w:type="dxa"/>
            <w:vAlign w:val="center"/>
          </w:tcPr>
          <w:p w14:paraId="05DFD486" w14:textId="77777777" w:rsidR="00EF4E67" w:rsidRPr="00EF4E67" w:rsidRDefault="00EF4E67" w:rsidP="00EF4E67">
            <w:pPr>
              <w:jc w:val="both"/>
              <w:rPr>
                <w:rFonts w:cs="Arial"/>
                <w:color w:val="000000"/>
                <w:szCs w:val="22"/>
                <w:lang w:eastAsia="it-IT"/>
              </w:rPr>
            </w:pPr>
          </w:p>
        </w:tc>
      </w:tr>
      <w:tr w:rsidR="00EF4E67" w:rsidRPr="00EF4E67" w14:paraId="65EF840A" w14:textId="64BF44FB" w:rsidTr="00EF4E67">
        <w:trPr>
          <w:trHeight w:val="254"/>
          <w:jc w:val="right"/>
        </w:trPr>
        <w:tc>
          <w:tcPr>
            <w:tcW w:w="3425" w:type="dxa"/>
            <w:shd w:val="clear" w:color="auto" w:fill="FFFFFF"/>
            <w:vAlign w:val="center"/>
          </w:tcPr>
          <w:p w14:paraId="60073CE1" w14:textId="77777777" w:rsidR="00EF4E67" w:rsidRPr="00EF4E67" w:rsidRDefault="00EF4E67" w:rsidP="00EF4E67">
            <w:pPr>
              <w:rPr>
                <w:rFonts w:cs="Arial"/>
                <w:color w:val="000000"/>
                <w:szCs w:val="22"/>
              </w:rPr>
            </w:pPr>
            <w:r w:rsidRPr="00EF4E67">
              <w:rPr>
                <w:rFonts w:cs="Arial"/>
                <w:color w:val="000000"/>
                <w:szCs w:val="22"/>
              </w:rPr>
              <w:t>- обласний бюджет</w:t>
            </w:r>
          </w:p>
        </w:tc>
        <w:tc>
          <w:tcPr>
            <w:tcW w:w="1240" w:type="dxa"/>
            <w:vAlign w:val="center"/>
          </w:tcPr>
          <w:p w14:paraId="10B76021" w14:textId="77777777" w:rsidR="00EF4E67" w:rsidRPr="00EF4E67" w:rsidRDefault="00EF4E67" w:rsidP="00EF4E67">
            <w:pPr>
              <w:jc w:val="both"/>
              <w:rPr>
                <w:rFonts w:cs="Arial"/>
                <w:color w:val="000000"/>
                <w:szCs w:val="22"/>
                <w:lang w:eastAsia="it-IT"/>
              </w:rPr>
            </w:pPr>
          </w:p>
        </w:tc>
        <w:tc>
          <w:tcPr>
            <w:tcW w:w="1460" w:type="dxa"/>
            <w:gridSpan w:val="3"/>
            <w:vAlign w:val="center"/>
          </w:tcPr>
          <w:p w14:paraId="6B2BF1A3" w14:textId="77777777" w:rsidR="00EF4E67" w:rsidRPr="00EF4E67" w:rsidRDefault="00EF4E67" w:rsidP="00EF4E67">
            <w:pPr>
              <w:jc w:val="both"/>
              <w:rPr>
                <w:rFonts w:cs="Arial"/>
                <w:color w:val="000000"/>
                <w:szCs w:val="22"/>
                <w:lang w:eastAsia="it-IT"/>
              </w:rPr>
            </w:pPr>
          </w:p>
        </w:tc>
        <w:tc>
          <w:tcPr>
            <w:tcW w:w="1260" w:type="dxa"/>
            <w:gridSpan w:val="2"/>
            <w:vAlign w:val="center"/>
          </w:tcPr>
          <w:p w14:paraId="75B0E163" w14:textId="77777777" w:rsidR="00EF4E67" w:rsidRPr="00EF4E67" w:rsidRDefault="00EF4E67" w:rsidP="00EF4E67">
            <w:pPr>
              <w:jc w:val="both"/>
              <w:rPr>
                <w:rFonts w:cs="Arial"/>
                <w:color w:val="000000"/>
                <w:szCs w:val="22"/>
                <w:lang w:eastAsia="it-IT"/>
              </w:rPr>
            </w:pPr>
          </w:p>
        </w:tc>
        <w:tc>
          <w:tcPr>
            <w:tcW w:w="1310" w:type="dxa"/>
            <w:gridSpan w:val="2"/>
            <w:vAlign w:val="center"/>
          </w:tcPr>
          <w:p w14:paraId="710D7150" w14:textId="77777777" w:rsidR="00EF4E67" w:rsidRPr="00EF4E67" w:rsidRDefault="00EF4E67" w:rsidP="00EF4E67">
            <w:pPr>
              <w:jc w:val="both"/>
              <w:rPr>
                <w:rFonts w:cs="Arial"/>
                <w:color w:val="000000"/>
                <w:szCs w:val="22"/>
                <w:lang w:eastAsia="it-IT"/>
              </w:rPr>
            </w:pPr>
          </w:p>
        </w:tc>
        <w:tc>
          <w:tcPr>
            <w:tcW w:w="1524" w:type="dxa"/>
            <w:vAlign w:val="center"/>
          </w:tcPr>
          <w:p w14:paraId="18C64C98" w14:textId="77777777" w:rsidR="00EF4E67" w:rsidRPr="00EF4E67" w:rsidRDefault="00EF4E67" w:rsidP="00EF4E67">
            <w:pPr>
              <w:jc w:val="both"/>
              <w:rPr>
                <w:rFonts w:cs="Arial"/>
                <w:color w:val="000000"/>
                <w:szCs w:val="22"/>
                <w:lang w:eastAsia="it-IT"/>
              </w:rPr>
            </w:pPr>
          </w:p>
        </w:tc>
      </w:tr>
      <w:tr w:rsidR="00EF4E67" w:rsidRPr="00EF4E67" w14:paraId="4A8ADB12" w14:textId="388A6B5B" w:rsidTr="00EF4E67">
        <w:trPr>
          <w:trHeight w:val="275"/>
          <w:jc w:val="right"/>
        </w:trPr>
        <w:tc>
          <w:tcPr>
            <w:tcW w:w="3425" w:type="dxa"/>
            <w:shd w:val="clear" w:color="auto" w:fill="FFFFFF"/>
            <w:vAlign w:val="center"/>
          </w:tcPr>
          <w:p w14:paraId="30A95A5C" w14:textId="77777777" w:rsidR="00EF4E67" w:rsidRPr="00EF4E67" w:rsidRDefault="00EF4E67" w:rsidP="00EF4E67">
            <w:pPr>
              <w:rPr>
                <w:rFonts w:cs="Arial"/>
                <w:color w:val="000000"/>
                <w:szCs w:val="22"/>
              </w:rPr>
            </w:pPr>
            <w:r w:rsidRPr="00EF4E67">
              <w:rPr>
                <w:rFonts w:cs="Arial"/>
                <w:color w:val="000000"/>
                <w:szCs w:val="22"/>
              </w:rPr>
              <w:t>- бюджет Жмеринської МТГ</w:t>
            </w:r>
          </w:p>
        </w:tc>
        <w:tc>
          <w:tcPr>
            <w:tcW w:w="1240" w:type="dxa"/>
            <w:vAlign w:val="center"/>
          </w:tcPr>
          <w:p w14:paraId="6BFC5662" w14:textId="34C896FF" w:rsidR="00EF4E67" w:rsidRPr="00EF4E67" w:rsidRDefault="00EF4E67" w:rsidP="00EF4E67">
            <w:pPr>
              <w:jc w:val="both"/>
              <w:rPr>
                <w:rFonts w:cs="Arial"/>
                <w:color w:val="000000"/>
                <w:szCs w:val="22"/>
                <w:lang w:eastAsia="it-IT"/>
              </w:rPr>
            </w:pPr>
          </w:p>
        </w:tc>
        <w:tc>
          <w:tcPr>
            <w:tcW w:w="1460" w:type="dxa"/>
            <w:gridSpan w:val="3"/>
            <w:vAlign w:val="center"/>
          </w:tcPr>
          <w:p w14:paraId="7DC14861" w14:textId="77A1D852" w:rsidR="00EF4E67" w:rsidRPr="00EF4E67" w:rsidRDefault="00EF4E67" w:rsidP="00EF4E67">
            <w:pPr>
              <w:jc w:val="both"/>
              <w:rPr>
                <w:rFonts w:cs="Arial"/>
                <w:color w:val="000000"/>
                <w:szCs w:val="22"/>
                <w:lang w:eastAsia="it-IT"/>
              </w:rPr>
            </w:pPr>
            <w:r w:rsidRPr="00EF4E67">
              <w:rPr>
                <w:rFonts w:cs="Arial"/>
                <w:color w:val="000000"/>
                <w:szCs w:val="22"/>
                <w:lang w:eastAsia="it-IT"/>
              </w:rPr>
              <w:t>2217,503</w:t>
            </w:r>
          </w:p>
        </w:tc>
        <w:tc>
          <w:tcPr>
            <w:tcW w:w="1260" w:type="dxa"/>
            <w:gridSpan w:val="2"/>
            <w:vAlign w:val="center"/>
          </w:tcPr>
          <w:p w14:paraId="329511FC" w14:textId="77777777" w:rsidR="00EF4E67" w:rsidRPr="00EF4E67" w:rsidRDefault="00EF4E67" w:rsidP="00EF4E67">
            <w:pPr>
              <w:jc w:val="both"/>
              <w:rPr>
                <w:rFonts w:cs="Arial"/>
                <w:color w:val="000000"/>
                <w:szCs w:val="22"/>
                <w:lang w:eastAsia="it-IT"/>
              </w:rPr>
            </w:pPr>
          </w:p>
        </w:tc>
        <w:tc>
          <w:tcPr>
            <w:tcW w:w="1310" w:type="dxa"/>
            <w:gridSpan w:val="2"/>
            <w:vAlign w:val="center"/>
          </w:tcPr>
          <w:p w14:paraId="40DF063E" w14:textId="77777777" w:rsidR="00EF4E67" w:rsidRPr="00EF4E67" w:rsidRDefault="00EF4E67" w:rsidP="00EF4E67">
            <w:pPr>
              <w:jc w:val="both"/>
              <w:rPr>
                <w:rFonts w:cs="Arial"/>
                <w:color w:val="000000"/>
                <w:szCs w:val="22"/>
                <w:lang w:eastAsia="it-IT"/>
              </w:rPr>
            </w:pPr>
          </w:p>
        </w:tc>
        <w:tc>
          <w:tcPr>
            <w:tcW w:w="1524" w:type="dxa"/>
            <w:vAlign w:val="center"/>
          </w:tcPr>
          <w:p w14:paraId="31454E69" w14:textId="16F4AAEB" w:rsidR="00EF4E67" w:rsidRPr="00EF4E67" w:rsidRDefault="00EF4E67" w:rsidP="00EF4E67">
            <w:pPr>
              <w:jc w:val="both"/>
              <w:rPr>
                <w:rFonts w:cs="Arial"/>
                <w:color w:val="000000"/>
                <w:szCs w:val="22"/>
                <w:lang w:eastAsia="it-IT"/>
              </w:rPr>
            </w:pPr>
            <w:r w:rsidRPr="00EF4E67">
              <w:rPr>
                <w:rFonts w:cs="Arial"/>
                <w:b/>
                <w:color w:val="000000"/>
                <w:szCs w:val="22"/>
                <w:lang w:eastAsia="it-IT"/>
              </w:rPr>
              <w:t>2217,503</w:t>
            </w:r>
          </w:p>
        </w:tc>
      </w:tr>
      <w:tr w:rsidR="00EF4E67" w:rsidRPr="00EF4E67" w14:paraId="3336E7D3" w14:textId="2CB6A07C" w:rsidTr="00EF4E67">
        <w:trPr>
          <w:trHeight w:val="226"/>
          <w:jc w:val="right"/>
        </w:trPr>
        <w:tc>
          <w:tcPr>
            <w:tcW w:w="3425" w:type="dxa"/>
            <w:shd w:val="clear" w:color="auto" w:fill="FFFFFF"/>
            <w:vAlign w:val="center"/>
          </w:tcPr>
          <w:p w14:paraId="4C0329EA" w14:textId="77777777" w:rsidR="00EF4E67" w:rsidRPr="00EF4E67" w:rsidRDefault="00EF4E67" w:rsidP="00EF4E67">
            <w:pPr>
              <w:rPr>
                <w:rFonts w:cs="Arial"/>
                <w:color w:val="000000"/>
                <w:szCs w:val="22"/>
              </w:rPr>
            </w:pPr>
            <w:r w:rsidRPr="00EF4E67">
              <w:rPr>
                <w:rFonts w:cs="Arial"/>
                <w:color w:val="000000"/>
                <w:szCs w:val="22"/>
              </w:rPr>
              <w:t>- інші джерела фінансування</w:t>
            </w:r>
          </w:p>
        </w:tc>
        <w:tc>
          <w:tcPr>
            <w:tcW w:w="1240" w:type="dxa"/>
            <w:vAlign w:val="center"/>
          </w:tcPr>
          <w:p w14:paraId="306BD0D2" w14:textId="77777777" w:rsidR="00EF4E67" w:rsidRPr="00EF4E67" w:rsidRDefault="00EF4E67" w:rsidP="00EF4E67">
            <w:pPr>
              <w:jc w:val="both"/>
              <w:rPr>
                <w:rFonts w:cs="Arial"/>
                <w:color w:val="000000"/>
                <w:szCs w:val="22"/>
                <w:lang w:eastAsia="it-IT"/>
              </w:rPr>
            </w:pPr>
          </w:p>
        </w:tc>
        <w:tc>
          <w:tcPr>
            <w:tcW w:w="1460" w:type="dxa"/>
            <w:gridSpan w:val="3"/>
            <w:vAlign w:val="center"/>
          </w:tcPr>
          <w:p w14:paraId="60B2FFA4" w14:textId="77777777" w:rsidR="00EF4E67" w:rsidRPr="00EF4E67" w:rsidRDefault="00EF4E67" w:rsidP="00EF4E67">
            <w:pPr>
              <w:jc w:val="both"/>
              <w:rPr>
                <w:rFonts w:cs="Arial"/>
                <w:color w:val="000000"/>
                <w:szCs w:val="22"/>
                <w:lang w:eastAsia="it-IT"/>
              </w:rPr>
            </w:pPr>
          </w:p>
        </w:tc>
        <w:tc>
          <w:tcPr>
            <w:tcW w:w="1260" w:type="dxa"/>
            <w:gridSpan w:val="2"/>
            <w:vAlign w:val="center"/>
          </w:tcPr>
          <w:p w14:paraId="633E9F57" w14:textId="77777777" w:rsidR="00EF4E67" w:rsidRPr="00EF4E67" w:rsidRDefault="00EF4E67" w:rsidP="00EF4E67">
            <w:pPr>
              <w:jc w:val="both"/>
              <w:rPr>
                <w:rFonts w:cs="Arial"/>
                <w:color w:val="000000"/>
                <w:szCs w:val="22"/>
                <w:lang w:eastAsia="it-IT"/>
              </w:rPr>
            </w:pPr>
          </w:p>
        </w:tc>
        <w:tc>
          <w:tcPr>
            <w:tcW w:w="1310" w:type="dxa"/>
            <w:gridSpan w:val="2"/>
            <w:vAlign w:val="center"/>
          </w:tcPr>
          <w:p w14:paraId="2F77279A" w14:textId="77777777" w:rsidR="00EF4E67" w:rsidRPr="00EF4E67" w:rsidRDefault="00EF4E67" w:rsidP="00EF4E67">
            <w:pPr>
              <w:jc w:val="both"/>
              <w:rPr>
                <w:rFonts w:cs="Arial"/>
                <w:color w:val="000000"/>
                <w:szCs w:val="22"/>
                <w:lang w:eastAsia="it-IT"/>
              </w:rPr>
            </w:pPr>
          </w:p>
        </w:tc>
        <w:tc>
          <w:tcPr>
            <w:tcW w:w="1524" w:type="dxa"/>
            <w:vAlign w:val="center"/>
          </w:tcPr>
          <w:p w14:paraId="753790AE" w14:textId="77777777" w:rsidR="00EF4E67" w:rsidRPr="00EF4E67" w:rsidRDefault="00EF4E67" w:rsidP="00EF4E67">
            <w:pPr>
              <w:jc w:val="both"/>
              <w:rPr>
                <w:rFonts w:cs="Arial"/>
                <w:color w:val="000000"/>
                <w:szCs w:val="22"/>
                <w:lang w:eastAsia="it-IT"/>
              </w:rPr>
            </w:pPr>
          </w:p>
        </w:tc>
      </w:tr>
      <w:tr w:rsidR="00EF4E67" w:rsidRPr="00EF4E67" w14:paraId="27056672" w14:textId="77777777" w:rsidTr="00EA6E27">
        <w:trPr>
          <w:jc w:val="right"/>
        </w:trPr>
        <w:tc>
          <w:tcPr>
            <w:tcW w:w="3425" w:type="dxa"/>
            <w:shd w:val="clear" w:color="auto" w:fill="FFFFFF"/>
            <w:vAlign w:val="center"/>
          </w:tcPr>
          <w:p w14:paraId="5C6853D4" w14:textId="77777777" w:rsidR="00EF4E67" w:rsidRPr="00EF4E67" w:rsidRDefault="00EF4E67" w:rsidP="00EF4E67">
            <w:pPr>
              <w:rPr>
                <w:rFonts w:cs="Arial"/>
                <w:b/>
                <w:bCs/>
                <w:color w:val="000000"/>
                <w:szCs w:val="22"/>
              </w:rPr>
            </w:pPr>
            <w:r w:rsidRPr="00EF4E67">
              <w:rPr>
                <w:rFonts w:cs="Arial"/>
                <w:b/>
                <w:color w:val="000000"/>
                <w:szCs w:val="22"/>
              </w:rPr>
              <w:t>Відповідальний виконавець проєкту:</w:t>
            </w:r>
          </w:p>
        </w:tc>
        <w:tc>
          <w:tcPr>
            <w:tcW w:w="6794" w:type="dxa"/>
            <w:gridSpan w:val="9"/>
            <w:vAlign w:val="center"/>
          </w:tcPr>
          <w:p w14:paraId="697E22AE" w14:textId="4BAA68D9" w:rsidR="00EF4E67" w:rsidRPr="00EF4E67" w:rsidRDefault="00EF4E67" w:rsidP="00DD6DC0">
            <w:pPr>
              <w:jc w:val="both"/>
              <w:rPr>
                <w:rFonts w:cs="Arial"/>
                <w:color w:val="000000"/>
                <w:szCs w:val="22"/>
                <w:lang w:eastAsia="it-IT"/>
              </w:rPr>
            </w:pPr>
            <w:r w:rsidRPr="00EF4E67">
              <w:rPr>
                <w:rFonts w:cs="Arial"/>
                <w:color w:val="000000"/>
                <w:szCs w:val="22"/>
                <w:lang w:eastAsia="it-IT"/>
              </w:rPr>
              <w:t>Управління ЖКГ.</w:t>
            </w:r>
          </w:p>
        </w:tc>
      </w:tr>
      <w:tr w:rsidR="00EF4E67" w:rsidRPr="00EF4E67" w14:paraId="149A0AEC" w14:textId="77777777" w:rsidTr="00EA6E27">
        <w:trPr>
          <w:jc w:val="right"/>
        </w:trPr>
        <w:tc>
          <w:tcPr>
            <w:tcW w:w="3425" w:type="dxa"/>
            <w:shd w:val="clear" w:color="auto" w:fill="FFFFFF"/>
            <w:vAlign w:val="center"/>
          </w:tcPr>
          <w:p w14:paraId="1537F936" w14:textId="77777777" w:rsidR="00EF4E67" w:rsidRPr="00EF4E67" w:rsidRDefault="00EF4E67" w:rsidP="00EF4E67">
            <w:pPr>
              <w:rPr>
                <w:rFonts w:cs="Arial"/>
                <w:b/>
                <w:bCs/>
                <w:color w:val="000000"/>
                <w:szCs w:val="22"/>
              </w:rPr>
            </w:pPr>
            <w:r w:rsidRPr="00EF4E67">
              <w:rPr>
                <w:rFonts w:cs="Arial"/>
                <w:b/>
                <w:bCs/>
                <w:color w:val="000000"/>
                <w:szCs w:val="22"/>
              </w:rPr>
              <w:t>Інше:</w:t>
            </w:r>
          </w:p>
        </w:tc>
        <w:tc>
          <w:tcPr>
            <w:tcW w:w="6794" w:type="dxa"/>
            <w:gridSpan w:val="9"/>
            <w:vAlign w:val="center"/>
          </w:tcPr>
          <w:p w14:paraId="4A680BD0" w14:textId="77777777" w:rsidR="00EF4E67" w:rsidRPr="00EF4E67" w:rsidRDefault="00EF4E67" w:rsidP="00EF4E67">
            <w:pPr>
              <w:rPr>
                <w:rFonts w:cs="Arial"/>
                <w:color w:val="000000"/>
                <w:szCs w:val="22"/>
                <w:lang w:eastAsia="it-IT"/>
              </w:rPr>
            </w:pPr>
          </w:p>
        </w:tc>
      </w:tr>
    </w:tbl>
    <w:p w14:paraId="74A1C9D6" w14:textId="77777777" w:rsidR="00CB33C7" w:rsidRPr="00C2587D" w:rsidRDefault="00CB33C7" w:rsidP="00CB33C7"/>
    <w:p w14:paraId="7DC9093B" w14:textId="77777777" w:rsidR="00CB33C7" w:rsidRPr="00C2587D" w:rsidRDefault="00CB33C7" w:rsidP="00CB33C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24740B41" w14:textId="77777777" w:rsidR="00CB33C7" w:rsidRPr="00C2587D" w:rsidRDefault="00CB33C7" w:rsidP="00CB33C7">
      <w:pPr>
        <w:jc w:val="center"/>
        <w:rPr>
          <w:rFonts w:cs="Arial"/>
          <w:b/>
          <w:color w:val="000000"/>
          <w:szCs w:val="22"/>
        </w:rPr>
      </w:pPr>
      <w:r w:rsidRPr="00C2587D">
        <w:rPr>
          <w:rFonts w:cs="Arial"/>
          <w:b/>
          <w:color w:val="000000"/>
          <w:szCs w:val="22"/>
        </w:rPr>
        <w:t>до Плану заходів з реалізації Стратегії</w:t>
      </w:r>
    </w:p>
    <w:p w14:paraId="12E088F8" w14:textId="77777777" w:rsidR="00CB33C7" w:rsidRPr="00C2587D" w:rsidRDefault="00CB33C7" w:rsidP="00CB33C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3"/>
        <w:gridCol w:w="1254"/>
        <w:gridCol w:w="1411"/>
        <w:gridCol w:w="28"/>
        <w:gridCol w:w="1253"/>
        <w:gridCol w:w="37"/>
        <w:gridCol w:w="1239"/>
        <w:gridCol w:w="21"/>
        <w:gridCol w:w="1553"/>
      </w:tblGrid>
      <w:tr w:rsidR="00CB33C7" w:rsidRPr="00EF4E67" w14:paraId="4A0E675E" w14:textId="77777777" w:rsidTr="00EF4E67">
        <w:trPr>
          <w:jc w:val="right"/>
        </w:trPr>
        <w:tc>
          <w:tcPr>
            <w:tcW w:w="3423" w:type="dxa"/>
            <w:vAlign w:val="center"/>
          </w:tcPr>
          <w:p w14:paraId="4AF34917" w14:textId="77777777" w:rsidR="00CB33C7" w:rsidRPr="00EF4E67" w:rsidRDefault="00CB33C7" w:rsidP="00EF4E67">
            <w:pPr>
              <w:rPr>
                <w:rFonts w:cs="Arial"/>
                <w:b/>
                <w:bCs/>
                <w:color w:val="000000"/>
                <w:szCs w:val="22"/>
              </w:rPr>
            </w:pPr>
            <w:r w:rsidRPr="00EF4E67">
              <w:rPr>
                <w:rFonts w:cs="Arial"/>
                <w:b/>
                <w:bCs/>
                <w:color w:val="000000"/>
                <w:szCs w:val="22"/>
              </w:rPr>
              <w:t>Назва проєкту:</w:t>
            </w:r>
          </w:p>
        </w:tc>
        <w:tc>
          <w:tcPr>
            <w:tcW w:w="6796" w:type="dxa"/>
            <w:gridSpan w:val="8"/>
          </w:tcPr>
          <w:p w14:paraId="7247DDA1" w14:textId="1C8ADA17" w:rsidR="00CB33C7" w:rsidRPr="00EF4E67" w:rsidRDefault="00CB33C7" w:rsidP="00EF4E67">
            <w:pPr>
              <w:rPr>
                <w:rFonts w:cs="Arial"/>
                <w:b/>
                <w:szCs w:val="22"/>
                <w:lang w:eastAsia="it-IT"/>
              </w:rPr>
            </w:pPr>
            <w:r w:rsidRPr="00EF4E67">
              <w:rPr>
                <w:rFonts w:eastAsia="Arial" w:cs="Arial"/>
                <w:b/>
                <w:szCs w:val="22"/>
                <w:lang w:eastAsia="en-US"/>
              </w:rPr>
              <w:t xml:space="preserve">Капітальний ремонт дорожнього покриття </w:t>
            </w:r>
            <w:r w:rsidR="00EF4E67" w:rsidRPr="00EF4E67">
              <w:rPr>
                <w:rFonts w:eastAsia="Arial" w:cs="Arial"/>
                <w:b/>
                <w:szCs w:val="22"/>
                <w:lang w:eastAsia="en-US"/>
              </w:rPr>
              <w:t>по вул. Кармелюка (від перехр. з</w:t>
            </w:r>
            <w:r w:rsidR="00DD6DC0">
              <w:rPr>
                <w:rFonts w:eastAsia="Arial" w:cs="Arial"/>
                <w:b/>
                <w:szCs w:val="22"/>
                <w:lang w:eastAsia="en-US"/>
              </w:rPr>
              <w:t xml:space="preserve"> вул. Центральна до перехр. з</w:t>
            </w:r>
            <w:r w:rsidRPr="00EF4E67">
              <w:rPr>
                <w:rFonts w:eastAsia="Arial" w:cs="Arial"/>
                <w:b/>
                <w:szCs w:val="22"/>
                <w:lang w:eastAsia="en-US"/>
              </w:rPr>
              <w:t xml:space="preserve"> вул. Базарна) в с. </w:t>
            </w:r>
            <w:r w:rsidR="00EF4E67" w:rsidRPr="00EF4E67">
              <w:rPr>
                <w:rFonts w:eastAsia="Arial" w:cs="Arial"/>
                <w:b/>
                <w:szCs w:val="22"/>
                <w:lang w:eastAsia="en-US"/>
              </w:rPr>
              <w:t>Кармалюкове</w:t>
            </w:r>
            <w:r w:rsidRPr="00EF4E67">
              <w:rPr>
                <w:rFonts w:eastAsia="Arial" w:cs="Arial"/>
                <w:b/>
                <w:szCs w:val="22"/>
                <w:lang w:eastAsia="en-US"/>
              </w:rPr>
              <w:t>, Жмеринського району</w:t>
            </w:r>
          </w:p>
        </w:tc>
      </w:tr>
      <w:tr w:rsidR="00CB33C7" w:rsidRPr="00EF4E67" w14:paraId="3BC4BAC3" w14:textId="77777777" w:rsidTr="00EF4E67">
        <w:trPr>
          <w:jc w:val="right"/>
        </w:trPr>
        <w:tc>
          <w:tcPr>
            <w:tcW w:w="3423" w:type="dxa"/>
          </w:tcPr>
          <w:p w14:paraId="25A060FC" w14:textId="77777777" w:rsidR="00CB33C7" w:rsidRPr="00EF4E67" w:rsidRDefault="00CB33C7" w:rsidP="00EF4E67">
            <w:pPr>
              <w:rPr>
                <w:rFonts w:cs="Arial"/>
                <w:szCs w:val="22"/>
                <w:lang w:eastAsia="it-IT"/>
              </w:rPr>
            </w:pPr>
            <w:r w:rsidRPr="00EF4E67">
              <w:rPr>
                <w:rFonts w:cs="Arial"/>
                <w:b/>
                <w:bCs/>
                <w:szCs w:val="22"/>
              </w:rPr>
              <w:t>Ваші контакти</w:t>
            </w:r>
            <w:r w:rsidRPr="00EF4E67">
              <w:rPr>
                <w:rFonts w:cs="Arial"/>
                <w:szCs w:val="22"/>
                <w:lang w:eastAsia="it-IT"/>
              </w:rPr>
              <w:t>:</w:t>
            </w:r>
          </w:p>
          <w:p w14:paraId="14B5633D" w14:textId="77777777" w:rsidR="00CB33C7" w:rsidRPr="00EF4E67" w:rsidRDefault="00CB33C7" w:rsidP="00EF4E67">
            <w:pPr>
              <w:rPr>
                <w:rFonts w:cs="Arial"/>
                <w:b/>
                <w:bCs/>
                <w:szCs w:val="22"/>
              </w:rPr>
            </w:pPr>
            <w:r w:rsidRPr="00EF4E67">
              <w:rPr>
                <w:rFonts w:cs="Arial"/>
                <w:szCs w:val="22"/>
                <w:lang w:eastAsia="it-IT"/>
              </w:rPr>
              <w:t>Назва установи, організації, підприємства</w:t>
            </w:r>
          </w:p>
        </w:tc>
        <w:tc>
          <w:tcPr>
            <w:tcW w:w="6796" w:type="dxa"/>
            <w:gridSpan w:val="8"/>
          </w:tcPr>
          <w:p w14:paraId="0DACDDC6" w14:textId="77777777" w:rsidR="00CB33C7" w:rsidRPr="00EF4E67" w:rsidRDefault="00CB33C7" w:rsidP="00EF4E67">
            <w:pPr>
              <w:rPr>
                <w:rFonts w:cs="Arial"/>
                <w:szCs w:val="22"/>
                <w:lang w:eastAsia="it-IT"/>
              </w:rPr>
            </w:pPr>
            <w:r w:rsidRPr="00EF4E67">
              <w:rPr>
                <w:rFonts w:cs="Arial"/>
                <w:szCs w:val="22"/>
                <w:lang w:eastAsia="it-IT"/>
              </w:rPr>
              <w:t>Управління житлово-комунального господарства Жмеринської міської ради</w:t>
            </w:r>
          </w:p>
        </w:tc>
      </w:tr>
      <w:tr w:rsidR="00CB33C7" w:rsidRPr="00EF4E67" w14:paraId="7A56874E" w14:textId="77777777" w:rsidTr="00EF4E67">
        <w:trPr>
          <w:jc w:val="right"/>
        </w:trPr>
        <w:tc>
          <w:tcPr>
            <w:tcW w:w="3423" w:type="dxa"/>
          </w:tcPr>
          <w:p w14:paraId="053DAFC6" w14:textId="77777777" w:rsidR="00CB33C7" w:rsidRPr="00EF4E67" w:rsidRDefault="00CB33C7" w:rsidP="00EF4E67">
            <w:pPr>
              <w:rPr>
                <w:rFonts w:cs="Arial"/>
                <w:b/>
                <w:bCs/>
                <w:szCs w:val="22"/>
              </w:rPr>
            </w:pPr>
            <w:r w:rsidRPr="00EF4E67">
              <w:rPr>
                <w:rFonts w:cs="Arial"/>
                <w:szCs w:val="22"/>
                <w:lang w:eastAsia="it-IT"/>
              </w:rPr>
              <w:t>Прізвище Ім’я По-батькові:</w:t>
            </w:r>
          </w:p>
        </w:tc>
        <w:tc>
          <w:tcPr>
            <w:tcW w:w="6796" w:type="dxa"/>
            <w:gridSpan w:val="8"/>
          </w:tcPr>
          <w:p w14:paraId="2A8CE5BF" w14:textId="77777777" w:rsidR="00CB33C7" w:rsidRPr="00EF4E67" w:rsidRDefault="00CB33C7" w:rsidP="00EF4E67">
            <w:pPr>
              <w:rPr>
                <w:rFonts w:cs="Arial"/>
                <w:szCs w:val="22"/>
                <w:lang w:eastAsia="it-IT"/>
              </w:rPr>
            </w:pPr>
            <w:r w:rsidRPr="00EF4E67">
              <w:rPr>
                <w:rFonts w:cs="Arial"/>
                <w:szCs w:val="22"/>
                <w:lang w:eastAsia="it-IT"/>
              </w:rPr>
              <w:t>Оленич Андрій Васильович</w:t>
            </w:r>
          </w:p>
        </w:tc>
      </w:tr>
      <w:tr w:rsidR="00CB33C7" w:rsidRPr="00EF4E67" w14:paraId="73BFE03E" w14:textId="77777777" w:rsidTr="00EF4E67">
        <w:trPr>
          <w:jc w:val="right"/>
        </w:trPr>
        <w:tc>
          <w:tcPr>
            <w:tcW w:w="3423" w:type="dxa"/>
          </w:tcPr>
          <w:p w14:paraId="6491C102" w14:textId="77777777" w:rsidR="00CB33C7" w:rsidRPr="00EF4E67" w:rsidRDefault="00CB33C7" w:rsidP="00EF4E67">
            <w:pPr>
              <w:rPr>
                <w:rFonts w:cs="Arial"/>
                <w:b/>
                <w:bCs/>
                <w:szCs w:val="22"/>
              </w:rPr>
            </w:pPr>
            <w:r w:rsidRPr="00EF4E67">
              <w:rPr>
                <w:rFonts w:cs="Arial"/>
                <w:szCs w:val="22"/>
                <w:lang w:eastAsia="it-IT"/>
              </w:rPr>
              <w:t>Телефон (мобільний):</w:t>
            </w:r>
          </w:p>
        </w:tc>
        <w:tc>
          <w:tcPr>
            <w:tcW w:w="6796" w:type="dxa"/>
            <w:gridSpan w:val="8"/>
          </w:tcPr>
          <w:p w14:paraId="46A6455D" w14:textId="77777777" w:rsidR="00CB33C7" w:rsidRPr="00EF4E67" w:rsidRDefault="00CB33C7" w:rsidP="00EF4E67">
            <w:pPr>
              <w:rPr>
                <w:rFonts w:cs="Arial"/>
                <w:szCs w:val="22"/>
                <w:lang w:eastAsia="it-IT"/>
              </w:rPr>
            </w:pPr>
            <w:r w:rsidRPr="00EF4E67">
              <w:rPr>
                <w:rFonts w:cs="Arial"/>
                <w:szCs w:val="22"/>
                <w:lang w:eastAsia="it-IT"/>
              </w:rPr>
              <w:t>0972561907</w:t>
            </w:r>
          </w:p>
        </w:tc>
      </w:tr>
      <w:tr w:rsidR="00CB33C7" w:rsidRPr="00EF4E67" w14:paraId="24F7DFCE" w14:textId="77777777" w:rsidTr="00EF4E67">
        <w:trPr>
          <w:jc w:val="right"/>
        </w:trPr>
        <w:tc>
          <w:tcPr>
            <w:tcW w:w="3423" w:type="dxa"/>
          </w:tcPr>
          <w:p w14:paraId="230A9419" w14:textId="77777777" w:rsidR="00CB33C7" w:rsidRPr="00EF4E67" w:rsidRDefault="00CB33C7" w:rsidP="00EF4E67">
            <w:pPr>
              <w:rPr>
                <w:rFonts w:cs="Arial"/>
                <w:b/>
                <w:bCs/>
                <w:szCs w:val="22"/>
              </w:rPr>
            </w:pPr>
            <w:r w:rsidRPr="00EF4E67">
              <w:rPr>
                <w:rFonts w:cs="Arial"/>
                <w:szCs w:val="22"/>
                <w:lang w:eastAsia="it-IT"/>
              </w:rPr>
              <w:t>Електронна адреса:</w:t>
            </w:r>
          </w:p>
        </w:tc>
        <w:tc>
          <w:tcPr>
            <w:tcW w:w="6796" w:type="dxa"/>
            <w:gridSpan w:val="8"/>
          </w:tcPr>
          <w:p w14:paraId="67E05A5F" w14:textId="77777777" w:rsidR="00CB33C7" w:rsidRPr="00EF4E67" w:rsidRDefault="00D85FFD" w:rsidP="00EF4E67">
            <w:pPr>
              <w:rPr>
                <w:rFonts w:cs="Arial"/>
                <w:szCs w:val="22"/>
                <w:lang w:eastAsia="it-IT"/>
              </w:rPr>
            </w:pPr>
            <w:hyperlink r:id="rId49" w:history="1">
              <w:r w:rsidR="00CB33C7" w:rsidRPr="00EF4E67">
                <w:rPr>
                  <w:rStyle w:val="af0"/>
                  <w:rFonts w:cs="Arial"/>
                  <w:noProof w:val="0"/>
                  <w:sz w:val="22"/>
                  <w:szCs w:val="22"/>
                  <w:lang w:eastAsia="it-IT"/>
                </w:rPr>
                <w:t>Aolenych03@ukr.net</w:t>
              </w:r>
            </w:hyperlink>
          </w:p>
        </w:tc>
      </w:tr>
      <w:tr w:rsidR="00CB33C7" w:rsidRPr="00EF4E67" w14:paraId="060684D4" w14:textId="77777777" w:rsidTr="00EF4E67">
        <w:trPr>
          <w:jc w:val="right"/>
        </w:trPr>
        <w:tc>
          <w:tcPr>
            <w:tcW w:w="3423" w:type="dxa"/>
            <w:vAlign w:val="center"/>
          </w:tcPr>
          <w:p w14:paraId="5451ADE3" w14:textId="77777777" w:rsidR="00CB33C7" w:rsidRPr="00EF4E67" w:rsidRDefault="00CB33C7" w:rsidP="00EF4E67">
            <w:pPr>
              <w:pStyle w:val="6"/>
              <w:spacing w:before="0" w:after="0"/>
              <w:rPr>
                <w:rFonts w:ascii="Arial" w:hAnsi="Arial" w:cs="Arial"/>
                <w:color w:val="000000"/>
                <w:lang w:val="uk-UA"/>
              </w:rPr>
            </w:pPr>
            <w:r w:rsidRPr="00EF4E67">
              <w:rPr>
                <w:rFonts w:ascii="Arial" w:hAnsi="Arial" w:cs="Arial"/>
                <w:color w:val="000000"/>
                <w:lang w:val="uk-UA"/>
              </w:rPr>
              <w:t>Номер і назва завдання з Стратегії</w:t>
            </w:r>
            <w:r w:rsidRPr="00EF4E67">
              <w:rPr>
                <w:rFonts w:ascii="Arial" w:hAnsi="Arial" w:cs="Arial"/>
                <w:lang w:val="uk-UA" w:eastAsia="it-IT"/>
              </w:rPr>
              <w:t xml:space="preserve"> </w:t>
            </w:r>
            <w:r w:rsidRPr="00EF4E67">
              <w:rPr>
                <w:rFonts w:ascii="Arial" w:hAnsi="Arial" w:cs="Arial"/>
                <w:color w:val="000000"/>
                <w:lang w:val="uk-UA"/>
              </w:rPr>
              <w:t xml:space="preserve">розвитку Жмеринської міської </w:t>
            </w:r>
          </w:p>
        </w:tc>
        <w:tc>
          <w:tcPr>
            <w:tcW w:w="6796" w:type="dxa"/>
            <w:gridSpan w:val="8"/>
            <w:vAlign w:val="center"/>
          </w:tcPr>
          <w:p w14:paraId="5C88C550" w14:textId="77777777" w:rsidR="00CB33C7" w:rsidRPr="00EF4E67" w:rsidRDefault="00CB33C7" w:rsidP="00EF4E67">
            <w:pPr>
              <w:suppressAutoHyphens/>
              <w:jc w:val="both"/>
              <w:rPr>
                <w:rFonts w:eastAsia="Lucida Sans Unicode" w:cs="Arial"/>
                <w:kern w:val="1"/>
                <w:szCs w:val="22"/>
                <w:lang w:eastAsia="ar-SA"/>
              </w:rPr>
            </w:pPr>
            <w:r w:rsidRPr="00EF4E67">
              <w:rPr>
                <w:rFonts w:eastAsia="Lucida Sans Unicode" w:cs="Arial"/>
                <w:kern w:val="1"/>
                <w:szCs w:val="22"/>
                <w:lang w:eastAsia="ar-SA"/>
              </w:rPr>
              <w:t>В.1.1.3. Проведення будівництва, реконструкції та капітального ремонту дорожнього покриття вулиць  та тротуарів в населених пунктах територіальної громади.</w:t>
            </w:r>
          </w:p>
        </w:tc>
      </w:tr>
      <w:tr w:rsidR="00CB33C7" w:rsidRPr="00EF4E67" w14:paraId="3641CFB9" w14:textId="77777777" w:rsidTr="00EF4E67">
        <w:trPr>
          <w:jc w:val="right"/>
        </w:trPr>
        <w:tc>
          <w:tcPr>
            <w:tcW w:w="3423" w:type="dxa"/>
            <w:vAlign w:val="center"/>
          </w:tcPr>
          <w:p w14:paraId="432268AC" w14:textId="77777777" w:rsidR="00CB33C7" w:rsidRPr="00EF4E67" w:rsidRDefault="00CB33C7" w:rsidP="00EF4E67">
            <w:pPr>
              <w:rPr>
                <w:rFonts w:cs="Arial"/>
                <w:b/>
                <w:bCs/>
                <w:color w:val="000000"/>
                <w:szCs w:val="22"/>
              </w:rPr>
            </w:pPr>
            <w:r w:rsidRPr="00EF4E67">
              <w:rPr>
                <w:rFonts w:cs="Arial"/>
                <w:b/>
                <w:bCs/>
                <w:color w:val="000000"/>
                <w:szCs w:val="22"/>
              </w:rPr>
              <w:t>Мета проєкту:</w:t>
            </w:r>
          </w:p>
        </w:tc>
        <w:tc>
          <w:tcPr>
            <w:tcW w:w="6796" w:type="dxa"/>
            <w:gridSpan w:val="8"/>
          </w:tcPr>
          <w:p w14:paraId="1A16560B" w14:textId="2FE179A9" w:rsidR="00CB33C7" w:rsidRPr="00EF4E67" w:rsidRDefault="00CB33C7" w:rsidP="00EF4E67">
            <w:pPr>
              <w:jc w:val="both"/>
              <w:rPr>
                <w:rFonts w:cs="Arial"/>
                <w:szCs w:val="22"/>
                <w:lang w:eastAsia="it-IT"/>
              </w:rPr>
            </w:pPr>
            <w:r w:rsidRPr="00EF4E67">
              <w:rPr>
                <w:rFonts w:cs="Arial"/>
                <w:szCs w:val="22"/>
                <w:lang w:eastAsia="it-IT"/>
              </w:rPr>
              <w:t xml:space="preserve">Забезпечення  населення громади </w:t>
            </w:r>
            <w:r w:rsidR="00EF4E67" w:rsidRPr="00EF4E67">
              <w:rPr>
                <w:rFonts w:cs="Arial"/>
                <w:szCs w:val="22"/>
                <w:lang w:eastAsia="it-IT"/>
              </w:rPr>
              <w:t>Кармалюківського</w:t>
            </w:r>
            <w:r w:rsidRPr="00EF4E67">
              <w:rPr>
                <w:rFonts w:cs="Arial"/>
                <w:szCs w:val="22"/>
                <w:lang w:eastAsia="it-IT"/>
              </w:rPr>
              <w:t xml:space="preserve"> старостинського округу а саме: с. </w:t>
            </w:r>
            <w:r w:rsidR="00EF4E67" w:rsidRPr="00EF4E67">
              <w:rPr>
                <w:rFonts w:cs="Arial"/>
                <w:szCs w:val="22"/>
                <w:lang w:eastAsia="it-IT"/>
              </w:rPr>
              <w:t>Кармалюкове</w:t>
            </w:r>
            <w:r w:rsidRPr="00EF4E67">
              <w:rPr>
                <w:rFonts w:cs="Arial"/>
                <w:szCs w:val="22"/>
                <w:lang w:eastAsia="it-IT"/>
              </w:rPr>
              <w:t xml:space="preserve"> якісною інфраструктурою, а саме дорогами з рівним покриттям.</w:t>
            </w:r>
          </w:p>
          <w:p w14:paraId="65EFA961" w14:textId="77777777" w:rsidR="00CB33C7" w:rsidRPr="00EF4E67" w:rsidRDefault="00CB33C7" w:rsidP="00EF4E67">
            <w:pPr>
              <w:rPr>
                <w:rFonts w:cs="Arial"/>
                <w:szCs w:val="22"/>
                <w:lang w:eastAsia="it-IT"/>
              </w:rPr>
            </w:pPr>
            <w:r w:rsidRPr="00EF4E67">
              <w:rPr>
                <w:rFonts w:cs="Arial"/>
                <w:szCs w:val="22"/>
                <w:lang w:eastAsia="it-IT"/>
              </w:rPr>
              <w:t>Мешканці громади отримують більш комфортні   та безпечні умови проживання та перебування в населеному пункті.</w:t>
            </w:r>
          </w:p>
        </w:tc>
      </w:tr>
      <w:tr w:rsidR="00CB33C7" w:rsidRPr="00EF4E67" w14:paraId="72A9B8AC" w14:textId="77777777" w:rsidTr="00EF4E67">
        <w:trPr>
          <w:jc w:val="right"/>
        </w:trPr>
        <w:tc>
          <w:tcPr>
            <w:tcW w:w="3423" w:type="dxa"/>
            <w:vAlign w:val="center"/>
          </w:tcPr>
          <w:p w14:paraId="15CAABC0" w14:textId="77777777" w:rsidR="00CB33C7" w:rsidRPr="00EF4E67" w:rsidRDefault="00CB33C7" w:rsidP="00EF4E67">
            <w:pPr>
              <w:rPr>
                <w:rFonts w:cs="Arial"/>
                <w:b/>
                <w:bCs/>
                <w:color w:val="000000"/>
                <w:szCs w:val="22"/>
              </w:rPr>
            </w:pPr>
            <w:r w:rsidRPr="00EF4E67">
              <w:rPr>
                <w:rFonts w:cs="Arial"/>
                <w:b/>
                <w:bCs/>
                <w:color w:val="000000"/>
                <w:szCs w:val="22"/>
              </w:rPr>
              <w:t>Цілі проєкту:</w:t>
            </w:r>
          </w:p>
        </w:tc>
        <w:tc>
          <w:tcPr>
            <w:tcW w:w="6796" w:type="dxa"/>
            <w:gridSpan w:val="8"/>
          </w:tcPr>
          <w:p w14:paraId="1B2B996D" w14:textId="34620816" w:rsidR="00CB33C7" w:rsidRPr="00EF4E67" w:rsidRDefault="00CB33C7" w:rsidP="00EF4E67">
            <w:pPr>
              <w:rPr>
                <w:rFonts w:cs="Arial"/>
                <w:szCs w:val="22"/>
                <w:lang w:eastAsia="it-IT"/>
              </w:rPr>
            </w:pPr>
            <w:r w:rsidRPr="00EF4E67">
              <w:rPr>
                <w:rFonts w:cs="Arial"/>
                <w:szCs w:val="22"/>
                <w:lang w:eastAsia="it-IT"/>
              </w:rPr>
              <w:t xml:space="preserve">Покращити інфраструктуру   дорожнього покриття в с. </w:t>
            </w:r>
            <w:r w:rsidR="00EF4E67" w:rsidRPr="00EF4E67">
              <w:rPr>
                <w:rFonts w:cs="Arial"/>
                <w:szCs w:val="22"/>
                <w:lang w:eastAsia="it-IT"/>
              </w:rPr>
              <w:t>Кармалюкове</w:t>
            </w:r>
            <w:r w:rsidRPr="00EF4E67">
              <w:rPr>
                <w:rFonts w:cs="Arial"/>
                <w:szCs w:val="22"/>
                <w:lang w:eastAsia="it-IT"/>
              </w:rPr>
              <w:t xml:space="preserve"> Жмеринського району</w:t>
            </w:r>
          </w:p>
        </w:tc>
      </w:tr>
      <w:tr w:rsidR="00CB33C7" w:rsidRPr="00EF4E67" w14:paraId="577B41E6" w14:textId="77777777" w:rsidTr="00EF4E67">
        <w:trPr>
          <w:jc w:val="right"/>
        </w:trPr>
        <w:tc>
          <w:tcPr>
            <w:tcW w:w="3423" w:type="dxa"/>
            <w:vAlign w:val="center"/>
          </w:tcPr>
          <w:p w14:paraId="741E82A9" w14:textId="77777777" w:rsidR="00CB33C7" w:rsidRPr="00EF4E67" w:rsidRDefault="00CB33C7" w:rsidP="00EF4E67">
            <w:pPr>
              <w:autoSpaceDE w:val="0"/>
              <w:autoSpaceDN w:val="0"/>
              <w:adjustRightInd w:val="0"/>
              <w:rPr>
                <w:rFonts w:cs="Arial"/>
                <w:b/>
                <w:color w:val="000000"/>
                <w:szCs w:val="22"/>
              </w:rPr>
            </w:pPr>
            <w:r w:rsidRPr="00EF4E67">
              <w:rPr>
                <w:rFonts w:cs="Arial"/>
                <w:b/>
                <w:color w:val="000000"/>
                <w:szCs w:val="22"/>
              </w:rPr>
              <w:t>Територія на яку проєкт матиме вплив:</w:t>
            </w:r>
          </w:p>
        </w:tc>
        <w:tc>
          <w:tcPr>
            <w:tcW w:w="6796" w:type="dxa"/>
            <w:gridSpan w:val="8"/>
          </w:tcPr>
          <w:p w14:paraId="5187880D" w14:textId="1FD0D998" w:rsidR="00CB33C7" w:rsidRPr="00EF4E67" w:rsidRDefault="00CB33C7" w:rsidP="00EF4E67">
            <w:pPr>
              <w:rPr>
                <w:rFonts w:cs="Arial"/>
                <w:szCs w:val="22"/>
                <w:lang w:eastAsia="it-IT"/>
              </w:rPr>
            </w:pPr>
            <w:r w:rsidRPr="00EF4E67">
              <w:rPr>
                <w:rFonts w:cs="Arial"/>
                <w:szCs w:val="22"/>
                <w:lang w:eastAsia="it-IT"/>
              </w:rPr>
              <w:t xml:space="preserve">Території </w:t>
            </w:r>
            <w:r w:rsidR="00EF4E67" w:rsidRPr="00EF4E67">
              <w:rPr>
                <w:rFonts w:cs="Arial"/>
                <w:szCs w:val="22"/>
                <w:lang w:eastAsia="it-IT"/>
              </w:rPr>
              <w:t>Кармалюківського</w:t>
            </w:r>
            <w:r w:rsidRPr="00EF4E67">
              <w:rPr>
                <w:rFonts w:cs="Arial"/>
                <w:szCs w:val="22"/>
                <w:lang w:eastAsia="it-IT"/>
              </w:rPr>
              <w:t xml:space="preserve"> старостинського округу а саме: с. </w:t>
            </w:r>
            <w:r w:rsidR="00EF4E67" w:rsidRPr="00EF4E67">
              <w:rPr>
                <w:rFonts w:cs="Arial"/>
                <w:szCs w:val="22"/>
                <w:lang w:eastAsia="it-IT"/>
              </w:rPr>
              <w:t>Кармалюкове</w:t>
            </w:r>
          </w:p>
        </w:tc>
      </w:tr>
      <w:tr w:rsidR="00CB33C7" w:rsidRPr="00EF4E67" w14:paraId="2A658682" w14:textId="77777777" w:rsidTr="00EF4E67">
        <w:trPr>
          <w:jc w:val="right"/>
        </w:trPr>
        <w:tc>
          <w:tcPr>
            <w:tcW w:w="3423" w:type="dxa"/>
            <w:vAlign w:val="center"/>
          </w:tcPr>
          <w:p w14:paraId="2E9BF2F7" w14:textId="77777777" w:rsidR="00CB33C7" w:rsidRPr="00EF4E67" w:rsidRDefault="00CB33C7" w:rsidP="00EF4E67">
            <w:pPr>
              <w:autoSpaceDE w:val="0"/>
              <w:autoSpaceDN w:val="0"/>
              <w:adjustRightInd w:val="0"/>
              <w:rPr>
                <w:rFonts w:cs="Arial"/>
                <w:b/>
                <w:color w:val="000000"/>
                <w:szCs w:val="22"/>
              </w:rPr>
            </w:pPr>
            <w:r w:rsidRPr="00EF4E67">
              <w:rPr>
                <w:rFonts w:cs="Arial"/>
                <w:b/>
                <w:color w:val="000000"/>
                <w:szCs w:val="22"/>
              </w:rPr>
              <w:t>Цільові групи проєкту та кількість отримувачів вигоди</w:t>
            </w:r>
          </w:p>
        </w:tc>
        <w:tc>
          <w:tcPr>
            <w:tcW w:w="6796" w:type="dxa"/>
            <w:gridSpan w:val="8"/>
          </w:tcPr>
          <w:p w14:paraId="2FC4C27A" w14:textId="16BC038D" w:rsidR="00CB33C7" w:rsidRPr="00EF4E67" w:rsidRDefault="00CB33C7" w:rsidP="00EF4E67">
            <w:pPr>
              <w:rPr>
                <w:rFonts w:cs="Arial"/>
                <w:szCs w:val="22"/>
                <w:lang w:eastAsia="it-IT"/>
              </w:rPr>
            </w:pPr>
            <w:r w:rsidRPr="00EF4E67">
              <w:rPr>
                <w:rFonts w:cs="Arial"/>
                <w:szCs w:val="22"/>
                <w:lang w:eastAsia="it-IT"/>
              </w:rPr>
              <w:t xml:space="preserve">Жителі с. </w:t>
            </w:r>
            <w:r w:rsidR="00EF4E67" w:rsidRPr="00EF4E67">
              <w:rPr>
                <w:rFonts w:cs="Arial"/>
                <w:szCs w:val="22"/>
                <w:lang w:eastAsia="it-IT"/>
              </w:rPr>
              <w:t>Кармалюкове</w:t>
            </w:r>
            <w:r w:rsidRPr="00EF4E67">
              <w:rPr>
                <w:rFonts w:cs="Arial"/>
                <w:szCs w:val="22"/>
                <w:lang w:eastAsia="it-IT"/>
              </w:rPr>
              <w:t xml:space="preserve"> в кількості 604 селян</w:t>
            </w:r>
          </w:p>
        </w:tc>
      </w:tr>
      <w:tr w:rsidR="00CB33C7" w:rsidRPr="00EF4E67" w14:paraId="27C9F560" w14:textId="77777777" w:rsidTr="00EF4E67">
        <w:trPr>
          <w:jc w:val="right"/>
        </w:trPr>
        <w:tc>
          <w:tcPr>
            <w:tcW w:w="3423" w:type="dxa"/>
            <w:shd w:val="clear" w:color="auto" w:fill="FFFFFF"/>
            <w:vAlign w:val="center"/>
          </w:tcPr>
          <w:p w14:paraId="13E5E7F2" w14:textId="77777777" w:rsidR="00CB33C7" w:rsidRPr="00EF4E67" w:rsidRDefault="00CB33C7" w:rsidP="00EF4E67">
            <w:pPr>
              <w:rPr>
                <w:rFonts w:cs="Arial"/>
                <w:b/>
                <w:bCs/>
                <w:color w:val="000000"/>
                <w:szCs w:val="22"/>
              </w:rPr>
            </w:pPr>
            <w:r w:rsidRPr="00EF4E67">
              <w:rPr>
                <w:rFonts w:cs="Arial"/>
                <w:b/>
                <w:bCs/>
                <w:color w:val="000000"/>
                <w:szCs w:val="22"/>
              </w:rPr>
              <w:t>Стислий опис проєкту:</w:t>
            </w:r>
          </w:p>
        </w:tc>
        <w:tc>
          <w:tcPr>
            <w:tcW w:w="6796" w:type="dxa"/>
            <w:gridSpan w:val="8"/>
          </w:tcPr>
          <w:p w14:paraId="75FFE3A9" w14:textId="77777777" w:rsidR="00CB33C7" w:rsidRPr="00EF4E67" w:rsidRDefault="00CB33C7" w:rsidP="00EF4E67">
            <w:pPr>
              <w:pStyle w:val="ad"/>
              <w:shd w:val="clear" w:color="auto" w:fill="FFFFFF"/>
              <w:spacing w:before="0" w:beforeAutospacing="0" w:after="0" w:afterAutospacing="0"/>
              <w:jc w:val="both"/>
              <w:rPr>
                <w:rFonts w:cs="Arial"/>
                <w:szCs w:val="22"/>
              </w:rPr>
            </w:pPr>
            <w:r w:rsidRPr="00EF4E67">
              <w:rPr>
                <w:rFonts w:cs="Arial"/>
                <w:szCs w:val="22"/>
              </w:rPr>
              <w:t>Якість доріг забезпечує роботу всіх галузей промисловості, соціальний розвиток суспільства. Забезпечує доступ у різні місця населеного пункту, а також безпечне та надійне переміщення людей і транспортування товарів і має надзвичайно важливе значення.</w:t>
            </w:r>
          </w:p>
          <w:p w14:paraId="74CDC5CC" w14:textId="77777777" w:rsidR="00CB33C7" w:rsidRPr="00EF4E67" w:rsidRDefault="00CB33C7" w:rsidP="00EF4E67">
            <w:pPr>
              <w:pStyle w:val="ad"/>
              <w:shd w:val="clear" w:color="auto" w:fill="FFFFFF"/>
              <w:spacing w:before="0" w:beforeAutospacing="0" w:after="0" w:afterAutospacing="0"/>
              <w:jc w:val="both"/>
              <w:rPr>
                <w:rFonts w:cs="Arial"/>
                <w:szCs w:val="22"/>
              </w:rPr>
            </w:pPr>
            <w:r w:rsidRPr="00EF4E67">
              <w:rPr>
                <w:rFonts w:cs="Arial"/>
                <w:szCs w:val="22"/>
              </w:rPr>
              <w:t>Від стану автомобільних доріг залежать витрати на перевезення вантажів та пасажирів, рівень цін, певною мірою зайнятість населення.</w:t>
            </w:r>
          </w:p>
          <w:p w14:paraId="152A299C" w14:textId="77777777" w:rsidR="00CB33C7" w:rsidRPr="00EF4E67" w:rsidRDefault="00CB33C7" w:rsidP="00EF4E67">
            <w:pPr>
              <w:pStyle w:val="ad"/>
              <w:shd w:val="clear" w:color="auto" w:fill="FFFFFF"/>
              <w:spacing w:before="0" w:beforeAutospacing="0" w:after="0" w:afterAutospacing="0"/>
              <w:jc w:val="both"/>
              <w:rPr>
                <w:rFonts w:cs="Arial"/>
                <w:szCs w:val="22"/>
                <w:shd w:val="clear" w:color="auto" w:fill="FFFFFF"/>
              </w:rPr>
            </w:pPr>
            <w:r w:rsidRPr="00EF4E67">
              <w:rPr>
                <w:rFonts w:cs="Arial"/>
                <w:szCs w:val="22"/>
              </w:rPr>
              <w:t xml:space="preserve"> </w:t>
            </w:r>
            <w:r w:rsidRPr="00EF4E67">
              <w:rPr>
                <w:rFonts w:cs="Arial"/>
                <w:szCs w:val="22"/>
                <w:shd w:val="clear" w:color="auto" w:fill="FFFFFF"/>
              </w:rPr>
              <w:t>Перш за все викликають занепокоєння ті ділянки доріг, по яких проходять автобусні сполучення, підвезення дітей до навчальних закладів, надання невідкладної медичної допомоги.</w:t>
            </w:r>
          </w:p>
          <w:p w14:paraId="0D8AFAF3" w14:textId="74905E2E" w:rsidR="00CB33C7" w:rsidRPr="00EF4E67" w:rsidRDefault="00CB33C7" w:rsidP="00EF4E67">
            <w:pPr>
              <w:rPr>
                <w:rFonts w:cs="Arial"/>
                <w:szCs w:val="22"/>
                <w:lang w:eastAsia="it-IT"/>
              </w:rPr>
            </w:pPr>
            <w:r w:rsidRPr="00EF4E67">
              <w:rPr>
                <w:rFonts w:cs="Arial"/>
                <w:szCs w:val="22"/>
                <w:shd w:val="clear" w:color="auto" w:fill="FFFFFF"/>
              </w:rPr>
              <w:t xml:space="preserve">З метою безперебійного перевезення людей, необхідно провести капітальний ремонт дороги </w:t>
            </w:r>
            <w:r w:rsidRPr="00EF4E67">
              <w:rPr>
                <w:rFonts w:eastAsia="Arial" w:cs="Arial"/>
                <w:szCs w:val="22"/>
                <w:lang w:eastAsia="en-US"/>
              </w:rPr>
              <w:t xml:space="preserve">по вул. Кармелюка в с. </w:t>
            </w:r>
            <w:r w:rsidR="00EF4E67" w:rsidRPr="00EF4E67">
              <w:rPr>
                <w:rFonts w:eastAsia="Arial" w:cs="Arial"/>
                <w:szCs w:val="22"/>
                <w:lang w:eastAsia="en-US"/>
              </w:rPr>
              <w:t>Кармалюкове</w:t>
            </w:r>
            <w:r w:rsidRPr="00EF4E67">
              <w:rPr>
                <w:rFonts w:eastAsia="Arial" w:cs="Arial"/>
                <w:szCs w:val="22"/>
                <w:lang w:eastAsia="en-US"/>
              </w:rPr>
              <w:t>, Жмеринського району</w:t>
            </w:r>
          </w:p>
        </w:tc>
      </w:tr>
      <w:tr w:rsidR="00CB33C7" w:rsidRPr="00EF4E67" w14:paraId="393E580C" w14:textId="77777777" w:rsidTr="00EF4E67">
        <w:trPr>
          <w:jc w:val="right"/>
        </w:trPr>
        <w:tc>
          <w:tcPr>
            <w:tcW w:w="3423" w:type="dxa"/>
            <w:shd w:val="clear" w:color="auto" w:fill="FFFFFF"/>
            <w:vAlign w:val="center"/>
          </w:tcPr>
          <w:p w14:paraId="09D72717" w14:textId="77777777" w:rsidR="00CB33C7" w:rsidRPr="00EF4E67" w:rsidRDefault="00CB33C7" w:rsidP="00EF4E67">
            <w:pPr>
              <w:rPr>
                <w:rFonts w:cs="Arial"/>
                <w:b/>
                <w:bCs/>
                <w:color w:val="000000"/>
                <w:szCs w:val="22"/>
              </w:rPr>
            </w:pPr>
            <w:r w:rsidRPr="00EF4E67">
              <w:rPr>
                <w:rFonts w:cs="Arial"/>
                <w:b/>
                <w:bCs/>
                <w:color w:val="000000"/>
                <w:szCs w:val="22"/>
              </w:rPr>
              <w:t>Основні заходи проєкту:</w:t>
            </w:r>
          </w:p>
        </w:tc>
        <w:tc>
          <w:tcPr>
            <w:tcW w:w="6796" w:type="dxa"/>
            <w:gridSpan w:val="8"/>
          </w:tcPr>
          <w:p w14:paraId="1E034E36" w14:textId="43C54105" w:rsidR="00CB33C7" w:rsidRPr="00EF4E67" w:rsidRDefault="00CB33C7" w:rsidP="00EF4E67">
            <w:pPr>
              <w:jc w:val="both"/>
              <w:rPr>
                <w:rFonts w:cs="Arial"/>
                <w:szCs w:val="22"/>
                <w:lang w:eastAsia="it-IT"/>
              </w:rPr>
            </w:pPr>
            <w:r w:rsidRPr="00EF4E67">
              <w:rPr>
                <w:rFonts w:cs="Arial"/>
                <w:szCs w:val="22"/>
                <w:lang w:eastAsia="it-IT"/>
              </w:rPr>
              <w:t>Створення робочо</w:t>
            </w:r>
            <w:r w:rsidR="003E5778">
              <w:rPr>
                <w:rFonts w:cs="Arial"/>
                <w:szCs w:val="22"/>
                <w:lang w:eastAsia="it-IT"/>
              </w:rPr>
              <w:t>ї групи з питань реалізації проє</w:t>
            </w:r>
            <w:r w:rsidRPr="00EF4E67">
              <w:rPr>
                <w:rFonts w:cs="Arial"/>
                <w:szCs w:val="22"/>
                <w:lang w:eastAsia="it-IT"/>
              </w:rPr>
              <w:t xml:space="preserve">кту. </w:t>
            </w:r>
          </w:p>
          <w:p w14:paraId="7FDC3193" w14:textId="77777777" w:rsidR="00CB33C7" w:rsidRPr="00EF4E67" w:rsidRDefault="00CB33C7" w:rsidP="00EF4E67">
            <w:pPr>
              <w:jc w:val="both"/>
              <w:rPr>
                <w:rFonts w:cs="Arial"/>
                <w:szCs w:val="22"/>
                <w:lang w:eastAsia="it-IT"/>
              </w:rPr>
            </w:pPr>
            <w:r w:rsidRPr="00EF4E67">
              <w:rPr>
                <w:rFonts w:cs="Arial"/>
                <w:szCs w:val="22"/>
                <w:lang w:eastAsia="it-IT"/>
              </w:rPr>
              <w:t>Проведення процедури закупівель (визначення виконавця робіт).</w:t>
            </w:r>
          </w:p>
          <w:p w14:paraId="3D66CAF0" w14:textId="77777777" w:rsidR="00CB33C7" w:rsidRPr="00EF4E67" w:rsidRDefault="00CB33C7" w:rsidP="00EF4E67">
            <w:pPr>
              <w:jc w:val="both"/>
              <w:rPr>
                <w:rFonts w:cs="Arial"/>
                <w:szCs w:val="22"/>
                <w:lang w:eastAsia="it-IT"/>
              </w:rPr>
            </w:pPr>
            <w:r w:rsidRPr="00EF4E67">
              <w:rPr>
                <w:rFonts w:cs="Arial"/>
                <w:szCs w:val="22"/>
                <w:lang w:eastAsia="it-IT"/>
              </w:rPr>
              <w:t>Укладення договорів з виконавцем робіт, організаціями, що здійснюватимуть  технічний та авторський  нагляд .</w:t>
            </w:r>
          </w:p>
          <w:p w14:paraId="2B8440D1" w14:textId="1C61AB01" w:rsidR="00CB33C7" w:rsidRPr="00EF4E67" w:rsidRDefault="00CB33C7" w:rsidP="00EF4E67">
            <w:pPr>
              <w:jc w:val="both"/>
              <w:rPr>
                <w:rFonts w:cs="Arial"/>
                <w:szCs w:val="22"/>
                <w:lang w:eastAsia="it-IT"/>
              </w:rPr>
            </w:pPr>
            <w:r w:rsidRPr="00EF4E67">
              <w:rPr>
                <w:rFonts w:cs="Arial"/>
                <w:szCs w:val="22"/>
                <w:lang w:eastAsia="it-IT"/>
              </w:rPr>
              <w:t xml:space="preserve">Виконання робіт з капітального ремонту дорожнього покриття </w:t>
            </w:r>
            <w:r w:rsidRPr="00EF4E67">
              <w:rPr>
                <w:rFonts w:eastAsia="Arial" w:cs="Arial"/>
                <w:szCs w:val="22"/>
                <w:lang w:eastAsia="en-US"/>
              </w:rPr>
              <w:t xml:space="preserve">по вул. Кармелюка в с. </w:t>
            </w:r>
            <w:r w:rsidR="00EF4E67" w:rsidRPr="00EF4E67">
              <w:rPr>
                <w:rFonts w:eastAsia="Arial" w:cs="Arial"/>
                <w:szCs w:val="22"/>
                <w:lang w:eastAsia="en-US"/>
              </w:rPr>
              <w:t>Кармалюкове</w:t>
            </w:r>
            <w:r w:rsidRPr="00EF4E67">
              <w:rPr>
                <w:rFonts w:eastAsia="Arial" w:cs="Arial"/>
                <w:szCs w:val="22"/>
                <w:lang w:eastAsia="en-US"/>
              </w:rPr>
              <w:t>, Жмеринського району</w:t>
            </w:r>
          </w:p>
          <w:p w14:paraId="0BB74D6C" w14:textId="77777777" w:rsidR="00CB33C7" w:rsidRPr="00EF4E67" w:rsidRDefault="00CB33C7" w:rsidP="00EF4E67">
            <w:pPr>
              <w:jc w:val="both"/>
              <w:rPr>
                <w:rFonts w:cs="Arial"/>
                <w:szCs w:val="22"/>
                <w:lang w:eastAsia="it-IT"/>
              </w:rPr>
            </w:pPr>
            <w:r w:rsidRPr="00EF4E67">
              <w:rPr>
                <w:rFonts w:cs="Arial"/>
                <w:szCs w:val="22"/>
                <w:lang w:eastAsia="it-IT"/>
              </w:rPr>
              <w:t>Введення  об’єкту в експлуатацію .</w:t>
            </w:r>
          </w:p>
          <w:p w14:paraId="1221E441" w14:textId="4C05418B" w:rsidR="00CB33C7" w:rsidRPr="00EF4E67" w:rsidRDefault="00CB33C7" w:rsidP="00EF4E67">
            <w:pPr>
              <w:rPr>
                <w:rFonts w:cs="Arial"/>
                <w:szCs w:val="22"/>
                <w:lang w:eastAsia="it-IT"/>
              </w:rPr>
            </w:pPr>
            <w:r w:rsidRPr="00EF4E67">
              <w:rPr>
                <w:rFonts w:cs="Arial"/>
                <w:szCs w:val="22"/>
                <w:lang w:eastAsia="it-IT"/>
              </w:rPr>
              <w:t xml:space="preserve">Проведення інформаційних заходів (розміщення  </w:t>
            </w:r>
            <w:r w:rsidR="003E5778">
              <w:rPr>
                <w:rFonts w:cs="Arial"/>
                <w:szCs w:val="22"/>
                <w:lang w:eastAsia="it-IT"/>
              </w:rPr>
              <w:t>інформації  про реалізацію  проє</w:t>
            </w:r>
            <w:r w:rsidRPr="00EF4E67">
              <w:rPr>
                <w:rFonts w:cs="Arial"/>
                <w:szCs w:val="22"/>
                <w:lang w:eastAsia="it-IT"/>
              </w:rPr>
              <w:t>кту у ЗМІ) .</w:t>
            </w:r>
          </w:p>
        </w:tc>
      </w:tr>
      <w:tr w:rsidR="00CB33C7" w:rsidRPr="00EF4E67" w14:paraId="62BED059" w14:textId="77777777" w:rsidTr="00EF4E67">
        <w:trPr>
          <w:jc w:val="right"/>
        </w:trPr>
        <w:tc>
          <w:tcPr>
            <w:tcW w:w="3423" w:type="dxa"/>
            <w:shd w:val="clear" w:color="auto" w:fill="FFFFFF"/>
            <w:vAlign w:val="center"/>
          </w:tcPr>
          <w:p w14:paraId="27C4944F" w14:textId="77777777" w:rsidR="00CB33C7" w:rsidRPr="00EF4E67" w:rsidRDefault="00CB33C7" w:rsidP="00EF4E67">
            <w:pPr>
              <w:rPr>
                <w:rFonts w:cs="Arial"/>
                <w:b/>
                <w:bCs/>
                <w:color w:val="000000"/>
                <w:szCs w:val="22"/>
              </w:rPr>
            </w:pPr>
            <w:r w:rsidRPr="00EF4E67">
              <w:rPr>
                <w:rFonts w:cs="Arial"/>
                <w:b/>
                <w:bCs/>
                <w:color w:val="000000"/>
                <w:szCs w:val="22"/>
              </w:rPr>
              <w:t>Індикатори (показники) результативності:</w:t>
            </w:r>
          </w:p>
        </w:tc>
        <w:tc>
          <w:tcPr>
            <w:tcW w:w="6796" w:type="dxa"/>
            <w:gridSpan w:val="8"/>
          </w:tcPr>
          <w:p w14:paraId="3B7A6D45" w14:textId="77777777" w:rsidR="00CB33C7" w:rsidRPr="00EF4E67" w:rsidRDefault="00CB33C7" w:rsidP="00EF4E67">
            <w:pPr>
              <w:rPr>
                <w:rFonts w:cs="Arial"/>
                <w:szCs w:val="22"/>
                <w:lang w:eastAsia="it-IT"/>
              </w:rPr>
            </w:pPr>
            <w:r w:rsidRPr="00EF4E67">
              <w:rPr>
                <w:rFonts w:eastAsia="Arial" w:cs="Arial"/>
                <w:szCs w:val="22"/>
                <w:lang w:eastAsia="en-US"/>
              </w:rPr>
              <w:t xml:space="preserve">Площа ремонтованого покриття проїзної частини, з’їздів, розширень, площадок: </w:t>
            </w:r>
            <w:r w:rsidRPr="00EF4E67">
              <w:rPr>
                <w:rFonts w:cs="Arial"/>
                <w:color w:val="000000"/>
                <w:szCs w:val="22"/>
              </w:rPr>
              <w:t>2142 м</w:t>
            </w:r>
            <w:r w:rsidRPr="00EF4E67">
              <w:rPr>
                <w:rFonts w:cs="Arial"/>
                <w:color w:val="000000"/>
                <w:szCs w:val="22"/>
                <w:vertAlign w:val="superscript"/>
              </w:rPr>
              <w:t xml:space="preserve">2 </w:t>
            </w:r>
            <w:r w:rsidRPr="00EF4E67">
              <w:rPr>
                <w:rFonts w:eastAsia="Arial" w:cs="Arial"/>
                <w:szCs w:val="22"/>
                <w:lang w:eastAsia="en-US"/>
              </w:rPr>
              <w:t xml:space="preserve">та площа присипних узбіч: 565 </w:t>
            </w:r>
            <w:r w:rsidRPr="00EF4E67">
              <w:rPr>
                <w:rFonts w:cs="Arial"/>
                <w:color w:val="000000"/>
                <w:szCs w:val="22"/>
              </w:rPr>
              <w:t>м</w:t>
            </w:r>
            <w:r w:rsidRPr="00EF4E67">
              <w:rPr>
                <w:rFonts w:cs="Arial"/>
                <w:color w:val="000000"/>
                <w:szCs w:val="22"/>
                <w:vertAlign w:val="superscript"/>
              </w:rPr>
              <w:t>2</w:t>
            </w:r>
          </w:p>
        </w:tc>
      </w:tr>
      <w:tr w:rsidR="00CB33C7" w:rsidRPr="00EF4E67" w14:paraId="377F5E92" w14:textId="77777777" w:rsidTr="00EF4E67">
        <w:trPr>
          <w:jc w:val="right"/>
        </w:trPr>
        <w:tc>
          <w:tcPr>
            <w:tcW w:w="3423" w:type="dxa"/>
            <w:shd w:val="clear" w:color="auto" w:fill="FFFFFF"/>
            <w:vAlign w:val="center"/>
          </w:tcPr>
          <w:p w14:paraId="4D4BCFD5" w14:textId="77777777" w:rsidR="00CB33C7" w:rsidRPr="00EF4E67" w:rsidRDefault="00CB33C7" w:rsidP="00EF4E67">
            <w:pPr>
              <w:rPr>
                <w:rFonts w:cs="Arial"/>
                <w:b/>
                <w:color w:val="000000"/>
                <w:szCs w:val="22"/>
              </w:rPr>
            </w:pPr>
            <w:r w:rsidRPr="00EF4E67">
              <w:rPr>
                <w:rFonts w:cs="Arial"/>
                <w:b/>
                <w:color w:val="000000"/>
                <w:szCs w:val="22"/>
              </w:rPr>
              <w:t xml:space="preserve">Період здійснення: </w:t>
            </w:r>
          </w:p>
        </w:tc>
        <w:tc>
          <w:tcPr>
            <w:tcW w:w="6796" w:type="dxa"/>
            <w:gridSpan w:val="8"/>
            <w:vAlign w:val="center"/>
          </w:tcPr>
          <w:p w14:paraId="7070EEA0" w14:textId="77777777" w:rsidR="00CB33C7" w:rsidRPr="00EF4E67" w:rsidRDefault="00CB33C7" w:rsidP="00EF4E67">
            <w:pPr>
              <w:rPr>
                <w:rFonts w:cs="Arial"/>
                <w:color w:val="000000"/>
                <w:szCs w:val="22"/>
                <w:lang w:eastAsia="it-IT"/>
              </w:rPr>
            </w:pPr>
            <w:r w:rsidRPr="00EF4E67">
              <w:rPr>
                <w:rFonts w:cs="Arial"/>
                <w:b/>
                <w:color w:val="000000"/>
                <w:szCs w:val="22"/>
              </w:rPr>
              <w:t>2025 – 2028 роки:</w:t>
            </w:r>
          </w:p>
        </w:tc>
      </w:tr>
      <w:tr w:rsidR="00CB33C7" w:rsidRPr="00EF4E67" w14:paraId="51B4B9D4" w14:textId="77777777" w:rsidTr="00EF4E67">
        <w:trPr>
          <w:jc w:val="right"/>
        </w:trPr>
        <w:tc>
          <w:tcPr>
            <w:tcW w:w="3423" w:type="dxa"/>
            <w:vMerge w:val="restart"/>
            <w:shd w:val="clear" w:color="auto" w:fill="FFFFFF"/>
            <w:vAlign w:val="center"/>
          </w:tcPr>
          <w:p w14:paraId="2C5BD6FD" w14:textId="77777777" w:rsidR="00CB33C7" w:rsidRPr="00EF4E67" w:rsidRDefault="00CB33C7" w:rsidP="00EF4E67">
            <w:pPr>
              <w:rPr>
                <w:rFonts w:cs="Arial"/>
                <w:b/>
                <w:bCs/>
                <w:color w:val="000000"/>
                <w:szCs w:val="22"/>
              </w:rPr>
            </w:pPr>
            <w:r w:rsidRPr="00EF4E67">
              <w:rPr>
                <w:rFonts w:cs="Arial"/>
                <w:b/>
                <w:bCs/>
                <w:color w:val="000000"/>
                <w:szCs w:val="22"/>
              </w:rPr>
              <w:t>Орієнтовна вартість проєкту, тис. грн., в тому числі:</w:t>
            </w:r>
          </w:p>
        </w:tc>
        <w:tc>
          <w:tcPr>
            <w:tcW w:w="1254" w:type="dxa"/>
            <w:shd w:val="clear" w:color="auto" w:fill="E6E6E6"/>
            <w:vAlign w:val="center"/>
          </w:tcPr>
          <w:p w14:paraId="5A537A7B" w14:textId="77777777" w:rsidR="00CB33C7" w:rsidRPr="00EF4E67" w:rsidRDefault="00CB33C7" w:rsidP="00EF4E67">
            <w:pPr>
              <w:jc w:val="center"/>
              <w:rPr>
                <w:rFonts w:cs="Arial"/>
                <w:b/>
                <w:color w:val="000000"/>
                <w:szCs w:val="22"/>
                <w:lang w:eastAsia="it-IT"/>
              </w:rPr>
            </w:pPr>
            <w:r w:rsidRPr="00EF4E67">
              <w:rPr>
                <w:rFonts w:cs="Arial"/>
                <w:b/>
                <w:color w:val="000000"/>
                <w:szCs w:val="22"/>
                <w:lang w:eastAsia="it-IT"/>
              </w:rPr>
              <w:t>2025</w:t>
            </w:r>
          </w:p>
        </w:tc>
        <w:tc>
          <w:tcPr>
            <w:tcW w:w="1411" w:type="dxa"/>
            <w:shd w:val="clear" w:color="auto" w:fill="E6E6E6"/>
          </w:tcPr>
          <w:p w14:paraId="4F8EA0F7" w14:textId="77777777" w:rsidR="00CB33C7" w:rsidRPr="00EF4E67" w:rsidRDefault="00CB33C7" w:rsidP="00EF4E67">
            <w:pPr>
              <w:jc w:val="center"/>
              <w:rPr>
                <w:rFonts w:cs="Arial"/>
                <w:b/>
                <w:color w:val="000000"/>
                <w:szCs w:val="22"/>
                <w:lang w:eastAsia="it-IT"/>
              </w:rPr>
            </w:pPr>
            <w:r w:rsidRPr="00EF4E67">
              <w:rPr>
                <w:rFonts w:cs="Arial"/>
                <w:b/>
                <w:color w:val="000000"/>
                <w:szCs w:val="22"/>
                <w:lang w:eastAsia="it-IT"/>
              </w:rPr>
              <w:t>2026</w:t>
            </w:r>
          </w:p>
        </w:tc>
        <w:tc>
          <w:tcPr>
            <w:tcW w:w="1281" w:type="dxa"/>
            <w:gridSpan w:val="2"/>
            <w:tcBorders>
              <w:bottom w:val="single" w:sz="4" w:space="0" w:color="auto"/>
            </w:tcBorders>
            <w:shd w:val="clear" w:color="auto" w:fill="E6E6E6"/>
          </w:tcPr>
          <w:p w14:paraId="2DC20D3B" w14:textId="77777777" w:rsidR="00CB33C7" w:rsidRPr="00EF4E67" w:rsidRDefault="00CB33C7" w:rsidP="00EF4E67">
            <w:pPr>
              <w:jc w:val="center"/>
              <w:rPr>
                <w:rFonts w:cs="Arial"/>
                <w:b/>
                <w:color w:val="000000"/>
                <w:szCs w:val="22"/>
                <w:lang w:eastAsia="it-IT"/>
              </w:rPr>
            </w:pPr>
            <w:r w:rsidRPr="00EF4E67">
              <w:rPr>
                <w:rFonts w:cs="Arial"/>
                <w:b/>
                <w:color w:val="000000"/>
                <w:szCs w:val="22"/>
                <w:lang w:eastAsia="it-IT"/>
              </w:rPr>
              <w:t>2027</w:t>
            </w:r>
          </w:p>
        </w:tc>
        <w:tc>
          <w:tcPr>
            <w:tcW w:w="1276" w:type="dxa"/>
            <w:gridSpan w:val="2"/>
            <w:shd w:val="clear" w:color="auto" w:fill="E6E6E6"/>
          </w:tcPr>
          <w:p w14:paraId="088260AF" w14:textId="77777777" w:rsidR="00CB33C7" w:rsidRPr="00EF4E67" w:rsidRDefault="00CB33C7" w:rsidP="00EF4E67">
            <w:pPr>
              <w:jc w:val="center"/>
              <w:rPr>
                <w:rFonts w:cs="Arial"/>
                <w:b/>
                <w:color w:val="000000"/>
                <w:szCs w:val="22"/>
                <w:lang w:eastAsia="it-IT"/>
              </w:rPr>
            </w:pPr>
            <w:r w:rsidRPr="00EF4E67">
              <w:rPr>
                <w:rFonts w:cs="Arial"/>
                <w:b/>
                <w:color w:val="000000"/>
                <w:szCs w:val="22"/>
                <w:lang w:eastAsia="it-IT"/>
              </w:rPr>
              <w:t>2028</w:t>
            </w:r>
          </w:p>
        </w:tc>
        <w:tc>
          <w:tcPr>
            <w:tcW w:w="1574" w:type="dxa"/>
            <w:gridSpan w:val="2"/>
            <w:shd w:val="clear" w:color="auto" w:fill="E6E6E6"/>
          </w:tcPr>
          <w:p w14:paraId="0CC3E1A9" w14:textId="77777777" w:rsidR="00CB33C7" w:rsidRPr="00EF4E67" w:rsidRDefault="00CB33C7" w:rsidP="00EF4E67">
            <w:pPr>
              <w:jc w:val="center"/>
              <w:rPr>
                <w:rFonts w:cs="Arial"/>
                <w:b/>
                <w:color w:val="000000"/>
                <w:szCs w:val="22"/>
                <w:lang w:eastAsia="it-IT"/>
              </w:rPr>
            </w:pPr>
            <w:r w:rsidRPr="00EF4E67">
              <w:rPr>
                <w:rFonts w:cs="Arial"/>
                <w:b/>
                <w:color w:val="000000"/>
                <w:szCs w:val="22"/>
                <w:lang w:eastAsia="it-IT"/>
              </w:rPr>
              <w:t>РАЗОМ</w:t>
            </w:r>
          </w:p>
        </w:tc>
      </w:tr>
      <w:tr w:rsidR="00CB33C7" w:rsidRPr="00EF4E67" w14:paraId="32818C01" w14:textId="77777777" w:rsidTr="00EF4E67">
        <w:trPr>
          <w:jc w:val="right"/>
        </w:trPr>
        <w:tc>
          <w:tcPr>
            <w:tcW w:w="3423" w:type="dxa"/>
            <w:vMerge/>
            <w:shd w:val="clear" w:color="auto" w:fill="FFFFFF"/>
            <w:vAlign w:val="center"/>
          </w:tcPr>
          <w:p w14:paraId="1D49E504" w14:textId="77777777" w:rsidR="00CB33C7" w:rsidRPr="00EF4E67" w:rsidRDefault="00CB33C7" w:rsidP="00EF4E67">
            <w:pPr>
              <w:rPr>
                <w:rFonts w:cs="Arial"/>
                <w:b/>
                <w:bCs/>
                <w:color w:val="000000"/>
                <w:szCs w:val="22"/>
              </w:rPr>
            </w:pPr>
          </w:p>
        </w:tc>
        <w:tc>
          <w:tcPr>
            <w:tcW w:w="1254" w:type="dxa"/>
            <w:vAlign w:val="center"/>
          </w:tcPr>
          <w:p w14:paraId="36E38C9E" w14:textId="77777777" w:rsidR="00CB33C7" w:rsidRPr="00EF4E67" w:rsidRDefault="00CB33C7" w:rsidP="00EF4E67">
            <w:pPr>
              <w:jc w:val="center"/>
              <w:rPr>
                <w:rFonts w:cs="Arial"/>
                <w:b/>
                <w:color w:val="000000"/>
                <w:szCs w:val="22"/>
                <w:lang w:eastAsia="it-IT"/>
              </w:rPr>
            </w:pPr>
          </w:p>
        </w:tc>
        <w:tc>
          <w:tcPr>
            <w:tcW w:w="1411" w:type="dxa"/>
            <w:shd w:val="clear" w:color="auto" w:fill="FFFFFF"/>
          </w:tcPr>
          <w:p w14:paraId="52964BC9" w14:textId="77777777" w:rsidR="00CB33C7" w:rsidRPr="00EF4E67" w:rsidRDefault="00CB33C7" w:rsidP="00EF4E67">
            <w:pPr>
              <w:jc w:val="center"/>
              <w:rPr>
                <w:rFonts w:cs="Arial"/>
                <w:color w:val="000000"/>
                <w:szCs w:val="22"/>
                <w:lang w:eastAsia="it-IT"/>
              </w:rPr>
            </w:pPr>
            <w:r w:rsidRPr="00EF4E67">
              <w:rPr>
                <w:rFonts w:cs="Arial"/>
                <w:color w:val="000000"/>
                <w:szCs w:val="22"/>
                <w:lang w:eastAsia="it-IT"/>
              </w:rPr>
              <w:t>1263,928</w:t>
            </w:r>
          </w:p>
        </w:tc>
        <w:tc>
          <w:tcPr>
            <w:tcW w:w="1281" w:type="dxa"/>
            <w:gridSpan w:val="2"/>
            <w:shd w:val="clear" w:color="auto" w:fill="auto"/>
          </w:tcPr>
          <w:p w14:paraId="6AE6354F" w14:textId="77777777" w:rsidR="00CB33C7" w:rsidRPr="00EF4E67" w:rsidRDefault="00CB33C7" w:rsidP="00EF4E67">
            <w:pPr>
              <w:jc w:val="center"/>
              <w:rPr>
                <w:rFonts w:cs="Arial"/>
                <w:b/>
                <w:color w:val="000000"/>
                <w:szCs w:val="22"/>
                <w:lang w:eastAsia="it-IT"/>
              </w:rPr>
            </w:pPr>
          </w:p>
        </w:tc>
        <w:tc>
          <w:tcPr>
            <w:tcW w:w="1276" w:type="dxa"/>
            <w:gridSpan w:val="2"/>
            <w:shd w:val="clear" w:color="auto" w:fill="FFFFFF"/>
          </w:tcPr>
          <w:p w14:paraId="1C9808FE" w14:textId="77777777" w:rsidR="00CB33C7" w:rsidRPr="00EF4E67" w:rsidRDefault="00CB33C7" w:rsidP="00EF4E67">
            <w:pPr>
              <w:jc w:val="center"/>
              <w:rPr>
                <w:rFonts w:cs="Arial"/>
                <w:b/>
                <w:color w:val="000000"/>
                <w:szCs w:val="22"/>
                <w:lang w:eastAsia="it-IT"/>
              </w:rPr>
            </w:pPr>
          </w:p>
        </w:tc>
        <w:tc>
          <w:tcPr>
            <w:tcW w:w="1574" w:type="dxa"/>
            <w:gridSpan w:val="2"/>
            <w:shd w:val="clear" w:color="auto" w:fill="FFFFFF"/>
          </w:tcPr>
          <w:p w14:paraId="0F9DC454" w14:textId="77777777" w:rsidR="00CB33C7" w:rsidRPr="00EF4E67" w:rsidRDefault="00CB33C7" w:rsidP="00EF4E67">
            <w:pPr>
              <w:jc w:val="center"/>
              <w:rPr>
                <w:rFonts w:cs="Arial"/>
                <w:b/>
                <w:color w:val="000000"/>
                <w:szCs w:val="22"/>
                <w:lang w:eastAsia="it-IT"/>
              </w:rPr>
            </w:pPr>
            <w:r w:rsidRPr="00EF4E67">
              <w:rPr>
                <w:rFonts w:cs="Arial"/>
                <w:b/>
                <w:color w:val="000000"/>
                <w:szCs w:val="22"/>
                <w:lang w:eastAsia="it-IT"/>
              </w:rPr>
              <w:t>1263,928</w:t>
            </w:r>
          </w:p>
        </w:tc>
      </w:tr>
      <w:tr w:rsidR="00CB33C7" w:rsidRPr="00EF4E67" w14:paraId="263BB77B" w14:textId="77777777" w:rsidTr="00EF4E67">
        <w:trPr>
          <w:trHeight w:val="276"/>
          <w:jc w:val="right"/>
        </w:trPr>
        <w:tc>
          <w:tcPr>
            <w:tcW w:w="3423" w:type="dxa"/>
            <w:shd w:val="clear" w:color="auto" w:fill="FFFFFF"/>
            <w:vAlign w:val="center"/>
          </w:tcPr>
          <w:p w14:paraId="2EE4D2C3" w14:textId="77777777" w:rsidR="00CB33C7" w:rsidRPr="00EF4E67" w:rsidRDefault="00CB33C7" w:rsidP="00EF4E67">
            <w:pPr>
              <w:rPr>
                <w:rFonts w:cs="Arial"/>
                <w:b/>
                <w:bCs/>
                <w:color w:val="000000"/>
                <w:szCs w:val="22"/>
              </w:rPr>
            </w:pPr>
            <w:r w:rsidRPr="00EF4E67">
              <w:rPr>
                <w:rFonts w:cs="Arial"/>
                <w:b/>
                <w:bCs/>
                <w:color w:val="000000"/>
                <w:szCs w:val="22"/>
              </w:rPr>
              <w:t>по джерелах фінансування:</w:t>
            </w:r>
          </w:p>
        </w:tc>
        <w:tc>
          <w:tcPr>
            <w:tcW w:w="6796" w:type="dxa"/>
            <w:gridSpan w:val="8"/>
          </w:tcPr>
          <w:p w14:paraId="1B7658DC" w14:textId="77777777" w:rsidR="00CB33C7" w:rsidRPr="00EF4E67" w:rsidRDefault="00CB33C7" w:rsidP="00EF4E67">
            <w:pPr>
              <w:jc w:val="center"/>
              <w:rPr>
                <w:rFonts w:cs="Arial"/>
                <w:color w:val="000000"/>
                <w:szCs w:val="22"/>
                <w:lang w:eastAsia="it-IT"/>
              </w:rPr>
            </w:pPr>
          </w:p>
        </w:tc>
      </w:tr>
      <w:tr w:rsidR="00EF4E67" w:rsidRPr="00EF4E67" w14:paraId="15F512F0" w14:textId="545E36C1" w:rsidTr="00EF4E67">
        <w:trPr>
          <w:trHeight w:val="240"/>
          <w:jc w:val="right"/>
        </w:trPr>
        <w:tc>
          <w:tcPr>
            <w:tcW w:w="3423" w:type="dxa"/>
            <w:shd w:val="clear" w:color="auto" w:fill="FFFFFF"/>
            <w:vAlign w:val="center"/>
          </w:tcPr>
          <w:p w14:paraId="5BFAAF11" w14:textId="77777777" w:rsidR="00EF4E67" w:rsidRPr="00EF4E67" w:rsidRDefault="00EF4E67" w:rsidP="00EF4E67">
            <w:pPr>
              <w:rPr>
                <w:rFonts w:cs="Arial"/>
                <w:b/>
                <w:bCs/>
                <w:color w:val="000000"/>
                <w:szCs w:val="22"/>
              </w:rPr>
            </w:pPr>
            <w:r w:rsidRPr="00EF4E67">
              <w:rPr>
                <w:rFonts w:cs="Arial"/>
                <w:color w:val="000000"/>
                <w:szCs w:val="22"/>
              </w:rPr>
              <w:t>- державний бюджет</w:t>
            </w:r>
          </w:p>
        </w:tc>
        <w:tc>
          <w:tcPr>
            <w:tcW w:w="1254" w:type="dxa"/>
            <w:vAlign w:val="center"/>
          </w:tcPr>
          <w:p w14:paraId="3B1B00A8" w14:textId="77777777" w:rsidR="00EF4E67" w:rsidRPr="00EF4E67" w:rsidRDefault="00EF4E67" w:rsidP="00EF4E67">
            <w:pPr>
              <w:jc w:val="both"/>
              <w:rPr>
                <w:rFonts w:cs="Arial"/>
                <w:color w:val="000000"/>
                <w:szCs w:val="22"/>
                <w:lang w:eastAsia="it-IT"/>
              </w:rPr>
            </w:pPr>
          </w:p>
        </w:tc>
        <w:tc>
          <w:tcPr>
            <w:tcW w:w="1439" w:type="dxa"/>
            <w:gridSpan w:val="2"/>
          </w:tcPr>
          <w:p w14:paraId="1BBBBC54" w14:textId="77777777" w:rsidR="00EF4E67" w:rsidRPr="00EF4E67" w:rsidRDefault="00EF4E67" w:rsidP="00EF4E67">
            <w:pPr>
              <w:jc w:val="center"/>
              <w:rPr>
                <w:rFonts w:cs="Arial"/>
                <w:color w:val="000000"/>
                <w:szCs w:val="22"/>
                <w:lang w:eastAsia="it-IT"/>
              </w:rPr>
            </w:pPr>
          </w:p>
        </w:tc>
        <w:tc>
          <w:tcPr>
            <w:tcW w:w="1290" w:type="dxa"/>
            <w:gridSpan w:val="2"/>
          </w:tcPr>
          <w:p w14:paraId="52AB7BF7" w14:textId="77777777" w:rsidR="00EF4E67" w:rsidRPr="00EF4E67" w:rsidRDefault="00EF4E67" w:rsidP="00EF4E67">
            <w:pPr>
              <w:jc w:val="center"/>
              <w:rPr>
                <w:rFonts w:cs="Arial"/>
                <w:color w:val="000000"/>
                <w:szCs w:val="22"/>
                <w:lang w:eastAsia="it-IT"/>
              </w:rPr>
            </w:pPr>
          </w:p>
        </w:tc>
        <w:tc>
          <w:tcPr>
            <w:tcW w:w="1260" w:type="dxa"/>
            <w:gridSpan w:val="2"/>
          </w:tcPr>
          <w:p w14:paraId="546FA916" w14:textId="77777777" w:rsidR="00EF4E67" w:rsidRPr="00EF4E67" w:rsidRDefault="00EF4E67" w:rsidP="00EF4E67">
            <w:pPr>
              <w:jc w:val="center"/>
              <w:rPr>
                <w:rFonts w:cs="Arial"/>
                <w:color w:val="000000"/>
                <w:szCs w:val="22"/>
                <w:lang w:eastAsia="it-IT"/>
              </w:rPr>
            </w:pPr>
          </w:p>
        </w:tc>
        <w:tc>
          <w:tcPr>
            <w:tcW w:w="1553" w:type="dxa"/>
          </w:tcPr>
          <w:p w14:paraId="3D675A10" w14:textId="77777777" w:rsidR="00EF4E67" w:rsidRPr="00EF4E67" w:rsidRDefault="00EF4E67" w:rsidP="00EF4E67">
            <w:pPr>
              <w:jc w:val="center"/>
              <w:rPr>
                <w:rFonts w:cs="Arial"/>
                <w:color w:val="000000"/>
                <w:szCs w:val="22"/>
                <w:lang w:eastAsia="it-IT"/>
              </w:rPr>
            </w:pPr>
          </w:p>
        </w:tc>
      </w:tr>
      <w:tr w:rsidR="00EF4E67" w:rsidRPr="00EF4E67" w14:paraId="622006C0" w14:textId="2CBA6B6F" w:rsidTr="00EF4E67">
        <w:trPr>
          <w:trHeight w:val="254"/>
          <w:jc w:val="right"/>
        </w:trPr>
        <w:tc>
          <w:tcPr>
            <w:tcW w:w="3423" w:type="dxa"/>
            <w:shd w:val="clear" w:color="auto" w:fill="FFFFFF"/>
            <w:vAlign w:val="center"/>
          </w:tcPr>
          <w:p w14:paraId="75E435DC" w14:textId="77777777" w:rsidR="00EF4E67" w:rsidRPr="00EF4E67" w:rsidRDefault="00EF4E67" w:rsidP="00EF4E67">
            <w:pPr>
              <w:rPr>
                <w:rFonts w:cs="Arial"/>
                <w:color w:val="000000"/>
                <w:szCs w:val="22"/>
              </w:rPr>
            </w:pPr>
            <w:r w:rsidRPr="00EF4E67">
              <w:rPr>
                <w:rFonts w:cs="Arial"/>
                <w:color w:val="000000"/>
                <w:szCs w:val="22"/>
              </w:rPr>
              <w:t>- обласний бюджет</w:t>
            </w:r>
          </w:p>
        </w:tc>
        <w:tc>
          <w:tcPr>
            <w:tcW w:w="1254" w:type="dxa"/>
            <w:vAlign w:val="center"/>
          </w:tcPr>
          <w:p w14:paraId="4EF32D5C" w14:textId="77777777" w:rsidR="00EF4E67" w:rsidRPr="00EF4E67" w:rsidRDefault="00EF4E67" w:rsidP="00EF4E67">
            <w:pPr>
              <w:jc w:val="both"/>
              <w:rPr>
                <w:rFonts w:cs="Arial"/>
                <w:color w:val="000000"/>
                <w:szCs w:val="22"/>
                <w:lang w:eastAsia="it-IT"/>
              </w:rPr>
            </w:pPr>
          </w:p>
        </w:tc>
        <w:tc>
          <w:tcPr>
            <w:tcW w:w="1439" w:type="dxa"/>
            <w:gridSpan w:val="2"/>
          </w:tcPr>
          <w:p w14:paraId="1AEEA8C2" w14:textId="77777777" w:rsidR="00EF4E67" w:rsidRPr="00EF4E67" w:rsidRDefault="00EF4E67" w:rsidP="00EF4E67">
            <w:pPr>
              <w:jc w:val="center"/>
              <w:rPr>
                <w:rFonts w:cs="Arial"/>
                <w:color w:val="000000"/>
                <w:szCs w:val="22"/>
                <w:lang w:eastAsia="it-IT"/>
              </w:rPr>
            </w:pPr>
          </w:p>
        </w:tc>
        <w:tc>
          <w:tcPr>
            <w:tcW w:w="1290" w:type="dxa"/>
            <w:gridSpan w:val="2"/>
          </w:tcPr>
          <w:p w14:paraId="3CE036C5" w14:textId="77777777" w:rsidR="00EF4E67" w:rsidRPr="00EF4E67" w:rsidRDefault="00EF4E67" w:rsidP="00EF4E67">
            <w:pPr>
              <w:jc w:val="center"/>
              <w:rPr>
                <w:rFonts w:cs="Arial"/>
                <w:color w:val="000000"/>
                <w:szCs w:val="22"/>
                <w:lang w:eastAsia="it-IT"/>
              </w:rPr>
            </w:pPr>
          </w:p>
        </w:tc>
        <w:tc>
          <w:tcPr>
            <w:tcW w:w="1260" w:type="dxa"/>
            <w:gridSpan w:val="2"/>
          </w:tcPr>
          <w:p w14:paraId="3EDB5369" w14:textId="77777777" w:rsidR="00EF4E67" w:rsidRPr="00EF4E67" w:rsidRDefault="00EF4E67" w:rsidP="00EF4E67">
            <w:pPr>
              <w:jc w:val="center"/>
              <w:rPr>
                <w:rFonts w:cs="Arial"/>
                <w:color w:val="000000"/>
                <w:szCs w:val="22"/>
                <w:lang w:eastAsia="it-IT"/>
              </w:rPr>
            </w:pPr>
          </w:p>
        </w:tc>
        <w:tc>
          <w:tcPr>
            <w:tcW w:w="1553" w:type="dxa"/>
          </w:tcPr>
          <w:p w14:paraId="06B84404" w14:textId="77777777" w:rsidR="00EF4E67" w:rsidRPr="00EF4E67" w:rsidRDefault="00EF4E67" w:rsidP="00EF4E67">
            <w:pPr>
              <w:jc w:val="center"/>
              <w:rPr>
                <w:rFonts w:cs="Arial"/>
                <w:color w:val="000000"/>
                <w:szCs w:val="22"/>
                <w:lang w:eastAsia="it-IT"/>
              </w:rPr>
            </w:pPr>
          </w:p>
        </w:tc>
      </w:tr>
      <w:tr w:rsidR="00EF4E67" w:rsidRPr="00EF4E67" w14:paraId="1AD65D4D" w14:textId="10AA3C31" w:rsidTr="00EF4E67">
        <w:trPr>
          <w:trHeight w:val="275"/>
          <w:jc w:val="right"/>
        </w:trPr>
        <w:tc>
          <w:tcPr>
            <w:tcW w:w="3423" w:type="dxa"/>
            <w:shd w:val="clear" w:color="auto" w:fill="FFFFFF"/>
            <w:vAlign w:val="center"/>
          </w:tcPr>
          <w:p w14:paraId="01AFD5E9" w14:textId="77777777" w:rsidR="00EF4E67" w:rsidRPr="00EF4E67" w:rsidRDefault="00EF4E67" w:rsidP="00EF4E67">
            <w:pPr>
              <w:rPr>
                <w:rFonts w:cs="Arial"/>
                <w:color w:val="000000"/>
                <w:szCs w:val="22"/>
              </w:rPr>
            </w:pPr>
            <w:r w:rsidRPr="00EF4E67">
              <w:rPr>
                <w:rFonts w:cs="Arial"/>
                <w:color w:val="000000"/>
                <w:szCs w:val="22"/>
              </w:rPr>
              <w:t>- бюджет Жмеринської МТГ</w:t>
            </w:r>
          </w:p>
        </w:tc>
        <w:tc>
          <w:tcPr>
            <w:tcW w:w="1254" w:type="dxa"/>
            <w:vAlign w:val="center"/>
          </w:tcPr>
          <w:p w14:paraId="51ADFD2C" w14:textId="68135486" w:rsidR="00EF4E67" w:rsidRPr="00EF4E67" w:rsidRDefault="00EF4E67" w:rsidP="00EF4E67">
            <w:pPr>
              <w:jc w:val="both"/>
              <w:rPr>
                <w:rFonts w:cs="Arial"/>
                <w:color w:val="000000"/>
                <w:szCs w:val="22"/>
                <w:lang w:eastAsia="it-IT"/>
              </w:rPr>
            </w:pPr>
          </w:p>
        </w:tc>
        <w:tc>
          <w:tcPr>
            <w:tcW w:w="1439" w:type="dxa"/>
            <w:gridSpan w:val="2"/>
          </w:tcPr>
          <w:p w14:paraId="6B558E32" w14:textId="5B39802A" w:rsidR="00EF4E67" w:rsidRPr="00EF4E67" w:rsidRDefault="00EF4E67" w:rsidP="00EF4E67">
            <w:pPr>
              <w:jc w:val="center"/>
              <w:rPr>
                <w:rFonts w:cs="Arial"/>
                <w:color w:val="000000"/>
                <w:szCs w:val="22"/>
                <w:lang w:eastAsia="it-IT"/>
              </w:rPr>
            </w:pPr>
            <w:r w:rsidRPr="00EF4E67">
              <w:rPr>
                <w:rFonts w:cs="Arial"/>
                <w:color w:val="000000"/>
                <w:szCs w:val="22"/>
                <w:lang w:eastAsia="it-IT"/>
              </w:rPr>
              <w:t>1263,928</w:t>
            </w:r>
          </w:p>
        </w:tc>
        <w:tc>
          <w:tcPr>
            <w:tcW w:w="1290" w:type="dxa"/>
            <w:gridSpan w:val="2"/>
          </w:tcPr>
          <w:p w14:paraId="76CA1C10" w14:textId="77777777" w:rsidR="00EF4E67" w:rsidRPr="00EF4E67" w:rsidRDefault="00EF4E67" w:rsidP="00EF4E67">
            <w:pPr>
              <w:jc w:val="center"/>
              <w:rPr>
                <w:rFonts w:cs="Arial"/>
                <w:color w:val="000000"/>
                <w:szCs w:val="22"/>
                <w:lang w:eastAsia="it-IT"/>
              </w:rPr>
            </w:pPr>
          </w:p>
        </w:tc>
        <w:tc>
          <w:tcPr>
            <w:tcW w:w="1260" w:type="dxa"/>
            <w:gridSpan w:val="2"/>
          </w:tcPr>
          <w:p w14:paraId="231315AE" w14:textId="77777777" w:rsidR="00EF4E67" w:rsidRPr="00EF4E67" w:rsidRDefault="00EF4E67" w:rsidP="00EF4E67">
            <w:pPr>
              <w:jc w:val="center"/>
              <w:rPr>
                <w:rFonts w:cs="Arial"/>
                <w:color w:val="000000"/>
                <w:szCs w:val="22"/>
                <w:lang w:eastAsia="it-IT"/>
              </w:rPr>
            </w:pPr>
          </w:p>
        </w:tc>
        <w:tc>
          <w:tcPr>
            <w:tcW w:w="1553" w:type="dxa"/>
          </w:tcPr>
          <w:p w14:paraId="6DD3DE51" w14:textId="47F6BE33" w:rsidR="00EF4E67" w:rsidRPr="00EF4E67" w:rsidRDefault="00EF4E67" w:rsidP="00EF4E67">
            <w:pPr>
              <w:jc w:val="center"/>
              <w:rPr>
                <w:rFonts w:cs="Arial"/>
                <w:color w:val="000000"/>
                <w:szCs w:val="22"/>
                <w:lang w:eastAsia="it-IT"/>
              </w:rPr>
            </w:pPr>
            <w:r w:rsidRPr="00EF4E67">
              <w:rPr>
                <w:rFonts w:cs="Arial"/>
                <w:b/>
                <w:color w:val="000000"/>
                <w:szCs w:val="22"/>
                <w:lang w:eastAsia="it-IT"/>
              </w:rPr>
              <w:t>1263,928</w:t>
            </w:r>
          </w:p>
        </w:tc>
      </w:tr>
      <w:tr w:rsidR="00EF4E67" w:rsidRPr="00EF4E67" w14:paraId="3E822CD9" w14:textId="6C0B5D3E" w:rsidTr="00EF4E67">
        <w:trPr>
          <w:trHeight w:val="226"/>
          <w:jc w:val="right"/>
        </w:trPr>
        <w:tc>
          <w:tcPr>
            <w:tcW w:w="3423" w:type="dxa"/>
            <w:shd w:val="clear" w:color="auto" w:fill="FFFFFF"/>
            <w:vAlign w:val="center"/>
          </w:tcPr>
          <w:p w14:paraId="2CC61510" w14:textId="77777777" w:rsidR="00EF4E67" w:rsidRPr="00EF4E67" w:rsidRDefault="00EF4E67" w:rsidP="00EF4E67">
            <w:pPr>
              <w:rPr>
                <w:rFonts w:cs="Arial"/>
                <w:color w:val="000000"/>
                <w:szCs w:val="22"/>
              </w:rPr>
            </w:pPr>
            <w:r w:rsidRPr="00EF4E67">
              <w:rPr>
                <w:rFonts w:cs="Arial"/>
                <w:color w:val="000000"/>
                <w:szCs w:val="22"/>
              </w:rPr>
              <w:t>- інші джерела фінансування</w:t>
            </w:r>
          </w:p>
        </w:tc>
        <w:tc>
          <w:tcPr>
            <w:tcW w:w="1254" w:type="dxa"/>
            <w:vAlign w:val="center"/>
          </w:tcPr>
          <w:p w14:paraId="4622C23B" w14:textId="77777777" w:rsidR="00EF4E67" w:rsidRPr="00EF4E67" w:rsidRDefault="00EF4E67" w:rsidP="00EF4E67">
            <w:pPr>
              <w:jc w:val="both"/>
              <w:rPr>
                <w:rFonts w:cs="Arial"/>
                <w:color w:val="000000"/>
                <w:szCs w:val="22"/>
                <w:lang w:eastAsia="it-IT"/>
              </w:rPr>
            </w:pPr>
          </w:p>
        </w:tc>
        <w:tc>
          <w:tcPr>
            <w:tcW w:w="1439" w:type="dxa"/>
            <w:gridSpan w:val="2"/>
          </w:tcPr>
          <w:p w14:paraId="0CCE2096" w14:textId="77777777" w:rsidR="00EF4E67" w:rsidRPr="00EF4E67" w:rsidRDefault="00EF4E67" w:rsidP="00EF4E67">
            <w:pPr>
              <w:jc w:val="center"/>
              <w:rPr>
                <w:rFonts w:cs="Arial"/>
                <w:color w:val="000000"/>
                <w:szCs w:val="22"/>
                <w:lang w:eastAsia="it-IT"/>
              </w:rPr>
            </w:pPr>
          </w:p>
        </w:tc>
        <w:tc>
          <w:tcPr>
            <w:tcW w:w="1290" w:type="dxa"/>
            <w:gridSpan w:val="2"/>
          </w:tcPr>
          <w:p w14:paraId="3C7B2180" w14:textId="77777777" w:rsidR="00EF4E67" w:rsidRPr="00EF4E67" w:rsidRDefault="00EF4E67" w:rsidP="00EF4E67">
            <w:pPr>
              <w:jc w:val="center"/>
              <w:rPr>
                <w:rFonts w:cs="Arial"/>
                <w:color w:val="000000"/>
                <w:szCs w:val="22"/>
                <w:lang w:eastAsia="it-IT"/>
              </w:rPr>
            </w:pPr>
          </w:p>
        </w:tc>
        <w:tc>
          <w:tcPr>
            <w:tcW w:w="1260" w:type="dxa"/>
            <w:gridSpan w:val="2"/>
          </w:tcPr>
          <w:p w14:paraId="6F96CB9C" w14:textId="77777777" w:rsidR="00EF4E67" w:rsidRPr="00EF4E67" w:rsidRDefault="00EF4E67" w:rsidP="00EF4E67">
            <w:pPr>
              <w:jc w:val="center"/>
              <w:rPr>
                <w:rFonts w:cs="Arial"/>
                <w:color w:val="000000"/>
                <w:szCs w:val="22"/>
                <w:lang w:eastAsia="it-IT"/>
              </w:rPr>
            </w:pPr>
          </w:p>
        </w:tc>
        <w:tc>
          <w:tcPr>
            <w:tcW w:w="1553" w:type="dxa"/>
          </w:tcPr>
          <w:p w14:paraId="0B04FB01" w14:textId="77777777" w:rsidR="00EF4E67" w:rsidRPr="00EF4E67" w:rsidRDefault="00EF4E67" w:rsidP="00EF4E67">
            <w:pPr>
              <w:jc w:val="center"/>
              <w:rPr>
                <w:rFonts w:cs="Arial"/>
                <w:color w:val="000000"/>
                <w:szCs w:val="22"/>
                <w:lang w:eastAsia="it-IT"/>
              </w:rPr>
            </w:pPr>
          </w:p>
        </w:tc>
      </w:tr>
      <w:tr w:rsidR="00EF4E67" w:rsidRPr="00EF4E67" w14:paraId="739CE9D7" w14:textId="77777777" w:rsidTr="00EF4E67">
        <w:trPr>
          <w:trHeight w:val="226"/>
          <w:jc w:val="right"/>
        </w:trPr>
        <w:tc>
          <w:tcPr>
            <w:tcW w:w="3423" w:type="dxa"/>
            <w:tcBorders>
              <w:top w:val="single" w:sz="4" w:space="0" w:color="auto"/>
              <w:left w:val="single" w:sz="4" w:space="0" w:color="auto"/>
              <w:bottom w:val="single" w:sz="4" w:space="0" w:color="auto"/>
              <w:right w:val="single" w:sz="4" w:space="0" w:color="auto"/>
            </w:tcBorders>
            <w:shd w:val="clear" w:color="auto" w:fill="FFFFFF"/>
            <w:vAlign w:val="center"/>
          </w:tcPr>
          <w:p w14:paraId="22FF4B63" w14:textId="77777777" w:rsidR="00EF4E67" w:rsidRPr="00EF4E67" w:rsidRDefault="00EF4E67" w:rsidP="00EF4E67">
            <w:pPr>
              <w:rPr>
                <w:rFonts w:cs="Arial"/>
                <w:color w:val="000000"/>
                <w:szCs w:val="22"/>
              </w:rPr>
            </w:pPr>
            <w:r w:rsidRPr="00EF4E67">
              <w:rPr>
                <w:rFonts w:cs="Arial"/>
                <w:color w:val="000000"/>
                <w:szCs w:val="22"/>
              </w:rPr>
              <w:t>Відповідальний виконавець проєкту:</w:t>
            </w:r>
          </w:p>
        </w:tc>
        <w:tc>
          <w:tcPr>
            <w:tcW w:w="6796" w:type="dxa"/>
            <w:gridSpan w:val="8"/>
            <w:tcBorders>
              <w:top w:val="single" w:sz="4" w:space="0" w:color="auto"/>
              <w:left w:val="single" w:sz="4" w:space="0" w:color="auto"/>
              <w:bottom w:val="single" w:sz="4" w:space="0" w:color="auto"/>
              <w:right w:val="single" w:sz="4" w:space="0" w:color="auto"/>
            </w:tcBorders>
            <w:vAlign w:val="center"/>
          </w:tcPr>
          <w:p w14:paraId="2EF47799" w14:textId="0D9B72BA" w:rsidR="00EF4E67" w:rsidRPr="00EF4E67" w:rsidRDefault="00EF4E67" w:rsidP="00EF4E67">
            <w:pPr>
              <w:jc w:val="both"/>
              <w:rPr>
                <w:rFonts w:cs="Arial"/>
                <w:color w:val="000000"/>
                <w:szCs w:val="22"/>
                <w:lang w:eastAsia="it-IT"/>
              </w:rPr>
            </w:pPr>
            <w:r w:rsidRPr="00EF4E67">
              <w:rPr>
                <w:rFonts w:cs="Arial"/>
                <w:color w:val="000000"/>
                <w:szCs w:val="22"/>
                <w:lang w:eastAsia="it-IT"/>
              </w:rPr>
              <w:t>Управління ЖКГ.</w:t>
            </w:r>
          </w:p>
        </w:tc>
      </w:tr>
      <w:tr w:rsidR="00EF4E67" w:rsidRPr="00EF4E67" w14:paraId="31759F9F" w14:textId="77777777" w:rsidTr="00EF4E67">
        <w:trPr>
          <w:trHeight w:val="226"/>
          <w:jc w:val="right"/>
        </w:trPr>
        <w:tc>
          <w:tcPr>
            <w:tcW w:w="3423" w:type="dxa"/>
            <w:tcBorders>
              <w:top w:val="single" w:sz="4" w:space="0" w:color="auto"/>
              <w:left w:val="single" w:sz="4" w:space="0" w:color="auto"/>
              <w:bottom w:val="single" w:sz="4" w:space="0" w:color="auto"/>
              <w:right w:val="single" w:sz="4" w:space="0" w:color="auto"/>
            </w:tcBorders>
            <w:shd w:val="clear" w:color="auto" w:fill="FFFFFF"/>
            <w:vAlign w:val="center"/>
          </w:tcPr>
          <w:p w14:paraId="65C3E553" w14:textId="77777777" w:rsidR="00EF4E67" w:rsidRPr="00EF4E67" w:rsidRDefault="00EF4E67" w:rsidP="00EF4E67">
            <w:pPr>
              <w:rPr>
                <w:rFonts w:cs="Arial"/>
                <w:color w:val="000000"/>
                <w:szCs w:val="22"/>
              </w:rPr>
            </w:pPr>
            <w:r w:rsidRPr="00EF4E67">
              <w:rPr>
                <w:rFonts w:cs="Arial"/>
                <w:color w:val="000000"/>
                <w:szCs w:val="22"/>
              </w:rPr>
              <w:t>Інше:</w:t>
            </w:r>
          </w:p>
        </w:tc>
        <w:tc>
          <w:tcPr>
            <w:tcW w:w="6796" w:type="dxa"/>
            <w:gridSpan w:val="8"/>
            <w:tcBorders>
              <w:top w:val="single" w:sz="4" w:space="0" w:color="auto"/>
              <w:left w:val="single" w:sz="4" w:space="0" w:color="auto"/>
              <w:bottom w:val="single" w:sz="4" w:space="0" w:color="auto"/>
              <w:right w:val="single" w:sz="4" w:space="0" w:color="auto"/>
            </w:tcBorders>
            <w:vAlign w:val="center"/>
          </w:tcPr>
          <w:p w14:paraId="1765A4F2" w14:textId="77777777" w:rsidR="00EF4E67" w:rsidRPr="00EF4E67" w:rsidRDefault="00EF4E67" w:rsidP="00EF4E67">
            <w:pPr>
              <w:jc w:val="both"/>
              <w:rPr>
                <w:rFonts w:cs="Arial"/>
                <w:color w:val="000000"/>
                <w:szCs w:val="22"/>
                <w:lang w:eastAsia="it-IT"/>
              </w:rPr>
            </w:pPr>
          </w:p>
        </w:tc>
      </w:tr>
    </w:tbl>
    <w:p w14:paraId="08796A16" w14:textId="77777777" w:rsidR="00CB33C7" w:rsidRPr="00C2587D" w:rsidRDefault="00CB33C7" w:rsidP="00CB33C7"/>
    <w:p w14:paraId="2C221424" w14:textId="77777777" w:rsidR="00EA6E27" w:rsidRPr="00C2587D" w:rsidRDefault="00EA6E27" w:rsidP="00CB33C7">
      <w:pPr>
        <w:jc w:val="center"/>
        <w:rPr>
          <w:rFonts w:cs="Arial"/>
          <w:b/>
          <w:color w:val="000000"/>
          <w:szCs w:val="22"/>
        </w:rPr>
      </w:pPr>
    </w:p>
    <w:p w14:paraId="34E780DF" w14:textId="77777777" w:rsidR="00CB33C7" w:rsidRPr="00C2587D" w:rsidRDefault="00CB33C7" w:rsidP="00CB33C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3047AB4D" w14:textId="77777777" w:rsidR="00CB33C7" w:rsidRPr="00C2587D" w:rsidRDefault="00CB33C7" w:rsidP="00CB33C7">
      <w:pPr>
        <w:jc w:val="center"/>
        <w:rPr>
          <w:rFonts w:cs="Arial"/>
          <w:b/>
          <w:color w:val="000000"/>
          <w:szCs w:val="22"/>
        </w:rPr>
      </w:pPr>
      <w:r w:rsidRPr="00C2587D">
        <w:rPr>
          <w:rFonts w:cs="Arial"/>
          <w:b/>
          <w:color w:val="000000"/>
          <w:szCs w:val="22"/>
        </w:rPr>
        <w:t>до Плану заходів з реалізації Стратегії</w:t>
      </w:r>
    </w:p>
    <w:p w14:paraId="48837CF8" w14:textId="77777777" w:rsidR="00CB33C7" w:rsidRPr="00C2587D" w:rsidRDefault="00CB33C7" w:rsidP="00CB33C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2"/>
        <w:gridCol w:w="1254"/>
        <w:gridCol w:w="6"/>
        <w:gridCol w:w="1409"/>
        <w:gridCol w:w="1281"/>
        <w:gridCol w:w="1276"/>
        <w:gridCol w:w="44"/>
        <w:gridCol w:w="1527"/>
      </w:tblGrid>
      <w:tr w:rsidR="00CB33C7" w:rsidRPr="00BD5437" w14:paraId="0F20D9ED" w14:textId="77777777" w:rsidTr="00BD5437">
        <w:trPr>
          <w:jc w:val="right"/>
        </w:trPr>
        <w:tc>
          <w:tcPr>
            <w:tcW w:w="3422" w:type="dxa"/>
            <w:vAlign w:val="center"/>
          </w:tcPr>
          <w:p w14:paraId="775E0152" w14:textId="77777777" w:rsidR="00CB33C7" w:rsidRPr="00BD5437" w:rsidRDefault="00CB33C7" w:rsidP="00BD5437">
            <w:pPr>
              <w:rPr>
                <w:rFonts w:cs="Arial"/>
                <w:b/>
                <w:bCs/>
                <w:color w:val="000000"/>
                <w:szCs w:val="22"/>
              </w:rPr>
            </w:pPr>
            <w:r w:rsidRPr="00BD5437">
              <w:rPr>
                <w:rFonts w:cs="Arial"/>
                <w:b/>
                <w:bCs/>
                <w:color w:val="000000"/>
                <w:szCs w:val="22"/>
              </w:rPr>
              <w:t>Назва проєкту:</w:t>
            </w:r>
          </w:p>
        </w:tc>
        <w:tc>
          <w:tcPr>
            <w:tcW w:w="6797" w:type="dxa"/>
            <w:gridSpan w:val="7"/>
          </w:tcPr>
          <w:p w14:paraId="6C658EB6" w14:textId="77777777" w:rsidR="00CB33C7" w:rsidRPr="00BD5437" w:rsidRDefault="00CB33C7" w:rsidP="00DD6DC0">
            <w:pPr>
              <w:jc w:val="both"/>
              <w:rPr>
                <w:rFonts w:cs="Arial"/>
                <w:b/>
                <w:szCs w:val="22"/>
                <w:lang w:eastAsia="it-IT"/>
              </w:rPr>
            </w:pPr>
            <w:r w:rsidRPr="00BD5437">
              <w:rPr>
                <w:rFonts w:eastAsia="Arial" w:cs="Arial"/>
                <w:b/>
                <w:szCs w:val="22"/>
                <w:lang w:eastAsia="en-US"/>
              </w:rPr>
              <w:t>Капітальний ремонт дорожнього покриття по вул. Олега Кандирала в с. Дубова, Жмеринського району</w:t>
            </w:r>
          </w:p>
        </w:tc>
      </w:tr>
      <w:tr w:rsidR="00CB33C7" w:rsidRPr="00BD5437" w14:paraId="45444FC8" w14:textId="77777777" w:rsidTr="00BD5437">
        <w:trPr>
          <w:jc w:val="right"/>
        </w:trPr>
        <w:tc>
          <w:tcPr>
            <w:tcW w:w="3422" w:type="dxa"/>
          </w:tcPr>
          <w:p w14:paraId="7A550BAC" w14:textId="77777777" w:rsidR="00CB33C7" w:rsidRPr="00BD5437" w:rsidRDefault="00CB33C7" w:rsidP="00BD5437">
            <w:pPr>
              <w:rPr>
                <w:rFonts w:cs="Arial"/>
                <w:szCs w:val="22"/>
                <w:lang w:eastAsia="it-IT"/>
              </w:rPr>
            </w:pPr>
            <w:r w:rsidRPr="00BD5437">
              <w:rPr>
                <w:rFonts w:cs="Arial"/>
                <w:b/>
                <w:bCs/>
                <w:szCs w:val="22"/>
              </w:rPr>
              <w:t>Ваші контакти</w:t>
            </w:r>
            <w:r w:rsidRPr="00BD5437">
              <w:rPr>
                <w:rFonts w:cs="Arial"/>
                <w:szCs w:val="22"/>
                <w:lang w:eastAsia="it-IT"/>
              </w:rPr>
              <w:t>:</w:t>
            </w:r>
          </w:p>
          <w:p w14:paraId="2BADB6A1" w14:textId="77777777" w:rsidR="00CB33C7" w:rsidRPr="00BD5437" w:rsidRDefault="00CB33C7" w:rsidP="00BD5437">
            <w:pPr>
              <w:rPr>
                <w:rFonts w:cs="Arial"/>
                <w:b/>
                <w:bCs/>
                <w:szCs w:val="22"/>
              </w:rPr>
            </w:pPr>
            <w:r w:rsidRPr="00BD5437">
              <w:rPr>
                <w:rFonts w:cs="Arial"/>
                <w:szCs w:val="22"/>
                <w:lang w:eastAsia="it-IT"/>
              </w:rPr>
              <w:t>Назва установи, організації, підприємства</w:t>
            </w:r>
          </w:p>
        </w:tc>
        <w:tc>
          <w:tcPr>
            <w:tcW w:w="6797" w:type="dxa"/>
            <w:gridSpan w:val="7"/>
          </w:tcPr>
          <w:p w14:paraId="4243FCC1" w14:textId="77777777" w:rsidR="00CB33C7" w:rsidRPr="00BD5437" w:rsidRDefault="00CB33C7" w:rsidP="00BD5437">
            <w:pPr>
              <w:rPr>
                <w:rFonts w:cs="Arial"/>
                <w:szCs w:val="22"/>
                <w:lang w:eastAsia="it-IT"/>
              </w:rPr>
            </w:pPr>
            <w:r w:rsidRPr="00BD5437">
              <w:rPr>
                <w:rFonts w:cs="Arial"/>
                <w:szCs w:val="22"/>
                <w:lang w:eastAsia="it-IT"/>
              </w:rPr>
              <w:t>Управління житлово-комунального господарства Жмеринської міської ради</w:t>
            </w:r>
          </w:p>
        </w:tc>
      </w:tr>
      <w:tr w:rsidR="00CB33C7" w:rsidRPr="00BD5437" w14:paraId="2D005F7D" w14:textId="77777777" w:rsidTr="00BD5437">
        <w:trPr>
          <w:jc w:val="right"/>
        </w:trPr>
        <w:tc>
          <w:tcPr>
            <w:tcW w:w="3422" w:type="dxa"/>
          </w:tcPr>
          <w:p w14:paraId="68B57310" w14:textId="77777777" w:rsidR="00CB33C7" w:rsidRPr="00BD5437" w:rsidRDefault="00CB33C7" w:rsidP="00BD5437">
            <w:pPr>
              <w:rPr>
                <w:rFonts w:cs="Arial"/>
                <w:b/>
                <w:bCs/>
                <w:szCs w:val="22"/>
              </w:rPr>
            </w:pPr>
            <w:r w:rsidRPr="00BD5437">
              <w:rPr>
                <w:rFonts w:cs="Arial"/>
                <w:szCs w:val="22"/>
                <w:lang w:eastAsia="it-IT"/>
              </w:rPr>
              <w:t>Прізвище Ім’я По-батькові:</w:t>
            </w:r>
          </w:p>
        </w:tc>
        <w:tc>
          <w:tcPr>
            <w:tcW w:w="6797" w:type="dxa"/>
            <w:gridSpan w:val="7"/>
          </w:tcPr>
          <w:p w14:paraId="140C0AA0" w14:textId="77777777" w:rsidR="00CB33C7" w:rsidRPr="00BD5437" w:rsidRDefault="00CB33C7" w:rsidP="00BD5437">
            <w:pPr>
              <w:rPr>
                <w:rFonts w:cs="Arial"/>
                <w:szCs w:val="22"/>
                <w:lang w:eastAsia="it-IT"/>
              </w:rPr>
            </w:pPr>
            <w:r w:rsidRPr="00BD5437">
              <w:rPr>
                <w:rFonts w:cs="Arial"/>
                <w:szCs w:val="22"/>
                <w:lang w:eastAsia="it-IT"/>
              </w:rPr>
              <w:t>Оленич Андрій Васильович</w:t>
            </w:r>
          </w:p>
        </w:tc>
      </w:tr>
      <w:tr w:rsidR="00CB33C7" w:rsidRPr="00BD5437" w14:paraId="047F849A" w14:textId="77777777" w:rsidTr="00BD5437">
        <w:trPr>
          <w:jc w:val="right"/>
        </w:trPr>
        <w:tc>
          <w:tcPr>
            <w:tcW w:w="3422" w:type="dxa"/>
          </w:tcPr>
          <w:p w14:paraId="025BFD34" w14:textId="77777777" w:rsidR="00CB33C7" w:rsidRPr="00BD5437" w:rsidRDefault="00CB33C7" w:rsidP="00BD5437">
            <w:pPr>
              <w:rPr>
                <w:rFonts w:cs="Arial"/>
                <w:b/>
                <w:bCs/>
                <w:szCs w:val="22"/>
              </w:rPr>
            </w:pPr>
            <w:r w:rsidRPr="00BD5437">
              <w:rPr>
                <w:rFonts w:cs="Arial"/>
                <w:szCs w:val="22"/>
                <w:lang w:eastAsia="it-IT"/>
              </w:rPr>
              <w:t>Телефон (мобільний):</w:t>
            </w:r>
          </w:p>
        </w:tc>
        <w:tc>
          <w:tcPr>
            <w:tcW w:w="6797" w:type="dxa"/>
            <w:gridSpan w:val="7"/>
          </w:tcPr>
          <w:p w14:paraId="1E0D6F9C" w14:textId="77777777" w:rsidR="00CB33C7" w:rsidRPr="00BD5437" w:rsidRDefault="00CB33C7" w:rsidP="00BD5437">
            <w:pPr>
              <w:rPr>
                <w:rFonts w:cs="Arial"/>
                <w:szCs w:val="22"/>
                <w:lang w:eastAsia="it-IT"/>
              </w:rPr>
            </w:pPr>
            <w:r w:rsidRPr="00BD5437">
              <w:rPr>
                <w:rFonts w:cs="Arial"/>
                <w:szCs w:val="22"/>
                <w:lang w:eastAsia="it-IT"/>
              </w:rPr>
              <w:t>0972561907</w:t>
            </w:r>
          </w:p>
        </w:tc>
      </w:tr>
      <w:tr w:rsidR="00CB33C7" w:rsidRPr="00BD5437" w14:paraId="102A0B77" w14:textId="77777777" w:rsidTr="00BD5437">
        <w:trPr>
          <w:jc w:val="right"/>
        </w:trPr>
        <w:tc>
          <w:tcPr>
            <w:tcW w:w="3422" w:type="dxa"/>
          </w:tcPr>
          <w:p w14:paraId="2B0EB2A8" w14:textId="77777777" w:rsidR="00CB33C7" w:rsidRPr="00BD5437" w:rsidRDefault="00CB33C7" w:rsidP="00BD5437">
            <w:pPr>
              <w:rPr>
                <w:rFonts w:cs="Arial"/>
                <w:b/>
                <w:bCs/>
                <w:szCs w:val="22"/>
              </w:rPr>
            </w:pPr>
            <w:r w:rsidRPr="00BD5437">
              <w:rPr>
                <w:rFonts w:cs="Arial"/>
                <w:szCs w:val="22"/>
                <w:lang w:eastAsia="it-IT"/>
              </w:rPr>
              <w:t>Електронна адреса:</w:t>
            </w:r>
          </w:p>
        </w:tc>
        <w:tc>
          <w:tcPr>
            <w:tcW w:w="6797" w:type="dxa"/>
            <w:gridSpan w:val="7"/>
          </w:tcPr>
          <w:p w14:paraId="6DE89F09" w14:textId="77777777" w:rsidR="00CB33C7" w:rsidRPr="00BD5437" w:rsidRDefault="00D85FFD" w:rsidP="00BD5437">
            <w:pPr>
              <w:rPr>
                <w:rFonts w:cs="Arial"/>
                <w:szCs w:val="22"/>
                <w:lang w:eastAsia="it-IT"/>
              </w:rPr>
            </w:pPr>
            <w:hyperlink r:id="rId50" w:history="1">
              <w:r w:rsidR="00CB33C7" w:rsidRPr="00BD5437">
                <w:rPr>
                  <w:rStyle w:val="af0"/>
                  <w:rFonts w:cs="Arial"/>
                  <w:noProof w:val="0"/>
                  <w:sz w:val="22"/>
                  <w:szCs w:val="22"/>
                  <w:lang w:eastAsia="it-IT"/>
                </w:rPr>
                <w:t>Aolenych03@ukr.net</w:t>
              </w:r>
            </w:hyperlink>
          </w:p>
        </w:tc>
      </w:tr>
      <w:tr w:rsidR="00CB33C7" w:rsidRPr="00BD5437" w14:paraId="444E33EF" w14:textId="77777777" w:rsidTr="00BD5437">
        <w:trPr>
          <w:jc w:val="right"/>
        </w:trPr>
        <w:tc>
          <w:tcPr>
            <w:tcW w:w="3422" w:type="dxa"/>
            <w:vAlign w:val="center"/>
          </w:tcPr>
          <w:p w14:paraId="38069CFD" w14:textId="77777777" w:rsidR="00CB33C7" w:rsidRPr="00BD5437" w:rsidRDefault="00CB33C7" w:rsidP="00BD5437">
            <w:pPr>
              <w:pStyle w:val="6"/>
              <w:spacing w:before="0" w:after="0"/>
              <w:rPr>
                <w:rFonts w:ascii="Arial" w:hAnsi="Arial" w:cs="Arial"/>
                <w:color w:val="000000"/>
                <w:lang w:val="uk-UA"/>
              </w:rPr>
            </w:pPr>
            <w:r w:rsidRPr="00BD5437">
              <w:rPr>
                <w:rFonts w:ascii="Arial" w:hAnsi="Arial" w:cs="Arial"/>
                <w:color w:val="000000"/>
                <w:lang w:val="uk-UA"/>
              </w:rPr>
              <w:t>Номер і назва завдання з Стратегії</w:t>
            </w:r>
            <w:r w:rsidRPr="00BD5437">
              <w:rPr>
                <w:rFonts w:ascii="Arial" w:hAnsi="Arial" w:cs="Arial"/>
                <w:lang w:val="uk-UA" w:eastAsia="it-IT"/>
              </w:rPr>
              <w:t xml:space="preserve"> </w:t>
            </w:r>
            <w:r w:rsidRPr="00BD5437">
              <w:rPr>
                <w:rFonts w:ascii="Arial" w:hAnsi="Arial" w:cs="Arial"/>
                <w:color w:val="000000"/>
                <w:lang w:val="uk-UA"/>
              </w:rPr>
              <w:t xml:space="preserve">розвитку Жмеринської міської </w:t>
            </w:r>
          </w:p>
        </w:tc>
        <w:tc>
          <w:tcPr>
            <w:tcW w:w="6797" w:type="dxa"/>
            <w:gridSpan w:val="7"/>
            <w:vAlign w:val="center"/>
          </w:tcPr>
          <w:p w14:paraId="70C157B2" w14:textId="77777777" w:rsidR="00CB33C7" w:rsidRPr="00BD5437" w:rsidRDefault="00CB33C7" w:rsidP="00BD5437">
            <w:pPr>
              <w:suppressAutoHyphens/>
              <w:jc w:val="both"/>
              <w:rPr>
                <w:rFonts w:eastAsia="Lucida Sans Unicode" w:cs="Arial"/>
                <w:kern w:val="1"/>
                <w:szCs w:val="22"/>
                <w:lang w:eastAsia="ar-SA"/>
              </w:rPr>
            </w:pPr>
            <w:r w:rsidRPr="00BD5437">
              <w:rPr>
                <w:rFonts w:eastAsia="Lucida Sans Unicode" w:cs="Arial"/>
                <w:kern w:val="1"/>
                <w:szCs w:val="22"/>
                <w:lang w:eastAsia="ar-SA"/>
              </w:rPr>
              <w:t>В.1.1.3. Проведення будівництва, реконструкції та капітального ремонту дорожнього покриття вулиць  та тротуарів в населених пунктах територіальної громади.</w:t>
            </w:r>
          </w:p>
        </w:tc>
      </w:tr>
      <w:tr w:rsidR="00CB33C7" w:rsidRPr="00BD5437" w14:paraId="3E13D4FE" w14:textId="77777777" w:rsidTr="00BD5437">
        <w:trPr>
          <w:jc w:val="right"/>
        </w:trPr>
        <w:tc>
          <w:tcPr>
            <w:tcW w:w="3422" w:type="dxa"/>
            <w:vAlign w:val="center"/>
          </w:tcPr>
          <w:p w14:paraId="072B43CD" w14:textId="77777777" w:rsidR="00CB33C7" w:rsidRPr="00BD5437" w:rsidRDefault="00CB33C7" w:rsidP="00BD5437">
            <w:pPr>
              <w:rPr>
                <w:rFonts w:cs="Arial"/>
                <w:b/>
                <w:bCs/>
                <w:color w:val="000000"/>
                <w:szCs w:val="22"/>
              </w:rPr>
            </w:pPr>
            <w:r w:rsidRPr="00BD5437">
              <w:rPr>
                <w:rFonts w:cs="Arial"/>
                <w:b/>
                <w:bCs/>
                <w:color w:val="000000"/>
                <w:szCs w:val="22"/>
              </w:rPr>
              <w:t>Мета проєкту:</w:t>
            </w:r>
          </w:p>
        </w:tc>
        <w:tc>
          <w:tcPr>
            <w:tcW w:w="6797" w:type="dxa"/>
            <w:gridSpan w:val="7"/>
          </w:tcPr>
          <w:p w14:paraId="21D4B923" w14:textId="77777777" w:rsidR="00CB33C7" w:rsidRPr="00BD5437" w:rsidRDefault="00CB33C7" w:rsidP="00BD5437">
            <w:pPr>
              <w:jc w:val="both"/>
              <w:rPr>
                <w:rFonts w:cs="Arial"/>
                <w:szCs w:val="22"/>
                <w:lang w:eastAsia="it-IT"/>
              </w:rPr>
            </w:pPr>
            <w:r w:rsidRPr="00BD5437">
              <w:rPr>
                <w:rFonts w:cs="Arial"/>
                <w:szCs w:val="22"/>
                <w:lang w:eastAsia="it-IT"/>
              </w:rPr>
              <w:t>Забезпечення  населення громади Дубовського старостинського округу, с. Дубове якісною інфраструктурою, а саме дорогами з рівним покриттям.</w:t>
            </w:r>
          </w:p>
          <w:p w14:paraId="78CF26E3" w14:textId="77777777" w:rsidR="00CB33C7" w:rsidRPr="00BD5437" w:rsidRDefault="00CB33C7" w:rsidP="00BD5437">
            <w:pPr>
              <w:rPr>
                <w:rFonts w:cs="Arial"/>
                <w:szCs w:val="22"/>
                <w:lang w:eastAsia="it-IT"/>
              </w:rPr>
            </w:pPr>
            <w:r w:rsidRPr="00BD5437">
              <w:rPr>
                <w:rFonts w:cs="Arial"/>
                <w:szCs w:val="22"/>
                <w:lang w:eastAsia="it-IT"/>
              </w:rPr>
              <w:t>Мешканці громади отримують більш комфортні   та безпечні умови проживання та перебування в населеному пункті.</w:t>
            </w:r>
          </w:p>
        </w:tc>
      </w:tr>
      <w:tr w:rsidR="00CB33C7" w:rsidRPr="00BD5437" w14:paraId="72E17B01" w14:textId="77777777" w:rsidTr="00BD5437">
        <w:trPr>
          <w:jc w:val="right"/>
        </w:trPr>
        <w:tc>
          <w:tcPr>
            <w:tcW w:w="3422" w:type="dxa"/>
            <w:vAlign w:val="center"/>
          </w:tcPr>
          <w:p w14:paraId="19DED7F0" w14:textId="77777777" w:rsidR="00CB33C7" w:rsidRPr="00BD5437" w:rsidRDefault="00CB33C7" w:rsidP="00BD5437">
            <w:pPr>
              <w:rPr>
                <w:rFonts w:cs="Arial"/>
                <w:b/>
                <w:bCs/>
                <w:color w:val="000000"/>
                <w:szCs w:val="22"/>
              </w:rPr>
            </w:pPr>
            <w:r w:rsidRPr="00BD5437">
              <w:rPr>
                <w:rFonts w:cs="Arial"/>
                <w:b/>
                <w:bCs/>
                <w:color w:val="000000"/>
                <w:szCs w:val="22"/>
              </w:rPr>
              <w:t>Цілі проєкту:</w:t>
            </w:r>
          </w:p>
        </w:tc>
        <w:tc>
          <w:tcPr>
            <w:tcW w:w="6797" w:type="dxa"/>
            <w:gridSpan w:val="7"/>
          </w:tcPr>
          <w:p w14:paraId="150EC67E" w14:textId="77777777" w:rsidR="00CB33C7" w:rsidRPr="00BD5437" w:rsidRDefault="00CB33C7" w:rsidP="00BD5437">
            <w:pPr>
              <w:rPr>
                <w:rFonts w:cs="Arial"/>
                <w:szCs w:val="22"/>
                <w:lang w:eastAsia="it-IT"/>
              </w:rPr>
            </w:pPr>
            <w:r w:rsidRPr="00BD5437">
              <w:rPr>
                <w:rFonts w:cs="Arial"/>
                <w:szCs w:val="22"/>
                <w:lang w:eastAsia="it-IT"/>
              </w:rPr>
              <w:t>Покращити інфраструктуру   дорожнього покриття в с. Дубове Жмеринського району</w:t>
            </w:r>
          </w:p>
        </w:tc>
      </w:tr>
      <w:tr w:rsidR="00CB33C7" w:rsidRPr="00BD5437" w14:paraId="0614558D" w14:textId="77777777" w:rsidTr="00DD6DC0">
        <w:trPr>
          <w:jc w:val="right"/>
        </w:trPr>
        <w:tc>
          <w:tcPr>
            <w:tcW w:w="3422" w:type="dxa"/>
            <w:vAlign w:val="center"/>
          </w:tcPr>
          <w:p w14:paraId="4F38CE26" w14:textId="77777777" w:rsidR="00CB33C7" w:rsidRPr="00BD5437" w:rsidRDefault="00CB33C7" w:rsidP="00BD5437">
            <w:pPr>
              <w:autoSpaceDE w:val="0"/>
              <w:autoSpaceDN w:val="0"/>
              <w:adjustRightInd w:val="0"/>
              <w:rPr>
                <w:rFonts w:cs="Arial"/>
                <w:b/>
                <w:color w:val="000000"/>
                <w:szCs w:val="22"/>
              </w:rPr>
            </w:pPr>
            <w:r w:rsidRPr="00BD5437">
              <w:rPr>
                <w:rFonts w:cs="Arial"/>
                <w:b/>
                <w:color w:val="000000"/>
                <w:szCs w:val="22"/>
              </w:rPr>
              <w:t>Територія на яку проєкт матиме вплив:</w:t>
            </w:r>
          </w:p>
        </w:tc>
        <w:tc>
          <w:tcPr>
            <w:tcW w:w="6797" w:type="dxa"/>
            <w:gridSpan w:val="7"/>
            <w:vAlign w:val="center"/>
          </w:tcPr>
          <w:p w14:paraId="51495A26" w14:textId="3084300A" w:rsidR="00CB33C7" w:rsidRPr="00BD5437" w:rsidRDefault="00CB33C7" w:rsidP="00DD6DC0">
            <w:pPr>
              <w:rPr>
                <w:rFonts w:cs="Arial"/>
                <w:szCs w:val="22"/>
                <w:lang w:eastAsia="it-IT"/>
              </w:rPr>
            </w:pPr>
            <w:r w:rsidRPr="00BD5437">
              <w:rPr>
                <w:rFonts w:cs="Arial"/>
                <w:szCs w:val="22"/>
                <w:lang w:eastAsia="it-IT"/>
              </w:rPr>
              <w:t xml:space="preserve">Території </w:t>
            </w:r>
            <w:r w:rsidR="00BD5437" w:rsidRPr="00BD5437">
              <w:rPr>
                <w:rFonts w:cs="Arial"/>
                <w:szCs w:val="22"/>
                <w:lang w:eastAsia="it-IT"/>
              </w:rPr>
              <w:t>Дубівського</w:t>
            </w:r>
            <w:r w:rsidRPr="00BD5437">
              <w:rPr>
                <w:rFonts w:cs="Arial"/>
                <w:szCs w:val="22"/>
                <w:lang w:eastAsia="it-IT"/>
              </w:rPr>
              <w:t xml:space="preserve"> старостинського округу, с. Дубове</w:t>
            </w:r>
          </w:p>
        </w:tc>
      </w:tr>
      <w:tr w:rsidR="00CB33C7" w:rsidRPr="00BD5437" w14:paraId="6BD24881" w14:textId="77777777" w:rsidTr="00DD6DC0">
        <w:trPr>
          <w:jc w:val="right"/>
        </w:trPr>
        <w:tc>
          <w:tcPr>
            <w:tcW w:w="3422" w:type="dxa"/>
            <w:vAlign w:val="center"/>
          </w:tcPr>
          <w:p w14:paraId="5522AB5B" w14:textId="77777777" w:rsidR="00CB33C7" w:rsidRPr="00BD5437" w:rsidRDefault="00CB33C7" w:rsidP="00BD5437">
            <w:pPr>
              <w:autoSpaceDE w:val="0"/>
              <w:autoSpaceDN w:val="0"/>
              <w:adjustRightInd w:val="0"/>
              <w:rPr>
                <w:rFonts w:cs="Arial"/>
                <w:b/>
                <w:color w:val="000000"/>
                <w:szCs w:val="22"/>
              </w:rPr>
            </w:pPr>
            <w:r w:rsidRPr="00BD5437">
              <w:rPr>
                <w:rFonts w:cs="Arial"/>
                <w:b/>
                <w:color w:val="000000"/>
                <w:szCs w:val="22"/>
              </w:rPr>
              <w:t>Цільові групи проєкту та кількість отримувачів вигоди</w:t>
            </w:r>
          </w:p>
        </w:tc>
        <w:tc>
          <w:tcPr>
            <w:tcW w:w="6797" w:type="dxa"/>
            <w:gridSpan w:val="7"/>
            <w:vAlign w:val="center"/>
          </w:tcPr>
          <w:p w14:paraId="2E14B78C" w14:textId="77777777" w:rsidR="00CB33C7" w:rsidRPr="00BD5437" w:rsidRDefault="00CB33C7" w:rsidP="00DD6DC0">
            <w:pPr>
              <w:rPr>
                <w:rFonts w:cs="Arial"/>
                <w:szCs w:val="22"/>
                <w:lang w:eastAsia="it-IT"/>
              </w:rPr>
            </w:pPr>
            <w:r w:rsidRPr="00BD5437">
              <w:rPr>
                <w:rFonts w:cs="Arial"/>
                <w:szCs w:val="22"/>
                <w:lang w:eastAsia="it-IT"/>
              </w:rPr>
              <w:t>Жителі с. Дубове в кількості 486 селян</w:t>
            </w:r>
          </w:p>
        </w:tc>
      </w:tr>
      <w:tr w:rsidR="00CB33C7" w:rsidRPr="00BD5437" w14:paraId="08E330D8" w14:textId="77777777" w:rsidTr="00BD5437">
        <w:trPr>
          <w:jc w:val="right"/>
        </w:trPr>
        <w:tc>
          <w:tcPr>
            <w:tcW w:w="3422" w:type="dxa"/>
            <w:shd w:val="clear" w:color="auto" w:fill="FFFFFF"/>
            <w:vAlign w:val="center"/>
          </w:tcPr>
          <w:p w14:paraId="7D34641C" w14:textId="77777777" w:rsidR="00CB33C7" w:rsidRPr="00BD5437" w:rsidRDefault="00CB33C7" w:rsidP="00BD5437">
            <w:pPr>
              <w:rPr>
                <w:rFonts w:cs="Arial"/>
                <w:b/>
                <w:bCs/>
                <w:color w:val="000000"/>
                <w:szCs w:val="22"/>
              </w:rPr>
            </w:pPr>
            <w:r w:rsidRPr="00BD5437">
              <w:rPr>
                <w:rFonts w:cs="Arial"/>
                <w:b/>
                <w:bCs/>
                <w:color w:val="000000"/>
                <w:szCs w:val="22"/>
              </w:rPr>
              <w:t>Стислий опис проєкту:</w:t>
            </w:r>
          </w:p>
        </w:tc>
        <w:tc>
          <w:tcPr>
            <w:tcW w:w="6797" w:type="dxa"/>
            <w:gridSpan w:val="7"/>
          </w:tcPr>
          <w:p w14:paraId="5DF19210" w14:textId="77777777" w:rsidR="00CB33C7" w:rsidRPr="00BD5437" w:rsidRDefault="00CB33C7" w:rsidP="00BD5437">
            <w:pPr>
              <w:pStyle w:val="ad"/>
              <w:shd w:val="clear" w:color="auto" w:fill="FFFFFF"/>
              <w:spacing w:before="0" w:beforeAutospacing="0" w:after="0" w:afterAutospacing="0"/>
              <w:jc w:val="both"/>
              <w:rPr>
                <w:rFonts w:cs="Arial"/>
                <w:szCs w:val="22"/>
              </w:rPr>
            </w:pPr>
            <w:r w:rsidRPr="00BD5437">
              <w:rPr>
                <w:rFonts w:cs="Arial"/>
                <w:szCs w:val="22"/>
              </w:rPr>
              <w:t>Якість доріг забезпечує роботу всіх галузей промисловості, соціальний розвиток суспільства. Забезпечує доступ у різні місця населеного пункту, а також безпечне та надійне переміщення людей і транспортування товарів і має надзвичайно важливе значення.</w:t>
            </w:r>
          </w:p>
          <w:p w14:paraId="177D4E73" w14:textId="77777777" w:rsidR="00CB33C7" w:rsidRPr="00BD5437" w:rsidRDefault="00CB33C7" w:rsidP="00BD5437">
            <w:pPr>
              <w:pStyle w:val="ad"/>
              <w:shd w:val="clear" w:color="auto" w:fill="FFFFFF"/>
              <w:spacing w:before="0" w:beforeAutospacing="0" w:after="0" w:afterAutospacing="0"/>
              <w:jc w:val="both"/>
              <w:rPr>
                <w:rFonts w:cs="Arial"/>
                <w:szCs w:val="22"/>
              </w:rPr>
            </w:pPr>
            <w:r w:rsidRPr="00BD5437">
              <w:rPr>
                <w:rFonts w:cs="Arial"/>
                <w:szCs w:val="22"/>
              </w:rPr>
              <w:t>Від стану автомобільних доріг залежать витрати на перевезення вантажів та пасажирів, рівень цін, певною мірою зайнятість населення.</w:t>
            </w:r>
          </w:p>
          <w:p w14:paraId="3D375510" w14:textId="77777777" w:rsidR="00CB33C7" w:rsidRPr="00BD5437" w:rsidRDefault="00CB33C7" w:rsidP="00BD5437">
            <w:pPr>
              <w:pStyle w:val="ad"/>
              <w:shd w:val="clear" w:color="auto" w:fill="FFFFFF"/>
              <w:spacing w:before="0" w:beforeAutospacing="0" w:after="0" w:afterAutospacing="0"/>
              <w:jc w:val="both"/>
              <w:rPr>
                <w:rFonts w:cs="Arial"/>
                <w:szCs w:val="22"/>
                <w:shd w:val="clear" w:color="auto" w:fill="FFFFFF"/>
              </w:rPr>
            </w:pPr>
            <w:r w:rsidRPr="00BD5437">
              <w:rPr>
                <w:rFonts w:cs="Arial"/>
                <w:szCs w:val="22"/>
              </w:rPr>
              <w:t xml:space="preserve"> </w:t>
            </w:r>
            <w:r w:rsidRPr="00BD5437">
              <w:rPr>
                <w:rFonts w:cs="Arial"/>
                <w:szCs w:val="22"/>
                <w:shd w:val="clear" w:color="auto" w:fill="FFFFFF"/>
              </w:rPr>
              <w:t>Перш за все викликають занепокоєння ті ділянки доріг, по яких проходять автобусні сполучення, підвезення дітей до навчальних закладів, надання невідкладної медичної допомоги.</w:t>
            </w:r>
          </w:p>
          <w:p w14:paraId="0EC72500" w14:textId="77777777" w:rsidR="00CB33C7" w:rsidRPr="00BD5437" w:rsidRDefault="00CB33C7" w:rsidP="00BD5437">
            <w:pPr>
              <w:rPr>
                <w:rFonts w:cs="Arial"/>
                <w:szCs w:val="22"/>
                <w:lang w:eastAsia="it-IT"/>
              </w:rPr>
            </w:pPr>
            <w:r w:rsidRPr="00BD5437">
              <w:rPr>
                <w:rFonts w:cs="Arial"/>
                <w:szCs w:val="22"/>
                <w:shd w:val="clear" w:color="auto" w:fill="FFFFFF"/>
              </w:rPr>
              <w:t xml:space="preserve">З метою безперебійного перевезення людей, необхідно провести капітальний ремонт дороги </w:t>
            </w:r>
            <w:r w:rsidRPr="00BD5437">
              <w:rPr>
                <w:rFonts w:eastAsia="Arial" w:cs="Arial"/>
                <w:szCs w:val="22"/>
                <w:lang w:eastAsia="en-US"/>
              </w:rPr>
              <w:t>по вул. Олега Кандирала в с. Дубова, Жмеринського району</w:t>
            </w:r>
          </w:p>
        </w:tc>
      </w:tr>
      <w:tr w:rsidR="00CB33C7" w:rsidRPr="00BD5437" w14:paraId="53F5C1CB" w14:textId="77777777" w:rsidTr="00BD5437">
        <w:trPr>
          <w:jc w:val="right"/>
        </w:trPr>
        <w:tc>
          <w:tcPr>
            <w:tcW w:w="3422" w:type="dxa"/>
            <w:shd w:val="clear" w:color="auto" w:fill="FFFFFF"/>
            <w:vAlign w:val="center"/>
          </w:tcPr>
          <w:p w14:paraId="0ED578A8" w14:textId="77777777" w:rsidR="00CB33C7" w:rsidRPr="00BD5437" w:rsidRDefault="00CB33C7" w:rsidP="00BD5437">
            <w:pPr>
              <w:rPr>
                <w:rFonts w:cs="Arial"/>
                <w:b/>
                <w:bCs/>
                <w:color w:val="000000"/>
                <w:szCs w:val="22"/>
              </w:rPr>
            </w:pPr>
            <w:r w:rsidRPr="00BD5437">
              <w:rPr>
                <w:rFonts w:cs="Arial"/>
                <w:b/>
                <w:bCs/>
                <w:color w:val="000000"/>
                <w:szCs w:val="22"/>
              </w:rPr>
              <w:t>Основні заходи проєкту:</w:t>
            </w:r>
          </w:p>
        </w:tc>
        <w:tc>
          <w:tcPr>
            <w:tcW w:w="6797" w:type="dxa"/>
            <w:gridSpan w:val="7"/>
          </w:tcPr>
          <w:p w14:paraId="2E8282A0" w14:textId="08BF62EE" w:rsidR="00CB33C7" w:rsidRPr="00BD5437" w:rsidRDefault="00CB33C7" w:rsidP="00BD5437">
            <w:pPr>
              <w:jc w:val="both"/>
              <w:rPr>
                <w:rFonts w:cs="Arial"/>
                <w:szCs w:val="22"/>
                <w:lang w:eastAsia="it-IT"/>
              </w:rPr>
            </w:pPr>
            <w:r w:rsidRPr="00BD5437">
              <w:rPr>
                <w:rFonts w:cs="Arial"/>
                <w:szCs w:val="22"/>
                <w:lang w:eastAsia="it-IT"/>
              </w:rPr>
              <w:t>Створення робочо</w:t>
            </w:r>
            <w:r w:rsidR="003E5778">
              <w:rPr>
                <w:rFonts w:cs="Arial"/>
                <w:szCs w:val="22"/>
                <w:lang w:eastAsia="it-IT"/>
              </w:rPr>
              <w:t>ї групи з питань реалізації проє</w:t>
            </w:r>
            <w:r w:rsidRPr="00BD5437">
              <w:rPr>
                <w:rFonts w:cs="Arial"/>
                <w:szCs w:val="22"/>
                <w:lang w:eastAsia="it-IT"/>
              </w:rPr>
              <w:t xml:space="preserve">кту. </w:t>
            </w:r>
          </w:p>
          <w:p w14:paraId="5FD9F370" w14:textId="77777777" w:rsidR="00CB33C7" w:rsidRPr="00BD5437" w:rsidRDefault="00CB33C7" w:rsidP="00BD5437">
            <w:pPr>
              <w:jc w:val="both"/>
              <w:rPr>
                <w:rFonts w:cs="Arial"/>
                <w:szCs w:val="22"/>
                <w:lang w:eastAsia="it-IT"/>
              </w:rPr>
            </w:pPr>
            <w:r w:rsidRPr="00BD5437">
              <w:rPr>
                <w:rFonts w:cs="Arial"/>
                <w:szCs w:val="22"/>
                <w:lang w:eastAsia="it-IT"/>
              </w:rPr>
              <w:t>Проведення процедури закупівель (визначення виконавця робіт).</w:t>
            </w:r>
          </w:p>
          <w:p w14:paraId="475CFC2F" w14:textId="77777777" w:rsidR="00CB33C7" w:rsidRPr="00BD5437" w:rsidRDefault="00CB33C7" w:rsidP="00BD5437">
            <w:pPr>
              <w:jc w:val="both"/>
              <w:rPr>
                <w:rFonts w:cs="Arial"/>
                <w:szCs w:val="22"/>
                <w:lang w:eastAsia="it-IT"/>
              </w:rPr>
            </w:pPr>
            <w:r w:rsidRPr="00BD5437">
              <w:rPr>
                <w:rFonts w:cs="Arial"/>
                <w:szCs w:val="22"/>
                <w:lang w:eastAsia="it-IT"/>
              </w:rPr>
              <w:t>Укладення договорів з виконавцем робіт, організаціями, що здійснюватимуть  технічний та авторський  нагляд .</w:t>
            </w:r>
          </w:p>
          <w:p w14:paraId="55437183" w14:textId="77777777" w:rsidR="00CB33C7" w:rsidRPr="00BD5437" w:rsidRDefault="00CB33C7" w:rsidP="00BD5437">
            <w:pPr>
              <w:jc w:val="both"/>
              <w:rPr>
                <w:rFonts w:cs="Arial"/>
                <w:szCs w:val="22"/>
                <w:lang w:eastAsia="it-IT"/>
              </w:rPr>
            </w:pPr>
            <w:r w:rsidRPr="00BD5437">
              <w:rPr>
                <w:rFonts w:cs="Arial"/>
                <w:szCs w:val="22"/>
                <w:lang w:eastAsia="it-IT"/>
              </w:rPr>
              <w:t xml:space="preserve">Виконання робіт з капітального ремонту дорожнього покриття </w:t>
            </w:r>
            <w:r w:rsidRPr="00BD5437">
              <w:rPr>
                <w:rFonts w:eastAsia="Arial" w:cs="Arial"/>
                <w:szCs w:val="22"/>
                <w:lang w:eastAsia="en-US"/>
              </w:rPr>
              <w:t>по вул. Олега Кандирала в с. Дубова, Жмеринського району</w:t>
            </w:r>
          </w:p>
          <w:p w14:paraId="176691A6" w14:textId="77777777" w:rsidR="00CB33C7" w:rsidRPr="00BD5437" w:rsidRDefault="00CB33C7" w:rsidP="00BD5437">
            <w:pPr>
              <w:jc w:val="both"/>
              <w:rPr>
                <w:rFonts w:cs="Arial"/>
                <w:szCs w:val="22"/>
                <w:lang w:eastAsia="it-IT"/>
              </w:rPr>
            </w:pPr>
            <w:r w:rsidRPr="00BD5437">
              <w:rPr>
                <w:rFonts w:cs="Arial"/>
                <w:szCs w:val="22"/>
                <w:lang w:eastAsia="it-IT"/>
              </w:rPr>
              <w:t>Введення  об’єкту в експлуатацію .</w:t>
            </w:r>
          </w:p>
          <w:p w14:paraId="54EE45BA" w14:textId="720625A9" w:rsidR="00CB33C7" w:rsidRPr="00BD5437" w:rsidRDefault="00CB33C7" w:rsidP="003E5778">
            <w:pPr>
              <w:rPr>
                <w:rFonts w:cs="Arial"/>
                <w:szCs w:val="22"/>
                <w:lang w:eastAsia="it-IT"/>
              </w:rPr>
            </w:pPr>
            <w:r w:rsidRPr="00BD5437">
              <w:rPr>
                <w:rFonts w:cs="Arial"/>
                <w:szCs w:val="22"/>
                <w:lang w:eastAsia="it-IT"/>
              </w:rPr>
              <w:t>Проведення інформаційних заходів (розміщення  інформації  про реалізацію  про</w:t>
            </w:r>
            <w:r w:rsidR="003E5778">
              <w:rPr>
                <w:rFonts w:cs="Arial"/>
                <w:szCs w:val="22"/>
                <w:lang w:eastAsia="it-IT"/>
              </w:rPr>
              <w:t>є</w:t>
            </w:r>
            <w:r w:rsidRPr="00BD5437">
              <w:rPr>
                <w:rFonts w:cs="Arial"/>
                <w:szCs w:val="22"/>
                <w:lang w:eastAsia="it-IT"/>
              </w:rPr>
              <w:t>кту у ЗМІ) .</w:t>
            </w:r>
          </w:p>
        </w:tc>
      </w:tr>
      <w:tr w:rsidR="00CB33C7" w:rsidRPr="00BD5437" w14:paraId="455F3055" w14:textId="77777777" w:rsidTr="00BD5437">
        <w:trPr>
          <w:jc w:val="right"/>
        </w:trPr>
        <w:tc>
          <w:tcPr>
            <w:tcW w:w="3422" w:type="dxa"/>
            <w:shd w:val="clear" w:color="auto" w:fill="FFFFFF"/>
            <w:vAlign w:val="center"/>
          </w:tcPr>
          <w:p w14:paraId="16185EB1" w14:textId="77777777" w:rsidR="00CB33C7" w:rsidRPr="00BD5437" w:rsidRDefault="00CB33C7" w:rsidP="00BD5437">
            <w:pPr>
              <w:rPr>
                <w:rFonts w:cs="Arial"/>
                <w:b/>
                <w:bCs/>
                <w:color w:val="000000"/>
                <w:szCs w:val="22"/>
              </w:rPr>
            </w:pPr>
            <w:r w:rsidRPr="00BD5437">
              <w:rPr>
                <w:rFonts w:cs="Arial"/>
                <w:b/>
                <w:bCs/>
                <w:color w:val="000000"/>
                <w:szCs w:val="22"/>
              </w:rPr>
              <w:t>Індикатори (показники) результативності:</w:t>
            </w:r>
          </w:p>
        </w:tc>
        <w:tc>
          <w:tcPr>
            <w:tcW w:w="6797" w:type="dxa"/>
            <w:gridSpan w:val="7"/>
          </w:tcPr>
          <w:p w14:paraId="3FF56CE4" w14:textId="77777777" w:rsidR="00CB33C7" w:rsidRPr="00BD5437" w:rsidRDefault="00CB33C7" w:rsidP="00BD5437">
            <w:pPr>
              <w:rPr>
                <w:rFonts w:cs="Arial"/>
                <w:szCs w:val="22"/>
                <w:lang w:eastAsia="it-IT"/>
              </w:rPr>
            </w:pPr>
            <w:r w:rsidRPr="00BD5437">
              <w:rPr>
                <w:rFonts w:eastAsia="Arial" w:cs="Arial"/>
                <w:szCs w:val="22"/>
                <w:lang w:eastAsia="en-US"/>
              </w:rPr>
              <w:t xml:space="preserve">Площа ремонтованого покриття проїзної частини, з’їздів, розширень, площадок: 2820,6 </w:t>
            </w:r>
            <w:r w:rsidRPr="00BD5437">
              <w:rPr>
                <w:rFonts w:cs="Arial"/>
                <w:color w:val="000000"/>
                <w:szCs w:val="22"/>
              </w:rPr>
              <w:t>м</w:t>
            </w:r>
            <w:r w:rsidRPr="00BD5437">
              <w:rPr>
                <w:rFonts w:cs="Arial"/>
                <w:color w:val="000000"/>
                <w:szCs w:val="22"/>
                <w:vertAlign w:val="superscript"/>
              </w:rPr>
              <w:t xml:space="preserve">2  </w:t>
            </w:r>
            <w:r w:rsidRPr="00BD5437">
              <w:rPr>
                <w:rFonts w:eastAsia="Arial" w:cs="Arial"/>
                <w:szCs w:val="22"/>
                <w:lang w:eastAsia="en-US"/>
              </w:rPr>
              <w:t xml:space="preserve">та площа присипних узбіч: 676,8 </w:t>
            </w:r>
            <w:r w:rsidRPr="00BD5437">
              <w:rPr>
                <w:rFonts w:cs="Arial"/>
                <w:color w:val="000000"/>
                <w:szCs w:val="22"/>
              </w:rPr>
              <w:t>м</w:t>
            </w:r>
            <w:r w:rsidRPr="00BD5437">
              <w:rPr>
                <w:rFonts w:cs="Arial"/>
                <w:color w:val="000000"/>
                <w:szCs w:val="22"/>
                <w:vertAlign w:val="superscript"/>
              </w:rPr>
              <w:t>2</w:t>
            </w:r>
          </w:p>
        </w:tc>
      </w:tr>
      <w:tr w:rsidR="00CB33C7" w:rsidRPr="00BD5437" w14:paraId="1D83CAD0" w14:textId="77777777" w:rsidTr="00BD5437">
        <w:trPr>
          <w:jc w:val="right"/>
        </w:trPr>
        <w:tc>
          <w:tcPr>
            <w:tcW w:w="3422" w:type="dxa"/>
            <w:shd w:val="clear" w:color="auto" w:fill="FFFFFF"/>
            <w:vAlign w:val="center"/>
          </w:tcPr>
          <w:p w14:paraId="6FCE0DFC" w14:textId="77777777" w:rsidR="00CB33C7" w:rsidRPr="00BD5437" w:rsidRDefault="00CB33C7" w:rsidP="00BD5437">
            <w:pPr>
              <w:rPr>
                <w:rFonts w:cs="Arial"/>
                <w:b/>
                <w:color w:val="000000"/>
                <w:szCs w:val="22"/>
              </w:rPr>
            </w:pPr>
            <w:r w:rsidRPr="00BD5437">
              <w:rPr>
                <w:rFonts w:cs="Arial"/>
                <w:b/>
                <w:color w:val="000000"/>
                <w:szCs w:val="22"/>
              </w:rPr>
              <w:t xml:space="preserve">Період здійснення: </w:t>
            </w:r>
          </w:p>
        </w:tc>
        <w:tc>
          <w:tcPr>
            <w:tcW w:w="6797" w:type="dxa"/>
            <w:gridSpan w:val="7"/>
            <w:vAlign w:val="center"/>
          </w:tcPr>
          <w:p w14:paraId="4EFB65F8" w14:textId="77777777" w:rsidR="00CB33C7" w:rsidRPr="00BD5437" w:rsidRDefault="00CB33C7" w:rsidP="00BD5437">
            <w:pPr>
              <w:rPr>
                <w:rFonts w:cs="Arial"/>
                <w:color w:val="000000"/>
                <w:szCs w:val="22"/>
                <w:lang w:eastAsia="it-IT"/>
              </w:rPr>
            </w:pPr>
            <w:r w:rsidRPr="00BD5437">
              <w:rPr>
                <w:rFonts w:cs="Arial"/>
                <w:b/>
                <w:color w:val="000000"/>
                <w:szCs w:val="22"/>
              </w:rPr>
              <w:t>2025 – 2028 роки:</w:t>
            </w:r>
          </w:p>
        </w:tc>
      </w:tr>
      <w:tr w:rsidR="00CB33C7" w:rsidRPr="00BD5437" w14:paraId="46F5038F" w14:textId="77777777" w:rsidTr="00BD5437">
        <w:trPr>
          <w:jc w:val="right"/>
        </w:trPr>
        <w:tc>
          <w:tcPr>
            <w:tcW w:w="3422" w:type="dxa"/>
            <w:vMerge w:val="restart"/>
            <w:shd w:val="clear" w:color="auto" w:fill="FFFFFF"/>
            <w:vAlign w:val="center"/>
          </w:tcPr>
          <w:p w14:paraId="640860BB" w14:textId="77777777" w:rsidR="00CB33C7" w:rsidRPr="00BD5437" w:rsidRDefault="00CB33C7" w:rsidP="00BD5437">
            <w:pPr>
              <w:rPr>
                <w:rFonts w:cs="Arial"/>
                <w:b/>
                <w:bCs/>
                <w:color w:val="000000"/>
                <w:szCs w:val="22"/>
              </w:rPr>
            </w:pPr>
            <w:r w:rsidRPr="00BD5437">
              <w:rPr>
                <w:rFonts w:cs="Arial"/>
                <w:b/>
                <w:bCs/>
                <w:color w:val="000000"/>
                <w:szCs w:val="22"/>
              </w:rPr>
              <w:t>Орієнтовна вартість проєкту, тис. грн., в тому числі:</w:t>
            </w:r>
          </w:p>
        </w:tc>
        <w:tc>
          <w:tcPr>
            <w:tcW w:w="1254" w:type="dxa"/>
            <w:shd w:val="clear" w:color="auto" w:fill="E6E6E6"/>
            <w:vAlign w:val="center"/>
          </w:tcPr>
          <w:p w14:paraId="3073D79A" w14:textId="77777777" w:rsidR="00CB33C7" w:rsidRPr="00BD5437" w:rsidRDefault="00CB33C7" w:rsidP="00BD5437">
            <w:pPr>
              <w:jc w:val="center"/>
              <w:rPr>
                <w:rFonts w:cs="Arial"/>
                <w:b/>
                <w:color w:val="000000"/>
                <w:szCs w:val="22"/>
                <w:lang w:eastAsia="it-IT"/>
              </w:rPr>
            </w:pPr>
            <w:r w:rsidRPr="00BD5437">
              <w:rPr>
                <w:rFonts w:cs="Arial"/>
                <w:b/>
                <w:color w:val="000000"/>
                <w:szCs w:val="22"/>
                <w:lang w:eastAsia="it-IT"/>
              </w:rPr>
              <w:t>2025</w:t>
            </w:r>
          </w:p>
        </w:tc>
        <w:tc>
          <w:tcPr>
            <w:tcW w:w="1415" w:type="dxa"/>
            <w:gridSpan w:val="2"/>
            <w:shd w:val="clear" w:color="auto" w:fill="E6E6E6"/>
            <w:vAlign w:val="center"/>
          </w:tcPr>
          <w:p w14:paraId="6722F779" w14:textId="77777777" w:rsidR="00CB33C7" w:rsidRPr="00BD5437" w:rsidRDefault="00CB33C7" w:rsidP="00BD5437">
            <w:pPr>
              <w:jc w:val="center"/>
              <w:rPr>
                <w:rFonts w:cs="Arial"/>
                <w:b/>
                <w:color w:val="000000"/>
                <w:szCs w:val="22"/>
                <w:lang w:eastAsia="it-IT"/>
              </w:rPr>
            </w:pPr>
            <w:r w:rsidRPr="00BD5437">
              <w:rPr>
                <w:rFonts w:cs="Arial"/>
                <w:b/>
                <w:color w:val="000000"/>
                <w:szCs w:val="22"/>
                <w:lang w:eastAsia="it-IT"/>
              </w:rPr>
              <w:t>2026</w:t>
            </w:r>
          </w:p>
        </w:tc>
        <w:tc>
          <w:tcPr>
            <w:tcW w:w="1281" w:type="dxa"/>
            <w:tcBorders>
              <w:bottom w:val="single" w:sz="4" w:space="0" w:color="auto"/>
            </w:tcBorders>
            <w:shd w:val="clear" w:color="auto" w:fill="E6E6E6"/>
            <w:vAlign w:val="center"/>
          </w:tcPr>
          <w:p w14:paraId="437CD691" w14:textId="77777777" w:rsidR="00CB33C7" w:rsidRPr="00BD5437" w:rsidRDefault="00CB33C7" w:rsidP="00BD5437">
            <w:pPr>
              <w:jc w:val="center"/>
              <w:rPr>
                <w:rFonts w:cs="Arial"/>
                <w:b/>
                <w:color w:val="000000"/>
                <w:szCs w:val="22"/>
                <w:lang w:eastAsia="it-IT"/>
              </w:rPr>
            </w:pPr>
            <w:r w:rsidRPr="00BD5437">
              <w:rPr>
                <w:rFonts w:cs="Arial"/>
                <w:b/>
                <w:color w:val="000000"/>
                <w:szCs w:val="22"/>
                <w:lang w:eastAsia="it-IT"/>
              </w:rPr>
              <w:t>2027</w:t>
            </w:r>
          </w:p>
        </w:tc>
        <w:tc>
          <w:tcPr>
            <w:tcW w:w="1276" w:type="dxa"/>
            <w:shd w:val="clear" w:color="auto" w:fill="E6E6E6"/>
            <w:vAlign w:val="center"/>
          </w:tcPr>
          <w:p w14:paraId="27404AF3" w14:textId="77777777" w:rsidR="00CB33C7" w:rsidRPr="00BD5437" w:rsidRDefault="00CB33C7" w:rsidP="00BD5437">
            <w:pPr>
              <w:jc w:val="center"/>
              <w:rPr>
                <w:rFonts w:cs="Arial"/>
                <w:b/>
                <w:color w:val="000000"/>
                <w:szCs w:val="22"/>
                <w:lang w:eastAsia="it-IT"/>
              </w:rPr>
            </w:pPr>
            <w:r w:rsidRPr="00BD5437">
              <w:rPr>
                <w:rFonts w:cs="Arial"/>
                <w:b/>
                <w:color w:val="000000"/>
                <w:szCs w:val="22"/>
                <w:lang w:eastAsia="it-IT"/>
              </w:rPr>
              <w:t>2028</w:t>
            </w:r>
          </w:p>
        </w:tc>
        <w:tc>
          <w:tcPr>
            <w:tcW w:w="1571" w:type="dxa"/>
            <w:gridSpan w:val="2"/>
            <w:shd w:val="clear" w:color="auto" w:fill="E6E6E6"/>
            <w:vAlign w:val="center"/>
          </w:tcPr>
          <w:p w14:paraId="688810AF" w14:textId="77777777" w:rsidR="00CB33C7" w:rsidRPr="00BD5437" w:rsidRDefault="00CB33C7" w:rsidP="00BD5437">
            <w:pPr>
              <w:jc w:val="center"/>
              <w:rPr>
                <w:rFonts w:cs="Arial"/>
                <w:b/>
                <w:color w:val="000000"/>
                <w:szCs w:val="22"/>
                <w:lang w:eastAsia="it-IT"/>
              </w:rPr>
            </w:pPr>
            <w:r w:rsidRPr="00BD5437">
              <w:rPr>
                <w:rFonts w:cs="Arial"/>
                <w:b/>
                <w:color w:val="000000"/>
                <w:szCs w:val="22"/>
                <w:lang w:eastAsia="it-IT"/>
              </w:rPr>
              <w:t>РАЗОМ</w:t>
            </w:r>
          </w:p>
        </w:tc>
      </w:tr>
      <w:tr w:rsidR="00CB33C7" w:rsidRPr="00BD5437" w14:paraId="3679531D" w14:textId="77777777" w:rsidTr="00BD5437">
        <w:trPr>
          <w:jc w:val="right"/>
        </w:trPr>
        <w:tc>
          <w:tcPr>
            <w:tcW w:w="3422" w:type="dxa"/>
            <w:vMerge/>
            <w:shd w:val="clear" w:color="auto" w:fill="FFFFFF"/>
            <w:vAlign w:val="center"/>
          </w:tcPr>
          <w:p w14:paraId="409653B3" w14:textId="77777777" w:rsidR="00CB33C7" w:rsidRPr="00BD5437" w:rsidRDefault="00CB33C7" w:rsidP="00BD5437">
            <w:pPr>
              <w:rPr>
                <w:rFonts w:cs="Arial"/>
                <w:b/>
                <w:bCs/>
                <w:color w:val="000000"/>
                <w:szCs w:val="22"/>
              </w:rPr>
            </w:pPr>
          </w:p>
        </w:tc>
        <w:tc>
          <w:tcPr>
            <w:tcW w:w="1254" w:type="dxa"/>
            <w:vAlign w:val="center"/>
          </w:tcPr>
          <w:p w14:paraId="6215D031" w14:textId="77777777" w:rsidR="00CB33C7" w:rsidRPr="00BD5437" w:rsidRDefault="00CB33C7" w:rsidP="00BD5437">
            <w:pPr>
              <w:jc w:val="center"/>
              <w:rPr>
                <w:rFonts w:cs="Arial"/>
                <w:b/>
                <w:color w:val="000000"/>
                <w:szCs w:val="22"/>
                <w:lang w:eastAsia="it-IT"/>
              </w:rPr>
            </w:pPr>
          </w:p>
        </w:tc>
        <w:tc>
          <w:tcPr>
            <w:tcW w:w="1415" w:type="dxa"/>
            <w:gridSpan w:val="2"/>
            <w:shd w:val="clear" w:color="auto" w:fill="FFFFFF"/>
            <w:vAlign w:val="center"/>
          </w:tcPr>
          <w:p w14:paraId="79E0E3A7" w14:textId="77777777" w:rsidR="00CB33C7" w:rsidRPr="00BD5437" w:rsidRDefault="00CB33C7" w:rsidP="00BD5437">
            <w:pPr>
              <w:jc w:val="center"/>
              <w:rPr>
                <w:rFonts w:cs="Arial"/>
                <w:color w:val="000000"/>
                <w:szCs w:val="22"/>
                <w:lang w:eastAsia="it-IT"/>
              </w:rPr>
            </w:pPr>
            <w:r w:rsidRPr="00BD5437">
              <w:rPr>
                <w:rFonts w:cs="Arial"/>
                <w:color w:val="000000"/>
                <w:szCs w:val="22"/>
                <w:lang w:eastAsia="it-IT"/>
              </w:rPr>
              <w:t>1495,110</w:t>
            </w:r>
          </w:p>
        </w:tc>
        <w:tc>
          <w:tcPr>
            <w:tcW w:w="1281" w:type="dxa"/>
            <w:shd w:val="clear" w:color="auto" w:fill="auto"/>
            <w:vAlign w:val="center"/>
          </w:tcPr>
          <w:p w14:paraId="438A8789" w14:textId="77777777" w:rsidR="00CB33C7" w:rsidRPr="00BD5437" w:rsidRDefault="00CB33C7" w:rsidP="00BD5437">
            <w:pPr>
              <w:jc w:val="center"/>
              <w:rPr>
                <w:rFonts w:cs="Arial"/>
                <w:b/>
                <w:color w:val="000000"/>
                <w:szCs w:val="22"/>
                <w:lang w:eastAsia="it-IT"/>
              </w:rPr>
            </w:pPr>
          </w:p>
        </w:tc>
        <w:tc>
          <w:tcPr>
            <w:tcW w:w="1276" w:type="dxa"/>
            <w:shd w:val="clear" w:color="auto" w:fill="FFFFFF"/>
            <w:vAlign w:val="center"/>
          </w:tcPr>
          <w:p w14:paraId="347E7500" w14:textId="77777777" w:rsidR="00CB33C7" w:rsidRPr="00BD5437" w:rsidRDefault="00CB33C7" w:rsidP="00BD5437">
            <w:pPr>
              <w:jc w:val="center"/>
              <w:rPr>
                <w:rFonts w:cs="Arial"/>
                <w:b/>
                <w:color w:val="000000"/>
                <w:szCs w:val="22"/>
                <w:lang w:eastAsia="it-IT"/>
              </w:rPr>
            </w:pPr>
          </w:p>
        </w:tc>
        <w:tc>
          <w:tcPr>
            <w:tcW w:w="1571" w:type="dxa"/>
            <w:gridSpan w:val="2"/>
            <w:shd w:val="clear" w:color="auto" w:fill="FFFFFF"/>
            <w:vAlign w:val="center"/>
          </w:tcPr>
          <w:p w14:paraId="725B5FDB" w14:textId="77777777" w:rsidR="00CB33C7" w:rsidRPr="00BD5437" w:rsidRDefault="00CB33C7" w:rsidP="00BD5437">
            <w:pPr>
              <w:jc w:val="center"/>
              <w:rPr>
                <w:rFonts w:cs="Arial"/>
                <w:b/>
                <w:color w:val="000000"/>
                <w:szCs w:val="22"/>
                <w:lang w:eastAsia="it-IT"/>
              </w:rPr>
            </w:pPr>
            <w:r w:rsidRPr="00BD5437">
              <w:rPr>
                <w:rFonts w:cs="Arial"/>
                <w:b/>
                <w:color w:val="000000"/>
                <w:szCs w:val="22"/>
                <w:lang w:eastAsia="it-IT"/>
              </w:rPr>
              <w:t>1495,110</w:t>
            </w:r>
          </w:p>
        </w:tc>
      </w:tr>
      <w:tr w:rsidR="00CB33C7" w:rsidRPr="00BD5437" w14:paraId="5734C0D6" w14:textId="77777777" w:rsidTr="00BD5437">
        <w:trPr>
          <w:trHeight w:val="276"/>
          <w:jc w:val="right"/>
        </w:trPr>
        <w:tc>
          <w:tcPr>
            <w:tcW w:w="3422" w:type="dxa"/>
            <w:shd w:val="clear" w:color="auto" w:fill="FFFFFF"/>
            <w:vAlign w:val="center"/>
          </w:tcPr>
          <w:p w14:paraId="6776516E" w14:textId="77777777" w:rsidR="00CB33C7" w:rsidRPr="00BD5437" w:rsidRDefault="00CB33C7" w:rsidP="00BD5437">
            <w:pPr>
              <w:rPr>
                <w:rFonts w:cs="Arial"/>
                <w:b/>
                <w:bCs/>
                <w:color w:val="000000"/>
                <w:szCs w:val="22"/>
              </w:rPr>
            </w:pPr>
            <w:r w:rsidRPr="00BD5437">
              <w:rPr>
                <w:rFonts w:cs="Arial"/>
                <w:b/>
                <w:bCs/>
                <w:color w:val="000000"/>
                <w:szCs w:val="22"/>
              </w:rPr>
              <w:t>по джерелах фінансування:</w:t>
            </w:r>
          </w:p>
        </w:tc>
        <w:tc>
          <w:tcPr>
            <w:tcW w:w="6797" w:type="dxa"/>
            <w:gridSpan w:val="7"/>
            <w:vAlign w:val="center"/>
          </w:tcPr>
          <w:p w14:paraId="411ED741" w14:textId="77777777" w:rsidR="00CB33C7" w:rsidRPr="00BD5437" w:rsidRDefault="00CB33C7" w:rsidP="00BD5437">
            <w:pPr>
              <w:jc w:val="both"/>
              <w:rPr>
                <w:rFonts w:cs="Arial"/>
                <w:color w:val="000000"/>
                <w:szCs w:val="22"/>
                <w:lang w:eastAsia="it-IT"/>
              </w:rPr>
            </w:pPr>
          </w:p>
        </w:tc>
      </w:tr>
      <w:tr w:rsidR="00BD5437" w:rsidRPr="00BD5437" w14:paraId="34777ECC" w14:textId="2527E379" w:rsidTr="00BD5437">
        <w:trPr>
          <w:trHeight w:val="240"/>
          <w:jc w:val="right"/>
        </w:trPr>
        <w:tc>
          <w:tcPr>
            <w:tcW w:w="3422" w:type="dxa"/>
            <w:shd w:val="clear" w:color="auto" w:fill="FFFFFF"/>
            <w:vAlign w:val="center"/>
          </w:tcPr>
          <w:p w14:paraId="1DD6C4FC" w14:textId="77777777" w:rsidR="00BD5437" w:rsidRPr="00BD5437" w:rsidRDefault="00BD5437" w:rsidP="00BD5437">
            <w:pPr>
              <w:rPr>
                <w:rFonts w:cs="Arial"/>
                <w:b/>
                <w:bCs/>
                <w:color w:val="000000"/>
                <w:szCs w:val="22"/>
              </w:rPr>
            </w:pPr>
            <w:r w:rsidRPr="00BD5437">
              <w:rPr>
                <w:rFonts w:cs="Arial"/>
                <w:color w:val="000000"/>
                <w:szCs w:val="22"/>
              </w:rPr>
              <w:t>- державний бюджет</w:t>
            </w:r>
          </w:p>
        </w:tc>
        <w:tc>
          <w:tcPr>
            <w:tcW w:w="1260" w:type="dxa"/>
            <w:gridSpan w:val="2"/>
            <w:vAlign w:val="center"/>
          </w:tcPr>
          <w:p w14:paraId="534FB8F5" w14:textId="77777777" w:rsidR="00BD5437" w:rsidRPr="00BD5437" w:rsidRDefault="00BD5437" w:rsidP="00BD5437">
            <w:pPr>
              <w:jc w:val="both"/>
              <w:rPr>
                <w:rFonts w:cs="Arial"/>
                <w:color w:val="000000"/>
                <w:szCs w:val="22"/>
                <w:lang w:eastAsia="it-IT"/>
              </w:rPr>
            </w:pPr>
          </w:p>
        </w:tc>
        <w:tc>
          <w:tcPr>
            <w:tcW w:w="1409" w:type="dxa"/>
            <w:vAlign w:val="center"/>
          </w:tcPr>
          <w:p w14:paraId="2B314F0D" w14:textId="77777777" w:rsidR="00BD5437" w:rsidRPr="00BD5437" w:rsidRDefault="00BD5437" w:rsidP="00BD5437">
            <w:pPr>
              <w:jc w:val="both"/>
              <w:rPr>
                <w:rFonts w:cs="Arial"/>
                <w:color w:val="000000"/>
                <w:szCs w:val="22"/>
                <w:lang w:eastAsia="it-IT"/>
              </w:rPr>
            </w:pPr>
          </w:p>
        </w:tc>
        <w:tc>
          <w:tcPr>
            <w:tcW w:w="1281" w:type="dxa"/>
            <w:vAlign w:val="center"/>
          </w:tcPr>
          <w:p w14:paraId="788374F7" w14:textId="77777777" w:rsidR="00BD5437" w:rsidRPr="00BD5437" w:rsidRDefault="00BD5437" w:rsidP="00BD5437">
            <w:pPr>
              <w:jc w:val="both"/>
              <w:rPr>
                <w:rFonts w:cs="Arial"/>
                <w:color w:val="000000"/>
                <w:szCs w:val="22"/>
                <w:lang w:eastAsia="it-IT"/>
              </w:rPr>
            </w:pPr>
          </w:p>
        </w:tc>
        <w:tc>
          <w:tcPr>
            <w:tcW w:w="1320" w:type="dxa"/>
            <w:gridSpan w:val="2"/>
            <w:vAlign w:val="center"/>
          </w:tcPr>
          <w:p w14:paraId="292EFC69" w14:textId="77777777" w:rsidR="00BD5437" w:rsidRPr="00BD5437" w:rsidRDefault="00BD5437" w:rsidP="00BD5437">
            <w:pPr>
              <w:jc w:val="both"/>
              <w:rPr>
                <w:rFonts w:cs="Arial"/>
                <w:color w:val="000000"/>
                <w:szCs w:val="22"/>
                <w:lang w:eastAsia="it-IT"/>
              </w:rPr>
            </w:pPr>
          </w:p>
        </w:tc>
        <w:tc>
          <w:tcPr>
            <w:tcW w:w="1527" w:type="dxa"/>
            <w:vAlign w:val="center"/>
          </w:tcPr>
          <w:p w14:paraId="064E6DEE" w14:textId="77777777" w:rsidR="00BD5437" w:rsidRPr="00BD5437" w:rsidRDefault="00BD5437" w:rsidP="00BD5437">
            <w:pPr>
              <w:jc w:val="both"/>
              <w:rPr>
                <w:rFonts w:cs="Arial"/>
                <w:color w:val="000000"/>
                <w:szCs w:val="22"/>
                <w:lang w:eastAsia="it-IT"/>
              </w:rPr>
            </w:pPr>
          </w:p>
        </w:tc>
      </w:tr>
      <w:tr w:rsidR="00BD5437" w:rsidRPr="00BD5437" w14:paraId="76CAD33A" w14:textId="5D0C396A" w:rsidTr="00BD5437">
        <w:trPr>
          <w:trHeight w:val="254"/>
          <w:jc w:val="right"/>
        </w:trPr>
        <w:tc>
          <w:tcPr>
            <w:tcW w:w="3422" w:type="dxa"/>
            <w:shd w:val="clear" w:color="auto" w:fill="FFFFFF"/>
            <w:vAlign w:val="center"/>
          </w:tcPr>
          <w:p w14:paraId="6748323F" w14:textId="77777777" w:rsidR="00BD5437" w:rsidRPr="00BD5437" w:rsidRDefault="00BD5437" w:rsidP="00BD5437">
            <w:pPr>
              <w:rPr>
                <w:rFonts w:cs="Arial"/>
                <w:color w:val="000000"/>
                <w:szCs w:val="22"/>
              </w:rPr>
            </w:pPr>
            <w:r w:rsidRPr="00BD5437">
              <w:rPr>
                <w:rFonts w:cs="Arial"/>
                <w:color w:val="000000"/>
                <w:szCs w:val="22"/>
              </w:rPr>
              <w:t>- обласний бюджет</w:t>
            </w:r>
          </w:p>
        </w:tc>
        <w:tc>
          <w:tcPr>
            <w:tcW w:w="1260" w:type="dxa"/>
            <w:gridSpan w:val="2"/>
            <w:vAlign w:val="center"/>
          </w:tcPr>
          <w:p w14:paraId="57BC886E" w14:textId="77777777" w:rsidR="00BD5437" w:rsidRPr="00BD5437" w:rsidRDefault="00BD5437" w:rsidP="00BD5437">
            <w:pPr>
              <w:jc w:val="both"/>
              <w:rPr>
                <w:rFonts w:cs="Arial"/>
                <w:color w:val="000000"/>
                <w:szCs w:val="22"/>
                <w:lang w:eastAsia="it-IT"/>
              </w:rPr>
            </w:pPr>
          </w:p>
        </w:tc>
        <w:tc>
          <w:tcPr>
            <w:tcW w:w="1409" w:type="dxa"/>
            <w:vAlign w:val="center"/>
          </w:tcPr>
          <w:p w14:paraId="7597978F" w14:textId="77777777" w:rsidR="00BD5437" w:rsidRPr="00BD5437" w:rsidRDefault="00BD5437" w:rsidP="00BD5437">
            <w:pPr>
              <w:jc w:val="both"/>
              <w:rPr>
                <w:rFonts w:cs="Arial"/>
                <w:color w:val="000000"/>
                <w:szCs w:val="22"/>
                <w:lang w:eastAsia="it-IT"/>
              </w:rPr>
            </w:pPr>
          </w:p>
        </w:tc>
        <w:tc>
          <w:tcPr>
            <w:tcW w:w="1281" w:type="dxa"/>
            <w:vAlign w:val="center"/>
          </w:tcPr>
          <w:p w14:paraId="71C086AD" w14:textId="77777777" w:rsidR="00BD5437" w:rsidRPr="00BD5437" w:rsidRDefault="00BD5437" w:rsidP="00BD5437">
            <w:pPr>
              <w:jc w:val="both"/>
              <w:rPr>
                <w:rFonts w:cs="Arial"/>
                <w:color w:val="000000"/>
                <w:szCs w:val="22"/>
                <w:lang w:eastAsia="it-IT"/>
              </w:rPr>
            </w:pPr>
          </w:p>
        </w:tc>
        <w:tc>
          <w:tcPr>
            <w:tcW w:w="1320" w:type="dxa"/>
            <w:gridSpan w:val="2"/>
            <w:vAlign w:val="center"/>
          </w:tcPr>
          <w:p w14:paraId="31E6606A" w14:textId="77777777" w:rsidR="00BD5437" w:rsidRPr="00BD5437" w:rsidRDefault="00BD5437" w:rsidP="00BD5437">
            <w:pPr>
              <w:jc w:val="both"/>
              <w:rPr>
                <w:rFonts w:cs="Arial"/>
                <w:color w:val="000000"/>
                <w:szCs w:val="22"/>
                <w:lang w:eastAsia="it-IT"/>
              </w:rPr>
            </w:pPr>
          </w:p>
        </w:tc>
        <w:tc>
          <w:tcPr>
            <w:tcW w:w="1527" w:type="dxa"/>
            <w:vAlign w:val="center"/>
          </w:tcPr>
          <w:p w14:paraId="39037E3C" w14:textId="77777777" w:rsidR="00BD5437" w:rsidRPr="00BD5437" w:rsidRDefault="00BD5437" w:rsidP="00BD5437">
            <w:pPr>
              <w:jc w:val="both"/>
              <w:rPr>
                <w:rFonts w:cs="Arial"/>
                <w:color w:val="000000"/>
                <w:szCs w:val="22"/>
                <w:lang w:eastAsia="it-IT"/>
              </w:rPr>
            </w:pPr>
          </w:p>
        </w:tc>
      </w:tr>
      <w:tr w:rsidR="00BD5437" w:rsidRPr="00BD5437" w14:paraId="47A3B298" w14:textId="7A6451AC" w:rsidTr="00BD5437">
        <w:trPr>
          <w:trHeight w:val="275"/>
          <w:jc w:val="right"/>
        </w:trPr>
        <w:tc>
          <w:tcPr>
            <w:tcW w:w="3422" w:type="dxa"/>
            <w:shd w:val="clear" w:color="auto" w:fill="FFFFFF"/>
            <w:vAlign w:val="center"/>
          </w:tcPr>
          <w:p w14:paraId="5E164E28" w14:textId="77777777" w:rsidR="00BD5437" w:rsidRPr="00BD5437" w:rsidRDefault="00BD5437" w:rsidP="00BD5437">
            <w:pPr>
              <w:rPr>
                <w:rFonts w:cs="Arial"/>
                <w:color w:val="000000"/>
                <w:szCs w:val="22"/>
              </w:rPr>
            </w:pPr>
            <w:r w:rsidRPr="00BD5437">
              <w:rPr>
                <w:rFonts w:cs="Arial"/>
                <w:color w:val="000000"/>
                <w:szCs w:val="22"/>
              </w:rPr>
              <w:t>- бюджет Жмеринської МТГ</w:t>
            </w:r>
          </w:p>
        </w:tc>
        <w:tc>
          <w:tcPr>
            <w:tcW w:w="1260" w:type="dxa"/>
            <w:gridSpan w:val="2"/>
            <w:vAlign w:val="center"/>
          </w:tcPr>
          <w:p w14:paraId="18C13890" w14:textId="7D04CD9E" w:rsidR="00BD5437" w:rsidRPr="00BD5437" w:rsidRDefault="00BD5437" w:rsidP="00BD5437">
            <w:pPr>
              <w:jc w:val="both"/>
              <w:rPr>
                <w:rFonts w:cs="Arial"/>
                <w:color w:val="000000"/>
                <w:szCs w:val="22"/>
                <w:lang w:eastAsia="it-IT"/>
              </w:rPr>
            </w:pPr>
          </w:p>
        </w:tc>
        <w:tc>
          <w:tcPr>
            <w:tcW w:w="1409" w:type="dxa"/>
          </w:tcPr>
          <w:p w14:paraId="142541AF" w14:textId="3A886267" w:rsidR="00BD5437" w:rsidRPr="00BD5437" w:rsidRDefault="00BD5437" w:rsidP="00BD5437">
            <w:pPr>
              <w:jc w:val="center"/>
              <w:rPr>
                <w:rFonts w:cs="Arial"/>
                <w:color w:val="000000"/>
                <w:szCs w:val="22"/>
                <w:lang w:eastAsia="it-IT"/>
              </w:rPr>
            </w:pPr>
            <w:r w:rsidRPr="00BD5437">
              <w:rPr>
                <w:rFonts w:cs="Arial"/>
                <w:color w:val="000000"/>
                <w:szCs w:val="22"/>
                <w:lang w:eastAsia="it-IT"/>
              </w:rPr>
              <w:t>1495,110</w:t>
            </w:r>
          </w:p>
        </w:tc>
        <w:tc>
          <w:tcPr>
            <w:tcW w:w="1281" w:type="dxa"/>
            <w:vAlign w:val="center"/>
          </w:tcPr>
          <w:p w14:paraId="7E73F96C" w14:textId="77777777" w:rsidR="00BD5437" w:rsidRPr="00BD5437" w:rsidRDefault="00BD5437" w:rsidP="00BD5437">
            <w:pPr>
              <w:jc w:val="both"/>
              <w:rPr>
                <w:rFonts w:cs="Arial"/>
                <w:color w:val="000000"/>
                <w:szCs w:val="22"/>
                <w:lang w:eastAsia="it-IT"/>
              </w:rPr>
            </w:pPr>
          </w:p>
        </w:tc>
        <w:tc>
          <w:tcPr>
            <w:tcW w:w="1320" w:type="dxa"/>
            <w:gridSpan w:val="2"/>
            <w:vAlign w:val="center"/>
          </w:tcPr>
          <w:p w14:paraId="58E7F5CE" w14:textId="77777777" w:rsidR="00BD5437" w:rsidRPr="00BD5437" w:rsidRDefault="00BD5437" w:rsidP="00BD5437">
            <w:pPr>
              <w:jc w:val="both"/>
              <w:rPr>
                <w:rFonts w:cs="Arial"/>
                <w:color w:val="000000"/>
                <w:szCs w:val="22"/>
                <w:lang w:eastAsia="it-IT"/>
              </w:rPr>
            </w:pPr>
          </w:p>
        </w:tc>
        <w:tc>
          <w:tcPr>
            <w:tcW w:w="1527" w:type="dxa"/>
          </w:tcPr>
          <w:p w14:paraId="759E3B67" w14:textId="1D33D71F" w:rsidR="00BD5437" w:rsidRPr="00BD5437" w:rsidRDefault="00BD5437" w:rsidP="00BD5437">
            <w:pPr>
              <w:jc w:val="center"/>
              <w:rPr>
                <w:rFonts w:cs="Arial"/>
                <w:color w:val="000000"/>
                <w:szCs w:val="22"/>
                <w:lang w:eastAsia="it-IT"/>
              </w:rPr>
            </w:pPr>
            <w:r w:rsidRPr="00BD5437">
              <w:rPr>
                <w:rFonts w:cs="Arial"/>
                <w:b/>
                <w:color w:val="000000"/>
                <w:szCs w:val="22"/>
                <w:lang w:eastAsia="it-IT"/>
              </w:rPr>
              <w:t>1495,110</w:t>
            </w:r>
          </w:p>
        </w:tc>
      </w:tr>
      <w:tr w:rsidR="00BD5437" w:rsidRPr="00BD5437" w14:paraId="7885CD70" w14:textId="405C2953" w:rsidTr="00BD5437">
        <w:trPr>
          <w:trHeight w:val="226"/>
          <w:jc w:val="right"/>
        </w:trPr>
        <w:tc>
          <w:tcPr>
            <w:tcW w:w="3422" w:type="dxa"/>
            <w:shd w:val="clear" w:color="auto" w:fill="FFFFFF"/>
            <w:vAlign w:val="center"/>
          </w:tcPr>
          <w:p w14:paraId="6E075997" w14:textId="77777777" w:rsidR="00BD5437" w:rsidRPr="00BD5437" w:rsidRDefault="00BD5437" w:rsidP="00BD5437">
            <w:pPr>
              <w:rPr>
                <w:rFonts w:cs="Arial"/>
                <w:color w:val="000000"/>
                <w:szCs w:val="22"/>
              </w:rPr>
            </w:pPr>
            <w:r w:rsidRPr="00BD5437">
              <w:rPr>
                <w:rFonts w:cs="Arial"/>
                <w:color w:val="000000"/>
                <w:szCs w:val="22"/>
              </w:rPr>
              <w:t>- інші джерела фінансування</w:t>
            </w:r>
          </w:p>
        </w:tc>
        <w:tc>
          <w:tcPr>
            <w:tcW w:w="1260" w:type="dxa"/>
            <w:gridSpan w:val="2"/>
            <w:vAlign w:val="center"/>
          </w:tcPr>
          <w:p w14:paraId="2B04F709" w14:textId="77777777" w:rsidR="00BD5437" w:rsidRPr="00BD5437" w:rsidRDefault="00BD5437" w:rsidP="00BD5437">
            <w:pPr>
              <w:jc w:val="both"/>
              <w:rPr>
                <w:rFonts w:cs="Arial"/>
                <w:color w:val="000000"/>
                <w:szCs w:val="22"/>
                <w:lang w:eastAsia="it-IT"/>
              </w:rPr>
            </w:pPr>
          </w:p>
        </w:tc>
        <w:tc>
          <w:tcPr>
            <w:tcW w:w="1409" w:type="dxa"/>
            <w:vAlign w:val="center"/>
          </w:tcPr>
          <w:p w14:paraId="287F90BA" w14:textId="77777777" w:rsidR="00BD5437" w:rsidRPr="00BD5437" w:rsidRDefault="00BD5437" w:rsidP="00BD5437">
            <w:pPr>
              <w:jc w:val="both"/>
              <w:rPr>
                <w:rFonts w:cs="Arial"/>
                <w:color w:val="000000"/>
                <w:szCs w:val="22"/>
                <w:lang w:eastAsia="it-IT"/>
              </w:rPr>
            </w:pPr>
          </w:p>
        </w:tc>
        <w:tc>
          <w:tcPr>
            <w:tcW w:w="1281" w:type="dxa"/>
            <w:vAlign w:val="center"/>
          </w:tcPr>
          <w:p w14:paraId="7A925AFA" w14:textId="77777777" w:rsidR="00BD5437" w:rsidRPr="00BD5437" w:rsidRDefault="00BD5437" w:rsidP="00BD5437">
            <w:pPr>
              <w:jc w:val="both"/>
              <w:rPr>
                <w:rFonts w:cs="Arial"/>
                <w:color w:val="000000"/>
                <w:szCs w:val="22"/>
                <w:lang w:eastAsia="it-IT"/>
              </w:rPr>
            </w:pPr>
          </w:p>
        </w:tc>
        <w:tc>
          <w:tcPr>
            <w:tcW w:w="1320" w:type="dxa"/>
            <w:gridSpan w:val="2"/>
            <w:vAlign w:val="center"/>
          </w:tcPr>
          <w:p w14:paraId="1354CFBF" w14:textId="77777777" w:rsidR="00BD5437" w:rsidRPr="00BD5437" w:rsidRDefault="00BD5437" w:rsidP="00BD5437">
            <w:pPr>
              <w:jc w:val="both"/>
              <w:rPr>
                <w:rFonts w:cs="Arial"/>
                <w:color w:val="000000"/>
                <w:szCs w:val="22"/>
                <w:lang w:eastAsia="it-IT"/>
              </w:rPr>
            </w:pPr>
          </w:p>
        </w:tc>
        <w:tc>
          <w:tcPr>
            <w:tcW w:w="1527" w:type="dxa"/>
            <w:vAlign w:val="center"/>
          </w:tcPr>
          <w:p w14:paraId="2AAA2819" w14:textId="77777777" w:rsidR="00BD5437" w:rsidRPr="00BD5437" w:rsidRDefault="00BD5437" w:rsidP="00BD5437">
            <w:pPr>
              <w:jc w:val="both"/>
              <w:rPr>
                <w:rFonts w:cs="Arial"/>
                <w:color w:val="000000"/>
                <w:szCs w:val="22"/>
                <w:lang w:eastAsia="it-IT"/>
              </w:rPr>
            </w:pPr>
          </w:p>
        </w:tc>
      </w:tr>
      <w:tr w:rsidR="00BD5437" w:rsidRPr="00BD5437" w14:paraId="77ACA21F" w14:textId="77777777" w:rsidTr="00BD5437">
        <w:trPr>
          <w:jc w:val="right"/>
        </w:trPr>
        <w:tc>
          <w:tcPr>
            <w:tcW w:w="3422" w:type="dxa"/>
            <w:shd w:val="clear" w:color="auto" w:fill="FFFFFF"/>
            <w:vAlign w:val="center"/>
          </w:tcPr>
          <w:p w14:paraId="4027323B" w14:textId="77777777" w:rsidR="00BD5437" w:rsidRPr="00BD5437" w:rsidRDefault="00BD5437" w:rsidP="00BD5437">
            <w:pPr>
              <w:rPr>
                <w:rFonts w:cs="Arial"/>
                <w:b/>
                <w:bCs/>
                <w:color w:val="000000"/>
                <w:szCs w:val="22"/>
              </w:rPr>
            </w:pPr>
            <w:r w:rsidRPr="00BD5437">
              <w:rPr>
                <w:rFonts w:cs="Arial"/>
                <w:b/>
                <w:color w:val="000000"/>
                <w:szCs w:val="22"/>
              </w:rPr>
              <w:t>Відповідальний виконавець проєкту:</w:t>
            </w:r>
          </w:p>
        </w:tc>
        <w:tc>
          <w:tcPr>
            <w:tcW w:w="6797" w:type="dxa"/>
            <w:gridSpan w:val="7"/>
            <w:vAlign w:val="center"/>
          </w:tcPr>
          <w:p w14:paraId="6C96FE74" w14:textId="6074554B" w:rsidR="00BD5437" w:rsidRPr="00BD5437" w:rsidRDefault="00BD5437" w:rsidP="00BD5437">
            <w:pPr>
              <w:jc w:val="both"/>
              <w:rPr>
                <w:rFonts w:cs="Arial"/>
                <w:color w:val="000000"/>
                <w:szCs w:val="22"/>
                <w:lang w:eastAsia="it-IT"/>
              </w:rPr>
            </w:pPr>
            <w:r w:rsidRPr="00BD5437">
              <w:rPr>
                <w:rFonts w:cs="Arial"/>
                <w:color w:val="000000"/>
                <w:szCs w:val="22"/>
                <w:lang w:eastAsia="it-IT"/>
              </w:rPr>
              <w:t>Управління ЖКГ.</w:t>
            </w:r>
          </w:p>
        </w:tc>
      </w:tr>
      <w:tr w:rsidR="00BD5437" w:rsidRPr="00BD5437" w14:paraId="0B25BCCF" w14:textId="77777777" w:rsidTr="00BD5437">
        <w:trPr>
          <w:jc w:val="right"/>
        </w:trPr>
        <w:tc>
          <w:tcPr>
            <w:tcW w:w="3422" w:type="dxa"/>
            <w:shd w:val="clear" w:color="auto" w:fill="FFFFFF"/>
            <w:vAlign w:val="center"/>
          </w:tcPr>
          <w:p w14:paraId="34D47460" w14:textId="77777777" w:rsidR="00BD5437" w:rsidRPr="00BD5437" w:rsidRDefault="00BD5437" w:rsidP="00BD5437">
            <w:pPr>
              <w:rPr>
                <w:rFonts w:cs="Arial"/>
                <w:b/>
                <w:bCs/>
                <w:color w:val="000000"/>
                <w:szCs w:val="22"/>
              </w:rPr>
            </w:pPr>
            <w:r w:rsidRPr="00BD5437">
              <w:rPr>
                <w:rFonts w:cs="Arial"/>
                <w:b/>
                <w:bCs/>
                <w:color w:val="000000"/>
                <w:szCs w:val="22"/>
              </w:rPr>
              <w:t>Інше:</w:t>
            </w:r>
          </w:p>
        </w:tc>
        <w:tc>
          <w:tcPr>
            <w:tcW w:w="6797" w:type="dxa"/>
            <w:gridSpan w:val="7"/>
            <w:vAlign w:val="center"/>
          </w:tcPr>
          <w:p w14:paraId="5EDE245C" w14:textId="77777777" w:rsidR="00BD5437" w:rsidRPr="00BD5437" w:rsidRDefault="00BD5437" w:rsidP="00BD5437">
            <w:pPr>
              <w:rPr>
                <w:rFonts w:cs="Arial"/>
                <w:color w:val="000000"/>
                <w:szCs w:val="22"/>
                <w:lang w:eastAsia="it-IT"/>
              </w:rPr>
            </w:pPr>
          </w:p>
        </w:tc>
      </w:tr>
    </w:tbl>
    <w:p w14:paraId="41C90D71" w14:textId="77777777" w:rsidR="00CB33C7" w:rsidRPr="00C2587D" w:rsidRDefault="00CB33C7" w:rsidP="00CB33C7"/>
    <w:p w14:paraId="59158363" w14:textId="77777777" w:rsidR="00CB33C7" w:rsidRPr="00C2587D" w:rsidRDefault="00CB33C7" w:rsidP="00CB33C7"/>
    <w:p w14:paraId="295E56EA" w14:textId="77777777" w:rsidR="00CB33C7" w:rsidRPr="00C2587D" w:rsidRDefault="00CB33C7" w:rsidP="00CB33C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233922B4" w14:textId="77777777" w:rsidR="00CB33C7" w:rsidRPr="00C2587D" w:rsidRDefault="00CB33C7" w:rsidP="00CB33C7">
      <w:pPr>
        <w:jc w:val="center"/>
        <w:rPr>
          <w:rFonts w:cs="Arial"/>
          <w:b/>
          <w:color w:val="000000"/>
          <w:szCs w:val="22"/>
        </w:rPr>
      </w:pPr>
      <w:r w:rsidRPr="00C2587D">
        <w:rPr>
          <w:rFonts w:cs="Arial"/>
          <w:b/>
          <w:color w:val="000000"/>
          <w:szCs w:val="22"/>
        </w:rPr>
        <w:t>до Плану заходів з реалізації Стратегії</w:t>
      </w:r>
    </w:p>
    <w:p w14:paraId="61F5291B" w14:textId="77777777" w:rsidR="00CB33C7" w:rsidRPr="00C2587D" w:rsidRDefault="00CB33C7" w:rsidP="00CB33C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26"/>
        <w:gridCol w:w="1370"/>
        <w:gridCol w:w="16"/>
        <w:gridCol w:w="1281"/>
        <w:gridCol w:w="23"/>
        <w:gridCol w:w="1253"/>
        <w:gridCol w:w="37"/>
        <w:gridCol w:w="1534"/>
      </w:tblGrid>
      <w:tr w:rsidR="00CB33C7" w:rsidRPr="00C2587D" w14:paraId="2188FA9A" w14:textId="77777777" w:rsidTr="00EA6E27">
        <w:trPr>
          <w:jc w:val="right"/>
        </w:trPr>
        <w:tc>
          <w:tcPr>
            <w:tcW w:w="3425" w:type="dxa"/>
            <w:vAlign w:val="center"/>
          </w:tcPr>
          <w:p w14:paraId="1536E939" w14:textId="77777777" w:rsidR="00CB33C7" w:rsidRPr="00BD5437" w:rsidRDefault="00CB33C7" w:rsidP="00BD5437">
            <w:pPr>
              <w:contextualSpacing/>
              <w:rPr>
                <w:rFonts w:cs="Arial"/>
                <w:b/>
                <w:bCs/>
                <w:color w:val="000000"/>
                <w:szCs w:val="22"/>
              </w:rPr>
            </w:pPr>
            <w:r w:rsidRPr="00BD5437">
              <w:rPr>
                <w:rFonts w:cs="Arial"/>
                <w:b/>
                <w:bCs/>
                <w:color w:val="000000"/>
                <w:szCs w:val="22"/>
              </w:rPr>
              <w:t>Назва проєкту:</w:t>
            </w:r>
          </w:p>
        </w:tc>
        <w:tc>
          <w:tcPr>
            <w:tcW w:w="6794" w:type="dxa"/>
            <w:gridSpan w:val="9"/>
          </w:tcPr>
          <w:p w14:paraId="769DDF35" w14:textId="77777777" w:rsidR="00CB33C7" w:rsidRPr="00BD5437" w:rsidRDefault="00CB33C7" w:rsidP="00BD5437">
            <w:pPr>
              <w:contextualSpacing/>
              <w:rPr>
                <w:rFonts w:cs="Arial"/>
                <w:b/>
                <w:szCs w:val="22"/>
                <w:lang w:eastAsia="it-IT"/>
              </w:rPr>
            </w:pPr>
            <w:r w:rsidRPr="00BD5437">
              <w:rPr>
                <w:rFonts w:eastAsia="Arial" w:cs="Arial"/>
                <w:b/>
                <w:szCs w:val="22"/>
                <w:lang w:eastAsia="en-US"/>
              </w:rPr>
              <w:t>Капітальний ремонт дорожнього покриття по вул. Достоєвського в м. Жмеринка Вінницької області</w:t>
            </w:r>
          </w:p>
        </w:tc>
      </w:tr>
      <w:tr w:rsidR="00CB33C7" w:rsidRPr="00C2587D" w14:paraId="7F7041AD" w14:textId="77777777" w:rsidTr="00EA6E27">
        <w:trPr>
          <w:jc w:val="right"/>
        </w:trPr>
        <w:tc>
          <w:tcPr>
            <w:tcW w:w="3425" w:type="dxa"/>
          </w:tcPr>
          <w:p w14:paraId="1F02B3A6" w14:textId="77777777" w:rsidR="00CB33C7" w:rsidRPr="00BD5437" w:rsidRDefault="00CB33C7" w:rsidP="00BD5437">
            <w:pPr>
              <w:contextualSpacing/>
              <w:rPr>
                <w:rFonts w:cs="Arial"/>
                <w:szCs w:val="22"/>
                <w:lang w:eastAsia="it-IT"/>
              </w:rPr>
            </w:pPr>
            <w:r w:rsidRPr="00BD5437">
              <w:rPr>
                <w:rFonts w:cs="Arial"/>
                <w:b/>
                <w:bCs/>
                <w:szCs w:val="22"/>
              </w:rPr>
              <w:t>Ваші контакти</w:t>
            </w:r>
            <w:r w:rsidRPr="00BD5437">
              <w:rPr>
                <w:rFonts w:cs="Arial"/>
                <w:szCs w:val="22"/>
                <w:lang w:eastAsia="it-IT"/>
              </w:rPr>
              <w:t>:</w:t>
            </w:r>
          </w:p>
          <w:p w14:paraId="45B2A8A4" w14:textId="77777777" w:rsidR="00CB33C7" w:rsidRPr="00BD5437" w:rsidRDefault="00CB33C7" w:rsidP="00BD5437">
            <w:pPr>
              <w:contextualSpacing/>
              <w:rPr>
                <w:rFonts w:cs="Arial"/>
                <w:b/>
                <w:bCs/>
                <w:szCs w:val="22"/>
              </w:rPr>
            </w:pPr>
            <w:r w:rsidRPr="00BD5437">
              <w:rPr>
                <w:rFonts w:cs="Arial"/>
                <w:szCs w:val="22"/>
                <w:lang w:eastAsia="it-IT"/>
              </w:rPr>
              <w:t>Назва установи, організації, підприємства</w:t>
            </w:r>
          </w:p>
        </w:tc>
        <w:tc>
          <w:tcPr>
            <w:tcW w:w="6794" w:type="dxa"/>
            <w:gridSpan w:val="9"/>
          </w:tcPr>
          <w:p w14:paraId="71FC8466" w14:textId="77777777" w:rsidR="00CB33C7" w:rsidRPr="00BD5437" w:rsidRDefault="00CB33C7" w:rsidP="00BD5437">
            <w:pPr>
              <w:contextualSpacing/>
              <w:rPr>
                <w:rFonts w:cs="Arial"/>
                <w:szCs w:val="22"/>
                <w:lang w:eastAsia="it-IT"/>
              </w:rPr>
            </w:pPr>
            <w:r w:rsidRPr="00BD5437">
              <w:rPr>
                <w:rFonts w:cs="Arial"/>
                <w:szCs w:val="22"/>
                <w:lang w:eastAsia="it-IT"/>
              </w:rPr>
              <w:t>Управління житлово-комунального господарства Жмеринської міської ради</w:t>
            </w:r>
          </w:p>
        </w:tc>
      </w:tr>
      <w:tr w:rsidR="00CB33C7" w:rsidRPr="00C2587D" w14:paraId="37C62D81" w14:textId="77777777" w:rsidTr="00EA6E27">
        <w:trPr>
          <w:jc w:val="right"/>
        </w:trPr>
        <w:tc>
          <w:tcPr>
            <w:tcW w:w="3425" w:type="dxa"/>
          </w:tcPr>
          <w:p w14:paraId="1094772C" w14:textId="77777777" w:rsidR="00CB33C7" w:rsidRPr="00BD5437" w:rsidRDefault="00CB33C7" w:rsidP="00BD5437">
            <w:pPr>
              <w:contextualSpacing/>
              <w:rPr>
                <w:rFonts w:cs="Arial"/>
                <w:b/>
                <w:bCs/>
                <w:szCs w:val="22"/>
              </w:rPr>
            </w:pPr>
            <w:r w:rsidRPr="00BD5437">
              <w:rPr>
                <w:rFonts w:cs="Arial"/>
                <w:szCs w:val="22"/>
                <w:lang w:eastAsia="it-IT"/>
              </w:rPr>
              <w:t>Прізвище Ім’я По-батькові:</w:t>
            </w:r>
          </w:p>
        </w:tc>
        <w:tc>
          <w:tcPr>
            <w:tcW w:w="6794" w:type="dxa"/>
            <w:gridSpan w:val="9"/>
          </w:tcPr>
          <w:p w14:paraId="2AAC8710" w14:textId="77777777" w:rsidR="00CB33C7" w:rsidRPr="00BD5437" w:rsidRDefault="00CB33C7" w:rsidP="00BD5437">
            <w:pPr>
              <w:contextualSpacing/>
              <w:rPr>
                <w:rFonts w:cs="Arial"/>
                <w:szCs w:val="22"/>
                <w:lang w:eastAsia="it-IT"/>
              </w:rPr>
            </w:pPr>
            <w:r w:rsidRPr="00BD5437">
              <w:rPr>
                <w:rFonts w:cs="Arial"/>
                <w:szCs w:val="22"/>
                <w:lang w:eastAsia="it-IT"/>
              </w:rPr>
              <w:t>Оленич Андрій Васильович</w:t>
            </w:r>
          </w:p>
        </w:tc>
      </w:tr>
      <w:tr w:rsidR="00CB33C7" w:rsidRPr="00C2587D" w14:paraId="300E49FD" w14:textId="77777777" w:rsidTr="00EA6E27">
        <w:trPr>
          <w:jc w:val="right"/>
        </w:trPr>
        <w:tc>
          <w:tcPr>
            <w:tcW w:w="3425" w:type="dxa"/>
          </w:tcPr>
          <w:p w14:paraId="48CC8CA6" w14:textId="77777777" w:rsidR="00CB33C7" w:rsidRPr="00BD5437" w:rsidRDefault="00CB33C7" w:rsidP="00BD5437">
            <w:pPr>
              <w:contextualSpacing/>
              <w:rPr>
                <w:rFonts w:cs="Arial"/>
                <w:b/>
                <w:bCs/>
                <w:szCs w:val="22"/>
              </w:rPr>
            </w:pPr>
            <w:r w:rsidRPr="00BD5437">
              <w:rPr>
                <w:rFonts w:cs="Arial"/>
                <w:szCs w:val="22"/>
                <w:lang w:eastAsia="it-IT"/>
              </w:rPr>
              <w:t>Телефон (мобільний):</w:t>
            </w:r>
          </w:p>
        </w:tc>
        <w:tc>
          <w:tcPr>
            <w:tcW w:w="6794" w:type="dxa"/>
            <w:gridSpan w:val="9"/>
          </w:tcPr>
          <w:p w14:paraId="6A3C8D86" w14:textId="77777777" w:rsidR="00CB33C7" w:rsidRPr="00BD5437" w:rsidRDefault="00CB33C7" w:rsidP="00BD5437">
            <w:pPr>
              <w:contextualSpacing/>
              <w:rPr>
                <w:rFonts w:cs="Arial"/>
                <w:szCs w:val="22"/>
                <w:lang w:eastAsia="it-IT"/>
              </w:rPr>
            </w:pPr>
            <w:r w:rsidRPr="00BD5437">
              <w:rPr>
                <w:rFonts w:cs="Arial"/>
                <w:szCs w:val="22"/>
                <w:lang w:eastAsia="it-IT"/>
              </w:rPr>
              <w:t>0972561907</w:t>
            </w:r>
          </w:p>
        </w:tc>
      </w:tr>
      <w:tr w:rsidR="00CB33C7" w:rsidRPr="00C2587D" w14:paraId="11130679" w14:textId="77777777" w:rsidTr="00EA6E27">
        <w:trPr>
          <w:jc w:val="right"/>
        </w:trPr>
        <w:tc>
          <w:tcPr>
            <w:tcW w:w="3425" w:type="dxa"/>
          </w:tcPr>
          <w:p w14:paraId="2F392F80" w14:textId="77777777" w:rsidR="00CB33C7" w:rsidRPr="00BD5437" w:rsidRDefault="00CB33C7" w:rsidP="00BD5437">
            <w:pPr>
              <w:contextualSpacing/>
              <w:rPr>
                <w:rFonts w:cs="Arial"/>
                <w:b/>
                <w:bCs/>
                <w:szCs w:val="22"/>
              </w:rPr>
            </w:pPr>
            <w:r w:rsidRPr="00BD5437">
              <w:rPr>
                <w:rFonts w:cs="Arial"/>
                <w:szCs w:val="22"/>
                <w:lang w:eastAsia="it-IT"/>
              </w:rPr>
              <w:t>Електронна адреса:</w:t>
            </w:r>
          </w:p>
        </w:tc>
        <w:tc>
          <w:tcPr>
            <w:tcW w:w="6794" w:type="dxa"/>
            <w:gridSpan w:val="9"/>
          </w:tcPr>
          <w:p w14:paraId="3FE00B01" w14:textId="77777777" w:rsidR="00CB33C7" w:rsidRPr="00BD5437" w:rsidRDefault="00D85FFD" w:rsidP="00BD5437">
            <w:pPr>
              <w:contextualSpacing/>
              <w:rPr>
                <w:rFonts w:cs="Arial"/>
                <w:szCs w:val="22"/>
                <w:lang w:eastAsia="it-IT"/>
              </w:rPr>
            </w:pPr>
            <w:hyperlink r:id="rId51" w:history="1">
              <w:r w:rsidR="00CB33C7" w:rsidRPr="00BD5437">
                <w:rPr>
                  <w:rStyle w:val="af0"/>
                  <w:rFonts w:cs="Arial"/>
                  <w:noProof w:val="0"/>
                  <w:sz w:val="22"/>
                  <w:szCs w:val="22"/>
                  <w:lang w:eastAsia="it-IT"/>
                </w:rPr>
                <w:t>Aolenych03@ukr.net</w:t>
              </w:r>
            </w:hyperlink>
          </w:p>
        </w:tc>
      </w:tr>
      <w:tr w:rsidR="00CB33C7" w:rsidRPr="00C2587D" w14:paraId="0AB33B4A" w14:textId="77777777" w:rsidTr="00EA6E27">
        <w:trPr>
          <w:jc w:val="right"/>
        </w:trPr>
        <w:tc>
          <w:tcPr>
            <w:tcW w:w="3425" w:type="dxa"/>
            <w:vAlign w:val="center"/>
          </w:tcPr>
          <w:p w14:paraId="21EC1305" w14:textId="77777777" w:rsidR="00CB33C7" w:rsidRPr="00BD5437" w:rsidRDefault="00CB33C7" w:rsidP="00BD5437">
            <w:pPr>
              <w:pStyle w:val="6"/>
              <w:spacing w:before="0" w:after="0"/>
              <w:contextualSpacing/>
              <w:rPr>
                <w:rFonts w:ascii="Arial" w:hAnsi="Arial" w:cs="Arial"/>
                <w:color w:val="000000"/>
                <w:lang w:val="uk-UA"/>
              </w:rPr>
            </w:pPr>
            <w:r w:rsidRPr="00BD5437">
              <w:rPr>
                <w:rFonts w:ascii="Arial" w:hAnsi="Arial" w:cs="Arial"/>
                <w:color w:val="000000"/>
                <w:lang w:val="uk-UA"/>
              </w:rPr>
              <w:t>Номер і назва завдання з Стратегії</w:t>
            </w:r>
            <w:r w:rsidRPr="00BD5437">
              <w:rPr>
                <w:rFonts w:ascii="Arial" w:hAnsi="Arial" w:cs="Arial"/>
                <w:lang w:val="uk-UA" w:eastAsia="it-IT"/>
              </w:rPr>
              <w:t xml:space="preserve"> </w:t>
            </w:r>
            <w:r w:rsidRPr="00BD5437">
              <w:rPr>
                <w:rFonts w:ascii="Arial" w:hAnsi="Arial" w:cs="Arial"/>
                <w:color w:val="000000"/>
                <w:lang w:val="uk-UA"/>
              </w:rPr>
              <w:t xml:space="preserve">розвитку Жмеринської міської </w:t>
            </w:r>
          </w:p>
        </w:tc>
        <w:tc>
          <w:tcPr>
            <w:tcW w:w="6794" w:type="dxa"/>
            <w:gridSpan w:val="9"/>
            <w:vAlign w:val="center"/>
          </w:tcPr>
          <w:p w14:paraId="78A27018" w14:textId="77777777" w:rsidR="00CB33C7" w:rsidRPr="00BD5437" w:rsidRDefault="00CB33C7" w:rsidP="00BD5437">
            <w:pPr>
              <w:suppressAutoHyphens/>
              <w:contextualSpacing/>
              <w:jc w:val="both"/>
              <w:rPr>
                <w:rFonts w:eastAsia="Lucida Sans Unicode" w:cs="Arial"/>
                <w:kern w:val="1"/>
                <w:szCs w:val="22"/>
                <w:lang w:eastAsia="ar-SA"/>
              </w:rPr>
            </w:pPr>
            <w:r w:rsidRPr="00BD5437">
              <w:rPr>
                <w:rFonts w:eastAsia="Lucida Sans Unicode" w:cs="Arial"/>
                <w:kern w:val="1"/>
                <w:szCs w:val="22"/>
                <w:lang w:eastAsia="ar-SA"/>
              </w:rPr>
              <w:t>В.1.1.3. Проведення будівництва, реконструкції та капітального ремонту дорожнього покриття вулиць  та тротуарів в населених пунктах територіальної громади.</w:t>
            </w:r>
          </w:p>
        </w:tc>
      </w:tr>
      <w:tr w:rsidR="00CB33C7" w:rsidRPr="00C2587D" w14:paraId="7F7CFE69" w14:textId="77777777" w:rsidTr="00EA6E27">
        <w:trPr>
          <w:jc w:val="right"/>
        </w:trPr>
        <w:tc>
          <w:tcPr>
            <w:tcW w:w="3425" w:type="dxa"/>
            <w:vAlign w:val="center"/>
          </w:tcPr>
          <w:p w14:paraId="18F62F05" w14:textId="77777777" w:rsidR="00CB33C7" w:rsidRPr="00BD5437" w:rsidRDefault="00CB33C7" w:rsidP="00BD5437">
            <w:pPr>
              <w:contextualSpacing/>
              <w:rPr>
                <w:rFonts w:cs="Arial"/>
                <w:b/>
                <w:bCs/>
                <w:color w:val="000000"/>
                <w:szCs w:val="22"/>
              </w:rPr>
            </w:pPr>
            <w:r w:rsidRPr="00BD5437">
              <w:rPr>
                <w:rFonts w:cs="Arial"/>
                <w:b/>
                <w:bCs/>
                <w:color w:val="000000"/>
                <w:szCs w:val="22"/>
              </w:rPr>
              <w:t>Мета проєкту:</w:t>
            </w:r>
          </w:p>
        </w:tc>
        <w:tc>
          <w:tcPr>
            <w:tcW w:w="6794" w:type="dxa"/>
            <w:gridSpan w:val="9"/>
          </w:tcPr>
          <w:p w14:paraId="3776A1F1" w14:textId="77777777" w:rsidR="00CB33C7" w:rsidRPr="00BD5437" w:rsidRDefault="00CB33C7" w:rsidP="00DD6DC0">
            <w:pPr>
              <w:contextualSpacing/>
              <w:jc w:val="both"/>
              <w:rPr>
                <w:rFonts w:cs="Arial"/>
                <w:szCs w:val="22"/>
                <w:lang w:eastAsia="it-IT"/>
              </w:rPr>
            </w:pPr>
            <w:r w:rsidRPr="00BD5437">
              <w:rPr>
                <w:rFonts w:cs="Arial"/>
                <w:szCs w:val="22"/>
                <w:lang w:eastAsia="it-IT"/>
              </w:rPr>
              <w:t>Забезпечення  населення громади м. Жмеринка якісною інфраструктурою, а саме дорогами з рівним покриттям.</w:t>
            </w:r>
          </w:p>
          <w:p w14:paraId="5D2F6D32" w14:textId="77777777" w:rsidR="00CB33C7" w:rsidRPr="00BD5437" w:rsidRDefault="00CB33C7" w:rsidP="00DD6DC0">
            <w:pPr>
              <w:contextualSpacing/>
              <w:jc w:val="both"/>
              <w:rPr>
                <w:rFonts w:cs="Arial"/>
                <w:szCs w:val="22"/>
                <w:lang w:eastAsia="it-IT"/>
              </w:rPr>
            </w:pPr>
            <w:r w:rsidRPr="00BD5437">
              <w:rPr>
                <w:rFonts w:cs="Arial"/>
                <w:szCs w:val="22"/>
                <w:lang w:eastAsia="it-IT"/>
              </w:rPr>
              <w:t>Мешканці громади отримують більш комфортні   та безпечні умови проживання та перебування в населеному пункті.</w:t>
            </w:r>
          </w:p>
        </w:tc>
      </w:tr>
      <w:tr w:rsidR="00CB33C7" w:rsidRPr="00C2587D" w14:paraId="6E18ACDC" w14:textId="77777777" w:rsidTr="00EA6E27">
        <w:trPr>
          <w:jc w:val="right"/>
        </w:trPr>
        <w:tc>
          <w:tcPr>
            <w:tcW w:w="3425" w:type="dxa"/>
            <w:vAlign w:val="center"/>
          </w:tcPr>
          <w:p w14:paraId="79390DE2" w14:textId="77777777" w:rsidR="00CB33C7" w:rsidRPr="00BD5437" w:rsidRDefault="00CB33C7" w:rsidP="00BD5437">
            <w:pPr>
              <w:contextualSpacing/>
              <w:rPr>
                <w:rFonts w:cs="Arial"/>
                <w:b/>
                <w:bCs/>
                <w:color w:val="000000"/>
                <w:szCs w:val="22"/>
              </w:rPr>
            </w:pPr>
            <w:r w:rsidRPr="00BD5437">
              <w:rPr>
                <w:rFonts w:cs="Arial"/>
                <w:b/>
                <w:bCs/>
                <w:color w:val="000000"/>
                <w:szCs w:val="22"/>
              </w:rPr>
              <w:t>Цілі проєкту:</w:t>
            </w:r>
          </w:p>
        </w:tc>
        <w:tc>
          <w:tcPr>
            <w:tcW w:w="6794" w:type="dxa"/>
            <w:gridSpan w:val="9"/>
          </w:tcPr>
          <w:p w14:paraId="1CD68E2A" w14:textId="77777777" w:rsidR="00CB33C7" w:rsidRPr="00BD5437" w:rsidRDefault="00CB33C7" w:rsidP="00DD6DC0">
            <w:pPr>
              <w:contextualSpacing/>
              <w:jc w:val="both"/>
              <w:rPr>
                <w:rFonts w:cs="Arial"/>
                <w:szCs w:val="22"/>
                <w:lang w:eastAsia="it-IT"/>
              </w:rPr>
            </w:pPr>
            <w:r w:rsidRPr="00BD5437">
              <w:rPr>
                <w:rFonts w:cs="Arial"/>
                <w:szCs w:val="22"/>
                <w:lang w:eastAsia="it-IT"/>
              </w:rPr>
              <w:t>Покращити інфраструктуру   дорожнього покриття в м. Жмеринка</w:t>
            </w:r>
          </w:p>
        </w:tc>
      </w:tr>
      <w:tr w:rsidR="00CB33C7" w:rsidRPr="00C2587D" w14:paraId="3DCBE490" w14:textId="77777777" w:rsidTr="00EA6E27">
        <w:trPr>
          <w:jc w:val="right"/>
        </w:trPr>
        <w:tc>
          <w:tcPr>
            <w:tcW w:w="3425" w:type="dxa"/>
            <w:vAlign w:val="center"/>
          </w:tcPr>
          <w:p w14:paraId="43AC5853" w14:textId="77777777" w:rsidR="00CB33C7" w:rsidRPr="00BD5437" w:rsidRDefault="00CB33C7" w:rsidP="00BD5437">
            <w:pPr>
              <w:autoSpaceDE w:val="0"/>
              <w:autoSpaceDN w:val="0"/>
              <w:adjustRightInd w:val="0"/>
              <w:contextualSpacing/>
              <w:rPr>
                <w:rFonts w:cs="Arial"/>
                <w:b/>
                <w:color w:val="000000"/>
                <w:szCs w:val="22"/>
              </w:rPr>
            </w:pPr>
            <w:r w:rsidRPr="00BD5437">
              <w:rPr>
                <w:rFonts w:cs="Arial"/>
                <w:b/>
                <w:color w:val="000000"/>
                <w:szCs w:val="22"/>
              </w:rPr>
              <w:t>Територія на яку проєкт матиме вплив:</w:t>
            </w:r>
          </w:p>
        </w:tc>
        <w:tc>
          <w:tcPr>
            <w:tcW w:w="6794" w:type="dxa"/>
            <w:gridSpan w:val="9"/>
          </w:tcPr>
          <w:p w14:paraId="45C55147" w14:textId="75DB19FE" w:rsidR="00CB33C7" w:rsidRPr="00BD5437" w:rsidRDefault="00CB33C7" w:rsidP="00BD5437">
            <w:pPr>
              <w:contextualSpacing/>
              <w:rPr>
                <w:rFonts w:cs="Arial"/>
                <w:szCs w:val="22"/>
                <w:lang w:eastAsia="it-IT"/>
              </w:rPr>
            </w:pPr>
            <w:r w:rsidRPr="00BD5437">
              <w:rPr>
                <w:rFonts w:cs="Arial"/>
                <w:szCs w:val="22"/>
                <w:lang w:eastAsia="it-IT"/>
              </w:rPr>
              <w:t xml:space="preserve">Території </w:t>
            </w:r>
            <w:r w:rsidR="00BD5437" w:rsidRPr="00BD5437">
              <w:rPr>
                <w:rFonts w:cs="Arial"/>
                <w:szCs w:val="22"/>
                <w:lang w:eastAsia="it-IT"/>
              </w:rPr>
              <w:t>Жмеринська</w:t>
            </w:r>
            <w:r w:rsidRPr="00BD5437">
              <w:rPr>
                <w:rFonts w:cs="Arial"/>
                <w:szCs w:val="22"/>
                <w:lang w:eastAsia="it-IT"/>
              </w:rPr>
              <w:t xml:space="preserve"> М</w:t>
            </w:r>
            <w:r w:rsidR="00BD5437" w:rsidRPr="00BD5437">
              <w:rPr>
                <w:rFonts w:cs="Arial"/>
                <w:szCs w:val="22"/>
                <w:lang w:eastAsia="it-IT"/>
              </w:rPr>
              <w:t>Т</w:t>
            </w:r>
            <w:r w:rsidRPr="00BD5437">
              <w:rPr>
                <w:rFonts w:cs="Arial"/>
                <w:szCs w:val="22"/>
                <w:lang w:eastAsia="it-IT"/>
              </w:rPr>
              <w:t>Г</w:t>
            </w:r>
          </w:p>
        </w:tc>
      </w:tr>
      <w:tr w:rsidR="00CB33C7" w:rsidRPr="00C2587D" w14:paraId="4AD80057" w14:textId="77777777" w:rsidTr="00EA6E27">
        <w:trPr>
          <w:jc w:val="right"/>
        </w:trPr>
        <w:tc>
          <w:tcPr>
            <w:tcW w:w="3425" w:type="dxa"/>
            <w:vAlign w:val="center"/>
          </w:tcPr>
          <w:p w14:paraId="520C44FF" w14:textId="77777777" w:rsidR="00CB33C7" w:rsidRPr="00BD5437" w:rsidRDefault="00CB33C7" w:rsidP="00BD5437">
            <w:pPr>
              <w:autoSpaceDE w:val="0"/>
              <w:autoSpaceDN w:val="0"/>
              <w:adjustRightInd w:val="0"/>
              <w:contextualSpacing/>
              <w:rPr>
                <w:rFonts w:cs="Arial"/>
                <w:b/>
                <w:color w:val="000000"/>
                <w:szCs w:val="22"/>
              </w:rPr>
            </w:pPr>
            <w:r w:rsidRPr="00BD5437">
              <w:rPr>
                <w:rFonts w:cs="Arial"/>
                <w:b/>
                <w:color w:val="000000"/>
                <w:szCs w:val="22"/>
              </w:rPr>
              <w:t>Цільові групи проєкту та кількість отримувачів вигоди</w:t>
            </w:r>
          </w:p>
        </w:tc>
        <w:tc>
          <w:tcPr>
            <w:tcW w:w="6794" w:type="dxa"/>
            <w:gridSpan w:val="9"/>
          </w:tcPr>
          <w:p w14:paraId="3BBFDEED" w14:textId="77777777" w:rsidR="00CB33C7" w:rsidRPr="00BD5437" w:rsidRDefault="00CB33C7" w:rsidP="00BD5437">
            <w:pPr>
              <w:contextualSpacing/>
              <w:rPr>
                <w:rFonts w:cs="Arial"/>
                <w:szCs w:val="22"/>
                <w:lang w:eastAsia="it-IT"/>
              </w:rPr>
            </w:pPr>
            <w:r w:rsidRPr="00BD5437">
              <w:rPr>
                <w:rFonts w:cs="Arial"/>
                <w:szCs w:val="22"/>
                <w:lang w:eastAsia="it-IT"/>
              </w:rPr>
              <w:t>Жителі м. Жмеринка в кількості 34353 містян</w:t>
            </w:r>
          </w:p>
        </w:tc>
      </w:tr>
      <w:tr w:rsidR="00CB33C7" w:rsidRPr="00C2587D" w14:paraId="35ED4324" w14:textId="77777777" w:rsidTr="00EA6E27">
        <w:trPr>
          <w:jc w:val="right"/>
        </w:trPr>
        <w:tc>
          <w:tcPr>
            <w:tcW w:w="3425" w:type="dxa"/>
            <w:shd w:val="clear" w:color="auto" w:fill="FFFFFF"/>
            <w:vAlign w:val="center"/>
          </w:tcPr>
          <w:p w14:paraId="5B91E611" w14:textId="77777777" w:rsidR="00CB33C7" w:rsidRPr="00BD5437" w:rsidRDefault="00CB33C7" w:rsidP="00BD5437">
            <w:pPr>
              <w:contextualSpacing/>
              <w:rPr>
                <w:rFonts w:cs="Arial"/>
                <w:b/>
                <w:bCs/>
                <w:color w:val="000000"/>
                <w:szCs w:val="22"/>
              </w:rPr>
            </w:pPr>
            <w:r w:rsidRPr="00BD5437">
              <w:rPr>
                <w:rFonts w:cs="Arial"/>
                <w:b/>
                <w:bCs/>
                <w:color w:val="000000"/>
                <w:szCs w:val="22"/>
              </w:rPr>
              <w:t>Стислий опис проєкту:</w:t>
            </w:r>
          </w:p>
        </w:tc>
        <w:tc>
          <w:tcPr>
            <w:tcW w:w="6794" w:type="dxa"/>
            <w:gridSpan w:val="9"/>
          </w:tcPr>
          <w:p w14:paraId="0733F990" w14:textId="77777777" w:rsidR="00CB33C7" w:rsidRPr="00BD5437" w:rsidRDefault="00CB33C7" w:rsidP="00BD5437">
            <w:pPr>
              <w:pStyle w:val="ad"/>
              <w:shd w:val="clear" w:color="auto" w:fill="FFFFFF"/>
              <w:spacing w:before="0" w:beforeAutospacing="0" w:after="0" w:afterAutospacing="0"/>
              <w:ind w:firstLine="148"/>
              <w:contextualSpacing/>
              <w:jc w:val="both"/>
              <w:rPr>
                <w:rFonts w:cs="Arial"/>
                <w:szCs w:val="22"/>
              </w:rPr>
            </w:pPr>
            <w:r w:rsidRPr="00BD5437">
              <w:rPr>
                <w:rFonts w:cs="Arial"/>
                <w:szCs w:val="22"/>
              </w:rPr>
              <w:t>Якість доріг забезпечує роботу всіх галузей промисловості, соціальний розвиток суспільства. Забезпечує доступ у різні місця населеного пункту, а також безпечне та надійне переміщення людей і транспортування товарів і має надзвичайно важливе значення.</w:t>
            </w:r>
          </w:p>
          <w:p w14:paraId="6FF9C58D" w14:textId="77777777" w:rsidR="00CB33C7" w:rsidRPr="00BD5437" w:rsidRDefault="00CB33C7" w:rsidP="00BD5437">
            <w:pPr>
              <w:pStyle w:val="ad"/>
              <w:shd w:val="clear" w:color="auto" w:fill="FFFFFF"/>
              <w:spacing w:before="0" w:beforeAutospacing="0" w:after="0" w:afterAutospacing="0"/>
              <w:ind w:firstLine="148"/>
              <w:contextualSpacing/>
              <w:jc w:val="both"/>
              <w:rPr>
                <w:rFonts w:cs="Arial"/>
                <w:szCs w:val="22"/>
              </w:rPr>
            </w:pPr>
            <w:r w:rsidRPr="00BD5437">
              <w:rPr>
                <w:rFonts w:cs="Arial"/>
                <w:szCs w:val="22"/>
              </w:rPr>
              <w:t>Від стану автомобільних доріг залежать витрати на перевезення вантажів та пасажирів, рівень цін, певною мірою зайнятість населення.</w:t>
            </w:r>
          </w:p>
          <w:p w14:paraId="5C1CB3EC" w14:textId="77777777" w:rsidR="00CB33C7" w:rsidRPr="00BD5437" w:rsidRDefault="00CB33C7" w:rsidP="00BD5437">
            <w:pPr>
              <w:pStyle w:val="ad"/>
              <w:shd w:val="clear" w:color="auto" w:fill="FFFFFF"/>
              <w:spacing w:before="0" w:beforeAutospacing="0" w:after="0" w:afterAutospacing="0"/>
              <w:ind w:firstLine="148"/>
              <w:contextualSpacing/>
              <w:jc w:val="both"/>
              <w:rPr>
                <w:rFonts w:cs="Arial"/>
                <w:szCs w:val="22"/>
                <w:shd w:val="clear" w:color="auto" w:fill="FFFFFF"/>
              </w:rPr>
            </w:pPr>
            <w:r w:rsidRPr="00BD5437">
              <w:rPr>
                <w:rFonts w:cs="Arial"/>
                <w:szCs w:val="22"/>
              </w:rPr>
              <w:t xml:space="preserve"> </w:t>
            </w:r>
            <w:r w:rsidRPr="00BD5437">
              <w:rPr>
                <w:rFonts w:cs="Arial"/>
                <w:szCs w:val="22"/>
                <w:shd w:val="clear" w:color="auto" w:fill="FFFFFF"/>
              </w:rPr>
              <w:t>Перш за все викликають занепокоєння ті ділянки доріг, по яких проходять автобусні сполучення, підвезення дітей до навчальних закладів, надання невідкладної медичної допомоги.</w:t>
            </w:r>
          </w:p>
          <w:p w14:paraId="542F4EC2" w14:textId="77777777" w:rsidR="00CB33C7" w:rsidRPr="00BD5437" w:rsidRDefault="00CB33C7" w:rsidP="00BD5437">
            <w:pPr>
              <w:contextualSpacing/>
              <w:rPr>
                <w:rFonts w:cs="Arial"/>
                <w:szCs w:val="22"/>
                <w:lang w:eastAsia="it-IT"/>
              </w:rPr>
            </w:pPr>
            <w:r w:rsidRPr="00BD5437">
              <w:rPr>
                <w:rFonts w:cs="Arial"/>
                <w:szCs w:val="22"/>
                <w:shd w:val="clear" w:color="auto" w:fill="FFFFFF"/>
              </w:rPr>
              <w:t xml:space="preserve">З метою безперебійного перевезення людей, необхідно провести капітальний ремонт дороги </w:t>
            </w:r>
            <w:r w:rsidRPr="00BD5437">
              <w:rPr>
                <w:rFonts w:eastAsia="Arial" w:cs="Arial"/>
                <w:szCs w:val="22"/>
                <w:lang w:eastAsia="en-US"/>
              </w:rPr>
              <w:t>по вул. Достоєвського в м. Жмеринка</w:t>
            </w:r>
          </w:p>
        </w:tc>
      </w:tr>
      <w:tr w:rsidR="00CB33C7" w:rsidRPr="00C2587D" w14:paraId="5FA31B08" w14:textId="77777777" w:rsidTr="00EA6E27">
        <w:trPr>
          <w:jc w:val="right"/>
        </w:trPr>
        <w:tc>
          <w:tcPr>
            <w:tcW w:w="3425" w:type="dxa"/>
            <w:shd w:val="clear" w:color="auto" w:fill="FFFFFF"/>
            <w:vAlign w:val="center"/>
          </w:tcPr>
          <w:p w14:paraId="6A358DAC" w14:textId="77777777" w:rsidR="00CB33C7" w:rsidRPr="00BD5437" w:rsidRDefault="00CB33C7" w:rsidP="00BD5437">
            <w:pPr>
              <w:contextualSpacing/>
              <w:rPr>
                <w:rFonts w:cs="Arial"/>
                <w:b/>
                <w:bCs/>
                <w:color w:val="000000"/>
                <w:szCs w:val="22"/>
              </w:rPr>
            </w:pPr>
            <w:r w:rsidRPr="00BD5437">
              <w:rPr>
                <w:rFonts w:cs="Arial"/>
                <w:b/>
                <w:bCs/>
                <w:color w:val="000000"/>
                <w:szCs w:val="22"/>
              </w:rPr>
              <w:t>Основні заходи проєкту:</w:t>
            </w:r>
          </w:p>
        </w:tc>
        <w:tc>
          <w:tcPr>
            <w:tcW w:w="6794" w:type="dxa"/>
            <w:gridSpan w:val="9"/>
          </w:tcPr>
          <w:p w14:paraId="2388F845" w14:textId="67232499" w:rsidR="00CB33C7" w:rsidRPr="00BD5437" w:rsidRDefault="00CB33C7" w:rsidP="00BD5437">
            <w:pPr>
              <w:contextualSpacing/>
              <w:jc w:val="both"/>
              <w:rPr>
                <w:rFonts w:cs="Arial"/>
                <w:szCs w:val="22"/>
                <w:lang w:eastAsia="it-IT"/>
              </w:rPr>
            </w:pPr>
            <w:r w:rsidRPr="00BD5437">
              <w:rPr>
                <w:rFonts w:cs="Arial"/>
                <w:szCs w:val="22"/>
                <w:lang w:eastAsia="it-IT"/>
              </w:rPr>
              <w:t>Створення робочо</w:t>
            </w:r>
            <w:r w:rsidR="008A2113">
              <w:rPr>
                <w:rFonts w:cs="Arial"/>
                <w:szCs w:val="22"/>
                <w:lang w:eastAsia="it-IT"/>
              </w:rPr>
              <w:t>ї групи з питань реалізації проє</w:t>
            </w:r>
            <w:r w:rsidRPr="00BD5437">
              <w:rPr>
                <w:rFonts w:cs="Arial"/>
                <w:szCs w:val="22"/>
                <w:lang w:eastAsia="it-IT"/>
              </w:rPr>
              <w:t xml:space="preserve">кту. </w:t>
            </w:r>
          </w:p>
          <w:p w14:paraId="58A94169" w14:textId="77777777" w:rsidR="00CB33C7" w:rsidRPr="00BD5437" w:rsidRDefault="00CB33C7" w:rsidP="00BD5437">
            <w:pPr>
              <w:contextualSpacing/>
              <w:jc w:val="both"/>
              <w:rPr>
                <w:rFonts w:cs="Arial"/>
                <w:szCs w:val="22"/>
                <w:lang w:eastAsia="it-IT"/>
              </w:rPr>
            </w:pPr>
            <w:r w:rsidRPr="00BD5437">
              <w:rPr>
                <w:rFonts w:cs="Arial"/>
                <w:szCs w:val="22"/>
                <w:lang w:eastAsia="it-IT"/>
              </w:rPr>
              <w:t>Проведення процедури закупівель (визначення виконавця робіт).</w:t>
            </w:r>
          </w:p>
          <w:p w14:paraId="703F4AE2" w14:textId="77777777" w:rsidR="00CB33C7" w:rsidRPr="00BD5437" w:rsidRDefault="00CB33C7" w:rsidP="00BD5437">
            <w:pPr>
              <w:contextualSpacing/>
              <w:jc w:val="both"/>
              <w:rPr>
                <w:rFonts w:cs="Arial"/>
                <w:szCs w:val="22"/>
                <w:lang w:eastAsia="it-IT"/>
              </w:rPr>
            </w:pPr>
            <w:r w:rsidRPr="00BD5437">
              <w:rPr>
                <w:rFonts w:cs="Arial"/>
                <w:szCs w:val="22"/>
                <w:lang w:eastAsia="it-IT"/>
              </w:rPr>
              <w:t>Укладення договорів з виконавцем робіт, організаціями, що здійснюватимуть  технічний та авторський  нагляд .</w:t>
            </w:r>
          </w:p>
          <w:p w14:paraId="4728B5F7" w14:textId="77777777" w:rsidR="00CB33C7" w:rsidRPr="00BD5437" w:rsidRDefault="00CB33C7" w:rsidP="00DD6DC0">
            <w:pPr>
              <w:contextualSpacing/>
              <w:jc w:val="both"/>
              <w:rPr>
                <w:rFonts w:cs="Arial"/>
                <w:szCs w:val="22"/>
                <w:lang w:eastAsia="it-IT"/>
              </w:rPr>
            </w:pPr>
            <w:r w:rsidRPr="00BD5437">
              <w:rPr>
                <w:rFonts w:cs="Arial"/>
                <w:szCs w:val="22"/>
                <w:lang w:eastAsia="it-IT"/>
              </w:rPr>
              <w:t xml:space="preserve">Виконання робіт з капітального ремонту дорожнього покриття </w:t>
            </w:r>
            <w:r w:rsidRPr="00BD5437">
              <w:rPr>
                <w:rFonts w:eastAsia="Arial" w:cs="Arial"/>
                <w:szCs w:val="22"/>
                <w:lang w:eastAsia="en-US"/>
              </w:rPr>
              <w:t>по вул. Достоєвського в м. Жмеринка</w:t>
            </w:r>
            <w:r w:rsidRPr="00BD5437">
              <w:rPr>
                <w:rFonts w:cs="Arial"/>
                <w:szCs w:val="22"/>
                <w:lang w:eastAsia="it-IT"/>
              </w:rPr>
              <w:t xml:space="preserve"> </w:t>
            </w:r>
          </w:p>
          <w:p w14:paraId="7FD993ED" w14:textId="77777777" w:rsidR="00CB33C7" w:rsidRPr="00BD5437" w:rsidRDefault="00CB33C7" w:rsidP="00DD6DC0">
            <w:pPr>
              <w:contextualSpacing/>
              <w:jc w:val="both"/>
              <w:rPr>
                <w:rFonts w:cs="Arial"/>
                <w:szCs w:val="22"/>
                <w:lang w:eastAsia="it-IT"/>
              </w:rPr>
            </w:pPr>
            <w:r w:rsidRPr="00BD5437">
              <w:rPr>
                <w:rFonts w:cs="Arial"/>
                <w:szCs w:val="22"/>
                <w:lang w:eastAsia="it-IT"/>
              </w:rPr>
              <w:t>Введення  об’єкту в експлуатацію .</w:t>
            </w:r>
          </w:p>
          <w:p w14:paraId="590CEB13" w14:textId="13101F06" w:rsidR="00CB33C7" w:rsidRPr="00BD5437" w:rsidRDefault="00CB33C7" w:rsidP="00DD6DC0">
            <w:pPr>
              <w:contextualSpacing/>
              <w:jc w:val="both"/>
              <w:rPr>
                <w:rFonts w:cs="Arial"/>
                <w:szCs w:val="22"/>
                <w:lang w:eastAsia="it-IT"/>
              </w:rPr>
            </w:pPr>
            <w:r w:rsidRPr="00BD5437">
              <w:rPr>
                <w:rFonts w:cs="Arial"/>
                <w:szCs w:val="22"/>
                <w:lang w:eastAsia="it-IT"/>
              </w:rPr>
              <w:t xml:space="preserve">Проведення інформаційних заходів (розміщення  </w:t>
            </w:r>
            <w:r w:rsidR="008A2113">
              <w:rPr>
                <w:rFonts w:cs="Arial"/>
                <w:szCs w:val="22"/>
                <w:lang w:eastAsia="it-IT"/>
              </w:rPr>
              <w:t>інформації  про реалізацію  проє</w:t>
            </w:r>
            <w:r w:rsidRPr="00BD5437">
              <w:rPr>
                <w:rFonts w:cs="Arial"/>
                <w:szCs w:val="22"/>
                <w:lang w:eastAsia="it-IT"/>
              </w:rPr>
              <w:t>кту у ЗМІ) .</w:t>
            </w:r>
          </w:p>
        </w:tc>
      </w:tr>
      <w:tr w:rsidR="00CB33C7" w:rsidRPr="00C2587D" w14:paraId="3AC9DD74" w14:textId="77777777" w:rsidTr="00EA6E27">
        <w:trPr>
          <w:jc w:val="right"/>
        </w:trPr>
        <w:tc>
          <w:tcPr>
            <w:tcW w:w="3425" w:type="dxa"/>
            <w:shd w:val="clear" w:color="auto" w:fill="FFFFFF"/>
            <w:vAlign w:val="center"/>
          </w:tcPr>
          <w:p w14:paraId="0F50E7AA" w14:textId="77777777" w:rsidR="00CB33C7" w:rsidRPr="00BD5437" w:rsidRDefault="00CB33C7" w:rsidP="00BD5437">
            <w:pPr>
              <w:contextualSpacing/>
              <w:rPr>
                <w:rFonts w:cs="Arial"/>
                <w:b/>
                <w:bCs/>
                <w:color w:val="000000"/>
                <w:szCs w:val="22"/>
              </w:rPr>
            </w:pPr>
            <w:r w:rsidRPr="00BD5437">
              <w:rPr>
                <w:rFonts w:cs="Arial"/>
                <w:b/>
                <w:bCs/>
                <w:color w:val="000000"/>
                <w:szCs w:val="22"/>
              </w:rPr>
              <w:t>Індикатори (показники) результативності:</w:t>
            </w:r>
          </w:p>
        </w:tc>
        <w:tc>
          <w:tcPr>
            <w:tcW w:w="6794" w:type="dxa"/>
            <w:gridSpan w:val="9"/>
          </w:tcPr>
          <w:p w14:paraId="2DD40B7F" w14:textId="77777777" w:rsidR="00CB33C7" w:rsidRPr="00BD5437" w:rsidRDefault="00CB33C7" w:rsidP="00BD5437">
            <w:pPr>
              <w:contextualSpacing/>
              <w:rPr>
                <w:rFonts w:cs="Arial"/>
                <w:szCs w:val="22"/>
                <w:lang w:eastAsia="it-IT"/>
              </w:rPr>
            </w:pPr>
            <w:r w:rsidRPr="00BD5437">
              <w:rPr>
                <w:rFonts w:eastAsia="Arial" w:cs="Arial"/>
                <w:szCs w:val="22"/>
                <w:lang w:eastAsia="en-US"/>
              </w:rPr>
              <w:t>Площа дорожнього покриття, що ремонтується: 252 м</w:t>
            </w:r>
            <w:r w:rsidRPr="00BD5437">
              <w:rPr>
                <w:rFonts w:eastAsia="Arial" w:cs="Arial"/>
                <w:szCs w:val="22"/>
                <w:vertAlign w:val="superscript"/>
                <w:lang w:eastAsia="en-US"/>
              </w:rPr>
              <w:t>2</w:t>
            </w:r>
            <w:r w:rsidRPr="00BD5437">
              <w:rPr>
                <w:rFonts w:eastAsia="Arial" w:cs="Arial"/>
                <w:szCs w:val="22"/>
                <w:lang w:eastAsia="en-US"/>
              </w:rPr>
              <w:t xml:space="preserve"> та довжина ділянки: 65 м</w:t>
            </w:r>
          </w:p>
        </w:tc>
      </w:tr>
      <w:tr w:rsidR="00CB33C7" w:rsidRPr="00C2587D" w14:paraId="3EED371A" w14:textId="77777777" w:rsidTr="00EA6E27">
        <w:trPr>
          <w:jc w:val="right"/>
        </w:trPr>
        <w:tc>
          <w:tcPr>
            <w:tcW w:w="3425" w:type="dxa"/>
            <w:shd w:val="clear" w:color="auto" w:fill="FFFFFF"/>
            <w:vAlign w:val="center"/>
          </w:tcPr>
          <w:p w14:paraId="6D418E91" w14:textId="77777777" w:rsidR="00CB33C7" w:rsidRPr="00BD5437" w:rsidRDefault="00CB33C7" w:rsidP="00BD5437">
            <w:pPr>
              <w:contextualSpacing/>
              <w:rPr>
                <w:rFonts w:cs="Arial"/>
                <w:b/>
                <w:color w:val="000000"/>
                <w:szCs w:val="22"/>
              </w:rPr>
            </w:pPr>
            <w:r w:rsidRPr="00BD5437">
              <w:rPr>
                <w:rFonts w:cs="Arial"/>
                <w:b/>
                <w:color w:val="000000"/>
                <w:szCs w:val="22"/>
              </w:rPr>
              <w:t xml:space="preserve">Період здійснення: </w:t>
            </w:r>
          </w:p>
        </w:tc>
        <w:tc>
          <w:tcPr>
            <w:tcW w:w="6794" w:type="dxa"/>
            <w:gridSpan w:val="9"/>
            <w:vAlign w:val="center"/>
          </w:tcPr>
          <w:p w14:paraId="0707524E" w14:textId="77777777" w:rsidR="00CB33C7" w:rsidRPr="00BD5437" w:rsidRDefault="00CB33C7" w:rsidP="00BD5437">
            <w:pPr>
              <w:contextualSpacing/>
              <w:rPr>
                <w:rFonts w:cs="Arial"/>
                <w:color w:val="000000"/>
                <w:szCs w:val="22"/>
                <w:lang w:eastAsia="it-IT"/>
              </w:rPr>
            </w:pPr>
            <w:r w:rsidRPr="00BD5437">
              <w:rPr>
                <w:rFonts w:cs="Arial"/>
                <w:b/>
                <w:color w:val="000000"/>
                <w:szCs w:val="22"/>
              </w:rPr>
              <w:t>2025 – 2028 роки:</w:t>
            </w:r>
          </w:p>
        </w:tc>
      </w:tr>
      <w:tr w:rsidR="00CB33C7" w:rsidRPr="00C2587D" w14:paraId="0CC1FEFD" w14:textId="77777777" w:rsidTr="00EA6E27">
        <w:trPr>
          <w:jc w:val="right"/>
        </w:trPr>
        <w:tc>
          <w:tcPr>
            <w:tcW w:w="3425" w:type="dxa"/>
            <w:vMerge w:val="restart"/>
            <w:shd w:val="clear" w:color="auto" w:fill="FFFFFF"/>
            <w:vAlign w:val="center"/>
          </w:tcPr>
          <w:p w14:paraId="2D67C633" w14:textId="77777777" w:rsidR="00CB33C7" w:rsidRPr="00BD5437" w:rsidRDefault="00CB33C7" w:rsidP="00BD5437">
            <w:pPr>
              <w:contextualSpacing/>
              <w:rPr>
                <w:rFonts w:cs="Arial"/>
                <w:b/>
                <w:bCs/>
                <w:color w:val="000000"/>
                <w:szCs w:val="22"/>
              </w:rPr>
            </w:pPr>
            <w:r w:rsidRPr="00BD5437">
              <w:rPr>
                <w:rFonts w:cs="Arial"/>
                <w:b/>
                <w:bCs/>
                <w:color w:val="000000"/>
                <w:szCs w:val="22"/>
              </w:rPr>
              <w:t>Орієнтовна вартість проєкту, тис. грн., в тому числі:</w:t>
            </w:r>
          </w:p>
        </w:tc>
        <w:tc>
          <w:tcPr>
            <w:tcW w:w="1254" w:type="dxa"/>
            <w:shd w:val="clear" w:color="auto" w:fill="E6E6E6"/>
            <w:vAlign w:val="center"/>
          </w:tcPr>
          <w:p w14:paraId="012B5FA2" w14:textId="77777777" w:rsidR="00CB33C7" w:rsidRPr="00BD5437" w:rsidRDefault="00CB33C7" w:rsidP="00BD5437">
            <w:pPr>
              <w:contextualSpacing/>
              <w:jc w:val="center"/>
              <w:rPr>
                <w:rFonts w:cs="Arial"/>
                <w:b/>
                <w:color w:val="000000"/>
                <w:szCs w:val="22"/>
                <w:lang w:eastAsia="it-IT"/>
              </w:rPr>
            </w:pPr>
            <w:r w:rsidRPr="00BD5437">
              <w:rPr>
                <w:rFonts w:cs="Arial"/>
                <w:b/>
                <w:color w:val="000000"/>
                <w:szCs w:val="22"/>
                <w:lang w:eastAsia="it-IT"/>
              </w:rPr>
              <w:t>2025</w:t>
            </w:r>
          </w:p>
        </w:tc>
        <w:tc>
          <w:tcPr>
            <w:tcW w:w="1412" w:type="dxa"/>
            <w:gridSpan w:val="3"/>
            <w:shd w:val="clear" w:color="auto" w:fill="E6E6E6"/>
            <w:vAlign w:val="center"/>
          </w:tcPr>
          <w:p w14:paraId="780079CD" w14:textId="77777777" w:rsidR="00CB33C7" w:rsidRPr="00BD5437" w:rsidRDefault="00CB33C7" w:rsidP="00BD5437">
            <w:pPr>
              <w:contextualSpacing/>
              <w:jc w:val="center"/>
              <w:rPr>
                <w:rFonts w:cs="Arial"/>
                <w:b/>
                <w:color w:val="000000"/>
                <w:szCs w:val="22"/>
                <w:lang w:eastAsia="it-IT"/>
              </w:rPr>
            </w:pPr>
            <w:r w:rsidRPr="00BD5437">
              <w:rPr>
                <w:rFonts w:cs="Arial"/>
                <w:b/>
                <w:color w:val="000000"/>
                <w:szCs w:val="22"/>
                <w:lang w:eastAsia="it-IT"/>
              </w:rPr>
              <w:t>2026</w:t>
            </w:r>
          </w:p>
        </w:tc>
        <w:tc>
          <w:tcPr>
            <w:tcW w:w="1281" w:type="dxa"/>
            <w:tcBorders>
              <w:bottom w:val="single" w:sz="4" w:space="0" w:color="auto"/>
            </w:tcBorders>
            <w:shd w:val="clear" w:color="auto" w:fill="E6E6E6"/>
            <w:vAlign w:val="center"/>
          </w:tcPr>
          <w:p w14:paraId="454DB744" w14:textId="77777777" w:rsidR="00CB33C7" w:rsidRPr="00BD5437" w:rsidRDefault="00CB33C7" w:rsidP="00BD5437">
            <w:pPr>
              <w:contextualSpacing/>
              <w:jc w:val="center"/>
              <w:rPr>
                <w:rFonts w:cs="Arial"/>
                <w:b/>
                <w:color w:val="000000"/>
                <w:szCs w:val="22"/>
                <w:lang w:eastAsia="it-IT"/>
              </w:rPr>
            </w:pPr>
            <w:r w:rsidRPr="00BD5437">
              <w:rPr>
                <w:rFonts w:cs="Arial"/>
                <w:b/>
                <w:color w:val="000000"/>
                <w:szCs w:val="22"/>
                <w:lang w:eastAsia="it-IT"/>
              </w:rPr>
              <w:t>2027</w:t>
            </w:r>
          </w:p>
        </w:tc>
        <w:tc>
          <w:tcPr>
            <w:tcW w:w="1276" w:type="dxa"/>
            <w:gridSpan w:val="2"/>
            <w:shd w:val="clear" w:color="auto" w:fill="E6E6E6"/>
            <w:vAlign w:val="center"/>
          </w:tcPr>
          <w:p w14:paraId="517C9294" w14:textId="77777777" w:rsidR="00CB33C7" w:rsidRPr="00BD5437" w:rsidRDefault="00CB33C7" w:rsidP="00BD5437">
            <w:pPr>
              <w:contextualSpacing/>
              <w:jc w:val="center"/>
              <w:rPr>
                <w:rFonts w:cs="Arial"/>
                <w:b/>
                <w:color w:val="000000"/>
                <w:szCs w:val="22"/>
                <w:lang w:eastAsia="it-IT"/>
              </w:rPr>
            </w:pPr>
            <w:r w:rsidRPr="00BD5437">
              <w:rPr>
                <w:rFonts w:cs="Arial"/>
                <w:b/>
                <w:color w:val="000000"/>
                <w:szCs w:val="22"/>
                <w:lang w:eastAsia="it-IT"/>
              </w:rPr>
              <w:t>2028</w:t>
            </w:r>
          </w:p>
        </w:tc>
        <w:tc>
          <w:tcPr>
            <w:tcW w:w="1571" w:type="dxa"/>
            <w:gridSpan w:val="2"/>
            <w:shd w:val="clear" w:color="auto" w:fill="E6E6E6"/>
            <w:vAlign w:val="center"/>
          </w:tcPr>
          <w:p w14:paraId="331020AB" w14:textId="77777777" w:rsidR="00CB33C7" w:rsidRPr="00BD5437" w:rsidRDefault="00CB33C7" w:rsidP="00BD5437">
            <w:pPr>
              <w:contextualSpacing/>
              <w:jc w:val="center"/>
              <w:rPr>
                <w:rFonts w:cs="Arial"/>
                <w:b/>
                <w:color w:val="000000"/>
                <w:szCs w:val="22"/>
                <w:lang w:eastAsia="it-IT"/>
              </w:rPr>
            </w:pPr>
            <w:r w:rsidRPr="00BD5437">
              <w:rPr>
                <w:rFonts w:cs="Arial"/>
                <w:b/>
                <w:color w:val="000000"/>
                <w:szCs w:val="22"/>
                <w:lang w:eastAsia="it-IT"/>
              </w:rPr>
              <w:t>РАЗОМ</w:t>
            </w:r>
          </w:p>
        </w:tc>
      </w:tr>
      <w:tr w:rsidR="00CB33C7" w:rsidRPr="00C2587D" w14:paraId="1ED40C45" w14:textId="77777777" w:rsidTr="00BD5437">
        <w:trPr>
          <w:jc w:val="right"/>
        </w:trPr>
        <w:tc>
          <w:tcPr>
            <w:tcW w:w="3425" w:type="dxa"/>
            <w:vMerge/>
            <w:shd w:val="clear" w:color="auto" w:fill="FFFFFF"/>
            <w:vAlign w:val="center"/>
          </w:tcPr>
          <w:p w14:paraId="095FF29A" w14:textId="77777777" w:rsidR="00CB33C7" w:rsidRPr="00BD5437" w:rsidRDefault="00CB33C7" w:rsidP="00BD5437">
            <w:pPr>
              <w:contextualSpacing/>
              <w:rPr>
                <w:rFonts w:cs="Arial"/>
                <w:b/>
                <w:bCs/>
                <w:color w:val="000000"/>
                <w:szCs w:val="22"/>
              </w:rPr>
            </w:pPr>
          </w:p>
        </w:tc>
        <w:tc>
          <w:tcPr>
            <w:tcW w:w="1254" w:type="dxa"/>
            <w:vAlign w:val="center"/>
          </w:tcPr>
          <w:p w14:paraId="40EAA462" w14:textId="77777777" w:rsidR="00CB33C7" w:rsidRPr="00BD5437" w:rsidRDefault="00CB33C7" w:rsidP="00BD5437">
            <w:pPr>
              <w:contextualSpacing/>
              <w:jc w:val="center"/>
              <w:rPr>
                <w:rFonts w:cs="Arial"/>
                <w:b/>
                <w:color w:val="000000"/>
                <w:szCs w:val="22"/>
                <w:lang w:eastAsia="it-IT"/>
              </w:rPr>
            </w:pPr>
          </w:p>
        </w:tc>
        <w:tc>
          <w:tcPr>
            <w:tcW w:w="1412" w:type="dxa"/>
            <w:gridSpan w:val="3"/>
            <w:shd w:val="clear" w:color="auto" w:fill="FFFFFF"/>
          </w:tcPr>
          <w:p w14:paraId="04B1246A" w14:textId="77777777" w:rsidR="00CB33C7" w:rsidRPr="00BD5437" w:rsidRDefault="00CB33C7" w:rsidP="00BD5437">
            <w:pPr>
              <w:contextualSpacing/>
              <w:jc w:val="center"/>
              <w:rPr>
                <w:rFonts w:cs="Arial"/>
                <w:color w:val="000000"/>
                <w:szCs w:val="22"/>
                <w:lang w:eastAsia="it-IT"/>
              </w:rPr>
            </w:pPr>
            <w:r w:rsidRPr="00BD5437">
              <w:rPr>
                <w:rFonts w:cs="Arial"/>
                <w:color w:val="000000"/>
                <w:szCs w:val="22"/>
                <w:lang w:eastAsia="it-IT"/>
              </w:rPr>
              <w:t>491,694</w:t>
            </w:r>
          </w:p>
        </w:tc>
        <w:tc>
          <w:tcPr>
            <w:tcW w:w="1281" w:type="dxa"/>
            <w:shd w:val="clear" w:color="auto" w:fill="auto"/>
          </w:tcPr>
          <w:p w14:paraId="1ACE9DB3" w14:textId="77777777" w:rsidR="00CB33C7" w:rsidRPr="00BD5437" w:rsidRDefault="00CB33C7" w:rsidP="00BD5437">
            <w:pPr>
              <w:contextualSpacing/>
              <w:jc w:val="center"/>
              <w:rPr>
                <w:rFonts w:cs="Arial"/>
                <w:b/>
                <w:color w:val="000000"/>
                <w:szCs w:val="22"/>
                <w:lang w:eastAsia="it-IT"/>
              </w:rPr>
            </w:pPr>
          </w:p>
        </w:tc>
        <w:tc>
          <w:tcPr>
            <w:tcW w:w="1276" w:type="dxa"/>
            <w:gridSpan w:val="2"/>
            <w:shd w:val="clear" w:color="auto" w:fill="FFFFFF"/>
          </w:tcPr>
          <w:p w14:paraId="03848F6F" w14:textId="77777777" w:rsidR="00CB33C7" w:rsidRPr="00BD5437" w:rsidRDefault="00CB33C7" w:rsidP="00BD5437">
            <w:pPr>
              <w:contextualSpacing/>
              <w:jc w:val="center"/>
              <w:rPr>
                <w:rFonts w:cs="Arial"/>
                <w:b/>
                <w:color w:val="000000"/>
                <w:szCs w:val="22"/>
                <w:lang w:eastAsia="it-IT"/>
              </w:rPr>
            </w:pPr>
          </w:p>
        </w:tc>
        <w:tc>
          <w:tcPr>
            <w:tcW w:w="1571" w:type="dxa"/>
            <w:gridSpan w:val="2"/>
            <w:shd w:val="clear" w:color="auto" w:fill="FFFFFF"/>
          </w:tcPr>
          <w:p w14:paraId="0F7F39AB" w14:textId="77777777" w:rsidR="00CB33C7" w:rsidRPr="00BD5437" w:rsidRDefault="00CB33C7" w:rsidP="00BD5437">
            <w:pPr>
              <w:contextualSpacing/>
              <w:jc w:val="center"/>
              <w:rPr>
                <w:rFonts w:cs="Arial"/>
                <w:b/>
                <w:color w:val="000000"/>
                <w:szCs w:val="22"/>
                <w:lang w:eastAsia="it-IT"/>
              </w:rPr>
            </w:pPr>
            <w:r w:rsidRPr="00BD5437">
              <w:rPr>
                <w:rFonts w:cs="Arial"/>
                <w:b/>
                <w:color w:val="000000"/>
                <w:szCs w:val="22"/>
                <w:lang w:eastAsia="it-IT"/>
              </w:rPr>
              <w:t>491,694</w:t>
            </w:r>
          </w:p>
        </w:tc>
      </w:tr>
      <w:tr w:rsidR="00CB33C7" w:rsidRPr="00C2587D" w14:paraId="7ABF4885" w14:textId="77777777" w:rsidTr="00BD5437">
        <w:trPr>
          <w:trHeight w:val="276"/>
          <w:jc w:val="right"/>
        </w:trPr>
        <w:tc>
          <w:tcPr>
            <w:tcW w:w="3425" w:type="dxa"/>
            <w:shd w:val="clear" w:color="auto" w:fill="FFFFFF"/>
            <w:vAlign w:val="center"/>
          </w:tcPr>
          <w:p w14:paraId="47E780EB" w14:textId="77777777" w:rsidR="00CB33C7" w:rsidRPr="00BD5437" w:rsidRDefault="00CB33C7" w:rsidP="00BD5437">
            <w:pPr>
              <w:contextualSpacing/>
              <w:rPr>
                <w:rFonts w:cs="Arial"/>
                <w:b/>
                <w:bCs/>
                <w:color w:val="000000"/>
                <w:szCs w:val="22"/>
              </w:rPr>
            </w:pPr>
            <w:r w:rsidRPr="00BD5437">
              <w:rPr>
                <w:rFonts w:cs="Arial"/>
                <w:b/>
                <w:bCs/>
                <w:color w:val="000000"/>
                <w:szCs w:val="22"/>
              </w:rPr>
              <w:t>по джерелах фінансування:</w:t>
            </w:r>
          </w:p>
        </w:tc>
        <w:tc>
          <w:tcPr>
            <w:tcW w:w="6794" w:type="dxa"/>
            <w:gridSpan w:val="9"/>
          </w:tcPr>
          <w:p w14:paraId="174986A6" w14:textId="77777777" w:rsidR="00CB33C7" w:rsidRPr="00BD5437" w:rsidRDefault="00CB33C7" w:rsidP="00BD5437">
            <w:pPr>
              <w:contextualSpacing/>
              <w:jc w:val="center"/>
              <w:rPr>
                <w:rFonts w:cs="Arial"/>
                <w:color w:val="000000"/>
                <w:szCs w:val="22"/>
                <w:lang w:eastAsia="it-IT"/>
              </w:rPr>
            </w:pPr>
          </w:p>
        </w:tc>
      </w:tr>
      <w:tr w:rsidR="00BD5437" w:rsidRPr="00C2587D" w14:paraId="67F9F6C1" w14:textId="4832FB6E" w:rsidTr="00BD5437">
        <w:trPr>
          <w:trHeight w:val="240"/>
          <w:jc w:val="right"/>
        </w:trPr>
        <w:tc>
          <w:tcPr>
            <w:tcW w:w="3425" w:type="dxa"/>
            <w:shd w:val="clear" w:color="auto" w:fill="FFFFFF"/>
            <w:vAlign w:val="center"/>
          </w:tcPr>
          <w:p w14:paraId="174E1BB1" w14:textId="77777777" w:rsidR="00BD5437" w:rsidRPr="00BD5437" w:rsidRDefault="00BD5437" w:rsidP="00BD5437">
            <w:pPr>
              <w:contextualSpacing/>
              <w:rPr>
                <w:rFonts w:cs="Arial"/>
                <w:b/>
                <w:bCs/>
                <w:color w:val="000000"/>
                <w:szCs w:val="22"/>
              </w:rPr>
            </w:pPr>
            <w:r w:rsidRPr="00BD5437">
              <w:rPr>
                <w:rFonts w:cs="Arial"/>
                <w:color w:val="000000"/>
                <w:szCs w:val="22"/>
              </w:rPr>
              <w:t>- державний бюджет</w:t>
            </w:r>
          </w:p>
        </w:tc>
        <w:tc>
          <w:tcPr>
            <w:tcW w:w="1280" w:type="dxa"/>
            <w:gridSpan w:val="2"/>
          </w:tcPr>
          <w:p w14:paraId="2A891511" w14:textId="77777777" w:rsidR="00BD5437" w:rsidRPr="00BD5437" w:rsidRDefault="00BD5437" w:rsidP="00BD5437">
            <w:pPr>
              <w:contextualSpacing/>
              <w:jc w:val="center"/>
              <w:rPr>
                <w:rFonts w:cs="Arial"/>
                <w:color w:val="000000"/>
                <w:szCs w:val="22"/>
                <w:lang w:eastAsia="it-IT"/>
              </w:rPr>
            </w:pPr>
          </w:p>
        </w:tc>
        <w:tc>
          <w:tcPr>
            <w:tcW w:w="1370" w:type="dxa"/>
          </w:tcPr>
          <w:p w14:paraId="665A044B" w14:textId="77777777" w:rsidR="00BD5437" w:rsidRPr="00BD5437" w:rsidRDefault="00BD5437" w:rsidP="00BD5437">
            <w:pPr>
              <w:contextualSpacing/>
              <w:jc w:val="center"/>
              <w:rPr>
                <w:rFonts w:cs="Arial"/>
                <w:color w:val="000000"/>
                <w:szCs w:val="22"/>
                <w:lang w:eastAsia="it-IT"/>
              </w:rPr>
            </w:pPr>
          </w:p>
        </w:tc>
        <w:tc>
          <w:tcPr>
            <w:tcW w:w="1320" w:type="dxa"/>
            <w:gridSpan w:val="3"/>
          </w:tcPr>
          <w:p w14:paraId="11AAE7C7" w14:textId="77777777" w:rsidR="00BD5437" w:rsidRPr="00BD5437" w:rsidRDefault="00BD5437" w:rsidP="00BD5437">
            <w:pPr>
              <w:contextualSpacing/>
              <w:jc w:val="center"/>
              <w:rPr>
                <w:rFonts w:cs="Arial"/>
                <w:color w:val="000000"/>
                <w:szCs w:val="22"/>
                <w:lang w:eastAsia="it-IT"/>
              </w:rPr>
            </w:pPr>
          </w:p>
        </w:tc>
        <w:tc>
          <w:tcPr>
            <w:tcW w:w="1290" w:type="dxa"/>
            <w:gridSpan w:val="2"/>
          </w:tcPr>
          <w:p w14:paraId="5AC2B842" w14:textId="77777777" w:rsidR="00BD5437" w:rsidRPr="00BD5437" w:rsidRDefault="00BD5437" w:rsidP="00BD5437">
            <w:pPr>
              <w:contextualSpacing/>
              <w:jc w:val="center"/>
              <w:rPr>
                <w:rFonts w:cs="Arial"/>
                <w:color w:val="000000"/>
                <w:szCs w:val="22"/>
                <w:lang w:eastAsia="it-IT"/>
              </w:rPr>
            </w:pPr>
          </w:p>
        </w:tc>
        <w:tc>
          <w:tcPr>
            <w:tcW w:w="1534" w:type="dxa"/>
          </w:tcPr>
          <w:p w14:paraId="66E47B0F" w14:textId="77777777" w:rsidR="00BD5437" w:rsidRPr="00BD5437" w:rsidRDefault="00BD5437" w:rsidP="00BD5437">
            <w:pPr>
              <w:contextualSpacing/>
              <w:jc w:val="center"/>
              <w:rPr>
                <w:rFonts w:cs="Arial"/>
                <w:color w:val="000000"/>
                <w:szCs w:val="22"/>
                <w:lang w:eastAsia="it-IT"/>
              </w:rPr>
            </w:pPr>
          </w:p>
        </w:tc>
      </w:tr>
      <w:tr w:rsidR="00BD5437" w:rsidRPr="00C2587D" w14:paraId="602682AD" w14:textId="5E299F3A" w:rsidTr="00BD5437">
        <w:trPr>
          <w:trHeight w:val="254"/>
          <w:jc w:val="right"/>
        </w:trPr>
        <w:tc>
          <w:tcPr>
            <w:tcW w:w="3425" w:type="dxa"/>
            <w:shd w:val="clear" w:color="auto" w:fill="FFFFFF"/>
            <w:vAlign w:val="center"/>
          </w:tcPr>
          <w:p w14:paraId="7B7C322F" w14:textId="77777777" w:rsidR="00BD5437" w:rsidRPr="00BD5437" w:rsidRDefault="00BD5437" w:rsidP="00BD5437">
            <w:pPr>
              <w:contextualSpacing/>
              <w:rPr>
                <w:rFonts w:cs="Arial"/>
                <w:color w:val="000000"/>
                <w:szCs w:val="22"/>
              </w:rPr>
            </w:pPr>
            <w:r w:rsidRPr="00BD5437">
              <w:rPr>
                <w:rFonts w:cs="Arial"/>
                <w:color w:val="000000"/>
                <w:szCs w:val="22"/>
              </w:rPr>
              <w:t>- обласний бюджет</w:t>
            </w:r>
          </w:p>
        </w:tc>
        <w:tc>
          <w:tcPr>
            <w:tcW w:w="1280" w:type="dxa"/>
            <w:gridSpan w:val="2"/>
          </w:tcPr>
          <w:p w14:paraId="669E40BD" w14:textId="77777777" w:rsidR="00BD5437" w:rsidRPr="00BD5437" w:rsidRDefault="00BD5437" w:rsidP="00BD5437">
            <w:pPr>
              <w:contextualSpacing/>
              <w:jc w:val="center"/>
              <w:rPr>
                <w:rFonts w:cs="Arial"/>
                <w:color w:val="000000"/>
                <w:szCs w:val="22"/>
                <w:lang w:eastAsia="it-IT"/>
              </w:rPr>
            </w:pPr>
          </w:p>
        </w:tc>
        <w:tc>
          <w:tcPr>
            <w:tcW w:w="1370" w:type="dxa"/>
          </w:tcPr>
          <w:p w14:paraId="1A9649AE" w14:textId="77777777" w:rsidR="00BD5437" w:rsidRPr="00BD5437" w:rsidRDefault="00BD5437" w:rsidP="00BD5437">
            <w:pPr>
              <w:contextualSpacing/>
              <w:jc w:val="center"/>
              <w:rPr>
                <w:rFonts w:cs="Arial"/>
                <w:color w:val="000000"/>
                <w:szCs w:val="22"/>
                <w:lang w:eastAsia="it-IT"/>
              </w:rPr>
            </w:pPr>
          </w:p>
        </w:tc>
        <w:tc>
          <w:tcPr>
            <w:tcW w:w="1320" w:type="dxa"/>
            <w:gridSpan w:val="3"/>
          </w:tcPr>
          <w:p w14:paraId="1E10039D" w14:textId="77777777" w:rsidR="00BD5437" w:rsidRPr="00BD5437" w:rsidRDefault="00BD5437" w:rsidP="00BD5437">
            <w:pPr>
              <w:contextualSpacing/>
              <w:jc w:val="center"/>
              <w:rPr>
                <w:rFonts w:cs="Arial"/>
                <w:color w:val="000000"/>
                <w:szCs w:val="22"/>
                <w:lang w:eastAsia="it-IT"/>
              </w:rPr>
            </w:pPr>
          </w:p>
        </w:tc>
        <w:tc>
          <w:tcPr>
            <w:tcW w:w="1290" w:type="dxa"/>
            <w:gridSpan w:val="2"/>
          </w:tcPr>
          <w:p w14:paraId="2A54C6A0" w14:textId="77777777" w:rsidR="00BD5437" w:rsidRPr="00BD5437" w:rsidRDefault="00BD5437" w:rsidP="00BD5437">
            <w:pPr>
              <w:contextualSpacing/>
              <w:jc w:val="center"/>
              <w:rPr>
                <w:rFonts w:cs="Arial"/>
                <w:color w:val="000000"/>
                <w:szCs w:val="22"/>
                <w:lang w:eastAsia="it-IT"/>
              </w:rPr>
            </w:pPr>
          </w:p>
        </w:tc>
        <w:tc>
          <w:tcPr>
            <w:tcW w:w="1534" w:type="dxa"/>
          </w:tcPr>
          <w:p w14:paraId="7DCE662F" w14:textId="77777777" w:rsidR="00BD5437" w:rsidRPr="00BD5437" w:rsidRDefault="00BD5437" w:rsidP="00BD5437">
            <w:pPr>
              <w:contextualSpacing/>
              <w:jc w:val="center"/>
              <w:rPr>
                <w:rFonts w:cs="Arial"/>
                <w:color w:val="000000"/>
                <w:szCs w:val="22"/>
                <w:lang w:eastAsia="it-IT"/>
              </w:rPr>
            </w:pPr>
          </w:p>
        </w:tc>
      </w:tr>
      <w:tr w:rsidR="00BD5437" w:rsidRPr="00C2587D" w14:paraId="796E161E" w14:textId="36429B7B" w:rsidTr="00BD5437">
        <w:trPr>
          <w:trHeight w:val="275"/>
          <w:jc w:val="right"/>
        </w:trPr>
        <w:tc>
          <w:tcPr>
            <w:tcW w:w="3425" w:type="dxa"/>
            <w:shd w:val="clear" w:color="auto" w:fill="FFFFFF"/>
            <w:vAlign w:val="center"/>
          </w:tcPr>
          <w:p w14:paraId="407015E4" w14:textId="77777777" w:rsidR="00BD5437" w:rsidRPr="00BD5437" w:rsidRDefault="00BD5437" w:rsidP="00BD5437">
            <w:pPr>
              <w:contextualSpacing/>
              <w:rPr>
                <w:rFonts w:cs="Arial"/>
                <w:color w:val="000000"/>
                <w:szCs w:val="22"/>
              </w:rPr>
            </w:pPr>
            <w:r w:rsidRPr="00BD5437">
              <w:rPr>
                <w:rFonts w:cs="Arial"/>
                <w:color w:val="000000"/>
                <w:szCs w:val="22"/>
              </w:rPr>
              <w:t>- бюджет Жмеринської МТГ</w:t>
            </w:r>
          </w:p>
        </w:tc>
        <w:tc>
          <w:tcPr>
            <w:tcW w:w="1280" w:type="dxa"/>
            <w:gridSpan w:val="2"/>
          </w:tcPr>
          <w:p w14:paraId="2704AD03" w14:textId="44848AE5" w:rsidR="00BD5437" w:rsidRPr="00BD5437" w:rsidRDefault="00BD5437" w:rsidP="00BD5437">
            <w:pPr>
              <w:contextualSpacing/>
              <w:jc w:val="center"/>
              <w:rPr>
                <w:rFonts w:cs="Arial"/>
                <w:color w:val="000000"/>
                <w:szCs w:val="22"/>
                <w:lang w:eastAsia="it-IT"/>
              </w:rPr>
            </w:pPr>
          </w:p>
        </w:tc>
        <w:tc>
          <w:tcPr>
            <w:tcW w:w="1370" w:type="dxa"/>
          </w:tcPr>
          <w:p w14:paraId="49C04F17" w14:textId="36A0A1ED" w:rsidR="00BD5437" w:rsidRPr="00BD5437" w:rsidRDefault="00BD5437" w:rsidP="00BD5437">
            <w:pPr>
              <w:contextualSpacing/>
              <w:jc w:val="center"/>
              <w:rPr>
                <w:rFonts w:cs="Arial"/>
                <w:color w:val="000000"/>
                <w:szCs w:val="22"/>
                <w:lang w:eastAsia="it-IT"/>
              </w:rPr>
            </w:pPr>
            <w:r w:rsidRPr="00BD5437">
              <w:rPr>
                <w:rFonts w:cs="Arial"/>
                <w:color w:val="000000"/>
                <w:szCs w:val="22"/>
                <w:lang w:eastAsia="it-IT"/>
              </w:rPr>
              <w:t>491,694</w:t>
            </w:r>
          </w:p>
        </w:tc>
        <w:tc>
          <w:tcPr>
            <w:tcW w:w="1320" w:type="dxa"/>
            <w:gridSpan w:val="3"/>
          </w:tcPr>
          <w:p w14:paraId="0D62FA2D" w14:textId="77777777" w:rsidR="00BD5437" w:rsidRPr="00BD5437" w:rsidRDefault="00BD5437" w:rsidP="00BD5437">
            <w:pPr>
              <w:contextualSpacing/>
              <w:jc w:val="center"/>
              <w:rPr>
                <w:rFonts w:cs="Arial"/>
                <w:color w:val="000000"/>
                <w:szCs w:val="22"/>
                <w:lang w:eastAsia="it-IT"/>
              </w:rPr>
            </w:pPr>
          </w:p>
        </w:tc>
        <w:tc>
          <w:tcPr>
            <w:tcW w:w="1290" w:type="dxa"/>
            <w:gridSpan w:val="2"/>
          </w:tcPr>
          <w:p w14:paraId="2FE1CCE2" w14:textId="77777777" w:rsidR="00BD5437" w:rsidRPr="00BD5437" w:rsidRDefault="00BD5437" w:rsidP="00BD5437">
            <w:pPr>
              <w:contextualSpacing/>
              <w:jc w:val="center"/>
              <w:rPr>
                <w:rFonts w:cs="Arial"/>
                <w:color w:val="000000"/>
                <w:szCs w:val="22"/>
                <w:lang w:eastAsia="it-IT"/>
              </w:rPr>
            </w:pPr>
          </w:p>
        </w:tc>
        <w:tc>
          <w:tcPr>
            <w:tcW w:w="1534" w:type="dxa"/>
          </w:tcPr>
          <w:p w14:paraId="345388FD" w14:textId="4B70E247" w:rsidR="00BD5437" w:rsidRPr="00BD5437" w:rsidRDefault="00BD5437" w:rsidP="00BD5437">
            <w:pPr>
              <w:contextualSpacing/>
              <w:jc w:val="center"/>
              <w:rPr>
                <w:rFonts w:cs="Arial"/>
                <w:color w:val="000000"/>
                <w:szCs w:val="22"/>
                <w:lang w:eastAsia="it-IT"/>
              </w:rPr>
            </w:pPr>
            <w:r w:rsidRPr="00BD5437">
              <w:rPr>
                <w:rFonts w:cs="Arial"/>
                <w:b/>
                <w:color w:val="000000"/>
                <w:szCs w:val="22"/>
                <w:lang w:eastAsia="it-IT"/>
              </w:rPr>
              <w:t>491,694</w:t>
            </w:r>
          </w:p>
        </w:tc>
      </w:tr>
      <w:tr w:rsidR="00BD5437" w:rsidRPr="00C2587D" w14:paraId="763CAE55" w14:textId="2D9DAC9E" w:rsidTr="00BD5437">
        <w:trPr>
          <w:trHeight w:val="226"/>
          <w:jc w:val="right"/>
        </w:trPr>
        <w:tc>
          <w:tcPr>
            <w:tcW w:w="3425" w:type="dxa"/>
            <w:shd w:val="clear" w:color="auto" w:fill="FFFFFF"/>
            <w:vAlign w:val="center"/>
          </w:tcPr>
          <w:p w14:paraId="0F53686D" w14:textId="77777777" w:rsidR="00BD5437" w:rsidRPr="00BD5437" w:rsidRDefault="00BD5437" w:rsidP="00BD5437">
            <w:pPr>
              <w:contextualSpacing/>
              <w:rPr>
                <w:rFonts w:cs="Arial"/>
                <w:color w:val="000000"/>
                <w:szCs w:val="22"/>
              </w:rPr>
            </w:pPr>
            <w:r w:rsidRPr="00BD5437">
              <w:rPr>
                <w:rFonts w:cs="Arial"/>
                <w:color w:val="000000"/>
                <w:szCs w:val="22"/>
              </w:rPr>
              <w:t>- інші джерела фінансування</w:t>
            </w:r>
          </w:p>
        </w:tc>
        <w:tc>
          <w:tcPr>
            <w:tcW w:w="1280" w:type="dxa"/>
            <w:gridSpan w:val="2"/>
            <w:vAlign w:val="center"/>
          </w:tcPr>
          <w:p w14:paraId="0DD9C3E4" w14:textId="77777777" w:rsidR="00BD5437" w:rsidRPr="00BD5437" w:rsidRDefault="00BD5437" w:rsidP="00BD5437">
            <w:pPr>
              <w:contextualSpacing/>
              <w:jc w:val="both"/>
              <w:rPr>
                <w:rFonts w:cs="Arial"/>
                <w:color w:val="000000"/>
                <w:szCs w:val="22"/>
                <w:lang w:eastAsia="it-IT"/>
              </w:rPr>
            </w:pPr>
          </w:p>
        </w:tc>
        <w:tc>
          <w:tcPr>
            <w:tcW w:w="1370" w:type="dxa"/>
            <w:vAlign w:val="center"/>
          </w:tcPr>
          <w:p w14:paraId="3D50F57A" w14:textId="77777777" w:rsidR="00BD5437" w:rsidRPr="00BD5437" w:rsidRDefault="00BD5437" w:rsidP="00BD5437">
            <w:pPr>
              <w:contextualSpacing/>
              <w:jc w:val="both"/>
              <w:rPr>
                <w:rFonts w:cs="Arial"/>
                <w:color w:val="000000"/>
                <w:szCs w:val="22"/>
                <w:lang w:eastAsia="it-IT"/>
              </w:rPr>
            </w:pPr>
          </w:p>
        </w:tc>
        <w:tc>
          <w:tcPr>
            <w:tcW w:w="1320" w:type="dxa"/>
            <w:gridSpan w:val="3"/>
            <w:vAlign w:val="center"/>
          </w:tcPr>
          <w:p w14:paraId="5B13DED3" w14:textId="77777777" w:rsidR="00BD5437" w:rsidRPr="00BD5437" w:rsidRDefault="00BD5437" w:rsidP="00BD5437">
            <w:pPr>
              <w:contextualSpacing/>
              <w:jc w:val="both"/>
              <w:rPr>
                <w:rFonts w:cs="Arial"/>
                <w:color w:val="000000"/>
                <w:szCs w:val="22"/>
                <w:lang w:eastAsia="it-IT"/>
              </w:rPr>
            </w:pPr>
          </w:p>
        </w:tc>
        <w:tc>
          <w:tcPr>
            <w:tcW w:w="1290" w:type="dxa"/>
            <w:gridSpan w:val="2"/>
            <w:vAlign w:val="center"/>
          </w:tcPr>
          <w:p w14:paraId="7CCE7F0E" w14:textId="77777777" w:rsidR="00BD5437" w:rsidRPr="00BD5437" w:rsidRDefault="00BD5437" w:rsidP="00BD5437">
            <w:pPr>
              <w:contextualSpacing/>
              <w:jc w:val="both"/>
              <w:rPr>
                <w:rFonts w:cs="Arial"/>
                <w:color w:val="000000"/>
                <w:szCs w:val="22"/>
                <w:lang w:eastAsia="it-IT"/>
              </w:rPr>
            </w:pPr>
          </w:p>
        </w:tc>
        <w:tc>
          <w:tcPr>
            <w:tcW w:w="1534" w:type="dxa"/>
            <w:vAlign w:val="center"/>
          </w:tcPr>
          <w:p w14:paraId="14F40364" w14:textId="77777777" w:rsidR="00BD5437" w:rsidRPr="00BD5437" w:rsidRDefault="00BD5437" w:rsidP="00BD5437">
            <w:pPr>
              <w:contextualSpacing/>
              <w:jc w:val="both"/>
              <w:rPr>
                <w:rFonts w:cs="Arial"/>
                <w:color w:val="000000"/>
                <w:szCs w:val="22"/>
                <w:lang w:eastAsia="it-IT"/>
              </w:rPr>
            </w:pPr>
          </w:p>
        </w:tc>
      </w:tr>
      <w:tr w:rsidR="00BD5437" w:rsidRPr="00C2587D" w14:paraId="27DF1832" w14:textId="77777777" w:rsidTr="00EA6E27">
        <w:trPr>
          <w:jc w:val="right"/>
        </w:trPr>
        <w:tc>
          <w:tcPr>
            <w:tcW w:w="3425" w:type="dxa"/>
            <w:shd w:val="clear" w:color="auto" w:fill="FFFFFF"/>
            <w:vAlign w:val="center"/>
          </w:tcPr>
          <w:p w14:paraId="10F8EF0A" w14:textId="77777777" w:rsidR="00BD5437" w:rsidRPr="00BD5437" w:rsidRDefault="00BD5437" w:rsidP="00BD5437">
            <w:pPr>
              <w:contextualSpacing/>
              <w:rPr>
                <w:rFonts w:cs="Arial"/>
                <w:b/>
                <w:bCs/>
                <w:color w:val="000000"/>
                <w:szCs w:val="22"/>
              </w:rPr>
            </w:pPr>
            <w:r w:rsidRPr="00BD5437">
              <w:rPr>
                <w:rFonts w:cs="Arial"/>
                <w:b/>
                <w:color w:val="000000"/>
                <w:szCs w:val="22"/>
              </w:rPr>
              <w:t>Відповідальний виконавець проєкту:</w:t>
            </w:r>
          </w:p>
        </w:tc>
        <w:tc>
          <w:tcPr>
            <w:tcW w:w="6794" w:type="dxa"/>
            <w:gridSpan w:val="9"/>
            <w:vAlign w:val="center"/>
          </w:tcPr>
          <w:p w14:paraId="3B6EE1F4" w14:textId="21AC573F" w:rsidR="00BD5437" w:rsidRPr="00BD5437" w:rsidRDefault="00BD5437" w:rsidP="00BD5437">
            <w:pPr>
              <w:contextualSpacing/>
              <w:jc w:val="both"/>
              <w:rPr>
                <w:rFonts w:cs="Arial"/>
                <w:color w:val="000000"/>
                <w:szCs w:val="22"/>
                <w:lang w:eastAsia="it-IT"/>
              </w:rPr>
            </w:pPr>
            <w:r w:rsidRPr="00BD5437">
              <w:rPr>
                <w:rFonts w:cs="Arial"/>
                <w:color w:val="000000"/>
                <w:szCs w:val="22"/>
                <w:lang w:eastAsia="it-IT"/>
              </w:rPr>
              <w:t>Управління ЖКГ.</w:t>
            </w:r>
          </w:p>
        </w:tc>
      </w:tr>
      <w:tr w:rsidR="00BD5437" w:rsidRPr="00C2587D" w14:paraId="631A67D7" w14:textId="77777777" w:rsidTr="00EA6E27">
        <w:trPr>
          <w:jc w:val="right"/>
        </w:trPr>
        <w:tc>
          <w:tcPr>
            <w:tcW w:w="3425" w:type="dxa"/>
            <w:shd w:val="clear" w:color="auto" w:fill="FFFFFF"/>
            <w:vAlign w:val="center"/>
          </w:tcPr>
          <w:p w14:paraId="34B005BD" w14:textId="77777777" w:rsidR="00BD5437" w:rsidRPr="00BD5437" w:rsidRDefault="00BD5437" w:rsidP="00BD5437">
            <w:pPr>
              <w:contextualSpacing/>
              <w:rPr>
                <w:rFonts w:cs="Arial"/>
                <w:b/>
                <w:bCs/>
                <w:color w:val="000000"/>
                <w:szCs w:val="22"/>
              </w:rPr>
            </w:pPr>
            <w:r w:rsidRPr="00BD5437">
              <w:rPr>
                <w:rFonts w:cs="Arial"/>
                <w:b/>
                <w:bCs/>
                <w:color w:val="000000"/>
                <w:szCs w:val="22"/>
              </w:rPr>
              <w:t>Інше:</w:t>
            </w:r>
          </w:p>
        </w:tc>
        <w:tc>
          <w:tcPr>
            <w:tcW w:w="6794" w:type="dxa"/>
            <w:gridSpan w:val="9"/>
            <w:vAlign w:val="center"/>
          </w:tcPr>
          <w:p w14:paraId="21F22FA4" w14:textId="77777777" w:rsidR="00BD5437" w:rsidRPr="00BD5437" w:rsidRDefault="00BD5437" w:rsidP="00BD5437">
            <w:pPr>
              <w:contextualSpacing/>
              <w:rPr>
                <w:rFonts w:cs="Arial"/>
                <w:color w:val="000000"/>
                <w:szCs w:val="22"/>
                <w:lang w:eastAsia="it-IT"/>
              </w:rPr>
            </w:pPr>
          </w:p>
        </w:tc>
      </w:tr>
    </w:tbl>
    <w:p w14:paraId="530FB3BF" w14:textId="68E1A18D" w:rsidR="00CB33C7" w:rsidRDefault="00CB33C7" w:rsidP="00CB33C7"/>
    <w:p w14:paraId="32FF9F8D" w14:textId="77777777" w:rsidR="00BD5437" w:rsidRPr="00C2587D" w:rsidRDefault="00BD5437" w:rsidP="00CB33C7"/>
    <w:p w14:paraId="1C6F932F" w14:textId="77777777" w:rsidR="00CB33C7" w:rsidRPr="00C2587D" w:rsidRDefault="00CB33C7" w:rsidP="00CB33C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7F6E4205" w14:textId="77777777" w:rsidR="00CB33C7" w:rsidRPr="00C2587D" w:rsidRDefault="00CB33C7" w:rsidP="00CB33C7">
      <w:pPr>
        <w:jc w:val="center"/>
        <w:rPr>
          <w:rFonts w:cs="Arial"/>
          <w:b/>
          <w:color w:val="000000"/>
          <w:szCs w:val="22"/>
        </w:rPr>
      </w:pPr>
      <w:r w:rsidRPr="00C2587D">
        <w:rPr>
          <w:rFonts w:cs="Arial"/>
          <w:b/>
          <w:color w:val="000000"/>
          <w:szCs w:val="22"/>
        </w:rPr>
        <w:t>до Плану заходів з реалізації Стратегії</w:t>
      </w:r>
    </w:p>
    <w:p w14:paraId="43E7B2C0" w14:textId="77777777" w:rsidR="00CB33C7" w:rsidRPr="00C2587D" w:rsidRDefault="00CB33C7" w:rsidP="00CB33C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96"/>
        <w:gridCol w:w="1300"/>
        <w:gridCol w:w="16"/>
        <w:gridCol w:w="1281"/>
        <w:gridCol w:w="33"/>
        <w:gridCol w:w="1243"/>
        <w:gridCol w:w="17"/>
        <w:gridCol w:w="1554"/>
      </w:tblGrid>
      <w:tr w:rsidR="00CB33C7" w:rsidRPr="00C2587D" w14:paraId="5DC935CF" w14:textId="77777777" w:rsidTr="00EA6E27">
        <w:trPr>
          <w:jc w:val="right"/>
        </w:trPr>
        <w:tc>
          <w:tcPr>
            <w:tcW w:w="3425" w:type="dxa"/>
            <w:vAlign w:val="center"/>
          </w:tcPr>
          <w:p w14:paraId="2AC1502F" w14:textId="77777777" w:rsidR="00CB33C7" w:rsidRPr="00BD5437" w:rsidRDefault="00CB33C7" w:rsidP="00BD5437">
            <w:pPr>
              <w:rPr>
                <w:rFonts w:cs="Arial"/>
                <w:b/>
                <w:bCs/>
                <w:color w:val="000000"/>
                <w:szCs w:val="22"/>
              </w:rPr>
            </w:pPr>
            <w:r w:rsidRPr="00BD5437">
              <w:rPr>
                <w:rFonts w:cs="Arial"/>
                <w:b/>
                <w:bCs/>
                <w:color w:val="000000"/>
                <w:szCs w:val="22"/>
              </w:rPr>
              <w:t>Назва проєкту:</w:t>
            </w:r>
          </w:p>
        </w:tc>
        <w:tc>
          <w:tcPr>
            <w:tcW w:w="6794" w:type="dxa"/>
            <w:gridSpan w:val="9"/>
          </w:tcPr>
          <w:p w14:paraId="552DEC25" w14:textId="77777777" w:rsidR="00CB33C7" w:rsidRPr="00BD5437" w:rsidRDefault="00CB33C7" w:rsidP="00BD5437">
            <w:pPr>
              <w:jc w:val="both"/>
              <w:rPr>
                <w:rFonts w:cs="Arial"/>
                <w:b/>
                <w:szCs w:val="22"/>
                <w:lang w:eastAsia="it-IT"/>
              </w:rPr>
            </w:pPr>
            <w:r w:rsidRPr="00BD5437">
              <w:rPr>
                <w:rFonts w:eastAsia="Arial" w:cs="Arial"/>
                <w:b/>
                <w:color w:val="000000" w:themeColor="text1"/>
                <w:szCs w:val="22"/>
                <w:lang w:eastAsia="en-US"/>
              </w:rPr>
              <w:t>Капітальний ремонт дорожнього покриття по вул. Шкільна (від буд. №5), вул. Космонавтів (буд. №39-буд. №42), вул. Соборна (до буд. №86 по вул. Жовтнева) в с. Людавка Жмеринського району Вінницької області (коригування)</w:t>
            </w:r>
          </w:p>
        </w:tc>
      </w:tr>
      <w:tr w:rsidR="00CB33C7" w:rsidRPr="00C2587D" w14:paraId="4312F596" w14:textId="77777777" w:rsidTr="00EA6E27">
        <w:trPr>
          <w:jc w:val="right"/>
        </w:trPr>
        <w:tc>
          <w:tcPr>
            <w:tcW w:w="3425" w:type="dxa"/>
          </w:tcPr>
          <w:p w14:paraId="0B223565" w14:textId="77777777" w:rsidR="00CB33C7" w:rsidRPr="00BD5437" w:rsidRDefault="00CB33C7" w:rsidP="00BD5437">
            <w:pPr>
              <w:rPr>
                <w:rFonts w:cs="Arial"/>
                <w:szCs w:val="22"/>
                <w:lang w:eastAsia="it-IT"/>
              </w:rPr>
            </w:pPr>
            <w:r w:rsidRPr="00BD5437">
              <w:rPr>
                <w:rFonts w:cs="Arial"/>
                <w:b/>
                <w:bCs/>
                <w:szCs w:val="22"/>
              </w:rPr>
              <w:t>Ваші контакти</w:t>
            </w:r>
            <w:r w:rsidRPr="00BD5437">
              <w:rPr>
                <w:rFonts w:cs="Arial"/>
                <w:szCs w:val="22"/>
                <w:lang w:eastAsia="it-IT"/>
              </w:rPr>
              <w:t>:</w:t>
            </w:r>
          </w:p>
          <w:p w14:paraId="3A672C73" w14:textId="77777777" w:rsidR="00CB33C7" w:rsidRPr="00BD5437" w:rsidRDefault="00CB33C7" w:rsidP="00BD5437">
            <w:pPr>
              <w:rPr>
                <w:rFonts w:cs="Arial"/>
                <w:b/>
                <w:bCs/>
                <w:szCs w:val="22"/>
              </w:rPr>
            </w:pPr>
            <w:r w:rsidRPr="00BD5437">
              <w:rPr>
                <w:rFonts w:cs="Arial"/>
                <w:szCs w:val="22"/>
                <w:lang w:eastAsia="it-IT"/>
              </w:rPr>
              <w:t>Назва установи, організації, підприємства</w:t>
            </w:r>
          </w:p>
        </w:tc>
        <w:tc>
          <w:tcPr>
            <w:tcW w:w="6794" w:type="dxa"/>
            <w:gridSpan w:val="9"/>
          </w:tcPr>
          <w:p w14:paraId="2320F991" w14:textId="77777777" w:rsidR="00CB33C7" w:rsidRPr="00BD5437" w:rsidRDefault="00CB33C7" w:rsidP="00BD5437">
            <w:pPr>
              <w:rPr>
                <w:rFonts w:cs="Arial"/>
                <w:szCs w:val="22"/>
                <w:lang w:eastAsia="it-IT"/>
              </w:rPr>
            </w:pPr>
            <w:r w:rsidRPr="00BD5437">
              <w:rPr>
                <w:rFonts w:cs="Arial"/>
                <w:szCs w:val="22"/>
                <w:lang w:eastAsia="it-IT"/>
              </w:rPr>
              <w:t>Управління житлово-комунального господарства Жмеринської міської ради</w:t>
            </w:r>
          </w:p>
        </w:tc>
      </w:tr>
      <w:tr w:rsidR="00CB33C7" w:rsidRPr="00C2587D" w14:paraId="1F7C353F" w14:textId="77777777" w:rsidTr="00EA6E27">
        <w:trPr>
          <w:jc w:val="right"/>
        </w:trPr>
        <w:tc>
          <w:tcPr>
            <w:tcW w:w="3425" w:type="dxa"/>
          </w:tcPr>
          <w:p w14:paraId="49644107" w14:textId="77777777" w:rsidR="00CB33C7" w:rsidRPr="00BD5437" w:rsidRDefault="00CB33C7" w:rsidP="00BD5437">
            <w:pPr>
              <w:rPr>
                <w:rFonts w:cs="Arial"/>
                <w:b/>
                <w:bCs/>
                <w:szCs w:val="22"/>
              </w:rPr>
            </w:pPr>
            <w:r w:rsidRPr="00BD5437">
              <w:rPr>
                <w:rFonts w:cs="Arial"/>
                <w:szCs w:val="22"/>
                <w:lang w:eastAsia="it-IT"/>
              </w:rPr>
              <w:t>Прізвище Ім’я По-батькові:</w:t>
            </w:r>
          </w:p>
        </w:tc>
        <w:tc>
          <w:tcPr>
            <w:tcW w:w="6794" w:type="dxa"/>
            <w:gridSpan w:val="9"/>
          </w:tcPr>
          <w:p w14:paraId="261F729A" w14:textId="77777777" w:rsidR="00CB33C7" w:rsidRPr="00BD5437" w:rsidRDefault="00CB33C7" w:rsidP="00BD5437">
            <w:pPr>
              <w:rPr>
                <w:rFonts w:cs="Arial"/>
                <w:szCs w:val="22"/>
                <w:lang w:eastAsia="it-IT"/>
              </w:rPr>
            </w:pPr>
            <w:r w:rsidRPr="00BD5437">
              <w:rPr>
                <w:rFonts w:cs="Arial"/>
                <w:szCs w:val="22"/>
                <w:lang w:eastAsia="it-IT"/>
              </w:rPr>
              <w:t>Оленич Андрій Васильович</w:t>
            </w:r>
          </w:p>
        </w:tc>
      </w:tr>
      <w:tr w:rsidR="00CB33C7" w:rsidRPr="00C2587D" w14:paraId="6E6E8D0C" w14:textId="77777777" w:rsidTr="00EA6E27">
        <w:trPr>
          <w:jc w:val="right"/>
        </w:trPr>
        <w:tc>
          <w:tcPr>
            <w:tcW w:w="3425" w:type="dxa"/>
          </w:tcPr>
          <w:p w14:paraId="7B13674F" w14:textId="77777777" w:rsidR="00CB33C7" w:rsidRPr="00BD5437" w:rsidRDefault="00CB33C7" w:rsidP="00BD5437">
            <w:pPr>
              <w:rPr>
                <w:rFonts w:cs="Arial"/>
                <w:b/>
                <w:bCs/>
                <w:szCs w:val="22"/>
              </w:rPr>
            </w:pPr>
            <w:r w:rsidRPr="00BD5437">
              <w:rPr>
                <w:rFonts w:cs="Arial"/>
                <w:szCs w:val="22"/>
                <w:lang w:eastAsia="it-IT"/>
              </w:rPr>
              <w:t>Телефон (мобільний):</w:t>
            </w:r>
          </w:p>
        </w:tc>
        <w:tc>
          <w:tcPr>
            <w:tcW w:w="6794" w:type="dxa"/>
            <w:gridSpan w:val="9"/>
          </w:tcPr>
          <w:p w14:paraId="326F2F18" w14:textId="77777777" w:rsidR="00CB33C7" w:rsidRPr="00BD5437" w:rsidRDefault="00CB33C7" w:rsidP="00BD5437">
            <w:pPr>
              <w:rPr>
                <w:rFonts w:cs="Arial"/>
                <w:szCs w:val="22"/>
                <w:lang w:eastAsia="it-IT"/>
              </w:rPr>
            </w:pPr>
            <w:r w:rsidRPr="00BD5437">
              <w:rPr>
                <w:rFonts w:cs="Arial"/>
                <w:szCs w:val="22"/>
                <w:lang w:eastAsia="it-IT"/>
              </w:rPr>
              <w:t>0972561907</w:t>
            </w:r>
          </w:p>
        </w:tc>
      </w:tr>
      <w:tr w:rsidR="00CB33C7" w:rsidRPr="00C2587D" w14:paraId="695FA369" w14:textId="77777777" w:rsidTr="00EA6E27">
        <w:trPr>
          <w:jc w:val="right"/>
        </w:trPr>
        <w:tc>
          <w:tcPr>
            <w:tcW w:w="3425" w:type="dxa"/>
          </w:tcPr>
          <w:p w14:paraId="222603B1" w14:textId="77777777" w:rsidR="00CB33C7" w:rsidRPr="00BD5437" w:rsidRDefault="00CB33C7" w:rsidP="00BD5437">
            <w:pPr>
              <w:rPr>
                <w:rFonts w:cs="Arial"/>
                <w:b/>
                <w:bCs/>
                <w:szCs w:val="22"/>
              </w:rPr>
            </w:pPr>
            <w:r w:rsidRPr="00BD5437">
              <w:rPr>
                <w:rFonts w:cs="Arial"/>
                <w:szCs w:val="22"/>
                <w:lang w:eastAsia="it-IT"/>
              </w:rPr>
              <w:t>Електронна адреса:</w:t>
            </w:r>
          </w:p>
        </w:tc>
        <w:tc>
          <w:tcPr>
            <w:tcW w:w="6794" w:type="dxa"/>
            <w:gridSpan w:val="9"/>
          </w:tcPr>
          <w:p w14:paraId="27685A5F" w14:textId="77777777" w:rsidR="00CB33C7" w:rsidRPr="00BD5437" w:rsidRDefault="00D85FFD" w:rsidP="00BD5437">
            <w:pPr>
              <w:rPr>
                <w:rFonts w:cs="Arial"/>
                <w:szCs w:val="22"/>
                <w:lang w:eastAsia="it-IT"/>
              </w:rPr>
            </w:pPr>
            <w:hyperlink r:id="rId52" w:history="1">
              <w:r w:rsidR="00CB33C7" w:rsidRPr="00BD5437">
                <w:rPr>
                  <w:rStyle w:val="af0"/>
                  <w:rFonts w:cs="Arial"/>
                  <w:noProof w:val="0"/>
                  <w:sz w:val="22"/>
                  <w:szCs w:val="22"/>
                  <w:lang w:eastAsia="it-IT"/>
                </w:rPr>
                <w:t>Aolenych03@ukr.net</w:t>
              </w:r>
            </w:hyperlink>
          </w:p>
        </w:tc>
      </w:tr>
      <w:tr w:rsidR="00CB33C7" w:rsidRPr="00C2587D" w14:paraId="39CA0165" w14:textId="77777777" w:rsidTr="00EA6E27">
        <w:trPr>
          <w:jc w:val="right"/>
        </w:trPr>
        <w:tc>
          <w:tcPr>
            <w:tcW w:w="3425" w:type="dxa"/>
            <w:vAlign w:val="center"/>
          </w:tcPr>
          <w:p w14:paraId="150CD621" w14:textId="77777777" w:rsidR="00CB33C7" w:rsidRPr="00BD5437" w:rsidRDefault="00CB33C7" w:rsidP="00BD5437">
            <w:pPr>
              <w:pStyle w:val="6"/>
              <w:spacing w:before="0" w:after="0"/>
              <w:rPr>
                <w:rFonts w:ascii="Arial" w:hAnsi="Arial" w:cs="Arial"/>
                <w:color w:val="000000"/>
                <w:lang w:val="uk-UA"/>
              </w:rPr>
            </w:pPr>
            <w:r w:rsidRPr="00BD5437">
              <w:rPr>
                <w:rFonts w:ascii="Arial" w:hAnsi="Arial" w:cs="Arial"/>
                <w:color w:val="000000"/>
                <w:lang w:val="uk-UA"/>
              </w:rPr>
              <w:t>Номер і назва завдання з Стратегії</w:t>
            </w:r>
            <w:r w:rsidRPr="00BD5437">
              <w:rPr>
                <w:rFonts w:ascii="Arial" w:hAnsi="Arial" w:cs="Arial"/>
                <w:lang w:val="uk-UA" w:eastAsia="it-IT"/>
              </w:rPr>
              <w:t xml:space="preserve"> </w:t>
            </w:r>
            <w:r w:rsidRPr="00BD5437">
              <w:rPr>
                <w:rFonts w:ascii="Arial" w:hAnsi="Arial" w:cs="Arial"/>
                <w:color w:val="000000"/>
                <w:lang w:val="uk-UA"/>
              </w:rPr>
              <w:t xml:space="preserve">розвитку Жмеринської міської </w:t>
            </w:r>
          </w:p>
        </w:tc>
        <w:tc>
          <w:tcPr>
            <w:tcW w:w="6794" w:type="dxa"/>
            <w:gridSpan w:val="9"/>
            <w:vAlign w:val="center"/>
          </w:tcPr>
          <w:p w14:paraId="287F6171" w14:textId="77777777" w:rsidR="00CB33C7" w:rsidRPr="00BD5437" w:rsidRDefault="00CB33C7" w:rsidP="00BD5437">
            <w:pPr>
              <w:suppressAutoHyphens/>
              <w:jc w:val="both"/>
              <w:rPr>
                <w:rFonts w:eastAsia="Lucida Sans Unicode" w:cs="Arial"/>
                <w:kern w:val="1"/>
                <w:szCs w:val="22"/>
                <w:lang w:eastAsia="ar-SA"/>
              </w:rPr>
            </w:pPr>
            <w:r w:rsidRPr="00BD5437">
              <w:rPr>
                <w:rFonts w:eastAsia="Lucida Sans Unicode" w:cs="Arial"/>
                <w:kern w:val="1"/>
                <w:szCs w:val="22"/>
                <w:lang w:eastAsia="ar-SA"/>
              </w:rPr>
              <w:t>В.1.1.3. Проведення будівництва, реконструкції та капітального ремонту дорожнього покриття вулиць  та тротуарів в населених пунктах територіальної громади.</w:t>
            </w:r>
          </w:p>
        </w:tc>
      </w:tr>
      <w:tr w:rsidR="00CB33C7" w:rsidRPr="00C2587D" w14:paraId="176F5FB4" w14:textId="77777777" w:rsidTr="00EA6E27">
        <w:trPr>
          <w:jc w:val="right"/>
        </w:trPr>
        <w:tc>
          <w:tcPr>
            <w:tcW w:w="3425" w:type="dxa"/>
            <w:vAlign w:val="center"/>
          </w:tcPr>
          <w:p w14:paraId="15A45543" w14:textId="77777777" w:rsidR="00CB33C7" w:rsidRPr="00BD5437" w:rsidRDefault="00CB33C7" w:rsidP="00BD5437">
            <w:pPr>
              <w:rPr>
                <w:rFonts w:cs="Arial"/>
                <w:b/>
                <w:bCs/>
                <w:color w:val="000000"/>
                <w:szCs w:val="22"/>
              </w:rPr>
            </w:pPr>
            <w:r w:rsidRPr="00BD5437">
              <w:rPr>
                <w:rFonts w:cs="Arial"/>
                <w:b/>
                <w:bCs/>
                <w:color w:val="000000"/>
                <w:szCs w:val="22"/>
              </w:rPr>
              <w:t>Мета проєкту:</w:t>
            </w:r>
          </w:p>
        </w:tc>
        <w:tc>
          <w:tcPr>
            <w:tcW w:w="6794" w:type="dxa"/>
            <w:gridSpan w:val="9"/>
          </w:tcPr>
          <w:p w14:paraId="5C67AF73" w14:textId="6C3BE451" w:rsidR="00CB33C7" w:rsidRPr="00BD5437" w:rsidRDefault="00CB33C7" w:rsidP="00BD5437">
            <w:pPr>
              <w:jc w:val="both"/>
              <w:rPr>
                <w:rFonts w:cs="Arial"/>
                <w:szCs w:val="22"/>
                <w:lang w:eastAsia="it-IT"/>
              </w:rPr>
            </w:pPr>
            <w:r w:rsidRPr="00BD5437">
              <w:rPr>
                <w:rFonts w:cs="Arial"/>
                <w:szCs w:val="22"/>
                <w:lang w:eastAsia="it-IT"/>
              </w:rPr>
              <w:t xml:space="preserve">Забезпечення  населення громади Людавського </w:t>
            </w:r>
            <w:r w:rsidR="00DD6DC0" w:rsidRPr="00BD5437">
              <w:rPr>
                <w:rFonts w:cs="Arial"/>
                <w:szCs w:val="22"/>
                <w:lang w:eastAsia="it-IT"/>
              </w:rPr>
              <w:t>старостинського</w:t>
            </w:r>
            <w:r w:rsidRPr="00BD5437">
              <w:rPr>
                <w:rFonts w:cs="Arial"/>
                <w:szCs w:val="22"/>
                <w:lang w:eastAsia="it-IT"/>
              </w:rPr>
              <w:t xml:space="preserve"> округу, с. Людавка якісною інфраструктурою, а саме дорогами з рівним покриттям.</w:t>
            </w:r>
          </w:p>
          <w:p w14:paraId="10C2ACE4" w14:textId="77777777" w:rsidR="00CB33C7" w:rsidRPr="00BD5437" w:rsidRDefault="00CB33C7" w:rsidP="00BD5437">
            <w:pPr>
              <w:rPr>
                <w:rFonts w:cs="Arial"/>
                <w:szCs w:val="22"/>
                <w:lang w:eastAsia="it-IT"/>
              </w:rPr>
            </w:pPr>
            <w:r w:rsidRPr="00BD5437">
              <w:rPr>
                <w:rFonts w:cs="Arial"/>
                <w:szCs w:val="22"/>
                <w:lang w:eastAsia="it-IT"/>
              </w:rPr>
              <w:t>Мешканці громади отримують більш комфортні   та безпечні умови проживання та перебування в населеному пункті.</w:t>
            </w:r>
          </w:p>
        </w:tc>
      </w:tr>
      <w:tr w:rsidR="00CB33C7" w:rsidRPr="00C2587D" w14:paraId="4DA77DB9" w14:textId="77777777" w:rsidTr="00EA6E27">
        <w:trPr>
          <w:jc w:val="right"/>
        </w:trPr>
        <w:tc>
          <w:tcPr>
            <w:tcW w:w="3425" w:type="dxa"/>
            <w:vAlign w:val="center"/>
          </w:tcPr>
          <w:p w14:paraId="26B72AB3" w14:textId="77777777" w:rsidR="00CB33C7" w:rsidRPr="00BD5437" w:rsidRDefault="00CB33C7" w:rsidP="00BD5437">
            <w:pPr>
              <w:rPr>
                <w:rFonts w:cs="Arial"/>
                <w:b/>
                <w:bCs/>
                <w:color w:val="000000"/>
                <w:szCs w:val="22"/>
              </w:rPr>
            </w:pPr>
            <w:r w:rsidRPr="00BD5437">
              <w:rPr>
                <w:rFonts w:cs="Arial"/>
                <w:b/>
                <w:bCs/>
                <w:color w:val="000000"/>
                <w:szCs w:val="22"/>
              </w:rPr>
              <w:t>Цілі проєкту:</w:t>
            </w:r>
          </w:p>
        </w:tc>
        <w:tc>
          <w:tcPr>
            <w:tcW w:w="6794" w:type="dxa"/>
            <w:gridSpan w:val="9"/>
          </w:tcPr>
          <w:p w14:paraId="5BEDD23E" w14:textId="77777777" w:rsidR="00CB33C7" w:rsidRPr="00BD5437" w:rsidRDefault="00CB33C7" w:rsidP="00BD5437">
            <w:pPr>
              <w:rPr>
                <w:rFonts w:cs="Arial"/>
                <w:szCs w:val="22"/>
                <w:lang w:eastAsia="it-IT"/>
              </w:rPr>
            </w:pPr>
            <w:r w:rsidRPr="00BD5437">
              <w:rPr>
                <w:rFonts w:cs="Arial"/>
                <w:szCs w:val="22"/>
                <w:lang w:eastAsia="it-IT"/>
              </w:rPr>
              <w:t>Покращити інфраструктуру   дорожнього покриття в с. Людавка</w:t>
            </w:r>
          </w:p>
        </w:tc>
      </w:tr>
      <w:tr w:rsidR="00CB33C7" w:rsidRPr="00C2587D" w14:paraId="1F6E44FC" w14:textId="77777777" w:rsidTr="00DD6DC0">
        <w:trPr>
          <w:jc w:val="right"/>
        </w:trPr>
        <w:tc>
          <w:tcPr>
            <w:tcW w:w="3425" w:type="dxa"/>
            <w:vAlign w:val="center"/>
          </w:tcPr>
          <w:p w14:paraId="2D8EFCF2" w14:textId="77777777" w:rsidR="00CB33C7" w:rsidRPr="00BD5437" w:rsidRDefault="00CB33C7" w:rsidP="00BD5437">
            <w:pPr>
              <w:autoSpaceDE w:val="0"/>
              <w:autoSpaceDN w:val="0"/>
              <w:adjustRightInd w:val="0"/>
              <w:rPr>
                <w:rFonts w:cs="Arial"/>
                <w:b/>
                <w:color w:val="000000"/>
                <w:szCs w:val="22"/>
              </w:rPr>
            </w:pPr>
            <w:r w:rsidRPr="00BD5437">
              <w:rPr>
                <w:rFonts w:cs="Arial"/>
                <w:b/>
                <w:color w:val="000000"/>
                <w:szCs w:val="22"/>
              </w:rPr>
              <w:t>Територія на яку проєкт матиме вплив:</w:t>
            </w:r>
          </w:p>
        </w:tc>
        <w:tc>
          <w:tcPr>
            <w:tcW w:w="6794" w:type="dxa"/>
            <w:gridSpan w:val="9"/>
            <w:vAlign w:val="center"/>
          </w:tcPr>
          <w:p w14:paraId="618AA87A" w14:textId="0CC582C9" w:rsidR="00CB33C7" w:rsidRPr="00BD5437" w:rsidRDefault="00CB33C7" w:rsidP="00DD6DC0">
            <w:pPr>
              <w:rPr>
                <w:rFonts w:cs="Arial"/>
                <w:szCs w:val="22"/>
                <w:lang w:eastAsia="it-IT"/>
              </w:rPr>
            </w:pPr>
            <w:r w:rsidRPr="00BD5437">
              <w:rPr>
                <w:rFonts w:cs="Arial"/>
                <w:szCs w:val="22"/>
                <w:lang w:eastAsia="it-IT"/>
              </w:rPr>
              <w:t xml:space="preserve">Території Людавського </w:t>
            </w:r>
            <w:r w:rsidR="00BD5437" w:rsidRPr="00BD5437">
              <w:rPr>
                <w:rFonts w:cs="Arial"/>
                <w:szCs w:val="22"/>
                <w:lang w:eastAsia="it-IT"/>
              </w:rPr>
              <w:t>старостинського</w:t>
            </w:r>
            <w:r w:rsidRPr="00BD5437">
              <w:rPr>
                <w:rFonts w:cs="Arial"/>
                <w:szCs w:val="22"/>
                <w:lang w:eastAsia="it-IT"/>
              </w:rPr>
              <w:t xml:space="preserve"> округу, с. Людавка</w:t>
            </w:r>
          </w:p>
        </w:tc>
      </w:tr>
      <w:tr w:rsidR="00CB33C7" w:rsidRPr="00C2587D" w14:paraId="4CC73EFE" w14:textId="77777777" w:rsidTr="00DD6DC0">
        <w:trPr>
          <w:jc w:val="right"/>
        </w:trPr>
        <w:tc>
          <w:tcPr>
            <w:tcW w:w="3425" w:type="dxa"/>
            <w:vAlign w:val="center"/>
          </w:tcPr>
          <w:p w14:paraId="64594A44" w14:textId="77777777" w:rsidR="00CB33C7" w:rsidRPr="00BD5437" w:rsidRDefault="00CB33C7" w:rsidP="00BD5437">
            <w:pPr>
              <w:autoSpaceDE w:val="0"/>
              <w:autoSpaceDN w:val="0"/>
              <w:adjustRightInd w:val="0"/>
              <w:rPr>
                <w:rFonts w:cs="Arial"/>
                <w:b/>
                <w:color w:val="000000"/>
                <w:szCs w:val="22"/>
              </w:rPr>
            </w:pPr>
            <w:r w:rsidRPr="00BD5437">
              <w:rPr>
                <w:rFonts w:cs="Arial"/>
                <w:b/>
                <w:color w:val="000000"/>
                <w:szCs w:val="22"/>
              </w:rPr>
              <w:t>Цільові групи проєкту та кількість отримувачів вигоди</w:t>
            </w:r>
          </w:p>
        </w:tc>
        <w:tc>
          <w:tcPr>
            <w:tcW w:w="6794" w:type="dxa"/>
            <w:gridSpan w:val="9"/>
            <w:vAlign w:val="center"/>
          </w:tcPr>
          <w:p w14:paraId="508300EC" w14:textId="77777777" w:rsidR="00CB33C7" w:rsidRPr="00BD5437" w:rsidRDefault="00CB33C7" w:rsidP="00DD6DC0">
            <w:pPr>
              <w:rPr>
                <w:rFonts w:cs="Arial"/>
                <w:szCs w:val="22"/>
                <w:lang w:eastAsia="it-IT"/>
              </w:rPr>
            </w:pPr>
            <w:r w:rsidRPr="00BD5437">
              <w:rPr>
                <w:rFonts w:cs="Arial"/>
                <w:szCs w:val="22"/>
                <w:lang w:eastAsia="it-IT"/>
              </w:rPr>
              <w:t>Жителі с. Людавка в кількості 553 сельчан</w:t>
            </w:r>
          </w:p>
        </w:tc>
      </w:tr>
      <w:tr w:rsidR="00CB33C7" w:rsidRPr="00C2587D" w14:paraId="24D9F4A3" w14:textId="77777777" w:rsidTr="00EA6E27">
        <w:trPr>
          <w:jc w:val="right"/>
        </w:trPr>
        <w:tc>
          <w:tcPr>
            <w:tcW w:w="3425" w:type="dxa"/>
            <w:shd w:val="clear" w:color="auto" w:fill="FFFFFF"/>
            <w:vAlign w:val="center"/>
          </w:tcPr>
          <w:p w14:paraId="12C86746" w14:textId="77777777" w:rsidR="00CB33C7" w:rsidRPr="00BD5437" w:rsidRDefault="00CB33C7" w:rsidP="00BD5437">
            <w:pPr>
              <w:rPr>
                <w:rFonts w:cs="Arial"/>
                <w:b/>
                <w:bCs/>
                <w:color w:val="000000"/>
                <w:szCs w:val="22"/>
              </w:rPr>
            </w:pPr>
            <w:r w:rsidRPr="00BD5437">
              <w:rPr>
                <w:rFonts w:cs="Arial"/>
                <w:b/>
                <w:bCs/>
                <w:color w:val="000000"/>
                <w:szCs w:val="22"/>
              </w:rPr>
              <w:t>Стислий опис проєкту:</w:t>
            </w:r>
          </w:p>
        </w:tc>
        <w:tc>
          <w:tcPr>
            <w:tcW w:w="6794" w:type="dxa"/>
            <w:gridSpan w:val="9"/>
          </w:tcPr>
          <w:p w14:paraId="2D2EA978" w14:textId="77777777" w:rsidR="00CB33C7" w:rsidRPr="00BD5437" w:rsidRDefault="00CB33C7" w:rsidP="00BD5437">
            <w:pPr>
              <w:pStyle w:val="ad"/>
              <w:shd w:val="clear" w:color="auto" w:fill="FFFFFF"/>
              <w:spacing w:before="0" w:beforeAutospacing="0" w:after="0" w:afterAutospacing="0"/>
              <w:ind w:firstLine="148"/>
              <w:jc w:val="both"/>
              <w:rPr>
                <w:rFonts w:cs="Arial"/>
                <w:szCs w:val="22"/>
              </w:rPr>
            </w:pPr>
            <w:r w:rsidRPr="00BD5437">
              <w:rPr>
                <w:rFonts w:cs="Arial"/>
                <w:szCs w:val="22"/>
              </w:rPr>
              <w:t>Якість доріг забезпечує роботу всіх галузей промисловості, соціальний розвиток суспільства. Забезпечує доступ у різні місця населеного пункту, а також безпечне та надійне переміщення людей і транспортування товарів і має надзвичайно важливе значення.</w:t>
            </w:r>
          </w:p>
          <w:p w14:paraId="72282D8B" w14:textId="77777777" w:rsidR="00CB33C7" w:rsidRPr="00BD5437" w:rsidRDefault="00CB33C7" w:rsidP="00BD5437">
            <w:pPr>
              <w:pStyle w:val="ad"/>
              <w:shd w:val="clear" w:color="auto" w:fill="FFFFFF"/>
              <w:spacing w:before="0" w:beforeAutospacing="0" w:after="0" w:afterAutospacing="0"/>
              <w:ind w:firstLine="148"/>
              <w:jc w:val="both"/>
              <w:rPr>
                <w:rFonts w:cs="Arial"/>
                <w:szCs w:val="22"/>
              </w:rPr>
            </w:pPr>
            <w:r w:rsidRPr="00BD5437">
              <w:rPr>
                <w:rFonts w:cs="Arial"/>
                <w:szCs w:val="22"/>
              </w:rPr>
              <w:t>Від стану автомобільних доріг залежать витрати на перевезення вантажів та пасажирів, рівень цін, певною мірою зайнятість населення.</w:t>
            </w:r>
          </w:p>
          <w:p w14:paraId="0A681C3E" w14:textId="77777777" w:rsidR="00CB33C7" w:rsidRPr="00BD5437" w:rsidRDefault="00CB33C7" w:rsidP="00DD6DC0">
            <w:pPr>
              <w:pStyle w:val="ad"/>
              <w:shd w:val="clear" w:color="auto" w:fill="FFFFFF"/>
              <w:spacing w:before="0" w:beforeAutospacing="0" w:after="0" w:afterAutospacing="0"/>
              <w:ind w:firstLine="148"/>
              <w:jc w:val="both"/>
              <w:rPr>
                <w:rFonts w:cs="Arial"/>
                <w:szCs w:val="22"/>
                <w:shd w:val="clear" w:color="auto" w:fill="FFFFFF"/>
              </w:rPr>
            </w:pPr>
            <w:r w:rsidRPr="00BD5437">
              <w:rPr>
                <w:rFonts w:cs="Arial"/>
                <w:szCs w:val="22"/>
              </w:rPr>
              <w:t xml:space="preserve"> </w:t>
            </w:r>
            <w:r w:rsidRPr="00BD5437">
              <w:rPr>
                <w:rFonts w:cs="Arial"/>
                <w:szCs w:val="22"/>
                <w:shd w:val="clear" w:color="auto" w:fill="FFFFFF"/>
              </w:rPr>
              <w:t>Перш за все викликають занепокоєння ті ділянки доріг, по яких проходять автобусні сполучення, підвезення дітей до навчальних закладів, надання невідкладної медичної допомоги.</w:t>
            </w:r>
          </w:p>
          <w:p w14:paraId="57103BFB" w14:textId="76A6A3E7" w:rsidR="00CB33C7" w:rsidRPr="00BD5437" w:rsidRDefault="00CB33C7" w:rsidP="00DD6DC0">
            <w:pPr>
              <w:jc w:val="both"/>
              <w:rPr>
                <w:rFonts w:cs="Arial"/>
                <w:szCs w:val="22"/>
                <w:lang w:eastAsia="it-IT"/>
              </w:rPr>
            </w:pPr>
            <w:r w:rsidRPr="00BD5437">
              <w:rPr>
                <w:rFonts w:cs="Arial"/>
                <w:szCs w:val="22"/>
                <w:shd w:val="clear" w:color="auto" w:fill="FFFFFF"/>
              </w:rPr>
              <w:t>З метою безперебійного перевезення людей, необхідно провести капітальний ремонт доріг по вул. Шкільна, Космонавтів, Соборна в с. Людавка</w:t>
            </w:r>
            <w:r w:rsidR="008A2113">
              <w:rPr>
                <w:rFonts w:cs="Arial"/>
                <w:szCs w:val="22"/>
                <w:shd w:val="clear" w:color="auto" w:fill="FFFFFF"/>
              </w:rPr>
              <w:t>.</w:t>
            </w:r>
          </w:p>
        </w:tc>
      </w:tr>
      <w:tr w:rsidR="00CB33C7" w:rsidRPr="00C2587D" w14:paraId="360288C6" w14:textId="77777777" w:rsidTr="00EA6E27">
        <w:trPr>
          <w:jc w:val="right"/>
        </w:trPr>
        <w:tc>
          <w:tcPr>
            <w:tcW w:w="3425" w:type="dxa"/>
            <w:shd w:val="clear" w:color="auto" w:fill="FFFFFF"/>
            <w:vAlign w:val="center"/>
          </w:tcPr>
          <w:p w14:paraId="588ACCA2" w14:textId="77777777" w:rsidR="00CB33C7" w:rsidRPr="00BD5437" w:rsidRDefault="00CB33C7" w:rsidP="00BD5437">
            <w:pPr>
              <w:rPr>
                <w:rFonts w:cs="Arial"/>
                <w:b/>
                <w:bCs/>
                <w:color w:val="000000"/>
                <w:szCs w:val="22"/>
              </w:rPr>
            </w:pPr>
            <w:r w:rsidRPr="00BD5437">
              <w:rPr>
                <w:rFonts w:cs="Arial"/>
                <w:b/>
                <w:bCs/>
                <w:color w:val="000000"/>
                <w:szCs w:val="22"/>
              </w:rPr>
              <w:t>Основні заходи проєкту:</w:t>
            </w:r>
          </w:p>
        </w:tc>
        <w:tc>
          <w:tcPr>
            <w:tcW w:w="6794" w:type="dxa"/>
            <w:gridSpan w:val="9"/>
          </w:tcPr>
          <w:p w14:paraId="5FD93E43" w14:textId="758B515A" w:rsidR="00CB33C7" w:rsidRPr="00BD5437" w:rsidRDefault="00CB33C7" w:rsidP="00BD5437">
            <w:pPr>
              <w:jc w:val="both"/>
              <w:rPr>
                <w:rFonts w:cs="Arial"/>
                <w:szCs w:val="22"/>
                <w:lang w:eastAsia="it-IT"/>
              </w:rPr>
            </w:pPr>
            <w:r w:rsidRPr="00BD5437">
              <w:rPr>
                <w:rFonts w:cs="Arial"/>
                <w:szCs w:val="22"/>
                <w:lang w:eastAsia="it-IT"/>
              </w:rPr>
              <w:t>Створення робочо</w:t>
            </w:r>
            <w:r w:rsidR="008A2113">
              <w:rPr>
                <w:rFonts w:cs="Arial"/>
                <w:szCs w:val="22"/>
                <w:lang w:eastAsia="it-IT"/>
              </w:rPr>
              <w:t>ї групи з питань реалізації проє</w:t>
            </w:r>
            <w:r w:rsidRPr="00BD5437">
              <w:rPr>
                <w:rFonts w:cs="Arial"/>
                <w:szCs w:val="22"/>
                <w:lang w:eastAsia="it-IT"/>
              </w:rPr>
              <w:t xml:space="preserve">кту. </w:t>
            </w:r>
          </w:p>
          <w:p w14:paraId="2C368142" w14:textId="77777777" w:rsidR="00CB33C7" w:rsidRPr="00BD5437" w:rsidRDefault="00CB33C7" w:rsidP="00BD5437">
            <w:pPr>
              <w:jc w:val="both"/>
              <w:rPr>
                <w:rFonts w:cs="Arial"/>
                <w:szCs w:val="22"/>
                <w:lang w:eastAsia="it-IT"/>
              </w:rPr>
            </w:pPr>
            <w:r w:rsidRPr="00BD5437">
              <w:rPr>
                <w:rFonts w:cs="Arial"/>
                <w:szCs w:val="22"/>
                <w:lang w:eastAsia="it-IT"/>
              </w:rPr>
              <w:t>Проведення процедури закупівель (визначення виконавця робіт).</w:t>
            </w:r>
          </w:p>
          <w:p w14:paraId="4209908D" w14:textId="77777777" w:rsidR="00CB33C7" w:rsidRPr="00BD5437" w:rsidRDefault="00CB33C7" w:rsidP="00BD5437">
            <w:pPr>
              <w:jc w:val="both"/>
              <w:rPr>
                <w:rFonts w:cs="Arial"/>
                <w:szCs w:val="22"/>
                <w:lang w:eastAsia="it-IT"/>
              </w:rPr>
            </w:pPr>
            <w:r w:rsidRPr="00BD5437">
              <w:rPr>
                <w:rFonts w:cs="Arial"/>
                <w:szCs w:val="22"/>
                <w:lang w:eastAsia="it-IT"/>
              </w:rPr>
              <w:t>Укладення договорів з виконавцем робіт, організаціями, що здійснюватимуть  технічний та авторський  нагляд .</w:t>
            </w:r>
          </w:p>
          <w:p w14:paraId="03FB4752" w14:textId="77777777" w:rsidR="00CB33C7" w:rsidRPr="00BD5437" w:rsidRDefault="00CB33C7" w:rsidP="00BD5437">
            <w:pPr>
              <w:jc w:val="both"/>
              <w:rPr>
                <w:rFonts w:cs="Arial"/>
                <w:szCs w:val="22"/>
                <w:lang w:eastAsia="it-IT"/>
              </w:rPr>
            </w:pPr>
            <w:r w:rsidRPr="00BD5437">
              <w:rPr>
                <w:rFonts w:cs="Arial"/>
                <w:szCs w:val="22"/>
                <w:lang w:eastAsia="it-IT"/>
              </w:rPr>
              <w:t xml:space="preserve">Виконання робіт з капітального ремонту дорожнього покриття </w:t>
            </w:r>
            <w:r w:rsidRPr="00BD5437">
              <w:rPr>
                <w:rFonts w:cs="Arial"/>
                <w:szCs w:val="22"/>
                <w:shd w:val="clear" w:color="auto" w:fill="FFFFFF"/>
              </w:rPr>
              <w:t>по вул. Шкільна, Космонавтів, Соборна в с. Людавка</w:t>
            </w:r>
            <w:r w:rsidRPr="00BD5437">
              <w:rPr>
                <w:rFonts w:cs="Arial"/>
                <w:szCs w:val="22"/>
                <w:lang w:eastAsia="it-IT"/>
              </w:rPr>
              <w:t>, Жмеринського району</w:t>
            </w:r>
          </w:p>
          <w:p w14:paraId="59EBBCF3" w14:textId="77777777" w:rsidR="00CB33C7" w:rsidRPr="00BD5437" w:rsidRDefault="00CB33C7" w:rsidP="00BD5437">
            <w:pPr>
              <w:jc w:val="both"/>
              <w:rPr>
                <w:rFonts w:cs="Arial"/>
                <w:szCs w:val="22"/>
                <w:lang w:eastAsia="it-IT"/>
              </w:rPr>
            </w:pPr>
            <w:r w:rsidRPr="00BD5437">
              <w:rPr>
                <w:rFonts w:cs="Arial"/>
                <w:szCs w:val="22"/>
                <w:lang w:eastAsia="it-IT"/>
              </w:rPr>
              <w:t>Введення  об’єкту в експлуатацію .</w:t>
            </w:r>
          </w:p>
          <w:p w14:paraId="43BC9DE7" w14:textId="7609F270" w:rsidR="00CB33C7" w:rsidRPr="00BD5437" w:rsidRDefault="00CB33C7" w:rsidP="00BD5437">
            <w:pPr>
              <w:rPr>
                <w:rFonts w:cs="Arial"/>
                <w:szCs w:val="22"/>
                <w:lang w:eastAsia="it-IT"/>
              </w:rPr>
            </w:pPr>
            <w:r w:rsidRPr="00BD5437">
              <w:rPr>
                <w:rFonts w:cs="Arial"/>
                <w:szCs w:val="22"/>
                <w:lang w:eastAsia="it-IT"/>
              </w:rPr>
              <w:t xml:space="preserve">Проведення інформаційних заходів (розміщення  </w:t>
            </w:r>
            <w:r w:rsidR="008A2113">
              <w:rPr>
                <w:rFonts w:cs="Arial"/>
                <w:szCs w:val="22"/>
                <w:lang w:eastAsia="it-IT"/>
              </w:rPr>
              <w:t>інформації  про реалізацію  проє</w:t>
            </w:r>
            <w:r w:rsidRPr="00BD5437">
              <w:rPr>
                <w:rFonts w:cs="Arial"/>
                <w:szCs w:val="22"/>
                <w:lang w:eastAsia="it-IT"/>
              </w:rPr>
              <w:t>кту у ЗМІ) .</w:t>
            </w:r>
          </w:p>
        </w:tc>
      </w:tr>
      <w:tr w:rsidR="00CB33C7" w:rsidRPr="00C2587D" w14:paraId="719CD515" w14:textId="77777777" w:rsidTr="00EA6E27">
        <w:trPr>
          <w:jc w:val="right"/>
        </w:trPr>
        <w:tc>
          <w:tcPr>
            <w:tcW w:w="3425" w:type="dxa"/>
            <w:shd w:val="clear" w:color="auto" w:fill="FFFFFF"/>
            <w:vAlign w:val="center"/>
          </w:tcPr>
          <w:p w14:paraId="1A45F650" w14:textId="77777777" w:rsidR="00CB33C7" w:rsidRPr="00BD5437" w:rsidRDefault="00CB33C7" w:rsidP="00BD5437">
            <w:pPr>
              <w:rPr>
                <w:rFonts w:cs="Arial"/>
                <w:b/>
                <w:bCs/>
                <w:color w:val="000000"/>
                <w:szCs w:val="22"/>
              </w:rPr>
            </w:pPr>
            <w:r w:rsidRPr="00BD5437">
              <w:rPr>
                <w:rFonts w:cs="Arial"/>
                <w:b/>
                <w:bCs/>
                <w:color w:val="000000"/>
                <w:szCs w:val="22"/>
              </w:rPr>
              <w:t>Індикатори (показники) результативності:</w:t>
            </w:r>
          </w:p>
        </w:tc>
        <w:tc>
          <w:tcPr>
            <w:tcW w:w="6794" w:type="dxa"/>
            <w:gridSpan w:val="9"/>
          </w:tcPr>
          <w:p w14:paraId="09072180" w14:textId="77777777" w:rsidR="00CB33C7" w:rsidRPr="00BD5437" w:rsidRDefault="00CB33C7" w:rsidP="00DD6DC0">
            <w:pPr>
              <w:jc w:val="both"/>
              <w:rPr>
                <w:rFonts w:cs="Arial"/>
                <w:szCs w:val="22"/>
                <w:lang w:eastAsia="it-IT"/>
              </w:rPr>
            </w:pPr>
            <w:r w:rsidRPr="00BD5437">
              <w:rPr>
                <w:rFonts w:eastAsia="Arial" w:cs="Arial"/>
                <w:szCs w:val="22"/>
                <w:lang w:eastAsia="en-US"/>
              </w:rPr>
              <w:t xml:space="preserve">Площа ремонтованого покриття проїзної частини, з’їздів, розширень, площадок: 3169,5 </w:t>
            </w:r>
            <w:r w:rsidRPr="00BD5437">
              <w:rPr>
                <w:rFonts w:cs="Arial"/>
                <w:color w:val="000000"/>
                <w:szCs w:val="22"/>
              </w:rPr>
              <w:t>м</w:t>
            </w:r>
            <w:r w:rsidRPr="00BD5437">
              <w:rPr>
                <w:rFonts w:cs="Arial"/>
                <w:color w:val="000000"/>
                <w:szCs w:val="22"/>
                <w:vertAlign w:val="superscript"/>
              </w:rPr>
              <w:t xml:space="preserve">2  </w:t>
            </w:r>
            <w:r w:rsidRPr="00BD5437">
              <w:rPr>
                <w:rFonts w:eastAsia="Arial" w:cs="Arial"/>
                <w:szCs w:val="22"/>
                <w:lang w:eastAsia="en-US"/>
              </w:rPr>
              <w:t xml:space="preserve">та площа присипних узбіч: 642,4 </w:t>
            </w:r>
            <w:r w:rsidRPr="00BD5437">
              <w:rPr>
                <w:rFonts w:cs="Arial"/>
                <w:color w:val="000000"/>
                <w:szCs w:val="22"/>
              </w:rPr>
              <w:t>м</w:t>
            </w:r>
            <w:r w:rsidRPr="00BD5437">
              <w:rPr>
                <w:rFonts w:cs="Arial"/>
                <w:color w:val="000000"/>
                <w:szCs w:val="22"/>
                <w:vertAlign w:val="superscript"/>
              </w:rPr>
              <w:t>2</w:t>
            </w:r>
          </w:p>
        </w:tc>
      </w:tr>
      <w:tr w:rsidR="00CB33C7" w:rsidRPr="00C2587D" w14:paraId="692B4B75" w14:textId="77777777" w:rsidTr="00EA6E27">
        <w:trPr>
          <w:jc w:val="right"/>
        </w:trPr>
        <w:tc>
          <w:tcPr>
            <w:tcW w:w="3425" w:type="dxa"/>
            <w:shd w:val="clear" w:color="auto" w:fill="FFFFFF"/>
            <w:vAlign w:val="center"/>
          </w:tcPr>
          <w:p w14:paraId="28A77F91" w14:textId="77777777" w:rsidR="00CB33C7" w:rsidRPr="00BD5437" w:rsidRDefault="00CB33C7" w:rsidP="00BD5437">
            <w:pPr>
              <w:rPr>
                <w:rFonts w:cs="Arial"/>
                <w:b/>
                <w:color w:val="000000"/>
                <w:szCs w:val="22"/>
              </w:rPr>
            </w:pPr>
            <w:r w:rsidRPr="00BD5437">
              <w:rPr>
                <w:rFonts w:cs="Arial"/>
                <w:b/>
                <w:color w:val="000000"/>
                <w:szCs w:val="22"/>
              </w:rPr>
              <w:t xml:space="preserve">Період здійснення: </w:t>
            </w:r>
          </w:p>
        </w:tc>
        <w:tc>
          <w:tcPr>
            <w:tcW w:w="6794" w:type="dxa"/>
            <w:gridSpan w:val="9"/>
            <w:vAlign w:val="center"/>
          </w:tcPr>
          <w:p w14:paraId="3CD597BF" w14:textId="77777777" w:rsidR="00CB33C7" w:rsidRPr="00BD5437" w:rsidRDefault="00CB33C7" w:rsidP="00BD5437">
            <w:pPr>
              <w:rPr>
                <w:rFonts w:cs="Arial"/>
                <w:color w:val="000000"/>
                <w:szCs w:val="22"/>
                <w:lang w:eastAsia="it-IT"/>
              </w:rPr>
            </w:pPr>
            <w:r w:rsidRPr="00BD5437">
              <w:rPr>
                <w:rFonts w:cs="Arial"/>
                <w:b/>
                <w:color w:val="000000"/>
                <w:szCs w:val="22"/>
              </w:rPr>
              <w:t>2025 – 2028 роки:</w:t>
            </w:r>
          </w:p>
        </w:tc>
      </w:tr>
      <w:tr w:rsidR="00CB33C7" w:rsidRPr="00C2587D" w14:paraId="75A4042D" w14:textId="77777777" w:rsidTr="00EA6E27">
        <w:trPr>
          <w:jc w:val="right"/>
        </w:trPr>
        <w:tc>
          <w:tcPr>
            <w:tcW w:w="3425" w:type="dxa"/>
            <w:vMerge w:val="restart"/>
            <w:shd w:val="clear" w:color="auto" w:fill="FFFFFF"/>
            <w:vAlign w:val="center"/>
          </w:tcPr>
          <w:p w14:paraId="3CFAB5E0" w14:textId="77777777" w:rsidR="00CB33C7" w:rsidRPr="00BD5437" w:rsidRDefault="00CB33C7" w:rsidP="00BD5437">
            <w:pPr>
              <w:rPr>
                <w:rFonts w:cs="Arial"/>
                <w:b/>
                <w:bCs/>
                <w:color w:val="000000"/>
                <w:szCs w:val="22"/>
              </w:rPr>
            </w:pPr>
            <w:r w:rsidRPr="00BD5437">
              <w:rPr>
                <w:rFonts w:cs="Arial"/>
                <w:b/>
                <w:bCs/>
                <w:color w:val="000000"/>
                <w:szCs w:val="22"/>
              </w:rPr>
              <w:t>Орієнтовна вартість проєкту, тис. грн., в тому числі:</w:t>
            </w:r>
          </w:p>
        </w:tc>
        <w:tc>
          <w:tcPr>
            <w:tcW w:w="1254" w:type="dxa"/>
            <w:shd w:val="clear" w:color="auto" w:fill="E6E6E6"/>
            <w:vAlign w:val="center"/>
          </w:tcPr>
          <w:p w14:paraId="79201B34" w14:textId="77777777" w:rsidR="00CB33C7" w:rsidRPr="00BD5437" w:rsidRDefault="00CB33C7" w:rsidP="00BD5437">
            <w:pPr>
              <w:jc w:val="center"/>
              <w:rPr>
                <w:rFonts w:cs="Arial"/>
                <w:b/>
                <w:color w:val="000000"/>
                <w:szCs w:val="22"/>
                <w:lang w:eastAsia="it-IT"/>
              </w:rPr>
            </w:pPr>
            <w:r w:rsidRPr="00BD5437">
              <w:rPr>
                <w:rFonts w:cs="Arial"/>
                <w:b/>
                <w:color w:val="000000"/>
                <w:szCs w:val="22"/>
                <w:lang w:eastAsia="it-IT"/>
              </w:rPr>
              <w:t>2025</w:t>
            </w:r>
          </w:p>
        </w:tc>
        <w:tc>
          <w:tcPr>
            <w:tcW w:w="1412" w:type="dxa"/>
            <w:gridSpan w:val="3"/>
            <w:shd w:val="clear" w:color="auto" w:fill="E6E6E6"/>
            <w:vAlign w:val="center"/>
          </w:tcPr>
          <w:p w14:paraId="5FC08902" w14:textId="77777777" w:rsidR="00CB33C7" w:rsidRPr="00BD5437" w:rsidRDefault="00CB33C7" w:rsidP="00BD5437">
            <w:pPr>
              <w:jc w:val="center"/>
              <w:rPr>
                <w:rFonts w:cs="Arial"/>
                <w:b/>
                <w:color w:val="000000"/>
                <w:szCs w:val="22"/>
                <w:lang w:eastAsia="it-IT"/>
              </w:rPr>
            </w:pPr>
            <w:r w:rsidRPr="00BD5437">
              <w:rPr>
                <w:rFonts w:cs="Arial"/>
                <w:b/>
                <w:color w:val="000000"/>
                <w:szCs w:val="22"/>
                <w:lang w:eastAsia="it-IT"/>
              </w:rPr>
              <w:t>2026</w:t>
            </w:r>
          </w:p>
        </w:tc>
        <w:tc>
          <w:tcPr>
            <w:tcW w:w="1281" w:type="dxa"/>
            <w:tcBorders>
              <w:bottom w:val="single" w:sz="4" w:space="0" w:color="auto"/>
            </w:tcBorders>
            <w:shd w:val="clear" w:color="auto" w:fill="E6E6E6"/>
            <w:vAlign w:val="center"/>
          </w:tcPr>
          <w:p w14:paraId="7854F9F3" w14:textId="77777777" w:rsidR="00CB33C7" w:rsidRPr="00BD5437" w:rsidRDefault="00CB33C7" w:rsidP="00BD5437">
            <w:pPr>
              <w:jc w:val="center"/>
              <w:rPr>
                <w:rFonts w:cs="Arial"/>
                <w:b/>
                <w:color w:val="000000"/>
                <w:szCs w:val="22"/>
                <w:lang w:eastAsia="it-IT"/>
              </w:rPr>
            </w:pPr>
            <w:r w:rsidRPr="00BD5437">
              <w:rPr>
                <w:rFonts w:cs="Arial"/>
                <w:b/>
                <w:color w:val="000000"/>
                <w:szCs w:val="22"/>
                <w:lang w:eastAsia="it-IT"/>
              </w:rPr>
              <w:t>2027</w:t>
            </w:r>
          </w:p>
        </w:tc>
        <w:tc>
          <w:tcPr>
            <w:tcW w:w="1276" w:type="dxa"/>
            <w:gridSpan w:val="2"/>
            <w:shd w:val="clear" w:color="auto" w:fill="E6E6E6"/>
            <w:vAlign w:val="center"/>
          </w:tcPr>
          <w:p w14:paraId="6F05D284" w14:textId="77777777" w:rsidR="00CB33C7" w:rsidRPr="00BD5437" w:rsidRDefault="00CB33C7" w:rsidP="00BD5437">
            <w:pPr>
              <w:jc w:val="center"/>
              <w:rPr>
                <w:rFonts w:cs="Arial"/>
                <w:b/>
                <w:color w:val="000000"/>
                <w:szCs w:val="22"/>
                <w:lang w:eastAsia="it-IT"/>
              </w:rPr>
            </w:pPr>
            <w:r w:rsidRPr="00BD5437">
              <w:rPr>
                <w:rFonts w:cs="Arial"/>
                <w:b/>
                <w:color w:val="000000"/>
                <w:szCs w:val="22"/>
                <w:lang w:eastAsia="it-IT"/>
              </w:rPr>
              <w:t>2028</w:t>
            </w:r>
          </w:p>
        </w:tc>
        <w:tc>
          <w:tcPr>
            <w:tcW w:w="1571" w:type="dxa"/>
            <w:gridSpan w:val="2"/>
            <w:shd w:val="clear" w:color="auto" w:fill="E6E6E6"/>
            <w:vAlign w:val="center"/>
          </w:tcPr>
          <w:p w14:paraId="4D69F9E1" w14:textId="77777777" w:rsidR="00CB33C7" w:rsidRPr="00BD5437" w:rsidRDefault="00CB33C7" w:rsidP="00BD5437">
            <w:pPr>
              <w:jc w:val="center"/>
              <w:rPr>
                <w:rFonts w:cs="Arial"/>
                <w:b/>
                <w:color w:val="000000"/>
                <w:szCs w:val="22"/>
                <w:lang w:eastAsia="it-IT"/>
              </w:rPr>
            </w:pPr>
            <w:r w:rsidRPr="00BD5437">
              <w:rPr>
                <w:rFonts w:cs="Arial"/>
                <w:b/>
                <w:color w:val="000000"/>
                <w:szCs w:val="22"/>
                <w:lang w:eastAsia="it-IT"/>
              </w:rPr>
              <w:t>РАЗОМ</w:t>
            </w:r>
          </w:p>
        </w:tc>
      </w:tr>
      <w:tr w:rsidR="00CB33C7" w:rsidRPr="00C2587D" w14:paraId="4B434BD2" w14:textId="77777777" w:rsidTr="00EA6E27">
        <w:trPr>
          <w:jc w:val="right"/>
        </w:trPr>
        <w:tc>
          <w:tcPr>
            <w:tcW w:w="3425" w:type="dxa"/>
            <w:vMerge/>
            <w:shd w:val="clear" w:color="auto" w:fill="FFFFFF"/>
            <w:vAlign w:val="center"/>
          </w:tcPr>
          <w:p w14:paraId="30413194" w14:textId="77777777" w:rsidR="00CB33C7" w:rsidRPr="00BD5437" w:rsidRDefault="00CB33C7" w:rsidP="00BD5437">
            <w:pPr>
              <w:rPr>
                <w:rFonts w:cs="Arial"/>
                <w:b/>
                <w:bCs/>
                <w:color w:val="000000"/>
                <w:szCs w:val="22"/>
              </w:rPr>
            </w:pPr>
          </w:p>
        </w:tc>
        <w:tc>
          <w:tcPr>
            <w:tcW w:w="1254" w:type="dxa"/>
            <w:vAlign w:val="center"/>
          </w:tcPr>
          <w:p w14:paraId="5017BEBA" w14:textId="77777777" w:rsidR="00CB33C7" w:rsidRPr="00BD5437" w:rsidRDefault="00CB33C7" w:rsidP="00BD5437">
            <w:pPr>
              <w:jc w:val="center"/>
              <w:rPr>
                <w:rFonts w:cs="Arial"/>
                <w:b/>
                <w:color w:val="000000"/>
                <w:szCs w:val="22"/>
                <w:lang w:eastAsia="it-IT"/>
              </w:rPr>
            </w:pPr>
          </w:p>
        </w:tc>
        <w:tc>
          <w:tcPr>
            <w:tcW w:w="1412" w:type="dxa"/>
            <w:gridSpan w:val="3"/>
            <w:shd w:val="clear" w:color="auto" w:fill="FFFFFF"/>
            <w:vAlign w:val="center"/>
          </w:tcPr>
          <w:p w14:paraId="39FCB5BF" w14:textId="77777777" w:rsidR="00CB33C7" w:rsidRPr="00BD5437" w:rsidRDefault="00CB33C7" w:rsidP="00BD5437">
            <w:pPr>
              <w:jc w:val="center"/>
              <w:rPr>
                <w:rFonts w:cs="Arial"/>
                <w:color w:val="000000"/>
                <w:szCs w:val="22"/>
                <w:lang w:eastAsia="it-IT"/>
              </w:rPr>
            </w:pPr>
            <w:r w:rsidRPr="00BD5437">
              <w:rPr>
                <w:rFonts w:cs="Arial"/>
                <w:color w:val="000000"/>
                <w:szCs w:val="22"/>
                <w:lang w:eastAsia="it-IT"/>
              </w:rPr>
              <w:t>2157,810</w:t>
            </w:r>
          </w:p>
        </w:tc>
        <w:tc>
          <w:tcPr>
            <w:tcW w:w="1281" w:type="dxa"/>
            <w:shd w:val="clear" w:color="auto" w:fill="auto"/>
            <w:vAlign w:val="center"/>
          </w:tcPr>
          <w:p w14:paraId="2ED52180" w14:textId="77777777" w:rsidR="00CB33C7" w:rsidRPr="00BD5437" w:rsidRDefault="00CB33C7" w:rsidP="00BD5437">
            <w:pPr>
              <w:jc w:val="center"/>
              <w:rPr>
                <w:rFonts w:cs="Arial"/>
                <w:b/>
                <w:color w:val="000000"/>
                <w:szCs w:val="22"/>
                <w:lang w:eastAsia="it-IT"/>
              </w:rPr>
            </w:pPr>
          </w:p>
        </w:tc>
        <w:tc>
          <w:tcPr>
            <w:tcW w:w="1276" w:type="dxa"/>
            <w:gridSpan w:val="2"/>
            <w:shd w:val="clear" w:color="auto" w:fill="FFFFFF"/>
            <w:vAlign w:val="center"/>
          </w:tcPr>
          <w:p w14:paraId="4172FF6C" w14:textId="77777777" w:rsidR="00CB33C7" w:rsidRPr="00BD5437" w:rsidRDefault="00CB33C7" w:rsidP="00BD5437">
            <w:pPr>
              <w:jc w:val="center"/>
              <w:rPr>
                <w:rFonts w:cs="Arial"/>
                <w:b/>
                <w:color w:val="000000"/>
                <w:szCs w:val="22"/>
                <w:lang w:eastAsia="it-IT"/>
              </w:rPr>
            </w:pPr>
          </w:p>
        </w:tc>
        <w:tc>
          <w:tcPr>
            <w:tcW w:w="1571" w:type="dxa"/>
            <w:gridSpan w:val="2"/>
            <w:shd w:val="clear" w:color="auto" w:fill="FFFFFF"/>
            <w:vAlign w:val="center"/>
          </w:tcPr>
          <w:p w14:paraId="73BD967E" w14:textId="77777777" w:rsidR="00CB33C7" w:rsidRPr="00BD5437" w:rsidRDefault="00CB33C7" w:rsidP="00BD5437">
            <w:pPr>
              <w:jc w:val="center"/>
              <w:rPr>
                <w:rFonts w:cs="Arial"/>
                <w:b/>
                <w:color w:val="000000"/>
                <w:szCs w:val="22"/>
                <w:lang w:eastAsia="it-IT"/>
              </w:rPr>
            </w:pPr>
            <w:r w:rsidRPr="00BD5437">
              <w:rPr>
                <w:rFonts w:cs="Arial"/>
                <w:b/>
                <w:color w:val="000000"/>
                <w:szCs w:val="22"/>
                <w:lang w:eastAsia="it-IT"/>
              </w:rPr>
              <w:t>2157,810</w:t>
            </w:r>
          </w:p>
        </w:tc>
      </w:tr>
      <w:tr w:rsidR="00CB33C7" w:rsidRPr="00C2587D" w14:paraId="29E3F8DF" w14:textId="77777777" w:rsidTr="00EA6E27">
        <w:trPr>
          <w:trHeight w:val="276"/>
          <w:jc w:val="right"/>
        </w:trPr>
        <w:tc>
          <w:tcPr>
            <w:tcW w:w="3425" w:type="dxa"/>
            <w:shd w:val="clear" w:color="auto" w:fill="FFFFFF"/>
            <w:vAlign w:val="center"/>
          </w:tcPr>
          <w:p w14:paraId="6FC08E6E" w14:textId="77777777" w:rsidR="00CB33C7" w:rsidRPr="00BD5437" w:rsidRDefault="00CB33C7" w:rsidP="00BD5437">
            <w:pPr>
              <w:rPr>
                <w:rFonts w:cs="Arial"/>
                <w:b/>
                <w:bCs/>
                <w:color w:val="000000"/>
                <w:szCs w:val="22"/>
              </w:rPr>
            </w:pPr>
            <w:r w:rsidRPr="00BD5437">
              <w:rPr>
                <w:rFonts w:cs="Arial"/>
                <w:b/>
                <w:bCs/>
                <w:color w:val="000000"/>
                <w:szCs w:val="22"/>
              </w:rPr>
              <w:t>по джерелах фінансування:</w:t>
            </w:r>
          </w:p>
        </w:tc>
        <w:tc>
          <w:tcPr>
            <w:tcW w:w="6794" w:type="dxa"/>
            <w:gridSpan w:val="9"/>
            <w:vAlign w:val="center"/>
          </w:tcPr>
          <w:p w14:paraId="4924F551" w14:textId="77777777" w:rsidR="00CB33C7" w:rsidRPr="00BD5437" w:rsidRDefault="00CB33C7" w:rsidP="00BD5437">
            <w:pPr>
              <w:jc w:val="both"/>
              <w:rPr>
                <w:rFonts w:cs="Arial"/>
                <w:color w:val="000000"/>
                <w:szCs w:val="22"/>
                <w:lang w:eastAsia="it-IT"/>
              </w:rPr>
            </w:pPr>
          </w:p>
        </w:tc>
      </w:tr>
      <w:tr w:rsidR="00BD5437" w:rsidRPr="00C2587D" w14:paraId="1ADBC455" w14:textId="5B8440FC" w:rsidTr="00BD5437">
        <w:trPr>
          <w:trHeight w:val="240"/>
          <w:jc w:val="right"/>
        </w:trPr>
        <w:tc>
          <w:tcPr>
            <w:tcW w:w="3425" w:type="dxa"/>
            <w:shd w:val="clear" w:color="auto" w:fill="FFFFFF"/>
            <w:vAlign w:val="center"/>
          </w:tcPr>
          <w:p w14:paraId="29CF51B0" w14:textId="77777777" w:rsidR="00BD5437" w:rsidRPr="00BD5437" w:rsidRDefault="00BD5437" w:rsidP="00BD5437">
            <w:pPr>
              <w:rPr>
                <w:rFonts w:cs="Arial"/>
                <w:b/>
                <w:bCs/>
                <w:color w:val="000000"/>
                <w:szCs w:val="22"/>
              </w:rPr>
            </w:pPr>
            <w:r w:rsidRPr="00BD5437">
              <w:rPr>
                <w:rFonts w:cs="Arial"/>
                <w:color w:val="000000"/>
                <w:szCs w:val="22"/>
              </w:rPr>
              <w:t>- державний бюджет</w:t>
            </w:r>
          </w:p>
        </w:tc>
        <w:tc>
          <w:tcPr>
            <w:tcW w:w="1350" w:type="dxa"/>
            <w:gridSpan w:val="2"/>
            <w:vAlign w:val="center"/>
          </w:tcPr>
          <w:p w14:paraId="117D9C24" w14:textId="77777777" w:rsidR="00BD5437" w:rsidRPr="00BD5437" w:rsidRDefault="00BD5437" w:rsidP="00BD5437">
            <w:pPr>
              <w:jc w:val="both"/>
              <w:rPr>
                <w:rFonts w:cs="Arial"/>
                <w:color w:val="000000"/>
                <w:szCs w:val="22"/>
                <w:lang w:eastAsia="it-IT"/>
              </w:rPr>
            </w:pPr>
          </w:p>
        </w:tc>
        <w:tc>
          <w:tcPr>
            <w:tcW w:w="1300" w:type="dxa"/>
            <w:vAlign w:val="center"/>
          </w:tcPr>
          <w:p w14:paraId="6ACFA08B" w14:textId="77777777" w:rsidR="00BD5437" w:rsidRPr="00BD5437" w:rsidRDefault="00BD5437" w:rsidP="00BD5437">
            <w:pPr>
              <w:jc w:val="both"/>
              <w:rPr>
                <w:rFonts w:cs="Arial"/>
                <w:color w:val="000000"/>
                <w:szCs w:val="22"/>
                <w:lang w:eastAsia="it-IT"/>
              </w:rPr>
            </w:pPr>
          </w:p>
        </w:tc>
        <w:tc>
          <w:tcPr>
            <w:tcW w:w="1330" w:type="dxa"/>
            <w:gridSpan w:val="3"/>
            <w:vAlign w:val="center"/>
          </w:tcPr>
          <w:p w14:paraId="48C40130" w14:textId="77777777" w:rsidR="00BD5437" w:rsidRPr="00BD5437" w:rsidRDefault="00BD5437" w:rsidP="00BD5437">
            <w:pPr>
              <w:jc w:val="both"/>
              <w:rPr>
                <w:rFonts w:cs="Arial"/>
                <w:color w:val="000000"/>
                <w:szCs w:val="22"/>
                <w:lang w:eastAsia="it-IT"/>
              </w:rPr>
            </w:pPr>
          </w:p>
        </w:tc>
        <w:tc>
          <w:tcPr>
            <w:tcW w:w="1260" w:type="dxa"/>
            <w:gridSpan w:val="2"/>
            <w:vAlign w:val="center"/>
          </w:tcPr>
          <w:p w14:paraId="452B4478" w14:textId="77777777" w:rsidR="00BD5437" w:rsidRPr="00BD5437" w:rsidRDefault="00BD5437" w:rsidP="00BD5437">
            <w:pPr>
              <w:jc w:val="both"/>
              <w:rPr>
                <w:rFonts w:cs="Arial"/>
                <w:color w:val="000000"/>
                <w:szCs w:val="22"/>
                <w:lang w:eastAsia="it-IT"/>
              </w:rPr>
            </w:pPr>
          </w:p>
        </w:tc>
        <w:tc>
          <w:tcPr>
            <w:tcW w:w="1554" w:type="dxa"/>
            <w:vAlign w:val="center"/>
          </w:tcPr>
          <w:p w14:paraId="7BBDFB94" w14:textId="77777777" w:rsidR="00BD5437" w:rsidRPr="00BD5437" w:rsidRDefault="00BD5437" w:rsidP="00BD5437">
            <w:pPr>
              <w:jc w:val="both"/>
              <w:rPr>
                <w:rFonts w:cs="Arial"/>
                <w:color w:val="000000"/>
                <w:szCs w:val="22"/>
                <w:lang w:eastAsia="it-IT"/>
              </w:rPr>
            </w:pPr>
          </w:p>
        </w:tc>
      </w:tr>
      <w:tr w:rsidR="00BD5437" w:rsidRPr="00C2587D" w14:paraId="2D2C11EB" w14:textId="3BE52A6D" w:rsidTr="00BD5437">
        <w:trPr>
          <w:trHeight w:val="254"/>
          <w:jc w:val="right"/>
        </w:trPr>
        <w:tc>
          <w:tcPr>
            <w:tcW w:w="3425" w:type="dxa"/>
            <w:shd w:val="clear" w:color="auto" w:fill="FFFFFF"/>
            <w:vAlign w:val="center"/>
          </w:tcPr>
          <w:p w14:paraId="7C07ADA4" w14:textId="77777777" w:rsidR="00BD5437" w:rsidRPr="00BD5437" w:rsidRDefault="00BD5437" w:rsidP="00BD5437">
            <w:pPr>
              <w:rPr>
                <w:rFonts w:cs="Arial"/>
                <w:color w:val="000000"/>
                <w:szCs w:val="22"/>
              </w:rPr>
            </w:pPr>
            <w:r w:rsidRPr="00BD5437">
              <w:rPr>
                <w:rFonts w:cs="Arial"/>
                <w:color w:val="000000"/>
                <w:szCs w:val="22"/>
              </w:rPr>
              <w:t>- обласний бюджет</w:t>
            </w:r>
          </w:p>
        </w:tc>
        <w:tc>
          <w:tcPr>
            <w:tcW w:w="1350" w:type="dxa"/>
            <w:gridSpan w:val="2"/>
            <w:vAlign w:val="center"/>
          </w:tcPr>
          <w:p w14:paraId="4D9D78B2" w14:textId="77777777" w:rsidR="00BD5437" w:rsidRPr="00BD5437" w:rsidRDefault="00BD5437" w:rsidP="00BD5437">
            <w:pPr>
              <w:jc w:val="both"/>
              <w:rPr>
                <w:rFonts w:cs="Arial"/>
                <w:color w:val="000000"/>
                <w:szCs w:val="22"/>
                <w:lang w:eastAsia="it-IT"/>
              </w:rPr>
            </w:pPr>
          </w:p>
        </w:tc>
        <w:tc>
          <w:tcPr>
            <w:tcW w:w="1300" w:type="dxa"/>
            <w:vAlign w:val="center"/>
          </w:tcPr>
          <w:p w14:paraId="73089527" w14:textId="77777777" w:rsidR="00BD5437" w:rsidRPr="00BD5437" w:rsidRDefault="00BD5437" w:rsidP="00BD5437">
            <w:pPr>
              <w:jc w:val="both"/>
              <w:rPr>
                <w:rFonts w:cs="Arial"/>
                <w:color w:val="000000"/>
                <w:szCs w:val="22"/>
                <w:lang w:eastAsia="it-IT"/>
              </w:rPr>
            </w:pPr>
          </w:p>
        </w:tc>
        <w:tc>
          <w:tcPr>
            <w:tcW w:w="1330" w:type="dxa"/>
            <w:gridSpan w:val="3"/>
            <w:vAlign w:val="center"/>
          </w:tcPr>
          <w:p w14:paraId="1D2A35BE" w14:textId="77777777" w:rsidR="00BD5437" w:rsidRPr="00BD5437" w:rsidRDefault="00BD5437" w:rsidP="00BD5437">
            <w:pPr>
              <w:jc w:val="both"/>
              <w:rPr>
                <w:rFonts w:cs="Arial"/>
                <w:color w:val="000000"/>
                <w:szCs w:val="22"/>
                <w:lang w:eastAsia="it-IT"/>
              </w:rPr>
            </w:pPr>
          </w:p>
        </w:tc>
        <w:tc>
          <w:tcPr>
            <w:tcW w:w="1260" w:type="dxa"/>
            <w:gridSpan w:val="2"/>
            <w:vAlign w:val="center"/>
          </w:tcPr>
          <w:p w14:paraId="4FAEE806" w14:textId="77777777" w:rsidR="00BD5437" w:rsidRPr="00BD5437" w:rsidRDefault="00BD5437" w:rsidP="00BD5437">
            <w:pPr>
              <w:jc w:val="both"/>
              <w:rPr>
                <w:rFonts w:cs="Arial"/>
                <w:color w:val="000000"/>
                <w:szCs w:val="22"/>
                <w:lang w:eastAsia="it-IT"/>
              </w:rPr>
            </w:pPr>
          </w:p>
        </w:tc>
        <w:tc>
          <w:tcPr>
            <w:tcW w:w="1554" w:type="dxa"/>
            <w:vAlign w:val="center"/>
          </w:tcPr>
          <w:p w14:paraId="61997DF3" w14:textId="77777777" w:rsidR="00BD5437" w:rsidRPr="00BD5437" w:rsidRDefault="00BD5437" w:rsidP="00BD5437">
            <w:pPr>
              <w:jc w:val="both"/>
              <w:rPr>
                <w:rFonts w:cs="Arial"/>
                <w:color w:val="000000"/>
                <w:szCs w:val="22"/>
                <w:lang w:eastAsia="it-IT"/>
              </w:rPr>
            </w:pPr>
          </w:p>
        </w:tc>
      </w:tr>
      <w:tr w:rsidR="00BD5437" w:rsidRPr="00C2587D" w14:paraId="361CFA0E" w14:textId="1ADDF8CC" w:rsidTr="00BD5437">
        <w:trPr>
          <w:trHeight w:val="275"/>
          <w:jc w:val="right"/>
        </w:trPr>
        <w:tc>
          <w:tcPr>
            <w:tcW w:w="3425" w:type="dxa"/>
            <w:shd w:val="clear" w:color="auto" w:fill="FFFFFF"/>
            <w:vAlign w:val="center"/>
          </w:tcPr>
          <w:p w14:paraId="0EB82244" w14:textId="77777777" w:rsidR="00BD5437" w:rsidRPr="00BD5437" w:rsidRDefault="00BD5437" w:rsidP="00BD5437">
            <w:pPr>
              <w:rPr>
                <w:rFonts w:cs="Arial"/>
                <w:color w:val="000000"/>
                <w:szCs w:val="22"/>
              </w:rPr>
            </w:pPr>
            <w:r w:rsidRPr="00BD5437">
              <w:rPr>
                <w:rFonts w:cs="Arial"/>
                <w:color w:val="000000"/>
                <w:szCs w:val="22"/>
              </w:rPr>
              <w:t>- бюджет Жмеринської МТГ</w:t>
            </w:r>
          </w:p>
        </w:tc>
        <w:tc>
          <w:tcPr>
            <w:tcW w:w="1350" w:type="dxa"/>
            <w:gridSpan w:val="2"/>
            <w:vAlign w:val="center"/>
          </w:tcPr>
          <w:p w14:paraId="49073F87" w14:textId="59C87AB5" w:rsidR="00BD5437" w:rsidRPr="00BD5437" w:rsidRDefault="00BD5437" w:rsidP="00BD5437">
            <w:pPr>
              <w:jc w:val="both"/>
              <w:rPr>
                <w:rFonts w:cs="Arial"/>
                <w:color w:val="000000"/>
                <w:szCs w:val="22"/>
                <w:lang w:eastAsia="it-IT"/>
              </w:rPr>
            </w:pPr>
          </w:p>
        </w:tc>
        <w:tc>
          <w:tcPr>
            <w:tcW w:w="1300" w:type="dxa"/>
          </w:tcPr>
          <w:p w14:paraId="17B044B6" w14:textId="397676AE" w:rsidR="00BD5437" w:rsidRPr="00BD5437" w:rsidRDefault="00BD5437" w:rsidP="00BD5437">
            <w:pPr>
              <w:jc w:val="center"/>
              <w:rPr>
                <w:rFonts w:cs="Arial"/>
                <w:color w:val="000000"/>
                <w:szCs w:val="22"/>
                <w:lang w:eastAsia="it-IT"/>
              </w:rPr>
            </w:pPr>
            <w:r w:rsidRPr="00BD5437">
              <w:rPr>
                <w:rFonts w:cs="Arial"/>
                <w:color w:val="000000"/>
                <w:szCs w:val="22"/>
                <w:lang w:eastAsia="it-IT"/>
              </w:rPr>
              <w:t>2157,810</w:t>
            </w:r>
          </w:p>
        </w:tc>
        <w:tc>
          <w:tcPr>
            <w:tcW w:w="1330" w:type="dxa"/>
            <w:gridSpan w:val="3"/>
            <w:vAlign w:val="center"/>
          </w:tcPr>
          <w:p w14:paraId="4D3EE6D7" w14:textId="77777777" w:rsidR="00BD5437" w:rsidRPr="00BD5437" w:rsidRDefault="00BD5437" w:rsidP="00BD5437">
            <w:pPr>
              <w:jc w:val="both"/>
              <w:rPr>
                <w:rFonts w:cs="Arial"/>
                <w:color w:val="000000"/>
                <w:szCs w:val="22"/>
                <w:lang w:eastAsia="it-IT"/>
              </w:rPr>
            </w:pPr>
          </w:p>
        </w:tc>
        <w:tc>
          <w:tcPr>
            <w:tcW w:w="1260" w:type="dxa"/>
            <w:gridSpan w:val="2"/>
            <w:vAlign w:val="center"/>
          </w:tcPr>
          <w:p w14:paraId="5A96FCB2" w14:textId="77777777" w:rsidR="00BD5437" w:rsidRPr="00BD5437" w:rsidRDefault="00BD5437" w:rsidP="00BD5437">
            <w:pPr>
              <w:jc w:val="both"/>
              <w:rPr>
                <w:rFonts w:cs="Arial"/>
                <w:color w:val="000000"/>
                <w:szCs w:val="22"/>
                <w:lang w:eastAsia="it-IT"/>
              </w:rPr>
            </w:pPr>
          </w:p>
        </w:tc>
        <w:tc>
          <w:tcPr>
            <w:tcW w:w="1554" w:type="dxa"/>
          </w:tcPr>
          <w:p w14:paraId="509E612E" w14:textId="10B3C2F6" w:rsidR="00BD5437" w:rsidRPr="00BD5437" w:rsidRDefault="00BD5437" w:rsidP="00BD5437">
            <w:pPr>
              <w:jc w:val="center"/>
              <w:rPr>
                <w:rFonts w:cs="Arial"/>
                <w:color w:val="000000"/>
                <w:szCs w:val="22"/>
                <w:lang w:eastAsia="it-IT"/>
              </w:rPr>
            </w:pPr>
            <w:r w:rsidRPr="00BD5437">
              <w:rPr>
                <w:rFonts w:cs="Arial"/>
                <w:b/>
                <w:color w:val="000000"/>
                <w:szCs w:val="22"/>
                <w:lang w:eastAsia="it-IT"/>
              </w:rPr>
              <w:t>2157,810</w:t>
            </w:r>
          </w:p>
        </w:tc>
      </w:tr>
      <w:tr w:rsidR="00BD5437" w:rsidRPr="00C2587D" w14:paraId="4D51B8E5" w14:textId="4265CA1D" w:rsidTr="00BD5437">
        <w:trPr>
          <w:trHeight w:val="226"/>
          <w:jc w:val="right"/>
        </w:trPr>
        <w:tc>
          <w:tcPr>
            <w:tcW w:w="3425" w:type="dxa"/>
            <w:shd w:val="clear" w:color="auto" w:fill="FFFFFF"/>
            <w:vAlign w:val="center"/>
          </w:tcPr>
          <w:p w14:paraId="10B1C707" w14:textId="77777777" w:rsidR="00BD5437" w:rsidRPr="00BD5437" w:rsidRDefault="00BD5437" w:rsidP="00BD5437">
            <w:pPr>
              <w:rPr>
                <w:rFonts w:cs="Arial"/>
                <w:color w:val="000000"/>
                <w:szCs w:val="22"/>
              </w:rPr>
            </w:pPr>
            <w:r w:rsidRPr="00BD5437">
              <w:rPr>
                <w:rFonts w:cs="Arial"/>
                <w:color w:val="000000"/>
                <w:szCs w:val="22"/>
              </w:rPr>
              <w:t>- інші джерела фінансування</w:t>
            </w:r>
          </w:p>
        </w:tc>
        <w:tc>
          <w:tcPr>
            <w:tcW w:w="1350" w:type="dxa"/>
            <w:gridSpan w:val="2"/>
            <w:vAlign w:val="center"/>
          </w:tcPr>
          <w:p w14:paraId="0F2D0627" w14:textId="77777777" w:rsidR="00BD5437" w:rsidRPr="00BD5437" w:rsidRDefault="00BD5437" w:rsidP="00BD5437">
            <w:pPr>
              <w:jc w:val="both"/>
              <w:rPr>
                <w:rFonts w:cs="Arial"/>
                <w:color w:val="000000"/>
                <w:szCs w:val="22"/>
                <w:lang w:eastAsia="it-IT"/>
              </w:rPr>
            </w:pPr>
          </w:p>
        </w:tc>
        <w:tc>
          <w:tcPr>
            <w:tcW w:w="1300" w:type="dxa"/>
            <w:vAlign w:val="center"/>
          </w:tcPr>
          <w:p w14:paraId="31E53356" w14:textId="77777777" w:rsidR="00BD5437" w:rsidRPr="00BD5437" w:rsidRDefault="00BD5437" w:rsidP="00BD5437">
            <w:pPr>
              <w:jc w:val="both"/>
              <w:rPr>
                <w:rFonts w:cs="Arial"/>
                <w:color w:val="000000"/>
                <w:szCs w:val="22"/>
                <w:lang w:eastAsia="it-IT"/>
              </w:rPr>
            </w:pPr>
          </w:p>
        </w:tc>
        <w:tc>
          <w:tcPr>
            <w:tcW w:w="1330" w:type="dxa"/>
            <w:gridSpan w:val="3"/>
            <w:vAlign w:val="center"/>
          </w:tcPr>
          <w:p w14:paraId="23B83D4E" w14:textId="77777777" w:rsidR="00BD5437" w:rsidRPr="00BD5437" w:rsidRDefault="00BD5437" w:rsidP="00BD5437">
            <w:pPr>
              <w:jc w:val="both"/>
              <w:rPr>
                <w:rFonts w:cs="Arial"/>
                <w:color w:val="000000"/>
                <w:szCs w:val="22"/>
                <w:lang w:eastAsia="it-IT"/>
              </w:rPr>
            </w:pPr>
          </w:p>
        </w:tc>
        <w:tc>
          <w:tcPr>
            <w:tcW w:w="1260" w:type="dxa"/>
            <w:gridSpan w:val="2"/>
            <w:vAlign w:val="center"/>
          </w:tcPr>
          <w:p w14:paraId="6BBD5DDA" w14:textId="77777777" w:rsidR="00BD5437" w:rsidRPr="00BD5437" w:rsidRDefault="00BD5437" w:rsidP="00BD5437">
            <w:pPr>
              <w:jc w:val="both"/>
              <w:rPr>
                <w:rFonts w:cs="Arial"/>
                <w:color w:val="000000"/>
                <w:szCs w:val="22"/>
                <w:lang w:eastAsia="it-IT"/>
              </w:rPr>
            </w:pPr>
          </w:p>
        </w:tc>
        <w:tc>
          <w:tcPr>
            <w:tcW w:w="1554" w:type="dxa"/>
            <w:vAlign w:val="center"/>
          </w:tcPr>
          <w:p w14:paraId="56079EF0" w14:textId="77777777" w:rsidR="00BD5437" w:rsidRPr="00BD5437" w:rsidRDefault="00BD5437" w:rsidP="00BD5437">
            <w:pPr>
              <w:jc w:val="both"/>
              <w:rPr>
                <w:rFonts w:cs="Arial"/>
                <w:color w:val="000000"/>
                <w:szCs w:val="22"/>
                <w:lang w:eastAsia="it-IT"/>
              </w:rPr>
            </w:pPr>
          </w:p>
        </w:tc>
      </w:tr>
      <w:tr w:rsidR="00BD5437" w:rsidRPr="00C2587D" w14:paraId="358161B2" w14:textId="77777777" w:rsidTr="00EA6E27">
        <w:trPr>
          <w:jc w:val="right"/>
        </w:trPr>
        <w:tc>
          <w:tcPr>
            <w:tcW w:w="3425" w:type="dxa"/>
            <w:shd w:val="clear" w:color="auto" w:fill="FFFFFF"/>
            <w:vAlign w:val="center"/>
          </w:tcPr>
          <w:p w14:paraId="532F01E8" w14:textId="77777777" w:rsidR="00BD5437" w:rsidRPr="00BD5437" w:rsidRDefault="00BD5437" w:rsidP="00BD5437">
            <w:pPr>
              <w:rPr>
                <w:rFonts w:cs="Arial"/>
                <w:b/>
                <w:bCs/>
                <w:color w:val="000000"/>
                <w:szCs w:val="22"/>
              </w:rPr>
            </w:pPr>
            <w:r w:rsidRPr="00BD5437">
              <w:rPr>
                <w:rFonts w:cs="Arial"/>
                <w:b/>
                <w:color w:val="000000"/>
                <w:szCs w:val="22"/>
              </w:rPr>
              <w:t>Відповідальний виконавець проєкту:</w:t>
            </w:r>
          </w:p>
        </w:tc>
        <w:tc>
          <w:tcPr>
            <w:tcW w:w="6794" w:type="dxa"/>
            <w:gridSpan w:val="9"/>
            <w:vAlign w:val="center"/>
          </w:tcPr>
          <w:p w14:paraId="5E95D7B7" w14:textId="2AB0C2F5" w:rsidR="00BD5437" w:rsidRPr="00BD5437" w:rsidRDefault="00BD5437" w:rsidP="00DD6DC0">
            <w:pPr>
              <w:jc w:val="both"/>
              <w:rPr>
                <w:rFonts w:cs="Arial"/>
                <w:color w:val="000000"/>
                <w:szCs w:val="22"/>
                <w:lang w:eastAsia="it-IT"/>
              </w:rPr>
            </w:pPr>
            <w:r w:rsidRPr="00BD5437">
              <w:rPr>
                <w:rFonts w:cs="Arial"/>
                <w:color w:val="000000"/>
                <w:szCs w:val="22"/>
                <w:lang w:eastAsia="it-IT"/>
              </w:rPr>
              <w:t>Управління ЖКГ.</w:t>
            </w:r>
          </w:p>
        </w:tc>
      </w:tr>
      <w:tr w:rsidR="00BD5437" w:rsidRPr="00C2587D" w14:paraId="0180F57E" w14:textId="77777777" w:rsidTr="00EA6E27">
        <w:trPr>
          <w:jc w:val="right"/>
        </w:trPr>
        <w:tc>
          <w:tcPr>
            <w:tcW w:w="3425" w:type="dxa"/>
            <w:shd w:val="clear" w:color="auto" w:fill="FFFFFF"/>
            <w:vAlign w:val="center"/>
          </w:tcPr>
          <w:p w14:paraId="3F8DB7D1" w14:textId="77777777" w:rsidR="00BD5437" w:rsidRPr="00BD5437" w:rsidRDefault="00BD5437" w:rsidP="00BD5437">
            <w:pPr>
              <w:rPr>
                <w:rFonts w:cs="Arial"/>
                <w:b/>
                <w:bCs/>
                <w:color w:val="000000"/>
                <w:szCs w:val="22"/>
              </w:rPr>
            </w:pPr>
            <w:r w:rsidRPr="00BD5437">
              <w:rPr>
                <w:rFonts w:cs="Arial"/>
                <w:b/>
                <w:bCs/>
                <w:color w:val="000000"/>
                <w:szCs w:val="22"/>
              </w:rPr>
              <w:t>Інше:</w:t>
            </w:r>
          </w:p>
        </w:tc>
        <w:tc>
          <w:tcPr>
            <w:tcW w:w="6794" w:type="dxa"/>
            <w:gridSpan w:val="9"/>
            <w:vAlign w:val="center"/>
          </w:tcPr>
          <w:p w14:paraId="14CFC338" w14:textId="77777777" w:rsidR="00BD5437" w:rsidRPr="00BD5437" w:rsidRDefault="00BD5437" w:rsidP="00BD5437">
            <w:pPr>
              <w:rPr>
                <w:rFonts w:cs="Arial"/>
                <w:color w:val="000000"/>
                <w:szCs w:val="22"/>
                <w:lang w:eastAsia="it-IT"/>
              </w:rPr>
            </w:pPr>
          </w:p>
        </w:tc>
      </w:tr>
    </w:tbl>
    <w:p w14:paraId="4B569473" w14:textId="77777777" w:rsidR="00CB33C7" w:rsidRPr="00C2587D" w:rsidRDefault="00CB33C7" w:rsidP="00CB33C7"/>
    <w:p w14:paraId="5D9089A8" w14:textId="77777777" w:rsidR="00EA6E27" w:rsidRPr="00C2587D" w:rsidRDefault="00EA6E27" w:rsidP="00CB33C7">
      <w:pPr>
        <w:jc w:val="center"/>
        <w:rPr>
          <w:rFonts w:cs="Arial"/>
          <w:b/>
          <w:color w:val="000000"/>
          <w:szCs w:val="22"/>
        </w:rPr>
      </w:pPr>
    </w:p>
    <w:p w14:paraId="0E191CBF" w14:textId="77777777" w:rsidR="00DD6DC0" w:rsidRDefault="00DD6DC0">
      <w:pPr>
        <w:rPr>
          <w:rFonts w:cs="Arial"/>
          <w:b/>
          <w:color w:val="000000"/>
          <w:szCs w:val="22"/>
        </w:rPr>
      </w:pPr>
      <w:r>
        <w:rPr>
          <w:rFonts w:cs="Arial"/>
          <w:b/>
          <w:color w:val="000000"/>
          <w:szCs w:val="22"/>
        </w:rPr>
        <w:br w:type="page"/>
      </w:r>
    </w:p>
    <w:p w14:paraId="6CE3E336" w14:textId="3C4715B9" w:rsidR="00CB33C7" w:rsidRPr="00C2587D" w:rsidRDefault="00CB33C7" w:rsidP="00CB33C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7D907232" w14:textId="77777777" w:rsidR="00CB33C7" w:rsidRPr="00C2587D" w:rsidRDefault="00CB33C7" w:rsidP="00CB33C7">
      <w:pPr>
        <w:jc w:val="center"/>
        <w:rPr>
          <w:rFonts w:cs="Arial"/>
          <w:b/>
          <w:color w:val="000000"/>
          <w:szCs w:val="22"/>
        </w:rPr>
      </w:pPr>
      <w:r w:rsidRPr="00C2587D">
        <w:rPr>
          <w:rFonts w:cs="Arial"/>
          <w:b/>
          <w:color w:val="000000"/>
          <w:szCs w:val="22"/>
        </w:rPr>
        <w:t>до Плану заходів з реалізації Стратегії</w:t>
      </w:r>
    </w:p>
    <w:p w14:paraId="2979D171" w14:textId="77777777" w:rsidR="00CB33C7" w:rsidRPr="00C2587D" w:rsidRDefault="00CB33C7" w:rsidP="00CB33C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6"/>
        <w:gridCol w:w="1406"/>
        <w:gridCol w:w="34"/>
        <w:gridCol w:w="1247"/>
        <w:gridCol w:w="53"/>
        <w:gridCol w:w="1223"/>
        <w:gridCol w:w="57"/>
        <w:gridCol w:w="1514"/>
      </w:tblGrid>
      <w:tr w:rsidR="00CB33C7" w:rsidRPr="00C2587D" w14:paraId="4DA0C148" w14:textId="77777777" w:rsidTr="00EA6E27">
        <w:trPr>
          <w:jc w:val="right"/>
        </w:trPr>
        <w:tc>
          <w:tcPr>
            <w:tcW w:w="3425" w:type="dxa"/>
            <w:vAlign w:val="center"/>
          </w:tcPr>
          <w:p w14:paraId="41649778" w14:textId="77777777" w:rsidR="00CB33C7" w:rsidRPr="00C2587D" w:rsidRDefault="00CB33C7" w:rsidP="00EA6E27">
            <w:pPr>
              <w:rPr>
                <w:rFonts w:cs="Arial"/>
                <w:b/>
                <w:bCs/>
                <w:color w:val="000000"/>
                <w:szCs w:val="22"/>
              </w:rPr>
            </w:pPr>
            <w:r w:rsidRPr="00C2587D">
              <w:rPr>
                <w:rFonts w:cs="Arial"/>
                <w:b/>
                <w:bCs/>
                <w:color w:val="000000"/>
                <w:szCs w:val="22"/>
              </w:rPr>
              <w:t>Назва проєкту:</w:t>
            </w:r>
          </w:p>
        </w:tc>
        <w:tc>
          <w:tcPr>
            <w:tcW w:w="6794" w:type="dxa"/>
            <w:gridSpan w:val="9"/>
          </w:tcPr>
          <w:p w14:paraId="4B13B202" w14:textId="77777777" w:rsidR="00CB33C7" w:rsidRPr="00C2587D" w:rsidRDefault="00CB33C7" w:rsidP="00BD5437">
            <w:pPr>
              <w:spacing w:before="40" w:after="40"/>
              <w:jc w:val="both"/>
              <w:rPr>
                <w:b/>
                <w:lang w:eastAsia="it-IT"/>
              </w:rPr>
            </w:pPr>
            <w:r w:rsidRPr="00C2587D">
              <w:rPr>
                <w:rFonts w:eastAsia="Arial"/>
                <w:b/>
                <w:lang w:eastAsia="en-US"/>
              </w:rPr>
              <w:t>Капітальний ремонт дорожнього покриття по вул. Садова (від буд. №20 до вул. Центральної та від вул. Центральної до буд. №25) в с. Почапинці Жмеринського району Вінницької області(коригування)</w:t>
            </w:r>
          </w:p>
        </w:tc>
      </w:tr>
      <w:tr w:rsidR="00CB33C7" w:rsidRPr="00C2587D" w14:paraId="5EFD4CCD" w14:textId="77777777" w:rsidTr="00EA6E27">
        <w:trPr>
          <w:jc w:val="right"/>
        </w:trPr>
        <w:tc>
          <w:tcPr>
            <w:tcW w:w="3425" w:type="dxa"/>
          </w:tcPr>
          <w:p w14:paraId="2B23B6BB" w14:textId="77777777" w:rsidR="00CB33C7" w:rsidRPr="00C2587D" w:rsidRDefault="00CB33C7" w:rsidP="00EA6E27">
            <w:pPr>
              <w:spacing w:before="40" w:after="40"/>
              <w:rPr>
                <w:rFonts w:cs="Arial"/>
                <w:sz w:val="20"/>
                <w:szCs w:val="22"/>
                <w:lang w:eastAsia="it-IT"/>
              </w:rPr>
            </w:pPr>
            <w:r w:rsidRPr="00C2587D">
              <w:rPr>
                <w:rFonts w:cs="Arial"/>
                <w:b/>
                <w:bCs/>
                <w:szCs w:val="22"/>
              </w:rPr>
              <w:t>Ваші контакти</w:t>
            </w:r>
            <w:r w:rsidRPr="00C2587D">
              <w:rPr>
                <w:rFonts w:cs="Arial"/>
                <w:sz w:val="20"/>
                <w:szCs w:val="22"/>
                <w:lang w:eastAsia="it-IT"/>
              </w:rPr>
              <w:t>:</w:t>
            </w:r>
          </w:p>
          <w:p w14:paraId="1425FA07" w14:textId="77777777" w:rsidR="00CB33C7" w:rsidRPr="00C2587D" w:rsidRDefault="00CB33C7" w:rsidP="00EA6E27">
            <w:pPr>
              <w:spacing w:before="40" w:after="40"/>
              <w:rPr>
                <w:rFonts w:cs="Arial"/>
                <w:b/>
                <w:bCs/>
                <w:szCs w:val="22"/>
              </w:rPr>
            </w:pPr>
            <w:r w:rsidRPr="00C2587D">
              <w:rPr>
                <w:rFonts w:cs="Arial"/>
                <w:sz w:val="20"/>
                <w:szCs w:val="22"/>
                <w:lang w:eastAsia="it-IT"/>
              </w:rPr>
              <w:t>Назва установи, організації, підприємства</w:t>
            </w:r>
          </w:p>
        </w:tc>
        <w:tc>
          <w:tcPr>
            <w:tcW w:w="6794" w:type="dxa"/>
            <w:gridSpan w:val="9"/>
          </w:tcPr>
          <w:p w14:paraId="0FF5AD12" w14:textId="77777777" w:rsidR="00CB33C7" w:rsidRPr="00C2587D" w:rsidRDefault="00CB33C7" w:rsidP="00EA6E27">
            <w:pPr>
              <w:spacing w:before="40" w:after="40"/>
              <w:rPr>
                <w:lang w:eastAsia="it-IT"/>
              </w:rPr>
            </w:pPr>
            <w:r w:rsidRPr="00C2587D">
              <w:rPr>
                <w:lang w:eastAsia="it-IT"/>
              </w:rPr>
              <w:t>Управління житлово-комунального господарства Жмеринської міської ради</w:t>
            </w:r>
          </w:p>
        </w:tc>
      </w:tr>
      <w:tr w:rsidR="00CB33C7" w:rsidRPr="00C2587D" w14:paraId="09803BFE" w14:textId="77777777" w:rsidTr="00EA6E27">
        <w:trPr>
          <w:jc w:val="right"/>
        </w:trPr>
        <w:tc>
          <w:tcPr>
            <w:tcW w:w="3425" w:type="dxa"/>
          </w:tcPr>
          <w:p w14:paraId="36783654" w14:textId="77777777" w:rsidR="00CB33C7" w:rsidRPr="00C2587D" w:rsidRDefault="00CB33C7" w:rsidP="00EA6E27">
            <w:pPr>
              <w:spacing w:before="40" w:after="40"/>
              <w:rPr>
                <w:rFonts w:cs="Arial"/>
                <w:b/>
                <w:bCs/>
                <w:szCs w:val="22"/>
              </w:rPr>
            </w:pPr>
            <w:r w:rsidRPr="00C2587D">
              <w:rPr>
                <w:rFonts w:cs="Arial"/>
                <w:sz w:val="20"/>
                <w:szCs w:val="22"/>
                <w:lang w:eastAsia="it-IT"/>
              </w:rPr>
              <w:t>Прізвище Ім’я По-батькові:</w:t>
            </w:r>
          </w:p>
        </w:tc>
        <w:tc>
          <w:tcPr>
            <w:tcW w:w="6794" w:type="dxa"/>
            <w:gridSpan w:val="9"/>
          </w:tcPr>
          <w:p w14:paraId="3CC916E6" w14:textId="77777777" w:rsidR="00CB33C7" w:rsidRPr="00C2587D" w:rsidRDefault="00CB33C7" w:rsidP="00EA6E27">
            <w:pPr>
              <w:spacing w:before="40" w:after="40"/>
              <w:rPr>
                <w:lang w:eastAsia="it-IT"/>
              </w:rPr>
            </w:pPr>
            <w:r w:rsidRPr="00C2587D">
              <w:rPr>
                <w:lang w:eastAsia="it-IT"/>
              </w:rPr>
              <w:t>Оленич Андрій Васильович</w:t>
            </w:r>
          </w:p>
        </w:tc>
      </w:tr>
      <w:tr w:rsidR="00CB33C7" w:rsidRPr="00C2587D" w14:paraId="19BF8C0F" w14:textId="77777777" w:rsidTr="00EA6E27">
        <w:trPr>
          <w:jc w:val="right"/>
        </w:trPr>
        <w:tc>
          <w:tcPr>
            <w:tcW w:w="3425" w:type="dxa"/>
          </w:tcPr>
          <w:p w14:paraId="178A28DD" w14:textId="77777777" w:rsidR="00CB33C7" w:rsidRPr="00C2587D" w:rsidRDefault="00CB33C7" w:rsidP="00EA6E27">
            <w:pPr>
              <w:spacing w:before="40" w:after="40"/>
              <w:rPr>
                <w:rFonts w:cs="Arial"/>
                <w:b/>
                <w:bCs/>
                <w:szCs w:val="22"/>
              </w:rPr>
            </w:pPr>
            <w:r w:rsidRPr="00C2587D">
              <w:rPr>
                <w:rFonts w:cs="Arial"/>
                <w:sz w:val="20"/>
                <w:szCs w:val="22"/>
                <w:lang w:eastAsia="it-IT"/>
              </w:rPr>
              <w:t>Телефон (мобільний):</w:t>
            </w:r>
          </w:p>
        </w:tc>
        <w:tc>
          <w:tcPr>
            <w:tcW w:w="6794" w:type="dxa"/>
            <w:gridSpan w:val="9"/>
          </w:tcPr>
          <w:p w14:paraId="2A4E527F" w14:textId="77777777" w:rsidR="00CB33C7" w:rsidRPr="00C2587D" w:rsidRDefault="00CB33C7" w:rsidP="00EA6E27">
            <w:pPr>
              <w:spacing w:before="40" w:after="40"/>
              <w:rPr>
                <w:lang w:eastAsia="it-IT"/>
              </w:rPr>
            </w:pPr>
            <w:r w:rsidRPr="00C2587D">
              <w:rPr>
                <w:lang w:eastAsia="it-IT"/>
              </w:rPr>
              <w:t>0972561907</w:t>
            </w:r>
          </w:p>
        </w:tc>
      </w:tr>
      <w:tr w:rsidR="00CB33C7" w:rsidRPr="00C2587D" w14:paraId="0F57711C" w14:textId="77777777" w:rsidTr="00EA6E27">
        <w:trPr>
          <w:jc w:val="right"/>
        </w:trPr>
        <w:tc>
          <w:tcPr>
            <w:tcW w:w="3425" w:type="dxa"/>
          </w:tcPr>
          <w:p w14:paraId="646CDE95" w14:textId="77777777" w:rsidR="00CB33C7" w:rsidRPr="00C2587D" w:rsidRDefault="00CB33C7" w:rsidP="00EA6E27">
            <w:pPr>
              <w:spacing w:before="40" w:after="40"/>
              <w:rPr>
                <w:rFonts w:cs="Arial"/>
                <w:b/>
                <w:bCs/>
                <w:szCs w:val="22"/>
              </w:rPr>
            </w:pPr>
            <w:r w:rsidRPr="00C2587D">
              <w:rPr>
                <w:rFonts w:cs="Arial"/>
                <w:sz w:val="20"/>
                <w:szCs w:val="22"/>
                <w:lang w:eastAsia="it-IT"/>
              </w:rPr>
              <w:t>Електронна адреса:</w:t>
            </w:r>
          </w:p>
        </w:tc>
        <w:tc>
          <w:tcPr>
            <w:tcW w:w="6794" w:type="dxa"/>
            <w:gridSpan w:val="9"/>
          </w:tcPr>
          <w:p w14:paraId="3FA3F0BE" w14:textId="77777777" w:rsidR="00CB33C7" w:rsidRPr="00C2587D" w:rsidRDefault="00D85FFD" w:rsidP="00EA6E27">
            <w:pPr>
              <w:spacing w:before="40" w:after="40"/>
              <w:rPr>
                <w:lang w:eastAsia="it-IT"/>
              </w:rPr>
            </w:pPr>
            <w:hyperlink r:id="rId53" w:history="1">
              <w:r w:rsidR="00CB33C7" w:rsidRPr="00C2587D">
                <w:rPr>
                  <w:rStyle w:val="af0"/>
                  <w:noProof w:val="0"/>
                  <w:sz w:val="24"/>
                  <w:lang w:eastAsia="it-IT"/>
                </w:rPr>
                <w:t>Aolenych03@ukr.net</w:t>
              </w:r>
            </w:hyperlink>
          </w:p>
        </w:tc>
      </w:tr>
      <w:tr w:rsidR="00CB33C7" w:rsidRPr="00C2587D" w14:paraId="2BA031DD" w14:textId="77777777" w:rsidTr="00EA6E27">
        <w:trPr>
          <w:jc w:val="right"/>
        </w:trPr>
        <w:tc>
          <w:tcPr>
            <w:tcW w:w="3425" w:type="dxa"/>
            <w:vAlign w:val="center"/>
          </w:tcPr>
          <w:p w14:paraId="289AE89C" w14:textId="77777777" w:rsidR="00CB33C7" w:rsidRPr="00C2587D" w:rsidRDefault="00CB33C7" w:rsidP="00EA6E27">
            <w:pPr>
              <w:pStyle w:val="6"/>
              <w:spacing w:before="0" w:after="0"/>
              <w:rPr>
                <w:rFonts w:ascii="Arial" w:hAnsi="Arial" w:cs="Arial"/>
                <w:color w:val="000000"/>
                <w:lang w:val="uk-UA"/>
              </w:rPr>
            </w:pPr>
            <w:r w:rsidRPr="00C2587D">
              <w:rPr>
                <w:rFonts w:ascii="Arial" w:hAnsi="Arial" w:cs="Arial"/>
                <w:color w:val="000000"/>
                <w:lang w:val="uk-UA"/>
              </w:rPr>
              <w:t>Номер і назва завдання з Стратегії</w:t>
            </w:r>
            <w:r w:rsidRPr="00C2587D">
              <w:rPr>
                <w:rFonts w:ascii="Arial" w:hAnsi="Arial" w:cs="Arial"/>
                <w:sz w:val="16"/>
                <w:szCs w:val="16"/>
                <w:lang w:val="uk-UA" w:eastAsia="it-IT"/>
              </w:rPr>
              <w:t xml:space="preserve"> </w:t>
            </w:r>
            <w:r w:rsidRPr="00C2587D">
              <w:rPr>
                <w:rFonts w:ascii="Arial" w:hAnsi="Arial" w:cs="Arial"/>
                <w:color w:val="000000"/>
                <w:lang w:val="uk-UA"/>
              </w:rPr>
              <w:t xml:space="preserve">розвитку Жмеринської міської </w:t>
            </w:r>
          </w:p>
        </w:tc>
        <w:tc>
          <w:tcPr>
            <w:tcW w:w="6794" w:type="dxa"/>
            <w:gridSpan w:val="9"/>
            <w:vAlign w:val="center"/>
          </w:tcPr>
          <w:p w14:paraId="59DA6D4E" w14:textId="77777777" w:rsidR="00CB33C7" w:rsidRPr="00C2587D" w:rsidRDefault="00CB33C7" w:rsidP="00EA6E27">
            <w:pPr>
              <w:suppressAutoHyphens/>
              <w:spacing w:before="20" w:after="20"/>
              <w:jc w:val="both"/>
              <w:rPr>
                <w:rFonts w:eastAsia="Lucida Sans Unicode" w:cs="Arial"/>
                <w:kern w:val="1"/>
                <w:lang w:eastAsia="ar-SA"/>
              </w:rPr>
            </w:pPr>
            <w:r w:rsidRPr="00C2587D">
              <w:rPr>
                <w:rFonts w:eastAsia="Lucida Sans Unicode"/>
                <w:kern w:val="1"/>
                <w:lang w:eastAsia="ar-SA"/>
              </w:rPr>
              <w:t>В.1.1.3. Проведення будівництва, реконструкції та капітального ремонту дорожнього покриття вулиць  та тротуарів в населених пунктах територіальної громади.</w:t>
            </w:r>
          </w:p>
        </w:tc>
      </w:tr>
      <w:tr w:rsidR="00CB33C7" w:rsidRPr="00C2587D" w14:paraId="737D05C2" w14:textId="77777777" w:rsidTr="00EA6E27">
        <w:trPr>
          <w:jc w:val="right"/>
        </w:trPr>
        <w:tc>
          <w:tcPr>
            <w:tcW w:w="3425" w:type="dxa"/>
            <w:vAlign w:val="center"/>
          </w:tcPr>
          <w:p w14:paraId="3BA5ADAC" w14:textId="77777777" w:rsidR="00CB33C7" w:rsidRPr="00C2587D" w:rsidRDefault="00CB33C7" w:rsidP="00EA6E27">
            <w:pPr>
              <w:rPr>
                <w:rFonts w:cs="Arial"/>
                <w:b/>
                <w:bCs/>
                <w:color w:val="000000"/>
                <w:szCs w:val="22"/>
              </w:rPr>
            </w:pPr>
            <w:r w:rsidRPr="00C2587D">
              <w:rPr>
                <w:rFonts w:cs="Arial"/>
                <w:b/>
                <w:bCs/>
                <w:color w:val="000000"/>
                <w:szCs w:val="22"/>
              </w:rPr>
              <w:t>Мета проєкту:</w:t>
            </w:r>
          </w:p>
        </w:tc>
        <w:tc>
          <w:tcPr>
            <w:tcW w:w="6794" w:type="dxa"/>
            <w:gridSpan w:val="9"/>
          </w:tcPr>
          <w:p w14:paraId="5E0476C6" w14:textId="3117A9DA" w:rsidR="00CB33C7" w:rsidRPr="00C2587D" w:rsidRDefault="00DD6DC0" w:rsidP="00DD6DC0">
            <w:pPr>
              <w:spacing w:before="40" w:after="40"/>
              <w:jc w:val="both"/>
              <w:rPr>
                <w:rFonts w:cs="Arial"/>
                <w:lang w:eastAsia="it-IT"/>
              </w:rPr>
            </w:pPr>
            <w:r>
              <w:rPr>
                <w:rFonts w:cs="Arial"/>
                <w:lang w:eastAsia="it-IT"/>
              </w:rPr>
              <w:t xml:space="preserve">Забезпечення </w:t>
            </w:r>
            <w:r w:rsidR="00CB33C7" w:rsidRPr="00C2587D">
              <w:rPr>
                <w:rFonts w:cs="Arial"/>
                <w:lang w:eastAsia="it-IT"/>
              </w:rPr>
              <w:t>населення громад</w:t>
            </w:r>
            <w:r w:rsidR="00BD5437">
              <w:rPr>
                <w:rFonts w:cs="Arial"/>
                <w:lang w:eastAsia="it-IT"/>
              </w:rPr>
              <w:t>и Почапи</w:t>
            </w:r>
            <w:r w:rsidR="00BD5437" w:rsidRPr="00C2587D">
              <w:rPr>
                <w:rFonts w:cs="Arial"/>
                <w:lang w:eastAsia="it-IT"/>
              </w:rPr>
              <w:t>н</w:t>
            </w:r>
            <w:r w:rsidR="00BD5437">
              <w:rPr>
                <w:rFonts w:cs="Arial"/>
                <w:lang w:eastAsia="it-IT"/>
              </w:rPr>
              <w:t>е</w:t>
            </w:r>
            <w:r w:rsidR="00BD5437" w:rsidRPr="00C2587D">
              <w:rPr>
                <w:rFonts w:cs="Arial"/>
                <w:lang w:eastAsia="it-IT"/>
              </w:rPr>
              <w:t>цького</w:t>
            </w:r>
            <w:r w:rsidR="00CB33C7" w:rsidRPr="00C2587D">
              <w:rPr>
                <w:rFonts w:cs="Arial"/>
                <w:lang w:eastAsia="it-IT"/>
              </w:rPr>
              <w:t xml:space="preserve"> старостинського округу, а саме: села </w:t>
            </w:r>
            <w:r w:rsidR="00BD5437" w:rsidRPr="00C2587D">
              <w:rPr>
                <w:rFonts w:cs="Arial"/>
                <w:lang w:eastAsia="it-IT"/>
              </w:rPr>
              <w:t>Почапинці</w:t>
            </w:r>
            <w:r w:rsidR="00CB33C7" w:rsidRPr="00C2587D">
              <w:rPr>
                <w:rFonts w:cs="Arial"/>
                <w:lang w:eastAsia="it-IT"/>
              </w:rPr>
              <w:t xml:space="preserve"> якісною інфраструктурою, а саме дорогами з рівним покриттям.</w:t>
            </w:r>
          </w:p>
          <w:p w14:paraId="6C4D7B38" w14:textId="77777777" w:rsidR="00CB33C7" w:rsidRPr="00C2587D" w:rsidRDefault="00CB33C7" w:rsidP="00DD6DC0">
            <w:pPr>
              <w:spacing w:before="40" w:after="40"/>
              <w:jc w:val="both"/>
              <w:rPr>
                <w:lang w:eastAsia="it-IT"/>
              </w:rPr>
            </w:pPr>
            <w:r w:rsidRPr="00C2587D">
              <w:rPr>
                <w:rFonts w:cs="Arial"/>
                <w:lang w:eastAsia="it-IT"/>
              </w:rPr>
              <w:t>Мешканці громади отримують більш комфортні   та безпечні умови проживання та перебування в населеному пункті.</w:t>
            </w:r>
          </w:p>
        </w:tc>
      </w:tr>
      <w:tr w:rsidR="00CB33C7" w:rsidRPr="00C2587D" w14:paraId="0AB7A1CA" w14:textId="77777777" w:rsidTr="00EA6E27">
        <w:trPr>
          <w:jc w:val="right"/>
        </w:trPr>
        <w:tc>
          <w:tcPr>
            <w:tcW w:w="3425" w:type="dxa"/>
            <w:vAlign w:val="center"/>
          </w:tcPr>
          <w:p w14:paraId="1E52CB68" w14:textId="77777777" w:rsidR="00CB33C7" w:rsidRPr="00C2587D" w:rsidRDefault="00CB33C7" w:rsidP="00EA6E27">
            <w:pPr>
              <w:rPr>
                <w:rFonts w:cs="Arial"/>
                <w:b/>
                <w:bCs/>
                <w:color w:val="000000"/>
                <w:szCs w:val="22"/>
              </w:rPr>
            </w:pPr>
            <w:r w:rsidRPr="00C2587D">
              <w:rPr>
                <w:rFonts w:cs="Arial"/>
                <w:b/>
                <w:bCs/>
                <w:color w:val="000000"/>
                <w:szCs w:val="22"/>
              </w:rPr>
              <w:t>Цілі проєкту:</w:t>
            </w:r>
          </w:p>
        </w:tc>
        <w:tc>
          <w:tcPr>
            <w:tcW w:w="6794" w:type="dxa"/>
            <w:gridSpan w:val="9"/>
          </w:tcPr>
          <w:p w14:paraId="695205DB" w14:textId="351AAE7A" w:rsidR="00CB33C7" w:rsidRPr="00C2587D" w:rsidRDefault="00CB33C7" w:rsidP="00DD6DC0">
            <w:pPr>
              <w:spacing w:before="40" w:after="40"/>
              <w:jc w:val="both"/>
              <w:rPr>
                <w:lang w:eastAsia="it-IT"/>
              </w:rPr>
            </w:pPr>
            <w:r w:rsidRPr="00C2587D">
              <w:rPr>
                <w:rFonts w:cs="Arial"/>
                <w:lang w:eastAsia="it-IT"/>
              </w:rPr>
              <w:t xml:space="preserve">Покращити інфраструктуру   дорожнього покриття в с. </w:t>
            </w:r>
            <w:r w:rsidR="00BD5437" w:rsidRPr="00C2587D">
              <w:rPr>
                <w:rFonts w:cs="Arial"/>
                <w:lang w:eastAsia="it-IT"/>
              </w:rPr>
              <w:t>Почапинці</w:t>
            </w:r>
          </w:p>
        </w:tc>
      </w:tr>
      <w:tr w:rsidR="00CB33C7" w:rsidRPr="00C2587D" w14:paraId="22C4AEC6" w14:textId="77777777" w:rsidTr="00EA6E27">
        <w:trPr>
          <w:jc w:val="right"/>
        </w:trPr>
        <w:tc>
          <w:tcPr>
            <w:tcW w:w="3425" w:type="dxa"/>
            <w:vAlign w:val="center"/>
          </w:tcPr>
          <w:p w14:paraId="41C68631" w14:textId="77777777" w:rsidR="00CB33C7" w:rsidRPr="00C2587D" w:rsidRDefault="00CB33C7" w:rsidP="00EA6E27">
            <w:pPr>
              <w:autoSpaceDE w:val="0"/>
              <w:autoSpaceDN w:val="0"/>
              <w:adjustRightInd w:val="0"/>
              <w:rPr>
                <w:rFonts w:cs="Arial"/>
                <w:b/>
                <w:color w:val="000000"/>
                <w:szCs w:val="22"/>
              </w:rPr>
            </w:pPr>
            <w:r w:rsidRPr="00C2587D">
              <w:rPr>
                <w:rFonts w:cs="Arial"/>
                <w:b/>
                <w:color w:val="000000"/>
                <w:szCs w:val="22"/>
              </w:rPr>
              <w:t>Територія на яку проєкт матиме вплив:</w:t>
            </w:r>
          </w:p>
        </w:tc>
        <w:tc>
          <w:tcPr>
            <w:tcW w:w="6794" w:type="dxa"/>
            <w:gridSpan w:val="9"/>
          </w:tcPr>
          <w:p w14:paraId="7816EE66" w14:textId="3E258605" w:rsidR="00CB33C7" w:rsidRPr="00C2587D" w:rsidRDefault="00CB33C7" w:rsidP="00DD6DC0">
            <w:pPr>
              <w:spacing w:before="40" w:after="40"/>
              <w:jc w:val="both"/>
              <w:rPr>
                <w:lang w:eastAsia="it-IT"/>
              </w:rPr>
            </w:pPr>
            <w:r w:rsidRPr="00C2587D">
              <w:rPr>
                <w:lang w:eastAsia="it-IT"/>
              </w:rPr>
              <w:t xml:space="preserve">Території </w:t>
            </w:r>
            <w:r w:rsidR="00BD5437">
              <w:rPr>
                <w:rFonts w:cs="Arial"/>
                <w:lang w:eastAsia="it-IT"/>
              </w:rPr>
              <w:t>Почапи</w:t>
            </w:r>
            <w:r w:rsidRPr="00C2587D">
              <w:rPr>
                <w:rFonts w:cs="Arial"/>
                <w:lang w:eastAsia="it-IT"/>
              </w:rPr>
              <w:t>н</w:t>
            </w:r>
            <w:r w:rsidR="00BD5437">
              <w:rPr>
                <w:rFonts w:cs="Arial"/>
                <w:lang w:eastAsia="it-IT"/>
              </w:rPr>
              <w:t>ец</w:t>
            </w:r>
            <w:r w:rsidRPr="00C2587D">
              <w:rPr>
                <w:rFonts w:cs="Arial"/>
                <w:lang w:eastAsia="it-IT"/>
              </w:rPr>
              <w:t xml:space="preserve">ького старостинського округу, а саме: </w:t>
            </w:r>
            <w:r w:rsidR="00BD5437" w:rsidRPr="00C2587D">
              <w:rPr>
                <w:rFonts w:cs="Arial"/>
                <w:lang w:eastAsia="it-IT"/>
              </w:rPr>
              <w:t>Почапинці</w:t>
            </w:r>
          </w:p>
        </w:tc>
      </w:tr>
      <w:tr w:rsidR="00CB33C7" w:rsidRPr="00C2587D" w14:paraId="0D880553" w14:textId="77777777" w:rsidTr="00EA6E27">
        <w:trPr>
          <w:jc w:val="right"/>
        </w:trPr>
        <w:tc>
          <w:tcPr>
            <w:tcW w:w="3425" w:type="dxa"/>
            <w:vAlign w:val="center"/>
          </w:tcPr>
          <w:p w14:paraId="6E71B52C" w14:textId="77777777" w:rsidR="00CB33C7" w:rsidRPr="00C2587D" w:rsidRDefault="00CB33C7" w:rsidP="00EA6E27">
            <w:pPr>
              <w:autoSpaceDE w:val="0"/>
              <w:autoSpaceDN w:val="0"/>
              <w:adjustRightInd w:val="0"/>
              <w:rPr>
                <w:rFonts w:cs="Arial"/>
                <w:b/>
                <w:color w:val="000000"/>
                <w:szCs w:val="22"/>
              </w:rPr>
            </w:pPr>
            <w:r w:rsidRPr="00C2587D">
              <w:rPr>
                <w:rFonts w:cs="Arial"/>
                <w:b/>
                <w:color w:val="000000"/>
                <w:szCs w:val="22"/>
              </w:rPr>
              <w:t>Цільові групи проєкту та кількість отримувачів вигоди</w:t>
            </w:r>
          </w:p>
        </w:tc>
        <w:tc>
          <w:tcPr>
            <w:tcW w:w="6794" w:type="dxa"/>
            <w:gridSpan w:val="9"/>
          </w:tcPr>
          <w:p w14:paraId="1B40519F" w14:textId="166FB739" w:rsidR="00CB33C7" w:rsidRPr="00C2587D" w:rsidRDefault="00CB33C7" w:rsidP="00DD6DC0">
            <w:pPr>
              <w:spacing w:before="40" w:after="40"/>
              <w:jc w:val="both"/>
              <w:rPr>
                <w:lang w:eastAsia="it-IT"/>
              </w:rPr>
            </w:pPr>
            <w:r w:rsidRPr="00C2587D">
              <w:rPr>
                <w:lang w:eastAsia="it-IT"/>
              </w:rPr>
              <w:t xml:space="preserve">Жителі с. </w:t>
            </w:r>
            <w:r w:rsidR="00BD5437" w:rsidRPr="00C2587D">
              <w:rPr>
                <w:lang w:eastAsia="it-IT"/>
              </w:rPr>
              <w:t>Почапинці</w:t>
            </w:r>
            <w:r w:rsidRPr="00C2587D">
              <w:rPr>
                <w:lang w:eastAsia="it-IT"/>
              </w:rPr>
              <w:t xml:space="preserve"> в кількості 631 містян</w:t>
            </w:r>
          </w:p>
        </w:tc>
      </w:tr>
      <w:tr w:rsidR="00CB33C7" w:rsidRPr="00C2587D" w14:paraId="12BA754B" w14:textId="77777777" w:rsidTr="00EA6E27">
        <w:trPr>
          <w:jc w:val="right"/>
        </w:trPr>
        <w:tc>
          <w:tcPr>
            <w:tcW w:w="3425" w:type="dxa"/>
            <w:shd w:val="clear" w:color="auto" w:fill="FFFFFF"/>
            <w:vAlign w:val="center"/>
          </w:tcPr>
          <w:p w14:paraId="3640FC59" w14:textId="77777777" w:rsidR="00CB33C7" w:rsidRPr="00C2587D" w:rsidRDefault="00CB33C7" w:rsidP="00EA6E27">
            <w:pPr>
              <w:rPr>
                <w:rFonts w:cs="Arial"/>
                <w:b/>
                <w:bCs/>
                <w:color w:val="000000"/>
                <w:szCs w:val="22"/>
              </w:rPr>
            </w:pPr>
            <w:r w:rsidRPr="00C2587D">
              <w:rPr>
                <w:rFonts w:cs="Arial"/>
                <w:b/>
                <w:bCs/>
                <w:color w:val="000000"/>
                <w:szCs w:val="22"/>
              </w:rPr>
              <w:t>Стислий опис проєкту:</w:t>
            </w:r>
          </w:p>
        </w:tc>
        <w:tc>
          <w:tcPr>
            <w:tcW w:w="6794" w:type="dxa"/>
            <w:gridSpan w:val="9"/>
          </w:tcPr>
          <w:p w14:paraId="761DA8D6" w14:textId="77777777" w:rsidR="00CB33C7" w:rsidRPr="00BD5437" w:rsidRDefault="00CB33C7" w:rsidP="00DD6DC0">
            <w:pPr>
              <w:pStyle w:val="ad"/>
              <w:shd w:val="clear" w:color="auto" w:fill="FFFFFF"/>
              <w:spacing w:before="0" w:beforeAutospacing="0" w:after="0" w:afterAutospacing="0"/>
              <w:ind w:firstLine="148"/>
              <w:jc w:val="both"/>
              <w:rPr>
                <w:rFonts w:cs="Arial"/>
                <w:szCs w:val="22"/>
              </w:rPr>
            </w:pPr>
            <w:r w:rsidRPr="00BD5437">
              <w:rPr>
                <w:rFonts w:cs="Arial"/>
                <w:szCs w:val="22"/>
              </w:rPr>
              <w:t>Якість доріг забезпечує роботу всіх галузей промисловості, соціальний розвиток суспільства. Забезпечує доступ у різні місця населеного пункту, а також безпечне та надійне переміщення людей і транспортування товарів і має надзвичайно важливе значення.</w:t>
            </w:r>
          </w:p>
          <w:p w14:paraId="6AE31705" w14:textId="77777777" w:rsidR="00CB33C7" w:rsidRPr="00BD5437" w:rsidRDefault="00CB33C7" w:rsidP="00DD6DC0">
            <w:pPr>
              <w:pStyle w:val="ad"/>
              <w:shd w:val="clear" w:color="auto" w:fill="FFFFFF"/>
              <w:spacing w:before="0" w:beforeAutospacing="0" w:after="0" w:afterAutospacing="0"/>
              <w:ind w:firstLine="148"/>
              <w:jc w:val="both"/>
              <w:rPr>
                <w:rFonts w:cs="Arial"/>
                <w:szCs w:val="22"/>
              </w:rPr>
            </w:pPr>
            <w:r w:rsidRPr="00BD5437">
              <w:rPr>
                <w:rFonts w:cs="Arial"/>
                <w:szCs w:val="22"/>
              </w:rPr>
              <w:t>Від стану автомобільних доріг залежать витрати на перевезення вантажів та пасажирів, рівень цін, певною мірою зайнятість населення.</w:t>
            </w:r>
          </w:p>
          <w:p w14:paraId="24F70FA2" w14:textId="77777777" w:rsidR="00CB33C7" w:rsidRPr="00BD5437" w:rsidRDefault="00CB33C7" w:rsidP="00DD6DC0">
            <w:pPr>
              <w:pStyle w:val="ad"/>
              <w:shd w:val="clear" w:color="auto" w:fill="FFFFFF"/>
              <w:spacing w:before="0" w:beforeAutospacing="0" w:after="0" w:afterAutospacing="0"/>
              <w:ind w:firstLine="148"/>
              <w:jc w:val="both"/>
              <w:rPr>
                <w:rFonts w:cs="Arial"/>
                <w:szCs w:val="22"/>
                <w:shd w:val="clear" w:color="auto" w:fill="FFFFFF"/>
              </w:rPr>
            </w:pPr>
            <w:r w:rsidRPr="00BD5437">
              <w:rPr>
                <w:rFonts w:cs="Arial"/>
                <w:szCs w:val="22"/>
              </w:rPr>
              <w:t xml:space="preserve"> </w:t>
            </w:r>
            <w:r w:rsidRPr="00BD5437">
              <w:rPr>
                <w:rFonts w:cs="Arial"/>
                <w:szCs w:val="22"/>
                <w:shd w:val="clear" w:color="auto" w:fill="FFFFFF"/>
              </w:rPr>
              <w:t>Перш за все викликають занепокоєння ті ділянки доріг, по яких проходять автобусні сполучення, підвезення дітей до навчальних закладів, надання невідкладної медичної допомоги.</w:t>
            </w:r>
          </w:p>
          <w:p w14:paraId="351F7439" w14:textId="77777777" w:rsidR="00CB33C7" w:rsidRPr="00BD5437" w:rsidRDefault="00CB33C7" w:rsidP="00DD6DC0">
            <w:pPr>
              <w:jc w:val="both"/>
              <w:rPr>
                <w:rFonts w:cs="Arial"/>
                <w:szCs w:val="22"/>
                <w:lang w:eastAsia="it-IT"/>
              </w:rPr>
            </w:pPr>
            <w:r w:rsidRPr="00BD5437">
              <w:rPr>
                <w:rFonts w:cs="Arial"/>
                <w:szCs w:val="22"/>
                <w:shd w:val="clear" w:color="auto" w:fill="FFFFFF"/>
              </w:rPr>
              <w:t xml:space="preserve">З метою безперебійного перевезення людей, необхідно провести капітальний ремонт дороги </w:t>
            </w:r>
            <w:r w:rsidRPr="00BD5437">
              <w:rPr>
                <w:rFonts w:eastAsia="Arial" w:cs="Arial"/>
                <w:szCs w:val="22"/>
                <w:lang w:eastAsia="en-US"/>
              </w:rPr>
              <w:t>по вул. Садова в с. Почапинці Жмеринського району</w:t>
            </w:r>
          </w:p>
        </w:tc>
      </w:tr>
      <w:tr w:rsidR="00CB33C7" w:rsidRPr="00C2587D" w14:paraId="0FFA1282" w14:textId="77777777" w:rsidTr="00EA6E27">
        <w:trPr>
          <w:jc w:val="right"/>
        </w:trPr>
        <w:tc>
          <w:tcPr>
            <w:tcW w:w="3425" w:type="dxa"/>
            <w:shd w:val="clear" w:color="auto" w:fill="FFFFFF"/>
            <w:vAlign w:val="center"/>
          </w:tcPr>
          <w:p w14:paraId="163275C5" w14:textId="77777777" w:rsidR="00CB33C7" w:rsidRPr="00C2587D" w:rsidRDefault="00CB33C7" w:rsidP="00EA6E27">
            <w:pPr>
              <w:rPr>
                <w:rFonts w:cs="Arial"/>
                <w:b/>
                <w:bCs/>
                <w:color w:val="000000"/>
                <w:szCs w:val="22"/>
              </w:rPr>
            </w:pPr>
            <w:r w:rsidRPr="00C2587D">
              <w:rPr>
                <w:rFonts w:cs="Arial"/>
                <w:b/>
                <w:bCs/>
                <w:color w:val="000000"/>
                <w:szCs w:val="22"/>
              </w:rPr>
              <w:t>Основні заходи проєкту:</w:t>
            </w:r>
          </w:p>
        </w:tc>
        <w:tc>
          <w:tcPr>
            <w:tcW w:w="6794" w:type="dxa"/>
            <w:gridSpan w:val="9"/>
          </w:tcPr>
          <w:p w14:paraId="28DCD0E6" w14:textId="55E57BB4" w:rsidR="00CB33C7" w:rsidRPr="00C2587D" w:rsidRDefault="00CB33C7" w:rsidP="00DD6DC0">
            <w:pPr>
              <w:spacing w:before="40" w:after="40"/>
              <w:jc w:val="both"/>
              <w:rPr>
                <w:lang w:eastAsia="it-IT"/>
              </w:rPr>
            </w:pPr>
            <w:r w:rsidRPr="00C2587D">
              <w:rPr>
                <w:lang w:eastAsia="it-IT"/>
              </w:rPr>
              <w:t>Створення робочої групи з питань реалізац</w:t>
            </w:r>
            <w:r w:rsidR="008A2113">
              <w:rPr>
                <w:lang w:eastAsia="it-IT"/>
              </w:rPr>
              <w:t>ії проє</w:t>
            </w:r>
            <w:r w:rsidRPr="00C2587D">
              <w:rPr>
                <w:lang w:eastAsia="it-IT"/>
              </w:rPr>
              <w:t xml:space="preserve">кту. </w:t>
            </w:r>
          </w:p>
          <w:p w14:paraId="3A46C239" w14:textId="77777777" w:rsidR="00CB33C7" w:rsidRPr="00C2587D" w:rsidRDefault="00CB33C7" w:rsidP="00DD6DC0">
            <w:pPr>
              <w:spacing w:before="40" w:after="40"/>
              <w:jc w:val="both"/>
              <w:rPr>
                <w:lang w:eastAsia="it-IT"/>
              </w:rPr>
            </w:pPr>
            <w:r w:rsidRPr="00C2587D">
              <w:rPr>
                <w:lang w:eastAsia="it-IT"/>
              </w:rPr>
              <w:t>Проведення процедури закупівель (визначення виконавця робіт).</w:t>
            </w:r>
          </w:p>
          <w:p w14:paraId="4795E72A" w14:textId="77777777" w:rsidR="00CB33C7" w:rsidRPr="00C2587D" w:rsidRDefault="00CB33C7" w:rsidP="00DD6DC0">
            <w:pPr>
              <w:spacing w:before="40" w:after="40"/>
              <w:jc w:val="both"/>
              <w:rPr>
                <w:lang w:eastAsia="it-IT"/>
              </w:rPr>
            </w:pPr>
            <w:r w:rsidRPr="00C2587D">
              <w:rPr>
                <w:lang w:eastAsia="it-IT"/>
              </w:rPr>
              <w:t>Укладення договорів з виконавцем робіт, організаціями, що здійснюватимуть  технічний та авторський  нагляд .</w:t>
            </w:r>
          </w:p>
          <w:p w14:paraId="5CD203A8" w14:textId="77777777" w:rsidR="00CB33C7" w:rsidRPr="00C2587D" w:rsidRDefault="00CB33C7" w:rsidP="00DD6DC0">
            <w:pPr>
              <w:spacing w:before="40" w:after="40"/>
              <w:jc w:val="both"/>
              <w:rPr>
                <w:lang w:eastAsia="it-IT"/>
              </w:rPr>
            </w:pPr>
            <w:r w:rsidRPr="00C2587D">
              <w:rPr>
                <w:lang w:eastAsia="it-IT"/>
              </w:rPr>
              <w:t xml:space="preserve">Виконання робіт з капітального ремонту дорожнього покриття </w:t>
            </w:r>
            <w:r w:rsidRPr="00C2587D">
              <w:rPr>
                <w:rFonts w:eastAsia="Arial"/>
                <w:lang w:eastAsia="en-US"/>
              </w:rPr>
              <w:t>по вул. Садова  в с. Почапинці Жмеринського району</w:t>
            </w:r>
          </w:p>
          <w:p w14:paraId="7FE33638" w14:textId="77777777" w:rsidR="00CB33C7" w:rsidRPr="00C2587D" w:rsidRDefault="00CB33C7" w:rsidP="00DD6DC0">
            <w:pPr>
              <w:spacing w:before="40" w:after="40"/>
              <w:jc w:val="both"/>
              <w:rPr>
                <w:lang w:eastAsia="it-IT"/>
              </w:rPr>
            </w:pPr>
            <w:r w:rsidRPr="00C2587D">
              <w:rPr>
                <w:lang w:eastAsia="it-IT"/>
              </w:rPr>
              <w:t>Введення  об’єкту в експлуатацію .</w:t>
            </w:r>
          </w:p>
          <w:p w14:paraId="4AA3FBA7" w14:textId="02D36F02" w:rsidR="00CB33C7" w:rsidRPr="00C2587D" w:rsidRDefault="00CB33C7" w:rsidP="00DD6DC0">
            <w:pPr>
              <w:spacing w:before="40" w:after="40"/>
              <w:jc w:val="both"/>
              <w:rPr>
                <w:sz w:val="16"/>
                <w:szCs w:val="16"/>
                <w:lang w:eastAsia="it-IT"/>
              </w:rPr>
            </w:pPr>
            <w:r w:rsidRPr="00C2587D">
              <w:rPr>
                <w:lang w:eastAsia="it-IT"/>
              </w:rPr>
              <w:t xml:space="preserve">Проведення інформаційних заходів (розміщення  </w:t>
            </w:r>
            <w:r w:rsidR="008A2113">
              <w:rPr>
                <w:lang w:eastAsia="it-IT"/>
              </w:rPr>
              <w:t>інформації  про реалізацію  проє</w:t>
            </w:r>
            <w:r w:rsidRPr="00C2587D">
              <w:rPr>
                <w:lang w:eastAsia="it-IT"/>
              </w:rPr>
              <w:t>кту у ЗМІ) .</w:t>
            </w:r>
          </w:p>
        </w:tc>
      </w:tr>
      <w:tr w:rsidR="00CB33C7" w:rsidRPr="00C2587D" w14:paraId="663FA13F" w14:textId="77777777" w:rsidTr="00EA6E27">
        <w:trPr>
          <w:jc w:val="right"/>
        </w:trPr>
        <w:tc>
          <w:tcPr>
            <w:tcW w:w="3425" w:type="dxa"/>
            <w:shd w:val="clear" w:color="auto" w:fill="FFFFFF"/>
            <w:vAlign w:val="center"/>
          </w:tcPr>
          <w:p w14:paraId="07A4BABB" w14:textId="77777777" w:rsidR="00CB33C7" w:rsidRPr="00C2587D" w:rsidRDefault="00CB33C7" w:rsidP="00EA6E27">
            <w:pPr>
              <w:rPr>
                <w:rFonts w:cs="Arial"/>
                <w:b/>
                <w:bCs/>
                <w:color w:val="000000"/>
                <w:szCs w:val="22"/>
              </w:rPr>
            </w:pPr>
            <w:r w:rsidRPr="00C2587D">
              <w:rPr>
                <w:rFonts w:cs="Arial"/>
                <w:b/>
                <w:bCs/>
                <w:color w:val="000000"/>
                <w:szCs w:val="22"/>
              </w:rPr>
              <w:t>Індикатори (показники) результативності:</w:t>
            </w:r>
          </w:p>
        </w:tc>
        <w:tc>
          <w:tcPr>
            <w:tcW w:w="6794" w:type="dxa"/>
            <w:gridSpan w:val="9"/>
          </w:tcPr>
          <w:p w14:paraId="559C3F92" w14:textId="77777777" w:rsidR="00CB33C7" w:rsidRPr="00C2587D" w:rsidRDefault="00CB33C7" w:rsidP="00EA6E27">
            <w:pPr>
              <w:spacing w:before="40" w:after="40"/>
              <w:rPr>
                <w:sz w:val="16"/>
                <w:szCs w:val="16"/>
                <w:lang w:eastAsia="it-IT"/>
              </w:rPr>
            </w:pPr>
            <w:r w:rsidRPr="00C2587D">
              <w:rPr>
                <w:rFonts w:eastAsia="Arial"/>
                <w:lang w:eastAsia="en-US"/>
              </w:rPr>
              <w:t xml:space="preserve">Площа ремонтованого покриття проїзної частини, з’їздів, розширень, площадок: 1856 </w:t>
            </w:r>
            <w:r w:rsidRPr="00C2587D">
              <w:rPr>
                <w:color w:val="000000"/>
              </w:rPr>
              <w:t>м</w:t>
            </w:r>
            <w:r w:rsidRPr="00C2587D">
              <w:rPr>
                <w:color w:val="000000"/>
                <w:vertAlign w:val="superscript"/>
              </w:rPr>
              <w:t xml:space="preserve">2  </w:t>
            </w:r>
            <w:r w:rsidRPr="00C2587D">
              <w:rPr>
                <w:rFonts w:eastAsia="Arial"/>
                <w:lang w:eastAsia="en-US"/>
              </w:rPr>
              <w:t>та площа присипних узбіч: 294</w:t>
            </w:r>
            <w:r w:rsidRPr="00C2587D">
              <w:rPr>
                <w:color w:val="000000"/>
              </w:rPr>
              <w:t>м</w:t>
            </w:r>
            <w:r w:rsidRPr="00C2587D">
              <w:rPr>
                <w:color w:val="000000"/>
                <w:vertAlign w:val="superscript"/>
              </w:rPr>
              <w:t>2</w:t>
            </w:r>
          </w:p>
        </w:tc>
      </w:tr>
      <w:tr w:rsidR="00CB33C7" w:rsidRPr="00C2587D" w14:paraId="49A0321E" w14:textId="77777777" w:rsidTr="00EA6E27">
        <w:trPr>
          <w:jc w:val="right"/>
        </w:trPr>
        <w:tc>
          <w:tcPr>
            <w:tcW w:w="3425" w:type="dxa"/>
            <w:shd w:val="clear" w:color="auto" w:fill="FFFFFF"/>
            <w:vAlign w:val="center"/>
          </w:tcPr>
          <w:p w14:paraId="3219EC97" w14:textId="77777777" w:rsidR="00CB33C7" w:rsidRPr="00C2587D" w:rsidRDefault="00CB33C7" w:rsidP="00EA6E27">
            <w:pPr>
              <w:rPr>
                <w:rFonts w:cs="Arial"/>
                <w:b/>
                <w:color w:val="000000"/>
                <w:szCs w:val="22"/>
              </w:rPr>
            </w:pPr>
            <w:r w:rsidRPr="00C2587D">
              <w:rPr>
                <w:rFonts w:cs="Arial"/>
                <w:b/>
                <w:color w:val="000000"/>
                <w:szCs w:val="22"/>
              </w:rPr>
              <w:t xml:space="preserve">Період здійснення: </w:t>
            </w:r>
          </w:p>
        </w:tc>
        <w:tc>
          <w:tcPr>
            <w:tcW w:w="6794" w:type="dxa"/>
            <w:gridSpan w:val="9"/>
            <w:vAlign w:val="center"/>
          </w:tcPr>
          <w:p w14:paraId="27963C9E" w14:textId="77777777" w:rsidR="00CB33C7" w:rsidRPr="00C2587D" w:rsidRDefault="00CB33C7" w:rsidP="00EA6E27">
            <w:pPr>
              <w:rPr>
                <w:rFonts w:cs="Arial"/>
                <w:color w:val="000000"/>
                <w:szCs w:val="22"/>
                <w:lang w:eastAsia="it-IT"/>
              </w:rPr>
            </w:pPr>
            <w:r w:rsidRPr="00C2587D">
              <w:rPr>
                <w:rFonts w:cs="Arial"/>
                <w:b/>
                <w:color w:val="000000"/>
                <w:szCs w:val="22"/>
              </w:rPr>
              <w:t>2025 – 2028 роки:</w:t>
            </w:r>
          </w:p>
        </w:tc>
      </w:tr>
      <w:tr w:rsidR="00CB33C7" w:rsidRPr="00C2587D" w14:paraId="28364466" w14:textId="77777777" w:rsidTr="00EA6E27">
        <w:trPr>
          <w:jc w:val="right"/>
        </w:trPr>
        <w:tc>
          <w:tcPr>
            <w:tcW w:w="3425" w:type="dxa"/>
            <w:vMerge w:val="restart"/>
            <w:shd w:val="clear" w:color="auto" w:fill="FFFFFF"/>
            <w:vAlign w:val="center"/>
          </w:tcPr>
          <w:p w14:paraId="21AF95FF" w14:textId="77777777" w:rsidR="00CB33C7" w:rsidRPr="00C2587D" w:rsidRDefault="00CB33C7" w:rsidP="00EA6E27">
            <w:pPr>
              <w:rPr>
                <w:rFonts w:cs="Arial"/>
                <w:b/>
                <w:bCs/>
                <w:color w:val="000000"/>
                <w:szCs w:val="22"/>
              </w:rPr>
            </w:pPr>
            <w:r w:rsidRPr="00C2587D">
              <w:rPr>
                <w:rFonts w:cs="Arial"/>
                <w:b/>
                <w:bCs/>
                <w:color w:val="000000"/>
                <w:szCs w:val="22"/>
              </w:rPr>
              <w:t>Орієнтовна вартість проєкту, тис. грн., в тому числі:</w:t>
            </w:r>
          </w:p>
        </w:tc>
        <w:tc>
          <w:tcPr>
            <w:tcW w:w="1254" w:type="dxa"/>
            <w:shd w:val="clear" w:color="auto" w:fill="E6E6E6"/>
            <w:vAlign w:val="center"/>
          </w:tcPr>
          <w:p w14:paraId="681A1D18" w14:textId="77777777" w:rsidR="00CB33C7" w:rsidRPr="00C2587D" w:rsidRDefault="00CB33C7" w:rsidP="00EA6E27">
            <w:pPr>
              <w:jc w:val="center"/>
              <w:rPr>
                <w:rFonts w:cs="Arial"/>
                <w:b/>
                <w:color w:val="000000"/>
                <w:szCs w:val="22"/>
                <w:lang w:eastAsia="it-IT"/>
              </w:rPr>
            </w:pPr>
            <w:r w:rsidRPr="00C2587D">
              <w:rPr>
                <w:rFonts w:cs="Arial"/>
                <w:b/>
                <w:color w:val="000000"/>
                <w:szCs w:val="22"/>
                <w:lang w:eastAsia="it-IT"/>
              </w:rPr>
              <w:t>2025</w:t>
            </w:r>
          </w:p>
        </w:tc>
        <w:tc>
          <w:tcPr>
            <w:tcW w:w="1412" w:type="dxa"/>
            <w:gridSpan w:val="2"/>
            <w:shd w:val="clear" w:color="auto" w:fill="E6E6E6"/>
            <w:vAlign w:val="center"/>
          </w:tcPr>
          <w:p w14:paraId="4CDB0A2B" w14:textId="77777777" w:rsidR="00CB33C7" w:rsidRPr="00C2587D" w:rsidRDefault="00CB33C7" w:rsidP="00EA6E27">
            <w:pPr>
              <w:jc w:val="center"/>
              <w:rPr>
                <w:rFonts w:cs="Arial"/>
                <w:b/>
                <w:color w:val="000000"/>
                <w:szCs w:val="22"/>
                <w:lang w:eastAsia="it-IT"/>
              </w:rPr>
            </w:pPr>
            <w:r w:rsidRPr="00C2587D">
              <w:rPr>
                <w:rFonts w:cs="Arial"/>
                <w:b/>
                <w:color w:val="000000"/>
                <w:szCs w:val="22"/>
                <w:lang w:eastAsia="it-IT"/>
              </w:rPr>
              <w:t>2026</w:t>
            </w:r>
          </w:p>
        </w:tc>
        <w:tc>
          <w:tcPr>
            <w:tcW w:w="1281" w:type="dxa"/>
            <w:gridSpan w:val="2"/>
            <w:tcBorders>
              <w:bottom w:val="single" w:sz="4" w:space="0" w:color="auto"/>
            </w:tcBorders>
            <w:shd w:val="clear" w:color="auto" w:fill="E6E6E6"/>
            <w:vAlign w:val="center"/>
          </w:tcPr>
          <w:p w14:paraId="0A21F568" w14:textId="77777777" w:rsidR="00CB33C7" w:rsidRPr="00C2587D" w:rsidRDefault="00CB33C7" w:rsidP="00EA6E27">
            <w:pPr>
              <w:jc w:val="center"/>
              <w:rPr>
                <w:rFonts w:cs="Arial"/>
                <w:b/>
                <w:color w:val="000000"/>
                <w:szCs w:val="22"/>
                <w:lang w:eastAsia="it-IT"/>
              </w:rPr>
            </w:pPr>
            <w:r w:rsidRPr="00C2587D">
              <w:rPr>
                <w:rFonts w:cs="Arial"/>
                <w:b/>
                <w:color w:val="000000"/>
                <w:szCs w:val="22"/>
                <w:lang w:eastAsia="it-IT"/>
              </w:rPr>
              <w:t>2027</w:t>
            </w:r>
          </w:p>
        </w:tc>
        <w:tc>
          <w:tcPr>
            <w:tcW w:w="1276" w:type="dxa"/>
            <w:gridSpan w:val="2"/>
            <w:shd w:val="clear" w:color="auto" w:fill="E6E6E6"/>
            <w:vAlign w:val="center"/>
          </w:tcPr>
          <w:p w14:paraId="53D04BD4" w14:textId="77777777" w:rsidR="00CB33C7" w:rsidRPr="00C2587D" w:rsidRDefault="00CB33C7" w:rsidP="00EA6E27">
            <w:pPr>
              <w:jc w:val="center"/>
              <w:rPr>
                <w:rFonts w:cs="Arial"/>
                <w:b/>
                <w:color w:val="000000"/>
                <w:szCs w:val="22"/>
                <w:lang w:eastAsia="it-IT"/>
              </w:rPr>
            </w:pPr>
            <w:r w:rsidRPr="00C2587D">
              <w:rPr>
                <w:rFonts w:cs="Arial"/>
                <w:b/>
                <w:color w:val="000000"/>
                <w:szCs w:val="22"/>
                <w:lang w:eastAsia="it-IT"/>
              </w:rPr>
              <w:t>2028</w:t>
            </w:r>
          </w:p>
        </w:tc>
        <w:tc>
          <w:tcPr>
            <w:tcW w:w="1571" w:type="dxa"/>
            <w:gridSpan w:val="2"/>
            <w:shd w:val="clear" w:color="auto" w:fill="E6E6E6"/>
            <w:vAlign w:val="center"/>
          </w:tcPr>
          <w:p w14:paraId="78F9F4EE" w14:textId="77777777" w:rsidR="00CB33C7" w:rsidRPr="00C2587D" w:rsidRDefault="00CB33C7" w:rsidP="00EA6E27">
            <w:pPr>
              <w:jc w:val="center"/>
              <w:rPr>
                <w:rFonts w:cs="Arial"/>
                <w:b/>
                <w:color w:val="000000"/>
                <w:szCs w:val="22"/>
                <w:lang w:eastAsia="it-IT"/>
              </w:rPr>
            </w:pPr>
            <w:r w:rsidRPr="00C2587D">
              <w:rPr>
                <w:rFonts w:cs="Arial"/>
                <w:b/>
                <w:color w:val="000000"/>
                <w:szCs w:val="22"/>
                <w:lang w:eastAsia="it-IT"/>
              </w:rPr>
              <w:t>РАЗОМ</w:t>
            </w:r>
          </w:p>
        </w:tc>
      </w:tr>
      <w:tr w:rsidR="00CB33C7" w:rsidRPr="00C2587D" w14:paraId="3403C74A" w14:textId="77777777" w:rsidTr="00BD5437">
        <w:trPr>
          <w:jc w:val="right"/>
        </w:trPr>
        <w:tc>
          <w:tcPr>
            <w:tcW w:w="3425" w:type="dxa"/>
            <w:vMerge/>
            <w:shd w:val="clear" w:color="auto" w:fill="FFFFFF"/>
            <w:vAlign w:val="center"/>
          </w:tcPr>
          <w:p w14:paraId="44EAD34C" w14:textId="77777777" w:rsidR="00CB33C7" w:rsidRPr="00C2587D" w:rsidRDefault="00CB33C7" w:rsidP="00EA6E27">
            <w:pPr>
              <w:rPr>
                <w:rFonts w:cs="Arial"/>
                <w:b/>
                <w:bCs/>
                <w:color w:val="000000"/>
                <w:szCs w:val="22"/>
              </w:rPr>
            </w:pPr>
          </w:p>
        </w:tc>
        <w:tc>
          <w:tcPr>
            <w:tcW w:w="1254" w:type="dxa"/>
            <w:vAlign w:val="center"/>
          </w:tcPr>
          <w:p w14:paraId="7FB8E711" w14:textId="77777777" w:rsidR="00CB33C7" w:rsidRPr="00C2587D" w:rsidRDefault="00CB33C7" w:rsidP="00EA6E27">
            <w:pPr>
              <w:jc w:val="center"/>
              <w:rPr>
                <w:rFonts w:cs="Arial"/>
                <w:b/>
                <w:color w:val="000000"/>
                <w:szCs w:val="22"/>
                <w:lang w:eastAsia="it-IT"/>
              </w:rPr>
            </w:pPr>
          </w:p>
        </w:tc>
        <w:tc>
          <w:tcPr>
            <w:tcW w:w="1412" w:type="dxa"/>
            <w:gridSpan w:val="2"/>
            <w:shd w:val="clear" w:color="auto" w:fill="FFFFFF"/>
          </w:tcPr>
          <w:p w14:paraId="73857CEC" w14:textId="77777777" w:rsidR="00CB33C7" w:rsidRPr="00BD5437" w:rsidRDefault="00CB33C7" w:rsidP="00BD5437">
            <w:pPr>
              <w:jc w:val="center"/>
              <w:rPr>
                <w:rFonts w:cs="Arial"/>
                <w:color w:val="000000"/>
                <w:szCs w:val="22"/>
                <w:lang w:eastAsia="it-IT"/>
              </w:rPr>
            </w:pPr>
            <w:r w:rsidRPr="00BD5437">
              <w:rPr>
                <w:rFonts w:cs="Arial"/>
                <w:color w:val="000000"/>
                <w:szCs w:val="22"/>
                <w:lang w:eastAsia="it-IT"/>
              </w:rPr>
              <w:t>1529,683</w:t>
            </w:r>
          </w:p>
        </w:tc>
        <w:tc>
          <w:tcPr>
            <w:tcW w:w="1281" w:type="dxa"/>
            <w:gridSpan w:val="2"/>
            <w:shd w:val="clear" w:color="auto" w:fill="auto"/>
          </w:tcPr>
          <w:p w14:paraId="63164C6A" w14:textId="77777777" w:rsidR="00CB33C7" w:rsidRPr="00C2587D" w:rsidRDefault="00CB33C7" w:rsidP="00BD5437">
            <w:pPr>
              <w:jc w:val="center"/>
              <w:rPr>
                <w:rFonts w:cs="Arial"/>
                <w:b/>
                <w:color w:val="000000"/>
                <w:szCs w:val="22"/>
                <w:lang w:eastAsia="it-IT"/>
              </w:rPr>
            </w:pPr>
          </w:p>
        </w:tc>
        <w:tc>
          <w:tcPr>
            <w:tcW w:w="1276" w:type="dxa"/>
            <w:gridSpan w:val="2"/>
            <w:shd w:val="clear" w:color="auto" w:fill="FFFFFF"/>
          </w:tcPr>
          <w:p w14:paraId="697E60E3" w14:textId="77777777" w:rsidR="00CB33C7" w:rsidRPr="00C2587D" w:rsidRDefault="00CB33C7" w:rsidP="00BD5437">
            <w:pPr>
              <w:jc w:val="center"/>
              <w:rPr>
                <w:rFonts w:cs="Arial"/>
                <w:b/>
                <w:color w:val="000000"/>
                <w:szCs w:val="22"/>
                <w:lang w:eastAsia="it-IT"/>
              </w:rPr>
            </w:pPr>
          </w:p>
        </w:tc>
        <w:tc>
          <w:tcPr>
            <w:tcW w:w="1571" w:type="dxa"/>
            <w:gridSpan w:val="2"/>
            <w:shd w:val="clear" w:color="auto" w:fill="FFFFFF"/>
          </w:tcPr>
          <w:p w14:paraId="3057D143" w14:textId="77777777" w:rsidR="00CB33C7" w:rsidRPr="00C2587D" w:rsidRDefault="00CB33C7" w:rsidP="00BD5437">
            <w:pPr>
              <w:jc w:val="center"/>
              <w:rPr>
                <w:rFonts w:cs="Arial"/>
                <w:b/>
                <w:color w:val="000000"/>
                <w:szCs w:val="22"/>
                <w:lang w:eastAsia="it-IT"/>
              </w:rPr>
            </w:pPr>
            <w:r w:rsidRPr="00C2587D">
              <w:rPr>
                <w:rFonts w:cs="Arial"/>
                <w:b/>
                <w:color w:val="000000"/>
                <w:szCs w:val="22"/>
                <w:lang w:eastAsia="it-IT"/>
              </w:rPr>
              <w:t>1529,683</w:t>
            </w:r>
          </w:p>
        </w:tc>
      </w:tr>
      <w:tr w:rsidR="00CB33C7" w:rsidRPr="00C2587D" w14:paraId="333CE6BC" w14:textId="77777777" w:rsidTr="00BD5437">
        <w:trPr>
          <w:trHeight w:val="276"/>
          <w:jc w:val="right"/>
        </w:trPr>
        <w:tc>
          <w:tcPr>
            <w:tcW w:w="3425" w:type="dxa"/>
            <w:shd w:val="clear" w:color="auto" w:fill="FFFFFF"/>
            <w:vAlign w:val="center"/>
          </w:tcPr>
          <w:p w14:paraId="10013475" w14:textId="77777777" w:rsidR="00CB33C7" w:rsidRPr="00C2587D" w:rsidRDefault="00CB33C7" w:rsidP="00EA6E27">
            <w:pPr>
              <w:rPr>
                <w:rFonts w:cs="Arial"/>
                <w:b/>
                <w:bCs/>
                <w:color w:val="000000"/>
                <w:szCs w:val="22"/>
              </w:rPr>
            </w:pPr>
            <w:r w:rsidRPr="00C2587D">
              <w:rPr>
                <w:rFonts w:cs="Arial"/>
                <w:b/>
                <w:bCs/>
                <w:color w:val="000000"/>
                <w:szCs w:val="22"/>
              </w:rPr>
              <w:t>по джерелах фінансування:</w:t>
            </w:r>
          </w:p>
        </w:tc>
        <w:tc>
          <w:tcPr>
            <w:tcW w:w="6794" w:type="dxa"/>
            <w:gridSpan w:val="9"/>
          </w:tcPr>
          <w:p w14:paraId="1946266D" w14:textId="77777777" w:rsidR="00CB33C7" w:rsidRPr="00BD5437" w:rsidRDefault="00CB33C7" w:rsidP="00BD5437">
            <w:pPr>
              <w:jc w:val="center"/>
              <w:rPr>
                <w:rFonts w:cs="Arial"/>
                <w:color w:val="000000"/>
                <w:szCs w:val="22"/>
                <w:lang w:eastAsia="it-IT"/>
              </w:rPr>
            </w:pPr>
          </w:p>
        </w:tc>
      </w:tr>
      <w:tr w:rsidR="00BD5437" w:rsidRPr="00C2587D" w14:paraId="385AC15A" w14:textId="4DC19609" w:rsidTr="00BD5437">
        <w:trPr>
          <w:trHeight w:val="240"/>
          <w:jc w:val="right"/>
        </w:trPr>
        <w:tc>
          <w:tcPr>
            <w:tcW w:w="3425" w:type="dxa"/>
            <w:shd w:val="clear" w:color="auto" w:fill="FFFFFF"/>
            <w:vAlign w:val="center"/>
          </w:tcPr>
          <w:p w14:paraId="426C8A8C" w14:textId="77777777" w:rsidR="00BD5437" w:rsidRPr="00C2587D" w:rsidRDefault="00BD5437" w:rsidP="00EA6E27">
            <w:pPr>
              <w:rPr>
                <w:rFonts w:cs="Arial"/>
                <w:b/>
                <w:bCs/>
                <w:color w:val="000000"/>
                <w:szCs w:val="22"/>
              </w:rPr>
            </w:pPr>
            <w:r w:rsidRPr="00C2587D">
              <w:rPr>
                <w:rFonts w:cs="Arial"/>
                <w:color w:val="000000"/>
                <w:szCs w:val="22"/>
              </w:rPr>
              <w:t>- державний бюджет</w:t>
            </w:r>
          </w:p>
        </w:tc>
        <w:tc>
          <w:tcPr>
            <w:tcW w:w="1260" w:type="dxa"/>
            <w:gridSpan w:val="2"/>
          </w:tcPr>
          <w:p w14:paraId="590BE4F0" w14:textId="77777777" w:rsidR="00BD5437" w:rsidRPr="00BD5437" w:rsidRDefault="00BD5437" w:rsidP="00BD5437">
            <w:pPr>
              <w:jc w:val="center"/>
              <w:rPr>
                <w:rFonts w:cs="Arial"/>
                <w:color w:val="000000"/>
                <w:szCs w:val="22"/>
                <w:lang w:eastAsia="it-IT"/>
              </w:rPr>
            </w:pPr>
          </w:p>
        </w:tc>
        <w:tc>
          <w:tcPr>
            <w:tcW w:w="1440" w:type="dxa"/>
            <w:gridSpan w:val="2"/>
          </w:tcPr>
          <w:p w14:paraId="33F3D292" w14:textId="77777777" w:rsidR="00BD5437" w:rsidRPr="00BD5437" w:rsidRDefault="00BD5437" w:rsidP="00BD5437">
            <w:pPr>
              <w:jc w:val="center"/>
              <w:rPr>
                <w:rFonts w:cs="Arial"/>
                <w:color w:val="000000"/>
                <w:szCs w:val="22"/>
                <w:lang w:eastAsia="it-IT"/>
              </w:rPr>
            </w:pPr>
          </w:p>
        </w:tc>
        <w:tc>
          <w:tcPr>
            <w:tcW w:w="1300" w:type="dxa"/>
            <w:gridSpan w:val="2"/>
          </w:tcPr>
          <w:p w14:paraId="21421E4C" w14:textId="77777777" w:rsidR="00BD5437" w:rsidRPr="00C2587D" w:rsidRDefault="00BD5437" w:rsidP="00BD5437">
            <w:pPr>
              <w:jc w:val="center"/>
              <w:rPr>
                <w:rFonts w:cs="Arial"/>
                <w:color w:val="000000"/>
                <w:szCs w:val="22"/>
                <w:lang w:eastAsia="it-IT"/>
              </w:rPr>
            </w:pPr>
          </w:p>
        </w:tc>
        <w:tc>
          <w:tcPr>
            <w:tcW w:w="1280" w:type="dxa"/>
            <w:gridSpan w:val="2"/>
          </w:tcPr>
          <w:p w14:paraId="002B1E4F" w14:textId="77777777" w:rsidR="00BD5437" w:rsidRPr="00C2587D" w:rsidRDefault="00BD5437" w:rsidP="00BD5437">
            <w:pPr>
              <w:jc w:val="center"/>
              <w:rPr>
                <w:rFonts w:cs="Arial"/>
                <w:color w:val="000000"/>
                <w:szCs w:val="22"/>
                <w:lang w:eastAsia="it-IT"/>
              </w:rPr>
            </w:pPr>
          </w:p>
        </w:tc>
        <w:tc>
          <w:tcPr>
            <w:tcW w:w="1514" w:type="dxa"/>
          </w:tcPr>
          <w:p w14:paraId="16A5BD2D" w14:textId="77777777" w:rsidR="00BD5437" w:rsidRPr="00C2587D" w:rsidRDefault="00BD5437" w:rsidP="00BD5437">
            <w:pPr>
              <w:jc w:val="center"/>
              <w:rPr>
                <w:rFonts w:cs="Arial"/>
                <w:color w:val="000000"/>
                <w:szCs w:val="22"/>
                <w:lang w:eastAsia="it-IT"/>
              </w:rPr>
            </w:pPr>
          </w:p>
        </w:tc>
      </w:tr>
      <w:tr w:rsidR="00BD5437" w:rsidRPr="00C2587D" w14:paraId="78535961" w14:textId="172DCB1B" w:rsidTr="00BD5437">
        <w:trPr>
          <w:trHeight w:val="254"/>
          <w:jc w:val="right"/>
        </w:trPr>
        <w:tc>
          <w:tcPr>
            <w:tcW w:w="3425" w:type="dxa"/>
            <w:shd w:val="clear" w:color="auto" w:fill="FFFFFF"/>
            <w:vAlign w:val="center"/>
          </w:tcPr>
          <w:p w14:paraId="0CB85E55" w14:textId="77777777" w:rsidR="00BD5437" w:rsidRPr="00C2587D" w:rsidRDefault="00BD5437" w:rsidP="00EA6E27">
            <w:pPr>
              <w:rPr>
                <w:rFonts w:cs="Arial"/>
                <w:color w:val="000000"/>
                <w:szCs w:val="22"/>
              </w:rPr>
            </w:pPr>
            <w:r w:rsidRPr="00C2587D">
              <w:rPr>
                <w:rFonts w:cs="Arial"/>
                <w:color w:val="000000"/>
                <w:szCs w:val="22"/>
              </w:rPr>
              <w:t>- обласний бюджет</w:t>
            </w:r>
          </w:p>
        </w:tc>
        <w:tc>
          <w:tcPr>
            <w:tcW w:w="1260" w:type="dxa"/>
            <w:gridSpan w:val="2"/>
          </w:tcPr>
          <w:p w14:paraId="1807A50B" w14:textId="77777777" w:rsidR="00BD5437" w:rsidRPr="00BD5437" w:rsidRDefault="00BD5437" w:rsidP="00BD5437">
            <w:pPr>
              <w:jc w:val="center"/>
              <w:rPr>
                <w:rFonts w:cs="Arial"/>
                <w:color w:val="000000"/>
                <w:szCs w:val="22"/>
                <w:lang w:eastAsia="it-IT"/>
              </w:rPr>
            </w:pPr>
          </w:p>
        </w:tc>
        <w:tc>
          <w:tcPr>
            <w:tcW w:w="1440" w:type="dxa"/>
            <w:gridSpan w:val="2"/>
          </w:tcPr>
          <w:p w14:paraId="57E511AF" w14:textId="77777777" w:rsidR="00BD5437" w:rsidRPr="00BD5437" w:rsidRDefault="00BD5437" w:rsidP="00BD5437">
            <w:pPr>
              <w:jc w:val="center"/>
              <w:rPr>
                <w:rFonts w:cs="Arial"/>
                <w:color w:val="000000"/>
                <w:szCs w:val="22"/>
                <w:lang w:eastAsia="it-IT"/>
              </w:rPr>
            </w:pPr>
          </w:p>
        </w:tc>
        <w:tc>
          <w:tcPr>
            <w:tcW w:w="1300" w:type="dxa"/>
            <w:gridSpan w:val="2"/>
          </w:tcPr>
          <w:p w14:paraId="48B531D2" w14:textId="77777777" w:rsidR="00BD5437" w:rsidRPr="00C2587D" w:rsidRDefault="00BD5437" w:rsidP="00BD5437">
            <w:pPr>
              <w:jc w:val="center"/>
              <w:rPr>
                <w:rFonts w:cs="Arial"/>
                <w:color w:val="000000"/>
                <w:szCs w:val="22"/>
                <w:lang w:eastAsia="it-IT"/>
              </w:rPr>
            </w:pPr>
          </w:p>
        </w:tc>
        <w:tc>
          <w:tcPr>
            <w:tcW w:w="1280" w:type="dxa"/>
            <w:gridSpan w:val="2"/>
          </w:tcPr>
          <w:p w14:paraId="7DC674D5" w14:textId="77777777" w:rsidR="00BD5437" w:rsidRPr="00C2587D" w:rsidRDefault="00BD5437" w:rsidP="00BD5437">
            <w:pPr>
              <w:jc w:val="center"/>
              <w:rPr>
                <w:rFonts w:cs="Arial"/>
                <w:color w:val="000000"/>
                <w:szCs w:val="22"/>
                <w:lang w:eastAsia="it-IT"/>
              </w:rPr>
            </w:pPr>
          </w:p>
        </w:tc>
        <w:tc>
          <w:tcPr>
            <w:tcW w:w="1514" w:type="dxa"/>
          </w:tcPr>
          <w:p w14:paraId="52D5974F" w14:textId="77777777" w:rsidR="00BD5437" w:rsidRPr="00C2587D" w:rsidRDefault="00BD5437" w:rsidP="00BD5437">
            <w:pPr>
              <w:jc w:val="center"/>
              <w:rPr>
                <w:rFonts w:cs="Arial"/>
                <w:color w:val="000000"/>
                <w:szCs w:val="22"/>
                <w:lang w:eastAsia="it-IT"/>
              </w:rPr>
            </w:pPr>
          </w:p>
        </w:tc>
      </w:tr>
      <w:tr w:rsidR="00BD5437" w:rsidRPr="00C2587D" w14:paraId="600C702F" w14:textId="03E26365" w:rsidTr="00BD5437">
        <w:trPr>
          <w:trHeight w:val="275"/>
          <w:jc w:val="right"/>
        </w:trPr>
        <w:tc>
          <w:tcPr>
            <w:tcW w:w="3425" w:type="dxa"/>
            <w:shd w:val="clear" w:color="auto" w:fill="FFFFFF"/>
            <w:vAlign w:val="center"/>
          </w:tcPr>
          <w:p w14:paraId="3098DBE5" w14:textId="77777777" w:rsidR="00BD5437" w:rsidRPr="00C2587D" w:rsidRDefault="00BD5437" w:rsidP="00EA6E27">
            <w:pPr>
              <w:rPr>
                <w:rFonts w:cs="Arial"/>
                <w:color w:val="000000"/>
                <w:szCs w:val="22"/>
              </w:rPr>
            </w:pPr>
            <w:r w:rsidRPr="00C2587D">
              <w:rPr>
                <w:rFonts w:cs="Arial"/>
                <w:color w:val="000000"/>
                <w:szCs w:val="22"/>
              </w:rPr>
              <w:t>- бюджет Жмеринської МТГ</w:t>
            </w:r>
          </w:p>
        </w:tc>
        <w:tc>
          <w:tcPr>
            <w:tcW w:w="1260" w:type="dxa"/>
            <w:gridSpan w:val="2"/>
          </w:tcPr>
          <w:p w14:paraId="7338AB31" w14:textId="3B3211BD" w:rsidR="00BD5437" w:rsidRPr="00BD5437" w:rsidRDefault="00BD5437" w:rsidP="00BD5437">
            <w:pPr>
              <w:jc w:val="center"/>
              <w:rPr>
                <w:rFonts w:cs="Arial"/>
                <w:color w:val="000000"/>
                <w:szCs w:val="22"/>
                <w:lang w:eastAsia="it-IT"/>
              </w:rPr>
            </w:pPr>
          </w:p>
        </w:tc>
        <w:tc>
          <w:tcPr>
            <w:tcW w:w="1440" w:type="dxa"/>
            <w:gridSpan w:val="2"/>
          </w:tcPr>
          <w:p w14:paraId="1000A0E5" w14:textId="77777777" w:rsidR="00BD5437" w:rsidRPr="00BD5437" w:rsidRDefault="00BD5437" w:rsidP="00BD5437">
            <w:pPr>
              <w:jc w:val="center"/>
              <w:rPr>
                <w:rFonts w:cs="Arial"/>
                <w:color w:val="000000"/>
                <w:szCs w:val="22"/>
                <w:lang w:eastAsia="it-IT"/>
              </w:rPr>
            </w:pPr>
          </w:p>
        </w:tc>
        <w:tc>
          <w:tcPr>
            <w:tcW w:w="1300" w:type="dxa"/>
            <w:gridSpan w:val="2"/>
          </w:tcPr>
          <w:p w14:paraId="7D41AF90" w14:textId="77777777" w:rsidR="00BD5437" w:rsidRPr="00C2587D" w:rsidRDefault="00BD5437" w:rsidP="00BD5437">
            <w:pPr>
              <w:jc w:val="center"/>
              <w:rPr>
                <w:rFonts w:cs="Arial"/>
                <w:color w:val="000000"/>
                <w:szCs w:val="22"/>
                <w:lang w:eastAsia="it-IT"/>
              </w:rPr>
            </w:pPr>
          </w:p>
        </w:tc>
        <w:tc>
          <w:tcPr>
            <w:tcW w:w="1280" w:type="dxa"/>
            <w:gridSpan w:val="2"/>
          </w:tcPr>
          <w:p w14:paraId="4C0EA776" w14:textId="77777777" w:rsidR="00BD5437" w:rsidRPr="00C2587D" w:rsidRDefault="00BD5437" w:rsidP="00BD5437">
            <w:pPr>
              <w:jc w:val="center"/>
              <w:rPr>
                <w:rFonts w:cs="Arial"/>
                <w:color w:val="000000"/>
                <w:szCs w:val="22"/>
                <w:lang w:eastAsia="it-IT"/>
              </w:rPr>
            </w:pPr>
          </w:p>
        </w:tc>
        <w:tc>
          <w:tcPr>
            <w:tcW w:w="1514" w:type="dxa"/>
          </w:tcPr>
          <w:p w14:paraId="1F0BBE1C" w14:textId="77777777" w:rsidR="00BD5437" w:rsidRPr="00C2587D" w:rsidRDefault="00BD5437" w:rsidP="00BD5437">
            <w:pPr>
              <w:jc w:val="center"/>
              <w:rPr>
                <w:rFonts w:cs="Arial"/>
                <w:color w:val="000000"/>
                <w:szCs w:val="22"/>
                <w:lang w:eastAsia="it-IT"/>
              </w:rPr>
            </w:pPr>
          </w:p>
        </w:tc>
      </w:tr>
      <w:tr w:rsidR="00BD5437" w:rsidRPr="00C2587D" w14:paraId="6916D42A" w14:textId="7538961D" w:rsidTr="00BD5437">
        <w:trPr>
          <w:trHeight w:val="226"/>
          <w:jc w:val="right"/>
        </w:trPr>
        <w:tc>
          <w:tcPr>
            <w:tcW w:w="3425" w:type="dxa"/>
            <w:shd w:val="clear" w:color="auto" w:fill="FFFFFF"/>
            <w:vAlign w:val="center"/>
          </w:tcPr>
          <w:p w14:paraId="58389ECD" w14:textId="77777777" w:rsidR="00BD5437" w:rsidRPr="00C2587D" w:rsidRDefault="00BD5437" w:rsidP="00BD5437">
            <w:pPr>
              <w:rPr>
                <w:rFonts w:cs="Arial"/>
                <w:color w:val="000000"/>
                <w:szCs w:val="22"/>
              </w:rPr>
            </w:pPr>
            <w:r w:rsidRPr="00C2587D">
              <w:rPr>
                <w:rFonts w:cs="Arial"/>
                <w:color w:val="000000"/>
                <w:szCs w:val="22"/>
              </w:rPr>
              <w:t>- інші джерела фінансування</w:t>
            </w:r>
          </w:p>
        </w:tc>
        <w:tc>
          <w:tcPr>
            <w:tcW w:w="1260" w:type="dxa"/>
            <w:gridSpan w:val="2"/>
          </w:tcPr>
          <w:p w14:paraId="0F31159D" w14:textId="77777777" w:rsidR="00BD5437" w:rsidRPr="00C2587D" w:rsidRDefault="00BD5437" w:rsidP="00BD5437">
            <w:pPr>
              <w:jc w:val="center"/>
              <w:rPr>
                <w:rFonts w:cs="Arial"/>
                <w:color w:val="000000"/>
                <w:szCs w:val="22"/>
                <w:lang w:eastAsia="it-IT"/>
              </w:rPr>
            </w:pPr>
          </w:p>
        </w:tc>
        <w:tc>
          <w:tcPr>
            <w:tcW w:w="1440" w:type="dxa"/>
            <w:gridSpan w:val="2"/>
          </w:tcPr>
          <w:p w14:paraId="15E3075D" w14:textId="5576C146" w:rsidR="00BD5437" w:rsidRPr="00BD5437" w:rsidRDefault="00BD5437" w:rsidP="00BD5437">
            <w:pPr>
              <w:jc w:val="center"/>
              <w:rPr>
                <w:rFonts w:cs="Arial"/>
                <w:color w:val="000000"/>
                <w:szCs w:val="22"/>
                <w:lang w:eastAsia="it-IT"/>
              </w:rPr>
            </w:pPr>
            <w:r w:rsidRPr="00BD5437">
              <w:rPr>
                <w:rFonts w:cs="Arial"/>
                <w:color w:val="000000"/>
                <w:szCs w:val="22"/>
                <w:lang w:eastAsia="it-IT"/>
              </w:rPr>
              <w:t>1529,683</w:t>
            </w:r>
          </w:p>
        </w:tc>
        <w:tc>
          <w:tcPr>
            <w:tcW w:w="1300" w:type="dxa"/>
            <w:gridSpan w:val="2"/>
          </w:tcPr>
          <w:p w14:paraId="1FE28ACB" w14:textId="77777777" w:rsidR="00BD5437" w:rsidRPr="00C2587D" w:rsidRDefault="00BD5437" w:rsidP="00BD5437">
            <w:pPr>
              <w:jc w:val="center"/>
              <w:rPr>
                <w:rFonts w:cs="Arial"/>
                <w:color w:val="000000"/>
                <w:szCs w:val="22"/>
                <w:lang w:eastAsia="it-IT"/>
              </w:rPr>
            </w:pPr>
          </w:p>
        </w:tc>
        <w:tc>
          <w:tcPr>
            <w:tcW w:w="1280" w:type="dxa"/>
            <w:gridSpan w:val="2"/>
          </w:tcPr>
          <w:p w14:paraId="03531C5D" w14:textId="77777777" w:rsidR="00BD5437" w:rsidRPr="00C2587D" w:rsidRDefault="00BD5437" w:rsidP="00BD5437">
            <w:pPr>
              <w:jc w:val="center"/>
              <w:rPr>
                <w:rFonts w:cs="Arial"/>
                <w:color w:val="000000"/>
                <w:szCs w:val="22"/>
                <w:lang w:eastAsia="it-IT"/>
              </w:rPr>
            </w:pPr>
          </w:p>
        </w:tc>
        <w:tc>
          <w:tcPr>
            <w:tcW w:w="1514" w:type="dxa"/>
          </w:tcPr>
          <w:p w14:paraId="16E3D88A" w14:textId="47E1777E" w:rsidR="00BD5437" w:rsidRPr="00C2587D" w:rsidRDefault="00BD5437" w:rsidP="00BD5437">
            <w:pPr>
              <w:jc w:val="center"/>
              <w:rPr>
                <w:rFonts w:cs="Arial"/>
                <w:color w:val="000000"/>
                <w:szCs w:val="22"/>
                <w:lang w:eastAsia="it-IT"/>
              </w:rPr>
            </w:pPr>
            <w:r w:rsidRPr="00C2587D">
              <w:rPr>
                <w:rFonts w:cs="Arial"/>
                <w:b/>
                <w:color w:val="000000"/>
                <w:szCs w:val="22"/>
                <w:lang w:eastAsia="it-IT"/>
              </w:rPr>
              <w:t>1529,683</w:t>
            </w:r>
          </w:p>
        </w:tc>
      </w:tr>
      <w:tr w:rsidR="00BD5437" w:rsidRPr="00C2587D" w14:paraId="2F9DC474" w14:textId="77777777" w:rsidTr="00EA6E27">
        <w:trPr>
          <w:jc w:val="right"/>
        </w:trPr>
        <w:tc>
          <w:tcPr>
            <w:tcW w:w="3425" w:type="dxa"/>
            <w:shd w:val="clear" w:color="auto" w:fill="FFFFFF"/>
            <w:vAlign w:val="center"/>
          </w:tcPr>
          <w:p w14:paraId="2BD64EF0" w14:textId="77777777" w:rsidR="00BD5437" w:rsidRPr="00C2587D" w:rsidRDefault="00BD5437" w:rsidP="00BD5437">
            <w:pPr>
              <w:rPr>
                <w:rFonts w:cs="Arial"/>
                <w:b/>
                <w:bCs/>
                <w:color w:val="000000"/>
                <w:szCs w:val="22"/>
              </w:rPr>
            </w:pPr>
            <w:r w:rsidRPr="00C2587D">
              <w:rPr>
                <w:rFonts w:cs="Arial"/>
                <w:b/>
                <w:color w:val="000000"/>
                <w:szCs w:val="22"/>
              </w:rPr>
              <w:t>Відповідальний виконавець проєкту:</w:t>
            </w:r>
          </w:p>
        </w:tc>
        <w:tc>
          <w:tcPr>
            <w:tcW w:w="6794" w:type="dxa"/>
            <w:gridSpan w:val="9"/>
            <w:vAlign w:val="center"/>
          </w:tcPr>
          <w:p w14:paraId="0E9CC77D" w14:textId="4C1493E6" w:rsidR="00BD5437" w:rsidRPr="00C2587D" w:rsidRDefault="00BD5437" w:rsidP="00BD5437">
            <w:pPr>
              <w:jc w:val="both"/>
              <w:rPr>
                <w:rFonts w:cs="Arial"/>
                <w:color w:val="000000"/>
                <w:szCs w:val="22"/>
                <w:lang w:eastAsia="it-IT"/>
              </w:rPr>
            </w:pPr>
            <w:r w:rsidRPr="00C2587D">
              <w:rPr>
                <w:rFonts w:cs="Arial"/>
                <w:color w:val="000000"/>
                <w:szCs w:val="22"/>
                <w:lang w:eastAsia="it-IT"/>
              </w:rPr>
              <w:t>Управління ЖКГ.</w:t>
            </w:r>
          </w:p>
        </w:tc>
      </w:tr>
      <w:tr w:rsidR="00BD5437" w:rsidRPr="00C2587D" w14:paraId="125A050E" w14:textId="77777777" w:rsidTr="00EA6E27">
        <w:trPr>
          <w:jc w:val="right"/>
        </w:trPr>
        <w:tc>
          <w:tcPr>
            <w:tcW w:w="3425" w:type="dxa"/>
            <w:shd w:val="clear" w:color="auto" w:fill="FFFFFF"/>
            <w:vAlign w:val="center"/>
          </w:tcPr>
          <w:p w14:paraId="528658E7" w14:textId="77777777" w:rsidR="00BD5437" w:rsidRPr="00C2587D" w:rsidRDefault="00BD5437" w:rsidP="00BD5437">
            <w:pPr>
              <w:rPr>
                <w:rFonts w:cs="Arial"/>
                <w:b/>
                <w:bCs/>
                <w:color w:val="000000"/>
                <w:szCs w:val="22"/>
              </w:rPr>
            </w:pPr>
            <w:r w:rsidRPr="00C2587D">
              <w:rPr>
                <w:rFonts w:cs="Arial"/>
                <w:b/>
                <w:bCs/>
                <w:color w:val="000000"/>
                <w:szCs w:val="22"/>
              </w:rPr>
              <w:t>Інше:</w:t>
            </w:r>
          </w:p>
        </w:tc>
        <w:tc>
          <w:tcPr>
            <w:tcW w:w="6794" w:type="dxa"/>
            <w:gridSpan w:val="9"/>
            <w:vAlign w:val="center"/>
          </w:tcPr>
          <w:p w14:paraId="070D69B1" w14:textId="77777777" w:rsidR="00BD5437" w:rsidRPr="00C2587D" w:rsidRDefault="00BD5437" w:rsidP="00BD5437">
            <w:pPr>
              <w:rPr>
                <w:rFonts w:cs="Arial"/>
                <w:color w:val="000000"/>
                <w:szCs w:val="22"/>
                <w:lang w:eastAsia="it-IT"/>
              </w:rPr>
            </w:pPr>
          </w:p>
          <w:p w14:paraId="289C61A0" w14:textId="77777777" w:rsidR="00BD5437" w:rsidRPr="00C2587D" w:rsidRDefault="00BD5437" w:rsidP="00BD5437">
            <w:pPr>
              <w:rPr>
                <w:rFonts w:cs="Arial"/>
                <w:color w:val="000000"/>
                <w:szCs w:val="22"/>
                <w:lang w:eastAsia="it-IT"/>
              </w:rPr>
            </w:pPr>
          </w:p>
        </w:tc>
      </w:tr>
    </w:tbl>
    <w:p w14:paraId="228099F8" w14:textId="77777777" w:rsidR="00CB33C7" w:rsidRPr="00C2587D" w:rsidRDefault="00CB33C7" w:rsidP="00CB33C7"/>
    <w:p w14:paraId="3A9F7531" w14:textId="77777777" w:rsidR="00CB33C7" w:rsidRPr="00C2587D" w:rsidRDefault="00CB33C7" w:rsidP="00CB33C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125FB830" w14:textId="77777777" w:rsidR="00CB33C7" w:rsidRPr="00C2587D" w:rsidRDefault="00CB33C7" w:rsidP="00CB33C7">
      <w:pPr>
        <w:jc w:val="center"/>
        <w:rPr>
          <w:rFonts w:cs="Arial"/>
          <w:b/>
          <w:color w:val="000000"/>
          <w:szCs w:val="22"/>
        </w:rPr>
      </w:pPr>
      <w:r w:rsidRPr="00C2587D">
        <w:rPr>
          <w:rFonts w:cs="Arial"/>
          <w:b/>
          <w:color w:val="000000"/>
          <w:szCs w:val="22"/>
        </w:rPr>
        <w:t>до Плану заходів з реалізації Стратегії</w:t>
      </w:r>
    </w:p>
    <w:p w14:paraId="7D29C5AD" w14:textId="77777777" w:rsidR="00CB33C7" w:rsidRPr="00C2587D" w:rsidRDefault="00CB33C7" w:rsidP="00CB33C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3"/>
        <w:gridCol w:w="1254"/>
        <w:gridCol w:w="1275"/>
        <w:gridCol w:w="25"/>
        <w:gridCol w:w="1392"/>
        <w:gridCol w:w="57"/>
        <w:gridCol w:w="1219"/>
        <w:gridCol w:w="61"/>
        <w:gridCol w:w="1513"/>
      </w:tblGrid>
      <w:tr w:rsidR="00CB33C7" w:rsidRPr="00BD5437" w14:paraId="125643C5" w14:textId="77777777" w:rsidTr="00EA6E27">
        <w:trPr>
          <w:jc w:val="right"/>
        </w:trPr>
        <w:tc>
          <w:tcPr>
            <w:tcW w:w="3425" w:type="dxa"/>
            <w:vAlign w:val="center"/>
          </w:tcPr>
          <w:p w14:paraId="46917F8C" w14:textId="77777777" w:rsidR="00CB33C7" w:rsidRPr="00BD5437" w:rsidRDefault="00CB33C7" w:rsidP="00BD5437">
            <w:pPr>
              <w:rPr>
                <w:rFonts w:cs="Arial"/>
                <w:b/>
                <w:bCs/>
                <w:color w:val="000000"/>
                <w:szCs w:val="22"/>
              </w:rPr>
            </w:pPr>
            <w:r w:rsidRPr="00BD5437">
              <w:rPr>
                <w:rFonts w:cs="Arial"/>
                <w:b/>
                <w:bCs/>
                <w:color w:val="000000"/>
                <w:szCs w:val="22"/>
              </w:rPr>
              <w:t>Назва проєкту:</w:t>
            </w:r>
          </w:p>
        </w:tc>
        <w:tc>
          <w:tcPr>
            <w:tcW w:w="6794" w:type="dxa"/>
            <w:gridSpan w:val="8"/>
          </w:tcPr>
          <w:p w14:paraId="56D707E2" w14:textId="77777777" w:rsidR="00CB33C7" w:rsidRPr="00BD5437" w:rsidRDefault="00CB33C7" w:rsidP="00BD5437">
            <w:pPr>
              <w:jc w:val="both"/>
              <w:rPr>
                <w:rFonts w:cs="Arial"/>
                <w:b/>
                <w:szCs w:val="22"/>
                <w:lang w:eastAsia="it-IT"/>
              </w:rPr>
            </w:pPr>
            <w:r w:rsidRPr="00BD5437">
              <w:rPr>
                <w:rFonts w:cs="Arial"/>
                <w:b/>
                <w:szCs w:val="22"/>
                <w:lang w:eastAsia="it-IT"/>
              </w:rPr>
              <w:t xml:space="preserve">Капітальний ремонт дорожнього покриття по вул. Мельнична в м. Жмеринка (Коригування 2) </w:t>
            </w:r>
          </w:p>
        </w:tc>
      </w:tr>
      <w:tr w:rsidR="00CB33C7" w:rsidRPr="00BD5437" w14:paraId="05392D84" w14:textId="77777777" w:rsidTr="00EA6E27">
        <w:trPr>
          <w:jc w:val="right"/>
        </w:trPr>
        <w:tc>
          <w:tcPr>
            <w:tcW w:w="3425" w:type="dxa"/>
          </w:tcPr>
          <w:p w14:paraId="127287CE" w14:textId="77777777" w:rsidR="00CB33C7" w:rsidRPr="00BD5437" w:rsidRDefault="00CB33C7" w:rsidP="00BD5437">
            <w:pPr>
              <w:rPr>
                <w:rFonts w:cs="Arial"/>
                <w:szCs w:val="22"/>
                <w:lang w:eastAsia="it-IT"/>
              </w:rPr>
            </w:pPr>
            <w:r w:rsidRPr="00BD5437">
              <w:rPr>
                <w:rFonts w:cs="Arial"/>
                <w:b/>
                <w:bCs/>
                <w:szCs w:val="22"/>
              </w:rPr>
              <w:t>Ваші контакти</w:t>
            </w:r>
            <w:r w:rsidRPr="00BD5437">
              <w:rPr>
                <w:rFonts w:cs="Arial"/>
                <w:szCs w:val="22"/>
                <w:lang w:eastAsia="it-IT"/>
              </w:rPr>
              <w:t>:</w:t>
            </w:r>
          </w:p>
          <w:p w14:paraId="4ED095E5" w14:textId="77777777" w:rsidR="00CB33C7" w:rsidRPr="00BD5437" w:rsidRDefault="00CB33C7" w:rsidP="00BD5437">
            <w:pPr>
              <w:rPr>
                <w:rFonts w:cs="Arial"/>
                <w:b/>
                <w:bCs/>
                <w:szCs w:val="22"/>
              </w:rPr>
            </w:pPr>
            <w:r w:rsidRPr="00BD5437">
              <w:rPr>
                <w:rFonts w:cs="Arial"/>
                <w:szCs w:val="22"/>
                <w:lang w:eastAsia="it-IT"/>
              </w:rPr>
              <w:t>Назва установи, організації, підприємства</w:t>
            </w:r>
          </w:p>
        </w:tc>
        <w:tc>
          <w:tcPr>
            <w:tcW w:w="6794" w:type="dxa"/>
            <w:gridSpan w:val="8"/>
          </w:tcPr>
          <w:p w14:paraId="3313448A" w14:textId="77777777" w:rsidR="00CB33C7" w:rsidRPr="00BD5437" w:rsidRDefault="00CB33C7" w:rsidP="00BD5437">
            <w:pPr>
              <w:rPr>
                <w:rFonts w:cs="Arial"/>
                <w:szCs w:val="22"/>
                <w:lang w:eastAsia="it-IT"/>
              </w:rPr>
            </w:pPr>
            <w:r w:rsidRPr="00BD5437">
              <w:rPr>
                <w:rFonts w:cs="Arial"/>
                <w:szCs w:val="22"/>
                <w:lang w:eastAsia="it-IT"/>
              </w:rPr>
              <w:t>Управління житлово-комунального господарства Жмеринської міської ради</w:t>
            </w:r>
          </w:p>
        </w:tc>
      </w:tr>
      <w:tr w:rsidR="00CB33C7" w:rsidRPr="00BD5437" w14:paraId="44D87854" w14:textId="77777777" w:rsidTr="00EA6E27">
        <w:trPr>
          <w:jc w:val="right"/>
        </w:trPr>
        <w:tc>
          <w:tcPr>
            <w:tcW w:w="3425" w:type="dxa"/>
          </w:tcPr>
          <w:p w14:paraId="7D93CA16" w14:textId="77777777" w:rsidR="00CB33C7" w:rsidRPr="00BD5437" w:rsidRDefault="00CB33C7" w:rsidP="00BD5437">
            <w:pPr>
              <w:rPr>
                <w:rFonts w:cs="Arial"/>
                <w:b/>
                <w:bCs/>
                <w:szCs w:val="22"/>
              </w:rPr>
            </w:pPr>
            <w:r w:rsidRPr="00BD5437">
              <w:rPr>
                <w:rFonts w:cs="Arial"/>
                <w:szCs w:val="22"/>
                <w:lang w:eastAsia="it-IT"/>
              </w:rPr>
              <w:t>Прізвище Ім’я По-батькові:</w:t>
            </w:r>
          </w:p>
        </w:tc>
        <w:tc>
          <w:tcPr>
            <w:tcW w:w="6794" w:type="dxa"/>
            <w:gridSpan w:val="8"/>
          </w:tcPr>
          <w:p w14:paraId="29BCA37B" w14:textId="77777777" w:rsidR="00CB33C7" w:rsidRPr="00BD5437" w:rsidRDefault="00CB33C7" w:rsidP="00BD5437">
            <w:pPr>
              <w:rPr>
                <w:rFonts w:cs="Arial"/>
                <w:szCs w:val="22"/>
                <w:lang w:eastAsia="it-IT"/>
              </w:rPr>
            </w:pPr>
            <w:r w:rsidRPr="00BD5437">
              <w:rPr>
                <w:rFonts w:cs="Arial"/>
                <w:szCs w:val="22"/>
                <w:lang w:eastAsia="it-IT"/>
              </w:rPr>
              <w:t>Оленич Андрій Васильович</w:t>
            </w:r>
          </w:p>
        </w:tc>
      </w:tr>
      <w:tr w:rsidR="00CB33C7" w:rsidRPr="00BD5437" w14:paraId="78DC55C0" w14:textId="77777777" w:rsidTr="00EA6E27">
        <w:trPr>
          <w:jc w:val="right"/>
        </w:trPr>
        <w:tc>
          <w:tcPr>
            <w:tcW w:w="3425" w:type="dxa"/>
          </w:tcPr>
          <w:p w14:paraId="3F8D15C4" w14:textId="77777777" w:rsidR="00CB33C7" w:rsidRPr="00BD5437" w:rsidRDefault="00CB33C7" w:rsidP="00BD5437">
            <w:pPr>
              <w:rPr>
                <w:rFonts w:cs="Arial"/>
                <w:b/>
                <w:bCs/>
                <w:szCs w:val="22"/>
              </w:rPr>
            </w:pPr>
            <w:r w:rsidRPr="00BD5437">
              <w:rPr>
                <w:rFonts w:cs="Arial"/>
                <w:szCs w:val="22"/>
                <w:lang w:eastAsia="it-IT"/>
              </w:rPr>
              <w:t>Телефон (мобільний):</w:t>
            </w:r>
          </w:p>
        </w:tc>
        <w:tc>
          <w:tcPr>
            <w:tcW w:w="6794" w:type="dxa"/>
            <w:gridSpan w:val="8"/>
          </w:tcPr>
          <w:p w14:paraId="2288E595" w14:textId="77777777" w:rsidR="00CB33C7" w:rsidRPr="00BD5437" w:rsidRDefault="00CB33C7" w:rsidP="00BD5437">
            <w:pPr>
              <w:rPr>
                <w:rFonts w:cs="Arial"/>
                <w:szCs w:val="22"/>
                <w:lang w:eastAsia="it-IT"/>
              </w:rPr>
            </w:pPr>
            <w:r w:rsidRPr="00BD5437">
              <w:rPr>
                <w:rFonts w:cs="Arial"/>
                <w:szCs w:val="22"/>
                <w:lang w:eastAsia="it-IT"/>
              </w:rPr>
              <w:t>0972561907</w:t>
            </w:r>
          </w:p>
        </w:tc>
      </w:tr>
      <w:tr w:rsidR="00CB33C7" w:rsidRPr="00BD5437" w14:paraId="2D6D2D60" w14:textId="77777777" w:rsidTr="00EA6E27">
        <w:trPr>
          <w:jc w:val="right"/>
        </w:trPr>
        <w:tc>
          <w:tcPr>
            <w:tcW w:w="3425" w:type="dxa"/>
          </w:tcPr>
          <w:p w14:paraId="37D291AC" w14:textId="77777777" w:rsidR="00CB33C7" w:rsidRPr="00BD5437" w:rsidRDefault="00CB33C7" w:rsidP="00BD5437">
            <w:pPr>
              <w:rPr>
                <w:rFonts w:cs="Arial"/>
                <w:b/>
                <w:bCs/>
                <w:szCs w:val="22"/>
              </w:rPr>
            </w:pPr>
            <w:r w:rsidRPr="00BD5437">
              <w:rPr>
                <w:rFonts w:cs="Arial"/>
                <w:szCs w:val="22"/>
                <w:lang w:eastAsia="it-IT"/>
              </w:rPr>
              <w:t>Електронна адреса:</w:t>
            </w:r>
          </w:p>
        </w:tc>
        <w:tc>
          <w:tcPr>
            <w:tcW w:w="6794" w:type="dxa"/>
            <w:gridSpan w:val="8"/>
          </w:tcPr>
          <w:p w14:paraId="242B551E" w14:textId="77777777" w:rsidR="00CB33C7" w:rsidRPr="00BD5437" w:rsidRDefault="00D85FFD" w:rsidP="00BD5437">
            <w:pPr>
              <w:rPr>
                <w:rFonts w:cs="Arial"/>
                <w:szCs w:val="22"/>
                <w:lang w:eastAsia="it-IT"/>
              </w:rPr>
            </w:pPr>
            <w:hyperlink r:id="rId54" w:history="1">
              <w:r w:rsidR="00CB33C7" w:rsidRPr="00BD5437">
                <w:rPr>
                  <w:rStyle w:val="af0"/>
                  <w:rFonts w:cs="Arial"/>
                  <w:noProof w:val="0"/>
                  <w:sz w:val="22"/>
                  <w:szCs w:val="22"/>
                  <w:lang w:eastAsia="it-IT"/>
                </w:rPr>
                <w:t>Aolenych03@ukr.net</w:t>
              </w:r>
            </w:hyperlink>
          </w:p>
        </w:tc>
      </w:tr>
      <w:tr w:rsidR="00CB33C7" w:rsidRPr="00BD5437" w14:paraId="610252D5" w14:textId="77777777" w:rsidTr="00EA6E27">
        <w:trPr>
          <w:jc w:val="right"/>
        </w:trPr>
        <w:tc>
          <w:tcPr>
            <w:tcW w:w="3425" w:type="dxa"/>
            <w:vAlign w:val="center"/>
          </w:tcPr>
          <w:p w14:paraId="50728EAC" w14:textId="77777777" w:rsidR="00CB33C7" w:rsidRPr="00BD5437" w:rsidRDefault="00CB33C7" w:rsidP="00BD5437">
            <w:pPr>
              <w:pStyle w:val="6"/>
              <w:spacing w:before="0" w:after="0"/>
              <w:rPr>
                <w:rFonts w:ascii="Arial" w:hAnsi="Arial" w:cs="Arial"/>
                <w:color w:val="000000"/>
                <w:lang w:val="uk-UA"/>
              </w:rPr>
            </w:pPr>
            <w:r w:rsidRPr="00BD5437">
              <w:rPr>
                <w:rFonts w:ascii="Arial" w:hAnsi="Arial" w:cs="Arial"/>
                <w:color w:val="000000"/>
                <w:lang w:val="uk-UA"/>
              </w:rPr>
              <w:t>Номер і назва завдання з Стратегії</w:t>
            </w:r>
            <w:r w:rsidRPr="00BD5437">
              <w:rPr>
                <w:rFonts w:ascii="Arial" w:hAnsi="Arial" w:cs="Arial"/>
                <w:lang w:val="uk-UA" w:eastAsia="it-IT"/>
              </w:rPr>
              <w:t xml:space="preserve"> </w:t>
            </w:r>
            <w:r w:rsidRPr="00BD5437">
              <w:rPr>
                <w:rFonts w:ascii="Arial" w:hAnsi="Arial" w:cs="Arial"/>
                <w:color w:val="000000"/>
                <w:lang w:val="uk-UA"/>
              </w:rPr>
              <w:t>розвитку Жмеринської міської територіальної громади,  якому відповідає проєкт:</w:t>
            </w:r>
          </w:p>
        </w:tc>
        <w:tc>
          <w:tcPr>
            <w:tcW w:w="6794" w:type="dxa"/>
            <w:gridSpan w:val="8"/>
          </w:tcPr>
          <w:p w14:paraId="55D82B4F" w14:textId="77777777" w:rsidR="00CB33C7" w:rsidRPr="00BD5437" w:rsidRDefault="00CB33C7" w:rsidP="00BD5437">
            <w:pPr>
              <w:pBdr>
                <w:left w:val="single" w:sz="18" w:space="4" w:color="auto"/>
              </w:pBdr>
              <w:rPr>
                <w:rFonts w:cs="Arial"/>
                <w:szCs w:val="22"/>
                <w:lang w:eastAsia="it-IT"/>
              </w:rPr>
            </w:pPr>
            <w:r w:rsidRPr="00BD5437">
              <w:rPr>
                <w:rFonts w:eastAsia="Lucida Sans Unicode" w:cs="Arial"/>
                <w:kern w:val="1"/>
                <w:szCs w:val="22"/>
                <w:lang w:eastAsia="ar-SA"/>
              </w:rPr>
              <w:t>В.1.1.3. Проведення будівництва, реконструкції та капітального ремонту дорожнього покриття вулиць  та тротуарів в населених пунктах територіальної громади.</w:t>
            </w:r>
          </w:p>
        </w:tc>
      </w:tr>
      <w:tr w:rsidR="00CB33C7" w:rsidRPr="00BD5437" w14:paraId="0B1CC89A" w14:textId="77777777" w:rsidTr="00EA6E27">
        <w:trPr>
          <w:jc w:val="right"/>
        </w:trPr>
        <w:tc>
          <w:tcPr>
            <w:tcW w:w="3425" w:type="dxa"/>
            <w:vAlign w:val="center"/>
          </w:tcPr>
          <w:p w14:paraId="3130AD1E" w14:textId="77777777" w:rsidR="00CB33C7" w:rsidRPr="00BD5437" w:rsidRDefault="00CB33C7" w:rsidP="00BD5437">
            <w:pPr>
              <w:rPr>
                <w:rFonts w:cs="Arial"/>
                <w:b/>
                <w:bCs/>
                <w:color w:val="000000"/>
                <w:szCs w:val="22"/>
              </w:rPr>
            </w:pPr>
            <w:r w:rsidRPr="00BD5437">
              <w:rPr>
                <w:rFonts w:cs="Arial"/>
                <w:b/>
                <w:bCs/>
                <w:color w:val="000000"/>
                <w:szCs w:val="22"/>
              </w:rPr>
              <w:t>Мета проєкту:</w:t>
            </w:r>
          </w:p>
        </w:tc>
        <w:tc>
          <w:tcPr>
            <w:tcW w:w="6794" w:type="dxa"/>
            <w:gridSpan w:val="8"/>
          </w:tcPr>
          <w:p w14:paraId="336E156A" w14:textId="77777777" w:rsidR="00CB33C7" w:rsidRPr="00BD5437" w:rsidRDefault="00CB33C7" w:rsidP="00DD6DC0">
            <w:pPr>
              <w:jc w:val="both"/>
              <w:rPr>
                <w:rFonts w:cs="Arial"/>
                <w:szCs w:val="22"/>
                <w:lang w:eastAsia="it-IT"/>
              </w:rPr>
            </w:pPr>
            <w:r w:rsidRPr="00BD5437">
              <w:rPr>
                <w:rFonts w:cs="Arial"/>
                <w:szCs w:val="22"/>
                <w:lang w:eastAsia="it-IT"/>
              </w:rPr>
              <w:t>Забезпечення  населення громади м. Жмеринка якісною інфраструктурою, а саме дорогами з рівним покриттям.</w:t>
            </w:r>
          </w:p>
          <w:p w14:paraId="21386238" w14:textId="77777777" w:rsidR="00CB33C7" w:rsidRPr="00BD5437" w:rsidRDefault="00CB33C7" w:rsidP="00DD6DC0">
            <w:pPr>
              <w:jc w:val="both"/>
              <w:rPr>
                <w:rFonts w:cs="Arial"/>
                <w:szCs w:val="22"/>
                <w:lang w:eastAsia="it-IT"/>
              </w:rPr>
            </w:pPr>
            <w:r w:rsidRPr="00BD5437">
              <w:rPr>
                <w:rFonts w:cs="Arial"/>
                <w:szCs w:val="22"/>
                <w:lang w:eastAsia="it-IT"/>
              </w:rPr>
              <w:t>Мешканці громади отримують більш комфортні   та безпечні умови проживання та перебування в населеному пункті.</w:t>
            </w:r>
          </w:p>
        </w:tc>
      </w:tr>
      <w:tr w:rsidR="00CB33C7" w:rsidRPr="00BD5437" w14:paraId="4B5E0258" w14:textId="77777777" w:rsidTr="00EA6E27">
        <w:trPr>
          <w:jc w:val="right"/>
        </w:trPr>
        <w:tc>
          <w:tcPr>
            <w:tcW w:w="3425" w:type="dxa"/>
            <w:vAlign w:val="center"/>
          </w:tcPr>
          <w:p w14:paraId="6A486FA5" w14:textId="77777777" w:rsidR="00CB33C7" w:rsidRPr="00BD5437" w:rsidRDefault="00CB33C7" w:rsidP="00BD5437">
            <w:pPr>
              <w:rPr>
                <w:rFonts w:cs="Arial"/>
                <w:b/>
                <w:bCs/>
                <w:color w:val="000000"/>
                <w:szCs w:val="22"/>
              </w:rPr>
            </w:pPr>
            <w:r w:rsidRPr="00BD5437">
              <w:rPr>
                <w:rFonts w:cs="Arial"/>
                <w:b/>
                <w:bCs/>
                <w:color w:val="000000"/>
                <w:szCs w:val="22"/>
              </w:rPr>
              <w:t>Цілі проєкту:</w:t>
            </w:r>
          </w:p>
        </w:tc>
        <w:tc>
          <w:tcPr>
            <w:tcW w:w="6794" w:type="dxa"/>
            <w:gridSpan w:val="8"/>
            <w:vAlign w:val="center"/>
          </w:tcPr>
          <w:p w14:paraId="77EFF384" w14:textId="77777777" w:rsidR="00CB33C7" w:rsidRPr="00BD5437" w:rsidRDefault="00CB33C7" w:rsidP="00DD6DC0">
            <w:pPr>
              <w:jc w:val="both"/>
              <w:rPr>
                <w:rFonts w:cs="Arial"/>
                <w:szCs w:val="22"/>
                <w:lang w:eastAsia="it-IT"/>
              </w:rPr>
            </w:pPr>
            <w:r w:rsidRPr="00BD5437">
              <w:rPr>
                <w:rFonts w:cs="Arial"/>
                <w:szCs w:val="22"/>
                <w:lang w:eastAsia="it-IT"/>
              </w:rPr>
              <w:t>Покращити інфраструктуру   дорожнього покриття   по м. Жмеринка.</w:t>
            </w:r>
          </w:p>
        </w:tc>
      </w:tr>
      <w:tr w:rsidR="00CB33C7" w:rsidRPr="00BD5437" w14:paraId="74D934DB" w14:textId="77777777" w:rsidTr="00DD6DC0">
        <w:trPr>
          <w:jc w:val="right"/>
        </w:trPr>
        <w:tc>
          <w:tcPr>
            <w:tcW w:w="3425" w:type="dxa"/>
            <w:vAlign w:val="center"/>
          </w:tcPr>
          <w:p w14:paraId="708CB951" w14:textId="77777777" w:rsidR="00CB33C7" w:rsidRPr="00BD5437" w:rsidRDefault="00CB33C7" w:rsidP="00BD5437">
            <w:pPr>
              <w:autoSpaceDE w:val="0"/>
              <w:autoSpaceDN w:val="0"/>
              <w:adjustRightInd w:val="0"/>
              <w:rPr>
                <w:rFonts w:cs="Arial"/>
                <w:b/>
                <w:color w:val="000000"/>
                <w:szCs w:val="22"/>
              </w:rPr>
            </w:pPr>
            <w:r w:rsidRPr="00BD5437">
              <w:rPr>
                <w:rFonts w:cs="Arial"/>
                <w:b/>
                <w:color w:val="000000"/>
                <w:szCs w:val="22"/>
              </w:rPr>
              <w:t>Територія на яку проєкт матиме вплив:</w:t>
            </w:r>
          </w:p>
        </w:tc>
        <w:tc>
          <w:tcPr>
            <w:tcW w:w="6794" w:type="dxa"/>
            <w:gridSpan w:val="8"/>
            <w:vAlign w:val="center"/>
          </w:tcPr>
          <w:p w14:paraId="61AE3FFA" w14:textId="77777777" w:rsidR="00CB33C7" w:rsidRPr="00BD5437" w:rsidRDefault="00CB33C7" w:rsidP="00DD6DC0">
            <w:pPr>
              <w:rPr>
                <w:rFonts w:cs="Arial"/>
                <w:szCs w:val="22"/>
                <w:lang w:eastAsia="it-IT"/>
              </w:rPr>
            </w:pPr>
            <w:r w:rsidRPr="00BD5437">
              <w:rPr>
                <w:rFonts w:cs="Arial"/>
                <w:szCs w:val="22"/>
                <w:lang w:eastAsia="it-IT"/>
              </w:rPr>
              <w:t xml:space="preserve">Територія м Жмеринка </w:t>
            </w:r>
          </w:p>
        </w:tc>
      </w:tr>
      <w:tr w:rsidR="00CB33C7" w:rsidRPr="00BD5437" w14:paraId="03DD08E4" w14:textId="77777777" w:rsidTr="00DD6DC0">
        <w:trPr>
          <w:jc w:val="right"/>
        </w:trPr>
        <w:tc>
          <w:tcPr>
            <w:tcW w:w="3425" w:type="dxa"/>
            <w:vAlign w:val="center"/>
          </w:tcPr>
          <w:p w14:paraId="4BCDA9FF" w14:textId="77777777" w:rsidR="00CB33C7" w:rsidRPr="00BD5437" w:rsidRDefault="00CB33C7" w:rsidP="00BD5437">
            <w:pPr>
              <w:autoSpaceDE w:val="0"/>
              <w:autoSpaceDN w:val="0"/>
              <w:adjustRightInd w:val="0"/>
              <w:rPr>
                <w:rFonts w:cs="Arial"/>
                <w:b/>
                <w:color w:val="000000"/>
                <w:szCs w:val="22"/>
              </w:rPr>
            </w:pPr>
            <w:r w:rsidRPr="00BD5437">
              <w:rPr>
                <w:rFonts w:cs="Arial"/>
                <w:b/>
                <w:color w:val="000000"/>
                <w:szCs w:val="22"/>
              </w:rPr>
              <w:t>Цільові групи проєкту та кількість отримувачів вигоди</w:t>
            </w:r>
          </w:p>
        </w:tc>
        <w:tc>
          <w:tcPr>
            <w:tcW w:w="6794" w:type="dxa"/>
            <w:gridSpan w:val="8"/>
            <w:vAlign w:val="center"/>
          </w:tcPr>
          <w:p w14:paraId="2BFF7FF8" w14:textId="77777777" w:rsidR="00CB33C7" w:rsidRPr="00BD5437" w:rsidRDefault="00CB33C7" w:rsidP="00DD6DC0">
            <w:pPr>
              <w:rPr>
                <w:rFonts w:cs="Arial"/>
                <w:szCs w:val="22"/>
                <w:lang w:eastAsia="it-IT"/>
              </w:rPr>
            </w:pPr>
            <w:r w:rsidRPr="00BD5437">
              <w:rPr>
                <w:rFonts w:cs="Arial"/>
                <w:szCs w:val="22"/>
                <w:lang w:eastAsia="it-IT"/>
              </w:rPr>
              <w:t>Жителі м. Жмеринка в кількості 34353 містян</w:t>
            </w:r>
          </w:p>
        </w:tc>
      </w:tr>
      <w:tr w:rsidR="00CB33C7" w:rsidRPr="00BD5437" w14:paraId="1EB807A7" w14:textId="77777777" w:rsidTr="00EA6E27">
        <w:trPr>
          <w:jc w:val="right"/>
        </w:trPr>
        <w:tc>
          <w:tcPr>
            <w:tcW w:w="3425" w:type="dxa"/>
            <w:shd w:val="clear" w:color="auto" w:fill="FFFFFF"/>
            <w:vAlign w:val="center"/>
          </w:tcPr>
          <w:p w14:paraId="51AAC45B" w14:textId="77777777" w:rsidR="00CB33C7" w:rsidRPr="00BD5437" w:rsidRDefault="00CB33C7" w:rsidP="00BD5437">
            <w:pPr>
              <w:rPr>
                <w:rFonts w:cs="Arial"/>
                <w:b/>
                <w:bCs/>
                <w:color w:val="000000"/>
                <w:szCs w:val="22"/>
              </w:rPr>
            </w:pPr>
            <w:r w:rsidRPr="00BD5437">
              <w:rPr>
                <w:rFonts w:cs="Arial"/>
                <w:b/>
                <w:bCs/>
                <w:color w:val="000000"/>
                <w:szCs w:val="22"/>
              </w:rPr>
              <w:t>Стислий опис проєкту:</w:t>
            </w:r>
          </w:p>
        </w:tc>
        <w:tc>
          <w:tcPr>
            <w:tcW w:w="6794" w:type="dxa"/>
            <w:gridSpan w:val="8"/>
          </w:tcPr>
          <w:p w14:paraId="1F3BB35F" w14:textId="77777777" w:rsidR="00CB33C7" w:rsidRPr="00BD5437" w:rsidRDefault="00CB33C7" w:rsidP="00BD5437">
            <w:pPr>
              <w:pStyle w:val="ad"/>
              <w:shd w:val="clear" w:color="auto" w:fill="FFFFFF"/>
              <w:spacing w:before="0" w:beforeAutospacing="0" w:after="0" w:afterAutospacing="0"/>
              <w:ind w:firstLine="148"/>
              <w:jc w:val="both"/>
              <w:rPr>
                <w:rFonts w:cs="Arial"/>
                <w:szCs w:val="22"/>
              </w:rPr>
            </w:pPr>
            <w:r w:rsidRPr="00BD5437">
              <w:rPr>
                <w:rFonts w:cs="Arial"/>
                <w:szCs w:val="22"/>
              </w:rPr>
              <w:t>Якість доріг забезпечує роботу всіх галузей промисловості, соціальний розвиток суспільства. Забезпечує доступ у різні місця населеного пункту, а також безпечне та надійне переміщення людей і транспортування товарів і має надзвичайно важливе значення.</w:t>
            </w:r>
          </w:p>
          <w:p w14:paraId="505D14F5" w14:textId="77777777" w:rsidR="00CB33C7" w:rsidRPr="00BD5437" w:rsidRDefault="00CB33C7" w:rsidP="00BD5437">
            <w:pPr>
              <w:pStyle w:val="ad"/>
              <w:shd w:val="clear" w:color="auto" w:fill="FFFFFF"/>
              <w:spacing w:before="0" w:beforeAutospacing="0" w:after="0" w:afterAutospacing="0"/>
              <w:ind w:firstLine="148"/>
              <w:jc w:val="both"/>
              <w:rPr>
                <w:rFonts w:cs="Arial"/>
                <w:szCs w:val="22"/>
              </w:rPr>
            </w:pPr>
            <w:r w:rsidRPr="00BD5437">
              <w:rPr>
                <w:rFonts w:cs="Arial"/>
                <w:szCs w:val="22"/>
              </w:rPr>
              <w:t>Від стану автомобільних доріг залежать витрати на перевезення вантажів та пасажирів, рівень цін, певною мірою зайнятість населення.</w:t>
            </w:r>
          </w:p>
          <w:p w14:paraId="1DF9E5DB" w14:textId="77777777" w:rsidR="00CB33C7" w:rsidRPr="00BD5437" w:rsidRDefault="00CB33C7" w:rsidP="00BD5437">
            <w:pPr>
              <w:pStyle w:val="ad"/>
              <w:shd w:val="clear" w:color="auto" w:fill="FFFFFF"/>
              <w:spacing w:before="0" w:beforeAutospacing="0" w:after="0" w:afterAutospacing="0"/>
              <w:ind w:firstLine="148"/>
              <w:jc w:val="both"/>
              <w:rPr>
                <w:rFonts w:cs="Arial"/>
                <w:szCs w:val="22"/>
                <w:shd w:val="clear" w:color="auto" w:fill="FFFFFF"/>
              </w:rPr>
            </w:pPr>
            <w:r w:rsidRPr="00BD5437">
              <w:rPr>
                <w:rFonts w:cs="Arial"/>
                <w:szCs w:val="22"/>
              </w:rPr>
              <w:t xml:space="preserve"> </w:t>
            </w:r>
            <w:r w:rsidRPr="00BD5437">
              <w:rPr>
                <w:rFonts w:cs="Arial"/>
                <w:szCs w:val="22"/>
                <w:shd w:val="clear" w:color="auto" w:fill="FFFFFF"/>
              </w:rPr>
              <w:t>Перш за все викликають занепокоєння ті ділянки доріг, по яких проходять автобусні сполучення, підвезення дітей до навчальних закладів, надання невідкладної медичної допомоги.</w:t>
            </w:r>
          </w:p>
          <w:p w14:paraId="16F3B6C9" w14:textId="77777777" w:rsidR="00CB33C7" w:rsidRPr="00BD5437" w:rsidRDefault="00CB33C7" w:rsidP="00DD6DC0">
            <w:pPr>
              <w:jc w:val="both"/>
              <w:rPr>
                <w:rFonts w:cs="Arial"/>
                <w:szCs w:val="22"/>
                <w:lang w:eastAsia="it-IT"/>
              </w:rPr>
            </w:pPr>
            <w:r w:rsidRPr="00BD5437">
              <w:rPr>
                <w:rFonts w:cs="Arial"/>
                <w:szCs w:val="22"/>
                <w:shd w:val="clear" w:color="auto" w:fill="FFFFFF"/>
              </w:rPr>
              <w:t>З метою безперебійного перевезення людей, необхідно провести капітальний ремонт дороги по вул. Мельнична.</w:t>
            </w:r>
          </w:p>
        </w:tc>
      </w:tr>
      <w:tr w:rsidR="00CB33C7" w:rsidRPr="00BD5437" w14:paraId="4635D596" w14:textId="77777777" w:rsidTr="00EA6E27">
        <w:trPr>
          <w:jc w:val="right"/>
        </w:trPr>
        <w:tc>
          <w:tcPr>
            <w:tcW w:w="3425" w:type="dxa"/>
            <w:shd w:val="clear" w:color="auto" w:fill="FFFFFF"/>
            <w:vAlign w:val="center"/>
          </w:tcPr>
          <w:p w14:paraId="150A41DA" w14:textId="77777777" w:rsidR="00CB33C7" w:rsidRPr="00BD5437" w:rsidRDefault="00CB33C7" w:rsidP="00BD5437">
            <w:pPr>
              <w:rPr>
                <w:rFonts w:cs="Arial"/>
                <w:b/>
                <w:bCs/>
                <w:color w:val="000000"/>
                <w:szCs w:val="22"/>
              </w:rPr>
            </w:pPr>
            <w:r w:rsidRPr="00BD5437">
              <w:rPr>
                <w:rFonts w:cs="Arial"/>
                <w:b/>
                <w:bCs/>
                <w:color w:val="000000"/>
                <w:szCs w:val="22"/>
              </w:rPr>
              <w:t>Основні заходи проєкту:</w:t>
            </w:r>
          </w:p>
        </w:tc>
        <w:tc>
          <w:tcPr>
            <w:tcW w:w="6794" w:type="dxa"/>
            <w:gridSpan w:val="8"/>
          </w:tcPr>
          <w:p w14:paraId="458CF3CE" w14:textId="4AEF0045" w:rsidR="00CB33C7" w:rsidRPr="00BD5437" w:rsidRDefault="00CB33C7" w:rsidP="00BD5437">
            <w:pPr>
              <w:jc w:val="both"/>
              <w:rPr>
                <w:rFonts w:cs="Arial"/>
                <w:szCs w:val="22"/>
                <w:lang w:eastAsia="it-IT"/>
              </w:rPr>
            </w:pPr>
            <w:r w:rsidRPr="00BD5437">
              <w:rPr>
                <w:rFonts w:cs="Arial"/>
                <w:szCs w:val="22"/>
                <w:lang w:eastAsia="it-IT"/>
              </w:rPr>
              <w:t>Створення робочо</w:t>
            </w:r>
            <w:r w:rsidR="001E42A2">
              <w:rPr>
                <w:rFonts w:cs="Arial"/>
                <w:szCs w:val="22"/>
                <w:lang w:eastAsia="it-IT"/>
              </w:rPr>
              <w:t>ї групи з питань реалізації проє</w:t>
            </w:r>
            <w:r w:rsidRPr="00BD5437">
              <w:rPr>
                <w:rFonts w:cs="Arial"/>
                <w:szCs w:val="22"/>
                <w:lang w:eastAsia="it-IT"/>
              </w:rPr>
              <w:t xml:space="preserve">кту. </w:t>
            </w:r>
          </w:p>
          <w:p w14:paraId="4B71F4BC" w14:textId="77777777" w:rsidR="00CB33C7" w:rsidRPr="00BD5437" w:rsidRDefault="00CB33C7" w:rsidP="00BD5437">
            <w:pPr>
              <w:jc w:val="both"/>
              <w:rPr>
                <w:rFonts w:cs="Arial"/>
                <w:szCs w:val="22"/>
                <w:lang w:eastAsia="it-IT"/>
              </w:rPr>
            </w:pPr>
            <w:r w:rsidRPr="00BD5437">
              <w:rPr>
                <w:rFonts w:cs="Arial"/>
                <w:szCs w:val="22"/>
                <w:lang w:eastAsia="it-IT"/>
              </w:rPr>
              <w:t>Проведення процедури закупівель (визначення виконавця робіт).</w:t>
            </w:r>
          </w:p>
          <w:p w14:paraId="6DC6B466" w14:textId="77777777" w:rsidR="00CB33C7" w:rsidRPr="00BD5437" w:rsidRDefault="00CB33C7" w:rsidP="00BD5437">
            <w:pPr>
              <w:jc w:val="both"/>
              <w:rPr>
                <w:rFonts w:cs="Arial"/>
                <w:szCs w:val="22"/>
                <w:lang w:eastAsia="it-IT"/>
              </w:rPr>
            </w:pPr>
            <w:r w:rsidRPr="00BD5437">
              <w:rPr>
                <w:rFonts w:cs="Arial"/>
                <w:szCs w:val="22"/>
                <w:lang w:eastAsia="it-IT"/>
              </w:rPr>
              <w:t>Укладення договорів з виконавцем робіт, організаціями, що здійснюватимуть  технічний та авторський  нагляд .</w:t>
            </w:r>
          </w:p>
          <w:p w14:paraId="7B03A0AA" w14:textId="77777777" w:rsidR="00CB33C7" w:rsidRPr="00BD5437" w:rsidRDefault="00CB33C7" w:rsidP="00BD5437">
            <w:pPr>
              <w:jc w:val="both"/>
              <w:rPr>
                <w:rFonts w:cs="Arial"/>
                <w:b/>
                <w:szCs w:val="22"/>
                <w:lang w:eastAsia="it-IT"/>
              </w:rPr>
            </w:pPr>
            <w:r w:rsidRPr="00BD5437">
              <w:rPr>
                <w:rFonts w:cs="Arial"/>
                <w:szCs w:val="22"/>
                <w:lang w:eastAsia="it-IT"/>
              </w:rPr>
              <w:t>Виконання робіт з капітального ремонту дорожнього покриття по вул. Мельнична в м. Жмеринка</w:t>
            </w:r>
            <w:r w:rsidRPr="00BD5437">
              <w:rPr>
                <w:rFonts w:cs="Arial"/>
                <w:b/>
                <w:szCs w:val="22"/>
                <w:lang w:eastAsia="it-IT"/>
              </w:rPr>
              <w:t xml:space="preserve"> </w:t>
            </w:r>
          </w:p>
          <w:p w14:paraId="5537A473" w14:textId="77777777" w:rsidR="00CB33C7" w:rsidRPr="00BD5437" w:rsidRDefault="00CB33C7" w:rsidP="00BD5437">
            <w:pPr>
              <w:jc w:val="both"/>
              <w:rPr>
                <w:rFonts w:cs="Arial"/>
                <w:szCs w:val="22"/>
                <w:lang w:eastAsia="it-IT"/>
              </w:rPr>
            </w:pPr>
            <w:r w:rsidRPr="00BD5437">
              <w:rPr>
                <w:rFonts w:cs="Arial"/>
                <w:szCs w:val="22"/>
                <w:lang w:eastAsia="it-IT"/>
              </w:rPr>
              <w:t>Введення  об’єкту в експлуатацію .</w:t>
            </w:r>
          </w:p>
          <w:p w14:paraId="52ACB202" w14:textId="2E00F355" w:rsidR="00CB33C7" w:rsidRPr="00BD5437" w:rsidRDefault="00CB33C7" w:rsidP="00DD6DC0">
            <w:pPr>
              <w:jc w:val="both"/>
              <w:rPr>
                <w:rFonts w:cs="Arial"/>
                <w:szCs w:val="22"/>
                <w:lang w:eastAsia="it-IT"/>
              </w:rPr>
            </w:pPr>
            <w:r w:rsidRPr="00BD5437">
              <w:rPr>
                <w:rFonts w:cs="Arial"/>
                <w:szCs w:val="22"/>
                <w:lang w:eastAsia="it-IT"/>
              </w:rPr>
              <w:t xml:space="preserve">Проведення інформаційних заходів (розміщення  </w:t>
            </w:r>
            <w:r w:rsidR="001E42A2">
              <w:rPr>
                <w:rFonts w:cs="Arial"/>
                <w:szCs w:val="22"/>
                <w:lang w:eastAsia="it-IT"/>
              </w:rPr>
              <w:t>інформації  про реалізацію  проє</w:t>
            </w:r>
            <w:r w:rsidRPr="00BD5437">
              <w:rPr>
                <w:rFonts w:cs="Arial"/>
                <w:szCs w:val="22"/>
                <w:lang w:eastAsia="it-IT"/>
              </w:rPr>
              <w:t>кту у ЗМІ) .</w:t>
            </w:r>
          </w:p>
        </w:tc>
      </w:tr>
      <w:tr w:rsidR="00CB33C7" w:rsidRPr="00BD5437" w14:paraId="47E649E0" w14:textId="77777777" w:rsidTr="00EA6E27">
        <w:trPr>
          <w:jc w:val="right"/>
        </w:trPr>
        <w:tc>
          <w:tcPr>
            <w:tcW w:w="3425" w:type="dxa"/>
            <w:shd w:val="clear" w:color="auto" w:fill="FFFFFF"/>
            <w:vAlign w:val="center"/>
          </w:tcPr>
          <w:p w14:paraId="1A4FB3AF" w14:textId="77777777" w:rsidR="00CB33C7" w:rsidRPr="00BD5437" w:rsidRDefault="00CB33C7" w:rsidP="00BD5437">
            <w:pPr>
              <w:rPr>
                <w:rFonts w:cs="Arial"/>
                <w:b/>
                <w:bCs/>
                <w:color w:val="000000"/>
                <w:szCs w:val="22"/>
              </w:rPr>
            </w:pPr>
            <w:r w:rsidRPr="00BD5437">
              <w:rPr>
                <w:rFonts w:cs="Arial"/>
                <w:b/>
                <w:bCs/>
                <w:color w:val="000000"/>
                <w:szCs w:val="22"/>
              </w:rPr>
              <w:t>Індикатори (показники) результативності:</w:t>
            </w:r>
          </w:p>
        </w:tc>
        <w:tc>
          <w:tcPr>
            <w:tcW w:w="6794" w:type="dxa"/>
            <w:gridSpan w:val="8"/>
          </w:tcPr>
          <w:p w14:paraId="50A79404" w14:textId="15711DB9" w:rsidR="00CB33C7" w:rsidRPr="00BD5437" w:rsidRDefault="00CB33C7" w:rsidP="00DD6DC0">
            <w:pPr>
              <w:rPr>
                <w:rFonts w:cs="Arial"/>
                <w:szCs w:val="22"/>
                <w:lang w:eastAsia="it-IT"/>
              </w:rPr>
            </w:pPr>
            <w:r w:rsidRPr="00BD5437">
              <w:rPr>
                <w:rFonts w:eastAsia="Arial" w:cs="Arial"/>
                <w:szCs w:val="22"/>
                <w:lang w:eastAsia="en-US"/>
              </w:rPr>
              <w:t xml:space="preserve">Площа дорожнього покриття яке ремонтується: 4600 </w:t>
            </w:r>
            <w:r w:rsidRPr="00BD5437">
              <w:rPr>
                <w:rFonts w:cs="Arial"/>
                <w:color w:val="000000"/>
                <w:szCs w:val="22"/>
              </w:rPr>
              <w:t>м</w:t>
            </w:r>
            <w:r w:rsidRPr="00BD5437">
              <w:rPr>
                <w:rFonts w:cs="Arial"/>
                <w:color w:val="000000"/>
                <w:szCs w:val="22"/>
                <w:vertAlign w:val="superscript"/>
              </w:rPr>
              <w:t xml:space="preserve">2  </w:t>
            </w:r>
            <w:r w:rsidRPr="00BD5437">
              <w:rPr>
                <w:rFonts w:eastAsia="Arial" w:cs="Arial"/>
                <w:szCs w:val="22"/>
                <w:lang w:eastAsia="en-US"/>
              </w:rPr>
              <w:t xml:space="preserve">та площа присипних узбіч: 1665 </w:t>
            </w:r>
            <w:r w:rsidRPr="00BD5437">
              <w:rPr>
                <w:rFonts w:cs="Arial"/>
                <w:color w:val="000000"/>
                <w:szCs w:val="22"/>
              </w:rPr>
              <w:t>м</w:t>
            </w:r>
            <w:r w:rsidRPr="00BD5437">
              <w:rPr>
                <w:rFonts w:cs="Arial"/>
                <w:color w:val="000000"/>
                <w:szCs w:val="22"/>
                <w:vertAlign w:val="superscript"/>
              </w:rPr>
              <w:t>2</w:t>
            </w:r>
          </w:p>
        </w:tc>
      </w:tr>
      <w:tr w:rsidR="00CB33C7" w:rsidRPr="00BD5437" w14:paraId="619D9A59" w14:textId="77777777" w:rsidTr="00EA6E27">
        <w:trPr>
          <w:jc w:val="right"/>
        </w:trPr>
        <w:tc>
          <w:tcPr>
            <w:tcW w:w="3425" w:type="dxa"/>
            <w:shd w:val="clear" w:color="auto" w:fill="FFFFFF"/>
            <w:vAlign w:val="center"/>
          </w:tcPr>
          <w:p w14:paraId="68ACE9D8" w14:textId="77777777" w:rsidR="00CB33C7" w:rsidRPr="00BD5437" w:rsidRDefault="00CB33C7" w:rsidP="00BD5437">
            <w:pPr>
              <w:rPr>
                <w:rFonts w:cs="Arial"/>
                <w:b/>
                <w:color w:val="000000"/>
                <w:szCs w:val="22"/>
              </w:rPr>
            </w:pPr>
            <w:r w:rsidRPr="00BD5437">
              <w:rPr>
                <w:rFonts w:cs="Arial"/>
                <w:b/>
                <w:color w:val="000000"/>
                <w:szCs w:val="22"/>
              </w:rPr>
              <w:t xml:space="preserve">Період здійснення: </w:t>
            </w:r>
          </w:p>
        </w:tc>
        <w:tc>
          <w:tcPr>
            <w:tcW w:w="6794" w:type="dxa"/>
            <w:gridSpan w:val="8"/>
            <w:vAlign w:val="center"/>
          </w:tcPr>
          <w:p w14:paraId="4C93EAA5" w14:textId="77777777" w:rsidR="00CB33C7" w:rsidRPr="00BD5437" w:rsidRDefault="00CB33C7" w:rsidP="00BD5437">
            <w:pPr>
              <w:rPr>
                <w:rFonts w:cs="Arial"/>
                <w:color w:val="000000"/>
                <w:szCs w:val="22"/>
                <w:lang w:eastAsia="it-IT"/>
              </w:rPr>
            </w:pPr>
            <w:r w:rsidRPr="00BD5437">
              <w:rPr>
                <w:rFonts w:cs="Arial"/>
                <w:b/>
                <w:color w:val="000000"/>
                <w:szCs w:val="22"/>
              </w:rPr>
              <w:t>2025 – 2028 роки:</w:t>
            </w:r>
          </w:p>
        </w:tc>
      </w:tr>
      <w:tr w:rsidR="00CB33C7" w:rsidRPr="00BD5437" w14:paraId="35A0E5A4" w14:textId="77777777" w:rsidTr="00EA6E27">
        <w:trPr>
          <w:jc w:val="right"/>
        </w:trPr>
        <w:tc>
          <w:tcPr>
            <w:tcW w:w="3425" w:type="dxa"/>
            <w:vMerge w:val="restart"/>
            <w:shd w:val="clear" w:color="auto" w:fill="FFFFFF"/>
            <w:vAlign w:val="center"/>
          </w:tcPr>
          <w:p w14:paraId="76374370" w14:textId="77777777" w:rsidR="00CB33C7" w:rsidRPr="00BD5437" w:rsidRDefault="00CB33C7" w:rsidP="00BD5437">
            <w:pPr>
              <w:rPr>
                <w:rFonts w:cs="Arial"/>
                <w:b/>
                <w:bCs/>
                <w:color w:val="000000"/>
                <w:szCs w:val="22"/>
              </w:rPr>
            </w:pPr>
            <w:r w:rsidRPr="00BD5437">
              <w:rPr>
                <w:rFonts w:cs="Arial"/>
                <w:b/>
                <w:bCs/>
                <w:color w:val="000000"/>
                <w:szCs w:val="22"/>
              </w:rPr>
              <w:t>Орієнтовна вартість проєкту, тис. грн., в тому числі:</w:t>
            </w:r>
          </w:p>
        </w:tc>
        <w:tc>
          <w:tcPr>
            <w:tcW w:w="1254" w:type="dxa"/>
            <w:shd w:val="clear" w:color="auto" w:fill="E6E6E6"/>
            <w:vAlign w:val="center"/>
          </w:tcPr>
          <w:p w14:paraId="41230A3C" w14:textId="77777777" w:rsidR="00CB33C7" w:rsidRPr="00BD5437" w:rsidRDefault="00CB33C7" w:rsidP="00BD5437">
            <w:pPr>
              <w:jc w:val="center"/>
              <w:rPr>
                <w:rFonts w:cs="Arial"/>
                <w:b/>
                <w:color w:val="000000"/>
                <w:szCs w:val="22"/>
                <w:lang w:eastAsia="it-IT"/>
              </w:rPr>
            </w:pPr>
            <w:r w:rsidRPr="00BD5437">
              <w:rPr>
                <w:rFonts w:cs="Arial"/>
                <w:b/>
                <w:color w:val="000000"/>
                <w:szCs w:val="22"/>
                <w:lang w:eastAsia="it-IT"/>
              </w:rPr>
              <w:t>2025</w:t>
            </w:r>
          </w:p>
        </w:tc>
        <w:tc>
          <w:tcPr>
            <w:tcW w:w="1275" w:type="dxa"/>
            <w:shd w:val="clear" w:color="auto" w:fill="E6E6E6"/>
            <w:vAlign w:val="center"/>
          </w:tcPr>
          <w:p w14:paraId="784C8506" w14:textId="77777777" w:rsidR="00CB33C7" w:rsidRPr="00BD5437" w:rsidRDefault="00CB33C7" w:rsidP="00BD5437">
            <w:pPr>
              <w:jc w:val="center"/>
              <w:rPr>
                <w:rFonts w:cs="Arial"/>
                <w:b/>
                <w:color w:val="000000"/>
                <w:szCs w:val="22"/>
                <w:lang w:eastAsia="it-IT"/>
              </w:rPr>
            </w:pPr>
            <w:r w:rsidRPr="00BD5437">
              <w:rPr>
                <w:rFonts w:cs="Arial"/>
                <w:b/>
                <w:color w:val="000000"/>
                <w:szCs w:val="22"/>
                <w:lang w:eastAsia="it-IT"/>
              </w:rPr>
              <w:t>2026</w:t>
            </w:r>
          </w:p>
        </w:tc>
        <w:tc>
          <w:tcPr>
            <w:tcW w:w="1418" w:type="dxa"/>
            <w:gridSpan w:val="2"/>
            <w:tcBorders>
              <w:bottom w:val="single" w:sz="4" w:space="0" w:color="auto"/>
            </w:tcBorders>
            <w:shd w:val="clear" w:color="auto" w:fill="E6E6E6"/>
            <w:vAlign w:val="center"/>
          </w:tcPr>
          <w:p w14:paraId="2A98203B" w14:textId="77777777" w:rsidR="00CB33C7" w:rsidRPr="00BD5437" w:rsidRDefault="00CB33C7" w:rsidP="00BD5437">
            <w:pPr>
              <w:jc w:val="center"/>
              <w:rPr>
                <w:rFonts w:cs="Arial"/>
                <w:b/>
                <w:color w:val="000000"/>
                <w:szCs w:val="22"/>
                <w:lang w:eastAsia="it-IT"/>
              </w:rPr>
            </w:pPr>
            <w:r w:rsidRPr="00BD5437">
              <w:rPr>
                <w:rFonts w:cs="Arial"/>
                <w:b/>
                <w:color w:val="000000"/>
                <w:szCs w:val="22"/>
                <w:lang w:eastAsia="it-IT"/>
              </w:rPr>
              <w:t>2027</w:t>
            </w:r>
          </w:p>
        </w:tc>
        <w:tc>
          <w:tcPr>
            <w:tcW w:w="1276" w:type="dxa"/>
            <w:gridSpan w:val="2"/>
            <w:shd w:val="clear" w:color="auto" w:fill="E6E6E6"/>
            <w:vAlign w:val="center"/>
          </w:tcPr>
          <w:p w14:paraId="29194463" w14:textId="77777777" w:rsidR="00CB33C7" w:rsidRPr="00BD5437" w:rsidRDefault="00CB33C7" w:rsidP="00BD5437">
            <w:pPr>
              <w:jc w:val="center"/>
              <w:rPr>
                <w:rFonts w:cs="Arial"/>
                <w:b/>
                <w:color w:val="000000"/>
                <w:szCs w:val="22"/>
                <w:lang w:eastAsia="it-IT"/>
              </w:rPr>
            </w:pPr>
            <w:r w:rsidRPr="00BD5437">
              <w:rPr>
                <w:rFonts w:cs="Arial"/>
                <w:b/>
                <w:color w:val="000000"/>
                <w:szCs w:val="22"/>
                <w:lang w:eastAsia="it-IT"/>
              </w:rPr>
              <w:t>2028</w:t>
            </w:r>
          </w:p>
        </w:tc>
        <w:tc>
          <w:tcPr>
            <w:tcW w:w="1571" w:type="dxa"/>
            <w:gridSpan w:val="2"/>
            <w:shd w:val="clear" w:color="auto" w:fill="E6E6E6"/>
            <w:vAlign w:val="center"/>
          </w:tcPr>
          <w:p w14:paraId="49615258" w14:textId="77777777" w:rsidR="00CB33C7" w:rsidRPr="00BD5437" w:rsidRDefault="00CB33C7" w:rsidP="00BD5437">
            <w:pPr>
              <w:jc w:val="center"/>
              <w:rPr>
                <w:rFonts w:cs="Arial"/>
                <w:b/>
                <w:color w:val="000000"/>
                <w:szCs w:val="22"/>
                <w:lang w:eastAsia="it-IT"/>
              </w:rPr>
            </w:pPr>
            <w:r w:rsidRPr="00BD5437">
              <w:rPr>
                <w:rFonts w:cs="Arial"/>
                <w:b/>
                <w:color w:val="000000"/>
                <w:szCs w:val="22"/>
                <w:lang w:eastAsia="it-IT"/>
              </w:rPr>
              <w:t>РАЗОМ</w:t>
            </w:r>
          </w:p>
        </w:tc>
      </w:tr>
      <w:tr w:rsidR="00CB33C7" w:rsidRPr="00BD5437" w14:paraId="3F320974" w14:textId="77777777" w:rsidTr="00EA6E27">
        <w:trPr>
          <w:jc w:val="right"/>
        </w:trPr>
        <w:tc>
          <w:tcPr>
            <w:tcW w:w="3425" w:type="dxa"/>
            <w:vMerge/>
            <w:shd w:val="clear" w:color="auto" w:fill="FFFFFF"/>
            <w:vAlign w:val="center"/>
          </w:tcPr>
          <w:p w14:paraId="78969F17" w14:textId="77777777" w:rsidR="00CB33C7" w:rsidRPr="00BD5437" w:rsidRDefault="00CB33C7" w:rsidP="00BD5437">
            <w:pPr>
              <w:rPr>
                <w:rFonts w:cs="Arial"/>
                <w:b/>
                <w:bCs/>
                <w:color w:val="000000"/>
                <w:szCs w:val="22"/>
              </w:rPr>
            </w:pPr>
          </w:p>
        </w:tc>
        <w:tc>
          <w:tcPr>
            <w:tcW w:w="1254" w:type="dxa"/>
            <w:vAlign w:val="center"/>
          </w:tcPr>
          <w:p w14:paraId="45621F61" w14:textId="77777777" w:rsidR="00CB33C7" w:rsidRPr="00BD5437" w:rsidRDefault="00CB33C7" w:rsidP="00BD5437">
            <w:pPr>
              <w:jc w:val="center"/>
              <w:rPr>
                <w:rFonts w:cs="Arial"/>
                <w:b/>
                <w:color w:val="000000"/>
                <w:szCs w:val="22"/>
                <w:lang w:eastAsia="it-IT"/>
              </w:rPr>
            </w:pPr>
          </w:p>
        </w:tc>
        <w:tc>
          <w:tcPr>
            <w:tcW w:w="1275" w:type="dxa"/>
            <w:shd w:val="clear" w:color="auto" w:fill="FFFFFF"/>
            <w:vAlign w:val="center"/>
          </w:tcPr>
          <w:p w14:paraId="605AA6FA" w14:textId="77777777" w:rsidR="00CB33C7" w:rsidRPr="00BD5437" w:rsidRDefault="00CB33C7" w:rsidP="00BD5437">
            <w:pPr>
              <w:jc w:val="center"/>
              <w:rPr>
                <w:rFonts w:cs="Arial"/>
                <w:b/>
                <w:color w:val="000000"/>
                <w:szCs w:val="22"/>
                <w:lang w:eastAsia="it-IT"/>
              </w:rPr>
            </w:pPr>
          </w:p>
        </w:tc>
        <w:tc>
          <w:tcPr>
            <w:tcW w:w="1418" w:type="dxa"/>
            <w:gridSpan w:val="2"/>
            <w:shd w:val="clear" w:color="auto" w:fill="auto"/>
            <w:vAlign w:val="center"/>
          </w:tcPr>
          <w:p w14:paraId="10C49D64" w14:textId="77777777" w:rsidR="00CB33C7" w:rsidRPr="00BD5437" w:rsidRDefault="00CB33C7" w:rsidP="00BD5437">
            <w:pPr>
              <w:jc w:val="center"/>
              <w:rPr>
                <w:rFonts w:cs="Arial"/>
                <w:b/>
                <w:color w:val="000000"/>
                <w:szCs w:val="22"/>
                <w:lang w:eastAsia="it-IT"/>
              </w:rPr>
            </w:pPr>
            <w:r w:rsidRPr="00BD5437">
              <w:rPr>
                <w:rFonts w:cs="Arial"/>
                <w:b/>
                <w:color w:val="000000"/>
                <w:szCs w:val="22"/>
                <w:lang w:eastAsia="it-IT"/>
              </w:rPr>
              <w:t>14000,00</w:t>
            </w:r>
          </w:p>
        </w:tc>
        <w:tc>
          <w:tcPr>
            <w:tcW w:w="1276" w:type="dxa"/>
            <w:gridSpan w:val="2"/>
            <w:shd w:val="clear" w:color="auto" w:fill="FFFFFF"/>
            <w:vAlign w:val="center"/>
          </w:tcPr>
          <w:p w14:paraId="61D6AD43" w14:textId="77777777" w:rsidR="00CB33C7" w:rsidRPr="00BD5437" w:rsidRDefault="00CB33C7" w:rsidP="00BD5437">
            <w:pPr>
              <w:jc w:val="center"/>
              <w:rPr>
                <w:rFonts w:cs="Arial"/>
                <w:b/>
                <w:color w:val="000000"/>
                <w:szCs w:val="22"/>
                <w:lang w:eastAsia="it-IT"/>
              </w:rPr>
            </w:pPr>
          </w:p>
        </w:tc>
        <w:tc>
          <w:tcPr>
            <w:tcW w:w="1571" w:type="dxa"/>
            <w:gridSpan w:val="2"/>
            <w:shd w:val="clear" w:color="auto" w:fill="FFFFFF"/>
            <w:vAlign w:val="center"/>
          </w:tcPr>
          <w:p w14:paraId="03C1DC6E" w14:textId="77777777" w:rsidR="00CB33C7" w:rsidRPr="00BD5437" w:rsidRDefault="00CB33C7" w:rsidP="00BD5437">
            <w:pPr>
              <w:jc w:val="center"/>
              <w:rPr>
                <w:rFonts w:cs="Arial"/>
                <w:b/>
                <w:color w:val="000000"/>
                <w:szCs w:val="22"/>
                <w:lang w:eastAsia="it-IT"/>
              </w:rPr>
            </w:pPr>
            <w:r w:rsidRPr="00BD5437">
              <w:rPr>
                <w:rFonts w:cs="Arial"/>
                <w:b/>
                <w:color w:val="000000"/>
                <w:szCs w:val="22"/>
                <w:lang w:eastAsia="it-IT"/>
              </w:rPr>
              <w:t>14000,00</w:t>
            </w:r>
          </w:p>
        </w:tc>
      </w:tr>
      <w:tr w:rsidR="00CB33C7" w:rsidRPr="00BD5437" w14:paraId="7D5C1432" w14:textId="77777777" w:rsidTr="00EA6E27">
        <w:trPr>
          <w:trHeight w:val="276"/>
          <w:jc w:val="right"/>
        </w:trPr>
        <w:tc>
          <w:tcPr>
            <w:tcW w:w="3425" w:type="dxa"/>
            <w:shd w:val="clear" w:color="auto" w:fill="FFFFFF"/>
            <w:vAlign w:val="center"/>
          </w:tcPr>
          <w:p w14:paraId="7DA18865" w14:textId="77777777" w:rsidR="00CB33C7" w:rsidRPr="00BD5437" w:rsidRDefault="00CB33C7" w:rsidP="00BD5437">
            <w:pPr>
              <w:rPr>
                <w:rFonts w:cs="Arial"/>
                <w:b/>
                <w:bCs/>
                <w:color w:val="000000"/>
                <w:szCs w:val="22"/>
              </w:rPr>
            </w:pPr>
            <w:r w:rsidRPr="00BD5437">
              <w:rPr>
                <w:rFonts w:cs="Arial"/>
                <w:b/>
                <w:bCs/>
                <w:color w:val="000000"/>
                <w:szCs w:val="22"/>
              </w:rPr>
              <w:t>по джерелах фінансування:</w:t>
            </w:r>
          </w:p>
        </w:tc>
        <w:tc>
          <w:tcPr>
            <w:tcW w:w="6794" w:type="dxa"/>
            <w:gridSpan w:val="8"/>
            <w:vAlign w:val="center"/>
          </w:tcPr>
          <w:p w14:paraId="38FA820E" w14:textId="77777777" w:rsidR="00CB33C7" w:rsidRPr="00BD5437" w:rsidRDefault="00CB33C7" w:rsidP="00BD5437">
            <w:pPr>
              <w:jc w:val="both"/>
              <w:rPr>
                <w:rFonts w:cs="Arial"/>
                <w:color w:val="000000"/>
                <w:szCs w:val="22"/>
                <w:lang w:eastAsia="it-IT"/>
              </w:rPr>
            </w:pPr>
          </w:p>
        </w:tc>
      </w:tr>
      <w:tr w:rsidR="00BD5437" w:rsidRPr="00BD5437" w14:paraId="2F0AE151" w14:textId="07AC8240" w:rsidTr="00BD5437">
        <w:trPr>
          <w:trHeight w:val="240"/>
          <w:jc w:val="right"/>
        </w:trPr>
        <w:tc>
          <w:tcPr>
            <w:tcW w:w="3425" w:type="dxa"/>
            <w:shd w:val="clear" w:color="auto" w:fill="FFFFFF"/>
            <w:vAlign w:val="center"/>
          </w:tcPr>
          <w:p w14:paraId="507FBC72" w14:textId="77777777" w:rsidR="00BD5437" w:rsidRPr="00BD5437" w:rsidRDefault="00BD5437" w:rsidP="00BD5437">
            <w:pPr>
              <w:rPr>
                <w:rFonts w:cs="Arial"/>
                <w:b/>
                <w:bCs/>
                <w:color w:val="000000"/>
                <w:szCs w:val="22"/>
              </w:rPr>
            </w:pPr>
            <w:r w:rsidRPr="00BD5437">
              <w:rPr>
                <w:rFonts w:cs="Arial"/>
                <w:color w:val="000000"/>
                <w:szCs w:val="22"/>
              </w:rPr>
              <w:t>- державний бюджет</w:t>
            </w:r>
          </w:p>
        </w:tc>
        <w:tc>
          <w:tcPr>
            <w:tcW w:w="1250" w:type="dxa"/>
          </w:tcPr>
          <w:p w14:paraId="4F6D4C09" w14:textId="58E05241" w:rsidR="00BD5437" w:rsidRPr="00BD5437" w:rsidRDefault="00BD5437" w:rsidP="00BD5437">
            <w:pPr>
              <w:jc w:val="center"/>
              <w:rPr>
                <w:rFonts w:cs="Arial"/>
                <w:color w:val="000000"/>
                <w:szCs w:val="22"/>
                <w:lang w:eastAsia="it-IT"/>
              </w:rPr>
            </w:pPr>
          </w:p>
        </w:tc>
        <w:tc>
          <w:tcPr>
            <w:tcW w:w="1300" w:type="dxa"/>
            <w:gridSpan w:val="2"/>
          </w:tcPr>
          <w:p w14:paraId="3FDF93FE" w14:textId="77777777" w:rsidR="00BD5437" w:rsidRPr="00BD5437" w:rsidRDefault="00BD5437" w:rsidP="00BD5437">
            <w:pPr>
              <w:jc w:val="center"/>
              <w:rPr>
                <w:rFonts w:cs="Arial"/>
                <w:color w:val="000000"/>
                <w:szCs w:val="22"/>
                <w:lang w:eastAsia="it-IT"/>
              </w:rPr>
            </w:pPr>
          </w:p>
        </w:tc>
        <w:tc>
          <w:tcPr>
            <w:tcW w:w="1450" w:type="dxa"/>
            <w:gridSpan w:val="2"/>
          </w:tcPr>
          <w:p w14:paraId="5059E615" w14:textId="55ABEE3E" w:rsidR="00BD5437" w:rsidRPr="00BD5437" w:rsidRDefault="00BD5437" w:rsidP="00BD5437">
            <w:pPr>
              <w:ind w:left="200" w:hanging="154"/>
              <w:jc w:val="center"/>
              <w:rPr>
                <w:rFonts w:cs="Arial"/>
                <w:color w:val="000000"/>
                <w:szCs w:val="22"/>
                <w:lang w:eastAsia="it-IT"/>
              </w:rPr>
            </w:pPr>
            <w:r w:rsidRPr="00BD5437">
              <w:rPr>
                <w:rFonts w:eastAsia="Arial" w:cs="Arial"/>
                <w:szCs w:val="22"/>
              </w:rPr>
              <w:t>11666,67</w:t>
            </w:r>
          </w:p>
        </w:tc>
        <w:tc>
          <w:tcPr>
            <w:tcW w:w="1280" w:type="dxa"/>
            <w:gridSpan w:val="2"/>
          </w:tcPr>
          <w:p w14:paraId="365CB9E6" w14:textId="1A63384E" w:rsidR="00BD5437" w:rsidRPr="00BD5437" w:rsidRDefault="00BD5437" w:rsidP="00BD5437">
            <w:pPr>
              <w:jc w:val="center"/>
              <w:rPr>
                <w:rFonts w:cs="Arial"/>
                <w:color w:val="000000"/>
                <w:szCs w:val="22"/>
                <w:lang w:eastAsia="it-IT"/>
              </w:rPr>
            </w:pPr>
          </w:p>
        </w:tc>
        <w:tc>
          <w:tcPr>
            <w:tcW w:w="1514" w:type="dxa"/>
          </w:tcPr>
          <w:p w14:paraId="000D8435" w14:textId="224A6075" w:rsidR="00BD5437" w:rsidRPr="00BD5437" w:rsidRDefault="00BD5437" w:rsidP="00BD5437">
            <w:pPr>
              <w:jc w:val="center"/>
              <w:rPr>
                <w:rFonts w:cs="Arial"/>
                <w:color w:val="000000"/>
                <w:szCs w:val="22"/>
                <w:lang w:eastAsia="it-IT"/>
              </w:rPr>
            </w:pPr>
            <w:r w:rsidRPr="00BD5437">
              <w:rPr>
                <w:rFonts w:eastAsia="Arial" w:cs="Arial"/>
                <w:szCs w:val="22"/>
              </w:rPr>
              <w:t>11666,67</w:t>
            </w:r>
          </w:p>
        </w:tc>
      </w:tr>
      <w:tr w:rsidR="00BD5437" w:rsidRPr="00BD5437" w14:paraId="58B5486B" w14:textId="0AF79C58" w:rsidTr="00BD5437">
        <w:trPr>
          <w:trHeight w:val="254"/>
          <w:jc w:val="right"/>
        </w:trPr>
        <w:tc>
          <w:tcPr>
            <w:tcW w:w="3425" w:type="dxa"/>
            <w:shd w:val="clear" w:color="auto" w:fill="FFFFFF"/>
            <w:vAlign w:val="center"/>
          </w:tcPr>
          <w:p w14:paraId="4F72B76B" w14:textId="77777777" w:rsidR="00BD5437" w:rsidRPr="00BD5437" w:rsidRDefault="00BD5437" w:rsidP="00BD5437">
            <w:pPr>
              <w:rPr>
                <w:rFonts w:cs="Arial"/>
                <w:color w:val="000000"/>
                <w:szCs w:val="22"/>
              </w:rPr>
            </w:pPr>
            <w:r w:rsidRPr="00BD5437">
              <w:rPr>
                <w:rFonts w:cs="Arial"/>
                <w:color w:val="000000"/>
                <w:szCs w:val="22"/>
              </w:rPr>
              <w:t>- обласний бюджет</w:t>
            </w:r>
          </w:p>
        </w:tc>
        <w:tc>
          <w:tcPr>
            <w:tcW w:w="1250" w:type="dxa"/>
          </w:tcPr>
          <w:p w14:paraId="7EF35949" w14:textId="4222867C" w:rsidR="00BD5437" w:rsidRPr="00BD5437" w:rsidRDefault="00BD5437" w:rsidP="00BD5437">
            <w:pPr>
              <w:jc w:val="center"/>
              <w:rPr>
                <w:rFonts w:cs="Arial"/>
                <w:color w:val="000000"/>
                <w:szCs w:val="22"/>
                <w:lang w:eastAsia="it-IT"/>
              </w:rPr>
            </w:pPr>
          </w:p>
        </w:tc>
        <w:tc>
          <w:tcPr>
            <w:tcW w:w="1300" w:type="dxa"/>
            <w:gridSpan w:val="2"/>
          </w:tcPr>
          <w:p w14:paraId="39E0D3D0" w14:textId="77777777" w:rsidR="00BD5437" w:rsidRPr="00BD5437" w:rsidRDefault="00BD5437" w:rsidP="00BD5437">
            <w:pPr>
              <w:jc w:val="center"/>
              <w:rPr>
                <w:rFonts w:cs="Arial"/>
                <w:color w:val="000000"/>
                <w:szCs w:val="22"/>
                <w:lang w:eastAsia="it-IT"/>
              </w:rPr>
            </w:pPr>
          </w:p>
        </w:tc>
        <w:tc>
          <w:tcPr>
            <w:tcW w:w="1450" w:type="dxa"/>
            <w:gridSpan w:val="2"/>
          </w:tcPr>
          <w:p w14:paraId="5F2332B5" w14:textId="31C3A6C0" w:rsidR="00BD5437" w:rsidRPr="00BD5437" w:rsidRDefault="00BD5437" w:rsidP="00BD5437">
            <w:pPr>
              <w:ind w:hanging="154"/>
              <w:jc w:val="center"/>
              <w:rPr>
                <w:rFonts w:cs="Arial"/>
                <w:color w:val="000000"/>
                <w:szCs w:val="22"/>
                <w:lang w:eastAsia="it-IT"/>
              </w:rPr>
            </w:pPr>
          </w:p>
        </w:tc>
        <w:tc>
          <w:tcPr>
            <w:tcW w:w="1280" w:type="dxa"/>
            <w:gridSpan w:val="2"/>
          </w:tcPr>
          <w:p w14:paraId="41DCE658" w14:textId="77777777" w:rsidR="00BD5437" w:rsidRPr="00BD5437" w:rsidRDefault="00BD5437" w:rsidP="00BD5437">
            <w:pPr>
              <w:jc w:val="center"/>
              <w:rPr>
                <w:rFonts w:cs="Arial"/>
                <w:color w:val="000000"/>
                <w:szCs w:val="22"/>
                <w:lang w:eastAsia="it-IT"/>
              </w:rPr>
            </w:pPr>
          </w:p>
        </w:tc>
        <w:tc>
          <w:tcPr>
            <w:tcW w:w="1514" w:type="dxa"/>
          </w:tcPr>
          <w:p w14:paraId="5835A1CD" w14:textId="77777777" w:rsidR="00BD5437" w:rsidRPr="00BD5437" w:rsidRDefault="00BD5437" w:rsidP="00BD5437">
            <w:pPr>
              <w:jc w:val="center"/>
              <w:rPr>
                <w:rFonts w:cs="Arial"/>
                <w:color w:val="000000"/>
                <w:szCs w:val="22"/>
                <w:lang w:eastAsia="it-IT"/>
              </w:rPr>
            </w:pPr>
          </w:p>
        </w:tc>
      </w:tr>
      <w:tr w:rsidR="00BD5437" w:rsidRPr="00BD5437" w14:paraId="38ACD168" w14:textId="228D0E60" w:rsidTr="00BD5437">
        <w:trPr>
          <w:trHeight w:val="275"/>
          <w:jc w:val="right"/>
        </w:trPr>
        <w:tc>
          <w:tcPr>
            <w:tcW w:w="3425" w:type="dxa"/>
            <w:shd w:val="clear" w:color="auto" w:fill="FFFFFF"/>
            <w:vAlign w:val="center"/>
          </w:tcPr>
          <w:p w14:paraId="3DA8174C" w14:textId="77777777" w:rsidR="00BD5437" w:rsidRPr="00BD5437" w:rsidRDefault="00BD5437" w:rsidP="00BD5437">
            <w:pPr>
              <w:rPr>
                <w:rFonts w:cs="Arial"/>
                <w:color w:val="000000"/>
                <w:szCs w:val="22"/>
              </w:rPr>
            </w:pPr>
            <w:r w:rsidRPr="00BD5437">
              <w:rPr>
                <w:rFonts w:cs="Arial"/>
                <w:color w:val="000000"/>
                <w:szCs w:val="22"/>
              </w:rPr>
              <w:t>- бюджет Жмеринської МТГ</w:t>
            </w:r>
          </w:p>
        </w:tc>
        <w:tc>
          <w:tcPr>
            <w:tcW w:w="1250" w:type="dxa"/>
          </w:tcPr>
          <w:p w14:paraId="7492A40F" w14:textId="657E4832" w:rsidR="00BD5437" w:rsidRPr="00BD5437" w:rsidRDefault="00BD5437" w:rsidP="00BD5437">
            <w:pPr>
              <w:jc w:val="center"/>
              <w:rPr>
                <w:rFonts w:cs="Arial"/>
                <w:color w:val="000000"/>
                <w:szCs w:val="22"/>
                <w:lang w:eastAsia="it-IT"/>
              </w:rPr>
            </w:pPr>
          </w:p>
        </w:tc>
        <w:tc>
          <w:tcPr>
            <w:tcW w:w="1300" w:type="dxa"/>
            <w:gridSpan w:val="2"/>
          </w:tcPr>
          <w:p w14:paraId="5DF5467B" w14:textId="77777777" w:rsidR="00BD5437" w:rsidRPr="00BD5437" w:rsidRDefault="00BD5437" w:rsidP="00BD5437">
            <w:pPr>
              <w:jc w:val="center"/>
              <w:rPr>
                <w:rFonts w:cs="Arial"/>
                <w:color w:val="000000"/>
                <w:szCs w:val="22"/>
                <w:lang w:eastAsia="it-IT"/>
              </w:rPr>
            </w:pPr>
          </w:p>
        </w:tc>
        <w:tc>
          <w:tcPr>
            <w:tcW w:w="1450" w:type="dxa"/>
            <w:gridSpan w:val="2"/>
          </w:tcPr>
          <w:p w14:paraId="2441B36D" w14:textId="6F670344" w:rsidR="00BD5437" w:rsidRPr="00BD5437" w:rsidRDefault="00BD5437" w:rsidP="00BD5437">
            <w:pPr>
              <w:ind w:left="260" w:hanging="154"/>
              <w:jc w:val="center"/>
              <w:rPr>
                <w:rFonts w:cs="Arial"/>
                <w:color w:val="000000"/>
                <w:szCs w:val="22"/>
                <w:lang w:eastAsia="it-IT"/>
              </w:rPr>
            </w:pPr>
            <w:r w:rsidRPr="00BD5437">
              <w:rPr>
                <w:rFonts w:cs="Arial"/>
                <w:color w:val="000000"/>
                <w:szCs w:val="22"/>
                <w:lang w:eastAsia="it-IT"/>
              </w:rPr>
              <w:t>2333,33</w:t>
            </w:r>
          </w:p>
        </w:tc>
        <w:tc>
          <w:tcPr>
            <w:tcW w:w="1280" w:type="dxa"/>
            <w:gridSpan w:val="2"/>
          </w:tcPr>
          <w:p w14:paraId="1D5EE9C5" w14:textId="7E1211F9" w:rsidR="00BD5437" w:rsidRPr="00BD5437" w:rsidRDefault="00BD5437" w:rsidP="00BD5437">
            <w:pPr>
              <w:jc w:val="center"/>
              <w:rPr>
                <w:rFonts w:cs="Arial"/>
                <w:color w:val="000000"/>
                <w:szCs w:val="22"/>
                <w:lang w:eastAsia="it-IT"/>
              </w:rPr>
            </w:pPr>
          </w:p>
        </w:tc>
        <w:tc>
          <w:tcPr>
            <w:tcW w:w="1514" w:type="dxa"/>
          </w:tcPr>
          <w:p w14:paraId="186D32DF" w14:textId="24C39404" w:rsidR="00BD5437" w:rsidRPr="00BD5437" w:rsidRDefault="00BD5437" w:rsidP="00BD5437">
            <w:pPr>
              <w:jc w:val="center"/>
              <w:rPr>
                <w:rFonts w:cs="Arial"/>
                <w:color w:val="000000"/>
                <w:szCs w:val="22"/>
                <w:lang w:eastAsia="it-IT"/>
              </w:rPr>
            </w:pPr>
            <w:r w:rsidRPr="00BD5437">
              <w:rPr>
                <w:rFonts w:cs="Arial"/>
                <w:color w:val="000000"/>
                <w:szCs w:val="22"/>
                <w:lang w:eastAsia="it-IT"/>
              </w:rPr>
              <w:t>2333,33</w:t>
            </w:r>
          </w:p>
        </w:tc>
      </w:tr>
      <w:tr w:rsidR="00BD5437" w:rsidRPr="00BD5437" w14:paraId="48E1D9AB" w14:textId="11933497" w:rsidTr="00BD5437">
        <w:trPr>
          <w:trHeight w:val="226"/>
          <w:jc w:val="right"/>
        </w:trPr>
        <w:tc>
          <w:tcPr>
            <w:tcW w:w="3425" w:type="dxa"/>
            <w:shd w:val="clear" w:color="auto" w:fill="FFFFFF"/>
            <w:vAlign w:val="center"/>
          </w:tcPr>
          <w:p w14:paraId="58EA434B" w14:textId="77777777" w:rsidR="00BD5437" w:rsidRPr="00BD5437" w:rsidRDefault="00BD5437" w:rsidP="00BD5437">
            <w:pPr>
              <w:rPr>
                <w:rFonts w:cs="Arial"/>
                <w:color w:val="000000"/>
                <w:szCs w:val="22"/>
              </w:rPr>
            </w:pPr>
            <w:r w:rsidRPr="00BD5437">
              <w:rPr>
                <w:rFonts w:cs="Arial"/>
                <w:color w:val="000000"/>
                <w:szCs w:val="22"/>
              </w:rPr>
              <w:t>- інші джерела фінансування</w:t>
            </w:r>
          </w:p>
        </w:tc>
        <w:tc>
          <w:tcPr>
            <w:tcW w:w="1250" w:type="dxa"/>
          </w:tcPr>
          <w:p w14:paraId="2E247D26" w14:textId="77777777" w:rsidR="00BD5437" w:rsidRPr="00BD5437" w:rsidRDefault="00BD5437" w:rsidP="00BD5437">
            <w:pPr>
              <w:jc w:val="center"/>
              <w:rPr>
                <w:rFonts w:cs="Arial"/>
                <w:color w:val="000000"/>
                <w:szCs w:val="22"/>
                <w:lang w:eastAsia="it-IT"/>
              </w:rPr>
            </w:pPr>
          </w:p>
        </w:tc>
        <w:tc>
          <w:tcPr>
            <w:tcW w:w="1300" w:type="dxa"/>
            <w:gridSpan w:val="2"/>
          </w:tcPr>
          <w:p w14:paraId="57BCD439" w14:textId="77777777" w:rsidR="00BD5437" w:rsidRPr="00BD5437" w:rsidRDefault="00BD5437" w:rsidP="00BD5437">
            <w:pPr>
              <w:jc w:val="center"/>
              <w:rPr>
                <w:rFonts w:cs="Arial"/>
                <w:color w:val="000000"/>
                <w:szCs w:val="22"/>
                <w:lang w:eastAsia="it-IT"/>
              </w:rPr>
            </w:pPr>
          </w:p>
        </w:tc>
        <w:tc>
          <w:tcPr>
            <w:tcW w:w="1450" w:type="dxa"/>
            <w:gridSpan w:val="2"/>
          </w:tcPr>
          <w:p w14:paraId="723BFD3F" w14:textId="1387B1CD" w:rsidR="00BD5437" w:rsidRPr="00BD5437" w:rsidRDefault="00BD5437" w:rsidP="00BD5437">
            <w:pPr>
              <w:ind w:hanging="154"/>
              <w:jc w:val="center"/>
              <w:rPr>
                <w:rFonts w:cs="Arial"/>
                <w:color w:val="000000"/>
                <w:szCs w:val="22"/>
                <w:lang w:eastAsia="it-IT"/>
              </w:rPr>
            </w:pPr>
          </w:p>
        </w:tc>
        <w:tc>
          <w:tcPr>
            <w:tcW w:w="1280" w:type="dxa"/>
            <w:gridSpan w:val="2"/>
          </w:tcPr>
          <w:p w14:paraId="7BD622BB" w14:textId="77777777" w:rsidR="00BD5437" w:rsidRPr="00BD5437" w:rsidRDefault="00BD5437" w:rsidP="00BD5437">
            <w:pPr>
              <w:jc w:val="center"/>
              <w:rPr>
                <w:rFonts w:cs="Arial"/>
                <w:color w:val="000000"/>
                <w:szCs w:val="22"/>
                <w:lang w:eastAsia="it-IT"/>
              </w:rPr>
            </w:pPr>
          </w:p>
        </w:tc>
        <w:tc>
          <w:tcPr>
            <w:tcW w:w="1514" w:type="dxa"/>
          </w:tcPr>
          <w:p w14:paraId="57554452" w14:textId="77777777" w:rsidR="00BD5437" w:rsidRPr="00BD5437" w:rsidRDefault="00BD5437" w:rsidP="00BD5437">
            <w:pPr>
              <w:jc w:val="center"/>
              <w:rPr>
                <w:rFonts w:cs="Arial"/>
                <w:color w:val="000000"/>
                <w:szCs w:val="22"/>
                <w:lang w:eastAsia="it-IT"/>
              </w:rPr>
            </w:pPr>
          </w:p>
        </w:tc>
      </w:tr>
      <w:tr w:rsidR="00CB33C7" w:rsidRPr="00BD5437" w14:paraId="238C8771" w14:textId="77777777" w:rsidTr="00EA6E27">
        <w:trPr>
          <w:jc w:val="right"/>
        </w:trPr>
        <w:tc>
          <w:tcPr>
            <w:tcW w:w="3425" w:type="dxa"/>
            <w:shd w:val="clear" w:color="auto" w:fill="FFFFFF"/>
            <w:vAlign w:val="center"/>
          </w:tcPr>
          <w:p w14:paraId="1B685E2C" w14:textId="77777777" w:rsidR="00CB33C7" w:rsidRPr="00BD5437" w:rsidRDefault="00CB33C7" w:rsidP="00BD5437">
            <w:pPr>
              <w:rPr>
                <w:rFonts w:cs="Arial"/>
                <w:b/>
                <w:bCs/>
                <w:color w:val="000000"/>
                <w:szCs w:val="22"/>
              </w:rPr>
            </w:pPr>
            <w:r w:rsidRPr="00BD5437">
              <w:rPr>
                <w:rFonts w:cs="Arial"/>
                <w:b/>
                <w:color w:val="000000"/>
                <w:szCs w:val="22"/>
              </w:rPr>
              <w:t>Відповідальний виконавець проєкту:</w:t>
            </w:r>
          </w:p>
        </w:tc>
        <w:tc>
          <w:tcPr>
            <w:tcW w:w="6794" w:type="dxa"/>
            <w:gridSpan w:val="8"/>
            <w:vAlign w:val="center"/>
          </w:tcPr>
          <w:p w14:paraId="172C8F92" w14:textId="047D86CC" w:rsidR="00CB33C7" w:rsidRPr="00BD5437" w:rsidRDefault="00CB33C7" w:rsidP="00BD5437">
            <w:pPr>
              <w:jc w:val="both"/>
              <w:rPr>
                <w:rFonts w:cs="Arial"/>
                <w:color w:val="000000"/>
                <w:szCs w:val="22"/>
                <w:lang w:eastAsia="it-IT"/>
              </w:rPr>
            </w:pPr>
            <w:r w:rsidRPr="00BD5437">
              <w:rPr>
                <w:rFonts w:cs="Arial"/>
                <w:color w:val="000000"/>
                <w:szCs w:val="22"/>
                <w:lang w:eastAsia="it-IT"/>
              </w:rPr>
              <w:t>Управління ЖКГ.</w:t>
            </w:r>
          </w:p>
        </w:tc>
      </w:tr>
      <w:tr w:rsidR="00CB33C7" w:rsidRPr="00BD5437" w14:paraId="3C743618" w14:textId="77777777" w:rsidTr="00EA6E27">
        <w:trPr>
          <w:jc w:val="right"/>
        </w:trPr>
        <w:tc>
          <w:tcPr>
            <w:tcW w:w="3425" w:type="dxa"/>
            <w:shd w:val="clear" w:color="auto" w:fill="FFFFFF"/>
            <w:vAlign w:val="center"/>
          </w:tcPr>
          <w:p w14:paraId="6134C4C1" w14:textId="77777777" w:rsidR="00CB33C7" w:rsidRPr="00BD5437" w:rsidRDefault="00CB33C7" w:rsidP="00BD5437">
            <w:pPr>
              <w:rPr>
                <w:rFonts w:cs="Arial"/>
                <w:b/>
                <w:bCs/>
                <w:color w:val="000000"/>
                <w:szCs w:val="22"/>
              </w:rPr>
            </w:pPr>
            <w:r w:rsidRPr="00BD5437">
              <w:rPr>
                <w:rFonts w:cs="Arial"/>
                <w:b/>
                <w:bCs/>
                <w:color w:val="000000"/>
                <w:szCs w:val="22"/>
              </w:rPr>
              <w:t>Інше:</w:t>
            </w:r>
          </w:p>
        </w:tc>
        <w:tc>
          <w:tcPr>
            <w:tcW w:w="6794" w:type="dxa"/>
            <w:gridSpan w:val="8"/>
            <w:vAlign w:val="center"/>
          </w:tcPr>
          <w:p w14:paraId="304AB0FA" w14:textId="77777777" w:rsidR="00CB33C7" w:rsidRPr="00BD5437" w:rsidRDefault="00CB33C7" w:rsidP="00BD5437">
            <w:pPr>
              <w:rPr>
                <w:rFonts w:cs="Arial"/>
                <w:color w:val="000000"/>
                <w:szCs w:val="22"/>
                <w:lang w:eastAsia="it-IT"/>
              </w:rPr>
            </w:pPr>
          </w:p>
        </w:tc>
      </w:tr>
    </w:tbl>
    <w:p w14:paraId="6F5C3CDC" w14:textId="77777777" w:rsidR="00CB33C7" w:rsidRPr="00C2587D" w:rsidRDefault="00CB33C7" w:rsidP="00CB33C7"/>
    <w:p w14:paraId="4097B451" w14:textId="77777777" w:rsidR="00CB33C7" w:rsidRPr="00C2587D" w:rsidRDefault="00CB33C7" w:rsidP="00CB33C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16ED4C96" w14:textId="77777777" w:rsidR="00CB33C7" w:rsidRPr="00C2587D" w:rsidRDefault="00CB33C7" w:rsidP="00CB33C7">
      <w:pPr>
        <w:jc w:val="center"/>
        <w:rPr>
          <w:rFonts w:cs="Arial"/>
          <w:b/>
          <w:color w:val="000000"/>
          <w:szCs w:val="22"/>
        </w:rPr>
      </w:pPr>
      <w:r w:rsidRPr="00C2587D">
        <w:rPr>
          <w:rFonts w:cs="Arial"/>
          <w:b/>
          <w:color w:val="000000"/>
          <w:szCs w:val="22"/>
        </w:rPr>
        <w:t>до Плану заходів з реалізації Стратегії</w:t>
      </w:r>
    </w:p>
    <w:p w14:paraId="289FE312" w14:textId="77777777" w:rsidR="00CB33C7" w:rsidRPr="00C2587D" w:rsidRDefault="00CB33C7" w:rsidP="00CB33C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3"/>
        <w:gridCol w:w="1219"/>
        <w:gridCol w:w="34"/>
        <w:gridCol w:w="1412"/>
        <w:gridCol w:w="54"/>
        <w:gridCol w:w="1230"/>
        <w:gridCol w:w="1276"/>
        <w:gridCol w:w="74"/>
        <w:gridCol w:w="1497"/>
      </w:tblGrid>
      <w:tr w:rsidR="00CB33C7" w:rsidRPr="00BD5437" w14:paraId="5F5AE15E" w14:textId="77777777" w:rsidTr="00234F2C">
        <w:trPr>
          <w:jc w:val="right"/>
        </w:trPr>
        <w:tc>
          <w:tcPr>
            <w:tcW w:w="3423" w:type="dxa"/>
            <w:vAlign w:val="center"/>
          </w:tcPr>
          <w:p w14:paraId="18D6F572" w14:textId="77777777" w:rsidR="00CB33C7" w:rsidRPr="00BD5437" w:rsidRDefault="00CB33C7" w:rsidP="00BD5437">
            <w:pPr>
              <w:rPr>
                <w:rFonts w:cs="Arial"/>
                <w:b/>
                <w:bCs/>
                <w:color w:val="000000"/>
                <w:szCs w:val="22"/>
              </w:rPr>
            </w:pPr>
            <w:r w:rsidRPr="00BD5437">
              <w:rPr>
                <w:rFonts w:cs="Arial"/>
                <w:b/>
                <w:bCs/>
                <w:color w:val="000000"/>
                <w:szCs w:val="22"/>
              </w:rPr>
              <w:t>Назва проєкту:</w:t>
            </w:r>
          </w:p>
        </w:tc>
        <w:tc>
          <w:tcPr>
            <w:tcW w:w="6796" w:type="dxa"/>
            <w:gridSpan w:val="8"/>
          </w:tcPr>
          <w:p w14:paraId="0992C9F8" w14:textId="77777777" w:rsidR="00CB33C7" w:rsidRPr="00BD5437" w:rsidRDefault="00CB33C7" w:rsidP="00BD5437">
            <w:pPr>
              <w:jc w:val="both"/>
              <w:rPr>
                <w:rFonts w:cs="Arial"/>
                <w:b/>
                <w:szCs w:val="22"/>
                <w:lang w:eastAsia="it-IT"/>
              </w:rPr>
            </w:pPr>
            <w:r w:rsidRPr="00BD5437">
              <w:rPr>
                <w:rFonts w:eastAsia="Arial" w:cs="Arial"/>
                <w:b/>
                <w:szCs w:val="22"/>
                <w:lang w:eastAsia="en-US"/>
              </w:rPr>
              <w:t>Капітальний ремонт дорожнього покриття по вул. Шевченка (від вул. І.Франка до вул. Свободи) в м. Жмеринка Вінницької області</w:t>
            </w:r>
          </w:p>
        </w:tc>
      </w:tr>
      <w:tr w:rsidR="00CB33C7" w:rsidRPr="00BD5437" w14:paraId="6BE28FFD" w14:textId="77777777" w:rsidTr="00234F2C">
        <w:trPr>
          <w:jc w:val="right"/>
        </w:trPr>
        <w:tc>
          <w:tcPr>
            <w:tcW w:w="3423" w:type="dxa"/>
          </w:tcPr>
          <w:p w14:paraId="3C84CEC8" w14:textId="77777777" w:rsidR="00CB33C7" w:rsidRPr="00BD5437" w:rsidRDefault="00CB33C7" w:rsidP="00BD5437">
            <w:pPr>
              <w:rPr>
                <w:rFonts w:cs="Arial"/>
                <w:szCs w:val="22"/>
                <w:lang w:eastAsia="it-IT"/>
              </w:rPr>
            </w:pPr>
            <w:r w:rsidRPr="00BD5437">
              <w:rPr>
                <w:rFonts w:cs="Arial"/>
                <w:b/>
                <w:bCs/>
                <w:szCs w:val="22"/>
              </w:rPr>
              <w:t>Ваші контакти</w:t>
            </w:r>
            <w:r w:rsidRPr="00BD5437">
              <w:rPr>
                <w:rFonts w:cs="Arial"/>
                <w:szCs w:val="22"/>
                <w:lang w:eastAsia="it-IT"/>
              </w:rPr>
              <w:t>:</w:t>
            </w:r>
          </w:p>
          <w:p w14:paraId="4DFD9D41" w14:textId="77777777" w:rsidR="00CB33C7" w:rsidRPr="00BD5437" w:rsidRDefault="00CB33C7" w:rsidP="00BD5437">
            <w:pPr>
              <w:rPr>
                <w:rFonts w:cs="Arial"/>
                <w:b/>
                <w:bCs/>
                <w:szCs w:val="22"/>
              </w:rPr>
            </w:pPr>
            <w:r w:rsidRPr="00BD5437">
              <w:rPr>
                <w:rFonts w:cs="Arial"/>
                <w:szCs w:val="22"/>
                <w:lang w:eastAsia="it-IT"/>
              </w:rPr>
              <w:t>Назва установи, організації, підприємства</w:t>
            </w:r>
          </w:p>
        </w:tc>
        <w:tc>
          <w:tcPr>
            <w:tcW w:w="6796" w:type="dxa"/>
            <w:gridSpan w:val="8"/>
          </w:tcPr>
          <w:p w14:paraId="1586B536" w14:textId="77777777" w:rsidR="00CB33C7" w:rsidRPr="00BD5437" w:rsidRDefault="00CB33C7" w:rsidP="00BD5437">
            <w:pPr>
              <w:rPr>
                <w:rFonts w:cs="Arial"/>
                <w:szCs w:val="22"/>
                <w:lang w:eastAsia="it-IT"/>
              </w:rPr>
            </w:pPr>
            <w:r w:rsidRPr="00BD5437">
              <w:rPr>
                <w:rFonts w:cs="Arial"/>
                <w:szCs w:val="22"/>
                <w:lang w:eastAsia="it-IT"/>
              </w:rPr>
              <w:t>Управління житлово-комунального господарства Жмеринської міської ради</w:t>
            </w:r>
          </w:p>
        </w:tc>
      </w:tr>
      <w:tr w:rsidR="00CB33C7" w:rsidRPr="00BD5437" w14:paraId="325AC26E" w14:textId="77777777" w:rsidTr="00234F2C">
        <w:trPr>
          <w:jc w:val="right"/>
        </w:trPr>
        <w:tc>
          <w:tcPr>
            <w:tcW w:w="3423" w:type="dxa"/>
          </w:tcPr>
          <w:p w14:paraId="6DBABFAA" w14:textId="77777777" w:rsidR="00CB33C7" w:rsidRPr="00BD5437" w:rsidRDefault="00CB33C7" w:rsidP="00BD5437">
            <w:pPr>
              <w:rPr>
                <w:rFonts w:cs="Arial"/>
                <w:b/>
                <w:bCs/>
                <w:szCs w:val="22"/>
              </w:rPr>
            </w:pPr>
            <w:r w:rsidRPr="00BD5437">
              <w:rPr>
                <w:rFonts w:cs="Arial"/>
                <w:szCs w:val="22"/>
                <w:lang w:eastAsia="it-IT"/>
              </w:rPr>
              <w:t>Прізвище Ім’я По-батькові:</w:t>
            </w:r>
          </w:p>
        </w:tc>
        <w:tc>
          <w:tcPr>
            <w:tcW w:w="6796" w:type="dxa"/>
            <w:gridSpan w:val="8"/>
          </w:tcPr>
          <w:p w14:paraId="3057C62F" w14:textId="77777777" w:rsidR="00CB33C7" w:rsidRPr="00BD5437" w:rsidRDefault="00CB33C7" w:rsidP="00BD5437">
            <w:pPr>
              <w:rPr>
                <w:rFonts w:cs="Arial"/>
                <w:szCs w:val="22"/>
                <w:lang w:eastAsia="it-IT"/>
              </w:rPr>
            </w:pPr>
            <w:r w:rsidRPr="00BD5437">
              <w:rPr>
                <w:rFonts w:cs="Arial"/>
                <w:szCs w:val="22"/>
                <w:lang w:eastAsia="it-IT"/>
              </w:rPr>
              <w:t>Оленич Андрій Васильович</w:t>
            </w:r>
          </w:p>
        </w:tc>
      </w:tr>
      <w:tr w:rsidR="00CB33C7" w:rsidRPr="00BD5437" w14:paraId="40033D90" w14:textId="77777777" w:rsidTr="00234F2C">
        <w:trPr>
          <w:jc w:val="right"/>
        </w:trPr>
        <w:tc>
          <w:tcPr>
            <w:tcW w:w="3423" w:type="dxa"/>
          </w:tcPr>
          <w:p w14:paraId="5EE1C921" w14:textId="77777777" w:rsidR="00CB33C7" w:rsidRPr="00BD5437" w:rsidRDefault="00CB33C7" w:rsidP="00BD5437">
            <w:pPr>
              <w:rPr>
                <w:rFonts w:cs="Arial"/>
                <w:b/>
                <w:bCs/>
                <w:szCs w:val="22"/>
              </w:rPr>
            </w:pPr>
            <w:r w:rsidRPr="00BD5437">
              <w:rPr>
                <w:rFonts w:cs="Arial"/>
                <w:szCs w:val="22"/>
                <w:lang w:eastAsia="it-IT"/>
              </w:rPr>
              <w:t>Телефон (мобільний):</w:t>
            </w:r>
          </w:p>
        </w:tc>
        <w:tc>
          <w:tcPr>
            <w:tcW w:w="6796" w:type="dxa"/>
            <w:gridSpan w:val="8"/>
          </w:tcPr>
          <w:p w14:paraId="16EDE8A8" w14:textId="77777777" w:rsidR="00CB33C7" w:rsidRPr="00BD5437" w:rsidRDefault="00CB33C7" w:rsidP="00BD5437">
            <w:pPr>
              <w:rPr>
                <w:rFonts w:cs="Arial"/>
                <w:szCs w:val="22"/>
                <w:lang w:eastAsia="it-IT"/>
              </w:rPr>
            </w:pPr>
            <w:r w:rsidRPr="00BD5437">
              <w:rPr>
                <w:rFonts w:cs="Arial"/>
                <w:szCs w:val="22"/>
                <w:lang w:eastAsia="it-IT"/>
              </w:rPr>
              <w:t>0972561907</w:t>
            </w:r>
          </w:p>
        </w:tc>
      </w:tr>
      <w:tr w:rsidR="00CB33C7" w:rsidRPr="00BD5437" w14:paraId="27CC9F1E" w14:textId="77777777" w:rsidTr="00234F2C">
        <w:trPr>
          <w:jc w:val="right"/>
        </w:trPr>
        <w:tc>
          <w:tcPr>
            <w:tcW w:w="3423" w:type="dxa"/>
          </w:tcPr>
          <w:p w14:paraId="575D908F" w14:textId="77777777" w:rsidR="00CB33C7" w:rsidRPr="00BD5437" w:rsidRDefault="00CB33C7" w:rsidP="00BD5437">
            <w:pPr>
              <w:rPr>
                <w:rFonts w:cs="Arial"/>
                <w:b/>
                <w:bCs/>
                <w:szCs w:val="22"/>
              </w:rPr>
            </w:pPr>
            <w:r w:rsidRPr="00BD5437">
              <w:rPr>
                <w:rFonts w:cs="Arial"/>
                <w:szCs w:val="22"/>
                <w:lang w:eastAsia="it-IT"/>
              </w:rPr>
              <w:t>Електронна адреса:</w:t>
            </w:r>
          </w:p>
        </w:tc>
        <w:tc>
          <w:tcPr>
            <w:tcW w:w="6796" w:type="dxa"/>
            <w:gridSpan w:val="8"/>
          </w:tcPr>
          <w:p w14:paraId="3B7F9039" w14:textId="77777777" w:rsidR="00CB33C7" w:rsidRPr="00BD5437" w:rsidRDefault="00D85FFD" w:rsidP="00BD5437">
            <w:pPr>
              <w:rPr>
                <w:rFonts w:cs="Arial"/>
                <w:szCs w:val="22"/>
                <w:lang w:eastAsia="it-IT"/>
              </w:rPr>
            </w:pPr>
            <w:hyperlink r:id="rId55" w:history="1">
              <w:r w:rsidR="00CB33C7" w:rsidRPr="00BD5437">
                <w:rPr>
                  <w:rStyle w:val="af0"/>
                  <w:rFonts w:cs="Arial"/>
                  <w:noProof w:val="0"/>
                  <w:sz w:val="22"/>
                  <w:szCs w:val="22"/>
                  <w:lang w:eastAsia="it-IT"/>
                </w:rPr>
                <w:t>Aolenych03@ukr.net</w:t>
              </w:r>
            </w:hyperlink>
          </w:p>
        </w:tc>
      </w:tr>
      <w:tr w:rsidR="00CB33C7" w:rsidRPr="00BD5437" w14:paraId="3A5C886B" w14:textId="77777777" w:rsidTr="00234F2C">
        <w:trPr>
          <w:jc w:val="right"/>
        </w:trPr>
        <w:tc>
          <w:tcPr>
            <w:tcW w:w="3423" w:type="dxa"/>
            <w:vAlign w:val="center"/>
          </w:tcPr>
          <w:p w14:paraId="70011584" w14:textId="77777777" w:rsidR="00CB33C7" w:rsidRPr="00BD5437" w:rsidRDefault="00CB33C7" w:rsidP="00BD5437">
            <w:pPr>
              <w:pStyle w:val="6"/>
              <w:spacing w:before="0" w:after="0"/>
              <w:rPr>
                <w:rFonts w:ascii="Arial" w:hAnsi="Arial" w:cs="Arial"/>
                <w:color w:val="000000"/>
                <w:lang w:val="uk-UA"/>
              </w:rPr>
            </w:pPr>
            <w:r w:rsidRPr="00BD5437">
              <w:rPr>
                <w:rFonts w:ascii="Arial" w:hAnsi="Arial" w:cs="Arial"/>
                <w:color w:val="000000"/>
                <w:lang w:val="uk-UA"/>
              </w:rPr>
              <w:t>Номер і назва завдання з Стратегії</w:t>
            </w:r>
            <w:r w:rsidRPr="00BD5437">
              <w:rPr>
                <w:rFonts w:ascii="Arial" w:hAnsi="Arial" w:cs="Arial"/>
                <w:lang w:val="uk-UA" w:eastAsia="it-IT"/>
              </w:rPr>
              <w:t xml:space="preserve"> </w:t>
            </w:r>
            <w:r w:rsidRPr="00BD5437">
              <w:rPr>
                <w:rFonts w:ascii="Arial" w:hAnsi="Arial" w:cs="Arial"/>
                <w:color w:val="000000"/>
                <w:lang w:val="uk-UA"/>
              </w:rPr>
              <w:t xml:space="preserve">розвитку Жмеринської міської </w:t>
            </w:r>
          </w:p>
        </w:tc>
        <w:tc>
          <w:tcPr>
            <w:tcW w:w="6796" w:type="dxa"/>
            <w:gridSpan w:val="8"/>
            <w:vAlign w:val="center"/>
          </w:tcPr>
          <w:p w14:paraId="74A35E10" w14:textId="77777777" w:rsidR="00CB33C7" w:rsidRPr="00BD5437" w:rsidRDefault="00CB33C7" w:rsidP="00BD5437">
            <w:pPr>
              <w:contextualSpacing/>
              <w:rPr>
                <w:rFonts w:eastAsia="Lucida Sans Unicode" w:cs="Arial"/>
                <w:kern w:val="1"/>
                <w:szCs w:val="22"/>
                <w:lang w:eastAsia="ar-SA"/>
              </w:rPr>
            </w:pPr>
            <w:r w:rsidRPr="00BD5437">
              <w:rPr>
                <w:rFonts w:eastAsia="Lucida Sans Unicode" w:cs="Arial"/>
                <w:kern w:val="1"/>
                <w:szCs w:val="22"/>
                <w:lang w:eastAsia="ar-SA"/>
              </w:rPr>
              <w:t>В.1.1.3. Проведення будівництва, реконструкції та капітального ремонту дорожнього покриття вулиць  та тротуарів в населених пунктах територіальної громади.</w:t>
            </w:r>
          </w:p>
        </w:tc>
      </w:tr>
      <w:tr w:rsidR="00CB33C7" w:rsidRPr="00BD5437" w14:paraId="29DC2875" w14:textId="77777777" w:rsidTr="00234F2C">
        <w:trPr>
          <w:jc w:val="right"/>
        </w:trPr>
        <w:tc>
          <w:tcPr>
            <w:tcW w:w="3423" w:type="dxa"/>
            <w:vAlign w:val="center"/>
          </w:tcPr>
          <w:p w14:paraId="0AEA4D69" w14:textId="77777777" w:rsidR="00CB33C7" w:rsidRPr="00BD5437" w:rsidRDefault="00CB33C7" w:rsidP="00BD5437">
            <w:pPr>
              <w:rPr>
                <w:rFonts w:cs="Arial"/>
                <w:b/>
                <w:bCs/>
                <w:color w:val="000000"/>
                <w:szCs w:val="22"/>
              </w:rPr>
            </w:pPr>
            <w:r w:rsidRPr="00BD5437">
              <w:rPr>
                <w:rFonts w:cs="Arial"/>
                <w:b/>
                <w:bCs/>
                <w:color w:val="000000"/>
                <w:szCs w:val="22"/>
              </w:rPr>
              <w:t>Мета проєкту:</w:t>
            </w:r>
          </w:p>
        </w:tc>
        <w:tc>
          <w:tcPr>
            <w:tcW w:w="6796" w:type="dxa"/>
            <w:gridSpan w:val="8"/>
          </w:tcPr>
          <w:p w14:paraId="59A87522" w14:textId="77777777" w:rsidR="00CB33C7" w:rsidRPr="00BD5437" w:rsidRDefault="00CB33C7" w:rsidP="00BD5437">
            <w:pPr>
              <w:jc w:val="both"/>
              <w:rPr>
                <w:rFonts w:cs="Arial"/>
                <w:szCs w:val="22"/>
                <w:lang w:eastAsia="it-IT"/>
              </w:rPr>
            </w:pPr>
            <w:r w:rsidRPr="00BD5437">
              <w:rPr>
                <w:rFonts w:cs="Arial"/>
                <w:szCs w:val="22"/>
                <w:lang w:eastAsia="it-IT"/>
              </w:rPr>
              <w:t>Забезпечення  населення громади м. Жмеринка якісною інфраструктурою, а саме дорогами з рівним покриттям.</w:t>
            </w:r>
          </w:p>
          <w:p w14:paraId="2EA277D6" w14:textId="77777777" w:rsidR="00CB33C7" w:rsidRPr="00BD5437" w:rsidRDefault="00CB33C7" w:rsidP="00BD5437">
            <w:pPr>
              <w:jc w:val="both"/>
              <w:rPr>
                <w:rFonts w:cs="Arial"/>
                <w:szCs w:val="22"/>
                <w:lang w:eastAsia="it-IT"/>
              </w:rPr>
            </w:pPr>
            <w:r w:rsidRPr="00BD5437">
              <w:rPr>
                <w:rFonts w:cs="Arial"/>
                <w:szCs w:val="22"/>
                <w:lang w:eastAsia="it-IT"/>
              </w:rPr>
              <w:t>Мешканці громади отримують більш комфортні   та безпечні умови проживання та перебування в населеному пункті.</w:t>
            </w:r>
          </w:p>
        </w:tc>
      </w:tr>
      <w:tr w:rsidR="00CB33C7" w:rsidRPr="00BD5437" w14:paraId="40E139BB" w14:textId="77777777" w:rsidTr="00234F2C">
        <w:trPr>
          <w:jc w:val="right"/>
        </w:trPr>
        <w:tc>
          <w:tcPr>
            <w:tcW w:w="3423" w:type="dxa"/>
            <w:vAlign w:val="center"/>
          </w:tcPr>
          <w:p w14:paraId="7E08D090" w14:textId="77777777" w:rsidR="00CB33C7" w:rsidRPr="00BD5437" w:rsidRDefault="00CB33C7" w:rsidP="00BD5437">
            <w:pPr>
              <w:rPr>
                <w:rFonts w:cs="Arial"/>
                <w:b/>
                <w:bCs/>
                <w:color w:val="000000"/>
                <w:szCs w:val="22"/>
              </w:rPr>
            </w:pPr>
            <w:r w:rsidRPr="00BD5437">
              <w:rPr>
                <w:rFonts w:cs="Arial"/>
                <w:b/>
                <w:bCs/>
                <w:color w:val="000000"/>
                <w:szCs w:val="22"/>
              </w:rPr>
              <w:t>Цілі проєкту:</w:t>
            </w:r>
          </w:p>
        </w:tc>
        <w:tc>
          <w:tcPr>
            <w:tcW w:w="6796" w:type="dxa"/>
            <w:gridSpan w:val="8"/>
          </w:tcPr>
          <w:p w14:paraId="33363021" w14:textId="77777777" w:rsidR="00CB33C7" w:rsidRPr="00BD5437" w:rsidRDefault="00CB33C7" w:rsidP="00BD5437">
            <w:pPr>
              <w:rPr>
                <w:rFonts w:cs="Arial"/>
                <w:szCs w:val="22"/>
                <w:lang w:eastAsia="it-IT"/>
              </w:rPr>
            </w:pPr>
            <w:r w:rsidRPr="00BD5437">
              <w:rPr>
                <w:rFonts w:cs="Arial"/>
                <w:szCs w:val="22"/>
                <w:lang w:eastAsia="it-IT"/>
              </w:rPr>
              <w:t>Покращити інфраструктуру   дорожнього покриття в м. Жмеринка</w:t>
            </w:r>
          </w:p>
        </w:tc>
      </w:tr>
      <w:tr w:rsidR="00CB33C7" w:rsidRPr="00BD5437" w14:paraId="74B4410F" w14:textId="77777777" w:rsidTr="00DD6DC0">
        <w:trPr>
          <w:jc w:val="right"/>
        </w:trPr>
        <w:tc>
          <w:tcPr>
            <w:tcW w:w="3423" w:type="dxa"/>
            <w:vAlign w:val="center"/>
          </w:tcPr>
          <w:p w14:paraId="1B708950" w14:textId="77777777" w:rsidR="00CB33C7" w:rsidRPr="00BD5437" w:rsidRDefault="00CB33C7" w:rsidP="00BD5437">
            <w:pPr>
              <w:autoSpaceDE w:val="0"/>
              <w:autoSpaceDN w:val="0"/>
              <w:adjustRightInd w:val="0"/>
              <w:rPr>
                <w:rFonts w:cs="Arial"/>
                <w:b/>
                <w:color w:val="000000"/>
                <w:szCs w:val="22"/>
              </w:rPr>
            </w:pPr>
            <w:r w:rsidRPr="00BD5437">
              <w:rPr>
                <w:rFonts w:cs="Arial"/>
                <w:b/>
                <w:color w:val="000000"/>
                <w:szCs w:val="22"/>
              </w:rPr>
              <w:t>Територія на яку проєкт матиме вплив:</w:t>
            </w:r>
          </w:p>
        </w:tc>
        <w:tc>
          <w:tcPr>
            <w:tcW w:w="6796" w:type="dxa"/>
            <w:gridSpan w:val="8"/>
            <w:vAlign w:val="center"/>
          </w:tcPr>
          <w:p w14:paraId="47507563" w14:textId="0EB347D2" w:rsidR="00CB33C7" w:rsidRPr="00BD5437" w:rsidRDefault="00CB33C7" w:rsidP="00DD6DC0">
            <w:pPr>
              <w:rPr>
                <w:rFonts w:cs="Arial"/>
                <w:szCs w:val="22"/>
                <w:lang w:eastAsia="it-IT"/>
              </w:rPr>
            </w:pPr>
            <w:r w:rsidRPr="00BD5437">
              <w:rPr>
                <w:rFonts w:cs="Arial"/>
                <w:szCs w:val="22"/>
                <w:lang w:eastAsia="it-IT"/>
              </w:rPr>
              <w:t xml:space="preserve">Території </w:t>
            </w:r>
            <w:r w:rsidR="00BD5437" w:rsidRPr="00BD5437">
              <w:rPr>
                <w:rFonts w:cs="Arial"/>
                <w:szCs w:val="22"/>
                <w:lang w:eastAsia="it-IT"/>
              </w:rPr>
              <w:t>Жмеринська</w:t>
            </w:r>
            <w:r w:rsidR="00BD5437">
              <w:rPr>
                <w:rFonts w:cs="Arial"/>
                <w:szCs w:val="22"/>
                <w:lang w:eastAsia="it-IT"/>
              </w:rPr>
              <w:t xml:space="preserve"> </w:t>
            </w:r>
            <w:r w:rsidRPr="00BD5437">
              <w:rPr>
                <w:rFonts w:cs="Arial"/>
                <w:szCs w:val="22"/>
                <w:lang w:eastAsia="it-IT"/>
              </w:rPr>
              <w:t>М</w:t>
            </w:r>
            <w:r w:rsidR="00234F2C">
              <w:rPr>
                <w:rFonts w:cs="Arial"/>
                <w:szCs w:val="22"/>
                <w:lang w:eastAsia="it-IT"/>
              </w:rPr>
              <w:t>Т</w:t>
            </w:r>
            <w:r w:rsidRPr="00BD5437">
              <w:rPr>
                <w:rFonts w:cs="Arial"/>
                <w:szCs w:val="22"/>
                <w:lang w:eastAsia="it-IT"/>
              </w:rPr>
              <w:t xml:space="preserve">Г                                                                                                                                                                                                                                                                     </w:t>
            </w:r>
          </w:p>
        </w:tc>
      </w:tr>
      <w:tr w:rsidR="00CB33C7" w:rsidRPr="00BD5437" w14:paraId="114FFB7F" w14:textId="77777777" w:rsidTr="00DD6DC0">
        <w:trPr>
          <w:jc w:val="right"/>
        </w:trPr>
        <w:tc>
          <w:tcPr>
            <w:tcW w:w="3423" w:type="dxa"/>
            <w:vAlign w:val="center"/>
          </w:tcPr>
          <w:p w14:paraId="4230E472" w14:textId="77777777" w:rsidR="00CB33C7" w:rsidRPr="00BD5437" w:rsidRDefault="00CB33C7" w:rsidP="00BD5437">
            <w:pPr>
              <w:autoSpaceDE w:val="0"/>
              <w:autoSpaceDN w:val="0"/>
              <w:adjustRightInd w:val="0"/>
              <w:rPr>
                <w:rFonts w:cs="Arial"/>
                <w:b/>
                <w:color w:val="000000"/>
                <w:szCs w:val="22"/>
              </w:rPr>
            </w:pPr>
            <w:r w:rsidRPr="00BD5437">
              <w:rPr>
                <w:rFonts w:cs="Arial"/>
                <w:b/>
                <w:color w:val="000000"/>
                <w:szCs w:val="22"/>
              </w:rPr>
              <w:t>Цільові групи проєкту та кількість отримувачів вигоди</w:t>
            </w:r>
          </w:p>
        </w:tc>
        <w:tc>
          <w:tcPr>
            <w:tcW w:w="6796" w:type="dxa"/>
            <w:gridSpan w:val="8"/>
            <w:vAlign w:val="center"/>
          </w:tcPr>
          <w:p w14:paraId="68B8B6F6" w14:textId="77777777" w:rsidR="00CB33C7" w:rsidRPr="00BD5437" w:rsidRDefault="00CB33C7" w:rsidP="00DD6DC0">
            <w:pPr>
              <w:rPr>
                <w:rFonts w:cs="Arial"/>
                <w:szCs w:val="22"/>
                <w:lang w:eastAsia="it-IT"/>
              </w:rPr>
            </w:pPr>
            <w:r w:rsidRPr="00BD5437">
              <w:rPr>
                <w:rFonts w:cs="Arial"/>
                <w:szCs w:val="22"/>
                <w:lang w:eastAsia="it-IT"/>
              </w:rPr>
              <w:t>Жителі м. Жмеринка в кількості 34353 містян</w:t>
            </w:r>
          </w:p>
        </w:tc>
      </w:tr>
      <w:tr w:rsidR="00CB33C7" w:rsidRPr="00BD5437" w14:paraId="68CE7959" w14:textId="77777777" w:rsidTr="00234F2C">
        <w:trPr>
          <w:jc w:val="right"/>
        </w:trPr>
        <w:tc>
          <w:tcPr>
            <w:tcW w:w="3423" w:type="dxa"/>
            <w:shd w:val="clear" w:color="auto" w:fill="FFFFFF"/>
            <w:vAlign w:val="center"/>
          </w:tcPr>
          <w:p w14:paraId="447001D7" w14:textId="77777777" w:rsidR="00CB33C7" w:rsidRPr="00BD5437" w:rsidRDefault="00CB33C7" w:rsidP="00BD5437">
            <w:pPr>
              <w:rPr>
                <w:rFonts w:cs="Arial"/>
                <w:b/>
                <w:bCs/>
                <w:color w:val="000000"/>
                <w:szCs w:val="22"/>
              </w:rPr>
            </w:pPr>
            <w:r w:rsidRPr="00BD5437">
              <w:rPr>
                <w:rFonts w:cs="Arial"/>
                <w:b/>
                <w:bCs/>
                <w:color w:val="000000"/>
                <w:szCs w:val="22"/>
              </w:rPr>
              <w:t>Стислий опис проєкту:</w:t>
            </w:r>
          </w:p>
        </w:tc>
        <w:tc>
          <w:tcPr>
            <w:tcW w:w="6796" w:type="dxa"/>
            <w:gridSpan w:val="8"/>
          </w:tcPr>
          <w:p w14:paraId="1803729E" w14:textId="77777777" w:rsidR="00CB33C7" w:rsidRPr="00BD5437" w:rsidRDefault="00CB33C7" w:rsidP="00BD5437">
            <w:pPr>
              <w:pStyle w:val="ad"/>
              <w:shd w:val="clear" w:color="auto" w:fill="FFFFFF"/>
              <w:spacing w:before="0" w:beforeAutospacing="0" w:after="0" w:afterAutospacing="0"/>
              <w:ind w:firstLine="148"/>
              <w:jc w:val="both"/>
              <w:rPr>
                <w:rFonts w:cs="Arial"/>
                <w:szCs w:val="22"/>
              </w:rPr>
            </w:pPr>
            <w:r w:rsidRPr="00BD5437">
              <w:rPr>
                <w:rFonts w:cs="Arial"/>
                <w:szCs w:val="22"/>
              </w:rPr>
              <w:t>Якість доріг забезпечує роботу всіх галузей промисловості, соціальний розвиток суспільства. Забезпечує доступ у різні місця населеного пункту, а також безпечне та надійне переміщення людей і транспортування товарів і має надзвичайно важливе значення.</w:t>
            </w:r>
          </w:p>
          <w:p w14:paraId="5750E53F" w14:textId="77777777" w:rsidR="00CB33C7" w:rsidRPr="00BD5437" w:rsidRDefault="00CB33C7" w:rsidP="00BD5437">
            <w:pPr>
              <w:pStyle w:val="ad"/>
              <w:shd w:val="clear" w:color="auto" w:fill="FFFFFF"/>
              <w:spacing w:before="0" w:beforeAutospacing="0" w:after="0" w:afterAutospacing="0"/>
              <w:ind w:firstLine="148"/>
              <w:jc w:val="both"/>
              <w:rPr>
                <w:rFonts w:cs="Arial"/>
                <w:szCs w:val="22"/>
              </w:rPr>
            </w:pPr>
            <w:r w:rsidRPr="00BD5437">
              <w:rPr>
                <w:rFonts w:cs="Arial"/>
                <w:szCs w:val="22"/>
              </w:rPr>
              <w:t>Від стану автомобільних доріг залежать витрати на перевезення вантажів та пасажирів, рівень цін, певною мірою зайнятість населення.</w:t>
            </w:r>
          </w:p>
          <w:p w14:paraId="55779786" w14:textId="77777777" w:rsidR="00CB33C7" w:rsidRPr="00BD5437" w:rsidRDefault="00CB33C7" w:rsidP="00BD5437">
            <w:pPr>
              <w:pStyle w:val="ad"/>
              <w:shd w:val="clear" w:color="auto" w:fill="FFFFFF"/>
              <w:spacing w:before="0" w:beforeAutospacing="0" w:after="0" w:afterAutospacing="0"/>
              <w:ind w:firstLine="148"/>
              <w:jc w:val="both"/>
              <w:rPr>
                <w:rFonts w:cs="Arial"/>
                <w:szCs w:val="22"/>
                <w:shd w:val="clear" w:color="auto" w:fill="FFFFFF"/>
              </w:rPr>
            </w:pPr>
            <w:r w:rsidRPr="00BD5437">
              <w:rPr>
                <w:rFonts w:cs="Arial"/>
                <w:szCs w:val="22"/>
              </w:rPr>
              <w:t xml:space="preserve"> </w:t>
            </w:r>
            <w:r w:rsidRPr="00BD5437">
              <w:rPr>
                <w:rFonts w:cs="Arial"/>
                <w:szCs w:val="22"/>
                <w:shd w:val="clear" w:color="auto" w:fill="FFFFFF"/>
              </w:rPr>
              <w:t>Перш за все викликають занепокоєння ті ділянки доріг, по яких проходять автобусні сполучення, підвезення дітей до навчальних закладів, надання невідкладної медичної допомоги.</w:t>
            </w:r>
          </w:p>
          <w:p w14:paraId="67FCD043" w14:textId="77777777" w:rsidR="00CB33C7" w:rsidRPr="00BD5437" w:rsidRDefault="00CB33C7" w:rsidP="00BD5437">
            <w:pPr>
              <w:rPr>
                <w:rFonts w:cs="Arial"/>
                <w:szCs w:val="22"/>
                <w:lang w:eastAsia="it-IT"/>
              </w:rPr>
            </w:pPr>
            <w:r w:rsidRPr="00BD5437">
              <w:rPr>
                <w:rFonts w:cs="Arial"/>
                <w:szCs w:val="22"/>
                <w:shd w:val="clear" w:color="auto" w:fill="FFFFFF"/>
              </w:rPr>
              <w:t xml:space="preserve">З метою безперебійного перевезення людей, необхідно провести капітальний ремонт дороги </w:t>
            </w:r>
            <w:r w:rsidRPr="00BD5437">
              <w:rPr>
                <w:rFonts w:eastAsia="Arial" w:cs="Arial"/>
                <w:szCs w:val="22"/>
                <w:lang w:eastAsia="en-US"/>
              </w:rPr>
              <w:t>по вул. Шевченка,  в м. Жмеринка</w:t>
            </w:r>
          </w:p>
        </w:tc>
      </w:tr>
      <w:tr w:rsidR="00CB33C7" w:rsidRPr="00BD5437" w14:paraId="7F36FF4B" w14:textId="77777777" w:rsidTr="00234F2C">
        <w:trPr>
          <w:jc w:val="right"/>
        </w:trPr>
        <w:tc>
          <w:tcPr>
            <w:tcW w:w="3423" w:type="dxa"/>
            <w:shd w:val="clear" w:color="auto" w:fill="FFFFFF"/>
            <w:vAlign w:val="center"/>
          </w:tcPr>
          <w:p w14:paraId="54123175" w14:textId="77777777" w:rsidR="00CB33C7" w:rsidRPr="00BD5437" w:rsidRDefault="00CB33C7" w:rsidP="00BD5437">
            <w:pPr>
              <w:rPr>
                <w:rFonts w:cs="Arial"/>
                <w:b/>
                <w:bCs/>
                <w:color w:val="000000"/>
                <w:szCs w:val="22"/>
              </w:rPr>
            </w:pPr>
            <w:r w:rsidRPr="00BD5437">
              <w:rPr>
                <w:rFonts w:cs="Arial"/>
                <w:b/>
                <w:bCs/>
                <w:color w:val="000000"/>
                <w:szCs w:val="22"/>
              </w:rPr>
              <w:t>Основні заходи проєкту:</w:t>
            </w:r>
          </w:p>
        </w:tc>
        <w:tc>
          <w:tcPr>
            <w:tcW w:w="6796" w:type="dxa"/>
            <w:gridSpan w:val="8"/>
          </w:tcPr>
          <w:p w14:paraId="59004572" w14:textId="5C1A8D54" w:rsidR="00CB33C7" w:rsidRPr="00BD5437" w:rsidRDefault="00CB33C7" w:rsidP="00BD5437">
            <w:pPr>
              <w:jc w:val="both"/>
              <w:rPr>
                <w:rFonts w:cs="Arial"/>
                <w:szCs w:val="22"/>
                <w:lang w:eastAsia="it-IT"/>
              </w:rPr>
            </w:pPr>
            <w:r w:rsidRPr="00BD5437">
              <w:rPr>
                <w:rFonts w:cs="Arial"/>
                <w:szCs w:val="22"/>
                <w:lang w:eastAsia="it-IT"/>
              </w:rPr>
              <w:t>Створення робочо</w:t>
            </w:r>
            <w:r w:rsidR="001E42A2">
              <w:rPr>
                <w:rFonts w:cs="Arial"/>
                <w:szCs w:val="22"/>
                <w:lang w:eastAsia="it-IT"/>
              </w:rPr>
              <w:t>ї групи з питань реалізації проє</w:t>
            </w:r>
            <w:r w:rsidRPr="00BD5437">
              <w:rPr>
                <w:rFonts w:cs="Arial"/>
                <w:szCs w:val="22"/>
                <w:lang w:eastAsia="it-IT"/>
              </w:rPr>
              <w:t xml:space="preserve">кту. </w:t>
            </w:r>
          </w:p>
          <w:p w14:paraId="7A750E7C" w14:textId="77777777" w:rsidR="00CB33C7" w:rsidRPr="00BD5437" w:rsidRDefault="00CB33C7" w:rsidP="00BD5437">
            <w:pPr>
              <w:jc w:val="both"/>
              <w:rPr>
                <w:rFonts w:cs="Arial"/>
                <w:szCs w:val="22"/>
                <w:lang w:eastAsia="it-IT"/>
              </w:rPr>
            </w:pPr>
            <w:r w:rsidRPr="00BD5437">
              <w:rPr>
                <w:rFonts w:cs="Arial"/>
                <w:szCs w:val="22"/>
                <w:lang w:eastAsia="it-IT"/>
              </w:rPr>
              <w:t>Проведення процедури закупівель (визначення виконавця робіт).</w:t>
            </w:r>
          </w:p>
          <w:p w14:paraId="77B9B6B6" w14:textId="77777777" w:rsidR="00CB33C7" w:rsidRPr="00BD5437" w:rsidRDefault="00CB33C7" w:rsidP="00BD5437">
            <w:pPr>
              <w:jc w:val="both"/>
              <w:rPr>
                <w:rFonts w:cs="Arial"/>
                <w:szCs w:val="22"/>
                <w:lang w:eastAsia="it-IT"/>
              </w:rPr>
            </w:pPr>
            <w:r w:rsidRPr="00BD5437">
              <w:rPr>
                <w:rFonts w:cs="Arial"/>
                <w:szCs w:val="22"/>
                <w:lang w:eastAsia="it-IT"/>
              </w:rPr>
              <w:t>Укладення договорів з виконавцем робіт, організаціями, що здійснюватимуть  технічний та авторський  нагляд .</w:t>
            </w:r>
          </w:p>
          <w:p w14:paraId="2AA35423" w14:textId="13A26526" w:rsidR="00CB33C7" w:rsidRPr="00BD5437" w:rsidRDefault="00CB33C7" w:rsidP="00BD5437">
            <w:pPr>
              <w:jc w:val="both"/>
              <w:rPr>
                <w:rFonts w:cs="Arial"/>
                <w:szCs w:val="22"/>
                <w:lang w:eastAsia="it-IT"/>
              </w:rPr>
            </w:pPr>
            <w:r w:rsidRPr="00BD5437">
              <w:rPr>
                <w:rFonts w:cs="Arial"/>
                <w:szCs w:val="22"/>
                <w:lang w:eastAsia="it-IT"/>
              </w:rPr>
              <w:t xml:space="preserve">Виконання робіт з </w:t>
            </w:r>
            <w:r w:rsidRPr="00BD5437">
              <w:rPr>
                <w:rFonts w:eastAsia="Arial" w:cs="Arial"/>
                <w:color w:val="000000" w:themeColor="text1"/>
                <w:szCs w:val="22"/>
                <w:lang w:eastAsia="en-US"/>
              </w:rPr>
              <w:t xml:space="preserve">капітального ремонту покрівлі житлового будинку </w:t>
            </w:r>
            <w:r w:rsidRPr="00BD5437">
              <w:rPr>
                <w:rFonts w:eastAsia="Arial" w:cs="Arial"/>
                <w:szCs w:val="22"/>
                <w:lang w:eastAsia="en-US"/>
              </w:rPr>
              <w:t>по вул. Шевченка в м. Жмеринка</w:t>
            </w:r>
            <w:r w:rsidR="001E42A2">
              <w:rPr>
                <w:rFonts w:eastAsia="Arial" w:cs="Arial"/>
                <w:szCs w:val="22"/>
                <w:lang w:eastAsia="en-US"/>
              </w:rPr>
              <w:t>.</w:t>
            </w:r>
          </w:p>
          <w:p w14:paraId="56DF8B78" w14:textId="77777777" w:rsidR="00CB33C7" w:rsidRPr="00BD5437" w:rsidRDefault="00CB33C7" w:rsidP="00BD5437">
            <w:pPr>
              <w:jc w:val="both"/>
              <w:rPr>
                <w:rFonts w:cs="Arial"/>
                <w:szCs w:val="22"/>
                <w:lang w:eastAsia="it-IT"/>
              </w:rPr>
            </w:pPr>
            <w:r w:rsidRPr="00BD5437">
              <w:rPr>
                <w:rFonts w:cs="Arial"/>
                <w:szCs w:val="22"/>
                <w:lang w:eastAsia="it-IT"/>
              </w:rPr>
              <w:t>Введення  об’єкту в експлуатацію .</w:t>
            </w:r>
          </w:p>
          <w:p w14:paraId="58F662BE" w14:textId="5A4B3E50" w:rsidR="00CB33C7" w:rsidRPr="00BD5437" w:rsidRDefault="00CB33C7" w:rsidP="00BD5437">
            <w:pPr>
              <w:rPr>
                <w:rFonts w:cs="Arial"/>
                <w:szCs w:val="22"/>
                <w:lang w:eastAsia="it-IT"/>
              </w:rPr>
            </w:pPr>
            <w:r w:rsidRPr="00BD5437">
              <w:rPr>
                <w:rFonts w:cs="Arial"/>
                <w:szCs w:val="22"/>
                <w:lang w:eastAsia="it-IT"/>
              </w:rPr>
              <w:t xml:space="preserve">Проведення інформаційних заходів (розміщення  </w:t>
            </w:r>
            <w:r w:rsidR="001E42A2">
              <w:rPr>
                <w:rFonts w:cs="Arial"/>
                <w:szCs w:val="22"/>
                <w:lang w:eastAsia="it-IT"/>
              </w:rPr>
              <w:t>інформації  про реалізацію  проє</w:t>
            </w:r>
            <w:r w:rsidRPr="00BD5437">
              <w:rPr>
                <w:rFonts w:cs="Arial"/>
                <w:szCs w:val="22"/>
                <w:lang w:eastAsia="it-IT"/>
              </w:rPr>
              <w:t>кту у ЗМІ) .</w:t>
            </w:r>
          </w:p>
        </w:tc>
      </w:tr>
      <w:tr w:rsidR="00CB33C7" w:rsidRPr="00BD5437" w14:paraId="7CC895DE" w14:textId="77777777" w:rsidTr="00234F2C">
        <w:trPr>
          <w:jc w:val="right"/>
        </w:trPr>
        <w:tc>
          <w:tcPr>
            <w:tcW w:w="3423" w:type="dxa"/>
            <w:shd w:val="clear" w:color="auto" w:fill="FFFFFF"/>
            <w:vAlign w:val="center"/>
          </w:tcPr>
          <w:p w14:paraId="7BECCC24" w14:textId="77777777" w:rsidR="00CB33C7" w:rsidRPr="00BD5437" w:rsidRDefault="00CB33C7" w:rsidP="00BD5437">
            <w:pPr>
              <w:rPr>
                <w:rFonts w:cs="Arial"/>
                <w:b/>
                <w:bCs/>
                <w:color w:val="000000"/>
                <w:szCs w:val="22"/>
              </w:rPr>
            </w:pPr>
            <w:r w:rsidRPr="00BD5437">
              <w:rPr>
                <w:rFonts w:cs="Arial"/>
                <w:b/>
                <w:bCs/>
                <w:color w:val="000000"/>
                <w:szCs w:val="22"/>
              </w:rPr>
              <w:t>Індикатори (показники) результативності:</w:t>
            </w:r>
          </w:p>
        </w:tc>
        <w:tc>
          <w:tcPr>
            <w:tcW w:w="6796" w:type="dxa"/>
            <w:gridSpan w:val="8"/>
          </w:tcPr>
          <w:p w14:paraId="4660707F" w14:textId="77777777" w:rsidR="00CB33C7" w:rsidRPr="00BD5437" w:rsidRDefault="00CB33C7" w:rsidP="00BD5437">
            <w:pPr>
              <w:rPr>
                <w:rFonts w:cs="Arial"/>
                <w:szCs w:val="22"/>
                <w:lang w:eastAsia="it-IT"/>
              </w:rPr>
            </w:pPr>
            <w:r w:rsidRPr="00BD5437">
              <w:rPr>
                <w:rFonts w:eastAsia="Arial" w:cs="Arial"/>
                <w:szCs w:val="22"/>
                <w:lang w:eastAsia="en-US"/>
              </w:rPr>
              <w:t xml:space="preserve">Площа дорожнього покриття яке ремонтується: 8070 </w:t>
            </w:r>
            <w:r w:rsidRPr="00BD5437">
              <w:rPr>
                <w:rFonts w:cs="Arial"/>
                <w:color w:val="000000"/>
                <w:szCs w:val="22"/>
              </w:rPr>
              <w:t>м</w:t>
            </w:r>
            <w:r w:rsidRPr="00BD5437">
              <w:rPr>
                <w:rFonts w:cs="Arial"/>
                <w:color w:val="000000"/>
                <w:szCs w:val="22"/>
                <w:vertAlign w:val="superscript"/>
              </w:rPr>
              <w:t xml:space="preserve">2  </w:t>
            </w:r>
            <w:r w:rsidRPr="00BD5437">
              <w:rPr>
                <w:rFonts w:eastAsia="Arial" w:cs="Arial"/>
                <w:szCs w:val="22"/>
                <w:lang w:eastAsia="en-US"/>
              </w:rPr>
              <w:t xml:space="preserve">та площа озеленення: 70 </w:t>
            </w:r>
            <w:r w:rsidRPr="00BD5437">
              <w:rPr>
                <w:rFonts w:cs="Arial"/>
                <w:color w:val="000000"/>
                <w:szCs w:val="22"/>
              </w:rPr>
              <w:t>м</w:t>
            </w:r>
            <w:r w:rsidRPr="00BD5437">
              <w:rPr>
                <w:rFonts w:cs="Arial"/>
                <w:color w:val="000000"/>
                <w:szCs w:val="22"/>
                <w:vertAlign w:val="superscript"/>
              </w:rPr>
              <w:t>2</w:t>
            </w:r>
          </w:p>
        </w:tc>
      </w:tr>
      <w:tr w:rsidR="00CB33C7" w:rsidRPr="00BD5437" w14:paraId="2CB76FC5" w14:textId="77777777" w:rsidTr="00234F2C">
        <w:trPr>
          <w:jc w:val="right"/>
        </w:trPr>
        <w:tc>
          <w:tcPr>
            <w:tcW w:w="3423" w:type="dxa"/>
            <w:shd w:val="clear" w:color="auto" w:fill="FFFFFF"/>
            <w:vAlign w:val="center"/>
          </w:tcPr>
          <w:p w14:paraId="362A6EC5" w14:textId="77777777" w:rsidR="00CB33C7" w:rsidRPr="00BD5437" w:rsidRDefault="00CB33C7" w:rsidP="00BD5437">
            <w:pPr>
              <w:rPr>
                <w:rFonts w:cs="Arial"/>
                <w:b/>
                <w:color w:val="000000"/>
                <w:szCs w:val="22"/>
              </w:rPr>
            </w:pPr>
            <w:r w:rsidRPr="00BD5437">
              <w:rPr>
                <w:rFonts w:cs="Arial"/>
                <w:b/>
                <w:color w:val="000000"/>
                <w:szCs w:val="22"/>
              </w:rPr>
              <w:t xml:space="preserve">Період здійснення: </w:t>
            </w:r>
          </w:p>
        </w:tc>
        <w:tc>
          <w:tcPr>
            <w:tcW w:w="6796" w:type="dxa"/>
            <w:gridSpan w:val="8"/>
            <w:vAlign w:val="center"/>
          </w:tcPr>
          <w:p w14:paraId="14E83EA1" w14:textId="77777777" w:rsidR="00CB33C7" w:rsidRPr="00BD5437" w:rsidRDefault="00CB33C7" w:rsidP="00BD5437">
            <w:pPr>
              <w:rPr>
                <w:rFonts w:cs="Arial"/>
                <w:color w:val="000000"/>
                <w:szCs w:val="22"/>
                <w:lang w:eastAsia="it-IT"/>
              </w:rPr>
            </w:pPr>
            <w:r w:rsidRPr="00BD5437">
              <w:rPr>
                <w:rFonts w:cs="Arial"/>
                <w:b/>
                <w:color w:val="000000"/>
                <w:szCs w:val="22"/>
              </w:rPr>
              <w:t>2025 – 2028 роки:</w:t>
            </w:r>
          </w:p>
        </w:tc>
      </w:tr>
      <w:tr w:rsidR="00CB33C7" w:rsidRPr="00BD5437" w14:paraId="539C2C12" w14:textId="77777777" w:rsidTr="00234F2C">
        <w:trPr>
          <w:jc w:val="right"/>
        </w:trPr>
        <w:tc>
          <w:tcPr>
            <w:tcW w:w="3423" w:type="dxa"/>
            <w:vMerge w:val="restart"/>
            <w:shd w:val="clear" w:color="auto" w:fill="FFFFFF"/>
            <w:vAlign w:val="center"/>
          </w:tcPr>
          <w:p w14:paraId="1447A4C5" w14:textId="77777777" w:rsidR="00CB33C7" w:rsidRPr="00BD5437" w:rsidRDefault="00CB33C7" w:rsidP="00BD5437">
            <w:pPr>
              <w:rPr>
                <w:rFonts w:cs="Arial"/>
                <w:b/>
                <w:bCs/>
                <w:color w:val="000000"/>
                <w:szCs w:val="22"/>
              </w:rPr>
            </w:pPr>
            <w:r w:rsidRPr="00BD5437">
              <w:rPr>
                <w:rFonts w:cs="Arial"/>
                <w:b/>
                <w:bCs/>
                <w:color w:val="000000"/>
                <w:szCs w:val="22"/>
              </w:rPr>
              <w:t>Орієнтовна вартість проєкту, тис. грн., в тому числі:</w:t>
            </w:r>
          </w:p>
        </w:tc>
        <w:tc>
          <w:tcPr>
            <w:tcW w:w="1253" w:type="dxa"/>
            <w:gridSpan w:val="2"/>
            <w:shd w:val="clear" w:color="auto" w:fill="E6E6E6"/>
            <w:vAlign w:val="center"/>
          </w:tcPr>
          <w:p w14:paraId="1B88E8FE" w14:textId="77777777" w:rsidR="00CB33C7" w:rsidRPr="00BD5437" w:rsidRDefault="00CB33C7" w:rsidP="00BD5437">
            <w:pPr>
              <w:jc w:val="center"/>
              <w:rPr>
                <w:rFonts w:cs="Arial"/>
                <w:b/>
                <w:color w:val="000000"/>
                <w:szCs w:val="22"/>
                <w:lang w:eastAsia="it-IT"/>
              </w:rPr>
            </w:pPr>
            <w:r w:rsidRPr="00BD5437">
              <w:rPr>
                <w:rFonts w:cs="Arial"/>
                <w:b/>
                <w:color w:val="000000"/>
                <w:szCs w:val="22"/>
                <w:lang w:eastAsia="it-IT"/>
              </w:rPr>
              <w:t>2025</w:t>
            </w:r>
          </w:p>
        </w:tc>
        <w:tc>
          <w:tcPr>
            <w:tcW w:w="1412" w:type="dxa"/>
            <w:shd w:val="clear" w:color="auto" w:fill="E6E6E6"/>
            <w:vAlign w:val="center"/>
          </w:tcPr>
          <w:p w14:paraId="6E5F206D" w14:textId="77777777" w:rsidR="00CB33C7" w:rsidRPr="00BD5437" w:rsidRDefault="00CB33C7" w:rsidP="00BD5437">
            <w:pPr>
              <w:jc w:val="center"/>
              <w:rPr>
                <w:rFonts w:cs="Arial"/>
                <w:b/>
                <w:color w:val="000000"/>
                <w:szCs w:val="22"/>
                <w:lang w:eastAsia="it-IT"/>
              </w:rPr>
            </w:pPr>
            <w:r w:rsidRPr="00BD5437">
              <w:rPr>
                <w:rFonts w:cs="Arial"/>
                <w:b/>
                <w:color w:val="000000"/>
                <w:szCs w:val="22"/>
                <w:lang w:eastAsia="it-IT"/>
              </w:rPr>
              <w:t>2026</w:t>
            </w:r>
          </w:p>
        </w:tc>
        <w:tc>
          <w:tcPr>
            <w:tcW w:w="1284" w:type="dxa"/>
            <w:gridSpan w:val="2"/>
            <w:tcBorders>
              <w:bottom w:val="single" w:sz="4" w:space="0" w:color="auto"/>
            </w:tcBorders>
            <w:shd w:val="clear" w:color="auto" w:fill="E6E6E6"/>
            <w:vAlign w:val="center"/>
          </w:tcPr>
          <w:p w14:paraId="526BF2BA" w14:textId="77777777" w:rsidR="00CB33C7" w:rsidRPr="00BD5437" w:rsidRDefault="00CB33C7" w:rsidP="00BD5437">
            <w:pPr>
              <w:jc w:val="center"/>
              <w:rPr>
                <w:rFonts w:cs="Arial"/>
                <w:b/>
                <w:color w:val="000000"/>
                <w:szCs w:val="22"/>
                <w:lang w:eastAsia="it-IT"/>
              </w:rPr>
            </w:pPr>
            <w:r w:rsidRPr="00BD5437">
              <w:rPr>
                <w:rFonts w:cs="Arial"/>
                <w:b/>
                <w:color w:val="000000"/>
                <w:szCs w:val="22"/>
                <w:lang w:eastAsia="it-IT"/>
              </w:rPr>
              <w:t>2027</w:t>
            </w:r>
          </w:p>
        </w:tc>
        <w:tc>
          <w:tcPr>
            <w:tcW w:w="1276" w:type="dxa"/>
            <w:shd w:val="clear" w:color="auto" w:fill="E6E6E6"/>
            <w:vAlign w:val="center"/>
          </w:tcPr>
          <w:p w14:paraId="124BB09A" w14:textId="77777777" w:rsidR="00CB33C7" w:rsidRPr="00BD5437" w:rsidRDefault="00CB33C7" w:rsidP="00BD5437">
            <w:pPr>
              <w:jc w:val="center"/>
              <w:rPr>
                <w:rFonts w:cs="Arial"/>
                <w:b/>
                <w:color w:val="000000"/>
                <w:szCs w:val="22"/>
                <w:lang w:eastAsia="it-IT"/>
              </w:rPr>
            </w:pPr>
            <w:r w:rsidRPr="00BD5437">
              <w:rPr>
                <w:rFonts w:cs="Arial"/>
                <w:b/>
                <w:color w:val="000000"/>
                <w:szCs w:val="22"/>
                <w:lang w:eastAsia="it-IT"/>
              </w:rPr>
              <w:t>2028</w:t>
            </w:r>
          </w:p>
        </w:tc>
        <w:tc>
          <w:tcPr>
            <w:tcW w:w="1571" w:type="dxa"/>
            <w:gridSpan w:val="2"/>
            <w:shd w:val="clear" w:color="auto" w:fill="E6E6E6"/>
            <w:vAlign w:val="center"/>
          </w:tcPr>
          <w:p w14:paraId="7CC2AE0D" w14:textId="77777777" w:rsidR="00CB33C7" w:rsidRPr="00BD5437" w:rsidRDefault="00CB33C7" w:rsidP="00BD5437">
            <w:pPr>
              <w:jc w:val="center"/>
              <w:rPr>
                <w:rFonts w:cs="Arial"/>
                <w:b/>
                <w:color w:val="000000"/>
                <w:szCs w:val="22"/>
                <w:lang w:eastAsia="it-IT"/>
              </w:rPr>
            </w:pPr>
            <w:r w:rsidRPr="00BD5437">
              <w:rPr>
                <w:rFonts w:cs="Arial"/>
                <w:b/>
                <w:color w:val="000000"/>
                <w:szCs w:val="22"/>
                <w:lang w:eastAsia="it-IT"/>
              </w:rPr>
              <w:t>РАЗОМ</w:t>
            </w:r>
          </w:p>
        </w:tc>
      </w:tr>
      <w:tr w:rsidR="00CB33C7" w:rsidRPr="00BD5437" w14:paraId="1D87CAC6" w14:textId="77777777" w:rsidTr="00234F2C">
        <w:trPr>
          <w:jc w:val="right"/>
        </w:trPr>
        <w:tc>
          <w:tcPr>
            <w:tcW w:w="3423" w:type="dxa"/>
            <w:vMerge/>
            <w:shd w:val="clear" w:color="auto" w:fill="FFFFFF"/>
            <w:vAlign w:val="center"/>
          </w:tcPr>
          <w:p w14:paraId="2953986A" w14:textId="77777777" w:rsidR="00CB33C7" w:rsidRPr="00BD5437" w:rsidRDefault="00CB33C7" w:rsidP="00BD5437">
            <w:pPr>
              <w:rPr>
                <w:rFonts w:cs="Arial"/>
                <w:b/>
                <w:bCs/>
                <w:color w:val="000000"/>
                <w:szCs w:val="22"/>
              </w:rPr>
            </w:pPr>
          </w:p>
        </w:tc>
        <w:tc>
          <w:tcPr>
            <w:tcW w:w="1253" w:type="dxa"/>
            <w:gridSpan w:val="2"/>
            <w:vAlign w:val="center"/>
          </w:tcPr>
          <w:p w14:paraId="070AE73D" w14:textId="77777777" w:rsidR="00CB33C7" w:rsidRPr="00BD5437" w:rsidRDefault="00CB33C7" w:rsidP="00BD5437">
            <w:pPr>
              <w:jc w:val="center"/>
              <w:rPr>
                <w:rFonts w:cs="Arial"/>
                <w:b/>
                <w:color w:val="000000"/>
                <w:szCs w:val="22"/>
                <w:lang w:eastAsia="it-IT"/>
              </w:rPr>
            </w:pPr>
          </w:p>
        </w:tc>
        <w:tc>
          <w:tcPr>
            <w:tcW w:w="1412" w:type="dxa"/>
            <w:shd w:val="clear" w:color="auto" w:fill="FFFFFF"/>
            <w:vAlign w:val="center"/>
          </w:tcPr>
          <w:p w14:paraId="4855C2A3" w14:textId="77777777" w:rsidR="00CB33C7" w:rsidRPr="00BD5437" w:rsidRDefault="00CB33C7" w:rsidP="00BD5437">
            <w:pPr>
              <w:jc w:val="center"/>
              <w:rPr>
                <w:rFonts w:cs="Arial"/>
                <w:b/>
                <w:color w:val="000000"/>
                <w:szCs w:val="22"/>
                <w:lang w:eastAsia="it-IT"/>
              </w:rPr>
            </w:pPr>
            <w:r w:rsidRPr="00BD5437">
              <w:rPr>
                <w:rFonts w:cs="Arial"/>
                <w:b/>
                <w:color w:val="000000"/>
                <w:szCs w:val="22"/>
                <w:lang w:eastAsia="it-IT"/>
              </w:rPr>
              <w:t>12000,00</w:t>
            </w:r>
          </w:p>
        </w:tc>
        <w:tc>
          <w:tcPr>
            <w:tcW w:w="1284" w:type="dxa"/>
            <w:gridSpan w:val="2"/>
            <w:shd w:val="clear" w:color="auto" w:fill="auto"/>
            <w:vAlign w:val="center"/>
          </w:tcPr>
          <w:p w14:paraId="1D18B8E4" w14:textId="77777777" w:rsidR="00CB33C7" w:rsidRPr="00BD5437" w:rsidRDefault="00CB33C7" w:rsidP="00BD5437">
            <w:pPr>
              <w:jc w:val="center"/>
              <w:rPr>
                <w:rFonts w:cs="Arial"/>
                <w:b/>
                <w:color w:val="000000"/>
                <w:szCs w:val="22"/>
                <w:lang w:eastAsia="it-IT"/>
              </w:rPr>
            </w:pPr>
          </w:p>
        </w:tc>
        <w:tc>
          <w:tcPr>
            <w:tcW w:w="1276" w:type="dxa"/>
            <w:shd w:val="clear" w:color="auto" w:fill="FFFFFF"/>
            <w:vAlign w:val="center"/>
          </w:tcPr>
          <w:p w14:paraId="5879B5DA" w14:textId="77777777" w:rsidR="00CB33C7" w:rsidRPr="00BD5437" w:rsidRDefault="00CB33C7" w:rsidP="00BD5437">
            <w:pPr>
              <w:jc w:val="center"/>
              <w:rPr>
                <w:rFonts w:cs="Arial"/>
                <w:b/>
                <w:color w:val="000000"/>
                <w:szCs w:val="22"/>
                <w:lang w:eastAsia="it-IT"/>
              </w:rPr>
            </w:pPr>
          </w:p>
        </w:tc>
        <w:tc>
          <w:tcPr>
            <w:tcW w:w="1571" w:type="dxa"/>
            <w:gridSpan w:val="2"/>
            <w:shd w:val="clear" w:color="auto" w:fill="FFFFFF"/>
            <w:vAlign w:val="center"/>
          </w:tcPr>
          <w:p w14:paraId="504260C8" w14:textId="77777777" w:rsidR="00CB33C7" w:rsidRPr="00BD5437" w:rsidRDefault="00CB33C7" w:rsidP="00BD5437">
            <w:pPr>
              <w:jc w:val="center"/>
              <w:rPr>
                <w:rFonts w:cs="Arial"/>
                <w:b/>
                <w:color w:val="000000"/>
                <w:szCs w:val="22"/>
                <w:lang w:eastAsia="it-IT"/>
              </w:rPr>
            </w:pPr>
            <w:r w:rsidRPr="00BD5437">
              <w:rPr>
                <w:rFonts w:cs="Arial"/>
                <w:b/>
                <w:color w:val="000000"/>
                <w:szCs w:val="22"/>
                <w:lang w:eastAsia="it-IT"/>
              </w:rPr>
              <w:t>12000,00</w:t>
            </w:r>
          </w:p>
        </w:tc>
      </w:tr>
      <w:tr w:rsidR="00CB33C7" w:rsidRPr="00BD5437" w14:paraId="2C8971DA" w14:textId="77777777" w:rsidTr="00234F2C">
        <w:trPr>
          <w:trHeight w:val="276"/>
          <w:jc w:val="right"/>
        </w:trPr>
        <w:tc>
          <w:tcPr>
            <w:tcW w:w="3423" w:type="dxa"/>
            <w:shd w:val="clear" w:color="auto" w:fill="FFFFFF"/>
            <w:vAlign w:val="center"/>
          </w:tcPr>
          <w:p w14:paraId="7D7AD9E7" w14:textId="77777777" w:rsidR="00CB33C7" w:rsidRPr="00BD5437" w:rsidRDefault="00CB33C7" w:rsidP="00BD5437">
            <w:pPr>
              <w:rPr>
                <w:rFonts w:cs="Arial"/>
                <w:b/>
                <w:bCs/>
                <w:color w:val="000000"/>
                <w:szCs w:val="22"/>
              </w:rPr>
            </w:pPr>
            <w:r w:rsidRPr="00BD5437">
              <w:rPr>
                <w:rFonts w:cs="Arial"/>
                <w:b/>
                <w:bCs/>
                <w:color w:val="000000"/>
                <w:szCs w:val="22"/>
              </w:rPr>
              <w:t>по джерелах фінансування:</w:t>
            </w:r>
          </w:p>
        </w:tc>
        <w:tc>
          <w:tcPr>
            <w:tcW w:w="6796" w:type="dxa"/>
            <w:gridSpan w:val="8"/>
            <w:vAlign w:val="center"/>
          </w:tcPr>
          <w:p w14:paraId="6D067A29" w14:textId="77777777" w:rsidR="00CB33C7" w:rsidRPr="00BD5437" w:rsidRDefault="00CB33C7" w:rsidP="00BD5437">
            <w:pPr>
              <w:jc w:val="both"/>
              <w:rPr>
                <w:rFonts w:cs="Arial"/>
                <w:color w:val="000000"/>
                <w:szCs w:val="22"/>
                <w:lang w:eastAsia="it-IT"/>
              </w:rPr>
            </w:pPr>
          </w:p>
        </w:tc>
      </w:tr>
      <w:tr w:rsidR="00234F2C" w:rsidRPr="00BD5437" w14:paraId="76EB92C8" w14:textId="28CF811B" w:rsidTr="00234F2C">
        <w:trPr>
          <w:trHeight w:val="240"/>
          <w:jc w:val="right"/>
        </w:trPr>
        <w:tc>
          <w:tcPr>
            <w:tcW w:w="3423" w:type="dxa"/>
            <w:shd w:val="clear" w:color="auto" w:fill="FFFFFF"/>
            <w:vAlign w:val="center"/>
          </w:tcPr>
          <w:p w14:paraId="2FE194E2" w14:textId="77777777" w:rsidR="00234F2C" w:rsidRPr="00BD5437" w:rsidRDefault="00234F2C" w:rsidP="00BD5437">
            <w:pPr>
              <w:rPr>
                <w:rFonts w:cs="Arial"/>
                <w:b/>
                <w:bCs/>
                <w:color w:val="000000"/>
                <w:szCs w:val="22"/>
              </w:rPr>
            </w:pPr>
            <w:r w:rsidRPr="00BD5437">
              <w:rPr>
                <w:rFonts w:cs="Arial"/>
                <w:color w:val="000000"/>
                <w:szCs w:val="22"/>
              </w:rPr>
              <w:t>- державний бюджет</w:t>
            </w:r>
          </w:p>
        </w:tc>
        <w:tc>
          <w:tcPr>
            <w:tcW w:w="1219" w:type="dxa"/>
            <w:vAlign w:val="center"/>
          </w:tcPr>
          <w:p w14:paraId="7C197006" w14:textId="688B501F" w:rsidR="00234F2C" w:rsidRPr="00BD5437" w:rsidRDefault="00234F2C" w:rsidP="00BD5437">
            <w:pPr>
              <w:jc w:val="both"/>
              <w:rPr>
                <w:rFonts w:cs="Arial"/>
                <w:color w:val="000000"/>
                <w:szCs w:val="22"/>
                <w:lang w:eastAsia="it-IT"/>
              </w:rPr>
            </w:pPr>
          </w:p>
        </w:tc>
        <w:tc>
          <w:tcPr>
            <w:tcW w:w="1500" w:type="dxa"/>
            <w:gridSpan w:val="3"/>
          </w:tcPr>
          <w:p w14:paraId="451823AE" w14:textId="5DBAB944" w:rsidR="00234F2C" w:rsidRPr="00BD5437" w:rsidRDefault="00234F2C" w:rsidP="00234F2C">
            <w:pPr>
              <w:jc w:val="center"/>
              <w:rPr>
                <w:rFonts w:cs="Arial"/>
                <w:color w:val="000000"/>
                <w:szCs w:val="22"/>
                <w:lang w:eastAsia="it-IT"/>
              </w:rPr>
            </w:pPr>
            <w:r w:rsidRPr="00BD5437">
              <w:rPr>
                <w:rFonts w:eastAsia="Arial" w:cs="Arial"/>
                <w:szCs w:val="22"/>
              </w:rPr>
              <w:t>10000,00</w:t>
            </w:r>
          </w:p>
        </w:tc>
        <w:tc>
          <w:tcPr>
            <w:tcW w:w="1230" w:type="dxa"/>
          </w:tcPr>
          <w:p w14:paraId="0A06D9EF" w14:textId="3777ABAD" w:rsidR="00234F2C" w:rsidRPr="00BD5437" w:rsidRDefault="00234F2C" w:rsidP="00234F2C">
            <w:pPr>
              <w:jc w:val="center"/>
              <w:rPr>
                <w:rFonts w:cs="Arial"/>
                <w:color w:val="000000"/>
                <w:szCs w:val="22"/>
                <w:lang w:eastAsia="it-IT"/>
              </w:rPr>
            </w:pPr>
          </w:p>
        </w:tc>
        <w:tc>
          <w:tcPr>
            <w:tcW w:w="1350" w:type="dxa"/>
            <w:gridSpan w:val="2"/>
          </w:tcPr>
          <w:p w14:paraId="3AEE4507" w14:textId="6B1B770E" w:rsidR="00234F2C" w:rsidRPr="00BD5437" w:rsidRDefault="00234F2C" w:rsidP="00234F2C">
            <w:pPr>
              <w:jc w:val="center"/>
              <w:rPr>
                <w:rFonts w:cs="Arial"/>
                <w:color w:val="000000"/>
                <w:szCs w:val="22"/>
                <w:lang w:eastAsia="it-IT"/>
              </w:rPr>
            </w:pPr>
          </w:p>
        </w:tc>
        <w:tc>
          <w:tcPr>
            <w:tcW w:w="1497" w:type="dxa"/>
          </w:tcPr>
          <w:p w14:paraId="3B989F22" w14:textId="3EF228FE" w:rsidR="00234F2C" w:rsidRPr="00234F2C" w:rsidRDefault="00234F2C" w:rsidP="00234F2C">
            <w:pPr>
              <w:jc w:val="center"/>
              <w:rPr>
                <w:rFonts w:cs="Arial"/>
                <w:b/>
                <w:color w:val="000000"/>
                <w:szCs w:val="22"/>
                <w:lang w:eastAsia="it-IT"/>
              </w:rPr>
            </w:pPr>
            <w:r w:rsidRPr="00234F2C">
              <w:rPr>
                <w:rFonts w:eastAsia="Arial" w:cs="Arial"/>
                <w:b/>
                <w:szCs w:val="22"/>
              </w:rPr>
              <w:t>10000,00</w:t>
            </w:r>
          </w:p>
        </w:tc>
      </w:tr>
      <w:tr w:rsidR="00234F2C" w:rsidRPr="00BD5437" w14:paraId="1103FB8C" w14:textId="42EABA27" w:rsidTr="00234F2C">
        <w:trPr>
          <w:trHeight w:val="254"/>
          <w:jc w:val="right"/>
        </w:trPr>
        <w:tc>
          <w:tcPr>
            <w:tcW w:w="3423" w:type="dxa"/>
            <w:shd w:val="clear" w:color="auto" w:fill="FFFFFF"/>
            <w:vAlign w:val="center"/>
          </w:tcPr>
          <w:p w14:paraId="466B058E" w14:textId="77777777" w:rsidR="00234F2C" w:rsidRPr="00BD5437" w:rsidRDefault="00234F2C" w:rsidP="00BD5437">
            <w:pPr>
              <w:rPr>
                <w:rFonts w:cs="Arial"/>
                <w:color w:val="000000"/>
                <w:szCs w:val="22"/>
              </w:rPr>
            </w:pPr>
            <w:r w:rsidRPr="00BD5437">
              <w:rPr>
                <w:rFonts w:cs="Arial"/>
                <w:color w:val="000000"/>
                <w:szCs w:val="22"/>
              </w:rPr>
              <w:t>- обласний бюджет</w:t>
            </w:r>
          </w:p>
        </w:tc>
        <w:tc>
          <w:tcPr>
            <w:tcW w:w="1219" w:type="dxa"/>
            <w:vAlign w:val="center"/>
          </w:tcPr>
          <w:p w14:paraId="12C0FF04" w14:textId="77777777" w:rsidR="00234F2C" w:rsidRPr="00BD5437" w:rsidRDefault="00234F2C" w:rsidP="00BD5437">
            <w:pPr>
              <w:jc w:val="both"/>
              <w:rPr>
                <w:rFonts w:cs="Arial"/>
                <w:color w:val="000000"/>
                <w:szCs w:val="22"/>
                <w:lang w:eastAsia="it-IT"/>
              </w:rPr>
            </w:pPr>
          </w:p>
        </w:tc>
        <w:tc>
          <w:tcPr>
            <w:tcW w:w="1500" w:type="dxa"/>
            <w:gridSpan w:val="3"/>
          </w:tcPr>
          <w:p w14:paraId="7B03F5B7" w14:textId="77777777" w:rsidR="00234F2C" w:rsidRPr="00BD5437" w:rsidRDefault="00234F2C" w:rsidP="00234F2C">
            <w:pPr>
              <w:jc w:val="center"/>
              <w:rPr>
                <w:rFonts w:cs="Arial"/>
                <w:color w:val="000000"/>
                <w:szCs w:val="22"/>
                <w:lang w:eastAsia="it-IT"/>
              </w:rPr>
            </w:pPr>
          </w:p>
        </w:tc>
        <w:tc>
          <w:tcPr>
            <w:tcW w:w="1230" w:type="dxa"/>
          </w:tcPr>
          <w:p w14:paraId="2DDA0462" w14:textId="77777777" w:rsidR="00234F2C" w:rsidRPr="00BD5437" w:rsidRDefault="00234F2C" w:rsidP="00234F2C">
            <w:pPr>
              <w:jc w:val="center"/>
              <w:rPr>
                <w:rFonts w:cs="Arial"/>
                <w:color w:val="000000"/>
                <w:szCs w:val="22"/>
                <w:lang w:eastAsia="it-IT"/>
              </w:rPr>
            </w:pPr>
          </w:p>
        </w:tc>
        <w:tc>
          <w:tcPr>
            <w:tcW w:w="1350" w:type="dxa"/>
            <w:gridSpan w:val="2"/>
          </w:tcPr>
          <w:p w14:paraId="40FF8C97" w14:textId="77777777" w:rsidR="00234F2C" w:rsidRPr="00BD5437" w:rsidRDefault="00234F2C" w:rsidP="00234F2C">
            <w:pPr>
              <w:jc w:val="center"/>
              <w:rPr>
                <w:rFonts w:cs="Arial"/>
                <w:color w:val="000000"/>
                <w:szCs w:val="22"/>
                <w:lang w:eastAsia="it-IT"/>
              </w:rPr>
            </w:pPr>
          </w:p>
        </w:tc>
        <w:tc>
          <w:tcPr>
            <w:tcW w:w="1497" w:type="dxa"/>
          </w:tcPr>
          <w:p w14:paraId="41F45012" w14:textId="77777777" w:rsidR="00234F2C" w:rsidRPr="00234F2C" w:rsidRDefault="00234F2C" w:rsidP="00234F2C">
            <w:pPr>
              <w:jc w:val="center"/>
              <w:rPr>
                <w:rFonts w:cs="Arial"/>
                <w:b/>
                <w:color w:val="000000"/>
                <w:szCs w:val="22"/>
                <w:lang w:eastAsia="it-IT"/>
              </w:rPr>
            </w:pPr>
          </w:p>
        </w:tc>
      </w:tr>
      <w:tr w:rsidR="00234F2C" w:rsidRPr="00BD5437" w14:paraId="27116AAE" w14:textId="57965231" w:rsidTr="00234F2C">
        <w:trPr>
          <w:trHeight w:val="275"/>
          <w:jc w:val="right"/>
        </w:trPr>
        <w:tc>
          <w:tcPr>
            <w:tcW w:w="3423" w:type="dxa"/>
            <w:shd w:val="clear" w:color="auto" w:fill="FFFFFF"/>
            <w:vAlign w:val="center"/>
          </w:tcPr>
          <w:p w14:paraId="60D5DB16" w14:textId="77777777" w:rsidR="00234F2C" w:rsidRPr="00BD5437" w:rsidRDefault="00234F2C" w:rsidP="00BD5437">
            <w:pPr>
              <w:rPr>
                <w:rFonts w:cs="Arial"/>
                <w:color w:val="000000"/>
                <w:szCs w:val="22"/>
              </w:rPr>
            </w:pPr>
            <w:r w:rsidRPr="00BD5437">
              <w:rPr>
                <w:rFonts w:cs="Arial"/>
                <w:color w:val="000000"/>
                <w:szCs w:val="22"/>
              </w:rPr>
              <w:t>- бюджет Жмеринської МТГ</w:t>
            </w:r>
          </w:p>
        </w:tc>
        <w:tc>
          <w:tcPr>
            <w:tcW w:w="1219" w:type="dxa"/>
            <w:vAlign w:val="center"/>
          </w:tcPr>
          <w:p w14:paraId="0742C1CC" w14:textId="17301542" w:rsidR="00234F2C" w:rsidRPr="00BD5437" w:rsidRDefault="00234F2C" w:rsidP="00BD5437">
            <w:pPr>
              <w:jc w:val="both"/>
              <w:rPr>
                <w:rFonts w:cs="Arial"/>
                <w:color w:val="000000"/>
                <w:szCs w:val="22"/>
                <w:lang w:eastAsia="it-IT"/>
              </w:rPr>
            </w:pPr>
          </w:p>
        </w:tc>
        <w:tc>
          <w:tcPr>
            <w:tcW w:w="1500" w:type="dxa"/>
            <w:gridSpan w:val="3"/>
          </w:tcPr>
          <w:p w14:paraId="202EB6B0" w14:textId="769053C0" w:rsidR="00234F2C" w:rsidRPr="00BD5437" w:rsidRDefault="00234F2C" w:rsidP="00234F2C">
            <w:pPr>
              <w:ind w:left="120"/>
              <w:jc w:val="center"/>
              <w:rPr>
                <w:rFonts w:cs="Arial"/>
                <w:color w:val="000000"/>
                <w:szCs w:val="22"/>
                <w:lang w:eastAsia="it-IT"/>
              </w:rPr>
            </w:pPr>
            <w:r w:rsidRPr="00BD5437">
              <w:rPr>
                <w:rFonts w:eastAsia="Arial" w:cs="Arial"/>
                <w:szCs w:val="22"/>
              </w:rPr>
              <w:t>2000,00</w:t>
            </w:r>
          </w:p>
        </w:tc>
        <w:tc>
          <w:tcPr>
            <w:tcW w:w="1230" w:type="dxa"/>
          </w:tcPr>
          <w:p w14:paraId="171E5887" w14:textId="00868E38" w:rsidR="00234F2C" w:rsidRPr="00BD5437" w:rsidRDefault="00234F2C" w:rsidP="00234F2C">
            <w:pPr>
              <w:jc w:val="center"/>
              <w:rPr>
                <w:rFonts w:cs="Arial"/>
                <w:color w:val="000000"/>
                <w:szCs w:val="22"/>
                <w:lang w:eastAsia="it-IT"/>
              </w:rPr>
            </w:pPr>
          </w:p>
        </w:tc>
        <w:tc>
          <w:tcPr>
            <w:tcW w:w="1350" w:type="dxa"/>
            <w:gridSpan w:val="2"/>
          </w:tcPr>
          <w:p w14:paraId="535C3783" w14:textId="5DBDC994" w:rsidR="00234F2C" w:rsidRPr="00BD5437" w:rsidRDefault="00234F2C" w:rsidP="00234F2C">
            <w:pPr>
              <w:jc w:val="center"/>
              <w:rPr>
                <w:rFonts w:cs="Arial"/>
                <w:color w:val="000000"/>
                <w:szCs w:val="22"/>
                <w:lang w:eastAsia="it-IT"/>
              </w:rPr>
            </w:pPr>
          </w:p>
        </w:tc>
        <w:tc>
          <w:tcPr>
            <w:tcW w:w="1497" w:type="dxa"/>
          </w:tcPr>
          <w:p w14:paraId="3CDC0FA5" w14:textId="40CF5EAB" w:rsidR="00234F2C" w:rsidRPr="00234F2C" w:rsidRDefault="00234F2C" w:rsidP="00234F2C">
            <w:pPr>
              <w:jc w:val="center"/>
              <w:rPr>
                <w:rFonts w:cs="Arial"/>
                <w:b/>
                <w:color w:val="000000"/>
                <w:szCs w:val="22"/>
                <w:lang w:eastAsia="it-IT"/>
              </w:rPr>
            </w:pPr>
            <w:r w:rsidRPr="00234F2C">
              <w:rPr>
                <w:rFonts w:eastAsia="Arial" w:cs="Arial"/>
                <w:b/>
                <w:szCs w:val="22"/>
              </w:rPr>
              <w:t>2000,00</w:t>
            </w:r>
          </w:p>
        </w:tc>
      </w:tr>
      <w:tr w:rsidR="00234F2C" w:rsidRPr="00BD5437" w14:paraId="5C5D2E6D" w14:textId="64690C58" w:rsidTr="00234F2C">
        <w:trPr>
          <w:trHeight w:val="226"/>
          <w:jc w:val="right"/>
        </w:trPr>
        <w:tc>
          <w:tcPr>
            <w:tcW w:w="3423" w:type="dxa"/>
            <w:shd w:val="clear" w:color="auto" w:fill="FFFFFF"/>
            <w:vAlign w:val="center"/>
          </w:tcPr>
          <w:p w14:paraId="62365832" w14:textId="77777777" w:rsidR="00234F2C" w:rsidRPr="00BD5437" w:rsidRDefault="00234F2C" w:rsidP="00BD5437">
            <w:pPr>
              <w:rPr>
                <w:rFonts w:cs="Arial"/>
                <w:color w:val="000000"/>
                <w:szCs w:val="22"/>
              </w:rPr>
            </w:pPr>
            <w:r w:rsidRPr="00BD5437">
              <w:rPr>
                <w:rFonts w:cs="Arial"/>
                <w:color w:val="000000"/>
                <w:szCs w:val="22"/>
              </w:rPr>
              <w:t>- інші джерела фінансування</w:t>
            </w:r>
          </w:p>
        </w:tc>
        <w:tc>
          <w:tcPr>
            <w:tcW w:w="1219" w:type="dxa"/>
            <w:vAlign w:val="center"/>
          </w:tcPr>
          <w:p w14:paraId="59E25ED6" w14:textId="77777777" w:rsidR="00234F2C" w:rsidRPr="00BD5437" w:rsidRDefault="00234F2C" w:rsidP="00BD5437">
            <w:pPr>
              <w:jc w:val="both"/>
              <w:rPr>
                <w:rFonts w:cs="Arial"/>
                <w:color w:val="000000"/>
                <w:szCs w:val="22"/>
                <w:lang w:eastAsia="it-IT"/>
              </w:rPr>
            </w:pPr>
          </w:p>
        </w:tc>
        <w:tc>
          <w:tcPr>
            <w:tcW w:w="1500" w:type="dxa"/>
            <w:gridSpan w:val="3"/>
          </w:tcPr>
          <w:p w14:paraId="646045EE" w14:textId="77777777" w:rsidR="00234F2C" w:rsidRPr="00BD5437" w:rsidRDefault="00234F2C" w:rsidP="00234F2C">
            <w:pPr>
              <w:jc w:val="center"/>
              <w:rPr>
                <w:rFonts w:cs="Arial"/>
                <w:color w:val="000000"/>
                <w:szCs w:val="22"/>
                <w:lang w:eastAsia="it-IT"/>
              </w:rPr>
            </w:pPr>
          </w:p>
        </w:tc>
        <w:tc>
          <w:tcPr>
            <w:tcW w:w="1230" w:type="dxa"/>
          </w:tcPr>
          <w:p w14:paraId="1D3199C4" w14:textId="77777777" w:rsidR="00234F2C" w:rsidRPr="00BD5437" w:rsidRDefault="00234F2C" w:rsidP="00234F2C">
            <w:pPr>
              <w:jc w:val="center"/>
              <w:rPr>
                <w:rFonts w:cs="Arial"/>
                <w:color w:val="000000"/>
                <w:szCs w:val="22"/>
                <w:lang w:eastAsia="it-IT"/>
              </w:rPr>
            </w:pPr>
          </w:p>
        </w:tc>
        <w:tc>
          <w:tcPr>
            <w:tcW w:w="1350" w:type="dxa"/>
            <w:gridSpan w:val="2"/>
          </w:tcPr>
          <w:p w14:paraId="1532B205" w14:textId="77777777" w:rsidR="00234F2C" w:rsidRPr="00BD5437" w:rsidRDefault="00234F2C" w:rsidP="00234F2C">
            <w:pPr>
              <w:jc w:val="center"/>
              <w:rPr>
                <w:rFonts w:cs="Arial"/>
                <w:color w:val="000000"/>
                <w:szCs w:val="22"/>
                <w:lang w:eastAsia="it-IT"/>
              </w:rPr>
            </w:pPr>
          </w:p>
        </w:tc>
        <w:tc>
          <w:tcPr>
            <w:tcW w:w="1497" w:type="dxa"/>
          </w:tcPr>
          <w:p w14:paraId="2D0B7C36" w14:textId="77777777" w:rsidR="00234F2C" w:rsidRPr="00BD5437" w:rsidRDefault="00234F2C" w:rsidP="00234F2C">
            <w:pPr>
              <w:jc w:val="center"/>
              <w:rPr>
                <w:rFonts w:cs="Arial"/>
                <w:color w:val="000000"/>
                <w:szCs w:val="22"/>
                <w:lang w:eastAsia="it-IT"/>
              </w:rPr>
            </w:pPr>
          </w:p>
        </w:tc>
      </w:tr>
      <w:tr w:rsidR="00CB33C7" w:rsidRPr="00BD5437" w14:paraId="3F0EFA94" w14:textId="77777777" w:rsidTr="00234F2C">
        <w:trPr>
          <w:jc w:val="right"/>
        </w:trPr>
        <w:tc>
          <w:tcPr>
            <w:tcW w:w="3423" w:type="dxa"/>
            <w:shd w:val="clear" w:color="auto" w:fill="FFFFFF"/>
            <w:vAlign w:val="center"/>
          </w:tcPr>
          <w:p w14:paraId="7DCB0102" w14:textId="77777777" w:rsidR="00CB33C7" w:rsidRPr="00BD5437" w:rsidRDefault="00CB33C7" w:rsidP="00BD5437">
            <w:pPr>
              <w:rPr>
                <w:rFonts w:cs="Arial"/>
                <w:b/>
                <w:bCs/>
                <w:color w:val="000000"/>
                <w:szCs w:val="22"/>
              </w:rPr>
            </w:pPr>
            <w:r w:rsidRPr="00BD5437">
              <w:rPr>
                <w:rFonts w:cs="Arial"/>
                <w:b/>
                <w:color w:val="000000"/>
                <w:szCs w:val="22"/>
              </w:rPr>
              <w:t>Відповідальний виконавець проєкту:</w:t>
            </w:r>
          </w:p>
        </w:tc>
        <w:tc>
          <w:tcPr>
            <w:tcW w:w="6796" w:type="dxa"/>
            <w:gridSpan w:val="8"/>
            <w:vAlign w:val="center"/>
          </w:tcPr>
          <w:p w14:paraId="676C4138" w14:textId="1D50F0D1" w:rsidR="00CB33C7" w:rsidRPr="00BD5437" w:rsidRDefault="00CB33C7" w:rsidP="00234F2C">
            <w:pPr>
              <w:jc w:val="both"/>
              <w:rPr>
                <w:rFonts w:cs="Arial"/>
                <w:color w:val="000000"/>
                <w:szCs w:val="22"/>
                <w:lang w:eastAsia="it-IT"/>
              </w:rPr>
            </w:pPr>
            <w:r w:rsidRPr="00BD5437">
              <w:rPr>
                <w:rFonts w:cs="Arial"/>
                <w:color w:val="000000"/>
                <w:szCs w:val="22"/>
                <w:lang w:eastAsia="it-IT"/>
              </w:rPr>
              <w:t>Управління ЖКГ.</w:t>
            </w:r>
          </w:p>
        </w:tc>
      </w:tr>
      <w:tr w:rsidR="00CB33C7" w:rsidRPr="00BD5437" w14:paraId="5445A8AD" w14:textId="77777777" w:rsidTr="00234F2C">
        <w:trPr>
          <w:jc w:val="right"/>
        </w:trPr>
        <w:tc>
          <w:tcPr>
            <w:tcW w:w="3423" w:type="dxa"/>
            <w:shd w:val="clear" w:color="auto" w:fill="FFFFFF"/>
            <w:vAlign w:val="center"/>
          </w:tcPr>
          <w:p w14:paraId="3CAFD58F" w14:textId="77777777" w:rsidR="00CB33C7" w:rsidRPr="00BD5437" w:rsidRDefault="00CB33C7" w:rsidP="00BD5437">
            <w:pPr>
              <w:rPr>
                <w:rFonts w:cs="Arial"/>
                <w:b/>
                <w:bCs/>
                <w:color w:val="000000"/>
                <w:szCs w:val="22"/>
              </w:rPr>
            </w:pPr>
            <w:r w:rsidRPr="00BD5437">
              <w:rPr>
                <w:rFonts w:cs="Arial"/>
                <w:b/>
                <w:bCs/>
                <w:color w:val="000000"/>
                <w:szCs w:val="22"/>
              </w:rPr>
              <w:t>Інше:</w:t>
            </w:r>
          </w:p>
        </w:tc>
        <w:tc>
          <w:tcPr>
            <w:tcW w:w="6796" w:type="dxa"/>
            <w:gridSpan w:val="8"/>
            <w:vAlign w:val="center"/>
          </w:tcPr>
          <w:p w14:paraId="40A0A7F7" w14:textId="77777777" w:rsidR="00CB33C7" w:rsidRPr="00BD5437" w:rsidRDefault="00CB33C7" w:rsidP="00BD5437">
            <w:pPr>
              <w:rPr>
                <w:rFonts w:cs="Arial"/>
                <w:color w:val="000000"/>
                <w:szCs w:val="22"/>
                <w:lang w:eastAsia="it-IT"/>
              </w:rPr>
            </w:pPr>
          </w:p>
          <w:p w14:paraId="6E58807A" w14:textId="77777777" w:rsidR="00CB33C7" w:rsidRPr="00BD5437" w:rsidRDefault="00CB33C7" w:rsidP="00BD5437">
            <w:pPr>
              <w:rPr>
                <w:rFonts w:cs="Arial"/>
                <w:color w:val="000000"/>
                <w:szCs w:val="22"/>
                <w:lang w:eastAsia="it-IT"/>
              </w:rPr>
            </w:pPr>
          </w:p>
        </w:tc>
      </w:tr>
    </w:tbl>
    <w:p w14:paraId="0F64E578" w14:textId="77777777" w:rsidR="00CB33C7" w:rsidRPr="00C2587D" w:rsidRDefault="00CB33C7" w:rsidP="00CB33C7"/>
    <w:p w14:paraId="7EF62204" w14:textId="77777777" w:rsidR="00EA6E27" w:rsidRPr="00C2587D" w:rsidRDefault="00EA6E27" w:rsidP="00CB33C7">
      <w:pPr>
        <w:jc w:val="center"/>
        <w:rPr>
          <w:rFonts w:cs="Arial"/>
          <w:b/>
          <w:color w:val="000000"/>
          <w:szCs w:val="22"/>
        </w:rPr>
      </w:pPr>
    </w:p>
    <w:p w14:paraId="2CC3E04C" w14:textId="77777777" w:rsidR="00CB33C7" w:rsidRPr="00C2587D" w:rsidRDefault="00CB33C7" w:rsidP="00CB33C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718083D2" w14:textId="77777777" w:rsidR="00CB33C7" w:rsidRPr="00C2587D" w:rsidRDefault="00CB33C7" w:rsidP="00CB33C7">
      <w:pPr>
        <w:jc w:val="center"/>
        <w:rPr>
          <w:rFonts w:cs="Arial"/>
          <w:b/>
          <w:color w:val="000000"/>
          <w:szCs w:val="22"/>
        </w:rPr>
      </w:pPr>
      <w:r w:rsidRPr="00C2587D">
        <w:rPr>
          <w:rFonts w:cs="Arial"/>
          <w:b/>
          <w:color w:val="000000"/>
          <w:szCs w:val="22"/>
        </w:rPr>
        <w:t>до Плану заходів з реалізації Стратегії</w:t>
      </w:r>
    </w:p>
    <w:p w14:paraId="6A4E02AD" w14:textId="77777777" w:rsidR="00CB33C7" w:rsidRPr="00C2587D" w:rsidRDefault="00CB33C7" w:rsidP="00CB33C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3"/>
        <w:gridCol w:w="1254"/>
        <w:gridCol w:w="1411"/>
        <w:gridCol w:w="58"/>
        <w:gridCol w:w="1223"/>
        <w:gridCol w:w="47"/>
        <w:gridCol w:w="1229"/>
        <w:gridCol w:w="41"/>
        <w:gridCol w:w="1533"/>
      </w:tblGrid>
      <w:tr w:rsidR="00CB33C7" w:rsidRPr="00B55EA7" w14:paraId="5EAE6663" w14:textId="77777777" w:rsidTr="00B55EA7">
        <w:trPr>
          <w:jc w:val="right"/>
        </w:trPr>
        <w:tc>
          <w:tcPr>
            <w:tcW w:w="3423" w:type="dxa"/>
            <w:vAlign w:val="center"/>
          </w:tcPr>
          <w:p w14:paraId="4DC99C8F" w14:textId="77777777" w:rsidR="00CB33C7" w:rsidRPr="00B55EA7" w:rsidRDefault="00CB33C7" w:rsidP="00B55EA7">
            <w:pPr>
              <w:rPr>
                <w:rFonts w:cs="Arial"/>
                <w:b/>
                <w:bCs/>
                <w:color w:val="000000"/>
                <w:szCs w:val="22"/>
              </w:rPr>
            </w:pPr>
            <w:r w:rsidRPr="00B55EA7">
              <w:rPr>
                <w:rFonts w:cs="Arial"/>
                <w:b/>
                <w:bCs/>
                <w:color w:val="000000"/>
                <w:szCs w:val="22"/>
              </w:rPr>
              <w:t>Назва проєкту:</w:t>
            </w:r>
          </w:p>
        </w:tc>
        <w:tc>
          <w:tcPr>
            <w:tcW w:w="6796" w:type="dxa"/>
            <w:gridSpan w:val="8"/>
          </w:tcPr>
          <w:p w14:paraId="4A880180" w14:textId="77777777" w:rsidR="00CB33C7" w:rsidRPr="00B55EA7" w:rsidRDefault="00CB33C7" w:rsidP="00B55EA7">
            <w:pPr>
              <w:jc w:val="both"/>
              <w:rPr>
                <w:rFonts w:cs="Arial"/>
                <w:b/>
                <w:szCs w:val="22"/>
                <w:lang w:eastAsia="it-IT"/>
              </w:rPr>
            </w:pPr>
            <w:r w:rsidRPr="00B55EA7">
              <w:rPr>
                <w:rFonts w:eastAsia="Arial" w:cs="Arial"/>
                <w:b/>
                <w:color w:val="000000" w:themeColor="text1"/>
                <w:szCs w:val="22"/>
                <w:lang w:eastAsia="en-US"/>
              </w:rPr>
              <w:t>Капітальний ремонт дорожнього покриття прибудинкової території по вул. 151 Стрілецької дивізії, 6 в м. Жмеринка Вінницької області</w:t>
            </w:r>
          </w:p>
        </w:tc>
      </w:tr>
      <w:tr w:rsidR="00CB33C7" w:rsidRPr="00B55EA7" w14:paraId="72A6D2E3" w14:textId="77777777" w:rsidTr="00B55EA7">
        <w:trPr>
          <w:jc w:val="right"/>
        </w:trPr>
        <w:tc>
          <w:tcPr>
            <w:tcW w:w="3423" w:type="dxa"/>
          </w:tcPr>
          <w:p w14:paraId="639ACA77" w14:textId="77777777" w:rsidR="00CB33C7" w:rsidRPr="00B55EA7" w:rsidRDefault="00CB33C7" w:rsidP="00B55EA7">
            <w:pPr>
              <w:rPr>
                <w:rFonts w:cs="Arial"/>
                <w:szCs w:val="22"/>
                <w:lang w:eastAsia="it-IT"/>
              </w:rPr>
            </w:pPr>
            <w:r w:rsidRPr="00B55EA7">
              <w:rPr>
                <w:rFonts w:cs="Arial"/>
                <w:b/>
                <w:bCs/>
                <w:szCs w:val="22"/>
              </w:rPr>
              <w:t>Ваші контакти</w:t>
            </w:r>
            <w:r w:rsidRPr="00B55EA7">
              <w:rPr>
                <w:rFonts w:cs="Arial"/>
                <w:szCs w:val="22"/>
                <w:lang w:eastAsia="it-IT"/>
              </w:rPr>
              <w:t>:</w:t>
            </w:r>
          </w:p>
          <w:p w14:paraId="445623A7" w14:textId="77777777" w:rsidR="00CB33C7" w:rsidRPr="00B55EA7" w:rsidRDefault="00CB33C7" w:rsidP="00B55EA7">
            <w:pPr>
              <w:rPr>
                <w:rFonts w:cs="Arial"/>
                <w:b/>
                <w:bCs/>
                <w:szCs w:val="22"/>
              </w:rPr>
            </w:pPr>
            <w:r w:rsidRPr="00B55EA7">
              <w:rPr>
                <w:rFonts w:cs="Arial"/>
                <w:szCs w:val="22"/>
                <w:lang w:eastAsia="it-IT"/>
              </w:rPr>
              <w:t>Назва установи, організації, підприємства</w:t>
            </w:r>
          </w:p>
        </w:tc>
        <w:tc>
          <w:tcPr>
            <w:tcW w:w="6796" w:type="dxa"/>
            <w:gridSpan w:val="8"/>
          </w:tcPr>
          <w:p w14:paraId="37A29124" w14:textId="77777777" w:rsidR="00CB33C7" w:rsidRPr="00B55EA7" w:rsidRDefault="00CB33C7" w:rsidP="00B55EA7">
            <w:pPr>
              <w:rPr>
                <w:rFonts w:cs="Arial"/>
                <w:szCs w:val="22"/>
                <w:lang w:eastAsia="it-IT"/>
              </w:rPr>
            </w:pPr>
            <w:r w:rsidRPr="00B55EA7">
              <w:rPr>
                <w:rFonts w:cs="Arial"/>
                <w:szCs w:val="22"/>
                <w:lang w:eastAsia="it-IT"/>
              </w:rPr>
              <w:t>Управління житлово-комунального господарства Жмеринської міської ради</w:t>
            </w:r>
          </w:p>
        </w:tc>
      </w:tr>
      <w:tr w:rsidR="00CB33C7" w:rsidRPr="00B55EA7" w14:paraId="24DFCB78" w14:textId="77777777" w:rsidTr="00B55EA7">
        <w:trPr>
          <w:jc w:val="right"/>
        </w:trPr>
        <w:tc>
          <w:tcPr>
            <w:tcW w:w="3423" w:type="dxa"/>
          </w:tcPr>
          <w:p w14:paraId="04F5533E" w14:textId="77777777" w:rsidR="00CB33C7" w:rsidRPr="00B55EA7" w:rsidRDefault="00CB33C7" w:rsidP="00B55EA7">
            <w:pPr>
              <w:rPr>
                <w:rFonts w:cs="Arial"/>
                <w:b/>
                <w:bCs/>
                <w:szCs w:val="22"/>
              </w:rPr>
            </w:pPr>
            <w:r w:rsidRPr="00B55EA7">
              <w:rPr>
                <w:rFonts w:cs="Arial"/>
                <w:szCs w:val="22"/>
                <w:lang w:eastAsia="it-IT"/>
              </w:rPr>
              <w:t>Прізвище Ім’я По-батькові:</w:t>
            </w:r>
          </w:p>
        </w:tc>
        <w:tc>
          <w:tcPr>
            <w:tcW w:w="6796" w:type="dxa"/>
            <w:gridSpan w:val="8"/>
          </w:tcPr>
          <w:p w14:paraId="52871FE7" w14:textId="77777777" w:rsidR="00CB33C7" w:rsidRPr="00B55EA7" w:rsidRDefault="00CB33C7" w:rsidP="00B55EA7">
            <w:pPr>
              <w:rPr>
                <w:rFonts w:cs="Arial"/>
                <w:szCs w:val="22"/>
                <w:lang w:eastAsia="it-IT"/>
              </w:rPr>
            </w:pPr>
            <w:r w:rsidRPr="00B55EA7">
              <w:rPr>
                <w:rFonts w:cs="Arial"/>
                <w:szCs w:val="22"/>
                <w:lang w:eastAsia="it-IT"/>
              </w:rPr>
              <w:t>Оленич Андрій Васильович</w:t>
            </w:r>
          </w:p>
        </w:tc>
      </w:tr>
      <w:tr w:rsidR="00CB33C7" w:rsidRPr="00B55EA7" w14:paraId="3DD34E9B" w14:textId="77777777" w:rsidTr="00B55EA7">
        <w:trPr>
          <w:jc w:val="right"/>
        </w:trPr>
        <w:tc>
          <w:tcPr>
            <w:tcW w:w="3423" w:type="dxa"/>
          </w:tcPr>
          <w:p w14:paraId="388D794F" w14:textId="77777777" w:rsidR="00CB33C7" w:rsidRPr="00B55EA7" w:rsidRDefault="00CB33C7" w:rsidP="00B55EA7">
            <w:pPr>
              <w:rPr>
                <w:rFonts w:cs="Arial"/>
                <w:b/>
                <w:bCs/>
                <w:szCs w:val="22"/>
              </w:rPr>
            </w:pPr>
            <w:r w:rsidRPr="00B55EA7">
              <w:rPr>
                <w:rFonts w:cs="Arial"/>
                <w:szCs w:val="22"/>
                <w:lang w:eastAsia="it-IT"/>
              </w:rPr>
              <w:t>Телефон (мобільний):</w:t>
            </w:r>
          </w:p>
        </w:tc>
        <w:tc>
          <w:tcPr>
            <w:tcW w:w="6796" w:type="dxa"/>
            <w:gridSpan w:val="8"/>
          </w:tcPr>
          <w:p w14:paraId="2673A6D0" w14:textId="77777777" w:rsidR="00CB33C7" w:rsidRPr="00B55EA7" w:rsidRDefault="00CB33C7" w:rsidP="00B55EA7">
            <w:pPr>
              <w:rPr>
                <w:rFonts w:cs="Arial"/>
                <w:szCs w:val="22"/>
                <w:lang w:eastAsia="it-IT"/>
              </w:rPr>
            </w:pPr>
            <w:r w:rsidRPr="00B55EA7">
              <w:rPr>
                <w:rFonts w:cs="Arial"/>
                <w:szCs w:val="22"/>
                <w:lang w:eastAsia="it-IT"/>
              </w:rPr>
              <w:t>0972561907</w:t>
            </w:r>
          </w:p>
        </w:tc>
      </w:tr>
      <w:tr w:rsidR="00CB33C7" w:rsidRPr="00B55EA7" w14:paraId="634747B5" w14:textId="77777777" w:rsidTr="00B55EA7">
        <w:trPr>
          <w:jc w:val="right"/>
        </w:trPr>
        <w:tc>
          <w:tcPr>
            <w:tcW w:w="3423" w:type="dxa"/>
          </w:tcPr>
          <w:p w14:paraId="6E7B705D" w14:textId="77777777" w:rsidR="00CB33C7" w:rsidRPr="00B55EA7" w:rsidRDefault="00CB33C7" w:rsidP="00B55EA7">
            <w:pPr>
              <w:rPr>
                <w:rFonts w:cs="Arial"/>
                <w:b/>
                <w:bCs/>
                <w:szCs w:val="22"/>
              </w:rPr>
            </w:pPr>
            <w:r w:rsidRPr="00B55EA7">
              <w:rPr>
                <w:rFonts w:cs="Arial"/>
                <w:szCs w:val="22"/>
                <w:lang w:eastAsia="it-IT"/>
              </w:rPr>
              <w:t>Електронна адреса:</w:t>
            </w:r>
          </w:p>
        </w:tc>
        <w:tc>
          <w:tcPr>
            <w:tcW w:w="6796" w:type="dxa"/>
            <w:gridSpan w:val="8"/>
          </w:tcPr>
          <w:p w14:paraId="10929ABF" w14:textId="77777777" w:rsidR="00CB33C7" w:rsidRPr="00B55EA7" w:rsidRDefault="00D85FFD" w:rsidP="00B55EA7">
            <w:pPr>
              <w:rPr>
                <w:rFonts w:cs="Arial"/>
                <w:szCs w:val="22"/>
                <w:lang w:eastAsia="it-IT"/>
              </w:rPr>
            </w:pPr>
            <w:hyperlink r:id="rId56" w:history="1">
              <w:r w:rsidR="00CB33C7" w:rsidRPr="00B55EA7">
                <w:rPr>
                  <w:rStyle w:val="af0"/>
                  <w:rFonts w:cs="Arial"/>
                  <w:noProof w:val="0"/>
                  <w:sz w:val="22"/>
                  <w:szCs w:val="22"/>
                  <w:lang w:eastAsia="it-IT"/>
                </w:rPr>
                <w:t>Aolenych03@ukr.net</w:t>
              </w:r>
            </w:hyperlink>
          </w:p>
        </w:tc>
      </w:tr>
      <w:tr w:rsidR="00CB33C7" w:rsidRPr="00B55EA7" w14:paraId="0FD923A0" w14:textId="77777777" w:rsidTr="00B55EA7">
        <w:trPr>
          <w:jc w:val="right"/>
        </w:trPr>
        <w:tc>
          <w:tcPr>
            <w:tcW w:w="3423" w:type="dxa"/>
            <w:vAlign w:val="center"/>
          </w:tcPr>
          <w:p w14:paraId="4096DF0B" w14:textId="77777777" w:rsidR="00CB33C7" w:rsidRPr="00B55EA7" w:rsidRDefault="00CB33C7" w:rsidP="00B55EA7">
            <w:pPr>
              <w:pStyle w:val="6"/>
              <w:spacing w:before="0" w:after="0"/>
              <w:rPr>
                <w:rFonts w:ascii="Arial" w:hAnsi="Arial" w:cs="Arial"/>
                <w:color w:val="000000"/>
                <w:lang w:val="uk-UA"/>
              </w:rPr>
            </w:pPr>
            <w:r w:rsidRPr="00B55EA7">
              <w:rPr>
                <w:rFonts w:ascii="Arial" w:hAnsi="Arial" w:cs="Arial"/>
                <w:color w:val="000000"/>
                <w:lang w:val="uk-UA"/>
              </w:rPr>
              <w:t>Номер і назва завдання з Стратегії</w:t>
            </w:r>
            <w:r w:rsidRPr="00B55EA7">
              <w:rPr>
                <w:rFonts w:ascii="Arial" w:hAnsi="Arial" w:cs="Arial"/>
                <w:lang w:val="uk-UA" w:eastAsia="it-IT"/>
              </w:rPr>
              <w:t xml:space="preserve"> </w:t>
            </w:r>
            <w:r w:rsidRPr="00B55EA7">
              <w:rPr>
                <w:rFonts w:ascii="Arial" w:hAnsi="Arial" w:cs="Arial"/>
                <w:color w:val="000000"/>
                <w:lang w:val="uk-UA"/>
              </w:rPr>
              <w:t xml:space="preserve">розвитку Жмеринської міської </w:t>
            </w:r>
          </w:p>
        </w:tc>
        <w:tc>
          <w:tcPr>
            <w:tcW w:w="6796" w:type="dxa"/>
            <w:gridSpan w:val="8"/>
            <w:vAlign w:val="center"/>
          </w:tcPr>
          <w:p w14:paraId="76F77F3C" w14:textId="77777777" w:rsidR="00CB33C7" w:rsidRPr="00B55EA7" w:rsidRDefault="00CB33C7" w:rsidP="00B55EA7">
            <w:pPr>
              <w:contextualSpacing/>
              <w:rPr>
                <w:rFonts w:eastAsia="Lucida Sans Unicode" w:cs="Arial"/>
                <w:kern w:val="1"/>
                <w:szCs w:val="22"/>
                <w:lang w:eastAsia="ar-SA"/>
              </w:rPr>
            </w:pPr>
            <w:r w:rsidRPr="00B55EA7">
              <w:rPr>
                <w:rFonts w:eastAsia="Lucida Sans Unicode" w:cs="Arial"/>
                <w:kern w:val="1"/>
                <w:szCs w:val="22"/>
                <w:lang w:eastAsia="ar-SA"/>
              </w:rPr>
              <w:t>В.1.1.3. Проведення будівництва, реконструкції та капітального ремонту дорожнього покриття вулиць  та тротуарів в населених пунктах територіальної громади..</w:t>
            </w:r>
          </w:p>
        </w:tc>
      </w:tr>
      <w:tr w:rsidR="00CB33C7" w:rsidRPr="00B55EA7" w14:paraId="7B755204" w14:textId="77777777" w:rsidTr="00B55EA7">
        <w:trPr>
          <w:jc w:val="right"/>
        </w:trPr>
        <w:tc>
          <w:tcPr>
            <w:tcW w:w="3423" w:type="dxa"/>
            <w:vAlign w:val="center"/>
          </w:tcPr>
          <w:p w14:paraId="18386A4C" w14:textId="77777777" w:rsidR="00CB33C7" w:rsidRPr="00B55EA7" w:rsidRDefault="00CB33C7" w:rsidP="00B55EA7">
            <w:pPr>
              <w:rPr>
                <w:rFonts w:cs="Arial"/>
                <w:b/>
                <w:bCs/>
                <w:color w:val="000000"/>
                <w:szCs w:val="22"/>
              </w:rPr>
            </w:pPr>
            <w:r w:rsidRPr="00B55EA7">
              <w:rPr>
                <w:rFonts w:cs="Arial"/>
                <w:b/>
                <w:bCs/>
                <w:color w:val="000000"/>
                <w:szCs w:val="22"/>
              </w:rPr>
              <w:t>Мета проєкту:</w:t>
            </w:r>
          </w:p>
        </w:tc>
        <w:tc>
          <w:tcPr>
            <w:tcW w:w="6796" w:type="dxa"/>
            <w:gridSpan w:val="8"/>
          </w:tcPr>
          <w:p w14:paraId="4752AFCA" w14:textId="77777777" w:rsidR="00CB33C7" w:rsidRPr="00B55EA7" w:rsidRDefault="00CB33C7" w:rsidP="00B55EA7">
            <w:pPr>
              <w:jc w:val="both"/>
              <w:rPr>
                <w:rFonts w:cs="Arial"/>
                <w:szCs w:val="22"/>
                <w:lang w:eastAsia="it-IT"/>
              </w:rPr>
            </w:pPr>
            <w:r w:rsidRPr="00B55EA7">
              <w:rPr>
                <w:rFonts w:cs="Arial"/>
                <w:szCs w:val="22"/>
                <w:lang w:eastAsia="it-IT"/>
              </w:rPr>
              <w:t>Забезпечення  населення громади м. Жмеринка якісною інфраструктурою, а саме дорогами з рівним покриттям.</w:t>
            </w:r>
          </w:p>
          <w:p w14:paraId="4A2EAB7A" w14:textId="77777777" w:rsidR="00CB33C7" w:rsidRPr="00B55EA7" w:rsidRDefault="00CB33C7" w:rsidP="00B55EA7">
            <w:pPr>
              <w:jc w:val="both"/>
              <w:rPr>
                <w:rFonts w:cs="Arial"/>
                <w:szCs w:val="22"/>
                <w:lang w:eastAsia="it-IT"/>
              </w:rPr>
            </w:pPr>
            <w:r w:rsidRPr="00B55EA7">
              <w:rPr>
                <w:rFonts w:cs="Arial"/>
                <w:szCs w:val="22"/>
                <w:lang w:eastAsia="it-IT"/>
              </w:rPr>
              <w:t>Мешканці громади отримують більш комфортні   та безпечні умови проживання та перебування в населеному пункті.</w:t>
            </w:r>
          </w:p>
        </w:tc>
      </w:tr>
      <w:tr w:rsidR="00CB33C7" w:rsidRPr="00B55EA7" w14:paraId="613FE6E4" w14:textId="77777777" w:rsidTr="00B55EA7">
        <w:trPr>
          <w:jc w:val="right"/>
        </w:trPr>
        <w:tc>
          <w:tcPr>
            <w:tcW w:w="3423" w:type="dxa"/>
            <w:vAlign w:val="center"/>
          </w:tcPr>
          <w:p w14:paraId="5ED85677" w14:textId="77777777" w:rsidR="00CB33C7" w:rsidRPr="00B55EA7" w:rsidRDefault="00CB33C7" w:rsidP="00B55EA7">
            <w:pPr>
              <w:rPr>
                <w:rFonts w:cs="Arial"/>
                <w:b/>
                <w:bCs/>
                <w:color w:val="000000"/>
                <w:szCs w:val="22"/>
              </w:rPr>
            </w:pPr>
            <w:r w:rsidRPr="00B55EA7">
              <w:rPr>
                <w:rFonts w:cs="Arial"/>
                <w:b/>
                <w:bCs/>
                <w:color w:val="000000"/>
                <w:szCs w:val="22"/>
              </w:rPr>
              <w:t>Цілі проєкту:</w:t>
            </w:r>
          </w:p>
        </w:tc>
        <w:tc>
          <w:tcPr>
            <w:tcW w:w="6796" w:type="dxa"/>
            <w:gridSpan w:val="8"/>
          </w:tcPr>
          <w:p w14:paraId="2C7A0C8A" w14:textId="77777777" w:rsidR="00CB33C7" w:rsidRPr="00B55EA7" w:rsidRDefault="00CB33C7" w:rsidP="00B55EA7">
            <w:pPr>
              <w:rPr>
                <w:rFonts w:cs="Arial"/>
                <w:szCs w:val="22"/>
                <w:lang w:eastAsia="it-IT"/>
              </w:rPr>
            </w:pPr>
            <w:r w:rsidRPr="00B55EA7">
              <w:rPr>
                <w:rFonts w:cs="Arial"/>
                <w:szCs w:val="22"/>
                <w:lang w:eastAsia="it-IT"/>
              </w:rPr>
              <w:t>Покращити інфраструктуру   дорожнього покриття в м. Жмеринка</w:t>
            </w:r>
          </w:p>
        </w:tc>
      </w:tr>
      <w:tr w:rsidR="00CB33C7" w:rsidRPr="00B55EA7" w14:paraId="39626F5F" w14:textId="77777777" w:rsidTr="00DD6DC0">
        <w:trPr>
          <w:jc w:val="right"/>
        </w:trPr>
        <w:tc>
          <w:tcPr>
            <w:tcW w:w="3423" w:type="dxa"/>
            <w:vAlign w:val="center"/>
          </w:tcPr>
          <w:p w14:paraId="6B89B415" w14:textId="77777777" w:rsidR="00CB33C7" w:rsidRPr="00B55EA7" w:rsidRDefault="00CB33C7" w:rsidP="00B55EA7">
            <w:pPr>
              <w:autoSpaceDE w:val="0"/>
              <w:autoSpaceDN w:val="0"/>
              <w:adjustRightInd w:val="0"/>
              <w:rPr>
                <w:rFonts w:cs="Arial"/>
                <w:b/>
                <w:color w:val="000000"/>
                <w:szCs w:val="22"/>
              </w:rPr>
            </w:pPr>
            <w:r w:rsidRPr="00B55EA7">
              <w:rPr>
                <w:rFonts w:cs="Arial"/>
                <w:b/>
                <w:color w:val="000000"/>
                <w:szCs w:val="22"/>
              </w:rPr>
              <w:t>Територія на яку проєкт матиме вплив:</w:t>
            </w:r>
          </w:p>
        </w:tc>
        <w:tc>
          <w:tcPr>
            <w:tcW w:w="6796" w:type="dxa"/>
            <w:gridSpan w:val="8"/>
            <w:vAlign w:val="center"/>
          </w:tcPr>
          <w:p w14:paraId="1CCE821E" w14:textId="404D60F1" w:rsidR="00CB33C7" w:rsidRPr="00B55EA7" w:rsidRDefault="00CB33C7" w:rsidP="00DD6DC0">
            <w:pPr>
              <w:rPr>
                <w:rFonts w:cs="Arial"/>
                <w:szCs w:val="22"/>
                <w:lang w:eastAsia="it-IT"/>
              </w:rPr>
            </w:pPr>
            <w:r w:rsidRPr="00B55EA7">
              <w:rPr>
                <w:rFonts w:cs="Arial"/>
                <w:szCs w:val="22"/>
                <w:lang w:eastAsia="it-IT"/>
              </w:rPr>
              <w:t xml:space="preserve">Території </w:t>
            </w:r>
            <w:r w:rsidR="00B55EA7" w:rsidRPr="00B55EA7">
              <w:rPr>
                <w:rFonts w:cs="Arial"/>
                <w:szCs w:val="22"/>
                <w:lang w:eastAsia="it-IT"/>
              </w:rPr>
              <w:t>Жмеринська</w:t>
            </w:r>
            <w:r w:rsidR="00B55EA7">
              <w:rPr>
                <w:rFonts w:cs="Arial"/>
                <w:szCs w:val="22"/>
                <w:lang w:eastAsia="it-IT"/>
              </w:rPr>
              <w:t xml:space="preserve"> </w:t>
            </w:r>
            <w:r w:rsidRPr="00B55EA7">
              <w:rPr>
                <w:rFonts w:cs="Arial"/>
                <w:szCs w:val="22"/>
                <w:lang w:eastAsia="it-IT"/>
              </w:rPr>
              <w:t>М</w:t>
            </w:r>
            <w:r w:rsidR="00B55EA7">
              <w:rPr>
                <w:rFonts w:cs="Arial"/>
                <w:szCs w:val="22"/>
                <w:lang w:eastAsia="it-IT"/>
              </w:rPr>
              <w:t>Т</w:t>
            </w:r>
            <w:r w:rsidRPr="00B55EA7">
              <w:rPr>
                <w:rFonts w:cs="Arial"/>
                <w:szCs w:val="22"/>
                <w:lang w:eastAsia="it-IT"/>
              </w:rPr>
              <w:t xml:space="preserve">Г                                                                                                                                                                                                                                                                     </w:t>
            </w:r>
          </w:p>
        </w:tc>
      </w:tr>
      <w:tr w:rsidR="00CB33C7" w:rsidRPr="00B55EA7" w14:paraId="30D0E196" w14:textId="77777777" w:rsidTr="00DD6DC0">
        <w:trPr>
          <w:jc w:val="right"/>
        </w:trPr>
        <w:tc>
          <w:tcPr>
            <w:tcW w:w="3423" w:type="dxa"/>
            <w:vAlign w:val="center"/>
          </w:tcPr>
          <w:p w14:paraId="10576B61" w14:textId="77777777" w:rsidR="00CB33C7" w:rsidRPr="00B55EA7" w:rsidRDefault="00CB33C7" w:rsidP="00B55EA7">
            <w:pPr>
              <w:autoSpaceDE w:val="0"/>
              <w:autoSpaceDN w:val="0"/>
              <w:adjustRightInd w:val="0"/>
              <w:rPr>
                <w:rFonts w:cs="Arial"/>
                <w:b/>
                <w:color w:val="000000"/>
                <w:szCs w:val="22"/>
              </w:rPr>
            </w:pPr>
            <w:r w:rsidRPr="00B55EA7">
              <w:rPr>
                <w:rFonts w:cs="Arial"/>
                <w:b/>
                <w:color w:val="000000"/>
                <w:szCs w:val="22"/>
              </w:rPr>
              <w:t>Цільові групи проєкту та кількість отримувачів вигоди</w:t>
            </w:r>
          </w:p>
        </w:tc>
        <w:tc>
          <w:tcPr>
            <w:tcW w:w="6796" w:type="dxa"/>
            <w:gridSpan w:val="8"/>
            <w:vAlign w:val="center"/>
          </w:tcPr>
          <w:p w14:paraId="04BF0FE1" w14:textId="77777777" w:rsidR="00CB33C7" w:rsidRPr="00B55EA7" w:rsidRDefault="00CB33C7" w:rsidP="00DD6DC0">
            <w:pPr>
              <w:rPr>
                <w:rFonts w:cs="Arial"/>
                <w:szCs w:val="22"/>
                <w:lang w:eastAsia="it-IT"/>
              </w:rPr>
            </w:pPr>
            <w:r w:rsidRPr="00B55EA7">
              <w:rPr>
                <w:rFonts w:cs="Arial"/>
                <w:szCs w:val="22"/>
                <w:lang w:eastAsia="it-IT"/>
              </w:rPr>
              <w:t>Жителі м. Жмеринка в кількості 34353 містян</w:t>
            </w:r>
          </w:p>
        </w:tc>
      </w:tr>
      <w:tr w:rsidR="00CB33C7" w:rsidRPr="00B55EA7" w14:paraId="0DFE3292" w14:textId="77777777" w:rsidTr="00B55EA7">
        <w:trPr>
          <w:jc w:val="right"/>
        </w:trPr>
        <w:tc>
          <w:tcPr>
            <w:tcW w:w="3423" w:type="dxa"/>
            <w:shd w:val="clear" w:color="auto" w:fill="FFFFFF"/>
            <w:vAlign w:val="center"/>
          </w:tcPr>
          <w:p w14:paraId="586B0FD5" w14:textId="77777777" w:rsidR="00CB33C7" w:rsidRPr="00B55EA7" w:rsidRDefault="00CB33C7" w:rsidP="00B55EA7">
            <w:pPr>
              <w:rPr>
                <w:rFonts w:cs="Arial"/>
                <w:b/>
                <w:bCs/>
                <w:color w:val="000000"/>
                <w:szCs w:val="22"/>
              </w:rPr>
            </w:pPr>
            <w:r w:rsidRPr="00B55EA7">
              <w:rPr>
                <w:rFonts w:cs="Arial"/>
                <w:b/>
                <w:bCs/>
                <w:color w:val="000000"/>
                <w:szCs w:val="22"/>
              </w:rPr>
              <w:t>Стислий опис проєкту:</w:t>
            </w:r>
          </w:p>
        </w:tc>
        <w:tc>
          <w:tcPr>
            <w:tcW w:w="6796" w:type="dxa"/>
            <w:gridSpan w:val="8"/>
          </w:tcPr>
          <w:p w14:paraId="1E4B3E24" w14:textId="77777777" w:rsidR="00CB33C7" w:rsidRPr="00B55EA7" w:rsidRDefault="00CB33C7" w:rsidP="00DD6DC0">
            <w:pPr>
              <w:pStyle w:val="ad"/>
              <w:shd w:val="clear" w:color="auto" w:fill="FFFFFF"/>
              <w:spacing w:before="0" w:beforeAutospacing="0" w:after="0" w:afterAutospacing="0"/>
              <w:ind w:firstLine="148"/>
              <w:jc w:val="both"/>
              <w:rPr>
                <w:rFonts w:cs="Arial"/>
                <w:szCs w:val="22"/>
              </w:rPr>
            </w:pPr>
            <w:r w:rsidRPr="00B55EA7">
              <w:rPr>
                <w:rFonts w:cs="Arial"/>
                <w:szCs w:val="22"/>
              </w:rPr>
              <w:t>Якість доріг забезпечує роботу всіх галузей промисловості, соціальний розвиток суспільства. Забезпечує доступ у різні місця населеного пункту, а також безпечне та надійне переміщення людей і транспортування товарів і має надзвичайно важливе значення.</w:t>
            </w:r>
          </w:p>
          <w:p w14:paraId="479BA3CC" w14:textId="77777777" w:rsidR="00CB33C7" w:rsidRPr="00B55EA7" w:rsidRDefault="00CB33C7" w:rsidP="00DD6DC0">
            <w:pPr>
              <w:pStyle w:val="ad"/>
              <w:shd w:val="clear" w:color="auto" w:fill="FFFFFF"/>
              <w:spacing w:before="0" w:beforeAutospacing="0" w:after="0" w:afterAutospacing="0"/>
              <w:ind w:firstLine="148"/>
              <w:jc w:val="both"/>
              <w:rPr>
                <w:rFonts w:cs="Arial"/>
                <w:szCs w:val="22"/>
              </w:rPr>
            </w:pPr>
            <w:r w:rsidRPr="00B55EA7">
              <w:rPr>
                <w:rFonts w:cs="Arial"/>
                <w:szCs w:val="22"/>
              </w:rPr>
              <w:t>Від стану автомобільних доріг залежать витрати на перевезення вантажів та пасажирів, рівень цін, певною мірою зайнятість населення.</w:t>
            </w:r>
          </w:p>
          <w:p w14:paraId="38E7B635" w14:textId="77777777" w:rsidR="00CB33C7" w:rsidRPr="00B55EA7" w:rsidRDefault="00CB33C7" w:rsidP="00DD6DC0">
            <w:pPr>
              <w:pStyle w:val="ad"/>
              <w:shd w:val="clear" w:color="auto" w:fill="FFFFFF"/>
              <w:spacing w:before="0" w:beforeAutospacing="0" w:after="0" w:afterAutospacing="0"/>
              <w:ind w:firstLine="148"/>
              <w:jc w:val="both"/>
              <w:rPr>
                <w:rFonts w:cs="Arial"/>
                <w:szCs w:val="22"/>
                <w:shd w:val="clear" w:color="auto" w:fill="FFFFFF"/>
              </w:rPr>
            </w:pPr>
            <w:r w:rsidRPr="00B55EA7">
              <w:rPr>
                <w:rFonts w:cs="Arial"/>
                <w:szCs w:val="22"/>
              </w:rPr>
              <w:t xml:space="preserve"> </w:t>
            </w:r>
            <w:r w:rsidRPr="00B55EA7">
              <w:rPr>
                <w:rFonts w:cs="Arial"/>
                <w:szCs w:val="22"/>
                <w:shd w:val="clear" w:color="auto" w:fill="FFFFFF"/>
              </w:rPr>
              <w:t>Перш за все викликають занепокоєння ті ділянки доріг, по яких проходять автобусні сполучення, підвезення дітей до навчальних закладів, надання невідкладної медичної допомоги.</w:t>
            </w:r>
          </w:p>
          <w:p w14:paraId="2C45D4B7" w14:textId="77777777" w:rsidR="00CB33C7" w:rsidRPr="00B55EA7" w:rsidRDefault="00CB33C7" w:rsidP="00DD6DC0">
            <w:pPr>
              <w:jc w:val="both"/>
              <w:rPr>
                <w:rFonts w:cs="Arial"/>
                <w:szCs w:val="22"/>
                <w:lang w:eastAsia="it-IT"/>
              </w:rPr>
            </w:pPr>
            <w:r w:rsidRPr="00B55EA7">
              <w:rPr>
                <w:rFonts w:cs="Arial"/>
                <w:szCs w:val="22"/>
                <w:shd w:val="clear" w:color="auto" w:fill="FFFFFF"/>
              </w:rPr>
              <w:t xml:space="preserve">З метою безперебійного перевезення людей, необхідно провести капітальний ремонт дороги </w:t>
            </w:r>
            <w:r w:rsidRPr="00B55EA7">
              <w:rPr>
                <w:rFonts w:eastAsia="Arial" w:cs="Arial"/>
                <w:szCs w:val="22"/>
                <w:lang w:eastAsia="en-US"/>
              </w:rPr>
              <w:t xml:space="preserve">по вул. </w:t>
            </w:r>
            <w:r w:rsidRPr="00B55EA7">
              <w:rPr>
                <w:rFonts w:eastAsia="Arial" w:cs="Arial"/>
                <w:color w:val="000000" w:themeColor="text1"/>
                <w:szCs w:val="22"/>
                <w:lang w:eastAsia="en-US"/>
              </w:rPr>
              <w:t>151 Стрілецької дивізії, 6</w:t>
            </w:r>
            <w:r w:rsidRPr="00B55EA7">
              <w:rPr>
                <w:rFonts w:eastAsia="Arial" w:cs="Arial"/>
                <w:b/>
                <w:color w:val="000000" w:themeColor="text1"/>
                <w:szCs w:val="22"/>
                <w:lang w:eastAsia="en-US"/>
              </w:rPr>
              <w:t xml:space="preserve"> </w:t>
            </w:r>
            <w:r w:rsidRPr="00B55EA7">
              <w:rPr>
                <w:rFonts w:eastAsia="Arial" w:cs="Arial"/>
                <w:szCs w:val="22"/>
                <w:lang w:eastAsia="en-US"/>
              </w:rPr>
              <w:t>в м. Жмеринка</w:t>
            </w:r>
          </w:p>
        </w:tc>
      </w:tr>
      <w:tr w:rsidR="00CB33C7" w:rsidRPr="00B55EA7" w14:paraId="63262415" w14:textId="77777777" w:rsidTr="00B55EA7">
        <w:trPr>
          <w:jc w:val="right"/>
        </w:trPr>
        <w:tc>
          <w:tcPr>
            <w:tcW w:w="3423" w:type="dxa"/>
            <w:shd w:val="clear" w:color="auto" w:fill="FFFFFF"/>
            <w:vAlign w:val="center"/>
          </w:tcPr>
          <w:p w14:paraId="6BE6C674" w14:textId="77777777" w:rsidR="00CB33C7" w:rsidRPr="00B55EA7" w:rsidRDefault="00CB33C7" w:rsidP="00B55EA7">
            <w:pPr>
              <w:rPr>
                <w:rFonts w:cs="Arial"/>
                <w:b/>
                <w:bCs/>
                <w:color w:val="000000"/>
                <w:szCs w:val="22"/>
              </w:rPr>
            </w:pPr>
            <w:r w:rsidRPr="00B55EA7">
              <w:rPr>
                <w:rFonts w:cs="Arial"/>
                <w:b/>
                <w:bCs/>
                <w:color w:val="000000"/>
                <w:szCs w:val="22"/>
              </w:rPr>
              <w:t>Основні заходи проєкту:</w:t>
            </w:r>
          </w:p>
        </w:tc>
        <w:tc>
          <w:tcPr>
            <w:tcW w:w="6796" w:type="dxa"/>
            <w:gridSpan w:val="8"/>
          </w:tcPr>
          <w:p w14:paraId="0F5851EB" w14:textId="57F30184" w:rsidR="00CB33C7" w:rsidRPr="00B55EA7" w:rsidRDefault="00CB33C7" w:rsidP="00DD6DC0">
            <w:pPr>
              <w:jc w:val="both"/>
              <w:rPr>
                <w:rFonts w:cs="Arial"/>
                <w:szCs w:val="22"/>
                <w:lang w:eastAsia="it-IT"/>
              </w:rPr>
            </w:pPr>
            <w:r w:rsidRPr="00B55EA7">
              <w:rPr>
                <w:rFonts w:cs="Arial"/>
                <w:szCs w:val="22"/>
                <w:lang w:eastAsia="it-IT"/>
              </w:rPr>
              <w:t>Створення робочо</w:t>
            </w:r>
            <w:r w:rsidR="001E42A2">
              <w:rPr>
                <w:rFonts w:cs="Arial"/>
                <w:szCs w:val="22"/>
                <w:lang w:eastAsia="it-IT"/>
              </w:rPr>
              <w:t>ї групи з питань реалізації проє</w:t>
            </w:r>
            <w:r w:rsidRPr="00B55EA7">
              <w:rPr>
                <w:rFonts w:cs="Arial"/>
                <w:szCs w:val="22"/>
                <w:lang w:eastAsia="it-IT"/>
              </w:rPr>
              <w:t xml:space="preserve">кту. </w:t>
            </w:r>
          </w:p>
          <w:p w14:paraId="4A4B6EED" w14:textId="77777777" w:rsidR="00CB33C7" w:rsidRPr="00B55EA7" w:rsidRDefault="00CB33C7" w:rsidP="00DD6DC0">
            <w:pPr>
              <w:jc w:val="both"/>
              <w:rPr>
                <w:rFonts w:cs="Arial"/>
                <w:szCs w:val="22"/>
                <w:lang w:eastAsia="it-IT"/>
              </w:rPr>
            </w:pPr>
            <w:r w:rsidRPr="00B55EA7">
              <w:rPr>
                <w:rFonts w:cs="Arial"/>
                <w:szCs w:val="22"/>
                <w:lang w:eastAsia="it-IT"/>
              </w:rPr>
              <w:t>Проведення процедури закупівель (визначення виконавця робіт).</w:t>
            </w:r>
          </w:p>
          <w:p w14:paraId="4AEB49AC" w14:textId="77777777" w:rsidR="00CB33C7" w:rsidRPr="00B55EA7" w:rsidRDefault="00CB33C7" w:rsidP="00DD6DC0">
            <w:pPr>
              <w:jc w:val="both"/>
              <w:rPr>
                <w:rFonts w:cs="Arial"/>
                <w:szCs w:val="22"/>
                <w:lang w:eastAsia="it-IT"/>
              </w:rPr>
            </w:pPr>
            <w:r w:rsidRPr="00B55EA7">
              <w:rPr>
                <w:rFonts w:cs="Arial"/>
                <w:szCs w:val="22"/>
                <w:lang w:eastAsia="it-IT"/>
              </w:rPr>
              <w:t>Укладення договорів з виконавцем робіт, організаціями, що здійснюватимуть  технічний та авторський  нагляд .</w:t>
            </w:r>
          </w:p>
          <w:p w14:paraId="3F762194" w14:textId="77777777" w:rsidR="00CB33C7" w:rsidRPr="00B55EA7" w:rsidRDefault="00CB33C7" w:rsidP="00DD6DC0">
            <w:pPr>
              <w:jc w:val="both"/>
              <w:rPr>
                <w:rFonts w:cs="Arial"/>
                <w:szCs w:val="22"/>
                <w:lang w:eastAsia="it-IT"/>
              </w:rPr>
            </w:pPr>
            <w:r w:rsidRPr="00B55EA7">
              <w:rPr>
                <w:rFonts w:cs="Arial"/>
                <w:szCs w:val="22"/>
                <w:lang w:eastAsia="it-IT"/>
              </w:rPr>
              <w:t xml:space="preserve">Виконання робіт з </w:t>
            </w:r>
            <w:r w:rsidRPr="00B55EA7">
              <w:rPr>
                <w:rFonts w:eastAsia="Arial" w:cs="Arial"/>
                <w:color w:val="000000" w:themeColor="text1"/>
                <w:szCs w:val="22"/>
                <w:lang w:eastAsia="en-US"/>
              </w:rPr>
              <w:t>капітального ремонту 151 Стрілецької дивізії, 6 в м. Жмеринка Вінницької області</w:t>
            </w:r>
            <w:r w:rsidRPr="00B55EA7">
              <w:rPr>
                <w:rFonts w:cs="Arial"/>
                <w:szCs w:val="22"/>
                <w:lang w:eastAsia="it-IT"/>
              </w:rPr>
              <w:t>.</w:t>
            </w:r>
          </w:p>
          <w:p w14:paraId="31F2F94B" w14:textId="77777777" w:rsidR="00CB33C7" w:rsidRPr="00B55EA7" w:rsidRDefault="00CB33C7" w:rsidP="00DD6DC0">
            <w:pPr>
              <w:jc w:val="both"/>
              <w:rPr>
                <w:rFonts w:cs="Arial"/>
                <w:szCs w:val="22"/>
                <w:lang w:eastAsia="it-IT"/>
              </w:rPr>
            </w:pPr>
            <w:r w:rsidRPr="00B55EA7">
              <w:rPr>
                <w:rFonts w:cs="Arial"/>
                <w:szCs w:val="22"/>
                <w:lang w:eastAsia="it-IT"/>
              </w:rPr>
              <w:t>Введення  об’єкту в експлуатацію .</w:t>
            </w:r>
          </w:p>
          <w:p w14:paraId="51527382" w14:textId="0143D121" w:rsidR="00CB33C7" w:rsidRPr="00B55EA7" w:rsidRDefault="00CB33C7" w:rsidP="00DD6DC0">
            <w:pPr>
              <w:jc w:val="both"/>
              <w:rPr>
                <w:rFonts w:cs="Arial"/>
                <w:szCs w:val="22"/>
                <w:lang w:eastAsia="it-IT"/>
              </w:rPr>
            </w:pPr>
            <w:r w:rsidRPr="00B55EA7">
              <w:rPr>
                <w:rFonts w:cs="Arial"/>
                <w:szCs w:val="22"/>
                <w:lang w:eastAsia="it-IT"/>
              </w:rPr>
              <w:t xml:space="preserve">Проведення інформаційних заходів (розміщення  </w:t>
            </w:r>
            <w:r w:rsidR="001E42A2">
              <w:rPr>
                <w:rFonts w:cs="Arial"/>
                <w:szCs w:val="22"/>
                <w:lang w:eastAsia="it-IT"/>
              </w:rPr>
              <w:t>інформації  про реалізацію  проє</w:t>
            </w:r>
            <w:r w:rsidRPr="00B55EA7">
              <w:rPr>
                <w:rFonts w:cs="Arial"/>
                <w:szCs w:val="22"/>
                <w:lang w:eastAsia="it-IT"/>
              </w:rPr>
              <w:t>кту у ЗМІ) .</w:t>
            </w:r>
          </w:p>
        </w:tc>
      </w:tr>
      <w:tr w:rsidR="00CB33C7" w:rsidRPr="00B55EA7" w14:paraId="5AC195A0" w14:textId="77777777" w:rsidTr="00B55EA7">
        <w:trPr>
          <w:jc w:val="right"/>
        </w:trPr>
        <w:tc>
          <w:tcPr>
            <w:tcW w:w="3423" w:type="dxa"/>
            <w:shd w:val="clear" w:color="auto" w:fill="FFFFFF"/>
            <w:vAlign w:val="center"/>
          </w:tcPr>
          <w:p w14:paraId="49431C02" w14:textId="77777777" w:rsidR="00CB33C7" w:rsidRPr="00B55EA7" w:rsidRDefault="00CB33C7" w:rsidP="00B55EA7">
            <w:pPr>
              <w:rPr>
                <w:rFonts w:cs="Arial"/>
                <w:b/>
                <w:bCs/>
                <w:color w:val="000000"/>
                <w:szCs w:val="22"/>
              </w:rPr>
            </w:pPr>
            <w:r w:rsidRPr="00B55EA7">
              <w:rPr>
                <w:rFonts w:cs="Arial"/>
                <w:b/>
                <w:bCs/>
                <w:color w:val="000000"/>
                <w:szCs w:val="22"/>
              </w:rPr>
              <w:t>Індикатори (показники) результативності:</w:t>
            </w:r>
          </w:p>
        </w:tc>
        <w:tc>
          <w:tcPr>
            <w:tcW w:w="6796" w:type="dxa"/>
            <w:gridSpan w:val="8"/>
          </w:tcPr>
          <w:p w14:paraId="2E966586" w14:textId="77777777" w:rsidR="00CB33C7" w:rsidRPr="00B55EA7" w:rsidRDefault="00CB33C7" w:rsidP="00B55EA7">
            <w:pPr>
              <w:rPr>
                <w:rFonts w:cs="Arial"/>
                <w:szCs w:val="22"/>
                <w:lang w:eastAsia="it-IT"/>
              </w:rPr>
            </w:pPr>
            <w:r w:rsidRPr="00B55EA7">
              <w:rPr>
                <w:rFonts w:eastAsia="Arial" w:cs="Arial"/>
                <w:szCs w:val="22"/>
                <w:lang w:eastAsia="en-US"/>
              </w:rPr>
              <w:t>Площа території яка підлягає під реконструкцію: 18049 м</w:t>
            </w:r>
            <w:r w:rsidRPr="00B55EA7">
              <w:rPr>
                <w:rFonts w:eastAsia="Arial" w:cs="Arial"/>
                <w:szCs w:val="22"/>
                <w:vertAlign w:val="superscript"/>
                <w:lang w:eastAsia="en-US"/>
              </w:rPr>
              <w:t>2</w:t>
            </w:r>
          </w:p>
        </w:tc>
      </w:tr>
      <w:tr w:rsidR="00CB33C7" w:rsidRPr="00B55EA7" w14:paraId="63DAE66E" w14:textId="77777777" w:rsidTr="00B55EA7">
        <w:trPr>
          <w:jc w:val="right"/>
        </w:trPr>
        <w:tc>
          <w:tcPr>
            <w:tcW w:w="3423" w:type="dxa"/>
            <w:shd w:val="clear" w:color="auto" w:fill="FFFFFF"/>
            <w:vAlign w:val="center"/>
          </w:tcPr>
          <w:p w14:paraId="4F96140F" w14:textId="77777777" w:rsidR="00CB33C7" w:rsidRPr="00B55EA7" w:rsidRDefault="00CB33C7" w:rsidP="00B55EA7">
            <w:pPr>
              <w:rPr>
                <w:rFonts w:cs="Arial"/>
                <w:b/>
                <w:color w:val="000000"/>
                <w:szCs w:val="22"/>
              </w:rPr>
            </w:pPr>
            <w:r w:rsidRPr="00B55EA7">
              <w:rPr>
                <w:rFonts w:cs="Arial"/>
                <w:b/>
                <w:color w:val="000000"/>
                <w:szCs w:val="22"/>
              </w:rPr>
              <w:t xml:space="preserve">Період здійснення: </w:t>
            </w:r>
          </w:p>
        </w:tc>
        <w:tc>
          <w:tcPr>
            <w:tcW w:w="6796" w:type="dxa"/>
            <w:gridSpan w:val="8"/>
            <w:vAlign w:val="center"/>
          </w:tcPr>
          <w:p w14:paraId="4B8C63BB" w14:textId="77777777" w:rsidR="00CB33C7" w:rsidRPr="00B55EA7" w:rsidRDefault="00CB33C7" w:rsidP="00B55EA7">
            <w:pPr>
              <w:rPr>
                <w:rFonts w:cs="Arial"/>
                <w:color w:val="000000"/>
                <w:szCs w:val="22"/>
                <w:lang w:eastAsia="it-IT"/>
              </w:rPr>
            </w:pPr>
            <w:r w:rsidRPr="00B55EA7">
              <w:rPr>
                <w:rFonts w:cs="Arial"/>
                <w:b/>
                <w:color w:val="000000"/>
                <w:szCs w:val="22"/>
              </w:rPr>
              <w:t>2025 – 2028 роки:</w:t>
            </w:r>
          </w:p>
        </w:tc>
      </w:tr>
      <w:tr w:rsidR="00CB33C7" w:rsidRPr="00B55EA7" w14:paraId="774362C7" w14:textId="77777777" w:rsidTr="00B55EA7">
        <w:trPr>
          <w:jc w:val="right"/>
        </w:trPr>
        <w:tc>
          <w:tcPr>
            <w:tcW w:w="3423" w:type="dxa"/>
            <w:vMerge w:val="restart"/>
            <w:shd w:val="clear" w:color="auto" w:fill="FFFFFF"/>
            <w:vAlign w:val="center"/>
          </w:tcPr>
          <w:p w14:paraId="5FC70092" w14:textId="77777777" w:rsidR="00CB33C7" w:rsidRPr="00B55EA7" w:rsidRDefault="00CB33C7" w:rsidP="00B55EA7">
            <w:pPr>
              <w:rPr>
                <w:rFonts w:cs="Arial"/>
                <w:b/>
                <w:bCs/>
                <w:color w:val="000000"/>
                <w:szCs w:val="22"/>
              </w:rPr>
            </w:pPr>
            <w:r w:rsidRPr="00B55EA7">
              <w:rPr>
                <w:rFonts w:cs="Arial"/>
                <w:b/>
                <w:bCs/>
                <w:color w:val="000000"/>
                <w:szCs w:val="22"/>
              </w:rPr>
              <w:t>Орієнтовна вартість проєкту, тис. грн., в тому числі:</w:t>
            </w:r>
          </w:p>
        </w:tc>
        <w:tc>
          <w:tcPr>
            <w:tcW w:w="1254" w:type="dxa"/>
            <w:shd w:val="clear" w:color="auto" w:fill="E6E6E6"/>
            <w:vAlign w:val="center"/>
          </w:tcPr>
          <w:p w14:paraId="706DCF7B" w14:textId="77777777" w:rsidR="00CB33C7" w:rsidRPr="00B55EA7" w:rsidRDefault="00CB33C7" w:rsidP="00B55EA7">
            <w:pPr>
              <w:jc w:val="center"/>
              <w:rPr>
                <w:rFonts w:cs="Arial"/>
                <w:b/>
                <w:color w:val="000000"/>
                <w:szCs w:val="22"/>
                <w:lang w:eastAsia="it-IT"/>
              </w:rPr>
            </w:pPr>
            <w:r w:rsidRPr="00B55EA7">
              <w:rPr>
                <w:rFonts w:cs="Arial"/>
                <w:b/>
                <w:color w:val="000000"/>
                <w:szCs w:val="22"/>
                <w:lang w:eastAsia="it-IT"/>
              </w:rPr>
              <w:t>2025</w:t>
            </w:r>
          </w:p>
        </w:tc>
        <w:tc>
          <w:tcPr>
            <w:tcW w:w="1411" w:type="dxa"/>
            <w:shd w:val="clear" w:color="auto" w:fill="E6E6E6"/>
            <w:vAlign w:val="center"/>
          </w:tcPr>
          <w:p w14:paraId="3FBD97D9" w14:textId="77777777" w:rsidR="00CB33C7" w:rsidRPr="00B55EA7" w:rsidRDefault="00CB33C7" w:rsidP="00B55EA7">
            <w:pPr>
              <w:jc w:val="center"/>
              <w:rPr>
                <w:rFonts w:cs="Arial"/>
                <w:b/>
                <w:color w:val="000000"/>
                <w:szCs w:val="22"/>
                <w:lang w:eastAsia="it-IT"/>
              </w:rPr>
            </w:pPr>
            <w:r w:rsidRPr="00B55EA7">
              <w:rPr>
                <w:rFonts w:cs="Arial"/>
                <w:b/>
                <w:color w:val="000000"/>
                <w:szCs w:val="22"/>
                <w:lang w:eastAsia="it-IT"/>
              </w:rPr>
              <w:t>2026</w:t>
            </w:r>
          </w:p>
        </w:tc>
        <w:tc>
          <w:tcPr>
            <w:tcW w:w="1281" w:type="dxa"/>
            <w:gridSpan w:val="2"/>
            <w:tcBorders>
              <w:bottom w:val="single" w:sz="4" w:space="0" w:color="auto"/>
            </w:tcBorders>
            <w:shd w:val="clear" w:color="auto" w:fill="E6E6E6"/>
            <w:vAlign w:val="center"/>
          </w:tcPr>
          <w:p w14:paraId="6777248A" w14:textId="77777777" w:rsidR="00CB33C7" w:rsidRPr="00B55EA7" w:rsidRDefault="00CB33C7" w:rsidP="00B55EA7">
            <w:pPr>
              <w:jc w:val="center"/>
              <w:rPr>
                <w:rFonts w:cs="Arial"/>
                <w:b/>
                <w:color w:val="000000"/>
                <w:szCs w:val="22"/>
                <w:lang w:eastAsia="it-IT"/>
              </w:rPr>
            </w:pPr>
            <w:r w:rsidRPr="00B55EA7">
              <w:rPr>
                <w:rFonts w:cs="Arial"/>
                <w:b/>
                <w:color w:val="000000"/>
                <w:szCs w:val="22"/>
                <w:lang w:eastAsia="it-IT"/>
              </w:rPr>
              <w:t>2027</w:t>
            </w:r>
          </w:p>
        </w:tc>
        <w:tc>
          <w:tcPr>
            <w:tcW w:w="1276" w:type="dxa"/>
            <w:gridSpan w:val="2"/>
            <w:shd w:val="clear" w:color="auto" w:fill="E6E6E6"/>
            <w:vAlign w:val="center"/>
          </w:tcPr>
          <w:p w14:paraId="60C1B1A0" w14:textId="77777777" w:rsidR="00CB33C7" w:rsidRPr="00B55EA7" w:rsidRDefault="00CB33C7" w:rsidP="00B55EA7">
            <w:pPr>
              <w:jc w:val="center"/>
              <w:rPr>
                <w:rFonts w:cs="Arial"/>
                <w:b/>
                <w:color w:val="000000"/>
                <w:szCs w:val="22"/>
                <w:lang w:eastAsia="it-IT"/>
              </w:rPr>
            </w:pPr>
            <w:r w:rsidRPr="00B55EA7">
              <w:rPr>
                <w:rFonts w:cs="Arial"/>
                <w:b/>
                <w:color w:val="000000"/>
                <w:szCs w:val="22"/>
                <w:lang w:eastAsia="it-IT"/>
              </w:rPr>
              <w:t>2028</w:t>
            </w:r>
          </w:p>
        </w:tc>
        <w:tc>
          <w:tcPr>
            <w:tcW w:w="1574" w:type="dxa"/>
            <w:gridSpan w:val="2"/>
            <w:shd w:val="clear" w:color="auto" w:fill="E6E6E6"/>
            <w:vAlign w:val="center"/>
          </w:tcPr>
          <w:p w14:paraId="01C82BC2" w14:textId="77777777" w:rsidR="00CB33C7" w:rsidRPr="00B55EA7" w:rsidRDefault="00CB33C7" w:rsidP="00B55EA7">
            <w:pPr>
              <w:jc w:val="center"/>
              <w:rPr>
                <w:rFonts w:cs="Arial"/>
                <w:b/>
                <w:color w:val="000000"/>
                <w:szCs w:val="22"/>
                <w:lang w:eastAsia="it-IT"/>
              </w:rPr>
            </w:pPr>
            <w:r w:rsidRPr="00B55EA7">
              <w:rPr>
                <w:rFonts w:cs="Arial"/>
                <w:b/>
                <w:color w:val="000000"/>
                <w:szCs w:val="22"/>
                <w:lang w:eastAsia="it-IT"/>
              </w:rPr>
              <w:t>РАЗОМ</w:t>
            </w:r>
          </w:p>
        </w:tc>
      </w:tr>
      <w:tr w:rsidR="00CB33C7" w:rsidRPr="00B55EA7" w14:paraId="551B3E4C" w14:textId="77777777" w:rsidTr="00B55EA7">
        <w:trPr>
          <w:jc w:val="right"/>
        </w:trPr>
        <w:tc>
          <w:tcPr>
            <w:tcW w:w="3423" w:type="dxa"/>
            <w:vMerge/>
            <w:shd w:val="clear" w:color="auto" w:fill="FFFFFF"/>
            <w:vAlign w:val="center"/>
          </w:tcPr>
          <w:p w14:paraId="6F315A10" w14:textId="77777777" w:rsidR="00CB33C7" w:rsidRPr="00B55EA7" w:rsidRDefault="00CB33C7" w:rsidP="00B55EA7">
            <w:pPr>
              <w:rPr>
                <w:rFonts w:cs="Arial"/>
                <w:b/>
                <w:bCs/>
                <w:color w:val="000000"/>
                <w:szCs w:val="22"/>
              </w:rPr>
            </w:pPr>
          </w:p>
        </w:tc>
        <w:tc>
          <w:tcPr>
            <w:tcW w:w="1254" w:type="dxa"/>
            <w:vAlign w:val="center"/>
          </w:tcPr>
          <w:p w14:paraId="53590CA0" w14:textId="77777777" w:rsidR="00CB33C7" w:rsidRPr="00B55EA7" w:rsidRDefault="00CB33C7" w:rsidP="00B55EA7">
            <w:pPr>
              <w:jc w:val="center"/>
              <w:rPr>
                <w:rFonts w:cs="Arial"/>
                <w:b/>
                <w:color w:val="000000"/>
                <w:szCs w:val="22"/>
                <w:lang w:eastAsia="it-IT"/>
              </w:rPr>
            </w:pPr>
          </w:p>
        </w:tc>
        <w:tc>
          <w:tcPr>
            <w:tcW w:w="1411" w:type="dxa"/>
            <w:shd w:val="clear" w:color="auto" w:fill="FFFFFF"/>
            <w:vAlign w:val="center"/>
          </w:tcPr>
          <w:p w14:paraId="1A4636DC" w14:textId="77777777" w:rsidR="00CB33C7" w:rsidRPr="00B55EA7" w:rsidRDefault="00CB33C7" w:rsidP="00B55EA7">
            <w:pPr>
              <w:jc w:val="center"/>
              <w:rPr>
                <w:rFonts w:cs="Arial"/>
                <w:color w:val="000000"/>
                <w:szCs w:val="22"/>
                <w:lang w:eastAsia="it-IT"/>
              </w:rPr>
            </w:pPr>
            <w:r w:rsidRPr="00B55EA7">
              <w:rPr>
                <w:rFonts w:cs="Arial"/>
                <w:color w:val="000000"/>
                <w:szCs w:val="22"/>
                <w:lang w:eastAsia="it-IT"/>
              </w:rPr>
              <w:t>1370,972</w:t>
            </w:r>
          </w:p>
        </w:tc>
        <w:tc>
          <w:tcPr>
            <w:tcW w:w="1281" w:type="dxa"/>
            <w:gridSpan w:val="2"/>
            <w:shd w:val="clear" w:color="auto" w:fill="auto"/>
            <w:vAlign w:val="center"/>
          </w:tcPr>
          <w:p w14:paraId="12B35C82" w14:textId="77777777" w:rsidR="00CB33C7" w:rsidRPr="00B55EA7" w:rsidRDefault="00CB33C7" w:rsidP="00B55EA7">
            <w:pPr>
              <w:jc w:val="center"/>
              <w:rPr>
                <w:rFonts w:cs="Arial"/>
                <w:b/>
                <w:color w:val="000000"/>
                <w:szCs w:val="22"/>
                <w:lang w:eastAsia="it-IT"/>
              </w:rPr>
            </w:pPr>
          </w:p>
        </w:tc>
        <w:tc>
          <w:tcPr>
            <w:tcW w:w="1276" w:type="dxa"/>
            <w:gridSpan w:val="2"/>
            <w:shd w:val="clear" w:color="auto" w:fill="FFFFFF"/>
            <w:vAlign w:val="center"/>
          </w:tcPr>
          <w:p w14:paraId="05F09EC1" w14:textId="77777777" w:rsidR="00CB33C7" w:rsidRPr="00B55EA7" w:rsidRDefault="00CB33C7" w:rsidP="00B55EA7">
            <w:pPr>
              <w:jc w:val="center"/>
              <w:rPr>
                <w:rFonts w:cs="Arial"/>
                <w:b/>
                <w:color w:val="000000"/>
                <w:szCs w:val="22"/>
                <w:lang w:eastAsia="it-IT"/>
              </w:rPr>
            </w:pPr>
          </w:p>
        </w:tc>
        <w:tc>
          <w:tcPr>
            <w:tcW w:w="1574" w:type="dxa"/>
            <w:gridSpan w:val="2"/>
            <w:shd w:val="clear" w:color="auto" w:fill="FFFFFF"/>
            <w:vAlign w:val="center"/>
          </w:tcPr>
          <w:p w14:paraId="7B06F613" w14:textId="77777777" w:rsidR="00CB33C7" w:rsidRPr="00B55EA7" w:rsidRDefault="00CB33C7" w:rsidP="00B55EA7">
            <w:pPr>
              <w:jc w:val="center"/>
              <w:rPr>
                <w:rFonts w:cs="Arial"/>
                <w:b/>
                <w:color w:val="000000"/>
                <w:szCs w:val="22"/>
                <w:lang w:eastAsia="it-IT"/>
              </w:rPr>
            </w:pPr>
            <w:r w:rsidRPr="00B55EA7">
              <w:rPr>
                <w:rFonts w:cs="Arial"/>
                <w:b/>
                <w:color w:val="000000"/>
                <w:szCs w:val="22"/>
                <w:lang w:eastAsia="it-IT"/>
              </w:rPr>
              <w:t>1370,972</w:t>
            </w:r>
          </w:p>
        </w:tc>
      </w:tr>
      <w:tr w:rsidR="00CB33C7" w:rsidRPr="00B55EA7" w14:paraId="1CE7E47C" w14:textId="77777777" w:rsidTr="00B55EA7">
        <w:trPr>
          <w:trHeight w:val="276"/>
          <w:jc w:val="right"/>
        </w:trPr>
        <w:tc>
          <w:tcPr>
            <w:tcW w:w="3423" w:type="dxa"/>
            <w:shd w:val="clear" w:color="auto" w:fill="FFFFFF"/>
            <w:vAlign w:val="center"/>
          </w:tcPr>
          <w:p w14:paraId="1131CC25" w14:textId="77777777" w:rsidR="00CB33C7" w:rsidRPr="00B55EA7" w:rsidRDefault="00CB33C7" w:rsidP="00B55EA7">
            <w:pPr>
              <w:rPr>
                <w:rFonts w:cs="Arial"/>
                <w:b/>
                <w:bCs/>
                <w:color w:val="000000"/>
                <w:szCs w:val="22"/>
              </w:rPr>
            </w:pPr>
            <w:r w:rsidRPr="00B55EA7">
              <w:rPr>
                <w:rFonts w:cs="Arial"/>
                <w:b/>
                <w:bCs/>
                <w:color w:val="000000"/>
                <w:szCs w:val="22"/>
              </w:rPr>
              <w:t>по джерелах фінансування:</w:t>
            </w:r>
          </w:p>
        </w:tc>
        <w:tc>
          <w:tcPr>
            <w:tcW w:w="6796" w:type="dxa"/>
            <w:gridSpan w:val="8"/>
            <w:vAlign w:val="center"/>
          </w:tcPr>
          <w:p w14:paraId="3E715573" w14:textId="77777777" w:rsidR="00CB33C7" w:rsidRPr="00B55EA7" w:rsidRDefault="00CB33C7" w:rsidP="00B55EA7">
            <w:pPr>
              <w:jc w:val="both"/>
              <w:rPr>
                <w:rFonts w:cs="Arial"/>
                <w:color w:val="000000"/>
                <w:szCs w:val="22"/>
                <w:lang w:eastAsia="it-IT"/>
              </w:rPr>
            </w:pPr>
          </w:p>
        </w:tc>
      </w:tr>
      <w:tr w:rsidR="00B55EA7" w:rsidRPr="00B55EA7" w14:paraId="2D76AB9E" w14:textId="1829115C" w:rsidTr="00B55EA7">
        <w:trPr>
          <w:trHeight w:val="240"/>
          <w:jc w:val="right"/>
        </w:trPr>
        <w:tc>
          <w:tcPr>
            <w:tcW w:w="3423" w:type="dxa"/>
            <w:shd w:val="clear" w:color="auto" w:fill="FFFFFF"/>
            <w:vAlign w:val="center"/>
          </w:tcPr>
          <w:p w14:paraId="07353C5F" w14:textId="77777777" w:rsidR="00B55EA7" w:rsidRPr="00B55EA7" w:rsidRDefault="00B55EA7" w:rsidP="00B55EA7">
            <w:pPr>
              <w:rPr>
                <w:rFonts w:cs="Arial"/>
                <w:b/>
                <w:bCs/>
                <w:color w:val="000000"/>
                <w:szCs w:val="22"/>
              </w:rPr>
            </w:pPr>
            <w:r w:rsidRPr="00B55EA7">
              <w:rPr>
                <w:rFonts w:cs="Arial"/>
                <w:color w:val="000000"/>
                <w:szCs w:val="22"/>
              </w:rPr>
              <w:t>- державний бюджет</w:t>
            </w:r>
          </w:p>
        </w:tc>
        <w:tc>
          <w:tcPr>
            <w:tcW w:w="1254" w:type="dxa"/>
            <w:vAlign w:val="center"/>
          </w:tcPr>
          <w:p w14:paraId="2059BB64" w14:textId="77777777" w:rsidR="00B55EA7" w:rsidRPr="00B55EA7" w:rsidRDefault="00B55EA7" w:rsidP="00B55EA7">
            <w:pPr>
              <w:jc w:val="both"/>
              <w:rPr>
                <w:rFonts w:cs="Arial"/>
                <w:color w:val="000000"/>
                <w:szCs w:val="22"/>
                <w:lang w:eastAsia="it-IT"/>
              </w:rPr>
            </w:pPr>
          </w:p>
        </w:tc>
        <w:tc>
          <w:tcPr>
            <w:tcW w:w="1469" w:type="dxa"/>
            <w:gridSpan w:val="2"/>
          </w:tcPr>
          <w:p w14:paraId="2F5FA4C4" w14:textId="77777777" w:rsidR="00B55EA7" w:rsidRPr="00B55EA7" w:rsidRDefault="00B55EA7" w:rsidP="00B55EA7">
            <w:pPr>
              <w:jc w:val="center"/>
              <w:rPr>
                <w:rFonts w:cs="Arial"/>
                <w:color w:val="000000"/>
                <w:szCs w:val="22"/>
                <w:lang w:eastAsia="it-IT"/>
              </w:rPr>
            </w:pPr>
          </w:p>
        </w:tc>
        <w:tc>
          <w:tcPr>
            <w:tcW w:w="1270" w:type="dxa"/>
            <w:gridSpan w:val="2"/>
          </w:tcPr>
          <w:p w14:paraId="7850ADC3" w14:textId="77777777" w:rsidR="00B55EA7" w:rsidRPr="00B55EA7" w:rsidRDefault="00B55EA7" w:rsidP="00B55EA7">
            <w:pPr>
              <w:jc w:val="center"/>
              <w:rPr>
                <w:rFonts w:cs="Arial"/>
                <w:color w:val="000000"/>
                <w:szCs w:val="22"/>
                <w:lang w:eastAsia="it-IT"/>
              </w:rPr>
            </w:pPr>
          </w:p>
        </w:tc>
        <w:tc>
          <w:tcPr>
            <w:tcW w:w="1270" w:type="dxa"/>
            <w:gridSpan w:val="2"/>
          </w:tcPr>
          <w:p w14:paraId="6827B13A" w14:textId="77777777" w:rsidR="00B55EA7" w:rsidRPr="00B55EA7" w:rsidRDefault="00B55EA7" w:rsidP="00B55EA7">
            <w:pPr>
              <w:jc w:val="center"/>
              <w:rPr>
                <w:rFonts w:cs="Arial"/>
                <w:color w:val="000000"/>
                <w:szCs w:val="22"/>
                <w:lang w:eastAsia="it-IT"/>
              </w:rPr>
            </w:pPr>
          </w:p>
        </w:tc>
        <w:tc>
          <w:tcPr>
            <w:tcW w:w="1533" w:type="dxa"/>
          </w:tcPr>
          <w:p w14:paraId="7A8BC4DE" w14:textId="77777777" w:rsidR="00B55EA7" w:rsidRPr="00B55EA7" w:rsidRDefault="00B55EA7" w:rsidP="00B55EA7">
            <w:pPr>
              <w:jc w:val="center"/>
              <w:rPr>
                <w:rFonts w:cs="Arial"/>
                <w:color w:val="000000"/>
                <w:szCs w:val="22"/>
                <w:lang w:eastAsia="it-IT"/>
              </w:rPr>
            </w:pPr>
          </w:p>
        </w:tc>
      </w:tr>
      <w:tr w:rsidR="00B55EA7" w:rsidRPr="00B55EA7" w14:paraId="2552D84C" w14:textId="749644DC" w:rsidTr="00B55EA7">
        <w:trPr>
          <w:trHeight w:val="254"/>
          <w:jc w:val="right"/>
        </w:trPr>
        <w:tc>
          <w:tcPr>
            <w:tcW w:w="3423" w:type="dxa"/>
            <w:shd w:val="clear" w:color="auto" w:fill="FFFFFF"/>
            <w:vAlign w:val="center"/>
          </w:tcPr>
          <w:p w14:paraId="3CA2A065" w14:textId="77777777" w:rsidR="00B55EA7" w:rsidRPr="00B55EA7" w:rsidRDefault="00B55EA7" w:rsidP="00B55EA7">
            <w:pPr>
              <w:rPr>
                <w:rFonts w:cs="Arial"/>
                <w:color w:val="000000"/>
                <w:szCs w:val="22"/>
              </w:rPr>
            </w:pPr>
            <w:r w:rsidRPr="00B55EA7">
              <w:rPr>
                <w:rFonts w:cs="Arial"/>
                <w:color w:val="000000"/>
                <w:szCs w:val="22"/>
              </w:rPr>
              <w:t>- обласний бюджет</w:t>
            </w:r>
          </w:p>
        </w:tc>
        <w:tc>
          <w:tcPr>
            <w:tcW w:w="1254" w:type="dxa"/>
            <w:vAlign w:val="center"/>
          </w:tcPr>
          <w:p w14:paraId="45F00DEB" w14:textId="77777777" w:rsidR="00B55EA7" w:rsidRPr="00B55EA7" w:rsidRDefault="00B55EA7" w:rsidP="00B55EA7">
            <w:pPr>
              <w:jc w:val="both"/>
              <w:rPr>
                <w:rFonts w:cs="Arial"/>
                <w:color w:val="000000"/>
                <w:szCs w:val="22"/>
                <w:lang w:eastAsia="it-IT"/>
              </w:rPr>
            </w:pPr>
          </w:p>
        </w:tc>
        <w:tc>
          <w:tcPr>
            <w:tcW w:w="1469" w:type="dxa"/>
            <w:gridSpan w:val="2"/>
          </w:tcPr>
          <w:p w14:paraId="19815E3B" w14:textId="77777777" w:rsidR="00B55EA7" w:rsidRPr="00B55EA7" w:rsidRDefault="00B55EA7" w:rsidP="00B55EA7">
            <w:pPr>
              <w:jc w:val="center"/>
              <w:rPr>
                <w:rFonts w:cs="Arial"/>
                <w:color w:val="000000"/>
                <w:szCs w:val="22"/>
                <w:lang w:eastAsia="it-IT"/>
              </w:rPr>
            </w:pPr>
          </w:p>
        </w:tc>
        <w:tc>
          <w:tcPr>
            <w:tcW w:w="1270" w:type="dxa"/>
            <w:gridSpan w:val="2"/>
          </w:tcPr>
          <w:p w14:paraId="71DA7162" w14:textId="77777777" w:rsidR="00B55EA7" w:rsidRPr="00B55EA7" w:rsidRDefault="00B55EA7" w:rsidP="00B55EA7">
            <w:pPr>
              <w:jc w:val="center"/>
              <w:rPr>
                <w:rFonts w:cs="Arial"/>
                <w:color w:val="000000"/>
                <w:szCs w:val="22"/>
                <w:lang w:eastAsia="it-IT"/>
              </w:rPr>
            </w:pPr>
          </w:p>
        </w:tc>
        <w:tc>
          <w:tcPr>
            <w:tcW w:w="1270" w:type="dxa"/>
            <w:gridSpan w:val="2"/>
          </w:tcPr>
          <w:p w14:paraId="33538459" w14:textId="77777777" w:rsidR="00B55EA7" w:rsidRPr="00B55EA7" w:rsidRDefault="00B55EA7" w:rsidP="00B55EA7">
            <w:pPr>
              <w:jc w:val="center"/>
              <w:rPr>
                <w:rFonts w:cs="Arial"/>
                <w:color w:val="000000"/>
                <w:szCs w:val="22"/>
                <w:lang w:eastAsia="it-IT"/>
              </w:rPr>
            </w:pPr>
          </w:p>
        </w:tc>
        <w:tc>
          <w:tcPr>
            <w:tcW w:w="1533" w:type="dxa"/>
          </w:tcPr>
          <w:p w14:paraId="43DCA229" w14:textId="77777777" w:rsidR="00B55EA7" w:rsidRPr="00B55EA7" w:rsidRDefault="00B55EA7" w:rsidP="00B55EA7">
            <w:pPr>
              <w:jc w:val="center"/>
              <w:rPr>
                <w:rFonts w:cs="Arial"/>
                <w:color w:val="000000"/>
                <w:szCs w:val="22"/>
                <w:lang w:eastAsia="it-IT"/>
              </w:rPr>
            </w:pPr>
          </w:p>
        </w:tc>
      </w:tr>
      <w:tr w:rsidR="00B55EA7" w:rsidRPr="00B55EA7" w14:paraId="5D5244D9" w14:textId="4969F099" w:rsidTr="00B55EA7">
        <w:trPr>
          <w:trHeight w:val="275"/>
          <w:jc w:val="right"/>
        </w:trPr>
        <w:tc>
          <w:tcPr>
            <w:tcW w:w="3423" w:type="dxa"/>
            <w:shd w:val="clear" w:color="auto" w:fill="FFFFFF"/>
            <w:vAlign w:val="center"/>
          </w:tcPr>
          <w:p w14:paraId="7640B2F9" w14:textId="77777777" w:rsidR="00B55EA7" w:rsidRPr="00B55EA7" w:rsidRDefault="00B55EA7" w:rsidP="00B55EA7">
            <w:pPr>
              <w:rPr>
                <w:rFonts w:cs="Arial"/>
                <w:color w:val="000000"/>
                <w:szCs w:val="22"/>
              </w:rPr>
            </w:pPr>
            <w:r w:rsidRPr="00B55EA7">
              <w:rPr>
                <w:rFonts w:cs="Arial"/>
                <w:color w:val="000000"/>
                <w:szCs w:val="22"/>
              </w:rPr>
              <w:t>- бюджет Жмеринської МТГ</w:t>
            </w:r>
          </w:p>
        </w:tc>
        <w:tc>
          <w:tcPr>
            <w:tcW w:w="1254" w:type="dxa"/>
            <w:vAlign w:val="center"/>
          </w:tcPr>
          <w:p w14:paraId="2B1EF2B8" w14:textId="00C878E1" w:rsidR="00B55EA7" w:rsidRPr="00B55EA7" w:rsidRDefault="00B55EA7" w:rsidP="00B55EA7">
            <w:pPr>
              <w:jc w:val="center"/>
              <w:rPr>
                <w:rFonts w:cs="Arial"/>
                <w:color w:val="000000"/>
                <w:szCs w:val="22"/>
                <w:lang w:eastAsia="it-IT"/>
              </w:rPr>
            </w:pPr>
          </w:p>
        </w:tc>
        <w:tc>
          <w:tcPr>
            <w:tcW w:w="1469" w:type="dxa"/>
            <w:gridSpan w:val="2"/>
          </w:tcPr>
          <w:p w14:paraId="3097C4EE" w14:textId="7304A68D" w:rsidR="00B55EA7" w:rsidRPr="00B55EA7" w:rsidRDefault="00B55EA7" w:rsidP="00B55EA7">
            <w:pPr>
              <w:jc w:val="center"/>
              <w:rPr>
                <w:rFonts w:cs="Arial"/>
                <w:color w:val="000000"/>
                <w:szCs w:val="22"/>
                <w:lang w:eastAsia="it-IT"/>
              </w:rPr>
            </w:pPr>
            <w:r w:rsidRPr="00B55EA7">
              <w:rPr>
                <w:rFonts w:cs="Arial"/>
                <w:color w:val="000000"/>
                <w:szCs w:val="22"/>
                <w:lang w:eastAsia="it-IT"/>
              </w:rPr>
              <w:t>1370,972</w:t>
            </w:r>
          </w:p>
        </w:tc>
        <w:tc>
          <w:tcPr>
            <w:tcW w:w="1270" w:type="dxa"/>
            <w:gridSpan w:val="2"/>
          </w:tcPr>
          <w:p w14:paraId="7F20B01B" w14:textId="6A7DF921" w:rsidR="00B55EA7" w:rsidRPr="00B55EA7" w:rsidRDefault="00B55EA7" w:rsidP="00B55EA7">
            <w:pPr>
              <w:jc w:val="center"/>
              <w:rPr>
                <w:rFonts w:cs="Arial"/>
                <w:color w:val="000000"/>
                <w:szCs w:val="22"/>
                <w:lang w:eastAsia="it-IT"/>
              </w:rPr>
            </w:pPr>
          </w:p>
        </w:tc>
        <w:tc>
          <w:tcPr>
            <w:tcW w:w="1270" w:type="dxa"/>
            <w:gridSpan w:val="2"/>
          </w:tcPr>
          <w:p w14:paraId="1876BE6D" w14:textId="3FF9F3A4" w:rsidR="00B55EA7" w:rsidRPr="00B55EA7" w:rsidRDefault="00B55EA7" w:rsidP="00B55EA7">
            <w:pPr>
              <w:jc w:val="center"/>
              <w:rPr>
                <w:rFonts w:cs="Arial"/>
                <w:color w:val="000000"/>
                <w:szCs w:val="22"/>
                <w:lang w:eastAsia="it-IT"/>
              </w:rPr>
            </w:pPr>
          </w:p>
        </w:tc>
        <w:tc>
          <w:tcPr>
            <w:tcW w:w="1533" w:type="dxa"/>
          </w:tcPr>
          <w:p w14:paraId="003FE9F0" w14:textId="1ECE3339" w:rsidR="00B55EA7" w:rsidRPr="00B55EA7" w:rsidRDefault="00B55EA7" w:rsidP="00B55EA7">
            <w:pPr>
              <w:jc w:val="center"/>
              <w:rPr>
                <w:rFonts w:cs="Arial"/>
                <w:color w:val="000000"/>
                <w:szCs w:val="22"/>
                <w:lang w:eastAsia="it-IT"/>
              </w:rPr>
            </w:pPr>
            <w:r w:rsidRPr="00B55EA7">
              <w:rPr>
                <w:rFonts w:cs="Arial"/>
                <w:b/>
                <w:color w:val="000000"/>
                <w:szCs w:val="22"/>
                <w:lang w:eastAsia="it-IT"/>
              </w:rPr>
              <w:t>1370,972</w:t>
            </w:r>
          </w:p>
        </w:tc>
      </w:tr>
      <w:tr w:rsidR="00B55EA7" w:rsidRPr="00B55EA7" w14:paraId="11CC14C3" w14:textId="031847A5" w:rsidTr="00B55EA7">
        <w:trPr>
          <w:trHeight w:val="226"/>
          <w:jc w:val="right"/>
        </w:trPr>
        <w:tc>
          <w:tcPr>
            <w:tcW w:w="3423" w:type="dxa"/>
            <w:shd w:val="clear" w:color="auto" w:fill="FFFFFF"/>
            <w:vAlign w:val="center"/>
          </w:tcPr>
          <w:p w14:paraId="38282807" w14:textId="77777777" w:rsidR="00B55EA7" w:rsidRPr="00B55EA7" w:rsidRDefault="00B55EA7" w:rsidP="00B55EA7">
            <w:pPr>
              <w:rPr>
                <w:rFonts w:cs="Arial"/>
                <w:color w:val="000000"/>
                <w:szCs w:val="22"/>
              </w:rPr>
            </w:pPr>
            <w:r w:rsidRPr="00B55EA7">
              <w:rPr>
                <w:rFonts w:cs="Arial"/>
                <w:color w:val="000000"/>
                <w:szCs w:val="22"/>
              </w:rPr>
              <w:t>- інші джерела фінансування</w:t>
            </w:r>
          </w:p>
        </w:tc>
        <w:tc>
          <w:tcPr>
            <w:tcW w:w="1254" w:type="dxa"/>
            <w:vAlign w:val="center"/>
          </w:tcPr>
          <w:p w14:paraId="77945D4C" w14:textId="77777777" w:rsidR="00B55EA7" w:rsidRPr="00B55EA7" w:rsidRDefault="00B55EA7" w:rsidP="00B55EA7">
            <w:pPr>
              <w:jc w:val="both"/>
              <w:rPr>
                <w:rFonts w:cs="Arial"/>
                <w:color w:val="000000"/>
                <w:szCs w:val="22"/>
                <w:lang w:eastAsia="it-IT"/>
              </w:rPr>
            </w:pPr>
          </w:p>
        </w:tc>
        <w:tc>
          <w:tcPr>
            <w:tcW w:w="1469" w:type="dxa"/>
            <w:gridSpan w:val="2"/>
          </w:tcPr>
          <w:p w14:paraId="067BF766" w14:textId="77777777" w:rsidR="00B55EA7" w:rsidRPr="00B55EA7" w:rsidRDefault="00B55EA7" w:rsidP="00B55EA7">
            <w:pPr>
              <w:jc w:val="center"/>
              <w:rPr>
                <w:rFonts w:cs="Arial"/>
                <w:color w:val="000000"/>
                <w:szCs w:val="22"/>
                <w:lang w:eastAsia="it-IT"/>
              </w:rPr>
            </w:pPr>
          </w:p>
        </w:tc>
        <w:tc>
          <w:tcPr>
            <w:tcW w:w="1270" w:type="dxa"/>
            <w:gridSpan w:val="2"/>
          </w:tcPr>
          <w:p w14:paraId="396CE478" w14:textId="77777777" w:rsidR="00B55EA7" w:rsidRPr="00B55EA7" w:rsidRDefault="00B55EA7" w:rsidP="00B55EA7">
            <w:pPr>
              <w:jc w:val="center"/>
              <w:rPr>
                <w:rFonts w:cs="Arial"/>
                <w:color w:val="000000"/>
                <w:szCs w:val="22"/>
                <w:lang w:eastAsia="it-IT"/>
              </w:rPr>
            </w:pPr>
          </w:p>
        </w:tc>
        <w:tc>
          <w:tcPr>
            <w:tcW w:w="1270" w:type="dxa"/>
            <w:gridSpan w:val="2"/>
          </w:tcPr>
          <w:p w14:paraId="2FE5AF13" w14:textId="77777777" w:rsidR="00B55EA7" w:rsidRPr="00B55EA7" w:rsidRDefault="00B55EA7" w:rsidP="00B55EA7">
            <w:pPr>
              <w:jc w:val="center"/>
              <w:rPr>
                <w:rFonts w:cs="Arial"/>
                <w:color w:val="000000"/>
                <w:szCs w:val="22"/>
                <w:lang w:eastAsia="it-IT"/>
              </w:rPr>
            </w:pPr>
          </w:p>
        </w:tc>
        <w:tc>
          <w:tcPr>
            <w:tcW w:w="1533" w:type="dxa"/>
          </w:tcPr>
          <w:p w14:paraId="55814993" w14:textId="77777777" w:rsidR="00B55EA7" w:rsidRPr="00B55EA7" w:rsidRDefault="00B55EA7" w:rsidP="00B55EA7">
            <w:pPr>
              <w:jc w:val="center"/>
              <w:rPr>
                <w:rFonts w:cs="Arial"/>
                <w:color w:val="000000"/>
                <w:szCs w:val="22"/>
                <w:lang w:eastAsia="it-IT"/>
              </w:rPr>
            </w:pPr>
          </w:p>
        </w:tc>
      </w:tr>
      <w:tr w:rsidR="00B55EA7" w:rsidRPr="00B55EA7" w14:paraId="52B1FB56" w14:textId="10EAECCF" w:rsidTr="00B55EA7">
        <w:trPr>
          <w:jc w:val="right"/>
        </w:trPr>
        <w:tc>
          <w:tcPr>
            <w:tcW w:w="3423" w:type="dxa"/>
            <w:shd w:val="clear" w:color="auto" w:fill="FFFFFF"/>
            <w:vAlign w:val="center"/>
          </w:tcPr>
          <w:p w14:paraId="5D4542E5" w14:textId="77777777" w:rsidR="00B55EA7" w:rsidRPr="00B55EA7" w:rsidRDefault="00B55EA7" w:rsidP="00B55EA7">
            <w:pPr>
              <w:rPr>
                <w:rFonts w:cs="Arial"/>
                <w:b/>
                <w:bCs/>
                <w:color w:val="000000"/>
                <w:szCs w:val="22"/>
              </w:rPr>
            </w:pPr>
            <w:r w:rsidRPr="00B55EA7">
              <w:rPr>
                <w:rFonts w:cs="Arial"/>
                <w:b/>
                <w:color w:val="000000"/>
                <w:szCs w:val="22"/>
              </w:rPr>
              <w:t>Відповідальний виконавець проєкту:</w:t>
            </w:r>
          </w:p>
        </w:tc>
        <w:tc>
          <w:tcPr>
            <w:tcW w:w="6796" w:type="dxa"/>
            <w:gridSpan w:val="8"/>
            <w:vAlign w:val="center"/>
          </w:tcPr>
          <w:p w14:paraId="1F8B6E4F" w14:textId="23F97F19" w:rsidR="00B55EA7" w:rsidRPr="00B55EA7" w:rsidRDefault="00B55EA7" w:rsidP="00B55EA7">
            <w:pPr>
              <w:jc w:val="both"/>
              <w:rPr>
                <w:rFonts w:cs="Arial"/>
                <w:color w:val="000000"/>
                <w:szCs w:val="22"/>
                <w:lang w:eastAsia="it-IT"/>
              </w:rPr>
            </w:pPr>
            <w:r w:rsidRPr="00B55EA7">
              <w:rPr>
                <w:rFonts w:cs="Arial"/>
                <w:color w:val="000000"/>
                <w:szCs w:val="22"/>
                <w:lang w:eastAsia="it-IT"/>
              </w:rPr>
              <w:t>Управління ЖКГ.</w:t>
            </w:r>
          </w:p>
        </w:tc>
      </w:tr>
      <w:tr w:rsidR="00CB33C7" w:rsidRPr="00B55EA7" w14:paraId="2C7A1D3B" w14:textId="77777777" w:rsidTr="00B55EA7">
        <w:trPr>
          <w:jc w:val="right"/>
        </w:trPr>
        <w:tc>
          <w:tcPr>
            <w:tcW w:w="3423" w:type="dxa"/>
            <w:shd w:val="clear" w:color="auto" w:fill="FFFFFF"/>
            <w:vAlign w:val="center"/>
          </w:tcPr>
          <w:p w14:paraId="1103FCCB" w14:textId="77777777" w:rsidR="00CB33C7" w:rsidRPr="00B55EA7" w:rsidRDefault="00CB33C7" w:rsidP="00B55EA7">
            <w:pPr>
              <w:rPr>
                <w:rFonts w:cs="Arial"/>
                <w:b/>
                <w:bCs/>
                <w:color w:val="000000"/>
                <w:szCs w:val="22"/>
              </w:rPr>
            </w:pPr>
            <w:r w:rsidRPr="00B55EA7">
              <w:rPr>
                <w:rFonts w:cs="Arial"/>
                <w:b/>
                <w:bCs/>
                <w:color w:val="000000"/>
                <w:szCs w:val="22"/>
              </w:rPr>
              <w:t>Інше:</w:t>
            </w:r>
          </w:p>
        </w:tc>
        <w:tc>
          <w:tcPr>
            <w:tcW w:w="6796" w:type="dxa"/>
            <w:gridSpan w:val="8"/>
            <w:vAlign w:val="center"/>
          </w:tcPr>
          <w:p w14:paraId="3335A7FB" w14:textId="77777777" w:rsidR="00CB33C7" w:rsidRPr="00B55EA7" w:rsidRDefault="00CB33C7" w:rsidP="00B55EA7">
            <w:pPr>
              <w:rPr>
                <w:rFonts w:cs="Arial"/>
                <w:color w:val="000000"/>
                <w:szCs w:val="22"/>
                <w:lang w:eastAsia="it-IT"/>
              </w:rPr>
            </w:pPr>
          </w:p>
        </w:tc>
      </w:tr>
    </w:tbl>
    <w:p w14:paraId="63C01A20" w14:textId="77777777" w:rsidR="00CB33C7" w:rsidRPr="00C2587D" w:rsidRDefault="00CB33C7" w:rsidP="00CB33C7"/>
    <w:p w14:paraId="5BB73895" w14:textId="77777777" w:rsidR="00CB33C7" w:rsidRPr="00C2587D" w:rsidRDefault="00CB33C7" w:rsidP="00CB33C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1F0288BE" w14:textId="77777777" w:rsidR="00CB33C7" w:rsidRPr="00C2587D" w:rsidRDefault="00CB33C7" w:rsidP="00CB33C7">
      <w:pPr>
        <w:jc w:val="center"/>
        <w:rPr>
          <w:rFonts w:cs="Arial"/>
          <w:b/>
          <w:color w:val="000000"/>
          <w:szCs w:val="22"/>
        </w:rPr>
      </w:pPr>
      <w:r w:rsidRPr="00C2587D">
        <w:rPr>
          <w:rFonts w:cs="Arial"/>
          <w:b/>
          <w:color w:val="000000"/>
          <w:szCs w:val="22"/>
        </w:rPr>
        <w:t>до Плану заходів з реалізації Стратегії</w:t>
      </w:r>
    </w:p>
    <w:p w14:paraId="3F44A7FB" w14:textId="77777777" w:rsidR="00CB33C7" w:rsidRPr="00C2587D" w:rsidRDefault="00CB33C7" w:rsidP="00CB33C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1"/>
        <w:gridCol w:w="1254"/>
        <w:gridCol w:w="1410"/>
        <w:gridCol w:w="1281"/>
        <w:gridCol w:w="1280"/>
        <w:gridCol w:w="1573"/>
      </w:tblGrid>
      <w:tr w:rsidR="00CB33C7" w:rsidRPr="00B55EA7" w14:paraId="658996D1" w14:textId="77777777" w:rsidTr="00B55EA7">
        <w:trPr>
          <w:jc w:val="right"/>
        </w:trPr>
        <w:tc>
          <w:tcPr>
            <w:tcW w:w="3423" w:type="dxa"/>
            <w:vAlign w:val="center"/>
          </w:tcPr>
          <w:p w14:paraId="47ED228C" w14:textId="77777777" w:rsidR="00CB33C7" w:rsidRPr="00B55EA7" w:rsidRDefault="00CB33C7" w:rsidP="00B55EA7">
            <w:pPr>
              <w:rPr>
                <w:rFonts w:cs="Arial"/>
                <w:b/>
                <w:bCs/>
                <w:color w:val="000000"/>
                <w:szCs w:val="22"/>
              </w:rPr>
            </w:pPr>
            <w:r w:rsidRPr="00B55EA7">
              <w:rPr>
                <w:rFonts w:cs="Arial"/>
                <w:b/>
                <w:bCs/>
                <w:color w:val="000000"/>
                <w:szCs w:val="22"/>
              </w:rPr>
              <w:t>Назва проєкту:</w:t>
            </w:r>
          </w:p>
        </w:tc>
        <w:tc>
          <w:tcPr>
            <w:tcW w:w="6796" w:type="dxa"/>
            <w:gridSpan w:val="5"/>
          </w:tcPr>
          <w:p w14:paraId="6F5330F2" w14:textId="77777777" w:rsidR="00CB33C7" w:rsidRPr="00B55EA7" w:rsidRDefault="00CB33C7" w:rsidP="00B55EA7">
            <w:pPr>
              <w:rPr>
                <w:rFonts w:cs="Arial"/>
                <w:b/>
                <w:szCs w:val="22"/>
                <w:lang w:eastAsia="it-IT"/>
              </w:rPr>
            </w:pPr>
            <w:r w:rsidRPr="00B55EA7">
              <w:rPr>
                <w:rFonts w:eastAsia="Arial" w:cs="Arial"/>
                <w:b/>
                <w:szCs w:val="22"/>
                <w:lang w:eastAsia="en-US"/>
              </w:rPr>
              <w:t>Капітальний ремонт дорожнього покриття прибудинкової території по вул. Соборна, 10,12 в м.Жмеринка Вінницької області (коригування)</w:t>
            </w:r>
          </w:p>
        </w:tc>
      </w:tr>
      <w:tr w:rsidR="00CB33C7" w:rsidRPr="00B55EA7" w14:paraId="304F7BEA" w14:textId="77777777" w:rsidTr="00B55EA7">
        <w:trPr>
          <w:jc w:val="right"/>
        </w:trPr>
        <w:tc>
          <w:tcPr>
            <w:tcW w:w="3423" w:type="dxa"/>
          </w:tcPr>
          <w:p w14:paraId="6A6BC722" w14:textId="77777777" w:rsidR="00CB33C7" w:rsidRPr="00B55EA7" w:rsidRDefault="00CB33C7" w:rsidP="00B55EA7">
            <w:pPr>
              <w:rPr>
                <w:rFonts w:cs="Arial"/>
                <w:szCs w:val="22"/>
                <w:lang w:eastAsia="it-IT"/>
              </w:rPr>
            </w:pPr>
            <w:r w:rsidRPr="00B55EA7">
              <w:rPr>
                <w:rFonts w:cs="Arial"/>
                <w:b/>
                <w:bCs/>
                <w:szCs w:val="22"/>
              </w:rPr>
              <w:t>Ваші контакти</w:t>
            </w:r>
            <w:r w:rsidRPr="00B55EA7">
              <w:rPr>
                <w:rFonts w:cs="Arial"/>
                <w:szCs w:val="22"/>
                <w:lang w:eastAsia="it-IT"/>
              </w:rPr>
              <w:t>:</w:t>
            </w:r>
          </w:p>
          <w:p w14:paraId="43C3632E" w14:textId="77777777" w:rsidR="00CB33C7" w:rsidRPr="00B55EA7" w:rsidRDefault="00CB33C7" w:rsidP="00B55EA7">
            <w:pPr>
              <w:rPr>
                <w:rFonts w:cs="Arial"/>
                <w:b/>
                <w:bCs/>
                <w:szCs w:val="22"/>
              </w:rPr>
            </w:pPr>
            <w:r w:rsidRPr="00B55EA7">
              <w:rPr>
                <w:rFonts w:cs="Arial"/>
                <w:szCs w:val="22"/>
                <w:lang w:eastAsia="it-IT"/>
              </w:rPr>
              <w:t>Назва установи, організації, підприємства</w:t>
            </w:r>
          </w:p>
        </w:tc>
        <w:tc>
          <w:tcPr>
            <w:tcW w:w="6796" w:type="dxa"/>
            <w:gridSpan w:val="5"/>
          </w:tcPr>
          <w:p w14:paraId="39C0B0E8" w14:textId="77777777" w:rsidR="00CB33C7" w:rsidRPr="00B55EA7" w:rsidRDefault="00CB33C7" w:rsidP="00B55EA7">
            <w:pPr>
              <w:rPr>
                <w:rFonts w:cs="Arial"/>
                <w:szCs w:val="22"/>
                <w:lang w:eastAsia="it-IT"/>
              </w:rPr>
            </w:pPr>
            <w:r w:rsidRPr="00B55EA7">
              <w:rPr>
                <w:rFonts w:cs="Arial"/>
                <w:szCs w:val="22"/>
                <w:lang w:eastAsia="it-IT"/>
              </w:rPr>
              <w:t>Управління житлово-комунального господарства Жмеринської міської ради</w:t>
            </w:r>
          </w:p>
        </w:tc>
      </w:tr>
      <w:tr w:rsidR="00CB33C7" w:rsidRPr="00B55EA7" w14:paraId="64E01915" w14:textId="77777777" w:rsidTr="00B55EA7">
        <w:trPr>
          <w:jc w:val="right"/>
        </w:trPr>
        <w:tc>
          <w:tcPr>
            <w:tcW w:w="3423" w:type="dxa"/>
          </w:tcPr>
          <w:p w14:paraId="74518C5B" w14:textId="77777777" w:rsidR="00CB33C7" w:rsidRPr="00B55EA7" w:rsidRDefault="00CB33C7" w:rsidP="00B55EA7">
            <w:pPr>
              <w:rPr>
                <w:rFonts w:cs="Arial"/>
                <w:b/>
                <w:bCs/>
                <w:szCs w:val="22"/>
              </w:rPr>
            </w:pPr>
            <w:r w:rsidRPr="00B55EA7">
              <w:rPr>
                <w:rFonts w:cs="Arial"/>
                <w:szCs w:val="22"/>
                <w:lang w:eastAsia="it-IT"/>
              </w:rPr>
              <w:t>Прізвище Ім’я По-батькові:</w:t>
            </w:r>
          </w:p>
        </w:tc>
        <w:tc>
          <w:tcPr>
            <w:tcW w:w="6796" w:type="dxa"/>
            <w:gridSpan w:val="5"/>
          </w:tcPr>
          <w:p w14:paraId="778282C8" w14:textId="77777777" w:rsidR="00CB33C7" w:rsidRPr="00B55EA7" w:rsidRDefault="00CB33C7" w:rsidP="00B55EA7">
            <w:pPr>
              <w:rPr>
                <w:rFonts w:cs="Arial"/>
                <w:szCs w:val="22"/>
                <w:lang w:eastAsia="it-IT"/>
              </w:rPr>
            </w:pPr>
            <w:r w:rsidRPr="00B55EA7">
              <w:rPr>
                <w:rFonts w:cs="Arial"/>
                <w:szCs w:val="22"/>
                <w:lang w:eastAsia="it-IT"/>
              </w:rPr>
              <w:t>Оленич Андрій Васильович</w:t>
            </w:r>
          </w:p>
        </w:tc>
      </w:tr>
      <w:tr w:rsidR="00CB33C7" w:rsidRPr="00B55EA7" w14:paraId="3158BE0A" w14:textId="77777777" w:rsidTr="00B55EA7">
        <w:trPr>
          <w:jc w:val="right"/>
        </w:trPr>
        <w:tc>
          <w:tcPr>
            <w:tcW w:w="3423" w:type="dxa"/>
          </w:tcPr>
          <w:p w14:paraId="042F2029" w14:textId="77777777" w:rsidR="00CB33C7" w:rsidRPr="00B55EA7" w:rsidRDefault="00CB33C7" w:rsidP="00B55EA7">
            <w:pPr>
              <w:rPr>
                <w:rFonts w:cs="Arial"/>
                <w:b/>
                <w:bCs/>
                <w:szCs w:val="22"/>
              </w:rPr>
            </w:pPr>
            <w:r w:rsidRPr="00B55EA7">
              <w:rPr>
                <w:rFonts w:cs="Arial"/>
                <w:szCs w:val="22"/>
                <w:lang w:eastAsia="it-IT"/>
              </w:rPr>
              <w:t>Телефон (мобільний):</w:t>
            </w:r>
          </w:p>
        </w:tc>
        <w:tc>
          <w:tcPr>
            <w:tcW w:w="6796" w:type="dxa"/>
            <w:gridSpan w:val="5"/>
          </w:tcPr>
          <w:p w14:paraId="1EF17D18" w14:textId="77777777" w:rsidR="00CB33C7" w:rsidRPr="00B55EA7" w:rsidRDefault="00CB33C7" w:rsidP="00B55EA7">
            <w:pPr>
              <w:rPr>
                <w:rFonts w:cs="Arial"/>
                <w:szCs w:val="22"/>
                <w:lang w:eastAsia="it-IT"/>
              </w:rPr>
            </w:pPr>
            <w:r w:rsidRPr="00B55EA7">
              <w:rPr>
                <w:rFonts w:cs="Arial"/>
                <w:szCs w:val="22"/>
                <w:lang w:eastAsia="it-IT"/>
              </w:rPr>
              <w:t>0972561907</w:t>
            </w:r>
          </w:p>
        </w:tc>
      </w:tr>
      <w:tr w:rsidR="00CB33C7" w:rsidRPr="00B55EA7" w14:paraId="4FDACD81" w14:textId="77777777" w:rsidTr="00B55EA7">
        <w:trPr>
          <w:jc w:val="right"/>
        </w:trPr>
        <w:tc>
          <w:tcPr>
            <w:tcW w:w="3423" w:type="dxa"/>
          </w:tcPr>
          <w:p w14:paraId="347F4194" w14:textId="77777777" w:rsidR="00CB33C7" w:rsidRPr="00B55EA7" w:rsidRDefault="00CB33C7" w:rsidP="00B55EA7">
            <w:pPr>
              <w:rPr>
                <w:rFonts w:cs="Arial"/>
                <w:b/>
                <w:bCs/>
                <w:szCs w:val="22"/>
              </w:rPr>
            </w:pPr>
            <w:r w:rsidRPr="00B55EA7">
              <w:rPr>
                <w:rFonts w:cs="Arial"/>
                <w:szCs w:val="22"/>
                <w:lang w:eastAsia="it-IT"/>
              </w:rPr>
              <w:t>Електронна адреса:</w:t>
            </w:r>
          </w:p>
        </w:tc>
        <w:tc>
          <w:tcPr>
            <w:tcW w:w="6796" w:type="dxa"/>
            <w:gridSpan w:val="5"/>
          </w:tcPr>
          <w:p w14:paraId="11038A3C" w14:textId="77777777" w:rsidR="00CB33C7" w:rsidRPr="00B55EA7" w:rsidRDefault="00D85FFD" w:rsidP="00B55EA7">
            <w:pPr>
              <w:rPr>
                <w:rFonts w:cs="Arial"/>
                <w:szCs w:val="22"/>
                <w:lang w:eastAsia="it-IT"/>
              </w:rPr>
            </w:pPr>
            <w:hyperlink r:id="rId57" w:history="1">
              <w:r w:rsidR="00CB33C7" w:rsidRPr="00B55EA7">
                <w:rPr>
                  <w:rStyle w:val="af0"/>
                  <w:rFonts w:cs="Arial"/>
                  <w:noProof w:val="0"/>
                  <w:sz w:val="22"/>
                  <w:szCs w:val="22"/>
                  <w:lang w:eastAsia="it-IT"/>
                </w:rPr>
                <w:t>Aolenych03@ukr.net</w:t>
              </w:r>
            </w:hyperlink>
          </w:p>
        </w:tc>
      </w:tr>
      <w:tr w:rsidR="00CB33C7" w:rsidRPr="00B55EA7" w14:paraId="473FEC5B" w14:textId="77777777" w:rsidTr="00B55EA7">
        <w:trPr>
          <w:jc w:val="right"/>
        </w:trPr>
        <w:tc>
          <w:tcPr>
            <w:tcW w:w="3423" w:type="dxa"/>
            <w:vAlign w:val="center"/>
          </w:tcPr>
          <w:p w14:paraId="180AA010" w14:textId="77777777" w:rsidR="00CB33C7" w:rsidRPr="00B55EA7" w:rsidRDefault="00CB33C7" w:rsidP="00B55EA7">
            <w:pPr>
              <w:pStyle w:val="6"/>
              <w:spacing w:before="0" w:after="0"/>
              <w:rPr>
                <w:rFonts w:ascii="Arial" w:hAnsi="Arial" w:cs="Arial"/>
                <w:color w:val="000000"/>
                <w:lang w:val="uk-UA"/>
              </w:rPr>
            </w:pPr>
            <w:r w:rsidRPr="00B55EA7">
              <w:rPr>
                <w:rFonts w:ascii="Arial" w:hAnsi="Arial" w:cs="Arial"/>
                <w:color w:val="000000"/>
                <w:lang w:val="uk-UA"/>
              </w:rPr>
              <w:t>Номер і назва завдання з Стратегії</w:t>
            </w:r>
            <w:r w:rsidRPr="00B55EA7">
              <w:rPr>
                <w:rFonts w:ascii="Arial" w:hAnsi="Arial" w:cs="Arial"/>
                <w:lang w:val="uk-UA" w:eastAsia="it-IT"/>
              </w:rPr>
              <w:t xml:space="preserve"> </w:t>
            </w:r>
            <w:r w:rsidRPr="00B55EA7">
              <w:rPr>
                <w:rFonts w:ascii="Arial" w:hAnsi="Arial" w:cs="Arial"/>
                <w:color w:val="000000"/>
                <w:lang w:val="uk-UA"/>
              </w:rPr>
              <w:t xml:space="preserve">розвитку Жмеринської міської </w:t>
            </w:r>
          </w:p>
        </w:tc>
        <w:tc>
          <w:tcPr>
            <w:tcW w:w="6796" w:type="dxa"/>
            <w:gridSpan w:val="5"/>
            <w:vAlign w:val="center"/>
          </w:tcPr>
          <w:p w14:paraId="6AAB4340" w14:textId="77777777" w:rsidR="00CB33C7" w:rsidRPr="00B55EA7" w:rsidRDefault="00CB33C7" w:rsidP="00B55EA7">
            <w:pPr>
              <w:suppressAutoHyphens/>
              <w:jc w:val="both"/>
              <w:rPr>
                <w:rFonts w:eastAsia="Lucida Sans Unicode" w:cs="Arial"/>
                <w:kern w:val="1"/>
                <w:szCs w:val="22"/>
                <w:lang w:eastAsia="ar-SA"/>
              </w:rPr>
            </w:pPr>
            <w:r w:rsidRPr="00B55EA7">
              <w:rPr>
                <w:rFonts w:eastAsia="Lucida Sans Unicode" w:cs="Arial"/>
                <w:kern w:val="1"/>
                <w:szCs w:val="22"/>
                <w:lang w:eastAsia="ar-SA"/>
              </w:rPr>
              <w:t>В.1.1.3. Проведення будівництва, реконструкції та капітального ремонту дорожнього покриття вулиць  та тротуарів в населених пунктах територіальної громади.</w:t>
            </w:r>
          </w:p>
        </w:tc>
      </w:tr>
      <w:tr w:rsidR="00CB33C7" w:rsidRPr="00B55EA7" w14:paraId="3361F8F1" w14:textId="77777777" w:rsidTr="00B55EA7">
        <w:trPr>
          <w:jc w:val="right"/>
        </w:trPr>
        <w:tc>
          <w:tcPr>
            <w:tcW w:w="3423" w:type="dxa"/>
            <w:vAlign w:val="center"/>
          </w:tcPr>
          <w:p w14:paraId="7A5B2D6E" w14:textId="77777777" w:rsidR="00CB33C7" w:rsidRPr="00B55EA7" w:rsidRDefault="00CB33C7" w:rsidP="00B55EA7">
            <w:pPr>
              <w:rPr>
                <w:rFonts w:cs="Arial"/>
                <w:b/>
                <w:bCs/>
                <w:color w:val="000000"/>
                <w:szCs w:val="22"/>
              </w:rPr>
            </w:pPr>
            <w:r w:rsidRPr="00B55EA7">
              <w:rPr>
                <w:rFonts w:cs="Arial"/>
                <w:b/>
                <w:bCs/>
                <w:color w:val="000000"/>
                <w:szCs w:val="22"/>
              </w:rPr>
              <w:t>Мета проєкту:</w:t>
            </w:r>
          </w:p>
        </w:tc>
        <w:tc>
          <w:tcPr>
            <w:tcW w:w="6796" w:type="dxa"/>
            <w:gridSpan w:val="5"/>
          </w:tcPr>
          <w:p w14:paraId="16EAD504" w14:textId="77777777" w:rsidR="00CB33C7" w:rsidRPr="00B55EA7" w:rsidRDefault="00CB33C7" w:rsidP="00DD6DC0">
            <w:pPr>
              <w:jc w:val="both"/>
              <w:rPr>
                <w:rFonts w:cs="Arial"/>
                <w:szCs w:val="22"/>
                <w:lang w:eastAsia="it-IT"/>
              </w:rPr>
            </w:pPr>
            <w:r w:rsidRPr="00B55EA7">
              <w:rPr>
                <w:rFonts w:cs="Arial"/>
                <w:szCs w:val="22"/>
                <w:lang w:eastAsia="it-IT"/>
              </w:rPr>
              <w:t>Забезпечення  населення громади м. Жмеринка якісною інфраструктурою, а саме дорогами з рівним покриттям.</w:t>
            </w:r>
          </w:p>
          <w:p w14:paraId="49FABE43" w14:textId="77777777" w:rsidR="00CB33C7" w:rsidRPr="00B55EA7" w:rsidRDefault="00CB33C7" w:rsidP="00DD6DC0">
            <w:pPr>
              <w:jc w:val="both"/>
              <w:rPr>
                <w:rFonts w:cs="Arial"/>
                <w:szCs w:val="22"/>
                <w:lang w:eastAsia="it-IT"/>
              </w:rPr>
            </w:pPr>
            <w:r w:rsidRPr="00B55EA7">
              <w:rPr>
                <w:rFonts w:cs="Arial"/>
                <w:szCs w:val="22"/>
                <w:lang w:eastAsia="it-IT"/>
              </w:rPr>
              <w:t>Мешканці громади отримують більш комфортні   та безпечні умови проживання та перебування в населеному пункті.</w:t>
            </w:r>
          </w:p>
        </w:tc>
      </w:tr>
      <w:tr w:rsidR="00CB33C7" w:rsidRPr="00B55EA7" w14:paraId="0BAE7672" w14:textId="77777777" w:rsidTr="00B55EA7">
        <w:trPr>
          <w:jc w:val="right"/>
        </w:trPr>
        <w:tc>
          <w:tcPr>
            <w:tcW w:w="3423" w:type="dxa"/>
            <w:vAlign w:val="center"/>
          </w:tcPr>
          <w:p w14:paraId="5097FEE8" w14:textId="77777777" w:rsidR="00CB33C7" w:rsidRPr="00B55EA7" w:rsidRDefault="00CB33C7" w:rsidP="00B55EA7">
            <w:pPr>
              <w:rPr>
                <w:rFonts w:cs="Arial"/>
                <w:b/>
                <w:bCs/>
                <w:color w:val="000000"/>
                <w:szCs w:val="22"/>
              </w:rPr>
            </w:pPr>
            <w:r w:rsidRPr="00B55EA7">
              <w:rPr>
                <w:rFonts w:cs="Arial"/>
                <w:b/>
                <w:bCs/>
                <w:color w:val="000000"/>
                <w:szCs w:val="22"/>
              </w:rPr>
              <w:t>Цілі проєкту:</w:t>
            </w:r>
          </w:p>
        </w:tc>
        <w:tc>
          <w:tcPr>
            <w:tcW w:w="6796" w:type="dxa"/>
            <w:gridSpan w:val="5"/>
          </w:tcPr>
          <w:p w14:paraId="721ADD73" w14:textId="77777777" w:rsidR="00CB33C7" w:rsidRPr="00B55EA7" w:rsidRDefault="00CB33C7" w:rsidP="00DD6DC0">
            <w:pPr>
              <w:jc w:val="both"/>
              <w:rPr>
                <w:rFonts w:cs="Arial"/>
                <w:szCs w:val="22"/>
                <w:lang w:eastAsia="it-IT"/>
              </w:rPr>
            </w:pPr>
            <w:r w:rsidRPr="00B55EA7">
              <w:rPr>
                <w:rFonts w:cs="Arial"/>
                <w:szCs w:val="22"/>
                <w:lang w:eastAsia="it-IT"/>
              </w:rPr>
              <w:t>Покращити інфраструктуру   дорожнього покриття в м. Жмеринка</w:t>
            </w:r>
          </w:p>
        </w:tc>
      </w:tr>
      <w:tr w:rsidR="00CB33C7" w:rsidRPr="00B55EA7" w14:paraId="35CC8F0F" w14:textId="77777777" w:rsidTr="00DD6DC0">
        <w:trPr>
          <w:jc w:val="right"/>
        </w:trPr>
        <w:tc>
          <w:tcPr>
            <w:tcW w:w="3423" w:type="dxa"/>
            <w:vAlign w:val="center"/>
          </w:tcPr>
          <w:p w14:paraId="3F02BC05" w14:textId="77777777" w:rsidR="00CB33C7" w:rsidRPr="00B55EA7" w:rsidRDefault="00CB33C7" w:rsidP="00B55EA7">
            <w:pPr>
              <w:autoSpaceDE w:val="0"/>
              <w:autoSpaceDN w:val="0"/>
              <w:adjustRightInd w:val="0"/>
              <w:rPr>
                <w:rFonts w:cs="Arial"/>
                <w:b/>
                <w:color w:val="000000"/>
                <w:szCs w:val="22"/>
              </w:rPr>
            </w:pPr>
            <w:r w:rsidRPr="00B55EA7">
              <w:rPr>
                <w:rFonts w:cs="Arial"/>
                <w:b/>
                <w:color w:val="000000"/>
                <w:szCs w:val="22"/>
              </w:rPr>
              <w:t>Територія на яку проєкт матиме вплив:</w:t>
            </w:r>
          </w:p>
        </w:tc>
        <w:tc>
          <w:tcPr>
            <w:tcW w:w="6796" w:type="dxa"/>
            <w:gridSpan w:val="5"/>
            <w:vAlign w:val="center"/>
          </w:tcPr>
          <w:p w14:paraId="66F3E607" w14:textId="0EC52307" w:rsidR="00CB33C7" w:rsidRPr="00B55EA7" w:rsidRDefault="00CB33C7" w:rsidP="00DD6DC0">
            <w:pPr>
              <w:rPr>
                <w:rFonts w:cs="Arial"/>
                <w:szCs w:val="22"/>
                <w:lang w:eastAsia="it-IT"/>
              </w:rPr>
            </w:pPr>
            <w:r w:rsidRPr="00B55EA7">
              <w:rPr>
                <w:rFonts w:cs="Arial"/>
                <w:szCs w:val="22"/>
                <w:lang w:eastAsia="it-IT"/>
              </w:rPr>
              <w:t xml:space="preserve">Території </w:t>
            </w:r>
            <w:r w:rsidR="00B55EA7" w:rsidRPr="00B55EA7">
              <w:rPr>
                <w:rFonts w:cs="Arial"/>
                <w:szCs w:val="22"/>
                <w:lang w:eastAsia="it-IT"/>
              </w:rPr>
              <w:t>Жмеринська</w:t>
            </w:r>
            <w:r w:rsidRPr="00B55EA7">
              <w:rPr>
                <w:rFonts w:cs="Arial"/>
                <w:szCs w:val="22"/>
                <w:lang w:eastAsia="it-IT"/>
              </w:rPr>
              <w:t xml:space="preserve"> М</w:t>
            </w:r>
            <w:r w:rsidR="00B55EA7" w:rsidRPr="00B55EA7">
              <w:rPr>
                <w:rFonts w:cs="Arial"/>
                <w:szCs w:val="22"/>
                <w:lang w:eastAsia="it-IT"/>
              </w:rPr>
              <w:t>Т</w:t>
            </w:r>
            <w:r w:rsidRPr="00B55EA7">
              <w:rPr>
                <w:rFonts w:cs="Arial"/>
                <w:szCs w:val="22"/>
                <w:lang w:eastAsia="it-IT"/>
              </w:rPr>
              <w:t>Г</w:t>
            </w:r>
          </w:p>
        </w:tc>
      </w:tr>
      <w:tr w:rsidR="00CB33C7" w:rsidRPr="00B55EA7" w14:paraId="38FD99B3" w14:textId="77777777" w:rsidTr="00DD6DC0">
        <w:trPr>
          <w:jc w:val="right"/>
        </w:trPr>
        <w:tc>
          <w:tcPr>
            <w:tcW w:w="3423" w:type="dxa"/>
            <w:vAlign w:val="center"/>
          </w:tcPr>
          <w:p w14:paraId="0398F73D" w14:textId="77777777" w:rsidR="00CB33C7" w:rsidRPr="00B55EA7" w:rsidRDefault="00CB33C7" w:rsidP="00B55EA7">
            <w:pPr>
              <w:autoSpaceDE w:val="0"/>
              <w:autoSpaceDN w:val="0"/>
              <w:adjustRightInd w:val="0"/>
              <w:rPr>
                <w:rFonts w:cs="Arial"/>
                <w:b/>
                <w:color w:val="000000"/>
                <w:szCs w:val="22"/>
              </w:rPr>
            </w:pPr>
            <w:r w:rsidRPr="00B55EA7">
              <w:rPr>
                <w:rFonts w:cs="Arial"/>
                <w:b/>
                <w:color w:val="000000"/>
                <w:szCs w:val="22"/>
              </w:rPr>
              <w:t>Цільові групи проєкту та кількість отримувачів вигоди</w:t>
            </w:r>
          </w:p>
        </w:tc>
        <w:tc>
          <w:tcPr>
            <w:tcW w:w="6796" w:type="dxa"/>
            <w:gridSpan w:val="5"/>
            <w:vAlign w:val="center"/>
          </w:tcPr>
          <w:p w14:paraId="1E5188E6" w14:textId="77777777" w:rsidR="00CB33C7" w:rsidRPr="00B55EA7" w:rsidRDefault="00CB33C7" w:rsidP="00DD6DC0">
            <w:pPr>
              <w:rPr>
                <w:rFonts w:cs="Arial"/>
                <w:szCs w:val="22"/>
                <w:lang w:eastAsia="it-IT"/>
              </w:rPr>
            </w:pPr>
            <w:r w:rsidRPr="00B55EA7">
              <w:rPr>
                <w:rFonts w:cs="Arial"/>
                <w:szCs w:val="22"/>
                <w:lang w:eastAsia="it-IT"/>
              </w:rPr>
              <w:t>Жителі м. Жмеринка в кількості 34353 містян</w:t>
            </w:r>
          </w:p>
        </w:tc>
      </w:tr>
      <w:tr w:rsidR="00CB33C7" w:rsidRPr="00B55EA7" w14:paraId="464ABC12" w14:textId="77777777" w:rsidTr="00B55EA7">
        <w:trPr>
          <w:jc w:val="right"/>
        </w:trPr>
        <w:tc>
          <w:tcPr>
            <w:tcW w:w="3423" w:type="dxa"/>
            <w:shd w:val="clear" w:color="auto" w:fill="FFFFFF"/>
            <w:vAlign w:val="center"/>
          </w:tcPr>
          <w:p w14:paraId="73FE4011" w14:textId="77777777" w:rsidR="00CB33C7" w:rsidRPr="00B55EA7" w:rsidRDefault="00CB33C7" w:rsidP="00B55EA7">
            <w:pPr>
              <w:rPr>
                <w:rFonts w:cs="Arial"/>
                <w:b/>
                <w:bCs/>
                <w:color w:val="000000"/>
                <w:szCs w:val="22"/>
              </w:rPr>
            </w:pPr>
            <w:r w:rsidRPr="00B55EA7">
              <w:rPr>
                <w:rFonts w:cs="Arial"/>
                <w:b/>
                <w:bCs/>
                <w:color w:val="000000"/>
                <w:szCs w:val="22"/>
              </w:rPr>
              <w:t>Стислий опис проєкту:</w:t>
            </w:r>
          </w:p>
        </w:tc>
        <w:tc>
          <w:tcPr>
            <w:tcW w:w="6796" w:type="dxa"/>
            <w:gridSpan w:val="5"/>
          </w:tcPr>
          <w:p w14:paraId="7BECB66C" w14:textId="77777777" w:rsidR="00CB33C7" w:rsidRPr="00B55EA7" w:rsidRDefault="00CB33C7" w:rsidP="00C60A15">
            <w:pPr>
              <w:pStyle w:val="ad"/>
              <w:shd w:val="clear" w:color="auto" w:fill="FFFFFF"/>
              <w:spacing w:before="0" w:beforeAutospacing="0" w:after="0" w:afterAutospacing="0"/>
              <w:jc w:val="both"/>
              <w:rPr>
                <w:rFonts w:cs="Arial"/>
                <w:szCs w:val="22"/>
              </w:rPr>
            </w:pPr>
            <w:r w:rsidRPr="00B55EA7">
              <w:rPr>
                <w:rFonts w:cs="Arial"/>
                <w:szCs w:val="22"/>
              </w:rPr>
              <w:t>Якість доріг забезпечує роботу всіх галузей промисловості, соціальний розвиток суспільства. Забезпечує доступ у різні місця населеного пункту, а також безпечне та надійне переміщення людей і транспортування товарів і має надзвичайно важливе значення.</w:t>
            </w:r>
          </w:p>
          <w:p w14:paraId="431F3CF4" w14:textId="77777777" w:rsidR="00CB33C7" w:rsidRPr="00B55EA7" w:rsidRDefault="00CB33C7" w:rsidP="00B55EA7">
            <w:pPr>
              <w:pStyle w:val="ad"/>
              <w:shd w:val="clear" w:color="auto" w:fill="FFFFFF"/>
              <w:spacing w:before="0" w:beforeAutospacing="0" w:after="0" w:afterAutospacing="0"/>
              <w:ind w:firstLine="148"/>
              <w:jc w:val="both"/>
              <w:rPr>
                <w:rFonts w:cs="Arial"/>
                <w:szCs w:val="22"/>
              </w:rPr>
            </w:pPr>
            <w:r w:rsidRPr="00B55EA7">
              <w:rPr>
                <w:rFonts w:cs="Arial"/>
                <w:szCs w:val="22"/>
              </w:rPr>
              <w:t>Від стану автомобільних доріг залежать витрати на перевезення вантажів та пасажирів, рівень цін, певною мірою зайнятість населення.</w:t>
            </w:r>
          </w:p>
          <w:p w14:paraId="20722FE3" w14:textId="77777777" w:rsidR="00CB33C7" w:rsidRPr="00B55EA7" w:rsidRDefault="00CB33C7" w:rsidP="00B55EA7">
            <w:pPr>
              <w:pStyle w:val="ad"/>
              <w:shd w:val="clear" w:color="auto" w:fill="FFFFFF"/>
              <w:spacing w:before="0" w:beforeAutospacing="0" w:after="0" w:afterAutospacing="0"/>
              <w:ind w:firstLine="148"/>
              <w:jc w:val="both"/>
              <w:rPr>
                <w:rFonts w:cs="Arial"/>
                <w:szCs w:val="22"/>
                <w:shd w:val="clear" w:color="auto" w:fill="FFFFFF"/>
              </w:rPr>
            </w:pPr>
            <w:r w:rsidRPr="00B55EA7">
              <w:rPr>
                <w:rFonts w:cs="Arial"/>
                <w:szCs w:val="22"/>
              </w:rPr>
              <w:t xml:space="preserve"> </w:t>
            </w:r>
            <w:r w:rsidRPr="00B55EA7">
              <w:rPr>
                <w:rFonts w:cs="Arial"/>
                <w:szCs w:val="22"/>
                <w:shd w:val="clear" w:color="auto" w:fill="FFFFFF"/>
              </w:rPr>
              <w:t>Перш за все викликають занепокоєння ті ділянки доріг, по яких проходять автобусні сполучення, підвезення дітей до навчальних закладів, надання невідкладної медичної допомоги.</w:t>
            </w:r>
          </w:p>
          <w:p w14:paraId="57A3E9BC" w14:textId="77777777" w:rsidR="00CB33C7" w:rsidRPr="00B55EA7" w:rsidRDefault="00CB33C7" w:rsidP="00B55EA7">
            <w:pPr>
              <w:pStyle w:val="ad"/>
              <w:shd w:val="clear" w:color="auto" w:fill="FFFFFF"/>
              <w:spacing w:before="0" w:beforeAutospacing="0" w:after="0" w:afterAutospacing="0"/>
              <w:ind w:firstLine="148"/>
              <w:jc w:val="both"/>
              <w:rPr>
                <w:rFonts w:cs="Arial"/>
                <w:szCs w:val="22"/>
                <w:shd w:val="clear" w:color="auto" w:fill="FFFFFF"/>
              </w:rPr>
            </w:pPr>
            <w:r w:rsidRPr="00B55EA7">
              <w:rPr>
                <w:rFonts w:cs="Arial"/>
                <w:szCs w:val="22"/>
                <w:shd w:val="clear" w:color="auto" w:fill="FFFFFF"/>
              </w:rPr>
              <w:t xml:space="preserve">    З метою безперебійного перевезення людей, необхідно провести капітальний ремонт дороги </w:t>
            </w:r>
            <w:r w:rsidRPr="00B55EA7">
              <w:rPr>
                <w:rFonts w:eastAsia="Arial" w:cs="Arial"/>
                <w:szCs w:val="22"/>
                <w:lang w:eastAsia="en-US"/>
              </w:rPr>
              <w:t>по вул. Соборна, 10,12</w:t>
            </w:r>
            <w:r w:rsidRPr="00B55EA7">
              <w:rPr>
                <w:rFonts w:eastAsia="Arial" w:cs="Arial"/>
                <w:b/>
                <w:szCs w:val="22"/>
                <w:lang w:eastAsia="en-US"/>
              </w:rPr>
              <w:t xml:space="preserve"> </w:t>
            </w:r>
            <w:r w:rsidRPr="00B55EA7">
              <w:rPr>
                <w:rFonts w:eastAsia="Arial" w:cs="Arial"/>
                <w:szCs w:val="22"/>
                <w:lang w:eastAsia="en-US"/>
              </w:rPr>
              <w:t>в м. Жмеринка.</w:t>
            </w:r>
          </w:p>
        </w:tc>
      </w:tr>
      <w:tr w:rsidR="00CB33C7" w:rsidRPr="00B55EA7" w14:paraId="6193CBBE" w14:textId="77777777" w:rsidTr="00B55EA7">
        <w:trPr>
          <w:jc w:val="right"/>
        </w:trPr>
        <w:tc>
          <w:tcPr>
            <w:tcW w:w="3423" w:type="dxa"/>
            <w:shd w:val="clear" w:color="auto" w:fill="FFFFFF"/>
            <w:vAlign w:val="center"/>
          </w:tcPr>
          <w:p w14:paraId="3C1DD229" w14:textId="77777777" w:rsidR="00CB33C7" w:rsidRPr="00B55EA7" w:rsidRDefault="00CB33C7" w:rsidP="00B55EA7">
            <w:pPr>
              <w:rPr>
                <w:rFonts w:cs="Arial"/>
                <w:b/>
                <w:bCs/>
                <w:color w:val="000000"/>
                <w:szCs w:val="22"/>
              </w:rPr>
            </w:pPr>
            <w:r w:rsidRPr="00B55EA7">
              <w:rPr>
                <w:rFonts w:cs="Arial"/>
                <w:b/>
                <w:bCs/>
                <w:color w:val="000000"/>
                <w:szCs w:val="22"/>
              </w:rPr>
              <w:t>Основні заходи проєкту:</w:t>
            </w:r>
          </w:p>
        </w:tc>
        <w:tc>
          <w:tcPr>
            <w:tcW w:w="6796" w:type="dxa"/>
            <w:gridSpan w:val="5"/>
          </w:tcPr>
          <w:p w14:paraId="5F143DA5" w14:textId="0FB99814" w:rsidR="00CB33C7" w:rsidRPr="00B55EA7" w:rsidRDefault="00CB33C7" w:rsidP="00C60A15">
            <w:pPr>
              <w:jc w:val="both"/>
              <w:rPr>
                <w:rFonts w:cs="Arial"/>
                <w:szCs w:val="22"/>
                <w:lang w:eastAsia="it-IT"/>
              </w:rPr>
            </w:pPr>
            <w:r w:rsidRPr="00B55EA7">
              <w:rPr>
                <w:rFonts w:cs="Arial"/>
                <w:szCs w:val="22"/>
                <w:lang w:eastAsia="it-IT"/>
              </w:rPr>
              <w:t>Створення робочо</w:t>
            </w:r>
            <w:r w:rsidR="001E42A2">
              <w:rPr>
                <w:rFonts w:cs="Arial"/>
                <w:szCs w:val="22"/>
                <w:lang w:eastAsia="it-IT"/>
              </w:rPr>
              <w:t>ї групи з питань реалізації проє</w:t>
            </w:r>
            <w:r w:rsidRPr="00B55EA7">
              <w:rPr>
                <w:rFonts w:cs="Arial"/>
                <w:szCs w:val="22"/>
                <w:lang w:eastAsia="it-IT"/>
              </w:rPr>
              <w:t xml:space="preserve">кту. </w:t>
            </w:r>
          </w:p>
          <w:p w14:paraId="268DB91C" w14:textId="77777777" w:rsidR="00CB33C7" w:rsidRPr="00B55EA7" w:rsidRDefault="00CB33C7" w:rsidP="00C60A15">
            <w:pPr>
              <w:jc w:val="both"/>
              <w:rPr>
                <w:rFonts w:cs="Arial"/>
                <w:szCs w:val="22"/>
                <w:lang w:eastAsia="it-IT"/>
              </w:rPr>
            </w:pPr>
            <w:r w:rsidRPr="00B55EA7">
              <w:rPr>
                <w:rFonts w:cs="Arial"/>
                <w:szCs w:val="22"/>
                <w:lang w:eastAsia="it-IT"/>
              </w:rPr>
              <w:t>Проведення процедури закупівель (визначення виконавця робіт).</w:t>
            </w:r>
          </w:p>
          <w:p w14:paraId="26033CAB" w14:textId="77777777" w:rsidR="00CB33C7" w:rsidRPr="00B55EA7" w:rsidRDefault="00CB33C7" w:rsidP="00C60A15">
            <w:pPr>
              <w:jc w:val="both"/>
              <w:rPr>
                <w:rFonts w:cs="Arial"/>
                <w:szCs w:val="22"/>
                <w:lang w:eastAsia="it-IT"/>
              </w:rPr>
            </w:pPr>
            <w:r w:rsidRPr="00B55EA7">
              <w:rPr>
                <w:rFonts w:cs="Arial"/>
                <w:szCs w:val="22"/>
                <w:lang w:eastAsia="it-IT"/>
              </w:rPr>
              <w:t>Укладення договорів з виконавцем робіт, організаціями, що здійснюватимуть  технічний та авторський  нагляд .</w:t>
            </w:r>
          </w:p>
          <w:p w14:paraId="653B2943" w14:textId="77777777" w:rsidR="00CB33C7" w:rsidRPr="00B55EA7" w:rsidRDefault="00CB33C7" w:rsidP="00C60A15">
            <w:pPr>
              <w:jc w:val="both"/>
              <w:rPr>
                <w:rFonts w:eastAsia="Arial" w:cs="Arial"/>
                <w:szCs w:val="22"/>
                <w:lang w:eastAsia="en-US"/>
              </w:rPr>
            </w:pPr>
            <w:r w:rsidRPr="00B55EA7">
              <w:rPr>
                <w:rFonts w:cs="Arial"/>
                <w:szCs w:val="22"/>
                <w:lang w:eastAsia="it-IT"/>
              </w:rPr>
              <w:t xml:space="preserve">Виконання робіт з капітального ремонту </w:t>
            </w:r>
            <w:r w:rsidRPr="00B55EA7">
              <w:rPr>
                <w:rFonts w:eastAsia="Arial" w:cs="Arial"/>
                <w:szCs w:val="22"/>
                <w:lang w:eastAsia="en-US"/>
              </w:rPr>
              <w:t>по вул. Соборна, 10,12</w:t>
            </w:r>
            <w:r w:rsidRPr="00B55EA7">
              <w:rPr>
                <w:rFonts w:eastAsia="Arial" w:cs="Arial"/>
                <w:b/>
                <w:szCs w:val="22"/>
                <w:lang w:eastAsia="en-US"/>
              </w:rPr>
              <w:t xml:space="preserve"> </w:t>
            </w:r>
            <w:r w:rsidRPr="00B55EA7">
              <w:rPr>
                <w:rFonts w:eastAsia="Arial" w:cs="Arial"/>
                <w:szCs w:val="22"/>
                <w:lang w:eastAsia="en-US"/>
              </w:rPr>
              <w:t xml:space="preserve"> в м. Жмеринка.</w:t>
            </w:r>
          </w:p>
          <w:p w14:paraId="29AAD193" w14:textId="77777777" w:rsidR="00CB33C7" w:rsidRPr="00B55EA7" w:rsidRDefault="00CB33C7" w:rsidP="00C60A15">
            <w:pPr>
              <w:jc w:val="both"/>
              <w:rPr>
                <w:rFonts w:cs="Arial"/>
                <w:szCs w:val="22"/>
                <w:lang w:eastAsia="it-IT"/>
              </w:rPr>
            </w:pPr>
            <w:r w:rsidRPr="00B55EA7">
              <w:rPr>
                <w:rFonts w:cs="Arial"/>
                <w:szCs w:val="22"/>
                <w:lang w:eastAsia="it-IT"/>
              </w:rPr>
              <w:t>Введення  об’єкту в експлуатацію .</w:t>
            </w:r>
          </w:p>
          <w:p w14:paraId="1936ACE7" w14:textId="08497302" w:rsidR="00CB33C7" w:rsidRPr="00B55EA7" w:rsidRDefault="00CB33C7" w:rsidP="00C60A15">
            <w:pPr>
              <w:jc w:val="both"/>
              <w:rPr>
                <w:rFonts w:cs="Arial"/>
                <w:szCs w:val="22"/>
                <w:lang w:eastAsia="it-IT"/>
              </w:rPr>
            </w:pPr>
            <w:r w:rsidRPr="00B55EA7">
              <w:rPr>
                <w:rFonts w:cs="Arial"/>
                <w:szCs w:val="22"/>
                <w:lang w:eastAsia="it-IT"/>
              </w:rPr>
              <w:t xml:space="preserve">Проведення інформаційних заходів (розміщення  </w:t>
            </w:r>
            <w:r w:rsidR="001E42A2">
              <w:rPr>
                <w:rFonts w:cs="Arial"/>
                <w:szCs w:val="22"/>
                <w:lang w:eastAsia="it-IT"/>
              </w:rPr>
              <w:t>інформації  про реалізацію  проє</w:t>
            </w:r>
            <w:r w:rsidRPr="00B55EA7">
              <w:rPr>
                <w:rFonts w:cs="Arial"/>
                <w:szCs w:val="22"/>
                <w:lang w:eastAsia="it-IT"/>
              </w:rPr>
              <w:t>кту у ЗМІ) .</w:t>
            </w:r>
          </w:p>
        </w:tc>
      </w:tr>
      <w:tr w:rsidR="00CB33C7" w:rsidRPr="00B55EA7" w14:paraId="7437422F" w14:textId="77777777" w:rsidTr="00B55EA7">
        <w:trPr>
          <w:jc w:val="right"/>
        </w:trPr>
        <w:tc>
          <w:tcPr>
            <w:tcW w:w="3423" w:type="dxa"/>
            <w:shd w:val="clear" w:color="auto" w:fill="FFFFFF"/>
            <w:vAlign w:val="center"/>
          </w:tcPr>
          <w:p w14:paraId="7DFC3034" w14:textId="77777777" w:rsidR="00CB33C7" w:rsidRPr="00B55EA7" w:rsidRDefault="00CB33C7" w:rsidP="00B55EA7">
            <w:pPr>
              <w:rPr>
                <w:rFonts w:cs="Arial"/>
                <w:b/>
                <w:bCs/>
                <w:color w:val="000000"/>
                <w:szCs w:val="22"/>
              </w:rPr>
            </w:pPr>
            <w:r w:rsidRPr="00B55EA7">
              <w:rPr>
                <w:rFonts w:cs="Arial"/>
                <w:b/>
                <w:bCs/>
                <w:color w:val="000000"/>
                <w:szCs w:val="22"/>
              </w:rPr>
              <w:t>Індикатори (показники) результативності:</w:t>
            </w:r>
          </w:p>
        </w:tc>
        <w:tc>
          <w:tcPr>
            <w:tcW w:w="6796" w:type="dxa"/>
            <w:gridSpan w:val="5"/>
          </w:tcPr>
          <w:p w14:paraId="4ED24894" w14:textId="77777777" w:rsidR="00CB33C7" w:rsidRPr="00B55EA7" w:rsidRDefault="00CB33C7" w:rsidP="00B55EA7">
            <w:pPr>
              <w:rPr>
                <w:rFonts w:cs="Arial"/>
                <w:szCs w:val="22"/>
                <w:lang w:eastAsia="it-IT"/>
              </w:rPr>
            </w:pPr>
            <w:r w:rsidRPr="00B55EA7">
              <w:rPr>
                <w:rFonts w:cs="Arial"/>
                <w:szCs w:val="22"/>
              </w:rPr>
              <w:t>Орієнтовна площа ділянки, що ремонтується, 2109,5 м2</w:t>
            </w:r>
          </w:p>
        </w:tc>
      </w:tr>
      <w:tr w:rsidR="00CB33C7" w:rsidRPr="00B55EA7" w14:paraId="6B26B3A7" w14:textId="77777777" w:rsidTr="00B55EA7">
        <w:trPr>
          <w:jc w:val="right"/>
        </w:trPr>
        <w:tc>
          <w:tcPr>
            <w:tcW w:w="3423" w:type="dxa"/>
            <w:shd w:val="clear" w:color="auto" w:fill="FFFFFF"/>
            <w:vAlign w:val="center"/>
          </w:tcPr>
          <w:p w14:paraId="06F2FEE9" w14:textId="77777777" w:rsidR="00CB33C7" w:rsidRPr="00B55EA7" w:rsidRDefault="00CB33C7" w:rsidP="00B55EA7">
            <w:pPr>
              <w:rPr>
                <w:rFonts w:cs="Arial"/>
                <w:b/>
                <w:color w:val="000000"/>
                <w:szCs w:val="22"/>
              </w:rPr>
            </w:pPr>
            <w:r w:rsidRPr="00B55EA7">
              <w:rPr>
                <w:rFonts w:cs="Arial"/>
                <w:b/>
                <w:color w:val="000000"/>
                <w:szCs w:val="22"/>
              </w:rPr>
              <w:t xml:space="preserve">Період здійснення: </w:t>
            </w:r>
          </w:p>
        </w:tc>
        <w:tc>
          <w:tcPr>
            <w:tcW w:w="6796" w:type="dxa"/>
            <w:gridSpan w:val="5"/>
            <w:vAlign w:val="center"/>
          </w:tcPr>
          <w:p w14:paraId="3329F19C" w14:textId="77777777" w:rsidR="00CB33C7" w:rsidRPr="00B55EA7" w:rsidRDefault="00CB33C7" w:rsidP="00B55EA7">
            <w:pPr>
              <w:rPr>
                <w:rFonts w:cs="Arial"/>
                <w:color w:val="000000"/>
                <w:szCs w:val="22"/>
                <w:lang w:eastAsia="it-IT"/>
              </w:rPr>
            </w:pPr>
            <w:r w:rsidRPr="00B55EA7">
              <w:rPr>
                <w:rFonts w:cs="Arial"/>
                <w:b/>
                <w:color w:val="000000"/>
                <w:szCs w:val="22"/>
              </w:rPr>
              <w:t>2025 – 2028 роки:</w:t>
            </w:r>
          </w:p>
        </w:tc>
      </w:tr>
      <w:tr w:rsidR="00CB33C7" w:rsidRPr="00B55EA7" w14:paraId="6D5C3A82" w14:textId="77777777" w:rsidTr="00B55EA7">
        <w:trPr>
          <w:trHeight w:val="373"/>
          <w:jc w:val="right"/>
        </w:trPr>
        <w:tc>
          <w:tcPr>
            <w:tcW w:w="3423" w:type="dxa"/>
            <w:vMerge w:val="restart"/>
            <w:shd w:val="clear" w:color="auto" w:fill="FFFFFF"/>
            <w:vAlign w:val="center"/>
          </w:tcPr>
          <w:p w14:paraId="46C70088" w14:textId="77777777" w:rsidR="00CB33C7" w:rsidRPr="00B55EA7" w:rsidRDefault="00CB33C7" w:rsidP="00B55EA7">
            <w:pPr>
              <w:rPr>
                <w:rFonts w:cs="Arial"/>
                <w:b/>
                <w:bCs/>
                <w:color w:val="000000"/>
                <w:szCs w:val="22"/>
              </w:rPr>
            </w:pPr>
            <w:r w:rsidRPr="00B55EA7">
              <w:rPr>
                <w:rFonts w:cs="Arial"/>
                <w:b/>
                <w:bCs/>
                <w:color w:val="000000"/>
                <w:szCs w:val="22"/>
              </w:rPr>
              <w:t>Орієнтовна вартість проєкту, тис. грн., в тому числі:</w:t>
            </w:r>
          </w:p>
        </w:tc>
        <w:tc>
          <w:tcPr>
            <w:tcW w:w="1254" w:type="dxa"/>
            <w:shd w:val="clear" w:color="auto" w:fill="E6E6E6"/>
            <w:vAlign w:val="center"/>
          </w:tcPr>
          <w:p w14:paraId="5B6C4CC7" w14:textId="77777777" w:rsidR="00CB33C7" w:rsidRPr="00B55EA7" w:rsidRDefault="00CB33C7" w:rsidP="00B55EA7">
            <w:pPr>
              <w:jc w:val="center"/>
              <w:rPr>
                <w:rFonts w:cs="Arial"/>
                <w:b/>
                <w:color w:val="000000"/>
                <w:szCs w:val="22"/>
                <w:lang w:eastAsia="it-IT"/>
              </w:rPr>
            </w:pPr>
            <w:r w:rsidRPr="00B55EA7">
              <w:rPr>
                <w:rFonts w:cs="Arial"/>
                <w:b/>
                <w:color w:val="000000"/>
                <w:szCs w:val="22"/>
                <w:lang w:eastAsia="it-IT"/>
              </w:rPr>
              <w:t>2025</w:t>
            </w:r>
          </w:p>
        </w:tc>
        <w:tc>
          <w:tcPr>
            <w:tcW w:w="1411" w:type="dxa"/>
            <w:shd w:val="clear" w:color="auto" w:fill="E6E6E6"/>
            <w:vAlign w:val="center"/>
          </w:tcPr>
          <w:p w14:paraId="64CA534B" w14:textId="77777777" w:rsidR="00CB33C7" w:rsidRPr="00B55EA7" w:rsidRDefault="00CB33C7" w:rsidP="00B55EA7">
            <w:pPr>
              <w:jc w:val="center"/>
              <w:rPr>
                <w:rFonts w:cs="Arial"/>
                <w:b/>
                <w:color w:val="000000"/>
                <w:szCs w:val="22"/>
                <w:lang w:eastAsia="it-IT"/>
              </w:rPr>
            </w:pPr>
            <w:r w:rsidRPr="00B55EA7">
              <w:rPr>
                <w:rFonts w:cs="Arial"/>
                <w:b/>
                <w:color w:val="000000"/>
                <w:szCs w:val="22"/>
                <w:lang w:eastAsia="it-IT"/>
              </w:rPr>
              <w:t>2026</w:t>
            </w:r>
          </w:p>
        </w:tc>
        <w:tc>
          <w:tcPr>
            <w:tcW w:w="1281" w:type="dxa"/>
            <w:tcBorders>
              <w:bottom w:val="single" w:sz="4" w:space="0" w:color="auto"/>
            </w:tcBorders>
            <w:shd w:val="clear" w:color="auto" w:fill="E6E6E6"/>
            <w:vAlign w:val="center"/>
          </w:tcPr>
          <w:p w14:paraId="40EA5EC1" w14:textId="77777777" w:rsidR="00CB33C7" w:rsidRPr="00B55EA7" w:rsidRDefault="00CB33C7" w:rsidP="00B55EA7">
            <w:pPr>
              <w:jc w:val="center"/>
              <w:rPr>
                <w:rFonts w:cs="Arial"/>
                <w:b/>
                <w:color w:val="000000"/>
                <w:szCs w:val="22"/>
                <w:lang w:eastAsia="it-IT"/>
              </w:rPr>
            </w:pPr>
            <w:r w:rsidRPr="00B55EA7">
              <w:rPr>
                <w:rFonts w:cs="Arial"/>
                <w:b/>
                <w:color w:val="000000"/>
                <w:szCs w:val="22"/>
                <w:lang w:eastAsia="it-IT"/>
              </w:rPr>
              <w:t>2027</w:t>
            </w:r>
          </w:p>
        </w:tc>
        <w:tc>
          <w:tcPr>
            <w:tcW w:w="1276" w:type="dxa"/>
            <w:shd w:val="clear" w:color="auto" w:fill="E6E6E6"/>
            <w:vAlign w:val="center"/>
          </w:tcPr>
          <w:p w14:paraId="7A41EB46" w14:textId="77777777" w:rsidR="00CB33C7" w:rsidRPr="00B55EA7" w:rsidRDefault="00CB33C7" w:rsidP="00B55EA7">
            <w:pPr>
              <w:jc w:val="center"/>
              <w:rPr>
                <w:rFonts w:cs="Arial"/>
                <w:b/>
                <w:color w:val="000000"/>
                <w:szCs w:val="22"/>
                <w:lang w:eastAsia="it-IT"/>
              </w:rPr>
            </w:pPr>
            <w:r w:rsidRPr="00B55EA7">
              <w:rPr>
                <w:rFonts w:cs="Arial"/>
                <w:b/>
                <w:color w:val="000000"/>
                <w:szCs w:val="22"/>
                <w:lang w:eastAsia="it-IT"/>
              </w:rPr>
              <w:t>2028</w:t>
            </w:r>
          </w:p>
        </w:tc>
        <w:tc>
          <w:tcPr>
            <w:tcW w:w="1574" w:type="dxa"/>
            <w:shd w:val="clear" w:color="auto" w:fill="E6E6E6"/>
            <w:vAlign w:val="center"/>
          </w:tcPr>
          <w:p w14:paraId="4DEBE27A" w14:textId="77777777" w:rsidR="00CB33C7" w:rsidRPr="00B55EA7" w:rsidRDefault="00CB33C7" w:rsidP="00B55EA7">
            <w:pPr>
              <w:jc w:val="center"/>
              <w:rPr>
                <w:rFonts w:cs="Arial"/>
                <w:b/>
                <w:color w:val="000000"/>
                <w:szCs w:val="22"/>
                <w:lang w:eastAsia="it-IT"/>
              </w:rPr>
            </w:pPr>
            <w:r w:rsidRPr="00B55EA7">
              <w:rPr>
                <w:rFonts w:cs="Arial"/>
                <w:b/>
                <w:color w:val="000000"/>
                <w:szCs w:val="22"/>
                <w:lang w:eastAsia="it-IT"/>
              </w:rPr>
              <w:t>РАЗОМ</w:t>
            </w:r>
          </w:p>
        </w:tc>
      </w:tr>
      <w:tr w:rsidR="00CB33C7" w:rsidRPr="00B55EA7" w14:paraId="634E30BB" w14:textId="77777777" w:rsidTr="00B55EA7">
        <w:trPr>
          <w:jc w:val="right"/>
        </w:trPr>
        <w:tc>
          <w:tcPr>
            <w:tcW w:w="3423" w:type="dxa"/>
            <w:vMerge/>
            <w:shd w:val="clear" w:color="auto" w:fill="FFFFFF"/>
            <w:vAlign w:val="center"/>
          </w:tcPr>
          <w:p w14:paraId="063D856A" w14:textId="77777777" w:rsidR="00CB33C7" w:rsidRPr="00B55EA7" w:rsidRDefault="00CB33C7" w:rsidP="00B55EA7">
            <w:pPr>
              <w:rPr>
                <w:rFonts w:cs="Arial"/>
                <w:b/>
                <w:bCs/>
                <w:color w:val="000000"/>
                <w:szCs w:val="22"/>
              </w:rPr>
            </w:pPr>
          </w:p>
        </w:tc>
        <w:tc>
          <w:tcPr>
            <w:tcW w:w="1254" w:type="dxa"/>
            <w:vAlign w:val="center"/>
          </w:tcPr>
          <w:p w14:paraId="0133F47A" w14:textId="77777777" w:rsidR="00CB33C7" w:rsidRPr="00B55EA7" w:rsidRDefault="00CB33C7" w:rsidP="00B55EA7">
            <w:pPr>
              <w:jc w:val="center"/>
              <w:rPr>
                <w:rFonts w:cs="Arial"/>
                <w:b/>
                <w:color w:val="000000"/>
                <w:szCs w:val="22"/>
                <w:lang w:eastAsia="it-IT"/>
              </w:rPr>
            </w:pPr>
          </w:p>
        </w:tc>
        <w:tc>
          <w:tcPr>
            <w:tcW w:w="1411" w:type="dxa"/>
            <w:shd w:val="clear" w:color="auto" w:fill="FFFFFF"/>
          </w:tcPr>
          <w:p w14:paraId="41368BF1" w14:textId="77777777" w:rsidR="00CB33C7" w:rsidRPr="00B55EA7" w:rsidRDefault="00CB33C7" w:rsidP="00B55EA7">
            <w:pPr>
              <w:jc w:val="center"/>
              <w:rPr>
                <w:rFonts w:cs="Arial"/>
                <w:color w:val="000000"/>
                <w:szCs w:val="22"/>
                <w:lang w:eastAsia="it-IT"/>
              </w:rPr>
            </w:pPr>
            <w:r w:rsidRPr="00B55EA7">
              <w:rPr>
                <w:rFonts w:cs="Arial"/>
                <w:spacing w:val="-5"/>
                <w:szCs w:val="22"/>
              </w:rPr>
              <w:t>9881,786</w:t>
            </w:r>
          </w:p>
        </w:tc>
        <w:tc>
          <w:tcPr>
            <w:tcW w:w="1281" w:type="dxa"/>
            <w:shd w:val="clear" w:color="auto" w:fill="auto"/>
          </w:tcPr>
          <w:p w14:paraId="64A3690D" w14:textId="77777777" w:rsidR="00CB33C7" w:rsidRPr="00B55EA7" w:rsidRDefault="00CB33C7" w:rsidP="00B55EA7">
            <w:pPr>
              <w:jc w:val="center"/>
              <w:rPr>
                <w:rFonts w:cs="Arial"/>
                <w:b/>
                <w:color w:val="000000"/>
                <w:szCs w:val="22"/>
                <w:lang w:eastAsia="it-IT"/>
              </w:rPr>
            </w:pPr>
          </w:p>
        </w:tc>
        <w:tc>
          <w:tcPr>
            <w:tcW w:w="1276" w:type="dxa"/>
            <w:shd w:val="clear" w:color="auto" w:fill="FFFFFF"/>
          </w:tcPr>
          <w:p w14:paraId="6C020E7B" w14:textId="77777777" w:rsidR="00CB33C7" w:rsidRPr="00B55EA7" w:rsidRDefault="00CB33C7" w:rsidP="00B55EA7">
            <w:pPr>
              <w:jc w:val="center"/>
              <w:rPr>
                <w:rFonts w:cs="Arial"/>
                <w:b/>
                <w:color w:val="000000"/>
                <w:szCs w:val="22"/>
                <w:lang w:eastAsia="it-IT"/>
              </w:rPr>
            </w:pPr>
          </w:p>
        </w:tc>
        <w:tc>
          <w:tcPr>
            <w:tcW w:w="1574" w:type="dxa"/>
            <w:shd w:val="clear" w:color="auto" w:fill="FFFFFF"/>
          </w:tcPr>
          <w:p w14:paraId="25F28111" w14:textId="77777777" w:rsidR="00CB33C7" w:rsidRPr="00B55EA7" w:rsidRDefault="00CB33C7" w:rsidP="00B55EA7">
            <w:pPr>
              <w:jc w:val="center"/>
              <w:rPr>
                <w:rFonts w:cs="Arial"/>
                <w:b/>
                <w:color w:val="000000"/>
                <w:szCs w:val="22"/>
                <w:lang w:eastAsia="it-IT"/>
              </w:rPr>
            </w:pPr>
            <w:r w:rsidRPr="00B55EA7">
              <w:rPr>
                <w:rFonts w:cs="Arial"/>
                <w:b/>
                <w:spacing w:val="-5"/>
                <w:szCs w:val="22"/>
              </w:rPr>
              <w:t>9881,786</w:t>
            </w:r>
          </w:p>
        </w:tc>
      </w:tr>
      <w:tr w:rsidR="00B55EA7" w:rsidRPr="00B55EA7" w14:paraId="329F3934" w14:textId="2DF2120D" w:rsidTr="00B55EA7">
        <w:trPr>
          <w:trHeight w:val="276"/>
          <w:jc w:val="right"/>
        </w:trPr>
        <w:tc>
          <w:tcPr>
            <w:tcW w:w="3423" w:type="dxa"/>
            <w:shd w:val="clear" w:color="auto" w:fill="FFFFFF"/>
            <w:vAlign w:val="center"/>
          </w:tcPr>
          <w:p w14:paraId="49B061AE" w14:textId="77777777" w:rsidR="00B55EA7" w:rsidRPr="00B55EA7" w:rsidRDefault="00B55EA7" w:rsidP="00B55EA7">
            <w:pPr>
              <w:rPr>
                <w:rFonts w:cs="Arial"/>
                <w:b/>
                <w:bCs/>
                <w:color w:val="000000"/>
                <w:szCs w:val="22"/>
              </w:rPr>
            </w:pPr>
            <w:r w:rsidRPr="00B55EA7">
              <w:rPr>
                <w:rFonts w:cs="Arial"/>
                <w:b/>
                <w:bCs/>
                <w:color w:val="000000"/>
                <w:szCs w:val="22"/>
              </w:rPr>
              <w:t>по джерелах фінансування:</w:t>
            </w:r>
          </w:p>
        </w:tc>
        <w:tc>
          <w:tcPr>
            <w:tcW w:w="1254" w:type="dxa"/>
            <w:vAlign w:val="center"/>
          </w:tcPr>
          <w:p w14:paraId="0EA031B2" w14:textId="77777777" w:rsidR="00B55EA7" w:rsidRPr="00B55EA7" w:rsidRDefault="00B55EA7" w:rsidP="00B55EA7">
            <w:pPr>
              <w:jc w:val="both"/>
              <w:rPr>
                <w:rFonts w:cs="Arial"/>
                <w:color w:val="000000"/>
                <w:szCs w:val="22"/>
                <w:lang w:eastAsia="it-IT"/>
              </w:rPr>
            </w:pPr>
          </w:p>
        </w:tc>
        <w:tc>
          <w:tcPr>
            <w:tcW w:w="1410" w:type="dxa"/>
          </w:tcPr>
          <w:p w14:paraId="219837D2" w14:textId="77777777" w:rsidR="00B55EA7" w:rsidRPr="00B55EA7" w:rsidRDefault="00B55EA7" w:rsidP="00B55EA7">
            <w:pPr>
              <w:jc w:val="center"/>
              <w:rPr>
                <w:rFonts w:cs="Arial"/>
                <w:color w:val="000000"/>
                <w:szCs w:val="22"/>
                <w:lang w:eastAsia="it-IT"/>
              </w:rPr>
            </w:pPr>
          </w:p>
        </w:tc>
        <w:tc>
          <w:tcPr>
            <w:tcW w:w="1280" w:type="dxa"/>
          </w:tcPr>
          <w:p w14:paraId="5F80EC5B" w14:textId="77777777" w:rsidR="00B55EA7" w:rsidRPr="00B55EA7" w:rsidRDefault="00B55EA7" w:rsidP="00B55EA7">
            <w:pPr>
              <w:jc w:val="center"/>
              <w:rPr>
                <w:rFonts w:cs="Arial"/>
                <w:color w:val="000000"/>
                <w:szCs w:val="22"/>
                <w:lang w:eastAsia="it-IT"/>
              </w:rPr>
            </w:pPr>
          </w:p>
        </w:tc>
        <w:tc>
          <w:tcPr>
            <w:tcW w:w="1280" w:type="dxa"/>
          </w:tcPr>
          <w:p w14:paraId="0A7916E6" w14:textId="77777777" w:rsidR="00B55EA7" w:rsidRPr="00B55EA7" w:rsidRDefault="00B55EA7" w:rsidP="00B55EA7">
            <w:pPr>
              <w:jc w:val="center"/>
              <w:rPr>
                <w:rFonts w:cs="Arial"/>
                <w:color w:val="000000"/>
                <w:szCs w:val="22"/>
                <w:lang w:eastAsia="it-IT"/>
              </w:rPr>
            </w:pPr>
          </w:p>
        </w:tc>
        <w:tc>
          <w:tcPr>
            <w:tcW w:w="1572" w:type="dxa"/>
          </w:tcPr>
          <w:p w14:paraId="3AAB3FEF" w14:textId="77777777" w:rsidR="00B55EA7" w:rsidRPr="00B55EA7" w:rsidRDefault="00B55EA7" w:rsidP="00B55EA7">
            <w:pPr>
              <w:jc w:val="center"/>
              <w:rPr>
                <w:rFonts w:cs="Arial"/>
                <w:color w:val="000000"/>
                <w:szCs w:val="22"/>
                <w:lang w:eastAsia="it-IT"/>
              </w:rPr>
            </w:pPr>
          </w:p>
        </w:tc>
      </w:tr>
      <w:tr w:rsidR="00B55EA7" w:rsidRPr="00B55EA7" w14:paraId="2637ADF3" w14:textId="05A16FB9" w:rsidTr="00B55EA7">
        <w:trPr>
          <w:trHeight w:val="240"/>
          <w:jc w:val="right"/>
        </w:trPr>
        <w:tc>
          <w:tcPr>
            <w:tcW w:w="3423" w:type="dxa"/>
            <w:shd w:val="clear" w:color="auto" w:fill="FFFFFF"/>
            <w:vAlign w:val="center"/>
          </w:tcPr>
          <w:p w14:paraId="21625AEE" w14:textId="77777777" w:rsidR="00B55EA7" w:rsidRPr="00B55EA7" w:rsidRDefault="00B55EA7" w:rsidP="00B55EA7">
            <w:pPr>
              <w:rPr>
                <w:rFonts w:cs="Arial"/>
                <w:b/>
                <w:bCs/>
                <w:color w:val="000000"/>
                <w:szCs w:val="22"/>
              </w:rPr>
            </w:pPr>
            <w:r w:rsidRPr="00B55EA7">
              <w:rPr>
                <w:rFonts w:cs="Arial"/>
                <w:color w:val="000000"/>
                <w:szCs w:val="22"/>
              </w:rPr>
              <w:t>- державний бюджет</w:t>
            </w:r>
          </w:p>
        </w:tc>
        <w:tc>
          <w:tcPr>
            <w:tcW w:w="1254" w:type="dxa"/>
            <w:vAlign w:val="center"/>
          </w:tcPr>
          <w:p w14:paraId="55472A89" w14:textId="77777777" w:rsidR="00B55EA7" w:rsidRPr="00B55EA7" w:rsidRDefault="00B55EA7" w:rsidP="00B55EA7">
            <w:pPr>
              <w:jc w:val="both"/>
              <w:rPr>
                <w:rFonts w:cs="Arial"/>
                <w:color w:val="000000"/>
                <w:szCs w:val="22"/>
                <w:lang w:eastAsia="it-IT"/>
              </w:rPr>
            </w:pPr>
          </w:p>
        </w:tc>
        <w:tc>
          <w:tcPr>
            <w:tcW w:w="1410" w:type="dxa"/>
          </w:tcPr>
          <w:p w14:paraId="77457F9F" w14:textId="77777777" w:rsidR="00B55EA7" w:rsidRPr="00B55EA7" w:rsidRDefault="00B55EA7" w:rsidP="00B55EA7">
            <w:pPr>
              <w:jc w:val="center"/>
              <w:rPr>
                <w:rFonts w:cs="Arial"/>
                <w:color w:val="000000"/>
                <w:szCs w:val="22"/>
                <w:lang w:eastAsia="it-IT"/>
              </w:rPr>
            </w:pPr>
          </w:p>
        </w:tc>
        <w:tc>
          <w:tcPr>
            <w:tcW w:w="1280" w:type="dxa"/>
          </w:tcPr>
          <w:p w14:paraId="0B7B5B7D" w14:textId="77777777" w:rsidR="00B55EA7" w:rsidRPr="00B55EA7" w:rsidRDefault="00B55EA7" w:rsidP="00B55EA7">
            <w:pPr>
              <w:jc w:val="center"/>
              <w:rPr>
                <w:rFonts w:cs="Arial"/>
                <w:color w:val="000000"/>
                <w:szCs w:val="22"/>
                <w:lang w:eastAsia="it-IT"/>
              </w:rPr>
            </w:pPr>
          </w:p>
        </w:tc>
        <w:tc>
          <w:tcPr>
            <w:tcW w:w="1280" w:type="dxa"/>
          </w:tcPr>
          <w:p w14:paraId="1C429C7F" w14:textId="77777777" w:rsidR="00B55EA7" w:rsidRPr="00B55EA7" w:rsidRDefault="00B55EA7" w:rsidP="00B55EA7">
            <w:pPr>
              <w:jc w:val="center"/>
              <w:rPr>
                <w:rFonts w:cs="Arial"/>
                <w:color w:val="000000"/>
                <w:szCs w:val="22"/>
                <w:lang w:eastAsia="it-IT"/>
              </w:rPr>
            </w:pPr>
          </w:p>
        </w:tc>
        <w:tc>
          <w:tcPr>
            <w:tcW w:w="1572" w:type="dxa"/>
          </w:tcPr>
          <w:p w14:paraId="1D47AFBA" w14:textId="77777777" w:rsidR="00B55EA7" w:rsidRPr="00B55EA7" w:rsidRDefault="00B55EA7" w:rsidP="00B55EA7">
            <w:pPr>
              <w:jc w:val="center"/>
              <w:rPr>
                <w:rFonts w:cs="Arial"/>
                <w:color w:val="000000"/>
                <w:szCs w:val="22"/>
                <w:lang w:eastAsia="it-IT"/>
              </w:rPr>
            </w:pPr>
          </w:p>
        </w:tc>
      </w:tr>
      <w:tr w:rsidR="00B55EA7" w:rsidRPr="00B55EA7" w14:paraId="7DCC89A0" w14:textId="1A8218CF" w:rsidTr="00B55EA7">
        <w:trPr>
          <w:trHeight w:val="254"/>
          <w:jc w:val="right"/>
        </w:trPr>
        <w:tc>
          <w:tcPr>
            <w:tcW w:w="3423" w:type="dxa"/>
            <w:shd w:val="clear" w:color="auto" w:fill="FFFFFF"/>
            <w:vAlign w:val="center"/>
          </w:tcPr>
          <w:p w14:paraId="4119177F" w14:textId="77777777" w:rsidR="00B55EA7" w:rsidRPr="00B55EA7" w:rsidRDefault="00B55EA7" w:rsidP="00B55EA7">
            <w:pPr>
              <w:rPr>
                <w:rFonts w:cs="Arial"/>
                <w:color w:val="000000"/>
                <w:szCs w:val="22"/>
              </w:rPr>
            </w:pPr>
            <w:r w:rsidRPr="00B55EA7">
              <w:rPr>
                <w:rFonts w:cs="Arial"/>
                <w:color w:val="000000"/>
                <w:szCs w:val="22"/>
              </w:rPr>
              <w:t>- обласний бюджет</w:t>
            </w:r>
          </w:p>
        </w:tc>
        <w:tc>
          <w:tcPr>
            <w:tcW w:w="1254" w:type="dxa"/>
            <w:vAlign w:val="center"/>
          </w:tcPr>
          <w:p w14:paraId="7AA74344" w14:textId="77777777" w:rsidR="00B55EA7" w:rsidRPr="00B55EA7" w:rsidRDefault="00B55EA7" w:rsidP="00B55EA7">
            <w:pPr>
              <w:jc w:val="both"/>
              <w:rPr>
                <w:rFonts w:cs="Arial"/>
                <w:color w:val="000000"/>
                <w:szCs w:val="22"/>
                <w:lang w:eastAsia="it-IT"/>
              </w:rPr>
            </w:pPr>
          </w:p>
        </w:tc>
        <w:tc>
          <w:tcPr>
            <w:tcW w:w="1410" w:type="dxa"/>
          </w:tcPr>
          <w:p w14:paraId="6C25C6E6" w14:textId="77777777" w:rsidR="00B55EA7" w:rsidRPr="00B55EA7" w:rsidRDefault="00B55EA7" w:rsidP="00B55EA7">
            <w:pPr>
              <w:jc w:val="center"/>
              <w:rPr>
                <w:rFonts w:cs="Arial"/>
                <w:color w:val="000000"/>
                <w:szCs w:val="22"/>
                <w:lang w:eastAsia="it-IT"/>
              </w:rPr>
            </w:pPr>
          </w:p>
        </w:tc>
        <w:tc>
          <w:tcPr>
            <w:tcW w:w="1280" w:type="dxa"/>
          </w:tcPr>
          <w:p w14:paraId="37542E19" w14:textId="77777777" w:rsidR="00B55EA7" w:rsidRPr="00B55EA7" w:rsidRDefault="00B55EA7" w:rsidP="00B55EA7">
            <w:pPr>
              <w:jc w:val="center"/>
              <w:rPr>
                <w:rFonts w:cs="Arial"/>
                <w:color w:val="000000"/>
                <w:szCs w:val="22"/>
                <w:lang w:eastAsia="it-IT"/>
              </w:rPr>
            </w:pPr>
          </w:p>
        </w:tc>
        <w:tc>
          <w:tcPr>
            <w:tcW w:w="1280" w:type="dxa"/>
          </w:tcPr>
          <w:p w14:paraId="65BC9E12" w14:textId="77777777" w:rsidR="00B55EA7" w:rsidRPr="00B55EA7" w:rsidRDefault="00B55EA7" w:rsidP="00B55EA7">
            <w:pPr>
              <w:jc w:val="center"/>
              <w:rPr>
                <w:rFonts w:cs="Arial"/>
                <w:color w:val="000000"/>
                <w:szCs w:val="22"/>
                <w:lang w:eastAsia="it-IT"/>
              </w:rPr>
            </w:pPr>
          </w:p>
        </w:tc>
        <w:tc>
          <w:tcPr>
            <w:tcW w:w="1572" w:type="dxa"/>
          </w:tcPr>
          <w:p w14:paraId="0BFE7267" w14:textId="77777777" w:rsidR="00B55EA7" w:rsidRPr="00B55EA7" w:rsidRDefault="00B55EA7" w:rsidP="00B55EA7">
            <w:pPr>
              <w:jc w:val="center"/>
              <w:rPr>
                <w:rFonts w:cs="Arial"/>
                <w:color w:val="000000"/>
                <w:szCs w:val="22"/>
                <w:lang w:eastAsia="it-IT"/>
              </w:rPr>
            </w:pPr>
          </w:p>
        </w:tc>
      </w:tr>
      <w:tr w:rsidR="00B55EA7" w:rsidRPr="00B55EA7" w14:paraId="21FC0B73" w14:textId="1FDA9E65" w:rsidTr="00B55EA7">
        <w:trPr>
          <w:trHeight w:val="275"/>
          <w:jc w:val="right"/>
        </w:trPr>
        <w:tc>
          <w:tcPr>
            <w:tcW w:w="3423" w:type="dxa"/>
            <w:shd w:val="clear" w:color="auto" w:fill="FFFFFF"/>
            <w:vAlign w:val="center"/>
          </w:tcPr>
          <w:p w14:paraId="2AC8BE21" w14:textId="77777777" w:rsidR="00B55EA7" w:rsidRPr="00B55EA7" w:rsidRDefault="00B55EA7" w:rsidP="00B55EA7">
            <w:pPr>
              <w:rPr>
                <w:rFonts w:cs="Arial"/>
                <w:color w:val="000000"/>
                <w:szCs w:val="22"/>
              </w:rPr>
            </w:pPr>
            <w:r w:rsidRPr="00B55EA7">
              <w:rPr>
                <w:rFonts w:cs="Arial"/>
                <w:color w:val="000000"/>
                <w:szCs w:val="22"/>
              </w:rPr>
              <w:t>- бюджет Жмеринської МТГ</w:t>
            </w:r>
          </w:p>
        </w:tc>
        <w:tc>
          <w:tcPr>
            <w:tcW w:w="1254" w:type="dxa"/>
            <w:vAlign w:val="center"/>
          </w:tcPr>
          <w:p w14:paraId="7232CD54" w14:textId="1AC7F23B" w:rsidR="00B55EA7" w:rsidRPr="00B55EA7" w:rsidRDefault="00B55EA7" w:rsidP="00B55EA7">
            <w:pPr>
              <w:jc w:val="both"/>
              <w:rPr>
                <w:rFonts w:cs="Arial"/>
                <w:color w:val="000000"/>
                <w:szCs w:val="22"/>
                <w:lang w:eastAsia="it-IT"/>
              </w:rPr>
            </w:pPr>
          </w:p>
        </w:tc>
        <w:tc>
          <w:tcPr>
            <w:tcW w:w="1410" w:type="dxa"/>
          </w:tcPr>
          <w:p w14:paraId="36C017E4" w14:textId="14C3AE45" w:rsidR="00B55EA7" w:rsidRPr="00B55EA7" w:rsidRDefault="00B55EA7" w:rsidP="00B55EA7">
            <w:pPr>
              <w:jc w:val="center"/>
              <w:rPr>
                <w:rFonts w:cs="Arial"/>
                <w:color w:val="000000"/>
                <w:szCs w:val="22"/>
                <w:lang w:eastAsia="it-IT"/>
              </w:rPr>
            </w:pPr>
            <w:r w:rsidRPr="00B55EA7">
              <w:rPr>
                <w:rFonts w:cs="Arial"/>
                <w:spacing w:val="-5"/>
                <w:szCs w:val="22"/>
              </w:rPr>
              <w:t>9881,786</w:t>
            </w:r>
          </w:p>
        </w:tc>
        <w:tc>
          <w:tcPr>
            <w:tcW w:w="1280" w:type="dxa"/>
          </w:tcPr>
          <w:p w14:paraId="72B8829B" w14:textId="77777777" w:rsidR="00B55EA7" w:rsidRPr="00B55EA7" w:rsidRDefault="00B55EA7" w:rsidP="00B55EA7">
            <w:pPr>
              <w:jc w:val="center"/>
              <w:rPr>
                <w:rFonts w:cs="Arial"/>
                <w:color w:val="000000"/>
                <w:szCs w:val="22"/>
                <w:lang w:eastAsia="it-IT"/>
              </w:rPr>
            </w:pPr>
          </w:p>
        </w:tc>
        <w:tc>
          <w:tcPr>
            <w:tcW w:w="1280" w:type="dxa"/>
          </w:tcPr>
          <w:p w14:paraId="084380AD" w14:textId="77777777" w:rsidR="00B55EA7" w:rsidRPr="00B55EA7" w:rsidRDefault="00B55EA7" w:rsidP="00B55EA7">
            <w:pPr>
              <w:jc w:val="center"/>
              <w:rPr>
                <w:rFonts w:cs="Arial"/>
                <w:color w:val="000000"/>
                <w:szCs w:val="22"/>
                <w:lang w:eastAsia="it-IT"/>
              </w:rPr>
            </w:pPr>
          </w:p>
        </w:tc>
        <w:tc>
          <w:tcPr>
            <w:tcW w:w="1572" w:type="dxa"/>
          </w:tcPr>
          <w:p w14:paraId="20FB4131" w14:textId="4E623A67" w:rsidR="00B55EA7" w:rsidRPr="00B55EA7" w:rsidRDefault="00B55EA7" w:rsidP="00B55EA7">
            <w:pPr>
              <w:jc w:val="center"/>
              <w:rPr>
                <w:rFonts w:cs="Arial"/>
                <w:color w:val="000000"/>
                <w:szCs w:val="22"/>
                <w:lang w:eastAsia="it-IT"/>
              </w:rPr>
            </w:pPr>
            <w:r w:rsidRPr="00B55EA7">
              <w:rPr>
                <w:rFonts w:cs="Arial"/>
                <w:b/>
                <w:spacing w:val="-5"/>
                <w:szCs w:val="22"/>
              </w:rPr>
              <w:t>9881,786</w:t>
            </w:r>
          </w:p>
        </w:tc>
      </w:tr>
      <w:tr w:rsidR="00B55EA7" w:rsidRPr="00B55EA7" w14:paraId="2198426B" w14:textId="36795A11" w:rsidTr="00B55EA7">
        <w:trPr>
          <w:trHeight w:val="226"/>
          <w:jc w:val="right"/>
        </w:trPr>
        <w:tc>
          <w:tcPr>
            <w:tcW w:w="3423" w:type="dxa"/>
            <w:shd w:val="clear" w:color="auto" w:fill="FFFFFF"/>
            <w:vAlign w:val="center"/>
          </w:tcPr>
          <w:p w14:paraId="5D4FFF09" w14:textId="77777777" w:rsidR="00B55EA7" w:rsidRPr="00B55EA7" w:rsidRDefault="00B55EA7" w:rsidP="00B55EA7">
            <w:pPr>
              <w:rPr>
                <w:rFonts w:cs="Arial"/>
                <w:color w:val="000000"/>
                <w:szCs w:val="22"/>
              </w:rPr>
            </w:pPr>
            <w:r w:rsidRPr="00B55EA7">
              <w:rPr>
                <w:rFonts w:cs="Arial"/>
                <w:color w:val="000000"/>
                <w:szCs w:val="22"/>
              </w:rPr>
              <w:t>- інші джерела фінансування</w:t>
            </w:r>
          </w:p>
        </w:tc>
        <w:tc>
          <w:tcPr>
            <w:tcW w:w="1254" w:type="dxa"/>
            <w:vAlign w:val="center"/>
          </w:tcPr>
          <w:p w14:paraId="60F7E850" w14:textId="77777777" w:rsidR="00B55EA7" w:rsidRPr="00B55EA7" w:rsidRDefault="00B55EA7" w:rsidP="00B55EA7">
            <w:pPr>
              <w:jc w:val="both"/>
              <w:rPr>
                <w:rFonts w:cs="Arial"/>
                <w:color w:val="000000"/>
                <w:szCs w:val="22"/>
                <w:lang w:eastAsia="it-IT"/>
              </w:rPr>
            </w:pPr>
          </w:p>
        </w:tc>
        <w:tc>
          <w:tcPr>
            <w:tcW w:w="1410" w:type="dxa"/>
            <w:vAlign w:val="center"/>
          </w:tcPr>
          <w:p w14:paraId="78AAAB99" w14:textId="77777777" w:rsidR="00B55EA7" w:rsidRPr="00B55EA7" w:rsidRDefault="00B55EA7" w:rsidP="00B55EA7">
            <w:pPr>
              <w:jc w:val="both"/>
              <w:rPr>
                <w:rFonts w:cs="Arial"/>
                <w:color w:val="000000"/>
                <w:szCs w:val="22"/>
                <w:lang w:eastAsia="it-IT"/>
              </w:rPr>
            </w:pPr>
          </w:p>
        </w:tc>
        <w:tc>
          <w:tcPr>
            <w:tcW w:w="1280" w:type="dxa"/>
            <w:vAlign w:val="center"/>
          </w:tcPr>
          <w:p w14:paraId="57CC078B" w14:textId="77777777" w:rsidR="00B55EA7" w:rsidRPr="00B55EA7" w:rsidRDefault="00B55EA7" w:rsidP="00B55EA7">
            <w:pPr>
              <w:jc w:val="both"/>
              <w:rPr>
                <w:rFonts w:cs="Arial"/>
                <w:color w:val="000000"/>
                <w:szCs w:val="22"/>
                <w:lang w:eastAsia="it-IT"/>
              </w:rPr>
            </w:pPr>
          </w:p>
        </w:tc>
        <w:tc>
          <w:tcPr>
            <w:tcW w:w="1280" w:type="dxa"/>
            <w:vAlign w:val="center"/>
          </w:tcPr>
          <w:p w14:paraId="66FBD0B8" w14:textId="77777777" w:rsidR="00B55EA7" w:rsidRPr="00B55EA7" w:rsidRDefault="00B55EA7" w:rsidP="00B55EA7">
            <w:pPr>
              <w:jc w:val="both"/>
              <w:rPr>
                <w:rFonts w:cs="Arial"/>
                <w:color w:val="000000"/>
                <w:szCs w:val="22"/>
                <w:lang w:eastAsia="it-IT"/>
              </w:rPr>
            </w:pPr>
          </w:p>
        </w:tc>
        <w:tc>
          <w:tcPr>
            <w:tcW w:w="1572" w:type="dxa"/>
            <w:vAlign w:val="center"/>
          </w:tcPr>
          <w:p w14:paraId="68810774" w14:textId="77777777" w:rsidR="00B55EA7" w:rsidRPr="00B55EA7" w:rsidRDefault="00B55EA7" w:rsidP="00B55EA7">
            <w:pPr>
              <w:jc w:val="both"/>
              <w:rPr>
                <w:rFonts w:cs="Arial"/>
                <w:color w:val="000000"/>
                <w:szCs w:val="22"/>
                <w:lang w:eastAsia="it-IT"/>
              </w:rPr>
            </w:pPr>
          </w:p>
        </w:tc>
      </w:tr>
      <w:tr w:rsidR="00B55EA7" w:rsidRPr="00B55EA7" w14:paraId="633C1683" w14:textId="77777777" w:rsidTr="00B55EA7">
        <w:trPr>
          <w:jc w:val="right"/>
        </w:trPr>
        <w:tc>
          <w:tcPr>
            <w:tcW w:w="3423" w:type="dxa"/>
            <w:shd w:val="clear" w:color="auto" w:fill="FFFFFF"/>
            <w:vAlign w:val="center"/>
          </w:tcPr>
          <w:p w14:paraId="6938D84A" w14:textId="77777777" w:rsidR="00B55EA7" w:rsidRPr="00B55EA7" w:rsidRDefault="00B55EA7" w:rsidP="00B55EA7">
            <w:pPr>
              <w:rPr>
                <w:rFonts w:cs="Arial"/>
                <w:b/>
                <w:bCs/>
                <w:color w:val="000000"/>
                <w:szCs w:val="22"/>
              </w:rPr>
            </w:pPr>
            <w:r w:rsidRPr="00B55EA7">
              <w:rPr>
                <w:rFonts w:cs="Arial"/>
                <w:b/>
                <w:color w:val="000000"/>
                <w:szCs w:val="22"/>
              </w:rPr>
              <w:t>Відповідальний виконавець проєкту:</w:t>
            </w:r>
          </w:p>
        </w:tc>
        <w:tc>
          <w:tcPr>
            <w:tcW w:w="6796" w:type="dxa"/>
            <w:gridSpan w:val="5"/>
            <w:vAlign w:val="center"/>
          </w:tcPr>
          <w:p w14:paraId="00233F32" w14:textId="30C416A6" w:rsidR="00B55EA7" w:rsidRPr="00B55EA7" w:rsidRDefault="00B55EA7" w:rsidP="00B55EA7">
            <w:pPr>
              <w:jc w:val="both"/>
              <w:rPr>
                <w:rFonts w:cs="Arial"/>
                <w:color w:val="000000"/>
                <w:szCs w:val="22"/>
                <w:lang w:eastAsia="it-IT"/>
              </w:rPr>
            </w:pPr>
            <w:r w:rsidRPr="00B55EA7">
              <w:rPr>
                <w:rFonts w:cs="Arial"/>
                <w:color w:val="000000"/>
                <w:szCs w:val="22"/>
                <w:lang w:eastAsia="it-IT"/>
              </w:rPr>
              <w:t>Управління ЖКГ.</w:t>
            </w:r>
          </w:p>
        </w:tc>
      </w:tr>
      <w:tr w:rsidR="00B55EA7" w:rsidRPr="00B55EA7" w14:paraId="71B397E5" w14:textId="77777777" w:rsidTr="00B55EA7">
        <w:trPr>
          <w:jc w:val="right"/>
        </w:trPr>
        <w:tc>
          <w:tcPr>
            <w:tcW w:w="3423" w:type="dxa"/>
            <w:shd w:val="clear" w:color="auto" w:fill="FFFFFF"/>
            <w:vAlign w:val="center"/>
          </w:tcPr>
          <w:p w14:paraId="13388605" w14:textId="77777777" w:rsidR="00B55EA7" w:rsidRPr="00B55EA7" w:rsidRDefault="00B55EA7" w:rsidP="00B55EA7">
            <w:pPr>
              <w:rPr>
                <w:rFonts w:cs="Arial"/>
                <w:b/>
                <w:bCs/>
                <w:color w:val="000000"/>
                <w:szCs w:val="22"/>
              </w:rPr>
            </w:pPr>
            <w:r w:rsidRPr="00B55EA7">
              <w:rPr>
                <w:rFonts w:cs="Arial"/>
                <w:b/>
                <w:bCs/>
                <w:color w:val="000000"/>
                <w:szCs w:val="22"/>
              </w:rPr>
              <w:t>Інше:</w:t>
            </w:r>
          </w:p>
        </w:tc>
        <w:tc>
          <w:tcPr>
            <w:tcW w:w="6796" w:type="dxa"/>
            <w:gridSpan w:val="5"/>
            <w:vAlign w:val="center"/>
          </w:tcPr>
          <w:p w14:paraId="7A7A3B4A" w14:textId="77777777" w:rsidR="00B55EA7" w:rsidRPr="00B55EA7" w:rsidRDefault="00B55EA7" w:rsidP="00B55EA7">
            <w:pPr>
              <w:rPr>
                <w:rFonts w:cs="Arial"/>
                <w:color w:val="000000"/>
                <w:szCs w:val="22"/>
                <w:lang w:eastAsia="it-IT"/>
              </w:rPr>
            </w:pPr>
          </w:p>
          <w:p w14:paraId="3E417F0B" w14:textId="77777777" w:rsidR="00B55EA7" w:rsidRPr="00B55EA7" w:rsidRDefault="00B55EA7" w:rsidP="00B55EA7">
            <w:pPr>
              <w:rPr>
                <w:rFonts w:cs="Arial"/>
                <w:color w:val="000000"/>
                <w:szCs w:val="22"/>
                <w:lang w:eastAsia="it-IT"/>
              </w:rPr>
            </w:pPr>
          </w:p>
        </w:tc>
      </w:tr>
    </w:tbl>
    <w:p w14:paraId="11D7104C" w14:textId="77777777" w:rsidR="00CB33C7" w:rsidRPr="00C2587D" w:rsidRDefault="00CB33C7" w:rsidP="00CB33C7"/>
    <w:p w14:paraId="51997E17" w14:textId="77777777" w:rsidR="00B55EA7" w:rsidRPr="00C2587D" w:rsidRDefault="00B55EA7" w:rsidP="00B55EA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08871C77" w14:textId="77777777" w:rsidR="00B55EA7" w:rsidRPr="00C2587D" w:rsidRDefault="00B55EA7" w:rsidP="00B55EA7">
      <w:pPr>
        <w:jc w:val="center"/>
        <w:rPr>
          <w:rFonts w:cs="Arial"/>
          <w:b/>
          <w:color w:val="000000"/>
          <w:szCs w:val="22"/>
        </w:rPr>
      </w:pPr>
      <w:r w:rsidRPr="00C2587D">
        <w:rPr>
          <w:rFonts w:cs="Arial"/>
          <w:b/>
          <w:color w:val="000000"/>
          <w:szCs w:val="22"/>
        </w:rPr>
        <w:t>до Плану заходів з реалізації Стратегії</w:t>
      </w:r>
    </w:p>
    <w:p w14:paraId="4560CBC9" w14:textId="77777777" w:rsidR="00CB33C7" w:rsidRPr="00C2587D" w:rsidRDefault="00CB33C7" w:rsidP="00CB33C7">
      <w:pPr>
        <w:rPr>
          <w:rFonts w:cs="Arial"/>
        </w:rPr>
      </w:pPr>
    </w:p>
    <w:tbl>
      <w:tblPr>
        <w:tblW w:w="102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3"/>
        <w:gridCol w:w="1253"/>
        <w:gridCol w:w="76"/>
        <w:gridCol w:w="1336"/>
        <w:gridCol w:w="14"/>
        <w:gridCol w:w="1270"/>
        <w:gridCol w:w="1270"/>
        <w:gridCol w:w="6"/>
        <w:gridCol w:w="1571"/>
      </w:tblGrid>
      <w:tr w:rsidR="00CB33C7" w:rsidRPr="00B55EA7" w14:paraId="1757DCC8" w14:textId="77777777" w:rsidTr="00B55EA7">
        <w:tc>
          <w:tcPr>
            <w:tcW w:w="3423" w:type="dxa"/>
            <w:vAlign w:val="center"/>
          </w:tcPr>
          <w:p w14:paraId="2D76B0E4" w14:textId="77777777" w:rsidR="00CB33C7" w:rsidRPr="00B55EA7" w:rsidRDefault="00CB33C7" w:rsidP="00B55EA7">
            <w:pPr>
              <w:rPr>
                <w:rFonts w:cs="Arial"/>
                <w:b/>
                <w:bCs/>
                <w:color w:val="000000"/>
                <w:szCs w:val="22"/>
              </w:rPr>
            </w:pPr>
            <w:r w:rsidRPr="00B55EA7">
              <w:rPr>
                <w:rFonts w:cs="Arial"/>
                <w:b/>
                <w:bCs/>
                <w:color w:val="000000"/>
                <w:szCs w:val="22"/>
              </w:rPr>
              <w:t>Назва проєкту:</w:t>
            </w:r>
          </w:p>
        </w:tc>
        <w:tc>
          <w:tcPr>
            <w:tcW w:w="6796" w:type="dxa"/>
            <w:gridSpan w:val="8"/>
          </w:tcPr>
          <w:p w14:paraId="3D6CF09F" w14:textId="77777777" w:rsidR="00CB33C7" w:rsidRPr="00B55EA7" w:rsidRDefault="00CB33C7" w:rsidP="00B55EA7">
            <w:pPr>
              <w:jc w:val="both"/>
              <w:rPr>
                <w:rFonts w:cs="Arial"/>
                <w:b/>
                <w:szCs w:val="22"/>
                <w:lang w:eastAsia="it-IT"/>
              </w:rPr>
            </w:pPr>
            <w:r w:rsidRPr="00B55EA7">
              <w:rPr>
                <w:rFonts w:eastAsia="Arial" w:cs="Arial"/>
                <w:b/>
                <w:szCs w:val="22"/>
                <w:lang w:eastAsia="en-US"/>
              </w:rPr>
              <w:t>Капітальний ремонт дорожнього покриття прибудинкової території по вул. Будівельників, 5 в м. Жмеринка Вінницької області</w:t>
            </w:r>
          </w:p>
        </w:tc>
      </w:tr>
      <w:tr w:rsidR="00CB33C7" w:rsidRPr="00B55EA7" w14:paraId="308FEE5E" w14:textId="77777777" w:rsidTr="00B55EA7">
        <w:tc>
          <w:tcPr>
            <w:tcW w:w="3423" w:type="dxa"/>
          </w:tcPr>
          <w:p w14:paraId="20BD900B" w14:textId="77777777" w:rsidR="00CB33C7" w:rsidRPr="00B55EA7" w:rsidRDefault="00CB33C7" w:rsidP="00B55EA7">
            <w:pPr>
              <w:rPr>
                <w:rFonts w:cs="Arial"/>
                <w:szCs w:val="22"/>
                <w:lang w:eastAsia="it-IT"/>
              </w:rPr>
            </w:pPr>
            <w:r w:rsidRPr="00B55EA7">
              <w:rPr>
                <w:rFonts w:cs="Arial"/>
                <w:b/>
                <w:bCs/>
                <w:szCs w:val="22"/>
              </w:rPr>
              <w:t>Ваші контакти</w:t>
            </w:r>
            <w:r w:rsidRPr="00B55EA7">
              <w:rPr>
                <w:rFonts w:cs="Arial"/>
                <w:szCs w:val="22"/>
                <w:lang w:eastAsia="it-IT"/>
              </w:rPr>
              <w:t>:</w:t>
            </w:r>
          </w:p>
          <w:p w14:paraId="234BAFFE" w14:textId="77777777" w:rsidR="00CB33C7" w:rsidRPr="00B55EA7" w:rsidRDefault="00CB33C7" w:rsidP="00B55EA7">
            <w:pPr>
              <w:rPr>
                <w:rFonts w:cs="Arial"/>
                <w:b/>
                <w:bCs/>
                <w:szCs w:val="22"/>
              </w:rPr>
            </w:pPr>
            <w:r w:rsidRPr="00B55EA7">
              <w:rPr>
                <w:rFonts w:cs="Arial"/>
                <w:szCs w:val="22"/>
                <w:lang w:eastAsia="it-IT"/>
              </w:rPr>
              <w:t>Назва установи, організації, підприємства</w:t>
            </w:r>
          </w:p>
        </w:tc>
        <w:tc>
          <w:tcPr>
            <w:tcW w:w="6796" w:type="dxa"/>
            <w:gridSpan w:val="8"/>
          </w:tcPr>
          <w:p w14:paraId="29AB6D61" w14:textId="77777777" w:rsidR="00CB33C7" w:rsidRPr="00B55EA7" w:rsidRDefault="00CB33C7" w:rsidP="00B55EA7">
            <w:pPr>
              <w:rPr>
                <w:rFonts w:cs="Arial"/>
                <w:szCs w:val="22"/>
                <w:lang w:eastAsia="it-IT"/>
              </w:rPr>
            </w:pPr>
            <w:r w:rsidRPr="00B55EA7">
              <w:rPr>
                <w:rFonts w:cs="Arial"/>
                <w:szCs w:val="22"/>
                <w:lang w:eastAsia="it-IT"/>
              </w:rPr>
              <w:t>Управління житлово-комунального господарства Жмеринської міської ради</w:t>
            </w:r>
          </w:p>
        </w:tc>
      </w:tr>
      <w:tr w:rsidR="00CB33C7" w:rsidRPr="00B55EA7" w14:paraId="1EDB72E3" w14:textId="77777777" w:rsidTr="00B55EA7">
        <w:tc>
          <w:tcPr>
            <w:tcW w:w="3423" w:type="dxa"/>
          </w:tcPr>
          <w:p w14:paraId="1CB8549B" w14:textId="77777777" w:rsidR="00CB33C7" w:rsidRPr="00B55EA7" w:rsidRDefault="00CB33C7" w:rsidP="00B55EA7">
            <w:pPr>
              <w:rPr>
                <w:rFonts w:cs="Arial"/>
                <w:b/>
                <w:bCs/>
                <w:szCs w:val="22"/>
              </w:rPr>
            </w:pPr>
            <w:r w:rsidRPr="00B55EA7">
              <w:rPr>
                <w:rFonts w:cs="Arial"/>
                <w:szCs w:val="22"/>
                <w:lang w:eastAsia="it-IT"/>
              </w:rPr>
              <w:t>Прізвище Ім’я По-батькові:</w:t>
            </w:r>
          </w:p>
        </w:tc>
        <w:tc>
          <w:tcPr>
            <w:tcW w:w="6796" w:type="dxa"/>
            <w:gridSpan w:val="8"/>
          </w:tcPr>
          <w:p w14:paraId="66928A95" w14:textId="77777777" w:rsidR="00CB33C7" w:rsidRPr="00B55EA7" w:rsidRDefault="00CB33C7" w:rsidP="00B55EA7">
            <w:pPr>
              <w:rPr>
                <w:rFonts w:cs="Arial"/>
                <w:szCs w:val="22"/>
                <w:lang w:eastAsia="it-IT"/>
              </w:rPr>
            </w:pPr>
            <w:r w:rsidRPr="00B55EA7">
              <w:rPr>
                <w:rFonts w:cs="Arial"/>
                <w:szCs w:val="22"/>
                <w:lang w:eastAsia="it-IT"/>
              </w:rPr>
              <w:t>Оленич Андрій Васильович</w:t>
            </w:r>
          </w:p>
        </w:tc>
      </w:tr>
      <w:tr w:rsidR="00CB33C7" w:rsidRPr="00B55EA7" w14:paraId="514189EF" w14:textId="77777777" w:rsidTr="00B55EA7">
        <w:tc>
          <w:tcPr>
            <w:tcW w:w="3423" w:type="dxa"/>
          </w:tcPr>
          <w:p w14:paraId="63D3327F" w14:textId="77777777" w:rsidR="00CB33C7" w:rsidRPr="00B55EA7" w:rsidRDefault="00CB33C7" w:rsidP="00B55EA7">
            <w:pPr>
              <w:rPr>
                <w:rFonts w:cs="Arial"/>
                <w:b/>
                <w:bCs/>
                <w:szCs w:val="22"/>
              </w:rPr>
            </w:pPr>
            <w:r w:rsidRPr="00B55EA7">
              <w:rPr>
                <w:rFonts w:cs="Arial"/>
                <w:szCs w:val="22"/>
                <w:lang w:eastAsia="it-IT"/>
              </w:rPr>
              <w:t>Телефон (мобільний):</w:t>
            </w:r>
          </w:p>
        </w:tc>
        <w:tc>
          <w:tcPr>
            <w:tcW w:w="6796" w:type="dxa"/>
            <w:gridSpan w:val="8"/>
          </w:tcPr>
          <w:p w14:paraId="38452FA4" w14:textId="77777777" w:rsidR="00CB33C7" w:rsidRPr="00B55EA7" w:rsidRDefault="00CB33C7" w:rsidP="00B55EA7">
            <w:pPr>
              <w:rPr>
                <w:rFonts w:cs="Arial"/>
                <w:szCs w:val="22"/>
                <w:lang w:eastAsia="it-IT"/>
              </w:rPr>
            </w:pPr>
            <w:r w:rsidRPr="00B55EA7">
              <w:rPr>
                <w:rFonts w:cs="Arial"/>
                <w:szCs w:val="22"/>
                <w:lang w:eastAsia="it-IT"/>
              </w:rPr>
              <w:t>0972561907</w:t>
            </w:r>
          </w:p>
        </w:tc>
      </w:tr>
      <w:tr w:rsidR="00CB33C7" w:rsidRPr="00B55EA7" w14:paraId="17D51F72" w14:textId="77777777" w:rsidTr="00B55EA7">
        <w:tc>
          <w:tcPr>
            <w:tcW w:w="3423" w:type="dxa"/>
          </w:tcPr>
          <w:p w14:paraId="5A556A1E" w14:textId="77777777" w:rsidR="00CB33C7" w:rsidRPr="00B55EA7" w:rsidRDefault="00CB33C7" w:rsidP="00B55EA7">
            <w:pPr>
              <w:rPr>
                <w:rFonts w:cs="Arial"/>
                <w:b/>
                <w:bCs/>
                <w:szCs w:val="22"/>
              </w:rPr>
            </w:pPr>
            <w:r w:rsidRPr="00B55EA7">
              <w:rPr>
                <w:rFonts w:cs="Arial"/>
                <w:szCs w:val="22"/>
                <w:lang w:eastAsia="it-IT"/>
              </w:rPr>
              <w:t>Електронна адреса:</w:t>
            </w:r>
          </w:p>
        </w:tc>
        <w:tc>
          <w:tcPr>
            <w:tcW w:w="6796" w:type="dxa"/>
            <w:gridSpan w:val="8"/>
          </w:tcPr>
          <w:p w14:paraId="19D4E801" w14:textId="77777777" w:rsidR="00CB33C7" w:rsidRPr="00B55EA7" w:rsidRDefault="00D85FFD" w:rsidP="00B55EA7">
            <w:pPr>
              <w:rPr>
                <w:rFonts w:cs="Arial"/>
                <w:szCs w:val="22"/>
                <w:lang w:eastAsia="it-IT"/>
              </w:rPr>
            </w:pPr>
            <w:hyperlink r:id="rId58" w:history="1">
              <w:r w:rsidR="00CB33C7" w:rsidRPr="00B55EA7">
                <w:rPr>
                  <w:rStyle w:val="af0"/>
                  <w:rFonts w:cs="Arial"/>
                  <w:noProof w:val="0"/>
                  <w:sz w:val="22"/>
                  <w:szCs w:val="22"/>
                  <w:lang w:eastAsia="it-IT"/>
                </w:rPr>
                <w:t>Aolenych03@ukr.net</w:t>
              </w:r>
            </w:hyperlink>
          </w:p>
        </w:tc>
      </w:tr>
      <w:tr w:rsidR="00CB33C7" w:rsidRPr="00B55EA7" w14:paraId="5E71D64F" w14:textId="77777777" w:rsidTr="00B55EA7">
        <w:tc>
          <w:tcPr>
            <w:tcW w:w="3423" w:type="dxa"/>
            <w:vAlign w:val="center"/>
          </w:tcPr>
          <w:p w14:paraId="66240AEA" w14:textId="77777777" w:rsidR="00CB33C7" w:rsidRPr="00B55EA7" w:rsidRDefault="00CB33C7" w:rsidP="00B55EA7">
            <w:pPr>
              <w:pStyle w:val="6"/>
              <w:spacing w:before="0" w:after="0"/>
              <w:rPr>
                <w:rFonts w:ascii="Arial" w:hAnsi="Arial" w:cs="Arial"/>
                <w:color w:val="000000"/>
                <w:lang w:val="uk-UA"/>
              </w:rPr>
            </w:pPr>
            <w:r w:rsidRPr="00B55EA7">
              <w:rPr>
                <w:rFonts w:ascii="Arial" w:hAnsi="Arial" w:cs="Arial"/>
                <w:color w:val="000000"/>
                <w:lang w:val="uk-UA"/>
              </w:rPr>
              <w:t>Номер і назва завдання з Стратегії</w:t>
            </w:r>
            <w:r w:rsidRPr="00B55EA7">
              <w:rPr>
                <w:rFonts w:ascii="Arial" w:hAnsi="Arial" w:cs="Arial"/>
                <w:lang w:val="uk-UA" w:eastAsia="it-IT"/>
              </w:rPr>
              <w:t xml:space="preserve"> </w:t>
            </w:r>
            <w:r w:rsidRPr="00B55EA7">
              <w:rPr>
                <w:rFonts w:ascii="Arial" w:hAnsi="Arial" w:cs="Arial"/>
                <w:color w:val="000000"/>
                <w:lang w:val="uk-UA"/>
              </w:rPr>
              <w:t xml:space="preserve">розвитку Жмеринської міської </w:t>
            </w:r>
          </w:p>
        </w:tc>
        <w:tc>
          <w:tcPr>
            <w:tcW w:w="6796" w:type="dxa"/>
            <w:gridSpan w:val="8"/>
            <w:vAlign w:val="center"/>
          </w:tcPr>
          <w:p w14:paraId="0FC39D2F" w14:textId="77777777" w:rsidR="00CB33C7" w:rsidRPr="00B55EA7" w:rsidRDefault="00CB33C7" w:rsidP="00B55EA7">
            <w:pPr>
              <w:rPr>
                <w:rFonts w:eastAsia="Lucida Sans Unicode" w:cs="Arial"/>
                <w:kern w:val="1"/>
                <w:szCs w:val="22"/>
                <w:lang w:eastAsia="ar-SA"/>
              </w:rPr>
            </w:pPr>
            <w:r w:rsidRPr="00B55EA7">
              <w:rPr>
                <w:rFonts w:eastAsia="Lucida Sans Unicode" w:cs="Arial"/>
                <w:kern w:val="1"/>
                <w:szCs w:val="22"/>
                <w:lang w:eastAsia="ar-SA"/>
              </w:rPr>
              <w:t>В.1.1.3. Проведення будівництва, реконструкції та капітального ремонту дорожнього покриття вулиць  та тротуарів в населених пунктах територіальної громади.</w:t>
            </w:r>
          </w:p>
        </w:tc>
      </w:tr>
      <w:tr w:rsidR="00CB33C7" w:rsidRPr="00B55EA7" w14:paraId="0C67AF95" w14:textId="77777777" w:rsidTr="00B55EA7">
        <w:tc>
          <w:tcPr>
            <w:tcW w:w="3423" w:type="dxa"/>
            <w:vAlign w:val="center"/>
          </w:tcPr>
          <w:p w14:paraId="5037846B" w14:textId="77777777" w:rsidR="00CB33C7" w:rsidRPr="00B55EA7" w:rsidRDefault="00CB33C7" w:rsidP="00B55EA7">
            <w:pPr>
              <w:rPr>
                <w:rFonts w:cs="Arial"/>
                <w:b/>
                <w:bCs/>
                <w:color w:val="000000"/>
                <w:szCs w:val="22"/>
              </w:rPr>
            </w:pPr>
            <w:r w:rsidRPr="00B55EA7">
              <w:rPr>
                <w:rFonts w:cs="Arial"/>
                <w:b/>
                <w:bCs/>
                <w:color w:val="000000"/>
                <w:szCs w:val="22"/>
              </w:rPr>
              <w:t>Мета проєкту:</w:t>
            </w:r>
          </w:p>
        </w:tc>
        <w:tc>
          <w:tcPr>
            <w:tcW w:w="6796" w:type="dxa"/>
            <w:gridSpan w:val="8"/>
          </w:tcPr>
          <w:p w14:paraId="7CDFD00A" w14:textId="77777777" w:rsidR="00CB33C7" w:rsidRPr="00B55EA7" w:rsidRDefault="00CB33C7" w:rsidP="00C60A15">
            <w:pPr>
              <w:jc w:val="both"/>
              <w:rPr>
                <w:rFonts w:cs="Arial"/>
                <w:szCs w:val="22"/>
                <w:lang w:eastAsia="it-IT"/>
              </w:rPr>
            </w:pPr>
            <w:r w:rsidRPr="00B55EA7">
              <w:rPr>
                <w:rFonts w:cs="Arial"/>
                <w:szCs w:val="22"/>
                <w:lang w:eastAsia="it-IT"/>
              </w:rPr>
              <w:t>Забезпечення  населення громади м. Жмеринка якісною інфраструктурою, а саме дорогами з рівним покриттям.</w:t>
            </w:r>
          </w:p>
          <w:p w14:paraId="313D014D" w14:textId="77777777" w:rsidR="00CB33C7" w:rsidRPr="00B55EA7" w:rsidRDefault="00CB33C7" w:rsidP="00C60A15">
            <w:pPr>
              <w:jc w:val="both"/>
              <w:rPr>
                <w:rFonts w:cs="Arial"/>
                <w:szCs w:val="22"/>
                <w:lang w:eastAsia="it-IT"/>
              </w:rPr>
            </w:pPr>
            <w:r w:rsidRPr="00B55EA7">
              <w:rPr>
                <w:rFonts w:cs="Arial"/>
                <w:szCs w:val="22"/>
                <w:lang w:eastAsia="it-IT"/>
              </w:rPr>
              <w:t>Мешканці громади отримують більш комфортні   та безпечні умови проживання та перебування в населеному пункті.</w:t>
            </w:r>
          </w:p>
        </w:tc>
      </w:tr>
      <w:tr w:rsidR="00CB33C7" w:rsidRPr="00B55EA7" w14:paraId="57B67107" w14:textId="77777777" w:rsidTr="00B55EA7">
        <w:tc>
          <w:tcPr>
            <w:tcW w:w="3423" w:type="dxa"/>
            <w:vAlign w:val="center"/>
          </w:tcPr>
          <w:p w14:paraId="00C79AFC" w14:textId="77777777" w:rsidR="00CB33C7" w:rsidRPr="00B55EA7" w:rsidRDefault="00CB33C7" w:rsidP="00B55EA7">
            <w:pPr>
              <w:rPr>
                <w:rFonts w:cs="Arial"/>
                <w:b/>
                <w:bCs/>
                <w:color w:val="000000"/>
                <w:szCs w:val="22"/>
              </w:rPr>
            </w:pPr>
            <w:r w:rsidRPr="00B55EA7">
              <w:rPr>
                <w:rFonts w:cs="Arial"/>
                <w:b/>
                <w:bCs/>
                <w:color w:val="000000"/>
                <w:szCs w:val="22"/>
              </w:rPr>
              <w:t>Цілі проєкту:</w:t>
            </w:r>
          </w:p>
        </w:tc>
        <w:tc>
          <w:tcPr>
            <w:tcW w:w="6796" w:type="dxa"/>
            <w:gridSpan w:val="8"/>
          </w:tcPr>
          <w:p w14:paraId="04915D56" w14:textId="77777777" w:rsidR="00CB33C7" w:rsidRPr="00B55EA7" w:rsidRDefault="00CB33C7" w:rsidP="00C60A15">
            <w:pPr>
              <w:jc w:val="both"/>
              <w:rPr>
                <w:rFonts w:cs="Arial"/>
                <w:szCs w:val="22"/>
                <w:lang w:eastAsia="it-IT"/>
              </w:rPr>
            </w:pPr>
            <w:r w:rsidRPr="00B55EA7">
              <w:rPr>
                <w:rFonts w:cs="Arial"/>
                <w:szCs w:val="22"/>
                <w:lang w:eastAsia="it-IT"/>
              </w:rPr>
              <w:t>Покращити інфраструктуру   дорожнього покриття в м. Жмеринка</w:t>
            </w:r>
          </w:p>
        </w:tc>
      </w:tr>
      <w:tr w:rsidR="00CB33C7" w:rsidRPr="00B55EA7" w14:paraId="1E5E3698" w14:textId="77777777" w:rsidTr="00B55EA7">
        <w:tc>
          <w:tcPr>
            <w:tcW w:w="3423" w:type="dxa"/>
            <w:vAlign w:val="center"/>
          </w:tcPr>
          <w:p w14:paraId="0D1AF524" w14:textId="77777777" w:rsidR="00CB33C7" w:rsidRPr="00B55EA7" w:rsidRDefault="00CB33C7" w:rsidP="00B55EA7">
            <w:pPr>
              <w:autoSpaceDE w:val="0"/>
              <w:autoSpaceDN w:val="0"/>
              <w:adjustRightInd w:val="0"/>
              <w:rPr>
                <w:rFonts w:cs="Arial"/>
                <w:b/>
                <w:color w:val="000000"/>
                <w:szCs w:val="22"/>
              </w:rPr>
            </w:pPr>
            <w:r w:rsidRPr="00B55EA7">
              <w:rPr>
                <w:rFonts w:cs="Arial"/>
                <w:b/>
                <w:color w:val="000000"/>
                <w:szCs w:val="22"/>
              </w:rPr>
              <w:t>Територія на яку проєкт матиме вплив:</w:t>
            </w:r>
          </w:p>
        </w:tc>
        <w:tc>
          <w:tcPr>
            <w:tcW w:w="6796" w:type="dxa"/>
            <w:gridSpan w:val="8"/>
          </w:tcPr>
          <w:p w14:paraId="5E3B2744" w14:textId="4462A30B" w:rsidR="00CB33C7" w:rsidRPr="00B55EA7" w:rsidRDefault="00CB33C7" w:rsidP="00C60A15">
            <w:pPr>
              <w:jc w:val="both"/>
              <w:rPr>
                <w:rFonts w:cs="Arial"/>
                <w:szCs w:val="22"/>
                <w:lang w:eastAsia="it-IT"/>
              </w:rPr>
            </w:pPr>
            <w:r w:rsidRPr="00B55EA7">
              <w:rPr>
                <w:rFonts w:cs="Arial"/>
                <w:szCs w:val="22"/>
                <w:lang w:eastAsia="it-IT"/>
              </w:rPr>
              <w:t xml:space="preserve">Території </w:t>
            </w:r>
            <w:r w:rsidR="00B55EA7" w:rsidRPr="00B55EA7">
              <w:rPr>
                <w:rFonts w:cs="Arial"/>
                <w:szCs w:val="22"/>
                <w:lang w:eastAsia="it-IT"/>
              </w:rPr>
              <w:t>Жмеринська</w:t>
            </w:r>
            <w:r w:rsidRPr="00B55EA7">
              <w:rPr>
                <w:rFonts w:cs="Arial"/>
                <w:szCs w:val="22"/>
                <w:lang w:eastAsia="it-IT"/>
              </w:rPr>
              <w:t xml:space="preserve"> М</w:t>
            </w:r>
            <w:r w:rsidR="00B55EA7" w:rsidRPr="00B55EA7">
              <w:rPr>
                <w:rFonts w:cs="Arial"/>
                <w:szCs w:val="22"/>
                <w:lang w:eastAsia="it-IT"/>
              </w:rPr>
              <w:t>Т</w:t>
            </w:r>
            <w:r w:rsidRPr="00B55EA7">
              <w:rPr>
                <w:rFonts w:cs="Arial"/>
                <w:szCs w:val="22"/>
                <w:lang w:eastAsia="it-IT"/>
              </w:rPr>
              <w:t xml:space="preserve">Г                                                                                                                                                                                                                                                                     </w:t>
            </w:r>
          </w:p>
        </w:tc>
      </w:tr>
      <w:tr w:rsidR="00CB33C7" w:rsidRPr="00B55EA7" w14:paraId="5B964227" w14:textId="77777777" w:rsidTr="00B55EA7">
        <w:tc>
          <w:tcPr>
            <w:tcW w:w="3423" w:type="dxa"/>
            <w:vAlign w:val="center"/>
          </w:tcPr>
          <w:p w14:paraId="1F61255C" w14:textId="77777777" w:rsidR="00CB33C7" w:rsidRPr="00B55EA7" w:rsidRDefault="00CB33C7" w:rsidP="00B55EA7">
            <w:pPr>
              <w:autoSpaceDE w:val="0"/>
              <w:autoSpaceDN w:val="0"/>
              <w:adjustRightInd w:val="0"/>
              <w:rPr>
                <w:rFonts w:cs="Arial"/>
                <w:b/>
                <w:color w:val="000000"/>
                <w:szCs w:val="22"/>
              </w:rPr>
            </w:pPr>
            <w:r w:rsidRPr="00B55EA7">
              <w:rPr>
                <w:rFonts w:cs="Arial"/>
                <w:b/>
                <w:color w:val="000000"/>
                <w:szCs w:val="22"/>
              </w:rPr>
              <w:t>Цільові групи проєкту та кількість отримувачів вигоди</w:t>
            </w:r>
          </w:p>
        </w:tc>
        <w:tc>
          <w:tcPr>
            <w:tcW w:w="6796" w:type="dxa"/>
            <w:gridSpan w:val="8"/>
          </w:tcPr>
          <w:p w14:paraId="6CE3007A" w14:textId="77777777" w:rsidR="00CB33C7" w:rsidRPr="00B55EA7" w:rsidRDefault="00CB33C7" w:rsidP="00C60A15">
            <w:pPr>
              <w:jc w:val="both"/>
              <w:rPr>
                <w:rFonts w:cs="Arial"/>
                <w:szCs w:val="22"/>
                <w:lang w:eastAsia="it-IT"/>
              </w:rPr>
            </w:pPr>
            <w:r w:rsidRPr="00B55EA7">
              <w:rPr>
                <w:rFonts w:cs="Arial"/>
                <w:szCs w:val="22"/>
                <w:lang w:eastAsia="it-IT"/>
              </w:rPr>
              <w:t>Жителі м. Жмеринка в кількості 34353 містян</w:t>
            </w:r>
          </w:p>
        </w:tc>
      </w:tr>
      <w:tr w:rsidR="00CB33C7" w:rsidRPr="00B55EA7" w14:paraId="60F3B604" w14:textId="77777777" w:rsidTr="00B55EA7">
        <w:tc>
          <w:tcPr>
            <w:tcW w:w="3423" w:type="dxa"/>
            <w:shd w:val="clear" w:color="auto" w:fill="FFFFFF"/>
            <w:vAlign w:val="center"/>
          </w:tcPr>
          <w:p w14:paraId="2E74B97F" w14:textId="77777777" w:rsidR="00CB33C7" w:rsidRPr="00B55EA7" w:rsidRDefault="00CB33C7" w:rsidP="00B55EA7">
            <w:pPr>
              <w:rPr>
                <w:rFonts w:cs="Arial"/>
                <w:b/>
                <w:bCs/>
                <w:color w:val="000000"/>
                <w:szCs w:val="22"/>
              </w:rPr>
            </w:pPr>
            <w:r w:rsidRPr="00B55EA7">
              <w:rPr>
                <w:rFonts w:cs="Arial"/>
                <w:b/>
                <w:bCs/>
                <w:color w:val="000000"/>
                <w:szCs w:val="22"/>
              </w:rPr>
              <w:t>Стислий опис проєкту:</w:t>
            </w:r>
          </w:p>
        </w:tc>
        <w:tc>
          <w:tcPr>
            <w:tcW w:w="6796" w:type="dxa"/>
            <w:gridSpan w:val="8"/>
          </w:tcPr>
          <w:p w14:paraId="4EFD031F" w14:textId="77777777" w:rsidR="00CB33C7" w:rsidRPr="00B55EA7" w:rsidRDefault="00CB33C7" w:rsidP="00C60A15">
            <w:pPr>
              <w:pStyle w:val="ad"/>
              <w:shd w:val="clear" w:color="auto" w:fill="FFFFFF"/>
              <w:spacing w:before="0" w:beforeAutospacing="0" w:after="0" w:afterAutospacing="0"/>
              <w:ind w:firstLine="148"/>
              <w:jc w:val="both"/>
              <w:rPr>
                <w:rFonts w:cs="Arial"/>
                <w:szCs w:val="22"/>
              </w:rPr>
            </w:pPr>
            <w:r w:rsidRPr="00B55EA7">
              <w:rPr>
                <w:rFonts w:cs="Arial"/>
                <w:szCs w:val="22"/>
              </w:rPr>
              <w:t>Якість доріг забезпечує роботу всіх галузей промисловості, соціальний розвиток суспільства. Забезпечує доступ у різні місця населеного пункту, а також безпечне та надійне переміщення людей і транспортування товарів і має надзвичайно важливе значення.</w:t>
            </w:r>
          </w:p>
          <w:p w14:paraId="5B6D88C3" w14:textId="77777777" w:rsidR="00CB33C7" w:rsidRPr="00B55EA7" w:rsidRDefault="00CB33C7" w:rsidP="00C60A15">
            <w:pPr>
              <w:pStyle w:val="ad"/>
              <w:shd w:val="clear" w:color="auto" w:fill="FFFFFF"/>
              <w:spacing w:before="0" w:beforeAutospacing="0" w:after="0" w:afterAutospacing="0"/>
              <w:ind w:firstLine="148"/>
              <w:jc w:val="both"/>
              <w:rPr>
                <w:rFonts w:cs="Arial"/>
                <w:szCs w:val="22"/>
              </w:rPr>
            </w:pPr>
            <w:r w:rsidRPr="00B55EA7">
              <w:rPr>
                <w:rFonts w:cs="Arial"/>
                <w:szCs w:val="22"/>
              </w:rPr>
              <w:t>Від стану автомобільних доріг залежать витрати на перевезення вантажів та пасажирів, рівень цін, певною мірою зайнятість населення.</w:t>
            </w:r>
          </w:p>
          <w:p w14:paraId="14248C24" w14:textId="77777777" w:rsidR="00CB33C7" w:rsidRPr="00B55EA7" w:rsidRDefault="00CB33C7" w:rsidP="00C60A15">
            <w:pPr>
              <w:pStyle w:val="ad"/>
              <w:shd w:val="clear" w:color="auto" w:fill="FFFFFF"/>
              <w:spacing w:before="0" w:beforeAutospacing="0" w:after="0" w:afterAutospacing="0"/>
              <w:ind w:firstLine="148"/>
              <w:jc w:val="both"/>
              <w:rPr>
                <w:rFonts w:cs="Arial"/>
                <w:szCs w:val="22"/>
                <w:shd w:val="clear" w:color="auto" w:fill="FFFFFF"/>
              </w:rPr>
            </w:pPr>
            <w:r w:rsidRPr="00B55EA7">
              <w:rPr>
                <w:rFonts w:cs="Arial"/>
                <w:szCs w:val="22"/>
              </w:rPr>
              <w:t xml:space="preserve"> </w:t>
            </w:r>
            <w:r w:rsidRPr="00B55EA7">
              <w:rPr>
                <w:rFonts w:cs="Arial"/>
                <w:szCs w:val="22"/>
                <w:shd w:val="clear" w:color="auto" w:fill="FFFFFF"/>
              </w:rPr>
              <w:t>Перш за все викликають занепокоєння ті ділянки доріг, по яких проходять автобусні сполучення, підвезення дітей до навчальних закладів, надання невідкладної медичної допомоги.</w:t>
            </w:r>
          </w:p>
          <w:p w14:paraId="5920F8C0" w14:textId="77777777" w:rsidR="00CB33C7" w:rsidRPr="00B55EA7" w:rsidRDefault="00CB33C7" w:rsidP="00C60A15">
            <w:pPr>
              <w:jc w:val="both"/>
              <w:rPr>
                <w:rFonts w:cs="Arial"/>
                <w:szCs w:val="22"/>
                <w:lang w:eastAsia="it-IT"/>
              </w:rPr>
            </w:pPr>
            <w:r w:rsidRPr="00B55EA7">
              <w:rPr>
                <w:rFonts w:cs="Arial"/>
                <w:szCs w:val="22"/>
                <w:shd w:val="clear" w:color="auto" w:fill="FFFFFF"/>
              </w:rPr>
              <w:t xml:space="preserve">З метою безперебійного перевезення людей, необхідно провести капітальний ремонт дороги </w:t>
            </w:r>
            <w:r w:rsidRPr="00B55EA7">
              <w:rPr>
                <w:rFonts w:eastAsia="Arial" w:cs="Arial"/>
                <w:szCs w:val="22"/>
                <w:lang w:eastAsia="en-US"/>
              </w:rPr>
              <w:t>по вул. Будівельників, 5 в м. Жмеринка</w:t>
            </w:r>
          </w:p>
        </w:tc>
      </w:tr>
      <w:tr w:rsidR="00CB33C7" w:rsidRPr="00B55EA7" w14:paraId="1D398018" w14:textId="77777777" w:rsidTr="00B55EA7">
        <w:tc>
          <w:tcPr>
            <w:tcW w:w="3423" w:type="dxa"/>
            <w:shd w:val="clear" w:color="auto" w:fill="FFFFFF"/>
            <w:vAlign w:val="center"/>
          </w:tcPr>
          <w:p w14:paraId="009A903F" w14:textId="77777777" w:rsidR="00CB33C7" w:rsidRPr="00B55EA7" w:rsidRDefault="00CB33C7" w:rsidP="00B55EA7">
            <w:pPr>
              <w:rPr>
                <w:rFonts w:cs="Arial"/>
                <w:b/>
                <w:bCs/>
                <w:color w:val="000000"/>
                <w:szCs w:val="22"/>
              </w:rPr>
            </w:pPr>
            <w:r w:rsidRPr="00B55EA7">
              <w:rPr>
                <w:rFonts w:cs="Arial"/>
                <w:b/>
                <w:bCs/>
                <w:color w:val="000000"/>
                <w:szCs w:val="22"/>
              </w:rPr>
              <w:t>Основні заходи проєкту:</w:t>
            </w:r>
          </w:p>
        </w:tc>
        <w:tc>
          <w:tcPr>
            <w:tcW w:w="6796" w:type="dxa"/>
            <w:gridSpan w:val="8"/>
          </w:tcPr>
          <w:p w14:paraId="449C7DBB" w14:textId="6579C666" w:rsidR="00CB33C7" w:rsidRPr="00B55EA7" w:rsidRDefault="00CB33C7" w:rsidP="00C60A15">
            <w:pPr>
              <w:jc w:val="both"/>
              <w:rPr>
                <w:rFonts w:cs="Arial"/>
                <w:szCs w:val="22"/>
                <w:lang w:eastAsia="it-IT"/>
              </w:rPr>
            </w:pPr>
            <w:r w:rsidRPr="00B55EA7">
              <w:rPr>
                <w:rFonts w:cs="Arial"/>
                <w:szCs w:val="22"/>
                <w:lang w:eastAsia="it-IT"/>
              </w:rPr>
              <w:t>Створення робочо</w:t>
            </w:r>
            <w:r w:rsidR="001E42A2">
              <w:rPr>
                <w:rFonts w:cs="Arial"/>
                <w:szCs w:val="22"/>
                <w:lang w:eastAsia="it-IT"/>
              </w:rPr>
              <w:t>ї групи з питань реалізації проє</w:t>
            </w:r>
            <w:r w:rsidRPr="00B55EA7">
              <w:rPr>
                <w:rFonts w:cs="Arial"/>
                <w:szCs w:val="22"/>
                <w:lang w:eastAsia="it-IT"/>
              </w:rPr>
              <w:t xml:space="preserve">кту. </w:t>
            </w:r>
          </w:p>
          <w:p w14:paraId="4290354B" w14:textId="77777777" w:rsidR="00CB33C7" w:rsidRPr="00B55EA7" w:rsidRDefault="00CB33C7" w:rsidP="00C60A15">
            <w:pPr>
              <w:jc w:val="both"/>
              <w:rPr>
                <w:rFonts w:cs="Arial"/>
                <w:szCs w:val="22"/>
                <w:lang w:eastAsia="it-IT"/>
              </w:rPr>
            </w:pPr>
            <w:r w:rsidRPr="00B55EA7">
              <w:rPr>
                <w:rFonts w:cs="Arial"/>
                <w:szCs w:val="22"/>
                <w:lang w:eastAsia="it-IT"/>
              </w:rPr>
              <w:t>Проведення процедури закупівель (визначення виконавця робіт).</w:t>
            </w:r>
          </w:p>
          <w:p w14:paraId="315952B1" w14:textId="77777777" w:rsidR="00CB33C7" w:rsidRPr="00B55EA7" w:rsidRDefault="00CB33C7" w:rsidP="00C60A15">
            <w:pPr>
              <w:jc w:val="both"/>
              <w:rPr>
                <w:rFonts w:cs="Arial"/>
                <w:szCs w:val="22"/>
                <w:lang w:eastAsia="it-IT"/>
              </w:rPr>
            </w:pPr>
            <w:r w:rsidRPr="00B55EA7">
              <w:rPr>
                <w:rFonts w:cs="Arial"/>
                <w:szCs w:val="22"/>
                <w:lang w:eastAsia="it-IT"/>
              </w:rPr>
              <w:t>Укладення договорів з виконавцем робіт, організаціями, що здійснюватимуть  технічний та авторський  нагляд .</w:t>
            </w:r>
          </w:p>
          <w:p w14:paraId="4AC61EFA" w14:textId="77777777" w:rsidR="00CB33C7" w:rsidRPr="00B55EA7" w:rsidRDefault="00CB33C7" w:rsidP="00C60A15">
            <w:pPr>
              <w:jc w:val="both"/>
              <w:rPr>
                <w:rFonts w:cs="Arial"/>
                <w:szCs w:val="22"/>
                <w:lang w:eastAsia="it-IT"/>
              </w:rPr>
            </w:pPr>
            <w:r w:rsidRPr="00B55EA7">
              <w:rPr>
                <w:rFonts w:cs="Arial"/>
                <w:szCs w:val="22"/>
                <w:lang w:eastAsia="it-IT"/>
              </w:rPr>
              <w:t xml:space="preserve">Виконання робіт з </w:t>
            </w:r>
            <w:r w:rsidRPr="00B55EA7">
              <w:rPr>
                <w:rFonts w:eastAsia="Arial" w:cs="Arial"/>
                <w:color w:val="000000" w:themeColor="text1"/>
                <w:szCs w:val="22"/>
                <w:lang w:eastAsia="en-US"/>
              </w:rPr>
              <w:t xml:space="preserve">капітального ремонту </w:t>
            </w:r>
            <w:r w:rsidRPr="00B55EA7">
              <w:rPr>
                <w:rFonts w:eastAsia="Arial" w:cs="Arial"/>
                <w:szCs w:val="22"/>
                <w:lang w:eastAsia="en-US"/>
              </w:rPr>
              <w:t>дорожнього покриття прибудинкової території по вул. Будівельників, 5 в м. Жмеринка Вінницької області</w:t>
            </w:r>
            <w:r w:rsidRPr="00B55EA7">
              <w:rPr>
                <w:rFonts w:cs="Arial"/>
                <w:szCs w:val="22"/>
                <w:lang w:eastAsia="it-IT"/>
              </w:rPr>
              <w:t xml:space="preserve"> </w:t>
            </w:r>
          </w:p>
          <w:p w14:paraId="2D9F2C05" w14:textId="77777777" w:rsidR="00CB33C7" w:rsidRPr="00B55EA7" w:rsidRDefault="00CB33C7" w:rsidP="00C60A15">
            <w:pPr>
              <w:jc w:val="both"/>
              <w:rPr>
                <w:rFonts w:cs="Arial"/>
                <w:szCs w:val="22"/>
                <w:lang w:eastAsia="it-IT"/>
              </w:rPr>
            </w:pPr>
            <w:r w:rsidRPr="00B55EA7">
              <w:rPr>
                <w:rFonts w:cs="Arial"/>
                <w:szCs w:val="22"/>
                <w:lang w:eastAsia="it-IT"/>
              </w:rPr>
              <w:t>Введення  об’єкту в експлуатацію .</w:t>
            </w:r>
          </w:p>
          <w:p w14:paraId="4E68956E" w14:textId="6F5D9170" w:rsidR="00CB33C7" w:rsidRPr="00B55EA7" w:rsidRDefault="00CB33C7" w:rsidP="00C60A15">
            <w:pPr>
              <w:jc w:val="both"/>
              <w:rPr>
                <w:rFonts w:cs="Arial"/>
                <w:szCs w:val="22"/>
                <w:lang w:eastAsia="it-IT"/>
              </w:rPr>
            </w:pPr>
            <w:r w:rsidRPr="00B55EA7">
              <w:rPr>
                <w:rFonts w:cs="Arial"/>
                <w:szCs w:val="22"/>
                <w:lang w:eastAsia="it-IT"/>
              </w:rPr>
              <w:t xml:space="preserve">Проведення інформаційних заходів (розміщення  </w:t>
            </w:r>
            <w:r w:rsidR="001E42A2">
              <w:rPr>
                <w:rFonts w:cs="Arial"/>
                <w:szCs w:val="22"/>
                <w:lang w:eastAsia="it-IT"/>
              </w:rPr>
              <w:t>інформації  про реалізацію  проє</w:t>
            </w:r>
            <w:r w:rsidRPr="00B55EA7">
              <w:rPr>
                <w:rFonts w:cs="Arial"/>
                <w:szCs w:val="22"/>
                <w:lang w:eastAsia="it-IT"/>
              </w:rPr>
              <w:t>кту у ЗМІ) .</w:t>
            </w:r>
          </w:p>
        </w:tc>
      </w:tr>
      <w:tr w:rsidR="00CB33C7" w:rsidRPr="00B55EA7" w14:paraId="6D0A8EBF" w14:textId="77777777" w:rsidTr="00B55EA7">
        <w:tc>
          <w:tcPr>
            <w:tcW w:w="3423" w:type="dxa"/>
            <w:shd w:val="clear" w:color="auto" w:fill="FFFFFF"/>
            <w:vAlign w:val="center"/>
          </w:tcPr>
          <w:p w14:paraId="41F3D81C" w14:textId="77777777" w:rsidR="00CB33C7" w:rsidRPr="00B55EA7" w:rsidRDefault="00CB33C7" w:rsidP="00B55EA7">
            <w:pPr>
              <w:rPr>
                <w:rFonts w:cs="Arial"/>
                <w:b/>
                <w:bCs/>
                <w:color w:val="000000"/>
                <w:szCs w:val="22"/>
              </w:rPr>
            </w:pPr>
            <w:r w:rsidRPr="00B55EA7">
              <w:rPr>
                <w:rFonts w:cs="Arial"/>
                <w:b/>
                <w:bCs/>
                <w:color w:val="000000"/>
                <w:szCs w:val="22"/>
              </w:rPr>
              <w:t>Індикатори (показники) результативності:</w:t>
            </w:r>
          </w:p>
        </w:tc>
        <w:tc>
          <w:tcPr>
            <w:tcW w:w="6796" w:type="dxa"/>
            <w:gridSpan w:val="8"/>
          </w:tcPr>
          <w:p w14:paraId="42B67746" w14:textId="77777777" w:rsidR="00CB33C7" w:rsidRPr="00B55EA7" w:rsidRDefault="00CB33C7" w:rsidP="00C60A15">
            <w:pPr>
              <w:jc w:val="both"/>
              <w:rPr>
                <w:rFonts w:cs="Arial"/>
                <w:szCs w:val="22"/>
                <w:lang w:eastAsia="it-IT"/>
              </w:rPr>
            </w:pPr>
            <w:r w:rsidRPr="00B55EA7">
              <w:rPr>
                <w:rFonts w:eastAsia="Arial" w:cs="Arial"/>
                <w:szCs w:val="22"/>
                <w:lang w:eastAsia="en-US"/>
              </w:rPr>
              <w:t>Площа території яка підлягає під реконструкцію: 18049 м</w:t>
            </w:r>
            <w:r w:rsidRPr="00B55EA7">
              <w:rPr>
                <w:rFonts w:eastAsia="Arial" w:cs="Arial"/>
                <w:szCs w:val="22"/>
                <w:vertAlign w:val="superscript"/>
                <w:lang w:eastAsia="en-US"/>
              </w:rPr>
              <w:t>2</w:t>
            </w:r>
          </w:p>
        </w:tc>
      </w:tr>
      <w:tr w:rsidR="00CB33C7" w:rsidRPr="00B55EA7" w14:paraId="69872549" w14:textId="77777777" w:rsidTr="00B55EA7">
        <w:tc>
          <w:tcPr>
            <w:tcW w:w="3423" w:type="dxa"/>
            <w:shd w:val="clear" w:color="auto" w:fill="FFFFFF"/>
            <w:vAlign w:val="center"/>
          </w:tcPr>
          <w:p w14:paraId="491318D1" w14:textId="77777777" w:rsidR="00CB33C7" w:rsidRPr="00B55EA7" w:rsidRDefault="00CB33C7" w:rsidP="00B55EA7">
            <w:pPr>
              <w:rPr>
                <w:rFonts w:cs="Arial"/>
                <w:b/>
                <w:color w:val="000000"/>
                <w:szCs w:val="22"/>
              </w:rPr>
            </w:pPr>
            <w:r w:rsidRPr="00B55EA7">
              <w:rPr>
                <w:rFonts w:cs="Arial"/>
                <w:b/>
                <w:color w:val="000000"/>
                <w:szCs w:val="22"/>
              </w:rPr>
              <w:t xml:space="preserve">Період здійснення: </w:t>
            </w:r>
          </w:p>
        </w:tc>
        <w:tc>
          <w:tcPr>
            <w:tcW w:w="6796" w:type="dxa"/>
            <w:gridSpan w:val="8"/>
            <w:vAlign w:val="center"/>
          </w:tcPr>
          <w:p w14:paraId="7CABE543" w14:textId="77777777" w:rsidR="00CB33C7" w:rsidRPr="00B55EA7" w:rsidRDefault="00CB33C7" w:rsidP="00B55EA7">
            <w:pPr>
              <w:rPr>
                <w:rFonts w:cs="Arial"/>
                <w:color w:val="000000"/>
                <w:szCs w:val="22"/>
                <w:lang w:eastAsia="it-IT"/>
              </w:rPr>
            </w:pPr>
            <w:r w:rsidRPr="00B55EA7">
              <w:rPr>
                <w:rFonts w:cs="Arial"/>
                <w:b/>
                <w:color w:val="000000"/>
                <w:szCs w:val="22"/>
              </w:rPr>
              <w:t>2025 – 2028 роки:</w:t>
            </w:r>
          </w:p>
        </w:tc>
      </w:tr>
      <w:tr w:rsidR="00CB33C7" w:rsidRPr="00B55EA7" w14:paraId="1F7DC5FB" w14:textId="77777777" w:rsidTr="00B55EA7">
        <w:tc>
          <w:tcPr>
            <w:tcW w:w="3423" w:type="dxa"/>
            <w:vMerge w:val="restart"/>
            <w:shd w:val="clear" w:color="auto" w:fill="FFFFFF"/>
            <w:vAlign w:val="center"/>
          </w:tcPr>
          <w:p w14:paraId="00AE5BBB" w14:textId="77777777" w:rsidR="00CB33C7" w:rsidRPr="00B55EA7" w:rsidRDefault="00CB33C7" w:rsidP="00B55EA7">
            <w:pPr>
              <w:rPr>
                <w:rFonts w:cs="Arial"/>
                <w:b/>
                <w:bCs/>
                <w:color w:val="000000"/>
                <w:szCs w:val="22"/>
              </w:rPr>
            </w:pPr>
            <w:r w:rsidRPr="00B55EA7">
              <w:rPr>
                <w:rFonts w:cs="Arial"/>
                <w:b/>
                <w:bCs/>
                <w:color w:val="000000"/>
                <w:szCs w:val="22"/>
              </w:rPr>
              <w:t>Орієнтовна вартість проєкту, тис. грн., в тому числі:</w:t>
            </w:r>
          </w:p>
        </w:tc>
        <w:tc>
          <w:tcPr>
            <w:tcW w:w="1253" w:type="dxa"/>
            <w:shd w:val="clear" w:color="auto" w:fill="E6E6E6"/>
            <w:vAlign w:val="center"/>
          </w:tcPr>
          <w:p w14:paraId="3C01D23A" w14:textId="77777777" w:rsidR="00CB33C7" w:rsidRPr="00B55EA7" w:rsidRDefault="00CB33C7" w:rsidP="00B55EA7">
            <w:pPr>
              <w:jc w:val="center"/>
              <w:rPr>
                <w:rFonts w:cs="Arial"/>
                <w:b/>
                <w:color w:val="000000"/>
                <w:szCs w:val="22"/>
                <w:lang w:eastAsia="it-IT"/>
              </w:rPr>
            </w:pPr>
            <w:r w:rsidRPr="00B55EA7">
              <w:rPr>
                <w:rFonts w:cs="Arial"/>
                <w:b/>
                <w:color w:val="000000"/>
                <w:szCs w:val="22"/>
                <w:lang w:eastAsia="it-IT"/>
              </w:rPr>
              <w:t>2025</w:t>
            </w:r>
          </w:p>
        </w:tc>
        <w:tc>
          <w:tcPr>
            <w:tcW w:w="1412" w:type="dxa"/>
            <w:gridSpan w:val="2"/>
            <w:shd w:val="clear" w:color="auto" w:fill="E6E6E6"/>
            <w:vAlign w:val="center"/>
          </w:tcPr>
          <w:p w14:paraId="2CEAC4E1" w14:textId="77777777" w:rsidR="00CB33C7" w:rsidRPr="00B55EA7" w:rsidRDefault="00CB33C7" w:rsidP="00B55EA7">
            <w:pPr>
              <w:jc w:val="center"/>
              <w:rPr>
                <w:rFonts w:cs="Arial"/>
                <w:b/>
                <w:color w:val="000000"/>
                <w:szCs w:val="22"/>
                <w:lang w:eastAsia="it-IT"/>
              </w:rPr>
            </w:pPr>
            <w:r w:rsidRPr="00B55EA7">
              <w:rPr>
                <w:rFonts w:cs="Arial"/>
                <w:b/>
                <w:color w:val="000000"/>
                <w:szCs w:val="22"/>
                <w:lang w:eastAsia="it-IT"/>
              </w:rPr>
              <w:t>2026</w:t>
            </w:r>
          </w:p>
        </w:tc>
        <w:tc>
          <w:tcPr>
            <w:tcW w:w="1284" w:type="dxa"/>
            <w:gridSpan w:val="2"/>
            <w:tcBorders>
              <w:bottom w:val="single" w:sz="4" w:space="0" w:color="auto"/>
            </w:tcBorders>
            <w:shd w:val="clear" w:color="auto" w:fill="E6E6E6"/>
            <w:vAlign w:val="center"/>
          </w:tcPr>
          <w:p w14:paraId="458FA775" w14:textId="77777777" w:rsidR="00CB33C7" w:rsidRPr="00B55EA7" w:rsidRDefault="00CB33C7" w:rsidP="00B55EA7">
            <w:pPr>
              <w:jc w:val="center"/>
              <w:rPr>
                <w:rFonts w:cs="Arial"/>
                <w:b/>
                <w:color w:val="000000"/>
                <w:szCs w:val="22"/>
                <w:lang w:eastAsia="it-IT"/>
              </w:rPr>
            </w:pPr>
            <w:r w:rsidRPr="00B55EA7">
              <w:rPr>
                <w:rFonts w:cs="Arial"/>
                <w:b/>
                <w:color w:val="000000"/>
                <w:szCs w:val="22"/>
                <w:lang w:eastAsia="it-IT"/>
              </w:rPr>
              <w:t>2027</w:t>
            </w:r>
          </w:p>
        </w:tc>
        <w:tc>
          <w:tcPr>
            <w:tcW w:w="1276" w:type="dxa"/>
            <w:gridSpan w:val="2"/>
            <w:shd w:val="clear" w:color="auto" w:fill="E6E6E6"/>
            <w:vAlign w:val="center"/>
          </w:tcPr>
          <w:p w14:paraId="3318046D" w14:textId="77777777" w:rsidR="00CB33C7" w:rsidRPr="00B55EA7" w:rsidRDefault="00CB33C7" w:rsidP="00B55EA7">
            <w:pPr>
              <w:jc w:val="center"/>
              <w:rPr>
                <w:rFonts w:cs="Arial"/>
                <w:b/>
                <w:color w:val="000000"/>
                <w:szCs w:val="22"/>
                <w:lang w:eastAsia="it-IT"/>
              </w:rPr>
            </w:pPr>
            <w:r w:rsidRPr="00B55EA7">
              <w:rPr>
                <w:rFonts w:cs="Arial"/>
                <w:b/>
                <w:color w:val="000000"/>
                <w:szCs w:val="22"/>
                <w:lang w:eastAsia="it-IT"/>
              </w:rPr>
              <w:t>2028</w:t>
            </w:r>
          </w:p>
        </w:tc>
        <w:tc>
          <w:tcPr>
            <w:tcW w:w="1571" w:type="dxa"/>
            <w:shd w:val="clear" w:color="auto" w:fill="E6E6E6"/>
            <w:vAlign w:val="center"/>
          </w:tcPr>
          <w:p w14:paraId="3B6EAA08" w14:textId="77777777" w:rsidR="00CB33C7" w:rsidRPr="00B55EA7" w:rsidRDefault="00CB33C7" w:rsidP="00B55EA7">
            <w:pPr>
              <w:jc w:val="center"/>
              <w:rPr>
                <w:rFonts w:cs="Arial"/>
                <w:b/>
                <w:color w:val="000000"/>
                <w:szCs w:val="22"/>
                <w:lang w:eastAsia="it-IT"/>
              </w:rPr>
            </w:pPr>
            <w:r w:rsidRPr="00B55EA7">
              <w:rPr>
                <w:rFonts w:cs="Arial"/>
                <w:b/>
                <w:color w:val="000000"/>
                <w:szCs w:val="22"/>
                <w:lang w:eastAsia="it-IT"/>
              </w:rPr>
              <w:t>РАЗОМ</w:t>
            </w:r>
          </w:p>
        </w:tc>
      </w:tr>
      <w:tr w:rsidR="00CB33C7" w:rsidRPr="00B55EA7" w14:paraId="6A650C12" w14:textId="77777777" w:rsidTr="00B55EA7">
        <w:tc>
          <w:tcPr>
            <w:tcW w:w="3423" w:type="dxa"/>
            <w:vMerge/>
            <w:shd w:val="clear" w:color="auto" w:fill="FFFFFF"/>
            <w:vAlign w:val="center"/>
          </w:tcPr>
          <w:p w14:paraId="3720F631" w14:textId="77777777" w:rsidR="00CB33C7" w:rsidRPr="00B55EA7" w:rsidRDefault="00CB33C7" w:rsidP="00B55EA7">
            <w:pPr>
              <w:rPr>
                <w:rFonts w:cs="Arial"/>
                <w:b/>
                <w:bCs/>
                <w:color w:val="000000"/>
                <w:szCs w:val="22"/>
              </w:rPr>
            </w:pPr>
          </w:p>
        </w:tc>
        <w:tc>
          <w:tcPr>
            <w:tcW w:w="1253" w:type="dxa"/>
            <w:vAlign w:val="center"/>
          </w:tcPr>
          <w:p w14:paraId="06917EA3" w14:textId="77777777" w:rsidR="00CB33C7" w:rsidRPr="00B55EA7" w:rsidRDefault="00CB33C7" w:rsidP="00B55EA7">
            <w:pPr>
              <w:jc w:val="center"/>
              <w:rPr>
                <w:rFonts w:cs="Arial"/>
                <w:b/>
                <w:color w:val="000000"/>
                <w:szCs w:val="22"/>
                <w:lang w:eastAsia="it-IT"/>
              </w:rPr>
            </w:pPr>
          </w:p>
        </w:tc>
        <w:tc>
          <w:tcPr>
            <w:tcW w:w="1412" w:type="dxa"/>
            <w:gridSpan w:val="2"/>
            <w:shd w:val="clear" w:color="auto" w:fill="FFFFFF"/>
            <w:vAlign w:val="center"/>
          </w:tcPr>
          <w:p w14:paraId="16B3D59C" w14:textId="77777777" w:rsidR="00CB33C7" w:rsidRPr="00B55EA7" w:rsidRDefault="00CB33C7" w:rsidP="00B55EA7">
            <w:pPr>
              <w:jc w:val="center"/>
              <w:rPr>
                <w:rFonts w:cs="Arial"/>
                <w:b/>
                <w:color w:val="000000"/>
                <w:szCs w:val="22"/>
                <w:lang w:eastAsia="it-IT"/>
              </w:rPr>
            </w:pPr>
            <w:r w:rsidRPr="00B55EA7">
              <w:rPr>
                <w:rFonts w:cs="Arial"/>
                <w:b/>
                <w:color w:val="000000"/>
                <w:szCs w:val="22"/>
                <w:lang w:eastAsia="it-IT"/>
              </w:rPr>
              <w:t>1181,002</w:t>
            </w:r>
          </w:p>
        </w:tc>
        <w:tc>
          <w:tcPr>
            <w:tcW w:w="1284" w:type="dxa"/>
            <w:gridSpan w:val="2"/>
            <w:shd w:val="clear" w:color="auto" w:fill="auto"/>
            <w:vAlign w:val="center"/>
          </w:tcPr>
          <w:p w14:paraId="0C168376" w14:textId="77777777" w:rsidR="00CB33C7" w:rsidRPr="00B55EA7" w:rsidRDefault="00CB33C7" w:rsidP="00B55EA7">
            <w:pPr>
              <w:jc w:val="center"/>
              <w:rPr>
                <w:rFonts w:cs="Arial"/>
                <w:b/>
                <w:color w:val="000000"/>
                <w:szCs w:val="22"/>
                <w:lang w:eastAsia="it-IT"/>
              </w:rPr>
            </w:pPr>
          </w:p>
        </w:tc>
        <w:tc>
          <w:tcPr>
            <w:tcW w:w="1276" w:type="dxa"/>
            <w:gridSpan w:val="2"/>
            <w:shd w:val="clear" w:color="auto" w:fill="FFFFFF"/>
            <w:vAlign w:val="center"/>
          </w:tcPr>
          <w:p w14:paraId="56BE0BC6" w14:textId="77777777" w:rsidR="00CB33C7" w:rsidRPr="00B55EA7" w:rsidRDefault="00CB33C7" w:rsidP="00B55EA7">
            <w:pPr>
              <w:jc w:val="center"/>
              <w:rPr>
                <w:rFonts w:cs="Arial"/>
                <w:b/>
                <w:color w:val="000000"/>
                <w:szCs w:val="22"/>
                <w:lang w:eastAsia="it-IT"/>
              </w:rPr>
            </w:pPr>
          </w:p>
        </w:tc>
        <w:tc>
          <w:tcPr>
            <w:tcW w:w="1571" w:type="dxa"/>
            <w:shd w:val="clear" w:color="auto" w:fill="FFFFFF"/>
            <w:vAlign w:val="center"/>
          </w:tcPr>
          <w:p w14:paraId="53D696D3" w14:textId="77777777" w:rsidR="00CB33C7" w:rsidRPr="00B55EA7" w:rsidRDefault="00CB33C7" w:rsidP="00B55EA7">
            <w:pPr>
              <w:jc w:val="center"/>
              <w:rPr>
                <w:rFonts w:cs="Arial"/>
                <w:b/>
                <w:color w:val="000000"/>
                <w:szCs w:val="22"/>
                <w:lang w:eastAsia="it-IT"/>
              </w:rPr>
            </w:pPr>
            <w:r w:rsidRPr="00B55EA7">
              <w:rPr>
                <w:rFonts w:cs="Arial"/>
                <w:b/>
                <w:color w:val="000000"/>
                <w:szCs w:val="22"/>
                <w:lang w:eastAsia="it-IT"/>
              </w:rPr>
              <w:t>1181,002</w:t>
            </w:r>
          </w:p>
        </w:tc>
      </w:tr>
      <w:tr w:rsidR="00CB33C7" w:rsidRPr="00B55EA7" w14:paraId="126CB676" w14:textId="77777777" w:rsidTr="00B55EA7">
        <w:trPr>
          <w:trHeight w:val="276"/>
        </w:trPr>
        <w:tc>
          <w:tcPr>
            <w:tcW w:w="3423" w:type="dxa"/>
            <w:shd w:val="clear" w:color="auto" w:fill="FFFFFF"/>
            <w:vAlign w:val="center"/>
          </w:tcPr>
          <w:p w14:paraId="418CEC33" w14:textId="77777777" w:rsidR="00CB33C7" w:rsidRPr="00B55EA7" w:rsidRDefault="00CB33C7" w:rsidP="00B55EA7">
            <w:pPr>
              <w:rPr>
                <w:rFonts w:cs="Arial"/>
                <w:b/>
                <w:bCs/>
                <w:color w:val="000000"/>
                <w:szCs w:val="22"/>
              </w:rPr>
            </w:pPr>
            <w:r w:rsidRPr="00B55EA7">
              <w:rPr>
                <w:rFonts w:cs="Arial"/>
                <w:b/>
                <w:bCs/>
                <w:color w:val="000000"/>
                <w:szCs w:val="22"/>
              </w:rPr>
              <w:t>по джерелах фінансування:</w:t>
            </w:r>
          </w:p>
        </w:tc>
        <w:tc>
          <w:tcPr>
            <w:tcW w:w="6796" w:type="dxa"/>
            <w:gridSpan w:val="8"/>
            <w:vAlign w:val="center"/>
          </w:tcPr>
          <w:p w14:paraId="564E3C50" w14:textId="77777777" w:rsidR="00CB33C7" w:rsidRPr="00B55EA7" w:rsidRDefault="00CB33C7" w:rsidP="00B55EA7">
            <w:pPr>
              <w:jc w:val="both"/>
              <w:rPr>
                <w:rFonts w:cs="Arial"/>
                <w:color w:val="000000"/>
                <w:szCs w:val="22"/>
                <w:lang w:eastAsia="it-IT"/>
              </w:rPr>
            </w:pPr>
          </w:p>
        </w:tc>
      </w:tr>
      <w:tr w:rsidR="00CB33C7" w:rsidRPr="00B55EA7" w14:paraId="06C3A730" w14:textId="77777777" w:rsidTr="00B55EA7">
        <w:trPr>
          <w:trHeight w:val="240"/>
        </w:trPr>
        <w:tc>
          <w:tcPr>
            <w:tcW w:w="3423" w:type="dxa"/>
            <w:shd w:val="clear" w:color="auto" w:fill="FFFFFF"/>
            <w:vAlign w:val="center"/>
          </w:tcPr>
          <w:p w14:paraId="6FA087D5" w14:textId="77777777" w:rsidR="00CB33C7" w:rsidRPr="00B55EA7" w:rsidRDefault="00CB33C7" w:rsidP="00B55EA7">
            <w:pPr>
              <w:rPr>
                <w:rFonts w:cs="Arial"/>
                <w:b/>
                <w:bCs/>
                <w:color w:val="000000"/>
                <w:szCs w:val="22"/>
              </w:rPr>
            </w:pPr>
            <w:r w:rsidRPr="00B55EA7">
              <w:rPr>
                <w:rFonts w:cs="Arial"/>
                <w:color w:val="000000"/>
                <w:szCs w:val="22"/>
              </w:rPr>
              <w:t>- державний бюджет</w:t>
            </w:r>
          </w:p>
        </w:tc>
        <w:tc>
          <w:tcPr>
            <w:tcW w:w="6796" w:type="dxa"/>
            <w:gridSpan w:val="8"/>
            <w:vAlign w:val="center"/>
          </w:tcPr>
          <w:p w14:paraId="7C87F4B4" w14:textId="77777777" w:rsidR="00CB33C7" w:rsidRPr="00B55EA7" w:rsidRDefault="00CB33C7" w:rsidP="00B55EA7">
            <w:pPr>
              <w:jc w:val="both"/>
              <w:rPr>
                <w:rFonts w:cs="Arial"/>
                <w:color w:val="000000"/>
                <w:szCs w:val="22"/>
                <w:lang w:eastAsia="it-IT"/>
              </w:rPr>
            </w:pPr>
          </w:p>
        </w:tc>
      </w:tr>
      <w:tr w:rsidR="00CB33C7" w:rsidRPr="00B55EA7" w14:paraId="63D49369" w14:textId="77777777" w:rsidTr="00B55EA7">
        <w:trPr>
          <w:trHeight w:val="254"/>
        </w:trPr>
        <w:tc>
          <w:tcPr>
            <w:tcW w:w="3423" w:type="dxa"/>
            <w:shd w:val="clear" w:color="auto" w:fill="FFFFFF"/>
            <w:vAlign w:val="center"/>
          </w:tcPr>
          <w:p w14:paraId="1AF1916A" w14:textId="77777777" w:rsidR="00CB33C7" w:rsidRPr="00B55EA7" w:rsidRDefault="00CB33C7" w:rsidP="00B55EA7">
            <w:pPr>
              <w:rPr>
                <w:rFonts w:cs="Arial"/>
                <w:color w:val="000000"/>
                <w:szCs w:val="22"/>
              </w:rPr>
            </w:pPr>
            <w:r w:rsidRPr="00B55EA7">
              <w:rPr>
                <w:rFonts w:cs="Arial"/>
                <w:color w:val="000000"/>
                <w:szCs w:val="22"/>
              </w:rPr>
              <w:t>- обласний бюджет</w:t>
            </w:r>
          </w:p>
        </w:tc>
        <w:tc>
          <w:tcPr>
            <w:tcW w:w="6796" w:type="dxa"/>
            <w:gridSpan w:val="8"/>
            <w:vAlign w:val="center"/>
          </w:tcPr>
          <w:p w14:paraId="40645318" w14:textId="77777777" w:rsidR="00CB33C7" w:rsidRPr="00B55EA7" w:rsidRDefault="00CB33C7" w:rsidP="00B55EA7">
            <w:pPr>
              <w:jc w:val="both"/>
              <w:rPr>
                <w:rFonts w:cs="Arial"/>
                <w:color w:val="000000"/>
                <w:szCs w:val="22"/>
                <w:lang w:eastAsia="it-IT"/>
              </w:rPr>
            </w:pPr>
          </w:p>
        </w:tc>
      </w:tr>
      <w:tr w:rsidR="00B55EA7" w:rsidRPr="00B55EA7" w14:paraId="17B742D8" w14:textId="21382C84" w:rsidTr="00B55EA7">
        <w:trPr>
          <w:trHeight w:val="275"/>
        </w:trPr>
        <w:tc>
          <w:tcPr>
            <w:tcW w:w="3423" w:type="dxa"/>
            <w:shd w:val="clear" w:color="auto" w:fill="FFFFFF"/>
            <w:vAlign w:val="center"/>
          </w:tcPr>
          <w:p w14:paraId="6D281F39" w14:textId="77777777" w:rsidR="00B55EA7" w:rsidRPr="00B55EA7" w:rsidRDefault="00B55EA7" w:rsidP="00B55EA7">
            <w:pPr>
              <w:rPr>
                <w:rFonts w:cs="Arial"/>
                <w:color w:val="000000"/>
                <w:szCs w:val="22"/>
              </w:rPr>
            </w:pPr>
            <w:r w:rsidRPr="00B55EA7">
              <w:rPr>
                <w:rFonts w:cs="Arial"/>
                <w:color w:val="000000"/>
                <w:szCs w:val="22"/>
              </w:rPr>
              <w:t>- бюджет Жмеринської МТГ</w:t>
            </w:r>
          </w:p>
        </w:tc>
        <w:tc>
          <w:tcPr>
            <w:tcW w:w="1329" w:type="dxa"/>
            <w:gridSpan w:val="2"/>
            <w:vAlign w:val="center"/>
          </w:tcPr>
          <w:p w14:paraId="3742C61E" w14:textId="0CE8E783" w:rsidR="00B55EA7" w:rsidRPr="00B55EA7" w:rsidRDefault="00B55EA7" w:rsidP="00B55EA7">
            <w:pPr>
              <w:jc w:val="both"/>
              <w:rPr>
                <w:rFonts w:cs="Arial"/>
                <w:color w:val="000000"/>
                <w:szCs w:val="22"/>
                <w:lang w:eastAsia="it-IT"/>
              </w:rPr>
            </w:pPr>
          </w:p>
        </w:tc>
        <w:tc>
          <w:tcPr>
            <w:tcW w:w="1350" w:type="dxa"/>
            <w:gridSpan w:val="2"/>
          </w:tcPr>
          <w:p w14:paraId="3D5A17A6" w14:textId="5E0631D4" w:rsidR="00B55EA7" w:rsidRPr="00B55EA7" w:rsidRDefault="00B55EA7" w:rsidP="00B55EA7">
            <w:pPr>
              <w:jc w:val="center"/>
              <w:rPr>
                <w:rFonts w:cs="Arial"/>
                <w:color w:val="000000"/>
                <w:szCs w:val="22"/>
                <w:lang w:eastAsia="it-IT"/>
              </w:rPr>
            </w:pPr>
            <w:r w:rsidRPr="00B55EA7">
              <w:rPr>
                <w:rFonts w:cs="Arial"/>
                <w:color w:val="000000"/>
                <w:szCs w:val="22"/>
                <w:lang w:eastAsia="it-IT"/>
              </w:rPr>
              <w:t>1181,002</w:t>
            </w:r>
          </w:p>
        </w:tc>
        <w:tc>
          <w:tcPr>
            <w:tcW w:w="1270" w:type="dxa"/>
            <w:vAlign w:val="center"/>
          </w:tcPr>
          <w:p w14:paraId="759D8E9C" w14:textId="77777777" w:rsidR="00B55EA7" w:rsidRPr="00B55EA7" w:rsidRDefault="00B55EA7" w:rsidP="00B55EA7">
            <w:pPr>
              <w:jc w:val="both"/>
              <w:rPr>
                <w:rFonts w:cs="Arial"/>
                <w:color w:val="000000"/>
                <w:szCs w:val="22"/>
                <w:lang w:eastAsia="it-IT"/>
              </w:rPr>
            </w:pPr>
          </w:p>
        </w:tc>
        <w:tc>
          <w:tcPr>
            <w:tcW w:w="1270" w:type="dxa"/>
            <w:vAlign w:val="center"/>
          </w:tcPr>
          <w:p w14:paraId="1110223D" w14:textId="77777777" w:rsidR="00B55EA7" w:rsidRPr="00B55EA7" w:rsidRDefault="00B55EA7" w:rsidP="00B55EA7">
            <w:pPr>
              <w:jc w:val="both"/>
              <w:rPr>
                <w:rFonts w:cs="Arial"/>
                <w:color w:val="000000"/>
                <w:szCs w:val="22"/>
                <w:lang w:eastAsia="it-IT"/>
              </w:rPr>
            </w:pPr>
          </w:p>
        </w:tc>
        <w:tc>
          <w:tcPr>
            <w:tcW w:w="1577" w:type="dxa"/>
            <w:gridSpan w:val="2"/>
          </w:tcPr>
          <w:p w14:paraId="031078B5" w14:textId="6209C618" w:rsidR="00B55EA7" w:rsidRPr="00B55EA7" w:rsidRDefault="00B55EA7" w:rsidP="00B55EA7">
            <w:pPr>
              <w:jc w:val="center"/>
              <w:rPr>
                <w:rFonts w:cs="Arial"/>
                <w:b/>
                <w:color w:val="000000"/>
                <w:szCs w:val="22"/>
                <w:lang w:eastAsia="it-IT"/>
              </w:rPr>
            </w:pPr>
            <w:r w:rsidRPr="00B55EA7">
              <w:rPr>
                <w:rFonts w:cs="Arial"/>
                <w:b/>
                <w:color w:val="000000"/>
                <w:szCs w:val="22"/>
                <w:lang w:eastAsia="it-IT"/>
              </w:rPr>
              <w:t>1181,002</w:t>
            </w:r>
          </w:p>
        </w:tc>
      </w:tr>
      <w:tr w:rsidR="00B55EA7" w:rsidRPr="00B55EA7" w14:paraId="7A4BFAD2" w14:textId="04E3C3AB" w:rsidTr="00B55EA7">
        <w:trPr>
          <w:trHeight w:val="226"/>
        </w:trPr>
        <w:tc>
          <w:tcPr>
            <w:tcW w:w="3423" w:type="dxa"/>
            <w:shd w:val="clear" w:color="auto" w:fill="FFFFFF"/>
            <w:vAlign w:val="center"/>
          </w:tcPr>
          <w:p w14:paraId="6C8C190E" w14:textId="77777777" w:rsidR="00B55EA7" w:rsidRPr="00B55EA7" w:rsidRDefault="00B55EA7" w:rsidP="00B55EA7">
            <w:pPr>
              <w:rPr>
                <w:rFonts w:cs="Arial"/>
                <w:color w:val="000000"/>
                <w:szCs w:val="22"/>
              </w:rPr>
            </w:pPr>
            <w:r w:rsidRPr="00B55EA7">
              <w:rPr>
                <w:rFonts w:cs="Arial"/>
                <w:color w:val="000000"/>
                <w:szCs w:val="22"/>
              </w:rPr>
              <w:t>- інші джерела фінансування</w:t>
            </w:r>
          </w:p>
        </w:tc>
        <w:tc>
          <w:tcPr>
            <w:tcW w:w="1329" w:type="dxa"/>
            <w:gridSpan w:val="2"/>
            <w:vAlign w:val="center"/>
          </w:tcPr>
          <w:p w14:paraId="55AA1DF4" w14:textId="77777777" w:rsidR="00B55EA7" w:rsidRPr="00B55EA7" w:rsidRDefault="00B55EA7" w:rsidP="00B55EA7">
            <w:pPr>
              <w:jc w:val="both"/>
              <w:rPr>
                <w:rFonts w:cs="Arial"/>
                <w:color w:val="000000"/>
                <w:szCs w:val="22"/>
                <w:lang w:eastAsia="it-IT"/>
              </w:rPr>
            </w:pPr>
          </w:p>
        </w:tc>
        <w:tc>
          <w:tcPr>
            <w:tcW w:w="1350" w:type="dxa"/>
            <w:gridSpan w:val="2"/>
            <w:vAlign w:val="center"/>
          </w:tcPr>
          <w:p w14:paraId="1D91D814" w14:textId="77777777" w:rsidR="00B55EA7" w:rsidRPr="00B55EA7" w:rsidRDefault="00B55EA7" w:rsidP="00B55EA7">
            <w:pPr>
              <w:jc w:val="both"/>
              <w:rPr>
                <w:rFonts w:cs="Arial"/>
                <w:color w:val="000000"/>
                <w:szCs w:val="22"/>
                <w:lang w:eastAsia="it-IT"/>
              </w:rPr>
            </w:pPr>
          </w:p>
        </w:tc>
        <w:tc>
          <w:tcPr>
            <w:tcW w:w="1270" w:type="dxa"/>
            <w:vAlign w:val="center"/>
          </w:tcPr>
          <w:p w14:paraId="3E185807" w14:textId="77777777" w:rsidR="00B55EA7" w:rsidRPr="00B55EA7" w:rsidRDefault="00B55EA7" w:rsidP="00B55EA7">
            <w:pPr>
              <w:jc w:val="both"/>
              <w:rPr>
                <w:rFonts w:cs="Arial"/>
                <w:color w:val="000000"/>
                <w:szCs w:val="22"/>
                <w:lang w:eastAsia="it-IT"/>
              </w:rPr>
            </w:pPr>
          </w:p>
        </w:tc>
        <w:tc>
          <w:tcPr>
            <w:tcW w:w="1270" w:type="dxa"/>
            <w:vAlign w:val="center"/>
          </w:tcPr>
          <w:p w14:paraId="1F460EBE" w14:textId="77777777" w:rsidR="00B55EA7" w:rsidRPr="00B55EA7" w:rsidRDefault="00B55EA7" w:rsidP="00B55EA7">
            <w:pPr>
              <w:jc w:val="both"/>
              <w:rPr>
                <w:rFonts w:cs="Arial"/>
                <w:color w:val="000000"/>
                <w:szCs w:val="22"/>
                <w:lang w:eastAsia="it-IT"/>
              </w:rPr>
            </w:pPr>
          </w:p>
        </w:tc>
        <w:tc>
          <w:tcPr>
            <w:tcW w:w="1577" w:type="dxa"/>
            <w:gridSpan w:val="2"/>
            <w:vAlign w:val="center"/>
          </w:tcPr>
          <w:p w14:paraId="30D632B1" w14:textId="77777777" w:rsidR="00B55EA7" w:rsidRPr="00B55EA7" w:rsidRDefault="00B55EA7" w:rsidP="00B55EA7">
            <w:pPr>
              <w:jc w:val="both"/>
              <w:rPr>
                <w:rFonts w:cs="Arial"/>
                <w:color w:val="000000"/>
                <w:szCs w:val="22"/>
                <w:lang w:eastAsia="it-IT"/>
              </w:rPr>
            </w:pPr>
          </w:p>
        </w:tc>
      </w:tr>
      <w:tr w:rsidR="00CB33C7" w:rsidRPr="00B55EA7" w14:paraId="4C3A4EB5" w14:textId="77777777" w:rsidTr="00B55EA7">
        <w:tc>
          <w:tcPr>
            <w:tcW w:w="3423" w:type="dxa"/>
            <w:shd w:val="clear" w:color="auto" w:fill="FFFFFF"/>
            <w:vAlign w:val="center"/>
          </w:tcPr>
          <w:p w14:paraId="4FE23AAE" w14:textId="77777777" w:rsidR="00CB33C7" w:rsidRPr="00B55EA7" w:rsidRDefault="00CB33C7" w:rsidP="00B55EA7">
            <w:pPr>
              <w:rPr>
                <w:rFonts w:cs="Arial"/>
                <w:b/>
                <w:bCs/>
                <w:color w:val="000000"/>
                <w:szCs w:val="22"/>
              </w:rPr>
            </w:pPr>
            <w:r w:rsidRPr="00B55EA7">
              <w:rPr>
                <w:rFonts w:cs="Arial"/>
                <w:b/>
                <w:color w:val="000000"/>
                <w:szCs w:val="22"/>
              </w:rPr>
              <w:t>Відповідальний виконавець проєкту:</w:t>
            </w:r>
          </w:p>
        </w:tc>
        <w:tc>
          <w:tcPr>
            <w:tcW w:w="6796" w:type="dxa"/>
            <w:gridSpan w:val="8"/>
            <w:vAlign w:val="center"/>
          </w:tcPr>
          <w:p w14:paraId="45BF0547" w14:textId="012C330F" w:rsidR="00CB33C7" w:rsidRPr="00B55EA7" w:rsidRDefault="00CB33C7" w:rsidP="00B55EA7">
            <w:pPr>
              <w:jc w:val="both"/>
              <w:rPr>
                <w:rFonts w:cs="Arial"/>
                <w:color w:val="000000"/>
                <w:szCs w:val="22"/>
                <w:lang w:eastAsia="it-IT"/>
              </w:rPr>
            </w:pPr>
            <w:r w:rsidRPr="00B55EA7">
              <w:rPr>
                <w:rFonts w:cs="Arial"/>
                <w:color w:val="000000"/>
                <w:szCs w:val="22"/>
                <w:lang w:eastAsia="it-IT"/>
              </w:rPr>
              <w:t>Управління ЖКГ.</w:t>
            </w:r>
          </w:p>
        </w:tc>
      </w:tr>
      <w:tr w:rsidR="00CB33C7" w:rsidRPr="00B55EA7" w14:paraId="2D784624" w14:textId="77777777" w:rsidTr="00B55EA7">
        <w:tc>
          <w:tcPr>
            <w:tcW w:w="3423" w:type="dxa"/>
            <w:shd w:val="clear" w:color="auto" w:fill="FFFFFF"/>
            <w:vAlign w:val="center"/>
          </w:tcPr>
          <w:p w14:paraId="73EA4E64" w14:textId="77777777" w:rsidR="00CB33C7" w:rsidRPr="00B55EA7" w:rsidRDefault="00CB33C7" w:rsidP="00B55EA7">
            <w:pPr>
              <w:rPr>
                <w:rFonts w:cs="Arial"/>
                <w:b/>
                <w:bCs/>
                <w:color w:val="000000"/>
                <w:szCs w:val="22"/>
              </w:rPr>
            </w:pPr>
            <w:r w:rsidRPr="00B55EA7">
              <w:rPr>
                <w:rFonts w:cs="Arial"/>
                <w:b/>
                <w:bCs/>
                <w:color w:val="000000"/>
                <w:szCs w:val="22"/>
              </w:rPr>
              <w:t>Інше:</w:t>
            </w:r>
          </w:p>
        </w:tc>
        <w:tc>
          <w:tcPr>
            <w:tcW w:w="6796" w:type="dxa"/>
            <w:gridSpan w:val="8"/>
            <w:vAlign w:val="center"/>
          </w:tcPr>
          <w:p w14:paraId="7ECE4DF5" w14:textId="77777777" w:rsidR="00CB33C7" w:rsidRPr="00B55EA7" w:rsidRDefault="00CB33C7" w:rsidP="00B55EA7">
            <w:pPr>
              <w:rPr>
                <w:rFonts w:cs="Arial"/>
                <w:color w:val="000000"/>
                <w:szCs w:val="22"/>
                <w:lang w:eastAsia="it-IT"/>
              </w:rPr>
            </w:pPr>
          </w:p>
          <w:p w14:paraId="4B91A51E" w14:textId="77777777" w:rsidR="00CB33C7" w:rsidRPr="00B55EA7" w:rsidRDefault="00CB33C7" w:rsidP="00B55EA7">
            <w:pPr>
              <w:rPr>
                <w:rFonts w:cs="Arial"/>
                <w:color w:val="000000"/>
                <w:szCs w:val="22"/>
                <w:lang w:eastAsia="it-IT"/>
              </w:rPr>
            </w:pPr>
          </w:p>
        </w:tc>
      </w:tr>
    </w:tbl>
    <w:p w14:paraId="7A27AF89" w14:textId="77777777" w:rsidR="00CB33C7" w:rsidRPr="00C2587D" w:rsidRDefault="00CB33C7" w:rsidP="00CB33C7"/>
    <w:p w14:paraId="5F862084" w14:textId="77777777" w:rsidR="00CB33C7" w:rsidRPr="00C2587D" w:rsidRDefault="00CB33C7" w:rsidP="00CB33C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379A4AA2" w14:textId="77777777" w:rsidR="00CB33C7" w:rsidRPr="00C2587D" w:rsidRDefault="00CB33C7" w:rsidP="00CB33C7">
      <w:pPr>
        <w:jc w:val="center"/>
        <w:rPr>
          <w:rFonts w:cs="Arial"/>
          <w:b/>
          <w:color w:val="000000"/>
          <w:szCs w:val="22"/>
        </w:rPr>
      </w:pPr>
      <w:r w:rsidRPr="00C2587D">
        <w:rPr>
          <w:rFonts w:cs="Arial"/>
          <w:b/>
          <w:color w:val="000000"/>
          <w:szCs w:val="22"/>
        </w:rPr>
        <w:t>до Плану заходів з реалізації Стратегії</w:t>
      </w:r>
    </w:p>
    <w:p w14:paraId="352E0B29" w14:textId="77777777" w:rsidR="00CB33C7" w:rsidRPr="00C2587D" w:rsidRDefault="00CB33C7" w:rsidP="00CB33C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6"/>
        <w:gridCol w:w="1380"/>
        <w:gridCol w:w="26"/>
        <w:gridCol w:w="1281"/>
        <w:gridCol w:w="23"/>
        <w:gridCol w:w="1253"/>
        <w:gridCol w:w="17"/>
        <w:gridCol w:w="1554"/>
      </w:tblGrid>
      <w:tr w:rsidR="00CB33C7" w:rsidRPr="00B55EA7" w14:paraId="4ABFF7F8" w14:textId="77777777" w:rsidTr="00C60A15">
        <w:trPr>
          <w:jc w:val="right"/>
        </w:trPr>
        <w:tc>
          <w:tcPr>
            <w:tcW w:w="3425" w:type="dxa"/>
            <w:vAlign w:val="center"/>
          </w:tcPr>
          <w:p w14:paraId="426EE35C" w14:textId="77777777" w:rsidR="00CB33C7" w:rsidRPr="00B55EA7" w:rsidRDefault="00CB33C7" w:rsidP="00C60A15">
            <w:pPr>
              <w:ind w:left="351" w:hanging="351"/>
              <w:rPr>
                <w:rFonts w:cs="Arial"/>
                <w:b/>
                <w:bCs/>
                <w:color w:val="000000"/>
                <w:szCs w:val="22"/>
              </w:rPr>
            </w:pPr>
            <w:r w:rsidRPr="00B55EA7">
              <w:rPr>
                <w:rFonts w:cs="Arial"/>
                <w:b/>
                <w:bCs/>
                <w:color w:val="000000"/>
                <w:szCs w:val="22"/>
              </w:rPr>
              <w:t>Назва проєкту:</w:t>
            </w:r>
          </w:p>
        </w:tc>
        <w:tc>
          <w:tcPr>
            <w:tcW w:w="6794" w:type="dxa"/>
            <w:gridSpan w:val="9"/>
          </w:tcPr>
          <w:p w14:paraId="3315147E" w14:textId="77777777" w:rsidR="00CB33C7" w:rsidRPr="00B55EA7" w:rsidRDefault="00CB33C7" w:rsidP="00EA6E27">
            <w:pPr>
              <w:spacing w:before="40" w:after="40"/>
              <w:rPr>
                <w:rFonts w:cs="Arial"/>
                <w:b/>
                <w:szCs w:val="22"/>
                <w:lang w:eastAsia="it-IT"/>
              </w:rPr>
            </w:pPr>
            <w:r w:rsidRPr="00B55EA7">
              <w:rPr>
                <w:rFonts w:eastAsia="Arial" w:cs="Arial"/>
                <w:b/>
                <w:szCs w:val="22"/>
                <w:lang w:eastAsia="en-US"/>
              </w:rPr>
              <w:t>Капітальний ремонт вулиці Валерія Брезденюка (від вул. М. Грушевського до вул. Центральна)</w:t>
            </w:r>
          </w:p>
        </w:tc>
      </w:tr>
      <w:tr w:rsidR="00CB33C7" w:rsidRPr="00B55EA7" w14:paraId="3CF6593D" w14:textId="77777777" w:rsidTr="00C60A15">
        <w:trPr>
          <w:jc w:val="right"/>
        </w:trPr>
        <w:tc>
          <w:tcPr>
            <w:tcW w:w="3425" w:type="dxa"/>
          </w:tcPr>
          <w:p w14:paraId="4198C8E6" w14:textId="77777777" w:rsidR="00CB33C7" w:rsidRPr="00B55EA7" w:rsidRDefault="00CB33C7" w:rsidP="00EA6E27">
            <w:pPr>
              <w:spacing w:before="40" w:after="40"/>
              <w:rPr>
                <w:rFonts w:cs="Arial"/>
                <w:szCs w:val="22"/>
                <w:lang w:eastAsia="it-IT"/>
              </w:rPr>
            </w:pPr>
            <w:r w:rsidRPr="00B55EA7">
              <w:rPr>
                <w:rFonts w:cs="Arial"/>
                <w:b/>
                <w:bCs/>
                <w:szCs w:val="22"/>
              </w:rPr>
              <w:t>Ваші контакти</w:t>
            </w:r>
            <w:r w:rsidRPr="00B55EA7">
              <w:rPr>
                <w:rFonts w:cs="Arial"/>
                <w:szCs w:val="22"/>
                <w:lang w:eastAsia="it-IT"/>
              </w:rPr>
              <w:t>:</w:t>
            </w:r>
          </w:p>
          <w:p w14:paraId="1D5FF74C" w14:textId="77777777" w:rsidR="00CB33C7" w:rsidRPr="00B55EA7" w:rsidRDefault="00CB33C7" w:rsidP="00EA6E27">
            <w:pPr>
              <w:spacing w:before="40" w:after="40"/>
              <w:rPr>
                <w:rFonts w:cs="Arial"/>
                <w:b/>
                <w:bCs/>
                <w:szCs w:val="22"/>
              </w:rPr>
            </w:pPr>
            <w:r w:rsidRPr="00B55EA7">
              <w:rPr>
                <w:rFonts w:cs="Arial"/>
                <w:szCs w:val="22"/>
                <w:lang w:eastAsia="it-IT"/>
              </w:rPr>
              <w:t>Назва установи, організації, підприємства</w:t>
            </w:r>
          </w:p>
        </w:tc>
        <w:tc>
          <w:tcPr>
            <w:tcW w:w="6794" w:type="dxa"/>
            <w:gridSpan w:val="9"/>
          </w:tcPr>
          <w:p w14:paraId="059EECFD" w14:textId="77777777" w:rsidR="00CB33C7" w:rsidRPr="00B55EA7" w:rsidRDefault="00CB33C7" w:rsidP="00EA6E27">
            <w:pPr>
              <w:spacing w:before="40" w:after="40"/>
              <w:rPr>
                <w:rFonts w:cs="Arial"/>
                <w:szCs w:val="22"/>
                <w:lang w:eastAsia="it-IT"/>
              </w:rPr>
            </w:pPr>
            <w:r w:rsidRPr="00B55EA7">
              <w:rPr>
                <w:rFonts w:cs="Arial"/>
                <w:szCs w:val="22"/>
                <w:lang w:eastAsia="it-IT"/>
              </w:rPr>
              <w:t>Управління житлово-комунального господарства Жмеринської міської ради</w:t>
            </w:r>
          </w:p>
        </w:tc>
      </w:tr>
      <w:tr w:rsidR="00CB33C7" w:rsidRPr="00B55EA7" w14:paraId="46D2B221" w14:textId="77777777" w:rsidTr="00C60A15">
        <w:trPr>
          <w:jc w:val="right"/>
        </w:trPr>
        <w:tc>
          <w:tcPr>
            <w:tcW w:w="3425" w:type="dxa"/>
          </w:tcPr>
          <w:p w14:paraId="51CA3CE5" w14:textId="77777777" w:rsidR="00CB33C7" w:rsidRPr="00B55EA7" w:rsidRDefault="00CB33C7" w:rsidP="00EA6E27">
            <w:pPr>
              <w:spacing w:before="40" w:after="40"/>
              <w:rPr>
                <w:rFonts w:cs="Arial"/>
                <w:b/>
                <w:bCs/>
                <w:szCs w:val="22"/>
              </w:rPr>
            </w:pPr>
            <w:r w:rsidRPr="00B55EA7">
              <w:rPr>
                <w:rFonts w:cs="Arial"/>
                <w:szCs w:val="22"/>
                <w:lang w:eastAsia="it-IT"/>
              </w:rPr>
              <w:t>Прізвище Ім’я По-батькові:</w:t>
            </w:r>
          </w:p>
        </w:tc>
        <w:tc>
          <w:tcPr>
            <w:tcW w:w="6794" w:type="dxa"/>
            <w:gridSpan w:val="9"/>
          </w:tcPr>
          <w:p w14:paraId="568EFED2" w14:textId="77777777" w:rsidR="00CB33C7" w:rsidRPr="00B55EA7" w:rsidRDefault="00CB33C7" w:rsidP="00EA6E27">
            <w:pPr>
              <w:spacing w:before="40" w:after="40"/>
              <w:rPr>
                <w:rFonts w:cs="Arial"/>
                <w:szCs w:val="22"/>
                <w:lang w:eastAsia="it-IT"/>
              </w:rPr>
            </w:pPr>
            <w:r w:rsidRPr="00B55EA7">
              <w:rPr>
                <w:rFonts w:cs="Arial"/>
                <w:szCs w:val="22"/>
                <w:lang w:eastAsia="it-IT"/>
              </w:rPr>
              <w:t>Оленич Андрій Васильович</w:t>
            </w:r>
          </w:p>
        </w:tc>
      </w:tr>
      <w:tr w:rsidR="00CB33C7" w:rsidRPr="00B55EA7" w14:paraId="26C7B29B" w14:textId="77777777" w:rsidTr="00C60A15">
        <w:trPr>
          <w:jc w:val="right"/>
        </w:trPr>
        <w:tc>
          <w:tcPr>
            <w:tcW w:w="3425" w:type="dxa"/>
          </w:tcPr>
          <w:p w14:paraId="1C086EC9" w14:textId="77777777" w:rsidR="00CB33C7" w:rsidRPr="00B55EA7" w:rsidRDefault="00CB33C7" w:rsidP="00EA6E27">
            <w:pPr>
              <w:spacing w:before="40" w:after="40"/>
              <w:rPr>
                <w:rFonts w:cs="Arial"/>
                <w:b/>
                <w:bCs/>
                <w:szCs w:val="22"/>
              </w:rPr>
            </w:pPr>
            <w:r w:rsidRPr="00B55EA7">
              <w:rPr>
                <w:rFonts w:cs="Arial"/>
                <w:szCs w:val="22"/>
                <w:lang w:eastAsia="it-IT"/>
              </w:rPr>
              <w:t>Телефон (мобільний):</w:t>
            </w:r>
          </w:p>
        </w:tc>
        <w:tc>
          <w:tcPr>
            <w:tcW w:w="6794" w:type="dxa"/>
            <w:gridSpan w:val="9"/>
          </w:tcPr>
          <w:p w14:paraId="0A8EE3D9" w14:textId="77777777" w:rsidR="00CB33C7" w:rsidRPr="00B55EA7" w:rsidRDefault="00CB33C7" w:rsidP="00EA6E27">
            <w:pPr>
              <w:spacing w:before="40" w:after="40"/>
              <w:rPr>
                <w:rFonts w:cs="Arial"/>
                <w:szCs w:val="22"/>
                <w:lang w:eastAsia="it-IT"/>
              </w:rPr>
            </w:pPr>
            <w:r w:rsidRPr="00B55EA7">
              <w:rPr>
                <w:rFonts w:cs="Arial"/>
                <w:szCs w:val="22"/>
                <w:lang w:eastAsia="it-IT"/>
              </w:rPr>
              <w:t>0972561907</w:t>
            </w:r>
          </w:p>
        </w:tc>
      </w:tr>
      <w:tr w:rsidR="00CB33C7" w:rsidRPr="00B55EA7" w14:paraId="5C442910" w14:textId="77777777" w:rsidTr="00C60A15">
        <w:trPr>
          <w:jc w:val="right"/>
        </w:trPr>
        <w:tc>
          <w:tcPr>
            <w:tcW w:w="3425" w:type="dxa"/>
          </w:tcPr>
          <w:p w14:paraId="561BB5AE" w14:textId="77777777" w:rsidR="00CB33C7" w:rsidRPr="00B55EA7" w:rsidRDefault="00CB33C7" w:rsidP="00EA6E27">
            <w:pPr>
              <w:spacing w:before="40" w:after="40"/>
              <w:rPr>
                <w:rFonts w:cs="Arial"/>
                <w:b/>
                <w:bCs/>
                <w:szCs w:val="22"/>
              </w:rPr>
            </w:pPr>
            <w:r w:rsidRPr="00B55EA7">
              <w:rPr>
                <w:rFonts w:cs="Arial"/>
                <w:szCs w:val="22"/>
                <w:lang w:eastAsia="it-IT"/>
              </w:rPr>
              <w:t>Електронна адреса:</w:t>
            </w:r>
          </w:p>
        </w:tc>
        <w:tc>
          <w:tcPr>
            <w:tcW w:w="6794" w:type="dxa"/>
            <w:gridSpan w:val="9"/>
          </w:tcPr>
          <w:p w14:paraId="0015B818" w14:textId="77777777" w:rsidR="00CB33C7" w:rsidRPr="00B55EA7" w:rsidRDefault="00D85FFD" w:rsidP="00EA6E27">
            <w:pPr>
              <w:spacing w:before="40" w:after="40"/>
              <w:rPr>
                <w:rFonts w:cs="Arial"/>
                <w:szCs w:val="22"/>
                <w:lang w:eastAsia="it-IT"/>
              </w:rPr>
            </w:pPr>
            <w:hyperlink r:id="rId59" w:history="1">
              <w:r w:rsidR="00CB33C7" w:rsidRPr="00B55EA7">
                <w:rPr>
                  <w:rStyle w:val="af0"/>
                  <w:rFonts w:cs="Arial"/>
                  <w:noProof w:val="0"/>
                  <w:sz w:val="22"/>
                  <w:szCs w:val="22"/>
                  <w:lang w:eastAsia="it-IT"/>
                </w:rPr>
                <w:t>Aolenych03@ukr.net</w:t>
              </w:r>
            </w:hyperlink>
          </w:p>
        </w:tc>
      </w:tr>
      <w:tr w:rsidR="00CB33C7" w:rsidRPr="00B55EA7" w14:paraId="656A8638" w14:textId="77777777" w:rsidTr="00C60A15">
        <w:trPr>
          <w:jc w:val="right"/>
        </w:trPr>
        <w:tc>
          <w:tcPr>
            <w:tcW w:w="3425" w:type="dxa"/>
            <w:vAlign w:val="center"/>
          </w:tcPr>
          <w:p w14:paraId="3DE83B6E" w14:textId="77777777" w:rsidR="00CB33C7" w:rsidRPr="00B55EA7" w:rsidRDefault="00CB33C7" w:rsidP="00EA6E27">
            <w:pPr>
              <w:pStyle w:val="6"/>
              <w:spacing w:before="0" w:after="0"/>
              <w:rPr>
                <w:rFonts w:ascii="Arial" w:hAnsi="Arial" w:cs="Arial"/>
                <w:color w:val="000000"/>
                <w:lang w:val="uk-UA"/>
              </w:rPr>
            </w:pPr>
            <w:r w:rsidRPr="00B55EA7">
              <w:rPr>
                <w:rFonts w:ascii="Arial" w:hAnsi="Arial" w:cs="Arial"/>
                <w:color w:val="000000"/>
                <w:lang w:val="uk-UA"/>
              </w:rPr>
              <w:t>Номер і назва завдання з Стратегії</w:t>
            </w:r>
            <w:r w:rsidRPr="00B55EA7">
              <w:rPr>
                <w:rFonts w:ascii="Arial" w:hAnsi="Arial" w:cs="Arial"/>
                <w:lang w:val="uk-UA" w:eastAsia="it-IT"/>
              </w:rPr>
              <w:t xml:space="preserve"> </w:t>
            </w:r>
            <w:r w:rsidRPr="00B55EA7">
              <w:rPr>
                <w:rFonts w:ascii="Arial" w:hAnsi="Arial" w:cs="Arial"/>
                <w:color w:val="000000"/>
                <w:lang w:val="uk-UA"/>
              </w:rPr>
              <w:t xml:space="preserve">розвитку Жмеринської міської </w:t>
            </w:r>
          </w:p>
        </w:tc>
        <w:tc>
          <w:tcPr>
            <w:tcW w:w="6794" w:type="dxa"/>
            <w:gridSpan w:val="9"/>
            <w:vAlign w:val="center"/>
          </w:tcPr>
          <w:p w14:paraId="113CD2AA" w14:textId="77777777" w:rsidR="00CB33C7" w:rsidRPr="00B55EA7" w:rsidRDefault="00CB33C7" w:rsidP="00EA6E27">
            <w:pPr>
              <w:suppressAutoHyphens/>
              <w:spacing w:before="20" w:after="20"/>
              <w:jc w:val="both"/>
              <w:rPr>
                <w:rFonts w:eastAsia="Lucida Sans Unicode" w:cs="Arial"/>
                <w:kern w:val="1"/>
                <w:szCs w:val="22"/>
                <w:lang w:eastAsia="ar-SA"/>
              </w:rPr>
            </w:pPr>
            <w:r w:rsidRPr="00B55EA7">
              <w:rPr>
                <w:rFonts w:eastAsia="Lucida Sans Unicode" w:cs="Arial"/>
                <w:kern w:val="1"/>
                <w:szCs w:val="22"/>
                <w:lang w:eastAsia="ar-SA"/>
              </w:rPr>
              <w:t>В.1.1.3. Проведення будівництва, реконструкції та капітального ремонту дорожнього покриття вулиць  та тротуарів в населених пунктах територіальної громади.</w:t>
            </w:r>
          </w:p>
        </w:tc>
      </w:tr>
      <w:tr w:rsidR="00CB33C7" w:rsidRPr="00B55EA7" w14:paraId="15610C7C" w14:textId="77777777" w:rsidTr="00C60A15">
        <w:trPr>
          <w:jc w:val="right"/>
        </w:trPr>
        <w:tc>
          <w:tcPr>
            <w:tcW w:w="3425" w:type="dxa"/>
            <w:vAlign w:val="center"/>
          </w:tcPr>
          <w:p w14:paraId="42ABF09B" w14:textId="77777777" w:rsidR="00CB33C7" w:rsidRPr="00B55EA7" w:rsidRDefault="00CB33C7" w:rsidP="00EA6E27">
            <w:pPr>
              <w:rPr>
                <w:rFonts w:cs="Arial"/>
                <w:b/>
                <w:bCs/>
                <w:color w:val="000000"/>
                <w:szCs w:val="22"/>
              </w:rPr>
            </w:pPr>
            <w:r w:rsidRPr="00B55EA7">
              <w:rPr>
                <w:rFonts w:cs="Arial"/>
                <w:b/>
                <w:bCs/>
                <w:color w:val="000000"/>
                <w:szCs w:val="22"/>
              </w:rPr>
              <w:t>Мета проєкту:</w:t>
            </w:r>
          </w:p>
        </w:tc>
        <w:tc>
          <w:tcPr>
            <w:tcW w:w="6794" w:type="dxa"/>
            <w:gridSpan w:val="9"/>
          </w:tcPr>
          <w:p w14:paraId="593A311D" w14:textId="77777777" w:rsidR="00CB33C7" w:rsidRPr="00B55EA7" w:rsidRDefault="00CB33C7" w:rsidP="00EA6E27">
            <w:pPr>
              <w:spacing w:before="40" w:after="40"/>
              <w:jc w:val="both"/>
              <w:rPr>
                <w:rFonts w:cs="Arial"/>
                <w:szCs w:val="22"/>
                <w:lang w:eastAsia="it-IT"/>
              </w:rPr>
            </w:pPr>
            <w:r w:rsidRPr="00B55EA7">
              <w:rPr>
                <w:rFonts w:cs="Arial"/>
                <w:szCs w:val="22"/>
                <w:lang w:eastAsia="it-IT"/>
              </w:rPr>
              <w:t>Забезпечення  населення громади м. Жмеринка якісною інфраструктурою, а саме дорогами з рівним покриттям.</w:t>
            </w:r>
          </w:p>
          <w:p w14:paraId="287B1854" w14:textId="77777777" w:rsidR="00CB33C7" w:rsidRPr="00B55EA7" w:rsidRDefault="00CB33C7" w:rsidP="00EA6E27">
            <w:pPr>
              <w:spacing w:before="40" w:after="40"/>
              <w:rPr>
                <w:rFonts w:cs="Arial"/>
                <w:szCs w:val="22"/>
                <w:lang w:eastAsia="it-IT"/>
              </w:rPr>
            </w:pPr>
            <w:r w:rsidRPr="00B55EA7">
              <w:rPr>
                <w:rFonts w:cs="Arial"/>
                <w:szCs w:val="22"/>
                <w:lang w:eastAsia="it-IT"/>
              </w:rPr>
              <w:t>Мешканці громади отримують більш комфортні   та безпечні умови проживання та перебування в населеному пункті.</w:t>
            </w:r>
          </w:p>
        </w:tc>
      </w:tr>
      <w:tr w:rsidR="00CB33C7" w:rsidRPr="00B55EA7" w14:paraId="64B691F2" w14:textId="77777777" w:rsidTr="00C60A15">
        <w:trPr>
          <w:jc w:val="right"/>
        </w:trPr>
        <w:tc>
          <w:tcPr>
            <w:tcW w:w="3425" w:type="dxa"/>
            <w:vAlign w:val="center"/>
          </w:tcPr>
          <w:p w14:paraId="4728ACD7" w14:textId="77777777" w:rsidR="00CB33C7" w:rsidRPr="00B55EA7" w:rsidRDefault="00CB33C7" w:rsidP="00EA6E27">
            <w:pPr>
              <w:rPr>
                <w:rFonts w:cs="Arial"/>
                <w:b/>
                <w:bCs/>
                <w:color w:val="000000"/>
                <w:szCs w:val="22"/>
              </w:rPr>
            </w:pPr>
            <w:r w:rsidRPr="00B55EA7">
              <w:rPr>
                <w:rFonts w:cs="Arial"/>
                <w:b/>
                <w:bCs/>
                <w:color w:val="000000"/>
                <w:szCs w:val="22"/>
              </w:rPr>
              <w:t>Цілі проєкту:</w:t>
            </w:r>
          </w:p>
        </w:tc>
        <w:tc>
          <w:tcPr>
            <w:tcW w:w="6794" w:type="dxa"/>
            <w:gridSpan w:val="9"/>
          </w:tcPr>
          <w:p w14:paraId="7E7B8BFE" w14:textId="77777777" w:rsidR="00CB33C7" w:rsidRPr="00B55EA7" w:rsidRDefault="00CB33C7" w:rsidP="00EA6E27">
            <w:pPr>
              <w:spacing w:before="40" w:after="40"/>
              <w:rPr>
                <w:rFonts w:cs="Arial"/>
                <w:szCs w:val="22"/>
                <w:lang w:eastAsia="it-IT"/>
              </w:rPr>
            </w:pPr>
            <w:r w:rsidRPr="00B55EA7">
              <w:rPr>
                <w:rFonts w:cs="Arial"/>
                <w:szCs w:val="22"/>
                <w:lang w:eastAsia="it-IT"/>
              </w:rPr>
              <w:t>Покращити інфраструктуру   дорожнього покриття в м. Жмеринка</w:t>
            </w:r>
          </w:p>
        </w:tc>
      </w:tr>
      <w:tr w:rsidR="00CB33C7" w:rsidRPr="00B55EA7" w14:paraId="5439AFAC" w14:textId="77777777" w:rsidTr="00C60A15">
        <w:trPr>
          <w:jc w:val="right"/>
        </w:trPr>
        <w:tc>
          <w:tcPr>
            <w:tcW w:w="3425" w:type="dxa"/>
            <w:vAlign w:val="center"/>
          </w:tcPr>
          <w:p w14:paraId="4B09E8B9" w14:textId="77777777" w:rsidR="00CB33C7" w:rsidRPr="00B55EA7" w:rsidRDefault="00CB33C7" w:rsidP="00EA6E27">
            <w:pPr>
              <w:autoSpaceDE w:val="0"/>
              <w:autoSpaceDN w:val="0"/>
              <w:adjustRightInd w:val="0"/>
              <w:rPr>
                <w:rFonts w:cs="Arial"/>
                <w:b/>
                <w:color w:val="000000"/>
                <w:szCs w:val="22"/>
              </w:rPr>
            </w:pPr>
            <w:r w:rsidRPr="00B55EA7">
              <w:rPr>
                <w:rFonts w:cs="Arial"/>
                <w:b/>
                <w:color w:val="000000"/>
                <w:szCs w:val="22"/>
              </w:rPr>
              <w:t>Територія на яку проєкт матиме вплив:</w:t>
            </w:r>
          </w:p>
        </w:tc>
        <w:tc>
          <w:tcPr>
            <w:tcW w:w="6794" w:type="dxa"/>
            <w:gridSpan w:val="9"/>
          </w:tcPr>
          <w:p w14:paraId="5631EC0E" w14:textId="690A1FFD" w:rsidR="00CB33C7" w:rsidRPr="00B55EA7" w:rsidRDefault="00CB33C7" w:rsidP="00B55EA7">
            <w:pPr>
              <w:spacing w:before="40" w:after="40"/>
              <w:rPr>
                <w:rFonts w:cs="Arial"/>
                <w:szCs w:val="22"/>
                <w:lang w:eastAsia="it-IT"/>
              </w:rPr>
            </w:pPr>
            <w:r w:rsidRPr="00B55EA7">
              <w:rPr>
                <w:rFonts w:cs="Arial"/>
                <w:szCs w:val="22"/>
                <w:lang w:eastAsia="it-IT"/>
              </w:rPr>
              <w:t xml:space="preserve">Території </w:t>
            </w:r>
            <w:r w:rsidR="00B55EA7" w:rsidRPr="00B55EA7">
              <w:rPr>
                <w:rFonts w:cs="Arial"/>
                <w:szCs w:val="22"/>
                <w:lang w:eastAsia="it-IT"/>
              </w:rPr>
              <w:t>Жмеринська</w:t>
            </w:r>
            <w:r w:rsidRPr="00B55EA7">
              <w:rPr>
                <w:rFonts w:cs="Arial"/>
                <w:szCs w:val="22"/>
                <w:lang w:eastAsia="it-IT"/>
              </w:rPr>
              <w:t xml:space="preserve"> М</w:t>
            </w:r>
            <w:r w:rsidR="00B55EA7" w:rsidRPr="00B55EA7">
              <w:rPr>
                <w:rFonts w:cs="Arial"/>
                <w:szCs w:val="22"/>
                <w:lang w:eastAsia="it-IT"/>
              </w:rPr>
              <w:t>Т</w:t>
            </w:r>
            <w:r w:rsidRPr="00B55EA7">
              <w:rPr>
                <w:rFonts w:cs="Arial"/>
                <w:szCs w:val="22"/>
                <w:lang w:eastAsia="it-IT"/>
              </w:rPr>
              <w:t>Г</w:t>
            </w:r>
          </w:p>
        </w:tc>
      </w:tr>
      <w:tr w:rsidR="00CB33C7" w:rsidRPr="00B55EA7" w14:paraId="7648F041" w14:textId="77777777" w:rsidTr="00C60A15">
        <w:trPr>
          <w:jc w:val="right"/>
        </w:trPr>
        <w:tc>
          <w:tcPr>
            <w:tcW w:w="3425" w:type="dxa"/>
            <w:vAlign w:val="center"/>
          </w:tcPr>
          <w:p w14:paraId="44154A7A" w14:textId="77777777" w:rsidR="00CB33C7" w:rsidRPr="00B55EA7" w:rsidRDefault="00CB33C7" w:rsidP="00EA6E27">
            <w:pPr>
              <w:autoSpaceDE w:val="0"/>
              <w:autoSpaceDN w:val="0"/>
              <w:adjustRightInd w:val="0"/>
              <w:rPr>
                <w:rFonts w:cs="Arial"/>
                <w:b/>
                <w:color w:val="000000"/>
                <w:szCs w:val="22"/>
              </w:rPr>
            </w:pPr>
            <w:r w:rsidRPr="00B55EA7">
              <w:rPr>
                <w:rFonts w:cs="Arial"/>
                <w:b/>
                <w:color w:val="000000"/>
                <w:szCs w:val="22"/>
              </w:rPr>
              <w:t>Цільові групи проєкту та кількість отримувачів вигоди</w:t>
            </w:r>
          </w:p>
        </w:tc>
        <w:tc>
          <w:tcPr>
            <w:tcW w:w="6794" w:type="dxa"/>
            <w:gridSpan w:val="9"/>
          </w:tcPr>
          <w:p w14:paraId="7FD700DC" w14:textId="77777777" w:rsidR="00CB33C7" w:rsidRPr="00B55EA7" w:rsidRDefault="00CB33C7" w:rsidP="00EA6E27">
            <w:pPr>
              <w:spacing w:before="40" w:after="40"/>
              <w:rPr>
                <w:rFonts w:cs="Arial"/>
                <w:szCs w:val="22"/>
                <w:lang w:eastAsia="it-IT"/>
              </w:rPr>
            </w:pPr>
            <w:r w:rsidRPr="00B55EA7">
              <w:rPr>
                <w:rFonts w:cs="Arial"/>
                <w:szCs w:val="22"/>
                <w:lang w:eastAsia="it-IT"/>
              </w:rPr>
              <w:t>Жителі м. Жмеринка в кількості 34353 містян</w:t>
            </w:r>
          </w:p>
        </w:tc>
      </w:tr>
      <w:tr w:rsidR="00CB33C7" w:rsidRPr="00B55EA7" w14:paraId="0717D057" w14:textId="77777777" w:rsidTr="00C60A15">
        <w:trPr>
          <w:jc w:val="right"/>
        </w:trPr>
        <w:tc>
          <w:tcPr>
            <w:tcW w:w="3425" w:type="dxa"/>
            <w:shd w:val="clear" w:color="auto" w:fill="FFFFFF"/>
            <w:vAlign w:val="center"/>
          </w:tcPr>
          <w:p w14:paraId="6735E306" w14:textId="77777777" w:rsidR="00CB33C7" w:rsidRPr="00B55EA7" w:rsidRDefault="00CB33C7" w:rsidP="00EA6E27">
            <w:pPr>
              <w:rPr>
                <w:rFonts w:cs="Arial"/>
                <w:b/>
                <w:bCs/>
                <w:color w:val="000000"/>
                <w:szCs w:val="22"/>
              </w:rPr>
            </w:pPr>
            <w:r w:rsidRPr="00B55EA7">
              <w:rPr>
                <w:rFonts w:cs="Arial"/>
                <w:b/>
                <w:bCs/>
                <w:color w:val="000000"/>
                <w:szCs w:val="22"/>
              </w:rPr>
              <w:t>Стислий опис проєкту:</w:t>
            </w:r>
          </w:p>
        </w:tc>
        <w:tc>
          <w:tcPr>
            <w:tcW w:w="6794" w:type="dxa"/>
            <w:gridSpan w:val="9"/>
          </w:tcPr>
          <w:p w14:paraId="19534F4C" w14:textId="77777777" w:rsidR="00CB33C7" w:rsidRPr="00B55EA7" w:rsidRDefault="00CB33C7" w:rsidP="00B55EA7">
            <w:pPr>
              <w:pStyle w:val="ad"/>
              <w:shd w:val="clear" w:color="auto" w:fill="FFFFFF"/>
              <w:spacing w:before="0" w:beforeAutospacing="0" w:after="0" w:afterAutospacing="0"/>
              <w:ind w:firstLine="148"/>
              <w:jc w:val="both"/>
              <w:rPr>
                <w:rFonts w:cs="Arial"/>
                <w:szCs w:val="22"/>
              </w:rPr>
            </w:pPr>
            <w:r w:rsidRPr="00B55EA7">
              <w:rPr>
                <w:rFonts w:cs="Arial"/>
                <w:szCs w:val="22"/>
              </w:rPr>
              <w:t>Якість доріг забезпечує роботу всіх галузей промисловості, соціальний розвиток суспільства. Забезпечує доступ у різні місця населеного пункту, а також безпечне та надійне переміщення людей і транспортування товарів і має надзвичайно важливе значення.</w:t>
            </w:r>
          </w:p>
          <w:p w14:paraId="2C15E297" w14:textId="77777777" w:rsidR="00CB33C7" w:rsidRPr="00B55EA7" w:rsidRDefault="00CB33C7" w:rsidP="00B55EA7">
            <w:pPr>
              <w:pStyle w:val="ad"/>
              <w:shd w:val="clear" w:color="auto" w:fill="FFFFFF"/>
              <w:spacing w:before="0" w:beforeAutospacing="0" w:after="0" w:afterAutospacing="0"/>
              <w:ind w:firstLine="148"/>
              <w:jc w:val="both"/>
              <w:rPr>
                <w:rFonts w:cs="Arial"/>
                <w:szCs w:val="22"/>
              </w:rPr>
            </w:pPr>
            <w:r w:rsidRPr="00B55EA7">
              <w:rPr>
                <w:rFonts w:cs="Arial"/>
                <w:szCs w:val="22"/>
              </w:rPr>
              <w:t>Від стану автомобільних доріг залежать витрати на перевезення вантажів та пасажирів, рівень цін, певною мірою зайнятість населення.</w:t>
            </w:r>
          </w:p>
          <w:p w14:paraId="5EA2755F" w14:textId="77777777" w:rsidR="00CB33C7" w:rsidRPr="00B55EA7" w:rsidRDefault="00CB33C7" w:rsidP="00B55EA7">
            <w:pPr>
              <w:pStyle w:val="ad"/>
              <w:shd w:val="clear" w:color="auto" w:fill="FFFFFF"/>
              <w:spacing w:before="0" w:beforeAutospacing="0" w:after="0" w:afterAutospacing="0"/>
              <w:ind w:firstLine="148"/>
              <w:jc w:val="both"/>
              <w:rPr>
                <w:rFonts w:cs="Arial"/>
                <w:szCs w:val="22"/>
                <w:shd w:val="clear" w:color="auto" w:fill="FFFFFF"/>
              </w:rPr>
            </w:pPr>
            <w:r w:rsidRPr="00B55EA7">
              <w:rPr>
                <w:rFonts w:cs="Arial"/>
                <w:szCs w:val="22"/>
              </w:rPr>
              <w:t xml:space="preserve"> </w:t>
            </w:r>
            <w:r w:rsidRPr="00B55EA7">
              <w:rPr>
                <w:rFonts w:cs="Arial"/>
                <w:szCs w:val="22"/>
                <w:shd w:val="clear" w:color="auto" w:fill="FFFFFF"/>
              </w:rPr>
              <w:t>Перш за все викликають занепокоєння ті ділянки доріг, по яких проходять автобусні сполучення, підвезення дітей до навчальних закладів, надання невідкладної медичної допомоги.</w:t>
            </w:r>
          </w:p>
          <w:p w14:paraId="197DB866" w14:textId="77777777" w:rsidR="00CB33C7" w:rsidRPr="00B55EA7" w:rsidRDefault="00CB33C7" w:rsidP="00B55EA7">
            <w:pPr>
              <w:rPr>
                <w:rFonts w:cs="Arial"/>
                <w:szCs w:val="22"/>
                <w:lang w:eastAsia="it-IT"/>
              </w:rPr>
            </w:pPr>
            <w:r w:rsidRPr="00B55EA7">
              <w:rPr>
                <w:rFonts w:cs="Arial"/>
                <w:szCs w:val="22"/>
                <w:shd w:val="clear" w:color="auto" w:fill="FFFFFF"/>
              </w:rPr>
              <w:t>З метою безперебійного перевезення людей, необхідно провести капітальний ремонт дороги по вул. Валерія Брезденюка в м. Жмеринка</w:t>
            </w:r>
          </w:p>
        </w:tc>
      </w:tr>
      <w:tr w:rsidR="00CB33C7" w:rsidRPr="00B55EA7" w14:paraId="099C397C" w14:textId="77777777" w:rsidTr="00C60A15">
        <w:trPr>
          <w:jc w:val="right"/>
        </w:trPr>
        <w:tc>
          <w:tcPr>
            <w:tcW w:w="3425" w:type="dxa"/>
            <w:shd w:val="clear" w:color="auto" w:fill="FFFFFF"/>
            <w:vAlign w:val="center"/>
          </w:tcPr>
          <w:p w14:paraId="37A03E52" w14:textId="77777777" w:rsidR="00CB33C7" w:rsidRPr="00B55EA7" w:rsidRDefault="00CB33C7" w:rsidP="00EA6E27">
            <w:pPr>
              <w:rPr>
                <w:rFonts w:cs="Arial"/>
                <w:b/>
                <w:bCs/>
                <w:color w:val="000000"/>
                <w:szCs w:val="22"/>
              </w:rPr>
            </w:pPr>
            <w:r w:rsidRPr="00B55EA7">
              <w:rPr>
                <w:rFonts w:cs="Arial"/>
                <w:b/>
                <w:bCs/>
                <w:color w:val="000000"/>
                <w:szCs w:val="22"/>
              </w:rPr>
              <w:t>Основні заходи проєкту:</w:t>
            </w:r>
          </w:p>
        </w:tc>
        <w:tc>
          <w:tcPr>
            <w:tcW w:w="6794" w:type="dxa"/>
            <w:gridSpan w:val="9"/>
          </w:tcPr>
          <w:p w14:paraId="1983A9C8" w14:textId="6B0D02DB" w:rsidR="00CB33C7" w:rsidRPr="00B55EA7" w:rsidRDefault="00CB33C7" w:rsidP="00EA6E27">
            <w:pPr>
              <w:spacing w:before="40" w:after="40"/>
              <w:jc w:val="both"/>
              <w:rPr>
                <w:rFonts w:cs="Arial"/>
                <w:szCs w:val="22"/>
                <w:lang w:eastAsia="it-IT"/>
              </w:rPr>
            </w:pPr>
            <w:r w:rsidRPr="00B55EA7">
              <w:rPr>
                <w:rFonts w:cs="Arial"/>
                <w:szCs w:val="22"/>
                <w:lang w:eastAsia="it-IT"/>
              </w:rPr>
              <w:t>Створення робочо</w:t>
            </w:r>
            <w:r w:rsidR="002013FD">
              <w:rPr>
                <w:rFonts w:cs="Arial"/>
                <w:szCs w:val="22"/>
                <w:lang w:eastAsia="it-IT"/>
              </w:rPr>
              <w:t>ї групи з питань реалізації проє</w:t>
            </w:r>
            <w:r w:rsidRPr="00B55EA7">
              <w:rPr>
                <w:rFonts w:cs="Arial"/>
                <w:szCs w:val="22"/>
                <w:lang w:eastAsia="it-IT"/>
              </w:rPr>
              <w:t xml:space="preserve">кту. </w:t>
            </w:r>
          </w:p>
          <w:p w14:paraId="6B1516E6" w14:textId="77777777" w:rsidR="00CB33C7" w:rsidRPr="00B55EA7" w:rsidRDefault="00CB33C7" w:rsidP="00EA6E27">
            <w:pPr>
              <w:spacing w:before="40" w:after="40"/>
              <w:jc w:val="both"/>
              <w:rPr>
                <w:rFonts w:cs="Arial"/>
                <w:szCs w:val="22"/>
                <w:lang w:eastAsia="it-IT"/>
              </w:rPr>
            </w:pPr>
            <w:r w:rsidRPr="00B55EA7">
              <w:rPr>
                <w:rFonts w:cs="Arial"/>
                <w:szCs w:val="22"/>
                <w:lang w:eastAsia="it-IT"/>
              </w:rPr>
              <w:t>Проведення процедури закупівель (визначення виконавця робіт).</w:t>
            </w:r>
          </w:p>
          <w:p w14:paraId="231C6D11" w14:textId="77777777" w:rsidR="00CB33C7" w:rsidRPr="00B55EA7" w:rsidRDefault="00CB33C7" w:rsidP="00EA6E27">
            <w:pPr>
              <w:spacing w:before="40" w:after="40"/>
              <w:jc w:val="both"/>
              <w:rPr>
                <w:rFonts w:cs="Arial"/>
                <w:szCs w:val="22"/>
                <w:lang w:eastAsia="it-IT"/>
              </w:rPr>
            </w:pPr>
            <w:r w:rsidRPr="00B55EA7">
              <w:rPr>
                <w:rFonts w:cs="Arial"/>
                <w:szCs w:val="22"/>
                <w:lang w:eastAsia="it-IT"/>
              </w:rPr>
              <w:t>Укладення договорів з виконавцем робіт, організаціями, що здійснюватимуть  технічний та авторський  нагляд .</w:t>
            </w:r>
          </w:p>
          <w:p w14:paraId="1490F43A" w14:textId="7FC95C6C" w:rsidR="00CB33C7" w:rsidRPr="00B55EA7" w:rsidRDefault="00CB33C7" w:rsidP="00EA6E27">
            <w:pPr>
              <w:spacing w:before="40" w:after="40"/>
              <w:jc w:val="both"/>
              <w:rPr>
                <w:rFonts w:cs="Arial"/>
                <w:szCs w:val="22"/>
                <w:lang w:eastAsia="it-IT"/>
              </w:rPr>
            </w:pPr>
            <w:r w:rsidRPr="00B55EA7">
              <w:rPr>
                <w:rFonts w:cs="Arial"/>
                <w:szCs w:val="22"/>
                <w:lang w:eastAsia="it-IT"/>
              </w:rPr>
              <w:t xml:space="preserve">Виконання робіт з капітального ремонту дорожнього покриття </w:t>
            </w:r>
            <w:r w:rsidRPr="00B55EA7">
              <w:rPr>
                <w:rFonts w:cs="Arial"/>
                <w:szCs w:val="22"/>
                <w:shd w:val="clear" w:color="auto" w:fill="FFFFFF"/>
              </w:rPr>
              <w:t>по вул. Валерія Брезденюка</w:t>
            </w:r>
            <w:r w:rsidRPr="00B55EA7">
              <w:rPr>
                <w:rFonts w:cs="Arial"/>
                <w:szCs w:val="22"/>
                <w:lang w:eastAsia="it-IT"/>
              </w:rPr>
              <w:t xml:space="preserve"> в м. Жмеринка</w:t>
            </w:r>
            <w:r w:rsidR="002013FD">
              <w:rPr>
                <w:rFonts w:cs="Arial"/>
                <w:szCs w:val="22"/>
                <w:lang w:eastAsia="it-IT"/>
              </w:rPr>
              <w:t>.</w:t>
            </w:r>
          </w:p>
          <w:p w14:paraId="17F620C0" w14:textId="77777777" w:rsidR="00CB33C7" w:rsidRPr="00B55EA7" w:rsidRDefault="00CB33C7" w:rsidP="00EA6E27">
            <w:pPr>
              <w:spacing w:before="40" w:after="40"/>
              <w:jc w:val="both"/>
              <w:rPr>
                <w:rFonts w:cs="Arial"/>
                <w:szCs w:val="22"/>
                <w:lang w:eastAsia="it-IT"/>
              </w:rPr>
            </w:pPr>
            <w:r w:rsidRPr="00B55EA7">
              <w:rPr>
                <w:rFonts w:cs="Arial"/>
                <w:szCs w:val="22"/>
                <w:lang w:eastAsia="it-IT"/>
              </w:rPr>
              <w:t>Введення  об’єкту в експлуатацію .</w:t>
            </w:r>
          </w:p>
          <w:p w14:paraId="58532AC2" w14:textId="6DE18572" w:rsidR="00CB33C7" w:rsidRPr="00B55EA7" w:rsidRDefault="00CB33C7" w:rsidP="00EA6E27">
            <w:pPr>
              <w:spacing w:before="40" w:after="40"/>
              <w:rPr>
                <w:rFonts w:cs="Arial"/>
                <w:szCs w:val="22"/>
                <w:lang w:eastAsia="it-IT"/>
              </w:rPr>
            </w:pPr>
            <w:r w:rsidRPr="00B55EA7">
              <w:rPr>
                <w:rFonts w:cs="Arial"/>
                <w:szCs w:val="22"/>
                <w:lang w:eastAsia="it-IT"/>
              </w:rPr>
              <w:t xml:space="preserve">Проведення інформаційних заходів (розміщення  </w:t>
            </w:r>
            <w:r w:rsidR="002013FD">
              <w:rPr>
                <w:rFonts w:cs="Arial"/>
                <w:szCs w:val="22"/>
                <w:lang w:eastAsia="it-IT"/>
              </w:rPr>
              <w:t>інформації  про реалізацію  проє</w:t>
            </w:r>
            <w:r w:rsidRPr="00B55EA7">
              <w:rPr>
                <w:rFonts w:cs="Arial"/>
                <w:szCs w:val="22"/>
                <w:lang w:eastAsia="it-IT"/>
              </w:rPr>
              <w:t>кту у ЗМІ) .</w:t>
            </w:r>
          </w:p>
        </w:tc>
      </w:tr>
      <w:tr w:rsidR="00CB33C7" w:rsidRPr="00B55EA7" w14:paraId="6E971964" w14:textId="77777777" w:rsidTr="00C60A15">
        <w:trPr>
          <w:jc w:val="right"/>
        </w:trPr>
        <w:tc>
          <w:tcPr>
            <w:tcW w:w="3425" w:type="dxa"/>
            <w:shd w:val="clear" w:color="auto" w:fill="FFFFFF"/>
            <w:vAlign w:val="center"/>
          </w:tcPr>
          <w:p w14:paraId="4955F7D4" w14:textId="77777777" w:rsidR="00CB33C7" w:rsidRPr="00B55EA7" w:rsidRDefault="00CB33C7" w:rsidP="00EA6E27">
            <w:pPr>
              <w:rPr>
                <w:rFonts w:cs="Arial"/>
                <w:b/>
                <w:bCs/>
                <w:color w:val="000000"/>
                <w:szCs w:val="22"/>
              </w:rPr>
            </w:pPr>
            <w:r w:rsidRPr="00B55EA7">
              <w:rPr>
                <w:rFonts w:cs="Arial"/>
                <w:b/>
                <w:bCs/>
                <w:color w:val="000000"/>
                <w:szCs w:val="22"/>
              </w:rPr>
              <w:t>Індикатори (показники) результативності:</w:t>
            </w:r>
          </w:p>
        </w:tc>
        <w:tc>
          <w:tcPr>
            <w:tcW w:w="6794" w:type="dxa"/>
            <w:gridSpan w:val="9"/>
          </w:tcPr>
          <w:p w14:paraId="0211592F" w14:textId="77777777" w:rsidR="00CB33C7" w:rsidRPr="00B55EA7" w:rsidRDefault="00CB33C7" w:rsidP="00EA6E27">
            <w:pPr>
              <w:spacing w:before="40" w:after="40"/>
              <w:rPr>
                <w:rFonts w:cs="Arial"/>
                <w:szCs w:val="22"/>
                <w:lang w:eastAsia="it-IT"/>
              </w:rPr>
            </w:pPr>
            <w:r w:rsidRPr="00B55EA7">
              <w:rPr>
                <w:rFonts w:eastAsia="Arial" w:cs="Arial"/>
                <w:szCs w:val="22"/>
                <w:lang w:eastAsia="en-US"/>
              </w:rPr>
              <w:t>Довжина ділянки проєктування 240,9 м та площа влаштування тротуарів 541,60 м</w:t>
            </w:r>
            <w:r w:rsidRPr="00B55EA7">
              <w:rPr>
                <w:rFonts w:eastAsia="Arial" w:cs="Arial"/>
                <w:szCs w:val="22"/>
                <w:vertAlign w:val="superscript"/>
                <w:lang w:eastAsia="en-US"/>
              </w:rPr>
              <w:t>2</w:t>
            </w:r>
          </w:p>
        </w:tc>
      </w:tr>
      <w:tr w:rsidR="00CB33C7" w:rsidRPr="00B55EA7" w14:paraId="44538D56" w14:textId="77777777" w:rsidTr="00C60A15">
        <w:trPr>
          <w:jc w:val="right"/>
        </w:trPr>
        <w:tc>
          <w:tcPr>
            <w:tcW w:w="3425" w:type="dxa"/>
            <w:shd w:val="clear" w:color="auto" w:fill="FFFFFF"/>
            <w:vAlign w:val="center"/>
          </w:tcPr>
          <w:p w14:paraId="35B60FCF" w14:textId="77777777" w:rsidR="00CB33C7" w:rsidRPr="00B55EA7" w:rsidRDefault="00CB33C7" w:rsidP="00EA6E27">
            <w:pPr>
              <w:rPr>
                <w:rFonts w:cs="Arial"/>
                <w:b/>
                <w:color w:val="000000"/>
                <w:szCs w:val="22"/>
              </w:rPr>
            </w:pPr>
            <w:r w:rsidRPr="00B55EA7">
              <w:rPr>
                <w:rFonts w:cs="Arial"/>
                <w:b/>
                <w:color w:val="000000"/>
                <w:szCs w:val="22"/>
              </w:rPr>
              <w:t xml:space="preserve">Період здійснення: </w:t>
            </w:r>
          </w:p>
        </w:tc>
        <w:tc>
          <w:tcPr>
            <w:tcW w:w="6794" w:type="dxa"/>
            <w:gridSpan w:val="9"/>
            <w:vAlign w:val="center"/>
          </w:tcPr>
          <w:p w14:paraId="24895A22" w14:textId="77777777" w:rsidR="00CB33C7" w:rsidRPr="00B55EA7" w:rsidRDefault="00CB33C7" w:rsidP="00EA6E27">
            <w:pPr>
              <w:rPr>
                <w:rFonts w:cs="Arial"/>
                <w:color w:val="000000"/>
                <w:szCs w:val="22"/>
                <w:lang w:eastAsia="it-IT"/>
              </w:rPr>
            </w:pPr>
            <w:r w:rsidRPr="00B55EA7">
              <w:rPr>
                <w:rFonts w:cs="Arial"/>
                <w:b/>
                <w:color w:val="000000"/>
                <w:szCs w:val="22"/>
              </w:rPr>
              <w:t>2025 – 2028 роки:</w:t>
            </w:r>
          </w:p>
        </w:tc>
      </w:tr>
      <w:tr w:rsidR="00CB33C7" w:rsidRPr="00B55EA7" w14:paraId="484ABEE1" w14:textId="77777777" w:rsidTr="00C60A15">
        <w:trPr>
          <w:jc w:val="right"/>
        </w:trPr>
        <w:tc>
          <w:tcPr>
            <w:tcW w:w="3425" w:type="dxa"/>
            <w:vMerge w:val="restart"/>
            <w:shd w:val="clear" w:color="auto" w:fill="FFFFFF"/>
            <w:vAlign w:val="center"/>
          </w:tcPr>
          <w:p w14:paraId="546204EB" w14:textId="77777777" w:rsidR="00CB33C7" w:rsidRPr="00B55EA7" w:rsidRDefault="00CB33C7" w:rsidP="00EA6E27">
            <w:pPr>
              <w:rPr>
                <w:rFonts w:cs="Arial"/>
                <w:b/>
                <w:bCs/>
                <w:color w:val="000000"/>
                <w:szCs w:val="22"/>
              </w:rPr>
            </w:pPr>
            <w:r w:rsidRPr="00B55EA7">
              <w:rPr>
                <w:rFonts w:cs="Arial"/>
                <w:b/>
                <w:bCs/>
                <w:color w:val="000000"/>
                <w:szCs w:val="22"/>
              </w:rPr>
              <w:t>Орієнтовна вартість проєкту, тис. грн., в тому числі:</w:t>
            </w:r>
          </w:p>
        </w:tc>
        <w:tc>
          <w:tcPr>
            <w:tcW w:w="1254" w:type="dxa"/>
            <w:shd w:val="clear" w:color="auto" w:fill="E6E6E6"/>
            <w:vAlign w:val="center"/>
          </w:tcPr>
          <w:p w14:paraId="4F637BB2" w14:textId="77777777" w:rsidR="00CB33C7" w:rsidRPr="00B55EA7" w:rsidRDefault="00CB33C7" w:rsidP="00EA6E27">
            <w:pPr>
              <w:jc w:val="center"/>
              <w:rPr>
                <w:rFonts w:cs="Arial"/>
                <w:b/>
                <w:color w:val="000000"/>
                <w:szCs w:val="22"/>
                <w:lang w:eastAsia="it-IT"/>
              </w:rPr>
            </w:pPr>
            <w:r w:rsidRPr="00B55EA7">
              <w:rPr>
                <w:rFonts w:cs="Arial"/>
                <w:b/>
                <w:color w:val="000000"/>
                <w:szCs w:val="22"/>
                <w:lang w:eastAsia="it-IT"/>
              </w:rPr>
              <w:t>2025</w:t>
            </w:r>
          </w:p>
        </w:tc>
        <w:tc>
          <w:tcPr>
            <w:tcW w:w="1412" w:type="dxa"/>
            <w:gridSpan w:val="3"/>
            <w:shd w:val="clear" w:color="auto" w:fill="E6E6E6"/>
            <w:vAlign w:val="center"/>
          </w:tcPr>
          <w:p w14:paraId="368D2AB7" w14:textId="77777777" w:rsidR="00CB33C7" w:rsidRPr="00B55EA7" w:rsidRDefault="00CB33C7" w:rsidP="00EA6E27">
            <w:pPr>
              <w:jc w:val="center"/>
              <w:rPr>
                <w:rFonts w:cs="Arial"/>
                <w:b/>
                <w:color w:val="000000"/>
                <w:szCs w:val="22"/>
                <w:lang w:eastAsia="it-IT"/>
              </w:rPr>
            </w:pPr>
            <w:r w:rsidRPr="00B55EA7">
              <w:rPr>
                <w:rFonts w:cs="Arial"/>
                <w:b/>
                <w:color w:val="000000"/>
                <w:szCs w:val="22"/>
                <w:lang w:eastAsia="it-IT"/>
              </w:rPr>
              <w:t>2026</w:t>
            </w:r>
          </w:p>
        </w:tc>
        <w:tc>
          <w:tcPr>
            <w:tcW w:w="1281" w:type="dxa"/>
            <w:tcBorders>
              <w:bottom w:val="single" w:sz="4" w:space="0" w:color="auto"/>
            </w:tcBorders>
            <w:shd w:val="clear" w:color="auto" w:fill="E6E6E6"/>
            <w:vAlign w:val="center"/>
          </w:tcPr>
          <w:p w14:paraId="60AC7A28" w14:textId="77777777" w:rsidR="00CB33C7" w:rsidRPr="00B55EA7" w:rsidRDefault="00CB33C7" w:rsidP="00EA6E27">
            <w:pPr>
              <w:jc w:val="center"/>
              <w:rPr>
                <w:rFonts w:cs="Arial"/>
                <w:b/>
                <w:color w:val="000000"/>
                <w:szCs w:val="22"/>
                <w:lang w:eastAsia="it-IT"/>
              </w:rPr>
            </w:pPr>
            <w:r w:rsidRPr="00B55EA7">
              <w:rPr>
                <w:rFonts w:cs="Arial"/>
                <w:b/>
                <w:color w:val="000000"/>
                <w:szCs w:val="22"/>
                <w:lang w:eastAsia="it-IT"/>
              </w:rPr>
              <w:t>2027</w:t>
            </w:r>
          </w:p>
        </w:tc>
        <w:tc>
          <w:tcPr>
            <w:tcW w:w="1276" w:type="dxa"/>
            <w:gridSpan w:val="2"/>
            <w:shd w:val="clear" w:color="auto" w:fill="E6E6E6"/>
            <w:vAlign w:val="center"/>
          </w:tcPr>
          <w:p w14:paraId="53D73BE7" w14:textId="77777777" w:rsidR="00CB33C7" w:rsidRPr="00B55EA7" w:rsidRDefault="00CB33C7" w:rsidP="00EA6E27">
            <w:pPr>
              <w:jc w:val="center"/>
              <w:rPr>
                <w:rFonts w:cs="Arial"/>
                <w:b/>
                <w:color w:val="000000"/>
                <w:szCs w:val="22"/>
                <w:lang w:eastAsia="it-IT"/>
              </w:rPr>
            </w:pPr>
            <w:r w:rsidRPr="00B55EA7">
              <w:rPr>
                <w:rFonts w:cs="Arial"/>
                <w:b/>
                <w:color w:val="000000"/>
                <w:szCs w:val="22"/>
                <w:lang w:eastAsia="it-IT"/>
              </w:rPr>
              <w:t>2028</w:t>
            </w:r>
          </w:p>
        </w:tc>
        <w:tc>
          <w:tcPr>
            <w:tcW w:w="1571" w:type="dxa"/>
            <w:gridSpan w:val="2"/>
            <w:shd w:val="clear" w:color="auto" w:fill="E6E6E6"/>
            <w:vAlign w:val="center"/>
          </w:tcPr>
          <w:p w14:paraId="0321F1ED" w14:textId="77777777" w:rsidR="00CB33C7" w:rsidRPr="00B55EA7" w:rsidRDefault="00CB33C7" w:rsidP="00EA6E27">
            <w:pPr>
              <w:jc w:val="center"/>
              <w:rPr>
                <w:rFonts w:cs="Arial"/>
                <w:b/>
                <w:color w:val="000000"/>
                <w:szCs w:val="22"/>
                <w:lang w:eastAsia="it-IT"/>
              </w:rPr>
            </w:pPr>
            <w:r w:rsidRPr="00B55EA7">
              <w:rPr>
                <w:rFonts w:cs="Arial"/>
                <w:b/>
                <w:color w:val="000000"/>
                <w:szCs w:val="22"/>
                <w:lang w:eastAsia="it-IT"/>
              </w:rPr>
              <w:t>РАЗОМ</w:t>
            </w:r>
          </w:p>
        </w:tc>
      </w:tr>
      <w:tr w:rsidR="00CB33C7" w:rsidRPr="00B55EA7" w14:paraId="39369096" w14:textId="77777777" w:rsidTr="00C60A15">
        <w:trPr>
          <w:jc w:val="right"/>
        </w:trPr>
        <w:tc>
          <w:tcPr>
            <w:tcW w:w="3425" w:type="dxa"/>
            <w:vMerge/>
            <w:shd w:val="clear" w:color="auto" w:fill="FFFFFF"/>
            <w:vAlign w:val="center"/>
          </w:tcPr>
          <w:p w14:paraId="768996E7" w14:textId="77777777" w:rsidR="00CB33C7" w:rsidRPr="00B55EA7" w:rsidRDefault="00CB33C7" w:rsidP="00EA6E27">
            <w:pPr>
              <w:rPr>
                <w:rFonts w:cs="Arial"/>
                <w:b/>
                <w:bCs/>
                <w:color w:val="000000"/>
                <w:szCs w:val="22"/>
              </w:rPr>
            </w:pPr>
          </w:p>
        </w:tc>
        <w:tc>
          <w:tcPr>
            <w:tcW w:w="1254" w:type="dxa"/>
            <w:vAlign w:val="center"/>
          </w:tcPr>
          <w:p w14:paraId="176F129B" w14:textId="77777777" w:rsidR="00CB33C7" w:rsidRPr="00B55EA7" w:rsidRDefault="00CB33C7" w:rsidP="00EA6E27">
            <w:pPr>
              <w:jc w:val="center"/>
              <w:rPr>
                <w:rFonts w:cs="Arial"/>
                <w:b/>
                <w:color w:val="000000"/>
                <w:szCs w:val="22"/>
                <w:lang w:eastAsia="it-IT"/>
              </w:rPr>
            </w:pPr>
          </w:p>
        </w:tc>
        <w:tc>
          <w:tcPr>
            <w:tcW w:w="1412" w:type="dxa"/>
            <w:gridSpan w:val="3"/>
            <w:shd w:val="clear" w:color="auto" w:fill="FFFFFF"/>
          </w:tcPr>
          <w:p w14:paraId="1B29935C" w14:textId="77777777" w:rsidR="00CB33C7" w:rsidRPr="00B55EA7" w:rsidRDefault="00CB33C7" w:rsidP="00B55EA7">
            <w:pPr>
              <w:jc w:val="center"/>
              <w:rPr>
                <w:rFonts w:cs="Arial"/>
                <w:b/>
                <w:color w:val="000000"/>
                <w:szCs w:val="22"/>
                <w:lang w:eastAsia="it-IT"/>
              </w:rPr>
            </w:pPr>
            <w:r w:rsidRPr="00B55EA7">
              <w:rPr>
                <w:rFonts w:cs="Arial"/>
                <w:b/>
                <w:color w:val="000000"/>
                <w:szCs w:val="22"/>
                <w:lang w:eastAsia="it-IT"/>
              </w:rPr>
              <w:t>7216,774</w:t>
            </w:r>
          </w:p>
        </w:tc>
        <w:tc>
          <w:tcPr>
            <w:tcW w:w="1281" w:type="dxa"/>
            <w:shd w:val="clear" w:color="auto" w:fill="auto"/>
          </w:tcPr>
          <w:p w14:paraId="2506FC1A" w14:textId="77777777" w:rsidR="00CB33C7" w:rsidRPr="00B55EA7" w:rsidRDefault="00CB33C7" w:rsidP="00B55EA7">
            <w:pPr>
              <w:jc w:val="center"/>
              <w:rPr>
                <w:rFonts w:cs="Arial"/>
                <w:b/>
                <w:color w:val="000000"/>
                <w:szCs w:val="22"/>
                <w:lang w:eastAsia="it-IT"/>
              </w:rPr>
            </w:pPr>
          </w:p>
        </w:tc>
        <w:tc>
          <w:tcPr>
            <w:tcW w:w="1276" w:type="dxa"/>
            <w:gridSpan w:val="2"/>
            <w:shd w:val="clear" w:color="auto" w:fill="FFFFFF"/>
          </w:tcPr>
          <w:p w14:paraId="18023675" w14:textId="77777777" w:rsidR="00CB33C7" w:rsidRPr="00B55EA7" w:rsidRDefault="00CB33C7" w:rsidP="00B55EA7">
            <w:pPr>
              <w:jc w:val="center"/>
              <w:rPr>
                <w:rFonts w:cs="Arial"/>
                <w:b/>
                <w:color w:val="000000"/>
                <w:szCs w:val="22"/>
                <w:lang w:eastAsia="it-IT"/>
              </w:rPr>
            </w:pPr>
          </w:p>
        </w:tc>
        <w:tc>
          <w:tcPr>
            <w:tcW w:w="1571" w:type="dxa"/>
            <w:gridSpan w:val="2"/>
            <w:shd w:val="clear" w:color="auto" w:fill="FFFFFF"/>
          </w:tcPr>
          <w:p w14:paraId="27EFE525" w14:textId="77777777" w:rsidR="00CB33C7" w:rsidRPr="00B55EA7" w:rsidRDefault="00CB33C7" w:rsidP="00B55EA7">
            <w:pPr>
              <w:jc w:val="center"/>
              <w:rPr>
                <w:rFonts w:cs="Arial"/>
                <w:b/>
                <w:color w:val="000000"/>
                <w:szCs w:val="22"/>
                <w:lang w:eastAsia="it-IT"/>
              </w:rPr>
            </w:pPr>
            <w:r w:rsidRPr="00B55EA7">
              <w:rPr>
                <w:rFonts w:cs="Arial"/>
                <w:b/>
                <w:color w:val="000000"/>
                <w:szCs w:val="22"/>
                <w:lang w:eastAsia="it-IT"/>
              </w:rPr>
              <w:t>7216,774</w:t>
            </w:r>
          </w:p>
        </w:tc>
      </w:tr>
      <w:tr w:rsidR="00CB33C7" w:rsidRPr="00B55EA7" w14:paraId="5C569BAB" w14:textId="77777777" w:rsidTr="00C60A15">
        <w:trPr>
          <w:trHeight w:val="276"/>
          <w:jc w:val="right"/>
        </w:trPr>
        <w:tc>
          <w:tcPr>
            <w:tcW w:w="3425" w:type="dxa"/>
            <w:shd w:val="clear" w:color="auto" w:fill="FFFFFF"/>
            <w:vAlign w:val="center"/>
          </w:tcPr>
          <w:p w14:paraId="7D55A3A7" w14:textId="77777777" w:rsidR="00CB33C7" w:rsidRPr="00B55EA7" w:rsidRDefault="00CB33C7" w:rsidP="00EA6E27">
            <w:pPr>
              <w:rPr>
                <w:rFonts w:cs="Arial"/>
                <w:b/>
                <w:bCs/>
                <w:color w:val="000000"/>
                <w:szCs w:val="22"/>
              </w:rPr>
            </w:pPr>
            <w:r w:rsidRPr="00B55EA7">
              <w:rPr>
                <w:rFonts w:cs="Arial"/>
                <w:b/>
                <w:bCs/>
                <w:color w:val="000000"/>
                <w:szCs w:val="22"/>
              </w:rPr>
              <w:t>по джерелах фінансування:</w:t>
            </w:r>
          </w:p>
        </w:tc>
        <w:tc>
          <w:tcPr>
            <w:tcW w:w="6794" w:type="dxa"/>
            <w:gridSpan w:val="9"/>
          </w:tcPr>
          <w:p w14:paraId="597443B7" w14:textId="77777777" w:rsidR="00CB33C7" w:rsidRPr="00B55EA7" w:rsidRDefault="00CB33C7" w:rsidP="00B55EA7">
            <w:pPr>
              <w:jc w:val="center"/>
              <w:rPr>
                <w:rFonts w:cs="Arial"/>
                <w:color w:val="000000"/>
                <w:szCs w:val="22"/>
                <w:lang w:eastAsia="it-IT"/>
              </w:rPr>
            </w:pPr>
          </w:p>
        </w:tc>
      </w:tr>
      <w:tr w:rsidR="00B55EA7" w:rsidRPr="00B55EA7" w14:paraId="08CD79BF" w14:textId="7AB6D5C9" w:rsidTr="00C60A15">
        <w:trPr>
          <w:trHeight w:val="240"/>
          <w:jc w:val="right"/>
        </w:trPr>
        <w:tc>
          <w:tcPr>
            <w:tcW w:w="3425" w:type="dxa"/>
            <w:shd w:val="clear" w:color="auto" w:fill="FFFFFF"/>
            <w:vAlign w:val="center"/>
          </w:tcPr>
          <w:p w14:paraId="019EE74F" w14:textId="77777777" w:rsidR="00B55EA7" w:rsidRPr="00B55EA7" w:rsidRDefault="00B55EA7" w:rsidP="00EA6E27">
            <w:pPr>
              <w:rPr>
                <w:rFonts w:cs="Arial"/>
                <w:b/>
                <w:bCs/>
                <w:color w:val="000000"/>
                <w:szCs w:val="22"/>
              </w:rPr>
            </w:pPr>
            <w:r w:rsidRPr="00B55EA7">
              <w:rPr>
                <w:rFonts w:cs="Arial"/>
                <w:color w:val="000000"/>
                <w:szCs w:val="22"/>
              </w:rPr>
              <w:t>- державний бюджет</w:t>
            </w:r>
          </w:p>
        </w:tc>
        <w:tc>
          <w:tcPr>
            <w:tcW w:w="1260" w:type="dxa"/>
            <w:gridSpan w:val="2"/>
          </w:tcPr>
          <w:p w14:paraId="481C82A9" w14:textId="77777777" w:rsidR="00B55EA7" w:rsidRPr="00B55EA7" w:rsidRDefault="00B55EA7" w:rsidP="00B55EA7">
            <w:pPr>
              <w:jc w:val="center"/>
              <w:rPr>
                <w:rFonts w:cs="Arial"/>
                <w:color w:val="000000"/>
                <w:szCs w:val="22"/>
                <w:lang w:eastAsia="it-IT"/>
              </w:rPr>
            </w:pPr>
          </w:p>
        </w:tc>
        <w:tc>
          <w:tcPr>
            <w:tcW w:w="1380" w:type="dxa"/>
          </w:tcPr>
          <w:p w14:paraId="088BC34D" w14:textId="77777777" w:rsidR="00B55EA7" w:rsidRPr="00B55EA7" w:rsidRDefault="00B55EA7" w:rsidP="00B55EA7">
            <w:pPr>
              <w:jc w:val="center"/>
              <w:rPr>
                <w:rFonts w:cs="Arial"/>
                <w:color w:val="000000"/>
                <w:szCs w:val="22"/>
                <w:lang w:eastAsia="it-IT"/>
              </w:rPr>
            </w:pPr>
          </w:p>
        </w:tc>
        <w:tc>
          <w:tcPr>
            <w:tcW w:w="1330" w:type="dxa"/>
            <w:gridSpan w:val="3"/>
          </w:tcPr>
          <w:p w14:paraId="133F9DDA" w14:textId="77777777" w:rsidR="00B55EA7" w:rsidRPr="00B55EA7" w:rsidRDefault="00B55EA7" w:rsidP="00B55EA7">
            <w:pPr>
              <w:jc w:val="center"/>
              <w:rPr>
                <w:rFonts w:cs="Arial"/>
                <w:color w:val="000000"/>
                <w:szCs w:val="22"/>
                <w:lang w:eastAsia="it-IT"/>
              </w:rPr>
            </w:pPr>
          </w:p>
        </w:tc>
        <w:tc>
          <w:tcPr>
            <w:tcW w:w="1270" w:type="dxa"/>
            <w:gridSpan w:val="2"/>
          </w:tcPr>
          <w:p w14:paraId="6BCA6897" w14:textId="77777777" w:rsidR="00B55EA7" w:rsidRPr="00B55EA7" w:rsidRDefault="00B55EA7" w:rsidP="00B55EA7">
            <w:pPr>
              <w:jc w:val="center"/>
              <w:rPr>
                <w:rFonts w:cs="Arial"/>
                <w:color w:val="000000"/>
                <w:szCs w:val="22"/>
                <w:lang w:eastAsia="it-IT"/>
              </w:rPr>
            </w:pPr>
          </w:p>
        </w:tc>
        <w:tc>
          <w:tcPr>
            <w:tcW w:w="1554" w:type="dxa"/>
          </w:tcPr>
          <w:p w14:paraId="53346DDD" w14:textId="77777777" w:rsidR="00B55EA7" w:rsidRPr="00B55EA7" w:rsidRDefault="00B55EA7" w:rsidP="00B55EA7">
            <w:pPr>
              <w:jc w:val="center"/>
              <w:rPr>
                <w:rFonts w:cs="Arial"/>
                <w:color w:val="000000"/>
                <w:szCs w:val="22"/>
                <w:lang w:eastAsia="it-IT"/>
              </w:rPr>
            </w:pPr>
          </w:p>
        </w:tc>
      </w:tr>
      <w:tr w:rsidR="00B55EA7" w:rsidRPr="00B55EA7" w14:paraId="7801CB20" w14:textId="6F8EA5DE" w:rsidTr="00C60A15">
        <w:trPr>
          <w:trHeight w:val="254"/>
          <w:jc w:val="right"/>
        </w:trPr>
        <w:tc>
          <w:tcPr>
            <w:tcW w:w="3425" w:type="dxa"/>
            <w:shd w:val="clear" w:color="auto" w:fill="FFFFFF"/>
            <w:vAlign w:val="center"/>
          </w:tcPr>
          <w:p w14:paraId="4DC445FD" w14:textId="77777777" w:rsidR="00B55EA7" w:rsidRPr="00B55EA7" w:rsidRDefault="00B55EA7" w:rsidP="00EA6E27">
            <w:pPr>
              <w:rPr>
                <w:rFonts w:cs="Arial"/>
                <w:color w:val="000000"/>
                <w:szCs w:val="22"/>
              </w:rPr>
            </w:pPr>
            <w:r w:rsidRPr="00B55EA7">
              <w:rPr>
                <w:rFonts w:cs="Arial"/>
                <w:color w:val="000000"/>
                <w:szCs w:val="22"/>
              </w:rPr>
              <w:t>- обласний бюджет</w:t>
            </w:r>
          </w:p>
        </w:tc>
        <w:tc>
          <w:tcPr>
            <w:tcW w:w="1260" w:type="dxa"/>
            <w:gridSpan w:val="2"/>
          </w:tcPr>
          <w:p w14:paraId="7DBDDE30" w14:textId="77777777" w:rsidR="00B55EA7" w:rsidRPr="00B55EA7" w:rsidRDefault="00B55EA7" w:rsidP="00B55EA7">
            <w:pPr>
              <w:jc w:val="center"/>
              <w:rPr>
                <w:rFonts w:cs="Arial"/>
                <w:color w:val="000000"/>
                <w:szCs w:val="22"/>
                <w:lang w:eastAsia="it-IT"/>
              </w:rPr>
            </w:pPr>
          </w:p>
        </w:tc>
        <w:tc>
          <w:tcPr>
            <w:tcW w:w="1380" w:type="dxa"/>
          </w:tcPr>
          <w:p w14:paraId="37C30D0D" w14:textId="77777777" w:rsidR="00B55EA7" w:rsidRPr="00B55EA7" w:rsidRDefault="00B55EA7" w:rsidP="00B55EA7">
            <w:pPr>
              <w:jc w:val="center"/>
              <w:rPr>
                <w:rFonts w:cs="Arial"/>
                <w:color w:val="000000"/>
                <w:szCs w:val="22"/>
                <w:lang w:eastAsia="it-IT"/>
              </w:rPr>
            </w:pPr>
          </w:p>
        </w:tc>
        <w:tc>
          <w:tcPr>
            <w:tcW w:w="1330" w:type="dxa"/>
            <w:gridSpan w:val="3"/>
          </w:tcPr>
          <w:p w14:paraId="427E7543" w14:textId="77777777" w:rsidR="00B55EA7" w:rsidRPr="00B55EA7" w:rsidRDefault="00B55EA7" w:rsidP="00B55EA7">
            <w:pPr>
              <w:jc w:val="center"/>
              <w:rPr>
                <w:rFonts w:cs="Arial"/>
                <w:color w:val="000000"/>
                <w:szCs w:val="22"/>
                <w:lang w:eastAsia="it-IT"/>
              </w:rPr>
            </w:pPr>
          </w:p>
        </w:tc>
        <w:tc>
          <w:tcPr>
            <w:tcW w:w="1270" w:type="dxa"/>
            <w:gridSpan w:val="2"/>
          </w:tcPr>
          <w:p w14:paraId="69712695" w14:textId="77777777" w:rsidR="00B55EA7" w:rsidRPr="00B55EA7" w:rsidRDefault="00B55EA7" w:rsidP="00B55EA7">
            <w:pPr>
              <w:jc w:val="center"/>
              <w:rPr>
                <w:rFonts w:cs="Arial"/>
                <w:color w:val="000000"/>
                <w:szCs w:val="22"/>
                <w:lang w:eastAsia="it-IT"/>
              </w:rPr>
            </w:pPr>
          </w:p>
        </w:tc>
        <w:tc>
          <w:tcPr>
            <w:tcW w:w="1554" w:type="dxa"/>
          </w:tcPr>
          <w:p w14:paraId="4E7E3001" w14:textId="77777777" w:rsidR="00B55EA7" w:rsidRPr="00B55EA7" w:rsidRDefault="00B55EA7" w:rsidP="00B55EA7">
            <w:pPr>
              <w:jc w:val="center"/>
              <w:rPr>
                <w:rFonts w:cs="Arial"/>
                <w:color w:val="000000"/>
                <w:szCs w:val="22"/>
                <w:lang w:eastAsia="it-IT"/>
              </w:rPr>
            </w:pPr>
          </w:p>
        </w:tc>
      </w:tr>
      <w:tr w:rsidR="00B55EA7" w:rsidRPr="00B55EA7" w14:paraId="64151FE3" w14:textId="6E5CBEF2" w:rsidTr="00C60A15">
        <w:trPr>
          <w:trHeight w:val="275"/>
          <w:jc w:val="right"/>
        </w:trPr>
        <w:tc>
          <w:tcPr>
            <w:tcW w:w="3425" w:type="dxa"/>
            <w:shd w:val="clear" w:color="auto" w:fill="FFFFFF"/>
            <w:vAlign w:val="center"/>
          </w:tcPr>
          <w:p w14:paraId="77DA75D8" w14:textId="77777777" w:rsidR="00B55EA7" w:rsidRPr="00B55EA7" w:rsidRDefault="00B55EA7" w:rsidP="00EA6E27">
            <w:pPr>
              <w:rPr>
                <w:rFonts w:cs="Arial"/>
                <w:color w:val="000000"/>
                <w:szCs w:val="22"/>
              </w:rPr>
            </w:pPr>
            <w:r w:rsidRPr="00B55EA7">
              <w:rPr>
                <w:rFonts w:cs="Arial"/>
                <w:color w:val="000000"/>
                <w:szCs w:val="22"/>
              </w:rPr>
              <w:t>- бюджет Жмеринської МТГ</w:t>
            </w:r>
          </w:p>
        </w:tc>
        <w:tc>
          <w:tcPr>
            <w:tcW w:w="1260" w:type="dxa"/>
            <w:gridSpan w:val="2"/>
          </w:tcPr>
          <w:p w14:paraId="12E7DCFA" w14:textId="6AA0E2C1" w:rsidR="00B55EA7" w:rsidRPr="00B55EA7" w:rsidRDefault="00B55EA7" w:rsidP="00B55EA7">
            <w:pPr>
              <w:jc w:val="center"/>
              <w:rPr>
                <w:rFonts w:cs="Arial"/>
                <w:color w:val="000000"/>
                <w:szCs w:val="22"/>
                <w:lang w:eastAsia="it-IT"/>
              </w:rPr>
            </w:pPr>
          </w:p>
        </w:tc>
        <w:tc>
          <w:tcPr>
            <w:tcW w:w="1380" w:type="dxa"/>
          </w:tcPr>
          <w:p w14:paraId="759E8CD3" w14:textId="39280890" w:rsidR="00B55EA7" w:rsidRPr="00B55EA7" w:rsidRDefault="00B55EA7" w:rsidP="00B55EA7">
            <w:pPr>
              <w:jc w:val="center"/>
              <w:rPr>
                <w:rFonts w:cs="Arial"/>
                <w:color w:val="000000"/>
                <w:szCs w:val="22"/>
                <w:lang w:eastAsia="it-IT"/>
              </w:rPr>
            </w:pPr>
            <w:r w:rsidRPr="00B55EA7">
              <w:rPr>
                <w:rFonts w:cs="Arial"/>
                <w:color w:val="000000"/>
                <w:szCs w:val="22"/>
                <w:lang w:eastAsia="it-IT"/>
              </w:rPr>
              <w:t>7216,774</w:t>
            </w:r>
          </w:p>
        </w:tc>
        <w:tc>
          <w:tcPr>
            <w:tcW w:w="1330" w:type="dxa"/>
            <w:gridSpan w:val="3"/>
          </w:tcPr>
          <w:p w14:paraId="219FFDFC" w14:textId="77777777" w:rsidR="00B55EA7" w:rsidRPr="00B55EA7" w:rsidRDefault="00B55EA7" w:rsidP="00B55EA7">
            <w:pPr>
              <w:jc w:val="center"/>
              <w:rPr>
                <w:rFonts w:cs="Arial"/>
                <w:color w:val="000000"/>
                <w:szCs w:val="22"/>
                <w:lang w:eastAsia="it-IT"/>
              </w:rPr>
            </w:pPr>
          </w:p>
        </w:tc>
        <w:tc>
          <w:tcPr>
            <w:tcW w:w="1270" w:type="dxa"/>
            <w:gridSpan w:val="2"/>
          </w:tcPr>
          <w:p w14:paraId="161F7828" w14:textId="77777777" w:rsidR="00B55EA7" w:rsidRPr="00B55EA7" w:rsidRDefault="00B55EA7" w:rsidP="00B55EA7">
            <w:pPr>
              <w:jc w:val="center"/>
              <w:rPr>
                <w:rFonts w:cs="Arial"/>
                <w:color w:val="000000"/>
                <w:szCs w:val="22"/>
                <w:lang w:eastAsia="it-IT"/>
              </w:rPr>
            </w:pPr>
          </w:p>
        </w:tc>
        <w:tc>
          <w:tcPr>
            <w:tcW w:w="1554" w:type="dxa"/>
          </w:tcPr>
          <w:p w14:paraId="77164578" w14:textId="4438B2CD" w:rsidR="00B55EA7" w:rsidRPr="00B55EA7" w:rsidRDefault="00B55EA7" w:rsidP="00B55EA7">
            <w:pPr>
              <w:jc w:val="center"/>
              <w:rPr>
                <w:rFonts w:cs="Arial"/>
                <w:b/>
                <w:color w:val="000000"/>
                <w:szCs w:val="22"/>
                <w:lang w:eastAsia="it-IT"/>
              </w:rPr>
            </w:pPr>
            <w:r w:rsidRPr="00B55EA7">
              <w:rPr>
                <w:rFonts w:cs="Arial"/>
                <w:b/>
                <w:color w:val="000000"/>
                <w:szCs w:val="22"/>
                <w:lang w:eastAsia="it-IT"/>
              </w:rPr>
              <w:t>7216,774</w:t>
            </w:r>
          </w:p>
        </w:tc>
      </w:tr>
      <w:tr w:rsidR="00B55EA7" w:rsidRPr="00B55EA7" w14:paraId="5ACE250A" w14:textId="4974AEDE" w:rsidTr="00C60A15">
        <w:trPr>
          <w:trHeight w:val="226"/>
          <w:jc w:val="right"/>
        </w:trPr>
        <w:tc>
          <w:tcPr>
            <w:tcW w:w="3425" w:type="dxa"/>
            <w:shd w:val="clear" w:color="auto" w:fill="FFFFFF"/>
            <w:vAlign w:val="center"/>
          </w:tcPr>
          <w:p w14:paraId="197522BB" w14:textId="77777777" w:rsidR="00B55EA7" w:rsidRPr="00B55EA7" w:rsidRDefault="00B55EA7" w:rsidP="00EA6E27">
            <w:pPr>
              <w:rPr>
                <w:rFonts w:cs="Arial"/>
                <w:color w:val="000000"/>
                <w:szCs w:val="22"/>
              </w:rPr>
            </w:pPr>
            <w:r w:rsidRPr="00B55EA7">
              <w:rPr>
                <w:rFonts w:cs="Arial"/>
                <w:color w:val="000000"/>
                <w:szCs w:val="22"/>
              </w:rPr>
              <w:t>- інші джерела фінансування</w:t>
            </w:r>
          </w:p>
        </w:tc>
        <w:tc>
          <w:tcPr>
            <w:tcW w:w="1260" w:type="dxa"/>
            <w:gridSpan w:val="2"/>
          </w:tcPr>
          <w:p w14:paraId="3DC21C8D" w14:textId="77777777" w:rsidR="00B55EA7" w:rsidRPr="00B55EA7" w:rsidRDefault="00B55EA7" w:rsidP="00B55EA7">
            <w:pPr>
              <w:jc w:val="center"/>
              <w:rPr>
                <w:rFonts w:cs="Arial"/>
                <w:color w:val="000000"/>
                <w:szCs w:val="22"/>
                <w:lang w:eastAsia="it-IT"/>
              </w:rPr>
            </w:pPr>
          </w:p>
        </w:tc>
        <w:tc>
          <w:tcPr>
            <w:tcW w:w="1380" w:type="dxa"/>
          </w:tcPr>
          <w:p w14:paraId="6D213BEB" w14:textId="77777777" w:rsidR="00B55EA7" w:rsidRPr="00B55EA7" w:rsidRDefault="00B55EA7" w:rsidP="00B55EA7">
            <w:pPr>
              <w:jc w:val="center"/>
              <w:rPr>
                <w:rFonts w:cs="Arial"/>
                <w:color w:val="000000"/>
                <w:szCs w:val="22"/>
                <w:lang w:eastAsia="it-IT"/>
              </w:rPr>
            </w:pPr>
          </w:p>
        </w:tc>
        <w:tc>
          <w:tcPr>
            <w:tcW w:w="1330" w:type="dxa"/>
            <w:gridSpan w:val="3"/>
          </w:tcPr>
          <w:p w14:paraId="5739DCA4" w14:textId="77777777" w:rsidR="00B55EA7" w:rsidRPr="00B55EA7" w:rsidRDefault="00B55EA7" w:rsidP="00B55EA7">
            <w:pPr>
              <w:jc w:val="center"/>
              <w:rPr>
                <w:rFonts w:cs="Arial"/>
                <w:color w:val="000000"/>
                <w:szCs w:val="22"/>
                <w:lang w:eastAsia="it-IT"/>
              </w:rPr>
            </w:pPr>
          </w:p>
        </w:tc>
        <w:tc>
          <w:tcPr>
            <w:tcW w:w="1270" w:type="dxa"/>
            <w:gridSpan w:val="2"/>
          </w:tcPr>
          <w:p w14:paraId="6F394406" w14:textId="77777777" w:rsidR="00B55EA7" w:rsidRPr="00B55EA7" w:rsidRDefault="00B55EA7" w:rsidP="00B55EA7">
            <w:pPr>
              <w:jc w:val="center"/>
              <w:rPr>
                <w:rFonts w:cs="Arial"/>
                <w:color w:val="000000"/>
                <w:szCs w:val="22"/>
                <w:lang w:eastAsia="it-IT"/>
              </w:rPr>
            </w:pPr>
          </w:p>
        </w:tc>
        <w:tc>
          <w:tcPr>
            <w:tcW w:w="1554" w:type="dxa"/>
          </w:tcPr>
          <w:p w14:paraId="1C654DF9" w14:textId="77777777" w:rsidR="00B55EA7" w:rsidRPr="00B55EA7" w:rsidRDefault="00B55EA7" w:rsidP="00B55EA7">
            <w:pPr>
              <w:jc w:val="center"/>
              <w:rPr>
                <w:rFonts w:cs="Arial"/>
                <w:color w:val="000000"/>
                <w:szCs w:val="22"/>
                <w:lang w:eastAsia="it-IT"/>
              </w:rPr>
            </w:pPr>
          </w:p>
        </w:tc>
      </w:tr>
      <w:tr w:rsidR="00CB33C7" w:rsidRPr="00B55EA7" w14:paraId="4CFCD058" w14:textId="77777777" w:rsidTr="00C60A15">
        <w:trPr>
          <w:jc w:val="right"/>
        </w:trPr>
        <w:tc>
          <w:tcPr>
            <w:tcW w:w="3425" w:type="dxa"/>
            <w:shd w:val="clear" w:color="auto" w:fill="FFFFFF"/>
            <w:vAlign w:val="center"/>
          </w:tcPr>
          <w:p w14:paraId="316FC5FA" w14:textId="77777777" w:rsidR="00CB33C7" w:rsidRPr="00B55EA7" w:rsidRDefault="00CB33C7" w:rsidP="00EA6E27">
            <w:pPr>
              <w:rPr>
                <w:rFonts w:cs="Arial"/>
                <w:b/>
                <w:bCs/>
                <w:color w:val="000000"/>
                <w:szCs w:val="22"/>
              </w:rPr>
            </w:pPr>
            <w:r w:rsidRPr="00B55EA7">
              <w:rPr>
                <w:rFonts w:cs="Arial"/>
                <w:b/>
                <w:color w:val="000000"/>
                <w:szCs w:val="22"/>
              </w:rPr>
              <w:t>Відповідальний виконавець проєкту:</w:t>
            </w:r>
          </w:p>
        </w:tc>
        <w:tc>
          <w:tcPr>
            <w:tcW w:w="6794" w:type="dxa"/>
            <w:gridSpan w:val="9"/>
            <w:vAlign w:val="center"/>
          </w:tcPr>
          <w:p w14:paraId="6B62EBCC" w14:textId="013F5BAE" w:rsidR="00CB33C7" w:rsidRPr="00B55EA7" w:rsidRDefault="00CB33C7" w:rsidP="00B55EA7">
            <w:pPr>
              <w:jc w:val="both"/>
              <w:rPr>
                <w:rFonts w:cs="Arial"/>
                <w:color w:val="000000"/>
                <w:szCs w:val="22"/>
                <w:lang w:eastAsia="it-IT"/>
              </w:rPr>
            </w:pPr>
            <w:r w:rsidRPr="00B55EA7">
              <w:rPr>
                <w:rFonts w:cs="Arial"/>
                <w:color w:val="000000"/>
                <w:szCs w:val="22"/>
                <w:lang w:eastAsia="it-IT"/>
              </w:rPr>
              <w:t>Управління ЖКГ.</w:t>
            </w:r>
          </w:p>
        </w:tc>
      </w:tr>
      <w:tr w:rsidR="00CB33C7" w:rsidRPr="00B55EA7" w14:paraId="30C6A6DB" w14:textId="77777777" w:rsidTr="00C60A15">
        <w:trPr>
          <w:jc w:val="right"/>
        </w:trPr>
        <w:tc>
          <w:tcPr>
            <w:tcW w:w="3425" w:type="dxa"/>
            <w:shd w:val="clear" w:color="auto" w:fill="FFFFFF"/>
            <w:vAlign w:val="center"/>
          </w:tcPr>
          <w:p w14:paraId="19D194B7" w14:textId="77777777" w:rsidR="00CB33C7" w:rsidRPr="00B55EA7" w:rsidRDefault="00CB33C7" w:rsidP="00EA6E27">
            <w:pPr>
              <w:rPr>
                <w:rFonts w:cs="Arial"/>
                <w:b/>
                <w:bCs/>
                <w:color w:val="000000"/>
                <w:szCs w:val="22"/>
              </w:rPr>
            </w:pPr>
            <w:r w:rsidRPr="00B55EA7">
              <w:rPr>
                <w:rFonts w:cs="Arial"/>
                <w:b/>
                <w:bCs/>
                <w:color w:val="000000"/>
                <w:szCs w:val="22"/>
              </w:rPr>
              <w:t>Інше:</w:t>
            </w:r>
          </w:p>
        </w:tc>
        <w:tc>
          <w:tcPr>
            <w:tcW w:w="6794" w:type="dxa"/>
            <w:gridSpan w:val="9"/>
            <w:vAlign w:val="center"/>
          </w:tcPr>
          <w:p w14:paraId="1842F4AB" w14:textId="77777777" w:rsidR="00CB33C7" w:rsidRPr="00B55EA7" w:rsidRDefault="00CB33C7" w:rsidP="00EA6E27">
            <w:pPr>
              <w:rPr>
                <w:rFonts w:cs="Arial"/>
                <w:color w:val="000000"/>
                <w:szCs w:val="22"/>
                <w:lang w:eastAsia="it-IT"/>
              </w:rPr>
            </w:pPr>
          </w:p>
          <w:p w14:paraId="5BB102D6" w14:textId="77777777" w:rsidR="00CB33C7" w:rsidRPr="00B55EA7" w:rsidRDefault="00CB33C7" w:rsidP="00EA6E27">
            <w:pPr>
              <w:rPr>
                <w:rFonts w:cs="Arial"/>
                <w:color w:val="000000"/>
                <w:szCs w:val="22"/>
                <w:lang w:eastAsia="it-IT"/>
              </w:rPr>
            </w:pPr>
          </w:p>
        </w:tc>
      </w:tr>
    </w:tbl>
    <w:p w14:paraId="4FFBF49A" w14:textId="77777777" w:rsidR="00CB33C7" w:rsidRPr="00C2587D" w:rsidRDefault="00CB33C7" w:rsidP="00CB33C7"/>
    <w:p w14:paraId="7386F4CF" w14:textId="77777777" w:rsidR="00820A36" w:rsidRDefault="00820A36" w:rsidP="00CB33C7">
      <w:pPr>
        <w:jc w:val="center"/>
        <w:rPr>
          <w:rFonts w:cs="Arial"/>
          <w:b/>
          <w:color w:val="000000"/>
          <w:szCs w:val="22"/>
        </w:rPr>
      </w:pPr>
    </w:p>
    <w:p w14:paraId="1B6AADAD" w14:textId="77777777" w:rsidR="00820A36" w:rsidRDefault="00820A36" w:rsidP="00CB33C7">
      <w:pPr>
        <w:jc w:val="center"/>
        <w:rPr>
          <w:rFonts w:cs="Arial"/>
          <w:b/>
          <w:color w:val="000000"/>
          <w:szCs w:val="22"/>
        </w:rPr>
      </w:pPr>
    </w:p>
    <w:p w14:paraId="66957EB7" w14:textId="77777777" w:rsidR="00820A36" w:rsidRDefault="00820A36" w:rsidP="00CB33C7">
      <w:pPr>
        <w:jc w:val="center"/>
        <w:rPr>
          <w:rFonts w:cs="Arial"/>
          <w:b/>
          <w:color w:val="000000"/>
          <w:szCs w:val="22"/>
        </w:rPr>
      </w:pPr>
    </w:p>
    <w:p w14:paraId="0FE39802" w14:textId="77777777" w:rsidR="00CB33C7" w:rsidRPr="00C2587D" w:rsidRDefault="00CB33C7" w:rsidP="00CB33C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294B32F6" w14:textId="77777777" w:rsidR="00CB33C7" w:rsidRPr="00C2587D" w:rsidRDefault="00CB33C7" w:rsidP="00CB33C7">
      <w:pPr>
        <w:jc w:val="center"/>
        <w:rPr>
          <w:rFonts w:cs="Arial"/>
          <w:b/>
          <w:color w:val="000000"/>
          <w:szCs w:val="22"/>
        </w:rPr>
      </w:pPr>
      <w:r w:rsidRPr="00C2587D">
        <w:rPr>
          <w:rFonts w:cs="Arial"/>
          <w:b/>
          <w:color w:val="000000"/>
          <w:szCs w:val="22"/>
        </w:rPr>
        <w:t>до Плану заходів з реалізації Стратегії</w:t>
      </w:r>
    </w:p>
    <w:p w14:paraId="44EEBD9E" w14:textId="77777777" w:rsidR="00CB33C7" w:rsidRPr="00C2587D" w:rsidRDefault="00CB33C7" w:rsidP="00CB33C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26"/>
        <w:gridCol w:w="1386"/>
        <w:gridCol w:w="44"/>
        <w:gridCol w:w="1237"/>
        <w:gridCol w:w="53"/>
        <w:gridCol w:w="1223"/>
        <w:gridCol w:w="87"/>
        <w:gridCol w:w="1484"/>
      </w:tblGrid>
      <w:tr w:rsidR="00CB33C7" w:rsidRPr="00C2587D" w14:paraId="4ADF3952" w14:textId="77777777" w:rsidTr="0020110C">
        <w:trPr>
          <w:jc w:val="right"/>
        </w:trPr>
        <w:tc>
          <w:tcPr>
            <w:tcW w:w="3425" w:type="dxa"/>
            <w:vAlign w:val="center"/>
          </w:tcPr>
          <w:p w14:paraId="15ED1D5C" w14:textId="77777777" w:rsidR="00CB33C7" w:rsidRPr="00B55EA7" w:rsidRDefault="00CB33C7" w:rsidP="00B55EA7">
            <w:pPr>
              <w:rPr>
                <w:rFonts w:cs="Arial"/>
                <w:b/>
                <w:bCs/>
                <w:color w:val="000000"/>
                <w:szCs w:val="22"/>
              </w:rPr>
            </w:pPr>
            <w:r w:rsidRPr="00B55EA7">
              <w:rPr>
                <w:rFonts w:cs="Arial"/>
                <w:b/>
                <w:bCs/>
                <w:color w:val="000000"/>
                <w:szCs w:val="22"/>
              </w:rPr>
              <w:t>Назва проєкту:</w:t>
            </w:r>
          </w:p>
        </w:tc>
        <w:tc>
          <w:tcPr>
            <w:tcW w:w="6794" w:type="dxa"/>
            <w:gridSpan w:val="9"/>
          </w:tcPr>
          <w:p w14:paraId="448C066C" w14:textId="77777777" w:rsidR="00CB33C7" w:rsidRPr="00B55EA7" w:rsidRDefault="00CB33C7" w:rsidP="00B55EA7">
            <w:pPr>
              <w:rPr>
                <w:rFonts w:cs="Arial"/>
                <w:b/>
                <w:szCs w:val="22"/>
                <w:lang w:eastAsia="it-IT"/>
              </w:rPr>
            </w:pPr>
            <w:r w:rsidRPr="00B55EA7">
              <w:rPr>
                <w:rFonts w:eastAsia="Arial" w:cs="Arial"/>
                <w:b/>
                <w:szCs w:val="22"/>
                <w:lang w:eastAsia="en-US"/>
              </w:rPr>
              <w:t>Капітальний ремонт доріг (асфальтування) в смт. Браїлів</w:t>
            </w:r>
          </w:p>
        </w:tc>
      </w:tr>
      <w:tr w:rsidR="00CB33C7" w:rsidRPr="00C2587D" w14:paraId="0A750727" w14:textId="77777777" w:rsidTr="0020110C">
        <w:trPr>
          <w:jc w:val="right"/>
        </w:trPr>
        <w:tc>
          <w:tcPr>
            <w:tcW w:w="3425" w:type="dxa"/>
          </w:tcPr>
          <w:p w14:paraId="70A6E1B1" w14:textId="77777777" w:rsidR="00CB33C7" w:rsidRPr="00B55EA7" w:rsidRDefault="00CB33C7" w:rsidP="00B55EA7">
            <w:pPr>
              <w:rPr>
                <w:rFonts w:cs="Arial"/>
                <w:szCs w:val="22"/>
                <w:lang w:eastAsia="it-IT"/>
              </w:rPr>
            </w:pPr>
            <w:r w:rsidRPr="00B55EA7">
              <w:rPr>
                <w:rFonts w:cs="Arial"/>
                <w:b/>
                <w:bCs/>
                <w:szCs w:val="22"/>
              </w:rPr>
              <w:t>Ваші контакти</w:t>
            </w:r>
            <w:r w:rsidRPr="00B55EA7">
              <w:rPr>
                <w:rFonts w:cs="Arial"/>
                <w:szCs w:val="22"/>
                <w:lang w:eastAsia="it-IT"/>
              </w:rPr>
              <w:t>:</w:t>
            </w:r>
          </w:p>
          <w:p w14:paraId="4D2D3A83" w14:textId="77777777" w:rsidR="00CB33C7" w:rsidRPr="00B55EA7" w:rsidRDefault="00CB33C7" w:rsidP="00B55EA7">
            <w:pPr>
              <w:rPr>
                <w:rFonts w:cs="Arial"/>
                <w:b/>
                <w:bCs/>
                <w:szCs w:val="22"/>
              </w:rPr>
            </w:pPr>
            <w:r w:rsidRPr="00B55EA7">
              <w:rPr>
                <w:rFonts w:cs="Arial"/>
                <w:szCs w:val="22"/>
                <w:lang w:eastAsia="it-IT"/>
              </w:rPr>
              <w:t>Назва установи, організації, підприємства</w:t>
            </w:r>
          </w:p>
        </w:tc>
        <w:tc>
          <w:tcPr>
            <w:tcW w:w="6794" w:type="dxa"/>
            <w:gridSpan w:val="9"/>
          </w:tcPr>
          <w:p w14:paraId="5B2A8D21" w14:textId="77777777" w:rsidR="00CB33C7" w:rsidRPr="00B55EA7" w:rsidRDefault="00CB33C7" w:rsidP="00B55EA7">
            <w:pPr>
              <w:rPr>
                <w:rFonts w:cs="Arial"/>
                <w:szCs w:val="22"/>
                <w:lang w:eastAsia="it-IT"/>
              </w:rPr>
            </w:pPr>
            <w:r w:rsidRPr="00B55EA7">
              <w:rPr>
                <w:rFonts w:cs="Arial"/>
                <w:szCs w:val="22"/>
                <w:lang w:eastAsia="it-IT"/>
              </w:rPr>
              <w:t>Управління житлово-комунального господарства Жмеринської міської ради</w:t>
            </w:r>
          </w:p>
        </w:tc>
      </w:tr>
      <w:tr w:rsidR="00CB33C7" w:rsidRPr="00C2587D" w14:paraId="4735AA07" w14:textId="77777777" w:rsidTr="0020110C">
        <w:trPr>
          <w:jc w:val="right"/>
        </w:trPr>
        <w:tc>
          <w:tcPr>
            <w:tcW w:w="3425" w:type="dxa"/>
          </w:tcPr>
          <w:p w14:paraId="46A026AE" w14:textId="77777777" w:rsidR="00CB33C7" w:rsidRPr="00B55EA7" w:rsidRDefault="00CB33C7" w:rsidP="00B55EA7">
            <w:pPr>
              <w:rPr>
                <w:rFonts w:cs="Arial"/>
                <w:b/>
                <w:bCs/>
                <w:szCs w:val="22"/>
              </w:rPr>
            </w:pPr>
            <w:r w:rsidRPr="00B55EA7">
              <w:rPr>
                <w:rFonts w:cs="Arial"/>
                <w:szCs w:val="22"/>
                <w:lang w:eastAsia="it-IT"/>
              </w:rPr>
              <w:t>Прізвище Ім’я По-батькові:</w:t>
            </w:r>
          </w:p>
        </w:tc>
        <w:tc>
          <w:tcPr>
            <w:tcW w:w="6794" w:type="dxa"/>
            <w:gridSpan w:val="9"/>
          </w:tcPr>
          <w:p w14:paraId="08F8ADF1" w14:textId="77777777" w:rsidR="00CB33C7" w:rsidRPr="00B55EA7" w:rsidRDefault="00CB33C7" w:rsidP="00B55EA7">
            <w:pPr>
              <w:rPr>
                <w:rFonts w:cs="Arial"/>
                <w:szCs w:val="22"/>
                <w:lang w:eastAsia="it-IT"/>
              </w:rPr>
            </w:pPr>
            <w:r w:rsidRPr="00B55EA7">
              <w:rPr>
                <w:rFonts w:cs="Arial"/>
                <w:szCs w:val="22"/>
                <w:lang w:eastAsia="it-IT"/>
              </w:rPr>
              <w:t>Оленич Андрій Васильович</w:t>
            </w:r>
          </w:p>
        </w:tc>
      </w:tr>
      <w:tr w:rsidR="00CB33C7" w:rsidRPr="00C2587D" w14:paraId="1ED405D0" w14:textId="77777777" w:rsidTr="0020110C">
        <w:trPr>
          <w:jc w:val="right"/>
        </w:trPr>
        <w:tc>
          <w:tcPr>
            <w:tcW w:w="3425" w:type="dxa"/>
          </w:tcPr>
          <w:p w14:paraId="70C8A036" w14:textId="77777777" w:rsidR="00CB33C7" w:rsidRPr="00B55EA7" w:rsidRDefault="00CB33C7" w:rsidP="00B55EA7">
            <w:pPr>
              <w:rPr>
                <w:rFonts w:cs="Arial"/>
                <w:b/>
                <w:bCs/>
                <w:szCs w:val="22"/>
              </w:rPr>
            </w:pPr>
            <w:r w:rsidRPr="00B55EA7">
              <w:rPr>
                <w:rFonts w:cs="Arial"/>
                <w:szCs w:val="22"/>
                <w:lang w:eastAsia="it-IT"/>
              </w:rPr>
              <w:t>Телефон (мобільний):</w:t>
            </w:r>
          </w:p>
        </w:tc>
        <w:tc>
          <w:tcPr>
            <w:tcW w:w="6794" w:type="dxa"/>
            <w:gridSpan w:val="9"/>
          </w:tcPr>
          <w:p w14:paraId="5BB7375E" w14:textId="77777777" w:rsidR="00CB33C7" w:rsidRPr="00B55EA7" w:rsidRDefault="00CB33C7" w:rsidP="00B55EA7">
            <w:pPr>
              <w:rPr>
                <w:rFonts w:cs="Arial"/>
                <w:szCs w:val="22"/>
                <w:lang w:eastAsia="it-IT"/>
              </w:rPr>
            </w:pPr>
            <w:r w:rsidRPr="00B55EA7">
              <w:rPr>
                <w:rFonts w:cs="Arial"/>
                <w:szCs w:val="22"/>
                <w:lang w:eastAsia="it-IT"/>
              </w:rPr>
              <w:t>0972561907</w:t>
            </w:r>
          </w:p>
        </w:tc>
      </w:tr>
      <w:tr w:rsidR="00CB33C7" w:rsidRPr="00C2587D" w14:paraId="2725A322" w14:textId="77777777" w:rsidTr="0020110C">
        <w:trPr>
          <w:jc w:val="right"/>
        </w:trPr>
        <w:tc>
          <w:tcPr>
            <w:tcW w:w="3425" w:type="dxa"/>
          </w:tcPr>
          <w:p w14:paraId="46EFCF49" w14:textId="77777777" w:rsidR="00CB33C7" w:rsidRPr="00B55EA7" w:rsidRDefault="00CB33C7" w:rsidP="00B55EA7">
            <w:pPr>
              <w:rPr>
                <w:rFonts w:cs="Arial"/>
                <w:b/>
                <w:bCs/>
                <w:szCs w:val="22"/>
              </w:rPr>
            </w:pPr>
            <w:r w:rsidRPr="00B55EA7">
              <w:rPr>
                <w:rFonts w:cs="Arial"/>
                <w:szCs w:val="22"/>
                <w:lang w:eastAsia="it-IT"/>
              </w:rPr>
              <w:t>Електронна адреса:</w:t>
            </w:r>
          </w:p>
        </w:tc>
        <w:tc>
          <w:tcPr>
            <w:tcW w:w="6794" w:type="dxa"/>
            <w:gridSpan w:val="9"/>
          </w:tcPr>
          <w:p w14:paraId="78EFEB5F" w14:textId="77777777" w:rsidR="00CB33C7" w:rsidRPr="00B55EA7" w:rsidRDefault="00D85FFD" w:rsidP="00B55EA7">
            <w:pPr>
              <w:rPr>
                <w:rFonts w:cs="Arial"/>
                <w:szCs w:val="22"/>
                <w:lang w:eastAsia="it-IT"/>
              </w:rPr>
            </w:pPr>
            <w:hyperlink r:id="rId60" w:history="1">
              <w:r w:rsidR="00CB33C7" w:rsidRPr="00B55EA7">
                <w:rPr>
                  <w:rStyle w:val="af0"/>
                  <w:rFonts w:cs="Arial"/>
                  <w:noProof w:val="0"/>
                  <w:sz w:val="22"/>
                  <w:szCs w:val="22"/>
                  <w:lang w:eastAsia="it-IT"/>
                </w:rPr>
                <w:t>Aolenych03@ukr.net</w:t>
              </w:r>
            </w:hyperlink>
          </w:p>
        </w:tc>
      </w:tr>
      <w:tr w:rsidR="00CB33C7" w:rsidRPr="00C2587D" w14:paraId="0A751608" w14:textId="77777777" w:rsidTr="0020110C">
        <w:trPr>
          <w:jc w:val="right"/>
        </w:trPr>
        <w:tc>
          <w:tcPr>
            <w:tcW w:w="3425" w:type="dxa"/>
            <w:vAlign w:val="center"/>
          </w:tcPr>
          <w:p w14:paraId="69F0207F" w14:textId="77777777" w:rsidR="00CB33C7" w:rsidRPr="00B55EA7" w:rsidRDefault="00CB33C7" w:rsidP="00B55EA7">
            <w:pPr>
              <w:pStyle w:val="6"/>
              <w:spacing w:before="0" w:after="0"/>
              <w:rPr>
                <w:rFonts w:ascii="Arial" w:hAnsi="Arial" w:cs="Arial"/>
                <w:color w:val="000000"/>
                <w:lang w:val="uk-UA"/>
              </w:rPr>
            </w:pPr>
            <w:r w:rsidRPr="00B55EA7">
              <w:rPr>
                <w:rFonts w:ascii="Arial" w:hAnsi="Arial" w:cs="Arial"/>
                <w:color w:val="000000"/>
                <w:lang w:val="uk-UA"/>
              </w:rPr>
              <w:t>Номер і назва завдання з Стратегії</w:t>
            </w:r>
            <w:r w:rsidRPr="00B55EA7">
              <w:rPr>
                <w:rFonts w:ascii="Arial" w:hAnsi="Arial" w:cs="Arial"/>
                <w:lang w:val="uk-UA" w:eastAsia="it-IT"/>
              </w:rPr>
              <w:t xml:space="preserve"> </w:t>
            </w:r>
            <w:r w:rsidRPr="00B55EA7">
              <w:rPr>
                <w:rFonts w:ascii="Arial" w:hAnsi="Arial" w:cs="Arial"/>
                <w:color w:val="000000"/>
                <w:lang w:val="uk-UA"/>
              </w:rPr>
              <w:t xml:space="preserve">розвитку Жмеринської міської </w:t>
            </w:r>
          </w:p>
        </w:tc>
        <w:tc>
          <w:tcPr>
            <w:tcW w:w="6794" w:type="dxa"/>
            <w:gridSpan w:val="9"/>
            <w:vAlign w:val="center"/>
          </w:tcPr>
          <w:p w14:paraId="3C1B9D7A" w14:textId="77777777" w:rsidR="00CB33C7" w:rsidRPr="00B55EA7" w:rsidRDefault="00CB33C7" w:rsidP="00B55EA7">
            <w:pPr>
              <w:contextualSpacing/>
              <w:rPr>
                <w:rFonts w:eastAsia="Lucida Sans Unicode" w:cs="Arial"/>
                <w:kern w:val="1"/>
                <w:szCs w:val="22"/>
                <w:lang w:eastAsia="ar-SA"/>
              </w:rPr>
            </w:pPr>
            <w:r w:rsidRPr="00B55EA7">
              <w:rPr>
                <w:rFonts w:eastAsia="Lucida Sans Unicode" w:cs="Arial"/>
                <w:kern w:val="1"/>
                <w:szCs w:val="22"/>
                <w:lang w:eastAsia="ar-SA"/>
              </w:rPr>
              <w:t>В.1.1.3. Проведення будівництва, реконструкції та капітального ремонту дорожнього покриття вулиць  та тротуарів в населених пунктах територіальної громади.</w:t>
            </w:r>
          </w:p>
        </w:tc>
      </w:tr>
      <w:tr w:rsidR="00CB33C7" w:rsidRPr="00C2587D" w14:paraId="52CCCC1D" w14:textId="77777777" w:rsidTr="0020110C">
        <w:trPr>
          <w:jc w:val="right"/>
        </w:trPr>
        <w:tc>
          <w:tcPr>
            <w:tcW w:w="3425" w:type="dxa"/>
            <w:vAlign w:val="center"/>
          </w:tcPr>
          <w:p w14:paraId="48DAFA09" w14:textId="77777777" w:rsidR="00CB33C7" w:rsidRPr="00B55EA7" w:rsidRDefault="00CB33C7" w:rsidP="00B55EA7">
            <w:pPr>
              <w:rPr>
                <w:rFonts w:cs="Arial"/>
                <w:b/>
                <w:bCs/>
                <w:color w:val="000000"/>
                <w:szCs w:val="22"/>
              </w:rPr>
            </w:pPr>
            <w:r w:rsidRPr="00B55EA7">
              <w:rPr>
                <w:rFonts w:cs="Arial"/>
                <w:b/>
                <w:bCs/>
                <w:color w:val="000000"/>
                <w:szCs w:val="22"/>
              </w:rPr>
              <w:t>Мета проєкту:</w:t>
            </w:r>
          </w:p>
        </w:tc>
        <w:tc>
          <w:tcPr>
            <w:tcW w:w="6794" w:type="dxa"/>
            <w:gridSpan w:val="9"/>
          </w:tcPr>
          <w:p w14:paraId="13B70FE7" w14:textId="77777777" w:rsidR="00CB33C7" w:rsidRPr="00B55EA7" w:rsidRDefault="00CB33C7" w:rsidP="00B55EA7">
            <w:pPr>
              <w:jc w:val="both"/>
              <w:rPr>
                <w:rFonts w:cs="Arial"/>
                <w:szCs w:val="22"/>
                <w:lang w:eastAsia="it-IT"/>
              </w:rPr>
            </w:pPr>
            <w:r w:rsidRPr="00B55EA7">
              <w:rPr>
                <w:rFonts w:cs="Arial"/>
                <w:szCs w:val="22"/>
                <w:lang w:eastAsia="it-IT"/>
              </w:rPr>
              <w:t>Забезпечення  населення громади смт. Браїлів якісною інфраструктурою, а саме дорогами з рівним покриттям.</w:t>
            </w:r>
          </w:p>
          <w:p w14:paraId="70E9C238" w14:textId="77777777" w:rsidR="00CB33C7" w:rsidRPr="00B55EA7" w:rsidRDefault="00CB33C7" w:rsidP="00B55EA7">
            <w:pPr>
              <w:jc w:val="both"/>
              <w:rPr>
                <w:rFonts w:cs="Arial"/>
                <w:szCs w:val="22"/>
                <w:lang w:eastAsia="it-IT"/>
              </w:rPr>
            </w:pPr>
            <w:r w:rsidRPr="00B55EA7">
              <w:rPr>
                <w:rFonts w:cs="Arial"/>
                <w:szCs w:val="22"/>
                <w:lang w:eastAsia="it-IT"/>
              </w:rPr>
              <w:t>Мешканці громади отримують більш комфортні   та безпечні умови проживання та перебування в населеному пункті.</w:t>
            </w:r>
          </w:p>
        </w:tc>
      </w:tr>
      <w:tr w:rsidR="00CB33C7" w:rsidRPr="00C2587D" w14:paraId="42604C58" w14:textId="77777777" w:rsidTr="0020110C">
        <w:trPr>
          <w:jc w:val="right"/>
        </w:trPr>
        <w:tc>
          <w:tcPr>
            <w:tcW w:w="3425" w:type="dxa"/>
            <w:vAlign w:val="center"/>
          </w:tcPr>
          <w:p w14:paraId="15BF526C" w14:textId="77777777" w:rsidR="00CB33C7" w:rsidRPr="00B55EA7" w:rsidRDefault="00CB33C7" w:rsidP="00B55EA7">
            <w:pPr>
              <w:rPr>
                <w:rFonts w:cs="Arial"/>
                <w:b/>
                <w:bCs/>
                <w:color w:val="000000"/>
                <w:szCs w:val="22"/>
              </w:rPr>
            </w:pPr>
            <w:r w:rsidRPr="00B55EA7">
              <w:rPr>
                <w:rFonts w:cs="Arial"/>
                <w:b/>
                <w:bCs/>
                <w:color w:val="000000"/>
                <w:szCs w:val="22"/>
              </w:rPr>
              <w:t>Цілі проєкту:</w:t>
            </w:r>
          </w:p>
        </w:tc>
        <w:tc>
          <w:tcPr>
            <w:tcW w:w="6794" w:type="dxa"/>
            <w:gridSpan w:val="9"/>
          </w:tcPr>
          <w:p w14:paraId="67C9C390" w14:textId="77777777" w:rsidR="00CB33C7" w:rsidRPr="00B55EA7" w:rsidRDefault="00CB33C7" w:rsidP="00B55EA7">
            <w:pPr>
              <w:rPr>
                <w:rFonts w:cs="Arial"/>
                <w:szCs w:val="22"/>
                <w:lang w:eastAsia="it-IT"/>
              </w:rPr>
            </w:pPr>
            <w:r w:rsidRPr="00B55EA7">
              <w:rPr>
                <w:rFonts w:cs="Arial"/>
                <w:szCs w:val="22"/>
                <w:lang w:eastAsia="it-IT"/>
              </w:rPr>
              <w:t>Покращити інфраструктуру   дорожнього покриття в смт. Браїлів</w:t>
            </w:r>
          </w:p>
        </w:tc>
      </w:tr>
      <w:tr w:rsidR="00CB33C7" w:rsidRPr="00C2587D" w14:paraId="67D820D3" w14:textId="77777777" w:rsidTr="0020110C">
        <w:trPr>
          <w:jc w:val="right"/>
        </w:trPr>
        <w:tc>
          <w:tcPr>
            <w:tcW w:w="3425" w:type="dxa"/>
            <w:vAlign w:val="center"/>
          </w:tcPr>
          <w:p w14:paraId="035DAE6E" w14:textId="77777777" w:rsidR="00CB33C7" w:rsidRPr="00B55EA7" w:rsidRDefault="00CB33C7" w:rsidP="00B55EA7">
            <w:pPr>
              <w:autoSpaceDE w:val="0"/>
              <w:autoSpaceDN w:val="0"/>
              <w:adjustRightInd w:val="0"/>
              <w:rPr>
                <w:rFonts w:cs="Arial"/>
                <w:b/>
                <w:color w:val="000000"/>
                <w:szCs w:val="22"/>
              </w:rPr>
            </w:pPr>
            <w:r w:rsidRPr="00B55EA7">
              <w:rPr>
                <w:rFonts w:cs="Arial"/>
                <w:b/>
                <w:color w:val="000000"/>
                <w:szCs w:val="22"/>
              </w:rPr>
              <w:t>Територія на яку проєкт матиме вплив:</w:t>
            </w:r>
          </w:p>
        </w:tc>
        <w:tc>
          <w:tcPr>
            <w:tcW w:w="6794" w:type="dxa"/>
            <w:gridSpan w:val="9"/>
          </w:tcPr>
          <w:p w14:paraId="3BF95900" w14:textId="77777777" w:rsidR="00CB33C7" w:rsidRPr="00B55EA7" w:rsidRDefault="00CB33C7" w:rsidP="00B55EA7">
            <w:pPr>
              <w:rPr>
                <w:rFonts w:cs="Arial"/>
                <w:szCs w:val="22"/>
                <w:lang w:eastAsia="it-IT"/>
              </w:rPr>
            </w:pPr>
            <w:r w:rsidRPr="00B55EA7">
              <w:rPr>
                <w:rFonts w:cs="Arial"/>
                <w:szCs w:val="22"/>
                <w:lang w:eastAsia="it-IT"/>
              </w:rPr>
              <w:t xml:space="preserve">Території Браїлівського старостинського округу а саме: смт. Браїлів                                                                                                                                                                                                                                                                     </w:t>
            </w:r>
          </w:p>
        </w:tc>
      </w:tr>
      <w:tr w:rsidR="00CB33C7" w:rsidRPr="00C2587D" w14:paraId="087487E3" w14:textId="77777777" w:rsidTr="0020110C">
        <w:trPr>
          <w:jc w:val="right"/>
        </w:trPr>
        <w:tc>
          <w:tcPr>
            <w:tcW w:w="3425" w:type="dxa"/>
            <w:vAlign w:val="center"/>
          </w:tcPr>
          <w:p w14:paraId="697037F6" w14:textId="77777777" w:rsidR="00CB33C7" w:rsidRPr="00B55EA7" w:rsidRDefault="00CB33C7" w:rsidP="00B55EA7">
            <w:pPr>
              <w:autoSpaceDE w:val="0"/>
              <w:autoSpaceDN w:val="0"/>
              <w:adjustRightInd w:val="0"/>
              <w:rPr>
                <w:rFonts w:cs="Arial"/>
                <w:b/>
                <w:color w:val="000000"/>
                <w:szCs w:val="22"/>
              </w:rPr>
            </w:pPr>
            <w:r w:rsidRPr="00B55EA7">
              <w:rPr>
                <w:rFonts w:cs="Arial"/>
                <w:b/>
                <w:color w:val="000000"/>
                <w:szCs w:val="22"/>
              </w:rPr>
              <w:t>Цільові групи проєкту та кількість отримувачів вигоди</w:t>
            </w:r>
          </w:p>
        </w:tc>
        <w:tc>
          <w:tcPr>
            <w:tcW w:w="6794" w:type="dxa"/>
            <w:gridSpan w:val="9"/>
          </w:tcPr>
          <w:p w14:paraId="111FB522" w14:textId="77777777" w:rsidR="00CB33C7" w:rsidRPr="00B55EA7" w:rsidRDefault="00CB33C7" w:rsidP="00B55EA7">
            <w:pPr>
              <w:rPr>
                <w:rFonts w:cs="Arial"/>
                <w:szCs w:val="22"/>
                <w:lang w:eastAsia="it-IT"/>
              </w:rPr>
            </w:pPr>
            <w:r w:rsidRPr="00B55EA7">
              <w:rPr>
                <w:rFonts w:cs="Arial"/>
                <w:szCs w:val="22"/>
                <w:lang w:eastAsia="it-IT"/>
              </w:rPr>
              <w:t>Жителі смт. Браїлів в кількості 4514 жителів</w:t>
            </w:r>
          </w:p>
        </w:tc>
      </w:tr>
      <w:tr w:rsidR="00CB33C7" w:rsidRPr="00C2587D" w14:paraId="13B7CEF6" w14:textId="77777777" w:rsidTr="0020110C">
        <w:trPr>
          <w:jc w:val="right"/>
        </w:trPr>
        <w:tc>
          <w:tcPr>
            <w:tcW w:w="3425" w:type="dxa"/>
            <w:shd w:val="clear" w:color="auto" w:fill="FFFFFF"/>
            <w:vAlign w:val="center"/>
          </w:tcPr>
          <w:p w14:paraId="798DBB38" w14:textId="77777777" w:rsidR="00CB33C7" w:rsidRPr="00B55EA7" w:rsidRDefault="00CB33C7" w:rsidP="00B55EA7">
            <w:pPr>
              <w:rPr>
                <w:rFonts w:cs="Arial"/>
                <w:b/>
                <w:bCs/>
                <w:color w:val="000000"/>
                <w:szCs w:val="22"/>
              </w:rPr>
            </w:pPr>
            <w:r w:rsidRPr="00B55EA7">
              <w:rPr>
                <w:rFonts w:cs="Arial"/>
                <w:b/>
                <w:bCs/>
                <w:color w:val="000000"/>
                <w:szCs w:val="22"/>
              </w:rPr>
              <w:t>Стислий опис проєкту:</w:t>
            </w:r>
          </w:p>
        </w:tc>
        <w:tc>
          <w:tcPr>
            <w:tcW w:w="6794" w:type="dxa"/>
            <w:gridSpan w:val="9"/>
          </w:tcPr>
          <w:p w14:paraId="4D54568B" w14:textId="77777777" w:rsidR="00CB33C7" w:rsidRPr="00B55EA7" w:rsidRDefault="00CB33C7" w:rsidP="00B55EA7">
            <w:pPr>
              <w:pStyle w:val="ad"/>
              <w:shd w:val="clear" w:color="auto" w:fill="FFFFFF"/>
              <w:spacing w:before="0" w:beforeAutospacing="0" w:after="0" w:afterAutospacing="0"/>
              <w:ind w:firstLine="148"/>
              <w:jc w:val="both"/>
              <w:rPr>
                <w:rFonts w:cs="Arial"/>
                <w:szCs w:val="22"/>
              </w:rPr>
            </w:pPr>
            <w:r w:rsidRPr="00B55EA7">
              <w:rPr>
                <w:rFonts w:cs="Arial"/>
                <w:szCs w:val="22"/>
              </w:rPr>
              <w:t>Якість доріг забезпечує роботу всіх галузей промисловості, соціальний розвиток суспільства. Забезпечує доступ у різні місця населеного пункту, а також безпечне та надійне переміщення людей і транспортування товарів і має надзвичайно важливе значення.</w:t>
            </w:r>
          </w:p>
          <w:p w14:paraId="3788EE6F" w14:textId="77777777" w:rsidR="00CB33C7" w:rsidRPr="00B55EA7" w:rsidRDefault="00CB33C7" w:rsidP="00B55EA7">
            <w:pPr>
              <w:pStyle w:val="ad"/>
              <w:shd w:val="clear" w:color="auto" w:fill="FFFFFF"/>
              <w:spacing w:before="0" w:beforeAutospacing="0" w:after="0" w:afterAutospacing="0"/>
              <w:ind w:firstLine="148"/>
              <w:jc w:val="both"/>
              <w:rPr>
                <w:rFonts w:cs="Arial"/>
                <w:szCs w:val="22"/>
              </w:rPr>
            </w:pPr>
            <w:r w:rsidRPr="00B55EA7">
              <w:rPr>
                <w:rFonts w:cs="Arial"/>
                <w:szCs w:val="22"/>
              </w:rPr>
              <w:t>Від стану автомобільних доріг залежать витрати на перевезення вантажів та пасажирів, рівень цін, певною мірою зайнятість населення.</w:t>
            </w:r>
          </w:p>
          <w:p w14:paraId="1B2FED4C" w14:textId="77777777" w:rsidR="00CB33C7" w:rsidRPr="00B55EA7" w:rsidRDefault="00CB33C7" w:rsidP="00B55EA7">
            <w:pPr>
              <w:pStyle w:val="ad"/>
              <w:shd w:val="clear" w:color="auto" w:fill="FFFFFF"/>
              <w:spacing w:before="0" w:beforeAutospacing="0" w:after="0" w:afterAutospacing="0"/>
              <w:ind w:firstLine="148"/>
              <w:jc w:val="both"/>
              <w:rPr>
                <w:rFonts w:cs="Arial"/>
                <w:szCs w:val="22"/>
                <w:shd w:val="clear" w:color="auto" w:fill="FFFFFF"/>
              </w:rPr>
            </w:pPr>
            <w:r w:rsidRPr="00B55EA7">
              <w:rPr>
                <w:rFonts w:cs="Arial"/>
                <w:szCs w:val="22"/>
              </w:rPr>
              <w:t xml:space="preserve"> </w:t>
            </w:r>
            <w:r w:rsidRPr="00B55EA7">
              <w:rPr>
                <w:rFonts w:cs="Arial"/>
                <w:szCs w:val="22"/>
                <w:shd w:val="clear" w:color="auto" w:fill="FFFFFF"/>
              </w:rPr>
              <w:t>Перш за все викликають занепокоєння ті ділянки доріг, по яких проходять автобусні сполучення, підвезення дітей до навчальних закладів, надання невідкладної медичної допомоги.</w:t>
            </w:r>
          </w:p>
          <w:p w14:paraId="18AF2F57" w14:textId="77777777" w:rsidR="00CB33C7" w:rsidRPr="00B55EA7" w:rsidRDefault="00CB33C7" w:rsidP="00B55EA7">
            <w:pPr>
              <w:rPr>
                <w:rFonts w:cs="Arial"/>
                <w:szCs w:val="22"/>
                <w:lang w:eastAsia="it-IT"/>
              </w:rPr>
            </w:pPr>
            <w:r w:rsidRPr="00B55EA7">
              <w:rPr>
                <w:rFonts w:cs="Arial"/>
                <w:szCs w:val="22"/>
                <w:shd w:val="clear" w:color="auto" w:fill="FFFFFF"/>
              </w:rPr>
              <w:t>З метою безперебійного перевезення людей, необхідно провести капітальний ремонт доріг в смт. Браїлів Жмеринського району</w:t>
            </w:r>
          </w:p>
        </w:tc>
      </w:tr>
      <w:tr w:rsidR="00CB33C7" w:rsidRPr="00C2587D" w14:paraId="6111E2AA" w14:textId="77777777" w:rsidTr="0020110C">
        <w:trPr>
          <w:jc w:val="right"/>
        </w:trPr>
        <w:tc>
          <w:tcPr>
            <w:tcW w:w="3425" w:type="dxa"/>
            <w:shd w:val="clear" w:color="auto" w:fill="FFFFFF"/>
            <w:vAlign w:val="center"/>
          </w:tcPr>
          <w:p w14:paraId="0D8B693E" w14:textId="77777777" w:rsidR="00CB33C7" w:rsidRPr="00B55EA7" w:rsidRDefault="00CB33C7" w:rsidP="00B55EA7">
            <w:pPr>
              <w:rPr>
                <w:rFonts w:cs="Arial"/>
                <w:b/>
                <w:bCs/>
                <w:color w:val="000000"/>
                <w:szCs w:val="22"/>
              </w:rPr>
            </w:pPr>
            <w:r w:rsidRPr="00B55EA7">
              <w:rPr>
                <w:rFonts w:cs="Arial"/>
                <w:b/>
                <w:bCs/>
                <w:color w:val="000000"/>
                <w:szCs w:val="22"/>
              </w:rPr>
              <w:t>Основні заходи проєкту:</w:t>
            </w:r>
          </w:p>
        </w:tc>
        <w:tc>
          <w:tcPr>
            <w:tcW w:w="6794" w:type="dxa"/>
            <w:gridSpan w:val="9"/>
          </w:tcPr>
          <w:p w14:paraId="38513A01" w14:textId="6C3563BE" w:rsidR="00CB33C7" w:rsidRPr="00B55EA7" w:rsidRDefault="00CB33C7" w:rsidP="00B55EA7">
            <w:pPr>
              <w:jc w:val="both"/>
              <w:rPr>
                <w:rFonts w:cs="Arial"/>
                <w:szCs w:val="22"/>
                <w:lang w:eastAsia="it-IT"/>
              </w:rPr>
            </w:pPr>
            <w:r w:rsidRPr="00B55EA7">
              <w:rPr>
                <w:rFonts w:cs="Arial"/>
                <w:szCs w:val="22"/>
                <w:lang w:eastAsia="it-IT"/>
              </w:rPr>
              <w:t>Створення робочої групи з питань</w:t>
            </w:r>
            <w:r w:rsidR="002013FD">
              <w:rPr>
                <w:rFonts w:cs="Arial"/>
                <w:szCs w:val="22"/>
                <w:lang w:eastAsia="it-IT"/>
              </w:rPr>
              <w:t xml:space="preserve"> реалізації проє</w:t>
            </w:r>
            <w:r w:rsidRPr="00B55EA7">
              <w:rPr>
                <w:rFonts w:cs="Arial"/>
                <w:szCs w:val="22"/>
                <w:lang w:eastAsia="it-IT"/>
              </w:rPr>
              <w:t xml:space="preserve">кту. </w:t>
            </w:r>
          </w:p>
          <w:p w14:paraId="1F2B00F9" w14:textId="77777777" w:rsidR="00CB33C7" w:rsidRPr="00B55EA7" w:rsidRDefault="00CB33C7" w:rsidP="00B55EA7">
            <w:pPr>
              <w:jc w:val="both"/>
              <w:rPr>
                <w:rFonts w:cs="Arial"/>
                <w:szCs w:val="22"/>
                <w:lang w:eastAsia="it-IT"/>
              </w:rPr>
            </w:pPr>
            <w:r w:rsidRPr="00B55EA7">
              <w:rPr>
                <w:rFonts w:cs="Arial"/>
                <w:szCs w:val="22"/>
                <w:lang w:eastAsia="it-IT"/>
              </w:rPr>
              <w:t>Проведення процедури закупівель (визначення виконавця робіт).</w:t>
            </w:r>
          </w:p>
          <w:p w14:paraId="4FD1044F" w14:textId="77777777" w:rsidR="00CB33C7" w:rsidRPr="00B55EA7" w:rsidRDefault="00CB33C7" w:rsidP="00B55EA7">
            <w:pPr>
              <w:jc w:val="both"/>
              <w:rPr>
                <w:rFonts w:cs="Arial"/>
                <w:szCs w:val="22"/>
                <w:lang w:eastAsia="it-IT"/>
              </w:rPr>
            </w:pPr>
            <w:r w:rsidRPr="00B55EA7">
              <w:rPr>
                <w:rFonts w:cs="Arial"/>
                <w:szCs w:val="22"/>
                <w:lang w:eastAsia="it-IT"/>
              </w:rPr>
              <w:t>Укладення договорів з виконавцем робіт, організаціями, що здійснюватимуть  технічний та авторський  нагляд .</w:t>
            </w:r>
          </w:p>
          <w:p w14:paraId="209F18DA" w14:textId="57405AF2" w:rsidR="00CB33C7" w:rsidRPr="00B55EA7" w:rsidRDefault="00CB33C7" w:rsidP="00B55EA7">
            <w:pPr>
              <w:jc w:val="both"/>
              <w:rPr>
                <w:rFonts w:cs="Arial"/>
                <w:szCs w:val="22"/>
                <w:lang w:eastAsia="it-IT"/>
              </w:rPr>
            </w:pPr>
            <w:r w:rsidRPr="00B55EA7">
              <w:rPr>
                <w:rFonts w:cs="Arial"/>
                <w:szCs w:val="22"/>
                <w:lang w:eastAsia="it-IT"/>
              </w:rPr>
              <w:t xml:space="preserve">Виконання робіт з </w:t>
            </w:r>
            <w:r w:rsidRPr="00B55EA7">
              <w:rPr>
                <w:rFonts w:eastAsia="Arial" w:cs="Arial"/>
                <w:color w:val="000000" w:themeColor="text1"/>
                <w:szCs w:val="22"/>
                <w:lang w:eastAsia="en-US"/>
              </w:rPr>
              <w:t xml:space="preserve">капітального ремонту </w:t>
            </w:r>
            <w:r w:rsidRPr="00B55EA7">
              <w:rPr>
                <w:rFonts w:eastAsia="Arial" w:cs="Arial"/>
                <w:szCs w:val="22"/>
                <w:lang w:eastAsia="en-US"/>
              </w:rPr>
              <w:t>доріг (асфальтування) в смт. Браїлів Жмеринського району</w:t>
            </w:r>
            <w:r w:rsidR="002013FD">
              <w:rPr>
                <w:rFonts w:eastAsia="Arial" w:cs="Arial"/>
                <w:szCs w:val="22"/>
                <w:lang w:eastAsia="en-US"/>
              </w:rPr>
              <w:t>.</w:t>
            </w:r>
          </w:p>
          <w:p w14:paraId="128927FC" w14:textId="77777777" w:rsidR="00CB33C7" w:rsidRPr="00B55EA7" w:rsidRDefault="00CB33C7" w:rsidP="00B55EA7">
            <w:pPr>
              <w:jc w:val="both"/>
              <w:rPr>
                <w:rFonts w:cs="Arial"/>
                <w:szCs w:val="22"/>
                <w:lang w:eastAsia="it-IT"/>
              </w:rPr>
            </w:pPr>
            <w:r w:rsidRPr="00B55EA7">
              <w:rPr>
                <w:rFonts w:cs="Arial"/>
                <w:szCs w:val="22"/>
                <w:lang w:eastAsia="it-IT"/>
              </w:rPr>
              <w:t>Введення  об’єкту в експлуатацію .</w:t>
            </w:r>
          </w:p>
          <w:p w14:paraId="32CF9848" w14:textId="7172E355" w:rsidR="00CB33C7" w:rsidRPr="00B55EA7" w:rsidRDefault="00CB33C7" w:rsidP="00B55EA7">
            <w:pPr>
              <w:rPr>
                <w:rFonts w:cs="Arial"/>
                <w:szCs w:val="22"/>
                <w:lang w:eastAsia="it-IT"/>
              </w:rPr>
            </w:pPr>
            <w:r w:rsidRPr="00B55EA7">
              <w:rPr>
                <w:rFonts w:cs="Arial"/>
                <w:szCs w:val="22"/>
                <w:lang w:eastAsia="it-IT"/>
              </w:rPr>
              <w:t xml:space="preserve">Проведення інформаційних заходів (розміщення  </w:t>
            </w:r>
            <w:r w:rsidR="002013FD">
              <w:rPr>
                <w:rFonts w:cs="Arial"/>
                <w:szCs w:val="22"/>
                <w:lang w:eastAsia="it-IT"/>
              </w:rPr>
              <w:t>інформації  про реалізацію  проє</w:t>
            </w:r>
            <w:r w:rsidRPr="00B55EA7">
              <w:rPr>
                <w:rFonts w:cs="Arial"/>
                <w:szCs w:val="22"/>
                <w:lang w:eastAsia="it-IT"/>
              </w:rPr>
              <w:t>кту у ЗМІ) .</w:t>
            </w:r>
          </w:p>
        </w:tc>
      </w:tr>
      <w:tr w:rsidR="00CB33C7" w:rsidRPr="00C2587D" w14:paraId="1C1AA1A1" w14:textId="77777777" w:rsidTr="0020110C">
        <w:trPr>
          <w:jc w:val="right"/>
        </w:trPr>
        <w:tc>
          <w:tcPr>
            <w:tcW w:w="3425" w:type="dxa"/>
            <w:shd w:val="clear" w:color="auto" w:fill="FFFFFF"/>
            <w:vAlign w:val="center"/>
          </w:tcPr>
          <w:p w14:paraId="06316BCD" w14:textId="77777777" w:rsidR="00CB33C7" w:rsidRPr="00B55EA7" w:rsidRDefault="00CB33C7" w:rsidP="00B55EA7">
            <w:pPr>
              <w:rPr>
                <w:rFonts w:cs="Arial"/>
                <w:b/>
                <w:bCs/>
                <w:color w:val="000000"/>
                <w:szCs w:val="22"/>
              </w:rPr>
            </w:pPr>
            <w:r w:rsidRPr="00B55EA7">
              <w:rPr>
                <w:rFonts w:cs="Arial"/>
                <w:b/>
                <w:bCs/>
                <w:color w:val="000000"/>
                <w:szCs w:val="22"/>
              </w:rPr>
              <w:t>Індикатори (показники) результативності:</w:t>
            </w:r>
          </w:p>
        </w:tc>
        <w:tc>
          <w:tcPr>
            <w:tcW w:w="6794" w:type="dxa"/>
            <w:gridSpan w:val="9"/>
          </w:tcPr>
          <w:p w14:paraId="31015B5C" w14:textId="77777777" w:rsidR="00CB33C7" w:rsidRPr="00B55EA7" w:rsidRDefault="00CB33C7" w:rsidP="00B55EA7">
            <w:pPr>
              <w:rPr>
                <w:rFonts w:cs="Arial"/>
                <w:szCs w:val="22"/>
                <w:lang w:eastAsia="it-IT"/>
              </w:rPr>
            </w:pPr>
            <w:r w:rsidRPr="00B55EA7">
              <w:rPr>
                <w:rFonts w:eastAsia="Arial" w:cs="Arial"/>
                <w:szCs w:val="22"/>
                <w:lang w:eastAsia="en-US"/>
              </w:rPr>
              <w:t>Площа ремонту дорожнього покриття: 48 800 м</w:t>
            </w:r>
            <w:r w:rsidRPr="00B55EA7">
              <w:rPr>
                <w:rFonts w:eastAsia="Arial" w:cs="Arial"/>
                <w:szCs w:val="22"/>
                <w:vertAlign w:val="superscript"/>
                <w:lang w:eastAsia="en-US"/>
              </w:rPr>
              <w:t>2</w:t>
            </w:r>
          </w:p>
        </w:tc>
      </w:tr>
      <w:tr w:rsidR="00CB33C7" w:rsidRPr="00C2587D" w14:paraId="730281E4" w14:textId="77777777" w:rsidTr="0020110C">
        <w:trPr>
          <w:jc w:val="right"/>
        </w:trPr>
        <w:tc>
          <w:tcPr>
            <w:tcW w:w="3425" w:type="dxa"/>
            <w:shd w:val="clear" w:color="auto" w:fill="FFFFFF"/>
            <w:vAlign w:val="center"/>
          </w:tcPr>
          <w:p w14:paraId="44B762B9" w14:textId="77777777" w:rsidR="00CB33C7" w:rsidRPr="00B55EA7" w:rsidRDefault="00CB33C7" w:rsidP="00B55EA7">
            <w:pPr>
              <w:rPr>
                <w:rFonts w:cs="Arial"/>
                <w:b/>
                <w:color w:val="000000"/>
                <w:szCs w:val="22"/>
              </w:rPr>
            </w:pPr>
            <w:r w:rsidRPr="00B55EA7">
              <w:rPr>
                <w:rFonts w:cs="Arial"/>
                <w:b/>
                <w:color w:val="000000"/>
                <w:szCs w:val="22"/>
              </w:rPr>
              <w:t xml:space="preserve">Період здійснення: </w:t>
            </w:r>
          </w:p>
        </w:tc>
        <w:tc>
          <w:tcPr>
            <w:tcW w:w="6794" w:type="dxa"/>
            <w:gridSpan w:val="9"/>
            <w:vAlign w:val="center"/>
          </w:tcPr>
          <w:p w14:paraId="4A5326C0" w14:textId="77777777" w:rsidR="00CB33C7" w:rsidRPr="00B55EA7" w:rsidRDefault="00CB33C7" w:rsidP="00B55EA7">
            <w:pPr>
              <w:rPr>
                <w:rFonts w:cs="Arial"/>
                <w:color w:val="000000"/>
                <w:szCs w:val="22"/>
                <w:lang w:eastAsia="it-IT"/>
              </w:rPr>
            </w:pPr>
            <w:r w:rsidRPr="00B55EA7">
              <w:rPr>
                <w:rFonts w:cs="Arial"/>
                <w:b/>
                <w:color w:val="000000"/>
                <w:szCs w:val="22"/>
              </w:rPr>
              <w:t>2025 – 2028 роки:</w:t>
            </w:r>
          </w:p>
        </w:tc>
      </w:tr>
      <w:tr w:rsidR="00CB33C7" w:rsidRPr="00C2587D" w14:paraId="417314DC" w14:textId="77777777" w:rsidTr="0020110C">
        <w:trPr>
          <w:jc w:val="right"/>
        </w:trPr>
        <w:tc>
          <w:tcPr>
            <w:tcW w:w="3425" w:type="dxa"/>
            <w:vMerge w:val="restart"/>
            <w:shd w:val="clear" w:color="auto" w:fill="FFFFFF"/>
            <w:vAlign w:val="center"/>
          </w:tcPr>
          <w:p w14:paraId="423E087B" w14:textId="77777777" w:rsidR="00CB33C7" w:rsidRPr="00B55EA7" w:rsidRDefault="00CB33C7" w:rsidP="00B55EA7">
            <w:pPr>
              <w:rPr>
                <w:rFonts w:cs="Arial"/>
                <w:b/>
                <w:bCs/>
                <w:color w:val="000000"/>
                <w:szCs w:val="22"/>
              </w:rPr>
            </w:pPr>
            <w:r w:rsidRPr="00B55EA7">
              <w:rPr>
                <w:rFonts w:cs="Arial"/>
                <w:b/>
                <w:bCs/>
                <w:color w:val="000000"/>
                <w:szCs w:val="22"/>
              </w:rPr>
              <w:t>Орієнтовна вартість проєкту, тис. грн., в тому числі:</w:t>
            </w:r>
          </w:p>
        </w:tc>
        <w:tc>
          <w:tcPr>
            <w:tcW w:w="1254" w:type="dxa"/>
            <w:shd w:val="clear" w:color="auto" w:fill="E6E6E6"/>
            <w:vAlign w:val="center"/>
          </w:tcPr>
          <w:p w14:paraId="60D82BE0" w14:textId="77777777" w:rsidR="00CB33C7" w:rsidRPr="00B55EA7" w:rsidRDefault="00CB33C7" w:rsidP="00B55EA7">
            <w:pPr>
              <w:jc w:val="center"/>
              <w:rPr>
                <w:rFonts w:cs="Arial"/>
                <w:b/>
                <w:color w:val="000000"/>
                <w:szCs w:val="22"/>
                <w:lang w:eastAsia="it-IT"/>
              </w:rPr>
            </w:pPr>
            <w:r w:rsidRPr="00B55EA7">
              <w:rPr>
                <w:rFonts w:cs="Arial"/>
                <w:b/>
                <w:color w:val="000000"/>
                <w:szCs w:val="22"/>
                <w:lang w:eastAsia="it-IT"/>
              </w:rPr>
              <w:t>2025</w:t>
            </w:r>
          </w:p>
        </w:tc>
        <w:tc>
          <w:tcPr>
            <w:tcW w:w="1412" w:type="dxa"/>
            <w:gridSpan w:val="2"/>
            <w:shd w:val="clear" w:color="auto" w:fill="E6E6E6"/>
            <w:vAlign w:val="center"/>
          </w:tcPr>
          <w:p w14:paraId="60181E5E" w14:textId="77777777" w:rsidR="00CB33C7" w:rsidRPr="00B55EA7" w:rsidRDefault="00CB33C7" w:rsidP="00B55EA7">
            <w:pPr>
              <w:jc w:val="center"/>
              <w:rPr>
                <w:rFonts w:cs="Arial"/>
                <w:b/>
                <w:color w:val="000000"/>
                <w:szCs w:val="22"/>
                <w:lang w:eastAsia="it-IT"/>
              </w:rPr>
            </w:pPr>
            <w:r w:rsidRPr="00B55EA7">
              <w:rPr>
                <w:rFonts w:cs="Arial"/>
                <w:b/>
                <w:color w:val="000000"/>
                <w:szCs w:val="22"/>
                <w:lang w:eastAsia="it-IT"/>
              </w:rPr>
              <w:t>2026</w:t>
            </w:r>
          </w:p>
        </w:tc>
        <w:tc>
          <w:tcPr>
            <w:tcW w:w="1281" w:type="dxa"/>
            <w:gridSpan w:val="2"/>
            <w:tcBorders>
              <w:bottom w:val="single" w:sz="4" w:space="0" w:color="auto"/>
            </w:tcBorders>
            <w:shd w:val="clear" w:color="auto" w:fill="E6E6E6"/>
            <w:vAlign w:val="center"/>
          </w:tcPr>
          <w:p w14:paraId="1851EEDE" w14:textId="77777777" w:rsidR="00CB33C7" w:rsidRPr="00B55EA7" w:rsidRDefault="00CB33C7" w:rsidP="00B55EA7">
            <w:pPr>
              <w:jc w:val="center"/>
              <w:rPr>
                <w:rFonts w:cs="Arial"/>
                <w:b/>
                <w:color w:val="000000"/>
                <w:szCs w:val="22"/>
                <w:lang w:eastAsia="it-IT"/>
              </w:rPr>
            </w:pPr>
            <w:r w:rsidRPr="00B55EA7">
              <w:rPr>
                <w:rFonts w:cs="Arial"/>
                <w:b/>
                <w:color w:val="000000"/>
                <w:szCs w:val="22"/>
                <w:lang w:eastAsia="it-IT"/>
              </w:rPr>
              <w:t>2027</w:t>
            </w:r>
          </w:p>
        </w:tc>
        <w:tc>
          <w:tcPr>
            <w:tcW w:w="1276" w:type="dxa"/>
            <w:gridSpan w:val="2"/>
            <w:shd w:val="clear" w:color="auto" w:fill="E6E6E6"/>
            <w:vAlign w:val="center"/>
          </w:tcPr>
          <w:p w14:paraId="1A4571A6" w14:textId="77777777" w:rsidR="00CB33C7" w:rsidRPr="00B55EA7" w:rsidRDefault="00CB33C7" w:rsidP="00B55EA7">
            <w:pPr>
              <w:jc w:val="center"/>
              <w:rPr>
                <w:rFonts w:cs="Arial"/>
                <w:b/>
                <w:color w:val="000000"/>
                <w:szCs w:val="22"/>
                <w:lang w:eastAsia="it-IT"/>
              </w:rPr>
            </w:pPr>
            <w:r w:rsidRPr="00B55EA7">
              <w:rPr>
                <w:rFonts w:cs="Arial"/>
                <w:b/>
                <w:color w:val="000000"/>
                <w:szCs w:val="22"/>
                <w:lang w:eastAsia="it-IT"/>
              </w:rPr>
              <w:t>2028</w:t>
            </w:r>
          </w:p>
        </w:tc>
        <w:tc>
          <w:tcPr>
            <w:tcW w:w="1571" w:type="dxa"/>
            <w:gridSpan w:val="2"/>
            <w:shd w:val="clear" w:color="auto" w:fill="E6E6E6"/>
            <w:vAlign w:val="center"/>
          </w:tcPr>
          <w:p w14:paraId="7525AD37" w14:textId="77777777" w:rsidR="00CB33C7" w:rsidRPr="00B55EA7" w:rsidRDefault="00CB33C7" w:rsidP="00B55EA7">
            <w:pPr>
              <w:jc w:val="center"/>
              <w:rPr>
                <w:rFonts w:cs="Arial"/>
                <w:b/>
                <w:color w:val="000000"/>
                <w:szCs w:val="22"/>
                <w:lang w:eastAsia="it-IT"/>
              </w:rPr>
            </w:pPr>
            <w:r w:rsidRPr="00B55EA7">
              <w:rPr>
                <w:rFonts w:cs="Arial"/>
                <w:b/>
                <w:color w:val="000000"/>
                <w:szCs w:val="22"/>
                <w:lang w:eastAsia="it-IT"/>
              </w:rPr>
              <w:t>РАЗОМ</w:t>
            </w:r>
          </w:p>
        </w:tc>
      </w:tr>
      <w:tr w:rsidR="00CB33C7" w:rsidRPr="00C2587D" w14:paraId="2DF40709" w14:textId="77777777" w:rsidTr="0020110C">
        <w:trPr>
          <w:jc w:val="right"/>
        </w:trPr>
        <w:tc>
          <w:tcPr>
            <w:tcW w:w="3425" w:type="dxa"/>
            <w:vMerge/>
            <w:shd w:val="clear" w:color="auto" w:fill="FFFFFF"/>
            <w:vAlign w:val="center"/>
          </w:tcPr>
          <w:p w14:paraId="76F41BC1" w14:textId="77777777" w:rsidR="00CB33C7" w:rsidRPr="00B55EA7" w:rsidRDefault="00CB33C7" w:rsidP="00B55EA7">
            <w:pPr>
              <w:rPr>
                <w:rFonts w:cs="Arial"/>
                <w:b/>
                <w:bCs/>
                <w:color w:val="000000"/>
                <w:szCs w:val="22"/>
              </w:rPr>
            </w:pPr>
          </w:p>
        </w:tc>
        <w:tc>
          <w:tcPr>
            <w:tcW w:w="1254" w:type="dxa"/>
            <w:vAlign w:val="center"/>
          </w:tcPr>
          <w:p w14:paraId="0DD9A12B" w14:textId="77777777" w:rsidR="00CB33C7" w:rsidRPr="00B55EA7" w:rsidRDefault="00CB33C7" w:rsidP="00B55EA7">
            <w:pPr>
              <w:jc w:val="center"/>
              <w:rPr>
                <w:rFonts w:cs="Arial"/>
                <w:b/>
                <w:color w:val="000000"/>
                <w:szCs w:val="22"/>
                <w:lang w:eastAsia="it-IT"/>
              </w:rPr>
            </w:pPr>
          </w:p>
        </w:tc>
        <w:tc>
          <w:tcPr>
            <w:tcW w:w="1412" w:type="dxa"/>
            <w:gridSpan w:val="2"/>
            <w:shd w:val="clear" w:color="auto" w:fill="FFFFFF"/>
          </w:tcPr>
          <w:p w14:paraId="7108B161" w14:textId="77777777" w:rsidR="00CB33C7" w:rsidRPr="00B55EA7" w:rsidRDefault="00CB33C7" w:rsidP="00B55EA7">
            <w:pPr>
              <w:jc w:val="center"/>
              <w:rPr>
                <w:rFonts w:cs="Arial"/>
                <w:b/>
                <w:color w:val="000000"/>
                <w:szCs w:val="22"/>
                <w:lang w:eastAsia="it-IT"/>
              </w:rPr>
            </w:pPr>
            <w:r w:rsidRPr="00B55EA7">
              <w:rPr>
                <w:rFonts w:cs="Arial"/>
                <w:b/>
                <w:color w:val="000000"/>
                <w:szCs w:val="22"/>
                <w:lang w:eastAsia="it-IT"/>
              </w:rPr>
              <w:t>5827,930</w:t>
            </w:r>
          </w:p>
        </w:tc>
        <w:tc>
          <w:tcPr>
            <w:tcW w:w="1281" w:type="dxa"/>
            <w:gridSpan w:val="2"/>
            <w:shd w:val="clear" w:color="auto" w:fill="auto"/>
          </w:tcPr>
          <w:p w14:paraId="7589D05E" w14:textId="77777777" w:rsidR="00CB33C7" w:rsidRPr="00B55EA7" w:rsidRDefault="00CB33C7" w:rsidP="00B55EA7">
            <w:pPr>
              <w:jc w:val="center"/>
              <w:rPr>
                <w:rFonts w:cs="Arial"/>
                <w:b/>
                <w:color w:val="000000"/>
                <w:szCs w:val="22"/>
                <w:lang w:eastAsia="it-IT"/>
              </w:rPr>
            </w:pPr>
          </w:p>
        </w:tc>
        <w:tc>
          <w:tcPr>
            <w:tcW w:w="1276" w:type="dxa"/>
            <w:gridSpan w:val="2"/>
            <w:shd w:val="clear" w:color="auto" w:fill="FFFFFF"/>
          </w:tcPr>
          <w:p w14:paraId="430BA959" w14:textId="77777777" w:rsidR="00CB33C7" w:rsidRPr="00B55EA7" w:rsidRDefault="00CB33C7" w:rsidP="00B55EA7">
            <w:pPr>
              <w:jc w:val="center"/>
              <w:rPr>
                <w:rFonts w:cs="Arial"/>
                <w:b/>
                <w:color w:val="000000"/>
                <w:szCs w:val="22"/>
                <w:lang w:eastAsia="it-IT"/>
              </w:rPr>
            </w:pPr>
          </w:p>
        </w:tc>
        <w:tc>
          <w:tcPr>
            <w:tcW w:w="1571" w:type="dxa"/>
            <w:gridSpan w:val="2"/>
            <w:shd w:val="clear" w:color="auto" w:fill="FFFFFF"/>
          </w:tcPr>
          <w:p w14:paraId="316C9745" w14:textId="77777777" w:rsidR="00CB33C7" w:rsidRPr="00B55EA7" w:rsidRDefault="00CB33C7" w:rsidP="00B55EA7">
            <w:pPr>
              <w:jc w:val="center"/>
              <w:rPr>
                <w:rFonts w:cs="Arial"/>
                <w:b/>
                <w:color w:val="000000"/>
                <w:szCs w:val="22"/>
                <w:lang w:eastAsia="it-IT"/>
              </w:rPr>
            </w:pPr>
            <w:r w:rsidRPr="00B55EA7">
              <w:rPr>
                <w:rFonts w:cs="Arial"/>
                <w:b/>
                <w:color w:val="000000"/>
                <w:szCs w:val="22"/>
                <w:lang w:eastAsia="it-IT"/>
              </w:rPr>
              <w:t>5827,930</w:t>
            </w:r>
          </w:p>
        </w:tc>
      </w:tr>
      <w:tr w:rsidR="00CB33C7" w:rsidRPr="00C2587D" w14:paraId="3F1659F4" w14:textId="77777777" w:rsidTr="0020110C">
        <w:trPr>
          <w:trHeight w:val="276"/>
          <w:jc w:val="right"/>
        </w:trPr>
        <w:tc>
          <w:tcPr>
            <w:tcW w:w="3425" w:type="dxa"/>
            <w:shd w:val="clear" w:color="auto" w:fill="FFFFFF"/>
            <w:vAlign w:val="center"/>
          </w:tcPr>
          <w:p w14:paraId="05BEBD5D" w14:textId="77777777" w:rsidR="00CB33C7" w:rsidRPr="00B55EA7" w:rsidRDefault="00CB33C7" w:rsidP="00B55EA7">
            <w:pPr>
              <w:rPr>
                <w:rFonts w:cs="Arial"/>
                <w:b/>
                <w:bCs/>
                <w:color w:val="000000"/>
                <w:szCs w:val="22"/>
              </w:rPr>
            </w:pPr>
            <w:r w:rsidRPr="00B55EA7">
              <w:rPr>
                <w:rFonts w:cs="Arial"/>
                <w:b/>
                <w:bCs/>
                <w:color w:val="000000"/>
                <w:szCs w:val="22"/>
              </w:rPr>
              <w:t>по джерелах фінансування:</w:t>
            </w:r>
          </w:p>
        </w:tc>
        <w:tc>
          <w:tcPr>
            <w:tcW w:w="6794" w:type="dxa"/>
            <w:gridSpan w:val="9"/>
          </w:tcPr>
          <w:p w14:paraId="01734B24" w14:textId="77777777" w:rsidR="00CB33C7" w:rsidRPr="00B55EA7" w:rsidRDefault="00CB33C7" w:rsidP="00B55EA7">
            <w:pPr>
              <w:jc w:val="center"/>
              <w:rPr>
                <w:rFonts w:cs="Arial"/>
                <w:color w:val="000000"/>
                <w:szCs w:val="22"/>
                <w:lang w:eastAsia="it-IT"/>
              </w:rPr>
            </w:pPr>
          </w:p>
        </w:tc>
      </w:tr>
      <w:tr w:rsidR="00B55EA7" w:rsidRPr="00C2587D" w14:paraId="434FB413" w14:textId="2AA420CD" w:rsidTr="0020110C">
        <w:trPr>
          <w:trHeight w:val="240"/>
          <w:jc w:val="right"/>
        </w:trPr>
        <w:tc>
          <w:tcPr>
            <w:tcW w:w="3425" w:type="dxa"/>
            <w:shd w:val="clear" w:color="auto" w:fill="FFFFFF"/>
            <w:vAlign w:val="center"/>
          </w:tcPr>
          <w:p w14:paraId="5785B01F" w14:textId="77777777" w:rsidR="00B55EA7" w:rsidRPr="00B55EA7" w:rsidRDefault="00B55EA7" w:rsidP="00B55EA7">
            <w:pPr>
              <w:rPr>
                <w:rFonts w:cs="Arial"/>
                <w:b/>
                <w:bCs/>
                <w:color w:val="000000"/>
                <w:szCs w:val="22"/>
              </w:rPr>
            </w:pPr>
            <w:r w:rsidRPr="00B55EA7">
              <w:rPr>
                <w:rFonts w:cs="Arial"/>
                <w:color w:val="000000"/>
                <w:szCs w:val="22"/>
              </w:rPr>
              <w:t>- державний бюджет</w:t>
            </w:r>
          </w:p>
        </w:tc>
        <w:tc>
          <w:tcPr>
            <w:tcW w:w="1280" w:type="dxa"/>
            <w:gridSpan w:val="2"/>
          </w:tcPr>
          <w:p w14:paraId="3EC26955" w14:textId="77777777" w:rsidR="00B55EA7" w:rsidRPr="00B55EA7" w:rsidRDefault="00B55EA7" w:rsidP="00B55EA7">
            <w:pPr>
              <w:jc w:val="center"/>
              <w:rPr>
                <w:rFonts w:cs="Arial"/>
                <w:color w:val="000000"/>
                <w:szCs w:val="22"/>
                <w:lang w:eastAsia="it-IT"/>
              </w:rPr>
            </w:pPr>
          </w:p>
        </w:tc>
        <w:tc>
          <w:tcPr>
            <w:tcW w:w="1430" w:type="dxa"/>
            <w:gridSpan w:val="2"/>
          </w:tcPr>
          <w:p w14:paraId="4EFABB49" w14:textId="77777777" w:rsidR="00B55EA7" w:rsidRPr="00B55EA7" w:rsidRDefault="00B55EA7" w:rsidP="00B55EA7">
            <w:pPr>
              <w:jc w:val="center"/>
              <w:rPr>
                <w:rFonts w:cs="Arial"/>
                <w:color w:val="000000"/>
                <w:szCs w:val="22"/>
                <w:lang w:eastAsia="it-IT"/>
              </w:rPr>
            </w:pPr>
          </w:p>
        </w:tc>
        <w:tc>
          <w:tcPr>
            <w:tcW w:w="1290" w:type="dxa"/>
            <w:gridSpan w:val="2"/>
          </w:tcPr>
          <w:p w14:paraId="597FE718" w14:textId="77777777" w:rsidR="00B55EA7" w:rsidRPr="00B55EA7" w:rsidRDefault="00B55EA7" w:rsidP="00B55EA7">
            <w:pPr>
              <w:jc w:val="center"/>
              <w:rPr>
                <w:rFonts w:cs="Arial"/>
                <w:color w:val="000000"/>
                <w:szCs w:val="22"/>
                <w:lang w:eastAsia="it-IT"/>
              </w:rPr>
            </w:pPr>
          </w:p>
        </w:tc>
        <w:tc>
          <w:tcPr>
            <w:tcW w:w="1310" w:type="dxa"/>
            <w:gridSpan w:val="2"/>
          </w:tcPr>
          <w:p w14:paraId="652406BE" w14:textId="77777777" w:rsidR="00B55EA7" w:rsidRPr="00B55EA7" w:rsidRDefault="00B55EA7" w:rsidP="00B55EA7">
            <w:pPr>
              <w:jc w:val="center"/>
              <w:rPr>
                <w:rFonts w:cs="Arial"/>
                <w:color w:val="000000"/>
                <w:szCs w:val="22"/>
                <w:lang w:eastAsia="it-IT"/>
              </w:rPr>
            </w:pPr>
          </w:p>
        </w:tc>
        <w:tc>
          <w:tcPr>
            <w:tcW w:w="1484" w:type="dxa"/>
          </w:tcPr>
          <w:p w14:paraId="758B2F03" w14:textId="77777777" w:rsidR="00B55EA7" w:rsidRPr="00B55EA7" w:rsidRDefault="00B55EA7" w:rsidP="00B55EA7">
            <w:pPr>
              <w:jc w:val="center"/>
              <w:rPr>
                <w:rFonts w:cs="Arial"/>
                <w:color w:val="000000"/>
                <w:szCs w:val="22"/>
                <w:lang w:eastAsia="it-IT"/>
              </w:rPr>
            </w:pPr>
          </w:p>
        </w:tc>
      </w:tr>
      <w:tr w:rsidR="00B55EA7" w:rsidRPr="00C2587D" w14:paraId="79A3B182" w14:textId="63CF8DB3" w:rsidTr="0020110C">
        <w:trPr>
          <w:trHeight w:val="254"/>
          <w:jc w:val="right"/>
        </w:trPr>
        <w:tc>
          <w:tcPr>
            <w:tcW w:w="3425" w:type="dxa"/>
            <w:shd w:val="clear" w:color="auto" w:fill="FFFFFF"/>
            <w:vAlign w:val="center"/>
          </w:tcPr>
          <w:p w14:paraId="63BC20B4" w14:textId="77777777" w:rsidR="00B55EA7" w:rsidRPr="00B55EA7" w:rsidRDefault="00B55EA7" w:rsidP="00B55EA7">
            <w:pPr>
              <w:rPr>
                <w:rFonts w:cs="Arial"/>
                <w:color w:val="000000"/>
                <w:szCs w:val="22"/>
              </w:rPr>
            </w:pPr>
            <w:r w:rsidRPr="00B55EA7">
              <w:rPr>
                <w:rFonts w:cs="Arial"/>
                <w:color w:val="000000"/>
                <w:szCs w:val="22"/>
              </w:rPr>
              <w:t>- обласний бюджет</w:t>
            </w:r>
          </w:p>
        </w:tc>
        <w:tc>
          <w:tcPr>
            <w:tcW w:w="1280" w:type="dxa"/>
            <w:gridSpan w:val="2"/>
          </w:tcPr>
          <w:p w14:paraId="433F977F" w14:textId="77777777" w:rsidR="00B55EA7" w:rsidRPr="00B55EA7" w:rsidRDefault="00B55EA7" w:rsidP="00B55EA7">
            <w:pPr>
              <w:jc w:val="center"/>
              <w:rPr>
                <w:rFonts w:cs="Arial"/>
                <w:color w:val="000000"/>
                <w:szCs w:val="22"/>
                <w:lang w:eastAsia="it-IT"/>
              </w:rPr>
            </w:pPr>
          </w:p>
        </w:tc>
        <w:tc>
          <w:tcPr>
            <w:tcW w:w="1430" w:type="dxa"/>
            <w:gridSpan w:val="2"/>
          </w:tcPr>
          <w:p w14:paraId="3CB9EDC7" w14:textId="77777777" w:rsidR="00B55EA7" w:rsidRPr="00B55EA7" w:rsidRDefault="00B55EA7" w:rsidP="00B55EA7">
            <w:pPr>
              <w:jc w:val="center"/>
              <w:rPr>
                <w:rFonts w:cs="Arial"/>
                <w:color w:val="000000"/>
                <w:szCs w:val="22"/>
                <w:lang w:eastAsia="it-IT"/>
              </w:rPr>
            </w:pPr>
          </w:p>
        </w:tc>
        <w:tc>
          <w:tcPr>
            <w:tcW w:w="1290" w:type="dxa"/>
            <w:gridSpan w:val="2"/>
          </w:tcPr>
          <w:p w14:paraId="65E0BABB" w14:textId="77777777" w:rsidR="00B55EA7" w:rsidRPr="00B55EA7" w:rsidRDefault="00B55EA7" w:rsidP="00B55EA7">
            <w:pPr>
              <w:jc w:val="center"/>
              <w:rPr>
                <w:rFonts w:cs="Arial"/>
                <w:color w:val="000000"/>
                <w:szCs w:val="22"/>
                <w:lang w:eastAsia="it-IT"/>
              </w:rPr>
            </w:pPr>
          </w:p>
        </w:tc>
        <w:tc>
          <w:tcPr>
            <w:tcW w:w="1310" w:type="dxa"/>
            <w:gridSpan w:val="2"/>
          </w:tcPr>
          <w:p w14:paraId="6A24661D" w14:textId="77777777" w:rsidR="00B55EA7" w:rsidRPr="00B55EA7" w:rsidRDefault="00B55EA7" w:rsidP="00B55EA7">
            <w:pPr>
              <w:jc w:val="center"/>
              <w:rPr>
                <w:rFonts w:cs="Arial"/>
                <w:color w:val="000000"/>
                <w:szCs w:val="22"/>
                <w:lang w:eastAsia="it-IT"/>
              </w:rPr>
            </w:pPr>
          </w:p>
        </w:tc>
        <w:tc>
          <w:tcPr>
            <w:tcW w:w="1484" w:type="dxa"/>
          </w:tcPr>
          <w:p w14:paraId="2C7C015E" w14:textId="77777777" w:rsidR="00B55EA7" w:rsidRPr="00B55EA7" w:rsidRDefault="00B55EA7" w:rsidP="00B55EA7">
            <w:pPr>
              <w:jc w:val="center"/>
              <w:rPr>
                <w:rFonts w:cs="Arial"/>
                <w:color w:val="000000"/>
                <w:szCs w:val="22"/>
                <w:lang w:eastAsia="it-IT"/>
              </w:rPr>
            </w:pPr>
          </w:p>
        </w:tc>
      </w:tr>
      <w:tr w:rsidR="00B55EA7" w:rsidRPr="00C2587D" w14:paraId="23782D55" w14:textId="3BEE20A7" w:rsidTr="0020110C">
        <w:trPr>
          <w:trHeight w:val="275"/>
          <w:jc w:val="right"/>
        </w:trPr>
        <w:tc>
          <w:tcPr>
            <w:tcW w:w="3425" w:type="dxa"/>
            <w:shd w:val="clear" w:color="auto" w:fill="FFFFFF"/>
            <w:vAlign w:val="center"/>
          </w:tcPr>
          <w:p w14:paraId="17DDC848" w14:textId="77777777" w:rsidR="00B55EA7" w:rsidRPr="00B55EA7" w:rsidRDefault="00B55EA7" w:rsidP="00B55EA7">
            <w:pPr>
              <w:rPr>
                <w:rFonts w:cs="Arial"/>
                <w:color w:val="000000"/>
                <w:szCs w:val="22"/>
              </w:rPr>
            </w:pPr>
            <w:r w:rsidRPr="00B55EA7">
              <w:rPr>
                <w:rFonts w:cs="Arial"/>
                <w:color w:val="000000"/>
                <w:szCs w:val="22"/>
              </w:rPr>
              <w:t>- бюджет Жмеринської МТГ</w:t>
            </w:r>
          </w:p>
        </w:tc>
        <w:tc>
          <w:tcPr>
            <w:tcW w:w="1280" w:type="dxa"/>
            <w:gridSpan w:val="2"/>
          </w:tcPr>
          <w:p w14:paraId="325935F8" w14:textId="3621C6DA" w:rsidR="00B55EA7" w:rsidRPr="00B55EA7" w:rsidRDefault="00B55EA7" w:rsidP="00B55EA7">
            <w:pPr>
              <w:jc w:val="center"/>
              <w:rPr>
                <w:rFonts w:cs="Arial"/>
                <w:color w:val="000000"/>
                <w:szCs w:val="22"/>
                <w:lang w:eastAsia="it-IT"/>
              </w:rPr>
            </w:pPr>
          </w:p>
        </w:tc>
        <w:tc>
          <w:tcPr>
            <w:tcW w:w="1430" w:type="dxa"/>
            <w:gridSpan w:val="2"/>
          </w:tcPr>
          <w:p w14:paraId="629008BF" w14:textId="48D660FA" w:rsidR="00B55EA7" w:rsidRPr="00B55EA7" w:rsidRDefault="00B55EA7" w:rsidP="00B55EA7">
            <w:pPr>
              <w:jc w:val="center"/>
              <w:rPr>
                <w:rFonts w:cs="Arial"/>
                <w:color w:val="000000"/>
                <w:szCs w:val="22"/>
                <w:lang w:eastAsia="it-IT"/>
              </w:rPr>
            </w:pPr>
            <w:r w:rsidRPr="00B55EA7">
              <w:rPr>
                <w:rFonts w:cs="Arial"/>
                <w:color w:val="000000"/>
                <w:szCs w:val="22"/>
                <w:lang w:eastAsia="it-IT"/>
              </w:rPr>
              <w:t>5827,930</w:t>
            </w:r>
          </w:p>
        </w:tc>
        <w:tc>
          <w:tcPr>
            <w:tcW w:w="1290" w:type="dxa"/>
            <w:gridSpan w:val="2"/>
          </w:tcPr>
          <w:p w14:paraId="6B330B50" w14:textId="77777777" w:rsidR="00B55EA7" w:rsidRPr="00B55EA7" w:rsidRDefault="00B55EA7" w:rsidP="00B55EA7">
            <w:pPr>
              <w:jc w:val="center"/>
              <w:rPr>
                <w:rFonts w:cs="Arial"/>
                <w:color w:val="000000"/>
                <w:szCs w:val="22"/>
                <w:lang w:eastAsia="it-IT"/>
              </w:rPr>
            </w:pPr>
          </w:p>
        </w:tc>
        <w:tc>
          <w:tcPr>
            <w:tcW w:w="1310" w:type="dxa"/>
            <w:gridSpan w:val="2"/>
          </w:tcPr>
          <w:p w14:paraId="50243F9E" w14:textId="77777777" w:rsidR="00B55EA7" w:rsidRPr="00B55EA7" w:rsidRDefault="00B55EA7" w:rsidP="00B55EA7">
            <w:pPr>
              <w:jc w:val="center"/>
              <w:rPr>
                <w:rFonts w:cs="Arial"/>
                <w:color w:val="000000"/>
                <w:szCs w:val="22"/>
                <w:lang w:eastAsia="it-IT"/>
              </w:rPr>
            </w:pPr>
          </w:p>
        </w:tc>
        <w:tc>
          <w:tcPr>
            <w:tcW w:w="1484" w:type="dxa"/>
          </w:tcPr>
          <w:p w14:paraId="39676C0D" w14:textId="46E6209F" w:rsidR="00B55EA7" w:rsidRPr="00B55EA7" w:rsidRDefault="00B55EA7" w:rsidP="00B55EA7">
            <w:pPr>
              <w:jc w:val="center"/>
              <w:rPr>
                <w:rFonts w:cs="Arial"/>
                <w:b/>
                <w:color w:val="000000"/>
                <w:szCs w:val="22"/>
                <w:lang w:eastAsia="it-IT"/>
              </w:rPr>
            </w:pPr>
            <w:r w:rsidRPr="00B55EA7">
              <w:rPr>
                <w:rFonts w:cs="Arial"/>
                <w:b/>
                <w:color w:val="000000"/>
                <w:szCs w:val="22"/>
                <w:lang w:eastAsia="it-IT"/>
              </w:rPr>
              <w:t>5827,930</w:t>
            </w:r>
          </w:p>
        </w:tc>
      </w:tr>
      <w:tr w:rsidR="00B55EA7" w:rsidRPr="00C2587D" w14:paraId="73779C65" w14:textId="235A44BB" w:rsidTr="0020110C">
        <w:trPr>
          <w:trHeight w:val="226"/>
          <w:jc w:val="right"/>
        </w:trPr>
        <w:tc>
          <w:tcPr>
            <w:tcW w:w="3425" w:type="dxa"/>
            <w:shd w:val="clear" w:color="auto" w:fill="FFFFFF"/>
            <w:vAlign w:val="center"/>
          </w:tcPr>
          <w:p w14:paraId="546FDF3C" w14:textId="77777777" w:rsidR="00B55EA7" w:rsidRPr="00B55EA7" w:rsidRDefault="00B55EA7" w:rsidP="00B55EA7">
            <w:pPr>
              <w:rPr>
                <w:rFonts w:cs="Arial"/>
                <w:color w:val="000000"/>
                <w:szCs w:val="22"/>
              </w:rPr>
            </w:pPr>
            <w:r w:rsidRPr="00B55EA7">
              <w:rPr>
                <w:rFonts w:cs="Arial"/>
                <w:color w:val="000000"/>
                <w:szCs w:val="22"/>
              </w:rPr>
              <w:t>- інші джерела фінансування</w:t>
            </w:r>
          </w:p>
        </w:tc>
        <w:tc>
          <w:tcPr>
            <w:tcW w:w="1280" w:type="dxa"/>
            <w:gridSpan w:val="2"/>
          </w:tcPr>
          <w:p w14:paraId="62D3D3F7" w14:textId="77777777" w:rsidR="00B55EA7" w:rsidRPr="00B55EA7" w:rsidRDefault="00B55EA7" w:rsidP="00B55EA7">
            <w:pPr>
              <w:jc w:val="center"/>
              <w:rPr>
                <w:rFonts w:cs="Arial"/>
                <w:color w:val="000000"/>
                <w:szCs w:val="22"/>
                <w:lang w:eastAsia="it-IT"/>
              </w:rPr>
            </w:pPr>
          </w:p>
        </w:tc>
        <w:tc>
          <w:tcPr>
            <w:tcW w:w="1430" w:type="dxa"/>
            <w:gridSpan w:val="2"/>
          </w:tcPr>
          <w:p w14:paraId="7584B998" w14:textId="77777777" w:rsidR="00B55EA7" w:rsidRPr="00B55EA7" w:rsidRDefault="00B55EA7" w:rsidP="00B55EA7">
            <w:pPr>
              <w:jc w:val="center"/>
              <w:rPr>
                <w:rFonts w:cs="Arial"/>
                <w:color w:val="000000"/>
                <w:szCs w:val="22"/>
                <w:lang w:eastAsia="it-IT"/>
              </w:rPr>
            </w:pPr>
          </w:p>
        </w:tc>
        <w:tc>
          <w:tcPr>
            <w:tcW w:w="1290" w:type="dxa"/>
            <w:gridSpan w:val="2"/>
          </w:tcPr>
          <w:p w14:paraId="6029471D" w14:textId="77777777" w:rsidR="00B55EA7" w:rsidRPr="00B55EA7" w:rsidRDefault="00B55EA7" w:rsidP="00B55EA7">
            <w:pPr>
              <w:jc w:val="center"/>
              <w:rPr>
                <w:rFonts w:cs="Arial"/>
                <w:color w:val="000000"/>
                <w:szCs w:val="22"/>
                <w:lang w:eastAsia="it-IT"/>
              </w:rPr>
            </w:pPr>
          </w:p>
        </w:tc>
        <w:tc>
          <w:tcPr>
            <w:tcW w:w="1310" w:type="dxa"/>
            <w:gridSpan w:val="2"/>
          </w:tcPr>
          <w:p w14:paraId="30A8E310" w14:textId="77777777" w:rsidR="00B55EA7" w:rsidRPr="00B55EA7" w:rsidRDefault="00B55EA7" w:rsidP="00B55EA7">
            <w:pPr>
              <w:jc w:val="center"/>
              <w:rPr>
                <w:rFonts w:cs="Arial"/>
                <w:color w:val="000000"/>
                <w:szCs w:val="22"/>
                <w:lang w:eastAsia="it-IT"/>
              </w:rPr>
            </w:pPr>
          </w:p>
        </w:tc>
        <w:tc>
          <w:tcPr>
            <w:tcW w:w="1484" w:type="dxa"/>
          </w:tcPr>
          <w:p w14:paraId="590B7DE5" w14:textId="77777777" w:rsidR="00B55EA7" w:rsidRPr="00B55EA7" w:rsidRDefault="00B55EA7" w:rsidP="00B55EA7">
            <w:pPr>
              <w:jc w:val="center"/>
              <w:rPr>
                <w:rFonts w:cs="Arial"/>
                <w:color w:val="000000"/>
                <w:szCs w:val="22"/>
                <w:lang w:eastAsia="it-IT"/>
              </w:rPr>
            </w:pPr>
          </w:p>
        </w:tc>
      </w:tr>
      <w:tr w:rsidR="00CB33C7" w:rsidRPr="00C2587D" w14:paraId="24A5C429" w14:textId="77777777" w:rsidTr="0020110C">
        <w:trPr>
          <w:jc w:val="right"/>
        </w:trPr>
        <w:tc>
          <w:tcPr>
            <w:tcW w:w="3425" w:type="dxa"/>
            <w:shd w:val="clear" w:color="auto" w:fill="FFFFFF"/>
            <w:vAlign w:val="center"/>
          </w:tcPr>
          <w:p w14:paraId="4EB7BD96" w14:textId="77777777" w:rsidR="00CB33C7" w:rsidRPr="00B55EA7" w:rsidRDefault="00CB33C7" w:rsidP="00B55EA7">
            <w:pPr>
              <w:rPr>
                <w:rFonts w:cs="Arial"/>
                <w:b/>
                <w:bCs/>
                <w:color w:val="000000"/>
                <w:szCs w:val="22"/>
              </w:rPr>
            </w:pPr>
            <w:r w:rsidRPr="00B55EA7">
              <w:rPr>
                <w:rFonts w:cs="Arial"/>
                <w:b/>
                <w:color w:val="000000"/>
                <w:szCs w:val="22"/>
              </w:rPr>
              <w:t>Відповідальний виконавець проєкту:</w:t>
            </w:r>
          </w:p>
        </w:tc>
        <w:tc>
          <w:tcPr>
            <w:tcW w:w="6794" w:type="dxa"/>
            <w:gridSpan w:val="9"/>
            <w:vAlign w:val="center"/>
          </w:tcPr>
          <w:p w14:paraId="4249CF62" w14:textId="5E5BE06A" w:rsidR="00CB33C7" w:rsidRPr="00B55EA7" w:rsidRDefault="00CB33C7" w:rsidP="00B55EA7">
            <w:pPr>
              <w:jc w:val="both"/>
              <w:rPr>
                <w:rFonts w:cs="Arial"/>
                <w:color w:val="000000"/>
                <w:szCs w:val="22"/>
                <w:lang w:eastAsia="it-IT"/>
              </w:rPr>
            </w:pPr>
            <w:r w:rsidRPr="00B55EA7">
              <w:rPr>
                <w:rFonts w:cs="Arial"/>
                <w:color w:val="000000"/>
                <w:szCs w:val="22"/>
                <w:lang w:eastAsia="it-IT"/>
              </w:rPr>
              <w:t>Управління ЖКГ.</w:t>
            </w:r>
          </w:p>
        </w:tc>
      </w:tr>
      <w:tr w:rsidR="00CB33C7" w:rsidRPr="00C2587D" w14:paraId="43CB44F5" w14:textId="77777777" w:rsidTr="0020110C">
        <w:trPr>
          <w:jc w:val="right"/>
        </w:trPr>
        <w:tc>
          <w:tcPr>
            <w:tcW w:w="3425" w:type="dxa"/>
            <w:shd w:val="clear" w:color="auto" w:fill="FFFFFF"/>
            <w:vAlign w:val="center"/>
          </w:tcPr>
          <w:p w14:paraId="06631F68" w14:textId="77777777" w:rsidR="00CB33C7" w:rsidRPr="00B55EA7" w:rsidRDefault="00CB33C7" w:rsidP="00B55EA7">
            <w:pPr>
              <w:rPr>
                <w:rFonts w:cs="Arial"/>
                <w:b/>
                <w:bCs/>
                <w:color w:val="000000"/>
                <w:szCs w:val="22"/>
              </w:rPr>
            </w:pPr>
            <w:r w:rsidRPr="00B55EA7">
              <w:rPr>
                <w:rFonts w:cs="Arial"/>
                <w:b/>
                <w:bCs/>
                <w:color w:val="000000"/>
                <w:szCs w:val="22"/>
              </w:rPr>
              <w:t>Інше:</w:t>
            </w:r>
          </w:p>
        </w:tc>
        <w:tc>
          <w:tcPr>
            <w:tcW w:w="6794" w:type="dxa"/>
            <w:gridSpan w:val="9"/>
            <w:vAlign w:val="center"/>
          </w:tcPr>
          <w:p w14:paraId="23B88956" w14:textId="77777777" w:rsidR="00CB33C7" w:rsidRPr="00B55EA7" w:rsidRDefault="00CB33C7" w:rsidP="00B55EA7">
            <w:pPr>
              <w:rPr>
                <w:rFonts w:cs="Arial"/>
                <w:color w:val="000000"/>
                <w:szCs w:val="22"/>
                <w:lang w:eastAsia="it-IT"/>
              </w:rPr>
            </w:pPr>
          </w:p>
          <w:p w14:paraId="797976B0" w14:textId="77777777" w:rsidR="00CB33C7" w:rsidRPr="00B55EA7" w:rsidRDefault="00CB33C7" w:rsidP="00B55EA7">
            <w:pPr>
              <w:rPr>
                <w:rFonts w:cs="Arial"/>
                <w:color w:val="000000"/>
                <w:szCs w:val="22"/>
                <w:lang w:eastAsia="it-IT"/>
              </w:rPr>
            </w:pPr>
          </w:p>
        </w:tc>
      </w:tr>
    </w:tbl>
    <w:p w14:paraId="370A2DA1" w14:textId="77777777" w:rsidR="00CB33C7" w:rsidRPr="00C2587D" w:rsidRDefault="00CB33C7" w:rsidP="00CB33C7"/>
    <w:p w14:paraId="1C855AAC" w14:textId="77777777" w:rsidR="00CB33C7" w:rsidRPr="00C2587D" w:rsidRDefault="00CB33C7" w:rsidP="00CB33C7"/>
    <w:p w14:paraId="42F44284" w14:textId="77777777" w:rsidR="00CB33C7" w:rsidRPr="00C2587D" w:rsidRDefault="00CB33C7" w:rsidP="00CB33C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2FA8871D" w14:textId="77777777" w:rsidR="00CB33C7" w:rsidRPr="00C2587D" w:rsidRDefault="00CB33C7" w:rsidP="00CB33C7">
      <w:pPr>
        <w:jc w:val="center"/>
        <w:rPr>
          <w:rFonts w:cs="Arial"/>
          <w:b/>
          <w:color w:val="000000"/>
          <w:szCs w:val="22"/>
        </w:rPr>
      </w:pPr>
      <w:r w:rsidRPr="00C2587D">
        <w:rPr>
          <w:rFonts w:cs="Arial"/>
          <w:b/>
          <w:color w:val="000000"/>
          <w:szCs w:val="22"/>
        </w:rPr>
        <w:t>до Плану заходів з реалізації Стратегії</w:t>
      </w:r>
    </w:p>
    <w:p w14:paraId="6F54301C" w14:textId="77777777" w:rsidR="00CB33C7" w:rsidRPr="00C2587D" w:rsidRDefault="00CB33C7" w:rsidP="00CB33C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3"/>
        <w:gridCol w:w="1240"/>
        <w:gridCol w:w="14"/>
        <w:gridCol w:w="1415"/>
        <w:gridCol w:w="1281"/>
        <w:gridCol w:w="29"/>
        <w:gridCol w:w="1247"/>
        <w:gridCol w:w="13"/>
        <w:gridCol w:w="1557"/>
      </w:tblGrid>
      <w:tr w:rsidR="00CB33C7" w:rsidRPr="00B55EA7" w14:paraId="2124DA75" w14:textId="77777777" w:rsidTr="0020110C">
        <w:trPr>
          <w:jc w:val="right"/>
        </w:trPr>
        <w:tc>
          <w:tcPr>
            <w:tcW w:w="3423" w:type="dxa"/>
            <w:vAlign w:val="center"/>
          </w:tcPr>
          <w:p w14:paraId="0BC69471" w14:textId="77777777" w:rsidR="00CB33C7" w:rsidRPr="00B55EA7" w:rsidRDefault="00CB33C7" w:rsidP="0020110C">
            <w:pPr>
              <w:rPr>
                <w:rFonts w:cs="Arial"/>
                <w:b/>
                <w:bCs/>
                <w:color w:val="000000"/>
                <w:szCs w:val="22"/>
              </w:rPr>
            </w:pPr>
            <w:r w:rsidRPr="00B55EA7">
              <w:rPr>
                <w:rFonts w:cs="Arial"/>
                <w:b/>
                <w:bCs/>
                <w:color w:val="000000"/>
                <w:szCs w:val="22"/>
              </w:rPr>
              <w:t>Назва проєкту:</w:t>
            </w:r>
          </w:p>
        </w:tc>
        <w:tc>
          <w:tcPr>
            <w:tcW w:w="6796" w:type="dxa"/>
            <w:gridSpan w:val="8"/>
          </w:tcPr>
          <w:p w14:paraId="5C3966AD" w14:textId="7EF05A47" w:rsidR="00CB33C7" w:rsidRPr="00B55EA7" w:rsidRDefault="00CB33C7" w:rsidP="0020110C">
            <w:pPr>
              <w:jc w:val="both"/>
              <w:rPr>
                <w:rFonts w:cs="Arial"/>
                <w:b/>
                <w:szCs w:val="22"/>
                <w:lang w:eastAsia="it-IT"/>
              </w:rPr>
            </w:pPr>
            <w:r w:rsidRPr="00B55EA7">
              <w:rPr>
                <w:rFonts w:cs="Arial"/>
                <w:b/>
                <w:bCs/>
                <w:spacing w:val="-5"/>
                <w:szCs w:val="22"/>
              </w:rPr>
              <w:t xml:space="preserve">Капітальний ремонт тротуару по вул. Київська (від "АЗС ОККО" до вул. </w:t>
            </w:r>
            <w:r w:rsidR="00B55EA7" w:rsidRPr="00B55EA7">
              <w:rPr>
                <w:rFonts w:cs="Arial"/>
                <w:b/>
                <w:bCs/>
                <w:spacing w:val="-5"/>
                <w:szCs w:val="22"/>
              </w:rPr>
              <w:t>Гришина</w:t>
            </w:r>
            <w:r w:rsidRPr="00B55EA7">
              <w:rPr>
                <w:rFonts w:cs="Arial"/>
                <w:b/>
                <w:bCs/>
                <w:spacing w:val="-5"/>
                <w:szCs w:val="22"/>
              </w:rPr>
              <w:t>) в м. Жмеринка Вінницької області</w:t>
            </w:r>
          </w:p>
        </w:tc>
      </w:tr>
      <w:tr w:rsidR="00CB33C7" w:rsidRPr="00B55EA7" w14:paraId="6D5989CC" w14:textId="77777777" w:rsidTr="0020110C">
        <w:trPr>
          <w:jc w:val="right"/>
        </w:trPr>
        <w:tc>
          <w:tcPr>
            <w:tcW w:w="3423" w:type="dxa"/>
          </w:tcPr>
          <w:p w14:paraId="1DDD8BA7" w14:textId="77777777" w:rsidR="00CB33C7" w:rsidRPr="00B55EA7" w:rsidRDefault="00CB33C7" w:rsidP="0020110C">
            <w:pPr>
              <w:rPr>
                <w:rFonts w:cs="Arial"/>
                <w:szCs w:val="22"/>
                <w:lang w:eastAsia="it-IT"/>
              </w:rPr>
            </w:pPr>
            <w:r w:rsidRPr="00B55EA7">
              <w:rPr>
                <w:rFonts w:cs="Arial"/>
                <w:b/>
                <w:bCs/>
                <w:szCs w:val="22"/>
              </w:rPr>
              <w:t>Ваші контакти</w:t>
            </w:r>
            <w:r w:rsidRPr="00B55EA7">
              <w:rPr>
                <w:rFonts w:cs="Arial"/>
                <w:szCs w:val="22"/>
                <w:lang w:eastAsia="it-IT"/>
              </w:rPr>
              <w:t>:</w:t>
            </w:r>
          </w:p>
          <w:p w14:paraId="574354A4" w14:textId="77777777" w:rsidR="00CB33C7" w:rsidRPr="00B55EA7" w:rsidRDefault="00CB33C7" w:rsidP="0020110C">
            <w:pPr>
              <w:rPr>
                <w:rFonts w:cs="Arial"/>
                <w:b/>
                <w:bCs/>
                <w:szCs w:val="22"/>
              </w:rPr>
            </w:pPr>
            <w:r w:rsidRPr="00B55EA7">
              <w:rPr>
                <w:rFonts w:cs="Arial"/>
                <w:szCs w:val="22"/>
                <w:lang w:eastAsia="it-IT"/>
              </w:rPr>
              <w:t>Назва установи, організації, підприємства</w:t>
            </w:r>
          </w:p>
        </w:tc>
        <w:tc>
          <w:tcPr>
            <w:tcW w:w="6796" w:type="dxa"/>
            <w:gridSpan w:val="8"/>
          </w:tcPr>
          <w:p w14:paraId="4D1302A6" w14:textId="77777777" w:rsidR="00CB33C7" w:rsidRPr="00B55EA7" w:rsidRDefault="00CB33C7" w:rsidP="0020110C">
            <w:pPr>
              <w:rPr>
                <w:rFonts w:cs="Arial"/>
                <w:szCs w:val="22"/>
                <w:lang w:eastAsia="it-IT"/>
              </w:rPr>
            </w:pPr>
            <w:r w:rsidRPr="00B55EA7">
              <w:rPr>
                <w:rFonts w:cs="Arial"/>
                <w:szCs w:val="22"/>
                <w:lang w:eastAsia="it-IT"/>
              </w:rPr>
              <w:t>Управління житлово-комунального господарства Жмеринської міської ради</w:t>
            </w:r>
          </w:p>
        </w:tc>
      </w:tr>
      <w:tr w:rsidR="00CB33C7" w:rsidRPr="00B55EA7" w14:paraId="0B51D2CC" w14:textId="77777777" w:rsidTr="0020110C">
        <w:trPr>
          <w:jc w:val="right"/>
        </w:trPr>
        <w:tc>
          <w:tcPr>
            <w:tcW w:w="3423" w:type="dxa"/>
          </w:tcPr>
          <w:p w14:paraId="1F083BBE" w14:textId="77777777" w:rsidR="00CB33C7" w:rsidRPr="00B55EA7" w:rsidRDefault="00CB33C7" w:rsidP="0020110C">
            <w:pPr>
              <w:rPr>
                <w:rFonts w:cs="Arial"/>
                <w:b/>
                <w:bCs/>
                <w:szCs w:val="22"/>
              </w:rPr>
            </w:pPr>
            <w:r w:rsidRPr="00B55EA7">
              <w:rPr>
                <w:rFonts w:cs="Arial"/>
                <w:szCs w:val="22"/>
                <w:lang w:eastAsia="it-IT"/>
              </w:rPr>
              <w:t>Прізвище Ім’я По-батькові:</w:t>
            </w:r>
          </w:p>
        </w:tc>
        <w:tc>
          <w:tcPr>
            <w:tcW w:w="6796" w:type="dxa"/>
            <w:gridSpan w:val="8"/>
          </w:tcPr>
          <w:p w14:paraId="19E89967" w14:textId="77777777" w:rsidR="00CB33C7" w:rsidRPr="00B55EA7" w:rsidRDefault="00CB33C7" w:rsidP="0020110C">
            <w:pPr>
              <w:rPr>
                <w:rFonts w:cs="Arial"/>
                <w:szCs w:val="22"/>
                <w:lang w:eastAsia="it-IT"/>
              </w:rPr>
            </w:pPr>
            <w:r w:rsidRPr="00B55EA7">
              <w:rPr>
                <w:rFonts w:cs="Arial"/>
                <w:szCs w:val="22"/>
                <w:lang w:eastAsia="it-IT"/>
              </w:rPr>
              <w:t>Оленич Андрій Васильович</w:t>
            </w:r>
          </w:p>
        </w:tc>
      </w:tr>
      <w:tr w:rsidR="00CB33C7" w:rsidRPr="00B55EA7" w14:paraId="543433DD" w14:textId="77777777" w:rsidTr="0020110C">
        <w:trPr>
          <w:jc w:val="right"/>
        </w:trPr>
        <w:tc>
          <w:tcPr>
            <w:tcW w:w="3423" w:type="dxa"/>
          </w:tcPr>
          <w:p w14:paraId="5D108F6F" w14:textId="77777777" w:rsidR="00CB33C7" w:rsidRPr="00B55EA7" w:rsidRDefault="00CB33C7" w:rsidP="0020110C">
            <w:pPr>
              <w:rPr>
                <w:rFonts w:cs="Arial"/>
                <w:b/>
                <w:bCs/>
                <w:szCs w:val="22"/>
              </w:rPr>
            </w:pPr>
            <w:r w:rsidRPr="00B55EA7">
              <w:rPr>
                <w:rFonts w:cs="Arial"/>
                <w:szCs w:val="22"/>
                <w:lang w:eastAsia="it-IT"/>
              </w:rPr>
              <w:t>Телефон (мобільний):</w:t>
            </w:r>
          </w:p>
        </w:tc>
        <w:tc>
          <w:tcPr>
            <w:tcW w:w="6796" w:type="dxa"/>
            <w:gridSpan w:val="8"/>
          </w:tcPr>
          <w:p w14:paraId="5F5B7F6C" w14:textId="77777777" w:rsidR="00CB33C7" w:rsidRPr="00B55EA7" w:rsidRDefault="00CB33C7" w:rsidP="0020110C">
            <w:pPr>
              <w:rPr>
                <w:rFonts w:cs="Arial"/>
                <w:szCs w:val="22"/>
                <w:lang w:eastAsia="it-IT"/>
              </w:rPr>
            </w:pPr>
            <w:r w:rsidRPr="00B55EA7">
              <w:rPr>
                <w:rFonts w:cs="Arial"/>
                <w:szCs w:val="22"/>
                <w:lang w:eastAsia="it-IT"/>
              </w:rPr>
              <w:t>0972561907</w:t>
            </w:r>
          </w:p>
        </w:tc>
      </w:tr>
      <w:tr w:rsidR="00CB33C7" w:rsidRPr="00B55EA7" w14:paraId="4C4A8522" w14:textId="77777777" w:rsidTr="0020110C">
        <w:trPr>
          <w:jc w:val="right"/>
        </w:trPr>
        <w:tc>
          <w:tcPr>
            <w:tcW w:w="3423" w:type="dxa"/>
          </w:tcPr>
          <w:p w14:paraId="71B6991F" w14:textId="77777777" w:rsidR="00CB33C7" w:rsidRPr="00B55EA7" w:rsidRDefault="00CB33C7" w:rsidP="0020110C">
            <w:pPr>
              <w:rPr>
                <w:rFonts w:cs="Arial"/>
                <w:b/>
                <w:bCs/>
                <w:szCs w:val="22"/>
              </w:rPr>
            </w:pPr>
            <w:r w:rsidRPr="00B55EA7">
              <w:rPr>
                <w:rFonts w:cs="Arial"/>
                <w:szCs w:val="22"/>
                <w:lang w:eastAsia="it-IT"/>
              </w:rPr>
              <w:t>Електронна адреса:</w:t>
            </w:r>
          </w:p>
        </w:tc>
        <w:tc>
          <w:tcPr>
            <w:tcW w:w="6796" w:type="dxa"/>
            <w:gridSpan w:val="8"/>
          </w:tcPr>
          <w:p w14:paraId="051D336D" w14:textId="77777777" w:rsidR="00CB33C7" w:rsidRPr="00B55EA7" w:rsidRDefault="00D85FFD" w:rsidP="0020110C">
            <w:pPr>
              <w:rPr>
                <w:rFonts w:cs="Arial"/>
                <w:szCs w:val="22"/>
                <w:lang w:eastAsia="it-IT"/>
              </w:rPr>
            </w:pPr>
            <w:hyperlink r:id="rId61" w:history="1">
              <w:r w:rsidR="00CB33C7" w:rsidRPr="00B55EA7">
                <w:rPr>
                  <w:rStyle w:val="af0"/>
                  <w:rFonts w:cs="Arial"/>
                  <w:noProof w:val="0"/>
                  <w:sz w:val="22"/>
                  <w:szCs w:val="22"/>
                  <w:lang w:eastAsia="it-IT"/>
                </w:rPr>
                <w:t>Aolenych03@ukr.net</w:t>
              </w:r>
            </w:hyperlink>
          </w:p>
        </w:tc>
      </w:tr>
      <w:tr w:rsidR="00CB33C7" w:rsidRPr="00B55EA7" w14:paraId="5654265E" w14:textId="77777777" w:rsidTr="0020110C">
        <w:trPr>
          <w:jc w:val="right"/>
        </w:trPr>
        <w:tc>
          <w:tcPr>
            <w:tcW w:w="3423" w:type="dxa"/>
            <w:vAlign w:val="center"/>
          </w:tcPr>
          <w:p w14:paraId="61E24D74" w14:textId="77777777" w:rsidR="00CB33C7" w:rsidRPr="00B55EA7" w:rsidRDefault="00CB33C7" w:rsidP="0020110C">
            <w:pPr>
              <w:pStyle w:val="6"/>
              <w:spacing w:before="0" w:after="0"/>
              <w:rPr>
                <w:rFonts w:ascii="Arial" w:hAnsi="Arial" w:cs="Arial"/>
                <w:color w:val="000000"/>
                <w:lang w:val="uk-UA"/>
              </w:rPr>
            </w:pPr>
            <w:r w:rsidRPr="00B55EA7">
              <w:rPr>
                <w:rFonts w:ascii="Arial" w:hAnsi="Arial" w:cs="Arial"/>
                <w:color w:val="000000"/>
                <w:lang w:val="uk-UA"/>
              </w:rPr>
              <w:t>Номер і назва завдання з Стратегії</w:t>
            </w:r>
            <w:r w:rsidRPr="00B55EA7">
              <w:rPr>
                <w:rFonts w:ascii="Arial" w:hAnsi="Arial" w:cs="Arial"/>
                <w:lang w:val="uk-UA" w:eastAsia="it-IT"/>
              </w:rPr>
              <w:t xml:space="preserve"> </w:t>
            </w:r>
            <w:r w:rsidRPr="00B55EA7">
              <w:rPr>
                <w:rFonts w:ascii="Arial" w:hAnsi="Arial" w:cs="Arial"/>
                <w:color w:val="000000"/>
                <w:lang w:val="uk-UA"/>
              </w:rPr>
              <w:t xml:space="preserve">розвитку Жмеринської міської </w:t>
            </w:r>
          </w:p>
        </w:tc>
        <w:tc>
          <w:tcPr>
            <w:tcW w:w="6796" w:type="dxa"/>
            <w:gridSpan w:val="8"/>
            <w:vAlign w:val="center"/>
          </w:tcPr>
          <w:p w14:paraId="41C24EC1" w14:textId="77777777" w:rsidR="00CB33C7" w:rsidRPr="00B55EA7" w:rsidRDefault="00CB33C7" w:rsidP="0020110C">
            <w:pPr>
              <w:suppressAutoHyphens/>
              <w:jc w:val="both"/>
              <w:rPr>
                <w:rFonts w:eastAsia="Lucida Sans Unicode" w:cs="Arial"/>
                <w:kern w:val="1"/>
                <w:szCs w:val="22"/>
                <w:lang w:eastAsia="ar-SA"/>
              </w:rPr>
            </w:pPr>
            <w:r w:rsidRPr="00B55EA7">
              <w:rPr>
                <w:rFonts w:eastAsia="Lucida Sans Unicode" w:cs="Arial"/>
                <w:kern w:val="1"/>
                <w:szCs w:val="22"/>
                <w:lang w:eastAsia="ar-SA"/>
              </w:rPr>
              <w:t>В.1.1.3. Проведення будівництва, реконструкції та капітального ремонту дорожнього покриття вулиць  та тротуарів в населених пунктах територіальної громади.</w:t>
            </w:r>
          </w:p>
        </w:tc>
      </w:tr>
      <w:tr w:rsidR="00CB33C7" w:rsidRPr="00B55EA7" w14:paraId="64133D31" w14:textId="77777777" w:rsidTr="0020110C">
        <w:trPr>
          <w:jc w:val="right"/>
        </w:trPr>
        <w:tc>
          <w:tcPr>
            <w:tcW w:w="3423" w:type="dxa"/>
            <w:vAlign w:val="center"/>
          </w:tcPr>
          <w:p w14:paraId="7550BF55" w14:textId="77777777" w:rsidR="00CB33C7" w:rsidRPr="00B55EA7" w:rsidRDefault="00CB33C7" w:rsidP="0020110C">
            <w:pPr>
              <w:rPr>
                <w:rFonts w:cs="Arial"/>
                <w:b/>
                <w:bCs/>
                <w:color w:val="000000"/>
                <w:szCs w:val="22"/>
              </w:rPr>
            </w:pPr>
            <w:r w:rsidRPr="00B55EA7">
              <w:rPr>
                <w:rFonts w:cs="Arial"/>
                <w:b/>
                <w:bCs/>
                <w:color w:val="000000"/>
                <w:szCs w:val="22"/>
              </w:rPr>
              <w:t>Мета проєкту:</w:t>
            </w:r>
          </w:p>
        </w:tc>
        <w:tc>
          <w:tcPr>
            <w:tcW w:w="6796" w:type="dxa"/>
            <w:gridSpan w:val="8"/>
          </w:tcPr>
          <w:p w14:paraId="35C92241" w14:textId="77777777" w:rsidR="00CB33C7" w:rsidRPr="00B55EA7" w:rsidRDefault="00CB33C7" w:rsidP="0020110C">
            <w:pPr>
              <w:jc w:val="both"/>
              <w:rPr>
                <w:rFonts w:cs="Arial"/>
                <w:szCs w:val="22"/>
                <w:lang w:eastAsia="it-IT"/>
              </w:rPr>
            </w:pPr>
            <w:r w:rsidRPr="00B55EA7">
              <w:rPr>
                <w:rFonts w:cs="Arial"/>
                <w:szCs w:val="22"/>
                <w:lang w:eastAsia="it-IT"/>
              </w:rPr>
              <w:t>Забезпечення  населення громади м. Жмеринка якісною інфраструктурою, а саме тротуарами з рівним покриттям.</w:t>
            </w:r>
          </w:p>
          <w:p w14:paraId="0033F38E" w14:textId="77777777" w:rsidR="00CB33C7" w:rsidRPr="00B55EA7" w:rsidRDefault="00CB33C7" w:rsidP="0020110C">
            <w:pPr>
              <w:rPr>
                <w:rFonts w:cs="Arial"/>
                <w:szCs w:val="22"/>
                <w:lang w:eastAsia="it-IT"/>
              </w:rPr>
            </w:pPr>
            <w:r w:rsidRPr="00B55EA7">
              <w:rPr>
                <w:rFonts w:cs="Arial"/>
                <w:szCs w:val="22"/>
                <w:lang w:eastAsia="it-IT"/>
              </w:rPr>
              <w:t>Мешканці громади отримують більш комфортні   та безпечні умови проживання та перебування в населеному пункті.</w:t>
            </w:r>
          </w:p>
        </w:tc>
      </w:tr>
      <w:tr w:rsidR="00CB33C7" w:rsidRPr="00B55EA7" w14:paraId="35218FE7" w14:textId="77777777" w:rsidTr="0020110C">
        <w:trPr>
          <w:jc w:val="right"/>
        </w:trPr>
        <w:tc>
          <w:tcPr>
            <w:tcW w:w="3423" w:type="dxa"/>
            <w:vAlign w:val="center"/>
          </w:tcPr>
          <w:p w14:paraId="511F59E4" w14:textId="77777777" w:rsidR="00CB33C7" w:rsidRPr="00B55EA7" w:rsidRDefault="00CB33C7" w:rsidP="0020110C">
            <w:pPr>
              <w:rPr>
                <w:rFonts w:cs="Arial"/>
                <w:b/>
                <w:bCs/>
                <w:color w:val="000000"/>
                <w:szCs w:val="22"/>
              </w:rPr>
            </w:pPr>
            <w:r w:rsidRPr="00B55EA7">
              <w:rPr>
                <w:rFonts w:cs="Arial"/>
                <w:b/>
                <w:bCs/>
                <w:color w:val="000000"/>
                <w:szCs w:val="22"/>
              </w:rPr>
              <w:t>Цілі проєкту:</w:t>
            </w:r>
          </w:p>
        </w:tc>
        <w:tc>
          <w:tcPr>
            <w:tcW w:w="6796" w:type="dxa"/>
            <w:gridSpan w:val="8"/>
          </w:tcPr>
          <w:p w14:paraId="3AC866EE" w14:textId="77777777" w:rsidR="00CB33C7" w:rsidRPr="00B55EA7" w:rsidRDefault="00CB33C7" w:rsidP="0020110C">
            <w:pPr>
              <w:rPr>
                <w:rFonts w:cs="Arial"/>
                <w:szCs w:val="22"/>
                <w:lang w:eastAsia="it-IT"/>
              </w:rPr>
            </w:pPr>
            <w:r w:rsidRPr="00B55EA7">
              <w:rPr>
                <w:rFonts w:cs="Arial"/>
                <w:szCs w:val="22"/>
                <w:lang w:eastAsia="it-IT"/>
              </w:rPr>
              <w:t>Покращити інфраструктуру   дорожнього покриття в м. Жмеринка</w:t>
            </w:r>
          </w:p>
        </w:tc>
      </w:tr>
      <w:tr w:rsidR="00CB33C7" w:rsidRPr="00B55EA7" w14:paraId="620E389D" w14:textId="77777777" w:rsidTr="0020110C">
        <w:trPr>
          <w:jc w:val="right"/>
        </w:trPr>
        <w:tc>
          <w:tcPr>
            <w:tcW w:w="3423" w:type="dxa"/>
            <w:vAlign w:val="center"/>
          </w:tcPr>
          <w:p w14:paraId="639A69C8" w14:textId="77777777" w:rsidR="00CB33C7" w:rsidRPr="00B55EA7" w:rsidRDefault="00CB33C7" w:rsidP="0020110C">
            <w:pPr>
              <w:autoSpaceDE w:val="0"/>
              <w:autoSpaceDN w:val="0"/>
              <w:adjustRightInd w:val="0"/>
              <w:rPr>
                <w:rFonts w:cs="Arial"/>
                <w:b/>
                <w:color w:val="000000"/>
                <w:szCs w:val="22"/>
              </w:rPr>
            </w:pPr>
            <w:r w:rsidRPr="00B55EA7">
              <w:rPr>
                <w:rFonts w:cs="Arial"/>
                <w:b/>
                <w:color w:val="000000"/>
                <w:szCs w:val="22"/>
              </w:rPr>
              <w:t>Територія на яку проєкт матиме вплив:</w:t>
            </w:r>
          </w:p>
        </w:tc>
        <w:tc>
          <w:tcPr>
            <w:tcW w:w="6796" w:type="dxa"/>
            <w:gridSpan w:val="8"/>
          </w:tcPr>
          <w:p w14:paraId="35D907D5" w14:textId="686CCED9" w:rsidR="00CB33C7" w:rsidRPr="00B55EA7" w:rsidRDefault="00CB33C7" w:rsidP="0020110C">
            <w:pPr>
              <w:rPr>
                <w:rFonts w:cs="Arial"/>
                <w:szCs w:val="22"/>
                <w:lang w:eastAsia="it-IT"/>
              </w:rPr>
            </w:pPr>
            <w:r w:rsidRPr="00B55EA7">
              <w:rPr>
                <w:rFonts w:cs="Arial"/>
                <w:szCs w:val="22"/>
                <w:lang w:eastAsia="it-IT"/>
              </w:rPr>
              <w:t xml:space="preserve">Території </w:t>
            </w:r>
            <w:r w:rsidR="00B55EA7" w:rsidRPr="00B55EA7">
              <w:rPr>
                <w:rFonts w:cs="Arial"/>
                <w:szCs w:val="22"/>
                <w:lang w:eastAsia="it-IT"/>
              </w:rPr>
              <w:t>Жмеринська</w:t>
            </w:r>
            <w:r w:rsidRPr="00B55EA7">
              <w:rPr>
                <w:rFonts w:cs="Arial"/>
                <w:szCs w:val="22"/>
                <w:lang w:eastAsia="it-IT"/>
              </w:rPr>
              <w:t xml:space="preserve"> М</w:t>
            </w:r>
            <w:r w:rsidR="00B55EA7" w:rsidRPr="00B55EA7">
              <w:rPr>
                <w:rFonts w:cs="Arial"/>
                <w:szCs w:val="22"/>
                <w:lang w:eastAsia="it-IT"/>
              </w:rPr>
              <w:t>Т</w:t>
            </w:r>
            <w:r w:rsidRPr="00B55EA7">
              <w:rPr>
                <w:rFonts w:cs="Arial"/>
                <w:szCs w:val="22"/>
                <w:lang w:eastAsia="it-IT"/>
              </w:rPr>
              <w:t>Г</w:t>
            </w:r>
          </w:p>
        </w:tc>
      </w:tr>
      <w:tr w:rsidR="00CB33C7" w:rsidRPr="00B55EA7" w14:paraId="1E61DCD3" w14:textId="77777777" w:rsidTr="0020110C">
        <w:trPr>
          <w:jc w:val="right"/>
        </w:trPr>
        <w:tc>
          <w:tcPr>
            <w:tcW w:w="3423" w:type="dxa"/>
            <w:vAlign w:val="center"/>
          </w:tcPr>
          <w:p w14:paraId="569ECEC1" w14:textId="77777777" w:rsidR="00CB33C7" w:rsidRPr="00B55EA7" w:rsidRDefault="00CB33C7" w:rsidP="0020110C">
            <w:pPr>
              <w:autoSpaceDE w:val="0"/>
              <w:autoSpaceDN w:val="0"/>
              <w:adjustRightInd w:val="0"/>
              <w:rPr>
                <w:rFonts w:cs="Arial"/>
                <w:b/>
                <w:color w:val="000000"/>
                <w:szCs w:val="22"/>
              </w:rPr>
            </w:pPr>
            <w:r w:rsidRPr="00B55EA7">
              <w:rPr>
                <w:rFonts w:cs="Arial"/>
                <w:b/>
                <w:color w:val="000000"/>
                <w:szCs w:val="22"/>
              </w:rPr>
              <w:t>Цільові групи проєкту та кількість отримувачів вигоди</w:t>
            </w:r>
          </w:p>
        </w:tc>
        <w:tc>
          <w:tcPr>
            <w:tcW w:w="6796" w:type="dxa"/>
            <w:gridSpan w:val="8"/>
          </w:tcPr>
          <w:p w14:paraId="256E9549" w14:textId="77777777" w:rsidR="00CB33C7" w:rsidRPr="00B55EA7" w:rsidRDefault="00CB33C7" w:rsidP="0020110C">
            <w:pPr>
              <w:rPr>
                <w:rFonts w:cs="Arial"/>
                <w:szCs w:val="22"/>
                <w:lang w:eastAsia="it-IT"/>
              </w:rPr>
            </w:pPr>
            <w:r w:rsidRPr="00B55EA7">
              <w:rPr>
                <w:rFonts w:cs="Arial"/>
                <w:szCs w:val="22"/>
                <w:lang w:eastAsia="it-IT"/>
              </w:rPr>
              <w:t>Жителі м. Жмеринка в кількості 34353 містян</w:t>
            </w:r>
          </w:p>
        </w:tc>
      </w:tr>
      <w:tr w:rsidR="00CB33C7" w:rsidRPr="00B55EA7" w14:paraId="3AF5ED10" w14:textId="77777777" w:rsidTr="0020110C">
        <w:trPr>
          <w:jc w:val="right"/>
        </w:trPr>
        <w:tc>
          <w:tcPr>
            <w:tcW w:w="3423" w:type="dxa"/>
            <w:shd w:val="clear" w:color="auto" w:fill="FFFFFF"/>
            <w:vAlign w:val="center"/>
          </w:tcPr>
          <w:p w14:paraId="2B61532F" w14:textId="77777777" w:rsidR="00CB33C7" w:rsidRPr="00B55EA7" w:rsidRDefault="00CB33C7" w:rsidP="0020110C">
            <w:pPr>
              <w:rPr>
                <w:rFonts w:cs="Arial"/>
                <w:b/>
                <w:bCs/>
                <w:color w:val="000000"/>
                <w:szCs w:val="22"/>
              </w:rPr>
            </w:pPr>
            <w:r w:rsidRPr="00B55EA7">
              <w:rPr>
                <w:rFonts w:cs="Arial"/>
                <w:b/>
                <w:bCs/>
                <w:color w:val="000000"/>
                <w:szCs w:val="22"/>
              </w:rPr>
              <w:t>Стислий опис проєкту:</w:t>
            </w:r>
          </w:p>
        </w:tc>
        <w:tc>
          <w:tcPr>
            <w:tcW w:w="6796" w:type="dxa"/>
            <w:gridSpan w:val="8"/>
          </w:tcPr>
          <w:p w14:paraId="4FC10552" w14:textId="03EA09B5" w:rsidR="00CB33C7" w:rsidRPr="00B55EA7" w:rsidRDefault="00CB33C7" w:rsidP="0020110C">
            <w:pPr>
              <w:jc w:val="both"/>
              <w:rPr>
                <w:rFonts w:cs="Arial"/>
                <w:szCs w:val="22"/>
                <w:lang w:eastAsia="it-IT"/>
              </w:rPr>
            </w:pPr>
            <w:r w:rsidRPr="00B55EA7">
              <w:rPr>
                <w:rFonts w:cs="Arial"/>
                <w:szCs w:val="22"/>
                <w:lang w:eastAsia="it-IT"/>
              </w:rPr>
              <w:t xml:space="preserve">Тротуар – це безпечний спосіб пересування людей </w:t>
            </w:r>
            <w:r w:rsidR="00CD19B5" w:rsidRPr="00B55EA7">
              <w:rPr>
                <w:rFonts w:cs="Arial"/>
                <w:szCs w:val="22"/>
                <w:lang w:eastAsia="it-IT"/>
              </w:rPr>
              <w:t>вздовж</w:t>
            </w:r>
            <w:r w:rsidRPr="00B55EA7">
              <w:rPr>
                <w:rFonts w:cs="Arial"/>
                <w:szCs w:val="22"/>
                <w:lang w:eastAsia="it-IT"/>
              </w:rPr>
              <w:t xml:space="preserve"> доріг, гарний стан тротуарів дає можливість безпечно та </w:t>
            </w:r>
            <w:r w:rsidR="00CD19B5" w:rsidRPr="00B55EA7">
              <w:rPr>
                <w:rFonts w:cs="Arial"/>
                <w:szCs w:val="22"/>
                <w:lang w:eastAsia="it-IT"/>
              </w:rPr>
              <w:t>комфортно</w:t>
            </w:r>
            <w:r w:rsidRPr="00B55EA7">
              <w:rPr>
                <w:rFonts w:cs="Arial"/>
                <w:szCs w:val="22"/>
                <w:lang w:eastAsia="it-IT"/>
              </w:rPr>
              <w:t xml:space="preserve"> пересуватись </w:t>
            </w:r>
            <w:r w:rsidR="00CD19B5" w:rsidRPr="00B55EA7">
              <w:rPr>
                <w:rFonts w:cs="Arial"/>
                <w:szCs w:val="22"/>
                <w:lang w:eastAsia="it-IT"/>
              </w:rPr>
              <w:t>пішоходам</w:t>
            </w:r>
            <w:r w:rsidRPr="00B55EA7">
              <w:rPr>
                <w:rFonts w:cs="Arial"/>
                <w:szCs w:val="22"/>
                <w:lang w:eastAsia="it-IT"/>
              </w:rPr>
              <w:t>, та бути частиною дорожнього руху. Наразі тротуар по вул. Київська не перебуває у належному стані та створює незручності для пересування людей по ньому, з цієї причини необхідно провести його капітальний ремонт та забезпечити комфортне та безпечне пересування пішоходів по ньому.</w:t>
            </w:r>
          </w:p>
        </w:tc>
      </w:tr>
      <w:tr w:rsidR="00CB33C7" w:rsidRPr="00B55EA7" w14:paraId="7773CC18" w14:textId="77777777" w:rsidTr="0020110C">
        <w:trPr>
          <w:jc w:val="right"/>
        </w:trPr>
        <w:tc>
          <w:tcPr>
            <w:tcW w:w="3423" w:type="dxa"/>
            <w:shd w:val="clear" w:color="auto" w:fill="FFFFFF"/>
            <w:vAlign w:val="center"/>
          </w:tcPr>
          <w:p w14:paraId="0794433A" w14:textId="77777777" w:rsidR="00CB33C7" w:rsidRPr="00B55EA7" w:rsidRDefault="00CB33C7" w:rsidP="0020110C">
            <w:pPr>
              <w:rPr>
                <w:rFonts w:cs="Arial"/>
                <w:b/>
                <w:bCs/>
                <w:color w:val="000000"/>
                <w:szCs w:val="22"/>
              </w:rPr>
            </w:pPr>
            <w:r w:rsidRPr="00B55EA7">
              <w:rPr>
                <w:rFonts w:cs="Arial"/>
                <w:b/>
                <w:bCs/>
                <w:color w:val="000000"/>
                <w:szCs w:val="22"/>
              </w:rPr>
              <w:t>Основні заходи проєкту:</w:t>
            </w:r>
          </w:p>
        </w:tc>
        <w:tc>
          <w:tcPr>
            <w:tcW w:w="6796" w:type="dxa"/>
            <w:gridSpan w:val="8"/>
          </w:tcPr>
          <w:p w14:paraId="5DE3B553" w14:textId="0634A789" w:rsidR="00CB33C7" w:rsidRPr="00B55EA7" w:rsidRDefault="00CB33C7" w:rsidP="0020110C">
            <w:pPr>
              <w:jc w:val="both"/>
              <w:rPr>
                <w:rFonts w:cs="Arial"/>
                <w:szCs w:val="22"/>
                <w:lang w:eastAsia="it-IT"/>
              </w:rPr>
            </w:pPr>
            <w:r w:rsidRPr="00B55EA7">
              <w:rPr>
                <w:rFonts w:cs="Arial"/>
                <w:szCs w:val="22"/>
                <w:lang w:eastAsia="it-IT"/>
              </w:rPr>
              <w:t>Створення робочо</w:t>
            </w:r>
            <w:r w:rsidR="002013FD">
              <w:rPr>
                <w:rFonts w:cs="Arial"/>
                <w:szCs w:val="22"/>
                <w:lang w:eastAsia="it-IT"/>
              </w:rPr>
              <w:t>ї групи з питань реалізації проє</w:t>
            </w:r>
            <w:r w:rsidRPr="00B55EA7">
              <w:rPr>
                <w:rFonts w:cs="Arial"/>
                <w:szCs w:val="22"/>
                <w:lang w:eastAsia="it-IT"/>
              </w:rPr>
              <w:t xml:space="preserve">кту. </w:t>
            </w:r>
          </w:p>
          <w:p w14:paraId="03B02645" w14:textId="77777777" w:rsidR="00CB33C7" w:rsidRPr="00B55EA7" w:rsidRDefault="00CB33C7" w:rsidP="0020110C">
            <w:pPr>
              <w:jc w:val="both"/>
              <w:rPr>
                <w:rFonts w:cs="Arial"/>
                <w:szCs w:val="22"/>
                <w:lang w:eastAsia="it-IT"/>
              </w:rPr>
            </w:pPr>
            <w:r w:rsidRPr="00B55EA7">
              <w:rPr>
                <w:rFonts w:cs="Arial"/>
                <w:szCs w:val="22"/>
                <w:lang w:eastAsia="it-IT"/>
              </w:rPr>
              <w:t>Проведення процедури закупівель (визначення виконавця робіт).</w:t>
            </w:r>
          </w:p>
          <w:p w14:paraId="17B8D4E0" w14:textId="77777777" w:rsidR="00CB33C7" w:rsidRPr="00B55EA7" w:rsidRDefault="00CB33C7" w:rsidP="0020110C">
            <w:pPr>
              <w:jc w:val="both"/>
              <w:rPr>
                <w:rFonts w:cs="Arial"/>
                <w:szCs w:val="22"/>
                <w:lang w:eastAsia="it-IT"/>
              </w:rPr>
            </w:pPr>
            <w:r w:rsidRPr="00B55EA7">
              <w:rPr>
                <w:rFonts w:cs="Arial"/>
                <w:szCs w:val="22"/>
                <w:lang w:eastAsia="it-IT"/>
              </w:rPr>
              <w:t>Укладення договорів з виконавцем робіт, організаціями, що здійснюватимуть  технічний та авторський  нагляд .</w:t>
            </w:r>
          </w:p>
          <w:p w14:paraId="28CB4482" w14:textId="77777777" w:rsidR="00CB33C7" w:rsidRPr="00B55EA7" w:rsidRDefault="00CB33C7" w:rsidP="0020110C">
            <w:pPr>
              <w:jc w:val="both"/>
              <w:rPr>
                <w:rFonts w:cs="Arial"/>
                <w:b/>
                <w:bCs/>
                <w:spacing w:val="-5"/>
                <w:szCs w:val="22"/>
              </w:rPr>
            </w:pPr>
            <w:r w:rsidRPr="00B55EA7">
              <w:rPr>
                <w:rFonts w:cs="Arial"/>
                <w:szCs w:val="22"/>
                <w:lang w:eastAsia="it-IT"/>
              </w:rPr>
              <w:t xml:space="preserve">Виконання робіт з капітального ремонту </w:t>
            </w:r>
            <w:r w:rsidRPr="00B55EA7">
              <w:rPr>
                <w:rFonts w:cs="Arial"/>
                <w:bCs/>
                <w:spacing w:val="-5"/>
                <w:szCs w:val="22"/>
              </w:rPr>
              <w:t>тротуару по вул. Київська</w:t>
            </w:r>
            <w:r w:rsidRPr="00B55EA7">
              <w:rPr>
                <w:rFonts w:cs="Arial"/>
                <w:b/>
                <w:bCs/>
                <w:spacing w:val="-5"/>
                <w:szCs w:val="22"/>
              </w:rPr>
              <w:t xml:space="preserve">  </w:t>
            </w:r>
          </w:p>
          <w:p w14:paraId="190FEC5F" w14:textId="77777777" w:rsidR="00CB33C7" w:rsidRPr="00B55EA7" w:rsidRDefault="00CB33C7" w:rsidP="0020110C">
            <w:pPr>
              <w:jc w:val="both"/>
              <w:rPr>
                <w:rFonts w:cs="Arial"/>
                <w:szCs w:val="22"/>
                <w:lang w:eastAsia="it-IT"/>
              </w:rPr>
            </w:pPr>
            <w:r w:rsidRPr="00B55EA7">
              <w:rPr>
                <w:rFonts w:cs="Arial"/>
                <w:szCs w:val="22"/>
                <w:lang w:eastAsia="it-IT"/>
              </w:rPr>
              <w:t>Введення  об’єкту в експлуатацію .</w:t>
            </w:r>
          </w:p>
          <w:p w14:paraId="12EBB462" w14:textId="3E169ED7" w:rsidR="00CB33C7" w:rsidRPr="00B55EA7" w:rsidRDefault="00CB33C7" w:rsidP="0020110C">
            <w:pPr>
              <w:rPr>
                <w:rFonts w:cs="Arial"/>
                <w:szCs w:val="22"/>
                <w:lang w:eastAsia="it-IT"/>
              </w:rPr>
            </w:pPr>
            <w:r w:rsidRPr="00B55EA7">
              <w:rPr>
                <w:rFonts w:cs="Arial"/>
                <w:szCs w:val="22"/>
                <w:lang w:eastAsia="it-IT"/>
              </w:rPr>
              <w:t xml:space="preserve">Проведення інформаційних заходів (розміщення  </w:t>
            </w:r>
            <w:r w:rsidR="002013FD">
              <w:rPr>
                <w:rFonts w:cs="Arial"/>
                <w:szCs w:val="22"/>
                <w:lang w:eastAsia="it-IT"/>
              </w:rPr>
              <w:t>інформації  про реалізацію  проє</w:t>
            </w:r>
            <w:r w:rsidRPr="00B55EA7">
              <w:rPr>
                <w:rFonts w:cs="Arial"/>
                <w:szCs w:val="22"/>
                <w:lang w:eastAsia="it-IT"/>
              </w:rPr>
              <w:t>кту у ЗМІ) .</w:t>
            </w:r>
          </w:p>
        </w:tc>
      </w:tr>
      <w:tr w:rsidR="00CB33C7" w:rsidRPr="00B55EA7" w14:paraId="016F9C73" w14:textId="77777777" w:rsidTr="0020110C">
        <w:trPr>
          <w:jc w:val="right"/>
        </w:trPr>
        <w:tc>
          <w:tcPr>
            <w:tcW w:w="3423" w:type="dxa"/>
            <w:shd w:val="clear" w:color="auto" w:fill="FFFFFF"/>
            <w:vAlign w:val="center"/>
          </w:tcPr>
          <w:p w14:paraId="3069B346" w14:textId="77777777" w:rsidR="00CB33C7" w:rsidRPr="00B55EA7" w:rsidRDefault="00CB33C7" w:rsidP="0020110C">
            <w:pPr>
              <w:rPr>
                <w:rFonts w:cs="Arial"/>
                <w:b/>
                <w:bCs/>
                <w:color w:val="000000"/>
                <w:szCs w:val="22"/>
              </w:rPr>
            </w:pPr>
            <w:r w:rsidRPr="00B55EA7">
              <w:rPr>
                <w:rFonts w:cs="Arial"/>
                <w:b/>
                <w:bCs/>
                <w:color w:val="000000"/>
                <w:szCs w:val="22"/>
              </w:rPr>
              <w:t>Індикатори (показники) результативності:</w:t>
            </w:r>
          </w:p>
        </w:tc>
        <w:tc>
          <w:tcPr>
            <w:tcW w:w="6796" w:type="dxa"/>
            <w:gridSpan w:val="8"/>
          </w:tcPr>
          <w:p w14:paraId="620F5653" w14:textId="77777777" w:rsidR="00CB33C7" w:rsidRPr="00B55EA7" w:rsidRDefault="00CB33C7" w:rsidP="0020110C">
            <w:pPr>
              <w:rPr>
                <w:rFonts w:cs="Arial"/>
                <w:szCs w:val="22"/>
                <w:lang w:eastAsia="it-IT"/>
              </w:rPr>
            </w:pPr>
            <w:r w:rsidRPr="00B55EA7">
              <w:rPr>
                <w:rFonts w:cs="Arial"/>
                <w:szCs w:val="22"/>
                <w:lang w:eastAsia="it-IT"/>
              </w:rPr>
              <w:t>Влаштування тротуару площею 4090 м</w:t>
            </w:r>
            <w:r w:rsidRPr="00B55EA7">
              <w:rPr>
                <w:rFonts w:cs="Arial"/>
                <w:szCs w:val="22"/>
                <w:vertAlign w:val="superscript"/>
                <w:lang w:eastAsia="it-IT"/>
              </w:rPr>
              <w:t>2</w:t>
            </w:r>
          </w:p>
        </w:tc>
      </w:tr>
      <w:tr w:rsidR="00CB33C7" w:rsidRPr="00B55EA7" w14:paraId="0254E66C" w14:textId="77777777" w:rsidTr="0020110C">
        <w:trPr>
          <w:jc w:val="right"/>
        </w:trPr>
        <w:tc>
          <w:tcPr>
            <w:tcW w:w="3423" w:type="dxa"/>
            <w:shd w:val="clear" w:color="auto" w:fill="FFFFFF"/>
            <w:vAlign w:val="center"/>
          </w:tcPr>
          <w:p w14:paraId="31D1A9A4" w14:textId="77777777" w:rsidR="00CB33C7" w:rsidRPr="00B55EA7" w:rsidRDefault="00CB33C7" w:rsidP="0020110C">
            <w:pPr>
              <w:rPr>
                <w:rFonts w:cs="Arial"/>
                <w:b/>
                <w:color w:val="000000"/>
                <w:szCs w:val="22"/>
              </w:rPr>
            </w:pPr>
            <w:r w:rsidRPr="00B55EA7">
              <w:rPr>
                <w:rFonts w:cs="Arial"/>
                <w:b/>
                <w:color w:val="000000"/>
                <w:szCs w:val="22"/>
              </w:rPr>
              <w:t xml:space="preserve">Період здійснення: </w:t>
            </w:r>
          </w:p>
        </w:tc>
        <w:tc>
          <w:tcPr>
            <w:tcW w:w="6796" w:type="dxa"/>
            <w:gridSpan w:val="8"/>
            <w:vAlign w:val="center"/>
          </w:tcPr>
          <w:p w14:paraId="5365C574" w14:textId="77777777" w:rsidR="00CB33C7" w:rsidRPr="00B55EA7" w:rsidRDefault="00CB33C7" w:rsidP="0020110C">
            <w:pPr>
              <w:rPr>
                <w:rFonts w:cs="Arial"/>
                <w:color w:val="000000"/>
                <w:szCs w:val="22"/>
                <w:lang w:eastAsia="it-IT"/>
              </w:rPr>
            </w:pPr>
            <w:r w:rsidRPr="00B55EA7">
              <w:rPr>
                <w:rFonts w:cs="Arial"/>
                <w:b/>
                <w:color w:val="000000"/>
                <w:szCs w:val="22"/>
              </w:rPr>
              <w:t>2025 – 2028 роки:</w:t>
            </w:r>
          </w:p>
        </w:tc>
      </w:tr>
      <w:tr w:rsidR="00CB33C7" w:rsidRPr="00B55EA7" w14:paraId="625CECBF" w14:textId="77777777" w:rsidTr="0020110C">
        <w:trPr>
          <w:trHeight w:val="373"/>
          <w:jc w:val="right"/>
        </w:trPr>
        <w:tc>
          <w:tcPr>
            <w:tcW w:w="3423" w:type="dxa"/>
            <w:vMerge w:val="restart"/>
            <w:shd w:val="clear" w:color="auto" w:fill="FFFFFF"/>
            <w:vAlign w:val="center"/>
          </w:tcPr>
          <w:p w14:paraId="0E186EFD" w14:textId="77777777" w:rsidR="00CB33C7" w:rsidRPr="00B55EA7" w:rsidRDefault="00CB33C7" w:rsidP="0020110C">
            <w:pPr>
              <w:rPr>
                <w:rFonts w:cs="Arial"/>
                <w:b/>
                <w:bCs/>
                <w:color w:val="000000"/>
                <w:szCs w:val="22"/>
              </w:rPr>
            </w:pPr>
            <w:r w:rsidRPr="00B55EA7">
              <w:rPr>
                <w:rFonts w:cs="Arial"/>
                <w:b/>
                <w:bCs/>
                <w:color w:val="000000"/>
                <w:szCs w:val="22"/>
              </w:rPr>
              <w:t>Орієнтовна вартість проєкту, тис. грн., в тому числі:</w:t>
            </w:r>
          </w:p>
        </w:tc>
        <w:tc>
          <w:tcPr>
            <w:tcW w:w="1254" w:type="dxa"/>
            <w:gridSpan w:val="2"/>
            <w:shd w:val="clear" w:color="auto" w:fill="E6E6E6"/>
            <w:vAlign w:val="center"/>
          </w:tcPr>
          <w:p w14:paraId="5A66AAC4" w14:textId="77777777" w:rsidR="00CB33C7" w:rsidRPr="00B55EA7" w:rsidRDefault="00CB33C7" w:rsidP="0020110C">
            <w:pPr>
              <w:jc w:val="center"/>
              <w:rPr>
                <w:rFonts w:cs="Arial"/>
                <w:b/>
                <w:color w:val="000000"/>
                <w:szCs w:val="22"/>
                <w:lang w:eastAsia="it-IT"/>
              </w:rPr>
            </w:pPr>
            <w:r w:rsidRPr="00B55EA7">
              <w:rPr>
                <w:rFonts w:cs="Arial"/>
                <w:b/>
                <w:color w:val="000000"/>
                <w:szCs w:val="22"/>
                <w:lang w:eastAsia="it-IT"/>
              </w:rPr>
              <w:t>2025</w:t>
            </w:r>
          </w:p>
        </w:tc>
        <w:tc>
          <w:tcPr>
            <w:tcW w:w="1415" w:type="dxa"/>
            <w:shd w:val="clear" w:color="auto" w:fill="E6E6E6"/>
            <w:vAlign w:val="center"/>
          </w:tcPr>
          <w:p w14:paraId="2FB1FD4B" w14:textId="77777777" w:rsidR="00CB33C7" w:rsidRPr="00B55EA7" w:rsidRDefault="00CB33C7" w:rsidP="0020110C">
            <w:pPr>
              <w:jc w:val="center"/>
              <w:rPr>
                <w:rFonts w:cs="Arial"/>
                <w:b/>
                <w:color w:val="000000"/>
                <w:szCs w:val="22"/>
                <w:lang w:eastAsia="it-IT"/>
              </w:rPr>
            </w:pPr>
            <w:r w:rsidRPr="00B55EA7">
              <w:rPr>
                <w:rFonts w:cs="Arial"/>
                <w:b/>
                <w:color w:val="000000"/>
                <w:szCs w:val="22"/>
                <w:lang w:eastAsia="it-IT"/>
              </w:rPr>
              <w:t>2026</w:t>
            </w:r>
          </w:p>
        </w:tc>
        <w:tc>
          <w:tcPr>
            <w:tcW w:w="1281" w:type="dxa"/>
            <w:tcBorders>
              <w:bottom w:val="single" w:sz="4" w:space="0" w:color="auto"/>
            </w:tcBorders>
            <w:shd w:val="clear" w:color="auto" w:fill="E6E6E6"/>
            <w:vAlign w:val="center"/>
          </w:tcPr>
          <w:p w14:paraId="5A4EE2C9" w14:textId="77777777" w:rsidR="00CB33C7" w:rsidRPr="00B55EA7" w:rsidRDefault="00CB33C7" w:rsidP="0020110C">
            <w:pPr>
              <w:jc w:val="center"/>
              <w:rPr>
                <w:rFonts w:cs="Arial"/>
                <w:b/>
                <w:color w:val="000000"/>
                <w:szCs w:val="22"/>
                <w:lang w:eastAsia="it-IT"/>
              </w:rPr>
            </w:pPr>
            <w:r w:rsidRPr="00B55EA7">
              <w:rPr>
                <w:rFonts w:cs="Arial"/>
                <w:b/>
                <w:color w:val="000000"/>
                <w:szCs w:val="22"/>
                <w:lang w:eastAsia="it-IT"/>
              </w:rPr>
              <w:t>2027</w:t>
            </w:r>
          </w:p>
        </w:tc>
        <w:tc>
          <w:tcPr>
            <w:tcW w:w="1276" w:type="dxa"/>
            <w:gridSpan w:val="2"/>
            <w:shd w:val="clear" w:color="auto" w:fill="E6E6E6"/>
            <w:vAlign w:val="center"/>
          </w:tcPr>
          <w:p w14:paraId="1F5F303C" w14:textId="77777777" w:rsidR="00CB33C7" w:rsidRPr="00B55EA7" w:rsidRDefault="00CB33C7" w:rsidP="0020110C">
            <w:pPr>
              <w:jc w:val="center"/>
              <w:rPr>
                <w:rFonts w:cs="Arial"/>
                <w:b/>
                <w:color w:val="000000"/>
                <w:szCs w:val="22"/>
                <w:lang w:eastAsia="it-IT"/>
              </w:rPr>
            </w:pPr>
            <w:r w:rsidRPr="00B55EA7">
              <w:rPr>
                <w:rFonts w:cs="Arial"/>
                <w:b/>
                <w:color w:val="000000"/>
                <w:szCs w:val="22"/>
                <w:lang w:eastAsia="it-IT"/>
              </w:rPr>
              <w:t>2028</w:t>
            </w:r>
          </w:p>
        </w:tc>
        <w:tc>
          <w:tcPr>
            <w:tcW w:w="1570" w:type="dxa"/>
            <w:gridSpan w:val="2"/>
            <w:shd w:val="clear" w:color="auto" w:fill="E6E6E6"/>
            <w:vAlign w:val="center"/>
          </w:tcPr>
          <w:p w14:paraId="21CA20E6" w14:textId="77777777" w:rsidR="00CB33C7" w:rsidRPr="00B55EA7" w:rsidRDefault="00CB33C7" w:rsidP="0020110C">
            <w:pPr>
              <w:jc w:val="center"/>
              <w:rPr>
                <w:rFonts w:cs="Arial"/>
                <w:b/>
                <w:color w:val="000000"/>
                <w:szCs w:val="22"/>
                <w:lang w:eastAsia="it-IT"/>
              </w:rPr>
            </w:pPr>
            <w:r w:rsidRPr="00B55EA7">
              <w:rPr>
                <w:rFonts w:cs="Arial"/>
                <w:b/>
                <w:color w:val="000000"/>
                <w:szCs w:val="22"/>
                <w:lang w:eastAsia="it-IT"/>
              </w:rPr>
              <w:t>РАЗОМ</w:t>
            </w:r>
          </w:p>
        </w:tc>
      </w:tr>
      <w:tr w:rsidR="00CB33C7" w:rsidRPr="00B55EA7" w14:paraId="4BC24475" w14:textId="77777777" w:rsidTr="0020110C">
        <w:trPr>
          <w:jc w:val="right"/>
        </w:trPr>
        <w:tc>
          <w:tcPr>
            <w:tcW w:w="3423" w:type="dxa"/>
            <w:vMerge/>
            <w:shd w:val="clear" w:color="auto" w:fill="FFFFFF"/>
            <w:vAlign w:val="center"/>
          </w:tcPr>
          <w:p w14:paraId="21F34962" w14:textId="77777777" w:rsidR="00CB33C7" w:rsidRPr="00B55EA7" w:rsidRDefault="00CB33C7" w:rsidP="0020110C">
            <w:pPr>
              <w:rPr>
                <w:rFonts w:cs="Arial"/>
                <w:b/>
                <w:bCs/>
                <w:color w:val="000000"/>
                <w:szCs w:val="22"/>
              </w:rPr>
            </w:pPr>
          </w:p>
        </w:tc>
        <w:tc>
          <w:tcPr>
            <w:tcW w:w="1254" w:type="dxa"/>
            <w:gridSpan w:val="2"/>
            <w:vAlign w:val="center"/>
          </w:tcPr>
          <w:p w14:paraId="0D5300F5" w14:textId="77777777" w:rsidR="00CB33C7" w:rsidRPr="00B55EA7" w:rsidRDefault="00CB33C7" w:rsidP="0020110C">
            <w:pPr>
              <w:jc w:val="center"/>
              <w:rPr>
                <w:rFonts w:cs="Arial"/>
                <w:b/>
                <w:color w:val="000000"/>
                <w:szCs w:val="22"/>
                <w:lang w:eastAsia="it-IT"/>
              </w:rPr>
            </w:pPr>
          </w:p>
        </w:tc>
        <w:tc>
          <w:tcPr>
            <w:tcW w:w="1415" w:type="dxa"/>
            <w:shd w:val="clear" w:color="auto" w:fill="FFFFFF"/>
          </w:tcPr>
          <w:p w14:paraId="44586E00" w14:textId="77777777" w:rsidR="00CB33C7" w:rsidRPr="00B55EA7" w:rsidRDefault="00CB33C7" w:rsidP="0020110C">
            <w:pPr>
              <w:jc w:val="center"/>
              <w:rPr>
                <w:rFonts w:cs="Arial"/>
                <w:b/>
                <w:color w:val="000000"/>
                <w:szCs w:val="22"/>
                <w:lang w:eastAsia="it-IT"/>
              </w:rPr>
            </w:pPr>
            <w:r w:rsidRPr="00B55EA7">
              <w:rPr>
                <w:rFonts w:cs="Arial"/>
                <w:b/>
                <w:spacing w:val="-5"/>
                <w:szCs w:val="22"/>
              </w:rPr>
              <w:t>9881,786</w:t>
            </w:r>
          </w:p>
        </w:tc>
        <w:tc>
          <w:tcPr>
            <w:tcW w:w="1281" w:type="dxa"/>
            <w:shd w:val="clear" w:color="auto" w:fill="auto"/>
          </w:tcPr>
          <w:p w14:paraId="0F80DC48" w14:textId="77777777" w:rsidR="00CB33C7" w:rsidRPr="00B55EA7" w:rsidRDefault="00CB33C7" w:rsidP="0020110C">
            <w:pPr>
              <w:jc w:val="center"/>
              <w:rPr>
                <w:rFonts w:cs="Arial"/>
                <w:b/>
                <w:color w:val="000000"/>
                <w:szCs w:val="22"/>
                <w:lang w:eastAsia="it-IT"/>
              </w:rPr>
            </w:pPr>
          </w:p>
        </w:tc>
        <w:tc>
          <w:tcPr>
            <w:tcW w:w="1276" w:type="dxa"/>
            <w:gridSpan w:val="2"/>
            <w:shd w:val="clear" w:color="auto" w:fill="FFFFFF"/>
          </w:tcPr>
          <w:p w14:paraId="5D8F674F" w14:textId="77777777" w:rsidR="00CB33C7" w:rsidRPr="00B55EA7" w:rsidRDefault="00CB33C7" w:rsidP="0020110C">
            <w:pPr>
              <w:jc w:val="center"/>
              <w:rPr>
                <w:rFonts w:cs="Arial"/>
                <w:b/>
                <w:color w:val="000000"/>
                <w:szCs w:val="22"/>
                <w:lang w:eastAsia="it-IT"/>
              </w:rPr>
            </w:pPr>
          </w:p>
        </w:tc>
        <w:tc>
          <w:tcPr>
            <w:tcW w:w="1570" w:type="dxa"/>
            <w:gridSpan w:val="2"/>
            <w:shd w:val="clear" w:color="auto" w:fill="FFFFFF"/>
          </w:tcPr>
          <w:p w14:paraId="617B2188" w14:textId="77777777" w:rsidR="00CB33C7" w:rsidRPr="00B55EA7" w:rsidRDefault="00CB33C7" w:rsidP="0020110C">
            <w:pPr>
              <w:jc w:val="center"/>
              <w:rPr>
                <w:rFonts w:cs="Arial"/>
                <w:b/>
                <w:color w:val="000000"/>
                <w:szCs w:val="22"/>
                <w:lang w:eastAsia="it-IT"/>
              </w:rPr>
            </w:pPr>
            <w:r w:rsidRPr="00B55EA7">
              <w:rPr>
                <w:rFonts w:cs="Arial"/>
                <w:b/>
                <w:spacing w:val="-5"/>
                <w:szCs w:val="22"/>
              </w:rPr>
              <w:t>9881,786</w:t>
            </w:r>
          </w:p>
        </w:tc>
      </w:tr>
      <w:tr w:rsidR="00CB33C7" w:rsidRPr="00B55EA7" w14:paraId="766D9DE1" w14:textId="77777777" w:rsidTr="0020110C">
        <w:trPr>
          <w:trHeight w:val="276"/>
          <w:jc w:val="right"/>
        </w:trPr>
        <w:tc>
          <w:tcPr>
            <w:tcW w:w="3423" w:type="dxa"/>
            <w:shd w:val="clear" w:color="auto" w:fill="FFFFFF"/>
            <w:vAlign w:val="center"/>
          </w:tcPr>
          <w:p w14:paraId="76C9257A" w14:textId="77777777" w:rsidR="00CB33C7" w:rsidRPr="00B55EA7" w:rsidRDefault="00CB33C7" w:rsidP="0020110C">
            <w:pPr>
              <w:rPr>
                <w:rFonts w:cs="Arial"/>
                <w:b/>
                <w:bCs/>
                <w:color w:val="000000"/>
                <w:szCs w:val="22"/>
              </w:rPr>
            </w:pPr>
            <w:r w:rsidRPr="00B55EA7">
              <w:rPr>
                <w:rFonts w:cs="Arial"/>
                <w:b/>
                <w:bCs/>
                <w:color w:val="000000"/>
                <w:szCs w:val="22"/>
              </w:rPr>
              <w:t>по джерелах фінансування:</w:t>
            </w:r>
          </w:p>
        </w:tc>
        <w:tc>
          <w:tcPr>
            <w:tcW w:w="6796" w:type="dxa"/>
            <w:gridSpan w:val="8"/>
          </w:tcPr>
          <w:p w14:paraId="1DAFA585" w14:textId="77777777" w:rsidR="00CB33C7" w:rsidRPr="00B55EA7" w:rsidRDefault="00CB33C7" w:rsidP="0020110C">
            <w:pPr>
              <w:jc w:val="center"/>
              <w:rPr>
                <w:rFonts w:cs="Arial"/>
                <w:color w:val="000000"/>
                <w:szCs w:val="22"/>
                <w:lang w:eastAsia="it-IT"/>
              </w:rPr>
            </w:pPr>
          </w:p>
        </w:tc>
      </w:tr>
      <w:tr w:rsidR="00710528" w:rsidRPr="00B55EA7" w14:paraId="2A74CF51" w14:textId="42F5190A" w:rsidTr="0020110C">
        <w:trPr>
          <w:trHeight w:val="240"/>
          <w:jc w:val="right"/>
        </w:trPr>
        <w:tc>
          <w:tcPr>
            <w:tcW w:w="3423" w:type="dxa"/>
            <w:shd w:val="clear" w:color="auto" w:fill="FFFFFF"/>
            <w:vAlign w:val="center"/>
          </w:tcPr>
          <w:p w14:paraId="664EB447" w14:textId="77777777" w:rsidR="00710528" w:rsidRPr="00B55EA7" w:rsidRDefault="00710528" w:rsidP="0020110C">
            <w:pPr>
              <w:rPr>
                <w:rFonts w:cs="Arial"/>
                <w:b/>
                <w:bCs/>
                <w:color w:val="000000"/>
                <w:szCs w:val="22"/>
              </w:rPr>
            </w:pPr>
            <w:r w:rsidRPr="00B55EA7">
              <w:rPr>
                <w:rFonts w:cs="Arial"/>
                <w:color w:val="000000"/>
                <w:szCs w:val="22"/>
              </w:rPr>
              <w:t>- державний бюджет</w:t>
            </w:r>
          </w:p>
        </w:tc>
        <w:tc>
          <w:tcPr>
            <w:tcW w:w="1240" w:type="dxa"/>
            <w:vAlign w:val="center"/>
          </w:tcPr>
          <w:p w14:paraId="7466E53A" w14:textId="77777777" w:rsidR="00710528" w:rsidRPr="00B55EA7" w:rsidRDefault="00710528" w:rsidP="0020110C">
            <w:pPr>
              <w:jc w:val="both"/>
              <w:rPr>
                <w:rFonts w:cs="Arial"/>
                <w:color w:val="000000"/>
                <w:szCs w:val="22"/>
                <w:lang w:eastAsia="it-IT"/>
              </w:rPr>
            </w:pPr>
          </w:p>
        </w:tc>
        <w:tc>
          <w:tcPr>
            <w:tcW w:w="1429" w:type="dxa"/>
            <w:gridSpan w:val="2"/>
          </w:tcPr>
          <w:p w14:paraId="4EF5F048" w14:textId="77777777" w:rsidR="00710528" w:rsidRPr="00B55EA7" w:rsidRDefault="00710528" w:rsidP="0020110C">
            <w:pPr>
              <w:jc w:val="center"/>
              <w:rPr>
                <w:rFonts w:cs="Arial"/>
                <w:color w:val="000000"/>
                <w:szCs w:val="22"/>
                <w:lang w:eastAsia="it-IT"/>
              </w:rPr>
            </w:pPr>
          </w:p>
        </w:tc>
        <w:tc>
          <w:tcPr>
            <w:tcW w:w="1310" w:type="dxa"/>
            <w:gridSpan w:val="2"/>
          </w:tcPr>
          <w:p w14:paraId="208C48CC" w14:textId="77777777" w:rsidR="00710528" w:rsidRPr="00B55EA7" w:rsidRDefault="00710528" w:rsidP="0020110C">
            <w:pPr>
              <w:jc w:val="center"/>
              <w:rPr>
                <w:rFonts w:cs="Arial"/>
                <w:color w:val="000000"/>
                <w:szCs w:val="22"/>
                <w:lang w:eastAsia="it-IT"/>
              </w:rPr>
            </w:pPr>
          </w:p>
        </w:tc>
        <w:tc>
          <w:tcPr>
            <w:tcW w:w="1260" w:type="dxa"/>
            <w:gridSpan w:val="2"/>
          </w:tcPr>
          <w:p w14:paraId="0BFF2F8A" w14:textId="77777777" w:rsidR="00710528" w:rsidRPr="00B55EA7" w:rsidRDefault="00710528" w:rsidP="0020110C">
            <w:pPr>
              <w:jc w:val="center"/>
              <w:rPr>
                <w:rFonts w:cs="Arial"/>
                <w:color w:val="000000"/>
                <w:szCs w:val="22"/>
                <w:lang w:eastAsia="it-IT"/>
              </w:rPr>
            </w:pPr>
          </w:p>
        </w:tc>
        <w:tc>
          <w:tcPr>
            <w:tcW w:w="1557" w:type="dxa"/>
          </w:tcPr>
          <w:p w14:paraId="4FCE7331" w14:textId="77777777" w:rsidR="00710528" w:rsidRPr="00B55EA7" w:rsidRDefault="00710528" w:rsidP="0020110C">
            <w:pPr>
              <w:jc w:val="center"/>
              <w:rPr>
                <w:rFonts w:cs="Arial"/>
                <w:color w:val="000000"/>
                <w:szCs w:val="22"/>
                <w:lang w:eastAsia="it-IT"/>
              </w:rPr>
            </w:pPr>
          </w:p>
        </w:tc>
      </w:tr>
      <w:tr w:rsidR="00710528" w:rsidRPr="00B55EA7" w14:paraId="5D0FE773" w14:textId="5892144A" w:rsidTr="0020110C">
        <w:trPr>
          <w:trHeight w:val="254"/>
          <w:jc w:val="right"/>
        </w:trPr>
        <w:tc>
          <w:tcPr>
            <w:tcW w:w="3423" w:type="dxa"/>
            <w:shd w:val="clear" w:color="auto" w:fill="FFFFFF"/>
            <w:vAlign w:val="center"/>
          </w:tcPr>
          <w:p w14:paraId="5E4229F8" w14:textId="77777777" w:rsidR="00710528" w:rsidRPr="00B55EA7" w:rsidRDefault="00710528" w:rsidP="0020110C">
            <w:pPr>
              <w:rPr>
                <w:rFonts w:cs="Arial"/>
                <w:color w:val="000000"/>
                <w:szCs w:val="22"/>
              </w:rPr>
            </w:pPr>
            <w:r w:rsidRPr="00B55EA7">
              <w:rPr>
                <w:rFonts w:cs="Arial"/>
                <w:color w:val="000000"/>
                <w:szCs w:val="22"/>
              </w:rPr>
              <w:t>- обласний бюджет</w:t>
            </w:r>
          </w:p>
        </w:tc>
        <w:tc>
          <w:tcPr>
            <w:tcW w:w="1240" w:type="dxa"/>
            <w:vAlign w:val="center"/>
          </w:tcPr>
          <w:p w14:paraId="2B50FD3D" w14:textId="77777777" w:rsidR="00710528" w:rsidRPr="00B55EA7" w:rsidRDefault="00710528" w:rsidP="0020110C">
            <w:pPr>
              <w:jc w:val="both"/>
              <w:rPr>
                <w:rFonts w:cs="Arial"/>
                <w:color w:val="000000"/>
                <w:szCs w:val="22"/>
                <w:lang w:eastAsia="it-IT"/>
              </w:rPr>
            </w:pPr>
          </w:p>
        </w:tc>
        <w:tc>
          <w:tcPr>
            <w:tcW w:w="1429" w:type="dxa"/>
            <w:gridSpan w:val="2"/>
          </w:tcPr>
          <w:p w14:paraId="65757C1C" w14:textId="77777777" w:rsidR="00710528" w:rsidRPr="00B55EA7" w:rsidRDefault="00710528" w:rsidP="0020110C">
            <w:pPr>
              <w:jc w:val="center"/>
              <w:rPr>
                <w:rFonts w:cs="Arial"/>
                <w:color w:val="000000"/>
                <w:szCs w:val="22"/>
                <w:lang w:eastAsia="it-IT"/>
              </w:rPr>
            </w:pPr>
          </w:p>
        </w:tc>
        <w:tc>
          <w:tcPr>
            <w:tcW w:w="1310" w:type="dxa"/>
            <w:gridSpan w:val="2"/>
          </w:tcPr>
          <w:p w14:paraId="4D504ABD" w14:textId="77777777" w:rsidR="00710528" w:rsidRPr="00B55EA7" w:rsidRDefault="00710528" w:rsidP="0020110C">
            <w:pPr>
              <w:jc w:val="center"/>
              <w:rPr>
                <w:rFonts w:cs="Arial"/>
                <w:color w:val="000000"/>
                <w:szCs w:val="22"/>
                <w:lang w:eastAsia="it-IT"/>
              </w:rPr>
            </w:pPr>
          </w:p>
        </w:tc>
        <w:tc>
          <w:tcPr>
            <w:tcW w:w="1260" w:type="dxa"/>
            <w:gridSpan w:val="2"/>
          </w:tcPr>
          <w:p w14:paraId="6FF04819" w14:textId="77777777" w:rsidR="00710528" w:rsidRPr="00B55EA7" w:rsidRDefault="00710528" w:rsidP="0020110C">
            <w:pPr>
              <w:jc w:val="center"/>
              <w:rPr>
                <w:rFonts w:cs="Arial"/>
                <w:color w:val="000000"/>
                <w:szCs w:val="22"/>
                <w:lang w:eastAsia="it-IT"/>
              </w:rPr>
            </w:pPr>
          </w:p>
        </w:tc>
        <w:tc>
          <w:tcPr>
            <w:tcW w:w="1557" w:type="dxa"/>
          </w:tcPr>
          <w:p w14:paraId="77214E7E" w14:textId="77777777" w:rsidR="00710528" w:rsidRPr="00B55EA7" w:rsidRDefault="00710528" w:rsidP="0020110C">
            <w:pPr>
              <w:jc w:val="center"/>
              <w:rPr>
                <w:rFonts w:cs="Arial"/>
                <w:color w:val="000000"/>
                <w:szCs w:val="22"/>
                <w:lang w:eastAsia="it-IT"/>
              </w:rPr>
            </w:pPr>
          </w:p>
        </w:tc>
      </w:tr>
      <w:tr w:rsidR="00710528" w:rsidRPr="00B55EA7" w14:paraId="0CBE9FD2" w14:textId="44B9724E" w:rsidTr="0020110C">
        <w:trPr>
          <w:trHeight w:val="275"/>
          <w:jc w:val="right"/>
        </w:trPr>
        <w:tc>
          <w:tcPr>
            <w:tcW w:w="3423" w:type="dxa"/>
            <w:shd w:val="clear" w:color="auto" w:fill="FFFFFF"/>
            <w:vAlign w:val="center"/>
          </w:tcPr>
          <w:p w14:paraId="462EFBE5" w14:textId="77777777" w:rsidR="00710528" w:rsidRPr="00B55EA7" w:rsidRDefault="00710528" w:rsidP="0020110C">
            <w:pPr>
              <w:rPr>
                <w:rFonts w:cs="Arial"/>
                <w:color w:val="000000"/>
                <w:szCs w:val="22"/>
              </w:rPr>
            </w:pPr>
            <w:r w:rsidRPr="00B55EA7">
              <w:rPr>
                <w:rFonts w:cs="Arial"/>
                <w:color w:val="000000"/>
                <w:szCs w:val="22"/>
              </w:rPr>
              <w:t>- бюджет Жмеринської МТГ</w:t>
            </w:r>
          </w:p>
        </w:tc>
        <w:tc>
          <w:tcPr>
            <w:tcW w:w="1240" w:type="dxa"/>
            <w:vAlign w:val="center"/>
          </w:tcPr>
          <w:p w14:paraId="13826739" w14:textId="24FED529" w:rsidR="00710528" w:rsidRPr="00B55EA7" w:rsidRDefault="00710528" w:rsidP="0020110C">
            <w:pPr>
              <w:jc w:val="both"/>
              <w:rPr>
                <w:rFonts w:cs="Arial"/>
                <w:color w:val="000000"/>
                <w:szCs w:val="22"/>
                <w:lang w:eastAsia="it-IT"/>
              </w:rPr>
            </w:pPr>
          </w:p>
        </w:tc>
        <w:tc>
          <w:tcPr>
            <w:tcW w:w="1429" w:type="dxa"/>
            <w:gridSpan w:val="2"/>
          </w:tcPr>
          <w:p w14:paraId="4E343864" w14:textId="5F445910" w:rsidR="00710528" w:rsidRPr="00B55EA7" w:rsidRDefault="00710528" w:rsidP="0020110C">
            <w:pPr>
              <w:jc w:val="center"/>
              <w:rPr>
                <w:rFonts w:cs="Arial"/>
                <w:color w:val="000000"/>
                <w:szCs w:val="22"/>
                <w:lang w:eastAsia="it-IT"/>
              </w:rPr>
            </w:pPr>
            <w:r w:rsidRPr="00B55EA7">
              <w:rPr>
                <w:rFonts w:cs="Arial"/>
                <w:spacing w:val="-5"/>
                <w:szCs w:val="22"/>
              </w:rPr>
              <w:t>9881,786</w:t>
            </w:r>
          </w:p>
        </w:tc>
        <w:tc>
          <w:tcPr>
            <w:tcW w:w="1310" w:type="dxa"/>
            <w:gridSpan w:val="2"/>
          </w:tcPr>
          <w:p w14:paraId="1DF87C37" w14:textId="77777777" w:rsidR="00710528" w:rsidRPr="00B55EA7" w:rsidRDefault="00710528" w:rsidP="0020110C">
            <w:pPr>
              <w:jc w:val="center"/>
              <w:rPr>
                <w:rFonts w:cs="Arial"/>
                <w:color w:val="000000"/>
                <w:szCs w:val="22"/>
                <w:lang w:eastAsia="it-IT"/>
              </w:rPr>
            </w:pPr>
          </w:p>
        </w:tc>
        <w:tc>
          <w:tcPr>
            <w:tcW w:w="1260" w:type="dxa"/>
            <w:gridSpan w:val="2"/>
          </w:tcPr>
          <w:p w14:paraId="4B02A7A6" w14:textId="77777777" w:rsidR="00710528" w:rsidRPr="00B55EA7" w:rsidRDefault="00710528" w:rsidP="0020110C">
            <w:pPr>
              <w:jc w:val="center"/>
              <w:rPr>
                <w:rFonts w:cs="Arial"/>
                <w:color w:val="000000"/>
                <w:szCs w:val="22"/>
                <w:lang w:eastAsia="it-IT"/>
              </w:rPr>
            </w:pPr>
          </w:p>
        </w:tc>
        <w:tc>
          <w:tcPr>
            <w:tcW w:w="1557" w:type="dxa"/>
          </w:tcPr>
          <w:p w14:paraId="1962E7BD" w14:textId="3D519176" w:rsidR="00710528" w:rsidRPr="00710528" w:rsidRDefault="00710528" w:rsidP="0020110C">
            <w:pPr>
              <w:jc w:val="center"/>
              <w:rPr>
                <w:rFonts w:cs="Arial"/>
                <w:b/>
                <w:color w:val="000000"/>
                <w:szCs w:val="22"/>
                <w:lang w:eastAsia="it-IT"/>
              </w:rPr>
            </w:pPr>
            <w:r w:rsidRPr="00710528">
              <w:rPr>
                <w:rFonts w:cs="Arial"/>
                <w:b/>
                <w:spacing w:val="-5"/>
                <w:szCs w:val="22"/>
              </w:rPr>
              <w:t>9881,786</w:t>
            </w:r>
          </w:p>
        </w:tc>
      </w:tr>
      <w:tr w:rsidR="00710528" w:rsidRPr="00B55EA7" w14:paraId="138D182D" w14:textId="6B11742D" w:rsidTr="0020110C">
        <w:trPr>
          <w:trHeight w:val="226"/>
          <w:jc w:val="right"/>
        </w:trPr>
        <w:tc>
          <w:tcPr>
            <w:tcW w:w="3423" w:type="dxa"/>
            <w:shd w:val="clear" w:color="auto" w:fill="FFFFFF"/>
            <w:vAlign w:val="center"/>
          </w:tcPr>
          <w:p w14:paraId="0805F1EA" w14:textId="77777777" w:rsidR="00710528" w:rsidRPr="00B55EA7" w:rsidRDefault="00710528" w:rsidP="0020110C">
            <w:pPr>
              <w:rPr>
                <w:rFonts w:cs="Arial"/>
                <w:color w:val="000000"/>
                <w:szCs w:val="22"/>
              </w:rPr>
            </w:pPr>
            <w:r w:rsidRPr="00B55EA7">
              <w:rPr>
                <w:rFonts w:cs="Arial"/>
                <w:color w:val="000000"/>
                <w:szCs w:val="22"/>
              </w:rPr>
              <w:t>- інші джерела фінансування</w:t>
            </w:r>
          </w:p>
        </w:tc>
        <w:tc>
          <w:tcPr>
            <w:tcW w:w="1240" w:type="dxa"/>
            <w:vAlign w:val="center"/>
          </w:tcPr>
          <w:p w14:paraId="671E6171" w14:textId="77777777" w:rsidR="00710528" w:rsidRPr="00B55EA7" w:rsidRDefault="00710528" w:rsidP="0020110C">
            <w:pPr>
              <w:jc w:val="both"/>
              <w:rPr>
                <w:rFonts w:cs="Arial"/>
                <w:color w:val="000000"/>
                <w:szCs w:val="22"/>
                <w:lang w:eastAsia="it-IT"/>
              </w:rPr>
            </w:pPr>
          </w:p>
        </w:tc>
        <w:tc>
          <w:tcPr>
            <w:tcW w:w="1429" w:type="dxa"/>
            <w:gridSpan w:val="2"/>
          </w:tcPr>
          <w:p w14:paraId="7B268295" w14:textId="77777777" w:rsidR="00710528" w:rsidRPr="00B55EA7" w:rsidRDefault="00710528" w:rsidP="0020110C">
            <w:pPr>
              <w:jc w:val="center"/>
              <w:rPr>
                <w:rFonts w:cs="Arial"/>
                <w:color w:val="000000"/>
                <w:szCs w:val="22"/>
                <w:lang w:eastAsia="it-IT"/>
              </w:rPr>
            </w:pPr>
          </w:p>
        </w:tc>
        <w:tc>
          <w:tcPr>
            <w:tcW w:w="1310" w:type="dxa"/>
            <w:gridSpan w:val="2"/>
          </w:tcPr>
          <w:p w14:paraId="1846CECC" w14:textId="77777777" w:rsidR="00710528" w:rsidRPr="00B55EA7" w:rsidRDefault="00710528" w:rsidP="0020110C">
            <w:pPr>
              <w:jc w:val="center"/>
              <w:rPr>
                <w:rFonts w:cs="Arial"/>
                <w:color w:val="000000"/>
                <w:szCs w:val="22"/>
                <w:lang w:eastAsia="it-IT"/>
              </w:rPr>
            </w:pPr>
          </w:p>
        </w:tc>
        <w:tc>
          <w:tcPr>
            <w:tcW w:w="1260" w:type="dxa"/>
            <w:gridSpan w:val="2"/>
          </w:tcPr>
          <w:p w14:paraId="27E89DE6" w14:textId="77777777" w:rsidR="00710528" w:rsidRPr="00B55EA7" w:rsidRDefault="00710528" w:rsidP="0020110C">
            <w:pPr>
              <w:jc w:val="center"/>
              <w:rPr>
                <w:rFonts w:cs="Arial"/>
                <w:color w:val="000000"/>
                <w:szCs w:val="22"/>
                <w:lang w:eastAsia="it-IT"/>
              </w:rPr>
            </w:pPr>
          </w:p>
        </w:tc>
        <w:tc>
          <w:tcPr>
            <w:tcW w:w="1557" w:type="dxa"/>
          </w:tcPr>
          <w:p w14:paraId="17A2CD7F" w14:textId="77777777" w:rsidR="00710528" w:rsidRPr="00B55EA7" w:rsidRDefault="00710528" w:rsidP="0020110C">
            <w:pPr>
              <w:jc w:val="center"/>
              <w:rPr>
                <w:rFonts w:cs="Arial"/>
                <w:color w:val="000000"/>
                <w:szCs w:val="22"/>
                <w:lang w:eastAsia="it-IT"/>
              </w:rPr>
            </w:pPr>
          </w:p>
        </w:tc>
      </w:tr>
      <w:tr w:rsidR="00CB33C7" w:rsidRPr="00B55EA7" w14:paraId="6DAD9E40" w14:textId="77777777" w:rsidTr="0020110C">
        <w:trPr>
          <w:jc w:val="right"/>
        </w:trPr>
        <w:tc>
          <w:tcPr>
            <w:tcW w:w="3423" w:type="dxa"/>
            <w:shd w:val="clear" w:color="auto" w:fill="FFFFFF"/>
            <w:vAlign w:val="center"/>
          </w:tcPr>
          <w:p w14:paraId="26E52DF2" w14:textId="77777777" w:rsidR="00CB33C7" w:rsidRPr="00B55EA7" w:rsidRDefault="00CB33C7" w:rsidP="0020110C">
            <w:pPr>
              <w:rPr>
                <w:rFonts w:cs="Arial"/>
                <w:b/>
                <w:bCs/>
                <w:color w:val="000000"/>
                <w:szCs w:val="22"/>
              </w:rPr>
            </w:pPr>
            <w:r w:rsidRPr="00B55EA7">
              <w:rPr>
                <w:rFonts w:cs="Arial"/>
                <w:b/>
                <w:color w:val="000000"/>
                <w:szCs w:val="22"/>
              </w:rPr>
              <w:t>Відповідальний виконавець проєкту:</w:t>
            </w:r>
          </w:p>
        </w:tc>
        <w:tc>
          <w:tcPr>
            <w:tcW w:w="6796" w:type="dxa"/>
            <w:gridSpan w:val="8"/>
            <w:vAlign w:val="center"/>
          </w:tcPr>
          <w:p w14:paraId="33A21FE0" w14:textId="5E8CA59F" w:rsidR="00CB33C7" w:rsidRPr="00B55EA7" w:rsidRDefault="00CB33C7" w:rsidP="0020110C">
            <w:pPr>
              <w:jc w:val="both"/>
              <w:rPr>
                <w:rFonts w:cs="Arial"/>
                <w:color w:val="000000"/>
                <w:szCs w:val="22"/>
                <w:lang w:eastAsia="it-IT"/>
              </w:rPr>
            </w:pPr>
            <w:r w:rsidRPr="00B55EA7">
              <w:rPr>
                <w:rFonts w:cs="Arial"/>
                <w:color w:val="000000"/>
                <w:szCs w:val="22"/>
                <w:lang w:eastAsia="it-IT"/>
              </w:rPr>
              <w:t>Управління ЖКГ.</w:t>
            </w:r>
          </w:p>
        </w:tc>
      </w:tr>
      <w:tr w:rsidR="00CB33C7" w:rsidRPr="00B55EA7" w14:paraId="010AE2E6" w14:textId="77777777" w:rsidTr="0020110C">
        <w:trPr>
          <w:jc w:val="right"/>
        </w:trPr>
        <w:tc>
          <w:tcPr>
            <w:tcW w:w="3423" w:type="dxa"/>
            <w:shd w:val="clear" w:color="auto" w:fill="FFFFFF"/>
            <w:vAlign w:val="center"/>
          </w:tcPr>
          <w:p w14:paraId="389D0133" w14:textId="77777777" w:rsidR="00CB33C7" w:rsidRPr="00B55EA7" w:rsidRDefault="00CB33C7" w:rsidP="0020110C">
            <w:pPr>
              <w:rPr>
                <w:rFonts w:cs="Arial"/>
                <w:b/>
                <w:bCs/>
                <w:color w:val="000000"/>
                <w:szCs w:val="22"/>
              </w:rPr>
            </w:pPr>
            <w:r w:rsidRPr="00B55EA7">
              <w:rPr>
                <w:rFonts w:cs="Arial"/>
                <w:b/>
                <w:bCs/>
                <w:color w:val="000000"/>
                <w:szCs w:val="22"/>
              </w:rPr>
              <w:t>Інше:</w:t>
            </w:r>
          </w:p>
        </w:tc>
        <w:tc>
          <w:tcPr>
            <w:tcW w:w="6796" w:type="dxa"/>
            <w:gridSpan w:val="8"/>
            <w:vAlign w:val="center"/>
          </w:tcPr>
          <w:p w14:paraId="1785BF5C" w14:textId="77777777" w:rsidR="00CB33C7" w:rsidRPr="00B55EA7" w:rsidRDefault="00CB33C7" w:rsidP="0020110C">
            <w:pPr>
              <w:rPr>
                <w:rFonts w:cs="Arial"/>
                <w:color w:val="000000"/>
                <w:szCs w:val="22"/>
                <w:lang w:eastAsia="it-IT"/>
              </w:rPr>
            </w:pPr>
          </w:p>
        </w:tc>
      </w:tr>
    </w:tbl>
    <w:p w14:paraId="19AF470E" w14:textId="77777777" w:rsidR="00CB33C7" w:rsidRPr="00C2587D" w:rsidRDefault="00CB33C7" w:rsidP="00CB33C7"/>
    <w:p w14:paraId="7445B216" w14:textId="77777777" w:rsidR="00CB33C7" w:rsidRPr="00C2587D" w:rsidRDefault="00CB33C7" w:rsidP="00CB33C7"/>
    <w:p w14:paraId="30CDDEB5" w14:textId="77777777" w:rsidR="00CB33C7" w:rsidRPr="00C2587D" w:rsidRDefault="00CB33C7" w:rsidP="00CB33C7">
      <w:pPr>
        <w:jc w:val="center"/>
        <w:rPr>
          <w:rFonts w:cs="Arial"/>
          <w:b/>
          <w:szCs w:val="22"/>
        </w:rPr>
      </w:pPr>
      <w:r w:rsidRPr="00C2587D">
        <w:rPr>
          <w:rFonts w:cs="Arial"/>
          <w:b/>
          <w:szCs w:val="22"/>
        </w:rPr>
        <w:t xml:space="preserve">Форма технічного завдання на проєкт місцевого розвитку </w:t>
      </w:r>
    </w:p>
    <w:p w14:paraId="64E5866A" w14:textId="77777777" w:rsidR="00CB33C7" w:rsidRPr="00C2587D" w:rsidRDefault="00CB33C7" w:rsidP="00CB33C7">
      <w:pPr>
        <w:jc w:val="center"/>
        <w:rPr>
          <w:rFonts w:cs="Arial"/>
          <w:b/>
          <w:szCs w:val="22"/>
        </w:rPr>
      </w:pPr>
      <w:r w:rsidRPr="00C2587D">
        <w:rPr>
          <w:rFonts w:cs="Arial"/>
          <w:b/>
          <w:szCs w:val="22"/>
        </w:rPr>
        <w:t>до Плану заходів з реалізації Стратегії</w:t>
      </w:r>
    </w:p>
    <w:p w14:paraId="54628758" w14:textId="77777777" w:rsidR="00CB33C7" w:rsidRPr="00C2587D" w:rsidRDefault="00CB33C7" w:rsidP="00CB33C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46"/>
        <w:gridCol w:w="1366"/>
        <w:gridCol w:w="14"/>
        <w:gridCol w:w="1267"/>
        <w:gridCol w:w="53"/>
        <w:gridCol w:w="1223"/>
        <w:gridCol w:w="67"/>
        <w:gridCol w:w="1504"/>
      </w:tblGrid>
      <w:tr w:rsidR="00CB33C7" w:rsidRPr="00C2587D" w14:paraId="2EE715CF" w14:textId="77777777" w:rsidTr="0020110C">
        <w:trPr>
          <w:jc w:val="right"/>
        </w:trPr>
        <w:tc>
          <w:tcPr>
            <w:tcW w:w="3425" w:type="dxa"/>
            <w:vAlign w:val="center"/>
          </w:tcPr>
          <w:p w14:paraId="62EF17F4" w14:textId="77777777" w:rsidR="00CB33C7" w:rsidRPr="00710528" w:rsidRDefault="00CB33C7" w:rsidP="00710528">
            <w:pPr>
              <w:rPr>
                <w:rFonts w:cs="Arial"/>
                <w:b/>
                <w:bCs/>
                <w:szCs w:val="22"/>
              </w:rPr>
            </w:pPr>
            <w:r w:rsidRPr="00710528">
              <w:rPr>
                <w:rFonts w:cs="Arial"/>
                <w:b/>
                <w:bCs/>
                <w:szCs w:val="22"/>
              </w:rPr>
              <w:t>Назва проєкту:</w:t>
            </w:r>
          </w:p>
        </w:tc>
        <w:tc>
          <w:tcPr>
            <w:tcW w:w="6794" w:type="dxa"/>
            <w:gridSpan w:val="9"/>
          </w:tcPr>
          <w:p w14:paraId="0976D571" w14:textId="7F246669" w:rsidR="00CB33C7" w:rsidRPr="00710528" w:rsidRDefault="00CB33C7" w:rsidP="00710528">
            <w:pPr>
              <w:jc w:val="both"/>
              <w:rPr>
                <w:rFonts w:cs="Arial"/>
                <w:b/>
                <w:szCs w:val="22"/>
                <w:lang w:eastAsia="it-IT"/>
              </w:rPr>
            </w:pPr>
            <w:r w:rsidRPr="00710528">
              <w:rPr>
                <w:rFonts w:eastAsia="Arial" w:cs="Arial"/>
                <w:b/>
                <w:szCs w:val="22"/>
                <w:lang w:eastAsia="en-US"/>
              </w:rPr>
              <w:t xml:space="preserve">Капітальний ремонт дорожнього покриття по вул. Січових стрільців та вул. </w:t>
            </w:r>
            <w:r w:rsidR="00710528" w:rsidRPr="00710528">
              <w:rPr>
                <w:rFonts w:eastAsia="Arial" w:cs="Arial"/>
                <w:b/>
                <w:szCs w:val="22"/>
                <w:lang w:eastAsia="en-US"/>
              </w:rPr>
              <w:t>Литвиненка</w:t>
            </w:r>
            <w:r w:rsidRPr="00710528">
              <w:rPr>
                <w:rFonts w:eastAsia="Arial" w:cs="Arial"/>
                <w:b/>
                <w:szCs w:val="22"/>
                <w:lang w:eastAsia="en-US"/>
              </w:rPr>
              <w:t xml:space="preserve"> (від вул. Шевченка до вул. Січових Стрільців) в м. Жмеринка</w:t>
            </w:r>
          </w:p>
        </w:tc>
      </w:tr>
      <w:tr w:rsidR="00CB33C7" w:rsidRPr="00C2587D" w14:paraId="0B09A6D2" w14:textId="77777777" w:rsidTr="0020110C">
        <w:trPr>
          <w:jc w:val="right"/>
        </w:trPr>
        <w:tc>
          <w:tcPr>
            <w:tcW w:w="3425" w:type="dxa"/>
          </w:tcPr>
          <w:p w14:paraId="723C8428" w14:textId="77777777" w:rsidR="00CB33C7" w:rsidRPr="00710528" w:rsidRDefault="00CB33C7" w:rsidP="00710528">
            <w:pPr>
              <w:rPr>
                <w:rFonts w:cs="Arial"/>
                <w:szCs w:val="22"/>
                <w:lang w:eastAsia="it-IT"/>
              </w:rPr>
            </w:pPr>
            <w:r w:rsidRPr="00710528">
              <w:rPr>
                <w:rFonts w:cs="Arial"/>
                <w:b/>
                <w:bCs/>
                <w:szCs w:val="22"/>
              </w:rPr>
              <w:t>Ваші контакти</w:t>
            </w:r>
            <w:r w:rsidRPr="00710528">
              <w:rPr>
                <w:rFonts w:cs="Arial"/>
                <w:szCs w:val="22"/>
                <w:lang w:eastAsia="it-IT"/>
              </w:rPr>
              <w:t>:</w:t>
            </w:r>
          </w:p>
          <w:p w14:paraId="16A6EA32" w14:textId="77777777" w:rsidR="00CB33C7" w:rsidRPr="00710528" w:rsidRDefault="00CB33C7" w:rsidP="00710528">
            <w:pPr>
              <w:rPr>
                <w:rFonts w:cs="Arial"/>
                <w:b/>
                <w:bCs/>
                <w:szCs w:val="22"/>
              </w:rPr>
            </w:pPr>
            <w:r w:rsidRPr="00710528">
              <w:rPr>
                <w:rFonts w:cs="Arial"/>
                <w:szCs w:val="22"/>
                <w:lang w:eastAsia="it-IT"/>
              </w:rPr>
              <w:t>Назва установи, організації, підприємства</w:t>
            </w:r>
          </w:p>
        </w:tc>
        <w:tc>
          <w:tcPr>
            <w:tcW w:w="6794" w:type="dxa"/>
            <w:gridSpan w:val="9"/>
          </w:tcPr>
          <w:p w14:paraId="1C7336CA" w14:textId="77777777" w:rsidR="00CB33C7" w:rsidRPr="00710528" w:rsidRDefault="00CB33C7" w:rsidP="00710528">
            <w:pPr>
              <w:rPr>
                <w:rFonts w:cs="Arial"/>
                <w:szCs w:val="22"/>
                <w:lang w:eastAsia="it-IT"/>
              </w:rPr>
            </w:pPr>
            <w:r w:rsidRPr="00710528">
              <w:rPr>
                <w:rFonts w:cs="Arial"/>
                <w:szCs w:val="22"/>
                <w:lang w:eastAsia="it-IT"/>
              </w:rPr>
              <w:t>Управління житлово-комунального господарства Жмеринської міської ради</w:t>
            </w:r>
          </w:p>
        </w:tc>
      </w:tr>
      <w:tr w:rsidR="00CB33C7" w:rsidRPr="00C2587D" w14:paraId="710BC915" w14:textId="77777777" w:rsidTr="0020110C">
        <w:trPr>
          <w:jc w:val="right"/>
        </w:trPr>
        <w:tc>
          <w:tcPr>
            <w:tcW w:w="3425" w:type="dxa"/>
          </w:tcPr>
          <w:p w14:paraId="0C518C0D" w14:textId="77777777" w:rsidR="00CB33C7" w:rsidRPr="00710528" w:rsidRDefault="00CB33C7" w:rsidP="00710528">
            <w:pPr>
              <w:rPr>
                <w:rFonts w:cs="Arial"/>
                <w:b/>
                <w:bCs/>
                <w:szCs w:val="22"/>
              </w:rPr>
            </w:pPr>
            <w:r w:rsidRPr="00710528">
              <w:rPr>
                <w:rFonts w:cs="Arial"/>
                <w:szCs w:val="22"/>
                <w:lang w:eastAsia="it-IT"/>
              </w:rPr>
              <w:t>Прізвище Ім’я По-батькові:</w:t>
            </w:r>
          </w:p>
        </w:tc>
        <w:tc>
          <w:tcPr>
            <w:tcW w:w="6794" w:type="dxa"/>
            <w:gridSpan w:val="9"/>
          </w:tcPr>
          <w:p w14:paraId="2F768652" w14:textId="77777777" w:rsidR="00CB33C7" w:rsidRPr="00710528" w:rsidRDefault="00CB33C7" w:rsidP="00710528">
            <w:pPr>
              <w:rPr>
                <w:rFonts w:cs="Arial"/>
                <w:szCs w:val="22"/>
                <w:lang w:eastAsia="it-IT"/>
              </w:rPr>
            </w:pPr>
            <w:r w:rsidRPr="00710528">
              <w:rPr>
                <w:rFonts w:cs="Arial"/>
                <w:szCs w:val="22"/>
                <w:lang w:eastAsia="it-IT"/>
              </w:rPr>
              <w:t>Оленич Андрій Васильович</w:t>
            </w:r>
          </w:p>
        </w:tc>
      </w:tr>
      <w:tr w:rsidR="00CB33C7" w:rsidRPr="00C2587D" w14:paraId="22E564B5" w14:textId="77777777" w:rsidTr="0020110C">
        <w:trPr>
          <w:jc w:val="right"/>
        </w:trPr>
        <w:tc>
          <w:tcPr>
            <w:tcW w:w="3425" w:type="dxa"/>
          </w:tcPr>
          <w:p w14:paraId="6C2E2DE7" w14:textId="77777777" w:rsidR="00CB33C7" w:rsidRPr="00710528" w:rsidRDefault="00CB33C7" w:rsidP="00710528">
            <w:pPr>
              <w:rPr>
                <w:rFonts w:cs="Arial"/>
                <w:b/>
                <w:bCs/>
                <w:szCs w:val="22"/>
              </w:rPr>
            </w:pPr>
            <w:r w:rsidRPr="00710528">
              <w:rPr>
                <w:rFonts w:cs="Arial"/>
                <w:szCs w:val="22"/>
                <w:lang w:eastAsia="it-IT"/>
              </w:rPr>
              <w:t>Телефон (мобільний):</w:t>
            </w:r>
          </w:p>
        </w:tc>
        <w:tc>
          <w:tcPr>
            <w:tcW w:w="6794" w:type="dxa"/>
            <w:gridSpan w:val="9"/>
          </w:tcPr>
          <w:p w14:paraId="42A3D9C0" w14:textId="77777777" w:rsidR="00CB33C7" w:rsidRPr="00710528" w:rsidRDefault="00CB33C7" w:rsidP="00710528">
            <w:pPr>
              <w:rPr>
                <w:rFonts w:cs="Arial"/>
                <w:szCs w:val="22"/>
                <w:lang w:eastAsia="it-IT"/>
              </w:rPr>
            </w:pPr>
            <w:r w:rsidRPr="00710528">
              <w:rPr>
                <w:rFonts w:cs="Arial"/>
                <w:szCs w:val="22"/>
                <w:lang w:eastAsia="it-IT"/>
              </w:rPr>
              <w:t>0972561907</w:t>
            </w:r>
          </w:p>
        </w:tc>
      </w:tr>
      <w:tr w:rsidR="00CB33C7" w:rsidRPr="00C2587D" w14:paraId="39010F90" w14:textId="77777777" w:rsidTr="0020110C">
        <w:trPr>
          <w:jc w:val="right"/>
        </w:trPr>
        <w:tc>
          <w:tcPr>
            <w:tcW w:w="3425" w:type="dxa"/>
          </w:tcPr>
          <w:p w14:paraId="555531F2" w14:textId="77777777" w:rsidR="00CB33C7" w:rsidRPr="00710528" w:rsidRDefault="00CB33C7" w:rsidP="00710528">
            <w:pPr>
              <w:rPr>
                <w:rFonts w:cs="Arial"/>
                <w:b/>
                <w:bCs/>
                <w:szCs w:val="22"/>
              </w:rPr>
            </w:pPr>
            <w:r w:rsidRPr="00710528">
              <w:rPr>
                <w:rFonts w:cs="Arial"/>
                <w:szCs w:val="22"/>
                <w:lang w:eastAsia="it-IT"/>
              </w:rPr>
              <w:t>Електронна адреса:</w:t>
            </w:r>
          </w:p>
        </w:tc>
        <w:tc>
          <w:tcPr>
            <w:tcW w:w="6794" w:type="dxa"/>
            <w:gridSpan w:val="9"/>
          </w:tcPr>
          <w:p w14:paraId="4069E19D" w14:textId="77777777" w:rsidR="00CB33C7" w:rsidRPr="00710528" w:rsidRDefault="00D85FFD" w:rsidP="00710528">
            <w:pPr>
              <w:rPr>
                <w:rFonts w:cs="Arial"/>
                <w:szCs w:val="22"/>
                <w:lang w:eastAsia="it-IT"/>
              </w:rPr>
            </w:pPr>
            <w:hyperlink r:id="rId62" w:history="1">
              <w:r w:rsidR="00CB33C7" w:rsidRPr="00710528">
                <w:rPr>
                  <w:rStyle w:val="af0"/>
                  <w:rFonts w:cs="Arial"/>
                  <w:noProof w:val="0"/>
                  <w:sz w:val="22"/>
                  <w:szCs w:val="22"/>
                  <w:lang w:eastAsia="it-IT"/>
                </w:rPr>
                <w:t>Aolenych03@ukr.net</w:t>
              </w:r>
            </w:hyperlink>
          </w:p>
        </w:tc>
      </w:tr>
      <w:tr w:rsidR="00CB33C7" w:rsidRPr="00C2587D" w14:paraId="7C39FA65" w14:textId="77777777" w:rsidTr="0020110C">
        <w:trPr>
          <w:jc w:val="right"/>
        </w:trPr>
        <w:tc>
          <w:tcPr>
            <w:tcW w:w="3425" w:type="dxa"/>
            <w:vAlign w:val="center"/>
          </w:tcPr>
          <w:p w14:paraId="78BEE4BF" w14:textId="77777777" w:rsidR="00CB33C7" w:rsidRPr="00710528" w:rsidRDefault="00CB33C7" w:rsidP="00710528">
            <w:pPr>
              <w:pStyle w:val="6"/>
              <w:spacing w:before="0" w:after="0"/>
              <w:rPr>
                <w:rFonts w:ascii="Arial" w:hAnsi="Arial" w:cs="Arial"/>
                <w:lang w:val="uk-UA"/>
              </w:rPr>
            </w:pPr>
            <w:r w:rsidRPr="00710528">
              <w:rPr>
                <w:rFonts w:ascii="Arial" w:hAnsi="Arial" w:cs="Arial"/>
                <w:lang w:val="uk-UA"/>
              </w:rPr>
              <w:t>Номер і назва завдання з Стратегії</w:t>
            </w:r>
            <w:r w:rsidRPr="00710528">
              <w:rPr>
                <w:rFonts w:ascii="Arial" w:hAnsi="Arial" w:cs="Arial"/>
                <w:lang w:val="uk-UA" w:eastAsia="it-IT"/>
              </w:rPr>
              <w:t xml:space="preserve"> </w:t>
            </w:r>
            <w:r w:rsidRPr="00710528">
              <w:rPr>
                <w:rFonts w:ascii="Arial" w:hAnsi="Arial" w:cs="Arial"/>
                <w:lang w:val="uk-UA"/>
              </w:rPr>
              <w:t xml:space="preserve">розвитку Жмеринської міської </w:t>
            </w:r>
          </w:p>
        </w:tc>
        <w:tc>
          <w:tcPr>
            <w:tcW w:w="6794" w:type="dxa"/>
            <w:gridSpan w:val="9"/>
            <w:vAlign w:val="center"/>
          </w:tcPr>
          <w:p w14:paraId="4E5A60A2" w14:textId="77777777" w:rsidR="00CB33C7" w:rsidRPr="00710528" w:rsidRDefault="00CB33C7" w:rsidP="00710528">
            <w:pPr>
              <w:suppressAutoHyphens/>
              <w:jc w:val="both"/>
              <w:rPr>
                <w:rFonts w:eastAsia="Lucida Sans Unicode" w:cs="Arial"/>
                <w:kern w:val="1"/>
                <w:szCs w:val="22"/>
                <w:lang w:eastAsia="ar-SA"/>
              </w:rPr>
            </w:pPr>
            <w:r w:rsidRPr="00710528">
              <w:rPr>
                <w:rFonts w:eastAsia="Lucida Sans Unicode" w:cs="Arial"/>
                <w:kern w:val="1"/>
                <w:szCs w:val="22"/>
                <w:lang w:eastAsia="ar-SA"/>
              </w:rPr>
              <w:t>В.1.1.3. Проведення будівництва, реконструкції та капітального ремонту дорожнього покриття вулиць  та тротуарів в населених пунктах територіальної громади.</w:t>
            </w:r>
          </w:p>
        </w:tc>
      </w:tr>
      <w:tr w:rsidR="00CB33C7" w:rsidRPr="00C2587D" w14:paraId="185C3F24" w14:textId="77777777" w:rsidTr="0020110C">
        <w:trPr>
          <w:jc w:val="right"/>
        </w:trPr>
        <w:tc>
          <w:tcPr>
            <w:tcW w:w="3425" w:type="dxa"/>
            <w:vAlign w:val="center"/>
          </w:tcPr>
          <w:p w14:paraId="5747E2D6" w14:textId="77777777" w:rsidR="00CB33C7" w:rsidRPr="00710528" w:rsidRDefault="00CB33C7" w:rsidP="00710528">
            <w:pPr>
              <w:rPr>
                <w:rFonts w:cs="Arial"/>
                <w:b/>
                <w:bCs/>
                <w:szCs w:val="22"/>
              </w:rPr>
            </w:pPr>
            <w:r w:rsidRPr="00710528">
              <w:rPr>
                <w:rFonts w:cs="Arial"/>
                <w:b/>
                <w:bCs/>
                <w:szCs w:val="22"/>
              </w:rPr>
              <w:t>Мета проєкту:</w:t>
            </w:r>
          </w:p>
        </w:tc>
        <w:tc>
          <w:tcPr>
            <w:tcW w:w="6794" w:type="dxa"/>
            <w:gridSpan w:val="9"/>
          </w:tcPr>
          <w:p w14:paraId="7BD6062D" w14:textId="77777777" w:rsidR="00CB33C7" w:rsidRPr="00710528" w:rsidRDefault="00CB33C7" w:rsidP="00710528">
            <w:pPr>
              <w:jc w:val="both"/>
              <w:rPr>
                <w:rFonts w:cs="Arial"/>
                <w:szCs w:val="22"/>
                <w:lang w:eastAsia="it-IT"/>
              </w:rPr>
            </w:pPr>
            <w:r w:rsidRPr="00710528">
              <w:rPr>
                <w:rFonts w:cs="Arial"/>
                <w:szCs w:val="22"/>
                <w:lang w:eastAsia="it-IT"/>
              </w:rPr>
              <w:t>Забезпечення  населення громади м. Жмеринка якісною інфраструктурою, а саме дорогами з рівним покриттям.</w:t>
            </w:r>
          </w:p>
          <w:p w14:paraId="5CB7F5C4" w14:textId="77777777" w:rsidR="00CB33C7" w:rsidRPr="00710528" w:rsidRDefault="00CB33C7" w:rsidP="00710528">
            <w:pPr>
              <w:rPr>
                <w:rFonts w:cs="Arial"/>
                <w:szCs w:val="22"/>
                <w:lang w:eastAsia="it-IT"/>
              </w:rPr>
            </w:pPr>
            <w:r w:rsidRPr="00710528">
              <w:rPr>
                <w:rFonts w:cs="Arial"/>
                <w:szCs w:val="22"/>
                <w:lang w:eastAsia="it-IT"/>
              </w:rPr>
              <w:t>Мешканці громади отримують більш комфортні   та безпечні умови проживання та перебування в населеному пункті.</w:t>
            </w:r>
          </w:p>
        </w:tc>
      </w:tr>
      <w:tr w:rsidR="00CB33C7" w:rsidRPr="00C2587D" w14:paraId="18A9439B" w14:textId="77777777" w:rsidTr="0020110C">
        <w:trPr>
          <w:jc w:val="right"/>
        </w:trPr>
        <w:tc>
          <w:tcPr>
            <w:tcW w:w="3425" w:type="dxa"/>
            <w:vAlign w:val="center"/>
          </w:tcPr>
          <w:p w14:paraId="25EF00E0" w14:textId="77777777" w:rsidR="00CB33C7" w:rsidRPr="00710528" w:rsidRDefault="00CB33C7" w:rsidP="00710528">
            <w:pPr>
              <w:rPr>
                <w:rFonts w:cs="Arial"/>
                <w:b/>
                <w:bCs/>
                <w:szCs w:val="22"/>
              </w:rPr>
            </w:pPr>
            <w:r w:rsidRPr="00710528">
              <w:rPr>
                <w:rFonts w:cs="Arial"/>
                <w:b/>
                <w:bCs/>
                <w:szCs w:val="22"/>
              </w:rPr>
              <w:t>Цілі проєкту:</w:t>
            </w:r>
          </w:p>
        </w:tc>
        <w:tc>
          <w:tcPr>
            <w:tcW w:w="6794" w:type="dxa"/>
            <w:gridSpan w:val="9"/>
          </w:tcPr>
          <w:p w14:paraId="5D015F13" w14:textId="77777777" w:rsidR="00CB33C7" w:rsidRPr="00710528" w:rsidRDefault="00CB33C7" w:rsidP="00710528">
            <w:pPr>
              <w:rPr>
                <w:rFonts w:cs="Arial"/>
                <w:szCs w:val="22"/>
                <w:lang w:eastAsia="it-IT"/>
              </w:rPr>
            </w:pPr>
            <w:r w:rsidRPr="00710528">
              <w:rPr>
                <w:rFonts w:cs="Arial"/>
                <w:szCs w:val="22"/>
                <w:lang w:eastAsia="it-IT"/>
              </w:rPr>
              <w:t>Покращити інфраструктуру   дорожнього покриття в м. Жмеринка</w:t>
            </w:r>
          </w:p>
        </w:tc>
      </w:tr>
      <w:tr w:rsidR="00CB33C7" w:rsidRPr="00C2587D" w14:paraId="1937ADD3" w14:textId="77777777" w:rsidTr="0020110C">
        <w:trPr>
          <w:jc w:val="right"/>
        </w:trPr>
        <w:tc>
          <w:tcPr>
            <w:tcW w:w="3425" w:type="dxa"/>
            <w:vAlign w:val="center"/>
          </w:tcPr>
          <w:p w14:paraId="309353C5" w14:textId="77777777" w:rsidR="00CB33C7" w:rsidRPr="00710528" w:rsidRDefault="00CB33C7" w:rsidP="00710528">
            <w:pPr>
              <w:autoSpaceDE w:val="0"/>
              <w:autoSpaceDN w:val="0"/>
              <w:adjustRightInd w:val="0"/>
              <w:rPr>
                <w:rFonts w:cs="Arial"/>
                <w:b/>
                <w:szCs w:val="22"/>
              </w:rPr>
            </w:pPr>
            <w:r w:rsidRPr="00710528">
              <w:rPr>
                <w:rFonts w:cs="Arial"/>
                <w:b/>
                <w:szCs w:val="22"/>
              </w:rPr>
              <w:t>Територія на яку проєкт матиме вплив:</w:t>
            </w:r>
          </w:p>
        </w:tc>
        <w:tc>
          <w:tcPr>
            <w:tcW w:w="6794" w:type="dxa"/>
            <w:gridSpan w:val="9"/>
          </w:tcPr>
          <w:p w14:paraId="1F018AD4" w14:textId="5A86E381" w:rsidR="00CB33C7" w:rsidRPr="00710528" w:rsidRDefault="00CB33C7" w:rsidP="00710528">
            <w:pPr>
              <w:rPr>
                <w:rFonts w:cs="Arial"/>
                <w:szCs w:val="22"/>
                <w:lang w:eastAsia="it-IT"/>
              </w:rPr>
            </w:pPr>
            <w:r w:rsidRPr="00710528">
              <w:rPr>
                <w:rFonts w:cs="Arial"/>
                <w:szCs w:val="22"/>
                <w:lang w:eastAsia="it-IT"/>
              </w:rPr>
              <w:t xml:space="preserve">Території </w:t>
            </w:r>
            <w:r w:rsidR="00710528" w:rsidRPr="00710528">
              <w:rPr>
                <w:rFonts w:cs="Arial"/>
                <w:szCs w:val="22"/>
                <w:lang w:eastAsia="it-IT"/>
              </w:rPr>
              <w:t>Жмеринська</w:t>
            </w:r>
            <w:r w:rsidRPr="00710528">
              <w:rPr>
                <w:rFonts w:cs="Arial"/>
                <w:szCs w:val="22"/>
                <w:lang w:eastAsia="it-IT"/>
              </w:rPr>
              <w:t xml:space="preserve"> М</w:t>
            </w:r>
            <w:r w:rsidR="00710528" w:rsidRPr="00710528">
              <w:rPr>
                <w:rFonts w:cs="Arial"/>
                <w:szCs w:val="22"/>
                <w:lang w:eastAsia="it-IT"/>
              </w:rPr>
              <w:t>Т</w:t>
            </w:r>
            <w:r w:rsidRPr="00710528">
              <w:rPr>
                <w:rFonts w:cs="Arial"/>
                <w:szCs w:val="22"/>
                <w:lang w:eastAsia="it-IT"/>
              </w:rPr>
              <w:t>Г</w:t>
            </w:r>
          </w:p>
        </w:tc>
      </w:tr>
      <w:tr w:rsidR="00CB33C7" w:rsidRPr="00C2587D" w14:paraId="55B88460" w14:textId="77777777" w:rsidTr="0020110C">
        <w:trPr>
          <w:jc w:val="right"/>
        </w:trPr>
        <w:tc>
          <w:tcPr>
            <w:tcW w:w="3425" w:type="dxa"/>
            <w:vAlign w:val="center"/>
          </w:tcPr>
          <w:p w14:paraId="08144415" w14:textId="77777777" w:rsidR="00CB33C7" w:rsidRPr="00710528" w:rsidRDefault="00CB33C7" w:rsidP="00710528">
            <w:pPr>
              <w:autoSpaceDE w:val="0"/>
              <w:autoSpaceDN w:val="0"/>
              <w:adjustRightInd w:val="0"/>
              <w:rPr>
                <w:rFonts w:cs="Arial"/>
                <w:b/>
                <w:szCs w:val="22"/>
              </w:rPr>
            </w:pPr>
            <w:r w:rsidRPr="00710528">
              <w:rPr>
                <w:rFonts w:cs="Arial"/>
                <w:b/>
                <w:szCs w:val="22"/>
              </w:rPr>
              <w:t>Цільові групи проєкту та кількість отримувачів вигоди</w:t>
            </w:r>
          </w:p>
        </w:tc>
        <w:tc>
          <w:tcPr>
            <w:tcW w:w="6794" w:type="dxa"/>
            <w:gridSpan w:val="9"/>
          </w:tcPr>
          <w:p w14:paraId="0C849799" w14:textId="77777777" w:rsidR="00CB33C7" w:rsidRPr="00710528" w:rsidRDefault="00CB33C7" w:rsidP="00710528">
            <w:pPr>
              <w:rPr>
                <w:rFonts w:cs="Arial"/>
                <w:szCs w:val="22"/>
                <w:lang w:eastAsia="it-IT"/>
              </w:rPr>
            </w:pPr>
            <w:r w:rsidRPr="00710528">
              <w:rPr>
                <w:rFonts w:cs="Arial"/>
                <w:szCs w:val="22"/>
                <w:lang w:eastAsia="it-IT"/>
              </w:rPr>
              <w:t>Жителі м. Жмеринка в кількості 34353 містян</w:t>
            </w:r>
          </w:p>
        </w:tc>
      </w:tr>
      <w:tr w:rsidR="00CB33C7" w:rsidRPr="00C2587D" w14:paraId="38DFC32E" w14:textId="77777777" w:rsidTr="0020110C">
        <w:trPr>
          <w:jc w:val="right"/>
        </w:trPr>
        <w:tc>
          <w:tcPr>
            <w:tcW w:w="3425" w:type="dxa"/>
            <w:shd w:val="clear" w:color="auto" w:fill="FFFFFF"/>
            <w:vAlign w:val="center"/>
          </w:tcPr>
          <w:p w14:paraId="22BB2EC5" w14:textId="77777777" w:rsidR="00CB33C7" w:rsidRPr="00710528" w:rsidRDefault="00CB33C7" w:rsidP="00710528">
            <w:pPr>
              <w:rPr>
                <w:rFonts w:cs="Arial"/>
                <w:b/>
                <w:bCs/>
                <w:szCs w:val="22"/>
              </w:rPr>
            </w:pPr>
            <w:r w:rsidRPr="00710528">
              <w:rPr>
                <w:rFonts w:cs="Arial"/>
                <w:b/>
                <w:bCs/>
                <w:szCs w:val="22"/>
              </w:rPr>
              <w:t>Стислий опис проєкту:</w:t>
            </w:r>
          </w:p>
        </w:tc>
        <w:tc>
          <w:tcPr>
            <w:tcW w:w="6794" w:type="dxa"/>
            <w:gridSpan w:val="9"/>
          </w:tcPr>
          <w:p w14:paraId="01FDF185" w14:textId="77777777" w:rsidR="00CB33C7" w:rsidRPr="00710528" w:rsidRDefault="00CB33C7" w:rsidP="00710528">
            <w:pPr>
              <w:pStyle w:val="ad"/>
              <w:shd w:val="clear" w:color="auto" w:fill="FFFFFF"/>
              <w:spacing w:before="0" w:beforeAutospacing="0" w:after="0" w:afterAutospacing="0"/>
              <w:ind w:firstLine="148"/>
              <w:jc w:val="both"/>
              <w:rPr>
                <w:rFonts w:cs="Arial"/>
                <w:szCs w:val="22"/>
              </w:rPr>
            </w:pPr>
            <w:r w:rsidRPr="00710528">
              <w:rPr>
                <w:rFonts w:cs="Arial"/>
                <w:szCs w:val="22"/>
              </w:rPr>
              <w:t>Якість доріг забезпечує роботу всіх галузей промисловості, соціальний розвиток суспільства. Забезпечує доступ у різні місця населеного пункту, а також безпечне та надійне переміщення людей і транспортування товарів і має надзвичайно важливе значення.</w:t>
            </w:r>
          </w:p>
          <w:p w14:paraId="06272667" w14:textId="77777777" w:rsidR="00CB33C7" w:rsidRPr="00710528" w:rsidRDefault="00CB33C7" w:rsidP="00710528">
            <w:pPr>
              <w:pStyle w:val="ad"/>
              <w:shd w:val="clear" w:color="auto" w:fill="FFFFFF"/>
              <w:spacing w:before="0" w:beforeAutospacing="0" w:after="0" w:afterAutospacing="0"/>
              <w:ind w:firstLine="148"/>
              <w:jc w:val="both"/>
              <w:rPr>
                <w:rFonts w:cs="Arial"/>
                <w:szCs w:val="22"/>
              </w:rPr>
            </w:pPr>
            <w:r w:rsidRPr="00710528">
              <w:rPr>
                <w:rFonts w:cs="Arial"/>
                <w:szCs w:val="22"/>
              </w:rPr>
              <w:t>Від стану автомобільних доріг залежать витрати на перевезення вантажів та пасажирів, рівень цін, певною мірою зайнятість населення.</w:t>
            </w:r>
          </w:p>
          <w:p w14:paraId="26F901E8" w14:textId="77777777" w:rsidR="00CB33C7" w:rsidRPr="00710528" w:rsidRDefault="00CB33C7" w:rsidP="00710528">
            <w:pPr>
              <w:pStyle w:val="ad"/>
              <w:shd w:val="clear" w:color="auto" w:fill="FFFFFF"/>
              <w:spacing w:before="0" w:beforeAutospacing="0" w:after="0" w:afterAutospacing="0"/>
              <w:ind w:firstLine="148"/>
              <w:jc w:val="both"/>
              <w:rPr>
                <w:rFonts w:cs="Arial"/>
                <w:szCs w:val="22"/>
                <w:shd w:val="clear" w:color="auto" w:fill="FFFFFF"/>
              </w:rPr>
            </w:pPr>
            <w:r w:rsidRPr="00710528">
              <w:rPr>
                <w:rFonts w:cs="Arial"/>
                <w:szCs w:val="22"/>
              </w:rPr>
              <w:t xml:space="preserve"> </w:t>
            </w:r>
            <w:r w:rsidRPr="00710528">
              <w:rPr>
                <w:rFonts w:cs="Arial"/>
                <w:szCs w:val="22"/>
                <w:shd w:val="clear" w:color="auto" w:fill="FFFFFF"/>
              </w:rPr>
              <w:t>Перш за все викликають занепокоєння ті ділянки доріг, по яких проходять автобусні сполучення, підвезення дітей до навчальних закладів, надання невідкладної медичної допомоги.</w:t>
            </w:r>
          </w:p>
          <w:p w14:paraId="39CAEC80" w14:textId="78CAF710" w:rsidR="00CB33C7" w:rsidRPr="00710528" w:rsidRDefault="00CB33C7" w:rsidP="00710528">
            <w:pPr>
              <w:rPr>
                <w:rFonts w:cs="Arial"/>
                <w:szCs w:val="22"/>
                <w:lang w:eastAsia="it-IT"/>
              </w:rPr>
            </w:pPr>
            <w:r w:rsidRPr="00710528">
              <w:rPr>
                <w:rFonts w:cs="Arial"/>
                <w:szCs w:val="22"/>
                <w:shd w:val="clear" w:color="auto" w:fill="FFFFFF"/>
              </w:rPr>
              <w:t xml:space="preserve">З метою безперебійного перевезення людей, необхідно провести капітальний ремонт доріг по вул. Січових Стрільців та вул. </w:t>
            </w:r>
            <w:r w:rsidR="00710528" w:rsidRPr="00710528">
              <w:rPr>
                <w:rFonts w:cs="Arial"/>
                <w:szCs w:val="22"/>
                <w:shd w:val="clear" w:color="auto" w:fill="FFFFFF"/>
              </w:rPr>
              <w:t>Литвиненка</w:t>
            </w:r>
            <w:r w:rsidRPr="00710528">
              <w:rPr>
                <w:rFonts w:cs="Arial"/>
                <w:szCs w:val="22"/>
                <w:shd w:val="clear" w:color="auto" w:fill="FFFFFF"/>
              </w:rPr>
              <w:t xml:space="preserve"> в м. Жмеринка</w:t>
            </w:r>
          </w:p>
        </w:tc>
      </w:tr>
      <w:tr w:rsidR="00CB33C7" w:rsidRPr="00C2587D" w14:paraId="1D0452DD" w14:textId="77777777" w:rsidTr="0020110C">
        <w:trPr>
          <w:jc w:val="right"/>
        </w:trPr>
        <w:tc>
          <w:tcPr>
            <w:tcW w:w="3425" w:type="dxa"/>
            <w:shd w:val="clear" w:color="auto" w:fill="FFFFFF"/>
            <w:vAlign w:val="center"/>
          </w:tcPr>
          <w:p w14:paraId="7B4F813E" w14:textId="77777777" w:rsidR="00CB33C7" w:rsidRPr="00710528" w:rsidRDefault="00CB33C7" w:rsidP="00710528">
            <w:pPr>
              <w:rPr>
                <w:rFonts w:cs="Arial"/>
                <w:b/>
                <w:bCs/>
                <w:szCs w:val="22"/>
              </w:rPr>
            </w:pPr>
            <w:r w:rsidRPr="00710528">
              <w:rPr>
                <w:rFonts w:cs="Arial"/>
                <w:b/>
                <w:bCs/>
                <w:szCs w:val="22"/>
              </w:rPr>
              <w:t>Основні заходи проєкту:</w:t>
            </w:r>
          </w:p>
        </w:tc>
        <w:tc>
          <w:tcPr>
            <w:tcW w:w="6794" w:type="dxa"/>
            <w:gridSpan w:val="9"/>
          </w:tcPr>
          <w:p w14:paraId="341E16F1" w14:textId="357A4A01" w:rsidR="00CB33C7" w:rsidRPr="00710528" w:rsidRDefault="00CB33C7" w:rsidP="00710528">
            <w:pPr>
              <w:jc w:val="both"/>
              <w:rPr>
                <w:rFonts w:cs="Arial"/>
                <w:szCs w:val="22"/>
                <w:lang w:eastAsia="it-IT"/>
              </w:rPr>
            </w:pPr>
            <w:r w:rsidRPr="00710528">
              <w:rPr>
                <w:rFonts w:cs="Arial"/>
                <w:szCs w:val="22"/>
                <w:lang w:eastAsia="it-IT"/>
              </w:rPr>
              <w:t>Створення робочо</w:t>
            </w:r>
            <w:r w:rsidR="00EE17EE">
              <w:rPr>
                <w:rFonts w:cs="Arial"/>
                <w:szCs w:val="22"/>
                <w:lang w:eastAsia="it-IT"/>
              </w:rPr>
              <w:t>ї групи з питань реалізації проє</w:t>
            </w:r>
            <w:r w:rsidRPr="00710528">
              <w:rPr>
                <w:rFonts w:cs="Arial"/>
                <w:szCs w:val="22"/>
                <w:lang w:eastAsia="it-IT"/>
              </w:rPr>
              <w:t xml:space="preserve">кту. </w:t>
            </w:r>
          </w:p>
          <w:p w14:paraId="0162F94A" w14:textId="77777777" w:rsidR="00CB33C7" w:rsidRPr="00710528" w:rsidRDefault="00CB33C7" w:rsidP="00710528">
            <w:pPr>
              <w:jc w:val="both"/>
              <w:rPr>
                <w:rFonts w:cs="Arial"/>
                <w:szCs w:val="22"/>
                <w:lang w:eastAsia="it-IT"/>
              </w:rPr>
            </w:pPr>
            <w:r w:rsidRPr="00710528">
              <w:rPr>
                <w:rFonts w:cs="Arial"/>
                <w:szCs w:val="22"/>
                <w:lang w:eastAsia="it-IT"/>
              </w:rPr>
              <w:t>Проведення процедури закупівель (визначення виконавця робіт).</w:t>
            </w:r>
          </w:p>
          <w:p w14:paraId="4D024846" w14:textId="77777777" w:rsidR="00CB33C7" w:rsidRPr="00710528" w:rsidRDefault="00CB33C7" w:rsidP="00710528">
            <w:pPr>
              <w:jc w:val="both"/>
              <w:rPr>
                <w:rFonts w:cs="Arial"/>
                <w:szCs w:val="22"/>
                <w:lang w:eastAsia="it-IT"/>
              </w:rPr>
            </w:pPr>
            <w:r w:rsidRPr="00710528">
              <w:rPr>
                <w:rFonts w:cs="Arial"/>
                <w:szCs w:val="22"/>
                <w:lang w:eastAsia="it-IT"/>
              </w:rPr>
              <w:t>Укладення договорів з виконавцем робіт, організаціями, що здійснюватимуть  технічний та авторський  нагляд .</w:t>
            </w:r>
          </w:p>
          <w:p w14:paraId="6B9B8EB4" w14:textId="3265A686" w:rsidR="00CB33C7" w:rsidRPr="00710528" w:rsidRDefault="00CB33C7" w:rsidP="00710528">
            <w:pPr>
              <w:jc w:val="both"/>
              <w:rPr>
                <w:rFonts w:cs="Arial"/>
                <w:szCs w:val="22"/>
                <w:lang w:eastAsia="it-IT"/>
              </w:rPr>
            </w:pPr>
            <w:r w:rsidRPr="00710528">
              <w:rPr>
                <w:rFonts w:cs="Arial"/>
                <w:szCs w:val="22"/>
                <w:lang w:eastAsia="it-IT"/>
              </w:rPr>
              <w:t xml:space="preserve">Виконання робіт з капітального ремонту дорожнього покриття по вул. Січових Стрільців та вул. </w:t>
            </w:r>
            <w:r w:rsidR="00710528" w:rsidRPr="00710528">
              <w:rPr>
                <w:rFonts w:cs="Arial"/>
                <w:szCs w:val="22"/>
                <w:lang w:eastAsia="it-IT"/>
              </w:rPr>
              <w:t>Литвиненка</w:t>
            </w:r>
            <w:r w:rsidRPr="00710528">
              <w:rPr>
                <w:rFonts w:cs="Arial"/>
                <w:szCs w:val="22"/>
                <w:lang w:eastAsia="it-IT"/>
              </w:rPr>
              <w:t xml:space="preserve"> в м. Жмеринка</w:t>
            </w:r>
          </w:p>
          <w:p w14:paraId="49BE7C90" w14:textId="77777777" w:rsidR="00CB33C7" w:rsidRPr="00710528" w:rsidRDefault="00CB33C7" w:rsidP="00710528">
            <w:pPr>
              <w:jc w:val="both"/>
              <w:rPr>
                <w:rFonts w:cs="Arial"/>
                <w:szCs w:val="22"/>
                <w:lang w:eastAsia="it-IT"/>
              </w:rPr>
            </w:pPr>
            <w:r w:rsidRPr="00710528">
              <w:rPr>
                <w:rFonts w:cs="Arial"/>
                <w:szCs w:val="22"/>
                <w:lang w:eastAsia="it-IT"/>
              </w:rPr>
              <w:t>Введення  об’єкту в експлуатацію .</w:t>
            </w:r>
          </w:p>
          <w:p w14:paraId="2BBD6CD1" w14:textId="5534FBF0" w:rsidR="00CB33C7" w:rsidRPr="00710528" w:rsidRDefault="00CB33C7" w:rsidP="00710528">
            <w:pPr>
              <w:rPr>
                <w:rFonts w:cs="Arial"/>
                <w:szCs w:val="22"/>
                <w:lang w:eastAsia="it-IT"/>
              </w:rPr>
            </w:pPr>
            <w:r w:rsidRPr="00710528">
              <w:rPr>
                <w:rFonts w:cs="Arial"/>
                <w:szCs w:val="22"/>
                <w:lang w:eastAsia="it-IT"/>
              </w:rPr>
              <w:t xml:space="preserve">Проведення інформаційних заходів (розміщення  </w:t>
            </w:r>
            <w:r w:rsidR="00EE17EE">
              <w:rPr>
                <w:rFonts w:cs="Arial"/>
                <w:szCs w:val="22"/>
                <w:lang w:eastAsia="it-IT"/>
              </w:rPr>
              <w:t>інформації  про реалізацію  проє</w:t>
            </w:r>
            <w:r w:rsidRPr="00710528">
              <w:rPr>
                <w:rFonts w:cs="Arial"/>
                <w:szCs w:val="22"/>
                <w:lang w:eastAsia="it-IT"/>
              </w:rPr>
              <w:t>кту у ЗМІ) .</w:t>
            </w:r>
          </w:p>
        </w:tc>
      </w:tr>
      <w:tr w:rsidR="00CB33C7" w:rsidRPr="00C2587D" w14:paraId="76B4F9DA" w14:textId="77777777" w:rsidTr="0020110C">
        <w:trPr>
          <w:jc w:val="right"/>
        </w:trPr>
        <w:tc>
          <w:tcPr>
            <w:tcW w:w="3425" w:type="dxa"/>
            <w:shd w:val="clear" w:color="auto" w:fill="FFFFFF"/>
            <w:vAlign w:val="center"/>
          </w:tcPr>
          <w:p w14:paraId="49EB9FF5" w14:textId="77777777" w:rsidR="00CB33C7" w:rsidRPr="00710528" w:rsidRDefault="00CB33C7" w:rsidP="00710528">
            <w:pPr>
              <w:rPr>
                <w:rFonts w:cs="Arial"/>
                <w:b/>
                <w:bCs/>
                <w:szCs w:val="22"/>
              </w:rPr>
            </w:pPr>
            <w:r w:rsidRPr="00710528">
              <w:rPr>
                <w:rFonts w:cs="Arial"/>
                <w:b/>
                <w:bCs/>
                <w:szCs w:val="22"/>
              </w:rPr>
              <w:t>Індикатори (показники) результативності:</w:t>
            </w:r>
          </w:p>
        </w:tc>
        <w:tc>
          <w:tcPr>
            <w:tcW w:w="6794" w:type="dxa"/>
            <w:gridSpan w:val="9"/>
          </w:tcPr>
          <w:p w14:paraId="6F645244" w14:textId="77777777" w:rsidR="00CB33C7" w:rsidRPr="00710528" w:rsidRDefault="00CB33C7" w:rsidP="00710528">
            <w:pPr>
              <w:rPr>
                <w:rFonts w:cs="Arial"/>
                <w:szCs w:val="22"/>
                <w:lang w:eastAsia="it-IT"/>
              </w:rPr>
            </w:pPr>
            <w:r w:rsidRPr="00710528">
              <w:rPr>
                <w:rFonts w:eastAsia="Arial" w:cs="Arial"/>
                <w:szCs w:val="22"/>
                <w:lang w:eastAsia="en-US"/>
              </w:rPr>
              <w:t>Площа дорожнього покриття яке ремонтується: 3080 м</w:t>
            </w:r>
            <w:r w:rsidRPr="00710528">
              <w:rPr>
                <w:rFonts w:eastAsia="Arial" w:cs="Arial"/>
                <w:szCs w:val="22"/>
                <w:vertAlign w:val="superscript"/>
                <w:lang w:eastAsia="en-US"/>
              </w:rPr>
              <w:t>2</w:t>
            </w:r>
            <w:r w:rsidRPr="00710528">
              <w:rPr>
                <w:rFonts w:eastAsia="Arial" w:cs="Arial"/>
                <w:szCs w:val="22"/>
                <w:lang w:eastAsia="en-US"/>
              </w:rPr>
              <w:t xml:space="preserve"> та площа тротуарного покриття яке ремонтується: 402 м</w:t>
            </w:r>
            <w:r w:rsidRPr="00710528">
              <w:rPr>
                <w:rFonts w:eastAsia="Arial" w:cs="Arial"/>
                <w:szCs w:val="22"/>
                <w:vertAlign w:val="superscript"/>
                <w:lang w:eastAsia="en-US"/>
              </w:rPr>
              <w:t>2</w:t>
            </w:r>
          </w:p>
        </w:tc>
      </w:tr>
      <w:tr w:rsidR="00CB33C7" w:rsidRPr="00C2587D" w14:paraId="7910490D" w14:textId="77777777" w:rsidTr="0020110C">
        <w:trPr>
          <w:jc w:val="right"/>
        </w:trPr>
        <w:tc>
          <w:tcPr>
            <w:tcW w:w="3425" w:type="dxa"/>
            <w:shd w:val="clear" w:color="auto" w:fill="FFFFFF"/>
            <w:vAlign w:val="center"/>
          </w:tcPr>
          <w:p w14:paraId="17E229D7" w14:textId="77777777" w:rsidR="00CB33C7" w:rsidRPr="00710528" w:rsidRDefault="00CB33C7" w:rsidP="00710528">
            <w:pPr>
              <w:rPr>
                <w:rFonts w:cs="Arial"/>
                <w:b/>
                <w:szCs w:val="22"/>
              </w:rPr>
            </w:pPr>
            <w:r w:rsidRPr="00710528">
              <w:rPr>
                <w:rFonts w:cs="Arial"/>
                <w:b/>
                <w:szCs w:val="22"/>
              </w:rPr>
              <w:t xml:space="preserve">Період здійснення: </w:t>
            </w:r>
          </w:p>
        </w:tc>
        <w:tc>
          <w:tcPr>
            <w:tcW w:w="6794" w:type="dxa"/>
            <w:gridSpan w:val="9"/>
            <w:vAlign w:val="center"/>
          </w:tcPr>
          <w:p w14:paraId="5A6BEA81" w14:textId="77777777" w:rsidR="00CB33C7" w:rsidRPr="00710528" w:rsidRDefault="00CB33C7" w:rsidP="00710528">
            <w:pPr>
              <w:rPr>
                <w:rFonts w:cs="Arial"/>
                <w:szCs w:val="22"/>
                <w:lang w:eastAsia="it-IT"/>
              </w:rPr>
            </w:pPr>
            <w:r w:rsidRPr="00710528">
              <w:rPr>
                <w:rFonts w:cs="Arial"/>
                <w:b/>
                <w:szCs w:val="22"/>
              </w:rPr>
              <w:t>2025 – 2028 роки:</w:t>
            </w:r>
          </w:p>
        </w:tc>
      </w:tr>
      <w:tr w:rsidR="00CB33C7" w:rsidRPr="00C2587D" w14:paraId="42DA9A36" w14:textId="77777777" w:rsidTr="0020110C">
        <w:trPr>
          <w:jc w:val="right"/>
        </w:trPr>
        <w:tc>
          <w:tcPr>
            <w:tcW w:w="3425" w:type="dxa"/>
            <w:vMerge w:val="restart"/>
            <w:shd w:val="clear" w:color="auto" w:fill="FFFFFF"/>
            <w:vAlign w:val="center"/>
          </w:tcPr>
          <w:p w14:paraId="00CF7109" w14:textId="77777777" w:rsidR="00CB33C7" w:rsidRPr="00710528" w:rsidRDefault="00CB33C7" w:rsidP="00710528">
            <w:pPr>
              <w:rPr>
                <w:rFonts w:cs="Arial"/>
                <w:b/>
                <w:bCs/>
                <w:szCs w:val="22"/>
              </w:rPr>
            </w:pPr>
            <w:r w:rsidRPr="00710528">
              <w:rPr>
                <w:rFonts w:cs="Arial"/>
                <w:b/>
                <w:bCs/>
                <w:szCs w:val="22"/>
              </w:rPr>
              <w:t>Орієнтовна вартість проєкту, тис. грн., в тому числі:</w:t>
            </w:r>
          </w:p>
        </w:tc>
        <w:tc>
          <w:tcPr>
            <w:tcW w:w="1254" w:type="dxa"/>
            <w:shd w:val="clear" w:color="auto" w:fill="E6E6E6"/>
            <w:vAlign w:val="center"/>
          </w:tcPr>
          <w:p w14:paraId="31301CBE" w14:textId="77777777" w:rsidR="00CB33C7" w:rsidRPr="00710528" w:rsidRDefault="00CB33C7" w:rsidP="00710528">
            <w:pPr>
              <w:jc w:val="center"/>
              <w:rPr>
                <w:rFonts w:cs="Arial"/>
                <w:b/>
                <w:szCs w:val="22"/>
                <w:lang w:eastAsia="it-IT"/>
              </w:rPr>
            </w:pPr>
            <w:r w:rsidRPr="00710528">
              <w:rPr>
                <w:rFonts w:cs="Arial"/>
                <w:b/>
                <w:szCs w:val="22"/>
                <w:lang w:eastAsia="it-IT"/>
              </w:rPr>
              <w:t>2025</w:t>
            </w:r>
          </w:p>
        </w:tc>
        <w:tc>
          <w:tcPr>
            <w:tcW w:w="1412" w:type="dxa"/>
            <w:gridSpan w:val="2"/>
            <w:shd w:val="clear" w:color="auto" w:fill="E6E6E6"/>
            <w:vAlign w:val="center"/>
          </w:tcPr>
          <w:p w14:paraId="1DCB80E4" w14:textId="77777777" w:rsidR="00CB33C7" w:rsidRPr="00710528" w:rsidRDefault="00CB33C7" w:rsidP="00710528">
            <w:pPr>
              <w:jc w:val="center"/>
              <w:rPr>
                <w:rFonts w:cs="Arial"/>
                <w:b/>
                <w:szCs w:val="22"/>
                <w:lang w:eastAsia="it-IT"/>
              </w:rPr>
            </w:pPr>
            <w:r w:rsidRPr="00710528">
              <w:rPr>
                <w:rFonts w:cs="Arial"/>
                <w:b/>
                <w:szCs w:val="22"/>
                <w:lang w:eastAsia="it-IT"/>
              </w:rPr>
              <w:t>2026</w:t>
            </w:r>
          </w:p>
        </w:tc>
        <w:tc>
          <w:tcPr>
            <w:tcW w:w="1281" w:type="dxa"/>
            <w:gridSpan w:val="2"/>
            <w:tcBorders>
              <w:bottom w:val="single" w:sz="4" w:space="0" w:color="auto"/>
            </w:tcBorders>
            <w:shd w:val="clear" w:color="auto" w:fill="E6E6E6"/>
            <w:vAlign w:val="center"/>
          </w:tcPr>
          <w:p w14:paraId="231C5DF8" w14:textId="77777777" w:rsidR="00CB33C7" w:rsidRPr="00710528" w:rsidRDefault="00CB33C7" w:rsidP="00710528">
            <w:pPr>
              <w:jc w:val="center"/>
              <w:rPr>
                <w:rFonts w:cs="Arial"/>
                <w:b/>
                <w:szCs w:val="22"/>
                <w:lang w:eastAsia="it-IT"/>
              </w:rPr>
            </w:pPr>
            <w:r w:rsidRPr="00710528">
              <w:rPr>
                <w:rFonts w:cs="Arial"/>
                <w:b/>
                <w:szCs w:val="22"/>
                <w:lang w:eastAsia="it-IT"/>
              </w:rPr>
              <w:t>2027</w:t>
            </w:r>
          </w:p>
        </w:tc>
        <w:tc>
          <w:tcPr>
            <w:tcW w:w="1276" w:type="dxa"/>
            <w:gridSpan w:val="2"/>
            <w:shd w:val="clear" w:color="auto" w:fill="E6E6E6"/>
            <w:vAlign w:val="center"/>
          </w:tcPr>
          <w:p w14:paraId="124DB898" w14:textId="77777777" w:rsidR="00CB33C7" w:rsidRPr="00710528" w:rsidRDefault="00CB33C7" w:rsidP="00710528">
            <w:pPr>
              <w:jc w:val="center"/>
              <w:rPr>
                <w:rFonts w:cs="Arial"/>
                <w:b/>
                <w:szCs w:val="22"/>
                <w:lang w:eastAsia="it-IT"/>
              </w:rPr>
            </w:pPr>
            <w:r w:rsidRPr="00710528">
              <w:rPr>
                <w:rFonts w:cs="Arial"/>
                <w:b/>
                <w:szCs w:val="22"/>
                <w:lang w:eastAsia="it-IT"/>
              </w:rPr>
              <w:t>2028</w:t>
            </w:r>
          </w:p>
        </w:tc>
        <w:tc>
          <w:tcPr>
            <w:tcW w:w="1571" w:type="dxa"/>
            <w:gridSpan w:val="2"/>
            <w:shd w:val="clear" w:color="auto" w:fill="E6E6E6"/>
            <w:vAlign w:val="center"/>
          </w:tcPr>
          <w:p w14:paraId="4AAF519C" w14:textId="77777777" w:rsidR="00CB33C7" w:rsidRPr="00710528" w:rsidRDefault="00CB33C7" w:rsidP="00710528">
            <w:pPr>
              <w:jc w:val="center"/>
              <w:rPr>
                <w:rFonts w:cs="Arial"/>
                <w:b/>
                <w:szCs w:val="22"/>
                <w:lang w:eastAsia="it-IT"/>
              </w:rPr>
            </w:pPr>
            <w:r w:rsidRPr="00710528">
              <w:rPr>
                <w:rFonts w:cs="Arial"/>
                <w:b/>
                <w:szCs w:val="22"/>
                <w:lang w:eastAsia="it-IT"/>
              </w:rPr>
              <w:t>РАЗОМ</w:t>
            </w:r>
          </w:p>
        </w:tc>
      </w:tr>
      <w:tr w:rsidR="00CB33C7" w:rsidRPr="00C2587D" w14:paraId="716EFC1D" w14:textId="77777777" w:rsidTr="0020110C">
        <w:trPr>
          <w:jc w:val="right"/>
        </w:trPr>
        <w:tc>
          <w:tcPr>
            <w:tcW w:w="3425" w:type="dxa"/>
            <w:vMerge/>
            <w:shd w:val="clear" w:color="auto" w:fill="FFFFFF"/>
            <w:vAlign w:val="center"/>
          </w:tcPr>
          <w:p w14:paraId="575AE52E" w14:textId="77777777" w:rsidR="00CB33C7" w:rsidRPr="00710528" w:rsidRDefault="00CB33C7" w:rsidP="00710528">
            <w:pPr>
              <w:rPr>
                <w:rFonts w:cs="Arial"/>
                <w:b/>
                <w:bCs/>
                <w:szCs w:val="22"/>
              </w:rPr>
            </w:pPr>
          </w:p>
        </w:tc>
        <w:tc>
          <w:tcPr>
            <w:tcW w:w="1254" w:type="dxa"/>
            <w:vAlign w:val="center"/>
          </w:tcPr>
          <w:p w14:paraId="5516EE33" w14:textId="77777777" w:rsidR="00CB33C7" w:rsidRPr="00710528" w:rsidRDefault="00CB33C7" w:rsidP="00710528">
            <w:pPr>
              <w:jc w:val="center"/>
              <w:rPr>
                <w:rFonts w:cs="Arial"/>
                <w:b/>
                <w:szCs w:val="22"/>
                <w:lang w:eastAsia="it-IT"/>
              </w:rPr>
            </w:pPr>
          </w:p>
        </w:tc>
        <w:tc>
          <w:tcPr>
            <w:tcW w:w="1412" w:type="dxa"/>
            <w:gridSpan w:val="2"/>
            <w:shd w:val="clear" w:color="auto" w:fill="FFFFFF"/>
          </w:tcPr>
          <w:p w14:paraId="6BBD0838" w14:textId="77777777" w:rsidR="00CB33C7" w:rsidRPr="00710528" w:rsidRDefault="00CB33C7" w:rsidP="00710528">
            <w:pPr>
              <w:jc w:val="center"/>
              <w:rPr>
                <w:rFonts w:cs="Arial"/>
                <w:b/>
                <w:szCs w:val="22"/>
                <w:lang w:eastAsia="it-IT"/>
              </w:rPr>
            </w:pPr>
            <w:r w:rsidRPr="00710528">
              <w:rPr>
                <w:rFonts w:cs="Arial"/>
                <w:b/>
                <w:szCs w:val="22"/>
                <w:lang w:eastAsia="it-IT"/>
              </w:rPr>
              <w:t>3648,094</w:t>
            </w:r>
          </w:p>
        </w:tc>
        <w:tc>
          <w:tcPr>
            <w:tcW w:w="1281" w:type="dxa"/>
            <w:gridSpan w:val="2"/>
            <w:shd w:val="clear" w:color="auto" w:fill="auto"/>
          </w:tcPr>
          <w:p w14:paraId="4DF1498C" w14:textId="77777777" w:rsidR="00CB33C7" w:rsidRPr="00710528" w:rsidRDefault="00CB33C7" w:rsidP="00710528">
            <w:pPr>
              <w:jc w:val="center"/>
              <w:rPr>
                <w:rFonts w:cs="Arial"/>
                <w:b/>
                <w:szCs w:val="22"/>
                <w:lang w:eastAsia="it-IT"/>
              </w:rPr>
            </w:pPr>
          </w:p>
        </w:tc>
        <w:tc>
          <w:tcPr>
            <w:tcW w:w="1276" w:type="dxa"/>
            <w:gridSpan w:val="2"/>
            <w:shd w:val="clear" w:color="auto" w:fill="FFFFFF"/>
          </w:tcPr>
          <w:p w14:paraId="3C9F6DC8" w14:textId="77777777" w:rsidR="00CB33C7" w:rsidRPr="00710528" w:rsidRDefault="00CB33C7" w:rsidP="00710528">
            <w:pPr>
              <w:jc w:val="center"/>
              <w:rPr>
                <w:rFonts w:cs="Arial"/>
                <w:b/>
                <w:szCs w:val="22"/>
                <w:lang w:eastAsia="it-IT"/>
              </w:rPr>
            </w:pPr>
          </w:p>
        </w:tc>
        <w:tc>
          <w:tcPr>
            <w:tcW w:w="1571" w:type="dxa"/>
            <w:gridSpan w:val="2"/>
            <w:shd w:val="clear" w:color="auto" w:fill="FFFFFF"/>
          </w:tcPr>
          <w:p w14:paraId="4B43570A" w14:textId="77777777" w:rsidR="00CB33C7" w:rsidRPr="00710528" w:rsidRDefault="00CB33C7" w:rsidP="00710528">
            <w:pPr>
              <w:jc w:val="center"/>
              <w:rPr>
                <w:rFonts w:cs="Arial"/>
                <w:b/>
                <w:szCs w:val="22"/>
                <w:lang w:eastAsia="it-IT"/>
              </w:rPr>
            </w:pPr>
            <w:r w:rsidRPr="00710528">
              <w:rPr>
                <w:rFonts w:cs="Arial"/>
                <w:b/>
                <w:szCs w:val="22"/>
                <w:lang w:eastAsia="it-IT"/>
              </w:rPr>
              <w:t>3648,094</w:t>
            </w:r>
          </w:p>
        </w:tc>
      </w:tr>
      <w:tr w:rsidR="00CB33C7" w:rsidRPr="00C2587D" w14:paraId="38797EA5" w14:textId="77777777" w:rsidTr="0020110C">
        <w:trPr>
          <w:trHeight w:val="276"/>
          <w:jc w:val="right"/>
        </w:trPr>
        <w:tc>
          <w:tcPr>
            <w:tcW w:w="3425" w:type="dxa"/>
            <w:shd w:val="clear" w:color="auto" w:fill="FFFFFF"/>
            <w:vAlign w:val="center"/>
          </w:tcPr>
          <w:p w14:paraId="49CACA70" w14:textId="77777777" w:rsidR="00CB33C7" w:rsidRPr="00710528" w:rsidRDefault="00CB33C7" w:rsidP="00710528">
            <w:pPr>
              <w:rPr>
                <w:rFonts w:cs="Arial"/>
                <w:b/>
                <w:bCs/>
                <w:szCs w:val="22"/>
              </w:rPr>
            </w:pPr>
            <w:r w:rsidRPr="00710528">
              <w:rPr>
                <w:rFonts w:cs="Arial"/>
                <w:b/>
                <w:bCs/>
                <w:szCs w:val="22"/>
              </w:rPr>
              <w:t>по джерелах фінансування:</w:t>
            </w:r>
          </w:p>
        </w:tc>
        <w:tc>
          <w:tcPr>
            <w:tcW w:w="6794" w:type="dxa"/>
            <w:gridSpan w:val="9"/>
          </w:tcPr>
          <w:p w14:paraId="03C505BB" w14:textId="77777777" w:rsidR="00CB33C7" w:rsidRPr="00710528" w:rsidRDefault="00CB33C7" w:rsidP="00710528">
            <w:pPr>
              <w:jc w:val="center"/>
              <w:rPr>
                <w:rFonts w:cs="Arial"/>
                <w:szCs w:val="22"/>
                <w:lang w:eastAsia="it-IT"/>
              </w:rPr>
            </w:pPr>
          </w:p>
        </w:tc>
      </w:tr>
      <w:tr w:rsidR="00710528" w:rsidRPr="00C2587D" w14:paraId="5F6CC7D1" w14:textId="05BE2822" w:rsidTr="0020110C">
        <w:trPr>
          <w:trHeight w:val="240"/>
          <w:jc w:val="right"/>
        </w:trPr>
        <w:tc>
          <w:tcPr>
            <w:tcW w:w="3425" w:type="dxa"/>
            <w:shd w:val="clear" w:color="auto" w:fill="FFFFFF"/>
            <w:vAlign w:val="center"/>
          </w:tcPr>
          <w:p w14:paraId="27FC641F" w14:textId="77777777" w:rsidR="00710528" w:rsidRPr="00710528" w:rsidRDefault="00710528" w:rsidP="00710528">
            <w:pPr>
              <w:rPr>
                <w:rFonts w:cs="Arial"/>
                <w:b/>
                <w:bCs/>
                <w:szCs w:val="22"/>
              </w:rPr>
            </w:pPr>
            <w:r w:rsidRPr="00710528">
              <w:rPr>
                <w:rFonts w:cs="Arial"/>
                <w:szCs w:val="22"/>
              </w:rPr>
              <w:t>- державний бюджет</w:t>
            </w:r>
          </w:p>
        </w:tc>
        <w:tc>
          <w:tcPr>
            <w:tcW w:w="1300" w:type="dxa"/>
            <w:gridSpan w:val="2"/>
          </w:tcPr>
          <w:p w14:paraId="1899CD7C" w14:textId="77777777" w:rsidR="00710528" w:rsidRPr="00710528" w:rsidRDefault="00710528" w:rsidP="00710528">
            <w:pPr>
              <w:jc w:val="center"/>
              <w:rPr>
                <w:rFonts w:cs="Arial"/>
                <w:szCs w:val="22"/>
                <w:lang w:eastAsia="it-IT"/>
              </w:rPr>
            </w:pPr>
          </w:p>
        </w:tc>
        <w:tc>
          <w:tcPr>
            <w:tcW w:w="1380" w:type="dxa"/>
            <w:gridSpan w:val="2"/>
          </w:tcPr>
          <w:p w14:paraId="64F4103E" w14:textId="77777777" w:rsidR="00710528" w:rsidRPr="00710528" w:rsidRDefault="00710528" w:rsidP="00710528">
            <w:pPr>
              <w:jc w:val="center"/>
              <w:rPr>
                <w:rFonts w:cs="Arial"/>
                <w:szCs w:val="22"/>
                <w:lang w:eastAsia="it-IT"/>
              </w:rPr>
            </w:pPr>
          </w:p>
        </w:tc>
        <w:tc>
          <w:tcPr>
            <w:tcW w:w="1320" w:type="dxa"/>
            <w:gridSpan w:val="2"/>
          </w:tcPr>
          <w:p w14:paraId="2A5725A5" w14:textId="77777777" w:rsidR="00710528" w:rsidRPr="00710528" w:rsidRDefault="00710528" w:rsidP="00710528">
            <w:pPr>
              <w:jc w:val="center"/>
              <w:rPr>
                <w:rFonts w:cs="Arial"/>
                <w:szCs w:val="22"/>
                <w:lang w:eastAsia="it-IT"/>
              </w:rPr>
            </w:pPr>
          </w:p>
        </w:tc>
        <w:tc>
          <w:tcPr>
            <w:tcW w:w="1290" w:type="dxa"/>
            <w:gridSpan w:val="2"/>
          </w:tcPr>
          <w:p w14:paraId="426D1B37" w14:textId="77777777" w:rsidR="00710528" w:rsidRPr="00710528" w:rsidRDefault="00710528" w:rsidP="00710528">
            <w:pPr>
              <w:jc w:val="center"/>
              <w:rPr>
                <w:rFonts w:cs="Arial"/>
                <w:szCs w:val="22"/>
                <w:lang w:eastAsia="it-IT"/>
              </w:rPr>
            </w:pPr>
          </w:p>
        </w:tc>
        <w:tc>
          <w:tcPr>
            <w:tcW w:w="1504" w:type="dxa"/>
          </w:tcPr>
          <w:p w14:paraId="6B164C68" w14:textId="77777777" w:rsidR="00710528" w:rsidRPr="00710528" w:rsidRDefault="00710528" w:rsidP="00710528">
            <w:pPr>
              <w:jc w:val="center"/>
              <w:rPr>
                <w:rFonts w:cs="Arial"/>
                <w:szCs w:val="22"/>
                <w:lang w:eastAsia="it-IT"/>
              </w:rPr>
            </w:pPr>
          </w:p>
        </w:tc>
      </w:tr>
      <w:tr w:rsidR="00710528" w:rsidRPr="00C2587D" w14:paraId="08FA0454" w14:textId="4E6460E7" w:rsidTr="0020110C">
        <w:trPr>
          <w:trHeight w:val="254"/>
          <w:jc w:val="right"/>
        </w:trPr>
        <w:tc>
          <w:tcPr>
            <w:tcW w:w="3425" w:type="dxa"/>
            <w:shd w:val="clear" w:color="auto" w:fill="FFFFFF"/>
            <w:vAlign w:val="center"/>
          </w:tcPr>
          <w:p w14:paraId="6B3A787C" w14:textId="77777777" w:rsidR="00710528" w:rsidRPr="00710528" w:rsidRDefault="00710528" w:rsidP="00710528">
            <w:pPr>
              <w:rPr>
                <w:rFonts w:cs="Arial"/>
                <w:szCs w:val="22"/>
              </w:rPr>
            </w:pPr>
            <w:r w:rsidRPr="00710528">
              <w:rPr>
                <w:rFonts w:cs="Arial"/>
                <w:szCs w:val="22"/>
              </w:rPr>
              <w:t>- обласний бюджет</w:t>
            </w:r>
          </w:p>
        </w:tc>
        <w:tc>
          <w:tcPr>
            <w:tcW w:w="1300" w:type="dxa"/>
            <w:gridSpan w:val="2"/>
          </w:tcPr>
          <w:p w14:paraId="3D2D2BE7" w14:textId="77777777" w:rsidR="00710528" w:rsidRPr="00710528" w:rsidRDefault="00710528" w:rsidP="00710528">
            <w:pPr>
              <w:jc w:val="center"/>
              <w:rPr>
                <w:rFonts w:cs="Arial"/>
                <w:szCs w:val="22"/>
                <w:lang w:eastAsia="it-IT"/>
              </w:rPr>
            </w:pPr>
          </w:p>
        </w:tc>
        <w:tc>
          <w:tcPr>
            <w:tcW w:w="1380" w:type="dxa"/>
            <w:gridSpan w:val="2"/>
          </w:tcPr>
          <w:p w14:paraId="6A2FD46D" w14:textId="77777777" w:rsidR="00710528" w:rsidRPr="00710528" w:rsidRDefault="00710528" w:rsidP="00710528">
            <w:pPr>
              <w:jc w:val="center"/>
              <w:rPr>
                <w:rFonts w:cs="Arial"/>
                <w:szCs w:val="22"/>
                <w:lang w:eastAsia="it-IT"/>
              </w:rPr>
            </w:pPr>
          </w:p>
        </w:tc>
        <w:tc>
          <w:tcPr>
            <w:tcW w:w="1320" w:type="dxa"/>
            <w:gridSpan w:val="2"/>
          </w:tcPr>
          <w:p w14:paraId="137D3CE9" w14:textId="77777777" w:rsidR="00710528" w:rsidRPr="00710528" w:rsidRDefault="00710528" w:rsidP="00710528">
            <w:pPr>
              <w:jc w:val="center"/>
              <w:rPr>
                <w:rFonts w:cs="Arial"/>
                <w:szCs w:val="22"/>
                <w:lang w:eastAsia="it-IT"/>
              </w:rPr>
            </w:pPr>
          </w:p>
        </w:tc>
        <w:tc>
          <w:tcPr>
            <w:tcW w:w="1290" w:type="dxa"/>
            <w:gridSpan w:val="2"/>
          </w:tcPr>
          <w:p w14:paraId="32EFD6B4" w14:textId="77777777" w:rsidR="00710528" w:rsidRPr="00710528" w:rsidRDefault="00710528" w:rsidP="00710528">
            <w:pPr>
              <w:jc w:val="center"/>
              <w:rPr>
                <w:rFonts w:cs="Arial"/>
                <w:szCs w:val="22"/>
                <w:lang w:eastAsia="it-IT"/>
              </w:rPr>
            </w:pPr>
          </w:p>
        </w:tc>
        <w:tc>
          <w:tcPr>
            <w:tcW w:w="1504" w:type="dxa"/>
          </w:tcPr>
          <w:p w14:paraId="7BE661A5" w14:textId="77777777" w:rsidR="00710528" w:rsidRPr="00710528" w:rsidRDefault="00710528" w:rsidP="00710528">
            <w:pPr>
              <w:jc w:val="center"/>
              <w:rPr>
                <w:rFonts w:cs="Arial"/>
                <w:szCs w:val="22"/>
                <w:lang w:eastAsia="it-IT"/>
              </w:rPr>
            </w:pPr>
          </w:p>
        </w:tc>
      </w:tr>
      <w:tr w:rsidR="00710528" w:rsidRPr="00C2587D" w14:paraId="13682B96" w14:textId="1C482697" w:rsidTr="0020110C">
        <w:trPr>
          <w:trHeight w:val="275"/>
          <w:jc w:val="right"/>
        </w:trPr>
        <w:tc>
          <w:tcPr>
            <w:tcW w:w="3425" w:type="dxa"/>
            <w:shd w:val="clear" w:color="auto" w:fill="FFFFFF"/>
            <w:vAlign w:val="center"/>
          </w:tcPr>
          <w:p w14:paraId="7A84C1F6" w14:textId="77777777" w:rsidR="00710528" w:rsidRPr="00710528" w:rsidRDefault="00710528" w:rsidP="00710528">
            <w:pPr>
              <w:rPr>
                <w:rFonts w:cs="Arial"/>
                <w:szCs w:val="22"/>
              </w:rPr>
            </w:pPr>
            <w:r w:rsidRPr="00710528">
              <w:rPr>
                <w:rFonts w:cs="Arial"/>
                <w:szCs w:val="22"/>
              </w:rPr>
              <w:t>- бюджет Жмеринської МТГ</w:t>
            </w:r>
          </w:p>
        </w:tc>
        <w:tc>
          <w:tcPr>
            <w:tcW w:w="1300" w:type="dxa"/>
            <w:gridSpan w:val="2"/>
          </w:tcPr>
          <w:p w14:paraId="5211E417" w14:textId="10BFBE27" w:rsidR="00710528" w:rsidRPr="00710528" w:rsidRDefault="00710528" w:rsidP="00710528">
            <w:pPr>
              <w:jc w:val="center"/>
              <w:rPr>
                <w:rFonts w:cs="Arial"/>
                <w:szCs w:val="22"/>
                <w:lang w:eastAsia="it-IT"/>
              </w:rPr>
            </w:pPr>
          </w:p>
        </w:tc>
        <w:tc>
          <w:tcPr>
            <w:tcW w:w="1380" w:type="dxa"/>
            <w:gridSpan w:val="2"/>
          </w:tcPr>
          <w:p w14:paraId="161F532F" w14:textId="469FFF5A" w:rsidR="00710528" w:rsidRPr="00710528" w:rsidRDefault="00710528" w:rsidP="00710528">
            <w:pPr>
              <w:jc w:val="center"/>
              <w:rPr>
                <w:rFonts w:cs="Arial"/>
                <w:szCs w:val="22"/>
                <w:lang w:eastAsia="it-IT"/>
              </w:rPr>
            </w:pPr>
            <w:r w:rsidRPr="00710528">
              <w:rPr>
                <w:rFonts w:cs="Arial"/>
                <w:szCs w:val="22"/>
                <w:lang w:eastAsia="it-IT"/>
              </w:rPr>
              <w:t>3648,094</w:t>
            </w:r>
          </w:p>
        </w:tc>
        <w:tc>
          <w:tcPr>
            <w:tcW w:w="1320" w:type="dxa"/>
            <w:gridSpan w:val="2"/>
          </w:tcPr>
          <w:p w14:paraId="35FE9759" w14:textId="77777777" w:rsidR="00710528" w:rsidRPr="00710528" w:rsidRDefault="00710528" w:rsidP="00710528">
            <w:pPr>
              <w:jc w:val="center"/>
              <w:rPr>
                <w:rFonts w:cs="Arial"/>
                <w:szCs w:val="22"/>
                <w:lang w:eastAsia="it-IT"/>
              </w:rPr>
            </w:pPr>
          </w:p>
        </w:tc>
        <w:tc>
          <w:tcPr>
            <w:tcW w:w="1290" w:type="dxa"/>
            <w:gridSpan w:val="2"/>
          </w:tcPr>
          <w:p w14:paraId="5D0FDC5A" w14:textId="77777777" w:rsidR="00710528" w:rsidRPr="00710528" w:rsidRDefault="00710528" w:rsidP="00710528">
            <w:pPr>
              <w:jc w:val="center"/>
              <w:rPr>
                <w:rFonts w:cs="Arial"/>
                <w:szCs w:val="22"/>
                <w:lang w:eastAsia="it-IT"/>
              </w:rPr>
            </w:pPr>
          </w:p>
        </w:tc>
        <w:tc>
          <w:tcPr>
            <w:tcW w:w="1504" w:type="dxa"/>
          </w:tcPr>
          <w:p w14:paraId="16FD403B" w14:textId="4C11A471" w:rsidR="00710528" w:rsidRPr="00710528" w:rsidRDefault="00710528" w:rsidP="00710528">
            <w:pPr>
              <w:jc w:val="center"/>
              <w:rPr>
                <w:rFonts w:cs="Arial"/>
                <w:b/>
                <w:szCs w:val="22"/>
                <w:lang w:eastAsia="it-IT"/>
              </w:rPr>
            </w:pPr>
            <w:r w:rsidRPr="00710528">
              <w:rPr>
                <w:rFonts w:cs="Arial"/>
                <w:b/>
                <w:szCs w:val="22"/>
                <w:lang w:eastAsia="it-IT"/>
              </w:rPr>
              <w:t>3648,094</w:t>
            </w:r>
          </w:p>
        </w:tc>
      </w:tr>
      <w:tr w:rsidR="00710528" w:rsidRPr="00C2587D" w14:paraId="66E28B65" w14:textId="590A969D" w:rsidTr="0020110C">
        <w:trPr>
          <w:trHeight w:val="226"/>
          <w:jc w:val="right"/>
        </w:trPr>
        <w:tc>
          <w:tcPr>
            <w:tcW w:w="3425" w:type="dxa"/>
            <w:shd w:val="clear" w:color="auto" w:fill="FFFFFF"/>
            <w:vAlign w:val="center"/>
          </w:tcPr>
          <w:p w14:paraId="1E5CDC2E" w14:textId="77777777" w:rsidR="00710528" w:rsidRPr="00710528" w:rsidRDefault="00710528" w:rsidP="00710528">
            <w:pPr>
              <w:rPr>
                <w:rFonts w:cs="Arial"/>
                <w:szCs w:val="22"/>
              </w:rPr>
            </w:pPr>
            <w:r w:rsidRPr="00710528">
              <w:rPr>
                <w:rFonts w:cs="Arial"/>
                <w:szCs w:val="22"/>
              </w:rPr>
              <w:t>- інші джерела фінансування</w:t>
            </w:r>
          </w:p>
        </w:tc>
        <w:tc>
          <w:tcPr>
            <w:tcW w:w="1300" w:type="dxa"/>
            <w:gridSpan w:val="2"/>
          </w:tcPr>
          <w:p w14:paraId="6B779D83" w14:textId="77777777" w:rsidR="00710528" w:rsidRPr="00710528" w:rsidRDefault="00710528" w:rsidP="00710528">
            <w:pPr>
              <w:jc w:val="center"/>
              <w:rPr>
                <w:rFonts w:cs="Arial"/>
                <w:szCs w:val="22"/>
                <w:lang w:eastAsia="it-IT"/>
              </w:rPr>
            </w:pPr>
          </w:p>
        </w:tc>
        <w:tc>
          <w:tcPr>
            <w:tcW w:w="1380" w:type="dxa"/>
            <w:gridSpan w:val="2"/>
          </w:tcPr>
          <w:p w14:paraId="08F8FB92" w14:textId="77777777" w:rsidR="00710528" w:rsidRPr="00710528" w:rsidRDefault="00710528" w:rsidP="00710528">
            <w:pPr>
              <w:jc w:val="center"/>
              <w:rPr>
                <w:rFonts w:cs="Arial"/>
                <w:szCs w:val="22"/>
                <w:lang w:eastAsia="it-IT"/>
              </w:rPr>
            </w:pPr>
          </w:p>
        </w:tc>
        <w:tc>
          <w:tcPr>
            <w:tcW w:w="1320" w:type="dxa"/>
            <w:gridSpan w:val="2"/>
          </w:tcPr>
          <w:p w14:paraId="1BB60AF4" w14:textId="77777777" w:rsidR="00710528" w:rsidRPr="00710528" w:rsidRDefault="00710528" w:rsidP="00710528">
            <w:pPr>
              <w:jc w:val="center"/>
              <w:rPr>
                <w:rFonts w:cs="Arial"/>
                <w:szCs w:val="22"/>
                <w:lang w:eastAsia="it-IT"/>
              </w:rPr>
            </w:pPr>
          </w:p>
        </w:tc>
        <w:tc>
          <w:tcPr>
            <w:tcW w:w="1290" w:type="dxa"/>
            <w:gridSpan w:val="2"/>
          </w:tcPr>
          <w:p w14:paraId="1F3B777F" w14:textId="77777777" w:rsidR="00710528" w:rsidRPr="00710528" w:rsidRDefault="00710528" w:rsidP="00710528">
            <w:pPr>
              <w:jc w:val="center"/>
              <w:rPr>
                <w:rFonts w:cs="Arial"/>
                <w:szCs w:val="22"/>
                <w:lang w:eastAsia="it-IT"/>
              </w:rPr>
            </w:pPr>
          </w:p>
        </w:tc>
        <w:tc>
          <w:tcPr>
            <w:tcW w:w="1504" w:type="dxa"/>
          </w:tcPr>
          <w:p w14:paraId="0640F428" w14:textId="77777777" w:rsidR="00710528" w:rsidRPr="00710528" w:rsidRDefault="00710528" w:rsidP="00710528">
            <w:pPr>
              <w:jc w:val="center"/>
              <w:rPr>
                <w:rFonts w:cs="Arial"/>
                <w:szCs w:val="22"/>
                <w:lang w:eastAsia="it-IT"/>
              </w:rPr>
            </w:pPr>
          </w:p>
        </w:tc>
      </w:tr>
      <w:tr w:rsidR="00710528" w:rsidRPr="00C2587D" w14:paraId="343BA524" w14:textId="77777777" w:rsidTr="0020110C">
        <w:trPr>
          <w:jc w:val="right"/>
        </w:trPr>
        <w:tc>
          <w:tcPr>
            <w:tcW w:w="3425" w:type="dxa"/>
            <w:shd w:val="clear" w:color="auto" w:fill="FFFFFF"/>
            <w:vAlign w:val="center"/>
          </w:tcPr>
          <w:p w14:paraId="1C0A959C" w14:textId="77777777" w:rsidR="00710528" w:rsidRPr="00710528" w:rsidRDefault="00710528" w:rsidP="00710528">
            <w:pPr>
              <w:rPr>
                <w:rFonts w:cs="Arial"/>
                <w:b/>
                <w:bCs/>
                <w:szCs w:val="22"/>
              </w:rPr>
            </w:pPr>
            <w:r w:rsidRPr="00710528">
              <w:rPr>
                <w:rFonts w:cs="Arial"/>
                <w:b/>
                <w:szCs w:val="22"/>
              </w:rPr>
              <w:t>Відповідальний виконавець проєкту:</w:t>
            </w:r>
          </w:p>
        </w:tc>
        <w:tc>
          <w:tcPr>
            <w:tcW w:w="6794" w:type="dxa"/>
            <w:gridSpan w:val="9"/>
            <w:vAlign w:val="center"/>
          </w:tcPr>
          <w:p w14:paraId="3FB8EBD2" w14:textId="355A7350" w:rsidR="00710528" w:rsidRPr="00710528" w:rsidRDefault="00710528" w:rsidP="00225ED7">
            <w:pPr>
              <w:jc w:val="both"/>
              <w:rPr>
                <w:rFonts w:cs="Arial"/>
                <w:szCs w:val="22"/>
                <w:lang w:eastAsia="it-IT"/>
              </w:rPr>
            </w:pPr>
            <w:r w:rsidRPr="00710528">
              <w:rPr>
                <w:rFonts w:cs="Arial"/>
                <w:szCs w:val="22"/>
                <w:lang w:eastAsia="it-IT"/>
              </w:rPr>
              <w:t>Управління ЖКГ.</w:t>
            </w:r>
          </w:p>
        </w:tc>
      </w:tr>
      <w:tr w:rsidR="00710528" w:rsidRPr="00C2587D" w14:paraId="71707678" w14:textId="77777777" w:rsidTr="0020110C">
        <w:trPr>
          <w:jc w:val="right"/>
        </w:trPr>
        <w:tc>
          <w:tcPr>
            <w:tcW w:w="3425" w:type="dxa"/>
            <w:shd w:val="clear" w:color="auto" w:fill="FFFFFF"/>
            <w:vAlign w:val="center"/>
          </w:tcPr>
          <w:p w14:paraId="6F3B255A" w14:textId="77777777" w:rsidR="00710528" w:rsidRPr="00710528" w:rsidRDefault="00710528" w:rsidP="00710528">
            <w:pPr>
              <w:rPr>
                <w:rFonts w:cs="Arial"/>
                <w:b/>
                <w:bCs/>
                <w:szCs w:val="22"/>
              </w:rPr>
            </w:pPr>
            <w:r w:rsidRPr="00710528">
              <w:rPr>
                <w:rFonts w:cs="Arial"/>
                <w:b/>
                <w:bCs/>
                <w:szCs w:val="22"/>
              </w:rPr>
              <w:t>Інше:</w:t>
            </w:r>
          </w:p>
        </w:tc>
        <w:tc>
          <w:tcPr>
            <w:tcW w:w="6794" w:type="dxa"/>
            <w:gridSpan w:val="9"/>
            <w:vAlign w:val="center"/>
          </w:tcPr>
          <w:p w14:paraId="783A58E0" w14:textId="77777777" w:rsidR="00710528" w:rsidRPr="00710528" w:rsidRDefault="00710528" w:rsidP="00710528">
            <w:pPr>
              <w:rPr>
                <w:rFonts w:cs="Arial"/>
                <w:szCs w:val="22"/>
                <w:lang w:eastAsia="it-IT"/>
              </w:rPr>
            </w:pPr>
          </w:p>
        </w:tc>
      </w:tr>
    </w:tbl>
    <w:p w14:paraId="027DC56B" w14:textId="77777777" w:rsidR="00CB33C7" w:rsidRPr="00C2587D" w:rsidRDefault="00CB33C7" w:rsidP="00CB33C7"/>
    <w:p w14:paraId="351F2654" w14:textId="77777777" w:rsidR="00CB33C7" w:rsidRPr="00C2587D" w:rsidRDefault="00CB33C7" w:rsidP="00CB33C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070E2662" w14:textId="77777777" w:rsidR="00CB33C7" w:rsidRPr="00C2587D" w:rsidRDefault="00CB33C7" w:rsidP="00CB33C7">
      <w:pPr>
        <w:jc w:val="center"/>
        <w:rPr>
          <w:rFonts w:cs="Arial"/>
          <w:b/>
          <w:color w:val="000000"/>
          <w:szCs w:val="22"/>
        </w:rPr>
      </w:pPr>
      <w:r w:rsidRPr="00C2587D">
        <w:rPr>
          <w:rFonts w:cs="Arial"/>
          <w:b/>
          <w:color w:val="000000"/>
          <w:szCs w:val="22"/>
        </w:rPr>
        <w:t>до Плану заходів з реалізації Стратегії</w:t>
      </w:r>
    </w:p>
    <w:p w14:paraId="44E3241D" w14:textId="77777777" w:rsidR="00CB33C7" w:rsidRPr="00C2587D" w:rsidRDefault="00CB33C7" w:rsidP="00CB33C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13"/>
        <w:gridCol w:w="1399"/>
        <w:gridCol w:w="6"/>
        <w:gridCol w:w="1275"/>
        <w:gridCol w:w="38"/>
        <w:gridCol w:w="1238"/>
        <w:gridCol w:w="41"/>
        <w:gridCol w:w="1530"/>
      </w:tblGrid>
      <w:tr w:rsidR="00CB33C7" w:rsidRPr="001B19A0" w14:paraId="55DE9DE9" w14:textId="77777777" w:rsidTr="0020110C">
        <w:trPr>
          <w:jc w:val="right"/>
        </w:trPr>
        <w:tc>
          <w:tcPr>
            <w:tcW w:w="3425" w:type="dxa"/>
            <w:vAlign w:val="center"/>
          </w:tcPr>
          <w:p w14:paraId="58ED544F" w14:textId="77777777" w:rsidR="00CB33C7" w:rsidRPr="001B19A0" w:rsidRDefault="00CB33C7" w:rsidP="0020110C">
            <w:pPr>
              <w:ind w:left="67" w:hanging="67"/>
              <w:rPr>
                <w:rFonts w:cs="Arial"/>
                <w:b/>
                <w:bCs/>
                <w:color w:val="000000"/>
                <w:szCs w:val="22"/>
              </w:rPr>
            </w:pPr>
            <w:r w:rsidRPr="001B19A0">
              <w:rPr>
                <w:rFonts w:cs="Arial"/>
                <w:b/>
                <w:bCs/>
                <w:color w:val="000000"/>
                <w:szCs w:val="22"/>
              </w:rPr>
              <w:t>Назва проєкту:</w:t>
            </w:r>
          </w:p>
        </w:tc>
        <w:tc>
          <w:tcPr>
            <w:tcW w:w="6794" w:type="dxa"/>
            <w:gridSpan w:val="9"/>
          </w:tcPr>
          <w:p w14:paraId="23C84A7F" w14:textId="77777777" w:rsidR="00CB33C7" w:rsidRPr="001B19A0" w:rsidRDefault="00CB33C7" w:rsidP="001B19A0">
            <w:pPr>
              <w:rPr>
                <w:rFonts w:cs="Arial"/>
                <w:b/>
                <w:szCs w:val="22"/>
                <w:lang w:eastAsia="it-IT"/>
              </w:rPr>
            </w:pPr>
            <w:r w:rsidRPr="001B19A0">
              <w:rPr>
                <w:rFonts w:eastAsia="Arial" w:cs="Arial"/>
                <w:b/>
                <w:szCs w:val="22"/>
                <w:lang w:eastAsia="en-US"/>
              </w:rPr>
              <w:t>Капітальний ремонт дорожнього покриття по вул. Козацька в смт. Браїлів Жмеринського району, Вінницької області (Коригування)</w:t>
            </w:r>
          </w:p>
        </w:tc>
      </w:tr>
      <w:tr w:rsidR="00CB33C7" w:rsidRPr="001B19A0" w14:paraId="2120845A" w14:textId="77777777" w:rsidTr="0020110C">
        <w:trPr>
          <w:jc w:val="right"/>
        </w:trPr>
        <w:tc>
          <w:tcPr>
            <w:tcW w:w="3425" w:type="dxa"/>
          </w:tcPr>
          <w:p w14:paraId="585CE130" w14:textId="77777777" w:rsidR="00CB33C7" w:rsidRPr="001B19A0" w:rsidRDefault="00CB33C7" w:rsidP="001B19A0">
            <w:pPr>
              <w:rPr>
                <w:rFonts w:cs="Arial"/>
                <w:szCs w:val="22"/>
                <w:lang w:eastAsia="it-IT"/>
              </w:rPr>
            </w:pPr>
            <w:r w:rsidRPr="001B19A0">
              <w:rPr>
                <w:rFonts w:cs="Arial"/>
                <w:b/>
                <w:bCs/>
                <w:szCs w:val="22"/>
              </w:rPr>
              <w:t>Ваші контакти</w:t>
            </w:r>
            <w:r w:rsidRPr="001B19A0">
              <w:rPr>
                <w:rFonts w:cs="Arial"/>
                <w:szCs w:val="22"/>
                <w:lang w:eastAsia="it-IT"/>
              </w:rPr>
              <w:t>:</w:t>
            </w:r>
          </w:p>
          <w:p w14:paraId="7E37DDB4" w14:textId="77777777" w:rsidR="00CB33C7" w:rsidRPr="001B19A0" w:rsidRDefault="00CB33C7" w:rsidP="001B19A0">
            <w:pPr>
              <w:rPr>
                <w:rFonts w:cs="Arial"/>
                <w:b/>
                <w:bCs/>
                <w:szCs w:val="22"/>
              </w:rPr>
            </w:pPr>
            <w:r w:rsidRPr="001B19A0">
              <w:rPr>
                <w:rFonts w:cs="Arial"/>
                <w:szCs w:val="22"/>
                <w:lang w:eastAsia="it-IT"/>
              </w:rPr>
              <w:t>Назва установи, організації, підприємства</w:t>
            </w:r>
          </w:p>
        </w:tc>
        <w:tc>
          <w:tcPr>
            <w:tcW w:w="6794" w:type="dxa"/>
            <w:gridSpan w:val="9"/>
          </w:tcPr>
          <w:p w14:paraId="4041387A" w14:textId="77777777" w:rsidR="00CB33C7" w:rsidRPr="001B19A0" w:rsidRDefault="00CB33C7" w:rsidP="001B19A0">
            <w:pPr>
              <w:rPr>
                <w:rFonts w:cs="Arial"/>
                <w:szCs w:val="22"/>
                <w:lang w:eastAsia="it-IT"/>
              </w:rPr>
            </w:pPr>
            <w:r w:rsidRPr="001B19A0">
              <w:rPr>
                <w:rFonts w:cs="Arial"/>
                <w:szCs w:val="22"/>
                <w:lang w:eastAsia="it-IT"/>
              </w:rPr>
              <w:t>Управління житлово-комунального господарства Жмеринської міської ради</w:t>
            </w:r>
          </w:p>
        </w:tc>
      </w:tr>
      <w:tr w:rsidR="00CB33C7" w:rsidRPr="001B19A0" w14:paraId="3795420E" w14:textId="77777777" w:rsidTr="0020110C">
        <w:trPr>
          <w:jc w:val="right"/>
        </w:trPr>
        <w:tc>
          <w:tcPr>
            <w:tcW w:w="3425" w:type="dxa"/>
          </w:tcPr>
          <w:p w14:paraId="778236FA" w14:textId="77777777" w:rsidR="00CB33C7" w:rsidRPr="001B19A0" w:rsidRDefault="00CB33C7" w:rsidP="001B19A0">
            <w:pPr>
              <w:rPr>
                <w:rFonts w:cs="Arial"/>
                <w:b/>
                <w:bCs/>
                <w:szCs w:val="22"/>
              </w:rPr>
            </w:pPr>
            <w:r w:rsidRPr="001B19A0">
              <w:rPr>
                <w:rFonts w:cs="Arial"/>
                <w:szCs w:val="22"/>
                <w:lang w:eastAsia="it-IT"/>
              </w:rPr>
              <w:t>Прізвище Ім’я По-батькові:</w:t>
            </w:r>
          </w:p>
        </w:tc>
        <w:tc>
          <w:tcPr>
            <w:tcW w:w="6794" w:type="dxa"/>
            <w:gridSpan w:val="9"/>
          </w:tcPr>
          <w:p w14:paraId="5983FD32" w14:textId="77777777" w:rsidR="00CB33C7" w:rsidRPr="001B19A0" w:rsidRDefault="00CB33C7" w:rsidP="001B19A0">
            <w:pPr>
              <w:rPr>
                <w:rFonts w:cs="Arial"/>
                <w:szCs w:val="22"/>
                <w:lang w:eastAsia="it-IT"/>
              </w:rPr>
            </w:pPr>
            <w:r w:rsidRPr="001B19A0">
              <w:rPr>
                <w:rFonts w:cs="Arial"/>
                <w:szCs w:val="22"/>
                <w:lang w:eastAsia="it-IT"/>
              </w:rPr>
              <w:t>Оленич Андрій Васильович</w:t>
            </w:r>
          </w:p>
        </w:tc>
      </w:tr>
      <w:tr w:rsidR="00CB33C7" w:rsidRPr="001B19A0" w14:paraId="54DFAB88" w14:textId="77777777" w:rsidTr="0020110C">
        <w:trPr>
          <w:jc w:val="right"/>
        </w:trPr>
        <w:tc>
          <w:tcPr>
            <w:tcW w:w="3425" w:type="dxa"/>
          </w:tcPr>
          <w:p w14:paraId="7413D339" w14:textId="77777777" w:rsidR="00CB33C7" w:rsidRPr="001B19A0" w:rsidRDefault="00CB33C7" w:rsidP="001B19A0">
            <w:pPr>
              <w:rPr>
                <w:rFonts w:cs="Arial"/>
                <w:b/>
                <w:bCs/>
                <w:szCs w:val="22"/>
              </w:rPr>
            </w:pPr>
            <w:r w:rsidRPr="001B19A0">
              <w:rPr>
                <w:rFonts w:cs="Arial"/>
                <w:szCs w:val="22"/>
                <w:lang w:eastAsia="it-IT"/>
              </w:rPr>
              <w:t>Телефон (мобільний):</w:t>
            </w:r>
          </w:p>
        </w:tc>
        <w:tc>
          <w:tcPr>
            <w:tcW w:w="6794" w:type="dxa"/>
            <w:gridSpan w:val="9"/>
          </w:tcPr>
          <w:p w14:paraId="379B1E21" w14:textId="77777777" w:rsidR="00CB33C7" w:rsidRPr="001B19A0" w:rsidRDefault="00CB33C7" w:rsidP="001B19A0">
            <w:pPr>
              <w:rPr>
                <w:rFonts w:cs="Arial"/>
                <w:szCs w:val="22"/>
                <w:lang w:eastAsia="it-IT"/>
              </w:rPr>
            </w:pPr>
            <w:r w:rsidRPr="001B19A0">
              <w:rPr>
                <w:rFonts w:cs="Arial"/>
                <w:szCs w:val="22"/>
                <w:lang w:eastAsia="it-IT"/>
              </w:rPr>
              <w:t>0972561907</w:t>
            </w:r>
          </w:p>
        </w:tc>
      </w:tr>
      <w:tr w:rsidR="00CB33C7" w:rsidRPr="001B19A0" w14:paraId="2E2B03B6" w14:textId="77777777" w:rsidTr="0020110C">
        <w:trPr>
          <w:jc w:val="right"/>
        </w:trPr>
        <w:tc>
          <w:tcPr>
            <w:tcW w:w="3425" w:type="dxa"/>
          </w:tcPr>
          <w:p w14:paraId="23C46E8E" w14:textId="77777777" w:rsidR="00CB33C7" w:rsidRPr="001B19A0" w:rsidRDefault="00CB33C7" w:rsidP="001B19A0">
            <w:pPr>
              <w:rPr>
                <w:rFonts w:cs="Arial"/>
                <w:b/>
                <w:bCs/>
                <w:szCs w:val="22"/>
              </w:rPr>
            </w:pPr>
            <w:r w:rsidRPr="001B19A0">
              <w:rPr>
                <w:rFonts w:cs="Arial"/>
                <w:szCs w:val="22"/>
                <w:lang w:eastAsia="it-IT"/>
              </w:rPr>
              <w:t>Електронна адреса:</w:t>
            </w:r>
          </w:p>
        </w:tc>
        <w:tc>
          <w:tcPr>
            <w:tcW w:w="6794" w:type="dxa"/>
            <w:gridSpan w:val="9"/>
          </w:tcPr>
          <w:p w14:paraId="41D1F183" w14:textId="77777777" w:rsidR="00CB33C7" w:rsidRPr="001B19A0" w:rsidRDefault="00D85FFD" w:rsidP="001B19A0">
            <w:pPr>
              <w:rPr>
                <w:rFonts w:cs="Arial"/>
                <w:szCs w:val="22"/>
                <w:lang w:eastAsia="it-IT"/>
              </w:rPr>
            </w:pPr>
            <w:hyperlink r:id="rId63" w:history="1">
              <w:r w:rsidR="00CB33C7" w:rsidRPr="001B19A0">
                <w:rPr>
                  <w:rStyle w:val="af0"/>
                  <w:rFonts w:cs="Arial"/>
                  <w:noProof w:val="0"/>
                  <w:sz w:val="22"/>
                  <w:szCs w:val="22"/>
                  <w:lang w:eastAsia="it-IT"/>
                </w:rPr>
                <w:t>Aolenych03@ukr.net</w:t>
              </w:r>
            </w:hyperlink>
          </w:p>
        </w:tc>
      </w:tr>
      <w:tr w:rsidR="00CB33C7" w:rsidRPr="001B19A0" w14:paraId="267C98FA" w14:textId="77777777" w:rsidTr="0020110C">
        <w:trPr>
          <w:jc w:val="right"/>
        </w:trPr>
        <w:tc>
          <w:tcPr>
            <w:tcW w:w="3425" w:type="dxa"/>
            <w:vAlign w:val="center"/>
          </w:tcPr>
          <w:p w14:paraId="433A1DC8" w14:textId="77777777" w:rsidR="00CB33C7" w:rsidRPr="001B19A0" w:rsidRDefault="00CB33C7" w:rsidP="001B19A0">
            <w:pPr>
              <w:pStyle w:val="6"/>
              <w:spacing w:before="0" w:after="0"/>
              <w:rPr>
                <w:rFonts w:ascii="Arial" w:hAnsi="Arial" w:cs="Arial"/>
                <w:color w:val="000000"/>
                <w:lang w:val="uk-UA"/>
              </w:rPr>
            </w:pPr>
            <w:r w:rsidRPr="001B19A0">
              <w:rPr>
                <w:rFonts w:ascii="Arial" w:hAnsi="Arial" w:cs="Arial"/>
                <w:color w:val="000000"/>
                <w:lang w:val="uk-UA"/>
              </w:rPr>
              <w:t>Номер і назва завдання з Стратегії</w:t>
            </w:r>
            <w:r w:rsidRPr="001B19A0">
              <w:rPr>
                <w:rFonts w:ascii="Arial" w:hAnsi="Arial" w:cs="Arial"/>
                <w:lang w:val="uk-UA" w:eastAsia="it-IT"/>
              </w:rPr>
              <w:t xml:space="preserve"> </w:t>
            </w:r>
            <w:r w:rsidRPr="001B19A0">
              <w:rPr>
                <w:rFonts w:ascii="Arial" w:hAnsi="Arial" w:cs="Arial"/>
                <w:color w:val="000000"/>
                <w:lang w:val="uk-UA"/>
              </w:rPr>
              <w:t xml:space="preserve">розвитку Жмеринської міської </w:t>
            </w:r>
          </w:p>
        </w:tc>
        <w:tc>
          <w:tcPr>
            <w:tcW w:w="6794" w:type="dxa"/>
            <w:gridSpan w:val="9"/>
            <w:vAlign w:val="center"/>
          </w:tcPr>
          <w:p w14:paraId="27955222" w14:textId="77777777" w:rsidR="00CB33C7" w:rsidRPr="001B19A0" w:rsidRDefault="00CB33C7" w:rsidP="001B19A0">
            <w:pPr>
              <w:rPr>
                <w:rFonts w:eastAsia="Lucida Sans Unicode" w:cs="Arial"/>
                <w:kern w:val="1"/>
                <w:szCs w:val="22"/>
                <w:lang w:eastAsia="ar-SA"/>
              </w:rPr>
            </w:pPr>
            <w:r w:rsidRPr="001B19A0">
              <w:rPr>
                <w:rFonts w:eastAsia="Lucida Sans Unicode" w:cs="Arial"/>
                <w:kern w:val="1"/>
                <w:szCs w:val="22"/>
                <w:lang w:eastAsia="ar-SA"/>
              </w:rPr>
              <w:t>В.1.1.3. Проведення будівництва, реконструкції та капітального ремонту дорожнього покриття вулиць  та тротуарів в населених пунктах територіальної громади.</w:t>
            </w:r>
          </w:p>
        </w:tc>
      </w:tr>
      <w:tr w:rsidR="00CB33C7" w:rsidRPr="001B19A0" w14:paraId="47364246" w14:textId="77777777" w:rsidTr="0020110C">
        <w:trPr>
          <w:jc w:val="right"/>
        </w:trPr>
        <w:tc>
          <w:tcPr>
            <w:tcW w:w="3425" w:type="dxa"/>
            <w:vAlign w:val="center"/>
          </w:tcPr>
          <w:p w14:paraId="15057242" w14:textId="77777777" w:rsidR="00CB33C7" w:rsidRPr="001B19A0" w:rsidRDefault="00CB33C7" w:rsidP="001B19A0">
            <w:pPr>
              <w:rPr>
                <w:rFonts w:cs="Arial"/>
                <w:b/>
                <w:bCs/>
                <w:color w:val="000000"/>
                <w:szCs w:val="22"/>
              </w:rPr>
            </w:pPr>
            <w:r w:rsidRPr="001B19A0">
              <w:rPr>
                <w:rFonts w:cs="Arial"/>
                <w:b/>
                <w:bCs/>
                <w:color w:val="000000"/>
                <w:szCs w:val="22"/>
              </w:rPr>
              <w:t>Мета проєкту:</w:t>
            </w:r>
          </w:p>
        </w:tc>
        <w:tc>
          <w:tcPr>
            <w:tcW w:w="6794" w:type="dxa"/>
            <w:gridSpan w:val="9"/>
          </w:tcPr>
          <w:p w14:paraId="0CFD13BD" w14:textId="77777777" w:rsidR="00CB33C7" w:rsidRPr="001B19A0" w:rsidRDefault="00CB33C7" w:rsidP="001B19A0">
            <w:pPr>
              <w:jc w:val="both"/>
              <w:rPr>
                <w:rFonts w:cs="Arial"/>
                <w:szCs w:val="22"/>
                <w:lang w:eastAsia="it-IT"/>
              </w:rPr>
            </w:pPr>
            <w:r w:rsidRPr="001B19A0">
              <w:rPr>
                <w:rFonts w:cs="Arial"/>
                <w:szCs w:val="22"/>
                <w:lang w:eastAsia="it-IT"/>
              </w:rPr>
              <w:t>Забезпечення  населення громади смт. Браїлів якісною інфраструктурою, а саме дорогами з рівним покриттям.</w:t>
            </w:r>
          </w:p>
          <w:p w14:paraId="63EAF141" w14:textId="77777777" w:rsidR="00CB33C7" w:rsidRPr="001B19A0" w:rsidRDefault="00CB33C7" w:rsidP="001B19A0">
            <w:pPr>
              <w:jc w:val="both"/>
              <w:rPr>
                <w:rFonts w:cs="Arial"/>
                <w:szCs w:val="22"/>
                <w:lang w:eastAsia="it-IT"/>
              </w:rPr>
            </w:pPr>
            <w:r w:rsidRPr="001B19A0">
              <w:rPr>
                <w:rFonts w:cs="Arial"/>
                <w:szCs w:val="22"/>
                <w:lang w:eastAsia="it-IT"/>
              </w:rPr>
              <w:t>Мешканці громади отримують більш комфортні   та безпечні умови проживання та перебування в населеному пункті.</w:t>
            </w:r>
          </w:p>
        </w:tc>
      </w:tr>
      <w:tr w:rsidR="00CB33C7" w:rsidRPr="001B19A0" w14:paraId="22F74292" w14:textId="77777777" w:rsidTr="0020110C">
        <w:trPr>
          <w:jc w:val="right"/>
        </w:trPr>
        <w:tc>
          <w:tcPr>
            <w:tcW w:w="3425" w:type="dxa"/>
            <w:vAlign w:val="center"/>
          </w:tcPr>
          <w:p w14:paraId="07995458" w14:textId="77777777" w:rsidR="00CB33C7" w:rsidRPr="001B19A0" w:rsidRDefault="00CB33C7" w:rsidP="001B19A0">
            <w:pPr>
              <w:rPr>
                <w:rFonts w:cs="Arial"/>
                <w:b/>
                <w:bCs/>
                <w:color w:val="000000"/>
                <w:szCs w:val="22"/>
              </w:rPr>
            </w:pPr>
            <w:r w:rsidRPr="001B19A0">
              <w:rPr>
                <w:rFonts w:cs="Arial"/>
                <w:b/>
                <w:bCs/>
                <w:color w:val="000000"/>
                <w:szCs w:val="22"/>
              </w:rPr>
              <w:t>Цілі проєкту:</w:t>
            </w:r>
          </w:p>
        </w:tc>
        <w:tc>
          <w:tcPr>
            <w:tcW w:w="6794" w:type="dxa"/>
            <w:gridSpan w:val="9"/>
          </w:tcPr>
          <w:p w14:paraId="20457070" w14:textId="77777777" w:rsidR="00CB33C7" w:rsidRPr="001B19A0" w:rsidRDefault="00CB33C7" w:rsidP="001B19A0">
            <w:pPr>
              <w:rPr>
                <w:rFonts w:cs="Arial"/>
                <w:szCs w:val="22"/>
                <w:lang w:eastAsia="it-IT"/>
              </w:rPr>
            </w:pPr>
            <w:r w:rsidRPr="001B19A0">
              <w:rPr>
                <w:rFonts w:cs="Arial"/>
                <w:szCs w:val="22"/>
                <w:lang w:eastAsia="it-IT"/>
              </w:rPr>
              <w:t>Покращити інфраструктуру   дорожнього покриття в смт. Браїлів</w:t>
            </w:r>
          </w:p>
        </w:tc>
      </w:tr>
      <w:tr w:rsidR="00CB33C7" w:rsidRPr="001B19A0" w14:paraId="5841950C" w14:textId="77777777" w:rsidTr="0020110C">
        <w:trPr>
          <w:jc w:val="right"/>
        </w:trPr>
        <w:tc>
          <w:tcPr>
            <w:tcW w:w="3425" w:type="dxa"/>
            <w:vAlign w:val="center"/>
          </w:tcPr>
          <w:p w14:paraId="02C19244" w14:textId="77777777" w:rsidR="00CB33C7" w:rsidRPr="001B19A0" w:rsidRDefault="00CB33C7" w:rsidP="001B19A0">
            <w:pPr>
              <w:autoSpaceDE w:val="0"/>
              <w:autoSpaceDN w:val="0"/>
              <w:adjustRightInd w:val="0"/>
              <w:rPr>
                <w:rFonts w:cs="Arial"/>
                <w:b/>
                <w:color w:val="000000"/>
                <w:szCs w:val="22"/>
              </w:rPr>
            </w:pPr>
            <w:r w:rsidRPr="001B19A0">
              <w:rPr>
                <w:rFonts w:cs="Arial"/>
                <w:b/>
                <w:color w:val="000000"/>
                <w:szCs w:val="22"/>
              </w:rPr>
              <w:t>Територія на яку проєкт матиме вплив:</w:t>
            </w:r>
          </w:p>
        </w:tc>
        <w:tc>
          <w:tcPr>
            <w:tcW w:w="6794" w:type="dxa"/>
            <w:gridSpan w:val="9"/>
          </w:tcPr>
          <w:p w14:paraId="5714E928" w14:textId="77777777" w:rsidR="00CB33C7" w:rsidRPr="001B19A0" w:rsidRDefault="00CB33C7" w:rsidP="001B19A0">
            <w:pPr>
              <w:rPr>
                <w:rFonts w:cs="Arial"/>
                <w:szCs w:val="22"/>
                <w:lang w:eastAsia="it-IT"/>
              </w:rPr>
            </w:pPr>
            <w:r w:rsidRPr="001B19A0">
              <w:rPr>
                <w:rFonts w:cs="Arial"/>
                <w:szCs w:val="22"/>
                <w:lang w:eastAsia="it-IT"/>
              </w:rPr>
              <w:t xml:space="preserve">Території Браїлівського старостинського округу а саме: смт. Браїлів                                                                                                                                                                                                                                                                     </w:t>
            </w:r>
          </w:p>
        </w:tc>
      </w:tr>
      <w:tr w:rsidR="00CB33C7" w:rsidRPr="001B19A0" w14:paraId="5357E2F6" w14:textId="77777777" w:rsidTr="0020110C">
        <w:trPr>
          <w:jc w:val="right"/>
        </w:trPr>
        <w:tc>
          <w:tcPr>
            <w:tcW w:w="3425" w:type="dxa"/>
            <w:vAlign w:val="center"/>
          </w:tcPr>
          <w:p w14:paraId="66FFE551" w14:textId="77777777" w:rsidR="00CB33C7" w:rsidRPr="001B19A0" w:rsidRDefault="00CB33C7" w:rsidP="001B19A0">
            <w:pPr>
              <w:autoSpaceDE w:val="0"/>
              <w:autoSpaceDN w:val="0"/>
              <w:adjustRightInd w:val="0"/>
              <w:rPr>
                <w:rFonts w:cs="Arial"/>
                <w:b/>
                <w:color w:val="000000"/>
                <w:szCs w:val="22"/>
              </w:rPr>
            </w:pPr>
            <w:r w:rsidRPr="001B19A0">
              <w:rPr>
                <w:rFonts w:cs="Arial"/>
                <w:b/>
                <w:color w:val="000000"/>
                <w:szCs w:val="22"/>
              </w:rPr>
              <w:t>Цільові групи проєкту та кількість отримувачів вигоди</w:t>
            </w:r>
          </w:p>
        </w:tc>
        <w:tc>
          <w:tcPr>
            <w:tcW w:w="6794" w:type="dxa"/>
            <w:gridSpan w:val="9"/>
          </w:tcPr>
          <w:p w14:paraId="020D4D37" w14:textId="77777777" w:rsidR="00CB33C7" w:rsidRPr="001B19A0" w:rsidRDefault="00CB33C7" w:rsidP="001B19A0">
            <w:pPr>
              <w:rPr>
                <w:rFonts w:cs="Arial"/>
                <w:szCs w:val="22"/>
                <w:lang w:eastAsia="it-IT"/>
              </w:rPr>
            </w:pPr>
            <w:r w:rsidRPr="001B19A0">
              <w:rPr>
                <w:rFonts w:cs="Arial"/>
                <w:szCs w:val="22"/>
                <w:lang w:eastAsia="it-IT"/>
              </w:rPr>
              <w:t>Жителі смт. Браїлів в кількості 4514 жителів</w:t>
            </w:r>
          </w:p>
        </w:tc>
      </w:tr>
      <w:tr w:rsidR="00CB33C7" w:rsidRPr="001B19A0" w14:paraId="27783482" w14:textId="77777777" w:rsidTr="0020110C">
        <w:trPr>
          <w:jc w:val="right"/>
        </w:trPr>
        <w:tc>
          <w:tcPr>
            <w:tcW w:w="3425" w:type="dxa"/>
            <w:shd w:val="clear" w:color="auto" w:fill="FFFFFF"/>
            <w:vAlign w:val="center"/>
          </w:tcPr>
          <w:p w14:paraId="6DAAE91C" w14:textId="77777777" w:rsidR="00CB33C7" w:rsidRPr="001B19A0" w:rsidRDefault="00CB33C7" w:rsidP="001B19A0">
            <w:pPr>
              <w:rPr>
                <w:rFonts w:cs="Arial"/>
                <w:b/>
                <w:bCs/>
                <w:color w:val="000000"/>
                <w:szCs w:val="22"/>
              </w:rPr>
            </w:pPr>
            <w:r w:rsidRPr="001B19A0">
              <w:rPr>
                <w:rFonts w:cs="Arial"/>
                <w:b/>
                <w:bCs/>
                <w:color w:val="000000"/>
                <w:szCs w:val="22"/>
              </w:rPr>
              <w:t>Стислий опис проєкту:</w:t>
            </w:r>
          </w:p>
        </w:tc>
        <w:tc>
          <w:tcPr>
            <w:tcW w:w="6794" w:type="dxa"/>
            <w:gridSpan w:val="9"/>
          </w:tcPr>
          <w:p w14:paraId="50BDBDAC" w14:textId="77777777" w:rsidR="00CB33C7" w:rsidRPr="001B19A0" w:rsidRDefault="00CB33C7" w:rsidP="001B19A0">
            <w:pPr>
              <w:pStyle w:val="ad"/>
              <w:shd w:val="clear" w:color="auto" w:fill="FFFFFF"/>
              <w:spacing w:before="0" w:beforeAutospacing="0" w:after="0" w:afterAutospacing="0"/>
              <w:ind w:firstLine="148"/>
              <w:jc w:val="both"/>
              <w:rPr>
                <w:rFonts w:cs="Arial"/>
                <w:szCs w:val="22"/>
              </w:rPr>
            </w:pPr>
            <w:r w:rsidRPr="001B19A0">
              <w:rPr>
                <w:rFonts w:cs="Arial"/>
                <w:szCs w:val="22"/>
              </w:rPr>
              <w:t>Якість доріг забезпечує роботу всіх галузей промисловості, соціальний розвиток суспільства. Забезпечує доступ у різні місця населеного пункту, а також безпечне та надійне переміщення людей і транспортування товарів і має надзвичайно важливе значення.</w:t>
            </w:r>
          </w:p>
          <w:p w14:paraId="1A225BE9" w14:textId="77777777" w:rsidR="00CB33C7" w:rsidRPr="001B19A0" w:rsidRDefault="00CB33C7" w:rsidP="001B19A0">
            <w:pPr>
              <w:pStyle w:val="ad"/>
              <w:shd w:val="clear" w:color="auto" w:fill="FFFFFF"/>
              <w:spacing w:before="0" w:beforeAutospacing="0" w:after="0" w:afterAutospacing="0"/>
              <w:ind w:firstLine="148"/>
              <w:jc w:val="both"/>
              <w:rPr>
                <w:rFonts w:cs="Arial"/>
                <w:szCs w:val="22"/>
              </w:rPr>
            </w:pPr>
            <w:r w:rsidRPr="001B19A0">
              <w:rPr>
                <w:rFonts w:cs="Arial"/>
                <w:szCs w:val="22"/>
              </w:rPr>
              <w:t>Від стану автомобільних доріг залежать витрати на перевезення вантажів та пасажирів, рівень цін, певною мірою зайнятість населення.</w:t>
            </w:r>
          </w:p>
          <w:p w14:paraId="332CA6C1" w14:textId="77777777" w:rsidR="00CB33C7" w:rsidRPr="001B19A0" w:rsidRDefault="00CB33C7" w:rsidP="001B19A0">
            <w:pPr>
              <w:pStyle w:val="ad"/>
              <w:shd w:val="clear" w:color="auto" w:fill="FFFFFF"/>
              <w:spacing w:before="0" w:beforeAutospacing="0" w:after="0" w:afterAutospacing="0"/>
              <w:ind w:firstLine="148"/>
              <w:jc w:val="both"/>
              <w:rPr>
                <w:rFonts w:cs="Arial"/>
                <w:szCs w:val="22"/>
                <w:shd w:val="clear" w:color="auto" w:fill="FFFFFF"/>
              </w:rPr>
            </w:pPr>
            <w:r w:rsidRPr="001B19A0">
              <w:rPr>
                <w:rFonts w:cs="Arial"/>
                <w:szCs w:val="22"/>
              </w:rPr>
              <w:t xml:space="preserve"> </w:t>
            </w:r>
            <w:r w:rsidRPr="001B19A0">
              <w:rPr>
                <w:rFonts w:cs="Arial"/>
                <w:szCs w:val="22"/>
                <w:shd w:val="clear" w:color="auto" w:fill="FFFFFF"/>
              </w:rPr>
              <w:t>Перш за все викликають занепокоєння ті ділянки доріг, по яких проходять автобусні сполучення, підвезення дітей до навчальних закладів, надання невідкладної медичної допомоги.</w:t>
            </w:r>
          </w:p>
          <w:p w14:paraId="5305FAED" w14:textId="77777777" w:rsidR="00CB33C7" w:rsidRPr="001B19A0" w:rsidRDefault="00CB33C7" w:rsidP="001B19A0">
            <w:pPr>
              <w:rPr>
                <w:rFonts w:cs="Arial"/>
                <w:szCs w:val="22"/>
                <w:lang w:eastAsia="it-IT"/>
              </w:rPr>
            </w:pPr>
            <w:r w:rsidRPr="001B19A0">
              <w:rPr>
                <w:rFonts w:cs="Arial"/>
                <w:szCs w:val="22"/>
                <w:shd w:val="clear" w:color="auto" w:fill="FFFFFF"/>
              </w:rPr>
              <w:t>З метою безперебійного перевезення людей, необхідно провести капітальний ремонт доріг в смт. Браїлів Жмеринського району</w:t>
            </w:r>
          </w:p>
        </w:tc>
      </w:tr>
      <w:tr w:rsidR="00CB33C7" w:rsidRPr="001B19A0" w14:paraId="31ABEBC6" w14:textId="77777777" w:rsidTr="0020110C">
        <w:trPr>
          <w:jc w:val="right"/>
        </w:trPr>
        <w:tc>
          <w:tcPr>
            <w:tcW w:w="3425" w:type="dxa"/>
            <w:shd w:val="clear" w:color="auto" w:fill="FFFFFF"/>
            <w:vAlign w:val="center"/>
          </w:tcPr>
          <w:p w14:paraId="498333F8" w14:textId="77777777" w:rsidR="00CB33C7" w:rsidRPr="001B19A0" w:rsidRDefault="00CB33C7" w:rsidP="001B19A0">
            <w:pPr>
              <w:rPr>
                <w:rFonts w:cs="Arial"/>
                <w:b/>
                <w:bCs/>
                <w:color w:val="000000"/>
                <w:szCs w:val="22"/>
              </w:rPr>
            </w:pPr>
            <w:r w:rsidRPr="001B19A0">
              <w:rPr>
                <w:rFonts w:cs="Arial"/>
                <w:b/>
                <w:bCs/>
                <w:color w:val="000000"/>
                <w:szCs w:val="22"/>
              </w:rPr>
              <w:t>Основні заходи проєкту:</w:t>
            </w:r>
          </w:p>
        </w:tc>
        <w:tc>
          <w:tcPr>
            <w:tcW w:w="6794" w:type="dxa"/>
            <w:gridSpan w:val="9"/>
          </w:tcPr>
          <w:p w14:paraId="496D9BA4" w14:textId="03E8BC05" w:rsidR="00CB33C7" w:rsidRPr="001B19A0" w:rsidRDefault="00CB33C7" w:rsidP="001B19A0">
            <w:pPr>
              <w:jc w:val="both"/>
              <w:rPr>
                <w:rFonts w:cs="Arial"/>
                <w:szCs w:val="22"/>
                <w:lang w:eastAsia="it-IT"/>
              </w:rPr>
            </w:pPr>
            <w:r w:rsidRPr="001B19A0">
              <w:rPr>
                <w:rFonts w:cs="Arial"/>
                <w:szCs w:val="22"/>
                <w:lang w:eastAsia="it-IT"/>
              </w:rPr>
              <w:t>Створення робочо</w:t>
            </w:r>
            <w:r w:rsidR="00EE17EE">
              <w:rPr>
                <w:rFonts w:cs="Arial"/>
                <w:szCs w:val="22"/>
                <w:lang w:eastAsia="it-IT"/>
              </w:rPr>
              <w:t>ї групи з питань реалізації проє</w:t>
            </w:r>
            <w:r w:rsidRPr="001B19A0">
              <w:rPr>
                <w:rFonts w:cs="Arial"/>
                <w:szCs w:val="22"/>
                <w:lang w:eastAsia="it-IT"/>
              </w:rPr>
              <w:t xml:space="preserve">кту. </w:t>
            </w:r>
          </w:p>
          <w:p w14:paraId="0CF8C7A9" w14:textId="77777777" w:rsidR="00CB33C7" w:rsidRPr="001B19A0" w:rsidRDefault="00CB33C7" w:rsidP="001B19A0">
            <w:pPr>
              <w:jc w:val="both"/>
              <w:rPr>
                <w:rFonts w:cs="Arial"/>
                <w:szCs w:val="22"/>
                <w:lang w:eastAsia="it-IT"/>
              </w:rPr>
            </w:pPr>
            <w:r w:rsidRPr="001B19A0">
              <w:rPr>
                <w:rFonts w:cs="Arial"/>
                <w:szCs w:val="22"/>
                <w:lang w:eastAsia="it-IT"/>
              </w:rPr>
              <w:t>Проведення процедури закупівель (визначення виконавця робіт).</w:t>
            </w:r>
          </w:p>
          <w:p w14:paraId="3F105325" w14:textId="77777777" w:rsidR="00CB33C7" w:rsidRPr="001B19A0" w:rsidRDefault="00CB33C7" w:rsidP="001B19A0">
            <w:pPr>
              <w:jc w:val="both"/>
              <w:rPr>
                <w:rFonts w:cs="Arial"/>
                <w:szCs w:val="22"/>
                <w:lang w:eastAsia="it-IT"/>
              </w:rPr>
            </w:pPr>
            <w:r w:rsidRPr="001B19A0">
              <w:rPr>
                <w:rFonts w:cs="Arial"/>
                <w:szCs w:val="22"/>
                <w:lang w:eastAsia="it-IT"/>
              </w:rPr>
              <w:t>Укладення договорів з виконавцем робіт, організаціями, що здійснюватимуть  технічний та авторський  нагляд .</w:t>
            </w:r>
          </w:p>
          <w:p w14:paraId="7052877B" w14:textId="06FDDC94" w:rsidR="00CB33C7" w:rsidRPr="001B19A0" w:rsidRDefault="00CB33C7" w:rsidP="001B19A0">
            <w:pPr>
              <w:jc w:val="both"/>
              <w:rPr>
                <w:rFonts w:cs="Arial"/>
                <w:szCs w:val="22"/>
                <w:lang w:eastAsia="it-IT"/>
              </w:rPr>
            </w:pPr>
            <w:r w:rsidRPr="001B19A0">
              <w:rPr>
                <w:rFonts w:cs="Arial"/>
                <w:szCs w:val="22"/>
                <w:lang w:eastAsia="it-IT"/>
              </w:rPr>
              <w:t xml:space="preserve">Виконання робіт з </w:t>
            </w:r>
            <w:r w:rsidRPr="001B19A0">
              <w:rPr>
                <w:rFonts w:eastAsia="Arial" w:cs="Arial"/>
                <w:color w:val="000000" w:themeColor="text1"/>
                <w:szCs w:val="22"/>
                <w:lang w:eastAsia="en-US"/>
              </w:rPr>
              <w:t xml:space="preserve">капітального ремонту </w:t>
            </w:r>
            <w:r w:rsidRPr="001B19A0">
              <w:rPr>
                <w:rFonts w:eastAsia="Arial" w:cs="Arial"/>
                <w:szCs w:val="22"/>
                <w:lang w:eastAsia="en-US"/>
              </w:rPr>
              <w:t>доріг (асфальтування) в смт. Браїлів Жмеринського району</w:t>
            </w:r>
            <w:r w:rsidR="00EE17EE">
              <w:rPr>
                <w:rFonts w:eastAsia="Arial" w:cs="Arial"/>
                <w:szCs w:val="22"/>
                <w:lang w:eastAsia="en-US"/>
              </w:rPr>
              <w:t>.</w:t>
            </w:r>
          </w:p>
          <w:p w14:paraId="2924801B" w14:textId="77777777" w:rsidR="00CB33C7" w:rsidRPr="001B19A0" w:rsidRDefault="00CB33C7" w:rsidP="001B19A0">
            <w:pPr>
              <w:jc w:val="both"/>
              <w:rPr>
                <w:rFonts w:cs="Arial"/>
                <w:szCs w:val="22"/>
                <w:lang w:eastAsia="it-IT"/>
              </w:rPr>
            </w:pPr>
            <w:r w:rsidRPr="001B19A0">
              <w:rPr>
                <w:rFonts w:cs="Arial"/>
                <w:szCs w:val="22"/>
                <w:lang w:eastAsia="it-IT"/>
              </w:rPr>
              <w:t>Введення  об’єкту в експлуатацію .</w:t>
            </w:r>
          </w:p>
          <w:p w14:paraId="7853608D" w14:textId="1785E70F" w:rsidR="00CB33C7" w:rsidRPr="001B19A0" w:rsidRDefault="00CB33C7" w:rsidP="001B19A0">
            <w:pPr>
              <w:rPr>
                <w:rFonts w:cs="Arial"/>
                <w:szCs w:val="22"/>
                <w:lang w:eastAsia="it-IT"/>
              </w:rPr>
            </w:pPr>
            <w:r w:rsidRPr="001B19A0">
              <w:rPr>
                <w:rFonts w:cs="Arial"/>
                <w:szCs w:val="22"/>
                <w:lang w:eastAsia="it-IT"/>
              </w:rPr>
              <w:t xml:space="preserve">Проведення інформаційних заходів (розміщення  </w:t>
            </w:r>
            <w:r w:rsidR="00EE17EE">
              <w:rPr>
                <w:rFonts w:cs="Arial"/>
                <w:szCs w:val="22"/>
                <w:lang w:eastAsia="it-IT"/>
              </w:rPr>
              <w:t>інформації  про реалізацію  проє</w:t>
            </w:r>
            <w:r w:rsidRPr="001B19A0">
              <w:rPr>
                <w:rFonts w:cs="Arial"/>
                <w:szCs w:val="22"/>
                <w:lang w:eastAsia="it-IT"/>
              </w:rPr>
              <w:t>кту у ЗМІ) .</w:t>
            </w:r>
          </w:p>
        </w:tc>
      </w:tr>
      <w:tr w:rsidR="00CB33C7" w:rsidRPr="001B19A0" w14:paraId="1BE3B3EA" w14:textId="77777777" w:rsidTr="0020110C">
        <w:trPr>
          <w:jc w:val="right"/>
        </w:trPr>
        <w:tc>
          <w:tcPr>
            <w:tcW w:w="3425" w:type="dxa"/>
            <w:shd w:val="clear" w:color="auto" w:fill="FFFFFF"/>
            <w:vAlign w:val="center"/>
          </w:tcPr>
          <w:p w14:paraId="2B80C9CC" w14:textId="77777777" w:rsidR="00CB33C7" w:rsidRPr="001B19A0" w:rsidRDefault="00CB33C7" w:rsidP="001B19A0">
            <w:pPr>
              <w:rPr>
                <w:rFonts w:cs="Arial"/>
                <w:b/>
                <w:bCs/>
                <w:color w:val="000000"/>
                <w:szCs w:val="22"/>
              </w:rPr>
            </w:pPr>
            <w:r w:rsidRPr="001B19A0">
              <w:rPr>
                <w:rFonts w:cs="Arial"/>
                <w:b/>
                <w:bCs/>
                <w:color w:val="000000"/>
                <w:szCs w:val="22"/>
              </w:rPr>
              <w:t>Індикатори (показники) результативності:</w:t>
            </w:r>
          </w:p>
        </w:tc>
        <w:tc>
          <w:tcPr>
            <w:tcW w:w="6794" w:type="dxa"/>
            <w:gridSpan w:val="9"/>
          </w:tcPr>
          <w:p w14:paraId="06CA59CD" w14:textId="77777777" w:rsidR="00CB33C7" w:rsidRPr="001B19A0" w:rsidRDefault="00CB33C7" w:rsidP="001B19A0">
            <w:pPr>
              <w:rPr>
                <w:rFonts w:cs="Arial"/>
                <w:szCs w:val="22"/>
                <w:lang w:eastAsia="it-IT"/>
              </w:rPr>
            </w:pPr>
            <w:r w:rsidRPr="001B19A0">
              <w:rPr>
                <w:rFonts w:eastAsia="Arial" w:cs="Arial"/>
                <w:szCs w:val="22"/>
                <w:lang w:eastAsia="en-US"/>
              </w:rPr>
              <w:t xml:space="preserve">Площа ремонтованого покриття проїзної частини, з’їздів, розширень, площадок: 3660 </w:t>
            </w:r>
            <w:r w:rsidRPr="001B19A0">
              <w:rPr>
                <w:rFonts w:cs="Arial"/>
                <w:color w:val="000000"/>
                <w:szCs w:val="22"/>
              </w:rPr>
              <w:t>м</w:t>
            </w:r>
            <w:r w:rsidRPr="001B19A0">
              <w:rPr>
                <w:rFonts w:cs="Arial"/>
                <w:color w:val="000000"/>
                <w:szCs w:val="22"/>
                <w:vertAlign w:val="superscript"/>
              </w:rPr>
              <w:t xml:space="preserve">2  </w:t>
            </w:r>
            <w:r w:rsidRPr="001B19A0">
              <w:rPr>
                <w:rFonts w:eastAsia="Arial" w:cs="Arial"/>
                <w:szCs w:val="22"/>
                <w:lang w:eastAsia="en-US"/>
              </w:rPr>
              <w:t>та площа присипних узбіч: 455</w:t>
            </w:r>
            <w:r w:rsidRPr="001B19A0">
              <w:rPr>
                <w:rFonts w:cs="Arial"/>
                <w:color w:val="000000"/>
                <w:szCs w:val="22"/>
              </w:rPr>
              <w:t>м</w:t>
            </w:r>
            <w:r w:rsidRPr="001B19A0">
              <w:rPr>
                <w:rFonts w:cs="Arial"/>
                <w:color w:val="000000"/>
                <w:szCs w:val="22"/>
                <w:vertAlign w:val="superscript"/>
              </w:rPr>
              <w:t>2</w:t>
            </w:r>
          </w:p>
        </w:tc>
      </w:tr>
      <w:tr w:rsidR="00CB33C7" w:rsidRPr="001B19A0" w14:paraId="7EC85510" w14:textId="77777777" w:rsidTr="0020110C">
        <w:trPr>
          <w:jc w:val="right"/>
        </w:trPr>
        <w:tc>
          <w:tcPr>
            <w:tcW w:w="3425" w:type="dxa"/>
            <w:shd w:val="clear" w:color="auto" w:fill="FFFFFF"/>
            <w:vAlign w:val="center"/>
          </w:tcPr>
          <w:p w14:paraId="0979D275" w14:textId="77777777" w:rsidR="00CB33C7" w:rsidRPr="001B19A0" w:rsidRDefault="00CB33C7" w:rsidP="001B19A0">
            <w:pPr>
              <w:rPr>
                <w:rFonts w:cs="Arial"/>
                <w:b/>
                <w:color w:val="000000"/>
                <w:szCs w:val="22"/>
              </w:rPr>
            </w:pPr>
            <w:r w:rsidRPr="001B19A0">
              <w:rPr>
                <w:rFonts w:cs="Arial"/>
                <w:b/>
                <w:color w:val="000000"/>
                <w:szCs w:val="22"/>
              </w:rPr>
              <w:t xml:space="preserve">Період здійснення: </w:t>
            </w:r>
          </w:p>
        </w:tc>
        <w:tc>
          <w:tcPr>
            <w:tcW w:w="6794" w:type="dxa"/>
            <w:gridSpan w:val="9"/>
            <w:vAlign w:val="center"/>
          </w:tcPr>
          <w:p w14:paraId="218B79B2" w14:textId="77777777" w:rsidR="00CB33C7" w:rsidRPr="001B19A0" w:rsidRDefault="00CB33C7" w:rsidP="001B19A0">
            <w:pPr>
              <w:rPr>
                <w:rFonts w:cs="Arial"/>
                <w:color w:val="000000"/>
                <w:szCs w:val="22"/>
                <w:lang w:eastAsia="it-IT"/>
              </w:rPr>
            </w:pPr>
            <w:r w:rsidRPr="001B19A0">
              <w:rPr>
                <w:rFonts w:cs="Arial"/>
                <w:b/>
                <w:color w:val="000000"/>
                <w:szCs w:val="22"/>
              </w:rPr>
              <w:t>2025 – 2028 роки:</w:t>
            </w:r>
          </w:p>
        </w:tc>
      </w:tr>
      <w:tr w:rsidR="00CB33C7" w:rsidRPr="001B19A0" w14:paraId="65FBDB57" w14:textId="77777777" w:rsidTr="0020110C">
        <w:trPr>
          <w:jc w:val="right"/>
        </w:trPr>
        <w:tc>
          <w:tcPr>
            <w:tcW w:w="3425" w:type="dxa"/>
            <w:vMerge w:val="restart"/>
            <w:shd w:val="clear" w:color="auto" w:fill="FFFFFF"/>
            <w:vAlign w:val="center"/>
          </w:tcPr>
          <w:p w14:paraId="667437E1" w14:textId="77777777" w:rsidR="00CB33C7" w:rsidRPr="001B19A0" w:rsidRDefault="00CB33C7" w:rsidP="001B19A0">
            <w:pPr>
              <w:rPr>
                <w:rFonts w:cs="Arial"/>
                <w:b/>
                <w:bCs/>
                <w:color w:val="000000"/>
                <w:szCs w:val="22"/>
              </w:rPr>
            </w:pPr>
            <w:r w:rsidRPr="001B19A0">
              <w:rPr>
                <w:rFonts w:cs="Arial"/>
                <w:b/>
                <w:bCs/>
                <w:color w:val="000000"/>
                <w:szCs w:val="22"/>
              </w:rPr>
              <w:t>Орієнтовна вартість проєкту, тис. грн., в тому числі:</w:t>
            </w:r>
          </w:p>
        </w:tc>
        <w:tc>
          <w:tcPr>
            <w:tcW w:w="1254" w:type="dxa"/>
            <w:shd w:val="clear" w:color="auto" w:fill="E6E6E6"/>
            <w:vAlign w:val="center"/>
          </w:tcPr>
          <w:p w14:paraId="13909054" w14:textId="77777777" w:rsidR="00CB33C7" w:rsidRPr="001B19A0" w:rsidRDefault="00CB33C7" w:rsidP="001B19A0">
            <w:pPr>
              <w:jc w:val="center"/>
              <w:rPr>
                <w:rFonts w:cs="Arial"/>
                <w:b/>
                <w:color w:val="000000"/>
                <w:szCs w:val="22"/>
                <w:lang w:eastAsia="it-IT"/>
              </w:rPr>
            </w:pPr>
            <w:r w:rsidRPr="001B19A0">
              <w:rPr>
                <w:rFonts w:cs="Arial"/>
                <w:b/>
                <w:color w:val="000000"/>
                <w:szCs w:val="22"/>
                <w:lang w:eastAsia="it-IT"/>
              </w:rPr>
              <w:t>2025</w:t>
            </w:r>
          </w:p>
        </w:tc>
        <w:tc>
          <w:tcPr>
            <w:tcW w:w="1412" w:type="dxa"/>
            <w:gridSpan w:val="2"/>
            <w:shd w:val="clear" w:color="auto" w:fill="E6E6E6"/>
            <w:vAlign w:val="center"/>
          </w:tcPr>
          <w:p w14:paraId="2BFD94F9" w14:textId="77777777" w:rsidR="00CB33C7" w:rsidRPr="001B19A0" w:rsidRDefault="00CB33C7" w:rsidP="001B19A0">
            <w:pPr>
              <w:jc w:val="center"/>
              <w:rPr>
                <w:rFonts w:cs="Arial"/>
                <w:b/>
                <w:color w:val="000000"/>
                <w:szCs w:val="22"/>
                <w:lang w:eastAsia="it-IT"/>
              </w:rPr>
            </w:pPr>
            <w:r w:rsidRPr="001B19A0">
              <w:rPr>
                <w:rFonts w:cs="Arial"/>
                <w:b/>
                <w:color w:val="000000"/>
                <w:szCs w:val="22"/>
                <w:lang w:eastAsia="it-IT"/>
              </w:rPr>
              <w:t>2026</w:t>
            </w:r>
          </w:p>
        </w:tc>
        <w:tc>
          <w:tcPr>
            <w:tcW w:w="1281" w:type="dxa"/>
            <w:gridSpan w:val="2"/>
            <w:tcBorders>
              <w:bottom w:val="single" w:sz="4" w:space="0" w:color="auto"/>
            </w:tcBorders>
            <w:shd w:val="clear" w:color="auto" w:fill="E6E6E6"/>
            <w:vAlign w:val="center"/>
          </w:tcPr>
          <w:p w14:paraId="3A48DF9C" w14:textId="77777777" w:rsidR="00CB33C7" w:rsidRPr="001B19A0" w:rsidRDefault="00CB33C7" w:rsidP="001B19A0">
            <w:pPr>
              <w:jc w:val="center"/>
              <w:rPr>
                <w:rFonts w:cs="Arial"/>
                <w:b/>
                <w:color w:val="000000"/>
                <w:szCs w:val="22"/>
                <w:lang w:eastAsia="it-IT"/>
              </w:rPr>
            </w:pPr>
            <w:r w:rsidRPr="001B19A0">
              <w:rPr>
                <w:rFonts w:cs="Arial"/>
                <w:b/>
                <w:color w:val="000000"/>
                <w:szCs w:val="22"/>
                <w:lang w:eastAsia="it-IT"/>
              </w:rPr>
              <w:t>2027</w:t>
            </w:r>
          </w:p>
        </w:tc>
        <w:tc>
          <w:tcPr>
            <w:tcW w:w="1276" w:type="dxa"/>
            <w:gridSpan w:val="2"/>
            <w:shd w:val="clear" w:color="auto" w:fill="E6E6E6"/>
            <w:vAlign w:val="center"/>
          </w:tcPr>
          <w:p w14:paraId="18B744A2" w14:textId="77777777" w:rsidR="00CB33C7" w:rsidRPr="001B19A0" w:rsidRDefault="00CB33C7" w:rsidP="001B19A0">
            <w:pPr>
              <w:jc w:val="center"/>
              <w:rPr>
                <w:rFonts w:cs="Arial"/>
                <w:b/>
                <w:color w:val="000000"/>
                <w:szCs w:val="22"/>
                <w:lang w:eastAsia="it-IT"/>
              </w:rPr>
            </w:pPr>
            <w:r w:rsidRPr="001B19A0">
              <w:rPr>
                <w:rFonts w:cs="Arial"/>
                <w:b/>
                <w:color w:val="000000"/>
                <w:szCs w:val="22"/>
                <w:lang w:eastAsia="it-IT"/>
              </w:rPr>
              <w:t>2028</w:t>
            </w:r>
          </w:p>
        </w:tc>
        <w:tc>
          <w:tcPr>
            <w:tcW w:w="1571" w:type="dxa"/>
            <w:gridSpan w:val="2"/>
            <w:shd w:val="clear" w:color="auto" w:fill="E6E6E6"/>
            <w:vAlign w:val="center"/>
          </w:tcPr>
          <w:p w14:paraId="49D0AFFA" w14:textId="77777777" w:rsidR="00CB33C7" w:rsidRPr="001B19A0" w:rsidRDefault="00CB33C7" w:rsidP="001B19A0">
            <w:pPr>
              <w:jc w:val="center"/>
              <w:rPr>
                <w:rFonts w:cs="Arial"/>
                <w:b/>
                <w:color w:val="000000"/>
                <w:szCs w:val="22"/>
                <w:lang w:eastAsia="it-IT"/>
              </w:rPr>
            </w:pPr>
            <w:r w:rsidRPr="001B19A0">
              <w:rPr>
                <w:rFonts w:cs="Arial"/>
                <w:b/>
                <w:color w:val="000000"/>
                <w:szCs w:val="22"/>
                <w:lang w:eastAsia="it-IT"/>
              </w:rPr>
              <w:t>РАЗОМ</w:t>
            </w:r>
          </w:p>
        </w:tc>
      </w:tr>
      <w:tr w:rsidR="00CB33C7" w:rsidRPr="001B19A0" w14:paraId="4C91E6AD" w14:textId="77777777" w:rsidTr="0020110C">
        <w:trPr>
          <w:jc w:val="right"/>
        </w:trPr>
        <w:tc>
          <w:tcPr>
            <w:tcW w:w="3425" w:type="dxa"/>
            <w:vMerge/>
            <w:shd w:val="clear" w:color="auto" w:fill="FFFFFF"/>
            <w:vAlign w:val="center"/>
          </w:tcPr>
          <w:p w14:paraId="0A1A8A6D" w14:textId="77777777" w:rsidR="00CB33C7" w:rsidRPr="001B19A0" w:rsidRDefault="00CB33C7" w:rsidP="001B19A0">
            <w:pPr>
              <w:rPr>
                <w:rFonts w:cs="Arial"/>
                <w:b/>
                <w:bCs/>
                <w:color w:val="000000"/>
                <w:szCs w:val="22"/>
              </w:rPr>
            </w:pPr>
          </w:p>
        </w:tc>
        <w:tc>
          <w:tcPr>
            <w:tcW w:w="1254" w:type="dxa"/>
            <w:vAlign w:val="center"/>
          </w:tcPr>
          <w:p w14:paraId="373D27B4" w14:textId="77777777" w:rsidR="00CB33C7" w:rsidRPr="001B19A0" w:rsidRDefault="00CB33C7" w:rsidP="001B19A0">
            <w:pPr>
              <w:jc w:val="center"/>
              <w:rPr>
                <w:rFonts w:cs="Arial"/>
                <w:b/>
                <w:color w:val="000000"/>
                <w:szCs w:val="22"/>
                <w:lang w:eastAsia="it-IT"/>
              </w:rPr>
            </w:pPr>
          </w:p>
        </w:tc>
        <w:tc>
          <w:tcPr>
            <w:tcW w:w="1412" w:type="dxa"/>
            <w:gridSpan w:val="2"/>
            <w:shd w:val="clear" w:color="auto" w:fill="FFFFFF"/>
            <w:vAlign w:val="center"/>
          </w:tcPr>
          <w:p w14:paraId="4028EF65" w14:textId="77777777" w:rsidR="00CB33C7" w:rsidRPr="001B19A0" w:rsidRDefault="00CB33C7" w:rsidP="001B19A0">
            <w:pPr>
              <w:jc w:val="center"/>
              <w:rPr>
                <w:rFonts w:cs="Arial"/>
                <w:color w:val="000000"/>
                <w:szCs w:val="22"/>
                <w:lang w:eastAsia="it-IT"/>
              </w:rPr>
            </w:pPr>
            <w:r w:rsidRPr="001B19A0">
              <w:rPr>
                <w:rFonts w:cs="Arial"/>
                <w:color w:val="000000"/>
                <w:szCs w:val="22"/>
                <w:lang w:eastAsia="it-IT"/>
              </w:rPr>
              <w:t>1889,195</w:t>
            </w:r>
          </w:p>
        </w:tc>
        <w:tc>
          <w:tcPr>
            <w:tcW w:w="1281" w:type="dxa"/>
            <w:gridSpan w:val="2"/>
            <w:shd w:val="clear" w:color="auto" w:fill="auto"/>
            <w:vAlign w:val="center"/>
          </w:tcPr>
          <w:p w14:paraId="7D74C8B5" w14:textId="77777777" w:rsidR="00CB33C7" w:rsidRPr="001B19A0" w:rsidRDefault="00CB33C7" w:rsidP="001B19A0">
            <w:pPr>
              <w:jc w:val="center"/>
              <w:rPr>
                <w:rFonts w:cs="Arial"/>
                <w:b/>
                <w:color w:val="000000"/>
                <w:szCs w:val="22"/>
                <w:lang w:eastAsia="it-IT"/>
              </w:rPr>
            </w:pPr>
          </w:p>
        </w:tc>
        <w:tc>
          <w:tcPr>
            <w:tcW w:w="1276" w:type="dxa"/>
            <w:gridSpan w:val="2"/>
            <w:shd w:val="clear" w:color="auto" w:fill="FFFFFF"/>
            <w:vAlign w:val="center"/>
          </w:tcPr>
          <w:p w14:paraId="0444D1DA" w14:textId="77777777" w:rsidR="00CB33C7" w:rsidRPr="001B19A0" w:rsidRDefault="00CB33C7" w:rsidP="001B19A0">
            <w:pPr>
              <w:jc w:val="center"/>
              <w:rPr>
                <w:rFonts w:cs="Arial"/>
                <w:b/>
                <w:color w:val="000000"/>
                <w:szCs w:val="22"/>
                <w:lang w:eastAsia="it-IT"/>
              </w:rPr>
            </w:pPr>
          </w:p>
        </w:tc>
        <w:tc>
          <w:tcPr>
            <w:tcW w:w="1571" w:type="dxa"/>
            <w:gridSpan w:val="2"/>
            <w:shd w:val="clear" w:color="auto" w:fill="FFFFFF"/>
            <w:vAlign w:val="center"/>
          </w:tcPr>
          <w:p w14:paraId="5F3342AE" w14:textId="77777777" w:rsidR="00CB33C7" w:rsidRPr="001B19A0" w:rsidRDefault="00CB33C7" w:rsidP="001B19A0">
            <w:pPr>
              <w:jc w:val="center"/>
              <w:rPr>
                <w:rFonts w:cs="Arial"/>
                <w:b/>
                <w:color w:val="000000"/>
                <w:szCs w:val="22"/>
                <w:lang w:eastAsia="it-IT"/>
              </w:rPr>
            </w:pPr>
            <w:r w:rsidRPr="001B19A0">
              <w:rPr>
                <w:rFonts w:cs="Arial"/>
                <w:b/>
                <w:color w:val="000000"/>
                <w:szCs w:val="22"/>
                <w:lang w:eastAsia="it-IT"/>
              </w:rPr>
              <w:t>1889,195</w:t>
            </w:r>
          </w:p>
        </w:tc>
      </w:tr>
      <w:tr w:rsidR="00CB33C7" w:rsidRPr="001B19A0" w14:paraId="4CC255D7" w14:textId="77777777" w:rsidTr="0020110C">
        <w:trPr>
          <w:trHeight w:val="276"/>
          <w:jc w:val="right"/>
        </w:trPr>
        <w:tc>
          <w:tcPr>
            <w:tcW w:w="3425" w:type="dxa"/>
            <w:shd w:val="clear" w:color="auto" w:fill="FFFFFF"/>
            <w:vAlign w:val="center"/>
          </w:tcPr>
          <w:p w14:paraId="144B500B" w14:textId="77777777" w:rsidR="00CB33C7" w:rsidRPr="001B19A0" w:rsidRDefault="00CB33C7" w:rsidP="001B19A0">
            <w:pPr>
              <w:rPr>
                <w:rFonts w:cs="Arial"/>
                <w:b/>
                <w:bCs/>
                <w:color w:val="000000"/>
                <w:szCs w:val="22"/>
              </w:rPr>
            </w:pPr>
            <w:r w:rsidRPr="001B19A0">
              <w:rPr>
                <w:rFonts w:cs="Arial"/>
                <w:b/>
                <w:bCs/>
                <w:color w:val="000000"/>
                <w:szCs w:val="22"/>
              </w:rPr>
              <w:t>по джерелах фінансування:</w:t>
            </w:r>
          </w:p>
        </w:tc>
        <w:tc>
          <w:tcPr>
            <w:tcW w:w="6794" w:type="dxa"/>
            <w:gridSpan w:val="9"/>
            <w:vAlign w:val="center"/>
          </w:tcPr>
          <w:p w14:paraId="284A7DA1" w14:textId="77777777" w:rsidR="00CB33C7" w:rsidRPr="001B19A0" w:rsidRDefault="00CB33C7" w:rsidP="001B19A0">
            <w:pPr>
              <w:jc w:val="center"/>
              <w:rPr>
                <w:rFonts w:cs="Arial"/>
                <w:color w:val="000000"/>
                <w:szCs w:val="22"/>
                <w:lang w:eastAsia="it-IT"/>
              </w:rPr>
            </w:pPr>
          </w:p>
        </w:tc>
      </w:tr>
      <w:tr w:rsidR="001B19A0" w:rsidRPr="001B19A0" w14:paraId="302667BE" w14:textId="584B7735" w:rsidTr="0020110C">
        <w:trPr>
          <w:trHeight w:val="240"/>
          <w:jc w:val="right"/>
        </w:trPr>
        <w:tc>
          <w:tcPr>
            <w:tcW w:w="3425" w:type="dxa"/>
            <w:shd w:val="clear" w:color="auto" w:fill="FFFFFF"/>
            <w:vAlign w:val="center"/>
          </w:tcPr>
          <w:p w14:paraId="5663F677" w14:textId="77777777" w:rsidR="001B19A0" w:rsidRPr="001B19A0" w:rsidRDefault="001B19A0" w:rsidP="001B19A0">
            <w:pPr>
              <w:rPr>
                <w:rFonts w:cs="Arial"/>
                <w:b/>
                <w:bCs/>
                <w:color w:val="000000"/>
                <w:szCs w:val="22"/>
              </w:rPr>
            </w:pPr>
            <w:r w:rsidRPr="001B19A0">
              <w:rPr>
                <w:rFonts w:cs="Arial"/>
                <w:color w:val="000000"/>
                <w:szCs w:val="22"/>
              </w:rPr>
              <w:t>- державний бюджет</w:t>
            </w:r>
          </w:p>
        </w:tc>
        <w:tc>
          <w:tcPr>
            <w:tcW w:w="1267" w:type="dxa"/>
            <w:gridSpan w:val="2"/>
            <w:vAlign w:val="center"/>
          </w:tcPr>
          <w:p w14:paraId="53F31982" w14:textId="77777777" w:rsidR="001B19A0" w:rsidRPr="001B19A0" w:rsidRDefault="001B19A0" w:rsidP="001B19A0">
            <w:pPr>
              <w:jc w:val="center"/>
              <w:rPr>
                <w:rFonts w:cs="Arial"/>
                <w:color w:val="000000"/>
                <w:szCs w:val="22"/>
                <w:lang w:eastAsia="it-IT"/>
              </w:rPr>
            </w:pPr>
          </w:p>
        </w:tc>
        <w:tc>
          <w:tcPr>
            <w:tcW w:w="1405" w:type="dxa"/>
            <w:gridSpan w:val="2"/>
            <w:vAlign w:val="center"/>
          </w:tcPr>
          <w:p w14:paraId="5595BFD0" w14:textId="77777777" w:rsidR="001B19A0" w:rsidRPr="001B19A0" w:rsidRDefault="001B19A0" w:rsidP="001B19A0">
            <w:pPr>
              <w:jc w:val="center"/>
              <w:rPr>
                <w:rFonts w:cs="Arial"/>
                <w:color w:val="000000"/>
                <w:szCs w:val="22"/>
                <w:lang w:eastAsia="it-IT"/>
              </w:rPr>
            </w:pPr>
          </w:p>
        </w:tc>
        <w:tc>
          <w:tcPr>
            <w:tcW w:w="1313" w:type="dxa"/>
            <w:gridSpan w:val="2"/>
            <w:vAlign w:val="center"/>
          </w:tcPr>
          <w:p w14:paraId="3A6D4C43" w14:textId="77777777" w:rsidR="001B19A0" w:rsidRPr="001B19A0" w:rsidRDefault="001B19A0" w:rsidP="001B19A0">
            <w:pPr>
              <w:jc w:val="center"/>
              <w:rPr>
                <w:rFonts w:cs="Arial"/>
                <w:color w:val="000000"/>
                <w:szCs w:val="22"/>
                <w:lang w:eastAsia="it-IT"/>
              </w:rPr>
            </w:pPr>
          </w:p>
        </w:tc>
        <w:tc>
          <w:tcPr>
            <w:tcW w:w="1279" w:type="dxa"/>
            <w:gridSpan w:val="2"/>
            <w:vAlign w:val="center"/>
          </w:tcPr>
          <w:p w14:paraId="466700FC" w14:textId="77777777" w:rsidR="001B19A0" w:rsidRPr="001B19A0" w:rsidRDefault="001B19A0" w:rsidP="001B19A0">
            <w:pPr>
              <w:jc w:val="center"/>
              <w:rPr>
                <w:rFonts w:cs="Arial"/>
                <w:color w:val="000000"/>
                <w:szCs w:val="22"/>
                <w:lang w:eastAsia="it-IT"/>
              </w:rPr>
            </w:pPr>
          </w:p>
        </w:tc>
        <w:tc>
          <w:tcPr>
            <w:tcW w:w="1530" w:type="dxa"/>
            <w:vAlign w:val="center"/>
          </w:tcPr>
          <w:p w14:paraId="622908B7" w14:textId="77777777" w:rsidR="001B19A0" w:rsidRPr="001B19A0" w:rsidRDefault="001B19A0" w:rsidP="001B19A0">
            <w:pPr>
              <w:jc w:val="center"/>
              <w:rPr>
                <w:rFonts w:cs="Arial"/>
                <w:color w:val="000000"/>
                <w:szCs w:val="22"/>
                <w:lang w:eastAsia="it-IT"/>
              </w:rPr>
            </w:pPr>
          </w:p>
        </w:tc>
      </w:tr>
      <w:tr w:rsidR="001B19A0" w:rsidRPr="001B19A0" w14:paraId="1B8FDFA6" w14:textId="0E016A35" w:rsidTr="0020110C">
        <w:trPr>
          <w:trHeight w:val="254"/>
          <w:jc w:val="right"/>
        </w:trPr>
        <w:tc>
          <w:tcPr>
            <w:tcW w:w="3425" w:type="dxa"/>
            <w:shd w:val="clear" w:color="auto" w:fill="FFFFFF"/>
            <w:vAlign w:val="center"/>
          </w:tcPr>
          <w:p w14:paraId="4C66C3DB" w14:textId="77777777" w:rsidR="001B19A0" w:rsidRPr="001B19A0" w:rsidRDefault="001B19A0" w:rsidP="001B19A0">
            <w:pPr>
              <w:rPr>
                <w:rFonts w:cs="Arial"/>
                <w:color w:val="000000"/>
                <w:szCs w:val="22"/>
              </w:rPr>
            </w:pPr>
            <w:r w:rsidRPr="001B19A0">
              <w:rPr>
                <w:rFonts w:cs="Arial"/>
                <w:color w:val="000000"/>
                <w:szCs w:val="22"/>
              </w:rPr>
              <w:t>- обласний бюджет</w:t>
            </w:r>
          </w:p>
        </w:tc>
        <w:tc>
          <w:tcPr>
            <w:tcW w:w="1267" w:type="dxa"/>
            <w:gridSpan w:val="2"/>
            <w:vAlign w:val="center"/>
          </w:tcPr>
          <w:p w14:paraId="1D748E9D" w14:textId="77777777" w:rsidR="001B19A0" w:rsidRPr="001B19A0" w:rsidRDefault="001B19A0" w:rsidP="001B19A0">
            <w:pPr>
              <w:jc w:val="center"/>
              <w:rPr>
                <w:rFonts w:cs="Arial"/>
                <w:color w:val="000000"/>
                <w:szCs w:val="22"/>
                <w:lang w:eastAsia="it-IT"/>
              </w:rPr>
            </w:pPr>
          </w:p>
        </w:tc>
        <w:tc>
          <w:tcPr>
            <w:tcW w:w="1405" w:type="dxa"/>
            <w:gridSpan w:val="2"/>
            <w:vAlign w:val="center"/>
          </w:tcPr>
          <w:p w14:paraId="685F1C55" w14:textId="77777777" w:rsidR="001B19A0" w:rsidRPr="001B19A0" w:rsidRDefault="001B19A0" w:rsidP="001B19A0">
            <w:pPr>
              <w:jc w:val="center"/>
              <w:rPr>
                <w:rFonts w:cs="Arial"/>
                <w:color w:val="000000"/>
                <w:szCs w:val="22"/>
                <w:lang w:eastAsia="it-IT"/>
              </w:rPr>
            </w:pPr>
          </w:p>
        </w:tc>
        <w:tc>
          <w:tcPr>
            <w:tcW w:w="1313" w:type="dxa"/>
            <w:gridSpan w:val="2"/>
            <w:vAlign w:val="center"/>
          </w:tcPr>
          <w:p w14:paraId="3B05EFAF" w14:textId="77777777" w:rsidR="001B19A0" w:rsidRPr="001B19A0" w:rsidRDefault="001B19A0" w:rsidP="001B19A0">
            <w:pPr>
              <w:jc w:val="center"/>
              <w:rPr>
                <w:rFonts w:cs="Arial"/>
                <w:color w:val="000000"/>
                <w:szCs w:val="22"/>
                <w:lang w:eastAsia="it-IT"/>
              </w:rPr>
            </w:pPr>
          </w:p>
        </w:tc>
        <w:tc>
          <w:tcPr>
            <w:tcW w:w="1279" w:type="dxa"/>
            <w:gridSpan w:val="2"/>
            <w:vAlign w:val="center"/>
          </w:tcPr>
          <w:p w14:paraId="4B58AA57" w14:textId="77777777" w:rsidR="001B19A0" w:rsidRPr="001B19A0" w:rsidRDefault="001B19A0" w:rsidP="001B19A0">
            <w:pPr>
              <w:jc w:val="center"/>
              <w:rPr>
                <w:rFonts w:cs="Arial"/>
                <w:color w:val="000000"/>
                <w:szCs w:val="22"/>
                <w:lang w:eastAsia="it-IT"/>
              </w:rPr>
            </w:pPr>
          </w:p>
        </w:tc>
        <w:tc>
          <w:tcPr>
            <w:tcW w:w="1530" w:type="dxa"/>
            <w:vAlign w:val="center"/>
          </w:tcPr>
          <w:p w14:paraId="675428E7" w14:textId="77777777" w:rsidR="001B19A0" w:rsidRPr="001B19A0" w:rsidRDefault="001B19A0" w:rsidP="001B19A0">
            <w:pPr>
              <w:jc w:val="center"/>
              <w:rPr>
                <w:rFonts w:cs="Arial"/>
                <w:color w:val="000000"/>
                <w:szCs w:val="22"/>
                <w:lang w:eastAsia="it-IT"/>
              </w:rPr>
            </w:pPr>
          </w:p>
        </w:tc>
      </w:tr>
      <w:tr w:rsidR="001B19A0" w:rsidRPr="001B19A0" w14:paraId="5512EF31" w14:textId="02636FC6" w:rsidTr="0020110C">
        <w:trPr>
          <w:trHeight w:val="275"/>
          <w:jc w:val="right"/>
        </w:trPr>
        <w:tc>
          <w:tcPr>
            <w:tcW w:w="3425" w:type="dxa"/>
            <w:shd w:val="clear" w:color="auto" w:fill="FFFFFF"/>
            <w:vAlign w:val="center"/>
          </w:tcPr>
          <w:p w14:paraId="7983A922" w14:textId="77777777" w:rsidR="001B19A0" w:rsidRPr="001B19A0" w:rsidRDefault="001B19A0" w:rsidP="001B19A0">
            <w:pPr>
              <w:rPr>
                <w:rFonts w:cs="Arial"/>
                <w:color w:val="000000"/>
                <w:szCs w:val="22"/>
              </w:rPr>
            </w:pPr>
            <w:r w:rsidRPr="001B19A0">
              <w:rPr>
                <w:rFonts w:cs="Arial"/>
                <w:color w:val="000000"/>
                <w:szCs w:val="22"/>
              </w:rPr>
              <w:t>- бюджет Жмеринської МТГ</w:t>
            </w:r>
          </w:p>
        </w:tc>
        <w:tc>
          <w:tcPr>
            <w:tcW w:w="1267" w:type="dxa"/>
            <w:gridSpan w:val="2"/>
            <w:vAlign w:val="center"/>
          </w:tcPr>
          <w:p w14:paraId="4AFC88A5" w14:textId="27C78DD9" w:rsidR="001B19A0" w:rsidRPr="001B19A0" w:rsidRDefault="001B19A0" w:rsidP="001B19A0">
            <w:pPr>
              <w:jc w:val="center"/>
              <w:rPr>
                <w:rFonts w:cs="Arial"/>
                <w:color w:val="000000"/>
                <w:szCs w:val="22"/>
                <w:lang w:eastAsia="it-IT"/>
              </w:rPr>
            </w:pPr>
          </w:p>
        </w:tc>
        <w:tc>
          <w:tcPr>
            <w:tcW w:w="1405" w:type="dxa"/>
            <w:gridSpan w:val="2"/>
            <w:vAlign w:val="center"/>
          </w:tcPr>
          <w:p w14:paraId="0EB57564" w14:textId="100FC0E8" w:rsidR="001B19A0" w:rsidRPr="001B19A0" w:rsidRDefault="001B19A0" w:rsidP="001B19A0">
            <w:pPr>
              <w:jc w:val="center"/>
              <w:rPr>
                <w:rFonts w:cs="Arial"/>
                <w:color w:val="000000"/>
                <w:szCs w:val="22"/>
                <w:lang w:eastAsia="it-IT"/>
              </w:rPr>
            </w:pPr>
            <w:r w:rsidRPr="001B19A0">
              <w:rPr>
                <w:rFonts w:cs="Arial"/>
                <w:color w:val="000000"/>
                <w:szCs w:val="22"/>
                <w:lang w:eastAsia="it-IT"/>
              </w:rPr>
              <w:t>1889,195</w:t>
            </w:r>
          </w:p>
        </w:tc>
        <w:tc>
          <w:tcPr>
            <w:tcW w:w="1313" w:type="dxa"/>
            <w:gridSpan w:val="2"/>
            <w:vAlign w:val="center"/>
          </w:tcPr>
          <w:p w14:paraId="2AEFB8FB" w14:textId="77777777" w:rsidR="001B19A0" w:rsidRPr="001B19A0" w:rsidRDefault="001B19A0" w:rsidP="001B19A0">
            <w:pPr>
              <w:jc w:val="center"/>
              <w:rPr>
                <w:rFonts w:cs="Arial"/>
                <w:color w:val="000000"/>
                <w:szCs w:val="22"/>
                <w:lang w:eastAsia="it-IT"/>
              </w:rPr>
            </w:pPr>
          </w:p>
        </w:tc>
        <w:tc>
          <w:tcPr>
            <w:tcW w:w="1279" w:type="dxa"/>
            <w:gridSpan w:val="2"/>
            <w:vAlign w:val="center"/>
          </w:tcPr>
          <w:p w14:paraId="53A7AED5" w14:textId="77777777" w:rsidR="001B19A0" w:rsidRPr="001B19A0" w:rsidRDefault="001B19A0" w:rsidP="001B19A0">
            <w:pPr>
              <w:jc w:val="center"/>
              <w:rPr>
                <w:rFonts w:cs="Arial"/>
                <w:color w:val="000000"/>
                <w:szCs w:val="22"/>
                <w:lang w:eastAsia="it-IT"/>
              </w:rPr>
            </w:pPr>
          </w:p>
        </w:tc>
        <w:tc>
          <w:tcPr>
            <w:tcW w:w="1530" w:type="dxa"/>
            <w:vAlign w:val="center"/>
          </w:tcPr>
          <w:p w14:paraId="3BC3C3B7" w14:textId="47683835" w:rsidR="001B19A0" w:rsidRPr="001B19A0" w:rsidRDefault="001B19A0" w:rsidP="001B19A0">
            <w:pPr>
              <w:jc w:val="center"/>
              <w:rPr>
                <w:rFonts w:cs="Arial"/>
                <w:b/>
                <w:color w:val="000000"/>
                <w:szCs w:val="22"/>
                <w:lang w:eastAsia="it-IT"/>
              </w:rPr>
            </w:pPr>
            <w:r w:rsidRPr="001B19A0">
              <w:rPr>
                <w:rFonts w:cs="Arial"/>
                <w:b/>
                <w:color w:val="000000"/>
                <w:szCs w:val="22"/>
                <w:lang w:eastAsia="it-IT"/>
              </w:rPr>
              <w:t>1889,195</w:t>
            </w:r>
          </w:p>
        </w:tc>
      </w:tr>
      <w:tr w:rsidR="001B19A0" w:rsidRPr="001B19A0" w14:paraId="1003C472" w14:textId="0E3412AC" w:rsidTr="0020110C">
        <w:trPr>
          <w:trHeight w:val="226"/>
          <w:jc w:val="right"/>
        </w:trPr>
        <w:tc>
          <w:tcPr>
            <w:tcW w:w="3425" w:type="dxa"/>
            <w:shd w:val="clear" w:color="auto" w:fill="FFFFFF"/>
            <w:vAlign w:val="center"/>
          </w:tcPr>
          <w:p w14:paraId="526F0F0E" w14:textId="77777777" w:rsidR="001B19A0" w:rsidRPr="001B19A0" w:rsidRDefault="001B19A0" w:rsidP="001B19A0">
            <w:pPr>
              <w:rPr>
                <w:rFonts w:cs="Arial"/>
                <w:color w:val="000000"/>
                <w:szCs w:val="22"/>
              </w:rPr>
            </w:pPr>
            <w:r w:rsidRPr="001B19A0">
              <w:rPr>
                <w:rFonts w:cs="Arial"/>
                <w:color w:val="000000"/>
                <w:szCs w:val="22"/>
              </w:rPr>
              <w:t>- інші джерела фінансування</w:t>
            </w:r>
          </w:p>
        </w:tc>
        <w:tc>
          <w:tcPr>
            <w:tcW w:w="1267" w:type="dxa"/>
            <w:gridSpan w:val="2"/>
            <w:vAlign w:val="center"/>
          </w:tcPr>
          <w:p w14:paraId="09A16747" w14:textId="77777777" w:rsidR="001B19A0" w:rsidRPr="001B19A0" w:rsidRDefault="001B19A0" w:rsidP="001B19A0">
            <w:pPr>
              <w:jc w:val="center"/>
              <w:rPr>
                <w:rFonts w:cs="Arial"/>
                <w:color w:val="000000"/>
                <w:szCs w:val="22"/>
                <w:lang w:eastAsia="it-IT"/>
              </w:rPr>
            </w:pPr>
          </w:p>
        </w:tc>
        <w:tc>
          <w:tcPr>
            <w:tcW w:w="1405" w:type="dxa"/>
            <w:gridSpan w:val="2"/>
            <w:vAlign w:val="center"/>
          </w:tcPr>
          <w:p w14:paraId="273B588B" w14:textId="77777777" w:rsidR="001B19A0" w:rsidRPr="001B19A0" w:rsidRDefault="001B19A0" w:rsidP="001B19A0">
            <w:pPr>
              <w:jc w:val="center"/>
              <w:rPr>
                <w:rFonts w:cs="Arial"/>
                <w:color w:val="000000"/>
                <w:szCs w:val="22"/>
                <w:lang w:eastAsia="it-IT"/>
              </w:rPr>
            </w:pPr>
          </w:p>
        </w:tc>
        <w:tc>
          <w:tcPr>
            <w:tcW w:w="1313" w:type="dxa"/>
            <w:gridSpan w:val="2"/>
            <w:vAlign w:val="center"/>
          </w:tcPr>
          <w:p w14:paraId="2B337B3E" w14:textId="77777777" w:rsidR="001B19A0" w:rsidRPr="001B19A0" w:rsidRDefault="001B19A0" w:rsidP="001B19A0">
            <w:pPr>
              <w:jc w:val="center"/>
              <w:rPr>
                <w:rFonts w:cs="Arial"/>
                <w:color w:val="000000"/>
                <w:szCs w:val="22"/>
                <w:lang w:eastAsia="it-IT"/>
              </w:rPr>
            </w:pPr>
          </w:p>
        </w:tc>
        <w:tc>
          <w:tcPr>
            <w:tcW w:w="1279" w:type="dxa"/>
            <w:gridSpan w:val="2"/>
            <w:vAlign w:val="center"/>
          </w:tcPr>
          <w:p w14:paraId="479DE183" w14:textId="77777777" w:rsidR="001B19A0" w:rsidRPr="001B19A0" w:rsidRDefault="001B19A0" w:rsidP="001B19A0">
            <w:pPr>
              <w:jc w:val="center"/>
              <w:rPr>
                <w:rFonts w:cs="Arial"/>
                <w:color w:val="000000"/>
                <w:szCs w:val="22"/>
                <w:lang w:eastAsia="it-IT"/>
              </w:rPr>
            </w:pPr>
          </w:p>
        </w:tc>
        <w:tc>
          <w:tcPr>
            <w:tcW w:w="1530" w:type="dxa"/>
            <w:vAlign w:val="center"/>
          </w:tcPr>
          <w:p w14:paraId="7EBD13D7" w14:textId="77777777" w:rsidR="001B19A0" w:rsidRPr="001B19A0" w:rsidRDefault="001B19A0" w:rsidP="001B19A0">
            <w:pPr>
              <w:jc w:val="center"/>
              <w:rPr>
                <w:rFonts w:cs="Arial"/>
                <w:color w:val="000000"/>
                <w:szCs w:val="22"/>
                <w:lang w:eastAsia="it-IT"/>
              </w:rPr>
            </w:pPr>
          </w:p>
        </w:tc>
      </w:tr>
      <w:tr w:rsidR="001B19A0" w:rsidRPr="001B19A0" w14:paraId="138CC2D3" w14:textId="77777777" w:rsidTr="0020110C">
        <w:trPr>
          <w:jc w:val="right"/>
        </w:trPr>
        <w:tc>
          <w:tcPr>
            <w:tcW w:w="3425" w:type="dxa"/>
            <w:shd w:val="clear" w:color="auto" w:fill="FFFFFF"/>
            <w:vAlign w:val="center"/>
          </w:tcPr>
          <w:p w14:paraId="7B93FEFC" w14:textId="77777777" w:rsidR="001B19A0" w:rsidRPr="001B19A0" w:rsidRDefault="001B19A0" w:rsidP="001B19A0">
            <w:pPr>
              <w:rPr>
                <w:rFonts w:cs="Arial"/>
                <w:b/>
                <w:bCs/>
                <w:color w:val="000000"/>
                <w:szCs w:val="22"/>
              </w:rPr>
            </w:pPr>
            <w:r w:rsidRPr="001B19A0">
              <w:rPr>
                <w:rFonts w:cs="Arial"/>
                <w:b/>
                <w:color w:val="000000"/>
                <w:szCs w:val="22"/>
              </w:rPr>
              <w:t>Відповідальний виконавець проєкту:</w:t>
            </w:r>
          </w:p>
        </w:tc>
        <w:tc>
          <w:tcPr>
            <w:tcW w:w="6794" w:type="dxa"/>
            <w:gridSpan w:val="9"/>
            <w:vAlign w:val="center"/>
          </w:tcPr>
          <w:p w14:paraId="59EDD18C" w14:textId="20CFA82B" w:rsidR="001B19A0" w:rsidRPr="001B19A0" w:rsidRDefault="001B19A0" w:rsidP="001B19A0">
            <w:pPr>
              <w:jc w:val="both"/>
              <w:rPr>
                <w:rFonts w:cs="Arial"/>
                <w:color w:val="000000"/>
                <w:szCs w:val="22"/>
                <w:lang w:eastAsia="it-IT"/>
              </w:rPr>
            </w:pPr>
            <w:r w:rsidRPr="001B19A0">
              <w:rPr>
                <w:rFonts w:cs="Arial"/>
                <w:color w:val="000000"/>
                <w:szCs w:val="22"/>
                <w:lang w:eastAsia="it-IT"/>
              </w:rPr>
              <w:t>Управління ЖКГ.</w:t>
            </w:r>
          </w:p>
        </w:tc>
      </w:tr>
      <w:tr w:rsidR="001B19A0" w:rsidRPr="001B19A0" w14:paraId="737A155E" w14:textId="77777777" w:rsidTr="0020110C">
        <w:trPr>
          <w:jc w:val="right"/>
        </w:trPr>
        <w:tc>
          <w:tcPr>
            <w:tcW w:w="3425" w:type="dxa"/>
            <w:shd w:val="clear" w:color="auto" w:fill="FFFFFF"/>
            <w:vAlign w:val="center"/>
          </w:tcPr>
          <w:p w14:paraId="1A1ADFC3" w14:textId="77777777" w:rsidR="001B19A0" w:rsidRPr="001B19A0" w:rsidRDefault="001B19A0" w:rsidP="001B19A0">
            <w:pPr>
              <w:rPr>
                <w:rFonts w:cs="Arial"/>
                <w:b/>
                <w:bCs/>
                <w:color w:val="000000"/>
                <w:szCs w:val="22"/>
              </w:rPr>
            </w:pPr>
            <w:r w:rsidRPr="001B19A0">
              <w:rPr>
                <w:rFonts w:cs="Arial"/>
                <w:b/>
                <w:bCs/>
                <w:color w:val="000000"/>
                <w:szCs w:val="22"/>
              </w:rPr>
              <w:t>Інше:</w:t>
            </w:r>
          </w:p>
        </w:tc>
        <w:tc>
          <w:tcPr>
            <w:tcW w:w="6794" w:type="dxa"/>
            <w:gridSpan w:val="9"/>
            <w:vAlign w:val="center"/>
          </w:tcPr>
          <w:p w14:paraId="6B428F23" w14:textId="77777777" w:rsidR="001B19A0" w:rsidRPr="001B19A0" w:rsidRDefault="001B19A0" w:rsidP="001B19A0">
            <w:pPr>
              <w:rPr>
                <w:rFonts w:cs="Arial"/>
                <w:color w:val="000000"/>
                <w:szCs w:val="22"/>
                <w:lang w:eastAsia="it-IT"/>
              </w:rPr>
            </w:pPr>
          </w:p>
        </w:tc>
      </w:tr>
    </w:tbl>
    <w:p w14:paraId="2D92A778" w14:textId="77777777" w:rsidR="00CB33C7" w:rsidRPr="00C2587D" w:rsidRDefault="00CB33C7" w:rsidP="00CB33C7"/>
    <w:p w14:paraId="6E2F64DB" w14:textId="77777777" w:rsidR="00CB33C7" w:rsidRPr="00C2587D" w:rsidRDefault="00CB33C7" w:rsidP="00CB33C7"/>
    <w:p w14:paraId="2B3D2397" w14:textId="77777777" w:rsidR="00CB33C7" w:rsidRPr="00C2587D" w:rsidRDefault="00CB33C7" w:rsidP="00CB33C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638B1F69" w14:textId="77777777" w:rsidR="00CB33C7" w:rsidRPr="00C2587D" w:rsidRDefault="00CB33C7" w:rsidP="00CB33C7">
      <w:pPr>
        <w:jc w:val="center"/>
        <w:rPr>
          <w:rFonts w:cs="Arial"/>
          <w:b/>
          <w:color w:val="000000"/>
          <w:szCs w:val="22"/>
        </w:rPr>
      </w:pPr>
      <w:r w:rsidRPr="00C2587D">
        <w:rPr>
          <w:rFonts w:cs="Arial"/>
          <w:b/>
          <w:color w:val="000000"/>
          <w:szCs w:val="22"/>
        </w:rPr>
        <w:t>до Плану заходів з реалізації Стратегії</w:t>
      </w:r>
    </w:p>
    <w:p w14:paraId="6B40EAE4" w14:textId="77777777" w:rsidR="00CB33C7" w:rsidRPr="00C2587D" w:rsidRDefault="00CB33C7" w:rsidP="00CB33C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4"/>
        <w:gridCol w:w="1254"/>
        <w:gridCol w:w="25"/>
        <w:gridCol w:w="1232"/>
        <w:gridCol w:w="17"/>
        <w:gridCol w:w="1422"/>
        <w:gridCol w:w="1275"/>
        <w:gridCol w:w="38"/>
        <w:gridCol w:w="1532"/>
      </w:tblGrid>
      <w:tr w:rsidR="00CB33C7" w:rsidRPr="00C2587D" w14:paraId="53EC18DA" w14:textId="77777777" w:rsidTr="00511BFC">
        <w:trPr>
          <w:jc w:val="right"/>
        </w:trPr>
        <w:tc>
          <w:tcPr>
            <w:tcW w:w="3424" w:type="dxa"/>
            <w:vAlign w:val="center"/>
          </w:tcPr>
          <w:p w14:paraId="34800E50" w14:textId="77777777" w:rsidR="00CB33C7" w:rsidRPr="00511BFC" w:rsidRDefault="00CB33C7" w:rsidP="00511BFC">
            <w:pPr>
              <w:rPr>
                <w:rFonts w:cs="Arial"/>
                <w:b/>
                <w:bCs/>
                <w:color w:val="000000"/>
                <w:szCs w:val="22"/>
              </w:rPr>
            </w:pPr>
            <w:r w:rsidRPr="00511BFC">
              <w:rPr>
                <w:rFonts w:cs="Arial"/>
                <w:b/>
                <w:bCs/>
                <w:color w:val="000000"/>
                <w:szCs w:val="22"/>
              </w:rPr>
              <w:t>Назва проєкту:</w:t>
            </w:r>
          </w:p>
        </w:tc>
        <w:tc>
          <w:tcPr>
            <w:tcW w:w="6795" w:type="dxa"/>
            <w:gridSpan w:val="8"/>
          </w:tcPr>
          <w:p w14:paraId="2FB1D2AE" w14:textId="77777777" w:rsidR="00CB33C7" w:rsidRPr="00511BFC" w:rsidRDefault="00CB33C7" w:rsidP="00511BFC">
            <w:pPr>
              <w:rPr>
                <w:rFonts w:cs="Arial"/>
                <w:b/>
                <w:szCs w:val="22"/>
                <w:lang w:eastAsia="it-IT"/>
              </w:rPr>
            </w:pPr>
            <w:r w:rsidRPr="00511BFC">
              <w:rPr>
                <w:rFonts w:eastAsia="Arial" w:cs="Arial"/>
                <w:b/>
                <w:szCs w:val="22"/>
                <w:lang w:eastAsia="en-US"/>
              </w:rPr>
              <w:t>Капітальний ремонт дорожнього покриття по вул. Образцова в м. Жмеринка Вінницької області</w:t>
            </w:r>
          </w:p>
        </w:tc>
      </w:tr>
      <w:tr w:rsidR="00CB33C7" w:rsidRPr="00C2587D" w14:paraId="5F40719B" w14:textId="77777777" w:rsidTr="00511BFC">
        <w:trPr>
          <w:jc w:val="right"/>
        </w:trPr>
        <w:tc>
          <w:tcPr>
            <w:tcW w:w="3424" w:type="dxa"/>
          </w:tcPr>
          <w:p w14:paraId="23825384" w14:textId="77777777" w:rsidR="00CB33C7" w:rsidRPr="00511BFC" w:rsidRDefault="00CB33C7" w:rsidP="00511BFC">
            <w:pPr>
              <w:rPr>
                <w:rFonts w:cs="Arial"/>
                <w:szCs w:val="22"/>
                <w:lang w:eastAsia="it-IT"/>
              </w:rPr>
            </w:pPr>
            <w:r w:rsidRPr="00511BFC">
              <w:rPr>
                <w:rFonts w:cs="Arial"/>
                <w:b/>
                <w:bCs/>
                <w:szCs w:val="22"/>
              </w:rPr>
              <w:t>Ваші контакти</w:t>
            </w:r>
            <w:r w:rsidRPr="00511BFC">
              <w:rPr>
                <w:rFonts w:cs="Arial"/>
                <w:szCs w:val="22"/>
                <w:lang w:eastAsia="it-IT"/>
              </w:rPr>
              <w:t>:</w:t>
            </w:r>
          </w:p>
          <w:p w14:paraId="59CAAD24" w14:textId="77777777" w:rsidR="00CB33C7" w:rsidRPr="00511BFC" w:rsidRDefault="00CB33C7" w:rsidP="00511BFC">
            <w:pPr>
              <w:rPr>
                <w:rFonts w:cs="Arial"/>
                <w:b/>
                <w:bCs/>
                <w:szCs w:val="22"/>
              </w:rPr>
            </w:pPr>
            <w:r w:rsidRPr="00511BFC">
              <w:rPr>
                <w:rFonts w:cs="Arial"/>
                <w:szCs w:val="22"/>
                <w:lang w:eastAsia="it-IT"/>
              </w:rPr>
              <w:t>Назва установи, організації, підприємства</w:t>
            </w:r>
          </w:p>
        </w:tc>
        <w:tc>
          <w:tcPr>
            <w:tcW w:w="6795" w:type="dxa"/>
            <w:gridSpan w:val="8"/>
          </w:tcPr>
          <w:p w14:paraId="4F613523" w14:textId="77777777" w:rsidR="00CB33C7" w:rsidRPr="00511BFC" w:rsidRDefault="00CB33C7" w:rsidP="00511BFC">
            <w:pPr>
              <w:rPr>
                <w:rFonts w:cs="Arial"/>
                <w:szCs w:val="22"/>
                <w:lang w:eastAsia="it-IT"/>
              </w:rPr>
            </w:pPr>
            <w:r w:rsidRPr="00511BFC">
              <w:rPr>
                <w:rFonts w:cs="Arial"/>
                <w:szCs w:val="22"/>
                <w:lang w:eastAsia="it-IT"/>
              </w:rPr>
              <w:t>Управління житлово-комунального господарства Жмеринської міської ради</w:t>
            </w:r>
          </w:p>
        </w:tc>
      </w:tr>
      <w:tr w:rsidR="00CB33C7" w:rsidRPr="00C2587D" w14:paraId="13207C77" w14:textId="77777777" w:rsidTr="00511BFC">
        <w:trPr>
          <w:jc w:val="right"/>
        </w:trPr>
        <w:tc>
          <w:tcPr>
            <w:tcW w:w="3424" w:type="dxa"/>
          </w:tcPr>
          <w:p w14:paraId="465324BE" w14:textId="77777777" w:rsidR="00CB33C7" w:rsidRPr="00511BFC" w:rsidRDefault="00CB33C7" w:rsidP="00511BFC">
            <w:pPr>
              <w:rPr>
                <w:rFonts w:cs="Arial"/>
                <w:b/>
                <w:bCs/>
                <w:szCs w:val="22"/>
              </w:rPr>
            </w:pPr>
            <w:r w:rsidRPr="00511BFC">
              <w:rPr>
                <w:rFonts w:cs="Arial"/>
                <w:szCs w:val="22"/>
                <w:lang w:eastAsia="it-IT"/>
              </w:rPr>
              <w:t>Прізвище Ім’я По-батькові:</w:t>
            </w:r>
          </w:p>
        </w:tc>
        <w:tc>
          <w:tcPr>
            <w:tcW w:w="6795" w:type="dxa"/>
            <w:gridSpan w:val="8"/>
          </w:tcPr>
          <w:p w14:paraId="7EB57A44" w14:textId="77777777" w:rsidR="00CB33C7" w:rsidRPr="00511BFC" w:rsidRDefault="00CB33C7" w:rsidP="00511BFC">
            <w:pPr>
              <w:rPr>
                <w:rFonts w:cs="Arial"/>
                <w:szCs w:val="22"/>
                <w:lang w:eastAsia="it-IT"/>
              </w:rPr>
            </w:pPr>
            <w:r w:rsidRPr="00511BFC">
              <w:rPr>
                <w:rFonts w:cs="Arial"/>
                <w:szCs w:val="22"/>
                <w:lang w:eastAsia="it-IT"/>
              </w:rPr>
              <w:t>Оленич Андрій Васильович</w:t>
            </w:r>
          </w:p>
        </w:tc>
      </w:tr>
      <w:tr w:rsidR="00CB33C7" w:rsidRPr="00C2587D" w14:paraId="33F08296" w14:textId="77777777" w:rsidTr="00511BFC">
        <w:trPr>
          <w:jc w:val="right"/>
        </w:trPr>
        <w:tc>
          <w:tcPr>
            <w:tcW w:w="3424" w:type="dxa"/>
          </w:tcPr>
          <w:p w14:paraId="60539B26" w14:textId="77777777" w:rsidR="00CB33C7" w:rsidRPr="00511BFC" w:rsidRDefault="00CB33C7" w:rsidP="00511BFC">
            <w:pPr>
              <w:rPr>
                <w:rFonts w:cs="Arial"/>
                <w:b/>
                <w:bCs/>
                <w:szCs w:val="22"/>
              </w:rPr>
            </w:pPr>
            <w:r w:rsidRPr="00511BFC">
              <w:rPr>
                <w:rFonts w:cs="Arial"/>
                <w:szCs w:val="22"/>
                <w:lang w:eastAsia="it-IT"/>
              </w:rPr>
              <w:t>Телефон (мобільний):</w:t>
            </w:r>
          </w:p>
        </w:tc>
        <w:tc>
          <w:tcPr>
            <w:tcW w:w="6795" w:type="dxa"/>
            <w:gridSpan w:val="8"/>
          </w:tcPr>
          <w:p w14:paraId="0273EA4F" w14:textId="77777777" w:rsidR="00CB33C7" w:rsidRPr="00511BFC" w:rsidRDefault="00CB33C7" w:rsidP="00511BFC">
            <w:pPr>
              <w:rPr>
                <w:rFonts w:cs="Arial"/>
                <w:szCs w:val="22"/>
                <w:lang w:eastAsia="it-IT"/>
              </w:rPr>
            </w:pPr>
            <w:r w:rsidRPr="00511BFC">
              <w:rPr>
                <w:rFonts w:cs="Arial"/>
                <w:szCs w:val="22"/>
                <w:lang w:eastAsia="it-IT"/>
              </w:rPr>
              <w:t>0972561907</w:t>
            </w:r>
          </w:p>
        </w:tc>
      </w:tr>
      <w:tr w:rsidR="00CB33C7" w:rsidRPr="00C2587D" w14:paraId="49C47ED2" w14:textId="77777777" w:rsidTr="00511BFC">
        <w:trPr>
          <w:jc w:val="right"/>
        </w:trPr>
        <w:tc>
          <w:tcPr>
            <w:tcW w:w="3424" w:type="dxa"/>
          </w:tcPr>
          <w:p w14:paraId="2CCE7C94" w14:textId="77777777" w:rsidR="00CB33C7" w:rsidRPr="00511BFC" w:rsidRDefault="00CB33C7" w:rsidP="00511BFC">
            <w:pPr>
              <w:rPr>
                <w:rFonts w:cs="Arial"/>
                <w:b/>
                <w:bCs/>
                <w:szCs w:val="22"/>
              </w:rPr>
            </w:pPr>
            <w:r w:rsidRPr="00511BFC">
              <w:rPr>
                <w:rFonts w:cs="Arial"/>
                <w:szCs w:val="22"/>
                <w:lang w:eastAsia="it-IT"/>
              </w:rPr>
              <w:t>Електронна адреса:</w:t>
            </w:r>
          </w:p>
        </w:tc>
        <w:tc>
          <w:tcPr>
            <w:tcW w:w="6795" w:type="dxa"/>
            <w:gridSpan w:val="8"/>
          </w:tcPr>
          <w:p w14:paraId="088DFA35" w14:textId="77777777" w:rsidR="00CB33C7" w:rsidRPr="00511BFC" w:rsidRDefault="00D85FFD" w:rsidP="00511BFC">
            <w:pPr>
              <w:rPr>
                <w:rFonts w:cs="Arial"/>
                <w:szCs w:val="22"/>
                <w:lang w:eastAsia="it-IT"/>
              </w:rPr>
            </w:pPr>
            <w:hyperlink r:id="rId64" w:history="1">
              <w:r w:rsidR="00CB33C7" w:rsidRPr="00511BFC">
                <w:rPr>
                  <w:rStyle w:val="af0"/>
                  <w:rFonts w:cs="Arial"/>
                  <w:noProof w:val="0"/>
                  <w:sz w:val="22"/>
                  <w:szCs w:val="22"/>
                  <w:lang w:eastAsia="it-IT"/>
                </w:rPr>
                <w:t>Aolenych03@ukr.net</w:t>
              </w:r>
            </w:hyperlink>
          </w:p>
        </w:tc>
      </w:tr>
      <w:tr w:rsidR="00CB33C7" w:rsidRPr="00C2587D" w14:paraId="48187B27" w14:textId="77777777" w:rsidTr="00511BFC">
        <w:trPr>
          <w:jc w:val="right"/>
        </w:trPr>
        <w:tc>
          <w:tcPr>
            <w:tcW w:w="3424" w:type="dxa"/>
            <w:vAlign w:val="center"/>
          </w:tcPr>
          <w:p w14:paraId="124227A4" w14:textId="77777777" w:rsidR="00CB33C7" w:rsidRPr="00511BFC" w:rsidRDefault="00CB33C7" w:rsidP="00511BFC">
            <w:pPr>
              <w:pStyle w:val="6"/>
              <w:spacing w:before="0" w:after="0"/>
              <w:rPr>
                <w:rFonts w:ascii="Arial" w:hAnsi="Arial" w:cs="Arial"/>
                <w:color w:val="000000"/>
                <w:lang w:val="uk-UA"/>
              </w:rPr>
            </w:pPr>
            <w:r w:rsidRPr="00511BFC">
              <w:rPr>
                <w:rFonts w:ascii="Arial" w:hAnsi="Arial" w:cs="Arial"/>
                <w:color w:val="000000"/>
                <w:lang w:val="uk-UA"/>
              </w:rPr>
              <w:t>Номер і назва завдання з Стратегії</w:t>
            </w:r>
            <w:r w:rsidRPr="00511BFC">
              <w:rPr>
                <w:rFonts w:ascii="Arial" w:hAnsi="Arial" w:cs="Arial"/>
                <w:lang w:val="uk-UA" w:eastAsia="it-IT"/>
              </w:rPr>
              <w:t xml:space="preserve"> </w:t>
            </w:r>
            <w:r w:rsidRPr="00511BFC">
              <w:rPr>
                <w:rFonts w:ascii="Arial" w:hAnsi="Arial" w:cs="Arial"/>
                <w:color w:val="000000"/>
                <w:lang w:val="uk-UA"/>
              </w:rPr>
              <w:t>розвитку Жмеринської міської територіальної громади,  якому відповідає проєкт:</w:t>
            </w:r>
          </w:p>
        </w:tc>
        <w:tc>
          <w:tcPr>
            <w:tcW w:w="6795" w:type="dxa"/>
            <w:gridSpan w:val="8"/>
          </w:tcPr>
          <w:p w14:paraId="0EF780E5" w14:textId="77777777" w:rsidR="00CB33C7" w:rsidRPr="00511BFC" w:rsidRDefault="00CB33C7" w:rsidP="00511BFC">
            <w:pPr>
              <w:pBdr>
                <w:left w:val="single" w:sz="18" w:space="4" w:color="auto"/>
              </w:pBdr>
              <w:rPr>
                <w:rFonts w:cs="Arial"/>
                <w:szCs w:val="22"/>
                <w:lang w:eastAsia="it-IT"/>
              </w:rPr>
            </w:pPr>
            <w:r w:rsidRPr="00511BFC">
              <w:rPr>
                <w:rFonts w:eastAsia="Lucida Sans Unicode" w:cs="Arial"/>
                <w:kern w:val="1"/>
                <w:szCs w:val="22"/>
                <w:lang w:eastAsia="ar-SA"/>
              </w:rPr>
              <w:t>В.1.1.3. Проведення будівництва, реконструкції та капітального ремонту дорожнього покриття вулиць  та тротуарів в населених пунктах територіальної громади.</w:t>
            </w:r>
          </w:p>
        </w:tc>
      </w:tr>
      <w:tr w:rsidR="00CB33C7" w:rsidRPr="00C2587D" w14:paraId="02D45330" w14:textId="77777777" w:rsidTr="00511BFC">
        <w:trPr>
          <w:jc w:val="right"/>
        </w:trPr>
        <w:tc>
          <w:tcPr>
            <w:tcW w:w="3424" w:type="dxa"/>
            <w:vAlign w:val="center"/>
          </w:tcPr>
          <w:p w14:paraId="6E395637" w14:textId="77777777" w:rsidR="00CB33C7" w:rsidRPr="00511BFC" w:rsidRDefault="00CB33C7" w:rsidP="00511BFC">
            <w:pPr>
              <w:rPr>
                <w:rFonts w:cs="Arial"/>
                <w:b/>
                <w:bCs/>
                <w:color w:val="000000"/>
                <w:szCs w:val="22"/>
              </w:rPr>
            </w:pPr>
            <w:r w:rsidRPr="00511BFC">
              <w:rPr>
                <w:rFonts w:cs="Arial"/>
                <w:b/>
                <w:bCs/>
                <w:color w:val="000000"/>
                <w:szCs w:val="22"/>
              </w:rPr>
              <w:t>Мета проєкту:</w:t>
            </w:r>
          </w:p>
        </w:tc>
        <w:tc>
          <w:tcPr>
            <w:tcW w:w="6795" w:type="dxa"/>
            <w:gridSpan w:val="8"/>
          </w:tcPr>
          <w:p w14:paraId="28AD6E06" w14:textId="77777777" w:rsidR="00CB33C7" w:rsidRPr="00511BFC" w:rsidRDefault="00CB33C7" w:rsidP="00511BFC">
            <w:pPr>
              <w:jc w:val="both"/>
              <w:rPr>
                <w:rFonts w:cs="Arial"/>
                <w:szCs w:val="22"/>
                <w:lang w:eastAsia="it-IT"/>
              </w:rPr>
            </w:pPr>
            <w:r w:rsidRPr="00511BFC">
              <w:rPr>
                <w:rFonts w:cs="Arial"/>
                <w:szCs w:val="22"/>
                <w:lang w:eastAsia="it-IT"/>
              </w:rPr>
              <w:t>Забезпечення  населення громади м. Жмеринка якісною інфраструктурою, а саме дорогами з рівним покриттям.</w:t>
            </w:r>
          </w:p>
          <w:p w14:paraId="2062A157" w14:textId="77777777" w:rsidR="00CB33C7" w:rsidRPr="00511BFC" w:rsidRDefault="00CB33C7" w:rsidP="00511BFC">
            <w:pPr>
              <w:rPr>
                <w:rFonts w:cs="Arial"/>
                <w:szCs w:val="22"/>
                <w:lang w:eastAsia="it-IT"/>
              </w:rPr>
            </w:pPr>
            <w:r w:rsidRPr="00511BFC">
              <w:rPr>
                <w:rFonts w:cs="Arial"/>
                <w:szCs w:val="22"/>
                <w:lang w:eastAsia="it-IT"/>
              </w:rPr>
              <w:t>Мешканці громади отримують більш комфортні   та безпечні умови проживання та перебування в населеному пункті.</w:t>
            </w:r>
          </w:p>
        </w:tc>
      </w:tr>
      <w:tr w:rsidR="00CB33C7" w:rsidRPr="00C2587D" w14:paraId="5DDED0F0" w14:textId="77777777" w:rsidTr="00511BFC">
        <w:trPr>
          <w:jc w:val="right"/>
        </w:trPr>
        <w:tc>
          <w:tcPr>
            <w:tcW w:w="3424" w:type="dxa"/>
            <w:vAlign w:val="center"/>
          </w:tcPr>
          <w:p w14:paraId="2687FDFA" w14:textId="77777777" w:rsidR="00CB33C7" w:rsidRPr="00511BFC" w:rsidRDefault="00CB33C7" w:rsidP="00511BFC">
            <w:pPr>
              <w:rPr>
                <w:rFonts w:cs="Arial"/>
                <w:b/>
                <w:bCs/>
                <w:color w:val="000000"/>
                <w:szCs w:val="22"/>
              </w:rPr>
            </w:pPr>
            <w:r w:rsidRPr="00511BFC">
              <w:rPr>
                <w:rFonts w:cs="Arial"/>
                <w:b/>
                <w:bCs/>
                <w:color w:val="000000"/>
                <w:szCs w:val="22"/>
              </w:rPr>
              <w:t>Цілі проєкту:</w:t>
            </w:r>
          </w:p>
        </w:tc>
        <w:tc>
          <w:tcPr>
            <w:tcW w:w="6795" w:type="dxa"/>
            <w:gridSpan w:val="8"/>
            <w:vAlign w:val="center"/>
          </w:tcPr>
          <w:p w14:paraId="4A2739BC" w14:textId="77777777" w:rsidR="00CB33C7" w:rsidRPr="00511BFC" w:rsidRDefault="00CB33C7" w:rsidP="00511BFC">
            <w:pPr>
              <w:jc w:val="both"/>
              <w:rPr>
                <w:rFonts w:cs="Arial"/>
                <w:szCs w:val="22"/>
                <w:lang w:eastAsia="it-IT"/>
              </w:rPr>
            </w:pPr>
            <w:r w:rsidRPr="00511BFC">
              <w:rPr>
                <w:rFonts w:cs="Arial"/>
                <w:szCs w:val="22"/>
                <w:lang w:eastAsia="it-IT"/>
              </w:rPr>
              <w:t>Покращити інфраструктуру   дорожнього покриття   по м. Жмеринка.</w:t>
            </w:r>
          </w:p>
        </w:tc>
      </w:tr>
      <w:tr w:rsidR="00CB33C7" w:rsidRPr="00C2587D" w14:paraId="4F52664A" w14:textId="77777777" w:rsidTr="00511BFC">
        <w:trPr>
          <w:jc w:val="right"/>
        </w:trPr>
        <w:tc>
          <w:tcPr>
            <w:tcW w:w="3424" w:type="dxa"/>
            <w:vAlign w:val="center"/>
          </w:tcPr>
          <w:p w14:paraId="480279C1" w14:textId="77777777" w:rsidR="00CB33C7" w:rsidRPr="00511BFC" w:rsidRDefault="00CB33C7" w:rsidP="00511BFC">
            <w:pPr>
              <w:autoSpaceDE w:val="0"/>
              <w:autoSpaceDN w:val="0"/>
              <w:adjustRightInd w:val="0"/>
              <w:rPr>
                <w:rFonts w:cs="Arial"/>
                <w:b/>
                <w:color w:val="000000"/>
                <w:szCs w:val="22"/>
              </w:rPr>
            </w:pPr>
            <w:r w:rsidRPr="00511BFC">
              <w:rPr>
                <w:rFonts w:cs="Arial"/>
                <w:b/>
                <w:color w:val="000000"/>
                <w:szCs w:val="22"/>
              </w:rPr>
              <w:t>Територія на яку проєкт матиме вплив:</w:t>
            </w:r>
          </w:p>
        </w:tc>
        <w:tc>
          <w:tcPr>
            <w:tcW w:w="6795" w:type="dxa"/>
            <w:gridSpan w:val="8"/>
          </w:tcPr>
          <w:p w14:paraId="2205B08A" w14:textId="77777777" w:rsidR="00CB33C7" w:rsidRPr="00511BFC" w:rsidRDefault="00CB33C7" w:rsidP="00511BFC">
            <w:pPr>
              <w:rPr>
                <w:rFonts w:cs="Arial"/>
                <w:szCs w:val="22"/>
                <w:lang w:eastAsia="it-IT"/>
              </w:rPr>
            </w:pPr>
            <w:r w:rsidRPr="00511BFC">
              <w:rPr>
                <w:rFonts w:cs="Arial"/>
                <w:szCs w:val="22"/>
                <w:lang w:eastAsia="it-IT"/>
              </w:rPr>
              <w:t xml:space="preserve">Територія м Жмеринка </w:t>
            </w:r>
          </w:p>
        </w:tc>
      </w:tr>
      <w:tr w:rsidR="00CB33C7" w:rsidRPr="00C2587D" w14:paraId="54652B9C" w14:textId="77777777" w:rsidTr="00511BFC">
        <w:trPr>
          <w:jc w:val="right"/>
        </w:trPr>
        <w:tc>
          <w:tcPr>
            <w:tcW w:w="3424" w:type="dxa"/>
            <w:vAlign w:val="center"/>
          </w:tcPr>
          <w:p w14:paraId="272AFBA7" w14:textId="77777777" w:rsidR="00CB33C7" w:rsidRPr="00511BFC" w:rsidRDefault="00CB33C7" w:rsidP="00511BFC">
            <w:pPr>
              <w:autoSpaceDE w:val="0"/>
              <w:autoSpaceDN w:val="0"/>
              <w:adjustRightInd w:val="0"/>
              <w:rPr>
                <w:rFonts w:cs="Arial"/>
                <w:b/>
                <w:color w:val="000000"/>
                <w:szCs w:val="22"/>
              </w:rPr>
            </w:pPr>
            <w:r w:rsidRPr="00511BFC">
              <w:rPr>
                <w:rFonts w:cs="Arial"/>
                <w:b/>
                <w:color w:val="000000"/>
                <w:szCs w:val="22"/>
              </w:rPr>
              <w:t>Цільові групи проєкту та кількість отримувачів вигоди</w:t>
            </w:r>
          </w:p>
        </w:tc>
        <w:tc>
          <w:tcPr>
            <w:tcW w:w="6795" w:type="dxa"/>
            <w:gridSpan w:val="8"/>
          </w:tcPr>
          <w:p w14:paraId="3704F62F" w14:textId="77777777" w:rsidR="00CB33C7" w:rsidRPr="00511BFC" w:rsidRDefault="00CB33C7" w:rsidP="00511BFC">
            <w:pPr>
              <w:rPr>
                <w:rFonts w:cs="Arial"/>
                <w:szCs w:val="22"/>
                <w:lang w:eastAsia="it-IT"/>
              </w:rPr>
            </w:pPr>
            <w:r w:rsidRPr="00511BFC">
              <w:rPr>
                <w:rFonts w:cs="Arial"/>
                <w:szCs w:val="22"/>
                <w:lang w:eastAsia="it-IT"/>
              </w:rPr>
              <w:t>Жителі м. Жмеринка в кількості 34353 містян</w:t>
            </w:r>
          </w:p>
        </w:tc>
      </w:tr>
      <w:tr w:rsidR="00CB33C7" w:rsidRPr="00C2587D" w14:paraId="65714122" w14:textId="77777777" w:rsidTr="00511BFC">
        <w:trPr>
          <w:jc w:val="right"/>
        </w:trPr>
        <w:tc>
          <w:tcPr>
            <w:tcW w:w="3424" w:type="dxa"/>
            <w:shd w:val="clear" w:color="auto" w:fill="FFFFFF"/>
            <w:vAlign w:val="center"/>
          </w:tcPr>
          <w:p w14:paraId="4846E4E6" w14:textId="77777777" w:rsidR="00CB33C7" w:rsidRPr="00511BFC" w:rsidRDefault="00CB33C7" w:rsidP="00511BFC">
            <w:pPr>
              <w:rPr>
                <w:rFonts w:cs="Arial"/>
                <w:b/>
                <w:bCs/>
                <w:color w:val="000000"/>
                <w:szCs w:val="22"/>
              </w:rPr>
            </w:pPr>
            <w:r w:rsidRPr="00511BFC">
              <w:rPr>
                <w:rFonts w:cs="Arial"/>
                <w:b/>
                <w:bCs/>
                <w:color w:val="000000"/>
                <w:szCs w:val="22"/>
              </w:rPr>
              <w:t>Стислий опис проєкту:</w:t>
            </w:r>
          </w:p>
        </w:tc>
        <w:tc>
          <w:tcPr>
            <w:tcW w:w="6795" w:type="dxa"/>
            <w:gridSpan w:val="8"/>
          </w:tcPr>
          <w:p w14:paraId="62C8349A" w14:textId="77777777" w:rsidR="00CB33C7" w:rsidRPr="00511BFC" w:rsidRDefault="00CB33C7" w:rsidP="00511BFC">
            <w:pPr>
              <w:pStyle w:val="ad"/>
              <w:shd w:val="clear" w:color="auto" w:fill="FFFFFF"/>
              <w:spacing w:before="0" w:beforeAutospacing="0" w:after="0" w:afterAutospacing="0"/>
              <w:ind w:firstLine="148"/>
              <w:jc w:val="both"/>
              <w:rPr>
                <w:rFonts w:cs="Arial"/>
                <w:szCs w:val="22"/>
              </w:rPr>
            </w:pPr>
            <w:r w:rsidRPr="00511BFC">
              <w:rPr>
                <w:rFonts w:cs="Arial"/>
                <w:szCs w:val="22"/>
              </w:rPr>
              <w:t>Якість доріг забезпечує роботу всіх галузей промисловості, соціальний розвиток суспільства. Забезпечує доступ у різні місця населеного пункту, а також безпечне та надійне переміщення людей і транспортування товарів і має надзвичайно важливе значення.</w:t>
            </w:r>
          </w:p>
          <w:p w14:paraId="3596EB1C" w14:textId="77777777" w:rsidR="00CB33C7" w:rsidRPr="00511BFC" w:rsidRDefault="00CB33C7" w:rsidP="00511BFC">
            <w:pPr>
              <w:pStyle w:val="ad"/>
              <w:shd w:val="clear" w:color="auto" w:fill="FFFFFF"/>
              <w:spacing w:before="0" w:beforeAutospacing="0" w:after="0" w:afterAutospacing="0"/>
              <w:ind w:firstLine="148"/>
              <w:jc w:val="both"/>
              <w:rPr>
                <w:rFonts w:cs="Arial"/>
                <w:szCs w:val="22"/>
              </w:rPr>
            </w:pPr>
            <w:r w:rsidRPr="00511BFC">
              <w:rPr>
                <w:rFonts w:cs="Arial"/>
                <w:szCs w:val="22"/>
              </w:rPr>
              <w:t>Від стану автомобільних доріг залежать витрати на перевезення вантажів та пасажирів, рівень цін, певною мірою зайнятість населення.</w:t>
            </w:r>
          </w:p>
          <w:p w14:paraId="79C671FA" w14:textId="77777777" w:rsidR="00CB33C7" w:rsidRPr="00511BFC" w:rsidRDefault="00CB33C7" w:rsidP="00511BFC">
            <w:pPr>
              <w:pStyle w:val="ad"/>
              <w:shd w:val="clear" w:color="auto" w:fill="FFFFFF"/>
              <w:spacing w:before="0" w:beforeAutospacing="0" w:after="0" w:afterAutospacing="0"/>
              <w:ind w:firstLine="148"/>
              <w:jc w:val="both"/>
              <w:rPr>
                <w:rFonts w:cs="Arial"/>
                <w:szCs w:val="22"/>
                <w:shd w:val="clear" w:color="auto" w:fill="FFFFFF"/>
              </w:rPr>
            </w:pPr>
            <w:r w:rsidRPr="00511BFC">
              <w:rPr>
                <w:rFonts w:cs="Arial"/>
                <w:szCs w:val="22"/>
              </w:rPr>
              <w:t xml:space="preserve"> </w:t>
            </w:r>
            <w:r w:rsidRPr="00511BFC">
              <w:rPr>
                <w:rFonts w:cs="Arial"/>
                <w:szCs w:val="22"/>
                <w:shd w:val="clear" w:color="auto" w:fill="FFFFFF"/>
              </w:rPr>
              <w:t>Перш за все викликають занепокоєння ті ділянки доріг, по яких проходять автобусні сполучення, підвезення дітей до навчальних закладів, надання невідкладної медичної допомоги.</w:t>
            </w:r>
          </w:p>
          <w:p w14:paraId="4D0F77BC" w14:textId="77777777" w:rsidR="00CB33C7" w:rsidRPr="00511BFC" w:rsidRDefault="00CB33C7" w:rsidP="00511BFC">
            <w:pPr>
              <w:rPr>
                <w:rFonts w:cs="Arial"/>
                <w:szCs w:val="22"/>
                <w:lang w:eastAsia="it-IT"/>
              </w:rPr>
            </w:pPr>
            <w:r w:rsidRPr="00511BFC">
              <w:rPr>
                <w:rFonts w:cs="Arial"/>
                <w:szCs w:val="22"/>
                <w:shd w:val="clear" w:color="auto" w:fill="FFFFFF"/>
              </w:rPr>
              <w:t xml:space="preserve">З метою безперебійного перевезення людей, необхідно провести капітальний ремонт дороги </w:t>
            </w:r>
            <w:r w:rsidRPr="00511BFC">
              <w:rPr>
                <w:rFonts w:eastAsia="Arial" w:cs="Arial"/>
                <w:szCs w:val="22"/>
                <w:lang w:eastAsia="en-US"/>
              </w:rPr>
              <w:t>по вул. Образцова</w:t>
            </w:r>
            <w:r w:rsidRPr="00511BFC">
              <w:rPr>
                <w:rFonts w:cs="Arial"/>
                <w:szCs w:val="22"/>
                <w:shd w:val="clear" w:color="auto" w:fill="FFFFFF"/>
              </w:rPr>
              <w:t>.</w:t>
            </w:r>
          </w:p>
        </w:tc>
      </w:tr>
      <w:tr w:rsidR="00CB33C7" w:rsidRPr="00C2587D" w14:paraId="2D1E7F8C" w14:textId="77777777" w:rsidTr="00511BFC">
        <w:trPr>
          <w:jc w:val="right"/>
        </w:trPr>
        <w:tc>
          <w:tcPr>
            <w:tcW w:w="3424" w:type="dxa"/>
            <w:shd w:val="clear" w:color="auto" w:fill="FFFFFF"/>
            <w:vAlign w:val="center"/>
          </w:tcPr>
          <w:p w14:paraId="44DCAD63" w14:textId="77777777" w:rsidR="00CB33C7" w:rsidRPr="00511BFC" w:rsidRDefault="00CB33C7" w:rsidP="00511BFC">
            <w:pPr>
              <w:rPr>
                <w:rFonts w:cs="Arial"/>
                <w:b/>
                <w:bCs/>
                <w:color w:val="000000"/>
                <w:szCs w:val="22"/>
              </w:rPr>
            </w:pPr>
            <w:r w:rsidRPr="00511BFC">
              <w:rPr>
                <w:rFonts w:cs="Arial"/>
                <w:b/>
                <w:bCs/>
                <w:color w:val="000000"/>
                <w:szCs w:val="22"/>
              </w:rPr>
              <w:t>Основні заходи проєкту:</w:t>
            </w:r>
          </w:p>
        </w:tc>
        <w:tc>
          <w:tcPr>
            <w:tcW w:w="6795" w:type="dxa"/>
            <w:gridSpan w:val="8"/>
          </w:tcPr>
          <w:p w14:paraId="60F4885A" w14:textId="6EB1B38B" w:rsidR="00CB33C7" w:rsidRPr="00511BFC" w:rsidRDefault="00CB33C7" w:rsidP="00511BFC">
            <w:pPr>
              <w:jc w:val="both"/>
              <w:rPr>
                <w:rFonts w:cs="Arial"/>
                <w:szCs w:val="22"/>
                <w:lang w:eastAsia="it-IT"/>
              </w:rPr>
            </w:pPr>
            <w:r w:rsidRPr="00511BFC">
              <w:rPr>
                <w:rFonts w:cs="Arial"/>
                <w:szCs w:val="22"/>
                <w:lang w:eastAsia="it-IT"/>
              </w:rPr>
              <w:t>Створення робочо</w:t>
            </w:r>
            <w:r w:rsidR="00EE17EE">
              <w:rPr>
                <w:rFonts w:cs="Arial"/>
                <w:szCs w:val="22"/>
                <w:lang w:eastAsia="it-IT"/>
              </w:rPr>
              <w:t>ї групи з питань реалізації проє</w:t>
            </w:r>
            <w:r w:rsidRPr="00511BFC">
              <w:rPr>
                <w:rFonts w:cs="Arial"/>
                <w:szCs w:val="22"/>
                <w:lang w:eastAsia="it-IT"/>
              </w:rPr>
              <w:t xml:space="preserve">кту. </w:t>
            </w:r>
          </w:p>
          <w:p w14:paraId="201FD949" w14:textId="77777777" w:rsidR="00CB33C7" w:rsidRPr="00511BFC" w:rsidRDefault="00CB33C7" w:rsidP="00511BFC">
            <w:pPr>
              <w:jc w:val="both"/>
              <w:rPr>
                <w:rFonts w:cs="Arial"/>
                <w:szCs w:val="22"/>
                <w:lang w:eastAsia="it-IT"/>
              </w:rPr>
            </w:pPr>
            <w:r w:rsidRPr="00511BFC">
              <w:rPr>
                <w:rFonts w:cs="Arial"/>
                <w:szCs w:val="22"/>
                <w:lang w:eastAsia="it-IT"/>
              </w:rPr>
              <w:t>Проведення процедури закупівель (визначення виконавця робіт).</w:t>
            </w:r>
          </w:p>
          <w:p w14:paraId="00DF9147" w14:textId="77777777" w:rsidR="00CB33C7" w:rsidRPr="00511BFC" w:rsidRDefault="00CB33C7" w:rsidP="00511BFC">
            <w:pPr>
              <w:jc w:val="both"/>
              <w:rPr>
                <w:rFonts w:cs="Arial"/>
                <w:szCs w:val="22"/>
                <w:lang w:eastAsia="it-IT"/>
              </w:rPr>
            </w:pPr>
            <w:r w:rsidRPr="00511BFC">
              <w:rPr>
                <w:rFonts w:cs="Arial"/>
                <w:szCs w:val="22"/>
                <w:lang w:eastAsia="it-IT"/>
              </w:rPr>
              <w:t>Укладення договорів з виконавцем робіт, організаціями, що здійснюватимуть  технічний та авторський  нагляд .</w:t>
            </w:r>
          </w:p>
          <w:p w14:paraId="1BD4F669" w14:textId="33DF52ED" w:rsidR="00CB33C7" w:rsidRPr="00511BFC" w:rsidRDefault="00CB33C7" w:rsidP="00511BFC">
            <w:pPr>
              <w:jc w:val="both"/>
              <w:rPr>
                <w:rFonts w:cs="Arial"/>
                <w:b/>
                <w:szCs w:val="22"/>
                <w:lang w:eastAsia="it-IT"/>
              </w:rPr>
            </w:pPr>
            <w:r w:rsidRPr="00511BFC">
              <w:rPr>
                <w:rFonts w:cs="Arial"/>
                <w:szCs w:val="22"/>
                <w:lang w:eastAsia="it-IT"/>
              </w:rPr>
              <w:t xml:space="preserve">Виконання робіт з капітального ремонту дорожнього покриття </w:t>
            </w:r>
            <w:r w:rsidRPr="00511BFC">
              <w:rPr>
                <w:rFonts w:eastAsia="Arial" w:cs="Arial"/>
                <w:szCs w:val="22"/>
                <w:lang w:eastAsia="en-US"/>
              </w:rPr>
              <w:t>по вул. Образцова</w:t>
            </w:r>
            <w:r w:rsidRPr="00511BFC">
              <w:rPr>
                <w:rFonts w:cs="Arial"/>
                <w:szCs w:val="22"/>
                <w:lang w:eastAsia="it-IT"/>
              </w:rPr>
              <w:t xml:space="preserve"> в м. Жмеринка</w:t>
            </w:r>
            <w:r w:rsidR="00EE17EE">
              <w:rPr>
                <w:rFonts w:cs="Arial"/>
                <w:b/>
                <w:szCs w:val="22"/>
                <w:lang w:eastAsia="it-IT"/>
              </w:rPr>
              <w:t>.</w:t>
            </w:r>
          </w:p>
          <w:p w14:paraId="53FDD4AA" w14:textId="77777777" w:rsidR="00CB33C7" w:rsidRPr="00511BFC" w:rsidRDefault="00CB33C7" w:rsidP="00511BFC">
            <w:pPr>
              <w:jc w:val="both"/>
              <w:rPr>
                <w:rFonts w:cs="Arial"/>
                <w:szCs w:val="22"/>
                <w:lang w:eastAsia="it-IT"/>
              </w:rPr>
            </w:pPr>
            <w:r w:rsidRPr="00511BFC">
              <w:rPr>
                <w:rFonts w:cs="Arial"/>
                <w:szCs w:val="22"/>
                <w:lang w:eastAsia="it-IT"/>
              </w:rPr>
              <w:t>Введення  об’єкту в експлуатацію .</w:t>
            </w:r>
          </w:p>
          <w:p w14:paraId="4BD45DC7" w14:textId="1F99C19D" w:rsidR="00CB33C7" w:rsidRPr="00511BFC" w:rsidRDefault="00CB33C7" w:rsidP="00511BFC">
            <w:pPr>
              <w:rPr>
                <w:rFonts w:cs="Arial"/>
                <w:szCs w:val="22"/>
                <w:lang w:eastAsia="it-IT"/>
              </w:rPr>
            </w:pPr>
            <w:r w:rsidRPr="00511BFC">
              <w:rPr>
                <w:rFonts w:cs="Arial"/>
                <w:szCs w:val="22"/>
                <w:lang w:eastAsia="it-IT"/>
              </w:rPr>
              <w:t xml:space="preserve">Проведення інформаційних заходів (розміщення  </w:t>
            </w:r>
            <w:r w:rsidR="00EE17EE">
              <w:rPr>
                <w:rFonts w:cs="Arial"/>
                <w:szCs w:val="22"/>
                <w:lang w:eastAsia="it-IT"/>
              </w:rPr>
              <w:t>інформації  про реалізацію  проє</w:t>
            </w:r>
            <w:r w:rsidRPr="00511BFC">
              <w:rPr>
                <w:rFonts w:cs="Arial"/>
                <w:szCs w:val="22"/>
                <w:lang w:eastAsia="it-IT"/>
              </w:rPr>
              <w:t>кту у ЗМІ) .</w:t>
            </w:r>
          </w:p>
        </w:tc>
      </w:tr>
      <w:tr w:rsidR="00CB33C7" w:rsidRPr="00C2587D" w14:paraId="70BDA172" w14:textId="77777777" w:rsidTr="00511BFC">
        <w:trPr>
          <w:jc w:val="right"/>
        </w:trPr>
        <w:tc>
          <w:tcPr>
            <w:tcW w:w="3424" w:type="dxa"/>
            <w:shd w:val="clear" w:color="auto" w:fill="FFFFFF"/>
            <w:vAlign w:val="center"/>
          </w:tcPr>
          <w:p w14:paraId="060FF90D" w14:textId="77777777" w:rsidR="00CB33C7" w:rsidRPr="00511BFC" w:rsidRDefault="00CB33C7" w:rsidP="00511BFC">
            <w:pPr>
              <w:rPr>
                <w:rFonts w:cs="Arial"/>
                <w:b/>
                <w:bCs/>
                <w:color w:val="000000"/>
                <w:szCs w:val="22"/>
              </w:rPr>
            </w:pPr>
            <w:r w:rsidRPr="00511BFC">
              <w:rPr>
                <w:rFonts w:cs="Arial"/>
                <w:b/>
                <w:bCs/>
                <w:color w:val="000000"/>
                <w:szCs w:val="22"/>
              </w:rPr>
              <w:t>Індикатори (показники) результативності:</w:t>
            </w:r>
          </w:p>
        </w:tc>
        <w:tc>
          <w:tcPr>
            <w:tcW w:w="6795" w:type="dxa"/>
            <w:gridSpan w:val="8"/>
          </w:tcPr>
          <w:p w14:paraId="2DD21D5F" w14:textId="77777777" w:rsidR="00CB33C7" w:rsidRPr="00511BFC" w:rsidRDefault="00CB33C7" w:rsidP="00511BFC">
            <w:pPr>
              <w:rPr>
                <w:rFonts w:cs="Arial"/>
                <w:szCs w:val="22"/>
                <w:lang w:eastAsia="it-IT"/>
              </w:rPr>
            </w:pPr>
            <w:r w:rsidRPr="00511BFC">
              <w:rPr>
                <w:rFonts w:eastAsia="Arial" w:cs="Arial"/>
                <w:szCs w:val="22"/>
                <w:lang w:eastAsia="en-US"/>
              </w:rPr>
              <w:t>Площа підсилення основної дороги 2185 м</w:t>
            </w:r>
            <w:r w:rsidRPr="00511BFC">
              <w:rPr>
                <w:rFonts w:eastAsia="Arial" w:cs="Arial"/>
                <w:szCs w:val="22"/>
                <w:vertAlign w:val="superscript"/>
                <w:lang w:eastAsia="en-US"/>
              </w:rPr>
              <w:t>2</w:t>
            </w:r>
            <w:r w:rsidRPr="00511BFC">
              <w:rPr>
                <w:rFonts w:eastAsia="Arial" w:cs="Arial"/>
                <w:szCs w:val="22"/>
                <w:lang w:eastAsia="en-US"/>
              </w:rPr>
              <w:t xml:space="preserve"> та площа тротуару 213 м</w:t>
            </w:r>
            <w:r w:rsidRPr="00511BFC">
              <w:rPr>
                <w:rFonts w:eastAsia="Arial" w:cs="Arial"/>
                <w:szCs w:val="22"/>
                <w:vertAlign w:val="superscript"/>
                <w:lang w:eastAsia="en-US"/>
              </w:rPr>
              <w:t>2</w:t>
            </w:r>
          </w:p>
        </w:tc>
      </w:tr>
      <w:tr w:rsidR="00CB33C7" w:rsidRPr="00C2587D" w14:paraId="19EC2DC8" w14:textId="77777777" w:rsidTr="00511BFC">
        <w:trPr>
          <w:jc w:val="right"/>
        </w:trPr>
        <w:tc>
          <w:tcPr>
            <w:tcW w:w="3424" w:type="dxa"/>
            <w:shd w:val="clear" w:color="auto" w:fill="FFFFFF"/>
            <w:vAlign w:val="center"/>
          </w:tcPr>
          <w:p w14:paraId="35E78DBF" w14:textId="77777777" w:rsidR="00CB33C7" w:rsidRPr="00511BFC" w:rsidRDefault="00CB33C7" w:rsidP="00511BFC">
            <w:pPr>
              <w:rPr>
                <w:rFonts w:cs="Arial"/>
                <w:b/>
                <w:color w:val="000000"/>
                <w:szCs w:val="22"/>
              </w:rPr>
            </w:pPr>
            <w:r w:rsidRPr="00511BFC">
              <w:rPr>
                <w:rFonts w:cs="Arial"/>
                <w:b/>
                <w:color w:val="000000"/>
                <w:szCs w:val="22"/>
              </w:rPr>
              <w:t xml:space="preserve">Період здійснення: </w:t>
            </w:r>
          </w:p>
        </w:tc>
        <w:tc>
          <w:tcPr>
            <w:tcW w:w="6795" w:type="dxa"/>
            <w:gridSpan w:val="8"/>
            <w:vAlign w:val="center"/>
          </w:tcPr>
          <w:p w14:paraId="0F35B1A1" w14:textId="77777777" w:rsidR="00CB33C7" w:rsidRPr="00511BFC" w:rsidRDefault="00CB33C7" w:rsidP="00511BFC">
            <w:pPr>
              <w:rPr>
                <w:rFonts w:cs="Arial"/>
                <w:color w:val="000000"/>
                <w:szCs w:val="22"/>
                <w:lang w:eastAsia="it-IT"/>
              </w:rPr>
            </w:pPr>
            <w:r w:rsidRPr="00511BFC">
              <w:rPr>
                <w:rFonts w:cs="Arial"/>
                <w:b/>
                <w:color w:val="000000"/>
                <w:szCs w:val="22"/>
              </w:rPr>
              <w:t>2025 – 2028 роки:</w:t>
            </w:r>
          </w:p>
        </w:tc>
      </w:tr>
      <w:tr w:rsidR="00CB33C7" w:rsidRPr="00C2587D" w14:paraId="06767C65" w14:textId="77777777" w:rsidTr="00511BFC">
        <w:trPr>
          <w:jc w:val="right"/>
        </w:trPr>
        <w:tc>
          <w:tcPr>
            <w:tcW w:w="3424" w:type="dxa"/>
            <w:vMerge w:val="restart"/>
            <w:shd w:val="clear" w:color="auto" w:fill="FFFFFF"/>
            <w:vAlign w:val="center"/>
          </w:tcPr>
          <w:p w14:paraId="14A4FF4A" w14:textId="77777777" w:rsidR="00CB33C7" w:rsidRPr="00511BFC" w:rsidRDefault="00CB33C7" w:rsidP="00511BFC">
            <w:pPr>
              <w:rPr>
                <w:rFonts w:cs="Arial"/>
                <w:b/>
                <w:bCs/>
                <w:color w:val="000000"/>
                <w:szCs w:val="22"/>
              </w:rPr>
            </w:pPr>
            <w:r w:rsidRPr="00511BFC">
              <w:rPr>
                <w:rFonts w:cs="Arial"/>
                <w:b/>
                <w:bCs/>
                <w:color w:val="000000"/>
                <w:szCs w:val="22"/>
              </w:rPr>
              <w:t>Орієнтовна вартість проєкту, тис. грн., в тому числі:</w:t>
            </w:r>
          </w:p>
        </w:tc>
        <w:tc>
          <w:tcPr>
            <w:tcW w:w="1254" w:type="dxa"/>
            <w:shd w:val="clear" w:color="auto" w:fill="E6E6E6"/>
            <w:vAlign w:val="center"/>
          </w:tcPr>
          <w:p w14:paraId="18E2851D" w14:textId="77777777" w:rsidR="00CB33C7" w:rsidRPr="00511BFC" w:rsidRDefault="00CB33C7" w:rsidP="00511BFC">
            <w:pPr>
              <w:jc w:val="center"/>
              <w:rPr>
                <w:rFonts w:cs="Arial"/>
                <w:b/>
                <w:color w:val="000000"/>
                <w:szCs w:val="22"/>
                <w:lang w:eastAsia="it-IT"/>
              </w:rPr>
            </w:pPr>
            <w:r w:rsidRPr="00511BFC">
              <w:rPr>
                <w:rFonts w:cs="Arial"/>
                <w:b/>
                <w:color w:val="000000"/>
                <w:szCs w:val="22"/>
                <w:lang w:eastAsia="it-IT"/>
              </w:rPr>
              <w:t>2025</w:t>
            </w:r>
          </w:p>
        </w:tc>
        <w:tc>
          <w:tcPr>
            <w:tcW w:w="1274" w:type="dxa"/>
            <w:gridSpan w:val="3"/>
            <w:shd w:val="clear" w:color="auto" w:fill="E6E6E6"/>
            <w:vAlign w:val="center"/>
          </w:tcPr>
          <w:p w14:paraId="45196B19" w14:textId="77777777" w:rsidR="00CB33C7" w:rsidRPr="00511BFC" w:rsidRDefault="00CB33C7" w:rsidP="00511BFC">
            <w:pPr>
              <w:jc w:val="center"/>
              <w:rPr>
                <w:rFonts w:cs="Arial"/>
                <w:b/>
                <w:color w:val="000000"/>
                <w:szCs w:val="22"/>
                <w:lang w:eastAsia="it-IT"/>
              </w:rPr>
            </w:pPr>
            <w:r w:rsidRPr="00511BFC">
              <w:rPr>
                <w:rFonts w:cs="Arial"/>
                <w:b/>
                <w:color w:val="000000"/>
                <w:szCs w:val="22"/>
                <w:lang w:eastAsia="it-IT"/>
              </w:rPr>
              <w:t>2026</w:t>
            </w:r>
          </w:p>
        </w:tc>
        <w:tc>
          <w:tcPr>
            <w:tcW w:w="1422" w:type="dxa"/>
            <w:tcBorders>
              <w:bottom w:val="single" w:sz="4" w:space="0" w:color="auto"/>
            </w:tcBorders>
            <w:shd w:val="clear" w:color="auto" w:fill="E6E6E6"/>
            <w:vAlign w:val="center"/>
          </w:tcPr>
          <w:p w14:paraId="7B2E7572" w14:textId="77777777" w:rsidR="00CB33C7" w:rsidRPr="00511BFC" w:rsidRDefault="00CB33C7" w:rsidP="00511BFC">
            <w:pPr>
              <w:jc w:val="center"/>
              <w:rPr>
                <w:rFonts w:cs="Arial"/>
                <w:b/>
                <w:color w:val="000000"/>
                <w:szCs w:val="22"/>
                <w:lang w:eastAsia="it-IT"/>
              </w:rPr>
            </w:pPr>
            <w:r w:rsidRPr="00511BFC">
              <w:rPr>
                <w:rFonts w:cs="Arial"/>
                <w:b/>
                <w:color w:val="000000"/>
                <w:szCs w:val="22"/>
                <w:lang w:eastAsia="it-IT"/>
              </w:rPr>
              <w:t>2027</w:t>
            </w:r>
          </w:p>
        </w:tc>
        <w:tc>
          <w:tcPr>
            <w:tcW w:w="1275" w:type="dxa"/>
            <w:shd w:val="clear" w:color="auto" w:fill="E6E6E6"/>
            <w:vAlign w:val="center"/>
          </w:tcPr>
          <w:p w14:paraId="405C8EAD" w14:textId="77777777" w:rsidR="00CB33C7" w:rsidRPr="00511BFC" w:rsidRDefault="00CB33C7" w:rsidP="00511BFC">
            <w:pPr>
              <w:jc w:val="center"/>
              <w:rPr>
                <w:rFonts w:cs="Arial"/>
                <w:b/>
                <w:color w:val="000000"/>
                <w:szCs w:val="22"/>
                <w:lang w:eastAsia="it-IT"/>
              </w:rPr>
            </w:pPr>
            <w:r w:rsidRPr="00511BFC">
              <w:rPr>
                <w:rFonts w:cs="Arial"/>
                <w:b/>
                <w:color w:val="000000"/>
                <w:szCs w:val="22"/>
                <w:lang w:eastAsia="it-IT"/>
              </w:rPr>
              <w:t>2028</w:t>
            </w:r>
          </w:p>
        </w:tc>
        <w:tc>
          <w:tcPr>
            <w:tcW w:w="1570" w:type="dxa"/>
            <w:gridSpan w:val="2"/>
            <w:shd w:val="clear" w:color="auto" w:fill="E6E6E6"/>
            <w:vAlign w:val="center"/>
          </w:tcPr>
          <w:p w14:paraId="39DA4ADB" w14:textId="77777777" w:rsidR="00CB33C7" w:rsidRPr="00511BFC" w:rsidRDefault="00CB33C7" w:rsidP="00511BFC">
            <w:pPr>
              <w:jc w:val="center"/>
              <w:rPr>
                <w:rFonts w:cs="Arial"/>
                <w:b/>
                <w:color w:val="000000"/>
                <w:szCs w:val="22"/>
                <w:lang w:eastAsia="it-IT"/>
              </w:rPr>
            </w:pPr>
            <w:r w:rsidRPr="00511BFC">
              <w:rPr>
                <w:rFonts w:cs="Arial"/>
                <w:b/>
                <w:color w:val="000000"/>
                <w:szCs w:val="22"/>
                <w:lang w:eastAsia="it-IT"/>
              </w:rPr>
              <w:t>РАЗОМ</w:t>
            </w:r>
          </w:p>
        </w:tc>
      </w:tr>
      <w:tr w:rsidR="00CB33C7" w:rsidRPr="00C2587D" w14:paraId="7165EB3A" w14:textId="77777777" w:rsidTr="00511BFC">
        <w:trPr>
          <w:jc w:val="right"/>
        </w:trPr>
        <w:tc>
          <w:tcPr>
            <w:tcW w:w="3424" w:type="dxa"/>
            <w:vMerge/>
            <w:shd w:val="clear" w:color="auto" w:fill="FFFFFF"/>
            <w:vAlign w:val="center"/>
          </w:tcPr>
          <w:p w14:paraId="0A8ED116" w14:textId="77777777" w:rsidR="00CB33C7" w:rsidRPr="00511BFC" w:rsidRDefault="00CB33C7" w:rsidP="00511BFC">
            <w:pPr>
              <w:rPr>
                <w:rFonts w:cs="Arial"/>
                <w:b/>
                <w:bCs/>
                <w:color w:val="000000"/>
                <w:szCs w:val="22"/>
              </w:rPr>
            </w:pPr>
          </w:p>
        </w:tc>
        <w:tc>
          <w:tcPr>
            <w:tcW w:w="1254" w:type="dxa"/>
            <w:vAlign w:val="center"/>
          </w:tcPr>
          <w:p w14:paraId="23F7FAC8" w14:textId="77777777" w:rsidR="00CB33C7" w:rsidRPr="00511BFC" w:rsidRDefault="00CB33C7" w:rsidP="00511BFC">
            <w:pPr>
              <w:jc w:val="center"/>
              <w:rPr>
                <w:rFonts w:cs="Arial"/>
                <w:b/>
                <w:color w:val="000000"/>
                <w:szCs w:val="22"/>
                <w:lang w:eastAsia="it-IT"/>
              </w:rPr>
            </w:pPr>
          </w:p>
        </w:tc>
        <w:tc>
          <w:tcPr>
            <w:tcW w:w="1274" w:type="dxa"/>
            <w:gridSpan w:val="3"/>
            <w:shd w:val="clear" w:color="auto" w:fill="FFFFFF"/>
            <w:vAlign w:val="center"/>
          </w:tcPr>
          <w:p w14:paraId="7B5C9090" w14:textId="77777777" w:rsidR="00CB33C7" w:rsidRPr="00511BFC" w:rsidRDefault="00CB33C7" w:rsidP="00511BFC">
            <w:pPr>
              <w:jc w:val="center"/>
              <w:rPr>
                <w:rFonts w:cs="Arial"/>
                <w:color w:val="000000"/>
                <w:szCs w:val="22"/>
                <w:lang w:eastAsia="it-IT"/>
              </w:rPr>
            </w:pPr>
            <w:r w:rsidRPr="00511BFC">
              <w:rPr>
                <w:rFonts w:cs="Arial"/>
                <w:color w:val="000000"/>
                <w:szCs w:val="22"/>
                <w:lang w:eastAsia="it-IT"/>
              </w:rPr>
              <w:t>2002,451</w:t>
            </w:r>
          </w:p>
        </w:tc>
        <w:tc>
          <w:tcPr>
            <w:tcW w:w="1422" w:type="dxa"/>
            <w:shd w:val="clear" w:color="auto" w:fill="auto"/>
            <w:vAlign w:val="center"/>
          </w:tcPr>
          <w:p w14:paraId="2922D036" w14:textId="77777777" w:rsidR="00CB33C7" w:rsidRPr="00511BFC" w:rsidRDefault="00CB33C7" w:rsidP="00511BFC">
            <w:pPr>
              <w:jc w:val="center"/>
              <w:rPr>
                <w:rFonts w:cs="Arial"/>
                <w:b/>
                <w:color w:val="000000"/>
                <w:szCs w:val="22"/>
                <w:lang w:eastAsia="it-IT"/>
              </w:rPr>
            </w:pPr>
          </w:p>
        </w:tc>
        <w:tc>
          <w:tcPr>
            <w:tcW w:w="1275" w:type="dxa"/>
            <w:shd w:val="clear" w:color="auto" w:fill="FFFFFF"/>
            <w:vAlign w:val="center"/>
          </w:tcPr>
          <w:p w14:paraId="379A70AC" w14:textId="77777777" w:rsidR="00CB33C7" w:rsidRPr="00511BFC" w:rsidRDefault="00CB33C7" w:rsidP="00511BFC">
            <w:pPr>
              <w:jc w:val="center"/>
              <w:rPr>
                <w:rFonts w:cs="Arial"/>
                <w:b/>
                <w:color w:val="000000"/>
                <w:szCs w:val="22"/>
                <w:lang w:eastAsia="it-IT"/>
              </w:rPr>
            </w:pPr>
          </w:p>
        </w:tc>
        <w:tc>
          <w:tcPr>
            <w:tcW w:w="1570" w:type="dxa"/>
            <w:gridSpan w:val="2"/>
            <w:shd w:val="clear" w:color="auto" w:fill="FFFFFF"/>
            <w:vAlign w:val="center"/>
          </w:tcPr>
          <w:p w14:paraId="3AE15425" w14:textId="77777777" w:rsidR="00CB33C7" w:rsidRPr="00511BFC" w:rsidRDefault="00CB33C7" w:rsidP="00511BFC">
            <w:pPr>
              <w:jc w:val="center"/>
              <w:rPr>
                <w:rFonts w:cs="Arial"/>
                <w:b/>
                <w:color w:val="000000"/>
                <w:szCs w:val="22"/>
                <w:lang w:eastAsia="it-IT"/>
              </w:rPr>
            </w:pPr>
            <w:r w:rsidRPr="00511BFC">
              <w:rPr>
                <w:rFonts w:cs="Arial"/>
                <w:b/>
                <w:color w:val="000000"/>
                <w:szCs w:val="22"/>
                <w:lang w:eastAsia="it-IT"/>
              </w:rPr>
              <w:t>2002,451</w:t>
            </w:r>
          </w:p>
        </w:tc>
      </w:tr>
      <w:tr w:rsidR="00CB33C7" w:rsidRPr="00C2587D" w14:paraId="27832F5B" w14:textId="77777777" w:rsidTr="00511BFC">
        <w:trPr>
          <w:trHeight w:val="276"/>
          <w:jc w:val="right"/>
        </w:trPr>
        <w:tc>
          <w:tcPr>
            <w:tcW w:w="3424" w:type="dxa"/>
            <w:shd w:val="clear" w:color="auto" w:fill="FFFFFF"/>
            <w:vAlign w:val="center"/>
          </w:tcPr>
          <w:p w14:paraId="6DFDFD77" w14:textId="77777777" w:rsidR="00CB33C7" w:rsidRPr="00511BFC" w:rsidRDefault="00CB33C7" w:rsidP="00511BFC">
            <w:pPr>
              <w:rPr>
                <w:rFonts w:cs="Arial"/>
                <w:b/>
                <w:bCs/>
                <w:color w:val="000000"/>
                <w:szCs w:val="22"/>
              </w:rPr>
            </w:pPr>
            <w:r w:rsidRPr="00511BFC">
              <w:rPr>
                <w:rFonts w:cs="Arial"/>
                <w:b/>
                <w:bCs/>
                <w:color w:val="000000"/>
                <w:szCs w:val="22"/>
              </w:rPr>
              <w:t>по джерелах фінансування:</w:t>
            </w:r>
          </w:p>
        </w:tc>
        <w:tc>
          <w:tcPr>
            <w:tcW w:w="6795" w:type="dxa"/>
            <w:gridSpan w:val="8"/>
            <w:vAlign w:val="center"/>
          </w:tcPr>
          <w:p w14:paraId="43F19F90" w14:textId="77777777" w:rsidR="00CB33C7" w:rsidRPr="00511BFC" w:rsidRDefault="00CB33C7" w:rsidP="00511BFC">
            <w:pPr>
              <w:jc w:val="both"/>
              <w:rPr>
                <w:rFonts w:cs="Arial"/>
                <w:color w:val="000000"/>
                <w:szCs w:val="22"/>
                <w:lang w:eastAsia="it-IT"/>
              </w:rPr>
            </w:pPr>
          </w:p>
        </w:tc>
      </w:tr>
      <w:tr w:rsidR="00511BFC" w:rsidRPr="00C2587D" w14:paraId="22212493" w14:textId="65BEA683" w:rsidTr="00511BFC">
        <w:trPr>
          <w:trHeight w:val="240"/>
          <w:jc w:val="right"/>
        </w:trPr>
        <w:tc>
          <w:tcPr>
            <w:tcW w:w="3424" w:type="dxa"/>
            <w:shd w:val="clear" w:color="auto" w:fill="FFFFFF"/>
            <w:vAlign w:val="center"/>
          </w:tcPr>
          <w:p w14:paraId="6EBC79F1" w14:textId="77777777" w:rsidR="00511BFC" w:rsidRPr="00511BFC" w:rsidRDefault="00511BFC" w:rsidP="00511BFC">
            <w:pPr>
              <w:rPr>
                <w:rFonts w:cs="Arial"/>
                <w:b/>
                <w:bCs/>
                <w:color w:val="000000"/>
                <w:szCs w:val="22"/>
              </w:rPr>
            </w:pPr>
            <w:r w:rsidRPr="00511BFC">
              <w:rPr>
                <w:rFonts w:cs="Arial"/>
                <w:color w:val="000000"/>
                <w:szCs w:val="22"/>
              </w:rPr>
              <w:t>- державний бюджет</w:t>
            </w:r>
          </w:p>
        </w:tc>
        <w:tc>
          <w:tcPr>
            <w:tcW w:w="1279" w:type="dxa"/>
            <w:gridSpan w:val="2"/>
            <w:vAlign w:val="center"/>
          </w:tcPr>
          <w:p w14:paraId="4F9F021E" w14:textId="77777777" w:rsidR="00511BFC" w:rsidRPr="00511BFC" w:rsidRDefault="00511BFC" w:rsidP="00511BFC">
            <w:pPr>
              <w:jc w:val="both"/>
              <w:rPr>
                <w:rFonts w:cs="Arial"/>
                <w:color w:val="000000"/>
                <w:szCs w:val="22"/>
                <w:lang w:eastAsia="it-IT"/>
              </w:rPr>
            </w:pPr>
          </w:p>
        </w:tc>
        <w:tc>
          <w:tcPr>
            <w:tcW w:w="1232" w:type="dxa"/>
            <w:vAlign w:val="center"/>
          </w:tcPr>
          <w:p w14:paraId="1ED14E84" w14:textId="77777777" w:rsidR="00511BFC" w:rsidRPr="00511BFC" w:rsidRDefault="00511BFC" w:rsidP="00511BFC">
            <w:pPr>
              <w:jc w:val="both"/>
              <w:rPr>
                <w:rFonts w:cs="Arial"/>
                <w:color w:val="000000"/>
                <w:szCs w:val="22"/>
                <w:lang w:eastAsia="it-IT"/>
              </w:rPr>
            </w:pPr>
          </w:p>
        </w:tc>
        <w:tc>
          <w:tcPr>
            <w:tcW w:w="1439" w:type="dxa"/>
            <w:gridSpan w:val="2"/>
            <w:vAlign w:val="center"/>
          </w:tcPr>
          <w:p w14:paraId="3A56F6E5" w14:textId="77777777" w:rsidR="00511BFC" w:rsidRPr="00511BFC" w:rsidRDefault="00511BFC" w:rsidP="00511BFC">
            <w:pPr>
              <w:jc w:val="both"/>
              <w:rPr>
                <w:rFonts w:cs="Arial"/>
                <w:color w:val="000000"/>
                <w:szCs w:val="22"/>
                <w:lang w:eastAsia="it-IT"/>
              </w:rPr>
            </w:pPr>
          </w:p>
        </w:tc>
        <w:tc>
          <w:tcPr>
            <w:tcW w:w="1313" w:type="dxa"/>
            <w:gridSpan w:val="2"/>
            <w:vAlign w:val="center"/>
          </w:tcPr>
          <w:p w14:paraId="2DA44B82" w14:textId="77777777" w:rsidR="00511BFC" w:rsidRPr="00511BFC" w:rsidRDefault="00511BFC" w:rsidP="00511BFC">
            <w:pPr>
              <w:jc w:val="both"/>
              <w:rPr>
                <w:rFonts w:cs="Arial"/>
                <w:color w:val="000000"/>
                <w:szCs w:val="22"/>
                <w:lang w:eastAsia="it-IT"/>
              </w:rPr>
            </w:pPr>
          </w:p>
        </w:tc>
        <w:tc>
          <w:tcPr>
            <w:tcW w:w="1532" w:type="dxa"/>
            <w:vAlign w:val="center"/>
          </w:tcPr>
          <w:p w14:paraId="5E06CCDD" w14:textId="77777777" w:rsidR="00511BFC" w:rsidRPr="00511BFC" w:rsidRDefault="00511BFC" w:rsidP="00511BFC">
            <w:pPr>
              <w:jc w:val="both"/>
              <w:rPr>
                <w:rFonts w:cs="Arial"/>
                <w:color w:val="000000"/>
                <w:szCs w:val="22"/>
                <w:lang w:eastAsia="it-IT"/>
              </w:rPr>
            </w:pPr>
          </w:p>
        </w:tc>
      </w:tr>
      <w:tr w:rsidR="00511BFC" w:rsidRPr="00C2587D" w14:paraId="362FD1A0" w14:textId="596BB748" w:rsidTr="00511BFC">
        <w:trPr>
          <w:trHeight w:val="254"/>
          <w:jc w:val="right"/>
        </w:trPr>
        <w:tc>
          <w:tcPr>
            <w:tcW w:w="3424" w:type="dxa"/>
            <w:shd w:val="clear" w:color="auto" w:fill="FFFFFF"/>
            <w:vAlign w:val="center"/>
          </w:tcPr>
          <w:p w14:paraId="6C84CF8D" w14:textId="77777777" w:rsidR="00511BFC" w:rsidRPr="00511BFC" w:rsidRDefault="00511BFC" w:rsidP="00511BFC">
            <w:pPr>
              <w:rPr>
                <w:rFonts w:cs="Arial"/>
                <w:color w:val="000000"/>
                <w:szCs w:val="22"/>
              </w:rPr>
            </w:pPr>
            <w:r w:rsidRPr="00511BFC">
              <w:rPr>
                <w:rFonts w:cs="Arial"/>
                <w:color w:val="000000"/>
                <w:szCs w:val="22"/>
              </w:rPr>
              <w:t>- обласний бюджет</w:t>
            </w:r>
          </w:p>
        </w:tc>
        <w:tc>
          <w:tcPr>
            <w:tcW w:w="1279" w:type="dxa"/>
            <w:gridSpan w:val="2"/>
            <w:vAlign w:val="center"/>
          </w:tcPr>
          <w:p w14:paraId="3E1B3E3F" w14:textId="77777777" w:rsidR="00511BFC" w:rsidRPr="00511BFC" w:rsidRDefault="00511BFC" w:rsidP="00511BFC">
            <w:pPr>
              <w:jc w:val="both"/>
              <w:rPr>
                <w:rFonts w:cs="Arial"/>
                <w:color w:val="000000"/>
                <w:szCs w:val="22"/>
                <w:lang w:eastAsia="it-IT"/>
              </w:rPr>
            </w:pPr>
          </w:p>
        </w:tc>
        <w:tc>
          <w:tcPr>
            <w:tcW w:w="1232" w:type="dxa"/>
            <w:vAlign w:val="center"/>
          </w:tcPr>
          <w:p w14:paraId="216B44B3" w14:textId="77777777" w:rsidR="00511BFC" w:rsidRPr="00511BFC" w:rsidRDefault="00511BFC" w:rsidP="00511BFC">
            <w:pPr>
              <w:jc w:val="both"/>
              <w:rPr>
                <w:rFonts w:cs="Arial"/>
                <w:color w:val="000000"/>
                <w:szCs w:val="22"/>
                <w:lang w:eastAsia="it-IT"/>
              </w:rPr>
            </w:pPr>
          </w:p>
        </w:tc>
        <w:tc>
          <w:tcPr>
            <w:tcW w:w="1439" w:type="dxa"/>
            <w:gridSpan w:val="2"/>
            <w:vAlign w:val="center"/>
          </w:tcPr>
          <w:p w14:paraId="05166164" w14:textId="77777777" w:rsidR="00511BFC" w:rsidRPr="00511BFC" w:rsidRDefault="00511BFC" w:rsidP="00511BFC">
            <w:pPr>
              <w:jc w:val="both"/>
              <w:rPr>
                <w:rFonts w:cs="Arial"/>
                <w:color w:val="000000"/>
                <w:szCs w:val="22"/>
                <w:lang w:eastAsia="it-IT"/>
              </w:rPr>
            </w:pPr>
          </w:p>
        </w:tc>
        <w:tc>
          <w:tcPr>
            <w:tcW w:w="1313" w:type="dxa"/>
            <w:gridSpan w:val="2"/>
            <w:vAlign w:val="center"/>
          </w:tcPr>
          <w:p w14:paraId="6319130A" w14:textId="77777777" w:rsidR="00511BFC" w:rsidRPr="00511BFC" w:rsidRDefault="00511BFC" w:rsidP="00511BFC">
            <w:pPr>
              <w:jc w:val="both"/>
              <w:rPr>
                <w:rFonts w:cs="Arial"/>
                <w:color w:val="000000"/>
                <w:szCs w:val="22"/>
                <w:lang w:eastAsia="it-IT"/>
              </w:rPr>
            </w:pPr>
          </w:p>
        </w:tc>
        <w:tc>
          <w:tcPr>
            <w:tcW w:w="1532" w:type="dxa"/>
            <w:vAlign w:val="center"/>
          </w:tcPr>
          <w:p w14:paraId="146333AE" w14:textId="77777777" w:rsidR="00511BFC" w:rsidRPr="00511BFC" w:rsidRDefault="00511BFC" w:rsidP="00511BFC">
            <w:pPr>
              <w:jc w:val="both"/>
              <w:rPr>
                <w:rFonts w:cs="Arial"/>
                <w:color w:val="000000"/>
                <w:szCs w:val="22"/>
                <w:lang w:eastAsia="it-IT"/>
              </w:rPr>
            </w:pPr>
          </w:p>
        </w:tc>
      </w:tr>
      <w:tr w:rsidR="00511BFC" w:rsidRPr="00C2587D" w14:paraId="290F61AB" w14:textId="01195268" w:rsidTr="00511BFC">
        <w:trPr>
          <w:trHeight w:val="275"/>
          <w:jc w:val="right"/>
        </w:trPr>
        <w:tc>
          <w:tcPr>
            <w:tcW w:w="3424" w:type="dxa"/>
            <w:shd w:val="clear" w:color="auto" w:fill="FFFFFF"/>
            <w:vAlign w:val="center"/>
          </w:tcPr>
          <w:p w14:paraId="6389BFB0" w14:textId="77777777" w:rsidR="00511BFC" w:rsidRPr="00511BFC" w:rsidRDefault="00511BFC" w:rsidP="00511BFC">
            <w:pPr>
              <w:rPr>
                <w:rFonts w:cs="Arial"/>
                <w:color w:val="000000"/>
                <w:szCs w:val="22"/>
              </w:rPr>
            </w:pPr>
            <w:r w:rsidRPr="00511BFC">
              <w:rPr>
                <w:rFonts w:cs="Arial"/>
                <w:color w:val="000000"/>
                <w:szCs w:val="22"/>
              </w:rPr>
              <w:t>- бюджет Жмеринської МТГ</w:t>
            </w:r>
          </w:p>
        </w:tc>
        <w:tc>
          <w:tcPr>
            <w:tcW w:w="1279" w:type="dxa"/>
            <w:gridSpan w:val="2"/>
            <w:vAlign w:val="center"/>
          </w:tcPr>
          <w:p w14:paraId="368BB79A" w14:textId="7E2ADDFF" w:rsidR="00511BFC" w:rsidRPr="00511BFC" w:rsidRDefault="00511BFC" w:rsidP="00511BFC">
            <w:pPr>
              <w:jc w:val="both"/>
              <w:rPr>
                <w:rFonts w:cs="Arial"/>
                <w:color w:val="000000"/>
                <w:szCs w:val="22"/>
                <w:lang w:eastAsia="it-IT"/>
              </w:rPr>
            </w:pPr>
          </w:p>
        </w:tc>
        <w:tc>
          <w:tcPr>
            <w:tcW w:w="1232" w:type="dxa"/>
            <w:vAlign w:val="center"/>
          </w:tcPr>
          <w:p w14:paraId="79D0344B" w14:textId="7D07D634" w:rsidR="00511BFC" w:rsidRPr="00511BFC" w:rsidRDefault="00511BFC" w:rsidP="00511BFC">
            <w:pPr>
              <w:jc w:val="center"/>
              <w:rPr>
                <w:rFonts w:cs="Arial"/>
                <w:color w:val="000000"/>
                <w:szCs w:val="22"/>
                <w:lang w:eastAsia="it-IT"/>
              </w:rPr>
            </w:pPr>
            <w:r w:rsidRPr="00511BFC">
              <w:rPr>
                <w:rFonts w:cs="Arial"/>
                <w:color w:val="000000"/>
                <w:szCs w:val="22"/>
                <w:lang w:eastAsia="it-IT"/>
              </w:rPr>
              <w:t>2002,451</w:t>
            </w:r>
          </w:p>
        </w:tc>
        <w:tc>
          <w:tcPr>
            <w:tcW w:w="1439" w:type="dxa"/>
            <w:gridSpan w:val="2"/>
            <w:vAlign w:val="center"/>
          </w:tcPr>
          <w:p w14:paraId="1AFFA5D6" w14:textId="77777777" w:rsidR="00511BFC" w:rsidRPr="00511BFC" w:rsidRDefault="00511BFC" w:rsidP="00511BFC">
            <w:pPr>
              <w:jc w:val="both"/>
              <w:rPr>
                <w:rFonts w:cs="Arial"/>
                <w:color w:val="000000"/>
                <w:szCs w:val="22"/>
                <w:lang w:eastAsia="it-IT"/>
              </w:rPr>
            </w:pPr>
          </w:p>
        </w:tc>
        <w:tc>
          <w:tcPr>
            <w:tcW w:w="1313" w:type="dxa"/>
            <w:gridSpan w:val="2"/>
            <w:vAlign w:val="center"/>
          </w:tcPr>
          <w:p w14:paraId="2DD289BA" w14:textId="77777777" w:rsidR="00511BFC" w:rsidRPr="00511BFC" w:rsidRDefault="00511BFC" w:rsidP="00511BFC">
            <w:pPr>
              <w:jc w:val="both"/>
              <w:rPr>
                <w:rFonts w:cs="Arial"/>
                <w:color w:val="000000"/>
                <w:szCs w:val="22"/>
                <w:lang w:eastAsia="it-IT"/>
              </w:rPr>
            </w:pPr>
          </w:p>
        </w:tc>
        <w:tc>
          <w:tcPr>
            <w:tcW w:w="1532" w:type="dxa"/>
          </w:tcPr>
          <w:p w14:paraId="437B041F" w14:textId="30B18B91" w:rsidR="00511BFC" w:rsidRPr="00511BFC" w:rsidRDefault="00511BFC" w:rsidP="00511BFC">
            <w:pPr>
              <w:jc w:val="center"/>
              <w:rPr>
                <w:rFonts w:cs="Arial"/>
                <w:color w:val="000000"/>
                <w:szCs w:val="22"/>
                <w:lang w:eastAsia="it-IT"/>
              </w:rPr>
            </w:pPr>
            <w:r w:rsidRPr="00511BFC">
              <w:rPr>
                <w:rFonts w:cs="Arial"/>
                <w:b/>
                <w:color w:val="000000"/>
                <w:szCs w:val="22"/>
                <w:lang w:eastAsia="it-IT"/>
              </w:rPr>
              <w:t>2002,451</w:t>
            </w:r>
          </w:p>
        </w:tc>
      </w:tr>
      <w:tr w:rsidR="00511BFC" w:rsidRPr="00C2587D" w14:paraId="3DB08C43" w14:textId="3CEAED1B" w:rsidTr="00511BFC">
        <w:trPr>
          <w:trHeight w:val="226"/>
          <w:jc w:val="right"/>
        </w:trPr>
        <w:tc>
          <w:tcPr>
            <w:tcW w:w="3424" w:type="dxa"/>
            <w:shd w:val="clear" w:color="auto" w:fill="FFFFFF"/>
            <w:vAlign w:val="center"/>
          </w:tcPr>
          <w:p w14:paraId="4E22A4FA" w14:textId="77777777" w:rsidR="00511BFC" w:rsidRPr="00511BFC" w:rsidRDefault="00511BFC" w:rsidP="00511BFC">
            <w:pPr>
              <w:rPr>
                <w:rFonts w:cs="Arial"/>
                <w:color w:val="000000"/>
                <w:szCs w:val="22"/>
              </w:rPr>
            </w:pPr>
            <w:r w:rsidRPr="00511BFC">
              <w:rPr>
                <w:rFonts w:cs="Arial"/>
                <w:color w:val="000000"/>
                <w:szCs w:val="22"/>
              </w:rPr>
              <w:t>- інші джерела фінансування</w:t>
            </w:r>
          </w:p>
        </w:tc>
        <w:tc>
          <w:tcPr>
            <w:tcW w:w="1279" w:type="dxa"/>
            <w:gridSpan w:val="2"/>
            <w:vAlign w:val="center"/>
          </w:tcPr>
          <w:p w14:paraId="221FEC14" w14:textId="77777777" w:rsidR="00511BFC" w:rsidRPr="00511BFC" w:rsidRDefault="00511BFC" w:rsidP="00511BFC">
            <w:pPr>
              <w:jc w:val="both"/>
              <w:rPr>
                <w:rFonts w:cs="Arial"/>
                <w:color w:val="000000"/>
                <w:szCs w:val="22"/>
                <w:lang w:eastAsia="it-IT"/>
              </w:rPr>
            </w:pPr>
          </w:p>
        </w:tc>
        <w:tc>
          <w:tcPr>
            <w:tcW w:w="1232" w:type="dxa"/>
            <w:vAlign w:val="center"/>
          </w:tcPr>
          <w:p w14:paraId="2F397E06" w14:textId="77777777" w:rsidR="00511BFC" w:rsidRPr="00511BFC" w:rsidRDefault="00511BFC" w:rsidP="00511BFC">
            <w:pPr>
              <w:jc w:val="both"/>
              <w:rPr>
                <w:rFonts w:cs="Arial"/>
                <w:color w:val="000000"/>
                <w:szCs w:val="22"/>
                <w:lang w:eastAsia="it-IT"/>
              </w:rPr>
            </w:pPr>
          </w:p>
        </w:tc>
        <w:tc>
          <w:tcPr>
            <w:tcW w:w="1439" w:type="dxa"/>
            <w:gridSpan w:val="2"/>
            <w:vAlign w:val="center"/>
          </w:tcPr>
          <w:p w14:paraId="3B677F44" w14:textId="77777777" w:rsidR="00511BFC" w:rsidRPr="00511BFC" w:rsidRDefault="00511BFC" w:rsidP="00511BFC">
            <w:pPr>
              <w:jc w:val="both"/>
              <w:rPr>
                <w:rFonts w:cs="Arial"/>
                <w:color w:val="000000"/>
                <w:szCs w:val="22"/>
                <w:lang w:eastAsia="it-IT"/>
              </w:rPr>
            </w:pPr>
          </w:p>
        </w:tc>
        <w:tc>
          <w:tcPr>
            <w:tcW w:w="1313" w:type="dxa"/>
            <w:gridSpan w:val="2"/>
            <w:vAlign w:val="center"/>
          </w:tcPr>
          <w:p w14:paraId="31AE7E3C" w14:textId="77777777" w:rsidR="00511BFC" w:rsidRPr="00511BFC" w:rsidRDefault="00511BFC" w:rsidP="00511BFC">
            <w:pPr>
              <w:jc w:val="both"/>
              <w:rPr>
                <w:rFonts w:cs="Arial"/>
                <w:color w:val="000000"/>
                <w:szCs w:val="22"/>
                <w:lang w:eastAsia="it-IT"/>
              </w:rPr>
            </w:pPr>
          </w:p>
        </w:tc>
        <w:tc>
          <w:tcPr>
            <w:tcW w:w="1532" w:type="dxa"/>
            <w:vAlign w:val="center"/>
          </w:tcPr>
          <w:p w14:paraId="1B96F2BD" w14:textId="77777777" w:rsidR="00511BFC" w:rsidRPr="00511BFC" w:rsidRDefault="00511BFC" w:rsidP="00511BFC">
            <w:pPr>
              <w:jc w:val="both"/>
              <w:rPr>
                <w:rFonts w:cs="Arial"/>
                <w:color w:val="000000"/>
                <w:szCs w:val="22"/>
                <w:lang w:eastAsia="it-IT"/>
              </w:rPr>
            </w:pPr>
          </w:p>
        </w:tc>
      </w:tr>
      <w:tr w:rsidR="00511BFC" w:rsidRPr="00C2587D" w14:paraId="7B8CFC0A" w14:textId="77777777" w:rsidTr="00511BFC">
        <w:trPr>
          <w:jc w:val="right"/>
        </w:trPr>
        <w:tc>
          <w:tcPr>
            <w:tcW w:w="3424" w:type="dxa"/>
            <w:shd w:val="clear" w:color="auto" w:fill="FFFFFF"/>
            <w:vAlign w:val="center"/>
          </w:tcPr>
          <w:p w14:paraId="3901CDBE" w14:textId="77777777" w:rsidR="00511BFC" w:rsidRPr="00511BFC" w:rsidRDefault="00511BFC" w:rsidP="00511BFC">
            <w:pPr>
              <w:rPr>
                <w:rFonts w:cs="Arial"/>
                <w:b/>
                <w:bCs/>
                <w:color w:val="000000"/>
                <w:szCs w:val="22"/>
              </w:rPr>
            </w:pPr>
            <w:r w:rsidRPr="00511BFC">
              <w:rPr>
                <w:rFonts w:cs="Arial"/>
                <w:b/>
                <w:color w:val="000000"/>
                <w:szCs w:val="22"/>
              </w:rPr>
              <w:t>Відповідальний виконавець проєкту:</w:t>
            </w:r>
          </w:p>
        </w:tc>
        <w:tc>
          <w:tcPr>
            <w:tcW w:w="6795" w:type="dxa"/>
            <w:gridSpan w:val="8"/>
            <w:vAlign w:val="center"/>
          </w:tcPr>
          <w:p w14:paraId="3438A133" w14:textId="1B708260" w:rsidR="00511BFC" w:rsidRPr="00511BFC" w:rsidRDefault="00511BFC" w:rsidP="00511BFC">
            <w:pPr>
              <w:jc w:val="both"/>
              <w:rPr>
                <w:rFonts w:cs="Arial"/>
                <w:color w:val="000000"/>
                <w:szCs w:val="22"/>
                <w:lang w:eastAsia="it-IT"/>
              </w:rPr>
            </w:pPr>
            <w:r w:rsidRPr="00511BFC">
              <w:rPr>
                <w:rFonts w:cs="Arial"/>
                <w:color w:val="000000"/>
                <w:szCs w:val="22"/>
                <w:lang w:eastAsia="it-IT"/>
              </w:rPr>
              <w:t>Управління ЖКГ.</w:t>
            </w:r>
          </w:p>
        </w:tc>
      </w:tr>
      <w:tr w:rsidR="00511BFC" w:rsidRPr="00C2587D" w14:paraId="4C3E54A7" w14:textId="77777777" w:rsidTr="00511BFC">
        <w:trPr>
          <w:jc w:val="right"/>
        </w:trPr>
        <w:tc>
          <w:tcPr>
            <w:tcW w:w="3424" w:type="dxa"/>
            <w:shd w:val="clear" w:color="auto" w:fill="FFFFFF"/>
            <w:vAlign w:val="center"/>
          </w:tcPr>
          <w:p w14:paraId="6AADF5A7" w14:textId="77777777" w:rsidR="00511BFC" w:rsidRPr="00511BFC" w:rsidRDefault="00511BFC" w:rsidP="00511BFC">
            <w:pPr>
              <w:rPr>
                <w:rFonts w:cs="Arial"/>
                <w:b/>
                <w:bCs/>
                <w:color w:val="000000"/>
                <w:szCs w:val="22"/>
              </w:rPr>
            </w:pPr>
            <w:r w:rsidRPr="00511BFC">
              <w:rPr>
                <w:rFonts w:cs="Arial"/>
                <w:b/>
                <w:bCs/>
                <w:color w:val="000000"/>
                <w:szCs w:val="22"/>
              </w:rPr>
              <w:t>Інше:</w:t>
            </w:r>
          </w:p>
        </w:tc>
        <w:tc>
          <w:tcPr>
            <w:tcW w:w="6795" w:type="dxa"/>
            <w:gridSpan w:val="8"/>
            <w:vAlign w:val="center"/>
          </w:tcPr>
          <w:p w14:paraId="187B4622" w14:textId="77777777" w:rsidR="00511BFC" w:rsidRPr="00511BFC" w:rsidRDefault="00511BFC" w:rsidP="00511BFC">
            <w:pPr>
              <w:rPr>
                <w:rFonts w:cs="Arial"/>
                <w:color w:val="000000"/>
                <w:szCs w:val="22"/>
                <w:lang w:eastAsia="it-IT"/>
              </w:rPr>
            </w:pPr>
          </w:p>
        </w:tc>
      </w:tr>
    </w:tbl>
    <w:p w14:paraId="0688BEC8" w14:textId="77777777" w:rsidR="00CB33C7" w:rsidRPr="00C2587D" w:rsidRDefault="00CB33C7" w:rsidP="00CB33C7"/>
    <w:p w14:paraId="4A67E293" w14:textId="77777777" w:rsidR="00CB33C7" w:rsidRPr="00C2587D" w:rsidRDefault="00CB33C7" w:rsidP="00CB33C7"/>
    <w:p w14:paraId="0E6BF301" w14:textId="77777777" w:rsidR="00CB33C7" w:rsidRPr="00C2587D" w:rsidRDefault="00CB33C7" w:rsidP="00CB33C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5E56196B" w14:textId="77777777" w:rsidR="00CB33C7" w:rsidRPr="00C2587D" w:rsidRDefault="00CB33C7" w:rsidP="00CB33C7">
      <w:pPr>
        <w:jc w:val="center"/>
        <w:rPr>
          <w:rFonts w:cs="Arial"/>
          <w:b/>
          <w:color w:val="000000"/>
          <w:szCs w:val="22"/>
        </w:rPr>
      </w:pPr>
      <w:r w:rsidRPr="00C2587D">
        <w:rPr>
          <w:rFonts w:cs="Arial"/>
          <w:b/>
          <w:color w:val="000000"/>
          <w:szCs w:val="22"/>
        </w:rPr>
        <w:t>до Плану заходів з реалізації Стратегії</w:t>
      </w:r>
    </w:p>
    <w:p w14:paraId="281A1695" w14:textId="77777777" w:rsidR="00CB33C7" w:rsidRPr="00C2587D" w:rsidRDefault="00CB33C7" w:rsidP="00CB33C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25"/>
        <w:gridCol w:w="1348"/>
        <w:gridCol w:w="39"/>
        <w:gridCol w:w="1274"/>
        <w:gridCol w:w="7"/>
        <w:gridCol w:w="1276"/>
        <w:gridCol w:w="53"/>
        <w:gridCol w:w="1518"/>
      </w:tblGrid>
      <w:tr w:rsidR="00CB33C7" w:rsidRPr="00C2587D" w14:paraId="6A0855B1" w14:textId="77777777" w:rsidTr="00EA6E27">
        <w:trPr>
          <w:jc w:val="right"/>
        </w:trPr>
        <w:tc>
          <w:tcPr>
            <w:tcW w:w="3425" w:type="dxa"/>
            <w:vAlign w:val="center"/>
          </w:tcPr>
          <w:p w14:paraId="0BE11D83" w14:textId="77777777" w:rsidR="00CB33C7" w:rsidRPr="00225ED7" w:rsidRDefault="00CB33C7" w:rsidP="00225ED7">
            <w:pPr>
              <w:rPr>
                <w:rFonts w:cs="Arial"/>
                <w:b/>
                <w:bCs/>
                <w:color w:val="000000"/>
                <w:szCs w:val="22"/>
              </w:rPr>
            </w:pPr>
            <w:r w:rsidRPr="00225ED7">
              <w:rPr>
                <w:rFonts w:cs="Arial"/>
                <w:b/>
                <w:bCs/>
                <w:color w:val="000000"/>
                <w:szCs w:val="22"/>
              </w:rPr>
              <w:t>Назва проєкту:</w:t>
            </w:r>
          </w:p>
        </w:tc>
        <w:tc>
          <w:tcPr>
            <w:tcW w:w="6794" w:type="dxa"/>
            <w:gridSpan w:val="9"/>
          </w:tcPr>
          <w:p w14:paraId="5635D3B9" w14:textId="77777777" w:rsidR="00CB33C7" w:rsidRPr="00225ED7" w:rsidRDefault="00CB33C7" w:rsidP="00225ED7">
            <w:pPr>
              <w:jc w:val="both"/>
              <w:rPr>
                <w:rFonts w:cs="Arial"/>
                <w:b/>
                <w:szCs w:val="22"/>
                <w:lang w:eastAsia="it-IT"/>
              </w:rPr>
            </w:pPr>
            <w:r w:rsidRPr="00225ED7">
              <w:rPr>
                <w:rFonts w:eastAsia="Arial" w:cs="Arial"/>
                <w:b/>
                <w:szCs w:val="22"/>
                <w:lang w:eastAsia="en-US"/>
              </w:rPr>
              <w:t>Реконструкція площі по вул. Б. Хмельницького в м. Жмеринка Вінницької області</w:t>
            </w:r>
          </w:p>
        </w:tc>
      </w:tr>
      <w:tr w:rsidR="00CB33C7" w:rsidRPr="00C2587D" w14:paraId="75BCF5A7" w14:textId="77777777" w:rsidTr="00EA6E27">
        <w:trPr>
          <w:jc w:val="right"/>
        </w:trPr>
        <w:tc>
          <w:tcPr>
            <w:tcW w:w="3425" w:type="dxa"/>
          </w:tcPr>
          <w:p w14:paraId="5CCC604F" w14:textId="77777777" w:rsidR="00CB33C7" w:rsidRPr="00225ED7" w:rsidRDefault="00CB33C7" w:rsidP="00225ED7">
            <w:pPr>
              <w:rPr>
                <w:rFonts w:cs="Arial"/>
                <w:szCs w:val="22"/>
                <w:lang w:eastAsia="it-IT"/>
              </w:rPr>
            </w:pPr>
            <w:r w:rsidRPr="00225ED7">
              <w:rPr>
                <w:rFonts w:cs="Arial"/>
                <w:b/>
                <w:bCs/>
                <w:szCs w:val="22"/>
              </w:rPr>
              <w:t>Ваші контакти</w:t>
            </w:r>
            <w:r w:rsidRPr="00225ED7">
              <w:rPr>
                <w:rFonts w:cs="Arial"/>
                <w:szCs w:val="22"/>
                <w:lang w:eastAsia="it-IT"/>
              </w:rPr>
              <w:t>:</w:t>
            </w:r>
          </w:p>
          <w:p w14:paraId="27979DF4" w14:textId="77777777" w:rsidR="00CB33C7" w:rsidRPr="00225ED7" w:rsidRDefault="00CB33C7" w:rsidP="00225ED7">
            <w:pPr>
              <w:rPr>
                <w:rFonts w:cs="Arial"/>
                <w:b/>
                <w:bCs/>
                <w:szCs w:val="22"/>
              </w:rPr>
            </w:pPr>
            <w:r w:rsidRPr="00225ED7">
              <w:rPr>
                <w:rFonts w:cs="Arial"/>
                <w:szCs w:val="22"/>
                <w:lang w:eastAsia="it-IT"/>
              </w:rPr>
              <w:t>Назва установи, організації, підприємства</w:t>
            </w:r>
          </w:p>
        </w:tc>
        <w:tc>
          <w:tcPr>
            <w:tcW w:w="6794" w:type="dxa"/>
            <w:gridSpan w:val="9"/>
          </w:tcPr>
          <w:p w14:paraId="7E9358A7" w14:textId="77777777" w:rsidR="00CB33C7" w:rsidRPr="00225ED7" w:rsidRDefault="00CB33C7" w:rsidP="00225ED7">
            <w:pPr>
              <w:jc w:val="both"/>
              <w:rPr>
                <w:rFonts w:cs="Arial"/>
                <w:szCs w:val="22"/>
                <w:lang w:eastAsia="it-IT"/>
              </w:rPr>
            </w:pPr>
            <w:r w:rsidRPr="00225ED7">
              <w:rPr>
                <w:rFonts w:cs="Arial"/>
                <w:szCs w:val="22"/>
                <w:lang w:eastAsia="it-IT"/>
              </w:rPr>
              <w:t>Управління житлово-комунального господарства Жмеринської міської ради</w:t>
            </w:r>
          </w:p>
        </w:tc>
      </w:tr>
      <w:tr w:rsidR="00CB33C7" w:rsidRPr="00C2587D" w14:paraId="3A21C4F6" w14:textId="77777777" w:rsidTr="00EA6E27">
        <w:trPr>
          <w:jc w:val="right"/>
        </w:trPr>
        <w:tc>
          <w:tcPr>
            <w:tcW w:w="3425" w:type="dxa"/>
          </w:tcPr>
          <w:p w14:paraId="6D28F297" w14:textId="77777777" w:rsidR="00CB33C7" w:rsidRPr="00225ED7" w:rsidRDefault="00CB33C7" w:rsidP="00225ED7">
            <w:pPr>
              <w:rPr>
                <w:rFonts w:cs="Arial"/>
                <w:b/>
                <w:bCs/>
                <w:szCs w:val="22"/>
              </w:rPr>
            </w:pPr>
            <w:r w:rsidRPr="00225ED7">
              <w:rPr>
                <w:rFonts w:cs="Arial"/>
                <w:szCs w:val="22"/>
                <w:lang w:eastAsia="it-IT"/>
              </w:rPr>
              <w:t>Прізвище Ім’я По-батькові:</w:t>
            </w:r>
          </w:p>
        </w:tc>
        <w:tc>
          <w:tcPr>
            <w:tcW w:w="6794" w:type="dxa"/>
            <w:gridSpan w:val="9"/>
          </w:tcPr>
          <w:p w14:paraId="56EF6C7C" w14:textId="77777777" w:rsidR="00CB33C7" w:rsidRPr="00225ED7" w:rsidRDefault="00CB33C7" w:rsidP="00225ED7">
            <w:pPr>
              <w:jc w:val="both"/>
              <w:rPr>
                <w:rFonts w:cs="Arial"/>
                <w:szCs w:val="22"/>
                <w:lang w:eastAsia="it-IT"/>
              </w:rPr>
            </w:pPr>
            <w:r w:rsidRPr="00225ED7">
              <w:rPr>
                <w:rFonts w:cs="Arial"/>
                <w:szCs w:val="22"/>
                <w:lang w:eastAsia="it-IT"/>
              </w:rPr>
              <w:t>Оленич Андрій Васильович</w:t>
            </w:r>
          </w:p>
        </w:tc>
      </w:tr>
      <w:tr w:rsidR="00CB33C7" w:rsidRPr="00C2587D" w14:paraId="3F2CF099" w14:textId="77777777" w:rsidTr="00EA6E27">
        <w:trPr>
          <w:jc w:val="right"/>
        </w:trPr>
        <w:tc>
          <w:tcPr>
            <w:tcW w:w="3425" w:type="dxa"/>
          </w:tcPr>
          <w:p w14:paraId="3C8DEB22" w14:textId="77777777" w:rsidR="00CB33C7" w:rsidRPr="00225ED7" w:rsidRDefault="00CB33C7" w:rsidP="00225ED7">
            <w:pPr>
              <w:rPr>
                <w:rFonts w:cs="Arial"/>
                <w:b/>
                <w:bCs/>
                <w:szCs w:val="22"/>
              </w:rPr>
            </w:pPr>
            <w:r w:rsidRPr="00225ED7">
              <w:rPr>
                <w:rFonts w:cs="Arial"/>
                <w:szCs w:val="22"/>
                <w:lang w:eastAsia="it-IT"/>
              </w:rPr>
              <w:t>Телефон (мобільний):</w:t>
            </w:r>
          </w:p>
        </w:tc>
        <w:tc>
          <w:tcPr>
            <w:tcW w:w="6794" w:type="dxa"/>
            <w:gridSpan w:val="9"/>
          </w:tcPr>
          <w:p w14:paraId="2B82420F" w14:textId="77777777" w:rsidR="00CB33C7" w:rsidRPr="00225ED7" w:rsidRDefault="00CB33C7" w:rsidP="00225ED7">
            <w:pPr>
              <w:jc w:val="both"/>
              <w:rPr>
                <w:rFonts w:cs="Arial"/>
                <w:szCs w:val="22"/>
                <w:lang w:eastAsia="it-IT"/>
              </w:rPr>
            </w:pPr>
            <w:r w:rsidRPr="00225ED7">
              <w:rPr>
                <w:rFonts w:cs="Arial"/>
                <w:szCs w:val="22"/>
                <w:lang w:eastAsia="it-IT"/>
              </w:rPr>
              <w:t>0972561907</w:t>
            </w:r>
          </w:p>
        </w:tc>
      </w:tr>
      <w:tr w:rsidR="00CB33C7" w:rsidRPr="00C2587D" w14:paraId="30195E2A" w14:textId="77777777" w:rsidTr="00EA6E27">
        <w:trPr>
          <w:jc w:val="right"/>
        </w:trPr>
        <w:tc>
          <w:tcPr>
            <w:tcW w:w="3425" w:type="dxa"/>
          </w:tcPr>
          <w:p w14:paraId="3A16EB6F" w14:textId="77777777" w:rsidR="00CB33C7" w:rsidRPr="00225ED7" w:rsidRDefault="00CB33C7" w:rsidP="00225ED7">
            <w:pPr>
              <w:rPr>
                <w:rFonts w:cs="Arial"/>
                <w:b/>
                <w:bCs/>
                <w:szCs w:val="22"/>
              </w:rPr>
            </w:pPr>
            <w:r w:rsidRPr="00225ED7">
              <w:rPr>
                <w:rFonts w:cs="Arial"/>
                <w:szCs w:val="22"/>
                <w:lang w:eastAsia="it-IT"/>
              </w:rPr>
              <w:t>Електронна адреса:</w:t>
            </w:r>
          </w:p>
        </w:tc>
        <w:tc>
          <w:tcPr>
            <w:tcW w:w="6794" w:type="dxa"/>
            <w:gridSpan w:val="9"/>
          </w:tcPr>
          <w:p w14:paraId="1C52D09A" w14:textId="77777777" w:rsidR="00CB33C7" w:rsidRPr="00225ED7" w:rsidRDefault="00D85FFD" w:rsidP="00225ED7">
            <w:pPr>
              <w:jc w:val="both"/>
              <w:rPr>
                <w:rFonts w:cs="Arial"/>
                <w:szCs w:val="22"/>
                <w:lang w:eastAsia="it-IT"/>
              </w:rPr>
            </w:pPr>
            <w:hyperlink r:id="rId65" w:history="1">
              <w:r w:rsidR="00CB33C7" w:rsidRPr="00225ED7">
                <w:rPr>
                  <w:rStyle w:val="af0"/>
                  <w:rFonts w:cs="Arial"/>
                  <w:noProof w:val="0"/>
                  <w:sz w:val="22"/>
                  <w:szCs w:val="22"/>
                  <w:lang w:eastAsia="it-IT"/>
                </w:rPr>
                <w:t>Aolenych03@ukr.net</w:t>
              </w:r>
            </w:hyperlink>
          </w:p>
        </w:tc>
      </w:tr>
      <w:tr w:rsidR="00CB33C7" w:rsidRPr="00C2587D" w14:paraId="59D082F5" w14:textId="77777777" w:rsidTr="00EA6E27">
        <w:trPr>
          <w:jc w:val="right"/>
        </w:trPr>
        <w:tc>
          <w:tcPr>
            <w:tcW w:w="3425" w:type="dxa"/>
            <w:vAlign w:val="center"/>
          </w:tcPr>
          <w:p w14:paraId="583E5044" w14:textId="77777777" w:rsidR="00CB33C7" w:rsidRPr="00225ED7" w:rsidRDefault="00CB33C7" w:rsidP="00225ED7">
            <w:pPr>
              <w:pStyle w:val="6"/>
              <w:spacing w:before="0" w:after="0"/>
              <w:rPr>
                <w:rFonts w:ascii="Arial" w:hAnsi="Arial" w:cs="Arial"/>
                <w:color w:val="000000"/>
                <w:lang w:val="uk-UA"/>
              </w:rPr>
            </w:pPr>
            <w:r w:rsidRPr="00225ED7">
              <w:rPr>
                <w:rFonts w:ascii="Arial" w:hAnsi="Arial" w:cs="Arial"/>
                <w:color w:val="000000"/>
                <w:lang w:val="uk-UA"/>
              </w:rPr>
              <w:t>Номер і назва завдання з Стратегії</w:t>
            </w:r>
            <w:r w:rsidRPr="00225ED7">
              <w:rPr>
                <w:rFonts w:ascii="Arial" w:hAnsi="Arial" w:cs="Arial"/>
                <w:lang w:val="uk-UA" w:eastAsia="it-IT"/>
              </w:rPr>
              <w:t xml:space="preserve"> </w:t>
            </w:r>
            <w:r w:rsidRPr="00225ED7">
              <w:rPr>
                <w:rFonts w:ascii="Arial" w:hAnsi="Arial" w:cs="Arial"/>
                <w:color w:val="000000"/>
                <w:lang w:val="uk-UA"/>
              </w:rPr>
              <w:t xml:space="preserve">розвитку Жмеринської міської </w:t>
            </w:r>
          </w:p>
        </w:tc>
        <w:tc>
          <w:tcPr>
            <w:tcW w:w="6794" w:type="dxa"/>
            <w:gridSpan w:val="9"/>
            <w:vAlign w:val="center"/>
          </w:tcPr>
          <w:p w14:paraId="699A26D4" w14:textId="77777777" w:rsidR="00CB33C7" w:rsidRPr="00225ED7" w:rsidRDefault="00CB33C7" w:rsidP="00225ED7">
            <w:pPr>
              <w:suppressAutoHyphens/>
              <w:jc w:val="both"/>
              <w:rPr>
                <w:rFonts w:eastAsia="Lucida Sans Unicode" w:cs="Arial"/>
                <w:kern w:val="1"/>
                <w:szCs w:val="22"/>
                <w:lang w:eastAsia="ar-SA"/>
              </w:rPr>
            </w:pPr>
            <w:r w:rsidRPr="00225ED7">
              <w:rPr>
                <w:rFonts w:eastAsia="Lucida Sans Unicode" w:cs="Arial"/>
                <w:kern w:val="1"/>
                <w:szCs w:val="22"/>
                <w:lang w:eastAsia="ar-SA"/>
              </w:rPr>
              <w:t>В.1.2.1. Розвиток комфортного вуличного простору шляхом реконструкції площ, парків, пішохідних алей, скверів, набережних, зелених зон. На даних об’єктах передбачити поєднання сучасного архітектурного середовища та ландшафту, вільні зони WI-FI,  встановлення дитячих, спортивних майданчиків з відповідним покриттям, облаштування скейт-парків, будівництво фонтанів, зонування територій відпочинку, з метою врахування потреб різних верств населення.</w:t>
            </w:r>
          </w:p>
        </w:tc>
      </w:tr>
      <w:tr w:rsidR="00CB33C7" w:rsidRPr="00C2587D" w14:paraId="35BBDFB2" w14:textId="77777777" w:rsidTr="00EA6E27">
        <w:trPr>
          <w:jc w:val="right"/>
        </w:trPr>
        <w:tc>
          <w:tcPr>
            <w:tcW w:w="3425" w:type="dxa"/>
            <w:vAlign w:val="center"/>
          </w:tcPr>
          <w:p w14:paraId="2F3CD915" w14:textId="77777777" w:rsidR="00CB33C7" w:rsidRPr="00225ED7" w:rsidRDefault="00CB33C7" w:rsidP="00225ED7">
            <w:pPr>
              <w:rPr>
                <w:rFonts w:cs="Arial"/>
                <w:b/>
                <w:bCs/>
                <w:color w:val="000000"/>
                <w:szCs w:val="22"/>
              </w:rPr>
            </w:pPr>
            <w:r w:rsidRPr="00225ED7">
              <w:rPr>
                <w:rFonts w:cs="Arial"/>
                <w:b/>
                <w:bCs/>
                <w:color w:val="000000"/>
                <w:szCs w:val="22"/>
              </w:rPr>
              <w:t>Мета проєкту:</w:t>
            </w:r>
          </w:p>
        </w:tc>
        <w:tc>
          <w:tcPr>
            <w:tcW w:w="6794" w:type="dxa"/>
            <w:gridSpan w:val="9"/>
          </w:tcPr>
          <w:p w14:paraId="4C60B991" w14:textId="77777777" w:rsidR="00CB33C7" w:rsidRPr="00225ED7" w:rsidRDefault="00CB33C7" w:rsidP="00225ED7">
            <w:pPr>
              <w:jc w:val="both"/>
              <w:rPr>
                <w:rFonts w:cs="Arial"/>
                <w:szCs w:val="22"/>
                <w:lang w:eastAsia="it-IT"/>
              </w:rPr>
            </w:pPr>
            <w:r w:rsidRPr="00225ED7">
              <w:rPr>
                <w:rFonts w:cs="Arial"/>
                <w:szCs w:val="22"/>
                <w:lang w:eastAsia="it-IT"/>
              </w:rPr>
              <w:t>Забезпечення  населення громади м. Жмеринка якісним та комфортним відпочинком у місцях загального користування, створення зон для дозвілля</w:t>
            </w:r>
          </w:p>
        </w:tc>
      </w:tr>
      <w:tr w:rsidR="00CB33C7" w:rsidRPr="00C2587D" w14:paraId="30500733" w14:textId="77777777" w:rsidTr="00EA6E27">
        <w:trPr>
          <w:jc w:val="right"/>
        </w:trPr>
        <w:tc>
          <w:tcPr>
            <w:tcW w:w="3425" w:type="dxa"/>
            <w:vAlign w:val="center"/>
          </w:tcPr>
          <w:p w14:paraId="03817859" w14:textId="77777777" w:rsidR="00CB33C7" w:rsidRPr="00225ED7" w:rsidRDefault="00CB33C7" w:rsidP="00225ED7">
            <w:pPr>
              <w:rPr>
                <w:rFonts w:cs="Arial"/>
                <w:b/>
                <w:bCs/>
                <w:color w:val="000000"/>
                <w:szCs w:val="22"/>
              </w:rPr>
            </w:pPr>
            <w:r w:rsidRPr="00225ED7">
              <w:rPr>
                <w:rFonts w:cs="Arial"/>
                <w:b/>
                <w:bCs/>
                <w:color w:val="000000"/>
                <w:szCs w:val="22"/>
              </w:rPr>
              <w:t>Цілі проєкту:</w:t>
            </w:r>
          </w:p>
        </w:tc>
        <w:tc>
          <w:tcPr>
            <w:tcW w:w="6794" w:type="dxa"/>
            <w:gridSpan w:val="9"/>
          </w:tcPr>
          <w:p w14:paraId="18F2A927" w14:textId="77777777" w:rsidR="00CB33C7" w:rsidRPr="00225ED7" w:rsidRDefault="00CB33C7" w:rsidP="00225ED7">
            <w:pPr>
              <w:rPr>
                <w:rFonts w:cs="Arial"/>
                <w:szCs w:val="22"/>
                <w:lang w:eastAsia="it-IT"/>
              </w:rPr>
            </w:pPr>
            <w:r w:rsidRPr="00225ED7">
              <w:rPr>
                <w:rFonts w:cs="Arial"/>
                <w:szCs w:val="22"/>
                <w:lang w:eastAsia="it-IT"/>
              </w:rPr>
              <w:t>Покращити поркові зони та зони відпочинку загального користування в м. Жмеринка</w:t>
            </w:r>
          </w:p>
        </w:tc>
      </w:tr>
      <w:tr w:rsidR="00CB33C7" w:rsidRPr="00C2587D" w14:paraId="307723DB" w14:textId="77777777" w:rsidTr="00EA6E27">
        <w:trPr>
          <w:jc w:val="right"/>
        </w:trPr>
        <w:tc>
          <w:tcPr>
            <w:tcW w:w="3425" w:type="dxa"/>
            <w:vAlign w:val="center"/>
          </w:tcPr>
          <w:p w14:paraId="0930F4B1" w14:textId="77777777" w:rsidR="00CB33C7" w:rsidRPr="00225ED7" w:rsidRDefault="00CB33C7" w:rsidP="00225ED7">
            <w:pPr>
              <w:autoSpaceDE w:val="0"/>
              <w:autoSpaceDN w:val="0"/>
              <w:adjustRightInd w:val="0"/>
              <w:rPr>
                <w:rFonts w:cs="Arial"/>
                <w:b/>
                <w:color w:val="000000"/>
                <w:szCs w:val="22"/>
              </w:rPr>
            </w:pPr>
            <w:r w:rsidRPr="00225ED7">
              <w:rPr>
                <w:rFonts w:cs="Arial"/>
                <w:b/>
                <w:color w:val="000000"/>
                <w:szCs w:val="22"/>
              </w:rPr>
              <w:t>Територія на яку проєкт матиме вплив:</w:t>
            </w:r>
          </w:p>
        </w:tc>
        <w:tc>
          <w:tcPr>
            <w:tcW w:w="6794" w:type="dxa"/>
            <w:gridSpan w:val="9"/>
          </w:tcPr>
          <w:p w14:paraId="3627D084" w14:textId="3743641D" w:rsidR="00CB33C7" w:rsidRPr="00225ED7" w:rsidRDefault="00CB33C7" w:rsidP="00225ED7">
            <w:pPr>
              <w:rPr>
                <w:rFonts w:cs="Arial"/>
                <w:szCs w:val="22"/>
                <w:lang w:eastAsia="it-IT"/>
              </w:rPr>
            </w:pPr>
            <w:r w:rsidRPr="00225ED7">
              <w:rPr>
                <w:rFonts w:cs="Arial"/>
                <w:szCs w:val="22"/>
                <w:lang w:eastAsia="it-IT"/>
              </w:rPr>
              <w:t xml:space="preserve">Території </w:t>
            </w:r>
            <w:r w:rsidR="00225ED7" w:rsidRPr="00225ED7">
              <w:rPr>
                <w:rFonts w:cs="Arial"/>
                <w:szCs w:val="22"/>
                <w:lang w:eastAsia="it-IT"/>
              </w:rPr>
              <w:t>Жмеринська</w:t>
            </w:r>
            <w:r w:rsidRPr="00225ED7">
              <w:rPr>
                <w:rFonts w:cs="Arial"/>
                <w:szCs w:val="22"/>
                <w:lang w:eastAsia="it-IT"/>
              </w:rPr>
              <w:t xml:space="preserve"> М</w:t>
            </w:r>
            <w:r w:rsidR="00225ED7" w:rsidRPr="00225ED7">
              <w:rPr>
                <w:rFonts w:cs="Arial"/>
                <w:szCs w:val="22"/>
                <w:lang w:eastAsia="it-IT"/>
              </w:rPr>
              <w:t>Т</w:t>
            </w:r>
            <w:r w:rsidRPr="00225ED7">
              <w:rPr>
                <w:rFonts w:cs="Arial"/>
                <w:szCs w:val="22"/>
                <w:lang w:eastAsia="it-IT"/>
              </w:rPr>
              <w:t>Г</w:t>
            </w:r>
          </w:p>
        </w:tc>
      </w:tr>
      <w:tr w:rsidR="00CB33C7" w:rsidRPr="00C2587D" w14:paraId="104686DB" w14:textId="77777777" w:rsidTr="00EA6E27">
        <w:trPr>
          <w:jc w:val="right"/>
        </w:trPr>
        <w:tc>
          <w:tcPr>
            <w:tcW w:w="3425" w:type="dxa"/>
            <w:vAlign w:val="center"/>
          </w:tcPr>
          <w:p w14:paraId="65A76278" w14:textId="77777777" w:rsidR="00CB33C7" w:rsidRPr="00225ED7" w:rsidRDefault="00CB33C7" w:rsidP="00225ED7">
            <w:pPr>
              <w:autoSpaceDE w:val="0"/>
              <w:autoSpaceDN w:val="0"/>
              <w:adjustRightInd w:val="0"/>
              <w:rPr>
                <w:rFonts w:cs="Arial"/>
                <w:b/>
                <w:color w:val="000000"/>
                <w:szCs w:val="22"/>
              </w:rPr>
            </w:pPr>
            <w:r w:rsidRPr="00225ED7">
              <w:rPr>
                <w:rFonts w:cs="Arial"/>
                <w:b/>
                <w:color w:val="000000"/>
                <w:szCs w:val="22"/>
              </w:rPr>
              <w:t>Цільові групи проєкту та кількість отримувачів вигоди</w:t>
            </w:r>
          </w:p>
        </w:tc>
        <w:tc>
          <w:tcPr>
            <w:tcW w:w="6794" w:type="dxa"/>
            <w:gridSpan w:val="9"/>
          </w:tcPr>
          <w:p w14:paraId="61799498" w14:textId="77777777" w:rsidR="00CB33C7" w:rsidRPr="00225ED7" w:rsidRDefault="00CB33C7" w:rsidP="00225ED7">
            <w:pPr>
              <w:rPr>
                <w:rFonts w:cs="Arial"/>
                <w:szCs w:val="22"/>
                <w:lang w:eastAsia="it-IT"/>
              </w:rPr>
            </w:pPr>
            <w:r w:rsidRPr="00225ED7">
              <w:rPr>
                <w:rFonts w:cs="Arial"/>
                <w:szCs w:val="22"/>
                <w:lang w:eastAsia="it-IT"/>
              </w:rPr>
              <w:t>Жителі м. Жмеринка в кількості 34353 містян</w:t>
            </w:r>
          </w:p>
        </w:tc>
      </w:tr>
      <w:tr w:rsidR="00CB33C7" w:rsidRPr="00C2587D" w14:paraId="7B31445C" w14:textId="77777777" w:rsidTr="00EA6E27">
        <w:trPr>
          <w:jc w:val="right"/>
        </w:trPr>
        <w:tc>
          <w:tcPr>
            <w:tcW w:w="3425" w:type="dxa"/>
            <w:shd w:val="clear" w:color="auto" w:fill="FFFFFF"/>
            <w:vAlign w:val="center"/>
          </w:tcPr>
          <w:p w14:paraId="7CB027CB" w14:textId="77777777" w:rsidR="00CB33C7" w:rsidRPr="00225ED7" w:rsidRDefault="00CB33C7" w:rsidP="00225ED7">
            <w:pPr>
              <w:rPr>
                <w:rFonts w:cs="Arial"/>
                <w:b/>
                <w:bCs/>
                <w:color w:val="000000"/>
                <w:szCs w:val="22"/>
              </w:rPr>
            </w:pPr>
            <w:r w:rsidRPr="00225ED7">
              <w:rPr>
                <w:rFonts w:cs="Arial"/>
                <w:b/>
                <w:bCs/>
                <w:color w:val="000000"/>
                <w:szCs w:val="22"/>
              </w:rPr>
              <w:t>Стислий опис проєкту:</w:t>
            </w:r>
          </w:p>
        </w:tc>
        <w:tc>
          <w:tcPr>
            <w:tcW w:w="6794" w:type="dxa"/>
            <w:gridSpan w:val="9"/>
          </w:tcPr>
          <w:p w14:paraId="0CF38558" w14:textId="77777777" w:rsidR="00CB33C7" w:rsidRPr="00225ED7" w:rsidRDefault="00CB33C7" w:rsidP="00225ED7">
            <w:pPr>
              <w:jc w:val="both"/>
              <w:rPr>
                <w:rFonts w:cs="Arial"/>
                <w:szCs w:val="22"/>
                <w:lang w:eastAsia="it-IT"/>
              </w:rPr>
            </w:pPr>
            <w:r w:rsidRPr="00225ED7">
              <w:rPr>
                <w:rFonts w:cs="Arial"/>
                <w:szCs w:val="22"/>
                <w:lang w:eastAsia="it-IT"/>
              </w:rPr>
              <w:t>Площа по вул. Б. Хмельницького знаходиться в центрі міста. На даний час  площа не відповідає сучасним планувальним, естетичним вимогам, відсутній ландшафтний дизайн, знаходиться в занедбаному стані, досконале покриття площі відсутнє, освітлення площі застаріле та не відповідає сучасним вимогам та нормам ДБН.</w:t>
            </w:r>
          </w:p>
          <w:p w14:paraId="754F3856" w14:textId="1D1F49A1" w:rsidR="00CB33C7" w:rsidRPr="00225ED7" w:rsidRDefault="00CB33C7" w:rsidP="00225ED7">
            <w:pPr>
              <w:rPr>
                <w:rFonts w:cs="Arial"/>
                <w:szCs w:val="22"/>
                <w:lang w:eastAsia="it-IT"/>
              </w:rPr>
            </w:pPr>
            <w:r w:rsidRPr="00225ED7">
              <w:rPr>
                <w:rFonts w:cs="Arial"/>
                <w:szCs w:val="22"/>
                <w:lang w:eastAsia="it-IT"/>
              </w:rPr>
              <w:t xml:space="preserve">Згідно </w:t>
            </w:r>
            <w:r w:rsidR="00314B9D">
              <w:rPr>
                <w:rFonts w:cs="Arial"/>
                <w:szCs w:val="22"/>
                <w:lang w:eastAsia="it-IT"/>
              </w:rPr>
              <w:t>проєкту</w:t>
            </w:r>
            <w:r w:rsidRPr="00225ED7">
              <w:rPr>
                <w:rFonts w:cs="Arial"/>
                <w:szCs w:val="22"/>
                <w:lang w:eastAsia="it-IT"/>
              </w:rPr>
              <w:t xml:space="preserve"> заплановано, встановити лавки, улаштовати ландшафтний дизайн.</w:t>
            </w:r>
          </w:p>
        </w:tc>
      </w:tr>
      <w:tr w:rsidR="00CB33C7" w:rsidRPr="00C2587D" w14:paraId="527A9344" w14:textId="77777777" w:rsidTr="00EA6E27">
        <w:trPr>
          <w:jc w:val="right"/>
        </w:trPr>
        <w:tc>
          <w:tcPr>
            <w:tcW w:w="3425" w:type="dxa"/>
            <w:shd w:val="clear" w:color="auto" w:fill="FFFFFF"/>
            <w:vAlign w:val="center"/>
          </w:tcPr>
          <w:p w14:paraId="2C1866D9" w14:textId="77777777" w:rsidR="00CB33C7" w:rsidRPr="00225ED7" w:rsidRDefault="00CB33C7" w:rsidP="00225ED7">
            <w:pPr>
              <w:rPr>
                <w:rFonts w:cs="Arial"/>
                <w:b/>
                <w:bCs/>
                <w:color w:val="000000"/>
                <w:szCs w:val="22"/>
              </w:rPr>
            </w:pPr>
            <w:r w:rsidRPr="00225ED7">
              <w:rPr>
                <w:rFonts w:cs="Arial"/>
                <w:b/>
                <w:bCs/>
                <w:color w:val="000000"/>
                <w:szCs w:val="22"/>
              </w:rPr>
              <w:t>Основні заходи проєкту:</w:t>
            </w:r>
          </w:p>
        </w:tc>
        <w:tc>
          <w:tcPr>
            <w:tcW w:w="6794" w:type="dxa"/>
            <w:gridSpan w:val="9"/>
          </w:tcPr>
          <w:p w14:paraId="3F2E5C30" w14:textId="4B84DAB2" w:rsidR="00CB33C7" w:rsidRPr="00225ED7" w:rsidRDefault="00CB33C7" w:rsidP="00225ED7">
            <w:pPr>
              <w:jc w:val="both"/>
              <w:rPr>
                <w:rFonts w:cs="Arial"/>
                <w:szCs w:val="22"/>
                <w:lang w:eastAsia="it-IT"/>
              </w:rPr>
            </w:pPr>
            <w:r w:rsidRPr="00225ED7">
              <w:rPr>
                <w:rFonts w:cs="Arial"/>
                <w:szCs w:val="22"/>
                <w:lang w:eastAsia="it-IT"/>
              </w:rPr>
              <w:t>Створення робочо</w:t>
            </w:r>
            <w:r w:rsidR="00FD0B1E">
              <w:rPr>
                <w:rFonts w:cs="Arial"/>
                <w:szCs w:val="22"/>
                <w:lang w:eastAsia="it-IT"/>
              </w:rPr>
              <w:t>ї групи з питань реалізації проє</w:t>
            </w:r>
            <w:r w:rsidRPr="00225ED7">
              <w:rPr>
                <w:rFonts w:cs="Arial"/>
                <w:szCs w:val="22"/>
                <w:lang w:eastAsia="it-IT"/>
              </w:rPr>
              <w:t xml:space="preserve">кту. </w:t>
            </w:r>
          </w:p>
          <w:p w14:paraId="7093709B" w14:textId="77777777" w:rsidR="00CB33C7" w:rsidRPr="00225ED7" w:rsidRDefault="00CB33C7" w:rsidP="00225ED7">
            <w:pPr>
              <w:jc w:val="both"/>
              <w:rPr>
                <w:rFonts w:cs="Arial"/>
                <w:szCs w:val="22"/>
                <w:lang w:eastAsia="it-IT"/>
              </w:rPr>
            </w:pPr>
            <w:r w:rsidRPr="00225ED7">
              <w:rPr>
                <w:rFonts w:cs="Arial"/>
                <w:szCs w:val="22"/>
                <w:lang w:eastAsia="it-IT"/>
              </w:rPr>
              <w:t>Проведення процедури закупівель (визначення виконавця робіт).</w:t>
            </w:r>
          </w:p>
          <w:p w14:paraId="6353DBF9" w14:textId="77777777" w:rsidR="00CB33C7" w:rsidRPr="00225ED7" w:rsidRDefault="00CB33C7" w:rsidP="00225ED7">
            <w:pPr>
              <w:jc w:val="both"/>
              <w:rPr>
                <w:rFonts w:cs="Arial"/>
                <w:szCs w:val="22"/>
                <w:lang w:eastAsia="it-IT"/>
              </w:rPr>
            </w:pPr>
            <w:r w:rsidRPr="00225ED7">
              <w:rPr>
                <w:rFonts w:cs="Arial"/>
                <w:szCs w:val="22"/>
                <w:lang w:eastAsia="it-IT"/>
              </w:rPr>
              <w:t>Укладення договорів з виконавцем робіт, організаціями, що здійснюватимуть  технічний та авторський  нагляд .</w:t>
            </w:r>
          </w:p>
          <w:p w14:paraId="232ACE6E" w14:textId="77777777" w:rsidR="00CB33C7" w:rsidRPr="00225ED7" w:rsidRDefault="00CB33C7" w:rsidP="00225ED7">
            <w:pPr>
              <w:jc w:val="both"/>
              <w:rPr>
                <w:rFonts w:cs="Arial"/>
                <w:szCs w:val="22"/>
                <w:lang w:eastAsia="it-IT"/>
              </w:rPr>
            </w:pPr>
            <w:r w:rsidRPr="00225ED7">
              <w:rPr>
                <w:rFonts w:cs="Arial"/>
                <w:szCs w:val="22"/>
                <w:lang w:eastAsia="it-IT"/>
              </w:rPr>
              <w:t xml:space="preserve">Виконання робіт з </w:t>
            </w:r>
            <w:r w:rsidRPr="00225ED7">
              <w:rPr>
                <w:rFonts w:eastAsia="Arial" w:cs="Arial"/>
                <w:szCs w:val="22"/>
                <w:lang w:eastAsia="en-US"/>
              </w:rPr>
              <w:t>реконструкції площі по вул. Б. Хмельницького в м. Жмеринка Вінницької області</w:t>
            </w:r>
          </w:p>
          <w:p w14:paraId="3C3E05D0" w14:textId="77777777" w:rsidR="00CB33C7" w:rsidRPr="00225ED7" w:rsidRDefault="00CB33C7" w:rsidP="00225ED7">
            <w:pPr>
              <w:jc w:val="both"/>
              <w:rPr>
                <w:rFonts w:cs="Arial"/>
                <w:szCs w:val="22"/>
                <w:lang w:eastAsia="it-IT"/>
              </w:rPr>
            </w:pPr>
            <w:r w:rsidRPr="00225ED7">
              <w:rPr>
                <w:rFonts w:cs="Arial"/>
                <w:szCs w:val="22"/>
                <w:lang w:eastAsia="it-IT"/>
              </w:rPr>
              <w:t>Введення  об’єкту в експлуатацію .</w:t>
            </w:r>
          </w:p>
          <w:p w14:paraId="3271CAB7" w14:textId="5BFA4609" w:rsidR="00CB33C7" w:rsidRPr="00225ED7" w:rsidRDefault="00CB33C7" w:rsidP="00225ED7">
            <w:pPr>
              <w:rPr>
                <w:rFonts w:cs="Arial"/>
                <w:szCs w:val="22"/>
                <w:lang w:eastAsia="it-IT"/>
              </w:rPr>
            </w:pPr>
            <w:r w:rsidRPr="00225ED7">
              <w:rPr>
                <w:rFonts w:cs="Arial"/>
                <w:szCs w:val="22"/>
                <w:lang w:eastAsia="it-IT"/>
              </w:rPr>
              <w:t xml:space="preserve">Проведення інформаційних заходів (розміщення  </w:t>
            </w:r>
            <w:r w:rsidR="00FD0B1E">
              <w:rPr>
                <w:rFonts w:cs="Arial"/>
                <w:szCs w:val="22"/>
                <w:lang w:eastAsia="it-IT"/>
              </w:rPr>
              <w:t>інформації  про реалізацію  проє</w:t>
            </w:r>
            <w:r w:rsidRPr="00225ED7">
              <w:rPr>
                <w:rFonts w:cs="Arial"/>
                <w:szCs w:val="22"/>
                <w:lang w:eastAsia="it-IT"/>
              </w:rPr>
              <w:t>кту у ЗМІ) .</w:t>
            </w:r>
          </w:p>
        </w:tc>
      </w:tr>
      <w:tr w:rsidR="00CB33C7" w:rsidRPr="00C2587D" w14:paraId="3AE48C3A" w14:textId="77777777" w:rsidTr="00EA6E27">
        <w:trPr>
          <w:jc w:val="right"/>
        </w:trPr>
        <w:tc>
          <w:tcPr>
            <w:tcW w:w="3425" w:type="dxa"/>
            <w:shd w:val="clear" w:color="auto" w:fill="FFFFFF"/>
            <w:vAlign w:val="center"/>
          </w:tcPr>
          <w:p w14:paraId="437067CD" w14:textId="77777777" w:rsidR="00CB33C7" w:rsidRPr="00225ED7" w:rsidRDefault="00CB33C7" w:rsidP="00225ED7">
            <w:pPr>
              <w:rPr>
                <w:rFonts w:cs="Arial"/>
                <w:b/>
                <w:bCs/>
                <w:color w:val="000000"/>
                <w:szCs w:val="22"/>
              </w:rPr>
            </w:pPr>
            <w:r w:rsidRPr="00225ED7">
              <w:rPr>
                <w:rFonts w:cs="Arial"/>
                <w:b/>
                <w:bCs/>
                <w:color w:val="000000"/>
                <w:szCs w:val="22"/>
              </w:rPr>
              <w:t>Індикатори (показники) результативності:</w:t>
            </w:r>
          </w:p>
        </w:tc>
        <w:tc>
          <w:tcPr>
            <w:tcW w:w="6794" w:type="dxa"/>
            <w:gridSpan w:val="9"/>
          </w:tcPr>
          <w:p w14:paraId="4A4B03FB" w14:textId="7F388BF2" w:rsidR="00CB33C7" w:rsidRPr="00225ED7" w:rsidRDefault="00CB33C7" w:rsidP="00225ED7">
            <w:pPr>
              <w:rPr>
                <w:rFonts w:cs="Arial"/>
                <w:szCs w:val="22"/>
                <w:lang w:eastAsia="it-IT"/>
              </w:rPr>
            </w:pPr>
            <w:r w:rsidRPr="00225ED7">
              <w:rPr>
                <w:rFonts w:eastAsia="Arial" w:cs="Arial"/>
                <w:szCs w:val="22"/>
                <w:lang w:eastAsia="en-US"/>
              </w:rPr>
              <w:t>Влаштування: плитка 2046,1 м</w:t>
            </w:r>
            <w:r w:rsidRPr="00225ED7">
              <w:rPr>
                <w:rFonts w:eastAsia="Arial" w:cs="Arial"/>
                <w:szCs w:val="22"/>
                <w:vertAlign w:val="superscript"/>
                <w:lang w:eastAsia="en-US"/>
              </w:rPr>
              <w:t>2</w:t>
            </w:r>
            <w:r w:rsidRPr="00225ED7">
              <w:rPr>
                <w:rFonts w:eastAsia="Arial" w:cs="Arial"/>
                <w:szCs w:val="22"/>
                <w:lang w:eastAsia="en-US"/>
              </w:rPr>
              <w:t xml:space="preserve"> бордюр: 116,7 м</w:t>
            </w:r>
            <w:r w:rsidRPr="00225ED7">
              <w:rPr>
                <w:rFonts w:eastAsia="Arial" w:cs="Arial"/>
                <w:szCs w:val="22"/>
                <w:vertAlign w:val="superscript"/>
                <w:lang w:eastAsia="en-US"/>
              </w:rPr>
              <w:t>2</w:t>
            </w:r>
            <w:r w:rsidRPr="00225ED7">
              <w:rPr>
                <w:rFonts w:eastAsia="Arial" w:cs="Arial"/>
                <w:szCs w:val="22"/>
                <w:lang w:eastAsia="en-US"/>
              </w:rPr>
              <w:t xml:space="preserve"> гранітне покриття: 12,7 м</w:t>
            </w:r>
            <w:r w:rsidRPr="00225ED7">
              <w:rPr>
                <w:rFonts w:eastAsia="Arial" w:cs="Arial"/>
                <w:szCs w:val="22"/>
                <w:vertAlign w:val="superscript"/>
                <w:lang w:eastAsia="en-US"/>
              </w:rPr>
              <w:t>2</w:t>
            </w:r>
            <w:r w:rsidR="00225ED7">
              <w:rPr>
                <w:rFonts w:eastAsia="Arial" w:cs="Arial"/>
                <w:szCs w:val="22"/>
                <w:lang w:eastAsia="en-US"/>
              </w:rPr>
              <w:t xml:space="preserve"> поребрик; 234,4 п</w:t>
            </w:r>
            <w:r w:rsidRPr="00225ED7">
              <w:rPr>
                <w:rFonts w:eastAsia="Arial" w:cs="Arial"/>
                <w:szCs w:val="22"/>
                <w:lang w:eastAsia="en-US"/>
              </w:rPr>
              <w:t>.м. лава; 10 шт. газон: 200,5 м</w:t>
            </w:r>
            <w:r w:rsidRPr="00225ED7">
              <w:rPr>
                <w:rFonts w:eastAsia="Arial" w:cs="Arial"/>
                <w:szCs w:val="22"/>
                <w:vertAlign w:val="superscript"/>
                <w:lang w:eastAsia="en-US"/>
              </w:rPr>
              <w:t>2</w:t>
            </w:r>
            <w:r w:rsidRPr="00225ED7">
              <w:rPr>
                <w:rFonts w:eastAsia="Arial" w:cs="Arial"/>
                <w:szCs w:val="22"/>
                <w:lang w:eastAsia="en-US"/>
              </w:rPr>
              <w:t xml:space="preserve"> урна: 7 шт. ваза: 10 шт.</w:t>
            </w:r>
          </w:p>
        </w:tc>
      </w:tr>
      <w:tr w:rsidR="00CB33C7" w:rsidRPr="00C2587D" w14:paraId="13632CEE" w14:textId="77777777" w:rsidTr="00EA6E27">
        <w:trPr>
          <w:jc w:val="right"/>
        </w:trPr>
        <w:tc>
          <w:tcPr>
            <w:tcW w:w="3425" w:type="dxa"/>
            <w:shd w:val="clear" w:color="auto" w:fill="FFFFFF"/>
            <w:vAlign w:val="center"/>
          </w:tcPr>
          <w:p w14:paraId="6CE450F4" w14:textId="77777777" w:rsidR="00CB33C7" w:rsidRPr="00225ED7" w:rsidRDefault="00CB33C7" w:rsidP="00225ED7">
            <w:pPr>
              <w:rPr>
                <w:rFonts w:cs="Arial"/>
                <w:b/>
                <w:color w:val="000000"/>
                <w:szCs w:val="22"/>
              </w:rPr>
            </w:pPr>
            <w:r w:rsidRPr="00225ED7">
              <w:rPr>
                <w:rFonts w:cs="Arial"/>
                <w:b/>
                <w:color w:val="000000"/>
                <w:szCs w:val="22"/>
              </w:rPr>
              <w:t xml:space="preserve">Період здійснення: </w:t>
            </w:r>
          </w:p>
        </w:tc>
        <w:tc>
          <w:tcPr>
            <w:tcW w:w="6794" w:type="dxa"/>
            <w:gridSpan w:val="9"/>
            <w:vAlign w:val="center"/>
          </w:tcPr>
          <w:p w14:paraId="0E029036" w14:textId="77777777" w:rsidR="00CB33C7" w:rsidRPr="00225ED7" w:rsidRDefault="00CB33C7" w:rsidP="00225ED7">
            <w:pPr>
              <w:rPr>
                <w:rFonts w:cs="Arial"/>
                <w:color w:val="000000"/>
                <w:szCs w:val="22"/>
                <w:lang w:eastAsia="it-IT"/>
              </w:rPr>
            </w:pPr>
            <w:r w:rsidRPr="00225ED7">
              <w:rPr>
                <w:rFonts w:cs="Arial"/>
                <w:b/>
                <w:color w:val="000000"/>
                <w:szCs w:val="22"/>
              </w:rPr>
              <w:t>2025 – 2028 роки:</w:t>
            </w:r>
          </w:p>
        </w:tc>
      </w:tr>
      <w:tr w:rsidR="00CB33C7" w:rsidRPr="00C2587D" w14:paraId="3999327B" w14:textId="77777777" w:rsidTr="00EA6E27">
        <w:trPr>
          <w:jc w:val="right"/>
        </w:trPr>
        <w:tc>
          <w:tcPr>
            <w:tcW w:w="3425" w:type="dxa"/>
            <w:vMerge w:val="restart"/>
            <w:shd w:val="clear" w:color="auto" w:fill="FFFFFF"/>
            <w:vAlign w:val="center"/>
          </w:tcPr>
          <w:p w14:paraId="5EBF5A9C" w14:textId="77777777" w:rsidR="00CB33C7" w:rsidRPr="00225ED7" w:rsidRDefault="00CB33C7" w:rsidP="00225ED7">
            <w:pPr>
              <w:rPr>
                <w:rFonts w:cs="Arial"/>
                <w:b/>
                <w:bCs/>
                <w:color w:val="000000"/>
                <w:szCs w:val="22"/>
              </w:rPr>
            </w:pPr>
            <w:r w:rsidRPr="00225ED7">
              <w:rPr>
                <w:rFonts w:cs="Arial"/>
                <w:b/>
                <w:bCs/>
                <w:color w:val="000000"/>
                <w:szCs w:val="22"/>
              </w:rPr>
              <w:t>Орієнтовна вартість проєкту, тис. грн., в тому числі:</w:t>
            </w:r>
          </w:p>
        </w:tc>
        <w:tc>
          <w:tcPr>
            <w:tcW w:w="1254" w:type="dxa"/>
            <w:shd w:val="clear" w:color="auto" w:fill="E6E6E6"/>
            <w:vAlign w:val="center"/>
          </w:tcPr>
          <w:p w14:paraId="6E03FCB1" w14:textId="77777777" w:rsidR="00CB33C7" w:rsidRPr="00225ED7" w:rsidRDefault="00CB33C7" w:rsidP="00225ED7">
            <w:pPr>
              <w:jc w:val="center"/>
              <w:rPr>
                <w:rFonts w:cs="Arial"/>
                <w:b/>
                <w:color w:val="000000"/>
                <w:szCs w:val="22"/>
                <w:lang w:eastAsia="it-IT"/>
              </w:rPr>
            </w:pPr>
            <w:r w:rsidRPr="00225ED7">
              <w:rPr>
                <w:rFonts w:cs="Arial"/>
                <w:b/>
                <w:color w:val="000000"/>
                <w:szCs w:val="22"/>
                <w:lang w:eastAsia="it-IT"/>
              </w:rPr>
              <w:t>2025</w:t>
            </w:r>
          </w:p>
        </w:tc>
        <w:tc>
          <w:tcPr>
            <w:tcW w:w="1412" w:type="dxa"/>
            <w:gridSpan w:val="3"/>
            <w:shd w:val="clear" w:color="auto" w:fill="E6E6E6"/>
            <w:vAlign w:val="center"/>
          </w:tcPr>
          <w:p w14:paraId="2A021354" w14:textId="77777777" w:rsidR="00CB33C7" w:rsidRPr="00225ED7" w:rsidRDefault="00CB33C7" w:rsidP="00225ED7">
            <w:pPr>
              <w:jc w:val="center"/>
              <w:rPr>
                <w:rFonts w:cs="Arial"/>
                <w:b/>
                <w:color w:val="000000"/>
                <w:szCs w:val="22"/>
                <w:lang w:eastAsia="it-IT"/>
              </w:rPr>
            </w:pPr>
            <w:r w:rsidRPr="00225ED7">
              <w:rPr>
                <w:rFonts w:cs="Arial"/>
                <w:b/>
                <w:color w:val="000000"/>
                <w:szCs w:val="22"/>
                <w:lang w:eastAsia="it-IT"/>
              </w:rPr>
              <w:t>2026</w:t>
            </w:r>
          </w:p>
        </w:tc>
        <w:tc>
          <w:tcPr>
            <w:tcW w:w="1281" w:type="dxa"/>
            <w:gridSpan w:val="2"/>
            <w:tcBorders>
              <w:bottom w:val="single" w:sz="4" w:space="0" w:color="auto"/>
            </w:tcBorders>
            <w:shd w:val="clear" w:color="auto" w:fill="E6E6E6"/>
            <w:vAlign w:val="center"/>
          </w:tcPr>
          <w:p w14:paraId="2CAC4F44" w14:textId="77777777" w:rsidR="00CB33C7" w:rsidRPr="00225ED7" w:rsidRDefault="00CB33C7" w:rsidP="00225ED7">
            <w:pPr>
              <w:jc w:val="center"/>
              <w:rPr>
                <w:rFonts w:cs="Arial"/>
                <w:b/>
                <w:color w:val="000000"/>
                <w:szCs w:val="22"/>
                <w:lang w:eastAsia="it-IT"/>
              </w:rPr>
            </w:pPr>
            <w:r w:rsidRPr="00225ED7">
              <w:rPr>
                <w:rFonts w:cs="Arial"/>
                <w:b/>
                <w:color w:val="000000"/>
                <w:szCs w:val="22"/>
                <w:lang w:eastAsia="it-IT"/>
              </w:rPr>
              <w:t>2027</w:t>
            </w:r>
          </w:p>
        </w:tc>
        <w:tc>
          <w:tcPr>
            <w:tcW w:w="1276" w:type="dxa"/>
            <w:shd w:val="clear" w:color="auto" w:fill="E6E6E6"/>
            <w:vAlign w:val="center"/>
          </w:tcPr>
          <w:p w14:paraId="69699DB2" w14:textId="77777777" w:rsidR="00CB33C7" w:rsidRPr="00225ED7" w:rsidRDefault="00CB33C7" w:rsidP="00225ED7">
            <w:pPr>
              <w:jc w:val="center"/>
              <w:rPr>
                <w:rFonts w:cs="Arial"/>
                <w:b/>
                <w:color w:val="000000"/>
                <w:szCs w:val="22"/>
                <w:lang w:eastAsia="it-IT"/>
              </w:rPr>
            </w:pPr>
            <w:r w:rsidRPr="00225ED7">
              <w:rPr>
                <w:rFonts w:cs="Arial"/>
                <w:b/>
                <w:color w:val="000000"/>
                <w:szCs w:val="22"/>
                <w:lang w:eastAsia="it-IT"/>
              </w:rPr>
              <w:t>2028</w:t>
            </w:r>
          </w:p>
        </w:tc>
        <w:tc>
          <w:tcPr>
            <w:tcW w:w="1571" w:type="dxa"/>
            <w:gridSpan w:val="2"/>
            <w:shd w:val="clear" w:color="auto" w:fill="E6E6E6"/>
            <w:vAlign w:val="center"/>
          </w:tcPr>
          <w:p w14:paraId="13D3A622" w14:textId="77777777" w:rsidR="00CB33C7" w:rsidRPr="00225ED7" w:rsidRDefault="00CB33C7" w:rsidP="00225ED7">
            <w:pPr>
              <w:jc w:val="center"/>
              <w:rPr>
                <w:rFonts w:cs="Arial"/>
                <w:b/>
                <w:color w:val="000000"/>
                <w:szCs w:val="22"/>
                <w:lang w:eastAsia="it-IT"/>
              </w:rPr>
            </w:pPr>
            <w:r w:rsidRPr="00225ED7">
              <w:rPr>
                <w:rFonts w:cs="Arial"/>
                <w:b/>
                <w:color w:val="000000"/>
                <w:szCs w:val="22"/>
                <w:lang w:eastAsia="it-IT"/>
              </w:rPr>
              <w:t>РАЗОМ</w:t>
            </w:r>
          </w:p>
        </w:tc>
      </w:tr>
      <w:tr w:rsidR="00CB33C7" w:rsidRPr="00C2587D" w14:paraId="279CF380" w14:textId="77777777" w:rsidTr="00EA6E27">
        <w:trPr>
          <w:jc w:val="right"/>
        </w:trPr>
        <w:tc>
          <w:tcPr>
            <w:tcW w:w="3425" w:type="dxa"/>
            <w:vMerge/>
            <w:shd w:val="clear" w:color="auto" w:fill="FFFFFF"/>
            <w:vAlign w:val="center"/>
          </w:tcPr>
          <w:p w14:paraId="45326124" w14:textId="77777777" w:rsidR="00CB33C7" w:rsidRPr="00225ED7" w:rsidRDefault="00CB33C7" w:rsidP="00225ED7">
            <w:pPr>
              <w:rPr>
                <w:rFonts w:cs="Arial"/>
                <w:b/>
                <w:bCs/>
                <w:color w:val="000000"/>
                <w:szCs w:val="22"/>
              </w:rPr>
            </w:pPr>
          </w:p>
        </w:tc>
        <w:tc>
          <w:tcPr>
            <w:tcW w:w="1254" w:type="dxa"/>
            <w:vAlign w:val="center"/>
          </w:tcPr>
          <w:p w14:paraId="38C56E5B" w14:textId="77777777" w:rsidR="00CB33C7" w:rsidRPr="00225ED7" w:rsidRDefault="00CB33C7" w:rsidP="00225ED7">
            <w:pPr>
              <w:jc w:val="center"/>
              <w:rPr>
                <w:rFonts w:cs="Arial"/>
                <w:b/>
                <w:color w:val="000000"/>
                <w:szCs w:val="22"/>
                <w:lang w:eastAsia="it-IT"/>
              </w:rPr>
            </w:pPr>
          </w:p>
        </w:tc>
        <w:tc>
          <w:tcPr>
            <w:tcW w:w="1412" w:type="dxa"/>
            <w:gridSpan w:val="3"/>
            <w:shd w:val="clear" w:color="auto" w:fill="FFFFFF"/>
            <w:vAlign w:val="center"/>
          </w:tcPr>
          <w:p w14:paraId="09276F74" w14:textId="77777777" w:rsidR="00CB33C7" w:rsidRPr="00225ED7" w:rsidRDefault="00CB33C7" w:rsidP="00225ED7">
            <w:pPr>
              <w:jc w:val="center"/>
              <w:rPr>
                <w:rFonts w:cs="Arial"/>
                <w:color w:val="000000"/>
                <w:szCs w:val="22"/>
                <w:lang w:eastAsia="it-IT"/>
              </w:rPr>
            </w:pPr>
            <w:r w:rsidRPr="00225ED7">
              <w:rPr>
                <w:rFonts w:cs="Arial"/>
                <w:color w:val="000000"/>
                <w:szCs w:val="22"/>
                <w:lang w:eastAsia="it-IT"/>
              </w:rPr>
              <w:t>3131,474</w:t>
            </w:r>
          </w:p>
        </w:tc>
        <w:tc>
          <w:tcPr>
            <w:tcW w:w="1281" w:type="dxa"/>
            <w:gridSpan w:val="2"/>
            <w:shd w:val="clear" w:color="auto" w:fill="auto"/>
            <w:vAlign w:val="center"/>
          </w:tcPr>
          <w:p w14:paraId="48EB792D" w14:textId="77777777" w:rsidR="00CB33C7" w:rsidRPr="00225ED7" w:rsidRDefault="00CB33C7" w:rsidP="00225ED7">
            <w:pPr>
              <w:jc w:val="center"/>
              <w:rPr>
                <w:rFonts w:cs="Arial"/>
                <w:b/>
                <w:color w:val="000000"/>
                <w:szCs w:val="22"/>
                <w:lang w:eastAsia="it-IT"/>
              </w:rPr>
            </w:pPr>
          </w:p>
        </w:tc>
        <w:tc>
          <w:tcPr>
            <w:tcW w:w="1276" w:type="dxa"/>
            <w:shd w:val="clear" w:color="auto" w:fill="FFFFFF"/>
            <w:vAlign w:val="center"/>
          </w:tcPr>
          <w:p w14:paraId="0C948A7E" w14:textId="77777777" w:rsidR="00CB33C7" w:rsidRPr="00225ED7" w:rsidRDefault="00CB33C7" w:rsidP="00225ED7">
            <w:pPr>
              <w:jc w:val="center"/>
              <w:rPr>
                <w:rFonts w:cs="Arial"/>
                <w:b/>
                <w:color w:val="000000"/>
                <w:szCs w:val="22"/>
                <w:lang w:eastAsia="it-IT"/>
              </w:rPr>
            </w:pPr>
          </w:p>
        </w:tc>
        <w:tc>
          <w:tcPr>
            <w:tcW w:w="1571" w:type="dxa"/>
            <w:gridSpan w:val="2"/>
            <w:shd w:val="clear" w:color="auto" w:fill="FFFFFF"/>
            <w:vAlign w:val="center"/>
          </w:tcPr>
          <w:p w14:paraId="3991C0C4" w14:textId="77777777" w:rsidR="00CB33C7" w:rsidRPr="00225ED7" w:rsidRDefault="00CB33C7" w:rsidP="00225ED7">
            <w:pPr>
              <w:jc w:val="center"/>
              <w:rPr>
                <w:rFonts w:cs="Arial"/>
                <w:b/>
                <w:color w:val="000000"/>
                <w:szCs w:val="22"/>
                <w:lang w:eastAsia="it-IT"/>
              </w:rPr>
            </w:pPr>
            <w:r w:rsidRPr="00225ED7">
              <w:rPr>
                <w:rFonts w:cs="Arial"/>
                <w:b/>
                <w:color w:val="000000"/>
                <w:szCs w:val="22"/>
                <w:lang w:eastAsia="it-IT"/>
              </w:rPr>
              <w:t>3131,474</w:t>
            </w:r>
          </w:p>
        </w:tc>
      </w:tr>
      <w:tr w:rsidR="00CB33C7" w:rsidRPr="00C2587D" w14:paraId="12D081D0" w14:textId="77777777" w:rsidTr="00EA6E27">
        <w:trPr>
          <w:trHeight w:val="276"/>
          <w:jc w:val="right"/>
        </w:trPr>
        <w:tc>
          <w:tcPr>
            <w:tcW w:w="3425" w:type="dxa"/>
            <w:shd w:val="clear" w:color="auto" w:fill="FFFFFF"/>
            <w:vAlign w:val="center"/>
          </w:tcPr>
          <w:p w14:paraId="4B36363D" w14:textId="77777777" w:rsidR="00CB33C7" w:rsidRPr="00225ED7" w:rsidRDefault="00CB33C7" w:rsidP="00225ED7">
            <w:pPr>
              <w:rPr>
                <w:rFonts w:cs="Arial"/>
                <w:b/>
                <w:bCs/>
                <w:color w:val="000000"/>
                <w:szCs w:val="22"/>
              </w:rPr>
            </w:pPr>
            <w:r w:rsidRPr="00225ED7">
              <w:rPr>
                <w:rFonts w:cs="Arial"/>
                <w:b/>
                <w:bCs/>
                <w:color w:val="000000"/>
                <w:szCs w:val="22"/>
              </w:rPr>
              <w:t>по джерелах фінансування:</w:t>
            </w:r>
          </w:p>
        </w:tc>
        <w:tc>
          <w:tcPr>
            <w:tcW w:w="6794" w:type="dxa"/>
            <w:gridSpan w:val="9"/>
            <w:vAlign w:val="center"/>
          </w:tcPr>
          <w:p w14:paraId="79CB9999" w14:textId="77777777" w:rsidR="00CB33C7" w:rsidRPr="00225ED7" w:rsidRDefault="00CB33C7" w:rsidP="00225ED7">
            <w:pPr>
              <w:jc w:val="both"/>
              <w:rPr>
                <w:rFonts w:cs="Arial"/>
                <w:color w:val="000000"/>
                <w:szCs w:val="22"/>
                <w:lang w:eastAsia="it-IT"/>
              </w:rPr>
            </w:pPr>
          </w:p>
        </w:tc>
      </w:tr>
      <w:tr w:rsidR="00511BFC" w:rsidRPr="00C2587D" w14:paraId="03C492AD" w14:textId="752E4752" w:rsidTr="00511BFC">
        <w:trPr>
          <w:trHeight w:val="240"/>
          <w:jc w:val="right"/>
        </w:trPr>
        <w:tc>
          <w:tcPr>
            <w:tcW w:w="3425" w:type="dxa"/>
            <w:shd w:val="clear" w:color="auto" w:fill="FFFFFF"/>
            <w:vAlign w:val="center"/>
          </w:tcPr>
          <w:p w14:paraId="6410CC85" w14:textId="77777777" w:rsidR="00511BFC" w:rsidRPr="00225ED7" w:rsidRDefault="00511BFC" w:rsidP="00225ED7">
            <w:pPr>
              <w:rPr>
                <w:rFonts w:cs="Arial"/>
                <w:b/>
                <w:bCs/>
                <w:color w:val="000000"/>
                <w:szCs w:val="22"/>
              </w:rPr>
            </w:pPr>
            <w:r w:rsidRPr="00225ED7">
              <w:rPr>
                <w:rFonts w:cs="Arial"/>
                <w:color w:val="000000"/>
                <w:szCs w:val="22"/>
              </w:rPr>
              <w:t>- державний бюджет</w:t>
            </w:r>
          </w:p>
        </w:tc>
        <w:tc>
          <w:tcPr>
            <w:tcW w:w="1279" w:type="dxa"/>
            <w:gridSpan w:val="2"/>
            <w:vAlign w:val="center"/>
          </w:tcPr>
          <w:p w14:paraId="738300DA" w14:textId="77777777" w:rsidR="00511BFC" w:rsidRPr="00225ED7" w:rsidRDefault="00511BFC" w:rsidP="00225ED7">
            <w:pPr>
              <w:jc w:val="both"/>
              <w:rPr>
                <w:rFonts w:cs="Arial"/>
                <w:color w:val="000000"/>
                <w:szCs w:val="22"/>
                <w:lang w:eastAsia="it-IT"/>
              </w:rPr>
            </w:pPr>
          </w:p>
        </w:tc>
        <w:tc>
          <w:tcPr>
            <w:tcW w:w="1348" w:type="dxa"/>
            <w:vAlign w:val="center"/>
          </w:tcPr>
          <w:p w14:paraId="63A25408" w14:textId="77777777" w:rsidR="00511BFC" w:rsidRPr="00225ED7" w:rsidRDefault="00511BFC" w:rsidP="00225ED7">
            <w:pPr>
              <w:jc w:val="both"/>
              <w:rPr>
                <w:rFonts w:cs="Arial"/>
                <w:color w:val="000000"/>
                <w:szCs w:val="22"/>
                <w:lang w:eastAsia="it-IT"/>
              </w:rPr>
            </w:pPr>
          </w:p>
        </w:tc>
        <w:tc>
          <w:tcPr>
            <w:tcW w:w="1313" w:type="dxa"/>
            <w:gridSpan w:val="2"/>
            <w:vAlign w:val="center"/>
          </w:tcPr>
          <w:p w14:paraId="78BF88A8" w14:textId="77777777" w:rsidR="00511BFC" w:rsidRPr="00225ED7" w:rsidRDefault="00511BFC" w:rsidP="00225ED7">
            <w:pPr>
              <w:jc w:val="both"/>
              <w:rPr>
                <w:rFonts w:cs="Arial"/>
                <w:color w:val="000000"/>
                <w:szCs w:val="22"/>
                <w:lang w:eastAsia="it-IT"/>
              </w:rPr>
            </w:pPr>
          </w:p>
        </w:tc>
        <w:tc>
          <w:tcPr>
            <w:tcW w:w="1336" w:type="dxa"/>
            <w:gridSpan w:val="3"/>
            <w:vAlign w:val="center"/>
          </w:tcPr>
          <w:p w14:paraId="276BF30A" w14:textId="77777777" w:rsidR="00511BFC" w:rsidRPr="00225ED7" w:rsidRDefault="00511BFC" w:rsidP="00225ED7">
            <w:pPr>
              <w:jc w:val="both"/>
              <w:rPr>
                <w:rFonts w:cs="Arial"/>
                <w:color w:val="000000"/>
                <w:szCs w:val="22"/>
                <w:lang w:eastAsia="it-IT"/>
              </w:rPr>
            </w:pPr>
          </w:p>
        </w:tc>
        <w:tc>
          <w:tcPr>
            <w:tcW w:w="1518" w:type="dxa"/>
            <w:vAlign w:val="center"/>
          </w:tcPr>
          <w:p w14:paraId="0B731392" w14:textId="77777777" w:rsidR="00511BFC" w:rsidRPr="00225ED7" w:rsidRDefault="00511BFC" w:rsidP="00225ED7">
            <w:pPr>
              <w:jc w:val="both"/>
              <w:rPr>
                <w:rFonts w:cs="Arial"/>
                <w:color w:val="000000"/>
                <w:szCs w:val="22"/>
                <w:lang w:eastAsia="it-IT"/>
              </w:rPr>
            </w:pPr>
          </w:p>
        </w:tc>
      </w:tr>
      <w:tr w:rsidR="00511BFC" w:rsidRPr="00C2587D" w14:paraId="49E54B92" w14:textId="68B172B3" w:rsidTr="00511BFC">
        <w:trPr>
          <w:trHeight w:val="254"/>
          <w:jc w:val="right"/>
        </w:trPr>
        <w:tc>
          <w:tcPr>
            <w:tcW w:w="3425" w:type="dxa"/>
            <w:shd w:val="clear" w:color="auto" w:fill="FFFFFF"/>
            <w:vAlign w:val="center"/>
          </w:tcPr>
          <w:p w14:paraId="273BA47B" w14:textId="77777777" w:rsidR="00511BFC" w:rsidRPr="00225ED7" w:rsidRDefault="00511BFC" w:rsidP="00225ED7">
            <w:pPr>
              <w:rPr>
                <w:rFonts w:cs="Arial"/>
                <w:color w:val="000000"/>
                <w:szCs w:val="22"/>
              </w:rPr>
            </w:pPr>
            <w:r w:rsidRPr="00225ED7">
              <w:rPr>
                <w:rFonts w:cs="Arial"/>
                <w:color w:val="000000"/>
                <w:szCs w:val="22"/>
              </w:rPr>
              <w:t>- обласний бюджет</w:t>
            </w:r>
          </w:p>
        </w:tc>
        <w:tc>
          <w:tcPr>
            <w:tcW w:w="1279" w:type="dxa"/>
            <w:gridSpan w:val="2"/>
            <w:vAlign w:val="center"/>
          </w:tcPr>
          <w:p w14:paraId="3621CDEA" w14:textId="77777777" w:rsidR="00511BFC" w:rsidRPr="00225ED7" w:rsidRDefault="00511BFC" w:rsidP="00225ED7">
            <w:pPr>
              <w:jc w:val="both"/>
              <w:rPr>
                <w:rFonts w:cs="Arial"/>
                <w:color w:val="000000"/>
                <w:szCs w:val="22"/>
                <w:lang w:eastAsia="it-IT"/>
              </w:rPr>
            </w:pPr>
          </w:p>
        </w:tc>
        <w:tc>
          <w:tcPr>
            <w:tcW w:w="1348" w:type="dxa"/>
            <w:vAlign w:val="center"/>
          </w:tcPr>
          <w:p w14:paraId="2E4694C7" w14:textId="77777777" w:rsidR="00511BFC" w:rsidRPr="00225ED7" w:rsidRDefault="00511BFC" w:rsidP="00225ED7">
            <w:pPr>
              <w:jc w:val="both"/>
              <w:rPr>
                <w:rFonts w:cs="Arial"/>
                <w:color w:val="000000"/>
                <w:szCs w:val="22"/>
                <w:lang w:eastAsia="it-IT"/>
              </w:rPr>
            </w:pPr>
          </w:p>
        </w:tc>
        <w:tc>
          <w:tcPr>
            <w:tcW w:w="1313" w:type="dxa"/>
            <w:gridSpan w:val="2"/>
            <w:vAlign w:val="center"/>
          </w:tcPr>
          <w:p w14:paraId="7426C0B5" w14:textId="77777777" w:rsidR="00511BFC" w:rsidRPr="00225ED7" w:rsidRDefault="00511BFC" w:rsidP="00225ED7">
            <w:pPr>
              <w:jc w:val="both"/>
              <w:rPr>
                <w:rFonts w:cs="Arial"/>
                <w:color w:val="000000"/>
                <w:szCs w:val="22"/>
                <w:lang w:eastAsia="it-IT"/>
              </w:rPr>
            </w:pPr>
          </w:p>
        </w:tc>
        <w:tc>
          <w:tcPr>
            <w:tcW w:w="1336" w:type="dxa"/>
            <w:gridSpan w:val="3"/>
            <w:vAlign w:val="center"/>
          </w:tcPr>
          <w:p w14:paraId="48563181" w14:textId="77777777" w:rsidR="00511BFC" w:rsidRPr="00225ED7" w:rsidRDefault="00511BFC" w:rsidP="00225ED7">
            <w:pPr>
              <w:jc w:val="both"/>
              <w:rPr>
                <w:rFonts w:cs="Arial"/>
                <w:color w:val="000000"/>
                <w:szCs w:val="22"/>
                <w:lang w:eastAsia="it-IT"/>
              </w:rPr>
            </w:pPr>
          </w:p>
        </w:tc>
        <w:tc>
          <w:tcPr>
            <w:tcW w:w="1518" w:type="dxa"/>
            <w:vAlign w:val="center"/>
          </w:tcPr>
          <w:p w14:paraId="7A8A3A14" w14:textId="77777777" w:rsidR="00511BFC" w:rsidRPr="00225ED7" w:rsidRDefault="00511BFC" w:rsidP="00225ED7">
            <w:pPr>
              <w:jc w:val="both"/>
              <w:rPr>
                <w:rFonts w:cs="Arial"/>
                <w:color w:val="000000"/>
                <w:szCs w:val="22"/>
                <w:lang w:eastAsia="it-IT"/>
              </w:rPr>
            </w:pPr>
          </w:p>
        </w:tc>
      </w:tr>
      <w:tr w:rsidR="00511BFC" w:rsidRPr="00C2587D" w14:paraId="48EF3538" w14:textId="3E6081BE" w:rsidTr="00511BFC">
        <w:trPr>
          <w:trHeight w:val="275"/>
          <w:jc w:val="right"/>
        </w:trPr>
        <w:tc>
          <w:tcPr>
            <w:tcW w:w="3425" w:type="dxa"/>
            <w:shd w:val="clear" w:color="auto" w:fill="FFFFFF"/>
            <w:vAlign w:val="center"/>
          </w:tcPr>
          <w:p w14:paraId="7C90F767" w14:textId="77777777" w:rsidR="00511BFC" w:rsidRPr="00225ED7" w:rsidRDefault="00511BFC" w:rsidP="00225ED7">
            <w:pPr>
              <w:rPr>
                <w:rFonts w:cs="Arial"/>
                <w:color w:val="000000"/>
                <w:szCs w:val="22"/>
              </w:rPr>
            </w:pPr>
            <w:r w:rsidRPr="00225ED7">
              <w:rPr>
                <w:rFonts w:cs="Arial"/>
                <w:color w:val="000000"/>
                <w:szCs w:val="22"/>
              </w:rPr>
              <w:t>- бюджет Жмеринської МТГ</w:t>
            </w:r>
          </w:p>
        </w:tc>
        <w:tc>
          <w:tcPr>
            <w:tcW w:w="1279" w:type="dxa"/>
            <w:gridSpan w:val="2"/>
            <w:vAlign w:val="center"/>
          </w:tcPr>
          <w:p w14:paraId="607022AD" w14:textId="3CFC0F50" w:rsidR="00511BFC" w:rsidRPr="00225ED7" w:rsidRDefault="00511BFC" w:rsidP="00225ED7">
            <w:pPr>
              <w:jc w:val="both"/>
              <w:rPr>
                <w:rFonts w:cs="Arial"/>
                <w:color w:val="000000"/>
                <w:szCs w:val="22"/>
                <w:lang w:eastAsia="it-IT"/>
              </w:rPr>
            </w:pPr>
          </w:p>
        </w:tc>
        <w:tc>
          <w:tcPr>
            <w:tcW w:w="1348" w:type="dxa"/>
          </w:tcPr>
          <w:p w14:paraId="2C426DC8" w14:textId="0473FBC5" w:rsidR="00511BFC" w:rsidRPr="00225ED7" w:rsidRDefault="00511BFC" w:rsidP="00225ED7">
            <w:pPr>
              <w:jc w:val="center"/>
              <w:rPr>
                <w:rFonts w:cs="Arial"/>
                <w:color w:val="000000"/>
                <w:szCs w:val="22"/>
                <w:lang w:eastAsia="it-IT"/>
              </w:rPr>
            </w:pPr>
            <w:r w:rsidRPr="00225ED7">
              <w:rPr>
                <w:rFonts w:cs="Arial"/>
                <w:color w:val="000000"/>
                <w:szCs w:val="22"/>
                <w:lang w:eastAsia="it-IT"/>
              </w:rPr>
              <w:t>3131,474</w:t>
            </w:r>
          </w:p>
        </w:tc>
        <w:tc>
          <w:tcPr>
            <w:tcW w:w="1313" w:type="dxa"/>
            <w:gridSpan w:val="2"/>
          </w:tcPr>
          <w:p w14:paraId="110C0986" w14:textId="77777777" w:rsidR="00511BFC" w:rsidRPr="00225ED7" w:rsidRDefault="00511BFC" w:rsidP="00225ED7">
            <w:pPr>
              <w:jc w:val="center"/>
              <w:rPr>
                <w:rFonts w:cs="Arial"/>
                <w:color w:val="000000"/>
                <w:szCs w:val="22"/>
                <w:lang w:eastAsia="it-IT"/>
              </w:rPr>
            </w:pPr>
          </w:p>
        </w:tc>
        <w:tc>
          <w:tcPr>
            <w:tcW w:w="1336" w:type="dxa"/>
            <w:gridSpan w:val="3"/>
          </w:tcPr>
          <w:p w14:paraId="600249A1" w14:textId="77777777" w:rsidR="00511BFC" w:rsidRPr="00225ED7" w:rsidRDefault="00511BFC" w:rsidP="00225ED7">
            <w:pPr>
              <w:jc w:val="center"/>
              <w:rPr>
                <w:rFonts w:cs="Arial"/>
                <w:color w:val="000000"/>
                <w:szCs w:val="22"/>
                <w:lang w:eastAsia="it-IT"/>
              </w:rPr>
            </w:pPr>
          </w:p>
        </w:tc>
        <w:tc>
          <w:tcPr>
            <w:tcW w:w="1518" w:type="dxa"/>
          </w:tcPr>
          <w:p w14:paraId="175E366C" w14:textId="708E7826" w:rsidR="00511BFC" w:rsidRPr="00225ED7" w:rsidRDefault="00511BFC" w:rsidP="00225ED7">
            <w:pPr>
              <w:jc w:val="center"/>
              <w:rPr>
                <w:rFonts w:cs="Arial"/>
                <w:color w:val="000000"/>
                <w:szCs w:val="22"/>
                <w:lang w:eastAsia="it-IT"/>
              </w:rPr>
            </w:pPr>
            <w:r w:rsidRPr="00225ED7">
              <w:rPr>
                <w:rFonts w:cs="Arial"/>
                <w:b/>
                <w:color w:val="000000"/>
                <w:szCs w:val="22"/>
                <w:lang w:eastAsia="it-IT"/>
              </w:rPr>
              <w:t>3131,474</w:t>
            </w:r>
          </w:p>
        </w:tc>
      </w:tr>
      <w:tr w:rsidR="00511BFC" w:rsidRPr="00C2587D" w14:paraId="4D203698" w14:textId="77777777" w:rsidTr="00EA6E27">
        <w:trPr>
          <w:trHeight w:val="226"/>
          <w:jc w:val="right"/>
        </w:trPr>
        <w:tc>
          <w:tcPr>
            <w:tcW w:w="3425" w:type="dxa"/>
            <w:shd w:val="clear" w:color="auto" w:fill="FFFFFF"/>
            <w:vAlign w:val="center"/>
          </w:tcPr>
          <w:p w14:paraId="1BD96E2D" w14:textId="77777777" w:rsidR="00511BFC" w:rsidRPr="00225ED7" w:rsidRDefault="00511BFC" w:rsidP="00225ED7">
            <w:pPr>
              <w:rPr>
                <w:rFonts w:cs="Arial"/>
                <w:color w:val="000000"/>
                <w:szCs w:val="22"/>
              </w:rPr>
            </w:pPr>
            <w:r w:rsidRPr="00225ED7">
              <w:rPr>
                <w:rFonts w:cs="Arial"/>
                <w:color w:val="000000"/>
                <w:szCs w:val="22"/>
              </w:rPr>
              <w:t>- інші джерела фінансування</w:t>
            </w:r>
          </w:p>
        </w:tc>
        <w:tc>
          <w:tcPr>
            <w:tcW w:w="6794" w:type="dxa"/>
            <w:gridSpan w:val="9"/>
            <w:vAlign w:val="center"/>
          </w:tcPr>
          <w:p w14:paraId="7F647D19" w14:textId="77777777" w:rsidR="00511BFC" w:rsidRPr="00225ED7" w:rsidRDefault="00511BFC" w:rsidP="00225ED7">
            <w:pPr>
              <w:jc w:val="both"/>
              <w:rPr>
                <w:rFonts w:cs="Arial"/>
                <w:color w:val="000000"/>
                <w:szCs w:val="22"/>
                <w:lang w:eastAsia="it-IT"/>
              </w:rPr>
            </w:pPr>
          </w:p>
        </w:tc>
      </w:tr>
      <w:tr w:rsidR="00511BFC" w:rsidRPr="00C2587D" w14:paraId="5DE27674" w14:textId="77777777" w:rsidTr="00EA6E27">
        <w:trPr>
          <w:jc w:val="right"/>
        </w:trPr>
        <w:tc>
          <w:tcPr>
            <w:tcW w:w="3425" w:type="dxa"/>
            <w:shd w:val="clear" w:color="auto" w:fill="FFFFFF"/>
            <w:vAlign w:val="center"/>
          </w:tcPr>
          <w:p w14:paraId="67DB51A3" w14:textId="77777777" w:rsidR="00511BFC" w:rsidRPr="00225ED7" w:rsidRDefault="00511BFC" w:rsidP="00225ED7">
            <w:pPr>
              <w:rPr>
                <w:rFonts w:cs="Arial"/>
                <w:b/>
                <w:bCs/>
                <w:color w:val="000000"/>
                <w:szCs w:val="22"/>
              </w:rPr>
            </w:pPr>
            <w:r w:rsidRPr="00225ED7">
              <w:rPr>
                <w:rFonts w:cs="Arial"/>
                <w:b/>
                <w:color w:val="000000"/>
                <w:szCs w:val="22"/>
              </w:rPr>
              <w:t>Відповідальний виконавець проєкту:</w:t>
            </w:r>
          </w:p>
        </w:tc>
        <w:tc>
          <w:tcPr>
            <w:tcW w:w="6794" w:type="dxa"/>
            <w:gridSpan w:val="9"/>
            <w:vAlign w:val="center"/>
          </w:tcPr>
          <w:p w14:paraId="0603E12F" w14:textId="3D688722" w:rsidR="00511BFC" w:rsidRPr="00225ED7" w:rsidRDefault="00511BFC" w:rsidP="00225ED7">
            <w:pPr>
              <w:jc w:val="both"/>
              <w:rPr>
                <w:rFonts w:cs="Arial"/>
                <w:color w:val="000000"/>
                <w:szCs w:val="22"/>
                <w:lang w:eastAsia="it-IT"/>
              </w:rPr>
            </w:pPr>
            <w:r w:rsidRPr="00225ED7">
              <w:rPr>
                <w:rFonts w:cs="Arial"/>
                <w:color w:val="000000"/>
                <w:szCs w:val="22"/>
                <w:lang w:eastAsia="it-IT"/>
              </w:rPr>
              <w:t>Управління ЖКГ.</w:t>
            </w:r>
          </w:p>
        </w:tc>
      </w:tr>
      <w:tr w:rsidR="00511BFC" w:rsidRPr="00C2587D" w14:paraId="1357B2B9" w14:textId="77777777" w:rsidTr="00EA6E27">
        <w:trPr>
          <w:jc w:val="right"/>
        </w:trPr>
        <w:tc>
          <w:tcPr>
            <w:tcW w:w="3425" w:type="dxa"/>
            <w:shd w:val="clear" w:color="auto" w:fill="FFFFFF"/>
            <w:vAlign w:val="center"/>
          </w:tcPr>
          <w:p w14:paraId="53E72AB0" w14:textId="77777777" w:rsidR="00511BFC" w:rsidRPr="00225ED7" w:rsidRDefault="00511BFC" w:rsidP="00225ED7">
            <w:pPr>
              <w:rPr>
                <w:rFonts w:cs="Arial"/>
                <w:b/>
                <w:bCs/>
                <w:color w:val="000000"/>
                <w:szCs w:val="22"/>
              </w:rPr>
            </w:pPr>
            <w:r w:rsidRPr="00225ED7">
              <w:rPr>
                <w:rFonts w:cs="Arial"/>
                <w:b/>
                <w:bCs/>
                <w:color w:val="000000"/>
                <w:szCs w:val="22"/>
              </w:rPr>
              <w:t>Інше:</w:t>
            </w:r>
          </w:p>
        </w:tc>
        <w:tc>
          <w:tcPr>
            <w:tcW w:w="6794" w:type="dxa"/>
            <w:gridSpan w:val="9"/>
            <w:vAlign w:val="center"/>
          </w:tcPr>
          <w:p w14:paraId="665D8704" w14:textId="77777777" w:rsidR="00511BFC" w:rsidRPr="00225ED7" w:rsidRDefault="00511BFC" w:rsidP="00225ED7">
            <w:pPr>
              <w:rPr>
                <w:rFonts w:cs="Arial"/>
                <w:color w:val="000000"/>
                <w:szCs w:val="22"/>
                <w:lang w:eastAsia="it-IT"/>
              </w:rPr>
            </w:pPr>
          </w:p>
          <w:p w14:paraId="2D117F91" w14:textId="77777777" w:rsidR="00511BFC" w:rsidRPr="00225ED7" w:rsidRDefault="00511BFC" w:rsidP="00225ED7">
            <w:pPr>
              <w:rPr>
                <w:rFonts w:cs="Arial"/>
                <w:color w:val="000000"/>
                <w:szCs w:val="22"/>
                <w:lang w:eastAsia="it-IT"/>
              </w:rPr>
            </w:pPr>
          </w:p>
        </w:tc>
      </w:tr>
    </w:tbl>
    <w:p w14:paraId="26701CE7" w14:textId="77777777" w:rsidR="00CB33C7" w:rsidRPr="00C2587D" w:rsidRDefault="00CB33C7" w:rsidP="00CB33C7"/>
    <w:p w14:paraId="5CFAE433" w14:textId="77777777" w:rsidR="00CB33C7" w:rsidRPr="00C2587D" w:rsidRDefault="00CB33C7" w:rsidP="00CB33C7"/>
    <w:p w14:paraId="201165DA" w14:textId="77777777" w:rsidR="00CB33C7" w:rsidRPr="00C2587D" w:rsidRDefault="00CB33C7" w:rsidP="00CB33C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567D1032" w14:textId="77777777" w:rsidR="00CB33C7" w:rsidRPr="00C2587D" w:rsidRDefault="00CB33C7" w:rsidP="00CB33C7">
      <w:pPr>
        <w:jc w:val="center"/>
        <w:rPr>
          <w:rFonts w:cs="Arial"/>
          <w:b/>
          <w:color w:val="000000"/>
          <w:szCs w:val="22"/>
        </w:rPr>
      </w:pPr>
      <w:r w:rsidRPr="00C2587D">
        <w:rPr>
          <w:rFonts w:cs="Arial"/>
          <w:b/>
          <w:color w:val="000000"/>
          <w:szCs w:val="22"/>
        </w:rPr>
        <w:t>до Плану заходів з реалізації Стратегії</w:t>
      </w:r>
    </w:p>
    <w:p w14:paraId="16E32A41" w14:textId="77777777" w:rsidR="00CB33C7" w:rsidRPr="00C2587D" w:rsidRDefault="00CB33C7" w:rsidP="00CB33C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3"/>
        <w:gridCol w:w="1253"/>
        <w:gridCol w:w="71"/>
        <w:gridCol w:w="1290"/>
        <w:gridCol w:w="51"/>
        <w:gridCol w:w="1285"/>
        <w:gridCol w:w="1269"/>
        <w:gridCol w:w="7"/>
        <w:gridCol w:w="1570"/>
      </w:tblGrid>
      <w:tr w:rsidR="00CB33C7" w:rsidRPr="00C2587D" w14:paraId="27A231B4" w14:textId="77777777" w:rsidTr="00511BFC">
        <w:trPr>
          <w:jc w:val="right"/>
        </w:trPr>
        <w:tc>
          <w:tcPr>
            <w:tcW w:w="3423" w:type="dxa"/>
            <w:vAlign w:val="center"/>
          </w:tcPr>
          <w:p w14:paraId="23D8BC28" w14:textId="77777777" w:rsidR="00CB33C7" w:rsidRPr="00511BFC" w:rsidRDefault="00CB33C7" w:rsidP="00511BFC">
            <w:pPr>
              <w:rPr>
                <w:rFonts w:cs="Arial"/>
                <w:b/>
                <w:bCs/>
                <w:color w:val="000000"/>
                <w:szCs w:val="22"/>
              </w:rPr>
            </w:pPr>
            <w:r w:rsidRPr="00511BFC">
              <w:rPr>
                <w:rFonts w:cs="Arial"/>
                <w:b/>
                <w:bCs/>
                <w:color w:val="000000"/>
                <w:szCs w:val="22"/>
              </w:rPr>
              <w:t>Назва проєкту:</w:t>
            </w:r>
          </w:p>
        </w:tc>
        <w:tc>
          <w:tcPr>
            <w:tcW w:w="6796" w:type="dxa"/>
            <w:gridSpan w:val="8"/>
          </w:tcPr>
          <w:p w14:paraId="4CB71B61" w14:textId="77777777" w:rsidR="00CB33C7" w:rsidRPr="00511BFC" w:rsidRDefault="00CB33C7" w:rsidP="00511BFC">
            <w:pPr>
              <w:rPr>
                <w:rFonts w:cs="Arial"/>
                <w:b/>
                <w:szCs w:val="22"/>
                <w:lang w:eastAsia="it-IT"/>
              </w:rPr>
            </w:pPr>
            <w:r w:rsidRPr="00511BFC">
              <w:rPr>
                <w:rFonts w:eastAsia="Arial" w:cs="Arial"/>
                <w:b/>
                <w:szCs w:val="22"/>
                <w:lang w:eastAsia="en-US"/>
              </w:rPr>
              <w:t>Капітальний ремонт площі Яна Бжехви в м. Жмеринка Вінницької області</w:t>
            </w:r>
          </w:p>
        </w:tc>
      </w:tr>
      <w:tr w:rsidR="00CB33C7" w:rsidRPr="00C2587D" w14:paraId="4941082E" w14:textId="77777777" w:rsidTr="00511BFC">
        <w:trPr>
          <w:jc w:val="right"/>
        </w:trPr>
        <w:tc>
          <w:tcPr>
            <w:tcW w:w="3423" w:type="dxa"/>
          </w:tcPr>
          <w:p w14:paraId="14599B96" w14:textId="77777777" w:rsidR="00CB33C7" w:rsidRPr="00511BFC" w:rsidRDefault="00CB33C7" w:rsidP="00511BFC">
            <w:pPr>
              <w:rPr>
                <w:rFonts w:cs="Arial"/>
                <w:szCs w:val="22"/>
                <w:lang w:eastAsia="it-IT"/>
              </w:rPr>
            </w:pPr>
            <w:r w:rsidRPr="00511BFC">
              <w:rPr>
                <w:rFonts w:cs="Arial"/>
                <w:b/>
                <w:bCs/>
                <w:szCs w:val="22"/>
              </w:rPr>
              <w:t>Ваші контакти</w:t>
            </w:r>
            <w:r w:rsidRPr="00511BFC">
              <w:rPr>
                <w:rFonts w:cs="Arial"/>
                <w:szCs w:val="22"/>
                <w:lang w:eastAsia="it-IT"/>
              </w:rPr>
              <w:t>:</w:t>
            </w:r>
          </w:p>
          <w:p w14:paraId="4CB29120" w14:textId="77777777" w:rsidR="00CB33C7" w:rsidRPr="00511BFC" w:rsidRDefault="00CB33C7" w:rsidP="00511BFC">
            <w:pPr>
              <w:rPr>
                <w:rFonts w:cs="Arial"/>
                <w:b/>
                <w:bCs/>
                <w:szCs w:val="22"/>
              </w:rPr>
            </w:pPr>
            <w:r w:rsidRPr="00511BFC">
              <w:rPr>
                <w:rFonts w:cs="Arial"/>
                <w:szCs w:val="22"/>
                <w:lang w:eastAsia="it-IT"/>
              </w:rPr>
              <w:t>Назва установи, організації, підприємства</w:t>
            </w:r>
          </w:p>
        </w:tc>
        <w:tc>
          <w:tcPr>
            <w:tcW w:w="6796" w:type="dxa"/>
            <w:gridSpan w:val="8"/>
          </w:tcPr>
          <w:p w14:paraId="797644F9" w14:textId="77777777" w:rsidR="00CB33C7" w:rsidRPr="00511BFC" w:rsidRDefault="00CB33C7" w:rsidP="00511BFC">
            <w:pPr>
              <w:rPr>
                <w:rFonts w:cs="Arial"/>
                <w:szCs w:val="22"/>
                <w:lang w:eastAsia="it-IT"/>
              </w:rPr>
            </w:pPr>
            <w:r w:rsidRPr="00511BFC">
              <w:rPr>
                <w:rFonts w:cs="Arial"/>
                <w:szCs w:val="22"/>
                <w:lang w:eastAsia="it-IT"/>
              </w:rPr>
              <w:t>Управління житлово-комунального господарства Жмеринської міської ради</w:t>
            </w:r>
          </w:p>
        </w:tc>
      </w:tr>
      <w:tr w:rsidR="00CB33C7" w:rsidRPr="00C2587D" w14:paraId="4AF0E836" w14:textId="77777777" w:rsidTr="00511BFC">
        <w:trPr>
          <w:jc w:val="right"/>
        </w:trPr>
        <w:tc>
          <w:tcPr>
            <w:tcW w:w="3423" w:type="dxa"/>
          </w:tcPr>
          <w:p w14:paraId="5EE3B323" w14:textId="77777777" w:rsidR="00CB33C7" w:rsidRPr="00511BFC" w:rsidRDefault="00CB33C7" w:rsidP="00511BFC">
            <w:pPr>
              <w:rPr>
                <w:rFonts w:cs="Arial"/>
                <w:b/>
                <w:bCs/>
                <w:szCs w:val="22"/>
              </w:rPr>
            </w:pPr>
            <w:r w:rsidRPr="00511BFC">
              <w:rPr>
                <w:rFonts w:cs="Arial"/>
                <w:szCs w:val="22"/>
                <w:lang w:eastAsia="it-IT"/>
              </w:rPr>
              <w:t>Прізвище Ім’я По-батькові:</w:t>
            </w:r>
          </w:p>
        </w:tc>
        <w:tc>
          <w:tcPr>
            <w:tcW w:w="6796" w:type="dxa"/>
            <w:gridSpan w:val="8"/>
          </w:tcPr>
          <w:p w14:paraId="605C2B2B" w14:textId="77777777" w:rsidR="00CB33C7" w:rsidRPr="00511BFC" w:rsidRDefault="00CB33C7" w:rsidP="00511BFC">
            <w:pPr>
              <w:rPr>
                <w:rFonts w:cs="Arial"/>
                <w:szCs w:val="22"/>
                <w:lang w:eastAsia="it-IT"/>
              </w:rPr>
            </w:pPr>
            <w:r w:rsidRPr="00511BFC">
              <w:rPr>
                <w:rFonts w:cs="Arial"/>
                <w:szCs w:val="22"/>
                <w:lang w:eastAsia="it-IT"/>
              </w:rPr>
              <w:t>Оленич Андрій Васильович</w:t>
            </w:r>
          </w:p>
        </w:tc>
      </w:tr>
      <w:tr w:rsidR="00CB33C7" w:rsidRPr="00C2587D" w14:paraId="685E99D2" w14:textId="77777777" w:rsidTr="00511BFC">
        <w:trPr>
          <w:jc w:val="right"/>
        </w:trPr>
        <w:tc>
          <w:tcPr>
            <w:tcW w:w="3423" w:type="dxa"/>
          </w:tcPr>
          <w:p w14:paraId="1709466C" w14:textId="77777777" w:rsidR="00CB33C7" w:rsidRPr="00511BFC" w:rsidRDefault="00CB33C7" w:rsidP="00511BFC">
            <w:pPr>
              <w:rPr>
                <w:rFonts w:cs="Arial"/>
                <w:b/>
                <w:bCs/>
                <w:szCs w:val="22"/>
              </w:rPr>
            </w:pPr>
            <w:r w:rsidRPr="00511BFC">
              <w:rPr>
                <w:rFonts w:cs="Arial"/>
                <w:szCs w:val="22"/>
                <w:lang w:eastAsia="it-IT"/>
              </w:rPr>
              <w:t>Телефон (мобільний):</w:t>
            </w:r>
          </w:p>
        </w:tc>
        <w:tc>
          <w:tcPr>
            <w:tcW w:w="6796" w:type="dxa"/>
            <w:gridSpan w:val="8"/>
          </w:tcPr>
          <w:p w14:paraId="59DF58CD" w14:textId="77777777" w:rsidR="00CB33C7" w:rsidRPr="00511BFC" w:rsidRDefault="00CB33C7" w:rsidP="00511BFC">
            <w:pPr>
              <w:rPr>
                <w:rFonts w:cs="Arial"/>
                <w:szCs w:val="22"/>
                <w:lang w:eastAsia="it-IT"/>
              </w:rPr>
            </w:pPr>
            <w:r w:rsidRPr="00511BFC">
              <w:rPr>
                <w:rFonts w:cs="Arial"/>
                <w:szCs w:val="22"/>
                <w:lang w:eastAsia="it-IT"/>
              </w:rPr>
              <w:t>0972561907</w:t>
            </w:r>
          </w:p>
        </w:tc>
      </w:tr>
      <w:tr w:rsidR="00CB33C7" w:rsidRPr="00C2587D" w14:paraId="26B94923" w14:textId="77777777" w:rsidTr="00511BFC">
        <w:trPr>
          <w:jc w:val="right"/>
        </w:trPr>
        <w:tc>
          <w:tcPr>
            <w:tcW w:w="3423" w:type="dxa"/>
          </w:tcPr>
          <w:p w14:paraId="103FF5F8" w14:textId="77777777" w:rsidR="00CB33C7" w:rsidRPr="00511BFC" w:rsidRDefault="00CB33C7" w:rsidP="00511BFC">
            <w:pPr>
              <w:rPr>
                <w:rFonts w:cs="Arial"/>
                <w:b/>
                <w:bCs/>
                <w:szCs w:val="22"/>
              </w:rPr>
            </w:pPr>
            <w:r w:rsidRPr="00511BFC">
              <w:rPr>
                <w:rFonts w:cs="Arial"/>
                <w:szCs w:val="22"/>
                <w:lang w:eastAsia="it-IT"/>
              </w:rPr>
              <w:t>Електронна адреса:</w:t>
            </w:r>
          </w:p>
        </w:tc>
        <w:tc>
          <w:tcPr>
            <w:tcW w:w="6796" w:type="dxa"/>
            <w:gridSpan w:val="8"/>
          </w:tcPr>
          <w:p w14:paraId="00CBD50F" w14:textId="77777777" w:rsidR="00CB33C7" w:rsidRPr="00511BFC" w:rsidRDefault="00D85FFD" w:rsidP="00511BFC">
            <w:pPr>
              <w:rPr>
                <w:rFonts w:cs="Arial"/>
                <w:szCs w:val="22"/>
                <w:lang w:eastAsia="it-IT"/>
              </w:rPr>
            </w:pPr>
            <w:hyperlink r:id="rId66" w:history="1">
              <w:r w:rsidR="00CB33C7" w:rsidRPr="00511BFC">
                <w:rPr>
                  <w:rStyle w:val="af0"/>
                  <w:rFonts w:cs="Arial"/>
                  <w:noProof w:val="0"/>
                  <w:sz w:val="22"/>
                  <w:szCs w:val="22"/>
                  <w:lang w:eastAsia="it-IT"/>
                </w:rPr>
                <w:t>Aolenych03@ukr.net</w:t>
              </w:r>
            </w:hyperlink>
          </w:p>
        </w:tc>
      </w:tr>
      <w:tr w:rsidR="00CB33C7" w:rsidRPr="00C2587D" w14:paraId="5080262E" w14:textId="77777777" w:rsidTr="00511BFC">
        <w:trPr>
          <w:jc w:val="right"/>
        </w:trPr>
        <w:tc>
          <w:tcPr>
            <w:tcW w:w="3423" w:type="dxa"/>
            <w:vAlign w:val="center"/>
          </w:tcPr>
          <w:p w14:paraId="2D378F65" w14:textId="77777777" w:rsidR="00CB33C7" w:rsidRPr="00511BFC" w:rsidRDefault="00CB33C7" w:rsidP="00511BFC">
            <w:pPr>
              <w:pStyle w:val="6"/>
              <w:spacing w:before="0" w:after="0"/>
              <w:rPr>
                <w:rFonts w:ascii="Arial" w:hAnsi="Arial" w:cs="Arial"/>
                <w:color w:val="000000"/>
                <w:lang w:val="uk-UA"/>
              </w:rPr>
            </w:pPr>
            <w:r w:rsidRPr="00511BFC">
              <w:rPr>
                <w:rFonts w:ascii="Arial" w:hAnsi="Arial" w:cs="Arial"/>
                <w:color w:val="000000"/>
                <w:lang w:val="uk-UA"/>
              </w:rPr>
              <w:t>Номер і назва завдання з Стратегії</w:t>
            </w:r>
            <w:r w:rsidRPr="00511BFC">
              <w:rPr>
                <w:rFonts w:ascii="Arial" w:hAnsi="Arial" w:cs="Arial"/>
                <w:lang w:val="uk-UA" w:eastAsia="it-IT"/>
              </w:rPr>
              <w:t xml:space="preserve"> </w:t>
            </w:r>
            <w:r w:rsidRPr="00511BFC">
              <w:rPr>
                <w:rFonts w:ascii="Arial" w:hAnsi="Arial" w:cs="Arial"/>
                <w:color w:val="000000"/>
                <w:lang w:val="uk-UA"/>
              </w:rPr>
              <w:t xml:space="preserve">розвитку Жмеринської міської </w:t>
            </w:r>
          </w:p>
        </w:tc>
        <w:tc>
          <w:tcPr>
            <w:tcW w:w="6796" w:type="dxa"/>
            <w:gridSpan w:val="8"/>
            <w:vAlign w:val="center"/>
          </w:tcPr>
          <w:p w14:paraId="4784E634" w14:textId="77777777" w:rsidR="00CB33C7" w:rsidRPr="00511BFC" w:rsidRDefault="00CB33C7" w:rsidP="00511BFC">
            <w:pPr>
              <w:suppressAutoHyphens/>
              <w:jc w:val="both"/>
              <w:rPr>
                <w:rFonts w:eastAsia="Lucida Sans Unicode" w:cs="Arial"/>
                <w:kern w:val="1"/>
                <w:szCs w:val="22"/>
                <w:lang w:eastAsia="ar-SA"/>
              </w:rPr>
            </w:pPr>
            <w:r w:rsidRPr="00511BFC">
              <w:rPr>
                <w:rFonts w:eastAsia="Lucida Sans Unicode" w:cs="Arial"/>
                <w:kern w:val="1"/>
                <w:szCs w:val="22"/>
                <w:lang w:eastAsia="ar-SA"/>
              </w:rPr>
              <w:t>В.1.2.1. Розвиток комфортного вуличного простору шляхом реконструкції площ, парків, пішохідних алей, скверів, набережних, зелених зон. На даних об’єктах передбачити поєднання сучасного архітектурного середовища та ландшафту, вільні зони WI-FI,  встановлення дитячих, спортивних майданчиків з відповідним покриттям, облаштування скейт-парків, будівництво фонтанів, зонування територій відпочинку, з метою врахування потреб різних верств населення.</w:t>
            </w:r>
          </w:p>
        </w:tc>
      </w:tr>
      <w:tr w:rsidR="00CB33C7" w:rsidRPr="00C2587D" w14:paraId="04DFA259" w14:textId="77777777" w:rsidTr="00511BFC">
        <w:trPr>
          <w:jc w:val="right"/>
        </w:trPr>
        <w:tc>
          <w:tcPr>
            <w:tcW w:w="3423" w:type="dxa"/>
            <w:vAlign w:val="center"/>
          </w:tcPr>
          <w:p w14:paraId="5F45873A" w14:textId="77777777" w:rsidR="00CB33C7" w:rsidRPr="00511BFC" w:rsidRDefault="00CB33C7" w:rsidP="00511BFC">
            <w:pPr>
              <w:rPr>
                <w:rFonts w:cs="Arial"/>
                <w:b/>
                <w:bCs/>
                <w:color w:val="000000"/>
                <w:szCs w:val="22"/>
              </w:rPr>
            </w:pPr>
            <w:r w:rsidRPr="00511BFC">
              <w:rPr>
                <w:rFonts w:cs="Arial"/>
                <w:b/>
                <w:bCs/>
                <w:color w:val="000000"/>
                <w:szCs w:val="22"/>
              </w:rPr>
              <w:t>Мета проєкту:</w:t>
            </w:r>
          </w:p>
        </w:tc>
        <w:tc>
          <w:tcPr>
            <w:tcW w:w="6796" w:type="dxa"/>
            <w:gridSpan w:val="8"/>
          </w:tcPr>
          <w:p w14:paraId="0961B815" w14:textId="77777777" w:rsidR="00CB33C7" w:rsidRPr="00511BFC" w:rsidRDefault="00CB33C7" w:rsidP="00511BFC">
            <w:pPr>
              <w:jc w:val="both"/>
              <w:rPr>
                <w:rFonts w:cs="Arial"/>
                <w:szCs w:val="22"/>
                <w:lang w:eastAsia="it-IT"/>
              </w:rPr>
            </w:pPr>
            <w:r w:rsidRPr="00511BFC">
              <w:rPr>
                <w:rFonts w:cs="Arial"/>
                <w:szCs w:val="22"/>
                <w:lang w:eastAsia="it-IT"/>
              </w:rPr>
              <w:t>Забезпечення  населення громади м. Жмеринка якісним та комфортним відпочинком у місцях загального користування, створення зон для дозвілля</w:t>
            </w:r>
          </w:p>
        </w:tc>
      </w:tr>
      <w:tr w:rsidR="00CB33C7" w:rsidRPr="00C2587D" w14:paraId="6470112E" w14:textId="77777777" w:rsidTr="00511BFC">
        <w:trPr>
          <w:jc w:val="right"/>
        </w:trPr>
        <w:tc>
          <w:tcPr>
            <w:tcW w:w="3423" w:type="dxa"/>
            <w:vAlign w:val="center"/>
          </w:tcPr>
          <w:p w14:paraId="1263E3F6" w14:textId="77777777" w:rsidR="00CB33C7" w:rsidRPr="00511BFC" w:rsidRDefault="00CB33C7" w:rsidP="00511BFC">
            <w:pPr>
              <w:rPr>
                <w:rFonts w:cs="Arial"/>
                <w:b/>
                <w:bCs/>
                <w:color w:val="000000"/>
                <w:szCs w:val="22"/>
              </w:rPr>
            </w:pPr>
            <w:r w:rsidRPr="00511BFC">
              <w:rPr>
                <w:rFonts w:cs="Arial"/>
                <w:b/>
                <w:bCs/>
                <w:color w:val="000000"/>
                <w:szCs w:val="22"/>
              </w:rPr>
              <w:t>Цілі проєкту:</w:t>
            </w:r>
          </w:p>
        </w:tc>
        <w:tc>
          <w:tcPr>
            <w:tcW w:w="6796" w:type="dxa"/>
            <w:gridSpan w:val="8"/>
          </w:tcPr>
          <w:p w14:paraId="1D2D0D9D" w14:textId="77777777" w:rsidR="00CB33C7" w:rsidRPr="00511BFC" w:rsidRDefault="00CB33C7" w:rsidP="00511BFC">
            <w:pPr>
              <w:jc w:val="both"/>
              <w:rPr>
                <w:rFonts w:cs="Arial"/>
                <w:szCs w:val="22"/>
                <w:lang w:eastAsia="it-IT"/>
              </w:rPr>
            </w:pPr>
            <w:r w:rsidRPr="00511BFC">
              <w:rPr>
                <w:rFonts w:cs="Arial"/>
                <w:szCs w:val="22"/>
                <w:lang w:eastAsia="it-IT"/>
              </w:rPr>
              <w:t>Покращити поркові зони та зони відпочинку загального користування в м. Жмеринка</w:t>
            </w:r>
          </w:p>
        </w:tc>
      </w:tr>
      <w:tr w:rsidR="00CB33C7" w:rsidRPr="00C2587D" w14:paraId="35A06575" w14:textId="77777777" w:rsidTr="00511BFC">
        <w:trPr>
          <w:jc w:val="right"/>
        </w:trPr>
        <w:tc>
          <w:tcPr>
            <w:tcW w:w="3423" w:type="dxa"/>
            <w:vAlign w:val="center"/>
          </w:tcPr>
          <w:p w14:paraId="3A50070D" w14:textId="77777777" w:rsidR="00CB33C7" w:rsidRPr="00511BFC" w:rsidRDefault="00CB33C7" w:rsidP="00511BFC">
            <w:pPr>
              <w:autoSpaceDE w:val="0"/>
              <w:autoSpaceDN w:val="0"/>
              <w:adjustRightInd w:val="0"/>
              <w:rPr>
                <w:rFonts w:cs="Arial"/>
                <w:b/>
                <w:color w:val="000000"/>
                <w:szCs w:val="22"/>
              </w:rPr>
            </w:pPr>
            <w:r w:rsidRPr="00511BFC">
              <w:rPr>
                <w:rFonts w:cs="Arial"/>
                <w:b/>
                <w:color w:val="000000"/>
                <w:szCs w:val="22"/>
              </w:rPr>
              <w:t>Територія на яку проєкт матиме вплив:</w:t>
            </w:r>
          </w:p>
        </w:tc>
        <w:tc>
          <w:tcPr>
            <w:tcW w:w="6796" w:type="dxa"/>
            <w:gridSpan w:val="8"/>
          </w:tcPr>
          <w:p w14:paraId="2B2B426F" w14:textId="343A76BC" w:rsidR="00CB33C7" w:rsidRPr="00511BFC" w:rsidRDefault="00CB33C7" w:rsidP="00511BFC">
            <w:pPr>
              <w:rPr>
                <w:rFonts w:cs="Arial"/>
                <w:szCs w:val="22"/>
                <w:lang w:eastAsia="it-IT"/>
              </w:rPr>
            </w:pPr>
            <w:r w:rsidRPr="00511BFC">
              <w:rPr>
                <w:rFonts w:cs="Arial"/>
                <w:szCs w:val="22"/>
                <w:lang w:eastAsia="it-IT"/>
              </w:rPr>
              <w:t xml:space="preserve">Території </w:t>
            </w:r>
            <w:r w:rsidR="00511BFC" w:rsidRPr="00511BFC">
              <w:rPr>
                <w:rFonts w:cs="Arial"/>
                <w:szCs w:val="22"/>
                <w:lang w:eastAsia="it-IT"/>
              </w:rPr>
              <w:t>Жмеринська</w:t>
            </w:r>
            <w:r w:rsidRPr="00511BFC">
              <w:rPr>
                <w:rFonts w:cs="Arial"/>
                <w:szCs w:val="22"/>
                <w:lang w:eastAsia="it-IT"/>
              </w:rPr>
              <w:t xml:space="preserve"> ТМГ</w:t>
            </w:r>
          </w:p>
        </w:tc>
      </w:tr>
      <w:tr w:rsidR="00CB33C7" w:rsidRPr="00C2587D" w14:paraId="3BC47D34" w14:textId="77777777" w:rsidTr="00511BFC">
        <w:trPr>
          <w:jc w:val="right"/>
        </w:trPr>
        <w:tc>
          <w:tcPr>
            <w:tcW w:w="3423" w:type="dxa"/>
            <w:vAlign w:val="center"/>
          </w:tcPr>
          <w:p w14:paraId="6560F7C4" w14:textId="77777777" w:rsidR="00CB33C7" w:rsidRPr="00511BFC" w:rsidRDefault="00CB33C7" w:rsidP="00511BFC">
            <w:pPr>
              <w:autoSpaceDE w:val="0"/>
              <w:autoSpaceDN w:val="0"/>
              <w:adjustRightInd w:val="0"/>
              <w:rPr>
                <w:rFonts w:cs="Arial"/>
                <w:b/>
                <w:color w:val="000000"/>
                <w:szCs w:val="22"/>
              </w:rPr>
            </w:pPr>
            <w:r w:rsidRPr="00511BFC">
              <w:rPr>
                <w:rFonts w:cs="Arial"/>
                <w:b/>
                <w:color w:val="000000"/>
                <w:szCs w:val="22"/>
              </w:rPr>
              <w:t>Цільові групи проєкту та кількість отримувачів вигоди</w:t>
            </w:r>
          </w:p>
        </w:tc>
        <w:tc>
          <w:tcPr>
            <w:tcW w:w="6796" w:type="dxa"/>
            <w:gridSpan w:val="8"/>
          </w:tcPr>
          <w:p w14:paraId="540E183B" w14:textId="77777777" w:rsidR="00CB33C7" w:rsidRPr="00511BFC" w:rsidRDefault="00CB33C7" w:rsidP="00511BFC">
            <w:pPr>
              <w:rPr>
                <w:rFonts w:cs="Arial"/>
                <w:szCs w:val="22"/>
                <w:lang w:eastAsia="it-IT"/>
              </w:rPr>
            </w:pPr>
            <w:r w:rsidRPr="00511BFC">
              <w:rPr>
                <w:rFonts w:cs="Arial"/>
                <w:szCs w:val="22"/>
                <w:lang w:eastAsia="it-IT"/>
              </w:rPr>
              <w:t>Жителі м. Жмеринка в кількості 34353 містян</w:t>
            </w:r>
          </w:p>
        </w:tc>
      </w:tr>
      <w:tr w:rsidR="00CB33C7" w:rsidRPr="00C2587D" w14:paraId="30EC12DF" w14:textId="77777777" w:rsidTr="00511BFC">
        <w:trPr>
          <w:jc w:val="right"/>
        </w:trPr>
        <w:tc>
          <w:tcPr>
            <w:tcW w:w="3423" w:type="dxa"/>
            <w:shd w:val="clear" w:color="auto" w:fill="FFFFFF"/>
            <w:vAlign w:val="center"/>
          </w:tcPr>
          <w:p w14:paraId="7C0411B3" w14:textId="77777777" w:rsidR="00CB33C7" w:rsidRPr="00511BFC" w:rsidRDefault="00CB33C7" w:rsidP="00511BFC">
            <w:pPr>
              <w:rPr>
                <w:rFonts w:cs="Arial"/>
                <w:b/>
                <w:bCs/>
                <w:color w:val="000000"/>
                <w:szCs w:val="22"/>
              </w:rPr>
            </w:pPr>
            <w:r w:rsidRPr="00511BFC">
              <w:rPr>
                <w:rFonts w:cs="Arial"/>
                <w:b/>
                <w:bCs/>
                <w:color w:val="000000"/>
                <w:szCs w:val="22"/>
              </w:rPr>
              <w:t>Стислий опис проєкту:</w:t>
            </w:r>
          </w:p>
        </w:tc>
        <w:tc>
          <w:tcPr>
            <w:tcW w:w="6796" w:type="dxa"/>
            <w:gridSpan w:val="8"/>
          </w:tcPr>
          <w:p w14:paraId="4327E9C0" w14:textId="77777777" w:rsidR="00CB33C7" w:rsidRPr="00511BFC" w:rsidRDefault="00CB33C7" w:rsidP="00511BFC">
            <w:pPr>
              <w:jc w:val="both"/>
              <w:rPr>
                <w:rFonts w:cs="Arial"/>
                <w:szCs w:val="22"/>
                <w:lang w:eastAsia="it-IT"/>
              </w:rPr>
            </w:pPr>
            <w:r w:rsidRPr="00511BFC">
              <w:rPr>
                <w:rFonts w:cs="Arial"/>
                <w:szCs w:val="22"/>
                <w:lang w:eastAsia="it-IT"/>
              </w:rPr>
              <w:t>На даний час  площа не відповідає сучасним планувальним, естетичним вимогам, відсутній ландшафтний дизайн, знаходиться в занедбаному стані, досконале покриття площі відсутнє, освітлення площі застаріле та не відповідає сучасним вимогам та нормам ДБН.</w:t>
            </w:r>
          </w:p>
          <w:p w14:paraId="6D3F4FFA" w14:textId="60C09AB4" w:rsidR="00CB33C7" w:rsidRPr="00511BFC" w:rsidRDefault="00CB33C7" w:rsidP="00511BFC">
            <w:pPr>
              <w:rPr>
                <w:rFonts w:cs="Arial"/>
                <w:szCs w:val="22"/>
                <w:lang w:eastAsia="it-IT"/>
              </w:rPr>
            </w:pPr>
            <w:r w:rsidRPr="00511BFC">
              <w:rPr>
                <w:rFonts w:cs="Arial"/>
                <w:szCs w:val="22"/>
                <w:lang w:eastAsia="it-IT"/>
              </w:rPr>
              <w:t xml:space="preserve">Згідно </w:t>
            </w:r>
            <w:r w:rsidR="00314B9D">
              <w:rPr>
                <w:rFonts w:cs="Arial"/>
                <w:szCs w:val="22"/>
                <w:lang w:eastAsia="it-IT"/>
              </w:rPr>
              <w:t>проєкту</w:t>
            </w:r>
            <w:r w:rsidRPr="00511BFC">
              <w:rPr>
                <w:rFonts w:cs="Arial"/>
                <w:szCs w:val="22"/>
                <w:lang w:eastAsia="it-IT"/>
              </w:rPr>
              <w:t xml:space="preserve"> заплановано, встановити лавки, улаштовати ландшафтний дизайн.</w:t>
            </w:r>
          </w:p>
        </w:tc>
      </w:tr>
      <w:tr w:rsidR="00CB33C7" w:rsidRPr="00C2587D" w14:paraId="6E146D7A" w14:textId="77777777" w:rsidTr="00511BFC">
        <w:trPr>
          <w:jc w:val="right"/>
        </w:trPr>
        <w:tc>
          <w:tcPr>
            <w:tcW w:w="3423" w:type="dxa"/>
            <w:shd w:val="clear" w:color="auto" w:fill="FFFFFF"/>
            <w:vAlign w:val="center"/>
          </w:tcPr>
          <w:p w14:paraId="6B9CC1F6" w14:textId="77777777" w:rsidR="00CB33C7" w:rsidRPr="00511BFC" w:rsidRDefault="00CB33C7" w:rsidP="00511BFC">
            <w:pPr>
              <w:rPr>
                <w:rFonts w:cs="Arial"/>
                <w:b/>
                <w:bCs/>
                <w:color w:val="000000"/>
                <w:szCs w:val="22"/>
              </w:rPr>
            </w:pPr>
            <w:r w:rsidRPr="00511BFC">
              <w:rPr>
                <w:rFonts w:cs="Arial"/>
                <w:b/>
                <w:bCs/>
                <w:color w:val="000000"/>
                <w:szCs w:val="22"/>
              </w:rPr>
              <w:t>Основні заходи проєкту:</w:t>
            </w:r>
          </w:p>
        </w:tc>
        <w:tc>
          <w:tcPr>
            <w:tcW w:w="6796" w:type="dxa"/>
            <w:gridSpan w:val="8"/>
          </w:tcPr>
          <w:p w14:paraId="77C9E91C" w14:textId="433C725C" w:rsidR="00CB33C7" w:rsidRPr="00511BFC" w:rsidRDefault="00CB33C7" w:rsidP="00511BFC">
            <w:pPr>
              <w:jc w:val="both"/>
              <w:rPr>
                <w:rFonts w:cs="Arial"/>
                <w:szCs w:val="22"/>
                <w:lang w:eastAsia="it-IT"/>
              </w:rPr>
            </w:pPr>
            <w:r w:rsidRPr="00511BFC">
              <w:rPr>
                <w:rFonts w:cs="Arial"/>
                <w:szCs w:val="22"/>
                <w:lang w:eastAsia="it-IT"/>
              </w:rPr>
              <w:t>Створення робочої групи з п</w:t>
            </w:r>
            <w:r w:rsidR="00FD0B1E">
              <w:rPr>
                <w:rFonts w:cs="Arial"/>
                <w:szCs w:val="22"/>
                <w:lang w:eastAsia="it-IT"/>
              </w:rPr>
              <w:t>итань реалізації проє</w:t>
            </w:r>
            <w:r w:rsidRPr="00511BFC">
              <w:rPr>
                <w:rFonts w:cs="Arial"/>
                <w:szCs w:val="22"/>
                <w:lang w:eastAsia="it-IT"/>
              </w:rPr>
              <w:t xml:space="preserve">кту. </w:t>
            </w:r>
          </w:p>
          <w:p w14:paraId="1800C2FF" w14:textId="77777777" w:rsidR="00CB33C7" w:rsidRPr="00511BFC" w:rsidRDefault="00CB33C7" w:rsidP="00511BFC">
            <w:pPr>
              <w:jc w:val="both"/>
              <w:rPr>
                <w:rFonts w:cs="Arial"/>
                <w:szCs w:val="22"/>
                <w:lang w:eastAsia="it-IT"/>
              </w:rPr>
            </w:pPr>
            <w:r w:rsidRPr="00511BFC">
              <w:rPr>
                <w:rFonts w:cs="Arial"/>
                <w:szCs w:val="22"/>
                <w:lang w:eastAsia="it-IT"/>
              </w:rPr>
              <w:t>Проведення процедури закупівель (визначення виконавця робіт).</w:t>
            </w:r>
          </w:p>
          <w:p w14:paraId="704572CC" w14:textId="77777777" w:rsidR="00CB33C7" w:rsidRPr="00511BFC" w:rsidRDefault="00CB33C7" w:rsidP="00511BFC">
            <w:pPr>
              <w:jc w:val="both"/>
              <w:rPr>
                <w:rFonts w:cs="Arial"/>
                <w:szCs w:val="22"/>
                <w:lang w:eastAsia="it-IT"/>
              </w:rPr>
            </w:pPr>
            <w:r w:rsidRPr="00511BFC">
              <w:rPr>
                <w:rFonts w:cs="Arial"/>
                <w:szCs w:val="22"/>
                <w:lang w:eastAsia="it-IT"/>
              </w:rPr>
              <w:t>Укладення договорів з виконавцем робіт, організаціями, що здійснюватимуть  технічний та авторський  нагляд .</w:t>
            </w:r>
          </w:p>
          <w:p w14:paraId="3351E4DC" w14:textId="77777777" w:rsidR="00CB33C7" w:rsidRPr="00511BFC" w:rsidRDefault="00CB33C7" w:rsidP="00511BFC">
            <w:pPr>
              <w:jc w:val="both"/>
              <w:rPr>
                <w:rFonts w:cs="Arial"/>
                <w:szCs w:val="22"/>
                <w:lang w:eastAsia="it-IT"/>
              </w:rPr>
            </w:pPr>
            <w:r w:rsidRPr="00511BFC">
              <w:rPr>
                <w:rFonts w:cs="Arial"/>
                <w:szCs w:val="22"/>
                <w:lang w:eastAsia="it-IT"/>
              </w:rPr>
              <w:t xml:space="preserve">Виконання робіт з </w:t>
            </w:r>
            <w:r w:rsidRPr="00511BFC">
              <w:rPr>
                <w:rFonts w:eastAsia="Arial" w:cs="Arial"/>
                <w:szCs w:val="22"/>
                <w:lang w:eastAsia="en-US"/>
              </w:rPr>
              <w:t>капітального ремонту площі Яна Бжехви в м. Жмеринка Вінницької області.</w:t>
            </w:r>
          </w:p>
          <w:p w14:paraId="67C5A35C" w14:textId="77777777" w:rsidR="00CB33C7" w:rsidRPr="00511BFC" w:rsidRDefault="00CB33C7" w:rsidP="00511BFC">
            <w:pPr>
              <w:jc w:val="both"/>
              <w:rPr>
                <w:rFonts w:cs="Arial"/>
                <w:szCs w:val="22"/>
                <w:lang w:eastAsia="it-IT"/>
              </w:rPr>
            </w:pPr>
            <w:r w:rsidRPr="00511BFC">
              <w:rPr>
                <w:rFonts w:cs="Arial"/>
                <w:szCs w:val="22"/>
                <w:lang w:eastAsia="it-IT"/>
              </w:rPr>
              <w:t>Введення  об’єкту в експлуатацію .</w:t>
            </w:r>
          </w:p>
          <w:p w14:paraId="2418FFA7" w14:textId="605657DB" w:rsidR="00CB33C7" w:rsidRPr="00511BFC" w:rsidRDefault="00CB33C7" w:rsidP="00511BFC">
            <w:pPr>
              <w:rPr>
                <w:rFonts w:cs="Arial"/>
                <w:szCs w:val="22"/>
                <w:lang w:eastAsia="it-IT"/>
              </w:rPr>
            </w:pPr>
            <w:r w:rsidRPr="00511BFC">
              <w:rPr>
                <w:rFonts w:cs="Arial"/>
                <w:szCs w:val="22"/>
                <w:lang w:eastAsia="it-IT"/>
              </w:rPr>
              <w:t xml:space="preserve">Проведення інформаційних заходів (розміщення  </w:t>
            </w:r>
            <w:r w:rsidR="00FD0B1E">
              <w:rPr>
                <w:rFonts w:cs="Arial"/>
                <w:szCs w:val="22"/>
                <w:lang w:eastAsia="it-IT"/>
              </w:rPr>
              <w:t>інформації  про реалізацію  проє</w:t>
            </w:r>
            <w:r w:rsidRPr="00511BFC">
              <w:rPr>
                <w:rFonts w:cs="Arial"/>
                <w:szCs w:val="22"/>
                <w:lang w:eastAsia="it-IT"/>
              </w:rPr>
              <w:t>кту у ЗМІ) .</w:t>
            </w:r>
          </w:p>
        </w:tc>
      </w:tr>
      <w:tr w:rsidR="00CB33C7" w:rsidRPr="00C2587D" w14:paraId="35D34187" w14:textId="77777777" w:rsidTr="00511BFC">
        <w:trPr>
          <w:jc w:val="right"/>
        </w:trPr>
        <w:tc>
          <w:tcPr>
            <w:tcW w:w="3423" w:type="dxa"/>
            <w:shd w:val="clear" w:color="auto" w:fill="FFFFFF"/>
            <w:vAlign w:val="center"/>
          </w:tcPr>
          <w:p w14:paraId="20B8C9EC" w14:textId="77777777" w:rsidR="00CB33C7" w:rsidRPr="00511BFC" w:rsidRDefault="00CB33C7" w:rsidP="00511BFC">
            <w:pPr>
              <w:rPr>
                <w:rFonts w:cs="Arial"/>
                <w:b/>
                <w:bCs/>
                <w:color w:val="000000"/>
                <w:szCs w:val="22"/>
              </w:rPr>
            </w:pPr>
            <w:r w:rsidRPr="00511BFC">
              <w:rPr>
                <w:rFonts w:cs="Arial"/>
                <w:b/>
                <w:bCs/>
                <w:color w:val="000000"/>
                <w:szCs w:val="22"/>
              </w:rPr>
              <w:t>Індикатори (показники) результативності:</w:t>
            </w:r>
          </w:p>
        </w:tc>
        <w:tc>
          <w:tcPr>
            <w:tcW w:w="6796" w:type="dxa"/>
            <w:gridSpan w:val="8"/>
          </w:tcPr>
          <w:p w14:paraId="6C272C16" w14:textId="77777777" w:rsidR="00CB33C7" w:rsidRPr="00511BFC" w:rsidRDefault="00CB33C7" w:rsidP="00511BFC">
            <w:pPr>
              <w:rPr>
                <w:rFonts w:cs="Arial"/>
                <w:szCs w:val="22"/>
                <w:lang w:eastAsia="it-IT"/>
              </w:rPr>
            </w:pPr>
            <w:r w:rsidRPr="00511BFC">
              <w:rPr>
                <w:rFonts w:eastAsia="Arial" w:cs="Arial"/>
                <w:szCs w:val="22"/>
                <w:lang w:eastAsia="en-US"/>
              </w:rPr>
              <w:t>Загальна площа ділянки проєктування: 2197 м</w:t>
            </w:r>
            <w:r w:rsidRPr="00511BFC">
              <w:rPr>
                <w:rFonts w:eastAsia="Arial" w:cs="Arial"/>
                <w:szCs w:val="22"/>
                <w:vertAlign w:val="superscript"/>
                <w:lang w:eastAsia="en-US"/>
              </w:rPr>
              <w:t>2</w:t>
            </w:r>
            <w:r w:rsidRPr="00511BFC">
              <w:rPr>
                <w:rFonts w:eastAsia="Arial" w:cs="Arial"/>
                <w:szCs w:val="22"/>
                <w:lang w:eastAsia="en-US"/>
              </w:rPr>
              <w:t xml:space="preserve"> та площа озеленення: 450 м</w:t>
            </w:r>
            <w:r w:rsidRPr="00511BFC">
              <w:rPr>
                <w:rFonts w:eastAsia="Arial" w:cs="Arial"/>
                <w:szCs w:val="22"/>
                <w:vertAlign w:val="superscript"/>
                <w:lang w:eastAsia="en-US"/>
              </w:rPr>
              <w:t>2</w:t>
            </w:r>
          </w:p>
        </w:tc>
      </w:tr>
      <w:tr w:rsidR="00CB33C7" w:rsidRPr="00C2587D" w14:paraId="03EFA651" w14:textId="77777777" w:rsidTr="00511BFC">
        <w:trPr>
          <w:jc w:val="right"/>
        </w:trPr>
        <w:tc>
          <w:tcPr>
            <w:tcW w:w="3423" w:type="dxa"/>
            <w:shd w:val="clear" w:color="auto" w:fill="FFFFFF"/>
            <w:vAlign w:val="center"/>
          </w:tcPr>
          <w:p w14:paraId="0485A380" w14:textId="77777777" w:rsidR="00CB33C7" w:rsidRPr="00511BFC" w:rsidRDefault="00CB33C7" w:rsidP="00511BFC">
            <w:pPr>
              <w:rPr>
                <w:rFonts w:cs="Arial"/>
                <w:b/>
                <w:color w:val="000000"/>
                <w:szCs w:val="22"/>
              </w:rPr>
            </w:pPr>
            <w:r w:rsidRPr="00511BFC">
              <w:rPr>
                <w:rFonts w:cs="Arial"/>
                <w:b/>
                <w:color w:val="000000"/>
                <w:szCs w:val="22"/>
              </w:rPr>
              <w:t xml:space="preserve">Період здійснення: </w:t>
            </w:r>
          </w:p>
        </w:tc>
        <w:tc>
          <w:tcPr>
            <w:tcW w:w="6796" w:type="dxa"/>
            <w:gridSpan w:val="8"/>
            <w:vAlign w:val="center"/>
          </w:tcPr>
          <w:p w14:paraId="15DE159B" w14:textId="77777777" w:rsidR="00CB33C7" w:rsidRPr="00511BFC" w:rsidRDefault="00CB33C7" w:rsidP="00511BFC">
            <w:pPr>
              <w:rPr>
                <w:rFonts w:cs="Arial"/>
                <w:color w:val="000000"/>
                <w:szCs w:val="22"/>
                <w:lang w:eastAsia="it-IT"/>
              </w:rPr>
            </w:pPr>
            <w:r w:rsidRPr="00511BFC">
              <w:rPr>
                <w:rFonts w:cs="Arial"/>
                <w:b/>
                <w:color w:val="000000"/>
                <w:szCs w:val="22"/>
              </w:rPr>
              <w:t>2025 – 2028 роки:</w:t>
            </w:r>
          </w:p>
        </w:tc>
      </w:tr>
      <w:tr w:rsidR="00CB33C7" w:rsidRPr="00C2587D" w14:paraId="28792DE4" w14:textId="77777777" w:rsidTr="00511BFC">
        <w:trPr>
          <w:jc w:val="right"/>
        </w:trPr>
        <w:tc>
          <w:tcPr>
            <w:tcW w:w="3423" w:type="dxa"/>
            <w:vMerge w:val="restart"/>
            <w:shd w:val="clear" w:color="auto" w:fill="FFFFFF"/>
            <w:vAlign w:val="center"/>
          </w:tcPr>
          <w:p w14:paraId="1BCC1E16" w14:textId="77777777" w:rsidR="00CB33C7" w:rsidRPr="00511BFC" w:rsidRDefault="00CB33C7" w:rsidP="00511BFC">
            <w:pPr>
              <w:rPr>
                <w:rFonts w:cs="Arial"/>
                <w:b/>
                <w:bCs/>
                <w:color w:val="000000"/>
                <w:szCs w:val="22"/>
              </w:rPr>
            </w:pPr>
            <w:r w:rsidRPr="00511BFC">
              <w:rPr>
                <w:rFonts w:cs="Arial"/>
                <w:b/>
                <w:bCs/>
                <w:color w:val="000000"/>
                <w:szCs w:val="22"/>
              </w:rPr>
              <w:t>Орієнтовна вартість проєкту, тис. грн., в тому числі:</w:t>
            </w:r>
          </w:p>
        </w:tc>
        <w:tc>
          <w:tcPr>
            <w:tcW w:w="1253" w:type="dxa"/>
            <w:shd w:val="clear" w:color="auto" w:fill="E6E6E6"/>
            <w:vAlign w:val="center"/>
          </w:tcPr>
          <w:p w14:paraId="00AAEF5D" w14:textId="77777777" w:rsidR="00CB33C7" w:rsidRPr="00511BFC" w:rsidRDefault="00CB33C7" w:rsidP="00511BFC">
            <w:pPr>
              <w:jc w:val="center"/>
              <w:rPr>
                <w:rFonts w:cs="Arial"/>
                <w:b/>
                <w:color w:val="000000"/>
                <w:szCs w:val="22"/>
                <w:lang w:eastAsia="it-IT"/>
              </w:rPr>
            </w:pPr>
            <w:r w:rsidRPr="00511BFC">
              <w:rPr>
                <w:rFonts w:cs="Arial"/>
                <w:b/>
                <w:color w:val="000000"/>
                <w:szCs w:val="22"/>
                <w:lang w:eastAsia="it-IT"/>
              </w:rPr>
              <w:t>2025</w:t>
            </w:r>
          </w:p>
        </w:tc>
        <w:tc>
          <w:tcPr>
            <w:tcW w:w="1412" w:type="dxa"/>
            <w:gridSpan w:val="3"/>
            <w:shd w:val="clear" w:color="auto" w:fill="E6E6E6"/>
            <w:vAlign w:val="center"/>
          </w:tcPr>
          <w:p w14:paraId="38AD6D32" w14:textId="77777777" w:rsidR="00CB33C7" w:rsidRPr="00511BFC" w:rsidRDefault="00CB33C7" w:rsidP="00511BFC">
            <w:pPr>
              <w:jc w:val="center"/>
              <w:rPr>
                <w:rFonts w:cs="Arial"/>
                <w:b/>
                <w:color w:val="000000"/>
                <w:szCs w:val="22"/>
                <w:lang w:eastAsia="it-IT"/>
              </w:rPr>
            </w:pPr>
            <w:r w:rsidRPr="00511BFC">
              <w:rPr>
                <w:rFonts w:cs="Arial"/>
                <w:b/>
                <w:color w:val="000000"/>
                <w:szCs w:val="22"/>
                <w:lang w:eastAsia="it-IT"/>
              </w:rPr>
              <w:t>2026</w:t>
            </w:r>
          </w:p>
        </w:tc>
        <w:tc>
          <w:tcPr>
            <w:tcW w:w="1285" w:type="dxa"/>
            <w:tcBorders>
              <w:bottom w:val="single" w:sz="4" w:space="0" w:color="auto"/>
            </w:tcBorders>
            <w:shd w:val="clear" w:color="auto" w:fill="E6E6E6"/>
            <w:vAlign w:val="center"/>
          </w:tcPr>
          <w:p w14:paraId="7042E9A9" w14:textId="77777777" w:rsidR="00CB33C7" w:rsidRPr="00511BFC" w:rsidRDefault="00CB33C7" w:rsidP="00511BFC">
            <w:pPr>
              <w:jc w:val="center"/>
              <w:rPr>
                <w:rFonts w:cs="Arial"/>
                <w:b/>
                <w:color w:val="000000"/>
                <w:szCs w:val="22"/>
                <w:lang w:eastAsia="it-IT"/>
              </w:rPr>
            </w:pPr>
            <w:r w:rsidRPr="00511BFC">
              <w:rPr>
                <w:rFonts w:cs="Arial"/>
                <w:b/>
                <w:color w:val="000000"/>
                <w:szCs w:val="22"/>
                <w:lang w:eastAsia="it-IT"/>
              </w:rPr>
              <w:t>2027</w:t>
            </w:r>
          </w:p>
        </w:tc>
        <w:tc>
          <w:tcPr>
            <w:tcW w:w="1276" w:type="dxa"/>
            <w:gridSpan w:val="2"/>
            <w:shd w:val="clear" w:color="auto" w:fill="E6E6E6"/>
            <w:vAlign w:val="center"/>
          </w:tcPr>
          <w:p w14:paraId="520ADD2C" w14:textId="77777777" w:rsidR="00CB33C7" w:rsidRPr="00511BFC" w:rsidRDefault="00CB33C7" w:rsidP="00511BFC">
            <w:pPr>
              <w:jc w:val="center"/>
              <w:rPr>
                <w:rFonts w:cs="Arial"/>
                <w:b/>
                <w:color w:val="000000"/>
                <w:szCs w:val="22"/>
                <w:lang w:eastAsia="it-IT"/>
              </w:rPr>
            </w:pPr>
            <w:r w:rsidRPr="00511BFC">
              <w:rPr>
                <w:rFonts w:cs="Arial"/>
                <w:b/>
                <w:color w:val="000000"/>
                <w:szCs w:val="22"/>
                <w:lang w:eastAsia="it-IT"/>
              </w:rPr>
              <w:t>2028</w:t>
            </w:r>
          </w:p>
        </w:tc>
        <w:tc>
          <w:tcPr>
            <w:tcW w:w="1570" w:type="dxa"/>
            <w:shd w:val="clear" w:color="auto" w:fill="E6E6E6"/>
            <w:vAlign w:val="center"/>
          </w:tcPr>
          <w:p w14:paraId="05D3C6AA" w14:textId="77777777" w:rsidR="00CB33C7" w:rsidRPr="00511BFC" w:rsidRDefault="00CB33C7" w:rsidP="00511BFC">
            <w:pPr>
              <w:jc w:val="center"/>
              <w:rPr>
                <w:rFonts w:cs="Arial"/>
                <w:b/>
                <w:color w:val="000000"/>
                <w:szCs w:val="22"/>
                <w:lang w:eastAsia="it-IT"/>
              </w:rPr>
            </w:pPr>
            <w:r w:rsidRPr="00511BFC">
              <w:rPr>
                <w:rFonts w:cs="Arial"/>
                <w:b/>
                <w:color w:val="000000"/>
                <w:szCs w:val="22"/>
                <w:lang w:eastAsia="it-IT"/>
              </w:rPr>
              <w:t>РАЗОМ</w:t>
            </w:r>
          </w:p>
        </w:tc>
      </w:tr>
      <w:tr w:rsidR="00CB33C7" w:rsidRPr="00C2587D" w14:paraId="4788FF20" w14:textId="77777777" w:rsidTr="00511BFC">
        <w:trPr>
          <w:jc w:val="right"/>
        </w:trPr>
        <w:tc>
          <w:tcPr>
            <w:tcW w:w="3423" w:type="dxa"/>
            <w:vMerge/>
            <w:shd w:val="clear" w:color="auto" w:fill="FFFFFF"/>
            <w:vAlign w:val="center"/>
          </w:tcPr>
          <w:p w14:paraId="4BE25E44" w14:textId="77777777" w:rsidR="00CB33C7" w:rsidRPr="00511BFC" w:rsidRDefault="00CB33C7" w:rsidP="00511BFC">
            <w:pPr>
              <w:rPr>
                <w:rFonts w:cs="Arial"/>
                <w:b/>
                <w:bCs/>
                <w:color w:val="000000"/>
                <w:szCs w:val="22"/>
              </w:rPr>
            </w:pPr>
          </w:p>
        </w:tc>
        <w:tc>
          <w:tcPr>
            <w:tcW w:w="1253" w:type="dxa"/>
            <w:vAlign w:val="center"/>
          </w:tcPr>
          <w:p w14:paraId="464739C2" w14:textId="77777777" w:rsidR="00CB33C7" w:rsidRPr="00511BFC" w:rsidRDefault="00CB33C7" w:rsidP="00511BFC">
            <w:pPr>
              <w:jc w:val="center"/>
              <w:rPr>
                <w:rFonts w:cs="Arial"/>
                <w:b/>
                <w:color w:val="000000"/>
                <w:szCs w:val="22"/>
                <w:lang w:eastAsia="it-IT"/>
              </w:rPr>
            </w:pPr>
          </w:p>
        </w:tc>
        <w:tc>
          <w:tcPr>
            <w:tcW w:w="1412" w:type="dxa"/>
            <w:gridSpan w:val="3"/>
            <w:shd w:val="clear" w:color="auto" w:fill="FFFFFF"/>
            <w:vAlign w:val="center"/>
          </w:tcPr>
          <w:p w14:paraId="357FA643" w14:textId="77777777" w:rsidR="00CB33C7" w:rsidRPr="00511BFC" w:rsidRDefault="00CB33C7" w:rsidP="00511BFC">
            <w:pPr>
              <w:jc w:val="center"/>
              <w:rPr>
                <w:rFonts w:cs="Arial"/>
                <w:b/>
                <w:color w:val="000000"/>
                <w:szCs w:val="22"/>
                <w:lang w:eastAsia="it-IT"/>
              </w:rPr>
            </w:pPr>
            <w:r w:rsidRPr="00511BFC">
              <w:rPr>
                <w:rFonts w:cs="Arial"/>
                <w:b/>
                <w:color w:val="000000"/>
                <w:szCs w:val="22"/>
                <w:lang w:eastAsia="it-IT"/>
              </w:rPr>
              <w:t>6831,665</w:t>
            </w:r>
          </w:p>
        </w:tc>
        <w:tc>
          <w:tcPr>
            <w:tcW w:w="1285" w:type="dxa"/>
            <w:shd w:val="clear" w:color="auto" w:fill="auto"/>
            <w:vAlign w:val="center"/>
          </w:tcPr>
          <w:p w14:paraId="7D1A298F" w14:textId="77777777" w:rsidR="00CB33C7" w:rsidRPr="00511BFC" w:rsidRDefault="00CB33C7" w:rsidP="00511BFC">
            <w:pPr>
              <w:jc w:val="center"/>
              <w:rPr>
                <w:rFonts w:cs="Arial"/>
                <w:b/>
                <w:color w:val="000000"/>
                <w:szCs w:val="22"/>
                <w:lang w:eastAsia="it-IT"/>
              </w:rPr>
            </w:pPr>
          </w:p>
        </w:tc>
        <w:tc>
          <w:tcPr>
            <w:tcW w:w="1276" w:type="dxa"/>
            <w:gridSpan w:val="2"/>
            <w:shd w:val="clear" w:color="auto" w:fill="FFFFFF"/>
            <w:vAlign w:val="center"/>
          </w:tcPr>
          <w:p w14:paraId="6FB94F41" w14:textId="77777777" w:rsidR="00CB33C7" w:rsidRPr="00511BFC" w:rsidRDefault="00CB33C7" w:rsidP="00511BFC">
            <w:pPr>
              <w:jc w:val="center"/>
              <w:rPr>
                <w:rFonts w:cs="Arial"/>
                <w:b/>
                <w:color w:val="000000"/>
                <w:szCs w:val="22"/>
                <w:lang w:eastAsia="it-IT"/>
              </w:rPr>
            </w:pPr>
          </w:p>
        </w:tc>
        <w:tc>
          <w:tcPr>
            <w:tcW w:w="1570" w:type="dxa"/>
            <w:shd w:val="clear" w:color="auto" w:fill="FFFFFF"/>
            <w:vAlign w:val="center"/>
          </w:tcPr>
          <w:p w14:paraId="332257A4" w14:textId="77777777" w:rsidR="00CB33C7" w:rsidRPr="00511BFC" w:rsidRDefault="00CB33C7" w:rsidP="00511BFC">
            <w:pPr>
              <w:jc w:val="center"/>
              <w:rPr>
                <w:rFonts w:cs="Arial"/>
                <w:b/>
                <w:color w:val="000000"/>
                <w:szCs w:val="22"/>
                <w:lang w:eastAsia="it-IT"/>
              </w:rPr>
            </w:pPr>
            <w:r w:rsidRPr="00511BFC">
              <w:rPr>
                <w:rFonts w:cs="Arial"/>
                <w:b/>
                <w:color w:val="000000"/>
                <w:szCs w:val="22"/>
                <w:lang w:eastAsia="it-IT"/>
              </w:rPr>
              <w:t>6831,665</w:t>
            </w:r>
          </w:p>
        </w:tc>
      </w:tr>
      <w:tr w:rsidR="00CB33C7" w:rsidRPr="00C2587D" w14:paraId="25A824A0" w14:textId="77777777" w:rsidTr="00511BFC">
        <w:trPr>
          <w:trHeight w:val="276"/>
          <w:jc w:val="right"/>
        </w:trPr>
        <w:tc>
          <w:tcPr>
            <w:tcW w:w="3423" w:type="dxa"/>
            <w:shd w:val="clear" w:color="auto" w:fill="FFFFFF"/>
            <w:vAlign w:val="center"/>
          </w:tcPr>
          <w:p w14:paraId="6DB05294" w14:textId="77777777" w:rsidR="00CB33C7" w:rsidRPr="00511BFC" w:rsidRDefault="00CB33C7" w:rsidP="00511BFC">
            <w:pPr>
              <w:rPr>
                <w:rFonts w:cs="Arial"/>
                <w:b/>
                <w:bCs/>
                <w:color w:val="000000"/>
                <w:szCs w:val="22"/>
              </w:rPr>
            </w:pPr>
            <w:r w:rsidRPr="00511BFC">
              <w:rPr>
                <w:rFonts w:cs="Arial"/>
                <w:b/>
                <w:bCs/>
                <w:color w:val="000000"/>
                <w:szCs w:val="22"/>
              </w:rPr>
              <w:t>по джерелах фінансування:</w:t>
            </w:r>
          </w:p>
        </w:tc>
        <w:tc>
          <w:tcPr>
            <w:tcW w:w="6796" w:type="dxa"/>
            <w:gridSpan w:val="8"/>
            <w:vAlign w:val="center"/>
          </w:tcPr>
          <w:p w14:paraId="205CDD72" w14:textId="77777777" w:rsidR="00CB33C7" w:rsidRPr="00511BFC" w:rsidRDefault="00CB33C7" w:rsidP="00511BFC">
            <w:pPr>
              <w:jc w:val="both"/>
              <w:rPr>
                <w:rFonts w:cs="Arial"/>
                <w:color w:val="000000"/>
                <w:szCs w:val="22"/>
                <w:lang w:eastAsia="it-IT"/>
              </w:rPr>
            </w:pPr>
          </w:p>
        </w:tc>
      </w:tr>
      <w:tr w:rsidR="00511BFC" w:rsidRPr="00C2587D" w14:paraId="07E207C0" w14:textId="6CE7BFE1" w:rsidTr="00511BFC">
        <w:trPr>
          <w:trHeight w:val="240"/>
          <w:jc w:val="right"/>
        </w:trPr>
        <w:tc>
          <w:tcPr>
            <w:tcW w:w="3423" w:type="dxa"/>
            <w:shd w:val="clear" w:color="auto" w:fill="FFFFFF"/>
            <w:vAlign w:val="center"/>
          </w:tcPr>
          <w:p w14:paraId="3E91C92B" w14:textId="77777777" w:rsidR="00511BFC" w:rsidRPr="00511BFC" w:rsidRDefault="00511BFC" w:rsidP="00511BFC">
            <w:pPr>
              <w:rPr>
                <w:rFonts w:cs="Arial"/>
                <w:b/>
                <w:bCs/>
                <w:color w:val="000000"/>
                <w:szCs w:val="22"/>
              </w:rPr>
            </w:pPr>
            <w:r w:rsidRPr="00511BFC">
              <w:rPr>
                <w:rFonts w:cs="Arial"/>
                <w:color w:val="000000"/>
                <w:szCs w:val="22"/>
              </w:rPr>
              <w:t>- державний бюджет</w:t>
            </w:r>
          </w:p>
        </w:tc>
        <w:tc>
          <w:tcPr>
            <w:tcW w:w="1324" w:type="dxa"/>
            <w:gridSpan w:val="2"/>
            <w:vAlign w:val="center"/>
          </w:tcPr>
          <w:p w14:paraId="79DF558D" w14:textId="473184DF" w:rsidR="00511BFC" w:rsidRPr="00511BFC" w:rsidRDefault="00511BFC" w:rsidP="00511BFC">
            <w:pPr>
              <w:jc w:val="both"/>
              <w:rPr>
                <w:rFonts w:cs="Arial"/>
                <w:color w:val="000000"/>
                <w:szCs w:val="22"/>
                <w:lang w:eastAsia="it-IT"/>
              </w:rPr>
            </w:pPr>
          </w:p>
        </w:tc>
        <w:tc>
          <w:tcPr>
            <w:tcW w:w="1290" w:type="dxa"/>
            <w:vAlign w:val="center"/>
          </w:tcPr>
          <w:p w14:paraId="104C645A" w14:textId="180EA473" w:rsidR="00511BFC" w:rsidRPr="00511BFC" w:rsidRDefault="00511BFC" w:rsidP="00511BFC">
            <w:pPr>
              <w:ind w:left="22"/>
              <w:jc w:val="center"/>
              <w:rPr>
                <w:rFonts w:cs="Arial"/>
                <w:color w:val="000000"/>
                <w:szCs w:val="22"/>
                <w:lang w:eastAsia="it-IT"/>
              </w:rPr>
            </w:pPr>
            <w:r w:rsidRPr="00511BFC">
              <w:rPr>
                <w:rFonts w:eastAsia="Arial" w:cs="Arial"/>
                <w:szCs w:val="22"/>
              </w:rPr>
              <w:t>5519,790</w:t>
            </w:r>
          </w:p>
        </w:tc>
        <w:tc>
          <w:tcPr>
            <w:tcW w:w="1336" w:type="dxa"/>
            <w:gridSpan w:val="2"/>
            <w:vAlign w:val="center"/>
          </w:tcPr>
          <w:p w14:paraId="7B1D2EAF" w14:textId="4D1DCC7C" w:rsidR="00511BFC" w:rsidRPr="00511BFC" w:rsidRDefault="00511BFC" w:rsidP="00511BFC">
            <w:pPr>
              <w:jc w:val="center"/>
              <w:rPr>
                <w:rFonts w:cs="Arial"/>
                <w:color w:val="000000"/>
                <w:szCs w:val="22"/>
                <w:lang w:eastAsia="it-IT"/>
              </w:rPr>
            </w:pPr>
          </w:p>
        </w:tc>
        <w:tc>
          <w:tcPr>
            <w:tcW w:w="1269" w:type="dxa"/>
            <w:vAlign w:val="center"/>
          </w:tcPr>
          <w:p w14:paraId="298490BF" w14:textId="68689DE1" w:rsidR="00511BFC" w:rsidRPr="00511BFC" w:rsidRDefault="00511BFC" w:rsidP="00511BFC">
            <w:pPr>
              <w:jc w:val="center"/>
              <w:rPr>
                <w:rFonts w:cs="Arial"/>
                <w:color w:val="000000"/>
                <w:szCs w:val="22"/>
                <w:lang w:eastAsia="it-IT"/>
              </w:rPr>
            </w:pPr>
          </w:p>
        </w:tc>
        <w:tc>
          <w:tcPr>
            <w:tcW w:w="1577" w:type="dxa"/>
            <w:gridSpan w:val="2"/>
            <w:vAlign w:val="center"/>
          </w:tcPr>
          <w:p w14:paraId="11B91506" w14:textId="50FF2CDB" w:rsidR="00511BFC" w:rsidRPr="00511BFC" w:rsidRDefault="00511BFC" w:rsidP="00511BFC">
            <w:pPr>
              <w:jc w:val="center"/>
              <w:rPr>
                <w:rFonts w:cs="Arial"/>
                <w:b/>
                <w:color w:val="000000"/>
                <w:szCs w:val="22"/>
                <w:lang w:eastAsia="it-IT"/>
              </w:rPr>
            </w:pPr>
            <w:r w:rsidRPr="00511BFC">
              <w:rPr>
                <w:rFonts w:eastAsia="Arial" w:cs="Arial"/>
                <w:b/>
                <w:szCs w:val="22"/>
              </w:rPr>
              <w:t>5519,790</w:t>
            </w:r>
          </w:p>
        </w:tc>
      </w:tr>
      <w:tr w:rsidR="00511BFC" w:rsidRPr="00C2587D" w14:paraId="720A81E7" w14:textId="69CA21FF" w:rsidTr="00511BFC">
        <w:trPr>
          <w:trHeight w:val="254"/>
          <w:jc w:val="right"/>
        </w:trPr>
        <w:tc>
          <w:tcPr>
            <w:tcW w:w="3423" w:type="dxa"/>
            <w:shd w:val="clear" w:color="auto" w:fill="FFFFFF"/>
            <w:vAlign w:val="center"/>
          </w:tcPr>
          <w:p w14:paraId="054FF83E" w14:textId="77777777" w:rsidR="00511BFC" w:rsidRPr="00511BFC" w:rsidRDefault="00511BFC" w:rsidP="00511BFC">
            <w:pPr>
              <w:rPr>
                <w:rFonts w:cs="Arial"/>
                <w:color w:val="000000"/>
                <w:szCs w:val="22"/>
              </w:rPr>
            </w:pPr>
            <w:r w:rsidRPr="00511BFC">
              <w:rPr>
                <w:rFonts w:cs="Arial"/>
                <w:color w:val="000000"/>
                <w:szCs w:val="22"/>
              </w:rPr>
              <w:t>- обласний бюджет</w:t>
            </w:r>
          </w:p>
        </w:tc>
        <w:tc>
          <w:tcPr>
            <w:tcW w:w="1324" w:type="dxa"/>
            <w:gridSpan w:val="2"/>
            <w:vAlign w:val="center"/>
          </w:tcPr>
          <w:p w14:paraId="67F30B6F" w14:textId="77777777" w:rsidR="00511BFC" w:rsidRPr="00511BFC" w:rsidRDefault="00511BFC" w:rsidP="00511BFC">
            <w:pPr>
              <w:jc w:val="both"/>
              <w:rPr>
                <w:rFonts w:cs="Arial"/>
                <w:color w:val="000000"/>
                <w:szCs w:val="22"/>
                <w:lang w:eastAsia="it-IT"/>
              </w:rPr>
            </w:pPr>
          </w:p>
        </w:tc>
        <w:tc>
          <w:tcPr>
            <w:tcW w:w="1290" w:type="dxa"/>
            <w:vAlign w:val="center"/>
          </w:tcPr>
          <w:p w14:paraId="4FEFE1D1" w14:textId="77777777" w:rsidR="00511BFC" w:rsidRPr="00511BFC" w:rsidRDefault="00511BFC" w:rsidP="00511BFC">
            <w:pPr>
              <w:jc w:val="center"/>
              <w:rPr>
                <w:rFonts w:cs="Arial"/>
                <w:color w:val="000000"/>
                <w:szCs w:val="22"/>
                <w:lang w:eastAsia="it-IT"/>
              </w:rPr>
            </w:pPr>
          </w:p>
        </w:tc>
        <w:tc>
          <w:tcPr>
            <w:tcW w:w="1336" w:type="dxa"/>
            <w:gridSpan w:val="2"/>
            <w:vAlign w:val="center"/>
          </w:tcPr>
          <w:p w14:paraId="785451F6" w14:textId="77777777" w:rsidR="00511BFC" w:rsidRPr="00511BFC" w:rsidRDefault="00511BFC" w:rsidP="00511BFC">
            <w:pPr>
              <w:jc w:val="center"/>
              <w:rPr>
                <w:rFonts w:cs="Arial"/>
                <w:color w:val="000000"/>
                <w:szCs w:val="22"/>
                <w:lang w:eastAsia="it-IT"/>
              </w:rPr>
            </w:pPr>
          </w:p>
        </w:tc>
        <w:tc>
          <w:tcPr>
            <w:tcW w:w="1269" w:type="dxa"/>
            <w:vAlign w:val="center"/>
          </w:tcPr>
          <w:p w14:paraId="2ED8AE45" w14:textId="77777777" w:rsidR="00511BFC" w:rsidRPr="00511BFC" w:rsidRDefault="00511BFC" w:rsidP="00511BFC">
            <w:pPr>
              <w:jc w:val="center"/>
              <w:rPr>
                <w:rFonts w:cs="Arial"/>
                <w:color w:val="000000"/>
                <w:szCs w:val="22"/>
                <w:lang w:eastAsia="it-IT"/>
              </w:rPr>
            </w:pPr>
          </w:p>
        </w:tc>
        <w:tc>
          <w:tcPr>
            <w:tcW w:w="1577" w:type="dxa"/>
            <w:gridSpan w:val="2"/>
            <w:vAlign w:val="center"/>
          </w:tcPr>
          <w:p w14:paraId="0A8712E0" w14:textId="77777777" w:rsidR="00511BFC" w:rsidRPr="00511BFC" w:rsidRDefault="00511BFC" w:rsidP="00511BFC">
            <w:pPr>
              <w:jc w:val="center"/>
              <w:rPr>
                <w:rFonts w:cs="Arial"/>
                <w:b/>
                <w:color w:val="000000"/>
                <w:szCs w:val="22"/>
                <w:lang w:eastAsia="it-IT"/>
              </w:rPr>
            </w:pPr>
          </w:p>
        </w:tc>
      </w:tr>
      <w:tr w:rsidR="00511BFC" w:rsidRPr="00C2587D" w14:paraId="650CA5AB" w14:textId="26B6DB87" w:rsidTr="00511BFC">
        <w:trPr>
          <w:trHeight w:val="275"/>
          <w:jc w:val="right"/>
        </w:trPr>
        <w:tc>
          <w:tcPr>
            <w:tcW w:w="3423" w:type="dxa"/>
            <w:shd w:val="clear" w:color="auto" w:fill="FFFFFF"/>
            <w:vAlign w:val="center"/>
          </w:tcPr>
          <w:p w14:paraId="1826804B" w14:textId="77777777" w:rsidR="00511BFC" w:rsidRPr="00511BFC" w:rsidRDefault="00511BFC" w:rsidP="00511BFC">
            <w:pPr>
              <w:rPr>
                <w:rFonts w:cs="Arial"/>
                <w:color w:val="000000"/>
                <w:szCs w:val="22"/>
              </w:rPr>
            </w:pPr>
            <w:r w:rsidRPr="00511BFC">
              <w:rPr>
                <w:rFonts w:cs="Arial"/>
                <w:color w:val="000000"/>
                <w:szCs w:val="22"/>
              </w:rPr>
              <w:t>- бюджет Жмеринської МТГ</w:t>
            </w:r>
          </w:p>
        </w:tc>
        <w:tc>
          <w:tcPr>
            <w:tcW w:w="1324" w:type="dxa"/>
            <w:gridSpan w:val="2"/>
            <w:vAlign w:val="center"/>
          </w:tcPr>
          <w:p w14:paraId="18147D03" w14:textId="0DB94975" w:rsidR="00511BFC" w:rsidRPr="00511BFC" w:rsidRDefault="00511BFC" w:rsidP="00511BFC">
            <w:pPr>
              <w:jc w:val="both"/>
              <w:rPr>
                <w:rFonts w:cs="Arial"/>
                <w:color w:val="000000"/>
                <w:szCs w:val="22"/>
                <w:lang w:eastAsia="it-IT"/>
              </w:rPr>
            </w:pPr>
          </w:p>
        </w:tc>
        <w:tc>
          <w:tcPr>
            <w:tcW w:w="1290" w:type="dxa"/>
            <w:vAlign w:val="center"/>
          </w:tcPr>
          <w:p w14:paraId="61994A7D" w14:textId="2184DD47" w:rsidR="00511BFC" w:rsidRPr="00511BFC" w:rsidRDefault="00511BFC" w:rsidP="00511BFC">
            <w:pPr>
              <w:ind w:left="22"/>
              <w:jc w:val="center"/>
              <w:rPr>
                <w:rFonts w:cs="Arial"/>
                <w:color w:val="000000"/>
                <w:szCs w:val="22"/>
                <w:lang w:eastAsia="it-IT"/>
              </w:rPr>
            </w:pPr>
            <w:r w:rsidRPr="00511BFC">
              <w:rPr>
                <w:rFonts w:eastAsia="Arial" w:cs="Arial"/>
                <w:szCs w:val="22"/>
              </w:rPr>
              <w:t>1126,720</w:t>
            </w:r>
          </w:p>
        </w:tc>
        <w:tc>
          <w:tcPr>
            <w:tcW w:w="1336" w:type="dxa"/>
            <w:gridSpan w:val="2"/>
            <w:vAlign w:val="center"/>
          </w:tcPr>
          <w:p w14:paraId="0F23DD3B" w14:textId="1E172A6A" w:rsidR="00511BFC" w:rsidRPr="00511BFC" w:rsidRDefault="00511BFC" w:rsidP="00511BFC">
            <w:pPr>
              <w:jc w:val="center"/>
              <w:rPr>
                <w:rFonts w:cs="Arial"/>
                <w:color w:val="000000"/>
                <w:szCs w:val="22"/>
                <w:lang w:eastAsia="it-IT"/>
              </w:rPr>
            </w:pPr>
          </w:p>
        </w:tc>
        <w:tc>
          <w:tcPr>
            <w:tcW w:w="1269" w:type="dxa"/>
            <w:vAlign w:val="center"/>
          </w:tcPr>
          <w:p w14:paraId="1D262A10" w14:textId="6559FB1C" w:rsidR="00511BFC" w:rsidRPr="00511BFC" w:rsidRDefault="00511BFC" w:rsidP="00511BFC">
            <w:pPr>
              <w:jc w:val="center"/>
              <w:rPr>
                <w:rFonts w:cs="Arial"/>
                <w:color w:val="000000"/>
                <w:szCs w:val="22"/>
                <w:lang w:eastAsia="it-IT"/>
              </w:rPr>
            </w:pPr>
          </w:p>
        </w:tc>
        <w:tc>
          <w:tcPr>
            <w:tcW w:w="1577" w:type="dxa"/>
            <w:gridSpan w:val="2"/>
            <w:vAlign w:val="center"/>
          </w:tcPr>
          <w:p w14:paraId="50109AAA" w14:textId="65C583B1" w:rsidR="00511BFC" w:rsidRPr="00511BFC" w:rsidRDefault="00511BFC" w:rsidP="00511BFC">
            <w:pPr>
              <w:jc w:val="center"/>
              <w:rPr>
                <w:rFonts w:cs="Arial"/>
                <w:b/>
                <w:color w:val="000000"/>
                <w:szCs w:val="22"/>
                <w:lang w:eastAsia="it-IT"/>
              </w:rPr>
            </w:pPr>
            <w:r w:rsidRPr="00511BFC">
              <w:rPr>
                <w:rFonts w:eastAsia="Arial" w:cs="Arial"/>
                <w:b/>
                <w:szCs w:val="22"/>
              </w:rPr>
              <w:t>1126,720</w:t>
            </w:r>
          </w:p>
        </w:tc>
      </w:tr>
      <w:tr w:rsidR="00511BFC" w:rsidRPr="00C2587D" w14:paraId="0D08BD40" w14:textId="111C0D3B" w:rsidTr="00511BFC">
        <w:trPr>
          <w:trHeight w:val="226"/>
          <w:jc w:val="right"/>
        </w:trPr>
        <w:tc>
          <w:tcPr>
            <w:tcW w:w="3423" w:type="dxa"/>
            <w:shd w:val="clear" w:color="auto" w:fill="FFFFFF"/>
            <w:vAlign w:val="center"/>
          </w:tcPr>
          <w:p w14:paraId="313C7933" w14:textId="77777777" w:rsidR="00511BFC" w:rsidRPr="00511BFC" w:rsidRDefault="00511BFC" w:rsidP="00511BFC">
            <w:pPr>
              <w:rPr>
                <w:rFonts w:cs="Arial"/>
                <w:color w:val="000000"/>
                <w:szCs w:val="22"/>
              </w:rPr>
            </w:pPr>
            <w:r w:rsidRPr="00511BFC">
              <w:rPr>
                <w:rFonts w:cs="Arial"/>
                <w:color w:val="000000"/>
                <w:szCs w:val="22"/>
              </w:rPr>
              <w:t>- інші джерела фінансування</w:t>
            </w:r>
          </w:p>
        </w:tc>
        <w:tc>
          <w:tcPr>
            <w:tcW w:w="1324" w:type="dxa"/>
            <w:gridSpan w:val="2"/>
            <w:vAlign w:val="center"/>
          </w:tcPr>
          <w:p w14:paraId="78025877" w14:textId="77777777" w:rsidR="00511BFC" w:rsidRPr="00511BFC" w:rsidRDefault="00511BFC" w:rsidP="00511BFC">
            <w:pPr>
              <w:jc w:val="both"/>
              <w:rPr>
                <w:rFonts w:cs="Arial"/>
                <w:color w:val="000000"/>
                <w:szCs w:val="22"/>
                <w:lang w:eastAsia="it-IT"/>
              </w:rPr>
            </w:pPr>
          </w:p>
        </w:tc>
        <w:tc>
          <w:tcPr>
            <w:tcW w:w="1290" w:type="dxa"/>
            <w:vAlign w:val="center"/>
          </w:tcPr>
          <w:p w14:paraId="2389FB2D" w14:textId="77777777" w:rsidR="00511BFC" w:rsidRPr="00511BFC" w:rsidRDefault="00511BFC" w:rsidP="00511BFC">
            <w:pPr>
              <w:jc w:val="center"/>
              <w:rPr>
                <w:rFonts w:cs="Arial"/>
                <w:color w:val="000000"/>
                <w:szCs w:val="22"/>
                <w:lang w:eastAsia="it-IT"/>
              </w:rPr>
            </w:pPr>
          </w:p>
        </w:tc>
        <w:tc>
          <w:tcPr>
            <w:tcW w:w="1336" w:type="dxa"/>
            <w:gridSpan w:val="2"/>
            <w:vAlign w:val="center"/>
          </w:tcPr>
          <w:p w14:paraId="7CCAA2DB" w14:textId="77777777" w:rsidR="00511BFC" w:rsidRPr="00511BFC" w:rsidRDefault="00511BFC" w:rsidP="00511BFC">
            <w:pPr>
              <w:jc w:val="center"/>
              <w:rPr>
                <w:rFonts w:cs="Arial"/>
                <w:color w:val="000000"/>
                <w:szCs w:val="22"/>
                <w:lang w:eastAsia="it-IT"/>
              </w:rPr>
            </w:pPr>
          </w:p>
        </w:tc>
        <w:tc>
          <w:tcPr>
            <w:tcW w:w="1269" w:type="dxa"/>
            <w:vAlign w:val="center"/>
          </w:tcPr>
          <w:p w14:paraId="6965166F" w14:textId="77777777" w:rsidR="00511BFC" w:rsidRPr="00511BFC" w:rsidRDefault="00511BFC" w:rsidP="00511BFC">
            <w:pPr>
              <w:jc w:val="center"/>
              <w:rPr>
                <w:rFonts w:cs="Arial"/>
                <w:color w:val="000000"/>
                <w:szCs w:val="22"/>
                <w:lang w:eastAsia="it-IT"/>
              </w:rPr>
            </w:pPr>
          </w:p>
        </w:tc>
        <w:tc>
          <w:tcPr>
            <w:tcW w:w="1577" w:type="dxa"/>
            <w:gridSpan w:val="2"/>
            <w:vAlign w:val="center"/>
          </w:tcPr>
          <w:p w14:paraId="7C345CC8" w14:textId="77777777" w:rsidR="00511BFC" w:rsidRPr="00511BFC" w:rsidRDefault="00511BFC" w:rsidP="00511BFC">
            <w:pPr>
              <w:jc w:val="center"/>
              <w:rPr>
                <w:rFonts w:cs="Arial"/>
                <w:color w:val="000000"/>
                <w:szCs w:val="22"/>
                <w:lang w:eastAsia="it-IT"/>
              </w:rPr>
            </w:pPr>
          </w:p>
        </w:tc>
      </w:tr>
      <w:tr w:rsidR="00CB33C7" w:rsidRPr="00C2587D" w14:paraId="262CEC37" w14:textId="77777777" w:rsidTr="00511BFC">
        <w:trPr>
          <w:jc w:val="right"/>
        </w:trPr>
        <w:tc>
          <w:tcPr>
            <w:tcW w:w="3423" w:type="dxa"/>
            <w:shd w:val="clear" w:color="auto" w:fill="FFFFFF"/>
            <w:vAlign w:val="center"/>
          </w:tcPr>
          <w:p w14:paraId="23510902" w14:textId="77777777" w:rsidR="00CB33C7" w:rsidRPr="00511BFC" w:rsidRDefault="00CB33C7" w:rsidP="00511BFC">
            <w:pPr>
              <w:rPr>
                <w:rFonts w:cs="Arial"/>
                <w:b/>
                <w:bCs/>
                <w:color w:val="000000"/>
                <w:szCs w:val="22"/>
              </w:rPr>
            </w:pPr>
            <w:r w:rsidRPr="00511BFC">
              <w:rPr>
                <w:rFonts w:cs="Arial"/>
                <w:b/>
                <w:color w:val="000000"/>
                <w:szCs w:val="22"/>
              </w:rPr>
              <w:t>Відповідальний виконавець проєкту:</w:t>
            </w:r>
          </w:p>
        </w:tc>
        <w:tc>
          <w:tcPr>
            <w:tcW w:w="6796" w:type="dxa"/>
            <w:gridSpan w:val="8"/>
            <w:vAlign w:val="center"/>
          </w:tcPr>
          <w:p w14:paraId="082247E6" w14:textId="4A4BF1FF" w:rsidR="00CB33C7" w:rsidRPr="00511BFC" w:rsidRDefault="00CB33C7" w:rsidP="00511BFC">
            <w:pPr>
              <w:jc w:val="both"/>
              <w:rPr>
                <w:rFonts w:cs="Arial"/>
                <w:color w:val="000000"/>
                <w:szCs w:val="22"/>
                <w:lang w:eastAsia="it-IT"/>
              </w:rPr>
            </w:pPr>
            <w:r w:rsidRPr="00511BFC">
              <w:rPr>
                <w:rFonts w:cs="Arial"/>
                <w:color w:val="000000"/>
                <w:szCs w:val="22"/>
                <w:lang w:eastAsia="it-IT"/>
              </w:rPr>
              <w:t>Управління ЖКГ.</w:t>
            </w:r>
          </w:p>
        </w:tc>
      </w:tr>
      <w:tr w:rsidR="00CB33C7" w:rsidRPr="00C2587D" w14:paraId="02B82DE5" w14:textId="77777777" w:rsidTr="00511BFC">
        <w:trPr>
          <w:jc w:val="right"/>
        </w:trPr>
        <w:tc>
          <w:tcPr>
            <w:tcW w:w="3423" w:type="dxa"/>
            <w:shd w:val="clear" w:color="auto" w:fill="FFFFFF"/>
            <w:vAlign w:val="center"/>
          </w:tcPr>
          <w:p w14:paraId="246ED386" w14:textId="77777777" w:rsidR="00CB33C7" w:rsidRPr="00511BFC" w:rsidRDefault="00CB33C7" w:rsidP="00511BFC">
            <w:pPr>
              <w:rPr>
                <w:rFonts w:cs="Arial"/>
                <w:b/>
                <w:bCs/>
                <w:color w:val="000000"/>
                <w:szCs w:val="22"/>
              </w:rPr>
            </w:pPr>
            <w:r w:rsidRPr="00511BFC">
              <w:rPr>
                <w:rFonts w:cs="Arial"/>
                <w:b/>
                <w:bCs/>
                <w:color w:val="000000"/>
                <w:szCs w:val="22"/>
              </w:rPr>
              <w:t>Інше:</w:t>
            </w:r>
          </w:p>
        </w:tc>
        <w:tc>
          <w:tcPr>
            <w:tcW w:w="6796" w:type="dxa"/>
            <w:gridSpan w:val="8"/>
            <w:vAlign w:val="center"/>
          </w:tcPr>
          <w:p w14:paraId="4AB5717A" w14:textId="77777777" w:rsidR="00CB33C7" w:rsidRPr="00511BFC" w:rsidRDefault="00CB33C7" w:rsidP="00511BFC">
            <w:pPr>
              <w:rPr>
                <w:rFonts w:cs="Arial"/>
                <w:color w:val="000000"/>
                <w:szCs w:val="22"/>
                <w:lang w:eastAsia="it-IT"/>
              </w:rPr>
            </w:pPr>
          </w:p>
          <w:p w14:paraId="2DCF3F32" w14:textId="77777777" w:rsidR="00CB33C7" w:rsidRPr="00511BFC" w:rsidRDefault="00CB33C7" w:rsidP="00511BFC">
            <w:pPr>
              <w:rPr>
                <w:rFonts w:cs="Arial"/>
                <w:color w:val="000000"/>
                <w:szCs w:val="22"/>
                <w:lang w:eastAsia="it-IT"/>
              </w:rPr>
            </w:pPr>
          </w:p>
        </w:tc>
      </w:tr>
    </w:tbl>
    <w:p w14:paraId="40911B77" w14:textId="77777777" w:rsidR="00CB33C7" w:rsidRPr="00C2587D" w:rsidRDefault="00CB33C7" w:rsidP="00CB33C7"/>
    <w:p w14:paraId="19D78A83" w14:textId="77777777" w:rsidR="00CB33C7" w:rsidRPr="00C2587D" w:rsidRDefault="00CB33C7" w:rsidP="00CB33C7"/>
    <w:p w14:paraId="7CE974BD" w14:textId="77777777" w:rsidR="00CB33C7" w:rsidRPr="00C2587D" w:rsidRDefault="00CB33C7" w:rsidP="00CB33C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23307CDC" w14:textId="77777777" w:rsidR="00CB33C7" w:rsidRPr="00C2587D" w:rsidRDefault="00CB33C7" w:rsidP="00CB33C7">
      <w:pPr>
        <w:jc w:val="center"/>
        <w:rPr>
          <w:rFonts w:cs="Arial"/>
          <w:b/>
          <w:color w:val="000000"/>
          <w:szCs w:val="22"/>
        </w:rPr>
      </w:pPr>
      <w:r w:rsidRPr="00C2587D">
        <w:rPr>
          <w:rFonts w:cs="Arial"/>
          <w:b/>
          <w:color w:val="000000"/>
          <w:szCs w:val="22"/>
        </w:rPr>
        <w:t>до Плану заходів з реалізації Стратегії</w:t>
      </w:r>
    </w:p>
    <w:p w14:paraId="1632C3B0" w14:textId="77777777" w:rsidR="00CB33C7" w:rsidRPr="00C2587D" w:rsidRDefault="00CB33C7" w:rsidP="00CB33C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36"/>
        <w:gridCol w:w="1376"/>
        <w:gridCol w:w="41"/>
        <w:gridCol w:w="1240"/>
        <w:gridCol w:w="50"/>
        <w:gridCol w:w="1226"/>
        <w:gridCol w:w="30"/>
        <w:gridCol w:w="1541"/>
      </w:tblGrid>
      <w:tr w:rsidR="00CB33C7" w:rsidRPr="00C2587D" w14:paraId="7267E1D8" w14:textId="77777777" w:rsidTr="00EA6E27">
        <w:trPr>
          <w:jc w:val="right"/>
        </w:trPr>
        <w:tc>
          <w:tcPr>
            <w:tcW w:w="3425" w:type="dxa"/>
            <w:vAlign w:val="center"/>
          </w:tcPr>
          <w:p w14:paraId="348A0085" w14:textId="77777777" w:rsidR="00CB33C7" w:rsidRPr="00511BFC" w:rsidRDefault="00CB33C7" w:rsidP="00EA6E27">
            <w:pPr>
              <w:rPr>
                <w:rFonts w:cs="Arial"/>
                <w:b/>
                <w:bCs/>
                <w:color w:val="000000"/>
                <w:szCs w:val="22"/>
              </w:rPr>
            </w:pPr>
            <w:r w:rsidRPr="00511BFC">
              <w:rPr>
                <w:rFonts w:cs="Arial"/>
                <w:b/>
                <w:bCs/>
                <w:color w:val="000000"/>
                <w:szCs w:val="22"/>
              </w:rPr>
              <w:t>Назва проєкту:</w:t>
            </w:r>
          </w:p>
        </w:tc>
        <w:tc>
          <w:tcPr>
            <w:tcW w:w="6794" w:type="dxa"/>
            <w:gridSpan w:val="9"/>
          </w:tcPr>
          <w:p w14:paraId="2D42B008" w14:textId="77777777" w:rsidR="00CB33C7" w:rsidRPr="00511BFC" w:rsidRDefault="00CB33C7" w:rsidP="00511BFC">
            <w:pPr>
              <w:spacing w:before="40" w:after="40"/>
              <w:jc w:val="both"/>
              <w:rPr>
                <w:rFonts w:cs="Arial"/>
                <w:b/>
                <w:szCs w:val="22"/>
                <w:lang w:eastAsia="it-IT"/>
              </w:rPr>
            </w:pPr>
            <w:r w:rsidRPr="00511BFC">
              <w:rPr>
                <w:rFonts w:eastAsia="Arial" w:cs="Arial"/>
                <w:b/>
                <w:szCs w:val="22"/>
                <w:lang w:eastAsia="en-US"/>
              </w:rPr>
              <w:t>Капітальний ремонт з облаштуванням благоустрою території місць поховань полеглих захисників України по вул. Одеська в м. Жмеринка Вінницької області (Коригування 2)</w:t>
            </w:r>
          </w:p>
        </w:tc>
      </w:tr>
      <w:tr w:rsidR="00CB33C7" w:rsidRPr="00C2587D" w14:paraId="6002E40D" w14:textId="77777777" w:rsidTr="00EA6E27">
        <w:trPr>
          <w:jc w:val="right"/>
        </w:trPr>
        <w:tc>
          <w:tcPr>
            <w:tcW w:w="3425" w:type="dxa"/>
          </w:tcPr>
          <w:p w14:paraId="16500B7D" w14:textId="77777777" w:rsidR="00CB33C7" w:rsidRPr="00511BFC" w:rsidRDefault="00CB33C7" w:rsidP="00EA6E27">
            <w:pPr>
              <w:spacing w:before="40" w:after="40"/>
              <w:rPr>
                <w:rFonts w:cs="Arial"/>
                <w:szCs w:val="22"/>
                <w:lang w:eastAsia="it-IT"/>
              </w:rPr>
            </w:pPr>
            <w:r w:rsidRPr="00511BFC">
              <w:rPr>
                <w:rFonts w:cs="Arial"/>
                <w:b/>
                <w:bCs/>
                <w:szCs w:val="22"/>
              </w:rPr>
              <w:t>Ваші контакти</w:t>
            </w:r>
            <w:r w:rsidRPr="00511BFC">
              <w:rPr>
                <w:rFonts w:cs="Arial"/>
                <w:szCs w:val="22"/>
                <w:lang w:eastAsia="it-IT"/>
              </w:rPr>
              <w:t>:</w:t>
            </w:r>
          </w:p>
          <w:p w14:paraId="17D5832B" w14:textId="77777777" w:rsidR="00CB33C7" w:rsidRPr="00511BFC" w:rsidRDefault="00CB33C7" w:rsidP="00EA6E27">
            <w:pPr>
              <w:spacing w:before="40" w:after="40"/>
              <w:rPr>
                <w:rFonts w:cs="Arial"/>
                <w:b/>
                <w:bCs/>
                <w:szCs w:val="22"/>
              </w:rPr>
            </w:pPr>
            <w:r w:rsidRPr="00511BFC">
              <w:rPr>
                <w:rFonts w:cs="Arial"/>
                <w:szCs w:val="22"/>
                <w:lang w:eastAsia="it-IT"/>
              </w:rPr>
              <w:t>Назва установи, організації, підприємства</w:t>
            </w:r>
          </w:p>
        </w:tc>
        <w:tc>
          <w:tcPr>
            <w:tcW w:w="6794" w:type="dxa"/>
            <w:gridSpan w:val="9"/>
          </w:tcPr>
          <w:p w14:paraId="7515CA68" w14:textId="77777777" w:rsidR="00CB33C7" w:rsidRPr="00511BFC" w:rsidRDefault="00CB33C7" w:rsidP="00EA6E27">
            <w:pPr>
              <w:spacing w:before="40" w:after="40"/>
              <w:rPr>
                <w:rFonts w:cs="Arial"/>
                <w:szCs w:val="22"/>
                <w:lang w:eastAsia="it-IT"/>
              </w:rPr>
            </w:pPr>
            <w:r w:rsidRPr="00511BFC">
              <w:rPr>
                <w:rFonts w:cs="Arial"/>
                <w:szCs w:val="22"/>
                <w:lang w:eastAsia="it-IT"/>
              </w:rPr>
              <w:t>Управління житлово-комунального господарства Жмеринської міської ради</w:t>
            </w:r>
          </w:p>
        </w:tc>
      </w:tr>
      <w:tr w:rsidR="00CB33C7" w:rsidRPr="00C2587D" w14:paraId="3DA8077A" w14:textId="77777777" w:rsidTr="00EA6E27">
        <w:trPr>
          <w:jc w:val="right"/>
        </w:trPr>
        <w:tc>
          <w:tcPr>
            <w:tcW w:w="3425" w:type="dxa"/>
          </w:tcPr>
          <w:p w14:paraId="69F3B2B1" w14:textId="77777777" w:rsidR="00CB33C7" w:rsidRPr="00511BFC" w:rsidRDefault="00CB33C7" w:rsidP="00EA6E27">
            <w:pPr>
              <w:spacing w:before="40" w:after="40"/>
              <w:rPr>
                <w:rFonts w:cs="Arial"/>
                <w:b/>
                <w:bCs/>
                <w:szCs w:val="22"/>
              </w:rPr>
            </w:pPr>
            <w:r w:rsidRPr="00511BFC">
              <w:rPr>
                <w:rFonts w:cs="Arial"/>
                <w:szCs w:val="22"/>
                <w:lang w:eastAsia="it-IT"/>
              </w:rPr>
              <w:t>Прізвище Ім’я По-батькові:</w:t>
            </w:r>
          </w:p>
        </w:tc>
        <w:tc>
          <w:tcPr>
            <w:tcW w:w="6794" w:type="dxa"/>
            <w:gridSpan w:val="9"/>
          </w:tcPr>
          <w:p w14:paraId="451B26B0" w14:textId="77777777" w:rsidR="00CB33C7" w:rsidRPr="00511BFC" w:rsidRDefault="00CB33C7" w:rsidP="00EA6E27">
            <w:pPr>
              <w:spacing w:before="40" w:after="40"/>
              <w:rPr>
                <w:rFonts w:cs="Arial"/>
                <w:szCs w:val="22"/>
                <w:lang w:eastAsia="it-IT"/>
              </w:rPr>
            </w:pPr>
            <w:r w:rsidRPr="00511BFC">
              <w:rPr>
                <w:rFonts w:cs="Arial"/>
                <w:szCs w:val="22"/>
                <w:lang w:eastAsia="it-IT"/>
              </w:rPr>
              <w:t>Оленич Андрій Васильович</w:t>
            </w:r>
          </w:p>
        </w:tc>
      </w:tr>
      <w:tr w:rsidR="00CB33C7" w:rsidRPr="00C2587D" w14:paraId="005C99C1" w14:textId="77777777" w:rsidTr="00EA6E27">
        <w:trPr>
          <w:jc w:val="right"/>
        </w:trPr>
        <w:tc>
          <w:tcPr>
            <w:tcW w:w="3425" w:type="dxa"/>
          </w:tcPr>
          <w:p w14:paraId="7233AF7B" w14:textId="77777777" w:rsidR="00CB33C7" w:rsidRPr="00511BFC" w:rsidRDefault="00CB33C7" w:rsidP="00EA6E27">
            <w:pPr>
              <w:spacing w:before="40" w:after="40"/>
              <w:rPr>
                <w:rFonts w:cs="Arial"/>
                <w:b/>
                <w:bCs/>
                <w:szCs w:val="22"/>
              </w:rPr>
            </w:pPr>
            <w:r w:rsidRPr="00511BFC">
              <w:rPr>
                <w:rFonts w:cs="Arial"/>
                <w:szCs w:val="22"/>
                <w:lang w:eastAsia="it-IT"/>
              </w:rPr>
              <w:t>Телефон (мобільний):</w:t>
            </w:r>
          </w:p>
        </w:tc>
        <w:tc>
          <w:tcPr>
            <w:tcW w:w="6794" w:type="dxa"/>
            <w:gridSpan w:val="9"/>
          </w:tcPr>
          <w:p w14:paraId="43DFEB8F" w14:textId="77777777" w:rsidR="00CB33C7" w:rsidRPr="00511BFC" w:rsidRDefault="00CB33C7" w:rsidP="00EA6E27">
            <w:pPr>
              <w:spacing w:before="40" w:after="40"/>
              <w:rPr>
                <w:rFonts w:cs="Arial"/>
                <w:szCs w:val="22"/>
                <w:lang w:eastAsia="it-IT"/>
              </w:rPr>
            </w:pPr>
            <w:r w:rsidRPr="00511BFC">
              <w:rPr>
                <w:rFonts w:cs="Arial"/>
                <w:szCs w:val="22"/>
                <w:lang w:eastAsia="it-IT"/>
              </w:rPr>
              <w:t>0972561907</w:t>
            </w:r>
          </w:p>
        </w:tc>
      </w:tr>
      <w:tr w:rsidR="00CB33C7" w:rsidRPr="00C2587D" w14:paraId="6CE9D8B9" w14:textId="77777777" w:rsidTr="00EA6E27">
        <w:trPr>
          <w:jc w:val="right"/>
        </w:trPr>
        <w:tc>
          <w:tcPr>
            <w:tcW w:w="3425" w:type="dxa"/>
          </w:tcPr>
          <w:p w14:paraId="7B833B8E" w14:textId="77777777" w:rsidR="00CB33C7" w:rsidRPr="00511BFC" w:rsidRDefault="00CB33C7" w:rsidP="00EA6E27">
            <w:pPr>
              <w:spacing w:before="40" w:after="40"/>
              <w:rPr>
                <w:rFonts w:cs="Arial"/>
                <w:b/>
                <w:bCs/>
                <w:szCs w:val="22"/>
              </w:rPr>
            </w:pPr>
            <w:r w:rsidRPr="00511BFC">
              <w:rPr>
                <w:rFonts w:cs="Arial"/>
                <w:szCs w:val="22"/>
                <w:lang w:eastAsia="it-IT"/>
              </w:rPr>
              <w:t>Електронна адреса:</w:t>
            </w:r>
          </w:p>
        </w:tc>
        <w:tc>
          <w:tcPr>
            <w:tcW w:w="6794" w:type="dxa"/>
            <w:gridSpan w:val="9"/>
          </w:tcPr>
          <w:p w14:paraId="7490AA80" w14:textId="77777777" w:rsidR="00CB33C7" w:rsidRPr="00511BFC" w:rsidRDefault="00D85FFD" w:rsidP="00EA6E27">
            <w:pPr>
              <w:spacing w:before="40" w:after="40"/>
              <w:rPr>
                <w:rFonts w:cs="Arial"/>
                <w:szCs w:val="22"/>
                <w:lang w:eastAsia="it-IT"/>
              </w:rPr>
            </w:pPr>
            <w:hyperlink r:id="rId67" w:history="1">
              <w:r w:rsidR="00CB33C7" w:rsidRPr="00511BFC">
                <w:rPr>
                  <w:rStyle w:val="af0"/>
                  <w:rFonts w:cs="Arial"/>
                  <w:noProof w:val="0"/>
                  <w:sz w:val="22"/>
                  <w:szCs w:val="22"/>
                  <w:lang w:eastAsia="it-IT"/>
                </w:rPr>
                <w:t>Aolenych03@ukr.net</w:t>
              </w:r>
            </w:hyperlink>
          </w:p>
        </w:tc>
      </w:tr>
      <w:tr w:rsidR="00CB33C7" w:rsidRPr="00C2587D" w14:paraId="5E0C97FE" w14:textId="77777777" w:rsidTr="00EA6E27">
        <w:trPr>
          <w:jc w:val="right"/>
        </w:trPr>
        <w:tc>
          <w:tcPr>
            <w:tcW w:w="3425" w:type="dxa"/>
            <w:vAlign w:val="center"/>
          </w:tcPr>
          <w:p w14:paraId="622C2485" w14:textId="77777777" w:rsidR="00CB33C7" w:rsidRPr="00511BFC" w:rsidRDefault="00CB33C7" w:rsidP="00EA6E27">
            <w:pPr>
              <w:pStyle w:val="6"/>
              <w:spacing w:before="0" w:after="0"/>
              <w:rPr>
                <w:rFonts w:ascii="Arial" w:hAnsi="Arial" w:cs="Arial"/>
                <w:color w:val="000000"/>
                <w:lang w:val="uk-UA"/>
              </w:rPr>
            </w:pPr>
            <w:r w:rsidRPr="00511BFC">
              <w:rPr>
                <w:rFonts w:ascii="Arial" w:hAnsi="Arial" w:cs="Arial"/>
                <w:color w:val="000000"/>
                <w:lang w:val="uk-UA"/>
              </w:rPr>
              <w:t>Номер і назва завдання з Стратегії</w:t>
            </w:r>
            <w:r w:rsidRPr="00511BFC">
              <w:rPr>
                <w:rFonts w:ascii="Arial" w:hAnsi="Arial" w:cs="Arial"/>
                <w:lang w:val="uk-UA" w:eastAsia="it-IT"/>
              </w:rPr>
              <w:t xml:space="preserve"> </w:t>
            </w:r>
            <w:r w:rsidRPr="00511BFC">
              <w:rPr>
                <w:rFonts w:ascii="Arial" w:hAnsi="Arial" w:cs="Arial"/>
                <w:color w:val="000000"/>
                <w:lang w:val="uk-UA"/>
              </w:rPr>
              <w:t xml:space="preserve">розвитку Жмеринської міської </w:t>
            </w:r>
          </w:p>
        </w:tc>
        <w:tc>
          <w:tcPr>
            <w:tcW w:w="6794" w:type="dxa"/>
            <w:gridSpan w:val="9"/>
            <w:vAlign w:val="center"/>
          </w:tcPr>
          <w:p w14:paraId="5281F122" w14:textId="77777777" w:rsidR="00CB33C7" w:rsidRPr="00511BFC" w:rsidRDefault="00CB33C7" w:rsidP="00511BFC">
            <w:pPr>
              <w:suppressAutoHyphens/>
              <w:spacing w:before="20" w:after="20"/>
              <w:jc w:val="both"/>
              <w:rPr>
                <w:rFonts w:eastAsia="Lucida Sans Unicode" w:cs="Arial"/>
                <w:kern w:val="1"/>
                <w:szCs w:val="22"/>
                <w:lang w:eastAsia="ar-SA"/>
              </w:rPr>
            </w:pPr>
            <w:r w:rsidRPr="00511BFC">
              <w:rPr>
                <w:rFonts w:eastAsia="Lucida Sans Unicode" w:cs="Arial"/>
                <w:kern w:val="1"/>
                <w:szCs w:val="22"/>
                <w:lang w:eastAsia="ar-SA"/>
              </w:rPr>
              <w:t>В.1.2.1. Розвиток комфортного вуличного простору шляхом реконструкції площ, парків, пішохідних алей, скверів, набережних, зелених зон. На даних об’єктах передбачити поєднання сучасного архітектурного середовища та ландшафту, вільні зони WI-FI,  встановлення дитячих, спортивних майданчиків з відповідним покриттям, облаштування скейт-парків, будівництво фонтанів, зонування територій відпочинку, з метою врахування потреб різних верств населення.</w:t>
            </w:r>
          </w:p>
        </w:tc>
      </w:tr>
      <w:tr w:rsidR="00CB33C7" w:rsidRPr="00C2587D" w14:paraId="54D8B2AC" w14:textId="77777777" w:rsidTr="00EA6E27">
        <w:trPr>
          <w:jc w:val="right"/>
        </w:trPr>
        <w:tc>
          <w:tcPr>
            <w:tcW w:w="3425" w:type="dxa"/>
            <w:vAlign w:val="center"/>
          </w:tcPr>
          <w:p w14:paraId="242FC1AB" w14:textId="77777777" w:rsidR="00CB33C7" w:rsidRPr="00511BFC" w:rsidRDefault="00CB33C7" w:rsidP="00EA6E27">
            <w:pPr>
              <w:rPr>
                <w:rFonts w:cs="Arial"/>
                <w:b/>
                <w:bCs/>
                <w:color w:val="000000"/>
                <w:szCs w:val="22"/>
              </w:rPr>
            </w:pPr>
            <w:r w:rsidRPr="00511BFC">
              <w:rPr>
                <w:rFonts w:cs="Arial"/>
                <w:b/>
                <w:bCs/>
                <w:color w:val="000000"/>
                <w:szCs w:val="22"/>
              </w:rPr>
              <w:t>Мета проєкту:</w:t>
            </w:r>
          </w:p>
        </w:tc>
        <w:tc>
          <w:tcPr>
            <w:tcW w:w="6794" w:type="dxa"/>
            <w:gridSpan w:val="9"/>
          </w:tcPr>
          <w:p w14:paraId="57258128" w14:textId="013714C2" w:rsidR="00CB33C7" w:rsidRPr="00511BFC" w:rsidRDefault="00CB33C7" w:rsidP="00EA6E27">
            <w:pPr>
              <w:spacing w:before="40" w:after="40"/>
              <w:jc w:val="both"/>
              <w:rPr>
                <w:rFonts w:cs="Arial"/>
                <w:szCs w:val="22"/>
                <w:lang w:eastAsia="it-IT"/>
              </w:rPr>
            </w:pPr>
            <w:r w:rsidRPr="00511BFC">
              <w:rPr>
                <w:rFonts w:cs="Arial"/>
                <w:szCs w:val="22"/>
                <w:lang w:eastAsia="it-IT"/>
              </w:rPr>
              <w:t xml:space="preserve">Створення місця пам'яті в честь захисників </w:t>
            </w:r>
            <w:r w:rsidR="00511BFC" w:rsidRPr="00511BFC">
              <w:rPr>
                <w:rFonts w:cs="Arial"/>
                <w:szCs w:val="22"/>
                <w:lang w:eastAsia="it-IT"/>
              </w:rPr>
              <w:t>України</w:t>
            </w:r>
            <w:r w:rsidRPr="00511BFC">
              <w:rPr>
                <w:rFonts w:cs="Arial"/>
                <w:szCs w:val="22"/>
                <w:lang w:eastAsia="it-IT"/>
              </w:rPr>
              <w:t xml:space="preserve">, </w:t>
            </w:r>
            <w:r w:rsidR="00511BFC" w:rsidRPr="00511BFC">
              <w:rPr>
                <w:rFonts w:cs="Arial"/>
                <w:szCs w:val="22"/>
                <w:lang w:eastAsia="it-IT"/>
              </w:rPr>
              <w:t>увіковічення</w:t>
            </w:r>
            <w:r w:rsidRPr="00511BFC">
              <w:rPr>
                <w:rFonts w:cs="Arial"/>
                <w:szCs w:val="22"/>
                <w:lang w:eastAsia="it-IT"/>
              </w:rPr>
              <w:t xml:space="preserve"> їх подвигів для населення міста</w:t>
            </w:r>
          </w:p>
        </w:tc>
      </w:tr>
      <w:tr w:rsidR="00CB33C7" w:rsidRPr="00C2587D" w14:paraId="46ACB728" w14:textId="77777777" w:rsidTr="00EA6E27">
        <w:trPr>
          <w:jc w:val="right"/>
        </w:trPr>
        <w:tc>
          <w:tcPr>
            <w:tcW w:w="3425" w:type="dxa"/>
            <w:vAlign w:val="center"/>
          </w:tcPr>
          <w:p w14:paraId="184B53D8" w14:textId="77777777" w:rsidR="00CB33C7" w:rsidRPr="00511BFC" w:rsidRDefault="00CB33C7" w:rsidP="00EA6E27">
            <w:pPr>
              <w:rPr>
                <w:rFonts w:cs="Arial"/>
                <w:b/>
                <w:bCs/>
                <w:color w:val="000000"/>
                <w:szCs w:val="22"/>
              </w:rPr>
            </w:pPr>
            <w:r w:rsidRPr="00511BFC">
              <w:rPr>
                <w:rFonts w:cs="Arial"/>
                <w:b/>
                <w:bCs/>
                <w:color w:val="000000"/>
                <w:szCs w:val="22"/>
              </w:rPr>
              <w:t>Цілі проєкту:</w:t>
            </w:r>
          </w:p>
        </w:tc>
        <w:tc>
          <w:tcPr>
            <w:tcW w:w="6794" w:type="dxa"/>
            <w:gridSpan w:val="9"/>
          </w:tcPr>
          <w:p w14:paraId="1CDC3367" w14:textId="6CE79978" w:rsidR="00CB33C7" w:rsidRPr="00511BFC" w:rsidRDefault="00CB33C7" w:rsidP="00EA6E27">
            <w:pPr>
              <w:spacing w:before="40" w:after="40"/>
              <w:rPr>
                <w:rFonts w:cs="Arial"/>
                <w:szCs w:val="22"/>
                <w:lang w:eastAsia="it-IT"/>
              </w:rPr>
            </w:pPr>
            <w:r w:rsidRPr="00511BFC">
              <w:rPr>
                <w:rFonts w:cs="Arial"/>
                <w:szCs w:val="22"/>
                <w:lang w:eastAsia="it-IT"/>
              </w:rPr>
              <w:t xml:space="preserve">Покращити місця пам’яті захисників, створити гідний простір для </w:t>
            </w:r>
            <w:r w:rsidR="00511BFC" w:rsidRPr="00511BFC">
              <w:rPr>
                <w:rFonts w:cs="Arial"/>
                <w:szCs w:val="22"/>
                <w:lang w:eastAsia="it-IT"/>
              </w:rPr>
              <w:t>увіковічення</w:t>
            </w:r>
            <w:r w:rsidRPr="00511BFC">
              <w:rPr>
                <w:rFonts w:cs="Arial"/>
                <w:szCs w:val="22"/>
                <w:lang w:eastAsia="it-IT"/>
              </w:rPr>
              <w:t xml:space="preserve"> їх подвигів для населення в м. Жмеринка</w:t>
            </w:r>
          </w:p>
        </w:tc>
      </w:tr>
      <w:tr w:rsidR="00CB33C7" w:rsidRPr="00C2587D" w14:paraId="27C9E91D" w14:textId="77777777" w:rsidTr="00EA6E27">
        <w:trPr>
          <w:jc w:val="right"/>
        </w:trPr>
        <w:tc>
          <w:tcPr>
            <w:tcW w:w="3425" w:type="dxa"/>
            <w:vAlign w:val="center"/>
          </w:tcPr>
          <w:p w14:paraId="6AFB50F8" w14:textId="77777777" w:rsidR="00CB33C7" w:rsidRPr="00511BFC" w:rsidRDefault="00CB33C7" w:rsidP="00EA6E27">
            <w:pPr>
              <w:autoSpaceDE w:val="0"/>
              <w:autoSpaceDN w:val="0"/>
              <w:adjustRightInd w:val="0"/>
              <w:rPr>
                <w:rFonts w:cs="Arial"/>
                <w:b/>
                <w:color w:val="000000"/>
                <w:szCs w:val="22"/>
              </w:rPr>
            </w:pPr>
            <w:r w:rsidRPr="00511BFC">
              <w:rPr>
                <w:rFonts w:cs="Arial"/>
                <w:b/>
                <w:color w:val="000000"/>
                <w:szCs w:val="22"/>
              </w:rPr>
              <w:t>Територія на яку проєкт матиме вплив:</w:t>
            </w:r>
          </w:p>
        </w:tc>
        <w:tc>
          <w:tcPr>
            <w:tcW w:w="6794" w:type="dxa"/>
            <w:gridSpan w:val="9"/>
          </w:tcPr>
          <w:p w14:paraId="465E3952" w14:textId="33F69C77" w:rsidR="00CB33C7" w:rsidRPr="00511BFC" w:rsidRDefault="00CB33C7" w:rsidP="00EA6E27">
            <w:pPr>
              <w:spacing w:before="40" w:after="40"/>
              <w:rPr>
                <w:rFonts w:cs="Arial"/>
                <w:szCs w:val="22"/>
                <w:lang w:eastAsia="it-IT"/>
              </w:rPr>
            </w:pPr>
            <w:r w:rsidRPr="00511BFC">
              <w:rPr>
                <w:rFonts w:cs="Arial"/>
                <w:szCs w:val="22"/>
                <w:lang w:eastAsia="it-IT"/>
              </w:rPr>
              <w:t xml:space="preserve">Території </w:t>
            </w:r>
            <w:r w:rsidR="00511BFC" w:rsidRPr="00511BFC">
              <w:rPr>
                <w:rFonts w:cs="Arial"/>
                <w:szCs w:val="22"/>
                <w:lang w:eastAsia="it-IT"/>
              </w:rPr>
              <w:t>Жмеринська</w:t>
            </w:r>
            <w:r w:rsidRPr="00511BFC">
              <w:rPr>
                <w:rFonts w:cs="Arial"/>
                <w:szCs w:val="22"/>
                <w:lang w:eastAsia="it-IT"/>
              </w:rPr>
              <w:t xml:space="preserve"> ТМГ</w:t>
            </w:r>
          </w:p>
        </w:tc>
      </w:tr>
      <w:tr w:rsidR="00CB33C7" w:rsidRPr="00C2587D" w14:paraId="3CA42B5B" w14:textId="77777777" w:rsidTr="00EA6E27">
        <w:trPr>
          <w:jc w:val="right"/>
        </w:trPr>
        <w:tc>
          <w:tcPr>
            <w:tcW w:w="3425" w:type="dxa"/>
            <w:vAlign w:val="center"/>
          </w:tcPr>
          <w:p w14:paraId="0800CDB6" w14:textId="77777777" w:rsidR="00CB33C7" w:rsidRPr="00511BFC" w:rsidRDefault="00CB33C7" w:rsidP="00EA6E27">
            <w:pPr>
              <w:autoSpaceDE w:val="0"/>
              <w:autoSpaceDN w:val="0"/>
              <w:adjustRightInd w:val="0"/>
              <w:rPr>
                <w:rFonts w:cs="Arial"/>
                <w:b/>
                <w:color w:val="000000"/>
                <w:szCs w:val="22"/>
              </w:rPr>
            </w:pPr>
            <w:r w:rsidRPr="00511BFC">
              <w:rPr>
                <w:rFonts w:cs="Arial"/>
                <w:b/>
                <w:color w:val="000000"/>
                <w:szCs w:val="22"/>
              </w:rPr>
              <w:t>Цільові групи проєкту та кількість отримувачів вигоди</w:t>
            </w:r>
          </w:p>
        </w:tc>
        <w:tc>
          <w:tcPr>
            <w:tcW w:w="6794" w:type="dxa"/>
            <w:gridSpan w:val="9"/>
          </w:tcPr>
          <w:p w14:paraId="21E0803B" w14:textId="77777777" w:rsidR="00CB33C7" w:rsidRPr="00511BFC" w:rsidRDefault="00CB33C7" w:rsidP="00EA6E27">
            <w:pPr>
              <w:spacing w:before="40" w:after="40"/>
              <w:rPr>
                <w:rFonts w:cs="Arial"/>
                <w:szCs w:val="22"/>
                <w:lang w:eastAsia="it-IT"/>
              </w:rPr>
            </w:pPr>
            <w:r w:rsidRPr="00511BFC">
              <w:rPr>
                <w:rFonts w:cs="Arial"/>
                <w:szCs w:val="22"/>
                <w:lang w:eastAsia="it-IT"/>
              </w:rPr>
              <w:t>Жителі м. Жмеринка в кількості 34353 містян</w:t>
            </w:r>
          </w:p>
        </w:tc>
      </w:tr>
      <w:tr w:rsidR="00CB33C7" w:rsidRPr="00C2587D" w14:paraId="0251482A" w14:textId="77777777" w:rsidTr="00EA6E27">
        <w:trPr>
          <w:jc w:val="right"/>
        </w:trPr>
        <w:tc>
          <w:tcPr>
            <w:tcW w:w="3425" w:type="dxa"/>
            <w:shd w:val="clear" w:color="auto" w:fill="FFFFFF"/>
            <w:vAlign w:val="center"/>
          </w:tcPr>
          <w:p w14:paraId="01200653" w14:textId="77777777" w:rsidR="00CB33C7" w:rsidRPr="00511BFC" w:rsidRDefault="00CB33C7" w:rsidP="00EA6E27">
            <w:pPr>
              <w:rPr>
                <w:rFonts w:cs="Arial"/>
                <w:b/>
                <w:bCs/>
                <w:color w:val="000000"/>
                <w:szCs w:val="22"/>
              </w:rPr>
            </w:pPr>
            <w:r w:rsidRPr="00511BFC">
              <w:rPr>
                <w:rFonts w:cs="Arial"/>
                <w:b/>
                <w:bCs/>
                <w:color w:val="000000"/>
                <w:szCs w:val="22"/>
              </w:rPr>
              <w:t>Стислий опис проєкту:</w:t>
            </w:r>
          </w:p>
        </w:tc>
        <w:tc>
          <w:tcPr>
            <w:tcW w:w="6794" w:type="dxa"/>
            <w:gridSpan w:val="9"/>
          </w:tcPr>
          <w:p w14:paraId="449F3D79" w14:textId="77777777" w:rsidR="00CB33C7" w:rsidRPr="00511BFC" w:rsidRDefault="00CB33C7" w:rsidP="00EA6E27">
            <w:pPr>
              <w:spacing w:before="40" w:after="40"/>
              <w:jc w:val="both"/>
              <w:rPr>
                <w:rFonts w:cs="Arial"/>
                <w:szCs w:val="22"/>
                <w:lang w:eastAsia="it-IT"/>
              </w:rPr>
            </w:pPr>
            <w:r w:rsidRPr="00511BFC">
              <w:rPr>
                <w:rFonts w:cs="Arial"/>
                <w:szCs w:val="22"/>
                <w:lang w:eastAsia="it-IT"/>
              </w:rPr>
              <w:t>На даний час  площа не відповідає сучасним планувальним, естетичним вимогам, відсутній ландшафтний дизайн, знаходиться в занедбаному стані, досконале покриття площі відсутнє, освітлення площі застаріле та не відповідає сучасним вимогам та нормам ДБН.</w:t>
            </w:r>
          </w:p>
          <w:p w14:paraId="2C0621F4" w14:textId="75D7BFE8" w:rsidR="00CB33C7" w:rsidRPr="00511BFC" w:rsidRDefault="00CB33C7" w:rsidP="00EA6E27">
            <w:pPr>
              <w:spacing w:before="40" w:after="40"/>
              <w:rPr>
                <w:rFonts w:cs="Arial"/>
                <w:szCs w:val="22"/>
                <w:lang w:eastAsia="it-IT"/>
              </w:rPr>
            </w:pPr>
            <w:r w:rsidRPr="00511BFC">
              <w:rPr>
                <w:rFonts w:cs="Arial"/>
                <w:szCs w:val="22"/>
                <w:lang w:eastAsia="it-IT"/>
              </w:rPr>
              <w:t xml:space="preserve">Згідно </w:t>
            </w:r>
            <w:r w:rsidR="00314B9D">
              <w:rPr>
                <w:rFonts w:cs="Arial"/>
                <w:szCs w:val="22"/>
                <w:lang w:eastAsia="it-IT"/>
              </w:rPr>
              <w:t>проєкту</w:t>
            </w:r>
            <w:r w:rsidRPr="00511BFC">
              <w:rPr>
                <w:rFonts w:cs="Arial"/>
                <w:szCs w:val="22"/>
                <w:lang w:eastAsia="it-IT"/>
              </w:rPr>
              <w:t xml:space="preserve"> заплановано, встановити лавки, улаштовати ландшафтний дизайн та встановити пам’ятники захисникам.</w:t>
            </w:r>
          </w:p>
        </w:tc>
      </w:tr>
      <w:tr w:rsidR="00CB33C7" w:rsidRPr="00C2587D" w14:paraId="167E1901" w14:textId="77777777" w:rsidTr="00EA6E27">
        <w:trPr>
          <w:jc w:val="right"/>
        </w:trPr>
        <w:tc>
          <w:tcPr>
            <w:tcW w:w="3425" w:type="dxa"/>
            <w:shd w:val="clear" w:color="auto" w:fill="FFFFFF"/>
            <w:vAlign w:val="center"/>
          </w:tcPr>
          <w:p w14:paraId="034A216B" w14:textId="77777777" w:rsidR="00CB33C7" w:rsidRPr="00511BFC" w:rsidRDefault="00CB33C7" w:rsidP="00EA6E27">
            <w:pPr>
              <w:rPr>
                <w:rFonts w:cs="Arial"/>
                <w:b/>
                <w:bCs/>
                <w:color w:val="000000"/>
                <w:szCs w:val="22"/>
              </w:rPr>
            </w:pPr>
            <w:r w:rsidRPr="00511BFC">
              <w:rPr>
                <w:rFonts w:cs="Arial"/>
                <w:b/>
                <w:bCs/>
                <w:color w:val="000000"/>
                <w:szCs w:val="22"/>
              </w:rPr>
              <w:t>Основні заходи проєкту:</w:t>
            </w:r>
          </w:p>
        </w:tc>
        <w:tc>
          <w:tcPr>
            <w:tcW w:w="6794" w:type="dxa"/>
            <w:gridSpan w:val="9"/>
          </w:tcPr>
          <w:p w14:paraId="4DF0B527" w14:textId="1649D93C" w:rsidR="00CB33C7" w:rsidRPr="00511BFC" w:rsidRDefault="00CB33C7" w:rsidP="00EA6E27">
            <w:pPr>
              <w:spacing w:before="40" w:after="40"/>
              <w:jc w:val="both"/>
              <w:rPr>
                <w:rFonts w:cs="Arial"/>
                <w:szCs w:val="22"/>
                <w:lang w:eastAsia="it-IT"/>
              </w:rPr>
            </w:pPr>
            <w:r w:rsidRPr="00511BFC">
              <w:rPr>
                <w:rFonts w:cs="Arial"/>
                <w:szCs w:val="22"/>
                <w:lang w:eastAsia="it-IT"/>
              </w:rPr>
              <w:t>Створення робочо</w:t>
            </w:r>
            <w:r w:rsidR="00FD0B1E">
              <w:rPr>
                <w:rFonts w:cs="Arial"/>
                <w:szCs w:val="22"/>
                <w:lang w:eastAsia="it-IT"/>
              </w:rPr>
              <w:t>ї групи з питань реалізації проє</w:t>
            </w:r>
            <w:r w:rsidRPr="00511BFC">
              <w:rPr>
                <w:rFonts w:cs="Arial"/>
                <w:szCs w:val="22"/>
                <w:lang w:eastAsia="it-IT"/>
              </w:rPr>
              <w:t xml:space="preserve">кту. </w:t>
            </w:r>
          </w:p>
          <w:p w14:paraId="26627B3F" w14:textId="77777777" w:rsidR="00CB33C7" w:rsidRPr="00511BFC" w:rsidRDefault="00CB33C7" w:rsidP="00EA6E27">
            <w:pPr>
              <w:spacing w:before="40" w:after="40"/>
              <w:jc w:val="both"/>
              <w:rPr>
                <w:rFonts w:cs="Arial"/>
                <w:szCs w:val="22"/>
                <w:lang w:eastAsia="it-IT"/>
              </w:rPr>
            </w:pPr>
            <w:r w:rsidRPr="00511BFC">
              <w:rPr>
                <w:rFonts w:cs="Arial"/>
                <w:szCs w:val="22"/>
                <w:lang w:eastAsia="it-IT"/>
              </w:rPr>
              <w:t>Проведення процедури закупівель (визначення виконавця робіт).</w:t>
            </w:r>
          </w:p>
          <w:p w14:paraId="2B1EE92B" w14:textId="77777777" w:rsidR="00CB33C7" w:rsidRPr="00511BFC" w:rsidRDefault="00CB33C7" w:rsidP="00EA6E27">
            <w:pPr>
              <w:spacing w:before="40" w:after="40"/>
              <w:jc w:val="both"/>
              <w:rPr>
                <w:rFonts w:cs="Arial"/>
                <w:szCs w:val="22"/>
                <w:lang w:eastAsia="it-IT"/>
              </w:rPr>
            </w:pPr>
            <w:r w:rsidRPr="00511BFC">
              <w:rPr>
                <w:rFonts w:cs="Arial"/>
                <w:szCs w:val="22"/>
                <w:lang w:eastAsia="it-IT"/>
              </w:rPr>
              <w:t>Укладення договорів з виконавцем робіт, організаціями, що здійснюватимуть  технічний та авторський  нагляд .</w:t>
            </w:r>
          </w:p>
          <w:p w14:paraId="5BE3E2D2" w14:textId="77777777" w:rsidR="00CB33C7" w:rsidRPr="00511BFC" w:rsidRDefault="00CB33C7" w:rsidP="00EA6E27">
            <w:pPr>
              <w:spacing w:before="40" w:after="40"/>
              <w:jc w:val="both"/>
              <w:rPr>
                <w:rFonts w:cs="Arial"/>
                <w:szCs w:val="22"/>
                <w:lang w:eastAsia="it-IT"/>
              </w:rPr>
            </w:pPr>
            <w:r w:rsidRPr="00511BFC">
              <w:rPr>
                <w:rFonts w:cs="Arial"/>
                <w:szCs w:val="22"/>
                <w:lang w:eastAsia="it-IT"/>
              </w:rPr>
              <w:t xml:space="preserve">Виконання робіт з </w:t>
            </w:r>
            <w:r w:rsidRPr="00511BFC">
              <w:rPr>
                <w:rFonts w:eastAsia="Arial" w:cs="Arial"/>
                <w:szCs w:val="22"/>
                <w:lang w:eastAsia="en-US"/>
              </w:rPr>
              <w:t>капітального ремонту з облаштуванням благоустрою території місць поховань полеглих захисників України по вул. Одеська в м. Жмеринка Вінницької області.</w:t>
            </w:r>
          </w:p>
          <w:p w14:paraId="50818813" w14:textId="0F1FFCEA" w:rsidR="00CB33C7" w:rsidRPr="00511BFC" w:rsidRDefault="00CB33C7" w:rsidP="00EA6E27">
            <w:pPr>
              <w:spacing w:before="40" w:after="40"/>
              <w:jc w:val="both"/>
              <w:rPr>
                <w:rFonts w:cs="Arial"/>
                <w:szCs w:val="22"/>
                <w:lang w:eastAsia="it-IT"/>
              </w:rPr>
            </w:pPr>
            <w:r w:rsidRPr="00511BFC">
              <w:rPr>
                <w:rFonts w:cs="Arial"/>
                <w:szCs w:val="22"/>
                <w:lang w:eastAsia="it-IT"/>
              </w:rPr>
              <w:t>В</w:t>
            </w:r>
            <w:r w:rsidR="00FD0B1E">
              <w:rPr>
                <w:rFonts w:cs="Arial"/>
                <w:szCs w:val="22"/>
                <w:lang w:eastAsia="it-IT"/>
              </w:rPr>
              <w:t>ведення  об’єкту в експлуатацію</w:t>
            </w:r>
            <w:r w:rsidRPr="00511BFC">
              <w:rPr>
                <w:rFonts w:cs="Arial"/>
                <w:szCs w:val="22"/>
                <w:lang w:eastAsia="it-IT"/>
              </w:rPr>
              <w:t>.</w:t>
            </w:r>
          </w:p>
          <w:p w14:paraId="144E2F6D" w14:textId="19491C41" w:rsidR="00CB33C7" w:rsidRPr="00511BFC" w:rsidRDefault="00CB33C7" w:rsidP="00EA6E27">
            <w:pPr>
              <w:spacing w:before="40" w:after="40"/>
              <w:rPr>
                <w:rFonts w:cs="Arial"/>
                <w:szCs w:val="22"/>
                <w:lang w:eastAsia="it-IT"/>
              </w:rPr>
            </w:pPr>
            <w:r w:rsidRPr="00511BFC">
              <w:rPr>
                <w:rFonts w:cs="Arial"/>
                <w:szCs w:val="22"/>
                <w:lang w:eastAsia="it-IT"/>
              </w:rPr>
              <w:t xml:space="preserve">Проведення інформаційних заходів (розміщення  </w:t>
            </w:r>
            <w:r w:rsidR="00FD0B1E">
              <w:rPr>
                <w:rFonts w:cs="Arial"/>
                <w:szCs w:val="22"/>
                <w:lang w:eastAsia="it-IT"/>
              </w:rPr>
              <w:t>інформації  про реалізацію  проє</w:t>
            </w:r>
            <w:r w:rsidRPr="00511BFC">
              <w:rPr>
                <w:rFonts w:cs="Arial"/>
                <w:szCs w:val="22"/>
                <w:lang w:eastAsia="it-IT"/>
              </w:rPr>
              <w:t>кту у ЗМІ) .</w:t>
            </w:r>
          </w:p>
        </w:tc>
      </w:tr>
      <w:tr w:rsidR="00CB33C7" w:rsidRPr="00C2587D" w14:paraId="7EB26114" w14:textId="77777777" w:rsidTr="00EA6E27">
        <w:trPr>
          <w:jc w:val="right"/>
        </w:trPr>
        <w:tc>
          <w:tcPr>
            <w:tcW w:w="3425" w:type="dxa"/>
            <w:shd w:val="clear" w:color="auto" w:fill="FFFFFF"/>
            <w:vAlign w:val="center"/>
          </w:tcPr>
          <w:p w14:paraId="7E91FBE0" w14:textId="77777777" w:rsidR="00CB33C7" w:rsidRPr="00511BFC" w:rsidRDefault="00CB33C7" w:rsidP="00EA6E27">
            <w:pPr>
              <w:rPr>
                <w:rFonts w:cs="Arial"/>
                <w:b/>
                <w:bCs/>
                <w:color w:val="000000"/>
                <w:szCs w:val="22"/>
              </w:rPr>
            </w:pPr>
            <w:r w:rsidRPr="00511BFC">
              <w:rPr>
                <w:rFonts w:cs="Arial"/>
                <w:b/>
                <w:bCs/>
                <w:color w:val="000000"/>
                <w:szCs w:val="22"/>
              </w:rPr>
              <w:t>Індикатори (показники) результативності:</w:t>
            </w:r>
          </w:p>
        </w:tc>
        <w:tc>
          <w:tcPr>
            <w:tcW w:w="6794" w:type="dxa"/>
            <w:gridSpan w:val="9"/>
          </w:tcPr>
          <w:p w14:paraId="4178A946" w14:textId="77777777" w:rsidR="00CB33C7" w:rsidRPr="00511BFC" w:rsidRDefault="00CB33C7" w:rsidP="00EA6E27">
            <w:pPr>
              <w:widowControl w:val="0"/>
              <w:tabs>
                <w:tab w:val="left" w:pos="5829"/>
                <w:tab w:val="left" w:pos="9720"/>
                <w:tab w:val="left" w:pos="10357"/>
              </w:tabs>
              <w:autoSpaceDE w:val="0"/>
              <w:autoSpaceDN w:val="0"/>
              <w:spacing w:before="106"/>
              <w:ind w:right="-107"/>
              <w:rPr>
                <w:rFonts w:eastAsia="Arial" w:cs="Arial"/>
                <w:szCs w:val="22"/>
                <w:vertAlign w:val="superscript"/>
                <w:lang w:eastAsia="en-US"/>
              </w:rPr>
            </w:pPr>
            <w:r w:rsidRPr="00511BFC">
              <w:rPr>
                <w:rFonts w:eastAsia="Arial" w:cs="Arial"/>
                <w:szCs w:val="22"/>
                <w:lang w:eastAsia="en-US"/>
              </w:rPr>
              <w:t>Площа ділянки виконання робіт 1364,86 м</w:t>
            </w:r>
            <w:r w:rsidRPr="00511BFC">
              <w:rPr>
                <w:rFonts w:eastAsia="Arial" w:cs="Arial"/>
                <w:szCs w:val="22"/>
                <w:vertAlign w:val="superscript"/>
                <w:lang w:eastAsia="en-US"/>
              </w:rPr>
              <w:t>2</w:t>
            </w:r>
          </w:p>
          <w:p w14:paraId="4D02C7A8" w14:textId="77777777" w:rsidR="00CB33C7" w:rsidRPr="00511BFC" w:rsidRDefault="00CB33C7" w:rsidP="00EA6E27">
            <w:pPr>
              <w:spacing w:before="40" w:after="40"/>
              <w:rPr>
                <w:rFonts w:cs="Arial"/>
                <w:szCs w:val="22"/>
                <w:lang w:eastAsia="it-IT"/>
              </w:rPr>
            </w:pPr>
            <w:r w:rsidRPr="00511BFC">
              <w:rPr>
                <w:rFonts w:eastAsia="Arial" w:cs="Arial"/>
                <w:szCs w:val="22"/>
                <w:lang w:eastAsia="en-US"/>
              </w:rPr>
              <w:t>Площа озеленення 144,8 м</w:t>
            </w:r>
            <w:r w:rsidRPr="00511BFC">
              <w:rPr>
                <w:rFonts w:eastAsia="Arial" w:cs="Arial"/>
                <w:szCs w:val="22"/>
                <w:vertAlign w:val="superscript"/>
                <w:lang w:eastAsia="en-US"/>
              </w:rPr>
              <w:t>2</w:t>
            </w:r>
          </w:p>
        </w:tc>
      </w:tr>
      <w:tr w:rsidR="00CB33C7" w:rsidRPr="00C2587D" w14:paraId="2BF285FD" w14:textId="77777777" w:rsidTr="00EA6E27">
        <w:trPr>
          <w:jc w:val="right"/>
        </w:trPr>
        <w:tc>
          <w:tcPr>
            <w:tcW w:w="3425" w:type="dxa"/>
            <w:shd w:val="clear" w:color="auto" w:fill="FFFFFF"/>
            <w:vAlign w:val="center"/>
          </w:tcPr>
          <w:p w14:paraId="1C432F6F" w14:textId="77777777" w:rsidR="00CB33C7" w:rsidRPr="00511BFC" w:rsidRDefault="00CB33C7" w:rsidP="00EA6E27">
            <w:pPr>
              <w:rPr>
                <w:rFonts w:cs="Arial"/>
                <w:b/>
                <w:color w:val="000000"/>
                <w:szCs w:val="22"/>
              </w:rPr>
            </w:pPr>
            <w:r w:rsidRPr="00511BFC">
              <w:rPr>
                <w:rFonts w:cs="Arial"/>
                <w:b/>
                <w:color w:val="000000"/>
                <w:szCs w:val="22"/>
              </w:rPr>
              <w:t xml:space="preserve">Період здійснення: </w:t>
            </w:r>
          </w:p>
        </w:tc>
        <w:tc>
          <w:tcPr>
            <w:tcW w:w="6794" w:type="dxa"/>
            <w:gridSpan w:val="9"/>
            <w:vAlign w:val="center"/>
          </w:tcPr>
          <w:p w14:paraId="587F6FD8" w14:textId="77777777" w:rsidR="00CB33C7" w:rsidRPr="00511BFC" w:rsidRDefault="00CB33C7" w:rsidP="00EA6E27">
            <w:pPr>
              <w:rPr>
                <w:rFonts w:cs="Arial"/>
                <w:color w:val="000000"/>
                <w:szCs w:val="22"/>
                <w:lang w:eastAsia="it-IT"/>
              </w:rPr>
            </w:pPr>
            <w:r w:rsidRPr="00511BFC">
              <w:rPr>
                <w:rFonts w:cs="Arial"/>
                <w:b/>
                <w:color w:val="000000"/>
                <w:szCs w:val="22"/>
              </w:rPr>
              <w:t>2025 – 2028 роки:</w:t>
            </w:r>
          </w:p>
        </w:tc>
      </w:tr>
      <w:tr w:rsidR="00CB33C7" w:rsidRPr="00C2587D" w14:paraId="4AFA0658" w14:textId="77777777" w:rsidTr="00EA6E27">
        <w:trPr>
          <w:jc w:val="right"/>
        </w:trPr>
        <w:tc>
          <w:tcPr>
            <w:tcW w:w="3425" w:type="dxa"/>
            <w:vMerge w:val="restart"/>
            <w:shd w:val="clear" w:color="auto" w:fill="FFFFFF"/>
            <w:vAlign w:val="center"/>
          </w:tcPr>
          <w:p w14:paraId="120B108E" w14:textId="77777777" w:rsidR="00CB33C7" w:rsidRPr="00511BFC" w:rsidRDefault="00CB33C7" w:rsidP="00EA6E27">
            <w:pPr>
              <w:rPr>
                <w:rFonts w:cs="Arial"/>
                <w:b/>
                <w:bCs/>
                <w:color w:val="000000"/>
                <w:szCs w:val="22"/>
              </w:rPr>
            </w:pPr>
            <w:r w:rsidRPr="00511BFC">
              <w:rPr>
                <w:rFonts w:cs="Arial"/>
                <w:b/>
                <w:bCs/>
                <w:color w:val="000000"/>
                <w:szCs w:val="22"/>
              </w:rPr>
              <w:t>Орієнтовна вартість проєкту, тис. грн., в тому числі:</w:t>
            </w:r>
          </w:p>
        </w:tc>
        <w:tc>
          <w:tcPr>
            <w:tcW w:w="1254" w:type="dxa"/>
            <w:shd w:val="clear" w:color="auto" w:fill="E6E6E6"/>
            <w:vAlign w:val="center"/>
          </w:tcPr>
          <w:p w14:paraId="4D86E2AA" w14:textId="77777777" w:rsidR="00CB33C7" w:rsidRPr="00511BFC" w:rsidRDefault="00CB33C7" w:rsidP="00EA6E27">
            <w:pPr>
              <w:jc w:val="center"/>
              <w:rPr>
                <w:rFonts w:cs="Arial"/>
                <w:b/>
                <w:color w:val="000000"/>
                <w:szCs w:val="22"/>
                <w:lang w:eastAsia="it-IT"/>
              </w:rPr>
            </w:pPr>
            <w:r w:rsidRPr="00511BFC">
              <w:rPr>
                <w:rFonts w:cs="Arial"/>
                <w:b/>
                <w:color w:val="000000"/>
                <w:szCs w:val="22"/>
                <w:lang w:eastAsia="it-IT"/>
              </w:rPr>
              <w:t>2025</w:t>
            </w:r>
          </w:p>
        </w:tc>
        <w:tc>
          <w:tcPr>
            <w:tcW w:w="1412" w:type="dxa"/>
            <w:gridSpan w:val="2"/>
            <w:shd w:val="clear" w:color="auto" w:fill="E6E6E6"/>
            <w:vAlign w:val="center"/>
          </w:tcPr>
          <w:p w14:paraId="4AB26DBF" w14:textId="77777777" w:rsidR="00CB33C7" w:rsidRPr="00511BFC" w:rsidRDefault="00CB33C7" w:rsidP="00EA6E27">
            <w:pPr>
              <w:jc w:val="center"/>
              <w:rPr>
                <w:rFonts w:cs="Arial"/>
                <w:b/>
                <w:color w:val="000000"/>
                <w:szCs w:val="22"/>
                <w:lang w:eastAsia="it-IT"/>
              </w:rPr>
            </w:pPr>
            <w:r w:rsidRPr="00511BFC">
              <w:rPr>
                <w:rFonts w:cs="Arial"/>
                <w:b/>
                <w:color w:val="000000"/>
                <w:szCs w:val="22"/>
                <w:lang w:eastAsia="it-IT"/>
              </w:rPr>
              <w:t>2026</w:t>
            </w:r>
          </w:p>
        </w:tc>
        <w:tc>
          <w:tcPr>
            <w:tcW w:w="1281" w:type="dxa"/>
            <w:gridSpan w:val="2"/>
            <w:tcBorders>
              <w:bottom w:val="single" w:sz="4" w:space="0" w:color="auto"/>
            </w:tcBorders>
            <w:shd w:val="clear" w:color="auto" w:fill="E6E6E6"/>
            <w:vAlign w:val="center"/>
          </w:tcPr>
          <w:p w14:paraId="3A2917FF" w14:textId="77777777" w:rsidR="00CB33C7" w:rsidRPr="00511BFC" w:rsidRDefault="00CB33C7" w:rsidP="00EA6E27">
            <w:pPr>
              <w:jc w:val="center"/>
              <w:rPr>
                <w:rFonts w:cs="Arial"/>
                <w:b/>
                <w:color w:val="000000"/>
                <w:szCs w:val="22"/>
                <w:lang w:eastAsia="it-IT"/>
              </w:rPr>
            </w:pPr>
            <w:r w:rsidRPr="00511BFC">
              <w:rPr>
                <w:rFonts w:cs="Arial"/>
                <w:b/>
                <w:color w:val="000000"/>
                <w:szCs w:val="22"/>
                <w:lang w:eastAsia="it-IT"/>
              </w:rPr>
              <w:t>2027</w:t>
            </w:r>
          </w:p>
        </w:tc>
        <w:tc>
          <w:tcPr>
            <w:tcW w:w="1276" w:type="dxa"/>
            <w:gridSpan w:val="2"/>
            <w:shd w:val="clear" w:color="auto" w:fill="E6E6E6"/>
            <w:vAlign w:val="center"/>
          </w:tcPr>
          <w:p w14:paraId="558A62C8" w14:textId="77777777" w:rsidR="00CB33C7" w:rsidRPr="00511BFC" w:rsidRDefault="00CB33C7" w:rsidP="00EA6E27">
            <w:pPr>
              <w:jc w:val="center"/>
              <w:rPr>
                <w:rFonts w:cs="Arial"/>
                <w:b/>
                <w:color w:val="000000"/>
                <w:szCs w:val="22"/>
                <w:lang w:eastAsia="it-IT"/>
              </w:rPr>
            </w:pPr>
            <w:r w:rsidRPr="00511BFC">
              <w:rPr>
                <w:rFonts w:cs="Arial"/>
                <w:b/>
                <w:color w:val="000000"/>
                <w:szCs w:val="22"/>
                <w:lang w:eastAsia="it-IT"/>
              </w:rPr>
              <w:t>2028</w:t>
            </w:r>
          </w:p>
        </w:tc>
        <w:tc>
          <w:tcPr>
            <w:tcW w:w="1571" w:type="dxa"/>
            <w:gridSpan w:val="2"/>
            <w:shd w:val="clear" w:color="auto" w:fill="E6E6E6"/>
            <w:vAlign w:val="center"/>
          </w:tcPr>
          <w:p w14:paraId="38FC87FF" w14:textId="77777777" w:rsidR="00CB33C7" w:rsidRPr="00511BFC" w:rsidRDefault="00CB33C7" w:rsidP="00EA6E27">
            <w:pPr>
              <w:jc w:val="center"/>
              <w:rPr>
                <w:rFonts w:cs="Arial"/>
                <w:b/>
                <w:color w:val="000000"/>
                <w:szCs w:val="22"/>
                <w:lang w:eastAsia="it-IT"/>
              </w:rPr>
            </w:pPr>
            <w:r w:rsidRPr="00511BFC">
              <w:rPr>
                <w:rFonts w:cs="Arial"/>
                <w:b/>
                <w:color w:val="000000"/>
                <w:szCs w:val="22"/>
                <w:lang w:eastAsia="it-IT"/>
              </w:rPr>
              <w:t>РАЗОМ</w:t>
            </w:r>
          </w:p>
        </w:tc>
      </w:tr>
      <w:tr w:rsidR="00CB33C7" w:rsidRPr="00C2587D" w14:paraId="29D84340" w14:textId="77777777" w:rsidTr="00EA6E27">
        <w:trPr>
          <w:jc w:val="right"/>
        </w:trPr>
        <w:tc>
          <w:tcPr>
            <w:tcW w:w="3425" w:type="dxa"/>
            <w:vMerge/>
            <w:shd w:val="clear" w:color="auto" w:fill="FFFFFF"/>
            <w:vAlign w:val="center"/>
          </w:tcPr>
          <w:p w14:paraId="74D24D76" w14:textId="77777777" w:rsidR="00CB33C7" w:rsidRPr="00511BFC" w:rsidRDefault="00CB33C7" w:rsidP="00EA6E27">
            <w:pPr>
              <w:rPr>
                <w:rFonts w:cs="Arial"/>
                <w:b/>
                <w:bCs/>
                <w:color w:val="000000"/>
                <w:szCs w:val="22"/>
              </w:rPr>
            </w:pPr>
          </w:p>
        </w:tc>
        <w:tc>
          <w:tcPr>
            <w:tcW w:w="1254" w:type="dxa"/>
            <w:vAlign w:val="center"/>
          </w:tcPr>
          <w:p w14:paraId="42F28C7F" w14:textId="77777777" w:rsidR="00CB33C7" w:rsidRPr="00511BFC" w:rsidRDefault="00CB33C7" w:rsidP="00EA6E27">
            <w:pPr>
              <w:jc w:val="center"/>
              <w:rPr>
                <w:rFonts w:cs="Arial"/>
                <w:b/>
                <w:color w:val="000000"/>
                <w:szCs w:val="22"/>
                <w:lang w:eastAsia="it-IT"/>
              </w:rPr>
            </w:pPr>
          </w:p>
        </w:tc>
        <w:tc>
          <w:tcPr>
            <w:tcW w:w="1412" w:type="dxa"/>
            <w:gridSpan w:val="2"/>
            <w:shd w:val="clear" w:color="auto" w:fill="FFFFFF"/>
            <w:vAlign w:val="center"/>
          </w:tcPr>
          <w:p w14:paraId="6E04BBE0" w14:textId="77777777" w:rsidR="00CB33C7" w:rsidRPr="00511BFC" w:rsidRDefault="00CB33C7" w:rsidP="00EA6E27">
            <w:pPr>
              <w:jc w:val="center"/>
              <w:rPr>
                <w:rFonts w:cs="Arial"/>
                <w:b/>
                <w:color w:val="000000"/>
                <w:szCs w:val="22"/>
                <w:lang w:eastAsia="it-IT"/>
              </w:rPr>
            </w:pPr>
            <w:r w:rsidRPr="00511BFC">
              <w:rPr>
                <w:rFonts w:cs="Arial"/>
                <w:b/>
                <w:color w:val="000000"/>
                <w:szCs w:val="22"/>
                <w:lang w:eastAsia="it-IT"/>
              </w:rPr>
              <w:t>7865,374</w:t>
            </w:r>
          </w:p>
        </w:tc>
        <w:tc>
          <w:tcPr>
            <w:tcW w:w="1281" w:type="dxa"/>
            <w:gridSpan w:val="2"/>
            <w:shd w:val="clear" w:color="auto" w:fill="auto"/>
            <w:vAlign w:val="center"/>
          </w:tcPr>
          <w:p w14:paraId="46A8751D" w14:textId="77777777" w:rsidR="00CB33C7" w:rsidRPr="00511BFC" w:rsidRDefault="00CB33C7" w:rsidP="00EA6E27">
            <w:pPr>
              <w:jc w:val="center"/>
              <w:rPr>
                <w:rFonts w:cs="Arial"/>
                <w:b/>
                <w:color w:val="000000"/>
                <w:szCs w:val="22"/>
                <w:lang w:eastAsia="it-IT"/>
              </w:rPr>
            </w:pPr>
          </w:p>
        </w:tc>
        <w:tc>
          <w:tcPr>
            <w:tcW w:w="1276" w:type="dxa"/>
            <w:gridSpan w:val="2"/>
            <w:shd w:val="clear" w:color="auto" w:fill="FFFFFF"/>
            <w:vAlign w:val="center"/>
          </w:tcPr>
          <w:p w14:paraId="47A1B360" w14:textId="77777777" w:rsidR="00CB33C7" w:rsidRPr="00511BFC" w:rsidRDefault="00CB33C7" w:rsidP="00EA6E27">
            <w:pPr>
              <w:jc w:val="center"/>
              <w:rPr>
                <w:rFonts w:cs="Arial"/>
                <w:b/>
                <w:color w:val="000000"/>
                <w:szCs w:val="22"/>
                <w:lang w:eastAsia="it-IT"/>
              </w:rPr>
            </w:pPr>
          </w:p>
        </w:tc>
        <w:tc>
          <w:tcPr>
            <w:tcW w:w="1571" w:type="dxa"/>
            <w:gridSpan w:val="2"/>
            <w:shd w:val="clear" w:color="auto" w:fill="FFFFFF"/>
            <w:vAlign w:val="center"/>
          </w:tcPr>
          <w:p w14:paraId="216B3B8D" w14:textId="77777777" w:rsidR="00CB33C7" w:rsidRPr="00511BFC" w:rsidRDefault="00CB33C7" w:rsidP="00EA6E27">
            <w:pPr>
              <w:jc w:val="center"/>
              <w:rPr>
                <w:rFonts w:cs="Arial"/>
                <w:b/>
                <w:color w:val="000000"/>
                <w:szCs w:val="22"/>
                <w:lang w:eastAsia="it-IT"/>
              </w:rPr>
            </w:pPr>
            <w:r w:rsidRPr="00511BFC">
              <w:rPr>
                <w:rFonts w:cs="Arial"/>
                <w:b/>
                <w:color w:val="000000"/>
                <w:szCs w:val="22"/>
                <w:lang w:eastAsia="it-IT"/>
              </w:rPr>
              <w:t>7865,374</w:t>
            </w:r>
          </w:p>
        </w:tc>
      </w:tr>
      <w:tr w:rsidR="00CB33C7" w:rsidRPr="00C2587D" w14:paraId="390984E1" w14:textId="77777777" w:rsidTr="00EA6E27">
        <w:trPr>
          <w:trHeight w:val="276"/>
          <w:jc w:val="right"/>
        </w:trPr>
        <w:tc>
          <w:tcPr>
            <w:tcW w:w="3425" w:type="dxa"/>
            <w:shd w:val="clear" w:color="auto" w:fill="FFFFFF"/>
            <w:vAlign w:val="center"/>
          </w:tcPr>
          <w:p w14:paraId="6898BC79" w14:textId="77777777" w:rsidR="00CB33C7" w:rsidRPr="00511BFC" w:rsidRDefault="00CB33C7" w:rsidP="00EA6E27">
            <w:pPr>
              <w:rPr>
                <w:rFonts w:cs="Arial"/>
                <w:b/>
                <w:bCs/>
                <w:color w:val="000000"/>
                <w:szCs w:val="22"/>
              </w:rPr>
            </w:pPr>
            <w:r w:rsidRPr="00511BFC">
              <w:rPr>
                <w:rFonts w:cs="Arial"/>
                <w:b/>
                <w:bCs/>
                <w:color w:val="000000"/>
                <w:szCs w:val="22"/>
              </w:rPr>
              <w:t>по джерелах фінансування:</w:t>
            </w:r>
          </w:p>
        </w:tc>
        <w:tc>
          <w:tcPr>
            <w:tcW w:w="6794" w:type="dxa"/>
            <w:gridSpan w:val="9"/>
            <w:vAlign w:val="center"/>
          </w:tcPr>
          <w:p w14:paraId="46836013" w14:textId="77777777" w:rsidR="00CB33C7" w:rsidRPr="00511BFC" w:rsidRDefault="00CB33C7" w:rsidP="00EA6E27">
            <w:pPr>
              <w:jc w:val="both"/>
              <w:rPr>
                <w:rFonts w:cs="Arial"/>
                <w:color w:val="000000"/>
                <w:szCs w:val="22"/>
                <w:lang w:eastAsia="it-IT"/>
              </w:rPr>
            </w:pPr>
          </w:p>
        </w:tc>
      </w:tr>
      <w:tr w:rsidR="00E87218" w:rsidRPr="00C2587D" w14:paraId="667593CC" w14:textId="55AD1E8C" w:rsidTr="00E87218">
        <w:trPr>
          <w:trHeight w:val="240"/>
          <w:jc w:val="right"/>
        </w:trPr>
        <w:tc>
          <w:tcPr>
            <w:tcW w:w="3425" w:type="dxa"/>
            <w:shd w:val="clear" w:color="auto" w:fill="FFFFFF"/>
            <w:vAlign w:val="center"/>
          </w:tcPr>
          <w:p w14:paraId="3D3B8C9F" w14:textId="77777777" w:rsidR="00E87218" w:rsidRPr="00511BFC" w:rsidRDefault="00E87218" w:rsidP="00EA6E27">
            <w:pPr>
              <w:rPr>
                <w:rFonts w:cs="Arial"/>
                <w:b/>
                <w:bCs/>
                <w:color w:val="000000"/>
                <w:szCs w:val="22"/>
              </w:rPr>
            </w:pPr>
            <w:r w:rsidRPr="00511BFC">
              <w:rPr>
                <w:rFonts w:cs="Arial"/>
                <w:color w:val="000000"/>
                <w:szCs w:val="22"/>
              </w:rPr>
              <w:t>- державний бюджет</w:t>
            </w:r>
          </w:p>
        </w:tc>
        <w:tc>
          <w:tcPr>
            <w:tcW w:w="1290" w:type="dxa"/>
            <w:gridSpan w:val="2"/>
            <w:vAlign w:val="center"/>
          </w:tcPr>
          <w:p w14:paraId="308E8448" w14:textId="77777777" w:rsidR="00E87218" w:rsidRPr="00511BFC" w:rsidRDefault="00E87218" w:rsidP="00E87218">
            <w:pPr>
              <w:jc w:val="center"/>
              <w:rPr>
                <w:rFonts w:cs="Arial"/>
                <w:color w:val="000000"/>
                <w:szCs w:val="22"/>
                <w:lang w:eastAsia="it-IT"/>
              </w:rPr>
            </w:pPr>
          </w:p>
        </w:tc>
        <w:tc>
          <w:tcPr>
            <w:tcW w:w="1417" w:type="dxa"/>
            <w:gridSpan w:val="2"/>
            <w:vAlign w:val="center"/>
          </w:tcPr>
          <w:p w14:paraId="01B10AC5" w14:textId="77777777" w:rsidR="00E87218" w:rsidRPr="00511BFC" w:rsidRDefault="00E87218" w:rsidP="00E87218">
            <w:pPr>
              <w:jc w:val="center"/>
              <w:rPr>
                <w:rFonts w:cs="Arial"/>
                <w:color w:val="000000"/>
                <w:szCs w:val="22"/>
                <w:lang w:eastAsia="it-IT"/>
              </w:rPr>
            </w:pPr>
          </w:p>
        </w:tc>
        <w:tc>
          <w:tcPr>
            <w:tcW w:w="1290" w:type="dxa"/>
            <w:gridSpan w:val="2"/>
            <w:vAlign w:val="center"/>
          </w:tcPr>
          <w:p w14:paraId="7C99E92E" w14:textId="77777777" w:rsidR="00E87218" w:rsidRPr="00511BFC" w:rsidRDefault="00E87218" w:rsidP="00E87218">
            <w:pPr>
              <w:jc w:val="center"/>
              <w:rPr>
                <w:rFonts w:cs="Arial"/>
                <w:color w:val="000000"/>
                <w:szCs w:val="22"/>
                <w:lang w:eastAsia="it-IT"/>
              </w:rPr>
            </w:pPr>
          </w:p>
        </w:tc>
        <w:tc>
          <w:tcPr>
            <w:tcW w:w="1256" w:type="dxa"/>
            <w:gridSpan w:val="2"/>
            <w:vAlign w:val="center"/>
          </w:tcPr>
          <w:p w14:paraId="55456771" w14:textId="77777777" w:rsidR="00E87218" w:rsidRPr="00511BFC" w:rsidRDefault="00E87218" w:rsidP="00E87218">
            <w:pPr>
              <w:jc w:val="center"/>
              <w:rPr>
                <w:rFonts w:cs="Arial"/>
                <w:color w:val="000000"/>
                <w:szCs w:val="22"/>
                <w:lang w:eastAsia="it-IT"/>
              </w:rPr>
            </w:pPr>
          </w:p>
        </w:tc>
        <w:tc>
          <w:tcPr>
            <w:tcW w:w="1541" w:type="dxa"/>
            <w:vAlign w:val="center"/>
          </w:tcPr>
          <w:p w14:paraId="6D79D093" w14:textId="77777777" w:rsidR="00E87218" w:rsidRPr="00511BFC" w:rsidRDefault="00E87218" w:rsidP="00E87218">
            <w:pPr>
              <w:jc w:val="center"/>
              <w:rPr>
                <w:rFonts w:cs="Arial"/>
                <w:color w:val="000000"/>
                <w:szCs w:val="22"/>
                <w:lang w:eastAsia="it-IT"/>
              </w:rPr>
            </w:pPr>
          </w:p>
        </w:tc>
      </w:tr>
      <w:tr w:rsidR="00E87218" w:rsidRPr="00C2587D" w14:paraId="37B3E03A" w14:textId="08D999CD" w:rsidTr="00E87218">
        <w:trPr>
          <w:trHeight w:val="254"/>
          <w:jc w:val="right"/>
        </w:trPr>
        <w:tc>
          <w:tcPr>
            <w:tcW w:w="3425" w:type="dxa"/>
            <w:shd w:val="clear" w:color="auto" w:fill="FFFFFF"/>
            <w:vAlign w:val="center"/>
          </w:tcPr>
          <w:p w14:paraId="47B3EA8D" w14:textId="77777777" w:rsidR="00E87218" w:rsidRPr="00511BFC" w:rsidRDefault="00E87218" w:rsidP="00EA6E27">
            <w:pPr>
              <w:rPr>
                <w:rFonts w:cs="Arial"/>
                <w:color w:val="000000"/>
                <w:szCs w:val="22"/>
              </w:rPr>
            </w:pPr>
            <w:r w:rsidRPr="00511BFC">
              <w:rPr>
                <w:rFonts w:cs="Arial"/>
                <w:color w:val="000000"/>
                <w:szCs w:val="22"/>
              </w:rPr>
              <w:t>- обласний бюджет</w:t>
            </w:r>
          </w:p>
        </w:tc>
        <w:tc>
          <w:tcPr>
            <w:tcW w:w="1290" w:type="dxa"/>
            <w:gridSpan w:val="2"/>
            <w:vAlign w:val="center"/>
          </w:tcPr>
          <w:p w14:paraId="5C39FD36" w14:textId="77777777" w:rsidR="00E87218" w:rsidRPr="00511BFC" w:rsidRDefault="00E87218" w:rsidP="00E87218">
            <w:pPr>
              <w:jc w:val="center"/>
              <w:rPr>
                <w:rFonts w:cs="Arial"/>
                <w:color w:val="000000"/>
                <w:szCs w:val="22"/>
                <w:lang w:eastAsia="it-IT"/>
              </w:rPr>
            </w:pPr>
          </w:p>
        </w:tc>
        <w:tc>
          <w:tcPr>
            <w:tcW w:w="1417" w:type="dxa"/>
            <w:gridSpan w:val="2"/>
            <w:vAlign w:val="center"/>
          </w:tcPr>
          <w:p w14:paraId="111F53F8" w14:textId="77777777" w:rsidR="00E87218" w:rsidRPr="00511BFC" w:rsidRDefault="00E87218" w:rsidP="00E87218">
            <w:pPr>
              <w:jc w:val="center"/>
              <w:rPr>
                <w:rFonts w:cs="Arial"/>
                <w:color w:val="000000"/>
                <w:szCs w:val="22"/>
                <w:lang w:eastAsia="it-IT"/>
              </w:rPr>
            </w:pPr>
          </w:p>
        </w:tc>
        <w:tc>
          <w:tcPr>
            <w:tcW w:w="1290" w:type="dxa"/>
            <w:gridSpan w:val="2"/>
            <w:vAlign w:val="center"/>
          </w:tcPr>
          <w:p w14:paraId="6DE8AAF9" w14:textId="77777777" w:rsidR="00E87218" w:rsidRPr="00511BFC" w:rsidRDefault="00E87218" w:rsidP="00E87218">
            <w:pPr>
              <w:jc w:val="center"/>
              <w:rPr>
                <w:rFonts w:cs="Arial"/>
                <w:color w:val="000000"/>
                <w:szCs w:val="22"/>
                <w:lang w:eastAsia="it-IT"/>
              </w:rPr>
            </w:pPr>
          </w:p>
        </w:tc>
        <w:tc>
          <w:tcPr>
            <w:tcW w:w="1256" w:type="dxa"/>
            <w:gridSpan w:val="2"/>
            <w:vAlign w:val="center"/>
          </w:tcPr>
          <w:p w14:paraId="0E47FA2C" w14:textId="77777777" w:rsidR="00E87218" w:rsidRPr="00511BFC" w:rsidRDefault="00E87218" w:rsidP="00E87218">
            <w:pPr>
              <w:jc w:val="center"/>
              <w:rPr>
                <w:rFonts w:cs="Arial"/>
                <w:color w:val="000000"/>
                <w:szCs w:val="22"/>
                <w:lang w:eastAsia="it-IT"/>
              </w:rPr>
            </w:pPr>
          </w:p>
        </w:tc>
        <w:tc>
          <w:tcPr>
            <w:tcW w:w="1541" w:type="dxa"/>
            <w:vAlign w:val="center"/>
          </w:tcPr>
          <w:p w14:paraId="1EEDF197" w14:textId="77777777" w:rsidR="00E87218" w:rsidRPr="00511BFC" w:rsidRDefault="00E87218" w:rsidP="00E87218">
            <w:pPr>
              <w:jc w:val="center"/>
              <w:rPr>
                <w:rFonts w:cs="Arial"/>
                <w:color w:val="000000"/>
                <w:szCs w:val="22"/>
                <w:lang w:eastAsia="it-IT"/>
              </w:rPr>
            </w:pPr>
          </w:p>
        </w:tc>
      </w:tr>
      <w:tr w:rsidR="00E87218" w:rsidRPr="00C2587D" w14:paraId="77BF077F" w14:textId="31314FAF" w:rsidTr="00E87218">
        <w:trPr>
          <w:trHeight w:val="275"/>
          <w:jc w:val="right"/>
        </w:trPr>
        <w:tc>
          <w:tcPr>
            <w:tcW w:w="3425" w:type="dxa"/>
            <w:shd w:val="clear" w:color="auto" w:fill="FFFFFF"/>
            <w:vAlign w:val="center"/>
          </w:tcPr>
          <w:p w14:paraId="0AADE239" w14:textId="77777777" w:rsidR="00E87218" w:rsidRPr="00511BFC" w:rsidRDefault="00E87218" w:rsidP="00EA6E27">
            <w:pPr>
              <w:rPr>
                <w:rFonts w:cs="Arial"/>
                <w:color w:val="000000"/>
                <w:szCs w:val="22"/>
              </w:rPr>
            </w:pPr>
            <w:r w:rsidRPr="00511BFC">
              <w:rPr>
                <w:rFonts w:cs="Arial"/>
                <w:color w:val="000000"/>
                <w:szCs w:val="22"/>
              </w:rPr>
              <w:t>- бюджет Жмеринської МТГ</w:t>
            </w:r>
          </w:p>
        </w:tc>
        <w:tc>
          <w:tcPr>
            <w:tcW w:w="1290" w:type="dxa"/>
            <w:gridSpan w:val="2"/>
            <w:vAlign w:val="center"/>
          </w:tcPr>
          <w:p w14:paraId="4BCC4D51" w14:textId="22905F37" w:rsidR="00E87218" w:rsidRPr="00511BFC" w:rsidRDefault="00E87218" w:rsidP="00E87218">
            <w:pPr>
              <w:jc w:val="center"/>
              <w:rPr>
                <w:rFonts w:cs="Arial"/>
                <w:color w:val="000000"/>
                <w:szCs w:val="22"/>
                <w:lang w:eastAsia="it-IT"/>
              </w:rPr>
            </w:pPr>
          </w:p>
        </w:tc>
        <w:tc>
          <w:tcPr>
            <w:tcW w:w="1417" w:type="dxa"/>
            <w:gridSpan w:val="2"/>
            <w:vAlign w:val="center"/>
          </w:tcPr>
          <w:p w14:paraId="1501F24E" w14:textId="0DC36C47" w:rsidR="00E87218" w:rsidRPr="00E87218" w:rsidRDefault="00E87218" w:rsidP="00E87218">
            <w:pPr>
              <w:jc w:val="center"/>
              <w:rPr>
                <w:rFonts w:cs="Arial"/>
                <w:color w:val="000000"/>
                <w:szCs w:val="22"/>
                <w:lang w:eastAsia="it-IT"/>
              </w:rPr>
            </w:pPr>
            <w:r w:rsidRPr="00E87218">
              <w:rPr>
                <w:rFonts w:cs="Arial"/>
                <w:color w:val="000000"/>
                <w:szCs w:val="22"/>
                <w:lang w:eastAsia="it-IT"/>
              </w:rPr>
              <w:t>7865,374</w:t>
            </w:r>
          </w:p>
        </w:tc>
        <w:tc>
          <w:tcPr>
            <w:tcW w:w="1290" w:type="dxa"/>
            <w:gridSpan w:val="2"/>
            <w:vAlign w:val="center"/>
          </w:tcPr>
          <w:p w14:paraId="18A7676B" w14:textId="6EAB5051" w:rsidR="00E87218" w:rsidRPr="00511BFC" w:rsidRDefault="00E87218" w:rsidP="00E87218">
            <w:pPr>
              <w:jc w:val="center"/>
              <w:rPr>
                <w:rFonts w:cs="Arial"/>
                <w:color w:val="000000"/>
                <w:szCs w:val="22"/>
                <w:lang w:eastAsia="it-IT"/>
              </w:rPr>
            </w:pPr>
          </w:p>
        </w:tc>
        <w:tc>
          <w:tcPr>
            <w:tcW w:w="1256" w:type="dxa"/>
            <w:gridSpan w:val="2"/>
            <w:vAlign w:val="center"/>
          </w:tcPr>
          <w:p w14:paraId="4E48D15B" w14:textId="1FD3B62E" w:rsidR="00E87218" w:rsidRPr="00511BFC" w:rsidRDefault="00E87218" w:rsidP="00E87218">
            <w:pPr>
              <w:jc w:val="center"/>
              <w:rPr>
                <w:rFonts w:cs="Arial"/>
                <w:color w:val="000000"/>
                <w:szCs w:val="22"/>
                <w:lang w:eastAsia="it-IT"/>
              </w:rPr>
            </w:pPr>
          </w:p>
        </w:tc>
        <w:tc>
          <w:tcPr>
            <w:tcW w:w="1541" w:type="dxa"/>
            <w:vAlign w:val="center"/>
          </w:tcPr>
          <w:p w14:paraId="4BCAC969" w14:textId="36A98157" w:rsidR="00E87218" w:rsidRPr="00E87218" w:rsidRDefault="00E87218" w:rsidP="00E87218">
            <w:pPr>
              <w:jc w:val="center"/>
              <w:rPr>
                <w:rFonts w:cs="Arial"/>
                <w:b/>
                <w:color w:val="000000"/>
                <w:szCs w:val="22"/>
                <w:lang w:eastAsia="it-IT"/>
              </w:rPr>
            </w:pPr>
            <w:r w:rsidRPr="00E87218">
              <w:rPr>
                <w:rFonts w:cs="Arial"/>
                <w:b/>
                <w:color w:val="000000"/>
                <w:szCs w:val="22"/>
                <w:lang w:eastAsia="it-IT"/>
              </w:rPr>
              <w:t>7865,374</w:t>
            </w:r>
          </w:p>
        </w:tc>
      </w:tr>
      <w:tr w:rsidR="00E87218" w:rsidRPr="00C2587D" w14:paraId="7DE939A3" w14:textId="538F856A" w:rsidTr="00E87218">
        <w:trPr>
          <w:trHeight w:val="226"/>
          <w:jc w:val="right"/>
        </w:trPr>
        <w:tc>
          <w:tcPr>
            <w:tcW w:w="3425" w:type="dxa"/>
            <w:shd w:val="clear" w:color="auto" w:fill="FFFFFF"/>
            <w:vAlign w:val="center"/>
          </w:tcPr>
          <w:p w14:paraId="768F82A1" w14:textId="77777777" w:rsidR="00E87218" w:rsidRPr="00511BFC" w:rsidRDefault="00E87218" w:rsidP="00EA6E27">
            <w:pPr>
              <w:rPr>
                <w:rFonts w:cs="Arial"/>
                <w:color w:val="000000"/>
                <w:szCs w:val="22"/>
              </w:rPr>
            </w:pPr>
            <w:r w:rsidRPr="00511BFC">
              <w:rPr>
                <w:rFonts w:cs="Arial"/>
                <w:color w:val="000000"/>
                <w:szCs w:val="22"/>
              </w:rPr>
              <w:t>- інші джерела фінансування</w:t>
            </w:r>
          </w:p>
        </w:tc>
        <w:tc>
          <w:tcPr>
            <w:tcW w:w="1290" w:type="dxa"/>
            <w:gridSpan w:val="2"/>
            <w:vAlign w:val="center"/>
          </w:tcPr>
          <w:p w14:paraId="7A933F1D" w14:textId="77777777" w:rsidR="00E87218" w:rsidRPr="00511BFC" w:rsidRDefault="00E87218" w:rsidP="00E87218">
            <w:pPr>
              <w:jc w:val="center"/>
              <w:rPr>
                <w:rFonts w:cs="Arial"/>
                <w:color w:val="000000"/>
                <w:szCs w:val="22"/>
                <w:lang w:eastAsia="it-IT"/>
              </w:rPr>
            </w:pPr>
          </w:p>
        </w:tc>
        <w:tc>
          <w:tcPr>
            <w:tcW w:w="1417" w:type="dxa"/>
            <w:gridSpan w:val="2"/>
            <w:vAlign w:val="center"/>
          </w:tcPr>
          <w:p w14:paraId="76136F1D" w14:textId="77777777" w:rsidR="00E87218" w:rsidRPr="00511BFC" w:rsidRDefault="00E87218" w:rsidP="00E87218">
            <w:pPr>
              <w:jc w:val="center"/>
              <w:rPr>
                <w:rFonts w:cs="Arial"/>
                <w:color w:val="000000"/>
                <w:szCs w:val="22"/>
                <w:lang w:eastAsia="it-IT"/>
              </w:rPr>
            </w:pPr>
          </w:p>
        </w:tc>
        <w:tc>
          <w:tcPr>
            <w:tcW w:w="1290" w:type="dxa"/>
            <w:gridSpan w:val="2"/>
            <w:vAlign w:val="center"/>
          </w:tcPr>
          <w:p w14:paraId="6E57CDF0" w14:textId="77777777" w:rsidR="00E87218" w:rsidRPr="00511BFC" w:rsidRDefault="00E87218" w:rsidP="00E87218">
            <w:pPr>
              <w:jc w:val="center"/>
              <w:rPr>
                <w:rFonts w:cs="Arial"/>
                <w:color w:val="000000"/>
                <w:szCs w:val="22"/>
                <w:lang w:eastAsia="it-IT"/>
              </w:rPr>
            </w:pPr>
          </w:p>
        </w:tc>
        <w:tc>
          <w:tcPr>
            <w:tcW w:w="1256" w:type="dxa"/>
            <w:gridSpan w:val="2"/>
            <w:vAlign w:val="center"/>
          </w:tcPr>
          <w:p w14:paraId="791E7204" w14:textId="77777777" w:rsidR="00E87218" w:rsidRPr="00511BFC" w:rsidRDefault="00E87218" w:rsidP="00E87218">
            <w:pPr>
              <w:jc w:val="center"/>
              <w:rPr>
                <w:rFonts w:cs="Arial"/>
                <w:color w:val="000000"/>
                <w:szCs w:val="22"/>
                <w:lang w:eastAsia="it-IT"/>
              </w:rPr>
            </w:pPr>
          </w:p>
        </w:tc>
        <w:tc>
          <w:tcPr>
            <w:tcW w:w="1541" w:type="dxa"/>
            <w:vAlign w:val="center"/>
          </w:tcPr>
          <w:p w14:paraId="43FE1B95" w14:textId="77777777" w:rsidR="00E87218" w:rsidRPr="00511BFC" w:rsidRDefault="00E87218" w:rsidP="00E87218">
            <w:pPr>
              <w:jc w:val="center"/>
              <w:rPr>
                <w:rFonts w:cs="Arial"/>
                <w:color w:val="000000"/>
                <w:szCs w:val="22"/>
                <w:lang w:eastAsia="it-IT"/>
              </w:rPr>
            </w:pPr>
          </w:p>
        </w:tc>
      </w:tr>
      <w:tr w:rsidR="00CB33C7" w:rsidRPr="00C2587D" w14:paraId="5AA14F0F" w14:textId="77777777" w:rsidTr="00EA6E27">
        <w:trPr>
          <w:jc w:val="right"/>
        </w:trPr>
        <w:tc>
          <w:tcPr>
            <w:tcW w:w="3425" w:type="dxa"/>
            <w:shd w:val="clear" w:color="auto" w:fill="FFFFFF"/>
            <w:vAlign w:val="center"/>
          </w:tcPr>
          <w:p w14:paraId="77551706" w14:textId="77777777" w:rsidR="00CB33C7" w:rsidRPr="00511BFC" w:rsidRDefault="00CB33C7" w:rsidP="00EA6E27">
            <w:pPr>
              <w:rPr>
                <w:rFonts w:cs="Arial"/>
                <w:b/>
                <w:bCs/>
                <w:color w:val="000000"/>
                <w:szCs w:val="22"/>
              </w:rPr>
            </w:pPr>
            <w:r w:rsidRPr="00511BFC">
              <w:rPr>
                <w:rFonts w:cs="Arial"/>
                <w:b/>
                <w:color w:val="000000"/>
                <w:szCs w:val="22"/>
              </w:rPr>
              <w:t>Відповідальний виконавець проєкту:</w:t>
            </w:r>
          </w:p>
        </w:tc>
        <w:tc>
          <w:tcPr>
            <w:tcW w:w="6794" w:type="dxa"/>
            <w:gridSpan w:val="9"/>
            <w:vAlign w:val="center"/>
          </w:tcPr>
          <w:p w14:paraId="08E52AA2" w14:textId="34539EA9" w:rsidR="00CB33C7" w:rsidRPr="00511BFC" w:rsidRDefault="00CB33C7" w:rsidP="00E87218">
            <w:pPr>
              <w:jc w:val="both"/>
              <w:rPr>
                <w:rFonts w:cs="Arial"/>
                <w:color w:val="000000"/>
                <w:szCs w:val="22"/>
                <w:lang w:eastAsia="it-IT"/>
              </w:rPr>
            </w:pPr>
            <w:r w:rsidRPr="00511BFC">
              <w:rPr>
                <w:rFonts w:cs="Arial"/>
                <w:color w:val="000000"/>
                <w:szCs w:val="22"/>
                <w:lang w:eastAsia="it-IT"/>
              </w:rPr>
              <w:t>Управління ЖКГ.</w:t>
            </w:r>
          </w:p>
        </w:tc>
      </w:tr>
      <w:tr w:rsidR="00CB33C7" w:rsidRPr="00C2587D" w14:paraId="0AD18D66" w14:textId="77777777" w:rsidTr="00EA6E27">
        <w:trPr>
          <w:jc w:val="right"/>
        </w:trPr>
        <w:tc>
          <w:tcPr>
            <w:tcW w:w="3425" w:type="dxa"/>
            <w:shd w:val="clear" w:color="auto" w:fill="FFFFFF"/>
            <w:vAlign w:val="center"/>
          </w:tcPr>
          <w:p w14:paraId="7962D3DA" w14:textId="77777777" w:rsidR="00CB33C7" w:rsidRPr="00511BFC" w:rsidRDefault="00CB33C7" w:rsidP="00EA6E27">
            <w:pPr>
              <w:rPr>
                <w:rFonts w:cs="Arial"/>
                <w:b/>
                <w:bCs/>
                <w:color w:val="000000"/>
                <w:szCs w:val="22"/>
              </w:rPr>
            </w:pPr>
            <w:r w:rsidRPr="00511BFC">
              <w:rPr>
                <w:rFonts w:cs="Arial"/>
                <w:b/>
                <w:bCs/>
                <w:color w:val="000000"/>
                <w:szCs w:val="22"/>
              </w:rPr>
              <w:t>Інше:</w:t>
            </w:r>
          </w:p>
        </w:tc>
        <w:tc>
          <w:tcPr>
            <w:tcW w:w="6794" w:type="dxa"/>
            <w:gridSpan w:val="9"/>
            <w:vAlign w:val="center"/>
          </w:tcPr>
          <w:p w14:paraId="5F66577E" w14:textId="77777777" w:rsidR="00CB33C7" w:rsidRPr="00511BFC" w:rsidRDefault="00CB33C7" w:rsidP="00EA6E27">
            <w:pPr>
              <w:rPr>
                <w:rFonts w:cs="Arial"/>
                <w:color w:val="000000"/>
                <w:szCs w:val="22"/>
                <w:lang w:eastAsia="it-IT"/>
              </w:rPr>
            </w:pPr>
          </w:p>
          <w:p w14:paraId="74375C01" w14:textId="77777777" w:rsidR="00CB33C7" w:rsidRPr="00511BFC" w:rsidRDefault="00CB33C7" w:rsidP="00EA6E27">
            <w:pPr>
              <w:rPr>
                <w:rFonts w:cs="Arial"/>
                <w:color w:val="000000"/>
                <w:szCs w:val="22"/>
                <w:lang w:eastAsia="it-IT"/>
              </w:rPr>
            </w:pPr>
          </w:p>
        </w:tc>
      </w:tr>
    </w:tbl>
    <w:p w14:paraId="242A3F6C" w14:textId="77777777" w:rsidR="00CB33C7" w:rsidRPr="00C2587D" w:rsidRDefault="00CB33C7" w:rsidP="00CB33C7"/>
    <w:p w14:paraId="3743E206" w14:textId="77777777" w:rsidR="00CB33C7" w:rsidRPr="00C2587D" w:rsidRDefault="00CB33C7" w:rsidP="00CB33C7"/>
    <w:p w14:paraId="4242C770" w14:textId="77777777" w:rsidR="00CB33C7" w:rsidRPr="00C2587D" w:rsidRDefault="00CB33C7" w:rsidP="00CB33C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16E9E390" w14:textId="77777777" w:rsidR="00CB33C7" w:rsidRPr="00C2587D" w:rsidRDefault="00CB33C7" w:rsidP="00CB33C7">
      <w:pPr>
        <w:jc w:val="center"/>
        <w:rPr>
          <w:rFonts w:cs="Arial"/>
          <w:b/>
          <w:color w:val="000000"/>
          <w:szCs w:val="22"/>
        </w:rPr>
      </w:pPr>
      <w:r w:rsidRPr="00C2587D">
        <w:rPr>
          <w:rFonts w:cs="Arial"/>
          <w:b/>
          <w:color w:val="000000"/>
          <w:szCs w:val="22"/>
        </w:rPr>
        <w:t>до Плану заходів з реалізації Стратегії</w:t>
      </w:r>
    </w:p>
    <w:p w14:paraId="25CBD6EB" w14:textId="77777777" w:rsidR="00CB33C7" w:rsidRPr="00C2587D" w:rsidRDefault="00CB33C7" w:rsidP="00CB33C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1"/>
        <w:gridCol w:w="1255"/>
        <w:gridCol w:w="1412"/>
        <w:gridCol w:w="40"/>
        <w:gridCol w:w="1244"/>
        <w:gridCol w:w="1276"/>
        <w:gridCol w:w="37"/>
        <w:gridCol w:w="1534"/>
      </w:tblGrid>
      <w:tr w:rsidR="00CB33C7" w:rsidRPr="00E87218" w14:paraId="1EB0A6D7" w14:textId="77777777" w:rsidTr="00E87218">
        <w:trPr>
          <w:jc w:val="right"/>
        </w:trPr>
        <w:tc>
          <w:tcPr>
            <w:tcW w:w="3421" w:type="dxa"/>
            <w:vAlign w:val="center"/>
          </w:tcPr>
          <w:p w14:paraId="1800B36A" w14:textId="77777777" w:rsidR="00CB33C7" w:rsidRPr="00E87218" w:rsidRDefault="00CB33C7" w:rsidP="00E87218">
            <w:pPr>
              <w:rPr>
                <w:rFonts w:cs="Arial"/>
                <w:b/>
                <w:bCs/>
                <w:color w:val="000000"/>
                <w:szCs w:val="22"/>
              </w:rPr>
            </w:pPr>
            <w:r w:rsidRPr="00E87218">
              <w:rPr>
                <w:rFonts w:cs="Arial"/>
                <w:b/>
                <w:bCs/>
                <w:color w:val="000000"/>
                <w:szCs w:val="22"/>
              </w:rPr>
              <w:t>Назва проєкту:</w:t>
            </w:r>
          </w:p>
        </w:tc>
        <w:tc>
          <w:tcPr>
            <w:tcW w:w="6798" w:type="dxa"/>
            <w:gridSpan w:val="7"/>
          </w:tcPr>
          <w:p w14:paraId="6DEFAC44" w14:textId="77777777" w:rsidR="00CB33C7" w:rsidRPr="00E87218" w:rsidRDefault="00CB33C7" w:rsidP="00E87218">
            <w:pPr>
              <w:rPr>
                <w:rFonts w:cs="Arial"/>
                <w:b/>
                <w:szCs w:val="22"/>
                <w:lang w:eastAsia="it-IT"/>
              </w:rPr>
            </w:pPr>
            <w:r w:rsidRPr="00E87218">
              <w:rPr>
                <w:rFonts w:eastAsia="Arial" w:cs="Arial"/>
                <w:b/>
                <w:szCs w:val="22"/>
                <w:lang w:eastAsia="en-US"/>
              </w:rPr>
              <w:t>Капітальний ремонт водопровідної мережі по вул. Центральній, с. Леляки, Жмеринського району Вінницької області</w:t>
            </w:r>
          </w:p>
        </w:tc>
      </w:tr>
      <w:tr w:rsidR="00CB33C7" w:rsidRPr="00E87218" w14:paraId="02DD0B5E" w14:textId="77777777" w:rsidTr="00E87218">
        <w:trPr>
          <w:jc w:val="right"/>
        </w:trPr>
        <w:tc>
          <w:tcPr>
            <w:tcW w:w="3421" w:type="dxa"/>
          </w:tcPr>
          <w:p w14:paraId="79FD3C93" w14:textId="77777777" w:rsidR="00CB33C7" w:rsidRPr="00E87218" w:rsidRDefault="00CB33C7" w:rsidP="00E87218">
            <w:pPr>
              <w:rPr>
                <w:rFonts w:cs="Arial"/>
                <w:szCs w:val="22"/>
                <w:lang w:eastAsia="it-IT"/>
              </w:rPr>
            </w:pPr>
            <w:r w:rsidRPr="00E87218">
              <w:rPr>
                <w:rFonts w:cs="Arial"/>
                <w:b/>
                <w:bCs/>
                <w:szCs w:val="22"/>
              </w:rPr>
              <w:t>Ваші контакти</w:t>
            </w:r>
            <w:r w:rsidRPr="00E87218">
              <w:rPr>
                <w:rFonts w:cs="Arial"/>
                <w:szCs w:val="22"/>
                <w:lang w:eastAsia="it-IT"/>
              </w:rPr>
              <w:t>:</w:t>
            </w:r>
          </w:p>
          <w:p w14:paraId="0309D5A2" w14:textId="77777777" w:rsidR="00CB33C7" w:rsidRPr="00E87218" w:rsidRDefault="00CB33C7" w:rsidP="00E87218">
            <w:pPr>
              <w:rPr>
                <w:rFonts w:cs="Arial"/>
                <w:b/>
                <w:bCs/>
                <w:szCs w:val="22"/>
              </w:rPr>
            </w:pPr>
            <w:r w:rsidRPr="00E87218">
              <w:rPr>
                <w:rFonts w:cs="Arial"/>
                <w:szCs w:val="22"/>
                <w:lang w:eastAsia="it-IT"/>
              </w:rPr>
              <w:t>Назва установи, організації, підприємства</w:t>
            </w:r>
          </w:p>
        </w:tc>
        <w:tc>
          <w:tcPr>
            <w:tcW w:w="6798" w:type="dxa"/>
            <w:gridSpan w:val="7"/>
          </w:tcPr>
          <w:p w14:paraId="2B554FA4" w14:textId="77777777" w:rsidR="00CB33C7" w:rsidRPr="00E87218" w:rsidRDefault="00CB33C7" w:rsidP="00E87218">
            <w:pPr>
              <w:rPr>
                <w:rFonts w:cs="Arial"/>
                <w:szCs w:val="22"/>
                <w:lang w:eastAsia="it-IT"/>
              </w:rPr>
            </w:pPr>
            <w:r w:rsidRPr="00E87218">
              <w:rPr>
                <w:rFonts w:cs="Arial"/>
                <w:szCs w:val="22"/>
                <w:lang w:eastAsia="it-IT"/>
              </w:rPr>
              <w:t>Управління житлово-комунального господарства Жмеринської міської ради</w:t>
            </w:r>
          </w:p>
        </w:tc>
      </w:tr>
      <w:tr w:rsidR="00CB33C7" w:rsidRPr="00E87218" w14:paraId="01B08027" w14:textId="77777777" w:rsidTr="00E87218">
        <w:trPr>
          <w:jc w:val="right"/>
        </w:trPr>
        <w:tc>
          <w:tcPr>
            <w:tcW w:w="3421" w:type="dxa"/>
          </w:tcPr>
          <w:p w14:paraId="7509D5E2" w14:textId="77777777" w:rsidR="00CB33C7" w:rsidRPr="00E87218" w:rsidRDefault="00CB33C7" w:rsidP="00E87218">
            <w:pPr>
              <w:rPr>
                <w:rFonts w:cs="Arial"/>
                <w:b/>
                <w:bCs/>
                <w:szCs w:val="22"/>
              </w:rPr>
            </w:pPr>
            <w:r w:rsidRPr="00E87218">
              <w:rPr>
                <w:rFonts w:cs="Arial"/>
                <w:szCs w:val="22"/>
                <w:lang w:eastAsia="it-IT"/>
              </w:rPr>
              <w:t>Прізвище Ім’я По-батькові:</w:t>
            </w:r>
          </w:p>
        </w:tc>
        <w:tc>
          <w:tcPr>
            <w:tcW w:w="6798" w:type="dxa"/>
            <w:gridSpan w:val="7"/>
          </w:tcPr>
          <w:p w14:paraId="155F3CE9" w14:textId="77777777" w:rsidR="00CB33C7" w:rsidRPr="00E87218" w:rsidRDefault="00CB33C7" w:rsidP="00E87218">
            <w:pPr>
              <w:rPr>
                <w:rFonts w:cs="Arial"/>
                <w:szCs w:val="22"/>
                <w:lang w:eastAsia="it-IT"/>
              </w:rPr>
            </w:pPr>
            <w:r w:rsidRPr="00E87218">
              <w:rPr>
                <w:rFonts w:cs="Arial"/>
                <w:szCs w:val="22"/>
                <w:lang w:eastAsia="it-IT"/>
              </w:rPr>
              <w:t>Оленич Андрій Васильович</w:t>
            </w:r>
          </w:p>
        </w:tc>
      </w:tr>
      <w:tr w:rsidR="00CB33C7" w:rsidRPr="00E87218" w14:paraId="66B8B8D2" w14:textId="77777777" w:rsidTr="00E87218">
        <w:trPr>
          <w:jc w:val="right"/>
        </w:trPr>
        <w:tc>
          <w:tcPr>
            <w:tcW w:w="3421" w:type="dxa"/>
          </w:tcPr>
          <w:p w14:paraId="6B3112E9" w14:textId="77777777" w:rsidR="00CB33C7" w:rsidRPr="00E87218" w:rsidRDefault="00CB33C7" w:rsidP="00E87218">
            <w:pPr>
              <w:rPr>
                <w:rFonts w:cs="Arial"/>
                <w:b/>
                <w:bCs/>
                <w:szCs w:val="22"/>
              </w:rPr>
            </w:pPr>
            <w:r w:rsidRPr="00E87218">
              <w:rPr>
                <w:rFonts w:cs="Arial"/>
                <w:szCs w:val="22"/>
                <w:lang w:eastAsia="it-IT"/>
              </w:rPr>
              <w:t>Телефон (мобільний):</w:t>
            </w:r>
          </w:p>
        </w:tc>
        <w:tc>
          <w:tcPr>
            <w:tcW w:w="6798" w:type="dxa"/>
            <w:gridSpan w:val="7"/>
          </w:tcPr>
          <w:p w14:paraId="54AF5E12" w14:textId="77777777" w:rsidR="00CB33C7" w:rsidRPr="00E87218" w:rsidRDefault="00CB33C7" w:rsidP="00E87218">
            <w:pPr>
              <w:rPr>
                <w:rFonts w:cs="Arial"/>
                <w:szCs w:val="22"/>
                <w:lang w:eastAsia="it-IT"/>
              </w:rPr>
            </w:pPr>
            <w:r w:rsidRPr="00E87218">
              <w:rPr>
                <w:rFonts w:cs="Arial"/>
                <w:szCs w:val="22"/>
                <w:lang w:eastAsia="it-IT"/>
              </w:rPr>
              <w:t>0972561907</w:t>
            </w:r>
          </w:p>
        </w:tc>
      </w:tr>
      <w:tr w:rsidR="00CB33C7" w:rsidRPr="00E87218" w14:paraId="50BA70EF" w14:textId="77777777" w:rsidTr="00E87218">
        <w:trPr>
          <w:jc w:val="right"/>
        </w:trPr>
        <w:tc>
          <w:tcPr>
            <w:tcW w:w="3421" w:type="dxa"/>
          </w:tcPr>
          <w:p w14:paraId="579739C9" w14:textId="77777777" w:rsidR="00CB33C7" w:rsidRPr="00E87218" w:rsidRDefault="00CB33C7" w:rsidP="00E87218">
            <w:pPr>
              <w:rPr>
                <w:rFonts w:cs="Arial"/>
                <w:b/>
                <w:bCs/>
                <w:szCs w:val="22"/>
              </w:rPr>
            </w:pPr>
            <w:r w:rsidRPr="00E87218">
              <w:rPr>
                <w:rFonts w:cs="Arial"/>
                <w:szCs w:val="22"/>
                <w:lang w:eastAsia="it-IT"/>
              </w:rPr>
              <w:t>Електронна адреса:</w:t>
            </w:r>
          </w:p>
        </w:tc>
        <w:tc>
          <w:tcPr>
            <w:tcW w:w="6798" w:type="dxa"/>
            <w:gridSpan w:val="7"/>
          </w:tcPr>
          <w:p w14:paraId="5F90CAA1" w14:textId="77777777" w:rsidR="00CB33C7" w:rsidRPr="00E87218" w:rsidRDefault="00D85FFD" w:rsidP="00E87218">
            <w:pPr>
              <w:rPr>
                <w:rFonts w:cs="Arial"/>
                <w:szCs w:val="22"/>
                <w:lang w:eastAsia="it-IT"/>
              </w:rPr>
            </w:pPr>
            <w:hyperlink r:id="rId68" w:history="1">
              <w:r w:rsidR="00CB33C7" w:rsidRPr="00E87218">
                <w:rPr>
                  <w:rStyle w:val="af0"/>
                  <w:rFonts w:cs="Arial"/>
                  <w:noProof w:val="0"/>
                  <w:sz w:val="22"/>
                  <w:szCs w:val="22"/>
                  <w:lang w:eastAsia="it-IT"/>
                </w:rPr>
                <w:t>Aolenych03@ukr.net</w:t>
              </w:r>
            </w:hyperlink>
          </w:p>
        </w:tc>
      </w:tr>
      <w:tr w:rsidR="00CB33C7" w:rsidRPr="00E87218" w14:paraId="1628D101" w14:textId="77777777" w:rsidTr="00E87218">
        <w:trPr>
          <w:jc w:val="right"/>
        </w:trPr>
        <w:tc>
          <w:tcPr>
            <w:tcW w:w="3421" w:type="dxa"/>
            <w:vAlign w:val="center"/>
          </w:tcPr>
          <w:p w14:paraId="1B8B50A0" w14:textId="77777777" w:rsidR="00CB33C7" w:rsidRPr="00E87218" w:rsidRDefault="00CB33C7" w:rsidP="00E87218">
            <w:pPr>
              <w:pStyle w:val="6"/>
              <w:spacing w:before="0" w:after="0"/>
              <w:rPr>
                <w:rFonts w:ascii="Arial" w:hAnsi="Arial" w:cs="Arial"/>
                <w:color w:val="000000"/>
                <w:lang w:val="uk-UA"/>
              </w:rPr>
            </w:pPr>
            <w:r w:rsidRPr="00E87218">
              <w:rPr>
                <w:rFonts w:ascii="Arial" w:hAnsi="Arial" w:cs="Arial"/>
                <w:color w:val="000000"/>
                <w:lang w:val="uk-UA"/>
              </w:rPr>
              <w:t>Номер і назва завдання з Стратегії</w:t>
            </w:r>
            <w:r w:rsidRPr="00E87218">
              <w:rPr>
                <w:rFonts w:ascii="Arial" w:hAnsi="Arial" w:cs="Arial"/>
                <w:lang w:val="uk-UA" w:eastAsia="it-IT"/>
              </w:rPr>
              <w:t xml:space="preserve"> </w:t>
            </w:r>
            <w:r w:rsidRPr="00E87218">
              <w:rPr>
                <w:rFonts w:ascii="Arial" w:hAnsi="Arial" w:cs="Arial"/>
                <w:color w:val="000000"/>
                <w:lang w:val="uk-UA"/>
              </w:rPr>
              <w:t xml:space="preserve">розвитку Жмеринської міської </w:t>
            </w:r>
          </w:p>
        </w:tc>
        <w:tc>
          <w:tcPr>
            <w:tcW w:w="6798" w:type="dxa"/>
            <w:gridSpan w:val="7"/>
            <w:vAlign w:val="center"/>
          </w:tcPr>
          <w:p w14:paraId="4AA0CEC2" w14:textId="77777777" w:rsidR="00CB33C7" w:rsidRPr="00E87218" w:rsidRDefault="00CB33C7" w:rsidP="00E87218">
            <w:pPr>
              <w:suppressAutoHyphens/>
              <w:jc w:val="both"/>
              <w:rPr>
                <w:rFonts w:eastAsia="Lucida Sans Unicode" w:cs="Arial"/>
                <w:kern w:val="1"/>
                <w:szCs w:val="22"/>
                <w:lang w:eastAsia="ar-SA"/>
              </w:rPr>
            </w:pPr>
            <w:r w:rsidRPr="00E87218">
              <w:rPr>
                <w:rFonts w:eastAsia="Lucida Sans Unicode" w:cs="Arial"/>
                <w:kern w:val="1"/>
                <w:szCs w:val="22"/>
                <w:lang w:eastAsia="ar-SA"/>
              </w:rPr>
              <w:t>В.1.3.1. Будівництво нових, реконструкція, капітальний ремонт, модернізація мереж централізованої системи водопостачання, водовідведення та каналізації.</w:t>
            </w:r>
          </w:p>
        </w:tc>
      </w:tr>
      <w:tr w:rsidR="00CB33C7" w:rsidRPr="00E87218" w14:paraId="17F8B6ED" w14:textId="77777777" w:rsidTr="00E87218">
        <w:trPr>
          <w:jc w:val="right"/>
        </w:trPr>
        <w:tc>
          <w:tcPr>
            <w:tcW w:w="3421" w:type="dxa"/>
            <w:vAlign w:val="center"/>
          </w:tcPr>
          <w:p w14:paraId="36E6D5C0" w14:textId="77777777" w:rsidR="00CB33C7" w:rsidRPr="00E87218" w:rsidRDefault="00CB33C7" w:rsidP="00E87218">
            <w:pPr>
              <w:rPr>
                <w:rFonts w:cs="Arial"/>
                <w:b/>
                <w:bCs/>
                <w:color w:val="000000"/>
                <w:szCs w:val="22"/>
              </w:rPr>
            </w:pPr>
            <w:r w:rsidRPr="00E87218">
              <w:rPr>
                <w:rFonts w:cs="Arial"/>
                <w:b/>
                <w:bCs/>
                <w:color w:val="000000"/>
                <w:szCs w:val="22"/>
              </w:rPr>
              <w:t>Мета проєкту:</w:t>
            </w:r>
          </w:p>
        </w:tc>
        <w:tc>
          <w:tcPr>
            <w:tcW w:w="6798" w:type="dxa"/>
            <w:gridSpan w:val="7"/>
          </w:tcPr>
          <w:p w14:paraId="50A2FE0A" w14:textId="77777777" w:rsidR="00CB33C7" w:rsidRPr="00E87218" w:rsidRDefault="00CB33C7" w:rsidP="00E87218">
            <w:pPr>
              <w:jc w:val="both"/>
              <w:rPr>
                <w:rFonts w:cs="Arial"/>
                <w:szCs w:val="22"/>
                <w:lang w:eastAsia="it-IT"/>
              </w:rPr>
            </w:pPr>
            <w:r w:rsidRPr="00E87218">
              <w:rPr>
                <w:rFonts w:cs="Arial"/>
                <w:szCs w:val="22"/>
                <w:lang w:eastAsia="it-IT"/>
              </w:rPr>
              <w:t>Ліквідація частих аварійних поривів системи водопостачання с. Леляки, збереження дорожнього полотна, забезпечення мешканців Жмеринської міської ТГ послугою якісного безперебійного водопостачання.</w:t>
            </w:r>
          </w:p>
        </w:tc>
      </w:tr>
      <w:tr w:rsidR="00CB33C7" w:rsidRPr="00E87218" w14:paraId="2FA7F06E" w14:textId="77777777" w:rsidTr="00E87218">
        <w:trPr>
          <w:jc w:val="right"/>
        </w:trPr>
        <w:tc>
          <w:tcPr>
            <w:tcW w:w="3421" w:type="dxa"/>
            <w:vAlign w:val="center"/>
          </w:tcPr>
          <w:p w14:paraId="3B8E6E27" w14:textId="77777777" w:rsidR="00CB33C7" w:rsidRPr="00E87218" w:rsidRDefault="00CB33C7" w:rsidP="00E87218">
            <w:pPr>
              <w:rPr>
                <w:rFonts w:cs="Arial"/>
                <w:b/>
                <w:bCs/>
                <w:color w:val="000000"/>
                <w:szCs w:val="22"/>
              </w:rPr>
            </w:pPr>
            <w:r w:rsidRPr="00E87218">
              <w:rPr>
                <w:rFonts w:cs="Arial"/>
                <w:b/>
                <w:bCs/>
                <w:color w:val="000000"/>
                <w:szCs w:val="22"/>
              </w:rPr>
              <w:t>Цілі проєкту:</w:t>
            </w:r>
          </w:p>
        </w:tc>
        <w:tc>
          <w:tcPr>
            <w:tcW w:w="6798" w:type="dxa"/>
            <w:gridSpan w:val="7"/>
          </w:tcPr>
          <w:p w14:paraId="62248FA7" w14:textId="77777777" w:rsidR="00CB33C7" w:rsidRPr="00E87218" w:rsidRDefault="00CB33C7" w:rsidP="00E87218">
            <w:pPr>
              <w:jc w:val="both"/>
              <w:rPr>
                <w:rFonts w:cs="Arial"/>
                <w:szCs w:val="22"/>
                <w:lang w:eastAsia="it-IT"/>
              </w:rPr>
            </w:pPr>
            <w:r w:rsidRPr="00E87218">
              <w:rPr>
                <w:rFonts w:cs="Arial"/>
                <w:szCs w:val="22"/>
                <w:lang w:eastAsia="it-IT"/>
              </w:rPr>
              <w:t>Надання мешканцям с. Леляки  якісних безперебійних послуг з водопостачання. Зменшення поривів водогону. Зменшення витрат на обслуговування водопровідних мереж. Зменшення втрат питної води. Покращення якості питної води. Збереження дорожнього полотна.</w:t>
            </w:r>
            <w:r w:rsidRPr="00E87218">
              <w:rPr>
                <w:rFonts w:cs="Arial"/>
                <w:b/>
                <w:szCs w:val="22"/>
              </w:rPr>
              <w:t xml:space="preserve"> </w:t>
            </w:r>
            <w:r w:rsidRPr="00E87218">
              <w:rPr>
                <w:rFonts w:cs="Arial"/>
                <w:szCs w:val="22"/>
              </w:rPr>
              <w:t>Проведення капітального ремонту водопровідних мереж в с. Леляки.</w:t>
            </w:r>
          </w:p>
        </w:tc>
      </w:tr>
      <w:tr w:rsidR="00CB33C7" w:rsidRPr="00E87218" w14:paraId="46E8DB68" w14:textId="77777777" w:rsidTr="00E87218">
        <w:trPr>
          <w:jc w:val="right"/>
        </w:trPr>
        <w:tc>
          <w:tcPr>
            <w:tcW w:w="3421" w:type="dxa"/>
            <w:vAlign w:val="center"/>
          </w:tcPr>
          <w:p w14:paraId="58BF81FA" w14:textId="77777777" w:rsidR="00CB33C7" w:rsidRPr="00E87218" w:rsidRDefault="00CB33C7" w:rsidP="00E87218">
            <w:pPr>
              <w:autoSpaceDE w:val="0"/>
              <w:autoSpaceDN w:val="0"/>
              <w:adjustRightInd w:val="0"/>
              <w:rPr>
                <w:rFonts w:cs="Arial"/>
                <w:b/>
                <w:color w:val="000000"/>
                <w:szCs w:val="22"/>
              </w:rPr>
            </w:pPr>
            <w:r w:rsidRPr="00E87218">
              <w:rPr>
                <w:rFonts w:cs="Arial"/>
                <w:b/>
                <w:color w:val="000000"/>
                <w:szCs w:val="22"/>
              </w:rPr>
              <w:t>Територія на яку проєкт матиме вплив:</w:t>
            </w:r>
          </w:p>
        </w:tc>
        <w:tc>
          <w:tcPr>
            <w:tcW w:w="6798" w:type="dxa"/>
            <w:gridSpan w:val="7"/>
          </w:tcPr>
          <w:p w14:paraId="45EA41BD" w14:textId="77777777" w:rsidR="00CB33C7" w:rsidRPr="00E87218" w:rsidRDefault="00CB33C7" w:rsidP="00E87218">
            <w:pPr>
              <w:rPr>
                <w:rFonts w:cs="Arial"/>
                <w:szCs w:val="22"/>
                <w:lang w:eastAsia="it-IT"/>
              </w:rPr>
            </w:pPr>
            <w:r w:rsidRPr="00E87218">
              <w:rPr>
                <w:rFonts w:cs="Arial"/>
                <w:szCs w:val="22"/>
                <w:lang w:eastAsia="it-IT"/>
              </w:rPr>
              <w:t>Території Леляцького старостинського округу а саме: села Леляки</w:t>
            </w:r>
          </w:p>
        </w:tc>
      </w:tr>
      <w:tr w:rsidR="00CB33C7" w:rsidRPr="00E87218" w14:paraId="3EE40B90" w14:textId="77777777" w:rsidTr="00E87218">
        <w:trPr>
          <w:jc w:val="right"/>
        </w:trPr>
        <w:tc>
          <w:tcPr>
            <w:tcW w:w="3421" w:type="dxa"/>
            <w:vAlign w:val="center"/>
          </w:tcPr>
          <w:p w14:paraId="6E360643" w14:textId="77777777" w:rsidR="00CB33C7" w:rsidRPr="00E87218" w:rsidRDefault="00CB33C7" w:rsidP="00E87218">
            <w:pPr>
              <w:autoSpaceDE w:val="0"/>
              <w:autoSpaceDN w:val="0"/>
              <w:adjustRightInd w:val="0"/>
              <w:rPr>
                <w:rFonts w:cs="Arial"/>
                <w:b/>
                <w:color w:val="000000"/>
                <w:szCs w:val="22"/>
              </w:rPr>
            </w:pPr>
            <w:r w:rsidRPr="00E87218">
              <w:rPr>
                <w:rFonts w:cs="Arial"/>
                <w:b/>
                <w:color w:val="000000"/>
                <w:szCs w:val="22"/>
              </w:rPr>
              <w:t>Цільові групи проєкту та кількість отримувачів вигоди</w:t>
            </w:r>
          </w:p>
        </w:tc>
        <w:tc>
          <w:tcPr>
            <w:tcW w:w="6798" w:type="dxa"/>
            <w:gridSpan w:val="7"/>
          </w:tcPr>
          <w:p w14:paraId="299B1E3E" w14:textId="77777777" w:rsidR="00CB33C7" w:rsidRPr="00E87218" w:rsidRDefault="00CB33C7" w:rsidP="00E87218">
            <w:pPr>
              <w:rPr>
                <w:rFonts w:cs="Arial"/>
                <w:szCs w:val="22"/>
                <w:lang w:eastAsia="it-IT"/>
              </w:rPr>
            </w:pPr>
            <w:r w:rsidRPr="00E87218">
              <w:rPr>
                <w:rFonts w:cs="Arial"/>
                <w:szCs w:val="22"/>
                <w:lang w:eastAsia="it-IT"/>
              </w:rPr>
              <w:t>Жителі с. Леляки в кількості 535 сельчан</w:t>
            </w:r>
          </w:p>
        </w:tc>
      </w:tr>
      <w:tr w:rsidR="00CB33C7" w:rsidRPr="00E87218" w14:paraId="54D9A587" w14:textId="77777777" w:rsidTr="00E87218">
        <w:trPr>
          <w:jc w:val="right"/>
        </w:trPr>
        <w:tc>
          <w:tcPr>
            <w:tcW w:w="3421" w:type="dxa"/>
            <w:shd w:val="clear" w:color="auto" w:fill="FFFFFF"/>
            <w:vAlign w:val="center"/>
          </w:tcPr>
          <w:p w14:paraId="4D9C6163" w14:textId="77777777" w:rsidR="00CB33C7" w:rsidRPr="00E87218" w:rsidRDefault="00CB33C7" w:rsidP="00E87218">
            <w:pPr>
              <w:rPr>
                <w:rFonts w:cs="Arial"/>
                <w:b/>
                <w:bCs/>
                <w:color w:val="000000"/>
                <w:szCs w:val="22"/>
              </w:rPr>
            </w:pPr>
            <w:r w:rsidRPr="00E87218">
              <w:rPr>
                <w:rFonts w:cs="Arial"/>
                <w:b/>
                <w:bCs/>
                <w:color w:val="000000"/>
                <w:szCs w:val="22"/>
              </w:rPr>
              <w:t>Стислий опис проєкту:</w:t>
            </w:r>
          </w:p>
        </w:tc>
        <w:tc>
          <w:tcPr>
            <w:tcW w:w="6798" w:type="dxa"/>
            <w:gridSpan w:val="7"/>
          </w:tcPr>
          <w:p w14:paraId="0350F726" w14:textId="77777777" w:rsidR="00CB33C7" w:rsidRPr="00E87218" w:rsidRDefault="00CB33C7" w:rsidP="00E87218">
            <w:pPr>
              <w:jc w:val="both"/>
              <w:rPr>
                <w:rFonts w:cs="Arial"/>
                <w:szCs w:val="22"/>
                <w:lang w:eastAsia="it-IT"/>
              </w:rPr>
            </w:pPr>
            <w:r w:rsidRPr="00E87218">
              <w:rPr>
                <w:rFonts w:cs="Arial"/>
                <w:szCs w:val="22"/>
                <w:lang w:eastAsia="it-IT"/>
              </w:rPr>
              <w:t>Капітальних ремонтів центральних водогонів за весь час експлуатації мереж не відбувалось. Чавунні труби, по яких питна вода подається до кінцевих споживачів, зношені. Це призводить до частих поривів мереж водопостачання, та як наслідок відключення від системи водопостачання селища до усунення аварійної ситуації та безповоротних втрат питної води. Також, ліквідація поривів на водогонах передбачає розриття дорожнього полотна, що в свою чергу призводить до додаткових незапланованих витрат місцевого бюджету.</w:t>
            </w:r>
          </w:p>
          <w:p w14:paraId="54261AA9" w14:textId="62310E0C" w:rsidR="00CB33C7" w:rsidRPr="00E87218" w:rsidRDefault="00FD0B1E" w:rsidP="00E87218">
            <w:pPr>
              <w:jc w:val="both"/>
              <w:rPr>
                <w:rFonts w:cs="Arial"/>
                <w:szCs w:val="22"/>
                <w:lang w:eastAsia="it-IT"/>
              </w:rPr>
            </w:pPr>
            <w:r>
              <w:rPr>
                <w:rFonts w:cs="Arial"/>
                <w:szCs w:val="22"/>
                <w:lang w:eastAsia="it-IT"/>
              </w:rPr>
              <w:t>Проє</w:t>
            </w:r>
            <w:r w:rsidR="00CB33C7" w:rsidRPr="00E87218">
              <w:rPr>
                <w:rFonts w:cs="Arial"/>
                <w:szCs w:val="22"/>
                <w:lang w:eastAsia="it-IT"/>
              </w:rPr>
              <w:t>ктом передбачається заміна труб центральних водогонів с. Леляки, на нові стійкі до зносу та гідроударів, що дасть змогу зекономити бюджетні кошти на обслуговування мереж водопостачання, зменшення поривів у системі та втрат води, зберегти дорожнє полотно.</w:t>
            </w:r>
          </w:p>
        </w:tc>
      </w:tr>
      <w:tr w:rsidR="00CB33C7" w:rsidRPr="00E87218" w14:paraId="0B664F93" w14:textId="77777777" w:rsidTr="00E87218">
        <w:trPr>
          <w:jc w:val="right"/>
        </w:trPr>
        <w:tc>
          <w:tcPr>
            <w:tcW w:w="3421" w:type="dxa"/>
            <w:shd w:val="clear" w:color="auto" w:fill="FFFFFF"/>
            <w:vAlign w:val="center"/>
          </w:tcPr>
          <w:p w14:paraId="3CB01E9C" w14:textId="77777777" w:rsidR="00CB33C7" w:rsidRPr="00E87218" w:rsidRDefault="00CB33C7" w:rsidP="00E87218">
            <w:pPr>
              <w:rPr>
                <w:rFonts w:cs="Arial"/>
                <w:b/>
                <w:bCs/>
                <w:color w:val="000000"/>
                <w:szCs w:val="22"/>
              </w:rPr>
            </w:pPr>
            <w:r w:rsidRPr="00E87218">
              <w:rPr>
                <w:rFonts w:cs="Arial"/>
                <w:b/>
                <w:bCs/>
                <w:color w:val="000000"/>
                <w:szCs w:val="22"/>
              </w:rPr>
              <w:t>Основні заходи проєкту:</w:t>
            </w:r>
          </w:p>
        </w:tc>
        <w:tc>
          <w:tcPr>
            <w:tcW w:w="6798" w:type="dxa"/>
            <w:gridSpan w:val="7"/>
          </w:tcPr>
          <w:p w14:paraId="4B931618" w14:textId="5EF5D5E9" w:rsidR="00CB33C7" w:rsidRPr="00E87218" w:rsidRDefault="00CB33C7" w:rsidP="00E87218">
            <w:pPr>
              <w:jc w:val="both"/>
              <w:rPr>
                <w:rFonts w:cs="Arial"/>
                <w:szCs w:val="22"/>
                <w:lang w:eastAsia="it-IT"/>
              </w:rPr>
            </w:pPr>
            <w:r w:rsidRPr="00E87218">
              <w:rPr>
                <w:rFonts w:cs="Arial"/>
                <w:szCs w:val="22"/>
                <w:lang w:eastAsia="it-IT"/>
              </w:rPr>
              <w:t>Створення робочої групи з питань реаліза</w:t>
            </w:r>
            <w:r w:rsidR="00FD0B1E">
              <w:rPr>
                <w:rFonts w:cs="Arial"/>
                <w:szCs w:val="22"/>
                <w:lang w:eastAsia="it-IT"/>
              </w:rPr>
              <w:t>ції проє</w:t>
            </w:r>
            <w:r w:rsidRPr="00E87218">
              <w:rPr>
                <w:rFonts w:cs="Arial"/>
                <w:szCs w:val="22"/>
                <w:lang w:eastAsia="it-IT"/>
              </w:rPr>
              <w:t xml:space="preserve">кту. </w:t>
            </w:r>
          </w:p>
          <w:p w14:paraId="64C3853C" w14:textId="77777777" w:rsidR="00CB33C7" w:rsidRPr="00E87218" w:rsidRDefault="00CB33C7" w:rsidP="00E87218">
            <w:pPr>
              <w:jc w:val="both"/>
              <w:rPr>
                <w:rFonts w:cs="Arial"/>
                <w:szCs w:val="22"/>
                <w:lang w:eastAsia="it-IT"/>
              </w:rPr>
            </w:pPr>
            <w:r w:rsidRPr="00E87218">
              <w:rPr>
                <w:rFonts w:cs="Arial"/>
                <w:szCs w:val="22"/>
                <w:lang w:eastAsia="it-IT"/>
              </w:rPr>
              <w:t>Проведення процедури закупівель (визначення виконавця робіт).</w:t>
            </w:r>
          </w:p>
          <w:p w14:paraId="3BDB4BED" w14:textId="77777777" w:rsidR="00CB33C7" w:rsidRPr="00E87218" w:rsidRDefault="00CB33C7" w:rsidP="00E87218">
            <w:pPr>
              <w:jc w:val="both"/>
              <w:rPr>
                <w:rFonts w:cs="Arial"/>
                <w:szCs w:val="22"/>
                <w:lang w:eastAsia="it-IT"/>
              </w:rPr>
            </w:pPr>
            <w:r w:rsidRPr="00E87218">
              <w:rPr>
                <w:rFonts w:cs="Arial"/>
                <w:szCs w:val="22"/>
                <w:lang w:eastAsia="it-IT"/>
              </w:rPr>
              <w:t>Укладення договорів з виконавцем робіт, організаціями, що здійснюватимуть  технічний та авторський  нагляд .</w:t>
            </w:r>
          </w:p>
          <w:p w14:paraId="66FCA9F9" w14:textId="181C4388" w:rsidR="00CB33C7" w:rsidRPr="00E87218" w:rsidRDefault="00CB33C7" w:rsidP="00E87218">
            <w:pPr>
              <w:jc w:val="both"/>
              <w:rPr>
                <w:rFonts w:cs="Arial"/>
                <w:szCs w:val="22"/>
                <w:lang w:eastAsia="it-IT"/>
              </w:rPr>
            </w:pPr>
            <w:r w:rsidRPr="00E87218">
              <w:rPr>
                <w:rFonts w:cs="Arial"/>
                <w:szCs w:val="22"/>
                <w:lang w:eastAsia="it-IT"/>
              </w:rPr>
              <w:t xml:space="preserve">Виконання робіт з </w:t>
            </w:r>
            <w:r w:rsidRPr="00E87218">
              <w:rPr>
                <w:rFonts w:eastAsia="Arial" w:cs="Arial"/>
                <w:szCs w:val="22"/>
                <w:lang w:eastAsia="en-US"/>
              </w:rPr>
              <w:t>капітального ремонту водопровідної мережі по вул. Центральній, с. Леляки, Жмеринського району Вінницької області</w:t>
            </w:r>
            <w:r w:rsidR="00FD0B1E">
              <w:rPr>
                <w:rFonts w:eastAsia="Arial" w:cs="Arial"/>
                <w:szCs w:val="22"/>
                <w:lang w:eastAsia="en-US"/>
              </w:rPr>
              <w:t>.</w:t>
            </w:r>
          </w:p>
          <w:p w14:paraId="06119E5C" w14:textId="77777777" w:rsidR="00CB33C7" w:rsidRPr="00E87218" w:rsidRDefault="00CB33C7" w:rsidP="00E87218">
            <w:pPr>
              <w:jc w:val="both"/>
              <w:rPr>
                <w:rFonts w:cs="Arial"/>
                <w:szCs w:val="22"/>
                <w:lang w:eastAsia="it-IT"/>
              </w:rPr>
            </w:pPr>
            <w:r w:rsidRPr="00E87218">
              <w:rPr>
                <w:rFonts w:cs="Arial"/>
                <w:szCs w:val="22"/>
                <w:lang w:eastAsia="it-IT"/>
              </w:rPr>
              <w:t>Введення  об’єкту в експлуатацію .</w:t>
            </w:r>
          </w:p>
          <w:p w14:paraId="6CF4EE49" w14:textId="2B6A6564" w:rsidR="00CB33C7" w:rsidRPr="00E87218" w:rsidRDefault="00CB33C7" w:rsidP="00E87218">
            <w:pPr>
              <w:rPr>
                <w:rFonts w:cs="Arial"/>
                <w:szCs w:val="22"/>
                <w:lang w:eastAsia="it-IT"/>
              </w:rPr>
            </w:pPr>
            <w:r w:rsidRPr="00E87218">
              <w:rPr>
                <w:rFonts w:cs="Arial"/>
                <w:szCs w:val="22"/>
                <w:lang w:eastAsia="it-IT"/>
              </w:rPr>
              <w:t xml:space="preserve">Проведення інформаційних заходів (розміщення  </w:t>
            </w:r>
            <w:r w:rsidR="00FD0B1E">
              <w:rPr>
                <w:rFonts w:cs="Arial"/>
                <w:szCs w:val="22"/>
                <w:lang w:eastAsia="it-IT"/>
              </w:rPr>
              <w:t>інформації  про реалізацію  проє</w:t>
            </w:r>
            <w:r w:rsidRPr="00E87218">
              <w:rPr>
                <w:rFonts w:cs="Arial"/>
                <w:szCs w:val="22"/>
                <w:lang w:eastAsia="it-IT"/>
              </w:rPr>
              <w:t>кту у ЗМІ) .</w:t>
            </w:r>
          </w:p>
        </w:tc>
      </w:tr>
      <w:tr w:rsidR="00CB33C7" w:rsidRPr="00E87218" w14:paraId="4758CA7D" w14:textId="77777777" w:rsidTr="00E87218">
        <w:trPr>
          <w:jc w:val="right"/>
        </w:trPr>
        <w:tc>
          <w:tcPr>
            <w:tcW w:w="3421" w:type="dxa"/>
            <w:shd w:val="clear" w:color="auto" w:fill="FFFFFF"/>
            <w:vAlign w:val="center"/>
          </w:tcPr>
          <w:p w14:paraId="6F0760FD" w14:textId="77777777" w:rsidR="00CB33C7" w:rsidRPr="00E87218" w:rsidRDefault="00CB33C7" w:rsidP="00E87218">
            <w:pPr>
              <w:rPr>
                <w:rFonts w:cs="Arial"/>
                <w:b/>
                <w:bCs/>
                <w:color w:val="000000"/>
                <w:szCs w:val="22"/>
              </w:rPr>
            </w:pPr>
            <w:r w:rsidRPr="00E87218">
              <w:rPr>
                <w:rFonts w:cs="Arial"/>
                <w:b/>
                <w:bCs/>
                <w:color w:val="000000"/>
                <w:szCs w:val="22"/>
              </w:rPr>
              <w:t>Індикатори (показники) результативності:</w:t>
            </w:r>
          </w:p>
        </w:tc>
        <w:tc>
          <w:tcPr>
            <w:tcW w:w="6798" w:type="dxa"/>
            <w:gridSpan w:val="7"/>
          </w:tcPr>
          <w:p w14:paraId="0920B8A8" w14:textId="77777777" w:rsidR="00CB33C7" w:rsidRPr="00E87218" w:rsidRDefault="00CB33C7" w:rsidP="00E87218">
            <w:pPr>
              <w:rPr>
                <w:rFonts w:cs="Arial"/>
                <w:szCs w:val="22"/>
                <w:lang w:eastAsia="it-IT"/>
              </w:rPr>
            </w:pPr>
            <w:r w:rsidRPr="00E87218">
              <w:rPr>
                <w:rFonts w:eastAsia="Arial" w:cs="Arial"/>
                <w:szCs w:val="22"/>
                <w:lang w:eastAsia="en-US"/>
              </w:rPr>
              <w:t>Довжина водонапірної мережі із труб що підлягають монтажу: 950 м.п.</w:t>
            </w:r>
            <w:r w:rsidRPr="00E87218">
              <w:rPr>
                <w:rFonts w:cs="Arial"/>
                <w:szCs w:val="22"/>
                <w:lang w:eastAsia="it-IT"/>
              </w:rPr>
              <w:t xml:space="preserve"> </w:t>
            </w:r>
          </w:p>
        </w:tc>
      </w:tr>
      <w:tr w:rsidR="00CB33C7" w:rsidRPr="00E87218" w14:paraId="4DBF96CD" w14:textId="77777777" w:rsidTr="00E87218">
        <w:trPr>
          <w:jc w:val="right"/>
        </w:trPr>
        <w:tc>
          <w:tcPr>
            <w:tcW w:w="3421" w:type="dxa"/>
            <w:shd w:val="clear" w:color="auto" w:fill="FFFFFF"/>
            <w:vAlign w:val="center"/>
          </w:tcPr>
          <w:p w14:paraId="345D05DC" w14:textId="77777777" w:rsidR="00CB33C7" w:rsidRPr="00E87218" w:rsidRDefault="00CB33C7" w:rsidP="00E87218">
            <w:pPr>
              <w:rPr>
                <w:rFonts w:cs="Arial"/>
                <w:b/>
                <w:color w:val="000000"/>
                <w:szCs w:val="22"/>
              </w:rPr>
            </w:pPr>
            <w:r w:rsidRPr="00E87218">
              <w:rPr>
                <w:rFonts w:cs="Arial"/>
                <w:b/>
                <w:color w:val="000000"/>
                <w:szCs w:val="22"/>
              </w:rPr>
              <w:t xml:space="preserve">Період здійснення: </w:t>
            </w:r>
          </w:p>
        </w:tc>
        <w:tc>
          <w:tcPr>
            <w:tcW w:w="6798" w:type="dxa"/>
            <w:gridSpan w:val="7"/>
            <w:vAlign w:val="center"/>
          </w:tcPr>
          <w:p w14:paraId="6FB6AAB3" w14:textId="77777777" w:rsidR="00CB33C7" w:rsidRPr="00E87218" w:rsidRDefault="00CB33C7" w:rsidP="00E87218">
            <w:pPr>
              <w:rPr>
                <w:rFonts w:cs="Arial"/>
                <w:color w:val="000000"/>
                <w:szCs w:val="22"/>
                <w:lang w:eastAsia="it-IT"/>
              </w:rPr>
            </w:pPr>
            <w:r w:rsidRPr="00E87218">
              <w:rPr>
                <w:rFonts w:cs="Arial"/>
                <w:b/>
                <w:color w:val="000000"/>
                <w:szCs w:val="22"/>
              </w:rPr>
              <w:t>2025 – 2028 роки:</w:t>
            </w:r>
          </w:p>
        </w:tc>
      </w:tr>
      <w:tr w:rsidR="00CB33C7" w:rsidRPr="00E87218" w14:paraId="127DCFA2" w14:textId="77777777" w:rsidTr="00E87218">
        <w:trPr>
          <w:jc w:val="right"/>
        </w:trPr>
        <w:tc>
          <w:tcPr>
            <w:tcW w:w="3421" w:type="dxa"/>
            <w:vMerge w:val="restart"/>
            <w:shd w:val="clear" w:color="auto" w:fill="FFFFFF"/>
            <w:vAlign w:val="center"/>
          </w:tcPr>
          <w:p w14:paraId="4A092764" w14:textId="77777777" w:rsidR="00CB33C7" w:rsidRPr="00E87218" w:rsidRDefault="00CB33C7" w:rsidP="00E87218">
            <w:pPr>
              <w:rPr>
                <w:rFonts w:cs="Arial"/>
                <w:b/>
                <w:bCs/>
                <w:color w:val="000000"/>
                <w:szCs w:val="22"/>
              </w:rPr>
            </w:pPr>
            <w:r w:rsidRPr="00E87218">
              <w:rPr>
                <w:rFonts w:cs="Arial"/>
                <w:b/>
                <w:bCs/>
                <w:color w:val="000000"/>
                <w:szCs w:val="22"/>
              </w:rPr>
              <w:t>Орієнтовна вартість проєкту, тис. грн., в тому числі:</w:t>
            </w:r>
          </w:p>
        </w:tc>
        <w:tc>
          <w:tcPr>
            <w:tcW w:w="1255" w:type="dxa"/>
            <w:shd w:val="clear" w:color="auto" w:fill="E6E6E6"/>
            <w:vAlign w:val="center"/>
          </w:tcPr>
          <w:p w14:paraId="5C38F6E7" w14:textId="77777777" w:rsidR="00CB33C7" w:rsidRPr="00E87218" w:rsidRDefault="00CB33C7" w:rsidP="00E87218">
            <w:pPr>
              <w:jc w:val="center"/>
              <w:rPr>
                <w:rFonts w:cs="Arial"/>
                <w:b/>
                <w:color w:val="000000"/>
                <w:szCs w:val="22"/>
                <w:lang w:eastAsia="it-IT"/>
              </w:rPr>
            </w:pPr>
            <w:r w:rsidRPr="00E87218">
              <w:rPr>
                <w:rFonts w:cs="Arial"/>
                <w:b/>
                <w:color w:val="000000"/>
                <w:szCs w:val="22"/>
                <w:lang w:eastAsia="it-IT"/>
              </w:rPr>
              <w:t>2025</w:t>
            </w:r>
          </w:p>
        </w:tc>
        <w:tc>
          <w:tcPr>
            <w:tcW w:w="1412" w:type="dxa"/>
            <w:shd w:val="clear" w:color="auto" w:fill="E6E6E6"/>
            <w:vAlign w:val="center"/>
          </w:tcPr>
          <w:p w14:paraId="1064D204" w14:textId="77777777" w:rsidR="00CB33C7" w:rsidRPr="00E87218" w:rsidRDefault="00CB33C7" w:rsidP="00E87218">
            <w:pPr>
              <w:jc w:val="center"/>
              <w:rPr>
                <w:rFonts w:cs="Arial"/>
                <w:b/>
                <w:color w:val="000000"/>
                <w:szCs w:val="22"/>
                <w:lang w:eastAsia="it-IT"/>
              </w:rPr>
            </w:pPr>
            <w:r w:rsidRPr="00E87218">
              <w:rPr>
                <w:rFonts w:cs="Arial"/>
                <w:b/>
                <w:color w:val="000000"/>
                <w:szCs w:val="22"/>
                <w:lang w:eastAsia="it-IT"/>
              </w:rPr>
              <w:t>2026</w:t>
            </w:r>
          </w:p>
        </w:tc>
        <w:tc>
          <w:tcPr>
            <w:tcW w:w="1284" w:type="dxa"/>
            <w:gridSpan w:val="2"/>
            <w:tcBorders>
              <w:bottom w:val="single" w:sz="4" w:space="0" w:color="auto"/>
            </w:tcBorders>
            <w:shd w:val="clear" w:color="auto" w:fill="E6E6E6"/>
            <w:vAlign w:val="center"/>
          </w:tcPr>
          <w:p w14:paraId="06D98B9E" w14:textId="77777777" w:rsidR="00CB33C7" w:rsidRPr="00E87218" w:rsidRDefault="00CB33C7" w:rsidP="00E87218">
            <w:pPr>
              <w:jc w:val="center"/>
              <w:rPr>
                <w:rFonts w:cs="Arial"/>
                <w:b/>
                <w:color w:val="000000"/>
                <w:szCs w:val="22"/>
                <w:lang w:eastAsia="it-IT"/>
              </w:rPr>
            </w:pPr>
            <w:r w:rsidRPr="00E87218">
              <w:rPr>
                <w:rFonts w:cs="Arial"/>
                <w:b/>
                <w:color w:val="000000"/>
                <w:szCs w:val="22"/>
                <w:lang w:eastAsia="it-IT"/>
              </w:rPr>
              <w:t>2027</w:t>
            </w:r>
          </w:p>
        </w:tc>
        <w:tc>
          <w:tcPr>
            <w:tcW w:w="1276" w:type="dxa"/>
            <w:shd w:val="clear" w:color="auto" w:fill="E6E6E6"/>
            <w:vAlign w:val="center"/>
          </w:tcPr>
          <w:p w14:paraId="62CDEDA9" w14:textId="77777777" w:rsidR="00CB33C7" w:rsidRPr="00E87218" w:rsidRDefault="00CB33C7" w:rsidP="00E87218">
            <w:pPr>
              <w:jc w:val="center"/>
              <w:rPr>
                <w:rFonts w:cs="Arial"/>
                <w:b/>
                <w:color w:val="000000"/>
                <w:szCs w:val="22"/>
                <w:lang w:eastAsia="it-IT"/>
              </w:rPr>
            </w:pPr>
            <w:r w:rsidRPr="00E87218">
              <w:rPr>
                <w:rFonts w:cs="Arial"/>
                <w:b/>
                <w:color w:val="000000"/>
                <w:szCs w:val="22"/>
                <w:lang w:eastAsia="it-IT"/>
              </w:rPr>
              <w:t>2028</w:t>
            </w:r>
          </w:p>
        </w:tc>
        <w:tc>
          <w:tcPr>
            <w:tcW w:w="1571" w:type="dxa"/>
            <w:gridSpan w:val="2"/>
            <w:shd w:val="clear" w:color="auto" w:fill="E6E6E6"/>
            <w:vAlign w:val="center"/>
          </w:tcPr>
          <w:p w14:paraId="11234E41" w14:textId="77777777" w:rsidR="00CB33C7" w:rsidRPr="00E87218" w:rsidRDefault="00CB33C7" w:rsidP="00E87218">
            <w:pPr>
              <w:jc w:val="center"/>
              <w:rPr>
                <w:rFonts w:cs="Arial"/>
                <w:b/>
                <w:color w:val="000000"/>
                <w:szCs w:val="22"/>
                <w:lang w:eastAsia="it-IT"/>
              </w:rPr>
            </w:pPr>
            <w:r w:rsidRPr="00E87218">
              <w:rPr>
                <w:rFonts w:cs="Arial"/>
                <w:b/>
                <w:color w:val="000000"/>
                <w:szCs w:val="22"/>
                <w:lang w:eastAsia="it-IT"/>
              </w:rPr>
              <w:t>РАЗОМ</w:t>
            </w:r>
          </w:p>
        </w:tc>
      </w:tr>
      <w:tr w:rsidR="00CB33C7" w:rsidRPr="00E87218" w14:paraId="5CCD73E5" w14:textId="77777777" w:rsidTr="00E87218">
        <w:trPr>
          <w:jc w:val="right"/>
        </w:trPr>
        <w:tc>
          <w:tcPr>
            <w:tcW w:w="3421" w:type="dxa"/>
            <w:vMerge/>
            <w:shd w:val="clear" w:color="auto" w:fill="FFFFFF"/>
            <w:vAlign w:val="center"/>
          </w:tcPr>
          <w:p w14:paraId="7F934048" w14:textId="77777777" w:rsidR="00CB33C7" w:rsidRPr="00E87218" w:rsidRDefault="00CB33C7" w:rsidP="00E87218">
            <w:pPr>
              <w:rPr>
                <w:rFonts w:cs="Arial"/>
                <w:b/>
                <w:bCs/>
                <w:color w:val="000000"/>
                <w:szCs w:val="22"/>
              </w:rPr>
            </w:pPr>
          </w:p>
        </w:tc>
        <w:tc>
          <w:tcPr>
            <w:tcW w:w="1255" w:type="dxa"/>
            <w:vAlign w:val="center"/>
          </w:tcPr>
          <w:p w14:paraId="4F160078" w14:textId="77777777" w:rsidR="00CB33C7" w:rsidRPr="00E87218" w:rsidRDefault="00CB33C7" w:rsidP="00E87218">
            <w:pPr>
              <w:jc w:val="center"/>
              <w:rPr>
                <w:rFonts w:cs="Arial"/>
                <w:b/>
                <w:color w:val="000000"/>
                <w:szCs w:val="22"/>
                <w:lang w:eastAsia="it-IT"/>
              </w:rPr>
            </w:pPr>
          </w:p>
        </w:tc>
        <w:tc>
          <w:tcPr>
            <w:tcW w:w="1412" w:type="dxa"/>
            <w:shd w:val="clear" w:color="auto" w:fill="FFFFFF"/>
            <w:vAlign w:val="center"/>
          </w:tcPr>
          <w:p w14:paraId="1A1CCE3E" w14:textId="77777777" w:rsidR="00CB33C7" w:rsidRPr="00E87218" w:rsidRDefault="00CB33C7" w:rsidP="00E87218">
            <w:pPr>
              <w:jc w:val="center"/>
              <w:rPr>
                <w:rFonts w:cs="Arial"/>
                <w:b/>
                <w:color w:val="000000"/>
                <w:szCs w:val="22"/>
                <w:lang w:eastAsia="it-IT"/>
              </w:rPr>
            </w:pPr>
            <w:r w:rsidRPr="00E87218">
              <w:rPr>
                <w:rFonts w:cs="Arial"/>
                <w:b/>
                <w:color w:val="000000"/>
                <w:szCs w:val="22"/>
                <w:lang w:eastAsia="it-IT"/>
              </w:rPr>
              <w:t>619,216</w:t>
            </w:r>
          </w:p>
        </w:tc>
        <w:tc>
          <w:tcPr>
            <w:tcW w:w="1284" w:type="dxa"/>
            <w:gridSpan w:val="2"/>
            <w:shd w:val="clear" w:color="auto" w:fill="auto"/>
            <w:vAlign w:val="center"/>
          </w:tcPr>
          <w:p w14:paraId="5E20E169" w14:textId="77777777" w:rsidR="00CB33C7" w:rsidRPr="00E87218" w:rsidRDefault="00CB33C7" w:rsidP="00E87218">
            <w:pPr>
              <w:jc w:val="center"/>
              <w:rPr>
                <w:rFonts w:cs="Arial"/>
                <w:b/>
                <w:color w:val="000000"/>
                <w:szCs w:val="22"/>
                <w:lang w:eastAsia="it-IT"/>
              </w:rPr>
            </w:pPr>
          </w:p>
        </w:tc>
        <w:tc>
          <w:tcPr>
            <w:tcW w:w="1276" w:type="dxa"/>
            <w:shd w:val="clear" w:color="auto" w:fill="FFFFFF"/>
            <w:vAlign w:val="center"/>
          </w:tcPr>
          <w:p w14:paraId="2E745E86" w14:textId="77777777" w:rsidR="00CB33C7" w:rsidRPr="00E87218" w:rsidRDefault="00CB33C7" w:rsidP="00E87218">
            <w:pPr>
              <w:jc w:val="center"/>
              <w:rPr>
                <w:rFonts w:cs="Arial"/>
                <w:b/>
                <w:color w:val="000000"/>
                <w:szCs w:val="22"/>
                <w:lang w:eastAsia="it-IT"/>
              </w:rPr>
            </w:pPr>
          </w:p>
        </w:tc>
        <w:tc>
          <w:tcPr>
            <w:tcW w:w="1571" w:type="dxa"/>
            <w:gridSpan w:val="2"/>
            <w:shd w:val="clear" w:color="auto" w:fill="FFFFFF"/>
            <w:vAlign w:val="center"/>
          </w:tcPr>
          <w:p w14:paraId="415B0B4E" w14:textId="77777777" w:rsidR="00CB33C7" w:rsidRPr="00E87218" w:rsidRDefault="00CB33C7" w:rsidP="00E87218">
            <w:pPr>
              <w:jc w:val="center"/>
              <w:rPr>
                <w:rFonts w:cs="Arial"/>
                <w:b/>
                <w:color w:val="000000"/>
                <w:szCs w:val="22"/>
                <w:lang w:eastAsia="it-IT"/>
              </w:rPr>
            </w:pPr>
            <w:r w:rsidRPr="00E87218">
              <w:rPr>
                <w:rFonts w:cs="Arial"/>
                <w:b/>
                <w:color w:val="000000"/>
                <w:szCs w:val="22"/>
                <w:lang w:eastAsia="it-IT"/>
              </w:rPr>
              <w:t>619,216</w:t>
            </w:r>
          </w:p>
        </w:tc>
      </w:tr>
      <w:tr w:rsidR="00CB33C7" w:rsidRPr="00E87218" w14:paraId="3CCA17E5" w14:textId="77777777" w:rsidTr="00E87218">
        <w:trPr>
          <w:trHeight w:val="276"/>
          <w:jc w:val="right"/>
        </w:trPr>
        <w:tc>
          <w:tcPr>
            <w:tcW w:w="3421" w:type="dxa"/>
            <w:shd w:val="clear" w:color="auto" w:fill="FFFFFF"/>
            <w:vAlign w:val="center"/>
          </w:tcPr>
          <w:p w14:paraId="50E3F9BF" w14:textId="77777777" w:rsidR="00CB33C7" w:rsidRPr="00E87218" w:rsidRDefault="00CB33C7" w:rsidP="00E87218">
            <w:pPr>
              <w:rPr>
                <w:rFonts w:cs="Arial"/>
                <w:b/>
                <w:bCs/>
                <w:color w:val="000000"/>
                <w:szCs w:val="22"/>
              </w:rPr>
            </w:pPr>
            <w:r w:rsidRPr="00E87218">
              <w:rPr>
                <w:rFonts w:cs="Arial"/>
                <w:b/>
                <w:bCs/>
                <w:color w:val="000000"/>
                <w:szCs w:val="22"/>
              </w:rPr>
              <w:t>по джерелах фінансування:</w:t>
            </w:r>
          </w:p>
        </w:tc>
        <w:tc>
          <w:tcPr>
            <w:tcW w:w="6798" w:type="dxa"/>
            <w:gridSpan w:val="7"/>
            <w:vAlign w:val="center"/>
          </w:tcPr>
          <w:p w14:paraId="54F10142" w14:textId="77777777" w:rsidR="00CB33C7" w:rsidRPr="00E87218" w:rsidRDefault="00CB33C7" w:rsidP="00E87218">
            <w:pPr>
              <w:jc w:val="both"/>
              <w:rPr>
                <w:rFonts w:cs="Arial"/>
                <w:color w:val="000000"/>
                <w:szCs w:val="22"/>
                <w:lang w:eastAsia="it-IT"/>
              </w:rPr>
            </w:pPr>
          </w:p>
        </w:tc>
      </w:tr>
      <w:tr w:rsidR="00E87218" w:rsidRPr="00E87218" w14:paraId="50B5D1C6" w14:textId="37ACF8A8" w:rsidTr="00E87218">
        <w:trPr>
          <w:trHeight w:val="240"/>
          <w:jc w:val="right"/>
        </w:trPr>
        <w:tc>
          <w:tcPr>
            <w:tcW w:w="3421" w:type="dxa"/>
            <w:shd w:val="clear" w:color="auto" w:fill="FFFFFF"/>
            <w:vAlign w:val="center"/>
          </w:tcPr>
          <w:p w14:paraId="30037AA5" w14:textId="77777777" w:rsidR="00E87218" w:rsidRPr="00E87218" w:rsidRDefault="00E87218" w:rsidP="00E87218">
            <w:pPr>
              <w:rPr>
                <w:rFonts w:cs="Arial"/>
                <w:b/>
                <w:bCs/>
                <w:color w:val="000000"/>
                <w:szCs w:val="22"/>
              </w:rPr>
            </w:pPr>
            <w:r w:rsidRPr="00E87218">
              <w:rPr>
                <w:rFonts w:cs="Arial"/>
                <w:color w:val="000000"/>
                <w:szCs w:val="22"/>
              </w:rPr>
              <w:t>- державний бюджет</w:t>
            </w:r>
          </w:p>
        </w:tc>
        <w:tc>
          <w:tcPr>
            <w:tcW w:w="1255" w:type="dxa"/>
          </w:tcPr>
          <w:p w14:paraId="1084C63D" w14:textId="77777777" w:rsidR="00E87218" w:rsidRPr="00E87218" w:rsidRDefault="00E87218" w:rsidP="00E87218">
            <w:pPr>
              <w:jc w:val="center"/>
              <w:rPr>
                <w:rFonts w:cs="Arial"/>
                <w:color w:val="000000"/>
                <w:szCs w:val="22"/>
                <w:lang w:eastAsia="it-IT"/>
              </w:rPr>
            </w:pPr>
          </w:p>
        </w:tc>
        <w:tc>
          <w:tcPr>
            <w:tcW w:w="1452" w:type="dxa"/>
            <w:gridSpan w:val="2"/>
          </w:tcPr>
          <w:p w14:paraId="45571DC9" w14:textId="77777777" w:rsidR="00E87218" w:rsidRPr="00E87218" w:rsidRDefault="00E87218" w:rsidP="00E87218">
            <w:pPr>
              <w:jc w:val="center"/>
              <w:rPr>
                <w:rFonts w:cs="Arial"/>
                <w:color w:val="000000"/>
                <w:szCs w:val="22"/>
                <w:lang w:eastAsia="it-IT"/>
              </w:rPr>
            </w:pPr>
          </w:p>
        </w:tc>
        <w:tc>
          <w:tcPr>
            <w:tcW w:w="1244" w:type="dxa"/>
          </w:tcPr>
          <w:p w14:paraId="29A87F07" w14:textId="77777777" w:rsidR="00E87218" w:rsidRPr="00E87218" w:rsidRDefault="00E87218" w:rsidP="00E87218">
            <w:pPr>
              <w:jc w:val="center"/>
              <w:rPr>
                <w:rFonts w:cs="Arial"/>
                <w:color w:val="000000"/>
                <w:szCs w:val="22"/>
                <w:lang w:eastAsia="it-IT"/>
              </w:rPr>
            </w:pPr>
          </w:p>
        </w:tc>
        <w:tc>
          <w:tcPr>
            <w:tcW w:w="1313" w:type="dxa"/>
            <w:gridSpan w:val="2"/>
          </w:tcPr>
          <w:p w14:paraId="116888AD" w14:textId="77777777" w:rsidR="00E87218" w:rsidRPr="00E87218" w:rsidRDefault="00E87218" w:rsidP="00E87218">
            <w:pPr>
              <w:jc w:val="center"/>
              <w:rPr>
                <w:rFonts w:cs="Arial"/>
                <w:color w:val="000000"/>
                <w:szCs w:val="22"/>
                <w:lang w:eastAsia="it-IT"/>
              </w:rPr>
            </w:pPr>
          </w:p>
        </w:tc>
        <w:tc>
          <w:tcPr>
            <w:tcW w:w="1534" w:type="dxa"/>
          </w:tcPr>
          <w:p w14:paraId="01CC0ACB" w14:textId="77777777" w:rsidR="00E87218" w:rsidRPr="00E87218" w:rsidRDefault="00E87218" w:rsidP="00E87218">
            <w:pPr>
              <w:jc w:val="center"/>
              <w:rPr>
                <w:rFonts w:cs="Arial"/>
                <w:color w:val="000000"/>
                <w:szCs w:val="22"/>
                <w:lang w:eastAsia="it-IT"/>
              </w:rPr>
            </w:pPr>
          </w:p>
        </w:tc>
      </w:tr>
      <w:tr w:rsidR="00E87218" w:rsidRPr="00E87218" w14:paraId="0BC530A3" w14:textId="36B1D610" w:rsidTr="00E87218">
        <w:trPr>
          <w:trHeight w:val="254"/>
          <w:jc w:val="right"/>
        </w:trPr>
        <w:tc>
          <w:tcPr>
            <w:tcW w:w="3421" w:type="dxa"/>
            <w:shd w:val="clear" w:color="auto" w:fill="FFFFFF"/>
            <w:vAlign w:val="center"/>
          </w:tcPr>
          <w:p w14:paraId="6A3D7AEF" w14:textId="77777777" w:rsidR="00E87218" w:rsidRPr="00E87218" w:rsidRDefault="00E87218" w:rsidP="00E87218">
            <w:pPr>
              <w:rPr>
                <w:rFonts w:cs="Arial"/>
                <w:color w:val="000000"/>
                <w:szCs w:val="22"/>
              </w:rPr>
            </w:pPr>
            <w:r w:rsidRPr="00E87218">
              <w:rPr>
                <w:rFonts w:cs="Arial"/>
                <w:color w:val="000000"/>
                <w:szCs w:val="22"/>
              </w:rPr>
              <w:t>- обласний бюджет</w:t>
            </w:r>
          </w:p>
        </w:tc>
        <w:tc>
          <w:tcPr>
            <w:tcW w:w="1255" w:type="dxa"/>
          </w:tcPr>
          <w:p w14:paraId="53A21324" w14:textId="77777777" w:rsidR="00E87218" w:rsidRPr="00E87218" w:rsidRDefault="00E87218" w:rsidP="00E87218">
            <w:pPr>
              <w:jc w:val="center"/>
              <w:rPr>
                <w:rFonts w:cs="Arial"/>
                <w:color w:val="000000"/>
                <w:szCs w:val="22"/>
                <w:lang w:eastAsia="it-IT"/>
              </w:rPr>
            </w:pPr>
          </w:p>
        </w:tc>
        <w:tc>
          <w:tcPr>
            <w:tcW w:w="1452" w:type="dxa"/>
            <w:gridSpan w:val="2"/>
          </w:tcPr>
          <w:p w14:paraId="43DF0FEF" w14:textId="77777777" w:rsidR="00E87218" w:rsidRPr="00E87218" w:rsidRDefault="00E87218" w:rsidP="00E87218">
            <w:pPr>
              <w:jc w:val="center"/>
              <w:rPr>
                <w:rFonts w:cs="Arial"/>
                <w:color w:val="000000"/>
                <w:szCs w:val="22"/>
                <w:lang w:eastAsia="it-IT"/>
              </w:rPr>
            </w:pPr>
          </w:p>
        </w:tc>
        <w:tc>
          <w:tcPr>
            <w:tcW w:w="1244" w:type="dxa"/>
          </w:tcPr>
          <w:p w14:paraId="5CFBD60E" w14:textId="77777777" w:rsidR="00E87218" w:rsidRPr="00E87218" w:rsidRDefault="00E87218" w:rsidP="00E87218">
            <w:pPr>
              <w:jc w:val="center"/>
              <w:rPr>
                <w:rFonts w:cs="Arial"/>
                <w:color w:val="000000"/>
                <w:szCs w:val="22"/>
                <w:lang w:eastAsia="it-IT"/>
              </w:rPr>
            </w:pPr>
          </w:p>
        </w:tc>
        <w:tc>
          <w:tcPr>
            <w:tcW w:w="1313" w:type="dxa"/>
            <w:gridSpan w:val="2"/>
          </w:tcPr>
          <w:p w14:paraId="5E1FCBF4" w14:textId="77777777" w:rsidR="00E87218" w:rsidRPr="00E87218" w:rsidRDefault="00E87218" w:rsidP="00E87218">
            <w:pPr>
              <w:jc w:val="center"/>
              <w:rPr>
                <w:rFonts w:cs="Arial"/>
                <w:color w:val="000000"/>
                <w:szCs w:val="22"/>
                <w:lang w:eastAsia="it-IT"/>
              </w:rPr>
            </w:pPr>
          </w:p>
        </w:tc>
        <w:tc>
          <w:tcPr>
            <w:tcW w:w="1534" w:type="dxa"/>
          </w:tcPr>
          <w:p w14:paraId="5F6DF735" w14:textId="77777777" w:rsidR="00E87218" w:rsidRPr="00E87218" w:rsidRDefault="00E87218" w:rsidP="00E87218">
            <w:pPr>
              <w:jc w:val="center"/>
              <w:rPr>
                <w:rFonts w:cs="Arial"/>
                <w:color w:val="000000"/>
                <w:szCs w:val="22"/>
                <w:lang w:eastAsia="it-IT"/>
              </w:rPr>
            </w:pPr>
          </w:p>
        </w:tc>
      </w:tr>
      <w:tr w:rsidR="00E87218" w:rsidRPr="00E87218" w14:paraId="32F85E30" w14:textId="6881DF98" w:rsidTr="00E87218">
        <w:trPr>
          <w:trHeight w:val="275"/>
          <w:jc w:val="right"/>
        </w:trPr>
        <w:tc>
          <w:tcPr>
            <w:tcW w:w="3421" w:type="dxa"/>
            <w:shd w:val="clear" w:color="auto" w:fill="FFFFFF"/>
            <w:vAlign w:val="center"/>
          </w:tcPr>
          <w:p w14:paraId="26E7878D" w14:textId="77777777" w:rsidR="00E87218" w:rsidRPr="00E87218" w:rsidRDefault="00E87218" w:rsidP="00E87218">
            <w:pPr>
              <w:rPr>
                <w:rFonts w:cs="Arial"/>
                <w:color w:val="000000"/>
                <w:szCs w:val="22"/>
              </w:rPr>
            </w:pPr>
            <w:r w:rsidRPr="00E87218">
              <w:rPr>
                <w:rFonts w:cs="Arial"/>
                <w:color w:val="000000"/>
                <w:szCs w:val="22"/>
              </w:rPr>
              <w:t>- бюджет Жмеринської МТГ</w:t>
            </w:r>
          </w:p>
        </w:tc>
        <w:tc>
          <w:tcPr>
            <w:tcW w:w="1255" w:type="dxa"/>
          </w:tcPr>
          <w:p w14:paraId="1B47F7C1" w14:textId="5E8C990F" w:rsidR="00E87218" w:rsidRPr="00E87218" w:rsidRDefault="00E87218" w:rsidP="00E87218">
            <w:pPr>
              <w:jc w:val="center"/>
              <w:rPr>
                <w:rFonts w:cs="Arial"/>
                <w:color w:val="000000"/>
                <w:szCs w:val="22"/>
                <w:lang w:eastAsia="it-IT"/>
              </w:rPr>
            </w:pPr>
          </w:p>
        </w:tc>
        <w:tc>
          <w:tcPr>
            <w:tcW w:w="1452" w:type="dxa"/>
            <w:gridSpan w:val="2"/>
          </w:tcPr>
          <w:p w14:paraId="0ABA1425" w14:textId="61511690" w:rsidR="00E87218" w:rsidRPr="00E87218" w:rsidRDefault="00E87218" w:rsidP="00E87218">
            <w:pPr>
              <w:jc w:val="center"/>
              <w:rPr>
                <w:rFonts w:cs="Arial"/>
                <w:color w:val="000000"/>
                <w:szCs w:val="22"/>
                <w:lang w:eastAsia="it-IT"/>
              </w:rPr>
            </w:pPr>
            <w:r w:rsidRPr="00E87218">
              <w:rPr>
                <w:rFonts w:cs="Arial"/>
                <w:color w:val="000000"/>
                <w:szCs w:val="22"/>
                <w:lang w:eastAsia="it-IT"/>
              </w:rPr>
              <w:t>619,216</w:t>
            </w:r>
          </w:p>
        </w:tc>
        <w:tc>
          <w:tcPr>
            <w:tcW w:w="1244" w:type="dxa"/>
          </w:tcPr>
          <w:p w14:paraId="02C8E1D4" w14:textId="2AA3EF50" w:rsidR="00E87218" w:rsidRPr="00E87218" w:rsidRDefault="00E87218" w:rsidP="00E87218">
            <w:pPr>
              <w:jc w:val="center"/>
              <w:rPr>
                <w:rFonts w:cs="Arial"/>
                <w:color w:val="000000"/>
                <w:szCs w:val="22"/>
                <w:lang w:eastAsia="it-IT"/>
              </w:rPr>
            </w:pPr>
          </w:p>
        </w:tc>
        <w:tc>
          <w:tcPr>
            <w:tcW w:w="1313" w:type="dxa"/>
            <w:gridSpan w:val="2"/>
          </w:tcPr>
          <w:p w14:paraId="12551B1E" w14:textId="03CE342B" w:rsidR="00E87218" w:rsidRPr="00E87218" w:rsidRDefault="00E87218" w:rsidP="00E87218">
            <w:pPr>
              <w:jc w:val="center"/>
              <w:rPr>
                <w:rFonts w:cs="Arial"/>
                <w:color w:val="000000"/>
                <w:szCs w:val="22"/>
                <w:lang w:eastAsia="it-IT"/>
              </w:rPr>
            </w:pPr>
          </w:p>
        </w:tc>
        <w:tc>
          <w:tcPr>
            <w:tcW w:w="1534" w:type="dxa"/>
          </w:tcPr>
          <w:p w14:paraId="596BC8D9" w14:textId="1825F900" w:rsidR="00E87218" w:rsidRPr="00E87218" w:rsidRDefault="00E87218" w:rsidP="00E87218">
            <w:pPr>
              <w:jc w:val="center"/>
              <w:rPr>
                <w:rFonts w:cs="Arial"/>
                <w:b/>
                <w:color w:val="000000"/>
                <w:szCs w:val="22"/>
                <w:lang w:eastAsia="it-IT"/>
              </w:rPr>
            </w:pPr>
            <w:r w:rsidRPr="00E87218">
              <w:rPr>
                <w:rFonts w:cs="Arial"/>
                <w:b/>
                <w:color w:val="000000"/>
                <w:szCs w:val="22"/>
                <w:lang w:eastAsia="it-IT"/>
              </w:rPr>
              <w:t>619,216</w:t>
            </w:r>
          </w:p>
        </w:tc>
      </w:tr>
      <w:tr w:rsidR="00E87218" w:rsidRPr="00E87218" w14:paraId="3891025C" w14:textId="47ADB243" w:rsidTr="00E87218">
        <w:trPr>
          <w:trHeight w:val="226"/>
          <w:jc w:val="right"/>
        </w:trPr>
        <w:tc>
          <w:tcPr>
            <w:tcW w:w="3421" w:type="dxa"/>
            <w:shd w:val="clear" w:color="auto" w:fill="FFFFFF"/>
            <w:vAlign w:val="center"/>
          </w:tcPr>
          <w:p w14:paraId="7D421E51" w14:textId="77777777" w:rsidR="00E87218" w:rsidRPr="00E87218" w:rsidRDefault="00E87218" w:rsidP="00E87218">
            <w:pPr>
              <w:rPr>
                <w:rFonts w:cs="Arial"/>
                <w:color w:val="000000"/>
                <w:szCs w:val="22"/>
              </w:rPr>
            </w:pPr>
            <w:r w:rsidRPr="00E87218">
              <w:rPr>
                <w:rFonts w:cs="Arial"/>
                <w:color w:val="000000"/>
                <w:szCs w:val="22"/>
              </w:rPr>
              <w:t>- інші джерела фінансування</w:t>
            </w:r>
          </w:p>
        </w:tc>
        <w:tc>
          <w:tcPr>
            <w:tcW w:w="1255" w:type="dxa"/>
          </w:tcPr>
          <w:p w14:paraId="6C92032F" w14:textId="77777777" w:rsidR="00E87218" w:rsidRPr="00E87218" w:rsidRDefault="00E87218" w:rsidP="00E87218">
            <w:pPr>
              <w:jc w:val="center"/>
              <w:rPr>
                <w:rFonts w:cs="Arial"/>
                <w:color w:val="000000"/>
                <w:szCs w:val="22"/>
                <w:lang w:eastAsia="it-IT"/>
              </w:rPr>
            </w:pPr>
          </w:p>
        </w:tc>
        <w:tc>
          <w:tcPr>
            <w:tcW w:w="1452" w:type="dxa"/>
            <w:gridSpan w:val="2"/>
          </w:tcPr>
          <w:p w14:paraId="79A04AB4" w14:textId="77777777" w:rsidR="00E87218" w:rsidRPr="00E87218" w:rsidRDefault="00E87218" w:rsidP="00E87218">
            <w:pPr>
              <w:jc w:val="center"/>
              <w:rPr>
                <w:rFonts w:cs="Arial"/>
                <w:color w:val="000000"/>
                <w:szCs w:val="22"/>
                <w:lang w:eastAsia="it-IT"/>
              </w:rPr>
            </w:pPr>
          </w:p>
        </w:tc>
        <w:tc>
          <w:tcPr>
            <w:tcW w:w="1244" w:type="dxa"/>
          </w:tcPr>
          <w:p w14:paraId="6A61703A" w14:textId="77777777" w:rsidR="00E87218" w:rsidRPr="00E87218" w:rsidRDefault="00E87218" w:rsidP="00E87218">
            <w:pPr>
              <w:jc w:val="center"/>
              <w:rPr>
                <w:rFonts w:cs="Arial"/>
                <w:color w:val="000000"/>
                <w:szCs w:val="22"/>
                <w:lang w:eastAsia="it-IT"/>
              </w:rPr>
            </w:pPr>
          </w:p>
        </w:tc>
        <w:tc>
          <w:tcPr>
            <w:tcW w:w="1313" w:type="dxa"/>
            <w:gridSpan w:val="2"/>
          </w:tcPr>
          <w:p w14:paraId="20D4C8C1" w14:textId="77777777" w:rsidR="00E87218" w:rsidRPr="00E87218" w:rsidRDefault="00E87218" w:rsidP="00E87218">
            <w:pPr>
              <w:jc w:val="center"/>
              <w:rPr>
                <w:rFonts w:cs="Arial"/>
                <w:color w:val="000000"/>
                <w:szCs w:val="22"/>
                <w:lang w:eastAsia="it-IT"/>
              </w:rPr>
            </w:pPr>
          </w:p>
        </w:tc>
        <w:tc>
          <w:tcPr>
            <w:tcW w:w="1534" w:type="dxa"/>
          </w:tcPr>
          <w:p w14:paraId="6D9C84F6" w14:textId="77777777" w:rsidR="00E87218" w:rsidRPr="00E87218" w:rsidRDefault="00E87218" w:rsidP="00E87218">
            <w:pPr>
              <w:jc w:val="center"/>
              <w:rPr>
                <w:rFonts w:cs="Arial"/>
                <w:color w:val="000000"/>
                <w:szCs w:val="22"/>
                <w:lang w:eastAsia="it-IT"/>
              </w:rPr>
            </w:pPr>
          </w:p>
        </w:tc>
      </w:tr>
      <w:tr w:rsidR="00CB33C7" w:rsidRPr="00E87218" w14:paraId="309C55F6" w14:textId="77777777" w:rsidTr="00E87218">
        <w:trPr>
          <w:jc w:val="right"/>
        </w:trPr>
        <w:tc>
          <w:tcPr>
            <w:tcW w:w="3421" w:type="dxa"/>
            <w:shd w:val="clear" w:color="auto" w:fill="FFFFFF"/>
            <w:vAlign w:val="center"/>
          </w:tcPr>
          <w:p w14:paraId="2E1446A2" w14:textId="77777777" w:rsidR="00CB33C7" w:rsidRPr="00E87218" w:rsidRDefault="00CB33C7" w:rsidP="00E87218">
            <w:pPr>
              <w:rPr>
                <w:rFonts w:cs="Arial"/>
                <w:b/>
                <w:bCs/>
                <w:color w:val="000000"/>
                <w:szCs w:val="22"/>
              </w:rPr>
            </w:pPr>
            <w:r w:rsidRPr="00E87218">
              <w:rPr>
                <w:rFonts w:cs="Arial"/>
                <w:b/>
                <w:color w:val="000000"/>
                <w:szCs w:val="22"/>
              </w:rPr>
              <w:t>Відповідальний виконавець проєкту:</w:t>
            </w:r>
          </w:p>
        </w:tc>
        <w:tc>
          <w:tcPr>
            <w:tcW w:w="6798" w:type="dxa"/>
            <w:gridSpan w:val="7"/>
            <w:vAlign w:val="center"/>
          </w:tcPr>
          <w:p w14:paraId="43A1C8AC" w14:textId="026AC824" w:rsidR="00CB33C7" w:rsidRPr="00E87218" w:rsidRDefault="00CB33C7" w:rsidP="00E87218">
            <w:pPr>
              <w:jc w:val="both"/>
              <w:rPr>
                <w:rFonts w:cs="Arial"/>
                <w:color w:val="000000"/>
                <w:szCs w:val="22"/>
                <w:lang w:eastAsia="it-IT"/>
              </w:rPr>
            </w:pPr>
            <w:r w:rsidRPr="00E87218">
              <w:rPr>
                <w:rFonts w:cs="Arial"/>
                <w:color w:val="000000"/>
                <w:szCs w:val="22"/>
                <w:lang w:eastAsia="it-IT"/>
              </w:rPr>
              <w:t>Управління ЖКГ.</w:t>
            </w:r>
          </w:p>
        </w:tc>
      </w:tr>
      <w:tr w:rsidR="00CB33C7" w:rsidRPr="00E87218" w14:paraId="6340BC7C" w14:textId="77777777" w:rsidTr="00E87218">
        <w:trPr>
          <w:jc w:val="right"/>
        </w:trPr>
        <w:tc>
          <w:tcPr>
            <w:tcW w:w="3421" w:type="dxa"/>
            <w:shd w:val="clear" w:color="auto" w:fill="FFFFFF"/>
            <w:vAlign w:val="center"/>
          </w:tcPr>
          <w:p w14:paraId="789A9249" w14:textId="77777777" w:rsidR="00CB33C7" w:rsidRPr="00E87218" w:rsidRDefault="00CB33C7" w:rsidP="00E87218">
            <w:pPr>
              <w:rPr>
                <w:rFonts w:cs="Arial"/>
                <w:b/>
                <w:bCs/>
                <w:color w:val="000000"/>
                <w:szCs w:val="22"/>
              </w:rPr>
            </w:pPr>
            <w:r w:rsidRPr="00E87218">
              <w:rPr>
                <w:rFonts w:cs="Arial"/>
                <w:b/>
                <w:bCs/>
                <w:color w:val="000000"/>
                <w:szCs w:val="22"/>
              </w:rPr>
              <w:t>Інше:</w:t>
            </w:r>
          </w:p>
        </w:tc>
        <w:tc>
          <w:tcPr>
            <w:tcW w:w="6798" w:type="dxa"/>
            <w:gridSpan w:val="7"/>
            <w:vAlign w:val="center"/>
          </w:tcPr>
          <w:p w14:paraId="5CEAE524" w14:textId="77777777" w:rsidR="00CB33C7" w:rsidRPr="00E87218" w:rsidRDefault="00CB33C7" w:rsidP="00E87218">
            <w:pPr>
              <w:rPr>
                <w:rFonts w:cs="Arial"/>
                <w:color w:val="000000"/>
                <w:szCs w:val="22"/>
                <w:lang w:eastAsia="it-IT"/>
              </w:rPr>
            </w:pPr>
          </w:p>
          <w:p w14:paraId="3A658233" w14:textId="77777777" w:rsidR="00CB33C7" w:rsidRPr="00E87218" w:rsidRDefault="00CB33C7" w:rsidP="00E87218">
            <w:pPr>
              <w:rPr>
                <w:rFonts w:cs="Arial"/>
                <w:color w:val="000000"/>
                <w:szCs w:val="22"/>
                <w:lang w:eastAsia="it-IT"/>
              </w:rPr>
            </w:pPr>
          </w:p>
        </w:tc>
      </w:tr>
    </w:tbl>
    <w:p w14:paraId="458BD8B5" w14:textId="77777777" w:rsidR="00CB33C7" w:rsidRPr="00C2587D" w:rsidRDefault="00CB33C7" w:rsidP="00CB33C7"/>
    <w:p w14:paraId="210574AB" w14:textId="77777777" w:rsidR="00CB33C7" w:rsidRPr="00C2587D" w:rsidRDefault="00CB33C7" w:rsidP="00CB33C7"/>
    <w:p w14:paraId="102B2D84" w14:textId="77777777" w:rsidR="00820A36" w:rsidRDefault="00820A36" w:rsidP="00CB33C7">
      <w:pPr>
        <w:jc w:val="center"/>
        <w:rPr>
          <w:rFonts w:cs="Arial"/>
          <w:b/>
          <w:color w:val="000000"/>
          <w:szCs w:val="22"/>
        </w:rPr>
      </w:pPr>
    </w:p>
    <w:p w14:paraId="637DDE2B" w14:textId="77777777" w:rsidR="00820A36" w:rsidRDefault="00820A36" w:rsidP="00CB33C7">
      <w:pPr>
        <w:jc w:val="center"/>
        <w:rPr>
          <w:rFonts w:cs="Arial"/>
          <w:b/>
          <w:color w:val="000000"/>
          <w:szCs w:val="22"/>
        </w:rPr>
      </w:pPr>
    </w:p>
    <w:p w14:paraId="6EC100D1" w14:textId="77777777" w:rsidR="00820A36" w:rsidRDefault="00820A36" w:rsidP="00CB33C7">
      <w:pPr>
        <w:jc w:val="center"/>
        <w:rPr>
          <w:rFonts w:cs="Arial"/>
          <w:b/>
          <w:color w:val="000000"/>
          <w:szCs w:val="22"/>
        </w:rPr>
      </w:pPr>
    </w:p>
    <w:p w14:paraId="7D495306" w14:textId="77777777" w:rsidR="00820A36" w:rsidRDefault="00820A36" w:rsidP="00CB33C7">
      <w:pPr>
        <w:jc w:val="center"/>
        <w:rPr>
          <w:rFonts w:cs="Arial"/>
          <w:b/>
          <w:color w:val="000000"/>
          <w:szCs w:val="22"/>
        </w:rPr>
      </w:pPr>
    </w:p>
    <w:p w14:paraId="01030C30" w14:textId="77777777" w:rsidR="00820A36" w:rsidRDefault="00820A36" w:rsidP="00CB33C7">
      <w:pPr>
        <w:jc w:val="center"/>
        <w:rPr>
          <w:rFonts w:cs="Arial"/>
          <w:b/>
          <w:color w:val="000000"/>
          <w:szCs w:val="22"/>
        </w:rPr>
      </w:pPr>
    </w:p>
    <w:p w14:paraId="29A6EABD" w14:textId="77777777" w:rsidR="00CB33C7" w:rsidRPr="00C2587D" w:rsidRDefault="00CB33C7" w:rsidP="00CB33C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03880BE3" w14:textId="77777777" w:rsidR="00CB33C7" w:rsidRPr="00C2587D" w:rsidRDefault="00CB33C7" w:rsidP="00CB33C7">
      <w:pPr>
        <w:jc w:val="center"/>
        <w:rPr>
          <w:rFonts w:cs="Arial"/>
          <w:b/>
          <w:color w:val="000000"/>
          <w:szCs w:val="22"/>
        </w:rPr>
      </w:pPr>
      <w:r w:rsidRPr="00C2587D">
        <w:rPr>
          <w:rFonts w:cs="Arial"/>
          <w:b/>
          <w:color w:val="000000"/>
          <w:szCs w:val="22"/>
        </w:rPr>
        <w:t>до Плану заходів з реалізації Стратегії</w:t>
      </w:r>
    </w:p>
    <w:p w14:paraId="153CB1EC" w14:textId="77777777" w:rsidR="00CB33C7" w:rsidRPr="00C2587D" w:rsidRDefault="00CB33C7" w:rsidP="00CB33C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25"/>
        <w:gridCol w:w="1387"/>
        <w:gridCol w:w="7"/>
        <w:gridCol w:w="1274"/>
        <w:gridCol w:w="39"/>
        <w:gridCol w:w="1237"/>
        <w:gridCol w:w="30"/>
        <w:gridCol w:w="1541"/>
      </w:tblGrid>
      <w:tr w:rsidR="00CB33C7" w:rsidRPr="00C2587D" w14:paraId="66F318B8" w14:textId="77777777" w:rsidTr="00EA6E27">
        <w:trPr>
          <w:jc w:val="right"/>
        </w:trPr>
        <w:tc>
          <w:tcPr>
            <w:tcW w:w="3425" w:type="dxa"/>
            <w:vAlign w:val="center"/>
          </w:tcPr>
          <w:p w14:paraId="548275E3" w14:textId="77777777" w:rsidR="00CB33C7" w:rsidRPr="00E87218" w:rsidRDefault="00CB33C7" w:rsidP="00E87218">
            <w:pPr>
              <w:rPr>
                <w:rFonts w:cs="Arial"/>
                <w:b/>
                <w:bCs/>
                <w:color w:val="000000"/>
                <w:szCs w:val="22"/>
              </w:rPr>
            </w:pPr>
            <w:r w:rsidRPr="00E87218">
              <w:rPr>
                <w:rFonts w:cs="Arial"/>
                <w:b/>
                <w:bCs/>
                <w:color w:val="000000"/>
                <w:szCs w:val="22"/>
              </w:rPr>
              <w:t>Назва проєкту:</w:t>
            </w:r>
          </w:p>
        </w:tc>
        <w:tc>
          <w:tcPr>
            <w:tcW w:w="6794" w:type="dxa"/>
            <w:gridSpan w:val="9"/>
          </w:tcPr>
          <w:p w14:paraId="2BF1666C" w14:textId="77777777" w:rsidR="00CB33C7" w:rsidRPr="00E87218" w:rsidRDefault="00CB33C7" w:rsidP="00E87218">
            <w:pPr>
              <w:jc w:val="both"/>
              <w:rPr>
                <w:rFonts w:cs="Arial"/>
                <w:b/>
                <w:szCs w:val="22"/>
                <w:lang w:eastAsia="it-IT"/>
              </w:rPr>
            </w:pPr>
            <w:r w:rsidRPr="00E87218">
              <w:rPr>
                <w:rFonts w:eastAsia="Arial" w:cs="Arial"/>
                <w:b/>
                <w:szCs w:val="22"/>
                <w:lang w:eastAsia="en-US"/>
              </w:rPr>
              <w:t>Нове будівництво самопливної каналізації по площі Базарній, провулку Хлібний та провулку Базарний в м. Жмеринка</w:t>
            </w:r>
          </w:p>
        </w:tc>
      </w:tr>
      <w:tr w:rsidR="00CB33C7" w:rsidRPr="00C2587D" w14:paraId="40C54C54" w14:textId="77777777" w:rsidTr="00EA6E27">
        <w:trPr>
          <w:jc w:val="right"/>
        </w:trPr>
        <w:tc>
          <w:tcPr>
            <w:tcW w:w="3425" w:type="dxa"/>
          </w:tcPr>
          <w:p w14:paraId="170842BB" w14:textId="77777777" w:rsidR="00CB33C7" w:rsidRPr="00E87218" w:rsidRDefault="00CB33C7" w:rsidP="00E87218">
            <w:pPr>
              <w:rPr>
                <w:rFonts w:cs="Arial"/>
                <w:szCs w:val="22"/>
                <w:lang w:eastAsia="it-IT"/>
              </w:rPr>
            </w:pPr>
            <w:r w:rsidRPr="00E87218">
              <w:rPr>
                <w:rFonts w:cs="Arial"/>
                <w:b/>
                <w:bCs/>
                <w:szCs w:val="22"/>
              </w:rPr>
              <w:t>Ваші контакти</w:t>
            </w:r>
            <w:r w:rsidRPr="00E87218">
              <w:rPr>
                <w:rFonts w:cs="Arial"/>
                <w:szCs w:val="22"/>
                <w:lang w:eastAsia="it-IT"/>
              </w:rPr>
              <w:t>:</w:t>
            </w:r>
          </w:p>
          <w:p w14:paraId="32F4CB63" w14:textId="77777777" w:rsidR="00CB33C7" w:rsidRPr="00E87218" w:rsidRDefault="00CB33C7" w:rsidP="00E87218">
            <w:pPr>
              <w:rPr>
                <w:rFonts w:cs="Arial"/>
                <w:b/>
                <w:bCs/>
                <w:szCs w:val="22"/>
              </w:rPr>
            </w:pPr>
            <w:r w:rsidRPr="00E87218">
              <w:rPr>
                <w:rFonts w:cs="Arial"/>
                <w:szCs w:val="22"/>
                <w:lang w:eastAsia="it-IT"/>
              </w:rPr>
              <w:t>Назва установи, організації, підприємства</w:t>
            </w:r>
          </w:p>
        </w:tc>
        <w:tc>
          <w:tcPr>
            <w:tcW w:w="6794" w:type="dxa"/>
            <w:gridSpan w:val="9"/>
          </w:tcPr>
          <w:p w14:paraId="742B6B6E" w14:textId="77777777" w:rsidR="00CB33C7" w:rsidRPr="00E87218" w:rsidRDefault="00CB33C7" w:rsidP="00E87218">
            <w:pPr>
              <w:rPr>
                <w:rFonts w:cs="Arial"/>
                <w:szCs w:val="22"/>
                <w:lang w:eastAsia="it-IT"/>
              </w:rPr>
            </w:pPr>
            <w:r w:rsidRPr="00E87218">
              <w:rPr>
                <w:rFonts w:cs="Arial"/>
                <w:szCs w:val="22"/>
                <w:lang w:eastAsia="it-IT"/>
              </w:rPr>
              <w:t>Управління житлово-комунального господарства Жмеринської міської ради</w:t>
            </w:r>
          </w:p>
        </w:tc>
      </w:tr>
      <w:tr w:rsidR="00CB33C7" w:rsidRPr="00C2587D" w14:paraId="461F352A" w14:textId="77777777" w:rsidTr="00EA6E27">
        <w:trPr>
          <w:jc w:val="right"/>
        </w:trPr>
        <w:tc>
          <w:tcPr>
            <w:tcW w:w="3425" w:type="dxa"/>
          </w:tcPr>
          <w:p w14:paraId="6C0E059C" w14:textId="77777777" w:rsidR="00CB33C7" w:rsidRPr="00E87218" w:rsidRDefault="00CB33C7" w:rsidP="00E87218">
            <w:pPr>
              <w:rPr>
                <w:rFonts w:cs="Arial"/>
                <w:b/>
                <w:bCs/>
                <w:szCs w:val="22"/>
              </w:rPr>
            </w:pPr>
            <w:r w:rsidRPr="00E87218">
              <w:rPr>
                <w:rFonts w:cs="Arial"/>
                <w:szCs w:val="22"/>
                <w:lang w:eastAsia="it-IT"/>
              </w:rPr>
              <w:t>Прізвище Ім’я По-батькові:</w:t>
            </w:r>
          </w:p>
        </w:tc>
        <w:tc>
          <w:tcPr>
            <w:tcW w:w="6794" w:type="dxa"/>
            <w:gridSpan w:val="9"/>
          </w:tcPr>
          <w:p w14:paraId="70FA1C5E" w14:textId="77777777" w:rsidR="00CB33C7" w:rsidRPr="00E87218" w:rsidRDefault="00CB33C7" w:rsidP="00E87218">
            <w:pPr>
              <w:rPr>
                <w:rFonts w:cs="Arial"/>
                <w:szCs w:val="22"/>
                <w:lang w:eastAsia="it-IT"/>
              </w:rPr>
            </w:pPr>
            <w:r w:rsidRPr="00E87218">
              <w:rPr>
                <w:rFonts w:cs="Arial"/>
                <w:szCs w:val="22"/>
                <w:lang w:eastAsia="it-IT"/>
              </w:rPr>
              <w:t>Оленич Андрій Васильович</w:t>
            </w:r>
          </w:p>
        </w:tc>
      </w:tr>
      <w:tr w:rsidR="00CB33C7" w:rsidRPr="00C2587D" w14:paraId="329D1D90" w14:textId="77777777" w:rsidTr="00EA6E27">
        <w:trPr>
          <w:jc w:val="right"/>
        </w:trPr>
        <w:tc>
          <w:tcPr>
            <w:tcW w:w="3425" w:type="dxa"/>
          </w:tcPr>
          <w:p w14:paraId="36475F34" w14:textId="77777777" w:rsidR="00CB33C7" w:rsidRPr="00E87218" w:rsidRDefault="00CB33C7" w:rsidP="00E87218">
            <w:pPr>
              <w:rPr>
                <w:rFonts w:cs="Arial"/>
                <w:b/>
                <w:bCs/>
                <w:szCs w:val="22"/>
              </w:rPr>
            </w:pPr>
            <w:r w:rsidRPr="00E87218">
              <w:rPr>
                <w:rFonts w:cs="Arial"/>
                <w:szCs w:val="22"/>
                <w:lang w:eastAsia="it-IT"/>
              </w:rPr>
              <w:t>Телефон (мобільний):</w:t>
            </w:r>
          </w:p>
        </w:tc>
        <w:tc>
          <w:tcPr>
            <w:tcW w:w="6794" w:type="dxa"/>
            <w:gridSpan w:val="9"/>
          </w:tcPr>
          <w:p w14:paraId="6B1C2AA6" w14:textId="77777777" w:rsidR="00CB33C7" w:rsidRPr="00E87218" w:rsidRDefault="00CB33C7" w:rsidP="00E87218">
            <w:pPr>
              <w:rPr>
                <w:rFonts w:cs="Arial"/>
                <w:szCs w:val="22"/>
                <w:lang w:eastAsia="it-IT"/>
              </w:rPr>
            </w:pPr>
            <w:r w:rsidRPr="00E87218">
              <w:rPr>
                <w:rFonts w:cs="Arial"/>
                <w:szCs w:val="22"/>
                <w:lang w:eastAsia="it-IT"/>
              </w:rPr>
              <w:t>0972561907</w:t>
            </w:r>
          </w:p>
        </w:tc>
      </w:tr>
      <w:tr w:rsidR="00CB33C7" w:rsidRPr="00C2587D" w14:paraId="33F434A6" w14:textId="77777777" w:rsidTr="00EA6E27">
        <w:trPr>
          <w:jc w:val="right"/>
        </w:trPr>
        <w:tc>
          <w:tcPr>
            <w:tcW w:w="3425" w:type="dxa"/>
          </w:tcPr>
          <w:p w14:paraId="5083EF82" w14:textId="77777777" w:rsidR="00CB33C7" w:rsidRPr="00E87218" w:rsidRDefault="00CB33C7" w:rsidP="00E87218">
            <w:pPr>
              <w:rPr>
                <w:rFonts w:cs="Arial"/>
                <w:b/>
                <w:bCs/>
                <w:szCs w:val="22"/>
              </w:rPr>
            </w:pPr>
            <w:r w:rsidRPr="00E87218">
              <w:rPr>
                <w:rFonts w:cs="Arial"/>
                <w:szCs w:val="22"/>
                <w:lang w:eastAsia="it-IT"/>
              </w:rPr>
              <w:t>Електронна адреса:</w:t>
            </w:r>
          </w:p>
        </w:tc>
        <w:tc>
          <w:tcPr>
            <w:tcW w:w="6794" w:type="dxa"/>
            <w:gridSpan w:val="9"/>
          </w:tcPr>
          <w:p w14:paraId="70883207" w14:textId="77777777" w:rsidR="00CB33C7" w:rsidRPr="00E87218" w:rsidRDefault="00D85FFD" w:rsidP="00E87218">
            <w:pPr>
              <w:rPr>
                <w:rFonts w:cs="Arial"/>
                <w:szCs w:val="22"/>
                <w:lang w:eastAsia="it-IT"/>
              </w:rPr>
            </w:pPr>
            <w:hyperlink r:id="rId69" w:history="1">
              <w:r w:rsidR="00CB33C7" w:rsidRPr="00E87218">
                <w:rPr>
                  <w:rStyle w:val="af0"/>
                  <w:rFonts w:cs="Arial"/>
                  <w:noProof w:val="0"/>
                  <w:sz w:val="22"/>
                  <w:szCs w:val="22"/>
                  <w:lang w:eastAsia="it-IT"/>
                </w:rPr>
                <w:t>Aolenych03@ukr.net</w:t>
              </w:r>
            </w:hyperlink>
          </w:p>
        </w:tc>
      </w:tr>
      <w:tr w:rsidR="00CB33C7" w:rsidRPr="00C2587D" w14:paraId="4A12298B" w14:textId="77777777" w:rsidTr="00EA6E27">
        <w:trPr>
          <w:jc w:val="right"/>
        </w:trPr>
        <w:tc>
          <w:tcPr>
            <w:tcW w:w="3425" w:type="dxa"/>
            <w:vAlign w:val="center"/>
          </w:tcPr>
          <w:p w14:paraId="3A9492C1" w14:textId="77777777" w:rsidR="00CB33C7" w:rsidRPr="00E87218" w:rsidRDefault="00CB33C7" w:rsidP="00E87218">
            <w:pPr>
              <w:pStyle w:val="6"/>
              <w:spacing w:before="0" w:after="0"/>
              <w:rPr>
                <w:rFonts w:ascii="Arial" w:hAnsi="Arial" w:cs="Arial"/>
                <w:color w:val="000000"/>
                <w:lang w:val="uk-UA"/>
              </w:rPr>
            </w:pPr>
            <w:r w:rsidRPr="00E87218">
              <w:rPr>
                <w:rFonts w:ascii="Arial" w:hAnsi="Arial" w:cs="Arial"/>
                <w:color w:val="000000"/>
                <w:lang w:val="uk-UA"/>
              </w:rPr>
              <w:t>Номер і назва завдання з Стратегії</w:t>
            </w:r>
            <w:r w:rsidRPr="00E87218">
              <w:rPr>
                <w:rFonts w:ascii="Arial" w:hAnsi="Arial" w:cs="Arial"/>
                <w:lang w:val="uk-UA" w:eastAsia="it-IT"/>
              </w:rPr>
              <w:t xml:space="preserve"> </w:t>
            </w:r>
            <w:r w:rsidRPr="00E87218">
              <w:rPr>
                <w:rFonts w:ascii="Arial" w:hAnsi="Arial" w:cs="Arial"/>
                <w:color w:val="000000"/>
                <w:lang w:val="uk-UA"/>
              </w:rPr>
              <w:t xml:space="preserve">розвитку Жмеринської міської </w:t>
            </w:r>
          </w:p>
        </w:tc>
        <w:tc>
          <w:tcPr>
            <w:tcW w:w="6794" w:type="dxa"/>
            <w:gridSpan w:val="9"/>
            <w:vAlign w:val="center"/>
          </w:tcPr>
          <w:p w14:paraId="70CED6C5" w14:textId="77777777" w:rsidR="00CB33C7" w:rsidRPr="00E87218" w:rsidRDefault="00CB33C7" w:rsidP="00E87218">
            <w:pPr>
              <w:suppressAutoHyphens/>
              <w:jc w:val="both"/>
              <w:rPr>
                <w:rFonts w:eastAsia="Lucida Sans Unicode" w:cs="Arial"/>
                <w:kern w:val="1"/>
                <w:szCs w:val="22"/>
                <w:lang w:eastAsia="ar-SA"/>
              </w:rPr>
            </w:pPr>
            <w:r w:rsidRPr="00E87218">
              <w:rPr>
                <w:rFonts w:eastAsia="Lucida Sans Unicode" w:cs="Arial"/>
                <w:kern w:val="1"/>
                <w:szCs w:val="22"/>
                <w:lang w:eastAsia="ar-SA"/>
              </w:rPr>
              <w:t>В.1.3.1. Будівництво нових, реконструкція, капітальний ремонт, модернізація мереж централізованої системи водопостачання, водовідведення та каналізації.</w:t>
            </w:r>
          </w:p>
        </w:tc>
      </w:tr>
      <w:tr w:rsidR="00CB33C7" w:rsidRPr="00C2587D" w14:paraId="10CA3960" w14:textId="77777777" w:rsidTr="00EA6E27">
        <w:trPr>
          <w:jc w:val="right"/>
        </w:trPr>
        <w:tc>
          <w:tcPr>
            <w:tcW w:w="3425" w:type="dxa"/>
            <w:vAlign w:val="center"/>
          </w:tcPr>
          <w:p w14:paraId="35D09B94" w14:textId="77777777" w:rsidR="00CB33C7" w:rsidRPr="00E87218" w:rsidRDefault="00CB33C7" w:rsidP="00E87218">
            <w:pPr>
              <w:rPr>
                <w:rFonts w:cs="Arial"/>
                <w:b/>
                <w:bCs/>
                <w:color w:val="000000"/>
                <w:szCs w:val="22"/>
              </w:rPr>
            </w:pPr>
            <w:r w:rsidRPr="00E87218">
              <w:rPr>
                <w:rFonts w:cs="Arial"/>
                <w:b/>
                <w:bCs/>
                <w:color w:val="000000"/>
                <w:szCs w:val="22"/>
              </w:rPr>
              <w:t>Мета проєкту:</w:t>
            </w:r>
          </w:p>
        </w:tc>
        <w:tc>
          <w:tcPr>
            <w:tcW w:w="6794" w:type="dxa"/>
            <w:gridSpan w:val="9"/>
          </w:tcPr>
          <w:p w14:paraId="1EED4DB1" w14:textId="1F9A05D7" w:rsidR="00CB33C7" w:rsidRPr="00E87218" w:rsidRDefault="00CB33C7" w:rsidP="00E87218">
            <w:pPr>
              <w:jc w:val="both"/>
              <w:rPr>
                <w:rFonts w:cs="Arial"/>
                <w:szCs w:val="22"/>
                <w:lang w:eastAsia="it-IT"/>
              </w:rPr>
            </w:pPr>
            <w:r w:rsidRPr="00E87218">
              <w:rPr>
                <w:rFonts w:cs="Arial"/>
                <w:szCs w:val="22"/>
                <w:lang w:eastAsia="it-IT"/>
              </w:rPr>
              <w:t xml:space="preserve">Забезпечення  населення громади м. Жмеринка ліквідації ризику потрапляння неочищених стічних вод у ґрунти, підземні та наземні води, ліси </w:t>
            </w:r>
            <w:r w:rsidR="00E87218">
              <w:rPr>
                <w:rFonts w:cs="Arial"/>
                <w:szCs w:val="22"/>
                <w:lang w:eastAsia="it-IT"/>
              </w:rPr>
              <w:t>тощо,</w:t>
            </w:r>
            <w:r w:rsidRPr="00E87218">
              <w:rPr>
                <w:rFonts w:cs="Arial"/>
                <w:szCs w:val="22"/>
                <w:lang w:eastAsia="it-IT"/>
              </w:rPr>
              <w:t xml:space="preserve"> покращення стану навколишнього природного середовища</w:t>
            </w:r>
          </w:p>
        </w:tc>
      </w:tr>
      <w:tr w:rsidR="00CB33C7" w:rsidRPr="00C2587D" w14:paraId="720C4354" w14:textId="77777777" w:rsidTr="00EA6E27">
        <w:trPr>
          <w:jc w:val="right"/>
        </w:trPr>
        <w:tc>
          <w:tcPr>
            <w:tcW w:w="3425" w:type="dxa"/>
            <w:vAlign w:val="center"/>
          </w:tcPr>
          <w:p w14:paraId="3907C296" w14:textId="77777777" w:rsidR="00CB33C7" w:rsidRPr="00E87218" w:rsidRDefault="00CB33C7" w:rsidP="00E87218">
            <w:pPr>
              <w:rPr>
                <w:rFonts w:cs="Arial"/>
                <w:b/>
                <w:bCs/>
                <w:color w:val="000000"/>
                <w:szCs w:val="22"/>
              </w:rPr>
            </w:pPr>
            <w:r w:rsidRPr="00E87218">
              <w:rPr>
                <w:rFonts w:cs="Arial"/>
                <w:b/>
                <w:bCs/>
                <w:color w:val="000000"/>
                <w:szCs w:val="22"/>
              </w:rPr>
              <w:t>Цілі проєкту:</w:t>
            </w:r>
          </w:p>
        </w:tc>
        <w:tc>
          <w:tcPr>
            <w:tcW w:w="6794" w:type="dxa"/>
            <w:gridSpan w:val="9"/>
          </w:tcPr>
          <w:p w14:paraId="79C0BC7F" w14:textId="77777777" w:rsidR="00CB33C7" w:rsidRPr="00E87218" w:rsidRDefault="00CB33C7" w:rsidP="00E87218">
            <w:pPr>
              <w:rPr>
                <w:rFonts w:cs="Arial"/>
                <w:szCs w:val="22"/>
                <w:lang w:eastAsia="it-IT"/>
              </w:rPr>
            </w:pPr>
            <w:r w:rsidRPr="00E87218">
              <w:rPr>
                <w:rFonts w:cs="Arial"/>
                <w:szCs w:val="22"/>
                <w:lang w:eastAsia="it-IT"/>
              </w:rPr>
              <w:t>Надання мешканцям м. Жмеринка якісних послуг з водовідведення. Зменшення забруднення ґрунтів. Покращення стану навколишнього природного середовища.</w:t>
            </w:r>
            <w:r w:rsidRPr="00E87218">
              <w:rPr>
                <w:rFonts w:cs="Arial"/>
                <w:b/>
                <w:szCs w:val="22"/>
              </w:rPr>
              <w:t xml:space="preserve"> </w:t>
            </w:r>
            <w:r w:rsidRPr="00E87218">
              <w:rPr>
                <w:rFonts w:cs="Arial"/>
                <w:szCs w:val="22"/>
              </w:rPr>
              <w:t>Проведення</w:t>
            </w:r>
            <w:r w:rsidRPr="00E87218">
              <w:rPr>
                <w:rFonts w:cs="Arial"/>
                <w:b/>
                <w:szCs w:val="22"/>
              </w:rPr>
              <w:t xml:space="preserve"> </w:t>
            </w:r>
            <w:r w:rsidRPr="00E87218">
              <w:rPr>
                <w:rFonts w:cs="Arial"/>
                <w:szCs w:val="22"/>
              </w:rPr>
              <w:t xml:space="preserve">будівництво мереж самопливної каналізації в </w:t>
            </w:r>
            <w:r w:rsidRPr="00E87218">
              <w:rPr>
                <w:rFonts w:cs="Arial"/>
                <w:szCs w:val="22"/>
                <w:lang w:eastAsia="it-IT"/>
              </w:rPr>
              <w:t>м. Жмеринка</w:t>
            </w:r>
            <w:r w:rsidRPr="00E87218">
              <w:rPr>
                <w:rFonts w:cs="Arial"/>
                <w:szCs w:val="22"/>
              </w:rPr>
              <w:t>.</w:t>
            </w:r>
          </w:p>
        </w:tc>
      </w:tr>
      <w:tr w:rsidR="00CB33C7" w:rsidRPr="00C2587D" w14:paraId="5D5B9B24" w14:textId="77777777" w:rsidTr="00E87218">
        <w:trPr>
          <w:jc w:val="right"/>
        </w:trPr>
        <w:tc>
          <w:tcPr>
            <w:tcW w:w="3425" w:type="dxa"/>
            <w:vAlign w:val="center"/>
          </w:tcPr>
          <w:p w14:paraId="5B7FDCA2" w14:textId="77777777" w:rsidR="00CB33C7" w:rsidRPr="00E87218" w:rsidRDefault="00CB33C7" w:rsidP="00E87218">
            <w:pPr>
              <w:autoSpaceDE w:val="0"/>
              <w:autoSpaceDN w:val="0"/>
              <w:adjustRightInd w:val="0"/>
              <w:rPr>
                <w:rFonts w:cs="Arial"/>
                <w:b/>
                <w:color w:val="000000"/>
                <w:szCs w:val="22"/>
              </w:rPr>
            </w:pPr>
            <w:r w:rsidRPr="00E87218">
              <w:rPr>
                <w:rFonts w:cs="Arial"/>
                <w:b/>
                <w:color w:val="000000"/>
                <w:szCs w:val="22"/>
              </w:rPr>
              <w:t>Територія на яку проєкт матиме вплив:</w:t>
            </w:r>
          </w:p>
        </w:tc>
        <w:tc>
          <w:tcPr>
            <w:tcW w:w="6794" w:type="dxa"/>
            <w:gridSpan w:val="9"/>
            <w:vAlign w:val="center"/>
          </w:tcPr>
          <w:p w14:paraId="53401B13" w14:textId="2C6582E8" w:rsidR="00CB33C7" w:rsidRPr="00E87218" w:rsidRDefault="00CB33C7" w:rsidP="00E87218">
            <w:pPr>
              <w:rPr>
                <w:rFonts w:cs="Arial"/>
                <w:szCs w:val="22"/>
                <w:lang w:eastAsia="it-IT"/>
              </w:rPr>
            </w:pPr>
            <w:r w:rsidRPr="00E87218">
              <w:rPr>
                <w:rFonts w:cs="Arial"/>
                <w:szCs w:val="22"/>
                <w:lang w:eastAsia="it-IT"/>
              </w:rPr>
              <w:t xml:space="preserve">Території </w:t>
            </w:r>
            <w:r w:rsidR="00E87218" w:rsidRPr="00E87218">
              <w:rPr>
                <w:rFonts w:cs="Arial"/>
                <w:szCs w:val="22"/>
                <w:lang w:eastAsia="it-IT"/>
              </w:rPr>
              <w:t>Жмеринська</w:t>
            </w:r>
            <w:r w:rsidRPr="00E87218">
              <w:rPr>
                <w:rFonts w:cs="Arial"/>
                <w:szCs w:val="22"/>
                <w:lang w:eastAsia="it-IT"/>
              </w:rPr>
              <w:t xml:space="preserve"> М</w:t>
            </w:r>
            <w:r w:rsidR="00E87218" w:rsidRPr="00E87218">
              <w:rPr>
                <w:rFonts w:cs="Arial"/>
                <w:szCs w:val="22"/>
                <w:lang w:eastAsia="it-IT"/>
              </w:rPr>
              <w:t>Т</w:t>
            </w:r>
            <w:r w:rsidRPr="00E87218">
              <w:rPr>
                <w:rFonts w:cs="Arial"/>
                <w:szCs w:val="22"/>
                <w:lang w:eastAsia="it-IT"/>
              </w:rPr>
              <w:t>Г</w:t>
            </w:r>
          </w:p>
        </w:tc>
      </w:tr>
      <w:tr w:rsidR="00CB33C7" w:rsidRPr="00C2587D" w14:paraId="5BFB690C" w14:textId="77777777" w:rsidTr="00EA6E27">
        <w:trPr>
          <w:jc w:val="right"/>
        </w:trPr>
        <w:tc>
          <w:tcPr>
            <w:tcW w:w="3425" w:type="dxa"/>
            <w:vAlign w:val="center"/>
          </w:tcPr>
          <w:p w14:paraId="1E5B9BDB" w14:textId="77777777" w:rsidR="00CB33C7" w:rsidRPr="00E87218" w:rsidRDefault="00CB33C7" w:rsidP="00E87218">
            <w:pPr>
              <w:autoSpaceDE w:val="0"/>
              <w:autoSpaceDN w:val="0"/>
              <w:adjustRightInd w:val="0"/>
              <w:rPr>
                <w:rFonts w:cs="Arial"/>
                <w:b/>
                <w:color w:val="000000"/>
                <w:szCs w:val="22"/>
              </w:rPr>
            </w:pPr>
            <w:r w:rsidRPr="00E87218">
              <w:rPr>
                <w:rFonts w:cs="Arial"/>
                <w:b/>
                <w:color w:val="000000"/>
                <w:szCs w:val="22"/>
              </w:rPr>
              <w:t>Цільові групи проєкту та кількість отримувачів вигоди</w:t>
            </w:r>
          </w:p>
        </w:tc>
        <w:tc>
          <w:tcPr>
            <w:tcW w:w="6794" w:type="dxa"/>
            <w:gridSpan w:val="9"/>
          </w:tcPr>
          <w:p w14:paraId="3B76E9FD" w14:textId="77777777" w:rsidR="00CB33C7" w:rsidRPr="00E87218" w:rsidRDefault="00CB33C7" w:rsidP="00E87218">
            <w:pPr>
              <w:rPr>
                <w:rFonts w:cs="Arial"/>
                <w:szCs w:val="22"/>
                <w:lang w:eastAsia="it-IT"/>
              </w:rPr>
            </w:pPr>
            <w:r w:rsidRPr="00E87218">
              <w:rPr>
                <w:rFonts w:cs="Arial"/>
                <w:szCs w:val="22"/>
                <w:lang w:eastAsia="it-IT"/>
              </w:rPr>
              <w:t>Жителі м. Жмеринка в кількості 34353 містян</w:t>
            </w:r>
          </w:p>
        </w:tc>
      </w:tr>
      <w:tr w:rsidR="00CB33C7" w:rsidRPr="00C2587D" w14:paraId="6F5D8829" w14:textId="77777777" w:rsidTr="00E87218">
        <w:trPr>
          <w:jc w:val="right"/>
        </w:trPr>
        <w:tc>
          <w:tcPr>
            <w:tcW w:w="3425" w:type="dxa"/>
            <w:shd w:val="clear" w:color="auto" w:fill="FFFFFF"/>
            <w:vAlign w:val="center"/>
          </w:tcPr>
          <w:p w14:paraId="56F9DEE7" w14:textId="77777777" w:rsidR="00CB33C7" w:rsidRPr="00E87218" w:rsidRDefault="00CB33C7" w:rsidP="00E87218">
            <w:pPr>
              <w:rPr>
                <w:rFonts w:cs="Arial"/>
                <w:b/>
                <w:bCs/>
                <w:color w:val="000000"/>
                <w:szCs w:val="22"/>
              </w:rPr>
            </w:pPr>
            <w:r w:rsidRPr="00E87218">
              <w:rPr>
                <w:rFonts w:cs="Arial"/>
                <w:b/>
                <w:bCs/>
                <w:color w:val="000000"/>
                <w:szCs w:val="22"/>
              </w:rPr>
              <w:t>Стислий опис проєкту:</w:t>
            </w:r>
          </w:p>
        </w:tc>
        <w:tc>
          <w:tcPr>
            <w:tcW w:w="6794" w:type="dxa"/>
            <w:gridSpan w:val="9"/>
          </w:tcPr>
          <w:p w14:paraId="4AE93330" w14:textId="782AD694" w:rsidR="00CB33C7" w:rsidRPr="00E87218" w:rsidRDefault="00CB33C7" w:rsidP="00E87218">
            <w:pPr>
              <w:jc w:val="both"/>
              <w:rPr>
                <w:rFonts w:cs="Arial"/>
                <w:szCs w:val="22"/>
                <w:lang w:eastAsia="it-IT"/>
              </w:rPr>
            </w:pPr>
            <w:r w:rsidRPr="00E87218">
              <w:rPr>
                <w:rFonts w:cs="Arial"/>
                <w:szCs w:val="22"/>
                <w:lang w:eastAsia="it-IT"/>
              </w:rPr>
              <w:t>Нове будівництво самопливної каналізації забезпечує ліквідацію ризику потрапляння неочищених стічних вод у ґрунти, підземні та наземні води, ліси</w:t>
            </w:r>
            <w:r w:rsidR="00E87218">
              <w:rPr>
                <w:rFonts w:cs="Arial"/>
                <w:szCs w:val="22"/>
                <w:lang w:eastAsia="it-IT"/>
              </w:rPr>
              <w:t xml:space="preserve"> тощо,</w:t>
            </w:r>
            <w:r w:rsidRPr="00E87218">
              <w:rPr>
                <w:rFonts w:cs="Arial"/>
                <w:szCs w:val="22"/>
                <w:lang w:eastAsia="it-IT"/>
              </w:rPr>
              <w:t xml:space="preserve"> що значно покращить стан навколишнього природного середовища, екологічну, санітарну та епідемічну ситуацію в м. Жмеринка</w:t>
            </w:r>
          </w:p>
        </w:tc>
      </w:tr>
      <w:tr w:rsidR="00CB33C7" w:rsidRPr="00C2587D" w14:paraId="497C7F6E" w14:textId="77777777" w:rsidTr="00E87218">
        <w:trPr>
          <w:jc w:val="right"/>
        </w:trPr>
        <w:tc>
          <w:tcPr>
            <w:tcW w:w="3425" w:type="dxa"/>
            <w:shd w:val="clear" w:color="auto" w:fill="FFFFFF"/>
            <w:vAlign w:val="center"/>
          </w:tcPr>
          <w:p w14:paraId="723D70EC" w14:textId="77777777" w:rsidR="00CB33C7" w:rsidRPr="00E87218" w:rsidRDefault="00CB33C7" w:rsidP="00E87218">
            <w:pPr>
              <w:rPr>
                <w:rFonts w:cs="Arial"/>
                <w:b/>
                <w:bCs/>
                <w:color w:val="000000"/>
                <w:szCs w:val="22"/>
              </w:rPr>
            </w:pPr>
            <w:r w:rsidRPr="00E87218">
              <w:rPr>
                <w:rFonts w:cs="Arial"/>
                <w:b/>
                <w:bCs/>
                <w:color w:val="000000"/>
                <w:szCs w:val="22"/>
              </w:rPr>
              <w:t>Основні заходи проєкту:</w:t>
            </w:r>
          </w:p>
        </w:tc>
        <w:tc>
          <w:tcPr>
            <w:tcW w:w="6794" w:type="dxa"/>
            <w:gridSpan w:val="9"/>
          </w:tcPr>
          <w:p w14:paraId="3A21FA75" w14:textId="18F750B5" w:rsidR="00CB33C7" w:rsidRPr="00E87218" w:rsidRDefault="00CB33C7" w:rsidP="00E87218">
            <w:pPr>
              <w:jc w:val="both"/>
              <w:rPr>
                <w:rFonts w:cs="Arial"/>
                <w:szCs w:val="22"/>
                <w:lang w:eastAsia="it-IT"/>
              </w:rPr>
            </w:pPr>
            <w:r w:rsidRPr="00E87218">
              <w:rPr>
                <w:rFonts w:cs="Arial"/>
                <w:szCs w:val="22"/>
                <w:lang w:eastAsia="it-IT"/>
              </w:rPr>
              <w:t>Створення робочо</w:t>
            </w:r>
            <w:r w:rsidR="005B7B52">
              <w:rPr>
                <w:rFonts w:cs="Arial"/>
                <w:szCs w:val="22"/>
                <w:lang w:eastAsia="it-IT"/>
              </w:rPr>
              <w:t>ї групи з питань реалізації проє</w:t>
            </w:r>
            <w:r w:rsidRPr="00E87218">
              <w:rPr>
                <w:rFonts w:cs="Arial"/>
                <w:szCs w:val="22"/>
                <w:lang w:eastAsia="it-IT"/>
              </w:rPr>
              <w:t>кту.</w:t>
            </w:r>
          </w:p>
          <w:p w14:paraId="4492238F" w14:textId="77777777" w:rsidR="00CB33C7" w:rsidRPr="00E87218" w:rsidRDefault="00CB33C7" w:rsidP="00E87218">
            <w:pPr>
              <w:jc w:val="both"/>
              <w:rPr>
                <w:rFonts w:cs="Arial"/>
                <w:szCs w:val="22"/>
                <w:lang w:eastAsia="it-IT"/>
              </w:rPr>
            </w:pPr>
            <w:r w:rsidRPr="00E87218">
              <w:rPr>
                <w:rFonts w:cs="Arial"/>
                <w:szCs w:val="22"/>
                <w:lang w:eastAsia="it-IT"/>
              </w:rPr>
              <w:t>Проведення процедури закупівель (визначення виконавця робіт).</w:t>
            </w:r>
          </w:p>
          <w:p w14:paraId="356B029C" w14:textId="77777777" w:rsidR="00CB33C7" w:rsidRPr="00E87218" w:rsidRDefault="00CB33C7" w:rsidP="00E87218">
            <w:pPr>
              <w:jc w:val="both"/>
              <w:rPr>
                <w:rFonts w:cs="Arial"/>
                <w:szCs w:val="22"/>
                <w:lang w:eastAsia="it-IT"/>
              </w:rPr>
            </w:pPr>
            <w:r w:rsidRPr="00E87218">
              <w:rPr>
                <w:rFonts w:cs="Arial"/>
                <w:szCs w:val="22"/>
                <w:lang w:eastAsia="it-IT"/>
              </w:rPr>
              <w:t>Укладення договорів з виконавцем робіт, організаціями, що здійснюватимуть  технічний та авторський  нагляд .</w:t>
            </w:r>
          </w:p>
          <w:p w14:paraId="654FF675" w14:textId="62DFEE8B" w:rsidR="00CB33C7" w:rsidRPr="00E87218" w:rsidRDefault="00CB33C7" w:rsidP="00E87218">
            <w:pPr>
              <w:jc w:val="both"/>
              <w:rPr>
                <w:rFonts w:cs="Arial"/>
                <w:szCs w:val="22"/>
                <w:lang w:eastAsia="it-IT"/>
              </w:rPr>
            </w:pPr>
            <w:r w:rsidRPr="00E87218">
              <w:rPr>
                <w:rFonts w:cs="Arial"/>
                <w:szCs w:val="22"/>
                <w:lang w:eastAsia="it-IT"/>
              </w:rPr>
              <w:t xml:space="preserve">Виконання робіт з </w:t>
            </w:r>
            <w:r w:rsidRPr="00E87218">
              <w:rPr>
                <w:rFonts w:eastAsia="Arial" w:cs="Arial"/>
                <w:szCs w:val="22"/>
                <w:lang w:eastAsia="en-US"/>
              </w:rPr>
              <w:t>нового будівництва самопливної каналізації по площі Базарній, провулку Хлібний та провулку Базарний в м. Жмеринка</w:t>
            </w:r>
            <w:r w:rsidR="005B7B52">
              <w:rPr>
                <w:rFonts w:eastAsia="Arial" w:cs="Arial"/>
                <w:szCs w:val="22"/>
                <w:lang w:eastAsia="en-US"/>
              </w:rPr>
              <w:t>.</w:t>
            </w:r>
          </w:p>
          <w:p w14:paraId="47AED3E6" w14:textId="77777777" w:rsidR="00CB33C7" w:rsidRPr="00E87218" w:rsidRDefault="00CB33C7" w:rsidP="00E87218">
            <w:pPr>
              <w:jc w:val="both"/>
              <w:rPr>
                <w:rFonts w:cs="Arial"/>
                <w:szCs w:val="22"/>
                <w:lang w:eastAsia="it-IT"/>
              </w:rPr>
            </w:pPr>
            <w:r w:rsidRPr="00E87218">
              <w:rPr>
                <w:rFonts w:cs="Arial"/>
                <w:szCs w:val="22"/>
                <w:lang w:eastAsia="it-IT"/>
              </w:rPr>
              <w:t>Введення  об’єкту в експлуатацію .</w:t>
            </w:r>
          </w:p>
          <w:p w14:paraId="1903FFE4" w14:textId="7DEDFAAF" w:rsidR="00CB33C7" w:rsidRPr="00E87218" w:rsidRDefault="00CB33C7" w:rsidP="00E87218">
            <w:pPr>
              <w:jc w:val="both"/>
              <w:rPr>
                <w:rFonts w:cs="Arial"/>
                <w:szCs w:val="22"/>
                <w:lang w:eastAsia="it-IT"/>
              </w:rPr>
            </w:pPr>
            <w:r w:rsidRPr="00E87218">
              <w:rPr>
                <w:rFonts w:cs="Arial"/>
                <w:szCs w:val="22"/>
                <w:lang w:eastAsia="it-IT"/>
              </w:rPr>
              <w:t xml:space="preserve">Проведення інформаційних заходів (розміщення  </w:t>
            </w:r>
            <w:r w:rsidR="005B7B52">
              <w:rPr>
                <w:rFonts w:cs="Arial"/>
                <w:szCs w:val="22"/>
                <w:lang w:eastAsia="it-IT"/>
              </w:rPr>
              <w:t>інформації  про реалізацію  проє</w:t>
            </w:r>
            <w:r w:rsidRPr="00E87218">
              <w:rPr>
                <w:rFonts w:cs="Arial"/>
                <w:szCs w:val="22"/>
                <w:lang w:eastAsia="it-IT"/>
              </w:rPr>
              <w:t>кту у ЗМІ) .</w:t>
            </w:r>
          </w:p>
        </w:tc>
      </w:tr>
      <w:tr w:rsidR="00CB33C7" w:rsidRPr="00C2587D" w14:paraId="7376DD0D" w14:textId="77777777" w:rsidTr="00EA6E27">
        <w:trPr>
          <w:jc w:val="right"/>
        </w:trPr>
        <w:tc>
          <w:tcPr>
            <w:tcW w:w="3425" w:type="dxa"/>
            <w:shd w:val="clear" w:color="auto" w:fill="FFFFFF"/>
            <w:vAlign w:val="center"/>
          </w:tcPr>
          <w:p w14:paraId="4831823E" w14:textId="77777777" w:rsidR="00CB33C7" w:rsidRPr="00E87218" w:rsidRDefault="00CB33C7" w:rsidP="00E87218">
            <w:pPr>
              <w:rPr>
                <w:rFonts w:cs="Arial"/>
                <w:b/>
                <w:bCs/>
                <w:color w:val="000000"/>
                <w:szCs w:val="22"/>
              </w:rPr>
            </w:pPr>
            <w:r w:rsidRPr="00E87218">
              <w:rPr>
                <w:rFonts w:cs="Arial"/>
                <w:b/>
                <w:bCs/>
                <w:color w:val="000000"/>
                <w:szCs w:val="22"/>
              </w:rPr>
              <w:t>Індикатори (показники) результативності:</w:t>
            </w:r>
          </w:p>
        </w:tc>
        <w:tc>
          <w:tcPr>
            <w:tcW w:w="6794" w:type="dxa"/>
            <w:gridSpan w:val="9"/>
          </w:tcPr>
          <w:p w14:paraId="2E5E51DA" w14:textId="77777777" w:rsidR="00CB33C7" w:rsidRPr="00E87218" w:rsidRDefault="00CB33C7" w:rsidP="00E87218">
            <w:pPr>
              <w:rPr>
                <w:rFonts w:cs="Arial"/>
                <w:szCs w:val="22"/>
                <w:lang w:eastAsia="it-IT"/>
              </w:rPr>
            </w:pPr>
            <w:r w:rsidRPr="00E87218">
              <w:rPr>
                <w:rFonts w:eastAsia="Arial" w:cs="Arial"/>
                <w:szCs w:val="22"/>
                <w:lang w:eastAsia="en-US"/>
              </w:rPr>
              <w:t>Довжина мережі каналізаційних труб що підлягають монтажу: 240 м</w:t>
            </w:r>
          </w:p>
        </w:tc>
      </w:tr>
      <w:tr w:rsidR="00CB33C7" w:rsidRPr="00C2587D" w14:paraId="529004BE" w14:textId="77777777" w:rsidTr="00EA6E27">
        <w:trPr>
          <w:jc w:val="right"/>
        </w:trPr>
        <w:tc>
          <w:tcPr>
            <w:tcW w:w="3425" w:type="dxa"/>
            <w:shd w:val="clear" w:color="auto" w:fill="FFFFFF"/>
            <w:vAlign w:val="center"/>
          </w:tcPr>
          <w:p w14:paraId="320B3927" w14:textId="77777777" w:rsidR="00CB33C7" w:rsidRPr="00E87218" w:rsidRDefault="00CB33C7" w:rsidP="00E87218">
            <w:pPr>
              <w:rPr>
                <w:rFonts w:cs="Arial"/>
                <w:b/>
                <w:color w:val="000000"/>
                <w:szCs w:val="22"/>
              </w:rPr>
            </w:pPr>
            <w:r w:rsidRPr="00E87218">
              <w:rPr>
                <w:rFonts w:cs="Arial"/>
                <w:b/>
                <w:color w:val="000000"/>
                <w:szCs w:val="22"/>
              </w:rPr>
              <w:t xml:space="preserve">Період здійснення: </w:t>
            </w:r>
          </w:p>
        </w:tc>
        <w:tc>
          <w:tcPr>
            <w:tcW w:w="6794" w:type="dxa"/>
            <w:gridSpan w:val="9"/>
            <w:vAlign w:val="center"/>
          </w:tcPr>
          <w:p w14:paraId="739C69B4" w14:textId="77777777" w:rsidR="00CB33C7" w:rsidRPr="00E87218" w:rsidRDefault="00CB33C7" w:rsidP="00E87218">
            <w:pPr>
              <w:rPr>
                <w:rFonts w:cs="Arial"/>
                <w:color w:val="000000"/>
                <w:szCs w:val="22"/>
                <w:lang w:eastAsia="it-IT"/>
              </w:rPr>
            </w:pPr>
            <w:r w:rsidRPr="00E87218">
              <w:rPr>
                <w:rFonts w:cs="Arial"/>
                <w:b/>
                <w:color w:val="000000"/>
                <w:szCs w:val="22"/>
              </w:rPr>
              <w:t>2025 – 2028 роки:</w:t>
            </w:r>
          </w:p>
        </w:tc>
      </w:tr>
      <w:tr w:rsidR="00CB33C7" w:rsidRPr="00C2587D" w14:paraId="18819C53" w14:textId="77777777" w:rsidTr="00EA6E27">
        <w:trPr>
          <w:jc w:val="right"/>
        </w:trPr>
        <w:tc>
          <w:tcPr>
            <w:tcW w:w="3425" w:type="dxa"/>
            <w:vMerge w:val="restart"/>
            <w:shd w:val="clear" w:color="auto" w:fill="FFFFFF"/>
            <w:vAlign w:val="center"/>
          </w:tcPr>
          <w:p w14:paraId="7A12CBA8" w14:textId="77777777" w:rsidR="00CB33C7" w:rsidRPr="00E87218" w:rsidRDefault="00CB33C7" w:rsidP="00E87218">
            <w:pPr>
              <w:rPr>
                <w:rFonts w:cs="Arial"/>
                <w:b/>
                <w:bCs/>
                <w:color w:val="000000"/>
                <w:szCs w:val="22"/>
              </w:rPr>
            </w:pPr>
            <w:r w:rsidRPr="00E87218">
              <w:rPr>
                <w:rFonts w:cs="Arial"/>
                <w:b/>
                <w:bCs/>
                <w:color w:val="000000"/>
                <w:szCs w:val="22"/>
              </w:rPr>
              <w:t>Орієнтовна вартість проєкту, тис. грн., в тому числі:</w:t>
            </w:r>
          </w:p>
        </w:tc>
        <w:tc>
          <w:tcPr>
            <w:tcW w:w="1254" w:type="dxa"/>
            <w:shd w:val="clear" w:color="auto" w:fill="E6E6E6"/>
            <w:vAlign w:val="center"/>
          </w:tcPr>
          <w:p w14:paraId="3E1BD5AE" w14:textId="77777777" w:rsidR="00CB33C7" w:rsidRPr="00E87218" w:rsidRDefault="00CB33C7" w:rsidP="00E87218">
            <w:pPr>
              <w:jc w:val="center"/>
              <w:rPr>
                <w:rFonts w:cs="Arial"/>
                <w:b/>
                <w:color w:val="000000"/>
                <w:szCs w:val="22"/>
                <w:lang w:eastAsia="it-IT"/>
              </w:rPr>
            </w:pPr>
            <w:r w:rsidRPr="00E87218">
              <w:rPr>
                <w:rFonts w:cs="Arial"/>
                <w:b/>
                <w:color w:val="000000"/>
                <w:szCs w:val="22"/>
                <w:lang w:eastAsia="it-IT"/>
              </w:rPr>
              <w:t>2025</w:t>
            </w:r>
          </w:p>
        </w:tc>
        <w:tc>
          <w:tcPr>
            <w:tcW w:w="1412" w:type="dxa"/>
            <w:gridSpan w:val="2"/>
            <w:shd w:val="clear" w:color="auto" w:fill="E6E6E6"/>
            <w:vAlign w:val="center"/>
          </w:tcPr>
          <w:p w14:paraId="4CE1528C" w14:textId="77777777" w:rsidR="00CB33C7" w:rsidRPr="00E87218" w:rsidRDefault="00CB33C7" w:rsidP="00E87218">
            <w:pPr>
              <w:jc w:val="center"/>
              <w:rPr>
                <w:rFonts w:cs="Arial"/>
                <w:b/>
                <w:color w:val="000000"/>
                <w:szCs w:val="22"/>
                <w:lang w:eastAsia="it-IT"/>
              </w:rPr>
            </w:pPr>
            <w:r w:rsidRPr="00E87218">
              <w:rPr>
                <w:rFonts w:cs="Arial"/>
                <w:b/>
                <w:color w:val="000000"/>
                <w:szCs w:val="22"/>
                <w:lang w:eastAsia="it-IT"/>
              </w:rPr>
              <w:t>2026</w:t>
            </w:r>
          </w:p>
        </w:tc>
        <w:tc>
          <w:tcPr>
            <w:tcW w:w="1281" w:type="dxa"/>
            <w:gridSpan w:val="2"/>
            <w:tcBorders>
              <w:bottom w:val="single" w:sz="4" w:space="0" w:color="auto"/>
            </w:tcBorders>
            <w:shd w:val="clear" w:color="auto" w:fill="E6E6E6"/>
            <w:vAlign w:val="center"/>
          </w:tcPr>
          <w:p w14:paraId="7B2892A2" w14:textId="77777777" w:rsidR="00CB33C7" w:rsidRPr="00E87218" w:rsidRDefault="00CB33C7" w:rsidP="00E87218">
            <w:pPr>
              <w:jc w:val="center"/>
              <w:rPr>
                <w:rFonts w:cs="Arial"/>
                <w:b/>
                <w:color w:val="000000"/>
                <w:szCs w:val="22"/>
                <w:lang w:eastAsia="it-IT"/>
              </w:rPr>
            </w:pPr>
            <w:r w:rsidRPr="00E87218">
              <w:rPr>
                <w:rFonts w:cs="Arial"/>
                <w:b/>
                <w:color w:val="000000"/>
                <w:szCs w:val="22"/>
                <w:lang w:eastAsia="it-IT"/>
              </w:rPr>
              <w:t>2027</w:t>
            </w:r>
          </w:p>
        </w:tc>
        <w:tc>
          <w:tcPr>
            <w:tcW w:w="1276" w:type="dxa"/>
            <w:gridSpan w:val="2"/>
            <w:shd w:val="clear" w:color="auto" w:fill="E6E6E6"/>
            <w:vAlign w:val="center"/>
          </w:tcPr>
          <w:p w14:paraId="5E8E3F85" w14:textId="77777777" w:rsidR="00CB33C7" w:rsidRPr="00E87218" w:rsidRDefault="00CB33C7" w:rsidP="00E87218">
            <w:pPr>
              <w:jc w:val="center"/>
              <w:rPr>
                <w:rFonts w:cs="Arial"/>
                <w:b/>
                <w:color w:val="000000"/>
                <w:szCs w:val="22"/>
                <w:lang w:eastAsia="it-IT"/>
              </w:rPr>
            </w:pPr>
            <w:r w:rsidRPr="00E87218">
              <w:rPr>
                <w:rFonts w:cs="Arial"/>
                <w:b/>
                <w:color w:val="000000"/>
                <w:szCs w:val="22"/>
                <w:lang w:eastAsia="it-IT"/>
              </w:rPr>
              <w:t>2028</w:t>
            </w:r>
          </w:p>
        </w:tc>
        <w:tc>
          <w:tcPr>
            <w:tcW w:w="1571" w:type="dxa"/>
            <w:gridSpan w:val="2"/>
            <w:shd w:val="clear" w:color="auto" w:fill="E6E6E6"/>
            <w:vAlign w:val="center"/>
          </w:tcPr>
          <w:p w14:paraId="1227B619" w14:textId="77777777" w:rsidR="00CB33C7" w:rsidRPr="00E87218" w:rsidRDefault="00CB33C7" w:rsidP="00E87218">
            <w:pPr>
              <w:jc w:val="center"/>
              <w:rPr>
                <w:rFonts w:cs="Arial"/>
                <w:b/>
                <w:color w:val="000000"/>
                <w:szCs w:val="22"/>
                <w:lang w:eastAsia="it-IT"/>
              </w:rPr>
            </w:pPr>
            <w:r w:rsidRPr="00E87218">
              <w:rPr>
                <w:rFonts w:cs="Arial"/>
                <w:b/>
                <w:color w:val="000000"/>
                <w:szCs w:val="22"/>
                <w:lang w:eastAsia="it-IT"/>
              </w:rPr>
              <w:t>РАЗОМ</w:t>
            </w:r>
          </w:p>
        </w:tc>
      </w:tr>
      <w:tr w:rsidR="00CB33C7" w:rsidRPr="00C2587D" w14:paraId="4DBB337F" w14:textId="77777777" w:rsidTr="00EA6E27">
        <w:trPr>
          <w:jc w:val="right"/>
        </w:trPr>
        <w:tc>
          <w:tcPr>
            <w:tcW w:w="3425" w:type="dxa"/>
            <w:vMerge/>
            <w:shd w:val="clear" w:color="auto" w:fill="FFFFFF"/>
            <w:vAlign w:val="center"/>
          </w:tcPr>
          <w:p w14:paraId="3F56DB51" w14:textId="77777777" w:rsidR="00CB33C7" w:rsidRPr="00E87218" w:rsidRDefault="00CB33C7" w:rsidP="00E87218">
            <w:pPr>
              <w:rPr>
                <w:rFonts w:cs="Arial"/>
                <w:b/>
                <w:bCs/>
                <w:color w:val="000000"/>
                <w:szCs w:val="22"/>
              </w:rPr>
            </w:pPr>
          </w:p>
        </w:tc>
        <w:tc>
          <w:tcPr>
            <w:tcW w:w="1254" w:type="dxa"/>
            <w:vAlign w:val="center"/>
          </w:tcPr>
          <w:p w14:paraId="022890FD" w14:textId="77777777" w:rsidR="00CB33C7" w:rsidRPr="00E87218" w:rsidRDefault="00CB33C7" w:rsidP="00E87218">
            <w:pPr>
              <w:jc w:val="center"/>
              <w:rPr>
                <w:rFonts w:cs="Arial"/>
                <w:b/>
                <w:color w:val="000000"/>
                <w:szCs w:val="22"/>
                <w:lang w:eastAsia="it-IT"/>
              </w:rPr>
            </w:pPr>
          </w:p>
        </w:tc>
        <w:tc>
          <w:tcPr>
            <w:tcW w:w="1412" w:type="dxa"/>
            <w:gridSpan w:val="2"/>
            <w:shd w:val="clear" w:color="auto" w:fill="FFFFFF"/>
            <w:vAlign w:val="center"/>
          </w:tcPr>
          <w:p w14:paraId="694EF63A" w14:textId="77777777" w:rsidR="00CB33C7" w:rsidRPr="00E87218" w:rsidRDefault="00CB33C7" w:rsidP="00E87218">
            <w:pPr>
              <w:jc w:val="center"/>
              <w:rPr>
                <w:rFonts w:cs="Arial"/>
                <w:color w:val="000000"/>
                <w:szCs w:val="22"/>
                <w:lang w:eastAsia="it-IT"/>
              </w:rPr>
            </w:pPr>
            <w:r w:rsidRPr="00E87218">
              <w:rPr>
                <w:rFonts w:cs="Arial"/>
                <w:color w:val="000000"/>
                <w:szCs w:val="22"/>
                <w:lang w:eastAsia="it-IT"/>
              </w:rPr>
              <w:t>957,752</w:t>
            </w:r>
          </w:p>
        </w:tc>
        <w:tc>
          <w:tcPr>
            <w:tcW w:w="1281" w:type="dxa"/>
            <w:gridSpan w:val="2"/>
            <w:shd w:val="clear" w:color="auto" w:fill="auto"/>
            <w:vAlign w:val="center"/>
          </w:tcPr>
          <w:p w14:paraId="1548F162" w14:textId="77777777" w:rsidR="00CB33C7" w:rsidRPr="00E87218" w:rsidRDefault="00CB33C7" w:rsidP="00E87218">
            <w:pPr>
              <w:jc w:val="center"/>
              <w:rPr>
                <w:rFonts w:cs="Arial"/>
                <w:b/>
                <w:color w:val="000000"/>
                <w:szCs w:val="22"/>
                <w:lang w:eastAsia="it-IT"/>
              </w:rPr>
            </w:pPr>
          </w:p>
        </w:tc>
        <w:tc>
          <w:tcPr>
            <w:tcW w:w="1276" w:type="dxa"/>
            <w:gridSpan w:val="2"/>
            <w:shd w:val="clear" w:color="auto" w:fill="FFFFFF"/>
            <w:vAlign w:val="center"/>
          </w:tcPr>
          <w:p w14:paraId="2A60ECB5" w14:textId="77777777" w:rsidR="00CB33C7" w:rsidRPr="00E87218" w:rsidRDefault="00CB33C7" w:rsidP="00E87218">
            <w:pPr>
              <w:jc w:val="center"/>
              <w:rPr>
                <w:rFonts w:cs="Arial"/>
                <w:b/>
                <w:color w:val="000000"/>
                <w:szCs w:val="22"/>
                <w:lang w:eastAsia="it-IT"/>
              </w:rPr>
            </w:pPr>
          </w:p>
        </w:tc>
        <w:tc>
          <w:tcPr>
            <w:tcW w:w="1571" w:type="dxa"/>
            <w:gridSpan w:val="2"/>
            <w:shd w:val="clear" w:color="auto" w:fill="FFFFFF"/>
            <w:vAlign w:val="center"/>
          </w:tcPr>
          <w:p w14:paraId="6365A6C1" w14:textId="77777777" w:rsidR="00CB33C7" w:rsidRPr="00E87218" w:rsidRDefault="00CB33C7" w:rsidP="00E87218">
            <w:pPr>
              <w:jc w:val="center"/>
              <w:rPr>
                <w:rFonts w:cs="Arial"/>
                <w:b/>
                <w:color w:val="000000"/>
                <w:szCs w:val="22"/>
                <w:lang w:eastAsia="it-IT"/>
              </w:rPr>
            </w:pPr>
            <w:r w:rsidRPr="00E87218">
              <w:rPr>
                <w:rFonts w:cs="Arial"/>
                <w:b/>
                <w:color w:val="000000"/>
                <w:szCs w:val="22"/>
                <w:lang w:eastAsia="it-IT"/>
              </w:rPr>
              <w:t>957,752</w:t>
            </w:r>
          </w:p>
        </w:tc>
      </w:tr>
      <w:tr w:rsidR="00CB33C7" w:rsidRPr="00C2587D" w14:paraId="510724BB" w14:textId="77777777" w:rsidTr="00EA6E27">
        <w:trPr>
          <w:trHeight w:val="276"/>
          <w:jc w:val="right"/>
        </w:trPr>
        <w:tc>
          <w:tcPr>
            <w:tcW w:w="3425" w:type="dxa"/>
            <w:shd w:val="clear" w:color="auto" w:fill="FFFFFF"/>
            <w:vAlign w:val="center"/>
          </w:tcPr>
          <w:p w14:paraId="21B372DE" w14:textId="77777777" w:rsidR="00CB33C7" w:rsidRPr="00E87218" w:rsidRDefault="00CB33C7" w:rsidP="00E87218">
            <w:pPr>
              <w:rPr>
                <w:rFonts w:cs="Arial"/>
                <w:b/>
                <w:bCs/>
                <w:color w:val="000000"/>
                <w:szCs w:val="22"/>
              </w:rPr>
            </w:pPr>
            <w:r w:rsidRPr="00E87218">
              <w:rPr>
                <w:rFonts w:cs="Arial"/>
                <w:b/>
                <w:bCs/>
                <w:color w:val="000000"/>
                <w:szCs w:val="22"/>
              </w:rPr>
              <w:t>по джерелах фінансування:</w:t>
            </w:r>
          </w:p>
        </w:tc>
        <w:tc>
          <w:tcPr>
            <w:tcW w:w="6794" w:type="dxa"/>
            <w:gridSpan w:val="9"/>
            <w:vAlign w:val="center"/>
          </w:tcPr>
          <w:p w14:paraId="7C4A7F6B" w14:textId="77777777" w:rsidR="00CB33C7" w:rsidRPr="00E87218" w:rsidRDefault="00CB33C7" w:rsidP="00E87218">
            <w:pPr>
              <w:jc w:val="both"/>
              <w:rPr>
                <w:rFonts w:cs="Arial"/>
                <w:color w:val="000000"/>
                <w:szCs w:val="22"/>
                <w:lang w:eastAsia="it-IT"/>
              </w:rPr>
            </w:pPr>
          </w:p>
        </w:tc>
      </w:tr>
      <w:tr w:rsidR="00E87218" w:rsidRPr="00C2587D" w14:paraId="6878A5FD" w14:textId="3DB8E785" w:rsidTr="00E87218">
        <w:trPr>
          <w:trHeight w:val="240"/>
          <w:jc w:val="right"/>
        </w:trPr>
        <w:tc>
          <w:tcPr>
            <w:tcW w:w="3425" w:type="dxa"/>
            <w:shd w:val="clear" w:color="auto" w:fill="FFFFFF"/>
            <w:vAlign w:val="center"/>
          </w:tcPr>
          <w:p w14:paraId="1A18F353" w14:textId="77777777" w:rsidR="00E87218" w:rsidRPr="00E87218" w:rsidRDefault="00E87218" w:rsidP="00E87218">
            <w:pPr>
              <w:rPr>
                <w:rFonts w:cs="Arial"/>
                <w:b/>
                <w:bCs/>
                <w:color w:val="000000"/>
                <w:szCs w:val="22"/>
              </w:rPr>
            </w:pPr>
            <w:r w:rsidRPr="00E87218">
              <w:rPr>
                <w:rFonts w:cs="Arial"/>
                <w:color w:val="000000"/>
                <w:szCs w:val="22"/>
              </w:rPr>
              <w:t>- державний бюджет</w:t>
            </w:r>
          </w:p>
        </w:tc>
        <w:tc>
          <w:tcPr>
            <w:tcW w:w="1279" w:type="dxa"/>
            <w:gridSpan w:val="2"/>
            <w:vAlign w:val="center"/>
          </w:tcPr>
          <w:p w14:paraId="4A3B8561" w14:textId="77777777" w:rsidR="00E87218" w:rsidRPr="00E87218" w:rsidRDefault="00E87218" w:rsidP="00E87218">
            <w:pPr>
              <w:jc w:val="center"/>
              <w:rPr>
                <w:rFonts w:cs="Arial"/>
                <w:color w:val="000000"/>
                <w:szCs w:val="22"/>
                <w:lang w:eastAsia="it-IT"/>
              </w:rPr>
            </w:pPr>
          </w:p>
        </w:tc>
        <w:tc>
          <w:tcPr>
            <w:tcW w:w="1394" w:type="dxa"/>
            <w:gridSpan w:val="2"/>
            <w:vAlign w:val="center"/>
          </w:tcPr>
          <w:p w14:paraId="12955461" w14:textId="77777777" w:rsidR="00E87218" w:rsidRPr="00E87218" w:rsidRDefault="00E87218" w:rsidP="00E87218">
            <w:pPr>
              <w:jc w:val="center"/>
              <w:rPr>
                <w:rFonts w:cs="Arial"/>
                <w:color w:val="000000"/>
                <w:szCs w:val="22"/>
                <w:lang w:eastAsia="it-IT"/>
              </w:rPr>
            </w:pPr>
          </w:p>
        </w:tc>
        <w:tc>
          <w:tcPr>
            <w:tcW w:w="1313" w:type="dxa"/>
            <w:gridSpan w:val="2"/>
            <w:vAlign w:val="center"/>
          </w:tcPr>
          <w:p w14:paraId="0CF02B49" w14:textId="77777777" w:rsidR="00E87218" w:rsidRPr="00E87218" w:rsidRDefault="00E87218" w:rsidP="00E87218">
            <w:pPr>
              <w:jc w:val="center"/>
              <w:rPr>
                <w:rFonts w:cs="Arial"/>
                <w:color w:val="000000"/>
                <w:szCs w:val="22"/>
                <w:lang w:eastAsia="it-IT"/>
              </w:rPr>
            </w:pPr>
          </w:p>
        </w:tc>
        <w:tc>
          <w:tcPr>
            <w:tcW w:w="1267" w:type="dxa"/>
            <w:gridSpan w:val="2"/>
            <w:vAlign w:val="center"/>
          </w:tcPr>
          <w:p w14:paraId="653D6E36" w14:textId="77777777" w:rsidR="00E87218" w:rsidRPr="00E87218" w:rsidRDefault="00E87218" w:rsidP="00E87218">
            <w:pPr>
              <w:jc w:val="center"/>
              <w:rPr>
                <w:rFonts w:cs="Arial"/>
                <w:color w:val="000000"/>
                <w:szCs w:val="22"/>
                <w:lang w:eastAsia="it-IT"/>
              </w:rPr>
            </w:pPr>
          </w:p>
        </w:tc>
        <w:tc>
          <w:tcPr>
            <w:tcW w:w="1541" w:type="dxa"/>
            <w:vAlign w:val="center"/>
          </w:tcPr>
          <w:p w14:paraId="7996BE51" w14:textId="77777777" w:rsidR="00E87218" w:rsidRPr="00E87218" w:rsidRDefault="00E87218" w:rsidP="00E87218">
            <w:pPr>
              <w:jc w:val="center"/>
              <w:rPr>
                <w:rFonts w:cs="Arial"/>
                <w:color w:val="000000"/>
                <w:szCs w:val="22"/>
                <w:lang w:eastAsia="it-IT"/>
              </w:rPr>
            </w:pPr>
          </w:p>
        </w:tc>
      </w:tr>
      <w:tr w:rsidR="00E87218" w:rsidRPr="00C2587D" w14:paraId="1DA979F3" w14:textId="29C93EF8" w:rsidTr="00E87218">
        <w:trPr>
          <w:trHeight w:val="254"/>
          <w:jc w:val="right"/>
        </w:trPr>
        <w:tc>
          <w:tcPr>
            <w:tcW w:w="3425" w:type="dxa"/>
            <w:shd w:val="clear" w:color="auto" w:fill="FFFFFF"/>
            <w:vAlign w:val="center"/>
          </w:tcPr>
          <w:p w14:paraId="7784CD3F" w14:textId="77777777" w:rsidR="00E87218" w:rsidRPr="00E87218" w:rsidRDefault="00E87218" w:rsidP="00E87218">
            <w:pPr>
              <w:rPr>
                <w:rFonts w:cs="Arial"/>
                <w:color w:val="000000"/>
                <w:szCs w:val="22"/>
              </w:rPr>
            </w:pPr>
            <w:r w:rsidRPr="00E87218">
              <w:rPr>
                <w:rFonts w:cs="Arial"/>
                <w:color w:val="000000"/>
                <w:szCs w:val="22"/>
              </w:rPr>
              <w:t>- обласний бюджет</w:t>
            </w:r>
          </w:p>
        </w:tc>
        <w:tc>
          <w:tcPr>
            <w:tcW w:w="1279" w:type="dxa"/>
            <w:gridSpan w:val="2"/>
            <w:vAlign w:val="center"/>
          </w:tcPr>
          <w:p w14:paraId="3CC2F122" w14:textId="77777777" w:rsidR="00E87218" w:rsidRPr="00E87218" w:rsidRDefault="00E87218" w:rsidP="00E87218">
            <w:pPr>
              <w:jc w:val="center"/>
              <w:rPr>
                <w:rFonts w:cs="Arial"/>
                <w:color w:val="000000"/>
                <w:szCs w:val="22"/>
                <w:lang w:eastAsia="it-IT"/>
              </w:rPr>
            </w:pPr>
          </w:p>
        </w:tc>
        <w:tc>
          <w:tcPr>
            <w:tcW w:w="1394" w:type="dxa"/>
            <w:gridSpan w:val="2"/>
            <w:vAlign w:val="center"/>
          </w:tcPr>
          <w:p w14:paraId="274EE64F" w14:textId="77777777" w:rsidR="00E87218" w:rsidRPr="00E87218" w:rsidRDefault="00E87218" w:rsidP="00E87218">
            <w:pPr>
              <w:jc w:val="center"/>
              <w:rPr>
                <w:rFonts w:cs="Arial"/>
                <w:color w:val="000000"/>
                <w:szCs w:val="22"/>
                <w:lang w:eastAsia="it-IT"/>
              </w:rPr>
            </w:pPr>
          </w:p>
        </w:tc>
        <w:tc>
          <w:tcPr>
            <w:tcW w:w="1313" w:type="dxa"/>
            <w:gridSpan w:val="2"/>
            <w:vAlign w:val="center"/>
          </w:tcPr>
          <w:p w14:paraId="19DB0D92" w14:textId="77777777" w:rsidR="00E87218" w:rsidRPr="00E87218" w:rsidRDefault="00E87218" w:rsidP="00E87218">
            <w:pPr>
              <w:jc w:val="center"/>
              <w:rPr>
                <w:rFonts w:cs="Arial"/>
                <w:color w:val="000000"/>
                <w:szCs w:val="22"/>
                <w:lang w:eastAsia="it-IT"/>
              </w:rPr>
            </w:pPr>
          </w:p>
        </w:tc>
        <w:tc>
          <w:tcPr>
            <w:tcW w:w="1267" w:type="dxa"/>
            <w:gridSpan w:val="2"/>
            <w:vAlign w:val="center"/>
          </w:tcPr>
          <w:p w14:paraId="7A46CB63" w14:textId="77777777" w:rsidR="00E87218" w:rsidRPr="00E87218" w:rsidRDefault="00E87218" w:rsidP="00E87218">
            <w:pPr>
              <w:jc w:val="center"/>
              <w:rPr>
                <w:rFonts w:cs="Arial"/>
                <w:color w:val="000000"/>
                <w:szCs w:val="22"/>
                <w:lang w:eastAsia="it-IT"/>
              </w:rPr>
            </w:pPr>
          </w:p>
        </w:tc>
        <w:tc>
          <w:tcPr>
            <w:tcW w:w="1541" w:type="dxa"/>
            <w:vAlign w:val="center"/>
          </w:tcPr>
          <w:p w14:paraId="288171F5" w14:textId="77777777" w:rsidR="00E87218" w:rsidRPr="00E87218" w:rsidRDefault="00E87218" w:rsidP="00E87218">
            <w:pPr>
              <w:jc w:val="center"/>
              <w:rPr>
                <w:rFonts w:cs="Arial"/>
                <w:color w:val="000000"/>
                <w:szCs w:val="22"/>
                <w:lang w:eastAsia="it-IT"/>
              </w:rPr>
            </w:pPr>
          </w:p>
        </w:tc>
      </w:tr>
      <w:tr w:rsidR="00E87218" w:rsidRPr="00C2587D" w14:paraId="1060115E" w14:textId="16EC4487" w:rsidTr="00E87218">
        <w:trPr>
          <w:trHeight w:val="275"/>
          <w:jc w:val="right"/>
        </w:trPr>
        <w:tc>
          <w:tcPr>
            <w:tcW w:w="3425" w:type="dxa"/>
            <w:shd w:val="clear" w:color="auto" w:fill="FFFFFF"/>
            <w:vAlign w:val="center"/>
          </w:tcPr>
          <w:p w14:paraId="09B81587" w14:textId="77777777" w:rsidR="00E87218" w:rsidRPr="00E87218" w:rsidRDefault="00E87218" w:rsidP="00E87218">
            <w:pPr>
              <w:rPr>
                <w:rFonts w:cs="Arial"/>
                <w:color w:val="000000"/>
                <w:szCs w:val="22"/>
              </w:rPr>
            </w:pPr>
            <w:r w:rsidRPr="00E87218">
              <w:rPr>
                <w:rFonts w:cs="Arial"/>
                <w:color w:val="000000"/>
                <w:szCs w:val="22"/>
              </w:rPr>
              <w:t>- бюджет Жмеринської МТГ</w:t>
            </w:r>
          </w:p>
        </w:tc>
        <w:tc>
          <w:tcPr>
            <w:tcW w:w="1279" w:type="dxa"/>
            <w:gridSpan w:val="2"/>
            <w:vAlign w:val="center"/>
          </w:tcPr>
          <w:p w14:paraId="761EA2FF" w14:textId="15412D89" w:rsidR="00E87218" w:rsidRPr="00E87218" w:rsidRDefault="00E87218" w:rsidP="00E87218">
            <w:pPr>
              <w:jc w:val="center"/>
              <w:rPr>
                <w:rFonts w:cs="Arial"/>
                <w:color w:val="000000"/>
                <w:szCs w:val="22"/>
                <w:lang w:eastAsia="it-IT"/>
              </w:rPr>
            </w:pPr>
          </w:p>
        </w:tc>
        <w:tc>
          <w:tcPr>
            <w:tcW w:w="1394" w:type="dxa"/>
            <w:gridSpan w:val="2"/>
            <w:vAlign w:val="center"/>
          </w:tcPr>
          <w:p w14:paraId="2D27A8E4" w14:textId="6B9F0ADD" w:rsidR="00E87218" w:rsidRPr="00E87218" w:rsidRDefault="00E87218" w:rsidP="00E87218">
            <w:pPr>
              <w:jc w:val="center"/>
              <w:rPr>
                <w:rFonts w:cs="Arial"/>
                <w:color w:val="000000"/>
                <w:szCs w:val="22"/>
                <w:lang w:eastAsia="it-IT"/>
              </w:rPr>
            </w:pPr>
            <w:r w:rsidRPr="00E87218">
              <w:rPr>
                <w:rFonts w:cs="Arial"/>
                <w:color w:val="000000"/>
                <w:szCs w:val="22"/>
                <w:lang w:eastAsia="it-IT"/>
              </w:rPr>
              <w:t>957,752</w:t>
            </w:r>
          </w:p>
        </w:tc>
        <w:tc>
          <w:tcPr>
            <w:tcW w:w="1313" w:type="dxa"/>
            <w:gridSpan w:val="2"/>
            <w:vAlign w:val="center"/>
          </w:tcPr>
          <w:p w14:paraId="6717766C" w14:textId="675504FE" w:rsidR="00E87218" w:rsidRPr="00E87218" w:rsidRDefault="00E87218" w:rsidP="00E87218">
            <w:pPr>
              <w:jc w:val="center"/>
              <w:rPr>
                <w:rFonts w:cs="Arial"/>
                <w:color w:val="000000"/>
                <w:szCs w:val="22"/>
                <w:lang w:eastAsia="it-IT"/>
              </w:rPr>
            </w:pPr>
          </w:p>
        </w:tc>
        <w:tc>
          <w:tcPr>
            <w:tcW w:w="1267" w:type="dxa"/>
            <w:gridSpan w:val="2"/>
            <w:vAlign w:val="center"/>
          </w:tcPr>
          <w:p w14:paraId="2F6E8279" w14:textId="09068DC9" w:rsidR="00E87218" w:rsidRPr="00E87218" w:rsidRDefault="00E87218" w:rsidP="00E87218">
            <w:pPr>
              <w:jc w:val="center"/>
              <w:rPr>
                <w:rFonts w:cs="Arial"/>
                <w:color w:val="000000"/>
                <w:szCs w:val="22"/>
                <w:lang w:eastAsia="it-IT"/>
              </w:rPr>
            </w:pPr>
          </w:p>
        </w:tc>
        <w:tc>
          <w:tcPr>
            <w:tcW w:w="1541" w:type="dxa"/>
            <w:vAlign w:val="center"/>
          </w:tcPr>
          <w:p w14:paraId="010DB52E" w14:textId="70FF30F8" w:rsidR="00E87218" w:rsidRPr="00E87218" w:rsidRDefault="00E87218" w:rsidP="00E87218">
            <w:pPr>
              <w:jc w:val="center"/>
              <w:rPr>
                <w:rFonts w:cs="Arial"/>
                <w:b/>
                <w:color w:val="000000"/>
                <w:szCs w:val="22"/>
                <w:lang w:eastAsia="it-IT"/>
              </w:rPr>
            </w:pPr>
            <w:r w:rsidRPr="00E87218">
              <w:rPr>
                <w:rFonts w:cs="Arial"/>
                <w:b/>
                <w:color w:val="000000"/>
                <w:szCs w:val="22"/>
                <w:lang w:eastAsia="it-IT"/>
              </w:rPr>
              <w:t>957,752</w:t>
            </w:r>
          </w:p>
        </w:tc>
      </w:tr>
      <w:tr w:rsidR="00E87218" w:rsidRPr="00C2587D" w14:paraId="1E0D8D01" w14:textId="6CF56492" w:rsidTr="00E87218">
        <w:trPr>
          <w:trHeight w:val="226"/>
          <w:jc w:val="right"/>
        </w:trPr>
        <w:tc>
          <w:tcPr>
            <w:tcW w:w="3425" w:type="dxa"/>
            <w:shd w:val="clear" w:color="auto" w:fill="FFFFFF"/>
            <w:vAlign w:val="center"/>
          </w:tcPr>
          <w:p w14:paraId="5086F905" w14:textId="77777777" w:rsidR="00E87218" w:rsidRPr="00E87218" w:rsidRDefault="00E87218" w:rsidP="00E87218">
            <w:pPr>
              <w:rPr>
                <w:rFonts w:cs="Arial"/>
                <w:color w:val="000000"/>
                <w:szCs w:val="22"/>
              </w:rPr>
            </w:pPr>
            <w:r w:rsidRPr="00E87218">
              <w:rPr>
                <w:rFonts w:cs="Arial"/>
                <w:color w:val="000000"/>
                <w:szCs w:val="22"/>
              </w:rPr>
              <w:t>- інші джерела фінансування</w:t>
            </w:r>
          </w:p>
        </w:tc>
        <w:tc>
          <w:tcPr>
            <w:tcW w:w="1279" w:type="dxa"/>
            <w:gridSpan w:val="2"/>
            <w:vAlign w:val="center"/>
          </w:tcPr>
          <w:p w14:paraId="650C25A8" w14:textId="77777777" w:rsidR="00E87218" w:rsidRPr="00E87218" w:rsidRDefault="00E87218" w:rsidP="00E87218">
            <w:pPr>
              <w:jc w:val="center"/>
              <w:rPr>
                <w:rFonts w:cs="Arial"/>
                <w:color w:val="000000"/>
                <w:szCs w:val="22"/>
                <w:lang w:eastAsia="it-IT"/>
              </w:rPr>
            </w:pPr>
          </w:p>
        </w:tc>
        <w:tc>
          <w:tcPr>
            <w:tcW w:w="1394" w:type="dxa"/>
            <w:gridSpan w:val="2"/>
            <w:vAlign w:val="center"/>
          </w:tcPr>
          <w:p w14:paraId="76657894" w14:textId="77777777" w:rsidR="00E87218" w:rsidRPr="00E87218" w:rsidRDefault="00E87218" w:rsidP="00E87218">
            <w:pPr>
              <w:jc w:val="center"/>
              <w:rPr>
                <w:rFonts w:cs="Arial"/>
                <w:color w:val="000000"/>
                <w:szCs w:val="22"/>
                <w:lang w:eastAsia="it-IT"/>
              </w:rPr>
            </w:pPr>
          </w:p>
        </w:tc>
        <w:tc>
          <w:tcPr>
            <w:tcW w:w="1313" w:type="dxa"/>
            <w:gridSpan w:val="2"/>
            <w:vAlign w:val="center"/>
          </w:tcPr>
          <w:p w14:paraId="154E5BEE" w14:textId="77777777" w:rsidR="00E87218" w:rsidRPr="00E87218" w:rsidRDefault="00E87218" w:rsidP="00E87218">
            <w:pPr>
              <w:jc w:val="center"/>
              <w:rPr>
                <w:rFonts w:cs="Arial"/>
                <w:color w:val="000000"/>
                <w:szCs w:val="22"/>
                <w:lang w:eastAsia="it-IT"/>
              </w:rPr>
            </w:pPr>
          </w:p>
        </w:tc>
        <w:tc>
          <w:tcPr>
            <w:tcW w:w="1267" w:type="dxa"/>
            <w:gridSpan w:val="2"/>
            <w:vAlign w:val="center"/>
          </w:tcPr>
          <w:p w14:paraId="441EFAF8" w14:textId="77777777" w:rsidR="00E87218" w:rsidRPr="00E87218" w:rsidRDefault="00E87218" w:rsidP="00E87218">
            <w:pPr>
              <w:jc w:val="center"/>
              <w:rPr>
                <w:rFonts w:cs="Arial"/>
                <w:color w:val="000000"/>
                <w:szCs w:val="22"/>
                <w:lang w:eastAsia="it-IT"/>
              </w:rPr>
            </w:pPr>
          </w:p>
        </w:tc>
        <w:tc>
          <w:tcPr>
            <w:tcW w:w="1541" w:type="dxa"/>
            <w:vAlign w:val="center"/>
          </w:tcPr>
          <w:p w14:paraId="1D201387" w14:textId="77777777" w:rsidR="00E87218" w:rsidRPr="00E87218" w:rsidRDefault="00E87218" w:rsidP="00E87218">
            <w:pPr>
              <w:jc w:val="center"/>
              <w:rPr>
                <w:rFonts w:cs="Arial"/>
                <w:color w:val="000000"/>
                <w:szCs w:val="22"/>
                <w:lang w:eastAsia="it-IT"/>
              </w:rPr>
            </w:pPr>
          </w:p>
        </w:tc>
      </w:tr>
      <w:tr w:rsidR="00CB33C7" w:rsidRPr="00C2587D" w14:paraId="6D136611" w14:textId="77777777" w:rsidTr="00EA6E27">
        <w:trPr>
          <w:jc w:val="right"/>
        </w:trPr>
        <w:tc>
          <w:tcPr>
            <w:tcW w:w="3425" w:type="dxa"/>
            <w:shd w:val="clear" w:color="auto" w:fill="FFFFFF"/>
            <w:vAlign w:val="center"/>
          </w:tcPr>
          <w:p w14:paraId="08E71338" w14:textId="77777777" w:rsidR="00CB33C7" w:rsidRPr="00E87218" w:rsidRDefault="00CB33C7" w:rsidP="00E87218">
            <w:pPr>
              <w:rPr>
                <w:rFonts w:cs="Arial"/>
                <w:b/>
                <w:bCs/>
                <w:color w:val="000000"/>
                <w:szCs w:val="22"/>
              </w:rPr>
            </w:pPr>
            <w:r w:rsidRPr="00E87218">
              <w:rPr>
                <w:rFonts w:cs="Arial"/>
                <w:b/>
                <w:color w:val="000000"/>
                <w:szCs w:val="22"/>
              </w:rPr>
              <w:t>Відповідальний виконавець проєкту:</w:t>
            </w:r>
          </w:p>
        </w:tc>
        <w:tc>
          <w:tcPr>
            <w:tcW w:w="6794" w:type="dxa"/>
            <w:gridSpan w:val="9"/>
            <w:vAlign w:val="center"/>
          </w:tcPr>
          <w:p w14:paraId="351B22D0" w14:textId="6D056ABC" w:rsidR="00CB33C7" w:rsidRPr="00E87218" w:rsidRDefault="00CB33C7" w:rsidP="00E87218">
            <w:pPr>
              <w:jc w:val="both"/>
              <w:rPr>
                <w:rFonts w:cs="Arial"/>
                <w:color w:val="000000"/>
                <w:szCs w:val="22"/>
                <w:lang w:eastAsia="it-IT"/>
              </w:rPr>
            </w:pPr>
            <w:r w:rsidRPr="00E87218">
              <w:rPr>
                <w:rFonts w:cs="Arial"/>
                <w:color w:val="000000"/>
                <w:szCs w:val="22"/>
                <w:lang w:eastAsia="it-IT"/>
              </w:rPr>
              <w:t>Управління ЖКГ.</w:t>
            </w:r>
          </w:p>
        </w:tc>
      </w:tr>
      <w:tr w:rsidR="00CB33C7" w:rsidRPr="00C2587D" w14:paraId="7D18EC84" w14:textId="77777777" w:rsidTr="00EA6E27">
        <w:trPr>
          <w:jc w:val="right"/>
        </w:trPr>
        <w:tc>
          <w:tcPr>
            <w:tcW w:w="3425" w:type="dxa"/>
            <w:shd w:val="clear" w:color="auto" w:fill="FFFFFF"/>
            <w:vAlign w:val="center"/>
          </w:tcPr>
          <w:p w14:paraId="1C3F9895" w14:textId="77777777" w:rsidR="00CB33C7" w:rsidRPr="00E87218" w:rsidRDefault="00CB33C7" w:rsidP="00E87218">
            <w:pPr>
              <w:rPr>
                <w:rFonts w:cs="Arial"/>
                <w:b/>
                <w:bCs/>
                <w:color w:val="000000"/>
                <w:szCs w:val="22"/>
              </w:rPr>
            </w:pPr>
            <w:r w:rsidRPr="00E87218">
              <w:rPr>
                <w:rFonts w:cs="Arial"/>
                <w:b/>
                <w:bCs/>
                <w:color w:val="000000"/>
                <w:szCs w:val="22"/>
              </w:rPr>
              <w:t>Інше:</w:t>
            </w:r>
          </w:p>
        </w:tc>
        <w:tc>
          <w:tcPr>
            <w:tcW w:w="6794" w:type="dxa"/>
            <w:gridSpan w:val="9"/>
            <w:vAlign w:val="center"/>
          </w:tcPr>
          <w:p w14:paraId="4ECD5017" w14:textId="77777777" w:rsidR="00CB33C7" w:rsidRPr="00E87218" w:rsidRDefault="00CB33C7" w:rsidP="00E87218">
            <w:pPr>
              <w:rPr>
                <w:rFonts w:cs="Arial"/>
                <w:color w:val="000000"/>
                <w:szCs w:val="22"/>
                <w:lang w:eastAsia="it-IT"/>
              </w:rPr>
            </w:pPr>
          </w:p>
          <w:p w14:paraId="35865288" w14:textId="77777777" w:rsidR="00CB33C7" w:rsidRPr="00E87218" w:rsidRDefault="00CB33C7" w:rsidP="00E87218">
            <w:pPr>
              <w:rPr>
                <w:rFonts w:cs="Arial"/>
                <w:color w:val="000000"/>
                <w:szCs w:val="22"/>
                <w:lang w:eastAsia="it-IT"/>
              </w:rPr>
            </w:pPr>
          </w:p>
        </w:tc>
      </w:tr>
    </w:tbl>
    <w:p w14:paraId="76E8505C" w14:textId="77777777" w:rsidR="00CB33C7" w:rsidRPr="00C2587D" w:rsidRDefault="00CB33C7" w:rsidP="00CB33C7">
      <w:pPr>
        <w:jc w:val="right"/>
        <w:rPr>
          <w:rFonts w:cs="Arial"/>
          <w:b/>
        </w:rPr>
      </w:pPr>
    </w:p>
    <w:p w14:paraId="7C83086C" w14:textId="77777777" w:rsidR="00CB33C7" w:rsidRPr="00C2587D" w:rsidRDefault="00CB33C7" w:rsidP="00CB33C7">
      <w:pPr>
        <w:jc w:val="center"/>
        <w:rPr>
          <w:rFonts w:cs="Arial"/>
          <w:b/>
          <w:color w:val="000000"/>
          <w:szCs w:val="22"/>
        </w:rPr>
      </w:pPr>
    </w:p>
    <w:p w14:paraId="49E723F3" w14:textId="77777777" w:rsidR="00CB33C7" w:rsidRPr="00C2587D" w:rsidRDefault="00CB33C7" w:rsidP="00CB33C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435AFFE9" w14:textId="77777777" w:rsidR="00CB33C7" w:rsidRPr="00C2587D" w:rsidRDefault="00CB33C7" w:rsidP="00CB33C7">
      <w:pPr>
        <w:jc w:val="center"/>
        <w:rPr>
          <w:rFonts w:cs="Arial"/>
          <w:b/>
          <w:color w:val="000000"/>
          <w:szCs w:val="22"/>
        </w:rPr>
      </w:pPr>
      <w:r w:rsidRPr="00C2587D">
        <w:rPr>
          <w:rFonts w:cs="Arial"/>
          <w:b/>
          <w:color w:val="000000"/>
          <w:szCs w:val="22"/>
        </w:rPr>
        <w:t>до Плану заходів з реалізації Стратегії</w:t>
      </w:r>
    </w:p>
    <w:p w14:paraId="1518774C" w14:textId="77777777" w:rsidR="00CB33C7" w:rsidRPr="00C2587D" w:rsidRDefault="00CB33C7" w:rsidP="00CB33C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25"/>
        <w:gridCol w:w="1244"/>
        <w:gridCol w:w="6"/>
        <w:gridCol w:w="1411"/>
        <w:gridCol w:w="7"/>
        <w:gridCol w:w="1276"/>
        <w:gridCol w:w="7"/>
        <w:gridCol w:w="1564"/>
      </w:tblGrid>
      <w:tr w:rsidR="00CB33C7" w:rsidRPr="00C2587D" w14:paraId="239A3BCF" w14:textId="77777777" w:rsidTr="00EA6E27">
        <w:trPr>
          <w:jc w:val="right"/>
        </w:trPr>
        <w:tc>
          <w:tcPr>
            <w:tcW w:w="3425" w:type="dxa"/>
            <w:vAlign w:val="center"/>
          </w:tcPr>
          <w:p w14:paraId="66A5566E" w14:textId="77777777" w:rsidR="00CB33C7" w:rsidRPr="00E87218" w:rsidRDefault="00CB33C7" w:rsidP="00E87218">
            <w:pPr>
              <w:rPr>
                <w:rFonts w:cs="Arial"/>
                <w:b/>
                <w:bCs/>
                <w:color w:val="000000"/>
                <w:szCs w:val="22"/>
              </w:rPr>
            </w:pPr>
            <w:r w:rsidRPr="00E87218">
              <w:rPr>
                <w:rFonts w:cs="Arial"/>
                <w:b/>
                <w:bCs/>
                <w:color w:val="000000"/>
                <w:szCs w:val="22"/>
              </w:rPr>
              <w:t>Назва проєкту:</w:t>
            </w:r>
          </w:p>
        </w:tc>
        <w:tc>
          <w:tcPr>
            <w:tcW w:w="6794" w:type="dxa"/>
            <w:gridSpan w:val="9"/>
          </w:tcPr>
          <w:p w14:paraId="6FF1A029" w14:textId="77777777" w:rsidR="00CB33C7" w:rsidRPr="00E87218" w:rsidRDefault="00CB33C7" w:rsidP="00E87218">
            <w:pPr>
              <w:rPr>
                <w:rFonts w:cs="Arial"/>
                <w:b/>
                <w:szCs w:val="22"/>
                <w:lang w:eastAsia="it-IT"/>
              </w:rPr>
            </w:pPr>
            <w:r w:rsidRPr="00E87218">
              <w:rPr>
                <w:rFonts w:eastAsia="Arial" w:cs="Arial"/>
                <w:b/>
                <w:szCs w:val="22"/>
                <w:lang w:eastAsia="en-US"/>
              </w:rPr>
              <w:t>Капітальний ремонт мережі зовнішнього освітлення по вул. Птахіна в м. Жмеринка</w:t>
            </w:r>
          </w:p>
        </w:tc>
      </w:tr>
      <w:tr w:rsidR="00CB33C7" w:rsidRPr="00C2587D" w14:paraId="181D854D" w14:textId="77777777" w:rsidTr="00EA6E27">
        <w:trPr>
          <w:jc w:val="right"/>
        </w:trPr>
        <w:tc>
          <w:tcPr>
            <w:tcW w:w="3425" w:type="dxa"/>
          </w:tcPr>
          <w:p w14:paraId="6EF531DD" w14:textId="77777777" w:rsidR="00CB33C7" w:rsidRPr="00E87218" w:rsidRDefault="00CB33C7" w:rsidP="00E87218">
            <w:pPr>
              <w:rPr>
                <w:rFonts w:cs="Arial"/>
                <w:szCs w:val="22"/>
                <w:lang w:eastAsia="it-IT"/>
              </w:rPr>
            </w:pPr>
            <w:r w:rsidRPr="00E87218">
              <w:rPr>
                <w:rFonts w:cs="Arial"/>
                <w:b/>
                <w:bCs/>
                <w:szCs w:val="22"/>
              </w:rPr>
              <w:t>Ваші контакти</w:t>
            </w:r>
            <w:r w:rsidRPr="00E87218">
              <w:rPr>
                <w:rFonts w:cs="Arial"/>
                <w:szCs w:val="22"/>
                <w:lang w:eastAsia="it-IT"/>
              </w:rPr>
              <w:t>:</w:t>
            </w:r>
          </w:p>
          <w:p w14:paraId="4F86D7EE" w14:textId="77777777" w:rsidR="00CB33C7" w:rsidRPr="00E87218" w:rsidRDefault="00CB33C7" w:rsidP="00E87218">
            <w:pPr>
              <w:rPr>
                <w:rFonts w:cs="Arial"/>
                <w:b/>
                <w:bCs/>
                <w:szCs w:val="22"/>
              </w:rPr>
            </w:pPr>
            <w:r w:rsidRPr="00E87218">
              <w:rPr>
                <w:rFonts w:cs="Arial"/>
                <w:szCs w:val="22"/>
                <w:lang w:eastAsia="it-IT"/>
              </w:rPr>
              <w:t>Назва установи, організації, підприємства</w:t>
            </w:r>
          </w:p>
        </w:tc>
        <w:tc>
          <w:tcPr>
            <w:tcW w:w="6794" w:type="dxa"/>
            <w:gridSpan w:val="9"/>
          </w:tcPr>
          <w:p w14:paraId="0316ADFD" w14:textId="77777777" w:rsidR="00CB33C7" w:rsidRPr="00E87218" w:rsidRDefault="00CB33C7" w:rsidP="00E87218">
            <w:pPr>
              <w:rPr>
                <w:rFonts w:cs="Arial"/>
                <w:szCs w:val="22"/>
                <w:lang w:eastAsia="it-IT"/>
              </w:rPr>
            </w:pPr>
            <w:r w:rsidRPr="00E87218">
              <w:rPr>
                <w:rFonts w:cs="Arial"/>
                <w:szCs w:val="22"/>
                <w:lang w:eastAsia="it-IT"/>
              </w:rPr>
              <w:t>Управління житлово-комунального господарства Жмеринської міської ради</w:t>
            </w:r>
          </w:p>
        </w:tc>
      </w:tr>
      <w:tr w:rsidR="00CB33C7" w:rsidRPr="00C2587D" w14:paraId="1E9BB42F" w14:textId="77777777" w:rsidTr="00EA6E27">
        <w:trPr>
          <w:jc w:val="right"/>
        </w:trPr>
        <w:tc>
          <w:tcPr>
            <w:tcW w:w="3425" w:type="dxa"/>
          </w:tcPr>
          <w:p w14:paraId="3F8F8BE7" w14:textId="77777777" w:rsidR="00CB33C7" w:rsidRPr="00E87218" w:rsidRDefault="00CB33C7" w:rsidP="00E87218">
            <w:pPr>
              <w:rPr>
                <w:rFonts w:cs="Arial"/>
                <w:b/>
                <w:bCs/>
                <w:szCs w:val="22"/>
              </w:rPr>
            </w:pPr>
            <w:r w:rsidRPr="00E87218">
              <w:rPr>
                <w:rFonts w:cs="Arial"/>
                <w:szCs w:val="22"/>
                <w:lang w:eastAsia="it-IT"/>
              </w:rPr>
              <w:t>Прізвище Ім’я По-батькові:</w:t>
            </w:r>
          </w:p>
        </w:tc>
        <w:tc>
          <w:tcPr>
            <w:tcW w:w="6794" w:type="dxa"/>
            <w:gridSpan w:val="9"/>
          </w:tcPr>
          <w:p w14:paraId="00F6FEDA" w14:textId="77777777" w:rsidR="00CB33C7" w:rsidRPr="00E87218" w:rsidRDefault="00CB33C7" w:rsidP="00E87218">
            <w:pPr>
              <w:rPr>
                <w:rFonts w:cs="Arial"/>
                <w:szCs w:val="22"/>
                <w:lang w:eastAsia="it-IT"/>
              </w:rPr>
            </w:pPr>
            <w:r w:rsidRPr="00E87218">
              <w:rPr>
                <w:rFonts w:cs="Arial"/>
                <w:szCs w:val="22"/>
                <w:lang w:eastAsia="it-IT"/>
              </w:rPr>
              <w:t>Оленич Андрій Васильович</w:t>
            </w:r>
          </w:p>
        </w:tc>
      </w:tr>
      <w:tr w:rsidR="00CB33C7" w:rsidRPr="00C2587D" w14:paraId="7E0FE90A" w14:textId="77777777" w:rsidTr="00EA6E27">
        <w:trPr>
          <w:jc w:val="right"/>
        </w:trPr>
        <w:tc>
          <w:tcPr>
            <w:tcW w:w="3425" w:type="dxa"/>
          </w:tcPr>
          <w:p w14:paraId="565C3163" w14:textId="77777777" w:rsidR="00CB33C7" w:rsidRPr="00E87218" w:rsidRDefault="00CB33C7" w:rsidP="00E87218">
            <w:pPr>
              <w:rPr>
                <w:rFonts w:cs="Arial"/>
                <w:b/>
                <w:bCs/>
                <w:szCs w:val="22"/>
              </w:rPr>
            </w:pPr>
            <w:r w:rsidRPr="00E87218">
              <w:rPr>
                <w:rFonts w:cs="Arial"/>
                <w:szCs w:val="22"/>
                <w:lang w:eastAsia="it-IT"/>
              </w:rPr>
              <w:t>Телефон (мобільний):</w:t>
            </w:r>
          </w:p>
        </w:tc>
        <w:tc>
          <w:tcPr>
            <w:tcW w:w="6794" w:type="dxa"/>
            <w:gridSpan w:val="9"/>
          </w:tcPr>
          <w:p w14:paraId="29DF7ECB" w14:textId="77777777" w:rsidR="00CB33C7" w:rsidRPr="00E87218" w:rsidRDefault="00CB33C7" w:rsidP="00E87218">
            <w:pPr>
              <w:rPr>
                <w:rFonts w:cs="Arial"/>
                <w:szCs w:val="22"/>
                <w:lang w:eastAsia="it-IT"/>
              </w:rPr>
            </w:pPr>
            <w:r w:rsidRPr="00E87218">
              <w:rPr>
                <w:rFonts w:cs="Arial"/>
                <w:szCs w:val="22"/>
                <w:lang w:eastAsia="it-IT"/>
              </w:rPr>
              <w:t>0972561907</w:t>
            </w:r>
          </w:p>
        </w:tc>
      </w:tr>
      <w:tr w:rsidR="00CB33C7" w:rsidRPr="00C2587D" w14:paraId="79C317EC" w14:textId="77777777" w:rsidTr="00EA6E27">
        <w:trPr>
          <w:jc w:val="right"/>
        </w:trPr>
        <w:tc>
          <w:tcPr>
            <w:tcW w:w="3425" w:type="dxa"/>
          </w:tcPr>
          <w:p w14:paraId="436C26C9" w14:textId="77777777" w:rsidR="00CB33C7" w:rsidRPr="00E87218" w:rsidRDefault="00CB33C7" w:rsidP="00E87218">
            <w:pPr>
              <w:rPr>
                <w:rFonts w:cs="Arial"/>
                <w:b/>
                <w:bCs/>
                <w:szCs w:val="22"/>
              </w:rPr>
            </w:pPr>
            <w:r w:rsidRPr="00E87218">
              <w:rPr>
                <w:rFonts w:cs="Arial"/>
                <w:szCs w:val="22"/>
                <w:lang w:eastAsia="it-IT"/>
              </w:rPr>
              <w:t>Електронна адреса:</w:t>
            </w:r>
          </w:p>
        </w:tc>
        <w:tc>
          <w:tcPr>
            <w:tcW w:w="6794" w:type="dxa"/>
            <w:gridSpan w:val="9"/>
          </w:tcPr>
          <w:p w14:paraId="2718B421" w14:textId="77777777" w:rsidR="00CB33C7" w:rsidRPr="00E87218" w:rsidRDefault="00D85FFD" w:rsidP="00E87218">
            <w:pPr>
              <w:rPr>
                <w:rFonts w:cs="Arial"/>
                <w:szCs w:val="22"/>
                <w:lang w:eastAsia="it-IT"/>
              </w:rPr>
            </w:pPr>
            <w:hyperlink r:id="rId70" w:history="1">
              <w:r w:rsidR="00CB33C7" w:rsidRPr="00E87218">
                <w:rPr>
                  <w:rStyle w:val="af0"/>
                  <w:rFonts w:cs="Arial"/>
                  <w:noProof w:val="0"/>
                  <w:sz w:val="22"/>
                  <w:szCs w:val="22"/>
                  <w:lang w:eastAsia="it-IT"/>
                </w:rPr>
                <w:t>Aolenych03@ukr.net</w:t>
              </w:r>
            </w:hyperlink>
          </w:p>
        </w:tc>
      </w:tr>
      <w:tr w:rsidR="00CB33C7" w:rsidRPr="00C2587D" w14:paraId="0146B21C" w14:textId="77777777" w:rsidTr="00EA6E27">
        <w:trPr>
          <w:jc w:val="right"/>
        </w:trPr>
        <w:tc>
          <w:tcPr>
            <w:tcW w:w="3425" w:type="dxa"/>
            <w:vAlign w:val="center"/>
          </w:tcPr>
          <w:p w14:paraId="4C79B2F1" w14:textId="77777777" w:rsidR="00CB33C7" w:rsidRPr="00E87218" w:rsidRDefault="00CB33C7" w:rsidP="00E87218">
            <w:pPr>
              <w:pStyle w:val="6"/>
              <w:spacing w:before="0" w:after="0"/>
              <w:rPr>
                <w:rFonts w:ascii="Arial" w:hAnsi="Arial" w:cs="Arial"/>
                <w:color w:val="000000"/>
                <w:lang w:val="uk-UA"/>
              </w:rPr>
            </w:pPr>
            <w:r w:rsidRPr="00E87218">
              <w:rPr>
                <w:rFonts w:ascii="Arial" w:hAnsi="Arial" w:cs="Arial"/>
                <w:color w:val="000000"/>
                <w:lang w:val="uk-UA"/>
              </w:rPr>
              <w:t>Номер і назва завдання з Стратегії</w:t>
            </w:r>
            <w:r w:rsidRPr="00E87218">
              <w:rPr>
                <w:rFonts w:ascii="Arial" w:hAnsi="Arial" w:cs="Arial"/>
                <w:lang w:val="uk-UA" w:eastAsia="it-IT"/>
              </w:rPr>
              <w:t xml:space="preserve"> </w:t>
            </w:r>
            <w:r w:rsidRPr="00E87218">
              <w:rPr>
                <w:rFonts w:ascii="Arial" w:hAnsi="Arial" w:cs="Arial"/>
                <w:color w:val="000000"/>
                <w:lang w:val="uk-UA"/>
              </w:rPr>
              <w:t>розвитку Жмеринської міської територіальної громади,  якому відповідає проєкт:</w:t>
            </w:r>
          </w:p>
        </w:tc>
        <w:tc>
          <w:tcPr>
            <w:tcW w:w="6794" w:type="dxa"/>
            <w:gridSpan w:val="9"/>
          </w:tcPr>
          <w:p w14:paraId="73D2AB47" w14:textId="77777777" w:rsidR="00CB33C7" w:rsidRPr="00E87218" w:rsidRDefault="00CB33C7" w:rsidP="00E87218">
            <w:pPr>
              <w:contextualSpacing/>
              <w:rPr>
                <w:rFonts w:eastAsia="Lucida Sans Unicode" w:cs="Arial"/>
                <w:kern w:val="1"/>
                <w:szCs w:val="22"/>
                <w:lang w:eastAsia="ar-SA"/>
              </w:rPr>
            </w:pPr>
            <w:r w:rsidRPr="00E87218">
              <w:rPr>
                <w:rFonts w:eastAsia="Lucida Sans Unicode" w:cs="Arial"/>
                <w:kern w:val="1"/>
                <w:szCs w:val="22"/>
                <w:lang w:eastAsia="ar-SA"/>
              </w:rPr>
              <w:t>В.1.3.12. Будівництво, реконструкція мереж вуличного освітлення</w:t>
            </w:r>
          </w:p>
          <w:p w14:paraId="7401B9ED" w14:textId="77777777" w:rsidR="00CB33C7" w:rsidRPr="00E87218" w:rsidRDefault="00CB33C7" w:rsidP="00E87218">
            <w:pPr>
              <w:pBdr>
                <w:left w:val="single" w:sz="18" w:space="4" w:color="auto"/>
              </w:pBdr>
              <w:rPr>
                <w:rFonts w:cs="Arial"/>
                <w:szCs w:val="22"/>
                <w:lang w:eastAsia="it-IT"/>
              </w:rPr>
            </w:pPr>
          </w:p>
        </w:tc>
      </w:tr>
      <w:tr w:rsidR="00CB33C7" w:rsidRPr="00C2587D" w14:paraId="5703A6C7" w14:textId="77777777" w:rsidTr="00EA6E27">
        <w:trPr>
          <w:jc w:val="right"/>
        </w:trPr>
        <w:tc>
          <w:tcPr>
            <w:tcW w:w="3425" w:type="dxa"/>
            <w:vAlign w:val="center"/>
          </w:tcPr>
          <w:p w14:paraId="102B9D23" w14:textId="77777777" w:rsidR="00CB33C7" w:rsidRPr="00E87218" w:rsidRDefault="00CB33C7" w:rsidP="00E87218">
            <w:pPr>
              <w:rPr>
                <w:rFonts w:cs="Arial"/>
                <w:b/>
                <w:bCs/>
                <w:color w:val="000000"/>
                <w:szCs w:val="22"/>
              </w:rPr>
            </w:pPr>
            <w:r w:rsidRPr="00E87218">
              <w:rPr>
                <w:rFonts w:cs="Arial"/>
                <w:b/>
                <w:bCs/>
                <w:color w:val="000000"/>
                <w:szCs w:val="22"/>
              </w:rPr>
              <w:t>Мета проєкту:</w:t>
            </w:r>
          </w:p>
        </w:tc>
        <w:tc>
          <w:tcPr>
            <w:tcW w:w="6794" w:type="dxa"/>
            <w:gridSpan w:val="9"/>
          </w:tcPr>
          <w:p w14:paraId="74380DB2" w14:textId="77777777" w:rsidR="00CB33C7" w:rsidRPr="00E87218" w:rsidRDefault="00CB33C7" w:rsidP="00E87218">
            <w:pPr>
              <w:rPr>
                <w:rFonts w:cs="Arial"/>
                <w:szCs w:val="22"/>
                <w:lang w:eastAsia="it-IT"/>
              </w:rPr>
            </w:pPr>
            <w:r w:rsidRPr="00E87218">
              <w:rPr>
                <w:rFonts w:cs="Arial"/>
                <w:szCs w:val="22"/>
                <w:lang w:eastAsia="it-IT"/>
              </w:rPr>
              <w:t>Забезпечення потреби населення в комфортних умовах пересування у нічний час;</w:t>
            </w:r>
          </w:p>
          <w:p w14:paraId="25726408" w14:textId="77777777" w:rsidR="00CB33C7" w:rsidRPr="00E87218" w:rsidRDefault="00CB33C7" w:rsidP="00E87218">
            <w:pPr>
              <w:jc w:val="both"/>
              <w:rPr>
                <w:rFonts w:cs="Arial"/>
                <w:szCs w:val="22"/>
                <w:lang w:eastAsia="it-IT"/>
              </w:rPr>
            </w:pPr>
            <w:r w:rsidRPr="00E87218">
              <w:rPr>
                <w:rFonts w:cs="Arial"/>
                <w:szCs w:val="22"/>
                <w:lang w:eastAsia="it-IT"/>
              </w:rPr>
              <w:t>Зменшення потенційної кількості ДТП в нічний та вечірній час;</w:t>
            </w:r>
          </w:p>
          <w:p w14:paraId="30745A9A" w14:textId="77777777" w:rsidR="00CB33C7" w:rsidRPr="00E87218" w:rsidRDefault="00CB33C7" w:rsidP="00E87218">
            <w:pPr>
              <w:jc w:val="both"/>
              <w:rPr>
                <w:rFonts w:cs="Arial"/>
                <w:szCs w:val="22"/>
                <w:lang w:eastAsia="it-IT"/>
              </w:rPr>
            </w:pPr>
            <w:r w:rsidRPr="00E87218">
              <w:rPr>
                <w:rFonts w:cs="Arial"/>
                <w:szCs w:val="22"/>
                <w:lang w:eastAsia="it-IT"/>
              </w:rPr>
              <w:t>Покращення криміногенної ситуації;</w:t>
            </w:r>
          </w:p>
          <w:p w14:paraId="7AC49BA9" w14:textId="77777777" w:rsidR="00CB33C7" w:rsidRPr="00E87218" w:rsidRDefault="00CB33C7" w:rsidP="00E87218">
            <w:pPr>
              <w:rPr>
                <w:rFonts w:cs="Arial"/>
                <w:szCs w:val="22"/>
                <w:lang w:eastAsia="it-IT"/>
              </w:rPr>
            </w:pPr>
            <w:r w:rsidRPr="00E87218">
              <w:rPr>
                <w:rFonts w:cs="Arial"/>
                <w:szCs w:val="22"/>
                <w:lang w:eastAsia="it-IT"/>
              </w:rPr>
              <w:t>Покращення санітарного стану населених пунктів громади.</w:t>
            </w:r>
          </w:p>
          <w:p w14:paraId="63949ACD" w14:textId="77777777" w:rsidR="00CB33C7" w:rsidRPr="00E87218" w:rsidRDefault="00CB33C7" w:rsidP="00E87218">
            <w:pPr>
              <w:rPr>
                <w:rFonts w:cs="Arial"/>
                <w:szCs w:val="22"/>
                <w:lang w:eastAsia="it-IT"/>
              </w:rPr>
            </w:pPr>
          </w:p>
        </w:tc>
      </w:tr>
      <w:tr w:rsidR="00CB33C7" w:rsidRPr="00C2587D" w14:paraId="03AD6E70" w14:textId="77777777" w:rsidTr="00EA6E27">
        <w:trPr>
          <w:jc w:val="right"/>
        </w:trPr>
        <w:tc>
          <w:tcPr>
            <w:tcW w:w="3425" w:type="dxa"/>
            <w:vAlign w:val="center"/>
          </w:tcPr>
          <w:p w14:paraId="4222073F" w14:textId="77777777" w:rsidR="00CB33C7" w:rsidRPr="00E87218" w:rsidRDefault="00CB33C7" w:rsidP="00E87218">
            <w:pPr>
              <w:rPr>
                <w:rFonts w:cs="Arial"/>
                <w:b/>
                <w:bCs/>
                <w:color w:val="000000"/>
                <w:szCs w:val="22"/>
              </w:rPr>
            </w:pPr>
            <w:r w:rsidRPr="00E87218">
              <w:rPr>
                <w:rFonts w:cs="Arial"/>
                <w:b/>
                <w:bCs/>
                <w:color w:val="000000"/>
                <w:szCs w:val="22"/>
              </w:rPr>
              <w:t>Цілі проєкту:</w:t>
            </w:r>
          </w:p>
        </w:tc>
        <w:tc>
          <w:tcPr>
            <w:tcW w:w="6794" w:type="dxa"/>
            <w:gridSpan w:val="9"/>
          </w:tcPr>
          <w:p w14:paraId="2E7CC565" w14:textId="77777777" w:rsidR="00CB33C7" w:rsidRPr="00E87218" w:rsidRDefault="00CB33C7" w:rsidP="00E87218">
            <w:pPr>
              <w:rPr>
                <w:rFonts w:cs="Arial"/>
                <w:szCs w:val="22"/>
                <w:lang w:eastAsia="it-IT"/>
              </w:rPr>
            </w:pPr>
            <w:r w:rsidRPr="00E87218">
              <w:rPr>
                <w:rFonts w:cs="Arial"/>
                <w:szCs w:val="22"/>
                <w:lang w:eastAsia="it-IT"/>
              </w:rPr>
              <w:t xml:space="preserve">Реконструкція мережі вуличного освітлення в </w:t>
            </w:r>
            <w:r w:rsidRPr="00E87218">
              <w:rPr>
                <w:rFonts w:eastAsia="Arial" w:cs="Arial"/>
                <w:szCs w:val="22"/>
                <w:lang w:eastAsia="en-US"/>
              </w:rPr>
              <w:t>по вул. Птахіна в м. Жмеринка</w:t>
            </w:r>
          </w:p>
        </w:tc>
      </w:tr>
      <w:tr w:rsidR="00CB33C7" w:rsidRPr="00C2587D" w14:paraId="2D853B1C" w14:textId="77777777" w:rsidTr="00EA6E27">
        <w:trPr>
          <w:jc w:val="right"/>
        </w:trPr>
        <w:tc>
          <w:tcPr>
            <w:tcW w:w="3425" w:type="dxa"/>
            <w:vAlign w:val="center"/>
          </w:tcPr>
          <w:p w14:paraId="2F7281C0" w14:textId="77777777" w:rsidR="00CB33C7" w:rsidRPr="00E87218" w:rsidRDefault="00CB33C7" w:rsidP="00E87218">
            <w:pPr>
              <w:autoSpaceDE w:val="0"/>
              <w:autoSpaceDN w:val="0"/>
              <w:adjustRightInd w:val="0"/>
              <w:rPr>
                <w:rFonts w:cs="Arial"/>
                <w:b/>
                <w:color w:val="000000"/>
                <w:szCs w:val="22"/>
              </w:rPr>
            </w:pPr>
            <w:r w:rsidRPr="00E87218">
              <w:rPr>
                <w:rFonts w:cs="Arial"/>
                <w:b/>
                <w:color w:val="000000"/>
                <w:szCs w:val="22"/>
              </w:rPr>
              <w:t>Територія на яку проєкт матиме вплив:</w:t>
            </w:r>
          </w:p>
        </w:tc>
        <w:tc>
          <w:tcPr>
            <w:tcW w:w="6794" w:type="dxa"/>
            <w:gridSpan w:val="9"/>
          </w:tcPr>
          <w:p w14:paraId="56E86C07" w14:textId="50FF3D85" w:rsidR="00CB33C7" w:rsidRPr="00E87218" w:rsidRDefault="00CB33C7" w:rsidP="00E87218">
            <w:pPr>
              <w:rPr>
                <w:rFonts w:cs="Arial"/>
                <w:szCs w:val="22"/>
                <w:lang w:eastAsia="it-IT"/>
              </w:rPr>
            </w:pPr>
            <w:r w:rsidRPr="00E87218">
              <w:rPr>
                <w:rFonts w:cs="Arial"/>
                <w:szCs w:val="22"/>
                <w:lang w:eastAsia="it-IT"/>
              </w:rPr>
              <w:t>Території</w:t>
            </w:r>
            <w:r w:rsidRPr="00E87218">
              <w:rPr>
                <w:rFonts w:eastAsia="Arial" w:cs="Arial"/>
                <w:szCs w:val="22"/>
                <w:lang w:eastAsia="en-US"/>
              </w:rPr>
              <w:t xml:space="preserve"> Жмеринська М</w:t>
            </w:r>
            <w:r w:rsidR="00E87218">
              <w:rPr>
                <w:rFonts w:eastAsia="Arial" w:cs="Arial"/>
                <w:szCs w:val="22"/>
                <w:lang w:eastAsia="en-US"/>
              </w:rPr>
              <w:t>ТГ</w:t>
            </w:r>
          </w:p>
        </w:tc>
      </w:tr>
      <w:tr w:rsidR="00CB33C7" w:rsidRPr="00C2587D" w14:paraId="6BC8DA80" w14:textId="77777777" w:rsidTr="00EA6E27">
        <w:trPr>
          <w:jc w:val="right"/>
        </w:trPr>
        <w:tc>
          <w:tcPr>
            <w:tcW w:w="3425" w:type="dxa"/>
            <w:vAlign w:val="center"/>
          </w:tcPr>
          <w:p w14:paraId="6B397098" w14:textId="77777777" w:rsidR="00CB33C7" w:rsidRPr="00E87218" w:rsidRDefault="00CB33C7" w:rsidP="00E87218">
            <w:pPr>
              <w:autoSpaceDE w:val="0"/>
              <w:autoSpaceDN w:val="0"/>
              <w:adjustRightInd w:val="0"/>
              <w:rPr>
                <w:rFonts w:cs="Arial"/>
                <w:b/>
                <w:color w:val="000000"/>
                <w:szCs w:val="22"/>
              </w:rPr>
            </w:pPr>
            <w:r w:rsidRPr="00E87218">
              <w:rPr>
                <w:rFonts w:cs="Arial"/>
                <w:b/>
                <w:color w:val="000000"/>
                <w:szCs w:val="22"/>
              </w:rPr>
              <w:t>Цільові групи проєкту та кількість отримувачів вигоди</w:t>
            </w:r>
          </w:p>
        </w:tc>
        <w:tc>
          <w:tcPr>
            <w:tcW w:w="6794" w:type="dxa"/>
            <w:gridSpan w:val="9"/>
          </w:tcPr>
          <w:p w14:paraId="15A165BE" w14:textId="77777777" w:rsidR="00CB33C7" w:rsidRPr="00E87218" w:rsidRDefault="00CB33C7" w:rsidP="00E87218">
            <w:pPr>
              <w:rPr>
                <w:rFonts w:cs="Arial"/>
                <w:szCs w:val="22"/>
                <w:lang w:eastAsia="it-IT"/>
              </w:rPr>
            </w:pPr>
            <w:r w:rsidRPr="00E87218">
              <w:rPr>
                <w:rFonts w:cs="Arial"/>
                <w:szCs w:val="22"/>
                <w:lang w:eastAsia="it-IT"/>
              </w:rPr>
              <w:t>Жителі</w:t>
            </w:r>
            <w:r w:rsidRPr="00E87218">
              <w:rPr>
                <w:rFonts w:eastAsia="Arial" w:cs="Arial"/>
                <w:szCs w:val="22"/>
                <w:lang w:eastAsia="en-US"/>
              </w:rPr>
              <w:t xml:space="preserve"> по м. Жмеринка  </w:t>
            </w:r>
            <w:r w:rsidRPr="00E87218">
              <w:rPr>
                <w:rFonts w:cs="Arial"/>
                <w:szCs w:val="22"/>
                <w:lang w:eastAsia="it-IT"/>
              </w:rPr>
              <w:t>в кількості 34353 сельчанин</w:t>
            </w:r>
          </w:p>
        </w:tc>
      </w:tr>
      <w:tr w:rsidR="00CB33C7" w:rsidRPr="00C2587D" w14:paraId="6ABEC6BB" w14:textId="77777777" w:rsidTr="00EA6E27">
        <w:trPr>
          <w:jc w:val="right"/>
        </w:trPr>
        <w:tc>
          <w:tcPr>
            <w:tcW w:w="3425" w:type="dxa"/>
            <w:shd w:val="clear" w:color="auto" w:fill="FFFFFF"/>
            <w:vAlign w:val="center"/>
          </w:tcPr>
          <w:p w14:paraId="13734E59" w14:textId="77777777" w:rsidR="00CB33C7" w:rsidRPr="00E87218" w:rsidRDefault="00CB33C7" w:rsidP="00E87218">
            <w:pPr>
              <w:rPr>
                <w:rFonts w:cs="Arial"/>
                <w:b/>
                <w:bCs/>
                <w:color w:val="000000"/>
                <w:szCs w:val="22"/>
              </w:rPr>
            </w:pPr>
            <w:r w:rsidRPr="00E87218">
              <w:rPr>
                <w:rFonts w:cs="Arial"/>
                <w:b/>
                <w:bCs/>
                <w:color w:val="000000"/>
                <w:szCs w:val="22"/>
              </w:rPr>
              <w:t>Стислий опис проєкту:</w:t>
            </w:r>
          </w:p>
        </w:tc>
        <w:tc>
          <w:tcPr>
            <w:tcW w:w="6794" w:type="dxa"/>
            <w:gridSpan w:val="9"/>
          </w:tcPr>
          <w:p w14:paraId="49916AE6" w14:textId="634897A8" w:rsidR="00CB33C7" w:rsidRPr="00E87218" w:rsidRDefault="00CB33C7" w:rsidP="00E87218">
            <w:pPr>
              <w:rPr>
                <w:rFonts w:cs="Arial"/>
                <w:szCs w:val="22"/>
                <w:lang w:eastAsia="it-IT"/>
              </w:rPr>
            </w:pPr>
            <w:r w:rsidRPr="00E87218">
              <w:rPr>
                <w:rFonts w:cs="Arial"/>
                <w:szCs w:val="22"/>
                <w:lang w:eastAsia="it-IT"/>
              </w:rPr>
              <w:t>Жителі громади остерігаються виходити  в вечірній та нічний час н</w:t>
            </w:r>
            <w:r w:rsidR="005B7B52">
              <w:rPr>
                <w:rFonts w:cs="Arial"/>
                <w:szCs w:val="22"/>
                <w:lang w:eastAsia="it-IT"/>
              </w:rPr>
              <w:t>а неосвітлені  вулиці села. Проє</w:t>
            </w:r>
            <w:r w:rsidRPr="00E87218">
              <w:rPr>
                <w:rFonts w:cs="Arial"/>
                <w:szCs w:val="22"/>
                <w:lang w:eastAsia="it-IT"/>
              </w:rPr>
              <w:t xml:space="preserve">ктом необхідно провести освітлення вулиць </w:t>
            </w:r>
            <w:r w:rsidRPr="00E87218">
              <w:rPr>
                <w:rFonts w:eastAsia="Arial" w:cs="Arial"/>
                <w:szCs w:val="22"/>
                <w:lang w:eastAsia="en-US"/>
              </w:rPr>
              <w:t xml:space="preserve">села Подільське  </w:t>
            </w:r>
            <w:r w:rsidRPr="00E87218">
              <w:rPr>
                <w:rFonts w:cs="Arial"/>
                <w:szCs w:val="22"/>
                <w:lang w:eastAsia="it-IT"/>
              </w:rPr>
              <w:t>для покращення якості та безпечності перебування жителів громади на вулицях</w:t>
            </w:r>
          </w:p>
        </w:tc>
      </w:tr>
      <w:tr w:rsidR="00CB33C7" w:rsidRPr="00C2587D" w14:paraId="3CD5127B" w14:textId="77777777" w:rsidTr="00EA6E27">
        <w:trPr>
          <w:jc w:val="right"/>
        </w:trPr>
        <w:tc>
          <w:tcPr>
            <w:tcW w:w="3425" w:type="dxa"/>
            <w:shd w:val="clear" w:color="auto" w:fill="FFFFFF"/>
            <w:vAlign w:val="center"/>
          </w:tcPr>
          <w:p w14:paraId="33DAD138" w14:textId="77777777" w:rsidR="00CB33C7" w:rsidRPr="00E87218" w:rsidRDefault="00CB33C7" w:rsidP="00E87218">
            <w:pPr>
              <w:rPr>
                <w:rFonts w:cs="Arial"/>
                <w:b/>
                <w:bCs/>
                <w:color w:val="000000"/>
                <w:szCs w:val="22"/>
              </w:rPr>
            </w:pPr>
            <w:r w:rsidRPr="00E87218">
              <w:rPr>
                <w:rFonts w:cs="Arial"/>
                <w:b/>
                <w:bCs/>
                <w:color w:val="000000"/>
                <w:szCs w:val="22"/>
              </w:rPr>
              <w:t>Основні заходи проєкту:</w:t>
            </w:r>
          </w:p>
        </w:tc>
        <w:tc>
          <w:tcPr>
            <w:tcW w:w="6794" w:type="dxa"/>
            <w:gridSpan w:val="9"/>
          </w:tcPr>
          <w:p w14:paraId="6C9930A6" w14:textId="557AEA38" w:rsidR="00CB33C7" w:rsidRPr="00E87218" w:rsidRDefault="00CB33C7" w:rsidP="00E87218">
            <w:pPr>
              <w:jc w:val="both"/>
              <w:rPr>
                <w:rFonts w:cs="Arial"/>
                <w:szCs w:val="22"/>
                <w:lang w:eastAsia="it-IT"/>
              </w:rPr>
            </w:pPr>
            <w:r w:rsidRPr="00E87218">
              <w:rPr>
                <w:rFonts w:cs="Arial"/>
                <w:szCs w:val="22"/>
                <w:lang w:eastAsia="it-IT"/>
              </w:rPr>
              <w:t>Створення робочо</w:t>
            </w:r>
            <w:r w:rsidR="005B7B52">
              <w:rPr>
                <w:rFonts w:cs="Arial"/>
                <w:szCs w:val="22"/>
                <w:lang w:eastAsia="it-IT"/>
              </w:rPr>
              <w:t>ї групи з питань реалізації проє</w:t>
            </w:r>
            <w:r w:rsidRPr="00E87218">
              <w:rPr>
                <w:rFonts w:cs="Arial"/>
                <w:szCs w:val="22"/>
                <w:lang w:eastAsia="it-IT"/>
              </w:rPr>
              <w:t xml:space="preserve">кту. </w:t>
            </w:r>
          </w:p>
          <w:p w14:paraId="4BEC524E" w14:textId="77777777" w:rsidR="00CB33C7" w:rsidRPr="00E87218" w:rsidRDefault="00CB33C7" w:rsidP="00E87218">
            <w:pPr>
              <w:jc w:val="both"/>
              <w:rPr>
                <w:rFonts w:cs="Arial"/>
                <w:szCs w:val="22"/>
                <w:lang w:eastAsia="it-IT"/>
              </w:rPr>
            </w:pPr>
            <w:r w:rsidRPr="00E87218">
              <w:rPr>
                <w:rFonts w:cs="Arial"/>
                <w:szCs w:val="22"/>
                <w:lang w:eastAsia="it-IT"/>
              </w:rPr>
              <w:t>Проведення процедури закупівель (визначення виконавця робіт).</w:t>
            </w:r>
          </w:p>
          <w:p w14:paraId="441E59DF" w14:textId="77777777" w:rsidR="00CB33C7" w:rsidRPr="00E87218" w:rsidRDefault="00CB33C7" w:rsidP="00E87218">
            <w:pPr>
              <w:jc w:val="both"/>
              <w:rPr>
                <w:rFonts w:cs="Arial"/>
                <w:szCs w:val="22"/>
                <w:lang w:eastAsia="it-IT"/>
              </w:rPr>
            </w:pPr>
            <w:r w:rsidRPr="00E87218">
              <w:rPr>
                <w:rFonts w:cs="Arial"/>
                <w:szCs w:val="22"/>
                <w:lang w:eastAsia="it-IT"/>
              </w:rPr>
              <w:t>Укладення договорів з виконавцем робіт, організаціями, що здійснюватимуть  технічний та авторський  нагляд .</w:t>
            </w:r>
          </w:p>
          <w:p w14:paraId="5B6A8A30" w14:textId="77777777" w:rsidR="00CB33C7" w:rsidRPr="00E87218" w:rsidRDefault="00CB33C7" w:rsidP="00E87218">
            <w:pPr>
              <w:jc w:val="both"/>
              <w:rPr>
                <w:rFonts w:cs="Arial"/>
                <w:szCs w:val="22"/>
                <w:lang w:eastAsia="it-IT"/>
              </w:rPr>
            </w:pPr>
            <w:r w:rsidRPr="00E87218">
              <w:rPr>
                <w:rFonts w:cs="Arial"/>
                <w:szCs w:val="22"/>
                <w:lang w:eastAsia="it-IT"/>
              </w:rPr>
              <w:t>Виконання робіт з реконструкції</w:t>
            </w:r>
            <w:r w:rsidRPr="00E87218">
              <w:rPr>
                <w:rFonts w:cs="Arial"/>
                <w:iCs/>
                <w:szCs w:val="22"/>
                <w:lang w:eastAsia="it-IT"/>
              </w:rPr>
              <w:t xml:space="preserve"> вуличного освітлення </w:t>
            </w:r>
            <w:r w:rsidRPr="00E87218">
              <w:rPr>
                <w:rFonts w:eastAsia="Arial" w:cs="Arial"/>
                <w:szCs w:val="22"/>
                <w:lang w:eastAsia="en-US"/>
              </w:rPr>
              <w:t>по вул. Птахіна в м. Жмеринка</w:t>
            </w:r>
            <w:r w:rsidRPr="00E87218">
              <w:rPr>
                <w:rFonts w:cs="Arial"/>
                <w:szCs w:val="22"/>
                <w:lang w:eastAsia="it-IT"/>
              </w:rPr>
              <w:t xml:space="preserve">  </w:t>
            </w:r>
          </w:p>
          <w:p w14:paraId="21444CE6" w14:textId="77777777" w:rsidR="00CB33C7" w:rsidRPr="00E87218" w:rsidRDefault="00CB33C7" w:rsidP="00E87218">
            <w:pPr>
              <w:jc w:val="both"/>
              <w:rPr>
                <w:rFonts w:cs="Arial"/>
                <w:szCs w:val="22"/>
                <w:lang w:eastAsia="it-IT"/>
              </w:rPr>
            </w:pPr>
            <w:r w:rsidRPr="00E87218">
              <w:rPr>
                <w:rFonts w:cs="Arial"/>
                <w:szCs w:val="22"/>
                <w:lang w:eastAsia="it-IT"/>
              </w:rPr>
              <w:t>Введення  об’єкту в експлуатацію .</w:t>
            </w:r>
          </w:p>
          <w:p w14:paraId="5446D7E3" w14:textId="0E84B73F" w:rsidR="00CB33C7" w:rsidRPr="00E87218" w:rsidRDefault="00CB33C7" w:rsidP="005B7B52">
            <w:pPr>
              <w:rPr>
                <w:rFonts w:cs="Arial"/>
                <w:szCs w:val="22"/>
                <w:lang w:eastAsia="it-IT"/>
              </w:rPr>
            </w:pPr>
            <w:r w:rsidRPr="00E87218">
              <w:rPr>
                <w:rFonts w:cs="Arial"/>
                <w:szCs w:val="22"/>
                <w:lang w:eastAsia="it-IT"/>
              </w:rPr>
              <w:t>Проведення інформаційних заходів (розміщення  інформації  про реалізацію  про</w:t>
            </w:r>
            <w:r w:rsidR="005B7B52">
              <w:rPr>
                <w:rFonts w:cs="Arial"/>
                <w:szCs w:val="22"/>
                <w:lang w:eastAsia="it-IT"/>
              </w:rPr>
              <w:t>є</w:t>
            </w:r>
            <w:r w:rsidRPr="00E87218">
              <w:rPr>
                <w:rFonts w:cs="Arial"/>
                <w:szCs w:val="22"/>
                <w:lang w:eastAsia="it-IT"/>
              </w:rPr>
              <w:t>кту у ЗМІ) .</w:t>
            </w:r>
          </w:p>
        </w:tc>
      </w:tr>
      <w:tr w:rsidR="00CB33C7" w:rsidRPr="00C2587D" w14:paraId="608E4E40" w14:textId="77777777" w:rsidTr="00EA6E27">
        <w:trPr>
          <w:jc w:val="right"/>
        </w:trPr>
        <w:tc>
          <w:tcPr>
            <w:tcW w:w="3425" w:type="dxa"/>
            <w:shd w:val="clear" w:color="auto" w:fill="FFFFFF"/>
            <w:vAlign w:val="center"/>
          </w:tcPr>
          <w:p w14:paraId="5532CB8E" w14:textId="77777777" w:rsidR="00CB33C7" w:rsidRPr="00E87218" w:rsidRDefault="00CB33C7" w:rsidP="00E87218">
            <w:pPr>
              <w:rPr>
                <w:rFonts w:cs="Arial"/>
                <w:b/>
                <w:bCs/>
                <w:color w:val="000000"/>
                <w:szCs w:val="22"/>
              </w:rPr>
            </w:pPr>
            <w:r w:rsidRPr="00E87218">
              <w:rPr>
                <w:rFonts w:cs="Arial"/>
                <w:b/>
                <w:bCs/>
                <w:color w:val="000000"/>
                <w:szCs w:val="22"/>
              </w:rPr>
              <w:t>Індикатори (показники) результативності:</w:t>
            </w:r>
          </w:p>
        </w:tc>
        <w:tc>
          <w:tcPr>
            <w:tcW w:w="6794" w:type="dxa"/>
            <w:gridSpan w:val="9"/>
          </w:tcPr>
          <w:p w14:paraId="18B7DC62" w14:textId="14769912" w:rsidR="00CB33C7" w:rsidRPr="00E87218" w:rsidRDefault="00CB33C7" w:rsidP="00E87218">
            <w:pPr>
              <w:rPr>
                <w:rFonts w:cs="Arial"/>
                <w:szCs w:val="22"/>
                <w:lang w:eastAsia="it-IT"/>
              </w:rPr>
            </w:pPr>
            <w:r w:rsidRPr="00E87218">
              <w:rPr>
                <w:rFonts w:eastAsia="Arial" w:cs="Arial"/>
                <w:szCs w:val="22"/>
                <w:lang w:eastAsia="en-US"/>
              </w:rPr>
              <w:t>Протяжність мережі, яка капітально ремонтується: 345 м та кількість точок освітлення, які встановлюються 11 шт</w:t>
            </w:r>
            <w:r w:rsidR="005B7B52">
              <w:rPr>
                <w:rFonts w:eastAsia="Arial" w:cs="Arial"/>
                <w:szCs w:val="22"/>
                <w:lang w:eastAsia="en-US"/>
              </w:rPr>
              <w:t>.</w:t>
            </w:r>
            <w:r w:rsidRPr="00E87218">
              <w:rPr>
                <w:rFonts w:cs="Arial"/>
                <w:szCs w:val="22"/>
                <w:lang w:eastAsia="it-IT"/>
              </w:rPr>
              <w:t xml:space="preserve"> </w:t>
            </w:r>
          </w:p>
        </w:tc>
      </w:tr>
      <w:tr w:rsidR="00CB33C7" w:rsidRPr="00C2587D" w14:paraId="5FF0F4C2" w14:textId="77777777" w:rsidTr="00EA6E27">
        <w:trPr>
          <w:jc w:val="right"/>
        </w:trPr>
        <w:tc>
          <w:tcPr>
            <w:tcW w:w="3425" w:type="dxa"/>
            <w:shd w:val="clear" w:color="auto" w:fill="FFFFFF"/>
            <w:vAlign w:val="center"/>
          </w:tcPr>
          <w:p w14:paraId="4E5CE55C" w14:textId="77777777" w:rsidR="00CB33C7" w:rsidRPr="00E87218" w:rsidRDefault="00CB33C7" w:rsidP="00E87218">
            <w:pPr>
              <w:rPr>
                <w:rFonts w:cs="Arial"/>
                <w:b/>
                <w:color w:val="000000"/>
                <w:szCs w:val="22"/>
              </w:rPr>
            </w:pPr>
            <w:r w:rsidRPr="00E87218">
              <w:rPr>
                <w:rFonts w:cs="Arial"/>
                <w:b/>
                <w:color w:val="000000"/>
                <w:szCs w:val="22"/>
              </w:rPr>
              <w:t xml:space="preserve">Період здійснення: </w:t>
            </w:r>
          </w:p>
        </w:tc>
        <w:tc>
          <w:tcPr>
            <w:tcW w:w="6794" w:type="dxa"/>
            <w:gridSpan w:val="9"/>
            <w:vAlign w:val="center"/>
          </w:tcPr>
          <w:p w14:paraId="5CD7DAC7" w14:textId="77777777" w:rsidR="00CB33C7" w:rsidRPr="00E87218" w:rsidRDefault="00CB33C7" w:rsidP="00E87218">
            <w:pPr>
              <w:rPr>
                <w:rFonts w:cs="Arial"/>
                <w:color w:val="000000"/>
                <w:szCs w:val="22"/>
                <w:lang w:eastAsia="it-IT"/>
              </w:rPr>
            </w:pPr>
            <w:r w:rsidRPr="00E87218">
              <w:rPr>
                <w:rFonts w:cs="Arial"/>
                <w:b/>
                <w:color w:val="000000"/>
                <w:szCs w:val="22"/>
              </w:rPr>
              <w:t>2025 – 2028 роки:</w:t>
            </w:r>
          </w:p>
        </w:tc>
      </w:tr>
      <w:tr w:rsidR="00CB33C7" w:rsidRPr="00C2587D" w14:paraId="119BED45" w14:textId="77777777" w:rsidTr="00EA6E27">
        <w:trPr>
          <w:jc w:val="right"/>
        </w:trPr>
        <w:tc>
          <w:tcPr>
            <w:tcW w:w="3425" w:type="dxa"/>
            <w:vMerge w:val="restart"/>
            <w:shd w:val="clear" w:color="auto" w:fill="FFFFFF"/>
            <w:vAlign w:val="center"/>
          </w:tcPr>
          <w:p w14:paraId="39EAA8F8" w14:textId="77777777" w:rsidR="00CB33C7" w:rsidRPr="00E87218" w:rsidRDefault="00CB33C7" w:rsidP="00E87218">
            <w:pPr>
              <w:rPr>
                <w:rFonts w:cs="Arial"/>
                <w:b/>
                <w:bCs/>
                <w:color w:val="000000"/>
                <w:szCs w:val="22"/>
              </w:rPr>
            </w:pPr>
            <w:r w:rsidRPr="00E87218">
              <w:rPr>
                <w:rFonts w:cs="Arial"/>
                <w:b/>
                <w:bCs/>
                <w:color w:val="000000"/>
                <w:szCs w:val="22"/>
              </w:rPr>
              <w:t>Орієнтовна вартість проєкту, тис. грн., в тому числі:</w:t>
            </w:r>
          </w:p>
        </w:tc>
        <w:tc>
          <w:tcPr>
            <w:tcW w:w="1254" w:type="dxa"/>
            <w:shd w:val="clear" w:color="auto" w:fill="E6E6E6"/>
            <w:vAlign w:val="center"/>
          </w:tcPr>
          <w:p w14:paraId="7A60FA8C" w14:textId="77777777" w:rsidR="00CB33C7" w:rsidRPr="00E87218" w:rsidRDefault="00CB33C7" w:rsidP="00E87218">
            <w:pPr>
              <w:jc w:val="center"/>
              <w:rPr>
                <w:rFonts w:cs="Arial"/>
                <w:b/>
                <w:color w:val="000000"/>
                <w:szCs w:val="22"/>
                <w:lang w:eastAsia="it-IT"/>
              </w:rPr>
            </w:pPr>
            <w:r w:rsidRPr="00E87218">
              <w:rPr>
                <w:rFonts w:cs="Arial"/>
                <w:b/>
                <w:color w:val="000000"/>
                <w:szCs w:val="22"/>
                <w:lang w:eastAsia="it-IT"/>
              </w:rPr>
              <w:t>2025</w:t>
            </w:r>
          </w:p>
        </w:tc>
        <w:tc>
          <w:tcPr>
            <w:tcW w:w="1275" w:type="dxa"/>
            <w:gridSpan w:val="3"/>
            <w:shd w:val="clear" w:color="auto" w:fill="E6E6E6"/>
            <w:vAlign w:val="center"/>
          </w:tcPr>
          <w:p w14:paraId="7578BF7F" w14:textId="77777777" w:rsidR="00CB33C7" w:rsidRPr="00E87218" w:rsidRDefault="00CB33C7" w:rsidP="00E87218">
            <w:pPr>
              <w:jc w:val="center"/>
              <w:rPr>
                <w:rFonts w:cs="Arial"/>
                <w:b/>
                <w:color w:val="000000"/>
                <w:szCs w:val="22"/>
                <w:lang w:eastAsia="it-IT"/>
              </w:rPr>
            </w:pPr>
            <w:r w:rsidRPr="00E87218">
              <w:rPr>
                <w:rFonts w:cs="Arial"/>
                <w:b/>
                <w:color w:val="000000"/>
                <w:szCs w:val="22"/>
                <w:lang w:eastAsia="it-IT"/>
              </w:rPr>
              <w:t>2026</w:t>
            </w:r>
          </w:p>
        </w:tc>
        <w:tc>
          <w:tcPr>
            <w:tcW w:w="1418" w:type="dxa"/>
            <w:gridSpan w:val="2"/>
            <w:tcBorders>
              <w:bottom w:val="single" w:sz="4" w:space="0" w:color="auto"/>
            </w:tcBorders>
            <w:shd w:val="clear" w:color="auto" w:fill="E6E6E6"/>
            <w:vAlign w:val="center"/>
          </w:tcPr>
          <w:p w14:paraId="3457680B" w14:textId="77777777" w:rsidR="00CB33C7" w:rsidRPr="00E87218" w:rsidRDefault="00CB33C7" w:rsidP="00E87218">
            <w:pPr>
              <w:jc w:val="center"/>
              <w:rPr>
                <w:rFonts w:cs="Arial"/>
                <w:b/>
                <w:color w:val="000000"/>
                <w:szCs w:val="22"/>
                <w:lang w:eastAsia="it-IT"/>
              </w:rPr>
            </w:pPr>
            <w:r w:rsidRPr="00E87218">
              <w:rPr>
                <w:rFonts w:cs="Arial"/>
                <w:b/>
                <w:color w:val="000000"/>
                <w:szCs w:val="22"/>
                <w:lang w:eastAsia="it-IT"/>
              </w:rPr>
              <w:t>2027</w:t>
            </w:r>
          </w:p>
        </w:tc>
        <w:tc>
          <w:tcPr>
            <w:tcW w:w="1276" w:type="dxa"/>
            <w:shd w:val="clear" w:color="auto" w:fill="E6E6E6"/>
            <w:vAlign w:val="center"/>
          </w:tcPr>
          <w:p w14:paraId="183F400C" w14:textId="77777777" w:rsidR="00CB33C7" w:rsidRPr="00E87218" w:rsidRDefault="00CB33C7" w:rsidP="00E87218">
            <w:pPr>
              <w:jc w:val="center"/>
              <w:rPr>
                <w:rFonts w:cs="Arial"/>
                <w:b/>
                <w:color w:val="000000"/>
                <w:szCs w:val="22"/>
                <w:lang w:eastAsia="it-IT"/>
              </w:rPr>
            </w:pPr>
            <w:r w:rsidRPr="00E87218">
              <w:rPr>
                <w:rFonts w:cs="Arial"/>
                <w:b/>
                <w:color w:val="000000"/>
                <w:szCs w:val="22"/>
                <w:lang w:eastAsia="it-IT"/>
              </w:rPr>
              <w:t>2028</w:t>
            </w:r>
          </w:p>
        </w:tc>
        <w:tc>
          <w:tcPr>
            <w:tcW w:w="1571" w:type="dxa"/>
            <w:gridSpan w:val="2"/>
            <w:shd w:val="clear" w:color="auto" w:fill="E6E6E6"/>
            <w:vAlign w:val="center"/>
          </w:tcPr>
          <w:p w14:paraId="4D88BBDD" w14:textId="77777777" w:rsidR="00CB33C7" w:rsidRPr="00E87218" w:rsidRDefault="00CB33C7" w:rsidP="00E87218">
            <w:pPr>
              <w:jc w:val="center"/>
              <w:rPr>
                <w:rFonts w:cs="Arial"/>
                <w:b/>
                <w:color w:val="000000"/>
                <w:szCs w:val="22"/>
                <w:lang w:eastAsia="it-IT"/>
              </w:rPr>
            </w:pPr>
            <w:r w:rsidRPr="00E87218">
              <w:rPr>
                <w:rFonts w:cs="Arial"/>
                <w:b/>
                <w:color w:val="000000"/>
                <w:szCs w:val="22"/>
                <w:lang w:eastAsia="it-IT"/>
              </w:rPr>
              <w:t>РАЗОМ</w:t>
            </w:r>
          </w:p>
        </w:tc>
      </w:tr>
      <w:tr w:rsidR="00CB33C7" w:rsidRPr="00C2587D" w14:paraId="231266BA" w14:textId="77777777" w:rsidTr="00EA6E27">
        <w:trPr>
          <w:jc w:val="right"/>
        </w:trPr>
        <w:tc>
          <w:tcPr>
            <w:tcW w:w="3425" w:type="dxa"/>
            <w:vMerge/>
            <w:shd w:val="clear" w:color="auto" w:fill="FFFFFF"/>
            <w:vAlign w:val="center"/>
          </w:tcPr>
          <w:p w14:paraId="25EA3DB2" w14:textId="77777777" w:rsidR="00CB33C7" w:rsidRPr="00E87218" w:rsidRDefault="00CB33C7" w:rsidP="00E87218">
            <w:pPr>
              <w:rPr>
                <w:rFonts w:cs="Arial"/>
                <w:b/>
                <w:bCs/>
                <w:color w:val="000000"/>
                <w:szCs w:val="22"/>
              </w:rPr>
            </w:pPr>
          </w:p>
        </w:tc>
        <w:tc>
          <w:tcPr>
            <w:tcW w:w="1254" w:type="dxa"/>
            <w:vAlign w:val="center"/>
          </w:tcPr>
          <w:p w14:paraId="264D9009" w14:textId="77777777" w:rsidR="00CB33C7" w:rsidRPr="00E87218" w:rsidRDefault="00CB33C7" w:rsidP="00E87218">
            <w:pPr>
              <w:jc w:val="center"/>
              <w:rPr>
                <w:rFonts w:cs="Arial"/>
                <w:b/>
                <w:color w:val="000000"/>
                <w:szCs w:val="22"/>
                <w:lang w:eastAsia="it-IT"/>
              </w:rPr>
            </w:pPr>
          </w:p>
        </w:tc>
        <w:tc>
          <w:tcPr>
            <w:tcW w:w="1275" w:type="dxa"/>
            <w:gridSpan w:val="3"/>
            <w:shd w:val="clear" w:color="auto" w:fill="FFFFFF"/>
            <w:vAlign w:val="center"/>
          </w:tcPr>
          <w:p w14:paraId="089B6FDB" w14:textId="77777777" w:rsidR="00CB33C7" w:rsidRPr="00E87218" w:rsidRDefault="00CB33C7" w:rsidP="00E87218">
            <w:pPr>
              <w:jc w:val="center"/>
              <w:rPr>
                <w:rFonts w:cs="Arial"/>
                <w:b/>
                <w:color w:val="000000"/>
                <w:szCs w:val="22"/>
                <w:lang w:eastAsia="it-IT"/>
              </w:rPr>
            </w:pPr>
            <w:r w:rsidRPr="00E87218">
              <w:rPr>
                <w:rFonts w:cs="Arial"/>
                <w:b/>
                <w:color w:val="000000"/>
                <w:szCs w:val="22"/>
                <w:lang w:eastAsia="it-IT"/>
              </w:rPr>
              <w:t>342,239</w:t>
            </w:r>
          </w:p>
        </w:tc>
        <w:tc>
          <w:tcPr>
            <w:tcW w:w="1418" w:type="dxa"/>
            <w:gridSpan w:val="2"/>
            <w:shd w:val="clear" w:color="auto" w:fill="auto"/>
            <w:vAlign w:val="center"/>
          </w:tcPr>
          <w:p w14:paraId="4E1EDC14" w14:textId="77777777" w:rsidR="00CB33C7" w:rsidRPr="00E87218" w:rsidRDefault="00CB33C7" w:rsidP="00E87218">
            <w:pPr>
              <w:jc w:val="center"/>
              <w:rPr>
                <w:rFonts w:cs="Arial"/>
                <w:b/>
                <w:color w:val="000000"/>
                <w:szCs w:val="22"/>
                <w:lang w:eastAsia="it-IT"/>
              </w:rPr>
            </w:pPr>
          </w:p>
        </w:tc>
        <w:tc>
          <w:tcPr>
            <w:tcW w:w="1276" w:type="dxa"/>
            <w:shd w:val="clear" w:color="auto" w:fill="FFFFFF"/>
            <w:vAlign w:val="center"/>
          </w:tcPr>
          <w:p w14:paraId="10EDDBF6" w14:textId="77777777" w:rsidR="00CB33C7" w:rsidRPr="00E87218" w:rsidRDefault="00CB33C7" w:rsidP="00E87218">
            <w:pPr>
              <w:jc w:val="center"/>
              <w:rPr>
                <w:rFonts w:cs="Arial"/>
                <w:b/>
                <w:color w:val="000000"/>
                <w:szCs w:val="22"/>
                <w:lang w:eastAsia="it-IT"/>
              </w:rPr>
            </w:pPr>
          </w:p>
        </w:tc>
        <w:tc>
          <w:tcPr>
            <w:tcW w:w="1571" w:type="dxa"/>
            <w:gridSpan w:val="2"/>
            <w:shd w:val="clear" w:color="auto" w:fill="FFFFFF"/>
            <w:vAlign w:val="center"/>
          </w:tcPr>
          <w:p w14:paraId="101C270A" w14:textId="77777777" w:rsidR="00CB33C7" w:rsidRPr="00E87218" w:rsidRDefault="00CB33C7" w:rsidP="00E87218">
            <w:pPr>
              <w:jc w:val="center"/>
              <w:rPr>
                <w:rFonts w:cs="Arial"/>
                <w:b/>
                <w:color w:val="000000"/>
                <w:szCs w:val="22"/>
                <w:lang w:eastAsia="it-IT"/>
              </w:rPr>
            </w:pPr>
            <w:r w:rsidRPr="00E87218">
              <w:rPr>
                <w:rFonts w:cs="Arial"/>
                <w:b/>
                <w:color w:val="000000"/>
                <w:szCs w:val="22"/>
                <w:lang w:eastAsia="it-IT"/>
              </w:rPr>
              <w:t>342,239</w:t>
            </w:r>
          </w:p>
        </w:tc>
      </w:tr>
      <w:tr w:rsidR="00CB33C7" w:rsidRPr="00C2587D" w14:paraId="3B6AF977" w14:textId="77777777" w:rsidTr="00EA6E27">
        <w:trPr>
          <w:trHeight w:val="276"/>
          <w:jc w:val="right"/>
        </w:trPr>
        <w:tc>
          <w:tcPr>
            <w:tcW w:w="3425" w:type="dxa"/>
            <w:shd w:val="clear" w:color="auto" w:fill="FFFFFF"/>
            <w:vAlign w:val="center"/>
          </w:tcPr>
          <w:p w14:paraId="13FBBAF9" w14:textId="77777777" w:rsidR="00CB33C7" w:rsidRPr="00E87218" w:rsidRDefault="00CB33C7" w:rsidP="00E87218">
            <w:pPr>
              <w:rPr>
                <w:rFonts w:cs="Arial"/>
                <w:b/>
                <w:bCs/>
                <w:color w:val="000000"/>
                <w:szCs w:val="22"/>
              </w:rPr>
            </w:pPr>
            <w:r w:rsidRPr="00E87218">
              <w:rPr>
                <w:rFonts w:cs="Arial"/>
                <w:b/>
                <w:bCs/>
                <w:color w:val="000000"/>
                <w:szCs w:val="22"/>
              </w:rPr>
              <w:t>по джерелах фінансування:</w:t>
            </w:r>
          </w:p>
        </w:tc>
        <w:tc>
          <w:tcPr>
            <w:tcW w:w="6794" w:type="dxa"/>
            <w:gridSpan w:val="9"/>
            <w:vAlign w:val="center"/>
          </w:tcPr>
          <w:p w14:paraId="3B40AE49" w14:textId="77777777" w:rsidR="00CB33C7" w:rsidRPr="00E87218" w:rsidRDefault="00CB33C7" w:rsidP="00E87218">
            <w:pPr>
              <w:jc w:val="both"/>
              <w:rPr>
                <w:rFonts w:cs="Arial"/>
                <w:color w:val="000000"/>
                <w:szCs w:val="22"/>
                <w:lang w:eastAsia="it-IT"/>
              </w:rPr>
            </w:pPr>
          </w:p>
        </w:tc>
      </w:tr>
      <w:tr w:rsidR="00E87218" w:rsidRPr="00C2587D" w14:paraId="03F34ABF" w14:textId="1F0FCE25" w:rsidTr="00E87218">
        <w:trPr>
          <w:trHeight w:val="240"/>
          <w:jc w:val="right"/>
        </w:trPr>
        <w:tc>
          <w:tcPr>
            <w:tcW w:w="3425" w:type="dxa"/>
            <w:shd w:val="clear" w:color="auto" w:fill="FFFFFF"/>
            <w:vAlign w:val="center"/>
          </w:tcPr>
          <w:p w14:paraId="11F126FF" w14:textId="77777777" w:rsidR="00E87218" w:rsidRPr="00E87218" w:rsidRDefault="00E87218" w:rsidP="00E87218">
            <w:pPr>
              <w:rPr>
                <w:rFonts w:cs="Arial"/>
                <w:b/>
                <w:bCs/>
                <w:color w:val="000000"/>
                <w:szCs w:val="22"/>
              </w:rPr>
            </w:pPr>
            <w:r w:rsidRPr="00E87218">
              <w:rPr>
                <w:rFonts w:cs="Arial"/>
                <w:color w:val="000000"/>
                <w:szCs w:val="22"/>
              </w:rPr>
              <w:t>- державний бюджет</w:t>
            </w:r>
          </w:p>
        </w:tc>
        <w:tc>
          <w:tcPr>
            <w:tcW w:w="1279" w:type="dxa"/>
            <w:gridSpan w:val="2"/>
            <w:vAlign w:val="center"/>
          </w:tcPr>
          <w:p w14:paraId="6B71B32A" w14:textId="77777777" w:rsidR="00E87218" w:rsidRPr="00E87218" w:rsidRDefault="00E87218" w:rsidP="00E87218">
            <w:pPr>
              <w:jc w:val="center"/>
              <w:rPr>
                <w:rFonts w:cs="Arial"/>
                <w:color w:val="000000"/>
                <w:szCs w:val="22"/>
                <w:lang w:eastAsia="it-IT"/>
              </w:rPr>
            </w:pPr>
          </w:p>
        </w:tc>
        <w:tc>
          <w:tcPr>
            <w:tcW w:w="1244" w:type="dxa"/>
            <w:vAlign w:val="center"/>
          </w:tcPr>
          <w:p w14:paraId="34384718" w14:textId="77777777" w:rsidR="00E87218" w:rsidRPr="00E87218" w:rsidRDefault="00E87218" w:rsidP="00E87218">
            <w:pPr>
              <w:jc w:val="center"/>
              <w:rPr>
                <w:rFonts w:cs="Arial"/>
                <w:color w:val="000000"/>
                <w:szCs w:val="22"/>
                <w:lang w:eastAsia="it-IT"/>
              </w:rPr>
            </w:pPr>
          </w:p>
        </w:tc>
        <w:tc>
          <w:tcPr>
            <w:tcW w:w="1417" w:type="dxa"/>
            <w:gridSpan w:val="2"/>
            <w:vAlign w:val="center"/>
          </w:tcPr>
          <w:p w14:paraId="6ADB9036" w14:textId="77777777" w:rsidR="00E87218" w:rsidRPr="00E87218" w:rsidRDefault="00E87218" w:rsidP="00E87218">
            <w:pPr>
              <w:jc w:val="center"/>
              <w:rPr>
                <w:rFonts w:cs="Arial"/>
                <w:color w:val="000000"/>
                <w:szCs w:val="22"/>
                <w:lang w:eastAsia="it-IT"/>
              </w:rPr>
            </w:pPr>
          </w:p>
        </w:tc>
        <w:tc>
          <w:tcPr>
            <w:tcW w:w="1290" w:type="dxa"/>
            <w:gridSpan w:val="3"/>
            <w:vAlign w:val="center"/>
          </w:tcPr>
          <w:p w14:paraId="40836682" w14:textId="77777777" w:rsidR="00E87218" w:rsidRPr="00E87218" w:rsidRDefault="00E87218" w:rsidP="00E87218">
            <w:pPr>
              <w:jc w:val="center"/>
              <w:rPr>
                <w:rFonts w:cs="Arial"/>
                <w:color w:val="000000"/>
                <w:szCs w:val="22"/>
                <w:lang w:eastAsia="it-IT"/>
              </w:rPr>
            </w:pPr>
          </w:p>
        </w:tc>
        <w:tc>
          <w:tcPr>
            <w:tcW w:w="1564" w:type="dxa"/>
            <w:vAlign w:val="center"/>
          </w:tcPr>
          <w:p w14:paraId="3C64131F" w14:textId="77777777" w:rsidR="00E87218" w:rsidRPr="00E87218" w:rsidRDefault="00E87218" w:rsidP="00E87218">
            <w:pPr>
              <w:jc w:val="center"/>
              <w:rPr>
                <w:rFonts w:cs="Arial"/>
                <w:color w:val="000000"/>
                <w:szCs w:val="22"/>
                <w:lang w:eastAsia="it-IT"/>
              </w:rPr>
            </w:pPr>
          </w:p>
        </w:tc>
      </w:tr>
      <w:tr w:rsidR="00E87218" w:rsidRPr="00C2587D" w14:paraId="2DE7C305" w14:textId="2425E804" w:rsidTr="00E87218">
        <w:trPr>
          <w:trHeight w:val="254"/>
          <w:jc w:val="right"/>
        </w:trPr>
        <w:tc>
          <w:tcPr>
            <w:tcW w:w="3425" w:type="dxa"/>
            <w:shd w:val="clear" w:color="auto" w:fill="FFFFFF"/>
            <w:vAlign w:val="center"/>
          </w:tcPr>
          <w:p w14:paraId="278737DD" w14:textId="77777777" w:rsidR="00E87218" w:rsidRPr="00E87218" w:rsidRDefault="00E87218" w:rsidP="00E87218">
            <w:pPr>
              <w:rPr>
                <w:rFonts w:cs="Arial"/>
                <w:color w:val="000000"/>
                <w:szCs w:val="22"/>
              </w:rPr>
            </w:pPr>
            <w:r w:rsidRPr="00E87218">
              <w:rPr>
                <w:rFonts w:cs="Arial"/>
                <w:color w:val="000000"/>
                <w:szCs w:val="22"/>
              </w:rPr>
              <w:t>- обласний бюджет</w:t>
            </w:r>
          </w:p>
        </w:tc>
        <w:tc>
          <w:tcPr>
            <w:tcW w:w="1279" w:type="dxa"/>
            <w:gridSpan w:val="2"/>
            <w:vAlign w:val="center"/>
          </w:tcPr>
          <w:p w14:paraId="0976CECA" w14:textId="77777777" w:rsidR="00E87218" w:rsidRPr="00E87218" w:rsidRDefault="00E87218" w:rsidP="00E87218">
            <w:pPr>
              <w:jc w:val="center"/>
              <w:rPr>
                <w:rFonts w:cs="Arial"/>
                <w:color w:val="000000"/>
                <w:szCs w:val="22"/>
                <w:lang w:eastAsia="it-IT"/>
              </w:rPr>
            </w:pPr>
          </w:p>
        </w:tc>
        <w:tc>
          <w:tcPr>
            <w:tcW w:w="1244" w:type="dxa"/>
            <w:vAlign w:val="center"/>
          </w:tcPr>
          <w:p w14:paraId="3B6D1F77" w14:textId="77777777" w:rsidR="00E87218" w:rsidRPr="00E87218" w:rsidRDefault="00E87218" w:rsidP="00E87218">
            <w:pPr>
              <w:jc w:val="center"/>
              <w:rPr>
                <w:rFonts w:cs="Arial"/>
                <w:color w:val="000000"/>
                <w:szCs w:val="22"/>
                <w:lang w:eastAsia="it-IT"/>
              </w:rPr>
            </w:pPr>
          </w:p>
        </w:tc>
        <w:tc>
          <w:tcPr>
            <w:tcW w:w="1417" w:type="dxa"/>
            <w:gridSpan w:val="2"/>
            <w:vAlign w:val="center"/>
          </w:tcPr>
          <w:p w14:paraId="4CD9DDBB" w14:textId="77777777" w:rsidR="00E87218" w:rsidRPr="00E87218" w:rsidRDefault="00E87218" w:rsidP="00E87218">
            <w:pPr>
              <w:jc w:val="center"/>
              <w:rPr>
                <w:rFonts w:cs="Arial"/>
                <w:color w:val="000000"/>
                <w:szCs w:val="22"/>
                <w:lang w:eastAsia="it-IT"/>
              </w:rPr>
            </w:pPr>
          </w:p>
        </w:tc>
        <w:tc>
          <w:tcPr>
            <w:tcW w:w="1290" w:type="dxa"/>
            <w:gridSpan w:val="3"/>
            <w:vAlign w:val="center"/>
          </w:tcPr>
          <w:p w14:paraId="7D467049" w14:textId="77777777" w:rsidR="00E87218" w:rsidRPr="00E87218" w:rsidRDefault="00E87218" w:rsidP="00E87218">
            <w:pPr>
              <w:jc w:val="center"/>
              <w:rPr>
                <w:rFonts w:cs="Arial"/>
                <w:color w:val="000000"/>
                <w:szCs w:val="22"/>
                <w:lang w:eastAsia="it-IT"/>
              </w:rPr>
            </w:pPr>
          </w:p>
        </w:tc>
        <w:tc>
          <w:tcPr>
            <w:tcW w:w="1564" w:type="dxa"/>
            <w:vAlign w:val="center"/>
          </w:tcPr>
          <w:p w14:paraId="5D429813" w14:textId="77777777" w:rsidR="00E87218" w:rsidRPr="00E87218" w:rsidRDefault="00E87218" w:rsidP="00E87218">
            <w:pPr>
              <w:jc w:val="center"/>
              <w:rPr>
                <w:rFonts w:cs="Arial"/>
                <w:color w:val="000000"/>
                <w:szCs w:val="22"/>
                <w:lang w:eastAsia="it-IT"/>
              </w:rPr>
            </w:pPr>
          </w:p>
        </w:tc>
      </w:tr>
      <w:tr w:rsidR="00E87218" w:rsidRPr="00C2587D" w14:paraId="1B8AA5DD" w14:textId="38D7E8EE" w:rsidTr="00E87218">
        <w:trPr>
          <w:trHeight w:val="275"/>
          <w:jc w:val="right"/>
        </w:trPr>
        <w:tc>
          <w:tcPr>
            <w:tcW w:w="3425" w:type="dxa"/>
            <w:shd w:val="clear" w:color="auto" w:fill="FFFFFF"/>
            <w:vAlign w:val="center"/>
          </w:tcPr>
          <w:p w14:paraId="2F317407" w14:textId="77777777" w:rsidR="00E87218" w:rsidRPr="00E87218" w:rsidRDefault="00E87218" w:rsidP="00E87218">
            <w:pPr>
              <w:rPr>
                <w:rFonts w:cs="Arial"/>
                <w:color w:val="000000"/>
                <w:szCs w:val="22"/>
              </w:rPr>
            </w:pPr>
            <w:r w:rsidRPr="00E87218">
              <w:rPr>
                <w:rFonts w:cs="Arial"/>
                <w:color w:val="000000"/>
                <w:szCs w:val="22"/>
              </w:rPr>
              <w:t>- бюджет Жмеринської МТГ</w:t>
            </w:r>
          </w:p>
        </w:tc>
        <w:tc>
          <w:tcPr>
            <w:tcW w:w="1279" w:type="dxa"/>
            <w:gridSpan w:val="2"/>
            <w:vAlign w:val="center"/>
          </w:tcPr>
          <w:p w14:paraId="173D08E3" w14:textId="6A993CB0" w:rsidR="00E87218" w:rsidRPr="00E87218" w:rsidRDefault="00E87218" w:rsidP="00E87218">
            <w:pPr>
              <w:jc w:val="center"/>
              <w:rPr>
                <w:rFonts w:cs="Arial"/>
                <w:color w:val="000000"/>
                <w:szCs w:val="22"/>
                <w:lang w:eastAsia="it-IT"/>
              </w:rPr>
            </w:pPr>
          </w:p>
        </w:tc>
        <w:tc>
          <w:tcPr>
            <w:tcW w:w="1244" w:type="dxa"/>
            <w:vAlign w:val="center"/>
          </w:tcPr>
          <w:p w14:paraId="73A95DA4" w14:textId="25272EB0" w:rsidR="00E87218" w:rsidRPr="00E87218" w:rsidRDefault="00E87218" w:rsidP="00E87218">
            <w:pPr>
              <w:jc w:val="center"/>
              <w:rPr>
                <w:rFonts w:cs="Arial"/>
                <w:color w:val="000000"/>
                <w:szCs w:val="22"/>
                <w:lang w:eastAsia="it-IT"/>
              </w:rPr>
            </w:pPr>
            <w:r w:rsidRPr="00E87218">
              <w:rPr>
                <w:rFonts w:cs="Arial"/>
                <w:b/>
                <w:color w:val="000000"/>
                <w:szCs w:val="22"/>
                <w:lang w:eastAsia="it-IT"/>
              </w:rPr>
              <w:t>342,239</w:t>
            </w:r>
          </w:p>
        </w:tc>
        <w:tc>
          <w:tcPr>
            <w:tcW w:w="1417" w:type="dxa"/>
            <w:gridSpan w:val="2"/>
            <w:vAlign w:val="center"/>
          </w:tcPr>
          <w:p w14:paraId="64499FE9" w14:textId="5A3EC18D" w:rsidR="00E87218" w:rsidRPr="00E87218" w:rsidRDefault="00E87218" w:rsidP="00E87218">
            <w:pPr>
              <w:jc w:val="center"/>
              <w:rPr>
                <w:rFonts w:cs="Arial"/>
                <w:color w:val="000000"/>
                <w:szCs w:val="22"/>
                <w:lang w:eastAsia="it-IT"/>
              </w:rPr>
            </w:pPr>
          </w:p>
        </w:tc>
        <w:tc>
          <w:tcPr>
            <w:tcW w:w="1290" w:type="dxa"/>
            <w:gridSpan w:val="3"/>
            <w:vAlign w:val="center"/>
          </w:tcPr>
          <w:p w14:paraId="2B9BB976" w14:textId="697BFF83" w:rsidR="00E87218" w:rsidRPr="00E87218" w:rsidRDefault="00E87218" w:rsidP="00E87218">
            <w:pPr>
              <w:jc w:val="center"/>
              <w:rPr>
                <w:rFonts w:cs="Arial"/>
                <w:color w:val="000000"/>
                <w:szCs w:val="22"/>
                <w:lang w:eastAsia="it-IT"/>
              </w:rPr>
            </w:pPr>
          </w:p>
        </w:tc>
        <w:tc>
          <w:tcPr>
            <w:tcW w:w="1564" w:type="dxa"/>
            <w:vAlign w:val="center"/>
          </w:tcPr>
          <w:p w14:paraId="4E0FC495" w14:textId="1C043BEF" w:rsidR="00E87218" w:rsidRPr="00E87218" w:rsidRDefault="00E87218" w:rsidP="00E87218">
            <w:pPr>
              <w:jc w:val="center"/>
              <w:rPr>
                <w:rFonts w:cs="Arial"/>
                <w:b/>
                <w:color w:val="000000"/>
                <w:szCs w:val="22"/>
                <w:lang w:eastAsia="it-IT"/>
              </w:rPr>
            </w:pPr>
            <w:r w:rsidRPr="00E87218">
              <w:rPr>
                <w:rFonts w:cs="Arial"/>
                <w:b/>
                <w:color w:val="000000"/>
                <w:szCs w:val="22"/>
                <w:lang w:eastAsia="it-IT"/>
              </w:rPr>
              <w:t>342,239</w:t>
            </w:r>
          </w:p>
        </w:tc>
      </w:tr>
      <w:tr w:rsidR="00E87218" w:rsidRPr="00C2587D" w14:paraId="51066353" w14:textId="4FA25E3B" w:rsidTr="00E87218">
        <w:trPr>
          <w:trHeight w:val="226"/>
          <w:jc w:val="right"/>
        </w:trPr>
        <w:tc>
          <w:tcPr>
            <w:tcW w:w="3425" w:type="dxa"/>
            <w:shd w:val="clear" w:color="auto" w:fill="FFFFFF"/>
            <w:vAlign w:val="center"/>
          </w:tcPr>
          <w:p w14:paraId="3109C802" w14:textId="77777777" w:rsidR="00E87218" w:rsidRPr="00E87218" w:rsidRDefault="00E87218" w:rsidP="00E87218">
            <w:pPr>
              <w:rPr>
                <w:rFonts w:cs="Arial"/>
                <w:color w:val="000000"/>
                <w:szCs w:val="22"/>
              </w:rPr>
            </w:pPr>
            <w:r w:rsidRPr="00E87218">
              <w:rPr>
                <w:rFonts w:cs="Arial"/>
                <w:color w:val="000000"/>
                <w:szCs w:val="22"/>
              </w:rPr>
              <w:t>- інші джерела фінансування</w:t>
            </w:r>
          </w:p>
        </w:tc>
        <w:tc>
          <w:tcPr>
            <w:tcW w:w="1279" w:type="dxa"/>
            <w:gridSpan w:val="2"/>
            <w:vAlign w:val="center"/>
          </w:tcPr>
          <w:p w14:paraId="5F4ABB75" w14:textId="77777777" w:rsidR="00E87218" w:rsidRPr="00E87218" w:rsidRDefault="00E87218" w:rsidP="00E87218">
            <w:pPr>
              <w:jc w:val="center"/>
              <w:rPr>
                <w:rFonts w:cs="Arial"/>
                <w:color w:val="000000"/>
                <w:szCs w:val="22"/>
                <w:lang w:eastAsia="it-IT"/>
              </w:rPr>
            </w:pPr>
          </w:p>
        </w:tc>
        <w:tc>
          <w:tcPr>
            <w:tcW w:w="1244" w:type="dxa"/>
            <w:vAlign w:val="center"/>
          </w:tcPr>
          <w:p w14:paraId="5ECA32BA" w14:textId="77777777" w:rsidR="00E87218" w:rsidRPr="00E87218" w:rsidRDefault="00E87218" w:rsidP="00E87218">
            <w:pPr>
              <w:jc w:val="center"/>
              <w:rPr>
                <w:rFonts w:cs="Arial"/>
                <w:color w:val="000000"/>
                <w:szCs w:val="22"/>
                <w:lang w:eastAsia="it-IT"/>
              </w:rPr>
            </w:pPr>
          </w:p>
        </w:tc>
        <w:tc>
          <w:tcPr>
            <w:tcW w:w="1417" w:type="dxa"/>
            <w:gridSpan w:val="2"/>
            <w:vAlign w:val="center"/>
          </w:tcPr>
          <w:p w14:paraId="27EDD634" w14:textId="77777777" w:rsidR="00E87218" w:rsidRPr="00E87218" w:rsidRDefault="00E87218" w:rsidP="00E87218">
            <w:pPr>
              <w:jc w:val="center"/>
              <w:rPr>
                <w:rFonts w:cs="Arial"/>
                <w:color w:val="000000"/>
                <w:szCs w:val="22"/>
                <w:lang w:eastAsia="it-IT"/>
              </w:rPr>
            </w:pPr>
          </w:p>
        </w:tc>
        <w:tc>
          <w:tcPr>
            <w:tcW w:w="1290" w:type="dxa"/>
            <w:gridSpan w:val="3"/>
            <w:vAlign w:val="center"/>
          </w:tcPr>
          <w:p w14:paraId="17ABF728" w14:textId="77777777" w:rsidR="00E87218" w:rsidRPr="00E87218" w:rsidRDefault="00E87218" w:rsidP="00E87218">
            <w:pPr>
              <w:jc w:val="center"/>
              <w:rPr>
                <w:rFonts w:cs="Arial"/>
                <w:color w:val="000000"/>
                <w:szCs w:val="22"/>
                <w:lang w:eastAsia="it-IT"/>
              </w:rPr>
            </w:pPr>
          </w:p>
        </w:tc>
        <w:tc>
          <w:tcPr>
            <w:tcW w:w="1564" w:type="dxa"/>
            <w:vAlign w:val="center"/>
          </w:tcPr>
          <w:p w14:paraId="2305EB81" w14:textId="77777777" w:rsidR="00E87218" w:rsidRPr="00E87218" w:rsidRDefault="00E87218" w:rsidP="00E87218">
            <w:pPr>
              <w:jc w:val="center"/>
              <w:rPr>
                <w:rFonts w:cs="Arial"/>
                <w:color w:val="000000"/>
                <w:szCs w:val="22"/>
                <w:lang w:eastAsia="it-IT"/>
              </w:rPr>
            </w:pPr>
          </w:p>
        </w:tc>
      </w:tr>
      <w:tr w:rsidR="00CB33C7" w:rsidRPr="00C2587D" w14:paraId="73E706E8" w14:textId="77777777" w:rsidTr="00EA6E27">
        <w:trPr>
          <w:jc w:val="right"/>
        </w:trPr>
        <w:tc>
          <w:tcPr>
            <w:tcW w:w="3425" w:type="dxa"/>
            <w:shd w:val="clear" w:color="auto" w:fill="FFFFFF"/>
            <w:vAlign w:val="center"/>
          </w:tcPr>
          <w:p w14:paraId="7D1D4F99" w14:textId="77777777" w:rsidR="00CB33C7" w:rsidRPr="00E87218" w:rsidRDefault="00CB33C7" w:rsidP="00E87218">
            <w:pPr>
              <w:rPr>
                <w:rFonts w:cs="Arial"/>
                <w:b/>
                <w:bCs/>
                <w:color w:val="000000"/>
                <w:szCs w:val="22"/>
              </w:rPr>
            </w:pPr>
            <w:r w:rsidRPr="00E87218">
              <w:rPr>
                <w:rFonts w:cs="Arial"/>
                <w:b/>
                <w:color w:val="000000"/>
                <w:szCs w:val="22"/>
              </w:rPr>
              <w:t>Відповідальний виконавець проєкту:</w:t>
            </w:r>
          </w:p>
        </w:tc>
        <w:tc>
          <w:tcPr>
            <w:tcW w:w="6794" w:type="dxa"/>
            <w:gridSpan w:val="9"/>
            <w:vAlign w:val="center"/>
          </w:tcPr>
          <w:p w14:paraId="1F03E7F9" w14:textId="714DD4C9" w:rsidR="00CB33C7" w:rsidRPr="00E87218" w:rsidRDefault="00CB33C7" w:rsidP="00E87218">
            <w:pPr>
              <w:jc w:val="both"/>
              <w:rPr>
                <w:rFonts w:cs="Arial"/>
                <w:color w:val="000000"/>
                <w:szCs w:val="22"/>
                <w:lang w:eastAsia="it-IT"/>
              </w:rPr>
            </w:pPr>
            <w:r w:rsidRPr="00E87218">
              <w:rPr>
                <w:rFonts w:cs="Arial"/>
                <w:color w:val="000000"/>
                <w:szCs w:val="22"/>
                <w:lang w:eastAsia="it-IT"/>
              </w:rPr>
              <w:t>Управління ЖКГ.</w:t>
            </w:r>
          </w:p>
        </w:tc>
      </w:tr>
      <w:tr w:rsidR="00CB33C7" w:rsidRPr="00C2587D" w14:paraId="0CF99E2F" w14:textId="77777777" w:rsidTr="00EA6E27">
        <w:trPr>
          <w:jc w:val="right"/>
        </w:trPr>
        <w:tc>
          <w:tcPr>
            <w:tcW w:w="3425" w:type="dxa"/>
            <w:shd w:val="clear" w:color="auto" w:fill="FFFFFF"/>
            <w:vAlign w:val="center"/>
          </w:tcPr>
          <w:p w14:paraId="0100EF1E" w14:textId="77777777" w:rsidR="00CB33C7" w:rsidRPr="00E87218" w:rsidRDefault="00CB33C7" w:rsidP="00E87218">
            <w:pPr>
              <w:rPr>
                <w:rFonts w:cs="Arial"/>
                <w:b/>
                <w:bCs/>
                <w:color w:val="000000"/>
                <w:szCs w:val="22"/>
              </w:rPr>
            </w:pPr>
            <w:r w:rsidRPr="00E87218">
              <w:rPr>
                <w:rFonts w:cs="Arial"/>
                <w:b/>
                <w:bCs/>
                <w:color w:val="000000"/>
                <w:szCs w:val="22"/>
              </w:rPr>
              <w:t>Інше:</w:t>
            </w:r>
          </w:p>
        </w:tc>
        <w:tc>
          <w:tcPr>
            <w:tcW w:w="6794" w:type="dxa"/>
            <w:gridSpan w:val="9"/>
            <w:vAlign w:val="center"/>
          </w:tcPr>
          <w:p w14:paraId="46C19EE5" w14:textId="77777777" w:rsidR="00CB33C7" w:rsidRPr="00E87218" w:rsidRDefault="00CB33C7" w:rsidP="00E87218">
            <w:pPr>
              <w:rPr>
                <w:rFonts w:cs="Arial"/>
                <w:color w:val="000000"/>
                <w:szCs w:val="22"/>
                <w:lang w:eastAsia="it-IT"/>
              </w:rPr>
            </w:pPr>
          </w:p>
        </w:tc>
      </w:tr>
    </w:tbl>
    <w:p w14:paraId="3C195BE7" w14:textId="77777777" w:rsidR="00CB33C7" w:rsidRPr="00C2587D" w:rsidRDefault="00CB33C7" w:rsidP="00CB33C7"/>
    <w:p w14:paraId="33E7814A" w14:textId="77777777" w:rsidR="00CB33C7" w:rsidRPr="00C2587D" w:rsidRDefault="00CB33C7" w:rsidP="00CB33C7">
      <w:pPr>
        <w:jc w:val="right"/>
        <w:rPr>
          <w:rFonts w:cs="Arial"/>
          <w:b/>
        </w:rPr>
      </w:pPr>
    </w:p>
    <w:p w14:paraId="5357BB97" w14:textId="77777777" w:rsidR="00CB33C7" w:rsidRPr="00C2587D" w:rsidRDefault="00CB33C7" w:rsidP="00CB33C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67C4632C" w14:textId="77777777" w:rsidR="00CB33C7" w:rsidRPr="00C2587D" w:rsidRDefault="00CB33C7" w:rsidP="00CB33C7">
      <w:pPr>
        <w:jc w:val="center"/>
        <w:rPr>
          <w:rFonts w:cs="Arial"/>
          <w:b/>
          <w:color w:val="000000"/>
          <w:szCs w:val="22"/>
        </w:rPr>
      </w:pPr>
      <w:r w:rsidRPr="00C2587D">
        <w:rPr>
          <w:rFonts w:cs="Arial"/>
          <w:b/>
          <w:color w:val="000000"/>
          <w:szCs w:val="22"/>
        </w:rPr>
        <w:t>до Плану заходів з реалізації Стратегії</w:t>
      </w:r>
    </w:p>
    <w:p w14:paraId="741D8E96" w14:textId="77777777" w:rsidR="00CB33C7" w:rsidRPr="00C2587D" w:rsidRDefault="00CB33C7" w:rsidP="00CB33C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33"/>
        <w:gridCol w:w="21"/>
        <w:gridCol w:w="1269"/>
        <w:gridCol w:w="6"/>
        <w:gridCol w:w="1418"/>
        <w:gridCol w:w="28"/>
        <w:gridCol w:w="1248"/>
        <w:gridCol w:w="8"/>
        <w:gridCol w:w="1563"/>
      </w:tblGrid>
      <w:tr w:rsidR="00CB33C7" w:rsidRPr="00C2587D" w14:paraId="5CD1C5A8" w14:textId="77777777" w:rsidTr="00EA6E27">
        <w:trPr>
          <w:jc w:val="right"/>
        </w:trPr>
        <w:tc>
          <w:tcPr>
            <w:tcW w:w="3425" w:type="dxa"/>
            <w:vAlign w:val="center"/>
          </w:tcPr>
          <w:p w14:paraId="2CF3F725" w14:textId="77777777" w:rsidR="00CB33C7" w:rsidRPr="00E87218" w:rsidRDefault="00CB33C7" w:rsidP="00E87218">
            <w:pPr>
              <w:rPr>
                <w:rFonts w:cs="Arial"/>
                <w:b/>
                <w:bCs/>
                <w:color w:val="000000"/>
                <w:szCs w:val="22"/>
              </w:rPr>
            </w:pPr>
            <w:r w:rsidRPr="00E87218">
              <w:rPr>
                <w:rFonts w:cs="Arial"/>
                <w:b/>
                <w:bCs/>
                <w:color w:val="000000"/>
                <w:szCs w:val="22"/>
              </w:rPr>
              <w:t>Назва проєкту:</w:t>
            </w:r>
          </w:p>
        </w:tc>
        <w:tc>
          <w:tcPr>
            <w:tcW w:w="6794" w:type="dxa"/>
            <w:gridSpan w:val="9"/>
          </w:tcPr>
          <w:p w14:paraId="265D1A96" w14:textId="77777777" w:rsidR="00CB33C7" w:rsidRPr="00E87218" w:rsidRDefault="00CB33C7" w:rsidP="00E87218">
            <w:pPr>
              <w:rPr>
                <w:rFonts w:cs="Arial"/>
                <w:b/>
                <w:szCs w:val="22"/>
                <w:lang w:eastAsia="it-IT"/>
              </w:rPr>
            </w:pPr>
            <w:r w:rsidRPr="00E87218">
              <w:rPr>
                <w:rFonts w:cs="Arial"/>
                <w:b/>
                <w:szCs w:val="22"/>
                <w:lang w:eastAsia="it-IT"/>
              </w:rPr>
              <w:t>Реконструкція мережі вуличного освітлення в с. Ярошенка, с. Щученці</w:t>
            </w:r>
          </w:p>
        </w:tc>
      </w:tr>
      <w:tr w:rsidR="00CB33C7" w:rsidRPr="00C2587D" w14:paraId="7FDBDAC5" w14:textId="77777777" w:rsidTr="00EA6E27">
        <w:trPr>
          <w:jc w:val="right"/>
        </w:trPr>
        <w:tc>
          <w:tcPr>
            <w:tcW w:w="3425" w:type="dxa"/>
          </w:tcPr>
          <w:p w14:paraId="76989DB6" w14:textId="77777777" w:rsidR="00CB33C7" w:rsidRPr="00E87218" w:rsidRDefault="00CB33C7" w:rsidP="00E87218">
            <w:pPr>
              <w:rPr>
                <w:rFonts w:cs="Arial"/>
                <w:szCs w:val="22"/>
                <w:lang w:eastAsia="it-IT"/>
              </w:rPr>
            </w:pPr>
            <w:r w:rsidRPr="00E87218">
              <w:rPr>
                <w:rFonts w:cs="Arial"/>
                <w:b/>
                <w:bCs/>
                <w:szCs w:val="22"/>
              </w:rPr>
              <w:t>Ваші контакти</w:t>
            </w:r>
            <w:r w:rsidRPr="00E87218">
              <w:rPr>
                <w:rFonts w:cs="Arial"/>
                <w:szCs w:val="22"/>
                <w:lang w:eastAsia="it-IT"/>
              </w:rPr>
              <w:t>:</w:t>
            </w:r>
          </w:p>
          <w:p w14:paraId="57E74D98" w14:textId="77777777" w:rsidR="00CB33C7" w:rsidRPr="00E87218" w:rsidRDefault="00CB33C7" w:rsidP="00E87218">
            <w:pPr>
              <w:rPr>
                <w:rFonts w:cs="Arial"/>
                <w:b/>
                <w:bCs/>
                <w:szCs w:val="22"/>
              </w:rPr>
            </w:pPr>
            <w:r w:rsidRPr="00E87218">
              <w:rPr>
                <w:rFonts w:cs="Arial"/>
                <w:szCs w:val="22"/>
                <w:lang w:eastAsia="it-IT"/>
              </w:rPr>
              <w:t>Назва установи, організації, підприємства</w:t>
            </w:r>
          </w:p>
        </w:tc>
        <w:tc>
          <w:tcPr>
            <w:tcW w:w="6794" w:type="dxa"/>
            <w:gridSpan w:val="9"/>
          </w:tcPr>
          <w:p w14:paraId="5F98B16F" w14:textId="77777777" w:rsidR="00CB33C7" w:rsidRPr="00E87218" w:rsidRDefault="00CB33C7" w:rsidP="00E87218">
            <w:pPr>
              <w:rPr>
                <w:rFonts w:cs="Arial"/>
                <w:szCs w:val="22"/>
                <w:lang w:eastAsia="it-IT"/>
              </w:rPr>
            </w:pPr>
            <w:r w:rsidRPr="00E87218">
              <w:rPr>
                <w:rFonts w:cs="Arial"/>
                <w:szCs w:val="22"/>
                <w:lang w:eastAsia="it-IT"/>
              </w:rPr>
              <w:t>Управління житлово-комунального господарства Жмеринської міської ради</w:t>
            </w:r>
          </w:p>
        </w:tc>
      </w:tr>
      <w:tr w:rsidR="00CB33C7" w:rsidRPr="00C2587D" w14:paraId="574F78F1" w14:textId="77777777" w:rsidTr="00EA6E27">
        <w:trPr>
          <w:jc w:val="right"/>
        </w:trPr>
        <w:tc>
          <w:tcPr>
            <w:tcW w:w="3425" w:type="dxa"/>
          </w:tcPr>
          <w:p w14:paraId="3064A38A" w14:textId="77777777" w:rsidR="00CB33C7" w:rsidRPr="00E87218" w:rsidRDefault="00CB33C7" w:rsidP="00E87218">
            <w:pPr>
              <w:rPr>
                <w:rFonts w:cs="Arial"/>
                <w:b/>
                <w:bCs/>
                <w:szCs w:val="22"/>
              </w:rPr>
            </w:pPr>
            <w:r w:rsidRPr="00E87218">
              <w:rPr>
                <w:rFonts w:cs="Arial"/>
                <w:szCs w:val="22"/>
                <w:lang w:eastAsia="it-IT"/>
              </w:rPr>
              <w:t>Прізвище Ім’я По-батькові:</w:t>
            </w:r>
          </w:p>
        </w:tc>
        <w:tc>
          <w:tcPr>
            <w:tcW w:w="6794" w:type="dxa"/>
            <w:gridSpan w:val="9"/>
          </w:tcPr>
          <w:p w14:paraId="1FE2B53C" w14:textId="77777777" w:rsidR="00CB33C7" w:rsidRPr="00E87218" w:rsidRDefault="00CB33C7" w:rsidP="00E87218">
            <w:pPr>
              <w:rPr>
                <w:rFonts w:cs="Arial"/>
                <w:szCs w:val="22"/>
                <w:lang w:eastAsia="it-IT"/>
              </w:rPr>
            </w:pPr>
            <w:r w:rsidRPr="00E87218">
              <w:rPr>
                <w:rFonts w:cs="Arial"/>
                <w:szCs w:val="22"/>
                <w:lang w:eastAsia="it-IT"/>
              </w:rPr>
              <w:t>Оленич Андрій Васильович</w:t>
            </w:r>
          </w:p>
        </w:tc>
      </w:tr>
      <w:tr w:rsidR="00CB33C7" w:rsidRPr="00C2587D" w14:paraId="393B0904" w14:textId="77777777" w:rsidTr="00EA6E27">
        <w:trPr>
          <w:jc w:val="right"/>
        </w:trPr>
        <w:tc>
          <w:tcPr>
            <w:tcW w:w="3425" w:type="dxa"/>
          </w:tcPr>
          <w:p w14:paraId="1EDF8D98" w14:textId="77777777" w:rsidR="00CB33C7" w:rsidRPr="00E87218" w:rsidRDefault="00CB33C7" w:rsidP="00E87218">
            <w:pPr>
              <w:rPr>
                <w:rFonts w:cs="Arial"/>
                <w:b/>
                <w:bCs/>
                <w:szCs w:val="22"/>
              </w:rPr>
            </w:pPr>
            <w:r w:rsidRPr="00E87218">
              <w:rPr>
                <w:rFonts w:cs="Arial"/>
                <w:szCs w:val="22"/>
                <w:lang w:eastAsia="it-IT"/>
              </w:rPr>
              <w:t>Телефон (мобільний):</w:t>
            </w:r>
          </w:p>
        </w:tc>
        <w:tc>
          <w:tcPr>
            <w:tcW w:w="6794" w:type="dxa"/>
            <w:gridSpan w:val="9"/>
          </w:tcPr>
          <w:p w14:paraId="0147C41C" w14:textId="77777777" w:rsidR="00CB33C7" w:rsidRPr="00E87218" w:rsidRDefault="00CB33C7" w:rsidP="00E87218">
            <w:pPr>
              <w:rPr>
                <w:rFonts w:cs="Arial"/>
                <w:szCs w:val="22"/>
                <w:lang w:eastAsia="it-IT"/>
              </w:rPr>
            </w:pPr>
            <w:r w:rsidRPr="00E87218">
              <w:rPr>
                <w:rFonts w:cs="Arial"/>
                <w:szCs w:val="22"/>
                <w:lang w:eastAsia="it-IT"/>
              </w:rPr>
              <w:t>0972561907</w:t>
            </w:r>
          </w:p>
        </w:tc>
      </w:tr>
      <w:tr w:rsidR="00CB33C7" w:rsidRPr="00C2587D" w14:paraId="31BAAB0B" w14:textId="77777777" w:rsidTr="00EA6E27">
        <w:trPr>
          <w:jc w:val="right"/>
        </w:trPr>
        <w:tc>
          <w:tcPr>
            <w:tcW w:w="3425" w:type="dxa"/>
          </w:tcPr>
          <w:p w14:paraId="28D5A3B1" w14:textId="77777777" w:rsidR="00CB33C7" w:rsidRPr="00E87218" w:rsidRDefault="00CB33C7" w:rsidP="00E87218">
            <w:pPr>
              <w:rPr>
                <w:rFonts w:cs="Arial"/>
                <w:b/>
                <w:bCs/>
                <w:szCs w:val="22"/>
              </w:rPr>
            </w:pPr>
            <w:r w:rsidRPr="00E87218">
              <w:rPr>
                <w:rFonts w:cs="Arial"/>
                <w:szCs w:val="22"/>
                <w:lang w:eastAsia="it-IT"/>
              </w:rPr>
              <w:t>Електронна адреса:</w:t>
            </w:r>
          </w:p>
        </w:tc>
        <w:tc>
          <w:tcPr>
            <w:tcW w:w="6794" w:type="dxa"/>
            <w:gridSpan w:val="9"/>
          </w:tcPr>
          <w:p w14:paraId="26F575F3" w14:textId="77777777" w:rsidR="00CB33C7" w:rsidRPr="00E87218" w:rsidRDefault="00D85FFD" w:rsidP="00E87218">
            <w:pPr>
              <w:rPr>
                <w:rFonts w:cs="Arial"/>
                <w:szCs w:val="22"/>
                <w:lang w:eastAsia="it-IT"/>
              </w:rPr>
            </w:pPr>
            <w:hyperlink r:id="rId71" w:history="1">
              <w:r w:rsidR="00CB33C7" w:rsidRPr="00E87218">
                <w:rPr>
                  <w:rStyle w:val="af0"/>
                  <w:rFonts w:cs="Arial"/>
                  <w:noProof w:val="0"/>
                  <w:sz w:val="22"/>
                  <w:szCs w:val="22"/>
                  <w:lang w:eastAsia="it-IT"/>
                </w:rPr>
                <w:t>Aolenych03@ukr.net</w:t>
              </w:r>
            </w:hyperlink>
          </w:p>
        </w:tc>
      </w:tr>
      <w:tr w:rsidR="00CB33C7" w:rsidRPr="00C2587D" w14:paraId="1CCF7EA0" w14:textId="77777777" w:rsidTr="00EA6E27">
        <w:trPr>
          <w:jc w:val="right"/>
        </w:trPr>
        <w:tc>
          <w:tcPr>
            <w:tcW w:w="3425" w:type="dxa"/>
            <w:vAlign w:val="center"/>
          </w:tcPr>
          <w:p w14:paraId="61408E93" w14:textId="77777777" w:rsidR="00CB33C7" w:rsidRPr="00E87218" w:rsidRDefault="00CB33C7" w:rsidP="00E87218">
            <w:pPr>
              <w:pStyle w:val="6"/>
              <w:spacing w:before="0" w:after="0"/>
              <w:rPr>
                <w:rFonts w:ascii="Arial" w:hAnsi="Arial" w:cs="Arial"/>
                <w:color w:val="000000"/>
                <w:lang w:val="uk-UA"/>
              </w:rPr>
            </w:pPr>
            <w:r w:rsidRPr="00E87218">
              <w:rPr>
                <w:rFonts w:ascii="Arial" w:hAnsi="Arial" w:cs="Arial"/>
                <w:color w:val="000000"/>
                <w:lang w:val="uk-UA"/>
              </w:rPr>
              <w:t>Номер і назва завдання з Стратегії</w:t>
            </w:r>
            <w:r w:rsidRPr="00E87218">
              <w:rPr>
                <w:rFonts w:ascii="Arial" w:hAnsi="Arial" w:cs="Arial"/>
                <w:lang w:val="uk-UA" w:eastAsia="it-IT"/>
              </w:rPr>
              <w:t xml:space="preserve"> </w:t>
            </w:r>
            <w:r w:rsidRPr="00E87218">
              <w:rPr>
                <w:rFonts w:ascii="Arial" w:hAnsi="Arial" w:cs="Arial"/>
                <w:color w:val="000000"/>
                <w:lang w:val="uk-UA"/>
              </w:rPr>
              <w:t>розвитку Жмеринської міської територіальної громади,  якому відповідає проєкт:</w:t>
            </w:r>
          </w:p>
        </w:tc>
        <w:tc>
          <w:tcPr>
            <w:tcW w:w="6794" w:type="dxa"/>
            <w:gridSpan w:val="9"/>
          </w:tcPr>
          <w:p w14:paraId="04AA857B" w14:textId="77777777" w:rsidR="00CB33C7" w:rsidRPr="00E87218" w:rsidRDefault="00CB33C7" w:rsidP="00667673">
            <w:pPr>
              <w:contextualSpacing/>
              <w:jc w:val="both"/>
              <w:rPr>
                <w:rFonts w:eastAsia="Lucida Sans Unicode" w:cs="Arial"/>
                <w:kern w:val="1"/>
                <w:szCs w:val="22"/>
                <w:lang w:eastAsia="ar-SA"/>
              </w:rPr>
            </w:pPr>
            <w:r w:rsidRPr="00E87218">
              <w:rPr>
                <w:rFonts w:eastAsia="Lucida Sans Unicode" w:cs="Arial"/>
                <w:kern w:val="1"/>
                <w:szCs w:val="22"/>
                <w:lang w:eastAsia="ar-SA"/>
              </w:rPr>
              <w:t>В.1.3.12. Будівництво, реконструкція мереж вуличного освітлення</w:t>
            </w:r>
          </w:p>
        </w:tc>
      </w:tr>
      <w:tr w:rsidR="00CB33C7" w:rsidRPr="00C2587D" w14:paraId="3D5CA001" w14:textId="77777777" w:rsidTr="00EA6E27">
        <w:trPr>
          <w:jc w:val="right"/>
        </w:trPr>
        <w:tc>
          <w:tcPr>
            <w:tcW w:w="3425" w:type="dxa"/>
            <w:vAlign w:val="center"/>
          </w:tcPr>
          <w:p w14:paraId="5F3989C7" w14:textId="77777777" w:rsidR="00CB33C7" w:rsidRPr="00E87218" w:rsidRDefault="00CB33C7" w:rsidP="00E87218">
            <w:pPr>
              <w:rPr>
                <w:rFonts w:cs="Arial"/>
                <w:b/>
                <w:bCs/>
                <w:color w:val="000000"/>
                <w:szCs w:val="22"/>
              </w:rPr>
            </w:pPr>
            <w:r w:rsidRPr="00E87218">
              <w:rPr>
                <w:rFonts w:cs="Arial"/>
                <w:b/>
                <w:bCs/>
                <w:color w:val="000000"/>
                <w:szCs w:val="22"/>
              </w:rPr>
              <w:t>Мета проєкту:</w:t>
            </w:r>
          </w:p>
        </w:tc>
        <w:tc>
          <w:tcPr>
            <w:tcW w:w="6794" w:type="dxa"/>
            <w:gridSpan w:val="9"/>
          </w:tcPr>
          <w:p w14:paraId="3D678656" w14:textId="77777777" w:rsidR="00CB33C7" w:rsidRPr="00E87218" w:rsidRDefault="00CB33C7" w:rsidP="00E87218">
            <w:pPr>
              <w:jc w:val="both"/>
              <w:rPr>
                <w:rFonts w:cs="Arial"/>
                <w:szCs w:val="22"/>
                <w:lang w:eastAsia="it-IT"/>
              </w:rPr>
            </w:pPr>
            <w:r w:rsidRPr="00E87218">
              <w:rPr>
                <w:rFonts w:cs="Arial"/>
                <w:szCs w:val="22"/>
                <w:lang w:eastAsia="it-IT"/>
              </w:rPr>
              <w:t>Забезпечення потреби населення в комфортних умовах пересування у нічний час;</w:t>
            </w:r>
          </w:p>
          <w:p w14:paraId="4799726D" w14:textId="77777777" w:rsidR="00CB33C7" w:rsidRPr="00E87218" w:rsidRDefault="00CB33C7" w:rsidP="00E87218">
            <w:pPr>
              <w:jc w:val="both"/>
              <w:rPr>
                <w:rFonts w:cs="Arial"/>
                <w:szCs w:val="22"/>
                <w:lang w:eastAsia="it-IT"/>
              </w:rPr>
            </w:pPr>
            <w:r w:rsidRPr="00E87218">
              <w:rPr>
                <w:rFonts w:cs="Arial"/>
                <w:szCs w:val="22"/>
                <w:lang w:eastAsia="it-IT"/>
              </w:rPr>
              <w:t>Зменшення потенційної кількості ДТП в нічний та вечірній час;</w:t>
            </w:r>
          </w:p>
          <w:p w14:paraId="64C789A0" w14:textId="77777777" w:rsidR="00CB33C7" w:rsidRPr="00E87218" w:rsidRDefault="00CB33C7" w:rsidP="00E87218">
            <w:pPr>
              <w:jc w:val="both"/>
              <w:rPr>
                <w:rFonts w:cs="Arial"/>
                <w:szCs w:val="22"/>
                <w:lang w:eastAsia="it-IT"/>
              </w:rPr>
            </w:pPr>
            <w:r w:rsidRPr="00E87218">
              <w:rPr>
                <w:rFonts w:cs="Arial"/>
                <w:szCs w:val="22"/>
                <w:lang w:eastAsia="it-IT"/>
              </w:rPr>
              <w:t>Покращення криміногенної ситуації;</w:t>
            </w:r>
          </w:p>
          <w:p w14:paraId="195A6EE2" w14:textId="6EF519B8" w:rsidR="00CB33C7" w:rsidRPr="00E87218" w:rsidRDefault="00CB33C7" w:rsidP="00667673">
            <w:pPr>
              <w:jc w:val="both"/>
              <w:rPr>
                <w:rFonts w:cs="Arial"/>
                <w:szCs w:val="22"/>
                <w:lang w:eastAsia="it-IT"/>
              </w:rPr>
            </w:pPr>
            <w:r w:rsidRPr="00E87218">
              <w:rPr>
                <w:rFonts w:cs="Arial"/>
                <w:szCs w:val="22"/>
                <w:lang w:eastAsia="it-IT"/>
              </w:rPr>
              <w:t>Покращення санітарного стану населених пунктів громади.</w:t>
            </w:r>
          </w:p>
        </w:tc>
      </w:tr>
      <w:tr w:rsidR="00CB33C7" w:rsidRPr="00C2587D" w14:paraId="3511A398" w14:textId="77777777" w:rsidTr="00EA6E27">
        <w:trPr>
          <w:jc w:val="right"/>
        </w:trPr>
        <w:tc>
          <w:tcPr>
            <w:tcW w:w="3425" w:type="dxa"/>
            <w:vAlign w:val="center"/>
          </w:tcPr>
          <w:p w14:paraId="25732047" w14:textId="77777777" w:rsidR="00CB33C7" w:rsidRPr="00E87218" w:rsidRDefault="00CB33C7" w:rsidP="00E87218">
            <w:pPr>
              <w:rPr>
                <w:rFonts w:cs="Arial"/>
                <w:b/>
                <w:bCs/>
                <w:color w:val="000000"/>
                <w:szCs w:val="22"/>
              </w:rPr>
            </w:pPr>
            <w:r w:rsidRPr="00E87218">
              <w:rPr>
                <w:rFonts w:cs="Arial"/>
                <w:b/>
                <w:bCs/>
                <w:color w:val="000000"/>
                <w:szCs w:val="22"/>
              </w:rPr>
              <w:t>Цілі проєкту:</w:t>
            </w:r>
          </w:p>
        </w:tc>
        <w:tc>
          <w:tcPr>
            <w:tcW w:w="6794" w:type="dxa"/>
            <w:gridSpan w:val="9"/>
          </w:tcPr>
          <w:p w14:paraId="4CAA1C6F" w14:textId="77777777" w:rsidR="00CB33C7" w:rsidRPr="00E87218" w:rsidRDefault="00CB33C7" w:rsidP="00E87218">
            <w:pPr>
              <w:jc w:val="both"/>
              <w:rPr>
                <w:rFonts w:cs="Arial"/>
                <w:szCs w:val="22"/>
                <w:lang w:eastAsia="it-IT"/>
              </w:rPr>
            </w:pPr>
            <w:r w:rsidRPr="00E87218">
              <w:rPr>
                <w:rFonts w:cs="Arial"/>
                <w:szCs w:val="22"/>
                <w:lang w:eastAsia="it-IT"/>
              </w:rPr>
              <w:t>Реконструкція мережі вуличного освітлення в с. Ярошенка, с. Щученці</w:t>
            </w:r>
          </w:p>
        </w:tc>
      </w:tr>
      <w:tr w:rsidR="00CB33C7" w:rsidRPr="00C2587D" w14:paraId="7455380D" w14:textId="77777777" w:rsidTr="00EA6E27">
        <w:trPr>
          <w:jc w:val="right"/>
        </w:trPr>
        <w:tc>
          <w:tcPr>
            <w:tcW w:w="3425" w:type="dxa"/>
            <w:vAlign w:val="center"/>
          </w:tcPr>
          <w:p w14:paraId="00BDCCD3" w14:textId="77777777" w:rsidR="00CB33C7" w:rsidRPr="00E87218" w:rsidRDefault="00CB33C7" w:rsidP="00E87218">
            <w:pPr>
              <w:autoSpaceDE w:val="0"/>
              <w:autoSpaceDN w:val="0"/>
              <w:adjustRightInd w:val="0"/>
              <w:rPr>
                <w:rFonts w:cs="Arial"/>
                <w:b/>
                <w:color w:val="000000"/>
                <w:szCs w:val="22"/>
              </w:rPr>
            </w:pPr>
            <w:r w:rsidRPr="00E87218">
              <w:rPr>
                <w:rFonts w:cs="Arial"/>
                <w:b/>
                <w:color w:val="000000"/>
                <w:szCs w:val="22"/>
              </w:rPr>
              <w:t>Територія на яку проєкт матиме вплив:</w:t>
            </w:r>
          </w:p>
        </w:tc>
        <w:tc>
          <w:tcPr>
            <w:tcW w:w="6794" w:type="dxa"/>
            <w:gridSpan w:val="9"/>
          </w:tcPr>
          <w:p w14:paraId="0C675C86" w14:textId="71C4F03F" w:rsidR="00CB33C7" w:rsidRPr="00E87218" w:rsidRDefault="00E87218" w:rsidP="00E87218">
            <w:pPr>
              <w:jc w:val="both"/>
              <w:rPr>
                <w:rFonts w:cs="Arial"/>
                <w:szCs w:val="22"/>
                <w:lang w:eastAsia="it-IT"/>
              </w:rPr>
            </w:pPr>
            <w:r>
              <w:rPr>
                <w:rFonts w:cs="Arial"/>
                <w:szCs w:val="22"/>
                <w:lang w:eastAsia="it-IT"/>
              </w:rPr>
              <w:t>Території Жуко</w:t>
            </w:r>
            <w:r w:rsidR="00CB33C7" w:rsidRPr="00E87218">
              <w:rPr>
                <w:rFonts w:cs="Arial"/>
                <w:szCs w:val="22"/>
                <w:lang w:eastAsia="it-IT"/>
              </w:rPr>
              <w:t>в</w:t>
            </w:r>
            <w:r>
              <w:rPr>
                <w:rFonts w:cs="Arial"/>
                <w:szCs w:val="22"/>
                <w:lang w:eastAsia="it-IT"/>
              </w:rPr>
              <w:t>ец</w:t>
            </w:r>
            <w:r w:rsidR="00CB33C7" w:rsidRPr="00E87218">
              <w:rPr>
                <w:rFonts w:cs="Arial"/>
                <w:szCs w:val="22"/>
                <w:lang w:eastAsia="it-IT"/>
              </w:rPr>
              <w:t xml:space="preserve">ького старостинського округу а саме: сіл Ярошенка та Щученці. </w:t>
            </w:r>
          </w:p>
        </w:tc>
      </w:tr>
      <w:tr w:rsidR="00CB33C7" w:rsidRPr="00C2587D" w14:paraId="5448B914" w14:textId="77777777" w:rsidTr="00EA6E27">
        <w:trPr>
          <w:jc w:val="right"/>
        </w:trPr>
        <w:tc>
          <w:tcPr>
            <w:tcW w:w="3425" w:type="dxa"/>
            <w:vAlign w:val="center"/>
          </w:tcPr>
          <w:p w14:paraId="045438FC" w14:textId="77777777" w:rsidR="00CB33C7" w:rsidRPr="00E87218" w:rsidRDefault="00CB33C7" w:rsidP="00E87218">
            <w:pPr>
              <w:autoSpaceDE w:val="0"/>
              <w:autoSpaceDN w:val="0"/>
              <w:adjustRightInd w:val="0"/>
              <w:rPr>
                <w:rFonts w:cs="Arial"/>
                <w:b/>
                <w:color w:val="000000"/>
                <w:szCs w:val="22"/>
              </w:rPr>
            </w:pPr>
            <w:r w:rsidRPr="00E87218">
              <w:rPr>
                <w:rFonts w:cs="Arial"/>
                <w:b/>
                <w:color w:val="000000"/>
                <w:szCs w:val="22"/>
              </w:rPr>
              <w:t>Цільові групи проєкту та кількість отримувачів вигоди</w:t>
            </w:r>
          </w:p>
        </w:tc>
        <w:tc>
          <w:tcPr>
            <w:tcW w:w="6794" w:type="dxa"/>
            <w:gridSpan w:val="9"/>
          </w:tcPr>
          <w:p w14:paraId="2E1AC6C8" w14:textId="77777777" w:rsidR="00CB33C7" w:rsidRPr="00E87218" w:rsidRDefault="00CB33C7" w:rsidP="00E87218">
            <w:pPr>
              <w:jc w:val="both"/>
              <w:rPr>
                <w:rFonts w:cs="Arial"/>
                <w:szCs w:val="22"/>
                <w:lang w:eastAsia="it-IT"/>
              </w:rPr>
            </w:pPr>
            <w:r w:rsidRPr="00E87218">
              <w:rPr>
                <w:rFonts w:cs="Arial"/>
                <w:szCs w:val="22"/>
                <w:lang w:eastAsia="it-IT"/>
              </w:rPr>
              <w:t>Жителі с. Ярошенка та с. Щученці в кількості 394 сельчан</w:t>
            </w:r>
          </w:p>
        </w:tc>
      </w:tr>
      <w:tr w:rsidR="00CB33C7" w:rsidRPr="00C2587D" w14:paraId="28263202" w14:textId="77777777" w:rsidTr="00EA6E27">
        <w:trPr>
          <w:jc w:val="right"/>
        </w:trPr>
        <w:tc>
          <w:tcPr>
            <w:tcW w:w="3425" w:type="dxa"/>
            <w:shd w:val="clear" w:color="auto" w:fill="FFFFFF"/>
            <w:vAlign w:val="center"/>
          </w:tcPr>
          <w:p w14:paraId="04F1069E" w14:textId="77777777" w:rsidR="00CB33C7" w:rsidRPr="00E87218" w:rsidRDefault="00CB33C7" w:rsidP="00E87218">
            <w:pPr>
              <w:rPr>
                <w:rFonts w:cs="Arial"/>
                <w:b/>
                <w:bCs/>
                <w:color w:val="000000"/>
                <w:szCs w:val="22"/>
              </w:rPr>
            </w:pPr>
            <w:r w:rsidRPr="00E87218">
              <w:rPr>
                <w:rFonts w:cs="Arial"/>
                <w:b/>
                <w:bCs/>
                <w:color w:val="000000"/>
                <w:szCs w:val="22"/>
              </w:rPr>
              <w:t>Стислий опис проєкту:</w:t>
            </w:r>
          </w:p>
        </w:tc>
        <w:tc>
          <w:tcPr>
            <w:tcW w:w="6794" w:type="dxa"/>
            <w:gridSpan w:val="9"/>
          </w:tcPr>
          <w:p w14:paraId="2D97806A" w14:textId="61971CC3" w:rsidR="00CB33C7" w:rsidRPr="00E87218" w:rsidRDefault="00CB33C7" w:rsidP="00E87218">
            <w:pPr>
              <w:jc w:val="both"/>
              <w:rPr>
                <w:rFonts w:cs="Arial"/>
                <w:szCs w:val="22"/>
                <w:lang w:eastAsia="it-IT"/>
              </w:rPr>
            </w:pPr>
            <w:r w:rsidRPr="00E87218">
              <w:rPr>
                <w:rFonts w:cs="Arial"/>
                <w:szCs w:val="22"/>
                <w:lang w:eastAsia="it-IT"/>
              </w:rPr>
              <w:t>Жителі громади остерігаються виходити  в вечірній та нічний час н</w:t>
            </w:r>
            <w:r w:rsidR="0066500B">
              <w:rPr>
                <w:rFonts w:cs="Arial"/>
                <w:szCs w:val="22"/>
                <w:lang w:eastAsia="it-IT"/>
              </w:rPr>
              <w:t>а неосвітлені  вулиці села. Проє</w:t>
            </w:r>
            <w:r w:rsidRPr="00E87218">
              <w:rPr>
                <w:rFonts w:cs="Arial"/>
                <w:szCs w:val="22"/>
                <w:lang w:eastAsia="it-IT"/>
              </w:rPr>
              <w:t>ктом необхідно провести освітлення вулиць сіл Ярошенка та Щученці для покращення якості та безпечності перебування жителів громади на вулицях</w:t>
            </w:r>
          </w:p>
        </w:tc>
      </w:tr>
      <w:tr w:rsidR="00CB33C7" w:rsidRPr="00C2587D" w14:paraId="10DEF04D" w14:textId="77777777" w:rsidTr="00EA6E27">
        <w:trPr>
          <w:jc w:val="right"/>
        </w:trPr>
        <w:tc>
          <w:tcPr>
            <w:tcW w:w="3425" w:type="dxa"/>
            <w:shd w:val="clear" w:color="auto" w:fill="FFFFFF"/>
            <w:vAlign w:val="center"/>
          </w:tcPr>
          <w:p w14:paraId="5C5945D9" w14:textId="77777777" w:rsidR="00CB33C7" w:rsidRPr="00E87218" w:rsidRDefault="00CB33C7" w:rsidP="00E87218">
            <w:pPr>
              <w:rPr>
                <w:rFonts w:cs="Arial"/>
                <w:b/>
                <w:bCs/>
                <w:color w:val="000000"/>
                <w:szCs w:val="22"/>
              </w:rPr>
            </w:pPr>
            <w:r w:rsidRPr="00E87218">
              <w:rPr>
                <w:rFonts w:cs="Arial"/>
                <w:b/>
                <w:bCs/>
                <w:color w:val="000000"/>
                <w:szCs w:val="22"/>
              </w:rPr>
              <w:t>Основні заходи проєкту:</w:t>
            </w:r>
          </w:p>
        </w:tc>
        <w:tc>
          <w:tcPr>
            <w:tcW w:w="6794" w:type="dxa"/>
            <w:gridSpan w:val="9"/>
          </w:tcPr>
          <w:p w14:paraId="67D98ED7" w14:textId="4E240B96" w:rsidR="00CB33C7" w:rsidRPr="00E87218" w:rsidRDefault="00CB33C7" w:rsidP="00E87218">
            <w:pPr>
              <w:jc w:val="both"/>
              <w:rPr>
                <w:rFonts w:cs="Arial"/>
                <w:szCs w:val="22"/>
                <w:lang w:eastAsia="it-IT"/>
              </w:rPr>
            </w:pPr>
            <w:r w:rsidRPr="00E87218">
              <w:rPr>
                <w:rFonts w:cs="Arial"/>
                <w:szCs w:val="22"/>
                <w:lang w:eastAsia="it-IT"/>
              </w:rPr>
              <w:t>Створення робочо</w:t>
            </w:r>
            <w:r w:rsidR="0066500B">
              <w:rPr>
                <w:rFonts w:cs="Arial"/>
                <w:szCs w:val="22"/>
                <w:lang w:eastAsia="it-IT"/>
              </w:rPr>
              <w:t>ї групи з питань реалізації проє</w:t>
            </w:r>
            <w:r w:rsidRPr="00E87218">
              <w:rPr>
                <w:rFonts w:cs="Arial"/>
                <w:szCs w:val="22"/>
                <w:lang w:eastAsia="it-IT"/>
              </w:rPr>
              <w:t xml:space="preserve">кту. </w:t>
            </w:r>
          </w:p>
          <w:p w14:paraId="2049B55C" w14:textId="77777777" w:rsidR="00CB33C7" w:rsidRPr="00E87218" w:rsidRDefault="00CB33C7" w:rsidP="00E87218">
            <w:pPr>
              <w:jc w:val="both"/>
              <w:rPr>
                <w:rFonts w:cs="Arial"/>
                <w:szCs w:val="22"/>
                <w:lang w:eastAsia="it-IT"/>
              </w:rPr>
            </w:pPr>
            <w:r w:rsidRPr="00E87218">
              <w:rPr>
                <w:rFonts w:cs="Arial"/>
                <w:szCs w:val="22"/>
                <w:lang w:eastAsia="it-IT"/>
              </w:rPr>
              <w:t>Проведення процедури закупівель (визначення виконавця робіт).</w:t>
            </w:r>
          </w:p>
          <w:p w14:paraId="46BF4970" w14:textId="77777777" w:rsidR="00CB33C7" w:rsidRPr="00E87218" w:rsidRDefault="00CB33C7" w:rsidP="00E87218">
            <w:pPr>
              <w:jc w:val="both"/>
              <w:rPr>
                <w:rFonts w:cs="Arial"/>
                <w:szCs w:val="22"/>
                <w:lang w:eastAsia="it-IT"/>
              </w:rPr>
            </w:pPr>
            <w:r w:rsidRPr="00E87218">
              <w:rPr>
                <w:rFonts w:cs="Arial"/>
                <w:szCs w:val="22"/>
                <w:lang w:eastAsia="it-IT"/>
              </w:rPr>
              <w:t>Укладення договорів з виконавцем робіт, організаціями, що здійснюватимуть  технічний та авторський  нагляд .</w:t>
            </w:r>
          </w:p>
          <w:p w14:paraId="33711E50" w14:textId="77777777" w:rsidR="00CB33C7" w:rsidRPr="00E87218" w:rsidRDefault="00CB33C7" w:rsidP="00E87218">
            <w:pPr>
              <w:jc w:val="both"/>
              <w:rPr>
                <w:rFonts w:cs="Arial"/>
                <w:szCs w:val="22"/>
                <w:lang w:eastAsia="it-IT"/>
              </w:rPr>
            </w:pPr>
            <w:r w:rsidRPr="00E87218">
              <w:rPr>
                <w:rFonts w:cs="Arial"/>
                <w:szCs w:val="22"/>
                <w:lang w:eastAsia="it-IT"/>
              </w:rPr>
              <w:t>Виконання робіт з реконструкції</w:t>
            </w:r>
            <w:r w:rsidRPr="00E87218">
              <w:rPr>
                <w:rFonts w:cs="Arial"/>
                <w:iCs/>
                <w:szCs w:val="22"/>
                <w:lang w:eastAsia="it-IT"/>
              </w:rPr>
              <w:t xml:space="preserve"> вуличного освітлення с. Ярошенка та с. Щученці</w:t>
            </w:r>
            <w:r w:rsidRPr="00E87218">
              <w:rPr>
                <w:rFonts w:cs="Arial"/>
                <w:szCs w:val="22"/>
                <w:lang w:eastAsia="it-IT"/>
              </w:rPr>
              <w:t>.</w:t>
            </w:r>
          </w:p>
          <w:p w14:paraId="15A4A7A0" w14:textId="77777777" w:rsidR="00CB33C7" w:rsidRPr="00E87218" w:rsidRDefault="00CB33C7" w:rsidP="00E87218">
            <w:pPr>
              <w:jc w:val="both"/>
              <w:rPr>
                <w:rFonts w:cs="Arial"/>
                <w:szCs w:val="22"/>
                <w:lang w:eastAsia="it-IT"/>
              </w:rPr>
            </w:pPr>
            <w:r w:rsidRPr="00E87218">
              <w:rPr>
                <w:rFonts w:cs="Arial"/>
                <w:szCs w:val="22"/>
                <w:lang w:eastAsia="it-IT"/>
              </w:rPr>
              <w:t>Введення  об’єкту в експлуатацію .</w:t>
            </w:r>
          </w:p>
          <w:p w14:paraId="68BF6051" w14:textId="60C73611" w:rsidR="00CB33C7" w:rsidRPr="00E87218" w:rsidRDefault="00CB33C7" w:rsidP="00E87218">
            <w:pPr>
              <w:rPr>
                <w:rFonts w:cs="Arial"/>
                <w:szCs w:val="22"/>
                <w:lang w:eastAsia="it-IT"/>
              </w:rPr>
            </w:pPr>
            <w:r w:rsidRPr="00E87218">
              <w:rPr>
                <w:rFonts w:cs="Arial"/>
                <w:szCs w:val="22"/>
                <w:lang w:eastAsia="it-IT"/>
              </w:rPr>
              <w:t xml:space="preserve">Проведення інформаційних заходів (розміщення  </w:t>
            </w:r>
            <w:r w:rsidR="0066500B">
              <w:rPr>
                <w:rFonts w:cs="Arial"/>
                <w:szCs w:val="22"/>
                <w:lang w:eastAsia="it-IT"/>
              </w:rPr>
              <w:t>інформації  про реалізацію  проє</w:t>
            </w:r>
            <w:r w:rsidRPr="00E87218">
              <w:rPr>
                <w:rFonts w:cs="Arial"/>
                <w:szCs w:val="22"/>
                <w:lang w:eastAsia="it-IT"/>
              </w:rPr>
              <w:t>кту у ЗМІ) .</w:t>
            </w:r>
          </w:p>
        </w:tc>
      </w:tr>
      <w:tr w:rsidR="00CB33C7" w:rsidRPr="00C2587D" w14:paraId="23E0DEF0" w14:textId="77777777" w:rsidTr="00EA6E27">
        <w:trPr>
          <w:jc w:val="right"/>
        </w:trPr>
        <w:tc>
          <w:tcPr>
            <w:tcW w:w="3425" w:type="dxa"/>
            <w:shd w:val="clear" w:color="auto" w:fill="FFFFFF"/>
            <w:vAlign w:val="center"/>
          </w:tcPr>
          <w:p w14:paraId="53B56A86" w14:textId="77777777" w:rsidR="00CB33C7" w:rsidRPr="00E87218" w:rsidRDefault="00CB33C7" w:rsidP="00E87218">
            <w:pPr>
              <w:rPr>
                <w:rFonts w:cs="Arial"/>
                <w:b/>
                <w:bCs/>
                <w:color w:val="000000"/>
                <w:szCs w:val="22"/>
              </w:rPr>
            </w:pPr>
            <w:r w:rsidRPr="00E87218">
              <w:rPr>
                <w:rFonts w:cs="Arial"/>
                <w:b/>
                <w:bCs/>
                <w:color w:val="000000"/>
                <w:szCs w:val="22"/>
              </w:rPr>
              <w:t>Індикатори (показники) результативності:</w:t>
            </w:r>
          </w:p>
        </w:tc>
        <w:tc>
          <w:tcPr>
            <w:tcW w:w="6794" w:type="dxa"/>
            <w:gridSpan w:val="9"/>
          </w:tcPr>
          <w:p w14:paraId="4F62FF16" w14:textId="6565FF0A" w:rsidR="00CB33C7" w:rsidRPr="00E87218" w:rsidRDefault="00CB33C7" w:rsidP="00667673">
            <w:pPr>
              <w:jc w:val="both"/>
              <w:rPr>
                <w:rFonts w:cs="Arial"/>
                <w:szCs w:val="22"/>
                <w:lang w:eastAsia="it-IT"/>
              </w:rPr>
            </w:pPr>
            <w:r w:rsidRPr="00E87218">
              <w:rPr>
                <w:rFonts w:eastAsia="Arial" w:cs="Arial"/>
                <w:szCs w:val="22"/>
                <w:lang w:eastAsia="en-US"/>
              </w:rPr>
              <w:t>Протяжність мережі, які реконструюють 12296 м. та кількість точок освітлення, які встановлюються 182 шт.</w:t>
            </w:r>
          </w:p>
        </w:tc>
      </w:tr>
      <w:tr w:rsidR="00CB33C7" w:rsidRPr="00C2587D" w14:paraId="76F6FB93" w14:textId="77777777" w:rsidTr="00EA6E27">
        <w:trPr>
          <w:jc w:val="right"/>
        </w:trPr>
        <w:tc>
          <w:tcPr>
            <w:tcW w:w="3425" w:type="dxa"/>
            <w:shd w:val="clear" w:color="auto" w:fill="FFFFFF"/>
            <w:vAlign w:val="center"/>
          </w:tcPr>
          <w:p w14:paraId="04D55EE7" w14:textId="77777777" w:rsidR="00CB33C7" w:rsidRPr="00E87218" w:rsidRDefault="00CB33C7" w:rsidP="00E87218">
            <w:pPr>
              <w:rPr>
                <w:rFonts w:cs="Arial"/>
                <w:b/>
                <w:color w:val="000000"/>
                <w:szCs w:val="22"/>
              </w:rPr>
            </w:pPr>
            <w:r w:rsidRPr="00E87218">
              <w:rPr>
                <w:rFonts w:cs="Arial"/>
                <w:b/>
                <w:color w:val="000000"/>
                <w:szCs w:val="22"/>
              </w:rPr>
              <w:t xml:space="preserve">Період здійснення: </w:t>
            </w:r>
          </w:p>
        </w:tc>
        <w:tc>
          <w:tcPr>
            <w:tcW w:w="6794" w:type="dxa"/>
            <w:gridSpan w:val="9"/>
            <w:vAlign w:val="center"/>
          </w:tcPr>
          <w:p w14:paraId="08A682DD" w14:textId="77777777" w:rsidR="00CB33C7" w:rsidRPr="00E87218" w:rsidRDefault="00CB33C7" w:rsidP="00E87218">
            <w:pPr>
              <w:rPr>
                <w:rFonts w:cs="Arial"/>
                <w:color w:val="000000"/>
                <w:szCs w:val="22"/>
                <w:lang w:eastAsia="it-IT"/>
              </w:rPr>
            </w:pPr>
            <w:r w:rsidRPr="00E87218">
              <w:rPr>
                <w:rFonts w:cs="Arial"/>
                <w:b/>
                <w:color w:val="000000"/>
                <w:szCs w:val="22"/>
              </w:rPr>
              <w:t>2025 – 2028 роки:</w:t>
            </w:r>
          </w:p>
        </w:tc>
      </w:tr>
      <w:tr w:rsidR="00CB33C7" w:rsidRPr="00C2587D" w14:paraId="3788C732" w14:textId="77777777" w:rsidTr="00EA6E27">
        <w:trPr>
          <w:jc w:val="right"/>
        </w:trPr>
        <w:tc>
          <w:tcPr>
            <w:tcW w:w="3425" w:type="dxa"/>
            <w:vMerge w:val="restart"/>
            <w:shd w:val="clear" w:color="auto" w:fill="FFFFFF"/>
            <w:vAlign w:val="center"/>
          </w:tcPr>
          <w:p w14:paraId="7C1E2571" w14:textId="77777777" w:rsidR="00CB33C7" w:rsidRPr="00E87218" w:rsidRDefault="00CB33C7" w:rsidP="00E87218">
            <w:pPr>
              <w:rPr>
                <w:rFonts w:cs="Arial"/>
                <w:b/>
                <w:bCs/>
                <w:color w:val="000000"/>
                <w:szCs w:val="22"/>
              </w:rPr>
            </w:pPr>
            <w:r w:rsidRPr="00E87218">
              <w:rPr>
                <w:rFonts w:cs="Arial"/>
                <w:b/>
                <w:bCs/>
                <w:color w:val="000000"/>
                <w:szCs w:val="22"/>
              </w:rPr>
              <w:t>Орієнтовна вартість проєкту, тис. грн., в тому числі:</w:t>
            </w:r>
          </w:p>
        </w:tc>
        <w:tc>
          <w:tcPr>
            <w:tcW w:w="1254" w:type="dxa"/>
            <w:gridSpan w:val="2"/>
            <w:shd w:val="clear" w:color="auto" w:fill="E6E6E6"/>
            <w:vAlign w:val="center"/>
          </w:tcPr>
          <w:p w14:paraId="2B8F67BF" w14:textId="77777777" w:rsidR="00CB33C7" w:rsidRPr="00E87218" w:rsidRDefault="00CB33C7" w:rsidP="00E87218">
            <w:pPr>
              <w:jc w:val="center"/>
              <w:rPr>
                <w:rFonts w:cs="Arial"/>
                <w:b/>
                <w:color w:val="000000"/>
                <w:szCs w:val="22"/>
                <w:lang w:eastAsia="it-IT"/>
              </w:rPr>
            </w:pPr>
            <w:r w:rsidRPr="00E87218">
              <w:rPr>
                <w:rFonts w:cs="Arial"/>
                <w:b/>
                <w:color w:val="000000"/>
                <w:szCs w:val="22"/>
                <w:lang w:eastAsia="it-IT"/>
              </w:rPr>
              <w:t>2025</w:t>
            </w:r>
          </w:p>
        </w:tc>
        <w:tc>
          <w:tcPr>
            <w:tcW w:w="1275" w:type="dxa"/>
            <w:gridSpan w:val="2"/>
            <w:shd w:val="clear" w:color="auto" w:fill="E6E6E6"/>
            <w:vAlign w:val="center"/>
          </w:tcPr>
          <w:p w14:paraId="378BE26E" w14:textId="77777777" w:rsidR="00CB33C7" w:rsidRPr="00E87218" w:rsidRDefault="00CB33C7" w:rsidP="00E87218">
            <w:pPr>
              <w:jc w:val="center"/>
              <w:rPr>
                <w:rFonts w:cs="Arial"/>
                <w:b/>
                <w:color w:val="000000"/>
                <w:szCs w:val="22"/>
                <w:lang w:eastAsia="it-IT"/>
              </w:rPr>
            </w:pPr>
            <w:r w:rsidRPr="00E87218">
              <w:rPr>
                <w:rFonts w:cs="Arial"/>
                <w:b/>
                <w:color w:val="000000"/>
                <w:szCs w:val="22"/>
                <w:lang w:eastAsia="it-IT"/>
              </w:rPr>
              <w:t>2026</w:t>
            </w:r>
          </w:p>
        </w:tc>
        <w:tc>
          <w:tcPr>
            <w:tcW w:w="1418" w:type="dxa"/>
            <w:tcBorders>
              <w:bottom w:val="single" w:sz="4" w:space="0" w:color="auto"/>
            </w:tcBorders>
            <w:shd w:val="clear" w:color="auto" w:fill="E6E6E6"/>
            <w:vAlign w:val="center"/>
          </w:tcPr>
          <w:p w14:paraId="0C7A59D9" w14:textId="77777777" w:rsidR="00CB33C7" w:rsidRPr="00E87218" w:rsidRDefault="00CB33C7" w:rsidP="00E87218">
            <w:pPr>
              <w:jc w:val="center"/>
              <w:rPr>
                <w:rFonts w:cs="Arial"/>
                <w:b/>
                <w:color w:val="000000"/>
                <w:szCs w:val="22"/>
                <w:lang w:eastAsia="it-IT"/>
              </w:rPr>
            </w:pPr>
            <w:r w:rsidRPr="00E87218">
              <w:rPr>
                <w:rFonts w:cs="Arial"/>
                <w:b/>
                <w:color w:val="000000"/>
                <w:szCs w:val="22"/>
                <w:lang w:eastAsia="it-IT"/>
              </w:rPr>
              <w:t>2027</w:t>
            </w:r>
          </w:p>
        </w:tc>
        <w:tc>
          <w:tcPr>
            <w:tcW w:w="1276" w:type="dxa"/>
            <w:gridSpan w:val="2"/>
            <w:shd w:val="clear" w:color="auto" w:fill="E6E6E6"/>
            <w:vAlign w:val="center"/>
          </w:tcPr>
          <w:p w14:paraId="4CD5A309" w14:textId="77777777" w:rsidR="00CB33C7" w:rsidRPr="00E87218" w:rsidRDefault="00CB33C7" w:rsidP="00E87218">
            <w:pPr>
              <w:jc w:val="center"/>
              <w:rPr>
                <w:rFonts w:cs="Arial"/>
                <w:b/>
                <w:color w:val="000000"/>
                <w:szCs w:val="22"/>
                <w:lang w:eastAsia="it-IT"/>
              </w:rPr>
            </w:pPr>
            <w:r w:rsidRPr="00E87218">
              <w:rPr>
                <w:rFonts w:cs="Arial"/>
                <w:b/>
                <w:color w:val="000000"/>
                <w:szCs w:val="22"/>
                <w:lang w:eastAsia="it-IT"/>
              </w:rPr>
              <w:t>2028</w:t>
            </w:r>
          </w:p>
        </w:tc>
        <w:tc>
          <w:tcPr>
            <w:tcW w:w="1571" w:type="dxa"/>
            <w:gridSpan w:val="2"/>
            <w:shd w:val="clear" w:color="auto" w:fill="E6E6E6"/>
            <w:vAlign w:val="center"/>
          </w:tcPr>
          <w:p w14:paraId="3ADC7BDE" w14:textId="77777777" w:rsidR="00CB33C7" w:rsidRPr="00E87218" w:rsidRDefault="00CB33C7" w:rsidP="00E87218">
            <w:pPr>
              <w:jc w:val="center"/>
              <w:rPr>
                <w:rFonts w:cs="Arial"/>
                <w:b/>
                <w:color w:val="000000"/>
                <w:szCs w:val="22"/>
                <w:lang w:eastAsia="it-IT"/>
              </w:rPr>
            </w:pPr>
            <w:r w:rsidRPr="00E87218">
              <w:rPr>
                <w:rFonts w:cs="Arial"/>
                <w:b/>
                <w:color w:val="000000"/>
                <w:szCs w:val="22"/>
                <w:lang w:eastAsia="it-IT"/>
              </w:rPr>
              <w:t>РАЗОМ</w:t>
            </w:r>
          </w:p>
        </w:tc>
      </w:tr>
      <w:tr w:rsidR="00CB33C7" w:rsidRPr="00C2587D" w14:paraId="0061BA6D" w14:textId="77777777" w:rsidTr="00EA6E27">
        <w:trPr>
          <w:jc w:val="right"/>
        </w:trPr>
        <w:tc>
          <w:tcPr>
            <w:tcW w:w="3425" w:type="dxa"/>
            <w:vMerge/>
            <w:shd w:val="clear" w:color="auto" w:fill="FFFFFF"/>
            <w:vAlign w:val="center"/>
          </w:tcPr>
          <w:p w14:paraId="154E90F3" w14:textId="77777777" w:rsidR="00CB33C7" w:rsidRPr="00E87218" w:rsidRDefault="00CB33C7" w:rsidP="00E87218">
            <w:pPr>
              <w:rPr>
                <w:rFonts w:cs="Arial"/>
                <w:b/>
                <w:bCs/>
                <w:color w:val="000000"/>
                <w:szCs w:val="22"/>
              </w:rPr>
            </w:pPr>
          </w:p>
        </w:tc>
        <w:tc>
          <w:tcPr>
            <w:tcW w:w="1254" w:type="dxa"/>
            <w:gridSpan w:val="2"/>
            <w:vAlign w:val="center"/>
          </w:tcPr>
          <w:p w14:paraId="021B6E35" w14:textId="77777777" w:rsidR="00CB33C7" w:rsidRPr="00E87218" w:rsidRDefault="00CB33C7" w:rsidP="00E87218">
            <w:pPr>
              <w:jc w:val="center"/>
              <w:rPr>
                <w:rFonts w:cs="Arial"/>
                <w:b/>
                <w:color w:val="000000"/>
                <w:szCs w:val="22"/>
                <w:lang w:eastAsia="it-IT"/>
              </w:rPr>
            </w:pPr>
          </w:p>
        </w:tc>
        <w:tc>
          <w:tcPr>
            <w:tcW w:w="1275" w:type="dxa"/>
            <w:gridSpan w:val="2"/>
            <w:shd w:val="clear" w:color="auto" w:fill="FFFFFF"/>
            <w:vAlign w:val="center"/>
          </w:tcPr>
          <w:p w14:paraId="715F9602" w14:textId="77777777" w:rsidR="00CB33C7" w:rsidRPr="00E87218" w:rsidRDefault="00CB33C7" w:rsidP="00E87218">
            <w:pPr>
              <w:jc w:val="center"/>
              <w:rPr>
                <w:rFonts w:cs="Arial"/>
                <w:b/>
                <w:color w:val="000000"/>
                <w:szCs w:val="22"/>
                <w:lang w:eastAsia="it-IT"/>
              </w:rPr>
            </w:pPr>
            <w:r w:rsidRPr="00E87218">
              <w:rPr>
                <w:rFonts w:cs="Arial"/>
                <w:b/>
                <w:color w:val="000000"/>
                <w:szCs w:val="22"/>
                <w:lang w:eastAsia="it-IT"/>
              </w:rPr>
              <w:t>1257,479</w:t>
            </w:r>
          </w:p>
        </w:tc>
        <w:tc>
          <w:tcPr>
            <w:tcW w:w="1418" w:type="dxa"/>
            <w:shd w:val="clear" w:color="auto" w:fill="auto"/>
            <w:vAlign w:val="center"/>
          </w:tcPr>
          <w:p w14:paraId="7B0AB1C1" w14:textId="77777777" w:rsidR="00CB33C7" w:rsidRPr="00E87218" w:rsidRDefault="00CB33C7" w:rsidP="00E87218">
            <w:pPr>
              <w:jc w:val="center"/>
              <w:rPr>
                <w:rFonts w:cs="Arial"/>
                <w:b/>
                <w:color w:val="000000"/>
                <w:szCs w:val="22"/>
                <w:lang w:eastAsia="it-IT"/>
              </w:rPr>
            </w:pPr>
          </w:p>
        </w:tc>
        <w:tc>
          <w:tcPr>
            <w:tcW w:w="1276" w:type="dxa"/>
            <w:gridSpan w:val="2"/>
            <w:shd w:val="clear" w:color="auto" w:fill="FFFFFF"/>
            <w:vAlign w:val="center"/>
          </w:tcPr>
          <w:p w14:paraId="64522096" w14:textId="77777777" w:rsidR="00CB33C7" w:rsidRPr="00E87218" w:rsidRDefault="00CB33C7" w:rsidP="00E87218">
            <w:pPr>
              <w:jc w:val="center"/>
              <w:rPr>
                <w:rFonts w:cs="Arial"/>
                <w:b/>
                <w:color w:val="000000"/>
                <w:szCs w:val="22"/>
                <w:lang w:eastAsia="it-IT"/>
              </w:rPr>
            </w:pPr>
          </w:p>
        </w:tc>
        <w:tc>
          <w:tcPr>
            <w:tcW w:w="1571" w:type="dxa"/>
            <w:gridSpan w:val="2"/>
            <w:shd w:val="clear" w:color="auto" w:fill="FFFFFF"/>
            <w:vAlign w:val="center"/>
          </w:tcPr>
          <w:p w14:paraId="3DB914DA" w14:textId="77777777" w:rsidR="00CB33C7" w:rsidRPr="00E87218" w:rsidRDefault="00CB33C7" w:rsidP="00E87218">
            <w:pPr>
              <w:jc w:val="center"/>
              <w:rPr>
                <w:rFonts w:cs="Arial"/>
                <w:b/>
                <w:color w:val="000000"/>
                <w:szCs w:val="22"/>
                <w:lang w:eastAsia="it-IT"/>
              </w:rPr>
            </w:pPr>
            <w:r w:rsidRPr="00E87218">
              <w:rPr>
                <w:rFonts w:cs="Arial"/>
                <w:b/>
                <w:color w:val="000000"/>
                <w:szCs w:val="22"/>
                <w:lang w:eastAsia="it-IT"/>
              </w:rPr>
              <w:t>1257,479</w:t>
            </w:r>
          </w:p>
        </w:tc>
      </w:tr>
      <w:tr w:rsidR="00CB33C7" w:rsidRPr="00C2587D" w14:paraId="586F279F" w14:textId="77777777" w:rsidTr="00EA6E27">
        <w:trPr>
          <w:trHeight w:val="276"/>
          <w:jc w:val="right"/>
        </w:trPr>
        <w:tc>
          <w:tcPr>
            <w:tcW w:w="3425" w:type="dxa"/>
            <w:shd w:val="clear" w:color="auto" w:fill="FFFFFF"/>
            <w:vAlign w:val="center"/>
          </w:tcPr>
          <w:p w14:paraId="4039A929" w14:textId="77777777" w:rsidR="00CB33C7" w:rsidRPr="00E87218" w:rsidRDefault="00CB33C7" w:rsidP="00E87218">
            <w:pPr>
              <w:rPr>
                <w:rFonts w:cs="Arial"/>
                <w:b/>
                <w:bCs/>
                <w:color w:val="000000"/>
                <w:szCs w:val="22"/>
              </w:rPr>
            </w:pPr>
            <w:r w:rsidRPr="00E87218">
              <w:rPr>
                <w:rFonts w:cs="Arial"/>
                <w:b/>
                <w:bCs/>
                <w:color w:val="000000"/>
                <w:szCs w:val="22"/>
              </w:rPr>
              <w:t>по джерелах фінансування:</w:t>
            </w:r>
          </w:p>
        </w:tc>
        <w:tc>
          <w:tcPr>
            <w:tcW w:w="6794" w:type="dxa"/>
            <w:gridSpan w:val="9"/>
            <w:vAlign w:val="center"/>
          </w:tcPr>
          <w:p w14:paraId="7F1B6142" w14:textId="77777777" w:rsidR="00CB33C7" w:rsidRPr="00E87218" w:rsidRDefault="00CB33C7" w:rsidP="00E87218">
            <w:pPr>
              <w:jc w:val="both"/>
              <w:rPr>
                <w:rFonts w:cs="Arial"/>
                <w:color w:val="000000"/>
                <w:szCs w:val="22"/>
                <w:lang w:eastAsia="it-IT"/>
              </w:rPr>
            </w:pPr>
          </w:p>
        </w:tc>
      </w:tr>
      <w:tr w:rsidR="00E87218" w:rsidRPr="00C2587D" w14:paraId="6D182CD3" w14:textId="2D74E99A" w:rsidTr="00E87218">
        <w:trPr>
          <w:trHeight w:val="240"/>
          <w:jc w:val="right"/>
        </w:trPr>
        <w:tc>
          <w:tcPr>
            <w:tcW w:w="3425" w:type="dxa"/>
            <w:shd w:val="clear" w:color="auto" w:fill="FFFFFF"/>
            <w:vAlign w:val="center"/>
          </w:tcPr>
          <w:p w14:paraId="3B4FE856" w14:textId="77777777" w:rsidR="00E87218" w:rsidRPr="00E87218" w:rsidRDefault="00E87218" w:rsidP="00E87218">
            <w:pPr>
              <w:rPr>
                <w:rFonts w:cs="Arial"/>
                <w:b/>
                <w:bCs/>
                <w:color w:val="000000"/>
                <w:szCs w:val="22"/>
              </w:rPr>
            </w:pPr>
            <w:r w:rsidRPr="00E87218">
              <w:rPr>
                <w:rFonts w:cs="Arial"/>
                <w:color w:val="000000"/>
                <w:szCs w:val="22"/>
              </w:rPr>
              <w:t>- державний бюджет</w:t>
            </w:r>
          </w:p>
        </w:tc>
        <w:tc>
          <w:tcPr>
            <w:tcW w:w="1233" w:type="dxa"/>
          </w:tcPr>
          <w:p w14:paraId="03910276" w14:textId="77777777" w:rsidR="00E87218" w:rsidRPr="00E87218" w:rsidRDefault="00E87218" w:rsidP="00E87218">
            <w:pPr>
              <w:jc w:val="center"/>
              <w:rPr>
                <w:rFonts w:cs="Arial"/>
                <w:color w:val="000000"/>
                <w:szCs w:val="22"/>
                <w:lang w:eastAsia="it-IT"/>
              </w:rPr>
            </w:pPr>
          </w:p>
        </w:tc>
        <w:tc>
          <w:tcPr>
            <w:tcW w:w="1290" w:type="dxa"/>
            <w:gridSpan w:val="2"/>
          </w:tcPr>
          <w:p w14:paraId="3DC7CF04" w14:textId="77777777" w:rsidR="00E87218" w:rsidRPr="00E87218" w:rsidRDefault="00E87218" w:rsidP="00E87218">
            <w:pPr>
              <w:jc w:val="center"/>
              <w:rPr>
                <w:rFonts w:cs="Arial"/>
                <w:color w:val="000000"/>
                <w:szCs w:val="22"/>
                <w:lang w:eastAsia="it-IT"/>
              </w:rPr>
            </w:pPr>
          </w:p>
        </w:tc>
        <w:tc>
          <w:tcPr>
            <w:tcW w:w="1452" w:type="dxa"/>
            <w:gridSpan w:val="3"/>
          </w:tcPr>
          <w:p w14:paraId="663878E0" w14:textId="77777777" w:rsidR="00E87218" w:rsidRPr="00E87218" w:rsidRDefault="00E87218" w:rsidP="00E87218">
            <w:pPr>
              <w:jc w:val="center"/>
              <w:rPr>
                <w:rFonts w:cs="Arial"/>
                <w:color w:val="000000"/>
                <w:szCs w:val="22"/>
                <w:lang w:eastAsia="it-IT"/>
              </w:rPr>
            </w:pPr>
          </w:p>
        </w:tc>
        <w:tc>
          <w:tcPr>
            <w:tcW w:w="1256" w:type="dxa"/>
            <w:gridSpan w:val="2"/>
          </w:tcPr>
          <w:p w14:paraId="109A8C19" w14:textId="77777777" w:rsidR="00E87218" w:rsidRPr="00E87218" w:rsidRDefault="00E87218" w:rsidP="00E87218">
            <w:pPr>
              <w:jc w:val="center"/>
              <w:rPr>
                <w:rFonts w:cs="Arial"/>
                <w:color w:val="000000"/>
                <w:szCs w:val="22"/>
                <w:lang w:eastAsia="it-IT"/>
              </w:rPr>
            </w:pPr>
          </w:p>
        </w:tc>
        <w:tc>
          <w:tcPr>
            <w:tcW w:w="1563" w:type="dxa"/>
          </w:tcPr>
          <w:p w14:paraId="79328957" w14:textId="77777777" w:rsidR="00E87218" w:rsidRPr="00E87218" w:rsidRDefault="00E87218" w:rsidP="00E87218">
            <w:pPr>
              <w:jc w:val="center"/>
              <w:rPr>
                <w:rFonts w:cs="Arial"/>
                <w:color w:val="000000"/>
                <w:szCs w:val="22"/>
                <w:lang w:eastAsia="it-IT"/>
              </w:rPr>
            </w:pPr>
          </w:p>
        </w:tc>
      </w:tr>
      <w:tr w:rsidR="00E87218" w:rsidRPr="00C2587D" w14:paraId="1FED35AC" w14:textId="1D6AF994" w:rsidTr="00E87218">
        <w:trPr>
          <w:trHeight w:val="254"/>
          <w:jc w:val="right"/>
        </w:trPr>
        <w:tc>
          <w:tcPr>
            <w:tcW w:w="3425" w:type="dxa"/>
            <w:shd w:val="clear" w:color="auto" w:fill="FFFFFF"/>
            <w:vAlign w:val="center"/>
          </w:tcPr>
          <w:p w14:paraId="537C9130" w14:textId="77777777" w:rsidR="00E87218" w:rsidRPr="00E87218" w:rsidRDefault="00E87218" w:rsidP="00E87218">
            <w:pPr>
              <w:rPr>
                <w:rFonts w:cs="Arial"/>
                <w:color w:val="000000"/>
                <w:szCs w:val="22"/>
              </w:rPr>
            </w:pPr>
            <w:r w:rsidRPr="00E87218">
              <w:rPr>
                <w:rFonts w:cs="Arial"/>
                <w:color w:val="000000"/>
                <w:szCs w:val="22"/>
              </w:rPr>
              <w:t>- обласний бюджет</w:t>
            </w:r>
          </w:p>
        </w:tc>
        <w:tc>
          <w:tcPr>
            <w:tcW w:w="1233" w:type="dxa"/>
          </w:tcPr>
          <w:p w14:paraId="6CDAC610" w14:textId="77777777" w:rsidR="00E87218" w:rsidRPr="00E87218" w:rsidRDefault="00E87218" w:rsidP="00E87218">
            <w:pPr>
              <w:jc w:val="center"/>
              <w:rPr>
                <w:rFonts w:cs="Arial"/>
                <w:color w:val="000000"/>
                <w:szCs w:val="22"/>
                <w:lang w:eastAsia="it-IT"/>
              </w:rPr>
            </w:pPr>
          </w:p>
        </w:tc>
        <w:tc>
          <w:tcPr>
            <w:tcW w:w="1290" w:type="dxa"/>
            <w:gridSpan w:val="2"/>
          </w:tcPr>
          <w:p w14:paraId="629BFAF1" w14:textId="77777777" w:rsidR="00E87218" w:rsidRPr="00E87218" w:rsidRDefault="00E87218" w:rsidP="00E87218">
            <w:pPr>
              <w:jc w:val="center"/>
              <w:rPr>
                <w:rFonts w:cs="Arial"/>
                <w:color w:val="000000"/>
                <w:szCs w:val="22"/>
                <w:lang w:eastAsia="it-IT"/>
              </w:rPr>
            </w:pPr>
          </w:p>
        </w:tc>
        <w:tc>
          <w:tcPr>
            <w:tcW w:w="1452" w:type="dxa"/>
            <w:gridSpan w:val="3"/>
          </w:tcPr>
          <w:p w14:paraId="1ED66B6A" w14:textId="77777777" w:rsidR="00E87218" w:rsidRPr="00E87218" w:rsidRDefault="00E87218" w:rsidP="00E87218">
            <w:pPr>
              <w:jc w:val="center"/>
              <w:rPr>
                <w:rFonts w:cs="Arial"/>
                <w:color w:val="000000"/>
                <w:szCs w:val="22"/>
                <w:lang w:eastAsia="it-IT"/>
              </w:rPr>
            </w:pPr>
          </w:p>
        </w:tc>
        <w:tc>
          <w:tcPr>
            <w:tcW w:w="1256" w:type="dxa"/>
            <w:gridSpan w:val="2"/>
          </w:tcPr>
          <w:p w14:paraId="119B6934" w14:textId="77777777" w:rsidR="00E87218" w:rsidRPr="00E87218" w:rsidRDefault="00E87218" w:rsidP="00E87218">
            <w:pPr>
              <w:jc w:val="center"/>
              <w:rPr>
                <w:rFonts w:cs="Arial"/>
                <w:color w:val="000000"/>
                <w:szCs w:val="22"/>
                <w:lang w:eastAsia="it-IT"/>
              </w:rPr>
            </w:pPr>
          </w:p>
        </w:tc>
        <w:tc>
          <w:tcPr>
            <w:tcW w:w="1563" w:type="dxa"/>
          </w:tcPr>
          <w:p w14:paraId="2BF5695A" w14:textId="77777777" w:rsidR="00E87218" w:rsidRPr="00E87218" w:rsidRDefault="00E87218" w:rsidP="00E87218">
            <w:pPr>
              <w:jc w:val="center"/>
              <w:rPr>
                <w:rFonts w:cs="Arial"/>
                <w:color w:val="000000"/>
                <w:szCs w:val="22"/>
                <w:lang w:eastAsia="it-IT"/>
              </w:rPr>
            </w:pPr>
          </w:p>
        </w:tc>
      </w:tr>
      <w:tr w:rsidR="00E87218" w:rsidRPr="00C2587D" w14:paraId="7390F156" w14:textId="3067877E" w:rsidTr="00E87218">
        <w:trPr>
          <w:trHeight w:val="275"/>
          <w:jc w:val="right"/>
        </w:trPr>
        <w:tc>
          <w:tcPr>
            <w:tcW w:w="3425" w:type="dxa"/>
            <w:shd w:val="clear" w:color="auto" w:fill="FFFFFF"/>
            <w:vAlign w:val="center"/>
          </w:tcPr>
          <w:p w14:paraId="6A30C3A6" w14:textId="77777777" w:rsidR="00E87218" w:rsidRPr="00E87218" w:rsidRDefault="00E87218" w:rsidP="00E87218">
            <w:pPr>
              <w:rPr>
                <w:rFonts w:cs="Arial"/>
                <w:color w:val="000000"/>
                <w:szCs w:val="22"/>
              </w:rPr>
            </w:pPr>
            <w:r w:rsidRPr="00E87218">
              <w:rPr>
                <w:rFonts w:cs="Arial"/>
                <w:color w:val="000000"/>
                <w:szCs w:val="22"/>
              </w:rPr>
              <w:t>- бюджет Жмеринської МТГ</w:t>
            </w:r>
          </w:p>
        </w:tc>
        <w:tc>
          <w:tcPr>
            <w:tcW w:w="1233" w:type="dxa"/>
          </w:tcPr>
          <w:p w14:paraId="6BCEB209" w14:textId="2EA851FF" w:rsidR="00E87218" w:rsidRPr="00E87218" w:rsidRDefault="00E87218" w:rsidP="00E87218">
            <w:pPr>
              <w:jc w:val="center"/>
              <w:rPr>
                <w:rFonts w:cs="Arial"/>
                <w:color w:val="000000"/>
                <w:szCs w:val="22"/>
                <w:lang w:eastAsia="it-IT"/>
              </w:rPr>
            </w:pPr>
          </w:p>
        </w:tc>
        <w:tc>
          <w:tcPr>
            <w:tcW w:w="1290" w:type="dxa"/>
            <w:gridSpan w:val="2"/>
          </w:tcPr>
          <w:p w14:paraId="26DA5CCE" w14:textId="32695A24" w:rsidR="00E87218" w:rsidRPr="00E87218" w:rsidRDefault="00E87218" w:rsidP="00E87218">
            <w:pPr>
              <w:jc w:val="center"/>
              <w:rPr>
                <w:rFonts w:cs="Arial"/>
                <w:color w:val="000000"/>
                <w:szCs w:val="22"/>
                <w:lang w:eastAsia="it-IT"/>
              </w:rPr>
            </w:pPr>
            <w:r w:rsidRPr="00E87218">
              <w:rPr>
                <w:rFonts w:cs="Arial"/>
                <w:b/>
                <w:color w:val="000000"/>
                <w:szCs w:val="22"/>
                <w:lang w:eastAsia="it-IT"/>
              </w:rPr>
              <w:t>1257,479</w:t>
            </w:r>
          </w:p>
        </w:tc>
        <w:tc>
          <w:tcPr>
            <w:tcW w:w="1452" w:type="dxa"/>
            <w:gridSpan w:val="3"/>
          </w:tcPr>
          <w:p w14:paraId="2E63722F" w14:textId="0CE0EE42" w:rsidR="00E87218" w:rsidRPr="00E87218" w:rsidRDefault="00E87218" w:rsidP="00E87218">
            <w:pPr>
              <w:jc w:val="center"/>
              <w:rPr>
                <w:rFonts w:cs="Arial"/>
                <w:color w:val="000000"/>
                <w:szCs w:val="22"/>
                <w:lang w:eastAsia="it-IT"/>
              </w:rPr>
            </w:pPr>
          </w:p>
        </w:tc>
        <w:tc>
          <w:tcPr>
            <w:tcW w:w="1256" w:type="dxa"/>
            <w:gridSpan w:val="2"/>
          </w:tcPr>
          <w:p w14:paraId="6A810235" w14:textId="16EC8ADF" w:rsidR="00E87218" w:rsidRPr="00E87218" w:rsidRDefault="00E87218" w:rsidP="00E87218">
            <w:pPr>
              <w:jc w:val="center"/>
              <w:rPr>
                <w:rFonts w:cs="Arial"/>
                <w:color w:val="000000"/>
                <w:szCs w:val="22"/>
                <w:lang w:eastAsia="it-IT"/>
              </w:rPr>
            </w:pPr>
          </w:p>
        </w:tc>
        <w:tc>
          <w:tcPr>
            <w:tcW w:w="1563" w:type="dxa"/>
          </w:tcPr>
          <w:p w14:paraId="0EC5B4DC" w14:textId="07DBD0F9" w:rsidR="00E87218" w:rsidRPr="00E87218" w:rsidRDefault="00E87218" w:rsidP="00E87218">
            <w:pPr>
              <w:jc w:val="center"/>
              <w:rPr>
                <w:rFonts w:cs="Arial"/>
                <w:b/>
                <w:color w:val="000000"/>
                <w:szCs w:val="22"/>
                <w:lang w:eastAsia="it-IT"/>
              </w:rPr>
            </w:pPr>
            <w:r w:rsidRPr="00E87218">
              <w:rPr>
                <w:rFonts w:cs="Arial"/>
                <w:b/>
                <w:color w:val="000000"/>
                <w:szCs w:val="22"/>
                <w:lang w:eastAsia="it-IT"/>
              </w:rPr>
              <w:t>1257,479</w:t>
            </w:r>
          </w:p>
        </w:tc>
      </w:tr>
      <w:tr w:rsidR="00E87218" w:rsidRPr="00C2587D" w14:paraId="3B994DA8" w14:textId="756B4498" w:rsidTr="00E87218">
        <w:trPr>
          <w:trHeight w:val="226"/>
          <w:jc w:val="right"/>
        </w:trPr>
        <w:tc>
          <w:tcPr>
            <w:tcW w:w="3425" w:type="dxa"/>
            <w:shd w:val="clear" w:color="auto" w:fill="FFFFFF"/>
            <w:vAlign w:val="center"/>
          </w:tcPr>
          <w:p w14:paraId="1A876A01" w14:textId="77777777" w:rsidR="00E87218" w:rsidRPr="00E87218" w:rsidRDefault="00E87218" w:rsidP="00E87218">
            <w:pPr>
              <w:rPr>
                <w:rFonts w:cs="Arial"/>
                <w:color w:val="000000"/>
                <w:szCs w:val="22"/>
              </w:rPr>
            </w:pPr>
            <w:r w:rsidRPr="00E87218">
              <w:rPr>
                <w:rFonts w:cs="Arial"/>
                <w:color w:val="000000"/>
                <w:szCs w:val="22"/>
              </w:rPr>
              <w:t>- інші джерела фінансування</w:t>
            </w:r>
          </w:p>
        </w:tc>
        <w:tc>
          <w:tcPr>
            <w:tcW w:w="1233" w:type="dxa"/>
          </w:tcPr>
          <w:p w14:paraId="57FA6248" w14:textId="77777777" w:rsidR="00E87218" w:rsidRPr="00E87218" w:rsidRDefault="00E87218" w:rsidP="00E87218">
            <w:pPr>
              <w:jc w:val="center"/>
              <w:rPr>
                <w:rFonts w:cs="Arial"/>
                <w:color w:val="000000"/>
                <w:szCs w:val="22"/>
                <w:lang w:eastAsia="it-IT"/>
              </w:rPr>
            </w:pPr>
          </w:p>
        </w:tc>
        <w:tc>
          <w:tcPr>
            <w:tcW w:w="1290" w:type="dxa"/>
            <w:gridSpan w:val="2"/>
          </w:tcPr>
          <w:p w14:paraId="3907C27E" w14:textId="77777777" w:rsidR="00E87218" w:rsidRPr="00E87218" w:rsidRDefault="00E87218" w:rsidP="00E87218">
            <w:pPr>
              <w:jc w:val="center"/>
              <w:rPr>
                <w:rFonts w:cs="Arial"/>
                <w:color w:val="000000"/>
                <w:szCs w:val="22"/>
                <w:lang w:eastAsia="it-IT"/>
              </w:rPr>
            </w:pPr>
          </w:p>
        </w:tc>
        <w:tc>
          <w:tcPr>
            <w:tcW w:w="1452" w:type="dxa"/>
            <w:gridSpan w:val="3"/>
          </w:tcPr>
          <w:p w14:paraId="75CB7335" w14:textId="77777777" w:rsidR="00E87218" w:rsidRPr="00E87218" w:rsidRDefault="00E87218" w:rsidP="00E87218">
            <w:pPr>
              <w:jc w:val="center"/>
              <w:rPr>
                <w:rFonts w:cs="Arial"/>
                <w:color w:val="000000"/>
                <w:szCs w:val="22"/>
                <w:lang w:eastAsia="it-IT"/>
              </w:rPr>
            </w:pPr>
          </w:p>
        </w:tc>
        <w:tc>
          <w:tcPr>
            <w:tcW w:w="1256" w:type="dxa"/>
            <w:gridSpan w:val="2"/>
          </w:tcPr>
          <w:p w14:paraId="55FC415C" w14:textId="77777777" w:rsidR="00E87218" w:rsidRPr="00E87218" w:rsidRDefault="00E87218" w:rsidP="00E87218">
            <w:pPr>
              <w:jc w:val="center"/>
              <w:rPr>
                <w:rFonts w:cs="Arial"/>
                <w:color w:val="000000"/>
                <w:szCs w:val="22"/>
                <w:lang w:eastAsia="it-IT"/>
              </w:rPr>
            </w:pPr>
          </w:p>
        </w:tc>
        <w:tc>
          <w:tcPr>
            <w:tcW w:w="1563" w:type="dxa"/>
          </w:tcPr>
          <w:p w14:paraId="2F336D90" w14:textId="77777777" w:rsidR="00E87218" w:rsidRPr="00E87218" w:rsidRDefault="00E87218" w:rsidP="00E87218">
            <w:pPr>
              <w:jc w:val="center"/>
              <w:rPr>
                <w:rFonts w:cs="Arial"/>
                <w:color w:val="000000"/>
                <w:szCs w:val="22"/>
                <w:lang w:eastAsia="it-IT"/>
              </w:rPr>
            </w:pPr>
          </w:p>
        </w:tc>
      </w:tr>
      <w:tr w:rsidR="00CB33C7" w:rsidRPr="00C2587D" w14:paraId="150259E3" w14:textId="77777777" w:rsidTr="00EA6E27">
        <w:trPr>
          <w:jc w:val="right"/>
        </w:trPr>
        <w:tc>
          <w:tcPr>
            <w:tcW w:w="3425" w:type="dxa"/>
            <w:shd w:val="clear" w:color="auto" w:fill="FFFFFF"/>
            <w:vAlign w:val="center"/>
          </w:tcPr>
          <w:p w14:paraId="0344F649" w14:textId="77777777" w:rsidR="00CB33C7" w:rsidRPr="00E87218" w:rsidRDefault="00CB33C7" w:rsidP="00E87218">
            <w:pPr>
              <w:rPr>
                <w:rFonts w:cs="Arial"/>
                <w:b/>
                <w:bCs/>
                <w:color w:val="000000"/>
                <w:szCs w:val="22"/>
              </w:rPr>
            </w:pPr>
            <w:r w:rsidRPr="00E87218">
              <w:rPr>
                <w:rFonts w:cs="Arial"/>
                <w:b/>
                <w:color w:val="000000"/>
                <w:szCs w:val="22"/>
              </w:rPr>
              <w:t>Відповідальний виконавець проєкту:</w:t>
            </w:r>
          </w:p>
        </w:tc>
        <w:tc>
          <w:tcPr>
            <w:tcW w:w="6794" w:type="dxa"/>
            <w:gridSpan w:val="9"/>
            <w:vAlign w:val="center"/>
          </w:tcPr>
          <w:p w14:paraId="01117000" w14:textId="2157248C" w:rsidR="00CB33C7" w:rsidRPr="00E87218" w:rsidRDefault="00CB33C7" w:rsidP="00E87218">
            <w:pPr>
              <w:jc w:val="both"/>
              <w:rPr>
                <w:rFonts w:cs="Arial"/>
                <w:color w:val="000000"/>
                <w:szCs w:val="22"/>
                <w:lang w:eastAsia="it-IT"/>
              </w:rPr>
            </w:pPr>
            <w:r w:rsidRPr="00E87218">
              <w:rPr>
                <w:rFonts w:cs="Arial"/>
                <w:color w:val="000000"/>
                <w:szCs w:val="22"/>
                <w:lang w:eastAsia="it-IT"/>
              </w:rPr>
              <w:t>Управління ЖКГ.</w:t>
            </w:r>
          </w:p>
        </w:tc>
      </w:tr>
      <w:tr w:rsidR="00CB33C7" w:rsidRPr="00C2587D" w14:paraId="285A6A49" w14:textId="77777777" w:rsidTr="00EA6E27">
        <w:trPr>
          <w:jc w:val="right"/>
        </w:trPr>
        <w:tc>
          <w:tcPr>
            <w:tcW w:w="3425" w:type="dxa"/>
            <w:shd w:val="clear" w:color="auto" w:fill="FFFFFF"/>
            <w:vAlign w:val="center"/>
          </w:tcPr>
          <w:p w14:paraId="163F218D" w14:textId="77777777" w:rsidR="00CB33C7" w:rsidRPr="00E87218" w:rsidRDefault="00CB33C7" w:rsidP="00E87218">
            <w:pPr>
              <w:rPr>
                <w:rFonts w:cs="Arial"/>
                <w:b/>
                <w:bCs/>
                <w:color w:val="000000"/>
                <w:szCs w:val="22"/>
              </w:rPr>
            </w:pPr>
            <w:r w:rsidRPr="00E87218">
              <w:rPr>
                <w:rFonts w:cs="Arial"/>
                <w:b/>
                <w:bCs/>
                <w:color w:val="000000"/>
                <w:szCs w:val="22"/>
              </w:rPr>
              <w:t>Інше:</w:t>
            </w:r>
          </w:p>
        </w:tc>
        <w:tc>
          <w:tcPr>
            <w:tcW w:w="6794" w:type="dxa"/>
            <w:gridSpan w:val="9"/>
            <w:vAlign w:val="center"/>
          </w:tcPr>
          <w:p w14:paraId="0EF6D32A" w14:textId="77777777" w:rsidR="00CB33C7" w:rsidRPr="00E87218" w:rsidRDefault="00CB33C7" w:rsidP="00E87218">
            <w:pPr>
              <w:rPr>
                <w:rFonts w:cs="Arial"/>
                <w:color w:val="000000"/>
                <w:szCs w:val="22"/>
                <w:lang w:eastAsia="it-IT"/>
              </w:rPr>
            </w:pPr>
          </w:p>
          <w:p w14:paraId="2E0F9F2E" w14:textId="77777777" w:rsidR="00CB33C7" w:rsidRPr="00E87218" w:rsidRDefault="00CB33C7" w:rsidP="00E87218">
            <w:pPr>
              <w:rPr>
                <w:rFonts w:cs="Arial"/>
                <w:color w:val="000000"/>
                <w:szCs w:val="22"/>
                <w:lang w:eastAsia="it-IT"/>
              </w:rPr>
            </w:pPr>
          </w:p>
        </w:tc>
      </w:tr>
    </w:tbl>
    <w:p w14:paraId="2FAC480D" w14:textId="77777777" w:rsidR="00CB33C7" w:rsidRPr="00C2587D" w:rsidRDefault="00CB33C7" w:rsidP="00CB33C7"/>
    <w:p w14:paraId="7F54EE87" w14:textId="77777777" w:rsidR="00CB33C7" w:rsidRPr="00C2587D" w:rsidRDefault="00CB33C7" w:rsidP="00CB33C7"/>
    <w:p w14:paraId="6CF73C6A" w14:textId="77777777" w:rsidR="00820A36" w:rsidRDefault="00820A36" w:rsidP="00CB33C7">
      <w:pPr>
        <w:jc w:val="center"/>
        <w:rPr>
          <w:rFonts w:cs="Arial"/>
          <w:b/>
          <w:color w:val="000000"/>
          <w:szCs w:val="22"/>
        </w:rPr>
      </w:pPr>
    </w:p>
    <w:p w14:paraId="784FA464" w14:textId="77777777" w:rsidR="00CB33C7" w:rsidRPr="00C2587D" w:rsidRDefault="00CB33C7" w:rsidP="00CB33C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226295C7" w14:textId="77777777" w:rsidR="00CB33C7" w:rsidRPr="00C2587D" w:rsidRDefault="00CB33C7" w:rsidP="00CB33C7">
      <w:pPr>
        <w:jc w:val="center"/>
        <w:rPr>
          <w:rFonts w:cs="Arial"/>
          <w:b/>
          <w:color w:val="000000"/>
          <w:szCs w:val="22"/>
        </w:rPr>
      </w:pPr>
      <w:r w:rsidRPr="00C2587D">
        <w:rPr>
          <w:rFonts w:cs="Arial"/>
          <w:b/>
          <w:color w:val="000000"/>
          <w:szCs w:val="22"/>
        </w:rPr>
        <w:t>до Плану заходів з реалізації Стратегії</w:t>
      </w:r>
    </w:p>
    <w:p w14:paraId="3B18BA1A" w14:textId="77777777" w:rsidR="00CB33C7" w:rsidRPr="00C2587D" w:rsidRDefault="00CB33C7" w:rsidP="00CB33C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3"/>
        <w:gridCol w:w="1256"/>
        <w:gridCol w:w="1412"/>
        <w:gridCol w:w="28"/>
        <w:gridCol w:w="1253"/>
        <w:gridCol w:w="26"/>
        <w:gridCol w:w="1250"/>
        <w:gridCol w:w="28"/>
        <w:gridCol w:w="1543"/>
      </w:tblGrid>
      <w:tr w:rsidR="00CB33C7" w:rsidRPr="00C2587D" w14:paraId="433A39C3" w14:textId="77777777" w:rsidTr="008E3BCA">
        <w:trPr>
          <w:jc w:val="right"/>
        </w:trPr>
        <w:tc>
          <w:tcPr>
            <w:tcW w:w="3423" w:type="dxa"/>
            <w:vAlign w:val="center"/>
          </w:tcPr>
          <w:p w14:paraId="3EA843DF" w14:textId="77777777" w:rsidR="00CB33C7" w:rsidRPr="00E87218" w:rsidRDefault="00CB33C7" w:rsidP="00E87218">
            <w:pPr>
              <w:rPr>
                <w:rFonts w:cs="Arial"/>
                <w:b/>
                <w:bCs/>
                <w:color w:val="000000"/>
                <w:szCs w:val="22"/>
              </w:rPr>
            </w:pPr>
            <w:r w:rsidRPr="00E87218">
              <w:rPr>
                <w:rFonts w:cs="Arial"/>
                <w:b/>
                <w:bCs/>
                <w:color w:val="000000"/>
                <w:szCs w:val="22"/>
              </w:rPr>
              <w:t>Назва проєкту:</w:t>
            </w:r>
          </w:p>
        </w:tc>
        <w:tc>
          <w:tcPr>
            <w:tcW w:w="6796" w:type="dxa"/>
            <w:gridSpan w:val="8"/>
          </w:tcPr>
          <w:p w14:paraId="5840A657" w14:textId="77777777" w:rsidR="00CB33C7" w:rsidRPr="00E87218" w:rsidRDefault="00CB33C7" w:rsidP="00E87218">
            <w:pPr>
              <w:rPr>
                <w:rFonts w:cs="Arial"/>
                <w:b/>
                <w:szCs w:val="22"/>
                <w:lang w:eastAsia="it-IT"/>
              </w:rPr>
            </w:pPr>
            <w:r w:rsidRPr="00E87218">
              <w:rPr>
                <w:rFonts w:cs="Arial"/>
                <w:b/>
                <w:szCs w:val="22"/>
                <w:lang w:eastAsia="it-IT"/>
              </w:rPr>
              <w:t>Реконструкція очисних споруд каналізації (ОСК) в с. Сідава, Жмеринського району</w:t>
            </w:r>
          </w:p>
        </w:tc>
      </w:tr>
      <w:tr w:rsidR="00CB33C7" w:rsidRPr="00C2587D" w14:paraId="63B8ECBA" w14:textId="77777777" w:rsidTr="008E3BCA">
        <w:trPr>
          <w:jc w:val="right"/>
        </w:trPr>
        <w:tc>
          <w:tcPr>
            <w:tcW w:w="3423" w:type="dxa"/>
          </w:tcPr>
          <w:p w14:paraId="2BC6C5BB" w14:textId="77777777" w:rsidR="00CB33C7" w:rsidRPr="00E87218" w:rsidRDefault="00CB33C7" w:rsidP="00E87218">
            <w:pPr>
              <w:rPr>
                <w:rFonts w:cs="Arial"/>
                <w:szCs w:val="22"/>
                <w:lang w:eastAsia="it-IT"/>
              </w:rPr>
            </w:pPr>
            <w:r w:rsidRPr="00E87218">
              <w:rPr>
                <w:rFonts w:cs="Arial"/>
                <w:b/>
                <w:bCs/>
                <w:szCs w:val="22"/>
              </w:rPr>
              <w:t>Ваші контакти</w:t>
            </w:r>
            <w:r w:rsidRPr="00E87218">
              <w:rPr>
                <w:rFonts w:cs="Arial"/>
                <w:szCs w:val="22"/>
                <w:lang w:eastAsia="it-IT"/>
              </w:rPr>
              <w:t>:</w:t>
            </w:r>
          </w:p>
          <w:p w14:paraId="039C7340" w14:textId="77777777" w:rsidR="00CB33C7" w:rsidRPr="00E87218" w:rsidRDefault="00CB33C7" w:rsidP="00E87218">
            <w:pPr>
              <w:rPr>
                <w:rFonts w:cs="Arial"/>
                <w:b/>
                <w:bCs/>
                <w:szCs w:val="22"/>
              </w:rPr>
            </w:pPr>
            <w:r w:rsidRPr="00E87218">
              <w:rPr>
                <w:rFonts w:cs="Arial"/>
                <w:szCs w:val="22"/>
                <w:lang w:eastAsia="it-IT"/>
              </w:rPr>
              <w:t>Назва установи, організації, підприємства</w:t>
            </w:r>
          </w:p>
        </w:tc>
        <w:tc>
          <w:tcPr>
            <w:tcW w:w="6796" w:type="dxa"/>
            <w:gridSpan w:val="8"/>
          </w:tcPr>
          <w:p w14:paraId="23FE0956" w14:textId="77777777" w:rsidR="00CB33C7" w:rsidRPr="00E87218" w:rsidRDefault="00CB33C7" w:rsidP="00E87218">
            <w:pPr>
              <w:rPr>
                <w:rFonts w:cs="Arial"/>
                <w:szCs w:val="22"/>
                <w:lang w:eastAsia="it-IT"/>
              </w:rPr>
            </w:pPr>
            <w:r w:rsidRPr="00E87218">
              <w:rPr>
                <w:rFonts w:cs="Arial"/>
                <w:szCs w:val="22"/>
                <w:lang w:eastAsia="it-IT"/>
              </w:rPr>
              <w:t>Управління житлово-комунального господарства Жмеринської міської ради</w:t>
            </w:r>
          </w:p>
        </w:tc>
      </w:tr>
      <w:tr w:rsidR="00CB33C7" w:rsidRPr="00C2587D" w14:paraId="59C46438" w14:textId="77777777" w:rsidTr="008E3BCA">
        <w:trPr>
          <w:jc w:val="right"/>
        </w:trPr>
        <w:tc>
          <w:tcPr>
            <w:tcW w:w="3423" w:type="dxa"/>
          </w:tcPr>
          <w:p w14:paraId="485E7629" w14:textId="77777777" w:rsidR="00CB33C7" w:rsidRPr="00E87218" w:rsidRDefault="00CB33C7" w:rsidP="00E87218">
            <w:pPr>
              <w:rPr>
                <w:rFonts w:cs="Arial"/>
                <w:b/>
                <w:bCs/>
                <w:szCs w:val="22"/>
              </w:rPr>
            </w:pPr>
            <w:r w:rsidRPr="00E87218">
              <w:rPr>
                <w:rFonts w:cs="Arial"/>
                <w:szCs w:val="22"/>
                <w:lang w:eastAsia="it-IT"/>
              </w:rPr>
              <w:t>Прізвище Ім’я По-батькові:</w:t>
            </w:r>
          </w:p>
        </w:tc>
        <w:tc>
          <w:tcPr>
            <w:tcW w:w="6796" w:type="dxa"/>
            <w:gridSpan w:val="8"/>
          </w:tcPr>
          <w:p w14:paraId="6AE7CD85" w14:textId="77777777" w:rsidR="00CB33C7" w:rsidRPr="00E87218" w:rsidRDefault="00CB33C7" w:rsidP="00E87218">
            <w:pPr>
              <w:rPr>
                <w:rFonts w:cs="Arial"/>
                <w:szCs w:val="22"/>
                <w:lang w:eastAsia="it-IT"/>
              </w:rPr>
            </w:pPr>
            <w:r w:rsidRPr="00E87218">
              <w:rPr>
                <w:rFonts w:cs="Arial"/>
                <w:szCs w:val="22"/>
                <w:lang w:eastAsia="it-IT"/>
              </w:rPr>
              <w:t>Оленич Андрій Васильович</w:t>
            </w:r>
          </w:p>
        </w:tc>
      </w:tr>
      <w:tr w:rsidR="00CB33C7" w:rsidRPr="00C2587D" w14:paraId="73AACA2A" w14:textId="77777777" w:rsidTr="008E3BCA">
        <w:trPr>
          <w:jc w:val="right"/>
        </w:trPr>
        <w:tc>
          <w:tcPr>
            <w:tcW w:w="3423" w:type="dxa"/>
          </w:tcPr>
          <w:p w14:paraId="5E45B0C1" w14:textId="77777777" w:rsidR="00CB33C7" w:rsidRPr="00E87218" w:rsidRDefault="00CB33C7" w:rsidP="00E87218">
            <w:pPr>
              <w:rPr>
                <w:rFonts w:cs="Arial"/>
                <w:b/>
                <w:bCs/>
                <w:szCs w:val="22"/>
              </w:rPr>
            </w:pPr>
            <w:r w:rsidRPr="00E87218">
              <w:rPr>
                <w:rFonts w:cs="Arial"/>
                <w:szCs w:val="22"/>
                <w:lang w:eastAsia="it-IT"/>
              </w:rPr>
              <w:t>Телефон (мобільний):</w:t>
            </w:r>
          </w:p>
        </w:tc>
        <w:tc>
          <w:tcPr>
            <w:tcW w:w="6796" w:type="dxa"/>
            <w:gridSpan w:val="8"/>
          </w:tcPr>
          <w:p w14:paraId="329AB1FB" w14:textId="77777777" w:rsidR="00CB33C7" w:rsidRPr="00E87218" w:rsidRDefault="00CB33C7" w:rsidP="00E87218">
            <w:pPr>
              <w:rPr>
                <w:rFonts w:cs="Arial"/>
                <w:szCs w:val="22"/>
                <w:lang w:eastAsia="it-IT"/>
              </w:rPr>
            </w:pPr>
            <w:r w:rsidRPr="00E87218">
              <w:rPr>
                <w:rFonts w:cs="Arial"/>
                <w:szCs w:val="22"/>
                <w:lang w:eastAsia="it-IT"/>
              </w:rPr>
              <w:t>0972561907</w:t>
            </w:r>
          </w:p>
        </w:tc>
      </w:tr>
      <w:tr w:rsidR="00CB33C7" w:rsidRPr="00C2587D" w14:paraId="690B706B" w14:textId="77777777" w:rsidTr="008E3BCA">
        <w:trPr>
          <w:jc w:val="right"/>
        </w:trPr>
        <w:tc>
          <w:tcPr>
            <w:tcW w:w="3423" w:type="dxa"/>
          </w:tcPr>
          <w:p w14:paraId="7A1AA13E" w14:textId="77777777" w:rsidR="00CB33C7" w:rsidRPr="00E87218" w:rsidRDefault="00CB33C7" w:rsidP="00E87218">
            <w:pPr>
              <w:rPr>
                <w:rFonts w:cs="Arial"/>
                <w:b/>
                <w:bCs/>
                <w:szCs w:val="22"/>
              </w:rPr>
            </w:pPr>
            <w:r w:rsidRPr="00E87218">
              <w:rPr>
                <w:rFonts w:cs="Arial"/>
                <w:szCs w:val="22"/>
                <w:lang w:eastAsia="it-IT"/>
              </w:rPr>
              <w:t>Електронна адреса:</w:t>
            </w:r>
          </w:p>
        </w:tc>
        <w:tc>
          <w:tcPr>
            <w:tcW w:w="6796" w:type="dxa"/>
            <w:gridSpan w:val="8"/>
          </w:tcPr>
          <w:p w14:paraId="6AA8CE9E" w14:textId="77777777" w:rsidR="00CB33C7" w:rsidRPr="00E87218" w:rsidRDefault="00D85FFD" w:rsidP="00E87218">
            <w:pPr>
              <w:rPr>
                <w:rFonts w:cs="Arial"/>
                <w:szCs w:val="22"/>
                <w:lang w:eastAsia="it-IT"/>
              </w:rPr>
            </w:pPr>
            <w:hyperlink r:id="rId72" w:history="1">
              <w:r w:rsidR="00CB33C7" w:rsidRPr="00E87218">
                <w:rPr>
                  <w:rStyle w:val="af0"/>
                  <w:rFonts w:cs="Arial"/>
                  <w:noProof w:val="0"/>
                  <w:sz w:val="22"/>
                  <w:szCs w:val="22"/>
                  <w:lang w:eastAsia="it-IT"/>
                </w:rPr>
                <w:t>Aolenych03@ukr.net</w:t>
              </w:r>
            </w:hyperlink>
          </w:p>
        </w:tc>
      </w:tr>
      <w:tr w:rsidR="00CB33C7" w:rsidRPr="00C2587D" w14:paraId="45D4E9C6" w14:textId="77777777" w:rsidTr="008E3BCA">
        <w:trPr>
          <w:jc w:val="right"/>
        </w:trPr>
        <w:tc>
          <w:tcPr>
            <w:tcW w:w="3423" w:type="dxa"/>
            <w:vAlign w:val="center"/>
          </w:tcPr>
          <w:p w14:paraId="76E49DB9" w14:textId="77777777" w:rsidR="00CB33C7" w:rsidRPr="00E87218" w:rsidRDefault="00CB33C7" w:rsidP="00E87218">
            <w:pPr>
              <w:pStyle w:val="6"/>
              <w:spacing w:before="0" w:after="0"/>
              <w:rPr>
                <w:rFonts w:ascii="Arial" w:hAnsi="Arial" w:cs="Arial"/>
                <w:color w:val="000000"/>
                <w:lang w:val="uk-UA"/>
              </w:rPr>
            </w:pPr>
            <w:r w:rsidRPr="00E87218">
              <w:rPr>
                <w:rFonts w:ascii="Arial" w:hAnsi="Arial" w:cs="Arial"/>
                <w:color w:val="000000"/>
                <w:lang w:val="uk-UA"/>
              </w:rPr>
              <w:t>Номер і назва завдання з Стратегії</w:t>
            </w:r>
            <w:r w:rsidRPr="00E87218">
              <w:rPr>
                <w:rFonts w:ascii="Arial" w:hAnsi="Arial" w:cs="Arial"/>
                <w:lang w:val="uk-UA" w:eastAsia="it-IT"/>
              </w:rPr>
              <w:t xml:space="preserve"> </w:t>
            </w:r>
            <w:r w:rsidRPr="00E87218">
              <w:rPr>
                <w:rFonts w:ascii="Arial" w:hAnsi="Arial" w:cs="Arial"/>
                <w:color w:val="000000"/>
                <w:lang w:val="uk-UA"/>
              </w:rPr>
              <w:t xml:space="preserve">розвитку Жмеринської міської </w:t>
            </w:r>
          </w:p>
        </w:tc>
        <w:tc>
          <w:tcPr>
            <w:tcW w:w="6796" w:type="dxa"/>
            <w:gridSpan w:val="8"/>
            <w:vAlign w:val="center"/>
          </w:tcPr>
          <w:p w14:paraId="3B83AEC7" w14:textId="11A155DE" w:rsidR="00CB33C7" w:rsidRPr="00E87218" w:rsidRDefault="00CB33C7" w:rsidP="00E87218">
            <w:pPr>
              <w:suppressAutoHyphens/>
              <w:jc w:val="both"/>
              <w:rPr>
                <w:rFonts w:eastAsia="Lucida Sans Unicode" w:cs="Arial"/>
                <w:kern w:val="1"/>
                <w:szCs w:val="22"/>
                <w:lang w:eastAsia="ar-SA"/>
              </w:rPr>
            </w:pPr>
            <w:r w:rsidRPr="00E87218">
              <w:rPr>
                <w:rFonts w:eastAsia="Lucida Sans Unicode" w:cs="Arial"/>
                <w:kern w:val="1"/>
                <w:szCs w:val="22"/>
                <w:lang w:eastAsia="ar-SA"/>
              </w:rPr>
              <w:t>В.1.3.2.</w:t>
            </w:r>
            <w:r w:rsidR="009A5765" w:rsidRPr="00E87218">
              <w:rPr>
                <w:rFonts w:eastAsia="Lucida Sans Unicode" w:cs="Arial"/>
                <w:kern w:val="1"/>
                <w:szCs w:val="22"/>
                <w:lang w:eastAsia="ar-SA"/>
              </w:rPr>
              <w:t>, В.3.1.2.</w:t>
            </w:r>
            <w:r w:rsidRPr="00E87218">
              <w:rPr>
                <w:rFonts w:eastAsia="Lucida Sans Unicode" w:cs="Arial"/>
                <w:kern w:val="1"/>
                <w:szCs w:val="22"/>
                <w:lang w:eastAsia="ar-SA"/>
              </w:rPr>
              <w:t xml:space="preserve"> Реконструкція, модернізація та капітальний ремонт  очисних споруд каналізації.</w:t>
            </w:r>
            <w:r w:rsidRPr="00E87218">
              <w:rPr>
                <w:rFonts w:eastAsia="Calibri" w:cs="Arial"/>
                <w:kern w:val="1"/>
                <w:szCs w:val="22"/>
                <w:shd w:val="clear" w:color="auto" w:fill="FFFFFF"/>
                <w:lang w:eastAsia="ar-SA"/>
              </w:rPr>
              <w:t xml:space="preserve"> </w:t>
            </w:r>
          </w:p>
        </w:tc>
      </w:tr>
      <w:tr w:rsidR="00CB33C7" w:rsidRPr="00C2587D" w14:paraId="4E6E2AF2" w14:textId="77777777" w:rsidTr="008E3BCA">
        <w:trPr>
          <w:jc w:val="right"/>
        </w:trPr>
        <w:tc>
          <w:tcPr>
            <w:tcW w:w="3423" w:type="dxa"/>
            <w:vAlign w:val="center"/>
          </w:tcPr>
          <w:p w14:paraId="141936D6" w14:textId="77777777" w:rsidR="00CB33C7" w:rsidRPr="00E87218" w:rsidRDefault="00CB33C7" w:rsidP="00E87218">
            <w:pPr>
              <w:rPr>
                <w:rFonts w:cs="Arial"/>
                <w:b/>
                <w:bCs/>
                <w:color w:val="000000"/>
                <w:szCs w:val="22"/>
              </w:rPr>
            </w:pPr>
            <w:r w:rsidRPr="00E87218">
              <w:rPr>
                <w:rFonts w:cs="Arial"/>
                <w:b/>
                <w:bCs/>
                <w:color w:val="000000"/>
                <w:szCs w:val="22"/>
              </w:rPr>
              <w:t>Мета проєкту:</w:t>
            </w:r>
          </w:p>
        </w:tc>
        <w:tc>
          <w:tcPr>
            <w:tcW w:w="6796" w:type="dxa"/>
            <w:gridSpan w:val="8"/>
          </w:tcPr>
          <w:p w14:paraId="2659646B" w14:textId="6D5802E5" w:rsidR="00CB33C7" w:rsidRPr="00E87218" w:rsidRDefault="00CB33C7" w:rsidP="00E87218">
            <w:pPr>
              <w:jc w:val="both"/>
              <w:rPr>
                <w:rFonts w:cs="Arial"/>
                <w:szCs w:val="22"/>
                <w:lang w:eastAsia="it-IT"/>
              </w:rPr>
            </w:pPr>
            <w:r w:rsidRPr="00E87218">
              <w:rPr>
                <w:rFonts w:cs="Arial"/>
                <w:szCs w:val="22"/>
                <w:lang w:eastAsia="it-IT"/>
              </w:rPr>
              <w:t xml:space="preserve">Забезпечення очищення каналізаційних стоків. Ліквідація скиду неочищених стічних вод у ґрунти, підземні та наземні води, ліси </w:t>
            </w:r>
            <w:r w:rsidR="00E87218">
              <w:rPr>
                <w:rFonts w:cs="Arial"/>
                <w:szCs w:val="22"/>
                <w:lang w:eastAsia="it-IT"/>
              </w:rPr>
              <w:t>тощо</w:t>
            </w:r>
            <w:r w:rsidRPr="00E87218">
              <w:rPr>
                <w:rFonts w:cs="Arial"/>
                <w:szCs w:val="22"/>
                <w:lang w:eastAsia="it-IT"/>
              </w:rPr>
              <w:t xml:space="preserve">, ліквідація ризику виникнення екологічної катастрофи на території </w:t>
            </w:r>
            <w:r w:rsidR="00E87218">
              <w:rPr>
                <w:rFonts w:cs="Arial"/>
                <w:szCs w:val="22"/>
                <w:lang w:eastAsia="it-IT"/>
              </w:rPr>
              <w:t>Жуко</w:t>
            </w:r>
            <w:r w:rsidRPr="00E87218">
              <w:rPr>
                <w:rFonts w:cs="Arial"/>
                <w:szCs w:val="22"/>
                <w:lang w:eastAsia="it-IT"/>
              </w:rPr>
              <w:t>в</w:t>
            </w:r>
            <w:r w:rsidR="00E87218">
              <w:rPr>
                <w:rFonts w:cs="Arial"/>
                <w:szCs w:val="22"/>
                <w:lang w:eastAsia="it-IT"/>
              </w:rPr>
              <w:t>ец</w:t>
            </w:r>
            <w:r w:rsidRPr="00E87218">
              <w:rPr>
                <w:rFonts w:cs="Arial"/>
                <w:szCs w:val="22"/>
                <w:lang w:eastAsia="it-IT"/>
              </w:rPr>
              <w:t>ького старостинського округу а саме: села Сідава, покращення стану навколишнього природного середовища.</w:t>
            </w:r>
          </w:p>
        </w:tc>
      </w:tr>
      <w:tr w:rsidR="00CB33C7" w:rsidRPr="00C2587D" w14:paraId="13474D53" w14:textId="77777777" w:rsidTr="008E3BCA">
        <w:trPr>
          <w:jc w:val="right"/>
        </w:trPr>
        <w:tc>
          <w:tcPr>
            <w:tcW w:w="3423" w:type="dxa"/>
            <w:vAlign w:val="center"/>
          </w:tcPr>
          <w:p w14:paraId="73726A17" w14:textId="77777777" w:rsidR="00CB33C7" w:rsidRPr="00E87218" w:rsidRDefault="00CB33C7" w:rsidP="00E87218">
            <w:pPr>
              <w:rPr>
                <w:rFonts w:cs="Arial"/>
                <w:b/>
                <w:bCs/>
                <w:color w:val="000000"/>
                <w:szCs w:val="22"/>
              </w:rPr>
            </w:pPr>
            <w:r w:rsidRPr="00E87218">
              <w:rPr>
                <w:rFonts w:cs="Arial"/>
                <w:b/>
                <w:bCs/>
                <w:color w:val="000000"/>
                <w:szCs w:val="22"/>
              </w:rPr>
              <w:t>Цілі проєкту:</w:t>
            </w:r>
          </w:p>
        </w:tc>
        <w:tc>
          <w:tcPr>
            <w:tcW w:w="6796" w:type="dxa"/>
            <w:gridSpan w:val="8"/>
          </w:tcPr>
          <w:p w14:paraId="075CEEF1" w14:textId="3F433CCB" w:rsidR="00CB33C7" w:rsidRPr="00E87218" w:rsidRDefault="00CB33C7" w:rsidP="00E87218">
            <w:pPr>
              <w:jc w:val="both"/>
              <w:rPr>
                <w:rFonts w:cs="Arial"/>
                <w:szCs w:val="22"/>
                <w:lang w:eastAsia="it-IT"/>
              </w:rPr>
            </w:pPr>
            <w:r w:rsidRPr="00E87218">
              <w:rPr>
                <w:rFonts w:cs="Arial"/>
                <w:szCs w:val="22"/>
                <w:lang w:eastAsia="it-IT"/>
              </w:rPr>
              <w:t xml:space="preserve">Організація очищення каналізаційних стоків в м. Жмеринка, ліквідація ризику виникнення екологічної катастрофи на території </w:t>
            </w:r>
            <w:r w:rsidR="00E87218">
              <w:rPr>
                <w:rFonts w:cs="Arial"/>
                <w:szCs w:val="22"/>
                <w:lang w:eastAsia="it-IT"/>
              </w:rPr>
              <w:t>Жуко</w:t>
            </w:r>
            <w:r w:rsidR="00E87218" w:rsidRPr="00E87218">
              <w:rPr>
                <w:rFonts w:cs="Arial"/>
                <w:szCs w:val="22"/>
                <w:lang w:eastAsia="it-IT"/>
              </w:rPr>
              <w:t>в</w:t>
            </w:r>
            <w:r w:rsidR="00E87218">
              <w:rPr>
                <w:rFonts w:cs="Arial"/>
                <w:szCs w:val="22"/>
                <w:lang w:eastAsia="it-IT"/>
              </w:rPr>
              <w:t>ец</w:t>
            </w:r>
            <w:r w:rsidR="00E87218" w:rsidRPr="00E87218">
              <w:rPr>
                <w:rFonts w:cs="Arial"/>
                <w:szCs w:val="22"/>
                <w:lang w:eastAsia="it-IT"/>
              </w:rPr>
              <w:t>ького</w:t>
            </w:r>
            <w:r w:rsidRPr="00E87218">
              <w:rPr>
                <w:rFonts w:cs="Arial"/>
                <w:szCs w:val="22"/>
                <w:lang w:eastAsia="it-IT"/>
              </w:rPr>
              <w:t xml:space="preserve"> старостинського округу а саме: села Сідава, покращення стану навколишнього природного середовища на території села Сідава.</w:t>
            </w:r>
          </w:p>
        </w:tc>
      </w:tr>
      <w:tr w:rsidR="00CB33C7" w:rsidRPr="00C2587D" w14:paraId="59DE67C5" w14:textId="77777777" w:rsidTr="008E3BCA">
        <w:trPr>
          <w:jc w:val="right"/>
        </w:trPr>
        <w:tc>
          <w:tcPr>
            <w:tcW w:w="3423" w:type="dxa"/>
            <w:vAlign w:val="center"/>
          </w:tcPr>
          <w:p w14:paraId="316E1E5A" w14:textId="77777777" w:rsidR="00CB33C7" w:rsidRPr="00E87218" w:rsidRDefault="00CB33C7" w:rsidP="00E87218">
            <w:pPr>
              <w:autoSpaceDE w:val="0"/>
              <w:autoSpaceDN w:val="0"/>
              <w:adjustRightInd w:val="0"/>
              <w:rPr>
                <w:rFonts w:cs="Arial"/>
                <w:b/>
                <w:color w:val="000000"/>
                <w:szCs w:val="22"/>
              </w:rPr>
            </w:pPr>
            <w:r w:rsidRPr="00E87218">
              <w:rPr>
                <w:rFonts w:cs="Arial"/>
                <w:b/>
                <w:color w:val="000000"/>
                <w:szCs w:val="22"/>
              </w:rPr>
              <w:t>Територія на яку проєкт матиме вплив:</w:t>
            </w:r>
          </w:p>
        </w:tc>
        <w:tc>
          <w:tcPr>
            <w:tcW w:w="6796" w:type="dxa"/>
            <w:gridSpan w:val="8"/>
          </w:tcPr>
          <w:p w14:paraId="688F3B2F" w14:textId="64EC7389" w:rsidR="00CB33C7" w:rsidRPr="00E87218" w:rsidRDefault="00CB33C7" w:rsidP="00E87218">
            <w:pPr>
              <w:jc w:val="both"/>
              <w:rPr>
                <w:rFonts w:cs="Arial"/>
                <w:szCs w:val="22"/>
                <w:lang w:eastAsia="it-IT"/>
              </w:rPr>
            </w:pPr>
            <w:r w:rsidRPr="00E87218">
              <w:rPr>
                <w:rFonts w:cs="Arial"/>
                <w:szCs w:val="22"/>
                <w:lang w:eastAsia="it-IT"/>
              </w:rPr>
              <w:t xml:space="preserve">Території </w:t>
            </w:r>
            <w:r w:rsidR="00E87218">
              <w:rPr>
                <w:rFonts w:cs="Arial"/>
                <w:szCs w:val="22"/>
                <w:lang w:eastAsia="it-IT"/>
              </w:rPr>
              <w:t>Жуко</w:t>
            </w:r>
            <w:r w:rsidR="00E87218" w:rsidRPr="00E87218">
              <w:rPr>
                <w:rFonts w:cs="Arial"/>
                <w:szCs w:val="22"/>
                <w:lang w:eastAsia="it-IT"/>
              </w:rPr>
              <w:t>в</w:t>
            </w:r>
            <w:r w:rsidR="00E87218">
              <w:rPr>
                <w:rFonts w:cs="Arial"/>
                <w:szCs w:val="22"/>
                <w:lang w:eastAsia="it-IT"/>
              </w:rPr>
              <w:t>ец</w:t>
            </w:r>
            <w:r w:rsidR="00E87218" w:rsidRPr="00E87218">
              <w:rPr>
                <w:rFonts w:cs="Arial"/>
                <w:szCs w:val="22"/>
                <w:lang w:eastAsia="it-IT"/>
              </w:rPr>
              <w:t>ького</w:t>
            </w:r>
            <w:r w:rsidRPr="00E87218">
              <w:rPr>
                <w:rFonts w:cs="Arial"/>
                <w:szCs w:val="22"/>
                <w:lang w:eastAsia="it-IT"/>
              </w:rPr>
              <w:t xml:space="preserve"> старостинського округу а саме: села Сідава</w:t>
            </w:r>
          </w:p>
        </w:tc>
      </w:tr>
      <w:tr w:rsidR="00CB33C7" w:rsidRPr="00C2587D" w14:paraId="54F0B4E7" w14:textId="77777777" w:rsidTr="008E3BCA">
        <w:trPr>
          <w:jc w:val="right"/>
        </w:trPr>
        <w:tc>
          <w:tcPr>
            <w:tcW w:w="3423" w:type="dxa"/>
            <w:vAlign w:val="center"/>
          </w:tcPr>
          <w:p w14:paraId="443FC769" w14:textId="77777777" w:rsidR="00CB33C7" w:rsidRPr="00E87218" w:rsidRDefault="00CB33C7" w:rsidP="00E87218">
            <w:pPr>
              <w:autoSpaceDE w:val="0"/>
              <w:autoSpaceDN w:val="0"/>
              <w:adjustRightInd w:val="0"/>
              <w:rPr>
                <w:rFonts w:cs="Arial"/>
                <w:b/>
                <w:color w:val="000000"/>
                <w:szCs w:val="22"/>
              </w:rPr>
            </w:pPr>
            <w:r w:rsidRPr="00E87218">
              <w:rPr>
                <w:rFonts w:cs="Arial"/>
                <w:b/>
                <w:color w:val="000000"/>
                <w:szCs w:val="22"/>
              </w:rPr>
              <w:t>Цільові групи проєкту та кількість отримувачів вигоди</w:t>
            </w:r>
          </w:p>
        </w:tc>
        <w:tc>
          <w:tcPr>
            <w:tcW w:w="6796" w:type="dxa"/>
            <w:gridSpan w:val="8"/>
          </w:tcPr>
          <w:p w14:paraId="5DD1CEA0" w14:textId="77777777" w:rsidR="00CB33C7" w:rsidRPr="00E87218" w:rsidRDefault="00CB33C7" w:rsidP="00E87218">
            <w:pPr>
              <w:rPr>
                <w:rFonts w:cs="Arial"/>
                <w:szCs w:val="22"/>
                <w:lang w:eastAsia="it-IT"/>
              </w:rPr>
            </w:pPr>
            <w:r w:rsidRPr="00E87218">
              <w:rPr>
                <w:rFonts w:cs="Arial"/>
                <w:szCs w:val="22"/>
                <w:lang w:eastAsia="it-IT"/>
              </w:rPr>
              <w:t>Жителі с. Сідава в кількості 312 сельчан</w:t>
            </w:r>
          </w:p>
        </w:tc>
      </w:tr>
      <w:tr w:rsidR="00CB33C7" w:rsidRPr="00C2587D" w14:paraId="774C4638" w14:textId="77777777" w:rsidTr="008E3BCA">
        <w:trPr>
          <w:jc w:val="right"/>
        </w:trPr>
        <w:tc>
          <w:tcPr>
            <w:tcW w:w="3423" w:type="dxa"/>
            <w:shd w:val="clear" w:color="auto" w:fill="FFFFFF"/>
            <w:vAlign w:val="center"/>
          </w:tcPr>
          <w:p w14:paraId="3158E786" w14:textId="77777777" w:rsidR="00CB33C7" w:rsidRPr="00E87218" w:rsidRDefault="00CB33C7" w:rsidP="00E87218">
            <w:pPr>
              <w:rPr>
                <w:rFonts w:cs="Arial"/>
                <w:b/>
                <w:bCs/>
                <w:color w:val="000000"/>
                <w:szCs w:val="22"/>
              </w:rPr>
            </w:pPr>
            <w:r w:rsidRPr="00E87218">
              <w:rPr>
                <w:rFonts w:cs="Arial"/>
                <w:b/>
                <w:bCs/>
                <w:color w:val="000000"/>
                <w:szCs w:val="22"/>
              </w:rPr>
              <w:t>Стислий опис проєкту:</w:t>
            </w:r>
          </w:p>
        </w:tc>
        <w:tc>
          <w:tcPr>
            <w:tcW w:w="6796" w:type="dxa"/>
            <w:gridSpan w:val="8"/>
          </w:tcPr>
          <w:p w14:paraId="3AB6BED8" w14:textId="77777777" w:rsidR="00CB33C7" w:rsidRPr="00E87218" w:rsidRDefault="00CB33C7" w:rsidP="00E87218">
            <w:pPr>
              <w:jc w:val="both"/>
              <w:rPr>
                <w:rFonts w:cs="Arial"/>
                <w:szCs w:val="22"/>
                <w:lang w:eastAsia="it-IT"/>
              </w:rPr>
            </w:pPr>
            <w:r w:rsidRPr="00E87218">
              <w:rPr>
                <w:rFonts w:cs="Arial"/>
                <w:szCs w:val="22"/>
                <w:lang w:eastAsia="it-IT"/>
              </w:rPr>
              <w:t>Очисні споруди каналізації (ОСК) введені в експлуатацію наприкінці 70-х початку 80-х років. На даних спорудах неочищені каналізаційні стоки проходили очистку до рівня, який не завдавав шкоди навколишньому середовищу (технічна вода). Враховуючи технічний знос ОСК (басейни для прийому та фільтрації каналізаційних скидів, насоси, споруди і т.д.) каналізаційні стоки не проходять належну очистку та забруднюють навколишнє природнє середовище (ґрунти, підземні та наземні води, ліси і т.д.), що призводить до ризику виникнення екологічної катастрофи та спричиняє захворюваність у жителів с. Сідава.</w:t>
            </w:r>
          </w:p>
          <w:p w14:paraId="0FC44308" w14:textId="6666D27E" w:rsidR="00CB33C7" w:rsidRPr="00E87218" w:rsidRDefault="00883F49" w:rsidP="00E87218">
            <w:pPr>
              <w:rPr>
                <w:rFonts w:cs="Arial"/>
                <w:szCs w:val="22"/>
                <w:lang w:eastAsia="it-IT"/>
              </w:rPr>
            </w:pPr>
            <w:r>
              <w:rPr>
                <w:rFonts w:cs="Arial"/>
                <w:szCs w:val="22"/>
                <w:lang w:eastAsia="it-IT"/>
              </w:rPr>
              <w:t>Проє</w:t>
            </w:r>
            <w:r w:rsidR="00CB33C7" w:rsidRPr="00E87218">
              <w:rPr>
                <w:rFonts w:cs="Arial"/>
                <w:szCs w:val="22"/>
                <w:lang w:eastAsia="it-IT"/>
              </w:rPr>
              <w:t>ктом передбачається повна реконструкція очисних споруд каналізації, яка включатиме в себе заміну насосів на більш енергоефективні, ремонт басейнів для очищення стоків, споруд для обслуговування технічної інфраструктури ОСК.</w:t>
            </w:r>
          </w:p>
        </w:tc>
      </w:tr>
      <w:tr w:rsidR="00CB33C7" w:rsidRPr="00C2587D" w14:paraId="3BF84B7B" w14:textId="77777777" w:rsidTr="008E3BCA">
        <w:trPr>
          <w:jc w:val="right"/>
        </w:trPr>
        <w:tc>
          <w:tcPr>
            <w:tcW w:w="3423" w:type="dxa"/>
            <w:shd w:val="clear" w:color="auto" w:fill="FFFFFF"/>
            <w:vAlign w:val="center"/>
          </w:tcPr>
          <w:p w14:paraId="442EDB03" w14:textId="77777777" w:rsidR="00CB33C7" w:rsidRPr="00E87218" w:rsidRDefault="00CB33C7" w:rsidP="00E87218">
            <w:pPr>
              <w:rPr>
                <w:rFonts w:cs="Arial"/>
                <w:b/>
                <w:bCs/>
                <w:color w:val="000000"/>
                <w:szCs w:val="22"/>
              </w:rPr>
            </w:pPr>
            <w:r w:rsidRPr="00E87218">
              <w:rPr>
                <w:rFonts w:cs="Arial"/>
                <w:b/>
                <w:bCs/>
                <w:color w:val="000000"/>
                <w:szCs w:val="22"/>
              </w:rPr>
              <w:t>Основні заходи проєкту:</w:t>
            </w:r>
          </w:p>
        </w:tc>
        <w:tc>
          <w:tcPr>
            <w:tcW w:w="6796" w:type="dxa"/>
            <w:gridSpan w:val="8"/>
          </w:tcPr>
          <w:p w14:paraId="5494E7EB" w14:textId="52BE74DC" w:rsidR="00CB33C7" w:rsidRPr="00E87218" w:rsidRDefault="00CB33C7" w:rsidP="00E87218">
            <w:pPr>
              <w:jc w:val="both"/>
              <w:rPr>
                <w:rFonts w:cs="Arial"/>
                <w:szCs w:val="22"/>
                <w:lang w:eastAsia="it-IT"/>
              </w:rPr>
            </w:pPr>
            <w:r w:rsidRPr="00E87218">
              <w:rPr>
                <w:rFonts w:cs="Arial"/>
                <w:szCs w:val="22"/>
                <w:lang w:eastAsia="it-IT"/>
              </w:rPr>
              <w:t>Створення робочо</w:t>
            </w:r>
            <w:r w:rsidR="00883F49">
              <w:rPr>
                <w:rFonts w:cs="Arial"/>
                <w:szCs w:val="22"/>
                <w:lang w:eastAsia="it-IT"/>
              </w:rPr>
              <w:t>ї групи з питань реалізації проє</w:t>
            </w:r>
            <w:r w:rsidRPr="00E87218">
              <w:rPr>
                <w:rFonts w:cs="Arial"/>
                <w:szCs w:val="22"/>
                <w:lang w:eastAsia="it-IT"/>
              </w:rPr>
              <w:t xml:space="preserve">кту. </w:t>
            </w:r>
          </w:p>
          <w:p w14:paraId="6F91F670" w14:textId="77777777" w:rsidR="00CB33C7" w:rsidRPr="00E87218" w:rsidRDefault="00CB33C7" w:rsidP="00E87218">
            <w:pPr>
              <w:jc w:val="both"/>
              <w:rPr>
                <w:rFonts w:cs="Arial"/>
                <w:szCs w:val="22"/>
                <w:lang w:eastAsia="it-IT"/>
              </w:rPr>
            </w:pPr>
            <w:r w:rsidRPr="00E87218">
              <w:rPr>
                <w:rFonts w:cs="Arial"/>
                <w:szCs w:val="22"/>
                <w:lang w:eastAsia="it-IT"/>
              </w:rPr>
              <w:t>Проведення процедури закупівель (визначення виконавця робіт).</w:t>
            </w:r>
          </w:p>
          <w:p w14:paraId="4DA81F3F" w14:textId="0514EFF4" w:rsidR="00CB33C7" w:rsidRPr="00E87218" w:rsidRDefault="00CB33C7" w:rsidP="00E87218">
            <w:pPr>
              <w:jc w:val="both"/>
              <w:rPr>
                <w:rFonts w:cs="Arial"/>
                <w:szCs w:val="22"/>
                <w:lang w:eastAsia="it-IT"/>
              </w:rPr>
            </w:pPr>
            <w:r w:rsidRPr="00E87218">
              <w:rPr>
                <w:rFonts w:cs="Arial"/>
                <w:szCs w:val="22"/>
                <w:lang w:eastAsia="it-IT"/>
              </w:rPr>
              <w:t xml:space="preserve">Укладення договорів з виконавцем робіт, організаціями, що здійснюватимуть  </w:t>
            </w:r>
            <w:r w:rsidR="00883F49">
              <w:rPr>
                <w:rFonts w:cs="Arial"/>
                <w:szCs w:val="22"/>
                <w:lang w:eastAsia="it-IT"/>
              </w:rPr>
              <w:t>технічний та авторський  нагляд</w:t>
            </w:r>
            <w:r w:rsidRPr="00E87218">
              <w:rPr>
                <w:rFonts w:cs="Arial"/>
                <w:szCs w:val="22"/>
                <w:lang w:eastAsia="it-IT"/>
              </w:rPr>
              <w:t>.</w:t>
            </w:r>
          </w:p>
          <w:p w14:paraId="45C397C4" w14:textId="0B95F9FA" w:rsidR="00CB33C7" w:rsidRPr="00E87218" w:rsidRDefault="00CB33C7" w:rsidP="00E87218">
            <w:pPr>
              <w:jc w:val="both"/>
              <w:rPr>
                <w:rFonts w:cs="Arial"/>
                <w:szCs w:val="22"/>
                <w:lang w:eastAsia="it-IT"/>
              </w:rPr>
            </w:pPr>
            <w:r w:rsidRPr="00E87218">
              <w:rPr>
                <w:rFonts w:cs="Arial"/>
                <w:szCs w:val="22"/>
                <w:lang w:eastAsia="it-IT"/>
              </w:rPr>
              <w:t>Виконання робіт з реконструкції очисних споруд каналізації (ОСК) в с. Сідава, Жмеринського району</w:t>
            </w:r>
            <w:r w:rsidR="00883F49">
              <w:rPr>
                <w:rFonts w:cs="Arial"/>
                <w:szCs w:val="22"/>
                <w:lang w:eastAsia="it-IT"/>
              </w:rPr>
              <w:t>.</w:t>
            </w:r>
          </w:p>
          <w:p w14:paraId="7BA218E9" w14:textId="77777777" w:rsidR="00CB33C7" w:rsidRPr="00E87218" w:rsidRDefault="00CB33C7" w:rsidP="00E87218">
            <w:pPr>
              <w:jc w:val="both"/>
              <w:rPr>
                <w:rFonts w:cs="Arial"/>
                <w:szCs w:val="22"/>
                <w:lang w:eastAsia="it-IT"/>
              </w:rPr>
            </w:pPr>
            <w:r w:rsidRPr="00E87218">
              <w:rPr>
                <w:rFonts w:cs="Arial"/>
                <w:szCs w:val="22"/>
                <w:lang w:eastAsia="it-IT"/>
              </w:rPr>
              <w:t>Введення  об’єкту в експлуатацію .</w:t>
            </w:r>
          </w:p>
          <w:p w14:paraId="14A29344" w14:textId="2DBB7576" w:rsidR="00CB33C7" w:rsidRPr="00E87218" w:rsidRDefault="00CB33C7" w:rsidP="00667673">
            <w:pPr>
              <w:jc w:val="both"/>
              <w:rPr>
                <w:rFonts w:cs="Arial"/>
                <w:szCs w:val="22"/>
                <w:lang w:eastAsia="it-IT"/>
              </w:rPr>
            </w:pPr>
            <w:r w:rsidRPr="00E87218">
              <w:rPr>
                <w:rFonts w:cs="Arial"/>
                <w:szCs w:val="22"/>
                <w:lang w:eastAsia="it-IT"/>
              </w:rPr>
              <w:t xml:space="preserve">Проведення інформаційних заходів (розміщення  </w:t>
            </w:r>
            <w:r w:rsidR="00883F49">
              <w:rPr>
                <w:rFonts w:cs="Arial"/>
                <w:szCs w:val="22"/>
                <w:lang w:eastAsia="it-IT"/>
              </w:rPr>
              <w:t>інформації  про реалізацію  проє</w:t>
            </w:r>
            <w:r w:rsidRPr="00E87218">
              <w:rPr>
                <w:rFonts w:cs="Arial"/>
                <w:szCs w:val="22"/>
                <w:lang w:eastAsia="it-IT"/>
              </w:rPr>
              <w:t>кту у ЗМІ) .</w:t>
            </w:r>
          </w:p>
        </w:tc>
      </w:tr>
      <w:tr w:rsidR="00CB33C7" w:rsidRPr="00C2587D" w14:paraId="638C8EBA" w14:textId="77777777" w:rsidTr="008E3BCA">
        <w:trPr>
          <w:jc w:val="right"/>
        </w:trPr>
        <w:tc>
          <w:tcPr>
            <w:tcW w:w="3423" w:type="dxa"/>
            <w:shd w:val="clear" w:color="auto" w:fill="FFFFFF"/>
            <w:vAlign w:val="center"/>
          </w:tcPr>
          <w:p w14:paraId="3F7474DE" w14:textId="77777777" w:rsidR="00CB33C7" w:rsidRPr="00E87218" w:rsidRDefault="00CB33C7" w:rsidP="00E87218">
            <w:pPr>
              <w:rPr>
                <w:rFonts w:cs="Arial"/>
                <w:b/>
                <w:bCs/>
                <w:color w:val="000000"/>
                <w:szCs w:val="22"/>
              </w:rPr>
            </w:pPr>
            <w:r w:rsidRPr="00E87218">
              <w:rPr>
                <w:rFonts w:cs="Arial"/>
                <w:b/>
                <w:bCs/>
                <w:color w:val="000000"/>
                <w:szCs w:val="22"/>
              </w:rPr>
              <w:t>Індикатори (показники) результативності:</w:t>
            </w:r>
          </w:p>
        </w:tc>
        <w:tc>
          <w:tcPr>
            <w:tcW w:w="6796" w:type="dxa"/>
            <w:gridSpan w:val="8"/>
          </w:tcPr>
          <w:p w14:paraId="71B4318D" w14:textId="77777777" w:rsidR="00CB33C7" w:rsidRPr="00E87218" w:rsidRDefault="00CB33C7" w:rsidP="00667673">
            <w:pPr>
              <w:jc w:val="both"/>
              <w:rPr>
                <w:rFonts w:cs="Arial"/>
                <w:szCs w:val="22"/>
                <w:lang w:eastAsia="it-IT"/>
              </w:rPr>
            </w:pPr>
            <w:r w:rsidRPr="00E87218">
              <w:rPr>
                <w:rFonts w:eastAsia="Arial" w:cs="Arial"/>
                <w:szCs w:val="22"/>
                <w:lang w:eastAsia="en-US"/>
              </w:rPr>
              <w:t>Площа забудови: 4322 м</w:t>
            </w:r>
            <w:r w:rsidRPr="00E87218">
              <w:rPr>
                <w:rFonts w:eastAsia="Arial" w:cs="Arial"/>
                <w:szCs w:val="22"/>
                <w:vertAlign w:val="superscript"/>
                <w:lang w:eastAsia="en-US"/>
              </w:rPr>
              <w:t>2</w:t>
            </w:r>
            <w:r w:rsidRPr="00E87218">
              <w:rPr>
                <w:rFonts w:eastAsia="Arial" w:cs="Arial"/>
                <w:szCs w:val="22"/>
                <w:lang w:eastAsia="en-US"/>
              </w:rPr>
              <w:t xml:space="preserve"> та потужність очисних споруд: 293,7 кВт</w:t>
            </w:r>
            <w:r w:rsidRPr="00E87218">
              <w:rPr>
                <w:rFonts w:cs="Arial"/>
                <w:szCs w:val="22"/>
                <w:lang w:eastAsia="it-IT"/>
              </w:rPr>
              <w:t xml:space="preserve"> </w:t>
            </w:r>
          </w:p>
          <w:p w14:paraId="28DDE450" w14:textId="77777777" w:rsidR="00CB33C7" w:rsidRPr="00E87218" w:rsidRDefault="00CB33C7" w:rsidP="00E87218">
            <w:pPr>
              <w:rPr>
                <w:rFonts w:cs="Arial"/>
                <w:szCs w:val="22"/>
                <w:lang w:eastAsia="it-IT"/>
              </w:rPr>
            </w:pPr>
          </w:p>
        </w:tc>
      </w:tr>
      <w:tr w:rsidR="00CB33C7" w:rsidRPr="00C2587D" w14:paraId="05C03DE0" w14:textId="77777777" w:rsidTr="008E3BCA">
        <w:trPr>
          <w:jc w:val="right"/>
        </w:trPr>
        <w:tc>
          <w:tcPr>
            <w:tcW w:w="3423" w:type="dxa"/>
            <w:shd w:val="clear" w:color="auto" w:fill="FFFFFF"/>
            <w:vAlign w:val="center"/>
          </w:tcPr>
          <w:p w14:paraId="224C6238" w14:textId="77777777" w:rsidR="00CB33C7" w:rsidRPr="00E87218" w:rsidRDefault="00CB33C7" w:rsidP="00E87218">
            <w:pPr>
              <w:rPr>
                <w:rFonts w:cs="Arial"/>
                <w:b/>
                <w:color w:val="000000"/>
                <w:szCs w:val="22"/>
              </w:rPr>
            </w:pPr>
            <w:r w:rsidRPr="00E87218">
              <w:rPr>
                <w:rFonts w:cs="Arial"/>
                <w:b/>
                <w:color w:val="000000"/>
                <w:szCs w:val="22"/>
              </w:rPr>
              <w:t xml:space="preserve">Період здійснення: </w:t>
            </w:r>
          </w:p>
        </w:tc>
        <w:tc>
          <w:tcPr>
            <w:tcW w:w="6796" w:type="dxa"/>
            <w:gridSpan w:val="8"/>
            <w:vAlign w:val="center"/>
          </w:tcPr>
          <w:p w14:paraId="6760C05A" w14:textId="77777777" w:rsidR="00CB33C7" w:rsidRPr="00E87218" w:rsidRDefault="00CB33C7" w:rsidP="00E87218">
            <w:pPr>
              <w:rPr>
                <w:rFonts w:cs="Arial"/>
                <w:color w:val="000000"/>
                <w:szCs w:val="22"/>
                <w:lang w:eastAsia="it-IT"/>
              </w:rPr>
            </w:pPr>
            <w:r w:rsidRPr="00E87218">
              <w:rPr>
                <w:rFonts w:cs="Arial"/>
                <w:b/>
                <w:color w:val="000000"/>
                <w:szCs w:val="22"/>
              </w:rPr>
              <w:t>2025 – 2028 роки:</w:t>
            </w:r>
          </w:p>
        </w:tc>
      </w:tr>
      <w:tr w:rsidR="00CB33C7" w:rsidRPr="00C2587D" w14:paraId="3E4BEE46" w14:textId="77777777" w:rsidTr="008E3BCA">
        <w:trPr>
          <w:jc w:val="right"/>
        </w:trPr>
        <w:tc>
          <w:tcPr>
            <w:tcW w:w="3423" w:type="dxa"/>
            <w:vMerge w:val="restart"/>
            <w:shd w:val="clear" w:color="auto" w:fill="FFFFFF"/>
            <w:vAlign w:val="center"/>
          </w:tcPr>
          <w:p w14:paraId="3B12738C" w14:textId="77777777" w:rsidR="00CB33C7" w:rsidRPr="00E87218" w:rsidRDefault="00CB33C7" w:rsidP="00E87218">
            <w:pPr>
              <w:rPr>
                <w:rFonts w:cs="Arial"/>
                <w:b/>
                <w:bCs/>
                <w:color w:val="000000"/>
                <w:szCs w:val="22"/>
              </w:rPr>
            </w:pPr>
            <w:r w:rsidRPr="00E87218">
              <w:rPr>
                <w:rFonts w:cs="Arial"/>
                <w:b/>
                <w:bCs/>
                <w:color w:val="000000"/>
                <w:szCs w:val="22"/>
              </w:rPr>
              <w:t>Орієнтовна вартість проєкту, тис. грн., в тому числі:</w:t>
            </w:r>
          </w:p>
        </w:tc>
        <w:tc>
          <w:tcPr>
            <w:tcW w:w="1256" w:type="dxa"/>
            <w:shd w:val="clear" w:color="auto" w:fill="E6E6E6"/>
            <w:vAlign w:val="center"/>
          </w:tcPr>
          <w:p w14:paraId="4DE78C0A" w14:textId="77777777" w:rsidR="00CB33C7" w:rsidRPr="00E87218" w:rsidRDefault="00CB33C7" w:rsidP="00E87218">
            <w:pPr>
              <w:jc w:val="center"/>
              <w:rPr>
                <w:rFonts w:cs="Arial"/>
                <w:b/>
                <w:color w:val="000000"/>
                <w:szCs w:val="22"/>
                <w:lang w:eastAsia="it-IT"/>
              </w:rPr>
            </w:pPr>
            <w:r w:rsidRPr="00E87218">
              <w:rPr>
                <w:rFonts w:cs="Arial"/>
                <w:b/>
                <w:color w:val="000000"/>
                <w:szCs w:val="22"/>
                <w:lang w:eastAsia="it-IT"/>
              </w:rPr>
              <w:t>2025</w:t>
            </w:r>
          </w:p>
        </w:tc>
        <w:tc>
          <w:tcPr>
            <w:tcW w:w="1412" w:type="dxa"/>
            <w:shd w:val="clear" w:color="auto" w:fill="E6E6E6"/>
            <w:vAlign w:val="center"/>
          </w:tcPr>
          <w:p w14:paraId="46F42EBA" w14:textId="77777777" w:rsidR="00CB33C7" w:rsidRPr="00E87218" w:rsidRDefault="00CB33C7" w:rsidP="00E87218">
            <w:pPr>
              <w:jc w:val="center"/>
              <w:rPr>
                <w:rFonts w:cs="Arial"/>
                <w:b/>
                <w:color w:val="000000"/>
                <w:szCs w:val="22"/>
                <w:lang w:eastAsia="it-IT"/>
              </w:rPr>
            </w:pPr>
            <w:r w:rsidRPr="00E87218">
              <w:rPr>
                <w:rFonts w:cs="Arial"/>
                <w:b/>
                <w:color w:val="000000"/>
                <w:szCs w:val="22"/>
                <w:lang w:eastAsia="it-IT"/>
              </w:rPr>
              <w:t>2026</w:t>
            </w:r>
          </w:p>
        </w:tc>
        <w:tc>
          <w:tcPr>
            <w:tcW w:w="1281" w:type="dxa"/>
            <w:gridSpan w:val="2"/>
            <w:tcBorders>
              <w:bottom w:val="single" w:sz="4" w:space="0" w:color="auto"/>
            </w:tcBorders>
            <w:shd w:val="clear" w:color="auto" w:fill="E6E6E6"/>
            <w:vAlign w:val="center"/>
          </w:tcPr>
          <w:p w14:paraId="20B18045" w14:textId="77777777" w:rsidR="00CB33C7" w:rsidRPr="00E87218" w:rsidRDefault="00CB33C7" w:rsidP="00E87218">
            <w:pPr>
              <w:jc w:val="center"/>
              <w:rPr>
                <w:rFonts w:cs="Arial"/>
                <w:b/>
                <w:color w:val="000000"/>
                <w:szCs w:val="22"/>
                <w:lang w:eastAsia="it-IT"/>
              </w:rPr>
            </w:pPr>
            <w:r w:rsidRPr="00E87218">
              <w:rPr>
                <w:rFonts w:cs="Arial"/>
                <w:b/>
                <w:color w:val="000000"/>
                <w:szCs w:val="22"/>
                <w:lang w:eastAsia="it-IT"/>
              </w:rPr>
              <w:t>2027</w:t>
            </w:r>
          </w:p>
        </w:tc>
        <w:tc>
          <w:tcPr>
            <w:tcW w:w="1276" w:type="dxa"/>
            <w:gridSpan w:val="2"/>
            <w:shd w:val="clear" w:color="auto" w:fill="E6E6E6"/>
            <w:vAlign w:val="center"/>
          </w:tcPr>
          <w:p w14:paraId="5492A3B8" w14:textId="77777777" w:rsidR="00CB33C7" w:rsidRPr="00E87218" w:rsidRDefault="00CB33C7" w:rsidP="00E87218">
            <w:pPr>
              <w:jc w:val="center"/>
              <w:rPr>
                <w:rFonts w:cs="Arial"/>
                <w:b/>
                <w:color w:val="000000"/>
                <w:szCs w:val="22"/>
                <w:lang w:eastAsia="it-IT"/>
              </w:rPr>
            </w:pPr>
            <w:r w:rsidRPr="00E87218">
              <w:rPr>
                <w:rFonts w:cs="Arial"/>
                <w:b/>
                <w:color w:val="000000"/>
                <w:szCs w:val="22"/>
                <w:lang w:eastAsia="it-IT"/>
              </w:rPr>
              <w:t>2028</w:t>
            </w:r>
          </w:p>
        </w:tc>
        <w:tc>
          <w:tcPr>
            <w:tcW w:w="1571" w:type="dxa"/>
            <w:gridSpan w:val="2"/>
            <w:shd w:val="clear" w:color="auto" w:fill="E6E6E6"/>
            <w:vAlign w:val="center"/>
          </w:tcPr>
          <w:p w14:paraId="189F9CB8" w14:textId="77777777" w:rsidR="00CB33C7" w:rsidRPr="00E87218" w:rsidRDefault="00CB33C7" w:rsidP="00E87218">
            <w:pPr>
              <w:jc w:val="center"/>
              <w:rPr>
                <w:rFonts w:cs="Arial"/>
                <w:b/>
                <w:color w:val="000000"/>
                <w:szCs w:val="22"/>
                <w:lang w:eastAsia="it-IT"/>
              </w:rPr>
            </w:pPr>
            <w:r w:rsidRPr="00E87218">
              <w:rPr>
                <w:rFonts w:cs="Arial"/>
                <w:b/>
                <w:color w:val="000000"/>
                <w:szCs w:val="22"/>
                <w:lang w:eastAsia="it-IT"/>
              </w:rPr>
              <w:t>РАЗОМ</w:t>
            </w:r>
          </w:p>
        </w:tc>
      </w:tr>
      <w:tr w:rsidR="00CB33C7" w:rsidRPr="00C2587D" w14:paraId="537460BC" w14:textId="77777777" w:rsidTr="008E3BCA">
        <w:trPr>
          <w:jc w:val="right"/>
        </w:trPr>
        <w:tc>
          <w:tcPr>
            <w:tcW w:w="3423" w:type="dxa"/>
            <w:vMerge/>
            <w:shd w:val="clear" w:color="auto" w:fill="FFFFFF"/>
            <w:vAlign w:val="center"/>
          </w:tcPr>
          <w:p w14:paraId="0200CC73" w14:textId="77777777" w:rsidR="00CB33C7" w:rsidRPr="00E87218" w:rsidRDefault="00CB33C7" w:rsidP="00E87218">
            <w:pPr>
              <w:rPr>
                <w:rFonts w:cs="Arial"/>
                <w:b/>
                <w:bCs/>
                <w:color w:val="000000"/>
                <w:szCs w:val="22"/>
              </w:rPr>
            </w:pPr>
          </w:p>
        </w:tc>
        <w:tc>
          <w:tcPr>
            <w:tcW w:w="1256" w:type="dxa"/>
            <w:vAlign w:val="center"/>
          </w:tcPr>
          <w:p w14:paraId="73B00328" w14:textId="77777777" w:rsidR="00CB33C7" w:rsidRPr="00E87218" w:rsidRDefault="00CB33C7" w:rsidP="00E87218">
            <w:pPr>
              <w:jc w:val="center"/>
              <w:rPr>
                <w:rFonts w:cs="Arial"/>
                <w:b/>
                <w:color w:val="000000"/>
                <w:szCs w:val="22"/>
                <w:lang w:eastAsia="it-IT"/>
              </w:rPr>
            </w:pPr>
          </w:p>
        </w:tc>
        <w:tc>
          <w:tcPr>
            <w:tcW w:w="1412" w:type="dxa"/>
            <w:shd w:val="clear" w:color="auto" w:fill="FFFFFF"/>
            <w:vAlign w:val="center"/>
          </w:tcPr>
          <w:p w14:paraId="42761C41" w14:textId="77777777" w:rsidR="00CB33C7" w:rsidRPr="00E87218" w:rsidRDefault="00CB33C7" w:rsidP="00E87218">
            <w:pPr>
              <w:jc w:val="center"/>
              <w:rPr>
                <w:rFonts w:cs="Arial"/>
                <w:b/>
                <w:color w:val="000000"/>
                <w:szCs w:val="22"/>
                <w:lang w:eastAsia="it-IT"/>
              </w:rPr>
            </w:pPr>
            <w:r w:rsidRPr="00E87218">
              <w:rPr>
                <w:rFonts w:cs="Arial"/>
                <w:b/>
                <w:color w:val="000000"/>
                <w:szCs w:val="22"/>
                <w:lang w:eastAsia="it-IT"/>
              </w:rPr>
              <w:t>102203,674</w:t>
            </w:r>
          </w:p>
        </w:tc>
        <w:tc>
          <w:tcPr>
            <w:tcW w:w="1281" w:type="dxa"/>
            <w:gridSpan w:val="2"/>
            <w:shd w:val="clear" w:color="auto" w:fill="auto"/>
            <w:vAlign w:val="center"/>
          </w:tcPr>
          <w:p w14:paraId="4826CACC" w14:textId="77777777" w:rsidR="00CB33C7" w:rsidRPr="00E87218" w:rsidRDefault="00CB33C7" w:rsidP="00E87218">
            <w:pPr>
              <w:jc w:val="center"/>
              <w:rPr>
                <w:rFonts w:cs="Arial"/>
                <w:b/>
                <w:color w:val="000000"/>
                <w:szCs w:val="22"/>
                <w:lang w:eastAsia="it-IT"/>
              </w:rPr>
            </w:pPr>
          </w:p>
        </w:tc>
        <w:tc>
          <w:tcPr>
            <w:tcW w:w="1276" w:type="dxa"/>
            <w:gridSpan w:val="2"/>
            <w:shd w:val="clear" w:color="auto" w:fill="FFFFFF"/>
            <w:vAlign w:val="center"/>
          </w:tcPr>
          <w:p w14:paraId="133EBE24" w14:textId="77777777" w:rsidR="00CB33C7" w:rsidRPr="00E87218" w:rsidRDefault="00CB33C7" w:rsidP="00E87218">
            <w:pPr>
              <w:jc w:val="center"/>
              <w:rPr>
                <w:rFonts w:cs="Arial"/>
                <w:b/>
                <w:color w:val="000000"/>
                <w:szCs w:val="22"/>
                <w:lang w:eastAsia="it-IT"/>
              </w:rPr>
            </w:pPr>
          </w:p>
        </w:tc>
        <w:tc>
          <w:tcPr>
            <w:tcW w:w="1571" w:type="dxa"/>
            <w:gridSpan w:val="2"/>
            <w:shd w:val="clear" w:color="auto" w:fill="FFFFFF"/>
            <w:vAlign w:val="center"/>
          </w:tcPr>
          <w:p w14:paraId="6911303C" w14:textId="77777777" w:rsidR="00CB33C7" w:rsidRPr="00E87218" w:rsidRDefault="00CB33C7" w:rsidP="00E87218">
            <w:pPr>
              <w:jc w:val="center"/>
              <w:rPr>
                <w:rFonts w:cs="Arial"/>
                <w:b/>
                <w:color w:val="000000"/>
                <w:szCs w:val="22"/>
                <w:lang w:eastAsia="it-IT"/>
              </w:rPr>
            </w:pPr>
            <w:r w:rsidRPr="00E87218">
              <w:rPr>
                <w:rFonts w:cs="Arial"/>
                <w:b/>
                <w:color w:val="000000"/>
                <w:szCs w:val="22"/>
                <w:lang w:eastAsia="it-IT"/>
              </w:rPr>
              <w:t>102203,674</w:t>
            </w:r>
          </w:p>
        </w:tc>
      </w:tr>
      <w:tr w:rsidR="00CB33C7" w:rsidRPr="00C2587D" w14:paraId="4F9FEDB6" w14:textId="77777777" w:rsidTr="008E3BCA">
        <w:trPr>
          <w:trHeight w:val="276"/>
          <w:jc w:val="right"/>
        </w:trPr>
        <w:tc>
          <w:tcPr>
            <w:tcW w:w="3423" w:type="dxa"/>
            <w:shd w:val="clear" w:color="auto" w:fill="FFFFFF"/>
            <w:vAlign w:val="center"/>
          </w:tcPr>
          <w:p w14:paraId="32AFFE90" w14:textId="77777777" w:rsidR="00CB33C7" w:rsidRPr="00E87218" w:rsidRDefault="00CB33C7" w:rsidP="00E87218">
            <w:pPr>
              <w:rPr>
                <w:rFonts w:cs="Arial"/>
                <w:b/>
                <w:bCs/>
                <w:color w:val="000000"/>
                <w:szCs w:val="22"/>
              </w:rPr>
            </w:pPr>
            <w:r w:rsidRPr="00E87218">
              <w:rPr>
                <w:rFonts w:cs="Arial"/>
                <w:b/>
                <w:bCs/>
                <w:color w:val="000000"/>
                <w:szCs w:val="22"/>
              </w:rPr>
              <w:t>по джерелах фінансування:</w:t>
            </w:r>
          </w:p>
        </w:tc>
        <w:tc>
          <w:tcPr>
            <w:tcW w:w="6796" w:type="dxa"/>
            <w:gridSpan w:val="8"/>
            <w:vAlign w:val="center"/>
          </w:tcPr>
          <w:p w14:paraId="24C5B43A" w14:textId="77777777" w:rsidR="00CB33C7" w:rsidRPr="00E87218" w:rsidRDefault="00CB33C7" w:rsidP="00667673">
            <w:pPr>
              <w:jc w:val="center"/>
              <w:rPr>
                <w:rFonts w:cs="Arial"/>
                <w:color w:val="000000"/>
                <w:szCs w:val="22"/>
                <w:lang w:eastAsia="it-IT"/>
              </w:rPr>
            </w:pPr>
          </w:p>
        </w:tc>
      </w:tr>
      <w:tr w:rsidR="008E3BCA" w:rsidRPr="00C2587D" w14:paraId="7838EAE7" w14:textId="12AEC0E8" w:rsidTr="008E3BCA">
        <w:trPr>
          <w:trHeight w:val="240"/>
          <w:jc w:val="right"/>
        </w:trPr>
        <w:tc>
          <w:tcPr>
            <w:tcW w:w="3423" w:type="dxa"/>
            <w:shd w:val="clear" w:color="auto" w:fill="FFFFFF"/>
            <w:vAlign w:val="center"/>
          </w:tcPr>
          <w:p w14:paraId="456F3463" w14:textId="77777777" w:rsidR="008E3BCA" w:rsidRPr="00E87218" w:rsidRDefault="008E3BCA" w:rsidP="00E87218">
            <w:pPr>
              <w:rPr>
                <w:rFonts w:cs="Arial"/>
                <w:b/>
                <w:bCs/>
                <w:color w:val="000000"/>
                <w:szCs w:val="22"/>
              </w:rPr>
            </w:pPr>
            <w:r w:rsidRPr="00E87218">
              <w:rPr>
                <w:rFonts w:cs="Arial"/>
                <w:color w:val="000000"/>
                <w:szCs w:val="22"/>
              </w:rPr>
              <w:t>- державний бюджет</w:t>
            </w:r>
          </w:p>
        </w:tc>
        <w:tc>
          <w:tcPr>
            <w:tcW w:w="1256" w:type="dxa"/>
            <w:vAlign w:val="center"/>
          </w:tcPr>
          <w:p w14:paraId="56398890" w14:textId="3BF54FA8" w:rsidR="008E3BCA" w:rsidRPr="00E87218" w:rsidRDefault="008E3BCA" w:rsidP="00667673">
            <w:pPr>
              <w:jc w:val="center"/>
              <w:rPr>
                <w:rFonts w:cs="Arial"/>
                <w:color w:val="000000"/>
                <w:szCs w:val="22"/>
                <w:lang w:eastAsia="it-IT"/>
              </w:rPr>
            </w:pPr>
          </w:p>
        </w:tc>
        <w:tc>
          <w:tcPr>
            <w:tcW w:w="1440" w:type="dxa"/>
            <w:gridSpan w:val="2"/>
          </w:tcPr>
          <w:p w14:paraId="7B72E43C" w14:textId="6BA50CD5" w:rsidR="008E3BCA" w:rsidRPr="00E87218" w:rsidRDefault="008E3BCA" w:rsidP="00667673">
            <w:pPr>
              <w:jc w:val="center"/>
              <w:rPr>
                <w:rFonts w:cs="Arial"/>
                <w:color w:val="000000"/>
                <w:szCs w:val="22"/>
                <w:lang w:eastAsia="it-IT"/>
              </w:rPr>
            </w:pPr>
            <w:r w:rsidRPr="00E87218">
              <w:rPr>
                <w:rFonts w:eastAsia="Arial" w:cs="Arial"/>
                <w:szCs w:val="22"/>
              </w:rPr>
              <w:t>81762,9392</w:t>
            </w:r>
          </w:p>
        </w:tc>
        <w:tc>
          <w:tcPr>
            <w:tcW w:w="1279" w:type="dxa"/>
            <w:gridSpan w:val="2"/>
          </w:tcPr>
          <w:p w14:paraId="4B00FAE8" w14:textId="77777777" w:rsidR="008E3BCA" w:rsidRPr="00E87218" w:rsidRDefault="008E3BCA" w:rsidP="00667673">
            <w:pPr>
              <w:jc w:val="center"/>
              <w:rPr>
                <w:rFonts w:cs="Arial"/>
                <w:color w:val="000000"/>
                <w:szCs w:val="22"/>
                <w:lang w:eastAsia="it-IT"/>
              </w:rPr>
            </w:pPr>
          </w:p>
        </w:tc>
        <w:tc>
          <w:tcPr>
            <w:tcW w:w="1278" w:type="dxa"/>
            <w:gridSpan w:val="2"/>
          </w:tcPr>
          <w:p w14:paraId="0F6BF41E" w14:textId="77777777" w:rsidR="008E3BCA" w:rsidRPr="00E87218" w:rsidRDefault="008E3BCA" w:rsidP="00667673">
            <w:pPr>
              <w:jc w:val="center"/>
              <w:rPr>
                <w:rFonts w:cs="Arial"/>
                <w:color w:val="000000"/>
                <w:szCs w:val="22"/>
                <w:lang w:eastAsia="it-IT"/>
              </w:rPr>
            </w:pPr>
          </w:p>
        </w:tc>
        <w:tc>
          <w:tcPr>
            <w:tcW w:w="1543" w:type="dxa"/>
          </w:tcPr>
          <w:p w14:paraId="552B332F" w14:textId="6EDF8130" w:rsidR="008E3BCA" w:rsidRPr="008E3BCA" w:rsidRDefault="008E3BCA" w:rsidP="00667673">
            <w:pPr>
              <w:ind w:left="33" w:hanging="33"/>
              <w:jc w:val="center"/>
              <w:rPr>
                <w:rFonts w:cs="Arial"/>
                <w:b/>
                <w:color w:val="000000"/>
                <w:szCs w:val="22"/>
                <w:lang w:eastAsia="it-IT"/>
              </w:rPr>
            </w:pPr>
            <w:r w:rsidRPr="008E3BCA">
              <w:rPr>
                <w:rFonts w:eastAsia="Arial" w:cs="Arial"/>
                <w:b/>
                <w:szCs w:val="22"/>
              </w:rPr>
              <w:t>81762,9392</w:t>
            </w:r>
          </w:p>
        </w:tc>
      </w:tr>
      <w:tr w:rsidR="008E3BCA" w:rsidRPr="00C2587D" w14:paraId="7E528A65" w14:textId="2A233863" w:rsidTr="008E3BCA">
        <w:trPr>
          <w:trHeight w:val="254"/>
          <w:jc w:val="right"/>
        </w:trPr>
        <w:tc>
          <w:tcPr>
            <w:tcW w:w="3423" w:type="dxa"/>
            <w:shd w:val="clear" w:color="auto" w:fill="FFFFFF"/>
            <w:vAlign w:val="center"/>
          </w:tcPr>
          <w:p w14:paraId="3A98A404" w14:textId="77777777" w:rsidR="008E3BCA" w:rsidRPr="00E87218" w:rsidRDefault="008E3BCA" w:rsidP="00E87218">
            <w:pPr>
              <w:rPr>
                <w:rFonts w:cs="Arial"/>
                <w:color w:val="000000"/>
                <w:szCs w:val="22"/>
              </w:rPr>
            </w:pPr>
            <w:r w:rsidRPr="00E87218">
              <w:rPr>
                <w:rFonts w:cs="Arial"/>
                <w:color w:val="000000"/>
                <w:szCs w:val="22"/>
              </w:rPr>
              <w:t>- обласний бюджет</w:t>
            </w:r>
          </w:p>
        </w:tc>
        <w:tc>
          <w:tcPr>
            <w:tcW w:w="1256" w:type="dxa"/>
            <w:vAlign w:val="center"/>
          </w:tcPr>
          <w:p w14:paraId="0CD91049" w14:textId="77777777" w:rsidR="008E3BCA" w:rsidRPr="00E87218" w:rsidRDefault="008E3BCA" w:rsidP="00667673">
            <w:pPr>
              <w:jc w:val="center"/>
              <w:rPr>
                <w:rFonts w:cs="Arial"/>
                <w:color w:val="000000"/>
                <w:szCs w:val="22"/>
                <w:lang w:eastAsia="it-IT"/>
              </w:rPr>
            </w:pPr>
          </w:p>
        </w:tc>
        <w:tc>
          <w:tcPr>
            <w:tcW w:w="1440" w:type="dxa"/>
            <w:gridSpan w:val="2"/>
          </w:tcPr>
          <w:p w14:paraId="44A47E54" w14:textId="77777777" w:rsidR="008E3BCA" w:rsidRPr="00E87218" w:rsidRDefault="008E3BCA" w:rsidP="00667673">
            <w:pPr>
              <w:jc w:val="center"/>
              <w:rPr>
                <w:rFonts w:cs="Arial"/>
                <w:color w:val="000000"/>
                <w:szCs w:val="22"/>
                <w:lang w:eastAsia="it-IT"/>
              </w:rPr>
            </w:pPr>
          </w:p>
        </w:tc>
        <w:tc>
          <w:tcPr>
            <w:tcW w:w="1279" w:type="dxa"/>
            <w:gridSpan w:val="2"/>
          </w:tcPr>
          <w:p w14:paraId="4F761B57" w14:textId="77777777" w:rsidR="008E3BCA" w:rsidRPr="00E87218" w:rsidRDefault="008E3BCA" w:rsidP="00667673">
            <w:pPr>
              <w:jc w:val="center"/>
              <w:rPr>
                <w:rFonts w:cs="Arial"/>
                <w:color w:val="000000"/>
                <w:szCs w:val="22"/>
                <w:lang w:eastAsia="it-IT"/>
              </w:rPr>
            </w:pPr>
          </w:p>
        </w:tc>
        <w:tc>
          <w:tcPr>
            <w:tcW w:w="1278" w:type="dxa"/>
            <w:gridSpan w:val="2"/>
          </w:tcPr>
          <w:p w14:paraId="1E15B068" w14:textId="77777777" w:rsidR="008E3BCA" w:rsidRPr="00E87218" w:rsidRDefault="008E3BCA" w:rsidP="00667673">
            <w:pPr>
              <w:jc w:val="center"/>
              <w:rPr>
                <w:rFonts w:cs="Arial"/>
                <w:color w:val="000000"/>
                <w:szCs w:val="22"/>
                <w:lang w:eastAsia="it-IT"/>
              </w:rPr>
            </w:pPr>
          </w:p>
        </w:tc>
        <w:tc>
          <w:tcPr>
            <w:tcW w:w="1543" w:type="dxa"/>
          </w:tcPr>
          <w:p w14:paraId="2436EA0F" w14:textId="010B0043" w:rsidR="008E3BCA" w:rsidRPr="008E3BCA" w:rsidRDefault="008E3BCA" w:rsidP="00667673">
            <w:pPr>
              <w:ind w:left="33" w:hanging="33"/>
              <w:jc w:val="center"/>
              <w:rPr>
                <w:rFonts w:cs="Arial"/>
                <w:b/>
                <w:color w:val="000000"/>
                <w:szCs w:val="22"/>
                <w:lang w:eastAsia="it-IT"/>
              </w:rPr>
            </w:pPr>
          </w:p>
        </w:tc>
      </w:tr>
      <w:tr w:rsidR="008E3BCA" w:rsidRPr="00C2587D" w14:paraId="21BA4415" w14:textId="70A189C5" w:rsidTr="008E3BCA">
        <w:trPr>
          <w:trHeight w:val="275"/>
          <w:jc w:val="right"/>
        </w:trPr>
        <w:tc>
          <w:tcPr>
            <w:tcW w:w="3423" w:type="dxa"/>
            <w:shd w:val="clear" w:color="auto" w:fill="FFFFFF"/>
            <w:vAlign w:val="center"/>
          </w:tcPr>
          <w:p w14:paraId="3F9448A4" w14:textId="77777777" w:rsidR="008E3BCA" w:rsidRPr="00E87218" w:rsidRDefault="008E3BCA" w:rsidP="00E87218">
            <w:pPr>
              <w:rPr>
                <w:rFonts w:cs="Arial"/>
                <w:color w:val="000000"/>
                <w:szCs w:val="22"/>
              </w:rPr>
            </w:pPr>
            <w:r w:rsidRPr="00E87218">
              <w:rPr>
                <w:rFonts w:cs="Arial"/>
                <w:color w:val="000000"/>
                <w:szCs w:val="22"/>
              </w:rPr>
              <w:t>- бюджет Жмеринської МТГ</w:t>
            </w:r>
          </w:p>
        </w:tc>
        <w:tc>
          <w:tcPr>
            <w:tcW w:w="1256" w:type="dxa"/>
            <w:vAlign w:val="center"/>
          </w:tcPr>
          <w:p w14:paraId="36B39079" w14:textId="7A7312EC" w:rsidR="008E3BCA" w:rsidRPr="00E87218" w:rsidRDefault="008E3BCA" w:rsidP="00667673">
            <w:pPr>
              <w:jc w:val="center"/>
              <w:rPr>
                <w:rFonts w:cs="Arial"/>
                <w:color w:val="000000"/>
                <w:szCs w:val="22"/>
                <w:lang w:eastAsia="it-IT"/>
              </w:rPr>
            </w:pPr>
          </w:p>
        </w:tc>
        <w:tc>
          <w:tcPr>
            <w:tcW w:w="1440" w:type="dxa"/>
            <w:gridSpan w:val="2"/>
          </w:tcPr>
          <w:p w14:paraId="51233D56" w14:textId="46ABF5D4" w:rsidR="008E3BCA" w:rsidRPr="00E87218" w:rsidRDefault="008E3BCA" w:rsidP="00667673">
            <w:pPr>
              <w:jc w:val="center"/>
              <w:rPr>
                <w:rFonts w:cs="Arial"/>
                <w:color w:val="000000"/>
                <w:szCs w:val="22"/>
                <w:lang w:eastAsia="it-IT"/>
              </w:rPr>
            </w:pPr>
            <w:r w:rsidRPr="00E87218">
              <w:rPr>
                <w:rFonts w:cs="Arial"/>
                <w:color w:val="000000"/>
                <w:szCs w:val="22"/>
                <w:lang w:eastAsia="it-IT"/>
              </w:rPr>
              <w:t>20440,7348</w:t>
            </w:r>
          </w:p>
        </w:tc>
        <w:tc>
          <w:tcPr>
            <w:tcW w:w="1279" w:type="dxa"/>
            <w:gridSpan w:val="2"/>
          </w:tcPr>
          <w:p w14:paraId="1183CDA4" w14:textId="77777777" w:rsidR="008E3BCA" w:rsidRPr="00E87218" w:rsidRDefault="008E3BCA" w:rsidP="00667673">
            <w:pPr>
              <w:jc w:val="center"/>
              <w:rPr>
                <w:rFonts w:cs="Arial"/>
                <w:color w:val="000000"/>
                <w:szCs w:val="22"/>
                <w:lang w:eastAsia="it-IT"/>
              </w:rPr>
            </w:pPr>
          </w:p>
        </w:tc>
        <w:tc>
          <w:tcPr>
            <w:tcW w:w="1278" w:type="dxa"/>
            <w:gridSpan w:val="2"/>
          </w:tcPr>
          <w:p w14:paraId="3F183FF7" w14:textId="77777777" w:rsidR="008E3BCA" w:rsidRPr="00E87218" w:rsidRDefault="008E3BCA" w:rsidP="00667673">
            <w:pPr>
              <w:jc w:val="center"/>
              <w:rPr>
                <w:rFonts w:cs="Arial"/>
                <w:color w:val="000000"/>
                <w:szCs w:val="22"/>
                <w:lang w:eastAsia="it-IT"/>
              </w:rPr>
            </w:pPr>
          </w:p>
        </w:tc>
        <w:tc>
          <w:tcPr>
            <w:tcW w:w="1543" w:type="dxa"/>
          </w:tcPr>
          <w:p w14:paraId="002F472D" w14:textId="46D6F23F" w:rsidR="008E3BCA" w:rsidRPr="008E3BCA" w:rsidRDefault="008E3BCA" w:rsidP="00667673">
            <w:pPr>
              <w:ind w:left="33" w:hanging="33"/>
              <w:jc w:val="center"/>
              <w:rPr>
                <w:rFonts w:cs="Arial"/>
                <w:b/>
                <w:color w:val="000000"/>
                <w:szCs w:val="22"/>
                <w:lang w:eastAsia="it-IT"/>
              </w:rPr>
            </w:pPr>
            <w:r w:rsidRPr="008E3BCA">
              <w:rPr>
                <w:rFonts w:cs="Arial"/>
                <w:b/>
                <w:color w:val="000000"/>
                <w:szCs w:val="22"/>
                <w:lang w:eastAsia="it-IT"/>
              </w:rPr>
              <w:t>20440,7348</w:t>
            </w:r>
          </w:p>
        </w:tc>
      </w:tr>
      <w:tr w:rsidR="008E3BCA" w:rsidRPr="00C2587D" w14:paraId="3F77D1B4" w14:textId="2032E921" w:rsidTr="008E3BCA">
        <w:trPr>
          <w:trHeight w:val="226"/>
          <w:jc w:val="right"/>
        </w:trPr>
        <w:tc>
          <w:tcPr>
            <w:tcW w:w="3423" w:type="dxa"/>
            <w:shd w:val="clear" w:color="auto" w:fill="FFFFFF"/>
            <w:vAlign w:val="center"/>
          </w:tcPr>
          <w:p w14:paraId="01D2901B" w14:textId="77777777" w:rsidR="008E3BCA" w:rsidRPr="00E87218" w:rsidRDefault="008E3BCA" w:rsidP="00E87218">
            <w:pPr>
              <w:rPr>
                <w:rFonts w:cs="Arial"/>
                <w:color w:val="000000"/>
                <w:szCs w:val="22"/>
              </w:rPr>
            </w:pPr>
            <w:r w:rsidRPr="00E87218">
              <w:rPr>
                <w:rFonts w:cs="Arial"/>
                <w:color w:val="000000"/>
                <w:szCs w:val="22"/>
              </w:rPr>
              <w:t>- інші джерела фінансування</w:t>
            </w:r>
          </w:p>
        </w:tc>
        <w:tc>
          <w:tcPr>
            <w:tcW w:w="1256" w:type="dxa"/>
            <w:vAlign w:val="center"/>
          </w:tcPr>
          <w:p w14:paraId="05EF1150" w14:textId="77777777" w:rsidR="008E3BCA" w:rsidRPr="00E87218" w:rsidRDefault="008E3BCA" w:rsidP="00667673">
            <w:pPr>
              <w:jc w:val="center"/>
              <w:rPr>
                <w:rFonts w:cs="Arial"/>
                <w:color w:val="000000"/>
                <w:szCs w:val="22"/>
                <w:lang w:eastAsia="it-IT"/>
              </w:rPr>
            </w:pPr>
          </w:p>
        </w:tc>
        <w:tc>
          <w:tcPr>
            <w:tcW w:w="1440" w:type="dxa"/>
            <w:gridSpan w:val="2"/>
          </w:tcPr>
          <w:p w14:paraId="6A57FD03" w14:textId="77777777" w:rsidR="008E3BCA" w:rsidRPr="00E87218" w:rsidRDefault="008E3BCA" w:rsidP="00667673">
            <w:pPr>
              <w:jc w:val="center"/>
              <w:rPr>
                <w:rFonts w:cs="Arial"/>
                <w:color w:val="000000"/>
                <w:szCs w:val="22"/>
                <w:lang w:eastAsia="it-IT"/>
              </w:rPr>
            </w:pPr>
          </w:p>
        </w:tc>
        <w:tc>
          <w:tcPr>
            <w:tcW w:w="1279" w:type="dxa"/>
            <w:gridSpan w:val="2"/>
          </w:tcPr>
          <w:p w14:paraId="39E92150" w14:textId="77777777" w:rsidR="008E3BCA" w:rsidRPr="00E87218" w:rsidRDefault="008E3BCA" w:rsidP="00667673">
            <w:pPr>
              <w:jc w:val="center"/>
              <w:rPr>
                <w:rFonts w:cs="Arial"/>
                <w:color w:val="000000"/>
                <w:szCs w:val="22"/>
                <w:lang w:eastAsia="it-IT"/>
              </w:rPr>
            </w:pPr>
          </w:p>
        </w:tc>
        <w:tc>
          <w:tcPr>
            <w:tcW w:w="1278" w:type="dxa"/>
            <w:gridSpan w:val="2"/>
          </w:tcPr>
          <w:p w14:paraId="7423A00B" w14:textId="77777777" w:rsidR="008E3BCA" w:rsidRPr="00E87218" w:rsidRDefault="008E3BCA" w:rsidP="00667673">
            <w:pPr>
              <w:jc w:val="center"/>
              <w:rPr>
                <w:rFonts w:cs="Arial"/>
                <w:color w:val="000000"/>
                <w:szCs w:val="22"/>
                <w:lang w:eastAsia="it-IT"/>
              </w:rPr>
            </w:pPr>
          </w:p>
        </w:tc>
        <w:tc>
          <w:tcPr>
            <w:tcW w:w="1543" w:type="dxa"/>
          </w:tcPr>
          <w:p w14:paraId="5C265FBE" w14:textId="188652CF" w:rsidR="008E3BCA" w:rsidRPr="00E87218" w:rsidRDefault="008E3BCA" w:rsidP="00667673">
            <w:pPr>
              <w:jc w:val="center"/>
              <w:rPr>
                <w:rFonts w:cs="Arial"/>
                <w:color w:val="000000"/>
                <w:szCs w:val="22"/>
                <w:lang w:eastAsia="it-IT"/>
              </w:rPr>
            </w:pPr>
          </w:p>
        </w:tc>
      </w:tr>
      <w:tr w:rsidR="00CB33C7" w:rsidRPr="00C2587D" w14:paraId="12127BC3" w14:textId="77777777" w:rsidTr="008E3BCA">
        <w:trPr>
          <w:jc w:val="right"/>
        </w:trPr>
        <w:tc>
          <w:tcPr>
            <w:tcW w:w="3423" w:type="dxa"/>
            <w:shd w:val="clear" w:color="auto" w:fill="FFFFFF"/>
            <w:vAlign w:val="center"/>
          </w:tcPr>
          <w:p w14:paraId="72B4B43B" w14:textId="77777777" w:rsidR="00CB33C7" w:rsidRPr="00E87218" w:rsidRDefault="00CB33C7" w:rsidP="00E87218">
            <w:pPr>
              <w:rPr>
                <w:rFonts w:cs="Arial"/>
                <w:b/>
                <w:bCs/>
                <w:color w:val="000000"/>
                <w:szCs w:val="22"/>
              </w:rPr>
            </w:pPr>
            <w:r w:rsidRPr="00E87218">
              <w:rPr>
                <w:rFonts w:cs="Arial"/>
                <w:b/>
                <w:color w:val="000000"/>
                <w:szCs w:val="22"/>
              </w:rPr>
              <w:t>Відповідальний виконавець проєкту:</w:t>
            </w:r>
          </w:p>
        </w:tc>
        <w:tc>
          <w:tcPr>
            <w:tcW w:w="6796" w:type="dxa"/>
            <w:gridSpan w:val="8"/>
            <w:vAlign w:val="center"/>
          </w:tcPr>
          <w:p w14:paraId="7513C250" w14:textId="5A0156DC" w:rsidR="00CB33C7" w:rsidRPr="00E87218" w:rsidRDefault="00CB33C7" w:rsidP="008E3BCA">
            <w:pPr>
              <w:jc w:val="both"/>
              <w:rPr>
                <w:rFonts w:cs="Arial"/>
                <w:color w:val="000000"/>
                <w:szCs w:val="22"/>
                <w:lang w:eastAsia="it-IT"/>
              </w:rPr>
            </w:pPr>
            <w:r w:rsidRPr="00E87218">
              <w:rPr>
                <w:rFonts w:cs="Arial"/>
                <w:color w:val="000000"/>
                <w:szCs w:val="22"/>
                <w:lang w:eastAsia="it-IT"/>
              </w:rPr>
              <w:t>Управління ЖКГ.</w:t>
            </w:r>
          </w:p>
        </w:tc>
      </w:tr>
      <w:tr w:rsidR="00CB33C7" w:rsidRPr="00C2587D" w14:paraId="4AE2D38E" w14:textId="77777777" w:rsidTr="008E3BCA">
        <w:trPr>
          <w:jc w:val="right"/>
        </w:trPr>
        <w:tc>
          <w:tcPr>
            <w:tcW w:w="3423" w:type="dxa"/>
            <w:shd w:val="clear" w:color="auto" w:fill="FFFFFF"/>
            <w:vAlign w:val="center"/>
          </w:tcPr>
          <w:p w14:paraId="6A22B5B0" w14:textId="77777777" w:rsidR="00CB33C7" w:rsidRPr="00E87218" w:rsidRDefault="00CB33C7" w:rsidP="00E87218">
            <w:pPr>
              <w:rPr>
                <w:rFonts w:cs="Arial"/>
                <w:b/>
                <w:bCs/>
                <w:color w:val="000000"/>
                <w:szCs w:val="22"/>
              </w:rPr>
            </w:pPr>
            <w:r w:rsidRPr="00E87218">
              <w:rPr>
                <w:rFonts w:cs="Arial"/>
                <w:b/>
                <w:bCs/>
                <w:color w:val="000000"/>
                <w:szCs w:val="22"/>
              </w:rPr>
              <w:t>Інше:</w:t>
            </w:r>
          </w:p>
        </w:tc>
        <w:tc>
          <w:tcPr>
            <w:tcW w:w="6796" w:type="dxa"/>
            <w:gridSpan w:val="8"/>
            <w:vAlign w:val="center"/>
          </w:tcPr>
          <w:p w14:paraId="50A11693" w14:textId="77777777" w:rsidR="00CB33C7" w:rsidRPr="00E87218" w:rsidRDefault="00CB33C7" w:rsidP="00E87218">
            <w:pPr>
              <w:rPr>
                <w:rFonts w:cs="Arial"/>
                <w:color w:val="000000"/>
                <w:szCs w:val="22"/>
                <w:lang w:eastAsia="it-IT"/>
              </w:rPr>
            </w:pPr>
          </w:p>
          <w:p w14:paraId="4EEBE5FC" w14:textId="77777777" w:rsidR="00CB33C7" w:rsidRPr="00E87218" w:rsidRDefault="00CB33C7" w:rsidP="00E87218">
            <w:pPr>
              <w:rPr>
                <w:rFonts w:cs="Arial"/>
                <w:color w:val="000000"/>
                <w:szCs w:val="22"/>
                <w:lang w:eastAsia="it-IT"/>
              </w:rPr>
            </w:pPr>
          </w:p>
        </w:tc>
      </w:tr>
    </w:tbl>
    <w:p w14:paraId="7ADAD4B6" w14:textId="77777777" w:rsidR="00CB33C7" w:rsidRPr="00C2587D" w:rsidRDefault="00CB33C7" w:rsidP="00CB33C7"/>
    <w:p w14:paraId="381F3A10" w14:textId="77777777" w:rsidR="00CB33C7" w:rsidRPr="00C2587D" w:rsidRDefault="00CB33C7" w:rsidP="00CB33C7"/>
    <w:p w14:paraId="210339AD" w14:textId="77777777" w:rsidR="00CB33C7" w:rsidRPr="00C2587D" w:rsidRDefault="00CB33C7" w:rsidP="00CB33C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13C86EBA" w14:textId="77777777" w:rsidR="00CB33C7" w:rsidRPr="00C2587D" w:rsidRDefault="00CB33C7" w:rsidP="00CB33C7">
      <w:pPr>
        <w:jc w:val="center"/>
        <w:rPr>
          <w:rFonts w:cs="Arial"/>
          <w:b/>
          <w:color w:val="000000"/>
          <w:szCs w:val="22"/>
        </w:rPr>
      </w:pPr>
      <w:r w:rsidRPr="00C2587D">
        <w:rPr>
          <w:rFonts w:cs="Arial"/>
          <w:b/>
          <w:color w:val="000000"/>
          <w:szCs w:val="22"/>
        </w:rPr>
        <w:t>до Плану заходів з реалізації Стратегії</w:t>
      </w:r>
    </w:p>
    <w:p w14:paraId="0B4C96FC" w14:textId="77777777" w:rsidR="00CB33C7" w:rsidRPr="00C2587D" w:rsidRDefault="00CB33C7" w:rsidP="00CB33C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13"/>
        <w:gridCol w:w="1262"/>
        <w:gridCol w:w="51"/>
        <w:gridCol w:w="1367"/>
        <w:gridCol w:w="50"/>
        <w:gridCol w:w="1226"/>
        <w:gridCol w:w="18"/>
        <w:gridCol w:w="1553"/>
      </w:tblGrid>
      <w:tr w:rsidR="00CB33C7" w:rsidRPr="00C2587D" w14:paraId="44138E8D" w14:textId="77777777" w:rsidTr="00EA6E27">
        <w:trPr>
          <w:jc w:val="right"/>
        </w:trPr>
        <w:tc>
          <w:tcPr>
            <w:tcW w:w="3425" w:type="dxa"/>
            <w:vAlign w:val="center"/>
          </w:tcPr>
          <w:p w14:paraId="14490AFB" w14:textId="77777777" w:rsidR="00CB33C7" w:rsidRPr="008E3BCA" w:rsidRDefault="00CB33C7" w:rsidP="008E3BCA">
            <w:pPr>
              <w:rPr>
                <w:rFonts w:cs="Arial"/>
                <w:b/>
                <w:bCs/>
                <w:color w:val="000000"/>
                <w:szCs w:val="22"/>
              </w:rPr>
            </w:pPr>
            <w:r w:rsidRPr="008E3BCA">
              <w:rPr>
                <w:rFonts w:cs="Arial"/>
                <w:b/>
                <w:bCs/>
                <w:color w:val="000000"/>
                <w:szCs w:val="22"/>
              </w:rPr>
              <w:t>Назва проєкту:</w:t>
            </w:r>
          </w:p>
        </w:tc>
        <w:tc>
          <w:tcPr>
            <w:tcW w:w="6794" w:type="dxa"/>
            <w:gridSpan w:val="9"/>
          </w:tcPr>
          <w:p w14:paraId="5136F2F5" w14:textId="0F46098F" w:rsidR="00CB33C7" w:rsidRPr="008E3BCA" w:rsidRDefault="00CB33C7" w:rsidP="008E3BCA">
            <w:pPr>
              <w:jc w:val="both"/>
              <w:rPr>
                <w:rFonts w:cs="Arial"/>
                <w:b/>
                <w:szCs w:val="22"/>
                <w:lang w:eastAsia="it-IT"/>
              </w:rPr>
            </w:pPr>
            <w:r w:rsidRPr="008E3BCA">
              <w:rPr>
                <w:rFonts w:eastAsia="Arial" w:cs="Arial"/>
                <w:b/>
                <w:szCs w:val="22"/>
                <w:lang w:eastAsia="en-US"/>
              </w:rPr>
              <w:t xml:space="preserve">Капітальний ремонт мережі вуличного освітлення частини села Подільське ТП-87 Леляцького старостинського округу Жмеринської </w:t>
            </w:r>
            <w:r w:rsidR="00883F49">
              <w:rPr>
                <w:rFonts w:eastAsia="Arial" w:cs="Arial"/>
                <w:b/>
                <w:szCs w:val="22"/>
                <w:lang w:eastAsia="en-US"/>
              </w:rPr>
              <w:t xml:space="preserve">міської </w:t>
            </w:r>
            <w:r w:rsidRPr="008E3BCA">
              <w:rPr>
                <w:rFonts w:eastAsia="Arial" w:cs="Arial"/>
                <w:b/>
                <w:szCs w:val="22"/>
                <w:lang w:eastAsia="en-US"/>
              </w:rPr>
              <w:t>територіальної громади</w:t>
            </w:r>
          </w:p>
        </w:tc>
      </w:tr>
      <w:tr w:rsidR="00CB33C7" w:rsidRPr="00C2587D" w14:paraId="60E5C316" w14:textId="77777777" w:rsidTr="00EA6E27">
        <w:trPr>
          <w:jc w:val="right"/>
        </w:trPr>
        <w:tc>
          <w:tcPr>
            <w:tcW w:w="3425" w:type="dxa"/>
          </w:tcPr>
          <w:p w14:paraId="3D508021" w14:textId="77777777" w:rsidR="00CB33C7" w:rsidRPr="008E3BCA" w:rsidRDefault="00CB33C7" w:rsidP="008E3BCA">
            <w:pPr>
              <w:rPr>
                <w:rFonts w:cs="Arial"/>
                <w:szCs w:val="22"/>
                <w:lang w:eastAsia="it-IT"/>
              </w:rPr>
            </w:pPr>
            <w:r w:rsidRPr="008E3BCA">
              <w:rPr>
                <w:rFonts w:cs="Arial"/>
                <w:b/>
                <w:bCs/>
                <w:szCs w:val="22"/>
              </w:rPr>
              <w:t>Ваші контакти</w:t>
            </w:r>
            <w:r w:rsidRPr="008E3BCA">
              <w:rPr>
                <w:rFonts w:cs="Arial"/>
                <w:szCs w:val="22"/>
                <w:lang w:eastAsia="it-IT"/>
              </w:rPr>
              <w:t>:</w:t>
            </w:r>
          </w:p>
          <w:p w14:paraId="545041B6" w14:textId="77777777" w:rsidR="00CB33C7" w:rsidRPr="008E3BCA" w:rsidRDefault="00CB33C7" w:rsidP="008E3BCA">
            <w:pPr>
              <w:rPr>
                <w:rFonts w:cs="Arial"/>
                <w:b/>
                <w:bCs/>
                <w:szCs w:val="22"/>
              </w:rPr>
            </w:pPr>
            <w:r w:rsidRPr="008E3BCA">
              <w:rPr>
                <w:rFonts w:cs="Arial"/>
                <w:szCs w:val="22"/>
                <w:lang w:eastAsia="it-IT"/>
              </w:rPr>
              <w:t>Назва установи, організації, підприємства</w:t>
            </w:r>
          </w:p>
        </w:tc>
        <w:tc>
          <w:tcPr>
            <w:tcW w:w="6794" w:type="dxa"/>
            <w:gridSpan w:val="9"/>
          </w:tcPr>
          <w:p w14:paraId="25F5C726" w14:textId="77777777" w:rsidR="00CB33C7" w:rsidRPr="008E3BCA" w:rsidRDefault="00CB33C7" w:rsidP="008E3BCA">
            <w:pPr>
              <w:rPr>
                <w:rFonts w:cs="Arial"/>
                <w:szCs w:val="22"/>
                <w:lang w:eastAsia="it-IT"/>
              </w:rPr>
            </w:pPr>
            <w:r w:rsidRPr="008E3BCA">
              <w:rPr>
                <w:rFonts w:cs="Arial"/>
                <w:szCs w:val="22"/>
                <w:lang w:eastAsia="it-IT"/>
              </w:rPr>
              <w:t>Управління житлово-комунального господарства Жмеринської міської ради</w:t>
            </w:r>
          </w:p>
        </w:tc>
      </w:tr>
      <w:tr w:rsidR="00CB33C7" w:rsidRPr="00C2587D" w14:paraId="138C8FE7" w14:textId="77777777" w:rsidTr="00EA6E27">
        <w:trPr>
          <w:jc w:val="right"/>
        </w:trPr>
        <w:tc>
          <w:tcPr>
            <w:tcW w:w="3425" w:type="dxa"/>
          </w:tcPr>
          <w:p w14:paraId="697A0B5D" w14:textId="77777777" w:rsidR="00CB33C7" w:rsidRPr="008E3BCA" w:rsidRDefault="00CB33C7" w:rsidP="008E3BCA">
            <w:pPr>
              <w:rPr>
                <w:rFonts w:cs="Arial"/>
                <w:b/>
                <w:bCs/>
                <w:szCs w:val="22"/>
              </w:rPr>
            </w:pPr>
            <w:r w:rsidRPr="008E3BCA">
              <w:rPr>
                <w:rFonts w:cs="Arial"/>
                <w:szCs w:val="22"/>
                <w:lang w:eastAsia="it-IT"/>
              </w:rPr>
              <w:t>Прізвище Ім’я По-батькові:</w:t>
            </w:r>
          </w:p>
        </w:tc>
        <w:tc>
          <w:tcPr>
            <w:tcW w:w="6794" w:type="dxa"/>
            <w:gridSpan w:val="9"/>
          </w:tcPr>
          <w:p w14:paraId="0A12EFF7" w14:textId="77777777" w:rsidR="00CB33C7" w:rsidRPr="008E3BCA" w:rsidRDefault="00CB33C7" w:rsidP="008E3BCA">
            <w:pPr>
              <w:rPr>
                <w:rFonts w:cs="Arial"/>
                <w:szCs w:val="22"/>
                <w:lang w:eastAsia="it-IT"/>
              </w:rPr>
            </w:pPr>
            <w:r w:rsidRPr="008E3BCA">
              <w:rPr>
                <w:rFonts w:cs="Arial"/>
                <w:szCs w:val="22"/>
                <w:lang w:eastAsia="it-IT"/>
              </w:rPr>
              <w:t>Оленич Андрій Васильович</w:t>
            </w:r>
          </w:p>
        </w:tc>
      </w:tr>
      <w:tr w:rsidR="00CB33C7" w:rsidRPr="00C2587D" w14:paraId="643C260B" w14:textId="77777777" w:rsidTr="00EA6E27">
        <w:trPr>
          <w:jc w:val="right"/>
        </w:trPr>
        <w:tc>
          <w:tcPr>
            <w:tcW w:w="3425" w:type="dxa"/>
          </w:tcPr>
          <w:p w14:paraId="12795B1A" w14:textId="77777777" w:rsidR="00CB33C7" w:rsidRPr="008E3BCA" w:rsidRDefault="00CB33C7" w:rsidP="008E3BCA">
            <w:pPr>
              <w:rPr>
                <w:rFonts w:cs="Arial"/>
                <w:b/>
                <w:bCs/>
                <w:szCs w:val="22"/>
              </w:rPr>
            </w:pPr>
            <w:r w:rsidRPr="008E3BCA">
              <w:rPr>
                <w:rFonts w:cs="Arial"/>
                <w:szCs w:val="22"/>
                <w:lang w:eastAsia="it-IT"/>
              </w:rPr>
              <w:t>Телефон (мобільний):</w:t>
            </w:r>
          </w:p>
        </w:tc>
        <w:tc>
          <w:tcPr>
            <w:tcW w:w="6794" w:type="dxa"/>
            <w:gridSpan w:val="9"/>
          </w:tcPr>
          <w:p w14:paraId="54A8A12D" w14:textId="77777777" w:rsidR="00CB33C7" w:rsidRPr="008E3BCA" w:rsidRDefault="00CB33C7" w:rsidP="008E3BCA">
            <w:pPr>
              <w:rPr>
                <w:rFonts w:cs="Arial"/>
                <w:szCs w:val="22"/>
                <w:lang w:eastAsia="it-IT"/>
              </w:rPr>
            </w:pPr>
            <w:r w:rsidRPr="008E3BCA">
              <w:rPr>
                <w:rFonts w:cs="Arial"/>
                <w:szCs w:val="22"/>
                <w:lang w:eastAsia="it-IT"/>
              </w:rPr>
              <w:t>0972561907</w:t>
            </w:r>
          </w:p>
        </w:tc>
      </w:tr>
      <w:tr w:rsidR="00CB33C7" w:rsidRPr="00C2587D" w14:paraId="5889A34F" w14:textId="77777777" w:rsidTr="00EA6E27">
        <w:trPr>
          <w:jc w:val="right"/>
        </w:trPr>
        <w:tc>
          <w:tcPr>
            <w:tcW w:w="3425" w:type="dxa"/>
          </w:tcPr>
          <w:p w14:paraId="728C6702" w14:textId="77777777" w:rsidR="00CB33C7" w:rsidRPr="008E3BCA" w:rsidRDefault="00CB33C7" w:rsidP="008E3BCA">
            <w:pPr>
              <w:rPr>
                <w:rFonts w:cs="Arial"/>
                <w:b/>
                <w:bCs/>
                <w:szCs w:val="22"/>
              </w:rPr>
            </w:pPr>
            <w:r w:rsidRPr="008E3BCA">
              <w:rPr>
                <w:rFonts w:cs="Arial"/>
                <w:szCs w:val="22"/>
                <w:lang w:eastAsia="it-IT"/>
              </w:rPr>
              <w:t>Електронна адреса:</w:t>
            </w:r>
          </w:p>
        </w:tc>
        <w:tc>
          <w:tcPr>
            <w:tcW w:w="6794" w:type="dxa"/>
            <w:gridSpan w:val="9"/>
          </w:tcPr>
          <w:p w14:paraId="0F58B0F7" w14:textId="77777777" w:rsidR="00CB33C7" w:rsidRPr="008E3BCA" w:rsidRDefault="00D85FFD" w:rsidP="008E3BCA">
            <w:pPr>
              <w:rPr>
                <w:rFonts w:cs="Arial"/>
                <w:szCs w:val="22"/>
                <w:lang w:eastAsia="it-IT"/>
              </w:rPr>
            </w:pPr>
            <w:hyperlink r:id="rId73" w:history="1">
              <w:r w:rsidR="00CB33C7" w:rsidRPr="008E3BCA">
                <w:rPr>
                  <w:rStyle w:val="af0"/>
                  <w:rFonts w:cs="Arial"/>
                  <w:noProof w:val="0"/>
                  <w:sz w:val="22"/>
                  <w:szCs w:val="22"/>
                  <w:lang w:eastAsia="it-IT"/>
                </w:rPr>
                <w:t>Aolenych03@ukr.net</w:t>
              </w:r>
            </w:hyperlink>
          </w:p>
        </w:tc>
      </w:tr>
      <w:tr w:rsidR="00CB33C7" w:rsidRPr="00C2587D" w14:paraId="6B7064C7" w14:textId="77777777" w:rsidTr="00EA6E27">
        <w:trPr>
          <w:jc w:val="right"/>
        </w:trPr>
        <w:tc>
          <w:tcPr>
            <w:tcW w:w="3425" w:type="dxa"/>
            <w:vAlign w:val="center"/>
          </w:tcPr>
          <w:p w14:paraId="334AF4A7" w14:textId="77777777" w:rsidR="00CB33C7" w:rsidRPr="008E3BCA" w:rsidRDefault="00CB33C7" w:rsidP="008E3BCA">
            <w:pPr>
              <w:pStyle w:val="6"/>
              <w:spacing w:before="0" w:after="0"/>
              <w:rPr>
                <w:rFonts w:ascii="Arial" w:hAnsi="Arial" w:cs="Arial"/>
                <w:color w:val="000000"/>
                <w:lang w:val="uk-UA"/>
              </w:rPr>
            </w:pPr>
            <w:r w:rsidRPr="008E3BCA">
              <w:rPr>
                <w:rFonts w:ascii="Arial" w:hAnsi="Arial" w:cs="Arial"/>
                <w:color w:val="000000"/>
                <w:lang w:val="uk-UA"/>
              </w:rPr>
              <w:t>Номер і назва завдання з Стратегії</w:t>
            </w:r>
            <w:r w:rsidRPr="008E3BCA">
              <w:rPr>
                <w:rFonts w:ascii="Arial" w:hAnsi="Arial" w:cs="Arial"/>
                <w:lang w:val="uk-UA" w:eastAsia="it-IT"/>
              </w:rPr>
              <w:t xml:space="preserve"> </w:t>
            </w:r>
            <w:r w:rsidRPr="008E3BCA">
              <w:rPr>
                <w:rFonts w:ascii="Arial" w:hAnsi="Arial" w:cs="Arial"/>
                <w:color w:val="000000"/>
                <w:lang w:val="uk-UA"/>
              </w:rPr>
              <w:t>розвитку Жмеринської міської територіальної громади,  якому відповідає проєкт:</w:t>
            </w:r>
          </w:p>
        </w:tc>
        <w:tc>
          <w:tcPr>
            <w:tcW w:w="6794" w:type="dxa"/>
            <w:gridSpan w:val="9"/>
          </w:tcPr>
          <w:p w14:paraId="3CAD9D18" w14:textId="4E99DC9F" w:rsidR="00CB33C7" w:rsidRPr="008E3BCA" w:rsidRDefault="00CB33C7" w:rsidP="008E3BCA">
            <w:pPr>
              <w:contextualSpacing/>
              <w:rPr>
                <w:rFonts w:cs="Arial"/>
                <w:szCs w:val="22"/>
                <w:lang w:eastAsia="it-IT"/>
              </w:rPr>
            </w:pPr>
            <w:r w:rsidRPr="008E3BCA">
              <w:rPr>
                <w:rFonts w:eastAsia="Lucida Sans Unicode" w:cs="Arial"/>
                <w:kern w:val="1"/>
                <w:szCs w:val="22"/>
                <w:lang w:eastAsia="ar-SA"/>
              </w:rPr>
              <w:t>В.1.3.12. Будівництво, реконструкція мереж вуличного освітлення</w:t>
            </w:r>
          </w:p>
        </w:tc>
      </w:tr>
      <w:tr w:rsidR="00CB33C7" w:rsidRPr="00C2587D" w14:paraId="6B410837" w14:textId="77777777" w:rsidTr="00EA6E27">
        <w:trPr>
          <w:jc w:val="right"/>
        </w:trPr>
        <w:tc>
          <w:tcPr>
            <w:tcW w:w="3425" w:type="dxa"/>
            <w:vAlign w:val="center"/>
          </w:tcPr>
          <w:p w14:paraId="51D715EF" w14:textId="77777777" w:rsidR="00CB33C7" w:rsidRPr="008E3BCA" w:rsidRDefault="00CB33C7" w:rsidP="008E3BCA">
            <w:pPr>
              <w:rPr>
                <w:rFonts w:cs="Arial"/>
                <w:b/>
                <w:bCs/>
                <w:color w:val="000000"/>
                <w:szCs w:val="22"/>
              </w:rPr>
            </w:pPr>
            <w:r w:rsidRPr="008E3BCA">
              <w:rPr>
                <w:rFonts w:cs="Arial"/>
                <w:b/>
                <w:bCs/>
                <w:color w:val="000000"/>
                <w:szCs w:val="22"/>
              </w:rPr>
              <w:t>Мета проєкту:</w:t>
            </w:r>
          </w:p>
        </w:tc>
        <w:tc>
          <w:tcPr>
            <w:tcW w:w="6794" w:type="dxa"/>
            <w:gridSpan w:val="9"/>
          </w:tcPr>
          <w:p w14:paraId="4371648A" w14:textId="77777777" w:rsidR="00CB33C7" w:rsidRPr="008E3BCA" w:rsidRDefault="00CB33C7" w:rsidP="00667673">
            <w:pPr>
              <w:jc w:val="both"/>
              <w:rPr>
                <w:rFonts w:cs="Arial"/>
                <w:szCs w:val="22"/>
                <w:lang w:eastAsia="it-IT"/>
              </w:rPr>
            </w:pPr>
            <w:r w:rsidRPr="008E3BCA">
              <w:rPr>
                <w:rFonts w:cs="Arial"/>
                <w:szCs w:val="22"/>
                <w:lang w:eastAsia="it-IT"/>
              </w:rPr>
              <w:t>Забезпечення потреби населення в комфортних умовах пересування у нічний час;</w:t>
            </w:r>
          </w:p>
          <w:p w14:paraId="702ADF7E" w14:textId="77777777" w:rsidR="00CB33C7" w:rsidRPr="008E3BCA" w:rsidRDefault="00CB33C7" w:rsidP="00667673">
            <w:pPr>
              <w:jc w:val="both"/>
              <w:rPr>
                <w:rFonts w:cs="Arial"/>
                <w:szCs w:val="22"/>
                <w:lang w:eastAsia="it-IT"/>
              </w:rPr>
            </w:pPr>
            <w:r w:rsidRPr="008E3BCA">
              <w:rPr>
                <w:rFonts w:cs="Arial"/>
                <w:szCs w:val="22"/>
                <w:lang w:eastAsia="it-IT"/>
              </w:rPr>
              <w:t>Зменшення потенційної кількості ДТП в нічний та вечірній час;</w:t>
            </w:r>
          </w:p>
          <w:p w14:paraId="37CCCB0D" w14:textId="77777777" w:rsidR="00CB33C7" w:rsidRPr="008E3BCA" w:rsidRDefault="00CB33C7" w:rsidP="00667673">
            <w:pPr>
              <w:jc w:val="both"/>
              <w:rPr>
                <w:rFonts w:cs="Arial"/>
                <w:szCs w:val="22"/>
                <w:lang w:eastAsia="it-IT"/>
              </w:rPr>
            </w:pPr>
            <w:r w:rsidRPr="008E3BCA">
              <w:rPr>
                <w:rFonts w:cs="Arial"/>
                <w:szCs w:val="22"/>
                <w:lang w:eastAsia="it-IT"/>
              </w:rPr>
              <w:t>Покращення криміногенної ситуації;</w:t>
            </w:r>
          </w:p>
          <w:p w14:paraId="181EA8DE" w14:textId="029D79B3" w:rsidR="00CB33C7" w:rsidRPr="008E3BCA" w:rsidRDefault="00CB33C7" w:rsidP="00667673">
            <w:pPr>
              <w:jc w:val="both"/>
              <w:rPr>
                <w:rFonts w:cs="Arial"/>
                <w:szCs w:val="22"/>
                <w:lang w:eastAsia="it-IT"/>
              </w:rPr>
            </w:pPr>
            <w:r w:rsidRPr="008E3BCA">
              <w:rPr>
                <w:rFonts w:cs="Arial"/>
                <w:szCs w:val="22"/>
                <w:lang w:eastAsia="it-IT"/>
              </w:rPr>
              <w:t>Покращення санітарного стану населених пунктів громади.</w:t>
            </w:r>
          </w:p>
        </w:tc>
      </w:tr>
      <w:tr w:rsidR="00CB33C7" w:rsidRPr="00C2587D" w14:paraId="3522D1DE" w14:textId="77777777" w:rsidTr="00EA6E27">
        <w:trPr>
          <w:jc w:val="right"/>
        </w:trPr>
        <w:tc>
          <w:tcPr>
            <w:tcW w:w="3425" w:type="dxa"/>
            <w:vAlign w:val="center"/>
          </w:tcPr>
          <w:p w14:paraId="38E50F55" w14:textId="77777777" w:rsidR="00CB33C7" w:rsidRPr="008E3BCA" w:rsidRDefault="00CB33C7" w:rsidP="008E3BCA">
            <w:pPr>
              <w:rPr>
                <w:rFonts w:cs="Arial"/>
                <w:b/>
                <w:bCs/>
                <w:color w:val="000000"/>
                <w:szCs w:val="22"/>
              </w:rPr>
            </w:pPr>
            <w:r w:rsidRPr="008E3BCA">
              <w:rPr>
                <w:rFonts w:cs="Arial"/>
                <w:b/>
                <w:bCs/>
                <w:color w:val="000000"/>
                <w:szCs w:val="22"/>
              </w:rPr>
              <w:t>Цілі проєкту:</w:t>
            </w:r>
          </w:p>
        </w:tc>
        <w:tc>
          <w:tcPr>
            <w:tcW w:w="6794" w:type="dxa"/>
            <w:gridSpan w:val="9"/>
          </w:tcPr>
          <w:p w14:paraId="4689F257" w14:textId="77777777" w:rsidR="00CB33C7" w:rsidRPr="008E3BCA" w:rsidRDefault="00CB33C7" w:rsidP="00667673">
            <w:pPr>
              <w:jc w:val="both"/>
              <w:rPr>
                <w:rFonts w:cs="Arial"/>
                <w:szCs w:val="22"/>
                <w:lang w:eastAsia="it-IT"/>
              </w:rPr>
            </w:pPr>
            <w:r w:rsidRPr="008E3BCA">
              <w:rPr>
                <w:rFonts w:cs="Arial"/>
                <w:szCs w:val="22"/>
                <w:lang w:eastAsia="it-IT"/>
              </w:rPr>
              <w:t>Реконструкція мережі вуличного освітлення в с. Ярошенка, с. Щученці</w:t>
            </w:r>
          </w:p>
        </w:tc>
      </w:tr>
      <w:tr w:rsidR="00CB33C7" w:rsidRPr="00C2587D" w14:paraId="7FE8CAC9" w14:textId="77777777" w:rsidTr="00EA6E27">
        <w:trPr>
          <w:jc w:val="right"/>
        </w:trPr>
        <w:tc>
          <w:tcPr>
            <w:tcW w:w="3425" w:type="dxa"/>
            <w:vAlign w:val="center"/>
          </w:tcPr>
          <w:p w14:paraId="13D9F875" w14:textId="77777777" w:rsidR="00CB33C7" w:rsidRPr="008E3BCA" w:rsidRDefault="00CB33C7" w:rsidP="008E3BCA">
            <w:pPr>
              <w:autoSpaceDE w:val="0"/>
              <w:autoSpaceDN w:val="0"/>
              <w:adjustRightInd w:val="0"/>
              <w:rPr>
                <w:rFonts w:cs="Arial"/>
                <w:b/>
                <w:color w:val="000000"/>
                <w:szCs w:val="22"/>
              </w:rPr>
            </w:pPr>
            <w:r w:rsidRPr="008E3BCA">
              <w:rPr>
                <w:rFonts w:cs="Arial"/>
                <w:b/>
                <w:color w:val="000000"/>
                <w:szCs w:val="22"/>
              </w:rPr>
              <w:t>Територія на яку проєкт матиме вплив:</w:t>
            </w:r>
          </w:p>
        </w:tc>
        <w:tc>
          <w:tcPr>
            <w:tcW w:w="6794" w:type="dxa"/>
            <w:gridSpan w:val="9"/>
          </w:tcPr>
          <w:p w14:paraId="2C1D6CEF" w14:textId="05606A7D" w:rsidR="00CB33C7" w:rsidRPr="008E3BCA" w:rsidRDefault="00CB33C7" w:rsidP="00667673">
            <w:pPr>
              <w:jc w:val="both"/>
              <w:rPr>
                <w:rFonts w:cs="Arial"/>
                <w:szCs w:val="22"/>
                <w:lang w:eastAsia="it-IT"/>
              </w:rPr>
            </w:pPr>
            <w:r w:rsidRPr="008E3BCA">
              <w:rPr>
                <w:rFonts w:cs="Arial"/>
                <w:szCs w:val="22"/>
                <w:lang w:eastAsia="it-IT"/>
              </w:rPr>
              <w:t xml:space="preserve">Території </w:t>
            </w:r>
            <w:r w:rsidR="008E3BCA">
              <w:rPr>
                <w:rFonts w:cs="Arial"/>
                <w:szCs w:val="22"/>
                <w:lang w:eastAsia="it-IT"/>
              </w:rPr>
              <w:t>Жуко</w:t>
            </w:r>
            <w:r w:rsidR="008E3BCA" w:rsidRPr="00E87218">
              <w:rPr>
                <w:rFonts w:cs="Arial"/>
                <w:szCs w:val="22"/>
                <w:lang w:eastAsia="it-IT"/>
              </w:rPr>
              <w:t>в</w:t>
            </w:r>
            <w:r w:rsidR="008E3BCA">
              <w:rPr>
                <w:rFonts w:cs="Arial"/>
                <w:szCs w:val="22"/>
                <w:lang w:eastAsia="it-IT"/>
              </w:rPr>
              <w:t>ец</w:t>
            </w:r>
            <w:r w:rsidR="008E3BCA" w:rsidRPr="00E87218">
              <w:rPr>
                <w:rFonts w:cs="Arial"/>
                <w:szCs w:val="22"/>
                <w:lang w:eastAsia="it-IT"/>
              </w:rPr>
              <w:t>ького</w:t>
            </w:r>
            <w:r w:rsidRPr="008E3BCA">
              <w:rPr>
                <w:rFonts w:cs="Arial"/>
                <w:szCs w:val="22"/>
                <w:lang w:eastAsia="it-IT"/>
              </w:rPr>
              <w:t xml:space="preserve"> старостинського округу а саме: </w:t>
            </w:r>
            <w:r w:rsidRPr="008E3BCA">
              <w:rPr>
                <w:rFonts w:eastAsia="Arial" w:cs="Arial"/>
                <w:szCs w:val="22"/>
                <w:lang w:eastAsia="en-US"/>
              </w:rPr>
              <w:t xml:space="preserve">села Подільське, Леляцького старостинського округу Жмеринської </w:t>
            </w:r>
            <w:r w:rsidR="00883F49">
              <w:rPr>
                <w:rFonts w:eastAsia="Arial" w:cs="Arial"/>
                <w:szCs w:val="22"/>
                <w:lang w:eastAsia="en-US"/>
              </w:rPr>
              <w:t xml:space="preserve">міської </w:t>
            </w:r>
            <w:r w:rsidRPr="008E3BCA">
              <w:rPr>
                <w:rFonts w:eastAsia="Arial" w:cs="Arial"/>
                <w:szCs w:val="22"/>
                <w:lang w:eastAsia="en-US"/>
              </w:rPr>
              <w:t>територіальної громади</w:t>
            </w:r>
          </w:p>
        </w:tc>
      </w:tr>
      <w:tr w:rsidR="00CB33C7" w:rsidRPr="00C2587D" w14:paraId="152DC13C" w14:textId="77777777" w:rsidTr="00EA6E27">
        <w:trPr>
          <w:jc w:val="right"/>
        </w:trPr>
        <w:tc>
          <w:tcPr>
            <w:tcW w:w="3425" w:type="dxa"/>
            <w:vAlign w:val="center"/>
          </w:tcPr>
          <w:p w14:paraId="20B8898B" w14:textId="77777777" w:rsidR="00CB33C7" w:rsidRPr="008E3BCA" w:rsidRDefault="00CB33C7" w:rsidP="008E3BCA">
            <w:pPr>
              <w:autoSpaceDE w:val="0"/>
              <w:autoSpaceDN w:val="0"/>
              <w:adjustRightInd w:val="0"/>
              <w:rPr>
                <w:rFonts w:cs="Arial"/>
                <w:b/>
                <w:color w:val="000000"/>
                <w:szCs w:val="22"/>
              </w:rPr>
            </w:pPr>
            <w:r w:rsidRPr="008E3BCA">
              <w:rPr>
                <w:rFonts w:cs="Arial"/>
                <w:b/>
                <w:color w:val="000000"/>
                <w:szCs w:val="22"/>
              </w:rPr>
              <w:t>Цільові групи проєкту та кількість отримувачів вигоди</w:t>
            </w:r>
          </w:p>
        </w:tc>
        <w:tc>
          <w:tcPr>
            <w:tcW w:w="6794" w:type="dxa"/>
            <w:gridSpan w:val="9"/>
          </w:tcPr>
          <w:p w14:paraId="62814B2C" w14:textId="77777777" w:rsidR="00CB33C7" w:rsidRPr="008E3BCA" w:rsidRDefault="00CB33C7" w:rsidP="00667673">
            <w:pPr>
              <w:jc w:val="both"/>
              <w:rPr>
                <w:rFonts w:cs="Arial"/>
                <w:szCs w:val="22"/>
                <w:lang w:eastAsia="it-IT"/>
              </w:rPr>
            </w:pPr>
            <w:r w:rsidRPr="008E3BCA">
              <w:rPr>
                <w:rFonts w:cs="Arial"/>
                <w:szCs w:val="22"/>
                <w:lang w:eastAsia="it-IT"/>
              </w:rPr>
              <w:t>Жителі</w:t>
            </w:r>
            <w:r w:rsidRPr="008E3BCA">
              <w:rPr>
                <w:rFonts w:eastAsia="Arial" w:cs="Arial"/>
                <w:szCs w:val="22"/>
                <w:lang w:eastAsia="en-US"/>
              </w:rPr>
              <w:t xml:space="preserve"> села Подільське  </w:t>
            </w:r>
            <w:r w:rsidRPr="008E3BCA">
              <w:rPr>
                <w:rFonts w:cs="Arial"/>
                <w:szCs w:val="22"/>
                <w:lang w:eastAsia="it-IT"/>
              </w:rPr>
              <w:t>в кількості 301 сельчанин</w:t>
            </w:r>
          </w:p>
        </w:tc>
      </w:tr>
      <w:tr w:rsidR="00CB33C7" w:rsidRPr="00C2587D" w14:paraId="66682420" w14:textId="77777777" w:rsidTr="00EA6E27">
        <w:trPr>
          <w:jc w:val="right"/>
        </w:trPr>
        <w:tc>
          <w:tcPr>
            <w:tcW w:w="3425" w:type="dxa"/>
            <w:shd w:val="clear" w:color="auto" w:fill="FFFFFF"/>
            <w:vAlign w:val="center"/>
          </w:tcPr>
          <w:p w14:paraId="175AE401" w14:textId="77777777" w:rsidR="00CB33C7" w:rsidRPr="008E3BCA" w:rsidRDefault="00CB33C7" w:rsidP="008E3BCA">
            <w:pPr>
              <w:rPr>
                <w:rFonts w:cs="Arial"/>
                <w:b/>
                <w:bCs/>
                <w:color w:val="000000"/>
                <w:szCs w:val="22"/>
              </w:rPr>
            </w:pPr>
            <w:r w:rsidRPr="008E3BCA">
              <w:rPr>
                <w:rFonts w:cs="Arial"/>
                <w:b/>
                <w:bCs/>
                <w:color w:val="000000"/>
                <w:szCs w:val="22"/>
              </w:rPr>
              <w:t>Стислий опис проєкту:</w:t>
            </w:r>
          </w:p>
        </w:tc>
        <w:tc>
          <w:tcPr>
            <w:tcW w:w="6794" w:type="dxa"/>
            <w:gridSpan w:val="9"/>
          </w:tcPr>
          <w:p w14:paraId="14E9BF9A" w14:textId="7086FB37" w:rsidR="00CB33C7" w:rsidRPr="008E3BCA" w:rsidRDefault="00CB33C7" w:rsidP="00667673">
            <w:pPr>
              <w:jc w:val="both"/>
              <w:rPr>
                <w:rFonts w:cs="Arial"/>
                <w:szCs w:val="22"/>
                <w:lang w:eastAsia="it-IT"/>
              </w:rPr>
            </w:pPr>
            <w:r w:rsidRPr="008E3BCA">
              <w:rPr>
                <w:rFonts w:cs="Arial"/>
                <w:szCs w:val="22"/>
                <w:lang w:eastAsia="it-IT"/>
              </w:rPr>
              <w:t>Жителі громади остерігаються виходити  в вечірній та нічний час н</w:t>
            </w:r>
            <w:r w:rsidR="00883F49">
              <w:rPr>
                <w:rFonts w:cs="Arial"/>
                <w:szCs w:val="22"/>
                <w:lang w:eastAsia="it-IT"/>
              </w:rPr>
              <w:t>а неосвітлені  вулиці села. Проє</w:t>
            </w:r>
            <w:r w:rsidRPr="008E3BCA">
              <w:rPr>
                <w:rFonts w:cs="Arial"/>
                <w:szCs w:val="22"/>
                <w:lang w:eastAsia="it-IT"/>
              </w:rPr>
              <w:t xml:space="preserve">ктом необхідно провести освітлення вулиць </w:t>
            </w:r>
            <w:r w:rsidRPr="008E3BCA">
              <w:rPr>
                <w:rFonts w:eastAsia="Arial" w:cs="Arial"/>
                <w:szCs w:val="22"/>
                <w:lang w:eastAsia="en-US"/>
              </w:rPr>
              <w:t xml:space="preserve">села Подільське  </w:t>
            </w:r>
            <w:r w:rsidRPr="008E3BCA">
              <w:rPr>
                <w:rFonts w:cs="Arial"/>
                <w:szCs w:val="22"/>
                <w:lang w:eastAsia="it-IT"/>
              </w:rPr>
              <w:t>для покращення якості та безпечності перебування жителів громади на вулицях</w:t>
            </w:r>
          </w:p>
        </w:tc>
      </w:tr>
      <w:tr w:rsidR="00CB33C7" w:rsidRPr="00C2587D" w14:paraId="0E692B55" w14:textId="77777777" w:rsidTr="00EA6E27">
        <w:trPr>
          <w:jc w:val="right"/>
        </w:trPr>
        <w:tc>
          <w:tcPr>
            <w:tcW w:w="3425" w:type="dxa"/>
            <w:shd w:val="clear" w:color="auto" w:fill="FFFFFF"/>
            <w:vAlign w:val="center"/>
          </w:tcPr>
          <w:p w14:paraId="443ECDC5" w14:textId="77777777" w:rsidR="00CB33C7" w:rsidRPr="008E3BCA" w:rsidRDefault="00CB33C7" w:rsidP="008E3BCA">
            <w:pPr>
              <w:rPr>
                <w:rFonts w:cs="Arial"/>
                <w:b/>
                <w:bCs/>
                <w:color w:val="000000"/>
                <w:szCs w:val="22"/>
              </w:rPr>
            </w:pPr>
            <w:r w:rsidRPr="008E3BCA">
              <w:rPr>
                <w:rFonts w:cs="Arial"/>
                <w:b/>
                <w:bCs/>
                <w:color w:val="000000"/>
                <w:szCs w:val="22"/>
              </w:rPr>
              <w:t>Основні заходи проєкту:</w:t>
            </w:r>
          </w:p>
        </w:tc>
        <w:tc>
          <w:tcPr>
            <w:tcW w:w="6794" w:type="dxa"/>
            <w:gridSpan w:val="9"/>
          </w:tcPr>
          <w:p w14:paraId="3868D8DB" w14:textId="1E52F596" w:rsidR="00CB33C7" w:rsidRPr="008E3BCA" w:rsidRDefault="00CB33C7" w:rsidP="00667673">
            <w:pPr>
              <w:jc w:val="both"/>
              <w:rPr>
                <w:rFonts w:cs="Arial"/>
                <w:szCs w:val="22"/>
                <w:lang w:eastAsia="it-IT"/>
              </w:rPr>
            </w:pPr>
            <w:r w:rsidRPr="008E3BCA">
              <w:rPr>
                <w:rFonts w:cs="Arial"/>
                <w:szCs w:val="22"/>
                <w:lang w:eastAsia="it-IT"/>
              </w:rPr>
              <w:t xml:space="preserve">Створення робочої групи з питань реалізації </w:t>
            </w:r>
            <w:r w:rsidR="00883F49">
              <w:rPr>
                <w:rFonts w:cs="Arial"/>
                <w:szCs w:val="22"/>
                <w:lang w:eastAsia="it-IT"/>
              </w:rPr>
              <w:t>проє</w:t>
            </w:r>
            <w:r w:rsidRPr="008E3BCA">
              <w:rPr>
                <w:rFonts w:cs="Arial"/>
                <w:szCs w:val="22"/>
                <w:lang w:eastAsia="it-IT"/>
              </w:rPr>
              <w:t xml:space="preserve">кту. </w:t>
            </w:r>
          </w:p>
          <w:p w14:paraId="29541EAE" w14:textId="77777777" w:rsidR="00CB33C7" w:rsidRPr="008E3BCA" w:rsidRDefault="00CB33C7" w:rsidP="00667673">
            <w:pPr>
              <w:jc w:val="both"/>
              <w:rPr>
                <w:rFonts w:cs="Arial"/>
                <w:szCs w:val="22"/>
                <w:lang w:eastAsia="it-IT"/>
              </w:rPr>
            </w:pPr>
            <w:r w:rsidRPr="008E3BCA">
              <w:rPr>
                <w:rFonts w:cs="Arial"/>
                <w:szCs w:val="22"/>
                <w:lang w:eastAsia="it-IT"/>
              </w:rPr>
              <w:t>Проведення процедури закупівель (визначення виконавця робіт).</w:t>
            </w:r>
          </w:p>
          <w:p w14:paraId="1B29B9E0" w14:textId="77777777" w:rsidR="00CB33C7" w:rsidRPr="008E3BCA" w:rsidRDefault="00CB33C7" w:rsidP="00667673">
            <w:pPr>
              <w:jc w:val="both"/>
              <w:rPr>
                <w:rFonts w:cs="Arial"/>
                <w:szCs w:val="22"/>
                <w:lang w:eastAsia="it-IT"/>
              </w:rPr>
            </w:pPr>
            <w:r w:rsidRPr="008E3BCA">
              <w:rPr>
                <w:rFonts w:cs="Arial"/>
                <w:szCs w:val="22"/>
                <w:lang w:eastAsia="it-IT"/>
              </w:rPr>
              <w:t>Укладення договорів з виконавцем робіт, організаціями, що здійснюватимуть  технічний та авторський  нагляд .</w:t>
            </w:r>
          </w:p>
          <w:p w14:paraId="05C3DFD2" w14:textId="5F99CB1E" w:rsidR="00CB33C7" w:rsidRPr="008E3BCA" w:rsidRDefault="00CB33C7" w:rsidP="00667673">
            <w:pPr>
              <w:jc w:val="both"/>
              <w:rPr>
                <w:rFonts w:cs="Arial"/>
                <w:szCs w:val="22"/>
                <w:lang w:eastAsia="it-IT"/>
              </w:rPr>
            </w:pPr>
            <w:r w:rsidRPr="008E3BCA">
              <w:rPr>
                <w:rFonts w:cs="Arial"/>
                <w:szCs w:val="22"/>
                <w:lang w:eastAsia="it-IT"/>
              </w:rPr>
              <w:t>Виконання робіт з реконструкції</w:t>
            </w:r>
            <w:r w:rsidRPr="008E3BCA">
              <w:rPr>
                <w:rFonts w:cs="Arial"/>
                <w:iCs/>
                <w:szCs w:val="22"/>
                <w:lang w:eastAsia="it-IT"/>
              </w:rPr>
              <w:t xml:space="preserve"> вуличного освітлення </w:t>
            </w:r>
            <w:r w:rsidRPr="008E3BCA">
              <w:rPr>
                <w:rFonts w:eastAsia="Arial" w:cs="Arial"/>
                <w:szCs w:val="22"/>
                <w:lang w:eastAsia="en-US"/>
              </w:rPr>
              <w:t>села Подільське</w:t>
            </w:r>
            <w:r w:rsidR="008E3BCA">
              <w:rPr>
                <w:rFonts w:eastAsia="Arial" w:cs="Arial"/>
                <w:szCs w:val="22"/>
                <w:lang w:eastAsia="en-US"/>
              </w:rPr>
              <w:t>.</w:t>
            </w:r>
            <w:r w:rsidRPr="008E3BCA">
              <w:rPr>
                <w:rFonts w:eastAsia="Arial" w:cs="Arial"/>
                <w:szCs w:val="22"/>
                <w:lang w:eastAsia="en-US"/>
              </w:rPr>
              <w:t xml:space="preserve">  </w:t>
            </w:r>
            <w:r w:rsidRPr="008E3BCA">
              <w:rPr>
                <w:rFonts w:cs="Arial"/>
                <w:szCs w:val="22"/>
                <w:lang w:eastAsia="it-IT"/>
              </w:rPr>
              <w:t>Введення  об’єкту в експлуатацію .</w:t>
            </w:r>
          </w:p>
          <w:p w14:paraId="466E3EB9" w14:textId="0A0961FE" w:rsidR="00CB33C7" w:rsidRPr="008E3BCA" w:rsidRDefault="00CB33C7" w:rsidP="00667673">
            <w:pPr>
              <w:jc w:val="both"/>
              <w:rPr>
                <w:rFonts w:cs="Arial"/>
                <w:szCs w:val="22"/>
                <w:lang w:eastAsia="it-IT"/>
              </w:rPr>
            </w:pPr>
            <w:r w:rsidRPr="008E3BCA">
              <w:rPr>
                <w:rFonts w:cs="Arial"/>
                <w:szCs w:val="22"/>
                <w:lang w:eastAsia="it-IT"/>
              </w:rPr>
              <w:t xml:space="preserve">Проведення інформаційних заходів (розміщення  </w:t>
            </w:r>
            <w:r w:rsidR="00883F49">
              <w:rPr>
                <w:rFonts w:cs="Arial"/>
                <w:szCs w:val="22"/>
                <w:lang w:eastAsia="it-IT"/>
              </w:rPr>
              <w:t>інформації  про реалізацію  проє</w:t>
            </w:r>
            <w:r w:rsidRPr="008E3BCA">
              <w:rPr>
                <w:rFonts w:cs="Arial"/>
                <w:szCs w:val="22"/>
                <w:lang w:eastAsia="it-IT"/>
              </w:rPr>
              <w:t>кту у ЗМІ) .</w:t>
            </w:r>
          </w:p>
        </w:tc>
      </w:tr>
      <w:tr w:rsidR="00CB33C7" w:rsidRPr="00C2587D" w14:paraId="4605BB66" w14:textId="77777777" w:rsidTr="00EA6E27">
        <w:trPr>
          <w:jc w:val="right"/>
        </w:trPr>
        <w:tc>
          <w:tcPr>
            <w:tcW w:w="3425" w:type="dxa"/>
            <w:shd w:val="clear" w:color="auto" w:fill="FFFFFF"/>
            <w:vAlign w:val="center"/>
          </w:tcPr>
          <w:p w14:paraId="73B01379" w14:textId="77777777" w:rsidR="00CB33C7" w:rsidRPr="008E3BCA" w:rsidRDefault="00CB33C7" w:rsidP="008E3BCA">
            <w:pPr>
              <w:rPr>
                <w:rFonts w:cs="Arial"/>
                <w:b/>
                <w:bCs/>
                <w:color w:val="000000"/>
                <w:szCs w:val="22"/>
              </w:rPr>
            </w:pPr>
            <w:r w:rsidRPr="008E3BCA">
              <w:rPr>
                <w:rFonts w:cs="Arial"/>
                <w:b/>
                <w:bCs/>
                <w:color w:val="000000"/>
                <w:szCs w:val="22"/>
              </w:rPr>
              <w:t>Індикатори (показники) результативності:</w:t>
            </w:r>
          </w:p>
        </w:tc>
        <w:tc>
          <w:tcPr>
            <w:tcW w:w="6794" w:type="dxa"/>
            <w:gridSpan w:val="9"/>
          </w:tcPr>
          <w:p w14:paraId="136C8A63" w14:textId="63AC267F" w:rsidR="00CB33C7" w:rsidRPr="008E3BCA" w:rsidRDefault="00CB33C7" w:rsidP="00667673">
            <w:pPr>
              <w:jc w:val="both"/>
              <w:rPr>
                <w:rFonts w:cs="Arial"/>
                <w:szCs w:val="22"/>
                <w:lang w:eastAsia="it-IT"/>
              </w:rPr>
            </w:pPr>
            <w:r w:rsidRPr="008E3BCA">
              <w:rPr>
                <w:rFonts w:eastAsia="Arial" w:cs="Arial"/>
                <w:szCs w:val="22"/>
                <w:lang w:eastAsia="en-US"/>
              </w:rPr>
              <w:t>Протяжність мереж, що реконструюються: 2384 м</w:t>
            </w:r>
            <w:r w:rsidRPr="008E3BCA">
              <w:rPr>
                <w:rFonts w:eastAsia="Arial" w:cs="Arial"/>
                <w:szCs w:val="22"/>
                <w:vertAlign w:val="superscript"/>
                <w:lang w:eastAsia="en-US"/>
              </w:rPr>
              <w:t>2</w:t>
            </w:r>
            <w:r w:rsidRPr="008E3BCA">
              <w:rPr>
                <w:rFonts w:eastAsia="Arial" w:cs="Arial"/>
                <w:szCs w:val="22"/>
                <w:lang w:eastAsia="en-US"/>
              </w:rPr>
              <w:t xml:space="preserve"> та кількість точок освітлення які встановлюются:71 шт.</w:t>
            </w:r>
          </w:p>
        </w:tc>
      </w:tr>
      <w:tr w:rsidR="00CB33C7" w:rsidRPr="00C2587D" w14:paraId="7ADB97FE" w14:textId="77777777" w:rsidTr="00EA6E27">
        <w:trPr>
          <w:jc w:val="right"/>
        </w:trPr>
        <w:tc>
          <w:tcPr>
            <w:tcW w:w="3425" w:type="dxa"/>
            <w:shd w:val="clear" w:color="auto" w:fill="FFFFFF"/>
            <w:vAlign w:val="center"/>
          </w:tcPr>
          <w:p w14:paraId="64F3242D" w14:textId="77777777" w:rsidR="00CB33C7" w:rsidRPr="008E3BCA" w:rsidRDefault="00CB33C7" w:rsidP="008E3BCA">
            <w:pPr>
              <w:rPr>
                <w:rFonts w:cs="Arial"/>
                <w:b/>
                <w:color w:val="000000"/>
                <w:szCs w:val="22"/>
              </w:rPr>
            </w:pPr>
            <w:r w:rsidRPr="008E3BCA">
              <w:rPr>
                <w:rFonts w:cs="Arial"/>
                <w:b/>
                <w:color w:val="000000"/>
                <w:szCs w:val="22"/>
              </w:rPr>
              <w:t xml:space="preserve">Період здійснення: </w:t>
            </w:r>
          </w:p>
        </w:tc>
        <w:tc>
          <w:tcPr>
            <w:tcW w:w="6794" w:type="dxa"/>
            <w:gridSpan w:val="9"/>
            <w:vAlign w:val="center"/>
          </w:tcPr>
          <w:p w14:paraId="5EBFB04E" w14:textId="77777777" w:rsidR="00CB33C7" w:rsidRPr="008E3BCA" w:rsidRDefault="00CB33C7" w:rsidP="008E3BCA">
            <w:pPr>
              <w:rPr>
                <w:rFonts w:cs="Arial"/>
                <w:color w:val="000000"/>
                <w:szCs w:val="22"/>
                <w:lang w:eastAsia="it-IT"/>
              </w:rPr>
            </w:pPr>
            <w:r w:rsidRPr="008E3BCA">
              <w:rPr>
                <w:rFonts w:cs="Arial"/>
                <w:b/>
                <w:color w:val="000000"/>
                <w:szCs w:val="22"/>
              </w:rPr>
              <w:t>2025 – 2028 роки:</w:t>
            </w:r>
          </w:p>
        </w:tc>
      </w:tr>
      <w:tr w:rsidR="00CB33C7" w:rsidRPr="00C2587D" w14:paraId="2683ED7F" w14:textId="77777777" w:rsidTr="00EA6E27">
        <w:trPr>
          <w:jc w:val="right"/>
        </w:trPr>
        <w:tc>
          <w:tcPr>
            <w:tcW w:w="3425" w:type="dxa"/>
            <w:vMerge w:val="restart"/>
            <w:shd w:val="clear" w:color="auto" w:fill="FFFFFF"/>
            <w:vAlign w:val="center"/>
          </w:tcPr>
          <w:p w14:paraId="5562EE8C" w14:textId="77777777" w:rsidR="00CB33C7" w:rsidRPr="008E3BCA" w:rsidRDefault="00CB33C7" w:rsidP="008E3BCA">
            <w:pPr>
              <w:rPr>
                <w:rFonts w:cs="Arial"/>
                <w:b/>
                <w:bCs/>
                <w:color w:val="000000"/>
                <w:szCs w:val="22"/>
              </w:rPr>
            </w:pPr>
            <w:r w:rsidRPr="008E3BCA">
              <w:rPr>
                <w:rFonts w:cs="Arial"/>
                <w:b/>
                <w:bCs/>
                <w:color w:val="000000"/>
                <w:szCs w:val="22"/>
              </w:rPr>
              <w:t>Орієнтовна вартість проєкту, тис. грн., в тому числі:</w:t>
            </w:r>
          </w:p>
        </w:tc>
        <w:tc>
          <w:tcPr>
            <w:tcW w:w="1254" w:type="dxa"/>
            <w:shd w:val="clear" w:color="auto" w:fill="E6E6E6"/>
            <w:vAlign w:val="center"/>
          </w:tcPr>
          <w:p w14:paraId="4F6653B0" w14:textId="77777777" w:rsidR="00CB33C7" w:rsidRPr="008E3BCA" w:rsidRDefault="00CB33C7" w:rsidP="008E3BCA">
            <w:pPr>
              <w:jc w:val="center"/>
              <w:rPr>
                <w:rFonts w:cs="Arial"/>
                <w:b/>
                <w:color w:val="000000"/>
                <w:szCs w:val="22"/>
                <w:lang w:eastAsia="it-IT"/>
              </w:rPr>
            </w:pPr>
            <w:r w:rsidRPr="008E3BCA">
              <w:rPr>
                <w:rFonts w:cs="Arial"/>
                <w:b/>
                <w:color w:val="000000"/>
                <w:szCs w:val="22"/>
                <w:lang w:eastAsia="it-IT"/>
              </w:rPr>
              <w:t>2025</w:t>
            </w:r>
          </w:p>
        </w:tc>
        <w:tc>
          <w:tcPr>
            <w:tcW w:w="1275" w:type="dxa"/>
            <w:gridSpan w:val="2"/>
            <w:shd w:val="clear" w:color="auto" w:fill="E6E6E6"/>
            <w:vAlign w:val="center"/>
          </w:tcPr>
          <w:p w14:paraId="23A5772F" w14:textId="77777777" w:rsidR="00CB33C7" w:rsidRPr="008E3BCA" w:rsidRDefault="00CB33C7" w:rsidP="008E3BCA">
            <w:pPr>
              <w:jc w:val="center"/>
              <w:rPr>
                <w:rFonts w:cs="Arial"/>
                <w:b/>
                <w:color w:val="000000"/>
                <w:szCs w:val="22"/>
                <w:lang w:eastAsia="it-IT"/>
              </w:rPr>
            </w:pPr>
            <w:r w:rsidRPr="008E3BCA">
              <w:rPr>
                <w:rFonts w:cs="Arial"/>
                <w:b/>
                <w:color w:val="000000"/>
                <w:szCs w:val="22"/>
                <w:lang w:eastAsia="it-IT"/>
              </w:rPr>
              <w:t>2026</w:t>
            </w:r>
          </w:p>
        </w:tc>
        <w:tc>
          <w:tcPr>
            <w:tcW w:w="1418" w:type="dxa"/>
            <w:gridSpan w:val="2"/>
            <w:tcBorders>
              <w:bottom w:val="single" w:sz="4" w:space="0" w:color="auto"/>
            </w:tcBorders>
            <w:shd w:val="clear" w:color="auto" w:fill="E6E6E6"/>
            <w:vAlign w:val="center"/>
          </w:tcPr>
          <w:p w14:paraId="1DD9FD4C" w14:textId="77777777" w:rsidR="00CB33C7" w:rsidRPr="008E3BCA" w:rsidRDefault="00CB33C7" w:rsidP="008E3BCA">
            <w:pPr>
              <w:jc w:val="center"/>
              <w:rPr>
                <w:rFonts w:cs="Arial"/>
                <w:b/>
                <w:color w:val="000000"/>
                <w:szCs w:val="22"/>
                <w:lang w:eastAsia="it-IT"/>
              </w:rPr>
            </w:pPr>
            <w:r w:rsidRPr="008E3BCA">
              <w:rPr>
                <w:rFonts w:cs="Arial"/>
                <w:b/>
                <w:color w:val="000000"/>
                <w:szCs w:val="22"/>
                <w:lang w:eastAsia="it-IT"/>
              </w:rPr>
              <w:t>2027</w:t>
            </w:r>
          </w:p>
        </w:tc>
        <w:tc>
          <w:tcPr>
            <w:tcW w:w="1276" w:type="dxa"/>
            <w:gridSpan w:val="2"/>
            <w:shd w:val="clear" w:color="auto" w:fill="E6E6E6"/>
            <w:vAlign w:val="center"/>
          </w:tcPr>
          <w:p w14:paraId="4ED7216D" w14:textId="77777777" w:rsidR="00CB33C7" w:rsidRPr="008E3BCA" w:rsidRDefault="00CB33C7" w:rsidP="008E3BCA">
            <w:pPr>
              <w:jc w:val="center"/>
              <w:rPr>
                <w:rFonts w:cs="Arial"/>
                <w:b/>
                <w:color w:val="000000"/>
                <w:szCs w:val="22"/>
                <w:lang w:eastAsia="it-IT"/>
              </w:rPr>
            </w:pPr>
            <w:r w:rsidRPr="008E3BCA">
              <w:rPr>
                <w:rFonts w:cs="Arial"/>
                <w:b/>
                <w:color w:val="000000"/>
                <w:szCs w:val="22"/>
                <w:lang w:eastAsia="it-IT"/>
              </w:rPr>
              <w:t>2028</w:t>
            </w:r>
          </w:p>
        </w:tc>
        <w:tc>
          <w:tcPr>
            <w:tcW w:w="1571" w:type="dxa"/>
            <w:gridSpan w:val="2"/>
            <w:shd w:val="clear" w:color="auto" w:fill="E6E6E6"/>
            <w:vAlign w:val="center"/>
          </w:tcPr>
          <w:p w14:paraId="2E2A441E" w14:textId="77777777" w:rsidR="00CB33C7" w:rsidRPr="008E3BCA" w:rsidRDefault="00CB33C7" w:rsidP="008E3BCA">
            <w:pPr>
              <w:jc w:val="center"/>
              <w:rPr>
                <w:rFonts w:cs="Arial"/>
                <w:b/>
                <w:color w:val="000000"/>
                <w:szCs w:val="22"/>
                <w:lang w:eastAsia="it-IT"/>
              </w:rPr>
            </w:pPr>
            <w:r w:rsidRPr="008E3BCA">
              <w:rPr>
                <w:rFonts w:cs="Arial"/>
                <w:b/>
                <w:color w:val="000000"/>
                <w:szCs w:val="22"/>
                <w:lang w:eastAsia="it-IT"/>
              </w:rPr>
              <w:t>РАЗОМ</w:t>
            </w:r>
          </w:p>
        </w:tc>
      </w:tr>
      <w:tr w:rsidR="00CB33C7" w:rsidRPr="00C2587D" w14:paraId="21AADEFA" w14:textId="77777777" w:rsidTr="00EA6E27">
        <w:trPr>
          <w:jc w:val="right"/>
        </w:trPr>
        <w:tc>
          <w:tcPr>
            <w:tcW w:w="3425" w:type="dxa"/>
            <w:vMerge/>
            <w:shd w:val="clear" w:color="auto" w:fill="FFFFFF"/>
            <w:vAlign w:val="center"/>
          </w:tcPr>
          <w:p w14:paraId="2E3AD643" w14:textId="77777777" w:rsidR="00CB33C7" w:rsidRPr="008E3BCA" w:rsidRDefault="00CB33C7" w:rsidP="008E3BCA">
            <w:pPr>
              <w:rPr>
                <w:rFonts w:cs="Arial"/>
                <w:b/>
                <w:bCs/>
                <w:color w:val="000000"/>
                <w:szCs w:val="22"/>
              </w:rPr>
            </w:pPr>
          </w:p>
        </w:tc>
        <w:tc>
          <w:tcPr>
            <w:tcW w:w="1254" w:type="dxa"/>
            <w:vAlign w:val="center"/>
          </w:tcPr>
          <w:p w14:paraId="223A99DD" w14:textId="77777777" w:rsidR="00CB33C7" w:rsidRPr="008E3BCA" w:rsidRDefault="00CB33C7" w:rsidP="00667673">
            <w:pPr>
              <w:jc w:val="center"/>
              <w:rPr>
                <w:rFonts w:cs="Arial"/>
                <w:b/>
                <w:color w:val="000000"/>
                <w:szCs w:val="22"/>
                <w:lang w:eastAsia="it-IT"/>
              </w:rPr>
            </w:pPr>
          </w:p>
        </w:tc>
        <w:tc>
          <w:tcPr>
            <w:tcW w:w="1275" w:type="dxa"/>
            <w:gridSpan w:val="2"/>
            <w:shd w:val="clear" w:color="auto" w:fill="FFFFFF"/>
            <w:vAlign w:val="center"/>
          </w:tcPr>
          <w:p w14:paraId="3D2D7EBD" w14:textId="77777777" w:rsidR="00CB33C7" w:rsidRPr="008E3BCA" w:rsidRDefault="00CB33C7" w:rsidP="00667673">
            <w:pPr>
              <w:jc w:val="center"/>
              <w:rPr>
                <w:rFonts w:cs="Arial"/>
                <w:b/>
                <w:color w:val="000000"/>
                <w:szCs w:val="22"/>
                <w:lang w:eastAsia="it-IT"/>
              </w:rPr>
            </w:pPr>
            <w:r w:rsidRPr="008E3BCA">
              <w:rPr>
                <w:rFonts w:cs="Arial"/>
                <w:b/>
                <w:color w:val="000000"/>
                <w:szCs w:val="22"/>
                <w:lang w:eastAsia="it-IT"/>
              </w:rPr>
              <w:t>297,335</w:t>
            </w:r>
          </w:p>
        </w:tc>
        <w:tc>
          <w:tcPr>
            <w:tcW w:w="1418" w:type="dxa"/>
            <w:gridSpan w:val="2"/>
            <w:shd w:val="clear" w:color="auto" w:fill="auto"/>
            <w:vAlign w:val="center"/>
          </w:tcPr>
          <w:p w14:paraId="1563EF21" w14:textId="77777777" w:rsidR="00CB33C7" w:rsidRPr="008E3BCA" w:rsidRDefault="00CB33C7" w:rsidP="00667673">
            <w:pPr>
              <w:jc w:val="center"/>
              <w:rPr>
                <w:rFonts w:cs="Arial"/>
                <w:b/>
                <w:color w:val="000000"/>
                <w:szCs w:val="22"/>
                <w:lang w:eastAsia="it-IT"/>
              </w:rPr>
            </w:pPr>
          </w:p>
        </w:tc>
        <w:tc>
          <w:tcPr>
            <w:tcW w:w="1276" w:type="dxa"/>
            <w:gridSpan w:val="2"/>
            <w:shd w:val="clear" w:color="auto" w:fill="FFFFFF"/>
            <w:vAlign w:val="center"/>
          </w:tcPr>
          <w:p w14:paraId="35D98FFE" w14:textId="77777777" w:rsidR="00CB33C7" w:rsidRPr="008E3BCA" w:rsidRDefault="00CB33C7" w:rsidP="00667673">
            <w:pPr>
              <w:jc w:val="center"/>
              <w:rPr>
                <w:rFonts w:cs="Arial"/>
                <w:b/>
                <w:color w:val="000000"/>
                <w:szCs w:val="22"/>
                <w:lang w:eastAsia="it-IT"/>
              </w:rPr>
            </w:pPr>
          </w:p>
        </w:tc>
        <w:tc>
          <w:tcPr>
            <w:tcW w:w="1571" w:type="dxa"/>
            <w:gridSpan w:val="2"/>
            <w:shd w:val="clear" w:color="auto" w:fill="FFFFFF"/>
            <w:vAlign w:val="center"/>
          </w:tcPr>
          <w:p w14:paraId="7675D64A" w14:textId="77777777" w:rsidR="00CB33C7" w:rsidRPr="008E3BCA" w:rsidRDefault="00CB33C7" w:rsidP="00667673">
            <w:pPr>
              <w:jc w:val="center"/>
              <w:rPr>
                <w:rFonts w:cs="Arial"/>
                <w:b/>
                <w:color w:val="000000"/>
                <w:szCs w:val="22"/>
                <w:lang w:eastAsia="it-IT"/>
              </w:rPr>
            </w:pPr>
            <w:r w:rsidRPr="008E3BCA">
              <w:rPr>
                <w:rFonts w:cs="Arial"/>
                <w:b/>
                <w:color w:val="000000"/>
                <w:szCs w:val="22"/>
                <w:lang w:eastAsia="it-IT"/>
              </w:rPr>
              <w:t>297,335</w:t>
            </w:r>
          </w:p>
        </w:tc>
      </w:tr>
      <w:tr w:rsidR="00CB33C7" w:rsidRPr="00C2587D" w14:paraId="3FBE59B0" w14:textId="77777777" w:rsidTr="00EA6E27">
        <w:trPr>
          <w:trHeight w:val="276"/>
          <w:jc w:val="right"/>
        </w:trPr>
        <w:tc>
          <w:tcPr>
            <w:tcW w:w="3425" w:type="dxa"/>
            <w:shd w:val="clear" w:color="auto" w:fill="FFFFFF"/>
            <w:vAlign w:val="center"/>
          </w:tcPr>
          <w:p w14:paraId="3338EDAB" w14:textId="77777777" w:rsidR="00CB33C7" w:rsidRPr="008E3BCA" w:rsidRDefault="00CB33C7" w:rsidP="008E3BCA">
            <w:pPr>
              <w:rPr>
                <w:rFonts w:cs="Arial"/>
                <w:b/>
                <w:bCs/>
                <w:color w:val="000000"/>
                <w:szCs w:val="22"/>
              </w:rPr>
            </w:pPr>
            <w:r w:rsidRPr="008E3BCA">
              <w:rPr>
                <w:rFonts w:cs="Arial"/>
                <w:b/>
                <w:bCs/>
                <w:color w:val="000000"/>
                <w:szCs w:val="22"/>
              </w:rPr>
              <w:t>по джерелах фінансування:</w:t>
            </w:r>
          </w:p>
        </w:tc>
        <w:tc>
          <w:tcPr>
            <w:tcW w:w="6794" w:type="dxa"/>
            <w:gridSpan w:val="9"/>
            <w:vAlign w:val="center"/>
          </w:tcPr>
          <w:p w14:paraId="2A029296" w14:textId="77777777" w:rsidR="00CB33C7" w:rsidRPr="008E3BCA" w:rsidRDefault="00CB33C7" w:rsidP="00667673">
            <w:pPr>
              <w:jc w:val="center"/>
              <w:rPr>
                <w:rFonts w:cs="Arial"/>
                <w:color w:val="000000"/>
                <w:szCs w:val="22"/>
                <w:lang w:eastAsia="it-IT"/>
              </w:rPr>
            </w:pPr>
          </w:p>
        </w:tc>
      </w:tr>
      <w:tr w:rsidR="008E3BCA" w:rsidRPr="00C2587D" w14:paraId="3E2B0EB0" w14:textId="30B86BB0" w:rsidTr="008E3BCA">
        <w:trPr>
          <w:trHeight w:val="240"/>
          <w:jc w:val="right"/>
        </w:trPr>
        <w:tc>
          <w:tcPr>
            <w:tcW w:w="3425" w:type="dxa"/>
            <w:shd w:val="clear" w:color="auto" w:fill="FFFFFF"/>
            <w:vAlign w:val="center"/>
          </w:tcPr>
          <w:p w14:paraId="04837C93" w14:textId="77777777" w:rsidR="008E3BCA" w:rsidRPr="008E3BCA" w:rsidRDefault="008E3BCA" w:rsidP="008E3BCA">
            <w:pPr>
              <w:rPr>
                <w:rFonts w:cs="Arial"/>
                <w:b/>
                <w:bCs/>
                <w:color w:val="000000"/>
                <w:szCs w:val="22"/>
              </w:rPr>
            </w:pPr>
            <w:r w:rsidRPr="008E3BCA">
              <w:rPr>
                <w:rFonts w:cs="Arial"/>
                <w:color w:val="000000"/>
                <w:szCs w:val="22"/>
              </w:rPr>
              <w:t>- державний бюджет</w:t>
            </w:r>
          </w:p>
        </w:tc>
        <w:tc>
          <w:tcPr>
            <w:tcW w:w="1267" w:type="dxa"/>
            <w:gridSpan w:val="2"/>
            <w:vAlign w:val="center"/>
          </w:tcPr>
          <w:p w14:paraId="434EB964" w14:textId="77777777" w:rsidR="008E3BCA" w:rsidRPr="008E3BCA" w:rsidRDefault="008E3BCA" w:rsidP="00667673">
            <w:pPr>
              <w:jc w:val="center"/>
              <w:rPr>
                <w:rFonts w:cs="Arial"/>
                <w:color w:val="000000"/>
                <w:szCs w:val="22"/>
                <w:lang w:eastAsia="it-IT"/>
              </w:rPr>
            </w:pPr>
          </w:p>
        </w:tc>
        <w:tc>
          <w:tcPr>
            <w:tcW w:w="1313" w:type="dxa"/>
            <w:gridSpan w:val="2"/>
            <w:vAlign w:val="center"/>
          </w:tcPr>
          <w:p w14:paraId="3FE493EF" w14:textId="77777777" w:rsidR="008E3BCA" w:rsidRPr="008E3BCA" w:rsidRDefault="008E3BCA" w:rsidP="00667673">
            <w:pPr>
              <w:jc w:val="center"/>
              <w:rPr>
                <w:rFonts w:cs="Arial"/>
                <w:color w:val="000000"/>
                <w:szCs w:val="22"/>
                <w:lang w:eastAsia="it-IT"/>
              </w:rPr>
            </w:pPr>
          </w:p>
        </w:tc>
        <w:tc>
          <w:tcPr>
            <w:tcW w:w="1417" w:type="dxa"/>
            <w:gridSpan w:val="2"/>
            <w:vAlign w:val="center"/>
          </w:tcPr>
          <w:p w14:paraId="769014F7" w14:textId="77777777" w:rsidR="008E3BCA" w:rsidRPr="008E3BCA" w:rsidRDefault="008E3BCA" w:rsidP="00667673">
            <w:pPr>
              <w:jc w:val="center"/>
              <w:rPr>
                <w:rFonts w:cs="Arial"/>
                <w:color w:val="000000"/>
                <w:szCs w:val="22"/>
                <w:lang w:eastAsia="it-IT"/>
              </w:rPr>
            </w:pPr>
          </w:p>
        </w:tc>
        <w:tc>
          <w:tcPr>
            <w:tcW w:w="1244" w:type="dxa"/>
            <w:gridSpan w:val="2"/>
            <w:vAlign w:val="center"/>
          </w:tcPr>
          <w:p w14:paraId="18901DBC" w14:textId="77777777" w:rsidR="008E3BCA" w:rsidRPr="008E3BCA" w:rsidRDefault="008E3BCA" w:rsidP="00667673">
            <w:pPr>
              <w:jc w:val="center"/>
              <w:rPr>
                <w:rFonts w:cs="Arial"/>
                <w:color w:val="000000"/>
                <w:szCs w:val="22"/>
                <w:lang w:eastAsia="it-IT"/>
              </w:rPr>
            </w:pPr>
          </w:p>
        </w:tc>
        <w:tc>
          <w:tcPr>
            <w:tcW w:w="1553" w:type="dxa"/>
            <w:vAlign w:val="center"/>
          </w:tcPr>
          <w:p w14:paraId="2E081E53" w14:textId="77777777" w:rsidR="008E3BCA" w:rsidRPr="008E3BCA" w:rsidRDefault="008E3BCA" w:rsidP="00667673">
            <w:pPr>
              <w:jc w:val="center"/>
              <w:rPr>
                <w:rFonts w:cs="Arial"/>
                <w:color w:val="000000"/>
                <w:szCs w:val="22"/>
                <w:lang w:eastAsia="it-IT"/>
              </w:rPr>
            </w:pPr>
          </w:p>
        </w:tc>
      </w:tr>
      <w:tr w:rsidR="008E3BCA" w:rsidRPr="00C2587D" w14:paraId="0131C4F9" w14:textId="15479B0B" w:rsidTr="008E3BCA">
        <w:trPr>
          <w:trHeight w:val="254"/>
          <w:jc w:val="right"/>
        </w:trPr>
        <w:tc>
          <w:tcPr>
            <w:tcW w:w="3425" w:type="dxa"/>
            <w:shd w:val="clear" w:color="auto" w:fill="FFFFFF"/>
            <w:vAlign w:val="center"/>
          </w:tcPr>
          <w:p w14:paraId="14DF5C38" w14:textId="77777777" w:rsidR="008E3BCA" w:rsidRPr="008E3BCA" w:rsidRDefault="008E3BCA" w:rsidP="008E3BCA">
            <w:pPr>
              <w:rPr>
                <w:rFonts w:cs="Arial"/>
                <w:color w:val="000000"/>
                <w:szCs w:val="22"/>
              </w:rPr>
            </w:pPr>
            <w:r w:rsidRPr="008E3BCA">
              <w:rPr>
                <w:rFonts w:cs="Arial"/>
                <w:color w:val="000000"/>
                <w:szCs w:val="22"/>
              </w:rPr>
              <w:t>- обласний бюджет</w:t>
            </w:r>
          </w:p>
        </w:tc>
        <w:tc>
          <w:tcPr>
            <w:tcW w:w="1267" w:type="dxa"/>
            <w:gridSpan w:val="2"/>
            <w:vAlign w:val="center"/>
          </w:tcPr>
          <w:p w14:paraId="57E1817F" w14:textId="77777777" w:rsidR="008E3BCA" w:rsidRPr="008E3BCA" w:rsidRDefault="008E3BCA" w:rsidP="00667673">
            <w:pPr>
              <w:jc w:val="center"/>
              <w:rPr>
                <w:rFonts w:cs="Arial"/>
                <w:color w:val="000000"/>
                <w:szCs w:val="22"/>
                <w:lang w:eastAsia="it-IT"/>
              </w:rPr>
            </w:pPr>
          </w:p>
        </w:tc>
        <w:tc>
          <w:tcPr>
            <w:tcW w:w="1313" w:type="dxa"/>
            <w:gridSpan w:val="2"/>
            <w:vAlign w:val="center"/>
          </w:tcPr>
          <w:p w14:paraId="1782F5A5" w14:textId="77777777" w:rsidR="008E3BCA" w:rsidRPr="008E3BCA" w:rsidRDefault="008E3BCA" w:rsidP="00667673">
            <w:pPr>
              <w:jc w:val="center"/>
              <w:rPr>
                <w:rFonts w:cs="Arial"/>
                <w:color w:val="000000"/>
                <w:szCs w:val="22"/>
                <w:lang w:eastAsia="it-IT"/>
              </w:rPr>
            </w:pPr>
          </w:p>
        </w:tc>
        <w:tc>
          <w:tcPr>
            <w:tcW w:w="1417" w:type="dxa"/>
            <w:gridSpan w:val="2"/>
            <w:vAlign w:val="center"/>
          </w:tcPr>
          <w:p w14:paraId="68DD5CE1" w14:textId="77777777" w:rsidR="008E3BCA" w:rsidRPr="008E3BCA" w:rsidRDefault="008E3BCA" w:rsidP="00667673">
            <w:pPr>
              <w:jc w:val="center"/>
              <w:rPr>
                <w:rFonts w:cs="Arial"/>
                <w:color w:val="000000"/>
                <w:szCs w:val="22"/>
                <w:lang w:eastAsia="it-IT"/>
              </w:rPr>
            </w:pPr>
          </w:p>
        </w:tc>
        <w:tc>
          <w:tcPr>
            <w:tcW w:w="1244" w:type="dxa"/>
            <w:gridSpan w:val="2"/>
            <w:vAlign w:val="center"/>
          </w:tcPr>
          <w:p w14:paraId="35185468" w14:textId="77777777" w:rsidR="008E3BCA" w:rsidRPr="008E3BCA" w:rsidRDefault="008E3BCA" w:rsidP="00667673">
            <w:pPr>
              <w:jc w:val="center"/>
              <w:rPr>
                <w:rFonts w:cs="Arial"/>
                <w:color w:val="000000"/>
                <w:szCs w:val="22"/>
                <w:lang w:eastAsia="it-IT"/>
              </w:rPr>
            </w:pPr>
          </w:p>
        </w:tc>
        <w:tc>
          <w:tcPr>
            <w:tcW w:w="1553" w:type="dxa"/>
            <w:vAlign w:val="center"/>
          </w:tcPr>
          <w:p w14:paraId="7713AE9D" w14:textId="77777777" w:rsidR="008E3BCA" w:rsidRPr="008E3BCA" w:rsidRDefault="008E3BCA" w:rsidP="00667673">
            <w:pPr>
              <w:jc w:val="center"/>
              <w:rPr>
                <w:rFonts w:cs="Arial"/>
                <w:color w:val="000000"/>
                <w:szCs w:val="22"/>
                <w:lang w:eastAsia="it-IT"/>
              </w:rPr>
            </w:pPr>
          </w:p>
        </w:tc>
      </w:tr>
      <w:tr w:rsidR="008E3BCA" w:rsidRPr="00C2587D" w14:paraId="61406251" w14:textId="580FD107" w:rsidTr="008E3BCA">
        <w:trPr>
          <w:trHeight w:val="275"/>
          <w:jc w:val="right"/>
        </w:trPr>
        <w:tc>
          <w:tcPr>
            <w:tcW w:w="3425" w:type="dxa"/>
            <w:shd w:val="clear" w:color="auto" w:fill="FFFFFF"/>
            <w:vAlign w:val="center"/>
          </w:tcPr>
          <w:p w14:paraId="6D5E4425" w14:textId="77777777" w:rsidR="008E3BCA" w:rsidRPr="008E3BCA" w:rsidRDefault="008E3BCA" w:rsidP="008E3BCA">
            <w:pPr>
              <w:rPr>
                <w:rFonts w:cs="Arial"/>
                <w:color w:val="000000"/>
                <w:szCs w:val="22"/>
              </w:rPr>
            </w:pPr>
            <w:r w:rsidRPr="008E3BCA">
              <w:rPr>
                <w:rFonts w:cs="Arial"/>
                <w:color w:val="000000"/>
                <w:szCs w:val="22"/>
              </w:rPr>
              <w:t>- бюджет Жмеринської МТГ</w:t>
            </w:r>
          </w:p>
        </w:tc>
        <w:tc>
          <w:tcPr>
            <w:tcW w:w="1267" w:type="dxa"/>
            <w:gridSpan w:val="2"/>
            <w:vAlign w:val="center"/>
          </w:tcPr>
          <w:p w14:paraId="5469286B" w14:textId="7073018A" w:rsidR="008E3BCA" w:rsidRPr="008E3BCA" w:rsidRDefault="008E3BCA" w:rsidP="00667673">
            <w:pPr>
              <w:jc w:val="center"/>
              <w:rPr>
                <w:rFonts w:cs="Arial"/>
                <w:color w:val="000000"/>
                <w:szCs w:val="22"/>
                <w:lang w:eastAsia="it-IT"/>
              </w:rPr>
            </w:pPr>
          </w:p>
        </w:tc>
        <w:tc>
          <w:tcPr>
            <w:tcW w:w="1313" w:type="dxa"/>
            <w:gridSpan w:val="2"/>
            <w:vAlign w:val="center"/>
          </w:tcPr>
          <w:p w14:paraId="187021F4" w14:textId="070F1168" w:rsidR="008E3BCA" w:rsidRPr="008E3BCA" w:rsidRDefault="008E3BCA" w:rsidP="00667673">
            <w:pPr>
              <w:jc w:val="center"/>
              <w:rPr>
                <w:rFonts w:cs="Arial"/>
                <w:color w:val="000000"/>
                <w:szCs w:val="22"/>
                <w:lang w:eastAsia="it-IT"/>
              </w:rPr>
            </w:pPr>
            <w:r w:rsidRPr="008E3BCA">
              <w:rPr>
                <w:rFonts w:cs="Arial"/>
                <w:color w:val="000000"/>
                <w:szCs w:val="22"/>
                <w:lang w:eastAsia="it-IT"/>
              </w:rPr>
              <w:t>297,335</w:t>
            </w:r>
          </w:p>
        </w:tc>
        <w:tc>
          <w:tcPr>
            <w:tcW w:w="1417" w:type="dxa"/>
            <w:gridSpan w:val="2"/>
            <w:vAlign w:val="center"/>
          </w:tcPr>
          <w:p w14:paraId="2B6DB43E" w14:textId="77777777" w:rsidR="008E3BCA" w:rsidRPr="008E3BCA" w:rsidRDefault="008E3BCA" w:rsidP="00667673">
            <w:pPr>
              <w:jc w:val="center"/>
              <w:rPr>
                <w:rFonts w:cs="Arial"/>
                <w:color w:val="000000"/>
                <w:szCs w:val="22"/>
                <w:lang w:eastAsia="it-IT"/>
              </w:rPr>
            </w:pPr>
          </w:p>
        </w:tc>
        <w:tc>
          <w:tcPr>
            <w:tcW w:w="1244" w:type="dxa"/>
            <w:gridSpan w:val="2"/>
            <w:vAlign w:val="center"/>
          </w:tcPr>
          <w:p w14:paraId="4B6FC00F" w14:textId="77777777" w:rsidR="008E3BCA" w:rsidRPr="008E3BCA" w:rsidRDefault="008E3BCA" w:rsidP="00667673">
            <w:pPr>
              <w:jc w:val="center"/>
              <w:rPr>
                <w:rFonts w:cs="Arial"/>
                <w:color w:val="000000"/>
                <w:szCs w:val="22"/>
                <w:lang w:eastAsia="it-IT"/>
              </w:rPr>
            </w:pPr>
          </w:p>
        </w:tc>
        <w:tc>
          <w:tcPr>
            <w:tcW w:w="1553" w:type="dxa"/>
          </w:tcPr>
          <w:p w14:paraId="71D2E43D" w14:textId="7AF7DCA9" w:rsidR="008E3BCA" w:rsidRPr="008E3BCA" w:rsidRDefault="008E3BCA" w:rsidP="00667673">
            <w:pPr>
              <w:jc w:val="center"/>
              <w:rPr>
                <w:rFonts w:cs="Arial"/>
                <w:b/>
                <w:color w:val="000000"/>
                <w:szCs w:val="22"/>
                <w:lang w:eastAsia="it-IT"/>
              </w:rPr>
            </w:pPr>
            <w:r w:rsidRPr="008E3BCA">
              <w:rPr>
                <w:rFonts w:cs="Arial"/>
                <w:b/>
                <w:color w:val="000000"/>
                <w:szCs w:val="22"/>
                <w:lang w:eastAsia="it-IT"/>
              </w:rPr>
              <w:t>297,335</w:t>
            </w:r>
          </w:p>
        </w:tc>
      </w:tr>
      <w:tr w:rsidR="008E3BCA" w:rsidRPr="00C2587D" w14:paraId="1A6C6A86" w14:textId="51ED4ACF" w:rsidTr="008E3BCA">
        <w:trPr>
          <w:trHeight w:val="226"/>
          <w:jc w:val="right"/>
        </w:trPr>
        <w:tc>
          <w:tcPr>
            <w:tcW w:w="3425" w:type="dxa"/>
            <w:shd w:val="clear" w:color="auto" w:fill="FFFFFF"/>
            <w:vAlign w:val="center"/>
          </w:tcPr>
          <w:p w14:paraId="7E08A845" w14:textId="77777777" w:rsidR="008E3BCA" w:rsidRPr="008E3BCA" w:rsidRDefault="008E3BCA" w:rsidP="008E3BCA">
            <w:pPr>
              <w:rPr>
                <w:rFonts w:cs="Arial"/>
                <w:color w:val="000000"/>
                <w:szCs w:val="22"/>
              </w:rPr>
            </w:pPr>
            <w:r w:rsidRPr="008E3BCA">
              <w:rPr>
                <w:rFonts w:cs="Arial"/>
                <w:color w:val="000000"/>
                <w:szCs w:val="22"/>
              </w:rPr>
              <w:t>- інші джерела фінансування</w:t>
            </w:r>
          </w:p>
        </w:tc>
        <w:tc>
          <w:tcPr>
            <w:tcW w:w="1267" w:type="dxa"/>
            <w:gridSpan w:val="2"/>
            <w:vAlign w:val="center"/>
          </w:tcPr>
          <w:p w14:paraId="2D2C6005" w14:textId="77777777" w:rsidR="008E3BCA" w:rsidRPr="008E3BCA" w:rsidRDefault="008E3BCA" w:rsidP="00667673">
            <w:pPr>
              <w:jc w:val="center"/>
              <w:rPr>
                <w:rFonts w:cs="Arial"/>
                <w:color w:val="000000"/>
                <w:szCs w:val="22"/>
                <w:lang w:eastAsia="it-IT"/>
              </w:rPr>
            </w:pPr>
          </w:p>
        </w:tc>
        <w:tc>
          <w:tcPr>
            <w:tcW w:w="1313" w:type="dxa"/>
            <w:gridSpan w:val="2"/>
            <w:vAlign w:val="center"/>
          </w:tcPr>
          <w:p w14:paraId="273AB868" w14:textId="77777777" w:rsidR="008E3BCA" w:rsidRPr="008E3BCA" w:rsidRDefault="008E3BCA" w:rsidP="00667673">
            <w:pPr>
              <w:jc w:val="center"/>
              <w:rPr>
                <w:rFonts w:cs="Arial"/>
                <w:color w:val="000000"/>
                <w:szCs w:val="22"/>
                <w:lang w:eastAsia="it-IT"/>
              </w:rPr>
            </w:pPr>
          </w:p>
        </w:tc>
        <w:tc>
          <w:tcPr>
            <w:tcW w:w="1417" w:type="dxa"/>
            <w:gridSpan w:val="2"/>
            <w:vAlign w:val="center"/>
          </w:tcPr>
          <w:p w14:paraId="56478019" w14:textId="77777777" w:rsidR="008E3BCA" w:rsidRPr="008E3BCA" w:rsidRDefault="008E3BCA" w:rsidP="00667673">
            <w:pPr>
              <w:jc w:val="center"/>
              <w:rPr>
                <w:rFonts w:cs="Arial"/>
                <w:color w:val="000000"/>
                <w:szCs w:val="22"/>
                <w:lang w:eastAsia="it-IT"/>
              </w:rPr>
            </w:pPr>
          </w:p>
        </w:tc>
        <w:tc>
          <w:tcPr>
            <w:tcW w:w="1244" w:type="dxa"/>
            <w:gridSpan w:val="2"/>
            <w:vAlign w:val="center"/>
          </w:tcPr>
          <w:p w14:paraId="20B5FFCE" w14:textId="77777777" w:rsidR="008E3BCA" w:rsidRPr="008E3BCA" w:rsidRDefault="008E3BCA" w:rsidP="00667673">
            <w:pPr>
              <w:jc w:val="center"/>
              <w:rPr>
                <w:rFonts w:cs="Arial"/>
                <w:color w:val="000000"/>
                <w:szCs w:val="22"/>
                <w:lang w:eastAsia="it-IT"/>
              </w:rPr>
            </w:pPr>
          </w:p>
        </w:tc>
        <w:tc>
          <w:tcPr>
            <w:tcW w:w="1553" w:type="dxa"/>
            <w:vAlign w:val="center"/>
          </w:tcPr>
          <w:p w14:paraId="175BD7D2" w14:textId="77777777" w:rsidR="008E3BCA" w:rsidRPr="008E3BCA" w:rsidRDefault="008E3BCA" w:rsidP="00667673">
            <w:pPr>
              <w:jc w:val="center"/>
              <w:rPr>
                <w:rFonts w:cs="Arial"/>
                <w:color w:val="000000"/>
                <w:szCs w:val="22"/>
                <w:lang w:eastAsia="it-IT"/>
              </w:rPr>
            </w:pPr>
          </w:p>
        </w:tc>
      </w:tr>
      <w:tr w:rsidR="008E3BCA" w:rsidRPr="00C2587D" w14:paraId="349F2A70" w14:textId="77777777" w:rsidTr="00EA6E27">
        <w:trPr>
          <w:jc w:val="right"/>
        </w:trPr>
        <w:tc>
          <w:tcPr>
            <w:tcW w:w="3425" w:type="dxa"/>
            <w:shd w:val="clear" w:color="auto" w:fill="FFFFFF"/>
            <w:vAlign w:val="center"/>
          </w:tcPr>
          <w:p w14:paraId="4C3F4DD4" w14:textId="77777777" w:rsidR="008E3BCA" w:rsidRPr="008E3BCA" w:rsidRDefault="008E3BCA" w:rsidP="008E3BCA">
            <w:pPr>
              <w:rPr>
                <w:rFonts w:cs="Arial"/>
                <w:b/>
                <w:bCs/>
                <w:color w:val="000000"/>
                <w:szCs w:val="22"/>
              </w:rPr>
            </w:pPr>
            <w:r w:rsidRPr="008E3BCA">
              <w:rPr>
                <w:rFonts w:cs="Arial"/>
                <w:b/>
                <w:color w:val="000000"/>
                <w:szCs w:val="22"/>
              </w:rPr>
              <w:t>Відповідальний виконавець проєкту:</w:t>
            </w:r>
          </w:p>
        </w:tc>
        <w:tc>
          <w:tcPr>
            <w:tcW w:w="6794" w:type="dxa"/>
            <w:gridSpan w:val="9"/>
            <w:vAlign w:val="center"/>
          </w:tcPr>
          <w:p w14:paraId="65EC4851" w14:textId="5CFFCB00" w:rsidR="008E3BCA" w:rsidRPr="008E3BCA" w:rsidRDefault="008E3BCA" w:rsidP="008E3BCA">
            <w:pPr>
              <w:jc w:val="both"/>
              <w:rPr>
                <w:rFonts w:cs="Arial"/>
                <w:color w:val="000000"/>
                <w:szCs w:val="22"/>
                <w:lang w:eastAsia="it-IT"/>
              </w:rPr>
            </w:pPr>
            <w:r w:rsidRPr="008E3BCA">
              <w:rPr>
                <w:rFonts w:cs="Arial"/>
                <w:color w:val="000000"/>
                <w:szCs w:val="22"/>
                <w:lang w:eastAsia="it-IT"/>
              </w:rPr>
              <w:t>Управління ЖКГ.</w:t>
            </w:r>
          </w:p>
        </w:tc>
      </w:tr>
      <w:tr w:rsidR="008E3BCA" w:rsidRPr="00C2587D" w14:paraId="121A23AE" w14:textId="77777777" w:rsidTr="00EA6E27">
        <w:trPr>
          <w:jc w:val="right"/>
        </w:trPr>
        <w:tc>
          <w:tcPr>
            <w:tcW w:w="3425" w:type="dxa"/>
            <w:shd w:val="clear" w:color="auto" w:fill="FFFFFF"/>
            <w:vAlign w:val="center"/>
          </w:tcPr>
          <w:p w14:paraId="592BCA73" w14:textId="77777777" w:rsidR="008E3BCA" w:rsidRPr="008E3BCA" w:rsidRDefault="008E3BCA" w:rsidP="008E3BCA">
            <w:pPr>
              <w:rPr>
                <w:rFonts w:cs="Arial"/>
                <w:b/>
                <w:bCs/>
                <w:color w:val="000000"/>
                <w:szCs w:val="22"/>
              </w:rPr>
            </w:pPr>
            <w:r w:rsidRPr="008E3BCA">
              <w:rPr>
                <w:rFonts w:cs="Arial"/>
                <w:b/>
                <w:bCs/>
                <w:color w:val="000000"/>
                <w:szCs w:val="22"/>
              </w:rPr>
              <w:t>Інше:</w:t>
            </w:r>
          </w:p>
        </w:tc>
        <w:tc>
          <w:tcPr>
            <w:tcW w:w="6794" w:type="dxa"/>
            <w:gridSpan w:val="9"/>
            <w:vAlign w:val="center"/>
          </w:tcPr>
          <w:p w14:paraId="7D03B3EA" w14:textId="30D81451" w:rsidR="008E3BCA" w:rsidRPr="008E3BCA" w:rsidRDefault="008E3BCA" w:rsidP="008E3BCA">
            <w:pPr>
              <w:rPr>
                <w:rFonts w:cs="Arial"/>
                <w:color w:val="000000"/>
                <w:szCs w:val="22"/>
                <w:lang w:eastAsia="it-IT"/>
              </w:rPr>
            </w:pPr>
          </w:p>
        </w:tc>
      </w:tr>
    </w:tbl>
    <w:p w14:paraId="0FD77B71" w14:textId="77777777" w:rsidR="00CB33C7" w:rsidRPr="00C2587D" w:rsidRDefault="00CB33C7" w:rsidP="00CB33C7"/>
    <w:p w14:paraId="134DDA9B" w14:textId="77777777" w:rsidR="00E97953" w:rsidRDefault="00E97953" w:rsidP="00CB33C7">
      <w:pPr>
        <w:jc w:val="center"/>
        <w:rPr>
          <w:rFonts w:cs="Arial"/>
          <w:b/>
        </w:rPr>
      </w:pPr>
    </w:p>
    <w:p w14:paraId="27E0C358" w14:textId="78E20E5C" w:rsidR="00CB33C7" w:rsidRPr="00C2587D" w:rsidRDefault="00CB33C7" w:rsidP="00CB33C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74B2C9F4" w14:textId="77777777" w:rsidR="00CB33C7" w:rsidRPr="00C2587D" w:rsidRDefault="00CB33C7" w:rsidP="00CB33C7">
      <w:pPr>
        <w:jc w:val="center"/>
        <w:rPr>
          <w:rFonts w:cs="Arial"/>
          <w:b/>
          <w:color w:val="000000"/>
          <w:szCs w:val="22"/>
        </w:rPr>
      </w:pPr>
      <w:r w:rsidRPr="00C2587D">
        <w:rPr>
          <w:rFonts w:cs="Arial"/>
          <w:b/>
          <w:color w:val="000000"/>
          <w:szCs w:val="22"/>
        </w:rPr>
        <w:t>до Плану заходів з реалізації Стратегії</w:t>
      </w:r>
    </w:p>
    <w:p w14:paraId="09FA7E52" w14:textId="77777777" w:rsidR="00CB33C7" w:rsidRPr="00C2587D" w:rsidRDefault="00CB33C7" w:rsidP="00CB33C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4"/>
        <w:gridCol w:w="1254"/>
        <w:gridCol w:w="13"/>
        <w:gridCol w:w="1266"/>
        <w:gridCol w:w="1417"/>
        <w:gridCol w:w="46"/>
        <w:gridCol w:w="1198"/>
        <w:gridCol w:w="31"/>
        <w:gridCol w:w="1570"/>
      </w:tblGrid>
      <w:tr w:rsidR="00CB33C7" w:rsidRPr="00C2587D" w14:paraId="50D6F30A" w14:textId="77777777" w:rsidTr="008E3BCA">
        <w:trPr>
          <w:jc w:val="right"/>
        </w:trPr>
        <w:tc>
          <w:tcPr>
            <w:tcW w:w="3424" w:type="dxa"/>
            <w:vAlign w:val="center"/>
          </w:tcPr>
          <w:p w14:paraId="69CCB9D2" w14:textId="77777777" w:rsidR="00CB33C7" w:rsidRPr="00E97953" w:rsidRDefault="00CB33C7" w:rsidP="008E3BCA">
            <w:pPr>
              <w:rPr>
                <w:rFonts w:cs="Arial"/>
                <w:b/>
                <w:bCs/>
                <w:color w:val="000000"/>
                <w:szCs w:val="22"/>
              </w:rPr>
            </w:pPr>
            <w:r w:rsidRPr="00E97953">
              <w:rPr>
                <w:rFonts w:cs="Arial"/>
                <w:b/>
                <w:bCs/>
                <w:color w:val="000000"/>
                <w:szCs w:val="22"/>
              </w:rPr>
              <w:t>Назва проєкту:</w:t>
            </w:r>
          </w:p>
        </w:tc>
        <w:tc>
          <w:tcPr>
            <w:tcW w:w="6795" w:type="dxa"/>
            <w:gridSpan w:val="8"/>
          </w:tcPr>
          <w:p w14:paraId="6E01A9AB" w14:textId="77777777" w:rsidR="00CB33C7" w:rsidRPr="00E97953" w:rsidRDefault="00CB33C7" w:rsidP="008E3BCA">
            <w:pPr>
              <w:jc w:val="both"/>
              <w:rPr>
                <w:rFonts w:cs="Arial"/>
                <w:b/>
                <w:szCs w:val="22"/>
                <w:lang w:eastAsia="it-IT"/>
              </w:rPr>
            </w:pPr>
            <w:r w:rsidRPr="00E97953">
              <w:rPr>
                <w:rFonts w:cs="Arial"/>
                <w:b/>
                <w:szCs w:val="22"/>
                <w:lang w:eastAsia="it-IT"/>
              </w:rPr>
              <w:t>Нове будівництво розвідувально-експлуатаційної свердловини в селі Лопатинці, Жмеринського району, Вінницької області</w:t>
            </w:r>
          </w:p>
        </w:tc>
      </w:tr>
      <w:tr w:rsidR="00CB33C7" w:rsidRPr="00C2587D" w14:paraId="70E316A0" w14:textId="77777777" w:rsidTr="008E3BCA">
        <w:trPr>
          <w:jc w:val="right"/>
        </w:trPr>
        <w:tc>
          <w:tcPr>
            <w:tcW w:w="3424" w:type="dxa"/>
          </w:tcPr>
          <w:p w14:paraId="6136B274" w14:textId="77777777" w:rsidR="00CB33C7" w:rsidRPr="00E97953" w:rsidRDefault="00CB33C7" w:rsidP="008E3BCA">
            <w:pPr>
              <w:rPr>
                <w:rFonts w:cs="Arial"/>
                <w:szCs w:val="22"/>
                <w:lang w:eastAsia="it-IT"/>
              </w:rPr>
            </w:pPr>
            <w:r w:rsidRPr="00E97953">
              <w:rPr>
                <w:rFonts w:cs="Arial"/>
                <w:b/>
                <w:bCs/>
                <w:szCs w:val="22"/>
              </w:rPr>
              <w:t>Ваші контакти</w:t>
            </w:r>
            <w:r w:rsidRPr="00E97953">
              <w:rPr>
                <w:rFonts w:cs="Arial"/>
                <w:szCs w:val="22"/>
                <w:lang w:eastAsia="it-IT"/>
              </w:rPr>
              <w:t>:</w:t>
            </w:r>
          </w:p>
          <w:p w14:paraId="0A68F498" w14:textId="77777777" w:rsidR="00CB33C7" w:rsidRPr="00E97953" w:rsidRDefault="00CB33C7" w:rsidP="008E3BCA">
            <w:pPr>
              <w:rPr>
                <w:rFonts w:cs="Arial"/>
                <w:b/>
                <w:bCs/>
                <w:szCs w:val="22"/>
              </w:rPr>
            </w:pPr>
            <w:r w:rsidRPr="00E97953">
              <w:rPr>
                <w:rFonts w:cs="Arial"/>
                <w:szCs w:val="22"/>
                <w:lang w:eastAsia="it-IT"/>
              </w:rPr>
              <w:t>Назва установи, організації, підприємства</w:t>
            </w:r>
          </w:p>
        </w:tc>
        <w:tc>
          <w:tcPr>
            <w:tcW w:w="6795" w:type="dxa"/>
            <w:gridSpan w:val="8"/>
          </w:tcPr>
          <w:p w14:paraId="777C26A2" w14:textId="77777777" w:rsidR="00CB33C7" w:rsidRPr="00E97953" w:rsidRDefault="00CB33C7" w:rsidP="00667673">
            <w:pPr>
              <w:jc w:val="both"/>
              <w:rPr>
                <w:rFonts w:cs="Arial"/>
                <w:szCs w:val="22"/>
                <w:lang w:eastAsia="it-IT"/>
              </w:rPr>
            </w:pPr>
            <w:r w:rsidRPr="00E97953">
              <w:rPr>
                <w:rFonts w:cs="Arial"/>
                <w:szCs w:val="22"/>
                <w:lang w:eastAsia="it-IT"/>
              </w:rPr>
              <w:t>КП «Браїлів-комунсервіс» Жмеринської міської ради</w:t>
            </w:r>
          </w:p>
        </w:tc>
      </w:tr>
      <w:tr w:rsidR="00CB33C7" w:rsidRPr="00C2587D" w14:paraId="3ADF0901" w14:textId="77777777" w:rsidTr="008E3BCA">
        <w:trPr>
          <w:jc w:val="right"/>
        </w:trPr>
        <w:tc>
          <w:tcPr>
            <w:tcW w:w="3424" w:type="dxa"/>
          </w:tcPr>
          <w:p w14:paraId="52E7E90B" w14:textId="77777777" w:rsidR="00CB33C7" w:rsidRPr="00E97953" w:rsidRDefault="00CB33C7" w:rsidP="008E3BCA">
            <w:pPr>
              <w:rPr>
                <w:rFonts w:cs="Arial"/>
                <w:b/>
                <w:bCs/>
                <w:szCs w:val="22"/>
              </w:rPr>
            </w:pPr>
            <w:r w:rsidRPr="00E97953">
              <w:rPr>
                <w:rFonts w:cs="Arial"/>
                <w:szCs w:val="22"/>
                <w:lang w:eastAsia="it-IT"/>
              </w:rPr>
              <w:t>Прізвище Ім’я По-батькові:</w:t>
            </w:r>
          </w:p>
        </w:tc>
        <w:tc>
          <w:tcPr>
            <w:tcW w:w="6795" w:type="dxa"/>
            <w:gridSpan w:val="8"/>
          </w:tcPr>
          <w:p w14:paraId="25E41AA6" w14:textId="77777777" w:rsidR="00CB33C7" w:rsidRPr="00E97953" w:rsidRDefault="00CB33C7" w:rsidP="00667673">
            <w:pPr>
              <w:jc w:val="both"/>
              <w:rPr>
                <w:rFonts w:cs="Arial"/>
                <w:szCs w:val="22"/>
                <w:lang w:eastAsia="it-IT"/>
              </w:rPr>
            </w:pPr>
            <w:r w:rsidRPr="00E97953">
              <w:rPr>
                <w:rFonts w:cs="Arial"/>
                <w:szCs w:val="22"/>
                <w:lang w:eastAsia="it-IT"/>
              </w:rPr>
              <w:t>Резедент Валерій Дмитрович</w:t>
            </w:r>
          </w:p>
        </w:tc>
      </w:tr>
      <w:tr w:rsidR="00CB33C7" w:rsidRPr="00C2587D" w14:paraId="6AB61139" w14:textId="77777777" w:rsidTr="008E3BCA">
        <w:trPr>
          <w:jc w:val="right"/>
        </w:trPr>
        <w:tc>
          <w:tcPr>
            <w:tcW w:w="3424" w:type="dxa"/>
          </w:tcPr>
          <w:p w14:paraId="196935C5" w14:textId="77777777" w:rsidR="00CB33C7" w:rsidRPr="00E97953" w:rsidRDefault="00CB33C7" w:rsidP="008E3BCA">
            <w:pPr>
              <w:rPr>
                <w:rFonts w:cs="Arial"/>
                <w:b/>
                <w:bCs/>
                <w:szCs w:val="22"/>
              </w:rPr>
            </w:pPr>
            <w:r w:rsidRPr="00E97953">
              <w:rPr>
                <w:rFonts w:cs="Arial"/>
                <w:szCs w:val="22"/>
                <w:lang w:eastAsia="it-IT"/>
              </w:rPr>
              <w:t>Телефон (мобільний):</w:t>
            </w:r>
          </w:p>
        </w:tc>
        <w:tc>
          <w:tcPr>
            <w:tcW w:w="6795" w:type="dxa"/>
            <w:gridSpan w:val="8"/>
          </w:tcPr>
          <w:p w14:paraId="74408833" w14:textId="77777777" w:rsidR="00CB33C7" w:rsidRPr="00E97953" w:rsidRDefault="00CB33C7" w:rsidP="00667673">
            <w:pPr>
              <w:jc w:val="both"/>
              <w:rPr>
                <w:rFonts w:cs="Arial"/>
                <w:szCs w:val="22"/>
                <w:lang w:eastAsia="it-IT"/>
              </w:rPr>
            </w:pPr>
            <w:r w:rsidRPr="00E97953">
              <w:rPr>
                <w:rFonts w:cs="Arial"/>
                <w:szCs w:val="22"/>
                <w:lang w:eastAsia="it-IT"/>
              </w:rPr>
              <w:t>0674041516</w:t>
            </w:r>
          </w:p>
        </w:tc>
      </w:tr>
      <w:tr w:rsidR="00CB33C7" w:rsidRPr="00C2587D" w14:paraId="1BF7C950" w14:textId="77777777" w:rsidTr="008E3BCA">
        <w:trPr>
          <w:jc w:val="right"/>
        </w:trPr>
        <w:tc>
          <w:tcPr>
            <w:tcW w:w="3424" w:type="dxa"/>
          </w:tcPr>
          <w:p w14:paraId="65BFABEB" w14:textId="77777777" w:rsidR="00CB33C7" w:rsidRPr="00E97953" w:rsidRDefault="00CB33C7" w:rsidP="008E3BCA">
            <w:pPr>
              <w:rPr>
                <w:rFonts w:cs="Arial"/>
                <w:b/>
                <w:bCs/>
                <w:szCs w:val="22"/>
              </w:rPr>
            </w:pPr>
            <w:r w:rsidRPr="00E97953">
              <w:rPr>
                <w:rFonts w:cs="Arial"/>
                <w:szCs w:val="22"/>
                <w:lang w:eastAsia="it-IT"/>
              </w:rPr>
              <w:t>Електронна адреса:</w:t>
            </w:r>
          </w:p>
        </w:tc>
        <w:tc>
          <w:tcPr>
            <w:tcW w:w="6795" w:type="dxa"/>
            <w:gridSpan w:val="8"/>
          </w:tcPr>
          <w:p w14:paraId="05334C03" w14:textId="77777777" w:rsidR="00CB33C7" w:rsidRPr="00E97953" w:rsidRDefault="00CB33C7" w:rsidP="00667673">
            <w:pPr>
              <w:jc w:val="both"/>
              <w:rPr>
                <w:rFonts w:cs="Arial"/>
                <w:szCs w:val="22"/>
                <w:lang w:eastAsia="it-IT"/>
              </w:rPr>
            </w:pPr>
            <w:r w:rsidRPr="00E97953">
              <w:rPr>
                <w:rFonts w:cs="Arial"/>
                <w:szCs w:val="22"/>
                <w:lang w:eastAsia="it-IT"/>
              </w:rPr>
              <w:t>brailivks@gmail.com</w:t>
            </w:r>
          </w:p>
        </w:tc>
      </w:tr>
      <w:tr w:rsidR="00CB33C7" w:rsidRPr="00C2587D" w14:paraId="445C82AE" w14:textId="77777777" w:rsidTr="008E3BCA">
        <w:trPr>
          <w:jc w:val="right"/>
        </w:trPr>
        <w:tc>
          <w:tcPr>
            <w:tcW w:w="3424" w:type="dxa"/>
            <w:vAlign w:val="center"/>
          </w:tcPr>
          <w:p w14:paraId="0BF2BAB6" w14:textId="77777777" w:rsidR="00CB33C7" w:rsidRPr="00E97953" w:rsidRDefault="00CB33C7" w:rsidP="008E3BCA">
            <w:pPr>
              <w:pStyle w:val="6"/>
              <w:spacing w:before="0" w:after="0"/>
              <w:rPr>
                <w:rFonts w:ascii="Arial" w:hAnsi="Arial" w:cs="Arial"/>
                <w:color w:val="000000"/>
                <w:lang w:val="uk-UA"/>
              </w:rPr>
            </w:pPr>
            <w:r w:rsidRPr="00E97953">
              <w:rPr>
                <w:rFonts w:ascii="Arial" w:hAnsi="Arial" w:cs="Arial"/>
                <w:color w:val="000000"/>
                <w:lang w:val="uk-UA"/>
              </w:rPr>
              <w:t>Номер і назва завдання з Стратегії</w:t>
            </w:r>
            <w:r w:rsidRPr="00E97953">
              <w:rPr>
                <w:rFonts w:ascii="Arial" w:hAnsi="Arial" w:cs="Arial"/>
                <w:lang w:val="uk-UA" w:eastAsia="it-IT"/>
              </w:rPr>
              <w:t xml:space="preserve"> </w:t>
            </w:r>
            <w:r w:rsidRPr="00E97953">
              <w:rPr>
                <w:rFonts w:ascii="Arial" w:hAnsi="Arial" w:cs="Arial"/>
                <w:color w:val="000000"/>
                <w:lang w:val="uk-UA"/>
              </w:rPr>
              <w:t>розвитку Жмеринської міської територіальної громади,  якому відповідає проєкт:</w:t>
            </w:r>
          </w:p>
        </w:tc>
        <w:tc>
          <w:tcPr>
            <w:tcW w:w="6795" w:type="dxa"/>
            <w:gridSpan w:val="8"/>
          </w:tcPr>
          <w:p w14:paraId="79F197E1" w14:textId="77777777" w:rsidR="00CB33C7" w:rsidRPr="00E97953" w:rsidRDefault="00CB33C7" w:rsidP="00667673">
            <w:pPr>
              <w:pBdr>
                <w:left w:val="single" w:sz="18" w:space="4" w:color="auto"/>
              </w:pBdr>
              <w:jc w:val="both"/>
              <w:rPr>
                <w:rFonts w:cs="Arial"/>
                <w:szCs w:val="22"/>
                <w:lang w:eastAsia="it-IT"/>
              </w:rPr>
            </w:pPr>
            <w:r w:rsidRPr="00E97953">
              <w:rPr>
                <w:rFonts w:cs="Arial"/>
                <w:szCs w:val="22"/>
                <w:lang w:eastAsia="it-IT"/>
              </w:rPr>
              <w:t>В.1.3.1.Будівництво нових, реконструкція, капітальний ремонт, модернізація мереж централізованої системи водопостачання, водовідведення та каналізація.</w:t>
            </w:r>
          </w:p>
        </w:tc>
      </w:tr>
      <w:tr w:rsidR="00CB33C7" w:rsidRPr="00C2587D" w14:paraId="78483A16" w14:textId="77777777" w:rsidTr="008E3BCA">
        <w:trPr>
          <w:jc w:val="right"/>
        </w:trPr>
        <w:tc>
          <w:tcPr>
            <w:tcW w:w="3424" w:type="dxa"/>
            <w:vAlign w:val="center"/>
          </w:tcPr>
          <w:p w14:paraId="2C0E3570" w14:textId="77777777" w:rsidR="00CB33C7" w:rsidRPr="00E97953" w:rsidRDefault="00CB33C7" w:rsidP="008E3BCA">
            <w:pPr>
              <w:rPr>
                <w:rFonts w:cs="Arial"/>
                <w:b/>
                <w:bCs/>
                <w:color w:val="000000"/>
                <w:szCs w:val="22"/>
              </w:rPr>
            </w:pPr>
            <w:r w:rsidRPr="00E97953">
              <w:rPr>
                <w:rFonts w:cs="Arial"/>
                <w:b/>
                <w:bCs/>
                <w:color w:val="000000"/>
                <w:szCs w:val="22"/>
              </w:rPr>
              <w:t>Мета проєкту:</w:t>
            </w:r>
          </w:p>
        </w:tc>
        <w:tc>
          <w:tcPr>
            <w:tcW w:w="6795" w:type="dxa"/>
            <w:gridSpan w:val="8"/>
          </w:tcPr>
          <w:p w14:paraId="3824D691" w14:textId="77777777" w:rsidR="00CB33C7" w:rsidRPr="00E97953" w:rsidRDefault="00CB33C7" w:rsidP="00667673">
            <w:pPr>
              <w:jc w:val="both"/>
              <w:rPr>
                <w:rFonts w:cs="Arial"/>
                <w:szCs w:val="22"/>
                <w:lang w:eastAsia="it-IT"/>
              </w:rPr>
            </w:pPr>
            <w:r w:rsidRPr="00E97953">
              <w:rPr>
                <w:rFonts w:cs="Arial"/>
                <w:szCs w:val="22"/>
                <w:lang w:eastAsia="it-IT"/>
              </w:rPr>
              <w:t>Надання мешканцям села Лопатинці якісних послух з водопостачання, шляхом будівництва розвідувально-експлуатаційної свердловини.</w:t>
            </w:r>
          </w:p>
        </w:tc>
      </w:tr>
      <w:tr w:rsidR="00CB33C7" w:rsidRPr="00C2587D" w14:paraId="2FABD614" w14:textId="77777777" w:rsidTr="008E3BCA">
        <w:trPr>
          <w:jc w:val="right"/>
        </w:trPr>
        <w:tc>
          <w:tcPr>
            <w:tcW w:w="3424" w:type="dxa"/>
            <w:vAlign w:val="center"/>
          </w:tcPr>
          <w:p w14:paraId="05E94DCA" w14:textId="77777777" w:rsidR="00CB33C7" w:rsidRPr="00E97953" w:rsidRDefault="00CB33C7" w:rsidP="008E3BCA">
            <w:pPr>
              <w:rPr>
                <w:rFonts w:cs="Arial"/>
                <w:b/>
                <w:bCs/>
                <w:color w:val="000000"/>
                <w:szCs w:val="22"/>
              </w:rPr>
            </w:pPr>
            <w:r w:rsidRPr="00E97953">
              <w:rPr>
                <w:rFonts w:cs="Arial"/>
                <w:b/>
                <w:bCs/>
                <w:color w:val="000000"/>
                <w:szCs w:val="22"/>
              </w:rPr>
              <w:t>Цілі проєкту:</w:t>
            </w:r>
          </w:p>
        </w:tc>
        <w:tc>
          <w:tcPr>
            <w:tcW w:w="6795" w:type="dxa"/>
            <w:gridSpan w:val="8"/>
          </w:tcPr>
          <w:p w14:paraId="6259F228" w14:textId="77777777" w:rsidR="00CB33C7" w:rsidRPr="00E97953" w:rsidRDefault="00CB33C7" w:rsidP="00667673">
            <w:pPr>
              <w:jc w:val="both"/>
              <w:rPr>
                <w:rFonts w:cs="Arial"/>
                <w:szCs w:val="22"/>
                <w:lang w:eastAsia="it-IT"/>
              </w:rPr>
            </w:pPr>
            <w:r w:rsidRPr="00E97953">
              <w:rPr>
                <w:rFonts w:cs="Arial"/>
                <w:szCs w:val="22"/>
                <w:lang w:eastAsia="it-IT"/>
              </w:rPr>
              <w:t xml:space="preserve">Забезпечення жителів села Лопатинці якісною питною водою в достатній кількості </w:t>
            </w:r>
          </w:p>
        </w:tc>
      </w:tr>
      <w:tr w:rsidR="00CB33C7" w:rsidRPr="00C2587D" w14:paraId="0015A4CA" w14:textId="77777777" w:rsidTr="008E3BCA">
        <w:trPr>
          <w:jc w:val="right"/>
        </w:trPr>
        <w:tc>
          <w:tcPr>
            <w:tcW w:w="3424" w:type="dxa"/>
            <w:vAlign w:val="center"/>
          </w:tcPr>
          <w:p w14:paraId="6E40862B" w14:textId="77777777" w:rsidR="00CB33C7" w:rsidRPr="00E97953" w:rsidRDefault="00CB33C7" w:rsidP="008E3BCA">
            <w:pPr>
              <w:autoSpaceDE w:val="0"/>
              <w:autoSpaceDN w:val="0"/>
              <w:adjustRightInd w:val="0"/>
              <w:rPr>
                <w:rFonts w:cs="Arial"/>
                <w:b/>
                <w:color w:val="000000"/>
                <w:szCs w:val="22"/>
              </w:rPr>
            </w:pPr>
            <w:r w:rsidRPr="00E97953">
              <w:rPr>
                <w:rFonts w:cs="Arial"/>
                <w:b/>
                <w:color w:val="000000"/>
                <w:szCs w:val="22"/>
              </w:rPr>
              <w:t>Територія на яку проєкт матиме вплив:</w:t>
            </w:r>
          </w:p>
        </w:tc>
        <w:tc>
          <w:tcPr>
            <w:tcW w:w="6795" w:type="dxa"/>
            <w:gridSpan w:val="8"/>
          </w:tcPr>
          <w:p w14:paraId="3C6815B5" w14:textId="77777777" w:rsidR="00CB33C7" w:rsidRPr="00E97953" w:rsidRDefault="00CB33C7" w:rsidP="00667673">
            <w:pPr>
              <w:jc w:val="both"/>
              <w:rPr>
                <w:rFonts w:cs="Arial"/>
                <w:szCs w:val="22"/>
                <w:lang w:eastAsia="it-IT"/>
              </w:rPr>
            </w:pPr>
            <w:r w:rsidRPr="00E97953">
              <w:rPr>
                <w:rFonts w:cs="Arial"/>
                <w:szCs w:val="22"/>
                <w:lang w:eastAsia="it-IT"/>
              </w:rPr>
              <w:t xml:space="preserve">Село Лопатинці Жмеринської МТГ </w:t>
            </w:r>
          </w:p>
        </w:tc>
      </w:tr>
      <w:tr w:rsidR="00CB33C7" w:rsidRPr="00C2587D" w14:paraId="0332A9C9" w14:textId="77777777" w:rsidTr="008E3BCA">
        <w:trPr>
          <w:jc w:val="right"/>
        </w:trPr>
        <w:tc>
          <w:tcPr>
            <w:tcW w:w="3424" w:type="dxa"/>
            <w:vAlign w:val="center"/>
          </w:tcPr>
          <w:p w14:paraId="595F794D" w14:textId="77777777" w:rsidR="00CB33C7" w:rsidRPr="00E97953" w:rsidRDefault="00CB33C7" w:rsidP="008E3BCA">
            <w:pPr>
              <w:autoSpaceDE w:val="0"/>
              <w:autoSpaceDN w:val="0"/>
              <w:adjustRightInd w:val="0"/>
              <w:rPr>
                <w:rFonts w:cs="Arial"/>
                <w:b/>
                <w:color w:val="000000"/>
                <w:szCs w:val="22"/>
              </w:rPr>
            </w:pPr>
            <w:r w:rsidRPr="00E97953">
              <w:rPr>
                <w:rFonts w:cs="Arial"/>
                <w:b/>
                <w:color w:val="000000"/>
                <w:szCs w:val="22"/>
              </w:rPr>
              <w:t>Цільові групи проєкту та кількість отримувачів вигоди</w:t>
            </w:r>
          </w:p>
        </w:tc>
        <w:tc>
          <w:tcPr>
            <w:tcW w:w="6795" w:type="dxa"/>
            <w:gridSpan w:val="8"/>
          </w:tcPr>
          <w:p w14:paraId="3EBD6759" w14:textId="77777777" w:rsidR="00CB33C7" w:rsidRPr="00E97953" w:rsidRDefault="00CB33C7" w:rsidP="00667673">
            <w:pPr>
              <w:jc w:val="both"/>
              <w:rPr>
                <w:rFonts w:cs="Arial"/>
                <w:szCs w:val="22"/>
                <w:lang w:eastAsia="it-IT"/>
              </w:rPr>
            </w:pPr>
            <w:r w:rsidRPr="00E97953">
              <w:rPr>
                <w:rFonts w:cs="Arial"/>
                <w:szCs w:val="22"/>
                <w:lang w:eastAsia="it-IT"/>
              </w:rPr>
              <w:t>700 чол., мешканці села Лопатинці, підприємства, діти, люди літнього віку та ін.</w:t>
            </w:r>
          </w:p>
        </w:tc>
      </w:tr>
      <w:tr w:rsidR="00CB33C7" w:rsidRPr="00C2587D" w14:paraId="67C9D200" w14:textId="77777777" w:rsidTr="008E3BCA">
        <w:trPr>
          <w:jc w:val="right"/>
        </w:trPr>
        <w:tc>
          <w:tcPr>
            <w:tcW w:w="3424" w:type="dxa"/>
            <w:shd w:val="clear" w:color="auto" w:fill="FFFFFF"/>
            <w:vAlign w:val="center"/>
          </w:tcPr>
          <w:p w14:paraId="49A83F70" w14:textId="77777777" w:rsidR="00CB33C7" w:rsidRPr="00E97953" w:rsidRDefault="00CB33C7" w:rsidP="008E3BCA">
            <w:pPr>
              <w:rPr>
                <w:rFonts w:cs="Arial"/>
                <w:b/>
                <w:bCs/>
                <w:color w:val="000000"/>
                <w:szCs w:val="22"/>
              </w:rPr>
            </w:pPr>
            <w:r w:rsidRPr="00E97953">
              <w:rPr>
                <w:rFonts w:cs="Arial"/>
                <w:b/>
                <w:bCs/>
                <w:color w:val="000000"/>
                <w:szCs w:val="22"/>
              </w:rPr>
              <w:t>Стислий опис проєкту:</w:t>
            </w:r>
          </w:p>
        </w:tc>
        <w:tc>
          <w:tcPr>
            <w:tcW w:w="6795" w:type="dxa"/>
            <w:gridSpan w:val="8"/>
          </w:tcPr>
          <w:p w14:paraId="5696871A" w14:textId="61FAD35E" w:rsidR="00CB33C7" w:rsidRPr="00E97953" w:rsidRDefault="00CB33C7" w:rsidP="00667673">
            <w:pPr>
              <w:jc w:val="both"/>
              <w:rPr>
                <w:rFonts w:cs="Arial"/>
                <w:szCs w:val="22"/>
                <w:lang w:eastAsia="it-IT"/>
              </w:rPr>
            </w:pPr>
            <w:r w:rsidRPr="00E97953">
              <w:rPr>
                <w:rFonts w:cs="Arial"/>
                <w:szCs w:val="22"/>
                <w:lang w:eastAsia="it-IT"/>
              </w:rPr>
              <w:t>Водопровідна мережа в селі Лопатинці не достатньо забезпечує жителів громади питною водою,  та як нині діюча свердловина побудована в 1981 році і є мало продуктивною, дебет її складає 3,0 М</w:t>
            </w:r>
            <w:r w:rsidRPr="00E97953">
              <w:rPr>
                <w:rFonts w:cs="Arial"/>
                <w:szCs w:val="22"/>
                <w:vertAlign w:val="superscript"/>
                <w:lang w:eastAsia="it-IT"/>
              </w:rPr>
              <w:t xml:space="preserve">3 </w:t>
            </w:r>
            <w:r w:rsidRPr="00E97953">
              <w:rPr>
                <w:rFonts w:cs="Arial"/>
                <w:szCs w:val="22"/>
                <w:lang w:eastAsia="it-IT"/>
              </w:rPr>
              <w:t xml:space="preserve">на годину, більшість споживачів, особливо в літній період, не можуть отримати в повному обсязі необхідну кількість артезіанської </w:t>
            </w:r>
            <w:r w:rsidR="00F87D24">
              <w:rPr>
                <w:rFonts w:cs="Arial"/>
                <w:szCs w:val="22"/>
                <w:lang w:eastAsia="it-IT"/>
              </w:rPr>
              <w:t>води. При реалізації даного проє</w:t>
            </w:r>
            <w:r w:rsidRPr="00E97953">
              <w:rPr>
                <w:rFonts w:cs="Arial"/>
                <w:szCs w:val="22"/>
                <w:lang w:eastAsia="it-IT"/>
              </w:rPr>
              <w:t>кту 700 споживачів води будуть забезпечені якісною водою в повному обсязі для господарських та харчових потреб.</w:t>
            </w:r>
          </w:p>
        </w:tc>
      </w:tr>
      <w:tr w:rsidR="00CB33C7" w:rsidRPr="00C2587D" w14:paraId="7D067BE8" w14:textId="77777777" w:rsidTr="008E3BCA">
        <w:trPr>
          <w:jc w:val="right"/>
        </w:trPr>
        <w:tc>
          <w:tcPr>
            <w:tcW w:w="3424" w:type="dxa"/>
            <w:shd w:val="clear" w:color="auto" w:fill="FFFFFF"/>
            <w:vAlign w:val="center"/>
          </w:tcPr>
          <w:p w14:paraId="448A36DF" w14:textId="77777777" w:rsidR="00CB33C7" w:rsidRPr="00E97953" w:rsidRDefault="00CB33C7" w:rsidP="008E3BCA">
            <w:pPr>
              <w:rPr>
                <w:rFonts w:cs="Arial"/>
                <w:b/>
                <w:bCs/>
                <w:color w:val="000000"/>
                <w:szCs w:val="22"/>
              </w:rPr>
            </w:pPr>
            <w:r w:rsidRPr="00E97953">
              <w:rPr>
                <w:rFonts w:cs="Arial"/>
                <w:b/>
                <w:bCs/>
                <w:color w:val="000000"/>
                <w:szCs w:val="22"/>
              </w:rPr>
              <w:t>Основні заходи проєкту:</w:t>
            </w:r>
          </w:p>
        </w:tc>
        <w:tc>
          <w:tcPr>
            <w:tcW w:w="6795" w:type="dxa"/>
            <w:gridSpan w:val="8"/>
          </w:tcPr>
          <w:p w14:paraId="0567DFEF" w14:textId="77777777" w:rsidR="00CB33C7" w:rsidRPr="00E97953" w:rsidRDefault="00CB33C7" w:rsidP="00667673">
            <w:pPr>
              <w:jc w:val="both"/>
              <w:rPr>
                <w:rFonts w:cs="Arial"/>
                <w:szCs w:val="22"/>
                <w:lang w:eastAsia="it-IT"/>
              </w:rPr>
            </w:pPr>
            <w:r w:rsidRPr="00E97953">
              <w:rPr>
                <w:rFonts w:cs="Arial"/>
                <w:szCs w:val="22"/>
                <w:lang w:eastAsia="it-IT"/>
              </w:rPr>
              <w:t>Розробка ПКД. Проведення експертизи ПКД. Проведення процедури відкритих торгів з метою визначення виконавця робіт. Отримання дозволу на виконання  будівельних робіт. Виконання робіт по будівництву свердловини. Введення в експлуатацію  об’єкта після виконання робіт.</w:t>
            </w:r>
          </w:p>
        </w:tc>
      </w:tr>
      <w:tr w:rsidR="00CB33C7" w:rsidRPr="00C2587D" w14:paraId="0C2F291A" w14:textId="77777777" w:rsidTr="008E3BCA">
        <w:trPr>
          <w:jc w:val="right"/>
        </w:trPr>
        <w:tc>
          <w:tcPr>
            <w:tcW w:w="3424" w:type="dxa"/>
            <w:shd w:val="clear" w:color="auto" w:fill="FFFFFF"/>
            <w:vAlign w:val="center"/>
          </w:tcPr>
          <w:p w14:paraId="7CCC7A4C" w14:textId="77777777" w:rsidR="00CB33C7" w:rsidRPr="00E97953" w:rsidRDefault="00CB33C7" w:rsidP="008E3BCA">
            <w:pPr>
              <w:rPr>
                <w:rFonts w:cs="Arial"/>
                <w:b/>
                <w:bCs/>
                <w:color w:val="000000"/>
                <w:szCs w:val="22"/>
              </w:rPr>
            </w:pPr>
            <w:r w:rsidRPr="00E97953">
              <w:rPr>
                <w:rFonts w:cs="Arial"/>
                <w:b/>
                <w:bCs/>
                <w:color w:val="000000"/>
                <w:szCs w:val="22"/>
              </w:rPr>
              <w:t>Індикатори (показники) результативності:</w:t>
            </w:r>
          </w:p>
        </w:tc>
        <w:tc>
          <w:tcPr>
            <w:tcW w:w="6795" w:type="dxa"/>
            <w:gridSpan w:val="8"/>
          </w:tcPr>
          <w:p w14:paraId="4B7CC219" w14:textId="00DAE3A8" w:rsidR="00CB33C7" w:rsidRPr="00E97953" w:rsidRDefault="00CB33C7" w:rsidP="00667673">
            <w:pPr>
              <w:jc w:val="both"/>
              <w:rPr>
                <w:rFonts w:cs="Arial"/>
                <w:szCs w:val="22"/>
                <w:lang w:eastAsia="it-IT"/>
              </w:rPr>
            </w:pPr>
            <w:r w:rsidRPr="00E97953">
              <w:rPr>
                <w:rFonts w:cs="Arial"/>
                <w:szCs w:val="22"/>
                <w:lang w:eastAsia="it-IT"/>
              </w:rPr>
              <w:t>Будівництво свердловини з дебетом 8 м</w:t>
            </w:r>
            <w:r w:rsidRPr="00667673">
              <w:rPr>
                <w:rFonts w:cs="Arial"/>
                <w:szCs w:val="22"/>
                <w:vertAlign w:val="superscript"/>
                <w:lang w:eastAsia="it-IT"/>
              </w:rPr>
              <w:t>3</w:t>
            </w:r>
            <w:r w:rsidRPr="00E97953">
              <w:rPr>
                <w:rFonts w:cs="Arial"/>
                <w:szCs w:val="22"/>
                <w:lang w:eastAsia="it-IT"/>
              </w:rPr>
              <w:t xml:space="preserve"> води на годину дасть можливість продуктивно функціонувати водопровідній мер</w:t>
            </w:r>
            <w:r w:rsidR="00F87D24">
              <w:rPr>
                <w:rFonts w:cs="Arial"/>
                <w:szCs w:val="22"/>
                <w:lang w:eastAsia="it-IT"/>
              </w:rPr>
              <w:t>ежі. При впроваджені даного проє</w:t>
            </w:r>
            <w:r w:rsidRPr="00E97953">
              <w:rPr>
                <w:rFonts w:cs="Arial"/>
                <w:szCs w:val="22"/>
                <w:lang w:eastAsia="it-IT"/>
              </w:rPr>
              <w:t>кту 700 жителів села будуть забезпечені якісною водою та в достатній кількості.</w:t>
            </w:r>
          </w:p>
        </w:tc>
      </w:tr>
      <w:tr w:rsidR="00CB33C7" w:rsidRPr="00C2587D" w14:paraId="52A1B63A" w14:textId="77777777" w:rsidTr="008E3BCA">
        <w:trPr>
          <w:jc w:val="right"/>
        </w:trPr>
        <w:tc>
          <w:tcPr>
            <w:tcW w:w="3424" w:type="dxa"/>
            <w:shd w:val="clear" w:color="auto" w:fill="FFFFFF"/>
            <w:vAlign w:val="center"/>
          </w:tcPr>
          <w:p w14:paraId="08489321" w14:textId="77777777" w:rsidR="00CB33C7" w:rsidRPr="00E97953" w:rsidRDefault="00CB33C7" w:rsidP="008E3BCA">
            <w:pPr>
              <w:rPr>
                <w:rFonts w:cs="Arial"/>
                <w:b/>
                <w:color w:val="000000"/>
                <w:szCs w:val="22"/>
              </w:rPr>
            </w:pPr>
            <w:r w:rsidRPr="00E97953">
              <w:rPr>
                <w:rFonts w:cs="Arial"/>
                <w:b/>
                <w:color w:val="000000"/>
                <w:szCs w:val="22"/>
              </w:rPr>
              <w:t xml:space="preserve">Період здійснення: </w:t>
            </w:r>
          </w:p>
        </w:tc>
        <w:tc>
          <w:tcPr>
            <w:tcW w:w="6795" w:type="dxa"/>
            <w:gridSpan w:val="8"/>
            <w:vAlign w:val="center"/>
          </w:tcPr>
          <w:p w14:paraId="634113CE" w14:textId="77777777" w:rsidR="00CB33C7" w:rsidRPr="00E97953" w:rsidRDefault="00CB33C7" w:rsidP="008E3BCA">
            <w:pPr>
              <w:rPr>
                <w:rFonts w:cs="Arial"/>
                <w:color w:val="000000"/>
                <w:szCs w:val="22"/>
                <w:lang w:eastAsia="it-IT"/>
              </w:rPr>
            </w:pPr>
            <w:r w:rsidRPr="00E97953">
              <w:rPr>
                <w:rFonts w:cs="Arial"/>
                <w:b/>
                <w:color w:val="000000"/>
                <w:szCs w:val="22"/>
              </w:rPr>
              <w:t>2025 – 2028 роки:</w:t>
            </w:r>
          </w:p>
        </w:tc>
      </w:tr>
      <w:tr w:rsidR="00CB33C7" w:rsidRPr="00C2587D" w14:paraId="4E69DB52" w14:textId="77777777" w:rsidTr="008E3BCA">
        <w:trPr>
          <w:jc w:val="right"/>
        </w:trPr>
        <w:tc>
          <w:tcPr>
            <w:tcW w:w="3424" w:type="dxa"/>
            <w:vMerge w:val="restart"/>
            <w:shd w:val="clear" w:color="auto" w:fill="FFFFFF"/>
            <w:vAlign w:val="center"/>
          </w:tcPr>
          <w:p w14:paraId="20D8BA98" w14:textId="77777777" w:rsidR="00CB33C7" w:rsidRPr="00E97953" w:rsidRDefault="00CB33C7" w:rsidP="008E3BCA">
            <w:pPr>
              <w:rPr>
                <w:rFonts w:cs="Arial"/>
                <w:b/>
                <w:bCs/>
                <w:color w:val="000000"/>
                <w:szCs w:val="22"/>
              </w:rPr>
            </w:pPr>
            <w:r w:rsidRPr="00E97953">
              <w:rPr>
                <w:rFonts w:cs="Arial"/>
                <w:b/>
                <w:bCs/>
                <w:color w:val="000000"/>
                <w:szCs w:val="22"/>
              </w:rPr>
              <w:t>Орієнтовна вартість проєкту, тис. грн., в тому числі:</w:t>
            </w:r>
          </w:p>
        </w:tc>
        <w:tc>
          <w:tcPr>
            <w:tcW w:w="1254" w:type="dxa"/>
            <w:shd w:val="clear" w:color="auto" w:fill="E6E6E6"/>
            <w:vAlign w:val="center"/>
          </w:tcPr>
          <w:p w14:paraId="357B25CC" w14:textId="77777777" w:rsidR="00CB33C7" w:rsidRPr="00E97953" w:rsidRDefault="00CB33C7" w:rsidP="008E3BCA">
            <w:pPr>
              <w:jc w:val="center"/>
              <w:rPr>
                <w:rFonts w:cs="Arial"/>
                <w:b/>
                <w:color w:val="000000"/>
                <w:szCs w:val="22"/>
                <w:lang w:eastAsia="it-IT"/>
              </w:rPr>
            </w:pPr>
            <w:r w:rsidRPr="00E97953">
              <w:rPr>
                <w:rFonts w:cs="Arial"/>
                <w:b/>
                <w:color w:val="000000"/>
                <w:szCs w:val="22"/>
                <w:lang w:eastAsia="it-IT"/>
              </w:rPr>
              <w:t>2025</w:t>
            </w:r>
          </w:p>
        </w:tc>
        <w:tc>
          <w:tcPr>
            <w:tcW w:w="1279" w:type="dxa"/>
            <w:gridSpan w:val="2"/>
            <w:shd w:val="clear" w:color="auto" w:fill="E6E6E6"/>
            <w:vAlign w:val="center"/>
          </w:tcPr>
          <w:p w14:paraId="5065CF03" w14:textId="77777777" w:rsidR="00CB33C7" w:rsidRPr="00E97953" w:rsidRDefault="00CB33C7" w:rsidP="008E3BCA">
            <w:pPr>
              <w:jc w:val="center"/>
              <w:rPr>
                <w:rFonts w:cs="Arial"/>
                <w:b/>
                <w:color w:val="000000"/>
                <w:szCs w:val="22"/>
                <w:lang w:eastAsia="it-IT"/>
              </w:rPr>
            </w:pPr>
            <w:r w:rsidRPr="00E97953">
              <w:rPr>
                <w:rFonts w:cs="Arial"/>
                <w:b/>
                <w:color w:val="000000"/>
                <w:szCs w:val="22"/>
                <w:lang w:eastAsia="it-IT"/>
              </w:rPr>
              <w:t>2026</w:t>
            </w:r>
          </w:p>
        </w:tc>
        <w:tc>
          <w:tcPr>
            <w:tcW w:w="1417" w:type="dxa"/>
            <w:tcBorders>
              <w:bottom w:val="single" w:sz="4" w:space="0" w:color="auto"/>
            </w:tcBorders>
            <w:shd w:val="clear" w:color="auto" w:fill="E6E6E6"/>
            <w:vAlign w:val="center"/>
          </w:tcPr>
          <w:p w14:paraId="6CC38000" w14:textId="77777777" w:rsidR="00CB33C7" w:rsidRPr="00E97953" w:rsidRDefault="00CB33C7" w:rsidP="008E3BCA">
            <w:pPr>
              <w:jc w:val="center"/>
              <w:rPr>
                <w:rFonts w:cs="Arial"/>
                <w:b/>
                <w:color w:val="000000"/>
                <w:szCs w:val="22"/>
                <w:lang w:eastAsia="it-IT"/>
              </w:rPr>
            </w:pPr>
            <w:r w:rsidRPr="00E97953">
              <w:rPr>
                <w:rFonts w:cs="Arial"/>
                <w:b/>
                <w:color w:val="000000"/>
                <w:szCs w:val="22"/>
                <w:lang w:eastAsia="it-IT"/>
              </w:rPr>
              <w:t>2027</w:t>
            </w:r>
          </w:p>
        </w:tc>
        <w:tc>
          <w:tcPr>
            <w:tcW w:w="1275" w:type="dxa"/>
            <w:gridSpan w:val="3"/>
            <w:shd w:val="clear" w:color="auto" w:fill="E6E6E6"/>
            <w:vAlign w:val="center"/>
          </w:tcPr>
          <w:p w14:paraId="23127F01" w14:textId="77777777" w:rsidR="00CB33C7" w:rsidRPr="00E97953" w:rsidRDefault="00CB33C7" w:rsidP="008E3BCA">
            <w:pPr>
              <w:jc w:val="center"/>
              <w:rPr>
                <w:rFonts w:cs="Arial"/>
                <w:b/>
                <w:color w:val="000000"/>
                <w:szCs w:val="22"/>
                <w:lang w:eastAsia="it-IT"/>
              </w:rPr>
            </w:pPr>
            <w:r w:rsidRPr="00E97953">
              <w:rPr>
                <w:rFonts w:cs="Arial"/>
                <w:b/>
                <w:color w:val="000000"/>
                <w:szCs w:val="22"/>
                <w:lang w:eastAsia="it-IT"/>
              </w:rPr>
              <w:t>2028</w:t>
            </w:r>
          </w:p>
        </w:tc>
        <w:tc>
          <w:tcPr>
            <w:tcW w:w="1570" w:type="dxa"/>
            <w:shd w:val="clear" w:color="auto" w:fill="E6E6E6"/>
            <w:vAlign w:val="center"/>
          </w:tcPr>
          <w:p w14:paraId="179F1EB6" w14:textId="77777777" w:rsidR="00CB33C7" w:rsidRPr="00E97953" w:rsidRDefault="00CB33C7" w:rsidP="008E3BCA">
            <w:pPr>
              <w:jc w:val="center"/>
              <w:rPr>
                <w:rFonts w:cs="Arial"/>
                <w:b/>
                <w:color w:val="000000"/>
                <w:szCs w:val="22"/>
                <w:lang w:eastAsia="it-IT"/>
              </w:rPr>
            </w:pPr>
            <w:r w:rsidRPr="00E97953">
              <w:rPr>
                <w:rFonts w:cs="Arial"/>
                <w:b/>
                <w:color w:val="000000"/>
                <w:szCs w:val="22"/>
                <w:lang w:eastAsia="it-IT"/>
              </w:rPr>
              <w:t>РАЗОМ</w:t>
            </w:r>
          </w:p>
        </w:tc>
      </w:tr>
      <w:tr w:rsidR="00CB33C7" w:rsidRPr="00C2587D" w14:paraId="6221EC42" w14:textId="77777777" w:rsidTr="008E3BCA">
        <w:trPr>
          <w:jc w:val="right"/>
        </w:trPr>
        <w:tc>
          <w:tcPr>
            <w:tcW w:w="3424" w:type="dxa"/>
            <w:vMerge/>
            <w:shd w:val="clear" w:color="auto" w:fill="FFFFFF"/>
            <w:vAlign w:val="center"/>
          </w:tcPr>
          <w:p w14:paraId="4E0FC343" w14:textId="77777777" w:rsidR="00CB33C7" w:rsidRPr="00E97953" w:rsidRDefault="00CB33C7" w:rsidP="008E3BCA">
            <w:pPr>
              <w:rPr>
                <w:rFonts w:cs="Arial"/>
                <w:b/>
                <w:bCs/>
                <w:color w:val="000000"/>
                <w:szCs w:val="22"/>
              </w:rPr>
            </w:pPr>
          </w:p>
        </w:tc>
        <w:tc>
          <w:tcPr>
            <w:tcW w:w="1254" w:type="dxa"/>
            <w:vAlign w:val="center"/>
          </w:tcPr>
          <w:p w14:paraId="4DC2BF73" w14:textId="77777777" w:rsidR="00CB33C7" w:rsidRPr="00E97953" w:rsidRDefault="00CB33C7" w:rsidP="008E3BCA">
            <w:pPr>
              <w:jc w:val="center"/>
              <w:rPr>
                <w:rFonts w:cs="Arial"/>
                <w:b/>
                <w:color w:val="000000"/>
                <w:szCs w:val="22"/>
                <w:lang w:eastAsia="it-IT"/>
              </w:rPr>
            </w:pPr>
            <w:r w:rsidRPr="00E97953">
              <w:rPr>
                <w:rFonts w:cs="Arial"/>
                <w:b/>
                <w:color w:val="000000"/>
                <w:szCs w:val="22"/>
                <w:lang w:eastAsia="it-IT"/>
              </w:rPr>
              <w:t>300,00</w:t>
            </w:r>
          </w:p>
        </w:tc>
        <w:tc>
          <w:tcPr>
            <w:tcW w:w="1279" w:type="dxa"/>
            <w:gridSpan w:val="2"/>
            <w:shd w:val="clear" w:color="auto" w:fill="FFFFFF"/>
            <w:vAlign w:val="center"/>
          </w:tcPr>
          <w:p w14:paraId="43377E03" w14:textId="77777777" w:rsidR="00CB33C7" w:rsidRPr="00E97953" w:rsidRDefault="00CB33C7" w:rsidP="008E3BCA">
            <w:pPr>
              <w:jc w:val="center"/>
              <w:rPr>
                <w:rFonts w:cs="Arial"/>
                <w:b/>
                <w:color w:val="000000"/>
                <w:szCs w:val="22"/>
                <w:lang w:eastAsia="it-IT"/>
              </w:rPr>
            </w:pPr>
            <w:r w:rsidRPr="00E97953">
              <w:rPr>
                <w:rFonts w:cs="Arial"/>
                <w:b/>
                <w:color w:val="000000"/>
                <w:szCs w:val="22"/>
                <w:lang w:eastAsia="it-IT"/>
              </w:rPr>
              <w:t xml:space="preserve">1200,00 </w:t>
            </w:r>
          </w:p>
        </w:tc>
        <w:tc>
          <w:tcPr>
            <w:tcW w:w="1417" w:type="dxa"/>
            <w:shd w:val="clear" w:color="auto" w:fill="auto"/>
            <w:vAlign w:val="center"/>
          </w:tcPr>
          <w:p w14:paraId="42EA0DC2" w14:textId="77777777" w:rsidR="00CB33C7" w:rsidRPr="00E97953" w:rsidRDefault="00CB33C7" w:rsidP="008E3BCA">
            <w:pPr>
              <w:jc w:val="center"/>
              <w:rPr>
                <w:rFonts w:cs="Arial"/>
                <w:b/>
                <w:color w:val="000000"/>
                <w:szCs w:val="22"/>
                <w:lang w:eastAsia="it-IT"/>
              </w:rPr>
            </w:pPr>
            <w:r w:rsidRPr="00E97953">
              <w:rPr>
                <w:rFonts w:cs="Arial"/>
                <w:b/>
                <w:color w:val="000000"/>
                <w:szCs w:val="22"/>
                <w:lang w:eastAsia="it-IT"/>
              </w:rPr>
              <w:t>0,00</w:t>
            </w:r>
          </w:p>
        </w:tc>
        <w:tc>
          <w:tcPr>
            <w:tcW w:w="1275" w:type="dxa"/>
            <w:gridSpan w:val="3"/>
            <w:shd w:val="clear" w:color="auto" w:fill="FFFFFF"/>
            <w:vAlign w:val="center"/>
          </w:tcPr>
          <w:p w14:paraId="281EAF0F" w14:textId="77777777" w:rsidR="00CB33C7" w:rsidRPr="00E97953" w:rsidRDefault="00CB33C7" w:rsidP="008E3BCA">
            <w:pPr>
              <w:jc w:val="center"/>
              <w:rPr>
                <w:rFonts w:cs="Arial"/>
                <w:b/>
                <w:color w:val="000000"/>
                <w:szCs w:val="22"/>
                <w:lang w:eastAsia="it-IT"/>
              </w:rPr>
            </w:pPr>
            <w:r w:rsidRPr="00E97953">
              <w:rPr>
                <w:rFonts w:cs="Arial"/>
                <w:b/>
                <w:color w:val="000000"/>
                <w:szCs w:val="22"/>
                <w:lang w:eastAsia="it-IT"/>
              </w:rPr>
              <w:t>0,00</w:t>
            </w:r>
          </w:p>
        </w:tc>
        <w:tc>
          <w:tcPr>
            <w:tcW w:w="1570" w:type="dxa"/>
            <w:shd w:val="clear" w:color="auto" w:fill="FFFFFF"/>
            <w:vAlign w:val="center"/>
          </w:tcPr>
          <w:p w14:paraId="3C2E9549" w14:textId="77777777" w:rsidR="00CB33C7" w:rsidRPr="00E97953" w:rsidRDefault="00CB33C7" w:rsidP="008E3BCA">
            <w:pPr>
              <w:jc w:val="center"/>
              <w:rPr>
                <w:rFonts w:cs="Arial"/>
                <w:b/>
                <w:color w:val="000000"/>
                <w:szCs w:val="22"/>
                <w:lang w:eastAsia="it-IT"/>
              </w:rPr>
            </w:pPr>
            <w:r w:rsidRPr="00E97953">
              <w:rPr>
                <w:rFonts w:cs="Arial"/>
                <w:b/>
                <w:color w:val="000000"/>
                <w:szCs w:val="22"/>
                <w:lang w:eastAsia="it-IT"/>
              </w:rPr>
              <w:t>1500,00</w:t>
            </w:r>
          </w:p>
        </w:tc>
      </w:tr>
      <w:tr w:rsidR="00CB33C7" w:rsidRPr="00C2587D" w14:paraId="351E76D5" w14:textId="77777777" w:rsidTr="008E3BCA">
        <w:trPr>
          <w:trHeight w:val="276"/>
          <w:jc w:val="right"/>
        </w:trPr>
        <w:tc>
          <w:tcPr>
            <w:tcW w:w="3424" w:type="dxa"/>
            <w:shd w:val="clear" w:color="auto" w:fill="FFFFFF"/>
            <w:vAlign w:val="center"/>
          </w:tcPr>
          <w:p w14:paraId="4A71788B" w14:textId="77777777" w:rsidR="00CB33C7" w:rsidRPr="00E97953" w:rsidRDefault="00CB33C7" w:rsidP="008E3BCA">
            <w:pPr>
              <w:rPr>
                <w:rFonts w:cs="Arial"/>
                <w:b/>
                <w:bCs/>
                <w:color w:val="000000"/>
                <w:szCs w:val="22"/>
              </w:rPr>
            </w:pPr>
            <w:r w:rsidRPr="00E97953">
              <w:rPr>
                <w:rFonts w:cs="Arial"/>
                <w:b/>
                <w:bCs/>
                <w:color w:val="000000"/>
                <w:szCs w:val="22"/>
              </w:rPr>
              <w:t>по джерелах фінансування:</w:t>
            </w:r>
          </w:p>
        </w:tc>
        <w:tc>
          <w:tcPr>
            <w:tcW w:w="6795" w:type="dxa"/>
            <w:gridSpan w:val="8"/>
            <w:vAlign w:val="center"/>
          </w:tcPr>
          <w:p w14:paraId="7E2A3ACB" w14:textId="77777777" w:rsidR="00CB33C7" w:rsidRPr="00E97953" w:rsidRDefault="00CB33C7" w:rsidP="008E3BCA">
            <w:pPr>
              <w:jc w:val="both"/>
              <w:rPr>
                <w:rFonts w:cs="Arial"/>
                <w:color w:val="000000"/>
                <w:szCs w:val="22"/>
                <w:lang w:eastAsia="it-IT"/>
              </w:rPr>
            </w:pPr>
          </w:p>
        </w:tc>
      </w:tr>
      <w:tr w:rsidR="008E3BCA" w:rsidRPr="00C2587D" w14:paraId="2C22C63C" w14:textId="34A54FC4" w:rsidTr="008E3BCA">
        <w:trPr>
          <w:trHeight w:val="240"/>
          <w:jc w:val="right"/>
        </w:trPr>
        <w:tc>
          <w:tcPr>
            <w:tcW w:w="3424" w:type="dxa"/>
            <w:shd w:val="clear" w:color="auto" w:fill="FFFFFF"/>
            <w:vAlign w:val="center"/>
          </w:tcPr>
          <w:p w14:paraId="6CC1913C" w14:textId="77777777" w:rsidR="008E3BCA" w:rsidRPr="00E97953" w:rsidRDefault="008E3BCA" w:rsidP="008E3BCA">
            <w:pPr>
              <w:rPr>
                <w:rFonts w:cs="Arial"/>
                <w:b/>
                <w:bCs/>
                <w:color w:val="000000"/>
                <w:szCs w:val="22"/>
              </w:rPr>
            </w:pPr>
            <w:r w:rsidRPr="00E97953">
              <w:rPr>
                <w:rFonts w:cs="Arial"/>
                <w:color w:val="000000"/>
                <w:szCs w:val="22"/>
              </w:rPr>
              <w:t>- державний бюджет</w:t>
            </w:r>
          </w:p>
        </w:tc>
        <w:tc>
          <w:tcPr>
            <w:tcW w:w="1267" w:type="dxa"/>
            <w:gridSpan w:val="2"/>
            <w:vAlign w:val="center"/>
          </w:tcPr>
          <w:p w14:paraId="58ED8C0D" w14:textId="06D5454D" w:rsidR="008E3BCA" w:rsidRPr="00E97953" w:rsidRDefault="008E3BCA" w:rsidP="00667673">
            <w:pPr>
              <w:jc w:val="center"/>
              <w:rPr>
                <w:rFonts w:cs="Arial"/>
                <w:color w:val="000000"/>
                <w:szCs w:val="22"/>
                <w:lang w:eastAsia="it-IT"/>
              </w:rPr>
            </w:pPr>
          </w:p>
        </w:tc>
        <w:tc>
          <w:tcPr>
            <w:tcW w:w="1266" w:type="dxa"/>
            <w:vAlign w:val="center"/>
          </w:tcPr>
          <w:p w14:paraId="19E51332" w14:textId="77777777" w:rsidR="008E3BCA" w:rsidRPr="00E97953" w:rsidRDefault="008E3BCA" w:rsidP="00667673">
            <w:pPr>
              <w:jc w:val="center"/>
              <w:rPr>
                <w:rFonts w:cs="Arial"/>
                <w:color w:val="000000"/>
                <w:szCs w:val="22"/>
                <w:lang w:eastAsia="it-IT"/>
              </w:rPr>
            </w:pPr>
          </w:p>
        </w:tc>
        <w:tc>
          <w:tcPr>
            <w:tcW w:w="1463" w:type="dxa"/>
            <w:gridSpan w:val="2"/>
            <w:vAlign w:val="center"/>
          </w:tcPr>
          <w:p w14:paraId="68875AA2" w14:textId="77777777" w:rsidR="008E3BCA" w:rsidRPr="00E97953" w:rsidRDefault="008E3BCA" w:rsidP="00667673">
            <w:pPr>
              <w:jc w:val="center"/>
              <w:rPr>
                <w:rFonts w:cs="Arial"/>
                <w:color w:val="000000"/>
                <w:szCs w:val="22"/>
                <w:lang w:eastAsia="it-IT"/>
              </w:rPr>
            </w:pPr>
          </w:p>
        </w:tc>
        <w:tc>
          <w:tcPr>
            <w:tcW w:w="1198" w:type="dxa"/>
            <w:vAlign w:val="center"/>
          </w:tcPr>
          <w:p w14:paraId="004E4206" w14:textId="77777777" w:rsidR="008E3BCA" w:rsidRPr="00E97953" w:rsidRDefault="008E3BCA" w:rsidP="00667673">
            <w:pPr>
              <w:jc w:val="center"/>
              <w:rPr>
                <w:rFonts w:cs="Arial"/>
                <w:color w:val="000000"/>
                <w:szCs w:val="22"/>
                <w:lang w:eastAsia="it-IT"/>
              </w:rPr>
            </w:pPr>
          </w:p>
        </w:tc>
        <w:tc>
          <w:tcPr>
            <w:tcW w:w="1601" w:type="dxa"/>
            <w:gridSpan w:val="2"/>
            <w:vAlign w:val="center"/>
          </w:tcPr>
          <w:p w14:paraId="44F1E526" w14:textId="77777777" w:rsidR="008E3BCA" w:rsidRPr="00E97953" w:rsidRDefault="008E3BCA" w:rsidP="00667673">
            <w:pPr>
              <w:jc w:val="center"/>
              <w:rPr>
                <w:rFonts w:cs="Arial"/>
                <w:color w:val="000000"/>
                <w:szCs w:val="22"/>
                <w:lang w:eastAsia="it-IT"/>
              </w:rPr>
            </w:pPr>
          </w:p>
        </w:tc>
      </w:tr>
      <w:tr w:rsidR="008E3BCA" w:rsidRPr="00C2587D" w14:paraId="0F4716B6" w14:textId="78838A1F" w:rsidTr="008E3BCA">
        <w:trPr>
          <w:trHeight w:val="254"/>
          <w:jc w:val="right"/>
        </w:trPr>
        <w:tc>
          <w:tcPr>
            <w:tcW w:w="3424" w:type="dxa"/>
            <w:shd w:val="clear" w:color="auto" w:fill="FFFFFF"/>
            <w:vAlign w:val="center"/>
          </w:tcPr>
          <w:p w14:paraId="4D1BBAC5" w14:textId="77777777" w:rsidR="008E3BCA" w:rsidRPr="00E97953" w:rsidRDefault="008E3BCA" w:rsidP="008E3BCA">
            <w:pPr>
              <w:rPr>
                <w:rFonts w:cs="Arial"/>
                <w:color w:val="000000"/>
                <w:szCs w:val="22"/>
              </w:rPr>
            </w:pPr>
            <w:r w:rsidRPr="00E97953">
              <w:rPr>
                <w:rFonts w:cs="Arial"/>
                <w:color w:val="000000"/>
                <w:szCs w:val="22"/>
              </w:rPr>
              <w:t>- обласний бюджет</w:t>
            </w:r>
          </w:p>
        </w:tc>
        <w:tc>
          <w:tcPr>
            <w:tcW w:w="1267" w:type="dxa"/>
            <w:gridSpan w:val="2"/>
            <w:vAlign w:val="center"/>
          </w:tcPr>
          <w:p w14:paraId="3BD902A4" w14:textId="3147B1CE" w:rsidR="008E3BCA" w:rsidRPr="00E97953" w:rsidRDefault="008E3BCA" w:rsidP="00667673">
            <w:pPr>
              <w:jc w:val="center"/>
              <w:rPr>
                <w:rFonts w:cs="Arial"/>
                <w:color w:val="000000"/>
                <w:szCs w:val="22"/>
                <w:lang w:eastAsia="it-IT"/>
              </w:rPr>
            </w:pPr>
          </w:p>
        </w:tc>
        <w:tc>
          <w:tcPr>
            <w:tcW w:w="1266" w:type="dxa"/>
            <w:vAlign w:val="center"/>
          </w:tcPr>
          <w:p w14:paraId="39840057" w14:textId="128A6575" w:rsidR="008E3BCA" w:rsidRPr="00E97953" w:rsidRDefault="008E3BCA" w:rsidP="00667673">
            <w:pPr>
              <w:jc w:val="center"/>
              <w:rPr>
                <w:rFonts w:cs="Arial"/>
                <w:color w:val="000000"/>
                <w:szCs w:val="22"/>
                <w:lang w:eastAsia="it-IT"/>
              </w:rPr>
            </w:pPr>
          </w:p>
        </w:tc>
        <w:tc>
          <w:tcPr>
            <w:tcW w:w="1463" w:type="dxa"/>
            <w:gridSpan w:val="2"/>
            <w:vAlign w:val="center"/>
          </w:tcPr>
          <w:p w14:paraId="1E79E387" w14:textId="77777777" w:rsidR="008E3BCA" w:rsidRPr="00E97953" w:rsidRDefault="008E3BCA" w:rsidP="00667673">
            <w:pPr>
              <w:jc w:val="center"/>
              <w:rPr>
                <w:rFonts w:cs="Arial"/>
                <w:color w:val="000000"/>
                <w:szCs w:val="22"/>
                <w:lang w:eastAsia="it-IT"/>
              </w:rPr>
            </w:pPr>
          </w:p>
        </w:tc>
        <w:tc>
          <w:tcPr>
            <w:tcW w:w="1198" w:type="dxa"/>
            <w:vAlign w:val="center"/>
          </w:tcPr>
          <w:p w14:paraId="5A6FE0AE" w14:textId="77777777" w:rsidR="008E3BCA" w:rsidRPr="00E97953" w:rsidRDefault="008E3BCA" w:rsidP="00667673">
            <w:pPr>
              <w:jc w:val="center"/>
              <w:rPr>
                <w:rFonts w:cs="Arial"/>
                <w:color w:val="000000"/>
                <w:szCs w:val="22"/>
                <w:lang w:eastAsia="it-IT"/>
              </w:rPr>
            </w:pPr>
          </w:p>
        </w:tc>
        <w:tc>
          <w:tcPr>
            <w:tcW w:w="1601" w:type="dxa"/>
            <w:gridSpan w:val="2"/>
            <w:vAlign w:val="center"/>
          </w:tcPr>
          <w:p w14:paraId="6956BDB9" w14:textId="523B4933" w:rsidR="008E3BCA" w:rsidRPr="00E97953" w:rsidRDefault="008E3BCA" w:rsidP="00667673">
            <w:pPr>
              <w:jc w:val="center"/>
              <w:rPr>
                <w:rFonts w:cs="Arial"/>
                <w:color w:val="000000"/>
                <w:szCs w:val="22"/>
                <w:lang w:eastAsia="it-IT"/>
              </w:rPr>
            </w:pPr>
          </w:p>
        </w:tc>
      </w:tr>
      <w:tr w:rsidR="008E3BCA" w:rsidRPr="00C2587D" w14:paraId="4DCAD675" w14:textId="77777777" w:rsidTr="008E3BCA">
        <w:trPr>
          <w:trHeight w:val="254"/>
          <w:jc w:val="right"/>
        </w:trPr>
        <w:tc>
          <w:tcPr>
            <w:tcW w:w="3424" w:type="dxa"/>
            <w:shd w:val="clear" w:color="auto" w:fill="FFFFFF"/>
            <w:vAlign w:val="center"/>
          </w:tcPr>
          <w:p w14:paraId="6099557E" w14:textId="627D43A8" w:rsidR="008E3BCA" w:rsidRPr="00E97953" w:rsidRDefault="008E3BCA" w:rsidP="008E3BCA">
            <w:pPr>
              <w:rPr>
                <w:rFonts w:cs="Arial"/>
                <w:color w:val="000000"/>
                <w:szCs w:val="22"/>
              </w:rPr>
            </w:pPr>
            <w:r w:rsidRPr="00E97953">
              <w:rPr>
                <w:rFonts w:cs="Arial"/>
                <w:color w:val="000000"/>
                <w:szCs w:val="22"/>
              </w:rPr>
              <w:t>- бюджет Жмеринської МТГ</w:t>
            </w:r>
          </w:p>
        </w:tc>
        <w:tc>
          <w:tcPr>
            <w:tcW w:w="1267" w:type="dxa"/>
            <w:gridSpan w:val="2"/>
          </w:tcPr>
          <w:p w14:paraId="7571B3EA" w14:textId="267D072D" w:rsidR="008E3BCA" w:rsidRPr="00E97953" w:rsidRDefault="008E3BCA" w:rsidP="00667673">
            <w:pPr>
              <w:jc w:val="center"/>
              <w:rPr>
                <w:rFonts w:cs="Arial"/>
                <w:color w:val="000000"/>
                <w:szCs w:val="22"/>
                <w:lang w:eastAsia="it-IT"/>
              </w:rPr>
            </w:pPr>
            <w:r w:rsidRPr="00E97953">
              <w:rPr>
                <w:rFonts w:cs="Arial"/>
                <w:color w:val="000000"/>
                <w:szCs w:val="22"/>
                <w:lang w:eastAsia="it-IT"/>
              </w:rPr>
              <w:t>300,00</w:t>
            </w:r>
          </w:p>
        </w:tc>
        <w:tc>
          <w:tcPr>
            <w:tcW w:w="1266" w:type="dxa"/>
          </w:tcPr>
          <w:p w14:paraId="260FFC7D" w14:textId="6262ECC1" w:rsidR="008E3BCA" w:rsidRPr="00E97953" w:rsidRDefault="008E3BCA" w:rsidP="00667673">
            <w:pPr>
              <w:jc w:val="center"/>
              <w:rPr>
                <w:rFonts w:cs="Arial"/>
                <w:color w:val="000000"/>
                <w:szCs w:val="22"/>
                <w:lang w:eastAsia="it-IT"/>
              </w:rPr>
            </w:pPr>
            <w:r w:rsidRPr="00E97953">
              <w:rPr>
                <w:rFonts w:cs="Arial"/>
                <w:color w:val="000000"/>
                <w:szCs w:val="22"/>
                <w:lang w:eastAsia="it-IT"/>
              </w:rPr>
              <w:t>1200,00</w:t>
            </w:r>
          </w:p>
        </w:tc>
        <w:tc>
          <w:tcPr>
            <w:tcW w:w="1463" w:type="dxa"/>
            <w:gridSpan w:val="2"/>
          </w:tcPr>
          <w:p w14:paraId="4E561137" w14:textId="77777777" w:rsidR="008E3BCA" w:rsidRPr="00E97953" w:rsidRDefault="008E3BCA" w:rsidP="00667673">
            <w:pPr>
              <w:jc w:val="center"/>
              <w:rPr>
                <w:rFonts w:cs="Arial"/>
                <w:color w:val="000000"/>
                <w:szCs w:val="22"/>
                <w:lang w:eastAsia="it-IT"/>
              </w:rPr>
            </w:pPr>
          </w:p>
        </w:tc>
        <w:tc>
          <w:tcPr>
            <w:tcW w:w="1198" w:type="dxa"/>
          </w:tcPr>
          <w:p w14:paraId="56DF4199" w14:textId="77777777" w:rsidR="008E3BCA" w:rsidRPr="00E97953" w:rsidRDefault="008E3BCA" w:rsidP="00667673">
            <w:pPr>
              <w:jc w:val="center"/>
              <w:rPr>
                <w:rFonts w:cs="Arial"/>
                <w:color w:val="000000"/>
                <w:szCs w:val="22"/>
                <w:lang w:eastAsia="it-IT"/>
              </w:rPr>
            </w:pPr>
          </w:p>
        </w:tc>
        <w:tc>
          <w:tcPr>
            <w:tcW w:w="1601" w:type="dxa"/>
            <w:gridSpan w:val="2"/>
          </w:tcPr>
          <w:p w14:paraId="4DE46385" w14:textId="4773F967" w:rsidR="008E3BCA" w:rsidRPr="00E97953" w:rsidRDefault="008E3BCA" w:rsidP="00667673">
            <w:pPr>
              <w:jc w:val="center"/>
              <w:rPr>
                <w:rFonts w:cs="Arial"/>
                <w:b/>
                <w:color w:val="000000"/>
                <w:szCs w:val="22"/>
                <w:lang w:eastAsia="it-IT"/>
              </w:rPr>
            </w:pPr>
            <w:r w:rsidRPr="00E97953">
              <w:rPr>
                <w:rFonts w:cs="Arial"/>
                <w:b/>
                <w:color w:val="000000"/>
                <w:szCs w:val="22"/>
                <w:lang w:eastAsia="it-IT"/>
              </w:rPr>
              <w:t>1500,00</w:t>
            </w:r>
          </w:p>
        </w:tc>
      </w:tr>
      <w:tr w:rsidR="008E3BCA" w:rsidRPr="00C2587D" w14:paraId="01506F41" w14:textId="7FA2C593" w:rsidTr="008E3BCA">
        <w:trPr>
          <w:trHeight w:val="226"/>
          <w:jc w:val="right"/>
        </w:trPr>
        <w:tc>
          <w:tcPr>
            <w:tcW w:w="3424" w:type="dxa"/>
            <w:shd w:val="clear" w:color="auto" w:fill="FFFFFF"/>
            <w:vAlign w:val="center"/>
          </w:tcPr>
          <w:p w14:paraId="1F0BEEC5" w14:textId="77777777" w:rsidR="008E3BCA" w:rsidRPr="00E97953" w:rsidRDefault="008E3BCA" w:rsidP="008E3BCA">
            <w:pPr>
              <w:rPr>
                <w:rFonts w:cs="Arial"/>
                <w:color w:val="000000"/>
                <w:szCs w:val="22"/>
              </w:rPr>
            </w:pPr>
            <w:r w:rsidRPr="00E97953">
              <w:rPr>
                <w:rFonts w:cs="Arial"/>
                <w:color w:val="000000"/>
                <w:szCs w:val="22"/>
              </w:rPr>
              <w:t>- інші джерела фінансування</w:t>
            </w:r>
          </w:p>
        </w:tc>
        <w:tc>
          <w:tcPr>
            <w:tcW w:w="1267" w:type="dxa"/>
            <w:gridSpan w:val="2"/>
            <w:vAlign w:val="center"/>
          </w:tcPr>
          <w:p w14:paraId="27D3BEEE" w14:textId="0792736C" w:rsidR="008E3BCA" w:rsidRPr="00E97953" w:rsidRDefault="008E3BCA" w:rsidP="00667673">
            <w:pPr>
              <w:jc w:val="center"/>
              <w:rPr>
                <w:rFonts w:cs="Arial"/>
                <w:color w:val="000000"/>
                <w:szCs w:val="22"/>
                <w:lang w:eastAsia="it-IT"/>
              </w:rPr>
            </w:pPr>
          </w:p>
        </w:tc>
        <w:tc>
          <w:tcPr>
            <w:tcW w:w="1266" w:type="dxa"/>
            <w:vAlign w:val="center"/>
          </w:tcPr>
          <w:p w14:paraId="18BB64A1" w14:textId="77777777" w:rsidR="008E3BCA" w:rsidRPr="00E97953" w:rsidRDefault="008E3BCA" w:rsidP="00667673">
            <w:pPr>
              <w:jc w:val="center"/>
              <w:rPr>
                <w:rFonts w:cs="Arial"/>
                <w:color w:val="000000"/>
                <w:szCs w:val="22"/>
                <w:lang w:eastAsia="it-IT"/>
              </w:rPr>
            </w:pPr>
          </w:p>
        </w:tc>
        <w:tc>
          <w:tcPr>
            <w:tcW w:w="1463" w:type="dxa"/>
            <w:gridSpan w:val="2"/>
            <w:vAlign w:val="center"/>
          </w:tcPr>
          <w:p w14:paraId="5EA7F9C7" w14:textId="77777777" w:rsidR="008E3BCA" w:rsidRPr="00E97953" w:rsidRDefault="008E3BCA" w:rsidP="00667673">
            <w:pPr>
              <w:jc w:val="center"/>
              <w:rPr>
                <w:rFonts w:cs="Arial"/>
                <w:color w:val="000000"/>
                <w:szCs w:val="22"/>
                <w:lang w:eastAsia="it-IT"/>
              </w:rPr>
            </w:pPr>
          </w:p>
        </w:tc>
        <w:tc>
          <w:tcPr>
            <w:tcW w:w="1198" w:type="dxa"/>
            <w:vAlign w:val="center"/>
          </w:tcPr>
          <w:p w14:paraId="542195A8" w14:textId="77777777" w:rsidR="008E3BCA" w:rsidRPr="00E97953" w:rsidRDefault="008E3BCA" w:rsidP="00667673">
            <w:pPr>
              <w:jc w:val="center"/>
              <w:rPr>
                <w:rFonts w:cs="Arial"/>
                <w:color w:val="000000"/>
                <w:szCs w:val="22"/>
                <w:lang w:eastAsia="it-IT"/>
              </w:rPr>
            </w:pPr>
          </w:p>
        </w:tc>
        <w:tc>
          <w:tcPr>
            <w:tcW w:w="1601" w:type="dxa"/>
            <w:gridSpan w:val="2"/>
            <w:vAlign w:val="center"/>
          </w:tcPr>
          <w:p w14:paraId="228299F5" w14:textId="77777777" w:rsidR="008E3BCA" w:rsidRPr="00E97953" w:rsidRDefault="008E3BCA" w:rsidP="00667673">
            <w:pPr>
              <w:jc w:val="center"/>
              <w:rPr>
                <w:rFonts w:cs="Arial"/>
                <w:color w:val="000000"/>
                <w:szCs w:val="22"/>
                <w:lang w:eastAsia="it-IT"/>
              </w:rPr>
            </w:pPr>
          </w:p>
        </w:tc>
      </w:tr>
      <w:tr w:rsidR="00CB33C7" w:rsidRPr="00C2587D" w14:paraId="47F25FAC" w14:textId="77777777" w:rsidTr="008E3BCA">
        <w:trPr>
          <w:jc w:val="right"/>
        </w:trPr>
        <w:tc>
          <w:tcPr>
            <w:tcW w:w="3424" w:type="dxa"/>
            <w:shd w:val="clear" w:color="auto" w:fill="FFFFFF"/>
            <w:vAlign w:val="center"/>
          </w:tcPr>
          <w:p w14:paraId="05C8CC56" w14:textId="77777777" w:rsidR="00CB33C7" w:rsidRPr="00E97953" w:rsidRDefault="00CB33C7" w:rsidP="008E3BCA">
            <w:pPr>
              <w:rPr>
                <w:rFonts w:cs="Arial"/>
                <w:b/>
                <w:bCs/>
                <w:color w:val="000000"/>
                <w:szCs w:val="22"/>
              </w:rPr>
            </w:pPr>
            <w:r w:rsidRPr="00E97953">
              <w:rPr>
                <w:rFonts w:cs="Arial"/>
                <w:b/>
                <w:color w:val="000000"/>
                <w:szCs w:val="22"/>
              </w:rPr>
              <w:t>Відповідальний виконавець проєкту:</w:t>
            </w:r>
          </w:p>
        </w:tc>
        <w:tc>
          <w:tcPr>
            <w:tcW w:w="6795" w:type="dxa"/>
            <w:gridSpan w:val="8"/>
            <w:vAlign w:val="center"/>
          </w:tcPr>
          <w:p w14:paraId="0353A9CF" w14:textId="77777777" w:rsidR="00CB33C7" w:rsidRPr="00E97953" w:rsidRDefault="00CB33C7" w:rsidP="008E3BCA">
            <w:pPr>
              <w:jc w:val="both"/>
              <w:rPr>
                <w:rFonts w:cs="Arial"/>
                <w:color w:val="000000"/>
                <w:szCs w:val="22"/>
                <w:lang w:eastAsia="it-IT"/>
              </w:rPr>
            </w:pPr>
            <w:r w:rsidRPr="00E97953">
              <w:rPr>
                <w:rFonts w:cs="Arial"/>
                <w:color w:val="000000"/>
                <w:szCs w:val="22"/>
                <w:lang w:eastAsia="it-IT"/>
              </w:rPr>
              <w:t>Управління ЖКГ</w:t>
            </w:r>
          </w:p>
          <w:p w14:paraId="6BC38C83" w14:textId="7E05B7E1" w:rsidR="00CB33C7" w:rsidRPr="00E97953" w:rsidRDefault="00CB33C7" w:rsidP="008E3BCA">
            <w:pPr>
              <w:jc w:val="both"/>
              <w:rPr>
                <w:rFonts w:cs="Arial"/>
                <w:color w:val="000000"/>
                <w:szCs w:val="22"/>
                <w:lang w:eastAsia="it-IT"/>
              </w:rPr>
            </w:pPr>
            <w:r w:rsidRPr="00E97953">
              <w:rPr>
                <w:rFonts w:cs="Arial"/>
                <w:color w:val="000000"/>
                <w:szCs w:val="22"/>
                <w:lang w:eastAsia="it-IT"/>
              </w:rPr>
              <w:t xml:space="preserve">КП «Браїлів-комунсервіс» Жмеринської міської ради </w:t>
            </w:r>
          </w:p>
        </w:tc>
      </w:tr>
      <w:tr w:rsidR="00CB33C7" w:rsidRPr="00C2587D" w14:paraId="2F83CC4C" w14:textId="77777777" w:rsidTr="008E3BCA">
        <w:trPr>
          <w:jc w:val="right"/>
        </w:trPr>
        <w:tc>
          <w:tcPr>
            <w:tcW w:w="3424" w:type="dxa"/>
            <w:shd w:val="clear" w:color="auto" w:fill="FFFFFF"/>
            <w:vAlign w:val="center"/>
          </w:tcPr>
          <w:p w14:paraId="384D1A7C" w14:textId="77777777" w:rsidR="00CB33C7" w:rsidRPr="00E97953" w:rsidRDefault="00CB33C7" w:rsidP="008E3BCA">
            <w:pPr>
              <w:rPr>
                <w:rFonts w:cs="Arial"/>
                <w:b/>
                <w:bCs/>
                <w:color w:val="000000"/>
                <w:szCs w:val="22"/>
              </w:rPr>
            </w:pPr>
            <w:r w:rsidRPr="00E97953">
              <w:rPr>
                <w:rFonts w:cs="Arial"/>
                <w:b/>
                <w:bCs/>
                <w:color w:val="000000"/>
                <w:szCs w:val="22"/>
              </w:rPr>
              <w:t>Інше:</w:t>
            </w:r>
          </w:p>
        </w:tc>
        <w:tc>
          <w:tcPr>
            <w:tcW w:w="6795" w:type="dxa"/>
            <w:gridSpan w:val="8"/>
            <w:vAlign w:val="center"/>
          </w:tcPr>
          <w:p w14:paraId="00FDC817" w14:textId="77777777" w:rsidR="00CB33C7" w:rsidRPr="00E97953" w:rsidRDefault="00CB33C7" w:rsidP="008E3BCA">
            <w:pPr>
              <w:rPr>
                <w:rFonts w:cs="Arial"/>
                <w:color w:val="000000"/>
                <w:szCs w:val="22"/>
                <w:lang w:eastAsia="it-IT"/>
              </w:rPr>
            </w:pPr>
          </w:p>
          <w:p w14:paraId="22F1C0F2" w14:textId="77777777" w:rsidR="00CB33C7" w:rsidRPr="00E97953" w:rsidRDefault="00CB33C7" w:rsidP="008E3BCA">
            <w:pPr>
              <w:rPr>
                <w:rFonts w:cs="Arial"/>
                <w:color w:val="000000"/>
                <w:szCs w:val="22"/>
                <w:lang w:eastAsia="it-IT"/>
              </w:rPr>
            </w:pPr>
          </w:p>
        </w:tc>
      </w:tr>
    </w:tbl>
    <w:p w14:paraId="54F2E01C" w14:textId="77777777" w:rsidR="008E3BCA" w:rsidRDefault="008E3BCA" w:rsidP="00CB33C7">
      <w:pPr>
        <w:jc w:val="center"/>
        <w:rPr>
          <w:rFonts w:cs="Arial"/>
          <w:b/>
          <w:color w:val="000000"/>
          <w:szCs w:val="22"/>
        </w:rPr>
      </w:pPr>
    </w:p>
    <w:p w14:paraId="24636A50" w14:textId="77777777" w:rsidR="008E3BCA" w:rsidRDefault="008E3BCA" w:rsidP="00CB33C7">
      <w:pPr>
        <w:jc w:val="center"/>
        <w:rPr>
          <w:rFonts w:cs="Arial"/>
          <w:b/>
          <w:color w:val="000000"/>
          <w:szCs w:val="22"/>
        </w:rPr>
      </w:pPr>
    </w:p>
    <w:p w14:paraId="5AB70208" w14:textId="4C639BF9" w:rsidR="00CB33C7" w:rsidRPr="00C2587D" w:rsidRDefault="00CB33C7" w:rsidP="00CB33C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39D5D761" w14:textId="77777777" w:rsidR="00CB33C7" w:rsidRPr="00C2587D" w:rsidRDefault="00CB33C7" w:rsidP="00CB33C7">
      <w:pPr>
        <w:jc w:val="center"/>
        <w:rPr>
          <w:rFonts w:cs="Arial"/>
          <w:b/>
          <w:color w:val="000000"/>
          <w:szCs w:val="22"/>
        </w:rPr>
      </w:pPr>
      <w:r w:rsidRPr="00C2587D">
        <w:rPr>
          <w:rFonts w:cs="Arial"/>
          <w:b/>
          <w:color w:val="000000"/>
          <w:szCs w:val="22"/>
        </w:rPr>
        <w:t>до Плану заходів з реалізації Стратегії</w:t>
      </w:r>
    </w:p>
    <w:p w14:paraId="5BB48259" w14:textId="77777777" w:rsidR="00CB33C7" w:rsidRPr="00C2587D" w:rsidRDefault="00CB33C7" w:rsidP="00CB33C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1"/>
        <w:gridCol w:w="1244"/>
        <w:gridCol w:w="10"/>
        <w:gridCol w:w="1269"/>
        <w:gridCol w:w="6"/>
        <w:gridCol w:w="1416"/>
        <w:gridCol w:w="16"/>
        <w:gridCol w:w="1260"/>
        <w:gridCol w:w="1577"/>
      </w:tblGrid>
      <w:tr w:rsidR="00CB33C7" w:rsidRPr="00C2587D" w14:paraId="39AD2D8D" w14:textId="77777777" w:rsidTr="008E3BCA">
        <w:trPr>
          <w:jc w:val="right"/>
        </w:trPr>
        <w:tc>
          <w:tcPr>
            <w:tcW w:w="3423" w:type="dxa"/>
            <w:vAlign w:val="center"/>
          </w:tcPr>
          <w:p w14:paraId="36F96F91" w14:textId="77777777" w:rsidR="00CB33C7" w:rsidRPr="008E3BCA" w:rsidRDefault="00CB33C7" w:rsidP="008E3BCA">
            <w:pPr>
              <w:rPr>
                <w:rFonts w:cs="Arial"/>
                <w:b/>
                <w:bCs/>
                <w:color w:val="000000"/>
                <w:szCs w:val="22"/>
              </w:rPr>
            </w:pPr>
            <w:r w:rsidRPr="008E3BCA">
              <w:rPr>
                <w:rFonts w:cs="Arial"/>
                <w:b/>
                <w:bCs/>
                <w:color w:val="000000"/>
                <w:szCs w:val="22"/>
              </w:rPr>
              <w:t>Назва проєкту:</w:t>
            </w:r>
          </w:p>
        </w:tc>
        <w:tc>
          <w:tcPr>
            <w:tcW w:w="6796" w:type="dxa"/>
            <w:gridSpan w:val="8"/>
          </w:tcPr>
          <w:p w14:paraId="1A39E259" w14:textId="77777777" w:rsidR="00CB33C7" w:rsidRPr="008E3BCA" w:rsidRDefault="00CB33C7" w:rsidP="008E3BCA">
            <w:pPr>
              <w:jc w:val="both"/>
              <w:rPr>
                <w:rFonts w:cs="Arial"/>
                <w:b/>
                <w:szCs w:val="22"/>
                <w:lang w:eastAsia="it-IT"/>
              </w:rPr>
            </w:pPr>
            <w:r w:rsidRPr="008E3BCA">
              <w:rPr>
                <w:rFonts w:cs="Arial"/>
                <w:b/>
                <w:szCs w:val="22"/>
                <w:lang w:eastAsia="it-IT"/>
              </w:rPr>
              <w:t>Нове будівництво розвідувально-експлуатаційної свердловини по вулиці Козацька в селищі Браїлів, Жмеринського району, Вінницької області</w:t>
            </w:r>
          </w:p>
        </w:tc>
      </w:tr>
      <w:tr w:rsidR="00CB33C7" w:rsidRPr="00C2587D" w14:paraId="072431AB" w14:textId="77777777" w:rsidTr="008E3BCA">
        <w:trPr>
          <w:jc w:val="right"/>
        </w:trPr>
        <w:tc>
          <w:tcPr>
            <w:tcW w:w="3423" w:type="dxa"/>
          </w:tcPr>
          <w:p w14:paraId="43B93D0F" w14:textId="77777777" w:rsidR="00CB33C7" w:rsidRPr="008E3BCA" w:rsidRDefault="00CB33C7" w:rsidP="008E3BCA">
            <w:pPr>
              <w:rPr>
                <w:rFonts w:cs="Arial"/>
                <w:szCs w:val="22"/>
                <w:lang w:eastAsia="it-IT"/>
              </w:rPr>
            </w:pPr>
            <w:r w:rsidRPr="008E3BCA">
              <w:rPr>
                <w:rFonts w:cs="Arial"/>
                <w:b/>
                <w:bCs/>
                <w:szCs w:val="22"/>
              </w:rPr>
              <w:t>Ваші контакти</w:t>
            </w:r>
            <w:r w:rsidRPr="008E3BCA">
              <w:rPr>
                <w:rFonts w:cs="Arial"/>
                <w:szCs w:val="22"/>
                <w:lang w:eastAsia="it-IT"/>
              </w:rPr>
              <w:t>:</w:t>
            </w:r>
          </w:p>
          <w:p w14:paraId="34684330" w14:textId="77777777" w:rsidR="00CB33C7" w:rsidRPr="008E3BCA" w:rsidRDefault="00CB33C7" w:rsidP="008E3BCA">
            <w:pPr>
              <w:rPr>
                <w:rFonts w:cs="Arial"/>
                <w:b/>
                <w:bCs/>
                <w:szCs w:val="22"/>
              </w:rPr>
            </w:pPr>
            <w:r w:rsidRPr="008E3BCA">
              <w:rPr>
                <w:rFonts w:cs="Arial"/>
                <w:szCs w:val="22"/>
                <w:lang w:eastAsia="it-IT"/>
              </w:rPr>
              <w:t>Назва установи, організації, підприємства</w:t>
            </w:r>
          </w:p>
        </w:tc>
        <w:tc>
          <w:tcPr>
            <w:tcW w:w="6796" w:type="dxa"/>
            <w:gridSpan w:val="8"/>
          </w:tcPr>
          <w:p w14:paraId="1EE66101" w14:textId="77777777" w:rsidR="00CB33C7" w:rsidRPr="008E3BCA" w:rsidRDefault="00CB33C7" w:rsidP="00667673">
            <w:pPr>
              <w:jc w:val="both"/>
              <w:rPr>
                <w:rFonts w:cs="Arial"/>
                <w:szCs w:val="22"/>
                <w:lang w:eastAsia="it-IT"/>
              </w:rPr>
            </w:pPr>
            <w:r w:rsidRPr="008E3BCA">
              <w:rPr>
                <w:rFonts w:cs="Arial"/>
                <w:szCs w:val="22"/>
                <w:lang w:eastAsia="it-IT"/>
              </w:rPr>
              <w:t>КП «Браїлів-комунсервіс» Жмеринської міської ради</w:t>
            </w:r>
          </w:p>
        </w:tc>
      </w:tr>
      <w:tr w:rsidR="00CB33C7" w:rsidRPr="00C2587D" w14:paraId="2FA6CE64" w14:textId="77777777" w:rsidTr="008E3BCA">
        <w:trPr>
          <w:jc w:val="right"/>
        </w:trPr>
        <w:tc>
          <w:tcPr>
            <w:tcW w:w="3423" w:type="dxa"/>
          </w:tcPr>
          <w:p w14:paraId="1292197B" w14:textId="77777777" w:rsidR="00CB33C7" w:rsidRPr="008E3BCA" w:rsidRDefault="00CB33C7" w:rsidP="008E3BCA">
            <w:pPr>
              <w:rPr>
                <w:rFonts w:cs="Arial"/>
                <w:b/>
                <w:bCs/>
                <w:szCs w:val="22"/>
              </w:rPr>
            </w:pPr>
            <w:r w:rsidRPr="008E3BCA">
              <w:rPr>
                <w:rFonts w:cs="Arial"/>
                <w:szCs w:val="22"/>
                <w:lang w:eastAsia="it-IT"/>
              </w:rPr>
              <w:t>Прізвище Ім’я По-батькові:</w:t>
            </w:r>
          </w:p>
        </w:tc>
        <w:tc>
          <w:tcPr>
            <w:tcW w:w="6796" w:type="dxa"/>
            <w:gridSpan w:val="8"/>
          </w:tcPr>
          <w:p w14:paraId="09E84B8B" w14:textId="77777777" w:rsidR="00CB33C7" w:rsidRPr="008E3BCA" w:rsidRDefault="00CB33C7" w:rsidP="00667673">
            <w:pPr>
              <w:jc w:val="both"/>
              <w:rPr>
                <w:rFonts w:cs="Arial"/>
                <w:szCs w:val="22"/>
                <w:lang w:eastAsia="it-IT"/>
              </w:rPr>
            </w:pPr>
            <w:r w:rsidRPr="008E3BCA">
              <w:rPr>
                <w:rFonts w:cs="Arial"/>
                <w:szCs w:val="22"/>
                <w:lang w:eastAsia="it-IT"/>
              </w:rPr>
              <w:t>Резедент Валерій Дмитрович</w:t>
            </w:r>
          </w:p>
        </w:tc>
      </w:tr>
      <w:tr w:rsidR="00CB33C7" w:rsidRPr="00C2587D" w14:paraId="019FAA8B" w14:textId="77777777" w:rsidTr="008E3BCA">
        <w:trPr>
          <w:jc w:val="right"/>
        </w:trPr>
        <w:tc>
          <w:tcPr>
            <w:tcW w:w="3423" w:type="dxa"/>
          </w:tcPr>
          <w:p w14:paraId="2D48A354" w14:textId="77777777" w:rsidR="00CB33C7" w:rsidRPr="008E3BCA" w:rsidRDefault="00CB33C7" w:rsidP="008E3BCA">
            <w:pPr>
              <w:rPr>
                <w:rFonts w:cs="Arial"/>
                <w:b/>
                <w:bCs/>
                <w:szCs w:val="22"/>
              </w:rPr>
            </w:pPr>
            <w:r w:rsidRPr="008E3BCA">
              <w:rPr>
                <w:rFonts w:cs="Arial"/>
                <w:szCs w:val="22"/>
                <w:lang w:eastAsia="it-IT"/>
              </w:rPr>
              <w:t>Телефон (мобільний):</w:t>
            </w:r>
          </w:p>
        </w:tc>
        <w:tc>
          <w:tcPr>
            <w:tcW w:w="6796" w:type="dxa"/>
            <w:gridSpan w:val="8"/>
          </w:tcPr>
          <w:p w14:paraId="56AE8E8D" w14:textId="77777777" w:rsidR="00CB33C7" w:rsidRPr="008E3BCA" w:rsidRDefault="00CB33C7" w:rsidP="00667673">
            <w:pPr>
              <w:jc w:val="both"/>
              <w:rPr>
                <w:rFonts w:cs="Arial"/>
                <w:szCs w:val="22"/>
                <w:lang w:eastAsia="it-IT"/>
              </w:rPr>
            </w:pPr>
            <w:r w:rsidRPr="008E3BCA">
              <w:rPr>
                <w:rFonts w:cs="Arial"/>
                <w:szCs w:val="22"/>
                <w:lang w:eastAsia="it-IT"/>
              </w:rPr>
              <w:t>0674041516</w:t>
            </w:r>
          </w:p>
        </w:tc>
      </w:tr>
      <w:tr w:rsidR="00CB33C7" w:rsidRPr="00C2587D" w14:paraId="392A2151" w14:textId="77777777" w:rsidTr="008E3BCA">
        <w:trPr>
          <w:jc w:val="right"/>
        </w:trPr>
        <w:tc>
          <w:tcPr>
            <w:tcW w:w="3423" w:type="dxa"/>
          </w:tcPr>
          <w:p w14:paraId="655E3883" w14:textId="77777777" w:rsidR="00CB33C7" w:rsidRPr="008E3BCA" w:rsidRDefault="00CB33C7" w:rsidP="008E3BCA">
            <w:pPr>
              <w:rPr>
                <w:rFonts w:cs="Arial"/>
                <w:b/>
                <w:bCs/>
                <w:szCs w:val="22"/>
              </w:rPr>
            </w:pPr>
            <w:r w:rsidRPr="008E3BCA">
              <w:rPr>
                <w:rFonts w:cs="Arial"/>
                <w:szCs w:val="22"/>
                <w:lang w:eastAsia="it-IT"/>
              </w:rPr>
              <w:t>Електронна адреса:</w:t>
            </w:r>
          </w:p>
        </w:tc>
        <w:tc>
          <w:tcPr>
            <w:tcW w:w="6796" w:type="dxa"/>
            <w:gridSpan w:val="8"/>
          </w:tcPr>
          <w:p w14:paraId="6AAAE543" w14:textId="77777777" w:rsidR="00CB33C7" w:rsidRPr="008E3BCA" w:rsidRDefault="00CB33C7" w:rsidP="00667673">
            <w:pPr>
              <w:jc w:val="both"/>
              <w:rPr>
                <w:rFonts w:cs="Arial"/>
                <w:szCs w:val="22"/>
                <w:lang w:eastAsia="it-IT"/>
              </w:rPr>
            </w:pPr>
            <w:r w:rsidRPr="008E3BCA">
              <w:rPr>
                <w:rFonts w:cs="Arial"/>
                <w:szCs w:val="22"/>
                <w:lang w:eastAsia="it-IT"/>
              </w:rPr>
              <w:t>brailivks@gmail.com</w:t>
            </w:r>
          </w:p>
        </w:tc>
      </w:tr>
      <w:tr w:rsidR="00CB33C7" w:rsidRPr="00C2587D" w14:paraId="07C0565A" w14:textId="77777777" w:rsidTr="008E3BCA">
        <w:trPr>
          <w:jc w:val="right"/>
        </w:trPr>
        <w:tc>
          <w:tcPr>
            <w:tcW w:w="3423" w:type="dxa"/>
            <w:vAlign w:val="center"/>
          </w:tcPr>
          <w:p w14:paraId="204D026F" w14:textId="77777777" w:rsidR="00CB33C7" w:rsidRPr="008E3BCA" w:rsidRDefault="00CB33C7" w:rsidP="008E3BCA">
            <w:pPr>
              <w:pStyle w:val="6"/>
              <w:spacing w:before="0" w:after="0"/>
              <w:rPr>
                <w:rFonts w:ascii="Arial" w:hAnsi="Arial" w:cs="Arial"/>
                <w:color w:val="000000"/>
                <w:lang w:val="uk-UA"/>
              </w:rPr>
            </w:pPr>
            <w:r w:rsidRPr="008E3BCA">
              <w:rPr>
                <w:rFonts w:ascii="Arial" w:hAnsi="Arial" w:cs="Arial"/>
                <w:color w:val="000000"/>
                <w:lang w:val="uk-UA"/>
              </w:rPr>
              <w:t>Номер і назва завдання з Стратегії</w:t>
            </w:r>
            <w:r w:rsidRPr="008E3BCA">
              <w:rPr>
                <w:rFonts w:ascii="Arial" w:hAnsi="Arial" w:cs="Arial"/>
                <w:lang w:val="uk-UA" w:eastAsia="it-IT"/>
              </w:rPr>
              <w:t xml:space="preserve"> </w:t>
            </w:r>
            <w:r w:rsidRPr="008E3BCA">
              <w:rPr>
                <w:rFonts w:ascii="Arial" w:hAnsi="Arial" w:cs="Arial"/>
                <w:color w:val="000000"/>
                <w:lang w:val="uk-UA"/>
              </w:rPr>
              <w:t>розвитку Жмеринської міської територіальної громади,  якому відповідає проєкт:</w:t>
            </w:r>
          </w:p>
        </w:tc>
        <w:tc>
          <w:tcPr>
            <w:tcW w:w="6796" w:type="dxa"/>
            <w:gridSpan w:val="8"/>
          </w:tcPr>
          <w:p w14:paraId="45632647" w14:textId="77777777" w:rsidR="00CB33C7" w:rsidRPr="008E3BCA" w:rsidRDefault="00CB33C7" w:rsidP="00667673">
            <w:pPr>
              <w:pBdr>
                <w:left w:val="single" w:sz="18" w:space="4" w:color="auto"/>
              </w:pBdr>
              <w:jc w:val="both"/>
              <w:rPr>
                <w:rFonts w:cs="Arial"/>
                <w:szCs w:val="22"/>
                <w:lang w:eastAsia="it-IT"/>
              </w:rPr>
            </w:pPr>
            <w:r w:rsidRPr="008E3BCA">
              <w:rPr>
                <w:rFonts w:cs="Arial"/>
                <w:szCs w:val="22"/>
                <w:lang w:eastAsia="it-IT"/>
              </w:rPr>
              <w:t>В.1.3.1.Будівництво нових, реконструкція, капітальний ремонт, модернізація мереж централізованої системи водопостачання, водовідведення та каналізація.</w:t>
            </w:r>
          </w:p>
        </w:tc>
      </w:tr>
      <w:tr w:rsidR="00CB33C7" w:rsidRPr="00C2587D" w14:paraId="7E2C12C2" w14:textId="77777777" w:rsidTr="008E3BCA">
        <w:trPr>
          <w:jc w:val="right"/>
        </w:trPr>
        <w:tc>
          <w:tcPr>
            <w:tcW w:w="3423" w:type="dxa"/>
            <w:vAlign w:val="center"/>
          </w:tcPr>
          <w:p w14:paraId="78BD6507" w14:textId="77777777" w:rsidR="00CB33C7" w:rsidRPr="008E3BCA" w:rsidRDefault="00CB33C7" w:rsidP="008E3BCA">
            <w:pPr>
              <w:rPr>
                <w:rFonts w:cs="Arial"/>
                <w:b/>
                <w:bCs/>
                <w:color w:val="000000"/>
                <w:szCs w:val="22"/>
              </w:rPr>
            </w:pPr>
            <w:r w:rsidRPr="008E3BCA">
              <w:rPr>
                <w:rFonts w:cs="Arial"/>
                <w:b/>
                <w:bCs/>
                <w:color w:val="000000"/>
                <w:szCs w:val="22"/>
              </w:rPr>
              <w:t>Мета проєкту:</w:t>
            </w:r>
          </w:p>
        </w:tc>
        <w:tc>
          <w:tcPr>
            <w:tcW w:w="6796" w:type="dxa"/>
            <w:gridSpan w:val="8"/>
          </w:tcPr>
          <w:p w14:paraId="14D9AF70" w14:textId="77777777" w:rsidR="00CB33C7" w:rsidRPr="008E3BCA" w:rsidRDefault="00CB33C7" w:rsidP="00667673">
            <w:pPr>
              <w:jc w:val="both"/>
              <w:rPr>
                <w:rFonts w:cs="Arial"/>
                <w:szCs w:val="22"/>
                <w:lang w:eastAsia="it-IT"/>
              </w:rPr>
            </w:pPr>
            <w:r w:rsidRPr="008E3BCA">
              <w:rPr>
                <w:rFonts w:cs="Arial"/>
                <w:szCs w:val="22"/>
                <w:lang w:eastAsia="it-IT"/>
              </w:rPr>
              <w:t>Надання мешканцям селища Браїлів якісних послух з водопостачання, шляхом проведення нового будівництва свердловини.</w:t>
            </w:r>
          </w:p>
        </w:tc>
      </w:tr>
      <w:tr w:rsidR="00CB33C7" w:rsidRPr="00C2587D" w14:paraId="4ED520F8" w14:textId="77777777" w:rsidTr="008E3BCA">
        <w:trPr>
          <w:jc w:val="right"/>
        </w:trPr>
        <w:tc>
          <w:tcPr>
            <w:tcW w:w="3423" w:type="dxa"/>
            <w:vAlign w:val="center"/>
          </w:tcPr>
          <w:p w14:paraId="7BD889B8" w14:textId="77777777" w:rsidR="00CB33C7" w:rsidRPr="008E3BCA" w:rsidRDefault="00CB33C7" w:rsidP="008E3BCA">
            <w:pPr>
              <w:rPr>
                <w:rFonts w:cs="Arial"/>
                <w:b/>
                <w:bCs/>
                <w:color w:val="000000"/>
                <w:szCs w:val="22"/>
              </w:rPr>
            </w:pPr>
            <w:r w:rsidRPr="008E3BCA">
              <w:rPr>
                <w:rFonts w:cs="Arial"/>
                <w:b/>
                <w:bCs/>
                <w:color w:val="000000"/>
                <w:szCs w:val="22"/>
              </w:rPr>
              <w:t>Цілі проєкту:</w:t>
            </w:r>
          </w:p>
        </w:tc>
        <w:tc>
          <w:tcPr>
            <w:tcW w:w="6796" w:type="dxa"/>
            <w:gridSpan w:val="8"/>
          </w:tcPr>
          <w:p w14:paraId="3D2851C1" w14:textId="77777777" w:rsidR="00CB33C7" w:rsidRPr="008E3BCA" w:rsidRDefault="00CB33C7" w:rsidP="00667673">
            <w:pPr>
              <w:jc w:val="both"/>
              <w:rPr>
                <w:rFonts w:cs="Arial"/>
                <w:szCs w:val="22"/>
                <w:lang w:eastAsia="it-IT"/>
              </w:rPr>
            </w:pPr>
            <w:r w:rsidRPr="008E3BCA">
              <w:rPr>
                <w:rFonts w:cs="Arial"/>
                <w:szCs w:val="22"/>
                <w:lang w:eastAsia="it-IT"/>
              </w:rPr>
              <w:t xml:space="preserve">Забезпечення жителів селища Браїлів якісною питною водою в достатній кількості </w:t>
            </w:r>
          </w:p>
        </w:tc>
      </w:tr>
      <w:tr w:rsidR="00CB33C7" w:rsidRPr="00C2587D" w14:paraId="47B6A9B4" w14:textId="77777777" w:rsidTr="008E3BCA">
        <w:trPr>
          <w:jc w:val="right"/>
        </w:trPr>
        <w:tc>
          <w:tcPr>
            <w:tcW w:w="3423" w:type="dxa"/>
            <w:vAlign w:val="center"/>
          </w:tcPr>
          <w:p w14:paraId="615EAB59" w14:textId="77777777" w:rsidR="00CB33C7" w:rsidRPr="008E3BCA" w:rsidRDefault="00CB33C7" w:rsidP="008E3BCA">
            <w:pPr>
              <w:autoSpaceDE w:val="0"/>
              <w:autoSpaceDN w:val="0"/>
              <w:adjustRightInd w:val="0"/>
              <w:rPr>
                <w:rFonts w:cs="Arial"/>
                <w:b/>
                <w:color w:val="000000"/>
                <w:szCs w:val="22"/>
              </w:rPr>
            </w:pPr>
            <w:r w:rsidRPr="008E3BCA">
              <w:rPr>
                <w:rFonts w:cs="Arial"/>
                <w:b/>
                <w:color w:val="000000"/>
                <w:szCs w:val="22"/>
              </w:rPr>
              <w:t>Територія на яку проєкт матиме вплив:</w:t>
            </w:r>
          </w:p>
        </w:tc>
        <w:tc>
          <w:tcPr>
            <w:tcW w:w="6796" w:type="dxa"/>
            <w:gridSpan w:val="8"/>
          </w:tcPr>
          <w:p w14:paraId="07E06CB2" w14:textId="4874E679" w:rsidR="00CB33C7" w:rsidRPr="008E3BCA" w:rsidRDefault="00CB33C7" w:rsidP="00667673">
            <w:pPr>
              <w:jc w:val="both"/>
              <w:rPr>
                <w:rFonts w:cs="Arial"/>
                <w:szCs w:val="22"/>
                <w:lang w:eastAsia="it-IT"/>
              </w:rPr>
            </w:pPr>
            <w:r w:rsidRPr="008E3BCA">
              <w:rPr>
                <w:rFonts w:cs="Arial"/>
                <w:szCs w:val="22"/>
                <w:lang w:eastAsia="it-IT"/>
              </w:rPr>
              <w:t>Селище Браїлі</w:t>
            </w:r>
            <w:r w:rsidR="008E3BCA">
              <w:rPr>
                <w:rFonts w:cs="Arial"/>
                <w:szCs w:val="22"/>
                <w:lang w:eastAsia="it-IT"/>
              </w:rPr>
              <w:t>в</w:t>
            </w:r>
            <w:r w:rsidRPr="008E3BCA">
              <w:rPr>
                <w:rFonts w:cs="Arial"/>
                <w:szCs w:val="22"/>
                <w:lang w:eastAsia="it-IT"/>
              </w:rPr>
              <w:t xml:space="preserve"> Жмеринської МТГ </w:t>
            </w:r>
          </w:p>
        </w:tc>
      </w:tr>
      <w:tr w:rsidR="00CB33C7" w:rsidRPr="00C2587D" w14:paraId="1D5B1D02" w14:textId="77777777" w:rsidTr="008E3BCA">
        <w:trPr>
          <w:jc w:val="right"/>
        </w:trPr>
        <w:tc>
          <w:tcPr>
            <w:tcW w:w="3423" w:type="dxa"/>
            <w:vAlign w:val="center"/>
          </w:tcPr>
          <w:p w14:paraId="45992B58" w14:textId="77777777" w:rsidR="00CB33C7" w:rsidRPr="008E3BCA" w:rsidRDefault="00CB33C7" w:rsidP="008E3BCA">
            <w:pPr>
              <w:autoSpaceDE w:val="0"/>
              <w:autoSpaceDN w:val="0"/>
              <w:adjustRightInd w:val="0"/>
              <w:rPr>
                <w:rFonts w:cs="Arial"/>
                <w:b/>
                <w:color w:val="000000"/>
                <w:szCs w:val="22"/>
              </w:rPr>
            </w:pPr>
            <w:r w:rsidRPr="008E3BCA">
              <w:rPr>
                <w:rFonts w:cs="Arial"/>
                <w:b/>
                <w:color w:val="000000"/>
                <w:szCs w:val="22"/>
              </w:rPr>
              <w:t>Цільові групи проєкту та кількість отримувачів вигоди</w:t>
            </w:r>
          </w:p>
        </w:tc>
        <w:tc>
          <w:tcPr>
            <w:tcW w:w="6796" w:type="dxa"/>
            <w:gridSpan w:val="8"/>
          </w:tcPr>
          <w:p w14:paraId="2020975A" w14:textId="77777777" w:rsidR="00CB33C7" w:rsidRPr="008E3BCA" w:rsidRDefault="00CB33C7" w:rsidP="00667673">
            <w:pPr>
              <w:jc w:val="both"/>
              <w:rPr>
                <w:rFonts w:cs="Arial"/>
                <w:szCs w:val="22"/>
                <w:lang w:eastAsia="it-IT"/>
              </w:rPr>
            </w:pPr>
            <w:r w:rsidRPr="008E3BCA">
              <w:rPr>
                <w:rFonts w:cs="Arial"/>
                <w:szCs w:val="22"/>
                <w:lang w:eastAsia="it-IT"/>
              </w:rPr>
              <w:t>1,1 тис. чол., мешканці селище Браїлів, підприємства, діти, люди літнього віку та ін.</w:t>
            </w:r>
          </w:p>
        </w:tc>
      </w:tr>
      <w:tr w:rsidR="00CB33C7" w:rsidRPr="00C2587D" w14:paraId="5FE563B7" w14:textId="77777777" w:rsidTr="008E3BCA">
        <w:trPr>
          <w:jc w:val="right"/>
        </w:trPr>
        <w:tc>
          <w:tcPr>
            <w:tcW w:w="3423" w:type="dxa"/>
            <w:shd w:val="clear" w:color="auto" w:fill="FFFFFF"/>
            <w:vAlign w:val="center"/>
          </w:tcPr>
          <w:p w14:paraId="4B7489E0" w14:textId="77777777" w:rsidR="00CB33C7" w:rsidRPr="008E3BCA" w:rsidRDefault="00CB33C7" w:rsidP="008E3BCA">
            <w:pPr>
              <w:rPr>
                <w:rFonts w:cs="Arial"/>
                <w:b/>
                <w:bCs/>
                <w:color w:val="000000"/>
                <w:szCs w:val="22"/>
              </w:rPr>
            </w:pPr>
            <w:r w:rsidRPr="008E3BCA">
              <w:rPr>
                <w:rFonts w:cs="Arial"/>
                <w:b/>
                <w:bCs/>
                <w:color w:val="000000"/>
                <w:szCs w:val="22"/>
              </w:rPr>
              <w:t>Стислий опис проєкту:</w:t>
            </w:r>
          </w:p>
        </w:tc>
        <w:tc>
          <w:tcPr>
            <w:tcW w:w="6796" w:type="dxa"/>
            <w:gridSpan w:val="8"/>
          </w:tcPr>
          <w:p w14:paraId="50DA4066" w14:textId="3AB55AF8" w:rsidR="00CB33C7" w:rsidRPr="008E3BCA" w:rsidRDefault="00CB33C7" w:rsidP="00F87D24">
            <w:pPr>
              <w:jc w:val="both"/>
              <w:rPr>
                <w:rFonts w:cs="Arial"/>
                <w:szCs w:val="22"/>
                <w:lang w:eastAsia="it-IT"/>
              </w:rPr>
            </w:pPr>
            <w:r w:rsidRPr="008E3BCA">
              <w:rPr>
                <w:rFonts w:cs="Arial"/>
                <w:szCs w:val="22"/>
                <w:lang w:eastAsia="it-IT"/>
              </w:rPr>
              <w:t>Водопровідна мережа в селищі Браїлів не достатньо забезпечує жителів громади питною водою,  та як нині діюча свердловина побудована в 1981 році і є мало продуктивною, дебет її складає 3,0 М</w:t>
            </w:r>
            <w:r w:rsidRPr="008E3BCA">
              <w:rPr>
                <w:rFonts w:cs="Arial"/>
                <w:szCs w:val="22"/>
                <w:vertAlign w:val="superscript"/>
                <w:lang w:eastAsia="it-IT"/>
              </w:rPr>
              <w:t xml:space="preserve">3 </w:t>
            </w:r>
            <w:r w:rsidRPr="008E3BCA">
              <w:rPr>
                <w:rFonts w:cs="Arial"/>
                <w:szCs w:val="22"/>
                <w:lang w:eastAsia="it-IT"/>
              </w:rPr>
              <w:t>на годину, більшість споживачів, особливо в літній період, не можуть отримати в повному обсязі необхідну кількість артезіанської води. При реалізації даного про</w:t>
            </w:r>
            <w:r w:rsidR="00F87D24">
              <w:rPr>
                <w:rFonts w:cs="Arial"/>
                <w:szCs w:val="22"/>
                <w:lang w:eastAsia="it-IT"/>
              </w:rPr>
              <w:t>є</w:t>
            </w:r>
            <w:r w:rsidRPr="008E3BCA">
              <w:rPr>
                <w:rFonts w:cs="Arial"/>
                <w:szCs w:val="22"/>
                <w:lang w:eastAsia="it-IT"/>
              </w:rPr>
              <w:t>кту 1,1 тис. споживачів води будуть забезпечені якісною водою в повному обсязі для господарських та харчових потреб.</w:t>
            </w:r>
          </w:p>
        </w:tc>
      </w:tr>
      <w:tr w:rsidR="00CB33C7" w:rsidRPr="00C2587D" w14:paraId="4DF1844D" w14:textId="77777777" w:rsidTr="008E3BCA">
        <w:trPr>
          <w:jc w:val="right"/>
        </w:trPr>
        <w:tc>
          <w:tcPr>
            <w:tcW w:w="3423" w:type="dxa"/>
            <w:shd w:val="clear" w:color="auto" w:fill="FFFFFF"/>
            <w:vAlign w:val="center"/>
          </w:tcPr>
          <w:p w14:paraId="7E2F5B70" w14:textId="77777777" w:rsidR="00CB33C7" w:rsidRPr="008E3BCA" w:rsidRDefault="00CB33C7" w:rsidP="008E3BCA">
            <w:pPr>
              <w:rPr>
                <w:rFonts w:cs="Arial"/>
                <w:b/>
                <w:bCs/>
                <w:color w:val="000000"/>
                <w:szCs w:val="22"/>
              </w:rPr>
            </w:pPr>
            <w:r w:rsidRPr="008E3BCA">
              <w:rPr>
                <w:rFonts w:cs="Arial"/>
                <w:b/>
                <w:bCs/>
                <w:color w:val="000000"/>
                <w:szCs w:val="22"/>
              </w:rPr>
              <w:t>Основні заходи проєкту:</w:t>
            </w:r>
          </w:p>
        </w:tc>
        <w:tc>
          <w:tcPr>
            <w:tcW w:w="6796" w:type="dxa"/>
            <w:gridSpan w:val="8"/>
          </w:tcPr>
          <w:p w14:paraId="79D3D078" w14:textId="77777777" w:rsidR="00CB33C7" w:rsidRPr="008E3BCA" w:rsidRDefault="00CB33C7" w:rsidP="008E3BCA">
            <w:pPr>
              <w:jc w:val="both"/>
              <w:rPr>
                <w:rFonts w:cs="Arial"/>
                <w:szCs w:val="22"/>
                <w:lang w:eastAsia="it-IT"/>
              </w:rPr>
            </w:pPr>
            <w:r w:rsidRPr="008E3BCA">
              <w:rPr>
                <w:rFonts w:cs="Arial"/>
                <w:szCs w:val="22"/>
                <w:lang w:eastAsia="it-IT"/>
              </w:rPr>
              <w:t>Розробка ПКД. Проведення експертизи ПКД. Проведення процедури відкритих торгів з метою визначення виконавця робіт. Отримання дозволу на виконання  будівельних робіт. Виконання робіт по будівництву свердловини. Введення в експлуатацію  об’єкта після виконання робіт.</w:t>
            </w:r>
          </w:p>
        </w:tc>
      </w:tr>
      <w:tr w:rsidR="00CB33C7" w:rsidRPr="00C2587D" w14:paraId="7EB76C32" w14:textId="77777777" w:rsidTr="008E3BCA">
        <w:trPr>
          <w:jc w:val="right"/>
        </w:trPr>
        <w:tc>
          <w:tcPr>
            <w:tcW w:w="3423" w:type="dxa"/>
            <w:shd w:val="clear" w:color="auto" w:fill="FFFFFF"/>
            <w:vAlign w:val="center"/>
          </w:tcPr>
          <w:p w14:paraId="456D6FCA" w14:textId="77777777" w:rsidR="00CB33C7" w:rsidRPr="008E3BCA" w:rsidRDefault="00CB33C7" w:rsidP="008E3BCA">
            <w:pPr>
              <w:rPr>
                <w:rFonts w:cs="Arial"/>
                <w:b/>
                <w:bCs/>
                <w:color w:val="000000"/>
                <w:szCs w:val="22"/>
              </w:rPr>
            </w:pPr>
            <w:r w:rsidRPr="008E3BCA">
              <w:rPr>
                <w:rFonts w:cs="Arial"/>
                <w:b/>
                <w:bCs/>
                <w:color w:val="000000"/>
                <w:szCs w:val="22"/>
              </w:rPr>
              <w:t>Індикатори (показники) результативності:</w:t>
            </w:r>
          </w:p>
        </w:tc>
        <w:tc>
          <w:tcPr>
            <w:tcW w:w="6796" w:type="dxa"/>
            <w:gridSpan w:val="8"/>
          </w:tcPr>
          <w:p w14:paraId="12666EDA" w14:textId="0805A1A2" w:rsidR="00CB33C7" w:rsidRPr="008E3BCA" w:rsidRDefault="00CB33C7" w:rsidP="008E3BCA">
            <w:pPr>
              <w:jc w:val="both"/>
              <w:rPr>
                <w:rFonts w:cs="Arial"/>
                <w:szCs w:val="22"/>
                <w:lang w:eastAsia="it-IT"/>
              </w:rPr>
            </w:pPr>
            <w:r w:rsidRPr="008E3BCA">
              <w:rPr>
                <w:rFonts w:cs="Arial"/>
                <w:szCs w:val="22"/>
                <w:lang w:eastAsia="it-IT"/>
              </w:rPr>
              <w:t>Будівництво свердловини з дебетом 8 м</w:t>
            </w:r>
            <w:r w:rsidRPr="00F87D24">
              <w:rPr>
                <w:rFonts w:cs="Arial"/>
                <w:szCs w:val="22"/>
                <w:vertAlign w:val="superscript"/>
                <w:lang w:eastAsia="it-IT"/>
              </w:rPr>
              <w:t>3</w:t>
            </w:r>
            <w:r w:rsidRPr="008E3BCA">
              <w:rPr>
                <w:rFonts w:cs="Arial"/>
                <w:szCs w:val="22"/>
                <w:lang w:eastAsia="it-IT"/>
              </w:rPr>
              <w:t xml:space="preserve"> води на годину дасть можливість продуктивно функціонувати водопровідній мер</w:t>
            </w:r>
            <w:r w:rsidR="00F87D24">
              <w:rPr>
                <w:rFonts w:cs="Arial"/>
                <w:szCs w:val="22"/>
                <w:lang w:eastAsia="it-IT"/>
              </w:rPr>
              <w:t>ежі. При впроваджені даного проє</w:t>
            </w:r>
            <w:r w:rsidRPr="008E3BCA">
              <w:rPr>
                <w:rFonts w:cs="Arial"/>
                <w:szCs w:val="22"/>
                <w:lang w:eastAsia="it-IT"/>
              </w:rPr>
              <w:t>кту 1,1 жителів селища будуть забезпечені якісною водою та в достатній кількості.</w:t>
            </w:r>
          </w:p>
        </w:tc>
      </w:tr>
      <w:tr w:rsidR="00CB33C7" w:rsidRPr="00C2587D" w14:paraId="6F46A2A0" w14:textId="77777777" w:rsidTr="008E3BCA">
        <w:trPr>
          <w:jc w:val="right"/>
        </w:trPr>
        <w:tc>
          <w:tcPr>
            <w:tcW w:w="3423" w:type="dxa"/>
            <w:shd w:val="clear" w:color="auto" w:fill="FFFFFF"/>
            <w:vAlign w:val="center"/>
          </w:tcPr>
          <w:p w14:paraId="5DBEB38C" w14:textId="77777777" w:rsidR="00CB33C7" w:rsidRPr="008E3BCA" w:rsidRDefault="00CB33C7" w:rsidP="008E3BCA">
            <w:pPr>
              <w:rPr>
                <w:rFonts w:cs="Arial"/>
                <w:b/>
                <w:color w:val="000000"/>
                <w:szCs w:val="22"/>
              </w:rPr>
            </w:pPr>
            <w:r w:rsidRPr="008E3BCA">
              <w:rPr>
                <w:rFonts w:cs="Arial"/>
                <w:b/>
                <w:color w:val="000000"/>
                <w:szCs w:val="22"/>
              </w:rPr>
              <w:t xml:space="preserve">Період здійснення: </w:t>
            </w:r>
          </w:p>
        </w:tc>
        <w:tc>
          <w:tcPr>
            <w:tcW w:w="6796" w:type="dxa"/>
            <w:gridSpan w:val="8"/>
            <w:vAlign w:val="center"/>
          </w:tcPr>
          <w:p w14:paraId="77FAE596" w14:textId="77777777" w:rsidR="00CB33C7" w:rsidRPr="008E3BCA" w:rsidRDefault="00CB33C7" w:rsidP="008E3BCA">
            <w:pPr>
              <w:rPr>
                <w:rFonts w:cs="Arial"/>
                <w:color w:val="000000"/>
                <w:szCs w:val="22"/>
                <w:lang w:eastAsia="it-IT"/>
              </w:rPr>
            </w:pPr>
            <w:r w:rsidRPr="008E3BCA">
              <w:rPr>
                <w:rFonts w:cs="Arial"/>
                <w:b/>
                <w:color w:val="000000"/>
                <w:szCs w:val="22"/>
              </w:rPr>
              <w:t>2025 – 2028 роки:</w:t>
            </w:r>
          </w:p>
        </w:tc>
      </w:tr>
      <w:tr w:rsidR="00CB33C7" w:rsidRPr="00C2587D" w14:paraId="68DF3886" w14:textId="77777777" w:rsidTr="008E3BCA">
        <w:trPr>
          <w:jc w:val="right"/>
        </w:trPr>
        <w:tc>
          <w:tcPr>
            <w:tcW w:w="3423" w:type="dxa"/>
            <w:vMerge w:val="restart"/>
            <w:shd w:val="clear" w:color="auto" w:fill="FFFFFF"/>
            <w:vAlign w:val="center"/>
          </w:tcPr>
          <w:p w14:paraId="03D9CD23" w14:textId="77777777" w:rsidR="00CB33C7" w:rsidRPr="008E3BCA" w:rsidRDefault="00CB33C7" w:rsidP="008E3BCA">
            <w:pPr>
              <w:rPr>
                <w:rFonts w:cs="Arial"/>
                <w:b/>
                <w:bCs/>
                <w:color w:val="000000"/>
                <w:szCs w:val="22"/>
              </w:rPr>
            </w:pPr>
            <w:r w:rsidRPr="008E3BCA">
              <w:rPr>
                <w:rFonts w:cs="Arial"/>
                <w:b/>
                <w:bCs/>
                <w:color w:val="000000"/>
                <w:szCs w:val="22"/>
              </w:rPr>
              <w:t>Орієнтовна вартість проєкту, тис. грн., в тому числі:</w:t>
            </w:r>
          </w:p>
        </w:tc>
        <w:tc>
          <w:tcPr>
            <w:tcW w:w="1254" w:type="dxa"/>
            <w:gridSpan w:val="2"/>
            <w:shd w:val="clear" w:color="auto" w:fill="E6E6E6"/>
            <w:vAlign w:val="center"/>
          </w:tcPr>
          <w:p w14:paraId="559F78AD" w14:textId="77777777" w:rsidR="00CB33C7" w:rsidRPr="008E3BCA" w:rsidRDefault="00CB33C7" w:rsidP="008E3BCA">
            <w:pPr>
              <w:jc w:val="center"/>
              <w:rPr>
                <w:rFonts w:cs="Arial"/>
                <w:b/>
                <w:color w:val="000000"/>
                <w:szCs w:val="22"/>
                <w:lang w:eastAsia="it-IT"/>
              </w:rPr>
            </w:pPr>
            <w:r w:rsidRPr="008E3BCA">
              <w:rPr>
                <w:rFonts w:cs="Arial"/>
                <w:b/>
                <w:color w:val="000000"/>
                <w:szCs w:val="22"/>
                <w:lang w:eastAsia="it-IT"/>
              </w:rPr>
              <w:t>2025</w:t>
            </w:r>
          </w:p>
        </w:tc>
        <w:tc>
          <w:tcPr>
            <w:tcW w:w="1275" w:type="dxa"/>
            <w:gridSpan w:val="2"/>
            <w:shd w:val="clear" w:color="auto" w:fill="E6E6E6"/>
            <w:vAlign w:val="center"/>
          </w:tcPr>
          <w:p w14:paraId="61E57131" w14:textId="77777777" w:rsidR="00CB33C7" w:rsidRPr="008E3BCA" w:rsidRDefault="00CB33C7" w:rsidP="008E3BCA">
            <w:pPr>
              <w:jc w:val="center"/>
              <w:rPr>
                <w:rFonts w:cs="Arial"/>
                <w:b/>
                <w:color w:val="000000"/>
                <w:szCs w:val="22"/>
                <w:lang w:eastAsia="it-IT"/>
              </w:rPr>
            </w:pPr>
            <w:r w:rsidRPr="008E3BCA">
              <w:rPr>
                <w:rFonts w:cs="Arial"/>
                <w:b/>
                <w:color w:val="000000"/>
                <w:szCs w:val="22"/>
                <w:lang w:eastAsia="it-IT"/>
              </w:rPr>
              <w:t>2026</w:t>
            </w:r>
          </w:p>
        </w:tc>
        <w:tc>
          <w:tcPr>
            <w:tcW w:w="1417" w:type="dxa"/>
            <w:tcBorders>
              <w:bottom w:val="single" w:sz="4" w:space="0" w:color="auto"/>
            </w:tcBorders>
            <w:shd w:val="clear" w:color="auto" w:fill="E6E6E6"/>
            <w:vAlign w:val="center"/>
          </w:tcPr>
          <w:p w14:paraId="3A3457AB" w14:textId="77777777" w:rsidR="00CB33C7" w:rsidRPr="008E3BCA" w:rsidRDefault="00CB33C7" w:rsidP="008E3BCA">
            <w:pPr>
              <w:jc w:val="center"/>
              <w:rPr>
                <w:rFonts w:cs="Arial"/>
                <w:b/>
                <w:color w:val="000000"/>
                <w:szCs w:val="22"/>
                <w:lang w:eastAsia="it-IT"/>
              </w:rPr>
            </w:pPr>
            <w:r w:rsidRPr="008E3BCA">
              <w:rPr>
                <w:rFonts w:cs="Arial"/>
                <w:b/>
                <w:color w:val="000000"/>
                <w:szCs w:val="22"/>
                <w:lang w:eastAsia="it-IT"/>
              </w:rPr>
              <w:t>2027</w:t>
            </w:r>
          </w:p>
        </w:tc>
        <w:tc>
          <w:tcPr>
            <w:tcW w:w="1276" w:type="dxa"/>
            <w:gridSpan w:val="2"/>
            <w:shd w:val="clear" w:color="auto" w:fill="E6E6E6"/>
            <w:vAlign w:val="center"/>
          </w:tcPr>
          <w:p w14:paraId="0514000F" w14:textId="77777777" w:rsidR="00CB33C7" w:rsidRPr="008E3BCA" w:rsidRDefault="00CB33C7" w:rsidP="008E3BCA">
            <w:pPr>
              <w:jc w:val="center"/>
              <w:rPr>
                <w:rFonts w:cs="Arial"/>
                <w:b/>
                <w:color w:val="000000"/>
                <w:szCs w:val="22"/>
                <w:lang w:eastAsia="it-IT"/>
              </w:rPr>
            </w:pPr>
            <w:r w:rsidRPr="008E3BCA">
              <w:rPr>
                <w:rFonts w:cs="Arial"/>
                <w:b/>
                <w:color w:val="000000"/>
                <w:szCs w:val="22"/>
                <w:lang w:eastAsia="it-IT"/>
              </w:rPr>
              <w:t>2028</w:t>
            </w:r>
          </w:p>
        </w:tc>
        <w:tc>
          <w:tcPr>
            <w:tcW w:w="1574" w:type="dxa"/>
            <w:shd w:val="clear" w:color="auto" w:fill="E6E6E6"/>
            <w:vAlign w:val="center"/>
          </w:tcPr>
          <w:p w14:paraId="6B52F71E" w14:textId="77777777" w:rsidR="00CB33C7" w:rsidRPr="008E3BCA" w:rsidRDefault="00CB33C7" w:rsidP="008E3BCA">
            <w:pPr>
              <w:jc w:val="center"/>
              <w:rPr>
                <w:rFonts w:cs="Arial"/>
                <w:b/>
                <w:color w:val="000000"/>
                <w:szCs w:val="22"/>
                <w:lang w:eastAsia="it-IT"/>
              </w:rPr>
            </w:pPr>
            <w:r w:rsidRPr="008E3BCA">
              <w:rPr>
                <w:rFonts w:cs="Arial"/>
                <w:b/>
                <w:color w:val="000000"/>
                <w:szCs w:val="22"/>
                <w:lang w:eastAsia="it-IT"/>
              </w:rPr>
              <w:t>РАЗОМ</w:t>
            </w:r>
          </w:p>
        </w:tc>
      </w:tr>
      <w:tr w:rsidR="00CB33C7" w:rsidRPr="00C2587D" w14:paraId="5C0E4876" w14:textId="77777777" w:rsidTr="008E3BCA">
        <w:trPr>
          <w:jc w:val="right"/>
        </w:trPr>
        <w:tc>
          <w:tcPr>
            <w:tcW w:w="3423" w:type="dxa"/>
            <w:vMerge/>
            <w:shd w:val="clear" w:color="auto" w:fill="FFFFFF"/>
            <w:vAlign w:val="center"/>
          </w:tcPr>
          <w:p w14:paraId="56886BFB" w14:textId="77777777" w:rsidR="00CB33C7" w:rsidRPr="008E3BCA" w:rsidRDefault="00CB33C7" w:rsidP="008E3BCA">
            <w:pPr>
              <w:rPr>
                <w:rFonts w:cs="Arial"/>
                <w:b/>
                <w:bCs/>
                <w:color w:val="000000"/>
                <w:szCs w:val="22"/>
              </w:rPr>
            </w:pPr>
          </w:p>
        </w:tc>
        <w:tc>
          <w:tcPr>
            <w:tcW w:w="1254" w:type="dxa"/>
            <w:gridSpan w:val="2"/>
            <w:vAlign w:val="center"/>
          </w:tcPr>
          <w:p w14:paraId="4AA36D53" w14:textId="77777777" w:rsidR="00CB33C7" w:rsidRPr="008E3BCA" w:rsidRDefault="00CB33C7" w:rsidP="008E3BCA">
            <w:pPr>
              <w:jc w:val="center"/>
              <w:rPr>
                <w:rFonts w:cs="Arial"/>
                <w:b/>
                <w:color w:val="000000"/>
                <w:szCs w:val="22"/>
                <w:lang w:eastAsia="it-IT"/>
              </w:rPr>
            </w:pPr>
            <w:r w:rsidRPr="008E3BCA">
              <w:rPr>
                <w:rFonts w:cs="Arial"/>
                <w:b/>
                <w:color w:val="000000"/>
                <w:szCs w:val="22"/>
                <w:lang w:eastAsia="it-IT"/>
              </w:rPr>
              <w:t>0,00</w:t>
            </w:r>
          </w:p>
        </w:tc>
        <w:tc>
          <w:tcPr>
            <w:tcW w:w="1275" w:type="dxa"/>
            <w:gridSpan w:val="2"/>
            <w:shd w:val="clear" w:color="auto" w:fill="FFFFFF"/>
            <w:vAlign w:val="center"/>
          </w:tcPr>
          <w:p w14:paraId="7AA5EDA1" w14:textId="77777777" w:rsidR="00CB33C7" w:rsidRPr="008E3BCA" w:rsidRDefault="00CB33C7" w:rsidP="008E3BCA">
            <w:pPr>
              <w:jc w:val="center"/>
              <w:rPr>
                <w:rFonts w:cs="Arial"/>
                <w:b/>
                <w:color w:val="000000"/>
                <w:szCs w:val="22"/>
                <w:lang w:eastAsia="it-IT"/>
              </w:rPr>
            </w:pPr>
            <w:r w:rsidRPr="008E3BCA">
              <w:rPr>
                <w:rFonts w:cs="Arial"/>
                <w:b/>
                <w:color w:val="000000"/>
                <w:szCs w:val="22"/>
                <w:lang w:eastAsia="it-IT"/>
              </w:rPr>
              <w:t xml:space="preserve">1500,00 </w:t>
            </w:r>
          </w:p>
        </w:tc>
        <w:tc>
          <w:tcPr>
            <w:tcW w:w="1417" w:type="dxa"/>
            <w:shd w:val="clear" w:color="auto" w:fill="auto"/>
            <w:vAlign w:val="center"/>
          </w:tcPr>
          <w:p w14:paraId="4A9A2995" w14:textId="77777777" w:rsidR="00CB33C7" w:rsidRPr="008E3BCA" w:rsidRDefault="00CB33C7" w:rsidP="008E3BCA">
            <w:pPr>
              <w:jc w:val="center"/>
              <w:rPr>
                <w:rFonts w:cs="Arial"/>
                <w:b/>
                <w:color w:val="000000"/>
                <w:szCs w:val="22"/>
                <w:lang w:eastAsia="it-IT"/>
              </w:rPr>
            </w:pPr>
            <w:r w:rsidRPr="008E3BCA">
              <w:rPr>
                <w:rFonts w:cs="Arial"/>
                <w:b/>
                <w:color w:val="000000"/>
                <w:szCs w:val="22"/>
                <w:lang w:eastAsia="it-IT"/>
              </w:rPr>
              <w:t>0,00</w:t>
            </w:r>
          </w:p>
        </w:tc>
        <w:tc>
          <w:tcPr>
            <w:tcW w:w="1276" w:type="dxa"/>
            <w:gridSpan w:val="2"/>
            <w:shd w:val="clear" w:color="auto" w:fill="FFFFFF"/>
            <w:vAlign w:val="center"/>
          </w:tcPr>
          <w:p w14:paraId="173A08C8" w14:textId="77777777" w:rsidR="00CB33C7" w:rsidRPr="008E3BCA" w:rsidRDefault="00CB33C7" w:rsidP="008E3BCA">
            <w:pPr>
              <w:jc w:val="center"/>
              <w:rPr>
                <w:rFonts w:cs="Arial"/>
                <w:b/>
                <w:color w:val="000000"/>
                <w:szCs w:val="22"/>
                <w:lang w:eastAsia="it-IT"/>
              </w:rPr>
            </w:pPr>
            <w:r w:rsidRPr="008E3BCA">
              <w:rPr>
                <w:rFonts w:cs="Arial"/>
                <w:b/>
                <w:color w:val="000000"/>
                <w:szCs w:val="22"/>
                <w:lang w:eastAsia="it-IT"/>
              </w:rPr>
              <w:t>0,00</w:t>
            </w:r>
          </w:p>
        </w:tc>
        <w:tc>
          <w:tcPr>
            <w:tcW w:w="1574" w:type="dxa"/>
            <w:shd w:val="clear" w:color="auto" w:fill="FFFFFF"/>
            <w:vAlign w:val="center"/>
          </w:tcPr>
          <w:p w14:paraId="286F975B" w14:textId="77777777" w:rsidR="00CB33C7" w:rsidRPr="008E3BCA" w:rsidRDefault="00CB33C7" w:rsidP="008E3BCA">
            <w:pPr>
              <w:jc w:val="center"/>
              <w:rPr>
                <w:rFonts w:cs="Arial"/>
                <w:b/>
                <w:color w:val="000000"/>
                <w:szCs w:val="22"/>
                <w:lang w:eastAsia="it-IT"/>
              </w:rPr>
            </w:pPr>
            <w:r w:rsidRPr="008E3BCA">
              <w:rPr>
                <w:rFonts w:cs="Arial"/>
                <w:b/>
                <w:color w:val="000000"/>
                <w:szCs w:val="22"/>
                <w:lang w:eastAsia="it-IT"/>
              </w:rPr>
              <w:t>1500,00</w:t>
            </w:r>
          </w:p>
        </w:tc>
      </w:tr>
      <w:tr w:rsidR="00CB33C7" w:rsidRPr="00C2587D" w14:paraId="6A4A1952" w14:textId="77777777" w:rsidTr="008E3BCA">
        <w:trPr>
          <w:trHeight w:val="276"/>
          <w:jc w:val="right"/>
        </w:trPr>
        <w:tc>
          <w:tcPr>
            <w:tcW w:w="3423" w:type="dxa"/>
            <w:shd w:val="clear" w:color="auto" w:fill="FFFFFF"/>
            <w:vAlign w:val="center"/>
          </w:tcPr>
          <w:p w14:paraId="2AFEBEDF" w14:textId="77777777" w:rsidR="00CB33C7" w:rsidRPr="008E3BCA" w:rsidRDefault="00CB33C7" w:rsidP="008E3BCA">
            <w:pPr>
              <w:rPr>
                <w:rFonts w:cs="Arial"/>
                <w:b/>
                <w:bCs/>
                <w:color w:val="000000"/>
                <w:szCs w:val="22"/>
              </w:rPr>
            </w:pPr>
            <w:r w:rsidRPr="008E3BCA">
              <w:rPr>
                <w:rFonts w:cs="Arial"/>
                <w:b/>
                <w:bCs/>
                <w:color w:val="000000"/>
                <w:szCs w:val="22"/>
              </w:rPr>
              <w:t>по джерелах фінансування:</w:t>
            </w:r>
          </w:p>
        </w:tc>
        <w:tc>
          <w:tcPr>
            <w:tcW w:w="6796" w:type="dxa"/>
            <w:gridSpan w:val="8"/>
            <w:vAlign w:val="center"/>
          </w:tcPr>
          <w:p w14:paraId="09ED28FD" w14:textId="77777777" w:rsidR="00CB33C7" w:rsidRPr="008E3BCA" w:rsidRDefault="00CB33C7" w:rsidP="008E3BCA">
            <w:pPr>
              <w:jc w:val="both"/>
              <w:rPr>
                <w:rFonts w:cs="Arial"/>
                <w:color w:val="000000"/>
                <w:szCs w:val="22"/>
                <w:lang w:eastAsia="it-IT"/>
              </w:rPr>
            </w:pPr>
          </w:p>
        </w:tc>
      </w:tr>
      <w:tr w:rsidR="008E3BCA" w:rsidRPr="00C2587D" w14:paraId="386FDDE4" w14:textId="7BAF526E" w:rsidTr="008E3BCA">
        <w:trPr>
          <w:trHeight w:val="240"/>
          <w:jc w:val="right"/>
        </w:trPr>
        <w:tc>
          <w:tcPr>
            <w:tcW w:w="3423" w:type="dxa"/>
            <w:shd w:val="clear" w:color="auto" w:fill="FFFFFF"/>
            <w:vAlign w:val="center"/>
          </w:tcPr>
          <w:p w14:paraId="37BA4D75" w14:textId="77777777" w:rsidR="008E3BCA" w:rsidRPr="008E3BCA" w:rsidRDefault="008E3BCA" w:rsidP="008E3BCA">
            <w:pPr>
              <w:rPr>
                <w:rFonts w:cs="Arial"/>
                <w:b/>
                <w:bCs/>
                <w:color w:val="000000"/>
                <w:szCs w:val="22"/>
              </w:rPr>
            </w:pPr>
            <w:r w:rsidRPr="008E3BCA">
              <w:rPr>
                <w:rFonts w:cs="Arial"/>
                <w:color w:val="000000"/>
                <w:szCs w:val="22"/>
              </w:rPr>
              <w:t>- державний бюджет</w:t>
            </w:r>
          </w:p>
        </w:tc>
        <w:tc>
          <w:tcPr>
            <w:tcW w:w="1244" w:type="dxa"/>
          </w:tcPr>
          <w:p w14:paraId="013A6636" w14:textId="306D08FE" w:rsidR="008E3BCA" w:rsidRPr="008E3BCA" w:rsidRDefault="008E3BCA" w:rsidP="008E3BCA">
            <w:pPr>
              <w:jc w:val="center"/>
              <w:rPr>
                <w:rFonts w:cs="Arial"/>
                <w:color w:val="000000"/>
                <w:szCs w:val="22"/>
                <w:lang w:eastAsia="it-IT"/>
              </w:rPr>
            </w:pPr>
          </w:p>
        </w:tc>
        <w:tc>
          <w:tcPr>
            <w:tcW w:w="1279" w:type="dxa"/>
            <w:gridSpan w:val="2"/>
          </w:tcPr>
          <w:p w14:paraId="7C7C29F5" w14:textId="77777777" w:rsidR="008E3BCA" w:rsidRPr="008E3BCA" w:rsidRDefault="008E3BCA" w:rsidP="008E3BCA">
            <w:pPr>
              <w:jc w:val="center"/>
              <w:rPr>
                <w:rFonts w:cs="Arial"/>
                <w:color w:val="000000"/>
                <w:szCs w:val="22"/>
                <w:lang w:eastAsia="it-IT"/>
              </w:rPr>
            </w:pPr>
          </w:p>
        </w:tc>
        <w:tc>
          <w:tcPr>
            <w:tcW w:w="1439" w:type="dxa"/>
            <w:gridSpan w:val="3"/>
          </w:tcPr>
          <w:p w14:paraId="1F6672F8" w14:textId="77777777" w:rsidR="008E3BCA" w:rsidRPr="008E3BCA" w:rsidRDefault="008E3BCA" w:rsidP="008E3BCA">
            <w:pPr>
              <w:jc w:val="center"/>
              <w:rPr>
                <w:rFonts w:cs="Arial"/>
                <w:color w:val="000000"/>
                <w:szCs w:val="22"/>
                <w:lang w:eastAsia="it-IT"/>
              </w:rPr>
            </w:pPr>
          </w:p>
        </w:tc>
        <w:tc>
          <w:tcPr>
            <w:tcW w:w="1260" w:type="dxa"/>
          </w:tcPr>
          <w:p w14:paraId="33F28CD4" w14:textId="77777777" w:rsidR="008E3BCA" w:rsidRPr="008E3BCA" w:rsidRDefault="008E3BCA" w:rsidP="008E3BCA">
            <w:pPr>
              <w:jc w:val="center"/>
              <w:rPr>
                <w:rFonts w:cs="Arial"/>
                <w:color w:val="000000"/>
                <w:szCs w:val="22"/>
                <w:lang w:eastAsia="it-IT"/>
              </w:rPr>
            </w:pPr>
          </w:p>
        </w:tc>
        <w:tc>
          <w:tcPr>
            <w:tcW w:w="1574" w:type="dxa"/>
          </w:tcPr>
          <w:p w14:paraId="0FFA34C8" w14:textId="77777777" w:rsidR="008E3BCA" w:rsidRPr="008E3BCA" w:rsidRDefault="008E3BCA" w:rsidP="008E3BCA">
            <w:pPr>
              <w:jc w:val="center"/>
              <w:rPr>
                <w:rFonts w:cs="Arial"/>
                <w:color w:val="000000"/>
                <w:szCs w:val="22"/>
                <w:lang w:eastAsia="it-IT"/>
              </w:rPr>
            </w:pPr>
          </w:p>
        </w:tc>
      </w:tr>
      <w:tr w:rsidR="008E3BCA" w:rsidRPr="00C2587D" w14:paraId="358B1243" w14:textId="41151CD2" w:rsidTr="008E3BCA">
        <w:trPr>
          <w:trHeight w:val="254"/>
          <w:jc w:val="right"/>
        </w:trPr>
        <w:tc>
          <w:tcPr>
            <w:tcW w:w="3423" w:type="dxa"/>
            <w:shd w:val="clear" w:color="auto" w:fill="FFFFFF"/>
            <w:vAlign w:val="center"/>
          </w:tcPr>
          <w:p w14:paraId="36A0371E" w14:textId="77777777" w:rsidR="008E3BCA" w:rsidRPr="008E3BCA" w:rsidRDefault="008E3BCA" w:rsidP="008E3BCA">
            <w:pPr>
              <w:rPr>
                <w:rFonts w:cs="Arial"/>
                <w:color w:val="000000"/>
                <w:szCs w:val="22"/>
              </w:rPr>
            </w:pPr>
            <w:r w:rsidRPr="008E3BCA">
              <w:rPr>
                <w:rFonts w:cs="Arial"/>
                <w:color w:val="000000"/>
                <w:szCs w:val="22"/>
              </w:rPr>
              <w:t>- обласний бюджет</w:t>
            </w:r>
          </w:p>
        </w:tc>
        <w:tc>
          <w:tcPr>
            <w:tcW w:w="1244" w:type="dxa"/>
          </w:tcPr>
          <w:p w14:paraId="3B6F3D2F" w14:textId="61FEBBC8" w:rsidR="008E3BCA" w:rsidRPr="008E3BCA" w:rsidRDefault="008E3BCA" w:rsidP="008E3BCA">
            <w:pPr>
              <w:jc w:val="center"/>
              <w:rPr>
                <w:rFonts w:cs="Arial"/>
                <w:color w:val="000000"/>
                <w:szCs w:val="22"/>
                <w:lang w:eastAsia="it-IT"/>
              </w:rPr>
            </w:pPr>
          </w:p>
        </w:tc>
        <w:tc>
          <w:tcPr>
            <w:tcW w:w="1279" w:type="dxa"/>
            <w:gridSpan w:val="2"/>
          </w:tcPr>
          <w:p w14:paraId="6FE6432D" w14:textId="77777777" w:rsidR="008E3BCA" w:rsidRPr="008E3BCA" w:rsidRDefault="008E3BCA" w:rsidP="008E3BCA">
            <w:pPr>
              <w:jc w:val="center"/>
              <w:rPr>
                <w:rFonts w:cs="Arial"/>
                <w:color w:val="000000"/>
                <w:szCs w:val="22"/>
                <w:lang w:eastAsia="it-IT"/>
              </w:rPr>
            </w:pPr>
          </w:p>
        </w:tc>
        <w:tc>
          <w:tcPr>
            <w:tcW w:w="1439" w:type="dxa"/>
            <w:gridSpan w:val="3"/>
          </w:tcPr>
          <w:p w14:paraId="70A8BD10" w14:textId="77777777" w:rsidR="008E3BCA" w:rsidRPr="008E3BCA" w:rsidRDefault="008E3BCA" w:rsidP="008E3BCA">
            <w:pPr>
              <w:jc w:val="center"/>
              <w:rPr>
                <w:rFonts w:cs="Arial"/>
                <w:color w:val="000000"/>
                <w:szCs w:val="22"/>
                <w:lang w:eastAsia="it-IT"/>
              </w:rPr>
            </w:pPr>
          </w:p>
        </w:tc>
        <w:tc>
          <w:tcPr>
            <w:tcW w:w="1260" w:type="dxa"/>
          </w:tcPr>
          <w:p w14:paraId="0B16E598" w14:textId="77777777" w:rsidR="008E3BCA" w:rsidRPr="008E3BCA" w:rsidRDefault="008E3BCA" w:rsidP="008E3BCA">
            <w:pPr>
              <w:jc w:val="center"/>
              <w:rPr>
                <w:rFonts w:cs="Arial"/>
                <w:color w:val="000000"/>
                <w:szCs w:val="22"/>
                <w:lang w:eastAsia="it-IT"/>
              </w:rPr>
            </w:pPr>
          </w:p>
        </w:tc>
        <w:tc>
          <w:tcPr>
            <w:tcW w:w="1574" w:type="dxa"/>
          </w:tcPr>
          <w:p w14:paraId="61FF8399" w14:textId="77777777" w:rsidR="008E3BCA" w:rsidRPr="008E3BCA" w:rsidRDefault="008E3BCA" w:rsidP="008E3BCA">
            <w:pPr>
              <w:jc w:val="center"/>
              <w:rPr>
                <w:rFonts w:cs="Arial"/>
                <w:color w:val="000000"/>
                <w:szCs w:val="22"/>
                <w:lang w:eastAsia="it-IT"/>
              </w:rPr>
            </w:pPr>
          </w:p>
        </w:tc>
      </w:tr>
      <w:tr w:rsidR="008E3BCA" w:rsidRPr="00C2587D" w14:paraId="41574648" w14:textId="77777777" w:rsidTr="008E3BCA">
        <w:trPr>
          <w:trHeight w:val="254"/>
          <w:jc w:val="right"/>
        </w:trPr>
        <w:tc>
          <w:tcPr>
            <w:tcW w:w="3423" w:type="dxa"/>
            <w:shd w:val="clear" w:color="auto" w:fill="FFFFFF"/>
            <w:vAlign w:val="center"/>
          </w:tcPr>
          <w:p w14:paraId="647ACA41" w14:textId="5A172E7E" w:rsidR="008E3BCA" w:rsidRPr="008E3BCA" w:rsidRDefault="008E3BCA" w:rsidP="008E3BCA">
            <w:pPr>
              <w:rPr>
                <w:rFonts w:cs="Arial"/>
                <w:color w:val="000000"/>
                <w:szCs w:val="22"/>
              </w:rPr>
            </w:pPr>
            <w:r w:rsidRPr="008E3BCA">
              <w:rPr>
                <w:rFonts w:cs="Arial"/>
                <w:color w:val="000000"/>
                <w:szCs w:val="22"/>
              </w:rPr>
              <w:t>- бюджет Жмеринської МТГ</w:t>
            </w:r>
          </w:p>
        </w:tc>
        <w:tc>
          <w:tcPr>
            <w:tcW w:w="1244" w:type="dxa"/>
          </w:tcPr>
          <w:p w14:paraId="55AE0990" w14:textId="77777777" w:rsidR="008E3BCA" w:rsidRPr="008E3BCA" w:rsidRDefault="008E3BCA" w:rsidP="008E3BCA">
            <w:pPr>
              <w:jc w:val="center"/>
              <w:rPr>
                <w:rFonts w:cs="Arial"/>
                <w:color w:val="000000"/>
                <w:szCs w:val="22"/>
                <w:lang w:eastAsia="it-IT"/>
              </w:rPr>
            </w:pPr>
          </w:p>
        </w:tc>
        <w:tc>
          <w:tcPr>
            <w:tcW w:w="1279" w:type="dxa"/>
            <w:gridSpan w:val="2"/>
          </w:tcPr>
          <w:p w14:paraId="10B1AD03" w14:textId="7D40D858" w:rsidR="008E3BCA" w:rsidRPr="008E3BCA" w:rsidRDefault="008E3BCA" w:rsidP="008E3BCA">
            <w:pPr>
              <w:jc w:val="center"/>
              <w:rPr>
                <w:rFonts w:cs="Arial"/>
                <w:color w:val="000000"/>
                <w:szCs w:val="22"/>
                <w:lang w:eastAsia="it-IT"/>
              </w:rPr>
            </w:pPr>
            <w:r w:rsidRPr="008E3BCA">
              <w:rPr>
                <w:rFonts w:cs="Arial"/>
                <w:color w:val="000000"/>
                <w:szCs w:val="22"/>
                <w:lang w:eastAsia="it-IT"/>
              </w:rPr>
              <w:t>1500,00</w:t>
            </w:r>
          </w:p>
        </w:tc>
        <w:tc>
          <w:tcPr>
            <w:tcW w:w="1439" w:type="dxa"/>
            <w:gridSpan w:val="3"/>
          </w:tcPr>
          <w:p w14:paraId="0B46FB73" w14:textId="77777777" w:rsidR="008E3BCA" w:rsidRPr="008E3BCA" w:rsidRDefault="008E3BCA" w:rsidP="008E3BCA">
            <w:pPr>
              <w:jc w:val="center"/>
              <w:rPr>
                <w:rFonts w:cs="Arial"/>
                <w:color w:val="000000"/>
                <w:szCs w:val="22"/>
                <w:lang w:eastAsia="it-IT"/>
              </w:rPr>
            </w:pPr>
          </w:p>
        </w:tc>
        <w:tc>
          <w:tcPr>
            <w:tcW w:w="1260" w:type="dxa"/>
          </w:tcPr>
          <w:p w14:paraId="3D291676" w14:textId="77777777" w:rsidR="008E3BCA" w:rsidRPr="008E3BCA" w:rsidRDefault="008E3BCA" w:rsidP="008E3BCA">
            <w:pPr>
              <w:jc w:val="center"/>
              <w:rPr>
                <w:rFonts w:cs="Arial"/>
                <w:color w:val="000000"/>
                <w:szCs w:val="22"/>
                <w:lang w:eastAsia="it-IT"/>
              </w:rPr>
            </w:pPr>
          </w:p>
        </w:tc>
        <w:tc>
          <w:tcPr>
            <w:tcW w:w="1574" w:type="dxa"/>
          </w:tcPr>
          <w:p w14:paraId="6C4F82BC" w14:textId="322FCDA7" w:rsidR="008E3BCA" w:rsidRPr="008E3BCA" w:rsidRDefault="008E3BCA" w:rsidP="008E3BCA">
            <w:pPr>
              <w:jc w:val="center"/>
              <w:rPr>
                <w:rFonts w:cs="Arial"/>
                <w:b/>
                <w:color w:val="000000"/>
                <w:szCs w:val="22"/>
                <w:lang w:eastAsia="it-IT"/>
              </w:rPr>
            </w:pPr>
            <w:r w:rsidRPr="008E3BCA">
              <w:rPr>
                <w:rFonts w:cs="Arial"/>
                <w:b/>
                <w:color w:val="000000"/>
                <w:szCs w:val="22"/>
                <w:lang w:eastAsia="it-IT"/>
              </w:rPr>
              <w:t>1500,00</w:t>
            </w:r>
          </w:p>
        </w:tc>
      </w:tr>
      <w:tr w:rsidR="00E97953" w:rsidRPr="00C2587D" w14:paraId="5387E0FC" w14:textId="6D92D603" w:rsidTr="00E97953">
        <w:trPr>
          <w:trHeight w:val="226"/>
          <w:jc w:val="right"/>
        </w:trPr>
        <w:tc>
          <w:tcPr>
            <w:tcW w:w="3423" w:type="dxa"/>
            <w:shd w:val="clear" w:color="auto" w:fill="FFFFFF"/>
            <w:vAlign w:val="center"/>
          </w:tcPr>
          <w:p w14:paraId="6C249C49" w14:textId="77777777" w:rsidR="00E97953" w:rsidRPr="008E3BCA" w:rsidRDefault="00E97953" w:rsidP="008E3BCA">
            <w:pPr>
              <w:rPr>
                <w:rFonts w:cs="Arial"/>
                <w:color w:val="000000"/>
                <w:szCs w:val="22"/>
              </w:rPr>
            </w:pPr>
            <w:r w:rsidRPr="008E3BCA">
              <w:rPr>
                <w:rFonts w:cs="Arial"/>
                <w:color w:val="000000"/>
                <w:szCs w:val="22"/>
              </w:rPr>
              <w:t>- інші джерела фінансування</w:t>
            </w:r>
          </w:p>
        </w:tc>
        <w:tc>
          <w:tcPr>
            <w:tcW w:w="1244" w:type="dxa"/>
            <w:vAlign w:val="center"/>
          </w:tcPr>
          <w:p w14:paraId="538C96F4" w14:textId="5CB0608B" w:rsidR="00E97953" w:rsidRPr="008E3BCA" w:rsidRDefault="00E97953" w:rsidP="008E3BCA">
            <w:pPr>
              <w:jc w:val="both"/>
              <w:rPr>
                <w:rFonts w:cs="Arial"/>
                <w:color w:val="000000"/>
                <w:szCs w:val="22"/>
                <w:lang w:eastAsia="it-IT"/>
              </w:rPr>
            </w:pPr>
          </w:p>
        </w:tc>
        <w:tc>
          <w:tcPr>
            <w:tcW w:w="1279" w:type="dxa"/>
            <w:gridSpan w:val="2"/>
            <w:vAlign w:val="center"/>
          </w:tcPr>
          <w:p w14:paraId="2F29EA4A" w14:textId="390BF796" w:rsidR="00E97953" w:rsidRPr="008E3BCA" w:rsidRDefault="00E97953" w:rsidP="008E3BCA">
            <w:pPr>
              <w:jc w:val="both"/>
              <w:rPr>
                <w:rFonts w:cs="Arial"/>
                <w:color w:val="000000"/>
                <w:szCs w:val="22"/>
                <w:lang w:eastAsia="it-IT"/>
              </w:rPr>
            </w:pPr>
          </w:p>
        </w:tc>
        <w:tc>
          <w:tcPr>
            <w:tcW w:w="1439" w:type="dxa"/>
            <w:gridSpan w:val="3"/>
            <w:vAlign w:val="center"/>
          </w:tcPr>
          <w:p w14:paraId="054E5527" w14:textId="49A6E0A9" w:rsidR="00E97953" w:rsidRPr="008E3BCA" w:rsidRDefault="00E97953" w:rsidP="008E3BCA">
            <w:pPr>
              <w:jc w:val="both"/>
              <w:rPr>
                <w:rFonts w:cs="Arial"/>
                <w:color w:val="000000"/>
                <w:szCs w:val="22"/>
                <w:lang w:eastAsia="it-IT"/>
              </w:rPr>
            </w:pPr>
          </w:p>
        </w:tc>
        <w:tc>
          <w:tcPr>
            <w:tcW w:w="1256" w:type="dxa"/>
            <w:vAlign w:val="center"/>
          </w:tcPr>
          <w:p w14:paraId="7F028FD7" w14:textId="64B9F194" w:rsidR="00E97953" w:rsidRPr="008E3BCA" w:rsidRDefault="00E97953" w:rsidP="008E3BCA">
            <w:pPr>
              <w:ind w:left="1047"/>
              <w:jc w:val="both"/>
              <w:rPr>
                <w:rFonts w:cs="Arial"/>
                <w:color w:val="000000"/>
                <w:szCs w:val="22"/>
                <w:lang w:eastAsia="it-IT"/>
              </w:rPr>
            </w:pPr>
          </w:p>
        </w:tc>
        <w:tc>
          <w:tcPr>
            <w:tcW w:w="1578" w:type="dxa"/>
            <w:vAlign w:val="center"/>
          </w:tcPr>
          <w:p w14:paraId="3529241B" w14:textId="77777777" w:rsidR="00E97953" w:rsidRPr="008E3BCA" w:rsidRDefault="00E97953" w:rsidP="008E3BCA">
            <w:pPr>
              <w:ind w:left="1047"/>
              <w:jc w:val="both"/>
              <w:rPr>
                <w:rFonts w:cs="Arial"/>
                <w:color w:val="000000"/>
                <w:szCs w:val="22"/>
                <w:lang w:eastAsia="it-IT"/>
              </w:rPr>
            </w:pPr>
          </w:p>
        </w:tc>
      </w:tr>
      <w:tr w:rsidR="008E3BCA" w:rsidRPr="00C2587D" w14:paraId="3EDE7737" w14:textId="77777777" w:rsidTr="008E3BCA">
        <w:trPr>
          <w:jc w:val="right"/>
        </w:trPr>
        <w:tc>
          <w:tcPr>
            <w:tcW w:w="3423" w:type="dxa"/>
            <w:shd w:val="clear" w:color="auto" w:fill="FFFFFF"/>
            <w:vAlign w:val="center"/>
          </w:tcPr>
          <w:p w14:paraId="1ECF154A" w14:textId="77777777" w:rsidR="008E3BCA" w:rsidRPr="008E3BCA" w:rsidRDefault="008E3BCA" w:rsidP="008E3BCA">
            <w:pPr>
              <w:rPr>
                <w:rFonts w:cs="Arial"/>
                <w:b/>
                <w:bCs/>
                <w:color w:val="000000"/>
                <w:szCs w:val="22"/>
              </w:rPr>
            </w:pPr>
            <w:r w:rsidRPr="008E3BCA">
              <w:rPr>
                <w:rFonts w:cs="Arial"/>
                <w:b/>
                <w:color w:val="000000"/>
                <w:szCs w:val="22"/>
              </w:rPr>
              <w:t>Відповідальний виконавець проєкту:</w:t>
            </w:r>
          </w:p>
        </w:tc>
        <w:tc>
          <w:tcPr>
            <w:tcW w:w="6796" w:type="dxa"/>
            <w:gridSpan w:val="8"/>
            <w:vAlign w:val="center"/>
          </w:tcPr>
          <w:p w14:paraId="09708763" w14:textId="77777777" w:rsidR="008E3BCA" w:rsidRPr="008E3BCA" w:rsidRDefault="008E3BCA" w:rsidP="008E3BCA">
            <w:pPr>
              <w:jc w:val="both"/>
              <w:rPr>
                <w:rFonts w:cs="Arial"/>
                <w:color w:val="000000"/>
                <w:szCs w:val="22"/>
                <w:lang w:eastAsia="it-IT"/>
              </w:rPr>
            </w:pPr>
            <w:r w:rsidRPr="008E3BCA">
              <w:rPr>
                <w:rFonts w:cs="Arial"/>
                <w:color w:val="000000"/>
                <w:szCs w:val="22"/>
                <w:lang w:eastAsia="it-IT"/>
              </w:rPr>
              <w:t>Управління ЖКГ</w:t>
            </w:r>
          </w:p>
          <w:p w14:paraId="3D0689BA" w14:textId="77777777" w:rsidR="008E3BCA" w:rsidRPr="008E3BCA" w:rsidRDefault="008E3BCA" w:rsidP="008E3BCA">
            <w:pPr>
              <w:jc w:val="both"/>
              <w:rPr>
                <w:rFonts w:cs="Arial"/>
                <w:color w:val="000000"/>
                <w:szCs w:val="22"/>
                <w:lang w:eastAsia="it-IT"/>
              </w:rPr>
            </w:pPr>
            <w:r w:rsidRPr="008E3BCA">
              <w:rPr>
                <w:rFonts w:cs="Arial"/>
                <w:color w:val="000000"/>
                <w:szCs w:val="22"/>
                <w:lang w:eastAsia="it-IT"/>
              </w:rPr>
              <w:t xml:space="preserve">КП «Браїлів-комунсервіс» Жмеринської міської ради </w:t>
            </w:r>
          </w:p>
        </w:tc>
      </w:tr>
      <w:tr w:rsidR="008E3BCA" w:rsidRPr="00C2587D" w14:paraId="5627DDF1" w14:textId="77777777" w:rsidTr="008E3BCA">
        <w:trPr>
          <w:jc w:val="right"/>
        </w:trPr>
        <w:tc>
          <w:tcPr>
            <w:tcW w:w="3423" w:type="dxa"/>
            <w:shd w:val="clear" w:color="auto" w:fill="FFFFFF"/>
            <w:vAlign w:val="center"/>
          </w:tcPr>
          <w:p w14:paraId="7790603B" w14:textId="77777777" w:rsidR="008E3BCA" w:rsidRPr="008E3BCA" w:rsidRDefault="008E3BCA" w:rsidP="008E3BCA">
            <w:pPr>
              <w:rPr>
                <w:rFonts w:cs="Arial"/>
                <w:b/>
                <w:bCs/>
                <w:color w:val="000000"/>
                <w:szCs w:val="22"/>
              </w:rPr>
            </w:pPr>
            <w:r w:rsidRPr="008E3BCA">
              <w:rPr>
                <w:rFonts w:cs="Arial"/>
                <w:b/>
                <w:bCs/>
                <w:color w:val="000000"/>
                <w:szCs w:val="22"/>
              </w:rPr>
              <w:t>Інше:</w:t>
            </w:r>
          </w:p>
        </w:tc>
        <w:tc>
          <w:tcPr>
            <w:tcW w:w="6796" w:type="dxa"/>
            <w:gridSpan w:val="8"/>
            <w:vAlign w:val="center"/>
          </w:tcPr>
          <w:p w14:paraId="4334A843" w14:textId="77777777" w:rsidR="008E3BCA" w:rsidRPr="008E3BCA" w:rsidRDefault="008E3BCA" w:rsidP="008E3BCA">
            <w:pPr>
              <w:rPr>
                <w:rFonts w:cs="Arial"/>
                <w:color w:val="000000"/>
                <w:szCs w:val="22"/>
                <w:lang w:eastAsia="it-IT"/>
              </w:rPr>
            </w:pPr>
          </w:p>
        </w:tc>
      </w:tr>
    </w:tbl>
    <w:p w14:paraId="527A4AF4" w14:textId="569A8884" w:rsidR="00CB33C7" w:rsidRDefault="00CB33C7" w:rsidP="00CB33C7"/>
    <w:p w14:paraId="017411E3" w14:textId="77777777" w:rsidR="008E3BCA" w:rsidRPr="00C2587D" w:rsidRDefault="008E3BCA" w:rsidP="00CB33C7"/>
    <w:p w14:paraId="14BF41FA" w14:textId="77777777" w:rsidR="00CB33C7" w:rsidRPr="00C2587D" w:rsidRDefault="00CB33C7" w:rsidP="00CB33C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0852CA26" w14:textId="77777777" w:rsidR="00CB33C7" w:rsidRPr="00C2587D" w:rsidRDefault="00CB33C7" w:rsidP="00CB33C7">
      <w:pPr>
        <w:jc w:val="center"/>
        <w:rPr>
          <w:rFonts w:cs="Arial"/>
          <w:b/>
          <w:color w:val="000000"/>
          <w:szCs w:val="22"/>
        </w:rPr>
      </w:pPr>
      <w:r w:rsidRPr="00C2587D">
        <w:rPr>
          <w:rFonts w:cs="Arial"/>
          <w:b/>
          <w:color w:val="000000"/>
          <w:szCs w:val="22"/>
        </w:rPr>
        <w:t>до Плану заходів з реалізації Стратегії</w:t>
      </w:r>
    </w:p>
    <w:p w14:paraId="6B21BB5D" w14:textId="77777777" w:rsidR="00CB33C7" w:rsidRPr="00C2587D" w:rsidRDefault="00CB33C7" w:rsidP="00CB33C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3"/>
        <w:gridCol w:w="1254"/>
        <w:gridCol w:w="36"/>
        <w:gridCol w:w="1239"/>
        <w:gridCol w:w="28"/>
        <w:gridCol w:w="1393"/>
        <w:gridCol w:w="1256"/>
        <w:gridCol w:w="20"/>
        <w:gridCol w:w="1570"/>
      </w:tblGrid>
      <w:tr w:rsidR="00CB33C7" w:rsidRPr="00C2587D" w14:paraId="657B6FA3" w14:textId="77777777" w:rsidTr="00936434">
        <w:trPr>
          <w:jc w:val="right"/>
        </w:trPr>
        <w:tc>
          <w:tcPr>
            <w:tcW w:w="3423" w:type="dxa"/>
            <w:vAlign w:val="center"/>
          </w:tcPr>
          <w:p w14:paraId="081DDB65" w14:textId="77777777" w:rsidR="00CB33C7" w:rsidRPr="008E3BCA" w:rsidRDefault="00CB33C7" w:rsidP="008E3BCA">
            <w:pPr>
              <w:rPr>
                <w:rFonts w:cs="Arial"/>
                <w:b/>
                <w:bCs/>
                <w:color w:val="000000"/>
                <w:szCs w:val="22"/>
              </w:rPr>
            </w:pPr>
            <w:r w:rsidRPr="008E3BCA">
              <w:rPr>
                <w:rFonts w:cs="Arial"/>
                <w:b/>
                <w:bCs/>
                <w:color w:val="000000"/>
                <w:szCs w:val="22"/>
              </w:rPr>
              <w:t>Назва проєкту:</w:t>
            </w:r>
          </w:p>
        </w:tc>
        <w:tc>
          <w:tcPr>
            <w:tcW w:w="6796" w:type="dxa"/>
            <w:gridSpan w:val="8"/>
          </w:tcPr>
          <w:p w14:paraId="7C7667DC" w14:textId="77777777" w:rsidR="00CB33C7" w:rsidRPr="008E3BCA" w:rsidRDefault="00CB33C7" w:rsidP="008E3BCA">
            <w:pPr>
              <w:jc w:val="both"/>
              <w:rPr>
                <w:rFonts w:cs="Arial"/>
                <w:b/>
                <w:szCs w:val="22"/>
                <w:lang w:eastAsia="it-IT"/>
              </w:rPr>
            </w:pPr>
            <w:r w:rsidRPr="008E3BCA">
              <w:rPr>
                <w:rFonts w:cs="Arial"/>
                <w:b/>
                <w:szCs w:val="22"/>
                <w:lang w:eastAsia="it-IT"/>
              </w:rPr>
              <w:t>Реконструкція мереж водопостачання по вулиці Центральна, Нова, 8-го Березня, Монастирська, Північна, Миколи Лисинка, Різдвяна та Володимира Забаштанського в селищі Браїлів, Жмеринського району, Вінницької області</w:t>
            </w:r>
          </w:p>
        </w:tc>
      </w:tr>
      <w:tr w:rsidR="00CB33C7" w:rsidRPr="00C2587D" w14:paraId="6C773AD9" w14:textId="77777777" w:rsidTr="00936434">
        <w:trPr>
          <w:jc w:val="right"/>
        </w:trPr>
        <w:tc>
          <w:tcPr>
            <w:tcW w:w="3423" w:type="dxa"/>
          </w:tcPr>
          <w:p w14:paraId="4B769ED9" w14:textId="77777777" w:rsidR="00CB33C7" w:rsidRPr="008E3BCA" w:rsidRDefault="00CB33C7" w:rsidP="008E3BCA">
            <w:pPr>
              <w:rPr>
                <w:rFonts w:cs="Arial"/>
                <w:szCs w:val="22"/>
                <w:lang w:eastAsia="it-IT"/>
              </w:rPr>
            </w:pPr>
            <w:r w:rsidRPr="008E3BCA">
              <w:rPr>
                <w:rFonts w:cs="Arial"/>
                <w:b/>
                <w:bCs/>
                <w:szCs w:val="22"/>
              </w:rPr>
              <w:t>Ваші контакти</w:t>
            </w:r>
            <w:r w:rsidRPr="008E3BCA">
              <w:rPr>
                <w:rFonts w:cs="Arial"/>
                <w:szCs w:val="22"/>
                <w:lang w:eastAsia="it-IT"/>
              </w:rPr>
              <w:t>:</w:t>
            </w:r>
          </w:p>
          <w:p w14:paraId="20B8D47C" w14:textId="77777777" w:rsidR="00CB33C7" w:rsidRPr="008E3BCA" w:rsidRDefault="00CB33C7" w:rsidP="008E3BCA">
            <w:pPr>
              <w:rPr>
                <w:rFonts w:cs="Arial"/>
                <w:b/>
                <w:bCs/>
                <w:szCs w:val="22"/>
              </w:rPr>
            </w:pPr>
            <w:r w:rsidRPr="008E3BCA">
              <w:rPr>
                <w:rFonts w:cs="Arial"/>
                <w:szCs w:val="22"/>
                <w:lang w:eastAsia="it-IT"/>
              </w:rPr>
              <w:t>Назва установи, організації, підприємства</w:t>
            </w:r>
          </w:p>
        </w:tc>
        <w:tc>
          <w:tcPr>
            <w:tcW w:w="6796" w:type="dxa"/>
            <w:gridSpan w:val="8"/>
          </w:tcPr>
          <w:p w14:paraId="6DBC50DE" w14:textId="77777777" w:rsidR="00CB33C7" w:rsidRPr="008E3BCA" w:rsidRDefault="00CB33C7" w:rsidP="008E3BCA">
            <w:pPr>
              <w:rPr>
                <w:rFonts w:cs="Arial"/>
                <w:szCs w:val="22"/>
                <w:lang w:eastAsia="it-IT"/>
              </w:rPr>
            </w:pPr>
            <w:r w:rsidRPr="008E3BCA">
              <w:rPr>
                <w:rFonts w:cs="Arial"/>
                <w:szCs w:val="22"/>
                <w:lang w:eastAsia="it-IT"/>
              </w:rPr>
              <w:t>КП «Браїлів-комунсервіс» Жмеринської міської ради</w:t>
            </w:r>
          </w:p>
        </w:tc>
      </w:tr>
      <w:tr w:rsidR="00CB33C7" w:rsidRPr="00C2587D" w14:paraId="5E0C5D5E" w14:textId="77777777" w:rsidTr="00936434">
        <w:trPr>
          <w:jc w:val="right"/>
        </w:trPr>
        <w:tc>
          <w:tcPr>
            <w:tcW w:w="3423" w:type="dxa"/>
          </w:tcPr>
          <w:p w14:paraId="35198DBF" w14:textId="77777777" w:rsidR="00CB33C7" w:rsidRPr="008E3BCA" w:rsidRDefault="00CB33C7" w:rsidP="008E3BCA">
            <w:pPr>
              <w:rPr>
                <w:rFonts w:cs="Arial"/>
                <w:b/>
                <w:bCs/>
                <w:szCs w:val="22"/>
              </w:rPr>
            </w:pPr>
            <w:r w:rsidRPr="008E3BCA">
              <w:rPr>
                <w:rFonts w:cs="Arial"/>
                <w:szCs w:val="22"/>
                <w:lang w:eastAsia="it-IT"/>
              </w:rPr>
              <w:t>Прізвище Ім’я По-батькові:</w:t>
            </w:r>
          </w:p>
        </w:tc>
        <w:tc>
          <w:tcPr>
            <w:tcW w:w="6796" w:type="dxa"/>
            <w:gridSpan w:val="8"/>
          </w:tcPr>
          <w:p w14:paraId="305F960E" w14:textId="77777777" w:rsidR="00CB33C7" w:rsidRPr="008E3BCA" w:rsidRDefault="00CB33C7" w:rsidP="008E3BCA">
            <w:pPr>
              <w:rPr>
                <w:rFonts w:cs="Arial"/>
                <w:szCs w:val="22"/>
                <w:lang w:eastAsia="it-IT"/>
              </w:rPr>
            </w:pPr>
            <w:r w:rsidRPr="008E3BCA">
              <w:rPr>
                <w:rFonts w:cs="Arial"/>
                <w:szCs w:val="22"/>
                <w:lang w:eastAsia="it-IT"/>
              </w:rPr>
              <w:t>Резедент Валерій Дмитрович</w:t>
            </w:r>
          </w:p>
        </w:tc>
      </w:tr>
      <w:tr w:rsidR="00CB33C7" w:rsidRPr="00C2587D" w14:paraId="372DD34F" w14:textId="77777777" w:rsidTr="00936434">
        <w:trPr>
          <w:jc w:val="right"/>
        </w:trPr>
        <w:tc>
          <w:tcPr>
            <w:tcW w:w="3423" w:type="dxa"/>
          </w:tcPr>
          <w:p w14:paraId="1B66C787" w14:textId="77777777" w:rsidR="00CB33C7" w:rsidRPr="008E3BCA" w:rsidRDefault="00CB33C7" w:rsidP="008E3BCA">
            <w:pPr>
              <w:rPr>
                <w:rFonts w:cs="Arial"/>
                <w:b/>
                <w:bCs/>
                <w:szCs w:val="22"/>
              </w:rPr>
            </w:pPr>
            <w:r w:rsidRPr="008E3BCA">
              <w:rPr>
                <w:rFonts w:cs="Arial"/>
                <w:szCs w:val="22"/>
                <w:lang w:eastAsia="it-IT"/>
              </w:rPr>
              <w:t>Телефон (мобільний):</w:t>
            </w:r>
          </w:p>
        </w:tc>
        <w:tc>
          <w:tcPr>
            <w:tcW w:w="6796" w:type="dxa"/>
            <w:gridSpan w:val="8"/>
          </w:tcPr>
          <w:p w14:paraId="51013A7E" w14:textId="77777777" w:rsidR="00CB33C7" w:rsidRPr="008E3BCA" w:rsidRDefault="00CB33C7" w:rsidP="008E3BCA">
            <w:pPr>
              <w:rPr>
                <w:rFonts w:cs="Arial"/>
                <w:szCs w:val="22"/>
                <w:lang w:eastAsia="it-IT"/>
              </w:rPr>
            </w:pPr>
            <w:r w:rsidRPr="008E3BCA">
              <w:rPr>
                <w:rFonts w:cs="Arial"/>
                <w:szCs w:val="22"/>
                <w:lang w:eastAsia="it-IT"/>
              </w:rPr>
              <w:t>0674041516</w:t>
            </w:r>
          </w:p>
        </w:tc>
      </w:tr>
      <w:tr w:rsidR="00CB33C7" w:rsidRPr="00C2587D" w14:paraId="01C3B728" w14:textId="77777777" w:rsidTr="00936434">
        <w:trPr>
          <w:jc w:val="right"/>
        </w:trPr>
        <w:tc>
          <w:tcPr>
            <w:tcW w:w="3423" w:type="dxa"/>
          </w:tcPr>
          <w:p w14:paraId="741047E0" w14:textId="77777777" w:rsidR="00CB33C7" w:rsidRPr="008E3BCA" w:rsidRDefault="00CB33C7" w:rsidP="008E3BCA">
            <w:pPr>
              <w:rPr>
                <w:rFonts w:cs="Arial"/>
                <w:b/>
                <w:bCs/>
                <w:szCs w:val="22"/>
              </w:rPr>
            </w:pPr>
            <w:r w:rsidRPr="008E3BCA">
              <w:rPr>
                <w:rFonts w:cs="Arial"/>
                <w:szCs w:val="22"/>
                <w:lang w:eastAsia="it-IT"/>
              </w:rPr>
              <w:t>Електронна адреса:</w:t>
            </w:r>
          </w:p>
        </w:tc>
        <w:tc>
          <w:tcPr>
            <w:tcW w:w="6796" w:type="dxa"/>
            <w:gridSpan w:val="8"/>
          </w:tcPr>
          <w:p w14:paraId="2FA255D6" w14:textId="77777777" w:rsidR="00CB33C7" w:rsidRPr="008E3BCA" w:rsidRDefault="00CB33C7" w:rsidP="008E3BCA">
            <w:pPr>
              <w:rPr>
                <w:rFonts w:cs="Arial"/>
                <w:szCs w:val="22"/>
                <w:lang w:eastAsia="it-IT"/>
              </w:rPr>
            </w:pPr>
            <w:r w:rsidRPr="008E3BCA">
              <w:rPr>
                <w:rFonts w:cs="Arial"/>
                <w:szCs w:val="22"/>
                <w:lang w:eastAsia="it-IT"/>
              </w:rPr>
              <w:t>brailivks@gmail.com</w:t>
            </w:r>
          </w:p>
        </w:tc>
      </w:tr>
      <w:tr w:rsidR="00CB33C7" w:rsidRPr="00C2587D" w14:paraId="42621F86" w14:textId="77777777" w:rsidTr="00936434">
        <w:trPr>
          <w:jc w:val="right"/>
        </w:trPr>
        <w:tc>
          <w:tcPr>
            <w:tcW w:w="3423" w:type="dxa"/>
            <w:vAlign w:val="center"/>
          </w:tcPr>
          <w:p w14:paraId="4C5626CA" w14:textId="77777777" w:rsidR="00CB33C7" w:rsidRPr="008E3BCA" w:rsidRDefault="00CB33C7" w:rsidP="008E3BCA">
            <w:pPr>
              <w:pStyle w:val="6"/>
              <w:spacing w:before="0" w:after="0"/>
              <w:rPr>
                <w:rFonts w:ascii="Arial" w:hAnsi="Arial" w:cs="Arial"/>
                <w:color w:val="000000"/>
                <w:lang w:val="uk-UA"/>
              </w:rPr>
            </w:pPr>
            <w:r w:rsidRPr="008E3BCA">
              <w:rPr>
                <w:rFonts w:ascii="Arial" w:hAnsi="Arial" w:cs="Arial"/>
                <w:color w:val="000000"/>
                <w:lang w:val="uk-UA"/>
              </w:rPr>
              <w:t>Номер і назва завдання з Стратегії</w:t>
            </w:r>
            <w:r w:rsidRPr="008E3BCA">
              <w:rPr>
                <w:rFonts w:ascii="Arial" w:hAnsi="Arial" w:cs="Arial"/>
                <w:lang w:val="uk-UA" w:eastAsia="it-IT"/>
              </w:rPr>
              <w:t xml:space="preserve"> </w:t>
            </w:r>
            <w:r w:rsidRPr="008E3BCA">
              <w:rPr>
                <w:rFonts w:ascii="Arial" w:hAnsi="Arial" w:cs="Arial"/>
                <w:color w:val="000000"/>
                <w:lang w:val="uk-UA"/>
              </w:rPr>
              <w:t>розвитку Жмеринської міської територіальної громади,  якому відповідає проєкт:</w:t>
            </w:r>
          </w:p>
        </w:tc>
        <w:tc>
          <w:tcPr>
            <w:tcW w:w="6796" w:type="dxa"/>
            <w:gridSpan w:val="8"/>
          </w:tcPr>
          <w:p w14:paraId="201AE223" w14:textId="77777777" w:rsidR="00CB33C7" w:rsidRPr="008E3BCA" w:rsidRDefault="00CB33C7" w:rsidP="008E3BCA">
            <w:pPr>
              <w:pBdr>
                <w:left w:val="single" w:sz="18" w:space="4" w:color="auto"/>
              </w:pBdr>
              <w:jc w:val="both"/>
              <w:rPr>
                <w:rFonts w:cs="Arial"/>
                <w:szCs w:val="22"/>
                <w:lang w:eastAsia="it-IT"/>
              </w:rPr>
            </w:pPr>
            <w:r w:rsidRPr="008E3BCA">
              <w:rPr>
                <w:rFonts w:cs="Arial"/>
                <w:szCs w:val="22"/>
                <w:lang w:eastAsia="it-IT"/>
              </w:rPr>
              <w:t>В.1.3.1.Будівництво нових, реконструкція, капітальний ремонт, модернізація мереж централізованої системи водопостачання, водовідведення та каналізація.</w:t>
            </w:r>
          </w:p>
        </w:tc>
      </w:tr>
      <w:tr w:rsidR="00CB33C7" w:rsidRPr="00C2587D" w14:paraId="66E994DE" w14:textId="77777777" w:rsidTr="00936434">
        <w:trPr>
          <w:jc w:val="right"/>
        </w:trPr>
        <w:tc>
          <w:tcPr>
            <w:tcW w:w="3423" w:type="dxa"/>
            <w:vAlign w:val="center"/>
          </w:tcPr>
          <w:p w14:paraId="4960241B" w14:textId="77777777" w:rsidR="00CB33C7" w:rsidRPr="008E3BCA" w:rsidRDefault="00CB33C7" w:rsidP="008E3BCA">
            <w:pPr>
              <w:rPr>
                <w:rFonts w:cs="Arial"/>
                <w:b/>
                <w:bCs/>
                <w:color w:val="000000"/>
                <w:szCs w:val="22"/>
              </w:rPr>
            </w:pPr>
            <w:r w:rsidRPr="008E3BCA">
              <w:rPr>
                <w:rFonts w:cs="Arial"/>
                <w:b/>
                <w:bCs/>
                <w:color w:val="000000"/>
                <w:szCs w:val="22"/>
              </w:rPr>
              <w:t>Мета проєкту:</w:t>
            </w:r>
          </w:p>
        </w:tc>
        <w:tc>
          <w:tcPr>
            <w:tcW w:w="6796" w:type="dxa"/>
            <w:gridSpan w:val="8"/>
          </w:tcPr>
          <w:p w14:paraId="08560424" w14:textId="77777777" w:rsidR="00CB33C7" w:rsidRPr="008E3BCA" w:rsidRDefault="00CB33C7" w:rsidP="008E3BCA">
            <w:pPr>
              <w:jc w:val="both"/>
              <w:rPr>
                <w:rFonts w:cs="Arial"/>
                <w:szCs w:val="22"/>
                <w:lang w:eastAsia="it-IT"/>
              </w:rPr>
            </w:pPr>
            <w:r w:rsidRPr="008E3BCA">
              <w:rPr>
                <w:rFonts w:cs="Arial"/>
                <w:szCs w:val="22"/>
                <w:lang w:eastAsia="it-IT"/>
              </w:rPr>
              <w:t>Надання мешканцям селища Браїлів якісних послух з водопостачання.</w:t>
            </w:r>
          </w:p>
        </w:tc>
      </w:tr>
      <w:tr w:rsidR="00CB33C7" w:rsidRPr="00C2587D" w14:paraId="3DACB0E2" w14:textId="77777777" w:rsidTr="00936434">
        <w:trPr>
          <w:jc w:val="right"/>
        </w:trPr>
        <w:tc>
          <w:tcPr>
            <w:tcW w:w="3423" w:type="dxa"/>
            <w:vAlign w:val="center"/>
          </w:tcPr>
          <w:p w14:paraId="2A0106E7" w14:textId="77777777" w:rsidR="00CB33C7" w:rsidRPr="008E3BCA" w:rsidRDefault="00CB33C7" w:rsidP="008E3BCA">
            <w:pPr>
              <w:rPr>
                <w:rFonts w:cs="Arial"/>
                <w:b/>
                <w:bCs/>
                <w:color w:val="000000"/>
                <w:szCs w:val="22"/>
              </w:rPr>
            </w:pPr>
            <w:r w:rsidRPr="008E3BCA">
              <w:rPr>
                <w:rFonts w:cs="Arial"/>
                <w:b/>
                <w:bCs/>
                <w:color w:val="000000"/>
                <w:szCs w:val="22"/>
              </w:rPr>
              <w:t>Цілі проєкту:</w:t>
            </w:r>
          </w:p>
        </w:tc>
        <w:tc>
          <w:tcPr>
            <w:tcW w:w="6796" w:type="dxa"/>
            <w:gridSpan w:val="8"/>
          </w:tcPr>
          <w:p w14:paraId="0472A83C" w14:textId="77777777" w:rsidR="00CB33C7" w:rsidRPr="008E3BCA" w:rsidRDefault="00CB33C7" w:rsidP="008E3BCA">
            <w:pPr>
              <w:jc w:val="both"/>
              <w:rPr>
                <w:rFonts w:cs="Arial"/>
                <w:szCs w:val="22"/>
                <w:lang w:eastAsia="it-IT"/>
              </w:rPr>
            </w:pPr>
            <w:r w:rsidRPr="008E3BCA">
              <w:rPr>
                <w:rFonts w:cs="Arial"/>
                <w:szCs w:val="22"/>
                <w:lang w:eastAsia="it-IT"/>
              </w:rPr>
              <w:t>Зменшення аварійності на мережах водопостачання до 50% в порівнянні з попереднім роком. Зменшення втрат питної води. Збереження дорожнього покриття.</w:t>
            </w:r>
          </w:p>
        </w:tc>
      </w:tr>
      <w:tr w:rsidR="00CB33C7" w:rsidRPr="00C2587D" w14:paraId="069A7343" w14:textId="77777777" w:rsidTr="00936434">
        <w:trPr>
          <w:jc w:val="right"/>
        </w:trPr>
        <w:tc>
          <w:tcPr>
            <w:tcW w:w="3423" w:type="dxa"/>
            <w:vAlign w:val="center"/>
          </w:tcPr>
          <w:p w14:paraId="250A9297" w14:textId="77777777" w:rsidR="00CB33C7" w:rsidRPr="008E3BCA" w:rsidRDefault="00CB33C7" w:rsidP="008E3BCA">
            <w:pPr>
              <w:autoSpaceDE w:val="0"/>
              <w:autoSpaceDN w:val="0"/>
              <w:adjustRightInd w:val="0"/>
              <w:rPr>
                <w:rFonts w:cs="Arial"/>
                <w:b/>
                <w:color w:val="000000"/>
                <w:szCs w:val="22"/>
              </w:rPr>
            </w:pPr>
            <w:r w:rsidRPr="008E3BCA">
              <w:rPr>
                <w:rFonts w:cs="Arial"/>
                <w:b/>
                <w:color w:val="000000"/>
                <w:szCs w:val="22"/>
              </w:rPr>
              <w:t>Територія на яку проєкт матиме вплив:</w:t>
            </w:r>
          </w:p>
        </w:tc>
        <w:tc>
          <w:tcPr>
            <w:tcW w:w="6796" w:type="dxa"/>
            <w:gridSpan w:val="8"/>
          </w:tcPr>
          <w:p w14:paraId="21A65F15" w14:textId="77777777" w:rsidR="00CB33C7" w:rsidRPr="008E3BCA" w:rsidRDefault="00CB33C7" w:rsidP="008E3BCA">
            <w:pPr>
              <w:jc w:val="both"/>
              <w:rPr>
                <w:rFonts w:cs="Arial"/>
                <w:szCs w:val="22"/>
                <w:lang w:eastAsia="it-IT"/>
              </w:rPr>
            </w:pPr>
            <w:r w:rsidRPr="008E3BCA">
              <w:rPr>
                <w:rFonts w:cs="Arial"/>
                <w:szCs w:val="22"/>
                <w:lang w:eastAsia="it-IT"/>
              </w:rPr>
              <w:t xml:space="preserve">Селище Браїлів Жмеринської МТГ </w:t>
            </w:r>
          </w:p>
        </w:tc>
      </w:tr>
      <w:tr w:rsidR="00CB33C7" w:rsidRPr="00C2587D" w14:paraId="3883EEEF" w14:textId="77777777" w:rsidTr="00936434">
        <w:trPr>
          <w:jc w:val="right"/>
        </w:trPr>
        <w:tc>
          <w:tcPr>
            <w:tcW w:w="3423" w:type="dxa"/>
            <w:vAlign w:val="center"/>
          </w:tcPr>
          <w:p w14:paraId="6E448184" w14:textId="77777777" w:rsidR="00CB33C7" w:rsidRPr="008E3BCA" w:rsidRDefault="00CB33C7" w:rsidP="008E3BCA">
            <w:pPr>
              <w:autoSpaceDE w:val="0"/>
              <w:autoSpaceDN w:val="0"/>
              <w:adjustRightInd w:val="0"/>
              <w:rPr>
                <w:rFonts w:cs="Arial"/>
                <w:b/>
                <w:color w:val="000000"/>
                <w:szCs w:val="22"/>
              </w:rPr>
            </w:pPr>
            <w:r w:rsidRPr="008E3BCA">
              <w:rPr>
                <w:rFonts w:cs="Arial"/>
                <w:b/>
                <w:color w:val="000000"/>
                <w:szCs w:val="22"/>
              </w:rPr>
              <w:t>Цільові групи проєкту та кількість отримувачів вигоди</w:t>
            </w:r>
          </w:p>
        </w:tc>
        <w:tc>
          <w:tcPr>
            <w:tcW w:w="6796" w:type="dxa"/>
            <w:gridSpan w:val="8"/>
          </w:tcPr>
          <w:p w14:paraId="55299D49" w14:textId="77777777" w:rsidR="00CB33C7" w:rsidRPr="008E3BCA" w:rsidRDefault="00CB33C7" w:rsidP="008E3BCA">
            <w:pPr>
              <w:jc w:val="both"/>
              <w:rPr>
                <w:rFonts w:cs="Arial"/>
                <w:szCs w:val="22"/>
                <w:lang w:eastAsia="it-IT"/>
              </w:rPr>
            </w:pPr>
            <w:r w:rsidRPr="008E3BCA">
              <w:rPr>
                <w:rFonts w:cs="Arial"/>
                <w:szCs w:val="22"/>
                <w:lang w:eastAsia="it-IT"/>
              </w:rPr>
              <w:t xml:space="preserve">644 жителя Браїлова включаючи пенсіонерів, ветеранів війни, інвалідів та багатодітні сім’ї </w:t>
            </w:r>
          </w:p>
        </w:tc>
      </w:tr>
      <w:tr w:rsidR="00CB33C7" w:rsidRPr="00C2587D" w14:paraId="30678704" w14:textId="77777777" w:rsidTr="00936434">
        <w:trPr>
          <w:jc w:val="right"/>
        </w:trPr>
        <w:tc>
          <w:tcPr>
            <w:tcW w:w="3423" w:type="dxa"/>
            <w:shd w:val="clear" w:color="auto" w:fill="FFFFFF"/>
            <w:vAlign w:val="center"/>
          </w:tcPr>
          <w:p w14:paraId="38721281" w14:textId="77777777" w:rsidR="00CB33C7" w:rsidRPr="008E3BCA" w:rsidRDefault="00CB33C7" w:rsidP="008E3BCA">
            <w:pPr>
              <w:rPr>
                <w:rFonts w:cs="Arial"/>
                <w:b/>
                <w:bCs/>
                <w:color w:val="000000"/>
                <w:szCs w:val="22"/>
              </w:rPr>
            </w:pPr>
            <w:r w:rsidRPr="008E3BCA">
              <w:rPr>
                <w:rFonts w:cs="Arial"/>
                <w:b/>
                <w:bCs/>
                <w:color w:val="000000"/>
                <w:szCs w:val="22"/>
              </w:rPr>
              <w:t>Стислий опис проєкту:</w:t>
            </w:r>
          </w:p>
        </w:tc>
        <w:tc>
          <w:tcPr>
            <w:tcW w:w="6796" w:type="dxa"/>
            <w:gridSpan w:val="8"/>
          </w:tcPr>
          <w:p w14:paraId="0B3CA3E0" w14:textId="1BB5F225" w:rsidR="00CB33C7" w:rsidRPr="008E3BCA" w:rsidRDefault="00CB33C7" w:rsidP="008E3BCA">
            <w:pPr>
              <w:jc w:val="both"/>
              <w:rPr>
                <w:rFonts w:cs="Arial"/>
                <w:szCs w:val="22"/>
                <w:lang w:eastAsia="it-IT"/>
              </w:rPr>
            </w:pPr>
            <w:r w:rsidRPr="008E3BCA">
              <w:rPr>
                <w:rFonts w:cs="Arial"/>
                <w:szCs w:val="22"/>
                <w:lang w:eastAsia="it-IT"/>
              </w:rPr>
              <w:t>Централізоване водопостачання селища Браїлів по вулицях Центральна, Нова, 8-го Березня, Монастирська, Північна, Миколи Лисинка, Різдвяна та Володимира Забаштанського відсутнє.  Поряд з вище зазначеними вулицями проходить мережа центр</w:t>
            </w:r>
            <w:r w:rsidR="008C063B">
              <w:rPr>
                <w:rFonts w:cs="Arial"/>
                <w:szCs w:val="22"/>
                <w:lang w:eastAsia="it-IT"/>
              </w:rPr>
              <w:t>алізованого водопостачання. Проє</w:t>
            </w:r>
            <w:r w:rsidRPr="008E3BCA">
              <w:rPr>
                <w:rFonts w:cs="Arial"/>
                <w:szCs w:val="22"/>
                <w:lang w:eastAsia="it-IT"/>
              </w:rPr>
              <w:t>ктом передбачається збудувати нову мережу водогонів по вище зазначених вулицях і приєднати її до існуючої мережі, що дасть змогу забезпечити централізованим водопостачанням 100% жителів селища Браїлів, що проживають на вказаних вулицях.</w:t>
            </w:r>
          </w:p>
        </w:tc>
      </w:tr>
      <w:tr w:rsidR="00CB33C7" w:rsidRPr="00C2587D" w14:paraId="57CEA6E2" w14:textId="77777777" w:rsidTr="00936434">
        <w:trPr>
          <w:jc w:val="right"/>
        </w:trPr>
        <w:tc>
          <w:tcPr>
            <w:tcW w:w="3423" w:type="dxa"/>
            <w:shd w:val="clear" w:color="auto" w:fill="FFFFFF"/>
            <w:vAlign w:val="center"/>
          </w:tcPr>
          <w:p w14:paraId="0EB3789A" w14:textId="77777777" w:rsidR="00CB33C7" w:rsidRPr="008E3BCA" w:rsidRDefault="00CB33C7" w:rsidP="008E3BCA">
            <w:pPr>
              <w:rPr>
                <w:rFonts w:cs="Arial"/>
                <w:b/>
                <w:bCs/>
                <w:color w:val="000000"/>
                <w:szCs w:val="22"/>
              </w:rPr>
            </w:pPr>
            <w:r w:rsidRPr="008E3BCA">
              <w:rPr>
                <w:rFonts w:cs="Arial"/>
                <w:b/>
                <w:bCs/>
                <w:color w:val="000000"/>
                <w:szCs w:val="22"/>
              </w:rPr>
              <w:t>Основні заходи проєкту:</w:t>
            </w:r>
          </w:p>
        </w:tc>
        <w:tc>
          <w:tcPr>
            <w:tcW w:w="6796" w:type="dxa"/>
            <w:gridSpan w:val="8"/>
          </w:tcPr>
          <w:p w14:paraId="7B827BA7" w14:textId="6A92E076" w:rsidR="00CB33C7" w:rsidRPr="008E3BCA" w:rsidRDefault="00CB33C7" w:rsidP="008E3BCA">
            <w:pPr>
              <w:jc w:val="both"/>
              <w:rPr>
                <w:rFonts w:cs="Arial"/>
                <w:szCs w:val="22"/>
                <w:lang w:eastAsia="it-IT"/>
              </w:rPr>
            </w:pPr>
            <w:r w:rsidRPr="008E3BCA">
              <w:rPr>
                <w:rFonts w:cs="Arial"/>
                <w:szCs w:val="22"/>
                <w:lang w:eastAsia="it-IT"/>
              </w:rPr>
              <w:t>Розробка ПКД. Проведення експертизи ПКД. Проведення процедури відкритих торгів з метою визначення виконавця робіт. Отримання дозволу на виконання  будівельних робіт. Виконання робіт по реконструкцій водопровідних мереж. Введення в експлуатацію  об’єкта після виконання робіт.</w:t>
            </w:r>
          </w:p>
        </w:tc>
      </w:tr>
      <w:tr w:rsidR="00CB33C7" w:rsidRPr="00C2587D" w14:paraId="64479128" w14:textId="77777777" w:rsidTr="00936434">
        <w:trPr>
          <w:jc w:val="right"/>
        </w:trPr>
        <w:tc>
          <w:tcPr>
            <w:tcW w:w="3423" w:type="dxa"/>
            <w:shd w:val="clear" w:color="auto" w:fill="FFFFFF"/>
            <w:vAlign w:val="center"/>
          </w:tcPr>
          <w:p w14:paraId="2DE517A0" w14:textId="77777777" w:rsidR="00CB33C7" w:rsidRPr="008E3BCA" w:rsidRDefault="00CB33C7" w:rsidP="008E3BCA">
            <w:pPr>
              <w:rPr>
                <w:rFonts w:cs="Arial"/>
                <w:b/>
                <w:bCs/>
                <w:color w:val="000000"/>
                <w:szCs w:val="22"/>
              </w:rPr>
            </w:pPr>
            <w:r w:rsidRPr="008E3BCA">
              <w:rPr>
                <w:rFonts w:cs="Arial"/>
                <w:b/>
                <w:bCs/>
                <w:color w:val="000000"/>
                <w:szCs w:val="22"/>
              </w:rPr>
              <w:t>Індикатори (показники) результативності:</w:t>
            </w:r>
          </w:p>
        </w:tc>
        <w:tc>
          <w:tcPr>
            <w:tcW w:w="6796" w:type="dxa"/>
            <w:gridSpan w:val="8"/>
          </w:tcPr>
          <w:p w14:paraId="40C1C24B" w14:textId="511BC5AB" w:rsidR="00CB33C7" w:rsidRPr="008E3BCA" w:rsidRDefault="00CB33C7" w:rsidP="008E3BCA">
            <w:pPr>
              <w:rPr>
                <w:rFonts w:cs="Arial"/>
                <w:szCs w:val="22"/>
                <w:lang w:eastAsia="it-IT"/>
              </w:rPr>
            </w:pPr>
            <w:r w:rsidRPr="008E3BCA">
              <w:rPr>
                <w:rFonts w:cs="Arial"/>
                <w:szCs w:val="22"/>
                <w:lang w:eastAsia="it-IT"/>
              </w:rPr>
              <w:t>Реконструкція мереж водопостачання орієнтовною довжиною 5 км. Забезпечення 644 мешканців селища Браїлів послугою з якісного безперебійного водопостачання.</w:t>
            </w:r>
          </w:p>
        </w:tc>
      </w:tr>
      <w:tr w:rsidR="00CB33C7" w:rsidRPr="00C2587D" w14:paraId="555A913B" w14:textId="77777777" w:rsidTr="00936434">
        <w:trPr>
          <w:jc w:val="right"/>
        </w:trPr>
        <w:tc>
          <w:tcPr>
            <w:tcW w:w="3423" w:type="dxa"/>
            <w:shd w:val="clear" w:color="auto" w:fill="FFFFFF"/>
            <w:vAlign w:val="center"/>
          </w:tcPr>
          <w:p w14:paraId="2898AA89" w14:textId="77777777" w:rsidR="00CB33C7" w:rsidRPr="008E3BCA" w:rsidRDefault="00CB33C7" w:rsidP="008E3BCA">
            <w:pPr>
              <w:rPr>
                <w:rFonts w:cs="Arial"/>
                <w:b/>
                <w:color w:val="000000"/>
                <w:szCs w:val="22"/>
              </w:rPr>
            </w:pPr>
            <w:r w:rsidRPr="008E3BCA">
              <w:rPr>
                <w:rFonts w:cs="Arial"/>
                <w:b/>
                <w:color w:val="000000"/>
                <w:szCs w:val="22"/>
              </w:rPr>
              <w:t xml:space="preserve">Період здійснення: </w:t>
            </w:r>
          </w:p>
        </w:tc>
        <w:tc>
          <w:tcPr>
            <w:tcW w:w="6796" w:type="dxa"/>
            <w:gridSpan w:val="8"/>
            <w:vAlign w:val="center"/>
          </w:tcPr>
          <w:p w14:paraId="03D31F0B" w14:textId="77777777" w:rsidR="00CB33C7" w:rsidRPr="008E3BCA" w:rsidRDefault="00CB33C7" w:rsidP="008E3BCA">
            <w:pPr>
              <w:rPr>
                <w:rFonts w:cs="Arial"/>
                <w:color w:val="000000"/>
                <w:szCs w:val="22"/>
                <w:lang w:eastAsia="it-IT"/>
              </w:rPr>
            </w:pPr>
            <w:r w:rsidRPr="008E3BCA">
              <w:rPr>
                <w:rFonts w:cs="Arial"/>
                <w:b/>
                <w:color w:val="000000"/>
                <w:szCs w:val="22"/>
              </w:rPr>
              <w:t>2025 – 2028 роки:</w:t>
            </w:r>
          </w:p>
        </w:tc>
      </w:tr>
      <w:tr w:rsidR="00CB33C7" w:rsidRPr="00C2587D" w14:paraId="7520650D" w14:textId="77777777" w:rsidTr="00936434">
        <w:trPr>
          <w:jc w:val="right"/>
        </w:trPr>
        <w:tc>
          <w:tcPr>
            <w:tcW w:w="3423" w:type="dxa"/>
            <w:vMerge w:val="restart"/>
            <w:shd w:val="clear" w:color="auto" w:fill="FFFFFF"/>
            <w:vAlign w:val="center"/>
          </w:tcPr>
          <w:p w14:paraId="0E827308" w14:textId="77777777" w:rsidR="00CB33C7" w:rsidRPr="008E3BCA" w:rsidRDefault="00CB33C7" w:rsidP="008E3BCA">
            <w:pPr>
              <w:rPr>
                <w:rFonts w:cs="Arial"/>
                <w:b/>
                <w:bCs/>
                <w:color w:val="000000"/>
                <w:szCs w:val="22"/>
              </w:rPr>
            </w:pPr>
            <w:r w:rsidRPr="008E3BCA">
              <w:rPr>
                <w:rFonts w:cs="Arial"/>
                <w:b/>
                <w:bCs/>
                <w:color w:val="000000"/>
                <w:szCs w:val="22"/>
              </w:rPr>
              <w:t>Орієнтовна вартість проєкту, тис. грн., в тому числі:</w:t>
            </w:r>
          </w:p>
        </w:tc>
        <w:tc>
          <w:tcPr>
            <w:tcW w:w="1254" w:type="dxa"/>
            <w:shd w:val="clear" w:color="auto" w:fill="E6E6E6"/>
            <w:vAlign w:val="center"/>
          </w:tcPr>
          <w:p w14:paraId="3D83B147" w14:textId="77777777" w:rsidR="00CB33C7" w:rsidRPr="008E3BCA" w:rsidRDefault="00CB33C7" w:rsidP="008E3BCA">
            <w:pPr>
              <w:jc w:val="center"/>
              <w:rPr>
                <w:rFonts w:cs="Arial"/>
                <w:b/>
                <w:color w:val="000000"/>
                <w:szCs w:val="22"/>
                <w:lang w:eastAsia="it-IT"/>
              </w:rPr>
            </w:pPr>
            <w:r w:rsidRPr="008E3BCA">
              <w:rPr>
                <w:rFonts w:cs="Arial"/>
                <w:b/>
                <w:color w:val="000000"/>
                <w:szCs w:val="22"/>
                <w:lang w:eastAsia="it-IT"/>
              </w:rPr>
              <w:t>2025</w:t>
            </w:r>
          </w:p>
        </w:tc>
        <w:tc>
          <w:tcPr>
            <w:tcW w:w="1275" w:type="dxa"/>
            <w:gridSpan w:val="2"/>
            <w:shd w:val="clear" w:color="auto" w:fill="E6E6E6"/>
            <w:vAlign w:val="center"/>
          </w:tcPr>
          <w:p w14:paraId="0034D38D" w14:textId="77777777" w:rsidR="00CB33C7" w:rsidRPr="008E3BCA" w:rsidRDefault="00CB33C7" w:rsidP="008E3BCA">
            <w:pPr>
              <w:jc w:val="center"/>
              <w:rPr>
                <w:rFonts w:cs="Arial"/>
                <w:b/>
                <w:color w:val="000000"/>
                <w:szCs w:val="22"/>
                <w:lang w:eastAsia="it-IT"/>
              </w:rPr>
            </w:pPr>
            <w:r w:rsidRPr="008E3BCA">
              <w:rPr>
                <w:rFonts w:cs="Arial"/>
                <w:b/>
                <w:color w:val="000000"/>
                <w:szCs w:val="22"/>
                <w:lang w:eastAsia="it-IT"/>
              </w:rPr>
              <w:t>2026</w:t>
            </w:r>
          </w:p>
        </w:tc>
        <w:tc>
          <w:tcPr>
            <w:tcW w:w="1421" w:type="dxa"/>
            <w:gridSpan w:val="2"/>
            <w:tcBorders>
              <w:bottom w:val="single" w:sz="4" w:space="0" w:color="auto"/>
            </w:tcBorders>
            <w:shd w:val="clear" w:color="auto" w:fill="E6E6E6"/>
            <w:vAlign w:val="center"/>
          </w:tcPr>
          <w:p w14:paraId="05A48B23" w14:textId="77777777" w:rsidR="00CB33C7" w:rsidRPr="008E3BCA" w:rsidRDefault="00CB33C7" w:rsidP="008E3BCA">
            <w:pPr>
              <w:jc w:val="center"/>
              <w:rPr>
                <w:rFonts w:cs="Arial"/>
                <w:b/>
                <w:color w:val="000000"/>
                <w:szCs w:val="22"/>
                <w:lang w:eastAsia="it-IT"/>
              </w:rPr>
            </w:pPr>
            <w:r w:rsidRPr="008E3BCA">
              <w:rPr>
                <w:rFonts w:cs="Arial"/>
                <w:b/>
                <w:color w:val="000000"/>
                <w:szCs w:val="22"/>
                <w:lang w:eastAsia="it-IT"/>
              </w:rPr>
              <w:t>2027</w:t>
            </w:r>
          </w:p>
        </w:tc>
        <w:tc>
          <w:tcPr>
            <w:tcW w:w="1276" w:type="dxa"/>
            <w:gridSpan w:val="2"/>
            <w:shd w:val="clear" w:color="auto" w:fill="E6E6E6"/>
            <w:vAlign w:val="center"/>
          </w:tcPr>
          <w:p w14:paraId="147A7910" w14:textId="77777777" w:rsidR="00CB33C7" w:rsidRPr="008E3BCA" w:rsidRDefault="00CB33C7" w:rsidP="008E3BCA">
            <w:pPr>
              <w:jc w:val="center"/>
              <w:rPr>
                <w:rFonts w:cs="Arial"/>
                <w:b/>
                <w:color w:val="000000"/>
                <w:szCs w:val="22"/>
                <w:lang w:eastAsia="it-IT"/>
              </w:rPr>
            </w:pPr>
            <w:r w:rsidRPr="008E3BCA">
              <w:rPr>
                <w:rFonts w:cs="Arial"/>
                <w:b/>
                <w:color w:val="000000"/>
                <w:szCs w:val="22"/>
                <w:lang w:eastAsia="it-IT"/>
              </w:rPr>
              <w:t>2028</w:t>
            </w:r>
          </w:p>
        </w:tc>
        <w:tc>
          <w:tcPr>
            <w:tcW w:w="1570" w:type="dxa"/>
            <w:shd w:val="clear" w:color="auto" w:fill="E6E6E6"/>
            <w:vAlign w:val="center"/>
          </w:tcPr>
          <w:p w14:paraId="39831744" w14:textId="77777777" w:rsidR="00CB33C7" w:rsidRPr="008E3BCA" w:rsidRDefault="00CB33C7" w:rsidP="008E3BCA">
            <w:pPr>
              <w:jc w:val="center"/>
              <w:rPr>
                <w:rFonts w:cs="Arial"/>
                <w:b/>
                <w:color w:val="000000"/>
                <w:szCs w:val="22"/>
                <w:lang w:eastAsia="it-IT"/>
              </w:rPr>
            </w:pPr>
            <w:r w:rsidRPr="008E3BCA">
              <w:rPr>
                <w:rFonts w:cs="Arial"/>
                <w:b/>
                <w:color w:val="000000"/>
                <w:szCs w:val="22"/>
                <w:lang w:eastAsia="it-IT"/>
              </w:rPr>
              <w:t>РАЗОМ</w:t>
            </w:r>
          </w:p>
        </w:tc>
      </w:tr>
      <w:tr w:rsidR="00CB33C7" w:rsidRPr="00C2587D" w14:paraId="2A804012" w14:textId="77777777" w:rsidTr="00936434">
        <w:trPr>
          <w:jc w:val="right"/>
        </w:trPr>
        <w:tc>
          <w:tcPr>
            <w:tcW w:w="3423" w:type="dxa"/>
            <w:vMerge/>
            <w:shd w:val="clear" w:color="auto" w:fill="FFFFFF"/>
            <w:vAlign w:val="center"/>
          </w:tcPr>
          <w:p w14:paraId="76D1A80B" w14:textId="77777777" w:rsidR="00CB33C7" w:rsidRPr="008E3BCA" w:rsidRDefault="00CB33C7" w:rsidP="008E3BCA">
            <w:pPr>
              <w:rPr>
                <w:rFonts w:cs="Arial"/>
                <w:b/>
                <w:bCs/>
                <w:color w:val="000000"/>
                <w:szCs w:val="22"/>
              </w:rPr>
            </w:pPr>
          </w:p>
        </w:tc>
        <w:tc>
          <w:tcPr>
            <w:tcW w:w="1254" w:type="dxa"/>
            <w:vAlign w:val="center"/>
          </w:tcPr>
          <w:p w14:paraId="6428A5CE" w14:textId="77777777" w:rsidR="00CB33C7" w:rsidRPr="008E3BCA" w:rsidRDefault="00CB33C7" w:rsidP="008E3BCA">
            <w:pPr>
              <w:jc w:val="center"/>
              <w:rPr>
                <w:rFonts w:cs="Arial"/>
                <w:b/>
                <w:color w:val="000000"/>
                <w:szCs w:val="22"/>
                <w:lang w:eastAsia="it-IT"/>
              </w:rPr>
            </w:pPr>
            <w:r w:rsidRPr="008E3BCA">
              <w:rPr>
                <w:rFonts w:cs="Arial"/>
                <w:b/>
                <w:color w:val="000000"/>
                <w:szCs w:val="22"/>
                <w:lang w:eastAsia="it-IT"/>
              </w:rPr>
              <w:t>400,00</w:t>
            </w:r>
          </w:p>
        </w:tc>
        <w:tc>
          <w:tcPr>
            <w:tcW w:w="1275" w:type="dxa"/>
            <w:gridSpan w:val="2"/>
            <w:shd w:val="clear" w:color="auto" w:fill="FFFFFF"/>
            <w:vAlign w:val="center"/>
          </w:tcPr>
          <w:p w14:paraId="066DBAC3" w14:textId="77777777" w:rsidR="00CB33C7" w:rsidRPr="008E3BCA" w:rsidRDefault="00CB33C7" w:rsidP="008E3BCA">
            <w:pPr>
              <w:jc w:val="center"/>
              <w:rPr>
                <w:rFonts w:cs="Arial"/>
                <w:b/>
                <w:color w:val="000000"/>
                <w:szCs w:val="22"/>
                <w:lang w:eastAsia="it-IT"/>
              </w:rPr>
            </w:pPr>
            <w:r w:rsidRPr="008E3BCA">
              <w:rPr>
                <w:rFonts w:cs="Arial"/>
                <w:b/>
                <w:color w:val="000000"/>
                <w:szCs w:val="22"/>
                <w:lang w:eastAsia="it-IT"/>
              </w:rPr>
              <w:t xml:space="preserve">1000,00 </w:t>
            </w:r>
          </w:p>
        </w:tc>
        <w:tc>
          <w:tcPr>
            <w:tcW w:w="1421" w:type="dxa"/>
            <w:gridSpan w:val="2"/>
            <w:shd w:val="clear" w:color="auto" w:fill="auto"/>
            <w:vAlign w:val="center"/>
          </w:tcPr>
          <w:p w14:paraId="3AA28609" w14:textId="77777777" w:rsidR="00CB33C7" w:rsidRPr="008E3BCA" w:rsidRDefault="00CB33C7" w:rsidP="008E3BCA">
            <w:pPr>
              <w:jc w:val="center"/>
              <w:rPr>
                <w:rFonts w:cs="Arial"/>
                <w:b/>
                <w:color w:val="000000"/>
                <w:szCs w:val="22"/>
                <w:lang w:eastAsia="it-IT"/>
              </w:rPr>
            </w:pPr>
            <w:r w:rsidRPr="008E3BCA">
              <w:rPr>
                <w:rFonts w:cs="Arial"/>
                <w:b/>
                <w:color w:val="000000"/>
                <w:szCs w:val="22"/>
                <w:lang w:eastAsia="it-IT"/>
              </w:rPr>
              <w:t>1000,00</w:t>
            </w:r>
          </w:p>
        </w:tc>
        <w:tc>
          <w:tcPr>
            <w:tcW w:w="1276" w:type="dxa"/>
            <w:gridSpan w:val="2"/>
            <w:shd w:val="clear" w:color="auto" w:fill="FFFFFF"/>
            <w:vAlign w:val="center"/>
          </w:tcPr>
          <w:p w14:paraId="07FCCDC8" w14:textId="77777777" w:rsidR="00CB33C7" w:rsidRPr="008E3BCA" w:rsidRDefault="00CB33C7" w:rsidP="008E3BCA">
            <w:pPr>
              <w:jc w:val="center"/>
              <w:rPr>
                <w:rFonts w:cs="Arial"/>
                <w:b/>
                <w:color w:val="000000"/>
                <w:szCs w:val="22"/>
                <w:lang w:eastAsia="it-IT"/>
              </w:rPr>
            </w:pPr>
            <w:r w:rsidRPr="008E3BCA">
              <w:rPr>
                <w:rFonts w:cs="Arial"/>
                <w:b/>
                <w:color w:val="000000"/>
                <w:szCs w:val="22"/>
                <w:lang w:eastAsia="it-IT"/>
              </w:rPr>
              <w:t>0,00</w:t>
            </w:r>
          </w:p>
        </w:tc>
        <w:tc>
          <w:tcPr>
            <w:tcW w:w="1570" w:type="dxa"/>
            <w:shd w:val="clear" w:color="auto" w:fill="FFFFFF"/>
            <w:vAlign w:val="center"/>
          </w:tcPr>
          <w:p w14:paraId="086F2237" w14:textId="77777777" w:rsidR="00CB33C7" w:rsidRPr="008E3BCA" w:rsidRDefault="00CB33C7" w:rsidP="008E3BCA">
            <w:pPr>
              <w:jc w:val="center"/>
              <w:rPr>
                <w:rFonts w:cs="Arial"/>
                <w:b/>
                <w:color w:val="000000"/>
                <w:szCs w:val="22"/>
                <w:lang w:eastAsia="it-IT"/>
              </w:rPr>
            </w:pPr>
            <w:r w:rsidRPr="008E3BCA">
              <w:rPr>
                <w:rFonts w:cs="Arial"/>
                <w:b/>
                <w:color w:val="000000"/>
                <w:szCs w:val="22"/>
                <w:lang w:eastAsia="it-IT"/>
              </w:rPr>
              <w:t>2400,00</w:t>
            </w:r>
          </w:p>
        </w:tc>
      </w:tr>
      <w:tr w:rsidR="00936434" w:rsidRPr="00C2587D" w14:paraId="1DC17E11" w14:textId="1770F486" w:rsidTr="00936434">
        <w:trPr>
          <w:trHeight w:val="276"/>
          <w:jc w:val="right"/>
        </w:trPr>
        <w:tc>
          <w:tcPr>
            <w:tcW w:w="3423" w:type="dxa"/>
            <w:shd w:val="clear" w:color="auto" w:fill="FFFFFF"/>
            <w:vAlign w:val="center"/>
          </w:tcPr>
          <w:p w14:paraId="1526ACD6" w14:textId="77777777" w:rsidR="00936434" w:rsidRPr="008E3BCA" w:rsidRDefault="00936434" w:rsidP="008E3BCA">
            <w:pPr>
              <w:rPr>
                <w:rFonts w:cs="Arial"/>
                <w:b/>
                <w:bCs/>
                <w:color w:val="000000"/>
                <w:szCs w:val="22"/>
              </w:rPr>
            </w:pPr>
            <w:r w:rsidRPr="008E3BCA">
              <w:rPr>
                <w:rFonts w:cs="Arial"/>
                <w:b/>
                <w:bCs/>
                <w:color w:val="000000"/>
                <w:szCs w:val="22"/>
              </w:rPr>
              <w:t>по джерелах фінансування:</w:t>
            </w:r>
          </w:p>
        </w:tc>
        <w:tc>
          <w:tcPr>
            <w:tcW w:w="3950" w:type="dxa"/>
            <w:gridSpan w:val="5"/>
            <w:vAlign w:val="center"/>
          </w:tcPr>
          <w:p w14:paraId="07C14D5C" w14:textId="77777777" w:rsidR="00936434" w:rsidRPr="008E3BCA" w:rsidRDefault="00936434" w:rsidP="008E3BCA">
            <w:pPr>
              <w:jc w:val="both"/>
              <w:rPr>
                <w:rFonts w:cs="Arial"/>
                <w:color w:val="000000"/>
                <w:szCs w:val="22"/>
                <w:lang w:eastAsia="it-IT"/>
              </w:rPr>
            </w:pPr>
          </w:p>
        </w:tc>
        <w:tc>
          <w:tcPr>
            <w:tcW w:w="2846" w:type="dxa"/>
            <w:gridSpan w:val="3"/>
            <w:vAlign w:val="center"/>
          </w:tcPr>
          <w:p w14:paraId="63617DD6" w14:textId="77777777" w:rsidR="00936434" w:rsidRPr="008E3BCA" w:rsidRDefault="00936434" w:rsidP="008E3BCA">
            <w:pPr>
              <w:jc w:val="both"/>
              <w:rPr>
                <w:rFonts w:cs="Arial"/>
                <w:color w:val="000000"/>
                <w:szCs w:val="22"/>
                <w:lang w:eastAsia="it-IT"/>
              </w:rPr>
            </w:pPr>
          </w:p>
        </w:tc>
      </w:tr>
      <w:tr w:rsidR="00936434" w:rsidRPr="00C2587D" w14:paraId="6B205F31" w14:textId="6FF014D2" w:rsidTr="00936434">
        <w:trPr>
          <w:trHeight w:val="240"/>
          <w:jc w:val="right"/>
        </w:trPr>
        <w:tc>
          <w:tcPr>
            <w:tcW w:w="3423" w:type="dxa"/>
            <w:shd w:val="clear" w:color="auto" w:fill="FFFFFF"/>
            <w:vAlign w:val="center"/>
          </w:tcPr>
          <w:p w14:paraId="230E1C22" w14:textId="77777777" w:rsidR="00936434" w:rsidRPr="008E3BCA" w:rsidRDefault="00936434" w:rsidP="008E3BCA">
            <w:pPr>
              <w:rPr>
                <w:rFonts w:cs="Arial"/>
                <w:b/>
                <w:bCs/>
                <w:color w:val="000000"/>
                <w:szCs w:val="22"/>
              </w:rPr>
            </w:pPr>
            <w:r w:rsidRPr="008E3BCA">
              <w:rPr>
                <w:rFonts w:cs="Arial"/>
                <w:color w:val="000000"/>
                <w:szCs w:val="22"/>
              </w:rPr>
              <w:t>- державний бюджет</w:t>
            </w:r>
          </w:p>
        </w:tc>
        <w:tc>
          <w:tcPr>
            <w:tcW w:w="1290" w:type="dxa"/>
            <w:gridSpan w:val="2"/>
            <w:vAlign w:val="center"/>
          </w:tcPr>
          <w:p w14:paraId="6F5A028A" w14:textId="7438728E" w:rsidR="00936434" w:rsidRPr="008E3BCA" w:rsidRDefault="00936434" w:rsidP="00667673">
            <w:pPr>
              <w:jc w:val="center"/>
              <w:rPr>
                <w:rFonts w:cs="Arial"/>
                <w:color w:val="000000"/>
                <w:szCs w:val="22"/>
                <w:lang w:eastAsia="it-IT"/>
              </w:rPr>
            </w:pPr>
          </w:p>
        </w:tc>
        <w:tc>
          <w:tcPr>
            <w:tcW w:w="1267" w:type="dxa"/>
            <w:gridSpan w:val="2"/>
            <w:vAlign w:val="center"/>
          </w:tcPr>
          <w:p w14:paraId="57609B96" w14:textId="46EC95DE" w:rsidR="00936434" w:rsidRPr="008E3BCA" w:rsidRDefault="00936434" w:rsidP="00667673">
            <w:pPr>
              <w:jc w:val="center"/>
              <w:rPr>
                <w:rFonts w:cs="Arial"/>
                <w:color w:val="000000"/>
                <w:szCs w:val="22"/>
                <w:lang w:eastAsia="it-IT"/>
              </w:rPr>
            </w:pPr>
          </w:p>
        </w:tc>
        <w:tc>
          <w:tcPr>
            <w:tcW w:w="1393" w:type="dxa"/>
            <w:vAlign w:val="center"/>
          </w:tcPr>
          <w:p w14:paraId="7AF182A6" w14:textId="1996A315" w:rsidR="00936434" w:rsidRPr="008E3BCA" w:rsidRDefault="00936434" w:rsidP="00667673">
            <w:pPr>
              <w:jc w:val="center"/>
              <w:rPr>
                <w:rFonts w:cs="Arial"/>
                <w:color w:val="000000"/>
                <w:szCs w:val="22"/>
                <w:lang w:eastAsia="it-IT"/>
              </w:rPr>
            </w:pPr>
          </w:p>
        </w:tc>
        <w:tc>
          <w:tcPr>
            <w:tcW w:w="1256" w:type="dxa"/>
            <w:vAlign w:val="center"/>
          </w:tcPr>
          <w:p w14:paraId="1978A219" w14:textId="4C0D6663" w:rsidR="00936434" w:rsidRPr="008E3BCA" w:rsidRDefault="00936434" w:rsidP="00667673">
            <w:pPr>
              <w:ind w:left="1186"/>
              <w:jc w:val="center"/>
              <w:rPr>
                <w:rFonts w:cs="Arial"/>
                <w:color w:val="000000"/>
                <w:szCs w:val="22"/>
                <w:lang w:eastAsia="it-IT"/>
              </w:rPr>
            </w:pPr>
          </w:p>
        </w:tc>
        <w:tc>
          <w:tcPr>
            <w:tcW w:w="1590" w:type="dxa"/>
            <w:gridSpan w:val="2"/>
            <w:vAlign w:val="center"/>
          </w:tcPr>
          <w:p w14:paraId="685BC1E2" w14:textId="77777777" w:rsidR="00936434" w:rsidRPr="008E3BCA" w:rsidRDefault="00936434" w:rsidP="00667673">
            <w:pPr>
              <w:ind w:left="1186"/>
              <w:jc w:val="center"/>
              <w:rPr>
                <w:rFonts w:cs="Arial"/>
                <w:color w:val="000000"/>
                <w:szCs w:val="22"/>
                <w:lang w:eastAsia="it-IT"/>
              </w:rPr>
            </w:pPr>
          </w:p>
        </w:tc>
      </w:tr>
      <w:tr w:rsidR="00936434" w:rsidRPr="00C2587D" w14:paraId="221F864E" w14:textId="3112C36A" w:rsidTr="00936434">
        <w:trPr>
          <w:trHeight w:val="254"/>
          <w:jc w:val="right"/>
        </w:trPr>
        <w:tc>
          <w:tcPr>
            <w:tcW w:w="3423" w:type="dxa"/>
            <w:shd w:val="clear" w:color="auto" w:fill="FFFFFF"/>
            <w:vAlign w:val="center"/>
          </w:tcPr>
          <w:p w14:paraId="53F0CCC4" w14:textId="77777777" w:rsidR="00936434" w:rsidRPr="008E3BCA" w:rsidRDefault="00936434" w:rsidP="008E3BCA">
            <w:pPr>
              <w:rPr>
                <w:rFonts w:cs="Arial"/>
                <w:color w:val="000000"/>
                <w:szCs w:val="22"/>
              </w:rPr>
            </w:pPr>
            <w:r w:rsidRPr="008E3BCA">
              <w:rPr>
                <w:rFonts w:cs="Arial"/>
                <w:color w:val="000000"/>
                <w:szCs w:val="22"/>
              </w:rPr>
              <w:t>- обласний бюджет</w:t>
            </w:r>
          </w:p>
        </w:tc>
        <w:tc>
          <w:tcPr>
            <w:tcW w:w="1290" w:type="dxa"/>
            <w:gridSpan w:val="2"/>
            <w:vAlign w:val="center"/>
          </w:tcPr>
          <w:p w14:paraId="57EC5FAE" w14:textId="0106E2D8" w:rsidR="00936434" w:rsidRPr="008E3BCA" w:rsidRDefault="00936434" w:rsidP="00667673">
            <w:pPr>
              <w:jc w:val="center"/>
              <w:rPr>
                <w:rFonts w:cs="Arial"/>
                <w:color w:val="000000"/>
                <w:szCs w:val="22"/>
                <w:lang w:eastAsia="it-IT"/>
              </w:rPr>
            </w:pPr>
          </w:p>
        </w:tc>
        <w:tc>
          <w:tcPr>
            <w:tcW w:w="1267" w:type="dxa"/>
            <w:gridSpan w:val="2"/>
            <w:vAlign w:val="center"/>
          </w:tcPr>
          <w:p w14:paraId="03A97726" w14:textId="3073F3BF" w:rsidR="00936434" w:rsidRPr="008E3BCA" w:rsidRDefault="00936434" w:rsidP="00667673">
            <w:pPr>
              <w:jc w:val="center"/>
              <w:rPr>
                <w:rFonts w:cs="Arial"/>
                <w:color w:val="000000"/>
                <w:szCs w:val="22"/>
                <w:lang w:eastAsia="it-IT"/>
              </w:rPr>
            </w:pPr>
          </w:p>
        </w:tc>
        <w:tc>
          <w:tcPr>
            <w:tcW w:w="1393" w:type="dxa"/>
            <w:vAlign w:val="center"/>
          </w:tcPr>
          <w:p w14:paraId="5AE5DB1D" w14:textId="5D26D980" w:rsidR="00936434" w:rsidRPr="008E3BCA" w:rsidRDefault="00936434" w:rsidP="00667673">
            <w:pPr>
              <w:jc w:val="center"/>
              <w:rPr>
                <w:rFonts w:cs="Arial"/>
                <w:color w:val="000000"/>
                <w:szCs w:val="22"/>
                <w:lang w:eastAsia="it-IT"/>
              </w:rPr>
            </w:pPr>
          </w:p>
        </w:tc>
        <w:tc>
          <w:tcPr>
            <w:tcW w:w="1256" w:type="dxa"/>
            <w:vAlign w:val="center"/>
          </w:tcPr>
          <w:p w14:paraId="499D27C4" w14:textId="391DC2C0" w:rsidR="00936434" w:rsidRPr="008E3BCA" w:rsidRDefault="00936434" w:rsidP="00667673">
            <w:pPr>
              <w:ind w:left="1186"/>
              <w:jc w:val="center"/>
              <w:rPr>
                <w:rFonts w:cs="Arial"/>
                <w:color w:val="000000"/>
                <w:szCs w:val="22"/>
                <w:lang w:eastAsia="it-IT"/>
              </w:rPr>
            </w:pPr>
          </w:p>
        </w:tc>
        <w:tc>
          <w:tcPr>
            <w:tcW w:w="1590" w:type="dxa"/>
            <w:gridSpan w:val="2"/>
            <w:vAlign w:val="center"/>
          </w:tcPr>
          <w:p w14:paraId="37DF760D" w14:textId="77777777" w:rsidR="00936434" w:rsidRPr="008E3BCA" w:rsidRDefault="00936434" w:rsidP="00667673">
            <w:pPr>
              <w:ind w:left="1186"/>
              <w:jc w:val="center"/>
              <w:rPr>
                <w:rFonts w:cs="Arial"/>
                <w:color w:val="000000"/>
                <w:szCs w:val="22"/>
                <w:lang w:eastAsia="it-IT"/>
              </w:rPr>
            </w:pPr>
          </w:p>
        </w:tc>
      </w:tr>
      <w:tr w:rsidR="00936434" w:rsidRPr="00C2587D" w14:paraId="5A94A013" w14:textId="2E52A084" w:rsidTr="00936434">
        <w:trPr>
          <w:trHeight w:val="275"/>
          <w:jc w:val="right"/>
        </w:trPr>
        <w:tc>
          <w:tcPr>
            <w:tcW w:w="3423" w:type="dxa"/>
            <w:shd w:val="clear" w:color="auto" w:fill="FFFFFF"/>
            <w:vAlign w:val="center"/>
          </w:tcPr>
          <w:p w14:paraId="2E702DFC" w14:textId="77777777" w:rsidR="00936434" w:rsidRPr="008E3BCA" w:rsidRDefault="00936434" w:rsidP="008E3BCA">
            <w:pPr>
              <w:rPr>
                <w:rFonts w:cs="Arial"/>
                <w:color w:val="000000"/>
                <w:szCs w:val="22"/>
              </w:rPr>
            </w:pPr>
            <w:r w:rsidRPr="008E3BCA">
              <w:rPr>
                <w:rFonts w:cs="Arial"/>
                <w:color w:val="000000"/>
                <w:szCs w:val="22"/>
              </w:rPr>
              <w:t>- бюджет Жмеринської МТГ</w:t>
            </w:r>
          </w:p>
        </w:tc>
        <w:tc>
          <w:tcPr>
            <w:tcW w:w="1290" w:type="dxa"/>
            <w:gridSpan w:val="2"/>
          </w:tcPr>
          <w:p w14:paraId="20A0F99C" w14:textId="35BE2409" w:rsidR="00936434" w:rsidRPr="008E3BCA" w:rsidRDefault="00936434" w:rsidP="00667673">
            <w:pPr>
              <w:jc w:val="center"/>
              <w:rPr>
                <w:rFonts w:cs="Arial"/>
                <w:color w:val="000000"/>
                <w:szCs w:val="22"/>
                <w:lang w:eastAsia="it-IT"/>
              </w:rPr>
            </w:pPr>
            <w:r w:rsidRPr="008E3BCA">
              <w:rPr>
                <w:rFonts w:cs="Arial"/>
                <w:color w:val="000000"/>
                <w:szCs w:val="22"/>
                <w:lang w:eastAsia="it-IT"/>
              </w:rPr>
              <w:t>400,00</w:t>
            </w:r>
          </w:p>
        </w:tc>
        <w:tc>
          <w:tcPr>
            <w:tcW w:w="1267" w:type="dxa"/>
            <w:gridSpan w:val="2"/>
          </w:tcPr>
          <w:p w14:paraId="4AAA4901" w14:textId="058AE7D8" w:rsidR="00936434" w:rsidRPr="008E3BCA" w:rsidRDefault="00936434" w:rsidP="00667673">
            <w:pPr>
              <w:jc w:val="center"/>
              <w:rPr>
                <w:rFonts w:cs="Arial"/>
                <w:color w:val="000000"/>
                <w:szCs w:val="22"/>
                <w:lang w:eastAsia="it-IT"/>
              </w:rPr>
            </w:pPr>
            <w:r w:rsidRPr="008E3BCA">
              <w:rPr>
                <w:rFonts w:cs="Arial"/>
                <w:color w:val="000000"/>
                <w:szCs w:val="22"/>
                <w:lang w:eastAsia="it-IT"/>
              </w:rPr>
              <w:t>700,00</w:t>
            </w:r>
          </w:p>
        </w:tc>
        <w:tc>
          <w:tcPr>
            <w:tcW w:w="1393" w:type="dxa"/>
          </w:tcPr>
          <w:p w14:paraId="0DDBB3EA" w14:textId="33DE3A7C" w:rsidR="00936434" w:rsidRPr="008E3BCA" w:rsidRDefault="00936434" w:rsidP="00667673">
            <w:pPr>
              <w:jc w:val="center"/>
              <w:rPr>
                <w:rFonts w:cs="Arial"/>
                <w:color w:val="000000"/>
                <w:szCs w:val="22"/>
                <w:lang w:eastAsia="it-IT"/>
              </w:rPr>
            </w:pPr>
            <w:r w:rsidRPr="008E3BCA">
              <w:rPr>
                <w:rFonts w:cs="Arial"/>
                <w:color w:val="000000"/>
                <w:szCs w:val="22"/>
                <w:lang w:eastAsia="it-IT"/>
              </w:rPr>
              <w:t>1000,00</w:t>
            </w:r>
          </w:p>
        </w:tc>
        <w:tc>
          <w:tcPr>
            <w:tcW w:w="1256" w:type="dxa"/>
          </w:tcPr>
          <w:p w14:paraId="0C76D143" w14:textId="764E9E9A" w:rsidR="00936434" w:rsidRPr="008E3BCA" w:rsidRDefault="00936434" w:rsidP="00667673">
            <w:pPr>
              <w:jc w:val="center"/>
              <w:rPr>
                <w:rFonts w:cs="Arial"/>
                <w:color w:val="000000"/>
                <w:szCs w:val="22"/>
                <w:lang w:eastAsia="it-IT"/>
              </w:rPr>
            </w:pPr>
          </w:p>
        </w:tc>
        <w:tc>
          <w:tcPr>
            <w:tcW w:w="1590" w:type="dxa"/>
            <w:gridSpan w:val="2"/>
          </w:tcPr>
          <w:p w14:paraId="32E4B20F" w14:textId="3AC74521" w:rsidR="00936434" w:rsidRPr="001D0128" w:rsidRDefault="00936434" w:rsidP="00667673">
            <w:pPr>
              <w:jc w:val="center"/>
              <w:rPr>
                <w:rFonts w:cs="Arial"/>
                <w:b/>
                <w:color w:val="000000"/>
                <w:szCs w:val="22"/>
                <w:lang w:eastAsia="it-IT"/>
              </w:rPr>
            </w:pPr>
            <w:r w:rsidRPr="001D0128">
              <w:rPr>
                <w:rFonts w:cs="Arial"/>
                <w:b/>
                <w:color w:val="000000"/>
                <w:szCs w:val="22"/>
                <w:lang w:eastAsia="it-IT"/>
              </w:rPr>
              <w:t>2100,00</w:t>
            </w:r>
          </w:p>
        </w:tc>
      </w:tr>
      <w:tr w:rsidR="00936434" w:rsidRPr="00C2587D" w14:paraId="69C37763" w14:textId="09F47751" w:rsidTr="00936434">
        <w:trPr>
          <w:trHeight w:val="226"/>
          <w:jc w:val="right"/>
        </w:trPr>
        <w:tc>
          <w:tcPr>
            <w:tcW w:w="3423" w:type="dxa"/>
            <w:shd w:val="clear" w:color="auto" w:fill="FFFFFF"/>
            <w:vAlign w:val="center"/>
          </w:tcPr>
          <w:p w14:paraId="12CDE0E8" w14:textId="77777777" w:rsidR="00936434" w:rsidRPr="008E3BCA" w:rsidRDefault="00936434" w:rsidP="008E3BCA">
            <w:pPr>
              <w:rPr>
                <w:rFonts w:cs="Arial"/>
                <w:color w:val="000000"/>
                <w:szCs w:val="22"/>
              </w:rPr>
            </w:pPr>
            <w:r w:rsidRPr="008E3BCA">
              <w:rPr>
                <w:rFonts w:cs="Arial"/>
                <w:color w:val="000000"/>
                <w:szCs w:val="22"/>
              </w:rPr>
              <w:t>- інші джерела фінансування</w:t>
            </w:r>
          </w:p>
        </w:tc>
        <w:tc>
          <w:tcPr>
            <w:tcW w:w="1290" w:type="dxa"/>
            <w:gridSpan w:val="2"/>
          </w:tcPr>
          <w:p w14:paraId="7F39DC40" w14:textId="36C82C24" w:rsidR="00936434" w:rsidRPr="008E3BCA" w:rsidRDefault="00936434" w:rsidP="00667673">
            <w:pPr>
              <w:jc w:val="center"/>
              <w:rPr>
                <w:rFonts w:cs="Arial"/>
                <w:color w:val="000000"/>
                <w:szCs w:val="22"/>
                <w:lang w:eastAsia="it-IT"/>
              </w:rPr>
            </w:pPr>
          </w:p>
        </w:tc>
        <w:tc>
          <w:tcPr>
            <w:tcW w:w="1267" w:type="dxa"/>
            <w:gridSpan w:val="2"/>
          </w:tcPr>
          <w:p w14:paraId="1E616C1F" w14:textId="7D614C92" w:rsidR="00936434" w:rsidRPr="008E3BCA" w:rsidRDefault="00936434" w:rsidP="00667673">
            <w:pPr>
              <w:jc w:val="center"/>
              <w:rPr>
                <w:rFonts w:cs="Arial"/>
                <w:color w:val="000000"/>
                <w:szCs w:val="22"/>
                <w:lang w:eastAsia="it-IT"/>
              </w:rPr>
            </w:pPr>
            <w:r w:rsidRPr="008E3BCA">
              <w:rPr>
                <w:rFonts w:cs="Arial"/>
                <w:color w:val="000000"/>
                <w:szCs w:val="22"/>
                <w:lang w:eastAsia="it-IT"/>
              </w:rPr>
              <w:t>300,00</w:t>
            </w:r>
          </w:p>
        </w:tc>
        <w:tc>
          <w:tcPr>
            <w:tcW w:w="1393" w:type="dxa"/>
          </w:tcPr>
          <w:p w14:paraId="424FD71E" w14:textId="55C166CC" w:rsidR="00936434" w:rsidRPr="008E3BCA" w:rsidRDefault="00936434" w:rsidP="00667673">
            <w:pPr>
              <w:jc w:val="center"/>
              <w:rPr>
                <w:rFonts w:cs="Arial"/>
                <w:color w:val="000000"/>
                <w:szCs w:val="22"/>
                <w:lang w:eastAsia="it-IT"/>
              </w:rPr>
            </w:pPr>
          </w:p>
        </w:tc>
        <w:tc>
          <w:tcPr>
            <w:tcW w:w="1256" w:type="dxa"/>
          </w:tcPr>
          <w:p w14:paraId="341871D8" w14:textId="04FCAE8D" w:rsidR="00936434" w:rsidRPr="008E3BCA" w:rsidRDefault="00936434" w:rsidP="00667673">
            <w:pPr>
              <w:jc w:val="center"/>
              <w:rPr>
                <w:rFonts w:cs="Arial"/>
                <w:color w:val="000000"/>
                <w:szCs w:val="22"/>
                <w:lang w:eastAsia="it-IT"/>
              </w:rPr>
            </w:pPr>
          </w:p>
        </w:tc>
        <w:tc>
          <w:tcPr>
            <w:tcW w:w="1590" w:type="dxa"/>
            <w:gridSpan w:val="2"/>
          </w:tcPr>
          <w:p w14:paraId="029216C7" w14:textId="4E9F9546" w:rsidR="00936434" w:rsidRPr="001D0128" w:rsidRDefault="00936434" w:rsidP="00667673">
            <w:pPr>
              <w:jc w:val="center"/>
              <w:rPr>
                <w:rFonts w:cs="Arial"/>
                <w:b/>
                <w:color w:val="000000"/>
                <w:szCs w:val="22"/>
                <w:lang w:eastAsia="it-IT"/>
              </w:rPr>
            </w:pPr>
            <w:r w:rsidRPr="001D0128">
              <w:rPr>
                <w:rFonts w:cs="Arial"/>
                <w:b/>
                <w:color w:val="000000"/>
                <w:szCs w:val="22"/>
                <w:lang w:eastAsia="it-IT"/>
              </w:rPr>
              <w:t>300,00</w:t>
            </w:r>
          </w:p>
        </w:tc>
      </w:tr>
      <w:tr w:rsidR="00CB33C7" w:rsidRPr="00C2587D" w14:paraId="2DAF7233" w14:textId="77777777" w:rsidTr="00936434">
        <w:trPr>
          <w:jc w:val="right"/>
        </w:trPr>
        <w:tc>
          <w:tcPr>
            <w:tcW w:w="3423" w:type="dxa"/>
            <w:shd w:val="clear" w:color="auto" w:fill="FFFFFF"/>
            <w:vAlign w:val="center"/>
          </w:tcPr>
          <w:p w14:paraId="0AC7FFCA" w14:textId="77777777" w:rsidR="00CB33C7" w:rsidRPr="008E3BCA" w:rsidRDefault="00CB33C7" w:rsidP="008E3BCA">
            <w:pPr>
              <w:rPr>
                <w:rFonts w:cs="Arial"/>
                <w:b/>
                <w:bCs/>
                <w:color w:val="000000"/>
                <w:szCs w:val="22"/>
              </w:rPr>
            </w:pPr>
            <w:r w:rsidRPr="008E3BCA">
              <w:rPr>
                <w:rFonts w:cs="Arial"/>
                <w:b/>
                <w:color w:val="000000"/>
                <w:szCs w:val="22"/>
              </w:rPr>
              <w:t>Відповідальний виконавець проєкту:</w:t>
            </w:r>
          </w:p>
        </w:tc>
        <w:tc>
          <w:tcPr>
            <w:tcW w:w="6796" w:type="dxa"/>
            <w:gridSpan w:val="8"/>
            <w:vAlign w:val="center"/>
          </w:tcPr>
          <w:p w14:paraId="37DBD001" w14:textId="77777777" w:rsidR="00CB33C7" w:rsidRPr="008E3BCA" w:rsidRDefault="00CB33C7" w:rsidP="008E3BCA">
            <w:pPr>
              <w:jc w:val="both"/>
              <w:rPr>
                <w:rFonts w:cs="Arial"/>
                <w:color w:val="000000"/>
                <w:szCs w:val="22"/>
                <w:lang w:eastAsia="it-IT"/>
              </w:rPr>
            </w:pPr>
            <w:r w:rsidRPr="008E3BCA">
              <w:rPr>
                <w:rFonts w:cs="Arial"/>
                <w:color w:val="000000"/>
                <w:szCs w:val="22"/>
                <w:lang w:eastAsia="it-IT"/>
              </w:rPr>
              <w:t>Управління ЖКГ</w:t>
            </w:r>
          </w:p>
          <w:p w14:paraId="06C77A67" w14:textId="77777777" w:rsidR="00CB33C7" w:rsidRPr="008E3BCA" w:rsidRDefault="00CB33C7" w:rsidP="008E3BCA">
            <w:pPr>
              <w:jc w:val="both"/>
              <w:rPr>
                <w:rFonts w:cs="Arial"/>
                <w:color w:val="000000"/>
                <w:szCs w:val="22"/>
                <w:lang w:eastAsia="it-IT"/>
              </w:rPr>
            </w:pPr>
            <w:r w:rsidRPr="008E3BCA">
              <w:rPr>
                <w:rFonts w:cs="Arial"/>
                <w:color w:val="000000"/>
                <w:szCs w:val="22"/>
                <w:lang w:eastAsia="it-IT"/>
              </w:rPr>
              <w:t>КП «Браїлів-комунсервіс» Жмеринської міської ради</w:t>
            </w:r>
          </w:p>
        </w:tc>
      </w:tr>
      <w:tr w:rsidR="00CB33C7" w:rsidRPr="00C2587D" w14:paraId="1D1C9760" w14:textId="77777777" w:rsidTr="00936434">
        <w:trPr>
          <w:jc w:val="right"/>
        </w:trPr>
        <w:tc>
          <w:tcPr>
            <w:tcW w:w="3423" w:type="dxa"/>
            <w:shd w:val="clear" w:color="auto" w:fill="FFFFFF"/>
            <w:vAlign w:val="center"/>
          </w:tcPr>
          <w:p w14:paraId="3EBCCB85" w14:textId="77777777" w:rsidR="00CB33C7" w:rsidRPr="008E3BCA" w:rsidRDefault="00CB33C7" w:rsidP="008E3BCA">
            <w:pPr>
              <w:rPr>
                <w:rFonts w:cs="Arial"/>
                <w:b/>
                <w:bCs/>
                <w:color w:val="000000"/>
                <w:szCs w:val="22"/>
              </w:rPr>
            </w:pPr>
            <w:r w:rsidRPr="008E3BCA">
              <w:rPr>
                <w:rFonts w:cs="Arial"/>
                <w:b/>
                <w:bCs/>
                <w:color w:val="000000"/>
                <w:szCs w:val="22"/>
              </w:rPr>
              <w:t>Інше:</w:t>
            </w:r>
          </w:p>
        </w:tc>
        <w:tc>
          <w:tcPr>
            <w:tcW w:w="6796" w:type="dxa"/>
            <w:gridSpan w:val="8"/>
            <w:vAlign w:val="center"/>
          </w:tcPr>
          <w:p w14:paraId="6BF124C5" w14:textId="77777777" w:rsidR="00CB33C7" w:rsidRPr="008E3BCA" w:rsidRDefault="00CB33C7" w:rsidP="008E3BCA">
            <w:pPr>
              <w:rPr>
                <w:rFonts w:cs="Arial"/>
                <w:color w:val="000000"/>
                <w:szCs w:val="22"/>
                <w:lang w:eastAsia="it-IT"/>
              </w:rPr>
            </w:pPr>
          </w:p>
        </w:tc>
      </w:tr>
    </w:tbl>
    <w:p w14:paraId="6CE7F073" w14:textId="77777777" w:rsidR="00CB33C7" w:rsidRPr="00C2587D" w:rsidRDefault="00CB33C7" w:rsidP="00CB33C7"/>
    <w:p w14:paraId="19005CEC" w14:textId="77777777" w:rsidR="00CB33C7" w:rsidRPr="00C2587D" w:rsidRDefault="00CB33C7" w:rsidP="00CB33C7"/>
    <w:p w14:paraId="28E33FAB" w14:textId="77777777" w:rsidR="00CB33C7" w:rsidRPr="00C2587D" w:rsidRDefault="00CB33C7" w:rsidP="00CB33C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310E4A87" w14:textId="77777777" w:rsidR="00CB33C7" w:rsidRPr="00C2587D" w:rsidRDefault="00CB33C7" w:rsidP="00CB33C7">
      <w:pPr>
        <w:jc w:val="center"/>
        <w:rPr>
          <w:rFonts w:cs="Arial"/>
          <w:b/>
          <w:color w:val="000000"/>
          <w:szCs w:val="22"/>
        </w:rPr>
      </w:pPr>
      <w:r w:rsidRPr="00C2587D">
        <w:rPr>
          <w:rFonts w:cs="Arial"/>
          <w:b/>
          <w:color w:val="000000"/>
          <w:szCs w:val="22"/>
        </w:rPr>
        <w:t>до Плану заходів з реалізації Стратегії</w:t>
      </w:r>
    </w:p>
    <w:p w14:paraId="0C4DFADB" w14:textId="77777777" w:rsidR="00CB33C7" w:rsidRPr="00C2587D" w:rsidRDefault="00CB33C7" w:rsidP="00CB33C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13"/>
        <w:gridCol w:w="1262"/>
        <w:gridCol w:w="28"/>
        <w:gridCol w:w="1390"/>
        <w:gridCol w:w="38"/>
        <w:gridCol w:w="1238"/>
        <w:gridCol w:w="52"/>
        <w:gridCol w:w="1519"/>
      </w:tblGrid>
      <w:tr w:rsidR="00CB33C7" w:rsidRPr="00C2587D" w14:paraId="3FA638C3" w14:textId="77777777" w:rsidTr="00EA6E27">
        <w:trPr>
          <w:jc w:val="right"/>
        </w:trPr>
        <w:tc>
          <w:tcPr>
            <w:tcW w:w="3425" w:type="dxa"/>
            <w:vAlign w:val="center"/>
          </w:tcPr>
          <w:p w14:paraId="269D66EC" w14:textId="77777777" w:rsidR="00CB33C7" w:rsidRPr="001D0128" w:rsidRDefault="00CB33C7" w:rsidP="001D0128">
            <w:pPr>
              <w:rPr>
                <w:rFonts w:cs="Arial"/>
                <w:b/>
                <w:bCs/>
                <w:color w:val="000000"/>
                <w:szCs w:val="22"/>
              </w:rPr>
            </w:pPr>
            <w:r w:rsidRPr="001D0128">
              <w:rPr>
                <w:rFonts w:cs="Arial"/>
                <w:b/>
                <w:bCs/>
                <w:color w:val="000000"/>
                <w:szCs w:val="22"/>
              </w:rPr>
              <w:t>Назва проєкту:</w:t>
            </w:r>
          </w:p>
        </w:tc>
        <w:tc>
          <w:tcPr>
            <w:tcW w:w="6794" w:type="dxa"/>
            <w:gridSpan w:val="9"/>
          </w:tcPr>
          <w:p w14:paraId="7F822A85" w14:textId="77777777" w:rsidR="00CB33C7" w:rsidRPr="001D0128" w:rsidRDefault="00CB33C7" w:rsidP="001D0128">
            <w:pPr>
              <w:jc w:val="both"/>
              <w:rPr>
                <w:rFonts w:cs="Arial"/>
                <w:b/>
                <w:szCs w:val="22"/>
                <w:lang w:eastAsia="it-IT"/>
              </w:rPr>
            </w:pPr>
            <w:r w:rsidRPr="001D0128">
              <w:rPr>
                <w:rFonts w:cs="Arial"/>
                <w:b/>
                <w:szCs w:val="22"/>
                <w:lang w:eastAsia="it-IT"/>
              </w:rPr>
              <w:t>Нове будівництво розвідувально-експлуатаційної свердловини в селі Сьомаки, Жмеринського району, Вінницької області</w:t>
            </w:r>
          </w:p>
        </w:tc>
      </w:tr>
      <w:tr w:rsidR="00CB33C7" w:rsidRPr="00C2587D" w14:paraId="1C104913" w14:textId="77777777" w:rsidTr="00EA6E27">
        <w:trPr>
          <w:jc w:val="right"/>
        </w:trPr>
        <w:tc>
          <w:tcPr>
            <w:tcW w:w="3425" w:type="dxa"/>
          </w:tcPr>
          <w:p w14:paraId="66DC61D6" w14:textId="77777777" w:rsidR="00CB33C7" w:rsidRPr="001D0128" w:rsidRDefault="00CB33C7" w:rsidP="001D0128">
            <w:pPr>
              <w:rPr>
                <w:rFonts w:cs="Arial"/>
                <w:szCs w:val="22"/>
                <w:lang w:eastAsia="it-IT"/>
              </w:rPr>
            </w:pPr>
            <w:r w:rsidRPr="001D0128">
              <w:rPr>
                <w:rFonts w:cs="Arial"/>
                <w:b/>
                <w:bCs/>
                <w:szCs w:val="22"/>
              </w:rPr>
              <w:t>Ваші контакти</w:t>
            </w:r>
            <w:r w:rsidRPr="001D0128">
              <w:rPr>
                <w:rFonts w:cs="Arial"/>
                <w:szCs w:val="22"/>
                <w:lang w:eastAsia="it-IT"/>
              </w:rPr>
              <w:t>:</w:t>
            </w:r>
          </w:p>
          <w:p w14:paraId="2FA23625" w14:textId="77777777" w:rsidR="00CB33C7" w:rsidRPr="001D0128" w:rsidRDefault="00CB33C7" w:rsidP="001D0128">
            <w:pPr>
              <w:rPr>
                <w:rFonts w:cs="Arial"/>
                <w:b/>
                <w:bCs/>
                <w:szCs w:val="22"/>
              </w:rPr>
            </w:pPr>
            <w:r w:rsidRPr="001D0128">
              <w:rPr>
                <w:rFonts w:cs="Arial"/>
                <w:szCs w:val="22"/>
                <w:lang w:eastAsia="it-IT"/>
              </w:rPr>
              <w:t>Назва установи, організації, підприємства</w:t>
            </w:r>
          </w:p>
        </w:tc>
        <w:tc>
          <w:tcPr>
            <w:tcW w:w="6794" w:type="dxa"/>
            <w:gridSpan w:val="9"/>
          </w:tcPr>
          <w:p w14:paraId="7D03F664" w14:textId="77777777" w:rsidR="00CB33C7" w:rsidRPr="001D0128" w:rsidRDefault="00CB33C7" w:rsidP="00667673">
            <w:pPr>
              <w:jc w:val="both"/>
              <w:rPr>
                <w:rFonts w:cs="Arial"/>
                <w:szCs w:val="22"/>
                <w:lang w:eastAsia="it-IT"/>
              </w:rPr>
            </w:pPr>
            <w:r w:rsidRPr="001D0128">
              <w:rPr>
                <w:rFonts w:cs="Arial"/>
                <w:szCs w:val="22"/>
                <w:lang w:eastAsia="it-IT"/>
              </w:rPr>
              <w:t>КП «Браїлів-комунсервіс» Жмеринської міської ради</w:t>
            </w:r>
          </w:p>
        </w:tc>
      </w:tr>
      <w:tr w:rsidR="00CB33C7" w:rsidRPr="00C2587D" w14:paraId="036914CC" w14:textId="77777777" w:rsidTr="00EA6E27">
        <w:trPr>
          <w:jc w:val="right"/>
        </w:trPr>
        <w:tc>
          <w:tcPr>
            <w:tcW w:w="3425" w:type="dxa"/>
          </w:tcPr>
          <w:p w14:paraId="37D0235D" w14:textId="77777777" w:rsidR="00CB33C7" w:rsidRPr="001D0128" w:rsidRDefault="00CB33C7" w:rsidP="001D0128">
            <w:pPr>
              <w:rPr>
                <w:rFonts w:cs="Arial"/>
                <w:b/>
                <w:bCs/>
                <w:szCs w:val="22"/>
              </w:rPr>
            </w:pPr>
            <w:r w:rsidRPr="001D0128">
              <w:rPr>
                <w:rFonts w:cs="Arial"/>
                <w:szCs w:val="22"/>
                <w:lang w:eastAsia="it-IT"/>
              </w:rPr>
              <w:t>Прізвище Ім’я По-батькові:</w:t>
            </w:r>
          </w:p>
        </w:tc>
        <w:tc>
          <w:tcPr>
            <w:tcW w:w="6794" w:type="dxa"/>
            <w:gridSpan w:val="9"/>
          </w:tcPr>
          <w:p w14:paraId="46E968DF" w14:textId="77777777" w:rsidR="00CB33C7" w:rsidRPr="001D0128" w:rsidRDefault="00CB33C7" w:rsidP="00667673">
            <w:pPr>
              <w:jc w:val="both"/>
              <w:rPr>
                <w:rFonts w:cs="Arial"/>
                <w:szCs w:val="22"/>
                <w:lang w:eastAsia="it-IT"/>
              </w:rPr>
            </w:pPr>
            <w:r w:rsidRPr="001D0128">
              <w:rPr>
                <w:rFonts w:cs="Arial"/>
                <w:szCs w:val="22"/>
                <w:lang w:eastAsia="it-IT"/>
              </w:rPr>
              <w:t>Резедент Валерій Дмитрович</w:t>
            </w:r>
          </w:p>
        </w:tc>
      </w:tr>
      <w:tr w:rsidR="00CB33C7" w:rsidRPr="00C2587D" w14:paraId="268C016E" w14:textId="77777777" w:rsidTr="00EA6E27">
        <w:trPr>
          <w:jc w:val="right"/>
        </w:trPr>
        <w:tc>
          <w:tcPr>
            <w:tcW w:w="3425" w:type="dxa"/>
          </w:tcPr>
          <w:p w14:paraId="714F8B28" w14:textId="77777777" w:rsidR="00CB33C7" w:rsidRPr="001D0128" w:rsidRDefault="00CB33C7" w:rsidP="001D0128">
            <w:pPr>
              <w:rPr>
                <w:rFonts w:cs="Arial"/>
                <w:b/>
                <w:bCs/>
                <w:szCs w:val="22"/>
              </w:rPr>
            </w:pPr>
            <w:r w:rsidRPr="001D0128">
              <w:rPr>
                <w:rFonts w:cs="Arial"/>
                <w:szCs w:val="22"/>
                <w:lang w:eastAsia="it-IT"/>
              </w:rPr>
              <w:t>Телефон (мобільний):</w:t>
            </w:r>
          </w:p>
        </w:tc>
        <w:tc>
          <w:tcPr>
            <w:tcW w:w="6794" w:type="dxa"/>
            <w:gridSpan w:val="9"/>
          </w:tcPr>
          <w:p w14:paraId="139A6E74" w14:textId="77777777" w:rsidR="00CB33C7" w:rsidRPr="001D0128" w:rsidRDefault="00CB33C7" w:rsidP="00667673">
            <w:pPr>
              <w:jc w:val="both"/>
              <w:rPr>
                <w:rFonts w:cs="Arial"/>
                <w:szCs w:val="22"/>
                <w:lang w:eastAsia="it-IT"/>
              </w:rPr>
            </w:pPr>
            <w:r w:rsidRPr="001D0128">
              <w:rPr>
                <w:rFonts w:cs="Arial"/>
                <w:szCs w:val="22"/>
                <w:lang w:eastAsia="it-IT"/>
              </w:rPr>
              <w:t>0674041516</w:t>
            </w:r>
          </w:p>
        </w:tc>
      </w:tr>
      <w:tr w:rsidR="00CB33C7" w:rsidRPr="00C2587D" w14:paraId="3AAC4A1C" w14:textId="77777777" w:rsidTr="00EA6E27">
        <w:trPr>
          <w:jc w:val="right"/>
        </w:trPr>
        <w:tc>
          <w:tcPr>
            <w:tcW w:w="3425" w:type="dxa"/>
          </w:tcPr>
          <w:p w14:paraId="641F8FA8" w14:textId="77777777" w:rsidR="00CB33C7" w:rsidRPr="001D0128" w:rsidRDefault="00CB33C7" w:rsidP="001D0128">
            <w:pPr>
              <w:rPr>
                <w:rFonts w:cs="Arial"/>
                <w:b/>
                <w:bCs/>
                <w:szCs w:val="22"/>
              </w:rPr>
            </w:pPr>
            <w:r w:rsidRPr="001D0128">
              <w:rPr>
                <w:rFonts w:cs="Arial"/>
                <w:szCs w:val="22"/>
                <w:lang w:eastAsia="it-IT"/>
              </w:rPr>
              <w:t>Електронна адреса:</w:t>
            </w:r>
          </w:p>
        </w:tc>
        <w:tc>
          <w:tcPr>
            <w:tcW w:w="6794" w:type="dxa"/>
            <w:gridSpan w:val="9"/>
          </w:tcPr>
          <w:p w14:paraId="29D710CD" w14:textId="78F62D9E" w:rsidR="00CB33C7" w:rsidRPr="001D0128" w:rsidRDefault="00D85FFD" w:rsidP="00667673">
            <w:pPr>
              <w:jc w:val="both"/>
              <w:rPr>
                <w:rFonts w:cs="Arial"/>
                <w:szCs w:val="22"/>
                <w:lang w:eastAsia="it-IT"/>
              </w:rPr>
            </w:pPr>
            <w:hyperlink r:id="rId74" w:history="1">
              <w:r w:rsidR="00E97953" w:rsidRPr="000067E4">
                <w:rPr>
                  <w:rStyle w:val="af0"/>
                  <w:rFonts w:cs="Arial"/>
                  <w:noProof w:val="0"/>
                  <w:sz w:val="22"/>
                  <w:szCs w:val="22"/>
                  <w:lang w:eastAsia="it-IT"/>
                </w:rPr>
                <w:t>brailivks@gmail.com</w:t>
              </w:r>
            </w:hyperlink>
            <w:r w:rsidR="00E97953">
              <w:rPr>
                <w:rFonts w:cs="Arial"/>
                <w:szCs w:val="22"/>
                <w:lang w:eastAsia="it-IT"/>
              </w:rPr>
              <w:t xml:space="preserve"> </w:t>
            </w:r>
          </w:p>
        </w:tc>
      </w:tr>
      <w:tr w:rsidR="00CB33C7" w:rsidRPr="00C2587D" w14:paraId="470075D2" w14:textId="77777777" w:rsidTr="00EA6E27">
        <w:trPr>
          <w:jc w:val="right"/>
        </w:trPr>
        <w:tc>
          <w:tcPr>
            <w:tcW w:w="3425" w:type="dxa"/>
            <w:vAlign w:val="center"/>
          </w:tcPr>
          <w:p w14:paraId="7EA3F281" w14:textId="77777777" w:rsidR="00CB33C7" w:rsidRPr="001D0128" w:rsidRDefault="00CB33C7" w:rsidP="001D0128">
            <w:pPr>
              <w:pStyle w:val="6"/>
              <w:spacing w:before="0" w:after="0"/>
              <w:rPr>
                <w:rFonts w:ascii="Arial" w:hAnsi="Arial" w:cs="Arial"/>
                <w:color w:val="000000"/>
                <w:lang w:val="uk-UA"/>
              </w:rPr>
            </w:pPr>
            <w:r w:rsidRPr="001D0128">
              <w:rPr>
                <w:rFonts w:ascii="Arial" w:hAnsi="Arial" w:cs="Arial"/>
                <w:color w:val="000000"/>
                <w:lang w:val="uk-UA"/>
              </w:rPr>
              <w:t>Номер і назва завдання з Стратегії</w:t>
            </w:r>
            <w:r w:rsidRPr="001D0128">
              <w:rPr>
                <w:rFonts w:ascii="Arial" w:hAnsi="Arial" w:cs="Arial"/>
                <w:lang w:val="uk-UA" w:eastAsia="it-IT"/>
              </w:rPr>
              <w:t xml:space="preserve"> </w:t>
            </w:r>
            <w:r w:rsidRPr="001D0128">
              <w:rPr>
                <w:rFonts w:ascii="Arial" w:hAnsi="Arial" w:cs="Arial"/>
                <w:color w:val="000000"/>
                <w:lang w:val="uk-UA"/>
              </w:rPr>
              <w:t>розвитку Жмеринської міської територіальної громади,  якому відповідає проєкт:</w:t>
            </w:r>
          </w:p>
        </w:tc>
        <w:tc>
          <w:tcPr>
            <w:tcW w:w="6794" w:type="dxa"/>
            <w:gridSpan w:val="9"/>
          </w:tcPr>
          <w:p w14:paraId="729B3300" w14:textId="77777777" w:rsidR="00CB33C7" w:rsidRPr="001D0128" w:rsidRDefault="00CB33C7" w:rsidP="00667673">
            <w:pPr>
              <w:pBdr>
                <w:left w:val="single" w:sz="18" w:space="4" w:color="auto"/>
              </w:pBdr>
              <w:jc w:val="both"/>
              <w:rPr>
                <w:rFonts w:cs="Arial"/>
                <w:szCs w:val="22"/>
                <w:lang w:eastAsia="it-IT"/>
              </w:rPr>
            </w:pPr>
            <w:r w:rsidRPr="001D0128">
              <w:rPr>
                <w:rFonts w:cs="Arial"/>
                <w:szCs w:val="22"/>
                <w:lang w:eastAsia="it-IT"/>
              </w:rPr>
              <w:t>В.1.3.1.Будівництво нових, реконструкція, капітальний ремонт, модернізація мереж централізованої системи водопостачання, водовідведення та каналізація.</w:t>
            </w:r>
          </w:p>
        </w:tc>
      </w:tr>
      <w:tr w:rsidR="00CB33C7" w:rsidRPr="00C2587D" w14:paraId="73CA3A9D" w14:textId="77777777" w:rsidTr="00EA6E27">
        <w:trPr>
          <w:jc w:val="right"/>
        </w:trPr>
        <w:tc>
          <w:tcPr>
            <w:tcW w:w="3425" w:type="dxa"/>
            <w:vAlign w:val="center"/>
          </w:tcPr>
          <w:p w14:paraId="77B4C5A3" w14:textId="77777777" w:rsidR="00CB33C7" w:rsidRPr="001D0128" w:rsidRDefault="00CB33C7" w:rsidP="001D0128">
            <w:pPr>
              <w:rPr>
                <w:rFonts w:cs="Arial"/>
                <w:b/>
                <w:bCs/>
                <w:color w:val="000000"/>
                <w:szCs w:val="22"/>
              </w:rPr>
            </w:pPr>
            <w:r w:rsidRPr="001D0128">
              <w:rPr>
                <w:rFonts w:cs="Arial"/>
                <w:b/>
                <w:bCs/>
                <w:color w:val="000000"/>
                <w:szCs w:val="22"/>
              </w:rPr>
              <w:t>Мета проєкту:</w:t>
            </w:r>
          </w:p>
        </w:tc>
        <w:tc>
          <w:tcPr>
            <w:tcW w:w="6794" w:type="dxa"/>
            <w:gridSpan w:val="9"/>
          </w:tcPr>
          <w:p w14:paraId="6D0F01F0" w14:textId="77777777" w:rsidR="00CB33C7" w:rsidRPr="001D0128" w:rsidRDefault="00CB33C7" w:rsidP="00E97953">
            <w:pPr>
              <w:jc w:val="both"/>
              <w:rPr>
                <w:rFonts w:cs="Arial"/>
                <w:szCs w:val="22"/>
                <w:lang w:eastAsia="it-IT"/>
              </w:rPr>
            </w:pPr>
            <w:r w:rsidRPr="001D0128">
              <w:rPr>
                <w:rFonts w:cs="Arial"/>
                <w:szCs w:val="22"/>
                <w:lang w:eastAsia="it-IT"/>
              </w:rPr>
              <w:t>Надання мешканцям села Сьомаки якісних послух з водопостачання, шляхом проведення нового будівництва свердловини.</w:t>
            </w:r>
          </w:p>
        </w:tc>
      </w:tr>
      <w:tr w:rsidR="00CB33C7" w:rsidRPr="00C2587D" w14:paraId="69388590" w14:textId="77777777" w:rsidTr="00EA6E27">
        <w:trPr>
          <w:jc w:val="right"/>
        </w:trPr>
        <w:tc>
          <w:tcPr>
            <w:tcW w:w="3425" w:type="dxa"/>
            <w:vAlign w:val="center"/>
          </w:tcPr>
          <w:p w14:paraId="30377E90" w14:textId="77777777" w:rsidR="00CB33C7" w:rsidRPr="001D0128" w:rsidRDefault="00CB33C7" w:rsidP="001D0128">
            <w:pPr>
              <w:rPr>
                <w:rFonts w:cs="Arial"/>
                <w:b/>
                <w:bCs/>
                <w:color w:val="000000"/>
                <w:szCs w:val="22"/>
              </w:rPr>
            </w:pPr>
            <w:r w:rsidRPr="001D0128">
              <w:rPr>
                <w:rFonts w:cs="Arial"/>
                <w:b/>
                <w:bCs/>
                <w:color w:val="000000"/>
                <w:szCs w:val="22"/>
              </w:rPr>
              <w:t>Цілі проєкту:</w:t>
            </w:r>
          </w:p>
        </w:tc>
        <w:tc>
          <w:tcPr>
            <w:tcW w:w="6794" w:type="dxa"/>
            <w:gridSpan w:val="9"/>
          </w:tcPr>
          <w:p w14:paraId="5BFF38F2" w14:textId="77777777" w:rsidR="00CB33C7" w:rsidRPr="001D0128" w:rsidRDefault="00CB33C7" w:rsidP="00E97953">
            <w:pPr>
              <w:jc w:val="both"/>
              <w:rPr>
                <w:rFonts w:cs="Arial"/>
                <w:szCs w:val="22"/>
                <w:lang w:eastAsia="it-IT"/>
              </w:rPr>
            </w:pPr>
            <w:r w:rsidRPr="001D0128">
              <w:rPr>
                <w:rFonts w:cs="Arial"/>
                <w:szCs w:val="22"/>
                <w:lang w:eastAsia="it-IT"/>
              </w:rPr>
              <w:t xml:space="preserve">Забезпечення жителів села Сьомаки якісною питною водою в достатній кількості </w:t>
            </w:r>
          </w:p>
        </w:tc>
      </w:tr>
      <w:tr w:rsidR="00CB33C7" w:rsidRPr="00C2587D" w14:paraId="523F6B27" w14:textId="77777777" w:rsidTr="00EA6E27">
        <w:trPr>
          <w:jc w:val="right"/>
        </w:trPr>
        <w:tc>
          <w:tcPr>
            <w:tcW w:w="3425" w:type="dxa"/>
            <w:vAlign w:val="center"/>
          </w:tcPr>
          <w:p w14:paraId="3868C380" w14:textId="77777777" w:rsidR="00CB33C7" w:rsidRPr="001D0128" w:rsidRDefault="00CB33C7" w:rsidP="001D0128">
            <w:pPr>
              <w:autoSpaceDE w:val="0"/>
              <w:autoSpaceDN w:val="0"/>
              <w:adjustRightInd w:val="0"/>
              <w:rPr>
                <w:rFonts w:cs="Arial"/>
                <w:b/>
                <w:color w:val="000000"/>
                <w:szCs w:val="22"/>
              </w:rPr>
            </w:pPr>
            <w:r w:rsidRPr="001D0128">
              <w:rPr>
                <w:rFonts w:cs="Arial"/>
                <w:b/>
                <w:color w:val="000000"/>
                <w:szCs w:val="22"/>
              </w:rPr>
              <w:t>Територія на яку проєкт матиме вплив:</w:t>
            </w:r>
          </w:p>
        </w:tc>
        <w:tc>
          <w:tcPr>
            <w:tcW w:w="6794" w:type="dxa"/>
            <w:gridSpan w:val="9"/>
          </w:tcPr>
          <w:p w14:paraId="2620C557" w14:textId="77777777" w:rsidR="00CB33C7" w:rsidRPr="001D0128" w:rsidRDefault="00CB33C7" w:rsidP="00E97953">
            <w:pPr>
              <w:jc w:val="both"/>
              <w:rPr>
                <w:rFonts w:cs="Arial"/>
                <w:szCs w:val="22"/>
                <w:lang w:eastAsia="it-IT"/>
              </w:rPr>
            </w:pPr>
            <w:r w:rsidRPr="001D0128">
              <w:rPr>
                <w:rFonts w:cs="Arial"/>
                <w:szCs w:val="22"/>
                <w:lang w:eastAsia="it-IT"/>
              </w:rPr>
              <w:t xml:space="preserve">Село Сьомаки Жмеринської МТГ </w:t>
            </w:r>
          </w:p>
        </w:tc>
      </w:tr>
      <w:tr w:rsidR="00CB33C7" w:rsidRPr="00C2587D" w14:paraId="3D62B8AF" w14:textId="77777777" w:rsidTr="00EA6E27">
        <w:trPr>
          <w:jc w:val="right"/>
        </w:trPr>
        <w:tc>
          <w:tcPr>
            <w:tcW w:w="3425" w:type="dxa"/>
            <w:vAlign w:val="center"/>
          </w:tcPr>
          <w:p w14:paraId="65FE9B1F" w14:textId="77777777" w:rsidR="00CB33C7" w:rsidRPr="001D0128" w:rsidRDefault="00CB33C7" w:rsidP="001D0128">
            <w:pPr>
              <w:autoSpaceDE w:val="0"/>
              <w:autoSpaceDN w:val="0"/>
              <w:adjustRightInd w:val="0"/>
              <w:rPr>
                <w:rFonts w:cs="Arial"/>
                <w:b/>
                <w:color w:val="000000"/>
                <w:szCs w:val="22"/>
              </w:rPr>
            </w:pPr>
            <w:r w:rsidRPr="001D0128">
              <w:rPr>
                <w:rFonts w:cs="Arial"/>
                <w:b/>
                <w:color w:val="000000"/>
                <w:szCs w:val="22"/>
              </w:rPr>
              <w:t>Цільові групи проєкту та кількість отримувачів вигоди</w:t>
            </w:r>
          </w:p>
        </w:tc>
        <w:tc>
          <w:tcPr>
            <w:tcW w:w="6794" w:type="dxa"/>
            <w:gridSpan w:val="9"/>
          </w:tcPr>
          <w:p w14:paraId="7391D9F0" w14:textId="77777777" w:rsidR="00CB33C7" w:rsidRPr="001D0128" w:rsidRDefault="00CB33C7" w:rsidP="00E97953">
            <w:pPr>
              <w:jc w:val="both"/>
              <w:rPr>
                <w:rFonts w:cs="Arial"/>
                <w:szCs w:val="22"/>
                <w:lang w:eastAsia="it-IT"/>
              </w:rPr>
            </w:pPr>
            <w:r w:rsidRPr="001D0128">
              <w:rPr>
                <w:rFonts w:cs="Arial"/>
                <w:szCs w:val="22"/>
                <w:lang w:eastAsia="it-IT"/>
              </w:rPr>
              <w:t>800 чол., мешканці села Сьомаки, підприємства, діти, люди літнього віку та ін.</w:t>
            </w:r>
          </w:p>
        </w:tc>
      </w:tr>
      <w:tr w:rsidR="00CB33C7" w:rsidRPr="00C2587D" w14:paraId="7BCEF439" w14:textId="77777777" w:rsidTr="00EA6E27">
        <w:trPr>
          <w:jc w:val="right"/>
        </w:trPr>
        <w:tc>
          <w:tcPr>
            <w:tcW w:w="3425" w:type="dxa"/>
            <w:shd w:val="clear" w:color="auto" w:fill="FFFFFF"/>
            <w:vAlign w:val="center"/>
          </w:tcPr>
          <w:p w14:paraId="0F53EC04" w14:textId="77777777" w:rsidR="00CB33C7" w:rsidRPr="001D0128" w:rsidRDefault="00CB33C7" w:rsidP="001D0128">
            <w:pPr>
              <w:rPr>
                <w:rFonts w:cs="Arial"/>
                <w:b/>
                <w:bCs/>
                <w:color w:val="000000"/>
                <w:szCs w:val="22"/>
              </w:rPr>
            </w:pPr>
            <w:r w:rsidRPr="001D0128">
              <w:rPr>
                <w:rFonts w:cs="Arial"/>
                <w:b/>
                <w:bCs/>
                <w:color w:val="000000"/>
                <w:szCs w:val="22"/>
              </w:rPr>
              <w:t>Стислий опис проєкту:</w:t>
            </w:r>
          </w:p>
        </w:tc>
        <w:tc>
          <w:tcPr>
            <w:tcW w:w="6794" w:type="dxa"/>
            <w:gridSpan w:val="9"/>
          </w:tcPr>
          <w:p w14:paraId="21921226" w14:textId="4DD0BFC5" w:rsidR="00CB33C7" w:rsidRPr="001D0128" w:rsidRDefault="00CB33C7" w:rsidP="00E97953">
            <w:pPr>
              <w:jc w:val="both"/>
              <w:rPr>
                <w:rFonts w:cs="Arial"/>
                <w:szCs w:val="22"/>
                <w:lang w:eastAsia="it-IT"/>
              </w:rPr>
            </w:pPr>
            <w:r w:rsidRPr="001D0128">
              <w:rPr>
                <w:rFonts w:cs="Arial"/>
                <w:szCs w:val="22"/>
                <w:lang w:eastAsia="it-IT"/>
              </w:rPr>
              <w:t>Водопровідна мережа в селі Сьомаки не достатньо забезпечує жителів громади питною водою,  та як нині діюча свердловина побудована в 1981 році і є мало продуктивною, дебет її складає 3,0 М</w:t>
            </w:r>
            <w:r w:rsidRPr="001D0128">
              <w:rPr>
                <w:rFonts w:cs="Arial"/>
                <w:szCs w:val="22"/>
                <w:vertAlign w:val="superscript"/>
                <w:lang w:eastAsia="it-IT"/>
              </w:rPr>
              <w:t xml:space="preserve">3 </w:t>
            </w:r>
            <w:r w:rsidRPr="001D0128">
              <w:rPr>
                <w:rFonts w:cs="Arial"/>
                <w:szCs w:val="22"/>
                <w:lang w:eastAsia="it-IT"/>
              </w:rPr>
              <w:t xml:space="preserve">на годину, більшість споживачів, особливо в літній період, не можуть отримати в повному обсязі необхідну кількість артезіанської </w:t>
            </w:r>
            <w:r w:rsidR="008C063B">
              <w:rPr>
                <w:rFonts w:cs="Arial"/>
                <w:szCs w:val="22"/>
                <w:lang w:eastAsia="it-IT"/>
              </w:rPr>
              <w:t>води. При реалізації даного проє</w:t>
            </w:r>
            <w:r w:rsidRPr="001D0128">
              <w:rPr>
                <w:rFonts w:cs="Arial"/>
                <w:szCs w:val="22"/>
                <w:lang w:eastAsia="it-IT"/>
              </w:rPr>
              <w:t>кту 800 споживачів води будуть забезпечені якісною водою в повному обсязі для господарських та харчових потреб.</w:t>
            </w:r>
          </w:p>
        </w:tc>
      </w:tr>
      <w:tr w:rsidR="00CB33C7" w:rsidRPr="00C2587D" w14:paraId="5E2CD563" w14:textId="77777777" w:rsidTr="00EA6E27">
        <w:trPr>
          <w:jc w:val="right"/>
        </w:trPr>
        <w:tc>
          <w:tcPr>
            <w:tcW w:w="3425" w:type="dxa"/>
            <w:shd w:val="clear" w:color="auto" w:fill="FFFFFF"/>
            <w:vAlign w:val="center"/>
          </w:tcPr>
          <w:p w14:paraId="4D7C264B" w14:textId="77777777" w:rsidR="00CB33C7" w:rsidRPr="001D0128" w:rsidRDefault="00CB33C7" w:rsidP="001D0128">
            <w:pPr>
              <w:rPr>
                <w:rFonts w:cs="Arial"/>
                <w:b/>
                <w:bCs/>
                <w:color w:val="000000"/>
                <w:szCs w:val="22"/>
              </w:rPr>
            </w:pPr>
            <w:r w:rsidRPr="001D0128">
              <w:rPr>
                <w:rFonts w:cs="Arial"/>
                <w:b/>
                <w:bCs/>
                <w:color w:val="000000"/>
                <w:szCs w:val="22"/>
              </w:rPr>
              <w:t>Основні заходи проєкту:</w:t>
            </w:r>
          </w:p>
        </w:tc>
        <w:tc>
          <w:tcPr>
            <w:tcW w:w="6794" w:type="dxa"/>
            <w:gridSpan w:val="9"/>
          </w:tcPr>
          <w:p w14:paraId="2ED5E131" w14:textId="77777777" w:rsidR="00CB33C7" w:rsidRPr="001D0128" w:rsidRDefault="00CB33C7" w:rsidP="001D0128">
            <w:pPr>
              <w:jc w:val="both"/>
              <w:rPr>
                <w:rFonts w:cs="Arial"/>
                <w:szCs w:val="22"/>
                <w:lang w:eastAsia="it-IT"/>
              </w:rPr>
            </w:pPr>
            <w:r w:rsidRPr="001D0128">
              <w:rPr>
                <w:rFonts w:cs="Arial"/>
                <w:szCs w:val="22"/>
                <w:lang w:eastAsia="it-IT"/>
              </w:rPr>
              <w:t>Розробка ПКД. Проведення експертизи ПКД. Проведення процедури відкритих торгів з метою визначення виконавця робіт. Отримання дозволу на виконання  будівельних робіт. Виконання робіт по будівництву свердловини. Введення в експлуатацію  об’єкта після виконання робіт.</w:t>
            </w:r>
          </w:p>
        </w:tc>
      </w:tr>
      <w:tr w:rsidR="00CB33C7" w:rsidRPr="00C2587D" w14:paraId="51347078" w14:textId="77777777" w:rsidTr="00EA6E27">
        <w:trPr>
          <w:jc w:val="right"/>
        </w:trPr>
        <w:tc>
          <w:tcPr>
            <w:tcW w:w="3425" w:type="dxa"/>
            <w:shd w:val="clear" w:color="auto" w:fill="FFFFFF"/>
            <w:vAlign w:val="center"/>
          </w:tcPr>
          <w:p w14:paraId="790326D4" w14:textId="77777777" w:rsidR="00CB33C7" w:rsidRPr="001D0128" w:rsidRDefault="00CB33C7" w:rsidP="001D0128">
            <w:pPr>
              <w:rPr>
                <w:rFonts w:cs="Arial"/>
                <w:b/>
                <w:bCs/>
                <w:color w:val="000000"/>
                <w:szCs w:val="22"/>
              </w:rPr>
            </w:pPr>
            <w:r w:rsidRPr="001D0128">
              <w:rPr>
                <w:rFonts w:cs="Arial"/>
                <w:b/>
                <w:bCs/>
                <w:color w:val="000000"/>
                <w:szCs w:val="22"/>
              </w:rPr>
              <w:t>Індикатори (показники) результативності:</w:t>
            </w:r>
          </w:p>
        </w:tc>
        <w:tc>
          <w:tcPr>
            <w:tcW w:w="6794" w:type="dxa"/>
            <w:gridSpan w:val="9"/>
          </w:tcPr>
          <w:p w14:paraId="08F59A7D" w14:textId="7ADCFD71" w:rsidR="00CB33C7" w:rsidRPr="001D0128" w:rsidRDefault="00CB33C7" w:rsidP="001D0128">
            <w:pPr>
              <w:jc w:val="both"/>
              <w:rPr>
                <w:rFonts w:cs="Arial"/>
                <w:szCs w:val="22"/>
                <w:lang w:eastAsia="it-IT"/>
              </w:rPr>
            </w:pPr>
            <w:r w:rsidRPr="001D0128">
              <w:rPr>
                <w:rFonts w:cs="Arial"/>
                <w:szCs w:val="22"/>
                <w:lang w:eastAsia="it-IT"/>
              </w:rPr>
              <w:t>Будівництво свердловини з дебетом 8 м3 води на годину дасть можливість продуктивно функціонувати водопровідній мер</w:t>
            </w:r>
            <w:r w:rsidR="008C063B">
              <w:rPr>
                <w:rFonts w:cs="Arial"/>
                <w:szCs w:val="22"/>
                <w:lang w:eastAsia="it-IT"/>
              </w:rPr>
              <w:t>ежі. При впроваджені даного проє</w:t>
            </w:r>
            <w:r w:rsidRPr="001D0128">
              <w:rPr>
                <w:rFonts w:cs="Arial"/>
                <w:szCs w:val="22"/>
                <w:lang w:eastAsia="it-IT"/>
              </w:rPr>
              <w:t>кту 800 жителів селища будуть забезпечені якісною водою та в достатній кількості.</w:t>
            </w:r>
          </w:p>
        </w:tc>
      </w:tr>
      <w:tr w:rsidR="00CB33C7" w:rsidRPr="00C2587D" w14:paraId="04FEA237" w14:textId="77777777" w:rsidTr="00EA6E27">
        <w:trPr>
          <w:jc w:val="right"/>
        </w:trPr>
        <w:tc>
          <w:tcPr>
            <w:tcW w:w="3425" w:type="dxa"/>
            <w:shd w:val="clear" w:color="auto" w:fill="FFFFFF"/>
            <w:vAlign w:val="center"/>
          </w:tcPr>
          <w:p w14:paraId="63CB9B3C" w14:textId="77777777" w:rsidR="00CB33C7" w:rsidRPr="001D0128" w:rsidRDefault="00CB33C7" w:rsidP="001D0128">
            <w:pPr>
              <w:rPr>
                <w:rFonts w:cs="Arial"/>
                <w:b/>
                <w:color w:val="000000"/>
                <w:szCs w:val="22"/>
              </w:rPr>
            </w:pPr>
            <w:r w:rsidRPr="001D0128">
              <w:rPr>
                <w:rFonts w:cs="Arial"/>
                <w:b/>
                <w:color w:val="000000"/>
                <w:szCs w:val="22"/>
              </w:rPr>
              <w:t xml:space="preserve">Період здійснення: </w:t>
            </w:r>
          </w:p>
        </w:tc>
        <w:tc>
          <w:tcPr>
            <w:tcW w:w="6794" w:type="dxa"/>
            <w:gridSpan w:val="9"/>
            <w:vAlign w:val="center"/>
          </w:tcPr>
          <w:p w14:paraId="150F3F5D" w14:textId="77777777" w:rsidR="00CB33C7" w:rsidRPr="001D0128" w:rsidRDefault="00CB33C7" w:rsidP="001D0128">
            <w:pPr>
              <w:rPr>
                <w:rFonts w:cs="Arial"/>
                <w:color w:val="000000"/>
                <w:szCs w:val="22"/>
                <w:lang w:eastAsia="it-IT"/>
              </w:rPr>
            </w:pPr>
            <w:r w:rsidRPr="001D0128">
              <w:rPr>
                <w:rFonts w:cs="Arial"/>
                <w:b/>
                <w:color w:val="000000"/>
                <w:szCs w:val="22"/>
              </w:rPr>
              <w:t>2025 – 2028 роки:</w:t>
            </w:r>
          </w:p>
        </w:tc>
      </w:tr>
      <w:tr w:rsidR="00CB33C7" w:rsidRPr="00C2587D" w14:paraId="0899B218" w14:textId="77777777" w:rsidTr="00EA6E27">
        <w:trPr>
          <w:jc w:val="right"/>
        </w:trPr>
        <w:tc>
          <w:tcPr>
            <w:tcW w:w="3425" w:type="dxa"/>
            <w:vMerge w:val="restart"/>
            <w:shd w:val="clear" w:color="auto" w:fill="FFFFFF"/>
            <w:vAlign w:val="center"/>
          </w:tcPr>
          <w:p w14:paraId="37A1B9C6" w14:textId="77777777" w:rsidR="00CB33C7" w:rsidRPr="001D0128" w:rsidRDefault="00CB33C7" w:rsidP="001D0128">
            <w:pPr>
              <w:rPr>
                <w:rFonts w:cs="Arial"/>
                <w:b/>
                <w:bCs/>
                <w:color w:val="000000"/>
                <w:szCs w:val="22"/>
              </w:rPr>
            </w:pPr>
            <w:r w:rsidRPr="001D0128">
              <w:rPr>
                <w:rFonts w:cs="Arial"/>
                <w:b/>
                <w:bCs/>
                <w:color w:val="000000"/>
                <w:szCs w:val="22"/>
              </w:rPr>
              <w:t>Орієнтовна вартість проєкту, тис. грн., в тому числі:</w:t>
            </w:r>
          </w:p>
        </w:tc>
        <w:tc>
          <w:tcPr>
            <w:tcW w:w="1254" w:type="dxa"/>
            <w:shd w:val="clear" w:color="auto" w:fill="E6E6E6"/>
            <w:vAlign w:val="center"/>
          </w:tcPr>
          <w:p w14:paraId="5260B7B2" w14:textId="77777777" w:rsidR="00CB33C7" w:rsidRPr="001D0128" w:rsidRDefault="00CB33C7" w:rsidP="001D0128">
            <w:pPr>
              <w:jc w:val="center"/>
              <w:rPr>
                <w:rFonts w:cs="Arial"/>
                <w:b/>
                <w:color w:val="000000"/>
                <w:szCs w:val="22"/>
                <w:lang w:eastAsia="it-IT"/>
              </w:rPr>
            </w:pPr>
            <w:r w:rsidRPr="001D0128">
              <w:rPr>
                <w:rFonts w:cs="Arial"/>
                <w:b/>
                <w:color w:val="000000"/>
                <w:szCs w:val="22"/>
                <w:lang w:eastAsia="it-IT"/>
              </w:rPr>
              <w:t>2025</w:t>
            </w:r>
          </w:p>
        </w:tc>
        <w:tc>
          <w:tcPr>
            <w:tcW w:w="1275" w:type="dxa"/>
            <w:gridSpan w:val="2"/>
            <w:shd w:val="clear" w:color="auto" w:fill="E6E6E6"/>
            <w:vAlign w:val="center"/>
          </w:tcPr>
          <w:p w14:paraId="63740E8A" w14:textId="77777777" w:rsidR="00CB33C7" w:rsidRPr="001D0128" w:rsidRDefault="00CB33C7" w:rsidP="001D0128">
            <w:pPr>
              <w:jc w:val="center"/>
              <w:rPr>
                <w:rFonts w:cs="Arial"/>
                <w:b/>
                <w:color w:val="000000"/>
                <w:szCs w:val="22"/>
                <w:lang w:eastAsia="it-IT"/>
              </w:rPr>
            </w:pPr>
            <w:r w:rsidRPr="001D0128">
              <w:rPr>
                <w:rFonts w:cs="Arial"/>
                <w:b/>
                <w:color w:val="000000"/>
                <w:szCs w:val="22"/>
                <w:lang w:eastAsia="it-IT"/>
              </w:rPr>
              <w:t>2026</w:t>
            </w:r>
          </w:p>
        </w:tc>
        <w:tc>
          <w:tcPr>
            <w:tcW w:w="1418" w:type="dxa"/>
            <w:gridSpan w:val="2"/>
            <w:tcBorders>
              <w:bottom w:val="single" w:sz="4" w:space="0" w:color="auto"/>
            </w:tcBorders>
            <w:shd w:val="clear" w:color="auto" w:fill="E6E6E6"/>
            <w:vAlign w:val="center"/>
          </w:tcPr>
          <w:p w14:paraId="765EAD08" w14:textId="77777777" w:rsidR="00CB33C7" w:rsidRPr="001D0128" w:rsidRDefault="00CB33C7" w:rsidP="001D0128">
            <w:pPr>
              <w:jc w:val="center"/>
              <w:rPr>
                <w:rFonts w:cs="Arial"/>
                <w:b/>
                <w:color w:val="000000"/>
                <w:szCs w:val="22"/>
                <w:lang w:eastAsia="it-IT"/>
              </w:rPr>
            </w:pPr>
            <w:r w:rsidRPr="001D0128">
              <w:rPr>
                <w:rFonts w:cs="Arial"/>
                <w:b/>
                <w:color w:val="000000"/>
                <w:szCs w:val="22"/>
                <w:lang w:eastAsia="it-IT"/>
              </w:rPr>
              <w:t>2027</w:t>
            </w:r>
          </w:p>
        </w:tc>
        <w:tc>
          <w:tcPr>
            <w:tcW w:w="1276" w:type="dxa"/>
            <w:gridSpan w:val="2"/>
            <w:shd w:val="clear" w:color="auto" w:fill="E6E6E6"/>
            <w:vAlign w:val="center"/>
          </w:tcPr>
          <w:p w14:paraId="2920F123" w14:textId="77777777" w:rsidR="00CB33C7" w:rsidRPr="001D0128" w:rsidRDefault="00CB33C7" w:rsidP="001D0128">
            <w:pPr>
              <w:jc w:val="center"/>
              <w:rPr>
                <w:rFonts w:cs="Arial"/>
                <w:b/>
                <w:color w:val="000000"/>
                <w:szCs w:val="22"/>
                <w:lang w:eastAsia="it-IT"/>
              </w:rPr>
            </w:pPr>
            <w:r w:rsidRPr="001D0128">
              <w:rPr>
                <w:rFonts w:cs="Arial"/>
                <w:b/>
                <w:color w:val="000000"/>
                <w:szCs w:val="22"/>
                <w:lang w:eastAsia="it-IT"/>
              </w:rPr>
              <w:t>2028</w:t>
            </w:r>
          </w:p>
        </w:tc>
        <w:tc>
          <w:tcPr>
            <w:tcW w:w="1571" w:type="dxa"/>
            <w:gridSpan w:val="2"/>
            <w:shd w:val="clear" w:color="auto" w:fill="E6E6E6"/>
            <w:vAlign w:val="center"/>
          </w:tcPr>
          <w:p w14:paraId="6FCF8E79" w14:textId="77777777" w:rsidR="00CB33C7" w:rsidRPr="001D0128" w:rsidRDefault="00CB33C7" w:rsidP="001D0128">
            <w:pPr>
              <w:jc w:val="center"/>
              <w:rPr>
                <w:rFonts w:cs="Arial"/>
                <w:b/>
                <w:color w:val="000000"/>
                <w:szCs w:val="22"/>
                <w:lang w:eastAsia="it-IT"/>
              </w:rPr>
            </w:pPr>
            <w:r w:rsidRPr="001D0128">
              <w:rPr>
                <w:rFonts w:cs="Arial"/>
                <w:b/>
                <w:color w:val="000000"/>
                <w:szCs w:val="22"/>
                <w:lang w:eastAsia="it-IT"/>
              </w:rPr>
              <w:t>РАЗОМ</w:t>
            </w:r>
          </w:p>
        </w:tc>
      </w:tr>
      <w:tr w:rsidR="00CB33C7" w:rsidRPr="00C2587D" w14:paraId="5A14B975" w14:textId="77777777" w:rsidTr="00EA6E27">
        <w:trPr>
          <w:jc w:val="right"/>
        </w:trPr>
        <w:tc>
          <w:tcPr>
            <w:tcW w:w="3425" w:type="dxa"/>
            <w:vMerge/>
            <w:shd w:val="clear" w:color="auto" w:fill="FFFFFF"/>
            <w:vAlign w:val="center"/>
          </w:tcPr>
          <w:p w14:paraId="0B51F932" w14:textId="77777777" w:rsidR="00CB33C7" w:rsidRPr="001D0128" w:rsidRDefault="00CB33C7" w:rsidP="001D0128">
            <w:pPr>
              <w:rPr>
                <w:rFonts w:cs="Arial"/>
                <w:b/>
                <w:bCs/>
                <w:color w:val="000000"/>
                <w:szCs w:val="22"/>
              </w:rPr>
            </w:pPr>
          </w:p>
        </w:tc>
        <w:tc>
          <w:tcPr>
            <w:tcW w:w="1254" w:type="dxa"/>
            <w:vAlign w:val="center"/>
          </w:tcPr>
          <w:p w14:paraId="62D1A8A9" w14:textId="77777777" w:rsidR="00CB33C7" w:rsidRPr="001D0128" w:rsidRDefault="00CB33C7" w:rsidP="001D0128">
            <w:pPr>
              <w:jc w:val="center"/>
              <w:rPr>
                <w:rFonts w:cs="Arial"/>
                <w:b/>
                <w:color w:val="000000"/>
                <w:szCs w:val="22"/>
                <w:lang w:eastAsia="it-IT"/>
              </w:rPr>
            </w:pPr>
            <w:r w:rsidRPr="001D0128">
              <w:rPr>
                <w:rFonts w:cs="Arial"/>
                <w:b/>
                <w:color w:val="000000"/>
                <w:szCs w:val="22"/>
                <w:lang w:eastAsia="it-IT"/>
              </w:rPr>
              <w:t>0,00</w:t>
            </w:r>
          </w:p>
        </w:tc>
        <w:tc>
          <w:tcPr>
            <w:tcW w:w="1275" w:type="dxa"/>
            <w:gridSpan w:val="2"/>
            <w:shd w:val="clear" w:color="auto" w:fill="FFFFFF"/>
            <w:vAlign w:val="center"/>
          </w:tcPr>
          <w:p w14:paraId="20404FC3" w14:textId="77777777" w:rsidR="00CB33C7" w:rsidRPr="001D0128" w:rsidRDefault="00CB33C7" w:rsidP="001D0128">
            <w:pPr>
              <w:jc w:val="center"/>
              <w:rPr>
                <w:rFonts w:cs="Arial"/>
                <w:b/>
                <w:color w:val="000000"/>
                <w:szCs w:val="22"/>
                <w:lang w:eastAsia="it-IT"/>
              </w:rPr>
            </w:pPr>
            <w:r w:rsidRPr="001D0128">
              <w:rPr>
                <w:rFonts w:cs="Arial"/>
                <w:b/>
                <w:color w:val="000000"/>
                <w:szCs w:val="22"/>
                <w:lang w:eastAsia="it-IT"/>
              </w:rPr>
              <w:t xml:space="preserve">300,00 </w:t>
            </w:r>
          </w:p>
        </w:tc>
        <w:tc>
          <w:tcPr>
            <w:tcW w:w="1418" w:type="dxa"/>
            <w:gridSpan w:val="2"/>
            <w:shd w:val="clear" w:color="auto" w:fill="auto"/>
            <w:vAlign w:val="center"/>
          </w:tcPr>
          <w:p w14:paraId="5E40A2B0" w14:textId="77777777" w:rsidR="00CB33C7" w:rsidRPr="001D0128" w:rsidRDefault="00CB33C7" w:rsidP="001D0128">
            <w:pPr>
              <w:jc w:val="center"/>
              <w:rPr>
                <w:rFonts w:cs="Arial"/>
                <w:b/>
                <w:color w:val="000000"/>
                <w:szCs w:val="22"/>
                <w:lang w:eastAsia="it-IT"/>
              </w:rPr>
            </w:pPr>
            <w:r w:rsidRPr="001D0128">
              <w:rPr>
                <w:rFonts w:cs="Arial"/>
                <w:b/>
                <w:color w:val="000000"/>
                <w:szCs w:val="22"/>
                <w:lang w:eastAsia="it-IT"/>
              </w:rPr>
              <w:t>1200,00</w:t>
            </w:r>
          </w:p>
        </w:tc>
        <w:tc>
          <w:tcPr>
            <w:tcW w:w="1276" w:type="dxa"/>
            <w:gridSpan w:val="2"/>
            <w:shd w:val="clear" w:color="auto" w:fill="FFFFFF"/>
            <w:vAlign w:val="center"/>
          </w:tcPr>
          <w:p w14:paraId="70AE1246" w14:textId="77777777" w:rsidR="00CB33C7" w:rsidRPr="001D0128" w:rsidRDefault="00CB33C7" w:rsidP="001D0128">
            <w:pPr>
              <w:jc w:val="center"/>
              <w:rPr>
                <w:rFonts w:cs="Arial"/>
                <w:b/>
                <w:color w:val="000000"/>
                <w:szCs w:val="22"/>
                <w:lang w:eastAsia="it-IT"/>
              </w:rPr>
            </w:pPr>
            <w:r w:rsidRPr="001D0128">
              <w:rPr>
                <w:rFonts w:cs="Arial"/>
                <w:b/>
                <w:color w:val="000000"/>
                <w:szCs w:val="22"/>
                <w:lang w:eastAsia="it-IT"/>
              </w:rPr>
              <w:t>0,00</w:t>
            </w:r>
          </w:p>
        </w:tc>
        <w:tc>
          <w:tcPr>
            <w:tcW w:w="1571" w:type="dxa"/>
            <w:gridSpan w:val="2"/>
            <w:shd w:val="clear" w:color="auto" w:fill="FFFFFF"/>
            <w:vAlign w:val="center"/>
          </w:tcPr>
          <w:p w14:paraId="61000D8D" w14:textId="77777777" w:rsidR="00CB33C7" w:rsidRPr="001D0128" w:rsidRDefault="00CB33C7" w:rsidP="001D0128">
            <w:pPr>
              <w:jc w:val="center"/>
              <w:rPr>
                <w:rFonts w:cs="Arial"/>
                <w:b/>
                <w:color w:val="000000"/>
                <w:szCs w:val="22"/>
                <w:lang w:eastAsia="it-IT"/>
              </w:rPr>
            </w:pPr>
            <w:r w:rsidRPr="001D0128">
              <w:rPr>
                <w:rFonts w:cs="Arial"/>
                <w:b/>
                <w:color w:val="000000"/>
                <w:szCs w:val="22"/>
                <w:lang w:eastAsia="it-IT"/>
              </w:rPr>
              <w:t>1500,00</w:t>
            </w:r>
          </w:p>
        </w:tc>
      </w:tr>
      <w:tr w:rsidR="00CB33C7" w:rsidRPr="00C2587D" w14:paraId="5BE7CE83" w14:textId="77777777" w:rsidTr="00EA6E27">
        <w:trPr>
          <w:trHeight w:val="276"/>
          <w:jc w:val="right"/>
        </w:trPr>
        <w:tc>
          <w:tcPr>
            <w:tcW w:w="3425" w:type="dxa"/>
            <w:shd w:val="clear" w:color="auto" w:fill="FFFFFF"/>
            <w:vAlign w:val="center"/>
          </w:tcPr>
          <w:p w14:paraId="681B922C" w14:textId="77777777" w:rsidR="00CB33C7" w:rsidRPr="001D0128" w:rsidRDefault="00CB33C7" w:rsidP="001D0128">
            <w:pPr>
              <w:rPr>
                <w:rFonts w:cs="Arial"/>
                <w:b/>
                <w:bCs/>
                <w:color w:val="000000"/>
                <w:szCs w:val="22"/>
              </w:rPr>
            </w:pPr>
            <w:r w:rsidRPr="001D0128">
              <w:rPr>
                <w:rFonts w:cs="Arial"/>
                <w:b/>
                <w:bCs/>
                <w:color w:val="000000"/>
                <w:szCs w:val="22"/>
              </w:rPr>
              <w:t>по джерелах фінансування:</w:t>
            </w:r>
          </w:p>
        </w:tc>
        <w:tc>
          <w:tcPr>
            <w:tcW w:w="6794" w:type="dxa"/>
            <w:gridSpan w:val="9"/>
            <w:vAlign w:val="center"/>
          </w:tcPr>
          <w:p w14:paraId="04C38591" w14:textId="77777777" w:rsidR="00CB33C7" w:rsidRPr="001D0128" w:rsidRDefault="00CB33C7" w:rsidP="001D0128">
            <w:pPr>
              <w:jc w:val="both"/>
              <w:rPr>
                <w:rFonts w:cs="Arial"/>
                <w:color w:val="000000"/>
                <w:szCs w:val="22"/>
                <w:lang w:eastAsia="it-IT"/>
              </w:rPr>
            </w:pPr>
          </w:p>
        </w:tc>
      </w:tr>
      <w:tr w:rsidR="001D0128" w:rsidRPr="00C2587D" w14:paraId="344BA8EE" w14:textId="501D5CD2" w:rsidTr="001D0128">
        <w:trPr>
          <w:trHeight w:val="240"/>
          <w:jc w:val="right"/>
        </w:trPr>
        <w:tc>
          <w:tcPr>
            <w:tcW w:w="3425" w:type="dxa"/>
            <w:shd w:val="clear" w:color="auto" w:fill="FFFFFF"/>
            <w:vAlign w:val="center"/>
          </w:tcPr>
          <w:p w14:paraId="66EA5253" w14:textId="77777777" w:rsidR="001D0128" w:rsidRPr="001D0128" w:rsidRDefault="001D0128" w:rsidP="001D0128">
            <w:pPr>
              <w:rPr>
                <w:rFonts w:cs="Arial"/>
                <w:b/>
                <w:bCs/>
                <w:color w:val="000000"/>
                <w:szCs w:val="22"/>
              </w:rPr>
            </w:pPr>
            <w:r w:rsidRPr="001D0128">
              <w:rPr>
                <w:rFonts w:cs="Arial"/>
                <w:color w:val="000000"/>
                <w:szCs w:val="22"/>
              </w:rPr>
              <w:t>- державний бюджет</w:t>
            </w:r>
          </w:p>
        </w:tc>
        <w:tc>
          <w:tcPr>
            <w:tcW w:w="1267" w:type="dxa"/>
            <w:gridSpan w:val="2"/>
            <w:vAlign w:val="center"/>
          </w:tcPr>
          <w:p w14:paraId="46653915" w14:textId="1592AA87" w:rsidR="001D0128" w:rsidRPr="001D0128" w:rsidRDefault="001D0128" w:rsidP="001D0128">
            <w:pPr>
              <w:jc w:val="both"/>
              <w:rPr>
                <w:rFonts w:cs="Arial"/>
                <w:color w:val="000000"/>
                <w:szCs w:val="22"/>
                <w:lang w:eastAsia="it-IT"/>
              </w:rPr>
            </w:pPr>
          </w:p>
        </w:tc>
        <w:tc>
          <w:tcPr>
            <w:tcW w:w="1290" w:type="dxa"/>
            <w:gridSpan w:val="2"/>
          </w:tcPr>
          <w:p w14:paraId="5A38D0FB" w14:textId="77777777" w:rsidR="001D0128" w:rsidRPr="001D0128" w:rsidRDefault="001D0128" w:rsidP="001D0128">
            <w:pPr>
              <w:jc w:val="center"/>
              <w:rPr>
                <w:rFonts w:cs="Arial"/>
                <w:color w:val="000000"/>
                <w:szCs w:val="22"/>
                <w:lang w:eastAsia="it-IT"/>
              </w:rPr>
            </w:pPr>
          </w:p>
        </w:tc>
        <w:tc>
          <w:tcPr>
            <w:tcW w:w="1428" w:type="dxa"/>
            <w:gridSpan w:val="2"/>
          </w:tcPr>
          <w:p w14:paraId="1840AE77" w14:textId="77777777" w:rsidR="001D0128" w:rsidRPr="001D0128" w:rsidRDefault="001D0128" w:rsidP="001D0128">
            <w:pPr>
              <w:jc w:val="center"/>
              <w:rPr>
                <w:rFonts w:cs="Arial"/>
                <w:color w:val="000000"/>
                <w:szCs w:val="22"/>
                <w:lang w:eastAsia="it-IT"/>
              </w:rPr>
            </w:pPr>
          </w:p>
        </w:tc>
        <w:tc>
          <w:tcPr>
            <w:tcW w:w="1290" w:type="dxa"/>
            <w:gridSpan w:val="2"/>
            <w:vAlign w:val="center"/>
          </w:tcPr>
          <w:p w14:paraId="1FC1F88C" w14:textId="77777777" w:rsidR="001D0128" w:rsidRPr="001D0128" w:rsidRDefault="001D0128" w:rsidP="001D0128">
            <w:pPr>
              <w:jc w:val="both"/>
              <w:rPr>
                <w:rFonts w:cs="Arial"/>
                <w:color w:val="000000"/>
                <w:szCs w:val="22"/>
                <w:lang w:eastAsia="it-IT"/>
              </w:rPr>
            </w:pPr>
          </w:p>
        </w:tc>
        <w:tc>
          <w:tcPr>
            <w:tcW w:w="1519" w:type="dxa"/>
          </w:tcPr>
          <w:p w14:paraId="117EC0FB" w14:textId="77777777" w:rsidR="001D0128" w:rsidRPr="001D0128" w:rsidRDefault="001D0128" w:rsidP="001D0128">
            <w:pPr>
              <w:jc w:val="center"/>
              <w:rPr>
                <w:rFonts w:cs="Arial"/>
                <w:b/>
                <w:color w:val="000000"/>
                <w:szCs w:val="22"/>
                <w:lang w:eastAsia="it-IT"/>
              </w:rPr>
            </w:pPr>
          </w:p>
        </w:tc>
      </w:tr>
      <w:tr w:rsidR="001D0128" w:rsidRPr="00C2587D" w14:paraId="63A542B7" w14:textId="4C006155" w:rsidTr="001D0128">
        <w:trPr>
          <w:trHeight w:val="254"/>
          <w:jc w:val="right"/>
        </w:trPr>
        <w:tc>
          <w:tcPr>
            <w:tcW w:w="3425" w:type="dxa"/>
            <w:shd w:val="clear" w:color="auto" w:fill="FFFFFF"/>
            <w:vAlign w:val="center"/>
          </w:tcPr>
          <w:p w14:paraId="559C852E" w14:textId="77777777" w:rsidR="001D0128" w:rsidRPr="001D0128" w:rsidRDefault="001D0128" w:rsidP="001D0128">
            <w:pPr>
              <w:rPr>
                <w:rFonts w:cs="Arial"/>
                <w:color w:val="000000"/>
                <w:szCs w:val="22"/>
              </w:rPr>
            </w:pPr>
            <w:r w:rsidRPr="001D0128">
              <w:rPr>
                <w:rFonts w:cs="Arial"/>
                <w:color w:val="000000"/>
                <w:szCs w:val="22"/>
              </w:rPr>
              <w:t>- обласний бюджет</w:t>
            </w:r>
          </w:p>
        </w:tc>
        <w:tc>
          <w:tcPr>
            <w:tcW w:w="1267" w:type="dxa"/>
            <w:gridSpan w:val="2"/>
            <w:vAlign w:val="center"/>
          </w:tcPr>
          <w:p w14:paraId="70AE23EE" w14:textId="36A4BB02" w:rsidR="001D0128" w:rsidRPr="001D0128" w:rsidRDefault="001D0128" w:rsidP="001D0128">
            <w:pPr>
              <w:jc w:val="both"/>
              <w:rPr>
                <w:rFonts w:cs="Arial"/>
                <w:color w:val="000000"/>
                <w:szCs w:val="22"/>
                <w:lang w:eastAsia="it-IT"/>
              </w:rPr>
            </w:pPr>
          </w:p>
        </w:tc>
        <w:tc>
          <w:tcPr>
            <w:tcW w:w="1290" w:type="dxa"/>
            <w:gridSpan w:val="2"/>
          </w:tcPr>
          <w:p w14:paraId="30FD602A" w14:textId="77777777" w:rsidR="001D0128" w:rsidRPr="001D0128" w:rsidRDefault="001D0128" w:rsidP="001D0128">
            <w:pPr>
              <w:jc w:val="center"/>
              <w:rPr>
                <w:rFonts w:cs="Arial"/>
                <w:color w:val="000000"/>
                <w:szCs w:val="22"/>
                <w:lang w:eastAsia="it-IT"/>
              </w:rPr>
            </w:pPr>
          </w:p>
        </w:tc>
        <w:tc>
          <w:tcPr>
            <w:tcW w:w="1428" w:type="dxa"/>
            <w:gridSpan w:val="2"/>
          </w:tcPr>
          <w:p w14:paraId="10A1BBB4" w14:textId="77777777" w:rsidR="001D0128" w:rsidRPr="001D0128" w:rsidRDefault="001D0128" w:rsidP="001D0128">
            <w:pPr>
              <w:jc w:val="center"/>
              <w:rPr>
                <w:rFonts w:cs="Arial"/>
                <w:color w:val="000000"/>
                <w:szCs w:val="22"/>
                <w:lang w:eastAsia="it-IT"/>
              </w:rPr>
            </w:pPr>
          </w:p>
        </w:tc>
        <w:tc>
          <w:tcPr>
            <w:tcW w:w="1290" w:type="dxa"/>
            <w:gridSpan w:val="2"/>
            <w:vAlign w:val="center"/>
          </w:tcPr>
          <w:p w14:paraId="61A927A3" w14:textId="77777777" w:rsidR="001D0128" w:rsidRPr="001D0128" w:rsidRDefault="001D0128" w:rsidP="001D0128">
            <w:pPr>
              <w:jc w:val="both"/>
              <w:rPr>
                <w:rFonts w:cs="Arial"/>
                <w:color w:val="000000"/>
                <w:szCs w:val="22"/>
                <w:lang w:eastAsia="it-IT"/>
              </w:rPr>
            </w:pPr>
          </w:p>
        </w:tc>
        <w:tc>
          <w:tcPr>
            <w:tcW w:w="1519" w:type="dxa"/>
          </w:tcPr>
          <w:p w14:paraId="45A2DA9C" w14:textId="77777777" w:rsidR="001D0128" w:rsidRPr="001D0128" w:rsidRDefault="001D0128" w:rsidP="001D0128">
            <w:pPr>
              <w:jc w:val="center"/>
              <w:rPr>
                <w:rFonts w:cs="Arial"/>
                <w:b/>
                <w:color w:val="000000"/>
                <w:szCs w:val="22"/>
                <w:lang w:eastAsia="it-IT"/>
              </w:rPr>
            </w:pPr>
          </w:p>
        </w:tc>
      </w:tr>
      <w:tr w:rsidR="001D0128" w:rsidRPr="00C2587D" w14:paraId="7E4263F5" w14:textId="6EDB53F2" w:rsidTr="001D0128">
        <w:trPr>
          <w:trHeight w:val="275"/>
          <w:jc w:val="right"/>
        </w:trPr>
        <w:tc>
          <w:tcPr>
            <w:tcW w:w="3425" w:type="dxa"/>
            <w:shd w:val="clear" w:color="auto" w:fill="FFFFFF"/>
            <w:vAlign w:val="center"/>
          </w:tcPr>
          <w:p w14:paraId="55FD5DFD" w14:textId="77777777" w:rsidR="001D0128" w:rsidRPr="001D0128" w:rsidRDefault="001D0128" w:rsidP="001D0128">
            <w:pPr>
              <w:rPr>
                <w:rFonts w:cs="Arial"/>
                <w:color w:val="000000"/>
                <w:szCs w:val="22"/>
              </w:rPr>
            </w:pPr>
            <w:r w:rsidRPr="001D0128">
              <w:rPr>
                <w:rFonts w:cs="Arial"/>
                <w:color w:val="000000"/>
                <w:szCs w:val="22"/>
              </w:rPr>
              <w:t>- бюджет Жмеринської МТГ</w:t>
            </w:r>
          </w:p>
        </w:tc>
        <w:tc>
          <w:tcPr>
            <w:tcW w:w="1267" w:type="dxa"/>
            <w:gridSpan w:val="2"/>
            <w:vAlign w:val="center"/>
          </w:tcPr>
          <w:p w14:paraId="740BA83F" w14:textId="05B96582" w:rsidR="001D0128" w:rsidRPr="001D0128" w:rsidRDefault="001D0128" w:rsidP="001D0128">
            <w:pPr>
              <w:jc w:val="both"/>
              <w:rPr>
                <w:rFonts w:cs="Arial"/>
                <w:color w:val="000000"/>
                <w:szCs w:val="22"/>
                <w:lang w:eastAsia="it-IT"/>
              </w:rPr>
            </w:pPr>
          </w:p>
        </w:tc>
        <w:tc>
          <w:tcPr>
            <w:tcW w:w="1290" w:type="dxa"/>
            <w:gridSpan w:val="2"/>
          </w:tcPr>
          <w:p w14:paraId="0A5ED1A3" w14:textId="6E1B8DBF" w:rsidR="001D0128" w:rsidRPr="001D0128" w:rsidRDefault="001D0128" w:rsidP="001D0128">
            <w:pPr>
              <w:ind w:left="-92"/>
              <w:jc w:val="center"/>
              <w:rPr>
                <w:rFonts w:cs="Arial"/>
                <w:color w:val="000000"/>
                <w:szCs w:val="22"/>
                <w:lang w:eastAsia="it-IT"/>
              </w:rPr>
            </w:pPr>
            <w:r w:rsidRPr="001D0128">
              <w:rPr>
                <w:rFonts w:cs="Arial"/>
                <w:color w:val="000000"/>
                <w:szCs w:val="22"/>
                <w:lang w:eastAsia="it-IT"/>
              </w:rPr>
              <w:t>300,00</w:t>
            </w:r>
          </w:p>
        </w:tc>
        <w:tc>
          <w:tcPr>
            <w:tcW w:w="1428" w:type="dxa"/>
            <w:gridSpan w:val="2"/>
          </w:tcPr>
          <w:p w14:paraId="05EBDA3F" w14:textId="62768127" w:rsidR="001D0128" w:rsidRPr="001D0128" w:rsidRDefault="001D0128" w:rsidP="001D0128">
            <w:pPr>
              <w:ind w:left="-106"/>
              <w:jc w:val="center"/>
              <w:rPr>
                <w:rFonts w:cs="Arial"/>
                <w:color w:val="000000"/>
                <w:szCs w:val="22"/>
                <w:lang w:eastAsia="it-IT"/>
              </w:rPr>
            </w:pPr>
            <w:r w:rsidRPr="001D0128">
              <w:rPr>
                <w:rFonts w:cs="Arial"/>
                <w:color w:val="000000"/>
                <w:szCs w:val="22"/>
                <w:lang w:eastAsia="it-IT"/>
              </w:rPr>
              <w:t>1200,00</w:t>
            </w:r>
          </w:p>
        </w:tc>
        <w:tc>
          <w:tcPr>
            <w:tcW w:w="1290" w:type="dxa"/>
            <w:gridSpan w:val="2"/>
            <w:vAlign w:val="center"/>
          </w:tcPr>
          <w:p w14:paraId="7CD95309" w14:textId="0C865E51" w:rsidR="001D0128" w:rsidRPr="001D0128" w:rsidRDefault="001D0128" w:rsidP="001D0128">
            <w:pPr>
              <w:jc w:val="right"/>
              <w:rPr>
                <w:rFonts w:cs="Arial"/>
                <w:color w:val="000000"/>
                <w:szCs w:val="22"/>
                <w:lang w:eastAsia="it-IT"/>
              </w:rPr>
            </w:pPr>
          </w:p>
        </w:tc>
        <w:tc>
          <w:tcPr>
            <w:tcW w:w="1519" w:type="dxa"/>
          </w:tcPr>
          <w:p w14:paraId="6F304B7E" w14:textId="626C7B71" w:rsidR="001D0128" w:rsidRPr="001D0128" w:rsidRDefault="001D0128" w:rsidP="001D0128">
            <w:pPr>
              <w:jc w:val="center"/>
              <w:rPr>
                <w:rFonts w:cs="Arial"/>
                <w:b/>
                <w:color w:val="000000"/>
                <w:szCs w:val="22"/>
                <w:lang w:eastAsia="it-IT"/>
              </w:rPr>
            </w:pPr>
            <w:r w:rsidRPr="001D0128">
              <w:rPr>
                <w:rFonts w:cs="Arial"/>
                <w:b/>
                <w:color w:val="000000"/>
                <w:szCs w:val="22"/>
                <w:lang w:eastAsia="it-IT"/>
              </w:rPr>
              <w:t>1500,00</w:t>
            </w:r>
          </w:p>
        </w:tc>
      </w:tr>
      <w:tr w:rsidR="001D0128" w:rsidRPr="00C2587D" w14:paraId="6A4181A1" w14:textId="6D200692" w:rsidTr="001D0128">
        <w:trPr>
          <w:trHeight w:val="226"/>
          <w:jc w:val="right"/>
        </w:trPr>
        <w:tc>
          <w:tcPr>
            <w:tcW w:w="3425" w:type="dxa"/>
            <w:shd w:val="clear" w:color="auto" w:fill="FFFFFF"/>
            <w:vAlign w:val="center"/>
          </w:tcPr>
          <w:p w14:paraId="54019D92" w14:textId="77777777" w:rsidR="001D0128" w:rsidRPr="001D0128" w:rsidRDefault="001D0128" w:rsidP="001D0128">
            <w:pPr>
              <w:rPr>
                <w:rFonts w:cs="Arial"/>
                <w:color w:val="000000"/>
                <w:szCs w:val="22"/>
              </w:rPr>
            </w:pPr>
            <w:r w:rsidRPr="001D0128">
              <w:rPr>
                <w:rFonts w:cs="Arial"/>
                <w:color w:val="000000"/>
                <w:szCs w:val="22"/>
              </w:rPr>
              <w:t>- інші джерела фінансування</w:t>
            </w:r>
          </w:p>
        </w:tc>
        <w:tc>
          <w:tcPr>
            <w:tcW w:w="1267" w:type="dxa"/>
            <w:gridSpan w:val="2"/>
            <w:vAlign w:val="center"/>
          </w:tcPr>
          <w:p w14:paraId="5D06D5B6" w14:textId="6D965FEC" w:rsidR="001D0128" w:rsidRPr="001D0128" w:rsidRDefault="001D0128" w:rsidP="001D0128">
            <w:pPr>
              <w:jc w:val="both"/>
              <w:rPr>
                <w:rFonts w:cs="Arial"/>
                <w:color w:val="000000"/>
                <w:szCs w:val="22"/>
                <w:lang w:eastAsia="it-IT"/>
              </w:rPr>
            </w:pPr>
          </w:p>
        </w:tc>
        <w:tc>
          <w:tcPr>
            <w:tcW w:w="1290" w:type="dxa"/>
            <w:gridSpan w:val="2"/>
            <w:vAlign w:val="center"/>
          </w:tcPr>
          <w:p w14:paraId="0F399976" w14:textId="4E4D090C" w:rsidR="001D0128" w:rsidRPr="001D0128" w:rsidRDefault="001D0128" w:rsidP="001D0128">
            <w:pPr>
              <w:jc w:val="both"/>
              <w:rPr>
                <w:rFonts w:cs="Arial"/>
                <w:color w:val="000000"/>
                <w:szCs w:val="22"/>
                <w:lang w:eastAsia="it-IT"/>
              </w:rPr>
            </w:pPr>
          </w:p>
        </w:tc>
        <w:tc>
          <w:tcPr>
            <w:tcW w:w="1428" w:type="dxa"/>
            <w:gridSpan w:val="2"/>
            <w:vAlign w:val="center"/>
          </w:tcPr>
          <w:p w14:paraId="7C950775" w14:textId="63B54606" w:rsidR="001D0128" w:rsidRPr="001D0128" w:rsidRDefault="001D0128" w:rsidP="001D0128">
            <w:pPr>
              <w:jc w:val="both"/>
              <w:rPr>
                <w:rFonts w:cs="Arial"/>
                <w:color w:val="000000"/>
                <w:szCs w:val="22"/>
                <w:lang w:eastAsia="it-IT"/>
              </w:rPr>
            </w:pPr>
          </w:p>
        </w:tc>
        <w:tc>
          <w:tcPr>
            <w:tcW w:w="1290" w:type="dxa"/>
            <w:gridSpan w:val="2"/>
            <w:vAlign w:val="center"/>
          </w:tcPr>
          <w:p w14:paraId="1A617D4C" w14:textId="3D9977CD" w:rsidR="001D0128" w:rsidRPr="001D0128" w:rsidRDefault="001D0128" w:rsidP="001D0128">
            <w:pPr>
              <w:jc w:val="both"/>
              <w:rPr>
                <w:rFonts w:cs="Arial"/>
                <w:color w:val="000000"/>
                <w:szCs w:val="22"/>
                <w:lang w:eastAsia="it-IT"/>
              </w:rPr>
            </w:pPr>
          </w:p>
        </w:tc>
        <w:tc>
          <w:tcPr>
            <w:tcW w:w="1519" w:type="dxa"/>
            <w:vAlign w:val="center"/>
          </w:tcPr>
          <w:p w14:paraId="00A90CEC" w14:textId="77777777" w:rsidR="001D0128" w:rsidRPr="001D0128" w:rsidRDefault="001D0128" w:rsidP="001D0128">
            <w:pPr>
              <w:jc w:val="both"/>
              <w:rPr>
                <w:rFonts w:cs="Arial"/>
                <w:color w:val="000000"/>
                <w:szCs w:val="22"/>
                <w:lang w:eastAsia="it-IT"/>
              </w:rPr>
            </w:pPr>
          </w:p>
        </w:tc>
      </w:tr>
      <w:tr w:rsidR="00CB33C7" w:rsidRPr="00C2587D" w14:paraId="077E7BDC" w14:textId="77777777" w:rsidTr="00EA6E27">
        <w:trPr>
          <w:jc w:val="right"/>
        </w:trPr>
        <w:tc>
          <w:tcPr>
            <w:tcW w:w="3425" w:type="dxa"/>
            <w:shd w:val="clear" w:color="auto" w:fill="FFFFFF"/>
            <w:vAlign w:val="center"/>
          </w:tcPr>
          <w:p w14:paraId="6E16E782" w14:textId="77777777" w:rsidR="00CB33C7" w:rsidRPr="001D0128" w:rsidRDefault="00CB33C7" w:rsidP="001D0128">
            <w:pPr>
              <w:rPr>
                <w:rFonts w:cs="Arial"/>
                <w:b/>
                <w:bCs/>
                <w:color w:val="000000"/>
                <w:szCs w:val="22"/>
              </w:rPr>
            </w:pPr>
            <w:r w:rsidRPr="001D0128">
              <w:rPr>
                <w:rFonts w:cs="Arial"/>
                <w:b/>
                <w:color w:val="000000"/>
                <w:szCs w:val="22"/>
              </w:rPr>
              <w:t>Відповідальний виконавець проєкту:</w:t>
            </w:r>
          </w:p>
        </w:tc>
        <w:tc>
          <w:tcPr>
            <w:tcW w:w="6794" w:type="dxa"/>
            <w:gridSpan w:val="9"/>
            <w:vAlign w:val="center"/>
          </w:tcPr>
          <w:p w14:paraId="7FBC6740" w14:textId="77777777" w:rsidR="00CB33C7" w:rsidRPr="001D0128" w:rsidRDefault="00CB33C7" w:rsidP="001D0128">
            <w:pPr>
              <w:jc w:val="both"/>
              <w:rPr>
                <w:rFonts w:cs="Arial"/>
                <w:color w:val="000000"/>
                <w:szCs w:val="22"/>
                <w:lang w:eastAsia="it-IT"/>
              </w:rPr>
            </w:pPr>
            <w:r w:rsidRPr="001D0128">
              <w:rPr>
                <w:rFonts w:cs="Arial"/>
                <w:color w:val="000000"/>
                <w:szCs w:val="22"/>
                <w:lang w:eastAsia="it-IT"/>
              </w:rPr>
              <w:t>Управління ЖКГ</w:t>
            </w:r>
          </w:p>
          <w:p w14:paraId="79D1FA5B" w14:textId="77777777" w:rsidR="00CB33C7" w:rsidRPr="001D0128" w:rsidRDefault="00CB33C7" w:rsidP="001D0128">
            <w:pPr>
              <w:jc w:val="both"/>
              <w:rPr>
                <w:rFonts w:cs="Arial"/>
                <w:color w:val="000000"/>
                <w:szCs w:val="22"/>
                <w:lang w:eastAsia="it-IT"/>
              </w:rPr>
            </w:pPr>
            <w:r w:rsidRPr="001D0128">
              <w:rPr>
                <w:rFonts w:cs="Arial"/>
                <w:color w:val="000000"/>
                <w:szCs w:val="22"/>
                <w:lang w:eastAsia="it-IT"/>
              </w:rPr>
              <w:t xml:space="preserve">КП «Браїлів-комунсервіс» Жмеринської міської ради </w:t>
            </w:r>
          </w:p>
        </w:tc>
      </w:tr>
      <w:tr w:rsidR="00CB33C7" w:rsidRPr="00C2587D" w14:paraId="7C365811" w14:textId="77777777" w:rsidTr="00EA6E27">
        <w:trPr>
          <w:jc w:val="right"/>
        </w:trPr>
        <w:tc>
          <w:tcPr>
            <w:tcW w:w="3425" w:type="dxa"/>
            <w:shd w:val="clear" w:color="auto" w:fill="FFFFFF"/>
            <w:vAlign w:val="center"/>
          </w:tcPr>
          <w:p w14:paraId="1A6251B5" w14:textId="77777777" w:rsidR="00CB33C7" w:rsidRPr="001D0128" w:rsidRDefault="00CB33C7" w:rsidP="001D0128">
            <w:pPr>
              <w:rPr>
                <w:rFonts w:cs="Arial"/>
                <w:b/>
                <w:bCs/>
                <w:color w:val="000000"/>
                <w:szCs w:val="22"/>
              </w:rPr>
            </w:pPr>
            <w:r w:rsidRPr="001D0128">
              <w:rPr>
                <w:rFonts w:cs="Arial"/>
                <w:b/>
                <w:bCs/>
                <w:color w:val="000000"/>
                <w:szCs w:val="22"/>
              </w:rPr>
              <w:t>Інше:</w:t>
            </w:r>
          </w:p>
        </w:tc>
        <w:tc>
          <w:tcPr>
            <w:tcW w:w="6794" w:type="dxa"/>
            <w:gridSpan w:val="9"/>
            <w:vAlign w:val="center"/>
          </w:tcPr>
          <w:p w14:paraId="48E55BBA" w14:textId="77777777" w:rsidR="00CB33C7" w:rsidRPr="001D0128" w:rsidRDefault="00CB33C7" w:rsidP="001D0128">
            <w:pPr>
              <w:rPr>
                <w:rFonts w:cs="Arial"/>
                <w:color w:val="000000"/>
                <w:szCs w:val="22"/>
                <w:lang w:eastAsia="it-IT"/>
              </w:rPr>
            </w:pPr>
          </w:p>
          <w:p w14:paraId="21FCD9A5" w14:textId="77777777" w:rsidR="00CB33C7" w:rsidRPr="001D0128" w:rsidRDefault="00CB33C7" w:rsidP="001D0128">
            <w:pPr>
              <w:rPr>
                <w:rFonts w:cs="Arial"/>
                <w:color w:val="000000"/>
                <w:szCs w:val="22"/>
                <w:lang w:eastAsia="it-IT"/>
              </w:rPr>
            </w:pPr>
          </w:p>
        </w:tc>
      </w:tr>
    </w:tbl>
    <w:p w14:paraId="61F1DC29" w14:textId="133DE607" w:rsidR="001D0128" w:rsidRDefault="001D0128" w:rsidP="00CB33C7">
      <w:pPr>
        <w:jc w:val="center"/>
        <w:rPr>
          <w:rFonts w:cs="Arial"/>
          <w:b/>
        </w:rPr>
      </w:pPr>
    </w:p>
    <w:p w14:paraId="48AE63D3" w14:textId="77777777" w:rsidR="001D0128" w:rsidRDefault="001D0128" w:rsidP="00CB33C7">
      <w:pPr>
        <w:jc w:val="center"/>
        <w:rPr>
          <w:rFonts w:cs="Arial"/>
          <w:b/>
        </w:rPr>
      </w:pPr>
    </w:p>
    <w:p w14:paraId="227A8A2A" w14:textId="5913A6C6" w:rsidR="00CB33C7" w:rsidRPr="00C2587D" w:rsidRDefault="00CB33C7" w:rsidP="00CB33C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52132095" w14:textId="77777777" w:rsidR="00CB33C7" w:rsidRPr="00C2587D" w:rsidRDefault="00CB33C7" w:rsidP="00CB33C7">
      <w:pPr>
        <w:jc w:val="center"/>
        <w:rPr>
          <w:rFonts w:cs="Arial"/>
          <w:b/>
          <w:color w:val="000000"/>
          <w:szCs w:val="22"/>
        </w:rPr>
      </w:pPr>
      <w:r w:rsidRPr="00C2587D">
        <w:rPr>
          <w:rFonts w:cs="Arial"/>
          <w:b/>
          <w:color w:val="000000"/>
          <w:szCs w:val="22"/>
        </w:rPr>
        <w:t>до Плану заходів з реалізації Стратегії</w:t>
      </w:r>
    </w:p>
    <w:p w14:paraId="42D5DE3A" w14:textId="77777777" w:rsidR="00CB33C7" w:rsidRPr="00C2587D" w:rsidRDefault="00CB33C7" w:rsidP="00CB33C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13"/>
        <w:gridCol w:w="1262"/>
        <w:gridCol w:w="28"/>
        <w:gridCol w:w="1390"/>
        <w:gridCol w:w="38"/>
        <w:gridCol w:w="1238"/>
        <w:gridCol w:w="6"/>
        <w:gridCol w:w="1565"/>
      </w:tblGrid>
      <w:tr w:rsidR="00CB33C7" w:rsidRPr="00C2587D" w14:paraId="5C5BFD71" w14:textId="77777777" w:rsidTr="00EA6E27">
        <w:trPr>
          <w:jc w:val="right"/>
        </w:trPr>
        <w:tc>
          <w:tcPr>
            <w:tcW w:w="3425" w:type="dxa"/>
            <w:vAlign w:val="center"/>
          </w:tcPr>
          <w:p w14:paraId="21BB38B4" w14:textId="77777777" w:rsidR="00CB33C7" w:rsidRPr="001D0128" w:rsidRDefault="00CB33C7" w:rsidP="001D0128">
            <w:pPr>
              <w:rPr>
                <w:rFonts w:cs="Arial"/>
                <w:b/>
                <w:bCs/>
                <w:color w:val="000000"/>
                <w:szCs w:val="22"/>
              </w:rPr>
            </w:pPr>
            <w:r w:rsidRPr="001D0128">
              <w:rPr>
                <w:rFonts w:cs="Arial"/>
                <w:b/>
                <w:bCs/>
                <w:color w:val="000000"/>
                <w:szCs w:val="22"/>
              </w:rPr>
              <w:t>Назва проєкту:</w:t>
            </w:r>
          </w:p>
        </w:tc>
        <w:tc>
          <w:tcPr>
            <w:tcW w:w="6794" w:type="dxa"/>
            <w:gridSpan w:val="9"/>
          </w:tcPr>
          <w:p w14:paraId="267B1EDE" w14:textId="77777777" w:rsidR="00CB33C7" w:rsidRPr="001D0128" w:rsidRDefault="00CB33C7" w:rsidP="001D0128">
            <w:pPr>
              <w:jc w:val="both"/>
              <w:rPr>
                <w:rFonts w:cs="Arial"/>
                <w:b/>
                <w:szCs w:val="22"/>
                <w:lang w:eastAsia="it-IT"/>
              </w:rPr>
            </w:pPr>
            <w:r w:rsidRPr="001D0128">
              <w:rPr>
                <w:rFonts w:cs="Arial"/>
                <w:b/>
                <w:szCs w:val="22"/>
                <w:lang w:eastAsia="it-IT"/>
              </w:rPr>
              <w:t>Реконструкція мереж водовідведення в селищі Браїлів, Жмеринського району, Вінницької області</w:t>
            </w:r>
          </w:p>
        </w:tc>
      </w:tr>
      <w:tr w:rsidR="00CB33C7" w:rsidRPr="00C2587D" w14:paraId="24532F11" w14:textId="77777777" w:rsidTr="00EA6E27">
        <w:trPr>
          <w:jc w:val="right"/>
        </w:trPr>
        <w:tc>
          <w:tcPr>
            <w:tcW w:w="3425" w:type="dxa"/>
          </w:tcPr>
          <w:p w14:paraId="5016CD3D" w14:textId="77777777" w:rsidR="00CB33C7" w:rsidRPr="001D0128" w:rsidRDefault="00CB33C7" w:rsidP="001D0128">
            <w:pPr>
              <w:rPr>
                <w:rFonts w:cs="Arial"/>
                <w:szCs w:val="22"/>
                <w:lang w:eastAsia="it-IT"/>
              </w:rPr>
            </w:pPr>
            <w:r w:rsidRPr="001D0128">
              <w:rPr>
                <w:rFonts w:cs="Arial"/>
                <w:b/>
                <w:bCs/>
                <w:szCs w:val="22"/>
              </w:rPr>
              <w:t>Ваші контакти</w:t>
            </w:r>
            <w:r w:rsidRPr="001D0128">
              <w:rPr>
                <w:rFonts w:cs="Arial"/>
                <w:szCs w:val="22"/>
                <w:lang w:eastAsia="it-IT"/>
              </w:rPr>
              <w:t>:</w:t>
            </w:r>
          </w:p>
          <w:p w14:paraId="15CC7A4D" w14:textId="77777777" w:rsidR="00CB33C7" w:rsidRPr="001D0128" w:rsidRDefault="00CB33C7" w:rsidP="001D0128">
            <w:pPr>
              <w:rPr>
                <w:rFonts w:cs="Arial"/>
                <w:b/>
                <w:bCs/>
                <w:szCs w:val="22"/>
              </w:rPr>
            </w:pPr>
            <w:r w:rsidRPr="001D0128">
              <w:rPr>
                <w:rFonts w:cs="Arial"/>
                <w:szCs w:val="22"/>
                <w:lang w:eastAsia="it-IT"/>
              </w:rPr>
              <w:t>Назва установи, організації, підприємства</w:t>
            </w:r>
          </w:p>
        </w:tc>
        <w:tc>
          <w:tcPr>
            <w:tcW w:w="6794" w:type="dxa"/>
            <w:gridSpan w:val="9"/>
          </w:tcPr>
          <w:p w14:paraId="607C86FB" w14:textId="77777777" w:rsidR="00CB33C7" w:rsidRPr="001D0128" w:rsidRDefault="00CB33C7" w:rsidP="001D0128">
            <w:pPr>
              <w:jc w:val="both"/>
              <w:rPr>
                <w:rFonts w:cs="Arial"/>
                <w:szCs w:val="22"/>
                <w:lang w:eastAsia="it-IT"/>
              </w:rPr>
            </w:pPr>
            <w:r w:rsidRPr="001D0128">
              <w:rPr>
                <w:rFonts w:cs="Arial"/>
                <w:szCs w:val="22"/>
                <w:lang w:eastAsia="it-IT"/>
              </w:rPr>
              <w:t>КП «Браїлів-комунсервіс» Жмеринської міської ради</w:t>
            </w:r>
          </w:p>
        </w:tc>
      </w:tr>
      <w:tr w:rsidR="00CB33C7" w:rsidRPr="00C2587D" w14:paraId="069D9FE4" w14:textId="77777777" w:rsidTr="00EA6E27">
        <w:trPr>
          <w:jc w:val="right"/>
        </w:trPr>
        <w:tc>
          <w:tcPr>
            <w:tcW w:w="3425" w:type="dxa"/>
          </w:tcPr>
          <w:p w14:paraId="26415786" w14:textId="77777777" w:rsidR="00CB33C7" w:rsidRPr="001D0128" w:rsidRDefault="00CB33C7" w:rsidP="001D0128">
            <w:pPr>
              <w:rPr>
                <w:rFonts w:cs="Arial"/>
                <w:b/>
                <w:bCs/>
                <w:szCs w:val="22"/>
              </w:rPr>
            </w:pPr>
            <w:r w:rsidRPr="001D0128">
              <w:rPr>
                <w:rFonts w:cs="Arial"/>
                <w:szCs w:val="22"/>
                <w:lang w:eastAsia="it-IT"/>
              </w:rPr>
              <w:t>Прізвище Ім’я По-батькові:</w:t>
            </w:r>
          </w:p>
        </w:tc>
        <w:tc>
          <w:tcPr>
            <w:tcW w:w="6794" w:type="dxa"/>
            <w:gridSpan w:val="9"/>
          </w:tcPr>
          <w:p w14:paraId="33C779EF" w14:textId="77777777" w:rsidR="00CB33C7" w:rsidRPr="001D0128" w:rsidRDefault="00CB33C7" w:rsidP="001D0128">
            <w:pPr>
              <w:jc w:val="both"/>
              <w:rPr>
                <w:rFonts w:cs="Arial"/>
                <w:szCs w:val="22"/>
                <w:lang w:eastAsia="it-IT"/>
              </w:rPr>
            </w:pPr>
            <w:r w:rsidRPr="001D0128">
              <w:rPr>
                <w:rFonts w:cs="Arial"/>
                <w:szCs w:val="22"/>
                <w:lang w:eastAsia="it-IT"/>
              </w:rPr>
              <w:t>Резедент Валерій Дмитрович</w:t>
            </w:r>
          </w:p>
        </w:tc>
      </w:tr>
      <w:tr w:rsidR="00CB33C7" w:rsidRPr="00C2587D" w14:paraId="37011A88" w14:textId="77777777" w:rsidTr="00EA6E27">
        <w:trPr>
          <w:jc w:val="right"/>
        </w:trPr>
        <w:tc>
          <w:tcPr>
            <w:tcW w:w="3425" w:type="dxa"/>
          </w:tcPr>
          <w:p w14:paraId="680BAE0A" w14:textId="77777777" w:rsidR="00CB33C7" w:rsidRPr="001D0128" w:rsidRDefault="00CB33C7" w:rsidP="001D0128">
            <w:pPr>
              <w:rPr>
                <w:rFonts w:cs="Arial"/>
                <w:b/>
                <w:bCs/>
                <w:szCs w:val="22"/>
              </w:rPr>
            </w:pPr>
            <w:r w:rsidRPr="001D0128">
              <w:rPr>
                <w:rFonts w:cs="Arial"/>
                <w:szCs w:val="22"/>
                <w:lang w:eastAsia="it-IT"/>
              </w:rPr>
              <w:t>Телефон (мобільний):</w:t>
            </w:r>
          </w:p>
        </w:tc>
        <w:tc>
          <w:tcPr>
            <w:tcW w:w="6794" w:type="dxa"/>
            <w:gridSpan w:val="9"/>
          </w:tcPr>
          <w:p w14:paraId="2320A906" w14:textId="77777777" w:rsidR="00CB33C7" w:rsidRPr="001D0128" w:rsidRDefault="00CB33C7" w:rsidP="001D0128">
            <w:pPr>
              <w:jc w:val="both"/>
              <w:rPr>
                <w:rFonts w:cs="Arial"/>
                <w:szCs w:val="22"/>
                <w:lang w:eastAsia="it-IT"/>
              </w:rPr>
            </w:pPr>
            <w:r w:rsidRPr="001D0128">
              <w:rPr>
                <w:rFonts w:cs="Arial"/>
                <w:szCs w:val="22"/>
                <w:lang w:eastAsia="it-IT"/>
              </w:rPr>
              <w:t>0674041516</w:t>
            </w:r>
          </w:p>
        </w:tc>
      </w:tr>
      <w:tr w:rsidR="00CB33C7" w:rsidRPr="00C2587D" w14:paraId="3F820050" w14:textId="77777777" w:rsidTr="00EA6E27">
        <w:trPr>
          <w:jc w:val="right"/>
        </w:trPr>
        <w:tc>
          <w:tcPr>
            <w:tcW w:w="3425" w:type="dxa"/>
          </w:tcPr>
          <w:p w14:paraId="40639498" w14:textId="77777777" w:rsidR="00CB33C7" w:rsidRPr="001D0128" w:rsidRDefault="00CB33C7" w:rsidP="001D0128">
            <w:pPr>
              <w:rPr>
                <w:rFonts w:cs="Arial"/>
                <w:b/>
                <w:bCs/>
                <w:szCs w:val="22"/>
              </w:rPr>
            </w:pPr>
            <w:r w:rsidRPr="001D0128">
              <w:rPr>
                <w:rFonts w:cs="Arial"/>
                <w:szCs w:val="22"/>
                <w:lang w:eastAsia="it-IT"/>
              </w:rPr>
              <w:t>Електронна адреса:</w:t>
            </w:r>
          </w:p>
        </w:tc>
        <w:tc>
          <w:tcPr>
            <w:tcW w:w="6794" w:type="dxa"/>
            <w:gridSpan w:val="9"/>
          </w:tcPr>
          <w:p w14:paraId="4748661B" w14:textId="77777777" w:rsidR="00CB33C7" w:rsidRPr="001D0128" w:rsidRDefault="00CB33C7" w:rsidP="001D0128">
            <w:pPr>
              <w:jc w:val="both"/>
              <w:rPr>
                <w:rFonts w:cs="Arial"/>
                <w:szCs w:val="22"/>
                <w:lang w:eastAsia="it-IT"/>
              </w:rPr>
            </w:pPr>
            <w:r w:rsidRPr="001D0128">
              <w:rPr>
                <w:rFonts w:cs="Arial"/>
                <w:szCs w:val="22"/>
                <w:lang w:eastAsia="it-IT"/>
              </w:rPr>
              <w:t>brailivks@gmail.com</w:t>
            </w:r>
          </w:p>
        </w:tc>
      </w:tr>
      <w:tr w:rsidR="00CB33C7" w:rsidRPr="00C2587D" w14:paraId="6143A042" w14:textId="77777777" w:rsidTr="00EA6E27">
        <w:trPr>
          <w:jc w:val="right"/>
        </w:trPr>
        <w:tc>
          <w:tcPr>
            <w:tcW w:w="3425" w:type="dxa"/>
            <w:vAlign w:val="center"/>
          </w:tcPr>
          <w:p w14:paraId="7952C31E" w14:textId="77777777" w:rsidR="00CB33C7" w:rsidRPr="001D0128" w:rsidRDefault="00CB33C7" w:rsidP="001D0128">
            <w:pPr>
              <w:pStyle w:val="6"/>
              <w:spacing w:before="0" w:after="0"/>
              <w:rPr>
                <w:rFonts w:ascii="Arial" w:hAnsi="Arial" w:cs="Arial"/>
                <w:color w:val="000000"/>
                <w:lang w:val="uk-UA"/>
              </w:rPr>
            </w:pPr>
            <w:r w:rsidRPr="001D0128">
              <w:rPr>
                <w:rFonts w:ascii="Arial" w:hAnsi="Arial" w:cs="Arial"/>
                <w:color w:val="000000"/>
                <w:lang w:val="uk-UA"/>
              </w:rPr>
              <w:t>Номер і назва завдання з Стратегії</w:t>
            </w:r>
            <w:r w:rsidRPr="001D0128">
              <w:rPr>
                <w:rFonts w:ascii="Arial" w:hAnsi="Arial" w:cs="Arial"/>
                <w:lang w:val="uk-UA" w:eastAsia="it-IT"/>
              </w:rPr>
              <w:t xml:space="preserve"> </w:t>
            </w:r>
            <w:r w:rsidRPr="001D0128">
              <w:rPr>
                <w:rFonts w:ascii="Arial" w:hAnsi="Arial" w:cs="Arial"/>
                <w:color w:val="000000"/>
                <w:lang w:val="uk-UA"/>
              </w:rPr>
              <w:t>розвитку Жмеринської міської територіальної громади,  якому відповідає проєкт:</w:t>
            </w:r>
          </w:p>
        </w:tc>
        <w:tc>
          <w:tcPr>
            <w:tcW w:w="6794" w:type="dxa"/>
            <w:gridSpan w:val="9"/>
          </w:tcPr>
          <w:p w14:paraId="77144FBB" w14:textId="77777777" w:rsidR="00CB33C7" w:rsidRPr="001D0128" w:rsidRDefault="00CB33C7" w:rsidP="001D0128">
            <w:pPr>
              <w:pBdr>
                <w:left w:val="single" w:sz="18" w:space="4" w:color="auto"/>
              </w:pBdr>
              <w:jc w:val="both"/>
              <w:rPr>
                <w:rFonts w:cs="Arial"/>
                <w:szCs w:val="22"/>
                <w:lang w:eastAsia="it-IT"/>
              </w:rPr>
            </w:pPr>
            <w:r w:rsidRPr="001D0128">
              <w:rPr>
                <w:rFonts w:cs="Arial"/>
                <w:szCs w:val="22"/>
                <w:lang w:eastAsia="it-IT"/>
              </w:rPr>
              <w:t>В.1.3.1.Будівництво нових, реконструкція, капітальний ремонт, модернізація мереж централізованої системи водопостачання, водовідведення та каналізація.</w:t>
            </w:r>
          </w:p>
        </w:tc>
      </w:tr>
      <w:tr w:rsidR="00CB33C7" w:rsidRPr="00C2587D" w14:paraId="084A9802" w14:textId="77777777" w:rsidTr="00EA6E27">
        <w:trPr>
          <w:jc w:val="right"/>
        </w:trPr>
        <w:tc>
          <w:tcPr>
            <w:tcW w:w="3425" w:type="dxa"/>
            <w:vAlign w:val="center"/>
          </w:tcPr>
          <w:p w14:paraId="7A67F065" w14:textId="77777777" w:rsidR="00CB33C7" w:rsidRPr="001D0128" w:rsidRDefault="00CB33C7" w:rsidP="001D0128">
            <w:pPr>
              <w:rPr>
                <w:rFonts w:cs="Arial"/>
                <w:b/>
                <w:bCs/>
                <w:color w:val="000000"/>
                <w:szCs w:val="22"/>
              </w:rPr>
            </w:pPr>
            <w:r w:rsidRPr="001D0128">
              <w:rPr>
                <w:rFonts w:cs="Arial"/>
                <w:b/>
                <w:bCs/>
                <w:color w:val="000000"/>
                <w:szCs w:val="22"/>
              </w:rPr>
              <w:t>Мета проєкту:</w:t>
            </w:r>
          </w:p>
        </w:tc>
        <w:tc>
          <w:tcPr>
            <w:tcW w:w="6794" w:type="dxa"/>
            <w:gridSpan w:val="9"/>
          </w:tcPr>
          <w:p w14:paraId="007E4C87" w14:textId="77777777" w:rsidR="00CB33C7" w:rsidRPr="001D0128" w:rsidRDefault="00CB33C7" w:rsidP="001D0128">
            <w:pPr>
              <w:jc w:val="both"/>
              <w:rPr>
                <w:rFonts w:cs="Arial"/>
                <w:szCs w:val="22"/>
                <w:lang w:eastAsia="it-IT"/>
              </w:rPr>
            </w:pPr>
            <w:r w:rsidRPr="001D0128">
              <w:rPr>
                <w:rFonts w:cs="Arial"/>
                <w:szCs w:val="22"/>
                <w:lang w:eastAsia="it-IT"/>
              </w:rPr>
              <w:t>Надання мешканцям селища Браїлів якісних послух з водовідведення.</w:t>
            </w:r>
          </w:p>
        </w:tc>
      </w:tr>
      <w:tr w:rsidR="00CB33C7" w:rsidRPr="00C2587D" w14:paraId="76DA78D7" w14:textId="77777777" w:rsidTr="00EA6E27">
        <w:trPr>
          <w:jc w:val="right"/>
        </w:trPr>
        <w:tc>
          <w:tcPr>
            <w:tcW w:w="3425" w:type="dxa"/>
            <w:vAlign w:val="center"/>
          </w:tcPr>
          <w:p w14:paraId="30B64AB6" w14:textId="77777777" w:rsidR="00CB33C7" w:rsidRPr="001D0128" w:rsidRDefault="00CB33C7" w:rsidP="001D0128">
            <w:pPr>
              <w:rPr>
                <w:rFonts w:cs="Arial"/>
                <w:b/>
                <w:bCs/>
                <w:color w:val="000000"/>
                <w:szCs w:val="22"/>
              </w:rPr>
            </w:pPr>
            <w:r w:rsidRPr="001D0128">
              <w:rPr>
                <w:rFonts w:cs="Arial"/>
                <w:b/>
                <w:bCs/>
                <w:color w:val="000000"/>
                <w:szCs w:val="22"/>
              </w:rPr>
              <w:t>Цілі проєкту:</w:t>
            </w:r>
          </w:p>
        </w:tc>
        <w:tc>
          <w:tcPr>
            <w:tcW w:w="6794" w:type="dxa"/>
            <w:gridSpan w:val="9"/>
          </w:tcPr>
          <w:p w14:paraId="5C5D001E" w14:textId="77777777" w:rsidR="00CB33C7" w:rsidRPr="001D0128" w:rsidRDefault="00CB33C7" w:rsidP="001D0128">
            <w:pPr>
              <w:jc w:val="both"/>
              <w:rPr>
                <w:rFonts w:cs="Arial"/>
                <w:szCs w:val="22"/>
                <w:lang w:eastAsia="it-IT"/>
              </w:rPr>
            </w:pPr>
            <w:r w:rsidRPr="001D0128">
              <w:rPr>
                <w:rFonts w:cs="Arial"/>
                <w:szCs w:val="22"/>
                <w:lang w:eastAsia="it-IT"/>
              </w:rPr>
              <w:t xml:space="preserve">Зменшення забруднення ґрунтів. Покращення стану навколишнього природного середовища. </w:t>
            </w:r>
          </w:p>
        </w:tc>
      </w:tr>
      <w:tr w:rsidR="00CB33C7" w:rsidRPr="00C2587D" w14:paraId="4BA4A93B" w14:textId="77777777" w:rsidTr="00EA6E27">
        <w:trPr>
          <w:jc w:val="right"/>
        </w:trPr>
        <w:tc>
          <w:tcPr>
            <w:tcW w:w="3425" w:type="dxa"/>
            <w:vAlign w:val="center"/>
          </w:tcPr>
          <w:p w14:paraId="365AD4E1" w14:textId="77777777" w:rsidR="00CB33C7" w:rsidRPr="001D0128" w:rsidRDefault="00CB33C7" w:rsidP="001D0128">
            <w:pPr>
              <w:autoSpaceDE w:val="0"/>
              <w:autoSpaceDN w:val="0"/>
              <w:adjustRightInd w:val="0"/>
              <w:rPr>
                <w:rFonts w:cs="Arial"/>
                <w:b/>
                <w:color w:val="000000"/>
                <w:szCs w:val="22"/>
              </w:rPr>
            </w:pPr>
            <w:r w:rsidRPr="001D0128">
              <w:rPr>
                <w:rFonts w:cs="Arial"/>
                <w:b/>
                <w:color w:val="000000"/>
                <w:szCs w:val="22"/>
              </w:rPr>
              <w:t>Територія на яку проєкт матиме вплив:</w:t>
            </w:r>
          </w:p>
        </w:tc>
        <w:tc>
          <w:tcPr>
            <w:tcW w:w="6794" w:type="dxa"/>
            <w:gridSpan w:val="9"/>
          </w:tcPr>
          <w:p w14:paraId="55A5907B" w14:textId="77777777" w:rsidR="00CB33C7" w:rsidRPr="001D0128" w:rsidRDefault="00CB33C7" w:rsidP="001D0128">
            <w:pPr>
              <w:jc w:val="both"/>
              <w:rPr>
                <w:rFonts w:cs="Arial"/>
                <w:szCs w:val="22"/>
                <w:lang w:eastAsia="it-IT"/>
              </w:rPr>
            </w:pPr>
            <w:r w:rsidRPr="001D0128">
              <w:rPr>
                <w:rFonts w:cs="Arial"/>
                <w:szCs w:val="22"/>
                <w:lang w:eastAsia="it-IT"/>
              </w:rPr>
              <w:t xml:space="preserve">Селище Браїлів Жмеринської МТГ </w:t>
            </w:r>
          </w:p>
        </w:tc>
      </w:tr>
      <w:tr w:rsidR="00CB33C7" w:rsidRPr="00C2587D" w14:paraId="4578C36F" w14:textId="77777777" w:rsidTr="00EA6E27">
        <w:trPr>
          <w:jc w:val="right"/>
        </w:trPr>
        <w:tc>
          <w:tcPr>
            <w:tcW w:w="3425" w:type="dxa"/>
            <w:vAlign w:val="center"/>
          </w:tcPr>
          <w:p w14:paraId="06FD2184" w14:textId="77777777" w:rsidR="00CB33C7" w:rsidRPr="001D0128" w:rsidRDefault="00CB33C7" w:rsidP="001D0128">
            <w:pPr>
              <w:autoSpaceDE w:val="0"/>
              <w:autoSpaceDN w:val="0"/>
              <w:adjustRightInd w:val="0"/>
              <w:rPr>
                <w:rFonts w:cs="Arial"/>
                <w:b/>
                <w:color w:val="000000"/>
                <w:szCs w:val="22"/>
              </w:rPr>
            </w:pPr>
            <w:r w:rsidRPr="001D0128">
              <w:rPr>
                <w:rFonts w:cs="Arial"/>
                <w:b/>
                <w:color w:val="000000"/>
                <w:szCs w:val="22"/>
              </w:rPr>
              <w:t>Цільові групи проєкту та кількість отримувачів вигоди</w:t>
            </w:r>
          </w:p>
        </w:tc>
        <w:tc>
          <w:tcPr>
            <w:tcW w:w="6794" w:type="dxa"/>
            <w:gridSpan w:val="9"/>
          </w:tcPr>
          <w:p w14:paraId="37FB79B4" w14:textId="77777777" w:rsidR="00CB33C7" w:rsidRPr="001D0128" w:rsidRDefault="00CB33C7" w:rsidP="001D0128">
            <w:pPr>
              <w:jc w:val="both"/>
              <w:rPr>
                <w:rFonts w:cs="Arial"/>
                <w:szCs w:val="22"/>
                <w:lang w:eastAsia="it-IT"/>
              </w:rPr>
            </w:pPr>
            <w:r w:rsidRPr="001D0128">
              <w:rPr>
                <w:rFonts w:cs="Arial"/>
                <w:szCs w:val="22"/>
                <w:lang w:eastAsia="it-IT"/>
              </w:rPr>
              <w:t>2,5 тис. чол., мешканці селища Браїлів, підприємства, діти, люди літнього віку та ін.</w:t>
            </w:r>
          </w:p>
        </w:tc>
      </w:tr>
      <w:tr w:rsidR="00CB33C7" w:rsidRPr="00C2587D" w14:paraId="7529AC3F" w14:textId="77777777" w:rsidTr="00EA6E27">
        <w:trPr>
          <w:jc w:val="right"/>
        </w:trPr>
        <w:tc>
          <w:tcPr>
            <w:tcW w:w="3425" w:type="dxa"/>
            <w:shd w:val="clear" w:color="auto" w:fill="FFFFFF"/>
            <w:vAlign w:val="center"/>
          </w:tcPr>
          <w:p w14:paraId="44EE5962" w14:textId="77777777" w:rsidR="00CB33C7" w:rsidRPr="001D0128" w:rsidRDefault="00CB33C7" w:rsidP="001D0128">
            <w:pPr>
              <w:rPr>
                <w:rFonts w:cs="Arial"/>
                <w:b/>
                <w:bCs/>
                <w:color w:val="000000"/>
                <w:szCs w:val="22"/>
              </w:rPr>
            </w:pPr>
            <w:r w:rsidRPr="001D0128">
              <w:rPr>
                <w:rFonts w:cs="Arial"/>
                <w:b/>
                <w:bCs/>
                <w:color w:val="000000"/>
                <w:szCs w:val="22"/>
              </w:rPr>
              <w:t>Стислий опис проєкту:</w:t>
            </w:r>
          </w:p>
        </w:tc>
        <w:tc>
          <w:tcPr>
            <w:tcW w:w="6794" w:type="dxa"/>
            <w:gridSpan w:val="9"/>
          </w:tcPr>
          <w:p w14:paraId="06E7D933" w14:textId="778A1EC9" w:rsidR="00CB33C7" w:rsidRPr="001D0128" w:rsidRDefault="00CB33C7" w:rsidP="001D0128">
            <w:pPr>
              <w:jc w:val="both"/>
              <w:rPr>
                <w:rFonts w:cs="Arial"/>
                <w:szCs w:val="22"/>
                <w:lang w:eastAsia="it-IT"/>
              </w:rPr>
            </w:pPr>
            <w:r w:rsidRPr="001D0128">
              <w:rPr>
                <w:rFonts w:cs="Arial"/>
                <w:szCs w:val="22"/>
                <w:lang w:eastAsia="it-IT"/>
              </w:rPr>
              <w:t xml:space="preserve">Селище Браїлів має систему централізованого водовідведення побудовану в середині 80-х років, яка знаходиться у вкрай не задовільному стані. Через зношеність та переломи труб на мережі водовідведення відбуваються часті засмічення каналізаційних мереж, що призводить до витоку каналізаційних стоків в </w:t>
            </w:r>
            <w:r w:rsidR="001D0128">
              <w:rPr>
                <w:rFonts w:cs="Arial"/>
                <w:szCs w:val="22"/>
                <w:lang w:eastAsia="it-IT"/>
              </w:rPr>
              <w:t>грунти</w:t>
            </w:r>
            <w:r w:rsidRPr="001D0128">
              <w:rPr>
                <w:rFonts w:cs="Arial"/>
                <w:szCs w:val="22"/>
                <w:lang w:eastAsia="it-IT"/>
              </w:rPr>
              <w:t xml:space="preserve"> та річки.</w:t>
            </w:r>
          </w:p>
          <w:p w14:paraId="07842FC7" w14:textId="480E84F6" w:rsidR="00CB33C7" w:rsidRPr="001D0128" w:rsidRDefault="00CB33C7" w:rsidP="001D0128">
            <w:pPr>
              <w:jc w:val="both"/>
              <w:rPr>
                <w:rFonts w:cs="Arial"/>
                <w:szCs w:val="22"/>
                <w:lang w:eastAsia="it-IT"/>
              </w:rPr>
            </w:pPr>
            <w:r w:rsidRPr="001D0128">
              <w:rPr>
                <w:rFonts w:cs="Arial"/>
                <w:szCs w:val="22"/>
                <w:lang w:eastAsia="it-IT"/>
              </w:rPr>
              <w:t xml:space="preserve">Реконструкція мереж водовідведення в селищі Браїлів забезпечить його мешканців якісною послугою з водовідведення, ліквідує ризики забруднення </w:t>
            </w:r>
            <w:r w:rsidR="00E97953" w:rsidRPr="001D0128">
              <w:rPr>
                <w:rFonts w:cs="Arial"/>
                <w:szCs w:val="22"/>
                <w:lang w:eastAsia="it-IT"/>
              </w:rPr>
              <w:t>ґрунтів</w:t>
            </w:r>
            <w:r w:rsidRPr="001D0128">
              <w:rPr>
                <w:rFonts w:cs="Arial"/>
                <w:szCs w:val="22"/>
                <w:lang w:eastAsia="it-IT"/>
              </w:rPr>
              <w:t xml:space="preserve"> та водоймищ, забезпечить очистку каналізаційних стоків на очисних спорудах каналізації.</w:t>
            </w:r>
          </w:p>
        </w:tc>
      </w:tr>
      <w:tr w:rsidR="00CB33C7" w:rsidRPr="00C2587D" w14:paraId="4A69A377" w14:textId="77777777" w:rsidTr="00EA6E27">
        <w:trPr>
          <w:jc w:val="right"/>
        </w:trPr>
        <w:tc>
          <w:tcPr>
            <w:tcW w:w="3425" w:type="dxa"/>
            <w:shd w:val="clear" w:color="auto" w:fill="FFFFFF"/>
            <w:vAlign w:val="center"/>
          </w:tcPr>
          <w:p w14:paraId="5AC1ED9D" w14:textId="77777777" w:rsidR="00CB33C7" w:rsidRPr="001D0128" w:rsidRDefault="00CB33C7" w:rsidP="001D0128">
            <w:pPr>
              <w:rPr>
                <w:rFonts w:cs="Arial"/>
                <w:b/>
                <w:bCs/>
                <w:color w:val="000000"/>
                <w:szCs w:val="22"/>
              </w:rPr>
            </w:pPr>
            <w:r w:rsidRPr="001D0128">
              <w:rPr>
                <w:rFonts w:cs="Arial"/>
                <w:b/>
                <w:bCs/>
                <w:color w:val="000000"/>
                <w:szCs w:val="22"/>
              </w:rPr>
              <w:t>Основні заходи проєкту:</w:t>
            </w:r>
          </w:p>
        </w:tc>
        <w:tc>
          <w:tcPr>
            <w:tcW w:w="6794" w:type="dxa"/>
            <w:gridSpan w:val="9"/>
          </w:tcPr>
          <w:p w14:paraId="0EC8DA41" w14:textId="4BC8EAEE" w:rsidR="00CB33C7" w:rsidRPr="001D0128" w:rsidRDefault="00CB33C7" w:rsidP="001D0128">
            <w:pPr>
              <w:jc w:val="both"/>
              <w:rPr>
                <w:rFonts w:cs="Arial"/>
                <w:szCs w:val="22"/>
                <w:lang w:eastAsia="it-IT"/>
              </w:rPr>
            </w:pPr>
            <w:r w:rsidRPr="001D0128">
              <w:rPr>
                <w:rFonts w:cs="Arial"/>
                <w:szCs w:val="22"/>
                <w:lang w:eastAsia="it-IT"/>
              </w:rPr>
              <w:t>Розробка ПКД. Проведення експертизи ПКД. Проведення процедури відкритих торгів з метою визначення виконавця робіт. Отримання дозволу на виконання  будівельних робіт. Виконання робіт по реконструкцій мереж водовідведення. Введення в експлуатацію  об’єкта після виконання робіт.</w:t>
            </w:r>
          </w:p>
        </w:tc>
      </w:tr>
      <w:tr w:rsidR="00CB33C7" w:rsidRPr="00C2587D" w14:paraId="6219F410" w14:textId="77777777" w:rsidTr="00EA6E27">
        <w:trPr>
          <w:jc w:val="right"/>
        </w:trPr>
        <w:tc>
          <w:tcPr>
            <w:tcW w:w="3425" w:type="dxa"/>
            <w:shd w:val="clear" w:color="auto" w:fill="FFFFFF"/>
            <w:vAlign w:val="center"/>
          </w:tcPr>
          <w:p w14:paraId="51B0DA61" w14:textId="77777777" w:rsidR="00CB33C7" w:rsidRPr="001D0128" w:rsidRDefault="00CB33C7" w:rsidP="001D0128">
            <w:pPr>
              <w:rPr>
                <w:rFonts w:cs="Arial"/>
                <w:b/>
                <w:bCs/>
                <w:color w:val="000000"/>
                <w:szCs w:val="22"/>
              </w:rPr>
            </w:pPr>
            <w:r w:rsidRPr="001D0128">
              <w:rPr>
                <w:rFonts w:cs="Arial"/>
                <w:b/>
                <w:bCs/>
                <w:color w:val="000000"/>
                <w:szCs w:val="22"/>
              </w:rPr>
              <w:t>Індикатори (показники) результативності:</w:t>
            </w:r>
          </w:p>
        </w:tc>
        <w:tc>
          <w:tcPr>
            <w:tcW w:w="6794" w:type="dxa"/>
            <w:gridSpan w:val="9"/>
          </w:tcPr>
          <w:p w14:paraId="08B6A664" w14:textId="17C5E439" w:rsidR="00CB33C7" w:rsidRPr="001D0128" w:rsidRDefault="00CB33C7" w:rsidP="00E97953">
            <w:pPr>
              <w:jc w:val="both"/>
              <w:rPr>
                <w:rFonts w:cs="Arial"/>
                <w:szCs w:val="22"/>
                <w:lang w:eastAsia="it-IT"/>
              </w:rPr>
            </w:pPr>
            <w:r w:rsidRPr="001D0128">
              <w:rPr>
                <w:rFonts w:cs="Arial"/>
                <w:szCs w:val="22"/>
                <w:lang w:eastAsia="it-IT"/>
              </w:rPr>
              <w:t>Реконструкція мереж водовідведення орієнтовною довжиною 6 км. Ліквідація ризику неочищених стічних вод у ґрунт, підземні та наземні води, ліси</w:t>
            </w:r>
            <w:r w:rsidR="00E97953">
              <w:rPr>
                <w:rFonts w:cs="Arial"/>
                <w:szCs w:val="22"/>
                <w:lang w:eastAsia="it-IT"/>
              </w:rPr>
              <w:t xml:space="preserve"> тощо</w:t>
            </w:r>
            <w:r w:rsidRPr="001D0128">
              <w:rPr>
                <w:rFonts w:cs="Arial"/>
                <w:szCs w:val="22"/>
                <w:lang w:eastAsia="it-IT"/>
              </w:rPr>
              <w:t xml:space="preserve">, покращення стану навколишнього природного середовища. Надання 2,5 тис. мешканцям </w:t>
            </w:r>
            <w:r w:rsidR="001D0128" w:rsidRPr="001D0128">
              <w:rPr>
                <w:rFonts w:cs="Arial"/>
                <w:szCs w:val="22"/>
                <w:lang w:eastAsia="it-IT"/>
              </w:rPr>
              <w:t>селища</w:t>
            </w:r>
            <w:r w:rsidRPr="001D0128">
              <w:rPr>
                <w:rFonts w:cs="Arial"/>
                <w:szCs w:val="22"/>
                <w:lang w:eastAsia="it-IT"/>
              </w:rPr>
              <w:t xml:space="preserve"> Браїлів якісних послуг водовідведення.</w:t>
            </w:r>
          </w:p>
        </w:tc>
      </w:tr>
      <w:tr w:rsidR="00CB33C7" w:rsidRPr="00C2587D" w14:paraId="3B016644" w14:textId="77777777" w:rsidTr="00EA6E27">
        <w:trPr>
          <w:jc w:val="right"/>
        </w:trPr>
        <w:tc>
          <w:tcPr>
            <w:tcW w:w="3425" w:type="dxa"/>
            <w:shd w:val="clear" w:color="auto" w:fill="FFFFFF"/>
            <w:vAlign w:val="center"/>
          </w:tcPr>
          <w:p w14:paraId="18B4EA53" w14:textId="77777777" w:rsidR="00CB33C7" w:rsidRPr="001D0128" w:rsidRDefault="00CB33C7" w:rsidP="001D0128">
            <w:pPr>
              <w:rPr>
                <w:rFonts w:cs="Arial"/>
                <w:b/>
                <w:color w:val="000000"/>
                <w:szCs w:val="22"/>
              </w:rPr>
            </w:pPr>
            <w:r w:rsidRPr="001D0128">
              <w:rPr>
                <w:rFonts w:cs="Arial"/>
                <w:b/>
                <w:color w:val="000000"/>
                <w:szCs w:val="22"/>
              </w:rPr>
              <w:t xml:space="preserve">Період здійснення: </w:t>
            </w:r>
          </w:p>
        </w:tc>
        <w:tc>
          <w:tcPr>
            <w:tcW w:w="6794" w:type="dxa"/>
            <w:gridSpan w:val="9"/>
            <w:vAlign w:val="center"/>
          </w:tcPr>
          <w:p w14:paraId="6F8E23D4" w14:textId="77777777" w:rsidR="00CB33C7" w:rsidRPr="001D0128" w:rsidRDefault="00CB33C7" w:rsidP="001D0128">
            <w:pPr>
              <w:rPr>
                <w:rFonts w:cs="Arial"/>
                <w:color w:val="000000"/>
                <w:szCs w:val="22"/>
                <w:lang w:eastAsia="it-IT"/>
              </w:rPr>
            </w:pPr>
            <w:r w:rsidRPr="001D0128">
              <w:rPr>
                <w:rFonts w:cs="Arial"/>
                <w:b/>
                <w:color w:val="000000"/>
                <w:szCs w:val="22"/>
              </w:rPr>
              <w:t>2025 – 2028 роки:</w:t>
            </w:r>
          </w:p>
        </w:tc>
      </w:tr>
      <w:tr w:rsidR="00CB33C7" w:rsidRPr="00C2587D" w14:paraId="479D3BFD" w14:textId="77777777" w:rsidTr="00EA6E27">
        <w:trPr>
          <w:jc w:val="right"/>
        </w:trPr>
        <w:tc>
          <w:tcPr>
            <w:tcW w:w="3425" w:type="dxa"/>
            <w:vMerge w:val="restart"/>
            <w:shd w:val="clear" w:color="auto" w:fill="FFFFFF"/>
            <w:vAlign w:val="center"/>
          </w:tcPr>
          <w:p w14:paraId="3FBD080F" w14:textId="77777777" w:rsidR="00CB33C7" w:rsidRPr="001D0128" w:rsidRDefault="00CB33C7" w:rsidP="001D0128">
            <w:pPr>
              <w:rPr>
                <w:rFonts w:cs="Arial"/>
                <w:b/>
                <w:bCs/>
                <w:color w:val="000000"/>
                <w:szCs w:val="22"/>
              </w:rPr>
            </w:pPr>
            <w:r w:rsidRPr="001D0128">
              <w:rPr>
                <w:rFonts w:cs="Arial"/>
                <w:b/>
                <w:bCs/>
                <w:color w:val="000000"/>
                <w:szCs w:val="22"/>
              </w:rPr>
              <w:t>Орієнтовна вартість проєкту, тис. грн., в тому числі:</w:t>
            </w:r>
          </w:p>
        </w:tc>
        <w:tc>
          <w:tcPr>
            <w:tcW w:w="1254" w:type="dxa"/>
            <w:shd w:val="clear" w:color="auto" w:fill="E6E6E6"/>
            <w:vAlign w:val="center"/>
          </w:tcPr>
          <w:p w14:paraId="51EAFA9E" w14:textId="77777777" w:rsidR="00CB33C7" w:rsidRPr="001D0128" w:rsidRDefault="00CB33C7" w:rsidP="001D0128">
            <w:pPr>
              <w:jc w:val="center"/>
              <w:rPr>
                <w:rFonts w:cs="Arial"/>
                <w:b/>
                <w:color w:val="000000"/>
                <w:szCs w:val="22"/>
                <w:lang w:eastAsia="it-IT"/>
              </w:rPr>
            </w:pPr>
            <w:r w:rsidRPr="001D0128">
              <w:rPr>
                <w:rFonts w:cs="Arial"/>
                <w:b/>
                <w:color w:val="000000"/>
                <w:szCs w:val="22"/>
                <w:lang w:eastAsia="it-IT"/>
              </w:rPr>
              <w:t>2025</w:t>
            </w:r>
          </w:p>
        </w:tc>
        <w:tc>
          <w:tcPr>
            <w:tcW w:w="1275" w:type="dxa"/>
            <w:gridSpan w:val="2"/>
            <w:shd w:val="clear" w:color="auto" w:fill="E6E6E6"/>
            <w:vAlign w:val="center"/>
          </w:tcPr>
          <w:p w14:paraId="3E9D7111" w14:textId="77777777" w:rsidR="00CB33C7" w:rsidRPr="001D0128" w:rsidRDefault="00CB33C7" w:rsidP="001D0128">
            <w:pPr>
              <w:jc w:val="center"/>
              <w:rPr>
                <w:rFonts w:cs="Arial"/>
                <w:b/>
                <w:color w:val="000000"/>
                <w:szCs w:val="22"/>
                <w:lang w:eastAsia="it-IT"/>
              </w:rPr>
            </w:pPr>
            <w:r w:rsidRPr="001D0128">
              <w:rPr>
                <w:rFonts w:cs="Arial"/>
                <w:b/>
                <w:color w:val="000000"/>
                <w:szCs w:val="22"/>
                <w:lang w:eastAsia="it-IT"/>
              </w:rPr>
              <w:t>2026</w:t>
            </w:r>
          </w:p>
        </w:tc>
        <w:tc>
          <w:tcPr>
            <w:tcW w:w="1418" w:type="dxa"/>
            <w:gridSpan w:val="2"/>
            <w:tcBorders>
              <w:bottom w:val="single" w:sz="4" w:space="0" w:color="auto"/>
            </w:tcBorders>
            <w:shd w:val="clear" w:color="auto" w:fill="E6E6E6"/>
            <w:vAlign w:val="center"/>
          </w:tcPr>
          <w:p w14:paraId="390761B5" w14:textId="77777777" w:rsidR="00CB33C7" w:rsidRPr="001D0128" w:rsidRDefault="00CB33C7" w:rsidP="001D0128">
            <w:pPr>
              <w:jc w:val="center"/>
              <w:rPr>
                <w:rFonts w:cs="Arial"/>
                <w:b/>
                <w:color w:val="000000"/>
                <w:szCs w:val="22"/>
                <w:lang w:eastAsia="it-IT"/>
              </w:rPr>
            </w:pPr>
            <w:r w:rsidRPr="001D0128">
              <w:rPr>
                <w:rFonts w:cs="Arial"/>
                <w:b/>
                <w:color w:val="000000"/>
                <w:szCs w:val="22"/>
                <w:lang w:eastAsia="it-IT"/>
              </w:rPr>
              <w:t>2027</w:t>
            </w:r>
          </w:p>
        </w:tc>
        <w:tc>
          <w:tcPr>
            <w:tcW w:w="1276" w:type="dxa"/>
            <w:gridSpan w:val="2"/>
            <w:shd w:val="clear" w:color="auto" w:fill="E6E6E6"/>
            <w:vAlign w:val="center"/>
          </w:tcPr>
          <w:p w14:paraId="6B3C2FFF" w14:textId="77777777" w:rsidR="00CB33C7" w:rsidRPr="001D0128" w:rsidRDefault="00CB33C7" w:rsidP="001D0128">
            <w:pPr>
              <w:jc w:val="center"/>
              <w:rPr>
                <w:rFonts w:cs="Arial"/>
                <w:b/>
                <w:color w:val="000000"/>
                <w:szCs w:val="22"/>
                <w:lang w:eastAsia="it-IT"/>
              </w:rPr>
            </w:pPr>
            <w:r w:rsidRPr="001D0128">
              <w:rPr>
                <w:rFonts w:cs="Arial"/>
                <w:b/>
                <w:color w:val="000000"/>
                <w:szCs w:val="22"/>
                <w:lang w:eastAsia="it-IT"/>
              </w:rPr>
              <w:t>2028</w:t>
            </w:r>
          </w:p>
        </w:tc>
        <w:tc>
          <w:tcPr>
            <w:tcW w:w="1571" w:type="dxa"/>
            <w:gridSpan w:val="2"/>
            <w:shd w:val="clear" w:color="auto" w:fill="E6E6E6"/>
            <w:vAlign w:val="center"/>
          </w:tcPr>
          <w:p w14:paraId="7F0A4245" w14:textId="77777777" w:rsidR="00CB33C7" w:rsidRPr="001D0128" w:rsidRDefault="00CB33C7" w:rsidP="001D0128">
            <w:pPr>
              <w:jc w:val="center"/>
              <w:rPr>
                <w:rFonts w:cs="Arial"/>
                <w:b/>
                <w:color w:val="000000"/>
                <w:szCs w:val="22"/>
                <w:lang w:eastAsia="it-IT"/>
              </w:rPr>
            </w:pPr>
            <w:r w:rsidRPr="001D0128">
              <w:rPr>
                <w:rFonts w:cs="Arial"/>
                <w:b/>
                <w:color w:val="000000"/>
                <w:szCs w:val="22"/>
                <w:lang w:eastAsia="it-IT"/>
              </w:rPr>
              <w:t>РАЗОМ</w:t>
            </w:r>
          </w:p>
        </w:tc>
      </w:tr>
      <w:tr w:rsidR="00CB33C7" w:rsidRPr="00C2587D" w14:paraId="385EBBCC" w14:textId="77777777" w:rsidTr="00EA6E27">
        <w:trPr>
          <w:jc w:val="right"/>
        </w:trPr>
        <w:tc>
          <w:tcPr>
            <w:tcW w:w="3425" w:type="dxa"/>
            <w:vMerge/>
            <w:shd w:val="clear" w:color="auto" w:fill="FFFFFF"/>
            <w:vAlign w:val="center"/>
          </w:tcPr>
          <w:p w14:paraId="76133A8A" w14:textId="77777777" w:rsidR="00CB33C7" w:rsidRPr="001D0128" w:rsidRDefault="00CB33C7" w:rsidP="001D0128">
            <w:pPr>
              <w:rPr>
                <w:rFonts w:cs="Arial"/>
                <w:b/>
                <w:bCs/>
                <w:color w:val="000000"/>
                <w:szCs w:val="22"/>
              </w:rPr>
            </w:pPr>
          </w:p>
        </w:tc>
        <w:tc>
          <w:tcPr>
            <w:tcW w:w="1254" w:type="dxa"/>
            <w:vAlign w:val="center"/>
          </w:tcPr>
          <w:p w14:paraId="5AB9B3F8" w14:textId="77777777" w:rsidR="00CB33C7" w:rsidRPr="001D0128" w:rsidRDefault="00CB33C7" w:rsidP="001D0128">
            <w:pPr>
              <w:jc w:val="center"/>
              <w:rPr>
                <w:rFonts w:cs="Arial"/>
                <w:b/>
                <w:color w:val="000000"/>
                <w:szCs w:val="22"/>
                <w:lang w:eastAsia="it-IT"/>
              </w:rPr>
            </w:pPr>
            <w:r w:rsidRPr="001D0128">
              <w:rPr>
                <w:rFonts w:cs="Arial"/>
                <w:b/>
                <w:color w:val="000000"/>
                <w:szCs w:val="22"/>
                <w:lang w:eastAsia="it-IT"/>
              </w:rPr>
              <w:t>0,00</w:t>
            </w:r>
          </w:p>
        </w:tc>
        <w:tc>
          <w:tcPr>
            <w:tcW w:w="1275" w:type="dxa"/>
            <w:gridSpan w:val="2"/>
            <w:shd w:val="clear" w:color="auto" w:fill="FFFFFF"/>
            <w:vAlign w:val="center"/>
          </w:tcPr>
          <w:p w14:paraId="213A2A68" w14:textId="77777777" w:rsidR="00CB33C7" w:rsidRPr="001D0128" w:rsidRDefault="00CB33C7" w:rsidP="001D0128">
            <w:pPr>
              <w:jc w:val="center"/>
              <w:rPr>
                <w:rFonts w:cs="Arial"/>
                <w:b/>
                <w:color w:val="000000"/>
                <w:szCs w:val="22"/>
                <w:lang w:eastAsia="it-IT"/>
              </w:rPr>
            </w:pPr>
            <w:r w:rsidRPr="001D0128">
              <w:rPr>
                <w:rFonts w:cs="Arial"/>
                <w:b/>
                <w:color w:val="000000"/>
                <w:szCs w:val="22"/>
                <w:lang w:eastAsia="it-IT"/>
              </w:rPr>
              <w:t xml:space="preserve">500,00 </w:t>
            </w:r>
          </w:p>
        </w:tc>
        <w:tc>
          <w:tcPr>
            <w:tcW w:w="1418" w:type="dxa"/>
            <w:gridSpan w:val="2"/>
            <w:shd w:val="clear" w:color="auto" w:fill="auto"/>
            <w:vAlign w:val="center"/>
          </w:tcPr>
          <w:p w14:paraId="4F798E2E" w14:textId="77777777" w:rsidR="00CB33C7" w:rsidRPr="001D0128" w:rsidRDefault="00CB33C7" w:rsidP="001D0128">
            <w:pPr>
              <w:jc w:val="center"/>
              <w:rPr>
                <w:rFonts w:cs="Arial"/>
                <w:b/>
                <w:color w:val="000000"/>
                <w:szCs w:val="22"/>
                <w:lang w:eastAsia="it-IT"/>
              </w:rPr>
            </w:pPr>
            <w:r w:rsidRPr="001D0128">
              <w:rPr>
                <w:rFonts w:cs="Arial"/>
                <w:b/>
                <w:color w:val="000000"/>
                <w:szCs w:val="22"/>
                <w:lang w:eastAsia="it-IT"/>
              </w:rPr>
              <w:t>4000,00</w:t>
            </w:r>
          </w:p>
        </w:tc>
        <w:tc>
          <w:tcPr>
            <w:tcW w:w="1276" w:type="dxa"/>
            <w:gridSpan w:val="2"/>
            <w:shd w:val="clear" w:color="auto" w:fill="FFFFFF"/>
            <w:vAlign w:val="center"/>
          </w:tcPr>
          <w:p w14:paraId="05504F9C" w14:textId="77777777" w:rsidR="00CB33C7" w:rsidRPr="001D0128" w:rsidRDefault="00CB33C7" w:rsidP="001D0128">
            <w:pPr>
              <w:jc w:val="center"/>
              <w:rPr>
                <w:rFonts w:cs="Arial"/>
                <w:b/>
                <w:color w:val="000000"/>
                <w:szCs w:val="22"/>
                <w:lang w:eastAsia="it-IT"/>
              </w:rPr>
            </w:pPr>
            <w:r w:rsidRPr="001D0128">
              <w:rPr>
                <w:rFonts w:cs="Arial"/>
                <w:b/>
                <w:color w:val="000000"/>
                <w:szCs w:val="22"/>
                <w:lang w:eastAsia="it-IT"/>
              </w:rPr>
              <w:t>0,00</w:t>
            </w:r>
          </w:p>
        </w:tc>
        <w:tc>
          <w:tcPr>
            <w:tcW w:w="1571" w:type="dxa"/>
            <w:gridSpan w:val="2"/>
            <w:shd w:val="clear" w:color="auto" w:fill="FFFFFF"/>
            <w:vAlign w:val="center"/>
          </w:tcPr>
          <w:p w14:paraId="750ABF6D" w14:textId="77777777" w:rsidR="00CB33C7" w:rsidRPr="001D0128" w:rsidRDefault="00CB33C7" w:rsidP="001D0128">
            <w:pPr>
              <w:jc w:val="center"/>
              <w:rPr>
                <w:rFonts w:cs="Arial"/>
                <w:b/>
                <w:color w:val="000000"/>
                <w:szCs w:val="22"/>
                <w:lang w:eastAsia="it-IT"/>
              </w:rPr>
            </w:pPr>
            <w:r w:rsidRPr="001D0128">
              <w:rPr>
                <w:rFonts w:cs="Arial"/>
                <w:b/>
                <w:color w:val="000000"/>
                <w:szCs w:val="22"/>
                <w:lang w:eastAsia="it-IT"/>
              </w:rPr>
              <w:t>4500,00</w:t>
            </w:r>
          </w:p>
        </w:tc>
      </w:tr>
      <w:tr w:rsidR="00CB33C7" w:rsidRPr="00C2587D" w14:paraId="4F90F19B" w14:textId="77777777" w:rsidTr="00EA6E27">
        <w:trPr>
          <w:trHeight w:val="276"/>
          <w:jc w:val="right"/>
        </w:trPr>
        <w:tc>
          <w:tcPr>
            <w:tcW w:w="3425" w:type="dxa"/>
            <w:shd w:val="clear" w:color="auto" w:fill="FFFFFF"/>
            <w:vAlign w:val="center"/>
          </w:tcPr>
          <w:p w14:paraId="25575D0C" w14:textId="77777777" w:rsidR="00CB33C7" w:rsidRPr="001D0128" w:rsidRDefault="00CB33C7" w:rsidP="001D0128">
            <w:pPr>
              <w:rPr>
                <w:rFonts w:cs="Arial"/>
                <w:b/>
                <w:bCs/>
                <w:color w:val="000000"/>
                <w:szCs w:val="22"/>
              </w:rPr>
            </w:pPr>
            <w:r w:rsidRPr="001D0128">
              <w:rPr>
                <w:rFonts w:cs="Arial"/>
                <w:b/>
                <w:bCs/>
                <w:color w:val="000000"/>
                <w:szCs w:val="22"/>
              </w:rPr>
              <w:t>по джерелах фінансування:</w:t>
            </w:r>
          </w:p>
        </w:tc>
        <w:tc>
          <w:tcPr>
            <w:tcW w:w="6794" w:type="dxa"/>
            <w:gridSpan w:val="9"/>
            <w:vAlign w:val="center"/>
          </w:tcPr>
          <w:p w14:paraId="23996A55" w14:textId="77777777" w:rsidR="00CB33C7" w:rsidRPr="001D0128" w:rsidRDefault="00CB33C7" w:rsidP="001D0128">
            <w:pPr>
              <w:jc w:val="both"/>
              <w:rPr>
                <w:rFonts w:cs="Arial"/>
                <w:color w:val="000000"/>
                <w:szCs w:val="22"/>
                <w:lang w:eastAsia="it-IT"/>
              </w:rPr>
            </w:pPr>
          </w:p>
        </w:tc>
      </w:tr>
      <w:tr w:rsidR="001D0128" w:rsidRPr="00C2587D" w14:paraId="055EED5B" w14:textId="06F7FC6C" w:rsidTr="001D0128">
        <w:trPr>
          <w:trHeight w:val="240"/>
          <w:jc w:val="right"/>
        </w:trPr>
        <w:tc>
          <w:tcPr>
            <w:tcW w:w="3425" w:type="dxa"/>
            <w:shd w:val="clear" w:color="auto" w:fill="FFFFFF"/>
            <w:vAlign w:val="center"/>
          </w:tcPr>
          <w:p w14:paraId="0691A007" w14:textId="77777777" w:rsidR="001D0128" w:rsidRPr="001D0128" w:rsidRDefault="001D0128" w:rsidP="001D0128">
            <w:pPr>
              <w:rPr>
                <w:rFonts w:cs="Arial"/>
                <w:b/>
                <w:bCs/>
                <w:color w:val="000000"/>
                <w:szCs w:val="22"/>
              </w:rPr>
            </w:pPr>
            <w:r w:rsidRPr="001D0128">
              <w:rPr>
                <w:rFonts w:cs="Arial"/>
                <w:color w:val="000000"/>
                <w:szCs w:val="22"/>
              </w:rPr>
              <w:t>- державний бюджет</w:t>
            </w:r>
          </w:p>
        </w:tc>
        <w:tc>
          <w:tcPr>
            <w:tcW w:w="1267" w:type="dxa"/>
            <w:gridSpan w:val="2"/>
            <w:vAlign w:val="center"/>
          </w:tcPr>
          <w:p w14:paraId="1BB4E26B" w14:textId="12F4EF99" w:rsidR="001D0128" w:rsidRPr="001D0128" w:rsidRDefault="001D0128" w:rsidP="001D0128">
            <w:pPr>
              <w:jc w:val="both"/>
              <w:rPr>
                <w:rFonts w:cs="Arial"/>
                <w:color w:val="000000"/>
                <w:szCs w:val="22"/>
                <w:lang w:eastAsia="it-IT"/>
              </w:rPr>
            </w:pPr>
          </w:p>
        </w:tc>
        <w:tc>
          <w:tcPr>
            <w:tcW w:w="1290" w:type="dxa"/>
            <w:gridSpan w:val="2"/>
          </w:tcPr>
          <w:p w14:paraId="68C3E783" w14:textId="72CE1F53" w:rsidR="001D0128" w:rsidRPr="001D0128" w:rsidRDefault="001D0128" w:rsidP="001D0128">
            <w:pPr>
              <w:jc w:val="center"/>
              <w:rPr>
                <w:rFonts w:cs="Arial"/>
                <w:color w:val="000000"/>
                <w:szCs w:val="22"/>
                <w:lang w:eastAsia="it-IT"/>
              </w:rPr>
            </w:pPr>
          </w:p>
        </w:tc>
        <w:tc>
          <w:tcPr>
            <w:tcW w:w="1428" w:type="dxa"/>
            <w:gridSpan w:val="2"/>
          </w:tcPr>
          <w:p w14:paraId="787F3361" w14:textId="19A6B679" w:rsidR="001D0128" w:rsidRPr="001D0128" w:rsidRDefault="001D0128" w:rsidP="001D0128">
            <w:pPr>
              <w:jc w:val="center"/>
              <w:rPr>
                <w:rFonts w:cs="Arial"/>
                <w:color w:val="000000"/>
                <w:szCs w:val="22"/>
                <w:lang w:eastAsia="it-IT"/>
              </w:rPr>
            </w:pPr>
            <w:r w:rsidRPr="001D0128">
              <w:rPr>
                <w:rFonts w:cs="Arial"/>
                <w:color w:val="000000"/>
                <w:szCs w:val="22"/>
                <w:lang w:eastAsia="it-IT"/>
              </w:rPr>
              <w:t>2000,00</w:t>
            </w:r>
          </w:p>
        </w:tc>
        <w:tc>
          <w:tcPr>
            <w:tcW w:w="1244" w:type="dxa"/>
            <w:gridSpan w:val="2"/>
          </w:tcPr>
          <w:p w14:paraId="427D4040" w14:textId="7338D363" w:rsidR="001D0128" w:rsidRPr="001D0128" w:rsidRDefault="001D0128" w:rsidP="001D0128">
            <w:pPr>
              <w:jc w:val="center"/>
              <w:rPr>
                <w:rFonts w:cs="Arial"/>
                <w:color w:val="000000"/>
                <w:szCs w:val="22"/>
                <w:lang w:eastAsia="it-IT"/>
              </w:rPr>
            </w:pPr>
          </w:p>
        </w:tc>
        <w:tc>
          <w:tcPr>
            <w:tcW w:w="1565" w:type="dxa"/>
          </w:tcPr>
          <w:p w14:paraId="729B5DD9" w14:textId="4E89D16E" w:rsidR="001D0128" w:rsidRPr="001D0128" w:rsidRDefault="001D0128" w:rsidP="001D0128">
            <w:pPr>
              <w:jc w:val="center"/>
              <w:rPr>
                <w:rFonts w:cs="Arial"/>
                <w:b/>
                <w:color w:val="000000"/>
                <w:szCs w:val="22"/>
                <w:lang w:eastAsia="it-IT"/>
              </w:rPr>
            </w:pPr>
            <w:r w:rsidRPr="001D0128">
              <w:rPr>
                <w:rFonts w:cs="Arial"/>
                <w:b/>
                <w:color w:val="000000"/>
                <w:szCs w:val="22"/>
                <w:lang w:eastAsia="it-IT"/>
              </w:rPr>
              <w:t>2000,00</w:t>
            </w:r>
          </w:p>
        </w:tc>
      </w:tr>
      <w:tr w:rsidR="001D0128" w:rsidRPr="00C2587D" w14:paraId="545C2196" w14:textId="48B35CBA" w:rsidTr="001D0128">
        <w:trPr>
          <w:trHeight w:val="254"/>
          <w:jc w:val="right"/>
        </w:trPr>
        <w:tc>
          <w:tcPr>
            <w:tcW w:w="3425" w:type="dxa"/>
            <w:shd w:val="clear" w:color="auto" w:fill="FFFFFF"/>
            <w:vAlign w:val="center"/>
          </w:tcPr>
          <w:p w14:paraId="25C45E4E" w14:textId="77777777" w:rsidR="001D0128" w:rsidRPr="001D0128" w:rsidRDefault="001D0128" w:rsidP="001D0128">
            <w:pPr>
              <w:rPr>
                <w:rFonts w:cs="Arial"/>
                <w:color w:val="000000"/>
                <w:szCs w:val="22"/>
              </w:rPr>
            </w:pPr>
            <w:r w:rsidRPr="001D0128">
              <w:rPr>
                <w:rFonts w:cs="Arial"/>
                <w:color w:val="000000"/>
                <w:szCs w:val="22"/>
              </w:rPr>
              <w:t>- обласний бюджет</w:t>
            </w:r>
          </w:p>
        </w:tc>
        <w:tc>
          <w:tcPr>
            <w:tcW w:w="1267" w:type="dxa"/>
            <w:gridSpan w:val="2"/>
            <w:vAlign w:val="center"/>
          </w:tcPr>
          <w:p w14:paraId="79628A2F" w14:textId="4C2C1214" w:rsidR="001D0128" w:rsidRPr="001D0128" w:rsidRDefault="001D0128" w:rsidP="001D0128">
            <w:pPr>
              <w:jc w:val="both"/>
              <w:rPr>
                <w:rFonts w:cs="Arial"/>
                <w:color w:val="000000"/>
                <w:szCs w:val="22"/>
                <w:lang w:eastAsia="it-IT"/>
              </w:rPr>
            </w:pPr>
          </w:p>
        </w:tc>
        <w:tc>
          <w:tcPr>
            <w:tcW w:w="1290" w:type="dxa"/>
            <w:gridSpan w:val="2"/>
          </w:tcPr>
          <w:p w14:paraId="5C18EB50" w14:textId="0D53A4EA" w:rsidR="001D0128" w:rsidRPr="001D0128" w:rsidRDefault="001D0128" w:rsidP="001D0128">
            <w:pPr>
              <w:jc w:val="center"/>
              <w:rPr>
                <w:rFonts w:cs="Arial"/>
                <w:color w:val="000000"/>
                <w:szCs w:val="22"/>
                <w:lang w:eastAsia="it-IT"/>
              </w:rPr>
            </w:pPr>
          </w:p>
        </w:tc>
        <w:tc>
          <w:tcPr>
            <w:tcW w:w="1428" w:type="dxa"/>
            <w:gridSpan w:val="2"/>
          </w:tcPr>
          <w:p w14:paraId="0E3C054E" w14:textId="7193F011" w:rsidR="001D0128" w:rsidRPr="001D0128" w:rsidRDefault="001D0128" w:rsidP="001D0128">
            <w:pPr>
              <w:jc w:val="center"/>
              <w:rPr>
                <w:rFonts w:cs="Arial"/>
                <w:color w:val="000000"/>
                <w:szCs w:val="22"/>
                <w:lang w:eastAsia="it-IT"/>
              </w:rPr>
            </w:pPr>
            <w:r w:rsidRPr="001D0128">
              <w:rPr>
                <w:rFonts w:cs="Arial"/>
                <w:color w:val="000000"/>
                <w:szCs w:val="22"/>
                <w:lang w:eastAsia="it-IT"/>
              </w:rPr>
              <w:t>1000,00</w:t>
            </w:r>
          </w:p>
        </w:tc>
        <w:tc>
          <w:tcPr>
            <w:tcW w:w="1244" w:type="dxa"/>
            <w:gridSpan w:val="2"/>
          </w:tcPr>
          <w:p w14:paraId="6C5BD454" w14:textId="01B32B73" w:rsidR="001D0128" w:rsidRPr="001D0128" w:rsidRDefault="001D0128" w:rsidP="001D0128">
            <w:pPr>
              <w:jc w:val="center"/>
              <w:rPr>
                <w:rFonts w:cs="Arial"/>
                <w:color w:val="000000"/>
                <w:szCs w:val="22"/>
                <w:lang w:eastAsia="it-IT"/>
              </w:rPr>
            </w:pPr>
          </w:p>
        </w:tc>
        <w:tc>
          <w:tcPr>
            <w:tcW w:w="1565" w:type="dxa"/>
          </w:tcPr>
          <w:p w14:paraId="23F917ED" w14:textId="183457B5" w:rsidR="001D0128" w:rsidRPr="001D0128" w:rsidRDefault="001D0128" w:rsidP="001D0128">
            <w:pPr>
              <w:jc w:val="center"/>
              <w:rPr>
                <w:rFonts w:cs="Arial"/>
                <w:b/>
                <w:color w:val="000000"/>
                <w:szCs w:val="22"/>
                <w:lang w:eastAsia="it-IT"/>
              </w:rPr>
            </w:pPr>
            <w:r w:rsidRPr="001D0128">
              <w:rPr>
                <w:rFonts w:cs="Arial"/>
                <w:b/>
                <w:color w:val="000000"/>
                <w:szCs w:val="22"/>
                <w:lang w:eastAsia="it-IT"/>
              </w:rPr>
              <w:t>1000,00</w:t>
            </w:r>
          </w:p>
        </w:tc>
      </w:tr>
      <w:tr w:rsidR="001D0128" w:rsidRPr="00C2587D" w14:paraId="10A42066" w14:textId="53F12A1C" w:rsidTr="001D0128">
        <w:trPr>
          <w:trHeight w:val="275"/>
          <w:jc w:val="right"/>
        </w:trPr>
        <w:tc>
          <w:tcPr>
            <w:tcW w:w="3425" w:type="dxa"/>
            <w:shd w:val="clear" w:color="auto" w:fill="FFFFFF"/>
            <w:vAlign w:val="center"/>
          </w:tcPr>
          <w:p w14:paraId="6D8162B6" w14:textId="77777777" w:rsidR="001D0128" w:rsidRPr="001D0128" w:rsidRDefault="001D0128" w:rsidP="001D0128">
            <w:pPr>
              <w:rPr>
                <w:rFonts w:cs="Arial"/>
                <w:color w:val="000000"/>
                <w:szCs w:val="22"/>
              </w:rPr>
            </w:pPr>
            <w:r w:rsidRPr="001D0128">
              <w:rPr>
                <w:rFonts w:cs="Arial"/>
                <w:color w:val="000000"/>
                <w:szCs w:val="22"/>
              </w:rPr>
              <w:t>- бюджет Жмеринської МТГ</w:t>
            </w:r>
          </w:p>
        </w:tc>
        <w:tc>
          <w:tcPr>
            <w:tcW w:w="1267" w:type="dxa"/>
            <w:gridSpan w:val="2"/>
            <w:vAlign w:val="center"/>
          </w:tcPr>
          <w:p w14:paraId="17B4DD8D" w14:textId="07780F7C" w:rsidR="001D0128" w:rsidRPr="001D0128" w:rsidRDefault="001D0128" w:rsidP="001D0128">
            <w:pPr>
              <w:jc w:val="both"/>
              <w:rPr>
                <w:rFonts w:cs="Arial"/>
                <w:color w:val="000000"/>
                <w:szCs w:val="22"/>
                <w:lang w:eastAsia="it-IT"/>
              </w:rPr>
            </w:pPr>
          </w:p>
        </w:tc>
        <w:tc>
          <w:tcPr>
            <w:tcW w:w="1290" w:type="dxa"/>
            <w:gridSpan w:val="2"/>
          </w:tcPr>
          <w:p w14:paraId="7AC67F95" w14:textId="1E488828" w:rsidR="001D0128" w:rsidRPr="001D0128" w:rsidRDefault="001D0128" w:rsidP="001D0128">
            <w:pPr>
              <w:jc w:val="center"/>
              <w:rPr>
                <w:rFonts w:cs="Arial"/>
                <w:color w:val="000000"/>
                <w:szCs w:val="22"/>
                <w:lang w:eastAsia="it-IT"/>
              </w:rPr>
            </w:pPr>
            <w:r w:rsidRPr="001D0128">
              <w:rPr>
                <w:rFonts w:cs="Arial"/>
                <w:color w:val="000000"/>
                <w:szCs w:val="22"/>
                <w:lang w:eastAsia="it-IT"/>
              </w:rPr>
              <w:t>500,00</w:t>
            </w:r>
          </w:p>
        </w:tc>
        <w:tc>
          <w:tcPr>
            <w:tcW w:w="1428" w:type="dxa"/>
            <w:gridSpan w:val="2"/>
          </w:tcPr>
          <w:p w14:paraId="25410B1E" w14:textId="751567F0" w:rsidR="001D0128" w:rsidRPr="001D0128" w:rsidRDefault="001D0128" w:rsidP="001D0128">
            <w:pPr>
              <w:jc w:val="center"/>
              <w:rPr>
                <w:rFonts w:cs="Arial"/>
                <w:color w:val="000000"/>
                <w:szCs w:val="22"/>
                <w:lang w:eastAsia="it-IT"/>
              </w:rPr>
            </w:pPr>
            <w:r w:rsidRPr="001D0128">
              <w:rPr>
                <w:rFonts w:cs="Arial"/>
                <w:color w:val="000000"/>
                <w:szCs w:val="22"/>
                <w:lang w:eastAsia="it-IT"/>
              </w:rPr>
              <w:t>1000,00</w:t>
            </w:r>
          </w:p>
        </w:tc>
        <w:tc>
          <w:tcPr>
            <w:tcW w:w="1244" w:type="dxa"/>
            <w:gridSpan w:val="2"/>
          </w:tcPr>
          <w:p w14:paraId="6C039DF6" w14:textId="21DF763A" w:rsidR="001D0128" w:rsidRPr="001D0128" w:rsidRDefault="001D0128" w:rsidP="001D0128">
            <w:pPr>
              <w:jc w:val="center"/>
              <w:rPr>
                <w:rFonts w:cs="Arial"/>
                <w:color w:val="000000"/>
                <w:szCs w:val="22"/>
                <w:lang w:eastAsia="it-IT"/>
              </w:rPr>
            </w:pPr>
          </w:p>
        </w:tc>
        <w:tc>
          <w:tcPr>
            <w:tcW w:w="1565" w:type="dxa"/>
          </w:tcPr>
          <w:p w14:paraId="65E9508E" w14:textId="2B158010" w:rsidR="001D0128" w:rsidRPr="001D0128" w:rsidRDefault="001D0128" w:rsidP="001D0128">
            <w:pPr>
              <w:jc w:val="center"/>
              <w:rPr>
                <w:rFonts w:cs="Arial"/>
                <w:b/>
                <w:color w:val="000000"/>
                <w:szCs w:val="22"/>
                <w:lang w:eastAsia="it-IT"/>
              </w:rPr>
            </w:pPr>
            <w:r w:rsidRPr="001D0128">
              <w:rPr>
                <w:rFonts w:cs="Arial"/>
                <w:b/>
                <w:color w:val="000000"/>
                <w:szCs w:val="22"/>
                <w:lang w:eastAsia="it-IT"/>
              </w:rPr>
              <w:t>1500,00</w:t>
            </w:r>
          </w:p>
        </w:tc>
      </w:tr>
      <w:tr w:rsidR="001D0128" w:rsidRPr="00C2587D" w14:paraId="35D9EF66" w14:textId="620BED85" w:rsidTr="001D0128">
        <w:trPr>
          <w:trHeight w:val="226"/>
          <w:jc w:val="right"/>
        </w:trPr>
        <w:tc>
          <w:tcPr>
            <w:tcW w:w="3425" w:type="dxa"/>
            <w:shd w:val="clear" w:color="auto" w:fill="FFFFFF"/>
            <w:vAlign w:val="center"/>
          </w:tcPr>
          <w:p w14:paraId="037BA90C" w14:textId="77777777" w:rsidR="001D0128" w:rsidRPr="001D0128" w:rsidRDefault="001D0128" w:rsidP="001D0128">
            <w:pPr>
              <w:rPr>
                <w:rFonts w:cs="Arial"/>
                <w:color w:val="000000"/>
                <w:szCs w:val="22"/>
              </w:rPr>
            </w:pPr>
            <w:r w:rsidRPr="001D0128">
              <w:rPr>
                <w:rFonts w:cs="Arial"/>
                <w:color w:val="000000"/>
                <w:szCs w:val="22"/>
              </w:rPr>
              <w:t>- інші джерела фінансування</w:t>
            </w:r>
          </w:p>
        </w:tc>
        <w:tc>
          <w:tcPr>
            <w:tcW w:w="1267" w:type="dxa"/>
            <w:gridSpan w:val="2"/>
            <w:vAlign w:val="center"/>
          </w:tcPr>
          <w:p w14:paraId="3A10E97B" w14:textId="0CABCD51" w:rsidR="001D0128" w:rsidRPr="001D0128" w:rsidRDefault="001D0128" w:rsidP="001D0128">
            <w:pPr>
              <w:jc w:val="both"/>
              <w:rPr>
                <w:rFonts w:cs="Arial"/>
                <w:color w:val="000000"/>
                <w:szCs w:val="22"/>
                <w:lang w:eastAsia="it-IT"/>
              </w:rPr>
            </w:pPr>
          </w:p>
        </w:tc>
        <w:tc>
          <w:tcPr>
            <w:tcW w:w="1290" w:type="dxa"/>
            <w:gridSpan w:val="2"/>
          </w:tcPr>
          <w:p w14:paraId="108B4332" w14:textId="24B354F0" w:rsidR="001D0128" w:rsidRPr="001D0128" w:rsidRDefault="001D0128" w:rsidP="001D0128">
            <w:pPr>
              <w:jc w:val="center"/>
              <w:rPr>
                <w:rFonts w:cs="Arial"/>
                <w:color w:val="000000"/>
                <w:szCs w:val="22"/>
                <w:lang w:eastAsia="it-IT"/>
              </w:rPr>
            </w:pPr>
          </w:p>
        </w:tc>
        <w:tc>
          <w:tcPr>
            <w:tcW w:w="1428" w:type="dxa"/>
            <w:gridSpan w:val="2"/>
          </w:tcPr>
          <w:p w14:paraId="4188270C" w14:textId="3CEF77A6" w:rsidR="001D0128" w:rsidRPr="001D0128" w:rsidRDefault="001D0128" w:rsidP="001D0128">
            <w:pPr>
              <w:jc w:val="center"/>
              <w:rPr>
                <w:rFonts w:cs="Arial"/>
                <w:color w:val="000000"/>
                <w:szCs w:val="22"/>
                <w:lang w:eastAsia="it-IT"/>
              </w:rPr>
            </w:pPr>
          </w:p>
        </w:tc>
        <w:tc>
          <w:tcPr>
            <w:tcW w:w="1244" w:type="dxa"/>
            <w:gridSpan w:val="2"/>
          </w:tcPr>
          <w:p w14:paraId="1EBA93B6" w14:textId="6F2B6B36" w:rsidR="001D0128" w:rsidRPr="001D0128" w:rsidRDefault="001D0128" w:rsidP="001D0128">
            <w:pPr>
              <w:jc w:val="center"/>
              <w:rPr>
                <w:rFonts w:cs="Arial"/>
                <w:color w:val="000000"/>
                <w:szCs w:val="22"/>
                <w:lang w:eastAsia="it-IT"/>
              </w:rPr>
            </w:pPr>
          </w:p>
        </w:tc>
        <w:tc>
          <w:tcPr>
            <w:tcW w:w="1565" w:type="dxa"/>
          </w:tcPr>
          <w:p w14:paraId="7EA3EAAB" w14:textId="77777777" w:rsidR="001D0128" w:rsidRPr="001D0128" w:rsidRDefault="001D0128" w:rsidP="001D0128">
            <w:pPr>
              <w:jc w:val="center"/>
              <w:rPr>
                <w:rFonts w:cs="Arial"/>
                <w:color w:val="000000"/>
                <w:szCs w:val="22"/>
                <w:lang w:eastAsia="it-IT"/>
              </w:rPr>
            </w:pPr>
          </w:p>
        </w:tc>
      </w:tr>
      <w:tr w:rsidR="00CB33C7" w:rsidRPr="00C2587D" w14:paraId="6F452B52" w14:textId="77777777" w:rsidTr="00EA6E27">
        <w:trPr>
          <w:jc w:val="right"/>
        </w:trPr>
        <w:tc>
          <w:tcPr>
            <w:tcW w:w="3425" w:type="dxa"/>
            <w:shd w:val="clear" w:color="auto" w:fill="FFFFFF"/>
            <w:vAlign w:val="center"/>
          </w:tcPr>
          <w:p w14:paraId="04C1DC1F" w14:textId="77777777" w:rsidR="00CB33C7" w:rsidRPr="001D0128" w:rsidRDefault="00CB33C7" w:rsidP="001D0128">
            <w:pPr>
              <w:rPr>
                <w:rFonts w:cs="Arial"/>
                <w:b/>
                <w:bCs/>
                <w:color w:val="000000"/>
                <w:szCs w:val="22"/>
              </w:rPr>
            </w:pPr>
            <w:r w:rsidRPr="001D0128">
              <w:rPr>
                <w:rFonts w:cs="Arial"/>
                <w:b/>
                <w:color w:val="000000"/>
                <w:szCs w:val="22"/>
              </w:rPr>
              <w:t>Відповідальний виконавець проєкту:</w:t>
            </w:r>
          </w:p>
        </w:tc>
        <w:tc>
          <w:tcPr>
            <w:tcW w:w="6794" w:type="dxa"/>
            <w:gridSpan w:val="9"/>
            <w:vAlign w:val="center"/>
          </w:tcPr>
          <w:p w14:paraId="1C26505B" w14:textId="77777777" w:rsidR="00CB33C7" w:rsidRPr="001D0128" w:rsidRDefault="00CB33C7" w:rsidP="001D0128">
            <w:pPr>
              <w:jc w:val="both"/>
              <w:rPr>
                <w:rFonts w:cs="Arial"/>
                <w:color w:val="000000"/>
                <w:szCs w:val="22"/>
                <w:lang w:eastAsia="it-IT"/>
              </w:rPr>
            </w:pPr>
            <w:r w:rsidRPr="001D0128">
              <w:rPr>
                <w:rFonts w:cs="Arial"/>
                <w:color w:val="000000"/>
                <w:szCs w:val="22"/>
                <w:lang w:eastAsia="it-IT"/>
              </w:rPr>
              <w:t>Управління ЖКГ</w:t>
            </w:r>
          </w:p>
          <w:p w14:paraId="04E5644A" w14:textId="77777777" w:rsidR="00CB33C7" w:rsidRPr="001D0128" w:rsidRDefault="00CB33C7" w:rsidP="001D0128">
            <w:pPr>
              <w:jc w:val="both"/>
              <w:rPr>
                <w:rFonts w:cs="Arial"/>
                <w:color w:val="000000"/>
                <w:szCs w:val="22"/>
                <w:lang w:eastAsia="it-IT"/>
              </w:rPr>
            </w:pPr>
            <w:r w:rsidRPr="001D0128">
              <w:rPr>
                <w:rFonts w:cs="Arial"/>
                <w:color w:val="000000"/>
                <w:szCs w:val="22"/>
                <w:lang w:eastAsia="it-IT"/>
              </w:rPr>
              <w:t xml:space="preserve">КП «Браїлів-комунсервіс» Жмеринської міської ради </w:t>
            </w:r>
          </w:p>
        </w:tc>
      </w:tr>
      <w:tr w:rsidR="00CB33C7" w:rsidRPr="00C2587D" w14:paraId="49711089" w14:textId="77777777" w:rsidTr="00EA6E27">
        <w:trPr>
          <w:jc w:val="right"/>
        </w:trPr>
        <w:tc>
          <w:tcPr>
            <w:tcW w:w="3425" w:type="dxa"/>
            <w:shd w:val="clear" w:color="auto" w:fill="FFFFFF"/>
            <w:vAlign w:val="center"/>
          </w:tcPr>
          <w:p w14:paraId="4B9BCAB8" w14:textId="77777777" w:rsidR="00CB33C7" w:rsidRPr="001D0128" w:rsidRDefault="00CB33C7" w:rsidP="001D0128">
            <w:pPr>
              <w:rPr>
                <w:rFonts w:cs="Arial"/>
                <w:b/>
                <w:bCs/>
                <w:color w:val="000000"/>
                <w:szCs w:val="22"/>
              </w:rPr>
            </w:pPr>
            <w:r w:rsidRPr="001D0128">
              <w:rPr>
                <w:rFonts w:cs="Arial"/>
                <w:b/>
                <w:bCs/>
                <w:color w:val="000000"/>
                <w:szCs w:val="22"/>
              </w:rPr>
              <w:t>Інше:</w:t>
            </w:r>
          </w:p>
        </w:tc>
        <w:tc>
          <w:tcPr>
            <w:tcW w:w="6794" w:type="dxa"/>
            <w:gridSpan w:val="9"/>
            <w:vAlign w:val="center"/>
          </w:tcPr>
          <w:p w14:paraId="12A7C659" w14:textId="77777777" w:rsidR="00CB33C7" w:rsidRPr="001D0128" w:rsidRDefault="00CB33C7" w:rsidP="001D0128">
            <w:pPr>
              <w:rPr>
                <w:rFonts w:cs="Arial"/>
                <w:color w:val="000000"/>
                <w:szCs w:val="22"/>
                <w:lang w:eastAsia="it-IT"/>
              </w:rPr>
            </w:pPr>
          </w:p>
        </w:tc>
      </w:tr>
    </w:tbl>
    <w:p w14:paraId="11942732" w14:textId="77777777" w:rsidR="00CB33C7" w:rsidRPr="00C2587D" w:rsidRDefault="00CB33C7" w:rsidP="00CB33C7"/>
    <w:p w14:paraId="590AF236" w14:textId="77777777" w:rsidR="00CB33C7" w:rsidRPr="00C2587D" w:rsidRDefault="00CB33C7" w:rsidP="00CB33C7">
      <w:pPr>
        <w:jc w:val="center"/>
        <w:rPr>
          <w:rFonts w:cs="Arial"/>
          <w:b/>
          <w:color w:val="000000"/>
          <w:szCs w:val="22"/>
        </w:rPr>
      </w:pPr>
    </w:p>
    <w:p w14:paraId="13FAEB6B" w14:textId="77777777" w:rsidR="00CB33C7" w:rsidRPr="00C2587D" w:rsidRDefault="00CB33C7" w:rsidP="00CB33C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1C262DA2" w14:textId="77777777" w:rsidR="00CB33C7" w:rsidRPr="00C2587D" w:rsidRDefault="00CB33C7" w:rsidP="00CB33C7">
      <w:pPr>
        <w:jc w:val="center"/>
        <w:rPr>
          <w:rFonts w:cs="Arial"/>
          <w:b/>
          <w:color w:val="000000"/>
          <w:szCs w:val="22"/>
        </w:rPr>
      </w:pPr>
      <w:r w:rsidRPr="00C2587D">
        <w:rPr>
          <w:rFonts w:cs="Arial"/>
          <w:b/>
          <w:color w:val="000000"/>
          <w:szCs w:val="22"/>
        </w:rPr>
        <w:t>до Плану заходів з реалізації Стратегії</w:t>
      </w:r>
    </w:p>
    <w:p w14:paraId="7FB15772" w14:textId="77777777" w:rsidR="00CB33C7" w:rsidRPr="00C2587D" w:rsidRDefault="00CB33C7" w:rsidP="00CB33C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13"/>
        <w:gridCol w:w="1256"/>
        <w:gridCol w:w="6"/>
        <w:gridCol w:w="1399"/>
        <w:gridCol w:w="19"/>
        <w:gridCol w:w="1276"/>
        <w:gridCol w:w="7"/>
        <w:gridCol w:w="1564"/>
      </w:tblGrid>
      <w:tr w:rsidR="00CB33C7" w:rsidRPr="00C2587D" w14:paraId="31619744" w14:textId="77777777" w:rsidTr="00EA6E27">
        <w:trPr>
          <w:jc w:val="right"/>
        </w:trPr>
        <w:tc>
          <w:tcPr>
            <w:tcW w:w="3425" w:type="dxa"/>
            <w:vAlign w:val="center"/>
          </w:tcPr>
          <w:p w14:paraId="5174A813" w14:textId="77777777" w:rsidR="00CB33C7" w:rsidRPr="001D0128" w:rsidRDefault="00CB33C7" w:rsidP="00337AD5">
            <w:pPr>
              <w:rPr>
                <w:rFonts w:cs="Arial"/>
                <w:b/>
                <w:bCs/>
                <w:color w:val="000000"/>
                <w:szCs w:val="22"/>
              </w:rPr>
            </w:pPr>
            <w:r w:rsidRPr="001D0128">
              <w:rPr>
                <w:rFonts w:cs="Arial"/>
                <w:b/>
                <w:bCs/>
                <w:color w:val="000000"/>
                <w:szCs w:val="22"/>
              </w:rPr>
              <w:t>Назва проєкту:</w:t>
            </w:r>
          </w:p>
        </w:tc>
        <w:tc>
          <w:tcPr>
            <w:tcW w:w="6794" w:type="dxa"/>
            <w:gridSpan w:val="9"/>
          </w:tcPr>
          <w:p w14:paraId="0360BDE4" w14:textId="77777777" w:rsidR="00CB33C7" w:rsidRPr="001D0128" w:rsidRDefault="00CB33C7" w:rsidP="00337AD5">
            <w:pPr>
              <w:rPr>
                <w:rFonts w:cs="Arial"/>
                <w:b/>
                <w:szCs w:val="22"/>
                <w:lang w:eastAsia="it-IT"/>
              </w:rPr>
            </w:pPr>
            <w:r w:rsidRPr="001D0128">
              <w:rPr>
                <w:rFonts w:cs="Arial"/>
                <w:b/>
                <w:szCs w:val="22"/>
                <w:lang w:eastAsia="it-IT"/>
              </w:rPr>
              <w:t>Реконструкція мереж водовідведення в селі Мартинівка, Жмеринського району, Вінницької області</w:t>
            </w:r>
          </w:p>
        </w:tc>
      </w:tr>
      <w:tr w:rsidR="00CB33C7" w:rsidRPr="00C2587D" w14:paraId="12F758FA" w14:textId="77777777" w:rsidTr="00EA6E27">
        <w:trPr>
          <w:jc w:val="right"/>
        </w:trPr>
        <w:tc>
          <w:tcPr>
            <w:tcW w:w="3425" w:type="dxa"/>
          </w:tcPr>
          <w:p w14:paraId="07F4D177" w14:textId="77777777" w:rsidR="00CB33C7" w:rsidRPr="001D0128" w:rsidRDefault="00CB33C7" w:rsidP="00337AD5">
            <w:pPr>
              <w:rPr>
                <w:rFonts w:cs="Arial"/>
                <w:szCs w:val="22"/>
                <w:lang w:eastAsia="it-IT"/>
              </w:rPr>
            </w:pPr>
            <w:r w:rsidRPr="001D0128">
              <w:rPr>
                <w:rFonts w:cs="Arial"/>
                <w:b/>
                <w:bCs/>
                <w:szCs w:val="22"/>
              </w:rPr>
              <w:t>Ваші контакти</w:t>
            </w:r>
            <w:r w:rsidRPr="001D0128">
              <w:rPr>
                <w:rFonts w:cs="Arial"/>
                <w:szCs w:val="22"/>
                <w:lang w:eastAsia="it-IT"/>
              </w:rPr>
              <w:t>:</w:t>
            </w:r>
          </w:p>
          <w:p w14:paraId="561479D4" w14:textId="77777777" w:rsidR="00CB33C7" w:rsidRPr="001D0128" w:rsidRDefault="00CB33C7" w:rsidP="00337AD5">
            <w:pPr>
              <w:rPr>
                <w:rFonts w:cs="Arial"/>
                <w:b/>
                <w:bCs/>
                <w:szCs w:val="22"/>
              </w:rPr>
            </w:pPr>
            <w:r w:rsidRPr="001D0128">
              <w:rPr>
                <w:rFonts w:cs="Arial"/>
                <w:szCs w:val="22"/>
                <w:lang w:eastAsia="it-IT"/>
              </w:rPr>
              <w:t>Назва установи, організації, підприємства</w:t>
            </w:r>
          </w:p>
        </w:tc>
        <w:tc>
          <w:tcPr>
            <w:tcW w:w="6794" w:type="dxa"/>
            <w:gridSpan w:val="9"/>
          </w:tcPr>
          <w:p w14:paraId="6A928B50" w14:textId="77777777" w:rsidR="00CB33C7" w:rsidRPr="001D0128" w:rsidRDefault="00CB33C7" w:rsidP="00667673">
            <w:pPr>
              <w:jc w:val="both"/>
              <w:rPr>
                <w:rFonts w:cs="Arial"/>
                <w:szCs w:val="22"/>
                <w:lang w:eastAsia="it-IT"/>
              </w:rPr>
            </w:pPr>
            <w:r w:rsidRPr="001D0128">
              <w:rPr>
                <w:rFonts w:cs="Arial"/>
                <w:szCs w:val="22"/>
                <w:lang w:eastAsia="it-IT"/>
              </w:rPr>
              <w:t>КП «Браїлів-комунсервіс» Жмеринської міської ради</w:t>
            </w:r>
          </w:p>
        </w:tc>
      </w:tr>
      <w:tr w:rsidR="00CB33C7" w:rsidRPr="00C2587D" w14:paraId="18BC396E" w14:textId="77777777" w:rsidTr="00EA6E27">
        <w:trPr>
          <w:jc w:val="right"/>
        </w:trPr>
        <w:tc>
          <w:tcPr>
            <w:tcW w:w="3425" w:type="dxa"/>
          </w:tcPr>
          <w:p w14:paraId="361D2B4A" w14:textId="77777777" w:rsidR="00CB33C7" w:rsidRPr="001D0128" w:rsidRDefault="00CB33C7" w:rsidP="00337AD5">
            <w:pPr>
              <w:rPr>
                <w:rFonts w:cs="Arial"/>
                <w:b/>
                <w:bCs/>
                <w:szCs w:val="22"/>
              </w:rPr>
            </w:pPr>
            <w:r w:rsidRPr="001D0128">
              <w:rPr>
                <w:rFonts w:cs="Arial"/>
                <w:szCs w:val="22"/>
                <w:lang w:eastAsia="it-IT"/>
              </w:rPr>
              <w:t>Прізвище Ім’я По-батькові:</w:t>
            </w:r>
          </w:p>
        </w:tc>
        <w:tc>
          <w:tcPr>
            <w:tcW w:w="6794" w:type="dxa"/>
            <w:gridSpan w:val="9"/>
          </w:tcPr>
          <w:p w14:paraId="18127FC4" w14:textId="77777777" w:rsidR="00CB33C7" w:rsidRPr="001D0128" w:rsidRDefault="00CB33C7" w:rsidP="00337AD5">
            <w:pPr>
              <w:rPr>
                <w:rFonts w:cs="Arial"/>
                <w:szCs w:val="22"/>
                <w:lang w:eastAsia="it-IT"/>
              </w:rPr>
            </w:pPr>
            <w:r w:rsidRPr="001D0128">
              <w:rPr>
                <w:rFonts w:cs="Arial"/>
                <w:szCs w:val="22"/>
                <w:lang w:eastAsia="it-IT"/>
              </w:rPr>
              <w:t>Резедент Валерій Дмитрович</w:t>
            </w:r>
          </w:p>
        </w:tc>
      </w:tr>
      <w:tr w:rsidR="00CB33C7" w:rsidRPr="00C2587D" w14:paraId="671BE223" w14:textId="77777777" w:rsidTr="00EA6E27">
        <w:trPr>
          <w:jc w:val="right"/>
        </w:trPr>
        <w:tc>
          <w:tcPr>
            <w:tcW w:w="3425" w:type="dxa"/>
          </w:tcPr>
          <w:p w14:paraId="07F3DF6C" w14:textId="77777777" w:rsidR="00CB33C7" w:rsidRPr="001D0128" w:rsidRDefault="00CB33C7" w:rsidP="00337AD5">
            <w:pPr>
              <w:rPr>
                <w:rFonts w:cs="Arial"/>
                <w:b/>
                <w:bCs/>
                <w:szCs w:val="22"/>
              </w:rPr>
            </w:pPr>
            <w:r w:rsidRPr="001D0128">
              <w:rPr>
                <w:rFonts w:cs="Arial"/>
                <w:szCs w:val="22"/>
                <w:lang w:eastAsia="it-IT"/>
              </w:rPr>
              <w:t>Телефон (мобільний):</w:t>
            </w:r>
          </w:p>
        </w:tc>
        <w:tc>
          <w:tcPr>
            <w:tcW w:w="6794" w:type="dxa"/>
            <w:gridSpan w:val="9"/>
          </w:tcPr>
          <w:p w14:paraId="31CED706" w14:textId="77777777" w:rsidR="00CB33C7" w:rsidRPr="001D0128" w:rsidRDefault="00CB33C7" w:rsidP="00337AD5">
            <w:pPr>
              <w:rPr>
                <w:rFonts w:cs="Arial"/>
                <w:szCs w:val="22"/>
                <w:lang w:eastAsia="it-IT"/>
              </w:rPr>
            </w:pPr>
            <w:r w:rsidRPr="001D0128">
              <w:rPr>
                <w:rFonts w:cs="Arial"/>
                <w:szCs w:val="22"/>
                <w:lang w:eastAsia="it-IT"/>
              </w:rPr>
              <w:t>0674041516</w:t>
            </w:r>
          </w:p>
        </w:tc>
      </w:tr>
      <w:tr w:rsidR="00CB33C7" w:rsidRPr="00C2587D" w14:paraId="17452DF7" w14:textId="77777777" w:rsidTr="00EA6E27">
        <w:trPr>
          <w:jc w:val="right"/>
        </w:trPr>
        <w:tc>
          <w:tcPr>
            <w:tcW w:w="3425" w:type="dxa"/>
          </w:tcPr>
          <w:p w14:paraId="33BF3434" w14:textId="77777777" w:rsidR="00CB33C7" w:rsidRPr="001D0128" w:rsidRDefault="00CB33C7" w:rsidP="00337AD5">
            <w:pPr>
              <w:rPr>
                <w:rFonts w:cs="Arial"/>
                <w:b/>
                <w:bCs/>
                <w:szCs w:val="22"/>
              </w:rPr>
            </w:pPr>
            <w:r w:rsidRPr="001D0128">
              <w:rPr>
                <w:rFonts w:cs="Arial"/>
                <w:szCs w:val="22"/>
                <w:lang w:eastAsia="it-IT"/>
              </w:rPr>
              <w:t>Електронна адреса:</w:t>
            </w:r>
          </w:p>
        </w:tc>
        <w:tc>
          <w:tcPr>
            <w:tcW w:w="6794" w:type="dxa"/>
            <w:gridSpan w:val="9"/>
          </w:tcPr>
          <w:p w14:paraId="4942806A" w14:textId="32D7150E" w:rsidR="00CB33C7" w:rsidRPr="001D0128" w:rsidRDefault="00D85FFD" w:rsidP="00337AD5">
            <w:pPr>
              <w:rPr>
                <w:rFonts w:cs="Arial"/>
                <w:szCs w:val="22"/>
                <w:lang w:eastAsia="it-IT"/>
              </w:rPr>
            </w:pPr>
            <w:hyperlink r:id="rId75" w:history="1">
              <w:r w:rsidR="0078452E" w:rsidRPr="000067E4">
                <w:rPr>
                  <w:rStyle w:val="af0"/>
                  <w:rFonts w:cs="Arial"/>
                  <w:noProof w:val="0"/>
                  <w:sz w:val="22"/>
                  <w:szCs w:val="22"/>
                  <w:lang w:eastAsia="it-IT"/>
                </w:rPr>
                <w:t>brailivks@gmail.com</w:t>
              </w:r>
            </w:hyperlink>
            <w:r w:rsidR="0078452E">
              <w:rPr>
                <w:rFonts w:cs="Arial"/>
                <w:szCs w:val="22"/>
                <w:lang w:eastAsia="it-IT"/>
              </w:rPr>
              <w:t xml:space="preserve"> </w:t>
            </w:r>
          </w:p>
        </w:tc>
      </w:tr>
      <w:tr w:rsidR="00CB33C7" w:rsidRPr="00C2587D" w14:paraId="51CBCA68" w14:textId="77777777" w:rsidTr="00EA6E27">
        <w:trPr>
          <w:jc w:val="right"/>
        </w:trPr>
        <w:tc>
          <w:tcPr>
            <w:tcW w:w="3425" w:type="dxa"/>
            <w:vAlign w:val="center"/>
          </w:tcPr>
          <w:p w14:paraId="54010CD5" w14:textId="77777777" w:rsidR="00CB33C7" w:rsidRPr="001D0128" w:rsidRDefault="00CB33C7" w:rsidP="00337AD5">
            <w:pPr>
              <w:pStyle w:val="6"/>
              <w:spacing w:before="0" w:after="0"/>
              <w:rPr>
                <w:rFonts w:ascii="Arial" w:hAnsi="Arial" w:cs="Arial"/>
                <w:color w:val="000000"/>
                <w:lang w:val="uk-UA"/>
              </w:rPr>
            </w:pPr>
            <w:r w:rsidRPr="001D0128">
              <w:rPr>
                <w:rFonts w:ascii="Arial" w:hAnsi="Arial" w:cs="Arial"/>
                <w:color w:val="000000"/>
                <w:lang w:val="uk-UA"/>
              </w:rPr>
              <w:t>Номер і назва завдання з Стратегії</w:t>
            </w:r>
            <w:r w:rsidRPr="001D0128">
              <w:rPr>
                <w:rFonts w:ascii="Arial" w:hAnsi="Arial" w:cs="Arial"/>
                <w:lang w:val="uk-UA" w:eastAsia="it-IT"/>
              </w:rPr>
              <w:t xml:space="preserve"> </w:t>
            </w:r>
            <w:r w:rsidRPr="001D0128">
              <w:rPr>
                <w:rFonts w:ascii="Arial" w:hAnsi="Arial" w:cs="Arial"/>
                <w:color w:val="000000"/>
                <w:lang w:val="uk-UA"/>
              </w:rPr>
              <w:t>розвитку Жмеринської міської територіальної громади,  якому відповідає проєкт:</w:t>
            </w:r>
          </w:p>
        </w:tc>
        <w:tc>
          <w:tcPr>
            <w:tcW w:w="6794" w:type="dxa"/>
            <w:gridSpan w:val="9"/>
          </w:tcPr>
          <w:p w14:paraId="475638BF" w14:textId="77777777" w:rsidR="00CB33C7" w:rsidRPr="001D0128" w:rsidRDefault="00CB33C7" w:rsidP="00667673">
            <w:pPr>
              <w:pBdr>
                <w:left w:val="single" w:sz="18" w:space="4" w:color="auto"/>
              </w:pBdr>
              <w:jc w:val="both"/>
              <w:rPr>
                <w:rFonts w:cs="Arial"/>
                <w:szCs w:val="22"/>
                <w:lang w:eastAsia="it-IT"/>
              </w:rPr>
            </w:pPr>
            <w:r w:rsidRPr="001D0128">
              <w:rPr>
                <w:rFonts w:cs="Arial"/>
                <w:szCs w:val="22"/>
                <w:lang w:eastAsia="it-IT"/>
              </w:rPr>
              <w:t>В.1.3.1.Будівництво нових, реконструкція, капітальний ремонт, модернізація мереж централізованої системи водопостачання, водовідведення та каналізація.</w:t>
            </w:r>
          </w:p>
        </w:tc>
      </w:tr>
      <w:tr w:rsidR="00CB33C7" w:rsidRPr="00C2587D" w14:paraId="294B1F48" w14:textId="77777777" w:rsidTr="00EA6E27">
        <w:trPr>
          <w:jc w:val="right"/>
        </w:trPr>
        <w:tc>
          <w:tcPr>
            <w:tcW w:w="3425" w:type="dxa"/>
            <w:vAlign w:val="center"/>
          </w:tcPr>
          <w:p w14:paraId="1220DB84" w14:textId="77777777" w:rsidR="00CB33C7" w:rsidRPr="001D0128" w:rsidRDefault="00CB33C7" w:rsidP="00337AD5">
            <w:pPr>
              <w:rPr>
                <w:rFonts w:cs="Arial"/>
                <w:b/>
                <w:bCs/>
                <w:color w:val="000000"/>
                <w:szCs w:val="22"/>
              </w:rPr>
            </w:pPr>
            <w:r w:rsidRPr="001D0128">
              <w:rPr>
                <w:rFonts w:cs="Arial"/>
                <w:b/>
                <w:bCs/>
                <w:color w:val="000000"/>
                <w:szCs w:val="22"/>
              </w:rPr>
              <w:t>Мета проєкту:</w:t>
            </w:r>
          </w:p>
        </w:tc>
        <w:tc>
          <w:tcPr>
            <w:tcW w:w="6794" w:type="dxa"/>
            <w:gridSpan w:val="9"/>
          </w:tcPr>
          <w:p w14:paraId="1192015E" w14:textId="77777777" w:rsidR="00CB33C7" w:rsidRPr="001D0128" w:rsidRDefault="00CB33C7" w:rsidP="00667673">
            <w:pPr>
              <w:jc w:val="both"/>
              <w:rPr>
                <w:rFonts w:cs="Arial"/>
                <w:szCs w:val="22"/>
                <w:lang w:eastAsia="it-IT"/>
              </w:rPr>
            </w:pPr>
            <w:r w:rsidRPr="001D0128">
              <w:rPr>
                <w:rFonts w:cs="Arial"/>
                <w:szCs w:val="22"/>
                <w:lang w:eastAsia="it-IT"/>
              </w:rPr>
              <w:t>Надання мешканцям села Мартинівка якісних послух з водовідведення, шляхом реконструкції мереж водовідведення.</w:t>
            </w:r>
          </w:p>
        </w:tc>
      </w:tr>
      <w:tr w:rsidR="00CB33C7" w:rsidRPr="00C2587D" w14:paraId="6D7B48DA" w14:textId="77777777" w:rsidTr="00EA6E27">
        <w:trPr>
          <w:jc w:val="right"/>
        </w:trPr>
        <w:tc>
          <w:tcPr>
            <w:tcW w:w="3425" w:type="dxa"/>
            <w:vAlign w:val="center"/>
          </w:tcPr>
          <w:p w14:paraId="41FBE679" w14:textId="77777777" w:rsidR="00CB33C7" w:rsidRPr="001D0128" w:rsidRDefault="00CB33C7" w:rsidP="00337AD5">
            <w:pPr>
              <w:rPr>
                <w:rFonts w:cs="Arial"/>
                <w:b/>
                <w:bCs/>
                <w:color w:val="000000"/>
                <w:szCs w:val="22"/>
              </w:rPr>
            </w:pPr>
            <w:r w:rsidRPr="001D0128">
              <w:rPr>
                <w:rFonts w:cs="Arial"/>
                <w:b/>
                <w:bCs/>
                <w:color w:val="000000"/>
                <w:szCs w:val="22"/>
              </w:rPr>
              <w:t>Цілі проєкту:</w:t>
            </w:r>
          </w:p>
        </w:tc>
        <w:tc>
          <w:tcPr>
            <w:tcW w:w="6794" w:type="dxa"/>
            <w:gridSpan w:val="9"/>
          </w:tcPr>
          <w:p w14:paraId="77C57736" w14:textId="77777777" w:rsidR="00CB33C7" w:rsidRPr="001D0128" w:rsidRDefault="00CB33C7" w:rsidP="00667673">
            <w:pPr>
              <w:jc w:val="both"/>
              <w:rPr>
                <w:rFonts w:cs="Arial"/>
                <w:szCs w:val="22"/>
                <w:lang w:eastAsia="it-IT"/>
              </w:rPr>
            </w:pPr>
            <w:r w:rsidRPr="001D0128">
              <w:rPr>
                <w:rFonts w:cs="Arial"/>
                <w:szCs w:val="22"/>
                <w:lang w:eastAsia="it-IT"/>
              </w:rPr>
              <w:t xml:space="preserve">Зменшення забруднення ґрунтів. Покращення стану навколишнього природного середовища. </w:t>
            </w:r>
          </w:p>
        </w:tc>
      </w:tr>
      <w:tr w:rsidR="00CB33C7" w:rsidRPr="00C2587D" w14:paraId="1349F264" w14:textId="77777777" w:rsidTr="00EA6E27">
        <w:trPr>
          <w:jc w:val="right"/>
        </w:trPr>
        <w:tc>
          <w:tcPr>
            <w:tcW w:w="3425" w:type="dxa"/>
            <w:vAlign w:val="center"/>
          </w:tcPr>
          <w:p w14:paraId="2DA6C550" w14:textId="77777777" w:rsidR="00CB33C7" w:rsidRPr="001D0128" w:rsidRDefault="00CB33C7" w:rsidP="00337AD5">
            <w:pPr>
              <w:autoSpaceDE w:val="0"/>
              <w:autoSpaceDN w:val="0"/>
              <w:adjustRightInd w:val="0"/>
              <w:rPr>
                <w:rFonts w:cs="Arial"/>
                <w:b/>
                <w:color w:val="000000"/>
                <w:szCs w:val="22"/>
              </w:rPr>
            </w:pPr>
            <w:r w:rsidRPr="001D0128">
              <w:rPr>
                <w:rFonts w:cs="Arial"/>
                <w:b/>
                <w:color w:val="000000"/>
                <w:szCs w:val="22"/>
              </w:rPr>
              <w:t>Територія на яку проєкт матиме вплив:</w:t>
            </w:r>
          </w:p>
        </w:tc>
        <w:tc>
          <w:tcPr>
            <w:tcW w:w="6794" w:type="dxa"/>
            <w:gridSpan w:val="9"/>
          </w:tcPr>
          <w:p w14:paraId="71EC5A1D" w14:textId="77777777" w:rsidR="00CB33C7" w:rsidRPr="001D0128" w:rsidRDefault="00CB33C7" w:rsidP="00667673">
            <w:pPr>
              <w:jc w:val="both"/>
              <w:rPr>
                <w:rFonts w:cs="Arial"/>
                <w:szCs w:val="22"/>
                <w:lang w:eastAsia="it-IT"/>
              </w:rPr>
            </w:pPr>
            <w:r w:rsidRPr="001D0128">
              <w:rPr>
                <w:rFonts w:cs="Arial"/>
                <w:szCs w:val="22"/>
                <w:lang w:eastAsia="it-IT"/>
              </w:rPr>
              <w:t xml:space="preserve">Село Мартинівка Жмеринської МТГ </w:t>
            </w:r>
          </w:p>
        </w:tc>
      </w:tr>
      <w:tr w:rsidR="00CB33C7" w:rsidRPr="00C2587D" w14:paraId="71751B2C" w14:textId="77777777" w:rsidTr="00EA6E27">
        <w:trPr>
          <w:jc w:val="right"/>
        </w:trPr>
        <w:tc>
          <w:tcPr>
            <w:tcW w:w="3425" w:type="dxa"/>
            <w:vAlign w:val="center"/>
          </w:tcPr>
          <w:p w14:paraId="16E49084" w14:textId="77777777" w:rsidR="00CB33C7" w:rsidRPr="001D0128" w:rsidRDefault="00CB33C7" w:rsidP="00337AD5">
            <w:pPr>
              <w:autoSpaceDE w:val="0"/>
              <w:autoSpaceDN w:val="0"/>
              <w:adjustRightInd w:val="0"/>
              <w:rPr>
                <w:rFonts w:cs="Arial"/>
                <w:b/>
                <w:color w:val="000000"/>
                <w:szCs w:val="22"/>
              </w:rPr>
            </w:pPr>
            <w:r w:rsidRPr="001D0128">
              <w:rPr>
                <w:rFonts w:cs="Arial"/>
                <w:b/>
                <w:color w:val="000000"/>
                <w:szCs w:val="22"/>
              </w:rPr>
              <w:t>Цільові групи проєкту та кількість отримувачів вигоди</w:t>
            </w:r>
          </w:p>
        </w:tc>
        <w:tc>
          <w:tcPr>
            <w:tcW w:w="6794" w:type="dxa"/>
            <w:gridSpan w:val="9"/>
          </w:tcPr>
          <w:p w14:paraId="5988D58B" w14:textId="77777777" w:rsidR="00CB33C7" w:rsidRPr="001D0128" w:rsidRDefault="00CB33C7" w:rsidP="00667673">
            <w:pPr>
              <w:jc w:val="both"/>
              <w:rPr>
                <w:rFonts w:cs="Arial"/>
                <w:szCs w:val="22"/>
                <w:lang w:eastAsia="it-IT"/>
              </w:rPr>
            </w:pPr>
            <w:r w:rsidRPr="001D0128">
              <w:rPr>
                <w:rFonts w:cs="Arial"/>
                <w:szCs w:val="22"/>
                <w:lang w:eastAsia="it-IT"/>
              </w:rPr>
              <w:t>1 тис. чол., мешканці села Мартинівка, підприємства, діти, люди літнього віку та ін.</w:t>
            </w:r>
          </w:p>
        </w:tc>
      </w:tr>
      <w:tr w:rsidR="00CB33C7" w:rsidRPr="00C2587D" w14:paraId="17165A37" w14:textId="77777777" w:rsidTr="00EA6E27">
        <w:trPr>
          <w:jc w:val="right"/>
        </w:trPr>
        <w:tc>
          <w:tcPr>
            <w:tcW w:w="3425" w:type="dxa"/>
            <w:shd w:val="clear" w:color="auto" w:fill="FFFFFF"/>
            <w:vAlign w:val="center"/>
          </w:tcPr>
          <w:p w14:paraId="34A0537B" w14:textId="77777777" w:rsidR="00CB33C7" w:rsidRPr="001D0128" w:rsidRDefault="00CB33C7" w:rsidP="00337AD5">
            <w:pPr>
              <w:rPr>
                <w:rFonts w:cs="Arial"/>
                <w:b/>
                <w:bCs/>
                <w:color w:val="000000"/>
                <w:szCs w:val="22"/>
              </w:rPr>
            </w:pPr>
            <w:r w:rsidRPr="001D0128">
              <w:rPr>
                <w:rFonts w:cs="Arial"/>
                <w:b/>
                <w:bCs/>
                <w:color w:val="000000"/>
                <w:szCs w:val="22"/>
              </w:rPr>
              <w:t>Стислий опис проєкту:</w:t>
            </w:r>
          </w:p>
        </w:tc>
        <w:tc>
          <w:tcPr>
            <w:tcW w:w="6794" w:type="dxa"/>
            <w:gridSpan w:val="9"/>
          </w:tcPr>
          <w:p w14:paraId="05AF7020" w14:textId="3ACE4B5E" w:rsidR="00CB33C7" w:rsidRPr="001D0128" w:rsidRDefault="00CB33C7" w:rsidP="00667673">
            <w:pPr>
              <w:jc w:val="both"/>
              <w:rPr>
                <w:rFonts w:cs="Arial"/>
                <w:szCs w:val="22"/>
                <w:lang w:eastAsia="it-IT"/>
              </w:rPr>
            </w:pPr>
            <w:r w:rsidRPr="001D0128">
              <w:rPr>
                <w:rFonts w:cs="Arial"/>
                <w:szCs w:val="22"/>
                <w:lang w:eastAsia="it-IT"/>
              </w:rPr>
              <w:t xml:space="preserve">Село Мартинівка має систему централізованого водовідведення побудовану в середині 80-х років, яка знаходиться у вкрай не задовільному стані. Через зношеність та переломи труб на мережі водовідведення відбуваються часті засмічення каналізаційних мереж, що призводить до витоку каналізаційних стоків в </w:t>
            </w:r>
            <w:r w:rsidR="0078452E" w:rsidRPr="001D0128">
              <w:rPr>
                <w:rFonts w:cs="Arial"/>
                <w:szCs w:val="22"/>
                <w:lang w:eastAsia="it-IT"/>
              </w:rPr>
              <w:t>грунти</w:t>
            </w:r>
            <w:r w:rsidRPr="001D0128">
              <w:rPr>
                <w:rFonts w:cs="Arial"/>
                <w:szCs w:val="22"/>
                <w:lang w:eastAsia="it-IT"/>
              </w:rPr>
              <w:t xml:space="preserve"> та річки.</w:t>
            </w:r>
          </w:p>
          <w:p w14:paraId="366D3851" w14:textId="4EDAAEAC" w:rsidR="00CB33C7" w:rsidRPr="001D0128" w:rsidRDefault="00CB33C7" w:rsidP="00667673">
            <w:pPr>
              <w:jc w:val="both"/>
              <w:rPr>
                <w:rFonts w:cs="Arial"/>
                <w:szCs w:val="22"/>
                <w:lang w:eastAsia="it-IT"/>
              </w:rPr>
            </w:pPr>
            <w:r w:rsidRPr="001D0128">
              <w:rPr>
                <w:rFonts w:cs="Arial"/>
                <w:szCs w:val="22"/>
                <w:lang w:eastAsia="it-IT"/>
              </w:rPr>
              <w:t xml:space="preserve">Реконструкція мереж водовідведення в село Мартиніка забезпечить його мешканців якісною послугою з водовідведення, ліквідує ризики забруднення </w:t>
            </w:r>
            <w:r w:rsidR="00667673" w:rsidRPr="001D0128">
              <w:rPr>
                <w:rFonts w:cs="Arial"/>
                <w:szCs w:val="22"/>
                <w:lang w:eastAsia="it-IT"/>
              </w:rPr>
              <w:t>ґрунтів</w:t>
            </w:r>
            <w:r w:rsidRPr="001D0128">
              <w:rPr>
                <w:rFonts w:cs="Arial"/>
                <w:szCs w:val="22"/>
                <w:lang w:eastAsia="it-IT"/>
              </w:rPr>
              <w:t xml:space="preserve"> та водоймищ, забезпечить очистку каналізаційних стоків на очисних спорудах каналізації.</w:t>
            </w:r>
          </w:p>
        </w:tc>
      </w:tr>
      <w:tr w:rsidR="00CB33C7" w:rsidRPr="00C2587D" w14:paraId="063C14C9" w14:textId="77777777" w:rsidTr="00EA6E27">
        <w:trPr>
          <w:jc w:val="right"/>
        </w:trPr>
        <w:tc>
          <w:tcPr>
            <w:tcW w:w="3425" w:type="dxa"/>
            <w:shd w:val="clear" w:color="auto" w:fill="FFFFFF"/>
            <w:vAlign w:val="center"/>
          </w:tcPr>
          <w:p w14:paraId="4F8F9AD7" w14:textId="77777777" w:rsidR="00CB33C7" w:rsidRPr="001D0128" w:rsidRDefault="00CB33C7" w:rsidP="00337AD5">
            <w:pPr>
              <w:rPr>
                <w:rFonts w:cs="Arial"/>
                <w:b/>
                <w:bCs/>
                <w:color w:val="000000"/>
                <w:szCs w:val="22"/>
              </w:rPr>
            </w:pPr>
            <w:r w:rsidRPr="001D0128">
              <w:rPr>
                <w:rFonts w:cs="Arial"/>
                <w:b/>
                <w:bCs/>
                <w:color w:val="000000"/>
                <w:szCs w:val="22"/>
              </w:rPr>
              <w:t>Основні заходи проєкту:</w:t>
            </w:r>
          </w:p>
        </w:tc>
        <w:tc>
          <w:tcPr>
            <w:tcW w:w="6794" w:type="dxa"/>
            <w:gridSpan w:val="9"/>
          </w:tcPr>
          <w:p w14:paraId="55D5CD91" w14:textId="2E84C026" w:rsidR="00CB33C7" w:rsidRPr="001D0128" w:rsidRDefault="00CB33C7" w:rsidP="00667673">
            <w:pPr>
              <w:jc w:val="both"/>
              <w:rPr>
                <w:rFonts w:cs="Arial"/>
                <w:szCs w:val="22"/>
                <w:lang w:eastAsia="it-IT"/>
              </w:rPr>
            </w:pPr>
            <w:r w:rsidRPr="001D0128">
              <w:rPr>
                <w:rFonts w:cs="Arial"/>
                <w:szCs w:val="22"/>
                <w:lang w:eastAsia="it-IT"/>
              </w:rPr>
              <w:t>Розробка ПКД. Проведення експертизи ПКД. Проведення процедури відкритих торгів з метою визначення виконавця робіт. Отримання дозволу на виконання  будівельних робіт. Виконання робіт по реконструкцій мереж водовідведення. Введення в експлуатацію  об’єкта після виконання робіт.</w:t>
            </w:r>
          </w:p>
        </w:tc>
      </w:tr>
      <w:tr w:rsidR="00CB33C7" w:rsidRPr="00C2587D" w14:paraId="739F02D8" w14:textId="77777777" w:rsidTr="00EA6E27">
        <w:trPr>
          <w:jc w:val="right"/>
        </w:trPr>
        <w:tc>
          <w:tcPr>
            <w:tcW w:w="3425" w:type="dxa"/>
            <w:shd w:val="clear" w:color="auto" w:fill="FFFFFF"/>
            <w:vAlign w:val="center"/>
          </w:tcPr>
          <w:p w14:paraId="49F62614" w14:textId="77777777" w:rsidR="00CB33C7" w:rsidRPr="001D0128" w:rsidRDefault="00CB33C7" w:rsidP="00337AD5">
            <w:pPr>
              <w:rPr>
                <w:rFonts w:cs="Arial"/>
                <w:b/>
                <w:bCs/>
                <w:color w:val="000000"/>
                <w:szCs w:val="22"/>
              </w:rPr>
            </w:pPr>
            <w:r w:rsidRPr="001D0128">
              <w:rPr>
                <w:rFonts w:cs="Arial"/>
                <w:b/>
                <w:bCs/>
                <w:color w:val="000000"/>
                <w:szCs w:val="22"/>
              </w:rPr>
              <w:t>Індикатори (показники) результативності:</w:t>
            </w:r>
          </w:p>
        </w:tc>
        <w:tc>
          <w:tcPr>
            <w:tcW w:w="6794" w:type="dxa"/>
            <w:gridSpan w:val="9"/>
          </w:tcPr>
          <w:p w14:paraId="031FBCEA" w14:textId="134FF928" w:rsidR="00CB33C7" w:rsidRPr="001D0128" w:rsidRDefault="00CB33C7" w:rsidP="00667673">
            <w:pPr>
              <w:jc w:val="both"/>
              <w:rPr>
                <w:rFonts w:cs="Arial"/>
                <w:szCs w:val="22"/>
                <w:lang w:eastAsia="it-IT"/>
              </w:rPr>
            </w:pPr>
            <w:r w:rsidRPr="001D0128">
              <w:rPr>
                <w:rFonts w:cs="Arial"/>
                <w:szCs w:val="22"/>
                <w:lang w:eastAsia="it-IT"/>
              </w:rPr>
              <w:t>Реконструкція мереж водовідведення орієнтовною довжиною 3 км. Ліквідація ризику неочищених стічних вод у ґрунт, підземні та наземні води, ліси</w:t>
            </w:r>
            <w:r w:rsidR="0078452E">
              <w:rPr>
                <w:rFonts w:cs="Arial"/>
                <w:szCs w:val="22"/>
                <w:lang w:eastAsia="it-IT"/>
              </w:rPr>
              <w:t xml:space="preserve"> тощо</w:t>
            </w:r>
            <w:r w:rsidRPr="001D0128">
              <w:rPr>
                <w:rFonts w:cs="Arial"/>
                <w:szCs w:val="22"/>
                <w:lang w:eastAsia="it-IT"/>
              </w:rPr>
              <w:t>, покращення стану навколишнього природного середовища. Забезпечення 1,0 тис. мешканців села Мартинівка якісними послугами з водовідведення.</w:t>
            </w:r>
          </w:p>
        </w:tc>
      </w:tr>
      <w:tr w:rsidR="00CB33C7" w:rsidRPr="00C2587D" w14:paraId="6E91C149" w14:textId="77777777" w:rsidTr="00EA6E27">
        <w:trPr>
          <w:jc w:val="right"/>
        </w:trPr>
        <w:tc>
          <w:tcPr>
            <w:tcW w:w="3425" w:type="dxa"/>
            <w:shd w:val="clear" w:color="auto" w:fill="FFFFFF"/>
            <w:vAlign w:val="center"/>
          </w:tcPr>
          <w:p w14:paraId="363D0E42" w14:textId="77777777" w:rsidR="00CB33C7" w:rsidRPr="001D0128" w:rsidRDefault="00CB33C7" w:rsidP="00337AD5">
            <w:pPr>
              <w:rPr>
                <w:rFonts w:cs="Arial"/>
                <w:b/>
                <w:color w:val="000000"/>
                <w:szCs w:val="22"/>
              </w:rPr>
            </w:pPr>
            <w:r w:rsidRPr="001D0128">
              <w:rPr>
                <w:rFonts w:cs="Arial"/>
                <w:b/>
                <w:color w:val="000000"/>
                <w:szCs w:val="22"/>
              </w:rPr>
              <w:t xml:space="preserve">Період здійснення: </w:t>
            </w:r>
          </w:p>
        </w:tc>
        <w:tc>
          <w:tcPr>
            <w:tcW w:w="6794" w:type="dxa"/>
            <w:gridSpan w:val="9"/>
            <w:vAlign w:val="center"/>
          </w:tcPr>
          <w:p w14:paraId="5F58D935" w14:textId="77777777" w:rsidR="00CB33C7" w:rsidRPr="001D0128" w:rsidRDefault="00CB33C7" w:rsidP="00337AD5">
            <w:pPr>
              <w:rPr>
                <w:rFonts w:cs="Arial"/>
                <w:color w:val="000000"/>
                <w:szCs w:val="22"/>
                <w:lang w:eastAsia="it-IT"/>
              </w:rPr>
            </w:pPr>
            <w:r w:rsidRPr="001D0128">
              <w:rPr>
                <w:rFonts w:cs="Arial"/>
                <w:b/>
                <w:color w:val="000000"/>
                <w:szCs w:val="22"/>
              </w:rPr>
              <w:t>2025 – 2028 роки:</w:t>
            </w:r>
          </w:p>
        </w:tc>
      </w:tr>
      <w:tr w:rsidR="00CB33C7" w:rsidRPr="00C2587D" w14:paraId="6CD03737" w14:textId="77777777" w:rsidTr="00EA6E27">
        <w:trPr>
          <w:jc w:val="right"/>
        </w:trPr>
        <w:tc>
          <w:tcPr>
            <w:tcW w:w="3425" w:type="dxa"/>
            <w:vMerge w:val="restart"/>
            <w:shd w:val="clear" w:color="auto" w:fill="FFFFFF"/>
            <w:vAlign w:val="center"/>
          </w:tcPr>
          <w:p w14:paraId="68B0F119" w14:textId="77777777" w:rsidR="00CB33C7" w:rsidRPr="001D0128" w:rsidRDefault="00CB33C7" w:rsidP="00337AD5">
            <w:pPr>
              <w:rPr>
                <w:rFonts w:cs="Arial"/>
                <w:b/>
                <w:bCs/>
                <w:color w:val="000000"/>
                <w:szCs w:val="22"/>
              </w:rPr>
            </w:pPr>
            <w:r w:rsidRPr="001D0128">
              <w:rPr>
                <w:rFonts w:cs="Arial"/>
                <w:b/>
                <w:bCs/>
                <w:color w:val="000000"/>
                <w:szCs w:val="22"/>
              </w:rPr>
              <w:t>Орієнтовна вартість проєкту, тис. грн., в тому числі:</w:t>
            </w:r>
          </w:p>
        </w:tc>
        <w:tc>
          <w:tcPr>
            <w:tcW w:w="1254" w:type="dxa"/>
            <w:shd w:val="clear" w:color="auto" w:fill="E6E6E6"/>
            <w:vAlign w:val="center"/>
          </w:tcPr>
          <w:p w14:paraId="671E355B" w14:textId="77777777" w:rsidR="00CB33C7" w:rsidRPr="001D0128" w:rsidRDefault="00CB33C7" w:rsidP="00337AD5">
            <w:pPr>
              <w:jc w:val="center"/>
              <w:rPr>
                <w:rFonts w:cs="Arial"/>
                <w:b/>
                <w:color w:val="000000"/>
                <w:szCs w:val="22"/>
                <w:lang w:eastAsia="it-IT"/>
              </w:rPr>
            </w:pPr>
            <w:r w:rsidRPr="001D0128">
              <w:rPr>
                <w:rFonts w:cs="Arial"/>
                <w:b/>
                <w:color w:val="000000"/>
                <w:szCs w:val="22"/>
                <w:lang w:eastAsia="it-IT"/>
              </w:rPr>
              <w:t>2025</w:t>
            </w:r>
          </w:p>
        </w:tc>
        <w:tc>
          <w:tcPr>
            <w:tcW w:w="1275" w:type="dxa"/>
            <w:gridSpan w:val="3"/>
            <w:shd w:val="clear" w:color="auto" w:fill="E6E6E6"/>
            <w:vAlign w:val="center"/>
          </w:tcPr>
          <w:p w14:paraId="0CF1C5C5" w14:textId="77777777" w:rsidR="00CB33C7" w:rsidRPr="001D0128" w:rsidRDefault="00CB33C7" w:rsidP="00337AD5">
            <w:pPr>
              <w:jc w:val="center"/>
              <w:rPr>
                <w:rFonts w:cs="Arial"/>
                <w:b/>
                <w:color w:val="000000"/>
                <w:szCs w:val="22"/>
                <w:lang w:eastAsia="it-IT"/>
              </w:rPr>
            </w:pPr>
            <w:r w:rsidRPr="001D0128">
              <w:rPr>
                <w:rFonts w:cs="Arial"/>
                <w:b/>
                <w:color w:val="000000"/>
                <w:szCs w:val="22"/>
                <w:lang w:eastAsia="it-IT"/>
              </w:rPr>
              <w:t>2026</w:t>
            </w:r>
          </w:p>
        </w:tc>
        <w:tc>
          <w:tcPr>
            <w:tcW w:w="1418" w:type="dxa"/>
            <w:gridSpan w:val="2"/>
            <w:tcBorders>
              <w:bottom w:val="single" w:sz="4" w:space="0" w:color="auto"/>
            </w:tcBorders>
            <w:shd w:val="clear" w:color="auto" w:fill="E6E6E6"/>
            <w:vAlign w:val="center"/>
          </w:tcPr>
          <w:p w14:paraId="323CC4A6" w14:textId="77777777" w:rsidR="00CB33C7" w:rsidRPr="001D0128" w:rsidRDefault="00CB33C7" w:rsidP="00337AD5">
            <w:pPr>
              <w:jc w:val="center"/>
              <w:rPr>
                <w:rFonts w:cs="Arial"/>
                <w:b/>
                <w:color w:val="000000"/>
                <w:szCs w:val="22"/>
                <w:lang w:eastAsia="it-IT"/>
              </w:rPr>
            </w:pPr>
            <w:r w:rsidRPr="001D0128">
              <w:rPr>
                <w:rFonts w:cs="Arial"/>
                <w:b/>
                <w:color w:val="000000"/>
                <w:szCs w:val="22"/>
                <w:lang w:eastAsia="it-IT"/>
              </w:rPr>
              <w:t>2027</w:t>
            </w:r>
          </w:p>
        </w:tc>
        <w:tc>
          <w:tcPr>
            <w:tcW w:w="1276" w:type="dxa"/>
            <w:shd w:val="clear" w:color="auto" w:fill="E6E6E6"/>
            <w:vAlign w:val="center"/>
          </w:tcPr>
          <w:p w14:paraId="6050E2FA" w14:textId="77777777" w:rsidR="00CB33C7" w:rsidRPr="001D0128" w:rsidRDefault="00CB33C7" w:rsidP="00337AD5">
            <w:pPr>
              <w:jc w:val="center"/>
              <w:rPr>
                <w:rFonts w:cs="Arial"/>
                <w:b/>
                <w:color w:val="000000"/>
                <w:szCs w:val="22"/>
                <w:lang w:eastAsia="it-IT"/>
              </w:rPr>
            </w:pPr>
            <w:r w:rsidRPr="001D0128">
              <w:rPr>
                <w:rFonts w:cs="Arial"/>
                <w:b/>
                <w:color w:val="000000"/>
                <w:szCs w:val="22"/>
                <w:lang w:eastAsia="it-IT"/>
              </w:rPr>
              <w:t>2028</w:t>
            </w:r>
          </w:p>
        </w:tc>
        <w:tc>
          <w:tcPr>
            <w:tcW w:w="1571" w:type="dxa"/>
            <w:gridSpan w:val="2"/>
            <w:shd w:val="clear" w:color="auto" w:fill="E6E6E6"/>
            <w:vAlign w:val="center"/>
          </w:tcPr>
          <w:p w14:paraId="1A208663" w14:textId="77777777" w:rsidR="00CB33C7" w:rsidRPr="001D0128" w:rsidRDefault="00CB33C7" w:rsidP="00337AD5">
            <w:pPr>
              <w:jc w:val="center"/>
              <w:rPr>
                <w:rFonts w:cs="Arial"/>
                <w:b/>
                <w:color w:val="000000"/>
                <w:szCs w:val="22"/>
                <w:lang w:eastAsia="it-IT"/>
              </w:rPr>
            </w:pPr>
            <w:r w:rsidRPr="001D0128">
              <w:rPr>
                <w:rFonts w:cs="Arial"/>
                <w:b/>
                <w:color w:val="000000"/>
                <w:szCs w:val="22"/>
                <w:lang w:eastAsia="it-IT"/>
              </w:rPr>
              <w:t>РАЗОМ</w:t>
            </w:r>
          </w:p>
        </w:tc>
      </w:tr>
      <w:tr w:rsidR="00CB33C7" w:rsidRPr="00C2587D" w14:paraId="40D7D4D0" w14:textId="77777777" w:rsidTr="00EA6E27">
        <w:trPr>
          <w:jc w:val="right"/>
        </w:trPr>
        <w:tc>
          <w:tcPr>
            <w:tcW w:w="3425" w:type="dxa"/>
            <w:vMerge/>
            <w:shd w:val="clear" w:color="auto" w:fill="FFFFFF"/>
            <w:vAlign w:val="center"/>
          </w:tcPr>
          <w:p w14:paraId="0AE31C1D" w14:textId="77777777" w:rsidR="00CB33C7" w:rsidRPr="001D0128" w:rsidRDefault="00CB33C7" w:rsidP="00337AD5">
            <w:pPr>
              <w:rPr>
                <w:rFonts w:cs="Arial"/>
                <w:b/>
                <w:bCs/>
                <w:color w:val="000000"/>
                <w:szCs w:val="22"/>
              </w:rPr>
            </w:pPr>
          </w:p>
        </w:tc>
        <w:tc>
          <w:tcPr>
            <w:tcW w:w="1254" w:type="dxa"/>
            <w:vAlign w:val="center"/>
          </w:tcPr>
          <w:p w14:paraId="45BA4400" w14:textId="77777777" w:rsidR="00CB33C7" w:rsidRPr="001D0128" w:rsidRDefault="00CB33C7" w:rsidP="00337AD5">
            <w:pPr>
              <w:jc w:val="center"/>
              <w:rPr>
                <w:rFonts w:cs="Arial"/>
                <w:b/>
                <w:color w:val="000000"/>
                <w:szCs w:val="22"/>
                <w:lang w:eastAsia="it-IT"/>
              </w:rPr>
            </w:pPr>
            <w:r w:rsidRPr="001D0128">
              <w:rPr>
                <w:rFonts w:cs="Arial"/>
                <w:b/>
                <w:color w:val="000000"/>
                <w:szCs w:val="22"/>
                <w:lang w:eastAsia="it-IT"/>
              </w:rPr>
              <w:t>3500,00</w:t>
            </w:r>
          </w:p>
        </w:tc>
        <w:tc>
          <w:tcPr>
            <w:tcW w:w="1275" w:type="dxa"/>
            <w:gridSpan w:val="3"/>
            <w:shd w:val="clear" w:color="auto" w:fill="FFFFFF"/>
            <w:vAlign w:val="center"/>
          </w:tcPr>
          <w:p w14:paraId="15CF8813" w14:textId="77777777" w:rsidR="00CB33C7" w:rsidRPr="001D0128" w:rsidRDefault="00CB33C7" w:rsidP="00337AD5">
            <w:pPr>
              <w:jc w:val="center"/>
              <w:rPr>
                <w:rFonts w:cs="Arial"/>
                <w:b/>
                <w:color w:val="000000"/>
                <w:szCs w:val="22"/>
                <w:lang w:eastAsia="it-IT"/>
              </w:rPr>
            </w:pPr>
            <w:r w:rsidRPr="001D0128">
              <w:rPr>
                <w:rFonts w:cs="Arial"/>
                <w:b/>
                <w:color w:val="000000"/>
                <w:szCs w:val="22"/>
                <w:lang w:eastAsia="it-IT"/>
              </w:rPr>
              <w:t>0,00</w:t>
            </w:r>
          </w:p>
        </w:tc>
        <w:tc>
          <w:tcPr>
            <w:tcW w:w="1418" w:type="dxa"/>
            <w:gridSpan w:val="2"/>
            <w:shd w:val="clear" w:color="auto" w:fill="auto"/>
            <w:vAlign w:val="center"/>
          </w:tcPr>
          <w:p w14:paraId="55A3ECBC" w14:textId="77777777" w:rsidR="00CB33C7" w:rsidRPr="001D0128" w:rsidRDefault="00CB33C7" w:rsidP="00337AD5">
            <w:pPr>
              <w:jc w:val="center"/>
              <w:rPr>
                <w:rFonts w:cs="Arial"/>
                <w:b/>
                <w:color w:val="000000"/>
                <w:szCs w:val="22"/>
                <w:lang w:eastAsia="it-IT"/>
              </w:rPr>
            </w:pPr>
            <w:r w:rsidRPr="001D0128">
              <w:rPr>
                <w:rFonts w:cs="Arial"/>
                <w:b/>
                <w:color w:val="000000"/>
                <w:szCs w:val="22"/>
                <w:lang w:eastAsia="it-IT"/>
              </w:rPr>
              <w:t>0,00</w:t>
            </w:r>
          </w:p>
        </w:tc>
        <w:tc>
          <w:tcPr>
            <w:tcW w:w="1276" w:type="dxa"/>
            <w:shd w:val="clear" w:color="auto" w:fill="FFFFFF"/>
            <w:vAlign w:val="center"/>
          </w:tcPr>
          <w:p w14:paraId="0CBDCC1B" w14:textId="77777777" w:rsidR="00CB33C7" w:rsidRPr="001D0128" w:rsidRDefault="00CB33C7" w:rsidP="00337AD5">
            <w:pPr>
              <w:jc w:val="center"/>
              <w:rPr>
                <w:rFonts w:cs="Arial"/>
                <w:b/>
                <w:color w:val="000000"/>
                <w:szCs w:val="22"/>
                <w:lang w:eastAsia="it-IT"/>
              </w:rPr>
            </w:pPr>
            <w:r w:rsidRPr="001D0128">
              <w:rPr>
                <w:rFonts w:cs="Arial"/>
                <w:b/>
                <w:color w:val="000000"/>
                <w:szCs w:val="22"/>
                <w:lang w:eastAsia="it-IT"/>
              </w:rPr>
              <w:t>0,00</w:t>
            </w:r>
          </w:p>
        </w:tc>
        <w:tc>
          <w:tcPr>
            <w:tcW w:w="1571" w:type="dxa"/>
            <w:gridSpan w:val="2"/>
            <w:shd w:val="clear" w:color="auto" w:fill="FFFFFF"/>
            <w:vAlign w:val="center"/>
          </w:tcPr>
          <w:p w14:paraId="684BD92F" w14:textId="77777777" w:rsidR="00CB33C7" w:rsidRPr="001D0128" w:rsidRDefault="00CB33C7" w:rsidP="00337AD5">
            <w:pPr>
              <w:jc w:val="center"/>
              <w:rPr>
                <w:rFonts w:cs="Arial"/>
                <w:b/>
                <w:color w:val="000000"/>
                <w:szCs w:val="22"/>
                <w:lang w:eastAsia="it-IT"/>
              </w:rPr>
            </w:pPr>
            <w:r w:rsidRPr="001D0128">
              <w:rPr>
                <w:rFonts w:cs="Arial"/>
                <w:b/>
                <w:color w:val="000000"/>
                <w:szCs w:val="22"/>
                <w:lang w:eastAsia="it-IT"/>
              </w:rPr>
              <w:t>3500,00</w:t>
            </w:r>
          </w:p>
        </w:tc>
      </w:tr>
      <w:tr w:rsidR="00CB33C7" w:rsidRPr="00C2587D" w14:paraId="778525F6" w14:textId="77777777" w:rsidTr="00EA6E27">
        <w:trPr>
          <w:trHeight w:val="276"/>
          <w:jc w:val="right"/>
        </w:trPr>
        <w:tc>
          <w:tcPr>
            <w:tcW w:w="3425" w:type="dxa"/>
            <w:shd w:val="clear" w:color="auto" w:fill="FFFFFF"/>
            <w:vAlign w:val="center"/>
          </w:tcPr>
          <w:p w14:paraId="330C0941" w14:textId="77777777" w:rsidR="00CB33C7" w:rsidRPr="001D0128" w:rsidRDefault="00CB33C7" w:rsidP="00337AD5">
            <w:pPr>
              <w:rPr>
                <w:rFonts w:cs="Arial"/>
                <w:b/>
                <w:bCs/>
                <w:color w:val="000000"/>
                <w:szCs w:val="22"/>
              </w:rPr>
            </w:pPr>
            <w:r w:rsidRPr="001D0128">
              <w:rPr>
                <w:rFonts w:cs="Arial"/>
                <w:b/>
                <w:bCs/>
                <w:color w:val="000000"/>
                <w:szCs w:val="22"/>
              </w:rPr>
              <w:t>по джерелах фінансування:</w:t>
            </w:r>
          </w:p>
        </w:tc>
        <w:tc>
          <w:tcPr>
            <w:tcW w:w="6794" w:type="dxa"/>
            <w:gridSpan w:val="9"/>
            <w:vAlign w:val="center"/>
          </w:tcPr>
          <w:p w14:paraId="6FCBC659" w14:textId="77777777" w:rsidR="00CB33C7" w:rsidRPr="001D0128" w:rsidRDefault="00CB33C7" w:rsidP="00337AD5">
            <w:pPr>
              <w:jc w:val="both"/>
              <w:rPr>
                <w:rFonts w:cs="Arial"/>
                <w:color w:val="000000"/>
                <w:szCs w:val="22"/>
                <w:lang w:eastAsia="it-IT"/>
              </w:rPr>
            </w:pPr>
          </w:p>
        </w:tc>
      </w:tr>
      <w:tr w:rsidR="00CF43AF" w:rsidRPr="00C2587D" w14:paraId="5EE7114F" w14:textId="5470DD8E" w:rsidTr="00CF43AF">
        <w:trPr>
          <w:trHeight w:val="240"/>
          <w:jc w:val="right"/>
        </w:trPr>
        <w:tc>
          <w:tcPr>
            <w:tcW w:w="3425" w:type="dxa"/>
            <w:shd w:val="clear" w:color="auto" w:fill="FFFFFF"/>
            <w:vAlign w:val="center"/>
          </w:tcPr>
          <w:p w14:paraId="4A0E4248" w14:textId="77777777" w:rsidR="00CF43AF" w:rsidRPr="001D0128" w:rsidRDefault="00CF43AF" w:rsidP="00337AD5">
            <w:pPr>
              <w:rPr>
                <w:rFonts w:cs="Arial"/>
                <w:b/>
                <w:bCs/>
                <w:color w:val="000000"/>
                <w:szCs w:val="22"/>
              </w:rPr>
            </w:pPr>
            <w:r w:rsidRPr="001D0128">
              <w:rPr>
                <w:rFonts w:cs="Arial"/>
                <w:color w:val="000000"/>
                <w:szCs w:val="22"/>
              </w:rPr>
              <w:t>- державний бюджет</w:t>
            </w:r>
          </w:p>
        </w:tc>
        <w:tc>
          <w:tcPr>
            <w:tcW w:w="1267" w:type="dxa"/>
            <w:gridSpan w:val="2"/>
          </w:tcPr>
          <w:p w14:paraId="20119DFF" w14:textId="23474FA3" w:rsidR="00CF43AF" w:rsidRPr="001D0128" w:rsidRDefault="00CF43AF" w:rsidP="00CF43AF">
            <w:pPr>
              <w:jc w:val="center"/>
              <w:rPr>
                <w:rFonts w:cs="Arial"/>
                <w:color w:val="000000"/>
                <w:szCs w:val="22"/>
                <w:lang w:eastAsia="it-IT"/>
              </w:rPr>
            </w:pPr>
            <w:r w:rsidRPr="001D0128">
              <w:rPr>
                <w:rFonts w:eastAsia="Arial" w:cs="Arial"/>
                <w:szCs w:val="22"/>
              </w:rPr>
              <w:t>2000,00</w:t>
            </w:r>
          </w:p>
        </w:tc>
        <w:tc>
          <w:tcPr>
            <w:tcW w:w="1256" w:type="dxa"/>
          </w:tcPr>
          <w:p w14:paraId="62802C06" w14:textId="1F26282D" w:rsidR="00CF43AF" w:rsidRPr="001D0128" w:rsidRDefault="00CF43AF" w:rsidP="00CF43AF">
            <w:pPr>
              <w:jc w:val="center"/>
              <w:rPr>
                <w:rFonts w:cs="Arial"/>
                <w:color w:val="000000"/>
                <w:szCs w:val="22"/>
                <w:lang w:eastAsia="it-IT"/>
              </w:rPr>
            </w:pPr>
          </w:p>
        </w:tc>
        <w:tc>
          <w:tcPr>
            <w:tcW w:w="1405" w:type="dxa"/>
            <w:gridSpan w:val="2"/>
          </w:tcPr>
          <w:p w14:paraId="3C213E3A" w14:textId="77777777" w:rsidR="00CF43AF" w:rsidRPr="001D0128" w:rsidRDefault="00CF43AF" w:rsidP="00CF43AF">
            <w:pPr>
              <w:jc w:val="center"/>
              <w:rPr>
                <w:rFonts w:cs="Arial"/>
                <w:color w:val="000000"/>
                <w:szCs w:val="22"/>
                <w:lang w:eastAsia="it-IT"/>
              </w:rPr>
            </w:pPr>
          </w:p>
        </w:tc>
        <w:tc>
          <w:tcPr>
            <w:tcW w:w="1302" w:type="dxa"/>
            <w:gridSpan w:val="3"/>
          </w:tcPr>
          <w:p w14:paraId="743EB23F" w14:textId="77777777" w:rsidR="00CF43AF" w:rsidRPr="001D0128" w:rsidRDefault="00CF43AF" w:rsidP="00CF43AF">
            <w:pPr>
              <w:jc w:val="center"/>
              <w:rPr>
                <w:rFonts w:cs="Arial"/>
                <w:color w:val="000000"/>
                <w:szCs w:val="22"/>
                <w:lang w:eastAsia="it-IT"/>
              </w:rPr>
            </w:pPr>
          </w:p>
        </w:tc>
        <w:tc>
          <w:tcPr>
            <w:tcW w:w="1564" w:type="dxa"/>
          </w:tcPr>
          <w:p w14:paraId="08F06988" w14:textId="01C6E501" w:rsidR="00CF43AF" w:rsidRPr="001D0128" w:rsidRDefault="00CF43AF" w:rsidP="00CF43AF">
            <w:pPr>
              <w:ind w:left="518"/>
              <w:jc w:val="center"/>
              <w:rPr>
                <w:rFonts w:cs="Arial"/>
                <w:color w:val="000000"/>
                <w:szCs w:val="22"/>
                <w:lang w:eastAsia="it-IT"/>
              </w:rPr>
            </w:pPr>
            <w:r w:rsidRPr="001D0128">
              <w:rPr>
                <w:rFonts w:eastAsia="Arial" w:cs="Arial"/>
                <w:szCs w:val="22"/>
              </w:rPr>
              <w:t>2000,00</w:t>
            </w:r>
          </w:p>
        </w:tc>
      </w:tr>
      <w:tr w:rsidR="00CF43AF" w:rsidRPr="00C2587D" w14:paraId="0CA7E4E3" w14:textId="32FF2E67" w:rsidTr="00CF43AF">
        <w:trPr>
          <w:trHeight w:val="254"/>
          <w:jc w:val="right"/>
        </w:trPr>
        <w:tc>
          <w:tcPr>
            <w:tcW w:w="3425" w:type="dxa"/>
            <w:shd w:val="clear" w:color="auto" w:fill="FFFFFF"/>
            <w:vAlign w:val="center"/>
          </w:tcPr>
          <w:p w14:paraId="618FDD16" w14:textId="77777777" w:rsidR="00CF43AF" w:rsidRPr="001D0128" w:rsidRDefault="00CF43AF" w:rsidP="00337AD5">
            <w:pPr>
              <w:rPr>
                <w:rFonts w:cs="Arial"/>
                <w:color w:val="000000"/>
                <w:szCs w:val="22"/>
              </w:rPr>
            </w:pPr>
            <w:r w:rsidRPr="001D0128">
              <w:rPr>
                <w:rFonts w:cs="Arial"/>
                <w:color w:val="000000"/>
                <w:szCs w:val="22"/>
              </w:rPr>
              <w:t>- обласний бюджет</w:t>
            </w:r>
          </w:p>
        </w:tc>
        <w:tc>
          <w:tcPr>
            <w:tcW w:w="1267" w:type="dxa"/>
            <w:gridSpan w:val="2"/>
          </w:tcPr>
          <w:p w14:paraId="67218994" w14:textId="77777777" w:rsidR="00CF43AF" w:rsidRPr="001D0128" w:rsidRDefault="00CF43AF" w:rsidP="00CF43AF">
            <w:pPr>
              <w:jc w:val="center"/>
              <w:rPr>
                <w:rFonts w:cs="Arial"/>
                <w:color w:val="000000"/>
                <w:szCs w:val="22"/>
                <w:lang w:eastAsia="it-IT"/>
              </w:rPr>
            </w:pPr>
          </w:p>
        </w:tc>
        <w:tc>
          <w:tcPr>
            <w:tcW w:w="1256" w:type="dxa"/>
          </w:tcPr>
          <w:p w14:paraId="35C62D8C" w14:textId="77777777" w:rsidR="00CF43AF" w:rsidRPr="001D0128" w:rsidRDefault="00CF43AF" w:rsidP="00CF43AF">
            <w:pPr>
              <w:jc w:val="center"/>
              <w:rPr>
                <w:rFonts w:cs="Arial"/>
                <w:color w:val="000000"/>
                <w:szCs w:val="22"/>
                <w:lang w:eastAsia="it-IT"/>
              </w:rPr>
            </w:pPr>
          </w:p>
        </w:tc>
        <w:tc>
          <w:tcPr>
            <w:tcW w:w="1405" w:type="dxa"/>
            <w:gridSpan w:val="2"/>
          </w:tcPr>
          <w:p w14:paraId="4C5BCAA9" w14:textId="77777777" w:rsidR="00CF43AF" w:rsidRPr="001D0128" w:rsidRDefault="00CF43AF" w:rsidP="00CF43AF">
            <w:pPr>
              <w:jc w:val="center"/>
              <w:rPr>
                <w:rFonts w:cs="Arial"/>
                <w:color w:val="000000"/>
                <w:szCs w:val="22"/>
                <w:lang w:eastAsia="it-IT"/>
              </w:rPr>
            </w:pPr>
          </w:p>
        </w:tc>
        <w:tc>
          <w:tcPr>
            <w:tcW w:w="1302" w:type="dxa"/>
            <w:gridSpan w:val="3"/>
          </w:tcPr>
          <w:p w14:paraId="30E9E1D5" w14:textId="77777777" w:rsidR="00CF43AF" w:rsidRPr="001D0128" w:rsidRDefault="00CF43AF" w:rsidP="00CF43AF">
            <w:pPr>
              <w:jc w:val="center"/>
              <w:rPr>
                <w:rFonts w:cs="Arial"/>
                <w:color w:val="000000"/>
                <w:szCs w:val="22"/>
                <w:lang w:eastAsia="it-IT"/>
              </w:rPr>
            </w:pPr>
          </w:p>
        </w:tc>
        <w:tc>
          <w:tcPr>
            <w:tcW w:w="1564" w:type="dxa"/>
          </w:tcPr>
          <w:p w14:paraId="02A3F5AC" w14:textId="68CA3897" w:rsidR="00CF43AF" w:rsidRPr="001D0128" w:rsidRDefault="00CF43AF" w:rsidP="00CF43AF">
            <w:pPr>
              <w:jc w:val="center"/>
              <w:rPr>
                <w:rFonts w:cs="Arial"/>
                <w:color w:val="000000"/>
                <w:szCs w:val="22"/>
                <w:lang w:eastAsia="it-IT"/>
              </w:rPr>
            </w:pPr>
          </w:p>
        </w:tc>
      </w:tr>
      <w:tr w:rsidR="00CF43AF" w:rsidRPr="00C2587D" w14:paraId="41A3D453" w14:textId="5DAF6936" w:rsidTr="00CF43AF">
        <w:trPr>
          <w:trHeight w:val="275"/>
          <w:jc w:val="right"/>
        </w:trPr>
        <w:tc>
          <w:tcPr>
            <w:tcW w:w="3425" w:type="dxa"/>
            <w:shd w:val="clear" w:color="auto" w:fill="FFFFFF"/>
            <w:vAlign w:val="center"/>
          </w:tcPr>
          <w:p w14:paraId="20047E15" w14:textId="77777777" w:rsidR="00CF43AF" w:rsidRPr="001D0128" w:rsidRDefault="00CF43AF" w:rsidP="00337AD5">
            <w:pPr>
              <w:rPr>
                <w:rFonts w:cs="Arial"/>
                <w:color w:val="000000"/>
                <w:szCs w:val="22"/>
              </w:rPr>
            </w:pPr>
            <w:r w:rsidRPr="001D0128">
              <w:rPr>
                <w:rFonts w:cs="Arial"/>
                <w:color w:val="000000"/>
                <w:szCs w:val="22"/>
              </w:rPr>
              <w:t>- бюджет Жмеринської МТГ</w:t>
            </w:r>
          </w:p>
        </w:tc>
        <w:tc>
          <w:tcPr>
            <w:tcW w:w="1267" w:type="dxa"/>
            <w:gridSpan w:val="2"/>
          </w:tcPr>
          <w:p w14:paraId="6765A625" w14:textId="464C0119" w:rsidR="00CF43AF" w:rsidRPr="001D0128" w:rsidRDefault="00CF43AF" w:rsidP="00CF43AF">
            <w:pPr>
              <w:jc w:val="center"/>
              <w:rPr>
                <w:rFonts w:cs="Arial"/>
                <w:color w:val="000000"/>
                <w:szCs w:val="22"/>
                <w:lang w:eastAsia="it-IT"/>
              </w:rPr>
            </w:pPr>
            <w:r w:rsidRPr="001D0128">
              <w:rPr>
                <w:rFonts w:eastAsia="Arial" w:cs="Arial"/>
                <w:szCs w:val="22"/>
              </w:rPr>
              <w:t>1500,00</w:t>
            </w:r>
          </w:p>
        </w:tc>
        <w:tc>
          <w:tcPr>
            <w:tcW w:w="1256" w:type="dxa"/>
          </w:tcPr>
          <w:p w14:paraId="7A88BD72" w14:textId="17528375" w:rsidR="00CF43AF" w:rsidRPr="001D0128" w:rsidRDefault="00CF43AF" w:rsidP="00CF43AF">
            <w:pPr>
              <w:jc w:val="center"/>
              <w:rPr>
                <w:rFonts w:cs="Arial"/>
                <w:color w:val="000000"/>
                <w:szCs w:val="22"/>
                <w:lang w:eastAsia="it-IT"/>
              </w:rPr>
            </w:pPr>
          </w:p>
        </w:tc>
        <w:tc>
          <w:tcPr>
            <w:tcW w:w="1405" w:type="dxa"/>
            <w:gridSpan w:val="2"/>
          </w:tcPr>
          <w:p w14:paraId="3B8F86B2" w14:textId="77777777" w:rsidR="00CF43AF" w:rsidRPr="001D0128" w:rsidRDefault="00CF43AF" w:rsidP="00CF43AF">
            <w:pPr>
              <w:jc w:val="center"/>
              <w:rPr>
                <w:rFonts w:cs="Arial"/>
                <w:color w:val="000000"/>
                <w:szCs w:val="22"/>
                <w:lang w:eastAsia="it-IT"/>
              </w:rPr>
            </w:pPr>
          </w:p>
        </w:tc>
        <w:tc>
          <w:tcPr>
            <w:tcW w:w="1302" w:type="dxa"/>
            <w:gridSpan w:val="3"/>
          </w:tcPr>
          <w:p w14:paraId="062D3609" w14:textId="77777777" w:rsidR="00CF43AF" w:rsidRPr="001D0128" w:rsidRDefault="00CF43AF" w:rsidP="00CF43AF">
            <w:pPr>
              <w:jc w:val="center"/>
              <w:rPr>
                <w:rFonts w:cs="Arial"/>
                <w:color w:val="000000"/>
                <w:szCs w:val="22"/>
                <w:lang w:eastAsia="it-IT"/>
              </w:rPr>
            </w:pPr>
          </w:p>
        </w:tc>
        <w:tc>
          <w:tcPr>
            <w:tcW w:w="1564" w:type="dxa"/>
          </w:tcPr>
          <w:p w14:paraId="2D6428AA" w14:textId="01571E2C" w:rsidR="00CF43AF" w:rsidRPr="001D0128" w:rsidRDefault="00CF43AF" w:rsidP="00CF43AF">
            <w:pPr>
              <w:ind w:left="448"/>
              <w:jc w:val="center"/>
              <w:rPr>
                <w:rFonts w:cs="Arial"/>
                <w:color w:val="000000"/>
                <w:szCs w:val="22"/>
                <w:lang w:eastAsia="it-IT"/>
              </w:rPr>
            </w:pPr>
            <w:r w:rsidRPr="001D0128">
              <w:rPr>
                <w:rFonts w:eastAsia="Arial" w:cs="Arial"/>
                <w:szCs w:val="22"/>
              </w:rPr>
              <w:t>1500,00</w:t>
            </w:r>
          </w:p>
        </w:tc>
      </w:tr>
      <w:tr w:rsidR="00CF43AF" w:rsidRPr="00C2587D" w14:paraId="553E256D" w14:textId="10142C7E" w:rsidTr="00CF43AF">
        <w:trPr>
          <w:trHeight w:val="226"/>
          <w:jc w:val="right"/>
        </w:trPr>
        <w:tc>
          <w:tcPr>
            <w:tcW w:w="3425" w:type="dxa"/>
            <w:shd w:val="clear" w:color="auto" w:fill="FFFFFF"/>
            <w:vAlign w:val="center"/>
          </w:tcPr>
          <w:p w14:paraId="451549CC" w14:textId="77777777" w:rsidR="00CF43AF" w:rsidRPr="001D0128" w:rsidRDefault="00CF43AF" w:rsidP="00337AD5">
            <w:pPr>
              <w:rPr>
                <w:rFonts w:cs="Arial"/>
                <w:color w:val="000000"/>
                <w:szCs w:val="22"/>
              </w:rPr>
            </w:pPr>
            <w:r w:rsidRPr="001D0128">
              <w:rPr>
                <w:rFonts w:cs="Arial"/>
                <w:color w:val="000000"/>
                <w:szCs w:val="22"/>
              </w:rPr>
              <w:t>- інші джерела фінансування</w:t>
            </w:r>
          </w:p>
        </w:tc>
        <w:tc>
          <w:tcPr>
            <w:tcW w:w="1267" w:type="dxa"/>
            <w:gridSpan w:val="2"/>
          </w:tcPr>
          <w:p w14:paraId="5CBCE230" w14:textId="0E0B4EF3" w:rsidR="00CF43AF" w:rsidRPr="001D0128" w:rsidRDefault="00CF43AF" w:rsidP="00CF43AF">
            <w:pPr>
              <w:jc w:val="center"/>
              <w:rPr>
                <w:rFonts w:cs="Arial"/>
                <w:color w:val="000000"/>
                <w:szCs w:val="22"/>
                <w:lang w:eastAsia="it-IT"/>
              </w:rPr>
            </w:pPr>
          </w:p>
        </w:tc>
        <w:tc>
          <w:tcPr>
            <w:tcW w:w="1256" w:type="dxa"/>
          </w:tcPr>
          <w:p w14:paraId="11B2A93C" w14:textId="77777777" w:rsidR="00CF43AF" w:rsidRPr="001D0128" w:rsidRDefault="00CF43AF" w:rsidP="00CF43AF">
            <w:pPr>
              <w:ind w:left="3743"/>
              <w:jc w:val="center"/>
              <w:rPr>
                <w:rFonts w:cs="Arial"/>
                <w:color w:val="000000"/>
                <w:szCs w:val="22"/>
                <w:lang w:eastAsia="it-IT"/>
              </w:rPr>
            </w:pPr>
          </w:p>
        </w:tc>
        <w:tc>
          <w:tcPr>
            <w:tcW w:w="1405" w:type="dxa"/>
            <w:gridSpan w:val="2"/>
          </w:tcPr>
          <w:p w14:paraId="07C1D899" w14:textId="77777777" w:rsidR="00CF43AF" w:rsidRPr="001D0128" w:rsidRDefault="00CF43AF" w:rsidP="00CF43AF">
            <w:pPr>
              <w:ind w:left="3743"/>
              <w:jc w:val="center"/>
              <w:rPr>
                <w:rFonts w:cs="Arial"/>
                <w:color w:val="000000"/>
                <w:szCs w:val="22"/>
                <w:lang w:eastAsia="it-IT"/>
              </w:rPr>
            </w:pPr>
          </w:p>
        </w:tc>
        <w:tc>
          <w:tcPr>
            <w:tcW w:w="1302" w:type="dxa"/>
            <w:gridSpan w:val="3"/>
          </w:tcPr>
          <w:p w14:paraId="4A19B4DD" w14:textId="77777777" w:rsidR="00CF43AF" w:rsidRPr="001D0128" w:rsidRDefault="00CF43AF" w:rsidP="00CF43AF">
            <w:pPr>
              <w:ind w:left="3743"/>
              <w:jc w:val="center"/>
              <w:rPr>
                <w:rFonts w:cs="Arial"/>
                <w:color w:val="000000"/>
                <w:szCs w:val="22"/>
                <w:lang w:eastAsia="it-IT"/>
              </w:rPr>
            </w:pPr>
          </w:p>
        </w:tc>
        <w:tc>
          <w:tcPr>
            <w:tcW w:w="1564" w:type="dxa"/>
          </w:tcPr>
          <w:p w14:paraId="70FB9D16" w14:textId="2788E72F" w:rsidR="00CF43AF" w:rsidRPr="001D0128" w:rsidRDefault="00CF43AF" w:rsidP="00CF43AF">
            <w:pPr>
              <w:ind w:left="3743"/>
              <w:jc w:val="center"/>
              <w:rPr>
                <w:rFonts w:cs="Arial"/>
                <w:color w:val="000000"/>
                <w:szCs w:val="22"/>
                <w:lang w:eastAsia="it-IT"/>
              </w:rPr>
            </w:pPr>
          </w:p>
        </w:tc>
      </w:tr>
      <w:tr w:rsidR="00CB33C7" w:rsidRPr="00C2587D" w14:paraId="3AB1FD67" w14:textId="77777777" w:rsidTr="00EA6E27">
        <w:trPr>
          <w:jc w:val="right"/>
        </w:trPr>
        <w:tc>
          <w:tcPr>
            <w:tcW w:w="3425" w:type="dxa"/>
            <w:shd w:val="clear" w:color="auto" w:fill="FFFFFF"/>
            <w:vAlign w:val="center"/>
          </w:tcPr>
          <w:p w14:paraId="4C2EA635" w14:textId="77777777" w:rsidR="00CB33C7" w:rsidRPr="001D0128" w:rsidRDefault="00CB33C7" w:rsidP="00337AD5">
            <w:pPr>
              <w:rPr>
                <w:rFonts w:cs="Arial"/>
                <w:b/>
                <w:bCs/>
                <w:color w:val="000000"/>
                <w:szCs w:val="22"/>
              </w:rPr>
            </w:pPr>
            <w:r w:rsidRPr="001D0128">
              <w:rPr>
                <w:rFonts w:cs="Arial"/>
                <w:b/>
                <w:color w:val="000000"/>
                <w:szCs w:val="22"/>
              </w:rPr>
              <w:t>Відповідальний виконавець проєкту:</w:t>
            </w:r>
          </w:p>
        </w:tc>
        <w:tc>
          <w:tcPr>
            <w:tcW w:w="6794" w:type="dxa"/>
            <w:gridSpan w:val="9"/>
            <w:vAlign w:val="center"/>
          </w:tcPr>
          <w:p w14:paraId="34AB1067" w14:textId="77777777" w:rsidR="00CB33C7" w:rsidRPr="001D0128" w:rsidRDefault="00CB33C7" w:rsidP="00337AD5">
            <w:pPr>
              <w:jc w:val="both"/>
              <w:rPr>
                <w:rFonts w:cs="Arial"/>
                <w:color w:val="000000"/>
                <w:szCs w:val="22"/>
                <w:lang w:eastAsia="it-IT"/>
              </w:rPr>
            </w:pPr>
            <w:r w:rsidRPr="001D0128">
              <w:rPr>
                <w:rFonts w:cs="Arial"/>
                <w:color w:val="000000"/>
                <w:szCs w:val="22"/>
                <w:lang w:eastAsia="it-IT"/>
              </w:rPr>
              <w:t>Управління ЖКГ</w:t>
            </w:r>
          </w:p>
          <w:p w14:paraId="21A10E65" w14:textId="77777777" w:rsidR="00CB33C7" w:rsidRPr="001D0128" w:rsidRDefault="00CB33C7" w:rsidP="00337AD5">
            <w:pPr>
              <w:jc w:val="both"/>
              <w:rPr>
                <w:rFonts w:cs="Arial"/>
                <w:color w:val="000000"/>
                <w:szCs w:val="22"/>
                <w:lang w:eastAsia="it-IT"/>
              </w:rPr>
            </w:pPr>
            <w:r w:rsidRPr="001D0128">
              <w:rPr>
                <w:rFonts w:cs="Arial"/>
                <w:color w:val="000000"/>
                <w:szCs w:val="22"/>
                <w:lang w:eastAsia="it-IT"/>
              </w:rPr>
              <w:t xml:space="preserve">КП «Браїлів-комунсервіс» Жмеринської міської ради </w:t>
            </w:r>
          </w:p>
        </w:tc>
      </w:tr>
      <w:tr w:rsidR="00CB33C7" w:rsidRPr="00C2587D" w14:paraId="38FCE9AC" w14:textId="77777777" w:rsidTr="00EA6E27">
        <w:trPr>
          <w:jc w:val="right"/>
        </w:trPr>
        <w:tc>
          <w:tcPr>
            <w:tcW w:w="3425" w:type="dxa"/>
            <w:shd w:val="clear" w:color="auto" w:fill="FFFFFF"/>
            <w:vAlign w:val="center"/>
          </w:tcPr>
          <w:p w14:paraId="5953218C" w14:textId="77777777" w:rsidR="00CB33C7" w:rsidRPr="001D0128" w:rsidRDefault="00CB33C7" w:rsidP="00337AD5">
            <w:pPr>
              <w:rPr>
                <w:rFonts w:cs="Arial"/>
                <w:b/>
                <w:bCs/>
                <w:color w:val="000000"/>
                <w:szCs w:val="22"/>
              </w:rPr>
            </w:pPr>
            <w:r w:rsidRPr="001D0128">
              <w:rPr>
                <w:rFonts w:cs="Arial"/>
                <w:b/>
                <w:bCs/>
                <w:color w:val="000000"/>
                <w:szCs w:val="22"/>
              </w:rPr>
              <w:t>Інше:</w:t>
            </w:r>
          </w:p>
        </w:tc>
        <w:tc>
          <w:tcPr>
            <w:tcW w:w="6794" w:type="dxa"/>
            <w:gridSpan w:val="9"/>
            <w:vAlign w:val="center"/>
          </w:tcPr>
          <w:p w14:paraId="653ADC7C" w14:textId="77777777" w:rsidR="00CB33C7" w:rsidRPr="001D0128" w:rsidRDefault="00CB33C7" w:rsidP="00337AD5">
            <w:pPr>
              <w:rPr>
                <w:rFonts w:cs="Arial"/>
                <w:color w:val="000000"/>
                <w:szCs w:val="22"/>
                <w:lang w:eastAsia="it-IT"/>
              </w:rPr>
            </w:pPr>
          </w:p>
          <w:p w14:paraId="1E297F14" w14:textId="77777777" w:rsidR="00CB33C7" w:rsidRPr="001D0128" w:rsidRDefault="00CB33C7" w:rsidP="00337AD5">
            <w:pPr>
              <w:rPr>
                <w:rFonts w:cs="Arial"/>
                <w:color w:val="000000"/>
                <w:szCs w:val="22"/>
                <w:lang w:eastAsia="it-IT"/>
              </w:rPr>
            </w:pPr>
          </w:p>
        </w:tc>
      </w:tr>
    </w:tbl>
    <w:p w14:paraId="599D494B" w14:textId="77777777" w:rsidR="00CB33C7" w:rsidRPr="00C2587D" w:rsidRDefault="00CB33C7" w:rsidP="00CB33C7"/>
    <w:p w14:paraId="448B8152" w14:textId="77777777" w:rsidR="00CF43AF" w:rsidRDefault="00CF43AF" w:rsidP="00CB33C7">
      <w:pPr>
        <w:jc w:val="center"/>
        <w:rPr>
          <w:rFonts w:cs="Arial"/>
          <w:b/>
        </w:rPr>
      </w:pPr>
    </w:p>
    <w:p w14:paraId="7AFF2E3E" w14:textId="0750DF19" w:rsidR="00CB33C7" w:rsidRPr="00C2587D" w:rsidRDefault="00CB33C7" w:rsidP="00CB33C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2A9E08F9" w14:textId="77777777" w:rsidR="00CB33C7" w:rsidRPr="00C2587D" w:rsidRDefault="00CB33C7" w:rsidP="00CB33C7">
      <w:pPr>
        <w:jc w:val="center"/>
        <w:rPr>
          <w:rFonts w:cs="Arial"/>
          <w:b/>
          <w:color w:val="000000"/>
          <w:szCs w:val="22"/>
        </w:rPr>
      </w:pPr>
      <w:r w:rsidRPr="00C2587D">
        <w:rPr>
          <w:rFonts w:cs="Arial"/>
          <w:b/>
          <w:color w:val="000000"/>
          <w:szCs w:val="22"/>
        </w:rPr>
        <w:t>до Плану заходів з реалізації Стратегії</w:t>
      </w:r>
    </w:p>
    <w:p w14:paraId="0BCAFA06" w14:textId="77777777" w:rsidR="00CB33C7" w:rsidRPr="00C2587D" w:rsidRDefault="00CB33C7" w:rsidP="00CB33C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44"/>
        <w:gridCol w:w="10"/>
        <w:gridCol w:w="1275"/>
        <w:gridCol w:w="51"/>
        <w:gridCol w:w="1367"/>
        <w:gridCol w:w="50"/>
        <w:gridCol w:w="1226"/>
        <w:gridCol w:w="7"/>
        <w:gridCol w:w="1564"/>
      </w:tblGrid>
      <w:tr w:rsidR="00CB33C7" w:rsidRPr="00C2587D" w14:paraId="2F7E7564" w14:textId="77777777" w:rsidTr="00EA6E27">
        <w:trPr>
          <w:jc w:val="right"/>
        </w:trPr>
        <w:tc>
          <w:tcPr>
            <w:tcW w:w="3425" w:type="dxa"/>
            <w:vAlign w:val="center"/>
          </w:tcPr>
          <w:p w14:paraId="04E66930" w14:textId="77777777" w:rsidR="00CB33C7" w:rsidRPr="00CF43AF" w:rsidRDefault="00CB33C7" w:rsidP="00CF43AF">
            <w:pPr>
              <w:rPr>
                <w:rFonts w:cs="Arial"/>
                <w:b/>
                <w:bCs/>
                <w:color w:val="000000"/>
                <w:szCs w:val="22"/>
              </w:rPr>
            </w:pPr>
            <w:r w:rsidRPr="00CF43AF">
              <w:rPr>
                <w:rFonts w:cs="Arial"/>
                <w:b/>
                <w:bCs/>
                <w:color w:val="000000"/>
                <w:szCs w:val="22"/>
              </w:rPr>
              <w:t>Назва проєкту:</w:t>
            </w:r>
          </w:p>
        </w:tc>
        <w:tc>
          <w:tcPr>
            <w:tcW w:w="6794" w:type="dxa"/>
            <w:gridSpan w:val="9"/>
          </w:tcPr>
          <w:p w14:paraId="165E01F9" w14:textId="77777777" w:rsidR="00CB33C7" w:rsidRPr="00CF43AF" w:rsidRDefault="00CB33C7" w:rsidP="00CF43AF">
            <w:pPr>
              <w:jc w:val="both"/>
              <w:rPr>
                <w:rFonts w:cs="Arial"/>
                <w:b/>
                <w:szCs w:val="22"/>
                <w:lang w:eastAsia="it-IT"/>
              </w:rPr>
            </w:pPr>
            <w:r w:rsidRPr="00CF43AF">
              <w:rPr>
                <w:rFonts w:cs="Arial"/>
                <w:b/>
                <w:szCs w:val="22"/>
                <w:lang w:eastAsia="it-IT"/>
              </w:rPr>
              <w:t xml:space="preserve">Реконструкція мереж водопостачання по вулиці Чайковського, Набережна, Садова та Лісова в селі Рів Жмеринського району, Вінницької області.  </w:t>
            </w:r>
          </w:p>
        </w:tc>
      </w:tr>
      <w:tr w:rsidR="00CB33C7" w:rsidRPr="00C2587D" w14:paraId="4E67468E" w14:textId="77777777" w:rsidTr="00667673">
        <w:trPr>
          <w:jc w:val="right"/>
        </w:trPr>
        <w:tc>
          <w:tcPr>
            <w:tcW w:w="3425" w:type="dxa"/>
          </w:tcPr>
          <w:p w14:paraId="216A3F31" w14:textId="77777777" w:rsidR="00CB33C7" w:rsidRPr="00CF43AF" w:rsidRDefault="00CB33C7" w:rsidP="00CF43AF">
            <w:pPr>
              <w:rPr>
                <w:rFonts w:cs="Arial"/>
                <w:szCs w:val="22"/>
                <w:lang w:eastAsia="it-IT"/>
              </w:rPr>
            </w:pPr>
            <w:r w:rsidRPr="00CF43AF">
              <w:rPr>
                <w:rFonts w:cs="Arial"/>
                <w:b/>
                <w:bCs/>
                <w:szCs w:val="22"/>
              </w:rPr>
              <w:t>Ваші контакти</w:t>
            </w:r>
            <w:r w:rsidRPr="00CF43AF">
              <w:rPr>
                <w:rFonts w:cs="Arial"/>
                <w:szCs w:val="22"/>
                <w:lang w:eastAsia="it-IT"/>
              </w:rPr>
              <w:t>:</w:t>
            </w:r>
          </w:p>
          <w:p w14:paraId="040707AE" w14:textId="77777777" w:rsidR="00CB33C7" w:rsidRPr="00CF43AF" w:rsidRDefault="00CB33C7" w:rsidP="00CF43AF">
            <w:pPr>
              <w:rPr>
                <w:rFonts w:cs="Arial"/>
                <w:b/>
                <w:bCs/>
                <w:szCs w:val="22"/>
              </w:rPr>
            </w:pPr>
            <w:r w:rsidRPr="00CF43AF">
              <w:rPr>
                <w:rFonts w:cs="Arial"/>
                <w:szCs w:val="22"/>
                <w:lang w:eastAsia="it-IT"/>
              </w:rPr>
              <w:t>Назва установи, організації, підприємства</w:t>
            </w:r>
          </w:p>
        </w:tc>
        <w:tc>
          <w:tcPr>
            <w:tcW w:w="6794" w:type="dxa"/>
            <w:gridSpan w:val="9"/>
            <w:vAlign w:val="center"/>
          </w:tcPr>
          <w:p w14:paraId="1CBE5FA0" w14:textId="77777777" w:rsidR="00CB33C7" w:rsidRPr="00CF43AF" w:rsidRDefault="00CB33C7" w:rsidP="00667673">
            <w:pPr>
              <w:rPr>
                <w:rFonts w:cs="Arial"/>
                <w:szCs w:val="22"/>
                <w:lang w:eastAsia="it-IT"/>
              </w:rPr>
            </w:pPr>
            <w:r w:rsidRPr="00CF43AF">
              <w:rPr>
                <w:rFonts w:cs="Arial"/>
                <w:szCs w:val="22"/>
                <w:lang w:eastAsia="it-IT"/>
              </w:rPr>
              <w:t xml:space="preserve">КП «Браїлів-комунсервіс» Жмеринської міської ради    </w:t>
            </w:r>
          </w:p>
        </w:tc>
      </w:tr>
      <w:tr w:rsidR="00CB33C7" w:rsidRPr="00C2587D" w14:paraId="096F4A2C" w14:textId="77777777" w:rsidTr="00EA6E27">
        <w:trPr>
          <w:jc w:val="right"/>
        </w:trPr>
        <w:tc>
          <w:tcPr>
            <w:tcW w:w="3425" w:type="dxa"/>
          </w:tcPr>
          <w:p w14:paraId="6B0A8FB9" w14:textId="77777777" w:rsidR="00CB33C7" w:rsidRPr="00CF43AF" w:rsidRDefault="00CB33C7" w:rsidP="00CF43AF">
            <w:pPr>
              <w:rPr>
                <w:rFonts w:cs="Arial"/>
                <w:b/>
                <w:bCs/>
                <w:szCs w:val="22"/>
              </w:rPr>
            </w:pPr>
            <w:r w:rsidRPr="00CF43AF">
              <w:rPr>
                <w:rFonts w:cs="Arial"/>
                <w:szCs w:val="22"/>
                <w:lang w:eastAsia="it-IT"/>
              </w:rPr>
              <w:t>Прізвище Ім’я По-батькові:</w:t>
            </w:r>
          </w:p>
        </w:tc>
        <w:tc>
          <w:tcPr>
            <w:tcW w:w="6794" w:type="dxa"/>
            <w:gridSpan w:val="9"/>
          </w:tcPr>
          <w:p w14:paraId="0F3899C1" w14:textId="77777777" w:rsidR="00CB33C7" w:rsidRPr="00CF43AF" w:rsidRDefault="00CB33C7" w:rsidP="00CF43AF">
            <w:pPr>
              <w:jc w:val="both"/>
              <w:rPr>
                <w:rFonts w:cs="Arial"/>
                <w:szCs w:val="22"/>
                <w:lang w:eastAsia="it-IT"/>
              </w:rPr>
            </w:pPr>
            <w:r w:rsidRPr="00CF43AF">
              <w:rPr>
                <w:rFonts w:cs="Arial"/>
                <w:szCs w:val="22"/>
                <w:lang w:eastAsia="it-IT"/>
              </w:rPr>
              <w:t>Резедент Валерій Дмитрович</w:t>
            </w:r>
          </w:p>
        </w:tc>
      </w:tr>
      <w:tr w:rsidR="00CB33C7" w:rsidRPr="00C2587D" w14:paraId="08BE74F3" w14:textId="77777777" w:rsidTr="00EA6E27">
        <w:trPr>
          <w:jc w:val="right"/>
        </w:trPr>
        <w:tc>
          <w:tcPr>
            <w:tcW w:w="3425" w:type="dxa"/>
          </w:tcPr>
          <w:p w14:paraId="0D7D3149" w14:textId="77777777" w:rsidR="00CB33C7" w:rsidRPr="00CF43AF" w:rsidRDefault="00CB33C7" w:rsidP="00CF43AF">
            <w:pPr>
              <w:rPr>
                <w:rFonts w:cs="Arial"/>
                <w:b/>
                <w:bCs/>
                <w:szCs w:val="22"/>
              </w:rPr>
            </w:pPr>
            <w:r w:rsidRPr="00CF43AF">
              <w:rPr>
                <w:rFonts w:cs="Arial"/>
                <w:szCs w:val="22"/>
                <w:lang w:eastAsia="it-IT"/>
              </w:rPr>
              <w:t>Телефон (мобільний):</w:t>
            </w:r>
          </w:p>
        </w:tc>
        <w:tc>
          <w:tcPr>
            <w:tcW w:w="6794" w:type="dxa"/>
            <w:gridSpan w:val="9"/>
          </w:tcPr>
          <w:p w14:paraId="16D872F2" w14:textId="77777777" w:rsidR="00CB33C7" w:rsidRPr="00CF43AF" w:rsidRDefault="00CB33C7" w:rsidP="00CF43AF">
            <w:pPr>
              <w:jc w:val="both"/>
              <w:rPr>
                <w:rFonts w:cs="Arial"/>
                <w:szCs w:val="22"/>
                <w:lang w:eastAsia="it-IT"/>
              </w:rPr>
            </w:pPr>
            <w:r w:rsidRPr="00CF43AF">
              <w:rPr>
                <w:rFonts w:cs="Arial"/>
                <w:szCs w:val="22"/>
                <w:lang w:eastAsia="it-IT"/>
              </w:rPr>
              <w:t>0674041516</w:t>
            </w:r>
          </w:p>
        </w:tc>
      </w:tr>
      <w:tr w:rsidR="00CB33C7" w:rsidRPr="00C2587D" w14:paraId="1035077B" w14:textId="77777777" w:rsidTr="00EA6E27">
        <w:trPr>
          <w:jc w:val="right"/>
        </w:trPr>
        <w:tc>
          <w:tcPr>
            <w:tcW w:w="3425" w:type="dxa"/>
          </w:tcPr>
          <w:p w14:paraId="0D994940" w14:textId="77777777" w:rsidR="00CB33C7" w:rsidRPr="00CF43AF" w:rsidRDefault="00CB33C7" w:rsidP="00CF43AF">
            <w:pPr>
              <w:rPr>
                <w:rFonts w:cs="Arial"/>
                <w:b/>
                <w:bCs/>
                <w:szCs w:val="22"/>
              </w:rPr>
            </w:pPr>
            <w:r w:rsidRPr="00CF43AF">
              <w:rPr>
                <w:rFonts w:cs="Arial"/>
                <w:szCs w:val="22"/>
                <w:lang w:eastAsia="it-IT"/>
              </w:rPr>
              <w:t>Електронна адреса:</w:t>
            </w:r>
          </w:p>
        </w:tc>
        <w:tc>
          <w:tcPr>
            <w:tcW w:w="6794" w:type="dxa"/>
            <w:gridSpan w:val="9"/>
          </w:tcPr>
          <w:p w14:paraId="4C9BCDDA" w14:textId="77777777" w:rsidR="00CB33C7" w:rsidRPr="00CF43AF" w:rsidRDefault="00CB33C7" w:rsidP="00CF43AF">
            <w:pPr>
              <w:jc w:val="both"/>
              <w:rPr>
                <w:rFonts w:cs="Arial"/>
                <w:szCs w:val="22"/>
                <w:lang w:eastAsia="it-IT"/>
              </w:rPr>
            </w:pPr>
            <w:r w:rsidRPr="00CF43AF">
              <w:rPr>
                <w:rFonts w:cs="Arial"/>
                <w:szCs w:val="22"/>
                <w:lang w:eastAsia="it-IT"/>
              </w:rPr>
              <w:t>brailivks@gmail.com</w:t>
            </w:r>
          </w:p>
        </w:tc>
      </w:tr>
      <w:tr w:rsidR="00CB33C7" w:rsidRPr="00C2587D" w14:paraId="7AA7B352" w14:textId="77777777" w:rsidTr="00EA6E27">
        <w:trPr>
          <w:jc w:val="right"/>
        </w:trPr>
        <w:tc>
          <w:tcPr>
            <w:tcW w:w="3425" w:type="dxa"/>
            <w:vAlign w:val="center"/>
          </w:tcPr>
          <w:p w14:paraId="5D6CA0A5" w14:textId="77777777" w:rsidR="00CB33C7" w:rsidRPr="00CF43AF" w:rsidRDefault="00CB33C7" w:rsidP="00CF43AF">
            <w:pPr>
              <w:pStyle w:val="6"/>
              <w:spacing w:before="0" w:after="0"/>
              <w:rPr>
                <w:rFonts w:ascii="Arial" w:hAnsi="Arial" w:cs="Arial"/>
                <w:color w:val="000000"/>
                <w:lang w:val="uk-UA"/>
              </w:rPr>
            </w:pPr>
            <w:r w:rsidRPr="00CF43AF">
              <w:rPr>
                <w:rFonts w:ascii="Arial" w:hAnsi="Arial" w:cs="Arial"/>
                <w:color w:val="000000"/>
                <w:lang w:val="uk-UA"/>
              </w:rPr>
              <w:t>Номер і назва завдання з Стратегії</w:t>
            </w:r>
            <w:r w:rsidRPr="00CF43AF">
              <w:rPr>
                <w:rFonts w:ascii="Arial" w:hAnsi="Arial" w:cs="Arial"/>
                <w:lang w:val="uk-UA" w:eastAsia="it-IT"/>
              </w:rPr>
              <w:t xml:space="preserve"> </w:t>
            </w:r>
            <w:r w:rsidRPr="00CF43AF">
              <w:rPr>
                <w:rFonts w:ascii="Arial" w:hAnsi="Arial" w:cs="Arial"/>
                <w:color w:val="000000"/>
                <w:lang w:val="uk-UA"/>
              </w:rPr>
              <w:t>розвитку Жмеринської міської територіальної громади,  якому відповідає проєкт:</w:t>
            </w:r>
          </w:p>
        </w:tc>
        <w:tc>
          <w:tcPr>
            <w:tcW w:w="6794" w:type="dxa"/>
            <w:gridSpan w:val="9"/>
          </w:tcPr>
          <w:p w14:paraId="2B5BC52A" w14:textId="77777777" w:rsidR="00CB33C7" w:rsidRPr="00CF43AF" w:rsidRDefault="00CB33C7" w:rsidP="00CF43AF">
            <w:pPr>
              <w:pBdr>
                <w:left w:val="single" w:sz="18" w:space="4" w:color="auto"/>
              </w:pBdr>
              <w:jc w:val="both"/>
              <w:rPr>
                <w:rFonts w:cs="Arial"/>
                <w:szCs w:val="22"/>
                <w:lang w:eastAsia="it-IT"/>
              </w:rPr>
            </w:pPr>
            <w:r w:rsidRPr="00CF43AF">
              <w:rPr>
                <w:rFonts w:cs="Arial"/>
                <w:szCs w:val="22"/>
                <w:lang w:eastAsia="it-IT"/>
              </w:rPr>
              <w:t>В.1.3.1.Будівництво нових, реконструкція, капітальний ремонт, модернізація мереж централізованої системи водопостачання, водовідведення та каналізація.</w:t>
            </w:r>
          </w:p>
        </w:tc>
      </w:tr>
      <w:tr w:rsidR="00CB33C7" w:rsidRPr="00C2587D" w14:paraId="0A4D9A76" w14:textId="77777777" w:rsidTr="00EA6E27">
        <w:trPr>
          <w:jc w:val="right"/>
        </w:trPr>
        <w:tc>
          <w:tcPr>
            <w:tcW w:w="3425" w:type="dxa"/>
            <w:vAlign w:val="center"/>
          </w:tcPr>
          <w:p w14:paraId="0E97538B" w14:textId="77777777" w:rsidR="00CB33C7" w:rsidRPr="00CF43AF" w:rsidRDefault="00CB33C7" w:rsidP="00CF43AF">
            <w:pPr>
              <w:rPr>
                <w:rFonts w:cs="Arial"/>
                <w:b/>
                <w:bCs/>
                <w:color w:val="000000"/>
                <w:szCs w:val="22"/>
              </w:rPr>
            </w:pPr>
            <w:r w:rsidRPr="00CF43AF">
              <w:rPr>
                <w:rFonts w:cs="Arial"/>
                <w:b/>
                <w:bCs/>
                <w:color w:val="000000"/>
                <w:szCs w:val="22"/>
              </w:rPr>
              <w:t>Мета проєкту:</w:t>
            </w:r>
          </w:p>
        </w:tc>
        <w:tc>
          <w:tcPr>
            <w:tcW w:w="6794" w:type="dxa"/>
            <w:gridSpan w:val="9"/>
          </w:tcPr>
          <w:p w14:paraId="5E6CAD9F" w14:textId="77777777" w:rsidR="00CB33C7" w:rsidRPr="00CF43AF" w:rsidRDefault="00CB33C7" w:rsidP="00CF43AF">
            <w:pPr>
              <w:rPr>
                <w:rFonts w:cs="Arial"/>
                <w:szCs w:val="22"/>
                <w:lang w:eastAsia="it-IT"/>
              </w:rPr>
            </w:pPr>
            <w:r w:rsidRPr="00CF43AF">
              <w:rPr>
                <w:rFonts w:cs="Arial"/>
                <w:szCs w:val="22"/>
                <w:lang w:eastAsia="it-IT"/>
              </w:rPr>
              <w:t>Надання мешканцям села Рів якісних послух з водопостачання.</w:t>
            </w:r>
          </w:p>
        </w:tc>
      </w:tr>
      <w:tr w:rsidR="00CB33C7" w:rsidRPr="00C2587D" w14:paraId="2DC63258" w14:textId="77777777" w:rsidTr="00EA6E27">
        <w:trPr>
          <w:jc w:val="right"/>
        </w:trPr>
        <w:tc>
          <w:tcPr>
            <w:tcW w:w="3425" w:type="dxa"/>
            <w:vAlign w:val="center"/>
          </w:tcPr>
          <w:p w14:paraId="5E2B5158" w14:textId="77777777" w:rsidR="00CB33C7" w:rsidRPr="00CF43AF" w:rsidRDefault="00CB33C7" w:rsidP="00CF43AF">
            <w:pPr>
              <w:rPr>
                <w:rFonts w:cs="Arial"/>
                <w:b/>
                <w:bCs/>
                <w:color w:val="000000"/>
                <w:szCs w:val="22"/>
              </w:rPr>
            </w:pPr>
            <w:r w:rsidRPr="00CF43AF">
              <w:rPr>
                <w:rFonts w:cs="Arial"/>
                <w:b/>
                <w:bCs/>
                <w:color w:val="000000"/>
                <w:szCs w:val="22"/>
              </w:rPr>
              <w:t>Цілі проєкту:</w:t>
            </w:r>
          </w:p>
        </w:tc>
        <w:tc>
          <w:tcPr>
            <w:tcW w:w="6794" w:type="dxa"/>
            <w:gridSpan w:val="9"/>
          </w:tcPr>
          <w:p w14:paraId="3EDC8AD0" w14:textId="77777777" w:rsidR="00CB33C7" w:rsidRPr="00CF43AF" w:rsidRDefault="00CB33C7" w:rsidP="00CF43AF">
            <w:pPr>
              <w:jc w:val="both"/>
              <w:rPr>
                <w:rFonts w:cs="Arial"/>
                <w:szCs w:val="22"/>
                <w:lang w:eastAsia="it-IT"/>
              </w:rPr>
            </w:pPr>
            <w:r w:rsidRPr="00CF43AF">
              <w:rPr>
                <w:rFonts w:cs="Arial"/>
                <w:szCs w:val="22"/>
                <w:lang w:eastAsia="it-IT"/>
              </w:rPr>
              <w:t>Зменшення аварійності на мережах водопостачання до 50% в порівнянні з попереднім роком. Зменшення втрат питної води. Збереження дорожнього покриття.</w:t>
            </w:r>
          </w:p>
        </w:tc>
      </w:tr>
      <w:tr w:rsidR="00CB33C7" w:rsidRPr="00C2587D" w14:paraId="393F3637" w14:textId="77777777" w:rsidTr="00CF43AF">
        <w:trPr>
          <w:jc w:val="right"/>
        </w:trPr>
        <w:tc>
          <w:tcPr>
            <w:tcW w:w="3425" w:type="dxa"/>
            <w:vAlign w:val="center"/>
          </w:tcPr>
          <w:p w14:paraId="27861936" w14:textId="77777777" w:rsidR="00CB33C7" w:rsidRPr="00CF43AF" w:rsidRDefault="00CB33C7" w:rsidP="00CF43AF">
            <w:pPr>
              <w:autoSpaceDE w:val="0"/>
              <w:autoSpaceDN w:val="0"/>
              <w:adjustRightInd w:val="0"/>
              <w:rPr>
                <w:rFonts w:cs="Arial"/>
                <w:b/>
                <w:color w:val="000000"/>
                <w:szCs w:val="22"/>
              </w:rPr>
            </w:pPr>
            <w:r w:rsidRPr="00CF43AF">
              <w:rPr>
                <w:rFonts w:cs="Arial"/>
                <w:b/>
                <w:color w:val="000000"/>
                <w:szCs w:val="22"/>
              </w:rPr>
              <w:t>Територія на яку проєкт матиме вплив:</w:t>
            </w:r>
          </w:p>
        </w:tc>
        <w:tc>
          <w:tcPr>
            <w:tcW w:w="6794" w:type="dxa"/>
            <w:gridSpan w:val="9"/>
            <w:vAlign w:val="center"/>
          </w:tcPr>
          <w:p w14:paraId="5E81EBC8" w14:textId="00D15F6E" w:rsidR="00CB33C7" w:rsidRPr="00CF43AF" w:rsidRDefault="00CB33C7" w:rsidP="00CF43AF">
            <w:pPr>
              <w:rPr>
                <w:rFonts w:cs="Arial"/>
                <w:szCs w:val="22"/>
                <w:lang w:eastAsia="it-IT"/>
              </w:rPr>
            </w:pPr>
            <w:r w:rsidRPr="00CF43AF">
              <w:rPr>
                <w:rFonts w:cs="Arial"/>
                <w:szCs w:val="22"/>
                <w:lang w:eastAsia="it-IT"/>
              </w:rPr>
              <w:t>Село Рів,  Жмеринської МТГ</w:t>
            </w:r>
          </w:p>
        </w:tc>
      </w:tr>
      <w:tr w:rsidR="00CB33C7" w:rsidRPr="00C2587D" w14:paraId="628927DA" w14:textId="77777777" w:rsidTr="00EA6E27">
        <w:trPr>
          <w:jc w:val="right"/>
        </w:trPr>
        <w:tc>
          <w:tcPr>
            <w:tcW w:w="3425" w:type="dxa"/>
            <w:vAlign w:val="center"/>
          </w:tcPr>
          <w:p w14:paraId="490FBEA9" w14:textId="77777777" w:rsidR="00CB33C7" w:rsidRPr="00CF43AF" w:rsidRDefault="00CB33C7" w:rsidP="00CF43AF">
            <w:pPr>
              <w:autoSpaceDE w:val="0"/>
              <w:autoSpaceDN w:val="0"/>
              <w:adjustRightInd w:val="0"/>
              <w:rPr>
                <w:rFonts w:cs="Arial"/>
                <w:b/>
                <w:color w:val="000000"/>
                <w:szCs w:val="22"/>
              </w:rPr>
            </w:pPr>
            <w:r w:rsidRPr="00CF43AF">
              <w:rPr>
                <w:rFonts w:cs="Arial"/>
                <w:b/>
                <w:color w:val="000000"/>
                <w:szCs w:val="22"/>
              </w:rPr>
              <w:t>Цільові групи проєкту та кількість отримувачів вигоди</w:t>
            </w:r>
          </w:p>
        </w:tc>
        <w:tc>
          <w:tcPr>
            <w:tcW w:w="6794" w:type="dxa"/>
            <w:gridSpan w:val="9"/>
          </w:tcPr>
          <w:p w14:paraId="7C123BB2" w14:textId="77777777" w:rsidR="00CB33C7" w:rsidRPr="00CF43AF" w:rsidRDefault="00CB33C7" w:rsidP="00CF43AF">
            <w:pPr>
              <w:jc w:val="both"/>
              <w:rPr>
                <w:rFonts w:cs="Arial"/>
                <w:szCs w:val="22"/>
                <w:lang w:eastAsia="it-IT"/>
              </w:rPr>
            </w:pPr>
            <w:r w:rsidRPr="00CF43AF">
              <w:rPr>
                <w:rFonts w:cs="Arial"/>
                <w:szCs w:val="22"/>
                <w:lang w:eastAsia="it-IT"/>
              </w:rPr>
              <w:t>100 жителів села Рів включаючи пенсіонерів, ветеранів війни, інвалідів та багатодітні сім’ї .</w:t>
            </w:r>
          </w:p>
        </w:tc>
      </w:tr>
      <w:tr w:rsidR="00CB33C7" w:rsidRPr="00C2587D" w14:paraId="1F0D4C42" w14:textId="77777777" w:rsidTr="00EA6E27">
        <w:trPr>
          <w:jc w:val="right"/>
        </w:trPr>
        <w:tc>
          <w:tcPr>
            <w:tcW w:w="3425" w:type="dxa"/>
            <w:shd w:val="clear" w:color="auto" w:fill="FFFFFF"/>
            <w:vAlign w:val="center"/>
          </w:tcPr>
          <w:p w14:paraId="42CAD0B4" w14:textId="77777777" w:rsidR="00CB33C7" w:rsidRPr="00CF43AF" w:rsidRDefault="00CB33C7" w:rsidP="00CF43AF">
            <w:pPr>
              <w:rPr>
                <w:rFonts w:cs="Arial"/>
                <w:b/>
                <w:bCs/>
                <w:color w:val="000000"/>
                <w:szCs w:val="22"/>
              </w:rPr>
            </w:pPr>
            <w:r w:rsidRPr="00CF43AF">
              <w:rPr>
                <w:rFonts w:cs="Arial"/>
                <w:b/>
                <w:bCs/>
                <w:color w:val="000000"/>
                <w:szCs w:val="22"/>
              </w:rPr>
              <w:t>Стислий опис проєкту:</w:t>
            </w:r>
          </w:p>
        </w:tc>
        <w:tc>
          <w:tcPr>
            <w:tcW w:w="6794" w:type="dxa"/>
            <w:gridSpan w:val="9"/>
          </w:tcPr>
          <w:p w14:paraId="79B5628D" w14:textId="77777777" w:rsidR="00CB33C7" w:rsidRPr="00CF43AF" w:rsidRDefault="00CB33C7" w:rsidP="00CF43AF">
            <w:pPr>
              <w:jc w:val="both"/>
              <w:rPr>
                <w:rFonts w:cs="Arial"/>
                <w:szCs w:val="22"/>
                <w:lang w:eastAsia="it-IT"/>
              </w:rPr>
            </w:pPr>
            <w:r w:rsidRPr="00CF43AF">
              <w:rPr>
                <w:rFonts w:cs="Arial"/>
                <w:szCs w:val="22"/>
                <w:lang w:eastAsia="it-IT"/>
              </w:rPr>
              <w:t>Система водопостачання села Рів побудована в 80-х роках 20 століття. Капітальний ремонт водогону за весь час експлуатації мереж не відбувався. Металеві труби по яких питна вода подається до кінцевих споживачів зношені на 80%. Це призводить до частих аварійних поривів на мережах водопостачання та безповоротних втрат питної води. Також ліквідація аварійних поривів передбачає руйнування дорожнього полотна, що в свою чергу призводить до додаткових витрат місцевого бюджету.</w:t>
            </w:r>
          </w:p>
          <w:p w14:paraId="3E92C145" w14:textId="45C4FDEB" w:rsidR="00CB33C7" w:rsidRPr="00CF43AF" w:rsidRDefault="008C063B" w:rsidP="00CF43AF">
            <w:pPr>
              <w:jc w:val="both"/>
              <w:rPr>
                <w:rFonts w:cs="Arial"/>
                <w:szCs w:val="22"/>
                <w:lang w:eastAsia="it-IT"/>
              </w:rPr>
            </w:pPr>
            <w:r>
              <w:rPr>
                <w:rFonts w:cs="Arial"/>
                <w:szCs w:val="22"/>
                <w:lang w:eastAsia="it-IT"/>
              </w:rPr>
              <w:t>Проє</w:t>
            </w:r>
            <w:r w:rsidR="00CB33C7" w:rsidRPr="00CF43AF">
              <w:rPr>
                <w:rFonts w:cs="Arial"/>
                <w:szCs w:val="22"/>
                <w:lang w:eastAsia="it-IT"/>
              </w:rPr>
              <w:t>ктом передбачається заміна труб центральних водогонів в селі Рів по вулицях Чайковського, Набережна, Садова та Лісова на нові поліпропіленові труби, що дасть змогу зекономити бюджетні кошти на обслуговування мереж водопостачання, зменшити втрати питної води та зберегти дорожнє полотно.</w:t>
            </w:r>
          </w:p>
        </w:tc>
      </w:tr>
      <w:tr w:rsidR="00CB33C7" w:rsidRPr="00C2587D" w14:paraId="04C9B4D9" w14:textId="77777777" w:rsidTr="00EA6E27">
        <w:trPr>
          <w:jc w:val="right"/>
        </w:trPr>
        <w:tc>
          <w:tcPr>
            <w:tcW w:w="3425" w:type="dxa"/>
            <w:shd w:val="clear" w:color="auto" w:fill="FFFFFF"/>
            <w:vAlign w:val="center"/>
          </w:tcPr>
          <w:p w14:paraId="5C3351CC" w14:textId="77777777" w:rsidR="00CB33C7" w:rsidRPr="00CF43AF" w:rsidRDefault="00CB33C7" w:rsidP="00CF43AF">
            <w:pPr>
              <w:rPr>
                <w:rFonts w:cs="Arial"/>
                <w:b/>
                <w:bCs/>
                <w:color w:val="000000"/>
                <w:szCs w:val="22"/>
              </w:rPr>
            </w:pPr>
            <w:r w:rsidRPr="00CF43AF">
              <w:rPr>
                <w:rFonts w:cs="Arial"/>
                <w:b/>
                <w:bCs/>
                <w:color w:val="000000"/>
                <w:szCs w:val="22"/>
              </w:rPr>
              <w:t>Основні заходи проєкту:</w:t>
            </w:r>
          </w:p>
        </w:tc>
        <w:tc>
          <w:tcPr>
            <w:tcW w:w="6794" w:type="dxa"/>
            <w:gridSpan w:val="9"/>
          </w:tcPr>
          <w:p w14:paraId="33B6BEFD" w14:textId="005D237D" w:rsidR="00CB33C7" w:rsidRPr="00CF43AF" w:rsidRDefault="00CB33C7" w:rsidP="00CF43AF">
            <w:pPr>
              <w:jc w:val="both"/>
              <w:rPr>
                <w:rFonts w:cs="Arial"/>
                <w:szCs w:val="22"/>
                <w:lang w:eastAsia="it-IT"/>
              </w:rPr>
            </w:pPr>
            <w:r w:rsidRPr="00CF43AF">
              <w:rPr>
                <w:rFonts w:cs="Arial"/>
                <w:szCs w:val="22"/>
                <w:lang w:eastAsia="it-IT"/>
              </w:rPr>
              <w:t>Розробка ПКД. Проведення експертизи ПКД. Проведення процедури відкритих торгів з метою визначення виконавця робіт. Отримання дозволу на виконання  будівельних робіт. Виконання робіт по реконструкцій водопровідних мереж. Введення в експлуатацію  об’єкта після виконання робіт.</w:t>
            </w:r>
          </w:p>
        </w:tc>
      </w:tr>
      <w:tr w:rsidR="00CB33C7" w:rsidRPr="00C2587D" w14:paraId="17F38C80" w14:textId="77777777" w:rsidTr="00EA6E27">
        <w:trPr>
          <w:jc w:val="right"/>
        </w:trPr>
        <w:tc>
          <w:tcPr>
            <w:tcW w:w="3425" w:type="dxa"/>
            <w:shd w:val="clear" w:color="auto" w:fill="FFFFFF"/>
            <w:vAlign w:val="center"/>
          </w:tcPr>
          <w:p w14:paraId="492BA081" w14:textId="77777777" w:rsidR="00CB33C7" w:rsidRPr="00CF43AF" w:rsidRDefault="00CB33C7" w:rsidP="00CF43AF">
            <w:pPr>
              <w:rPr>
                <w:rFonts w:cs="Arial"/>
                <w:b/>
                <w:bCs/>
                <w:color w:val="000000"/>
                <w:szCs w:val="22"/>
              </w:rPr>
            </w:pPr>
            <w:r w:rsidRPr="00CF43AF">
              <w:rPr>
                <w:rFonts w:cs="Arial"/>
                <w:b/>
                <w:bCs/>
                <w:color w:val="000000"/>
                <w:szCs w:val="22"/>
              </w:rPr>
              <w:t>Індикатори (показники) результативності:</w:t>
            </w:r>
          </w:p>
        </w:tc>
        <w:tc>
          <w:tcPr>
            <w:tcW w:w="6794" w:type="dxa"/>
            <w:gridSpan w:val="9"/>
          </w:tcPr>
          <w:p w14:paraId="44D0C3C7" w14:textId="2C3E03E5" w:rsidR="00CB33C7" w:rsidRPr="00CF43AF" w:rsidRDefault="00CB33C7" w:rsidP="00667673">
            <w:pPr>
              <w:jc w:val="both"/>
              <w:rPr>
                <w:rFonts w:cs="Arial"/>
                <w:szCs w:val="22"/>
                <w:lang w:eastAsia="it-IT"/>
              </w:rPr>
            </w:pPr>
            <w:r w:rsidRPr="00CF43AF">
              <w:rPr>
                <w:rFonts w:cs="Arial"/>
                <w:szCs w:val="22"/>
                <w:lang w:eastAsia="it-IT"/>
              </w:rPr>
              <w:t>Реконструкція мереж водопостачання орієнтовною довжиною 3 км.  Зменшення втрат питної води до 50% у порівняні з попереднім роком. Зменшення кількості аварійних поривів на мережах водопостачання до 80% у порівняні з попереднім роком. Забезпечення 100 мешканців села Рів послугою з якісного безперебійного водопостачання. Збереження дорожнього покриття.</w:t>
            </w:r>
          </w:p>
        </w:tc>
      </w:tr>
      <w:tr w:rsidR="00CB33C7" w:rsidRPr="00C2587D" w14:paraId="55AA84C2" w14:textId="77777777" w:rsidTr="00EA6E27">
        <w:trPr>
          <w:jc w:val="right"/>
        </w:trPr>
        <w:tc>
          <w:tcPr>
            <w:tcW w:w="3425" w:type="dxa"/>
            <w:shd w:val="clear" w:color="auto" w:fill="FFFFFF"/>
            <w:vAlign w:val="center"/>
          </w:tcPr>
          <w:p w14:paraId="7561D0DB" w14:textId="77777777" w:rsidR="00CB33C7" w:rsidRPr="00CF43AF" w:rsidRDefault="00CB33C7" w:rsidP="00CF43AF">
            <w:pPr>
              <w:rPr>
                <w:rFonts w:cs="Arial"/>
                <w:b/>
                <w:color w:val="000000"/>
                <w:szCs w:val="22"/>
              </w:rPr>
            </w:pPr>
            <w:r w:rsidRPr="00CF43AF">
              <w:rPr>
                <w:rFonts w:cs="Arial"/>
                <w:b/>
                <w:color w:val="000000"/>
                <w:szCs w:val="22"/>
              </w:rPr>
              <w:t xml:space="preserve">Період здійснення: </w:t>
            </w:r>
          </w:p>
        </w:tc>
        <w:tc>
          <w:tcPr>
            <w:tcW w:w="6794" w:type="dxa"/>
            <w:gridSpan w:val="9"/>
            <w:vAlign w:val="center"/>
          </w:tcPr>
          <w:p w14:paraId="449650E7" w14:textId="77777777" w:rsidR="00CB33C7" w:rsidRPr="00CF43AF" w:rsidRDefault="00CB33C7" w:rsidP="00CF43AF">
            <w:pPr>
              <w:rPr>
                <w:rFonts w:cs="Arial"/>
                <w:color w:val="000000"/>
                <w:szCs w:val="22"/>
                <w:lang w:eastAsia="it-IT"/>
              </w:rPr>
            </w:pPr>
            <w:r w:rsidRPr="00CF43AF">
              <w:rPr>
                <w:rFonts w:cs="Arial"/>
                <w:b/>
                <w:color w:val="000000"/>
                <w:szCs w:val="22"/>
              </w:rPr>
              <w:t>2025 – 2028 роки:</w:t>
            </w:r>
          </w:p>
        </w:tc>
      </w:tr>
      <w:tr w:rsidR="00CB33C7" w:rsidRPr="00C2587D" w14:paraId="395F2966" w14:textId="77777777" w:rsidTr="00EA6E27">
        <w:trPr>
          <w:jc w:val="right"/>
        </w:trPr>
        <w:tc>
          <w:tcPr>
            <w:tcW w:w="3425" w:type="dxa"/>
            <w:vMerge w:val="restart"/>
            <w:shd w:val="clear" w:color="auto" w:fill="FFFFFF"/>
            <w:vAlign w:val="center"/>
          </w:tcPr>
          <w:p w14:paraId="09B3F453" w14:textId="77777777" w:rsidR="00CB33C7" w:rsidRPr="00CF43AF" w:rsidRDefault="00CB33C7" w:rsidP="00CF43AF">
            <w:pPr>
              <w:rPr>
                <w:rFonts w:cs="Arial"/>
                <w:b/>
                <w:bCs/>
                <w:color w:val="000000"/>
                <w:szCs w:val="22"/>
              </w:rPr>
            </w:pPr>
            <w:r w:rsidRPr="00CF43AF">
              <w:rPr>
                <w:rFonts w:cs="Arial"/>
                <w:b/>
                <w:bCs/>
                <w:color w:val="000000"/>
                <w:szCs w:val="22"/>
              </w:rPr>
              <w:t>Орієнтовна вартість проєкту, тис. грн., в тому числі:</w:t>
            </w:r>
          </w:p>
        </w:tc>
        <w:tc>
          <w:tcPr>
            <w:tcW w:w="1254" w:type="dxa"/>
            <w:gridSpan w:val="2"/>
            <w:shd w:val="clear" w:color="auto" w:fill="E6E6E6"/>
            <w:vAlign w:val="center"/>
          </w:tcPr>
          <w:p w14:paraId="57B0D291" w14:textId="77777777" w:rsidR="00CB33C7" w:rsidRPr="00CF43AF" w:rsidRDefault="00CB33C7" w:rsidP="00CF43AF">
            <w:pPr>
              <w:jc w:val="center"/>
              <w:rPr>
                <w:rFonts w:cs="Arial"/>
                <w:b/>
                <w:color w:val="000000"/>
                <w:szCs w:val="22"/>
                <w:lang w:eastAsia="it-IT"/>
              </w:rPr>
            </w:pPr>
            <w:r w:rsidRPr="00CF43AF">
              <w:rPr>
                <w:rFonts w:cs="Arial"/>
                <w:b/>
                <w:color w:val="000000"/>
                <w:szCs w:val="22"/>
                <w:lang w:eastAsia="it-IT"/>
              </w:rPr>
              <w:t>2025</w:t>
            </w:r>
          </w:p>
        </w:tc>
        <w:tc>
          <w:tcPr>
            <w:tcW w:w="1275" w:type="dxa"/>
            <w:shd w:val="clear" w:color="auto" w:fill="E6E6E6"/>
            <w:vAlign w:val="center"/>
          </w:tcPr>
          <w:p w14:paraId="358AEA48" w14:textId="77777777" w:rsidR="00CB33C7" w:rsidRPr="00CF43AF" w:rsidRDefault="00CB33C7" w:rsidP="00CF43AF">
            <w:pPr>
              <w:jc w:val="center"/>
              <w:rPr>
                <w:rFonts w:cs="Arial"/>
                <w:b/>
                <w:color w:val="000000"/>
                <w:szCs w:val="22"/>
                <w:lang w:eastAsia="it-IT"/>
              </w:rPr>
            </w:pPr>
            <w:r w:rsidRPr="00CF43AF">
              <w:rPr>
                <w:rFonts w:cs="Arial"/>
                <w:b/>
                <w:color w:val="000000"/>
                <w:szCs w:val="22"/>
                <w:lang w:eastAsia="it-IT"/>
              </w:rPr>
              <w:t>2026</w:t>
            </w:r>
          </w:p>
        </w:tc>
        <w:tc>
          <w:tcPr>
            <w:tcW w:w="1418" w:type="dxa"/>
            <w:gridSpan w:val="2"/>
            <w:tcBorders>
              <w:bottom w:val="single" w:sz="4" w:space="0" w:color="auto"/>
            </w:tcBorders>
            <w:shd w:val="clear" w:color="auto" w:fill="E6E6E6"/>
            <w:vAlign w:val="center"/>
          </w:tcPr>
          <w:p w14:paraId="2D4A8B53" w14:textId="77777777" w:rsidR="00CB33C7" w:rsidRPr="00CF43AF" w:rsidRDefault="00CB33C7" w:rsidP="00CF43AF">
            <w:pPr>
              <w:jc w:val="center"/>
              <w:rPr>
                <w:rFonts w:cs="Arial"/>
                <w:b/>
                <w:color w:val="000000"/>
                <w:szCs w:val="22"/>
                <w:lang w:eastAsia="it-IT"/>
              </w:rPr>
            </w:pPr>
            <w:r w:rsidRPr="00CF43AF">
              <w:rPr>
                <w:rFonts w:cs="Arial"/>
                <w:b/>
                <w:color w:val="000000"/>
                <w:szCs w:val="22"/>
                <w:lang w:eastAsia="it-IT"/>
              </w:rPr>
              <w:t>2027</w:t>
            </w:r>
          </w:p>
        </w:tc>
        <w:tc>
          <w:tcPr>
            <w:tcW w:w="1276" w:type="dxa"/>
            <w:gridSpan w:val="2"/>
            <w:shd w:val="clear" w:color="auto" w:fill="E6E6E6"/>
            <w:vAlign w:val="center"/>
          </w:tcPr>
          <w:p w14:paraId="1FCFA75A" w14:textId="77777777" w:rsidR="00CB33C7" w:rsidRPr="00CF43AF" w:rsidRDefault="00CB33C7" w:rsidP="00CF43AF">
            <w:pPr>
              <w:jc w:val="center"/>
              <w:rPr>
                <w:rFonts w:cs="Arial"/>
                <w:b/>
                <w:color w:val="000000"/>
                <w:szCs w:val="22"/>
                <w:lang w:eastAsia="it-IT"/>
              </w:rPr>
            </w:pPr>
            <w:r w:rsidRPr="00CF43AF">
              <w:rPr>
                <w:rFonts w:cs="Arial"/>
                <w:b/>
                <w:color w:val="000000"/>
                <w:szCs w:val="22"/>
                <w:lang w:eastAsia="it-IT"/>
              </w:rPr>
              <w:t>2028</w:t>
            </w:r>
          </w:p>
        </w:tc>
        <w:tc>
          <w:tcPr>
            <w:tcW w:w="1571" w:type="dxa"/>
            <w:gridSpan w:val="2"/>
            <w:shd w:val="clear" w:color="auto" w:fill="E6E6E6"/>
            <w:vAlign w:val="center"/>
          </w:tcPr>
          <w:p w14:paraId="7C53E402" w14:textId="77777777" w:rsidR="00CB33C7" w:rsidRPr="00CF43AF" w:rsidRDefault="00CB33C7" w:rsidP="00CF43AF">
            <w:pPr>
              <w:jc w:val="center"/>
              <w:rPr>
                <w:rFonts w:cs="Arial"/>
                <w:b/>
                <w:color w:val="000000"/>
                <w:szCs w:val="22"/>
                <w:lang w:eastAsia="it-IT"/>
              </w:rPr>
            </w:pPr>
            <w:r w:rsidRPr="00CF43AF">
              <w:rPr>
                <w:rFonts w:cs="Arial"/>
                <w:b/>
                <w:color w:val="000000"/>
                <w:szCs w:val="22"/>
                <w:lang w:eastAsia="it-IT"/>
              </w:rPr>
              <w:t>РАЗОМ</w:t>
            </w:r>
          </w:p>
        </w:tc>
      </w:tr>
      <w:tr w:rsidR="00CB33C7" w:rsidRPr="00C2587D" w14:paraId="400B2575" w14:textId="77777777" w:rsidTr="00EA6E27">
        <w:trPr>
          <w:jc w:val="right"/>
        </w:trPr>
        <w:tc>
          <w:tcPr>
            <w:tcW w:w="3425" w:type="dxa"/>
            <w:vMerge/>
            <w:shd w:val="clear" w:color="auto" w:fill="FFFFFF"/>
            <w:vAlign w:val="center"/>
          </w:tcPr>
          <w:p w14:paraId="12C3ED86" w14:textId="77777777" w:rsidR="00CB33C7" w:rsidRPr="00CF43AF" w:rsidRDefault="00CB33C7" w:rsidP="00CF43AF">
            <w:pPr>
              <w:rPr>
                <w:rFonts w:cs="Arial"/>
                <w:b/>
                <w:bCs/>
                <w:color w:val="000000"/>
                <w:szCs w:val="22"/>
              </w:rPr>
            </w:pPr>
          </w:p>
        </w:tc>
        <w:tc>
          <w:tcPr>
            <w:tcW w:w="1254" w:type="dxa"/>
            <w:gridSpan w:val="2"/>
            <w:vAlign w:val="center"/>
          </w:tcPr>
          <w:p w14:paraId="017BDB64" w14:textId="77777777" w:rsidR="00CB33C7" w:rsidRPr="00CF43AF" w:rsidRDefault="00CB33C7" w:rsidP="00CF43AF">
            <w:pPr>
              <w:jc w:val="center"/>
              <w:rPr>
                <w:rFonts w:cs="Arial"/>
                <w:b/>
                <w:color w:val="000000"/>
                <w:szCs w:val="22"/>
                <w:lang w:eastAsia="it-IT"/>
              </w:rPr>
            </w:pPr>
            <w:r w:rsidRPr="00CF43AF">
              <w:rPr>
                <w:rFonts w:cs="Arial"/>
                <w:b/>
                <w:color w:val="000000"/>
                <w:szCs w:val="22"/>
                <w:lang w:eastAsia="it-IT"/>
              </w:rPr>
              <w:t>0,00</w:t>
            </w:r>
          </w:p>
        </w:tc>
        <w:tc>
          <w:tcPr>
            <w:tcW w:w="1275" w:type="dxa"/>
            <w:shd w:val="clear" w:color="auto" w:fill="FFFFFF"/>
            <w:vAlign w:val="center"/>
          </w:tcPr>
          <w:p w14:paraId="079C372A" w14:textId="77777777" w:rsidR="00CB33C7" w:rsidRPr="00CF43AF" w:rsidRDefault="00CB33C7" w:rsidP="00CF43AF">
            <w:pPr>
              <w:jc w:val="center"/>
              <w:rPr>
                <w:rFonts w:cs="Arial"/>
                <w:b/>
                <w:color w:val="000000"/>
                <w:szCs w:val="22"/>
                <w:lang w:eastAsia="it-IT"/>
              </w:rPr>
            </w:pPr>
            <w:r w:rsidRPr="00CF43AF">
              <w:rPr>
                <w:rFonts w:cs="Arial"/>
                <w:b/>
                <w:color w:val="000000"/>
                <w:szCs w:val="22"/>
                <w:lang w:eastAsia="it-IT"/>
              </w:rPr>
              <w:t xml:space="preserve">200,00 </w:t>
            </w:r>
          </w:p>
        </w:tc>
        <w:tc>
          <w:tcPr>
            <w:tcW w:w="1418" w:type="dxa"/>
            <w:gridSpan w:val="2"/>
            <w:shd w:val="clear" w:color="auto" w:fill="auto"/>
            <w:vAlign w:val="center"/>
          </w:tcPr>
          <w:p w14:paraId="0EFD03B4" w14:textId="77777777" w:rsidR="00CB33C7" w:rsidRPr="00CF43AF" w:rsidRDefault="00CB33C7" w:rsidP="00CF43AF">
            <w:pPr>
              <w:jc w:val="center"/>
              <w:rPr>
                <w:rFonts w:cs="Arial"/>
                <w:b/>
                <w:color w:val="000000"/>
                <w:szCs w:val="22"/>
                <w:lang w:eastAsia="it-IT"/>
              </w:rPr>
            </w:pPr>
            <w:r w:rsidRPr="00CF43AF">
              <w:rPr>
                <w:rFonts w:cs="Arial"/>
                <w:b/>
                <w:color w:val="000000"/>
                <w:szCs w:val="22"/>
                <w:lang w:eastAsia="it-IT"/>
              </w:rPr>
              <w:t>1300,00</w:t>
            </w:r>
          </w:p>
        </w:tc>
        <w:tc>
          <w:tcPr>
            <w:tcW w:w="1276" w:type="dxa"/>
            <w:gridSpan w:val="2"/>
            <w:shd w:val="clear" w:color="auto" w:fill="FFFFFF"/>
            <w:vAlign w:val="center"/>
          </w:tcPr>
          <w:p w14:paraId="1B83CD46" w14:textId="77777777" w:rsidR="00CB33C7" w:rsidRPr="00CF43AF" w:rsidRDefault="00CB33C7" w:rsidP="00CF43AF">
            <w:pPr>
              <w:jc w:val="center"/>
              <w:rPr>
                <w:rFonts w:cs="Arial"/>
                <w:b/>
                <w:color w:val="000000"/>
                <w:szCs w:val="22"/>
                <w:lang w:eastAsia="it-IT"/>
              </w:rPr>
            </w:pPr>
            <w:r w:rsidRPr="00CF43AF">
              <w:rPr>
                <w:rFonts w:cs="Arial"/>
                <w:b/>
                <w:color w:val="000000"/>
                <w:szCs w:val="22"/>
                <w:lang w:eastAsia="it-IT"/>
              </w:rPr>
              <w:t>0,00</w:t>
            </w:r>
          </w:p>
        </w:tc>
        <w:tc>
          <w:tcPr>
            <w:tcW w:w="1571" w:type="dxa"/>
            <w:gridSpan w:val="2"/>
            <w:shd w:val="clear" w:color="auto" w:fill="FFFFFF"/>
            <w:vAlign w:val="center"/>
          </w:tcPr>
          <w:p w14:paraId="2A66AD17" w14:textId="77777777" w:rsidR="00CB33C7" w:rsidRPr="00CF43AF" w:rsidRDefault="00CB33C7" w:rsidP="00CF43AF">
            <w:pPr>
              <w:jc w:val="center"/>
              <w:rPr>
                <w:rFonts w:cs="Arial"/>
                <w:b/>
                <w:color w:val="000000"/>
                <w:szCs w:val="22"/>
                <w:lang w:eastAsia="it-IT"/>
              </w:rPr>
            </w:pPr>
            <w:r w:rsidRPr="00CF43AF">
              <w:rPr>
                <w:rFonts w:cs="Arial"/>
                <w:b/>
                <w:color w:val="000000"/>
                <w:szCs w:val="22"/>
                <w:lang w:eastAsia="it-IT"/>
              </w:rPr>
              <w:t>1500,00</w:t>
            </w:r>
          </w:p>
        </w:tc>
      </w:tr>
      <w:tr w:rsidR="00CB33C7" w:rsidRPr="00C2587D" w14:paraId="1733AE5B" w14:textId="77777777" w:rsidTr="00EA6E27">
        <w:trPr>
          <w:trHeight w:val="276"/>
          <w:jc w:val="right"/>
        </w:trPr>
        <w:tc>
          <w:tcPr>
            <w:tcW w:w="3425" w:type="dxa"/>
            <w:shd w:val="clear" w:color="auto" w:fill="FFFFFF"/>
            <w:vAlign w:val="center"/>
          </w:tcPr>
          <w:p w14:paraId="06A8D063" w14:textId="77777777" w:rsidR="00CB33C7" w:rsidRPr="00CF43AF" w:rsidRDefault="00CB33C7" w:rsidP="00CF43AF">
            <w:pPr>
              <w:rPr>
                <w:rFonts w:cs="Arial"/>
                <w:b/>
                <w:bCs/>
                <w:color w:val="000000"/>
                <w:szCs w:val="22"/>
              </w:rPr>
            </w:pPr>
            <w:r w:rsidRPr="00CF43AF">
              <w:rPr>
                <w:rFonts w:cs="Arial"/>
                <w:b/>
                <w:bCs/>
                <w:color w:val="000000"/>
                <w:szCs w:val="22"/>
              </w:rPr>
              <w:t>по джерелах фінансування:</w:t>
            </w:r>
          </w:p>
        </w:tc>
        <w:tc>
          <w:tcPr>
            <w:tcW w:w="6794" w:type="dxa"/>
            <w:gridSpan w:val="9"/>
            <w:vAlign w:val="center"/>
          </w:tcPr>
          <w:p w14:paraId="154F1DB7" w14:textId="77777777" w:rsidR="00CB33C7" w:rsidRPr="00CF43AF" w:rsidRDefault="00CB33C7" w:rsidP="00CF43AF">
            <w:pPr>
              <w:jc w:val="both"/>
              <w:rPr>
                <w:rFonts w:cs="Arial"/>
                <w:color w:val="000000"/>
                <w:szCs w:val="22"/>
                <w:lang w:eastAsia="it-IT"/>
              </w:rPr>
            </w:pPr>
          </w:p>
        </w:tc>
      </w:tr>
      <w:tr w:rsidR="00CF43AF" w:rsidRPr="00C2587D" w14:paraId="51947EFC" w14:textId="16A67C42" w:rsidTr="00EC4C49">
        <w:trPr>
          <w:trHeight w:val="240"/>
          <w:jc w:val="right"/>
        </w:trPr>
        <w:tc>
          <w:tcPr>
            <w:tcW w:w="3425" w:type="dxa"/>
            <w:shd w:val="clear" w:color="auto" w:fill="FFFFFF"/>
            <w:vAlign w:val="center"/>
          </w:tcPr>
          <w:p w14:paraId="34B4875E" w14:textId="77777777" w:rsidR="00CF43AF" w:rsidRPr="00CF43AF" w:rsidRDefault="00CF43AF" w:rsidP="00CF43AF">
            <w:pPr>
              <w:rPr>
                <w:rFonts w:cs="Arial"/>
                <w:b/>
                <w:bCs/>
                <w:color w:val="000000"/>
                <w:szCs w:val="22"/>
              </w:rPr>
            </w:pPr>
            <w:r w:rsidRPr="00CF43AF">
              <w:rPr>
                <w:rFonts w:cs="Arial"/>
                <w:color w:val="000000"/>
                <w:szCs w:val="22"/>
              </w:rPr>
              <w:t>- державний бюджет</w:t>
            </w:r>
          </w:p>
        </w:tc>
        <w:tc>
          <w:tcPr>
            <w:tcW w:w="1244" w:type="dxa"/>
          </w:tcPr>
          <w:p w14:paraId="0CB9DE5E" w14:textId="103DB743" w:rsidR="00CF43AF" w:rsidRPr="00CF43AF" w:rsidRDefault="00CF43AF" w:rsidP="00EC4C49">
            <w:pPr>
              <w:jc w:val="center"/>
              <w:rPr>
                <w:rFonts w:cs="Arial"/>
                <w:color w:val="000000"/>
                <w:szCs w:val="22"/>
                <w:lang w:eastAsia="it-IT"/>
              </w:rPr>
            </w:pPr>
          </w:p>
        </w:tc>
        <w:tc>
          <w:tcPr>
            <w:tcW w:w="1336" w:type="dxa"/>
            <w:gridSpan w:val="3"/>
          </w:tcPr>
          <w:p w14:paraId="481F2A81" w14:textId="77777777" w:rsidR="00CF43AF" w:rsidRPr="00CF43AF" w:rsidRDefault="00CF43AF" w:rsidP="00EC4C49">
            <w:pPr>
              <w:jc w:val="center"/>
              <w:rPr>
                <w:rFonts w:cs="Arial"/>
                <w:color w:val="000000"/>
                <w:szCs w:val="22"/>
                <w:lang w:eastAsia="it-IT"/>
              </w:rPr>
            </w:pPr>
          </w:p>
        </w:tc>
        <w:tc>
          <w:tcPr>
            <w:tcW w:w="1417" w:type="dxa"/>
            <w:gridSpan w:val="2"/>
          </w:tcPr>
          <w:p w14:paraId="0D73A159" w14:textId="77777777" w:rsidR="00CF43AF" w:rsidRPr="00CF43AF" w:rsidRDefault="00CF43AF" w:rsidP="00EC4C49">
            <w:pPr>
              <w:jc w:val="center"/>
              <w:rPr>
                <w:rFonts w:cs="Arial"/>
                <w:color w:val="000000"/>
                <w:szCs w:val="22"/>
                <w:lang w:eastAsia="it-IT"/>
              </w:rPr>
            </w:pPr>
          </w:p>
        </w:tc>
        <w:tc>
          <w:tcPr>
            <w:tcW w:w="1233" w:type="dxa"/>
            <w:gridSpan w:val="2"/>
          </w:tcPr>
          <w:p w14:paraId="4992511D" w14:textId="77777777" w:rsidR="00CF43AF" w:rsidRPr="00CF43AF" w:rsidRDefault="00CF43AF" w:rsidP="00EC4C49">
            <w:pPr>
              <w:jc w:val="center"/>
              <w:rPr>
                <w:rFonts w:cs="Arial"/>
                <w:color w:val="000000"/>
                <w:szCs w:val="22"/>
                <w:lang w:eastAsia="it-IT"/>
              </w:rPr>
            </w:pPr>
          </w:p>
        </w:tc>
        <w:tc>
          <w:tcPr>
            <w:tcW w:w="1564" w:type="dxa"/>
          </w:tcPr>
          <w:p w14:paraId="0BF9AB40" w14:textId="12AE7384" w:rsidR="00CF43AF" w:rsidRPr="00CF43AF" w:rsidRDefault="00CF43AF" w:rsidP="00EC4C49">
            <w:pPr>
              <w:jc w:val="center"/>
              <w:rPr>
                <w:rFonts w:cs="Arial"/>
                <w:color w:val="000000"/>
                <w:szCs w:val="22"/>
                <w:lang w:eastAsia="it-IT"/>
              </w:rPr>
            </w:pPr>
          </w:p>
        </w:tc>
      </w:tr>
      <w:tr w:rsidR="00CF43AF" w:rsidRPr="00C2587D" w14:paraId="0A44A34C" w14:textId="4024D81D" w:rsidTr="00EC4C49">
        <w:trPr>
          <w:trHeight w:val="254"/>
          <w:jc w:val="right"/>
        </w:trPr>
        <w:tc>
          <w:tcPr>
            <w:tcW w:w="3425" w:type="dxa"/>
            <w:shd w:val="clear" w:color="auto" w:fill="FFFFFF"/>
            <w:vAlign w:val="center"/>
          </w:tcPr>
          <w:p w14:paraId="48D86449" w14:textId="77777777" w:rsidR="00CF43AF" w:rsidRPr="00CF43AF" w:rsidRDefault="00CF43AF" w:rsidP="00CF43AF">
            <w:pPr>
              <w:rPr>
                <w:rFonts w:cs="Arial"/>
                <w:color w:val="000000"/>
                <w:szCs w:val="22"/>
              </w:rPr>
            </w:pPr>
            <w:r w:rsidRPr="00CF43AF">
              <w:rPr>
                <w:rFonts w:cs="Arial"/>
                <w:color w:val="000000"/>
                <w:szCs w:val="22"/>
              </w:rPr>
              <w:t>- обласний бюджет</w:t>
            </w:r>
          </w:p>
        </w:tc>
        <w:tc>
          <w:tcPr>
            <w:tcW w:w="1244" w:type="dxa"/>
          </w:tcPr>
          <w:p w14:paraId="308C1D16" w14:textId="2AAC4D1F" w:rsidR="00CF43AF" w:rsidRPr="00CF43AF" w:rsidRDefault="00CF43AF" w:rsidP="00EC4C49">
            <w:pPr>
              <w:jc w:val="center"/>
              <w:rPr>
                <w:rFonts w:cs="Arial"/>
                <w:color w:val="000000"/>
                <w:szCs w:val="22"/>
                <w:lang w:eastAsia="it-IT"/>
              </w:rPr>
            </w:pPr>
          </w:p>
        </w:tc>
        <w:tc>
          <w:tcPr>
            <w:tcW w:w="1336" w:type="dxa"/>
            <w:gridSpan w:val="3"/>
          </w:tcPr>
          <w:p w14:paraId="31893418" w14:textId="77777777" w:rsidR="00CF43AF" w:rsidRPr="00CF43AF" w:rsidRDefault="00CF43AF" w:rsidP="00EC4C49">
            <w:pPr>
              <w:jc w:val="center"/>
              <w:rPr>
                <w:rFonts w:cs="Arial"/>
                <w:color w:val="000000"/>
                <w:szCs w:val="22"/>
                <w:lang w:eastAsia="it-IT"/>
              </w:rPr>
            </w:pPr>
          </w:p>
        </w:tc>
        <w:tc>
          <w:tcPr>
            <w:tcW w:w="1417" w:type="dxa"/>
            <w:gridSpan w:val="2"/>
          </w:tcPr>
          <w:p w14:paraId="4385169D" w14:textId="77777777" w:rsidR="00CF43AF" w:rsidRPr="00CF43AF" w:rsidRDefault="00CF43AF" w:rsidP="00EC4C49">
            <w:pPr>
              <w:jc w:val="center"/>
              <w:rPr>
                <w:rFonts w:cs="Arial"/>
                <w:color w:val="000000"/>
                <w:szCs w:val="22"/>
                <w:lang w:eastAsia="it-IT"/>
              </w:rPr>
            </w:pPr>
          </w:p>
        </w:tc>
        <w:tc>
          <w:tcPr>
            <w:tcW w:w="1233" w:type="dxa"/>
            <w:gridSpan w:val="2"/>
          </w:tcPr>
          <w:p w14:paraId="2C865F71" w14:textId="77777777" w:rsidR="00CF43AF" w:rsidRPr="00CF43AF" w:rsidRDefault="00CF43AF" w:rsidP="00EC4C49">
            <w:pPr>
              <w:jc w:val="center"/>
              <w:rPr>
                <w:rFonts w:cs="Arial"/>
                <w:color w:val="000000"/>
                <w:szCs w:val="22"/>
                <w:lang w:eastAsia="it-IT"/>
              </w:rPr>
            </w:pPr>
          </w:p>
        </w:tc>
        <w:tc>
          <w:tcPr>
            <w:tcW w:w="1564" w:type="dxa"/>
          </w:tcPr>
          <w:p w14:paraId="60839FE2" w14:textId="39FFFC7F" w:rsidR="00CF43AF" w:rsidRPr="00CF43AF" w:rsidRDefault="00CF43AF" w:rsidP="00EC4C49">
            <w:pPr>
              <w:jc w:val="center"/>
              <w:rPr>
                <w:rFonts w:cs="Arial"/>
                <w:color w:val="000000"/>
                <w:szCs w:val="22"/>
                <w:lang w:eastAsia="it-IT"/>
              </w:rPr>
            </w:pPr>
          </w:p>
        </w:tc>
      </w:tr>
      <w:tr w:rsidR="00CF43AF" w:rsidRPr="00C2587D" w14:paraId="4BC1CE89" w14:textId="13D43111" w:rsidTr="00EC4C49">
        <w:trPr>
          <w:trHeight w:val="275"/>
          <w:jc w:val="right"/>
        </w:trPr>
        <w:tc>
          <w:tcPr>
            <w:tcW w:w="3425" w:type="dxa"/>
            <w:shd w:val="clear" w:color="auto" w:fill="FFFFFF"/>
            <w:vAlign w:val="center"/>
          </w:tcPr>
          <w:p w14:paraId="063946F9" w14:textId="77777777" w:rsidR="00CF43AF" w:rsidRPr="00CF43AF" w:rsidRDefault="00CF43AF" w:rsidP="00CF43AF">
            <w:pPr>
              <w:rPr>
                <w:rFonts w:cs="Arial"/>
                <w:color w:val="000000"/>
                <w:szCs w:val="22"/>
              </w:rPr>
            </w:pPr>
            <w:r w:rsidRPr="00CF43AF">
              <w:rPr>
                <w:rFonts w:cs="Arial"/>
                <w:color w:val="000000"/>
                <w:szCs w:val="22"/>
              </w:rPr>
              <w:t>- бюджет Жмеринської МТГ</w:t>
            </w:r>
          </w:p>
        </w:tc>
        <w:tc>
          <w:tcPr>
            <w:tcW w:w="1244" w:type="dxa"/>
          </w:tcPr>
          <w:p w14:paraId="5E645FF3" w14:textId="3D50A8BB" w:rsidR="00CF43AF" w:rsidRPr="00CF43AF" w:rsidRDefault="00CF43AF" w:rsidP="00EC4C49">
            <w:pPr>
              <w:jc w:val="center"/>
              <w:rPr>
                <w:rFonts w:cs="Arial"/>
                <w:color w:val="000000"/>
                <w:szCs w:val="22"/>
                <w:lang w:eastAsia="it-IT"/>
              </w:rPr>
            </w:pPr>
          </w:p>
        </w:tc>
        <w:tc>
          <w:tcPr>
            <w:tcW w:w="1336" w:type="dxa"/>
            <w:gridSpan w:val="3"/>
          </w:tcPr>
          <w:p w14:paraId="35725666" w14:textId="69CF47A6" w:rsidR="00CF43AF" w:rsidRPr="00CF43AF" w:rsidRDefault="00CF43AF" w:rsidP="00EC4C49">
            <w:pPr>
              <w:jc w:val="center"/>
              <w:rPr>
                <w:rFonts w:cs="Arial"/>
                <w:color w:val="000000"/>
                <w:szCs w:val="22"/>
                <w:lang w:eastAsia="it-IT"/>
              </w:rPr>
            </w:pPr>
            <w:r w:rsidRPr="00CF43AF">
              <w:rPr>
                <w:rFonts w:cs="Arial"/>
                <w:color w:val="000000"/>
                <w:szCs w:val="22"/>
                <w:lang w:eastAsia="it-IT"/>
              </w:rPr>
              <w:t>200,00</w:t>
            </w:r>
          </w:p>
        </w:tc>
        <w:tc>
          <w:tcPr>
            <w:tcW w:w="1417" w:type="dxa"/>
            <w:gridSpan w:val="2"/>
          </w:tcPr>
          <w:p w14:paraId="3960A82F" w14:textId="72F7DD21" w:rsidR="00CF43AF" w:rsidRPr="00CF43AF" w:rsidRDefault="00CF43AF" w:rsidP="00EC4C49">
            <w:pPr>
              <w:jc w:val="center"/>
              <w:rPr>
                <w:rFonts w:cs="Arial"/>
                <w:color w:val="000000"/>
                <w:szCs w:val="22"/>
                <w:lang w:eastAsia="it-IT"/>
              </w:rPr>
            </w:pPr>
            <w:r w:rsidRPr="00CF43AF">
              <w:rPr>
                <w:rFonts w:cs="Arial"/>
                <w:color w:val="000000"/>
                <w:szCs w:val="22"/>
                <w:lang w:eastAsia="it-IT"/>
              </w:rPr>
              <w:t>1300,00</w:t>
            </w:r>
          </w:p>
        </w:tc>
        <w:tc>
          <w:tcPr>
            <w:tcW w:w="1233" w:type="dxa"/>
            <w:gridSpan w:val="2"/>
          </w:tcPr>
          <w:p w14:paraId="4C2E36E3" w14:textId="77777777" w:rsidR="00CF43AF" w:rsidRPr="00CF43AF" w:rsidRDefault="00CF43AF" w:rsidP="00EC4C49">
            <w:pPr>
              <w:jc w:val="center"/>
              <w:rPr>
                <w:rFonts w:cs="Arial"/>
                <w:color w:val="000000"/>
                <w:szCs w:val="22"/>
                <w:lang w:eastAsia="it-IT"/>
              </w:rPr>
            </w:pPr>
          </w:p>
        </w:tc>
        <w:tc>
          <w:tcPr>
            <w:tcW w:w="1564" w:type="dxa"/>
          </w:tcPr>
          <w:p w14:paraId="4E6B1BDD" w14:textId="06AF2BDF" w:rsidR="00CF43AF" w:rsidRPr="00CF43AF" w:rsidRDefault="00CF43AF" w:rsidP="00EC4C49">
            <w:pPr>
              <w:jc w:val="center"/>
              <w:rPr>
                <w:rFonts w:cs="Arial"/>
                <w:b/>
                <w:color w:val="000000"/>
                <w:szCs w:val="22"/>
                <w:lang w:eastAsia="it-IT"/>
              </w:rPr>
            </w:pPr>
            <w:r>
              <w:rPr>
                <w:rFonts w:cs="Arial"/>
                <w:b/>
                <w:color w:val="000000"/>
                <w:szCs w:val="22"/>
                <w:lang w:eastAsia="it-IT"/>
              </w:rPr>
              <w:t>1500,00</w:t>
            </w:r>
          </w:p>
        </w:tc>
      </w:tr>
      <w:tr w:rsidR="00CF43AF" w:rsidRPr="00C2587D" w14:paraId="00C29344" w14:textId="0043EC56" w:rsidTr="00EC4C49">
        <w:trPr>
          <w:trHeight w:val="226"/>
          <w:jc w:val="right"/>
        </w:trPr>
        <w:tc>
          <w:tcPr>
            <w:tcW w:w="3425" w:type="dxa"/>
            <w:shd w:val="clear" w:color="auto" w:fill="FFFFFF"/>
            <w:vAlign w:val="center"/>
          </w:tcPr>
          <w:p w14:paraId="651D2EC4" w14:textId="77777777" w:rsidR="00CF43AF" w:rsidRPr="00CF43AF" w:rsidRDefault="00CF43AF" w:rsidP="00CF43AF">
            <w:pPr>
              <w:rPr>
                <w:rFonts w:cs="Arial"/>
                <w:color w:val="000000"/>
                <w:szCs w:val="22"/>
              </w:rPr>
            </w:pPr>
            <w:r w:rsidRPr="00CF43AF">
              <w:rPr>
                <w:rFonts w:cs="Arial"/>
                <w:color w:val="000000"/>
                <w:szCs w:val="22"/>
              </w:rPr>
              <w:t>- інші джерела фінансування</w:t>
            </w:r>
          </w:p>
        </w:tc>
        <w:tc>
          <w:tcPr>
            <w:tcW w:w="1244" w:type="dxa"/>
          </w:tcPr>
          <w:p w14:paraId="2B97FC9B" w14:textId="56B163B6" w:rsidR="00CF43AF" w:rsidRPr="00CF43AF" w:rsidRDefault="00CF43AF" w:rsidP="00EC4C49">
            <w:pPr>
              <w:jc w:val="center"/>
              <w:rPr>
                <w:rFonts w:cs="Arial"/>
                <w:color w:val="000000"/>
                <w:szCs w:val="22"/>
                <w:lang w:eastAsia="it-IT"/>
              </w:rPr>
            </w:pPr>
          </w:p>
        </w:tc>
        <w:tc>
          <w:tcPr>
            <w:tcW w:w="1336" w:type="dxa"/>
            <w:gridSpan w:val="3"/>
          </w:tcPr>
          <w:p w14:paraId="10D1B535" w14:textId="77777777" w:rsidR="00CF43AF" w:rsidRPr="00CF43AF" w:rsidRDefault="00CF43AF" w:rsidP="00EC4C49">
            <w:pPr>
              <w:jc w:val="center"/>
              <w:rPr>
                <w:rFonts w:cs="Arial"/>
                <w:color w:val="000000"/>
                <w:szCs w:val="22"/>
                <w:lang w:eastAsia="it-IT"/>
              </w:rPr>
            </w:pPr>
          </w:p>
        </w:tc>
        <w:tc>
          <w:tcPr>
            <w:tcW w:w="1417" w:type="dxa"/>
            <w:gridSpan w:val="2"/>
          </w:tcPr>
          <w:p w14:paraId="7687DE5A" w14:textId="77777777" w:rsidR="00CF43AF" w:rsidRPr="00CF43AF" w:rsidRDefault="00CF43AF" w:rsidP="00EC4C49">
            <w:pPr>
              <w:jc w:val="center"/>
              <w:rPr>
                <w:rFonts w:cs="Arial"/>
                <w:color w:val="000000"/>
                <w:szCs w:val="22"/>
                <w:lang w:eastAsia="it-IT"/>
              </w:rPr>
            </w:pPr>
          </w:p>
        </w:tc>
        <w:tc>
          <w:tcPr>
            <w:tcW w:w="1233" w:type="dxa"/>
            <w:gridSpan w:val="2"/>
          </w:tcPr>
          <w:p w14:paraId="7C931925" w14:textId="77777777" w:rsidR="00CF43AF" w:rsidRPr="00CF43AF" w:rsidRDefault="00CF43AF" w:rsidP="00EC4C49">
            <w:pPr>
              <w:jc w:val="center"/>
              <w:rPr>
                <w:rFonts w:cs="Arial"/>
                <w:color w:val="000000"/>
                <w:szCs w:val="22"/>
                <w:lang w:eastAsia="it-IT"/>
              </w:rPr>
            </w:pPr>
          </w:p>
        </w:tc>
        <w:tc>
          <w:tcPr>
            <w:tcW w:w="1564" w:type="dxa"/>
          </w:tcPr>
          <w:p w14:paraId="48CE5437" w14:textId="012B7E26" w:rsidR="00CF43AF" w:rsidRPr="00CF43AF" w:rsidRDefault="00CF43AF" w:rsidP="00EC4C49">
            <w:pPr>
              <w:jc w:val="center"/>
              <w:rPr>
                <w:rFonts w:cs="Arial"/>
                <w:color w:val="000000"/>
                <w:szCs w:val="22"/>
                <w:lang w:eastAsia="it-IT"/>
              </w:rPr>
            </w:pPr>
          </w:p>
        </w:tc>
      </w:tr>
      <w:tr w:rsidR="00CB33C7" w:rsidRPr="00C2587D" w14:paraId="430F7078" w14:textId="77777777" w:rsidTr="00EA6E27">
        <w:trPr>
          <w:jc w:val="right"/>
        </w:trPr>
        <w:tc>
          <w:tcPr>
            <w:tcW w:w="3425" w:type="dxa"/>
            <w:shd w:val="clear" w:color="auto" w:fill="FFFFFF"/>
            <w:vAlign w:val="center"/>
          </w:tcPr>
          <w:p w14:paraId="439839B8" w14:textId="77777777" w:rsidR="00CB33C7" w:rsidRPr="00CF43AF" w:rsidRDefault="00CB33C7" w:rsidP="00CF43AF">
            <w:pPr>
              <w:rPr>
                <w:rFonts w:cs="Arial"/>
                <w:b/>
                <w:bCs/>
                <w:color w:val="000000"/>
                <w:szCs w:val="22"/>
              </w:rPr>
            </w:pPr>
            <w:r w:rsidRPr="00CF43AF">
              <w:rPr>
                <w:rFonts w:cs="Arial"/>
                <w:b/>
                <w:color w:val="000000"/>
                <w:szCs w:val="22"/>
              </w:rPr>
              <w:t>Відповідальний виконавець проєкту:</w:t>
            </w:r>
          </w:p>
        </w:tc>
        <w:tc>
          <w:tcPr>
            <w:tcW w:w="6794" w:type="dxa"/>
            <w:gridSpan w:val="9"/>
            <w:vAlign w:val="center"/>
          </w:tcPr>
          <w:p w14:paraId="41EB3384" w14:textId="77777777" w:rsidR="00CB33C7" w:rsidRPr="00CF43AF" w:rsidRDefault="00CB33C7" w:rsidP="00CF43AF">
            <w:pPr>
              <w:jc w:val="both"/>
              <w:rPr>
                <w:rFonts w:cs="Arial"/>
                <w:color w:val="000000"/>
                <w:szCs w:val="22"/>
                <w:lang w:eastAsia="it-IT"/>
              </w:rPr>
            </w:pPr>
            <w:r w:rsidRPr="00CF43AF">
              <w:rPr>
                <w:rFonts w:cs="Arial"/>
                <w:color w:val="000000"/>
                <w:szCs w:val="22"/>
                <w:lang w:eastAsia="it-IT"/>
              </w:rPr>
              <w:t>Управління ЖКГ</w:t>
            </w:r>
          </w:p>
          <w:p w14:paraId="772434ED" w14:textId="77777777" w:rsidR="00CB33C7" w:rsidRPr="00CF43AF" w:rsidRDefault="00CB33C7" w:rsidP="00CF43AF">
            <w:pPr>
              <w:jc w:val="both"/>
              <w:rPr>
                <w:rFonts w:cs="Arial"/>
                <w:color w:val="000000"/>
                <w:szCs w:val="22"/>
                <w:lang w:eastAsia="it-IT"/>
              </w:rPr>
            </w:pPr>
            <w:r w:rsidRPr="00CF43AF">
              <w:rPr>
                <w:rFonts w:cs="Arial"/>
                <w:color w:val="000000"/>
                <w:szCs w:val="22"/>
                <w:lang w:eastAsia="it-IT"/>
              </w:rPr>
              <w:t xml:space="preserve">КП «Браїлів-комунсервіс» Жмеринської міської ради </w:t>
            </w:r>
          </w:p>
        </w:tc>
      </w:tr>
      <w:tr w:rsidR="00CB33C7" w:rsidRPr="00C2587D" w14:paraId="4D7B23C8" w14:textId="77777777" w:rsidTr="00EA6E27">
        <w:trPr>
          <w:jc w:val="right"/>
        </w:trPr>
        <w:tc>
          <w:tcPr>
            <w:tcW w:w="3425" w:type="dxa"/>
            <w:shd w:val="clear" w:color="auto" w:fill="FFFFFF"/>
            <w:vAlign w:val="center"/>
          </w:tcPr>
          <w:p w14:paraId="425A758C" w14:textId="77777777" w:rsidR="00CB33C7" w:rsidRPr="00CF43AF" w:rsidRDefault="00CB33C7" w:rsidP="00CF43AF">
            <w:pPr>
              <w:rPr>
                <w:rFonts w:cs="Arial"/>
                <w:b/>
                <w:bCs/>
                <w:color w:val="000000"/>
                <w:szCs w:val="22"/>
              </w:rPr>
            </w:pPr>
            <w:r w:rsidRPr="00CF43AF">
              <w:rPr>
                <w:rFonts w:cs="Arial"/>
                <w:b/>
                <w:bCs/>
                <w:color w:val="000000"/>
                <w:szCs w:val="22"/>
              </w:rPr>
              <w:t>Інше:</w:t>
            </w:r>
          </w:p>
        </w:tc>
        <w:tc>
          <w:tcPr>
            <w:tcW w:w="6794" w:type="dxa"/>
            <w:gridSpan w:val="9"/>
            <w:vAlign w:val="center"/>
          </w:tcPr>
          <w:p w14:paraId="29EB9335" w14:textId="77777777" w:rsidR="00CB33C7" w:rsidRPr="00CF43AF" w:rsidRDefault="00CB33C7" w:rsidP="00CF43AF">
            <w:pPr>
              <w:rPr>
                <w:rFonts w:cs="Arial"/>
                <w:color w:val="000000"/>
                <w:szCs w:val="22"/>
                <w:lang w:eastAsia="it-IT"/>
              </w:rPr>
            </w:pPr>
          </w:p>
        </w:tc>
      </w:tr>
    </w:tbl>
    <w:p w14:paraId="08188D18" w14:textId="77777777" w:rsidR="00CB33C7" w:rsidRPr="00C2587D" w:rsidRDefault="00CB33C7" w:rsidP="00CB33C7"/>
    <w:p w14:paraId="0C901F58" w14:textId="77777777" w:rsidR="00CB33C7" w:rsidRPr="00C2587D" w:rsidRDefault="00CB33C7" w:rsidP="00CB33C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100F2CD1" w14:textId="77777777" w:rsidR="00CB33C7" w:rsidRPr="00C2587D" w:rsidRDefault="00CB33C7" w:rsidP="00CB33C7">
      <w:pPr>
        <w:jc w:val="center"/>
        <w:rPr>
          <w:rFonts w:cs="Arial"/>
          <w:b/>
          <w:color w:val="000000"/>
          <w:szCs w:val="22"/>
        </w:rPr>
      </w:pPr>
      <w:r w:rsidRPr="00C2587D">
        <w:rPr>
          <w:rFonts w:cs="Arial"/>
          <w:b/>
          <w:color w:val="000000"/>
          <w:szCs w:val="22"/>
        </w:rPr>
        <w:t>до Плану заходів з реалізації Стратегії</w:t>
      </w:r>
    </w:p>
    <w:p w14:paraId="31370A18" w14:textId="77777777" w:rsidR="00CB33C7" w:rsidRPr="00C2587D" w:rsidRDefault="00CB33C7" w:rsidP="00CB33C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13"/>
        <w:gridCol w:w="1262"/>
        <w:gridCol w:w="17"/>
        <w:gridCol w:w="1401"/>
        <w:gridCol w:w="16"/>
        <w:gridCol w:w="1254"/>
        <w:gridCol w:w="6"/>
        <w:gridCol w:w="1571"/>
      </w:tblGrid>
      <w:tr w:rsidR="00CB33C7" w:rsidRPr="00C2587D" w14:paraId="3FD21222" w14:textId="77777777" w:rsidTr="00EA6E27">
        <w:trPr>
          <w:jc w:val="right"/>
        </w:trPr>
        <w:tc>
          <w:tcPr>
            <w:tcW w:w="3425" w:type="dxa"/>
            <w:vAlign w:val="center"/>
          </w:tcPr>
          <w:p w14:paraId="278B0F17" w14:textId="77777777" w:rsidR="00CB33C7" w:rsidRPr="00C2587D" w:rsidRDefault="00CB33C7" w:rsidP="00EA6E27">
            <w:pPr>
              <w:rPr>
                <w:b/>
                <w:bCs/>
                <w:color w:val="000000"/>
              </w:rPr>
            </w:pPr>
            <w:r w:rsidRPr="00C2587D">
              <w:rPr>
                <w:b/>
                <w:bCs/>
                <w:color w:val="000000"/>
              </w:rPr>
              <w:t>Назва проєкту:</w:t>
            </w:r>
          </w:p>
        </w:tc>
        <w:tc>
          <w:tcPr>
            <w:tcW w:w="6794" w:type="dxa"/>
            <w:gridSpan w:val="9"/>
          </w:tcPr>
          <w:p w14:paraId="1CCEAD10" w14:textId="77777777" w:rsidR="00CB33C7" w:rsidRPr="00C2587D" w:rsidRDefault="00CB33C7" w:rsidP="00EA6E27">
            <w:pPr>
              <w:spacing w:before="40" w:after="40"/>
              <w:rPr>
                <w:b/>
                <w:lang w:eastAsia="it-IT"/>
              </w:rPr>
            </w:pPr>
            <w:r w:rsidRPr="00C2587D">
              <w:rPr>
                <w:b/>
                <w:lang w:eastAsia="it-IT"/>
              </w:rPr>
              <w:t>Нове будівництво розвідувально-експлуатаційної свердловини в селі Людавка, Жмеринського району, Вінницької області</w:t>
            </w:r>
          </w:p>
        </w:tc>
      </w:tr>
      <w:tr w:rsidR="00CB33C7" w:rsidRPr="00C2587D" w14:paraId="12822EAE" w14:textId="77777777" w:rsidTr="00EA6E27">
        <w:trPr>
          <w:jc w:val="right"/>
        </w:trPr>
        <w:tc>
          <w:tcPr>
            <w:tcW w:w="3425" w:type="dxa"/>
          </w:tcPr>
          <w:p w14:paraId="790E7B97" w14:textId="77777777" w:rsidR="00CB33C7" w:rsidRPr="00C2587D" w:rsidRDefault="00CB33C7" w:rsidP="00EA6E27">
            <w:pPr>
              <w:spacing w:before="40" w:after="40"/>
              <w:rPr>
                <w:lang w:eastAsia="it-IT"/>
              </w:rPr>
            </w:pPr>
            <w:r w:rsidRPr="00C2587D">
              <w:rPr>
                <w:b/>
                <w:bCs/>
              </w:rPr>
              <w:t>Ваші контакти</w:t>
            </w:r>
            <w:r w:rsidRPr="00C2587D">
              <w:rPr>
                <w:lang w:eastAsia="it-IT"/>
              </w:rPr>
              <w:t>:</w:t>
            </w:r>
          </w:p>
          <w:p w14:paraId="3BA83682" w14:textId="77777777" w:rsidR="00CB33C7" w:rsidRPr="00C2587D" w:rsidRDefault="00CB33C7" w:rsidP="00EA6E27">
            <w:pPr>
              <w:spacing w:before="40" w:after="40"/>
              <w:rPr>
                <w:b/>
                <w:bCs/>
              </w:rPr>
            </w:pPr>
            <w:r w:rsidRPr="00C2587D">
              <w:rPr>
                <w:lang w:eastAsia="it-IT"/>
              </w:rPr>
              <w:t>Назва установи, організації, підприємства</w:t>
            </w:r>
          </w:p>
        </w:tc>
        <w:tc>
          <w:tcPr>
            <w:tcW w:w="6794" w:type="dxa"/>
            <w:gridSpan w:val="9"/>
          </w:tcPr>
          <w:p w14:paraId="3F3FED5F" w14:textId="77777777" w:rsidR="00CB33C7" w:rsidRPr="00C2587D" w:rsidRDefault="00CB33C7" w:rsidP="00EA6E27">
            <w:pPr>
              <w:spacing w:before="40" w:after="40"/>
              <w:rPr>
                <w:lang w:eastAsia="it-IT"/>
              </w:rPr>
            </w:pPr>
            <w:r w:rsidRPr="00C2587D">
              <w:rPr>
                <w:lang w:eastAsia="it-IT"/>
              </w:rPr>
              <w:t>Управління ЖКГ</w:t>
            </w:r>
          </w:p>
        </w:tc>
      </w:tr>
      <w:tr w:rsidR="00CB33C7" w:rsidRPr="00C2587D" w14:paraId="0935A689" w14:textId="77777777" w:rsidTr="00EA6E27">
        <w:trPr>
          <w:jc w:val="right"/>
        </w:trPr>
        <w:tc>
          <w:tcPr>
            <w:tcW w:w="3425" w:type="dxa"/>
          </w:tcPr>
          <w:p w14:paraId="27458288" w14:textId="77777777" w:rsidR="00CB33C7" w:rsidRPr="00C2587D" w:rsidRDefault="00CB33C7" w:rsidP="00EA6E27">
            <w:pPr>
              <w:spacing w:before="40" w:after="40"/>
              <w:rPr>
                <w:b/>
                <w:bCs/>
              </w:rPr>
            </w:pPr>
            <w:r w:rsidRPr="00C2587D">
              <w:rPr>
                <w:lang w:eastAsia="it-IT"/>
              </w:rPr>
              <w:t>Прізвище Ім’я По-батькові:</w:t>
            </w:r>
          </w:p>
        </w:tc>
        <w:tc>
          <w:tcPr>
            <w:tcW w:w="6794" w:type="dxa"/>
            <w:gridSpan w:val="9"/>
          </w:tcPr>
          <w:p w14:paraId="30AD7386" w14:textId="77777777" w:rsidR="00CB33C7" w:rsidRPr="00C2587D" w:rsidRDefault="00CB33C7" w:rsidP="00EA6E27">
            <w:pPr>
              <w:spacing w:before="40" w:after="40"/>
              <w:rPr>
                <w:lang w:eastAsia="it-IT"/>
              </w:rPr>
            </w:pPr>
            <w:r w:rsidRPr="00C2587D">
              <w:rPr>
                <w:lang w:eastAsia="it-IT"/>
              </w:rPr>
              <w:t>Оленич Андрій Васильович</w:t>
            </w:r>
          </w:p>
        </w:tc>
      </w:tr>
      <w:tr w:rsidR="00CB33C7" w:rsidRPr="00C2587D" w14:paraId="3F0A06A5" w14:textId="77777777" w:rsidTr="00EA6E27">
        <w:trPr>
          <w:jc w:val="right"/>
        </w:trPr>
        <w:tc>
          <w:tcPr>
            <w:tcW w:w="3425" w:type="dxa"/>
          </w:tcPr>
          <w:p w14:paraId="6A429ADA" w14:textId="77777777" w:rsidR="00CB33C7" w:rsidRPr="00C2587D" w:rsidRDefault="00CB33C7" w:rsidP="00EA6E27">
            <w:pPr>
              <w:spacing w:before="40" w:after="40"/>
              <w:rPr>
                <w:b/>
                <w:bCs/>
              </w:rPr>
            </w:pPr>
            <w:r w:rsidRPr="00C2587D">
              <w:rPr>
                <w:lang w:eastAsia="it-IT"/>
              </w:rPr>
              <w:t>Телефон (мобільний):</w:t>
            </w:r>
          </w:p>
        </w:tc>
        <w:tc>
          <w:tcPr>
            <w:tcW w:w="6794" w:type="dxa"/>
            <w:gridSpan w:val="9"/>
          </w:tcPr>
          <w:p w14:paraId="183B892B" w14:textId="77777777" w:rsidR="00CB33C7" w:rsidRPr="00C2587D" w:rsidRDefault="00CB33C7" w:rsidP="00EA6E27">
            <w:pPr>
              <w:spacing w:before="40" w:after="40"/>
              <w:rPr>
                <w:lang w:eastAsia="it-IT"/>
              </w:rPr>
            </w:pPr>
            <w:r w:rsidRPr="00C2587D">
              <w:rPr>
                <w:lang w:eastAsia="it-IT"/>
              </w:rPr>
              <w:t>0972561907</w:t>
            </w:r>
          </w:p>
        </w:tc>
      </w:tr>
      <w:tr w:rsidR="00CB33C7" w:rsidRPr="00C2587D" w14:paraId="5770B37E" w14:textId="77777777" w:rsidTr="00EA6E27">
        <w:trPr>
          <w:jc w:val="right"/>
        </w:trPr>
        <w:tc>
          <w:tcPr>
            <w:tcW w:w="3425" w:type="dxa"/>
          </w:tcPr>
          <w:p w14:paraId="7EADC17A" w14:textId="77777777" w:rsidR="00CB33C7" w:rsidRPr="00C2587D" w:rsidRDefault="00CB33C7" w:rsidP="00EA6E27">
            <w:pPr>
              <w:spacing w:before="40" w:after="40"/>
              <w:rPr>
                <w:b/>
                <w:bCs/>
              </w:rPr>
            </w:pPr>
            <w:r w:rsidRPr="00C2587D">
              <w:rPr>
                <w:lang w:eastAsia="it-IT"/>
              </w:rPr>
              <w:t>Електронна адреса:</w:t>
            </w:r>
          </w:p>
        </w:tc>
        <w:tc>
          <w:tcPr>
            <w:tcW w:w="6794" w:type="dxa"/>
            <w:gridSpan w:val="9"/>
          </w:tcPr>
          <w:p w14:paraId="6AE467D8" w14:textId="77777777" w:rsidR="00CB33C7" w:rsidRPr="00C2587D" w:rsidRDefault="00D85FFD" w:rsidP="00EA6E27">
            <w:pPr>
              <w:spacing w:before="40" w:after="40"/>
              <w:rPr>
                <w:lang w:eastAsia="it-IT"/>
              </w:rPr>
            </w:pPr>
            <w:hyperlink r:id="rId76" w:history="1">
              <w:r w:rsidR="00CB33C7" w:rsidRPr="00C2587D">
                <w:rPr>
                  <w:rStyle w:val="af0"/>
                  <w:noProof w:val="0"/>
                  <w:sz w:val="24"/>
                  <w:lang w:eastAsia="it-IT"/>
                </w:rPr>
                <w:t>Aolenych03@ukr.net</w:t>
              </w:r>
            </w:hyperlink>
          </w:p>
        </w:tc>
      </w:tr>
      <w:tr w:rsidR="00CB33C7" w:rsidRPr="00C2587D" w14:paraId="0FBD39D6" w14:textId="77777777" w:rsidTr="00EA6E27">
        <w:trPr>
          <w:jc w:val="right"/>
        </w:trPr>
        <w:tc>
          <w:tcPr>
            <w:tcW w:w="3425" w:type="dxa"/>
            <w:vAlign w:val="center"/>
          </w:tcPr>
          <w:p w14:paraId="19A2C384" w14:textId="77777777" w:rsidR="00CB33C7" w:rsidRPr="00C2587D" w:rsidRDefault="00CB33C7" w:rsidP="00EA6E27">
            <w:pPr>
              <w:pStyle w:val="6"/>
              <w:spacing w:before="0" w:after="0"/>
              <w:rPr>
                <w:color w:val="000000"/>
                <w:sz w:val="24"/>
                <w:szCs w:val="24"/>
                <w:lang w:val="uk-UA"/>
              </w:rPr>
            </w:pPr>
            <w:r w:rsidRPr="00C2587D">
              <w:rPr>
                <w:color w:val="000000"/>
                <w:sz w:val="24"/>
                <w:szCs w:val="24"/>
                <w:lang w:val="uk-UA"/>
              </w:rPr>
              <w:t>Номер і назва завдання з Стратегії</w:t>
            </w:r>
            <w:r w:rsidRPr="00C2587D">
              <w:rPr>
                <w:sz w:val="24"/>
                <w:szCs w:val="24"/>
                <w:lang w:val="uk-UA" w:eastAsia="it-IT"/>
              </w:rPr>
              <w:t xml:space="preserve"> </w:t>
            </w:r>
            <w:r w:rsidRPr="00C2587D">
              <w:rPr>
                <w:color w:val="000000"/>
                <w:sz w:val="24"/>
                <w:szCs w:val="24"/>
                <w:lang w:val="uk-UA"/>
              </w:rPr>
              <w:t>розвитку Жмеринської міської територіальної громади,  якому відповідає проєкт:</w:t>
            </w:r>
          </w:p>
        </w:tc>
        <w:tc>
          <w:tcPr>
            <w:tcW w:w="6794" w:type="dxa"/>
            <w:gridSpan w:val="9"/>
          </w:tcPr>
          <w:p w14:paraId="14335128" w14:textId="77777777" w:rsidR="00CB33C7" w:rsidRPr="00C2587D" w:rsidRDefault="00CB33C7" w:rsidP="00EA6E27">
            <w:pPr>
              <w:pBdr>
                <w:left w:val="single" w:sz="18" w:space="4" w:color="auto"/>
              </w:pBdr>
              <w:spacing w:before="40" w:after="40"/>
              <w:rPr>
                <w:lang w:eastAsia="it-IT"/>
              </w:rPr>
            </w:pPr>
            <w:r w:rsidRPr="00C2587D">
              <w:rPr>
                <w:lang w:eastAsia="it-IT"/>
              </w:rPr>
              <w:t>В.1.3.1.Будівництво нових, реконструкція, капітальний ремонт, модернізація мереж централізованої системи водопостачання, водовідведення та каналізація.</w:t>
            </w:r>
          </w:p>
        </w:tc>
      </w:tr>
      <w:tr w:rsidR="00CB33C7" w:rsidRPr="00C2587D" w14:paraId="28768F3B" w14:textId="77777777" w:rsidTr="00EA6E27">
        <w:trPr>
          <w:jc w:val="right"/>
        </w:trPr>
        <w:tc>
          <w:tcPr>
            <w:tcW w:w="3425" w:type="dxa"/>
            <w:vAlign w:val="center"/>
          </w:tcPr>
          <w:p w14:paraId="69607319" w14:textId="77777777" w:rsidR="00CB33C7" w:rsidRPr="00C2587D" w:rsidRDefault="00CB33C7" w:rsidP="00EA6E27">
            <w:pPr>
              <w:rPr>
                <w:b/>
                <w:bCs/>
                <w:color w:val="000000"/>
              </w:rPr>
            </w:pPr>
            <w:r w:rsidRPr="00C2587D">
              <w:rPr>
                <w:b/>
                <w:bCs/>
                <w:color w:val="000000"/>
              </w:rPr>
              <w:t>Мета проєкту:</w:t>
            </w:r>
          </w:p>
        </w:tc>
        <w:tc>
          <w:tcPr>
            <w:tcW w:w="6794" w:type="dxa"/>
            <w:gridSpan w:val="9"/>
          </w:tcPr>
          <w:p w14:paraId="342C744D" w14:textId="77777777" w:rsidR="00CB33C7" w:rsidRPr="00C2587D" w:rsidRDefault="00CB33C7" w:rsidP="00667673">
            <w:pPr>
              <w:spacing w:before="40" w:after="40"/>
              <w:jc w:val="both"/>
              <w:rPr>
                <w:lang w:eastAsia="it-IT"/>
              </w:rPr>
            </w:pPr>
            <w:r w:rsidRPr="00C2587D">
              <w:rPr>
                <w:lang w:eastAsia="it-IT"/>
              </w:rPr>
              <w:t>Надання мешканцям села Людавка якісних послух з водопостачання, шляхом будівництва розвідувально-експлуатаційної свердловини.</w:t>
            </w:r>
          </w:p>
        </w:tc>
      </w:tr>
      <w:tr w:rsidR="00CB33C7" w:rsidRPr="00C2587D" w14:paraId="318B66BD" w14:textId="77777777" w:rsidTr="00EA6E27">
        <w:trPr>
          <w:jc w:val="right"/>
        </w:trPr>
        <w:tc>
          <w:tcPr>
            <w:tcW w:w="3425" w:type="dxa"/>
            <w:vAlign w:val="center"/>
          </w:tcPr>
          <w:p w14:paraId="67619B6E" w14:textId="77777777" w:rsidR="00CB33C7" w:rsidRPr="00C2587D" w:rsidRDefault="00CB33C7" w:rsidP="00EA6E27">
            <w:pPr>
              <w:rPr>
                <w:b/>
                <w:bCs/>
                <w:color w:val="000000"/>
              </w:rPr>
            </w:pPr>
            <w:r w:rsidRPr="00C2587D">
              <w:rPr>
                <w:b/>
                <w:bCs/>
                <w:color w:val="000000"/>
              </w:rPr>
              <w:t>Цілі проєкту:</w:t>
            </w:r>
          </w:p>
        </w:tc>
        <w:tc>
          <w:tcPr>
            <w:tcW w:w="6794" w:type="dxa"/>
            <w:gridSpan w:val="9"/>
          </w:tcPr>
          <w:p w14:paraId="2694B25D" w14:textId="77777777" w:rsidR="00CB33C7" w:rsidRPr="00C2587D" w:rsidRDefault="00CB33C7" w:rsidP="00667673">
            <w:pPr>
              <w:spacing w:before="40" w:after="40"/>
              <w:jc w:val="both"/>
              <w:rPr>
                <w:lang w:eastAsia="it-IT"/>
              </w:rPr>
            </w:pPr>
            <w:r w:rsidRPr="00C2587D">
              <w:rPr>
                <w:lang w:eastAsia="it-IT"/>
              </w:rPr>
              <w:t xml:space="preserve">Забезпечення жителів села Людавка якісною питною водою в достатній кількості </w:t>
            </w:r>
          </w:p>
        </w:tc>
      </w:tr>
      <w:tr w:rsidR="00CB33C7" w:rsidRPr="00C2587D" w14:paraId="55D59AD9" w14:textId="77777777" w:rsidTr="00EA6E27">
        <w:trPr>
          <w:jc w:val="right"/>
        </w:trPr>
        <w:tc>
          <w:tcPr>
            <w:tcW w:w="3425" w:type="dxa"/>
            <w:vAlign w:val="center"/>
          </w:tcPr>
          <w:p w14:paraId="4BF1290A" w14:textId="77777777" w:rsidR="00CB33C7" w:rsidRPr="00C2587D" w:rsidRDefault="00CB33C7" w:rsidP="00EA6E27">
            <w:pPr>
              <w:autoSpaceDE w:val="0"/>
              <w:autoSpaceDN w:val="0"/>
              <w:adjustRightInd w:val="0"/>
              <w:rPr>
                <w:b/>
                <w:color w:val="000000"/>
              </w:rPr>
            </w:pPr>
            <w:r w:rsidRPr="00C2587D">
              <w:rPr>
                <w:b/>
                <w:color w:val="000000"/>
              </w:rPr>
              <w:t>Територія на яку проєкт матиме вплив:</w:t>
            </w:r>
          </w:p>
        </w:tc>
        <w:tc>
          <w:tcPr>
            <w:tcW w:w="6794" w:type="dxa"/>
            <w:gridSpan w:val="9"/>
          </w:tcPr>
          <w:p w14:paraId="7DC0504D" w14:textId="77777777" w:rsidR="00CB33C7" w:rsidRPr="00C2587D" w:rsidRDefault="00CB33C7" w:rsidP="00667673">
            <w:pPr>
              <w:spacing w:before="40" w:after="40"/>
              <w:jc w:val="both"/>
              <w:rPr>
                <w:lang w:eastAsia="it-IT"/>
              </w:rPr>
            </w:pPr>
            <w:r w:rsidRPr="00C2587D">
              <w:rPr>
                <w:lang w:eastAsia="it-IT"/>
              </w:rPr>
              <w:t xml:space="preserve">Село Людавка Жмеринської МТГ </w:t>
            </w:r>
          </w:p>
        </w:tc>
      </w:tr>
      <w:tr w:rsidR="00CB33C7" w:rsidRPr="00C2587D" w14:paraId="30923874" w14:textId="77777777" w:rsidTr="00EA6E27">
        <w:trPr>
          <w:jc w:val="right"/>
        </w:trPr>
        <w:tc>
          <w:tcPr>
            <w:tcW w:w="3425" w:type="dxa"/>
            <w:vAlign w:val="center"/>
          </w:tcPr>
          <w:p w14:paraId="7EA260DA" w14:textId="77777777" w:rsidR="00CB33C7" w:rsidRPr="00C2587D" w:rsidRDefault="00CB33C7" w:rsidP="00EA6E27">
            <w:pPr>
              <w:autoSpaceDE w:val="0"/>
              <w:autoSpaceDN w:val="0"/>
              <w:adjustRightInd w:val="0"/>
              <w:rPr>
                <w:b/>
                <w:color w:val="000000"/>
              </w:rPr>
            </w:pPr>
            <w:r w:rsidRPr="00C2587D">
              <w:rPr>
                <w:b/>
                <w:color w:val="000000"/>
              </w:rPr>
              <w:t>Цільові групи проєкту та кількість отримувачів вигоди</w:t>
            </w:r>
          </w:p>
        </w:tc>
        <w:tc>
          <w:tcPr>
            <w:tcW w:w="6794" w:type="dxa"/>
            <w:gridSpan w:val="9"/>
          </w:tcPr>
          <w:p w14:paraId="366A8C39" w14:textId="77777777" w:rsidR="00CB33C7" w:rsidRPr="00C2587D" w:rsidRDefault="00CB33C7" w:rsidP="00667673">
            <w:pPr>
              <w:spacing w:before="40" w:after="40"/>
              <w:jc w:val="both"/>
              <w:rPr>
                <w:lang w:eastAsia="it-IT"/>
              </w:rPr>
            </w:pPr>
            <w:r w:rsidRPr="00C2587D">
              <w:rPr>
                <w:lang w:eastAsia="it-IT"/>
              </w:rPr>
              <w:t>750 чол., мешканці села Людавка, бюджетна установа, діти, люди літнього віку та ін.</w:t>
            </w:r>
          </w:p>
        </w:tc>
      </w:tr>
      <w:tr w:rsidR="00CB33C7" w:rsidRPr="00C2587D" w14:paraId="6AA80882" w14:textId="77777777" w:rsidTr="00EA6E27">
        <w:trPr>
          <w:jc w:val="right"/>
        </w:trPr>
        <w:tc>
          <w:tcPr>
            <w:tcW w:w="3425" w:type="dxa"/>
            <w:shd w:val="clear" w:color="auto" w:fill="FFFFFF"/>
            <w:vAlign w:val="center"/>
          </w:tcPr>
          <w:p w14:paraId="748C9A7F" w14:textId="77777777" w:rsidR="00CB33C7" w:rsidRPr="00C2587D" w:rsidRDefault="00CB33C7" w:rsidP="00EA6E27">
            <w:pPr>
              <w:rPr>
                <w:b/>
                <w:bCs/>
                <w:color w:val="000000"/>
              </w:rPr>
            </w:pPr>
            <w:r w:rsidRPr="00C2587D">
              <w:rPr>
                <w:b/>
                <w:bCs/>
                <w:color w:val="000000"/>
              </w:rPr>
              <w:t>Стислий опис проєкту:</w:t>
            </w:r>
          </w:p>
        </w:tc>
        <w:tc>
          <w:tcPr>
            <w:tcW w:w="6794" w:type="dxa"/>
            <w:gridSpan w:val="9"/>
          </w:tcPr>
          <w:p w14:paraId="510FEA9A" w14:textId="164B6963" w:rsidR="00CB33C7" w:rsidRPr="00C2587D" w:rsidRDefault="00CB33C7" w:rsidP="006D7879">
            <w:pPr>
              <w:spacing w:before="40" w:after="40"/>
              <w:jc w:val="both"/>
              <w:rPr>
                <w:lang w:eastAsia="it-IT"/>
              </w:rPr>
            </w:pPr>
            <w:r w:rsidRPr="00C2587D">
              <w:rPr>
                <w:lang w:eastAsia="it-IT"/>
              </w:rPr>
              <w:t>Водопровідна мережа в селі Людавка не достатньо забезпечує жителів громади питною водою,  та як нині діюча свердловина побудована в 1981 році і є мало продуктивною, дебет її складає 3,0 М</w:t>
            </w:r>
            <w:r w:rsidRPr="00C2587D">
              <w:rPr>
                <w:vertAlign w:val="superscript"/>
                <w:lang w:eastAsia="it-IT"/>
              </w:rPr>
              <w:t xml:space="preserve">3 </w:t>
            </w:r>
            <w:r w:rsidRPr="00C2587D">
              <w:rPr>
                <w:lang w:eastAsia="it-IT"/>
              </w:rPr>
              <w:t xml:space="preserve">на годину, більшість споживачів, особливо в літній період, не можуть отримати в повному обсязі необхідну кількість артезіанської </w:t>
            </w:r>
            <w:r w:rsidR="008C063B">
              <w:rPr>
                <w:lang w:eastAsia="it-IT"/>
              </w:rPr>
              <w:t>води. При реалізації даного проє</w:t>
            </w:r>
            <w:r w:rsidRPr="00C2587D">
              <w:rPr>
                <w:lang w:eastAsia="it-IT"/>
              </w:rPr>
              <w:t>кту 750 споживачів води будуть забезпечені якісною водою в повному обсязі для господарських та харчових потреб.</w:t>
            </w:r>
          </w:p>
        </w:tc>
      </w:tr>
      <w:tr w:rsidR="00CB33C7" w:rsidRPr="00C2587D" w14:paraId="6DD45570" w14:textId="77777777" w:rsidTr="00EA6E27">
        <w:trPr>
          <w:jc w:val="right"/>
        </w:trPr>
        <w:tc>
          <w:tcPr>
            <w:tcW w:w="3425" w:type="dxa"/>
            <w:shd w:val="clear" w:color="auto" w:fill="FFFFFF"/>
            <w:vAlign w:val="center"/>
          </w:tcPr>
          <w:p w14:paraId="4B5B5903" w14:textId="77777777" w:rsidR="00CB33C7" w:rsidRPr="00C2587D" w:rsidRDefault="00CB33C7" w:rsidP="00EA6E27">
            <w:pPr>
              <w:rPr>
                <w:b/>
                <w:bCs/>
                <w:color w:val="000000"/>
              </w:rPr>
            </w:pPr>
            <w:r w:rsidRPr="00C2587D">
              <w:rPr>
                <w:b/>
                <w:bCs/>
                <w:color w:val="000000"/>
              </w:rPr>
              <w:t>Основні заходи проєкту:</w:t>
            </w:r>
          </w:p>
        </w:tc>
        <w:tc>
          <w:tcPr>
            <w:tcW w:w="6794" w:type="dxa"/>
            <w:gridSpan w:val="9"/>
          </w:tcPr>
          <w:p w14:paraId="0A72B69D" w14:textId="77777777" w:rsidR="00CB33C7" w:rsidRPr="00C2587D" w:rsidRDefault="00CB33C7" w:rsidP="006D7879">
            <w:pPr>
              <w:jc w:val="both"/>
              <w:rPr>
                <w:lang w:eastAsia="it-IT"/>
              </w:rPr>
            </w:pPr>
            <w:r w:rsidRPr="00C2587D">
              <w:rPr>
                <w:lang w:eastAsia="it-IT"/>
              </w:rPr>
              <w:t>Розробка ПКД. Проведення експертизи ПКД. Проведення процедури відкритих торгів з метою визначення виконавця робіт. Отримання дозволу на виконання  будівельних робіт. Виконання робіт по будівництву свердловини. Введення в експлуатацію  об’єкта після виконання робіт.</w:t>
            </w:r>
          </w:p>
        </w:tc>
      </w:tr>
      <w:tr w:rsidR="00CB33C7" w:rsidRPr="00C2587D" w14:paraId="713C55B7" w14:textId="77777777" w:rsidTr="00EA6E27">
        <w:trPr>
          <w:jc w:val="right"/>
        </w:trPr>
        <w:tc>
          <w:tcPr>
            <w:tcW w:w="3425" w:type="dxa"/>
            <w:shd w:val="clear" w:color="auto" w:fill="FFFFFF"/>
            <w:vAlign w:val="center"/>
          </w:tcPr>
          <w:p w14:paraId="05DE9091" w14:textId="77777777" w:rsidR="00CB33C7" w:rsidRPr="00C2587D" w:rsidRDefault="00CB33C7" w:rsidP="00EA6E27">
            <w:pPr>
              <w:rPr>
                <w:b/>
                <w:bCs/>
                <w:color w:val="000000"/>
              </w:rPr>
            </w:pPr>
            <w:r w:rsidRPr="00C2587D">
              <w:rPr>
                <w:b/>
                <w:bCs/>
                <w:color w:val="000000"/>
              </w:rPr>
              <w:t>Індикатори (показники) результативності:</w:t>
            </w:r>
          </w:p>
        </w:tc>
        <w:tc>
          <w:tcPr>
            <w:tcW w:w="6794" w:type="dxa"/>
            <w:gridSpan w:val="9"/>
          </w:tcPr>
          <w:p w14:paraId="465CCD49" w14:textId="1331288E" w:rsidR="00CB33C7" w:rsidRPr="00C2587D" w:rsidRDefault="00CB33C7" w:rsidP="006D7879">
            <w:pPr>
              <w:spacing w:before="40" w:after="40"/>
              <w:jc w:val="both"/>
              <w:rPr>
                <w:lang w:eastAsia="it-IT"/>
              </w:rPr>
            </w:pPr>
            <w:r w:rsidRPr="00C2587D">
              <w:rPr>
                <w:lang w:eastAsia="it-IT"/>
              </w:rPr>
              <w:t>Будівництво свердловини з дебетом 8 м</w:t>
            </w:r>
            <w:r w:rsidRPr="008C063B">
              <w:rPr>
                <w:vertAlign w:val="superscript"/>
                <w:lang w:eastAsia="it-IT"/>
              </w:rPr>
              <w:t>3</w:t>
            </w:r>
            <w:r w:rsidRPr="00C2587D">
              <w:rPr>
                <w:lang w:eastAsia="it-IT"/>
              </w:rPr>
              <w:t xml:space="preserve"> води на годину дасть можливість продуктивно функціонувати водопровідній мер</w:t>
            </w:r>
            <w:r w:rsidR="008C063B">
              <w:rPr>
                <w:lang w:eastAsia="it-IT"/>
              </w:rPr>
              <w:t>ежі. При впроваджені даного проє</w:t>
            </w:r>
            <w:r w:rsidRPr="00C2587D">
              <w:rPr>
                <w:lang w:eastAsia="it-IT"/>
              </w:rPr>
              <w:t>кту 750 жителів села будуть забезпечені якісною водою та в достатній кількості.</w:t>
            </w:r>
          </w:p>
        </w:tc>
      </w:tr>
      <w:tr w:rsidR="00CB33C7" w:rsidRPr="00C2587D" w14:paraId="1DDA0DF3" w14:textId="77777777" w:rsidTr="00EA6E27">
        <w:trPr>
          <w:jc w:val="right"/>
        </w:trPr>
        <w:tc>
          <w:tcPr>
            <w:tcW w:w="3425" w:type="dxa"/>
            <w:shd w:val="clear" w:color="auto" w:fill="FFFFFF"/>
            <w:vAlign w:val="center"/>
          </w:tcPr>
          <w:p w14:paraId="32B13269" w14:textId="77777777" w:rsidR="00CB33C7" w:rsidRPr="00C2587D" w:rsidRDefault="00CB33C7" w:rsidP="00EA6E27">
            <w:pPr>
              <w:rPr>
                <w:b/>
                <w:color w:val="000000"/>
              </w:rPr>
            </w:pPr>
            <w:r w:rsidRPr="00C2587D">
              <w:rPr>
                <w:b/>
                <w:color w:val="000000"/>
              </w:rPr>
              <w:t xml:space="preserve">Період здійснення: </w:t>
            </w:r>
          </w:p>
        </w:tc>
        <w:tc>
          <w:tcPr>
            <w:tcW w:w="6794" w:type="dxa"/>
            <w:gridSpan w:val="9"/>
            <w:vAlign w:val="center"/>
          </w:tcPr>
          <w:p w14:paraId="52E7B365" w14:textId="77777777" w:rsidR="00CB33C7" w:rsidRPr="00C2587D" w:rsidRDefault="00CB33C7" w:rsidP="00EA6E27">
            <w:pPr>
              <w:rPr>
                <w:color w:val="000000"/>
                <w:lang w:eastAsia="it-IT"/>
              </w:rPr>
            </w:pPr>
            <w:r w:rsidRPr="00C2587D">
              <w:rPr>
                <w:b/>
                <w:color w:val="000000"/>
              </w:rPr>
              <w:t>2025 – 2028 роки:</w:t>
            </w:r>
          </w:p>
        </w:tc>
      </w:tr>
      <w:tr w:rsidR="00CB33C7" w:rsidRPr="00C2587D" w14:paraId="616C53DF" w14:textId="77777777" w:rsidTr="00EA6E27">
        <w:trPr>
          <w:jc w:val="right"/>
        </w:trPr>
        <w:tc>
          <w:tcPr>
            <w:tcW w:w="3425" w:type="dxa"/>
            <w:vMerge w:val="restart"/>
            <w:shd w:val="clear" w:color="auto" w:fill="FFFFFF"/>
            <w:vAlign w:val="center"/>
          </w:tcPr>
          <w:p w14:paraId="5155D81A" w14:textId="77777777" w:rsidR="00CB33C7" w:rsidRPr="00C2587D" w:rsidRDefault="00CB33C7" w:rsidP="00EA6E27">
            <w:pPr>
              <w:rPr>
                <w:b/>
                <w:bCs/>
                <w:color w:val="000000"/>
              </w:rPr>
            </w:pPr>
            <w:r w:rsidRPr="00C2587D">
              <w:rPr>
                <w:b/>
                <w:bCs/>
                <w:color w:val="000000"/>
              </w:rPr>
              <w:t>Орієнтовна вартість проєкту, тис. грн., в тому числі:</w:t>
            </w:r>
          </w:p>
        </w:tc>
        <w:tc>
          <w:tcPr>
            <w:tcW w:w="1254" w:type="dxa"/>
            <w:shd w:val="clear" w:color="auto" w:fill="E6E6E6"/>
            <w:vAlign w:val="center"/>
          </w:tcPr>
          <w:p w14:paraId="65503975" w14:textId="77777777" w:rsidR="00CB33C7" w:rsidRPr="00C2587D" w:rsidRDefault="00CB33C7" w:rsidP="00EA6E27">
            <w:pPr>
              <w:jc w:val="center"/>
              <w:rPr>
                <w:b/>
                <w:color w:val="000000"/>
                <w:lang w:eastAsia="it-IT"/>
              </w:rPr>
            </w:pPr>
            <w:r w:rsidRPr="00C2587D">
              <w:rPr>
                <w:b/>
                <w:color w:val="000000"/>
                <w:lang w:eastAsia="it-IT"/>
              </w:rPr>
              <w:t>2025</w:t>
            </w:r>
          </w:p>
        </w:tc>
        <w:tc>
          <w:tcPr>
            <w:tcW w:w="1275" w:type="dxa"/>
            <w:gridSpan w:val="2"/>
            <w:shd w:val="clear" w:color="auto" w:fill="E6E6E6"/>
            <w:vAlign w:val="center"/>
          </w:tcPr>
          <w:p w14:paraId="51B91971" w14:textId="77777777" w:rsidR="00CB33C7" w:rsidRPr="00C2587D" w:rsidRDefault="00CB33C7" w:rsidP="00EA6E27">
            <w:pPr>
              <w:jc w:val="center"/>
              <w:rPr>
                <w:b/>
                <w:color w:val="000000"/>
                <w:lang w:eastAsia="it-IT"/>
              </w:rPr>
            </w:pPr>
            <w:r w:rsidRPr="00C2587D">
              <w:rPr>
                <w:b/>
                <w:color w:val="000000"/>
                <w:lang w:eastAsia="it-IT"/>
              </w:rPr>
              <w:t>2026</w:t>
            </w:r>
          </w:p>
        </w:tc>
        <w:tc>
          <w:tcPr>
            <w:tcW w:w="1418" w:type="dxa"/>
            <w:gridSpan w:val="2"/>
            <w:tcBorders>
              <w:bottom w:val="single" w:sz="4" w:space="0" w:color="auto"/>
            </w:tcBorders>
            <w:shd w:val="clear" w:color="auto" w:fill="E6E6E6"/>
            <w:vAlign w:val="center"/>
          </w:tcPr>
          <w:p w14:paraId="4511D905" w14:textId="77777777" w:rsidR="00CB33C7" w:rsidRPr="00C2587D" w:rsidRDefault="00CB33C7" w:rsidP="00EA6E27">
            <w:pPr>
              <w:jc w:val="center"/>
              <w:rPr>
                <w:b/>
                <w:color w:val="000000"/>
                <w:lang w:eastAsia="it-IT"/>
              </w:rPr>
            </w:pPr>
            <w:r w:rsidRPr="00C2587D">
              <w:rPr>
                <w:b/>
                <w:color w:val="000000"/>
                <w:lang w:eastAsia="it-IT"/>
              </w:rPr>
              <w:t>2027</w:t>
            </w:r>
          </w:p>
        </w:tc>
        <w:tc>
          <w:tcPr>
            <w:tcW w:w="1276" w:type="dxa"/>
            <w:gridSpan w:val="3"/>
            <w:shd w:val="clear" w:color="auto" w:fill="E6E6E6"/>
            <w:vAlign w:val="center"/>
          </w:tcPr>
          <w:p w14:paraId="58BF6DE8" w14:textId="77777777" w:rsidR="00CB33C7" w:rsidRPr="00C2587D" w:rsidRDefault="00CB33C7" w:rsidP="00EA6E27">
            <w:pPr>
              <w:jc w:val="center"/>
              <w:rPr>
                <w:b/>
                <w:color w:val="000000"/>
                <w:lang w:eastAsia="it-IT"/>
              </w:rPr>
            </w:pPr>
            <w:r w:rsidRPr="00C2587D">
              <w:rPr>
                <w:b/>
                <w:color w:val="000000"/>
                <w:lang w:eastAsia="it-IT"/>
              </w:rPr>
              <w:t>2028</w:t>
            </w:r>
          </w:p>
        </w:tc>
        <w:tc>
          <w:tcPr>
            <w:tcW w:w="1571" w:type="dxa"/>
            <w:shd w:val="clear" w:color="auto" w:fill="E6E6E6"/>
            <w:vAlign w:val="center"/>
          </w:tcPr>
          <w:p w14:paraId="42E835FF" w14:textId="77777777" w:rsidR="00CB33C7" w:rsidRPr="00C2587D" w:rsidRDefault="00CB33C7" w:rsidP="00EA6E27">
            <w:pPr>
              <w:jc w:val="center"/>
              <w:rPr>
                <w:b/>
                <w:color w:val="000000"/>
                <w:lang w:eastAsia="it-IT"/>
              </w:rPr>
            </w:pPr>
            <w:r w:rsidRPr="00C2587D">
              <w:rPr>
                <w:b/>
                <w:color w:val="000000"/>
                <w:lang w:eastAsia="it-IT"/>
              </w:rPr>
              <w:t>РАЗОМ</w:t>
            </w:r>
          </w:p>
        </w:tc>
      </w:tr>
      <w:tr w:rsidR="00CB33C7" w:rsidRPr="00C2587D" w14:paraId="6DF2DFB2" w14:textId="77777777" w:rsidTr="00EA6E27">
        <w:trPr>
          <w:jc w:val="right"/>
        </w:trPr>
        <w:tc>
          <w:tcPr>
            <w:tcW w:w="3425" w:type="dxa"/>
            <w:vMerge/>
            <w:shd w:val="clear" w:color="auto" w:fill="FFFFFF"/>
            <w:vAlign w:val="center"/>
          </w:tcPr>
          <w:p w14:paraId="13DA82DB" w14:textId="77777777" w:rsidR="00CB33C7" w:rsidRPr="00C2587D" w:rsidRDefault="00CB33C7" w:rsidP="00EA6E27">
            <w:pPr>
              <w:rPr>
                <w:b/>
                <w:bCs/>
                <w:color w:val="000000"/>
              </w:rPr>
            </w:pPr>
          </w:p>
        </w:tc>
        <w:tc>
          <w:tcPr>
            <w:tcW w:w="1254" w:type="dxa"/>
            <w:vAlign w:val="center"/>
          </w:tcPr>
          <w:p w14:paraId="40DAD42A" w14:textId="77777777" w:rsidR="00CB33C7" w:rsidRPr="00C2587D" w:rsidRDefault="00CB33C7" w:rsidP="00EA6E27">
            <w:pPr>
              <w:jc w:val="center"/>
              <w:rPr>
                <w:b/>
                <w:color w:val="000000"/>
                <w:lang w:eastAsia="it-IT"/>
              </w:rPr>
            </w:pPr>
            <w:r w:rsidRPr="00C2587D">
              <w:rPr>
                <w:b/>
                <w:color w:val="000000"/>
                <w:lang w:eastAsia="it-IT"/>
              </w:rPr>
              <w:t>0,00</w:t>
            </w:r>
          </w:p>
        </w:tc>
        <w:tc>
          <w:tcPr>
            <w:tcW w:w="1275" w:type="dxa"/>
            <w:gridSpan w:val="2"/>
            <w:shd w:val="clear" w:color="auto" w:fill="FFFFFF"/>
            <w:vAlign w:val="center"/>
          </w:tcPr>
          <w:p w14:paraId="260A2979" w14:textId="77777777" w:rsidR="00CB33C7" w:rsidRPr="00C2587D" w:rsidRDefault="00CB33C7" w:rsidP="00EA6E27">
            <w:pPr>
              <w:jc w:val="center"/>
              <w:rPr>
                <w:b/>
                <w:color w:val="000000"/>
                <w:lang w:eastAsia="it-IT"/>
              </w:rPr>
            </w:pPr>
            <w:r w:rsidRPr="00C2587D">
              <w:rPr>
                <w:b/>
                <w:color w:val="000000"/>
                <w:lang w:eastAsia="it-IT"/>
              </w:rPr>
              <w:t xml:space="preserve">1500,00 </w:t>
            </w:r>
          </w:p>
        </w:tc>
        <w:tc>
          <w:tcPr>
            <w:tcW w:w="1418" w:type="dxa"/>
            <w:gridSpan w:val="2"/>
            <w:shd w:val="clear" w:color="auto" w:fill="auto"/>
            <w:vAlign w:val="center"/>
          </w:tcPr>
          <w:p w14:paraId="6EE5D51B" w14:textId="77777777" w:rsidR="00CB33C7" w:rsidRPr="00C2587D" w:rsidRDefault="00CB33C7" w:rsidP="00EA6E27">
            <w:pPr>
              <w:jc w:val="center"/>
              <w:rPr>
                <w:b/>
                <w:color w:val="000000"/>
                <w:lang w:eastAsia="it-IT"/>
              </w:rPr>
            </w:pPr>
            <w:r w:rsidRPr="00C2587D">
              <w:rPr>
                <w:b/>
                <w:color w:val="000000"/>
                <w:lang w:eastAsia="it-IT"/>
              </w:rPr>
              <w:t>0,00</w:t>
            </w:r>
          </w:p>
        </w:tc>
        <w:tc>
          <w:tcPr>
            <w:tcW w:w="1276" w:type="dxa"/>
            <w:gridSpan w:val="3"/>
            <w:shd w:val="clear" w:color="auto" w:fill="FFFFFF"/>
            <w:vAlign w:val="center"/>
          </w:tcPr>
          <w:p w14:paraId="022D57F6" w14:textId="77777777" w:rsidR="00CB33C7" w:rsidRPr="00C2587D" w:rsidRDefault="00CB33C7" w:rsidP="00EA6E27">
            <w:pPr>
              <w:jc w:val="center"/>
              <w:rPr>
                <w:b/>
                <w:color w:val="000000"/>
                <w:lang w:eastAsia="it-IT"/>
              </w:rPr>
            </w:pPr>
            <w:r w:rsidRPr="00C2587D">
              <w:rPr>
                <w:b/>
                <w:color w:val="000000"/>
                <w:lang w:eastAsia="it-IT"/>
              </w:rPr>
              <w:t>0,00</w:t>
            </w:r>
          </w:p>
        </w:tc>
        <w:tc>
          <w:tcPr>
            <w:tcW w:w="1571" w:type="dxa"/>
            <w:shd w:val="clear" w:color="auto" w:fill="FFFFFF"/>
            <w:vAlign w:val="center"/>
          </w:tcPr>
          <w:p w14:paraId="20942241" w14:textId="77777777" w:rsidR="00CB33C7" w:rsidRPr="00C2587D" w:rsidRDefault="00CB33C7" w:rsidP="00EA6E27">
            <w:pPr>
              <w:jc w:val="center"/>
              <w:rPr>
                <w:b/>
                <w:color w:val="000000"/>
                <w:lang w:eastAsia="it-IT"/>
              </w:rPr>
            </w:pPr>
            <w:r w:rsidRPr="00C2587D">
              <w:rPr>
                <w:b/>
                <w:color w:val="000000"/>
                <w:lang w:eastAsia="it-IT"/>
              </w:rPr>
              <w:t>1500,00</w:t>
            </w:r>
          </w:p>
        </w:tc>
      </w:tr>
      <w:tr w:rsidR="00CB33C7" w:rsidRPr="00C2587D" w14:paraId="6BF54F3E" w14:textId="77777777" w:rsidTr="00EA6E27">
        <w:trPr>
          <w:trHeight w:val="276"/>
          <w:jc w:val="right"/>
        </w:trPr>
        <w:tc>
          <w:tcPr>
            <w:tcW w:w="3425" w:type="dxa"/>
            <w:shd w:val="clear" w:color="auto" w:fill="FFFFFF"/>
            <w:vAlign w:val="center"/>
          </w:tcPr>
          <w:p w14:paraId="197C9678" w14:textId="77777777" w:rsidR="00CB33C7" w:rsidRPr="00C2587D" w:rsidRDefault="00CB33C7" w:rsidP="00EA6E27">
            <w:pPr>
              <w:rPr>
                <w:b/>
                <w:bCs/>
                <w:color w:val="000000"/>
              </w:rPr>
            </w:pPr>
            <w:r w:rsidRPr="00C2587D">
              <w:rPr>
                <w:b/>
                <w:bCs/>
                <w:color w:val="000000"/>
              </w:rPr>
              <w:t>по джерелах фінансування:</w:t>
            </w:r>
          </w:p>
        </w:tc>
        <w:tc>
          <w:tcPr>
            <w:tcW w:w="6794" w:type="dxa"/>
            <w:gridSpan w:val="9"/>
            <w:vAlign w:val="center"/>
          </w:tcPr>
          <w:p w14:paraId="5BA53529" w14:textId="77777777" w:rsidR="00CB33C7" w:rsidRPr="00C2587D" w:rsidRDefault="00CB33C7" w:rsidP="00EA6E27">
            <w:pPr>
              <w:jc w:val="both"/>
              <w:rPr>
                <w:color w:val="000000"/>
                <w:lang w:eastAsia="it-IT"/>
              </w:rPr>
            </w:pPr>
          </w:p>
        </w:tc>
      </w:tr>
      <w:tr w:rsidR="006D7879" w:rsidRPr="00C2587D" w14:paraId="0E6E141E" w14:textId="5D93221E" w:rsidTr="006D7879">
        <w:trPr>
          <w:trHeight w:val="240"/>
          <w:jc w:val="right"/>
        </w:trPr>
        <w:tc>
          <w:tcPr>
            <w:tcW w:w="3425" w:type="dxa"/>
            <w:shd w:val="clear" w:color="auto" w:fill="FFFFFF"/>
            <w:vAlign w:val="center"/>
          </w:tcPr>
          <w:p w14:paraId="3CEDE633" w14:textId="77777777" w:rsidR="006D7879" w:rsidRPr="00C2587D" w:rsidRDefault="006D7879" w:rsidP="00EA6E27">
            <w:pPr>
              <w:rPr>
                <w:b/>
                <w:bCs/>
                <w:color w:val="000000"/>
              </w:rPr>
            </w:pPr>
            <w:r w:rsidRPr="00C2587D">
              <w:rPr>
                <w:color w:val="000000"/>
              </w:rPr>
              <w:t>- державний бюджет</w:t>
            </w:r>
          </w:p>
        </w:tc>
        <w:tc>
          <w:tcPr>
            <w:tcW w:w="1267" w:type="dxa"/>
            <w:gridSpan w:val="2"/>
            <w:vAlign w:val="center"/>
          </w:tcPr>
          <w:p w14:paraId="0DA502EE" w14:textId="694A364E" w:rsidR="006D7879" w:rsidRPr="00C2587D" w:rsidRDefault="006D7879" w:rsidP="00EA6E27">
            <w:pPr>
              <w:jc w:val="both"/>
              <w:rPr>
                <w:color w:val="000000"/>
                <w:lang w:eastAsia="it-IT"/>
              </w:rPr>
            </w:pPr>
          </w:p>
        </w:tc>
        <w:tc>
          <w:tcPr>
            <w:tcW w:w="1279" w:type="dxa"/>
            <w:gridSpan w:val="2"/>
            <w:vAlign w:val="center"/>
          </w:tcPr>
          <w:p w14:paraId="5B385942" w14:textId="77777777" w:rsidR="006D7879" w:rsidRPr="00C2587D" w:rsidRDefault="006D7879" w:rsidP="00EA6E27">
            <w:pPr>
              <w:jc w:val="both"/>
              <w:rPr>
                <w:color w:val="000000"/>
                <w:lang w:eastAsia="it-IT"/>
              </w:rPr>
            </w:pPr>
          </w:p>
        </w:tc>
        <w:tc>
          <w:tcPr>
            <w:tcW w:w="1417" w:type="dxa"/>
            <w:gridSpan w:val="2"/>
            <w:vAlign w:val="center"/>
          </w:tcPr>
          <w:p w14:paraId="0E610F9D" w14:textId="77777777" w:rsidR="006D7879" w:rsidRPr="00C2587D" w:rsidRDefault="006D7879" w:rsidP="00EA6E27">
            <w:pPr>
              <w:jc w:val="both"/>
              <w:rPr>
                <w:color w:val="000000"/>
                <w:lang w:eastAsia="it-IT"/>
              </w:rPr>
            </w:pPr>
          </w:p>
        </w:tc>
        <w:tc>
          <w:tcPr>
            <w:tcW w:w="1254" w:type="dxa"/>
            <w:vAlign w:val="center"/>
          </w:tcPr>
          <w:p w14:paraId="4A92C507" w14:textId="77777777" w:rsidR="006D7879" w:rsidRPr="00C2587D" w:rsidRDefault="006D7879" w:rsidP="00EA6E27">
            <w:pPr>
              <w:jc w:val="both"/>
              <w:rPr>
                <w:color w:val="000000"/>
                <w:lang w:eastAsia="it-IT"/>
              </w:rPr>
            </w:pPr>
          </w:p>
        </w:tc>
        <w:tc>
          <w:tcPr>
            <w:tcW w:w="1577" w:type="dxa"/>
            <w:gridSpan w:val="2"/>
            <w:vAlign w:val="center"/>
          </w:tcPr>
          <w:p w14:paraId="7090AE2A" w14:textId="77777777" w:rsidR="006D7879" w:rsidRPr="00C2587D" w:rsidRDefault="006D7879" w:rsidP="00EA6E27">
            <w:pPr>
              <w:jc w:val="both"/>
              <w:rPr>
                <w:color w:val="000000"/>
                <w:lang w:eastAsia="it-IT"/>
              </w:rPr>
            </w:pPr>
          </w:p>
        </w:tc>
      </w:tr>
      <w:tr w:rsidR="006D7879" w:rsidRPr="00C2587D" w14:paraId="73A338F2" w14:textId="1FEFE09D" w:rsidTr="006D7879">
        <w:trPr>
          <w:trHeight w:val="254"/>
          <w:jc w:val="right"/>
        </w:trPr>
        <w:tc>
          <w:tcPr>
            <w:tcW w:w="3425" w:type="dxa"/>
            <w:shd w:val="clear" w:color="auto" w:fill="FFFFFF"/>
            <w:vAlign w:val="center"/>
          </w:tcPr>
          <w:p w14:paraId="30068A75" w14:textId="77777777" w:rsidR="006D7879" w:rsidRPr="00C2587D" w:rsidRDefault="006D7879" w:rsidP="00EA6E27">
            <w:pPr>
              <w:rPr>
                <w:color w:val="000000"/>
              </w:rPr>
            </w:pPr>
            <w:r w:rsidRPr="00C2587D">
              <w:rPr>
                <w:color w:val="000000"/>
              </w:rPr>
              <w:t>- обласний бюджет</w:t>
            </w:r>
          </w:p>
        </w:tc>
        <w:tc>
          <w:tcPr>
            <w:tcW w:w="1267" w:type="dxa"/>
            <w:gridSpan w:val="2"/>
            <w:vAlign w:val="center"/>
          </w:tcPr>
          <w:p w14:paraId="05FA6FE4" w14:textId="5F123A4E" w:rsidR="006D7879" w:rsidRPr="00C2587D" w:rsidRDefault="006D7879" w:rsidP="00EA6E27">
            <w:pPr>
              <w:jc w:val="both"/>
              <w:rPr>
                <w:color w:val="000000"/>
                <w:lang w:eastAsia="it-IT"/>
              </w:rPr>
            </w:pPr>
          </w:p>
        </w:tc>
        <w:tc>
          <w:tcPr>
            <w:tcW w:w="1279" w:type="dxa"/>
            <w:gridSpan w:val="2"/>
            <w:vAlign w:val="center"/>
          </w:tcPr>
          <w:p w14:paraId="60BE8EC6" w14:textId="77777777" w:rsidR="006D7879" w:rsidRPr="00C2587D" w:rsidRDefault="006D7879" w:rsidP="00EA6E27">
            <w:pPr>
              <w:jc w:val="both"/>
              <w:rPr>
                <w:color w:val="000000"/>
                <w:lang w:eastAsia="it-IT"/>
              </w:rPr>
            </w:pPr>
          </w:p>
        </w:tc>
        <w:tc>
          <w:tcPr>
            <w:tcW w:w="1417" w:type="dxa"/>
            <w:gridSpan w:val="2"/>
            <w:vAlign w:val="center"/>
          </w:tcPr>
          <w:p w14:paraId="5D6D4C12" w14:textId="77777777" w:rsidR="006D7879" w:rsidRPr="00C2587D" w:rsidRDefault="006D7879" w:rsidP="00EA6E27">
            <w:pPr>
              <w:jc w:val="both"/>
              <w:rPr>
                <w:color w:val="000000"/>
                <w:lang w:eastAsia="it-IT"/>
              </w:rPr>
            </w:pPr>
          </w:p>
        </w:tc>
        <w:tc>
          <w:tcPr>
            <w:tcW w:w="1254" w:type="dxa"/>
            <w:vAlign w:val="center"/>
          </w:tcPr>
          <w:p w14:paraId="782D824E" w14:textId="77777777" w:rsidR="006D7879" w:rsidRPr="00C2587D" w:rsidRDefault="006D7879" w:rsidP="00EA6E27">
            <w:pPr>
              <w:jc w:val="both"/>
              <w:rPr>
                <w:color w:val="000000"/>
                <w:lang w:eastAsia="it-IT"/>
              </w:rPr>
            </w:pPr>
          </w:p>
        </w:tc>
        <w:tc>
          <w:tcPr>
            <w:tcW w:w="1577" w:type="dxa"/>
            <w:gridSpan w:val="2"/>
            <w:vAlign w:val="center"/>
          </w:tcPr>
          <w:p w14:paraId="5088A2C1" w14:textId="77777777" w:rsidR="006D7879" w:rsidRPr="00C2587D" w:rsidRDefault="006D7879" w:rsidP="00EA6E27">
            <w:pPr>
              <w:jc w:val="both"/>
              <w:rPr>
                <w:color w:val="000000"/>
                <w:lang w:eastAsia="it-IT"/>
              </w:rPr>
            </w:pPr>
          </w:p>
        </w:tc>
      </w:tr>
      <w:tr w:rsidR="006D7879" w:rsidRPr="00C2587D" w14:paraId="329416CF" w14:textId="4553222F" w:rsidTr="006D7879">
        <w:trPr>
          <w:trHeight w:val="275"/>
          <w:jc w:val="right"/>
        </w:trPr>
        <w:tc>
          <w:tcPr>
            <w:tcW w:w="3425" w:type="dxa"/>
            <w:shd w:val="clear" w:color="auto" w:fill="FFFFFF"/>
            <w:vAlign w:val="center"/>
          </w:tcPr>
          <w:p w14:paraId="57CC81D1" w14:textId="77777777" w:rsidR="006D7879" w:rsidRPr="00C2587D" w:rsidRDefault="006D7879" w:rsidP="00EA6E27">
            <w:pPr>
              <w:rPr>
                <w:color w:val="000000"/>
              </w:rPr>
            </w:pPr>
            <w:r w:rsidRPr="00C2587D">
              <w:rPr>
                <w:color w:val="000000"/>
              </w:rPr>
              <w:t>- бюджет Жмеринської МТГ</w:t>
            </w:r>
          </w:p>
        </w:tc>
        <w:tc>
          <w:tcPr>
            <w:tcW w:w="1267" w:type="dxa"/>
            <w:gridSpan w:val="2"/>
            <w:vAlign w:val="center"/>
          </w:tcPr>
          <w:p w14:paraId="5B9D09F6" w14:textId="2ABBEB56" w:rsidR="006D7879" w:rsidRPr="00C2587D" w:rsidRDefault="006D7879" w:rsidP="006D7879">
            <w:pPr>
              <w:jc w:val="both"/>
              <w:rPr>
                <w:color w:val="000000"/>
                <w:lang w:eastAsia="it-IT"/>
              </w:rPr>
            </w:pPr>
          </w:p>
        </w:tc>
        <w:tc>
          <w:tcPr>
            <w:tcW w:w="1279" w:type="dxa"/>
            <w:gridSpan w:val="2"/>
          </w:tcPr>
          <w:p w14:paraId="4AADD94F" w14:textId="419A0474" w:rsidR="006D7879" w:rsidRPr="00C2587D" w:rsidRDefault="006D7879" w:rsidP="006D7879">
            <w:pPr>
              <w:ind w:left="-92"/>
              <w:jc w:val="center"/>
              <w:rPr>
                <w:color w:val="000000"/>
                <w:lang w:eastAsia="it-IT"/>
              </w:rPr>
            </w:pPr>
            <w:r w:rsidRPr="00C2587D">
              <w:rPr>
                <w:color w:val="000000"/>
                <w:lang w:eastAsia="it-IT"/>
              </w:rPr>
              <w:t>1500,00</w:t>
            </w:r>
          </w:p>
        </w:tc>
        <w:tc>
          <w:tcPr>
            <w:tcW w:w="1417" w:type="dxa"/>
            <w:gridSpan w:val="2"/>
            <w:vAlign w:val="center"/>
          </w:tcPr>
          <w:p w14:paraId="0CB081CB" w14:textId="5990D97F" w:rsidR="006D7879" w:rsidRPr="00C2587D" w:rsidRDefault="006D7879" w:rsidP="006D7879">
            <w:pPr>
              <w:jc w:val="both"/>
              <w:rPr>
                <w:color w:val="000000"/>
                <w:lang w:eastAsia="it-IT"/>
              </w:rPr>
            </w:pPr>
          </w:p>
        </w:tc>
        <w:tc>
          <w:tcPr>
            <w:tcW w:w="1254" w:type="dxa"/>
            <w:vAlign w:val="center"/>
          </w:tcPr>
          <w:p w14:paraId="1106EA07" w14:textId="72FCCB33" w:rsidR="006D7879" w:rsidRPr="00C2587D" w:rsidRDefault="006D7879" w:rsidP="006D7879">
            <w:pPr>
              <w:jc w:val="both"/>
              <w:rPr>
                <w:color w:val="000000"/>
                <w:lang w:eastAsia="it-IT"/>
              </w:rPr>
            </w:pPr>
          </w:p>
        </w:tc>
        <w:tc>
          <w:tcPr>
            <w:tcW w:w="1577" w:type="dxa"/>
            <w:gridSpan w:val="2"/>
          </w:tcPr>
          <w:p w14:paraId="215340DD" w14:textId="1449EC59" w:rsidR="006D7879" w:rsidRPr="006D7879" w:rsidRDefault="006D7879" w:rsidP="006D7879">
            <w:pPr>
              <w:jc w:val="center"/>
              <w:rPr>
                <w:b/>
                <w:color w:val="000000"/>
                <w:lang w:eastAsia="it-IT"/>
              </w:rPr>
            </w:pPr>
            <w:r w:rsidRPr="006D7879">
              <w:rPr>
                <w:b/>
                <w:color w:val="000000"/>
                <w:lang w:eastAsia="it-IT"/>
              </w:rPr>
              <w:t>1500,00</w:t>
            </w:r>
          </w:p>
        </w:tc>
      </w:tr>
      <w:tr w:rsidR="006D7879" w:rsidRPr="00C2587D" w14:paraId="5E9CC89E" w14:textId="35ABE243" w:rsidTr="006D7879">
        <w:trPr>
          <w:trHeight w:val="226"/>
          <w:jc w:val="right"/>
        </w:trPr>
        <w:tc>
          <w:tcPr>
            <w:tcW w:w="3425" w:type="dxa"/>
            <w:shd w:val="clear" w:color="auto" w:fill="FFFFFF"/>
            <w:vAlign w:val="center"/>
          </w:tcPr>
          <w:p w14:paraId="763BC103" w14:textId="77777777" w:rsidR="006D7879" w:rsidRPr="00C2587D" w:rsidRDefault="006D7879" w:rsidP="00EA6E27">
            <w:pPr>
              <w:rPr>
                <w:color w:val="000000"/>
              </w:rPr>
            </w:pPr>
            <w:r w:rsidRPr="00C2587D">
              <w:rPr>
                <w:color w:val="000000"/>
              </w:rPr>
              <w:t>- інші джерела фінансування</w:t>
            </w:r>
          </w:p>
        </w:tc>
        <w:tc>
          <w:tcPr>
            <w:tcW w:w="1267" w:type="dxa"/>
            <w:gridSpan w:val="2"/>
            <w:vAlign w:val="center"/>
          </w:tcPr>
          <w:p w14:paraId="6D688AAC" w14:textId="2119B0CD" w:rsidR="006D7879" w:rsidRPr="00C2587D" w:rsidRDefault="006D7879" w:rsidP="00EA6E27">
            <w:pPr>
              <w:jc w:val="both"/>
              <w:rPr>
                <w:color w:val="000000"/>
                <w:lang w:eastAsia="it-IT"/>
              </w:rPr>
            </w:pPr>
          </w:p>
        </w:tc>
        <w:tc>
          <w:tcPr>
            <w:tcW w:w="1279" w:type="dxa"/>
            <w:gridSpan w:val="2"/>
            <w:vAlign w:val="center"/>
          </w:tcPr>
          <w:p w14:paraId="5A13ED8A" w14:textId="77777777" w:rsidR="006D7879" w:rsidRPr="00C2587D" w:rsidRDefault="006D7879" w:rsidP="00EA6E27">
            <w:pPr>
              <w:jc w:val="both"/>
              <w:rPr>
                <w:color w:val="000000"/>
                <w:lang w:eastAsia="it-IT"/>
              </w:rPr>
            </w:pPr>
          </w:p>
        </w:tc>
        <w:tc>
          <w:tcPr>
            <w:tcW w:w="1417" w:type="dxa"/>
            <w:gridSpan w:val="2"/>
            <w:vAlign w:val="center"/>
          </w:tcPr>
          <w:p w14:paraId="3C6643A8" w14:textId="77777777" w:rsidR="006D7879" w:rsidRPr="00C2587D" w:rsidRDefault="006D7879" w:rsidP="00EA6E27">
            <w:pPr>
              <w:jc w:val="both"/>
              <w:rPr>
                <w:color w:val="000000"/>
                <w:lang w:eastAsia="it-IT"/>
              </w:rPr>
            </w:pPr>
          </w:p>
        </w:tc>
        <w:tc>
          <w:tcPr>
            <w:tcW w:w="1254" w:type="dxa"/>
            <w:vAlign w:val="center"/>
          </w:tcPr>
          <w:p w14:paraId="107EDEAC" w14:textId="77777777" w:rsidR="006D7879" w:rsidRPr="00C2587D" w:rsidRDefault="006D7879" w:rsidP="00EA6E27">
            <w:pPr>
              <w:jc w:val="both"/>
              <w:rPr>
                <w:color w:val="000000"/>
                <w:lang w:eastAsia="it-IT"/>
              </w:rPr>
            </w:pPr>
          </w:p>
        </w:tc>
        <w:tc>
          <w:tcPr>
            <w:tcW w:w="1577" w:type="dxa"/>
            <w:gridSpan w:val="2"/>
            <w:vAlign w:val="center"/>
          </w:tcPr>
          <w:p w14:paraId="1E14036D" w14:textId="77777777" w:rsidR="006D7879" w:rsidRPr="00C2587D" w:rsidRDefault="006D7879" w:rsidP="00EA6E27">
            <w:pPr>
              <w:jc w:val="both"/>
              <w:rPr>
                <w:color w:val="000000"/>
                <w:lang w:eastAsia="it-IT"/>
              </w:rPr>
            </w:pPr>
          </w:p>
        </w:tc>
      </w:tr>
      <w:tr w:rsidR="00CB33C7" w:rsidRPr="00C2587D" w14:paraId="38C79A25" w14:textId="77777777" w:rsidTr="00EA6E27">
        <w:trPr>
          <w:jc w:val="right"/>
        </w:trPr>
        <w:tc>
          <w:tcPr>
            <w:tcW w:w="3425" w:type="dxa"/>
            <w:shd w:val="clear" w:color="auto" w:fill="FFFFFF"/>
            <w:vAlign w:val="center"/>
          </w:tcPr>
          <w:p w14:paraId="3FC93109" w14:textId="77777777" w:rsidR="00CB33C7" w:rsidRPr="00C2587D" w:rsidRDefault="00CB33C7" w:rsidP="00EA6E27">
            <w:pPr>
              <w:rPr>
                <w:b/>
                <w:bCs/>
                <w:color w:val="000000"/>
              </w:rPr>
            </w:pPr>
            <w:r w:rsidRPr="00C2587D">
              <w:rPr>
                <w:b/>
                <w:color w:val="000000"/>
              </w:rPr>
              <w:t>Відповідальний виконавець проєкту:</w:t>
            </w:r>
          </w:p>
        </w:tc>
        <w:tc>
          <w:tcPr>
            <w:tcW w:w="6794" w:type="dxa"/>
            <w:gridSpan w:val="9"/>
            <w:vAlign w:val="center"/>
          </w:tcPr>
          <w:p w14:paraId="246B05BB" w14:textId="77777777" w:rsidR="00CB33C7" w:rsidRPr="00C2587D" w:rsidRDefault="00CB33C7" w:rsidP="00EA6E27">
            <w:pPr>
              <w:jc w:val="both"/>
              <w:rPr>
                <w:color w:val="000000"/>
                <w:lang w:eastAsia="it-IT"/>
              </w:rPr>
            </w:pPr>
            <w:r w:rsidRPr="00C2587D">
              <w:rPr>
                <w:color w:val="000000"/>
                <w:lang w:eastAsia="it-IT"/>
              </w:rPr>
              <w:t>Управління ЖКГ</w:t>
            </w:r>
          </w:p>
        </w:tc>
      </w:tr>
      <w:tr w:rsidR="00CB33C7" w:rsidRPr="00C2587D" w14:paraId="0D7D38EA" w14:textId="77777777" w:rsidTr="00EA6E27">
        <w:trPr>
          <w:jc w:val="right"/>
        </w:trPr>
        <w:tc>
          <w:tcPr>
            <w:tcW w:w="3425" w:type="dxa"/>
            <w:shd w:val="clear" w:color="auto" w:fill="FFFFFF"/>
            <w:vAlign w:val="center"/>
          </w:tcPr>
          <w:p w14:paraId="5C7154A8" w14:textId="77777777" w:rsidR="00CB33C7" w:rsidRPr="00C2587D" w:rsidRDefault="00CB33C7" w:rsidP="00EA6E27">
            <w:pPr>
              <w:rPr>
                <w:b/>
                <w:bCs/>
                <w:color w:val="000000"/>
              </w:rPr>
            </w:pPr>
            <w:r w:rsidRPr="00C2587D">
              <w:rPr>
                <w:b/>
                <w:bCs/>
                <w:color w:val="000000"/>
              </w:rPr>
              <w:t>Інше:</w:t>
            </w:r>
          </w:p>
        </w:tc>
        <w:tc>
          <w:tcPr>
            <w:tcW w:w="6794" w:type="dxa"/>
            <w:gridSpan w:val="9"/>
            <w:vAlign w:val="center"/>
          </w:tcPr>
          <w:p w14:paraId="0B59C23C" w14:textId="77777777" w:rsidR="00CB33C7" w:rsidRPr="00C2587D" w:rsidRDefault="00CB33C7" w:rsidP="00EA6E27">
            <w:pPr>
              <w:rPr>
                <w:color w:val="000000"/>
                <w:lang w:eastAsia="it-IT"/>
              </w:rPr>
            </w:pPr>
          </w:p>
        </w:tc>
      </w:tr>
    </w:tbl>
    <w:p w14:paraId="17FD2D90" w14:textId="77777777" w:rsidR="00CB33C7" w:rsidRPr="00C2587D" w:rsidRDefault="00CB33C7" w:rsidP="00CB33C7"/>
    <w:p w14:paraId="5F09540D" w14:textId="77777777" w:rsidR="00CB33C7" w:rsidRPr="00C2587D" w:rsidRDefault="00CB33C7" w:rsidP="00CB33C7"/>
    <w:p w14:paraId="03EA5B6E" w14:textId="77777777" w:rsidR="00CB33C7" w:rsidRPr="00C2587D" w:rsidRDefault="00CB33C7" w:rsidP="00CB33C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50C2433B" w14:textId="77777777" w:rsidR="00CB33C7" w:rsidRPr="00C2587D" w:rsidRDefault="00CB33C7" w:rsidP="00CB33C7">
      <w:pPr>
        <w:jc w:val="center"/>
        <w:rPr>
          <w:rFonts w:cs="Arial"/>
          <w:b/>
          <w:color w:val="000000"/>
          <w:szCs w:val="22"/>
        </w:rPr>
      </w:pPr>
      <w:r w:rsidRPr="00C2587D">
        <w:rPr>
          <w:rFonts w:cs="Arial"/>
          <w:b/>
          <w:color w:val="000000"/>
          <w:szCs w:val="22"/>
        </w:rPr>
        <w:t>до Плану заходів з реалізації Стратегії</w:t>
      </w:r>
    </w:p>
    <w:p w14:paraId="479A1815" w14:textId="77777777" w:rsidR="00CB33C7" w:rsidRPr="00C2587D" w:rsidRDefault="00CB33C7" w:rsidP="00CB33C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4"/>
        <w:gridCol w:w="1254"/>
        <w:gridCol w:w="36"/>
        <w:gridCol w:w="1278"/>
        <w:gridCol w:w="97"/>
        <w:gridCol w:w="1280"/>
        <w:gridCol w:w="27"/>
        <w:gridCol w:w="1248"/>
        <w:gridCol w:w="1575"/>
      </w:tblGrid>
      <w:tr w:rsidR="00CB33C7" w:rsidRPr="00C2587D" w14:paraId="643E2FC0" w14:textId="77777777" w:rsidTr="00EA6E27">
        <w:trPr>
          <w:jc w:val="right"/>
        </w:trPr>
        <w:tc>
          <w:tcPr>
            <w:tcW w:w="3425" w:type="dxa"/>
            <w:vAlign w:val="center"/>
          </w:tcPr>
          <w:p w14:paraId="7D9ABBCF" w14:textId="77777777" w:rsidR="00CB33C7" w:rsidRPr="00CA19D0" w:rsidRDefault="00CB33C7" w:rsidP="00CA19D0">
            <w:pPr>
              <w:rPr>
                <w:rFonts w:cs="Arial"/>
                <w:b/>
                <w:bCs/>
                <w:color w:val="000000"/>
                <w:szCs w:val="22"/>
              </w:rPr>
            </w:pPr>
            <w:r w:rsidRPr="00CA19D0">
              <w:rPr>
                <w:rFonts w:cs="Arial"/>
                <w:b/>
                <w:bCs/>
                <w:color w:val="000000"/>
                <w:szCs w:val="22"/>
              </w:rPr>
              <w:t>Назва проєкту:</w:t>
            </w:r>
          </w:p>
        </w:tc>
        <w:tc>
          <w:tcPr>
            <w:tcW w:w="6794" w:type="dxa"/>
            <w:gridSpan w:val="8"/>
          </w:tcPr>
          <w:p w14:paraId="342400C4" w14:textId="77777777" w:rsidR="00CB33C7" w:rsidRPr="00CA19D0" w:rsidRDefault="00CB33C7" w:rsidP="00CA19D0">
            <w:pPr>
              <w:jc w:val="both"/>
              <w:rPr>
                <w:rFonts w:cs="Arial"/>
                <w:b/>
                <w:szCs w:val="22"/>
                <w:lang w:eastAsia="it-IT"/>
              </w:rPr>
            </w:pPr>
            <w:r w:rsidRPr="00CA19D0">
              <w:rPr>
                <w:rFonts w:eastAsia="Arial" w:cs="Arial"/>
                <w:b/>
                <w:szCs w:val="22"/>
              </w:rPr>
              <w:t>Капітальний ремонт мережі водопостачання по вул. Київська в м. Жмеринка Вінницької області</w:t>
            </w:r>
          </w:p>
        </w:tc>
      </w:tr>
      <w:tr w:rsidR="00CB33C7" w:rsidRPr="00C2587D" w14:paraId="790BFBEB" w14:textId="77777777" w:rsidTr="00CA19D0">
        <w:trPr>
          <w:jc w:val="right"/>
        </w:trPr>
        <w:tc>
          <w:tcPr>
            <w:tcW w:w="3425" w:type="dxa"/>
          </w:tcPr>
          <w:p w14:paraId="40BABCB4" w14:textId="77777777" w:rsidR="00CB33C7" w:rsidRPr="00CA19D0" w:rsidRDefault="00CB33C7" w:rsidP="00CA19D0">
            <w:pPr>
              <w:rPr>
                <w:rFonts w:cs="Arial"/>
                <w:szCs w:val="22"/>
                <w:lang w:eastAsia="it-IT"/>
              </w:rPr>
            </w:pPr>
            <w:r w:rsidRPr="00CA19D0">
              <w:rPr>
                <w:rFonts w:cs="Arial"/>
                <w:b/>
                <w:bCs/>
                <w:szCs w:val="22"/>
              </w:rPr>
              <w:t>Ваші контакти</w:t>
            </w:r>
            <w:r w:rsidRPr="00CA19D0">
              <w:rPr>
                <w:rFonts w:cs="Arial"/>
                <w:szCs w:val="22"/>
                <w:lang w:eastAsia="it-IT"/>
              </w:rPr>
              <w:t>:</w:t>
            </w:r>
          </w:p>
          <w:p w14:paraId="56E62B11" w14:textId="77777777" w:rsidR="00CB33C7" w:rsidRPr="00CA19D0" w:rsidRDefault="00CB33C7" w:rsidP="00CA19D0">
            <w:pPr>
              <w:rPr>
                <w:rFonts w:cs="Arial"/>
                <w:b/>
                <w:bCs/>
                <w:szCs w:val="22"/>
              </w:rPr>
            </w:pPr>
            <w:r w:rsidRPr="00CA19D0">
              <w:rPr>
                <w:rFonts w:cs="Arial"/>
                <w:szCs w:val="22"/>
                <w:lang w:eastAsia="it-IT"/>
              </w:rPr>
              <w:t>Назва установи, організації, підприємства</w:t>
            </w:r>
          </w:p>
        </w:tc>
        <w:tc>
          <w:tcPr>
            <w:tcW w:w="6794" w:type="dxa"/>
            <w:gridSpan w:val="8"/>
            <w:vAlign w:val="center"/>
          </w:tcPr>
          <w:p w14:paraId="570F17AC" w14:textId="77777777" w:rsidR="00CB33C7" w:rsidRPr="00CA19D0" w:rsidRDefault="00CB33C7" w:rsidP="00667673">
            <w:pPr>
              <w:jc w:val="both"/>
              <w:rPr>
                <w:rFonts w:cs="Arial"/>
                <w:szCs w:val="22"/>
                <w:lang w:eastAsia="it-IT"/>
              </w:rPr>
            </w:pPr>
            <w:r w:rsidRPr="00CA19D0">
              <w:rPr>
                <w:rFonts w:cs="Arial"/>
                <w:szCs w:val="22"/>
                <w:lang w:eastAsia="it-IT"/>
              </w:rPr>
              <w:t>Управління житлово-комунального господарства Жмеринської міської ради</w:t>
            </w:r>
          </w:p>
        </w:tc>
      </w:tr>
      <w:tr w:rsidR="00CB33C7" w:rsidRPr="00C2587D" w14:paraId="33933D96" w14:textId="77777777" w:rsidTr="00EA6E27">
        <w:trPr>
          <w:jc w:val="right"/>
        </w:trPr>
        <w:tc>
          <w:tcPr>
            <w:tcW w:w="3425" w:type="dxa"/>
          </w:tcPr>
          <w:p w14:paraId="5BCC6FCA" w14:textId="77777777" w:rsidR="00CB33C7" w:rsidRPr="00CA19D0" w:rsidRDefault="00CB33C7" w:rsidP="00CA19D0">
            <w:pPr>
              <w:rPr>
                <w:rFonts w:cs="Arial"/>
                <w:b/>
                <w:bCs/>
                <w:szCs w:val="22"/>
              </w:rPr>
            </w:pPr>
            <w:r w:rsidRPr="00CA19D0">
              <w:rPr>
                <w:rFonts w:cs="Arial"/>
                <w:szCs w:val="22"/>
                <w:lang w:eastAsia="it-IT"/>
              </w:rPr>
              <w:t>Прізвище Ім’я По-батькові:</w:t>
            </w:r>
          </w:p>
        </w:tc>
        <w:tc>
          <w:tcPr>
            <w:tcW w:w="6794" w:type="dxa"/>
            <w:gridSpan w:val="8"/>
          </w:tcPr>
          <w:p w14:paraId="4CE97751" w14:textId="77777777" w:rsidR="00CB33C7" w:rsidRPr="00CA19D0" w:rsidRDefault="00CB33C7" w:rsidP="00CA19D0">
            <w:pPr>
              <w:rPr>
                <w:rFonts w:cs="Arial"/>
                <w:szCs w:val="22"/>
                <w:lang w:eastAsia="it-IT"/>
              </w:rPr>
            </w:pPr>
            <w:r w:rsidRPr="00CA19D0">
              <w:rPr>
                <w:rFonts w:cs="Arial"/>
                <w:szCs w:val="22"/>
                <w:lang w:eastAsia="it-IT"/>
              </w:rPr>
              <w:t>Оленич Андрій Васильович</w:t>
            </w:r>
          </w:p>
        </w:tc>
      </w:tr>
      <w:tr w:rsidR="00CB33C7" w:rsidRPr="00C2587D" w14:paraId="5638B353" w14:textId="77777777" w:rsidTr="00EA6E27">
        <w:trPr>
          <w:jc w:val="right"/>
        </w:trPr>
        <w:tc>
          <w:tcPr>
            <w:tcW w:w="3425" w:type="dxa"/>
          </w:tcPr>
          <w:p w14:paraId="32AE7132" w14:textId="77777777" w:rsidR="00CB33C7" w:rsidRPr="00CA19D0" w:rsidRDefault="00CB33C7" w:rsidP="00CA19D0">
            <w:pPr>
              <w:rPr>
                <w:rFonts w:cs="Arial"/>
                <w:b/>
                <w:bCs/>
                <w:szCs w:val="22"/>
              </w:rPr>
            </w:pPr>
            <w:r w:rsidRPr="00CA19D0">
              <w:rPr>
                <w:rFonts w:cs="Arial"/>
                <w:szCs w:val="22"/>
                <w:lang w:eastAsia="it-IT"/>
              </w:rPr>
              <w:t>Телефон (мобільний):</w:t>
            </w:r>
          </w:p>
        </w:tc>
        <w:tc>
          <w:tcPr>
            <w:tcW w:w="6794" w:type="dxa"/>
            <w:gridSpan w:val="8"/>
          </w:tcPr>
          <w:p w14:paraId="69394C80" w14:textId="77777777" w:rsidR="00CB33C7" w:rsidRPr="00CA19D0" w:rsidRDefault="00CB33C7" w:rsidP="00CA19D0">
            <w:pPr>
              <w:rPr>
                <w:rFonts w:cs="Arial"/>
                <w:szCs w:val="22"/>
                <w:lang w:eastAsia="it-IT"/>
              </w:rPr>
            </w:pPr>
            <w:r w:rsidRPr="00CA19D0">
              <w:rPr>
                <w:rFonts w:cs="Arial"/>
                <w:szCs w:val="22"/>
                <w:lang w:eastAsia="it-IT"/>
              </w:rPr>
              <w:t>0972561907</w:t>
            </w:r>
          </w:p>
        </w:tc>
      </w:tr>
      <w:tr w:rsidR="00CB33C7" w:rsidRPr="00C2587D" w14:paraId="610011DA" w14:textId="77777777" w:rsidTr="00EA6E27">
        <w:trPr>
          <w:jc w:val="right"/>
        </w:trPr>
        <w:tc>
          <w:tcPr>
            <w:tcW w:w="3425" w:type="dxa"/>
          </w:tcPr>
          <w:p w14:paraId="58445569" w14:textId="77777777" w:rsidR="00CB33C7" w:rsidRPr="00CA19D0" w:rsidRDefault="00CB33C7" w:rsidP="00CA19D0">
            <w:pPr>
              <w:rPr>
                <w:rFonts w:cs="Arial"/>
                <w:b/>
                <w:bCs/>
                <w:szCs w:val="22"/>
              </w:rPr>
            </w:pPr>
            <w:r w:rsidRPr="00CA19D0">
              <w:rPr>
                <w:rFonts w:cs="Arial"/>
                <w:szCs w:val="22"/>
                <w:lang w:eastAsia="it-IT"/>
              </w:rPr>
              <w:t>Електронна адреса:</w:t>
            </w:r>
          </w:p>
        </w:tc>
        <w:tc>
          <w:tcPr>
            <w:tcW w:w="6794" w:type="dxa"/>
            <w:gridSpan w:val="8"/>
          </w:tcPr>
          <w:p w14:paraId="508D8A50" w14:textId="77777777" w:rsidR="00CB33C7" w:rsidRPr="00CA19D0" w:rsidRDefault="00D85FFD" w:rsidP="00CA19D0">
            <w:pPr>
              <w:rPr>
                <w:rFonts w:cs="Arial"/>
                <w:szCs w:val="22"/>
                <w:lang w:eastAsia="it-IT"/>
              </w:rPr>
            </w:pPr>
            <w:hyperlink r:id="rId77" w:history="1">
              <w:r w:rsidR="00CB33C7" w:rsidRPr="00CA19D0">
                <w:rPr>
                  <w:rStyle w:val="af0"/>
                  <w:rFonts w:cs="Arial"/>
                  <w:noProof w:val="0"/>
                  <w:sz w:val="22"/>
                  <w:szCs w:val="22"/>
                  <w:lang w:eastAsia="it-IT"/>
                </w:rPr>
                <w:t>Aolenych03@ukr.net</w:t>
              </w:r>
            </w:hyperlink>
          </w:p>
        </w:tc>
      </w:tr>
      <w:tr w:rsidR="00CB33C7" w:rsidRPr="00C2587D" w14:paraId="7A4AE3A1" w14:textId="77777777" w:rsidTr="00EA6E27">
        <w:trPr>
          <w:jc w:val="right"/>
        </w:trPr>
        <w:tc>
          <w:tcPr>
            <w:tcW w:w="3425" w:type="dxa"/>
            <w:vAlign w:val="center"/>
          </w:tcPr>
          <w:p w14:paraId="5AB9BC86" w14:textId="77777777" w:rsidR="00CB33C7" w:rsidRPr="00CA19D0" w:rsidRDefault="00CB33C7" w:rsidP="00CA19D0">
            <w:pPr>
              <w:pStyle w:val="6"/>
              <w:spacing w:before="0" w:after="0"/>
              <w:rPr>
                <w:rFonts w:ascii="Arial" w:hAnsi="Arial" w:cs="Arial"/>
                <w:color w:val="000000"/>
                <w:lang w:val="uk-UA"/>
              </w:rPr>
            </w:pPr>
            <w:r w:rsidRPr="00CA19D0">
              <w:rPr>
                <w:rFonts w:ascii="Arial" w:hAnsi="Arial" w:cs="Arial"/>
                <w:color w:val="000000"/>
                <w:lang w:val="uk-UA"/>
              </w:rPr>
              <w:t>Номер і назва завдання з Стратегії</w:t>
            </w:r>
            <w:r w:rsidRPr="00CA19D0">
              <w:rPr>
                <w:rFonts w:ascii="Arial" w:hAnsi="Arial" w:cs="Arial"/>
                <w:lang w:val="uk-UA" w:eastAsia="it-IT"/>
              </w:rPr>
              <w:t xml:space="preserve"> </w:t>
            </w:r>
            <w:r w:rsidRPr="00CA19D0">
              <w:rPr>
                <w:rFonts w:ascii="Arial" w:hAnsi="Arial" w:cs="Arial"/>
                <w:color w:val="000000"/>
                <w:lang w:val="uk-UA"/>
              </w:rPr>
              <w:t xml:space="preserve">розвитку Жмеринської міської </w:t>
            </w:r>
          </w:p>
        </w:tc>
        <w:tc>
          <w:tcPr>
            <w:tcW w:w="6794" w:type="dxa"/>
            <w:gridSpan w:val="8"/>
            <w:vAlign w:val="center"/>
          </w:tcPr>
          <w:p w14:paraId="228242D6" w14:textId="77777777" w:rsidR="00CB33C7" w:rsidRPr="00CA19D0" w:rsidRDefault="00CB33C7" w:rsidP="00CA19D0">
            <w:pPr>
              <w:suppressAutoHyphens/>
              <w:jc w:val="both"/>
              <w:rPr>
                <w:rFonts w:eastAsia="Lucida Sans Unicode" w:cs="Arial"/>
                <w:kern w:val="1"/>
                <w:szCs w:val="22"/>
                <w:lang w:eastAsia="ar-SA"/>
              </w:rPr>
            </w:pPr>
            <w:r w:rsidRPr="00CA19D0">
              <w:rPr>
                <w:rFonts w:eastAsia="Lucida Sans Unicode" w:cs="Arial"/>
                <w:kern w:val="1"/>
                <w:szCs w:val="22"/>
                <w:lang w:eastAsia="ar-SA"/>
              </w:rPr>
              <w:t>В.1.3.1. Будівництво нових, реконструкція, капітальний ремонт, модернізація мереж централізованої системи водопостачання, водовідведення та каналізації.</w:t>
            </w:r>
          </w:p>
        </w:tc>
      </w:tr>
      <w:tr w:rsidR="00CB33C7" w:rsidRPr="00C2587D" w14:paraId="1D0EFA3E" w14:textId="77777777" w:rsidTr="00EA6E27">
        <w:trPr>
          <w:jc w:val="right"/>
        </w:trPr>
        <w:tc>
          <w:tcPr>
            <w:tcW w:w="3425" w:type="dxa"/>
            <w:vAlign w:val="center"/>
          </w:tcPr>
          <w:p w14:paraId="260B9A2A" w14:textId="77777777" w:rsidR="00CB33C7" w:rsidRPr="00CA19D0" w:rsidRDefault="00CB33C7" w:rsidP="00CA19D0">
            <w:pPr>
              <w:rPr>
                <w:rFonts w:cs="Arial"/>
                <w:b/>
                <w:bCs/>
                <w:color w:val="000000"/>
                <w:szCs w:val="22"/>
              </w:rPr>
            </w:pPr>
            <w:r w:rsidRPr="00CA19D0">
              <w:rPr>
                <w:rFonts w:cs="Arial"/>
                <w:b/>
                <w:bCs/>
                <w:color w:val="000000"/>
                <w:szCs w:val="22"/>
              </w:rPr>
              <w:t>Мета проєкту:</w:t>
            </w:r>
          </w:p>
        </w:tc>
        <w:tc>
          <w:tcPr>
            <w:tcW w:w="6794" w:type="dxa"/>
            <w:gridSpan w:val="8"/>
          </w:tcPr>
          <w:p w14:paraId="26260EB5" w14:textId="77777777" w:rsidR="00CB33C7" w:rsidRPr="00CA19D0" w:rsidRDefault="00CB33C7" w:rsidP="00CA19D0">
            <w:pPr>
              <w:jc w:val="both"/>
              <w:rPr>
                <w:rFonts w:cs="Arial"/>
                <w:szCs w:val="22"/>
                <w:lang w:eastAsia="it-IT"/>
              </w:rPr>
            </w:pPr>
            <w:r w:rsidRPr="00CA19D0">
              <w:rPr>
                <w:rFonts w:cs="Arial"/>
                <w:szCs w:val="22"/>
                <w:lang w:eastAsia="it-IT"/>
              </w:rPr>
              <w:t>Ліквідація частих аварійних поривів системи водопостачання с. Леляки, збереження дорожнього полотна, забезпечення мешканців Жмеринської міської ТГ послугою якісного безперебійного водопостачання.</w:t>
            </w:r>
          </w:p>
        </w:tc>
      </w:tr>
      <w:tr w:rsidR="00CB33C7" w:rsidRPr="00C2587D" w14:paraId="79F9FFC7" w14:textId="77777777" w:rsidTr="00EA6E27">
        <w:trPr>
          <w:jc w:val="right"/>
        </w:trPr>
        <w:tc>
          <w:tcPr>
            <w:tcW w:w="3425" w:type="dxa"/>
            <w:vAlign w:val="center"/>
          </w:tcPr>
          <w:p w14:paraId="62A2D0BF" w14:textId="77777777" w:rsidR="00CB33C7" w:rsidRPr="00CA19D0" w:rsidRDefault="00CB33C7" w:rsidP="00CA19D0">
            <w:pPr>
              <w:rPr>
                <w:rFonts w:cs="Arial"/>
                <w:b/>
                <w:bCs/>
                <w:color w:val="000000"/>
                <w:szCs w:val="22"/>
              </w:rPr>
            </w:pPr>
            <w:r w:rsidRPr="00CA19D0">
              <w:rPr>
                <w:rFonts w:cs="Arial"/>
                <w:b/>
                <w:bCs/>
                <w:color w:val="000000"/>
                <w:szCs w:val="22"/>
              </w:rPr>
              <w:t>Цілі проєкту:</w:t>
            </w:r>
          </w:p>
        </w:tc>
        <w:tc>
          <w:tcPr>
            <w:tcW w:w="6794" w:type="dxa"/>
            <w:gridSpan w:val="8"/>
          </w:tcPr>
          <w:p w14:paraId="1B2F2062" w14:textId="77777777" w:rsidR="00CB33C7" w:rsidRPr="00CA19D0" w:rsidRDefault="00CB33C7" w:rsidP="00CA19D0">
            <w:pPr>
              <w:jc w:val="both"/>
              <w:rPr>
                <w:rFonts w:cs="Arial"/>
                <w:szCs w:val="22"/>
                <w:lang w:eastAsia="it-IT"/>
              </w:rPr>
            </w:pPr>
            <w:r w:rsidRPr="00CA19D0">
              <w:rPr>
                <w:rFonts w:cs="Arial"/>
                <w:szCs w:val="22"/>
                <w:lang w:eastAsia="it-IT"/>
              </w:rPr>
              <w:t>Надання мешканцям м. Жмеринка  якісних безперебійних послуг з водопостачання. Зменшення поривів водогону. Зменшення витрат на обслуговування водопровідних мереж. Зменшення втрат питної води. Покращення якості питної води. Збереження дорожнього полотна.</w:t>
            </w:r>
            <w:r w:rsidRPr="00CA19D0">
              <w:rPr>
                <w:rFonts w:cs="Arial"/>
                <w:b/>
                <w:szCs w:val="22"/>
              </w:rPr>
              <w:t xml:space="preserve"> </w:t>
            </w:r>
            <w:r w:rsidRPr="00CA19D0">
              <w:rPr>
                <w:rFonts w:cs="Arial"/>
                <w:szCs w:val="22"/>
              </w:rPr>
              <w:t>Проведення капітального ремонту водопровідних мереж в м. Жмеринка.</w:t>
            </w:r>
          </w:p>
        </w:tc>
      </w:tr>
      <w:tr w:rsidR="00CB33C7" w:rsidRPr="00C2587D" w14:paraId="72DAE1CF" w14:textId="77777777" w:rsidTr="00EA6E27">
        <w:trPr>
          <w:jc w:val="right"/>
        </w:trPr>
        <w:tc>
          <w:tcPr>
            <w:tcW w:w="3425" w:type="dxa"/>
            <w:vAlign w:val="center"/>
          </w:tcPr>
          <w:p w14:paraId="06D66DA2" w14:textId="77777777" w:rsidR="00CB33C7" w:rsidRPr="00CA19D0" w:rsidRDefault="00CB33C7" w:rsidP="00CA19D0">
            <w:pPr>
              <w:autoSpaceDE w:val="0"/>
              <w:autoSpaceDN w:val="0"/>
              <w:adjustRightInd w:val="0"/>
              <w:rPr>
                <w:rFonts w:cs="Arial"/>
                <w:b/>
                <w:color w:val="000000"/>
                <w:szCs w:val="22"/>
              </w:rPr>
            </w:pPr>
            <w:r w:rsidRPr="00CA19D0">
              <w:rPr>
                <w:rFonts w:cs="Arial"/>
                <w:b/>
                <w:color w:val="000000"/>
                <w:szCs w:val="22"/>
              </w:rPr>
              <w:t>Територія на яку проєкт матиме вплив:</w:t>
            </w:r>
          </w:p>
        </w:tc>
        <w:tc>
          <w:tcPr>
            <w:tcW w:w="6794" w:type="dxa"/>
            <w:gridSpan w:val="8"/>
          </w:tcPr>
          <w:p w14:paraId="6B388889" w14:textId="77777777" w:rsidR="00CB33C7" w:rsidRPr="00CA19D0" w:rsidRDefault="00CB33C7" w:rsidP="00CA19D0">
            <w:pPr>
              <w:jc w:val="both"/>
              <w:rPr>
                <w:rFonts w:cs="Arial"/>
                <w:szCs w:val="22"/>
                <w:lang w:eastAsia="it-IT"/>
              </w:rPr>
            </w:pPr>
            <w:r w:rsidRPr="00CA19D0">
              <w:rPr>
                <w:rFonts w:cs="Arial"/>
                <w:szCs w:val="22"/>
                <w:lang w:eastAsia="it-IT"/>
              </w:rPr>
              <w:t>Території м. Жмеринка</w:t>
            </w:r>
          </w:p>
        </w:tc>
      </w:tr>
      <w:tr w:rsidR="00CB33C7" w:rsidRPr="00C2587D" w14:paraId="0361F0CC" w14:textId="77777777" w:rsidTr="00EA6E27">
        <w:trPr>
          <w:jc w:val="right"/>
        </w:trPr>
        <w:tc>
          <w:tcPr>
            <w:tcW w:w="3425" w:type="dxa"/>
            <w:vAlign w:val="center"/>
          </w:tcPr>
          <w:p w14:paraId="5215ADB8" w14:textId="77777777" w:rsidR="00CB33C7" w:rsidRPr="00CA19D0" w:rsidRDefault="00CB33C7" w:rsidP="00CA19D0">
            <w:pPr>
              <w:autoSpaceDE w:val="0"/>
              <w:autoSpaceDN w:val="0"/>
              <w:adjustRightInd w:val="0"/>
              <w:rPr>
                <w:rFonts w:cs="Arial"/>
                <w:b/>
                <w:color w:val="000000"/>
                <w:szCs w:val="22"/>
              </w:rPr>
            </w:pPr>
            <w:r w:rsidRPr="00CA19D0">
              <w:rPr>
                <w:rFonts w:cs="Arial"/>
                <w:b/>
                <w:color w:val="000000"/>
                <w:szCs w:val="22"/>
              </w:rPr>
              <w:t>Цільові групи проєкту та кількість отримувачів вигоди</w:t>
            </w:r>
          </w:p>
        </w:tc>
        <w:tc>
          <w:tcPr>
            <w:tcW w:w="6794" w:type="dxa"/>
            <w:gridSpan w:val="8"/>
          </w:tcPr>
          <w:p w14:paraId="24B65EDC" w14:textId="77777777" w:rsidR="00CB33C7" w:rsidRPr="00CA19D0" w:rsidRDefault="00CB33C7" w:rsidP="00CA19D0">
            <w:pPr>
              <w:jc w:val="both"/>
              <w:rPr>
                <w:rFonts w:cs="Arial"/>
                <w:szCs w:val="22"/>
                <w:lang w:eastAsia="it-IT"/>
              </w:rPr>
            </w:pPr>
            <w:r w:rsidRPr="00CA19D0">
              <w:rPr>
                <w:rFonts w:cs="Arial"/>
                <w:szCs w:val="22"/>
                <w:lang w:eastAsia="it-IT"/>
              </w:rPr>
              <w:t xml:space="preserve">Жителі м. Жмеринка в кількості </w:t>
            </w:r>
            <w:r w:rsidRPr="00CA19D0">
              <w:rPr>
                <w:rFonts w:cs="Arial"/>
                <w:szCs w:val="22"/>
              </w:rPr>
              <w:t>34353 жителів</w:t>
            </w:r>
          </w:p>
        </w:tc>
      </w:tr>
      <w:tr w:rsidR="00CB33C7" w:rsidRPr="00C2587D" w14:paraId="0770CCA9" w14:textId="77777777" w:rsidTr="00EA6E27">
        <w:trPr>
          <w:jc w:val="right"/>
        </w:trPr>
        <w:tc>
          <w:tcPr>
            <w:tcW w:w="3425" w:type="dxa"/>
            <w:shd w:val="clear" w:color="auto" w:fill="FFFFFF"/>
            <w:vAlign w:val="center"/>
          </w:tcPr>
          <w:p w14:paraId="5F5F718A" w14:textId="77777777" w:rsidR="00CB33C7" w:rsidRPr="00CA19D0" w:rsidRDefault="00CB33C7" w:rsidP="00CA19D0">
            <w:pPr>
              <w:rPr>
                <w:rFonts w:cs="Arial"/>
                <w:b/>
                <w:bCs/>
                <w:color w:val="000000"/>
                <w:szCs w:val="22"/>
              </w:rPr>
            </w:pPr>
            <w:r w:rsidRPr="00CA19D0">
              <w:rPr>
                <w:rFonts w:cs="Arial"/>
                <w:b/>
                <w:bCs/>
                <w:color w:val="000000"/>
                <w:szCs w:val="22"/>
              </w:rPr>
              <w:t>Стислий опис проєкту:</w:t>
            </w:r>
          </w:p>
        </w:tc>
        <w:tc>
          <w:tcPr>
            <w:tcW w:w="6794" w:type="dxa"/>
            <w:gridSpan w:val="8"/>
          </w:tcPr>
          <w:p w14:paraId="6B939425" w14:textId="77777777" w:rsidR="00CB33C7" w:rsidRPr="00CA19D0" w:rsidRDefault="00CB33C7" w:rsidP="00CA19D0">
            <w:pPr>
              <w:jc w:val="both"/>
              <w:rPr>
                <w:rFonts w:cs="Arial"/>
                <w:szCs w:val="22"/>
                <w:lang w:eastAsia="it-IT"/>
              </w:rPr>
            </w:pPr>
            <w:r w:rsidRPr="00CA19D0">
              <w:rPr>
                <w:rFonts w:cs="Arial"/>
                <w:szCs w:val="22"/>
                <w:lang w:eastAsia="it-IT"/>
              </w:rPr>
              <w:t>Капітальних ремонтів центральних водогонів за весь час експлуатації мереж не відбувалось. Чавунні труби, по яких питна вода подається до кінцевих споживачів, зношені. Це призводить до частих поривів мереж водопостачання, та як наслідок відключення від системи водопостачання селища до усунення аварійної ситуації та безповоротних втрат питної води. Також, ліквідація поривів на водогонах передбачає розриття дорожнього полотна, що в свою чергу призводить до додаткових незапланованих витрат місцевого бюджету.</w:t>
            </w:r>
          </w:p>
          <w:p w14:paraId="17A7478E" w14:textId="16DE5F2C" w:rsidR="00CB33C7" w:rsidRPr="00CA19D0" w:rsidRDefault="00B83EF3" w:rsidP="00CA19D0">
            <w:pPr>
              <w:jc w:val="both"/>
              <w:rPr>
                <w:rFonts w:cs="Arial"/>
                <w:szCs w:val="22"/>
                <w:lang w:eastAsia="it-IT"/>
              </w:rPr>
            </w:pPr>
            <w:r>
              <w:rPr>
                <w:rFonts w:cs="Arial"/>
                <w:szCs w:val="22"/>
                <w:lang w:eastAsia="it-IT"/>
              </w:rPr>
              <w:t>Проє</w:t>
            </w:r>
            <w:r w:rsidR="00CB33C7" w:rsidRPr="00CA19D0">
              <w:rPr>
                <w:rFonts w:cs="Arial"/>
                <w:szCs w:val="22"/>
                <w:lang w:eastAsia="it-IT"/>
              </w:rPr>
              <w:t>ктом передбачається заміна труб центральних водогонів м. Жмеринка, на нові стійкі до зносу та гідроударів, що дасть змогу зекономити бюджетні кошти на обслуговування мереж водопостачання, зменшення поривів у системі та втрат води, зберегти дорожнє полотно.</w:t>
            </w:r>
          </w:p>
        </w:tc>
      </w:tr>
      <w:tr w:rsidR="00CB33C7" w:rsidRPr="00C2587D" w14:paraId="6E93D2B1" w14:textId="77777777" w:rsidTr="00EA6E27">
        <w:trPr>
          <w:jc w:val="right"/>
        </w:trPr>
        <w:tc>
          <w:tcPr>
            <w:tcW w:w="3425" w:type="dxa"/>
            <w:shd w:val="clear" w:color="auto" w:fill="FFFFFF"/>
            <w:vAlign w:val="center"/>
          </w:tcPr>
          <w:p w14:paraId="0D681A1B" w14:textId="77777777" w:rsidR="00CB33C7" w:rsidRPr="00CA19D0" w:rsidRDefault="00CB33C7" w:rsidP="00CA19D0">
            <w:pPr>
              <w:rPr>
                <w:rFonts w:cs="Arial"/>
                <w:b/>
                <w:bCs/>
                <w:color w:val="000000"/>
                <w:szCs w:val="22"/>
              </w:rPr>
            </w:pPr>
            <w:r w:rsidRPr="00CA19D0">
              <w:rPr>
                <w:rFonts w:cs="Arial"/>
                <w:b/>
                <w:bCs/>
                <w:color w:val="000000"/>
                <w:szCs w:val="22"/>
              </w:rPr>
              <w:t>Основні заходи проєкту:</w:t>
            </w:r>
          </w:p>
        </w:tc>
        <w:tc>
          <w:tcPr>
            <w:tcW w:w="6794" w:type="dxa"/>
            <w:gridSpan w:val="8"/>
          </w:tcPr>
          <w:p w14:paraId="6DBE45D0" w14:textId="50A50F0A" w:rsidR="00CB33C7" w:rsidRPr="00CA19D0" w:rsidRDefault="00CB33C7" w:rsidP="00CA19D0">
            <w:pPr>
              <w:jc w:val="both"/>
              <w:rPr>
                <w:rFonts w:cs="Arial"/>
                <w:szCs w:val="22"/>
                <w:lang w:eastAsia="it-IT"/>
              </w:rPr>
            </w:pPr>
            <w:r w:rsidRPr="00CA19D0">
              <w:rPr>
                <w:rFonts w:cs="Arial"/>
                <w:szCs w:val="22"/>
                <w:lang w:eastAsia="it-IT"/>
              </w:rPr>
              <w:t>Створення робочо</w:t>
            </w:r>
            <w:r w:rsidR="00B83EF3">
              <w:rPr>
                <w:rFonts w:cs="Arial"/>
                <w:szCs w:val="22"/>
                <w:lang w:eastAsia="it-IT"/>
              </w:rPr>
              <w:t>ї групи з питань реалізації проє</w:t>
            </w:r>
            <w:r w:rsidRPr="00CA19D0">
              <w:rPr>
                <w:rFonts w:cs="Arial"/>
                <w:szCs w:val="22"/>
                <w:lang w:eastAsia="it-IT"/>
              </w:rPr>
              <w:t xml:space="preserve">кту. </w:t>
            </w:r>
          </w:p>
          <w:p w14:paraId="37892BC2" w14:textId="77777777" w:rsidR="00CB33C7" w:rsidRPr="00CA19D0" w:rsidRDefault="00CB33C7" w:rsidP="00CA19D0">
            <w:pPr>
              <w:jc w:val="both"/>
              <w:rPr>
                <w:rFonts w:cs="Arial"/>
                <w:szCs w:val="22"/>
                <w:lang w:eastAsia="it-IT"/>
              </w:rPr>
            </w:pPr>
            <w:r w:rsidRPr="00CA19D0">
              <w:rPr>
                <w:rFonts w:cs="Arial"/>
                <w:szCs w:val="22"/>
                <w:lang w:eastAsia="it-IT"/>
              </w:rPr>
              <w:t>Проведення процедури закупівель (визначення виконавця робіт).</w:t>
            </w:r>
          </w:p>
          <w:p w14:paraId="24607A3C" w14:textId="77777777" w:rsidR="00CB33C7" w:rsidRPr="00CA19D0" w:rsidRDefault="00CB33C7" w:rsidP="00CA19D0">
            <w:pPr>
              <w:jc w:val="both"/>
              <w:rPr>
                <w:rFonts w:cs="Arial"/>
                <w:szCs w:val="22"/>
                <w:lang w:eastAsia="it-IT"/>
              </w:rPr>
            </w:pPr>
            <w:r w:rsidRPr="00CA19D0">
              <w:rPr>
                <w:rFonts w:cs="Arial"/>
                <w:szCs w:val="22"/>
                <w:lang w:eastAsia="it-IT"/>
              </w:rPr>
              <w:t>Укладення договорів з виконавцем робіт, організаціями, що здійснюватимуть  технічний та авторський  нагляд .</w:t>
            </w:r>
          </w:p>
          <w:p w14:paraId="243E1196" w14:textId="77777777" w:rsidR="00CB33C7" w:rsidRPr="00CA19D0" w:rsidRDefault="00CB33C7" w:rsidP="00CA19D0">
            <w:pPr>
              <w:jc w:val="both"/>
              <w:rPr>
                <w:rFonts w:cs="Arial"/>
                <w:szCs w:val="22"/>
                <w:lang w:eastAsia="it-IT"/>
              </w:rPr>
            </w:pPr>
            <w:r w:rsidRPr="00CA19D0">
              <w:rPr>
                <w:rFonts w:cs="Arial"/>
                <w:szCs w:val="22"/>
                <w:lang w:eastAsia="it-IT"/>
              </w:rPr>
              <w:t xml:space="preserve">Виконання робіт з </w:t>
            </w:r>
            <w:r w:rsidRPr="00CA19D0">
              <w:rPr>
                <w:rFonts w:eastAsia="Arial" w:cs="Arial"/>
                <w:szCs w:val="22"/>
                <w:lang w:eastAsia="en-US"/>
              </w:rPr>
              <w:t xml:space="preserve">капітального ремонту </w:t>
            </w:r>
            <w:r w:rsidRPr="00CA19D0">
              <w:rPr>
                <w:rFonts w:eastAsia="Arial" w:cs="Arial"/>
                <w:szCs w:val="22"/>
              </w:rPr>
              <w:t>мережі водопостачання по вул. Київська в м. Жмеринка Вінницької області</w:t>
            </w:r>
            <w:r w:rsidRPr="00CA19D0">
              <w:rPr>
                <w:rFonts w:cs="Arial"/>
                <w:szCs w:val="22"/>
                <w:lang w:eastAsia="it-IT"/>
              </w:rPr>
              <w:t>.</w:t>
            </w:r>
          </w:p>
          <w:p w14:paraId="7C356D66" w14:textId="77777777" w:rsidR="00CB33C7" w:rsidRPr="00CA19D0" w:rsidRDefault="00CB33C7" w:rsidP="00CA19D0">
            <w:pPr>
              <w:jc w:val="both"/>
              <w:rPr>
                <w:rFonts w:cs="Arial"/>
                <w:szCs w:val="22"/>
                <w:lang w:eastAsia="it-IT"/>
              </w:rPr>
            </w:pPr>
            <w:r w:rsidRPr="00CA19D0">
              <w:rPr>
                <w:rFonts w:cs="Arial"/>
                <w:szCs w:val="22"/>
                <w:lang w:eastAsia="it-IT"/>
              </w:rPr>
              <w:t>Введення  об’єкту в експлуатацію .</w:t>
            </w:r>
          </w:p>
          <w:p w14:paraId="28B2CDF4" w14:textId="6DD29FAA" w:rsidR="00CB33C7" w:rsidRPr="00CA19D0" w:rsidRDefault="00CB33C7" w:rsidP="00CA19D0">
            <w:pPr>
              <w:jc w:val="both"/>
              <w:rPr>
                <w:rFonts w:cs="Arial"/>
                <w:szCs w:val="22"/>
                <w:lang w:eastAsia="it-IT"/>
              </w:rPr>
            </w:pPr>
            <w:r w:rsidRPr="00CA19D0">
              <w:rPr>
                <w:rFonts w:cs="Arial"/>
                <w:szCs w:val="22"/>
                <w:lang w:eastAsia="it-IT"/>
              </w:rPr>
              <w:t xml:space="preserve">Проведення інформаційних заходів (розміщення  </w:t>
            </w:r>
            <w:r w:rsidR="00B83EF3">
              <w:rPr>
                <w:rFonts w:cs="Arial"/>
                <w:szCs w:val="22"/>
                <w:lang w:eastAsia="it-IT"/>
              </w:rPr>
              <w:t>інформації  про реалізацію  проє</w:t>
            </w:r>
            <w:r w:rsidRPr="00CA19D0">
              <w:rPr>
                <w:rFonts w:cs="Arial"/>
                <w:szCs w:val="22"/>
                <w:lang w:eastAsia="it-IT"/>
              </w:rPr>
              <w:t>кту у ЗМІ) .</w:t>
            </w:r>
          </w:p>
        </w:tc>
      </w:tr>
      <w:tr w:rsidR="00CB33C7" w:rsidRPr="00C2587D" w14:paraId="68695752" w14:textId="77777777" w:rsidTr="00EA6E27">
        <w:trPr>
          <w:jc w:val="right"/>
        </w:trPr>
        <w:tc>
          <w:tcPr>
            <w:tcW w:w="3425" w:type="dxa"/>
            <w:shd w:val="clear" w:color="auto" w:fill="FFFFFF"/>
            <w:vAlign w:val="center"/>
          </w:tcPr>
          <w:p w14:paraId="3806D453" w14:textId="77777777" w:rsidR="00CB33C7" w:rsidRPr="00CA19D0" w:rsidRDefault="00CB33C7" w:rsidP="00CA19D0">
            <w:pPr>
              <w:rPr>
                <w:rFonts w:cs="Arial"/>
                <w:b/>
                <w:bCs/>
                <w:color w:val="000000"/>
                <w:szCs w:val="22"/>
              </w:rPr>
            </w:pPr>
            <w:r w:rsidRPr="00CA19D0">
              <w:rPr>
                <w:rFonts w:cs="Arial"/>
                <w:b/>
                <w:bCs/>
                <w:color w:val="000000"/>
                <w:szCs w:val="22"/>
              </w:rPr>
              <w:t>Індикатори (показники) результативності:</w:t>
            </w:r>
          </w:p>
        </w:tc>
        <w:tc>
          <w:tcPr>
            <w:tcW w:w="6794" w:type="dxa"/>
            <w:gridSpan w:val="8"/>
          </w:tcPr>
          <w:p w14:paraId="790C5016" w14:textId="77777777" w:rsidR="00CB33C7" w:rsidRPr="00CA19D0" w:rsidRDefault="00CB33C7" w:rsidP="00CA19D0">
            <w:pPr>
              <w:jc w:val="both"/>
              <w:rPr>
                <w:rFonts w:cs="Arial"/>
                <w:szCs w:val="22"/>
                <w:lang w:eastAsia="it-IT"/>
              </w:rPr>
            </w:pPr>
            <w:r w:rsidRPr="00CA19D0">
              <w:rPr>
                <w:rFonts w:eastAsia="Arial" w:cs="Arial"/>
                <w:szCs w:val="22"/>
                <w:lang w:eastAsia="en-US"/>
              </w:rPr>
              <w:t>Довжина водонапірної мережі із труб що підлягають монтажу: 3.5 км та встановлення 20 пожежних гідрантів.</w:t>
            </w:r>
            <w:r w:rsidRPr="00CA19D0">
              <w:rPr>
                <w:rFonts w:cs="Arial"/>
                <w:szCs w:val="22"/>
                <w:lang w:eastAsia="it-IT"/>
              </w:rPr>
              <w:t xml:space="preserve"> </w:t>
            </w:r>
          </w:p>
        </w:tc>
      </w:tr>
      <w:tr w:rsidR="00CB33C7" w:rsidRPr="00C2587D" w14:paraId="0BA58F2F" w14:textId="77777777" w:rsidTr="00EA6E27">
        <w:trPr>
          <w:jc w:val="right"/>
        </w:trPr>
        <w:tc>
          <w:tcPr>
            <w:tcW w:w="3425" w:type="dxa"/>
            <w:shd w:val="clear" w:color="auto" w:fill="FFFFFF"/>
            <w:vAlign w:val="center"/>
          </w:tcPr>
          <w:p w14:paraId="2C47E465" w14:textId="77777777" w:rsidR="00CB33C7" w:rsidRPr="00CA19D0" w:rsidRDefault="00CB33C7" w:rsidP="00CA19D0">
            <w:pPr>
              <w:rPr>
                <w:rFonts w:cs="Arial"/>
                <w:b/>
                <w:color w:val="000000"/>
                <w:szCs w:val="22"/>
              </w:rPr>
            </w:pPr>
            <w:r w:rsidRPr="00CA19D0">
              <w:rPr>
                <w:rFonts w:cs="Arial"/>
                <w:b/>
                <w:color w:val="000000"/>
                <w:szCs w:val="22"/>
              </w:rPr>
              <w:t xml:space="preserve">Період здійснення: </w:t>
            </w:r>
          </w:p>
        </w:tc>
        <w:tc>
          <w:tcPr>
            <w:tcW w:w="6794" w:type="dxa"/>
            <w:gridSpan w:val="8"/>
            <w:vAlign w:val="center"/>
          </w:tcPr>
          <w:p w14:paraId="5D11B6FA" w14:textId="77777777" w:rsidR="00CB33C7" w:rsidRPr="00CA19D0" w:rsidRDefault="00CB33C7" w:rsidP="00CA19D0">
            <w:pPr>
              <w:rPr>
                <w:rFonts w:cs="Arial"/>
                <w:color w:val="000000"/>
                <w:szCs w:val="22"/>
                <w:lang w:eastAsia="it-IT"/>
              </w:rPr>
            </w:pPr>
            <w:r w:rsidRPr="00CA19D0">
              <w:rPr>
                <w:rFonts w:cs="Arial"/>
                <w:b/>
                <w:color w:val="000000"/>
                <w:szCs w:val="22"/>
              </w:rPr>
              <w:t>2025 – 2028 роки:</w:t>
            </w:r>
          </w:p>
        </w:tc>
      </w:tr>
      <w:tr w:rsidR="00CB33C7" w:rsidRPr="00C2587D" w14:paraId="0859F10C" w14:textId="77777777" w:rsidTr="00EA6E27">
        <w:trPr>
          <w:jc w:val="right"/>
        </w:trPr>
        <w:tc>
          <w:tcPr>
            <w:tcW w:w="3425" w:type="dxa"/>
            <w:vMerge w:val="restart"/>
            <w:shd w:val="clear" w:color="auto" w:fill="FFFFFF"/>
            <w:vAlign w:val="center"/>
          </w:tcPr>
          <w:p w14:paraId="6972A2F0" w14:textId="77777777" w:rsidR="00CB33C7" w:rsidRPr="00CA19D0" w:rsidRDefault="00CB33C7" w:rsidP="00CA19D0">
            <w:pPr>
              <w:rPr>
                <w:rFonts w:cs="Arial"/>
                <w:b/>
                <w:bCs/>
                <w:color w:val="000000"/>
                <w:szCs w:val="22"/>
              </w:rPr>
            </w:pPr>
            <w:r w:rsidRPr="00CA19D0">
              <w:rPr>
                <w:rFonts w:cs="Arial"/>
                <w:b/>
                <w:bCs/>
                <w:color w:val="000000"/>
                <w:szCs w:val="22"/>
              </w:rPr>
              <w:t>Орієнтовна вартість проєкту, тис. грн., в тому числі:</w:t>
            </w:r>
          </w:p>
        </w:tc>
        <w:tc>
          <w:tcPr>
            <w:tcW w:w="1254" w:type="dxa"/>
            <w:shd w:val="clear" w:color="auto" w:fill="E6E6E6"/>
            <w:vAlign w:val="center"/>
          </w:tcPr>
          <w:p w14:paraId="6DE1B91C" w14:textId="77777777" w:rsidR="00CB33C7" w:rsidRPr="00CA19D0" w:rsidRDefault="00CB33C7" w:rsidP="00CA19D0">
            <w:pPr>
              <w:jc w:val="center"/>
              <w:rPr>
                <w:rFonts w:cs="Arial"/>
                <w:b/>
                <w:color w:val="000000"/>
                <w:szCs w:val="22"/>
                <w:lang w:eastAsia="it-IT"/>
              </w:rPr>
            </w:pPr>
            <w:r w:rsidRPr="00CA19D0">
              <w:rPr>
                <w:rFonts w:cs="Arial"/>
                <w:b/>
                <w:color w:val="000000"/>
                <w:szCs w:val="22"/>
                <w:lang w:eastAsia="it-IT"/>
              </w:rPr>
              <w:t>2025</w:t>
            </w:r>
          </w:p>
        </w:tc>
        <w:tc>
          <w:tcPr>
            <w:tcW w:w="1412" w:type="dxa"/>
            <w:gridSpan w:val="3"/>
            <w:shd w:val="clear" w:color="auto" w:fill="E6E6E6"/>
            <w:vAlign w:val="center"/>
          </w:tcPr>
          <w:p w14:paraId="078764E8" w14:textId="77777777" w:rsidR="00CB33C7" w:rsidRPr="00CA19D0" w:rsidRDefault="00CB33C7" w:rsidP="00CA19D0">
            <w:pPr>
              <w:jc w:val="center"/>
              <w:rPr>
                <w:rFonts w:cs="Arial"/>
                <w:b/>
                <w:color w:val="000000"/>
                <w:szCs w:val="22"/>
                <w:lang w:eastAsia="it-IT"/>
              </w:rPr>
            </w:pPr>
            <w:r w:rsidRPr="00CA19D0">
              <w:rPr>
                <w:rFonts w:cs="Arial"/>
                <w:b/>
                <w:color w:val="000000"/>
                <w:szCs w:val="22"/>
                <w:lang w:eastAsia="it-IT"/>
              </w:rPr>
              <w:t>2026</w:t>
            </w:r>
          </w:p>
        </w:tc>
        <w:tc>
          <w:tcPr>
            <w:tcW w:w="1281" w:type="dxa"/>
            <w:tcBorders>
              <w:bottom w:val="single" w:sz="4" w:space="0" w:color="auto"/>
            </w:tcBorders>
            <w:shd w:val="clear" w:color="auto" w:fill="E6E6E6"/>
            <w:vAlign w:val="center"/>
          </w:tcPr>
          <w:p w14:paraId="7036C3F6" w14:textId="77777777" w:rsidR="00CB33C7" w:rsidRPr="00CA19D0" w:rsidRDefault="00CB33C7" w:rsidP="00CA19D0">
            <w:pPr>
              <w:jc w:val="center"/>
              <w:rPr>
                <w:rFonts w:cs="Arial"/>
                <w:b/>
                <w:color w:val="000000"/>
                <w:szCs w:val="22"/>
                <w:lang w:eastAsia="it-IT"/>
              </w:rPr>
            </w:pPr>
            <w:r w:rsidRPr="00CA19D0">
              <w:rPr>
                <w:rFonts w:cs="Arial"/>
                <w:b/>
                <w:color w:val="000000"/>
                <w:szCs w:val="22"/>
                <w:lang w:eastAsia="it-IT"/>
              </w:rPr>
              <w:t>2027</w:t>
            </w:r>
          </w:p>
        </w:tc>
        <w:tc>
          <w:tcPr>
            <w:tcW w:w="1276" w:type="dxa"/>
            <w:gridSpan w:val="2"/>
            <w:shd w:val="clear" w:color="auto" w:fill="E6E6E6"/>
            <w:vAlign w:val="center"/>
          </w:tcPr>
          <w:p w14:paraId="0008B09A" w14:textId="77777777" w:rsidR="00CB33C7" w:rsidRPr="00CA19D0" w:rsidRDefault="00CB33C7" w:rsidP="00CA19D0">
            <w:pPr>
              <w:jc w:val="center"/>
              <w:rPr>
                <w:rFonts w:cs="Arial"/>
                <w:b/>
                <w:color w:val="000000"/>
                <w:szCs w:val="22"/>
                <w:lang w:eastAsia="it-IT"/>
              </w:rPr>
            </w:pPr>
            <w:r w:rsidRPr="00CA19D0">
              <w:rPr>
                <w:rFonts w:cs="Arial"/>
                <w:b/>
                <w:color w:val="000000"/>
                <w:szCs w:val="22"/>
                <w:lang w:eastAsia="it-IT"/>
              </w:rPr>
              <w:t>2028</w:t>
            </w:r>
          </w:p>
        </w:tc>
        <w:tc>
          <w:tcPr>
            <w:tcW w:w="1571" w:type="dxa"/>
            <w:shd w:val="clear" w:color="auto" w:fill="E6E6E6"/>
            <w:vAlign w:val="center"/>
          </w:tcPr>
          <w:p w14:paraId="686BBDB6" w14:textId="77777777" w:rsidR="00CB33C7" w:rsidRPr="00CA19D0" w:rsidRDefault="00CB33C7" w:rsidP="00CA19D0">
            <w:pPr>
              <w:jc w:val="center"/>
              <w:rPr>
                <w:rFonts w:cs="Arial"/>
                <w:b/>
                <w:color w:val="000000"/>
                <w:szCs w:val="22"/>
                <w:lang w:eastAsia="it-IT"/>
              </w:rPr>
            </w:pPr>
            <w:r w:rsidRPr="00CA19D0">
              <w:rPr>
                <w:rFonts w:cs="Arial"/>
                <w:b/>
                <w:color w:val="000000"/>
                <w:szCs w:val="22"/>
                <w:lang w:eastAsia="it-IT"/>
              </w:rPr>
              <w:t>РАЗОМ</w:t>
            </w:r>
          </w:p>
        </w:tc>
      </w:tr>
      <w:tr w:rsidR="00CB33C7" w:rsidRPr="00C2587D" w14:paraId="6195F136" w14:textId="77777777" w:rsidTr="00EA6E27">
        <w:trPr>
          <w:jc w:val="right"/>
        </w:trPr>
        <w:tc>
          <w:tcPr>
            <w:tcW w:w="3425" w:type="dxa"/>
            <w:vMerge/>
            <w:shd w:val="clear" w:color="auto" w:fill="FFFFFF"/>
            <w:vAlign w:val="center"/>
          </w:tcPr>
          <w:p w14:paraId="7D81191F" w14:textId="77777777" w:rsidR="00CB33C7" w:rsidRPr="00CA19D0" w:rsidRDefault="00CB33C7" w:rsidP="00CA19D0">
            <w:pPr>
              <w:rPr>
                <w:rFonts w:cs="Arial"/>
                <w:b/>
                <w:bCs/>
                <w:color w:val="000000"/>
                <w:szCs w:val="22"/>
              </w:rPr>
            </w:pPr>
          </w:p>
        </w:tc>
        <w:tc>
          <w:tcPr>
            <w:tcW w:w="1254" w:type="dxa"/>
            <w:vAlign w:val="center"/>
          </w:tcPr>
          <w:p w14:paraId="5CADAA34" w14:textId="77777777" w:rsidR="00CB33C7" w:rsidRPr="00CA19D0" w:rsidRDefault="00CB33C7" w:rsidP="00CA19D0">
            <w:pPr>
              <w:jc w:val="center"/>
              <w:rPr>
                <w:rFonts w:cs="Arial"/>
                <w:b/>
                <w:color w:val="000000"/>
                <w:szCs w:val="22"/>
                <w:lang w:eastAsia="it-IT"/>
              </w:rPr>
            </w:pPr>
          </w:p>
        </w:tc>
        <w:tc>
          <w:tcPr>
            <w:tcW w:w="1412" w:type="dxa"/>
            <w:gridSpan w:val="3"/>
            <w:shd w:val="clear" w:color="auto" w:fill="FFFFFF"/>
            <w:vAlign w:val="center"/>
          </w:tcPr>
          <w:p w14:paraId="0D67751F" w14:textId="77777777" w:rsidR="00CB33C7" w:rsidRPr="00CA19D0" w:rsidRDefault="00CB33C7" w:rsidP="00CA19D0">
            <w:pPr>
              <w:jc w:val="center"/>
              <w:rPr>
                <w:rFonts w:cs="Arial"/>
                <w:b/>
                <w:color w:val="000000"/>
                <w:szCs w:val="22"/>
                <w:lang w:eastAsia="it-IT"/>
              </w:rPr>
            </w:pPr>
          </w:p>
        </w:tc>
        <w:tc>
          <w:tcPr>
            <w:tcW w:w="1281" w:type="dxa"/>
            <w:shd w:val="clear" w:color="auto" w:fill="auto"/>
            <w:vAlign w:val="center"/>
          </w:tcPr>
          <w:p w14:paraId="5504CCC6" w14:textId="77777777" w:rsidR="00CB33C7" w:rsidRPr="00CA19D0" w:rsidRDefault="00CB33C7" w:rsidP="00CA19D0">
            <w:pPr>
              <w:jc w:val="center"/>
              <w:rPr>
                <w:rFonts w:cs="Arial"/>
                <w:b/>
                <w:color w:val="000000"/>
                <w:szCs w:val="22"/>
                <w:lang w:eastAsia="it-IT"/>
              </w:rPr>
            </w:pPr>
            <w:r w:rsidRPr="00CA19D0">
              <w:rPr>
                <w:rFonts w:eastAsia="Arial" w:cs="Arial"/>
                <w:b/>
                <w:szCs w:val="22"/>
              </w:rPr>
              <w:t>17000,000</w:t>
            </w:r>
          </w:p>
        </w:tc>
        <w:tc>
          <w:tcPr>
            <w:tcW w:w="1276" w:type="dxa"/>
            <w:gridSpan w:val="2"/>
            <w:shd w:val="clear" w:color="auto" w:fill="FFFFFF"/>
            <w:vAlign w:val="center"/>
          </w:tcPr>
          <w:p w14:paraId="3430AFB5" w14:textId="77777777" w:rsidR="00CB33C7" w:rsidRPr="00CA19D0" w:rsidRDefault="00CB33C7" w:rsidP="00CA19D0">
            <w:pPr>
              <w:jc w:val="center"/>
              <w:rPr>
                <w:rFonts w:cs="Arial"/>
                <w:b/>
                <w:color w:val="000000"/>
                <w:szCs w:val="22"/>
                <w:lang w:eastAsia="it-IT"/>
              </w:rPr>
            </w:pPr>
          </w:p>
        </w:tc>
        <w:tc>
          <w:tcPr>
            <w:tcW w:w="1571" w:type="dxa"/>
            <w:shd w:val="clear" w:color="auto" w:fill="FFFFFF"/>
            <w:vAlign w:val="center"/>
          </w:tcPr>
          <w:p w14:paraId="4AD17C2F" w14:textId="77777777" w:rsidR="00CB33C7" w:rsidRPr="00CA19D0" w:rsidRDefault="00CB33C7" w:rsidP="00CA19D0">
            <w:pPr>
              <w:jc w:val="center"/>
              <w:rPr>
                <w:rFonts w:cs="Arial"/>
                <w:b/>
                <w:color w:val="000000"/>
                <w:szCs w:val="22"/>
                <w:lang w:eastAsia="it-IT"/>
              </w:rPr>
            </w:pPr>
            <w:r w:rsidRPr="00CA19D0">
              <w:rPr>
                <w:rFonts w:eastAsia="Arial" w:cs="Arial"/>
                <w:b/>
                <w:szCs w:val="22"/>
              </w:rPr>
              <w:t>17000,000</w:t>
            </w:r>
          </w:p>
        </w:tc>
      </w:tr>
      <w:tr w:rsidR="00CB33C7" w:rsidRPr="00C2587D" w14:paraId="786100FA" w14:textId="77777777" w:rsidTr="00EA6E27">
        <w:trPr>
          <w:trHeight w:val="276"/>
          <w:jc w:val="right"/>
        </w:trPr>
        <w:tc>
          <w:tcPr>
            <w:tcW w:w="3425" w:type="dxa"/>
            <w:shd w:val="clear" w:color="auto" w:fill="FFFFFF"/>
            <w:vAlign w:val="center"/>
          </w:tcPr>
          <w:p w14:paraId="50539229" w14:textId="77777777" w:rsidR="00CB33C7" w:rsidRPr="00CA19D0" w:rsidRDefault="00CB33C7" w:rsidP="00CA19D0">
            <w:pPr>
              <w:rPr>
                <w:rFonts w:cs="Arial"/>
                <w:b/>
                <w:bCs/>
                <w:color w:val="000000"/>
                <w:szCs w:val="22"/>
              </w:rPr>
            </w:pPr>
            <w:r w:rsidRPr="00CA19D0">
              <w:rPr>
                <w:rFonts w:cs="Arial"/>
                <w:b/>
                <w:bCs/>
                <w:color w:val="000000"/>
                <w:szCs w:val="22"/>
              </w:rPr>
              <w:t>по джерелах фінансування:</w:t>
            </w:r>
          </w:p>
        </w:tc>
        <w:tc>
          <w:tcPr>
            <w:tcW w:w="6794" w:type="dxa"/>
            <w:gridSpan w:val="8"/>
            <w:vAlign w:val="center"/>
          </w:tcPr>
          <w:p w14:paraId="311B1E2A" w14:textId="77777777" w:rsidR="00CB33C7" w:rsidRPr="00CA19D0" w:rsidRDefault="00CB33C7" w:rsidP="00CA19D0">
            <w:pPr>
              <w:jc w:val="both"/>
              <w:rPr>
                <w:rFonts w:cs="Arial"/>
                <w:color w:val="000000"/>
                <w:szCs w:val="22"/>
                <w:lang w:eastAsia="it-IT"/>
              </w:rPr>
            </w:pPr>
          </w:p>
        </w:tc>
      </w:tr>
      <w:tr w:rsidR="00CA19D0" w:rsidRPr="00C2587D" w14:paraId="151D8F97" w14:textId="46F82959" w:rsidTr="00CA19D0">
        <w:trPr>
          <w:trHeight w:val="240"/>
          <w:jc w:val="right"/>
        </w:trPr>
        <w:tc>
          <w:tcPr>
            <w:tcW w:w="3425" w:type="dxa"/>
            <w:shd w:val="clear" w:color="auto" w:fill="FFFFFF"/>
            <w:vAlign w:val="center"/>
          </w:tcPr>
          <w:p w14:paraId="3C6F8137" w14:textId="77777777" w:rsidR="00CA19D0" w:rsidRPr="00CA19D0" w:rsidRDefault="00CA19D0" w:rsidP="00CA19D0">
            <w:pPr>
              <w:rPr>
                <w:rFonts w:cs="Arial"/>
                <w:b/>
                <w:bCs/>
                <w:color w:val="000000"/>
                <w:szCs w:val="22"/>
              </w:rPr>
            </w:pPr>
            <w:r w:rsidRPr="00CA19D0">
              <w:rPr>
                <w:rFonts w:cs="Arial"/>
                <w:color w:val="000000"/>
                <w:szCs w:val="22"/>
              </w:rPr>
              <w:t>- державний бюджет</w:t>
            </w:r>
          </w:p>
        </w:tc>
        <w:tc>
          <w:tcPr>
            <w:tcW w:w="1290" w:type="dxa"/>
            <w:gridSpan w:val="2"/>
            <w:vAlign w:val="center"/>
          </w:tcPr>
          <w:p w14:paraId="1CBCE157" w14:textId="45E3B7BD" w:rsidR="00CA19D0" w:rsidRPr="00CA19D0" w:rsidRDefault="00CA19D0" w:rsidP="00CA19D0">
            <w:pPr>
              <w:jc w:val="both"/>
              <w:rPr>
                <w:rFonts w:cs="Arial"/>
                <w:color w:val="000000"/>
                <w:szCs w:val="22"/>
                <w:lang w:eastAsia="it-IT"/>
              </w:rPr>
            </w:pPr>
          </w:p>
        </w:tc>
        <w:tc>
          <w:tcPr>
            <w:tcW w:w="1279" w:type="dxa"/>
            <w:vAlign w:val="center"/>
          </w:tcPr>
          <w:p w14:paraId="2CEABA9B" w14:textId="02F61FD4" w:rsidR="00CA19D0" w:rsidRPr="00CA19D0" w:rsidRDefault="00CA19D0" w:rsidP="00CA19D0">
            <w:pPr>
              <w:jc w:val="both"/>
              <w:rPr>
                <w:rFonts w:cs="Arial"/>
                <w:color w:val="000000"/>
                <w:szCs w:val="22"/>
                <w:lang w:eastAsia="it-IT"/>
              </w:rPr>
            </w:pPr>
          </w:p>
        </w:tc>
        <w:tc>
          <w:tcPr>
            <w:tcW w:w="1405" w:type="dxa"/>
            <w:gridSpan w:val="3"/>
          </w:tcPr>
          <w:p w14:paraId="0612BA73" w14:textId="625F0529" w:rsidR="00CA19D0" w:rsidRPr="00CA19D0" w:rsidRDefault="00CA19D0" w:rsidP="00CA19D0">
            <w:pPr>
              <w:jc w:val="center"/>
              <w:rPr>
                <w:rFonts w:cs="Arial"/>
                <w:color w:val="000000"/>
                <w:szCs w:val="22"/>
                <w:lang w:eastAsia="it-IT"/>
              </w:rPr>
            </w:pPr>
            <w:r w:rsidRPr="00CA19D0">
              <w:rPr>
                <w:rFonts w:eastAsia="Arial" w:cs="Arial"/>
                <w:szCs w:val="22"/>
              </w:rPr>
              <w:t>14200,00</w:t>
            </w:r>
          </w:p>
        </w:tc>
        <w:tc>
          <w:tcPr>
            <w:tcW w:w="1244" w:type="dxa"/>
            <w:vAlign w:val="center"/>
          </w:tcPr>
          <w:p w14:paraId="5DAE80BA" w14:textId="4BCC3C6F" w:rsidR="00CA19D0" w:rsidRPr="00CA19D0" w:rsidRDefault="00CA19D0" w:rsidP="00CA19D0">
            <w:pPr>
              <w:jc w:val="right"/>
              <w:rPr>
                <w:rFonts w:cs="Arial"/>
                <w:color w:val="000000"/>
                <w:szCs w:val="22"/>
                <w:lang w:eastAsia="it-IT"/>
              </w:rPr>
            </w:pPr>
          </w:p>
        </w:tc>
        <w:tc>
          <w:tcPr>
            <w:tcW w:w="1576" w:type="dxa"/>
          </w:tcPr>
          <w:p w14:paraId="395715EC" w14:textId="3C6D6519" w:rsidR="00CA19D0" w:rsidRPr="00CA19D0" w:rsidRDefault="00CA19D0" w:rsidP="00CA19D0">
            <w:pPr>
              <w:jc w:val="center"/>
              <w:rPr>
                <w:rFonts w:cs="Arial"/>
                <w:b/>
                <w:color w:val="000000"/>
                <w:szCs w:val="22"/>
                <w:lang w:eastAsia="it-IT"/>
              </w:rPr>
            </w:pPr>
            <w:r w:rsidRPr="00CA19D0">
              <w:rPr>
                <w:rFonts w:eastAsia="Arial" w:cs="Arial"/>
                <w:b/>
                <w:szCs w:val="22"/>
              </w:rPr>
              <w:t>14200,00</w:t>
            </w:r>
          </w:p>
        </w:tc>
      </w:tr>
      <w:tr w:rsidR="00CA19D0" w:rsidRPr="00C2587D" w14:paraId="14FDF035" w14:textId="302B8361" w:rsidTr="00CA19D0">
        <w:trPr>
          <w:trHeight w:val="254"/>
          <w:jc w:val="right"/>
        </w:trPr>
        <w:tc>
          <w:tcPr>
            <w:tcW w:w="3425" w:type="dxa"/>
            <w:shd w:val="clear" w:color="auto" w:fill="FFFFFF"/>
            <w:vAlign w:val="center"/>
          </w:tcPr>
          <w:p w14:paraId="2A1A4430" w14:textId="77777777" w:rsidR="00CA19D0" w:rsidRPr="00CA19D0" w:rsidRDefault="00CA19D0" w:rsidP="00CA19D0">
            <w:pPr>
              <w:rPr>
                <w:rFonts w:cs="Arial"/>
                <w:color w:val="000000"/>
                <w:szCs w:val="22"/>
              </w:rPr>
            </w:pPr>
            <w:r w:rsidRPr="00CA19D0">
              <w:rPr>
                <w:rFonts w:cs="Arial"/>
                <w:color w:val="000000"/>
                <w:szCs w:val="22"/>
              </w:rPr>
              <w:t>- обласний бюджет</w:t>
            </w:r>
          </w:p>
        </w:tc>
        <w:tc>
          <w:tcPr>
            <w:tcW w:w="1290" w:type="dxa"/>
            <w:gridSpan w:val="2"/>
            <w:vAlign w:val="center"/>
          </w:tcPr>
          <w:p w14:paraId="4CB69EFB" w14:textId="77777777" w:rsidR="00CA19D0" w:rsidRPr="00CA19D0" w:rsidRDefault="00CA19D0" w:rsidP="00CA19D0">
            <w:pPr>
              <w:jc w:val="both"/>
              <w:rPr>
                <w:rFonts w:cs="Arial"/>
                <w:color w:val="000000"/>
                <w:szCs w:val="22"/>
                <w:lang w:eastAsia="it-IT"/>
              </w:rPr>
            </w:pPr>
          </w:p>
        </w:tc>
        <w:tc>
          <w:tcPr>
            <w:tcW w:w="1279" w:type="dxa"/>
            <w:vAlign w:val="center"/>
          </w:tcPr>
          <w:p w14:paraId="133B70DF" w14:textId="77777777" w:rsidR="00CA19D0" w:rsidRPr="00CA19D0" w:rsidRDefault="00CA19D0" w:rsidP="00CA19D0">
            <w:pPr>
              <w:jc w:val="both"/>
              <w:rPr>
                <w:rFonts w:cs="Arial"/>
                <w:color w:val="000000"/>
                <w:szCs w:val="22"/>
                <w:lang w:eastAsia="it-IT"/>
              </w:rPr>
            </w:pPr>
          </w:p>
        </w:tc>
        <w:tc>
          <w:tcPr>
            <w:tcW w:w="1405" w:type="dxa"/>
            <w:gridSpan w:val="3"/>
          </w:tcPr>
          <w:p w14:paraId="6E06571C" w14:textId="77777777" w:rsidR="00CA19D0" w:rsidRPr="00CA19D0" w:rsidRDefault="00CA19D0" w:rsidP="00CA19D0">
            <w:pPr>
              <w:jc w:val="center"/>
              <w:rPr>
                <w:rFonts w:cs="Arial"/>
                <w:color w:val="000000"/>
                <w:szCs w:val="22"/>
                <w:lang w:eastAsia="it-IT"/>
              </w:rPr>
            </w:pPr>
          </w:p>
        </w:tc>
        <w:tc>
          <w:tcPr>
            <w:tcW w:w="1244" w:type="dxa"/>
            <w:vAlign w:val="center"/>
          </w:tcPr>
          <w:p w14:paraId="66CC8E69" w14:textId="77777777" w:rsidR="00CA19D0" w:rsidRPr="00CA19D0" w:rsidRDefault="00CA19D0" w:rsidP="00CA19D0">
            <w:pPr>
              <w:jc w:val="right"/>
              <w:rPr>
                <w:rFonts w:cs="Arial"/>
                <w:color w:val="000000"/>
                <w:szCs w:val="22"/>
                <w:lang w:eastAsia="it-IT"/>
              </w:rPr>
            </w:pPr>
          </w:p>
        </w:tc>
        <w:tc>
          <w:tcPr>
            <w:tcW w:w="1576" w:type="dxa"/>
          </w:tcPr>
          <w:p w14:paraId="105BE879" w14:textId="77777777" w:rsidR="00CA19D0" w:rsidRPr="00CA19D0" w:rsidRDefault="00CA19D0" w:rsidP="00CA19D0">
            <w:pPr>
              <w:jc w:val="center"/>
              <w:rPr>
                <w:rFonts w:cs="Arial"/>
                <w:b/>
                <w:color w:val="000000"/>
                <w:szCs w:val="22"/>
                <w:lang w:eastAsia="it-IT"/>
              </w:rPr>
            </w:pPr>
          </w:p>
        </w:tc>
      </w:tr>
      <w:tr w:rsidR="00CA19D0" w:rsidRPr="00C2587D" w14:paraId="541170B3" w14:textId="1E9A9CB9" w:rsidTr="00CA19D0">
        <w:trPr>
          <w:trHeight w:val="275"/>
          <w:jc w:val="right"/>
        </w:trPr>
        <w:tc>
          <w:tcPr>
            <w:tcW w:w="3425" w:type="dxa"/>
            <w:shd w:val="clear" w:color="auto" w:fill="FFFFFF"/>
            <w:vAlign w:val="center"/>
          </w:tcPr>
          <w:p w14:paraId="6CF4DFBE" w14:textId="77777777" w:rsidR="00CA19D0" w:rsidRPr="00CA19D0" w:rsidRDefault="00CA19D0" w:rsidP="00CA19D0">
            <w:pPr>
              <w:rPr>
                <w:rFonts w:cs="Arial"/>
                <w:color w:val="000000"/>
                <w:szCs w:val="22"/>
              </w:rPr>
            </w:pPr>
            <w:r w:rsidRPr="00CA19D0">
              <w:rPr>
                <w:rFonts w:cs="Arial"/>
                <w:color w:val="000000"/>
                <w:szCs w:val="22"/>
              </w:rPr>
              <w:t>- бюджет Жмеринської МТГ</w:t>
            </w:r>
          </w:p>
        </w:tc>
        <w:tc>
          <w:tcPr>
            <w:tcW w:w="1290" w:type="dxa"/>
            <w:gridSpan w:val="2"/>
            <w:vAlign w:val="center"/>
          </w:tcPr>
          <w:p w14:paraId="09386899" w14:textId="34BF8E1B" w:rsidR="00CA19D0" w:rsidRPr="00CA19D0" w:rsidRDefault="00CA19D0" w:rsidP="00CA19D0">
            <w:pPr>
              <w:jc w:val="both"/>
              <w:rPr>
                <w:rFonts w:cs="Arial"/>
                <w:color w:val="000000"/>
                <w:szCs w:val="22"/>
                <w:lang w:eastAsia="it-IT"/>
              </w:rPr>
            </w:pPr>
          </w:p>
        </w:tc>
        <w:tc>
          <w:tcPr>
            <w:tcW w:w="1279" w:type="dxa"/>
            <w:vAlign w:val="center"/>
          </w:tcPr>
          <w:p w14:paraId="1A0D5163" w14:textId="61293EFE" w:rsidR="00CA19D0" w:rsidRPr="00CA19D0" w:rsidRDefault="00CA19D0" w:rsidP="00CA19D0">
            <w:pPr>
              <w:jc w:val="both"/>
              <w:rPr>
                <w:rFonts w:cs="Arial"/>
                <w:color w:val="000000"/>
                <w:szCs w:val="22"/>
                <w:lang w:eastAsia="it-IT"/>
              </w:rPr>
            </w:pPr>
          </w:p>
        </w:tc>
        <w:tc>
          <w:tcPr>
            <w:tcW w:w="1405" w:type="dxa"/>
            <w:gridSpan w:val="3"/>
          </w:tcPr>
          <w:p w14:paraId="6AC201F8" w14:textId="05B237F0" w:rsidR="00CA19D0" w:rsidRPr="00CA19D0" w:rsidRDefault="00CA19D0" w:rsidP="00CA19D0">
            <w:pPr>
              <w:jc w:val="center"/>
              <w:rPr>
                <w:rFonts w:cs="Arial"/>
                <w:color w:val="000000"/>
                <w:szCs w:val="22"/>
                <w:lang w:eastAsia="it-IT"/>
              </w:rPr>
            </w:pPr>
            <w:r w:rsidRPr="00CA19D0">
              <w:rPr>
                <w:rFonts w:eastAsia="Arial" w:cs="Arial"/>
                <w:szCs w:val="22"/>
              </w:rPr>
              <w:t>2800,00</w:t>
            </w:r>
          </w:p>
        </w:tc>
        <w:tc>
          <w:tcPr>
            <w:tcW w:w="1244" w:type="dxa"/>
            <w:vAlign w:val="center"/>
          </w:tcPr>
          <w:p w14:paraId="7827102E" w14:textId="09C99853" w:rsidR="00CA19D0" w:rsidRPr="00CA19D0" w:rsidRDefault="00CA19D0" w:rsidP="00CA19D0">
            <w:pPr>
              <w:jc w:val="right"/>
              <w:rPr>
                <w:rFonts w:cs="Arial"/>
                <w:color w:val="000000"/>
                <w:szCs w:val="22"/>
                <w:lang w:eastAsia="it-IT"/>
              </w:rPr>
            </w:pPr>
          </w:p>
        </w:tc>
        <w:tc>
          <w:tcPr>
            <w:tcW w:w="1576" w:type="dxa"/>
          </w:tcPr>
          <w:p w14:paraId="2C7B2499" w14:textId="782A4C9A" w:rsidR="00CA19D0" w:rsidRPr="00CA19D0" w:rsidRDefault="00CA19D0" w:rsidP="00CA19D0">
            <w:pPr>
              <w:jc w:val="center"/>
              <w:rPr>
                <w:rFonts w:cs="Arial"/>
                <w:b/>
                <w:color w:val="000000"/>
                <w:szCs w:val="22"/>
                <w:lang w:eastAsia="it-IT"/>
              </w:rPr>
            </w:pPr>
            <w:r w:rsidRPr="00CA19D0">
              <w:rPr>
                <w:rFonts w:eastAsia="Arial" w:cs="Arial"/>
                <w:b/>
                <w:szCs w:val="22"/>
              </w:rPr>
              <w:t>2800,00</w:t>
            </w:r>
          </w:p>
        </w:tc>
      </w:tr>
      <w:tr w:rsidR="00CA19D0" w:rsidRPr="00C2587D" w14:paraId="305CF594" w14:textId="2C3933F8" w:rsidTr="00CA19D0">
        <w:trPr>
          <w:trHeight w:val="226"/>
          <w:jc w:val="right"/>
        </w:trPr>
        <w:tc>
          <w:tcPr>
            <w:tcW w:w="3425" w:type="dxa"/>
            <w:shd w:val="clear" w:color="auto" w:fill="FFFFFF"/>
            <w:vAlign w:val="center"/>
          </w:tcPr>
          <w:p w14:paraId="3C1D68EE" w14:textId="77777777" w:rsidR="00CA19D0" w:rsidRPr="00CA19D0" w:rsidRDefault="00CA19D0" w:rsidP="00CA19D0">
            <w:pPr>
              <w:rPr>
                <w:rFonts w:cs="Arial"/>
                <w:color w:val="000000"/>
                <w:szCs w:val="22"/>
              </w:rPr>
            </w:pPr>
            <w:r w:rsidRPr="00CA19D0">
              <w:rPr>
                <w:rFonts w:cs="Arial"/>
                <w:color w:val="000000"/>
                <w:szCs w:val="22"/>
              </w:rPr>
              <w:t>- інші джерела фінансування</w:t>
            </w:r>
          </w:p>
        </w:tc>
        <w:tc>
          <w:tcPr>
            <w:tcW w:w="1290" w:type="dxa"/>
            <w:gridSpan w:val="2"/>
            <w:vAlign w:val="center"/>
          </w:tcPr>
          <w:p w14:paraId="4F4F4D80" w14:textId="77777777" w:rsidR="00CA19D0" w:rsidRPr="00CA19D0" w:rsidRDefault="00CA19D0" w:rsidP="00CA19D0">
            <w:pPr>
              <w:jc w:val="both"/>
              <w:rPr>
                <w:rFonts w:cs="Arial"/>
                <w:color w:val="000000"/>
                <w:szCs w:val="22"/>
                <w:lang w:eastAsia="it-IT"/>
              </w:rPr>
            </w:pPr>
          </w:p>
        </w:tc>
        <w:tc>
          <w:tcPr>
            <w:tcW w:w="1279" w:type="dxa"/>
            <w:vAlign w:val="center"/>
          </w:tcPr>
          <w:p w14:paraId="283A7A83" w14:textId="77777777" w:rsidR="00CA19D0" w:rsidRPr="00CA19D0" w:rsidRDefault="00CA19D0" w:rsidP="00CA19D0">
            <w:pPr>
              <w:jc w:val="both"/>
              <w:rPr>
                <w:rFonts w:cs="Arial"/>
                <w:color w:val="000000"/>
                <w:szCs w:val="22"/>
                <w:lang w:eastAsia="it-IT"/>
              </w:rPr>
            </w:pPr>
          </w:p>
        </w:tc>
        <w:tc>
          <w:tcPr>
            <w:tcW w:w="1405" w:type="dxa"/>
            <w:gridSpan w:val="3"/>
          </w:tcPr>
          <w:p w14:paraId="714594C7" w14:textId="77777777" w:rsidR="00CA19D0" w:rsidRPr="00CA19D0" w:rsidRDefault="00CA19D0" w:rsidP="00CA19D0">
            <w:pPr>
              <w:jc w:val="center"/>
              <w:rPr>
                <w:rFonts w:cs="Arial"/>
                <w:color w:val="000000"/>
                <w:szCs w:val="22"/>
                <w:lang w:eastAsia="it-IT"/>
              </w:rPr>
            </w:pPr>
          </w:p>
        </w:tc>
        <w:tc>
          <w:tcPr>
            <w:tcW w:w="1244" w:type="dxa"/>
            <w:vAlign w:val="center"/>
          </w:tcPr>
          <w:p w14:paraId="5A9E302A" w14:textId="77777777" w:rsidR="00CA19D0" w:rsidRPr="00CA19D0" w:rsidRDefault="00CA19D0" w:rsidP="00CA19D0">
            <w:pPr>
              <w:jc w:val="both"/>
              <w:rPr>
                <w:rFonts w:cs="Arial"/>
                <w:color w:val="000000"/>
                <w:szCs w:val="22"/>
                <w:lang w:eastAsia="it-IT"/>
              </w:rPr>
            </w:pPr>
          </w:p>
        </w:tc>
        <w:tc>
          <w:tcPr>
            <w:tcW w:w="1576" w:type="dxa"/>
          </w:tcPr>
          <w:p w14:paraId="298B81F1" w14:textId="77777777" w:rsidR="00CA19D0" w:rsidRPr="00CA19D0" w:rsidRDefault="00CA19D0" w:rsidP="00CA19D0">
            <w:pPr>
              <w:jc w:val="center"/>
              <w:rPr>
                <w:rFonts w:cs="Arial"/>
                <w:b/>
                <w:color w:val="000000"/>
                <w:szCs w:val="22"/>
                <w:lang w:eastAsia="it-IT"/>
              </w:rPr>
            </w:pPr>
          </w:p>
        </w:tc>
      </w:tr>
      <w:tr w:rsidR="00CB33C7" w:rsidRPr="00C2587D" w14:paraId="09DD0E3D" w14:textId="77777777" w:rsidTr="00EA6E27">
        <w:trPr>
          <w:jc w:val="right"/>
        </w:trPr>
        <w:tc>
          <w:tcPr>
            <w:tcW w:w="3425" w:type="dxa"/>
            <w:shd w:val="clear" w:color="auto" w:fill="FFFFFF"/>
            <w:vAlign w:val="center"/>
          </w:tcPr>
          <w:p w14:paraId="7945EC94" w14:textId="77777777" w:rsidR="00CB33C7" w:rsidRPr="00CA19D0" w:rsidRDefault="00CB33C7" w:rsidP="00CA19D0">
            <w:pPr>
              <w:rPr>
                <w:rFonts w:cs="Arial"/>
                <w:b/>
                <w:bCs/>
                <w:color w:val="000000"/>
                <w:szCs w:val="22"/>
              </w:rPr>
            </w:pPr>
            <w:r w:rsidRPr="00CA19D0">
              <w:rPr>
                <w:rFonts w:cs="Arial"/>
                <w:b/>
                <w:color w:val="000000"/>
                <w:szCs w:val="22"/>
              </w:rPr>
              <w:t>Відповідальний виконавець проєкту:</w:t>
            </w:r>
          </w:p>
        </w:tc>
        <w:tc>
          <w:tcPr>
            <w:tcW w:w="6794" w:type="dxa"/>
            <w:gridSpan w:val="8"/>
            <w:vAlign w:val="center"/>
          </w:tcPr>
          <w:p w14:paraId="758852CA" w14:textId="154A130D" w:rsidR="00CB33C7" w:rsidRPr="00CA19D0" w:rsidRDefault="00CB33C7" w:rsidP="00CA19D0">
            <w:pPr>
              <w:jc w:val="both"/>
              <w:rPr>
                <w:rFonts w:cs="Arial"/>
                <w:color w:val="000000"/>
                <w:szCs w:val="22"/>
                <w:lang w:eastAsia="it-IT"/>
              </w:rPr>
            </w:pPr>
            <w:r w:rsidRPr="00CA19D0">
              <w:rPr>
                <w:rFonts w:cs="Arial"/>
                <w:color w:val="000000"/>
                <w:szCs w:val="22"/>
                <w:lang w:eastAsia="it-IT"/>
              </w:rPr>
              <w:t>Управління ЖКГ.</w:t>
            </w:r>
          </w:p>
        </w:tc>
      </w:tr>
      <w:tr w:rsidR="00CB33C7" w:rsidRPr="00C2587D" w14:paraId="78D09938" w14:textId="77777777" w:rsidTr="00EA6E27">
        <w:trPr>
          <w:jc w:val="right"/>
        </w:trPr>
        <w:tc>
          <w:tcPr>
            <w:tcW w:w="3425" w:type="dxa"/>
            <w:shd w:val="clear" w:color="auto" w:fill="FFFFFF"/>
            <w:vAlign w:val="center"/>
          </w:tcPr>
          <w:p w14:paraId="00780192" w14:textId="77777777" w:rsidR="00CB33C7" w:rsidRPr="00CA19D0" w:rsidRDefault="00CB33C7" w:rsidP="00CA19D0">
            <w:pPr>
              <w:rPr>
                <w:rFonts w:cs="Arial"/>
                <w:b/>
                <w:bCs/>
                <w:color w:val="000000"/>
                <w:szCs w:val="22"/>
              </w:rPr>
            </w:pPr>
            <w:r w:rsidRPr="00CA19D0">
              <w:rPr>
                <w:rFonts w:cs="Arial"/>
                <w:b/>
                <w:bCs/>
                <w:color w:val="000000"/>
                <w:szCs w:val="22"/>
              </w:rPr>
              <w:t>Інше:</w:t>
            </w:r>
          </w:p>
        </w:tc>
        <w:tc>
          <w:tcPr>
            <w:tcW w:w="6794" w:type="dxa"/>
            <w:gridSpan w:val="8"/>
            <w:vAlign w:val="center"/>
          </w:tcPr>
          <w:p w14:paraId="4F367FC5" w14:textId="77777777" w:rsidR="00CB33C7" w:rsidRPr="00CA19D0" w:rsidRDefault="00CB33C7" w:rsidP="00CA19D0">
            <w:pPr>
              <w:rPr>
                <w:rFonts w:cs="Arial"/>
                <w:color w:val="000000"/>
                <w:szCs w:val="22"/>
                <w:lang w:eastAsia="it-IT"/>
              </w:rPr>
            </w:pPr>
          </w:p>
        </w:tc>
      </w:tr>
    </w:tbl>
    <w:p w14:paraId="7592EA08" w14:textId="77777777" w:rsidR="00CB33C7" w:rsidRPr="00C2587D" w:rsidRDefault="00CB33C7" w:rsidP="00CB33C7"/>
    <w:p w14:paraId="20293C4E" w14:textId="77777777" w:rsidR="00CB33C7" w:rsidRPr="00C2587D" w:rsidRDefault="00CB33C7" w:rsidP="00CB33C7"/>
    <w:p w14:paraId="68FB3880" w14:textId="77777777" w:rsidR="00CB33C7" w:rsidRPr="00C2587D" w:rsidRDefault="00CB33C7" w:rsidP="00CB33C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08B3813C" w14:textId="77777777" w:rsidR="00CB33C7" w:rsidRPr="00C2587D" w:rsidRDefault="00CB33C7" w:rsidP="00CB33C7">
      <w:pPr>
        <w:jc w:val="center"/>
        <w:rPr>
          <w:rFonts w:cs="Arial"/>
          <w:b/>
          <w:color w:val="000000"/>
          <w:szCs w:val="22"/>
        </w:rPr>
      </w:pPr>
      <w:r w:rsidRPr="00C2587D">
        <w:rPr>
          <w:rFonts w:cs="Arial"/>
          <w:b/>
          <w:color w:val="000000"/>
          <w:szCs w:val="22"/>
        </w:rPr>
        <w:t>до Плану заходів з реалізації Стратегії</w:t>
      </w:r>
    </w:p>
    <w:p w14:paraId="6971A280" w14:textId="77777777" w:rsidR="00CB33C7" w:rsidRPr="00C2587D" w:rsidRDefault="00CB33C7" w:rsidP="00CB33C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33"/>
        <w:gridCol w:w="21"/>
        <w:gridCol w:w="1396"/>
        <w:gridCol w:w="16"/>
        <w:gridCol w:w="1263"/>
        <w:gridCol w:w="18"/>
        <w:gridCol w:w="1226"/>
        <w:gridCol w:w="50"/>
        <w:gridCol w:w="1571"/>
      </w:tblGrid>
      <w:tr w:rsidR="00CB33C7" w:rsidRPr="00C2587D" w14:paraId="22BA49B7" w14:textId="77777777" w:rsidTr="00EA6E27">
        <w:trPr>
          <w:jc w:val="right"/>
        </w:trPr>
        <w:tc>
          <w:tcPr>
            <w:tcW w:w="3425" w:type="dxa"/>
            <w:vAlign w:val="center"/>
          </w:tcPr>
          <w:p w14:paraId="4774022F" w14:textId="77777777" w:rsidR="00CB33C7" w:rsidRPr="00CA19D0" w:rsidRDefault="00CB33C7" w:rsidP="00CA19D0">
            <w:pPr>
              <w:rPr>
                <w:rFonts w:cs="Arial"/>
                <w:b/>
                <w:bCs/>
                <w:color w:val="000000"/>
                <w:szCs w:val="22"/>
              </w:rPr>
            </w:pPr>
            <w:r w:rsidRPr="00CA19D0">
              <w:rPr>
                <w:rFonts w:cs="Arial"/>
                <w:b/>
                <w:bCs/>
                <w:color w:val="000000"/>
                <w:szCs w:val="22"/>
              </w:rPr>
              <w:t>Назва проєкту:</w:t>
            </w:r>
          </w:p>
        </w:tc>
        <w:tc>
          <w:tcPr>
            <w:tcW w:w="6794" w:type="dxa"/>
            <w:gridSpan w:val="9"/>
          </w:tcPr>
          <w:p w14:paraId="48849E50" w14:textId="77777777" w:rsidR="00CB33C7" w:rsidRPr="00CA19D0" w:rsidRDefault="00CB33C7" w:rsidP="00CA19D0">
            <w:pPr>
              <w:jc w:val="both"/>
              <w:rPr>
                <w:rFonts w:cs="Arial"/>
                <w:b/>
                <w:szCs w:val="22"/>
                <w:lang w:eastAsia="it-IT"/>
              </w:rPr>
            </w:pPr>
            <w:r w:rsidRPr="00CA19D0">
              <w:rPr>
                <w:rFonts w:eastAsia="Arial" w:cs="Arial"/>
                <w:b/>
                <w:szCs w:val="22"/>
              </w:rPr>
              <w:t>Реконструкція каналізаційно-насосної станції по вул. Івана Франка в м. Жмеринка Вінницької області</w:t>
            </w:r>
          </w:p>
        </w:tc>
      </w:tr>
      <w:tr w:rsidR="00CB33C7" w:rsidRPr="00C2587D" w14:paraId="0EB0D464" w14:textId="77777777" w:rsidTr="00EA6E27">
        <w:trPr>
          <w:jc w:val="right"/>
        </w:trPr>
        <w:tc>
          <w:tcPr>
            <w:tcW w:w="3425" w:type="dxa"/>
          </w:tcPr>
          <w:p w14:paraId="5FAAC579" w14:textId="77777777" w:rsidR="00CB33C7" w:rsidRPr="00CA19D0" w:rsidRDefault="00CB33C7" w:rsidP="00CA19D0">
            <w:pPr>
              <w:rPr>
                <w:rFonts w:cs="Arial"/>
                <w:szCs w:val="22"/>
                <w:lang w:eastAsia="it-IT"/>
              </w:rPr>
            </w:pPr>
            <w:r w:rsidRPr="00CA19D0">
              <w:rPr>
                <w:rFonts w:cs="Arial"/>
                <w:b/>
                <w:bCs/>
                <w:szCs w:val="22"/>
              </w:rPr>
              <w:t>Ваші контакти</w:t>
            </w:r>
            <w:r w:rsidRPr="00CA19D0">
              <w:rPr>
                <w:rFonts w:cs="Arial"/>
                <w:szCs w:val="22"/>
                <w:lang w:eastAsia="it-IT"/>
              </w:rPr>
              <w:t>:</w:t>
            </w:r>
          </w:p>
          <w:p w14:paraId="3566A48D" w14:textId="77777777" w:rsidR="00CB33C7" w:rsidRPr="00CA19D0" w:rsidRDefault="00CB33C7" w:rsidP="00CA19D0">
            <w:pPr>
              <w:rPr>
                <w:rFonts w:cs="Arial"/>
                <w:b/>
                <w:bCs/>
                <w:szCs w:val="22"/>
              </w:rPr>
            </w:pPr>
            <w:r w:rsidRPr="00CA19D0">
              <w:rPr>
                <w:rFonts w:cs="Arial"/>
                <w:szCs w:val="22"/>
                <w:lang w:eastAsia="it-IT"/>
              </w:rPr>
              <w:t>Назва установи, організації, підприємства</w:t>
            </w:r>
          </w:p>
        </w:tc>
        <w:tc>
          <w:tcPr>
            <w:tcW w:w="6794" w:type="dxa"/>
            <w:gridSpan w:val="9"/>
          </w:tcPr>
          <w:p w14:paraId="3DC376C9" w14:textId="77777777" w:rsidR="00CB33C7" w:rsidRPr="00CA19D0" w:rsidRDefault="00CB33C7" w:rsidP="00CA19D0">
            <w:pPr>
              <w:jc w:val="both"/>
              <w:rPr>
                <w:rFonts w:cs="Arial"/>
                <w:szCs w:val="22"/>
                <w:lang w:eastAsia="it-IT"/>
              </w:rPr>
            </w:pPr>
            <w:r w:rsidRPr="00CA19D0">
              <w:rPr>
                <w:rFonts w:cs="Arial"/>
                <w:szCs w:val="22"/>
                <w:lang w:eastAsia="it-IT"/>
              </w:rPr>
              <w:t>Управління житлово-комунального господарства Жмеринської міської ради</w:t>
            </w:r>
          </w:p>
        </w:tc>
      </w:tr>
      <w:tr w:rsidR="00CB33C7" w:rsidRPr="00C2587D" w14:paraId="41FAF735" w14:textId="77777777" w:rsidTr="00EA6E27">
        <w:trPr>
          <w:jc w:val="right"/>
        </w:trPr>
        <w:tc>
          <w:tcPr>
            <w:tcW w:w="3425" w:type="dxa"/>
          </w:tcPr>
          <w:p w14:paraId="30D0ABDD" w14:textId="77777777" w:rsidR="00CB33C7" w:rsidRPr="00CA19D0" w:rsidRDefault="00CB33C7" w:rsidP="00CA19D0">
            <w:pPr>
              <w:rPr>
                <w:rFonts w:cs="Arial"/>
                <w:b/>
                <w:bCs/>
                <w:szCs w:val="22"/>
              </w:rPr>
            </w:pPr>
            <w:r w:rsidRPr="00CA19D0">
              <w:rPr>
                <w:rFonts w:cs="Arial"/>
                <w:szCs w:val="22"/>
                <w:lang w:eastAsia="it-IT"/>
              </w:rPr>
              <w:t>Прізвище Ім’я По-батькові:</w:t>
            </w:r>
          </w:p>
        </w:tc>
        <w:tc>
          <w:tcPr>
            <w:tcW w:w="6794" w:type="dxa"/>
            <w:gridSpan w:val="9"/>
          </w:tcPr>
          <w:p w14:paraId="505E0537" w14:textId="77777777" w:rsidR="00CB33C7" w:rsidRPr="00CA19D0" w:rsidRDefault="00CB33C7" w:rsidP="00CA19D0">
            <w:pPr>
              <w:jc w:val="both"/>
              <w:rPr>
                <w:rFonts w:cs="Arial"/>
                <w:szCs w:val="22"/>
                <w:lang w:eastAsia="it-IT"/>
              </w:rPr>
            </w:pPr>
            <w:r w:rsidRPr="00CA19D0">
              <w:rPr>
                <w:rFonts w:cs="Arial"/>
                <w:szCs w:val="22"/>
                <w:lang w:eastAsia="it-IT"/>
              </w:rPr>
              <w:t>Оленич Андрій Васильович</w:t>
            </w:r>
          </w:p>
        </w:tc>
      </w:tr>
      <w:tr w:rsidR="00CB33C7" w:rsidRPr="00C2587D" w14:paraId="5C49FEA2" w14:textId="77777777" w:rsidTr="00EA6E27">
        <w:trPr>
          <w:jc w:val="right"/>
        </w:trPr>
        <w:tc>
          <w:tcPr>
            <w:tcW w:w="3425" w:type="dxa"/>
          </w:tcPr>
          <w:p w14:paraId="53EA7921" w14:textId="77777777" w:rsidR="00CB33C7" w:rsidRPr="00CA19D0" w:rsidRDefault="00CB33C7" w:rsidP="00CA19D0">
            <w:pPr>
              <w:rPr>
                <w:rFonts w:cs="Arial"/>
                <w:b/>
                <w:bCs/>
                <w:szCs w:val="22"/>
              </w:rPr>
            </w:pPr>
            <w:r w:rsidRPr="00CA19D0">
              <w:rPr>
                <w:rFonts w:cs="Arial"/>
                <w:szCs w:val="22"/>
                <w:lang w:eastAsia="it-IT"/>
              </w:rPr>
              <w:t>Телефон (мобільний):</w:t>
            </w:r>
          </w:p>
        </w:tc>
        <w:tc>
          <w:tcPr>
            <w:tcW w:w="6794" w:type="dxa"/>
            <w:gridSpan w:val="9"/>
          </w:tcPr>
          <w:p w14:paraId="6535CEC3" w14:textId="77777777" w:rsidR="00CB33C7" w:rsidRPr="00CA19D0" w:rsidRDefault="00CB33C7" w:rsidP="00CA19D0">
            <w:pPr>
              <w:jc w:val="both"/>
              <w:rPr>
                <w:rFonts w:cs="Arial"/>
                <w:szCs w:val="22"/>
                <w:lang w:eastAsia="it-IT"/>
              </w:rPr>
            </w:pPr>
            <w:r w:rsidRPr="00CA19D0">
              <w:rPr>
                <w:rFonts w:cs="Arial"/>
                <w:szCs w:val="22"/>
                <w:lang w:eastAsia="it-IT"/>
              </w:rPr>
              <w:t>0972561907</w:t>
            </w:r>
          </w:p>
        </w:tc>
      </w:tr>
      <w:tr w:rsidR="00CB33C7" w:rsidRPr="00C2587D" w14:paraId="17288269" w14:textId="77777777" w:rsidTr="00EA6E27">
        <w:trPr>
          <w:jc w:val="right"/>
        </w:trPr>
        <w:tc>
          <w:tcPr>
            <w:tcW w:w="3425" w:type="dxa"/>
          </w:tcPr>
          <w:p w14:paraId="1DBA66FE" w14:textId="77777777" w:rsidR="00CB33C7" w:rsidRPr="00CA19D0" w:rsidRDefault="00CB33C7" w:rsidP="00CA19D0">
            <w:pPr>
              <w:rPr>
                <w:rFonts w:cs="Arial"/>
                <w:b/>
                <w:bCs/>
                <w:szCs w:val="22"/>
              </w:rPr>
            </w:pPr>
            <w:r w:rsidRPr="00CA19D0">
              <w:rPr>
                <w:rFonts w:cs="Arial"/>
                <w:szCs w:val="22"/>
                <w:lang w:eastAsia="it-IT"/>
              </w:rPr>
              <w:t>Електронна адреса:</w:t>
            </w:r>
          </w:p>
        </w:tc>
        <w:tc>
          <w:tcPr>
            <w:tcW w:w="6794" w:type="dxa"/>
            <w:gridSpan w:val="9"/>
          </w:tcPr>
          <w:p w14:paraId="130DE575" w14:textId="77777777" w:rsidR="00CB33C7" w:rsidRPr="00CA19D0" w:rsidRDefault="00D85FFD" w:rsidP="00CA19D0">
            <w:pPr>
              <w:jc w:val="both"/>
              <w:rPr>
                <w:rFonts w:cs="Arial"/>
                <w:szCs w:val="22"/>
                <w:lang w:eastAsia="it-IT"/>
              </w:rPr>
            </w:pPr>
            <w:hyperlink r:id="rId78" w:history="1">
              <w:r w:rsidR="00CB33C7" w:rsidRPr="00CA19D0">
                <w:rPr>
                  <w:rStyle w:val="af0"/>
                  <w:rFonts w:cs="Arial"/>
                  <w:noProof w:val="0"/>
                  <w:sz w:val="22"/>
                  <w:szCs w:val="22"/>
                  <w:lang w:eastAsia="it-IT"/>
                </w:rPr>
                <w:t>Aolenych03@ukr.net</w:t>
              </w:r>
            </w:hyperlink>
          </w:p>
        </w:tc>
      </w:tr>
      <w:tr w:rsidR="00CB33C7" w:rsidRPr="00C2587D" w14:paraId="253E0E7F" w14:textId="77777777" w:rsidTr="00EA6E27">
        <w:trPr>
          <w:jc w:val="right"/>
        </w:trPr>
        <w:tc>
          <w:tcPr>
            <w:tcW w:w="3425" w:type="dxa"/>
            <w:vAlign w:val="center"/>
          </w:tcPr>
          <w:p w14:paraId="081FC5DF" w14:textId="77777777" w:rsidR="00CB33C7" w:rsidRPr="00CA19D0" w:rsidRDefault="00CB33C7" w:rsidP="00CA19D0">
            <w:pPr>
              <w:pStyle w:val="6"/>
              <w:spacing w:before="0" w:after="0"/>
              <w:rPr>
                <w:rFonts w:ascii="Arial" w:hAnsi="Arial" w:cs="Arial"/>
                <w:color w:val="000000"/>
                <w:lang w:val="uk-UA"/>
              </w:rPr>
            </w:pPr>
            <w:r w:rsidRPr="00CA19D0">
              <w:rPr>
                <w:rFonts w:ascii="Arial" w:hAnsi="Arial" w:cs="Arial"/>
                <w:color w:val="000000"/>
                <w:lang w:val="uk-UA"/>
              </w:rPr>
              <w:t>Номер і назва завдання з Стратегії</w:t>
            </w:r>
            <w:r w:rsidRPr="00CA19D0">
              <w:rPr>
                <w:rFonts w:ascii="Arial" w:hAnsi="Arial" w:cs="Arial"/>
                <w:lang w:val="uk-UA" w:eastAsia="it-IT"/>
              </w:rPr>
              <w:t xml:space="preserve"> </w:t>
            </w:r>
            <w:r w:rsidRPr="00CA19D0">
              <w:rPr>
                <w:rFonts w:ascii="Arial" w:hAnsi="Arial" w:cs="Arial"/>
                <w:color w:val="000000"/>
                <w:lang w:val="uk-UA"/>
              </w:rPr>
              <w:t xml:space="preserve">розвитку Жмеринської міської </w:t>
            </w:r>
          </w:p>
        </w:tc>
        <w:tc>
          <w:tcPr>
            <w:tcW w:w="6794" w:type="dxa"/>
            <w:gridSpan w:val="9"/>
            <w:vAlign w:val="center"/>
          </w:tcPr>
          <w:p w14:paraId="45F6B9AD" w14:textId="77777777" w:rsidR="00CB33C7" w:rsidRPr="00CA19D0" w:rsidRDefault="00CB33C7" w:rsidP="00CA19D0">
            <w:pPr>
              <w:suppressAutoHyphens/>
              <w:jc w:val="both"/>
              <w:rPr>
                <w:rFonts w:eastAsia="Lucida Sans Unicode" w:cs="Arial"/>
                <w:kern w:val="1"/>
                <w:szCs w:val="22"/>
                <w:lang w:eastAsia="ar-SA"/>
              </w:rPr>
            </w:pPr>
            <w:r w:rsidRPr="00CA19D0">
              <w:rPr>
                <w:rFonts w:eastAsia="Lucida Sans Unicode" w:cs="Arial"/>
                <w:kern w:val="1"/>
                <w:szCs w:val="22"/>
                <w:lang w:eastAsia="ar-SA"/>
              </w:rPr>
              <w:t>В.1.3.2. Реконструкція, модернізація та капітальний ремонт  очисних споруд каналізації.</w:t>
            </w:r>
            <w:r w:rsidRPr="00CA19D0">
              <w:rPr>
                <w:rFonts w:eastAsia="Calibri" w:cs="Arial"/>
                <w:kern w:val="1"/>
                <w:szCs w:val="22"/>
                <w:shd w:val="clear" w:color="auto" w:fill="FFFFFF"/>
                <w:lang w:eastAsia="ar-SA"/>
              </w:rPr>
              <w:t xml:space="preserve"> </w:t>
            </w:r>
          </w:p>
        </w:tc>
      </w:tr>
      <w:tr w:rsidR="00CB33C7" w:rsidRPr="00C2587D" w14:paraId="6AE748EE" w14:textId="77777777" w:rsidTr="00EA6E27">
        <w:trPr>
          <w:jc w:val="right"/>
        </w:trPr>
        <w:tc>
          <w:tcPr>
            <w:tcW w:w="3425" w:type="dxa"/>
            <w:vAlign w:val="center"/>
          </w:tcPr>
          <w:p w14:paraId="58BEE026" w14:textId="77777777" w:rsidR="00CB33C7" w:rsidRPr="00CA19D0" w:rsidRDefault="00CB33C7" w:rsidP="00CA19D0">
            <w:pPr>
              <w:rPr>
                <w:rFonts w:cs="Arial"/>
                <w:b/>
                <w:bCs/>
                <w:color w:val="000000"/>
                <w:szCs w:val="22"/>
              </w:rPr>
            </w:pPr>
            <w:r w:rsidRPr="00CA19D0">
              <w:rPr>
                <w:rFonts w:cs="Arial"/>
                <w:b/>
                <w:bCs/>
                <w:color w:val="000000"/>
                <w:szCs w:val="22"/>
              </w:rPr>
              <w:t>Мета проєкту:</w:t>
            </w:r>
          </w:p>
        </w:tc>
        <w:tc>
          <w:tcPr>
            <w:tcW w:w="6794" w:type="dxa"/>
            <w:gridSpan w:val="9"/>
          </w:tcPr>
          <w:p w14:paraId="2DA9EC9F" w14:textId="77777777" w:rsidR="00CB33C7" w:rsidRPr="00CA19D0" w:rsidRDefault="00CB33C7" w:rsidP="00CA19D0">
            <w:pPr>
              <w:jc w:val="both"/>
              <w:rPr>
                <w:rFonts w:cs="Arial"/>
                <w:szCs w:val="22"/>
                <w:lang w:eastAsia="it-IT"/>
              </w:rPr>
            </w:pPr>
            <w:r w:rsidRPr="00CA19D0">
              <w:rPr>
                <w:rFonts w:cs="Arial"/>
                <w:szCs w:val="22"/>
                <w:lang w:eastAsia="it-IT"/>
              </w:rPr>
              <w:t>Забезпечення очищення каналізаційних стоків. Ліквідація скиду неочищених стічних вод у ґрунти, підземні та наземні води, ліси і т.д., ліквідація ризику виникнення екологічної катастрофи на території міста Жмеринка, покращення стану навколишнього природного середовища.</w:t>
            </w:r>
          </w:p>
        </w:tc>
      </w:tr>
      <w:tr w:rsidR="00CB33C7" w:rsidRPr="00C2587D" w14:paraId="5B2DC2F1" w14:textId="77777777" w:rsidTr="00EA6E27">
        <w:trPr>
          <w:jc w:val="right"/>
        </w:trPr>
        <w:tc>
          <w:tcPr>
            <w:tcW w:w="3425" w:type="dxa"/>
            <w:vAlign w:val="center"/>
          </w:tcPr>
          <w:p w14:paraId="45E5C301" w14:textId="77777777" w:rsidR="00CB33C7" w:rsidRPr="00CA19D0" w:rsidRDefault="00CB33C7" w:rsidP="00CA19D0">
            <w:pPr>
              <w:rPr>
                <w:rFonts w:cs="Arial"/>
                <w:b/>
                <w:bCs/>
                <w:color w:val="000000"/>
                <w:szCs w:val="22"/>
              </w:rPr>
            </w:pPr>
            <w:r w:rsidRPr="00CA19D0">
              <w:rPr>
                <w:rFonts w:cs="Arial"/>
                <w:b/>
                <w:bCs/>
                <w:color w:val="000000"/>
                <w:szCs w:val="22"/>
              </w:rPr>
              <w:t>Цілі проєкту:</w:t>
            </w:r>
          </w:p>
        </w:tc>
        <w:tc>
          <w:tcPr>
            <w:tcW w:w="6794" w:type="dxa"/>
            <w:gridSpan w:val="9"/>
          </w:tcPr>
          <w:p w14:paraId="1A76D09C" w14:textId="77777777" w:rsidR="00CB33C7" w:rsidRPr="00CA19D0" w:rsidRDefault="00CB33C7" w:rsidP="00CA19D0">
            <w:pPr>
              <w:jc w:val="both"/>
              <w:rPr>
                <w:rFonts w:cs="Arial"/>
                <w:szCs w:val="22"/>
                <w:lang w:eastAsia="it-IT"/>
              </w:rPr>
            </w:pPr>
            <w:r w:rsidRPr="00CA19D0">
              <w:rPr>
                <w:rFonts w:cs="Arial"/>
                <w:szCs w:val="22"/>
                <w:lang w:eastAsia="it-IT"/>
              </w:rPr>
              <w:t>Організація очищення каналізаційних стоків в м. Жмеринка, ліквідація ризику виникнення екологічної катастрофи на території м. Жмеринка, покращення стану навколишнього природного середовища на території м. Жмеринка.</w:t>
            </w:r>
          </w:p>
        </w:tc>
      </w:tr>
      <w:tr w:rsidR="00CB33C7" w:rsidRPr="00C2587D" w14:paraId="2525E3AE" w14:textId="77777777" w:rsidTr="00EA6E27">
        <w:trPr>
          <w:jc w:val="right"/>
        </w:trPr>
        <w:tc>
          <w:tcPr>
            <w:tcW w:w="3425" w:type="dxa"/>
            <w:vAlign w:val="center"/>
          </w:tcPr>
          <w:p w14:paraId="059C8254" w14:textId="77777777" w:rsidR="00CB33C7" w:rsidRPr="00CA19D0" w:rsidRDefault="00CB33C7" w:rsidP="00CA19D0">
            <w:pPr>
              <w:autoSpaceDE w:val="0"/>
              <w:autoSpaceDN w:val="0"/>
              <w:adjustRightInd w:val="0"/>
              <w:rPr>
                <w:rFonts w:cs="Arial"/>
                <w:b/>
                <w:color w:val="000000"/>
                <w:szCs w:val="22"/>
              </w:rPr>
            </w:pPr>
            <w:r w:rsidRPr="00CA19D0">
              <w:rPr>
                <w:rFonts w:cs="Arial"/>
                <w:b/>
                <w:color w:val="000000"/>
                <w:szCs w:val="22"/>
              </w:rPr>
              <w:t>Територія на яку проєкт матиме вплив:</w:t>
            </w:r>
          </w:p>
        </w:tc>
        <w:tc>
          <w:tcPr>
            <w:tcW w:w="6794" w:type="dxa"/>
            <w:gridSpan w:val="9"/>
          </w:tcPr>
          <w:p w14:paraId="60407DC5" w14:textId="77777777" w:rsidR="00CB33C7" w:rsidRPr="00CA19D0" w:rsidRDefault="00CB33C7" w:rsidP="00CA19D0">
            <w:pPr>
              <w:jc w:val="both"/>
              <w:rPr>
                <w:rFonts w:cs="Arial"/>
                <w:szCs w:val="22"/>
                <w:lang w:eastAsia="it-IT"/>
              </w:rPr>
            </w:pPr>
            <w:r w:rsidRPr="00CA19D0">
              <w:rPr>
                <w:rFonts w:cs="Arial"/>
                <w:szCs w:val="22"/>
                <w:lang w:eastAsia="it-IT"/>
              </w:rPr>
              <w:t>Території м. Жмеринка</w:t>
            </w:r>
          </w:p>
        </w:tc>
      </w:tr>
      <w:tr w:rsidR="00CB33C7" w:rsidRPr="00C2587D" w14:paraId="52B56F70" w14:textId="77777777" w:rsidTr="00EA6E27">
        <w:trPr>
          <w:jc w:val="right"/>
        </w:trPr>
        <w:tc>
          <w:tcPr>
            <w:tcW w:w="3425" w:type="dxa"/>
            <w:vAlign w:val="center"/>
          </w:tcPr>
          <w:p w14:paraId="399C6061" w14:textId="77777777" w:rsidR="00CB33C7" w:rsidRPr="00CA19D0" w:rsidRDefault="00CB33C7" w:rsidP="00CA19D0">
            <w:pPr>
              <w:autoSpaceDE w:val="0"/>
              <w:autoSpaceDN w:val="0"/>
              <w:adjustRightInd w:val="0"/>
              <w:rPr>
                <w:rFonts w:cs="Arial"/>
                <w:b/>
                <w:color w:val="000000"/>
                <w:szCs w:val="22"/>
              </w:rPr>
            </w:pPr>
            <w:r w:rsidRPr="00CA19D0">
              <w:rPr>
                <w:rFonts w:cs="Arial"/>
                <w:b/>
                <w:color w:val="000000"/>
                <w:szCs w:val="22"/>
              </w:rPr>
              <w:t>Цільові групи проєкту та кількість отримувачів вигоди</w:t>
            </w:r>
          </w:p>
        </w:tc>
        <w:tc>
          <w:tcPr>
            <w:tcW w:w="6794" w:type="dxa"/>
            <w:gridSpan w:val="9"/>
          </w:tcPr>
          <w:p w14:paraId="3F2A3EBB" w14:textId="77777777" w:rsidR="00CB33C7" w:rsidRPr="00CA19D0" w:rsidRDefault="00CB33C7" w:rsidP="00CA19D0">
            <w:pPr>
              <w:jc w:val="both"/>
              <w:rPr>
                <w:rFonts w:cs="Arial"/>
                <w:szCs w:val="22"/>
                <w:lang w:eastAsia="it-IT"/>
              </w:rPr>
            </w:pPr>
            <w:r w:rsidRPr="00CA19D0">
              <w:rPr>
                <w:rFonts w:cs="Arial"/>
                <w:szCs w:val="22"/>
                <w:lang w:eastAsia="it-IT"/>
              </w:rPr>
              <w:t xml:space="preserve">Жителі м. Жмеринка в кількості </w:t>
            </w:r>
            <w:r w:rsidRPr="00CA19D0">
              <w:rPr>
                <w:rFonts w:cs="Arial"/>
                <w:szCs w:val="22"/>
              </w:rPr>
              <w:t>34353 містян</w:t>
            </w:r>
          </w:p>
        </w:tc>
      </w:tr>
      <w:tr w:rsidR="00CB33C7" w:rsidRPr="00C2587D" w14:paraId="252B95F3" w14:textId="77777777" w:rsidTr="00EA6E27">
        <w:trPr>
          <w:jc w:val="right"/>
        </w:trPr>
        <w:tc>
          <w:tcPr>
            <w:tcW w:w="3425" w:type="dxa"/>
            <w:shd w:val="clear" w:color="auto" w:fill="FFFFFF"/>
            <w:vAlign w:val="center"/>
          </w:tcPr>
          <w:p w14:paraId="1580FDEC" w14:textId="77777777" w:rsidR="00CB33C7" w:rsidRPr="00CA19D0" w:rsidRDefault="00CB33C7" w:rsidP="00CA19D0">
            <w:pPr>
              <w:rPr>
                <w:rFonts w:cs="Arial"/>
                <w:b/>
                <w:bCs/>
                <w:color w:val="000000"/>
                <w:szCs w:val="22"/>
              </w:rPr>
            </w:pPr>
            <w:r w:rsidRPr="00CA19D0">
              <w:rPr>
                <w:rFonts w:cs="Arial"/>
                <w:b/>
                <w:bCs/>
                <w:color w:val="000000"/>
                <w:szCs w:val="22"/>
              </w:rPr>
              <w:t>Стислий опис проєкту:</w:t>
            </w:r>
          </w:p>
        </w:tc>
        <w:tc>
          <w:tcPr>
            <w:tcW w:w="6794" w:type="dxa"/>
            <w:gridSpan w:val="9"/>
          </w:tcPr>
          <w:p w14:paraId="1099FF3C" w14:textId="6CCA722D" w:rsidR="00CB33C7" w:rsidRPr="00CA19D0" w:rsidRDefault="00CB33C7" w:rsidP="00CA19D0">
            <w:pPr>
              <w:jc w:val="both"/>
              <w:rPr>
                <w:rFonts w:cs="Arial"/>
                <w:szCs w:val="22"/>
                <w:lang w:eastAsia="it-IT"/>
              </w:rPr>
            </w:pPr>
            <w:r w:rsidRPr="00CA19D0">
              <w:rPr>
                <w:rFonts w:cs="Arial"/>
                <w:szCs w:val="22"/>
                <w:lang w:eastAsia="it-IT"/>
              </w:rPr>
              <w:t xml:space="preserve">Каналізаційно-насосні станції введені в експлуатацію наприкінці 70-х початку 80-х років. На даних спорудах неочищені каналізаційні стоки проходили очистку до рівня, який не завдавав шкоди навколишньому середовищу (технічна вода). Враховуючи технічний знос каналізаційно-насосні станції каналізаційні стоки не проходять належну очистку та забруднюють навколишнє природнє середовище (ґрунти, </w:t>
            </w:r>
            <w:r w:rsidR="00667673">
              <w:rPr>
                <w:rFonts w:cs="Arial"/>
                <w:szCs w:val="22"/>
                <w:lang w:eastAsia="it-IT"/>
              </w:rPr>
              <w:t>підземні та наземні води, ліси тощо</w:t>
            </w:r>
            <w:r w:rsidRPr="00CA19D0">
              <w:rPr>
                <w:rFonts w:cs="Arial"/>
                <w:szCs w:val="22"/>
                <w:lang w:eastAsia="it-IT"/>
              </w:rPr>
              <w:t>), що призводить до ризику виникнення екологічної катастрофи та спричиняє захворюваність у жителів м. Жмеринка.</w:t>
            </w:r>
          </w:p>
          <w:p w14:paraId="7EE1529F" w14:textId="47CE05E1" w:rsidR="00CB33C7" w:rsidRPr="00CA19D0" w:rsidRDefault="0013105D" w:rsidP="00CA19D0">
            <w:pPr>
              <w:jc w:val="both"/>
              <w:rPr>
                <w:rFonts w:cs="Arial"/>
                <w:szCs w:val="22"/>
                <w:lang w:eastAsia="it-IT"/>
              </w:rPr>
            </w:pPr>
            <w:r>
              <w:rPr>
                <w:rFonts w:cs="Arial"/>
                <w:szCs w:val="22"/>
                <w:lang w:eastAsia="it-IT"/>
              </w:rPr>
              <w:t>Проє</w:t>
            </w:r>
            <w:r w:rsidR="00CB33C7" w:rsidRPr="00CA19D0">
              <w:rPr>
                <w:rFonts w:cs="Arial"/>
                <w:szCs w:val="22"/>
                <w:lang w:eastAsia="it-IT"/>
              </w:rPr>
              <w:t>ктом передбачається повна реконструкція очисних споруд каналізації, яка включатиме в себе заміну насосів на більш енергоефективні, ремонт басейнів для очищення стоків, споруд для обслуговування технічної інфраструктури каналізаційно-насосні станції.</w:t>
            </w:r>
          </w:p>
        </w:tc>
      </w:tr>
      <w:tr w:rsidR="00CB33C7" w:rsidRPr="00C2587D" w14:paraId="40CC7866" w14:textId="77777777" w:rsidTr="00EA6E27">
        <w:trPr>
          <w:jc w:val="right"/>
        </w:trPr>
        <w:tc>
          <w:tcPr>
            <w:tcW w:w="3425" w:type="dxa"/>
            <w:shd w:val="clear" w:color="auto" w:fill="FFFFFF"/>
            <w:vAlign w:val="center"/>
          </w:tcPr>
          <w:p w14:paraId="14244C3E" w14:textId="77777777" w:rsidR="00CB33C7" w:rsidRPr="00CA19D0" w:rsidRDefault="00CB33C7" w:rsidP="00CA19D0">
            <w:pPr>
              <w:rPr>
                <w:rFonts w:cs="Arial"/>
                <w:b/>
                <w:bCs/>
                <w:color w:val="000000"/>
                <w:szCs w:val="22"/>
              </w:rPr>
            </w:pPr>
            <w:r w:rsidRPr="00CA19D0">
              <w:rPr>
                <w:rFonts w:cs="Arial"/>
                <w:b/>
                <w:bCs/>
                <w:color w:val="000000"/>
                <w:szCs w:val="22"/>
              </w:rPr>
              <w:t>Основні заходи проєкту:</w:t>
            </w:r>
          </w:p>
        </w:tc>
        <w:tc>
          <w:tcPr>
            <w:tcW w:w="6794" w:type="dxa"/>
            <w:gridSpan w:val="9"/>
          </w:tcPr>
          <w:p w14:paraId="4F8DAC81" w14:textId="5FF42912" w:rsidR="00CB33C7" w:rsidRPr="00CA19D0" w:rsidRDefault="00CB33C7" w:rsidP="00CA19D0">
            <w:pPr>
              <w:jc w:val="both"/>
              <w:rPr>
                <w:rFonts w:cs="Arial"/>
                <w:szCs w:val="22"/>
                <w:lang w:eastAsia="it-IT"/>
              </w:rPr>
            </w:pPr>
            <w:r w:rsidRPr="00CA19D0">
              <w:rPr>
                <w:rFonts w:cs="Arial"/>
                <w:szCs w:val="22"/>
                <w:lang w:eastAsia="it-IT"/>
              </w:rPr>
              <w:t xml:space="preserve">Створення робочої групи з питань реалізації </w:t>
            </w:r>
            <w:r w:rsidR="00314B9D">
              <w:rPr>
                <w:rFonts w:cs="Arial"/>
                <w:szCs w:val="22"/>
                <w:lang w:eastAsia="it-IT"/>
              </w:rPr>
              <w:t>проєкту</w:t>
            </w:r>
            <w:r w:rsidRPr="00CA19D0">
              <w:rPr>
                <w:rFonts w:cs="Arial"/>
                <w:szCs w:val="22"/>
                <w:lang w:eastAsia="it-IT"/>
              </w:rPr>
              <w:t xml:space="preserve">. </w:t>
            </w:r>
          </w:p>
          <w:p w14:paraId="091FC3BB" w14:textId="77777777" w:rsidR="00CB33C7" w:rsidRPr="00CA19D0" w:rsidRDefault="00CB33C7" w:rsidP="00CA19D0">
            <w:pPr>
              <w:jc w:val="both"/>
              <w:rPr>
                <w:rFonts w:cs="Arial"/>
                <w:szCs w:val="22"/>
                <w:lang w:eastAsia="it-IT"/>
              </w:rPr>
            </w:pPr>
            <w:r w:rsidRPr="00CA19D0">
              <w:rPr>
                <w:rFonts w:cs="Arial"/>
                <w:szCs w:val="22"/>
                <w:lang w:eastAsia="it-IT"/>
              </w:rPr>
              <w:t>Проведення процедури закупівель (визначення виконавця робіт).</w:t>
            </w:r>
          </w:p>
          <w:p w14:paraId="22A4A1DF" w14:textId="77777777" w:rsidR="00CB33C7" w:rsidRPr="00CA19D0" w:rsidRDefault="00CB33C7" w:rsidP="00CA19D0">
            <w:pPr>
              <w:jc w:val="both"/>
              <w:rPr>
                <w:rFonts w:cs="Arial"/>
                <w:szCs w:val="22"/>
                <w:lang w:eastAsia="it-IT"/>
              </w:rPr>
            </w:pPr>
            <w:r w:rsidRPr="00CA19D0">
              <w:rPr>
                <w:rFonts w:cs="Arial"/>
                <w:szCs w:val="22"/>
                <w:lang w:eastAsia="it-IT"/>
              </w:rPr>
              <w:t>Укладення договорів з виконавцем робіт, організаціями, що здійснюватимуть  технічний та авторський  нагляд .</w:t>
            </w:r>
          </w:p>
          <w:p w14:paraId="20E29FB0" w14:textId="6451B3E0" w:rsidR="00CB33C7" w:rsidRPr="00CA19D0" w:rsidRDefault="00CB33C7" w:rsidP="00CA19D0">
            <w:pPr>
              <w:jc w:val="both"/>
              <w:rPr>
                <w:rFonts w:cs="Arial"/>
                <w:szCs w:val="22"/>
                <w:lang w:eastAsia="it-IT"/>
              </w:rPr>
            </w:pPr>
            <w:r w:rsidRPr="00CA19D0">
              <w:rPr>
                <w:rFonts w:cs="Arial"/>
                <w:szCs w:val="22"/>
                <w:lang w:eastAsia="it-IT"/>
              </w:rPr>
              <w:t xml:space="preserve">Виконання робіт з реконструкції </w:t>
            </w:r>
            <w:r w:rsidRPr="00CA19D0">
              <w:rPr>
                <w:rFonts w:eastAsia="Arial" w:cs="Arial"/>
                <w:szCs w:val="22"/>
              </w:rPr>
              <w:t>каналізаційно-насосної станції по вул. Івана Франка в м. Жмеринка Вінницької області</w:t>
            </w:r>
            <w:r w:rsidR="0013105D">
              <w:rPr>
                <w:rFonts w:eastAsia="Arial" w:cs="Arial"/>
                <w:szCs w:val="22"/>
              </w:rPr>
              <w:t>.</w:t>
            </w:r>
          </w:p>
          <w:p w14:paraId="3114D4D7" w14:textId="1CEDA7F9" w:rsidR="00CB33C7" w:rsidRPr="00CA19D0" w:rsidRDefault="00CB33C7" w:rsidP="00CA19D0">
            <w:pPr>
              <w:jc w:val="both"/>
              <w:rPr>
                <w:rFonts w:cs="Arial"/>
                <w:szCs w:val="22"/>
                <w:lang w:eastAsia="it-IT"/>
              </w:rPr>
            </w:pPr>
            <w:r w:rsidRPr="00CA19D0">
              <w:rPr>
                <w:rFonts w:cs="Arial"/>
                <w:szCs w:val="22"/>
                <w:lang w:eastAsia="it-IT"/>
              </w:rPr>
              <w:t>В</w:t>
            </w:r>
            <w:r w:rsidR="0013105D">
              <w:rPr>
                <w:rFonts w:cs="Arial"/>
                <w:szCs w:val="22"/>
                <w:lang w:eastAsia="it-IT"/>
              </w:rPr>
              <w:t>ведення  об’єкту в експлуатацію</w:t>
            </w:r>
            <w:r w:rsidRPr="00CA19D0">
              <w:rPr>
                <w:rFonts w:cs="Arial"/>
                <w:szCs w:val="22"/>
                <w:lang w:eastAsia="it-IT"/>
              </w:rPr>
              <w:t>.</w:t>
            </w:r>
          </w:p>
          <w:p w14:paraId="073614E6" w14:textId="0595A650" w:rsidR="00CB33C7" w:rsidRPr="00CA19D0" w:rsidRDefault="00CB33C7" w:rsidP="00CA19D0">
            <w:pPr>
              <w:jc w:val="both"/>
              <w:rPr>
                <w:rFonts w:cs="Arial"/>
                <w:szCs w:val="22"/>
                <w:lang w:eastAsia="it-IT"/>
              </w:rPr>
            </w:pPr>
            <w:r w:rsidRPr="00CA19D0">
              <w:rPr>
                <w:rFonts w:cs="Arial"/>
                <w:szCs w:val="22"/>
                <w:lang w:eastAsia="it-IT"/>
              </w:rPr>
              <w:t xml:space="preserve">Проведення інформаційних заходів (розміщення  </w:t>
            </w:r>
            <w:r w:rsidR="0013105D">
              <w:rPr>
                <w:rFonts w:cs="Arial"/>
                <w:szCs w:val="22"/>
                <w:lang w:eastAsia="it-IT"/>
              </w:rPr>
              <w:t>інформації  про реалізацію  проє</w:t>
            </w:r>
            <w:r w:rsidRPr="00CA19D0">
              <w:rPr>
                <w:rFonts w:cs="Arial"/>
                <w:szCs w:val="22"/>
                <w:lang w:eastAsia="it-IT"/>
              </w:rPr>
              <w:t>кту у ЗМІ) .</w:t>
            </w:r>
          </w:p>
        </w:tc>
      </w:tr>
      <w:tr w:rsidR="00CB33C7" w:rsidRPr="00C2587D" w14:paraId="2976152C" w14:textId="77777777" w:rsidTr="00EA6E27">
        <w:trPr>
          <w:jc w:val="right"/>
        </w:trPr>
        <w:tc>
          <w:tcPr>
            <w:tcW w:w="3425" w:type="dxa"/>
            <w:shd w:val="clear" w:color="auto" w:fill="FFFFFF"/>
            <w:vAlign w:val="center"/>
          </w:tcPr>
          <w:p w14:paraId="7F33A769" w14:textId="77777777" w:rsidR="00CB33C7" w:rsidRPr="00CA19D0" w:rsidRDefault="00CB33C7" w:rsidP="00CA19D0">
            <w:pPr>
              <w:rPr>
                <w:rFonts w:cs="Arial"/>
                <w:b/>
                <w:bCs/>
                <w:color w:val="000000"/>
                <w:szCs w:val="22"/>
              </w:rPr>
            </w:pPr>
            <w:r w:rsidRPr="00CA19D0">
              <w:rPr>
                <w:rFonts w:cs="Arial"/>
                <w:b/>
                <w:bCs/>
                <w:color w:val="000000"/>
                <w:szCs w:val="22"/>
              </w:rPr>
              <w:t>Індикатори (показники) результативності:</w:t>
            </w:r>
          </w:p>
        </w:tc>
        <w:tc>
          <w:tcPr>
            <w:tcW w:w="6794" w:type="dxa"/>
            <w:gridSpan w:val="9"/>
          </w:tcPr>
          <w:p w14:paraId="50C4D040" w14:textId="53706F95" w:rsidR="00CB33C7" w:rsidRPr="00CA19D0" w:rsidRDefault="00CB33C7" w:rsidP="00CA19D0">
            <w:pPr>
              <w:jc w:val="both"/>
              <w:rPr>
                <w:rFonts w:cs="Arial"/>
                <w:szCs w:val="22"/>
                <w:lang w:eastAsia="it-IT"/>
              </w:rPr>
            </w:pPr>
            <w:r w:rsidRPr="00CA19D0">
              <w:rPr>
                <w:rFonts w:eastAsia="Arial" w:cs="Arial"/>
                <w:szCs w:val="22"/>
                <w:lang w:eastAsia="en-US"/>
              </w:rPr>
              <w:t>Встановлення нового обладнання, нового насосного обладнання, ремонт трубопроводу, усунення ризику потрапляння неочищеної води в підземні та наземні воді, ліси та ґрунти.</w:t>
            </w:r>
          </w:p>
        </w:tc>
      </w:tr>
      <w:tr w:rsidR="00CB33C7" w:rsidRPr="00C2587D" w14:paraId="442E2F64" w14:textId="77777777" w:rsidTr="00EA6E27">
        <w:trPr>
          <w:jc w:val="right"/>
        </w:trPr>
        <w:tc>
          <w:tcPr>
            <w:tcW w:w="3425" w:type="dxa"/>
            <w:shd w:val="clear" w:color="auto" w:fill="FFFFFF"/>
            <w:vAlign w:val="center"/>
          </w:tcPr>
          <w:p w14:paraId="3216FE5F" w14:textId="77777777" w:rsidR="00CB33C7" w:rsidRPr="00CA19D0" w:rsidRDefault="00CB33C7" w:rsidP="00CA19D0">
            <w:pPr>
              <w:rPr>
                <w:rFonts w:cs="Arial"/>
                <w:b/>
                <w:color w:val="000000"/>
                <w:szCs w:val="22"/>
              </w:rPr>
            </w:pPr>
            <w:r w:rsidRPr="00CA19D0">
              <w:rPr>
                <w:rFonts w:cs="Arial"/>
                <w:b/>
                <w:color w:val="000000"/>
                <w:szCs w:val="22"/>
              </w:rPr>
              <w:t xml:space="preserve">Період здійснення: </w:t>
            </w:r>
          </w:p>
        </w:tc>
        <w:tc>
          <w:tcPr>
            <w:tcW w:w="6794" w:type="dxa"/>
            <w:gridSpan w:val="9"/>
            <w:vAlign w:val="center"/>
          </w:tcPr>
          <w:p w14:paraId="37293DA2" w14:textId="77777777" w:rsidR="00CB33C7" w:rsidRPr="00CA19D0" w:rsidRDefault="00CB33C7" w:rsidP="00CA19D0">
            <w:pPr>
              <w:rPr>
                <w:rFonts w:cs="Arial"/>
                <w:color w:val="000000"/>
                <w:szCs w:val="22"/>
                <w:lang w:eastAsia="it-IT"/>
              </w:rPr>
            </w:pPr>
            <w:r w:rsidRPr="00CA19D0">
              <w:rPr>
                <w:rFonts w:cs="Arial"/>
                <w:b/>
                <w:color w:val="000000"/>
                <w:szCs w:val="22"/>
              </w:rPr>
              <w:t>2025 – 2028 роки:</w:t>
            </w:r>
          </w:p>
        </w:tc>
      </w:tr>
      <w:tr w:rsidR="00CB33C7" w:rsidRPr="00C2587D" w14:paraId="017E9FCA" w14:textId="77777777" w:rsidTr="00EA6E27">
        <w:trPr>
          <w:jc w:val="right"/>
        </w:trPr>
        <w:tc>
          <w:tcPr>
            <w:tcW w:w="3425" w:type="dxa"/>
            <w:vMerge w:val="restart"/>
            <w:shd w:val="clear" w:color="auto" w:fill="FFFFFF"/>
            <w:vAlign w:val="center"/>
          </w:tcPr>
          <w:p w14:paraId="3ADCEA5E" w14:textId="77777777" w:rsidR="00CB33C7" w:rsidRPr="00CA19D0" w:rsidRDefault="00CB33C7" w:rsidP="00CA19D0">
            <w:pPr>
              <w:rPr>
                <w:rFonts w:cs="Arial"/>
                <w:b/>
                <w:bCs/>
                <w:color w:val="000000"/>
                <w:szCs w:val="22"/>
              </w:rPr>
            </w:pPr>
            <w:r w:rsidRPr="00CA19D0">
              <w:rPr>
                <w:rFonts w:cs="Arial"/>
                <w:b/>
                <w:bCs/>
                <w:color w:val="000000"/>
                <w:szCs w:val="22"/>
              </w:rPr>
              <w:t>Орієнтовна вартість проєкту, тис. грн., в тому числі:</w:t>
            </w:r>
          </w:p>
        </w:tc>
        <w:tc>
          <w:tcPr>
            <w:tcW w:w="1254" w:type="dxa"/>
            <w:gridSpan w:val="2"/>
            <w:shd w:val="clear" w:color="auto" w:fill="E6E6E6"/>
            <w:vAlign w:val="center"/>
          </w:tcPr>
          <w:p w14:paraId="4817E639" w14:textId="77777777" w:rsidR="00CB33C7" w:rsidRPr="00CA19D0" w:rsidRDefault="00CB33C7" w:rsidP="00CA19D0">
            <w:pPr>
              <w:jc w:val="center"/>
              <w:rPr>
                <w:rFonts w:cs="Arial"/>
                <w:b/>
                <w:color w:val="000000"/>
                <w:szCs w:val="22"/>
                <w:lang w:eastAsia="it-IT"/>
              </w:rPr>
            </w:pPr>
            <w:r w:rsidRPr="00CA19D0">
              <w:rPr>
                <w:rFonts w:cs="Arial"/>
                <w:b/>
                <w:color w:val="000000"/>
                <w:szCs w:val="22"/>
                <w:lang w:eastAsia="it-IT"/>
              </w:rPr>
              <w:t>2025</w:t>
            </w:r>
          </w:p>
        </w:tc>
        <w:tc>
          <w:tcPr>
            <w:tcW w:w="1412" w:type="dxa"/>
            <w:gridSpan w:val="2"/>
            <w:shd w:val="clear" w:color="auto" w:fill="E6E6E6"/>
            <w:vAlign w:val="center"/>
          </w:tcPr>
          <w:p w14:paraId="57E7FCE3" w14:textId="77777777" w:rsidR="00CB33C7" w:rsidRPr="00CA19D0" w:rsidRDefault="00CB33C7" w:rsidP="00CA19D0">
            <w:pPr>
              <w:jc w:val="center"/>
              <w:rPr>
                <w:rFonts w:cs="Arial"/>
                <w:b/>
                <w:color w:val="000000"/>
                <w:szCs w:val="22"/>
                <w:lang w:eastAsia="it-IT"/>
              </w:rPr>
            </w:pPr>
            <w:r w:rsidRPr="00CA19D0">
              <w:rPr>
                <w:rFonts w:cs="Arial"/>
                <w:b/>
                <w:color w:val="000000"/>
                <w:szCs w:val="22"/>
                <w:lang w:eastAsia="it-IT"/>
              </w:rPr>
              <w:t>2026</w:t>
            </w:r>
          </w:p>
        </w:tc>
        <w:tc>
          <w:tcPr>
            <w:tcW w:w="1281" w:type="dxa"/>
            <w:gridSpan w:val="2"/>
            <w:tcBorders>
              <w:bottom w:val="single" w:sz="4" w:space="0" w:color="auto"/>
            </w:tcBorders>
            <w:shd w:val="clear" w:color="auto" w:fill="E6E6E6"/>
            <w:vAlign w:val="center"/>
          </w:tcPr>
          <w:p w14:paraId="79DD64AE" w14:textId="77777777" w:rsidR="00CB33C7" w:rsidRPr="00CA19D0" w:rsidRDefault="00CB33C7" w:rsidP="00CA19D0">
            <w:pPr>
              <w:jc w:val="center"/>
              <w:rPr>
                <w:rFonts w:cs="Arial"/>
                <w:b/>
                <w:color w:val="000000"/>
                <w:szCs w:val="22"/>
                <w:lang w:eastAsia="it-IT"/>
              </w:rPr>
            </w:pPr>
            <w:r w:rsidRPr="00CA19D0">
              <w:rPr>
                <w:rFonts w:cs="Arial"/>
                <w:b/>
                <w:color w:val="000000"/>
                <w:szCs w:val="22"/>
                <w:lang w:eastAsia="it-IT"/>
              </w:rPr>
              <w:t>2027</w:t>
            </w:r>
          </w:p>
        </w:tc>
        <w:tc>
          <w:tcPr>
            <w:tcW w:w="1276" w:type="dxa"/>
            <w:gridSpan w:val="2"/>
            <w:shd w:val="clear" w:color="auto" w:fill="E6E6E6"/>
            <w:vAlign w:val="center"/>
          </w:tcPr>
          <w:p w14:paraId="3D6C6DB5" w14:textId="77777777" w:rsidR="00CB33C7" w:rsidRPr="00CA19D0" w:rsidRDefault="00CB33C7" w:rsidP="00CA19D0">
            <w:pPr>
              <w:jc w:val="center"/>
              <w:rPr>
                <w:rFonts w:cs="Arial"/>
                <w:b/>
                <w:color w:val="000000"/>
                <w:szCs w:val="22"/>
                <w:lang w:eastAsia="it-IT"/>
              </w:rPr>
            </w:pPr>
            <w:r w:rsidRPr="00CA19D0">
              <w:rPr>
                <w:rFonts w:cs="Arial"/>
                <w:b/>
                <w:color w:val="000000"/>
                <w:szCs w:val="22"/>
                <w:lang w:eastAsia="it-IT"/>
              </w:rPr>
              <w:t>2028</w:t>
            </w:r>
          </w:p>
        </w:tc>
        <w:tc>
          <w:tcPr>
            <w:tcW w:w="1571" w:type="dxa"/>
            <w:shd w:val="clear" w:color="auto" w:fill="E6E6E6"/>
            <w:vAlign w:val="center"/>
          </w:tcPr>
          <w:p w14:paraId="03B99465" w14:textId="77777777" w:rsidR="00CB33C7" w:rsidRPr="00CA19D0" w:rsidRDefault="00CB33C7" w:rsidP="00CA19D0">
            <w:pPr>
              <w:jc w:val="center"/>
              <w:rPr>
                <w:rFonts w:cs="Arial"/>
                <w:b/>
                <w:color w:val="000000"/>
                <w:szCs w:val="22"/>
                <w:lang w:eastAsia="it-IT"/>
              </w:rPr>
            </w:pPr>
            <w:r w:rsidRPr="00CA19D0">
              <w:rPr>
                <w:rFonts w:cs="Arial"/>
                <w:b/>
                <w:color w:val="000000"/>
                <w:szCs w:val="22"/>
                <w:lang w:eastAsia="it-IT"/>
              </w:rPr>
              <w:t>РАЗОМ</w:t>
            </w:r>
          </w:p>
        </w:tc>
      </w:tr>
      <w:tr w:rsidR="00CB33C7" w:rsidRPr="00C2587D" w14:paraId="7DBF5023" w14:textId="77777777" w:rsidTr="00EA6E27">
        <w:trPr>
          <w:jc w:val="right"/>
        </w:trPr>
        <w:tc>
          <w:tcPr>
            <w:tcW w:w="3425" w:type="dxa"/>
            <w:vMerge/>
            <w:shd w:val="clear" w:color="auto" w:fill="FFFFFF"/>
            <w:vAlign w:val="center"/>
          </w:tcPr>
          <w:p w14:paraId="71C4CB97" w14:textId="77777777" w:rsidR="00CB33C7" w:rsidRPr="00CA19D0" w:rsidRDefault="00CB33C7" w:rsidP="00CA19D0">
            <w:pPr>
              <w:rPr>
                <w:rFonts w:cs="Arial"/>
                <w:b/>
                <w:bCs/>
                <w:color w:val="000000"/>
                <w:szCs w:val="22"/>
              </w:rPr>
            </w:pPr>
          </w:p>
        </w:tc>
        <w:tc>
          <w:tcPr>
            <w:tcW w:w="1254" w:type="dxa"/>
            <w:gridSpan w:val="2"/>
            <w:vAlign w:val="center"/>
          </w:tcPr>
          <w:p w14:paraId="25C35D70" w14:textId="77777777" w:rsidR="00CB33C7" w:rsidRPr="00CA19D0" w:rsidRDefault="00CB33C7" w:rsidP="00CA19D0">
            <w:pPr>
              <w:jc w:val="center"/>
              <w:rPr>
                <w:rFonts w:cs="Arial"/>
                <w:b/>
                <w:color w:val="000000"/>
                <w:szCs w:val="22"/>
                <w:lang w:eastAsia="it-IT"/>
              </w:rPr>
            </w:pPr>
          </w:p>
        </w:tc>
        <w:tc>
          <w:tcPr>
            <w:tcW w:w="1412" w:type="dxa"/>
            <w:gridSpan w:val="2"/>
            <w:shd w:val="clear" w:color="auto" w:fill="FFFFFF"/>
            <w:vAlign w:val="center"/>
          </w:tcPr>
          <w:p w14:paraId="52E46130" w14:textId="77777777" w:rsidR="00CB33C7" w:rsidRPr="00CA19D0" w:rsidRDefault="00CB33C7" w:rsidP="00CA19D0">
            <w:pPr>
              <w:jc w:val="center"/>
              <w:rPr>
                <w:rFonts w:cs="Arial"/>
                <w:b/>
                <w:color w:val="000000"/>
                <w:szCs w:val="22"/>
                <w:lang w:eastAsia="it-IT"/>
              </w:rPr>
            </w:pPr>
          </w:p>
        </w:tc>
        <w:tc>
          <w:tcPr>
            <w:tcW w:w="1281" w:type="dxa"/>
            <w:gridSpan w:val="2"/>
            <w:shd w:val="clear" w:color="auto" w:fill="auto"/>
            <w:vAlign w:val="center"/>
          </w:tcPr>
          <w:p w14:paraId="1E713D90" w14:textId="77777777" w:rsidR="00CB33C7" w:rsidRPr="00CA19D0" w:rsidRDefault="00CB33C7" w:rsidP="00CA19D0">
            <w:pPr>
              <w:jc w:val="center"/>
              <w:rPr>
                <w:rFonts w:cs="Arial"/>
                <w:b/>
                <w:color w:val="000000"/>
                <w:szCs w:val="22"/>
                <w:lang w:eastAsia="it-IT"/>
              </w:rPr>
            </w:pPr>
          </w:p>
        </w:tc>
        <w:tc>
          <w:tcPr>
            <w:tcW w:w="1276" w:type="dxa"/>
            <w:gridSpan w:val="2"/>
            <w:shd w:val="clear" w:color="auto" w:fill="FFFFFF"/>
            <w:vAlign w:val="center"/>
          </w:tcPr>
          <w:p w14:paraId="79538FF5" w14:textId="77777777" w:rsidR="00CB33C7" w:rsidRPr="00CA19D0" w:rsidRDefault="00CB33C7" w:rsidP="00CA19D0">
            <w:pPr>
              <w:jc w:val="center"/>
              <w:rPr>
                <w:rFonts w:cs="Arial"/>
                <w:b/>
                <w:color w:val="000000"/>
                <w:szCs w:val="22"/>
                <w:lang w:eastAsia="it-IT"/>
              </w:rPr>
            </w:pPr>
            <w:r w:rsidRPr="00CA19D0">
              <w:rPr>
                <w:rFonts w:eastAsia="Arial" w:cs="Arial"/>
                <w:b/>
                <w:szCs w:val="22"/>
              </w:rPr>
              <w:t>12000,00</w:t>
            </w:r>
          </w:p>
        </w:tc>
        <w:tc>
          <w:tcPr>
            <w:tcW w:w="1571" w:type="dxa"/>
            <w:shd w:val="clear" w:color="auto" w:fill="FFFFFF"/>
            <w:vAlign w:val="center"/>
          </w:tcPr>
          <w:p w14:paraId="15C69142" w14:textId="77777777" w:rsidR="00CB33C7" w:rsidRPr="00CA19D0" w:rsidRDefault="00CB33C7" w:rsidP="00CA19D0">
            <w:pPr>
              <w:jc w:val="center"/>
              <w:rPr>
                <w:rFonts w:cs="Arial"/>
                <w:b/>
                <w:color w:val="000000"/>
                <w:szCs w:val="22"/>
                <w:lang w:eastAsia="it-IT"/>
              </w:rPr>
            </w:pPr>
            <w:r w:rsidRPr="00CA19D0">
              <w:rPr>
                <w:rFonts w:eastAsia="Arial" w:cs="Arial"/>
                <w:b/>
                <w:szCs w:val="22"/>
              </w:rPr>
              <w:t>12000,00</w:t>
            </w:r>
          </w:p>
        </w:tc>
      </w:tr>
      <w:tr w:rsidR="00CB33C7" w:rsidRPr="00C2587D" w14:paraId="1686D13E" w14:textId="77777777" w:rsidTr="00EA6E27">
        <w:trPr>
          <w:trHeight w:val="276"/>
          <w:jc w:val="right"/>
        </w:trPr>
        <w:tc>
          <w:tcPr>
            <w:tcW w:w="3425" w:type="dxa"/>
            <w:shd w:val="clear" w:color="auto" w:fill="FFFFFF"/>
            <w:vAlign w:val="center"/>
          </w:tcPr>
          <w:p w14:paraId="2F7253A4" w14:textId="77777777" w:rsidR="00CB33C7" w:rsidRPr="00CA19D0" w:rsidRDefault="00CB33C7" w:rsidP="00CA19D0">
            <w:pPr>
              <w:rPr>
                <w:rFonts w:cs="Arial"/>
                <w:b/>
                <w:bCs/>
                <w:color w:val="000000"/>
                <w:szCs w:val="22"/>
              </w:rPr>
            </w:pPr>
            <w:r w:rsidRPr="00CA19D0">
              <w:rPr>
                <w:rFonts w:cs="Arial"/>
                <w:b/>
                <w:bCs/>
                <w:color w:val="000000"/>
                <w:szCs w:val="22"/>
              </w:rPr>
              <w:t>по джерелах фінансування:</w:t>
            </w:r>
          </w:p>
        </w:tc>
        <w:tc>
          <w:tcPr>
            <w:tcW w:w="6794" w:type="dxa"/>
            <w:gridSpan w:val="9"/>
            <w:vAlign w:val="center"/>
          </w:tcPr>
          <w:p w14:paraId="4FFF770B" w14:textId="77777777" w:rsidR="00CB33C7" w:rsidRPr="00CA19D0" w:rsidRDefault="00CB33C7" w:rsidP="00CA19D0">
            <w:pPr>
              <w:jc w:val="both"/>
              <w:rPr>
                <w:rFonts w:cs="Arial"/>
                <w:color w:val="000000"/>
                <w:szCs w:val="22"/>
                <w:lang w:eastAsia="it-IT"/>
              </w:rPr>
            </w:pPr>
          </w:p>
        </w:tc>
      </w:tr>
      <w:tr w:rsidR="00CA19D0" w:rsidRPr="00C2587D" w14:paraId="6949BE68" w14:textId="3FD28928" w:rsidTr="00CA19D0">
        <w:trPr>
          <w:trHeight w:val="240"/>
          <w:jc w:val="right"/>
        </w:trPr>
        <w:tc>
          <w:tcPr>
            <w:tcW w:w="3425" w:type="dxa"/>
            <w:shd w:val="clear" w:color="auto" w:fill="FFFFFF"/>
            <w:vAlign w:val="center"/>
          </w:tcPr>
          <w:p w14:paraId="4D15EEBF" w14:textId="77777777" w:rsidR="00CA19D0" w:rsidRPr="00CA19D0" w:rsidRDefault="00CA19D0" w:rsidP="00CA19D0">
            <w:pPr>
              <w:rPr>
                <w:rFonts w:cs="Arial"/>
                <w:b/>
                <w:bCs/>
                <w:color w:val="000000"/>
                <w:szCs w:val="22"/>
              </w:rPr>
            </w:pPr>
            <w:r w:rsidRPr="00CA19D0">
              <w:rPr>
                <w:rFonts w:cs="Arial"/>
                <w:color w:val="000000"/>
                <w:szCs w:val="22"/>
              </w:rPr>
              <w:t>- державний бюджет</w:t>
            </w:r>
          </w:p>
        </w:tc>
        <w:tc>
          <w:tcPr>
            <w:tcW w:w="1233" w:type="dxa"/>
            <w:vAlign w:val="center"/>
          </w:tcPr>
          <w:p w14:paraId="5D74EA34" w14:textId="0A09A9D1" w:rsidR="00CA19D0" w:rsidRPr="00CA19D0" w:rsidRDefault="00CA19D0" w:rsidP="00CA19D0">
            <w:pPr>
              <w:jc w:val="both"/>
              <w:rPr>
                <w:rFonts w:cs="Arial"/>
                <w:color w:val="000000"/>
                <w:szCs w:val="22"/>
                <w:lang w:eastAsia="it-IT"/>
              </w:rPr>
            </w:pPr>
          </w:p>
        </w:tc>
        <w:tc>
          <w:tcPr>
            <w:tcW w:w="1417" w:type="dxa"/>
            <w:gridSpan w:val="2"/>
            <w:vAlign w:val="center"/>
          </w:tcPr>
          <w:p w14:paraId="4322F098" w14:textId="2F36BDC3" w:rsidR="00CA19D0" w:rsidRPr="00CA19D0" w:rsidRDefault="00CA19D0" w:rsidP="00CA19D0">
            <w:pPr>
              <w:jc w:val="both"/>
              <w:rPr>
                <w:rFonts w:cs="Arial"/>
                <w:color w:val="000000"/>
                <w:szCs w:val="22"/>
                <w:lang w:eastAsia="it-IT"/>
              </w:rPr>
            </w:pPr>
          </w:p>
        </w:tc>
        <w:tc>
          <w:tcPr>
            <w:tcW w:w="1279" w:type="dxa"/>
            <w:gridSpan w:val="2"/>
            <w:vAlign w:val="center"/>
          </w:tcPr>
          <w:p w14:paraId="13B300C1" w14:textId="39246E7E" w:rsidR="00CA19D0" w:rsidRPr="00CA19D0" w:rsidRDefault="00CA19D0" w:rsidP="00CA19D0">
            <w:pPr>
              <w:jc w:val="both"/>
              <w:rPr>
                <w:rFonts w:cs="Arial"/>
                <w:color w:val="000000"/>
                <w:szCs w:val="22"/>
                <w:lang w:eastAsia="it-IT"/>
              </w:rPr>
            </w:pPr>
          </w:p>
        </w:tc>
        <w:tc>
          <w:tcPr>
            <w:tcW w:w="1244" w:type="dxa"/>
            <w:gridSpan w:val="2"/>
          </w:tcPr>
          <w:p w14:paraId="2962DFC1" w14:textId="087037A1" w:rsidR="00CA19D0" w:rsidRPr="00CA19D0" w:rsidRDefault="00CA19D0" w:rsidP="00CA19D0">
            <w:pPr>
              <w:ind w:left="102"/>
              <w:jc w:val="center"/>
              <w:rPr>
                <w:rFonts w:cs="Arial"/>
                <w:color w:val="000000"/>
                <w:szCs w:val="22"/>
                <w:lang w:eastAsia="it-IT"/>
              </w:rPr>
            </w:pPr>
            <w:r w:rsidRPr="00CA19D0">
              <w:rPr>
                <w:rFonts w:eastAsia="Arial" w:cs="Arial"/>
                <w:szCs w:val="22"/>
              </w:rPr>
              <w:t>2000,00</w:t>
            </w:r>
          </w:p>
        </w:tc>
        <w:tc>
          <w:tcPr>
            <w:tcW w:w="1621" w:type="dxa"/>
            <w:gridSpan w:val="2"/>
          </w:tcPr>
          <w:p w14:paraId="0AE48F70" w14:textId="162444CD" w:rsidR="00CA19D0" w:rsidRPr="00CA19D0" w:rsidRDefault="00CA19D0" w:rsidP="00CA19D0">
            <w:pPr>
              <w:ind w:left="102"/>
              <w:jc w:val="center"/>
              <w:rPr>
                <w:rFonts w:cs="Arial"/>
                <w:b/>
                <w:color w:val="000000"/>
                <w:szCs w:val="22"/>
                <w:lang w:eastAsia="it-IT"/>
              </w:rPr>
            </w:pPr>
            <w:r w:rsidRPr="00CA19D0">
              <w:rPr>
                <w:rFonts w:eastAsia="Arial" w:cs="Arial"/>
                <w:b/>
                <w:szCs w:val="22"/>
              </w:rPr>
              <w:t>2000,00</w:t>
            </w:r>
          </w:p>
        </w:tc>
      </w:tr>
      <w:tr w:rsidR="00CA19D0" w:rsidRPr="00C2587D" w14:paraId="31339554" w14:textId="75F06070" w:rsidTr="00CA19D0">
        <w:trPr>
          <w:trHeight w:val="254"/>
          <w:jc w:val="right"/>
        </w:trPr>
        <w:tc>
          <w:tcPr>
            <w:tcW w:w="3425" w:type="dxa"/>
            <w:shd w:val="clear" w:color="auto" w:fill="FFFFFF"/>
            <w:vAlign w:val="center"/>
          </w:tcPr>
          <w:p w14:paraId="4D1A7CBD" w14:textId="77777777" w:rsidR="00CA19D0" w:rsidRPr="00CA19D0" w:rsidRDefault="00CA19D0" w:rsidP="00CA19D0">
            <w:pPr>
              <w:rPr>
                <w:rFonts w:cs="Arial"/>
                <w:color w:val="000000"/>
                <w:szCs w:val="22"/>
              </w:rPr>
            </w:pPr>
            <w:r w:rsidRPr="00CA19D0">
              <w:rPr>
                <w:rFonts w:cs="Arial"/>
                <w:color w:val="000000"/>
                <w:szCs w:val="22"/>
              </w:rPr>
              <w:t>- обласний бюджет</w:t>
            </w:r>
          </w:p>
        </w:tc>
        <w:tc>
          <w:tcPr>
            <w:tcW w:w="1233" w:type="dxa"/>
            <w:vAlign w:val="center"/>
          </w:tcPr>
          <w:p w14:paraId="0C303A27" w14:textId="77777777" w:rsidR="00CA19D0" w:rsidRPr="00CA19D0" w:rsidRDefault="00CA19D0" w:rsidP="00CA19D0">
            <w:pPr>
              <w:jc w:val="both"/>
              <w:rPr>
                <w:rFonts w:cs="Arial"/>
                <w:color w:val="000000"/>
                <w:szCs w:val="22"/>
                <w:lang w:eastAsia="it-IT"/>
              </w:rPr>
            </w:pPr>
          </w:p>
        </w:tc>
        <w:tc>
          <w:tcPr>
            <w:tcW w:w="1417" w:type="dxa"/>
            <w:gridSpan w:val="2"/>
            <w:vAlign w:val="center"/>
          </w:tcPr>
          <w:p w14:paraId="21B8ED94" w14:textId="77777777" w:rsidR="00CA19D0" w:rsidRPr="00CA19D0" w:rsidRDefault="00CA19D0" w:rsidP="00CA19D0">
            <w:pPr>
              <w:jc w:val="both"/>
              <w:rPr>
                <w:rFonts w:cs="Arial"/>
                <w:color w:val="000000"/>
                <w:szCs w:val="22"/>
                <w:lang w:eastAsia="it-IT"/>
              </w:rPr>
            </w:pPr>
          </w:p>
        </w:tc>
        <w:tc>
          <w:tcPr>
            <w:tcW w:w="1279" w:type="dxa"/>
            <w:gridSpan w:val="2"/>
            <w:vAlign w:val="center"/>
          </w:tcPr>
          <w:p w14:paraId="1F7867BE" w14:textId="77777777" w:rsidR="00CA19D0" w:rsidRPr="00CA19D0" w:rsidRDefault="00CA19D0" w:rsidP="00CA19D0">
            <w:pPr>
              <w:jc w:val="both"/>
              <w:rPr>
                <w:rFonts w:cs="Arial"/>
                <w:color w:val="000000"/>
                <w:szCs w:val="22"/>
                <w:lang w:eastAsia="it-IT"/>
              </w:rPr>
            </w:pPr>
          </w:p>
        </w:tc>
        <w:tc>
          <w:tcPr>
            <w:tcW w:w="1244" w:type="dxa"/>
            <w:gridSpan w:val="2"/>
          </w:tcPr>
          <w:p w14:paraId="5DA805A7" w14:textId="77777777" w:rsidR="00CA19D0" w:rsidRPr="00CA19D0" w:rsidRDefault="00CA19D0" w:rsidP="00CA19D0">
            <w:pPr>
              <w:ind w:left="102"/>
              <w:jc w:val="center"/>
              <w:rPr>
                <w:rFonts w:cs="Arial"/>
                <w:color w:val="000000"/>
                <w:szCs w:val="22"/>
                <w:lang w:eastAsia="it-IT"/>
              </w:rPr>
            </w:pPr>
          </w:p>
        </w:tc>
        <w:tc>
          <w:tcPr>
            <w:tcW w:w="1621" w:type="dxa"/>
            <w:gridSpan w:val="2"/>
          </w:tcPr>
          <w:p w14:paraId="21B0A6CB" w14:textId="77777777" w:rsidR="00CA19D0" w:rsidRPr="00CA19D0" w:rsidRDefault="00CA19D0" w:rsidP="00CA19D0">
            <w:pPr>
              <w:ind w:left="102"/>
              <w:jc w:val="center"/>
              <w:rPr>
                <w:rFonts w:cs="Arial"/>
                <w:b/>
                <w:color w:val="000000"/>
                <w:szCs w:val="22"/>
                <w:lang w:eastAsia="it-IT"/>
              </w:rPr>
            </w:pPr>
          </w:p>
        </w:tc>
      </w:tr>
      <w:tr w:rsidR="00CA19D0" w:rsidRPr="00C2587D" w14:paraId="5C407150" w14:textId="460F024B" w:rsidTr="00CA19D0">
        <w:trPr>
          <w:trHeight w:val="275"/>
          <w:jc w:val="right"/>
        </w:trPr>
        <w:tc>
          <w:tcPr>
            <w:tcW w:w="3425" w:type="dxa"/>
            <w:shd w:val="clear" w:color="auto" w:fill="FFFFFF"/>
            <w:vAlign w:val="center"/>
          </w:tcPr>
          <w:p w14:paraId="22F482F8" w14:textId="77777777" w:rsidR="00CA19D0" w:rsidRPr="00CA19D0" w:rsidRDefault="00CA19D0" w:rsidP="00CA19D0">
            <w:pPr>
              <w:rPr>
                <w:rFonts w:cs="Arial"/>
                <w:color w:val="000000"/>
                <w:szCs w:val="22"/>
              </w:rPr>
            </w:pPr>
            <w:r w:rsidRPr="00CA19D0">
              <w:rPr>
                <w:rFonts w:cs="Arial"/>
                <w:color w:val="000000"/>
                <w:szCs w:val="22"/>
              </w:rPr>
              <w:t>- бюджет Жмеринської МТГ</w:t>
            </w:r>
          </w:p>
        </w:tc>
        <w:tc>
          <w:tcPr>
            <w:tcW w:w="1233" w:type="dxa"/>
            <w:vAlign w:val="center"/>
          </w:tcPr>
          <w:p w14:paraId="19513A90" w14:textId="175AB9FB" w:rsidR="00CA19D0" w:rsidRPr="00CA19D0" w:rsidRDefault="00CA19D0" w:rsidP="00CA19D0">
            <w:pPr>
              <w:jc w:val="both"/>
              <w:rPr>
                <w:rFonts w:cs="Arial"/>
                <w:color w:val="000000"/>
                <w:szCs w:val="22"/>
                <w:lang w:eastAsia="it-IT"/>
              </w:rPr>
            </w:pPr>
          </w:p>
        </w:tc>
        <w:tc>
          <w:tcPr>
            <w:tcW w:w="1417" w:type="dxa"/>
            <w:gridSpan w:val="2"/>
            <w:vAlign w:val="center"/>
          </w:tcPr>
          <w:p w14:paraId="539F5BEF" w14:textId="0A36832E" w:rsidR="00CA19D0" w:rsidRPr="00CA19D0" w:rsidRDefault="00CA19D0" w:rsidP="00CA19D0">
            <w:pPr>
              <w:jc w:val="both"/>
              <w:rPr>
                <w:rFonts w:cs="Arial"/>
                <w:color w:val="000000"/>
                <w:szCs w:val="22"/>
                <w:lang w:eastAsia="it-IT"/>
              </w:rPr>
            </w:pPr>
          </w:p>
        </w:tc>
        <w:tc>
          <w:tcPr>
            <w:tcW w:w="1279" w:type="dxa"/>
            <w:gridSpan w:val="2"/>
            <w:vAlign w:val="center"/>
          </w:tcPr>
          <w:p w14:paraId="0CED0E93" w14:textId="17DC3C36" w:rsidR="00CA19D0" w:rsidRPr="00CA19D0" w:rsidRDefault="00CA19D0" w:rsidP="00CA19D0">
            <w:pPr>
              <w:jc w:val="both"/>
              <w:rPr>
                <w:rFonts w:cs="Arial"/>
                <w:color w:val="000000"/>
                <w:szCs w:val="22"/>
                <w:lang w:eastAsia="it-IT"/>
              </w:rPr>
            </w:pPr>
          </w:p>
        </w:tc>
        <w:tc>
          <w:tcPr>
            <w:tcW w:w="1244" w:type="dxa"/>
            <w:gridSpan w:val="2"/>
          </w:tcPr>
          <w:p w14:paraId="654D551C" w14:textId="2E55C6E4" w:rsidR="00CA19D0" w:rsidRPr="00CA19D0" w:rsidRDefault="00CA19D0" w:rsidP="00CA19D0">
            <w:pPr>
              <w:ind w:left="102"/>
              <w:jc w:val="center"/>
              <w:rPr>
                <w:rFonts w:cs="Arial"/>
                <w:color w:val="000000"/>
                <w:szCs w:val="22"/>
                <w:lang w:eastAsia="it-IT"/>
              </w:rPr>
            </w:pPr>
            <w:r w:rsidRPr="00CA19D0">
              <w:rPr>
                <w:rFonts w:eastAsia="Arial" w:cs="Arial"/>
                <w:szCs w:val="22"/>
              </w:rPr>
              <w:t>10000,00</w:t>
            </w:r>
          </w:p>
        </w:tc>
        <w:tc>
          <w:tcPr>
            <w:tcW w:w="1621" w:type="dxa"/>
            <w:gridSpan w:val="2"/>
          </w:tcPr>
          <w:p w14:paraId="48D7CE9D" w14:textId="25F7CBE5" w:rsidR="00CA19D0" w:rsidRPr="00CA19D0" w:rsidRDefault="00CA19D0" w:rsidP="00CA19D0">
            <w:pPr>
              <w:ind w:left="102"/>
              <w:jc w:val="center"/>
              <w:rPr>
                <w:rFonts w:cs="Arial"/>
                <w:b/>
                <w:color w:val="000000"/>
                <w:szCs w:val="22"/>
                <w:lang w:eastAsia="it-IT"/>
              </w:rPr>
            </w:pPr>
            <w:r w:rsidRPr="00CA19D0">
              <w:rPr>
                <w:rFonts w:eastAsia="Arial" w:cs="Arial"/>
                <w:b/>
                <w:szCs w:val="22"/>
              </w:rPr>
              <w:t>10000,00</w:t>
            </w:r>
          </w:p>
        </w:tc>
      </w:tr>
      <w:tr w:rsidR="00CA19D0" w:rsidRPr="00C2587D" w14:paraId="6EAD2C36" w14:textId="3518BB8C" w:rsidTr="00CA19D0">
        <w:trPr>
          <w:trHeight w:val="226"/>
          <w:jc w:val="right"/>
        </w:trPr>
        <w:tc>
          <w:tcPr>
            <w:tcW w:w="3425" w:type="dxa"/>
            <w:shd w:val="clear" w:color="auto" w:fill="FFFFFF"/>
            <w:vAlign w:val="center"/>
          </w:tcPr>
          <w:p w14:paraId="2F480373" w14:textId="77777777" w:rsidR="00CA19D0" w:rsidRPr="00CA19D0" w:rsidRDefault="00CA19D0" w:rsidP="00CA19D0">
            <w:pPr>
              <w:rPr>
                <w:rFonts w:cs="Arial"/>
                <w:color w:val="000000"/>
                <w:szCs w:val="22"/>
              </w:rPr>
            </w:pPr>
            <w:r w:rsidRPr="00CA19D0">
              <w:rPr>
                <w:rFonts w:cs="Arial"/>
                <w:color w:val="000000"/>
                <w:szCs w:val="22"/>
              </w:rPr>
              <w:t>- інші джерела фінансування</w:t>
            </w:r>
          </w:p>
        </w:tc>
        <w:tc>
          <w:tcPr>
            <w:tcW w:w="1233" w:type="dxa"/>
            <w:vAlign w:val="center"/>
          </w:tcPr>
          <w:p w14:paraId="78B91024" w14:textId="77777777" w:rsidR="00CA19D0" w:rsidRPr="00CA19D0" w:rsidRDefault="00CA19D0" w:rsidP="00CA19D0">
            <w:pPr>
              <w:jc w:val="both"/>
              <w:rPr>
                <w:rFonts w:cs="Arial"/>
                <w:color w:val="000000"/>
                <w:szCs w:val="22"/>
                <w:lang w:eastAsia="it-IT"/>
              </w:rPr>
            </w:pPr>
          </w:p>
        </w:tc>
        <w:tc>
          <w:tcPr>
            <w:tcW w:w="1417" w:type="dxa"/>
            <w:gridSpan w:val="2"/>
            <w:vAlign w:val="center"/>
          </w:tcPr>
          <w:p w14:paraId="268D6CD9" w14:textId="77777777" w:rsidR="00CA19D0" w:rsidRPr="00CA19D0" w:rsidRDefault="00CA19D0" w:rsidP="00CA19D0">
            <w:pPr>
              <w:jc w:val="both"/>
              <w:rPr>
                <w:rFonts w:cs="Arial"/>
                <w:color w:val="000000"/>
                <w:szCs w:val="22"/>
                <w:lang w:eastAsia="it-IT"/>
              </w:rPr>
            </w:pPr>
          </w:p>
        </w:tc>
        <w:tc>
          <w:tcPr>
            <w:tcW w:w="1279" w:type="dxa"/>
            <w:gridSpan w:val="2"/>
            <w:vAlign w:val="center"/>
          </w:tcPr>
          <w:p w14:paraId="6494393C" w14:textId="77777777" w:rsidR="00CA19D0" w:rsidRPr="00CA19D0" w:rsidRDefault="00CA19D0" w:rsidP="00CA19D0">
            <w:pPr>
              <w:jc w:val="both"/>
              <w:rPr>
                <w:rFonts w:cs="Arial"/>
                <w:color w:val="000000"/>
                <w:szCs w:val="22"/>
                <w:lang w:eastAsia="it-IT"/>
              </w:rPr>
            </w:pPr>
          </w:p>
        </w:tc>
        <w:tc>
          <w:tcPr>
            <w:tcW w:w="1244" w:type="dxa"/>
            <w:gridSpan w:val="2"/>
          </w:tcPr>
          <w:p w14:paraId="351F4281" w14:textId="77777777" w:rsidR="00CA19D0" w:rsidRPr="00CA19D0" w:rsidRDefault="00CA19D0" w:rsidP="00CA19D0">
            <w:pPr>
              <w:ind w:left="102"/>
              <w:jc w:val="center"/>
              <w:rPr>
                <w:rFonts w:cs="Arial"/>
                <w:color w:val="000000"/>
                <w:szCs w:val="22"/>
                <w:lang w:eastAsia="it-IT"/>
              </w:rPr>
            </w:pPr>
          </w:p>
        </w:tc>
        <w:tc>
          <w:tcPr>
            <w:tcW w:w="1621" w:type="dxa"/>
            <w:gridSpan w:val="2"/>
          </w:tcPr>
          <w:p w14:paraId="10DFB46B" w14:textId="77777777" w:rsidR="00CA19D0" w:rsidRPr="00CA19D0" w:rsidRDefault="00CA19D0" w:rsidP="00CA19D0">
            <w:pPr>
              <w:ind w:left="102"/>
              <w:jc w:val="center"/>
              <w:rPr>
                <w:rFonts w:cs="Arial"/>
                <w:b/>
                <w:color w:val="000000"/>
                <w:szCs w:val="22"/>
                <w:lang w:eastAsia="it-IT"/>
              </w:rPr>
            </w:pPr>
          </w:p>
        </w:tc>
      </w:tr>
      <w:tr w:rsidR="00CB33C7" w:rsidRPr="00C2587D" w14:paraId="5DFF87EC" w14:textId="77777777" w:rsidTr="00EA6E27">
        <w:trPr>
          <w:jc w:val="right"/>
        </w:trPr>
        <w:tc>
          <w:tcPr>
            <w:tcW w:w="3425" w:type="dxa"/>
            <w:shd w:val="clear" w:color="auto" w:fill="FFFFFF"/>
            <w:vAlign w:val="center"/>
          </w:tcPr>
          <w:p w14:paraId="04860CA1" w14:textId="77777777" w:rsidR="00CB33C7" w:rsidRPr="00CA19D0" w:rsidRDefault="00CB33C7" w:rsidP="00CA19D0">
            <w:pPr>
              <w:rPr>
                <w:rFonts w:cs="Arial"/>
                <w:b/>
                <w:bCs/>
                <w:color w:val="000000"/>
                <w:szCs w:val="22"/>
              </w:rPr>
            </w:pPr>
            <w:r w:rsidRPr="00CA19D0">
              <w:rPr>
                <w:rFonts w:cs="Arial"/>
                <w:b/>
                <w:color w:val="000000"/>
                <w:szCs w:val="22"/>
              </w:rPr>
              <w:t>Відповідальний виконавець проєкту:</w:t>
            </w:r>
          </w:p>
        </w:tc>
        <w:tc>
          <w:tcPr>
            <w:tcW w:w="6794" w:type="dxa"/>
            <w:gridSpan w:val="9"/>
            <w:vAlign w:val="center"/>
          </w:tcPr>
          <w:p w14:paraId="0C060521" w14:textId="0CFE4E90" w:rsidR="00CB33C7" w:rsidRPr="00CA19D0" w:rsidRDefault="00CB33C7" w:rsidP="00CA19D0">
            <w:pPr>
              <w:jc w:val="both"/>
              <w:rPr>
                <w:rFonts w:cs="Arial"/>
                <w:color w:val="000000"/>
                <w:szCs w:val="22"/>
                <w:lang w:eastAsia="it-IT"/>
              </w:rPr>
            </w:pPr>
            <w:r w:rsidRPr="00CA19D0">
              <w:rPr>
                <w:rFonts w:cs="Arial"/>
                <w:color w:val="000000"/>
                <w:szCs w:val="22"/>
                <w:lang w:eastAsia="it-IT"/>
              </w:rPr>
              <w:t>Управління ЖКГ.</w:t>
            </w:r>
          </w:p>
        </w:tc>
      </w:tr>
      <w:tr w:rsidR="00CB33C7" w:rsidRPr="00C2587D" w14:paraId="6151EBD3" w14:textId="77777777" w:rsidTr="00EA6E27">
        <w:trPr>
          <w:jc w:val="right"/>
        </w:trPr>
        <w:tc>
          <w:tcPr>
            <w:tcW w:w="3425" w:type="dxa"/>
            <w:shd w:val="clear" w:color="auto" w:fill="FFFFFF"/>
            <w:vAlign w:val="center"/>
          </w:tcPr>
          <w:p w14:paraId="2F0E46C5" w14:textId="77777777" w:rsidR="00CB33C7" w:rsidRPr="00CA19D0" w:rsidRDefault="00CB33C7" w:rsidP="00CA19D0">
            <w:pPr>
              <w:rPr>
                <w:rFonts w:cs="Arial"/>
                <w:b/>
                <w:bCs/>
                <w:color w:val="000000"/>
                <w:szCs w:val="22"/>
              </w:rPr>
            </w:pPr>
            <w:r w:rsidRPr="00CA19D0">
              <w:rPr>
                <w:rFonts w:cs="Arial"/>
                <w:b/>
                <w:bCs/>
                <w:color w:val="000000"/>
                <w:szCs w:val="22"/>
              </w:rPr>
              <w:t>Інше:</w:t>
            </w:r>
          </w:p>
        </w:tc>
        <w:tc>
          <w:tcPr>
            <w:tcW w:w="6794" w:type="dxa"/>
            <w:gridSpan w:val="9"/>
            <w:vAlign w:val="center"/>
          </w:tcPr>
          <w:p w14:paraId="7941832A" w14:textId="77777777" w:rsidR="00CB33C7" w:rsidRPr="00CA19D0" w:rsidRDefault="00CB33C7" w:rsidP="00CA19D0">
            <w:pPr>
              <w:rPr>
                <w:rFonts w:cs="Arial"/>
                <w:color w:val="000000"/>
                <w:szCs w:val="22"/>
                <w:lang w:eastAsia="it-IT"/>
              </w:rPr>
            </w:pPr>
          </w:p>
        </w:tc>
      </w:tr>
    </w:tbl>
    <w:p w14:paraId="1ED0EA60" w14:textId="02962C69" w:rsidR="00CB33C7" w:rsidRDefault="00CB33C7" w:rsidP="00CB33C7"/>
    <w:p w14:paraId="56325CDC" w14:textId="77777777" w:rsidR="00CA19D0" w:rsidRPr="00C2587D" w:rsidRDefault="00CA19D0" w:rsidP="00CB33C7"/>
    <w:p w14:paraId="01380141" w14:textId="77777777" w:rsidR="00CB33C7" w:rsidRPr="00C2587D" w:rsidRDefault="00CB33C7" w:rsidP="00CB33C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5C94D428" w14:textId="77777777" w:rsidR="00CB33C7" w:rsidRPr="00C2587D" w:rsidRDefault="00CB33C7" w:rsidP="00CB33C7">
      <w:pPr>
        <w:jc w:val="center"/>
        <w:rPr>
          <w:rFonts w:cs="Arial"/>
          <w:b/>
          <w:color w:val="000000"/>
          <w:szCs w:val="22"/>
        </w:rPr>
      </w:pPr>
      <w:r w:rsidRPr="00C2587D">
        <w:rPr>
          <w:rFonts w:cs="Arial"/>
          <w:b/>
          <w:color w:val="000000"/>
          <w:szCs w:val="22"/>
        </w:rPr>
        <w:t>до Плану заходів з реалізації Стратегії</w:t>
      </w:r>
    </w:p>
    <w:p w14:paraId="549BEF8D" w14:textId="77777777" w:rsidR="00CB33C7" w:rsidRPr="00C2587D" w:rsidRDefault="00CB33C7" w:rsidP="00CB33C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117"/>
        <w:gridCol w:w="1158"/>
        <w:gridCol w:w="17"/>
        <w:gridCol w:w="1401"/>
        <w:gridCol w:w="39"/>
        <w:gridCol w:w="1231"/>
        <w:gridCol w:w="6"/>
        <w:gridCol w:w="1571"/>
      </w:tblGrid>
      <w:tr w:rsidR="00CB33C7" w:rsidRPr="00C2587D" w14:paraId="0C153ECA" w14:textId="77777777" w:rsidTr="00EA6E27">
        <w:trPr>
          <w:jc w:val="right"/>
        </w:trPr>
        <w:tc>
          <w:tcPr>
            <w:tcW w:w="3425" w:type="dxa"/>
            <w:vAlign w:val="center"/>
          </w:tcPr>
          <w:p w14:paraId="7D41E489" w14:textId="77777777" w:rsidR="00CB33C7" w:rsidRPr="00A60AEA" w:rsidRDefault="00CB33C7" w:rsidP="00A60AEA">
            <w:pPr>
              <w:rPr>
                <w:rFonts w:cs="Arial"/>
                <w:b/>
                <w:bCs/>
                <w:color w:val="000000"/>
                <w:szCs w:val="22"/>
              </w:rPr>
            </w:pPr>
            <w:r w:rsidRPr="00A60AEA">
              <w:rPr>
                <w:rFonts w:cs="Arial"/>
                <w:b/>
                <w:bCs/>
                <w:color w:val="000000"/>
                <w:szCs w:val="22"/>
              </w:rPr>
              <w:t>Назва проєкту:</w:t>
            </w:r>
          </w:p>
        </w:tc>
        <w:tc>
          <w:tcPr>
            <w:tcW w:w="6794" w:type="dxa"/>
            <w:gridSpan w:val="9"/>
          </w:tcPr>
          <w:p w14:paraId="63E966AF" w14:textId="77777777" w:rsidR="00CB33C7" w:rsidRPr="00A60AEA" w:rsidRDefault="00CB33C7" w:rsidP="00A60AEA">
            <w:pPr>
              <w:rPr>
                <w:rFonts w:cs="Arial"/>
                <w:b/>
                <w:szCs w:val="22"/>
                <w:lang w:eastAsia="it-IT"/>
              </w:rPr>
            </w:pPr>
            <w:r w:rsidRPr="00A60AEA">
              <w:rPr>
                <w:rFonts w:eastAsia="Arial" w:cs="Arial"/>
                <w:b/>
                <w:szCs w:val="22"/>
              </w:rPr>
              <w:t>Нове будівництво мереж водопостачання по вул. Асмолова в м. Жмеринка Вінницької області</w:t>
            </w:r>
          </w:p>
        </w:tc>
      </w:tr>
      <w:tr w:rsidR="00CB33C7" w:rsidRPr="00C2587D" w14:paraId="769004E1" w14:textId="77777777" w:rsidTr="00EA6E27">
        <w:trPr>
          <w:jc w:val="right"/>
        </w:trPr>
        <w:tc>
          <w:tcPr>
            <w:tcW w:w="3425" w:type="dxa"/>
          </w:tcPr>
          <w:p w14:paraId="26167E7C" w14:textId="77777777" w:rsidR="00CB33C7" w:rsidRPr="00A60AEA" w:rsidRDefault="00CB33C7" w:rsidP="00A60AEA">
            <w:pPr>
              <w:rPr>
                <w:rFonts w:cs="Arial"/>
                <w:szCs w:val="22"/>
                <w:lang w:eastAsia="it-IT"/>
              </w:rPr>
            </w:pPr>
            <w:r w:rsidRPr="00A60AEA">
              <w:rPr>
                <w:rFonts w:cs="Arial"/>
                <w:b/>
                <w:bCs/>
                <w:szCs w:val="22"/>
              </w:rPr>
              <w:t>Ваші контакти</w:t>
            </w:r>
            <w:r w:rsidRPr="00A60AEA">
              <w:rPr>
                <w:rFonts w:cs="Arial"/>
                <w:szCs w:val="22"/>
                <w:lang w:eastAsia="it-IT"/>
              </w:rPr>
              <w:t>:</w:t>
            </w:r>
          </w:p>
          <w:p w14:paraId="47FF303D" w14:textId="77777777" w:rsidR="00CB33C7" w:rsidRPr="00A60AEA" w:rsidRDefault="00CB33C7" w:rsidP="00A60AEA">
            <w:pPr>
              <w:rPr>
                <w:rFonts w:cs="Arial"/>
                <w:b/>
                <w:bCs/>
                <w:szCs w:val="22"/>
              </w:rPr>
            </w:pPr>
            <w:r w:rsidRPr="00A60AEA">
              <w:rPr>
                <w:rFonts w:cs="Arial"/>
                <w:szCs w:val="22"/>
                <w:lang w:eastAsia="it-IT"/>
              </w:rPr>
              <w:t>Назва установи, організації, підприємства</w:t>
            </w:r>
          </w:p>
        </w:tc>
        <w:tc>
          <w:tcPr>
            <w:tcW w:w="6794" w:type="dxa"/>
            <w:gridSpan w:val="9"/>
          </w:tcPr>
          <w:p w14:paraId="23EA8228" w14:textId="77777777" w:rsidR="00CB33C7" w:rsidRPr="00A60AEA" w:rsidRDefault="00CB33C7" w:rsidP="00A60AEA">
            <w:pPr>
              <w:rPr>
                <w:rFonts w:cs="Arial"/>
                <w:szCs w:val="22"/>
                <w:lang w:eastAsia="it-IT"/>
              </w:rPr>
            </w:pPr>
            <w:r w:rsidRPr="00A60AEA">
              <w:rPr>
                <w:rFonts w:cs="Arial"/>
                <w:szCs w:val="22"/>
                <w:lang w:eastAsia="it-IT"/>
              </w:rPr>
              <w:t>Управління житлово-комунального господарства Жмеринської міської ради</w:t>
            </w:r>
          </w:p>
        </w:tc>
      </w:tr>
      <w:tr w:rsidR="00CB33C7" w:rsidRPr="00C2587D" w14:paraId="7C022AB2" w14:textId="77777777" w:rsidTr="00EA6E27">
        <w:trPr>
          <w:jc w:val="right"/>
        </w:trPr>
        <w:tc>
          <w:tcPr>
            <w:tcW w:w="3425" w:type="dxa"/>
          </w:tcPr>
          <w:p w14:paraId="0E182F77" w14:textId="77777777" w:rsidR="00CB33C7" w:rsidRPr="00A60AEA" w:rsidRDefault="00CB33C7" w:rsidP="00A60AEA">
            <w:pPr>
              <w:rPr>
                <w:rFonts w:cs="Arial"/>
                <w:b/>
                <w:bCs/>
                <w:szCs w:val="22"/>
              </w:rPr>
            </w:pPr>
            <w:r w:rsidRPr="00A60AEA">
              <w:rPr>
                <w:rFonts w:cs="Arial"/>
                <w:szCs w:val="22"/>
                <w:lang w:eastAsia="it-IT"/>
              </w:rPr>
              <w:t>Прізвище Ім’я По-батькові:</w:t>
            </w:r>
          </w:p>
        </w:tc>
        <w:tc>
          <w:tcPr>
            <w:tcW w:w="6794" w:type="dxa"/>
            <w:gridSpan w:val="9"/>
          </w:tcPr>
          <w:p w14:paraId="50E1A84B" w14:textId="77777777" w:rsidR="00CB33C7" w:rsidRPr="00A60AEA" w:rsidRDefault="00CB33C7" w:rsidP="00A60AEA">
            <w:pPr>
              <w:rPr>
                <w:rFonts w:cs="Arial"/>
                <w:szCs w:val="22"/>
                <w:lang w:eastAsia="it-IT"/>
              </w:rPr>
            </w:pPr>
            <w:r w:rsidRPr="00A60AEA">
              <w:rPr>
                <w:rFonts w:cs="Arial"/>
                <w:szCs w:val="22"/>
                <w:lang w:eastAsia="it-IT"/>
              </w:rPr>
              <w:t>Оленич Андрій Васильович</w:t>
            </w:r>
          </w:p>
        </w:tc>
      </w:tr>
      <w:tr w:rsidR="00CB33C7" w:rsidRPr="00C2587D" w14:paraId="10DA7668" w14:textId="77777777" w:rsidTr="00EA6E27">
        <w:trPr>
          <w:jc w:val="right"/>
        </w:trPr>
        <w:tc>
          <w:tcPr>
            <w:tcW w:w="3425" w:type="dxa"/>
          </w:tcPr>
          <w:p w14:paraId="7A2CEC9E" w14:textId="77777777" w:rsidR="00CB33C7" w:rsidRPr="00A60AEA" w:rsidRDefault="00CB33C7" w:rsidP="00A60AEA">
            <w:pPr>
              <w:rPr>
                <w:rFonts w:cs="Arial"/>
                <w:b/>
                <w:bCs/>
                <w:szCs w:val="22"/>
              </w:rPr>
            </w:pPr>
            <w:r w:rsidRPr="00A60AEA">
              <w:rPr>
                <w:rFonts w:cs="Arial"/>
                <w:szCs w:val="22"/>
                <w:lang w:eastAsia="it-IT"/>
              </w:rPr>
              <w:t>Телефон (мобільний):</w:t>
            </w:r>
          </w:p>
        </w:tc>
        <w:tc>
          <w:tcPr>
            <w:tcW w:w="6794" w:type="dxa"/>
            <w:gridSpan w:val="9"/>
          </w:tcPr>
          <w:p w14:paraId="287E5047" w14:textId="77777777" w:rsidR="00CB33C7" w:rsidRPr="00A60AEA" w:rsidRDefault="00CB33C7" w:rsidP="00A60AEA">
            <w:pPr>
              <w:rPr>
                <w:rFonts w:cs="Arial"/>
                <w:szCs w:val="22"/>
                <w:lang w:eastAsia="it-IT"/>
              </w:rPr>
            </w:pPr>
            <w:r w:rsidRPr="00A60AEA">
              <w:rPr>
                <w:rFonts w:cs="Arial"/>
                <w:szCs w:val="22"/>
                <w:lang w:eastAsia="it-IT"/>
              </w:rPr>
              <w:t>0972561907</w:t>
            </w:r>
          </w:p>
        </w:tc>
      </w:tr>
      <w:tr w:rsidR="00CB33C7" w:rsidRPr="00C2587D" w14:paraId="3F3570E8" w14:textId="77777777" w:rsidTr="00EA6E27">
        <w:trPr>
          <w:jc w:val="right"/>
        </w:trPr>
        <w:tc>
          <w:tcPr>
            <w:tcW w:w="3425" w:type="dxa"/>
          </w:tcPr>
          <w:p w14:paraId="27FD399E" w14:textId="77777777" w:rsidR="00CB33C7" w:rsidRPr="00A60AEA" w:rsidRDefault="00CB33C7" w:rsidP="00A60AEA">
            <w:pPr>
              <w:rPr>
                <w:rFonts w:cs="Arial"/>
                <w:b/>
                <w:bCs/>
                <w:szCs w:val="22"/>
              </w:rPr>
            </w:pPr>
            <w:r w:rsidRPr="00A60AEA">
              <w:rPr>
                <w:rFonts w:cs="Arial"/>
                <w:szCs w:val="22"/>
                <w:lang w:eastAsia="it-IT"/>
              </w:rPr>
              <w:t>Електронна адреса:</w:t>
            </w:r>
          </w:p>
        </w:tc>
        <w:tc>
          <w:tcPr>
            <w:tcW w:w="6794" w:type="dxa"/>
            <w:gridSpan w:val="9"/>
          </w:tcPr>
          <w:p w14:paraId="389820F7" w14:textId="77777777" w:rsidR="00CB33C7" w:rsidRPr="00A60AEA" w:rsidRDefault="00D85FFD" w:rsidP="00A60AEA">
            <w:pPr>
              <w:rPr>
                <w:rFonts w:cs="Arial"/>
                <w:szCs w:val="22"/>
                <w:lang w:eastAsia="it-IT"/>
              </w:rPr>
            </w:pPr>
            <w:hyperlink r:id="rId79" w:history="1">
              <w:r w:rsidR="00CB33C7" w:rsidRPr="00A60AEA">
                <w:rPr>
                  <w:rStyle w:val="af0"/>
                  <w:rFonts w:cs="Arial"/>
                  <w:noProof w:val="0"/>
                  <w:sz w:val="22"/>
                  <w:szCs w:val="22"/>
                  <w:lang w:eastAsia="it-IT"/>
                </w:rPr>
                <w:t>Aolenych03@ukr.net</w:t>
              </w:r>
            </w:hyperlink>
          </w:p>
        </w:tc>
      </w:tr>
      <w:tr w:rsidR="00CB33C7" w:rsidRPr="00C2587D" w14:paraId="0647CD31" w14:textId="77777777" w:rsidTr="00EA6E27">
        <w:trPr>
          <w:jc w:val="right"/>
        </w:trPr>
        <w:tc>
          <w:tcPr>
            <w:tcW w:w="3425" w:type="dxa"/>
            <w:vAlign w:val="center"/>
          </w:tcPr>
          <w:p w14:paraId="00395192" w14:textId="77777777" w:rsidR="00CB33C7" w:rsidRPr="00A60AEA" w:rsidRDefault="00CB33C7" w:rsidP="00A60AEA">
            <w:pPr>
              <w:pStyle w:val="6"/>
              <w:spacing w:before="0" w:after="0"/>
              <w:rPr>
                <w:rFonts w:ascii="Arial" w:hAnsi="Arial" w:cs="Arial"/>
                <w:color w:val="000000"/>
                <w:lang w:val="uk-UA"/>
              </w:rPr>
            </w:pPr>
            <w:r w:rsidRPr="00A60AEA">
              <w:rPr>
                <w:rFonts w:ascii="Arial" w:hAnsi="Arial" w:cs="Arial"/>
                <w:color w:val="000000"/>
                <w:lang w:val="uk-UA"/>
              </w:rPr>
              <w:t>Номер і назва завдання з Стратегії</w:t>
            </w:r>
            <w:r w:rsidRPr="00A60AEA">
              <w:rPr>
                <w:rFonts w:ascii="Arial" w:hAnsi="Arial" w:cs="Arial"/>
                <w:lang w:val="uk-UA" w:eastAsia="it-IT"/>
              </w:rPr>
              <w:t xml:space="preserve"> </w:t>
            </w:r>
            <w:r w:rsidRPr="00A60AEA">
              <w:rPr>
                <w:rFonts w:ascii="Arial" w:hAnsi="Arial" w:cs="Arial"/>
                <w:color w:val="000000"/>
                <w:lang w:val="uk-UA"/>
              </w:rPr>
              <w:t>розвитку Жмеринської міської територіальної громади,  якому відповідає проєкт:</w:t>
            </w:r>
          </w:p>
        </w:tc>
        <w:tc>
          <w:tcPr>
            <w:tcW w:w="6794" w:type="dxa"/>
            <w:gridSpan w:val="9"/>
          </w:tcPr>
          <w:p w14:paraId="31FB06FC" w14:textId="77777777" w:rsidR="00CB33C7" w:rsidRPr="00A60AEA" w:rsidRDefault="00CB33C7" w:rsidP="00A60AEA">
            <w:pPr>
              <w:pBdr>
                <w:left w:val="single" w:sz="18" w:space="4" w:color="auto"/>
              </w:pBdr>
              <w:rPr>
                <w:rFonts w:cs="Arial"/>
                <w:szCs w:val="22"/>
                <w:lang w:eastAsia="it-IT"/>
              </w:rPr>
            </w:pPr>
            <w:r w:rsidRPr="00A60AEA">
              <w:rPr>
                <w:rFonts w:cs="Arial"/>
                <w:szCs w:val="22"/>
                <w:lang w:eastAsia="it-IT"/>
              </w:rPr>
              <w:t>В.1.3.1.Будівництво нових, реконструкція, капітальний ремонт, модернізація мереж централізованої системи водопостачання, водовідведення та каналізація.</w:t>
            </w:r>
          </w:p>
        </w:tc>
      </w:tr>
      <w:tr w:rsidR="00CB33C7" w:rsidRPr="00C2587D" w14:paraId="57097C68" w14:textId="77777777" w:rsidTr="00EA6E27">
        <w:trPr>
          <w:jc w:val="right"/>
        </w:trPr>
        <w:tc>
          <w:tcPr>
            <w:tcW w:w="3425" w:type="dxa"/>
            <w:vAlign w:val="center"/>
          </w:tcPr>
          <w:p w14:paraId="0B9771EC" w14:textId="77777777" w:rsidR="00CB33C7" w:rsidRPr="00A60AEA" w:rsidRDefault="00CB33C7" w:rsidP="00A60AEA">
            <w:pPr>
              <w:rPr>
                <w:rFonts w:cs="Arial"/>
                <w:b/>
                <w:bCs/>
                <w:color w:val="000000"/>
                <w:szCs w:val="22"/>
              </w:rPr>
            </w:pPr>
            <w:r w:rsidRPr="00A60AEA">
              <w:rPr>
                <w:rFonts w:cs="Arial"/>
                <w:b/>
                <w:bCs/>
                <w:color w:val="000000"/>
                <w:szCs w:val="22"/>
              </w:rPr>
              <w:t>Мета проєкту:</w:t>
            </w:r>
          </w:p>
        </w:tc>
        <w:tc>
          <w:tcPr>
            <w:tcW w:w="6794" w:type="dxa"/>
            <w:gridSpan w:val="9"/>
          </w:tcPr>
          <w:p w14:paraId="4BFA2926" w14:textId="77777777" w:rsidR="00CB33C7" w:rsidRPr="00A60AEA" w:rsidRDefault="00CB33C7" w:rsidP="00A60AEA">
            <w:pPr>
              <w:rPr>
                <w:rFonts w:cs="Arial"/>
                <w:szCs w:val="22"/>
                <w:lang w:eastAsia="it-IT"/>
              </w:rPr>
            </w:pPr>
            <w:r w:rsidRPr="00A60AEA">
              <w:rPr>
                <w:rFonts w:cs="Arial"/>
                <w:szCs w:val="22"/>
                <w:lang w:eastAsia="it-IT"/>
              </w:rPr>
              <w:t xml:space="preserve">Надання мешканцям м. Жмеринка якісних послух з водопостачання, шляхом проведення нового будівництва </w:t>
            </w:r>
            <w:r w:rsidRPr="00A60AEA">
              <w:rPr>
                <w:rFonts w:eastAsia="Arial" w:cs="Arial"/>
                <w:szCs w:val="22"/>
              </w:rPr>
              <w:t>мереж водопостачання по вул. Асмолова</w:t>
            </w:r>
          </w:p>
        </w:tc>
      </w:tr>
      <w:tr w:rsidR="00CB33C7" w:rsidRPr="00C2587D" w14:paraId="032986A9" w14:textId="77777777" w:rsidTr="00EA6E27">
        <w:trPr>
          <w:jc w:val="right"/>
        </w:trPr>
        <w:tc>
          <w:tcPr>
            <w:tcW w:w="3425" w:type="dxa"/>
            <w:vAlign w:val="center"/>
          </w:tcPr>
          <w:p w14:paraId="21F68750" w14:textId="77777777" w:rsidR="00CB33C7" w:rsidRPr="00A60AEA" w:rsidRDefault="00CB33C7" w:rsidP="00A60AEA">
            <w:pPr>
              <w:rPr>
                <w:rFonts w:cs="Arial"/>
                <w:b/>
                <w:bCs/>
                <w:color w:val="000000"/>
                <w:szCs w:val="22"/>
              </w:rPr>
            </w:pPr>
            <w:r w:rsidRPr="00A60AEA">
              <w:rPr>
                <w:rFonts w:cs="Arial"/>
                <w:b/>
                <w:bCs/>
                <w:color w:val="000000"/>
                <w:szCs w:val="22"/>
              </w:rPr>
              <w:t>Цілі проєкту:</w:t>
            </w:r>
          </w:p>
        </w:tc>
        <w:tc>
          <w:tcPr>
            <w:tcW w:w="6794" w:type="dxa"/>
            <w:gridSpan w:val="9"/>
          </w:tcPr>
          <w:p w14:paraId="09B1C043" w14:textId="77777777" w:rsidR="00CB33C7" w:rsidRPr="00A60AEA" w:rsidRDefault="00CB33C7" w:rsidP="00A60AEA">
            <w:pPr>
              <w:rPr>
                <w:rFonts w:cs="Arial"/>
                <w:szCs w:val="22"/>
                <w:lang w:eastAsia="it-IT"/>
              </w:rPr>
            </w:pPr>
            <w:r w:rsidRPr="00A60AEA">
              <w:rPr>
                <w:rFonts w:cs="Arial"/>
                <w:szCs w:val="22"/>
                <w:lang w:eastAsia="it-IT"/>
              </w:rPr>
              <w:t xml:space="preserve">Забезпечення жителів м. Жмеринка якісною питною водою в достатній кількості </w:t>
            </w:r>
          </w:p>
        </w:tc>
      </w:tr>
      <w:tr w:rsidR="00CB33C7" w:rsidRPr="00C2587D" w14:paraId="54B8079C" w14:textId="77777777" w:rsidTr="00EA6E27">
        <w:trPr>
          <w:jc w:val="right"/>
        </w:trPr>
        <w:tc>
          <w:tcPr>
            <w:tcW w:w="3425" w:type="dxa"/>
            <w:vAlign w:val="center"/>
          </w:tcPr>
          <w:p w14:paraId="6B1FBD56" w14:textId="77777777" w:rsidR="00CB33C7" w:rsidRPr="00A60AEA" w:rsidRDefault="00CB33C7" w:rsidP="00A60AEA">
            <w:pPr>
              <w:autoSpaceDE w:val="0"/>
              <w:autoSpaceDN w:val="0"/>
              <w:adjustRightInd w:val="0"/>
              <w:rPr>
                <w:rFonts w:cs="Arial"/>
                <w:b/>
                <w:color w:val="000000"/>
                <w:szCs w:val="22"/>
              </w:rPr>
            </w:pPr>
            <w:r w:rsidRPr="00A60AEA">
              <w:rPr>
                <w:rFonts w:cs="Arial"/>
                <w:b/>
                <w:color w:val="000000"/>
                <w:szCs w:val="22"/>
              </w:rPr>
              <w:t>Територія на яку проєкт матиме вплив:</w:t>
            </w:r>
          </w:p>
        </w:tc>
        <w:tc>
          <w:tcPr>
            <w:tcW w:w="6794" w:type="dxa"/>
            <w:gridSpan w:val="9"/>
          </w:tcPr>
          <w:p w14:paraId="3BAF7213" w14:textId="77777777" w:rsidR="00CB33C7" w:rsidRPr="00A60AEA" w:rsidRDefault="00CB33C7" w:rsidP="00A60AEA">
            <w:pPr>
              <w:rPr>
                <w:rFonts w:cs="Arial"/>
                <w:szCs w:val="22"/>
                <w:lang w:eastAsia="it-IT"/>
              </w:rPr>
            </w:pPr>
            <w:r w:rsidRPr="00A60AEA">
              <w:rPr>
                <w:rFonts w:cs="Arial"/>
                <w:szCs w:val="22"/>
                <w:lang w:eastAsia="it-IT"/>
              </w:rPr>
              <w:t xml:space="preserve">Територія м. Жмеринка </w:t>
            </w:r>
          </w:p>
        </w:tc>
      </w:tr>
      <w:tr w:rsidR="00CB33C7" w:rsidRPr="00C2587D" w14:paraId="4AC3E221" w14:textId="77777777" w:rsidTr="00EA6E27">
        <w:trPr>
          <w:jc w:val="right"/>
        </w:trPr>
        <w:tc>
          <w:tcPr>
            <w:tcW w:w="3425" w:type="dxa"/>
            <w:vAlign w:val="center"/>
          </w:tcPr>
          <w:p w14:paraId="3308DB2B" w14:textId="77777777" w:rsidR="00CB33C7" w:rsidRPr="00A60AEA" w:rsidRDefault="00CB33C7" w:rsidP="00A60AEA">
            <w:pPr>
              <w:autoSpaceDE w:val="0"/>
              <w:autoSpaceDN w:val="0"/>
              <w:adjustRightInd w:val="0"/>
              <w:rPr>
                <w:rFonts w:cs="Arial"/>
                <w:b/>
                <w:color w:val="000000"/>
                <w:szCs w:val="22"/>
              </w:rPr>
            </w:pPr>
            <w:r w:rsidRPr="00A60AEA">
              <w:rPr>
                <w:rFonts w:cs="Arial"/>
                <w:b/>
                <w:color w:val="000000"/>
                <w:szCs w:val="22"/>
              </w:rPr>
              <w:t>Цільові групи проєкту та кількість отримувачів вигоди</w:t>
            </w:r>
          </w:p>
        </w:tc>
        <w:tc>
          <w:tcPr>
            <w:tcW w:w="6794" w:type="dxa"/>
            <w:gridSpan w:val="9"/>
          </w:tcPr>
          <w:p w14:paraId="75CCBEE2" w14:textId="77777777" w:rsidR="00CB33C7" w:rsidRPr="00A60AEA" w:rsidRDefault="00CB33C7" w:rsidP="00A60AEA">
            <w:pPr>
              <w:rPr>
                <w:rFonts w:cs="Arial"/>
                <w:szCs w:val="22"/>
                <w:lang w:eastAsia="it-IT"/>
              </w:rPr>
            </w:pPr>
            <w:r w:rsidRPr="00A60AEA">
              <w:rPr>
                <w:rFonts w:cs="Arial"/>
                <w:szCs w:val="22"/>
                <w:lang w:eastAsia="it-IT"/>
              </w:rPr>
              <w:t xml:space="preserve">Жителі міста Жмеринка </w:t>
            </w:r>
            <w:r w:rsidRPr="00A60AEA">
              <w:rPr>
                <w:rFonts w:cs="Arial"/>
                <w:szCs w:val="22"/>
              </w:rPr>
              <w:t>34353 містян</w:t>
            </w:r>
          </w:p>
        </w:tc>
      </w:tr>
      <w:tr w:rsidR="00CB33C7" w:rsidRPr="00C2587D" w14:paraId="278F5F07" w14:textId="77777777" w:rsidTr="00EA6E27">
        <w:trPr>
          <w:jc w:val="right"/>
        </w:trPr>
        <w:tc>
          <w:tcPr>
            <w:tcW w:w="3425" w:type="dxa"/>
            <w:shd w:val="clear" w:color="auto" w:fill="FFFFFF"/>
            <w:vAlign w:val="center"/>
          </w:tcPr>
          <w:p w14:paraId="57C6F9E8" w14:textId="77777777" w:rsidR="00CB33C7" w:rsidRPr="00A60AEA" w:rsidRDefault="00CB33C7" w:rsidP="00A60AEA">
            <w:pPr>
              <w:rPr>
                <w:rFonts w:cs="Arial"/>
                <w:b/>
                <w:bCs/>
                <w:color w:val="000000"/>
                <w:szCs w:val="22"/>
              </w:rPr>
            </w:pPr>
            <w:r w:rsidRPr="00A60AEA">
              <w:rPr>
                <w:rFonts w:cs="Arial"/>
                <w:b/>
                <w:bCs/>
                <w:color w:val="000000"/>
                <w:szCs w:val="22"/>
              </w:rPr>
              <w:t>Стислий опис проєкту:</w:t>
            </w:r>
          </w:p>
        </w:tc>
        <w:tc>
          <w:tcPr>
            <w:tcW w:w="6794" w:type="dxa"/>
            <w:gridSpan w:val="9"/>
          </w:tcPr>
          <w:p w14:paraId="076E2508" w14:textId="573DCF2C" w:rsidR="00CB33C7" w:rsidRPr="00A60AEA" w:rsidRDefault="00CB33C7" w:rsidP="00A60AEA">
            <w:pPr>
              <w:jc w:val="both"/>
              <w:rPr>
                <w:rFonts w:cs="Arial"/>
                <w:szCs w:val="22"/>
                <w:lang w:eastAsia="it-IT"/>
              </w:rPr>
            </w:pPr>
            <w:r w:rsidRPr="00A60AEA">
              <w:rPr>
                <w:rFonts w:cs="Arial"/>
                <w:szCs w:val="22"/>
                <w:lang w:eastAsia="it-IT"/>
              </w:rPr>
              <w:t xml:space="preserve">Водопровідна мережа в м. Жмеринка не достатньо забезпечує жителів громади питною водою, і є мало продуктивною, більшість споживачів, особливо в літній період, не можуть отримати в повному обсязі необхідну кількість </w:t>
            </w:r>
            <w:r w:rsidR="0013105D">
              <w:rPr>
                <w:rFonts w:cs="Arial"/>
                <w:szCs w:val="22"/>
                <w:lang w:eastAsia="it-IT"/>
              </w:rPr>
              <w:t>води. При реалізації даного проє</w:t>
            </w:r>
            <w:r w:rsidRPr="00A60AEA">
              <w:rPr>
                <w:rFonts w:cs="Arial"/>
                <w:szCs w:val="22"/>
                <w:lang w:eastAsia="it-IT"/>
              </w:rPr>
              <w:t>кту. споживачі води будуть забезпечені якісною водою в повному обсязі для господарських та харчових потреб.</w:t>
            </w:r>
          </w:p>
        </w:tc>
      </w:tr>
      <w:tr w:rsidR="00CB33C7" w:rsidRPr="00C2587D" w14:paraId="3500F870" w14:textId="77777777" w:rsidTr="00EA6E27">
        <w:trPr>
          <w:jc w:val="right"/>
        </w:trPr>
        <w:tc>
          <w:tcPr>
            <w:tcW w:w="3425" w:type="dxa"/>
            <w:shd w:val="clear" w:color="auto" w:fill="FFFFFF"/>
            <w:vAlign w:val="center"/>
          </w:tcPr>
          <w:p w14:paraId="423D4F15" w14:textId="77777777" w:rsidR="00CB33C7" w:rsidRPr="00A60AEA" w:rsidRDefault="00CB33C7" w:rsidP="00A60AEA">
            <w:pPr>
              <w:rPr>
                <w:rFonts w:cs="Arial"/>
                <w:b/>
                <w:bCs/>
                <w:color w:val="000000"/>
                <w:szCs w:val="22"/>
              </w:rPr>
            </w:pPr>
            <w:r w:rsidRPr="00A60AEA">
              <w:rPr>
                <w:rFonts w:cs="Arial"/>
                <w:b/>
                <w:bCs/>
                <w:color w:val="000000"/>
                <w:szCs w:val="22"/>
              </w:rPr>
              <w:t>Основні заходи проєкту:</w:t>
            </w:r>
          </w:p>
        </w:tc>
        <w:tc>
          <w:tcPr>
            <w:tcW w:w="6794" w:type="dxa"/>
            <w:gridSpan w:val="9"/>
          </w:tcPr>
          <w:p w14:paraId="450FB3AB" w14:textId="6773D7C7" w:rsidR="00CB33C7" w:rsidRPr="00A60AEA" w:rsidRDefault="00CB33C7" w:rsidP="00A60AEA">
            <w:pPr>
              <w:jc w:val="both"/>
              <w:rPr>
                <w:rFonts w:cs="Arial"/>
                <w:szCs w:val="22"/>
                <w:lang w:eastAsia="it-IT"/>
              </w:rPr>
            </w:pPr>
            <w:r w:rsidRPr="00A60AEA">
              <w:rPr>
                <w:rFonts w:cs="Arial"/>
                <w:szCs w:val="22"/>
                <w:lang w:eastAsia="it-IT"/>
              </w:rPr>
              <w:t>Створення робочо</w:t>
            </w:r>
            <w:r w:rsidR="0013105D">
              <w:rPr>
                <w:rFonts w:cs="Arial"/>
                <w:szCs w:val="22"/>
                <w:lang w:eastAsia="it-IT"/>
              </w:rPr>
              <w:t>ї групи з питань реалізації проє</w:t>
            </w:r>
            <w:r w:rsidRPr="00A60AEA">
              <w:rPr>
                <w:rFonts w:cs="Arial"/>
                <w:szCs w:val="22"/>
                <w:lang w:eastAsia="it-IT"/>
              </w:rPr>
              <w:t xml:space="preserve">кту. </w:t>
            </w:r>
          </w:p>
          <w:p w14:paraId="066C7533" w14:textId="77777777" w:rsidR="00CB33C7" w:rsidRPr="00A60AEA" w:rsidRDefault="00CB33C7" w:rsidP="00A60AEA">
            <w:pPr>
              <w:jc w:val="both"/>
              <w:rPr>
                <w:rFonts w:cs="Arial"/>
                <w:szCs w:val="22"/>
                <w:lang w:eastAsia="it-IT"/>
              </w:rPr>
            </w:pPr>
            <w:r w:rsidRPr="00A60AEA">
              <w:rPr>
                <w:rFonts w:cs="Arial"/>
                <w:szCs w:val="22"/>
                <w:lang w:eastAsia="it-IT"/>
              </w:rPr>
              <w:t>Проведення процедури закупівель (визначення виконавця робіт).</w:t>
            </w:r>
          </w:p>
          <w:p w14:paraId="09D8E359" w14:textId="77777777" w:rsidR="00CB33C7" w:rsidRPr="00A60AEA" w:rsidRDefault="00CB33C7" w:rsidP="00A60AEA">
            <w:pPr>
              <w:jc w:val="both"/>
              <w:rPr>
                <w:rFonts w:cs="Arial"/>
                <w:szCs w:val="22"/>
                <w:lang w:eastAsia="it-IT"/>
              </w:rPr>
            </w:pPr>
            <w:r w:rsidRPr="00A60AEA">
              <w:rPr>
                <w:rFonts w:cs="Arial"/>
                <w:szCs w:val="22"/>
                <w:lang w:eastAsia="it-IT"/>
              </w:rPr>
              <w:t>Укладення договорів з виконавцем робіт, організаціями, що здійснюватимуть  технічний та авторський  нагляд .</w:t>
            </w:r>
          </w:p>
          <w:p w14:paraId="60967B30" w14:textId="77777777" w:rsidR="00CB33C7" w:rsidRPr="00A60AEA" w:rsidRDefault="00CB33C7" w:rsidP="00A60AEA">
            <w:pPr>
              <w:jc w:val="both"/>
              <w:rPr>
                <w:rFonts w:cs="Arial"/>
                <w:szCs w:val="22"/>
                <w:lang w:eastAsia="it-IT"/>
              </w:rPr>
            </w:pPr>
            <w:r w:rsidRPr="00A60AEA">
              <w:rPr>
                <w:rFonts w:cs="Arial"/>
                <w:szCs w:val="22"/>
                <w:lang w:eastAsia="it-IT"/>
              </w:rPr>
              <w:t xml:space="preserve">Виконання робіт з </w:t>
            </w:r>
            <w:r w:rsidRPr="00A60AEA">
              <w:rPr>
                <w:rFonts w:eastAsia="Arial" w:cs="Arial"/>
                <w:szCs w:val="22"/>
              </w:rPr>
              <w:t>нового будівництва мереж водопостачання по вул. Асмолова в м. Жмеринка Вінницької області</w:t>
            </w:r>
          </w:p>
          <w:p w14:paraId="0800C093" w14:textId="77777777" w:rsidR="00CB33C7" w:rsidRPr="00A60AEA" w:rsidRDefault="00CB33C7" w:rsidP="00A60AEA">
            <w:pPr>
              <w:jc w:val="both"/>
              <w:rPr>
                <w:rFonts w:cs="Arial"/>
                <w:szCs w:val="22"/>
                <w:lang w:eastAsia="it-IT"/>
              </w:rPr>
            </w:pPr>
            <w:r w:rsidRPr="00A60AEA">
              <w:rPr>
                <w:rFonts w:cs="Arial"/>
                <w:szCs w:val="22"/>
                <w:lang w:eastAsia="it-IT"/>
              </w:rPr>
              <w:t>Введення  об’єкту в експлуатацію .</w:t>
            </w:r>
          </w:p>
          <w:p w14:paraId="1FE87C9B" w14:textId="7B108F42" w:rsidR="00CB33C7" w:rsidRPr="00A60AEA" w:rsidRDefault="00CB33C7" w:rsidP="00A60AEA">
            <w:pPr>
              <w:jc w:val="both"/>
              <w:rPr>
                <w:rFonts w:cs="Arial"/>
                <w:szCs w:val="22"/>
                <w:lang w:eastAsia="it-IT"/>
              </w:rPr>
            </w:pPr>
            <w:r w:rsidRPr="00A60AEA">
              <w:rPr>
                <w:rFonts w:cs="Arial"/>
                <w:szCs w:val="22"/>
                <w:lang w:eastAsia="it-IT"/>
              </w:rPr>
              <w:t xml:space="preserve">Проведення інформаційних заходів (розміщення  </w:t>
            </w:r>
            <w:r w:rsidR="0013105D">
              <w:rPr>
                <w:rFonts w:cs="Arial"/>
                <w:szCs w:val="22"/>
                <w:lang w:eastAsia="it-IT"/>
              </w:rPr>
              <w:t>інформації  про реалізацію  проє</w:t>
            </w:r>
            <w:r w:rsidRPr="00A60AEA">
              <w:rPr>
                <w:rFonts w:cs="Arial"/>
                <w:szCs w:val="22"/>
                <w:lang w:eastAsia="it-IT"/>
              </w:rPr>
              <w:t>кту у ЗМІ) .</w:t>
            </w:r>
          </w:p>
        </w:tc>
      </w:tr>
      <w:tr w:rsidR="00CB33C7" w:rsidRPr="00C2587D" w14:paraId="33A480E1" w14:textId="77777777" w:rsidTr="00EA6E27">
        <w:trPr>
          <w:jc w:val="right"/>
        </w:trPr>
        <w:tc>
          <w:tcPr>
            <w:tcW w:w="3425" w:type="dxa"/>
            <w:shd w:val="clear" w:color="auto" w:fill="FFFFFF"/>
            <w:vAlign w:val="center"/>
          </w:tcPr>
          <w:p w14:paraId="0147A806" w14:textId="77777777" w:rsidR="00CB33C7" w:rsidRPr="00A60AEA" w:rsidRDefault="00CB33C7" w:rsidP="00A60AEA">
            <w:pPr>
              <w:rPr>
                <w:rFonts w:cs="Arial"/>
                <w:b/>
                <w:bCs/>
                <w:color w:val="000000"/>
                <w:szCs w:val="22"/>
              </w:rPr>
            </w:pPr>
            <w:r w:rsidRPr="00A60AEA">
              <w:rPr>
                <w:rFonts w:cs="Arial"/>
                <w:b/>
                <w:bCs/>
                <w:color w:val="000000"/>
                <w:szCs w:val="22"/>
              </w:rPr>
              <w:t>Індикатори (показники) результативності:</w:t>
            </w:r>
          </w:p>
        </w:tc>
        <w:tc>
          <w:tcPr>
            <w:tcW w:w="6794" w:type="dxa"/>
            <w:gridSpan w:val="9"/>
          </w:tcPr>
          <w:p w14:paraId="35059EA9" w14:textId="413F2B94" w:rsidR="00CB33C7" w:rsidRPr="00A60AEA" w:rsidRDefault="00CB33C7" w:rsidP="007E3992">
            <w:pPr>
              <w:jc w:val="both"/>
              <w:rPr>
                <w:rFonts w:cs="Arial"/>
                <w:szCs w:val="22"/>
                <w:lang w:eastAsia="it-IT"/>
              </w:rPr>
            </w:pPr>
            <w:r w:rsidRPr="00A60AEA">
              <w:rPr>
                <w:rFonts w:cs="Arial"/>
                <w:szCs w:val="22"/>
                <w:lang w:eastAsia="it-IT"/>
              </w:rPr>
              <w:t>Будівництво водопровідної мереж</w:t>
            </w:r>
            <w:r w:rsidR="007E3992">
              <w:rPr>
                <w:rFonts w:cs="Arial"/>
                <w:szCs w:val="22"/>
                <w:lang w:eastAsia="it-IT"/>
              </w:rPr>
              <w:t>і протяжністю 2 км. буріння 1 свердловини</w:t>
            </w:r>
            <w:r w:rsidRPr="00A60AEA">
              <w:rPr>
                <w:rFonts w:cs="Arial"/>
                <w:szCs w:val="22"/>
                <w:lang w:eastAsia="it-IT"/>
              </w:rPr>
              <w:t xml:space="preserve"> та підключення 30 нових споживачів.</w:t>
            </w:r>
          </w:p>
        </w:tc>
      </w:tr>
      <w:tr w:rsidR="00CB33C7" w:rsidRPr="00C2587D" w14:paraId="0D0EB847" w14:textId="77777777" w:rsidTr="00EA6E27">
        <w:trPr>
          <w:jc w:val="right"/>
        </w:trPr>
        <w:tc>
          <w:tcPr>
            <w:tcW w:w="3425" w:type="dxa"/>
            <w:shd w:val="clear" w:color="auto" w:fill="FFFFFF"/>
            <w:vAlign w:val="center"/>
          </w:tcPr>
          <w:p w14:paraId="48F101A8" w14:textId="77777777" w:rsidR="00CB33C7" w:rsidRPr="00A60AEA" w:rsidRDefault="00CB33C7" w:rsidP="00A60AEA">
            <w:pPr>
              <w:rPr>
                <w:rFonts w:cs="Arial"/>
                <w:b/>
                <w:color w:val="000000"/>
                <w:szCs w:val="22"/>
              </w:rPr>
            </w:pPr>
            <w:r w:rsidRPr="00A60AEA">
              <w:rPr>
                <w:rFonts w:cs="Arial"/>
                <w:b/>
                <w:color w:val="000000"/>
                <w:szCs w:val="22"/>
              </w:rPr>
              <w:t xml:space="preserve">Період здійснення: </w:t>
            </w:r>
          </w:p>
        </w:tc>
        <w:tc>
          <w:tcPr>
            <w:tcW w:w="6794" w:type="dxa"/>
            <w:gridSpan w:val="9"/>
            <w:vAlign w:val="center"/>
          </w:tcPr>
          <w:p w14:paraId="60D957EB" w14:textId="77777777" w:rsidR="00CB33C7" w:rsidRPr="00A60AEA" w:rsidRDefault="00CB33C7" w:rsidP="00A60AEA">
            <w:pPr>
              <w:rPr>
                <w:rFonts w:cs="Arial"/>
                <w:color w:val="000000"/>
                <w:szCs w:val="22"/>
                <w:lang w:eastAsia="it-IT"/>
              </w:rPr>
            </w:pPr>
            <w:r w:rsidRPr="00A60AEA">
              <w:rPr>
                <w:rFonts w:cs="Arial"/>
                <w:b/>
                <w:color w:val="000000"/>
                <w:szCs w:val="22"/>
              </w:rPr>
              <w:t>2025 – 2028 роки:</w:t>
            </w:r>
          </w:p>
        </w:tc>
      </w:tr>
      <w:tr w:rsidR="00CB33C7" w:rsidRPr="00C2587D" w14:paraId="6924B874" w14:textId="77777777" w:rsidTr="00EA6E27">
        <w:trPr>
          <w:jc w:val="right"/>
        </w:trPr>
        <w:tc>
          <w:tcPr>
            <w:tcW w:w="3425" w:type="dxa"/>
            <w:vMerge w:val="restart"/>
            <w:shd w:val="clear" w:color="auto" w:fill="FFFFFF"/>
            <w:vAlign w:val="center"/>
          </w:tcPr>
          <w:p w14:paraId="08C03079" w14:textId="77777777" w:rsidR="00CB33C7" w:rsidRPr="00A60AEA" w:rsidRDefault="00CB33C7" w:rsidP="00A60AEA">
            <w:pPr>
              <w:rPr>
                <w:rFonts w:cs="Arial"/>
                <w:b/>
                <w:bCs/>
                <w:color w:val="000000"/>
                <w:szCs w:val="22"/>
              </w:rPr>
            </w:pPr>
            <w:r w:rsidRPr="00A60AEA">
              <w:rPr>
                <w:rFonts w:cs="Arial"/>
                <w:b/>
                <w:bCs/>
                <w:color w:val="000000"/>
                <w:szCs w:val="22"/>
              </w:rPr>
              <w:t>Орієнтовна вартість проєкту, тис. грн., в тому числі:</w:t>
            </w:r>
          </w:p>
        </w:tc>
        <w:tc>
          <w:tcPr>
            <w:tcW w:w="1254" w:type="dxa"/>
            <w:shd w:val="clear" w:color="auto" w:fill="E6E6E6"/>
            <w:vAlign w:val="center"/>
          </w:tcPr>
          <w:p w14:paraId="501039AB" w14:textId="77777777" w:rsidR="00CB33C7" w:rsidRPr="00A60AEA" w:rsidRDefault="00CB33C7" w:rsidP="00A60AEA">
            <w:pPr>
              <w:jc w:val="center"/>
              <w:rPr>
                <w:rFonts w:cs="Arial"/>
                <w:b/>
                <w:color w:val="000000"/>
                <w:szCs w:val="22"/>
                <w:lang w:eastAsia="it-IT"/>
              </w:rPr>
            </w:pPr>
            <w:r w:rsidRPr="00A60AEA">
              <w:rPr>
                <w:rFonts w:cs="Arial"/>
                <w:b/>
                <w:color w:val="000000"/>
                <w:szCs w:val="22"/>
                <w:lang w:eastAsia="it-IT"/>
              </w:rPr>
              <w:t>2025</w:t>
            </w:r>
          </w:p>
        </w:tc>
        <w:tc>
          <w:tcPr>
            <w:tcW w:w="1275" w:type="dxa"/>
            <w:gridSpan w:val="2"/>
            <w:shd w:val="clear" w:color="auto" w:fill="E6E6E6"/>
            <w:vAlign w:val="center"/>
          </w:tcPr>
          <w:p w14:paraId="1981394E" w14:textId="77777777" w:rsidR="00CB33C7" w:rsidRPr="00A60AEA" w:rsidRDefault="00CB33C7" w:rsidP="00A60AEA">
            <w:pPr>
              <w:jc w:val="center"/>
              <w:rPr>
                <w:rFonts w:cs="Arial"/>
                <w:b/>
                <w:color w:val="000000"/>
                <w:szCs w:val="22"/>
                <w:lang w:eastAsia="it-IT"/>
              </w:rPr>
            </w:pPr>
            <w:r w:rsidRPr="00A60AEA">
              <w:rPr>
                <w:rFonts w:cs="Arial"/>
                <w:b/>
                <w:color w:val="000000"/>
                <w:szCs w:val="22"/>
                <w:lang w:eastAsia="it-IT"/>
              </w:rPr>
              <w:t>2026</w:t>
            </w:r>
          </w:p>
        </w:tc>
        <w:tc>
          <w:tcPr>
            <w:tcW w:w="1418" w:type="dxa"/>
            <w:gridSpan w:val="2"/>
            <w:tcBorders>
              <w:bottom w:val="single" w:sz="4" w:space="0" w:color="auto"/>
            </w:tcBorders>
            <w:shd w:val="clear" w:color="auto" w:fill="E6E6E6"/>
            <w:vAlign w:val="center"/>
          </w:tcPr>
          <w:p w14:paraId="0D801332" w14:textId="77777777" w:rsidR="00CB33C7" w:rsidRPr="00A60AEA" w:rsidRDefault="00CB33C7" w:rsidP="00A60AEA">
            <w:pPr>
              <w:jc w:val="center"/>
              <w:rPr>
                <w:rFonts w:cs="Arial"/>
                <w:b/>
                <w:color w:val="000000"/>
                <w:szCs w:val="22"/>
                <w:lang w:eastAsia="it-IT"/>
              </w:rPr>
            </w:pPr>
            <w:r w:rsidRPr="00A60AEA">
              <w:rPr>
                <w:rFonts w:cs="Arial"/>
                <w:b/>
                <w:color w:val="000000"/>
                <w:szCs w:val="22"/>
                <w:lang w:eastAsia="it-IT"/>
              </w:rPr>
              <w:t>2027</w:t>
            </w:r>
          </w:p>
        </w:tc>
        <w:tc>
          <w:tcPr>
            <w:tcW w:w="1276" w:type="dxa"/>
            <w:gridSpan w:val="3"/>
            <w:shd w:val="clear" w:color="auto" w:fill="E6E6E6"/>
            <w:vAlign w:val="center"/>
          </w:tcPr>
          <w:p w14:paraId="056D1EF0" w14:textId="77777777" w:rsidR="00CB33C7" w:rsidRPr="00A60AEA" w:rsidRDefault="00CB33C7" w:rsidP="00A60AEA">
            <w:pPr>
              <w:jc w:val="center"/>
              <w:rPr>
                <w:rFonts w:cs="Arial"/>
                <w:b/>
                <w:color w:val="000000"/>
                <w:szCs w:val="22"/>
                <w:lang w:eastAsia="it-IT"/>
              </w:rPr>
            </w:pPr>
            <w:r w:rsidRPr="00A60AEA">
              <w:rPr>
                <w:rFonts w:cs="Arial"/>
                <w:b/>
                <w:color w:val="000000"/>
                <w:szCs w:val="22"/>
                <w:lang w:eastAsia="it-IT"/>
              </w:rPr>
              <w:t>2028</w:t>
            </w:r>
          </w:p>
        </w:tc>
        <w:tc>
          <w:tcPr>
            <w:tcW w:w="1571" w:type="dxa"/>
            <w:shd w:val="clear" w:color="auto" w:fill="E6E6E6"/>
            <w:vAlign w:val="center"/>
          </w:tcPr>
          <w:p w14:paraId="46489263" w14:textId="77777777" w:rsidR="00CB33C7" w:rsidRPr="00A60AEA" w:rsidRDefault="00CB33C7" w:rsidP="00A60AEA">
            <w:pPr>
              <w:jc w:val="center"/>
              <w:rPr>
                <w:rFonts w:cs="Arial"/>
                <w:b/>
                <w:color w:val="000000"/>
                <w:szCs w:val="22"/>
                <w:lang w:eastAsia="it-IT"/>
              </w:rPr>
            </w:pPr>
            <w:r w:rsidRPr="00A60AEA">
              <w:rPr>
                <w:rFonts w:cs="Arial"/>
                <w:b/>
                <w:color w:val="000000"/>
                <w:szCs w:val="22"/>
                <w:lang w:eastAsia="it-IT"/>
              </w:rPr>
              <w:t>РАЗОМ</w:t>
            </w:r>
          </w:p>
        </w:tc>
      </w:tr>
      <w:tr w:rsidR="00CB33C7" w:rsidRPr="00C2587D" w14:paraId="6D2FD4B0" w14:textId="77777777" w:rsidTr="00EA6E27">
        <w:trPr>
          <w:jc w:val="right"/>
        </w:trPr>
        <w:tc>
          <w:tcPr>
            <w:tcW w:w="3425" w:type="dxa"/>
            <w:vMerge/>
            <w:shd w:val="clear" w:color="auto" w:fill="FFFFFF"/>
            <w:vAlign w:val="center"/>
          </w:tcPr>
          <w:p w14:paraId="40C527D6" w14:textId="77777777" w:rsidR="00CB33C7" w:rsidRPr="00A60AEA" w:rsidRDefault="00CB33C7" w:rsidP="00A60AEA">
            <w:pPr>
              <w:rPr>
                <w:rFonts w:cs="Arial"/>
                <w:b/>
                <w:bCs/>
                <w:color w:val="000000"/>
                <w:szCs w:val="22"/>
              </w:rPr>
            </w:pPr>
          </w:p>
        </w:tc>
        <w:tc>
          <w:tcPr>
            <w:tcW w:w="1254" w:type="dxa"/>
            <w:vAlign w:val="center"/>
          </w:tcPr>
          <w:p w14:paraId="66961395" w14:textId="77777777" w:rsidR="00CB33C7" w:rsidRPr="00A60AEA" w:rsidRDefault="00CB33C7" w:rsidP="00A60AEA">
            <w:pPr>
              <w:jc w:val="center"/>
              <w:rPr>
                <w:rFonts w:cs="Arial"/>
                <w:b/>
                <w:color w:val="000000"/>
                <w:szCs w:val="22"/>
                <w:lang w:eastAsia="it-IT"/>
              </w:rPr>
            </w:pPr>
            <w:r w:rsidRPr="00A60AEA">
              <w:rPr>
                <w:rFonts w:cs="Arial"/>
                <w:b/>
                <w:color w:val="000000"/>
                <w:szCs w:val="22"/>
                <w:lang w:eastAsia="it-IT"/>
              </w:rPr>
              <w:t>0,00</w:t>
            </w:r>
          </w:p>
        </w:tc>
        <w:tc>
          <w:tcPr>
            <w:tcW w:w="1275" w:type="dxa"/>
            <w:gridSpan w:val="2"/>
            <w:shd w:val="clear" w:color="auto" w:fill="FFFFFF"/>
            <w:vAlign w:val="center"/>
          </w:tcPr>
          <w:p w14:paraId="267A28FA" w14:textId="77777777" w:rsidR="00CB33C7" w:rsidRPr="00A60AEA" w:rsidRDefault="00CB33C7" w:rsidP="00A60AEA">
            <w:pPr>
              <w:jc w:val="center"/>
              <w:rPr>
                <w:rFonts w:cs="Arial"/>
                <w:b/>
                <w:color w:val="000000"/>
                <w:szCs w:val="22"/>
                <w:lang w:eastAsia="it-IT"/>
              </w:rPr>
            </w:pPr>
            <w:r w:rsidRPr="00A60AEA">
              <w:rPr>
                <w:rFonts w:eastAsia="Arial" w:cs="Arial"/>
                <w:b/>
                <w:szCs w:val="22"/>
              </w:rPr>
              <w:t>15000,00</w:t>
            </w:r>
          </w:p>
        </w:tc>
        <w:tc>
          <w:tcPr>
            <w:tcW w:w="1418" w:type="dxa"/>
            <w:gridSpan w:val="2"/>
            <w:shd w:val="clear" w:color="auto" w:fill="auto"/>
            <w:vAlign w:val="center"/>
          </w:tcPr>
          <w:p w14:paraId="3782BD3D" w14:textId="77777777" w:rsidR="00CB33C7" w:rsidRPr="00A60AEA" w:rsidRDefault="00CB33C7" w:rsidP="00A60AEA">
            <w:pPr>
              <w:jc w:val="center"/>
              <w:rPr>
                <w:rFonts w:cs="Arial"/>
                <w:b/>
                <w:color w:val="000000"/>
                <w:szCs w:val="22"/>
                <w:lang w:eastAsia="it-IT"/>
              </w:rPr>
            </w:pPr>
            <w:r w:rsidRPr="00A60AEA">
              <w:rPr>
                <w:rFonts w:cs="Arial"/>
                <w:b/>
                <w:color w:val="000000"/>
                <w:szCs w:val="22"/>
                <w:lang w:eastAsia="it-IT"/>
              </w:rPr>
              <w:t>0,00</w:t>
            </w:r>
          </w:p>
        </w:tc>
        <w:tc>
          <w:tcPr>
            <w:tcW w:w="1276" w:type="dxa"/>
            <w:gridSpan w:val="3"/>
            <w:shd w:val="clear" w:color="auto" w:fill="FFFFFF"/>
            <w:vAlign w:val="center"/>
          </w:tcPr>
          <w:p w14:paraId="2DA28C67" w14:textId="77777777" w:rsidR="00CB33C7" w:rsidRPr="00A60AEA" w:rsidRDefault="00CB33C7" w:rsidP="00A60AEA">
            <w:pPr>
              <w:jc w:val="center"/>
              <w:rPr>
                <w:rFonts w:cs="Arial"/>
                <w:b/>
                <w:color w:val="000000"/>
                <w:szCs w:val="22"/>
                <w:lang w:eastAsia="it-IT"/>
              </w:rPr>
            </w:pPr>
            <w:r w:rsidRPr="00A60AEA">
              <w:rPr>
                <w:rFonts w:cs="Arial"/>
                <w:b/>
                <w:color w:val="000000"/>
                <w:szCs w:val="22"/>
                <w:lang w:eastAsia="it-IT"/>
              </w:rPr>
              <w:t>0,00</w:t>
            </w:r>
          </w:p>
        </w:tc>
        <w:tc>
          <w:tcPr>
            <w:tcW w:w="1571" w:type="dxa"/>
            <w:shd w:val="clear" w:color="auto" w:fill="FFFFFF"/>
            <w:vAlign w:val="center"/>
          </w:tcPr>
          <w:p w14:paraId="4FF10A95" w14:textId="77777777" w:rsidR="00CB33C7" w:rsidRPr="00A60AEA" w:rsidRDefault="00CB33C7" w:rsidP="00A60AEA">
            <w:pPr>
              <w:jc w:val="center"/>
              <w:rPr>
                <w:rFonts w:cs="Arial"/>
                <w:b/>
                <w:color w:val="000000"/>
                <w:szCs w:val="22"/>
                <w:lang w:eastAsia="it-IT"/>
              </w:rPr>
            </w:pPr>
            <w:r w:rsidRPr="00A60AEA">
              <w:rPr>
                <w:rFonts w:eastAsia="Arial" w:cs="Arial"/>
                <w:b/>
                <w:szCs w:val="22"/>
              </w:rPr>
              <w:t>15000,00</w:t>
            </w:r>
          </w:p>
        </w:tc>
      </w:tr>
      <w:tr w:rsidR="00CB33C7" w:rsidRPr="00C2587D" w14:paraId="2BC8A817" w14:textId="77777777" w:rsidTr="00EA6E27">
        <w:trPr>
          <w:trHeight w:val="276"/>
          <w:jc w:val="right"/>
        </w:trPr>
        <w:tc>
          <w:tcPr>
            <w:tcW w:w="3425" w:type="dxa"/>
            <w:shd w:val="clear" w:color="auto" w:fill="FFFFFF"/>
            <w:vAlign w:val="center"/>
          </w:tcPr>
          <w:p w14:paraId="5EFF469E" w14:textId="77777777" w:rsidR="00CB33C7" w:rsidRPr="00A60AEA" w:rsidRDefault="00CB33C7" w:rsidP="00A60AEA">
            <w:pPr>
              <w:rPr>
                <w:rFonts w:cs="Arial"/>
                <w:b/>
                <w:bCs/>
                <w:color w:val="000000"/>
                <w:szCs w:val="22"/>
              </w:rPr>
            </w:pPr>
            <w:r w:rsidRPr="00A60AEA">
              <w:rPr>
                <w:rFonts w:cs="Arial"/>
                <w:b/>
                <w:bCs/>
                <w:color w:val="000000"/>
                <w:szCs w:val="22"/>
              </w:rPr>
              <w:t>по джерелах фінансування:</w:t>
            </w:r>
          </w:p>
        </w:tc>
        <w:tc>
          <w:tcPr>
            <w:tcW w:w="6794" w:type="dxa"/>
            <w:gridSpan w:val="9"/>
            <w:vAlign w:val="center"/>
          </w:tcPr>
          <w:p w14:paraId="0244FDC9" w14:textId="77777777" w:rsidR="00CB33C7" w:rsidRPr="00A60AEA" w:rsidRDefault="00CB33C7" w:rsidP="00A60AEA">
            <w:pPr>
              <w:jc w:val="both"/>
              <w:rPr>
                <w:rFonts w:cs="Arial"/>
                <w:color w:val="000000"/>
                <w:szCs w:val="22"/>
                <w:lang w:eastAsia="it-IT"/>
              </w:rPr>
            </w:pPr>
          </w:p>
        </w:tc>
      </w:tr>
      <w:tr w:rsidR="007135F7" w:rsidRPr="00C2587D" w14:paraId="2E7E70DD" w14:textId="3B1DA8B6" w:rsidTr="007135F7">
        <w:trPr>
          <w:trHeight w:val="240"/>
          <w:jc w:val="right"/>
        </w:trPr>
        <w:tc>
          <w:tcPr>
            <w:tcW w:w="3425" w:type="dxa"/>
            <w:shd w:val="clear" w:color="auto" w:fill="FFFFFF"/>
            <w:vAlign w:val="center"/>
          </w:tcPr>
          <w:p w14:paraId="4BE54A4E" w14:textId="77777777" w:rsidR="007135F7" w:rsidRPr="00A60AEA" w:rsidRDefault="007135F7" w:rsidP="00A60AEA">
            <w:pPr>
              <w:rPr>
                <w:rFonts w:cs="Arial"/>
                <w:b/>
                <w:bCs/>
                <w:color w:val="000000"/>
                <w:szCs w:val="22"/>
              </w:rPr>
            </w:pPr>
            <w:r w:rsidRPr="00A60AEA">
              <w:rPr>
                <w:rFonts w:cs="Arial"/>
                <w:color w:val="000000"/>
                <w:szCs w:val="22"/>
              </w:rPr>
              <w:t>- державний бюджет</w:t>
            </w:r>
          </w:p>
        </w:tc>
        <w:tc>
          <w:tcPr>
            <w:tcW w:w="1371" w:type="dxa"/>
            <w:gridSpan w:val="2"/>
            <w:vAlign w:val="center"/>
          </w:tcPr>
          <w:p w14:paraId="36607BE9" w14:textId="7ADEC712" w:rsidR="007135F7" w:rsidRPr="00A60AEA" w:rsidRDefault="007135F7" w:rsidP="00A60AEA">
            <w:pPr>
              <w:jc w:val="both"/>
              <w:rPr>
                <w:rFonts w:cs="Arial"/>
                <w:color w:val="000000"/>
                <w:szCs w:val="22"/>
                <w:lang w:eastAsia="it-IT"/>
              </w:rPr>
            </w:pPr>
          </w:p>
        </w:tc>
        <w:tc>
          <w:tcPr>
            <w:tcW w:w="1175" w:type="dxa"/>
            <w:gridSpan w:val="2"/>
          </w:tcPr>
          <w:p w14:paraId="6447B305" w14:textId="477EF63C" w:rsidR="007135F7" w:rsidRPr="00A60AEA" w:rsidRDefault="007135F7" w:rsidP="007135F7">
            <w:pPr>
              <w:jc w:val="center"/>
              <w:rPr>
                <w:rFonts w:cs="Arial"/>
                <w:color w:val="000000"/>
                <w:szCs w:val="22"/>
                <w:lang w:eastAsia="it-IT"/>
              </w:rPr>
            </w:pPr>
            <w:r w:rsidRPr="00A60AEA">
              <w:rPr>
                <w:rFonts w:eastAsia="Arial" w:cs="Arial"/>
                <w:szCs w:val="22"/>
              </w:rPr>
              <w:t>12500,00</w:t>
            </w:r>
          </w:p>
        </w:tc>
        <w:tc>
          <w:tcPr>
            <w:tcW w:w="1440" w:type="dxa"/>
            <w:gridSpan w:val="2"/>
          </w:tcPr>
          <w:p w14:paraId="1301EDDF" w14:textId="507B6513" w:rsidR="007135F7" w:rsidRPr="00A60AEA" w:rsidRDefault="007135F7" w:rsidP="007135F7">
            <w:pPr>
              <w:jc w:val="center"/>
              <w:rPr>
                <w:rFonts w:cs="Arial"/>
                <w:color w:val="000000"/>
                <w:szCs w:val="22"/>
                <w:lang w:eastAsia="it-IT"/>
              </w:rPr>
            </w:pPr>
          </w:p>
        </w:tc>
        <w:tc>
          <w:tcPr>
            <w:tcW w:w="1231" w:type="dxa"/>
          </w:tcPr>
          <w:p w14:paraId="304ADA35" w14:textId="19ECAF17" w:rsidR="007135F7" w:rsidRPr="00A60AEA" w:rsidRDefault="007135F7" w:rsidP="007135F7">
            <w:pPr>
              <w:jc w:val="center"/>
              <w:rPr>
                <w:rFonts w:cs="Arial"/>
                <w:color w:val="000000"/>
                <w:szCs w:val="22"/>
                <w:lang w:eastAsia="it-IT"/>
              </w:rPr>
            </w:pPr>
          </w:p>
        </w:tc>
        <w:tc>
          <w:tcPr>
            <w:tcW w:w="1577" w:type="dxa"/>
            <w:gridSpan w:val="2"/>
          </w:tcPr>
          <w:p w14:paraId="7BDE191E" w14:textId="51F5C682" w:rsidR="007135F7" w:rsidRPr="007135F7" w:rsidRDefault="007135F7" w:rsidP="007135F7">
            <w:pPr>
              <w:jc w:val="center"/>
              <w:rPr>
                <w:rFonts w:cs="Arial"/>
                <w:b/>
                <w:color w:val="000000"/>
                <w:szCs w:val="22"/>
                <w:lang w:eastAsia="it-IT"/>
              </w:rPr>
            </w:pPr>
            <w:r w:rsidRPr="007135F7">
              <w:rPr>
                <w:rFonts w:eastAsia="Arial" w:cs="Arial"/>
                <w:b/>
                <w:szCs w:val="22"/>
              </w:rPr>
              <w:t>12500,00</w:t>
            </w:r>
          </w:p>
        </w:tc>
      </w:tr>
      <w:tr w:rsidR="007135F7" w:rsidRPr="00C2587D" w14:paraId="14A365EE" w14:textId="1C3D6592" w:rsidTr="007135F7">
        <w:trPr>
          <w:trHeight w:val="254"/>
          <w:jc w:val="right"/>
        </w:trPr>
        <w:tc>
          <w:tcPr>
            <w:tcW w:w="3425" w:type="dxa"/>
            <w:shd w:val="clear" w:color="auto" w:fill="FFFFFF"/>
            <w:vAlign w:val="center"/>
          </w:tcPr>
          <w:p w14:paraId="43BC923F" w14:textId="77777777" w:rsidR="007135F7" w:rsidRPr="00A60AEA" w:rsidRDefault="007135F7" w:rsidP="00A60AEA">
            <w:pPr>
              <w:rPr>
                <w:rFonts w:cs="Arial"/>
                <w:color w:val="000000"/>
                <w:szCs w:val="22"/>
              </w:rPr>
            </w:pPr>
            <w:r w:rsidRPr="00A60AEA">
              <w:rPr>
                <w:rFonts w:cs="Arial"/>
                <w:color w:val="000000"/>
                <w:szCs w:val="22"/>
              </w:rPr>
              <w:t>- обласний бюджет</w:t>
            </w:r>
          </w:p>
        </w:tc>
        <w:tc>
          <w:tcPr>
            <w:tcW w:w="1371" w:type="dxa"/>
            <w:gridSpan w:val="2"/>
            <w:vAlign w:val="center"/>
          </w:tcPr>
          <w:p w14:paraId="34434B10" w14:textId="2F953CEA" w:rsidR="007135F7" w:rsidRPr="00A60AEA" w:rsidRDefault="007135F7" w:rsidP="00A60AEA">
            <w:pPr>
              <w:jc w:val="both"/>
              <w:rPr>
                <w:rFonts w:cs="Arial"/>
                <w:color w:val="000000"/>
                <w:szCs w:val="22"/>
                <w:lang w:eastAsia="it-IT"/>
              </w:rPr>
            </w:pPr>
          </w:p>
        </w:tc>
        <w:tc>
          <w:tcPr>
            <w:tcW w:w="1175" w:type="dxa"/>
            <w:gridSpan w:val="2"/>
          </w:tcPr>
          <w:p w14:paraId="727BE424" w14:textId="1048A1DA" w:rsidR="007135F7" w:rsidRPr="00A60AEA" w:rsidRDefault="007135F7" w:rsidP="007135F7">
            <w:pPr>
              <w:jc w:val="center"/>
              <w:rPr>
                <w:rFonts w:cs="Arial"/>
                <w:color w:val="000000"/>
                <w:szCs w:val="22"/>
                <w:lang w:eastAsia="it-IT"/>
              </w:rPr>
            </w:pPr>
          </w:p>
        </w:tc>
        <w:tc>
          <w:tcPr>
            <w:tcW w:w="1440" w:type="dxa"/>
            <w:gridSpan w:val="2"/>
          </w:tcPr>
          <w:p w14:paraId="319D57CA" w14:textId="615B5335" w:rsidR="007135F7" w:rsidRPr="00A60AEA" w:rsidRDefault="007135F7" w:rsidP="007135F7">
            <w:pPr>
              <w:jc w:val="center"/>
              <w:rPr>
                <w:rFonts w:cs="Arial"/>
                <w:color w:val="000000"/>
                <w:szCs w:val="22"/>
                <w:lang w:eastAsia="it-IT"/>
              </w:rPr>
            </w:pPr>
          </w:p>
        </w:tc>
        <w:tc>
          <w:tcPr>
            <w:tcW w:w="1231" w:type="dxa"/>
          </w:tcPr>
          <w:p w14:paraId="29D728F5" w14:textId="544EB2C1" w:rsidR="007135F7" w:rsidRPr="00A60AEA" w:rsidRDefault="007135F7" w:rsidP="007135F7">
            <w:pPr>
              <w:jc w:val="center"/>
              <w:rPr>
                <w:rFonts w:cs="Arial"/>
                <w:color w:val="000000"/>
                <w:szCs w:val="22"/>
                <w:lang w:eastAsia="it-IT"/>
              </w:rPr>
            </w:pPr>
          </w:p>
        </w:tc>
        <w:tc>
          <w:tcPr>
            <w:tcW w:w="1577" w:type="dxa"/>
            <w:gridSpan w:val="2"/>
          </w:tcPr>
          <w:p w14:paraId="7A6E46EF" w14:textId="1B67CEF1" w:rsidR="007135F7" w:rsidRPr="007135F7" w:rsidRDefault="007135F7" w:rsidP="007135F7">
            <w:pPr>
              <w:jc w:val="center"/>
              <w:rPr>
                <w:rFonts w:cs="Arial"/>
                <w:b/>
                <w:color w:val="000000"/>
                <w:szCs w:val="22"/>
                <w:lang w:eastAsia="it-IT"/>
              </w:rPr>
            </w:pPr>
          </w:p>
        </w:tc>
      </w:tr>
      <w:tr w:rsidR="007135F7" w:rsidRPr="00C2587D" w14:paraId="6F96C9F2" w14:textId="5AFFCA1B" w:rsidTr="007135F7">
        <w:trPr>
          <w:trHeight w:val="275"/>
          <w:jc w:val="right"/>
        </w:trPr>
        <w:tc>
          <w:tcPr>
            <w:tcW w:w="3425" w:type="dxa"/>
            <w:shd w:val="clear" w:color="auto" w:fill="FFFFFF"/>
            <w:vAlign w:val="center"/>
          </w:tcPr>
          <w:p w14:paraId="5B8A0904" w14:textId="77777777" w:rsidR="007135F7" w:rsidRPr="00A60AEA" w:rsidRDefault="007135F7" w:rsidP="00A60AEA">
            <w:pPr>
              <w:rPr>
                <w:rFonts w:cs="Arial"/>
                <w:color w:val="000000"/>
                <w:szCs w:val="22"/>
              </w:rPr>
            </w:pPr>
            <w:r w:rsidRPr="00A60AEA">
              <w:rPr>
                <w:rFonts w:cs="Arial"/>
                <w:color w:val="000000"/>
                <w:szCs w:val="22"/>
              </w:rPr>
              <w:t>- бюджет Жмеринської МТГ</w:t>
            </w:r>
          </w:p>
        </w:tc>
        <w:tc>
          <w:tcPr>
            <w:tcW w:w="1371" w:type="dxa"/>
            <w:gridSpan w:val="2"/>
            <w:vAlign w:val="center"/>
          </w:tcPr>
          <w:p w14:paraId="5988C913" w14:textId="37F0CE2B" w:rsidR="007135F7" w:rsidRPr="00A60AEA" w:rsidRDefault="007135F7" w:rsidP="00A60AEA">
            <w:pPr>
              <w:jc w:val="both"/>
              <w:rPr>
                <w:rFonts w:cs="Arial"/>
                <w:color w:val="000000"/>
                <w:szCs w:val="22"/>
                <w:lang w:eastAsia="it-IT"/>
              </w:rPr>
            </w:pPr>
          </w:p>
        </w:tc>
        <w:tc>
          <w:tcPr>
            <w:tcW w:w="1175" w:type="dxa"/>
            <w:gridSpan w:val="2"/>
          </w:tcPr>
          <w:p w14:paraId="1FB87CCE" w14:textId="79D7F2C6" w:rsidR="007135F7" w:rsidRPr="00A60AEA" w:rsidRDefault="007135F7" w:rsidP="007135F7">
            <w:pPr>
              <w:jc w:val="center"/>
              <w:rPr>
                <w:rFonts w:cs="Arial"/>
                <w:color w:val="000000"/>
                <w:szCs w:val="22"/>
                <w:lang w:eastAsia="it-IT"/>
              </w:rPr>
            </w:pPr>
            <w:r w:rsidRPr="00A60AEA">
              <w:rPr>
                <w:rFonts w:eastAsia="Arial" w:cs="Arial"/>
                <w:szCs w:val="22"/>
              </w:rPr>
              <w:t>2500,00</w:t>
            </w:r>
          </w:p>
        </w:tc>
        <w:tc>
          <w:tcPr>
            <w:tcW w:w="1440" w:type="dxa"/>
            <w:gridSpan w:val="2"/>
          </w:tcPr>
          <w:p w14:paraId="15D0B87F" w14:textId="00EE8025" w:rsidR="007135F7" w:rsidRPr="00A60AEA" w:rsidRDefault="007135F7" w:rsidP="007135F7">
            <w:pPr>
              <w:jc w:val="center"/>
              <w:rPr>
                <w:rFonts w:cs="Arial"/>
                <w:color w:val="000000"/>
                <w:szCs w:val="22"/>
                <w:lang w:eastAsia="it-IT"/>
              </w:rPr>
            </w:pPr>
          </w:p>
        </w:tc>
        <w:tc>
          <w:tcPr>
            <w:tcW w:w="1231" w:type="dxa"/>
          </w:tcPr>
          <w:p w14:paraId="2D3F566D" w14:textId="142D6286" w:rsidR="007135F7" w:rsidRPr="00A60AEA" w:rsidRDefault="007135F7" w:rsidP="007135F7">
            <w:pPr>
              <w:jc w:val="center"/>
              <w:rPr>
                <w:rFonts w:cs="Arial"/>
                <w:color w:val="000000"/>
                <w:szCs w:val="22"/>
                <w:lang w:eastAsia="it-IT"/>
              </w:rPr>
            </w:pPr>
          </w:p>
        </w:tc>
        <w:tc>
          <w:tcPr>
            <w:tcW w:w="1577" w:type="dxa"/>
            <w:gridSpan w:val="2"/>
          </w:tcPr>
          <w:p w14:paraId="21F96073" w14:textId="1EF41098" w:rsidR="007135F7" w:rsidRPr="007135F7" w:rsidRDefault="007135F7" w:rsidP="007135F7">
            <w:pPr>
              <w:jc w:val="center"/>
              <w:rPr>
                <w:rFonts w:cs="Arial"/>
                <w:b/>
                <w:color w:val="000000"/>
                <w:szCs w:val="22"/>
                <w:lang w:eastAsia="it-IT"/>
              </w:rPr>
            </w:pPr>
            <w:r w:rsidRPr="007135F7">
              <w:rPr>
                <w:rFonts w:eastAsia="Arial" w:cs="Arial"/>
                <w:b/>
                <w:szCs w:val="22"/>
              </w:rPr>
              <w:t>2500,00</w:t>
            </w:r>
          </w:p>
        </w:tc>
      </w:tr>
      <w:tr w:rsidR="007135F7" w:rsidRPr="00C2587D" w14:paraId="3EB84374" w14:textId="029DE24D" w:rsidTr="007135F7">
        <w:trPr>
          <w:trHeight w:val="226"/>
          <w:jc w:val="right"/>
        </w:trPr>
        <w:tc>
          <w:tcPr>
            <w:tcW w:w="3425" w:type="dxa"/>
            <w:shd w:val="clear" w:color="auto" w:fill="FFFFFF"/>
            <w:vAlign w:val="center"/>
          </w:tcPr>
          <w:p w14:paraId="06CE4646" w14:textId="77777777" w:rsidR="007135F7" w:rsidRPr="00A60AEA" w:rsidRDefault="007135F7" w:rsidP="00A60AEA">
            <w:pPr>
              <w:rPr>
                <w:rFonts w:cs="Arial"/>
                <w:color w:val="000000"/>
                <w:szCs w:val="22"/>
              </w:rPr>
            </w:pPr>
            <w:r w:rsidRPr="00A60AEA">
              <w:rPr>
                <w:rFonts w:cs="Arial"/>
                <w:color w:val="000000"/>
                <w:szCs w:val="22"/>
              </w:rPr>
              <w:t>- інші джерела фінансування</w:t>
            </w:r>
          </w:p>
        </w:tc>
        <w:tc>
          <w:tcPr>
            <w:tcW w:w="1371" w:type="dxa"/>
            <w:gridSpan w:val="2"/>
            <w:vAlign w:val="center"/>
          </w:tcPr>
          <w:p w14:paraId="326A9A90" w14:textId="75314322" w:rsidR="007135F7" w:rsidRPr="00A60AEA" w:rsidRDefault="007135F7" w:rsidP="00A60AEA">
            <w:pPr>
              <w:jc w:val="both"/>
              <w:rPr>
                <w:rFonts w:cs="Arial"/>
                <w:color w:val="000000"/>
                <w:szCs w:val="22"/>
                <w:lang w:eastAsia="it-IT"/>
              </w:rPr>
            </w:pPr>
          </w:p>
        </w:tc>
        <w:tc>
          <w:tcPr>
            <w:tcW w:w="1175" w:type="dxa"/>
            <w:gridSpan w:val="2"/>
          </w:tcPr>
          <w:p w14:paraId="640F01D1" w14:textId="625D88CC" w:rsidR="007135F7" w:rsidRPr="00A60AEA" w:rsidRDefault="007135F7" w:rsidP="007135F7">
            <w:pPr>
              <w:jc w:val="center"/>
              <w:rPr>
                <w:rFonts w:cs="Arial"/>
                <w:color w:val="000000"/>
                <w:szCs w:val="22"/>
                <w:lang w:eastAsia="it-IT"/>
              </w:rPr>
            </w:pPr>
          </w:p>
        </w:tc>
        <w:tc>
          <w:tcPr>
            <w:tcW w:w="1440" w:type="dxa"/>
            <w:gridSpan w:val="2"/>
          </w:tcPr>
          <w:p w14:paraId="6F34A309" w14:textId="08EBE2CA" w:rsidR="007135F7" w:rsidRPr="00A60AEA" w:rsidRDefault="007135F7" w:rsidP="007135F7">
            <w:pPr>
              <w:jc w:val="center"/>
              <w:rPr>
                <w:rFonts w:cs="Arial"/>
                <w:color w:val="000000"/>
                <w:szCs w:val="22"/>
                <w:lang w:eastAsia="it-IT"/>
              </w:rPr>
            </w:pPr>
          </w:p>
        </w:tc>
        <w:tc>
          <w:tcPr>
            <w:tcW w:w="1231" w:type="dxa"/>
          </w:tcPr>
          <w:p w14:paraId="43986CF1" w14:textId="32093AE0" w:rsidR="007135F7" w:rsidRPr="00A60AEA" w:rsidRDefault="007135F7" w:rsidP="007135F7">
            <w:pPr>
              <w:jc w:val="center"/>
              <w:rPr>
                <w:rFonts w:cs="Arial"/>
                <w:color w:val="000000"/>
                <w:szCs w:val="22"/>
                <w:lang w:eastAsia="it-IT"/>
              </w:rPr>
            </w:pPr>
          </w:p>
        </w:tc>
        <w:tc>
          <w:tcPr>
            <w:tcW w:w="1577" w:type="dxa"/>
            <w:gridSpan w:val="2"/>
          </w:tcPr>
          <w:p w14:paraId="7DFF5546" w14:textId="3192F1FB" w:rsidR="007135F7" w:rsidRPr="007135F7" w:rsidRDefault="007135F7" w:rsidP="007135F7">
            <w:pPr>
              <w:jc w:val="center"/>
              <w:rPr>
                <w:rFonts w:cs="Arial"/>
                <w:b/>
                <w:color w:val="000000"/>
                <w:szCs w:val="22"/>
                <w:lang w:eastAsia="it-IT"/>
              </w:rPr>
            </w:pPr>
          </w:p>
        </w:tc>
      </w:tr>
      <w:tr w:rsidR="00CB33C7" w:rsidRPr="00C2587D" w14:paraId="59484936" w14:textId="77777777" w:rsidTr="00EA6E27">
        <w:trPr>
          <w:jc w:val="right"/>
        </w:trPr>
        <w:tc>
          <w:tcPr>
            <w:tcW w:w="3425" w:type="dxa"/>
            <w:shd w:val="clear" w:color="auto" w:fill="FFFFFF"/>
            <w:vAlign w:val="center"/>
          </w:tcPr>
          <w:p w14:paraId="3E009B5F" w14:textId="77777777" w:rsidR="00CB33C7" w:rsidRPr="00A60AEA" w:rsidRDefault="00CB33C7" w:rsidP="00A60AEA">
            <w:pPr>
              <w:rPr>
                <w:rFonts w:cs="Arial"/>
                <w:b/>
                <w:bCs/>
                <w:color w:val="000000"/>
                <w:szCs w:val="22"/>
              </w:rPr>
            </w:pPr>
            <w:r w:rsidRPr="00A60AEA">
              <w:rPr>
                <w:rFonts w:cs="Arial"/>
                <w:b/>
                <w:color w:val="000000"/>
                <w:szCs w:val="22"/>
              </w:rPr>
              <w:t>Відповідальний виконавець проєкту:</w:t>
            </w:r>
          </w:p>
        </w:tc>
        <w:tc>
          <w:tcPr>
            <w:tcW w:w="6794" w:type="dxa"/>
            <w:gridSpan w:val="9"/>
            <w:vAlign w:val="center"/>
          </w:tcPr>
          <w:p w14:paraId="3FDE96B4" w14:textId="0D4D972D" w:rsidR="00CB33C7" w:rsidRPr="00A60AEA" w:rsidRDefault="00CB33C7" w:rsidP="007135F7">
            <w:pPr>
              <w:jc w:val="both"/>
              <w:rPr>
                <w:rFonts w:cs="Arial"/>
                <w:color w:val="000000"/>
                <w:szCs w:val="22"/>
                <w:lang w:eastAsia="it-IT"/>
              </w:rPr>
            </w:pPr>
            <w:r w:rsidRPr="00A60AEA">
              <w:rPr>
                <w:rFonts w:cs="Arial"/>
                <w:color w:val="000000"/>
                <w:szCs w:val="22"/>
                <w:lang w:eastAsia="it-IT"/>
              </w:rPr>
              <w:t>Управління ЖКГ</w:t>
            </w:r>
          </w:p>
        </w:tc>
      </w:tr>
      <w:tr w:rsidR="00CB33C7" w:rsidRPr="00C2587D" w14:paraId="24B35876" w14:textId="77777777" w:rsidTr="00EA6E27">
        <w:trPr>
          <w:jc w:val="right"/>
        </w:trPr>
        <w:tc>
          <w:tcPr>
            <w:tcW w:w="3425" w:type="dxa"/>
            <w:shd w:val="clear" w:color="auto" w:fill="FFFFFF"/>
            <w:vAlign w:val="center"/>
          </w:tcPr>
          <w:p w14:paraId="452D83F1" w14:textId="77777777" w:rsidR="00CB33C7" w:rsidRPr="00A60AEA" w:rsidRDefault="00CB33C7" w:rsidP="00A60AEA">
            <w:pPr>
              <w:rPr>
                <w:rFonts w:cs="Arial"/>
                <w:b/>
                <w:bCs/>
                <w:color w:val="000000"/>
                <w:szCs w:val="22"/>
              </w:rPr>
            </w:pPr>
            <w:r w:rsidRPr="00A60AEA">
              <w:rPr>
                <w:rFonts w:cs="Arial"/>
                <w:b/>
                <w:bCs/>
                <w:color w:val="000000"/>
                <w:szCs w:val="22"/>
              </w:rPr>
              <w:t>Інше:</w:t>
            </w:r>
          </w:p>
        </w:tc>
        <w:tc>
          <w:tcPr>
            <w:tcW w:w="6794" w:type="dxa"/>
            <w:gridSpan w:val="9"/>
            <w:vAlign w:val="center"/>
          </w:tcPr>
          <w:p w14:paraId="6AC8640E" w14:textId="77777777" w:rsidR="00CB33C7" w:rsidRPr="00A60AEA" w:rsidRDefault="00CB33C7" w:rsidP="00A60AEA">
            <w:pPr>
              <w:rPr>
                <w:rFonts w:cs="Arial"/>
                <w:color w:val="000000"/>
                <w:szCs w:val="22"/>
                <w:lang w:eastAsia="it-IT"/>
              </w:rPr>
            </w:pPr>
          </w:p>
        </w:tc>
      </w:tr>
    </w:tbl>
    <w:p w14:paraId="20757F92" w14:textId="77777777" w:rsidR="00CB33C7" w:rsidRPr="00C2587D" w:rsidRDefault="00CB33C7" w:rsidP="00CB33C7"/>
    <w:p w14:paraId="56ABBDBC" w14:textId="77777777" w:rsidR="00CB33C7" w:rsidRPr="00C2587D" w:rsidRDefault="00CB33C7" w:rsidP="00CB33C7"/>
    <w:p w14:paraId="159AA9E5" w14:textId="77777777" w:rsidR="00CB33C7" w:rsidRPr="00C2587D" w:rsidRDefault="00CB33C7" w:rsidP="00CB33C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69746C70" w14:textId="77777777" w:rsidR="00CB33C7" w:rsidRPr="00C2587D" w:rsidRDefault="00CB33C7" w:rsidP="00CB33C7">
      <w:pPr>
        <w:jc w:val="center"/>
        <w:rPr>
          <w:rFonts w:cs="Arial"/>
          <w:b/>
          <w:color w:val="000000"/>
          <w:szCs w:val="22"/>
        </w:rPr>
      </w:pPr>
      <w:r w:rsidRPr="00C2587D">
        <w:rPr>
          <w:rFonts w:cs="Arial"/>
          <w:b/>
          <w:color w:val="000000"/>
          <w:szCs w:val="22"/>
        </w:rPr>
        <w:t>до Плану заходів з реалізації Стратегії</w:t>
      </w:r>
    </w:p>
    <w:p w14:paraId="3270F202" w14:textId="77777777" w:rsidR="00CB33C7" w:rsidRPr="00C2587D" w:rsidRDefault="00CB33C7" w:rsidP="00CB33C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3"/>
        <w:gridCol w:w="1239"/>
        <w:gridCol w:w="14"/>
        <w:gridCol w:w="1275"/>
        <w:gridCol w:w="13"/>
        <w:gridCol w:w="1405"/>
        <w:gridCol w:w="1277"/>
        <w:gridCol w:w="1573"/>
      </w:tblGrid>
      <w:tr w:rsidR="00CB33C7" w:rsidRPr="00C2587D" w14:paraId="170180F5" w14:textId="77777777" w:rsidTr="00EA6E27">
        <w:trPr>
          <w:jc w:val="right"/>
        </w:trPr>
        <w:tc>
          <w:tcPr>
            <w:tcW w:w="3425" w:type="dxa"/>
            <w:vAlign w:val="center"/>
          </w:tcPr>
          <w:p w14:paraId="32011117" w14:textId="77777777" w:rsidR="00CB33C7" w:rsidRPr="00C2587D" w:rsidRDefault="00CB33C7" w:rsidP="00EA6E27">
            <w:pPr>
              <w:rPr>
                <w:b/>
                <w:bCs/>
                <w:color w:val="000000"/>
              </w:rPr>
            </w:pPr>
            <w:r w:rsidRPr="00C2587D">
              <w:rPr>
                <w:b/>
                <w:bCs/>
                <w:color w:val="000000"/>
              </w:rPr>
              <w:t>Назва проєкту:</w:t>
            </w:r>
          </w:p>
        </w:tc>
        <w:tc>
          <w:tcPr>
            <w:tcW w:w="6794" w:type="dxa"/>
            <w:gridSpan w:val="7"/>
          </w:tcPr>
          <w:p w14:paraId="6DF97B71" w14:textId="77777777" w:rsidR="00CB33C7" w:rsidRPr="00C2587D" w:rsidRDefault="00CB33C7" w:rsidP="007E3992">
            <w:pPr>
              <w:spacing w:before="40" w:after="40"/>
              <w:jc w:val="both"/>
              <w:rPr>
                <w:b/>
                <w:lang w:eastAsia="it-IT"/>
              </w:rPr>
            </w:pPr>
            <w:r w:rsidRPr="00C2587D">
              <w:rPr>
                <w:rFonts w:eastAsia="Arial"/>
                <w:b/>
              </w:rPr>
              <w:t>Нове будівництво мереж водопостачання в с Жуківці,  Жмеринського району Вінницької області</w:t>
            </w:r>
          </w:p>
        </w:tc>
      </w:tr>
      <w:tr w:rsidR="00CB33C7" w:rsidRPr="00C2587D" w14:paraId="7049B77D" w14:textId="77777777" w:rsidTr="00EA6E27">
        <w:trPr>
          <w:jc w:val="right"/>
        </w:trPr>
        <w:tc>
          <w:tcPr>
            <w:tcW w:w="3425" w:type="dxa"/>
          </w:tcPr>
          <w:p w14:paraId="2FBD07DA" w14:textId="77777777" w:rsidR="00CB33C7" w:rsidRPr="00C2587D" w:rsidRDefault="00CB33C7" w:rsidP="00EA6E27">
            <w:pPr>
              <w:spacing w:before="40" w:after="40"/>
              <w:rPr>
                <w:lang w:eastAsia="it-IT"/>
              </w:rPr>
            </w:pPr>
            <w:r w:rsidRPr="00C2587D">
              <w:rPr>
                <w:b/>
                <w:bCs/>
              </w:rPr>
              <w:t>Ваші контакти</w:t>
            </w:r>
            <w:r w:rsidRPr="00C2587D">
              <w:rPr>
                <w:lang w:eastAsia="it-IT"/>
              </w:rPr>
              <w:t>:</w:t>
            </w:r>
          </w:p>
          <w:p w14:paraId="01E30FAA" w14:textId="77777777" w:rsidR="00CB33C7" w:rsidRPr="00C2587D" w:rsidRDefault="00CB33C7" w:rsidP="00EA6E27">
            <w:pPr>
              <w:spacing w:before="40" w:after="40"/>
              <w:rPr>
                <w:b/>
                <w:bCs/>
              </w:rPr>
            </w:pPr>
            <w:r w:rsidRPr="00C2587D">
              <w:rPr>
                <w:lang w:eastAsia="it-IT"/>
              </w:rPr>
              <w:t>Назва установи, організації, підприємства</w:t>
            </w:r>
          </w:p>
        </w:tc>
        <w:tc>
          <w:tcPr>
            <w:tcW w:w="6794" w:type="dxa"/>
            <w:gridSpan w:val="7"/>
          </w:tcPr>
          <w:p w14:paraId="7EDC9B96" w14:textId="77777777" w:rsidR="00CB33C7" w:rsidRPr="00C2587D" w:rsidRDefault="00CB33C7" w:rsidP="007E3992">
            <w:pPr>
              <w:spacing w:before="40" w:after="40"/>
              <w:jc w:val="both"/>
              <w:rPr>
                <w:lang w:eastAsia="it-IT"/>
              </w:rPr>
            </w:pPr>
            <w:r w:rsidRPr="00C2587D">
              <w:rPr>
                <w:lang w:eastAsia="it-IT"/>
              </w:rPr>
              <w:t>Управління житлово-комунального господарства Жмеринської міської ради</w:t>
            </w:r>
          </w:p>
        </w:tc>
      </w:tr>
      <w:tr w:rsidR="00CB33C7" w:rsidRPr="00C2587D" w14:paraId="4E316100" w14:textId="77777777" w:rsidTr="00EA6E27">
        <w:trPr>
          <w:jc w:val="right"/>
        </w:trPr>
        <w:tc>
          <w:tcPr>
            <w:tcW w:w="3425" w:type="dxa"/>
          </w:tcPr>
          <w:p w14:paraId="571119D7" w14:textId="77777777" w:rsidR="00CB33C7" w:rsidRPr="00C2587D" w:rsidRDefault="00CB33C7" w:rsidP="00EA6E27">
            <w:pPr>
              <w:spacing w:before="40" w:after="40"/>
              <w:rPr>
                <w:b/>
                <w:bCs/>
              </w:rPr>
            </w:pPr>
            <w:r w:rsidRPr="00C2587D">
              <w:rPr>
                <w:lang w:eastAsia="it-IT"/>
              </w:rPr>
              <w:t>Прізвище Ім’я По-батькові:</w:t>
            </w:r>
          </w:p>
        </w:tc>
        <w:tc>
          <w:tcPr>
            <w:tcW w:w="6794" w:type="dxa"/>
            <w:gridSpan w:val="7"/>
          </w:tcPr>
          <w:p w14:paraId="46192871" w14:textId="77777777" w:rsidR="00CB33C7" w:rsidRPr="00C2587D" w:rsidRDefault="00CB33C7" w:rsidP="00EA6E27">
            <w:pPr>
              <w:spacing w:before="40" w:after="40"/>
              <w:rPr>
                <w:lang w:eastAsia="it-IT"/>
              </w:rPr>
            </w:pPr>
            <w:r w:rsidRPr="00C2587D">
              <w:rPr>
                <w:lang w:eastAsia="it-IT"/>
              </w:rPr>
              <w:t>Оленич Андрій Васильович</w:t>
            </w:r>
          </w:p>
        </w:tc>
      </w:tr>
      <w:tr w:rsidR="00CB33C7" w:rsidRPr="00C2587D" w14:paraId="05594BA7" w14:textId="77777777" w:rsidTr="00EA6E27">
        <w:trPr>
          <w:jc w:val="right"/>
        </w:trPr>
        <w:tc>
          <w:tcPr>
            <w:tcW w:w="3425" w:type="dxa"/>
          </w:tcPr>
          <w:p w14:paraId="576310B2" w14:textId="77777777" w:rsidR="00CB33C7" w:rsidRPr="00C2587D" w:rsidRDefault="00CB33C7" w:rsidP="00EA6E27">
            <w:pPr>
              <w:spacing w:before="40" w:after="40"/>
              <w:rPr>
                <w:b/>
                <w:bCs/>
              </w:rPr>
            </w:pPr>
            <w:r w:rsidRPr="00C2587D">
              <w:rPr>
                <w:lang w:eastAsia="it-IT"/>
              </w:rPr>
              <w:t>Телефон (мобільний):</w:t>
            </w:r>
          </w:p>
        </w:tc>
        <w:tc>
          <w:tcPr>
            <w:tcW w:w="6794" w:type="dxa"/>
            <w:gridSpan w:val="7"/>
          </w:tcPr>
          <w:p w14:paraId="0E845263" w14:textId="77777777" w:rsidR="00CB33C7" w:rsidRPr="00C2587D" w:rsidRDefault="00CB33C7" w:rsidP="00EA6E27">
            <w:pPr>
              <w:spacing w:before="40" w:after="40"/>
              <w:rPr>
                <w:lang w:eastAsia="it-IT"/>
              </w:rPr>
            </w:pPr>
            <w:r w:rsidRPr="00C2587D">
              <w:rPr>
                <w:lang w:eastAsia="it-IT"/>
              </w:rPr>
              <w:t>0972561907</w:t>
            </w:r>
          </w:p>
        </w:tc>
      </w:tr>
      <w:tr w:rsidR="00CB33C7" w:rsidRPr="00C2587D" w14:paraId="753E8FB7" w14:textId="77777777" w:rsidTr="00EA6E27">
        <w:trPr>
          <w:jc w:val="right"/>
        </w:trPr>
        <w:tc>
          <w:tcPr>
            <w:tcW w:w="3425" w:type="dxa"/>
          </w:tcPr>
          <w:p w14:paraId="4DB7F52C" w14:textId="77777777" w:rsidR="00CB33C7" w:rsidRPr="00C2587D" w:rsidRDefault="00CB33C7" w:rsidP="00EA6E27">
            <w:pPr>
              <w:spacing w:before="40" w:after="40"/>
              <w:rPr>
                <w:b/>
                <w:bCs/>
              </w:rPr>
            </w:pPr>
            <w:r w:rsidRPr="00C2587D">
              <w:rPr>
                <w:lang w:eastAsia="it-IT"/>
              </w:rPr>
              <w:t>Електронна адреса:</w:t>
            </w:r>
          </w:p>
        </w:tc>
        <w:tc>
          <w:tcPr>
            <w:tcW w:w="6794" w:type="dxa"/>
            <w:gridSpan w:val="7"/>
          </w:tcPr>
          <w:p w14:paraId="254578F8" w14:textId="77777777" w:rsidR="00CB33C7" w:rsidRPr="00C2587D" w:rsidRDefault="00D85FFD" w:rsidP="00EA6E27">
            <w:pPr>
              <w:spacing w:before="40" w:after="40"/>
              <w:rPr>
                <w:lang w:eastAsia="it-IT"/>
              </w:rPr>
            </w:pPr>
            <w:hyperlink r:id="rId80" w:history="1">
              <w:r w:rsidR="00CB33C7" w:rsidRPr="00C2587D">
                <w:rPr>
                  <w:rStyle w:val="af0"/>
                  <w:noProof w:val="0"/>
                  <w:sz w:val="24"/>
                  <w:lang w:eastAsia="it-IT"/>
                </w:rPr>
                <w:t>Aolenych03@ukr.net</w:t>
              </w:r>
            </w:hyperlink>
          </w:p>
        </w:tc>
      </w:tr>
      <w:tr w:rsidR="00CB33C7" w:rsidRPr="00C2587D" w14:paraId="2AA1CE2A" w14:textId="77777777" w:rsidTr="00EA6E27">
        <w:trPr>
          <w:jc w:val="right"/>
        </w:trPr>
        <w:tc>
          <w:tcPr>
            <w:tcW w:w="3425" w:type="dxa"/>
            <w:vAlign w:val="center"/>
          </w:tcPr>
          <w:p w14:paraId="7C1C6693" w14:textId="77777777" w:rsidR="00CB33C7" w:rsidRPr="00C2587D" w:rsidRDefault="00CB33C7" w:rsidP="00EA6E27">
            <w:pPr>
              <w:pStyle w:val="6"/>
              <w:spacing w:before="0" w:after="0"/>
              <w:rPr>
                <w:color w:val="000000"/>
                <w:sz w:val="24"/>
                <w:szCs w:val="24"/>
                <w:lang w:val="uk-UA"/>
              </w:rPr>
            </w:pPr>
            <w:r w:rsidRPr="00C2587D">
              <w:rPr>
                <w:color w:val="000000"/>
                <w:sz w:val="24"/>
                <w:szCs w:val="24"/>
                <w:lang w:val="uk-UA"/>
              </w:rPr>
              <w:t>Номер і назва завдання з Стратегії</w:t>
            </w:r>
            <w:r w:rsidRPr="00C2587D">
              <w:rPr>
                <w:sz w:val="24"/>
                <w:szCs w:val="24"/>
                <w:lang w:val="uk-UA" w:eastAsia="it-IT"/>
              </w:rPr>
              <w:t xml:space="preserve"> </w:t>
            </w:r>
            <w:r w:rsidRPr="00C2587D">
              <w:rPr>
                <w:color w:val="000000"/>
                <w:sz w:val="24"/>
                <w:szCs w:val="24"/>
                <w:lang w:val="uk-UA"/>
              </w:rPr>
              <w:t>розвитку Жмеринської міської територіальної громади,  якому відповідає проєкт:</w:t>
            </w:r>
          </w:p>
        </w:tc>
        <w:tc>
          <w:tcPr>
            <w:tcW w:w="6794" w:type="dxa"/>
            <w:gridSpan w:val="7"/>
          </w:tcPr>
          <w:p w14:paraId="6898026C" w14:textId="77777777" w:rsidR="00CB33C7" w:rsidRPr="00C2587D" w:rsidRDefault="00CB33C7" w:rsidP="007E3992">
            <w:pPr>
              <w:pBdr>
                <w:left w:val="single" w:sz="18" w:space="4" w:color="auto"/>
              </w:pBdr>
              <w:spacing w:before="40" w:after="40"/>
              <w:jc w:val="both"/>
              <w:rPr>
                <w:lang w:eastAsia="it-IT"/>
              </w:rPr>
            </w:pPr>
            <w:r w:rsidRPr="00C2587D">
              <w:rPr>
                <w:lang w:eastAsia="it-IT"/>
              </w:rPr>
              <w:t>В.1.3.1.Будівництво нових, реконструкція, капітальний ремонт, модернізація мереж централізованої системи водопостачання, водовідведення та каналізація.</w:t>
            </w:r>
          </w:p>
        </w:tc>
      </w:tr>
      <w:tr w:rsidR="00CB33C7" w:rsidRPr="00C2587D" w14:paraId="208440FC" w14:textId="77777777" w:rsidTr="00EA6E27">
        <w:trPr>
          <w:jc w:val="right"/>
        </w:trPr>
        <w:tc>
          <w:tcPr>
            <w:tcW w:w="3425" w:type="dxa"/>
            <w:vAlign w:val="center"/>
          </w:tcPr>
          <w:p w14:paraId="1C6EEE70" w14:textId="77777777" w:rsidR="00CB33C7" w:rsidRPr="00C2587D" w:rsidRDefault="00CB33C7" w:rsidP="00EA6E27">
            <w:pPr>
              <w:rPr>
                <w:b/>
                <w:bCs/>
                <w:color w:val="000000"/>
              </w:rPr>
            </w:pPr>
            <w:r w:rsidRPr="00C2587D">
              <w:rPr>
                <w:b/>
                <w:bCs/>
                <w:color w:val="000000"/>
              </w:rPr>
              <w:t>Мета проєкту:</w:t>
            </w:r>
          </w:p>
        </w:tc>
        <w:tc>
          <w:tcPr>
            <w:tcW w:w="6794" w:type="dxa"/>
            <w:gridSpan w:val="7"/>
          </w:tcPr>
          <w:p w14:paraId="66BDF59C" w14:textId="77777777" w:rsidR="00CB33C7" w:rsidRPr="00C2587D" w:rsidRDefault="00CB33C7" w:rsidP="00EA6E27">
            <w:pPr>
              <w:spacing w:before="40" w:after="40"/>
              <w:rPr>
                <w:lang w:eastAsia="it-IT"/>
              </w:rPr>
            </w:pPr>
            <w:r w:rsidRPr="00C2587D">
              <w:rPr>
                <w:lang w:eastAsia="it-IT"/>
              </w:rPr>
              <w:t xml:space="preserve">Надання мешканцям с. Жуківці якісних послух з водопостачання, шляхом проведення нового будівництва </w:t>
            </w:r>
            <w:r w:rsidRPr="00C2587D">
              <w:rPr>
                <w:rFonts w:eastAsia="Arial"/>
              </w:rPr>
              <w:t>мереж водопостачання в с. Жуківці</w:t>
            </w:r>
          </w:p>
        </w:tc>
      </w:tr>
      <w:tr w:rsidR="00CB33C7" w:rsidRPr="00C2587D" w14:paraId="68FC9BF5" w14:textId="77777777" w:rsidTr="00EA6E27">
        <w:trPr>
          <w:jc w:val="right"/>
        </w:trPr>
        <w:tc>
          <w:tcPr>
            <w:tcW w:w="3425" w:type="dxa"/>
            <w:vAlign w:val="center"/>
          </w:tcPr>
          <w:p w14:paraId="0CBDB8D3" w14:textId="77777777" w:rsidR="00CB33C7" w:rsidRPr="00C2587D" w:rsidRDefault="00CB33C7" w:rsidP="00EA6E27">
            <w:pPr>
              <w:rPr>
                <w:b/>
                <w:bCs/>
                <w:color w:val="000000"/>
              </w:rPr>
            </w:pPr>
            <w:r w:rsidRPr="00C2587D">
              <w:rPr>
                <w:b/>
                <w:bCs/>
                <w:color w:val="000000"/>
              </w:rPr>
              <w:t>Цілі проєкту:</w:t>
            </w:r>
          </w:p>
        </w:tc>
        <w:tc>
          <w:tcPr>
            <w:tcW w:w="6794" w:type="dxa"/>
            <w:gridSpan w:val="7"/>
          </w:tcPr>
          <w:p w14:paraId="65682FBF" w14:textId="77777777" w:rsidR="00CB33C7" w:rsidRPr="00C2587D" w:rsidRDefault="00CB33C7" w:rsidP="007E3992">
            <w:pPr>
              <w:spacing w:before="40" w:after="40"/>
              <w:jc w:val="both"/>
              <w:rPr>
                <w:lang w:eastAsia="it-IT"/>
              </w:rPr>
            </w:pPr>
            <w:r w:rsidRPr="00C2587D">
              <w:rPr>
                <w:lang w:eastAsia="it-IT"/>
              </w:rPr>
              <w:t xml:space="preserve">Забезпечення жителів с. Жуківці якісною питною водою в достатній кількості </w:t>
            </w:r>
          </w:p>
        </w:tc>
      </w:tr>
      <w:tr w:rsidR="00CB33C7" w:rsidRPr="00C2587D" w14:paraId="31111351" w14:textId="77777777" w:rsidTr="00EA6E27">
        <w:trPr>
          <w:jc w:val="right"/>
        </w:trPr>
        <w:tc>
          <w:tcPr>
            <w:tcW w:w="3425" w:type="dxa"/>
            <w:vAlign w:val="center"/>
          </w:tcPr>
          <w:p w14:paraId="3DF80396" w14:textId="77777777" w:rsidR="00CB33C7" w:rsidRPr="00C2587D" w:rsidRDefault="00CB33C7" w:rsidP="00EA6E27">
            <w:pPr>
              <w:autoSpaceDE w:val="0"/>
              <w:autoSpaceDN w:val="0"/>
              <w:adjustRightInd w:val="0"/>
              <w:rPr>
                <w:b/>
                <w:color w:val="000000"/>
              </w:rPr>
            </w:pPr>
            <w:r w:rsidRPr="00C2587D">
              <w:rPr>
                <w:b/>
                <w:color w:val="000000"/>
              </w:rPr>
              <w:t>Територія на яку проєкт матиме вплив:</w:t>
            </w:r>
          </w:p>
        </w:tc>
        <w:tc>
          <w:tcPr>
            <w:tcW w:w="6794" w:type="dxa"/>
            <w:gridSpan w:val="7"/>
          </w:tcPr>
          <w:p w14:paraId="6EAE5573" w14:textId="77777777" w:rsidR="00CB33C7" w:rsidRPr="00C2587D" w:rsidRDefault="00CB33C7" w:rsidP="00EA6E27">
            <w:pPr>
              <w:spacing w:before="40" w:after="40"/>
              <w:rPr>
                <w:lang w:eastAsia="it-IT"/>
              </w:rPr>
            </w:pPr>
            <w:r w:rsidRPr="00C2587D">
              <w:rPr>
                <w:lang w:eastAsia="it-IT"/>
              </w:rPr>
              <w:t xml:space="preserve">Територія с. Жуківці </w:t>
            </w:r>
          </w:p>
        </w:tc>
      </w:tr>
      <w:tr w:rsidR="00CB33C7" w:rsidRPr="00C2587D" w14:paraId="04204E48" w14:textId="77777777" w:rsidTr="00EA6E27">
        <w:trPr>
          <w:jc w:val="right"/>
        </w:trPr>
        <w:tc>
          <w:tcPr>
            <w:tcW w:w="3425" w:type="dxa"/>
            <w:vAlign w:val="center"/>
          </w:tcPr>
          <w:p w14:paraId="771ECBAF" w14:textId="77777777" w:rsidR="00CB33C7" w:rsidRPr="00C2587D" w:rsidRDefault="00CB33C7" w:rsidP="00EA6E27">
            <w:pPr>
              <w:autoSpaceDE w:val="0"/>
              <w:autoSpaceDN w:val="0"/>
              <w:adjustRightInd w:val="0"/>
              <w:rPr>
                <w:b/>
                <w:color w:val="000000"/>
              </w:rPr>
            </w:pPr>
            <w:r w:rsidRPr="00C2587D">
              <w:rPr>
                <w:b/>
                <w:color w:val="000000"/>
              </w:rPr>
              <w:t>Цільові групи проєкту та кількість отримувачів вигоди</w:t>
            </w:r>
          </w:p>
        </w:tc>
        <w:tc>
          <w:tcPr>
            <w:tcW w:w="6794" w:type="dxa"/>
            <w:gridSpan w:val="7"/>
          </w:tcPr>
          <w:p w14:paraId="737900CB" w14:textId="77777777" w:rsidR="00CB33C7" w:rsidRPr="00C2587D" w:rsidRDefault="00CB33C7" w:rsidP="00EA6E27">
            <w:pPr>
              <w:spacing w:before="40" w:after="40"/>
              <w:rPr>
                <w:lang w:eastAsia="it-IT"/>
              </w:rPr>
            </w:pPr>
            <w:r w:rsidRPr="00C2587D">
              <w:rPr>
                <w:lang w:eastAsia="it-IT"/>
              </w:rPr>
              <w:t xml:space="preserve">Жителі с. Жуківці </w:t>
            </w:r>
            <w:r w:rsidRPr="00C2587D">
              <w:t>646 селян</w:t>
            </w:r>
          </w:p>
        </w:tc>
      </w:tr>
      <w:tr w:rsidR="00CB33C7" w:rsidRPr="00C2587D" w14:paraId="70A888F0" w14:textId="77777777" w:rsidTr="00EA6E27">
        <w:trPr>
          <w:jc w:val="right"/>
        </w:trPr>
        <w:tc>
          <w:tcPr>
            <w:tcW w:w="3425" w:type="dxa"/>
            <w:shd w:val="clear" w:color="auto" w:fill="FFFFFF"/>
            <w:vAlign w:val="center"/>
          </w:tcPr>
          <w:p w14:paraId="6667CE3C" w14:textId="77777777" w:rsidR="00CB33C7" w:rsidRPr="00C2587D" w:rsidRDefault="00CB33C7" w:rsidP="00EA6E27">
            <w:pPr>
              <w:rPr>
                <w:b/>
                <w:bCs/>
                <w:color w:val="000000"/>
              </w:rPr>
            </w:pPr>
            <w:r w:rsidRPr="00C2587D">
              <w:rPr>
                <w:b/>
                <w:bCs/>
                <w:color w:val="000000"/>
              </w:rPr>
              <w:t>Стислий опис проєкту:</w:t>
            </w:r>
          </w:p>
        </w:tc>
        <w:tc>
          <w:tcPr>
            <w:tcW w:w="6794" w:type="dxa"/>
            <w:gridSpan w:val="7"/>
          </w:tcPr>
          <w:p w14:paraId="375FC8D6" w14:textId="60A22A8C" w:rsidR="00CB33C7" w:rsidRPr="00C2587D" w:rsidRDefault="00CB33C7" w:rsidP="007E3992">
            <w:pPr>
              <w:spacing w:before="40" w:after="40"/>
              <w:jc w:val="both"/>
              <w:rPr>
                <w:lang w:eastAsia="it-IT"/>
              </w:rPr>
            </w:pPr>
            <w:r w:rsidRPr="00C2587D">
              <w:rPr>
                <w:lang w:eastAsia="it-IT"/>
              </w:rPr>
              <w:t xml:space="preserve">Водопровідна мережа в с. Жуківці не достатньо забезпечує жителів громади питною водою, і є мало продуктивною, більшість споживачів, особливо в літній період, не можуть отримати в повному обсязі необхідну кількість </w:t>
            </w:r>
            <w:r w:rsidR="0013105D">
              <w:rPr>
                <w:lang w:eastAsia="it-IT"/>
              </w:rPr>
              <w:t>води. При реалізації даного проє</w:t>
            </w:r>
            <w:r w:rsidRPr="00C2587D">
              <w:rPr>
                <w:lang w:eastAsia="it-IT"/>
              </w:rPr>
              <w:t>кту. споживачі води будуть забезпечені якісною водою в повному обсязі для господарських та харчових потреб.</w:t>
            </w:r>
          </w:p>
        </w:tc>
      </w:tr>
      <w:tr w:rsidR="00CB33C7" w:rsidRPr="00C2587D" w14:paraId="5ADDB5B6" w14:textId="77777777" w:rsidTr="00EA6E27">
        <w:trPr>
          <w:jc w:val="right"/>
        </w:trPr>
        <w:tc>
          <w:tcPr>
            <w:tcW w:w="3425" w:type="dxa"/>
            <w:shd w:val="clear" w:color="auto" w:fill="FFFFFF"/>
            <w:vAlign w:val="center"/>
          </w:tcPr>
          <w:p w14:paraId="0C9A5F2B" w14:textId="77777777" w:rsidR="00CB33C7" w:rsidRPr="00C2587D" w:rsidRDefault="00CB33C7" w:rsidP="00EA6E27">
            <w:pPr>
              <w:rPr>
                <w:b/>
                <w:bCs/>
                <w:color w:val="000000"/>
              </w:rPr>
            </w:pPr>
            <w:r w:rsidRPr="00C2587D">
              <w:rPr>
                <w:b/>
                <w:bCs/>
                <w:color w:val="000000"/>
              </w:rPr>
              <w:t>Основні заходи проєкту:</w:t>
            </w:r>
          </w:p>
        </w:tc>
        <w:tc>
          <w:tcPr>
            <w:tcW w:w="6794" w:type="dxa"/>
            <w:gridSpan w:val="7"/>
          </w:tcPr>
          <w:p w14:paraId="1941B164" w14:textId="6A4D020D" w:rsidR="00CB33C7" w:rsidRPr="00C2587D" w:rsidRDefault="00CB33C7" w:rsidP="007E3992">
            <w:pPr>
              <w:spacing w:before="40" w:after="40"/>
              <w:jc w:val="both"/>
              <w:rPr>
                <w:lang w:eastAsia="it-IT"/>
              </w:rPr>
            </w:pPr>
            <w:r w:rsidRPr="00C2587D">
              <w:rPr>
                <w:lang w:eastAsia="it-IT"/>
              </w:rPr>
              <w:t>Створення робочо</w:t>
            </w:r>
            <w:r w:rsidR="0013105D">
              <w:rPr>
                <w:lang w:eastAsia="it-IT"/>
              </w:rPr>
              <w:t>ї групи з питань реалізації проє</w:t>
            </w:r>
            <w:r w:rsidRPr="00C2587D">
              <w:rPr>
                <w:lang w:eastAsia="it-IT"/>
              </w:rPr>
              <w:t xml:space="preserve">кту. </w:t>
            </w:r>
          </w:p>
          <w:p w14:paraId="083F08B9" w14:textId="77777777" w:rsidR="00CB33C7" w:rsidRPr="00C2587D" w:rsidRDefault="00CB33C7" w:rsidP="007E3992">
            <w:pPr>
              <w:spacing w:before="40" w:after="40"/>
              <w:jc w:val="both"/>
              <w:rPr>
                <w:lang w:eastAsia="it-IT"/>
              </w:rPr>
            </w:pPr>
            <w:r w:rsidRPr="00C2587D">
              <w:rPr>
                <w:lang w:eastAsia="it-IT"/>
              </w:rPr>
              <w:t>Проведення процедури закупівель (визначення виконавця робіт).</w:t>
            </w:r>
          </w:p>
          <w:p w14:paraId="753E47F1" w14:textId="77777777" w:rsidR="00CB33C7" w:rsidRPr="00C2587D" w:rsidRDefault="00CB33C7" w:rsidP="007E3992">
            <w:pPr>
              <w:spacing w:before="40" w:after="40"/>
              <w:jc w:val="both"/>
              <w:rPr>
                <w:lang w:eastAsia="it-IT"/>
              </w:rPr>
            </w:pPr>
            <w:r w:rsidRPr="00C2587D">
              <w:rPr>
                <w:lang w:eastAsia="it-IT"/>
              </w:rPr>
              <w:t>Укладення договорів з виконавцем робіт, організаціями, що здійснюватимуть  технічний та авторський  нагляд .</w:t>
            </w:r>
          </w:p>
          <w:p w14:paraId="715AE53B" w14:textId="77777777" w:rsidR="00CB33C7" w:rsidRPr="00C2587D" w:rsidRDefault="00CB33C7" w:rsidP="007E3992">
            <w:pPr>
              <w:spacing w:before="40" w:after="40"/>
              <w:jc w:val="both"/>
              <w:rPr>
                <w:lang w:eastAsia="it-IT"/>
              </w:rPr>
            </w:pPr>
            <w:r w:rsidRPr="00C2587D">
              <w:rPr>
                <w:lang w:eastAsia="it-IT"/>
              </w:rPr>
              <w:t xml:space="preserve">Виконання робіт з </w:t>
            </w:r>
            <w:r w:rsidRPr="00C2587D">
              <w:rPr>
                <w:rFonts w:eastAsia="Arial"/>
              </w:rPr>
              <w:t>нового будівництва мереж водопостачання в с. Жуківці</w:t>
            </w:r>
          </w:p>
          <w:p w14:paraId="4718EBDD" w14:textId="77777777" w:rsidR="00CB33C7" w:rsidRPr="00C2587D" w:rsidRDefault="00CB33C7" w:rsidP="007E3992">
            <w:pPr>
              <w:spacing w:before="40" w:after="40"/>
              <w:jc w:val="both"/>
              <w:rPr>
                <w:lang w:eastAsia="it-IT"/>
              </w:rPr>
            </w:pPr>
            <w:r w:rsidRPr="00C2587D">
              <w:rPr>
                <w:lang w:eastAsia="it-IT"/>
              </w:rPr>
              <w:t>Введення  об’єкту в експлуатацію .</w:t>
            </w:r>
          </w:p>
          <w:p w14:paraId="221D58A0" w14:textId="7353161B" w:rsidR="00CB33C7" w:rsidRPr="00C2587D" w:rsidRDefault="00CB33C7" w:rsidP="007E3992">
            <w:pPr>
              <w:jc w:val="both"/>
              <w:rPr>
                <w:lang w:eastAsia="it-IT"/>
              </w:rPr>
            </w:pPr>
            <w:r w:rsidRPr="00C2587D">
              <w:rPr>
                <w:lang w:eastAsia="it-IT"/>
              </w:rPr>
              <w:t xml:space="preserve">Проведення інформаційних заходів (розміщення  </w:t>
            </w:r>
            <w:r w:rsidR="0013105D">
              <w:rPr>
                <w:lang w:eastAsia="it-IT"/>
              </w:rPr>
              <w:t>інформації  про реалізацію  проє</w:t>
            </w:r>
            <w:r w:rsidRPr="00C2587D">
              <w:rPr>
                <w:lang w:eastAsia="it-IT"/>
              </w:rPr>
              <w:t>кту у ЗМІ) .</w:t>
            </w:r>
          </w:p>
        </w:tc>
      </w:tr>
      <w:tr w:rsidR="00CB33C7" w:rsidRPr="00C2587D" w14:paraId="40E72334" w14:textId="77777777" w:rsidTr="00EA6E27">
        <w:trPr>
          <w:jc w:val="right"/>
        </w:trPr>
        <w:tc>
          <w:tcPr>
            <w:tcW w:w="3425" w:type="dxa"/>
            <w:shd w:val="clear" w:color="auto" w:fill="FFFFFF"/>
            <w:vAlign w:val="center"/>
          </w:tcPr>
          <w:p w14:paraId="0690DAD1" w14:textId="77777777" w:rsidR="00CB33C7" w:rsidRPr="00C2587D" w:rsidRDefault="00CB33C7" w:rsidP="00EA6E27">
            <w:pPr>
              <w:rPr>
                <w:b/>
                <w:bCs/>
                <w:color w:val="000000"/>
              </w:rPr>
            </w:pPr>
            <w:r w:rsidRPr="00C2587D">
              <w:rPr>
                <w:b/>
                <w:bCs/>
                <w:color w:val="000000"/>
              </w:rPr>
              <w:t>Індикатори (показники) результативності:</w:t>
            </w:r>
          </w:p>
        </w:tc>
        <w:tc>
          <w:tcPr>
            <w:tcW w:w="6794" w:type="dxa"/>
            <w:gridSpan w:val="7"/>
          </w:tcPr>
          <w:p w14:paraId="7E273347" w14:textId="1CD07346" w:rsidR="00CB33C7" w:rsidRPr="00C2587D" w:rsidRDefault="00CB33C7" w:rsidP="007E3992">
            <w:pPr>
              <w:spacing w:before="40" w:after="40"/>
              <w:jc w:val="both"/>
              <w:rPr>
                <w:lang w:eastAsia="it-IT"/>
              </w:rPr>
            </w:pPr>
            <w:r w:rsidRPr="00C2587D">
              <w:rPr>
                <w:lang w:eastAsia="it-IT"/>
              </w:rPr>
              <w:t xml:space="preserve">Будівництво водопровідної мережі протяжністю 3 км. </w:t>
            </w:r>
            <w:r w:rsidR="007E3992" w:rsidRPr="00C2587D">
              <w:rPr>
                <w:lang w:eastAsia="it-IT"/>
              </w:rPr>
              <w:t>встановлення</w:t>
            </w:r>
            <w:r w:rsidRPr="00C2587D">
              <w:rPr>
                <w:lang w:eastAsia="it-IT"/>
              </w:rPr>
              <w:t xml:space="preserve"> насосної станції та підключення 45 нових споживачів.</w:t>
            </w:r>
          </w:p>
        </w:tc>
      </w:tr>
      <w:tr w:rsidR="00CB33C7" w:rsidRPr="00C2587D" w14:paraId="2FBB1F89" w14:textId="77777777" w:rsidTr="00EA6E27">
        <w:trPr>
          <w:jc w:val="right"/>
        </w:trPr>
        <w:tc>
          <w:tcPr>
            <w:tcW w:w="3425" w:type="dxa"/>
            <w:shd w:val="clear" w:color="auto" w:fill="FFFFFF"/>
            <w:vAlign w:val="center"/>
          </w:tcPr>
          <w:p w14:paraId="7E3E57D4" w14:textId="77777777" w:rsidR="00CB33C7" w:rsidRPr="00C2587D" w:rsidRDefault="00CB33C7" w:rsidP="00EA6E27">
            <w:pPr>
              <w:rPr>
                <w:b/>
                <w:color w:val="000000"/>
              </w:rPr>
            </w:pPr>
            <w:r w:rsidRPr="00C2587D">
              <w:rPr>
                <w:b/>
                <w:color w:val="000000"/>
              </w:rPr>
              <w:t xml:space="preserve">Період здійснення: </w:t>
            </w:r>
          </w:p>
        </w:tc>
        <w:tc>
          <w:tcPr>
            <w:tcW w:w="6794" w:type="dxa"/>
            <w:gridSpan w:val="7"/>
            <w:vAlign w:val="center"/>
          </w:tcPr>
          <w:p w14:paraId="38BC6D55" w14:textId="77777777" w:rsidR="00CB33C7" w:rsidRPr="00C2587D" w:rsidRDefault="00CB33C7" w:rsidP="00EA6E27">
            <w:pPr>
              <w:rPr>
                <w:color w:val="000000"/>
                <w:lang w:eastAsia="it-IT"/>
              </w:rPr>
            </w:pPr>
            <w:r w:rsidRPr="00C2587D">
              <w:rPr>
                <w:b/>
                <w:color w:val="000000"/>
              </w:rPr>
              <w:t>2025 – 2028 роки:</w:t>
            </w:r>
          </w:p>
        </w:tc>
      </w:tr>
      <w:tr w:rsidR="00CB33C7" w:rsidRPr="00C2587D" w14:paraId="06CAF81D" w14:textId="77777777" w:rsidTr="00EA6E27">
        <w:trPr>
          <w:jc w:val="right"/>
        </w:trPr>
        <w:tc>
          <w:tcPr>
            <w:tcW w:w="3425" w:type="dxa"/>
            <w:vMerge w:val="restart"/>
            <w:shd w:val="clear" w:color="auto" w:fill="FFFFFF"/>
            <w:vAlign w:val="center"/>
          </w:tcPr>
          <w:p w14:paraId="38B59373" w14:textId="77777777" w:rsidR="00CB33C7" w:rsidRPr="00C2587D" w:rsidRDefault="00CB33C7" w:rsidP="00EA6E27">
            <w:pPr>
              <w:rPr>
                <w:b/>
                <w:bCs/>
                <w:color w:val="000000"/>
              </w:rPr>
            </w:pPr>
            <w:r w:rsidRPr="00C2587D">
              <w:rPr>
                <w:b/>
                <w:bCs/>
                <w:color w:val="000000"/>
              </w:rPr>
              <w:t>Орієнтовна вартість проєкту, тис. грн., в тому числі:</w:t>
            </w:r>
          </w:p>
        </w:tc>
        <w:tc>
          <w:tcPr>
            <w:tcW w:w="1254" w:type="dxa"/>
            <w:gridSpan w:val="2"/>
            <w:shd w:val="clear" w:color="auto" w:fill="E6E6E6"/>
            <w:vAlign w:val="center"/>
          </w:tcPr>
          <w:p w14:paraId="28E683F6" w14:textId="77777777" w:rsidR="00CB33C7" w:rsidRPr="00C2587D" w:rsidRDefault="00CB33C7" w:rsidP="00EA6E27">
            <w:pPr>
              <w:jc w:val="center"/>
              <w:rPr>
                <w:b/>
                <w:color w:val="000000"/>
                <w:lang w:eastAsia="it-IT"/>
              </w:rPr>
            </w:pPr>
            <w:r w:rsidRPr="00C2587D">
              <w:rPr>
                <w:b/>
                <w:color w:val="000000"/>
                <w:lang w:eastAsia="it-IT"/>
              </w:rPr>
              <w:t>2025</w:t>
            </w:r>
          </w:p>
        </w:tc>
        <w:tc>
          <w:tcPr>
            <w:tcW w:w="1275" w:type="dxa"/>
            <w:shd w:val="clear" w:color="auto" w:fill="E6E6E6"/>
            <w:vAlign w:val="center"/>
          </w:tcPr>
          <w:p w14:paraId="2E613E66" w14:textId="77777777" w:rsidR="00CB33C7" w:rsidRPr="00C2587D" w:rsidRDefault="00CB33C7" w:rsidP="00EA6E27">
            <w:pPr>
              <w:jc w:val="center"/>
              <w:rPr>
                <w:b/>
                <w:color w:val="000000"/>
                <w:lang w:eastAsia="it-IT"/>
              </w:rPr>
            </w:pPr>
            <w:r w:rsidRPr="00C2587D">
              <w:rPr>
                <w:b/>
                <w:color w:val="000000"/>
                <w:lang w:eastAsia="it-IT"/>
              </w:rPr>
              <w:t>2026</w:t>
            </w:r>
          </w:p>
        </w:tc>
        <w:tc>
          <w:tcPr>
            <w:tcW w:w="1418" w:type="dxa"/>
            <w:gridSpan w:val="2"/>
            <w:tcBorders>
              <w:bottom w:val="single" w:sz="4" w:space="0" w:color="auto"/>
            </w:tcBorders>
            <w:shd w:val="clear" w:color="auto" w:fill="E6E6E6"/>
            <w:vAlign w:val="center"/>
          </w:tcPr>
          <w:p w14:paraId="63A39436" w14:textId="77777777" w:rsidR="00CB33C7" w:rsidRPr="00C2587D" w:rsidRDefault="00CB33C7" w:rsidP="00EA6E27">
            <w:pPr>
              <w:jc w:val="center"/>
              <w:rPr>
                <w:b/>
                <w:color w:val="000000"/>
                <w:lang w:eastAsia="it-IT"/>
              </w:rPr>
            </w:pPr>
            <w:r w:rsidRPr="00C2587D">
              <w:rPr>
                <w:b/>
                <w:color w:val="000000"/>
                <w:lang w:eastAsia="it-IT"/>
              </w:rPr>
              <w:t>2027</w:t>
            </w:r>
          </w:p>
        </w:tc>
        <w:tc>
          <w:tcPr>
            <w:tcW w:w="1276" w:type="dxa"/>
            <w:shd w:val="clear" w:color="auto" w:fill="E6E6E6"/>
            <w:vAlign w:val="center"/>
          </w:tcPr>
          <w:p w14:paraId="1579CE8F" w14:textId="77777777" w:rsidR="00CB33C7" w:rsidRPr="00C2587D" w:rsidRDefault="00CB33C7" w:rsidP="00EA6E27">
            <w:pPr>
              <w:jc w:val="center"/>
              <w:rPr>
                <w:b/>
                <w:color w:val="000000"/>
                <w:lang w:eastAsia="it-IT"/>
              </w:rPr>
            </w:pPr>
            <w:r w:rsidRPr="00C2587D">
              <w:rPr>
                <w:b/>
                <w:color w:val="000000"/>
                <w:lang w:eastAsia="it-IT"/>
              </w:rPr>
              <w:t>2028</w:t>
            </w:r>
          </w:p>
        </w:tc>
        <w:tc>
          <w:tcPr>
            <w:tcW w:w="1571" w:type="dxa"/>
            <w:shd w:val="clear" w:color="auto" w:fill="E6E6E6"/>
            <w:vAlign w:val="center"/>
          </w:tcPr>
          <w:p w14:paraId="7CF60FD9" w14:textId="77777777" w:rsidR="00CB33C7" w:rsidRPr="00C2587D" w:rsidRDefault="00CB33C7" w:rsidP="00EA6E27">
            <w:pPr>
              <w:jc w:val="center"/>
              <w:rPr>
                <w:b/>
                <w:color w:val="000000"/>
                <w:lang w:eastAsia="it-IT"/>
              </w:rPr>
            </w:pPr>
            <w:r w:rsidRPr="00C2587D">
              <w:rPr>
                <w:b/>
                <w:color w:val="000000"/>
                <w:lang w:eastAsia="it-IT"/>
              </w:rPr>
              <w:t>РАЗОМ</w:t>
            </w:r>
          </w:p>
        </w:tc>
      </w:tr>
      <w:tr w:rsidR="00CB33C7" w:rsidRPr="00C2587D" w14:paraId="4BB0FA11" w14:textId="77777777" w:rsidTr="00EA6E27">
        <w:trPr>
          <w:jc w:val="right"/>
        </w:trPr>
        <w:tc>
          <w:tcPr>
            <w:tcW w:w="3425" w:type="dxa"/>
            <w:vMerge/>
            <w:shd w:val="clear" w:color="auto" w:fill="FFFFFF"/>
            <w:vAlign w:val="center"/>
          </w:tcPr>
          <w:p w14:paraId="339D22D0" w14:textId="77777777" w:rsidR="00CB33C7" w:rsidRPr="00C2587D" w:rsidRDefault="00CB33C7" w:rsidP="00EA6E27">
            <w:pPr>
              <w:rPr>
                <w:b/>
                <w:bCs/>
                <w:color w:val="000000"/>
              </w:rPr>
            </w:pPr>
          </w:p>
        </w:tc>
        <w:tc>
          <w:tcPr>
            <w:tcW w:w="1254" w:type="dxa"/>
            <w:gridSpan w:val="2"/>
            <w:vAlign w:val="center"/>
          </w:tcPr>
          <w:p w14:paraId="2E4D5AD5" w14:textId="77777777" w:rsidR="00CB33C7" w:rsidRPr="00C2587D" w:rsidRDefault="00CB33C7" w:rsidP="00EA6E27">
            <w:pPr>
              <w:jc w:val="center"/>
              <w:rPr>
                <w:b/>
                <w:color w:val="000000"/>
                <w:lang w:eastAsia="it-IT"/>
              </w:rPr>
            </w:pPr>
            <w:r w:rsidRPr="00C2587D">
              <w:rPr>
                <w:b/>
                <w:color w:val="000000"/>
                <w:lang w:eastAsia="it-IT"/>
              </w:rPr>
              <w:t>0,00</w:t>
            </w:r>
          </w:p>
        </w:tc>
        <w:tc>
          <w:tcPr>
            <w:tcW w:w="1275" w:type="dxa"/>
            <w:shd w:val="clear" w:color="auto" w:fill="FFFFFF"/>
            <w:vAlign w:val="center"/>
          </w:tcPr>
          <w:p w14:paraId="68A26BFA" w14:textId="77777777" w:rsidR="00CB33C7" w:rsidRPr="00C2587D" w:rsidRDefault="00CB33C7" w:rsidP="00EA6E27">
            <w:pPr>
              <w:jc w:val="center"/>
              <w:rPr>
                <w:b/>
                <w:color w:val="000000"/>
                <w:lang w:eastAsia="it-IT"/>
              </w:rPr>
            </w:pPr>
            <w:r w:rsidRPr="00C2587D">
              <w:rPr>
                <w:rFonts w:eastAsia="Arial" w:cs="Arial"/>
                <w:b/>
              </w:rPr>
              <w:t>10000,00</w:t>
            </w:r>
          </w:p>
        </w:tc>
        <w:tc>
          <w:tcPr>
            <w:tcW w:w="1418" w:type="dxa"/>
            <w:gridSpan w:val="2"/>
            <w:shd w:val="clear" w:color="auto" w:fill="auto"/>
            <w:vAlign w:val="center"/>
          </w:tcPr>
          <w:p w14:paraId="3A15446A" w14:textId="77777777" w:rsidR="00CB33C7" w:rsidRPr="00C2587D" w:rsidRDefault="00CB33C7" w:rsidP="00EA6E27">
            <w:pPr>
              <w:jc w:val="center"/>
              <w:rPr>
                <w:b/>
                <w:color w:val="000000"/>
                <w:lang w:eastAsia="it-IT"/>
              </w:rPr>
            </w:pPr>
            <w:r w:rsidRPr="00C2587D">
              <w:rPr>
                <w:b/>
                <w:color w:val="000000"/>
                <w:lang w:eastAsia="it-IT"/>
              </w:rPr>
              <w:t>0,00</w:t>
            </w:r>
          </w:p>
        </w:tc>
        <w:tc>
          <w:tcPr>
            <w:tcW w:w="1276" w:type="dxa"/>
            <w:shd w:val="clear" w:color="auto" w:fill="FFFFFF"/>
            <w:vAlign w:val="center"/>
          </w:tcPr>
          <w:p w14:paraId="5CEE743E" w14:textId="77777777" w:rsidR="00CB33C7" w:rsidRPr="00C2587D" w:rsidRDefault="00CB33C7" w:rsidP="00EA6E27">
            <w:pPr>
              <w:jc w:val="center"/>
              <w:rPr>
                <w:b/>
                <w:color w:val="000000"/>
                <w:lang w:eastAsia="it-IT"/>
              </w:rPr>
            </w:pPr>
            <w:r w:rsidRPr="00C2587D">
              <w:rPr>
                <w:b/>
                <w:color w:val="000000"/>
                <w:lang w:eastAsia="it-IT"/>
              </w:rPr>
              <w:t>0,00</w:t>
            </w:r>
          </w:p>
        </w:tc>
        <w:tc>
          <w:tcPr>
            <w:tcW w:w="1571" w:type="dxa"/>
            <w:shd w:val="clear" w:color="auto" w:fill="FFFFFF"/>
            <w:vAlign w:val="center"/>
          </w:tcPr>
          <w:p w14:paraId="42EE5147" w14:textId="77777777" w:rsidR="00CB33C7" w:rsidRPr="00C2587D" w:rsidRDefault="00CB33C7" w:rsidP="00EA6E27">
            <w:pPr>
              <w:jc w:val="center"/>
              <w:rPr>
                <w:b/>
                <w:color w:val="000000"/>
                <w:lang w:eastAsia="it-IT"/>
              </w:rPr>
            </w:pPr>
            <w:r w:rsidRPr="00C2587D">
              <w:rPr>
                <w:rFonts w:eastAsia="Arial" w:cs="Arial"/>
                <w:b/>
              </w:rPr>
              <w:t>10000,00</w:t>
            </w:r>
          </w:p>
        </w:tc>
      </w:tr>
      <w:tr w:rsidR="00CB33C7" w:rsidRPr="00C2587D" w14:paraId="2ADEEA89" w14:textId="77777777" w:rsidTr="00EA6E27">
        <w:trPr>
          <w:trHeight w:val="276"/>
          <w:jc w:val="right"/>
        </w:trPr>
        <w:tc>
          <w:tcPr>
            <w:tcW w:w="3425" w:type="dxa"/>
            <w:shd w:val="clear" w:color="auto" w:fill="FFFFFF"/>
            <w:vAlign w:val="center"/>
          </w:tcPr>
          <w:p w14:paraId="5F763FE1" w14:textId="77777777" w:rsidR="00CB33C7" w:rsidRPr="00C2587D" w:rsidRDefault="00CB33C7" w:rsidP="00EA6E27">
            <w:pPr>
              <w:rPr>
                <w:b/>
                <w:bCs/>
                <w:color w:val="000000"/>
              </w:rPr>
            </w:pPr>
            <w:r w:rsidRPr="00C2587D">
              <w:rPr>
                <w:b/>
                <w:bCs/>
                <w:color w:val="000000"/>
              </w:rPr>
              <w:t>по джерелах фінансування:</w:t>
            </w:r>
          </w:p>
        </w:tc>
        <w:tc>
          <w:tcPr>
            <w:tcW w:w="6794" w:type="dxa"/>
            <w:gridSpan w:val="7"/>
            <w:vAlign w:val="center"/>
          </w:tcPr>
          <w:p w14:paraId="567D958B" w14:textId="77777777" w:rsidR="00CB33C7" w:rsidRPr="00C2587D" w:rsidRDefault="00CB33C7" w:rsidP="00EA6E27">
            <w:pPr>
              <w:jc w:val="both"/>
              <w:rPr>
                <w:color w:val="000000"/>
                <w:lang w:eastAsia="it-IT"/>
              </w:rPr>
            </w:pPr>
          </w:p>
        </w:tc>
      </w:tr>
      <w:tr w:rsidR="007E3992" w:rsidRPr="00C2587D" w14:paraId="579A31E2" w14:textId="25A29A3B" w:rsidTr="007E3992">
        <w:trPr>
          <w:trHeight w:val="240"/>
          <w:jc w:val="right"/>
        </w:trPr>
        <w:tc>
          <w:tcPr>
            <w:tcW w:w="3425" w:type="dxa"/>
            <w:shd w:val="clear" w:color="auto" w:fill="FFFFFF"/>
            <w:vAlign w:val="center"/>
          </w:tcPr>
          <w:p w14:paraId="44D858F8" w14:textId="77777777" w:rsidR="007E3992" w:rsidRPr="00C2587D" w:rsidRDefault="007E3992" w:rsidP="00EA6E27">
            <w:pPr>
              <w:rPr>
                <w:b/>
                <w:bCs/>
                <w:color w:val="000000"/>
              </w:rPr>
            </w:pPr>
            <w:r w:rsidRPr="00C2587D">
              <w:rPr>
                <w:color w:val="000000"/>
              </w:rPr>
              <w:t>- державний бюджет</w:t>
            </w:r>
          </w:p>
        </w:tc>
        <w:tc>
          <w:tcPr>
            <w:tcW w:w="1240" w:type="dxa"/>
            <w:vAlign w:val="center"/>
          </w:tcPr>
          <w:p w14:paraId="3AD9FBB5" w14:textId="06F640ED" w:rsidR="007E3992" w:rsidRPr="00C2587D" w:rsidRDefault="007E3992" w:rsidP="00EA6E27">
            <w:pPr>
              <w:jc w:val="both"/>
              <w:rPr>
                <w:color w:val="000000"/>
                <w:lang w:eastAsia="it-IT"/>
              </w:rPr>
            </w:pPr>
          </w:p>
        </w:tc>
        <w:tc>
          <w:tcPr>
            <w:tcW w:w="1302" w:type="dxa"/>
            <w:gridSpan w:val="3"/>
            <w:vAlign w:val="center"/>
          </w:tcPr>
          <w:p w14:paraId="6036A539" w14:textId="15B3AEFB" w:rsidR="007E3992" w:rsidRPr="00C2587D" w:rsidRDefault="007E3992" w:rsidP="007E3992">
            <w:pPr>
              <w:ind w:left="93"/>
              <w:jc w:val="both"/>
              <w:rPr>
                <w:color w:val="000000"/>
                <w:lang w:eastAsia="it-IT"/>
              </w:rPr>
            </w:pPr>
            <w:r w:rsidRPr="00C2587D">
              <w:rPr>
                <w:rFonts w:eastAsia="Arial" w:cs="Arial"/>
              </w:rPr>
              <w:t>8000,00</w:t>
            </w:r>
          </w:p>
        </w:tc>
        <w:tc>
          <w:tcPr>
            <w:tcW w:w="1402" w:type="dxa"/>
            <w:vAlign w:val="center"/>
          </w:tcPr>
          <w:p w14:paraId="7F85E4D8" w14:textId="0D3C3843" w:rsidR="007E3992" w:rsidRPr="00C2587D" w:rsidRDefault="007E3992" w:rsidP="007E3992">
            <w:pPr>
              <w:jc w:val="both"/>
              <w:rPr>
                <w:color w:val="000000"/>
                <w:lang w:eastAsia="it-IT"/>
              </w:rPr>
            </w:pPr>
          </w:p>
        </w:tc>
        <w:tc>
          <w:tcPr>
            <w:tcW w:w="1277" w:type="dxa"/>
            <w:vAlign w:val="center"/>
          </w:tcPr>
          <w:p w14:paraId="14F73B87" w14:textId="487FF4E0" w:rsidR="007E3992" w:rsidRPr="00C2587D" w:rsidRDefault="007E3992" w:rsidP="007E3992">
            <w:pPr>
              <w:jc w:val="both"/>
              <w:rPr>
                <w:color w:val="000000"/>
                <w:lang w:eastAsia="it-IT"/>
              </w:rPr>
            </w:pPr>
          </w:p>
        </w:tc>
        <w:tc>
          <w:tcPr>
            <w:tcW w:w="1573" w:type="dxa"/>
            <w:vAlign w:val="center"/>
          </w:tcPr>
          <w:p w14:paraId="6A0382AD" w14:textId="72451923" w:rsidR="007E3992" w:rsidRPr="007E3992" w:rsidRDefault="007E3992" w:rsidP="007E3992">
            <w:pPr>
              <w:tabs>
                <w:tab w:val="left" w:pos="76"/>
              </w:tabs>
              <w:ind w:left="399" w:hanging="399"/>
              <w:jc w:val="center"/>
              <w:rPr>
                <w:b/>
                <w:color w:val="000000"/>
                <w:lang w:eastAsia="it-IT"/>
              </w:rPr>
            </w:pPr>
            <w:r w:rsidRPr="007E3992">
              <w:rPr>
                <w:rFonts w:eastAsia="Arial" w:cs="Arial"/>
                <w:b/>
              </w:rPr>
              <w:t>8000,00</w:t>
            </w:r>
          </w:p>
        </w:tc>
      </w:tr>
      <w:tr w:rsidR="007E3992" w:rsidRPr="00C2587D" w14:paraId="2A259FB7" w14:textId="52D9A976" w:rsidTr="007E3992">
        <w:trPr>
          <w:trHeight w:val="254"/>
          <w:jc w:val="right"/>
        </w:trPr>
        <w:tc>
          <w:tcPr>
            <w:tcW w:w="3425" w:type="dxa"/>
            <w:shd w:val="clear" w:color="auto" w:fill="FFFFFF"/>
            <w:vAlign w:val="center"/>
          </w:tcPr>
          <w:p w14:paraId="517890DA" w14:textId="77777777" w:rsidR="007E3992" w:rsidRPr="00C2587D" w:rsidRDefault="007E3992" w:rsidP="00EA6E27">
            <w:pPr>
              <w:rPr>
                <w:color w:val="000000"/>
              </w:rPr>
            </w:pPr>
            <w:r w:rsidRPr="00C2587D">
              <w:rPr>
                <w:color w:val="000000"/>
              </w:rPr>
              <w:t>- обласний бюджет</w:t>
            </w:r>
          </w:p>
        </w:tc>
        <w:tc>
          <w:tcPr>
            <w:tcW w:w="1240" w:type="dxa"/>
            <w:vAlign w:val="center"/>
          </w:tcPr>
          <w:p w14:paraId="1959EEAA" w14:textId="154997F0" w:rsidR="007E3992" w:rsidRPr="00C2587D" w:rsidRDefault="007E3992" w:rsidP="00EA6E27">
            <w:pPr>
              <w:jc w:val="both"/>
              <w:rPr>
                <w:color w:val="000000"/>
                <w:lang w:eastAsia="it-IT"/>
              </w:rPr>
            </w:pPr>
          </w:p>
        </w:tc>
        <w:tc>
          <w:tcPr>
            <w:tcW w:w="1302" w:type="dxa"/>
            <w:gridSpan w:val="3"/>
            <w:vAlign w:val="center"/>
          </w:tcPr>
          <w:p w14:paraId="5185503F" w14:textId="54DD12D3" w:rsidR="007E3992" w:rsidRPr="00C2587D" w:rsidRDefault="007E3992" w:rsidP="007E3992">
            <w:pPr>
              <w:jc w:val="both"/>
              <w:rPr>
                <w:color w:val="000000"/>
                <w:lang w:eastAsia="it-IT"/>
              </w:rPr>
            </w:pPr>
          </w:p>
        </w:tc>
        <w:tc>
          <w:tcPr>
            <w:tcW w:w="1402" w:type="dxa"/>
            <w:vAlign w:val="center"/>
          </w:tcPr>
          <w:p w14:paraId="233B9F8B" w14:textId="3F4E4907" w:rsidR="007E3992" w:rsidRPr="00C2587D" w:rsidRDefault="007E3992" w:rsidP="007E3992">
            <w:pPr>
              <w:jc w:val="both"/>
              <w:rPr>
                <w:color w:val="000000"/>
                <w:lang w:eastAsia="it-IT"/>
              </w:rPr>
            </w:pPr>
          </w:p>
        </w:tc>
        <w:tc>
          <w:tcPr>
            <w:tcW w:w="1277" w:type="dxa"/>
            <w:vAlign w:val="center"/>
          </w:tcPr>
          <w:p w14:paraId="594EEC65" w14:textId="7E954393" w:rsidR="007E3992" w:rsidRPr="00C2587D" w:rsidRDefault="007E3992" w:rsidP="007E3992">
            <w:pPr>
              <w:ind w:left="969"/>
              <w:jc w:val="both"/>
              <w:rPr>
                <w:color w:val="000000"/>
                <w:lang w:eastAsia="it-IT"/>
              </w:rPr>
            </w:pPr>
            <w:r w:rsidRPr="00C2587D">
              <w:rPr>
                <w:color w:val="000000"/>
                <w:lang w:eastAsia="it-IT"/>
              </w:rPr>
              <w:t>.</w:t>
            </w:r>
          </w:p>
        </w:tc>
        <w:tc>
          <w:tcPr>
            <w:tcW w:w="1573" w:type="dxa"/>
            <w:vAlign w:val="center"/>
          </w:tcPr>
          <w:p w14:paraId="0346F667" w14:textId="77777777" w:rsidR="007E3992" w:rsidRPr="007E3992" w:rsidRDefault="007E3992" w:rsidP="007E3992">
            <w:pPr>
              <w:tabs>
                <w:tab w:val="left" w:pos="76"/>
              </w:tabs>
              <w:ind w:hanging="399"/>
              <w:jc w:val="center"/>
              <w:rPr>
                <w:b/>
                <w:color w:val="000000"/>
                <w:lang w:eastAsia="it-IT"/>
              </w:rPr>
            </w:pPr>
          </w:p>
        </w:tc>
      </w:tr>
      <w:tr w:rsidR="007E3992" w:rsidRPr="00C2587D" w14:paraId="4FE1923E" w14:textId="2AC4A7CC" w:rsidTr="007E3992">
        <w:trPr>
          <w:trHeight w:val="275"/>
          <w:jc w:val="right"/>
        </w:trPr>
        <w:tc>
          <w:tcPr>
            <w:tcW w:w="3425" w:type="dxa"/>
            <w:shd w:val="clear" w:color="auto" w:fill="FFFFFF"/>
            <w:vAlign w:val="center"/>
          </w:tcPr>
          <w:p w14:paraId="006CEC8D" w14:textId="77777777" w:rsidR="007E3992" w:rsidRPr="00C2587D" w:rsidRDefault="007E3992" w:rsidP="00EA6E27">
            <w:pPr>
              <w:rPr>
                <w:color w:val="000000"/>
              </w:rPr>
            </w:pPr>
            <w:r w:rsidRPr="00C2587D">
              <w:rPr>
                <w:color w:val="000000"/>
              </w:rPr>
              <w:t>- бюджет Жмеринської МТГ</w:t>
            </w:r>
          </w:p>
        </w:tc>
        <w:tc>
          <w:tcPr>
            <w:tcW w:w="1240" w:type="dxa"/>
            <w:vAlign w:val="center"/>
          </w:tcPr>
          <w:p w14:paraId="6DBB921F" w14:textId="6AEA2CAE" w:rsidR="007E3992" w:rsidRPr="00C2587D" w:rsidRDefault="007E3992" w:rsidP="00EA6E27">
            <w:pPr>
              <w:jc w:val="both"/>
              <w:rPr>
                <w:color w:val="000000"/>
                <w:lang w:eastAsia="it-IT"/>
              </w:rPr>
            </w:pPr>
          </w:p>
        </w:tc>
        <w:tc>
          <w:tcPr>
            <w:tcW w:w="1302" w:type="dxa"/>
            <w:gridSpan w:val="3"/>
            <w:vAlign w:val="center"/>
          </w:tcPr>
          <w:p w14:paraId="12EFA8D3" w14:textId="590138DF" w:rsidR="007E3992" w:rsidRPr="00C2587D" w:rsidRDefault="007E3992" w:rsidP="007E3992">
            <w:pPr>
              <w:ind w:left="93"/>
              <w:jc w:val="both"/>
              <w:rPr>
                <w:color w:val="000000"/>
                <w:lang w:eastAsia="it-IT"/>
              </w:rPr>
            </w:pPr>
            <w:r w:rsidRPr="00C2587D">
              <w:rPr>
                <w:rFonts w:eastAsia="Arial" w:cs="Arial"/>
              </w:rPr>
              <w:t>2000,00</w:t>
            </w:r>
          </w:p>
        </w:tc>
        <w:tc>
          <w:tcPr>
            <w:tcW w:w="1402" w:type="dxa"/>
            <w:vAlign w:val="center"/>
          </w:tcPr>
          <w:p w14:paraId="06908DC2" w14:textId="74315A9D" w:rsidR="007E3992" w:rsidRPr="00C2587D" w:rsidRDefault="007E3992" w:rsidP="007E3992">
            <w:pPr>
              <w:jc w:val="both"/>
              <w:rPr>
                <w:color w:val="000000"/>
                <w:lang w:eastAsia="it-IT"/>
              </w:rPr>
            </w:pPr>
          </w:p>
        </w:tc>
        <w:tc>
          <w:tcPr>
            <w:tcW w:w="1277" w:type="dxa"/>
            <w:vAlign w:val="center"/>
          </w:tcPr>
          <w:p w14:paraId="20D4D318" w14:textId="66657538" w:rsidR="007E3992" w:rsidRPr="00C2587D" w:rsidRDefault="007E3992" w:rsidP="007E3992">
            <w:pPr>
              <w:jc w:val="both"/>
              <w:rPr>
                <w:color w:val="000000"/>
                <w:lang w:eastAsia="it-IT"/>
              </w:rPr>
            </w:pPr>
          </w:p>
        </w:tc>
        <w:tc>
          <w:tcPr>
            <w:tcW w:w="1573" w:type="dxa"/>
            <w:vAlign w:val="center"/>
          </w:tcPr>
          <w:p w14:paraId="55660065" w14:textId="60137B13" w:rsidR="007E3992" w:rsidRPr="007E3992" w:rsidRDefault="007E3992" w:rsidP="007E3992">
            <w:pPr>
              <w:tabs>
                <w:tab w:val="left" w:pos="76"/>
              </w:tabs>
              <w:ind w:left="35" w:firstLine="39"/>
              <w:jc w:val="center"/>
              <w:rPr>
                <w:b/>
                <w:color w:val="000000"/>
                <w:lang w:eastAsia="it-IT"/>
              </w:rPr>
            </w:pPr>
            <w:r w:rsidRPr="007E3992">
              <w:rPr>
                <w:rFonts w:eastAsia="Arial" w:cs="Arial"/>
                <w:b/>
              </w:rPr>
              <w:t>2000,00</w:t>
            </w:r>
          </w:p>
        </w:tc>
      </w:tr>
      <w:tr w:rsidR="007E3992" w:rsidRPr="00C2587D" w14:paraId="281F8EE6" w14:textId="42849C31" w:rsidTr="007E3992">
        <w:trPr>
          <w:trHeight w:val="226"/>
          <w:jc w:val="right"/>
        </w:trPr>
        <w:tc>
          <w:tcPr>
            <w:tcW w:w="3425" w:type="dxa"/>
            <w:shd w:val="clear" w:color="auto" w:fill="FFFFFF"/>
            <w:vAlign w:val="center"/>
          </w:tcPr>
          <w:p w14:paraId="1BB437F5" w14:textId="77777777" w:rsidR="007E3992" w:rsidRPr="00C2587D" w:rsidRDefault="007E3992" w:rsidP="00EA6E27">
            <w:pPr>
              <w:rPr>
                <w:color w:val="000000"/>
              </w:rPr>
            </w:pPr>
            <w:r w:rsidRPr="00C2587D">
              <w:rPr>
                <w:color w:val="000000"/>
              </w:rPr>
              <w:t>- інші джерела фінансування</w:t>
            </w:r>
          </w:p>
        </w:tc>
        <w:tc>
          <w:tcPr>
            <w:tcW w:w="1240" w:type="dxa"/>
            <w:vAlign w:val="center"/>
          </w:tcPr>
          <w:p w14:paraId="6BD366E7" w14:textId="2EEBAC84" w:rsidR="007E3992" w:rsidRPr="00C2587D" w:rsidRDefault="007E3992" w:rsidP="00EA6E27">
            <w:pPr>
              <w:jc w:val="both"/>
              <w:rPr>
                <w:color w:val="000000"/>
                <w:lang w:eastAsia="it-IT"/>
              </w:rPr>
            </w:pPr>
          </w:p>
        </w:tc>
        <w:tc>
          <w:tcPr>
            <w:tcW w:w="1302" w:type="dxa"/>
            <w:gridSpan w:val="3"/>
            <w:vAlign w:val="center"/>
          </w:tcPr>
          <w:p w14:paraId="542B54A2" w14:textId="7132318D" w:rsidR="007E3992" w:rsidRPr="00C2587D" w:rsidRDefault="007E3992" w:rsidP="007E3992">
            <w:pPr>
              <w:jc w:val="both"/>
              <w:rPr>
                <w:color w:val="000000"/>
                <w:lang w:eastAsia="it-IT"/>
              </w:rPr>
            </w:pPr>
          </w:p>
        </w:tc>
        <w:tc>
          <w:tcPr>
            <w:tcW w:w="1402" w:type="dxa"/>
            <w:vAlign w:val="center"/>
          </w:tcPr>
          <w:p w14:paraId="37C12609" w14:textId="4F48071C" w:rsidR="007E3992" w:rsidRPr="00C2587D" w:rsidRDefault="007E3992" w:rsidP="007E3992">
            <w:pPr>
              <w:jc w:val="both"/>
              <w:rPr>
                <w:color w:val="000000"/>
                <w:lang w:eastAsia="it-IT"/>
              </w:rPr>
            </w:pPr>
          </w:p>
        </w:tc>
        <w:tc>
          <w:tcPr>
            <w:tcW w:w="1277" w:type="dxa"/>
            <w:vAlign w:val="center"/>
          </w:tcPr>
          <w:p w14:paraId="24DC825F" w14:textId="2E56B41A" w:rsidR="007E3992" w:rsidRPr="00C2587D" w:rsidRDefault="007E3992" w:rsidP="007E3992">
            <w:pPr>
              <w:ind w:left="1032"/>
              <w:jc w:val="both"/>
              <w:rPr>
                <w:color w:val="000000"/>
                <w:lang w:eastAsia="it-IT"/>
              </w:rPr>
            </w:pPr>
            <w:r w:rsidRPr="00C2587D">
              <w:rPr>
                <w:color w:val="000000"/>
                <w:lang w:eastAsia="it-IT"/>
              </w:rPr>
              <w:t>.</w:t>
            </w:r>
          </w:p>
        </w:tc>
        <w:tc>
          <w:tcPr>
            <w:tcW w:w="1573" w:type="dxa"/>
            <w:vAlign w:val="center"/>
          </w:tcPr>
          <w:p w14:paraId="7468D6AB" w14:textId="77777777" w:rsidR="007E3992" w:rsidRPr="00C2587D" w:rsidRDefault="007E3992" w:rsidP="007E3992">
            <w:pPr>
              <w:jc w:val="both"/>
              <w:rPr>
                <w:color w:val="000000"/>
                <w:lang w:eastAsia="it-IT"/>
              </w:rPr>
            </w:pPr>
          </w:p>
        </w:tc>
      </w:tr>
      <w:tr w:rsidR="00CB33C7" w:rsidRPr="00C2587D" w14:paraId="0614834E" w14:textId="77777777" w:rsidTr="00EA6E27">
        <w:trPr>
          <w:jc w:val="right"/>
        </w:trPr>
        <w:tc>
          <w:tcPr>
            <w:tcW w:w="3425" w:type="dxa"/>
            <w:shd w:val="clear" w:color="auto" w:fill="FFFFFF"/>
            <w:vAlign w:val="center"/>
          </w:tcPr>
          <w:p w14:paraId="5DB9E572" w14:textId="77777777" w:rsidR="00CB33C7" w:rsidRPr="00C2587D" w:rsidRDefault="00CB33C7" w:rsidP="00EA6E27">
            <w:pPr>
              <w:rPr>
                <w:b/>
                <w:bCs/>
                <w:color w:val="000000"/>
              </w:rPr>
            </w:pPr>
            <w:r w:rsidRPr="00C2587D">
              <w:rPr>
                <w:b/>
                <w:color w:val="000000"/>
              </w:rPr>
              <w:t>Відповідальний виконавець проєкту:</w:t>
            </w:r>
          </w:p>
        </w:tc>
        <w:tc>
          <w:tcPr>
            <w:tcW w:w="6794" w:type="dxa"/>
            <w:gridSpan w:val="7"/>
            <w:vAlign w:val="center"/>
          </w:tcPr>
          <w:p w14:paraId="3FA422BA" w14:textId="77777777" w:rsidR="00CB33C7" w:rsidRPr="00C2587D" w:rsidRDefault="00CB33C7" w:rsidP="00EA6E27">
            <w:pPr>
              <w:jc w:val="both"/>
              <w:rPr>
                <w:color w:val="000000"/>
                <w:lang w:eastAsia="it-IT"/>
              </w:rPr>
            </w:pPr>
            <w:r w:rsidRPr="00C2587D">
              <w:rPr>
                <w:color w:val="000000"/>
                <w:lang w:eastAsia="it-IT"/>
              </w:rPr>
              <w:t>Управління ЖКГ</w:t>
            </w:r>
          </w:p>
          <w:p w14:paraId="16D50B05" w14:textId="77777777" w:rsidR="00CB33C7" w:rsidRPr="00C2587D" w:rsidRDefault="00CB33C7" w:rsidP="00EA6E27">
            <w:pPr>
              <w:jc w:val="both"/>
              <w:rPr>
                <w:color w:val="000000"/>
                <w:lang w:eastAsia="it-IT"/>
              </w:rPr>
            </w:pPr>
          </w:p>
        </w:tc>
      </w:tr>
      <w:tr w:rsidR="00CB33C7" w:rsidRPr="00C2587D" w14:paraId="2880C3B1" w14:textId="77777777" w:rsidTr="00EA6E27">
        <w:trPr>
          <w:jc w:val="right"/>
        </w:trPr>
        <w:tc>
          <w:tcPr>
            <w:tcW w:w="3425" w:type="dxa"/>
            <w:shd w:val="clear" w:color="auto" w:fill="FFFFFF"/>
            <w:vAlign w:val="center"/>
          </w:tcPr>
          <w:p w14:paraId="5BFDFB8F" w14:textId="77777777" w:rsidR="00CB33C7" w:rsidRPr="00C2587D" w:rsidRDefault="00CB33C7" w:rsidP="00EA6E27">
            <w:pPr>
              <w:rPr>
                <w:b/>
                <w:bCs/>
                <w:color w:val="000000"/>
              </w:rPr>
            </w:pPr>
            <w:r w:rsidRPr="00C2587D">
              <w:rPr>
                <w:b/>
                <w:bCs/>
                <w:color w:val="000000"/>
              </w:rPr>
              <w:t>Інше:</w:t>
            </w:r>
          </w:p>
        </w:tc>
        <w:tc>
          <w:tcPr>
            <w:tcW w:w="6794" w:type="dxa"/>
            <w:gridSpan w:val="7"/>
            <w:vAlign w:val="center"/>
          </w:tcPr>
          <w:p w14:paraId="39A88DF1" w14:textId="77777777" w:rsidR="00CB33C7" w:rsidRPr="00C2587D" w:rsidRDefault="00CB33C7" w:rsidP="00EA6E27">
            <w:pPr>
              <w:rPr>
                <w:color w:val="000000"/>
                <w:lang w:eastAsia="it-IT"/>
              </w:rPr>
            </w:pPr>
          </w:p>
          <w:p w14:paraId="125A2D19" w14:textId="77777777" w:rsidR="00CB33C7" w:rsidRPr="00C2587D" w:rsidRDefault="00CB33C7" w:rsidP="00EA6E27">
            <w:pPr>
              <w:rPr>
                <w:color w:val="000000"/>
                <w:lang w:eastAsia="it-IT"/>
              </w:rPr>
            </w:pPr>
          </w:p>
        </w:tc>
      </w:tr>
    </w:tbl>
    <w:p w14:paraId="6EE02C33" w14:textId="77777777" w:rsidR="00CB33C7" w:rsidRPr="00C2587D" w:rsidRDefault="00CB33C7" w:rsidP="00CB33C7"/>
    <w:p w14:paraId="290C84A2" w14:textId="77777777" w:rsidR="00CB33C7" w:rsidRPr="00C2587D" w:rsidRDefault="00CB33C7" w:rsidP="00CB33C7"/>
    <w:p w14:paraId="6049081A" w14:textId="77777777" w:rsidR="00CB33C7" w:rsidRPr="00C2587D" w:rsidRDefault="00CB33C7" w:rsidP="00CB33C7">
      <w:pPr>
        <w:jc w:val="center"/>
        <w:rPr>
          <w:rFonts w:cs="Arial"/>
          <w:b/>
          <w:color w:val="000000"/>
          <w:szCs w:val="22"/>
        </w:rPr>
      </w:pPr>
      <w:r w:rsidRPr="00C2587D">
        <w:t xml:space="preserve"> </w:t>
      </w:r>
      <w:r w:rsidRPr="00C2587D">
        <w:rPr>
          <w:rFonts w:cs="Arial"/>
          <w:b/>
          <w:color w:val="000000"/>
          <w:szCs w:val="22"/>
        </w:rPr>
        <w:t xml:space="preserve">Форма технічного завдання на проєкт місцевого розвитку </w:t>
      </w:r>
    </w:p>
    <w:p w14:paraId="6CC8B1B2" w14:textId="77777777" w:rsidR="00CB33C7" w:rsidRPr="00C2587D" w:rsidRDefault="00CB33C7" w:rsidP="00CB33C7">
      <w:pPr>
        <w:jc w:val="center"/>
        <w:rPr>
          <w:rFonts w:cs="Arial"/>
          <w:b/>
          <w:color w:val="000000"/>
          <w:szCs w:val="22"/>
        </w:rPr>
      </w:pPr>
      <w:r w:rsidRPr="00C2587D">
        <w:rPr>
          <w:rFonts w:cs="Arial"/>
          <w:b/>
          <w:color w:val="000000"/>
          <w:szCs w:val="22"/>
        </w:rPr>
        <w:t>до Плану заходів з реалізації Стратегії</w:t>
      </w:r>
    </w:p>
    <w:p w14:paraId="6A55FB36" w14:textId="77777777" w:rsidR="00CB33C7" w:rsidRPr="00C2587D" w:rsidRDefault="00CB33C7" w:rsidP="00CB33C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4"/>
        <w:gridCol w:w="1254"/>
        <w:gridCol w:w="23"/>
        <w:gridCol w:w="1252"/>
        <w:gridCol w:w="38"/>
        <w:gridCol w:w="1365"/>
        <w:gridCol w:w="15"/>
        <w:gridCol w:w="1276"/>
        <w:gridCol w:w="1572"/>
      </w:tblGrid>
      <w:tr w:rsidR="00CB33C7" w:rsidRPr="00C2587D" w14:paraId="18AE9A7B" w14:textId="77777777" w:rsidTr="00EA6E27">
        <w:trPr>
          <w:jc w:val="right"/>
        </w:trPr>
        <w:tc>
          <w:tcPr>
            <w:tcW w:w="3425" w:type="dxa"/>
            <w:vAlign w:val="center"/>
          </w:tcPr>
          <w:p w14:paraId="7F934910" w14:textId="77777777" w:rsidR="00CB33C7" w:rsidRPr="00C2587D" w:rsidRDefault="00CB33C7" w:rsidP="00EA6E27">
            <w:pPr>
              <w:rPr>
                <w:b/>
                <w:bCs/>
                <w:color w:val="000000"/>
              </w:rPr>
            </w:pPr>
            <w:r w:rsidRPr="00C2587D">
              <w:rPr>
                <w:b/>
                <w:bCs/>
                <w:color w:val="000000"/>
              </w:rPr>
              <w:t>Назва проєкту:</w:t>
            </w:r>
          </w:p>
        </w:tc>
        <w:tc>
          <w:tcPr>
            <w:tcW w:w="6794" w:type="dxa"/>
            <w:gridSpan w:val="8"/>
          </w:tcPr>
          <w:p w14:paraId="5066F415" w14:textId="77777777" w:rsidR="00CB33C7" w:rsidRPr="00C2587D" w:rsidRDefault="00CB33C7" w:rsidP="00EA6E27">
            <w:pPr>
              <w:spacing w:before="40" w:after="40"/>
              <w:rPr>
                <w:b/>
                <w:lang w:eastAsia="it-IT"/>
              </w:rPr>
            </w:pPr>
            <w:r w:rsidRPr="00C2587D">
              <w:rPr>
                <w:rFonts w:eastAsia="Arial"/>
                <w:b/>
              </w:rPr>
              <w:t>Нове будівництво мереж водопостачання в с Щученці,  Жмеринського району Вінницької області</w:t>
            </w:r>
          </w:p>
        </w:tc>
      </w:tr>
      <w:tr w:rsidR="00CB33C7" w:rsidRPr="00C2587D" w14:paraId="5A4AF742" w14:textId="77777777" w:rsidTr="00EA6E27">
        <w:trPr>
          <w:jc w:val="right"/>
        </w:trPr>
        <w:tc>
          <w:tcPr>
            <w:tcW w:w="3425" w:type="dxa"/>
          </w:tcPr>
          <w:p w14:paraId="7D6913C8" w14:textId="77777777" w:rsidR="00CB33C7" w:rsidRPr="00C2587D" w:rsidRDefault="00CB33C7" w:rsidP="00EA6E27">
            <w:pPr>
              <w:spacing w:before="40" w:after="40"/>
              <w:rPr>
                <w:lang w:eastAsia="it-IT"/>
              </w:rPr>
            </w:pPr>
            <w:r w:rsidRPr="00C2587D">
              <w:rPr>
                <w:b/>
                <w:bCs/>
              </w:rPr>
              <w:t>Ваші контакти</w:t>
            </w:r>
            <w:r w:rsidRPr="00C2587D">
              <w:rPr>
                <w:lang w:eastAsia="it-IT"/>
              </w:rPr>
              <w:t>:</w:t>
            </w:r>
          </w:p>
          <w:p w14:paraId="4328DB37" w14:textId="77777777" w:rsidR="00CB33C7" w:rsidRPr="00C2587D" w:rsidRDefault="00CB33C7" w:rsidP="00EA6E27">
            <w:pPr>
              <w:spacing w:before="40" w:after="40"/>
              <w:rPr>
                <w:b/>
                <w:bCs/>
              </w:rPr>
            </w:pPr>
            <w:r w:rsidRPr="00C2587D">
              <w:rPr>
                <w:lang w:eastAsia="it-IT"/>
              </w:rPr>
              <w:t>Назва установи, організації, підприємства</w:t>
            </w:r>
          </w:p>
        </w:tc>
        <w:tc>
          <w:tcPr>
            <w:tcW w:w="6794" w:type="dxa"/>
            <w:gridSpan w:val="8"/>
          </w:tcPr>
          <w:p w14:paraId="116E94B1" w14:textId="77777777" w:rsidR="00CB33C7" w:rsidRPr="00C2587D" w:rsidRDefault="00CB33C7" w:rsidP="00EA6E27">
            <w:pPr>
              <w:spacing w:before="40" w:after="40"/>
              <w:rPr>
                <w:lang w:eastAsia="it-IT"/>
              </w:rPr>
            </w:pPr>
            <w:r w:rsidRPr="00C2587D">
              <w:rPr>
                <w:lang w:eastAsia="it-IT"/>
              </w:rPr>
              <w:t>Управління житлово-комунального господарства Жмеринської міської ради</w:t>
            </w:r>
          </w:p>
        </w:tc>
      </w:tr>
      <w:tr w:rsidR="00CB33C7" w:rsidRPr="00C2587D" w14:paraId="0FFD66D9" w14:textId="77777777" w:rsidTr="00EA6E27">
        <w:trPr>
          <w:jc w:val="right"/>
        </w:trPr>
        <w:tc>
          <w:tcPr>
            <w:tcW w:w="3425" w:type="dxa"/>
          </w:tcPr>
          <w:p w14:paraId="08FC7838" w14:textId="77777777" w:rsidR="00CB33C7" w:rsidRPr="00C2587D" w:rsidRDefault="00CB33C7" w:rsidP="00EA6E27">
            <w:pPr>
              <w:spacing w:before="40" w:after="40"/>
              <w:rPr>
                <w:b/>
                <w:bCs/>
              </w:rPr>
            </w:pPr>
            <w:r w:rsidRPr="00C2587D">
              <w:rPr>
                <w:lang w:eastAsia="it-IT"/>
              </w:rPr>
              <w:t>Прізвище Ім’я По-батькові:</w:t>
            </w:r>
          </w:p>
        </w:tc>
        <w:tc>
          <w:tcPr>
            <w:tcW w:w="6794" w:type="dxa"/>
            <w:gridSpan w:val="8"/>
          </w:tcPr>
          <w:p w14:paraId="589CBCA2" w14:textId="77777777" w:rsidR="00CB33C7" w:rsidRPr="00C2587D" w:rsidRDefault="00CB33C7" w:rsidP="00EA6E27">
            <w:pPr>
              <w:spacing w:before="40" w:after="40"/>
              <w:rPr>
                <w:lang w:eastAsia="it-IT"/>
              </w:rPr>
            </w:pPr>
            <w:r w:rsidRPr="00C2587D">
              <w:rPr>
                <w:lang w:eastAsia="it-IT"/>
              </w:rPr>
              <w:t>Оленич Андрій Васильович</w:t>
            </w:r>
          </w:p>
        </w:tc>
      </w:tr>
      <w:tr w:rsidR="00CB33C7" w:rsidRPr="00C2587D" w14:paraId="03AD333F" w14:textId="77777777" w:rsidTr="00EA6E27">
        <w:trPr>
          <w:jc w:val="right"/>
        </w:trPr>
        <w:tc>
          <w:tcPr>
            <w:tcW w:w="3425" w:type="dxa"/>
          </w:tcPr>
          <w:p w14:paraId="075F5E10" w14:textId="77777777" w:rsidR="00CB33C7" w:rsidRPr="00C2587D" w:rsidRDefault="00CB33C7" w:rsidP="00EA6E27">
            <w:pPr>
              <w:spacing w:before="40" w:after="40"/>
              <w:rPr>
                <w:b/>
                <w:bCs/>
              </w:rPr>
            </w:pPr>
            <w:r w:rsidRPr="00C2587D">
              <w:rPr>
                <w:lang w:eastAsia="it-IT"/>
              </w:rPr>
              <w:t>Телефон (мобільний):</w:t>
            </w:r>
          </w:p>
        </w:tc>
        <w:tc>
          <w:tcPr>
            <w:tcW w:w="6794" w:type="dxa"/>
            <w:gridSpan w:val="8"/>
          </w:tcPr>
          <w:p w14:paraId="70A84D5F" w14:textId="77777777" w:rsidR="00CB33C7" w:rsidRPr="00C2587D" w:rsidRDefault="00CB33C7" w:rsidP="00EA6E27">
            <w:pPr>
              <w:spacing w:before="40" w:after="40"/>
              <w:rPr>
                <w:lang w:eastAsia="it-IT"/>
              </w:rPr>
            </w:pPr>
            <w:r w:rsidRPr="00C2587D">
              <w:rPr>
                <w:lang w:eastAsia="it-IT"/>
              </w:rPr>
              <w:t>0972561907</w:t>
            </w:r>
          </w:p>
        </w:tc>
      </w:tr>
      <w:tr w:rsidR="00CB33C7" w:rsidRPr="00C2587D" w14:paraId="0411BD45" w14:textId="77777777" w:rsidTr="00EA6E27">
        <w:trPr>
          <w:jc w:val="right"/>
        </w:trPr>
        <w:tc>
          <w:tcPr>
            <w:tcW w:w="3425" w:type="dxa"/>
          </w:tcPr>
          <w:p w14:paraId="2693A392" w14:textId="77777777" w:rsidR="00CB33C7" w:rsidRPr="00C2587D" w:rsidRDefault="00CB33C7" w:rsidP="00EA6E27">
            <w:pPr>
              <w:spacing w:before="40" w:after="40"/>
              <w:rPr>
                <w:b/>
                <w:bCs/>
              </w:rPr>
            </w:pPr>
            <w:r w:rsidRPr="00C2587D">
              <w:rPr>
                <w:lang w:eastAsia="it-IT"/>
              </w:rPr>
              <w:t>Електронна адреса:</w:t>
            </w:r>
          </w:p>
        </w:tc>
        <w:tc>
          <w:tcPr>
            <w:tcW w:w="6794" w:type="dxa"/>
            <w:gridSpan w:val="8"/>
          </w:tcPr>
          <w:p w14:paraId="08F6EDE9" w14:textId="77777777" w:rsidR="00CB33C7" w:rsidRPr="00C2587D" w:rsidRDefault="00D85FFD" w:rsidP="00EA6E27">
            <w:pPr>
              <w:spacing w:before="40" w:after="40"/>
              <w:rPr>
                <w:lang w:eastAsia="it-IT"/>
              </w:rPr>
            </w:pPr>
            <w:hyperlink r:id="rId81" w:history="1">
              <w:r w:rsidR="00CB33C7" w:rsidRPr="00C2587D">
                <w:rPr>
                  <w:rStyle w:val="af0"/>
                  <w:noProof w:val="0"/>
                  <w:sz w:val="24"/>
                  <w:lang w:eastAsia="it-IT"/>
                </w:rPr>
                <w:t>Aolenych03@ukr.net</w:t>
              </w:r>
            </w:hyperlink>
          </w:p>
        </w:tc>
      </w:tr>
      <w:tr w:rsidR="00CB33C7" w:rsidRPr="00C2587D" w14:paraId="3294B7D5" w14:textId="77777777" w:rsidTr="00EA6E27">
        <w:trPr>
          <w:jc w:val="right"/>
        </w:trPr>
        <w:tc>
          <w:tcPr>
            <w:tcW w:w="3425" w:type="dxa"/>
            <w:vAlign w:val="center"/>
          </w:tcPr>
          <w:p w14:paraId="3796A754" w14:textId="77777777" w:rsidR="00CB33C7" w:rsidRPr="00C2587D" w:rsidRDefault="00CB33C7" w:rsidP="00EA6E27">
            <w:pPr>
              <w:pStyle w:val="6"/>
              <w:spacing w:before="0" w:after="0"/>
              <w:rPr>
                <w:color w:val="000000"/>
                <w:sz w:val="24"/>
                <w:szCs w:val="24"/>
                <w:lang w:val="uk-UA"/>
              </w:rPr>
            </w:pPr>
            <w:r w:rsidRPr="00C2587D">
              <w:rPr>
                <w:color w:val="000000"/>
                <w:sz w:val="24"/>
                <w:szCs w:val="24"/>
                <w:lang w:val="uk-UA"/>
              </w:rPr>
              <w:t>Номер і назва завдання з Стратегії</w:t>
            </w:r>
            <w:r w:rsidRPr="00C2587D">
              <w:rPr>
                <w:sz w:val="24"/>
                <w:szCs w:val="24"/>
                <w:lang w:val="uk-UA" w:eastAsia="it-IT"/>
              </w:rPr>
              <w:t xml:space="preserve"> </w:t>
            </w:r>
            <w:r w:rsidRPr="00C2587D">
              <w:rPr>
                <w:color w:val="000000"/>
                <w:sz w:val="24"/>
                <w:szCs w:val="24"/>
                <w:lang w:val="uk-UA"/>
              </w:rPr>
              <w:t>розвитку Жмеринської міської територіальної громади,  якому відповідає проєкт:</w:t>
            </w:r>
          </w:p>
        </w:tc>
        <w:tc>
          <w:tcPr>
            <w:tcW w:w="6794" w:type="dxa"/>
            <w:gridSpan w:val="8"/>
          </w:tcPr>
          <w:p w14:paraId="299E2240" w14:textId="77777777" w:rsidR="00CB33C7" w:rsidRPr="00C2587D" w:rsidRDefault="00CB33C7" w:rsidP="00EA6E27">
            <w:pPr>
              <w:pBdr>
                <w:left w:val="single" w:sz="18" w:space="4" w:color="auto"/>
              </w:pBdr>
              <w:spacing w:before="40" w:after="40"/>
              <w:rPr>
                <w:lang w:eastAsia="it-IT"/>
              </w:rPr>
            </w:pPr>
            <w:r w:rsidRPr="00C2587D">
              <w:rPr>
                <w:lang w:eastAsia="it-IT"/>
              </w:rPr>
              <w:t>В.1.3.1.Будівництво нових, реконструкція, капітальний ремонт, модернізація мереж централізованої системи водопостачання, водовідведення та каналізація.</w:t>
            </w:r>
          </w:p>
        </w:tc>
      </w:tr>
      <w:tr w:rsidR="00CB33C7" w:rsidRPr="00C2587D" w14:paraId="3A17A6F0" w14:textId="77777777" w:rsidTr="00EA6E27">
        <w:trPr>
          <w:jc w:val="right"/>
        </w:trPr>
        <w:tc>
          <w:tcPr>
            <w:tcW w:w="3425" w:type="dxa"/>
            <w:vAlign w:val="center"/>
          </w:tcPr>
          <w:p w14:paraId="0E5D4444" w14:textId="77777777" w:rsidR="00CB33C7" w:rsidRPr="00C2587D" w:rsidRDefault="00CB33C7" w:rsidP="00EA6E27">
            <w:pPr>
              <w:rPr>
                <w:b/>
                <w:bCs/>
                <w:color w:val="000000"/>
              </w:rPr>
            </w:pPr>
            <w:r w:rsidRPr="00C2587D">
              <w:rPr>
                <w:b/>
                <w:bCs/>
                <w:color w:val="000000"/>
              </w:rPr>
              <w:t>Мета проєкту:</w:t>
            </w:r>
          </w:p>
        </w:tc>
        <w:tc>
          <w:tcPr>
            <w:tcW w:w="6794" w:type="dxa"/>
            <w:gridSpan w:val="8"/>
          </w:tcPr>
          <w:p w14:paraId="2B10AF09" w14:textId="77777777" w:rsidR="00CB33C7" w:rsidRPr="00C2587D" w:rsidRDefault="00CB33C7" w:rsidP="00EA6E27">
            <w:pPr>
              <w:spacing w:before="40" w:after="40"/>
              <w:rPr>
                <w:lang w:eastAsia="it-IT"/>
              </w:rPr>
            </w:pPr>
            <w:r w:rsidRPr="00C2587D">
              <w:rPr>
                <w:lang w:eastAsia="it-IT"/>
              </w:rPr>
              <w:t xml:space="preserve">Надання мешканцям с. Щученці якісних послух з водопостачання, шляхом проведення нового будівництва </w:t>
            </w:r>
            <w:r w:rsidRPr="00C2587D">
              <w:rPr>
                <w:rFonts w:eastAsia="Arial"/>
              </w:rPr>
              <w:t>мереж водопостачання в с. Щученці</w:t>
            </w:r>
          </w:p>
        </w:tc>
      </w:tr>
      <w:tr w:rsidR="00CB33C7" w:rsidRPr="00C2587D" w14:paraId="487BA5CC" w14:textId="77777777" w:rsidTr="00EA6E27">
        <w:trPr>
          <w:jc w:val="right"/>
        </w:trPr>
        <w:tc>
          <w:tcPr>
            <w:tcW w:w="3425" w:type="dxa"/>
            <w:vAlign w:val="center"/>
          </w:tcPr>
          <w:p w14:paraId="386C27A5" w14:textId="77777777" w:rsidR="00CB33C7" w:rsidRPr="00C2587D" w:rsidRDefault="00CB33C7" w:rsidP="00EA6E27">
            <w:pPr>
              <w:rPr>
                <w:b/>
                <w:bCs/>
                <w:color w:val="000000"/>
              </w:rPr>
            </w:pPr>
            <w:r w:rsidRPr="00C2587D">
              <w:rPr>
                <w:b/>
                <w:bCs/>
                <w:color w:val="000000"/>
              </w:rPr>
              <w:t>Цілі проєкту:</w:t>
            </w:r>
          </w:p>
        </w:tc>
        <w:tc>
          <w:tcPr>
            <w:tcW w:w="6794" w:type="dxa"/>
            <w:gridSpan w:val="8"/>
          </w:tcPr>
          <w:p w14:paraId="2839B258" w14:textId="77777777" w:rsidR="00CB33C7" w:rsidRPr="00C2587D" w:rsidRDefault="00CB33C7" w:rsidP="00EA6E27">
            <w:pPr>
              <w:spacing w:before="40" w:after="40"/>
              <w:rPr>
                <w:lang w:eastAsia="it-IT"/>
              </w:rPr>
            </w:pPr>
            <w:r w:rsidRPr="00C2587D">
              <w:rPr>
                <w:lang w:eastAsia="it-IT"/>
              </w:rPr>
              <w:t xml:space="preserve">Забезпечення жителів с. Щученці якісною питною водою в достатній кількості </w:t>
            </w:r>
          </w:p>
        </w:tc>
      </w:tr>
      <w:tr w:rsidR="00CB33C7" w:rsidRPr="00C2587D" w14:paraId="63EFE0B9" w14:textId="77777777" w:rsidTr="00EA6E27">
        <w:trPr>
          <w:jc w:val="right"/>
        </w:trPr>
        <w:tc>
          <w:tcPr>
            <w:tcW w:w="3425" w:type="dxa"/>
            <w:vAlign w:val="center"/>
          </w:tcPr>
          <w:p w14:paraId="4A94560E" w14:textId="77777777" w:rsidR="00CB33C7" w:rsidRPr="00C2587D" w:rsidRDefault="00CB33C7" w:rsidP="00EA6E27">
            <w:pPr>
              <w:autoSpaceDE w:val="0"/>
              <w:autoSpaceDN w:val="0"/>
              <w:adjustRightInd w:val="0"/>
              <w:rPr>
                <w:b/>
                <w:color w:val="000000"/>
              </w:rPr>
            </w:pPr>
            <w:r w:rsidRPr="00C2587D">
              <w:rPr>
                <w:b/>
                <w:color w:val="000000"/>
              </w:rPr>
              <w:t>Територія на яку проєкт матиме вплив:</w:t>
            </w:r>
          </w:p>
        </w:tc>
        <w:tc>
          <w:tcPr>
            <w:tcW w:w="6794" w:type="dxa"/>
            <w:gridSpan w:val="8"/>
          </w:tcPr>
          <w:p w14:paraId="37B633D9" w14:textId="77777777" w:rsidR="00CB33C7" w:rsidRPr="00C2587D" w:rsidRDefault="00CB33C7" w:rsidP="00EA6E27">
            <w:pPr>
              <w:spacing w:before="40" w:after="40"/>
              <w:rPr>
                <w:lang w:eastAsia="it-IT"/>
              </w:rPr>
            </w:pPr>
            <w:r w:rsidRPr="00C2587D">
              <w:rPr>
                <w:lang w:eastAsia="it-IT"/>
              </w:rPr>
              <w:t xml:space="preserve">Територія с. Щученці </w:t>
            </w:r>
          </w:p>
        </w:tc>
      </w:tr>
      <w:tr w:rsidR="00CB33C7" w:rsidRPr="00C2587D" w14:paraId="38626A94" w14:textId="77777777" w:rsidTr="00EA6E27">
        <w:trPr>
          <w:jc w:val="right"/>
        </w:trPr>
        <w:tc>
          <w:tcPr>
            <w:tcW w:w="3425" w:type="dxa"/>
            <w:vAlign w:val="center"/>
          </w:tcPr>
          <w:p w14:paraId="048D11B2" w14:textId="77777777" w:rsidR="00CB33C7" w:rsidRPr="00C2587D" w:rsidRDefault="00CB33C7" w:rsidP="00EA6E27">
            <w:pPr>
              <w:autoSpaceDE w:val="0"/>
              <w:autoSpaceDN w:val="0"/>
              <w:adjustRightInd w:val="0"/>
              <w:rPr>
                <w:b/>
                <w:color w:val="000000"/>
              </w:rPr>
            </w:pPr>
            <w:r w:rsidRPr="00C2587D">
              <w:rPr>
                <w:b/>
                <w:color w:val="000000"/>
              </w:rPr>
              <w:t>Цільові групи проєкту та кількість отримувачів вигоди</w:t>
            </w:r>
          </w:p>
        </w:tc>
        <w:tc>
          <w:tcPr>
            <w:tcW w:w="6794" w:type="dxa"/>
            <w:gridSpan w:val="8"/>
          </w:tcPr>
          <w:p w14:paraId="32EC9023" w14:textId="77777777" w:rsidR="00CB33C7" w:rsidRPr="00C2587D" w:rsidRDefault="00CB33C7" w:rsidP="00EA6E27">
            <w:pPr>
              <w:spacing w:before="40" w:after="40"/>
              <w:rPr>
                <w:lang w:eastAsia="it-IT"/>
              </w:rPr>
            </w:pPr>
            <w:r w:rsidRPr="00C2587D">
              <w:rPr>
                <w:lang w:eastAsia="it-IT"/>
              </w:rPr>
              <w:t xml:space="preserve">Жителі с. Щученці </w:t>
            </w:r>
            <w:r w:rsidRPr="00C2587D">
              <w:t>319 селян</w:t>
            </w:r>
          </w:p>
        </w:tc>
      </w:tr>
      <w:tr w:rsidR="00CB33C7" w:rsidRPr="00C2587D" w14:paraId="7FDEABD8" w14:textId="77777777" w:rsidTr="00EA6E27">
        <w:trPr>
          <w:jc w:val="right"/>
        </w:trPr>
        <w:tc>
          <w:tcPr>
            <w:tcW w:w="3425" w:type="dxa"/>
            <w:shd w:val="clear" w:color="auto" w:fill="FFFFFF"/>
            <w:vAlign w:val="center"/>
          </w:tcPr>
          <w:p w14:paraId="329F7DC4" w14:textId="77777777" w:rsidR="00CB33C7" w:rsidRPr="00C2587D" w:rsidRDefault="00CB33C7" w:rsidP="00EA6E27">
            <w:pPr>
              <w:rPr>
                <w:b/>
                <w:bCs/>
                <w:color w:val="000000"/>
              </w:rPr>
            </w:pPr>
            <w:r w:rsidRPr="00C2587D">
              <w:rPr>
                <w:b/>
                <w:bCs/>
                <w:color w:val="000000"/>
              </w:rPr>
              <w:t>Стислий опис проєкту:</w:t>
            </w:r>
          </w:p>
        </w:tc>
        <w:tc>
          <w:tcPr>
            <w:tcW w:w="6794" w:type="dxa"/>
            <w:gridSpan w:val="8"/>
          </w:tcPr>
          <w:p w14:paraId="2BA8A56A" w14:textId="4680BB40" w:rsidR="00CB33C7" w:rsidRPr="00C2587D" w:rsidRDefault="00CB33C7" w:rsidP="00EA6E27">
            <w:pPr>
              <w:spacing w:before="40" w:after="40"/>
              <w:rPr>
                <w:lang w:eastAsia="it-IT"/>
              </w:rPr>
            </w:pPr>
            <w:r w:rsidRPr="00C2587D">
              <w:rPr>
                <w:lang w:eastAsia="it-IT"/>
              </w:rPr>
              <w:t xml:space="preserve">Водопровідна мережа в с. Щученці не достатньо забезпечує жителів громади питною водою, і є мало продуктивною, більшість споживачів, особливо в літній період, не можуть отримати в повному обсязі необхідну кількість </w:t>
            </w:r>
            <w:r w:rsidR="0013105D">
              <w:rPr>
                <w:lang w:eastAsia="it-IT"/>
              </w:rPr>
              <w:t>води. При реалізації даного проє</w:t>
            </w:r>
            <w:r w:rsidRPr="00C2587D">
              <w:rPr>
                <w:lang w:eastAsia="it-IT"/>
              </w:rPr>
              <w:t>кту. споживачі води будуть забезпечені якісною водою в повному обсязі для господарських та харчових потреб.</w:t>
            </w:r>
          </w:p>
        </w:tc>
      </w:tr>
      <w:tr w:rsidR="00CB33C7" w:rsidRPr="00C2587D" w14:paraId="55316DC0" w14:textId="77777777" w:rsidTr="00EA6E27">
        <w:trPr>
          <w:jc w:val="right"/>
        </w:trPr>
        <w:tc>
          <w:tcPr>
            <w:tcW w:w="3425" w:type="dxa"/>
            <w:shd w:val="clear" w:color="auto" w:fill="FFFFFF"/>
            <w:vAlign w:val="center"/>
          </w:tcPr>
          <w:p w14:paraId="1C738398" w14:textId="77777777" w:rsidR="00CB33C7" w:rsidRPr="00C2587D" w:rsidRDefault="00CB33C7" w:rsidP="00EA6E27">
            <w:pPr>
              <w:rPr>
                <w:b/>
                <w:bCs/>
                <w:color w:val="000000"/>
              </w:rPr>
            </w:pPr>
            <w:r w:rsidRPr="00C2587D">
              <w:rPr>
                <w:b/>
                <w:bCs/>
                <w:color w:val="000000"/>
              </w:rPr>
              <w:t>Основні заходи проєкту:</w:t>
            </w:r>
          </w:p>
        </w:tc>
        <w:tc>
          <w:tcPr>
            <w:tcW w:w="6794" w:type="dxa"/>
            <w:gridSpan w:val="8"/>
          </w:tcPr>
          <w:p w14:paraId="168C1718" w14:textId="3394A7B5" w:rsidR="00CB33C7" w:rsidRPr="00C2587D" w:rsidRDefault="00CB33C7" w:rsidP="00EA6E27">
            <w:pPr>
              <w:spacing w:before="40" w:after="40"/>
              <w:jc w:val="both"/>
              <w:rPr>
                <w:lang w:eastAsia="it-IT"/>
              </w:rPr>
            </w:pPr>
            <w:r w:rsidRPr="00C2587D">
              <w:rPr>
                <w:lang w:eastAsia="it-IT"/>
              </w:rPr>
              <w:t>Створення робочої групи з питань реа</w:t>
            </w:r>
            <w:r w:rsidR="0013105D">
              <w:rPr>
                <w:lang w:eastAsia="it-IT"/>
              </w:rPr>
              <w:t>лізації проє</w:t>
            </w:r>
            <w:r w:rsidRPr="00C2587D">
              <w:rPr>
                <w:lang w:eastAsia="it-IT"/>
              </w:rPr>
              <w:t xml:space="preserve">кту. </w:t>
            </w:r>
          </w:p>
          <w:p w14:paraId="175EA207" w14:textId="77777777" w:rsidR="00CB33C7" w:rsidRPr="00C2587D" w:rsidRDefault="00CB33C7" w:rsidP="00EA6E27">
            <w:pPr>
              <w:spacing w:before="40" w:after="40"/>
              <w:jc w:val="both"/>
              <w:rPr>
                <w:lang w:eastAsia="it-IT"/>
              </w:rPr>
            </w:pPr>
            <w:r w:rsidRPr="00C2587D">
              <w:rPr>
                <w:lang w:eastAsia="it-IT"/>
              </w:rPr>
              <w:t>Проведення процедури закупівель (визначення виконавця робіт).</w:t>
            </w:r>
          </w:p>
          <w:p w14:paraId="247AA3C3" w14:textId="77777777" w:rsidR="00CB33C7" w:rsidRPr="00C2587D" w:rsidRDefault="00CB33C7" w:rsidP="00EA6E27">
            <w:pPr>
              <w:spacing w:before="40" w:after="40"/>
              <w:jc w:val="both"/>
              <w:rPr>
                <w:lang w:eastAsia="it-IT"/>
              </w:rPr>
            </w:pPr>
            <w:r w:rsidRPr="00C2587D">
              <w:rPr>
                <w:lang w:eastAsia="it-IT"/>
              </w:rPr>
              <w:t>Укладення договорів з виконавцем робіт, організаціями, що здійснюватимуть  технічний та авторський  нагляд .</w:t>
            </w:r>
          </w:p>
          <w:p w14:paraId="0FE932AE" w14:textId="77777777" w:rsidR="00CB33C7" w:rsidRPr="00C2587D" w:rsidRDefault="00CB33C7" w:rsidP="00EA6E27">
            <w:pPr>
              <w:spacing w:before="40" w:after="40"/>
              <w:jc w:val="both"/>
              <w:rPr>
                <w:lang w:eastAsia="it-IT"/>
              </w:rPr>
            </w:pPr>
            <w:r w:rsidRPr="00C2587D">
              <w:rPr>
                <w:lang w:eastAsia="it-IT"/>
              </w:rPr>
              <w:t xml:space="preserve">Виконання робіт з </w:t>
            </w:r>
            <w:r w:rsidRPr="00C2587D">
              <w:rPr>
                <w:rFonts w:eastAsia="Arial"/>
              </w:rPr>
              <w:t xml:space="preserve">нового будівництва мереж водопостачання в </w:t>
            </w:r>
            <w:r w:rsidRPr="00C2587D">
              <w:rPr>
                <w:lang w:eastAsia="it-IT"/>
              </w:rPr>
              <w:t>с. Щученці</w:t>
            </w:r>
          </w:p>
          <w:p w14:paraId="0049F197" w14:textId="77777777" w:rsidR="00CB33C7" w:rsidRPr="00C2587D" w:rsidRDefault="00CB33C7" w:rsidP="00EA6E27">
            <w:pPr>
              <w:spacing w:before="40" w:after="40"/>
              <w:jc w:val="both"/>
              <w:rPr>
                <w:lang w:eastAsia="it-IT"/>
              </w:rPr>
            </w:pPr>
            <w:r w:rsidRPr="00C2587D">
              <w:rPr>
                <w:lang w:eastAsia="it-IT"/>
              </w:rPr>
              <w:t>Введення  об’єкту в експлуатацію .</w:t>
            </w:r>
          </w:p>
          <w:p w14:paraId="2FC5E00F" w14:textId="2FA04049" w:rsidR="00CB33C7" w:rsidRPr="00C2587D" w:rsidRDefault="00CB33C7" w:rsidP="0013105D">
            <w:pPr>
              <w:rPr>
                <w:lang w:eastAsia="it-IT"/>
              </w:rPr>
            </w:pPr>
            <w:r w:rsidRPr="00C2587D">
              <w:rPr>
                <w:lang w:eastAsia="it-IT"/>
              </w:rPr>
              <w:t xml:space="preserve">Проведення інформаційних заходів (розміщення  </w:t>
            </w:r>
            <w:r w:rsidR="0013105D">
              <w:rPr>
                <w:lang w:eastAsia="it-IT"/>
              </w:rPr>
              <w:t>інформації  про реалізацію  проє</w:t>
            </w:r>
            <w:r w:rsidRPr="00C2587D">
              <w:rPr>
                <w:lang w:eastAsia="it-IT"/>
              </w:rPr>
              <w:t>кту у ЗМІ).</w:t>
            </w:r>
          </w:p>
        </w:tc>
      </w:tr>
      <w:tr w:rsidR="00CB33C7" w:rsidRPr="00C2587D" w14:paraId="4FCB95D3" w14:textId="77777777" w:rsidTr="00EA6E27">
        <w:trPr>
          <w:jc w:val="right"/>
        </w:trPr>
        <w:tc>
          <w:tcPr>
            <w:tcW w:w="3425" w:type="dxa"/>
            <w:shd w:val="clear" w:color="auto" w:fill="FFFFFF"/>
            <w:vAlign w:val="center"/>
          </w:tcPr>
          <w:p w14:paraId="644C3FDB" w14:textId="77777777" w:rsidR="00CB33C7" w:rsidRPr="00C2587D" w:rsidRDefault="00CB33C7" w:rsidP="00EA6E27">
            <w:pPr>
              <w:rPr>
                <w:b/>
                <w:bCs/>
                <w:color w:val="000000"/>
              </w:rPr>
            </w:pPr>
            <w:r w:rsidRPr="00C2587D">
              <w:rPr>
                <w:b/>
                <w:bCs/>
                <w:color w:val="000000"/>
              </w:rPr>
              <w:t>Індикатори (показники) результативності:</w:t>
            </w:r>
          </w:p>
        </w:tc>
        <w:tc>
          <w:tcPr>
            <w:tcW w:w="6794" w:type="dxa"/>
            <w:gridSpan w:val="8"/>
          </w:tcPr>
          <w:p w14:paraId="5C3A9DFB" w14:textId="29E89EA5" w:rsidR="00CB33C7" w:rsidRPr="00C2587D" w:rsidRDefault="00CB33C7" w:rsidP="00EA6E27">
            <w:pPr>
              <w:spacing w:before="40" w:after="40"/>
              <w:rPr>
                <w:lang w:eastAsia="it-IT"/>
              </w:rPr>
            </w:pPr>
            <w:r w:rsidRPr="00C2587D">
              <w:rPr>
                <w:lang w:eastAsia="it-IT"/>
              </w:rPr>
              <w:t xml:space="preserve">Будівництво водопровідної мережі протяжністю 3 км. </w:t>
            </w:r>
            <w:r w:rsidR="008D588A" w:rsidRPr="00C2587D">
              <w:rPr>
                <w:lang w:eastAsia="it-IT"/>
              </w:rPr>
              <w:t>встановлення</w:t>
            </w:r>
            <w:r w:rsidRPr="00C2587D">
              <w:rPr>
                <w:lang w:eastAsia="it-IT"/>
              </w:rPr>
              <w:t xml:space="preserve"> насосної станції та підключення 60 нових споживачів.</w:t>
            </w:r>
          </w:p>
        </w:tc>
      </w:tr>
      <w:tr w:rsidR="00CB33C7" w:rsidRPr="00C2587D" w14:paraId="6DDC96B8" w14:textId="77777777" w:rsidTr="00EA6E27">
        <w:trPr>
          <w:jc w:val="right"/>
        </w:trPr>
        <w:tc>
          <w:tcPr>
            <w:tcW w:w="3425" w:type="dxa"/>
            <w:shd w:val="clear" w:color="auto" w:fill="FFFFFF"/>
            <w:vAlign w:val="center"/>
          </w:tcPr>
          <w:p w14:paraId="503FB238" w14:textId="77777777" w:rsidR="00CB33C7" w:rsidRPr="00C2587D" w:rsidRDefault="00CB33C7" w:rsidP="00EA6E27">
            <w:pPr>
              <w:rPr>
                <w:b/>
                <w:color w:val="000000"/>
              </w:rPr>
            </w:pPr>
            <w:r w:rsidRPr="00C2587D">
              <w:rPr>
                <w:b/>
                <w:color w:val="000000"/>
              </w:rPr>
              <w:t xml:space="preserve">Період здійснення: </w:t>
            </w:r>
          </w:p>
        </w:tc>
        <w:tc>
          <w:tcPr>
            <w:tcW w:w="6794" w:type="dxa"/>
            <w:gridSpan w:val="8"/>
            <w:vAlign w:val="center"/>
          </w:tcPr>
          <w:p w14:paraId="36A4DDC5" w14:textId="77777777" w:rsidR="00CB33C7" w:rsidRPr="00C2587D" w:rsidRDefault="00CB33C7" w:rsidP="00EA6E27">
            <w:pPr>
              <w:rPr>
                <w:color w:val="000000"/>
                <w:lang w:eastAsia="it-IT"/>
              </w:rPr>
            </w:pPr>
            <w:r w:rsidRPr="00C2587D">
              <w:rPr>
                <w:b/>
                <w:color w:val="000000"/>
              </w:rPr>
              <w:t>2025 – 2028 роки:</w:t>
            </w:r>
          </w:p>
        </w:tc>
      </w:tr>
      <w:tr w:rsidR="00CB33C7" w:rsidRPr="00C2587D" w14:paraId="32CDAA32" w14:textId="77777777" w:rsidTr="00EA6E27">
        <w:trPr>
          <w:jc w:val="right"/>
        </w:trPr>
        <w:tc>
          <w:tcPr>
            <w:tcW w:w="3425" w:type="dxa"/>
            <w:vMerge w:val="restart"/>
            <w:shd w:val="clear" w:color="auto" w:fill="FFFFFF"/>
            <w:vAlign w:val="center"/>
          </w:tcPr>
          <w:p w14:paraId="428F0DF9" w14:textId="77777777" w:rsidR="00CB33C7" w:rsidRPr="00C2587D" w:rsidRDefault="00CB33C7" w:rsidP="00EA6E27">
            <w:pPr>
              <w:rPr>
                <w:b/>
                <w:bCs/>
                <w:color w:val="000000"/>
              </w:rPr>
            </w:pPr>
            <w:r w:rsidRPr="00C2587D">
              <w:rPr>
                <w:b/>
                <w:bCs/>
                <w:color w:val="000000"/>
              </w:rPr>
              <w:t>Орієнтовна вартість проєкту, тис. грн., в тому числі:</w:t>
            </w:r>
          </w:p>
        </w:tc>
        <w:tc>
          <w:tcPr>
            <w:tcW w:w="1254" w:type="dxa"/>
            <w:shd w:val="clear" w:color="auto" w:fill="E6E6E6"/>
            <w:vAlign w:val="center"/>
          </w:tcPr>
          <w:p w14:paraId="0517F07D" w14:textId="77777777" w:rsidR="00CB33C7" w:rsidRPr="00C2587D" w:rsidRDefault="00CB33C7" w:rsidP="00EA6E27">
            <w:pPr>
              <w:jc w:val="center"/>
              <w:rPr>
                <w:b/>
                <w:color w:val="000000"/>
                <w:lang w:eastAsia="it-IT"/>
              </w:rPr>
            </w:pPr>
            <w:r w:rsidRPr="00C2587D">
              <w:rPr>
                <w:b/>
                <w:color w:val="000000"/>
                <w:lang w:eastAsia="it-IT"/>
              </w:rPr>
              <w:t>2025</w:t>
            </w:r>
          </w:p>
        </w:tc>
        <w:tc>
          <w:tcPr>
            <w:tcW w:w="1275" w:type="dxa"/>
            <w:gridSpan w:val="2"/>
            <w:shd w:val="clear" w:color="auto" w:fill="E6E6E6"/>
            <w:vAlign w:val="center"/>
          </w:tcPr>
          <w:p w14:paraId="02719586" w14:textId="77777777" w:rsidR="00CB33C7" w:rsidRPr="00C2587D" w:rsidRDefault="00CB33C7" w:rsidP="00EA6E27">
            <w:pPr>
              <w:jc w:val="center"/>
              <w:rPr>
                <w:b/>
                <w:color w:val="000000"/>
                <w:lang w:eastAsia="it-IT"/>
              </w:rPr>
            </w:pPr>
            <w:r w:rsidRPr="00C2587D">
              <w:rPr>
                <w:b/>
                <w:color w:val="000000"/>
                <w:lang w:eastAsia="it-IT"/>
              </w:rPr>
              <w:t>2026</w:t>
            </w:r>
          </w:p>
        </w:tc>
        <w:tc>
          <w:tcPr>
            <w:tcW w:w="1418" w:type="dxa"/>
            <w:gridSpan w:val="3"/>
            <w:tcBorders>
              <w:bottom w:val="single" w:sz="4" w:space="0" w:color="auto"/>
            </w:tcBorders>
            <w:shd w:val="clear" w:color="auto" w:fill="E6E6E6"/>
            <w:vAlign w:val="center"/>
          </w:tcPr>
          <w:p w14:paraId="5A81EC4D" w14:textId="77777777" w:rsidR="00CB33C7" w:rsidRPr="00C2587D" w:rsidRDefault="00CB33C7" w:rsidP="00EA6E27">
            <w:pPr>
              <w:jc w:val="center"/>
              <w:rPr>
                <w:b/>
                <w:color w:val="000000"/>
                <w:lang w:eastAsia="it-IT"/>
              </w:rPr>
            </w:pPr>
            <w:r w:rsidRPr="00C2587D">
              <w:rPr>
                <w:b/>
                <w:color w:val="000000"/>
                <w:lang w:eastAsia="it-IT"/>
              </w:rPr>
              <w:t>2027</w:t>
            </w:r>
          </w:p>
        </w:tc>
        <w:tc>
          <w:tcPr>
            <w:tcW w:w="1276" w:type="dxa"/>
            <w:shd w:val="clear" w:color="auto" w:fill="E6E6E6"/>
            <w:vAlign w:val="center"/>
          </w:tcPr>
          <w:p w14:paraId="45532FC6" w14:textId="77777777" w:rsidR="00CB33C7" w:rsidRPr="00C2587D" w:rsidRDefault="00CB33C7" w:rsidP="00EA6E27">
            <w:pPr>
              <w:jc w:val="center"/>
              <w:rPr>
                <w:b/>
                <w:color w:val="000000"/>
                <w:lang w:eastAsia="it-IT"/>
              </w:rPr>
            </w:pPr>
            <w:r w:rsidRPr="00C2587D">
              <w:rPr>
                <w:b/>
                <w:color w:val="000000"/>
                <w:lang w:eastAsia="it-IT"/>
              </w:rPr>
              <w:t>2028</w:t>
            </w:r>
          </w:p>
        </w:tc>
        <w:tc>
          <w:tcPr>
            <w:tcW w:w="1571" w:type="dxa"/>
            <w:shd w:val="clear" w:color="auto" w:fill="E6E6E6"/>
            <w:vAlign w:val="center"/>
          </w:tcPr>
          <w:p w14:paraId="235C9BB1" w14:textId="77777777" w:rsidR="00CB33C7" w:rsidRPr="00C2587D" w:rsidRDefault="00CB33C7" w:rsidP="00EA6E27">
            <w:pPr>
              <w:jc w:val="center"/>
              <w:rPr>
                <w:b/>
                <w:color w:val="000000"/>
                <w:lang w:eastAsia="it-IT"/>
              </w:rPr>
            </w:pPr>
            <w:r w:rsidRPr="00C2587D">
              <w:rPr>
                <w:b/>
                <w:color w:val="000000"/>
                <w:lang w:eastAsia="it-IT"/>
              </w:rPr>
              <w:t>РАЗОМ</w:t>
            </w:r>
          </w:p>
        </w:tc>
      </w:tr>
      <w:tr w:rsidR="00CB33C7" w:rsidRPr="00C2587D" w14:paraId="79D11282" w14:textId="77777777" w:rsidTr="00EA6E27">
        <w:trPr>
          <w:jc w:val="right"/>
        </w:trPr>
        <w:tc>
          <w:tcPr>
            <w:tcW w:w="3425" w:type="dxa"/>
            <w:vMerge/>
            <w:shd w:val="clear" w:color="auto" w:fill="FFFFFF"/>
            <w:vAlign w:val="center"/>
          </w:tcPr>
          <w:p w14:paraId="1707124A" w14:textId="77777777" w:rsidR="00CB33C7" w:rsidRPr="00C2587D" w:rsidRDefault="00CB33C7" w:rsidP="00EA6E27">
            <w:pPr>
              <w:rPr>
                <w:b/>
                <w:bCs/>
                <w:color w:val="000000"/>
              </w:rPr>
            </w:pPr>
          </w:p>
        </w:tc>
        <w:tc>
          <w:tcPr>
            <w:tcW w:w="1254" w:type="dxa"/>
            <w:vAlign w:val="center"/>
          </w:tcPr>
          <w:p w14:paraId="0555575C" w14:textId="77777777" w:rsidR="00CB33C7" w:rsidRPr="00C2587D" w:rsidRDefault="00CB33C7" w:rsidP="00EA6E27">
            <w:pPr>
              <w:jc w:val="center"/>
              <w:rPr>
                <w:b/>
                <w:color w:val="000000"/>
                <w:lang w:eastAsia="it-IT"/>
              </w:rPr>
            </w:pPr>
            <w:r w:rsidRPr="00C2587D">
              <w:rPr>
                <w:b/>
                <w:color w:val="000000"/>
                <w:lang w:eastAsia="it-IT"/>
              </w:rPr>
              <w:t>0,00</w:t>
            </w:r>
          </w:p>
        </w:tc>
        <w:tc>
          <w:tcPr>
            <w:tcW w:w="1275" w:type="dxa"/>
            <w:gridSpan w:val="2"/>
            <w:shd w:val="clear" w:color="auto" w:fill="FFFFFF"/>
            <w:vAlign w:val="center"/>
          </w:tcPr>
          <w:p w14:paraId="360519EC" w14:textId="77777777" w:rsidR="00CB33C7" w:rsidRPr="00C2587D" w:rsidRDefault="00CB33C7" w:rsidP="00EA6E27">
            <w:pPr>
              <w:jc w:val="center"/>
              <w:rPr>
                <w:b/>
                <w:color w:val="000000"/>
                <w:lang w:eastAsia="it-IT"/>
              </w:rPr>
            </w:pPr>
            <w:r w:rsidRPr="00C2587D">
              <w:rPr>
                <w:rFonts w:eastAsia="Arial" w:cs="Arial"/>
                <w:b/>
              </w:rPr>
              <w:t>10000,00</w:t>
            </w:r>
          </w:p>
        </w:tc>
        <w:tc>
          <w:tcPr>
            <w:tcW w:w="1418" w:type="dxa"/>
            <w:gridSpan w:val="3"/>
            <w:shd w:val="clear" w:color="auto" w:fill="auto"/>
            <w:vAlign w:val="center"/>
          </w:tcPr>
          <w:p w14:paraId="7CC040BB" w14:textId="77777777" w:rsidR="00CB33C7" w:rsidRPr="00C2587D" w:rsidRDefault="00CB33C7" w:rsidP="00EA6E27">
            <w:pPr>
              <w:jc w:val="center"/>
              <w:rPr>
                <w:b/>
                <w:color w:val="000000"/>
                <w:lang w:eastAsia="it-IT"/>
              </w:rPr>
            </w:pPr>
            <w:r w:rsidRPr="00C2587D">
              <w:rPr>
                <w:b/>
                <w:color w:val="000000"/>
                <w:lang w:eastAsia="it-IT"/>
              </w:rPr>
              <w:t>0,00</w:t>
            </w:r>
          </w:p>
        </w:tc>
        <w:tc>
          <w:tcPr>
            <w:tcW w:w="1276" w:type="dxa"/>
            <w:shd w:val="clear" w:color="auto" w:fill="FFFFFF"/>
            <w:vAlign w:val="center"/>
          </w:tcPr>
          <w:p w14:paraId="76804981" w14:textId="77777777" w:rsidR="00CB33C7" w:rsidRPr="00C2587D" w:rsidRDefault="00CB33C7" w:rsidP="00EA6E27">
            <w:pPr>
              <w:jc w:val="center"/>
              <w:rPr>
                <w:b/>
                <w:color w:val="000000"/>
                <w:lang w:eastAsia="it-IT"/>
              </w:rPr>
            </w:pPr>
            <w:r w:rsidRPr="00C2587D">
              <w:rPr>
                <w:b/>
                <w:color w:val="000000"/>
                <w:lang w:eastAsia="it-IT"/>
              </w:rPr>
              <w:t>0,00</w:t>
            </w:r>
          </w:p>
        </w:tc>
        <w:tc>
          <w:tcPr>
            <w:tcW w:w="1571" w:type="dxa"/>
            <w:shd w:val="clear" w:color="auto" w:fill="FFFFFF"/>
            <w:vAlign w:val="center"/>
          </w:tcPr>
          <w:p w14:paraId="3290D891" w14:textId="77777777" w:rsidR="00CB33C7" w:rsidRPr="00C2587D" w:rsidRDefault="00CB33C7" w:rsidP="00EA6E27">
            <w:pPr>
              <w:jc w:val="center"/>
              <w:rPr>
                <w:b/>
                <w:color w:val="000000"/>
                <w:lang w:eastAsia="it-IT"/>
              </w:rPr>
            </w:pPr>
            <w:r w:rsidRPr="00C2587D">
              <w:rPr>
                <w:rFonts w:eastAsia="Arial" w:cs="Arial"/>
                <w:b/>
              </w:rPr>
              <w:t>10000,00</w:t>
            </w:r>
          </w:p>
        </w:tc>
      </w:tr>
      <w:tr w:rsidR="00CB33C7" w:rsidRPr="00C2587D" w14:paraId="11B46A25" w14:textId="77777777" w:rsidTr="00EA6E27">
        <w:trPr>
          <w:trHeight w:val="276"/>
          <w:jc w:val="right"/>
        </w:trPr>
        <w:tc>
          <w:tcPr>
            <w:tcW w:w="3425" w:type="dxa"/>
            <w:shd w:val="clear" w:color="auto" w:fill="FFFFFF"/>
            <w:vAlign w:val="center"/>
          </w:tcPr>
          <w:p w14:paraId="64BFEB47" w14:textId="77777777" w:rsidR="00CB33C7" w:rsidRPr="00C2587D" w:rsidRDefault="00CB33C7" w:rsidP="00EA6E27">
            <w:pPr>
              <w:rPr>
                <w:b/>
                <w:bCs/>
                <w:color w:val="000000"/>
              </w:rPr>
            </w:pPr>
            <w:r w:rsidRPr="00C2587D">
              <w:rPr>
                <w:b/>
                <w:bCs/>
                <w:color w:val="000000"/>
              </w:rPr>
              <w:t>по джерелах фінансування:</w:t>
            </w:r>
          </w:p>
        </w:tc>
        <w:tc>
          <w:tcPr>
            <w:tcW w:w="6794" w:type="dxa"/>
            <w:gridSpan w:val="8"/>
            <w:vAlign w:val="center"/>
          </w:tcPr>
          <w:p w14:paraId="31B1EBEB" w14:textId="77777777" w:rsidR="00CB33C7" w:rsidRPr="00C2587D" w:rsidRDefault="00CB33C7" w:rsidP="00EA6E27">
            <w:pPr>
              <w:jc w:val="both"/>
              <w:rPr>
                <w:color w:val="000000"/>
                <w:lang w:eastAsia="it-IT"/>
              </w:rPr>
            </w:pPr>
          </w:p>
        </w:tc>
      </w:tr>
      <w:tr w:rsidR="008D588A" w:rsidRPr="00C2587D" w14:paraId="1FBA3C3C" w14:textId="7D6116C9" w:rsidTr="008D588A">
        <w:trPr>
          <w:trHeight w:val="240"/>
          <w:jc w:val="right"/>
        </w:trPr>
        <w:tc>
          <w:tcPr>
            <w:tcW w:w="3425" w:type="dxa"/>
            <w:shd w:val="clear" w:color="auto" w:fill="FFFFFF"/>
            <w:vAlign w:val="center"/>
          </w:tcPr>
          <w:p w14:paraId="5158C3C4" w14:textId="77777777" w:rsidR="008D588A" w:rsidRPr="00C2587D" w:rsidRDefault="008D588A" w:rsidP="00EA6E27">
            <w:pPr>
              <w:rPr>
                <w:b/>
                <w:bCs/>
                <w:color w:val="000000"/>
              </w:rPr>
            </w:pPr>
            <w:r w:rsidRPr="00C2587D">
              <w:rPr>
                <w:color w:val="000000"/>
              </w:rPr>
              <w:t>- державний бюджет</w:t>
            </w:r>
          </w:p>
        </w:tc>
        <w:tc>
          <w:tcPr>
            <w:tcW w:w="1277" w:type="dxa"/>
            <w:gridSpan w:val="2"/>
            <w:vAlign w:val="center"/>
          </w:tcPr>
          <w:p w14:paraId="555B0421" w14:textId="1C20DE77" w:rsidR="008D588A" w:rsidRPr="00C2587D" w:rsidRDefault="008D588A" w:rsidP="008D588A">
            <w:pPr>
              <w:jc w:val="center"/>
              <w:rPr>
                <w:color w:val="000000"/>
                <w:lang w:eastAsia="it-IT"/>
              </w:rPr>
            </w:pPr>
          </w:p>
        </w:tc>
        <w:tc>
          <w:tcPr>
            <w:tcW w:w="1290" w:type="dxa"/>
            <w:gridSpan w:val="2"/>
            <w:vAlign w:val="center"/>
          </w:tcPr>
          <w:p w14:paraId="0295E81E" w14:textId="621260AD" w:rsidR="008D588A" w:rsidRPr="00C2587D" w:rsidRDefault="008D588A" w:rsidP="008D588A">
            <w:pPr>
              <w:ind w:left="55"/>
              <w:jc w:val="center"/>
              <w:rPr>
                <w:color w:val="000000"/>
                <w:lang w:eastAsia="it-IT"/>
              </w:rPr>
            </w:pPr>
            <w:r w:rsidRPr="00C2587D">
              <w:rPr>
                <w:rFonts w:eastAsia="Arial" w:cs="Arial"/>
              </w:rPr>
              <w:t>8000,00</w:t>
            </w:r>
          </w:p>
        </w:tc>
        <w:tc>
          <w:tcPr>
            <w:tcW w:w="1365" w:type="dxa"/>
            <w:vAlign w:val="center"/>
          </w:tcPr>
          <w:p w14:paraId="12E13B3E" w14:textId="26246344" w:rsidR="008D588A" w:rsidRPr="00C2587D" w:rsidRDefault="008D588A" w:rsidP="008D588A">
            <w:pPr>
              <w:jc w:val="center"/>
              <w:rPr>
                <w:color w:val="000000"/>
                <w:lang w:eastAsia="it-IT"/>
              </w:rPr>
            </w:pPr>
          </w:p>
        </w:tc>
        <w:tc>
          <w:tcPr>
            <w:tcW w:w="1290" w:type="dxa"/>
            <w:gridSpan w:val="2"/>
            <w:vAlign w:val="center"/>
          </w:tcPr>
          <w:p w14:paraId="6A19937D" w14:textId="0CAD3FEA" w:rsidR="008D588A" w:rsidRPr="00C2587D" w:rsidRDefault="008D588A" w:rsidP="008D588A">
            <w:pPr>
              <w:jc w:val="center"/>
              <w:rPr>
                <w:color w:val="000000"/>
                <w:lang w:eastAsia="it-IT"/>
              </w:rPr>
            </w:pPr>
          </w:p>
        </w:tc>
        <w:tc>
          <w:tcPr>
            <w:tcW w:w="1572" w:type="dxa"/>
            <w:vAlign w:val="center"/>
          </w:tcPr>
          <w:p w14:paraId="10B4058C" w14:textId="24666E38" w:rsidR="008D588A" w:rsidRPr="008D588A" w:rsidRDefault="008D588A" w:rsidP="008D588A">
            <w:pPr>
              <w:jc w:val="center"/>
              <w:rPr>
                <w:b/>
                <w:color w:val="000000"/>
                <w:lang w:eastAsia="it-IT"/>
              </w:rPr>
            </w:pPr>
            <w:r w:rsidRPr="008D588A">
              <w:rPr>
                <w:rFonts w:eastAsia="Arial" w:cs="Arial"/>
                <w:b/>
              </w:rPr>
              <w:t>8000,00</w:t>
            </w:r>
          </w:p>
        </w:tc>
      </w:tr>
      <w:tr w:rsidR="008D588A" w:rsidRPr="00C2587D" w14:paraId="641B1102" w14:textId="28FB39BD" w:rsidTr="008D588A">
        <w:trPr>
          <w:trHeight w:val="254"/>
          <w:jc w:val="right"/>
        </w:trPr>
        <w:tc>
          <w:tcPr>
            <w:tcW w:w="3425" w:type="dxa"/>
            <w:shd w:val="clear" w:color="auto" w:fill="FFFFFF"/>
            <w:vAlign w:val="center"/>
          </w:tcPr>
          <w:p w14:paraId="46A57FE5" w14:textId="77777777" w:rsidR="008D588A" w:rsidRPr="00C2587D" w:rsidRDefault="008D588A" w:rsidP="00EA6E27">
            <w:pPr>
              <w:rPr>
                <w:color w:val="000000"/>
              </w:rPr>
            </w:pPr>
            <w:r w:rsidRPr="00C2587D">
              <w:rPr>
                <w:color w:val="000000"/>
              </w:rPr>
              <w:t>- обласний бюджет</w:t>
            </w:r>
          </w:p>
        </w:tc>
        <w:tc>
          <w:tcPr>
            <w:tcW w:w="1277" w:type="dxa"/>
            <w:gridSpan w:val="2"/>
            <w:vAlign w:val="center"/>
          </w:tcPr>
          <w:p w14:paraId="56285393" w14:textId="684F4FAA" w:rsidR="008D588A" w:rsidRPr="00C2587D" w:rsidRDefault="008D588A" w:rsidP="008D588A">
            <w:pPr>
              <w:jc w:val="center"/>
              <w:rPr>
                <w:color w:val="000000"/>
                <w:lang w:eastAsia="it-IT"/>
              </w:rPr>
            </w:pPr>
          </w:p>
        </w:tc>
        <w:tc>
          <w:tcPr>
            <w:tcW w:w="1290" w:type="dxa"/>
            <w:gridSpan w:val="2"/>
            <w:vAlign w:val="center"/>
          </w:tcPr>
          <w:p w14:paraId="7800321E" w14:textId="4F1C2340" w:rsidR="008D588A" w:rsidRPr="00C2587D" w:rsidRDefault="008D588A" w:rsidP="008D588A">
            <w:pPr>
              <w:jc w:val="center"/>
              <w:rPr>
                <w:color w:val="000000"/>
                <w:lang w:eastAsia="it-IT"/>
              </w:rPr>
            </w:pPr>
          </w:p>
        </w:tc>
        <w:tc>
          <w:tcPr>
            <w:tcW w:w="1365" w:type="dxa"/>
            <w:vAlign w:val="center"/>
          </w:tcPr>
          <w:p w14:paraId="59C656A8" w14:textId="2A8DC21D" w:rsidR="008D588A" w:rsidRPr="00C2587D" w:rsidRDefault="008D588A" w:rsidP="008D588A">
            <w:pPr>
              <w:jc w:val="center"/>
              <w:rPr>
                <w:color w:val="000000"/>
                <w:lang w:eastAsia="it-IT"/>
              </w:rPr>
            </w:pPr>
          </w:p>
        </w:tc>
        <w:tc>
          <w:tcPr>
            <w:tcW w:w="1290" w:type="dxa"/>
            <w:gridSpan w:val="2"/>
            <w:vAlign w:val="center"/>
          </w:tcPr>
          <w:p w14:paraId="02BA8FA9" w14:textId="0E5D40DB" w:rsidR="008D588A" w:rsidRPr="00C2587D" w:rsidRDefault="008D588A" w:rsidP="008D588A">
            <w:pPr>
              <w:ind w:left="994"/>
              <w:jc w:val="center"/>
              <w:rPr>
                <w:color w:val="000000"/>
                <w:lang w:eastAsia="it-IT"/>
              </w:rPr>
            </w:pPr>
            <w:r w:rsidRPr="00C2587D">
              <w:rPr>
                <w:color w:val="000000"/>
                <w:lang w:eastAsia="it-IT"/>
              </w:rPr>
              <w:t>.</w:t>
            </w:r>
          </w:p>
        </w:tc>
        <w:tc>
          <w:tcPr>
            <w:tcW w:w="1572" w:type="dxa"/>
            <w:vAlign w:val="center"/>
          </w:tcPr>
          <w:p w14:paraId="48E2D7C2" w14:textId="77777777" w:rsidR="008D588A" w:rsidRPr="008D588A" w:rsidRDefault="008D588A" w:rsidP="008D588A">
            <w:pPr>
              <w:jc w:val="center"/>
              <w:rPr>
                <w:b/>
                <w:color w:val="000000"/>
                <w:lang w:eastAsia="it-IT"/>
              </w:rPr>
            </w:pPr>
          </w:p>
        </w:tc>
      </w:tr>
      <w:tr w:rsidR="008D588A" w:rsidRPr="00C2587D" w14:paraId="1E1F7CB0" w14:textId="5C0647F0" w:rsidTr="008D588A">
        <w:trPr>
          <w:trHeight w:val="275"/>
          <w:jc w:val="right"/>
        </w:trPr>
        <w:tc>
          <w:tcPr>
            <w:tcW w:w="3425" w:type="dxa"/>
            <w:shd w:val="clear" w:color="auto" w:fill="FFFFFF"/>
            <w:vAlign w:val="center"/>
          </w:tcPr>
          <w:p w14:paraId="7D685510" w14:textId="77777777" w:rsidR="008D588A" w:rsidRPr="00C2587D" w:rsidRDefault="008D588A" w:rsidP="00EA6E27">
            <w:pPr>
              <w:rPr>
                <w:color w:val="000000"/>
              </w:rPr>
            </w:pPr>
            <w:r w:rsidRPr="00C2587D">
              <w:rPr>
                <w:color w:val="000000"/>
              </w:rPr>
              <w:t>- бюджет Жмеринської МТГ</w:t>
            </w:r>
          </w:p>
        </w:tc>
        <w:tc>
          <w:tcPr>
            <w:tcW w:w="1277" w:type="dxa"/>
            <w:gridSpan w:val="2"/>
            <w:vAlign w:val="center"/>
          </w:tcPr>
          <w:p w14:paraId="269430C3" w14:textId="162A04C7" w:rsidR="008D588A" w:rsidRPr="00C2587D" w:rsidRDefault="008D588A" w:rsidP="008D588A">
            <w:pPr>
              <w:jc w:val="center"/>
              <w:rPr>
                <w:color w:val="000000"/>
                <w:lang w:eastAsia="it-IT"/>
              </w:rPr>
            </w:pPr>
          </w:p>
        </w:tc>
        <w:tc>
          <w:tcPr>
            <w:tcW w:w="1290" w:type="dxa"/>
            <w:gridSpan w:val="2"/>
            <w:vAlign w:val="center"/>
          </w:tcPr>
          <w:p w14:paraId="496F1121" w14:textId="6F4A9562" w:rsidR="008D588A" w:rsidRPr="00C2587D" w:rsidRDefault="008D588A" w:rsidP="008D588A">
            <w:pPr>
              <w:ind w:left="55"/>
              <w:jc w:val="center"/>
              <w:rPr>
                <w:color w:val="000000"/>
                <w:lang w:eastAsia="it-IT"/>
              </w:rPr>
            </w:pPr>
            <w:r w:rsidRPr="00C2587D">
              <w:rPr>
                <w:rFonts w:eastAsia="Arial" w:cs="Arial"/>
              </w:rPr>
              <w:t>2000,00</w:t>
            </w:r>
          </w:p>
        </w:tc>
        <w:tc>
          <w:tcPr>
            <w:tcW w:w="1365" w:type="dxa"/>
            <w:vAlign w:val="center"/>
          </w:tcPr>
          <w:p w14:paraId="6FB0BE07" w14:textId="541EACC1" w:rsidR="008D588A" w:rsidRPr="00C2587D" w:rsidRDefault="008D588A" w:rsidP="008D588A">
            <w:pPr>
              <w:jc w:val="center"/>
              <w:rPr>
                <w:color w:val="000000"/>
                <w:lang w:eastAsia="it-IT"/>
              </w:rPr>
            </w:pPr>
          </w:p>
        </w:tc>
        <w:tc>
          <w:tcPr>
            <w:tcW w:w="1290" w:type="dxa"/>
            <w:gridSpan w:val="2"/>
            <w:vAlign w:val="center"/>
          </w:tcPr>
          <w:p w14:paraId="482AF034" w14:textId="31DDD867" w:rsidR="008D588A" w:rsidRPr="00C2587D" w:rsidRDefault="008D588A" w:rsidP="008D588A">
            <w:pPr>
              <w:jc w:val="center"/>
              <w:rPr>
                <w:color w:val="000000"/>
                <w:lang w:eastAsia="it-IT"/>
              </w:rPr>
            </w:pPr>
          </w:p>
        </w:tc>
        <w:tc>
          <w:tcPr>
            <w:tcW w:w="1572" w:type="dxa"/>
            <w:vAlign w:val="center"/>
          </w:tcPr>
          <w:p w14:paraId="780299DA" w14:textId="24AA3C73" w:rsidR="008D588A" w:rsidRPr="008D588A" w:rsidRDefault="008D588A" w:rsidP="008D588A">
            <w:pPr>
              <w:jc w:val="center"/>
              <w:rPr>
                <w:b/>
                <w:color w:val="000000"/>
                <w:lang w:eastAsia="it-IT"/>
              </w:rPr>
            </w:pPr>
            <w:r w:rsidRPr="008D588A">
              <w:rPr>
                <w:rFonts w:eastAsia="Arial" w:cs="Arial"/>
                <w:b/>
              </w:rPr>
              <w:t>2000,00</w:t>
            </w:r>
          </w:p>
        </w:tc>
      </w:tr>
      <w:tr w:rsidR="008D588A" w:rsidRPr="00C2587D" w14:paraId="6073A8C7" w14:textId="48EE0DD9" w:rsidTr="008D588A">
        <w:trPr>
          <w:trHeight w:val="226"/>
          <w:jc w:val="right"/>
        </w:trPr>
        <w:tc>
          <w:tcPr>
            <w:tcW w:w="3425" w:type="dxa"/>
            <w:shd w:val="clear" w:color="auto" w:fill="FFFFFF"/>
            <w:vAlign w:val="center"/>
          </w:tcPr>
          <w:p w14:paraId="38FF293B" w14:textId="77777777" w:rsidR="008D588A" w:rsidRPr="00C2587D" w:rsidRDefault="008D588A" w:rsidP="00EA6E27">
            <w:pPr>
              <w:rPr>
                <w:color w:val="000000"/>
              </w:rPr>
            </w:pPr>
            <w:r w:rsidRPr="00C2587D">
              <w:rPr>
                <w:color w:val="000000"/>
              </w:rPr>
              <w:t>- інші джерела фінансування</w:t>
            </w:r>
          </w:p>
        </w:tc>
        <w:tc>
          <w:tcPr>
            <w:tcW w:w="1277" w:type="dxa"/>
            <w:gridSpan w:val="2"/>
            <w:vAlign w:val="center"/>
          </w:tcPr>
          <w:p w14:paraId="2FDD863D" w14:textId="0B2C6CB7" w:rsidR="008D588A" w:rsidRPr="00C2587D" w:rsidRDefault="008D588A" w:rsidP="008D588A">
            <w:pPr>
              <w:jc w:val="center"/>
              <w:rPr>
                <w:color w:val="000000"/>
                <w:lang w:eastAsia="it-IT"/>
              </w:rPr>
            </w:pPr>
          </w:p>
        </w:tc>
        <w:tc>
          <w:tcPr>
            <w:tcW w:w="1290" w:type="dxa"/>
            <w:gridSpan w:val="2"/>
            <w:vAlign w:val="center"/>
          </w:tcPr>
          <w:p w14:paraId="6B197D86" w14:textId="7C0F506F" w:rsidR="008D588A" w:rsidRPr="00C2587D" w:rsidRDefault="008D588A" w:rsidP="008D588A">
            <w:pPr>
              <w:jc w:val="center"/>
              <w:rPr>
                <w:color w:val="000000"/>
                <w:lang w:eastAsia="it-IT"/>
              </w:rPr>
            </w:pPr>
          </w:p>
        </w:tc>
        <w:tc>
          <w:tcPr>
            <w:tcW w:w="1365" w:type="dxa"/>
            <w:vAlign w:val="center"/>
          </w:tcPr>
          <w:p w14:paraId="15C311DA" w14:textId="72B01D3C" w:rsidR="008D588A" w:rsidRPr="00C2587D" w:rsidRDefault="008D588A" w:rsidP="008D588A">
            <w:pPr>
              <w:jc w:val="center"/>
              <w:rPr>
                <w:color w:val="000000"/>
                <w:lang w:eastAsia="it-IT"/>
              </w:rPr>
            </w:pPr>
          </w:p>
        </w:tc>
        <w:tc>
          <w:tcPr>
            <w:tcW w:w="1290" w:type="dxa"/>
            <w:gridSpan w:val="2"/>
            <w:vAlign w:val="center"/>
          </w:tcPr>
          <w:p w14:paraId="70A410F6" w14:textId="2A9008D8" w:rsidR="008D588A" w:rsidRPr="00C2587D" w:rsidRDefault="008D588A" w:rsidP="008D588A">
            <w:pPr>
              <w:ind w:left="1057"/>
              <w:jc w:val="center"/>
              <w:rPr>
                <w:color w:val="000000"/>
                <w:lang w:eastAsia="it-IT"/>
              </w:rPr>
            </w:pPr>
            <w:r w:rsidRPr="00C2587D">
              <w:rPr>
                <w:color w:val="000000"/>
                <w:lang w:eastAsia="it-IT"/>
              </w:rPr>
              <w:t>.</w:t>
            </w:r>
          </w:p>
        </w:tc>
        <w:tc>
          <w:tcPr>
            <w:tcW w:w="1572" w:type="dxa"/>
            <w:vAlign w:val="center"/>
          </w:tcPr>
          <w:p w14:paraId="6F960D7A" w14:textId="77777777" w:rsidR="008D588A" w:rsidRPr="00C2587D" w:rsidRDefault="008D588A" w:rsidP="008D588A">
            <w:pPr>
              <w:jc w:val="center"/>
              <w:rPr>
                <w:color w:val="000000"/>
                <w:lang w:eastAsia="it-IT"/>
              </w:rPr>
            </w:pPr>
          </w:p>
        </w:tc>
      </w:tr>
      <w:tr w:rsidR="00CB33C7" w:rsidRPr="00C2587D" w14:paraId="4BF38DD5" w14:textId="77777777" w:rsidTr="00EA6E27">
        <w:trPr>
          <w:jc w:val="right"/>
        </w:trPr>
        <w:tc>
          <w:tcPr>
            <w:tcW w:w="3425" w:type="dxa"/>
            <w:shd w:val="clear" w:color="auto" w:fill="FFFFFF"/>
            <w:vAlign w:val="center"/>
          </w:tcPr>
          <w:p w14:paraId="501EB33B" w14:textId="77777777" w:rsidR="00CB33C7" w:rsidRPr="00C2587D" w:rsidRDefault="00CB33C7" w:rsidP="00EA6E27">
            <w:pPr>
              <w:rPr>
                <w:b/>
                <w:bCs/>
                <w:color w:val="000000"/>
              </w:rPr>
            </w:pPr>
            <w:r w:rsidRPr="00C2587D">
              <w:rPr>
                <w:b/>
                <w:color w:val="000000"/>
              </w:rPr>
              <w:t>Відповідальний виконавець проєкту:</w:t>
            </w:r>
          </w:p>
        </w:tc>
        <w:tc>
          <w:tcPr>
            <w:tcW w:w="6794" w:type="dxa"/>
            <w:gridSpan w:val="8"/>
            <w:vAlign w:val="center"/>
          </w:tcPr>
          <w:p w14:paraId="44CECF93" w14:textId="77777777" w:rsidR="00CB33C7" w:rsidRPr="00C2587D" w:rsidRDefault="00CB33C7" w:rsidP="00EA6E27">
            <w:pPr>
              <w:jc w:val="both"/>
              <w:rPr>
                <w:color w:val="000000"/>
                <w:lang w:eastAsia="it-IT"/>
              </w:rPr>
            </w:pPr>
            <w:r w:rsidRPr="00C2587D">
              <w:rPr>
                <w:color w:val="000000"/>
                <w:lang w:eastAsia="it-IT"/>
              </w:rPr>
              <w:t>Управління ЖКГ</w:t>
            </w:r>
          </w:p>
          <w:p w14:paraId="4CFE1EE1" w14:textId="77777777" w:rsidR="00CB33C7" w:rsidRPr="00C2587D" w:rsidRDefault="00CB33C7" w:rsidP="00EA6E27">
            <w:pPr>
              <w:jc w:val="both"/>
              <w:rPr>
                <w:color w:val="000000"/>
                <w:lang w:eastAsia="it-IT"/>
              </w:rPr>
            </w:pPr>
          </w:p>
        </w:tc>
      </w:tr>
      <w:tr w:rsidR="00CB33C7" w:rsidRPr="00C2587D" w14:paraId="644F571E" w14:textId="77777777" w:rsidTr="00EA6E27">
        <w:trPr>
          <w:jc w:val="right"/>
        </w:trPr>
        <w:tc>
          <w:tcPr>
            <w:tcW w:w="3425" w:type="dxa"/>
            <w:shd w:val="clear" w:color="auto" w:fill="FFFFFF"/>
            <w:vAlign w:val="center"/>
          </w:tcPr>
          <w:p w14:paraId="5994F407" w14:textId="77777777" w:rsidR="00CB33C7" w:rsidRPr="00C2587D" w:rsidRDefault="00CB33C7" w:rsidP="00EA6E27">
            <w:pPr>
              <w:rPr>
                <w:b/>
                <w:bCs/>
                <w:color w:val="000000"/>
              </w:rPr>
            </w:pPr>
            <w:r w:rsidRPr="00C2587D">
              <w:rPr>
                <w:b/>
                <w:bCs/>
                <w:color w:val="000000"/>
              </w:rPr>
              <w:t>Інше:</w:t>
            </w:r>
          </w:p>
        </w:tc>
        <w:tc>
          <w:tcPr>
            <w:tcW w:w="6794" w:type="dxa"/>
            <w:gridSpan w:val="8"/>
            <w:vAlign w:val="center"/>
          </w:tcPr>
          <w:p w14:paraId="42628D9B" w14:textId="77777777" w:rsidR="00CB33C7" w:rsidRPr="00C2587D" w:rsidRDefault="00CB33C7" w:rsidP="00EA6E27">
            <w:pPr>
              <w:rPr>
                <w:color w:val="000000"/>
                <w:lang w:eastAsia="it-IT"/>
              </w:rPr>
            </w:pPr>
          </w:p>
          <w:p w14:paraId="59DF3DB6" w14:textId="77777777" w:rsidR="00CB33C7" w:rsidRPr="00C2587D" w:rsidRDefault="00CB33C7" w:rsidP="00EA6E27">
            <w:pPr>
              <w:rPr>
                <w:color w:val="000000"/>
                <w:lang w:eastAsia="it-IT"/>
              </w:rPr>
            </w:pPr>
          </w:p>
        </w:tc>
      </w:tr>
    </w:tbl>
    <w:p w14:paraId="52CDF83B" w14:textId="77777777" w:rsidR="00CB33C7" w:rsidRPr="00C2587D" w:rsidRDefault="00CB33C7" w:rsidP="00CB33C7"/>
    <w:p w14:paraId="63D5AA70" w14:textId="77777777" w:rsidR="00820A36" w:rsidRDefault="00820A36" w:rsidP="0002778F">
      <w:pPr>
        <w:jc w:val="center"/>
        <w:rPr>
          <w:rFonts w:cs="Arial"/>
          <w:b/>
          <w:color w:val="000000"/>
          <w:szCs w:val="22"/>
        </w:rPr>
      </w:pPr>
    </w:p>
    <w:p w14:paraId="16F880B4" w14:textId="77777777" w:rsidR="00820A36" w:rsidRDefault="00820A36" w:rsidP="0002778F">
      <w:pPr>
        <w:jc w:val="center"/>
        <w:rPr>
          <w:rFonts w:cs="Arial"/>
          <w:b/>
          <w:color w:val="000000"/>
          <w:szCs w:val="22"/>
        </w:rPr>
      </w:pPr>
    </w:p>
    <w:p w14:paraId="01484E1A" w14:textId="6EDE7C51" w:rsidR="0002778F" w:rsidRPr="00C2587D" w:rsidRDefault="0002778F" w:rsidP="0002778F">
      <w:pPr>
        <w:jc w:val="center"/>
        <w:rPr>
          <w:rFonts w:cs="Arial"/>
          <w:b/>
          <w:color w:val="000000"/>
          <w:szCs w:val="22"/>
        </w:rPr>
      </w:pPr>
      <w:r w:rsidRPr="00C2587D">
        <w:rPr>
          <w:rFonts w:cs="Arial"/>
          <w:b/>
          <w:color w:val="000000"/>
          <w:szCs w:val="22"/>
        </w:rPr>
        <w:t>Форма технічного завдання на про</w:t>
      </w:r>
      <w:r w:rsidR="0013105D">
        <w:rPr>
          <w:rFonts w:cs="Arial"/>
          <w:b/>
          <w:color w:val="000000"/>
          <w:szCs w:val="22"/>
        </w:rPr>
        <w:t>є</w:t>
      </w:r>
      <w:r w:rsidRPr="00C2587D">
        <w:rPr>
          <w:rFonts w:cs="Arial"/>
          <w:b/>
          <w:color w:val="000000"/>
          <w:szCs w:val="22"/>
        </w:rPr>
        <w:t xml:space="preserve">кт місцевого розвитку </w:t>
      </w:r>
    </w:p>
    <w:p w14:paraId="4DE8E15C" w14:textId="77777777" w:rsidR="0002778F" w:rsidRPr="00C2587D" w:rsidRDefault="0002778F" w:rsidP="0002778F">
      <w:pPr>
        <w:jc w:val="center"/>
        <w:rPr>
          <w:rFonts w:cs="Arial"/>
          <w:b/>
          <w:color w:val="000000"/>
          <w:szCs w:val="22"/>
        </w:rPr>
      </w:pPr>
      <w:r w:rsidRPr="00C2587D">
        <w:rPr>
          <w:rFonts w:cs="Arial"/>
          <w:b/>
          <w:color w:val="000000"/>
          <w:szCs w:val="22"/>
        </w:rPr>
        <w:t>до Плану заходів з реалізації Стратегії</w:t>
      </w:r>
    </w:p>
    <w:p w14:paraId="7A1A5CD0" w14:textId="77777777" w:rsidR="0002778F" w:rsidRPr="00C2587D" w:rsidRDefault="0002778F" w:rsidP="0002778F">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36"/>
        <w:gridCol w:w="1365"/>
        <w:gridCol w:w="16"/>
        <w:gridCol w:w="1418"/>
        <w:gridCol w:w="6"/>
        <w:gridCol w:w="1269"/>
        <w:gridCol w:w="71"/>
        <w:gridCol w:w="1359"/>
      </w:tblGrid>
      <w:tr w:rsidR="0002778F" w:rsidRPr="008D588A" w14:paraId="1F8034BA" w14:textId="77777777" w:rsidTr="008D588A">
        <w:trPr>
          <w:trHeight w:val="335"/>
          <w:jc w:val="right"/>
        </w:trPr>
        <w:tc>
          <w:tcPr>
            <w:tcW w:w="3425" w:type="dxa"/>
          </w:tcPr>
          <w:p w14:paraId="60678D6C" w14:textId="5D8DACDA" w:rsidR="0002778F" w:rsidRPr="008D588A" w:rsidRDefault="008D588A" w:rsidP="008D588A">
            <w:pPr>
              <w:rPr>
                <w:rFonts w:cs="Arial"/>
                <w:b/>
                <w:bCs/>
                <w:szCs w:val="22"/>
              </w:rPr>
            </w:pPr>
            <w:r w:rsidRPr="00C2587D">
              <w:rPr>
                <w:b/>
                <w:bCs/>
                <w:color w:val="000000"/>
              </w:rPr>
              <w:t>Назва проєкту:</w:t>
            </w:r>
          </w:p>
        </w:tc>
        <w:tc>
          <w:tcPr>
            <w:tcW w:w="6794" w:type="dxa"/>
            <w:gridSpan w:val="9"/>
            <w:vAlign w:val="center"/>
          </w:tcPr>
          <w:p w14:paraId="7FA95DCB" w14:textId="77777777" w:rsidR="0002778F" w:rsidRPr="008D588A" w:rsidRDefault="0002778F" w:rsidP="008D588A">
            <w:pPr>
              <w:rPr>
                <w:rFonts w:cs="Arial"/>
                <w:b/>
                <w:szCs w:val="22"/>
                <w:lang w:eastAsia="it-IT"/>
              </w:rPr>
            </w:pPr>
            <w:r w:rsidRPr="008D588A">
              <w:rPr>
                <w:rFonts w:cs="Arial"/>
                <w:b/>
                <w:szCs w:val="22"/>
                <w:lang w:eastAsia="it-IT"/>
              </w:rPr>
              <w:t>Встановлення сучасних  автобусних  зупинок</w:t>
            </w:r>
          </w:p>
        </w:tc>
      </w:tr>
      <w:tr w:rsidR="0002778F" w:rsidRPr="008D588A" w14:paraId="394AC7FA" w14:textId="77777777" w:rsidTr="008D588A">
        <w:trPr>
          <w:jc w:val="right"/>
        </w:trPr>
        <w:tc>
          <w:tcPr>
            <w:tcW w:w="3425" w:type="dxa"/>
          </w:tcPr>
          <w:p w14:paraId="14738057" w14:textId="77777777" w:rsidR="0002778F" w:rsidRPr="008D588A" w:rsidRDefault="0002778F" w:rsidP="008D588A">
            <w:pPr>
              <w:rPr>
                <w:rFonts w:cs="Arial"/>
                <w:szCs w:val="22"/>
                <w:lang w:eastAsia="it-IT"/>
              </w:rPr>
            </w:pPr>
            <w:r w:rsidRPr="008D588A">
              <w:rPr>
                <w:rFonts w:cs="Arial"/>
                <w:b/>
                <w:bCs/>
                <w:szCs w:val="22"/>
              </w:rPr>
              <w:t>Ваші контакти</w:t>
            </w:r>
            <w:r w:rsidRPr="008D588A">
              <w:rPr>
                <w:rFonts w:cs="Arial"/>
                <w:szCs w:val="22"/>
                <w:lang w:eastAsia="it-IT"/>
              </w:rPr>
              <w:t>:</w:t>
            </w:r>
          </w:p>
          <w:p w14:paraId="2E0F48FF" w14:textId="77777777" w:rsidR="0002778F" w:rsidRPr="008D588A" w:rsidRDefault="0002778F" w:rsidP="008D588A">
            <w:pPr>
              <w:rPr>
                <w:rFonts w:cs="Arial"/>
                <w:b/>
                <w:bCs/>
                <w:szCs w:val="22"/>
              </w:rPr>
            </w:pPr>
            <w:r w:rsidRPr="008D588A">
              <w:rPr>
                <w:rFonts w:cs="Arial"/>
                <w:szCs w:val="22"/>
                <w:lang w:eastAsia="it-IT"/>
              </w:rPr>
              <w:t>Назва установи, організації, підприємства</w:t>
            </w:r>
          </w:p>
        </w:tc>
        <w:tc>
          <w:tcPr>
            <w:tcW w:w="6794" w:type="dxa"/>
            <w:gridSpan w:val="9"/>
            <w:vAlign w:val="center"/>
          </w:tcPr>
          <w:p w14:paraId="1B702BBE" w14:textId="77777777" w:rsidR="0002778F" w:rsidRPr="008D588A" w:rsidRDefault="0002778F" w:rsidP="008D588A">
            <w:pPr>
              <w:rPr>
                <w:rFonts w:cs="Arial"/>
                <w:szCs w:val="22"/>
                <w:lang w:eastAsia="it-IT"/>
              </w:rPr>
            </w:pPr>
            <w:r w:rsidRPr="008D588A">
              <w:rPr>
                <w:rFonts w:cs="Arial"/>
                <w:szCs w:val="22"/>
                <w:lang w:eastAsia="it-IT"/>
              </w:rPr>
              <w:t>Управління економіки та розвитку інфраструктури виконавчого комітету Жмеринської міської ради</w:t>
            </w:r>
          </w:p>
        </w:tc>
      </w:tr>
      <w:tr w:rsidR="0002778F" w:rsidRPr="008D588A" w14:paraId="031C7B93" w14:textId="77777777" w:rsidTr="00EA6E27">
        <w:trPr>
          <w:jc w:val="right"/>
        </w:trPr>
        <w:tc>
          <w:tcPr>
            <w:tcW w:w="3425" w:type="dxa"/>
          </w:tcPr>
          <w:p w14:paraId="04E6A541" w14:textId="77777777" w:rsidR="0002778F" w:rsidRPr="008D588A" w:rsidRDefault="0002778F" w:rsidP="008D588A">
            <w:pPr>
              <w:rPr>
                <w:rFonts w:cs="Arial"/>
                <w:b/>
                <w:bCs/>
                <w:szCs w:val="22"/>
              </w:rPr>
            </w:pPr>
            <w:r w:rsidRPr="008D588A">
              <w:rPr>
                <w:rFonts w:cs="Arial"/>
                <w:szCs w:val="22"/>
                <w:lang w:eastAsia="it-IT"/>
              </w:rPr>
              <w:t>Прізвище Ім’я По-батькові:</w:t>
            </w:r>
          </w:p>
        </w:tc>
        <w:tc>
          <w:tcPr>
            <w:tcW w:w="6794" w:type="dxa"/>
            <w:gridSpan w:val="9"/>
          </w:tcPr>
          <w:p w14:paraId="1F5E6384" w14:textId="25FB38B4" w:rsidR="0002778F" w:rsidRPr="008D588A" w:rsidRDefault="0002778F" w:rsidP="008D588A">
            <w:pPr>
              <w:rPr>
                <w:rFonts w:cs="Arial"/>
                <w:szCs w:val="22"/>
                <w:lang w:eastAsia="it-IT"/>
              </w:rPr>
            </w:pPr>
            <w:r w:rsidRPr="008D588A">
              <w:rPr>
                <w:rFonts w:cs="Arial"/>
                <w:szCs w:val="22"/>
                <w:lang w:eastAsia="it-IT"/>
              </w:rPr>
              <w:t xml:space="preserve"> Циган Тетяна </w:t>
            </w:r>
            <w:r w:rsidR="008D588A" w:rsidRPr="008D588A">
              <w:rPr>
                <w:rFonts w:cs="Arial"/>
                <w:szCs w:val="22"/>
                <w:lang w:eastAsia="it-IT"/>
              </w:rPr>
              <w:t>Миколаївна</w:t>
            </w:r>
          </w:p>
        </w:tc>
      </w:tr>
      <w:tr w:rsidR="0002778F" w:rsidRPr="008D588A" w14:paraId="2A29B77E" w14:textId="77777777" w:rsidTr="00EA6E27">
        <w:trPr>
          <w:jc w:val="right"/>
        </w:trPr>
        <w:tc>
          <w:tcPr>
            <w:tcW w:w="3425" w:type="dxa"/>
          </w:tcPr>
          <w:p w14:paraId="76BD67DA" w14:textId="77777777" w:rsidR="0002778F" w:rsidRPr="008D588A" w:rsidRDefault="0002778F" w:rsidP="008D588A">
            <w:pPr>
              <w:rPr>
                <w:rFonts w:cs="Arial"/>
                <w:b/>
                <w:bCs/>
                <w:szCs w:val="22"/>
              </w:rPr>
            </w:pPr>
            <w:r w:rsidRPr="008D588A">
              <w:rPr>
                <w:rFonts w:cs="Arial"/>
                <w:szCs w:val="22"/>
                <w:lang w:eastAsia="it-IT"/>
              </w:rPr>
              <w:t>Телефон (мобільний):</w:t>
            </w:r>
          </w:p>
        </w:tc>
        <w:tc>
          <w:tcPr>
            <w:tcW w:w="6794" w:type="dxa"/>
            <w:gridSpan w:val="9"/>
          </w:tcPr>
          <w:p w14:paraId="5B4611E7" w14:textId="77777777" w:rsidR="0002778F" w:rsidRPr="008D588A" w:rsidRDefault="0002778F" w:rsidP="008D588A">
            <w:pPr>
              <w:rPr>
                <w:rFonts w:cs="Arial"/>
                <w:szCs w:val="22"/>
                <w:lang w:eastAsia="it-IT"/>
              </w:rPr>
            </w:pPr>
            <w:r w:rsidRPr="008D588A">
              <w:rPr>
                <w:rFonts w:cs="Arial"/>
                <w:szCs w:val="22"/>
                <w:lang w:eastAsia="it-IT"/>
              </w:rPr>
              <w:t xml:space="preserve"> 068-88-545-49</w:t>
            </w:r>
          </w:p>
        </w:tc>
      </w:tr>
      <w:tr w:rsidR="0002778F" w:rsidRPr="008D588A" w14:paraId="4E215615" w14:textId="77777777" w:rsidTr="00EA6E27">
        <w:trPr>
          <w:jc w:val="right"/>
        </w:trPr>
        <w:tc>
          <w:tcPr>
            <w:tcW w:w="3425" w:type="dxa"/>
          </w:tcPr>
          <w:p w14:paraId="1D7117D2" w14:textId="77777777" w:rsidR="0002778F" w:rsidRPr="008D588A" w:rsidRDefault="0002778F" w:rsidP="008D588A">
            <w:pPr>
              <w:rPr>
                <w:rFonts w:cs="Arial"/>
                <w:b/>
                <w:bCs/>
                <w:szCs w:val="22"/>
              </w:rPr>
            </w:pPr>
            <w:r w:rsidRPr="008D588A">
              <w:rPr>
                <w:rFonts w:cs="Arial"/>
                <w:szCs w:val="22"/>
                <w:lang w:eastAsia="it-IT"/>
              </w:rPr>
              <w:t>Електронна адреса:</w:t>
            </w:r>
          </w:p>
        </w:tc>
        <w:tc>
          <w:tcPr>
            <w:tcW w:w="6794" w:type="dxa"/>
            <w:gridSpan w:val="9"/>
          </w:tcPr>
          <w:p w14:paraId="16AB8BDD" w14:textId="765E8F59" w:rsidR="0002778F" w:rsidRPr="008D588A" w:rsidRDefault="00D85FFD" w:rsidP="008D588A">
            <w:pPr>
              <w:rPr>
                <w:rFonts w:cs="Arial"/>
                <w:color w:val="000000"/>
                <w:szCs w:val="22"/>
                <w:lang w:eastAsia="it-IT"/>
              </w:rPr>
            </w:pPr>
            <w:hyperlink r:id="rId82" w:history="1">
              <w:r w:rsidR="008D588A" w:rsidRPr="008D588A">
                <w:rPr>
                  <w:rStyle w:val="af0"/>
                  <w:rFonts w:cs="Arial"/>
                  <w:noProof w:val="0"/>
                  <w:sz w:val="22"/>
                  <w:szCs w:val="22"/>
                </w:rPr>
                <w:t>econ@zhmr.gov.ua</w:t>
              </w:r>
            </w:hyperlink>
            <w:r w:rsidR="008D588A" w:rsidRPr="008D588A">
              <w:rPr>
                <w:rFonts w:cs="Arial"/>
                <w:color w:val="000000"/>
                <w:szCs w:val="22"/>
              </w:rPr>
              <w:t xml:space="preserve"> </w:t>
            </w:r>
            <w:r w:rsidR="0002778F" w:rsidRPr="008D588A">
              <w:rPr>
                <w:rFonts w:cs="Arial"/>
                <w:color w:val="000000"/>
                <w:szCs w:val="22"/>
              </w:rPr>
              <w:t xml:space="preserve"> </w:t>
            </w:r>
          </w:p>
        </w:tc>
      </w:tr>
      <w:tr w:rsidR="0002778F" w:rsidRPr="008D588A" w14:paraId="69816E2B" w14:textId="77777777" w:rsidTr="00EA6E27">
        <w:trPr>
          <w:jc w:val="right"/>
        </w:trPr>
        <w:tc>
          <w:tcPr>
            <w:tcW w:w="3425" w:type="dxa"/>
            <w:vAlign w:val="center"/>
          </w:tcPr>
          <w:p w14:paraId="6FF03154" w14:textId="7CEE30AF" w:rsidR="0002778F" w:rsidRPr="008D588A" w:rsidRDefault="0002778F" w:rsidP="008D588A">
            <w:pPr>
              <w:pStyle w:val="6"/>
              <w:spacing w:before="0" w:after="0"/>
              <w:rPr>
                <w:rFonts w:ascii="Arial" w:hAnsi="Arial" w:cs="Arial"/>
                <w:color w:val="000000"/>
                <w:lang w:val="uk-UA"/>
              </w:rPr>
            </w:pPr>
            <w:r w:rsidRPr="008D588A">
              <w:rPr>
                <w:rFonts w:ascii="Arial" w:hAnsi="Arial" w:cs="Arial"/>
                <w:color w:val="000000"/>
                <w:lang w:val="uk-UA"/>
              </w:rPr>
              <w:t>Номер і назва завдання з Стратегії</w:t>
            </w:r>
            <w:r w:rsidRPr="008D588A">
              <w:rPr>
                <w:rFonts w:ascii="Arial" w:hAnsi="Arial" w:cs="Arial"/>
                <w:lang w:val="uk-UA" w:eastAsia="it-IT"/>
              </w:rPr>
              <w:t xml:space="preserve"> </w:t>
            </w:r>
            <w:r w:rsidRPr="008D588A">
              <w:rPr>
                <w:rFonts w:ascii="Arial" w:hAnsi="Arial" w:cs="Arial"/>
                <w:color w:val="000000"/>
                <w:lang w:val="uk-UA"/>
              </w:rPr>
              <w:t>розвитку Жмеринської міської територіальної</w:t>
            </w:r>
            <w:r w:rsidR="0013105D">
              <w:rPr>
                <w:rFonts w:ascii="Arial" w:hAnsi="Arial" w:cs="Arial"/>
                <w:color w:val="000000"/>
                <w:lang w:val="uk-UA"/>
              </w:rPr>
              <w:t xml:space="preserve"> громади,  якому відповідає проє</w:t>
            </w:r>
            <w:r w:rsidRPr="008D588A">
              <w:rPr>
                <w:rFonts w:ascii="Arial" w:hAnsi="Arial" w:cs="Arial"/>
                <w:color w:val="000000"/>
                <w:lang w:val="uk-UA"/>
              </w:rPr>
              <w:t>кт:</w:t>
            </w:r>
          </w:p>
        </w:tc>
        <w:tc>
          <w:tcPr>
            <w:tcW w:w="6794" w:type="dxa"/>
            <w:gridSpan w:val="9"/>
          </w:tcPr>
          <w:p w14:paraId="6CA14B37" w14:textId="77777777" w:rsidR="0002778F" w:rsidRPr="008D588A" w:rsidRDefault="0002778F" w:rsidP="008D588A">
            <w:pPr>
              <w:tabs>
                <w:tab w:val="left" w:pos="0"/>
                <w:tab w:val="left" w:pos="720"/>
              </w:tabs>
              <w:autoSpaceDE w:val="0"/>
              <w:autoSpaceDN w:val="0"/>
              <w:adjustRightInd w:val="0"/>
              <w:rPr>
                <w:rFonts w:cs="Arial"/>
                <w:szCs w:val="22"/>
              </w:rPr>
            </w:pPr>
            <w:r w:rsidRPr="008D588A">
              <w:rPr>
                <w:rFonts w:cs="Arial"/>
                <w:color w:val="000000"/>
                <w:szCs w:val="22"/>
              </w:rPr>
              <w:t>В.1.4. Організація громадського транспорту</w:t>
            </w:r>
          </w:p>
          <w:p w14:paraId="02CF65CF" w14:textId="77777777" w:rsidR="0002778F" w:rsidRPr="008D588A" w:rsidRDefault="0002778F" w:rsidP="008D588A">
            <w:pPr>
              <w:pBdr>
                <w:left w:val="single" w:sz="18" w:space="4" w:color="auto"/>
              </w:pBdr>
              <w:rPr>
                <w:rFonts w:cs="Arial"/>
                <w:szCs w:val="22"/>
                <w:lang w:eastAsia="it-IT"/>
              </w:rPr>
            </w:pPr>
            <w:r w:rsidRPr="008D588A">
              <w:rPr>
                <w:rFonts w:cs="Arial"/>
                <w:szCs w:val="22"/>
                <w:lang w:eastAsia="it-IT"/>
              </w:rPr>
              <w:t>В.1.4.6 Створення зручних та комфортних зупинок.</w:t>
            </w:r>
          </w:p>
        </w:tc>
      </w:tr>
      <w:tr w:rsidR="0002778F" w:rsidRPr="008D588A" w14:paraId="7F2FB870" w14:textId="77777777" w:rsidTr="00EA6E27">
        <w:trPr>
          <w:jc w:val="right"/>
        </w:trPr>
        <w:tc>
          <w:tcPr>
            <w:tcW w:w="3425" w:type="dxa"/>
            <w:vAlign w:val="center"/>
          </w:tcPr>
          <w:p w14:paraId="256C5BC4" w14:textId="716DC648" w:rsidR="0002778F" w:rsidRPr="008D588A" w:rsidRDefault="0002778F" w:rsidP="008D588A">
            <w:pPr>
              <w:rPr>
                <w:rFonts w:cs="Arial"/>
                <w:b/>
                <w:bCs/>
                <w:color w:val="000000"/>
                <w:szCs w:val="22"/>
              </w:rPr>
            </w:pPr>
            <w:r w:rsidRPr="008D588A">
              <w:rPr>
                <w:rFonts w:cs="Arial"/>
                <w:b/>
                <w:bCs/>
                <w:color w:val="000000"/>
                <w:szCs w:val="22"/>
              </w:rPr>
              <w:t xml:space="preserve">Мета </w:t>
            </w:r>
            <w:r w:rsidR="00314B9D">
              <w:rPr>
                <w:rFonts w:cs="Arial"/>
                <w:b/>
                <w:bCs/>
                <w:color w:val="000000"/>
                <w:szCs w:val="22"/>
              </w:rPr>
              <w:t>проєкту</w:t>
            </w:r>
            <w:r w:rsidRPr="008D588A">
              <w:rPr>
                <w:rFonts w:cs="Arial"/>
                <w:b/>
                <w:bCs/>
                <w:color w:val="000000"/>
                <w:szCs w:val="22"/>
              </w:rPr>
              <w:t>:</w:t>
            </w:r>
          </w:p>
        </w:tc>
        <w:tc>
          <w:tcPr>
            <w:tcW w:w="6794" w:type="dxa"/>
            <w:gridSpan w:val="9"/>
          </w:tcPr>
          <w:p w14:paraId="49092726" w14:textId="77777777" w:rsidR="0002778F" w:rsidRPr="008D588A" w:rsidRDefault="0002778F" w:rsidP="008D588A">
            <w:pPr>
              <w:rPr>
                <w:rFonts w:cs="Arial"/>
                <w:szCs w:val="22"/>
                <w:lang w:eastAsia="it-IT"/>
              </w:rPr>
            </w:pPr>
            <w:r w:rsidRPr="008D588A">
              <w:rPr>
                <w:rFonts w:cs="Arial"/>
                <w:color w:val="000000"/>
                <w:szCs w:val="22"/>
                <w:shd w:val="clear" w:color="auto" w:fill="FFFFFF"/>
              </w:rPr>
              <w:t>Облаштування сучасних автобусних зупинок</w:t>
            </w:r>
          </w:p>
        </w:tc>
      </w:tr>
      <w:tr w:rsidR="0002778F" w:rsidRPr="008D588A" w14:paraId="2DF8F96F" w14:textId="77777777" w:rsidTr="00EA6E27">
        <w:trPr>
          <w:jc w:val="right"/>
        </w:trPr>
        <w:tc>
          <w:tcPr>
            <w:tcW w:w="3425" w:type="dxa"/>
            <w:vAlign w:val="center"/>
          </w:tcPr>
          <w:p w14:paraId="64C3A682" w14:textId="0CD817A9" w:rsidR="0002778F" w:rsidRPr="008D588A" w:rsidRDefault="0002778F" w:rsidP="0013105D">
            <w:pPr>
              <w:rPr>
                <w:rFonts w:cs="Arial"/>
                <w:b/>
                <w:bCs/>
                <w:color w:val="000000"/>
                <w:szCs w:val="22"/>
              </w:rPr>
            </w:pPr>
            <w:r w:rsidRPr="008D588A">
              <w:rPr>
                <w:rFonts w:cs="Arial"/>
                <w:b/>
                <w:bCs/>
                <w:color w:val="000000"/>
                <w:szCs w:val="22"/>
              </w:rPr>
              <w:t>Цілі про</w:t>
            </w:r>
            <w:r w:rsidR="0013105D">
              <w:rPr>
                <w:rFonts w:cs="Arial"/>
                <w:b/>
                <w:bCs/>
                <w:color w:val="000000"/>
                <w:szCs w:val="22"/>
              </w:rPr>
              <w:t>є</w:t>
            </w:r>
            <w:r w:rsidRPr="008D588A">
              <w:rPr>
                <w:rFonts w:cs="Arial"/>
                <w:b/>
                <w:bCs/>
                <w:color w:val="000000"/>
                <w:szCs w:val="22"/>
              </w:rPr>
              <w:t>кту:</w:t>
            </w:r>
          </w:p>
        </w:tc>
        <w:tc>
          <w:tcPr>
            <w:tcW w:w="6794" w:type="dxa"/>
            <w:gridSpan w:val="9"/>
          </w:tcPr>
          <w:p w14:paraId="40D7B2F3" w14:textId="77777777" w:rsidR="0002778F" w:rsidRPr="008D588A" w:rsidRDefault="0002778F" w:rsidP="008D588A">
            <w:pPr>
              <w:rPr>
                <w:rFonts w:cs="Arial"/>
                <w:szCs w:val="22"/>
                <w:lang w:eastAsia="it-IT"/>
              </w:rPr>
            </w:pPr>
            <w:r w:rsidRPr="008D588A">
              <w:rPr>
                <w:rFonts w:cs="Arial"/>
                <w:szCs w:val="22"/>
              </w:rPr>
              <w:t>Встановлення нових, сучасних зупинок громадського транспорту приведених до відповідних санітарних норм та забезпеченням доступності для людей з інвалідністю, як альтернативу діючим, встановлення інформаційних стендів з розкладами (прибуття транспортного засобу на зупинку та інтервалами руху  громадського транспорту).</w:t>
            </w:r>
          </w:p>
        </w:tc>
      </w:tr>
      <w:tr w:rsidR="0002778F" w:rsidRPr="008D588A" w14:paraId="52CEA0CE" w14:textId="77777777" w:rsidTr="00EA6E27">
        <w:trPr>
          <w:jc w:val="right"/>
        </w:trPr>
        <w:tc>
          <w:tcPr>
            <w:tcW w:w="3425" w:type="dxa"/>
            <w:vAlign w:val="center"/>
          </w:tcPr>
          <w:p w14:paraId="4385D30B" w14:textId="63AA23A4" w:rsidR="0002778F" w:rsidRPr="008D588A" w:rsidRDefault="0013105D" w:rsidP="008D588A">
            <w:pPr>
              <w:autoSpaceDE w:val="0"/>
              <w:autoSpaceDN w:val="0"/>
              <w:adjustRightInd w:val="0"/>
              <w:rPr>
                <w:rFonts w:cs="Arial"/>
                <w:b/>
                <w:color w:val="000000"/>
                <w:szCs w:val="22"/>
              </w:rPr>
            </w:pPr>
            <w:r>
              <w:rPr>
                <w:rFonts w:cs="Arial"/>
                <w:b/>
                <w:color w:val="000000"/>
                <w:szCs w:val="22"/>
              </w:rPr>
              <w:t>Територія на яку проє</w:t>
            </w:r>
            <w:r w:rsidR="0002778F" w:rsidRPr="008D588A">
              <w:rPr>
                <w:rFonts w:cs="Arial"/>
                <w:b/>
                <w:color w:val="000000"/>
                <w:szCs w:val="22"/>
              </w:rPr>
              <w:t>кт матиме вплив:</w:t>
            </w:r>
          </w:p>
        </w:tc>
        <w:tc>
          <w:tcPr>
            <w:tcW w:w="6794" w:type="dxa"/>
            <w:gridSpan w:val="9"/>
          </w:tcPr>
          <w:p w14:paraId="7FFE1DEA" w14:textId="2E886BD8" w:rsidR="0002778F" w:rsidRPr="008D588A" w:rsidRDefault="00314B9D" w:rsidP="008D588A">
            <w:pPr>
              <w:rPr>
                <w:rFonts w:cs="Arial"/>
                <w:szCs w:val="22"/>
                <w:lang w:eastAsia="it-IT"/>
              </w:rPr>
            </w:pPr>
            <w:r>
              <w:rPr>
                <w:rFonts w:cs="Arial"/>
                <w:szCs w:val="22"/>
                <w:lang w:eastAsia="it-IT"/>
              </w:rPr>
              <w:t>Проєкт</w:t>
            </w:r>
            <w:r w:rsidR="0002778F" w:rsidRPr="008D588A">
              <w:rPr>
                <w:rFonts w:cs="Arial"/>
                <w:szCs w:val="22"/>
                <w:lang w:eastAsia="it-IT"/>
              </w:rPr>
              <w:t xml:space="preserve"> покриває  всю територію м.Жмеринка. Місця визначені, як автобусні зупинки. </w:t>
            </w:r>
          </w:p>
        </w:tc>
      </w:tr>
      <w:tr w:rsidR="0002778F" w:rsidRPr="008D588A" w14:paraId="0FB46A64" w14:textId="77777777" w:rsidTr="00EA6E27">
        <w:trPr>
          <w:jc w:val="right"/>
        </w:trPr>
        <w:tc>
          <w:tcPr>
            <w:tcW w:w="3425" w:type="dxa"/>
            <w:vAlign w:val="center"/>
          </w:tcPr>
          <w:p w14:paraId="5BFBCFFB" w14:textId="77777777" w:rsidR="0002778F" w:rsidRPr="008D588A" w:rsidRDefault="0002778F" w:rsidP="008D588A">
            <w:pPr>
              <w:autoSpaceDE w:val="0"/>
              <w:autoSpaceDN w:val="0"/>
              <w:adjustRightInd w:val="0"/>
              <w:rPr>
                <w:rFonts w:cs="Arial"/>
                <w:b/>
                <w:color w:val="000000"/>
                <w:szCs w:val="22"/>
              </w:rPr>
            </w:pPr>
            <w:r w:rsidRPr="008D588A">
              <w:rPr>
                <w:rFonts w:cs="Arial"/>
                <w:b/>
                <w:color w:val="000000"/>
                <w:szCs w:val="22"/>
              </w:rPr>
              <w:t>Цільові групи проєкту та кількість отримувачів вигоди</w:t>
            </w:r>
          </w:p>
        </w:tc>
        <w:tc>
          <w:tcPr>
            <w:tcW w:w="6794" w:type="dxa"/>
            <w:gridSpan w:val="9"/>
          </w:tcPr>
          <w:p w14:paraId="6666C585" w14:textId="77777777" w:rsidR="0002778F" w:rsidRPr="008D588A" w:rsidRDefault="0002778F" w:rsidP="008D588A">
            <w:pPr>
              <w:rPr>
                <w:rFonts w:cs="Arial"/>
                <w:szCs w:val="22"/>
                <w:lang w:eastAsia="it-IT"/>
              </w:rPr>
            </w:pPr>
            <w:r w:rsidRPr="008D588A">
              <w:rPr>
                <w:rFonts w:cs="Arial"/>
                <w:szCs w:val="22"/>
                <w:lang w:eastAsia="it-IT"/>
              </w:rPr>
              <w:t xml:space="preserve">Біля  30 тис. осіб. </w:t>
            </w:r>
          </w:p>
        </w:tc>
      </w:tr>
      <w:tr w:rsidR="0002778F" w:rsidRPr="008D588A" w14:paraId="6FF1AF38" w14:textId="77777777" w:rsidTr="00EA6E27">
        <w:trPr>
          <w:jc w:val="right"/>
        </w:trPr>
        <w:tc>
          <w:tcPr>
            <w:tcW w:w="3425" w:type="dxa"/>
            <w:shd w:val="clear" w:color="auto" w:fill="FFFFFF"/>
            <w:vAlign w:val="center"/>
          </w:tcPr>
          <w:p w14:paraId="17624776" w14:textId="00CE3D59" w:rsidR="0002778F" w:rsidRPr="008D588A" w:rsidRDefault="0013105D" w:rsidP="008D588A">
            <w:pPr>
              <w:rPr>
                <w:rFonts w:cs="Arial"/>
                <w:b/>
                <w:bCs/>
                <w:color w:val="000000"/>
                <w:szCs w:val="22"/>
              </w:rPr>
            </w:pPr>
            <w:r>
              <w:rPr>
                <w:rFonts w:cs="Arial"/>
                <w:b/>
                <w:bCs/>
                <w:color w:val="000000"/>
                <w:szCs w:val="22"/>
              </w:rPr>
              <w:t>Стислий опис проє</w:t>
            </w:r>
            <w:r w:rsidR="0002778F" w:rsidRPr="008D588A">
              <w:rPr>
                <w:rFonts w:cs="Arial"/>
                <w:b/>
                <w:bCs/>
                <w:color w:val="000000"/>
                <w:szCs w:val="22"/>
              </w:rPr>
              <w:t>кту:</w:t>
            </w:r>
          </w:p>
        </w:tc>
        <w:tc>
          <w:tcPr>
            <w:tcW w:w="6794" w:type="dxa"/>
            <w:gridSpan w:val="9"/>
          </w:tcPr>
          <w:p w14:paraId="305C3822" w14:textId="77777777" w:rsidR="0002778F" w:rsidRPr="008D588A" w:rsidRDefault="0002778F" w:rsidP="008D588A">
            <w:pPr>
              <w:jc w:val="both"/>
              <w:rPr>
                <w:rFonts w:cs="Arial"/>
                <w:color w:val="000000"/>
                <w:szCs w:val="22"/>
                <w:shd w:val="clear" w:color="auto" w:fill="FFFFFF"/>
              </w:rPr>
            </w:pPr>
            <w:r w:rsidRPr="008D588A">
              <w:rPr>
                <w:rFonts w:cs="Arial"/>
                <w:color w:val="000000"/>
                <w:szCs w:val="22"/>
                <w:shd w:val="clear" w:color="auto" w:fill="FFFFFF"/>
              </w:rPr>
              <w:t>У місті багато встановлених зупинок, які не відповідають ні санітарним нормам, ані не відповідають вимогам естетики Автобусна зупинка – місце, де постійно зупиняється транспорт для посадки та висадки пасажирів. Ця споруда має бути спрямована в першу чергу, на підвищення комфорту пасажирів, їх захист від погодних умов. Також, зупинка має містити інформаційні стенди з  чіткою інформацією про час прибуття транспортного засобу (автобусу) на зупинку.</w:t>
            </w:r>
          </w:p>
          <w:p w14:paraId="5CE24804" w14:textId="77777777" w:rsidR="0002778F" w:rsidRPr="008D588A" w:rsidRDefault="0002778F" w:rsidP="008D588A">
            <w:pPr>
              <w:jc w:val="both"/>
              <w:rPr>
                <w:rFonts w:cs="Arial"/>
                <w:szCs w:val="22"/>
                <w:lang w:eastAsia="it-IT"/>
              </w:rPr>
            </w:pPr>
            <w:r w:rsidRPr="008D588A">
              <w:rPr>
                <w:rFonts w:cs="Arial"/>
                <w:color w:val="000000"/>
                <w:szCs w:val="22"/>
                <w:shd w:val="clear" w:color="auto" w:fill="FFFFFF"/>
              </w:rPr>
              <w:t xml:space="preserve">По місту відсутні розклади руху автобусів. І навіть, на тих центральних зупинках , де є розклади , на них вказаний лише час відправлення автобусів з кінцевих зупинок, в результаті у пасажира відсутня інформація про прибуття автобусу саме на зупинку.  </w:t>
            </w:r>
          </w:p>
        </w:tc>
      </w:tr>
      <w:tr w:rsidR="0002778F" w:rsidRPr="008D588A" w14:paraId="0722AB11" w14:textId="77777777" w:rsidTr="00EA6E27">
        <w:trPr>
          <w:jc w:val="right"/>
        </w:trPr>
        <w:tc>
          <w:tcPr>
            <w:tcW w:w="3425" w:type="dxa"/>
            <w:shd w:val="clear" w:color="auto" w:fill="FFFFFF"/>
            <w:vAlign w:val="center"/>
          </w:tcPr>
          <w:p w14:paraId="25DBFB85" w14:textId="77777777" w:rsidR="0002778F" w:rsidRPr="008D588A" w:rsidRDefault="0002778F" w:rsidP="008D588A">
            <w:pPr>
              <w:rPr>
                <w:rFonts w:cs="Arial"/>
                <w:b/>
                <w:bCs/>
                <w:color w:val="000000"/>
                <w:szCs w:val="22"/>
              </w:rPr>
            </w:pPr>
            <w:r w:rsidRPr="008D588A">
              <w:rPr>
                <w:rFonts w:cs="Arial"/>
                <w:b/>
                <w:bCs/>
                <w:color w:val="000000"/>
                <w:szCs w:val="22"/>
              </w:rPr>
              <w:t>Основні заходи проєкту:</w:t>
            </w:r>
          </w:p>
        </w:tc>
        <w:tc>
          <w:tcPr>
            <w:tcW w:w="6794" w:type="dxa"/>
            <w:gridSpan w:val="9"/>
            <w:shd w:val="clear" w:color="auto" w:fill="FFFFFF"/>
          </w:tcPr>
          <w:p w14:paraId="034CE0AE" w14:textId="77777777" w:rsidR="0002778F" w:rsidRPr="008D588A" w:rsidRDefault="0002778F" w:rsidP="008D588A">
            <w:pPr>
              <w:pStyle w:val="N"/>
              <w:numPr>
                <w:ilvl w:val="0"/>
                <w:numId w:val="13"/>
              </w:numPr>
              <w:tabs>
                <w:tab w:val="left" w:pos="365"/>
              </w:tabs>
              <w:spacing w:after="0" w:line="240" w:lineRule="auto"/>
              <w:ind w:left="50" w:firstLine="0"/>
              <w:jc w:val="both"/>
              <w:rPr>
                <w:rFonts w:ascii="Arial" w:hAnsi="Arial" w:cs="Arial"/>
                <w:lang w:val="uk-UA"/>
              </w:rPr>
            </w:pPr>
            <w:r w:rsidRPr="008D588A">
              <w:rPr>
                <w:rFonts w:ascii="Arial" w:hAnsi="Arial" w:cs="Arial"/>
                <w:lang w:val="uk-UA"/>
              </w:rPr>
              <w:t>Зняття з експлуатації та демонтаж діючих на сьогоднішній момент зупинок громадського транспорту біля БНТ та газового господарства</w:t>
            </w:r>
          </w:p>
          <w:p w14:paraId="37543200" w14:textId="77777777" w:rsidR="0002778F" w:rsidRPr="008D588A" w:rsidRDefault="0002778F" w:rsidP="008D588A">
            <w:pPr>
              <w:pStyle w:val="N"/>
              <w:numPr>
                <w:ilvl w:val="0"/>
                <w:numId w:val="13"/>
              </w:numPr>
              <w:tabs>
                <w:tab w:val="left" w:pos="365"/>
              </w:tabs>
              <w:spacing w:after="0" w:line="240" w:lineRule="auto"/>
              <w:ind w:left="50" w:firstLine="0"/>
              <w:jc w:val="both"/>
              <w:rPr>
                <w:rFonts w:ascii="Arial" w:hAnsi="Arial" w:cs="Arial"/>
                <w:lang w:val="uk-UA"/>
              </w:rPr>
            </w:pPr>
            <w:r w:rsidRPr="008D588A">
              <w:rPr>
                <w:rFonts w:ascii="Arial" w:hAnsi="Arial" w:cs="Arial"/>
                <w:lang w:val="uk-UA"/>
              </w:rPr>
              <w:t xml:space="preserve">Встановлення   зупинкового  комплексу біля   «БНТ» по вул.Б.Хмельницького  та «Газове господарство» по вул.Соборна. </w:t>
            </w:r>
          </w:p>
          <w:p w14:paraId="340F0C16" w14:textId="77777777" w:rsidR="0002778F" w:rsidRPr="008D588A" w:rsidRDefault="0002778F" w:rsidP="008D588A">
            <w:pPr>
              <w:pStyle w:val="N"/>
              <w:numPr>
                <w:ilvl w:val="0"/>
                <w:numId w:val="13"/>
              </w:numPr>
              <w:tabs>
                <w:tab w:val="left" w:pos="365"/>
              </w:tabs>
              <w:spacing w:after="0" w:line="240" w:lineRule="auto"/>
              <w:ind w:left="50" w:firstLine="0"/>
              <w:jc w:val="both"/>
              <w:rPr>
                <w:rFonts w:ascii="Arial" w:hAnsi="Arial" w:cs="Arial"/>
                <w:lang w:val="uk-UA" w:eastAsia="it-IT"/>
              </w:rPr>
            </w:pPr>
            <w:r w:rsidRPr="008D588A">
              <w:rPr>
                <w:rFonts w:ascii="Arial" w:hAnsi="Arial" w:cs="Arial"/>
                <w:lang w:val="uk-UA"/>
              </w:rPr>
              <w:t>Встановлення    інформаційних стендів,  з розкладами та інтервалами руху міських автобусів, сітілайтів.</w:t>
            </w:r>
          </w:p>
          <w:p w14:paraId="404F698E" w14:textId="77777777" w:rsidR="0002778F" w:rsidRPr="008D588A" w:rsidRDefault="0002778F" w:rsidP="008D588A">
            <w:pPr>
              <w:pStyle w:val="N"/>
              <w:numPr>
                <w:ilvl w:val="0"/>
                <w:numId w:val="13"/>
              </w:numPr>
              <w:tabs>
                <w:tab w:val="left" w:pos="365"/>
              </w:tabs>
              <w:spacing w:after="0" w:line="240" w:lineRule="auto"/>
              <w:ind w:left="50" w:firstLine="0"/>
              <w:jc w:val="both"/>
              <w:rPr>
                <w:rFonts w:ascii="Arial" w:hAnsi="Arial" w:cs="Arial"/>
                <w:lang w:val="uk-UA" w:eastAsia="it-IT"/>
              </w:rPr>
            </w:pPr>
            <w:r w:rsidRPr="008D588A">
              <w:rPr>
                <w:rFonts w:ascii="Arial" w:hAnsi="Arial" w:cs="Arial"/>
                <w:lang w:val="uk-UA" w:eastAsia="it-IT"/>
              </w:rPr>
              <w:t>Облаштування тротуару, у тому числі,  тактильною плиткою контрастного кольору для полегшення орієнтації незрячих та людей з поганим зором.</w:t>
            </w:r>
          </w:p>
          <w:p w14:paraId="419143F4" w14:textId="77777777" w:rsidR="0002778F" w:rsidRPr="008D588A" w:rsidRDefault="0002778F" w:rsidP="008D588A">
            <w:pPr>
              <w:pStyle w:val="N"/>
              <w:numPr>
                <w:ilvl w:val="0"/>
                <w:numId w:val="13"/>
              </w:numPr>
              <w:tabs>
                <w:tab w:val="left" w:pos="365"/>
              </w:tabs>
              <w:spacing w:after="0" w:line="240" w:lineRule="auto"/>
              <w:ind w:left="0" w:firstLine="50"/>
              <w:jc w:val="both"/>
              <w:rPr>
                <w:rFonts w:ascii="Arial" w:hAnsi="Arial" w:cs="Arial"/>
                <w:lang w:val="uk-UA" w:eastAsia="it-IT"/>
              </w:rPr>
            </w:pPr>
            <w:r w:rsidRPr="008D588A">
              <w:rPr>
                <w:rFonts w:ascii="Arial" w:hAnsi="Arial" w:cs="Arial"/>
                <w:lang w:val="uk-UA" w:eastAsia="it-IT"/>
              </w:rPr>
              <w:t>Забезпечення нанесення дорожньої розмітки та розмітки пішохідних переходів поблизу зупинки.</w:t>
            </w:r>
          </w:p>
          <w:p w14:paraId="7CE8B989" w14:textId="77777777" w:rsidR="0002778F" w:rsidRPr="008D588A" w:rsidRDefault="0002778F" w:rsidP="008D588A">
            <w:pPr>
              <w:pStyle w:val="N"/>
              <w:numPr>
                <w:ilvl w:val="0"/>
                <w:numId w:val="13"/>
              </w:numPr>
              <w:tabs>
                <w:tab w:val="left" w:pos="365"/>
              </w:tabs>
              <w:spacing w:after="0" w:line="240" w:lineRule="auto"/>
              <w:ind w:left="50" w:firstLine="0"/>
              <w:jc w:val="both"/>
              <w:rPr>
                <w:rFonts w:ascii="Arial" w:hAnsi="Arial" w:cs="Arial"/>
                <w:lang w:val="uk-UA" w:eastAsia="it-IT"/>
              </w:rPr>
            </w:pPr>
            <w:r w:rsidRPr="008D588A">
              <w:rPr>
                <w:rFonts w:ascii="Arial" w:hAnsi="Arial" w:cs="Arial"/>
                <w:lang w:val="uk-UA" w:eastAsia="it-IT"/>
              </w:rPr>
              <w:t xml:space="preserve">Забезпечення освітлення зупинки, а також підключення зони зупинки до мережі Wi-Fi </w:t>
            </w:r>
          </w:p>
        </w:tc>
      </w:tr>
      <w:tr w:rsidR="0002778F" w:rsidRPr="008D588A" w14:paraId="76799400" w14:textId="77777777" w:rsidTr="00EA6E27">
        <w:trPr>
          <w:jc w:val="right"/>
        </w:trPr>
        <w:tc>
          <w:tcPr>
            <w:tcW w:w="3425" w:type="dxa"/>
            <w:shd w:val="clear" w:color="auto" w:fill="FFFFFF"/>
            <w:vAlign w:val="center"/>
          </w:tcPr>
          <w:p w14:paraId="58096D09" w14:textId="77777777" w:rsidR="0002778F" w:rsidRPr="008D588A" w:rsidRDefault="0002778F" w:rsidP="008D588A">
            <w:pPr>
              <w:rPr>
                <w:rFonts w:cs="Arial"/>
                <w:b/>
                <w:bCs/>
                <w:color w:val="000000"/>
                <w:szCs w:val="22"/>
              </w:rPr>
            </w:pPr>
            <w:r w:rsidRPr="008D588A">
              <w:rPr>
                <w:rFonts w:cs="Arial"/>
                <w:b/>
                <w:bCs/>
                <w:color w:val="000000"/>
                <w:szCs w:val="22"/>
              </w:rPr>
              <w:t>Індикатори (показники) результативності:</w:t>
            </w:r>
          </w:p>
        </w:tc>
        <w:tc>
          <w:tcPr>
            <w:tcW w:w="6794" w:type="dxa"/>
            <w:gridSpan w:val="9"/>
            <w:shd w:val="clear" w:color="auto" w:fill="FFFFFF"/>
          </w:tcPr>
          <w:p w14:paraId="7CA8E582" w14:textId="77777777" w:rsidR="0002778F" w:rsidRPr="008D588A" w:rsidRDefault="0002778F" w:rsidP="008D588A">
            <w:pPr>
              <w:rPr>
                <w:rFonts w:cs="Arial"/>
                <w:szCs w:val="22"/>
                <w:lang w:eastAsia="it-IT"/>
              </w:rPr>
            </w:pPr>
            <w:r w:rsidRPr="008D588A">
              <w:rPr>
                <w:rFonts w:cs="Arial"/>
                <w:szCs w:val="22"/>
                <w:lang w:eastAsia="it-IT"/>
              </w:rPr>
              <w:t xml:space="preserve">Встановлення одного  зупинкового комплексу для посадки пасажирів на міські автобусні маршрути  №1-А, 1-Б, №3, №9 з павільйонами. </w:t>
            </w:r>
          </w:p>
        </w:tc>
      </w:tr>
      <w:tr w:rsidR="0002778F" w:rsidRPr="008D588A" w14:paraId="3708B169" w14:textId="77777777" w:rsidTr="00EA6E27">
        <w:trPr>
          <w:jc w:val="right"/>
        </w:trPr>
        <w:tc>
          <w:tcPr>
            <w:tcW w:w="3425" w:type="dxa"/>
            <w:shd w:val="clear" w:color="auto" w:fill="FFFFFF"/>
            <w:vAlign w:val="center"/>
          </w:tcPr>
          <w:p w14:paraId="312FB3DF" w14:textId="77777777" w:rsidR="0002778F" w:rsidRPr="008D588A" w:rsidRDefault="0002778F" w:rsidP="008D588A">
            <w:pPr>
              <w:rPr>
                <w:rFonts w:cs="Arial"/>
                <w:b/>
                <w:color w:val="000000"/>
                <w:szCs w:val="22"/>
              </w:rPr>
            </w:pPr>
            <w:r w:rsidRPr="008D588A">
              <w:rPr>
                <w:rFonts w:cs="Arial"/>
                <w:b/>
                <w:color w:val="000000"/>
                <w:szCs w:val="22"/>
              </w:rPr>
              <w:t xml:space="preserve">Період здійснення: </w:t>
            </w:r>
          </w:p>
        </w:tc>
        <w:tc>
          <w:tcPr>
            <w:tcW w:w="6794" w:type="dxa"/>
            <w:gridSpan w:val="9"/>
            <w:vAlign w:val="center"/>
          </w:tcPr>
          <w:p w14:paraId="0E142CD5" w14:textId="77777777" w:rsidR="0002778F" w:rsidRPr="008D588A" w:rsidRDefault="0002778F" w:rsidP="008D588A">
            <w:pPr>
              <w:rPr>
                <w:rFonts w:cs="Arial"/>
                <w:color w:val="000000"/>
                <w:szCs w:val="22"/>
                <w:lang w:eastAsia="it-IT"/>
              </w:rPr>
            </w:pPr>
            <w:r w:rsidRPr="008D588A">
              <w:rPr>
                <w:rFonts w:cs="Arial"/>
                <w:b/>
                <w:color w:val="000000"/>
                <w:szCs w:val="22"/>
              </w:rPr>
              <w:t>2025 – 2028 роки:</w:t>
            </w:r>
          </w:p>
        </w:tc>
      </w:tr>
      <w:tr w:rsidR="0002778F" w:rsidRPr="008D588A" w14:paraId="475CC83A" w14:textId="77777777" w:rsidTr="00EA6E27">
        <w:trPr>
          <w:jc w:val="right"/>
        </w:trPr>
        <w:tc>
          <w:tcPr>
            <w:tcW w:w="3425" w:type="dxa"/>
            <w:vMerge w:val="restart"/>
            <w:shd w:val="clear" w:color="auto" w:fill="FFFFFF"/>
            <w:vAlign w:val="center"/>
          </w:tcPr>
          <w:p w14:paraId="638ACE4D" w14:textId="4C1B3F2D" w:rsidR="0002778F" w:rsidRPr="008D588A" w:rsidRDefault="0002778F" w:rsidP="008D588A">
            <w:pPr>
              <w:rPr>
                <w:rFonts w:cs="Arial"/>
                <w:b/>
                <w:bCs/>
                <w:color w:val="000000"/>
                <w:szCs w:val="22"/>
              </w:rPr>
            </w:pPr>
            <w:r w:rsidRPr="008D588A">
              <w:rPr>
                <w:rFonts w:cs="Arial"/>
                <w:b/>
                <w:bCs/>
                <w:color w:val="000000"/>
                <w:szCs w:val="22"/>
              </w:rPr>
              <w:t>Орієнто</w:t>
            </w:r>
            <w:r w:rsidR="00E83B04">
              <w:rPr>
                <w:rFonts w:cs="Arial"/>
                <w:b/>
                <w:bCs/>
                <w:color w:val="000000"/>
                <w:szCs w:val="22"/>
              </w:rPr>
              <w:t>вна вартість проє</w:t>
            </w:r>
            <w:r w:rsidRPr="008D588A">
              <w:rPr>
                <w:rFonts w:cs="Arial"/>
                <w:b/>
                <w:bCs/>
                <w:color w:val="000000"/>
                <w:szCs w:val="22"/>
              </w:rPr>
              <w:t>кту, тис. грн.</w:t>
            </w:r>
          </w:p>
        </w:tc>
        <w:tc>
          <w:tcPr>
            <w:tcW w:w="1254" w:type="dxa"/>
            <w:shd w:val="clear" w:color="auto" w:fill="E6E6E6"/>
            <w:vAlign w:val="center"/>
          </w:tcPr>
          <w:p w14:paraId="5F1952E9" w14:textId="77777777" w:rsidR="0002778F" w:rsidRPr="008D588A" w:rsidRDefault="0002778F" w:rsidP="008D588A">
            <w:pPr>
              <w:jc w:val="center"/>
              <w:rPr>
                <w:rFonts w:cs="Arial"/>
                <w:b/>
                <w:color w:val="000000"/>
                <w:szCs w:val="22"/>
                <w:lang w:eastAsia="it-IT"/>
              </w:rPr>
            </w:pPr>
            <w:r w:rsidRPr="008D588A">
              <w:rPr>
                <w:rFonts w:cs="Arial"/>
                <w:b/>
                <w:color w:val="000000"/>
                <w:szCs w:val="22"/>
                <w:lang w:eastAsia="it-IT"/>
              </w:rPr>
              <w:t>2025</w:t>
            </w:r>
          </w:p>
        </w:tc>
        <w:tc>
          <w:tcPr>
            <w:tcW w:w="1417" w:type="dxa"/>
            <w:gridSpan w:val="3"/>
            <w:shd w:val="clear" w:color="auto" w:fill="E6E6E6"/>
            <w:vAlign w:val="center"/>
          </w:tcPr>
          <w:p w14:paraId="698EA6E8" w14:textId="77777777" w:rsidR="0002778F" w:rsidRPr="008D588A" w:rsidRDefault="0002778F" w:rsidP="008D588A">
            <w:pPr>
              <w:jc w:val="center"/>
              <w:rPr>
                <w:rFonts w:cs="Arial"/>
                <w:b/>
                <w:color w:val="000000"/>
                <w:szCs w:val="22"/>
                <w:lang w:eastAsia="it-IT"/>
              </w:rPr>
            </w:pPr>
            <w:r w:rsidRPr="008D588A">
              <w:rPr>
                <w:rFonts w:cs="Arial"/>
                <w:b/>
                <w:color w:val="000000"/>
                <w:szCs w:val="22"/>
                <w:lang w:eastAsia="it-IT"/>
              </w:rPr>
              <w:t>2026</w:t>
            </w:r>
          </w:p>
        </w:tc>
        <w:tc>
          <w:tcPr>
            <w:tcW w:w="1418" w:type="dxa"/>
            <w:tcBorders>
              <w:bottom w:val="single" w:sz="4" w:space="0" w:color="auto"/>
            </w:tcBorders>
            <w:shd w:val="clear" w:color="auto" w:fill="E6E6E6"/>
            <w:vAlign w:val="center"/>
          </w:tcPr>
          <w:p w14:paraId="20A61290" w14:textId="77777777" w:rsidR="0002778F" w:rsidRPr="008D588A" w:rsidRDefault="0002778F" w:rsidP="008D588A">
            <w:pPr>
              <w:jc w:val="center"/>
              <w:rPr>
                <w:rFonts w:cs="Arial"/>
                <w:b/>
                <w:color w:val="000000"/>
                <w:szCs w:val="22"/>
                <w:lang w:eastAsia="it-IT"/>
              </w:rPr>
            </w:pPr>
            <w:r w:rsidRPr="008D588A">
              <w:rPr>
                <w:rFonts w:cs="Arial"/>
                <w:b/>
                <w:color w:val="000000"/>
                <w:szCs w:val="22"/>
                <w:lang w:eastAsia="it-IT"/>
              </w:rPr>
              <w:t>2027</w:t>
            </w:r>
          </w:p>
        </w:tc>
        <w:tc>
          <w:tcPr>
            <w:tcW w:w="1275" w:type="dxa"/>
            <w:gridSpan w:val="2"/>
            <w:shd w:val="clear" w:color="auto" w:fill="E6E6E6"/>
            <w:vAlign w:val="center"/>
          </w:tcPr>
          <w:p w14:paraId="1E22D097" w14:textId="77777777" w:rsidR="0002778F" w:rsidRPr="008D588A" w:rsidRDefault="0002778F" w:rsidP="008D588A">
            <w:pPr>
              <w:jc w:val="center"/>
              <w:rPr>
                <w:rFonts w:cs="Arial"/>
                <w:b/>
                <w:color w:val="000000"/>
                <w:szCs w:val="22"/>
                <w:lang w:eastAsia="it-IT"/>
              </w:rPr>
            </w:pPr>
            <w:r w:rsidRPr="008D588A">
              <w:rPr>
                <w:rFonts w:cs="Arial"/>
                <w:b/>
                <w:color w:val="000000"/>
                <w:szCs w:val="22"/>
                <w:lang w:eastAsia="it-IT"/>
              </w:rPr>
              <w:t>2028</w:t>
            </w:r>
          </w:p>
        </w:tc>
        <w:tc>
          <w:tcPr>
            <w:tcW w:w="1430" w:type="dxa"/>
            <w:gridSpan w:val="2"/>
            <w:shd w:val="clear" w:color="auto" w:fill="E6E6E6"/>
            <w:vAlign w:val="center"/>
          </w:tcPr>
          <w:p w14:paraId="38A90620" w14:textId="77777777" w:rsidR="0002778F" w:rsidRPr="008D588A" w:rsidRDefault="0002778F" w:rsidP="008D588A">
            <w:pPr>
              <w:jc w:val="center"/>
              <w:rPr>
                <w:rFonts w:cs="Arial"/>
                <w:b/>
                <w:color w:val="000000"/>
                <w:szCs w:val="22"/>
                <w:lang w:eastAsia="it-IT"/>
              </w:rPr>
            </w:pPr>
            <w:r w:rsidRPr="008D588A">
              <w:rPr>
                <w:rFonts w:cs="Arial"/>
                <w:b/>
                <w:color w:val="000000"/>
                <w:szCs w:val="22"/>
                <w:lang w:eastAsia="it-IT"/>
              </w:rPr>
              <w:t>Разом</w:t>
            </w:r>
          </w:p>
        </w:tc>
      </w:tr>
      <w:tr w:rsidR="0002778F" w:rsidRPr="008D588A" w14:paraId="291FECB4" w14:textId="77777777" w:rsidTr="00EA6E27">
        <w:trPr>
          <w:jc w:val="right"/>
        </w:trPr>
        <w:tc>
          <w:tcPr>
            <w:tcW w:w="3425" w:type="dxa"/>
            <w:vMerge/>
            <w:shd w:val="clear" w:color="auto" w:fill="FFFFFF"/>
            <w:vAlign w:val="center"/>
          </w:tcPr>
          <w:p w14:paraId="4D7A214D" w14:textId="77777777" w:rsidR="0002778F" w:rsidRPr="008D588A" w:rsidRDefault="0002778F" w:rsidP="008D588A">
            <w:pPr>
              <w:rPr>
                <w:rFonts w:cs="Arial"/>
                <w:b/>
                <w:bCs/>
                <w:color w:val="000000"/>
                <w:szCs w:val="22"/>
              </w:rPr>
            </w:pPr>
          </w:p>
        </w:tc>
        <w:tc>
          <w:tcPr>
            <w:tcW w:w="1254" w:type="dxa"/>
            <w:vAlign w:val="center"/>
          </w:tcPr>
          <w:p w14:paraId="615C64B5" w14:textId="77777777" w:rsidR="0002778F" w:rsidRPr="008D588A" w:rsidRDefault="0002778F" w:rsidP="008D588A">
            <w:pPr>
              <w:jc w:val="center"/>
              <w:rPr>
                <w:rFonts w:cs="Arial"/>
                <w:b/>
                <w:color w:val="000000"/>
                <w:szCs w:val="22"/>
                <w:lang w:eastAsia="it-IT"/>
              </w:rPr>
            </w:pPr>
            <w:r w:rsidRPr="008D588A">
              <w:rPr>
                <w:rFonts w:cs="Arial"/>
                <w:b/>
                <w:color w:val="000000"/>
                <w:szCs w:val="22"/>
                <w:lang w:eastAsia="it-IT"/>
              </w:rPr>
              <w:t>500,0</w:t>
            </w:r>
          </w:p>
        </w:tc>
        <w:tc>
          <w:tcPr>
            <w:tcW w:w="1417" w:type="dxa"/>
            <w:gridSpan w:val="3"/>
            <w:shd w:val="clear" w:color="auto" w:fill="FFFFFF"/>
            <w:vAlign w:val="center"/>
          </w:tcPr>
          <w:p w14:paraId="30905683" w14:textId="77777777" w:rsidR="0002778F" w:rsidRPr="008D588A" w:rsidRDefault="0002778F" w:rsidP="008D588A">
            <w:pPr>
              <w:jc w:val="center"/>
              <w:rPr>
                <w:rFonts w:cs="Arial"/>
                <w:b/>
                <w:color w:val="000000"/>
                <w:szCs w:val="22"/>
                <w:lang w:eastAsia="it-IT"/>
              </w:rPr>
            </w:pPr>
            <w:r w:rsidRPr="008D588A">
              <w:rPr>
                <w:rFonts w:cs="Arial"/>
                <w:b/>
                <w:color w:val="000000"/>
                <w:szCs w:val="22"/>
                <w:lang w:eastAsia="it-IT"/>
              </w:rPr>
              <w:t>-</w:t>
            </w:r>
          </w:p>
        </w:tc>
        <w:tc>
          <w:tcPr>
            <w:tcW w:w="1418" w:type="dxa"/>
            <w:shd w:val="clear" w:color="auto" w:fill="auto"/>
            <w:vAlign w:val="center"/>
          </w:tcPr>
          <w:p w14:paraId="2C53A281" w14:textId="77777777" w:rsidR="0002778F" w:rsidRPr="008D588A" w:rsidRDefault="0002778F" w:rsidP="008D588A">
            <w:pPr>
              <w:jc w:val="center"/>
              <w:rPr>
                <w:rFonts w:cs="Arial"/>
                <w:b/>
                <w:color w:val="000000"/>
                <w:szCs w:val="22"/>
                <w:lang w:eastAsia="it-IT"/>
              </w:rPr>
            </w:pPr>
            <w:r w:rsidRPr="008D588A">
              <w:rPr>
                <w:rFonts w:cs="Arial"/>
                <w:b/>
                <w:color w:val="000000"/>
                <w:szCs w:val="22"/>
                <w:lang w:eastAsia="it-IT"/>
              </w:rPr>
              <w:t>-</w:t>
            </w:r>
          </w:p>
        </w:tc>
        <w:tc>
          <w:tcPr>
            <w:tcW w:w="1275" w:type="dxa"/>
            <w:gridSpan w:val="2"/>
            <w:shd w:val="clear" w:color="auto" w:fill="FFFFFF"/>
            <w:vAlign w:val="center"/>
          </w:tcPr>
          <w:p w14:paraId="1F8DEA35" w14:textId="77777777" w:rsidR="0002778F" w:rsidRPr="008D588A" w:rsidRDefault="0002778F" w:rsidP="008D588A">
            <w:pPr>
              <w:jc w:val="center"/>
              <w:rPr>
                <w:rFonts w:cs="Arial"/>
                <w:b/>
                <w:color w:val="000000"/>
                <w:szCs w:val="22"/>
                <w:lang w:eastAsia="it-IT"/>
              </w:rPr>
            </w:pPr>
            <w:r w:rsidRPr="008D588A">
              <w:rPr>
                <w:rFonts w:cs="Arial"/>
                <w:b/>
                <w:color w:val="000000"/>
                <w:szCs w:val="22"/>
                <w:lang w:eastAsia="it-IT"/>
              </w:rPr>
              <w:t>-</w:t>
            </w:r>
          </w:p>
        </w:tc>
        <w:tc>
          <w:tcPr>
            <w:tcW w:w="1430" w:type="dxa"/>
            <w:gridSpan w:val="2"/>
            <w:shd w:val="clear" w:color="auto" w:fill="FFFFFF"/>
            <w:vAlign w:val="center"/>
          </w:tcPr>
          <w:p w14:paraId="225EC7B3" w14:textId="77777777" w:rsidR="0002778F" w:rsidRPr="008D588A" w:rsidRDefault="0002778F" w:rsidP="008D588A">
            <w:pPr>
              <w:jc w:val="center"/>
              <w:rPr>
                <w:rFonts w:cs="Arial"/>
                <w:b/>
                <w:color w:val="000000"/>
                <w:szCs w:val="22"/>
                <w:lang w:eastAsia="it-IT"/>
              </w:rPr>
            </w:pPr>
            <w:r w:rsidRPr="008D588A">
              <w:rPr>
                <w:rFonts w:cs="Arial"/>
                <w:b/>
                <w:color w:val="000000"/>
                <w:szCs w:val="22"/>
                <w:lang w:eastAsia="it-IT"/>
              </w:rPr>
              <w:t>500,0</w:t>
            </w:r>
          </w:p>
        </w:tc>
      </w:tr>
      <w:tr w:rsidR="0002778F" w:rsidRPr="008D588A" w14:paraId="5D4E7970" w14:textId="77777777" w:rsidTr="008D588A">
        <w:trPr>
          <w:trHeight w:val="314"/>
          <w:jc w:val="right"/>
        </w:trPr>
        <w:tc>
          <w:tcPr>
            <w:tcW w:w="3425" w:type="dxa"/>
            <w:shd w:val="clear" w:color="auto" w:fill="FFFFFF"/>
            <w:vAlign w:val="center"/>
          </w:tcPr>
          <w:p w14:paraId="1D5A8479" w14:textId="4E5CAA5E" w:rsidR="0002778F" w:rsidRPr="008D588A" w:rsidRDefault="0002778F" w:rsidP="008D588A">
            <w:pPr>
              <w:rPr>
                <w:rFonts w:cs="Arial"/>
                <w:b/>
                <w:bCs/>
                <w:color w:val="000000"/>
                <w:szCs w:val="22"/>
              </w:rPr>
            </w:pPr>
            <w:r w:rsidRPr="008D588A">
              <w:rPr>
                <w:rFonts w:cs="Arial"/>
                <w:b/>
                <w:bCs/>
                <w:color w:val="000000"/>
                <w:szCs w:val="22"/>
              </w:rPr>
              <w:t>Джерела фінансування:</w:t>
            </w:r>
          </w:p>
        </w:tc>
        <w:tc>
          <w:tcPr>
            <w:tcW w:w="6794" w:type="dxa"/>
            <w:gridSpan w:val="9"/>
            <w:vAlign w:val="center"/>
          </w:tcPr>
          <w:p w14:paraId="12ABA10F" w14:textId="77777777" w:rsidR="0002778F" w:rsidRPr="008D588A" w:rsidRDefault="0002778F" w:rsidP="008D588A">
            <w:pPr>
              <w:jc w:val="both"/>
              <w:rPr>
                <w:rFonts w:cs="Arial"/>
                <w:color w:val="000000"/>
                <w:szCs w:val="22"/>
                <w:lang w:eastAsia="it-IT"/>
              </w:rPr>
            </w:pPr>
          </w:p>
        </w:tc>
      </w:tr>
      <w:tr w:rsidR="008D588A" w:rsidRPr="008D588A" w14:paraId="75C9865D" w14:textId="7E852E5D" w:rsidTr="008D588A">
        <w:trPr>
          <w:trHeight w:val="314"/>
          <w:jc w:val="right"/>
        </w:trPr>
        <w:tc>
          <w:tcPr>
            <w:tcW w:w="3425" w:type="dxa"/>
            <w:shd w:val="clear" w:color="auto" w:fill="FFFFFF"/>
            <w:vAlign w:val="center"/>
          </w:tcPr>
          <w:p w14:paraId="695D8F48" w14:textId="46B8EA8F" w:rsidR="008D588A" w:rsidRPr="008D588A" w:rsidRDefault="008D588A" w:rsidP="008D588A">
            <w:pPr>
              <w:rPr>
                <w:rFonts w:cs="Arial"/>
                <w:b/>
                <w:bCs/>
                <w:color w:val="000000"/>
                <w:szCs w:val="22"/>
              </w:rPr>
            </w:pPr>
            <w:r w:rsidRPr="008D588A">
              <w:rPr>
                <w:rFonts w:cs="Arial"/>
                <w:color w:val="000000"/>
                <w:szCs w:val="22"/>
              </w:rPr>
              <w:t>Державний бюджет;</w:t>
            </w:r>
          </w:p>
        </w:tc>
        <w:tc>
          <w:tcPr>
            <w:tcW w:w="1290" w:type="dxa"/>
            <w:gridSpan w:val="2"/>
            <w:vAlign w:val="center"/>
          </w:tcPr>
          <w:p w14:paraId="454EA981" w14:textId="77777777" w:rsidR="008D588A" w:rsidRPr="008D588A" w:rsidRDefault="008D588A" w:rsidP="008D588A">
            <w:pPr>
              <w:jc w:val="center"/>
              <w:rPr>
                <w:rFonts w:cs="Arial"/>
                <w:color w:val="000000"/>
                <w:szCs w:val="22"/>
                <w:lang w:eastAsia="it-IT"/>
              </w:rPr>
            </w:pPr>
          </w:p>
        </w:tc>
        <w:tc>
          <w:tcPr>
            <w:tcW w:w="1365" w:type="dxa"/>
            <w:vAlign w:val="center"/>
          </w:tcPr>
          <w:p w14:paraId="09738C8E" w14:textId="77777777" w:rsidR="008D588A" w:rsidRPr="008D588A" w:rsidRDefault="008D588A" w:rsidP="008D588A">
            <w:pPr>
              <w:jc w:val="center"/>
              <w:rPr>
                <w:rFonts w:cs="Arial"/>
                <w:color w:val="000000"/>
                <w:szCs w:val="22"/>
                <w:lang w:eastAsia="it-IT"/>
              </w:rPr>
            </w:pPr>
          </w:p>
        </w:tc>
        <w:tc>
          <w:tcPr>
            <w:tcW w:w="1440" w:type="dxa"/>
            <w:gridSpan w:val="3"/>
            <w:vAlign w:val="center"/>
          </w:tcPr>
          <w:p w14:paraId="669FEEB4" w14:textId="77777777" w:rsidR="008D588A" w:rsidRPr="008D588A" w:rsidRDefault="008D588A" w:rsidP="008D588A">
            <w:pPr>
              <w:jc w:val="center"/>
              <w:rPr>
                <w:rFonts w:cs="Arial"/>
                <w:color w:val="000000"/>
                <w:szCs w:val="22"/>
                <w:lang w:eastAsia="it-IT"/>
              </w:rPr>
            </w:pPr>
          </w:p>
        </w:tc>
        <w:tc>
          <w:tcPr>
            <w:tcW w:w="1340" w:type="dxa"/>
            <w:gridSpan w:val="2"/>
            <w:vAlign w:val="center"/>
          </w:tcPr>
          <w:p w14:paraId="6000D252" w14:textId="77777777" w:rsidR="008D588A" w:rsidRPr="008D588A" w:rsidRDefault="008D588A" w:rsidP="008D588A">
            <w:pPr>
              <w:jc w:val="center"/>
              <w:rPr>
                <w:rFonts w:cs="Arial"/>
                <w:color w:val="000000"/>
                <w:szCs w:val="22"/>
                <w:lang w:eastAsia="it-IT"/>
              </w:rPr>
            </w:pPr>
          </w:p>
        </w:tc>
        <w:tc>
          <w:tcPr>
            <w:tcW w:w="1359" w:type="dxa"/>
            <w:vAlign w:val="center"/>
          </w:tcPr>
          <w:p w14:paraId="5650A4F0" w14:textId="77777777" w:rsidR="008D588A" w:rsidRPr="008D588A" w:rsidRDefault="008D588A" w:rsidP="008D588A">
            <w:pPr>
              <w:jc w:val="center"/>
              <w:rPr>
                <w:rFonts w:cs="Arial"/>
                <w:color w:val="000000"/>
                <w:szCs w:val="22"/>
                <w:lang w:eastAsia="it-IT"/>
              </w:rPr>
            </w:pPr>
          </w:p>
        </w:tc>
      </w:tr>
      <w:tr w:rsidR="008D588A" w:rsidRPr="008D588A" w14:paraId="5F84B261" w14:textId="0001C160" w:rsidTr="008D588A">
        <w:trPr>
          <w:trHeight w:val="314"/>
          <w:jc w:val="right"/>
        </w:trPr>
        <w:tc>
          <w:tcPr>
            <w:tcW w:w="3425" w:type="dxa"/>
            <w:shd w:val="clear" w:color="auto" w:fill="FFFFFF"/>
            <w:vAlign w:val="center"/>
          </w:tcPr>
          <w:p w14:paraId="277C0E86" w14:textId="78D08A44" w:rsidR="008D588A" w:rsidRPr="008D588A" w:rsidRDefault="008D588A" w:rsidP="008D588A">
            <w:pPr>
              <w:rPr>
                <w:rFonts w:cs="Arial"/>
                <w:color w:val="000000"/>
                <w:szCs w:val="22"/>
              </w:rPr>
            </w:pPr>
            <w:r w:rsidRPr="008D588A">
              <w:rPr>
                <w:rFonts w:cs="Arial"/>
                <w:color w:val="000000"/>
                <w:szCs w:val="22"/>
              </w:rPr>
              <w:t>Обласний бюджет;</w:t>
            </w:r>
          </w:p>
        </w:tc>
        <w:tc>
          <w:tcPr>
            <w:tcW w:w="1290" w:type="dxa"/>
            <w:gridSpan w:val="2"/>
            <w:vAlign w:val="center"/>
          </w:tcPr>
          <w:p w14:paraId="5D45F2E9" w14:textId="77777777" w:rsidR="008D588A" w:rsidRPr="008D588A" w:rsidRDefault="008D588A" w:rsidP="008D588A">
            <w:pPr>
              <w:jc w:val="center"/>
              <w:rPr>
                <w:rFonts w:cs="Arial"/>
                <w:color w:val="000000"/>
                <w:szCs w:val="22"/>
                <w:lang w:eastAsia="it-IT"/>
              </w:rPr>
            </w:pPr>
          </w:p>
        </w:tc>
        <w:tc>
          <w:tcPr>
            <w:tcW w:w="1365" w:type="dxa"/>
            <w:vAlign w:val="center"/>
          </w:tcPr>
          <w:p w14:paraId="1331BD3C" w14:textId="77777777" w:rsidR="008D588A" w:rsidRPr="008D588A" w:rsidRDefault="008D588A" w:rsidP="008D588A">
            <w:pPr>
              <w:jc w:val="center"/>
              <w:rPr>
                <w:rFonts w:cs="Arial"/>
                <w:color w:val="000000"/>
                <w:szCs w:val="22"/>
                <w:lang w:eastAsia="it-IT"/>
              </w:rPr>
            </w:pPr>
          </w:p>
        </w:tc>
        <w:tc>
          <w:tcPr>
            <w:tcW w:w="1440" w:type="dxa"/>
            <w:gridSpan w:val="3"/>
            <w:vAlign w:val="center"/>
          </w:tcPr>
          <w:p w14:paraId="6D5C0DBC" w14:textId="77777777" w:rsidR="008D588A" w:rsidRPr="008D588A" w:rsidRDefault="008D588A" w:rsidP="008D588A">
            <w:pPr>
              <w:jc w:val="center"/>
              <w:rPr>
                <w:rFonts w:cs="Arial"/>
                <w:color w:val="000000"/>
                <w:szCs w:val="22"/>
                <w:lang w:eastAsia="it-IT"/>
              </w:rPr>
            </w:pPr>
          </w:p>
        </w:tc>
        <w:tc>
          <w:tcPr>
            <w:tcW w:w="1340" w:type="dxa"/>
            <w:gridSpan w:val="2"/>
            <w:vAlign w:val="center"/>
          </w:tcPr>
          <w:p w14:paraId="2AB0F2A7" w14:textId="77777777" w:rsidR="008D588A" w:rsidRPr="008D588A" w:rsidRDefault="008D588A" w:rsidP="008D588A">
            <w:pPr>
              <w:jc w:val="center"/>
              <w:rPr>
                <w:rFonts w:cs="Arial"/>
                <w:color w:val="000000"/>
                <w:szCs w:val="22"/>
                <w:lang w:eastAsia="it-IT"/>
              </w:rPr>
            </w:pPr>
          </w:p>
        </w:tc>
        <w:tc>
          <w:tcPr>
            <w:tcW w:w="1359" w:type="dxa"/>
            <w:vAlign w:val="center"/>
          </w:tcPr>
          <w:p w14:paraId="5E6425F0" w14:textId="77777777" w:rsidR="008D588A" w:rsidRPr="008D588A" w:rsidRDefault="008D588A" w:rsidP="008D588A">
            <w:pPr>
              <w:jc w:val="center"/>
              <w:rPr>
                <w:rFonts w:cs="Arial"/>
                <w:color w:val="000000"/>
                <w:szCs w:val="22"/>
                <w:lang w:eastAsia="it-IT"/>
              </w:rPr>
            </w:pPr>
          </w:p>
        </w:tc>
      </w:tr>
      <w:tr w:rsidR="008D588A" w:rsidRPr="008D588A" w14:paraId="6CFE73DD" w14:textId="164BA314" w:rsidTr="008D588A">
        <w:trPr>
          <w:trHeight w:val="314"/>
          <w:jc w:val="right"/>
        </w:trPr>
        <w:tc>
          <w:tcPr>
            <w:tcW w:w="3425" w:type="dxa"/>
            <w:shd w:val="clear" w:color="auto" w:fill="FFFFFF"/>
            <w:vAlign w:val="center"/>
          </w:tcPr>
          <w:p w14:paraId="7CB7D143" w14:textId="3B3BC3C4" w:rsidR="008D588A" w:rsidRPr="008D588A" w:rsidRDefault="008D588A" w:rsidP="008D588A">
            <w:pPr>
              <w:rPr>
                <w:rFonts w:cs="Arial"/>
                <w:color w:val="000000"/>
                <w:szCs w:val="22"/>
              </w:rPr>
            </w:pPr>
            <w:r w:rsidRPr="008D588A">
              <w:rPr>
                <w:rFonts w:cs="Arial"/>
                <w:color w:val="000000"/>
                <w:szCs w:val="22"/>
              </w:rPr>
              <w:t>Бюджет Жмеринської МТГ;</w:t>
            </w:r>
          </w:p>
        </w:tc>
        <w:tc>
          <w:tcPr>
            <w:tcW w:w="1290" w:type="dxa"/>
            <w:gridSpan w:val="2"/>
            <w:vAlign w:val="center"/>
          </w:tcPr>
          <w:p w14:paraId="32E3ECC1" w14:textId="0B7D40A5" w:rsidR="008D588A" w:rsidRPr="008D588A" w:rsidRDefault="008D588A" w:rsidP="008D588A">
            <w:pPr>
              <w:jc w:val="center"/>
              <w:rPr>
                <w:rFonts w:cs="Arial"/>
                <w:color w:val="000000"/>
                <w:szCs w:val="22"/>
                <w:lang w:eastAsia="it-IT"/>
              </w:rPr>
            </w:pPr>
            <w:r w:rsidRPr="008D588A">
              <w:rPr>
                <w:rFonts w:cs="Arial"/>
                <w:color w:val="000000"/>
                <w:szCs w:val="22"/>
                <w:lang w:eastAsia="it-IT"/>
              </w:rPr>
              <w:t>250,0</w:t>
            </w:r>
          </w:p>
        </w:tc>
        <w:tc>
          <w:tcPr>
            <w:tcW w:w="1365" w:type="dxa"/>
            <w:vAlign w:val="center"/>
          </w:tcPr>
          <w:p w14:paraId="1EE7E1E8" w14:textId="77777777" w:rsidR="008D588A" w:rsidRPr="008D588A" w:rsidRDefault="008D588A" w:rsidP="008D588A">
            <w:pPr>
              <w:jc w:val="center"/>
              <w:rPr>
                <w:rFonts w:cs="Arial"/>
                <w:color w:val="000000"/>
                <w:szCs w:val="22"/>
                <w:lang w:eastAsia="it-IT"/>
              </w:rPr>
            </w:pPr>
          </w:p>
        </w:tc>
        <w:tc>
          <w:tcPr>
            <w:tcW w:w="1440" w:type="dxa"/>
            <w:gridSpan w:val="3"/>
            <w:vAlign w:val="center"/>
          </w:tcPr>
          <w:p w14:paraId="0B1D5646" w14:textId="77777777" w:rsidR="008D588A" w:rsidRPr="008D588A" w:rsidRDefault="008D588A" w:rsidP="008D588A">
            <w:pPr>
              <w:jc w:val="center"/>
              <w:rPr>
                <w:rFonts w:cs="Arial"/>
                <w:color w:val="000000"/>
                <w:szCs w:val="22"/>
                <w:lang w:eastAsia="it-IT"/>
              </w:rPr>
            </w:pPr>
          </w:p>
        </w:tc>
        <w:tc>
          <w:tcPr>
            <w:tcW w:w="1340" w:type="dxa"/>
            <w:gridSpan w:val="2"/>
            <w:vAlign w:val="center"/>
          </w:tcPr>
          <w:p w14:paraId="16E0DCF1" w14:textId="77777777" w:rsidR="008D588A" w:rsidRPr="008D588A" w:rsidRDefault="008D588A" w:rsidP="008D588A">
            <w:pPr>
              <w:jc w:val="center"/>
              <w:rPr>
                <w:rFonts w:cs="Arial"/>
                <w:color w:val="000000"/>
                <w:szCs w:val="22"/>
                <w:lang w:eastAsia="it-IT"/>
              </w:rPr>
            </w:pPr>
          </w:p>
        </w:tc>
        <w:tc>
          <w:tcPr>
            <w:tcW w:w="1359" w:type="dxa"/>
            <w:vAlign w:val="center"/>
          </w:tcPr>
          <w:p w14:paraId="6EBBEF5C" w14:textId="62CA8EAC" w:rsidR="008D588A" w:rsidRPr="008D588A" w:rsidRDefault="008D588A" w:rsidP="008D588A">
            <w:pPr>
              <w:jc w:val="center"/>
              <w:rPr>
                <w:rFonts w:cs="Arial"/>
                <w:color w:val="000000"/>
                <w:szCs w:val="22"/>
                <w:lang w:eastAsia="it-IT"/>
              </w:rPr>
            </w:pPr>
            <w:r w:rsidRPr="008D588A">
              <w:rPr>
                <w:rFonts w:cs="Arial"/>
                <w:color w:val="000000"/>
                <w:szCs w:val="22"/>
                <w:lang w:eastAsia="it-IT"/>
              </w:rPr>
              <w:t>250,0</w:t>
            </w:r>
          </w:p>
        </w:tc>
      </w:tr>
      <w:tr w:rsidR="008D588A" w:rsidRPr="008D588A" w14:paraId="04BB19AE" w14:textId="36C8B1B6" w:rsidTr="008D588A">
        <w:trPr>
          <w:trHeight w:val="314"/>
          <w:jc w:val="right"/>
        </w:trPr>
        <w:tc>
          <w:tcPr>
            <w:tcW w:w="3425" w:type="dxa"/>
            <w:shd w:val="clear" w:color="auto" w:fill="FFFFFF"/>
            <w:vAlign w:val="center"/>
          </w:tcPr>
          <w:p w14:paraId="4732DC04" w14:textId="1028EEFE" w:rsidR="008D588A" w:rsidRPr="008D588A" w:rsidRDefault="008D588A" w:rsidP="008D588A">
            <w:pPr>
              <w:rPr>
                <w:rFonts w:cs="Arial"/>
                <w:color w:val="000000"/>
                <w:szCs w:val="22"/>
              </w:rPr>
            </w:pPr>
            <w:r w:rsidRPr="008D588A">
              <w:rPr>
                <w:rFonts w:cs="Arial"/>
                <w:color w:val="000000"/>
                <w:szCs w:val="22"/>
              </w:rPr>
              <w:t>Інші джерела фінансування.</w:t>
            </w:r>
          </w:p>
        </w:tc>
        <w:tc>
          <w:tcPr>
            <w:tcW w:w="1290" w:type="dxa"/>
            <w:gridSpan w:val="2"/>
            <w:vAlign w:val="center"/>
          </w:tcPr>
          <w:p w14:paraId="052F5ACD" w14:textId="00E110C1" w:rsidR="008D588A" w:rsidRPr="008D588A" w:rsidRDefault="008D588A" w:rsidP="008D588A">
            <w:pPr>
              <w:jc w:val="center"/>
              <w:rPr>
                <w:rFonts w:cs="Arial"/>
                <w:color w:val="000000"/>
                <w:szCs w:val="22"/>
                <w:lang w:eastAsia="it-IT"/>
              </w:rPr>
            </w:pPr>
            <w:r w:rsidRPr="008D588A">
              <w:rPr>
                <w:rFonts w:cs="Arial"/>
                <w:color w:val="000000"/>
                <w:szCs w:val="22"/>
                <w:lang w:eastAsia="it-IT"/>
              </w:rPr>
              <w:t>250,0</w:t>
            </w:r>
          </w:p>
        </w:tc>
        <w:tc>
          <w:tcPr>
            <w:tcW w:w="1365" w:type="dxa"/>
            <w:vAlign w:val="center"/>
          </w:tcPr>
          <w:p w14:paraId="60CF42A8" w14:textId="77777777" w:rsidR="008D588A" w:rsidRPr="008D588A" w:rsidRDefault="008D588A" w:rsidP="008D588A">
            <w:pPr>
              <w:jc w:val="center"/>
              <w:rPr>
                <w:rFonts w:cs="Arial"/>
                <w:color w:val="000000"/>
                <w:szCs w:val="22"/>
                <w:lang w:eastAsia="it-IT"/>
              </w:rPr>
            </w:pPr>
          </w:p>
        </w:tc>
        <w:tc>
          <w:tcPr>
            <w:tcW w:w="1440" w:type="dxa"/>
            <w:gridSpan w:val="3"/>
            <w:vAlign w:val="center"/>
          </w:tcPr>
          <w:p w14:paraId="64893BA7" w14:textId="77777777" w:rsidR="008D588A" w:rsidRPr="008D588A" w:rsidRDefault="008D588A" w:rsidP="008D588A">
            <w:pPr>
              <w:jc w:val="center"/>
              <w:rPr>
                <w:rFonts w:cs="Arial"/>
                <w:color w:val="000000"/>
                <w:szCs w:val="22"/>
                <w:lang w:eastAsia="it-IT"/>
              </w:rPr>
            </w:pPr>
          </w:p>
        </w:tc>
        <w:tc>
          <w:tcPr>
            <w:tcW w:w="1340" w:type="dxa"/>
            <w:gridSpan w:val="2"/>
            <w:vAlign w:val="center"/>
          </w:tcPr>
          <w:p w14:paraId="3244E7F7" w14:textId="77777777" w:rsidR="008D588A" w:rsidRPr="008D588A" w:rsidRDefault="008D588A" w:rsidP="008D588A">
            <w:pPr>
              <w:jc w:val="center"/>
              <w:rPr>
                <w:rFonts w:cs="Arial"/>
                <w:color w:val="000000"/>
                <w:szCs w:val="22"/>
                <w:lang w:eastAsia="it-IT"/>
              </w:rPr>
            </w:pPr>
          </w:p>
        </w:tc>
        <w:tc>
          <w:tcPr>
            <w:tcW w:w="1359" w:type="dxa"/>
            <w:vAlign w:val="center"/>
          </w:tcPr>
          <w:p w14:paraId="4C565282" w14:textId="339F628C" w:rsidR="008D588A" w:rsidRPr="008D588A" w:rsidRDefault="008D588A" w:rsidP="008D588A">
            <w:pPr>
              <w:jc w:val="center"/>
              <w:rPr>
                <w:rFonts w:cs="Arial"/>
                <w:color w:val="000000"/>
                <w:szCs w:val="22"/>
                <w:lang w:eastAsia="it-IT"/>
              </w:rPr>
            </w:pPr>
            <w:r w:rsidRPr="008D588A">
              <w:rPr>
                <w:rFonts w:cs="Arial"/>
                <w:color w:val="000000"/>
                <w:szCs w:val="22"/>
                <w:lang w:eastAsia="it-IT"/>
              </w:rPr>
              <w:t>250,0</w:t>
            </w:r>
          </w:p>
        </w:tc>
      </w:tr>
      <w:tr w:rsidR="0002778F" w:rsidRPr="008D588A" w14:paraId="3ABD1BDD" w14:textId="77777777" w:rsidTr="00EA6E27">
        <w:trPr>
          <w:jc w:val="right"/>
        </w:trPr>
        <w:tc>
          <w:tcPr>
            <w:tcW w:w="3425" w:type="dxa"/>
            <w:shd w:val="clear" w:color="auto" w:fill="FFFFFF"/>
            <w:vAlign w:val="center"/>
          </w:tcPr>
          <w:p w14:paraId="2695B859" w14:textId="77777777" w:rsidR="0002778F" w:rsidRPr="008D588A" w:rsidRDefault="0002778F" w:rsidP="008D588A">
            <w:pPr>
              <w:rPr>
                <w:rFonts w:cs="Arial"/>
                <w:b/>
                <w:bCs/>
                <w:color w:val="000000"/>
                <w:szCs w:val="22"/>
              </w:rPr>
            </w:pPr>
            <w:r w:rsidRPr="008D588A">
              <w:rPr>
                <w:rFonts w:cs="Arial"/>
                <w:b/>
                <w:color w:val="000000"/>
                <w:szCs w:val="22"/>
              </w:rPr>
              <w:t>Відповідальний виконавець проєкту:</w:t>
            </w:r>
          </w:p>
        </w:tc>
        <w:tc>
          <w:tcPr>
            <w:tcW w:w="6794" w:type="dxa"/>
            <w:gridSpan w:val="9"/>
            <w:vAlign w:val="center"/>
          </w:tcPr>
          <w:p w14:paraId="14DE99C0" w14:textId="3F9AE515" w:rsidR="0002778F" w:rsidRPr="008D588A" w:rsidRDefault="0002778F" w:rsidP="008D588A">
            <w:pPr>
              <w:jc w:val="both"/>
              <w:rPr>
                <w:rFonts w:cs="Arial"/>
                <w:color w:val="000000"/>
                <w:szCs w:val="22"/>
                <w:lang w:eastAsia="it-IT"/>
              </w:rPr>
            </w:pPr>
            <w:r w:rsidRPr="008D588A">
              <w:rPr>
                <w:rFonts w:cs="Arial"/>
                <w:color w:val="000000"/>
                <w:szCs w:val="22"/>
                <w:lang w:eastAsia="it-IT"/>
              </w:rPr>
              <w:t>Управління житлово-комунального господарства Жмеринської міської ради, фізичні особи підприємці.</w:t>
            </w:r>
          </w:p>
        </w:tc>
      </w:tr>
      <w:tr w:rsidR="0002778F" w:rsidRPr="008D588A" w14:paraId="2FFF5F35" w14:textId="77777777" w:rsidTr="00EA6E27">
        <w:trPr>
          <w:jc w:val="right"/>
        </w:trPr>
        <w:tc>
          <w:tcPr>
            <w:tcW w:w="3425" w:type="dxa"/>
            <w:shd w:val="clear" w:color="auto" w:fill="FFFFFF"/>
            <w:vAlign w:val="center"/>
          </w:tcPr>
          <w:p w14:paraId="03E2C135" w14:textId="77777777" w:rsidR="0002778F" w:rsidRPr="008D588A" w:rsidRDefault="0002778F" w:rsidP="008D588A">
            <w:pPr>
              <w:rPr>
                <w:rFonts w:cs="Arial"/>
                <w:b/>
                <w:bCs/>
                <w:color w:val="000000"/>
                <w:szCs w:val="22"/>
              </w:rPr>
            </w:pPr>
            <w:r w:rsidRPr="008D588A">
              <w:rPr>
                <w:rFonts w:cs="Arial"/>
                <w:b/>
                <w:bCs/>
                <w:color w:val="000000"/>
                <w:szCs w:val="22"/>
              </w:rPr>
              <w:t>Інше:</w:t>
            </w:r>
          </w:p>
        </w:tc>
        <w:tc>
          <w:tcPr>
            <w:tcW w:w="6794" w:type="dxa"/>
            <w:gridSpan w:val="9"/>
            <w:vAlign w:val="center"/>
          </w:tcPr>
          <w:p w14:paraId="790AD7A2" w14:textId="77777777" w:rsidR="0002778F" w:rsidRPr="008D588A" w:rsidRDefault="0002778F" w:rsidP="008D588A">
            <w:pPr>
              <w:rPr>
                <w:rFonts w:cs="Arial"/>
                <w:color w:val="000000"/>
                <w:szCs w:val="22"/>
                <w:lang w:eastAsia="it-IT"/>
              </w:rPr>
            </w:pPr>
          </w:p>
        </w:tc>
      </w:tr>
    </w:tbl>
    <w:p w14:paraId="49FF46B5" w14:textId="77777777" w:rsidR="00CB33C7" w:rsidRPr="00C2587D" w:rsidRDefault="00CB33C7" w:rsidP="00CB33C7"/>
    <w:p w14:paraId="61487275" w14:textId="77777777" w:rsidR="00CB33C7" w:rsidRPr="00C2587D" w:rsidRDefault="00CB33C7" w:rsidP="00CB33C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335BD124" w14:textId="77777777" w:rsidR="00CB33C7" w:rsidRPr="00C2587D" w:rsidRDefault="00CB33C7" w:rsidP="00CB33C7">
      <w:pPr>
        <w:jc w:val="center"/>
        <w:rPr>
          <w:rFonts w:cs="Arial"/>
          <w:b/>
          <w:color w:val="000000"/>
          <w:szCs w:val="22"/>
        </w:rPr>
      </w:pPr>
      <w:r w:rsidRPr="00C2587D">
        <w:rPr>
          <w:rFonts w:cs="Arial"/>
          <w:b/>
          <w:color w:val="000000"/>
          <w:szCs w:val="22"/>
        </w:rPr>
        <w:t>до Плану заходів з реалізації Стратегії</w:t>
      </w:r>
    </w:p>
    <w:p w14:paraId="6473155D" w14:textId="77777777" w:rsidR="00CB33C7" w:rsidRPr="00C2587D" w:rsidRDefault="00CB33C7" w:rsidP="00CB33C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3"/>
        <w:gridCol w:w="1202"/>
        <w:gridCol w:w="52"/>
        <w:gridCol w:w="1412"/>
        <w:gridCol w:w="1281"/>
        <w:gridCol w:w="1276"/>
        <w:gridCol w:w="39"/>
        <w:gridCol w:w="1534"/>
      </w:tblGrid>
      <w:tr w:rsidR="00CB33C7" w:rsidRPr="00C2587D" w14:paraId="1CB36229" w14:textId="77777777" w:rsidTr="00EA6E27">
        <w:trPr>
          <w:jc w:val="right"/>
        </w:trPr>
        <w:tc>
          <w:tcPr>
            <w:tcW w:w="3425" w:type="dxa"/>
            <w:vAlign w:val="center"/>
          </w:tcPr>
          <w:p w14:paraId="2E076EF9" w14:textId="77777777" w:rsidR="00CB33C7" w:rsidRPr="00C2587D" w:rsidRDefault="00CB33C7" w:rsidP="00EA6E27">
            <w:pPr>
              <w:rPr>
                <w:rFonts w:cs="Arial"/>
                <w:b/>
                <w:bCs/>
                <w:color w:val="000000"/>
                <w:szCs w:val="22"/>
              </w:rPr>
            </w:pPr>
            <w:r w:rsidRPr="00C2587D">
              <w:rPr>
                <w:rFonts w:cs="Arial"/>
                <w:b/>
                <w:bCs/>
                <w:color w:val="000000"/>
                <w:szCs w:val="22"/>
              </w:rPr>
              <w:t>Назва проєкту:</w:t>
            </w:r>
          </w:p>
        </w:tc>
        <w:tc>
          <w:tcPr>
            <w:tcW w:w="6794" w:type="dxa"/>
            <w:gridSpan w:val="7"/>
          </w:tcPr>
          <w:p w14:paraId="6E39064B" w14:textId="77777777" w:rsidR="00CB33C7" w:rsidRPr="00C2587D" w:rsidRDefault="00CB33C7" w:rsidP="00EA6E27">
            <w:pPr>
              <w:spacing w:before="40" w:after="40"/>
              <w:rPr>
                <w:b/>
                <w:lang w:eastAsia="it-IT"/>
              </w:rPr>
            </w:pPr>
            <w:r w:rsidRPr="00C2587D">
              <w:rPr>
                <w:rFonts w:eastAsia="Arial"/>
                <w:b/>
                <w:color w:val="000000" w:themeColor="text1"/>
                <w:lang w:eastAsia="en-US"/>
              </w:rPr>
              <w:t>Капітальний ремонт покрівлі житлового будинку по вул. В. Брезденюка, 53</w:t>
            </w:r>
          </w:p>
        </w:tc>
      </w:tr>
      <w:tr w:rsidR="00CB33C7" w:rsidRPr="00C2587D" w14:paraId="7C4E4B07" w14:textId="77777777" w:rsidTr="00EA6E27">
        <w:trPr>
          <w:jc w:val="right"/>
        </w:trPr>
        <w:tc>
          <w:tcPr>
            <w:tcW w:w="3425" w:type="dxa"/>
          </w:tcPr>
          <w:p w14:paraId="28C97C90" w14:textId="77777777" w:rsidR="00CB33C7" w:rsidRPr="00C2587D" w:rsidRDefault="00CB33C7" w:rsidP="00EA6E27">
            <w:pPr>
              <w:spacing w:before="40" w:after="40"/>
              <w:rPr>
                <w:rFonts w:cs="Arial"/>
                <w:sz w:val="20"/>
                <w:szCs w:val="22"/>
                <w:lang w:eastAsia="it-IT"/>
              </w:rPr>
            </w:pPr>
            <w:r w:rsidRPr="00C2587D">
              <w:rPr>
                <w:rFonts w:cs="Arial"/>
                <w:b/>
                <w:bCs/>
                <w:szCs w:val="22"/>
              </w:rPr>
              <w:t>Ваші контакти</w:t>
            </w:r>
            <w:r w:rsidRPr="00C2587D">
              <w:rPr>
                <w:rFonts w:cs="Arial"/>
                <w:sz w:val="20"/>
                <w:szCs w:val="22"/>
                <w:lang w:eastAsia="it-IT"/>
              </w:rPr>
              <w:t>:</w:t>
            </w:r>
          </w:p>
          <w:p w14:paraId="54BC6698" w14:textId="77777777" w:rsidR="00CB33C7" w:rsidRPr="00C2587D" w:rsidRDefault="00CB33C7" w:rsidP="00EA6E27">
            <w:pPr>
              <w:spacing w:before="40" w:after="40"/>
              <w:rPr>
                <w:rFonts w:cs="Arial"/>
                <w:b/>
                <w:bCs/>
                <w:szCs w:val="22"/>
              </w:rPr>
            </w:pPr>
            <w:r w:rsidRPr="00C2587D">
              <w:rPr>
                <w:rFonts w:cs="Arial"/>
                <w:sz w:val="20"/>
                <w:szCs w:val="22"/>
                <w:lang w:eastAsia="it-IT"/>
              </w:rPr>
              <w:t>Назва установи, організації, підприємства</w:t>
            </w:r>
          </w:p>
        </w:tc>
        <w:tc>
          <w:tcPr>
            <w:tcW w:w="6794" w:type="dxa"/>
            <w:gridSpan w:val="7"/>
          </w:tcPr>
          <w:p w14:paraId="5AB8BD98" w14:textId="77777777" w:rsidR="00CB33C7" w:rsidRPr="00C2587D" w:rsidRDefault="00CB33C7" w:rsidP="00EA6E27">
            <w:pPr>
              <w:spacing w:before="40" w:after="40"/>
              <w:rPr>
                <w:lang w:eastAsia="it-IT"/>
              </w:rPr>
            </w:pPr>
            <w:r w:rsidRPr="00C2587D">
              <w:rPr>
                <w:lang w:eastAsia="it-IT"/>
              </w:rPr>
              <w:t>Управління житлово-комунального господарства Жмеринської міської ради</w:t>
            </w:r>
          </w:p>
        </w:tc>
      </w:tr>
      <w:tr w:rsidR="00CB33C7" w:rsidRPr="00C2587D" w14:paraId="56D05866" w14:textId="77777777" w:rsidTr="00EA6E27">
        <w:trPr>
          <w:jc w:val="right"/>
        </w:trPr>
        <w:tc>
          <w:tcPr>
            <w:tcW w:w="3425" w:type="dxa"/>
          </w:tcPr>
          <w:p w14:paraId="62A15170" w14:textId="77777777" w:rsidR="00CB33C7" w:rsidRPr="00C2587D" w:rsidRDefault="00CB33C7" w:rsidP="00EA6E27">
            <w:pPr>
              <w:spacing w:before="40" w:after="40"/>
              <w:rPr>
                <w:rFonts w:cs="Arial"/>
                <w:b/>
                <w:bCs/>
                <w:szCs w:val="22"/>
              </w:rPr>
            </w:pPr>
            <w:r w:rsidRPr="00C2587D">
              <w:rPr>
                <w:rFonts w:cs="Arial"/>
                <w:sz w:val="20"/>
                <w:szCs w:val="22"/>
                <w:lang w:eastAsia="it-IT"/>
              </w:rPr>
              <w:t>Прізвище Ім’я По-батькові:</w:t>
            </w:r>
          </w:p>
        </w:tc>
        <w:tc>
          <w:tcPr>
            <w:tcW w:w="6794" w:type="dxa"/>
            <w:gridSpan w:val="7"/>
          </w:tcPr>
          <w:p w14:paraId="61BE264E" w14:textId="77777777" w:rsidR="00CB33C7" w:rsidRPr="00C2587D" w:rsidRDefault="00CB33C7" w:rsidP="00EA6E27">
            <w:pPr>
              <w:spacing w:before="40" w:after="40"/>
              <w:rPr>
                <w:lang w:eastAsia="it-IT"/>
              </w:rPr>
            </w:pPr>
            <w:r w:rsidRPr="00C2587D">
              <w:rPr>
                <w:lang w:eastAsia="it-IT"/>
              </w:rPr>
              <w:t>Оленич Андрій Васильович</w:t>
            </w:r>
          </w:p>
        </w:tc>
      </w:tr>
      <w:tr w:rsidR="00CB33C7" w:rsidRPr="00C2587D" w14:paraId="201E0D17" w14:textId="77777777" w:rsidTr="00EA6E27">
        <w:trPr>
          <w:jc w:val="right"/>
        </w:trPr>
        <w:tc>
          <w:tcPr>
            <w:tcW w:w="3425" w:type="dxa"/>
          </w:tcPr>
          <w:p w14:paraId="11DC27A2" w14:textId="77777777" w:rsidR="00CB33C7" w:rsidRPr="00C2587D" w:rsidRDefault="00CB33C7" w:rsidP="00EA6E27">
            <w:pPr>
              <w:spacing w:before="40" w:after="40"/>
              <w:rPr>
                <w:rFonts w:cs="Arial"/>
                <w:b/>
                <w:bCs/>
                <w:szCs w:val="22"/>
              </w:rPr>
            </w:pPr>
            <w:r w:rsidRPr="00C2587D">
              <w:rPr>
                <w:rFonts w:cs="Arial"/>
                <w:sz w:val="20"/>
                <w:szCs w:val="22"/>
                <w:lang w:eastAsia="it-IT"/>
              </w:rPr>
              <w:t>Телефон (мобільний):</w:t>
            </w:r>
          </w:p>
        </w:tc>
        <w:tc>
          <w:tcPr>
            <w:tcW w:w="6794" w:type="dxa"/>
            <w:gridSpan w:val="7"/>
          </w:tcPr>
          <w:p w14:paraId="45E93EE1" w14:textId="77777777" w:rsidR="00CB33C7" w:rsidRPr="00C2587D" w:rsidRDefault="00CB33C7" w:rsidP="00EA6E27">
            <w:pPr>
              <w:spacing w:before="40" w:after="40"/>
              <w:rPr>
                <w:lang w:eastAsia="it-IT"/>
              </w:rPr>
            </w:pPr>
            <w:r w:rsidRPr="00C2587D">
              <w:rPr>
                <w:lang w:eastAsia="it-IT"/>
              </w:rPr>
              <w:t>0972561907</w:t>
            </w:r>
          </w:p>
        </w:tc>
      </w:tr>
      <w:tr w:rsidR="00CB33C7" w:rsidRPr="00C2587D" w14:paraId="0A6F751B" w14:textId="77777777" w:rsidTr="00EA6E27">
        <w:trPr>
          <w:jc w:val="right"/>
        </w:trPr>
        <w:tc>
          <w:tcPr>
            <w:tcW w:w="3425" w:type="dxa"/>
          </w:tcPr>
          <w:p w14:paraId="3BE8EC8B" w14:textId="77777777" w:rsidR="00CB33C7" w:rsidRPr="00C2587D" w:rsidRDefault="00CB33C7" w:rsidP="00EA6E27">
            <w:pPr>
              <w:spacing w:before="40" w:after="40"/>
              <w:rPr>
                <w:rFonts w:cs="Arial"/>
                <w:b/>
                <w:bCs/>
                <w:szCs w:val="22"/>
              </w:rPr>
            </w:pPr>
            <w:r w:rsidRPr="00C2587D">
              <w:rPr>
                <w:rFonts w:cs="Arial"/>
                <w:sz w:val="20"/>
                <w:szCs w:val="22"/>
                <w:lang w:eastAsia="it-IT"/>
              </w:rPr>
              <w:t>Електронна адреса:</w:t>
            </w:r>
          </w:p>
        </w:tc>
        <w:tc>
          <w:tcPr>
            <w:tcW w:w="6794" w:type="dxa"/>
            <w:gridSpan w:val="7"/>
          </w:tcPr>
          <w:p w14:paraId="71C76B62" w14:textId="77777777" w:rsidR="00CB33C7" w:rsidRPr="00C2587D" w:rsidRDefault="00D85FFD" w:rsidP="00EA6E27">
            <w:pPr>
              <w:spacing w:before="40" w:after="40"/>
              <w:rPr>
                <w:lang w:eastAsia="it-IT"/>
              </w:rPr>
            </w:pPr>
            <w:hyperlink r:id="rId83" w:history="1">
              <w:r w:rsidR="00CB33C7" w:rsidRPr="00C2587D">
                <w:rPr>
                  <w:rStyle w:val="af0"/>
                  <w:noProof w:val="0"/>
                  <w:sz w:val="24"/>
                  <w:lang w:eastAsia="it-IT"/>
                </w:rPr>
                <w:t>Aolenych03@ukr.net</w:t>
              </w:r>
            </w:hyperlink>
          </w:p>
        </w:tc>
      </w:tr>
      <w:tr w:rsidR="00CB33C7" w:rsidRPr="00C2587D" w14:paraId="2276803A" w14:textId="77777777" w:rsidTr="00EA6E27">
        <w:trPr>
          <w:jc w:val="right"/>
        </w:trPr>
        <w:tc>
          <w:tcPr>
            <w:tcW w:w="3425" w:type="dxa"/>
            <w:vAlign w:val="center"/>
          </w:tcPr>
          <w:p w14:paraId="70EC52DD" w14:textId="77777777" w:rsidR="00CB33C7" w:rsidRPr="00C2587D" w:rsidRDefault="00CB33C7" w:rsidP="00EA6E27">
            <w:pPr>
              <w:pStyle w:val="6"/>
              <w:spacing w:before="0" w:after="0"/>
              <w:rPr>
                <w:rFonts w:ascii="Arial" w:hAnsi="Arial" w:cs="Arial"/>
                <w:color w:val="000000"/>
                <w:lang w:val="uk-UA"/>
              </w:rPr>
            </w:pPr>
            <w:r w:rsidRPr="00C2587D">
              <w:rPr>
                <w:rFonts w:ascii="Arial" w:hAnsi="Arial" w:cs="Arial"/>
                <w:color w:val="000000"/>
                <w:lang w:val="uk-UA"/>
              </w:rPr>
              <w:t>Номер і назва завдання з Стратегії</w:t>
            </w:r>
            <w:r w:rsidRPr="00C2587D">
              <w:rPr>
                <w:rFonts w:ascii="Arial" w:hAnsi="Arial" w:cs="Arial"/>
                <w:sz w:val="16"/>
                <w:szCs w:val="16"/>
                <w:lang w:val="uk-UA" w:eastAsia="it-IT"/>
              </w:rPr>
              <w:t xml:space="preserve"> </w:t>
            </w:r>
            <w:r w:rsidRPr="00C2587D">
              <w:rPr>
                <w:rFonts w:ascii="Arial" w:hAnsi="Arial" w:cs="Arial"/>
                <w:color w:val="000000"/>
                <w:lang w:val="uk-UA"/>
              </w:rPr>
              <w:t xml:space="preserve">розвитку Жмеринської міської </w:t>
            </w:r>
          </w:p>
        </w:tc>
        <w:tc>
          <w:tcPr>
            <w:tcW w:w="6794" w:type="dxa"/>
            <w:gridSpan w:val="7"/>
            <w:vAlign w:val="center"/>
          </w:tcPr>
          <w:p w14:paraId="3533E21F" w14:textId="77777777" w:rsidR="00CB33C7" w:rsidRPr="00C2587D" w:rsidRDefault="00CB33C7" w:rsidP="00EA6E27">
            <w:pPr>
              <w:spacing w:before="20" w:after="20"/>
              <w:contextualSpacing/>
              <w:rPr>
                <w:rFonts w:eastAsia="Lucida Sans Unicode" w:cs="Arial"/>
                <w:kern w:val="1"/>
                <w:lang w:eastAsia="ar-SA"/>
              </w:rPr>
            </w:pPr>
            <w:r w:rsidRPr="00C2587D">
              <w:rPr>
                <w:rFonts w:eastAsia="Lucida Sans Unicode" w:cs="Arial"/>
                <w:kern w:val="1"/>
                <w:lang w:eastAsia="ar-SA"/>
              </w:rPr>
              <w:t>В.1.5.3. Модернізація конструктивних елементів багатоповерхових будинків.</w:t>
            </w:r>
          </w:p>
        </w:tc>
      </w:tr>
      <w:tr w:rsidR="00CB33C7" w:rsidRPr="00C2587D" w14:paraId="4B9085CA" w14:textId="77777777" w:rsidTr="00EA6E27">
        <w:trPr>
          <w:jc w:val="right"/>
        </w:trPr>
        <w:tc>
          <w:tcPr>
            <w:tcW w:w="3425" w:type="dxa"/>
            <w:vAlign w:val="center"/>
          </w:tcPr>
          <w:p w14:paraId="3721F70E" w14:textId="77777777" w:rsidR="00CB33C7" w:rsidRPr="00C2587D" w:rsidRDefault="00CB33C7" w:rsidP="00EA6E27">
            <w:pPr>
              <w:rPr>
                <w:rFonts w:cs="Arial"/>
                <w:b/>
                <w:bCs/>
                <w:color w:val="000000"/>
                <w:szCs w:val="22"/>
              </w:rPr>
            </w:pPr>
            <w:r w:rsidRPr="00C2587D">
              <w:rPr>
                <w:rFonts w:cs="Arial"/>
                <w:b/>
                <w:bCs/>
                <w:color w:val="000000"/>
                <w:szCs w:val="22"/>
              </w:rPr>
              <w:t>Мета проєкту:</w:t>
            </w:r>
          </w:p>
        </w:tc>
        <w:tc>
          <w:tcPr>
            <w:tcW w:w="6794" w:type="dxa"/>
            <w:gridSpan w:val="7"/>
          </w:tcPr>
          <w:p w14:paraId="2D0FA097" w14:textId="77777777" w:rsidR="00CB33C7" w:rsidRPr="00C2587D" w:rsidRDefault="00CB33C7" w:rsidP="008D588A">
            <w:pPr>
              <w:spacing w:before="40" w:after="40"/>
              <w:jc w:val="both"/>
              <w:rPr>
                <w:lang w:eastAsia="it-IT"/>
              </w:rPr>
            </w:pPr>
            <w:r w:rsidRPr="00C2587D">
              <w:rPr>
                <w:rFonts w:cs="Arial"/>
                <w:lang w:eastAsia="it-IT"/>
              </w:rPr>
              <w:t>Забезпечення гідних умов проживання мешканців будинку по вул. В.  Брезденюка, 53 в м. Жмеринка</w:t>
            </w:r>
          </w:p>
        </w:tc>
      </w:tr>
      <w:tr w:rsidR="00CB33C7" w:rsidRPr="00C2587D" w14:paraId="0965E883" w14:textId="77777777" w:rsidTr="00EA6E27">
        <w:trPr>
          <w:jc w:val="right"/>
        </w:trPr>
        <w:tc>
          <w:tcPr>
            <w:tcW w:w="3425" w:type="dxa"/>
            <w:vAlign w:val="center"/>
          </w:tcPr>
          <w:p w14:paraId="0269746C" w14:textId="77777777" w:rsidR="00CB33C7" w:rsidRPr="00C2587D" w:rsidRDefault="00CB33C7" w:rsidP="00EA6E27">
            <w:pPr>
              <w:rPr>
                <w:rFonts w:cs="Arial"/>
                <w:b/>
                <w:bCs/>
                <w:color w:val="000000"/>
                <w:szCs w:val="22"/>
              </w:rPr>
            </w:pPr>
            <w:r w:rsidRPr="00C2587D">
              <w:rPr>
                <w:rFonts w:cs="Arial"/>
                <w:b/>
                <w:bCs/>
                <w:color w:val="000000"/>
                <w:szCs w:val="22"/>
              </w:rPr>
              <w:t>Цілі проєкту:</w:t>
            </w:r>
          </w:p>
        </w:tc>
        <w:tc>
          <w:tcPr>
            <w:tcW w:w="6794" w:type="dxa"/>
            <w:gridSpan w:val="7"/>
          </w:tcPr>
          <w:p w14:paraId="22A40524" w14:textId="7D487BF7" w:rsidR="00CB33C7" w:rsidRPr="00C2587D" w:rsidRDefault="00CB33C7" w:rsidP="008D588A">
            <w:pPr>
              <w:spacing w:before="40" w:after="40"/>
              <w:jc w:val="both"/>
              <w:rPr>
                <w:lang w:eastAsia="it-IT"/>
              </w:rPr>
            </w:pPr>
            <w:r w:rsidRPr="00C2587D">
              <w:rPr>
                <w:rFonts w:cs="Arial"/>
                <w:lang w:eastAsia="it-IT"/>
              </w:rPr>
              <w:t xml:space="preserve">Покращити житловий стан будинку по вул. В. </w:t>
            </w:r>
            <w:r w:rsidR="008D588A" w:rsidRPr="00C2587D">
              <w:rPr>
                <w:rFonts w:cs="Arial"/>
                <w:lang w:eastAsia="it-IT"/>
              </w:rPr>
              <w:t>Брезденюка</w:t>
            </w:r>
            <w:r w:rsidRPr="00C2587D">
              <w:rPr>
                <w:rFonts w:cs="Arial"/>
                <w:lang w:eastAsia="it-IT"/>
              </w:rPr>
              <w:t>, 53 в м. Жмеринка</w:t>
            </w:r>
          </w:p>
        </w:tc>
      </w:tr>
      <w:tr w:rsidR="00CB33C7" w:rsidRPr="00C2587D" w14:paraId="5BF054F8" w14:textId="77777777" w:rsidTr="00EA6E27">
        <w:trPr>
          <w:jc w:val="right"/>
        </w:trPr>
        <w:tc>
          <w:tcPr>
            <w:tcW w:w="3425" w:type="dxa"/>
            <w:vAlign w:val="center"/>
          </w:tcPr>
          <w:p w14:paraId="25959713" w14:textId="77777777" w:rsidR="00CB33C7" w:rsidRPr="00C2587D" w:rsidRDefault="00CB33C7" w:rsidP="00EA6E27">
            <w:pPr>
              <w:autoSpaceDE w:val="0"/>
              <w:autoSpaceDN w:val="0"/>
              <w:adjustRightInd w:val="0"/>
              <w:rPr>
                <w:rFonts w:cs="Arial"/>
                <w:b/>
                <w:color w:val="000000"/>
                <w:szCs w:val="22"/>
              </w:rPr>
            </w:pPr>
            <w:r w:rsidRPr="00C2587D">
              <w:rPr>
                <w:rFonts w:cs="Arial"/>
                <w:b/>
                <w:color w:val="000000"/>
                <w:szCs w:val="22"/>
              </w:rPr>
              <w:t>Територія на яку проєкт матиме вплив:</w:t>
            </w:r>
          </w:p>
        </w:tc>
        <w:tc>
          <w:tcPr>
            <w:tcW w:w="6794" w:type="dxa"/>
            <w:gridSpan w:val="7"/>
          </w:tcPr>
          <w:p w14:paraId="76D17131" w14:textId="2AAA15BF" w:rsidR="00CB33C7" w:rsidRPr="00C2587D" w:rsidRDefault="00CB33C7" w:rsidP="008D588A">
            <w:pPr>
              <w:spacing w:before="40" w:after="40"/>
              <w:jc w:val="both"/>
              <w:rPr>
                <w:lang w:eastAsia="it-IT"/>
              </w:rPr>
            </w:pPr>
            <w:r w:rsidRPr="00C2587D">
              <w:rPr>
                <w:lang w:eastAsia="it-IT"/>
              </w:rPr>
              <w:t xml:space="preserve">Території </w:t>
            </w:r>
            <w:r w:rsidR="008D588A" w:rsidRPr="00C2587D">
              <w:rPr>
                <w:rFonts w:cs="Arial"/>
                <w:lang w:eastAsia="it-IT"/>
              </w:rPr>
              <w:t>Жмеринська</w:t>
            </w:r>
            <w:r w:rsidRPr="00C2587D">
              <w:rPr>
                <w:rFonts w:cs="Arial"/>
                <w:lang w:eastAsia="it-IT"/>
              </w:rPr>
              <w:t xml:space="preserve"> </w:t>
            </w:r>
            <w:r w:rsidR="008D588A" w:rsidRPr="00C2587D">
              <w:rPr>
                <w:rFonts w:cs="Arial"/>
                <w:lang w:eastAsia="it-IT"/>
              </w:rPr>
              <w:t>М</w:t>
            </w:r>
            <w:r w:rsidRPr="00C2587D">
              <w:rPr>
                <w:rFonts w:cs="Arial"/>
                <w:lang w:eastAsia="it-IT"/>
              </w:rPr>
              <w:t xml:space="preserve">ТГ                                                                                                                                                                                                                                                                     </w:t>
            </w:r>
          </w:p>
        </w:tc>
      </w:tr>
      <w:tr w:rsidR="00CB33C7" w:rsidRPr="00C2587D" w14:paraId="69165B1E" w14:textId="77777777" w:rsidTr="00EA6E27">
        <w:trPr>
          <w:jc w:val="right"/>
        </w:trPr>
        <w:tc>
          <w:tcPr>
            <w:tcW w:w="3425" w:type="dxa"/>
            <w:vAlign w:val="center"/>
          </w:tcPr>
          <w:p w14:paraId="2DF884CA" w14:textId="77777777" w:rsidR="00CB33C7" w:rsidRPr="00C2587D" w:rsidRDefault="00CB33C7" w:rsidP="00EA6E27">
            <w:pPr>
              <w:autoSpaceDE w:val="0"/>
              <w:autoSpaceDN w:val="0"/>
              <w:adjustRightInd w:val="0"/>
              <w:rPr>
                <w:rFonts w:cs="Arial"/>
                <w:b/>
                <w:color w:val="000000"/>
                <w:szCs w:val="22"/>
              </w:rPr>
            </w:pPr>
            <w:r w:rsidRPr="00C2587D">
              <w:rPr>
                <w:rFonts w:cs="Arial"/>
                <w:b/>
                <w:color w:val="000000"/>
                <w:szCs w:val="22"/>
              </w:rPr>
              <w:t>Цільові групи проєкту та кількість отримувачів вигоди</w:t>
            </w:r>
          </w:p>
        </w:tc>
        <w:tc>
          <w:tcPr>
            <w:tcW w:w="6794" w:type="dxa"/>
            <w:gridSpan w:val="7"/>
          </w:tcPr>
          <w:p w14:paraId="320AF2EE" w14:textId="68D48FA5" w:rsidR="00CB33C7" w:rsidRPr="00C2587D" w:rsidRDefault="00CB33C7" w:rsidP="008D588A">
            <w:pPr>
              <w:spacing w:before="40" w:after="40"/>
              <w:jc w:val="both"/>
              <w:rPr>
                <w:lang w:eastAsia="it-IT"/>
              </w:rPr>
            </w:pPr>
            <w:r w:rsidRPr="00C2587D">
              <w:rPr>
                <w:lang w:eastAsia="it-IT"/>
              </w:rPr>
              <w:t xml:space="preserve">Мешканці будинку по вул. В.   </w:t>
            </w:r>
            <w:r w:rsidR="008D588A" w:rsidRPr="00C2587D">
              <w:rPr>
                <w:lang w:eastAsia="it-IT"/>
              </w:rPr>
              <w:t>Брезденюка</w:t>
            </w:r>
            <w:r w:rsidRPr="00C2587D">
              <w:rPr>
                <w:lang w:eastAsia="it-IT"/>
              </w:rPr>
              <w:t>, 53 в кількості 48 осіб</w:t>
            </w:r>
          </w:p>
        </w:tc>
      </w:tr>
      <w:tr w:rsidR="00CB33C7" w:rsidRPr="00C2587D" w14:paraId="22F05733" w14:textId="77777777" w:rsidTr="00EA6E27">
        <w:trPr>
          <w:jc w:val="right"/>
        </w:trPr>
        <w:tc>
          <w:tcPr>
            <w:tcW w:w="3425" w:type="dxa"/>
            <w:shd w:val="clear" w:color="auto" w:fill="FFFFFF"/>
            <w:vAlign w:val="center"/>
          </w:tcPr>
          <w:p w14:paraId="19B272C1" w14:textId="77777777" w:rsidR="00CB33C7" w:rsidRPr="00C2587D" w:rsidRDefault="00CB33C7" w:rsidP="00EA6E27">
            <w:pPr>
              <w:rPr>
                <w:rFonts w:cs="Arial"/>
                <w:b/>
                <w:bCs/>
                <w:color w:val="000000"/>
                <w:szCs w:val="22"/>
              </w:rPr>
            </w:pPr>
            <w:r w:rsidRPr="00C2587D">
              <w:rPr>
                <w:rFonts w:cs="Arial"/>
                <w:b/>
                <w:bCs/>
                <w:color w:val="000000"/>
                <w:szCs w:val="22"/>
              </w:rPr>
              <w:t>Стислий опис проєкту:</w:t>
            </w:r>
          </w:p>
        </w:tc>
        <w:tc>
          <w:tcPr>
            <w:tcW w:w="6794" w:type="dxa"/>
            <w:gridSpan w:val="7"/>
          </w:tcPr>
          <w:p w14:paraId="6DE91C52" w14:textId="77777777" w:rsidR="00CB33C7" w:rsidRPr="00C2587D" w:rsidRDefault="00CB33C7" w:rsidP="008D588A">
            <w:pPr>
              <w:spacing w:before="40" w:after="40"/>
              <w:jc w:val="both"/>
              <w:rPr>
                <w:lang w:eastAsia="it-IT"/>
              </w:rPr>
            </w:pPr>
            <w:r w:rsidRPr="00C2587D">
              <w:rPr>
                <w:lang w:eastAsia="it-IT"/>
              </w:rPr>
              <w:t>Ремонт забезпечить гідні умови проживання для жителів багатоквартирного будинку,  що дасть необхідну ізоляцію, гідний зовнішній вигляд, та позитивно відобразиться на умовах життя мешканців будинку.</w:t>
            </w:r>
          </w:p>
        </w:tc>
      </w:tr>
      <w:tr w:rsidR="00CB33C7" w:rsidRPr="00C2587D" w14:paraId="05C8E013" w14:textId="77777777" w:rsidTr="00EA6E27">
        <w:trPr>
          <w:jc w:val="right"/>
        </w:trPr>
        <w:tc>
          <w:tcPr>
            <w:tcW w:w="3425" w:type="dxa"/>
            <w:shd w:val="clear" w:color="auto" w:fill="FFFFFF"/>
            <w:vAlign w:val="center"/>
          </w:tcPr>
          <w:p w14:paraId="794DF818" w14:textId="77777777" w:rsidR="00CB33C7" w:rsidRPr="00C2587D" w:rsidRDefault="00CB33C7" w:rsidP="00EA6E27">
            <w:pPr>
              <w:rPr>
                <w:rFonts w:cs="Arial"/>
                <w:b/>
                <w:bCs/>
                <w:color w:val="000000"/>
                <w:szCs w:val="22"/>
              </w:rPr>
            </w:pPr>
            <w:r w:rsidRPr="00C2587D">
              <w:rPr>
                <w:rFonts w:cs="Arial"/>
                <w:b/>
                <w:bCs/>
                <w:color w:val="000000"/>
                <w:szCs w:val="22"/>
              </w:rPr>
              <w:t>Основні заходи проєкту:</w:t>
            </w:r>
          </w:p>
        </w:tc>
        <w:tc>
          <w:tcPr>
            <w:tcW w:w="6794" w:type="dxa"/>
            <w:gridSpan w:val="7"/>
          </w:tcPr>
          <w:p w14:paraId="3F33B63E" w14:textId="6AE03E3C" w:rsidR="00CB33C7" w:rsidRPr="00C2587D" w:rsidRDefault="00CB33C7" w:rsidP="008D588A">
            <w:pPr>
              <w:spacing w:before="40" w:after="40"/>
              <w:jc w:val="both"/>
              <w:rPr>
                <w:lang w:eastAsia="it-IT"/>
              </w:rPr>
            </w:pPr>
            <w:r w:rsidRPr="00C2587D">
              <w:rPr>
                <w:lang w:eastAsia="it-IT"/>
              </w:rPr>
              <w:t>Створення робочо</w:t>
            </w:r>
            <w:r w:rsidR="00EC256C">
              <w:rPr>
                <w:lang w:eastAsia="it-IT"/>
              </w:rPr>
              <w:t>ї групи з питань реалізації проє</w:t>
            </w:r>
            <w:r w:rsidRPr="00C2587D">
              <w:rPr>
                <w:lang w:eastAsia="it-IT"/>
              </w:rPr>
              <w:t xml:space="preserve">кту. </w:t>
            </w:r>
          </w:p>
          <w:p w14:paraId="3DE33660" w14:textId="77777777" w:rsidR="00CB33C7" w:rsidRPr="00C2587D" w:rsidRDefault="00CB33C7" w:rsidP="008D588A">
            <w:pPr>
              <w:spacing w:before="40" w:after="40"/>
              <w:jc w:val="both"/>
              <w:rPr>
                <w:lang w:eastAsia="it-IT"/>
              </w:rPr>
            </w:pPr>
            <w:r w:rsidRPr="00C2587D">
              <w:rPr>
                <w:lang w:eastAsia="it-IT"/>
              </w:rPr>
              <w:t>Проведення процедури закупівель (визначення виконавця робіт).</w:t>
            </w:r>
          </w:p>
          <w:p w14:paraId="50A9D026" w14:textId="77777777" w:rsidR="00CB33C7" w:rsidRPr="00C2587D" w:rsidRDefault="00CB33C7" w:rsidP="008D588A">
            <w:pPr>
              <w:spacing w:before="40" w:after="40"/>
              <w:jc w:val="both"/>
              <w:rPr>
                <w:lang w:eastAsia="it-IT"/>
              </w:rPr>
            </w:pPr>
            <w:r w:rsidRPr="00C2587D">
              <w:rPr>
                <w:lang w:eastAsia="it-IT"/>
              </w:rPr>
              <w:t>Укладення договорів з виконавцем робіт, організаціями, що здійснюватимуть  технічний та авторський  нагляд .</w:t>
            </w:r>
          </w:p>
          <w:p w14:paraId="1DA32264" w14:textId="37C069ED" w:rsidR="00CB33C7" w:rsidRPr="00C2587D" w:rsidRDefault="00CB33C7" w:rsidP="008D588A">
            <w:pPr>
              <w:spacing w:before="40" w:after="40"/>
              <w:jc w:val="both"/>
              <w:rPr>
                <w:lang w:eastAsia="it-IT"/>
              </w:rPr>
            </w:pPr>
            <w:r w:rsidRPr="00C2587D">
              <w:rPr>
                <w:lang w:eastAsia="it-IT"/>
              </w:rPr>
              <w:t xml:space="preserve">Виконання робіт з </w:t>
            </w:r>
            <w:r w:rsidRPr="00C2587D">
              <w:rPr>
                <w:rFonts w:eastAsia="Arial"/>
                <w:color w:val="000000" w:themeColor="text1"/>
                <w:lang w:eastAsia="en-US"/>
              </w:rPr>
              <w:t xml:space="preserve">капітального ремонту покрівлі житлового будинку по вул. В.  Брезденюка, 53 </w:t>
            </w:r>
            <w:r w:rsidRPr="00C2587D">
              <w:rPr>
                <w:rFonts w:eastAsia="Arial"/>
                <w:lang w:eastAsia="en-US"/>
              </w:rPr>
              <w:t>в м. Жмеринка</w:t>
            </w:r>
            <w:r w:rsidR="00EC256C">
              <w:rPr>
                <w:rFonts w:eastAsia="Arial"/>
                <w:lang w:eastAsia="en-US"/>
              </w:rPr>
              <w:t>.</w:t>
            </w:r>
          </w:p>
          <w:p w14:paraId="166B0EFA" w14:textId="77777777" w:rsidR="00CB33C7" w:rsidRPr="00C2587D" w:rsidRDefault="00CB33C7" w:rsidP="008D588A">
            <w:pPr>
              <w:spacing w:before="40" w:after="40"/>
              <w:jc w:val="both"/>
              <w:rPr>
                <w:lang w:eastAsia="it-IT"/>
              </w:rPr>
            </w:pPr>
            <w:r w:rsidRPr="00C2587D">
              <w:rPr>
                <w:lang w:eastAsia="it-IT"/>
              </w:rPr>
              <w:t>Введення  об’єкту в експлуатацію .</w:t>
            </w:r>
          </w:p>
          <w:p w14:paraId="242A4C96" w14:textId="51BB1ECB" w:rsidR="00CB33C7" w:rsidRPr="00C2587D" w:rsidRDefault="00CB33C7" w:rsidP="008D588A">
            <w:pPr>
              <w:spacing w:before="40" w:after="40"/>
              <w:jc w:val="both"/>
              <w:rPr>
                <w:sz w:val="16"/>
                <w:szCs w:val="16"/>
                <w:lang w:eastAsia="it-IT"/>
              </w:rPr>
            </w:pPr>
            <w:r w:rsidRPr="00C2587D">
              <w:rPr>
                <w:lang w:eastAsia="it-IT"/>
              </w:rPr>
              <w:t>Проведення інформаційних заходів (розміщення  інформац</w:t>
            </w:r>
            <w:r w:rsidR="00EC256C">
              <w:rPr>
                <w:lang w:eastAsia="it-IT"/>
              </w:rPr>
              <w:t>ії  про реалізацію  проє</w:t>
            </w:r>
            <w:r w:rsidRPr="00C2587D">
              <w:rPr>
                <w:lang w:eastAsia="it-IT"/>
              </w:rPr>
              <w:t>кту у ЗМІ) .</w:t>
            </w:r>
          </w:p>
        </w:tc>
      </w:tr>
      <w:tr w:rsidR="00CB33C7" w:rsidRPr="00C2587D" w14:paraId="353B5943" w14:textId="77777777" w:rsidTr="00EA6E27">
        <w:trPr>
          <w:jc w:val="right"/>
        </w:trPr>
        <w:tc>
          <w:tcPr>
            <w:tcW w:w="3425" w:type="dxa"/>
            <w:shd w:val="clear" w:color="auto" w:fill="FFFFFF"/>
            <w:vAlign w:val="center"/>
          </w:tcPr>
          <w:p w14:paraId="0648FA9E" w14:textId="77777777" w:rsidR="00CB33C7" w:rsidRPr="00C2587D" w:rsidRDefault="00CB33C7" w:rsidP="00EA6E27">
            <w:pPr>
              <w:rPr>
                <w:rFonts w:cs="Arial"/>
                <w:b/>
                <w:bCs/>
                <w:color w:val="000000"/>
                <w:szCs w:val="22"/>
              </w:rPr>
            </w:pPr>
            <w:r w:rsidRPr="00C2587D">
              <w:rPr>
                <w:rFonts w:cs="Arial"/>
                <w:b/>
                <w:bCs/>
                <w:color w:val="000000"/>
                <w:szCs w:val="22"/>
              </w:rPr>
              <w:t>Індикатори (показники) результативності:</w:t>
            </w:r>
          </w:p>
        </w:tc>
        <w:tc>
          <w:tcPr>
            <w:tcW w:w="6794" w:type="dxa"/>
            <w:gridSpan w:val="7"/>
          </w:tcPr>
          <w:p w14:paraId="38C33E57" w14:textId="77777777" w:rsidR="00CB33C7" w:rsidRPr="00C2587D" w:rsidRDefault="00CB33C7" w:rsidP="00EA6E27">
            <w:pPr>
              <w:spacing w:before="40" w:after="40"/>
              <w:rPr>
                <w:sz w:val="16"/>
                <w:szCs w:val="16"/>
                <w:lang w:eastAsia="it-IT"/>
              </w:rPr>
            </w:pPr>
            <w:r w:rsidRPr="00C2587D">
              <w:rPr>
                <w:rFonts w:eastAsia="Arial"/>
                <w:lang w:eastAsia="en-US"/>
              </w:rPr>
              <w:t>Загальна площа покриття, що підлягає ремонту: 312 м</w:t>
            </w:r>
            <w:r w:rsidRPr="00C2587D">
              <w:rPr>
                <w:rFonts w:eastAsia="Arial"/>
                <w:vertAlign w:val="superscript"/>
                <w:lang w:eastAsia="en-US"/>
              </w:rPr>
              <w:t>2</w:t>
            </w:r>
          </w:p>
        </w:tc>
      </w:tr>
      <w:tr w:rsidR="00CB33C7" w:rsidRPr="00C2587D" w14:paraId="4349AF07" w14:textId="77777777" w:rsidTr="00EA6E27">
        <w:trPr>
          <w:jc w:val="right"/>
        </w:trPr>
        <w:tc>
          <w:tcPr>
            <w:tcW w:w="3425" w:type="dxa"/>
            <w:shd w:val="clear" w:color="auto" w:fill="FFFFFF"/>
            <w:vAlign w:val="center"/>
          </w:tcPr>
          <w:p w14:paraId="40DC2805" w14:textId="77777777" w:rsidR="00CB33C7" w:rsidRPr="00C2587D" w:rsidRDefault="00CB33C7" w:rsidP="00EA6E27">
            <w:pPr>
              <w:rPr>
                <w:rFonts w:cs="Arial"/>
                <w:b/>
                <w:color w:val="000000"/>
                <w:szCs w:val="22"/>
              </w:rPr>
            </w:pPr>
            <w:r w:rsidRPr="00C2587D">
              <w:rPr>
                <w:rFonts w:cs="Arial"/>
                <w:b/>
                <w:color w:val="000000"/>
                <w:szCs w:val="22"/>
              </w:rPr>
              <w:t xml:space="preserve">Період здійснення: </w:t>
            </w:r>
          </w:p>
        </w:tc>
        <w:tc>
          <w:tcPr>
            <w:tcW w:w="6794" w:type="dxa"/>
            <w:gridSpan w:val="7"/>
            <w:vAlign w:val="center"/>
          </w:tcPr>
          <w:p w14:paraId="58F828FF" w14:textId="77777777" w:rsidR="00CB33C7" w:rsidRPr="00C2587D" w:rsidRDefault="00CB33C7" w:rsidP="00EA6E27">
            <w:pPr>
              <w:rPr>
                <w:rFonts w:cs="Arial"/>
                <w:color w:val="000000"/>
                <w:szCs w:val="22"/>
                <w:lang w:eastAsia="it-IT"/>
              </w:rPr>
            </w:pPr>
            <w:r w:rsidRPr="00C2587D">
              <w:rPr>
                <w:rFonts w:cs="Arial"/>
                <w:b/>
                <w:color w:val="000000"/>
                <w:szCs w:val="22"/>
              </w:rPr>
              <w:t>2025 – 2028 роки:</w:t>
            </w:r>
          </w:p>
        </w:tc>
      </w:tr>
      <w:tr w:rsidR="00CB33C7" w:rsidRPr="00C2587D" w14:paraId="074429CA" w14:textId="77777777" w:rsidTr="00EA6E27">
        <w:trPr>
          <w:jc w:val="right"/>
        </w:trPr>
        <w:tc>
          <w:tcPr>
            <w:tcW w:w="3425" w:type="dxa"/>
            <w:vMerge w:val="restart"/>
            <w:shd w:val="clear" w:color="auto" w:fill="FFFFFF"/>
            <w:vAlign w:val="center"/>
          </w:tcPr>
          <w:p w14:paraId="7CCC8B10" w14:textId="77777777" w:rsidR="00CB33C7" w:rsidRPr="00C2587D" w:rsidRDefault="00CB33C7" w:rsidP="00EA6E27">
            <w:pPr>
              <w:rPr>
                <w:rFonts w:cs="Arial"/>
                <w:b/>
                <w:bCs/>
                <w:color w:val="000000"/>
                <w:szCs w:val="22"/>
              </w:rPr>
            </w:pPr>
            <w:r w:rsidRPr="00C2587D">
              <w:rPr>
                <w:rFonts w:cs="Arial"/>
                <w:b/>
                <w:bCs/>
                <w:color w:val="000000"/>
                <w:szCs w:val="22"/>
              </w:rPr>
              <w:t>Орієнтовна вартість проєкту, тис. грн., в тому числі:</w:t>
            </w:r>
          </w:p>
        </w:tc>
        <w:tc>
          <w:tcPr>
            <w:tcW w:w="1254" w:type="dxa"/>
            <w:gridSpan w:val="2"/>
            <w:shd w:val="clear" w:color="auto" w:fill="E6E6E6"/>
            <w:vAlign w:val="center"/>
          </w:tcPr>
          <w:p w14:paraId="4DFFD7C1" w14:textId="77777777" w:rsidR="00CB33C7" w:rsidRPr="00C2587D" w:rsidRDefault="00CB33C7" w:rsidP="00EA6E27">
            <w:pPr>
              <w:jc w:val="center"/>
              <w:rPr>
                <w:rFonts w:cs="Arial"/>
                <w:b/>
                <w:color w:val="000000"/>
                <w:szCs w:val="22"/>
                <w:lang w:eastAsia="it-IT"/>
              </w:rPr>
            </w:pPr>
            <w:r w:rsidRPr="00C2587D">
              <w:rPr>
                <w:rFonts w:cs="Arial"/>
                <w:b/>
                <w:color w:val="000000"/>
                <w:szCs w:val="22"/>
                <w:lang w:eastAsia="it-IT"/>
              </w:rPr>
              <w:t>2025</w:t>
            </w:r>
          </w:p>
        </w:tc>
        <w:tc>
          <w:tcPr>
            <w:tcW w:w="1412" w:type="dxa"/>
            <w:shd w:val="clear" w:color="auto" w:fill="E6E6E6"/>
            <w:vAlign w:val="center"/>
          </w:tcPr>
          <w:p w14:paraId="6B04D32A" w14:textId="77777777" w:rsidR="00CB33C7" w:rsidRPr="00C2587D" w:rsidRDefault="00CB33C7" w:rsidP="00EA6E27">
            <w:pPr>
              <w:jc w:val="center"/>
              <w:rPr>
                <w:rFonts w:cs="Arial"/>
                <w:b/>
                <w:color w:val="000000"/>
                <w:szCs w:val="22"/>
                <w:lang w:eastAsia="it-IT"/>
              </w:rPr>
            </w:pPr>
            <w:r w:rsidRPr="00C2587D">
              <w:rPr>
                <w:rFonts w:cs="Arial"/>
                <w:b/>
                <w:color w:val="000000"/>
                <w:szCs w:val="22"/>
                <w:lang w:eastAsia="it-IT"/>
              </w:rPr>
              <w:t>2026</w:t>
            </w:r>
          </w:p>
        </w:tc>
        <w:tc>
          <w:tcPr>
            <w:tcW w:w="1281" w:type="dxa"/>
            <w:tcBorders>
              <w:bottom w:val="single" w:sz="4" w:space="0" w:color="auto"/>
            </w:tcBorders>
            <w:shd w:val="clear" w:color="auto" w:fill="E6E6E6"/>
            <w:vAlign w:val="center"/>
          </w:tcPr>
          <w:p w14:paraId="3325DA1C" w14:textId="77777777" w:rsidR="00CB33C7" w:rsidRPr="00C2587D" w:rsidRDefault="00CB33C7" w:rsidP="00EA6E27">
            <w:pPr>
              <w:jc w:val="center"/>
              <w:rPr>
                <w:rFonts w:cs="Arial"/>
                <w:b/>
                <w:color w:val="000000"/>
                <w:szCs w:val="22"/>
                <w:lang w:eastAsia="it-IT"/>
              </w:rPr>
            </w:pPr>
            <w:r w:rsidRPr="00C2587D">
              <w:rPr>
                <w:rFonts w:cs="Arial"/>
                <w:b/>
                <w:color w:val="000000"/>
                <w:szCs w:val="22"/>
                <w:lang w:eastAsia="it-IT"/>
              </w:rPr>
              <w:t>2027</w:t>
            </w:r>
          </w:p>
        </w:tc>
        <w:tc>
          <w:tcPr>
            <w:tcW w:w="1276" w:type="dxa"/>
            <w:shd w:val="clear" w:color="auto" w:fill="E6E6E6"/>
            <w:vAlign w:val="center"/>
          </w:tcPr>
          <w:p w14:paraId="4E2D34B8" w14:textId="77777777" w:rsidR="00CB33C7" w:rsidRPr="00C2587D" w:rsidRDefault="00CB33C7" w:rsidP="00EA6E27">
            <w:pPr>
              <w:jc w:val="center"/>
              <w:rPr>
                <w:rFonts w:cs="Arial"/>
                <w:b/>
                <w:color w:val="000000"/>
                <w:szCs w:val="22"/>
                <w:lang w:eastAsia="it-IT"/>
              </w:rPr>
            </w:pPr>
            <w:r w:rsidRPr="00C2587D">
              <w:rPr>
                <w:rFonts w:cs="Arial"/>
                <w:b/>
                <w:color w:val="000000"/>
                <w:szCs w:val="22"/>
                <w:lang w:eastAsia="it-IT"/>
              </w:rPr>
              <w:t>2028</w:t>
            </w:r>
          </w:p>
        </w:tc>
        <w:tc>
          <w:tcPr>
            <w:tcW w:w="1571" w:type="dxa"/>
            <w:gridSpan w:val="2"/>
            <w:shd w:val="clear" w:color="auto" w:fill="E6E6E6"/>
            <w:vAlign w:val="center"/>
          </w:tcPr>
          <w:p w14:paraId="374C5ACD" w14:textId="77777777" w:rsidR="00CB33C7" w:rsidRPr="00C2587D" w:rsidRDefault="00CB33C7" w:rsidP="00EA6E27">
            <w:pPr>
              <w:jc w:val="center"/>
              <w:rPr>
                <w:rFonts w:cs="Arial"/>
                <w:b/>
                <w:color w:val="000000"/>
                <w:szCs w:val="22"/>
                <w:lang w:eastAsia="it-IT"/>
              </w:rPr>
            </w:pPr>
            <w:r w:rsidRPr="00C2587D">
              <w:rPr>
                <w:rFonts w:cs="Arial"/>
                <w:b/>
                <w:color w:val="000000"/>
                <w:szCs w:val="22"/>
                <w:lang w:eastAsia="it-IT"/>
              </w:rPr>
              <w:t>РАЗОМ</w:t>
            </w:r>
          </w:p>
        </w:tc>
      </w:tr>
      <w:tr w:rsidR="00CB33C7" w:rsidRPr="00C2587D" w14:paraId="3689F999" w14:textId="77777777" w:rsidTr="00EA6E27">
        <w:trPr>
          <w:jc w:val="right"/>
        </w:trPr>
        <w:tc>
          <w:tcPr>
            <w:tcW w:w="3425" w:type="dxa"/>
            <w:vMerge/>
            <w:shd w:val="clear" w:color="auto" w:fill="FFFFFF"/>
            <w:vAlign w:val="center"/>
          </w:tcPr>
          <w:p w14:paraId="5D03F084" w14:textId="77777777" w:rsidR="00CB33C7" w:rsidRPr="00C2587D" w:rsidRDefault="00CB33C7" w:rsidP="00EA6E27">
            <w:pPr>
              <w:rPr>
                <w:rFonts w:cs="Arial"/>
                <w:b/>
                <w:bCs/>
                <w:color w:val="000000"/>
                <w:szCs w:val="22"/>
              </w:rPr>
            </w:pPr>
          </w:p>
        </w:tc>
        <w:tc>
          <w:tcPr>
            <w:tcW w:w="1254" w:type="dxa"/>
            <w:gridSpan w:val="2"/>
            <w:vAlign w:val="center"/>
          </w:tcPr>
          <w:p w14:paraId="7B2ED263" w14:textId="77777777" w:rsidR="00CB33C7" w:rsidRPr="00C2587D" w:rsidRDefault="00CB33C7" w:rsidP="00EA6E27">
            <w:pPr>
              <w:jc w:val="center"/>
              <w:rPr>
                <w:rFonts w:cs="Arial"/>
                <w:b/>
                <w:color w:val="000000"/>
                <w:szCs w:val="22"/>
                <w:lang w:eastAsia="it-IT"/>
              </w:rPr>
            </w:pPr>
          </w:p>
        </w:tc>
        <w:tc>
          <w:tcPr>
            <w:tcW w:w="1412" w:type="dxa"/>
            <w:shd w:val="clear" w:color="auto" w:fill="FFFFFF"/>
            <w:vAlign w:val="center"/>
          </w:tcPr>
          <w:p w14:paraId="4E4A2962" w14:textId="77777777" w:rsidR="00CB33C7" w:rsidRPr="008D588A" w:rsidRDefault="00CB33C7" w:rsidP="00EA6E27">
            <w:pPr>
              <w:jc w:val="center"/>
              <w:rPr>
                <w:rFonts w:cs="Arial"/>
                <w:color w:val="000000"/>
                <w:szCs w:val="22"/>
                <w:lang w:eastAsia="it-IT"/>
              </w:rPr>
            </w:pPr>
            <w:r w:rsidRPr="008D588A">
              <w:rPr>
                <w:rFonts w:cs="Arial"/>
                <w:color w:val="000000"/>
                <w:szCs w:val="22"/>
                <w:lang w:eastAsia="it-IT"/>
              </w:rPr>
              <w:t>229,144</w:t>
            </w:r>
          </w:p>
        </w:tc>
        <w:tc>
          <w:tcPr>
            <w:tcW w:w="1281" w:type="dxa"/>
            <w:shd w:val="clear" w:color="auto" w:fill="auto"/>
            <w:vAlign w:val="center"/>
          </w:tcPr>
          <w:p w14:paraId="0E22738A" w14:textId="77777777" w:rsidR="00CB33C7" w:rsidRPr="00C2587D" w:rsidRDefault="00CB33C7" w:rsidP="00EA6E27">
            <w:pPr>
              <w:jc w:val="center"/>
              <w:rPr>
                <w:rFonts w:cs="Arial"/>
                <w:b/>
                <w:color w:val="000000"/>
                <w:szCs w:val="22"/>
                <w:lang w:eastAsia="it-IT"/>
              </w:rPr>
            </w:pPr>
          </w:p>
        </w:tc>
        <w:tc>
          <w:tcPr>
            <w:tcW w:w="1276" w:type="dxa"/>
            <w:shd w:val="clear" w:color="auto" w:fill="FFFFFF"/>
            <w:vAlign w:val="center"/>
          </w:tcPr>
          <w:p w14:paraId="5AB72DED" w14:textId="77777777" w:rsidR="00CB33C7" w:rsidRPr="00C2587D" w:rsidRDefault="00CB33C7" w:rsidP="00EA6E27">
            <w:pPr>
              <w:jc w:val="center"/>
              <w:rPr>
                <w:rFonts w:cs="Arial"/>
                <w:b/>
                <w:color w:val="000000"/>
                <w:szCs w:val="22"/>
                <w:lang w:eastAsia="it-IT"/>
              </w:rPr>
            </w:pPr>
          </w:p>
        </w:tc>
        <w:tc>
          <w:tcPr>
            <w:tcW w:w="1571" w:type="dxa"/>
            <w:gridSpan w:val="2"/>
            <w:shd w:val="clear" w:color="auto" w:fill="FFFFFF"/>
            <w:vAlign w:val="center"/>
          </w:tcPr>
          <w:p w14:paraId="4069D129" w14:textId="77777777" w:rsidR="00CB33C7" w:rsidRPr="00C2587D" w:rsidRDefault="00CB33C7" w:rsidP="00EA6E27">
            <w:pPr>
              <w:jc w:val="center"/>
              <w:rPr>
                <w:rFonts w:cs="Arial"/>
                <w:b/>
                <w:color w:val="000000"/>
                <w:szCs w:val="22"/>
                <w:lang w:eastAsia="it-IT"/>
              </w:rPr>
            </w:pPr>
            <w:r w:rsidRPr="00C2587D">
              <w:rPr>
                <w:rFonts w:cs="Arial"/>
                <w:b/>
                <w:color w:val="000000"/>
                <w:szCs w:val="22"/>
                <w:lang w:eastAsia="it-IT"/>
              </w:rPr>
              <w:t>229,144</w:t>
            </w:r>
          </w:p>
        </w:tc>
      </w:tr>
      <w:tr w:rsidR="00CB33C7" w:rsidRPr="00C2587D" w14:paraId="2523ABC9" w14:textId="77777777" w:rsidTr="00EA6E27">
        <w:trPr>
          <w:trHeight w:val="276"/>
          <w:jc w:val="right"/>
        </w:trPr>
        <w:tc>
          <w:tcPr>
            <w:tcW w:w="3425" w:type="dxa"/>
            <w:shd w:val="clear" w:color="auto" w:fill="FFFFFF"/>
            <w:vAlign w:val="center"/>
          </w:tcPr>
          <w:p w14:paraId="6639250B" w14:textId="77777777" w:rsidR="00CB33C7" w:rsidRPr="00C2587D" w:rsidRDefault="00CB33C7" w:rsidP="00EA6E27">
            <w:pPr>
              <w:rPr>
                <w:rFonts w:cs="Arial"/>
                <w:b/>
                <w:bCs/>
                <w:color w:val="000000"/>
                <w:szCs w:val="22"/>
              </w:rPr>
            </w:pPr>
            <w:r w:rsidRPr="00C2587D">
              <w:rPr>
                <w:rFonts w:cs="Arial"/>
                <w:b/>
                <w:bCs/>
                <w:color w:val="000000"/>
                <w:szCs w:val="22"/>
              </w:rPr>
              <w:t>по джерелах фінансування:</w:t>
            </w:r>
          </w:p>
        </w:tc>
        <w:tc>
          <w:tcPr>
            <w:tcW w:w="6794" w:type="dxa"/>
            <w:gridSpan w:val="7"/>
            <w:vAlign w:val="center"/>
          </w:tcPr>
          <w:p w14:paraId="394EF542" w14:textId="77777777" w:rsidR="00CB33C7" w:rsidRPr="00C2587D" w:rsidRDefault="00CB33C7" w:rsidP="00EA6E27">
            <w:pPr>
              <w:jc w:val="both"/>
              <w:rPr>
                <w:rFonts w:cs="Arial"/>
                <w:color w:val="000000"/>
                <w:szCs w:val="22"/>
                <w:lang w:eastAsia="it-IT"/>
              </w:rPr>
            </w:pPr>
          </w:p>
        </w:tc>
      </w:tr>
      <w:tr w:rsidR="008D588A" w:rsidRPr="00C2587D" w14:paraId="497EAA2E" w14:textId="00D32C9F" w:rsidTr="008D588A">
        <w:trPr>
          <w:trHeight w:val="240"/>
          <w:jc w:val="right"/>
        </w:trPr>
        <w:tc>
          <w:tcPr>
            <w:tcW w:w="3425" w:type="dxa"/>
            <w:shd w:val="clear" w:color="auto" w:fill="FFFFFF"/>
            <w:vAlign w:val="center"/>
          </w:tcPr>
          <w:p w14:paraId="64820A72" w14:textId="77777777" w:rsidR="008D588A" w:rsidRPr="00C2587D" w:rsidRDefault="008D588A" w:rsidP="00EA6E27">
            <w:pPr>
              <w:rPr>
                <w:rFonts w:cs="Arial"/>
                <w:b/>
                <w:bCs/>
                <w:color w:val="000000"/>
                <w:szCs w:val="22"/>
              </w:rPr>
            </w:pPr>
            <w:r w:rsidRPr="00C2587D">
              <w:rPr>
                <w:rFonts w:cs="Arial"/>
                <w:color w:val="000000"/>
                <w:szCs w:val="22"/>
              </w:rPr>
              <w:t>- державний бюджет</w:t>
            </w:r>
          </w:p>
        </w:tc>
        <w:tc>
          <w:tcPr>
            <w:tcW w:w="1202" w:type="dxa"/>
            <w:vAlign w:val="center"/>
          </w:tcPr>
          <w:p w14:paraId="6BD79BBE" w14:textId="77777777" w:rsidR="008D588A" w:rsidRPr="00C2587D" w:rsidRDefault="008D588A" w:rsidP="00EA6E27">
            <w:pPr>
              <w:jc w:val="both"/>
              <w:rPr>
                <w:rFonts w:cs="Arial"/>
                <w:color w:val="000000"/>
                <w:szCs w:val="22"/>
                <w:lang w:eastAsia="it-IT"/>
              </w:rPr>
            </w:pPr>
          </w:p>
        </w:tc>
        <w:tc>
          <w:tcPr>
            <w:tcW w:w="1465" w:type="dxa"/>
            <w:gridSpan w:val="2"/>
            <w:vAlign w:val="center"/>
          </w:tcPr>
          <w:p w14:paraId="63E06B37" w14:textId="77777777" w:rsidR="008D588A" w:rsidRPr="00C2587D" w:rsidRDefault="008D588A" w:rsidP="00EA6E27">
            <w:pPr>
              <w:jc w:val="both"/>
              <w:rPr>
                <w:rFonts w:cs="Arial"/>
                <w:color w:val="000000"/>
                <w:szCs w:val="22"/>
                <w:lang w:eastAsia="it-IT"/>
              </w:rPr>
            </w:pPr>
          </w:p>
        </w:tc>
        <w:tc>
          <w:tcPr>
            <w:tcW w:w="1277" w:type="dxa"/>
            <w:vAlign w:val="center"/>
          </w:tcPr>
          <w:p w14:paraId="2E2D733E" w14:textId="77777777" w:rsidR="008D588A" w:rsidRPr="00C2587D" w:rsidRDefault="008D588A" w:rsidP="00EA6E27">
            <w:pPr>
              <w:jc w:val="both"/>
              <w:rPr>
                <w:rFonts w:cs="Arial"/>
                <w:color w:val="000000"/>
                <w:szCs w:val="22"/>
                <w:lang w:eastAsia="it-IT"/>
              </w:rPr>
            </w:pPr>
          </w:p>
        </w:tc>
        <w:tc>
          <w:tcPr>
            <w:tcW w:w="1315" w:type="dxa"/>
            <w:gridSpan w:val="2"/>
            <w:vAlign w:val="center"/>
          </w:tcPr>
          <w:p w14:paraId="097B3740" w14:textId="77777777" w:rsidR="008D588A" w:rsidRPr="00C2587D" w:rsidRDefault="008D588A" w:rsidP="00EA6E27">
            <w:pPr>
              <w:jc w:val="both"/>
              <w:rPr>
                <w:rFonts w:cs="Arial"/>
                <w:color w:val="000000"/>
                <w:szCs w:val="22"/>
                <w:lang w:eastAsia="it-IT"/>
              </w:rPr>
            </w:pPr>
          </w:p>
        </w:tc>
        <w:tc>
          <w:tcPr>
            <w:tcW w:w="1535" w:type="dxa"/>
            <w:vAlign w:val="center"/>
          </w:tcPr>
          <w:p w14:paraId="40638616" w14:textId="77777777" w:rsidR="008D588A" w:rsidRPr="00C2587D" w:rsidRDefault="008D588A" w:rsidP="00EA6E27">
            <w:pPr>
              <w:jc w:val="both"/>
              <w:rPr>
                <w:rFonts w:cs="Arial"/>
                <w:color w:val="000000"/>
                <w:szCs w:val="22"/>
                <w:lang w:eastAsia="it-IT"/>
              </w:rPr>
            </w:pPr>
          </w:p>
        </w:tc>
      </w:tr>
      <w:tr w:rsidR="008D588A" w:rsidRPr="00C2587D" w14:paraId="43E5A734" w14:textId="09FF54C4" w:rsidTr="008D588A">
        <w:trPr>
          <w:trHeight w:val="254"/>
          <w:jc w:val="right"/>
        </w:trPr>
        <w:tc>
          <w:tcPr>
            <w:tcW w:w="3425" w:type="dxa"/>
            <w:shd w:val="clear" w:color="auto" w:fill="FFFFFF"/>
            <w:vAlign w:val="center"/>
          </w:tcPr>
          <w:p w14:paraId="1B537EC1" w14:textId="77777777" w:rsidR="008D588A" w:rsidRPr="00C2587D" w:rsidRDefault="008D588A" w:rsidP="00EA6E27">
            <w:pPr>
              <w:rPr>
                <w:rFonts w:cs="Arial"/>
                <w:color w:val="000000"/>
                <w:szCs w:val="22"/>
              </w:rPr>
            </w:pPr>
            <w:r w:rsidRPr="00C2587D">
              <w:rPr>
                <w:rFonts w:cs="Arial"/>
                <w:color w:val="000000"/>
                <w:szCs w:val="22"/>
              </w:rPr>
              <w:t>- обласний бюджет</w:t>
            </w:r>
          </w:p>
        </w:tc>
        <w:tc>
          <w:tcPr>
            <w:tcW w:w="1202" w:type="dxa"/>
            <w:vAlign w:val="center"/>
          </w:tcPr>
          <w:p w14:paraId="6D3275FF" w14:textId="77777777" w:rsidR="008D588A" w:rsidRPr="00C2587D" w:rsidRDefault="008D588A" w:rsidP="00EA6E27">
            <w:pPr>
              <w:jc w:val="both"/>
              <w:rPr>
                <w:rFonts w:cs="Arial"/>
                <w:color w:val="000000"/>
                <w:szCs w:val="22"/>
                <w:lang w:eastAsia="it-IT"/>
              </w:rPr>
            </w:pPr>
          </w:p>
        </w:tc>
        <w:tc>
          <w:tcPr>
            <w:tcW w:w="1465" w:type="dxa"/>
            <w:gridSpan w:val="2"/>
            <w:vAlign w:val="center"/>
          </w:tcPr>
          <w:p w14:paraId="74C68EB8" w14:textId="77777777" w:rsidR="008D588A" w:rsidRPr="00C2587D" w:rsidRDefault="008D588A" w:rsidP="00EA6E27">
            <w:pPr>
              <w:jc w:val="both"/>
              <w:rPr>
                <w:rFonts w:cs="Arial"/>
                <w:color w:val="000000"/>
                <w:szCs w:val="22"/>
                <w:lang w:eastAsia="it-IT"/>
              </w:rPr>
            </w:pPr>
          </w:p>
        </w:tc>
        <w:tc>
          <w:tcPr>
            <w:tcW w:w="1277" w:type="dxa"/>
            <w:vAlign w:val="center"/>
          </w:tcPr>
          <w:p w14:paraId="65E0D9BA" w14:textId="77777777" w:rsidR="008D588A" w:rsidRPr="00C2587D" w:rsidRDefault="008D588A" w:rsidP="00EA6E27">
            <w:pPr>
              <w:jc w:val="both"/>
              <w:rPr>
                <w:rFonts w:cs="Arial"/>
                <w:color w:val="000000"/>
                <w:szCs w:val="22"/>
                <w:lang w:eastAsia="it-IT"/>
              </w:rPr>
            </w:pPr>
          </w:p>
        </w:tc>
        <w:tc>
          <w:tcPr>
            <w:tcW w:w="1315" w:type="dxa"/>
            <w:gridSpan w:val="2"/>
            <w:vAlign w:val="center"/>
          </w:tcPr>
          <w:p w14:paraId="16C702E3" w14:textId="77777777" w:rsidR="008D588A" w:rsidRPr="00C2587D" w:rsidRDefault="008D588A" w:rsidP="00EA6E27">
            <w:pPr>
              <w:jc w:val="both"/>
              <w:rPr>
                <w:rFonts w:cs="Arial"/>
                <w:color w:val="000000"/>
                <w:szCs w:val="22"/>
                <w:lang w:eastAsia="it-IT"/>
              </w:rPr>
            </w:pPr>
          </w:p>
        </w:tc>
        <w:tc>
          <w:tcPr>
            <w:tcW w:w="1535" w:type="dxa"/>
            <w:vAlign w:val="center"/>
          </w:tcPr>
          <w:p w14:paraId="23639329" w14:textId="77777777" w:rsidR="008D588A" w:rsidRPr="00C2587D" w:rsidRDefault="008D588A" w:rsidP="00EA6E27">
            <w:pPr>
              <w:jc w:val="both"/>
              <w:rPr>
                <w:rFonts w:cs="Arial"/>
                <w:color w:val="000000"/>
                <w:szCs w:val="22"/>
                <w:lang w:eastAsia="it-IT"/>
              </w:rPr>
            </w:pPr>
          </w:p>
        </w:tc>
      </w:tr>
      <w:tr w:rsidR="008D588A" w:rsidRPr="00C2587D" w14:paraId="4D97A7AD" w14:textId="3BD5AD4B" w:rsidTr="008D588A">
        <w:trPr>
          <w:trHeight w:val="275"/>
          <w:jc w:val="right"/>
        </w:trPr>
        <w:tc>
          <w:tcPr>
            <w:tcW w:w="3425" w:type="dxa"/>
            <w:shd w:val="clear" w:color="auto" w:fill="FFFFFF"/>
            <w:vAlign w:val="center"/>
          </w:tcPr>
          <w:p w14:paraId="5C4C6190" w14:textId="77777777" w:rsidR="008D588A" w:rsidRPr="00C2587D" w:rsidRDefault="008D588A" w:rsidP="008D588A">
            <w:pPr>
              <w:rPr>
                <w:rFonts w:cs="Arial"/>
                <w:color w:val="000000"/>
                <w:szCs w:val="22"/>
              </w:rPr>
            </w:pPr>
            <w:r w:rsidRPr="00C2587D">
              <w:rPr>
                <w:rFonts w:cs="Arial"/>
                <w:color w:val="000000"/>
                <w:szCs w:val="22"/>
              </w:rPr>
              <w:t>- бюджет Жмеринської МТГ</w:t>
            </w:r>
          </w:p>
        </w:tc>
        <w:tc>
          <w:tcPr>
            <w:tcW w:w="1202" w:type="dxa"/>
            <w:vAlign w:val="center"/>
          </w:tcPr>
          <w:p w14:paraId="7947ABD3" w14:textId="408E5B6F" w:rsidR="008D588A" w:rsidRPr="00C2587D" w:rsidRDefault="008D588A" w:rsidP="008D588A">
            <w:pPr>
              <w:jc w:val="both"/>
              <w:rPr>
                <w:rFonts w:cs="Arial"/>
                <w:color w:val="000000"/>
                <w:szCs w:val="22"/>
                <w:lang w:eastAsia="it-IT"/>
              </w:rPr>
            </w:pPr>
          </w:p>
        </w:tc>
        <w:tc>
          <w:tcPr>
            <w:tcW w:w="1465" w:type="dxa"/>
            <w:gridSpan w:val="2"/>
            <w:vAlign w:val="center"/>
          </w:tcPr>
          <w:p w14:paraId="77024622" w14:textId="282CE67F" w:rsidR="008D588A" w:rsidRPr="008D588A" w:rsidRDefault="008D588A" w:rsidP="008D588A">
            <w:pPr>
              <w:jc w:val="center"/>
              <w:rPr>
                <w:rFonts w:cs="Arial"/>
                <w:color w:val="000000"/>
                <w:szCs w:val="22"/>
                <w:lang w:eastAsia="it-IT"/>
              </w:rPr>
            </w:pPr>
            <w:r w:rsidRPr="008D588A">
              <w:rPr>
                <w:rFonts w:cs="Arial"/>
                <w:color w:val="000000"/>
                <w:szCs w:val="22"/>
                <w:lang w:eastAsia="it-IT"/>
              </w:rPr>
              <w:t>229,144</w:t>
            </w:r>
          </w:p>
        </w:tc>
        <w:tc>
          <w:tcPr>
            <w:tcW w:w="1277" w:type="dxa"/>
            <w:vAlign w:val="center"/>
          </w:tcPr>
          <w:p w14:paraId="43BB1E9A" w14:textId="77777777" w:rsidR="008D588A" w:rsidRPr="008D588A" w:rsidRDefault="008D588A" w:rsidP="008D588A">
            <w:pPr>
              <w:jc w:val="center"/>
              <w:rPr>
                <w:rFonts w:cs="Arial"/>
                <w:color w:val="000000"/>
                <w:szCs w:val="22"/>
                <w:lang w:eastAsia="it-IT"/>
              </w:rPr>
            </w:pPr>
          </w:p>
        </w:tc>
        <w:tc>
          <w:tcPr>
            <w:tcW w:w="1315" w:type="dxa"/>
            <w:gridSpan w:val="2"/>
            <w:vAlign w:val="center"/>
          </w:tcPr>
          <w:p w14:paraId="0A372136" w14:textId="77777777" w:rsidR="008D588A" w:rsidRPr="008D588A" w:rsidRDefault="008D588A" w:rsidP="008D588A">
            <w:pPr>
              <w:jc w:val="center"/>
              <w:rPr>
                <w:rFonts w:cs="Arial"/>
                <w:color w:val="000000"/>
                <w:szCs w:val="22"/>
                <w:lang w:eastAsia="it-IT"/>
              </w:rPr>
            </w:pPr>
          </w:p>
        </w:tc>
        <w:tc>
          <w:tcPr>
            <w:tcW w:w="1535" w:type="dxa"/>
            <w:vAlign w:val="center"/>
          </w:tcPr>
          <w:p w14:paraId="0F65EAEB" w14:textId="5D93602A" w:rsidR="008D588A" w:rsidRPr="008D588A" w:rsidRDefault="008D588A" w:rsidP="008D588A">
            <w:pPr>
              <w:jc w:val="center"/>
              <w:rPr>
                <w:rFonts w:cs="Arial"/>
                <w:b/>
                <w:color w:val="000000"/>
                <w:szCs w:val="22"/>
                <w:lang w:eastAsia="it-IT"/>
              </w:rPr>
            </w:pPr>
            <w:r w:rsidRPr="008D588A">
              <w:rPr>
                <w:rFonts w:cs="Arial"/>
                <w:b/>
                <w:color w:val="000000"/>
                <w:szCs w:val="22"/>
                <w:lang w:eastAsia="it-IT"/>
              </w:rPr>
              <w:t>229,144</w:t>
            </w:r>
          </w:p>
        </w:tc>
      </w:tr>
      <w:tr w:rsidR="008D588A" w:rsidRPr="00C2587D" w14:paraId="4401B6C0" w14:textId="56A5829D" w:rsidTr="008D588A">
        <w:trPr>
          <w:trHeight w:val="226"/>
          <w:jc w:val="right"/>
        </w:trPr>
        <w:tc>
          <w:tcPr>
            <w:tcW w:w="3425" w:type="dxa"/>
            <w:shd w:val="clear" w:color="auto" w:fill="FFFFFF"/>
            <w:vAlign w:val="center"/>
          </w:tcPr>
          <w:p w14:paraId="4E087296" w14:textId="77777777" w:rsidR="008D588A" w:rsidRPr="00C2587D" w:rsidRDefault="008D588A" w:rsidP="008D588A">
            <w:pPr>
              <w:rPr>
                <w:rFonts w:cs="Arial"/>
                <w:color w:val="000000"/>
                <w:szCs w:val="22"/>
              </w:rPr>
            </w:pPr>
            <w:r w:rsidRPr="00C2587D">
              <w:rPr>
                <w:rFonts w:cs="Arial"/>
                <w:color w:val="000000"/>
                <w:szCs w:val="22"/>
              </w:rPr>
              <w:t>- інші джерела фінансування</w:t>
            </w:r>
          </w:p>
        </w:tc>
        <w:tc>
          <w:tcPr>
            <w:tcW w:w="1202" w:type="dxa"/>
            <w:vAlign w:val="center"/>
          </w:tcPr>
          <w:p w14:paraId="3520BD0F" w14:textId="77777777" w:rsidR="008D588A" w:rsidRPr="00C2587D" w:rsidRDefault="008D588A" w:rsidP="008D588A">
            <w:pPr>
              <w:jc w:val="both"/>
              <w:rPr>
                <w:rFonts w:cs="Arial"/>
                <w:color w:val="000000"/>
                <w:szCs w:val="22"/>
                <w:lang w:eastAsia="it-IT"/>
              </w:rPr>
            </w:pPr>
          </w:p>
        </w:tc>
        <w:tc>
          <w:tcPr>
            <w:tcW w:w="1465" w:type="dxa"/>
            <w:gridSpan w:val="2"/>
            <w:vAlign w:val="center"/>
          </w:tcPr>
          <w:p w14:paraId="52E40937" w14:textId="77777777" w:rsidR="008D588A" w:rsidRPr="00C2587D" w:rsidRDefault="008D588A" w:rsidP="008D588A">
            <w:pPr>
              <w:jc w:val="both"/>
              <w:rPr>
                <w:rFonts w:cs="Arial"/>
                <w:color w:val="000000"/>
                <w:szCs w:val="22"/>
                <w:lang w:eastAsia="it-IT"/>
              </w:rPr>
            </w:pPr>
          </w:p>
        </w:tc>
        <w:tc>
          <w:tcPr>
            <w:tcW w:w="1277" w:type="dxa"/>
            <w:vAlign w:val="center"/>
          </w:tcPr>
          <w:p w14:paraId="28099C58" w14:textId="77777777" w:rsidR="008D588A" w:rsidRPr="00C2587D" w:rsidRDefault="008D588A" w:rsidP="008D588A">
            <w:pPr>
              <w:jc w:val="both"/>
              <w:rPr>
                <w:rFonts w:cs="Arial"/>
                <w:color w:val="000000"/>
                <w:szCs w:val="22"/>
                <w:lang w:eastAsia="it-IT"/>
              </w:rPr>
            </w:pPr>
          </w:p>
        </w:tc>
        <w:tc>
          <w:tcPr>
            <w:tcW w:w="1315" w:type="dxa"/>
            <w:gridSpan w:val="2"/>
            <w:vAlign w:val="center"/>
          </w:tcPr>
          <w:p w14:paraId="3CEF1440" w14:textId="77777777" w:rsidR="008D588A" w:rsidRPr="00C2587D" w:rsidRDefault="008D588A" w:rsidP="008D588A">
            <w:pPr>
              <w:jc w:val="both"/>
              <w:rPr>
                <w:rFonts w:cs="Arial"/>
                <w:color w:val="000000"/>
                <w:szCs w:val="22"/>
                <w:lang w:eastAsia="it-IT"/>
              </w:rPr>
            </w:pPr>
          </w:p>
        </w:tc>
        <w:tc>
          <w:tcPr>
            <w:tcW w:w="1535" w:type="dxa"/>
            <w:vAlign w:val="center"/>
          </w:tcPr>
          <w:p w14:paraId="2690A870" w14:textId="77777777" w:rsidR="008D588A" w:rsidRPr="00C2587D" w:rsidRDefault="008D588A" w:rsidP="008D588A">
            <w:pPr>
              <w:jc w:val="both"/>
              <w:rPr>
                <w:rFonts w:cs="Arial"/>
                <w:color w:val="000000"/>
                <w:szCs w:val="22"/>
                <w:lang w:eastAsia="it-IT"/>
              </w:rPr>
            </w:pPr>
          </w:p>
        </w:tc>
      </w:tr>
      <w:tr w:rsidR="008D588A" w:rsidRPr="00C2587D" w14:paraId="6872EBEB" w14:textId="77777777" w:rsidTr="00EA6E27">
        <w:trPr>
          <w:jc w:val="right"/>
        </w:trPr>
        <w:tc>
          <w:tcPr>
            <w:tcW w:w="3425" w:type="dxa"/>
            <w:shd w:val="clear" w:color="auto" w:fill="FFFFFF"/>
            <w:vAlign w:val="center"/>
          </w:tcPr>
          <w:p w14:paraId="10CCB679" w14:textId="77777777" w:rsidR="008D588A" w:rsidRPr="00C2587D" w:rsidRDefault="008D588A" w:rsidP="008D588A">
            <w:pPr>
              <w:rPr>
                <w:rFonts w:cs="Arial"/>
                <w:b/>
                <w:bCs/>
                <w:color w:val="000000"/>
                <w:szCs w:val="22"/>
              </w:rPr>
            </w:pPr>
            <w:r w:rsidRPr="00C2587D">
              <w:rPr>
                <w:rFonts w:cs="Arial"/>
                <w:b/>
                <w:color w:val="000000"/>
                <w:szCs w:val="22"/>
              </w:rPr>
              <w:t>Відповідальний виконавець проєкту:</w:t>
            </w:r>
          </w:p>
        </w:tc>
        <w:tc>
          <w:tcPr>
            <w:tcW w:w="6794" w:type="dxa"/>
            <w:gridSpan w:val="7"/>
            <w:vAlign w:val="center"/>
          </w:tcPr>
          <w:p w14:paraId="3C6E2449" w14:textId="2BBA6E67" w:rsidR="008D588A" w:rsidRPr="00C2587D" w:rsidRDefault="008D588A" w:rsidP="008D588A">
            <w:pPr>
              <w:jc w:val="both"/>
              <w:rPr>
                <w:rFonts w:cs="Arial"/>
                <w:color w:val="000000"/>
                <w:szCs w:val="22"/>
                <w:lang w:eastAsia="it-IT"/>
              </w:rPr>
            </w:pPr>
            <w:r w:rsidRPr="00C2587D">
              <w:rPr>
                <w:rFonts w:cs="Arial"/>
                <w:color w:val="000000"/>
                <w:szCs w:val="22"/>
                <w:lang w:eastAsia="it-IT"/>
              </w:rPr>
              <w:t>Управління ЖКГ.</w:t>
            </w:r>
          </w:p>
        </w:tc>
      </w:tr>
      <w:tr w:rsidR="008D588A" w:rsidRPr="00C2587D" w14:paraId="66CB2198" w14:textId="77777777" w:rsidTr="00EA6E27">
        <w:trPr>
          <w:jc w:val="right"/>
        </w:trPr>
        <w:tc>
          <w:tcPr>
            <w:tcW w:w="3425" w:type="dxa"/>
            <w:shd w:val="clear" w:color="auto" w:fill="FFFFFF"/>
            <w:vAlign w:val="center"/>
          </w:tcPr>
          <w:p w14:paraId="1BD189B0" w14:textId="77777777" w:rsidR="008D588A" w:rsidRPr="00C2587D" w:rsidRDefault="008D588A" w:rsidP="008D588A">
            <w:pPr>
              <w:rPr>
                <w:rFonts w:cs="Arial"/>
                <w:b/>
                <w:bCs/>
                <w:color w:val="000000"/>
                <w:szCs w:val="22"/>
              </w:rPr>
            </w:pPr>
            <w:r w:rsidRPr="00C2587D">
              <w:rPr>
                <w:rFonts w:cs="Arial"/>
                <w:b/>
                <w:bCs/>
                <w:color w:val="000000"/>
                <w:szCs w:val="22"/>
              </w:rPr>
              <w:t>Інше:</w:t>
            </w:r>
          </w:p>
        </w:tc>
        <w:tc>
          <w:tcPr>
            <w:tcW w:w="6794" w:type="dxa"/>
            <w:gridSpan w:val="7"/>
            <w:vAlign w:val="center"/>
          </w:tcPr>
          <w:p w14:paraId="08EC281A" w14:textId="77777777" w:rsidR="008D588A" w:rsidRPr="00C2587D" w:rsidRDefault="008D588A" w:rsidP="008D588A">
            <w:pPr>
              <w:rPr>
                <w:rFonts w:cs="Arial"/>
                <w:color w:val="000000"/>
                <w:szCs w:val="22"/>
                <w:lang w:eastAsia="it-IT"/>
              </w:rPr>
            </w:pPr>
          </w:p>
        </w:tc>
      </w:tr>
    </w:tbl>
    <w:p w14:paraId="19D4AE3F" w14:textId="77777777" w:rsidR="00CB33C7" w:rsidRPr="00C2587D" w:rsidRDefault="00CB33C7" w:rsidP="00CB33C7"/>
    <w:p w14:paraId="0F2D5B31" w14:textId="77777777" w:rsidR="00CB33C7" w:rsidRPr="00C2587D" w:rsidRDefault="00CB33C7" w:rsidP="00CB33C7"/>
    <w:p w14:paraId="7721F0B0" w14:textId="77777777" w:rsidR="00CB33C7" w:rsidRPr="00C2587D" w:rsidRDefault="00CB33C7" w:rsidP="00CB33C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6C1B7550" w14:textId="77777777" w:rsidR="00CB33C7" w:rsidRPr="00C2587D" w:rsidRDefault="00CB33C7" w:rsidP="00CB33C7">
      <w:pPr>
        <w:jc w:val="center"/>
        <w:rPr>
          <w:rFonts w:cs="Arial"/>
          <w:b/>
          <w:color w:val="000000"/>
          <w:szCs w:val="22"/>
        </w:rPr>
      </w:pPr>
      <w:r w:rsidRPr="00C2587D">
        <w:rPr>
          <w:rFonts w:cs="Arial"/>
          <w:b/>
          <w:color w:val="000000"/>
          <w:szCs w:val="22"/>
        </w:rPr>
        <w:t>до Плану заходів з реалізації Стратегії</w:t>
      </w:r>
    </w:p>
    <w:p w14:paraId="7470751F" w14:textId="77777777" w:rsidR="00CB33C7" w:rsidRPr="00C2587D" w:rsidRDefault="00CB33C7" w:rsidP="00CB33C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40"/>
        <w:gridCol w:w="14"/>
        <w:gridCol w:w="1376"/>
        <w:gridCol w:w="36"/>
        <w:gridCol w:w="1281"/>
        <w:gridCol w:w="60"/>
        <w:gridCol w:w="1216"/>
        <w:gridCol w:w="24"/>
        <w:gridCol w:w="1547"/>
      </w:tblGrid>
      <w:tr w:rsidR="00CB33C7" w:rsidRPr="00C2587D" w14:paraId="1CFBE3F4" w14:textId="77777777" w:rsidTr="00EA6E27">
        <w:trPr>
          <w:jc w:val="right"/>
        </w:trPr>
        <w:tc>
          <w:tcPr>
            <w:tcW w:w="3425" w:type="dxa"/>
            <w:vAlign w:val="center"/>
          </w:tcPr>
          <w:p w14:paraId="194A183B" w14:textId="77777777" w:rsidR="00CB33C7" w:rsidRPr="00C2587D" w:rsidRDefault="00CB33C7" w:rsidP="00EA6E27">
            <w:pPr>
              <w:rPr>
                <w:rFonts w:cs="Arial"/>
                <w:b/>
                <w:bCs/>
                <w:color w:val="000000"/>
                <w:szCs w:val="22"/>
              </w:rPr>
            </w:pPr>
            <w:r w:rsidRPr="00C2587D">
              <w:rPr>
                <w:rFonts w:cs="Arial"/>
                <w:b/>
                <w:bCs/>
                <w:color w:val="000000"/>
                <w:szCs w:val="22"/>
              </w:rPr>
              <w:t>Назва проєкту:</w:t>
            </w:r>
          </w:p>
        </w:tc>
        <w:tc>
          <w:tcPr>
            <w:tcW w:w="6794" w:type="dxa"/>
            <w:gridSpan w:val="9"/>
          </w:tcPr>
          <w:p w14:paraId="4A904D8D" w14:textId="77777777" w:rsidR="00CB33C7" w:rsidRPr="00C2587D" w:rsidRDefault="00CB33C7" w:rsidP="008D588A">
            <w:pPr>
              <w:spacing w:before="40" w:after="40"/>
              <w:jc w:val="both"/>
              <w:rPr>
                <w:b/>
                <w:lang w:eastAsia="it-IT"/>
              </w:rPr>
            </w:pPr>
            <w:r w:rsidRPr="00C2587D">
              <w:rPr>
                <w:rFonts w:eastAsia="Arial"/>
                <w:b/>
                <w:lang w:eastAsia="en-US"/>
              </w:rPr>
              <w:t>Капітальний ремонт прибудинкових територій по вул. Горького, 3 та вул. Грушевського, 8 в м. Жмеринка Вінницької області</w:t>
            </w:r>
          </w:p>
        </w:tc>
      </w:tr>
      <w:tr w:rsidR="00CB33C7" w:rsidRPr="00C2587D" w14:paraId="22241F6E" w14:textId="77777777" w:rsidTr="00EA6E27">
        <w:trPr>
          <w:jc w:val="right"/>
        </w:trPr>
        <w:tc>
          <w:tcPr>
            <w:tcW w:w="3425" w:type="dxa"/>
          </w:tcPr>
          <w:p w14:paraId="0664D74B" w14:textId="77777777" w:rsidR="00CB33C7" w:rsidRPr="00C2587D" w:rsidRDefault="00CB33C7" w:rsidP="00EA6E27">
            <w:pPr>
              <w:spacing w:before="40" w:after="40"/>
              <w:rPr>
                <w:rFonts w:cs="Arial"/>
                <w:sz w:val="20"/>
                <w:szCs w:val="22"/>
                <w:lang w:eastAsia="it-IT"/>
              </w:rPr>
            </w:pPr>
            <w:r w:rsidRPr="00C2587D">
              <w:rPr>
                <w:rFonts w:cs="Arial"/>
                <w:b/>
                <w:bCs/>
                <w:szCs w:val="22"/>
              </w:rPr>
              <w:t>Ваші контакти</w:t>
            </w:r>
            <w:r w:rsidRPr="00C2587D">
              <w:rPr>
                <w:rFonts w:cs="Arial"/>
                <w:sz w:val="20"/>
                <w:szCs w:val="22"/>
                <w:lang w:eastAsia="it-IT"/>
              </w:rPr>
              <w:t>:</w:t>
            </w:r>
          </w:p>
          <w:p w14:paraId="65A40EF1" w14:textId="77777777" w:rsidR="00CB33C7" w:rsidRPr="00C2587D" w:rsidRDefault="00CB33C7" w:rsidP="00EA6E27">
            <w:pPr>
              <w:spacing w:before="40" w:after="40"/>
              <w:rPr>
                <w:rFonts w:cs="Arial"/>
                <w:b/>
                <w:bCs/>
                <w:szCs w:val="22"/>
              </w:rPr>
            </w:pPr>
            <w:r w:rsidRPr="00C2587D">
              <w:rPr>
                <w:rFonts w:cs="Arial"/>
                <w:sz w:val="20"/>
                <w:szCs w:val="22"/>
                <w:lang w:eastAsia="it-IT"/>
              </w:rPr>
              <w:t>Назва установи, організації, підприємства</w:t>
            </w:r>
          </w:p>
        </w:tc>
        <w:tc>
          <w:tcPr>
            <w:tcW w:w="6794" w:type="dxa"/>
            <w:gridSpan w:val="9"/>
          </w:tcPr>
          <w:p w14:paraId="61DE2451" w14:textId="77777777" w:rsidR="00CB33C7" w:rsidRPr="00C2587D" w:rsidRDefault="00CB33C7" w:rsidP="00EA6E27">
            <w:pPr>
              <w:spacing w:before="40" w:after="40"/>
              <w:rPr>
                <w:lang w:eastAsia="it-IT"/>
              </w:rPr>
            </w:pPr>
            <w:r w:rsidRPr="00C2587D">
              <w:rPr>
                <w:lang w:eastAsia="it-IT"/>
              </w:rPr>
              <w:t>Управління житлово-комунального господарства Жмеринської міської ради</w:t>
            </w:r>
          </w:p>
        </w:tc>
      </w:tr>
      <w:tr w:rsidR="00CB33C7" w:rsidRPr="00C2587D" w14:paraId="08C1E841" w14:textId="77777777" w:rsidTr="00EA6E27">
        <w:trPr>
          <w:jc w:val="right"/>
        </w:trPr>
        <w:tc>
          <w:tcPr>
            <w:tcW w:w="3425" w:type="dxa"/>
          </w:tcPr>
          <w:p w14:paraId="5ED676EE" w14:textId="77777777" w:rsidR="00CB33C7" w:rsidRPr="00C2587D" w:rsidRDefault="00CB33C7" w:rsidP="00EA6E27">
            <w:pPr>
              <w:spacing w:before="40" w:after="40"/>
              <w:rPr>
                <w:rFonts w:cs="Arial"/>
                <w:b/>
                <w:bCs/>
                <w:szCs w:val="22"/>
              </w:rPr>
            </w:pPr>
            <w:r w:rsidRPr="00C2587D">
              <w:rPr>
                <w:rFonts w:cs="Arial"/>
                <w:sz w:val="20"/>
                <w:szCs w:val="22"/>
                <w:lang w:eastAsia="it-IT"/>
              </w:rPr>
              <w:t>Прізвище Ім’я По-батькові:</w:t>
            </w:r>
          </w:p>
        </w:tc>
        <w:tc>
          <w:tcPr>
            <w:tcW w:w="6794" w:type="dxa"/>
            <w:gridSpan w:val="9"/>
          </w:tcPr>
          <w:p w14:paraId="649D7C99" w14:textId="77777777" w:rsidR="00CB33C7" w:rsidRPr="00C2587D" w:rsidRDefault="00CB33C7" w:rsidP="00EA6E27">
            <w:pPr>
              <w:spacing w:before="40" w:after="40"/>
              <w:rPr>
                <w:lang w:eastAsia="it-IT"/>
              </w:rPr>
            </w:pPr>
            <w:r w:rsidRPr="00C2587D">
              <w:rPr>
                <w:lang w:eastAsia="it-IT"/>
              </w:rPr>
              <w:t>Оленич Андрій Васильович</w:t>
            </w:r>
          </w:p>
        </w:tc>
      </w:tr>
      <w:tr w:rsidR="00CB33C7" w:rsidRPr="00C2587D" w14:paraId="5605D514" w14:textId="77777777" w:rsidTr="00EA6E27">
        <w:trPr>
          <w:jc w:val="right"/>
        </w:trPr>
        <w:tc>
          <w:tcPr>
            <w:tcW w:w="3425" w:type="dxa"/>
          </w:tcPr>
          <w:p w14:paraId="11F7C3F5" w14:textId="77777777" w:rsidR="00CB33C7" w:rsidRPr="00C2587D" w:rsidRDefault="00CB33C7" w:rsidP="00EA6E27">
            <w:pPr>
              <w:spacing w:before="40" w:after="40"/>
              <w:rPr>
                <w:rFonts w:cs="Arial"/>
                <w:b/>
                <w:bCs/>
                <w:szCs w:val="22"/>
              </w:rPr>
            </w:pPr>
            <w:r w:rsidRPr="00C2587D">
              <w:rPr>
                <w:rFonts w:cs="Arial"/>
                <w:sz w:val="20"/>
                <w:szCs w:val="22"/>
                <w:lang w:eastAsia="it-IT"/>
              </w:rPr>
              <w:t>Телефон (мобільний):</w:t>
            </w:r>
          </w:p>
        </w:tc>
        <w:tc>
          <w:tcPr>
            <w:tcW w:w="6794" w:type="dxa"/>
            <w:gridSpan w:val="9"/>
          </w:tcPr>
          <w:p w14:paraId="69254646" w14:textId="77777777" w:rsidR="00CB33C7" w:rsidRPr="00C2587D" w:rsidRDefault="00CB33C7" w:rsidP="00EA6E27">
            <w:pPr>
              <w:spacing w:before="40" w:after="40"/>
              <w:rPr>
                <w:lang w:eastAsia="it-IT"/>
              </w:rPr>
            </w:pPr>
            <w:r w:rsidRPr="00C2587D">
              <w:rPr>
                <w:lang w:eastAsia="it-IT"/>
              </w:rPr>
              <w:t>0972561907</w:t>
            </w:r>
          </w:p>
        </w:tc>
      </w:tr>
      <w:tr w:rsidR="00CB33C7" w:rsidRPr="00C2587D" w14:paraId="122D18BC" w14:textId="77777777" w:rsidTr="00EA6E27">
        <w:trPr>
          <w:jc w:val="right"/>
        </w:trPr>
        <w:tc>
          <w:tcPr>
            <w:tcW w:w="3425" w:type="dxa"/>
          </w:tcPr>
          <w:p w14:paraId="38CC3E74" w14:textId="77777777" w:rsidR="00CB33C7" w:rsidRPr="00C2587D" w:rsidRDefault="00CB33C7" w:rsidP="00EA6E27">
            <w:pPr>
              <w:spacing w:before="40" w:after="40"/>
              <w:rPr>
                <w:rFonts w:cs="Arial"/>
                <w:b/>
                <w:bCs/>
                <w:szCs w:val="22"/>
              </w:rPr>
            </w:pPr>
            <w:r w:rsidRPr="00C2587D">
              <w:rPr>
                <w:rFonts w:cs="Arial"/>
                <w:sz w:val="20"/>
                <w:szCs w:val="22"/>
                <w:lang w:eastAsia="it-IT"/>
              </w:rPr>
              <w:t>Електронна адреса:</w:t>
            </w:r>
          </w:p>
        </w:tc>
        <w:tc>
          <w:tcPr>
            <w:tcW w:w="6794" w:type="dxa"/>
            <w:gridSpan w:val="9"/>
          </w:tcPr>
          <w:p w14:paraId="0E84A7FC" w14:textId="77777777" w:rsidR="00CB33C7" w:rsidRPr="00C2587D" w:rsidRDefault="00D85FFD" w:rsidP="00EA6E27">
            <w:pPr>
              <w:spacing w:before="40" w:after="40"/>
              <w:rPr>
                <w:lang w:eastAsia="it-IT"/>
              </w:rPr>
            </w:pPr>
            <w:hyperlink r:id="rId84" w:history="1">
              <w:r w:rsidR="00CB33C7" w:rsidRPr="00C2587D">
                <w:rPr>
                  <w:rStyle w:val="af0"/>
                  <w:noProof w:val="0"/>
                  <w:sz w:val="24"/>
                  <w:lang w:eastAsia="it-IT"/>
                </w:rPr>
                <w:t>Aolenych03@ukr.net</w:t>
              </w:r>
            </w:hyperlink>
          </w:p>
        </w:tc>
      </w:tr>
      <w:tr w:rsidR="00CB33C7" w:rsidRPr="00C2587D" w14:paraId="2D9EBC93" w14:textId="77777777" w:rsidTr="00EA6E27">
        <w:trPr>
          <w:jc w:val="right"/>
        </w:trPr>
        <w:tc>
          <w:tcPr>
            <w:tcW w:w="3425" w:type="dxa"/>
            <w:vAlign w:val="center"/>
          </w:tcPr>
          <w:p w14:paraId="671AA1E3" w14:textId="77777777" w:rsidR="00CB33C7" w:rsidRPr="00C2587D" w:rsidRDefault="00CB33C7" w:rsidP="00EA6E27">
            <w:pPr>
              <w:pStyle w:val="6"/>
              <w:spacing w:before="0" w:after="0"/>
              <w:rPr>
                <w:rFonts w:ascii="Arial" w:hAnsi="Arial" w:cs="Arial"/>
                <w:color w:val="000000"/>
                <w:lang w:val="uk-UA"/>
              </w:rPr>
            </w:pPr>
            <w:r w:rsidRPr="00C2587D">
              <w:rPr>
                <w:rFonts w:ascii="Arial" w:hAnsi="Arial" w:cs="Arial"/>
                <w:color w:val="000000"/>
                <w:lang w:val="uk-UA"/>
              </w:rPr>
              <w:t>Номер і назва завдання з Стратегії</w:t>
            </w:r>
            <w:r w:rsidRPr="00C2587D">
              <w:rPr>
                <w:rFonts w:ascii="Arial" w:hAnsi="Arial" w:cs="Arial"/>
                <w:sz w:val="16"/>
                <w:szCs w:val="16"/>
                <w:lang w:val="uk-UA" w:eastAsia="it-IT"/>
              </w:rPr>
              <w:t xml:space="preserve"> </w:t>
            </w:r>
            <w:r w:rsidRPr="00C2587D">
              <w:rPr>
                <w:rFonts w:ascii="Arial" w:hAnsi="Arial" w:cs="Arial"/>
                <w:color w:val="000000"/>
                <w:lang w:val="uk-UA"/>
              </w:rPr>
              <w:t xml:space="preserve">розвитку Жмеринської міської </w:t>
            </w:r>
          </w:p>
        </w:tc>
        <w:tc>
          <w:tcPr>
            <w:tcW w:w="6794" w:type="dxa"/>
            <w:gridSpan w:val="9"/>
            <w:vAlign w:val="center"/>
          </w:tcPr>
          <w:p w14:paraId="03C16726" w14:textId="77777777" w:rsidR="00CB33C7" w:rsidRPr="00C2587D" w:rsidRDefault="00CB33C7" w:rsidP="00EA6E27">
            <w:pPr>
              <w:spacing w:before="20" w:after="20"/>
              <w:contextualSpacing/>
              <w:rPr>
                <w:rFonts w:eastAsia="Lucida Sans Unicode" w:cs="Arial"/>
                <w:kern w:val="1"/>
                <w:lang w:eastAsia="ar-SA"/>
              </w:rPr>
            </w:pPr>
            <w:r w:rsidRPr="00C2587D">
              <w:rPr>
                <w:rFonts w:eastAsia="Lucida Sans Unicode" w:cs="Arial"/>
                <w:kern w:val="1"/>
                <w:lang w:eastAsia="ar-SA"/>
              </w:rPr>
              <w:t>В.1.5.8. Капітальний ремонт прибудинкових територій.</w:t>
            </w:r>
          </w:p>
        </w:tc>
      </w:tr>
      <w:tr w:rsidR="00CB33C7" w:rsidRPr="00C2587D" w14:paraId="74F127AD" w14:textId="77777777" w:rsidTr="00EA6E27">
        <w:trPr>
          <w:jc w:val="right"/>
        </w:trPr>
        <w:tc>
          <w:tcPr>
            <w:tcW w:w="3425" w:type="dxa"/>
            <w:vAlign w:val="center"/>
          </w:tcPr>
          <w:p w14:paraId="3DB52DD7" w14:textId="77777777" w:rsidR="00CB33C7" w:rsidRPr="00C2587D" w:rsidRDefault="00CB33C7" w:rsidP="00EA6E27">
            <w:pPr>
              <w:rPr>
                <w:rFonts w:cs="Arial"/>
                <w:b/>
                <w:bCs/>
                <w:color w:val="000000"/>
                <w:szCs w:val="22"/>
              </w:rPr>
            </w:pPr>
            <w:r w:rsidRPr="00C2587D">
              <w:rPr>
                <w:rFonts w:cs="Arial"/>
                <w:b/>
                <w:bCs/>
                <w:color w:val="000000"/>
                <w:szCs w:val="22"/>
              </w:rPr>
              <w:t>Мета проєкту:</w:t>
            </w:r>
          </w:p>
        </w:tc>
        <w:tc>
          <w:tcPr>
            <w:tcW w:w="6794" w:type="dxa"/>
            <w:gridSpan w:val="9"/>
          </w:tcPr>
          <w:p w14:paraId="6AAC7429" w14:textId="77777777" w:rsidR="00CB33C7" w:rsidRPr="00C2587D" w:rsidRDefault="00CB33C7" w:rsidP="00EA6E27">
            <w:pPr>
              <w:spacing w:before="40" w:after="40"/>
              <w:jc w:val="both"/>
              <w:rPr>
                <w:lang w:eastAsia="it-IT"/>
              </w:rPr>
            </w:pPr>
            <w:r w:rsidRPr="00C2587D">
              <w:rPr>
                <w:rFonts w:cs="Arial"/>
                <w:lang w:eastAsia="it-IT"/>
              </w:rPr>
              <w:t xml:space="preserve">Забезпечення гідних умов проживання мешканців будинку </w:t>
            </w:r>
            <w:r w:rsidRPr="00C2587D">
              <w:rPr>
                <w:rFonts w:eastAsia="Arial"/>
                <w:lang w:eastAsia="en-US"/>
              </w:rPr>
              <w:t>по вул. Горького, 3 та вул. Грушевського, 8</w:t>
            </w:r>
            <w:r w:rsidRPr="00C2587D">
              <w:rPr>
                <w:rFonts w:eastAsia="Arial"/>
                <w:b/>
                <w:lang w:eastAsia="en-US"/>
              </w:rPr>
              <w:t xml:space="preserve"> </w:t>
            </w:r>
            <w:r w:rsidRPr="00C2587D">
              <w:rPr>
                <w:rFonts w:cs="Arial"/>
                <w:lang w:eastAsia="it-IT"/>
              </w:rPr>
              <w:t>в м. Жмеринка</w:t>
            </w:r>
          </w:p>
        </w:tc>
      </w:tr>
      <w:tr w:rsidR="00CB33C7" w:rsidRPr="00C2587D" w14:paraId="4CA676A7" w14:textId="77777777" w:rsidTr="00EA6E27">
        <w:trPr>
          <w:jc w:val="right"/>
        </w:trPr>
        <w:tc>
          <w:tcPr>
            <w:tcW w:w="3425" w:type="dxa"/>
            <w:vAlign w:val="center"/>
          </w:tcPr>
          <w:p w14:paraId="628C0F6E" w14:textId="77777777" w:rsidR="00CB33C7" w:rsidRPr="00C2587D" w:rsidRDefault="00CB33C7" w:rsidP="00EA6E27">
            <w:pPr>
              <w:rPr>
                <w:rFonts w:cs="Arial"/>
                <w:b/>
                <w:bCs/>
                <w:color w:val="000000"/>
                <w:szCs w:val="22"/>
              </w:rPr>
            </w:pPr>
            <w:r w:rsidRPr="00C2587D">
              <w:rPr>
                <w:rFonts w:cs="Arial"/>
                <w:b/>
                <w:bCs/>
                <w:color w:val="000000"/>
                <w:szCs w:val="22"/>
              </w:rPr>
              <w:t>Цілі проєкту:</w:t>
            </w:r>
          </w:p>
        </w:tc>
        <w:tc>
          <w:tcPr>
            <w:tcW w:w="6794" w:type="dxa"/>
            <w:gridSpan w:val="9"/>
          </w:tcPr>
          <w:p w14:paraId="3238EB45" w14:textId="77777777" w:rsidR="00CB33C7" w:rsidRPr="00C2587D" w:rsidRDefault="00CB33C7" w:rsidP="00EA6E27">
            <w:pPr>
              <w:spacing w:before="40" w:after="40"/>
              <w:rPr>
                <w:lang w:eastAsia="it-IT"/>
              </w:rPr>
            </w:pPr>
            <w:r w:rsidRPr="00C2587D">
              <w:rPr>
                <w:rFonts w:cs="Arial"/>
                <w:lang w:eastAsia="it-IT"/>
              </w:rPr>
              <w:t xml:space="preserve">Покращити житловий стан будинку </w:t>
            </w:r>
            <w:r w:rsidRPr="00C2587D">
              <w:rPr>
                <w:rFonts w:eastAsia="Arial"/>
                <w:lang w:eastAsia="en-US"/>
              </w:rPr>
              <w:t>по вул. Горького, 3 та вул. Грушевського, 8</w:t>
            </w:r>
            <w:r w:rsidRPr="00C2587D">
              <w:rPr>
                <w:rFonts w:eastAsia="Arial"/>
                <w:b/>
                <w:lang w:eastAsia="en-US"/>
              </w:rPr>
              <w:t xml:space="preserve"> </w:t>
            </w:r>
            <w:r w:rsidRPr="00C2587D">
              <w:rPr>
                <w:rFonts w:cs="Arial"/>
                <w:lang w:eastAsia="it-IT"/>
              </w:rPr>
              <w:t>3 в м. Жмеринка</w:t>
            </w:r>
          </w:p>
        </w:tc>
      </w:tr>
      <w:tr w:rsidR="00CB33C7" w:rsidRPr="00C2587D" w14:paraId="1A9DB6CD" w14:textId="77777777" w:rsidTr="00EA6E27">
        <w:trPr>
          <w:jc w:val="right"/>
        </w:trPr>
        <w:tc>
          <w:tcPr>
            <w:tcW w:w="3425" w:type="dxa"/>
            <w:vAlign w:val="center"/>
          </w:tcPr>
          <w:p w14:paraId="2922D48A" w14:textId="77777777" w:rsidR="00CB33C7" w:rsidRPr="00C2587D" w:rsidRDefault="00CB33C7" w:rsidP="00EA6E27">
            <w:pPr>
              <w:autoSpaceDE w:val="0"/>
              <w:autoSpaceDN w:val="0"/>
              <w:adjustRightInd w:val="0"/>
              <w:rPr>
                <w:rFonts w:cs="Arial"/>
                <w:b/>
                <w:color w:val="000000"/>
                <w:szCs w:val="22"/>
              </w:rPr>
            </w:pPr>
            <w:r w:rsidRPr="00C2587D">
              <w:rPr>
                <w:rFonts w:cs="Arial"/>
                <w:b/>
                <w:color w:val="000000"/>
                <w:szCs w:val="22"/>
              </w:rPr>
              <w:t>Територія на яку проєкт матиме вплив:</w:t>
            </w:r>
          </w:p>
        </w:tc>
        <w:tc>
          <w:tcPr>
            <w:tcW w:w="6794" w:type="dxa"/>
            <w:gridSpan w:val="9"/>
          </w:tcPr>
          <w:p w14:paraId="38406CE1" w14:textId="7372144F" w:rsidR="00CB33C7" w:rsidRPr="00C2587D" w:rsidRDefault="00CB33C7" w:rsidP="008D588A">
            <w:pPr>
              <w:spacing w:before="40" w:after="40"/>
              <w:rPr>
                <w:lang w:eastAsia="it-IT"/>
              </w:rPr>
            </w:pPr>
            <w:r w:rsidRPr="00C2587D">
              <w:rPr>
                <w:lang w:eastAsia="it-IT"/>
              </w:rPr>
              <w:t xml:space="preserve">Території </w:t>
            </w:r>
            <w:r w:rsidR="008D588A" w:rsidRPr="00C2587D">
              <w:rPr>
                <w:rFonts w:cs="Arial"/>
                <w:lang w:eastAsia="it-IT"/>
              </w:rPr>
              <w:t>Жмеринська</w:t>
            </w:r>
            <w:r w:rsidRPr="00C2587D">
              <w:rPr>
                <w:rFonts w:cs="Arial"/>
                <w:lang w:eastAsia="it-IT"/>
              </w:rPr>
              <w:t xml:space="preserve"> М</w:t>
            </w:r>
            <w:r w:rsidR="008D588A" w:rsidRPr="00C2587D">
              <w:rPr>
                <w:rFonts w:cs="Arial"/>
                <w:lang w:eastAsia="it-IT"/>
              </w:rPr>
              <w:t>Т</w:t>
            </w:r>
            <w:r w:rsidRPr="00C2587D">
              <w:rPr>
                <w:rFonts w:cs="Arial"/>
                <w:lang w:eastAsia="it-IT"/>
              </w:rPr>
              <w:t xml:space="preserve">Г                                                                                                                                                                                                                                                                     </w:t>
            </w:r>
          </w:p>
        </w:tc>
      </w:tr>
      <w:tr w:rsidR="00CB33C7" w:rsidRPr="00C2587D" w14:paraId="1A3AA1DA" w14:textId="77777777" w:rsidTr="00EA6E27">
        <w:trPr>
          <w:jc w:val="right"/>
        </w:trPr>
        <w:tc>
          <w:tcPr>
            <w:tcW w:w="3425" w:type="dxa"/>
            <w:vAlign w:val="center"/>
          </w:tcPr>
          <w:p w14:paraId="2F7A9FC1" w14:textId="77777777" w:rsidR="00CB33C7" w:rsidRPr="00C2587D" w:rsidRDefault="00CB33C7" w:rsidP="00EA6E27">
            <w:pPr>
              <w:autoSpaceDE w:val="0"/>
              <w:autoSpaceDN w:val="0"/>
              <w:adjustRightInd w:val="0"/>
              <w:rPr>
                <w:rFonts w:cs="Arial"/>
                <w:b/>
                <w:color w:val="000000"/>
                <w:szCs w:val="22"/>
              </w:rPr>
            </w:pPr>
            <w:r w:rsidRPr="00C2587D">
              <w:rPr>
                <w:rFonts w:cs="Arial"/>
                <w:b/>
                <w:color w:val="000000"/>
                <w:szCs w:val="22"/>
              </w:rPr>
              <w:t>Цільові групи проєкту та кількість отримувачів вигоди</w:t>
            </w:r>
          </w:p>
        </w:tc>
        <w:tc>
          <w:tcPr>
            <w:tcW w:w="6794" w:type="dxa"/>
            <w:gridSpan w:val="9"/>
          </w:tcPr>
          <w:p w14:paraId="0E4F7B52" w14:textId="77777777" w:rsidR="00CB33C7" w:rsidRPr="00C2587D" w:rsidRDefault="00CB33C7" w:rsidP="00EA6E27">
            <w:pPr>
              <w:spacing w:before="40" w:after="40"/>
              <w:rPr>
                <w:lang w:eastAsia="it-IT"/>
              </w:rPr>
            </w:pPr>
            <w:r w:rsidRPr="00C2587D">
              <w:rPr>
                <w:lang w:eastAsia="it-IT"/>
              </w:rPr>
              <w:t xml:space="preserve">Мешканці будинку </w:t>
            </w:r>
            <w:r w:rsidRPr="00C2587D">
              <w:rPr>
                <w:rFonts w:eastAsia="Arial"/>
                <w:lang w:eastAsia="en-US"/>
              </w:rPr>
              <w:t>по вул. Горького, 3 та вул. Грушевського, 8</w:t>
            </w:r>
            <w:r w:rsidRPr="00C2587D">
              <w:rPr>
                <w:rFonts w:eastAsia="Arial"/>
                <w:b/>
                <w:lang w:eastAsia="en-US"/>
              </w:rPr>
              <w:t xml:space="preserve"> </w:t>
            </w:r>
            <w:r w:rsidRPr="00C2587D">
              <w:rPr>
                <w:rFonts w:eastAsia="Arial"/>
                <w:lang w:eastAsia="en-US"/>
              </w:rPr>
              <w:t>та жителі довколишніх будинків</w:t>
            </w:r>
            <w:r w:rsidRPr="00C2587D">
              <w:rPr>
                <w:rFonts w:eastAsia="Arial"/>
                <w:b/>
                <w:lang w:eastAsia="en-US"/>
              </w:rPr>
              <w:t xml:space="preserve"> </w:t>
            </w:r>
            <w:r w:rsidRPr="00C2587D">
              <w:rPr>
                <w:lang w:eastAsia="it-IT"/>
              </w:rPr>
              <w:t xml:space="preserve">в кількості 500 осіб </w:t>
            </w:r>
          </w:p>
        </w:tc>
      </w:tr>
      <w:tr w:rsidR="00CB33C7" w:rsidRPr="00C2587D" w14:paraId="11842CBF" w14:textId="77777777" w:rsidTr="00EA6E27">
        <w:trPr>
          <w:jc w:val="right"/>
        </w:trPr>
        <w:tc>
          <w:tcPr>
            <w:tcW w:w="3425" w:type="dxa"/>
            <w:shd w:val="clear" w:color="auto" w:fill="FFFFFF"/>
            <w:vAlign w:val="center"/>
          </w:tcPr>
          <w:p w14:paraId="565FF05A" w14:textId="77777777" w:rsidR="00CB33C7" w:rsidRPr="00C2587D" w:rsidRDefault="00CB33C7" w:rsidP="00EA6E27">
            <w:pPr>
              <w:rPr>
                <w:rFonts w:cs="Arial"/>
                <w:b/>
                <w:bCs/>
                <w:color w:val="000000"/>
                <w:szCs w:val="22"/>
              </w:rPr>
            </w:pPr>
            <w:r w:rsidRPr="00C2587D">
              <w:rPr>
                <w:rFonts w:cs="Arial"/>
                <w:b/>
                <w:bCs/>
                <w:color w:val="000000"/>
                <w:szCs w:val="22"/>
              </w:rPr>
              <w:t>Стислий опис проєкту:</w:t>
            </w:r>
          </w:p>
        </w:tc>
        <w:tc>
          <w:tcPr>
            <w:tcW w:w="6794" w:type="dxa"/>
            <w:gridSpan w:val="9"/>
          </w:tcPr>
          <w:p w14:paraId="39948377" w14:textId="77777777" w:rsidR="00CB33C7" w:rsidRPr="00C2587D" w:rsidRDefault="00CB33C7" w:rsidP="008D588A">
            <w:pPr>
              <w:spacing w:before="40" w:after="40"/>
              <w:jc w:val="both"/>
              <w:rPr>
                <w:lang w:eastAsia="it-IT"/>
              </w:rPr>
            </w:pPr>
            <w:r w:rsidRPr="00C2587D">
              <w:rPr>
                <w:lang w:eastAsia="it-IT"/>
              </w:rPr>
              <w:t>Ремонт забезпечить гідні умови проживання для жителів багатоквартирного будинку,  що дасть необхідний простір для дозвілля, облаштування місць для смітників та доступність для маломобільних груп населення, гідний зовнішній вигляд, та позитивно відобразиться на умовах життя мешканців будинку.</w:t>
            </w:r>
          </w:p>
        </w:tc>
      </w:tr>
      <w:tr w:rsidR="00CB33C7" w:rsidRPr="00C2587D" w14:paraId="6CF49E13" w14:textId="77777777" w:rsidTr="00EA6E27">
        <w:trPr>
          <w:jc w:val="right"/>
        </w:trPr>
        <w:tc>
          <w:tcPr>
            <w:tcW w:w="3425" w:type="dxa"/>
            <w:shd w:val="clear" w:color="auto" w:fill="FFFFFF"/>
            <w:vAlign w:val="center"/>
          </w:tcPr>
          <w:p w14:paraId="16B55DED" w14:textId="77777777" w:rsidR="00CB33C7" w:rsidRPr="00C2587D" w:rsidRDefault="00CB33C7" w:rsidP="00EA6E27">
            <w:pPr>
              <w:rPr>
                <w:rFonts w:cs="Arial"/>
                <w:b/>
                <w:bCs/>
                <w:color w:val="000000"/>
                <w:szCs w:val="22"/>
              </w:rPr>
            </w:pPr>
            <w:r w:rsidRPr="00C2587D">
              <w:rPr>
                <w:rFonts w:cs="Arial"/>
                <w:b/>
                <w:bCs/>
                <w:color w:val="000000"/>
                <w:szCs w:val="22"/>
              </w:rPr>
              <w:t>Основні заходи проєкту:</w:t>
            </w:r>
          </w:p>
        </w:tc>
        <w:tc>
          <w:tcPr>
            <w:tcW w:w="6794" w:type="dxa"/>
            <w:gridSpan w:val="9"/>
          </w:tcPr>
          <w:p w14:paraId="46E10BF6" w14:textId="625A6B6D" w:rsidR="00CB33C7" w:rsidRPr="00C2587D" w:rsidRDefault="00CB33C7" w:rsidP="008D588A">
            <w:pPr>
              <w:spacing w:before="40" w:after="40"/>
              <w:jc w:val="both"/>
              <w:rPr>
                <w:lang w:eastAsia="it-IT"/>
              </w:rPr>
            </w:pPr>
            <w:r w:rsidRPr="00C2587D">
              <w:rPr>
                <w:lang w:eastAsia="it-IT"/>
              </w:rPr>
              <w:t xml:space="preserve">Створення робочої групи з питань реалізації </w:t>
            </w:r>
            <w:r w:rsidR="00314B9D">
              <w:rPr>
                <w:lang w:eastAsia="it-IT"/>
              </w:rPr>
              <w:t>проєкту</w:t>
            </w:r>
            <w:r w:rsidRPr="00C2587D">
              <w:rPr>
                <w:lang w:eastAsia="it-IT"/>
              </w:rPr>
              <w:t xml:space="preserve">. </w:t>
            </w:r>
          </w:p>
          <w:p w14:paraId="4294C56B" w14:textId="77777777" w:rsidR="00CB33C7" w:rsidRPr="00C2587D" w:rsidRDefault="00CB33C7" w:rsidP="008D588A">
            <w:pPr>
              <w:spacing w:before="40" w:after="40"/>
              <w:jc w:val="both"/>
              <w:rPr>
                <w:lang w:eastAsia="it-IT"/>
              </w:rPr>
            </w:pPr>
            <w:r w:rsidRPr="00C2587D">
              <w:rPr>
                <w:lang w:eastAsia="it-IT"/>
              </w:rPr>
              <w:t>Проведення процедури закупівель (визначення виконавця робіт).</w:t>
            </w:r>
          </w:p>
          <w:p w14:paraId="606666AC" w14:textId="77777777" w:rsidR="00CB33C7" w:rsidRPr="00C2587D" w:rsidRDefault="00CB33C7" w:rsidP="008D588A">
            <w:pPr>
              <w:spacing w:before="40" w:after="40"/>
              <w:jc w:val="both"/>
              <w:rPr>
                <w:lang w:eastAsia="it-IT"/>
              </w:rPr>
            </w:pPr>
            <w:r w:rsidRPr="00C2587D">
              <w:rPr>
                <w:lang w:eastAsia="it-IT"/>
              </w:rPr>
              <w:t>Укладення договорів з виконавцем робіт, організаціями, що здійснюватимуть  технічний та авторський  нагляд .</w:t>
            </w:r>
          </w:p>
          <w:p w14:paraId="537DB54A" w14:textId="77777777" w:rsidR="00CB33C7" w:rsidRPr="00C2587D" w:rsidRDefault="00CB33C7" w:rsidP="008D588A">
            <w:pPr>
              <w:spacing w:before="40" w:after="40"/>
              <w:jc w:val="both"/>
              <w:rPr>
                <w:lang w:eastAsia="it-IT"/>
              </w:rPr>
            </w:pPr>
            <w:r w:rsidRPr="00C2587D">
              <w:rPr>
                <w:lang w:eastAsia="it-IT"/>
              </w:rPr>
              <w:t xml:space="preserve">Виконання робіт з </w:t>
            </w:r>
            <w:r w:rsidRPr="00C2587D">
              <w:rPr>
                <w:rFonts w:eastAsia="Arial"/>
                <w:color w:val="000000" w:themeColor="text1"/>
                <w:lang w:eastAsia="en-US"/>
              </w:rPr>
              <w:t xml:space="preserve">капітального ремонту </w:t>
            </w:r>
            <w:r w:rsidRPr="00C2587D">
              <w:rPr>
                <w:rFonts w:eastAsia="Arial"/>
                <w:lang w:eastAsia="en-US"/>
              </w:rPr>
              <w:t>прибудинкових територій по вул. Горького, 3 та вул. Грушевського, 8 в м. Жмеринка Вінницької області</w:t>
            </w:r>
            <w:r w:rsidRPr="00C2587D">
              <w:rPr>
                <w:lang w:eastAsia="it-IT"/>
              </w:rPr>
              <w:t xml:space="preserve"> </w:t>
            </w:r>
          </w:p>
          <w:p w14:paraId="18A0CBCD" w14:textId="77777777" w:rsidR="00CB33C7" w:rsidRPr="00C2587D" w:rsidRDefault="00CB33C7" w:rsidP="008D588A">
            <w:pPr>
              <w:spacing w:before="40" w:after="40"/>
              <w:jc w:val="both"/>
              <w:rPr>
                <w:lang w:eastAsia="it-IT"/>
              </w:rPr>
            </w:pPr>
            <w:r w:rsidRPr="00C2587D">
              <w:rPr>
                <w:lang w:eastAsia="it-IT"/>
              </w:rPr>
              <w:t>Введення  об’єкту в експлуатацію .</w:t>
            </w:r>
          </w:p>
          <w:p w14:paraId="6BB72ADF" w14:textId="1B18B48F" w:rsidR="00CB33C7" w:rsidRPr="00C2587D" w:rsidRDefault="00CB33C7" w:rsidP="008D588A">
            <w:pPr>
              <w:spacing w:before="40" w:after="40"/>
              <w:jc w:val="both"/>
              <w:rPr>
                <w:sz w:val="16"/>
                <w:szCs w:val="16"/>
                <w:lang w:eastAsia="it-IT"/>
              </w:rPr>
            </w:pPr>
            <w:r w:rsidRPr="00C2587D">
              <w:rPr>
                <w:lang w:eastAsia="it-IT"/>
              </w:rPr>
              <w:t xml:space="preserve">Проведення інформаційних заходів (розміщення  інформації  про реалізацію  </w:t>
            </w:r>
            <w:r w:rsidR="00314B9D">
              <w:rPr>
                <w:lang w:eastAsia="it-IT"/>
              </w:rPr>
              <w:t>проєкту</w:t>
            </w:r>
            <w:r w:rsidRPr="00C2587D">
              <w:rPr>
                <w:lang w:eastAsia="it-IT"/>
              </w:rPr>
              <w:t xml:space="preserve"> у ЗМІ) .</w:t>
            </w:r>
          </w:p>
        </w:tc>
      </w:tr>
      <w:tr w:rsidR="00CB33C7" w:rsidRPr="00C2587D" w14:paraId="4AAE968D" w14:textId="77777777" w:rsidTr="00EA6E27">
        <w:trPr>
          <w:jc w:val="right"/>
        </w:trPr>
        <w:tc>
          <w:tcPr>
            <w:tcW w:w="3425" w:type="dxa"/>
            <w:shd w:val="clear" w:color="auto" w:fill="FFFFFF"/>
            <w:vAlign w:val="center"/>
          </w:tcPr>
          <w:p w14:paraId="7F6142D9" w14:textId="77777777" w:rsidR="00CB33C7" w:rsidRPr="00C2587D" w:rsidRDefault="00CB33C7" w:rsidP="00EA6E27">
            <w:pPr>
              <w:rPr>
                <w:rFonts w:cs="Arial"/>
                <w:b/>
                <w:bCs/>
                <w:color w:val="000000"/>
                <w:szCs w:val="22"/>
              </w:rPr>
            </w:pPr>
            <w:r w:rsidRPr="00C2587D">
              <w:rPr>
                <w:rFonts w:cs="Arial"/>
                <w:b/>
                <w:bCs/>
                <w:color w:val="000000"/>
                <w:szCs w:val="22"/>
              </w:rPr>
              <w:t>Індикатори (показники) результативності:</w:t>
            </w:r>
          </w:p>
        </w:tc>
        <w:tc>
          <w:tcPr>
            <w:tcW w:w="6794" w:type="dxa"/>
            <w:gridSpan w:val="9"/>
          </w:tcPr>
          <w:p w14:paraId="514E7A17" w14:textId="77777777" w:rsidR="00CB33C7" w:rsidRPr="00C2587D" w:rsidRDefault="00CB33C7" w:rsidP="008D588A">
            <w:pPr>
              <w:spacing w:before="40" w:after="40"/>
              <w:jc w:val="both"/>
              <w:rPr>
                <w:sz w:val="16"/>
                <w:szCs w:val="16"/>
                <w:lang w:eastAsia="it-IT"/>
              </w:rPr>
            </w:pPr>
            <w:r w:rsidRPr="00C2587D">
              <w:rPr>
                <w:rFonts w:eastAsia="Arial"/>
                <w:lang w:eastAsia="en-US"/>
              </w:rPr>
              <w:t>Площа території яка підлягає під реконструкцію: 18049 м</w:t>
            </w:r>
            <w:r w:rsidRPr="00C2587D">
              <w:rPr>
                <w:rFonts w:eastAsia="Arial"/>
                <w:vertAlign w:val="superscript"/>
                <w:lang w:eastAsia="en-US"/>
              </w:rPr>
              <w:t>2</w:t>
            </w:r>
          </w:p>
        </w:tc>
      </w:tr>
      <w:tr w:rsidR="00CB33C7" w:rsidRPr="00C2587D" w14:paraId="21FB6DE6" w14:textId="77777777" w:rsidTr="00EA6E27">
        <w:trPr>
          <w:jc w:val="right"/>
        </w:trPr>
        <w:tc>
          <w:tcPr>
            <w:tcW w:w="3425" w:type="dxa"/>
            <w:shd w:val="clear" w:color="auto" w:fill="FFFFFF"/>
            <w:vAlign w:val="center"/>
          </w:tcPr>
          <w:p w14:paraId="26D28307" w14:textId="77777777" w:rsidR="00CB33C7" w:rsidRPr="00C2587D" w:rsidRDefault="00CB33C7" w:rsidP="00EA6E27">
            <w:pPr>
              <w:rPr>
                <w:rFonts w:cs="Arial"/>
                <w:b/>
                <w:color w:val="000000"/>
                <w:szCs w:val="22"/>
              </w:rPr>
            </w:pPr>
            <w:r w:rsidRPr="00C2587D">
              <w:rPr>
                <w:rFonts w:cs="Arial"/>
                <w:b/>
                <w:color w:val="000000"/>
                <w:szCs w:val="22"/>
              </w:rPr>
              <w:t xml:space="preserve">Період здійснення: </w:t>
            </w:r>
          </w:p>
        </w:tc>
        <w:tc>
          <w:tcPr>
            <w:tcW w:w="6794" w:type="dxa"/>
            <w:gridSpan w:val="9"/>
            <w:vAlign w:val="center"/>
          </w:tcPr>
          <w:p w14:paraId="74F97B48" w14:textId="77777777" w:rsidR="00CB33C7" w:rsidRPr="00C2587D" w:rsidRDefault="00CB33C7" w:rsidP="00EA6E27">
            <w:pPr>
              <w:rPr>
                <w:rFonts w:cs="Arial"/>
                <w:color w:val="000000"/>
                <w:szCs w:val="22"/>
                <w:lang w:eastAsia="it-IT"/>
              </w:rPr>
            </w:pPr>
            <w:r w:rsidRPr="00C2587D">
              <w:rPr>
                <w:rFonts w:cs="Arial"/>
                <w:b/>
                <w:color w:val="000000"/>
                <w:szCs w:val="22"/>
              </w:rPr>
              <w:t>2025 – 2028 роки:</w:t>
            </w:r>
          </w:p>
        </w:tc>
      </w:tr>
      <w:tr w:rsidR="00CB33C7" w:rsidRPr="00C2587D" w14:paraId="41CFAD07" w14:textId="77777777" w:rsidTr="00EA6E27">
        <w:trPr>
          <w:jc w:val="right"/>
        </w:trPr>
        <w:tc>
          <w:tcPr>
            <w:tcW w:w="3425" w:type="dxa"/>
            <w:vMerge w:val="restart"/>
            <w:shd w:val="clear" w:color="auto" w:fill="FFFFFF"/>
            <w:vAlign w:val="center"/>
          </w:tcPr>
          <w:p w14:paraId="45B3C408" w14:textId="77777777" w:rsidR="00CB33C7" w:rsidRPr="00C2587D" w:rsidRDefault="00CB33C7" w:rsidP="00EA6E27">
            <w:pPr>
              <w:rPr>
                <w:rFonts w:cs="Arial"/>
                <w:b/>
                <w:bCs/>
                <w:color w:val="000000"/>
                <w:szCs w:val="22"/>
              </w:rPr>
            </w:pPr>
            <w:r w:rsidRPr="00C2587D">
              <w:rPr>
                <w:rFonts w:cs="Arial"/>
                <w:b/>
                <w:bCs/>
                <w:color w:val="000000"/>
                <w:szCs w:val="22"/>
              </w:rPr>
              <w:t>Орієнтовна вартість проєкту, тис. грн., в тому числі:</w:t>
            </w:r>
          </w:p>
        </w:tc>
        <w:tc>
          <w:tcPr>
            <w:tcW w:w="1254" w:type="dxa"/>
            <w:gridSpan w:val="2"/>
            <w:shd w:val="clear" w:color="auto" w:fill="E6E6E6"/>
            <w:vAlign w:val="center"/>
          </w:tcPr>
          <w:p w14:paraId="1C743895" w14:textId="77777777" w:rsidR="00CB33C7" w:rsidRPr="00C2587D" w:rsidRDefault="00CB33C7" w:rsidP="00EA6E27">
            <w:pPr>
              <w:jc w:val="center"/>
              <w:rPr>
                <w:rFonts w:cs="Arial"/>
                <w:b/>
                <w:color w:val="000000"/>
                <w:szCs w:val="22"/>
                <w:lang w:eastAsia="it-IT"/>
              </w:rPr>
            </w:pPr>
            <w:r w:rsidRPr="00C2587D">
              <w:rPr>
                <w:rFonts w:cs="Arial"/>
                <w:b/>
                <w:color w:val="000000"/>
                <w:szCs w:val="22"/>
                <w:lang w:eastAsia="it-IT"/>
              </w:rPr>
              <w:t>2025</w:t>
            </w:r>
          </w:p>
        </w:tc>
        <w:tc>
          <w:tcPr>
            <w:tcW w:w="1412" w:type="dxa"/>
            <w:gridSpan w:val="2"/>
            <w:shd w:val="clear" w:color="auto" w:fill="E6E6E6"/>
            <w:vAlign w:val="center"/>
          </w:tcPr>
          <w:p w14:paraId="31AB5F28" w14:textId="77777777" w:rsidR="00CB33C7" w:rsidRPr="00C2587D" w:rsidRDefault="00CB33C7" w:rsidP="00EA6E27">
            <w:pPr>
              <w:jc w:val="center"/>
              <w:rPr>
                <w:rFonts w:cs="Arial"/>
                <w:b/>
                <w:color w:val="000000"/>
                <w:szCs w:val="22"/>
                <w:lang w:eastAsia="it-IT"/>
              </w:rPr>
            </w:pPr>
            <w:r w:rsidRPr="00C2587D">
              <w:rPr>
                <w:rFonts w:cs="Arial"/>
                <w:b/>
                <w:color w:val="000000"/>
                <w:szCs w:val="22"/>
                <w:lang w:eastAsia="it-IT"/>
              </w:rPr>
              <w:t>2026</w:t>
            </w:r>
          </w:p>
        </w:tc>
        <w:tc>
          <w:tcPr>
            <w:tcW w:w="1281" w:type="dxa"/>
            <w:tcBorders>
              <w:bottom w:val="single" w:sz="4" w:space="0" w:color="auto"/>
            </w:tcBorders>
            <w:shd w:val="clear" w:color="auto" w:fill="E6E6E6"/>
            <w:vAlign w:val="center"/>
          </w:tcPr>
          <w:p w14:paraId="166E4FC2" w14:textId="77777777" w:rsidR="00CB33C7" w:rsidRPr="00C2587D" w:rsidRDefault="00CB33C7" w:rsidP="00EA6E27">
            <w:pPr>
              <w:jc w:val="center"/>
              <w:rPr>
                <w:rFonts w:cs="Arial"/>
                <w:b/>
                <w:color w:val="000000"/>
                <w:szCs w:val="22"/>
                <w:lang w:eastAsia="it-IT"/>
              </w:rPr>
            </w:pPr>
            <w:r w:rsidRPr="00C2587D">
              <w:rPr>
                <w:rFonts w:cs="Arial"/>
                <w:b/>
                <w:color w:val="000000"/>
                <w:szCs w:val="22"/>
                <w:lang w:eastAsia="it-IT"/>
              </w:rPr>
              <w:t>2027</w:t>
            </w:r>
          </w:p>
        </w:tc>
        <w:tc>
          <w:tcPr>
            <w:tcW w:w="1276" w:type="dxa"/>
            <w:gridSpan w:val="2"/>
            <w:shd w:val="clear" w:color="auto" w:fill="E6E6E6"/>
            <w:vAlign w:val="center"/>
          </w:tcPr>
          <w:p w14:paraId="20F6913B" w14:textId="77777777" w:rsidR="00CB33C7" w:rsidRPr="00C2587D" w:rsidRDefault="00CB33C7" w:rsidP="00EA6E27">
            <w:pPr>
              <w:jc w:val="center"/>
              <w:rPr>
                <w:rFonts w:cs="Arial"/>
                <w:b/>
                <w:color w:val="000000"/>
                <w:szCs w:val="22"/>
                <w:lang w:eastAsia="it-IT"/>
              </w:rPr>
            </w:pPr>
            <w:r w:rsidRPr="00C2587D">
              <w:rPr>
                <w:rFonts w:cs="Arial"/>
                <w:b/>
                <w:color w:val="000000"/>
                <w:szCs w:val="22"/>
                <w:lang w:eastAsia="it-IT"/>
              </w:rPr>
              <w:t>2028</w:t>
            </w:r>
          </w:p>
        </w:tc>
        <w:tc>
          <w:tcPr>
            <w:tcW w:w="1571" w:type="dxa"/>
            <w:gridSpan w:val="2"/>
            <w:shd w:val="clear" w:color="auto" w:fill="E6E6E6"/>
            <w:vAlign w:val="center"/>
          </w:tcPr>
          <w:p w14:paraId="2E2E506A" w14:textId="77777777" w:rsidR="00CB33C7" w:rsidRPr="00C2587D" w:rsidRDefault="00CB33C7" w:rsidP="00EA6E27">
            <w:pPr>
              <w:jc w:val="center"/>
              <w:rPr>
                <w:rFonts w:cs="Arial"/>
                <w:b/>
                <w:color w:val="000000"/>
                <w:szCs w:val="22"/>
                <w:lang w:eastAsia="it-IT"/>
              </w:rPr>
            </w:pPr>
            <w:r w:rsidRPr="00C2587D">
              <w:rPr>
                <w:rFonts w:cs="Arial"/>
                <w:b/>
                <w:color w:val="000000"/>
                <w:szCs w:val="22"/>
                <w:lang w:eastAsia="it-IT"/>
              </w:rPr>
              <w:t>РАЗОМ</w:t>
            </w:r>
          </w:p>
        </w:tc>
      </w:tr>
      <w:tr w:rsidR="00CB33C7" w:rsidRPr="00C2587D" w14:paraId="3DF30DDA" w14:textId="77777777" w:rsidTr="008D588A">
        <w:trPr>
          <w:jc w:val="right"/>
        </w:trPr>
        <w:tc>
          <w:tcPr>
            <w:tcW w:w="3425" w:type="dxa"/>
            <w:vMerge/>
            <w:shd w:val="clear" w:color="auto" w:fill="FFFFFF"/>
            <w:vAlign w:val="center"/>
          </w:tcPr>
          <w:p w14:paraId="572DBA10" w14:textId="77777777" w:rsidR="00CB33C7" w:rsidRPr="00C2587D" w:rsidRDefault="00CB33C7" w:rsidP="00EA6E27">
            <w:pPr>
              <w:rPr>
                <w:rFonts w:cs="Arial"/>
                <w:b/>
                <w:bCs/>
                <w:color w:val="000000"/>
                <w:szCs w:val="22"/>
              </w:rPr>
            </w:pPr>
          </w:p>
        </w:tc>
        <w:tc>
          <w:tcPr>
            <w:tcW w:w="1254" w:type="dxa"/>
            <w:gridSpan w:val="2"/>
            <w:vAlign w:val="center"/>
          </w:tcPr>
          <w:p w14:paraId="1047CD75" w14:textId="77777777" w:rsidR="00CB33C7" w:rsidRPr="00C2587D" w:rsidRDefault="00CB33C7" w:rsidP="00EA6E27">
            <w:pPr>
              <w:jc w:val="center"/>
              <w:rPr>
                <w:rFonts w:cs="Arial"/>
                <w:b/>
                <w:color w:val="000000"/>
                <w:szCs w:val="22"/>
                <w:lang w:eastAsia="it-IT"/>
              </w:rPr>
            </w:pPr>
          </w:p>
        </w:tc>
        <w:tc>
          <w:tcPr>
            <w:tcW w:w="1412" w:type="dxa"/>
            <w:gridSpan w:val="2"/>
            <w:shd w:val="clear" w:color="auto" w:fill="FFFFFF"/>
            <w:vAlign w:val="center"/>
          </w:tcPr>
          <w:p w14:paraId="2DA1CC95" w14:textId="77777777" w:rsidR="00CB33C7" w:rsidRPr="00C2587D" w:rsidRDefault="00CB33C7" w:rsidP="008D588A">
            <w:pPr>
              <w:jc w:val="center"/>
              <w:rPr>
                <w:rFonts w:cs="Arial"/>
                <w:b/>
                <w:color w:val="000000"/>
                <w:szCs w:val="22"/>
                <w:lang w:eastAsia="it-IT"/>
              </w:rPr>
            </w:pPr>
            <w:r w:rsidRPr="00C2587D">
              <w:rPr>
                <w:rFonts w:cs="Arial"/>
                <w:b/>
                <w:color w:val="000000"/>
                <w:szCs w:val="22"/>
                <w:lang w:eastAsia="it-IT"/>
              </w:rPr>
              <w:t>1492,513</w:t>
            </w:r>
          </w:p>
        </w:tc>
        <w:tc>
          <w:tcPr>
            <w:tcW w:w="1281" w:type="dxa"/>
            <w:shd w:val="clear" w:color="auto" w:fill="auto"/>
            <w:vAlign w:val="center"/>
          </w:tcPr>
          <w:p w14:paraId="33324A1E" w14:textId="77777777" w:rsidR="00CB33C7" w:rsidRPr="00C2587D" w:rsidRDefault="00CB33C7" w:rsidP="008D588A">
            <w:pPr>
              <w:jc w:val="center"/>
              <w:rPr>
                <w:rFonts w:cs="Arial"/>
                <w:b/>
                <w:color w:val="000000"/>
                <w:szCs w:val="22"/>
                <w:lang w:eastAsia="it-IT"/>
              </w:rPr>
            </w:pPr>
          </w:p>
        </w:tc>
        <w:tc>
          <w:tcPr>
            <w:tcW w:w="1276" w:type="dxa"/>
            <w:gridSpan w:val="2"/>
            <w:shd w:val="clear" w:color="auto" w:fill="FFFFFF"/>
            <w:vAlign w:val="center"/>
          </w:tcPr>
          <w:p w14:paraId="2B524082" w14:textId="77777777" w:rsidR="00CB33C7" w:rsidRPr="00C2587D" w:rsidRDefault="00CB33C7" w:rsidP="008D588A">
            <w:pPr>
              <w:jc w:val="center"/>
              <w:rPr>
                <w:rFonts w:cs="Arial"/>
                <w:b/>
                <w:color w:val="000000"/>
                <w:szCs w:val="22"/>
                <w:lang w:eastAsia="it-IT"/>
              </w:rPr>
            </w:pPr>
          </w:p>
        </w:tc>
        <w:tc>
          <w:tcPr>
            <w:tcW w:w="1571" w:type="dxa"/>
            <w:gridSpan w:val="2"/>
            <w:shd w:val="clear" w:color="auto" w:fill="FFFFFF"/>
            <w:vAlign w:val="center"/>
          </w:tcPr>
          <w:p w14:paraId="0D818C61" w14:textId="77777777" w:rsidR="00CB33C7" w:rsidRPr="00C2587D" w:rsidRDefault="00CB33C7" w:rsidP="008D588A">
            <w:pPr>
              <w:jc w:val="center"/>
              <w:rPr>
                <w:rFonts w:cs="Arial"/>
                <w:b/>
                <w:color w:val="000000"/>
                <w:szCs w:val="22"/>
                <w:lang w:eastAsia="it-IT"/>
              </w:rPr>
            </w:pPr>
            <w:r w:rsidRPr="00C2587D">
              <w:rPr>
                <w:rFonts w:cs="Arial"/>
                <w:b/>
                <w:color w:val="000000"/>
                <w:szCs w:val="22"/>
                <w:lang w:eastAsia="it-IT"/>
              </w:rPr>
              <w:t>1492,513</w:t>
            </w:r>
          </w:p>
        </w:tc>
      </w:tr>
      <w:tr w:rsidR="00CB33C7" w:rsidRPr="00C2587D" w14:paraId="0BD741C7" w14:textId="77777777" w:rsidTr="008D588A">
        <w:trPr>
          <w:trHeight w:val="276"/>
          <w:jc w:val="right"/>
        </w:trPr>
        <w:tc>
          <w:tcPr>
            <w:tcW w:w="3425" w:type="dxa"/>
            <w:shd w:val="clear" w:color="auto" w:fill="FFFFFF"/>
            <w:vAlign w:val="center"/>
          </w:tcPr>
          <w:p w14:paraId="306728E8" w14:textId="77777777" w:rsidR="00CB33C7" w:rsidRPr="00C2587D" w:rsidRDefault="00CB33C7" w:rsidP="00EA6E27">
            <w:pPr>
              <w:rPr>
                <w:rFonts w:cs="Arial"/>
                <w:b/>
                <w:bCs/>
                <w:color w:val="000000"/>
                <w:szCs w:val="22"/>
              </w:rPr>
            </w:pPr>
            <w:r w:rsidRPr="00C2587D">
              <w:rPr>
                <w:rFonts w:cs="Arial"/>
                <w:b/>
                <w:bCs/>
                <w:color w:val="000000"/>
                <w:szCs w:val="22"/>
              </w:rPr>
              <w:t>по джерелах фінансування:</w:t>
            </w:r>
          </w:p>
        </w:tc>
        <w:tc>
          <w:tcPr>
            <w:tcW w:w="6794" w:type="dxa"/>
            <w:gridSpan w:val="9"/>
            <w:vAlign w:val="center"/>
          </w:tcPr>
          <w:p w14:paraId="0099156A" w14:textId="77777777" w:rsidR="00CB33C7" w:rsidRPr="00C2587D" w:rsidRDefault="00CB33C7" w:rsidP="008D588A">
            <w:pPr>
              <w:jc w:val="center"/>
              <w:rPr>
                <w:rFonts w:cs="Arial"/>
                <w:color w:val="000000"/>
                <w:szCs w:val="22"/>
                <w:lang w:eastAsia="it-IT"/>
              </w:rPr>
            </w:pPr>
          </w:p>
        </w:tc>
      </w:tr>
      <w:tr w:rsidR="008D588A" w:rsidRPr="00C2587D" w14:paraId="32B087E8" w14:textId="5A30EBEE" w:rsidTr="008D588A">
        <w:trPr>
          <w:trHeight w:val="240"/>
          <w:jc w:val="right"/>
        </w:trPr>
        <w:tc>
          <w:tcPr>
            <w:tcW w:w="3425" w:type="dxa"/>
            <w:shd w:val="clear" w:color="auto" w:fill="FFFFFF"/>
            <w:vAlign w:val="center"/>
          </w:tcPr>
          <w:p w14:paraId="5C032098" w14:textId="77777777" w:rsidR="008D588A" w:rsidRPr="00C2587D" w:rsidRDefault="008D588A" w:rsidP="00EA6E27">
            <w:pPr>
              <w:rPr>
                <w:rFonts w:cs="Arial"/>
                <w:b/>
                <w:bCs/>
                <w:color w:val="000000"/>
                <w:szCs w:val="22"/>
              </w:rPr>
            </w:pPr>
            <w:r w:rsidRPr="00C2587D">
              <w:rPr>
                <w:rFonts w:cs="Arial"/>
                <w:color w:val="000000"/>
                <w:szCs w:val="22"/>
              </w:rPr>
              <w:t>- державний бюджет</w:t>
            </w:r>
          </w:p>
        </w:tc>
        <w:tc>
          <w:tcPr>
            <w:tcW w:w="1240" w:type="dxa"/>
            <w:vAlign w:val="center"/>
          </w:tcPr>
          <w:p w14:paraId="7F06607D" w14:textId="77777777" w:rsidR="008D588A" w:rsidRPr="00C2587D" w:rsidRDefault="008D588A" w:rsidP="00EA6E27">
            <w:pPr>
              <w:jc w:val="both"/>
              <w:rPr>
                <w:rFonts w:cs="Arial"/>
                <w:color w:val="000000"/>
                <w:szCs w:val="22"/>
                <w:lang w:eastAsia="it-IT"/>
              </w:rPr>
            </w:pPr>
          </w:p>
        </w:tc>
        <w:tc>
          <w:tcPr>
            <w:tcW w:w="1390" w:type="dxa"/>
            <w:gridSpan w:val="2"/>
            <w:vAlign w:val="center"/>
          </w:tcPr>
          <w:p w14:paraId="0DFF8239" w14:textId="77777777" w:rsidR="008D588A" w:rsidRPr="00C2587D" w:rsidRDefault="008D588A" w:rsidP="008D588A">
            <w:pPr>
              <w:jc w:val="center"/>
              <w:rPr>
                <w:rFonts w:cs="Arial"/>
                <w:color w:val="000000"/>
                <w:szCs w:val="22"/>
                <w:lang w:eastAsia="it-IT"/>
              </w:rPr>
            </w:pPr>
          </w:p>
        </w:tc>
        <w:tc>
          <w:tcPr>
            <w:tcW w:w="1377" w:type="dxa"/>
            <w:gridSpan w:val="3"/>
            <w:vAlign w:val="center"/>
          </w:tcPr>
          <w:p w14:paraId="1C057617" w14:textId="77777777" w:rsidR="008D588A" w:rsidRPr="00C2587D" w:rsidRDefault="008D588A" w:rsidP="008D588A">
            <w:pPr>
              <w:jc w:val="center"/>
              <w:rPr>
                <w:rFonts w:cs="Arial"/>
                <w:color w:val="000000"/>
                <w:szCs w:val="22"/>
                <w:lang w:eastAsia="it-IT"/>
              </w:rPr>
            </w:pPr>
          </w:p>
        </w:tc>
        <w:tc>
          <w:tcPr>
            <w:tcW w:w="1240" w:type="dxa"/>
            <w:gridSpan w:val="2"/>
            <w:vAlign w:val="center"/>
          </w:tcPr>
          <w:p w14:paraId="2B1920BD" w14:textId="77777777" w:rsidR="008D588A" w:rsidRPr="00C2587D" w:rsidRDefault="008D588A" w:rsidP="008D588A">
            <w:pPr>
              <w:jc w:val="center"/>
              <w:rPr>
                <w:rFonts w:cs="Arial"/>
                <w:color w:val="000000"/>
                <w:szCs w:val="22"/>
                <w:lang w:eastAsia="it-IT"/>
              </w:rPr>
            </w:pPr>
          </w:p>
        </w:tc>
        <w:tc>
          <w:tcPr>
            <w:tcW w:w="1547" w:type="dxa"/>
            <w:vAlign w:val="center"/>
          </w:tcPr>
          <w:p w14:paraId="21D7DD75" w14:textId="77777777" w:rsidR="008D588A" w:rsidRPr="00C2587D" w:rsidRDefault="008D588A" w:rsidP="008D588A">
            <w:pPr>
              <w:jc w:val="center"/>
              <w:rPr>
                <w:rFonts w:cs="Arial"/>
                <w:color w:val="000000"/>
                <w:szCs w:val="22"/>
                <w:lang w:eastAsia="it-IT"/>
              </w:rPr>
            </w:pPr>
          </w:p>
        </w:tc>
      </w:tr>
      <w:tr w:rsidR="008D588A" w:rsidRPr="00C2587D" w14:paraId="08338858" w14:textId="54A97C58" w:rsidTr="008D588A">
        <w:trPr>
          <w:trHeight w:val="254"/>
          <w:jc w:val="right"/>
        </w:trPr>
        <w:tc>
          <w:tcPr>
            <w:tcW w:w="3425" w:type="dxa"/>
            <w:shd w:val="clear" w:color="auto" w:fill="FFFFFF"/>
            <w:vAlign w:val="center"/>
          </w:tcPr>
          <w:p w14:paraId="395AA9B8" w14:textId="77777777" w:rsidR="008D588A" w:rsidRPr="00C2587D" w:rsidRDefault="008D588A" w:rsidP="00EA6E27">
            <w:pPr>
              <w:rPr>
                <w:rFonts w:cs="Arial"/>
                <w:color w:val="000000"/>
                <w:szCs w:val="22"/>
              </w:rPr>
            </w:pPr>
            <w:r w:rsidRPr="00C2587D">
              <w:rPr>
                <w:rFonts w:cs="Arial"/>
                <w:color w:val="000000"/>
                <w:szCs w:val="22"/>
              </w:rPr>
              <w:t>- обласний бюджет</w:t>
            </w:r>
          </w:p>
        </w:tc>
        <w:tc>
          <w:tcPr>
            <w:tcW w:w="1240" w:type="dxa"/>
            <w:vAlign w:val="center"/>
          </w:tcPr>
          <w:p w14:paraId="662DDAE6" w14:textId="77777777" w:rsidR="008D588A" w:rsidRPr="00C2587D" w:rsidRDefault="008D588A" w:rsidP="00EA6E27">
            <w:pPr>
              <w:jc w:val="both"/>
              <w:rPr>
                <w:rFonts w:cs="Arial"/>
                <w:color w:val="000000"/>
                <w:szCs w:val="22"/>
                <w:lang w:eastAsia="it-IT"/>
              </w:rPr>
            </w:pPr>
          </w:p>
        </w:tc>
        <w:tc>
          <w:tcPr>
            <w:tcW w:w="1390" w:type="dxa"/>
            <w:gridSpan w:val="2"/>
            <w:vAlign w:val="center"/>
          </w:tcPr>
          <w:p w14:paraId="08EA69D8" w14:textId="77777777" w:rsidR="008D588A" w:rsidRPr="00C2587D" w:rsidRDefault="008D588A" w:rsidP="008D588A">
            <w:pPr>
              <w:jc w:val="center"/>
              <w:rPr>
                <w:rFonts w:cs="Arial"/>
                <w:color w:val="000000"/>
                <w:szCs w:val="22"/>
                <w:lang w:eastAsia="it-IT"/>
              </w:rPr>
            </w:pPr>
          </w:p>
        </w:tc>
        <w:tc>
          <w:tcPr>
            <w:tcW w:w="1377" w:type="dxa"/>
            <w:gridSpan w:val="3"/>
            <w:vAlign w:val="center"/>
          </w:tcPr>
          <w:p w14:paraId="2CA7D12A" w14:textId="77777777" w:rsidR="008D588A" w:rsidRPr="00C2587D" w:rsidRDefault="008D588A" w:rsidP="008D588A">
            <w:pPr>
              <w:jc w:val="center"/>
              <w:rPr>
                <w:rFonts w:cs="Arial"/>
                <w:color w:val="000000"/>
                <w:szCs w:val="22"/>
                <w:lang w:eastAsia="it-IT"/>
              </w:rPr>
            </w:pPr>
          </w:p>
        </w:tc>
        <w:tc>
          <w:tcPr>
            <w:tcW w:w="1240" w:type="dxa"/>
            <w:gridSpan w:val="2"/>
            <w:vAlign w:val="center"/>
          </w:tcPr>
          <w:p w14:paraId="4E78F9CF" w14:textId="77777777" w:rsidR="008D588A" w:rsidRPr="00C2587D" w:rsidRDefault="008D588A" w:rsidP="008D588A">
            <w:pPr>
              <w:jc w:val="center"/>
              <w:rPr>
                <w:rFonts w:cs="Arial"/>
                <w:color w:val="000000"/>
                <w:szCs w:val="22"/>
                <w:lang w:eastAsia="it-IT"/>
              </w:rPr>
            </w:pPr>
          </w:p>
        </w:tc>
        <w:tc>
          <w:tcPr>
            <w:tcW w:w="1547" w:type="dxa"/>
            <w:vAlign w:val="center"/>
          </w:tcPr>
          <w:p w14:paraId="05142ADE" w14:textId="77777777" w:rsidR="008D588A" w:rsidRPr="00C2587D" w:rsidRDefault="008D588A" w:rsidP="008D588A">
            <w:pPr>
              <w:jc w:val="center"/>
              <w:rPr>
                <w:rFonts w:cs="Arial"/>
                <w:color w:val="000000"/>
                <w:szCs w:val="22"/>
                <w:lang w:eastAsia="it-IT"/>
              </w:rPr>
            </w:pPr>
          </w:p>
        </w:tc>
      </w:tr>
      <w:tr w:rsidR="008D588A" w:rsidRPr="00C2587D" w14:paraId="1FC161F5" w14:textId="43F4F24D" w:rsidTr="008D588A">
        <w:trPr>
          <w:trHeight w:val="275"/>
          <w:jc w:val="right"/>
        </w:trPr>
        <w:tc>
          <w:tcPr>
            <w:tcW w:w="3425" w:type="dxa"/>
            <w:shd w:val="clear" w:color="auto" w:fill="FFFFFF"/>
            <w:vAlign w:val="center"/>
          </w:tcPr>
          <w:p w14:paraId="3C0242D4" w14:textId="77777777" w:rsidR="008D588A" w:rsidRPr="00C2587D" w:rsidRDefault="008D588A" w:rsidP="00EA6E27">
            <w:pPr>
              <w:rPr>
                <w:rFonts w:cs="Arial"/>
                <w:color w:val="000000"/>
                <w:szCs w:val="22"/>
              </w:rPr>
            </w:pPr>
            <w:r w:rsidRPr="00C2587D">
              <w:rPr>
                <w:rFonts w:cs="Arial"/>
                <w:color w:val="000000"/>
                <w:szCs w:val="22"/>
              </w:rPr>
              <w:t>- бюджет Жмеринської МТГ</w:t>
            </w:r>
          </w:p>
        </w:tc>
        <w:tc>
          <w:tcPr>
            <w:tcW w:w="1240" w:type="dxa"/>
            <w:vAlign w:val="center"/>
          </w:tcPr>
          <w:p w14:paraId="3DCA94F5" w14:textId="1A2EA40E" w:rsidR="008D588A" w:rsidRPr="00C2587D" w:rsidRDefault="008D588A" w:rsidP="00EA6E27">
            <w:pPr>
              <w:jc w:val="both"/>
              <w:rPr>
                <w:rFonts w:cs="Arial"/>
                <w:color w:val="000000"/>
                <w:szCs w:val="22"/>
                <w:lang w:eastAsia="it-IT"/>
              </w:rPr>
            </w:pPr>
          </w:p>
        </w:tc>
        <w:tc>
          <w:tcPr>
            <w:tcW w:w="1390" w:type="dxa"/>
            <w:gridSpan w:val="2"/>
            <w:vAlign w:val="center"/>
          </w:tcPr>
          <w:p w14:paraId="04A74E2A" w14:textId="22CFD517" w:rsidR="008D588A" w:rsidRPr="00C2587D" w:rsidRDefault="008D588A" w:rsidP="008D588A">
            <w:pPr>
              <w:jc w:val="center"/>
              <w:rPr>
                <w:rFonts w:cs="Arial"/>
                <w:color w:val="000000"/>
                <w:szCs w:val="22"/>
                <w:lang w:eastAsia="it-IT"/>
              </w:rPr>
            </w:pPr>
            <w:r w:rsidRPr="00C2587D">
              <w:rPr>
                <w:rFonts w:cs="Arial"/>
                <w:color w:val="000000"/>
                <w:szCs w:val="22"/>
                <w:lang w:eastAsia="it-IT"/>
              </w:rPr>
              <w:t>1492,513</w:t>
            </w:r>
          </w:p>
        </w:tc>
        <w:tc>
          <w:tcPr>
            <w:tcW w:w="1377" w:type="dxa"/>
            <w:gridSpan w:val="3"/>
            <w:vAlign w:val="center"/>
          </w:tcPr>
          <w:p w14:paraId="549D713E" w14:textId="77777777" w:rsidR="008D588A" w:rsidRPr="00C2587D" w:rsidRDefault="008D588A" w:rsidP="008D588A">
            <w:pPr>
              <w:jc w:val="center"/>
              <w:rPr>
                <w:rFonts w:cs="Arial"/>
                <w:color w:val="000000"/>
                <w:szCs w:val="22"/>
                <w:lang w:eastAsia="it-IT"/>
              </w:rPr>
            </w:pPr>
          </w:p>
        </w:tc>
        <w:tc>
          <w:tcPr>
            <w:tcW w:w="1240" w:type="dxa"/>
            <w:gridSpan w:val="2"/>
            <w:vAlign w:val="center"/>
          </w:tcPr>
          <w:p w14:paraId="0360AF15" w14:textId="77777777" w:rsidR="008D588A" w:rsidRPr="00C2587D" w:rsidRDefault="008D588A" w:rsidP="008D588A">
            <w:pPr>
              <w:jc w:val="center"/>
              <w:rPr>
                <w:rFonts w:cs="Arial"/>
                <w:color w:val="000000"/>
                <w:szCs w:val="22"/>
                <w:lang w:eastAsia="it-IT"/>
              </w:rPr>
            </w:pPr>
          </w:p>
        </w:tc>
        <w:tc>
          <w:tcPr>
            <w:tcW w:w="1547" w:type="dxa"/>
            <w:vAlign w:val="center"/>
          </w:tcPr>
          <w:p w14:paraId="27004592" w14:textId="05438B01" w:rsidR="008D588A" w:rsidRPr="008D588A" w:rsidRDefault="008D588A" w:rsidP="008D588A">
            <w:pPr>
              <w:jc w:val="center"/>
              <w:rPr>
                <w:rFonts w:cs="Arial"/>
                <w:b/>
                <w:color w:val="000000"/>
                <w:szCs w:val="22"/>
                <w:lang w:eastAsia="it-IT"/>
              </w:rPr>
            </w:pPr>
            <w:r w:rsidRPr="008D588A">
              <w:rPr>
                <w:rFonts w:cs="Arial"/>
                <w:b/>
                <w:color w:val="000000"/>
                <w:szCs w:val="22"/>
                <w:lang w:eastAsia="it-IT"/>
              </w:rPr>
              <w:t>1492,513</w:t>
            </w:r>
          </w:p>
        </w:tc>
      </w:tr>
      <w:tr w:rsidR="008D588A" w:rsidRPr="00C2587D" w14:paraId="4E6F774D" w14:textId="02F5F6F2" w:rsidTr="008D588A">
        <w:trPr>
          <w:trHeight w:val="226"/>
          <w:jc w:val="right"/>
        </w:trPr>
        <w:tc>
          <w:tcPr>
            <w:tcW w:w="3425" w:type="dxa"/>
            <w:shd w:val="clear" w:color="auto" w:fill="FFFFFF"/>
            <w:vAlign w:val="center"/>
          </w:tcPr>
          <w:p w14:paraId="58D7BD82" w14:textId="77777777" w:rsidR="008D588A" w:rsidRPr="00C2587D" w:rsidRDefault="008D588A" w:rsidP="00EA6E27">
            <w:pPr>
              <w:rPr>
                <w:rFonts w:cs="Arial"/>
                <w:color w:val="000000"/>
                <w:szCs w:val="22"/>
              </w:rPr>
            </w:pPr>
            <w:r w:rsidRPr="00C2587D">
              <w:rPr>
                <w:rFonts w:cs="Arial"/>
                <w:color w:val="000000"/>
                <w:szCs w:val="22"/>
              </w:rPr>
              <w:t>- інші джерела фінансування</w:t>
            </w:r>
          </w:p>
        </w:tc>
        <w:tc>
          <w:tcPr>
            <w:tcW w:w="1240" w:type="dxa"/>
            <w:vAlign w:val="center"/>
          </w:tcPr>
          <w:p w14:paraId="678E0555" w14:textId="77777777" w:rsidR="008D588A" w:rsidRPr="00C2587D" w:rsidRDefault="008D588A" w:rsidP="00EA6E27">
            <w:pPr>
              <w:jc w:val="both"/>
              <w:rPr>
                <w:rFonts w:cs="Arial"/>
                <w:color w:val="000000"/>
                <w:szCs w:val="22"/>
                <w:lang w:eastAsia="it-IT"/>
              </w:rPr>
            </w:pPr>
          </w:p>
        </w:tc>
        <w:tc>
          <w:tcPr>
            <w:tcW w:w="1390" w:type="dxa"/>
            <w:gridSpan w:val="2"/>
            <w:vAlign w:val="center"/>
          </w:tcPr>
          <w:p w14:paraId="378DB81A" w14:textId="77777777" w:rsidR="008D588A" w:rsidRPr="00C2587D" w:rsidRDefault="008D588A" w:rsidP="008D588A">
            <w:pPr>
              <w:jc w:val="center"/>
              <w:rPr>
                <w:rFonts w:cs="Arial"/>
                <w:color w:val="000000"/>
                <w:szCs w:val="22"/>
                <w:lang w:eastAsia="it-IT"/>
              </w:rPr>
            </w:pPr>
          </w:p>
        </w:tc>
        <w:tc>
          <w:tcPr>
            <w:tcW w:w="1377" w:type="dxa"/>
            <w:gridSpan w:val="3"/>
            <w:vAlign w:val="center"/>
          </w:tcPr>
          <w:p w14:paraId="3B0612AB" w14:textId="77777777" w:rsidR="008D588A" w:rsidRPr="00C2587D" w:rsidRDefault="008D588A" w:rsidP="008D588A">
            <w:pPr>
              <w:jc w:val="center"/>
              <w:rPr>
                <w:rFonts w:cs="Arial"/>
                <w:color w:val="000000"/>
                <w:szCs w:val="22"/>
                <w:lang w:eastAsia="it-IT"/>
              </w:rPr>
            </w:pPr>
          </w:p>
        </w:tc>
        <w:tc>
          <w:tcPr>
            <w:tcW w:w="1240" w:type="dxa"/>
            <w:gridSpan w:val="2"/>
            <w:vAlign w:val="center"/>
          </w:tcPr>
          <w:p w14:paraId="1B3C374E" w14:textId="77777777" w:rsidR="008D588A" w:rsidRPr="00C2587D" w:rsidRDefault="008D588A" w:rsidP="008D588A">
            <w:pPr>
              <w:jc w:val="center"/>
              <w:rPr>
                <w:rFonts w:cs="Arial"/>
                <w:color w:val="000000"/>
                <w:szCs w:val="22"/>
                <w:lang w:eastAsia="it-IT"/>
              </w:rPr>
            </w:pPr>
          </w:p>
        </w:tc>
        <w:tc>
          <w:tcPr>
            <w:tcW w:w="1547" w:type="dxa"/>
            <w:vAlign w:val="center"/>
          </w:tcPr>
          <w:p w14:paraId="310F667A" w14:textId="77777777" w:rsidR="008D588A" w:rsidRPr="00C2587D" w:rsidRDefault="008D588A" w:rsidP="008D588A">
            <w:pPr>
              <w:jc w:val="center"/>
              <w:rPr>
                <w:rFonts w:cs="Arial"/>
                <w:color w:val="000000"/>
                <w:szCs w:val="22"/>
                <w:lang w:eastAsia="it-IT"/>
              </w:rPr>
            </w:pPr>
          </w:p>
        </w:tc>
      </w:tr>
      <w:tr w:rsidR="00CB33C7" w:rsidRPr="00C2587D" w14:paraId="54D076E3" w14:textId="77777777" w:rsidTr="00EA6E27">
        <w:trPr>
          <w:jc w:val="right"/>
        </w:trPr>
        <w:tc>
          <w:tcPr>
            <w:tcW w:w="3425" w:type="dxa"/>
            <w:shd w:val="clear" w:color="auto" w:fill="FFFFFF"/>
            <w:vAlign w:val="center"/>
          </w:tcPr>
          <w:p w14:paraId="2540B49E" w14:textId="77777777" w:rsidR="00CB33C7" w:rsidRPr="00C2587D" w:rsidRDefault="00CB33C7" w:rsidP="00EA6E27">
            <w:pPr>
              <w:rPr>
                <w:rFonts w:cs="Arial"/>
                <w:b/>
                <w:bCs/>
                <w:color w:val="000000"/>
                <w:szCs w:val="22"/>
              </w:rPr>
            </w:pPr>
            <w:r w:rsidRPr="00C2587D">
              <w:rPr>
                <w:rFonts w:cs="Arial"/>
                <w:b/>
                <w:color w:val="000000"/>
                <w:szCs w:val="22"/>
              </w:rPr>
              <w:t>Відповідальний виконавець проєкту:</w:t>
            </w:r>
          </w:p>
        </w:tc>
        <w:tc>
          <w:tcPr>
            <w:tcW w:w="6794" w:type="dxa"/>
            <w:gridSpan w:val="9"/>
            <w:vAlign w:val="center"/>
          </w:tcPr>
          <w:p w14:paraId="71B200AA" w14:textId="52B2F7DF" w:rsidR="00CB33C7" w:rsidRPr="00C2587D" w:rsidRDefault="00CB33C7" w:rsidP="008D588A">
            <w:pPr>
              <w:jc w:val="both"/>
              <w:rPr>
                <w:rFonts w:cs="Arial"/>
                <w:color w:val="000000"/>
                <w:szCs w:val="22"/>
                <w:lang w:eastAsia="it-IT"/>
              </w:rPr>
            </w:pPr>
            <w:r w:rsidRPr="00C2587D">
              <w:rPr>
                <w:rFonts w:cs="Arial"/>
                <w:color w:val="000000"/>
                <w:szCs w:val="22"/>
                <w:lang w:eastAsia="it-IT"/>
              </w:rPr>
              <w:t>Управління ЖКГ.</w:t>
            </w:r>
          </w:p>
        </w:tc>
      </w:tr>
      <w:tr w:rsidR="00CB33C7" w:rsidRPr="00C2587D" w14:paraId="002FFCE4" w14:textId="77777777" w:rsidTr="00EA6E27">
        <w:trPr>
          <w:jc w:val="right"/>
        </w:trPr>
        <w:tc>
          <w:tcPr>
            <w:tcW w:w="3425" w:type="dxa"/>
            <w:shd w:val="clear" w:color="auto" w:fill="FFFFFF"/>
            <w:vAlign w:val="center"/>
          </w:tcPr>
          <w:p w14:paraId="5C6DC97D" w14:textId="77777777" w:rsidR="00CB33C7" w:rsidRPr="00C2587D" w:rsidRDefault="00CB33C7" w:rsidP="00EA6E27">
            <w:pPr>
              <w:rPr>
                <w:rFonts w:cs="Arial"/>
                <w:b/>
                <w:bCs/>
                <w:color w:val="000000"/>
                <w:szCs w:val="22"/>
              </w:rPr>
            </w:pPr>
            <w:r w:rsidRPr="00C2587D">
              <w:rPr>
                <w:rFonts w:cs="Arial"/>
                <w:b/>
                <w:bCs/>
                <w:color w:val="000000"/>
                <w:szCs w:val="22"/>
              </w:rPr>
              <w:t>Інше:</w:t>
            </w:r>
          </w:p>
        </w:tc>
        <w:tc>
          <w:tcPr>
            <w:tcW w:w="6794" w:type="dxa"/>
            <w:gridSpan w:val="9"/>
            <w:vAlign w:val="center"/>
          </w:tcPr>
          <w:p w14:paraId="409DC8DF" w14:textId="77777777" w:rsidR="00CB33C7" w:rsidRPr="00C2587D" w:rsidRDefault="00CB33C7" w:rsidP="00EA6E27">
            <w:pPr>
              <w:rPr>
                <w:rFonts w:cs="Arial"/>
                <w:color w:val="000000"/>
                <w:szCs w:val="22"/>
                <w:lang w:eastAsia="it-IT"/>
              </w:rPr>
            </w:pPr>
          </w:p>
        </w:tc>
      </w:tr>
    </w:tbl>
    <w:p w14:paraId="4C055D31" w14:textId="77777777" w:rsidR="00CB33C7" w:rsidRPr="00C2587D" w:rsidRDefault="00CB33C7" w:rsidP="00CB33C7"/>
    <w:p w14:paraId="04D4FAA5" w14:textId="77777777" w:rsidR="00CB33C7" w:rsidRPr="00C2587D" w:rsidRDefault="00CB33C7" w:rsidP="00CB33C7"/>
    <w:p w14:paraId="79A045A2" w14:textId="77777777" w:rsidR="00CB33C7" w:rsidRPr="00C2587D" w:rsidRDefault="00CB33C7" w:rsidP="00CB33C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149C52D0" w14:textId="77777777" w:rsidR="00CB33C7" w:rsidRPr="00C2587D" w:rsidRDefault="00CB33C7" w:rsidP="00CB33C7">
      <w:pPr>
        <w:jc w:val="center"/>
        <w:rPr>
          <w:rFonts w:cs="Arial"/>
          <w:b/>
          <w:color w:val="000000"/>
          <w:szCs w:val="22"/>
        </w:rPr>
      </w:pPr>
      <w:r w:rsidRPr="00C2587D">
        <w:rPr>
          <w:rFonts w:cs="Arial"/>
          <w:b/>
          <w:color w:val="000000"/>
          <w:szCs w:val="22"/>
        </w:rPr>
        <w:t>до Плану заходів з реалізації Стратегії</w:t>
      </w:r>
    </w:p>
    <w:p w14:paraId="4C21ABE3" w14:textId="77777777" w:rsidR="00CB33C7" w:rsidRPr="00C2587D" w:rsidRDefault="00CB33C7" w:rsidP="00CB33C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4"/>
        <w:gridCol w:w="1240"/>
        <w:gridCol w:w="14"/>
        <w:gridCol w:w="1412"/>
        <w:gridCol w:w="39"/>
        <w:gridCol w:w="1242"/>
        <w:gridCol w:w="48"/>
        <w:gridCol w:w="1228"/>
        <w:gridCol w:w="1572"/>
      </w:tblGrid>
      <w:tr w:rsidR="00CB33C7" w:rsidRPr="00C2587D" w14:paraId="67774080" w14:textId="77777777" w:rsidTr="00EA6E27">
        <w:trPr>
          <w:jc w:val="right"/>
        </w:trPr>
        <w:tc>
          <w:tcPr>
            <w:tcW w:w="3425" w:type="dxa"/>
            <w:vAlign w:val="center"/>
          </w:tcPr>
          <w:p w14:paraId="42CBF164" w14:textId="77777777" w:rsidR="00CB33C7" w:rsidRPr="00C2587D" w:rsidRDefault="00CB33C7" w:rsidP="00EA6E27">
            <w:pPr>
              <w:rPr>
                <w:rFonts w:cs="Arial"/>
                <w:b/>
                <w:bCs/>
                <w:color w:val="000000"/>
                <w:szCs w:val="22"/>
              </w:rPr>
            </w:pPr>
            <w:r w:rsidRPr="00C2587D">
              <w:rPr>
                <w:rFonts w:cs="Arial"/>
                <w:b/>
                <w:bCs/>
                <w:color w:val="000000"/>
                <w:szCs w:val="22"/>
              </w:rPr>
              <w:t>Назва проєкту:</w:t>
            </w:r>
          </w:p>
        </w:tc>
        <w:tc>
          <w:tcPr>
            <w:tcW w:w="6794" w:type="dxa"/>
            <w:gridSpan w:val="8"/>
          </w:tcPr>
          <w:p w14:paraId="24F85F93" w14:textId="77777777" w:rsidR="00CB33C7" w:rsidRPr="00C2587D" w:rsidRDefault="00CB33C7" w:rsidP="008D588A">
            <w:pPr>
              <w:spacing w:before="40" w:after="40"/>
              <w:jc w:val="both"/>
              <w:rPr>
                <w:b/>
                <w:lang w:eastAsia="it-IT"/>
              </w:rPr>
            </w:pPr>
            <w:r w:rsidRPr="00C2587D">
              <w:rPr>
                <w:rFonts w:eastAsia="Arial"/>
                <w:b/>
              </w:rPr>
              <w:t>Капітальний ремонт багатоквартирного житлового будинку по вул. Пушкіна, 1 в м. Жмеринка Вінницької області (усунення аварійної ситуації)</w:t>
            </w:r>
          </w:p>
        </w:tc>
      </w:tr>
      <w:tr w:rsidR="00CB33C7" w:rsidRPr="00C2587D" w14:paraId="3F30CC4E" w14:textId="77777777" w:rsidTr="00EA6E27">
        <w:trPr>
          <w:jc w:val="right"/>
        </w:trPr>
        <w:tc>
          <w:tcPr>
            <w:tcW w:w="3425" w:type="dxa"/>
          </w:tcPr>
          <w:p w14:paraId="64F24DE2" w14:textId="77777777" w:rsidR="00CB33C7" w:rsidRPr="00C2587D" w:rsidRDefault="00CB33C7" w:rsidP="00EA6E27">
            <w:pPr>
              <w:spacing w:before="40" w:after="40"/>
              <w:rPr>
                <w:rFonts w:cs="Arial"/>
                <w:sz w:val="20"/>
                <w:szCs w:val="22"/>
                <w:lang w:eastAsia="it-IT"/>
              </w:rPr>
            </w:pPr>
            <w:r w:rsidRPr="00C2587D">
              <w:rPr>
                <w:rFonts w:cs="Arial"/>
                <w:b/>
                <w:bCs/>
                <w:szCs w:val="22"/>
              </w:rPr>
              <w:t>Ваші контакти</w:t>
            </w:r>
            <w:r w:rsidRPr="00C2587D">
              <w:rPr>
                <w:rFonts w:cs="Arial"/>
                <w:sz w:val="20"/>
                <w:szCs w:val="22"/>
                <w:lang w:eastAsia="it-IT"/>
              </w:rPr>
              <w:t>:</w:t>
            </w:r>
          </w:p>
          <w:p w14:paraId="3EA2B9B5" w14:textId="77777777" w:rsidR="00CB33C7" w:rsidRPr="00C2587D" w:rsidRDefault="00CB33C7" w:rsidP="00EA6E27">
            <w:pPr>
              <w:spacing w:before="40" w:after="40"/>
              <w:rPr>
                <w:rFonts w:cs="Arial"/>
                <w:b/>
                <w:bCs/>
                <w:szCs w:val="22"/>
              </w:rPr>
            </w:pPr>
            <w:r w:rsidRPr="00C2587D">
              <w:rPr>
                <w:rFonts w:cs="Arial"/>
                <w:sz w:val="20"/>
                <w:szCs w:val="22"/>
                <w:lang w:eastAsia="it-IT"/>
              </w:rPr>
              <w:t>Назва установи, організації, підприємства</w:t>
            </w:r>
          </w:p>
        </w:tc>
        <w:tc>
          <w:tcPr>
            <w:tcW w:w="6794" w:type="dxa"/>
            <w:gridSpan w:val="8"/>
          </w:tcPr>
          <w:p w14:paraId="03BB3018" w14:textId="77777777" w:rsidR="00CB33C7" w:rsidRPr="00C2587D" w:rsidRDefault="00CB33C7" w:rsidP="00EA6E27">
            <w:pPr>
              <w:spacing w:before="40" w:after="40"/>
              <w:rPr>
                <w:lang w:eastAsia="it-IT"/>
              </w:rPr>
            </w:pPr>
            <w:r w:rsidRPr="00C2587D">
              <w:rPr>
                <w:lang w:eastAsia="it-IT"/>
              </w:rPr>
              <w:t>Управління житлово-комунального господарства Жмеринської міської ради</w:t>
            </w:r>
          </w:p>
        </w:tc>
      </w:tr>
      <w:tr w:rsidR="00CB33C7" w:rsidRPr="00C2587D" w14:paraId="5F75542B" w14:textId="77777777" w:rsidTr="00EA6E27">
        <w:trPr>
          <w:jc w:val="right"/>
        </w:trPr>
        <w:tc>
          <w:tcPr>
            <w:tcW w:w="3425" w:type="dxa"/>
          </w:tcPr>
          <w:p w14:paraId="4E1AA008" w14:textId="77777777" w:rsidR="00CB33C7" w:rsidRPr="00C2587D" w:rsidRDefault="00CB33C7" w:rsidP="00EA6E27">
            <w:pPr>
              <w:spacing w:before="40" w:after="40"/>
              <w:rPr>
                <w:rFonts w:cs="Arial"/>
                <w:b/>
                <w:bCs/>
                <w:szCs w:val="22"/>
              </w:rPr>
            </w:pPr>
            <w:r w:rsidRPr="00C2587D">
              <w:rPr>
                <w:rFonts w:cs="Arial"/>
                <w:sz w:val="20"/>
                <w:szCs w:val="22"/>
                <w:lang w:eastAsia="it-IT"/>
              </w:rPr>
              <w:t>Прізвище Ім’я По-батькові:</w:t>
            </w:r>
          </w:p>
        </w:tc>
        <w:tc>
          <w:tcPr>
            <w:tcW w:w="6794" w:type="dxa"/>
            <w:gridSpan w:val="8"/>
          </w:tcPr>
          <w:p w14:paraId="6E7A289F" w14:textId="77777777" w:rsidR="00CB33C7" w:rsidRPr="00C2587D" w:rsidRDefault="00CB33C7" w:rsidP="00EA6E27">
            <w:pPr>
              <w:spacing w:before="40" w:after="40"/>
              <w:rPr>
                <w:lang w:eastAsia="it-IT"/>
              </w:rPr>
            </w:pPr>
            <w:r w:rsidRPr="00C2587D">
              <w:rPr>
                <w:lang w:eastAsia="it-IT"/>
              </w:rPr>
              <w:t>Оленич Андрій Васильович</w:t>
            </w:r>
          </w:p>
        </w:tc>
      </w:tr>
      <w:tr w:rsidR="00CB33C7" w:rsidRPr="00C2587D" w14:paraId="5B2BD43A" w14:textId="77777777" w:rsidTr="00EA6E27">
        <w:trPr>
          <w:jc w:val="right"/>
        </w:trPr>
        <w:tc>
          <w:tcPr>
            <w:tcW w:w="3425" w:type="dxa"/>
          </w:tcPr>
          <w:p w14:paraId="332AF1EE" w14:textId="77777777" w:rsidR="00CB33C7" w:rsidRPr="00C2587D" w:rsidRDefault="00CB33C7" w:rsidP="00EA6E27">
            <w:pPr>
              <w:spacing w:before="40" w:after="40"/>
              <w:rPr>
                <w:rFonts w:cs="Arial"/>
                <w:b/>
                <w:bCs/>
                <w:szCs w:val="22"/>
              </w:rPr>
            </w:pPr>
            <w:r w:rsidRPr="00C2587D">
              <w:rPr>
                <w:rFonts w:cs="Arial"/>
                <w:sz w:val="20"/>
                <w:szCs w:val="22"/>
                <w:lang w:eastAsia="it-IT"/>
              </w:rPr>
              <w:t>Телефон (мобільний):</w:t>
            </w:r>
          </w:p>
        </w:tc>
        <w:tc>
          <w:tcPr>
            <w:tcW w:w="6794" w:type="dxa"/>
            <w:gridSpan w:val="8"/>
          </w:tcPr>
          <w:p w14:paraId="118FF80D" w14:textId="77777777" w:rsidR="00CB33C7" w:rsidRPr="00C2587D" w:rsidRDefault="00CB33C7" w:rsidP="00EA6E27">
            <w:pPr>
              <w:spacing w:before="40" w:after="40"/>
              <w:rPr>
                <w:lang w:eastAsia="it-IT"/>
              </w:rPr>
            </w:pPr>
            <w:r w:rsidRPr="00C2587D">
              <w:rPr>
                <w:lang w:eastAsia="it-IT"/>
              </w:rPr>
              <w:t>0972561907</w:t>
            </w:r>
          </w:p>
        </w:tc>
      </w:tr>
      <w:tr w:rsidR="00CB33C7" w:rsidRPr="00C2587D" w14:paraId="3C4CE636" w14:textId="77777777" w:rsidTr="00EA6E27">
        <w:trPr>
          <w:jc w:val="right"/>
        </w:trPr>
        <w:tc>
          <w:tcPr>
            <w:tcW w:w="3425" w:type="dxa"/>
          </w:tcPr>
          <w:p w14:paraId="3B79962E" w14:textId="77777777" w:rsidR="00CB33C7" w:rsidRPr="00C2587D" w:rsidRDefault="00CB33C7" w:rsidP="00EA6E27">
            <w:pPr>
              <w:spacing w:before="40" w:after="40"/>
              <w:rPr>
                <w:rFonts w:cs="Arial"/>
                <w:b/>
                <w:bCs/>
                <w:szCs w:val="22"/>
              </w:rPr>
            </w:pPr>
            <w:r w:rsidRPr="00C2587D">
              <w:rPr>
                <w:rFonts w:cs="Arial"/>
                <w:sz w:val="20"/>
                <w:szCs w:val="22"/>
                <w:lang w:eastAsia="it-IT"/>
              </w:rPr>
              <w:t>Електронна адреса:</w:t>
            </w:r>
          </w:p>
        </w:tc>
        <w:tc>
          <w:tcPr>
            <w:tcW w:w="6794" w:type="dxa"/>
            <w:gridSpan w:val="8"/>
          </w:tcPr>
          <w:p w14:paraId="428325C6" w14:textId="77777777" w:rsidR="00CB33C7" w:rsidRPr="00C2587D" w:rsidRDefault="00D85FFD" w:rsidP="00EA6E27">
            <w:pPr>
              <w:spacing w:before="40" w:after="40"/>
              <w:rPr>
                <w:lang w:eastAsia="it-IT"/>
              </w:rPr>
            </w:pPr>
            <w:hyperlink r:id="rId85" w:history="1">
              <w:r w:rsidR="00CB33C7" w:rsidRPr="00C2587D">
                <w:rPr>
                  <w:rStyle w:val="af0"/>
                  <w:noProof w:val="0"/>
                  <w:sz w:val="24"/>
                  <w:lang w:eastAsia="it-IT"/>
                </w:rPr>
                <w:t>Aolenych03@ukr.net</w:t>
              </w:r>
            </w:hyperlink>
          </w:p>
        </w:tc>
      </w:tr>
      <w:tr w:rsidR="00CB33C7" w:rsidRPr="00C2587D" w14:paraId="6BF5B8A2" w14:textId="77777777" w:rsidTr="00EA6E27">
        <w:trPr>
          <w:jc w:val="right"/>
        </w:trPr>
        <w:tc>
          <w:tcPr>
            <w:tcW w:w="3425" w:type="dxa"/>
            <w:vAlign w:val="center"/>
          </w:tcPr>
          <w:p w14:paraId="6D2871D1" w14:textId="77777777" w:rsidR="00CB33C7" w:rsidRPr="00C2587D" w:rsidRDefault="00CB33C7" w:rsidP="00EA6E27">
            <w:pPr>
              <w:pStyle w:val="6"/>
              <w:spacing w:before="0" w:after="0"/>
              <w:rPr>
                <w:rFonts w:ascii="Arial" w:hAnsi="Arial" w:cs="Arial"/>
                <w:color w:val="000000"/>
                <w:lang w:val="uk-UA"/>
              </w:rPr>
            </w:pPr>
            <w:r w:rsidRPr="00C2587D">
              <w:rPr>
                <w:rFonts w:ascii="Arial" w:hAnsi="Arial" w:cs="Arial"/>
                <w:color w:val="000000"/>
                <w:lang w:val="uk-UA"/>
              </w:rPr>
              <w:t>Номер і назва завдання з Стратегії</w:t>
            </w:r>
            <w:r w:rsidRPr="00C2587D">
              <w:rPr>
                <w:rFonts w:ascii="Arial" w:hAnsi="Arial" w:cs="Arial"/>
                <w:sz w:val="16"/>
                <w:szCs w:val="16"/>
                <w:lang w:val="uk-UA" w:eastAsia="it-IT"/>
              </w:rPr>
              <w:t xml:space="preserve"> </w:t>
            </w:r>
            <w:r w:rsidRPr="00C2587D">
              <w:rPr>
                <w:rFonts w:ascii="Arial" w:hAnsi="Arial" w:cs="Arial"/>
                <w:color w:val="000000"/>
                <w:lang w:val="uk-UA"/>
              </w:rPr>
              <w:t xml:space="preserve">розвитку Жмеринської міської </w:t>
            </w:r>
          </w:p>
        </w:tc>
        <w:tc>
          <w:tcPr>
            <w:tcW w:w="6794" w:type="dxa"/>
            <w:gridSpan w:val="8"/>
            <w:vAlign w:val="center"/>
          </w:tcPr>
          <w:p w14:paraId="43A354B7" w14:textId="77777777" w:rsidR="00CB33C7" w:rsidRPr="00C2587D" w:rsidRDefault="00CB33C7" w:rsidP="00EA6E27">
            <w:pPr>
              <w:spacing w:before="20" w:after="20"/>
              <w:contextualSpacing/>
              <w:rPr>
                <w:rFonts w:eastAsia="Lucida Sans Unicode" w:cs="Arial"/>
                <w:kern w:val="1"/>
                <w:lang w:eastAsia="ar-SA"/>
              </w:rPr>
            </w:pPr>
            <w:r w:rsidRPr="00C2587D">
              <w:rPr>
                <w:rFonts w:eastAsia="Lucida Sans Unicode" w:cs="Arial"/>
                <w:kern w:val="1"/>
                <w:lang w:eastAsia="ar-SA"/>
              </w:rPr>
              <w:t>В.1.5.3. Модернізація конструктивних елементів багатоповерхових будинків.</w:t>
            </w:r>
          </w:p>
        </w:tc>
      </w:tr>
      <w:tr w:rsidR="00CB33C7" w:rsidRPr="00C2587D" w14:paraId="074C0F18" w14:textId="77777777" w:rsidTr="00EA6E27">
        <w:trPr>
          <w:jc w:val="right"/>
        </w:trPr>
        <w:tc>
          <w:tcPr>
            <w:tcW w:w="3425" w:type="dxa"/>
            <w:vAlign w:val="center"/>
          </w:tcPr>
          <w:p w14:paraId="4CB91BFB" w14:textId="77777777" w:rsidR="00CB33C7" w:rsidRPr="00C2587D" w:rsidRDefault="00CB33C7" w:rsidP="00EA6E27">
            <w:pPr>
              <w:rPr>
                <w:rFonts w:cs="Arial"/>
                <w:b/>
                <w:bCs/>
                <w:color w:val="000000"/>
                <w:szCs w:val="22"/>
              </w:rPr>
            </w:pPr>
            <w:r w:rsidRPr="00C2587D">
              <w:rPr>
                <w:rFonts w:cs="Arial"/>
                <w:b/>
                <w:bCs/>
                <w:color w:val="000000"/>
                <w:szCs w:val="22"/>
              </w:rPr>
              <w:t>Мета проєкту:</w:t>
            </w:r>
          </w:p>
        </w:tc>
        <w:tc>
          <w:tcPr>
            <w:tcW w:w="6794" w:type="dxa"/>
            <w:gridSpan w:val="8"/>
          </w:tcPr>
          <w:p w14:paraId="74735335" w14:textId="77777777" w:rsidR="00CB33C7" w:rsidRPr="00C2587D" w:rsidRDefault="00CB33C7" w:rsidP="00EA6E27">
            <w:pPr>
              <w:spacing w:before="40" w:after="40"/>
              <w:jc w:val="both"/>
              <w:rPr>
                <w:lang w:eastAsia="it-IT"/>
              </w:rPr>
            </w:pPr>
            <w:r w:rsidRPr="00C2587D">
              <w:rPr>
                <w:rFonts w:cs="Arial"/>
                <w:lang w:eastAsia="it-IT"/>
              </w:rPr>
              <w:t>Забезпечення гідних умов проживання мешканців будинку по вул. Пушкіна 1, в м. Жмеринка</w:t>
            </w:r>
          </w:p>
        </w:tc>
      </w:tr>
      <w:tr w:rsidR="00CB33C7" w:rsidRPr="00C2587D" w14:paraId="527DC852" w14:textId="77777777" w:rsidTr="00EA6E27">
        <w:trPr>
          <w:jc w:val="right"/>
        </w:trPr>
        <w:tc>
          <w:tcPr>
            <w:tcW w:w="3425" w:type="dxa"/>
            <w:vAlign w:val="center"/>
          </w:tcPr>
          <w:p w14:paraId="0BEBC27F" w14:textId="77777777" w:rsidR="00CB33C7" w:rsidRPr="00C2587D" w:rsidRDefault="00CB33C7" w:rsidP="00EA6E27">
            <w:pPr>
              <w:rPr>
                <w:rFonts w:cs="Arial"/>
                <w:b/>
                <w:bCs/>
                <w:color w:val="000000"/>
                <w:szCs w:val="22"/>
              </w:rPr>
            </w:pPr>
            <w:r w:rsidRPr="00C2587D">
              <w:rPr>
                <w:rFonts w:cs="Arial"/>
                <w:b/>
                <w:bCs/>
                <w:color w:val="000000"/>
                <w:szCs w:val="22"/>
              </w:rPr>
              <w:t>Цілі проєкту:</w:t>
            </w:r>
          </w:p>
        </w:tc>
        <w:tc>
          <w:tcPr>
            <w:tcW w:w="6794" w:type="dxa"/>
            <w:gridSpan w:val="8"/>
          </w:tcPr>
          <w:p w14:paraId="6E912D25" w14:textId="77777777" w:rsidR="00CB33C7" w:rsidRPr="00C2587D" w:rsidRDefault="00CB33C7" w:rsidP="00EA6E27">
            <w:pPr>
              <w:spacing w:before="40" w:after="40"/>
              <w:rPr>
                <w:lang w:eastAsia="it-IT"/>
              </w:rPr>
            </w:pPr>
            <w:r w:rsidRPr="00C2587D">
              <w:rPr>
                <w:rFonts w:cs="Arial"/>
                <w:lang w:eastAsia="it-IT"/>
              </w:rPr>
              <w:t>Покращити житловий стан будинку по вул Пушкіна 1,в м. Жмеринка</w:t>
            </w:r>
          </w:p>
        </w:tc>
      </w:tr>
      <w:tr w:rsidR="00CB33C7" w:rsidRPr="00C2587D" w14:paraId="0CDA9812" w14:textId="77777777" w:rsidTr="00EA6E27">
        <w:trPr>
          <w:jc w:val="right"/>
        </w:trPr>
        <w:tc>
          <w:tcPr>
            <w:tcW w:w="3425" w:type="dxa"/>
            <w:vAlign w:val="center"/>
          </w:tcPr>
          <w:p w14:paraId="3E7AD093" w14:textId="77777777" w:rsidR="00CB33C7" w:rsidRPr="00C2587D" w:rsidRDefault="00CB33C7" w:rsidP="00EA6E27">
            <w:pPr>
              <w:autoSpaceDE w:val="0"/>
              <w:autoSpaceDN w:val="0"/>
              <w:adjustRightInd w:val="0"/>
              <w:rPr>
                <w:rFonts w:cs="Arial"/>
                <w:b/>
                <w:color w:val="000000"/>
                <w:szCs w:val="22"/>
              </w:rPr>
            </w:pPr>
            <w:r w:rsidRPr="00C2587D">
              <w:rPr>
                <w:rFonts w:cs="Arial"/>
                <w:b/>
                <w:color w:val="000000"/>
                <w:szCs w:val="22"/>
              </w:rPr>
              <w:t>Територія на яку проєкт матиме вплив:</w:t>
            </w:r>
          </w:p>
        </w:tc>
        <w:tc>
          <w:tcPr>
            <w:tcW w:w="6794" w:type="dxa"/>
            <w:gridSpan w:val="8"/>
          </w:tcPr>
          <w:p w14:paraId="08A068A1" w14:textId="77777777" w:rsidR="00CB33C7" w:rsidRPr="00C2587D" w:rsidRDefault="00CB33C7" w:rsidP="00EA6E27">
            <w:pPr>
              <w:spacing w:before="40" w:after="40"/>
              <w:rPr>
                <w:lang w:eastAsia="it-IT"/>
              </w:rPr>
            </w:pPr>
            <w:r w:rsidRPr="00C2587D">
              <w:rPr>
                <w:lang w:eastAsia="it-IT"/>
              </w:rPr>
              <w:t xml:space="preserve">Території м. </w:t>
            </w:r>
            <w:r w:rsidRPr="00C2587D">
              <w:rPr>
                <w:rFonts w:cs="Arial"/>
                <w:lang w:eastAsia="it-IT"/>
              </w:rPr>
              <w:t xml:space="preserve">Жмеринка                                                                                                                                                                                                                                                                     </w:t>
            </w:r>
          </w:p>
        </w:tc>
      </w:tr>
      <w:tr w:rsidR="00CB33C7" w:rsidRPr="00C2587D" w14:paraId="555FF4E1" w14:textId="77777777" w:rsidTr="00EA6E27">
        <w:trPr>
          <w:jc w:val="right"/>
        </w:trPr>
        <w:tc>
          <w:tcPr>
            <w:tcW w:w="3425" w:type="dxa"/>
            <w:vAlign w:val="center"/>
          </w:tcPr>
          <w:p w14:paraId="3908AB21" w14:textId="77777777" w:rsidR="00CB33C7" w:rsidRPr="00C2587D" w:rsidRDefault="00CB33C7" w:rsidP="00EA6E27">
            <w:pPr>
              <w:autoSpaceDE w:val="0"/>
              <w:autoSpaceDN w:val="0"/>
              <w:adjustRightInd w:val="0"/>
              <w:rPr>
                <w:rFonts w:cs="Arial"/>
                <w:b/>
                <w:color w:val="000000"/>
                <w:szCs w:val="22"/>
              </w:rPr>
            </w:pPr>
            <w:r w:rsidRPr="00C2587D">
              <w:rPr>
                <w:rFonts w:cs="Arial"/>
                <w:b/>
                <w:color w:val="000000"/>
                <w:szCs w:val="22"/>
              </w:rPr>
              <w:t>Цільові групи проєкту та кількість отримувачів вигоди</w:t>
            </w:r>
          </w:p>
        </w:tc>
        <w:tc>
          <w:tcPr>
            <w:tcW w:w="6794" w:type="dxa"/>
            <w:gridSpan w:val="8"/>
          </w:tcPr>
          <w:p w14:paraId="1C99DA7F" w14:textId="77777777" w:rsidR="00CB33C7" w:rsidRPr="00C2587D" w:rsidRDefault="00CB33C7" w:rsidP="00EA6E27">
            <w:pPr>
              <w:spacing w:before="40" w:after="40"/>
              <w:rPr>
                <w:lang w:eastAsia="it-IT"/>
              </w:rPr>
            </w:pPr>
            <w:r w:rsidRPr="00C2587D">
              <w:rPr>
                <w:lang w:eastAsia="it-IT"/>
              </w:rPr>
              <w:t xml:space="preserve">Мешканці будинку по вул. </w:t>
            </w:r>
            <w:r w:rsidRPr="00C2587D">
              <w:rPr>
                <w:rFonts w:cs="Arial"/>
                <w:lang w:eastAsia="it-IT"/>
              </w:rPr>
              <w:t>Пушкіна 1</w:t>
            </w:r>
            <w:r w:rsidRPr="00C2587D">
              <w:rPr>
                <w:lang w:eastAsia="it-IT"/>
              </w:rPr>
              <w:t>, в кількості 40 осіб</w:t>
            </w:r>
          </w:p>
        </w:tc>
      </w:tr>
      <w:tr w:rsidR="00CB33C7" w:rsidRPr="00C2587D" w14:paraId="6700EB55" w14:textId="77777777" w:rsidTr="00EA6E27">
        <w:trPr>
          <w:jc w:val="right"/>
        </w:trPr>
        <w:tc>
          <w:tcPr>
            <w:tcW w:w="3425" w:type="dxa"/>
            <w:shd w:val="clear" w:color="auto" w:fill="FFFFFF"/>
            <w:vAlign w:val="center"/>
          </w:tcPr>
          <w:p w14:paraId="5D424529" w14:textId="77777777" w:rsidR="00CB33C7" w:rsidRPr="00C2587D" w:rsidRDefault="00CB33C7" w:rsidP="00EA6E27">
            <w:pPr>
              <w:rPr>
                <w:rFonts w:cs="Arial"/>
                <w:b/>
                <w:bCs/>
                <w:color w:val="000000"/>
                <w:szCs w:val="22"/>
              </w:rPr>
            </w:pPr>
            <w:r w:rsidRPr="00C2587D">
              <w:rPr>
                <w:rFonts w:cs="Arial"/>
                <w:b/>
                <w:bCs/>
                <w:color w:val="000000"/>
                <w:szCs w:val="22"/>
              </w:rPr>
              <w:t>Стислий опис проєкту:</w:t>
            </w:r>
          </w:p>
        </w:tc>
        <w:tc>
          <w:tcPr>
            <w:tcW w:w="6794" w:type="dxa"/>
            <w:gridSpan w:val="8"/>
          </w:tcPr>
          <w:p w14:paraId="52642589" w14:textId="77777777" w:rsidR="00CB33C7" w:rsidRPr="00C2587D" w:rsidRDefault="00CB33C7" w:rsidP="008D588A">
            <w:pPr>
              <w:spacing w:before="40" w:after="40"/>
              <w:jc w:val="both"/>
              <w:rPr>
                <w:lang w:eastAsia="it-IT"/>
              </w:rPr>
            </w:pPr>
            <w:r w:rsidRPr="00C2587D">
              <w:rPr>
                <w:lang w:eastAsia="it-IT"/>
              </w:rPr>
              <w:t>Ремонт забезпечить гідні умови проживання для жителів багатоквартирного будинку,  що дасть необхідну ізоляцію, гідний зовнішній вигляд, та позитивно відобразиться на умовах життя мешканців будинку.</w:t>
            </w:r>
          </w:p>
        </w:tc>
      </w:tr>
      <w:tr w:rsidR="00CB33C7" w:rsidRPr="00C2587D" w14:paraId="6B3F11D1" w14:textId="77777777" w:rsidTr="00EA6E27">
        <w:trPr>
          <w:jc w:val="right"/>
        </w:trPr>
        <w:tc>
          <w:tcPr>
            <w:tcW w:w="3425" w:type="dxa"/>
            <w:shd w:val="clear" w:color="auto" w:fill="FFFFFF"/>
            <w:vAlign w:val="center"/>
          </w:tcPr>
          <w:p w14:paraId="295111AB" w14:textId="77777777" w:rsidR="00CB33C7" w:rsidRPr="00C2587D" w:rsidRDefault="00CB33C7" w:rsidP="00EA6E27">
            <w:pPr>
              <w:rPr>
                <w:rFonts w:cs="Arial"/>
                <w:b/>
                <w:bCs/>
                <w:color w:val="000000"/>
                <w:szCs w:val="22"/>
              </w:rPr>
            </w:pPr>
            <w:r w:rsidRPr="00C2587D">
              <w:rPr>
                <w:rFonts w:cs="Arial"/>
                <w:b/>
                <w:bCs/>
                <w:color w:val="000000"/>
                <w:szCs w:val="22"/>
              </w:rPr>
              <w:t>Основні заходи проєкту:</w:t>
            </w:r>
          </w:p>
        </w:tc>
        <w:tc>
          <w:tcPr>
            <w:tcW w:w="6794" w:type="dxa"/>
            <w:gridSpan w:val="8"/>
          </w:tcPr>
          <w:p w14:paraId="261F9547" w14:textId="56145F62" w:rsidR="00CB33C7" w:rsidRPr="00C2587D" w:rsidRDefault="00CB33C7" w:rsidP="008D588A">
            <w:pPr>
              <w:spacing w:before="40" w:after="40"/>
              <w:jc w:val="both"/>
              <w:rPr>
                <w:lang w:eastAsia="it-IT"/>
              </w:rPr>
            </w:pPr>
            <w:r w:rsidRPr="00C2587D">
              <w:rPr>
                <w:lang w:eastAsia="it-IT"/>
              </w:rPr>
              <w:t xml:space="preserve">Створення робочої групи з питань реалізації </w:t>
            </w:r>
            <w:r w:rsidR="00314B9D">
              <w:rPr>
                <w:lang w:eastAsia="it-IT"/>
              </w:rPr>
              <w:t>проєкту</w:t>
            </w:r>
            <w:r w:rsidRPr="00C2587D">
              <w:rPr>
                <w:lang w:eastAsia="it-IT"/>
              </w:rPr>
              <w:t xml:space="preserve">. </w:t>
            </w:r>
          </w:p>
          <w:p w14:paraId="24AE9B90" w14:textId="77777777" w:rsidR="00CB33C7" w:rsidRPr="00C2587D" w:rsidRDefault="00CB33C7" w:rsidP="008D588A">
            <w:pPr>
              <w:spacing w:before="40" w:after="40"/>
              <w:jc w:val="both"/>
              <w:rPr>
                <w:lang w:eastAsia="it-IT"/>
              </w:rPr>
            </w:pPr>
            <w:r w:rsidRPr="00C2587D">
              <w:rPr>
                <w:lang w:eastAsia="it-IT"/>
              </w:rPr>
              <w:t>Проведення процедури закупівель (визначення виконавця робіт).</w:t>
            </w:r>
          </w:p>
          <w:p w14:paraId="5992A3D3" w14:textId="77777777" w:rsidR="00CB33C7" w:rsidRPr="00C2587D" w:rsidRDefault="00CB33C7" w:rsidP="008D588A">
            <w:pPr>
              <w:spacing w:before="40" w:after="40"/>
              <w:jc w:val="both"/>
              <w:rPr>
                <w:lang w:eastAsia="it-IT"/>
              </w:rPr>
            </w:pPr>
            <w:r w:rsidRPr="00C2587D">
              <w:rPr>
                <w:lang w:eastAsia="it-IT"/>
              </w:rPr>
              <w:t>Укладення договорів з виконавцем робіт, організаціями, що здійснюватимуть  технічний та авторський  нагляд .</w:t>
            </w:r>
          </w:p>
          <w:p w14:paraId="69A3BE8D" w14:textId="1B8938A6" w:rsidR="00CB33C7" w:rsidRPr="00C2587D" w:rsidRDefault="00CB33C7" w:rsidP="008D588A">
            <w:pPr>
              <w:spacing w:before="40" w:after="40"/>
              <w:jc w:val="both"/>
              <w:rPr>
                <w:lang w:eastAsia="it-IT"/>
              </w:rPr>
            </w:pPr>
            <w:r w:rsidRPr="00C2587D">
              <w:rPr>
                <w:lang w:eastAsia="it-IT"/>
              </w:rPr>
              <w:t xml:space="preserve">Виконання робіт з </w:t>
            </w:r>
            <w:r w:rsidRPr="00C2587D">
              <w:rPr>
                <w:rFonts w:eastAsia="Arial"/>
                <w:color w:val="000000" w:themeColor="text1"/>
                <w:lang w:eastAsia="en-US"/>
              </w:rPr>
              <w:t>капітального ремонту багатоквартирного житлового будинку</w:t>
            </w:r>
            <w:r w:rsidR="008D588A">
              <w:rPr>
                <w:rFonts w:eastAsia="Arial"/>
                <w:color w:val="000000" w:themeColor="text1"/>
                <w:lang w:eastAsia="en-US"/>
              </w:rPr>
              <w:t xml:space="preserve"> </w:t>
            </w:r>
            <w:r w:rsidRPr="00C2587D">
              <w:rPr>
                <w:rFonts w:eastAsia="Arial"/>
                <w:color w:val="000000" w:themeColor="text1"/>
                <w:lang w:eastAsia="en-US"/>
              </w:rPr>
              <w:t xml:space="preserve">по </w:t>
            </w:r>
            <w:r w:rsidRPr="00C2587D">
              <w:rPr>
                <w:lang w:eastAsia="it-IT"/>
              </w:rPr>
              <w:t xml:space="preserve">вул. </w:t>
            </w:r>
            <w:r w:rsidRPr="00C2587D">
              <w:rPr>
                <w:rFonts w:cs="Arial"/>
                <w:lang w:eastAsia="it-IT"/>
              </w:rPr>
              <w:t xml:space="preserve">Пушкіна 1 </w:t>
            </w:r>
            <w:r w:rsidRPr="00C2587D">
              <w:rPr>
                <w:rFonts w:eastAsia="Arial"/>
                <w:lang w:eastAsia="en-US"/>
              </w:rPr>
              <w:t>в м. Жмеринка</w:t>
            </w:r>
          </w:p>
          <w:p w14:paraId="49D20C73" w14:textId="77777777" w:rsidR="00CB33C7" w:rsidRPr="00C2587D" w:rsidRDefault="00CB33C7" w:rsidP="008D588A">
            <w:pPr>
              <w:spacing w:before="40" w:after="40"/>
              <w:jc w:val="both"/>
              <w:rPr>
                <w:lang w:eastAsia="it-IT"/>
              </w:rPr>
            </w:pPr>
            <w:r w:rsidRPr="00C2587D">
              <w:rPr>
                <w:lang w:eastAsia="it-IT"/>
              </w:rPr>
              <w:t>Введення  об’єкту в експлуатацію .</w:t>
            </w:r>
          </w:p>
          <w:p w14:paraId="1A3480D4" w14:textId="0AFDC395" w:rsidR="00CB33C7" w:rsidRPr="00C2587D" w:rsidRDefault="00CB33C7" w:rsidP="008D588A">
            <w:pPr>
              <w:spacing w:before="40" w:after="40"/>
              <w:jc w:val="both"/>
              <w:rPr>
                <w:sz w:val="16"/>
                <w:szCs w:val="16"/>
                <w:lang w:eastAsia="it-IT"/>
              </w:rPr>
            </w:pPr>
            <w:r w:rsidRPr="00C2587D">
              <w:rPr>
                <w:lang w:eastAsia="it-IT"/>
              </w:rPr>
              <w:t xml:space="preserve">Проведення інформаційних заходів (розміщення  інформації  про реалізацію  </w:t>
            </w:r>
            <w:r w:rsidR="00314B9D">
              <w:rPr>
                <w:lang w:eastAsia="it-IT"/>
              </w:rPr>
              <w:t>проєкту</w:t>
            </w:r>
            <w:r w:rsidRPr="00C2587D">
              <w:rPr>
                <w:lang w:eastAsia="it-IT"/>
              </w:rPr>
              <w:t xml:space="preserve"> у ЗМІ) .</w:t>
            </w:r>
          </w:p>
        </w:tc>
      </w:tr>
      <w:tr w:rsidR="00CB33C7" w:rsidRPr="00C2587D" w14:paraId="33266AAC" w14:textId="77777777" w:rsidTr="00EA6E27">
        <w:trPr>
          <w:jc w:val="right"/>
        </w:trPr>
        <w:tc>
          <w:tcPr>
            <w:tcW w:w="3425" w:type="dxa"/>
            <w:shd w:val="clear" w:color="auto" w:fill="FFFFFF"/>
            <w:vAlign w:val="center"/>
          </w:tcPr>
          <w:p w14:paraId="6D9B5FBB" w14:textId="77777777" w:rsidR="00CB33C7" w:rsidRPr="00C2587D" w:rsidRDefault="00CB33C7" w:rsidP="00EA6E27">
            <w:pPr>
              <w:rPr>
                <w:rFonts w:cs="Arial"/>
                <w:b/>
                <w:bCs/>
                <w:color w:val="000000"/>
                <w:szCs w:val="22"/>
              </w:rPr>
            </w:pPr>
            <w:r w:rsidRPr="00C2587D">
              <w:rPr>
                <w:rFonts w:cs="Arial"/>
                <w:b/>
                <w:bCs/>
                <w:color w:val="000000"/>
                <w:szCs w:val="22"/>
              </w:rPr>
              <w:t>Індикатори (показники) результативності:</w:t>
            </w:r>
          </w:p>
        </w:tc>
        <w:tc>
          <w:tcPr>
            <w:tcW w:w="6794" w:type="dxa"/>
            <w:gridSpan w:val="8"/>
          </w:tcPr>
          <w:p w14:paraId="7CB47CD8" w14:textId="4274E3F5" w:rsidR="00CB33C7" w:rsidRPr="00C2587D" w:rsidRDefault="008D588A" w:rsidP="008D588A">
            <w:pPr>
              <w:spacing w:before="40" w:after="40"/>
              <w:jc w:val="both"/>
              <w:rPr>
                <w:sz w:val="16"/>
                <w:szCs w:val="16"/>
                <w:lang w:eastAsia="it-IT"/>
              </w:rPr>
            </w:pPr>
            <w:r>
              <w:rPr>
                <w:rFonts w:eastAsia="Arial"/>
                <w:lang w:eastAsia="en-US"/>
              </w:rPr>
              <w:t>Ремонт</w:t>
            </w:r>
            <w:r w:rsidR="00CB33C7" w:rsidRPr="00C2587D">
              <w:rPr>
                <w:rFonts w:eastAsia="Arial"/>
                <w:lang w:eastAsia="en-US"/>
              </w:rPr>
              <w:t xml:space="preserve"> покрівлі, підсилення конструкції та фундаменту</w:t>
            </w:r>
          </w:p>
        </w:tc>
      </w:tr>
      <w:tr w:rsidR="00CB33C7" w:rsidRPr="00C2587D" w14:paraId="434E1ADA" w14:textId="77777777" w:rsidTr="00EA6E27">
        <w:trPr>
          <w:jc w:val="right"/>
        </w:trPr>
        <w:tc>
          <w:tcPr>
            <w:tcW w:w="3425" w:type="dxa"/>
            <w:shd w:val="clear" w:color="auto" w:fill="FFFFFF"/>
            <w:vAlign w:val="center"/>
          </w:tcPr>
          <w:p w14:paraId="63D71A3B" w14:textId="77777777" w:rsidR="00CB33C7" w:rsidRPr="00C2587D" w:rsidRDefault="00CB33C7" w:rsidP="00EA6E27">
            <w:pPr>
              <w:rPr>
                <w:rFonts w:cs="Arial"/>
                <w:b/>
                <w:color w:val="000000"/>
                <w:szCs w:val="22"/>
              </w:rPr>
            </w:pPr>
            <w:r w:rsidRPr="00C2587D">
              <w:rPr>
                <w:rFonts w:cs="Arial"/>
                <w:b/>
                <w:color w:val="000000"/>
                <w:szCs w:val="22"/>
              </w:rPr>
              <w:t xml:space="preserve">Період здійснення: </w:t>
            </w:r>
          </w:p>
        </w:tc>
        <w:tc>
          <w:tcPr>
            <w:tcW w:w="6794" w:type="dxa"/>
            <w:gridSpan w:val="8"/>
            <w:vAlign w:val="center"/>
          </w:tcPr>
          <w:p w14:paraId="4E1629CA" w14:textId="77777777" w:rsidR="00CB33C7" w:rsidRPr="00C2587D" w:rsidRDefault="00CB33C7" w:rsidP="00EA6E27">
            <w:pPr>
              <w:rPr>
                <w:rFonts w:cs="Arial"/>
                <w:color w:val="000000"/>
                <w:szCs w:val="22"/>
                <w:lang w:eastAsia="it-IT"/>
              </w:rPr>
            </w:pPr>
            <w:r w:rsidRPr="00C2587D">
              <w:rPr>
                <w:rFonts w:cs="Arial"/>
                <w:b/>
                <w:color w:val="000000"/>
                <w:szCs w:val="22"/>
              </w:rPr>
              <w:t>2025 – 2028 роки:</w:t>
            </w:r>
          </w:p>
        </w:tc>
      </w:tr>
      <w:tr w:rsidR="00CB33C7" w:rsidRPr="00C2587D" w14:paraId="3CA21BDC" w14:textId="77777777" w:rsidTr="00EA6E27">
        <w:trPr>
          <w:jc w:val="right"/>
        </w:trPr>
        <w:tc>
          <w:tcPr>
            <w:tcW w:w="3425" w:type="dxa"/>
            <w:vMerge w:val="restart"/>
            <w:shd w:val="clear" w:color="auto" w:fill="FFFFFF"/>
            <w:vAlign w:val="center"/>
          </w:tcPr>
          <w:p w14:paraId="2668E953" w14:textId="77777777" w:rsidR="00CB33C7" w:rsidRPr="00C2587D" w:rsidRDefault="00CB33C7" w:rsidP="00EA6E27">
            <w:pPr>
              <w:rPr>
                <w:rFonts w:cs="Arial"/>
                <w:b/>
                <w:bCs/>
                <w:color w:val="000000"/>
                <w:szCs w:val="22"/>
              </w:rPr>
            </w:pPr>
            <w:r w:rsidRPr="00C2587D">
              <w:rPr>
                <w:rFonts w:cs="Arial"/>
                <w:b/>
                <w:bCs/>
                <w:color w:val="000000"/>
                <w:szCs w:val="22"/>
              </w:rPr>
              <w:t>Орієнтовна вартість проєкту, тис. грн., в тому числі:</w:t>
            </w:r>
          </w:p>
        </w:tc>
        <w:tc>
          <w:tcPr>
            <w:tcW w:w="1254" w:type="dxa"/>
            <w:gridSpan w:val="2"/>
            <w:shd w:val="clear" w:color="auto" w:fill="E6E6E6"/>
            <w:vAlign w:val="center"/>
          </w:tcPr>
          <w:p w14:paraId="21CBDD9C" w14:textId="77777777" w:rsidR="00CB33C7" w:rsidRPr="00C2587D" w:rsidRDefault="00CB33C7" w:rsidP="00EA6E27">
            <w:pPr>
              <w:jc w:val="center"/>
              <w:rPr>
                <w:rFonts w:cs="Arial"/>
                <w:b/>
                <w:color w:val="000000"/>
                <w:szCs w:val="22"/>
                <w:lang w:eastAsia="it-IT"/>
              </w:rPr>
            </w:pPr>
            <w:r w:rsidRPr="00C2587D">
              <w:rPr>
                <w:rFonts w:cs="Arial"/>
                <w:b/>
                <w:color w:val="000000"/>
                <w:szCs w:val="22"/>
                <w:lang w:eastAsia="it-IT"/>
              </w:rPr>
              <w:t>2025</w:t>
            </w:r>
          </w:p>
        </w:tc>
        <w:tc>
          <w:tcPr>
            <w:tcW w:w="1412" w:type="dxa"/>
            <w:shd w:val="clear" w:color="auto" w:fill="E6E6E6"/>
            <w:vAlign w:val="center"/>
          </w:tcPr>
          <w:p w14:paraId="250175F3" w14:textId="77777777" w:rsidR="00CB33C7" w:rsidRPr="00C2587D" w:rsidRDefault="00CB33C7" w:rsidP="00EA6E27">
            <w:pPr>
              <w:jc w:val="center"/>
              <w:rPr>
                <w:rFonts w:cs="Arial"/>
                <w:b/>
                <w:color w:val="000000"/>
                <w:szCs w:val="22"/>
                <w:lang w:eastAsia="it-IT"/>
              </w:rPr>
            </w:pPr>
            <w:r w:rsidRPr="00C2587D">
              <w:rPr>
                <w:rFonts w:cs="Arial"/>
                <w:b/>
                <w:color w:val="000000"/>
                <w:szCs w:val="22"/>
                <w:lang w:eastAsia="it-IT"/>
              </w:rPr>
              <w:t>2026</w:t>
            </w:r>
          </w:p>
        </w:tc>
        <w:tc>
          <w:tcPr>
            <w:tcW w:w="1281" w:type="dxa"/>
            <w:gridSpan w:val="2"/>
            <w:tcBorders>
              <w:bottom w:val="single" w:sz="4" w:space="0" w:color="auto"/>
            </w:tcBorders>
            <w:shd w:val="clear" w:color="auto" w:fill="E6E6E6"/>
            <w:vAlign w:val="center"/>
          </w:tcPr>
          <w:p w14:paraId="4416C1AB" w14:textId="77777777" w:rsidR="00CB33C7" w:rsidRPr="00C2587D" w:rsidRDefault="00CB33C7" w:rsidP="00EA6E27">
            <w:pPr>
              <w:jc w:val="center"/>
              <w:rPr>
                <w:rFonts w:cs="Arial"/>
                <w:b/>
                <w:color w:val="000000"/>
                <w:szCs w:val="22"/>
                <w:lang w:eastAsia="it-IT"/>
              </w:rPr>
            </w:pPr>
            <w:r w:rsidRPr="00C2587D">
              <w:rPr>
                <w:rFonts w:cs="Arial"/>
                <w:b/>
                <w:color w:val="000000"/>
                <w:szCs w:val="22"/>
                <w:lang w:eastAsia="it-IT"/>
              </w:rPr>
              <w:t>2027</w:t>
            </w:r>
          </w:p>
        </w:tc>
        <w:tc>
          <w:tcPr>
            <w:tcW w:w="1276" w:type="dxa"/>
            <w:gridSpan w:val="2"/>
            <w:shd w:val="clear" w:color="auto" w:fill="E6E6E6"/>
            <w:vAlign w:val="center"/>
          </w:tcPr>
          <w:p w14:paraId="3810A785" w14:textId="77777777" w:rsidR="00CB33C7" w:rsidRPr="00C2587D" w:rsidRDefault="00CB33C7" w:rsidP="00EA6E27">
            <w:pPr>
              <w:jc w:val="center"/>
              <w:rPr>
                <w:rFonts w:cs="Arial"/>
                <w:b/>
                <w:color w:val="000000"/>
                <w:szCs w:val="22"/>
                <w:lang w:eastAsia="it-IT"/>
              </w:rPr>
            </w:pPr>
            <w:r w:rsidRPr="00C2587D">
              <w:rPr>
                <w:rFonts w:cs="Arial"/>
                <w:b/>
                <w:color w:val="000000"/>
                <w:szCs w:val="22"/>
                <w:lang w:eastAsia="it-IT"/>
              </w:rPr>
              <w:t>2028</w:t>
            </w:r>
          </w:p>
        </w:tc>
        <w:tc>
          <w:tcPr>
            <w:tcW w:w="1571" w:type="dxa"/>
            <w:shd w:val="clear" w:color="auto" w:fill="E6E6E6"/>
            <w:vAlign w:val="center"/>
          </w:tcPr>
          <w:p w14:paraId="71F77075" w14:textId="77777777" w:rsidR="00CB33C7" w:rsidRPr="00C2587D" w:rsidRDefault="00CB33C7" w:rsidP="00EA6E27">
            <w:pPr>
              <w:jc w:val="center"/>
              <w:rPr>
                <w:rFonts w:cs="Arial"/>
                <w:b/>
                <w:color w:val="000000"/>
                <w:szCs w:val="22"/>
                <w:lang w:eastAsia="it-IT"/>
              </w:rPr>
            </w:pPr>
            <w:r w:rsidRPr="00C2587D">
              <w:rPr>
                <w:rFonts w:cs="Arial"/>
                <w:b/>
                <w:color w:val="000000"/>
                <w:szCs w:val="22"/>
                <w:lang w:eastAsia="it-IT"/>
              </w:rPr>
              <w:t>РАЗОМ</w:t>
            </w:r>
          </w:p>
        </w:tc>
      </w:tr>
      <w:tr w:rsidR="00CB33C7" w:rsidRPr="00C2587D" w14:paraId="4DD5202B" w14:textId="77777777" w:rsidTr="00EA6E27">
        <w:trPr>
          <w:jc w:val="right"/>
        </w:trPr>
        <w:tc>
          <w:tcPr>
            <w:tcW w:w="3425" w:type="dxa"/>
            <w:vMerge/>
            <w:shd w:val="clear" w:color="auto" w:fill="FFFFFF"/>
            <w:vAlign w:val="center"/>
          </w:tcPr>
          <w:p w14:paraId="32139B5E" w14:textId="77777777" w:rsidR="00CB33C7" w:rsidRPr="00C2587D" w:rsidRDefault="00CB33C7" w:rsidP="00EA6E27">
            <w:pPr>
              <w:rPr>
                <w:rFonts w:cs="Arial"/>
                <w:b/>
                <w:bCs/>
                <w:color w:val="000000"/>
                <w:szCs w:val="22"/>
              </w:rPr>
            </w:pPr>
          </w:p>
        </w:tc>
        <w:tc>
          <w:tcPr>
            <w:tcW w:w="1254" w:type="dxa"/>
            <w:gridSpan w:val="2"/>
            <w:vAlign w:val="center"/>
          </w:tcPr>
          <w:p w14:paraId="353C33D3" w14:textId="77777777" w:rsidR="00CB33C7" w:rsidRPr="00C2587D" w:rsidRDefault="00CB33C7" w:rsidP="00EA6E27">
            <w:pPr>
              <w:jc w:val="center"/>
              <w:rPr>
                <w:rFonts w:cs="Arial"/>
                <w:b/>
                <w:color w:val="000000"/>
                <w:szCs w:val="22"/>
                <w:lang w:eastAsia="it-IT"/>
              </w:rPr>
            </w:pPr>
          </w:p>
        </w:tc>
        <w:tc>
          <w:tcPr>
            <w:tcW w:w="1412" w:type="dxa"/>
            <w:shd w:val="clear" w:color="auto" w:fill="FFFFFF"/>
            <w:vAlign w:val="center"/>
          </w:tcPr>
          <w:p w14:paraId="619CF4DA" w14:textId="77777777" w:rsidR="00CB33C7" w:rsidRPr="00C2587D" w:rsidRDefault="00CB33C7" w:rsidP="00EA6E27">
            <w:pPr>
              <w:jc w:val="center"/>
              <w:rPr>
                <w:rFonts w:cs="Arial"/>
                <w:b/>
                <w:color w:val="000000"/>
                <w:szCs w:val="22"/>
                <w:lang w:eastAsia="it-IT"/>
              </w:rPr>
            </w:pPr>
            <w:r w:rsidRPr="00C2587D">
              <w:rPr>
                <w:rFonts w:eastAsia="Arial" w:cs="Arial"/>
                <w:b/>
              </w:rPr>
              <w:t>7000,00</w:t>
            </w:r>
          </w:p>
        </w:tc>
        <w:tc>
          <w:tcPr>
            <w:tcW w:w="1281" w:type="dxa"/>
            <w:gridSpan w:val="2"/>
            <w:shd w:val="clear" w:color="auto" w:fill="auto"/>
            <w:vAlign w:val="center"/>
          </w:tcPr>
          <w:p w14:paraId="5D6A28CF" w14:textId="77777777" w:rsidR="00CB33C7" w:rsidRPr="00C2587D" w:rsidRDefault="00CB33C7" w:rsidP="00EA6E27">
            <w:pPr>
              <w:jc w:val="center"/>
              <w:rPr>
                <w:rFonts w:cs="Arial"/>
                <w:b/>
                <w:color w:val="000000"/>
                <w:szCs w:val="22"/>
                <w:lang w:eastAsia="it-IT"/>
              </w:rPr>
            </w:pPr>
          </w:p>
        </w:tc>
        <w:tc>
          <w:tcPr>
            <w:tcW w:w="1276" w:type="dxa"/>
            <w:gridSpan w:val="2"/>
            <w:shd w:val="clear" w:color="auto" w:fill="FFFFFF"/>
            <w:vAlign w:val="center"/>
          </w:tcPr>
          <w:p w14:paraId="4CAC7054" w14:textId="77777777" w:rsidR="00CB33C7" w:rsidRPr="00C2587D" w:rsidRDefault="00CB33C7" w:rsidP="00EA6E27">
            <w:pPr>
              <w:jc w:val="center"/>
              <w:rPr>
                <w:rFonts w:cs="Arial"/>
                <w:b/>
                <w:color w:val="000000"/>
                <w:szCs w:val="22"/>
                <w:lang w:eastAsia="it-IT"/>
              </w:rPr>
            </w:pPr>
          </w:p>
        </w:tc>
        <w:tc>
          <w:tcPr>
            <w:tcW w:w="1571" w:type="dxa"/>
            <w:shd w:val="clear" w:color="auto" w:fill="FFFFFF"/>
            <w:vAlign w:val="center"/>
          </w:tcPr>
          <w:p w14:paraId="0E5E2C46" w14:textId="77777777" w:rsidR="00CB33C7" w:rsidRPr="00C2587D" w:rsidRDefault="00CB33C7" w:rsidP="00EA6E27">
            <w:pPr>
              <w:jc w:val="center"/>
              <w:rPr>
                <w:rFonts w:cs="Arial"/>
                <w:b/>
                <w:color w:val="000000"/>
                <w:szCs w:val="22"/>
                <w:lang w:eastAsia="it-IT"/>
              </w:rPr>
            </w:pPr>
            <w:r w:rsidRPr="00C2587D">
              <w:rPr>
                <w:rFonts w:eastAsia="Arial" w:cs="Arial"/>
                <w:b/>
              </w:rPr>
              <w:t>7000,00</w:t>
            </w:r>
          </w:p>
        </w:tc>
      </w:tr>
      <w:tr w:rsidR="00CB33C7" w:rsidRPr="00C2587D" w14:paraId="18F719AA" w14:textId="77777777" w:rsidTr="00EA6E27">
        <w:trPr>
          <w:trHeight w:val="276"/>
          <w:jc w:val="right"/>
        </w:trPr>
        <w:tc>
          <w:tcPr>
            <w:tcW w:w="3425" w:type="dxa"/>
            <w:shd w:val="clear" w:color="auto" w:fill="FFFFFF"/>
            <w:vAlign w:val="center"/>
          </w:tcPr>
          <w:p w14:paraId="043FE7F1" w14:textId="77777777" w:rsidR="00CB33C7" w:rsidRPr="00C2587D" w:rsidRDefault="00CB33C7" w:rsidP="00EA6E27">
            <w:pPr>
              <w:rPr>
                <w:rFonts w:cs="Arial"/>
                <w:b/>
                <w:bCs/>
                <w:color w:val="000000"/>
                <w:szCs w:val="22"/>
              </w:rPr>
            </w:pPr>
            <w:r w:rsidRPr="00C2587D">
              <w:rPr>
                <w:rFonts w:cs="Arial"/>
                <w:b/>
                <w:bCs/>
                <w:color w:val="000000"/>
                <w:szCs w:val="22"/>
              </w:rPr>
              <w:t>по джерелах фінансування:</w:t>
            </w:r>
          </w:p>
        </w:tc>
        <w:tc>
          <w:tcPr>
            <w:tcW w:w="6794" w:type="dxa"/>
            <w:gridSpan w:val="8"/>
            <w:vAlign w:val="center"/>
          </w:tcPr>
          <w:p w14:paraId="22B1C59F" w14:textId="77777777" w:rsidR="00CB33C7" w:rsidRPr="00C2587D" w:rsidRDefault="00CB33C7" w:rsidP="00EA6E27">
            <w:pPr>
              <w:jc w:val="both"/>
              <w:rPr>
                <w:rFonts w:cs="Arial"/>
                <w:color w:val="000000"/>
                <w:szCs w:val="22"/>
                <w:lang w:eastAsia="it-IT"/>
              </w:rPr>
            </w:pPr>
          </w:p>
        </w:tc>
      </w:tr>
      <w:tr w:rsidR="008D588A" w:rsidRPr="00C2587D" w14:paraId="72E150A4" w14:textId="408FF377" w:rsidTr="008D588A">
        <w:trPr>
          <w:trHeight w:val="240"/>
          <w:jc w:val="right"/>
        </w:trPr>
        <w:tc>
          <w:tcPr>
            <w:tcW w:w="3425" w:type="dxa"/>
            <w:shd w:val="clear" w:color="auto" w:fill="FFFFFF"/>
            <w:vAlign w:val="center"/>
          </w:tcPr>
          <w:p w14:paraId="5AA04B60" w14:textId="77777777" w:rsidR="008D588A" w:rsidRPr="00C2587D" w:rsidRDefault="008D588A" w:rsidP="00EA6E27">
            <w:pPr>
              <w:rPr>
                <w:rFonts w:cs="Arial"/>
                <w:b/>
                <w:bCs/>
                <w:color w:val="000000"/>
                <w:szCs w:val="22"/>
              </w:rPr>
            </w:pPr>
            <w:r w:rsidRPr="00C2587D">
              <w:rPr>
                <w:rFonts w:cs="Arial"/>
                <w:color w:val="000000"/>
                <w:szCs w:val="22"/>
              </w:rPr>
              <w:t>- державний бюджет</w:t>
            </w:r>
          </w:p>
        </w:tc>
        <w:tc>
          <w:tcPr>
            <w:tcW w:w="1240" w:type="dxa"/>
            <w:vAlign w:val="center"/>
          </w:tcPr>
          <w:p w14:paraId="527879B1" w14:textId="7C4A9C60" w:rsidR="008D588A" w:rsidRPr="00C2587D" w:rsidRDefault="008D588A" w:rsidP="008D588A">
            <w:pPr>
              <w:jc w:val="center"/>
              <w:rPr>
                <w:rFonts w:cs="Arial"/>
                <w:color w:val="000000"/>
                <w:szCs w:val="22"/>
                <w:lang w:eastAsia="it-IT"/>
              </w:rPr>
            </w:pPr>
          </w:p>
        </w:tc>
        <w:tc>
          <w:tcPr>
            <w:tcW w:w="1465" w:type="dxa"/>
            <w:gridSpan w:val="3"/>
            <w:vAlign w:val="center"/>
          </w:tcPr>
          <w:p w14:paraId="21F4E570" w14:textId="1C695F10" w:rsidR="008D588A" w:rsidRPr="00C2587D" w:rsidRDefault="008D588A" w:rsidP="008D588A">
            <w:pPr>
              <w:ind w:left="156"/>
              <w:jc w:val="center"/>
              <w:rPr>
                <w:rFonts w:cs="Arial"/>
                <w:color w:val="000000"/>
                <w:szCs w:val="22"/>
                <w:lang w:eastAsia="it-IT"/>
              </w:rPr>
            </w:pPr>
            <w:r w:rsidRPr="00C2587D">
              <w:rPr>
                <w:rFonts w:eastAsia="Arial" w:cs="Arial"/>
              </w:rPr>
              <w:t>5600,00</w:t>
            </w:r>
          </w:p>
        </w:tc>
        <w:tc>
          <w:tcPr>
            <w:tcW w:w="1290" w:type="dxa"/>
            <w:gridSpan w:val="2"/>
            <w:vAlign w:val="center"/>
          </w:tcPr>
          <w:p w14:paraId="2434242E" w14:textId="5A734494" w:rsidR="008D588A" w:rsidRPr="00C2587D" w:rsidRDefault="008D588A" w:rsidP="008D588A">
            <w:pPr>
              <w:jc w:val="center"/>
              <w:rPr>
                <w:rFonts w:cs="Arial"/>
                <w:color w:val="000000"/>
                <w:szCs w:val="22"/>
                <w:lang w:eastAsia="it-IT"/>
              </w:rPr>
            </w:pPr>
          </w:p>
        </w:tc>
        <w:tc>
          <w:tcPr>
            <w:tcW w:w="1227" w:type="dxa"/>
            <w:vAlign w:val="center"/>
          </w:tcPr>
          <w:p w14:paraId="04076652" w14:textId="0501B93B" w:rsidR="008D588A" w:rsidRPr="00C2587D" w:rsidRDefault="008D588A" w:rsidP="008D588A">
            <w:pPr>
              <w:jc w:val="center"/>
              <w:rPr>
                <w:rFonts w:cs="Arial"/>
                <w:color w:val="000000"/>
                <w:szCs w:val="22"/>
                <w:lang w:eastAsia="it-IT"/>
              </w:rPr>
            </w:pPr>
          </w:p>
        </w:tc>
        <w:tc>
          <w:tcPr>
            <w:tcW w:w="1572" w:type="dxa"/>
            <w:vAlign w:val="center"/>
          </w:tcPr>
          <w:p w14:paraId="6D7BF205" w14:textId="7A360243" w:rsidR="008D588A" w:rsidRPr="008D588A" w:rsidRDefault="008D588A" w:rsidP="008D588A">
            <w:pPr>
              <w:ind w:left="85"/>
              <w:jc w:val="center"/>
              <w:rPr>
                <w:rFonts w:cs="Arial"/>
                <w:b/>
                <w:color w:val="000000"/>
                <w:szCs w:val="22"/>
                <w:lang w:eastAsia="it-IT"/>
              </w:rPr>
            </w:pPr>
            <w:r w:rsidRPr="008D588A">
              <w:rPr>
                <w:rFonts w:eastAsia="Arial" w:cs="Arial"/>
                <w:b/>
              </w:rPr>
              <w:t>5600,00</w:t>
            </w:r>
          </w:p>
        </w:tc>
      </w:tr>
      <w:tr w:rsidR="008D588A" w:rsidRPr="00C2587D" w14:paraId="35E6F8E1" w14:textId="02E1942D" w:rsidTr="008D588A">
        <w:trPr>
          <w:trHeight w:val="254"/>
          <w:jc w:val="right"/>
        </w:trPr>
        <w:tc>
          <w:tcPr>
            <w:tcW w:w="3425" w:type="dxa"/>
            <w:shd w:val="clear" w:color="auto" w:fill="FFFFFF"/>
            <w:vAlign w:val="center"/>
          </w:tcPr>
          <w:p w14:paraId="48DF9F82" w14:textId="77777777" w:rsidR="008D588A" w:rsidRPr="00C2587D" w:rsidRDefault="008D588A" w:rsidP="00EA6E27">
            <w:pPr>
              <w:rPr>
                <w:rFonts w:cs="Arial"/>
                <w:color w:val="000000"/>
                <w:szCs w:val="22"/>
              </w:rPr>
            </w:pPr>
            <w:r w:rsidRPr="00C2587D">
              <w:rPr>
                <w:rFonts w:cs="Arial"/>
                <w:color w:val="000000"/>
                <w:szCs w:val="22"/>
              </w:rPr>
              <w:t>- обласний бюджет</w:t>
            </w:r>
          </w:p>
        </w:tc>
        <w:tc>
          <w:tcPr>
            <w:tcW w:w="1240" w:type="dxa"/>
            <w:vAlign w:val="center"/>
          </w:tcPr>
          <w:p w14:paraId="45F728D9" w14:textId="77777777" w:rsidR="008D588A" w:rsidRPr="00C2587D" w:rsidRDefault="008D588A" w:rsidP="008D588A">
            <w:pPr>
              <w:jc w:val="center"/>
              <w:rPr>
                <w:rFonts w:cs="Arial"/>
                <w:color w:val="000000"/>
                <w:szCs w:val="22"/>
                <w:lang w:eastAsia="it-IT"/>
              </w:rPr>
            </w:pPr>
          </w:p>
        </w:tc>
        <w:tc>
          <w:tcPr>
            <w:tcW w:w="1465" w:type="dxa"/>
            <w:gridSpan w:val="3"/>
            <w:vAlign w:val="center"/>
          </w:tcPr>
          <w:p w14:paraId="5160D0C7" w14:textId="77777777" w:rsidR="008D588A" w:rsidRPr="00C2587D" w:rsidRDefault="008D588A" w:rsidP="008D588A">
            <w:pPr>
              <w:jc w:val="center"/>
              <w:rPr>
                <w:rFonts w:cs="Arial"/>
                <w:color w:val="000000"/>
                <w:szCs w:val="22"/>
                <w:lang w:eastAsia="it-IT"/>
              </w:rPr>
            </w:pPr>
          </w:p>
        </w:tc>
        <w:tc>
          <w:tcPr>
            <w:tcW w:w="1290" w:type="dxa"/>
            <w:gridSpan w:val="2"/>
            <w:vAlign w:val="center"/>
          </w:tcPr>
          <w:p w14:paraId="40E382C1" w14:textId="77777777" w:rsidR="008D588A" w:rsidRPr="00C2587D" w:rsidRDefault="008D588A" w:rsidP="008D588A">
            <w:pPr>
              <w:jc w:val="center"/>
              <w:rPr>
                <w:rFonts w:cs="Arial"/>
                <w:color w:val="000000"/>
                <w:szCs w:val="22"/>
                <w:lang w:eastAsia="it-IT"/>
              </w:rPr>
            </w:pPr>
          </w:p>
        </w:tc>
        <w:tc>
          <w:tcPr>
            <w:tcW w:w="1227" w:type="dxa"/>
            <w:vAlign w:val="center"/>
          </w:tcPr>
          <w:p w14:paraId="0AE37DEE" w14:textId="77777777" w:rsidR="008D588A" w:rsidRPr="00C2587D" w:rsidRDefault="008D588A" w:rsidP="008D588A">
            <w:pPr>
              <w:jc w:val="center"/>
              <w:rPr>
                <w:rFonts w:cs="Arial"/>
                <w:color w:val="000000"/>
                <w:szCs w:val="22"/>
                <w:lang w:eastAsia="it-IT"/>
              </w:rPr>
            </w:pPr>
          </w:p>
        </w:tc>
        <w:tc>
          <w:tcPr>
            <w:tcW w:w="1572" w:type="dxa"/>
            <w:vAlign w:val="center"/>
          </w:tcPr>
          <w:p w14:paraId="22FE2AA9" w14:textId="77777777" w:rsidR="008D588A" w:rsidRPr="008D588A" w:rsidRDefault="008D588A" w:rsidP="008D588A">
            <w:pPr>
              <w:jc w:val="center"/>
              <w:rPr>
                <w:rFonts w:cs="Arial"/>
                <w:b/>
                <w:color w:val="000000"/>
                <w:szCs w:val="22"/>
                <w:lang w:eastAsia="it-IT"/>
              </w:rPr>
            </w:pPr>
          </w:p>
        </w:tc>
      </w:tr>
      <w:tr w:rsidR="008D588A" w:rsidRPr="00C2587D" w14:paraId="191A3E3C" w14:textId="090418C8" w:rsidTr="008D588A">
        <w:trPr>
          <w:trHeight w:val="275"/>
          <w:jc w:val="right"/>
        </w:trPr>
        <w:tc>
          <w:tcPr>
            <w:tcW w:w="3425" w:type="dxa"/>
            <w:shd w:val="clear" w:color="auto" w:fill="FFFFFF"/>
            <w:vAlign w:val="center"/>
          </w:tcPr>
          <w:p w14:paraId="78E6A6BA" w14:textId="77777777" w:rsidR="008D588A" w:rsidRPr="00C2587D" w:rsidRDefault="008D588A" w:rsidP="00EA6E27">
            <w:pPr>
              <w:rPr>
                <w:rFonts w:cs="Arial"/>
                <w:color w:val="000000"/>
                <w:szCs w:val="22"/>
              </w:rPr>
            </w:pPr>
            <w:r w:rsidRPr="00C2587D">
              <w:rPr>
                <w:rFonts w:cs="Arial"/>
                <w:color w:val="000000"/>
                <w:szCs w:val="22"/>
              </w:rPr>
              <w:t>- бюджет Жмеринської МТГ</w:t>
            </w:r>
          </w:p>
        </w:tc>
        <w:tc>
          <w:tcPr>
            <w:tcW w:w="1240" w:type="dxa"/>
            <w:vAlign w:val="center"/>
          </w:tcPr>
          <w:p w14:paraId="4397295A" w14:textId="62B419CE" w:rsidR="008D588A" w:rsidRPr="00C2587D" w:rsidRDefault="008D588A" w:rsidP="008D588A">
            <w:pPr>
              <w:jc w:val="center"/>
              <w:rPr>
                <w:rFonts w:cs="Arial"/>
                <w:color w:val="000000"/>
                <w:szCs w:val="22"/>
                <w:lang w:eastAsia="it-IT"/>
              </w:rPr>
            </w:pPr>
          </w:p>
        </w:tc>
        <w:tc>
          <w:tcPr>
            <w:tcW w:w="1465" w:type="dxa"/>
            <w:gridSpan w:val="3"/>
            <w:vAlign w:val="center"/>
          </w:tcPr>
          <w:p w14:paraId="0842249B" w14:textId="732A7328" w:rsidR="008D588A" w:rsidRPr="00C2587D" w:rsidRDefault="008D588A" w:rsidP="008D588A">
            <w:pPr>
              <w:ind w:left="43"/>
              <w:jc w:val="center"/>
              <w:rPr>
                <w:rFonts w:cs="Arial"/>
                <w:color w:val="000000"/>
                <w:szCs w:val="22"/>
                <w:lang w:eastAsia="it-IT"/>
              </w:rPr>
            </w:pPr>
            <w:r w:rsidRPr="00C2587D">
              <w:rPr>
                <w:rFonts w:eastAsia="Arial" w:cs="Arial"/>
              </w:rPr>
              <w:t>1400,00</w:t>
            </w:r>
          </w:p>
        </w:tc>
        <w:tc>
          <w:tcPr>
            <w:tcW w:w="1290" w:type="dxa"/>
            <w:gridSpan w:val="2"/>
            <w:vAlign w:val="center"/>
          </w:tcPr>
          <w:p w14:paraId="607D6C93" w14:textId="1334FE02" w:rsidR="008D588A" w:rsidRPr="00C2587D" w:rsidRDefault="008D588A" w:rsidP="008D588A">
            <w:pPr>
              <w:jc w:val="center"/>
              <w:rPr>
                <w:rFonts w:cs="Arial"/>
                <w:color w:val="000000"/>
                <w:szCs w:val="22"/>
                <w:lang w:eastAsia="it-IT"/>
              </w:rPr>
            </w:pPr>
          </w:p>
        </w:tc>
        <w:tc>
          <w:tcPr>
            <w:tcW w:w="1227" w:type="dxa"/>
            <w:vAlign w:val="center"/>
          </w:tcPr>
          <w:p w14:paraId="3B9D502E" w14:textId="71C4DA5B" w:rsidR="008D588A" w:rsidRPr="00C2587D" w:rsidRDefault="008D588A" w:rsidP="008D588A">
            <w:pPr>
              <w:ind w:left="1037"/>
              <w:jc w:val="center"/>
              <w:rPr>
                <w:rFonts w:cs="Arial"/>
                <w:color w:val="000000"/>
                <w:szCs w:val="22"/>
                <w:lang w:eastAsia="it-IT"/>
              </w:rPr>
            </w:pPr>
          </w:p>
        </w:tc>
        <w:tc>
          <w:tcPr>
            <w:tcW w:w="1572" w:type="dxa"/>
            <w:vAlign w:val="center"/>
          </w:tcPr>
          <w:p w14:paraId="7D37700B" w14:textId="59717C92" w:rsidR="008D588A" w:rsidRPr="008D588A" w:rsidRDefault="008D588A" w:rsidP="008D588A">
            <w:pPr>
              <w:jc w:val="center"/>
              <w:rPr>
                <w:rFonts w:cs="Arial"/>
                <w:b/>
                <w:color w:val="000000"/>
                <w:szCs w:val="22"/>
                <w:lang w:eastAsia="it-IT"/>
              </w:rPr>
            </w:pPr>
            <w:r w:rsidRPr="008D588A">
              <w:rPr>
                <w:rFonts w:eastAsia="Arial" w:cs="Arial"/>
                <w:b/>
              </w:rPr>
              <w:t>1400,00</w:t>
            </w:r>
          </w:p>
        </w:tc>
      </w:tr>
      <w:tr w:rsidR="008D588A" w:rsidRPr="00C2587D" w14:paraId="46D9B493" w14:textId="02C30FB0" w:rsidTr="008D588A">
        <w:trPr>
          <w:trHeight w:val="226"/>
          <w:jc w:val="right"/>
        </w:trPr>
        <w:tc>
          <w:tcPr>
            <w:tcW w:w="3425" w:type="dxa"/>
            <w:shd w:val="clear" w:color="auto" w:fill="FFFFFF"/>
            <w:vAlign w:val="center"/>
          </w:tcPr>
          <w:p w14:paraId="1ED243CA" w14:textId="77777777" w:rsidR="008D588A" w:rsidRPr="00C2587D" w:rsidRDefault="008D588A" w:rsidP="00EA6E27">
            <w:pPr>
              <w:rPr>
                <w:rFonts w:cs="Arial"/>
                <w:color w:val="000000"/>
                <w:szCs w:val="22"/>
              </w:rPr>
            </w:pPr>
            <w:r w:rsidRPr="00C2587D">
              <w:rPr>
                <w:rFonts w:cs="Arial"/>
                <w:color w:val="000000"/>
                <w:szCs w:val="22"/>
              </w:rPr>
              <w:t>- інші джерела фінансування</w:t>
            </w:r>
          </w:p>
        </w:tc>
        <w:tc>
          <w:tcPr>
            <w:tcW w:w="1240" w:type="dxa"/>
            <w:vAlign w:val="center"/>
          </w:tcPr>
          <w:p w14:paraId="037F5482" w14:textId="77777777" w:rsidR="008D588A" w:rsidRPr="00C2587D" w:rsidRDefault="008D588A" w:rsidP="008D588A">
            <w:pPr>
              <w:jc w:val="center"/>
              <w:rPr>
                <w:rFonts w:cs="Arial"/>
                <w:color w:val="000000"/>
                <w:szCs w:val="22"/>
                <w:lang w:eastAsia="it-IT"/>
              </w:rPr>
            </w:pPr>
          </w:p>
        </w:tc>
        <w:tc>
          <w:tcPr>
            <w:tcW w:w="1465" w:type="dxa"/>
            <w:gridSpan w:val="3"/>
            <w:vAlign w:val="center"/>
          </w:tcPr>
          <w:p w14:paraId="692777E2" w14:textId="77777777" w:rsidR="008D588A" w:rsidRPr="00C2587D" w:rsidRDefault="008D588A" w:rsidP="008D588A">
            <w:pPr>
              <w:jc w:val="center"/>
              <w:rPr>
                <w:rFonts w:cs="Arial"/>
                <w:color w:val="000000"/>
                <w:szCs w:val="22"/>
                <w:lang w:eastAsia="it-IT"/>
              </w:rPr>
            </w:pPr>
          </w:p>
        </w:tc>
        <w:tc>
          <w:tcPr>
            <w:tcW w:w="1290" w:type="dxa"/>
            <w:gridSpan w:val="2"/>
            <w:vAlign w:val="center"/>
          </w:tcPr>
          <w:p w14:paraId="352ADD40" w14:textId="77777777" w:rsidR="008D588A" w:rsidRPr="00C2587D" w:rsidRDefault="008D588A" w:rsidP="008D588A">
            <w:pPr>
              <w:jc w:val="center"/>
              <w:rPr>
                <w:rFonts w:cs="Arial"/>
                <w:color w:val="000000"/>
                <w:szCs w:val="22"/>
                <w:lang w:eastAsia="it-IT"/>
              </w:rPr>
            </w:pPr>
          </w:p>
        </w:tc>
        <w:tc>
          <w:tcPr>
            <w:tcW w:w="1227" w:type="dxa"/>
            <w:vAlign w:val="center"/>
          </w:tcPr>
          <w:p w14:paraId="71E7EAD1" w14:textId="77777777" w:rsidR="008D588A" w:rsidRPr="00C2587D" w:rsidRDefault="008D588A" w:rsidP="008D588A">
            <w:pPr>
              <w:jc w:val="center"/>
              <w:rPr>
                <w:rFonts w:cs="Arial"/>
                <w:color w:val="000000"/>
                <w:szCs w:val="22"/>
                <w:lang w:eastAsia="it-IT"/>
              </w:rPr>
            </w:pPr>
          </w:p>
        </w:tc>
        <w:tc>
          <w:tcPr>
            <w:tcW w:w="1572" w:type="dxa"/>
            <w:vAlign w:val="center"/>
          </w:tcPr>
          <w:p w14:paraId="103D71A9" w14:textId="77777777" w:rsidR="008D588A" w:rsidRPr="00C2587D" w:rsidRDefault="008D588A" w:rsidP="008D588A">
            <w:pPr>
              <w:jc w:val="center"/>
              <w:rPr>
                <w:rFonts w:cs="Arial"/>
                <w:color w:val="000000"/>
                <w:szCs w:val="22"/>
                <w:lang w:eastAsia="it-IT"/>
              </w:rPr>
            </w:pPr>
          </w:p>
        </w:tc>
      </w:tr>
      <w:tr w:rsidR="00CB33C7" w:rsidRPr="00C2587D" w14:paraId="10771E4F" w14:textId="77777777" w:rsidTr="00EA6E27">
        <w:trPr>
          <w:jc w:val="right"/>
        </w:trPr>
        <w:tc>
          <w:tcPr>
            <w:tcW w:w="3425" w:type="dxa"/>
            <w:shd w:val="clear" w:color="auto" w:fill="FFFFFF"/>
            <w:vAlign w:val="center"/>
          </w:tcPr>
          <w:p w14:paraId="28F151D5" w14:textId="77777777" w:rsidR="00CB33C7" w:rsidRPr="00C2587D" w:rsidRDefault="00CB33C7" w:rsidP="00EA6E27">
            <w:pPr>
              <w:rPr>
                <w:rFonts w:cs="Arial"/>
                <w:b/>
                <w:bCs/>
                <w:color w:val="000000"/>
                <w:szCs w:val="22"/>
              </w:rPr>
            </w:pPr>
            <w:r w:rsidRPr="00C2587D">
              <w:rPr>
                <w:rFonts w:cs="Arial"/>
                <w:b/>
                <w:color w:val="000000"/>
                <w:szCs w:val="22"/>
              </w:rPr>
              <w:t>Відповідальний виконавець проєкту:</w:t>
            </w:r>
          </w:p>
        </w:tc>
        <w:tc>
          <w:tcPr>
            <w:tcW w:w="6794" w:type="dxa"/>
            <w:gridSpan w:val="8"/>
            <w:vAlign w:val="center"/>
          </w:tcPr>
          <w:p w14:paraId="58DA2E2F" w14:textId="06F44555" w:rsidR="00CB33C7" w:rsidRDefault="00CB33C7" w:rsidP="00EA6E27">
            <w:pPr>
              <w:jc w:val="both"/>
              <w:rPr>
                <w:rFonts w:cs="Arial"/>
                <w:color w:val="000000"/>
                <w:szCs w:val="22"/>
                <w:lang w:eastAsia="it-IT"/>
              </w:rPr>
            </w:pPr>
            <w:r w:rsidRPr="00C2587D">
              <w:rPr>
                <w:rFonts w:cs="Arial"/>
                <w:color w:val="000000"/>
                <w:szCs w:val="22"/>
                <w:lang w:eastAsia="it-IT"/>
              </w:rPr>
              <w:t>Управління ЖКГ.</w:t>
            </w:r>
          </w:p>
          <w:p w14:paraId="64147D02" w14:textId="77777777" w:rsidR="008D588A" w:rsidRPr="00C2587D" w:rsidRDefault="008D588A" w:rsidP="00EA6E27">
            <w:pPr>
              <w:jc w:val="both"/>
              <w:rPr>
                <w:rFonts w:cs="Arial"/>
                <w:color w:val="000000"/>
                <w:szCs w:val="22"/>
                <w:lang w:eastAsia="it-IT"/>
              </w:rPr>
            </w:pPr>
          </w:p>
          <w:p w14:paraId="452AA7E0" w14:textId="77777777" w:rsidR="00CB33C7" w:rsidRPr="00C2587D" w:rsidRDefault="00CB33C7" w:rsidP="00EA6E27">
            <w:pPr>
              <w:jc w:val="both"/>
              <w:rPr>
                <w:rFonts w:cs="Arial"/>
                <w:color w:val="000000"/>
                <w:szCs w:val="22"/>
                <w:lang w:eastAsia="it-IT"/>
              </w:rPr>
            </w:pPr>
          </w:p>
        </w:tc>
      </w:tr>
      <w:tr w:rsidR="00CB33C7" w:rsidRPr="00C2587D" w14:paraId="51B86E73" w14:textId="77777777" w:rsidTr="00EA6E27">
        <w:trPr>
          <w:jc w:val="right"/>
        </w:trPr>
        <w:tc>
          <w:tcPr>
            <w:tcW w:w="3425" w:type="dxa"/>
            <w:shd w:val="clear" w:color="auto" w:fill="FFFFFF"/>
            <w:vAlign w:val="center"/>
          </w:tcPr>
          <w:p w14:paraId="44D27FAF" w14:textId="77777777" w:rsidR="00CB33C7" w:rsidRPr="00C2587D" w:rsidRDefault="00CB33C7" w:rsidP="00EA6E27">
            <w:pPr>
              <w:rPr>
                <w:rFonts w:cs="Arial"/>
                <w:b/>
                <w:bCs/>
                <w:color w:val="000000"/>
                <w:szCs w:val="22"/>
              </w:rPr>
            </w:pPr>
            <w:r w:rsidRPr="00C2587D">
              <w:rPr>
                <w:rFonts w:cs="Arial"/>
                <w:b/>
                <w:bCs/>
                <w:color w:val="000000"/>
                <w:szCs w:val="22"/>
              </w:rPr>
              <w:t>Інше:</w:t>
            </w:r>
          </w:p>
        </w:tc>
        <w:tc>
          <w:tcPr>
            <w:tcW w:w="6794" w:type="dxa"/>
            <w:gridSpan w:val="8"/>
            <w:vAlign w:val="center"/>
          </w:tcPr>
          <w:p w14:paraId="5A79453F" w14:textId="77777777" w:rsidR="00CB33C7" w:rsidRPr="00C2587D" w:rsidRDefault="00CB33C7" w:rsidP="00EA6E27">
            <w:pPr>
              <w:rPr>
                <w:rFonts w:cs="Arial"/>
                <w:color w:val="000000"/>
                <w:szCs w:val="22"/>
                <w:lang w:eastAsia="it-IT"/>
              </w:rPr>
            </w:pPr>
          </w:p>
          <w:p w14:paraId="79627892" w14:textId="77777777" w:rsidR="00CB33C7" w:rsidRPr="00C2587D" w:rsidRDefault="00CB33C7" w:rsidP="00EA6E27">
            <w:pPr>
              <w:rPr>
                <w:rFonts w:cs="Arial"/>
                <w:color w:val="000000"/>
                <w:szCs w:val="22"/>
                <w:lang w:eastAsia="it-IT"/>
              </w:rPr>
            </w:pPr>
          </w:p>
        </w:tc>
      </w:tr>
    </w:tbl>
    <w:p w14:paraId="2B7223E5" w14:textId="77777777" w:rsidR="00CB33C7" w:rsidRPr="00C2587D" w:rsidRDefault="00CB33C7" w:rsidP="00CB33C7"/>
    <w:p w14:paraId="54D7D42B" w14:textId="77777777" w:rsidR="00CB33C7" w:rsidRPr="00C2587D" w:rsidRDefault="00CB33C7" w:rsidP="00CB33C7"/>
    <w:p w14:paraId="76F35680" w14:textId="77777777" w:rsidR="00CB33C7" w:rsidRPr="00C2587D" w:rsidRDefault="00CB33C7" w:rsidP="00CB33C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704A6761" w14:textId="77777777" w:rsidR="00CB33C7" w:rsidRPr="00C2587D" w:rsidRDefault="00CB33C7" w:rsidP="00CB33C7">
      <w:pPr>
        <w:jc w:val="center"/>
        <w:rPr>
          <w:rFonts w:cs="Arial"/>
          <w:b/>
          <w:color w:val="000000"/>
          <w:szCs w:val="22"/>
        </w:rPr>
      </w:pPr>
      <w:r w:rsidRPr="00C2587D">
        <w:rPr>
          <w:rFonts w:cs="Arial"/>
          <w:b/>
          <w:color w:val="000000"/>
          <w:szCs w:val="22"/>
        </w:rPr>
        <w:t>до Плану заходів з реалізації Стратегії</w:t>
      </w:r>
    </w:p>
    <w:p w14:paraId="716CF03E" w14:textId="77777777" w:rsidR="00CB33C7" w:rsidRPr="00C2587D" w:rsidRDefault="00CB33C7" w:rsidP="00CB33C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40"/>
        <w:gridCol w:w="14"/>
        <w:gridCol w:w="1401"/>
        <w:gridCol w:w="11"/>
        <w:gridCol w:w="1266"/>
        <w:gridCol w:w="15"/>
        <w:gridCol w:w="1262"/>
        <w:gridCol w:w="14"/>
        <w:gridCol w:w="1571"/>
      </w:tblGrid>
      <w:tr w:rsidR="00CB33C7" w:rsidRPr="00C2587D" w14:paraId="2701084A" w14:textId="77777777" w:rsidTr="00EA6E27">
        <w:trPr>
          <w:jc w:val="right"/>
        </w:trPr>
        <w:tc>
          <w:tcPr>
            <w:tcW w:w="3425" w:type="dxa"/>
            <w:vAlign w:val="center"/>
          </w:tcPr>
          <w:p w14:paraId="7B496C09" w14:textId="77777777" w:rsidR="00CB33C7" w:rsidRPr="00C2587D" w:rsidRDefault="00CB33C7" w:rsidP="00EA6E27">
            <w:pPr>
              <w:rPr>
                <w:rFonts w:cs="Arial"/>
                <w:b/>
                <w:bCs/>
                <w:color w:val="000000"/>
                <w:szCs w:val="22"/>
              </w:rPr>
            </w:pPr>
            <w:r w:rsidRPr="00C2587D">
              <w:rPr>
                <w:rFonts w:cs="Arial"/>
                <w:b/>
                <w:bCs/>
                <w:color w:val="000000"/>
                <w:szCs w:val="22"/>
              </w:rPr>
              <w:t>Назва проєкту:</w:t>
            </w:r>
          </w:p>
        </w:tc>
        <w:tc>
          <w:tcPr>
            <w:tcW w:w="6794" w:type="dxa"/>
            <w:gridSpan w:val="9"/>
          </w:tcPr>
          <w:p w14:paraId="4AC29CAA" w14:textId="77777777" w:rsidR="00CB33C7" w:rsidRPr="00C2587D" w:rsidRDefault="00CB33C7" w:rsidP="008D588A">
            <w:pPr>
              <w:spacing w:before="40" w:after="40"/>
              <w:jc w:val="both"/>
              <w:rPr>
                <w:b/>
                <w:lang w:eastAsia="it-IT"/>
              </w:rPr>
            </w:pPr>
            <w:r w:rsidRPr="00C2587D">
              <w:rPr>
                <w:rFonts w:eastAsia="Arial"/>
                <w:b/>
              </w:rPr>
              <w:t>Капітальний ремонт багатоквартирного житлового будинку по вул. Шекінська 51А Жмеринка Вінницької області (усунення аварійної ситуації)</w:t>
            </w:r>
          </w:p>
        </w:tc>
      </w:tr>
      <w:tr w:rsidR="00CB33C7" w:rsidRPr="00C2587D" w14:paraId="77800047" w14:textId="77777777" w:rsidTr="00EA6E27">
        <w:trPr>
          <w:jc w:val="right"/>
        </w:trPr>
        <w:tc>
          <w:tcPr>
            <w:tcW w:w="3425" w:type="dxa"/>
          </w:tcPr>
          <w:p w14:paraId="6DA7D340" w14:textId="77777777" w:rsidR="00CB33C7" w:rsidRPr="00C2587D" w:rsidRDefault="00CB33C7" w:rsidP="00EA6E27">
            <w:pPr>
              <w:spacing w:before="40" w:after="40"/>
              <w:rPr>
                <w:rFonts w:cs="Arial"/>
                <w:sz w:val="20"/>
                <w:szCs w:val="22"/>
                <w:lang w:eastAsia="it-IT"/>
              </w:rPr>
            </w:pPr>
            <w:r w:rsidRPr="00C2587D">
              <w:rPr>
                <w:rFonts w:cs="Arial"/>
                <w:b/>
                <w:bCs/>
                <w:szCs w:val="22"/>
              </w:rPr>
              <w:t>Ваші контакти</w:t>
            </w:r>
            <w:r w:rsidRPr="00C2587D">
              <w:rPr>
                <w:rFonts w:cs="Arial"/>
                <w:sz w:val="20"/>
                <w:szCs w:val="22"/>
                <w:lang w:eastAsia="it-IT"/>
              </w:rPr>
              <w:t>:</w:t>
            </w:r>
          </w:p>
          <w:p w14:paraId="5A602C52" w14:textId="77777777" w:rsidR="00CB33C7" w:rsidRPr="00C2587D" w:rsidRDefault="00CB33C7" w:rsidP="00EA6E27">
            <w:pPr>
              <w:spacing w:before="40" w:after="40"/>
              <w:rPr>
                <w:rFonts w:cs="Arial"/>
                <w:b/>
                <w:bCs/>
                <w:szCs w:val="22"/>
              </w:rPr>
            </w:pPr>
            <w:r w:rsidRPr="00C2587D">
              <w:rPr>
                <w:rFonts w:cs="Arial"/>
                <w:sz w:val="20"/>
                <w:szCs w:val="22"/>
                <w:lang w:eastAsia="it-IT"/>
              </w:rPr>
              <w:t>Назва установи, організації, підприємства</w:t>
            </w:r>
          </w:p>
        </w:tc>
        <w:tc>
          <w:tcPr>
            <w:tcW w:w="6794" w:type="dxa"/>
            <w:gridSpan w:val="9"/>
          </w:tcPr>
          <w:p w14:paraId="3691192F" w14:textId="77777777" w:rsidR="00CB33C7" w:rsidRPr="00C2587D" w:rsidRDefault="00CB33C7" w:rsidP="00EA6E27">
            <w:pPr>
              <w:spacing w:before="40" w:after="40"/>
              <w:rPr>
                <w:lang w:eastAsia="it-IT"/>
              </w:rPr>
            </w:pPr>
            <w:r w:rsidRPr="00C2587D">
              <w:rPr>
                <w:lang w:eastAsia="it-IT"/>
              </w:rPr>
              <w:t>Управління житлово-комунального господарства Жмеринської міської ради</w:t>
            </w:r>
          </w:p>
        </w:tc>
      </w:tr>
      <w:tr w:rsidR="00CB33C7" w:rsidRPr="00C2587D" w14:paraId="33236E47" w14:textId="77777777" w:rsidTr="00EA6E27">
        <w:trPr>
          <w:jc w:val="right"/>
        </w:trPr>
        <w:tc>
          <w:tcPr>
            <w:tcW w:w="3425" w:type="dxa"/>
          </w:tcPr>
          <w:p w14:paraId="0497ACB1" w14:textId="77777777" w:rsidR="00CB33C7" w:rsidRPr="00C2587D" w:rsidRDefault="00CB33C7" w:rsidP="00EA6E27">
            <w:pPr>
              <w:spacing w:before="40" w:after="40"/>
              <w:rPr>
                <w:rFonts w:cs="Arial"/>
                <w:b/>
                <w:bCs/>
                <w:szCs w:val="22"/>
              </w:rPr>
            </w:pPr>
            <w:r w:rsidRPr="00C2587D">
              <w:rPr>
                <w:rFonts w:cs="Arial"/>
                <w:sz w:val="20"/>
                <w:szCs w:val="22"/>
                <w:lang w:eastAsia="it-IT"/>
              </w:rPr>
              <w:t>Прізвище Ім’я По-батькові:</w:t>
            </w:r>
          </w:p>
        </w:tc>
        <w:tc>
          <w:tcPr>
            <w:tcW w:w="6794" w:type="dxa"/>
            <w:gridSpan w:val="9"/>
          </w:tcPr>
          <w:p w14:paraId="49C8B062" w14:textId="77777777" w:rsidR="00CB33C7" w:rsidRPr="00C2587D" w:rsidRDefault="00CB33C7" w:rsidP="00EA6E27">
            <w:pPr>
              <w:spacing w:before="40" w:after="40"/>
              <w:rPr>
                <w:lang w:eastAsia="it-IT"/>
              </w:rPr>
            </w:pPr>
            <w:r w:rsidRPr="00C2587D">
              <w:rPr>
                <w:lang w:eastAsia="it-IT"/>
              </w:rPr>
              <w:t>Оленич Андрій Васильович</w:t>
            </w:r>
          </w:p>
        </w:tc>
      </w:tr>
      <w:tr w:rsidR="00CB33C7" w:rsidRPr="00C2587D" w14:paraId="05773499" w14:textId="77777777" w:rsidTr="00EA6E27">
        <w:trPr>
          <w:jc w:val="right"/>
        </w:trPr>
        <w:tc>
          <w:tcPr>
            <w:tcW w:w="3425" w:type="dxa"/>
          </w:tcPr>
          <w:p w14:paraId="714A68FD" w14:textId="77777777" w:rsidR="00CB33C7" w:rsidRPr="00C2587D" w:rsidRDefault="00CB33C7" w:rsidP="00EA6E27">
            <w:pPr>
              <w:spacing w:before="40" w:after="40"/>
              <w:rPr>
                <w:rFonts w:cs="Arial"/>
                <w:b/>
                <w:bCs/>
                <w:szCs w:val="22"/>
              </w:rPr>
            </w:pPr>
            <w:r w:rsidRPr="00C2587D">
              <w:rPr>
                <w:rFonts w:cs="Arial"/>
                <w:sz w:val="20"/>
                <w:szCs w:val="22"/>
                <w:lang w:eastAsia="it-IT"/>
              </w:rPr>
              <w:t>Телефон (мобільний):</w:t>
            </w:r>
          </w:p>
        </w:tc>
        <w:tc>
          <w:tcPr>
            <w:tcW w:w="6794" w:type="dxa"/>
            <w:gridSpan w:val="9"/>
          </w:tcPr>
          <w:p w14:paraId="4EAAB1E3" w14:textId="77777777" w:rsidR="00CB33C7" w:rsidRPr="00C2587D" w:rsidRDefault="00CB33C7" w:rsidP="00EA6E27">
            <w:pPr>
              <w:spacing w:before="40" w:after="40"/>
              <w:rPr>
                <w:lang w:eastAsia="it-IT"/>
              </w:rPr>
            </w:pPr>
            <w:r w:rsidRPr="00C2587D">
              <w:rPr>
                <w:lang w:eastAsia="it-IT"/>
              </w:rPr>
              <w:t>0972561907</w:t>
            </w:r>
          </w:p>
        </w:tc>
      </w:tr>
      <w:tr w:rsidR="00CB33C7" w:rsidRPr="00C2587D" w14:paraId="7D96DD43" w14:textId="77777777" w:rsidTr="00EA6E27">
        <w:trPr>
          <w:jc w:val="right"/>
        </w:trPr>
        <w:tc>
          <w:tcPr>
            <w:tcW w:w="3425" w:type="dxa"/>
          </w:tcPr>
          <w:p w14:paraId="492990F9" w14:textId="77777777" w:rsidR="00CB33C7" w:rsidRPr="00C2587D" w:rsidRDefault="00CB33C7" w:rsidP="00EA6E27">
            <w:pPr>
              <w:spacing w:before="40" w:after="40"/>
              <w:rPr>
                <w:rFonts w:cs="Arial"/>
                <w:b/>
                <w:bCs/>
                <w:szCs w:val="22"/>
              </w:rPr>
            </w:pPr>
            <w:r w:rsidRPr="00C2587D">
              <w:rPr>
                <w:rFonts w:cs="Arial"/>
                <w:sz w:val="20"/>
                <w:szCs w:val="22"/>
                <w:lang w:eastAsia="it-IT"/>
              </w:rPr>
              <w:t>Електронна адреса:</w:t>
            </w:r>
          </w:p>
        </w:tc>
        <w:tc>
          <w:tcPr>
            <w:tcW w:w="6794" w:type="dxa"/>
            <w:gridSpan w:val="9"/>
          </w:tcPr>
          <w:p w14:paraId="5AAB6D8F" w14:textId="77777777" w:rsidR="00CB33C7" w:rsidRPr="00C2587D" w:rsidRDefault="00D85FFD" w:rsidP="00EA6E27">
            <w:pPr>
              <w:spacing w:before="40" w:after="40"/>
              <w:rPr>
                <w:lang w:eastAsia="it-IT"/>
              </w:rPr>
            </w:pPr>
            <w:hyperlink r:id="rId86" w:history="1">
              <w:r w:rsidR="00CB33C7" w:rsidRPr="00C2587D">
                <w:rPr>
                  <w:rStyle w:val="af0"/>
                  <w:noProof w:val="0"/>
                  <w:sz w:val="24"/>
                  <w:lang w:eastAsia="it-IT"/>
                </w:rPr>
                <w:t>Aolenych03@ukr.net</w:t>
              </w:r>
            </w:hyperlink>
          </w:p>
        </w:tc>
      </w:tr>
      <w:tr w:rsidR="00CB33C7" w:rsidRPr="00C2587D" w14:paraId="4D3B95E3" w14:textId="77777777" w:rsidTr="00EA6E27">
        <w:trPr>
          <w:jc w:val="right"/>
        </w:trPr>
        <w:tc>
          <w:tcPr>
            <w:tcW w:w="3425" w:type="dxa"/>
            <w:vAlign w:val="center"/>
          </w:tcPr>
          <w:p w14:paraId="1FB35D23" w14:textId="77777777" w:rsidR="00CB33C7" w:rsidRPr="00C2587D" w:rsidRDefault="00CB33C7" w:rsidP="00EA6E27">
            <w:pPr>
              <w:pStyle w:val="6"/>
              <w:spacing w:before="0" w:after="0"/>
              <w:rPr>
                <w:rFonts w:ascii="Arial" w:hAnsi="Arial" w:cs="Arial"/>
                <w:color w:val="000000"/>
                <w:lang w:val="uk-UA"/>
              </w:rPr>
            </w:pPr>
            <w:r w:rsidRPr="00C2587D">
              <w:rPr>
                <w:rFonts w:ascii="Arial" w:hAnsi="Arial" w:cs="Arial"/>
                <w:color w:val="000000"/>
                <w:lang w:val="uk-UA"/>
              </w:rPr>
              <w:t>Номер і назва завдання з Стратегії</w:t>
            </w:r>
            <w:r w:rsidRPr="00C2587D">
              <w:rPr>
                <w:rFonts w:ascii="Arial" w:hAnsi="Arial" w:cs="Arial"/>
                <w:sz w:val="16"/>
                <w:szCs w:val="16"/>
                <w:lang w:val="uk-UA" w:eastAsia="it-IT"/>
              </w:rPr>
              <w:t xml:space="preserve"> </w:t>
            </w:r>
            <w:r w:rsidRPr="00C2587D">
              <w:rPr>
                <w:rFonts w:ascii="Arial" w:hAnsi="Arial" w:cs="Arial"/>
                <w:color w:val="000000"/>
                <w:lang w:val="uk-UA"/>
              </w:rPr>
              <w:t xml:space="preserve">розвитку Жмеринської міської </w:t>
            </w:r>
          </w:p>
        </w:tc>
        <w:tc>
          <w:tcPr>
            <w:tcW w:w="6794" w:type="dxa"/>
            <w:gridSpan w:val="9"/>
            <w:vAlign w:val="center"/>
          </w:tcPr>
          <w:p w14:paraId="3F08BCB1" w14:textId="77777777" w:rsidR="00CB33C7" w:rsidRPr="00C2587D" w:rsidRDefault="00CB33C7" w:rsidP="00EA6E27">
            <w:pPr>
              <w:spacing w:before="20" w:after="20"/>
              <w:contextualSpacing/>
              <w:rPr>
                <w:rFonts w:eastAsia="Lucida Sans Unicode" w:cs="Arial"/>
                <w:kern w:val="1"/>
                <w:lang w:eastAsia="ar-SA"/>
              </w:rPr>
            </w:pPr>
            <w:r w:rsidRPr="00C2587D">
              <w:rPr>
                <w:rFonts w:eastAsia="Lucida Sans Unicode" w:cs="Arial"/>
                <w:kern w:val="1"/>
                <w:lang w:eastAsia="ar-SA"/>
              </w:rPr>
              <w:t>В.1.5.3. Модернізація конструктивних елементів багатоповерхових будинків.</w:t>
            </w:r>
          </w:p>
        </w:tc>
      </w:tr>
      <w:tr w:rsidR="00CB33C7" w:rsidRPr="00C2587D" w14:paraId="34F6AC16" w14:textId="77777777" w:rsidTr="00EA6E27">
        <w:trPr>
          <w:jc w:val="right"/>
        </w:trPr>
        <w:tc>
          <w:tcPr>
            <w:tcW w:w="3425" w:type="dxa"/>
            <w:vAlign w:val="center"/>
          </w:tcPr>
          <w:p w14:paraId="01F1F92A" w14:textId="77777777" w:rsidR="00CB33C7" w:rsidRPr="00C2587D" w:rsidRDefault="00CB33C7" w:rsidP="00EA6E27">
            <w:pPr>
              <w:rPr>
                <w:rFonts w:cs="Arial"/>
                <w:b/>
                <w:bCs/>
                <w:color w:val="000000"/>
                <w:szCs w:val="22"/>
              </w:rPr>
            </w:pPr>
            <w:r w:rsidRPr="00C2587D">
              <w:rPr>
                <w:rFonts w:cs="Arial"/>
                <w:b/>
                <w:bCs/>
                <w:color w:val="000000"/>
                <w:szCs w:val="22"/>
              </w:rPr>
              <w:t>Мета проєкту:</w:t>
            </w:r>
          </w:p>
        </w:tc>
        <w:tc>
          <w:tcPr>
            <w:tcW w:w="6794" w:type="dxa"/>
            <w:gridSpan w:val="9"/>
          </w:tcPr>
          <w:p w14:paraId="3AF06F9D" w14:textId="77777777" w:rsidR="00CB33C7" w:rsidRPr="00C2587D" w:rsidRDefault="00CB33C7" w:rsidP="00EA6E27">
            <w:pPr>
              <w:spacing w:before="40" w:after="40"/>
              <w:jc w:val="both"/>
              <w:rPr>
                <w:lang w:eastAsia="it-IT"/>
              </w:rPr>
            </w:pPr>
            <w:r w:rsidRPr="00C2587D">
              <w:rPr>
                <w:rFonts w:cs="Arial"/>
                <w:lang w:eastAsia="it-IT"/>
              </w:rPr>
              <w:t>Забезпечення гідних умов проживання мешканців будинку по вул. Шекінська, 51А, в м. Жмеринка</w:t>
            </w:r>
          </w:p>
        </w:tc>
      </w:tr>
      <w:tr w:rsidR="00CB33C7" w:rsidRPr="00C2587D" w14:paraId="44962652" w14:textId="77777777" w:rsidTr="00EA6E27">
        <w:trPr>
          <w:jc w:val="right"/>
        </w:trPr>
        <w:tc>
          <w:tcPr>
            <w:tcW w:w="3425" w:type="dxa"/>
            <w:vAlign w:val="center"/>
          </w:tcPr>
          <w:p w14:paraId="76348E7F" w14:textId="77777777" w:rsidR="00CB33C7" w:rsidRPr="00C2587D" w:rsidRDefault="00CB33C7" w:rsidP="00EA6E27">
            <w:pPr>
              <w:rPr>
                <w:rFonts w:cs="Arial"/>
                <w:b/>
                <w:bCs/>
                <w:color w:val="000000"/>
                <w:szCs w:val="22"/>
              </w:rPr>
            </w:pPr>
            <w:r w:rsidRPr="00C2587D">
              <w:rPr>
                <w:rFonts w:cs="Arial"/>
                <w:b/>
                <w:bCs/>
                <w:color w:val="000000"/>
                <w:szCs w:val="22"/>
              </w:rPr>
              <w:t>Цілі проєкту:</w:t>
            </w:r>
          </w:p>
        </w:tc>
        <w:tc>
          <w:tcPr>
            <w:tcW w:w="6794" w:type="dxa"/>
            <w:gridSpan w:val="9"/>
          </w:tcPr>
          <w:p w14:paraId="594B9B6A" w14:textId="77777777" w:rsidR="00CB33C7" w:rsidRPr="00C2587D" w:rsidRDefault="00CB33C7" w:rsidP="00EA6E27">
            <w:pPr>
              <w:spacing w:before="40" w:after="40"/>
              <w:rPr>
                <w:lang w:eastAsia="it-IT"/>
              </w:rPr>
            </w:pPr>
            <w:r w:rsidRPr="00C2587D">
              <w:rPr>
                <w:rFonts w:cs="Arial"/>
                <w:lang w:eastAsia="it-IT"/>
              </w:rPr>
              <w:t>Покращити житловий стан будинку по вул. Шекінська, 51А,в м. Жмеринка</w:t>
            </w:r>
          </w:p>
        </w:tc>
      </w:tr>
      <w:tr w:rsidR="00CB33C7" w:rsidRPr="00C2587D" w14:paraId="0FA4C556" w14:textId="77777777" w:rsidTr="00EA6E27">
        <w:trPr>
          <w:jc w:val="right"/>
        </w:trPr>
        <w:tc>
          <w:tcPr>
            <w:tcW w:w="3425" w:type="dxa"/>
            <w:vAlign w:val="center"/>
          </w:tcPr>
          <w:p w14:paraId="4F48F872" w14:textId="77777777" w:rsidR="00CB33C7" w:rsidRPr="00C2587D" w:rsidRDefault="00CB33C7" w:rsidP="00EA6E27">
            <w:pPr>
              <w:autoSpaceDE w:val="0"/>
              <w:autoSpaceDN w:val="0"/>
              <w:adjustRightInd w:val="0"/>
              <w:rPr>
                <w:rFonts w:cs="Arial"/>
                <w:b/>
                <w:color w:val="000000"/>
                <w:szCs w:val="22"/>
              </w:rPr>
            </w:pPr>
            <w:r w:rsidRPr="00C2587D">
              <w:rPr>
                <w:rFonts w:cs="Arial"/>
                <w:b/>
                <w:color w:val="000000"/>
                <w:szCs w:val="22"/>
              </w:rPr>
              <w:t>Територія на яку проєкт матиме вплив:</w:t>
            </w:r>
          </w:p>
        </w:tc>
        <w:tc>
          <w:tcPr>
            <w:tcW w:w="6794" w:type="dxa"/>
            <w:gridSpan w:val="9"/>
          </w:tcPr>
          <w:p w14:paraId="3D701364" w14:textId="77777777" w:rsidR="00CB33C7" w:rsidRPr="00C2587D" w:rsidRDefault="00CB33C7" w:rsidP="00EA6E27">
            <w:pPr>
              <w:spacing w:before="40" w:after="40"/>
              <w:rPr>
                <w:lang w:eastAsia="it-IT"/>
              </w:rPr>
            </w:pPr>
            <w:r w:rsidRPr="00C2587D">
              <w:rPr>
                <w:lang w:eastAsia="it-IT"/>
              </w:rPr>
              <w:t xml:space="preserve">Території м. </w:t>
            </w:r>
            <w:r w:rsidRPr="00C2587D">
              <w:rPr>
                <w:rFonts w:cs="Arial"/>
                <w:lang w:eastAsia="it-IT"/>
              </w:rPr>
              <w:t xml:space="preserve">Жмеринка                                                                                                                                                                                                                                                                     </w:t>
            </w:r>
          </w:p>
        </w:tc>
      </w:tr>
      <w:tr w:rsidR="00CB33C7" w:rsidRPr="00C2587D" w14:paraId="2E1DAB8B" w14:textId="77777777" w:rsidTr="00EA6E27">
        <w:trPr>
          <w:jc w:val="right"/>
        </w:trPr>
        <w:tc>
          <w:tcPr>
            <w:tcW w:w="3425" w:type="dxa"/>
            <w:vAlign w:val="center"/>
          </w:tcPr>
          <w:p w14:paraId="3F333E32" w14:textId="77777777" w:rsidR="00CB33C7" w:rsidRPr="00C2587D" w:rsidRDefault="00CB33C7" w:rsidP="00EA6E27">
            <w:pPr>
              <w:autoSpaceDE w:val="0"/>
              <w:autoSpaceDN w:val="0"/>
              <w:adjustRightInd w:val="0"/>
              <w:rPr>
                <w:rFonts w:cs="Arial"/>
                <w:b/>
                <w:color w:val="000000"/>
                <w:szCs w:val="22"/>
              </w:rPr>
            </w:pPr>
            <w:r w:rsidRPr="00C2587D">
              <w:rPr>
                <w:rFonts w:cs="Arial"/>
                <w:b/>
                <w:color w:val="000000"/>
                <w:szCs w:val="22"/>
              </w:rPr>
              <w:t>Цільові групи проєкту та кількість отримувачів вигоди</w:t>
            </w:r>
          </w:p>
        </w:tc>
        <w:tc>
          <w:tcPr>
            <w:tcW w:w="6794" w:type="dxa"/>
            <w:gridSpan w:val="9"/>
          </w:tcPr>
          <w:p w14:paraId="2BE5E8B8" w14:textId="77777777" w:rsidR="00CB33C7" w:rsidRPr="00C2587D" w:rsidRDefault="00CB33C7" w:rsidP="00EA6E27">
            <w:pPr>
              <w:spacing w:before="40" w:after="40"/>
              <w:rPr>
                <w:lang w:eastAsia="it-IT"/>
              </w:rPr>
            </w:pPr>
            <w:r w:rsidRPr="00C2587D">
              <w:rPr>
                <w:lang w:eastAsia="it-IT"/>
              </w:rPr>
              <w:t xml:space="preserve">Мешканці будинку по </w:t>
            </w:r>
            <w:r w:rsidRPr="00C2587D">
              <w:rPr>
                <w:rFonts w:cs="Arial"/>
                <w:lang w:eastAsia="it-IT"/>
              </w:rPr>
              <w:t>вул. Шекінська, 51А</w:t>
            </w:r>
            <w:r w:rsidRPr="00C2587D">
              <w:rPr>
                <w:lang w:eastAsia="it-IT"/>
              </w:rPr>
              <w:t>, в кількості 45 осіб</w:t>
            </w:r>
          </w:p>
        </w:tc>
      </w:tr>
      <w:tr w:rsidR="00CB33C7" w:rsidRPr="00C2587D" w14:paraId="7FC94247" w14:textId="77777777" w:rsidTr="00EA6E27">
        <w:trPr>
          <w:jc w:val="right"/>
        </w:trPr>
        <w:tc>
          <w:tcPr>
            <w:tcW w:w="3425" w:type="dxa"/>
            <w:shd w:val="clear" w:color="auto" w:fill="FFFFFF"/>
            <w:vAlign w:val="center"/>
          </w:tcPr>
          <w:p w14:paraId="434ABF06" w14:textId="77777777" w:rsidR="00CB33C7" w:rsidRPr="00C2587D" w:rsidRDefault="00CB33C7" w:rsidP="00EA6E27">
            <w:pPr>
              <w:rPr>
                <w:rFonts w:cs="Arial"/>
                <w:b/>
                <w:bCs/>
                <w:color w:val="000000"/>
                <w:szCs w:val="22"/>
              </w:rPr>
            </w:pPr>
            <w:r w:rsidRPr="00C2587D">
              <w:rPr>
                <w:rFonts w:cs="Arial"/>
                <w:b/>
                <w:bCs/>
                <w:color w:val="000000"/>
                <w:szCs w:val="22"/>
              </w:rPr>
              <w:t>Стислий опис проєкту:</w:t>
            </w:r>
          </w:p>
        </w:tc>
        <w:tc>
          <w:tcPr>
            <w:tcW w:w="6794" w:type="dxa"/>
            <w:gridSpan w:val="9"/>
          </w:tcPr>
          <w:p w14:paraId="258F269E" w14:textId="77777777" w:rsidR="00CB33C7" w:rsidRPr="00C2587D" w:rsidRDefault="00CB33C7" w:rsidP="008D588A">
            <w:pPr>
              <w:spacing w:before="40" w:after="40"/>
              <w:jc w:val="both"/>
              <w:rPr>
                <w:lang w:eastAsia="it-IT"/>
              </w:rPr>
            </w:pPr>
            <w:r w:rsidRPr="00C2587D">
              <w:rPr>
                <w:lang w:eastAsia="it-IT"/>
              </w:rPr>
              <w:t>Ремонт забезпечить гідні умови проживання для жителів багатоквартирного будинку,  що дасть необхідну ізоляцію, гідний зовнішній вигляд, та позитивно відобразиться на умовах життя мешканців будинку.</w:t>
            </w:r>
          </w:p>
        </w:tc>
      </w:tr>
      <w:tr w:rsidR="00CB33C7" w:rsidRPr="00C2587D" w14:paraId="1B5BCD4C" w14:textId="77777777" w:rsidTr="00EA6E27">
        <w:trPr>
          <w:jc w:val="right"/>
        </w:trPr>
        <w:tc>
          <w:tcPr>
            <w:tcW w:w="3425" w:type="dxa"/>
            <w:shd w:val="clear" w:color="auto" w:fill="FFFFFF"/>
            <w:vAlign w:val="center"/>
          </w:tcPr>
          <w:p w14:paraId="6700978D" w14:textId="77777777" w:rsidR="00CB33C7" w:rsidRPr="00C2587D" w:rsidRDefault="00CB33C7" w:rsidP="00EA6E27">
            <w:pPr>
              <w:rPr>
                <w:rFonts w:cs="Arial"/>
                <w:b/>
                <w:bCs/>
                <w:color w:val="000000"/>
                <w:szCs w:val="22"/>
              </w:rPr>
            </w:pPr>
            <w:r w:rsidRPr="00C2587D">
              <w:rPr>
                <w:rFonts w:cs="Arial"/>
                <w:b/>
                <w:bCs/>
                <w:color w:val="000000"/>
                <w:szCs w:val="22"/>
              </w:rPr>
              <w:t>Основні заходи проєкту:</w:t>
            </w:r>
          </w:p>
        </w:tc>
        <w:tc>
          <w:tcPr>
            <w:tcW w:w="6794" w:type="dxa"/>
            <w:gridSpan w:val="9"/>
          </w:tcPr>
          <w:p w14:paraId="1CC2DC82" w14:textId="1F482710" w:rsidR="00CB33C7" w:rsidRPr="00C2587D" w:rsidRDefault="00CB33C7" w:rsidP="008D588A">
            <w:pPr>
              <w:spacing w:before="40" w:after="40"/>
              <w:jc w:val="both"/>
              <w:rPr>
                <w:lang w:eastAsia="it-IT"/>
              </w:rPr>
            </w:pPr>
            <w:r w:rsidRPr="00C2587D">
              <w:rPr>
                <w:lang w:eastAsia="it-IT"/>
              </w:rPr>
              <w:t xml:space="preserve">Створення робочої групи з питань реалізації </w:t>
            </w:r>
            <w:r w:rsidR="00314B9D">
              <w:rPr>
                <w:lang w:eastAsia="it-IT"/>
              </w:rPr>
              <w:t>проєкту</w:t>
            </w:r>
            <w:r w:rsidRPr="00C2587D">
              <w:rPr>
                <w:lang w:eastAsia="it-IT"/>
              </w:rPr>
              <w:t xml:space="preserve">. </w:t>
            </w:r>
          </w:p>
          <w:p w14:paraId="7A922A5C" w14:textId="77777777" w:rsidR="00CB33C7" w:rsidRPr="00C2587D" w:rsidRDefault="00CB33C7" w:rsidP="008D588A">
            <w:pPr>
              <w:spacing w:before="40" w:after="40"/>
              <w:jc w:val="both"/>
              <w:rPr>
                <w:lang w:eastAsia="it-IT"/>
              </w:rPr>
            </w:pPr>
            <w:r w:rsidRPr="00C2587D">
              <w:rPr>
                <w:lang w:eastAsia="it-IT"/>
              </w:rPr>
              <w:t>Проведення процедури закупівель (визначення виконавця робіт).</w:t>
            </w:r>
          </w:p>
          <w:p w14:paraId="54700208" w14:textId="77777777" w:rsidR="00CB33C7" w:rsidRPr="00C2587D" w:rsidRDefault="00CB33C7" w:rsidP="008D588A">
            <w:pPr>
              <w:spacing w:before="40" w:after="40"/>
              <w:jc w:val="both"/>
              <w:rPr>
                <w:lang w:eastAsia="it-IT"/>
              </w:rPr>
            </w:pPr>
            <w:r w:rsidRPr="00C2587D">
              <w:rPr>
                <w:lang w:eastAsia="it-IT"/>
              </w:rPr>
              <w:t>Укладення договорів з виконавцем робіт, організаціями, що здійснюватимуть  технічний та авторський  нагляд .</w:t>
            </w:r>
          </w:p>
          <w:p w14:paraId="680ADB6C" w14:textId="000D76DC" w:rsidR="00CB33C7" w:rsidRPr="00C2587D" w:rsidRDefault="00CB33C7" w:rsidP="008D588A">
            <w:pPr>
              <w:spacing w:before="40" w:after="40"/>
              <w:jc w:val="both"/>
              <w:rPr>
                <w:lang w:eastAsia="it-IT"/>
              </w:rPr>
            </w:pPr>
            <w:r w:rsidRPr="00C2587D">
              <w:rPr>
                <w:lang w:eastAsia="it-IT"/>
              </w:rPr>
              <w:t xml:space="preserve">Виконання робіт з </w:t>
            </w:r>
            <w:r w:rsidRPr="00C2587D">
              <w:rPr>
                <w:rFonts w:eastAsia="Arial"/>
                <w:color w:val="000000" w:themeColor="text1"/>
                <w:lang w:eastAsia="en-US"/>
              </w:rPr>
              <w:t>капітального ремонту багатоквартирного житлового будинку</w:t>
            </w:r>
            <w:r w:rsidR="008D588A">
              <w:rPr>
                <w:rFonts w:eastAsia="Arial"/>
                <w:color w:val="000000" w:themeColor="text1"/>
                <w:lang w:eastAsia="en-US"/>
              </w:rPr>
              <w:t xml:space="preserve"> </w:t>
            </w:r>
            <w:r w:rsidRPr="00C2587D">
              <w:rPr>
                <w:rFonts w:eastAsia="Arial"/>
                <w:color w:val="000000" w:themeColor="text1"/>
                <w:lang w:eastAsia="en-US"/>
              </w:rPr>
              <w:t xml:space="preserve">по </w:t>
            </w:r>
            <w:r w:rsidRPr="00C2587D">
              <w:rPr>
                <w:rFonts w:cs="Arial"/>
                <w:lang w:eastAsia="it-IT"/>
              </w:rPr>
              <w:t>вул. Шекінська, 51А</w:t>
            </w:r>
            <w:r w:rsidRPr="00C2587D">
              <w:rPr>
                <w:rFonts w:eastAsia="Arial"/>
                <w:lang w:eastAsia="en-US"/>
              </w:rPr>
              <w:t xml:space="preserve"> в м. Жмеринка</w:t>
            </w:r>
          </w:p>
          <w:p w14:paraId="0390BB5E" w14:textId="77777777" w:rsidR="00CB33C7" w:rsidRPr="00C2587D" w:rsidRDefault="00CB33C7" w:rsidP="008D588A">
            <w:pPr>
              <w:spacing w:before="40" w:after="40"/>
              <w:jc w:val="both"/>
              <w:rPr>
                <w:lang w:eastAsia="it-IT"/>
              </w:rPr>
            </w:pPr>
            <w:r w:rsidRPr="00C2587D">
              <w:rPr>
                <w:lang w:eastAsia="it-IT"/>
              </w:rPr>
              <w:t>Введення  об’єкту в експлуатацію .</w:t>
            </w:r>
          </w:p>
          <w:p w14:paraId="6270C5A9" w14:textId="1D989B94" w:rsidR="00CB33C7" w:rsidRPr="00C2587D" w:rsidRDefault="00CB33C7" w:rsidP="008D588A">
            <w:pPr>
              <w:spacing w:before="40" w:after="40"/>
              <w:jc w:val="both"/>
              <w:rPr>
                <w:sz w:val="16"/>
                <w:szCs w:val="16"/>
                <w:lang w:eastAsia="it-IT"/>
              </w:rPr>
            </w:pPr>
            <w:r w:rsidRPr="00C2587D">
              <w:rPr>
                <w:lang w:eastAsia="it-IT"/>
              </w:rPr>
              <w:t xml:space="preserve">Проведення інформаційних заходів (розміщення  інформації  про реалізацію  </w:t>
            </w:r>
            <w:r w:rsidR="00314B9D">
              <w:rPr>
                <w:lang w:eastAsia="it-IT"/>
              </w:rPr>
              <w:t>проєкту</w:t>
            </w:r>
            <w:r w:rsidRPr="00C2587D">
              <w:rPr>
                <w:lang w:eastAsia="it-IT"/>
              </w:rPr>
              <w:t xml:space="preserve"> у ЗМІ) .</w:t>
            </w:r>
          </w:p>
        </w:tc>
      </w:tr>
      <w:tr w:rsidR="00CB33C7" w:rsidRPr="00C2587D" w14:paraId="3DF5CB87" w14:textId="77777777" w:rsidTr="00EA6E27">
        <w:trPr>
          <w:jc w:val="right"/>
        </w:trPr>
        <w:tc>
          <w:tcPr>
            <w:tcW w:w="3425" w:type="dxa"/>
            <w:shd w:val="clear" w:color="auto" w:fill="FFFFFF"/>
            <w:vAlign w:val="center"/>
          </w:tcPr>
          <w:p w14:paraId="2BDF9B7A" w14:textId="77777777" w:rsidR="00CB33C7" w:rsidRPr="00C2587D" w:rsidRDefault="00CB33C7" w:rsidP="00EA6E27">
            <w:pPr>
              <w:rPr>
                <w:rFonts w:cs="Arial"/>
                <w:b/>
                <w:bCs/>
                <w:color w:val="000000"/>
                <w:szCs w:val="22"/>
              </w:rPr>
            </w:pPr>
            <w:r w:rsidRPr="00C2587D">
              <w:rPr>
                <w:rFonts w:cs="Arial"/>
                <w:b/>
                <w:bCs/>
                <w:color w:val="000000"/>
                <w:szCs w:val="22"/>
              </w:rPr>
              <w:t>Індикатори (показники) результативності:</w:t>
            </w:r>
          </w:p>
        </w:tc>
        <w:tc>
          <w:tcPr>
            <w:tcW w:w="6794" w:type="dxa"/>
            <w:gridSpan w:val="9"/>
          </w:tcPr>
          <w:p w14:paraId="3C5C5A02" w14:textId="38BB0A4A" w:rsidR="00CB33C7" w:rsidRPr="00C2587D" w:rsidRDefault="00CB33C7" w:rsidP="008D588A">
            <w:pPr>
              <w:spacing w:before="40" w:after="40"/>
              <w:jc w:val="both"/>
              <w:rPr>
                <w:sz w:val="16"/>
                <w:szCs w:val="16"/>
                <w:lang w:eastAsia="it-IT"/>
              </w:rPr>
            </w:pPr>
            <w:r w:rsidRPr="00C2587D">
              <w:rPr>
                <w:rFonts w:eastAsia="Arial"/>
                <w:lang w:eastAsia="en-US"/>
              </w:rPr>
              <w:t>Ремонт покрівлі, підсилення конструкції та фундаменту</w:t>
            </w:r>
          </w:p>
        </w:tc>
      </w:tr>
      <w:tr w:rsidR="00CB33C7" w:rsidRPr="00C2587D" w14:paraId="2AD03B27" w14:textId="77777777" w:rsidTr="00EA6E27">
        <w:trPr>
          <w:jc w:val="right"/>
        </w:trPr>
        <w:tc>
          <w:tcPr>
            <w:tcW w:w="3425" w:type="dxa"/>
            <w:shd w:val="clear" w:color="auto" w:fill="FFFFFF"/>
            <w:vAlign w:val="center"/>
          </w:tcPr>
          <w:p w14:paraId="198DDADA" w14:textId="77777777" w:rsidR="00CB33C7" w:rsidRPr="00C2587D" w:rsidRDefault="00CB33C7" w:rsidP="00EA6E27">
            <w:pPr>
              <w:rPr>
                <w:rFonts w:cs="Arial"/>
                <w:b/>
                <w:color w:val="000000"/>
                <w:szCs w:val="22"/>
              </w:rPr>
            </w:pPr>
            <w:r w:rsidRPr="00C2587D">
              <w:rPr>
                <w:rFonts w:cs="Arial"/>
                <w:b/>
                <w:color w:val="000000"/>
                <w:szCs w:val="22"/>
              </w:rPr>
              <w:t xml:space="preserve">Період здійснення: </w:t>
            </w:r>
          </w:p>
        </w:tc>
        <w:tc>
          <w:tcPr>
            <w:tcW w:w="6794" w:type="dxa"/>
            <w:gridSpan w:val="9"/>
            <w:vAlign w:val="center"/>
          </w:tcPr>
          <w:p w14:paraId="7211AABE" w14:textId="77777777" w:rsidR="00CB33C7" w:rsidRPr="00C2587D" w:rsidRDefault="00CB33C7" w:rsidP="00EA6E27">
            <w:pPr>
              <w:rPr>
                <w:rFonts w:cs="Arial"/>
                <w:color w:val="000000"/>
                <w:szCs w:val="22"/>
                <w:lang w:eastAsia="it-IT"/>
              </w:rPr>
            </w:pPr>
            <w:r w:rsidRPr="00C2587D">
              <w:rPr>
                <w:rFonts w:cs="Arial"/>
                <w:b/>
                <w:color w:val="000000"/>
                <w:szCs w:val="22"/>
              </w:rPr>
              <w:t>2025 – 2028 роки:</w:t>
            </w:r>
          </w:p>
        </w:tc>
      </w:tr>
      <w:tr w:rsidR="00CB33C7" w:rsidRPr="00C2587D" w14:paraId="3165C28D" w14:textId="77777777" w:rsidTr="00EA6E27">
        <w:trPr>
          <w:jc w:val="right"/>
        </w:trPr>
        <w:tc>
          <w:tcPr>
            <w:tcW w:w="3425" w:type="dxa"/>
            <w:vMerge w:val="restart"/>
            <w:shd w:val="clear" w:color="auto" w:fill="FFFFFF"/>
            <w:vAlign w:val="center"/>
          </w:tcPr>
          <w:p w14:paraId="117A1206" w14:textId="77777777" w:rsidR="00CB33C7" w:rsidRPr="00C2587D" w:rsidRDefault="00CB33C7" w:rsidP="00EA6E27">
            <w:pPr>
              <w:rPr>
                <w:rFonts w:cs="Arial"/>
                <w:b/>
                <w:bCs/>
                <w:color w:val="000000"/>
                <w:szCs w:val="22"/>
              </w:rPr>
            </w:pPr>
            <w:r w:rsidRPr="00C2587D">
              <w:rPr>
                <w:rFonts w:cs="Arial"/>
                <w:b/>
                <w:bCs/>
                <w:color w:val="000000"/>
                <w:szCs w:val="22"/>
              </w:rPr>
              <w:t>Орієнтовна вартість проєкту, тис. грн., в тому числі:</w:t>
            </w:r>
          </w:p>
        </w:tc>
        <w:tc>
          <w:tcPr>
            <w:tcW w:w="1254" w:type="dxa"/>
            <w:gridSpan w:val="2"/>
            <w:shd w:val="clear" w:color="auto" w:fill="E6E6E6"/>
            <w:vAlign w:val="center"/>
          </w:tcPr>
          <w:p w14:paraId="13123544" w14:textId="77777777" w:rsidR="00CB33C7" w:rsidRPr="00C2587D" w:rsidRDefault="00CB33C7" w:rsidP="00EA6E27">
            <w:pPr>
              <w:jc w:val="center"/>
              <w:rPr>
                <w:rFonts w:cs="Arial"/>
                <w:b/>
                <w:color w:val="000000"/>
                <w:szCs w:val="22"/>
                <w:lang w:eastAsia="it-IT"/>
              </w:rPr>
            </w:pPr>
            <w:r w:rsidRPr="00C2587D">
              <w:rPr>
                <w:rFonts w:cs="Arial"/>
                <w:b/>
                <w:color w:val="000000"/>
                <w:szCs w:val="22"/>
                <w:lang w:eastAsia="it-IT"/>
              </w:rPr>
              <w:t>2025</w:t>
            </w:r>
          </w:p>
        </w:tc>
        <w:tc>
          <w:tcPr>
            <w:tcW w:w="1412" w:type="dxa"/>
            <w:gridSpan w:val="2"/>
            <w:shd w:val="clear" w:color="auto" w:fill="E6E6E6"/>
            <w:vAlign w:val="center"/>
          </w:tcPr>
          <w:p w14:paraId="3C923750" w14:textId="77777777" w:rsidR="00CB33C7" w:rsidRPr="00C2587D" w:rsidRDefault="00CB33C7" w:rsidP="00EA6E27">
            <w:pPr>
              <w:jc w:val="center"/>
              <w:rPr>
                <w:rFonts w:cs="Arial"/>
                <w:b/>
                <w:color w:val="000000"/>
                <w:szCs w:val="22"/>
                <w:lang w:eastAsia="it-IT"/>
              </w:rPr>
            </w:pPr>
            <w:r w:rsidRPr="00C2587D">
              <w:rPr>
                <w:rFonts w:cs="Arial"/>
                <w:b/>
                <w:color w:val="000000"/>
                <w:szCs w:val="22"/>
                <w:lang w:eastAsia="it-IT"/>
              </w:rPr>
              <w:t>2026</w:t>
            </w:r>
          </w:p>
        </w:tc>
        <w:tc>
          <w:tcPr>
            <w:tcW w:w="1281" w:type="dxa"/>
            <w:gridSpan w:val="2"/>
            <w:tcBorders>
              <w:bottom w:val="single" w:sz="4" w:space="0" w:color="auto"/>
            </w:tcBorders>
            <w:shd w:val="clear" w:color="auto" w:fill="E6E6E6"/>
            <w:vAlign w:val="center"/>
          </w:tcPr>
          <w:p w14:paraId="5060C816" w14:textId="77777777" w:rsidR="00CB33C7" w:rsidRPr="00C2587D" w:rsidRDefault="00CB33C7" w:rsidP="00EA6E27">
            <w:pPr>
              <w:jc w:val="center"/>
              <w:rPr>
                <w:rFonts w:cs="Arial"/>
                <w:b/>
                <w:color w:val="000000"/>
                <w:szCs w:val="22"/>
                <w:lang w:eastAsia="it-IT"/>
              </w:rPr>
            </w:pPr>
            <w:r w:rsidRPr="00C2587D">
              <w:rPr>
                <w:rFonts w:cs="Arial"/>
                <w:b/>
                <w:color w:val="000000"/>
                <w:szCs w:val="22"/>
                <w:lang w:eastAsia="it-IT"/>
              </w:rPr>
              <w:t>2027</w:t>
            </w:r>
          </w:p>
        </w:tc>
        <w:tc>
          <w:tcPr>
            <w:tcW w:w="1276" w:type="dxa"/>
            <w:gridSpan w:val="2"/>
            <w:shd w:val="clear" w:color="auto" w:fill="E6E6E6"/>
            <w:vAlign w:val="center"/>
          </w:tcPr>
          <w:p w14:paraId="2BE8CD88" w14:textId="77777777" w:rsidR="00CB33C7" w:rsidRPr="00C2587D" w:rsidRDefault="00CB33C7" w:rsidP="00EA6E27">
            <w:pPr>
              <w:jc w:val="center"/>
              <w:rPr>
                <w:rFonts w:cs="Arial"/>
                <w:b/>
                <w:color w:val="000000"/>
                <w:szCs w:val="22"/>
                <w:lang w:eastAsia="it-IT"/>
              </w:rPr>
            </w:pPr>
            <w:r w:rsidRPr="00C2587D">
              <w:rPr>
                <w:rFonts w:cs="Arial"/>
                <w:b/>
                <w:color w:val="000000"/>
                <w:szCs w:val="22"/>
                <w:lang w:eastAsia="it-IT"/>
              </w:rPr>
              <w:t>2028</w:t>
            </w:r>
          </w:p>
        </w:tc>
        <w:tc>
          <w:tcPr>
            <w:tcW w:w="1571" w:type="dxa"/>
            <w:shd w:val="clear" w:color="auto" w:fill="E6E6E6"/>
            <w:vAlign w:val="center"/>
          </w:tcPr>
          <w:p w14:paraId="1D21B692" w14:textId="77777777" w:rsidR="00CB33C7" w:rsidRPr="00C2587D" w:rsidRDefault="00CB33C7" w:rsidP="00EA6E27">
            <w:pPr>
              <w:jc w:val="center"/>
              <w:rPr>
                <w:rFonts w:cs="Arial"/>
                <w:b/>
                <w:color w:val="000000"/>
                <w:szCs w:val="22"/>
                <w:lang w:eastAsia="it-IT"/>
              </w:rPr>
            </w:pPr>
            <w:r w:rsidRPr="00C2587D">
              <w:rPr>
                <w:rFonts w:cs="Arial"/>
                <w:b/>
                <w:color w:val="000000"/>
                <w:szCs w:val="22"/>
                <w:lang w:eastAsia="it-IT"/>
              </w:rPr>
              <w:t>РАЗОМ</w:t>
            </w:r>
          </w:p>
        </w:tc>
      </w:tr>
      <w:tr w:rsidR="00CB33C7" w:rsidRPr="00C2587D" w14:paraId="6E791BC7" w14:textId="77777777" w:rsidTr="00EA6E27">
        <w:trPr>
          <w:jc w:val="right"/>
        </w:trPr>
        <w:tc>
          <w:tcPr>
            <w:tcW w:w="3425" w:type="dxa"/>
            <w:vMerge/>
            <w:shd w:val="clear" w:color="auto" w:fill="FFFFFF"/>
            <w:vAlign w:val="center"/>
          </w:tcPr>
          <w:p w14:paraId="27E567F3" w14:textId="77777777" w:rsidR="00CB33C7" w:rsidRPr="00C2587D" w:rsidRDefault="00CB33C7" w:rsidP="00EA6E27">
            <w:pPr>
              <w:rPr>
                <w:rFonts w:cs="Arial"/>
                <w:b/>
                <w:bCs/>
                <w:color w:val="000000"/>
                <w:szCs w:val="22"/>
              </w:rPr>
            </w:pPr>
          </w:p>
        </w:tc>
        <w:tc>
          <w:tcPr>
            <w:tcW w:w="1254" w:type="dxa"/>
            <w:gridSpan w:val="2"/>
            <w:vAlign w:val="center"/>
          </w:tcPr>
          <w:p w14:paraId="26D1AF1E" w14:textId="77777777" w:rsidR="00CB33C7" w:rsidRPr="00C2587D" w:rsidRDefault="00CB33C7" w:rsidP="00EA6E27">
            <w:pPr>
              <w:jc w:val="center"/>
              <w:rPr>
                <w:rFonts w:cs="Arial"/>
                <w:b/>
                <w:color w:val="000000"/>
                <w:szCs w:val="22"/>
                <w:lang w:eastAsia="it-IT"/>
              </w:rPr>
            </w:pPr>
          </w:p>
        </w:tc>
        <w:tc>
          <w:tcPr>
            <w:tcW w:w="1412" w:type="dxa"/>
            <w:gridSpan w:val="2"/>
            <w:shd w:val="clear" w:color="auto" w:fill="FFFFFF"/>
            <w:vAlign w:val="center"/>
          </w:tcPr>
          <w:p w14:paraId="5537E392" w14:textId="77777777" w:rsidR="00CB33C7" w:rsidRPr="00C2587D" w:rsidRDefault="00CB33C7" w:rsidP="00EA6E27">
            <w:pPr>
              <w:jc w:val="center"/>
              <w:rPr>
                <w:rFonts w:cs="Arial"/>
                <w:b/>
                <w:color w:val="000000"/>
                <w:szCs w:val="22"/>
                <w:lang w:eastAsia="it-IT"/>
              </w:rPr>
            </w:pPr>
          </w:p>
        </w:tc>
        <w:tc>
          <w:tcPr>
            <w:tcW w:w="1281" w:type="dxa"/>
            <w:gridSpan w:val="2"/>
            <w:shd w:val="clear" w:color="auto" w:fill="auto"/>
            <w:vAlign w:val="center"/>
          </w:tcPr>
          <w:p w14:paraId="5C22316D" w14:textId="77777777" w:rsidR="00CB33C7" w:rsidRPr="00C2587D" w:rsidRDefault="00CB33C7" w:rsidP="00EA6E27">
            <w:pPr>
              <w:jc w:val="center"/>
              <w:rPr>
                <w:rFonts w:cs="Arial"/>
                <w:b/>
                <w:color w:val="000000"/>
                <w:szCs w:val="22"/>
                <w:lang w:eastAsia="it-IT"/>
              </w:rPr>
            </w:pPr>
          </w:p>
        </w:tc>
        <w:tc>
          <w:tcPr>
            <w:tcW w:w="1276" w:type="dxa"/>
            <w:gridSpan w:val="2"/>
            <w:shd w:val="clear" w:color="auto" w:fill="FFFFFF"/>
            <w:vAlign w:val="center"/>
          </w:tcPr>
          <w:p w14:paraId="26CF1730" w14:textId="77777777" w:rsidR="00CB33C7" w:rsidRPr="00C2587D" w:rsidRDefault="00CB33C7" w:rsidP="00EA6E27">
            <w:pPr>
              <w:jc w:val="center"/>
              <w:rPr>
                <w:rFonts w:cs="Arial"/>
                <w:b/>
                <w:color w:val="000000"/>
                <w:szCs w:val="22"/>
                <w:lang w:eastAsia="it-IT"/>
              </w:rPr>
            </w:pPr>
            <w:r w:rsidRPr="00C2587D">
              <w:rPr>
                <w:rFonts w:eastAsia="Arial" w:cs="Arial"/>
                <w:b/>
              </w:rPr>
              <w:t>10000,00</w:t>
            </w:r>
          </w:p>
        </w:tc>
        <w:tc>
          <w:tcPr>
            <w:tcW w:w="1571" w:type="dxa"/>
            <w:shd w:val="clear" w:color="auto" w:fill="FFFFFF"/>
            <w:vAlign w:val="center"/>
          </w:tcPr>
          <w:p w14:paraId="71B95830" w14:textId="77777777" w:rsidR="00CB33C7" w:rsidRPr="00C2587D" w:rsidRDefault="00CB33C7" w:rsidP="00EA6E27">
            <w:pPr>
              <w:jc w:val="center"/>
              <w:rPr>
                <w:rFonts w:cs="Arial"/>
                <w:b/>
                <w:color w:val="000000"/>
                <w:szCs w:val="22"/>
                <w:lang w:eastAsia="it-IT"/>
              </w:rPr>
            </w:pPr>
            <w:r w:rsidRPr="00C2587D">
              <w:rPr>
                <w:rFonts w:eastAsia="Arial" w:cs="Arial"/>
                <w:b/>
              </w:rPr>
              <w:t>10000,00</w:t>
            </w:r>
          </w:p>
        </w:tc>
      </w:tr>
      <w:tr w:rsidR="00CB33C7" w:rsidRPr="00C2587D" w14:paraId="23A8E9F2" w14:textId="77777777" w:rsidTr="00EA6E27">
        <w:trPr>
          <w:trHeight w:val="276"/>
          <w:jc w:val="right"/>
        </w:trPr>
        <w:tc>
          <w:tcPr>
            <w:tcW w:w="3425" w:type="dxa"/>
            <w:shd w:val="clear" w:color="auto" w:fill="FFFFFF"/>
            <w:vAlign w:val="center"/>
          </w:tcPr>
          <w:p w14:paraId="372B8253" w14:textId="77777777" w:rsidR="00CB33C7" w:rsidRPr="00C2587D" w:rsidRDefault="00CB33C7" w:rsidP="00EA6E27">
            <w:pPr>
              <w:rPr>
                <w:rFonts w:cs="Arial"/>
                <w:b/>
                <w:bCs/>
                <w:color w:val="000000"/>
                <w:szCs w:val="22"/>
              </w:rPr>
            </w:pPr>
            <w:r w:rsidRPr="00C2587D">
              <w:rPr>
                <w:rFonts w:cs="Arial"/>
                <w:b/>
                <w:bCs/>
                <w:color w:val="000000"/>
                <w:szCs w:val="22"/>
              </w:rPr>
              <w:t>по джерелах фінансування:</w:t>
            </w:r>
          </w:p>
        </w:tc>
        <w:tc>
          <w:tcPr>
            <w:tcW w:w="6794" w:type="dxa"/>
            <w:gridSpan w:val="9"/>
            <w:vAlign w:val="center"/>
          </w:tcPr>
          <w:p w14:paraId="1B338CB0" w14:textId="77777777" w:rsidR="00CB33C7" w:rsidRPr="00C2587D" w:rsidRDefault="00CB33C7" w:rsidP="00EA6E27">
            <w:pPr>
              <w:jc w:val="both"/>
              <w:rPr>
                <w:rFonts w:cs="Arial"/>
                <w:color w:val="000000"/>
                <w:szCs w:val="22"/>
                <w:lang w:eastAsia="it-IT"/>
              </w:rPr>
            </w:pPr>
          </w:p>
        </w:tc>
      </w:tr>
      <w:tr w:rsidR="0019790A" w:rsidRPr="00C2587D" w14:paraId="5F1FD9DE" w14:textId="6FCA04F9" w:rsidTr="0019790A">
        <w:trPr>
          <w:trHeight w:val="240"/>
          <w:jc w:val="right"/>
        </w:trPr>
        <w:tc>
          <w:tcPr>
            <w:tcW w:w="3425" w:type="dxa"/>
            <w:shd w:val="clear" w:color="auto" w:fill="FFFFFF"/>
            <w:vAlign w:val="center"/>
          </w:tcPr>
          <w:p w14:paraId="2223B09F" w14:textId="77777777" w:rsidR="0019790A" w:rsidRPr="00C2587D" w:rsidRDefault="0019790A" w:rsidP="00EA6E27">
            <w:pPr>
              <w:rPr>
                <w:rFonts w:cs="Arial"/>
                <w:b/>
                <w:bCs/>
                <w:color w:val="000000"/>
                <w:szCs w:val="22"/>
              </w:rPr>
            </w:pPr>
            <w:r w:rsidRPr="00C2587D">
              <w:rPr>
                <w:rFonts w:cs="Arial"/>
                <w:color w:val="000000"/>
                <w:szCs w:val="22"/>
              </w:rPr>
              <w:t>- державний бюджет</w:t>
            </w:r>
          </w:p>
        </w:tc>
        <w:tc>
          <w:tcPr>
            <w:tcW w:w="1240" w:type="dxa"/>
            <w:vAlign w:val="center"/>
          </w:tcPr>
          <w:p w14:paraId="4E3B9715" w14:textId="20DED99A" w:rsidR="0019790A" w:rsidRPr="00C2587D" w:rsidRDefault="0019790A" w:rsidP="00EA6E27">
            <w:pPr>
              <w:jc w:val="both"/>
              <w:rPr>
                <w:rFonts w:cs="Arial"/>
                <w:color w:val="000000"/>
                <w:szCs w:val="22"/>
                <w:lang w:eastAsia="it-IT"/>
              </w:rPr>
            </w:pPr>
          </w:p>
        </w:tc>
        <w:tc>
          <w:tcPr>
            <w:tcW w:w="1415" w:type="dxa"/>
            <w:gridSpan w:val="2"/>
            <w:vAlign w:val="center"/>
          </w:tcPr>
          <w:p w14:paraId="74E5570C" w14:textId="51013C0D" w:rsidR="0019790A" w:rsidRPr="00C2587D" w:rsidRDefault="0019790A" w:rsidP="0019790A">
            <w:pPr>
              <w:jc w:val="both"/>
              <w:rPr>
                <w:rFonts w:cs="Arial"/>
                <w:color w:val="000000"/>
                <w:szCs w:val="22"/>
                <w:lang w:eastAsia="it-IT"/>
              </w:rPr>
            </w:pPr>
          </w:p>
        </w:tc>
        <w:tc>
          <w:tcPr>
            <w:tcW w:w="1277" w:type="dxa"/>
            <w:gridSpan w:val="2"/>
            <w:vAlign w:val="center"/>
          </w:tcPr>
          <w:p w14:paraId="32F0B6B3" w14:textId="6B559FDE" w:rsidR="0019790A" w:rsidRPr="00C2587D" w:rsidRDefault="0019790A" w:rsidP="0019790A">
            <w:pPr>
              <w:jc w:val="both"/>
              <w:rPr>
                <w:rFonts w:cs="Arial"/>
                <w:color w:val="000000"/>
                <w:szCs w:val="22"/>
                <w:lang w:eastAsia="it-IT"/>
              </w:rPr>
            </w:pPr>
          </w:p>
        </w:tc>
        <w:tc>
          <w:tcPr>
            <w:tcW w:w="1277" w:type="dxa"/>
            <w:gridSpan w:val="2"/>
            <w:vAlign w:val="center"/>
          </w:tcPr>
          <w:p w14:paraId="25247CC2" w14:textId="0C9CEAD1" w:rsidR="0019790A" w:rsidRPr="00C2587D" w:rsidRDefault="0019790A" w:rsidP="0019790A">
            <w:pPr>
              <w:ind w:left="131"/>
              <w:jc w:val="center"/>
              <w:rPr>
                <w:rFonts w:cs="Arial"/>
                <w:color w:val="000000"/>
                <w:szCs w:val="22"/>
                <w:lang w:eastAsia="it-IT"/>
              </w:rPr>
            </w:pPr>
            <w:r w:rsidRPr="00C2587D">
              <w:rPr>
                <w:rFonts w:eastAsia="Arial" w:cs="Arial"/>
              </w:rPr>
              <w:t>8000,00</w:t>
            </w:r>
          </w:p>
        </w:tc>
        <w:tc>
          <w:tcPr>
            <w:tcW w:w="1585" w:type="dxa"/>
            <w:gridSpan w:val="2"/>
            <w:vAlign w:val="center"/>
          </w:tcPr>
          <w:p w14:paraId="342DBFDD" w14:textId="37713221" w:rsidR="0019790A" w:rsidRPr="0019790A" w:rsidRDefault="0019790A" w:rsidP="0019790A">
            <w:pPr>
              <w:ind w:left="131"/>
              <w:jc w:val="center"/>
              <w:rPr>
                <w:rFonts w:cs="Arial"/>
                <w:b/>
                <w:color w:val="000000"/>
                <w:szCs w:val="22"/>
                <w:lang w:eastAsia="it-IT"/>
              </w:rPr>
            </w:pPr>
            <w:r w:rsidRPr="0019790A">
              <w:rPr>
                <w:rFonts w:eastAsia="Arial" w:cs="Arial"/>
                <w:b/>
              </w:rPr>
              <w:t>8000,00</w:t>
            </w:r>
          </w:p>
        </w:tc>
      </w:tr>
      <w:tr w:rsidR="0019790A" w:rsidRPr="00C2587D" w14:paraId="2AFFBE53" w14:textId="62DDB637" w:rsidTr="0019790A">
        <w:trPr>
          <w:trHeight w:val="254"/>
          <w:jc w:val="right"/>
        </w:trPr>
        <w:tc>
          <w:tcPr>
            <w:tcW w:w="3425" w:type="dxa"/>
            <w:shd w:val="clear" w:color="auto" w:fill="FFFFFF"/>
            <w:vAlign w:val="center"/>
          </w:tcPr>
          <w:p w14:paraId="63F6004C" w14:textId="77777777" w:rsidR="0019790A" w:rsidRPr="00C2587D" w:rsidRDefault="0019790A" w:rsidP="00EA6E27">
            <w:pPr>
              <w:rPr>
                <w:rFonts w:cs="Arial"/>
                <w:color w:val="000000"/>
                <w:szCs w:val="22"/>
              </w:rPr>
            </w:pPr>
            <w:r w:rsidRPr="00C2587D">
              <w:rPr>
                <w:rFonts w:cs="Arial"/>
                <w:color w:val="000000"/>
                <w:szCs w:val="22"/>
              </w:rPr>
              <w:t>- обласний бюджет</w:t>
            </w:r>
          </w:p>
        </w:tc>
        <w:tc>
          <w:tcPr>
            <w:tcW w:w="1240" w:type="dxa"/>
            <w:vAlign w:val="center"/>
          </w:tcPr>
          <w:p w14:paraId="6F765DF7" w14:textId="77777777" w:rsidR="0019790A" w:rsidRPr="00C2587D" w:rsidRDefault="0019790A" w:rsidP="00EA6E27">
            <w:pPr>
              <w:jc w:val="both"/>
              <w:rPr>
                <w:rFonts w:cs="Arial"/>
                <w:color w:val="000000"/>
                <w:szCs w:val="22"/>
                <w:lang w:eastAsia="it-IT"/>
              </w:rPr>
            </w:pPr>
          </w:p>
        </w:tc>
        <w:tc>
          <w:tcPr>
            <w:tcW w:w="1415" w:type="dxa"/>
            <w:gridSpan w:val="2"/>
            <w:vAlign w:val="center"/>
          </w:tcPr>
          <w:p w14:paraId="241F7CB7" w14:textId="77777777" w:rsidR="0019790A" w:rsidRPr="00C2587D" w:rsidRDefault="0019790A" w:rsidP="00EA6E27">
            <w:pPr>
              <w:jc w:val="both"/>
              <w:rPr>
                <w:rFonts w:cs="Arial"/>
                <w:color w:val="000000"/>
                <w:szCs w:val="22"/>
                <w:lang w:eastAsia="it-IT"/>
              </w:rPr>
            </w:pPr>
          </w:p>
        </w:tc>
        <w:tc>
          <w:tcPr>
            <w:tcW w:w="1277" w:type="dxa"/>
            <w:gridSpan w:val="2"/>
            <w:vAlign w:val="center"/>
          </w:tcPr>
          <w:p w14:paraId="32FF7A1C" w14:textId="77777777" w:rsidR="0019790A" w:rsidRPr="00C2587D" w:rsidRDefault="0019790A" w:rsidP="00EA6E27">
            <w:pPr>
              <w:jc w:val="both"/>
              <w:rPr>
                <w:rFonts w:cs="Arial"/>
                <w:color w:val="000000"/>
                <w:szCs w:val="22"/>
                <w:lang w:eastAsia="it-IT"/>
              </w:rPr>
            </w:pPr>
          </w:p>
        </w:tc>
        <w:tc>
          <w:tcPr>
            <w:tcW w:w="1277" w:type="dxa"/>
            <w:gridSpan w:val="2"/>
            <w:vAlign w:val="center"/>
          </w:tcPr>
          <w:p w14:paraId="3F360CFA" w14:textId="77777777" w:rsidR="0019790A" w:rsidRPr="00C2587D" w:rsidRDefault="0019790A" w:rsidP="0019790A">
            <w:pPr>
              <w:ind w:left="131"/>
              <w:jc w:val="center"/>
              <w:rPr>
                <w:rFonts w:cs="Arial"/>
                <w:color w:val="000000"/>
                <w:szCs w:val="22"/>
                <w:lang w:eastAsia="it-IT"/>
              </w:rPr>
            </w:pPr>
          </w:p>
        </w:tc>
        <w:tc>
          <w:tcPr>
            <w:tcW w:w="1585" w:type="dxa"/>
            <w:gridSpan w:val="2"/>
            <w:vAlign w:val="center"/>
          </w:tcPr>
          <w:p w14:paraId="6EA43E82" w14:textId="77777777" w:rsidR="0019790A" w:rsidRPr="0019790A" w:rsidRDefault="0019790A" w:rsidP="0019790A">
            <w:pPr>
              <w:ind w:left="131"/>
              <w:jc w:val="center"/>
              <w:rPr>
                <w:rFonts w:cs="Arial"/>
                <w:b/>
                <w:color w:val="000000"/>
                <w:szCs w:val="22"/>
                <w:lang w:eastAsia="it-IT"/>
              </w:rPr>
            </w:pPr>
          </w:p>
        </w:tc>
      </w:tr>
      <w:tr w:rsidR="0019790A" w:rsidRPr="00C2587D" w14:paraId="1F22DCBB" w14:textId="00202495" w:rsidTr="0019790A">
        <w:trPr>
          <w:trHeight w:val="275"/>
          <w:jc w:val="right"/>
        </w:trPr>
        <w:tc>
          <w:tcPr>
            <w:tcW w:w="3425" w:type="dxa"/>
            <w:shd w:val="clear" w:color="auto" w:fill="FFFFFF"/>
            <w:vAlign w:val="center"/>
          </w:tcPr>
          <w:p w14:paraId="303537B7" w14:textId="77777777" w:rsidR="0019790A" w:rsidRPr="00C2587D" w:rsidRDefault="0019790A" w:rsidP="00EA6E27">
            <w:pPr>
              <w:rPr>
                <w:rFonts w:cs="Arial"/>
                <w:color w:val="000000"/>
                <w:szCs w:val="22"/>
              </w:rPr>
            </w:pPr>
            <w:r w:rsidRPr="00C2587D">
              <w:rPr>
                <w:rFonts w:cs="Arial"/>
                <w:color w:val="000000"/>
                <w:szCs w:val="22"/>
              </w:rPr>
              <w:t>- бюджет Жмеринської МТГ</w:t>
            </w:r>
          </w:p>
        </w:tc>
        <w:tc>
          <w:tcPr>
            <w:tcW w:w="1240" w:type="dxa"/>
            <w:vAlign w:val="center"/>
          </w:tcPr>
          <w:p w14:paraId="04A73EDA" w14:textId="4E733DCB" w:rsidR="0019790A" w:rsidRPr="00C2587D" w:rsidRDefault="0019790A" w:rsidP="00EA6E27">
            <w:pPr>
              <w:jc w:val="both"/>
              <w:rPr>
                <w:rFonts w:cs="Arial"/>
                <w:color w:val="000000"/>
                <w:szCs w:val="22"/>
                <w:lang w:eastAsia="it-IT"/>
              </w:rPr>
            </w:pPr>
          </w:p>
        </w:tc>
        <w:tc>
          <w:tcPr>
            <w:tcW w:w="1415" w:type="dxa"/>
            <w:gridSpan w:val="2"/>
            <w:vAlign w:val="center"/>
          </w:tcPr>
          <w:p w14:paraId="36D6559F" w14:textId="274BC657" w:rsidR="0019790A" w:rsidRPr="00C2587D" w:rsidRDefault="0019790A" w:rsidP="0019790A">
            <w:pPr>
              <w:jc w:val="both"/>
              <w:rPr>
                <w:rFonts w:cs="Arial"/>
                <w:color w:val="000000"/>
                <w:szCs w:val="22"/>
                <w:lang w:eastAsia="it-IT"/>
              </w:rPr>
            </w:pPr>
          </w:p>
        </w:tc>
        <w:tc>
          <w:tcPr>
            <w:tcW w:w="1277" w:type="dxa"/>
            <w:gridSpan w:val="2"/>
            <w:vAlign w:val="center"/>
          </w:tcPr>
          <w:p w14:paraId="4B900CAA" w14:textId="2B3B5298" w:rsidR="0019790A" w:rsidRPr="00C2587D" w:rsidRDefault="0019790A" w:rsidP="0019790A">
            <w:pPr>
              <w:jc w:val="both"/>
              <w:rPr>
                <w:rFonts w:cs="Arial"/>
                <w:color w:val="000000"/>
                <w:szCs w:val="22"/>
                <w:lang w:eastAsia="it-IT"/>
              </w:rPr>
            </w:pPr>
          </w:p>
        </w:tc>
        <w:tc>
          <w:tcPr>
            <w:tcW w:w="1277" w:type="dxa"/>
            <w:gridSpan w:val="2"/>
            <w:vAlign w:val="center"/>
          </w:tcPr>
          <w:p w14:paraId="6452E74E" w14:textId="4AF444F4" w:rsidR="0019790A" w:rsidRPr="00C2587D" w:rsidRDefault="0019790A" w:rsidP="0019790A">
            <w:pPr>
              <w:ind w:left="131"/>
              <w:jc w:val="center"/>
              <w:rPr>
                <w:rFonts w:cs="Arial"/>
                <w:color w:val="000000"/>
                <w:szCs w:val="22"/>
                <w:lang w:eastAsia="it-IT"/>
              </w:rPr>
            </w:pPr>
            <w:r w:rsidRPr="00C2587D">
              <w:rPr>
                <w:rFonts w:eastAsia="Arial" w:cs="Arial"/>
              </w:rPr>
              <w:t>2000,00</w:t>
            </w:r>
          </w:p>
        </w:tc>
        <w:tc>
          <w:tcPr>
            <w:tcW w:w="1585" w:type="dxa"/>
            <w:gridSpan w:val="2"/>
            <w:vAlign w:val="center"/>
          </w:tcPr>
          <w:p w14:paraId="6C28172E" w14:textId="06E99B37" w:rsidR="0019790A" w:rsidRPr="0019790A" w:rsidRDefault="0019790A" w:rsidP="0019790A">
            <w:pPr>
              <w:ind w:left="131"/>
              <w:jc w:val="center"/>
              <w:rPr>
                <w:rFonts w:cs="Arial"/>
                <w:b/>
                <w:color w:val="000000"/>
                <w:szCs w:val="22"/>
                <w:lang w:eastAsia="it-IT"/>
              </w:rPr>
            </w:pPr>
            <w:r w:rsidRPr="0019790A">
              <w:rPr>
                <w:rFonts w:eastAsia="Arial" w:cs="Arial"/>
                <w:b/>
              </w:rPr>
              <w:t>2000,00</w:t>
            </w:r>
          </w:p>
        </w:tc>
      </w:tr>
      <w:tr w:rsidR="0019790A" w:rsidRPr="00C2587D" w14:paraId="60ACDD77" w14:textId="15D86B7D" w:rsidTr="0019790A">
        <w:trPr>
          <w:trHeight w:val="226"/>
          <w:jc w:val="right"/>
        </w:trPr>
        <w:tc>
          <w:tcPr>
            <w:tcW w:w="3425" w:type="dxa"/>
            <w:shd w:val="clear" w:color="auto" w:fill="FFFFFF"/>
            <w:vAlign w:val="center"/>
          </w:tcPr>
          <w:p w14:paraId="177AB9DE" w14:textId="77777777" w:rsidR="0019790A" w:rsidRPr="00C2587D" w:rsidRDefault="0019790A" w:rsidP="00EA6E27">
            <w:pPr>
              <w:rPr>
                <w:rFonts w:cs="Arial"/>
                <w:color w:val="000000"/>
                <w:szCs w:val="22"/>
              </w:rPr>
            </w:pPr>
            <w:r w:rsidRPr="00C2587D">
              <w:rPr>
                <w:rFonts w:cs="Arial"/>
                <w:color w:val="000000"/>
                <w:szCs w:val="22"/>
              </w:rPr>
              <w:t>- інші джерела фінансування</w:t>
            </w:r>
          </w:p>
        </w:tc>
        <w:tc>
          <w:tcPr>
            <w:tcW w:w="1240" w:type="dxa"/>
            <w:vAlign w:val="center"/>
          </w:tcPr>
          <w:p w14:paraId="5A393B82" w14:textId="77777777" w:rsidR="0019790A" w:rsidRPr="00C2587D" w:rsidRDefault="0019790A" w:rsidP="00EA6E27">
            <w:pPr>
              <w:jc w:val="both"/>
              <w:rPr>
                <w:rFonts w:cs="Arial"/>
                <w:color w:val="000000"/>
                <w:szCs w:val="22"/>
                <w:lang w:eastAsia="it-IT"/>
              </w:rPr>
            </w:pPr>
          </w:p>
        </w:tc>
        <w:tc>
          <w:tcPr>
            <w:tcW w:w="1415" w:type="dxa"/>
            <w:gridSpan w:val="2"/>
            <w:vAlign w:val="center"/>
          </w:tcPr>
          <w:p w14:paraId="48F9D0CD" w14:textId="77777777" w:rsidR="0019790A" w:rsidRPr="00C2587D" w:rsidRDefault="0019790A" w:rsidP="00EA6E27">
            <w:pPr>
              <w:jc w:val="both"/>
              <w:rPr>
                <w:rFonts w:cs="Arial"/>
                <w:color w:val="000000"/>
                <w:szCs w:val="22"/>
                <w:lang w:eastAsia="it-IT"/>
              </w:rPr>
            </w:pPr>
          </w:p>
        </w:tc>
        <w:tc>
          <w:tcPr>
            <w:tcW w:w="1277" w:type="dxa"/>
            <w:gridSpan w:val="2"/>
            <w:vAlign w:val="center"/>
          </w:tcPr>
          <w:p w14:paraId="585CADCF" w14:textId="77777777" w:rsidR="0019790A" w:rsidRPr="00C2587D" w:rsidRDefault="0019790A" w:rsidP="00EA6E27">
            <w:pPr>
              <w:jc w:val="both"/>
              <w:rPr>
                <w:rFonts w:cs="Arial"/>
                <w:color w:val="000000"/>
                <w:szCs w:val="22"/>
                <w:lang w:eastAsia="it-IT"/>
              </w:rPr>
            </w:pPr>
          </w:p>
        </w:tc>
        <w:tc>
          <w:tcPr>
            <w:tcW w:w="1277" w:type="dxa"/>
            <w:gridSpan w:val="2"/>
            <w:vAlign w:val="center"/>
          </w:tcPr>
          <w:p w14:paraId="55395DAD" w14:textId="77777777" w:rsidR="0019790A" w:rsidRPr="00C2587D" w:rsidRDefault="0019790A" w:rsidP="0019790A">
            <w:pPr>
              <w:ind w:left="131"/>
              <w:jc w:val="center"/>
              <w:rPr>
                <w:rFonts w:cs="Arial"/>
                <w:color w:val="000000"/>
                <w:szCs w:val="22"/>
                <w:lang w:eastAsia="it-IT"/>
              </w:rPr>
            </w:pPr>
          </w:p>
        </w:tc>
        <w:tc>
          <w:tcPr>
            <w:tcW w:w="1585" w:type="dxa"/>
            <w:gridSpan w:val="2"/>
            <w:vAlign w:val="center"/>
          </w:tcPr>
          <w:p w14:paraId="2AA0602C" w14:textId="77777777" w:rsidR="0019790A" w:rsidRPr="00C2587D" w:rsidRDefault="0019790A" w:rsidP="0019790A">
            <w:pPr>
              <w:ind w:left="131"/>
              <w:jc w:val="center"/>
              <w:rPr>
                <w:rFonts w:cs="Arial"/>
                <w:color w:val="000000"/>
                <w:szCs w:val="22"/>
                <w:lang w:eastAsia="it-IT"/>
              </w:rPr>
            </w:pPr>
          </w:p>
        </w:tc>
      </w:tr>
      <w:tr w:rsidR="00CB33C7" w:rsidRPr="00C2587D" w14:paraId="31456DF9" w14:textId="77777777" w:rsidTr="00EA6E27">
        <w:trPr>
          <w:jc w:val="right"/>
        </w:trPr>
        <w:tc>
          <w:tcPr>
            <w:tcW w:w="3425" w:type="dxa"/>
            <w:shd w:val="clear" w:color="auto" w:fill="FFFFFF"/>
            <w:vAlign w:val="center"/>
          </w:tcPr>
          <w:p w14:paraId="62B90601" w14:textId="77777777" w:rsidR="00CB33C7" w:rsidRPr="00C2587D" w:rsidRDefault="00CB33C7" w:rsidP="00EA6E27">
            <w:pPr>
              <w:rPr>
                <w:rFonts w:cs="Arial"/>
                <w:b/>
                <w:bCs/>
                <w:color w:val="000000"/>
                <w:szCs w:val="22"/>
              </w:rPr>
            </w:pPr>
            <w:r w:rsidRPr="00C2587D">
              <w:rPr>
                <w:rFonts w:cs="Arial"/>
                <w:b/>
                <w:color w:val="000000"/>
                <w:szCs w:val="22"/>
              </w:rPr>
              <w:t>Відповідальний виконавець проєкту:</w:t>
            </w:r>
          </w:p>
        </w:tc>
        <w:tc>
          <w:tcPr>
            <w:tcW w:w="6794" w:type="dxa"/>
            <w:gridSpan w:val="9"/>
            <w:vAlign w:val="center"/>
          </w:tcPr>
          <w:p w14:paraId="79E069BD" w14:textId="3E4E3A57" w:rsidR="00CB33C7" w:rsidRPr="00C2587D" w:rsidRDefault="00CB33C7" w:rsidP="0019790A">
            <w:pPr>
              <w:jc w:val="both"/>
              <w:rPr>
                <w:rFonts w:cs="Arial"/>
                <w:color w:val="000000"/>
                <w:szCs w:val="22"/>
                <w:lang w:eastAsia="it-IT"/>
              </w:rPr>
            </w:pPr>
            <w:r w:rsidRPr="00C2587D">
              <w:rPr>
                <w:rFonts w:cs="Arial"/>
                <w:color w:val="000000"/>
                <w:szCs w:val="22"/>
                <w:lang w:eastAsia="it-IT"/>
              </w:rPr>
              <w:t>Управління ЖКГ.</w:t>
            </w:r>
          </w:p>
        </w:tc>
      </w:tr>
      <w:tr w:rsidR="00CB33C7" w:rsidRPr="00C2587D" w14:paraId="07C2589F" w14:textId="77777777" w:rsidTr="00EA6E27">
        <w:trPr>
          <w:jc w:val="right"/>
        </w:trPr>
        <w:tc>
          <w:tcPr>
            <w:tcW w:w="3425" w:type="dxa"/>
            <w:shd w:val="clear" w:color="auto" w:fill="FFFFFF"/>
            <w:vAlign w:val="center"/>
          </w:tcPr>
          <w:p w14:paraId="4F98BC1A" w14:textId="77777777" w:rsidR="00CB33C7" w:rsidRPr="00C2587D" w:rsidRDefault="00CB33C7" w:rsidP="00EA6E27">
            <w:pPr>
              <w:rPr>
                <w:rFonts w:cs="Arial"/>
                <w:b/>
                <w:bCs/>
                <w:color w:val="000000"/>
                <w:szCs w:val="22"/>
              </w:rPr>
            </w:pPr>
            <w:r w:rsidRPr="00C2587D">
              <w:rPr>
                <w:rFonts w:cs="Arial"/>
                <w:b/>
                <w:bCs/>
                <w:color w:val="000000"/>
                <w:szCs w:val="22"/>
              </w:rPr>
              <w:t>Інше:</w:t>
            </w:r>
          </w:p>
        </w:tc>
        <w:tc>
          <w:tcPr>
            <w:tcW w:w="6794" w:type="dxa"/>
            <w:gridSpan w:val="9"/>
            <w:vAlign w:val="center"/>
          </w:tcPr>
          <w:p w14:paraId="74414A0A" w14:textId="77777777" w:rsidR="00CB33C7" w:rsidRPr="00C2587D" w:rsidRDefault="00CB33C7" w:rsidP="00EA6E27">
            <w:pPr>
              <w:rPr>
                <w:rFonts w:cs="Arial"/>
                <w:color w:val="000000"/>
                <w:szCs w:val="22"/>
                <w:lang w:eastAsia="it-IT"/>
              </w:rPr>
            </w:pPr>
          </w:p>
        </w:tc>
      </w:tr>
    </w:tbl>
    <w:p w14:paraId="45CE9052" w14:textId="77777777" w:rsidR="00CB33C7" w:rsidRPr="00C2587D" w:rsidRDefault="00CB33C7" w:rsidP="00CB33C7"/>
    <w:p w14:paraId="20837B59" w14:textId="77777777" w:rsidR="00CB33C7" w:rsidRPr="00C2587D" w:rsidRDefault="00CB33C7" w:rsidP="00CB33C7"/>
    <w:p w14:paraId="6F1FCBD6" w14:textId="77777777" w:rsidR="00CB33C7" w:rsidRPr="00C2587D" w:rsidRDefault="00CB33C7" w:rsidP="00CB33C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31DBCE06" w14:textId="77777777" w:rsidR="00CB33C7" w:rsidRPr="00C2587D" w:rsidRDefault="00CB33C7" w:rsidP="00CB33C7">
      <w:pPr>
        <w:jc w:val="center"/>
        <w:rPr>
          <w:rFonts w:cs="Arial"/>
          <w:b/>
          <w:color w:val="000000"/>
          <w:szCs w:val="22"/>
        </w:rPr>
      </w:pPr>
      <w:r w:rsidRPr="00C2587D">
        <w:rPr>
          <w:rFonts w:cs="Arial"/>
          <w:b/>
          <w:color w:val="000000"/>
          <w:szCs w:val="22"/>
        </w:rPr>
        <w:t>до Плану заходів з реалізації Стратегії</w:t>
      </w:r>
    </w:p>
    <w:p w14:paraId="587B8AA1" w14:textId="77777777" w:rsidR="00CB33C7" w:rsidRPr="00C2587D" w:rsidRDefault="00CB33C7" w:rsidP="00CB33C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3"/>
        <w:gridCol w:w="1227"/>
        <w:gridCol w:w="27"/>
        <w:gridCol w:w="1388"/>
        <w:gridCol w:w="24"/>
        <w:gridCol w:w="1281"/>
        <w:gridCol w:w="47"/>
        <w:gridCol w:w="1229"/>
        <w:gridCol w:w="1573"/>
      </w:tblGrid>
      <w:tr w:rsidR="00CB33C7" w:rsidRPr="00C2587D" w14:paraId="0A9A72E2" w14:textId="77777777" w:rsidTr="00EA6E27">
        <w:trPr>
          <w:jc w:val="right"/>
        </w:trPr>
        <w:tc>
          <w:tcPr>
            <w:tcW w:w="3425" w:type="dxa"/>
            <w:vAlign w:val="center"/>
          </w:tcPr>
          <w:p w14:paraId="16822326" w14:textId="77777777" w:rsidR="00CB33C7" w:rsidRPr="00C2587D" w:rsidRDefault="00CB33C7" w:rsidP="00EA6E27">
            <w:pPr>
              <w:rPr>
                <w:rFonts w:cs="Arial"/>
                <w:b/>
                <w:bCs/>
                <w:color w:val="000000"/>
                <w:szCs w:val="22"/>
              </w:rPr>
            </w:pPr>
            <w:r w:rsidRPr="00C2587D">
              <w:rPr>
                <w:rFonts w:cs="Arial"/>
                <w:b/>
                <w:bCs/>
                <w:color w:val="000000"/>
                <w:szCs w:val="22"/>
              </w:rPr>
              <w:t>Назва проєкту:</w:t>
            </w:r>
          </w:p>
        </w:tc>
        <w:tc>
          <w:tcPr>
            <w:tcW w:w="6794" w:type="dxa"/>
            <w:gridSpan w:val="8"/>
          </w:tcPr>
          <w:p w14:paraId="198B286C" w14:textId="77777777" w:rsidR="00CB33C7" w:rsidRPr="00C2587D" w:rsidRDefault="00CB33C7" w:rsidP="0019790A">
            <w:pPr>
              <w:spacing w:before="40" w:after="40"/>
              <w:jc w:val="both"/>
              <w:rPr>
                <w:b/>
                <w:lang w:eastAsia="it-IT"/>
              </w:rPr>
            </w:pPr>
            <w:r w:rsidRPr="00C2587D">
              <w:rPr>
                <w:rFonts w:eastAsia="Arial"/>
                <w:b/>
              </w:rPr>
              <w:t>Капітальний ремонт багатоквартирного житлового будинку по вул. Героїв Крут, 21 в м. Жмеринка Вінницької області (усунення аварійної ситуації)</w:t>
            </w:r>
          </w:p>
        </w:tc>
      </w:tr>
      <w:tr w:rsidR="00CB33C7" w:rsidRPr="00C2587D" w14:paraId="7D905A80" w14:textId="77777777" w:rsidTr="00EA6E27">
        <w:trPr>
          <w:jc w:val="right"/>
        </w:trPr>
        <w:tc>
          <w:tcPr>
            <w:tcW w:w="3425" w:type="dxa"/>
          </w:tcPr>
          <w:p w14:paraId="6235EBB1" w14:textId="77777777" w:rsidR="00CB33C7" w:rsidRPr="00C2587D" w:rsidRDefault="00CB33C7" w:rsidP="00EA6E27">
            <w:pPr>
              <w:spacing w:before="40" w:after="40"/>
              <w:rPr>
                <w:rFonts w:cs="Arial"/>
                <w:sz w:val="20"/>
                <w:szCs w:val="22"/>
                <w:lang w:eastAsia="it-IT"/>
              </w:rPr>
            </w:pPr>
            <w:r w:rsidRPr="00C2587D">
              <w:rPr>
                <w:rFonts w:cs="Arial"/>
                <w:b/>
                <w:bCs/>
                <w:szCs w:val="22"/>
              </w:rPr>
              <w:t>Ваші контакти</w:t>
            </w:r>
            <w:r w:rsidRPr="00C2587D">
              <w:rPr>
                <w:rFonts w:cs="Arial"/>
                <w:sz w:val="20"/>
                <w:szCs w:val="22"/>
                <w:lang w:eastAsia="it-IT"/>
              </w:rPr>
              <w:t>:</w:t>
            </w:r>
          </w:p>
          <w:p w14:paraId="499FC9DB" w14:textId="77777777" w:rsidR="00CB33C7" w:rsidRPr="00C2587D" w:rsidRDefault="00CB33C7" w:rsidP="00EA6E27">
            <w:pPr>
              <w:spacing w:before="40" w:after="40"/>
              <w:rPr>
                <w:rFonts w:cs="Arial"/>
                <w:b/>
                <w:bCs/>
                <w:szCs w:val="22"/>
              </w:rPr>
            </w:pPr>
            <w:r w:rsidRPr="00C2587D">
              <w:rPr>
                <w:rFonts w:cs="Arial"/>
                <w:sz w:val="20"/>
                <w:szCs w:val="22"/>
                <w:lang w:eastAsia="it-IT"/>
              </w:rPr>
              <w:t>Назва установи, організації, підприємства</w:t>
            </w:r>
          </w:p>
        </w:tc>
        <w:tc>
          <w:tcPr>
            <w:tcW w:w="6794" w:type="dxa"/>
            <w:gridSpan w:val="8"/>
          </w:tcPr>
          <w:p w14:paraId="120FA742" w14:textId="77777777" w:rsidR="00CB33C7" w:rsidRPr="00C2587D" w:rsidRDefault="00CB33C7" w:rsidP="00EA6E27">
            <w:pPr>
              <w:spacing w:before="40" w:after="40"/>
              <w:rPr>
                <w:lang w:eastAsia="it-IT"/>
              </w:rPr>
            </w:pPr>
            <w:r w:rsidRPr="00C2587D">
              <w:rPr>
                <w:lang w:eastAsia="it-IT"/>
              </w:rPr>
              <w:t>Управління житлово-комунального господарства Жмеринської міської ради</w:t>
            </w:r>
          </w:p>
        </w:tc>
      </w:tr>
      <w:tr w:rsidR="00CB33C7" w:rsidRPr="00C2587D" w14:paraId="563898D3" w14:textId="77777777" w:rsidTr="00EA6E27">
        <w:trPr>
          <w:jc w:val="right"/>
        </w:trPr>
        <w:tc>
          <w:tcPr>
            <w:tcW w:w="3425" w:type="dxa"/>
          </w:tcPr>
          <w:p w14:paraId="25ECE44D" w14:textId="77777777" w:rsidR="00CB33C7" w:rsidRPr="00C2587D" w:rsidRDefault="00CB33C7" w:rsidP="00EA6E27">
            <w:pPr>
              <w:spacing w:before="40" w:after="40"/>
              <w:rPr>
                <w:rFonts w:cs="Arial"/>
                <w:b/>
                <w:bCs/>
                <w:szCs w:val="22"/>
              </w:rPr>
            </w:pPr>
            <w:r w:rsidRPr="00C2587D">
              <w:rPr>
                <w:rFonts w:cs="Arial"/>
                <w:sz w:val="20"/>
                <w:szCs w:val="22"/>
                <w:lang w:eastAsia="it-IT"/>
              </w:rPr>
              <w:t>Прізвище Ім’я По-батькові:</w:t>
            </w:r>
          </w:p>
        </w:tc>
        <w:tc>
          <w:tcPr>
            <w:tcW w:w="6794" w:type="dxa"/>
            <w:gridSpan w:val="8"/>
          </w:tcPr>
          <w:p w14:paraId="0BFF24EF" w14:textId="77777777" w:rsidR="00CB33C7" w:rsidRPr="00C2587D" w:rsidRDefault="00CB33C7" w:rsidP="00EA6E27">
            <w:pPr>
              <w:spacing w:before="40" w:after="40"/>
              <w:rPr>
                <w:lang w:eastAsia="it-IT"/>
              </w:rPr>
            </w:pPr>
            <w:r w:rsidRPr="00C2587D">
              <w:rPr>
                <w:lang w:eastAsia="it-IT"/>
              </w:rPr>
              <w:t>Оленич Андрій Васильович</w:t>
            </w:r>
          </w:p>
        </w:tc>
      </w:tr>
      <w:tr w:rsidR="00CB33C7" w:rsidRPr="00C2587D" w14:paraId="76D18E85" w14:textId="77777777" w:rsidTr="00EA6E27">
        <w:trPr>
          <w:jc w:val="right"/>
        </w:trPr>
        <w:tc>
          <w:tcPr>
            <w:tcW w:w="3425" w:type="dxa"/>
          </w:tcPr>
          <w:p w14:paraId="544BB2BD" w14:textId="77777777" w:rsidR="00CB33C7" w:rsidRPr="00C2587D" w:rsidRDefault="00CB33C7" w:rsidP="00EA6E27">
            <w:pPr>
              <w:spacing w:before="40" w:after="40"/>
              <w:rPr>
                <w:rFonts w:cs="Arial"/>
                <w:b/>
                <w:bCs/>
                <w:szCs w:val="22"/>
              </w:rPr>
            </w:pPr>
            <w:r w:rsidRPr="00C2587D">
              <w:rPr>
                <w:rFonts w:cs="Arial"/>
                <w:sz w:val="20"/>
                <w:szCs w:val="22"/>
                <w:lang w:eastAsia="it-IT"/>
              </w:rPr>
              <w:t>Телефон (мобільний):</w:t>
            </w:r>
          </w:p>
        </w:tc>
        <w:tc>
          <w:tcPr>
            <w:tcW w:w="6794" w:type="dxa"/>
            <w:gridSpan w:val="8"/>
          </w:tcPr>
          <w:p w14:paraId="7714DF90" w14:textId="77777777" w:rsidR="00CB33C7" w:rsidRPr="00C2587D" w:rsidRDefault="00CB33C7" w:rsidP="00EA6E27">
            <w:pPr>
              <w:spacing w:before="40" w:after="40"/>
              <w:rPr>
                <w:lang w:eastAsia="it-IT"/>
              </w:rPr>
            </w:pPr>
            <w:r w:rsidRPr="00C2587D">
              <w:rPr>
                <w:lang w:eastAsia="it-IT"/>
              </w:rPr>
              <w:t>0972561907</w:t>
            </w:r>
          </w:p>
        </w:tc>
      </w:tr>
      <w:tr w:rsidR="00CB33C7" w:rsidRPr="00C2587D" w14:paraId="5AF4029B" w14:textId="77777777" w:rsidTr="00EA6E27">
        <w:trPr>
          <w:jc w:val="right"/>
        </w:trPr>
        <w:tc>
          <w:tcPr>
            <w:tcW w:w="3425" w:type="dxa"/>
          </w:tcPr>
          <w:p w14:paraId="60558438" w14:textId="77777777" w:rsidR="00CB33C7" w:rsidRPr="00C2587D" w:rsidRDefault="00CB33C7" w:rsidP="00EA6E27">
            <w:pPr>
              <w:spacing w:before="40" w:after="40"/>
              <w:rPr>
                <w:rFonts w:cs="Arial"/>
                <w:b/>
                <w:bCs/>
                <w:szCs w:val="22"/>
              </w:rPr>
            </w:pPr>
            <w:r w:rsidRPr="00C2587D">
              <w:rPr>
                <w:rFonts w:cs="Arial"/>
                <w:sz w:val="20"/>
                <w:szCs w:val="22"/>
                <w:lang w:eastAsia="it-IT"/>
              </w:rPr>
              <w:t>Електронна адреса:</w:t>
            </w:r>
          </w:p>
        </w:tc>
        <w:tc>
          <w:tcPr>
            <w:tcW w:w="6794" w:type="dxa"/>
            <w:gridSpan w:val="8"/>
          </w:tcPr>
          <w:p w14:paraId="4BBE3495" w14:textId="77777777" w:rsidR="00CB33C7" w:rsidRPr="00C2587D" w:rsidRDefault="00D85FFD" w:rsidP="00EA6E27">
            <w:pPr>
              <w:spacing w:before="40" w:after="40"/>
              <w:rPr>
                <w:lang w:eastAsia="it-IT"/>
              </w:rPr>
            </w:pPr>
            <w:hyperlink r:id="rId87" w:history="1">
              <w:r w:rsidR="00CB33C7" w:rsidRPr="00C2587D">
                <w:rPr>
                  <w:rStyle w:val="af0"/>
                  <w:noProof w:val="0"/>
                  <w:sz w:val="24"/>
                  <w:lang w:eastAsia="it-IT"/>
                </w:rPr>
                <w:t>Aolenych03@ukr.net</w:t>
              </w:r>
            </w:hyperlink>
          </w:p>
        </w:tc>
      </w:tr>
      <w:tr w:rsidR="00CB33C7" w:rsidRPr="00C2587D" w14:paraId="16471BE1" w14:textId="77777777" w:rsidTr="00EA6E27">
        <w:trPr>
          <w:jc w:val="right"/>
        </w:trPr>
        <w:tc>
          <w:tcPr>
            <w:tcW w:w="3425" w:type="dxa"/>
            <w:vAlign w:val="center"/>
          </w:tcPr>
          <w:p w14:paraId="5E14E347" w14:textId="77777777" w:rsidR="00CB33C7" w:rsidRPr="00C2587D" w:rsidRDefault="00CB33C7" w:rsidP="00EA6E27">
            <w:pPr>
              <w:pStyle w:val="6"/>
              <w:spacing w:before="0" w:after="0"/>
              <w:rPr>
                <w:rFonts w:ascii="Arial" w:hAnsi="Arial" w:cs="Arial"/>
                <w:color w:val="000000"/>
                <w:lang w:val="uk-UA"/>
              </w:rPr>
            </w:pPr>
            <w:r w:rsidRPr="00C2587D">
              <w:rPr>
                <w:rFonts w:ascii="Arial" w:hAnsi="Arial" w:cs="Arial"/>
                <w:color w:val="000000"/>
                <w:lang w:val="uk-UA"/>
              </w:rPr>
              <w:t>Номер і назва завдання з Стратегії</w:t>
            </w:r>
            <w:r w:rsidRPr="00C2587D">
              <w:rPr>
                <w:rFonts w:ascii="Arial" w:hAnsi="Arial" w:cs="Arial"/>
                <w:sz w:val="16"/>
                <w:szCs w:val="16"/>
                <w:lang w:val="uk-UA" w:eastAsia="it-IT"/>
              </w:rPr>
              <w:t xml:space="preserve"> </w:t>
            </w:r>
            <w:r w:rsidRPr="00C2587D">
              <w:rPr>
                <w:rFonts w:ascii="Arial" w:hAnsi="Arial" w:cs="Arial"/>
                <w:color w:val="000000"/>
                <w:lang w:val="uk-UA"/>
              </w:rPr>
              <w:t xml:space="preserve">розвитку Жмеринської міської </w:t>
            </w:r>
          </w:p>
        </w:tc>
        <w:tc>
          <w:tcPr>
            <w:tcW w:w="6794" w:type="dxa"/>
            <w:gridSpan w:val="8"/>
            <w:vAlign w:val="center"/>
          </w:tcPr>
          <w:p w14:paraId="625FF501" w14:textId="77777777" w:rsidR="00CB33C7" w:rsidRPr="00C2587D" w:rsidRDefault="00CB33C7" w:rsidP="00EA6E27">
            <w:pPr>
              <w:spacing w:before="20" w:after="20"/>
              <w:contextualSpacing/>
              <w:rPr>
                <w:rFonts w:eastAsia="Lucida Sans Unicode" w:cs="Arial"/>
                <w:kern w:val="1"/>
                <w:lang w:eastAsia="ar-SA"/>
              </w:rPr>
            </w:pPr>
            <w:r w:rsidRPr="00C2587D">
              <w:rPr>
                <w:rFonts w:eastAsia="Lucida Sans Unicode" w:cs="Arial"/>
                <w:kern w:val="1"/>
                <w:lang w:eastAsia="ar-SA"/>
              </w:rPr>
              <w:t>В.1.5.3. Модернізація конструктивних елементів багатоповерхових будинків.</w:t>
            </w:r>
          </w:p>
        </w:tc>
      </w:tr>
      <w:tr w:rsidR="00CB33C7" w:rsidRPr="00C2587D" w14:paraId="427C69CD" w14:textId="77777777" w:rsidTr="00EA6E27">
        <w:trPr>
          <w:jc w:val="right"/>
        </w:trPr>
        <w:tc>
          <w:tcPr>
            <w:tcW w:w="3425" w:type="dxa"/>
            <w:vAlign w:val="center"/>
          </w:tcPr>
          <w:p w14:paraId="41054B86" w14:textId="77777777" w:rsidR="00CB33C7" w:rsidRPr="00C2587D" w:rsidRDefault="00CB33C7" w:rsidP="00EA6E27">
            <w:pPr>
              <w:rPr>
                <w:rFonts w:cs="Arial"/>
                <w:b/>
                <w:bCs/>
                <w:color w:val="000000"/>
                <w:szCs w:val="22"/>
              </w:rPr>
            </w:pPr>
            <w:r w:rsidRPr="00C2587D">
              <w:rPr>
                <w:rFonts w:cs="Arial"/>
                <w:b/>
                <w:bCs/>
                <w:color w:val="000000"/>
                <w:szCs w:val="22"/>
              </w:rPr>
              <w:t>Мета проєкту:</w:t>
            </w:r>
          </w:p>
        </w:tc>
        <w:tc>
          <w:tcPr>
            <w:tcW w:w="6794" w:type="dxa"/>
            <w:gridSpan w:val="8"/>
          </w:tcPr>
          <w:p w14:paraId="032F23C8" w14:textId="77777777" w:rsidR="00CB33C7" w:rsidRPr="00C2587D" w:rsidRDefault="00CB33C7" w:rsidP="00EA6E27">
            <w:pPr>
              <w:spacing w:before="40" w:after="40"/>
              <w:jc w:val="both"/>
              <w:rPr>
                <w:lang w:eastAsia="it-IT"/>
              </w:rPr>
            </w:pPr>
            <w:r w:rsidRPr="00C2587D">
              <w:rPr>
                <w:rFonts w:cs="Arial"/>
                <w:lang w:eastAsia="it-IT"/>
              </w:rPr>
              <w:t xml:space="preserve">Забезпечення гідних умов проживання мешканців будинку </w:t>
            </w:r>
            <w:r w:rsidRPr="00C2587D">
              <w:rPr>
                <w:rFonts w:eastAsia="Arial"/>
              </w:rPr>
              <w:t>по вул. Героїв Крут, 21</w:t>
            </w:r>
            <w:r w:rsidRPr="00C2587D">
              <w:rPr>
                <w:rFonts w:cs="Arial"/>
                <w:lang w:eastAsia="it-IT"/>
              </w:rPr>
              <w:t>, в м. Жмеринка</w:t>
            </w:r>
          </w:p>
        </w:tc>
      </w:tr>
      <w:tr w:rsidR="00CB33C7" w:rsidRPr="00C2587D" w14:paraId="460E159B" w14:textId="77777777" w:rsidTr="00EA6E27">
        <w:trPr>
          <w:jc w:val="right"/>
        </w:trPr>
        <w:tc>
          <w:tcPr>
            <w:tcW w:w="3425" w:type="dxa"/>
            <w:vAlign w:val="center"/>
          </w:tcPr>
          <w:p w14:paraId="39F3B584" w14:textId="77777777" w:rsidR="00CB33C7" w:rsidRPr="00C2587D" w:rsidRDefault="00CB33C7" w:rsidP="00EA6E27">
            <w:pPr>
              <w:rPr>
                <w:rFonts w:cs="Arial"/>
                <w:b/>
                <w:bCs/>
                <w:color w:val="000000"/>
                <w:szCs w:val="22"/>
              </w:rPr>
            </w:pPr>
            <w:r w:rsidRPr="00C2587D">
              <w:rPr>
                <w:rFonts w:cs="Arial"/>
                <w:b/>
                <w:bCs/>
                <w:color w:val="000000"/>
                <w:szCs w:val="22"/>
              </w:rPr>
              <w:t>Цілі проєкту:</w:t>
            </w:r>
          </w:p>
        </w:tc>
        <w:tc>
          <w:tcPr>
            <w:tcW w:w="6794" w:type="dxa"/>
            <w:gridSpan w:val="8"/>
          </w:tcPr>
          <w:p w14:paraId="558763D7" w14:textId="77777777" w:rsidR="00CB33C7" w:rsidRPr="00C2587D" w:rsidRDefault="00CB33C7" w:rsidP="00EA6E27">
            <w:pPr>
              <w:spacing w:before="40" w:after="40"/>
              <w:rPr>
                <w:lang w:eastAsia="it-IT"/>
              </w:rPr>
            </w:pPr>
            <w:r w:rsidRPr="00C2587D">
              <w:rPr>
                <w:rFonts w:cs="Arial"/>
                <w:lang w:eastAsia="it-IT"/>
              </w:rPr>
              <w:t xml:space="preserve">Покращити житловий стан будинку </w:t>
            </w:r>
            <w:r w:rsidRPr="00C2587D">
              <w:rPr>
                <w:rFonts w:eastAsia="Arial"/>
              </w:rPr>
              <w:t>по вул. Героїв Крут, 21</w:t>
            </w:r>
            <w:r w:rsidRPr="00C2587D">
              <w:rPr>
                <w:rFonts w:cs="Arial"/>
                <w:lang w:eastAsia="it-IT"/>
              </w:rPr>
              <w:t>,в м. Жмеринка</w:t>
            </w:r>
          </w:p>
        </w:tc>
      </w:tr>
      <w:tr w:rsidR="00CB33C7" w:rsidRPr="00C2587D" w14:paraId="10476A99" w14:textId="77777777" w:rsidTr="00EA6E27">
        <w:trPr>
          <w:jc w:val="right"/>
        </w:trPr>
        <w:tc>
          <w:tcPr>
            <w:tcW w:w="3425" w:type="dxa"/>
            <w:vAlign w:val="center"/>
          </w:tcPr>
          <w:p w14:paraId="255FC7BB" w14:textId="77777777" w:rsidR="00CB33C7" w:rsidRPr="00C2587D" w:rsidRDefault="00CB33C7" w:rsidP="00EA6E27">
            <w:pPr>
              <w:autoSpaceDE w:val="0"/>
              <w:autoSpaceDN w:val="0"/>
              <w:adjustRightInd w:val="0"/>
              <w:rPr>
                <w:rFonts w:cs="Arial"/>
                <w:b/>
                <w:color w:val="000000"/>
                <w:szCs w:val="22"/>
              </w:rPr>
            </w:pPr>
            <w:r w:rsidRPr="00C2587D">
              <w:rPr>
                <w:rFonts w:cs="Arial"/>
                <w:b/>
                <w:color w:val="000000"/>
                <w:szCs w:val="22"/>
              </w:rPr>
              <w:t>Територія на яку проєкт матиме вплив:</w:t>
            </w:r>
          </w:p>
        </w:tc>
        <w:tc>
          <w:tcPr>
            <w:tcW w:w="6794" w:type="dxa"/>
            <w:gridSpan w:val="8"/>
          </w:tcPr>
          <w:p w14:paraId="667E2467" w14:textId="77777777" w:rsidR="00CB33C7" w:rsidRPr="00C2587D" w:rsidRDefault="00CB33C7" w:rsidP="00EA6E27">
            <w:pPr>
              <w:spacing w:before="40" w:after="40"/>
              <w:rPr>
                <w:lang w:eastAsia="it-IT"/>
              </w:rPr>
            </w:pPr>
            <w:r w:rsidRPr="00C2587D">
              <w:rPr>
                <w:lang w:eastAsia="it-IT"/>
              </w:rPr>
              <w:t xml:space="preserve">Території м. </w:t>
            </w:r>
            <w:r w:rsidRPr="00C2587D">
              <w:rPr>
                <w:rFonts w:cs="Arial"/>
                <w:lang w:eastAsia="it-IT"/>
              </w:rPr>
              <w:t xml:space="preserve">Жмеринка                                                                                                                                                                                                                                                                     </w:t>
            </w:r>
          </w:p>
        </w:tc>
      </w:tr>
      <w:tr w:rsidR="00CB33C7" w:rsidRPr="00C2587D" w14:paraId="28E361FC" w14:textId="77777777" w:rsidTr="00EA6E27">
        <w:trPr>
          <w:jc w:val="right"/>
        </w:trPr>
        <w:tc>
          <w:tcPr>
            <w:tcW w:w="3425" w:type="dxa"/>
            <w:vAlign w:val="center"/>
          </w:tcPr>
          <w:p w14:paraId="1ED127A1" w14:textId="77777777" w:rsidR="00CB33C7" w:rsidRPr="00C2587D" w:rsidRDefault="00CB33C7" w:rsidP="00EA6E27">
            <w:pPr>
              <w:autoSpaceDE w:val="0"/>
              <w:autoSpaceDN w:val="0"/>
              <w:adjustRightInd w:val="0"/>
              <w:rPr>
                <w:rFonts w:cs="Arial"/>
                <w:b/>
                <w:color w:val="000000"/>
                <w:szCs w:val="22"/>
              </w:rPr>
            </w:pPr>
            <w:r w:rsidRPr="00C2587D">
              <w:rPr>
                <w:rFonts w:cs="Arial"/>
                <w:b/>
                <w:color w:val="000000"/>
                <w:szCs w:val="22"/>
              </w:rPr>
              <w:t>Цільові групи проєкту та кількість отримувачів вигоди</w:t>
            </w:r>
          </w:p>
        </w:tc>
        <w:tc>
          <w:tcPr>
            <w:tcW w:w="6794" w:type="dxa"/>
            <w:gridSpan w:val="8"/>
          </w:tcPr>
          <w:p w14:paraId="58EA203B" w14:textId="77777777" w:rsidR="00CB33C7" w:rsidRPr="00C2587D" w:rsidRDefault="00CB33C7" w:rsidP="00EA6E27">
            <w:pPr>
              <w:spacing w:before="40" w:after="40"/>
              <w:rPr>
                <w:lang w:eastAsia="it-IT"/>
              </w:rPr>
            </w:pPr>
            <w:r w:rsidRPr="00C2587D">
              <w:rPr>
                <w:lang w:eastAsia="it-IT"/>
              </w:rPr>
              <w:t xml:space="preserve">Мешканці будинку </w:t>
            </w:r>
            <w:r w:rsidRPr="00C2587D">
              <w:rPr>
                <w:rFonts w:eastAsia="Arial"/>
              </w:rPr>
              <w:t>по вул. Героїв Крут, 21</w:t>
            </w:r>
            <w:r w:rsidRPr="00C2587D">
              <w:rPr>
                <w:lang w:eastAsia="it-IT"/>
              </w:rPr>
              <w:t>, в кількості 47 осіб</w:t>
            </w:r>
          </w:p>
        </w:tc>
      </w:tr>
      <w:tr w:rsidR="00CB33C7" w:rsidRPr="00C2587D" w14:paraId="5E485F2F" w14:textId="77777777" w:rsidTr="00EA6E27">
        <w:trPr>
          <w:jc w:val="right"/>
        </w:trPr>
        <w:tc>
          <w:tcPr>
            <w:tcW w:w="3425" w:type="dxa"/>
            <w:shd w:val="clear" w:color="auto" w:fill="FFFFFF"/>
            <w:vAlign w:val="center"/>
          </w:tcPr>
          <w:p w14:paraId="3632BF43" w14:textId="77777777" w:rsidR="00CB33C7" w:rsidRPr="00C2587D" w:rsidRDefault="00CB33C7" w:rsidP="00EA6E27">
            <w:pPr>
              <w:rPr>
                <w:rFonts w:cs="Arial"/>
                <w:b/>
                <w:bCs/>
                <w:color w:val="000000"/>
                <w:szCs w:val="22"/>
              </w:rPr>
            </w:pPr>
            <w:r w:rsidRPr="00C2587D">
              <w:rPr>
                <w:rFonts w:cs="Arial"/>
                <w:b/>
                <w:bCs/>
                <w:color w:val="000000"/>
                <w:szCs w:val="22"/>
              </w:rPr>
              <w:t>Стислий опис проєкту:</w:t>
            </w:r>
          </w:p>
        </w:tc>
        <w:tc>
          <w:tcPr>
            <w:tcW w:w="6794" w:type="dxa"/>
            <w:gridSpan w:val="8"/>
          </w:tcPr>
          <w:p w14:paraId="53E04874" w14:textId="77777777" w:rsidR="00CB33C7" w:rsidRPr="00C2587D" w:rsidRDefault="00CB33C7" w:rsidP="0019790A">
            <w:pPr>
              <w:spacing w:before="40" w:after="40"/>
              <w:jc w:val="both"/>
              <w:rPr>
                <w:lang w:eastAsia="it-IT"/>
              </w:rPr>
            </w:pPr>
            <w:r w:rsidRPr="00C2587D">
              <w:rPr>
                <w:lang w:eastAsia="it-IT"/>
              </w:rPr>
              <w:t>Ремонт забезпечить гідні умови проживання для жителів багатоквартирного будинку,  що дасть необхідну ізоляцію, гідний зовнішній вигляд, та позитивно відобразиться на умовах життя мешканців будинку.</w:t>
            </w:r>
          </w:p>
        </w:tc>
      </w:tr>
      <w:tr w:rsidR="00CB33C7" w:rsidRPr="00C2587D" w14:paraId="5DF6FA38" w14:textId="77777777" w:rsidTr="00EA6E27">
        <w:trPr>
          <w:jc w:val="right"/>
        </w:trPr>
        <w:tc>
          <w:tcPr>
            <w:tcW w:w="3425" w:type="dxa"/>
            <w:shd w:val="clear" w:color="auto" w:fill="FFFFFF"/>
            <w:vAlign w:val="center"/>
          </w:tcPr>
          <w:p w14:paraId="19786E23" w14:textId="77777777" w:rsidR="00CB33C7" w:rsidRPr="00C2587D" w:rsidRDefault="00CB33C7" w:rsidP="00EA6E27">
            <w:pPr>
              <w:rPr>
                <w:rFonts w:cs="Arial"/>
                <w:b/>
                <w:bCs/>
                <w:color w:val="000000"/>
                <w:szCs w:val="22"/>
              </w:rPr>
            </w:pPr>
            <w:r w:rsidRPr="00C2587D">
              <w:rPr>
                <w:rFonts w:cs="Arial"/>
                <w:b/>
                <w:bCs/>
                <w:color w:val="000000"/>
                <w:szCs w:val="22"/>
              </w:rPr>
              <w:t>Основні заходи проєкту:</w:t>
            </w:r>
          </w:p>
        </w:tc>
        <w:tc>
          <w:tcPr>
            <w:tcW w:w="6794" w:type="dxa"/>
            <w:gridSpan w:val="8"/>
          </w:tcPr>
          <w:p w14:paraId="3C25E2F2" w14:textId="33D544C1" w:rsidR="00CB33C7" w:rsidRPr="00C2587D" w:rsidRDefault="00CB33C7" w:rsidP="0019790A">
            <w:pPr>
              <w:spacing w:before="40" w:after="40"/>
              <w:jc w:val="both"/>
              <w:rPr>
                <w:lang w:eastAsia="it-IT"/>
              </w:rPr>
            </w:pPr>
            <w:r w:rsidRPr="00C2587D">
              <w:rPr>
                <w:lang w:eastAsia="it-IT"/>
              </w:rPr>
              <w:t xml:space="preserve">Створення робочої групи з питань реалізації </w:t>
            </w:r>
            <w:r w:rsidR="00314B9D">
              <w:rPr>
                <w:lang w:eastAsia="it-IT"/>
              </w:rPr>
              <w:t>проєкту</w:t>
            </w:r>
            <w:r w:rsidRPr="00C2587D">
              <w:rPr>
                <w:lang w:eastAsia="it-IT"/>
              </w:rPr>
              <w:t xml:space="preserve">. </w:t>
            </w:r>
          </w:p>
          <w:p w14:paraId="14803A87" w14:textId="77777777" w:rsidR="00CB33C7" w:rsidRPr="00C2587D" w:rsidRDefault="00CB33C7" w:rsidP="0019790A">
            <w:pPr>
              <w:spacing w:before="40" w:after="40"/>
              <w:jc w:val="both"/>
              <w:rPr>
                <w:lang w:eastAsia="it-IT"/>
              </w:rPr>
            </w:pPr>
            <w:r w:rsidRPr="00C2587D">
              <w:rPr>
                <w:lang w:eastAsia="it-IT"/>
              </w:rPr>
              <w:t>Проведення процедури закупівель (визначення виконавця робіт).</w:t>
            </w:r>
          </w:p>
          <w:p w14:paraId="16521401" w14:textId="77777777" w:rsidR="00CB33C7" w:rsidRPr="00C2587D" w:rsidRDefault="00CB33C7" w:rsidP="0019790A">
            <w:pPr>
              <w:spacing w:before="40" w:after="40"/>
              <w:jc w:val="both"/>
              <w:rPr>
                <w:lang w:eastAsia="it-IT"/>
              </w:rPr>
            </w:pPr>
            <w:r w:rsidRPr="00C2587D">
              <w:rPr>
                <w:lang w:eastAsia="it-IT"/>
              </w:rPr>
              <w:t>Укладення договорів з виконавцем робіт, організаціями, що здійснюватимуть  технічний та авторський  нагляд .</w:t>
            </w:r>
          </w:p>
          <w:p w14:paraId="65D61E5D" w14:textId="77777777" w:rsidR="00CB33C7" w:rsidRPr="00C2587D" w:rsidRDefault="00CB33C7" w:rsidP="0019790A">
            <w:pPr>
              <w:spacing w:before="40" w:after="40"/>
              <w:jc w:val="both"/>
              <w:rPr>
                <w:lang w:eastAsia="it-IT"/>
              </w:rPr>
            </w:pPr>
            <w:r w:rsidRPr="00C2587D">
              <w:rPr>
                <w:lang w:eastAsia="it-IT"/>
              </w:rPr>
              <w:t xml:space="preserve">Виконання робіт з </w:t>
            </w:r>
            <w:r w:rsidRPr="00C2587D">
              <w:rPr>
                <w:rFonts w:eastAsia="Arial"/>
                <w:color w:val="000000" w:themeColor="text1"/>
                <w:lang w:eastAsia="en-US"/>
              </w:rPr>
              <w:t xml:space="preserve">капітального ремонту багатоквартирного житлового будинку </w:t>
            </w:r>
            <w:r w:rsidRPr="00C2587D">
              <w:rPr>
                <w:rFonts w:eastAsia="Arial"/>
              </w:rPr>
              <w:t xml:space="preserve">по вул. Героїв Крут, 21 </w:t>
            </w:r>
            <w:r w:rsidRPr="00C2587D">
              <w:rPr>
                <w:rFonts w:eastAsia="Arial"/>
                <w:lang w:eastAsia="en-US"/>
              </w:rPr>
              <w:t>в м. Жмеринка</w:t>
            </w:r>
          </w:p>
          <w:p w14:paraId="6257B1DF" w14:textId="77777777" w:rsidR="00CB33C7" w:rsidRPr="00C2587D" w:rsidRDefault="00CB33C7" w:rsidP="0019790A">
            <w:pPr>
              <w:spacing w:before="40" w:after="40"/>
              <w:jc w:val="both"/>
              <w:rPr>
                <w:lang w:eastAsia="it-IT"/>
              </w:rPr>
            </w:pPr>
            <w:r w:rsidRPr="00C2587D">
              <w:rPr>
                <w:lang w:eastAsia="it-IT"/>
              </w:rPr>
              <w:t>Введення  об’єкту в експлуатацію .</w:t>
            </w:r>
          </w:p>
          <w:p w14:paraId="594F9AEA" w14:textId="09CD41A9" w:rsidR="00CB33C7" w:rsidRPr="00C2587D" w:rsidRDefault="00CB33C7" w:rsidP="0019790A">
            <w:pPr>
              <w:spacing w:before="40" w:after="40"/>
              <w:jc w:val="both"/>
              <w:rPr>
                <w:sz w:val="16"/>
                <w:szCs w:val="16"/>
                <w:lang w:eastAsia="it-IT"/>
              </w:rPr>
            </w:pPr>
            <w:r w:rsidRPr="00C2587D">
              <w:rPr>
                <w:lang w:eastAsia="it-IT"/>
              </w:rPr>
              <w:t xml:space="preserve">Проведення інформаційних заходів (розміщення  інформації  про реалізацію  </w:t>
            </w:r>
            <w:r w:rsidR="00314B9D">
              <w:rPr>
                <w:lang w:eastAsia="it-IT"/>
              </w:rPr>
              <w:t>проєкту</w:t>
            </w:r>
            <w:r w:rsidRPr="00C2587D">
              <w:rPr>
                <w:lang w:eastAsia="it-IT"/>
              </w:rPr>
              <w:t xml:space="preserve"> у ЗМІ) .</w:t>
            </w:r>
          </w:p>
        </w:tc>
      </w:tr>
      <w:tr w:rsidR="00CB33C7" w:rsidRPr="00C2587D" w14:paraId="483EE353" w14:textId="77777777" w:rsidTr="00EA6E27">
        <w:trPr>
          <w:jc w:val="right"/>
        </w:trPr>
        <w:tc>
          <w:tcPr>
            <w:tcW w:w="3425" w:type="dxa"/>
            <w:shd w:val="clear" w:color="auto" w:fill="FFFFFF"/>
            <w:vAlign w:val="center"/>
          </w:tcPr>
          <w:p w14:paraId="66EA0FCE" w14:textId="77777777" w:rsidR="00CB33C7" w:rsidRPr="00C2587D" w:rsidRDefault="00CB33C7" w:rsidP="00EA6E27">
            <w:pPr>
              <w:rPr>
                <w:rFonts w:cs="Arial"/>
                <w:b/>
                <w:bCs/>
                <w:color w:val="000000"/>
                <w:szCs w:val="22"/>
              </w:rPr>
            </w:pPr>
            <w:r w:rsidRPr="00C2587D">
              <w:rPr>
                <w:rFonts w:cs="Arial"/>
                <w:b/>
                <w:bCs/>
                <w:color w:val="000000"/>
                <w:szCs w:val="22"/>
              </w:rPr>
              <w:t>Індикатори (показники) результативності:</w:t>
            </w:r>
          </w:p>
        </w:tc>
        <w:tc>
          <w:tcPr>
            <w:tcW w:w="6794" w:type="dxa"/>
            <w:gridSpan w:val="8"/>
          </w:tcPr>
          <w:p w14:paraId="3C6D4D65" w14:textId="27667604" w:rsidR="00CB33C7" w:rsidRPr="00C2587D" w:rsidRDefault="0019790A" w:rsidP="00EA6E27">
            <w:pPr>
              <w:spacing w:before="40" w:after="40"/>
              <w:rPr>
                <w:sz w:val="16"/>
                <w:szCs w:val="16"/>
                <w:lang w:eastAsia="it-IT"/>
              </w:rPr>
            </w:pPr>
            <w:r>
              <w:rPr>
                <w:rFonts w:eastAsia="Arial"/>
                <w:lang w:eastAsia="en-US"/>
              </w:rPr>
              <w:t>Ремонт</w:t>
            </w:r>
            <w:r w:rsidR="00CB33C7" w:rsidRPr="00C2587D">
              <w:rPr>
                <w:rFonts w:eastAsia="Arial"/>
                <w:lang w:eastAsia="en-US"/>
              </w:rPr>
              <w:t xml:space="preserve"> покрівлі, підсилення конструкції та фундаменту</w:t>
            </w:r>
          </w:p>
        </w:tc>
      </w:tr>
      <w:tr w:rsidR="00CB33C7" w:rsidRPr="00C2587D" w14:paraId="0CE225FD" w14:textId="77777777" w:rsidTr="00EA6E27">
        <w:trPr>
          <w:jc w:val="right"/>
        </w:trPr>
        <w:tc>
          <w:tcPr>
            <w:tcW w:w="3425" w:type="dxa"/>
            <w:shd w:val="clear" w:color="auto" w:fill="FFFFFF"/>
            <w:vAlign w:val="center"/>
          </w:tcPr>
          <w:p w14:paraId="2FA3B381" w14:textId="77777777" w:rsidR="00CB33C7" w:rsidRPr="00C2587D" w:rsidRDefault="00CB33C7" w:rsidP="00EA6E27">
            <w:pPr>
              <w:rPr>
                <w:rFonts w:cs="Arial"/>
                <w:b/>
                <w:color w:val="000000"/>
                <w:szCs w:val="22"/>
              </w:rPr>
            </w:pPr>
            <w:r w:rsidRPr="00C2587D">
              <w:rPr>
                <w:rFonts w:cs="Arial"/>
                <w:b/>
                <w:color w:val="000000"/>
                <w:szCs w:val="22"/>
              </w:rPr>
              <w:t xml:space="preserve">Період здійснення: </w:t>
            </w:r>
          </w:p>
        </w:tc>
        <w:tc>
          <w:tcPr>
            <w:tcW w:w="6794" w:type="dxa"/>
            <w:gridSpan w:val="8"/>
            <w:vAlign w:val="center"/>
          </w:tcPr>
          <w:p w14:paraId="362A393A" w14:textId="77777777" w:rsidR="00CB33C7" w:rsidRPr="00C2587D" w:rsidRDefault="00CB33C7" w:rsidP="00EA6E27">
            <w:pPr>
              <w:rPr>
                <w:rFonts w:cs="Arial"/>
                <w:color w:val="000000"/>
                <w:szCs w:val="22"/>
                <w:lang w:eastAsia="it-IT"/>
              </w:rPr>
            </w:pPr>
            <w:r w:rsidRPr="00C2587D">
              <w:rPr>
                <w:rFonts w:cs="Arial"/>
                <w:b/>
                <w:color w:val="000000"/>
                <w:szCs w:val="22"/>
              </w:rPr>
              <w:t>2025 – 2028 роки:</w:t>
            </w:r>
          </w:p>
        </w:tc>
      </w:tr>
      <w:tr w:rsidR="00CB33C7" w:rsidRPr="00C2587D" w14:paraId="7ACF1084" w14:textId="77777777" w:rsidTr="00EA6E27">
        <w:trPr>
          <w:jc w:val="right"/>
        </w:trPr>
        <w:tc>
          <w:tcPr>
            <w:tcW w:w="3425" w:type="dxa"/>
            <w:vMerge w:val="restart"/>
            <w:shd w:val="clear" w:color="auto" w:fill="FFFFFF"/>
            <w:vAlign w:val="center"/>
          </w:tcPr>
          <w:p w14:paraId="5AD80C10" w14:textId="77777777" w:rsidR="00CB33C7" w:rsidRPr="00C2587D" w:rsidRDefault="00CB33C7" w:rsidP="00EA6E27">
            <w:pPr>
              <w:rPr>
                <w:rFonts w:cs="Arial"/>
                <w:b/>
                <w:bCs/>
                <w:color w:val="000000"/>
                <w:szCs w:val="22"/>
              </w:rPr>
            </w:pPr>
            <w:r w:rsidRPr="00C2587D">
              <w:rPr>
                <w:rFonts w:cs="Arial"/>
                <w:b/>
                <w:bCs/>
                <w:color w:val="000000"/>
                <w:szCs w:val="22"/>
              </w:rPr>
              <w:t>Орієнтовна вартість проєкту, тис. грн., в тому числі:</w:t>
            </w:r>
          </w:p>
        </w:tc>
        <w:tc>
          <w:tcPr>
            <w:tcW w:w="1254" w:type="dxa"/>
            <w:gridSpan w:val="2"/>
            <w:shd w:val="clear" w:color="auto" w:fill="E6E6E6"/>
            <w:vAlign w:val="center"/>
          </w:tcPr>
          <w:p w14:paraId="2D53A1A6" w14:textId="77777777" w:rsidR="00CB33C7" w:rsidRPr="00C2587D" w:rsidRDefault="00CB33C7" w:rsidP="00EA6E27">
            <w:pPr>
              <w:jc w:val="center"/>
              <w:rPr>
                <w:rFonts w:cs="Arial"/>
                <w:b/>
                <w:color w:val="000000"/>
                <w:szCs w:val="22"/>
                <w:lang w:eastAsia="it-IT"/>
              </w:rPr>
            </w:pPr>
            <w:r w:rsidRPr="00C2587D">
              <w:rPr>
                <w:rFonts w:cs="Arial"/>
                <w:b/>
                <w:color w:val="000000"/>
                <w:szCs w:val="22"/>
                <w:lang w:eastAsia="it-IT"/>
              </w:rPr>
              <w:t>2025</w:t>
            </w:r>
          </w:p>
        </w:tc>
        <w:tc>
          <w:tcPr>
            <w:tcW w:w="1412" w:type="dxa"/>
            <w:gridSpan w:val="2"/>
            <w:shd w:val="clear" w:color="auto" w:fill="E6E6E6"/>
            <w:vAlign w:val="center"/>
          </w:tcPr>
          <w:p w14:paraId="7C6D1CFE" w14:textId="77777777" w:rsidR="00CB33C7" w:rsidRPr="00C2587D" w:rsidRDefault="00CB33C7" w:rsidP="00EA6E27">
            <w:pPr>
              <w:jc w:val="center"/>
              <w:rPr>
                <w:rFonts w:cs="Arial"/>
                <w:b/>
                <w:color w:val="000000"/>
                <w:szCs w:val="22"/>
                <w:lang w:eastAsia="it-IT"/>
              </w:rPr>
            </w:pPr>
            <w:r w:rsidRPr="00C2587D">
              <w:rPr>
                <w:rFonts w:cs="Arial"/>
                <w:b/>
                <w:color w:val="000000"/>
                <w:szCs w:val="22"/>
                <w:lang w:eastAsia="it-IT"/>
              </w:rPr>
              <w:t>2026</w:t>
            </w:r>
          </w:p>
        </w:tc>
        <w:tc>
          <w:tcPr>
            <w:tcW w:w="1281" w:type="dxa"/>
            <w:tcBorders>
              <w:bottom w:val="single" w:sz="4" w:space="0" w:color="auto"/>
            </w:tcBorders>
            <w:shd w:val="clear" w:color="auto" w:fill="E6E6E6"/>
            <w:vAlign w:val="center"/>
          </w:tcPr>
          <w:p w14:paraId="00FE2541" w14:textId="77777777" w:rsidR="00CB33C7" w:rsidRPr="00C2587D" w:rsidRDefault="00CB33C7" w:rsidP="00EA6E27">
            <w:pPr>
              <w:jc w:val="center"/>
              <w:rPr>
                <w:rFonts w:cs="Arial"/>
                <w:b/>
                <w:color w:val="000000"/>
                <w:szCs w:val="22"/>
                <w:lang w:eastAsia="it-IT"/>
              </w:rPr>
            </w:pPr>
            <w:r w:rsidRPr="00C2587D">
              <w:rPr>
                <w:rFonts w:cs="Arial"/>
                <w:b/>
                <w:color w:val="000000"/>
                <w:szCs w:val="22"/>
                <w:lang w:eastAsia="it-IT"/>
              </w:rPr>
              <w:t>2027</w:t>
            </w:r>
          </w:p>
        </w:tc>
        <w:tc>
          <w:tcPr>
            <w:tcW w:w="1276" w:type="dxa"/>
            <w:gridSpan w:val="2"/>
            <w:shd w:val="clear" w:color="auto" w:fill="E6E6E6"/>
            <w:vAlign w:val="center"/>
          </w:tcPr>
          <w:p w14:paraId="30E7CE29" w14:textId="77777777" w:rsidR="00CB33C7" w:rsidRPr="00C2587D" w:rsidRDefault="00CB33C7" w:rsidP="00EA6E27">
            <w:pPr>
              <w:jc w:val="center"/>
              <w:rPr>
                <w:rFonts w:cs="Arial"/>
                <w:b/>
                <w:color w:val="000000"/>
                <w:szCs w:val="22"/>
                <w:lang w:eastAsia="it-IT"/>
              </w:rPr>
            </w:pPr>
            <w:r w:rsidRPr="00C2587D">
              <w:rPr>
                <w:rFonts w:cs="Arial"/>
                <w:b/>
                <w:color w:val="000000"/>
                <w:szCs w:val="22"/>
                <w:lang w:eastAsia="it-IT"/>
              </w:rPr>
              <w:t>2028</w:t>
            </w:r>
          </w:p>
        </w:tc>
        <w:tc>
          <w:tcPr>
            <w:tcW w:w="1571" w:type="dxa"/>
            <w:shd w:val="clear" w:color="auto" w:fill="E6E6E6"/>
            <w:vAlign w:val="center"/>
          </w:tcPr>
          <w:p w14:paraId="47DCC06E" w14:textId="77777777" w:rsidR="00CB33C7" w:rsidRPr="00C2587D" w:rsidRDefault="00CB33C7" w:rsidP="00EA6E27">
            <w:pPr>
              <w:jc w:val="center"/>
              <w:rPr>
                <w:rFonts w:cs="Arial"/>
                <w:b/>
                <w:color w:val="000000"/>
                <w:szCs w:val="22"/>
                <w:lang w:eastAsia="it-IT"/>
              </w:rPr>
            </w:pPr>
            <w:r w:rsidRPr="00C2587D">
              <w:rPr>
                <w:rFonts w:cs="Arial"/>
                <w:b/>
                <w:color w:val="000000"/>
                <w:szCs w:val="22"/>
                <w:lang w:eastAsia="it-IT"/>
              </w:rPr>
              <w:t>РАЗОМ</w:t>
            </w:r>
          </w:p>
        </w:tc>
      </w:tr>
      <w:tr w:rsidR="00CB33C7" w:rsidRPr="00C2587D" w14:paraId="794DD866" w14:textId="77777777" w:rsidTr="00EA6E27">
        <w:trPr>
          <w:jc w:val="right"/>
        </w:trPr>
        <w:tc>
          <w:tcPr>
            <w:tcW w:w="3425" w:type="dxa"/>
            <w:vMerge/>
            <w:shd w:val="clear" w:color="auto" w:fill="FFFFFF"/>
            <w:vAlign w:val="center"/>
          </w:tcPr>
          <w:p w14:paraId="74B9844C" w14:textId="77777777" w:rsidR="00CB33C7" w:rsidRPr="00C2587D" w:rsidRDefault="00CB33C7" w:rsidP="00EA6E27">
            <w:pPr>
              <w:rPr>
                <w:rFonts w:cs="Arial"/>
                <w:b/>
                <w:bCs/>
                <w:color w:val="000000"/>
                <w:szCs w:val="22"/>
              </w:rPr>
            </w:pPr>
          </w:p>
        </w:tc>
        <w:tc>
          <w:tcPr>
            <w:tcW w:w="1254" w:type="dxa"/>
            <w:gridSpan w:val="2"/>
            <w:vAlign w:val="center"/>
          </w:tcPr>
          <w:p w14:paraId="0C154AA1" w14:textId="77777777" w:rsidR="00CB33C7" w:rsidRPr="00C2587D" w:rsidRDefault="00CB33C7" w:rsidP="00EA6E27">
            <w:pPr>
              <w:jc w:val="center"/>
              <w:rPr>
                <w:rFonts w:cs="Arial"/>
                <w:b/>
                <w:color w:val="000000"/>
                <w:szCs w:val="22"/>
                <w:lang w:eastAsia="it-IT"/>
              </w:rPr>
            </w:pPr>
          </w:p>
        </w:tc>
        <w:tc>
          <w:tcPr>
            <w:tcW w:w="1412" w:type="dxa"/>
            <w:gridSpan w:val="2"/>
            <w:shd w:val="clear" w:color="auto" w:fill="FFFFFF"/>
            <w:vAlign w:val="center"/>
          </w:tcPr>
          <w:p w14:paraId="27DCAF13" w14:textId="77777777" w:rsidR="00CB33C7" w:rsidRPr="00C2587D" w:rsidRDefault="00CB33C7" w:rsidP="00EA6E27">
            <w:pPr>
              <w:jc w:val="center"/>
              <w:rPr>
                <w:rFonts w:cs="Arial"/>
                <w:b/>
                <w:color w:val="000000"/>
                <w:szCs w:val="22"/>
                <w:lang w:eastAsia="it-IT"/>
              </w:rPr>
            </w:pPr>
          </w:p>
        </w:tc>
        <w:tc>
          <w:tcPr>
            <w:tcW w:w="1281" w:type="dxa"/>
            <w:shd w:val="clear" w:color="auto" w:fill="auto"/>
            <w:vAlign w:val="center"/>
          </w:tcPr>
          <w:p w14:paraId="5835224D" w14:textId="77777777" w:rsidR="00CB33C7" w:rsidRPr="00C2587D" w:rsidRDefault="00CB33C7" w:rsidP="00EA6E27">
            <w:pPr>
              <w:jc w:val="center"/>
              <w:rPr>
                <w:rFonts w:cs="Arial"/>
                <w:b/>
                <w:color w:val="000000"/>
                <w:szCs w:val="22"/>
                <w:lang w:eastAsia="it-IT"/>
              </w:rPr>
            </w:pPr>
            <w:r w:rsidRPr="00C2587D">
              <w:rPr>
                <w:rFonts w:eastAsia="Arial" w:cs="Arial"/>
                <w:b/>
              </w:rPr>
              <w:t>14000,00</w:t>
            </w:r>
          </w:p>
        </w:tc>
        <w:tc>
          <w:tcPr>
            <w:tcW w:w="1276" w:type="dxa"/>
            <w:gridSpan w:val="2"/>
            <w:shd w:val="clear" w:color="auto" w:fill="FFFFFF"/>
            <w:vAlign w:val="center"/>
          </w:tcPr>
          <w:p w14:paraId="0971B8DF" w14:textId="77777777" w:rsidR="00CB33C7" w:rsidRPr="00C2587D" w:rsidRDefault="00CB33C7" w:rsidP="00EA6E27">
            <w:pPr>
              <w:jc w:val="center"/>
              <w:rPr>
                <w:rFonts w:cs="Arial"/>
                <w:b/>
                <w:color w:val="000000"/>
                <w:szCs w:val="22"/>
                <w:lang w:eastAsia="it-IT"/>
              </w:rPr>
            </w:pPr>
          </w:p>
        </w:tc>
        <w:tc>
          <w:tcPr>
            <w:tcW w:w="1571" w:type="dxa"/>
            <w:shd w:val="clear" w:color="auto" w:fill="FFFFFF"/>
            <w:vAlign w:val="center"/>
          </w:tcPr>
          <w:p w14:paraId="6ACDEEC4" w14:textId="77777777" w:rsidR="00CB33C7" w:rsidRPr="00C2587D" w:rsidRDefault="00CB33C7" w:rsidP="00EA6E27">
            <w:pPr>
              <w:jc w:val="center"/>
              <w:rPr>
                <w:rFonts w:cs="Arial"/>
                <w:b/>
                <w:color w:val="000000"/>
                <w:szCs w:val="22"/>
                <w:lang w:eastAsia="it-IT"/>
              </w:rPr>
            </w:pPr>
            <w:r w:rsidRPr="00C2587D">
              <w:rPr>
                <w:rFonts w:eastAsia="Arial" w:cs="Arial"/>
                <w:b/>
              </w:rPr>
              <w:t>14000,00</w:t>
            </w:r>
          </w:p>
        </w:tc>
      </w:tr>
      <w:tr w:rsidR="00CB33C7" w:rsidRPr="00C2587D" w14:paraId="3A597881" w14:textId="77777777" w:rsidTr="00EA6E27">
        <w:trPr>
          <w:trHeight w:val="276"/>
          <w:jc w:val="right"/>
        </w:trPr>
        <w:tc>
          <w:tcPr>
            <w:tcW w:w="3425" w:type="dxa"/>
            <w:shd w:val="clear" w:color="auto" w:fill="FFFFFF"/>
            <w:vAlign w:val="center"/>
          </w:tcPr>
          <w:p w14:paraId="3A73C35B" w14:textId="77777777" w:rsidR="00CB33C7" w:rsidRPr="00C2587D" w:rsidRDefault="00CB33C7" w:rsidP="00EA6E27">
            <w:pPr>
              <w:rPr>
                <w:rFonts w:cs="Arial"/>
                <w:b/>
                <w:bCs/>
                <w:color w:val="000000"/>
                <w:szCs w:val="22"/>
              </w:rPr>
            </w:pPr>
            <w:r w:rsidRPr="00C2587D">
              <w:rPr>
                <w:rFonts w:cs="Arial"/>
                <w:b/>
                <w:bCs/>
                <w:color w:val="000000"/>
                <w:szCs w:val="22"/>
              </w:rPr>
              <w:t>по джерелах фінансування:</w:t>
            </w:r>
          </w:p>
        </w:tc>
        <w:tc>
          <w:tcPr>
            <w:tcW w:w="6794" w:type="dxa"/>
            <w:gridSpan w:val="8"/>
            <w:vAlign w:val="center"/>
          </w:tcPr>
          <w:p w14:paraId="061A4F1B" w14:textId="77777777" w:rsidR="00CB33C7" w:rsidRPr="00C2587D" w:rsidRDefault="00CB33C7" w:rsidP="00EA6E27">
            <w:pPr>
              <w:jc w:val="both"/>
              <w:rPr>
                <w:rFonts w:cs="Arial"/>
                <w:color w:val="000000"/>
                <w:szCs w:val="22"/>
                <w:lang w:eastAsia="it-IT"/>
              </w:rPr>
            </w:pPr>
          </w:p>
        </w:tc>
      </w:tr>
      <w:tr w:rsidR="0019790A" w:rsidRPr="00C2587D" w14:paraId="0B1E7FDC" w14:textId="36A5ED10" w:rsidTr="0019790A">
        <w:trPr>
          <w:trHeight w:val="240"/>
          <w:jc w:val="right"/>
        </w:trPr>
        <w:tc>
          <w:tcPr>
            <w:tcW w:w="3425" w:type="dxa"/>
            <w:shd w:val="clear" w:color="auto" w:fill="FFFFFF"/>
            <w:vAlign w:val="center"/>
          </w:tcPr>
          <w:p w14:paraId="1570C176" w14:textId="77777777" w:rsidR="0019790A" w:rsidRPr="00C2587D" w:rsidRDefault="0019790A" w:rsidP="00EA6E27">
            <w:pPr>
              <w:rPr>
                <w:rFonts w:cs="Arial"/>
                <w:b/>
                <w:bCs/>
                <w:color w:val="000000"/>
                <w:szCs w:val="22"/>
              </w:rPr>
            </w:pPr>
            <w:r w:rsidRPr="00C2587D">
              <w:rPr>
                <w:rFonts w:cs="Arial"/>
                <w:color w:val="000000"/>
                <w:szCs w:val="22"/>
              </w:rPr>
              <w:t>- державний бюджет</w:t>
            </w:r>
          </w:p>
        </w:tc>
        <w:tc>
          <w:tcPr>
            <w:tcW w:w="1227" w:type="dxa"/>
            <w:vAlign w:val="center"/>
          </w:tcPr>
          <w:p w14:paraId="21BA821E" w14:textId="5531C3A1" w:rsidR="0019790A" w:rsidRPr="00C2587D" w:rsidRDefault="0019790A" w:rsidP="00EA6E27">
            <w:pPr>
              <w:jc w:val="both"/>
              <w:rPr>
                <w:rFonts w:cs="Arial"/>
                <w:color w:val="000000"/>
                <w:szCs w:val="22"/>
                <w:lang w:eastAsia="it-IT"/>
              </w:rPr>
            </w:pPr>
          </w:p>
        </w:tc>
        <w:tc>
          <w:tcPr>
            <w:tcW w:w="1415" w:type="dxa"/>
            <w:gridSpan w:val="2"/>
            <w:vAlign w:val="center"/>
          </w:tcPr>
          <w:p w14:paraId="7033F0E9" w14:textId="77777777" w:rsidR="0019790A" w:rsidRPr="00C2587D" w:rsidRDefault="0019790A" w:rsidP="00EA6E27">
            <w:pPr>
              <w:jc w:val="both"/>
              <w:rPr>
                <w:rFonts w:cs="Arial"/>
                <w:color w:val="000000"/>
                <w:szCs w:val="22"/>
                <w:lang w:eastAsia="it-IT"/>
              </w:rPr>
            </w:pPr>
          </w:p>
        </w:tc>
        <w:tc>
          <w:tcPr>
            <w:tcW w:w="1352" w:type="dxa"/>
            <w:gridSpan w:val="3"/>
            <w:vAlign w:val="center"/>
          </w:tcPr>
          <w:p w14:paraId="19DFB864" w14:textId="59825F00" w:rsidR="0019790A" w:rsidRPr="00C2587D" w:rsidRDefault="0019790A" w:rsidP="0019790A">
            <w:pPr>
              <w:ind w:left="105"/>
              <w:jc w:val="center"/>
              <w:rPr>
                <w:rFonts w:cs="Arial"/>
                <w:color w:val="000000"/>
                <w:szCs w:val="22"/>
                <w:lang w:eastAsia="it-IT"/>
              </w:rPr>
            </w:pPr>
            <w:r w:rsidRPr="00C2587D">
              <w:rPr>
                <w:rFonts w:eastAsia="Arial" w:cs="Arial"/>
              </w:rPr>
              <w:t>11666,67</w:t>
            </w:r>
          </w:p>
        </w:tc>
        <w:tc>
          <w:tcPr>
            <w:tcW w:w="1227" w:type="dxa"/>
            <w:vAlign w:val="center"/>
          </w:tcPr>
          <w:p w14:paraId="4838FC5D" w14:textId="3DA2CCF1" w:rsidR="0019790A" w:rsidRPr="00C2587D" w:rsidRDefault="0019790A" w:rsidP="0019790A">
            <w:pPr>
              <w:jc w:val="center"/>
              <w:rPr>
                <w:rFonts w:cs="Arial"/>
                <w:color w:val="000000"/>
                <w:szCs w:val="22"/>
                <w:lang w:eastAsia="it-IT"/>
              </w:rPr>
            </w:pPr>
          </w:p>
        </w:tc>
        <w:tc>
          <w:tcPr>
            <w:tcW w:w="1573" w:type="dxa"/>
            <w:vAlign w:val="center"/>
          </w:tcPr>
          <w:p w14:paraId="16845535" w14:textId="3AD2A222" w:rsidR="0019790A" w:rsidRPr="00C2587D" w:rsidRDefault="0019790A" w:rsidP="0019790A">
            <w:pPr>
              <w:ind w:left="185"/>
              <w:jc w:val="center"/>
              <w:rPr>
                <w:rFonts w:cs="Arial"/>
                <w:color w:val="000000"/>
                <w:szCs w:val="22"/>
                <w:lang w:eastAsia="it-IT"/>
              </w:rPr>
            </w:pPr>
            <w:r w:rsidRPr="00C2587D">
              <w:rPr>
                <w:rFonts w:eastAsia="Arial" w:cs="Arial"/>
              </w:rPr>
              <w:t>11666,67</w:t>
            </w:r>
          </w:p>
        </w:tc>
      </w:tr>
      <w:tr w:rsidR="0019790A" w:rsidRPr="00C2587D" w14:paraId="7F11CE31" w14:textId="4D8BCC7F" w:rsidTr="0019790A">
        <w:trPr>
          <w:trHeight w:val="254"/>
          <w:jc w:val="right"/>
        </w:trPr>
        <w:tc>
          <w:tcPr>
            <w:tcW w:w="3425" w:type="dxa"/>
            <w:shd w:val="clear" w:color="auto" w:fill="FFFFFF"/>
            <w:vAlign w:val="center"/>
          </w:tcPr>
          <w:p w14:paraId="2C1BCEEC" w14:textId="77777777" w:rsidR="0019790A" w:rsidRPr="00C2587D" w:rsidRDefault="0019790A" w:rsidP="00EA6E27">
            <w:pPr>
              <w:rPr>
                <w:rFonts w:cs="Arial"/>
                <w:color w:val="000000"/>
                <w:szCs w:val="22"/>
              </w:rPr>
            </w:pPr>
            <w:r w:rsidRPr="00C2587D">
              <w:rPr>
                <w:rFonts w:cs="Arial"/>
                <w:color w:val="000000"/>
                <w:szCs w:val="22"/>
              </w:rPr>
              <w:t>- обласний бюджет</w:t>
            </w:r>
          </w:p>
        </w:tc>
        <w:tc>
          <w:tcPr>
            <w:tcW w:w="1227" w:type="dxa"/>
            <w:vAlign w:val="center"/>
          </w:tcPr>
          <w:p w14:paraId="41DE0FD2" w14:textId="77777777" w:rsidR="0019790A" w:rsidRPr="00C2587D" w:rsidRDefault="0019790A" w:rsidP="00EA6E27">
            <w:pPr>
              <w:jc w:val="both"/>
              <w:rPr>
                <w:rFonts w:cs="Arial"/>
                <w:color w:val="000000"/>
                <w:szCs w:val="22"/>
                <w:lang w:eastAsia="it-IT"/>
              </w:rPr>
            </w:pPr>
          </w:p>
        </w:tc>
        <w:tc>
          <w:tcPr>
            <w:tcW w:w="1415" w:type="dxa"/>
            <w:gridSpan w:val="2"/>
            <w:vAlign w:val="center"/>
          </w:tcPr>
          <w:p w14:paraId="4527A868" w14:textId="77777777" w:rsidR="0019790A" w:rsidRPr="00C2587D" w:rsidRDefault="0019790A" w:rsidP="00EA6E27">
            <w:pPr>
              <w:jc w:val="both"/>
              <w:rPr>
                <w:rFonts w:cs="Arial"/>
                <w:color w:val="000000"/>
                <w:szCs w:val="22"/>
                <w:lang w:eastAsia="it-IT"/>
              </w:rPr>
            </w:pPr>
          </w:p>
        </w:tc>
        <w:tc>
          <w:tcPr>
            <w:tcW w:w="1352" w:type="dxa"/>
            <w:gridSpan w:val="3"/>
            <w:vAlign w:val="center"/>
          </w:tcPr>
          <w:p w14:paraId="3949C941" w14:textId="54F13914" w:rsidR="0019790A" w:rsidRPr="00C2587D" w:rsidRDefault="0019790A" w:rsidP="0019790A">
            <w:pPr>
              <w:jc w:val="center"/>
              <w:rPr>
                <w:rFonts w:cs="Arial"/>
                <w:color w:val="000000"/>
                <w:szCs w:val="22"/>
                <w:lang w:eastAsia="it-IT"/>
              </w:rPr>
            </w:pPr>
          </w:p>
        </w:tc>
        <w:tc>
          <w:tcPr>
            <w:tcW w:w="1227" w:type="dxa"/>
            <w:vAlign w:val="center"/>
          </w:tcPr>
          <w:p w14:paraId="35BEC6A7" w14:textId="77777777" w:rsidR="0019790A" w:rsidRPr="00C2587D" w:rsidRDefault="0019790A" w:rsidP="0019790A">
            <w:pPr>
              <w:jc w:val="center"/>
              <w:rPr>
                <w:rFonts w:cs="Arial"/>
                <w:color w:val="000000"/>
                <w:szCs w:val="22"/>
                <w:lang w:eastAsia="it-IT"/>
              </w:rPr>
            </w:pPr>
          </w:p>
        </w:tc>
        <w:tc>
          <w:tcPr>
            <w:tcW w:w="1573" w:type="dxa"/>
            <w:vAlign w:val="center"/>
          </w:tcPr>
          <w:p w14:paraId="07310C4A" w14:textId="77777777" w:rsidR="0019790A" w:rsidRPr="00C2587D" w:rsidRDefault="0019790A" w:rsidP="0019790A">
            <w:pPr>
              <w:jc w:val="center"/>
              <w:rPr>
                <w:rFonts w:cs="Arial"/>
                <w:color w:val="000000"/>
                <w:szCs w:val="22"/>
                <w:lang w:eastAsia="it-IT"/>
              </w:rPr>
            </w:pPr>
          </w:p>
        </w:tc>
      </w:tr>
      <w:tr w:rsidR="0019790A" w:rsidRPr="00C2587D" w14:paraId="48CFA5A6" w14:textId="38F5870D" w:rsidTr="0019790A">
        <w:trPr>
          <w:trHeight w:val="275"/>
          <w:jc w:val="right"/>
        </w:trPr>
        <w:tc>
          <w:tcPr>
            <w:tcW w:w="3425" w:type="dxa"/>
            <w:shd w:val="clear" w:color="auto" w:fill="FFFFFF"/>
            <w:vAlign w:val="center"/>
          </w:tcPr>
          <w:p w14:paraId="69202502" w14:textId="77777777" w:rsidR="0019790A" w:rsidRPr="00C2587D" w:rsidRDefault="0019790A" w:rsidP="00EA6E27">
            <w:pPr>
              <w:rPr>
                <w:rFonts w:cs="Arial"/>
                <w:color w:val="000000"/>
                <w:szCs w:val="22"/>
              </w:rPr>
            </w:pPr>
            <w:r w:rsidRPr="00C2587D">
              <w:rPr>
                <w:rFonts w:cs="Arial"/>
                <w:color w:val="000000"/>
                <w:szCs w:val="22"/>
              </w:rPr>
              <w:t>- бюджет Жмеринської МТГ</w:t>
            </w:r>
          </w:p>
        </w:tc>
        <w:tc>
          <w:tcPr>
            <w:tcW w:w="1227" w:type="dxa"/>
            <w:vAlign w:val="center"/>
          </w:tcPr>
          <w:p w14:paraId="1138BDA2" w14:textId="063689C6" w:rsidR="0019790A" w:rsidRPr="00C2587D" w:rsidRDefault="0019790A" w:rsidP="00EA6E27">
            <w:pPr>
              <w:jc w:val="both"/>
              <w:rPr>
                <w:rFonts w:cs="Arial"/>
                <w:color w:val="000000"/>
                <w:szCs w:val="22"/>
                <w:lang w:eastAsia="it-IT"/>
              </w:rPr>
            </w:pPr>
          </w:p>
        </w:tc>
        <w:tc>
          <w:tcPr>
            <w:tcW w:w="1415" w:type="dxa"/>
            <w:gridSpan w:val="2"/>
            <w:vAlign w:val="center"/>
          </w:tcPr>
          <w:p w14:paraId="3F9E9BF7" w14:textId="77777777" w:rsidR="0019790A" w:rsidRPr="00C2587D" w:rsidRDefault="0019790A" w:rsidP="00EA6E27">
            <w:pPr>
              <w:jc w:val="both"/>
              <w:rPr>
                <w:rFonts w:cs="Arial"/>
                <w:color w:val="000000"/>
                <w:szCs w:val="22"/>
                <w:lang w:eastAsia="it-IT"/>
              </w:rPr>
            </w:pPr>
          </w:p>
        </w:tc>
        <w:tc>
          <w:tcPr>
            <w:tcW w:w="1352" w:type="dxa"/>
            <w:gridSpan w:val="3"/>
            <w:vAlign w:val="center"/>
          </w:tcPr>
          <w:p w14:paraId="28EA1D65" w14:textId="52D1D1EA" w:rsidR="0019790A" w:rsidRPr="00C2587D" w:rsidRDefault="0019790A" w:rsidP="0019790A">
            <w:pPr>
              <w:ind w:left="105"/>
              <w:jc w:val="center"/>
              <w:rPr>
                <w:rFonts w:cs="Arial"/>
                <w:color w:val="000000"/>
                <w:szCs w:val="22"/>
                <w:lang w:eastAsia="it-IT"/>
              </w:rPr>
            </w:pPr>
            <w:r w:rsidRPr="00C2587D">
              <w:rPr>
                <w:rFonts w:cs="Arial"/>
                <w:color w:val="000000"/>
                <w:lang w:eastAsia="it-IT"/>
              </w:rPr>
              <w:t>2333,33</w:t>
            </w:r>
          </w:p>
        </w:tc>
        <w:tc>
          <w:tcPr>
            <w:tcW w:w="1227" w:type="dxa"/>
            <w:vAlign w:val="center"/>
          </w:tcPr>
          <w:p w14:paraId="23506B37" w14:textId="3D299B16" w:rsidR="0019790A" w:rsidRPr="00C2587D" w:rsidRDefault="0019790A" w:rsidP="0019790A">
            <w:pPr>
              <w:jc w:val="center"/>
              <w:rPr>
                <w:rFonts w:cs="Arial"/>
                <w:color w:val="000000"/>
                <w:szCs w:val="22"/>
                <w:lang w:eastAsia="it-IT"/>
              </w:rPr>
            </w:pPr>
          </w:p>
        </w:tc>
        <w:tc>
          <w:tcPr>
            <w:tcW w:w="1573" w:type="dxa"/>
            <w:vAlign w:val="center"/>
          </w:tcPr>
          <w:p w14:paraId="3E4AD623" w14:textId="243916BA" w:rsidR="0019790A" w:rsidRPr="00C2587D" w:rsidRDefault="0019790A" w:rsidP="0019790A">
            <w:pPr>
              <w:ind w:left="310"/>
              <w:jc w:val="center"/>
              <w:rPr>
                <w:rFonts w:cs="Arial"/>
                <w:color w:val="000000"/>
                <w:szCs w:val="22"/>
                <w:lang w:eastAsia="it-IT"/>
              </w:rPr>
            </w:pPr>
            <w:r w:rsidRPr="00C2587D">
              <w:rPr>
                <w:rFonts w:cs="Arial"/>
                <w:color w:val="000000"/>
                <w:lang w:eastAsia="it-IT"/>
              </w:rPr>
              <w:t>2333,33</w:t>
            </w:r>
          </w:p>
        </w:tc>
      </w:tr>
      <w:tr w:rsidR="0019790A" w:rsidRPr="00C2587D" w14:paraId="6E4EC286" w14:textId="10852238" w:rsidTr="0019790A">
        <w:trPr>
          <w:trHeight w:val="226"/>
          <w:jc w:val="right"/>
        </w:trPr>
        <w:tc>
          <w:tcPr>
            <w:tcW w:w="3425" w:type="dxa"/>
            <w:shd w:val="clear" w:color="auto" w:fill="FFFFFF"/>
            <w:vAlign w:val="center"/>
          </w:tcPr>
          <w:p w14:paraId="6112BB2D" w14:textId="77777777" w:rsidR="0019790A" w:rsidRPr="00C2587D" w:rsidRDefault="0019790A" w:rsidP="00EA6E27">
            <w:pPr>
              <w:rPr>
                <w:rFonts w:cs="Arial"/>
                <w:color w:val="000000"/>
                <w:szCs w:val="22"/>
              </w:rPr>
            </w:pPr>
            <w:r w:rsidRPr="00C2587D">
              <w:rPr>
                <w:rFonts w:cs="Arial"/>
                <w:color w:val="000000"/>
                <w:szCs w:val="22"/>
              </w:rPr>
              <w:t>- інші джерела фінансування</w:t>
            </w:r>
          </w:p>
        </w:tc>
        <w:tc>
          <w:tcPr>
            <w:tcW w:w="1227" w:type="dxa"/>
            <w:vAlign w:val="center"/>
          </w:tcPr>
          <w:p w14:paraId="26A3A070" w14:textId="77777777" w:rsidR="0019790A" w:rsidRPr="00C2587D" w:rsidRDefault="0019790A" w:rsidP="00EA6E27">
            <w:pPr>
              <w:jc w:val="both"/>
              <w:rPr>
                <w:rFonts w:cs="Arial"/>
                <w:color w:val="000000"/>
                <w:szCs w:val="22"/>
                <w:lang w:eastAsia="it-IT"/>
              </w:rPr>
            </w:pPr>
          </w:p>
        </w:tc>
        <w:tc>
          <w:tcPr>
            <w:tcW w:w="1415" w:type="dxa"/>
            <w:gridSpan w:val="2"/>
            <w:vAlign w:val="center"/>
          </w:tcPr>
          <w:p w14:paraId="7C5EA601" w14:textId="77777777" w:rsidR="0019790A" w:rsidRPr="00C2587D" w:rsidRDefault="0019790A" w:rsidP="00EA6E27">
            <w:pPr>
              <w:jc w:val="both"/>
              <w:rPr>
                <w:rFonts w:cs="Arial"/>
                <w:color w:val="000000"/>
                <w:szCs w:val="22"/>
                <w:lang w:eastAsia="it-IT"/>
              </w:rPr>
            </w:pPr>
          </w:p>
        </w:tc>
        <w:tc>
          <w:tcPr>
            <w:tcW w:w="1352" w:type="dxa"/>
            <w:gridSpan w:val="3"/>
            <w:vAlign w:val="center"/>
          </w:tcPr>
          <w:p w14:paraId="7BAB5DE6" w14:textId="0E2D5691" w:rsidR="0019790A" w:rsidRPr="00C2587D" w:rsidRDefault="0019790A" w:rsidP="0019790A">
            <w:pPr>
              <w:jc w:val="center"/>
              <w:rPr>
                <w:rFonts w:cs="Arial"/>
                <w:color w:val="000000"/>
                <w:szCs w:val="22"/>
                <w:lang w:eastAsia="it-IT"/>
              </w:rPr>
            </w:pPr>
          </w:p>
        </w:tc>
        <w:tc>
          <w:tcPr>
            <w:tcW w:w="1227" w:type="dxa"/>
            <w:vAlign w:val="center"/>
          </w:tcPr>
          <w:p w14:paraId="2E69CBEF" w14:textId="77777777" w:rsidR="0019790A" w:rsidRPr="00C2587D" w:rsidRDefault="0019790A" w:rsidP="0019790A">
            <w:pPr>
              <w:jc w:val="center"/>
              <w:rPr>
                <w:rFonts w:cs="Arial"/>
                <w:color w:val="000000"/>
                <w:szCs w:val="22"/>
                <w:lang w:eastAsia="it-IT"/>
              </w:rPr>
            </w:pPr>
          </w:p>
        </w:tc>
        <w:tc>
          <w:tcPr>
            <w:tcW w:w="1573" w:type="dxa"/>
            <w:vAlign w:val="center"/>
          </w:tcPr>
          <w:p w14:paraId="5E7E70C5" w14:textId="77777777" w:rsidR="0019790A" w:rsidRPr="00C2587D" w:rsidRDefault="0019790A" w:rsidP="0019790A">
            <w:pPr>
              <w:jc w:val="center"/>
              <w:rPr>
                <w:rFonts w:cs="Arial"/>
                <w:color w:val="000000"/>
                <w:szCs w:val="22"/>
                <w:lang w:eastAsia="it-IT"/>
              </w:rPr>
            </w:pPr>
          </w:p>
        </w:tc>
      </w:tr>
      <w:tr w:rsidR="00CB33C7" w:rsidRPr="00C2587D" w14:paraId="587BD064" w14:textId="77777777" w:rsidTr="00EA6E27">
        <w:trPr>
          <w:jc w:val="right"/>
        </w:trPr>
        <w:tc>
          <w:tcPr>
            <w:tcW w:w="3425" w:type="dxa"/>
            <w:shd w:val="clear" w:color="auto" w:fill="FFFFFF"/>
            <w:vAlign w:val="center"/>
          </w:tcPr>
          <w:p w14:paraId="5E8986B7" w14:textId="77777777" w:rsidR="00CB33C7" w:rsidRPr="00C2587D" w:rsidRDefault="00CB33C7" w:rsidP="00EA6E27">
            <w:pPr>
              <w:rPr>
                <w:rFonts w:cs="Arial"/>
                <w:b/>
                <w:bCs/>
                <w:color w:val="000000"/>
                <w:szCs w:val="22"/>
              </w:rPr>
            </w:pPr>
            <w:r w:rsidRPr="00C2587D">
              <w:rPr>
                <w:rFonts w:cs="Arial"/>
                <w:b/>
                <w:color w:val="000000"/>
                <w:szCs w:val="22"/>
              </w:rPr>
              <w:t>Відповідальний виконавець проєкту:</w:t>
            </w:r>
          </w:p>
        </w:tc>
        <w:tc>
          <w:tcPr>
            <w:tcW w:w="6794" w:type="dxa"/>
            <w:gridSpan w:val="8"/>
            <w:vAlign w:val="center"/>
          </w:tcPr>
          <w:p w14:paraId="5D01F405" w14:textId="77777777" w:rsidR="00CB33C7" w:rsidRPr="00C2587D" w:rsidRDefault="00CB33C7" w:rsidP="00EA6E27">
            <w:pPr>
              <w:jc w:val="both"/>
              <w:rPr>
                <w:rFonts w:cs="Arial"/>
                <w:color w:val="000000"/>
                <w:szCs w:val="22"/>
                <w:lang w:eastAsia="it-IT"/>
              </w:rPr>
            </w:pPr>
            <w:r w:rsidRPr="00C2587D">
              <w:rPr>
                <w:rFonts w:cs="Arial"/>
                <w:color w:val="000000"/>
                <w:szCs w:val="22"/>
                <w:lang w:eastAsia="it-IT"/>
              </w:rPr>
              <w:t>Управління ЖКГ.</w:t>
            </w:r>
          </w:p>
          <w:p w14:paraId="2EFB3FFB" w14:textId="77777777" w:rsidR="00CB33C7" w:rsidRPr="00C2587D" w:rsidRDefault="00CB33C7" w:rsidP="00EA6E27">
            <w:pPr>
              <w:jc w:val="both"/>
              <w:rPr>
                <w:rFonts w:cs="Arial"/>
                <w:color w:val="000000"/>
                <w:szCs w:val="22"/>
                <w:lang w:eastAsia="it-IT"/>
              </w:rPr>
            </w:pPr>
          </w:p>
          <w:p w14:paraId="77D243B1" w14:textId="77777777" w:rsidR="00CB33C7" w:rsidRPr="00C2587D" w:rsidRDefault="00CB33C7" w:rsidP="00EA6E27">
            <w:pPr>
              <w:jc w:val="both"/>
              <w:rPr>
                <w:rFonts w:cs="Arial"/>
                <w:color w:val="000000"/>
                <w:szCs w:val="22"/>
                <w:lang w:eastAsia="it-IT"/>
              </w:rPr>
            </w:pPr>
          </w:p>
        </w:tc>
      </w:tr>
      <w:tr w:rsidR="00CB33C7" w:rsidRPr="00C2587D" w14:paraId="343FD271" w14:textId="77777777" w:rsidTr="00EA6E27">
        <w:trPr>
          <w:jc w:val="right"/>
        </w:trPr>
        <w:tc>
          <w:tcPr>
            <w:tcW w:w="3425" w:type="dxa"/>
            <w:shd w:val="clear" w:color="auto" w:fill="FFFFFF"/>
            <w:vAlign w:val="center"/>
          </w:tcPr>
          <w:p w14:paraId="20F6662B" w14:textId="77777777" w:rsidR="00CB33C7" w:rsidRPr="00C2587D" w:rsidRDefault="00CB33C7" w:rsidP="00EA6E27">
            <w:pPr>
              <w:rPr>
                <w:rFonts w:cs="Arial"/>
                <w:b/>
                <w:bCs/>
                <w:color w:val="000000"/>
                <w:szCs w:val="22"/>
              </w:rPr>
            </w:pPr>
            <w:r w:rsidRPr="00C2587D">
              <w:rPr>
                <w:rFonts w:cs="Arial"/>
                <w:b/>
                <w:bCs/>
                <w:color w:val="000000"/>
                <w:szCs w:val="22"/>
              </w:rPr>
              <w:t>Інше:</w:t>
            </w:r>
          </w:p>
        </w:tc>
        <w:tc>
          <w:tcPr>
            <w:tcW w:w="6794" w:type="dxa"/>
            <w:gridSpan w:val="8"/>
            <w:vAlign w:val="center"/>
          </w:tcPr>
          <w:p w14:paraId="27BA514B" w14:textId="77777777" w:rsidR="00CB33C7" w:rsidRPr="00C2587D" w:rsidRDefault="00CB33C7" w:rsidP="00EA6E27">
            <w:pPr>
              <w:rPr>
                <w:rFonts w:cs="Arial"/>
                <w:color w:val="000000"/>
                <w:szCs w:val="22"/>
                <w:lang w:eastAsia="it-IT"/>
              </w:rPr>
            </w:pPr>
          </w:p>
          <w:p w14:paraId="31CD83A3" w14:textId="77777777" w:rsidR="00CB33C7" w:rsidRPr="00C2587D" w:rsidRDefault="00CB33C7" w:rsidP="00EA6E27">
            <w:pPr>
              <w:rPr>
                <w:rFonts w:cs="Arial"/>
                <w:color w:val="000000"/>
                <w:szCs w:val="22"/>
                <w:lang w:eastAsia="it-IT"/>
              </w:rPr>
            </w:pPr>
          </w:p>
        </w:tc>
      </w:tr>
    </w:tbl>
    <w:p w14:paraId="0F7904CE" w14:textId="77777777" w:rsidR="00CB33C7" w:rsidRPr="00C2587D" w:rsidRDefault="00CB33C7" w:rsidP="00CB33C7"/>
    <w:p w14:paraId="31FE0093" w14:textId="77777777" w:rsidR="00F55232" w:rsidRPr="00C2587D" w:rsidRDefault="00F55232" w:rsidP="00F55232">
      <w:pPr>
        <w:rPr>
          <w:rFonts w:cs="Arial"/>
          <w:sz w:val="24"/>
        </w:rPr>
      </w:pPr>
    </w:p>
    <w:p w14:paraId="7868D8D9" w14:textId="77777777" w:rsidR="00F55232" w:rsidRPr="00C2587D" w:rsidRDefault="00F55232" w:rsidP="00F55232">
      <w:pPr>
        <w:rPr>
          <w:rFonts w:ascii="Times New Roman" w:hAnsi="Times New Roman"/>
          <w:sz w:val="24"/>
        </w:rPr>
      </w:pPr>
    </w:p>
    <w:p w14:paraId="2351CA41" w14:textId="77777777" w:rsidR="003D6706" w:rsidRPr="00C2587D" w:rsidRDefault="003D6706">
      <w:pPr>
        <w:rPr>
          <w:rFonts w:cs="Arial"/>
          <w:b/>
          <w:sz w:val="24"/>
          <w:lang w:eastAsia="uk-UA"/>
        </w:rPr>
      </w:pPr>
    </w:p>
    <w:p w14:paraId="61A4F86B" w14:textId="0C79FAFF" w:rsidR="001F3AF5" w:rsidRPr="00C2587D" w:rsidRDefault="001F3AF5" w:rsidP="001F3AF5">
      <w:pPr>
        <w:jc w:val="center"/>
        <w:rPr>
          <w:rFonts w:cs="Arial"/>
          <w:b/>
          <w:sz w:val="24"/>
          <w:u w:val="single"/>
          <w:lang w:eastAsia="uk-UA"/>
        </w:rPr>
      </w:pPr>
      <w:r w:rsidRPr="00C2587D">
        <w:rPr>
          <w:rFonts w:cs="Arial"/>
          <w:b/>
          <w:sz w:val="24"/>
          <w:u w:val="single"/>
          <w:lang w:eastAsia="uk-UA"/>
        </w:rPr>
        <w:t>Стратегічна ціль: В.2. Забезпечення підвищення енергоефективності в громаді</w:t>
      </w:r>
    </w:p>
    <w:p w14:paraId="4E1BB44C" w14:textId="77777777" w:rsidR="00375908" w:rsidRPr="00C2587D" w:rsidRDefault="00375908" w:rsidP="001F3AF5">
      <w:pPr>
        <w:jc w:val="center"/>
        <w:rPr>
          <w:rFonts w:cs="Arial"/>
          <w:b/>
          <w:sz w:val="24"/>
          <w:u w:val="single"/>
          <w:lang w:eastAsia="uk-UA"/>
        </w:rPr>
      </w:pPr>
    </w:p>
    <w:p w14:paraId="67F0CFA2" w14:textId="77777777" w:rsidR="00EA6E27" w:rsidRPr="00C2587D" w:rsidRDefault="00EA6E27" w:rsidP="00EA6E2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1C5A5B43" w14:textId="77777777" w:rsidR="00EA6E27" w:rsidRPr="00C2587D" w:rsidRDefault="00EA6E27" w:rsidP="00EA6E27">
      <w:pPr>
        <w:jc w:val="center"/>
        <w:rPr>
          <w:rFonts w:cs="Arial"/>
          <w:b/>
          <w:color w:val="000000"/>
          <w:szCs w:val="22"/>
        </w:rPr>
      </w:pPr>
      <w:r w:rsidRPr="00C2587D">
        <w:rPr>
          <w:rFonts w:cs="Arial"/>
          <w:b/>
          <w:color w:val="000000"/>
          <w:szCs w:val="22"/>
        </w:rPr>
        <w:t>до Плану заходів з реалізації Стратегії</w:t>
      </w:r>
    </w:p>
    <w:p w14:paraId="516BD1E9" w14:textId="77777777" w:rsidR="00EA6E27" w:rsidRPr="00C2587D" w:rsidRDefault="00EA6E27" w:rsidP="00EA6E2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190"/>
        <w:gridCol w:w="64"/>
        <w:gridCol w:w="1275"/>
        <w:gridCol w:w="26"/>
        <w:gridCol w:w="1392"/>
        <w:gridCol w:w="23"/>
        <w:gridCol w:w="1253"/>
        <w:gridCol w:w="24"/>
        <w:gridCol w:w="1547"/>
      </w:tblGrid>
      <w:tr w:rsidR="00EA6E27" w:rsidRPr="0019790A" w14:paraId="21D3D179" w14:textId="77777777" w:rsidTr="00EA6E27">
        <w:trPr>
          <w:jc w:val="right"/>
        </w:trPr>
        <w:tc>
          <w:tcPr>
            <w:tcW w:w="3425" w:type="dxa"/>
            <w:vAlign w:val="center"/>
          </w:tcPr>
          <w:p w14:paraId="3060B6CE" w14:textId="77777777" w:rsidR="00EA6E27" w:rsidRPr="0019790A" w:rsidRDefault="00EA6E27" w:rsidP="00EA6E27">
            <w:pPr>
              <w:rPr>
                <w:rFonts w:cs="Arial"/>
                <w:b/>
                <w:bCs/>
                <w:color w:val="000000"/>
                <w:szCs w:val="22"/>
              </w:rPr>
            </w:pPr>
            <w:r w:rsidRPr="0019790A">
              <w:rPr>
                <w:rFonts w:cs="Arial"/>
                <w:b/>
                <w:bCs/>
                <w:color w:val="000000"/>
                <w:szCs w:val="22"/>
              </w:rPr>
              <w:t>Назва проєкту:</w:t>
            </w:r>
          </w:p>
        </w:tc>
        <w:tc>
          <w:tcPr>
            <w:tcW w:w="6794" w:type="dxa"/>
            <w:gridSpan w:val="9"/>
          </w:tcPr>
          <w:p w14:paraId="0951CA8A" w14:textId="77777777" w:rsidR="00EA6E27" w:rsidRPr="0019790A" w:rsidRDefault="00EA6E27" w:rsidP="0019790A">
            <w:pPr>
              <w:spacing w:before="40" w:after="40"/>
              <w:jc w:val="both"/>
              <w:rPr>
                <w:rFonts w:cs="Arial"/>
                <w:b/>
                <w:szCs w:val="22"/>
                <w:lang w:eastAsia="it-IT"/>
              </w:rPr>
            </w:pPr>
            <w:r w:rsidRPr="0019790A">
              <w:rPr>
                <w:rFonts w:cs="Arial"/>
                <w:b/>
                <w:szCs w:val="22"/>
                <w:lang w:eastAsia="it-IT"/>
              </w:rPr>
              <w:t>Вдосконалення системи муніципального енергоменеджменту, запровадження енергомоніторингу фахова освіта та підготовка енергоменеджерів. Розробка та впровадження Муніципального енергетичного плану.</w:t>
            </w:r>
          </w:p>
        </w:tc>
      </w:tr>
      <w:tr w:rsidR="00EA6E27" w:rsidRPr="0019790A" w14:paraId="1DA66866" w14:textId="77777777" w:rsidTr="00EA6E27">
        <w:trPr>
          <w:jc w:val="right"/>
        </w:trPr>
        <w:tc>
          <w:tcPr>
            <w:tcW w:w="3425" w:type="dxa"/>
          </w:tcPr>
          <w:p w14:paraId="5617D16B" w14:textId="77777777" w:rsidR="00EA6E27" w:rsidRPr="0019790A" w:rsidRDefault="00EA6E27" w:rsidP="00EA6E27">
            <w:pPr>
              <w:spacing w:before="40" w:after="40"/>
              <w:rPr>
                <w:rFonts w:cs="Arial"/>
                <w:szCs w:val="22"/>
                <w:lang w:eastAsia="it-IT"/>
              </w:rPr>
            </w:pPr>
            <w:r w:rsidRPr="0019790A">
              <w:rPr>
                <w:rFonts w:cs="Arial"/>
                <w:b/>
                <w:bCs/>
                <w:szCs w:val="22"/>
              </w:rPr>
              <w:t>Ваші контакти</w:t>
            </w:r>
            <w:r w:rsidRPr="0019790A">
              <w:rPr>
                <w:rFonts w:cs="Arial"/>
                <w:szCs w:val="22"/>
                <w:lang w:eastAsia="it-IT"/>
              </w:rPr>
              <w:t>:</w:t>
            </w:r>
          </w:p>
          <w:p w14:paraId="6AC9D421" w14:textId="77777777" w:rsidR="00EA6E27" w:rsidRPr="0019790A" w:rsidRDefault="00EA6E27" w:rsidP="00EA6E27">
            <w:pPr>
              <w:spacing w:before="40" w:after="40"/>
              <w:rPr>
                <w:rFonts w:cs="Arial"/>
                <w:b/>
                <w:bCs/>
                <w:szCs w:val="22"/>
              </w:rPr>
            </w:pPr>
            <w:r w:rsidRPr="0019790A">
              <w:rPr>
                <w:rFonts w:cs="Arial"/>
                <w:szCs w:val="22"/>
                <w:lang w:eastAsia="it-IT"/>
              </w:rPr>
              <w:t>Назва установи, організації, підприємства</w:t>
            </w:r>
          </w:p>
        </w:tc>
        <w:tc>
          <w:tcPr>
            <w:tcW w:w="6794" w:type="dxa"/>
            <w:gridSpan w:val="9"/>
          </w:tcPr>
          <w:p w14:paraId="5BDBE328" w14:textId="77777777" w:rsidR="00EA6E27" w:rsidRPr="0019790A" w:rsidRDefault="00EA6E27" w:rsidP="00EA6E27">
            <w:pPr>
              <w:spacing w:before="40" w:after="40"/>
              <w:rPr>
                <w:rFonts w:cs="Arial"/>
                <w:szCs w:val="22"/>
                <w:lang w:eastAsia="it-IT"/>
              </w:rPr>
            </w:pPr>
            <w:r w:rsidRPr="0019790A">
              <w:rPr>
                <w:rFonts w:cs="Arial"/>
                <w:szCs w:val="22"/>
                <w:lang w:eastAsia="it-IT"/>
              </w:rPr>
              <w:t>Управління економіки та розвитку інфраструктури</w:t>
            </w:r>
          </w:p>
        </w:tc>
      </w:tr>
      <w:tr w:rsidR="00EA6E27" w:rsidRPr="0019790A" w14:paraId="054CA42F" w14:textId="77777777" w:rsidTr="00EA6E27">
        <w:trPr>
          <w:jc w:val="right"/>
        </w:trPr>
        <w:tc>
          <w:tcPr>
            <w:tcW w:w="3425" w:type="dxa"/>
          </w:tcPr>
          <w:p w14:paraId="13FFD5FE" w14:textId="77777777" w:rsidR="00EA6E27" w:rsidRPr="0019790A" w:rsidRDefault="00EA6E27" w:rsidP="00EA6E27">
            <w:pPr>
              <w:spacing w:before="40" w:after="40"/>
              <w:rPr>
                <w:rFonts w:cs="Arial"/>
                <w:b/>
                <w:bCs/>
                <w:szCs w:val="22"/>
              </w:rPr>
            </w:pPr>
            <w:r w:rsidRPr="0019790A">
              <w:rPr>
                <w:rFonts w:cs="Arial"/>
                <w:szCs w:val="22"/>
                <w:lang w:eastAsia="it-IT"/>
              </w:rPr>
              <w:t>Прізвище Ім’я По-батькові:</w:t>
            </w:r>
          </w:p>
        </w:tc>
        <w:tc>
          <w:tcPr>
            <w:tcW w:w="6794" w:type="dxa"/>
            <w:gridSpan w:val="9"/>
          </w:tcPr>
          <w:p w14:paraId="58C128F2" w14:textId="77777777" w:rsidR="00EA6E27" w:rsidRPr="0019790A" w:rsidRDefault="00EA6E27" w:rsidP="00EA6E27">
            <w:pPr>
              <w:spacing w:before="40" w:after="40"/>
              <w:rPr>
                <w:rFonts w:cs="Arial"/>
                <w:szCs w:val="22"/>
                <w:lang w:eastAsia="it-IT"/>
              </w:rPr>
            </w:pPr>
            <w:r w:rsidRPr="0019790A">
              <w:rPr>
                <w:rFonts w:cs="Arial"/>
                <w:szCs w:val="22"/>
                <w:lang w:eastAsia="it-IT"/>
              </w:rPr>
              <w:t>Монастирська Ірина Ігорівна</w:t>
            </w:r>
          </w:p>
        </w:tc>
      </w:tr>
      <w:tr w:rsidR="00EA6E27" w:rsidRPr="0019790A" w14:paraId="36FBAC1D" w14:textId="77777777" w:rsidTr="00EA6E27">
        <w:trPr>
          <w:jc w:val="right"/>
        </w:trPr>
        <w:tc>
          <w:tcPr>
            <w:tcW w:w="3425" w:type="dxa"/>
          </w:tcPr>
          <w:p w14:paraId="68435180" w14:textId="77777777" w:rsidR="00EA6E27" w:rsidRPr="0019790A" w:rsidRDefault="00EA6E27" w:rsidP="00EA6E27">
            <w:pPr>
              <w:spacing w:before="40" w:after="40"/>
              <w:rPr>
                <w:rFonts w:cs="Arial"/>
                <w:b/>
                <w:bCs/>
                <w:szCs w:val="22"/>
              </w:rPr>
            </w:pPr>
            <w:r w:rsidRPr="0019790A">
              <w:rPr>
                <w:rFonts w:cs="Arial"/>
                <w:szCs w:val="22"/>
                <w:lang w:eastAsia="it-IT"/>
              </w:rPr>
              <w:t>Телефон (мобільний):</w:t>
            </w:r>
          </w:p>
        </w:tc>
        <w:tc>
          <w:tcPr>
            <w:tcW w:w="6794" w:type="dxa"/>
            <w:gridSpan w:val="9"/>
          </w:tcPr>
          <w:p w14:paraId="799A7EB4" w14:textId="77777777" w:rsidR="00EA6E27" w:rsidRPr="0019790A" w:rsidRDefault="00EA6E27" w:rsidP="00EA6E27">
            <w:pPr>
              <w:spacing w:before="40" w:after="40"/>
              <w:rPr>
                <w:rFonts w:cs="Arial"/>
                <w:szCs w:val="22"/>
                <w:lang w:eastAsia="it-IT"/>
              </w:rPr>
            </w:pPr>
            <w:r w:rsidRPr="0019790A">
              <w:rPr>
                <w:rFonts w:cs="Arial"/>
                <w:szCs w:val="22"/>
                <w:lang w:eastAsia="it-IT"/>
              </w:rPr>
              <w:t>0987939269</w:t>
            </w:r>
          </w:p>
        </w:tc>
      </w:tr>
      <w:tr w:rsidR="00EA6E27" w:rsidRPr="0019790A" w14:paraId="35D3AEE4" w14:textId="77777777" w:rsidTr="00EA6E27">
        <w:trPr>
          <w:jc w:val="right"/>
        </w:trPr>
        <w:tc>
          <w:tcPr>
            <w:tcW w:w="3425" w:type="dxa"/>
          </w:tcPr>
          <w:p w14:paraId="70069D96" w14:textId="77777777" w:rsidR="00EA6E27" w:rsidRPr="0019790A" w:rsidRDefault="00EA6E27" w:rsidP="00EA6E27">
            <w:pPr>
              <w:spacing w:before="40" w:after="40"/>
              <w:rPr>
                <w:rFonts w:cs="Arial"/>
                <w:b/>
                <w:bCs/>
                <w:szCs w:val="22"/>
              </w:rPr>
            </w:pPr>
            <w:r w:rsidRPr="0019790A">
              <w:rPr>
                <w:rFonts w:cs="Arial"/>
                <w:szCs w:val="22"/>
                <w:lang w:eastAsia="it-IT"/>
              </w:rPr>
              <w:t>Електронна адреса:</w:t>
            </w:r>
          </w:p>
        </w:tc>
        <w:tc>
          <w:tcPr>
            <w:tcW w:w="6794" w:type="dxa"/>
            <w:gridSpan w:val="9"/>
          </w:tcPr>
          <w:p w14:paraId="48D88784" w14:textId="6B06B7F9" w:rsidR="00EA6E27" w:rsidRPr="0019790A" w:rsidRDefault="00D85FFD" w:rsidP="00EA6E27">
            <w:pPr>
              <w:spacing w:before="40" w:after="40"/>
              <w:rPr>
                <w:rFonts w:cs="Arial"/>
                <w:color w:val="000000"/>
                <w:szCs w:val="22"/>
                <w:lang w:eastAsia="it-IT"/>
              </w:rPr>
            </w:pPr>
            <w:hyperlink r:id="rId88" w:history="1">
              <w:r w:rsidR="00EA6E27" w:rsidRPr="0019790A">
                <w:rPr>
                  <w:rStyle w:val="text"/>
                  <w:rFonts w:cs="Arial"/>
                  <w:bCs/>
                  <w:color w:val="000000"/>
                  <w:szCs w:val="22"/>
                  <w:shd w:val="clear" w:color="auto" w:fill="E9EAEC"/>
                </w:rPr>
                <w:t>econ@zhmr.gov.ua</w:t>
              </w:r>
            </w:hyperlink>
            <w:r w:rsidR="0019790A" w:rsidRPr="0019790A">
              <w:rPr>
                <w:rStyle w:val="text"/>
                <w:rFonts w:cs="Arial"/>
                <w:bCs/>
                <w:color w:val="000000"/>
                <w:szCs w:val="22"/>
                <w:shd w:val="clear" w:color="auto" w:fill="E9EAEC"/>
              </w:rPr>
              <w:t xml:space="preserve"> </w:t>
            </w:r>
            <w:r w:rsidR="0019790A">
              <w:rPr>
                <w:rStyle w:val="text"/>
                <w:rFonts w:cs="Arial"/>
                <w:bCs/>
                <w:color w:val="000000"/>
                <w:szCs w:val="22"/>
                <w:shd w:val="clear" w:color="auto" w:fill="E9EAEC"/>
              </w:rPr>
              <w:t xml:space="preserve"> </w:t>
            </w:r>
            <w:r w:rsidR="0019790A" w:rsidRPr="0019790A">
              <w:rPr>
                <w:rStyle w:val="text"/>
                <w:rFonts w:cs="Arial"/>
                <w:bCs/>
                <w:color w:val="000000"/>
                <w:szCs w:val="22"/>
                <w:shd w:val="clear" w:color="auto" w:fill="E9EAEC"/>
              </w:rPr>
              <w:t xml:space="preserve"> </w:t>
            </w:r>
          </w:p>
        </w:tc>
      </w:tr>
      <w:tr w:rsidR="00EA6E27" w:rsidRPr="0019790A" w14:paraId="7D219BC2" w14:textId="77777777" w:rsidTr="00EA6E27">
        <w:trPr>
          <w:jc w:val="right"/>
        </w:trPr>
        <w:tc>
          <w:tcPr>
            <w:tcW w:w="3425" w:type="dxa"/>
            <w:vAlign w:val="center"/>
          </w:tcPr>
          <w:p w14:paraId="14E935CD" w14:textId="77777777" w:rsidR="00EA6E27" w:rsidRPr="0019790A" w:rsidRDefault="00EA6E27" w:rsidP="00EA6E27">
            <w:pPr>
              <w:pStyle w:val="6"/>
              <w:spacing w:before="0" w:after="0"/>
              <w:rPr>
                <w:rFonts w:ascii="Arial" w:hAnsi="Arial" w:cs="Arial"/>
                <w:color w:val="000000"/>
                <w:lang w:val="uk-UA"/>
              </w:rPr>
            </w:pPr>
            <w:r w:rsidRPr="0019790A">
              <w:rPr>
                <w:rFonts w:ascii="Arial" w:hAnsi="Arial" w:cs="Arial"/>
                <w:color w:val="000000"/>
                <w:lang w:val="uk-UA"/>
              </w:rPr>
              <w:t>Номер і назва завдання з Стратегії</w:t>
            </w:r>
            <w:r w:rsidRPr="0019790A">
              <w:rPr>
                <w:rFonts w:ascii="Arial" w:hAnsi="Arial" w:cs="Arial"/>
                <w:lang w:val="uk-UA" w:eastAsia="it-IT"/>
              </w:rPr>
              <w:t xml:space="preserve"> </w:t>
            </w:r>
            <w:r w:rsidRPr="0019790A">
              <w:rPr>
                <w:rFonts w:ascii="Arial" w:hAnsi="Arial" w:cs="Arial"/>
                <w:color w:val="000000"/>
                <w:lang w:val="uk-UA"/>
              </w:rPr>
              <w:t>розвитку Жмеринської міської територіальної громади,  якому відповідає проєкт:</w:t>
            </w:r>
          </w:p>
        </w:tc>
        <w:tc>
          <w:tcPr>
            <w:tcW w:w="6794" w:type="dxa"/>
            <w:gridSpan w:val="9"/>
          </w:tcPr>
          <w:p w14:paraId="51C1AC33" w14:textId="77777777" w:rsidR="00EA6E27" w:rsidRPr="0019790A" w:rsidRDefault="00EA6E27" w:rsidP="0019790A">
            <w:pPr>
              <w:pBdr>
                <w:left w:val="single" w:sz="18" w:space="4" w:color="auto"/>
              </w:pBdr>
              <w:spacing w:before="40" w:after="40"/>
              <w:jc w:val="both"/>
              <w:rPr>
                <w:rFonts w:cs="Arial"/>
                <w:szCs w:val="22"/>
                <w:lang w:eastAsia="it-IT"/>
              </w:rPr>
            </w:pPr>
            <w:r w:rsidRPr="0019790A">
              <w:rPr>
                <w:rFonts w:cs="Arial"/>
                <w:szCs w:val="22"/>
                <w:lang w:eastAsia="it-IT"/>
              </w:rPr>
              <w:t>В.2.1. Ефективний муніципальний енергоменеджмент, енергомоніторинг та реалізація заходів ПДСЕРіК</w:t>
            </w:r>
          </w:p>
          <w:p w14:paraId="0DF7F93F" w14:textId="77777777" w:rsidR="00EA6E27" w:rsidRPr="0019790A" w:rsidRDefault="00EA6E27" w:rsidP="0019790A">
            <w:pPr>
              <w:pBdr>
                <w:left w:val="single" w:sz="18" w:space="4" w:color="auto"/>
              </w:pBdr>
              <w:spacing w:before="40" w:after="40"/>
              <w:jc w:val="both"/>
              <w:rPr>
                <w:rFonts w:cs="Arial"/>
                <w:szCs w:val="22"/>
                <w:lang w:eastAsia="it-IT"/>
              </w:rPr>
            </w:pPr>
            <w:r w:rsidRPr="0019790A">
              <w:rPr>
                <w:rFonts w:cs="Arial"/>
                <w:szCs w:val="22"/>
                <w:lang w:eastAsia="it-IT"/>
              </w:rPr>
              <w:t>В.2.1.2. Впровадження інформаційної системи енергомоніторингу, аналіз виконання та розробка плану дій сталого енергетичного розвитку</w:t>
            </w:r>
          </w:p>
        </w:tc>
      </w:tr>
      <w:tr w:rsidR="00EA6E27" w:rsidRPr="0019790A" w14:paraId="34DCA8A6" w14:textId="77777777" w:rsidTr="00EA6E27">
        <w:trPr>
          <w:jc w:val="right"/>
        </w:trPr>
        <w:tc>
          <w:tcPr>
            <w:tcW w:w="3425" w:type="dxa"/>
            <w:vAlign w:val="center"/>
          </w:tcPr>
          <w:p w14:paraId="0D615252" w14:textId="77777777" w:rsidR="00EA6E27" w:rsidRPr="0019790A" w:rsidRDefault="00EA6E27" w:rsidP="00EA6E27">
            <w:pPr>
              <w:rPr>
                <w:rFonts w:cs="Arial"/>
                <w:b/>
                <w:bCs/>
                <w:color w:val="000000"/>
                <w:szCs w:val="22"/>
              </w:rPr>
            </w:pPr>
            <w:r w:rsidRPr="0019790A">
              <w:rPr>
                <w:rFonts w:cs="Arial"/>
                <w:b/>
                <w:bCs/>
                <w:color w:val="000000"/>
                <w:szCs w:val="22"/>
              </w:rPr>
              <w:t>Мета проєкту:</w:t>
            </w:r>
          </w:p>
        </w:tc>
        <w:tc>
          <w:tcPr>
            <w:tcW w:w="6794" w:type="dxa"/>
            <w:gridSpan w:val="9"/>
          </w:tcPr>
          <w:p w14:paraId="699FDC8B" w14:textId="77777777" w:rsidR="00EA6E27" w:rsidRPr="0019790A" w:rsidRDefault="00EA6E27" w:rsidP="0019790A">
            <w:pPr>
              <w:spacing w:before="40" w:after="40"/>
              <w:jc w:val="both"/>
              <w:rPr>
                <w:rFonts w:cs="Arial"/>
                <w:szCs w:val="22"/>
                <w:lang w:eastAsia="it-IT"/>
              </w:rPr>
            </w:pPr>
            <w:r w:rsidRPr="0019790A">
              <w:rPr>
                <w:rFonts w:cs="Arial"/>
                <w:szCs w:val="22"/>
                <w:lang w:eastAsia="it-IT"/>
              </w:rPr>
              <w:t>Створення ефективної та прозорої системи муніципального енергоменеджменту. Покращення стратегічного планування у сфері енергетики громади.</w:t>
            </w:r>
          </w:p>
        </w:tc>
      </w:tr>
      <w:tr w:rsidR="00EA6E27" w:rsidRPr="0019790A" w14:paraId="69E14602" w14:textId="77777777" w:rsidTr="00EA6E27">
        <w:trPr>
          <w:jc w:val="right"/>
        </w:trPr>
        <w:tc>
          <w:tcPr>
            <w:tcW w:w="3425" w:type="dxa"/>
            <w:vAlign w:val="center"/>
          </w:tcPr>
          <w:p w14:paraId="103EAE37" w14:textId="77777777" w:rsidR="00EA6E27" w:rsidRPr="0019790A" w:rsidRDefault="00EA6E27" w:rsidP="00EA6E27">
            <w:pPr>
              <w:rPr>
                <w:rFonts w:cs="Arial"/>
                <w:b/>
                <w:bCs/>
                <w:color w:val="000000"/>
                <w:szCs w:val="22"/>
              </w:rPr>
            </w:pPr>
            <w:r w:rsidRPr="0019790A">
              <w:rPr>
                <w:rFonts w:cs="Arial"/>
                <w:b/>
                <w:bCs/>
                <w:color w:val="000000"/>
                <w:szCs w:val="22"/>
              </w:rPr>
              <w:t>Цілі проєкту:</w:t>
            </w:r>
          </w:p>
        </w:tc>
        <w:tc>
          <w:tcPr>
            <w:tcW w:w="6794" w:type="dxa"/>
            <w:gridSpan w:val="9"/>
          </w:tcPr>
          <w:p w14:paraId="4FAE3983" w14:textId="6B8E610B" w:rsidR="00EA6E27" w:rsidRPr="0019790A" w:rsidRDefault="00EA6E27" w:rsidP="0019790A">
            <w:pPr>
              <w:spacing w:before="40" w:after="40"/>
              <w:jc w:val="both"/>
              <w:rPr>
                <w:rFonts w:cs="Arial"/>
                <w:szCs w:val="22"/>
              </w:rPr>
            </w:pPr>
            <w:r w:rsidRPr="0019790A">
              <w:rPr>
                <w:rFonts w:cs="Arial"/>
                <w:szCs w:val="22"/>
                <w:lang w:eastAsia="it-IT"/>
              </w:rPr>
              <w:t xml:space="preserve">Охоплення системним </w:t>
            </w:r>
            <w:r w:rsidR="0019790A" w:rsidRPr="0019790A">
              <w:rPr>
                <w:rFonts w:cs="Arial"/>
                <w:szCs w:val="22"/>
                <w:lang w:eastAsia="it-IT"/>
              </w:rPr>
              <w:t>енергоменеджмент</w:t>
            </w:r>
            <w:r w:rsidR="0019790A">
              <w:rPr>
                <w:rFonts w:cs="Arial"/>
                <w:szCs w:val="22"/>
                <w:lang w:eastAsia="it-IT"/>
              </w:rPr>
              <w:t>ом</w:t>
            </w:r>
            <w:r w:rsidRPr="0019790A">
              <w:rPr>
                <w:rFonts w:cs="Arial"/>
                <w:szCs w:val="22"/>
                <w:lang w:eastAsia="it-IT"/>
              </w:rPr>
              <w:t xml:space="preserve"> та </w:t>
            </w:r>
            <w:r w:rsidR="0019790A" w:rsidRPr="0019790A">
              <w:rPr>
                <w:rFonts w:cs="Arial"/>
                <w:szCs w:val="22"/>
                <w:lang w:eastAsia="it-IT"/>
              </w:rPr>
              <w:t>енергомоніторинг</w:t>
            </w:r>
            <w:r w:rsidR="0019790A">
              <w:rPr>
                <w:rFonts w:cs="Arial"/>
                <w:szCs w:val="22"/>
                <w:lang w:eastAsia="it-IT"/>
              </w:rPr>
              <w:t>ом</w:t>
            </w:r>
            <w:r w:rsidRPr="0019790A">
              <w:rPr>
                <w:rFonts w:cs="Arial"/>
                <w:szCs w:val="22"/>
                <w:lang w:eastAsia="it-IT"/>
              </w:rPr>
              <w:t xml:space="preserve"> усієї бюджетної сфери громади, популяризація енергоощадної політики, з</w:t>
            </w:r>
            <w:r w:rsidRPr="0019790A">
              <w:rPr>
                <w:rFonts w:cs="Arial"/>
                <w:szCs w:val="22"/>
              </w:rPr>
              <w:t>меншення загального споживання енергії в муніципальних будівлях та скорочення</w:t>
            </w:r>
            <w:r w:rsidRPr="0019790A">
              <w:rPr>
                <w:rFonts w:cs="Arial"/>
                <w:szCs w:val="22"/>
                <w:lang w:eastAsia="it-IT"/>
              </w:rPr>
              <w:t xml:space="preserve"> викидів СО</w:t>
            </w:r>
            <w:r w:rsidRPr="0019790A">
              <w:rPr>
                <w:rFonts w:cs="Arial"/>
                <w:szCs w:val="22"/>
                <w:vertAlign w:val="superscript"/>
                <w:lang w:eastAsia="it-IT"/>
              </w:rPr>
              <w:t>2.</w:t>
            </w:r>
            <w:r w:rsidRPr="0019790A">
              <w:rPr>
                <w:rFonts w:cs="Arial"/>
                <w:szCs w:val="22"/>
              </w:rPr>
              <w:t xml:space="preserve"> . Розробка та прийняття місцевих нормативних документів щодо </w:t>
            </w:r>
            <w:r w:rsidR="0019790A" w:rsidRPr="0019790A">
              <w:rPr>
                <w:rFonts w:cs="Arial"/>
                <w:szCs w:val="22"/>
              </w:rPr>
              <w:t>енергоменеджменту</w:t>
            </w:r>
            <w:r w:rsidRPr="0019790A">
              <w:rPr>
                <w:rFonts w:cs="Arial"/>
                <w:szCs w:val="22"/>
              </w:rPr>
              <w:t xml:space="preserve"> .                                             </w:t>
            </w:r>
          </w:p>
        </w:tc>
      </w:tr>
      <w:tr w:rsidR="00EA6E27" w:rsidRPr="0019790A" w14:paraId="1DED5826" w14:textId="77777777" w:rsidTr="00EA6E27">
        <w:trPr>
          <w:jc w:val="right"/>
        </w:trPr>
        <w:tc>
          <w:tcPr>
            <w:tcW w:w="3425" w:type="dxa"/>
            <w:vAlign w:val="center"/>
          </w:tcPr>
          <w:p w14:paraId="02479864" w14:textId="77777777" w:rsidR="00EA6E27" w:rsidRPr="0019790A" w:rsidRDefault="00EA6E27" w:rsidP="00EA6E27">
            <w:pPr>
              <w:autoSpaceDE w:val="0"/>
              <w:autoSpaceDN w:val="0"/>
              <w:adjustRightInd w:val="0"/>
              <w:rPr>
                <w:rFonts w:cs="Arial"/>
                <w:b/>
                <w:color w:val="000000"/>
                <w:szCs w:val="22"/>
              </w:rPr>
            </w:pPr>
            <w:r w:rsidRPr="0019790A">
              <w:rPr>
                <w:rFonts w:cs="Arial"/>
                <w:b/>
                <w:color w:val="000000"/>
                <w:szCs w:val="22"/>
              </w:rPr>
              <w:t>Територія на яку проєкт матиме вплив:</w:t>
            </w:r>
          </w:p>
        </w:tc>
        <w:tc>
          <w:tcPr>
            <w:tcW w:w="6794" w:type="dxa"/>
            <w:gridSpan w:val="9"/>
          </w:tcPr>
          <w:p w14:paraId="0FADE9C1" w14:textId="77777777" w:rsidR="00EA6E27" w:rsidRPr="0019790A" w:rsidRDefault="00EA6E27" w:rsidP="0019790A">
            <w:pPr>
              <w:spacing w:before="40" w:after="40"/>
              <w:jc w:val="both"/>
              <w:rPr>
                <w:rFonts w:cs="Arial"/>
                <w:szCs w:val="22"/>
                <w:lang w:eastAsia="it-IT"/>
              </w:rPr>
            </w:pPr>
            <w:r w:rsidRPr="0019790A">
              <w:rPr>
                <w:rFonts w:cs="Arial"/>
                <w:szCs w:val="22"/>
                <w:lang w:eastAsia="it-IT"/>
              </w:rPr>
              <w:t>Жмеринська міська територіальна громада</w:t>
            </w:r>
          </w:p>
        </w:tc>
      </w:tr>
      <w:tr w:rsidR="00EA6E27" w:rsidRPr="0019790A" w14:paraId="01194BE9" w14:textId="77777777" w:rsidTr="00EA6E27">
        <w:trPr>
          <w:jc w:val="right"/>
        </w:trPr>
        <w:tc>
          <w:tcPr>
            <w:tcW w:w="3425" w:type="dxa"/>
            <w:vAlign w:val="center"/>
          </w:tcPr>
          <w:p w14:paraId="355B7BC7" w14:textId="77777777" w:rsidR="00EA6E27" w:rsidRPr="0019790A" w:rsidRDefault="00EA6E27" w:rsidP="00EA6E27">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4" w:type="dxa"/>
            <w:gridSpan w:val="9"/>
          </w:tcPr>
          <w:p w14:paraId="11A85032" w14:textId="77777777" w:rsidR="00EA6E27" w:rsidRPr="0019790A" w:rsidRDefault="00EA6E27" w:rsidP="0019790A">
            <w:pPr>
              <w:spacing w:before="40" w:after="40"/>
              <w:jc w:val="both"/>
              <w:rPr>
                <w:rFonts w:cs="Arial"/>
                <w:szCs w:val="22"/>
                <w:lang w:eastAsia="it-IT"/>
              </w:rPr>
            </w:pPr>
            <w:r w:rsidRPr="0019790A">
              <w:rPr>
                <w:rFonts w:cs="Arial"/>
                <w:szCs w:val="22"/>
                <w:lang w:eastAsia="it-IT"/>
              </w:rPr>
              <w:t>48,271 тис.осіб</w:t>
            </w:r>
          </w:p>
        </w:tc>
      </w:tr>
      <w:tr w:rsidR="00EA6E27" w:rsidRPr="0019790A" w14:paraId="23A6EF5B" w14:textId="77777777" w:rsidTr="00EA6E27">
        <w:trPr>
          <w:jc w:val="right"/>
        </w:trPr>
        <w:tc>
          <w:tcPr>
            <w:tcW w:w="3425" w:type="dxa"/>
            <w:shd w:val="clear" w:color="auto" w:fill="FFFFFF"/>
            <w:vAlign w:val="center"/>
          </w:tcPr>
          <w:p w14:paraId="4281D088" w14:textId="77777777" w:rsidR="00EA6E27" w:rsidRPr="0019790A" w:rsidRDefault="00EA6E27" w:rsidP="00EA6E27">
            <w:pPr>
              <w:rPr>
                <w:rFonts w:cs="Arial"/>
                <w:b/>
                <w:bCs/>
                <w:color w:val="000000"/>
                <w:szCs w:val="22"/>
              </w:rPr>
            </w:pPr>
            <w:r w:rsidRPr="0019790A">
              <w:rPr>
                <w:rFonts w:cs="Arial"/>
                <w:b/>
                <w:bCs/>
                <w:color w:val="000000"/>
                <w:szCs w:val="22"/>
              </w:rPr>
              <w:t>Стислий опис проєкту:</w:t>
            </w:r>
          </w:p>
        </w:tc>
        <w:tc>
          <w:tcPr>
            <w:tcW w:w="6794" w:type="dxa"/>
            <w:gridSpan w:val="9"/>
          </w:tcPr>
          <w:p w14:paraId="0929D5AA" w14:textId="77777777" w:rsidR="00EA6E27" w:rsidRPr="0019790A" w:rsidRDefault="00EA6E27" w:rsidP="0019790A">
            <w:pPr>
              <w:spacing w:before="40" w:after="40"/>
              <w:jc w:val="both"/>
              <w:rPr>
                <w:rFonts w:cs="Arial"/>
                <w:szCs w:val="22"/>
                <w:lang w:eastAsia="it-IT"/>
              </w:rPr>
            </w:pPr>
            <w:r w:rsidRPr="0019790A">
              <w:rPr>
                <w:rFonts w:cs="Arial"/>
                <w:szCs w:val="22"/>
                <w:lang w:eastAsia="it-IT"/>
              </w:rPr>
              <w:t>Щоденний енергомоніторинг для бюджетних установ громади дасть змогу виявляти неефективне використання енергоносіїв, прогнозувати витрати, визначати фактичну економію енергоресурсів після запровадження заходів.</w:t>
            </w:r>
          </w:p>
          <w:p w14:paraId="24F69B0C" w14:textId="77777777" w:rsidR="00EA6E27" w:rsidRPr="0019790A" w:rsidRDefault="00EA6E27" w:rsidP="0019790A">
            <w:pPr>
              <w:spacing w:before="40" w:after="40"/>
              <w:jc w:val="both"/>
              <w:rPr>
                <w:rFonts w:cs="Arial"/>
                <w:szCs w:val="22"/>
                <w:lang w:eastAsia="it-IT"/>
              </w:rPr>
            </w:pPr>
            <w:r w:rsidRPr="0019790A">
              <w:rPr>
                <w:rFonts w:cs="Arial"/>
                <w:szCs w:val="22"/>
                <w:lang w:eastAsia="it-IT"/>
              </w:rPr>
              <w:t>Призначення енергоменеджерів на місцях призведе до ефективного контролю за енергоресурсами  в окремій будівлі, скоординує дії місцевої влади по впровадженню заходів Плану дій сталого енергетичного розвитку з розпорядниками коштів. Популяризація енергоощадливості призведе до підвищення відповідального відношення до природних ресурсів та зменшення рівня енергоспоживання. Результатом стане впровадження системного муніципального енергоменеджменту з метою зменшення споживання енергії та підвищення ефективності її використання.</w:t>
            </w:r>
          </w:p>
        </w:tc>
      </w:tr>
      <w:tr w:rsidR="00EA6E27" w:rsidRPr="0019790A" w14:paraId="6B2863B3" w14:textId="77777777" w:rsidTr="00EA6E27">
        <w:trPr>
          <w:jc w:val="right"/>
        </w:trPr>
        <w:tc>
          <w:tcPr>
            <w:tcW w:w="3425" w:type="dxa"/>
            <w:shd w:val="clear" w:color="auto" w:fill="FFFFFF"/>
            <w:vAlign w:val="center"/>
          </w:tcPr>
          <w:p w14:paraId="56394149" w14:textId="77777777" w:rsidR="00EA6E27" w:rsidRPr="0019790A" w:rsidRDefault="00EA6E27" w:rsidP="00EA6E27">
            <w:pPr>
              <w:rPr>
                <w:rFonts w:cs="Arial"/>
                <w:b/>
                <w:bCs/>
                <w:color w:val="000000"/>
                <w:szCs w:val="22"/>
              </w:rPr>
            </w:pPr>
            <w:r w:rsidRPr="0019790A">
              <w:rPr>
                <w:rFonts w:cs="Arial"/>
                <w:b/>
                <w:bCs/>
                <w:color w:val="000000"/>
                <w:szCs w:val="22"/>
              </w:rPr>
              <w:t>Основні заходи проєкту:</w:t>
            </w:r>
          </w:p>
        </w:tc>
        <w:tc>
          <w:tcPr>
            <w:tcW w:w="6794" w:type="dxa"/>
            <w:gridSpan w:val="9"/>
          </w:tcPr>
          <w:p w14:paraId="6D8A7571" w14:textId="77777777" w:rsidR="00EA6E27" w:rsidRPr="0019790A" w:rsidRDefault="00EA6E27" w:rsidP="00EA6E27">
            <w:pPr>
              <w:spacing w:before="40" w:after="40"/>
              <w:rPr>
                <w:rFonts w:cs="Arial"/>
                <w:szCs w:val="22"/>
              </w:rPr>
            </w:pPr>
            <w:r w:rsidRPr="0019790A">
              <w:rPr>
                <w:rFonts w:cs="Arial"/>
                <w:szCs w:val="22"/>
              </w:rPr>
              <w:t xml:space="preserve">1. Впровадження щоденного моніторингу енергоспоживання усіма будівлями бюджетної сфери громади;                                         </w:t>
            </w:r>
          </w:p>
          <w:p w14:paraId="73C86DC7" w14:textId="77777777" w:rsidR="00EA6E27" w:rsidRPr="0019790A" w:rsidRDefault="00EA6E27" w:rsidP="00EA6E27">
            <w:pPr>
              <w:spacing w:before="40" w:after="40"/>
              <w:rPr>
                <w:rFonts w:cs="Arial"/>
                <w:szCs w:val="22"/>
                <w:lang w:eastAsia="it-IT"/>
              </w:rPr>
            </w:pPr>
            <w:r w:rsidRPr="0019790A">
              <w:rPr>
                <w:rFonts w:cs="Arial"/>
                <w:szCs w:val="22"/>
              </w:rPr>
              <w:t xml:space="preserve"> 2. Підготовка енергоменеджерів в структурних підрозділах виконавчого комітету та на комунальних підприємствах громади;                                                                                                       3. Проведення масово-роз`яснювальної роботи серед дітей молодшого віку, учнів, молоді та жителів громади щодо енергозбереження та запобігання зміни клімату</w:t>
            </w:r>
          </w:p>
        </w:tc>
      </w:tr>
      <w:tr w:rsidR="00EA6E27" w:rsidRPr="0019790A" w14:paraId="0DB79967" w14:textId="77777777" w:rsidTr="00EA6E27">
        <w:trPr>
          <w:jc w:val="right"/>
        </w:trPr>
        <w:tc>
          <w:tcPr>
            <w:tcW w:w="3425" w:type="dxa"/>
            <w:shd w:val="clear" w:color="auto" w:fill="FFFFFF"/>
            <w:vAlign w:val="center"/>
          </w:tcPr>
          <w:p w14:paraId="0785C656" w14:textId="77777777" w:rsidR="00EA6E27" w:rsidRPr="0019790A" w:rsidRDefault="00EA6E27" w:rsidP="00EA6E27">
            <w:pPr>
              <w:rPr>
                <w:rFonts w:cs="Arial"/>
                <w:b/>
                <w:bCs/>
                <w:color w:val="000000"/>
                <w:szCs w:val="22"/>
              </w:rPr>
            </w:pPr>
            <w:r w:rsidRPr="0019790A">
              <w:rPr>
                <w:rFonts w:cs="Arial"/>
                <w:b/>
                <w:bCs/>
                <w:color w:val="000000"/>
                <w:szCs w:val="22"/>
              </w:rPr>
              <w:t>Індикатори (показники) результативності:</w:t>
            </w:r>
          </w:p>
        </w:tc>
        <w:tc>
          <w:tcPr>
            <w:tcW w:w="6794" w:type="dxa"/>
            <w:gridSpan w:val="9"/>
          </w:tcPr>
          <w:p w14:paraId="321691E8" w14:textId="77777777" w:rsidR="00EA6E27" w:rsidRPr="0019790A" w:rsidRDefault="00EA6E27" w:rsidP="00EA6E27">
            <w:pPr>
              <w:spacing w:before="40" w:after="40"/>
              <w:rPr>
                <w:rFonts w:cs="Arial"/>
                <w:szCs w:val="22"/>
              </w:rPr>
            </w:pPr>
            <w:r w:rsidRPr="0019790A">
              <w:rPr>
                <w:rFonts w:cs="Arial"/>
                <w:szCs w:val="22"/>
              </w:rPr>
              <w:t>1. Навчання енергоменеджерів бюджетних закладів із програмою моніторингу енергоспоживання АСЕМ – 60 осіб.</w:t>
            </w:r>
          </w:p>
          <w:p w14:paraId="26E841C2" w14:textId="77777777" w:rsidR="00EA6E27" w:rsidRPr="0019790A" w:rsidRDefault="00EA6E27" w:rsidP="00EA6E27">
            <w:pPr>
              <w:spacing w:before="40" w:after="40"/>
              <w:rPr>
                <w:rFonts w:cs="Arial"/>
                <w:szCs w:val="22"/>
              </w:rPr>
            </w:pPr>
            <w:r w:rsidRPr="0019790A">
              <w:rPr>
                <w:rFonts w:cs="Arial"/>
                <w:szCs w:val="22"/>
              </w:rPr>
              <w:t>2. Проведення технічної інвентаризації окремих будівель – 111 будівель.</w:t>
            </w:r>
          </w:p>
          <w:p w14:paraId="372F661A" w14:textId="77777777" w:rsidR="00EA6E27" w:rsidRPr="0019790A" w:rsidRDefault="00EA6E27" w:rsidP="00EA6E27">
            <w:pPr>
              <w:spacing w:before="40" w:after="40"/>
              <w:rPr>
                <w:rFonts w:cs="Arial"/>
                <w:szCs w:val="22"/>
              </w:rPr>
            </w:pPr>
            <w:r w:rsidRPr="0019790A">
              <w:rPr>
                <w:rFonts w:cs="Arial"/>
                <w:szCs w:val="22"/>
              </w:rPr>
              <w:t xml:space="preserve"> 3. Розробка та прийняття місцевих нормативних документів щодо енергоменеджменту.                                                   </w:t>
            </w:r>
          </w:p>
          <w:p w14:paraId="306CB6E2" w14:textId="77777777" w:rsidR="00EA6E27" w:rsidRPr="0019790A" w:rsidRDefault="00EA6E27" w:rsidP="00EA6E27">
            <w:pPr>
              <w:spacing w:before="40" w:after="40"/>
              <w:rPr>
                <w:rFonts w:cs="Arial"/>
                <w:szCs w:val="22"/>
              </w:rPr>
            </w:pPr>
            <w:r w:rsidRPr="0019790A">
              <w:rPr>
                <w:rFonts w:cs="Arial"/>
                <w:szCs w:val="22"/>
              </w:rPr>
              <w:t>4. Організація круглих столів, зустрічей, збір даних спрямованих на розробку Плану дій сталого енергетичного розвитку громади та клімату до 2030 року для Жмеринської громади - 3</w:t>
            </w:r>
          </w:p>
          <w:p w14:paraId="55B0C1DC" w14:textId="77777777" w:rsidR="00EA6E27" w:rsidRPr="0019790A" w:rsidRDefault="00EA6E27" w:rsidP="00EA6E27">
            <w:pPr>
              <w:spacing w:before="40" w:after="40"/>
              <w:rPr>
                <w:rFonts w:cs="Arial"/>
                <w:szCs w:val="22"/>
              </w:rPr>
            </w:pPr>
            <w:r w:rsidRPr="0019790A">
              <w:rPr>
                <w:rFonts w:cs="Arial"/>
                <w:szCs w:val="22"/>
              </w:rPr>
              <w:t>5.Зменшення загального споживання енергії в муніципальних будівлях – на 10%.</w:t>
            </w:r>
          </w:p>
          <w:p w14:paraId="7909F2E1" w14:textId="77777777" w:rsidR="00EA6E27" w:rsidRPr="0019790A" w:rsidRDefault="00EA6E27" w:rsidP="00EA6E27">
            <w:pPr>
              <w:spacing w:before="40" w:after="40"/>
              <w:rPr>
                <w:rFonts w:cs="Arial"/>
                <w:szCs w:val="22"/>
                <w:vertAlign w:val="subscript"/>
              </w:rPr>
            </w:pPr>
            <w:r w:rsidRPr="0019790A">
              <w:rPr>
                <w:rFonts w:cs="Arial"/>
                <w:szCs w:val="22"/>
              </w:rPr>
              <w:t>6. Скорочення викидів СО</w:t>
            </w:r>
            <w:r w:rsidRPr="0019790A">
              <w:rPr>
                <w:rFonts w:cs="Arial"/>
                <w:szCs w:val="22"/>
                <w:vertAlign w:val="subscript"/>
              </w:rPr>
              <w:t>2.</w:t>
            </w:r>
          </w:p>
        </w:tc>
      </w:tr>
      <w:tr w:rsidR="00EA6E27" w:rsidRPr="0019790A" w14:paraId="4D356015" w14:textId="77777777" w:rsidTr="00EA6E27">
        <w:trPr>
          <w:jc w:val="right"/>
        </w:trPr>
        <w:tc>
          <w:tcPr>
            <w:tcW w:w="3425" w:type="dxa"/>
            <w:shd w:val="clear" w:color="auto" w:fill="FFFFFF"/>
            <w:vAlign w:val="center"/>
          </w:tcPr>
          <w:p w14:paraId="5784BB0A" w14:textId="77777777" w:rsidR="00EA6E27" w:rsidRPr="0019790A" w:rsidRDefault="00EA6E27" w:rsidP="00EA6E27">
            <w:pPr>
              <w:rPr>
                <w:rFonts w:cs="Arial"/>
                <w:b/>
                <w:color w:val="000000"/>
                <w:szCs w:val="22"/>
              </w:rPr>
            </w:pPr>
            <w:r w:rsidRPr="0019790A">
              <w:rPr>
                <w:rFonts w:cs="Arial"/>
                <w:b/>
                <w:color w:val="000000"/>
                <w:szCs w:val="22"/>
              </w:rPr>
              <w:t xml:space="preserve">Період здійснення: </w:t>
            </w:r>
          </w:p>
        </w:tc>
        <w:tc>
          <w:tcPr>
            <w:tcW w:w="6794" w:type="dxa"/>
            <w:gridSpan w:val="9"/>
            <w:vAlign w:val="center"/>
          </w:tcPr>
          <w:p w14:paraId="1A08586F" w14:textId="77777777" w:rsidR="00EA6E27" w:rsidRPr="0019790A" w:rsidRDefault="00EA6E27" w:rsidP="00EA6E27">
            <w:pPr>
              <w:jc w:val="center"/>
              <w:rPr>
                <w:rFonts w:cs="Arial"/>
                <w:color w:val="000000"/>
                <w:szCs w:val="22"/>
                <w:lang w:eastAsia="it-IT"/>
              </w:rPr>
            </w:pPr>
            <w:r w:rsidRPr="0019790A">
              <w:rPr>
                <w:rFonts w:cs="Arial"/>
                <w:b/>
                <w:color w:val="000000"/>
                <w:szCs w:val="22"/>
              </w:rPr>
              <w:t>2025 – 2028 роки:</w:t>
            </w:r>
          </w:p>
        </w:tc>
      </w:tr>
      <w:tr w:rsidR="00EA6E27" w:rsidRPr="0019790A" w14:paraId="68C2A388" w14:textId="77777777" w:rsidTr="00EA6E27">
        <w:trPr>
          <w:jc w:val="right"/>
        </w:trPr>
        <w:tc>
          <w:tcPr>
            <w:tcW w:w="3425" w:type="dxa"/>
            <w:vMerge w:val="restart"/>
            <w:shd w:val="clear" w:color="auto" w:fill="FFFFFF"/>
            <w:vAlign w:val="center"/>
          </w:tcPr>
          <w:p w14:paraId="13B3E398" w14:textId="77777777" w:rsidR="00EA6E27" w:rsidRPr="0019790A" w:rsidRDefault="00EA6E27" w:rsidP="00EA6E27">
            <w:pPr>
              <w:rPr>
                <w:rFonts w:cs="Arial"/>
                <w:b/>
                <w:bCs/>
                <w:color w:val="000000"/>
                <w:szCs w:val="22"/>
              </w:rPr>
            </w:pPr>
            <w:r w:rsidRPr="0019790A">
              <w:rPr>
                <w:rFonts w:cs="Arial"/>
                <w:b/>
                <w:bCs/>
                <w:color w:val="000000"/>
                <w:szCs w:val="22"/>
              </w:rPr>
              <w:t>Орієнтовна вартість проєкту, тис. грн., в тому числі:</w:t>
            </w:r>
          </w:p>
        </w:tc>
        <w:tc>
          <w:tcPr>
            <w:tcW w:w="1254" w:type="dxa"/>
            <w:gridSpan w:val="2"/>
            <w:shd w:val="clear" w:color="auto" w:fill="E6E6E6"/>
            <w:vAlign w:val="center"/>
          </w:tcPr>
          <w:p w14:paraId="772EE926" w14:textId="77777777" w:rsidR="00EA6E27" w:rsidRPr="0019790A" w:rsidRDefault="00EA6E27" w:rsidP="00EA6E27">
            <w:pPr>
              <w:jc w:val="center"/>
              <w:rPr>
                <w:rFonts w:cs="Arial"/>
                <w:b/>
                <w:color w:val="000000"/>
                <w:szCs w:val="22"/>
                <w:lang w:eastAsia="it-IT"/>
              </w:rPr>
            </w:pPr>
            <w:r w:rsidRPr="0019790A">
              <w:rPr>
                <w:rFonts w:cs="Arial"/>
                <w:b/>
                <w:color w:val="000000"/>
                <w:szCs w:val="22"/>
                <w:lang w:eastAsia="it-IT"/>
              </w:rPr>
              <w:t>2025</w:t>
            </w:r>
          </w:p>
        </w:tc>
        <w:tc>
          <w:tcPr>
            <w:tcW w:w="1275" w:type="dxa"/>
            <w:shd w:val="clear" w:color="auto" w:fill="E6E6E6"/>
            <w:vAlign w:val="center"/>
          </w:tcPr>
          <w:p w14:paraId="5DB35A14" w14:textId="77777777" w:rsidR="00EA6E27" w:rsidRPr="0019790A" w:rsidRDefault="00EA6E27" w:rsidP="00EA6E27">
            <w:pPr>
              <w:jc w:val="center"/>
              <w:rPr>
                <w:rFonts w:cs="Arial"/>
                <w:b/>
                <w:color w:val="000000"/>
                <w:szCs w:val="22"/>
                <w:lang w:eastAsia="it-IT"/>
              </w:rPr>
            </w:pPr>
            <w:r w:rsidRPr="0019790A">
              <w:rPr>
                <w:rFonts w:cs="Arial"/>
                <w:b/>
                <w:color w:val="000000"/>
                <w:szCs w:val="22"/>
                <w:lang w:eastAsia="it-IT"/>
              </w:rPr>
              <w:t>2026</w:t>
            </w:r>
          </w:p>
        </w:tc>
        <w:tc>
          <w:tcPr>
            <w:tcW w:w="1418" w:type="dxa"/>
            <w:gridSpan w:val="2"/>
            <w:tcBorders>
              <w:bottom w:val="single" w:sz="4" w:space="0" w:color="auto"/>
            </w:tcBorders>
            <w:shd w:val="clear" w:color="auto" w:fill="E6E6E6"/>
            <w:vAlign w:val="center"/>
          </w:tcPr>
          <w:p w14:paraId="44939419" w14:textId="77777777" w:rsidR="00EA6E27" w:rsidRPr="0019790A" w:rsidRDefault="00EA6E27" w:rsidP="00EA6E27">
            <w:pPr>
              <w:jc w:val="center"/>
              <w:rPr>
                <w:rFonts w:cs="Arial"/>
                <w:b/>
                <w:color w:val="000000"/>
                <w:szCs w:val="22"/>
                <w:lang w:eastAsia="it-IT"/>
              </w:rPr>
            </w:pPr>
            <w:r w:rsidRPr="0019790A">
              <w:rPr>
                <w:rFonts w:cs="Arial"/>
                <w:b/>
                <w:color w:val="000000"/>
                <w:szCs w:val="22"/>
                <w:lang w:eastAsia="it-IT"/>
              </w:rPr>
              <w:t>2027</w:t>
            </w:r>
          </w:p>
        </w:tc>
        <w:tc>
          <w:tcPr>
            <w:tcW w:w="1276" w:type="dxa"/>
            <w:gridSpan w:val="2"/>
            <w:shd w:val="clear" w:color="auto" w:fill="E6E6E6"/>
            <w:vAlign w:val="center"/>
          </w:tcPr>
          <w:p w14:paraId="6CA54CF5" w14:textId="77777777" w:rsidR="00EA6E27" w:rsidRPr="0019790A" w:rsidRDefault="00EA6E27" w:rsidP="00EA6E27">
            <w:pPr>
              <w:jc w:val="center"/>
              <w:rPr>
                <w:rFonts w:cs="Arial"/>
                <w:b/>
                <w:color w:val="000000"/>
                <w:szCs w:val="22"/>
                <w:lang w:eastAsia="it-IT"/>
              </w:rPr>
            </w:pPr>
            <w:r w:rsidRPr="0019790A">
              <w:rPr>
                <w:rFonts w:cs="Arial"/>
                <w:b/>
                <w:color w:val="000000"/>
                <w:szCs w:val="22"/>
                <w:lang w:eastAsia="it-IT"/>
              </w:rPr>
              <w:t>2028</w:t>
            </w:r>
          </w:p>
        </w:tc>
        <w:tc>
          <w:tcPr>
            <w:tcW w:w="1571" w:type="dxa"/>
            <w:gridSpan w:val="2"/>
            <w:shd w:val="clear" w:color="auto" w:fill="E6E6E6"/>
            <w:vAlign w:val="center"/>
          </w:tcPr>
          <w:p w14:paraId="1C8656F5" w14:textId="77777777" w:rsidR="00EA6E27" w:rsidRPr="0019790A" w:rsidRDefault="00EA6E27" w:rsidP="00EA6E27">
            <w:pPr>
              <w:jc w:val="center"/>
              <w:rPr>
                <w:rFonts w:cs="Arial"/>
                <w:b/>
                <w:color w:val="000000"/>
                <w:szCs w:val="22"/>
                <w:lang w:eastAsia="it-IT"/>
              </w:rPr>
            </w:pPr>
            <w:r w:rsidRPr="0019790A">
              <w:rPr>
                <w:rFonts w:cs="Arial"/>
                <w:b/>
                <w:color w:val="000000"/>
                <w:szCs w:val="22"/>
                <w:lang w:eastAsia="it-IT"/>
              </w:rPr>
              <w:t>РАЗОМ</w:t>
            </w:r>
          </w:p>
        </w:tc>
      </w:tr>
      <w:tr w:rsidR="00EA6E27" w:rsidRPr="0019790A" w14:paraId="20F3FFFB" w14:textId="77777777" w:rsidTr="00EA6E27">
        <w:trPr>
          <w:jc w:val="right"/>
        </w:trPr>
        <w:tc>
          <w:tcPr>
            <w:tcW w:w="3425" w:type="dxa"/>
            <w:vMerge/>
            <w:shd w:val="clear" w:color="auto" w:fill="FFFFFF"/>
            <w:vAlign w:val="center"/>
          </w:tcPr>
          <w:p w14:paraId="0E0890E5" w14:textId="77777777" w:rsidR="00EA6E27" w:rsidRPr="0019790A" w:rsidRDefault="00EA6E27" w:rsidP="00EA6E27">
            <w:pPr>
              <w:rPr>
                <w:rFonts w:cs="Arial"/>
                <w:b/>
                <w:bCs/>
                <w:color w:val="000000"/>
                <w:szCs w:val="22"/>
              </w:rPr>
            </w:pPr>
          </w:p>
        </w:tc>
        <w:tc>
          <w:tcPr>
            <w:tcW w:w="1254" w:type="dxa"/>
            <w:gridSpan w:val="2"/>
            <w:vAlign w:val="center"/>
          </w:tcPr>
          <w:p w14:paraId="79AB57A9" w14:textId="77777777" w:rsidR="00EA6E27" w:rsidRPr="0019790A" w:rsidRDefault="00EA6E27" w:rsidP="00EA6E27">
            <w:pPr>
              <w:jc w:val="center"/>
              <w:rPr>
                <w:rFonts w:cs="Arial"/>
                <w:b/>
                <w:color w:val="000000"/>
                <w:szCs w:val="22"/>
                <w:lang w:eastAsia="it-IT"/>
              </w:rPr>
            </w:pPr>
          </w:p>
        </w:tc>
        <w:tc>
          <w:tcPr>
            <w:tcW w:w="1275" w:type="dxa"/>
            <w:shd w:val="clear" w:color="auto" w:fill="FFFFFF"/>
            <w:vAlign w:val="center"/>
          </w:tcPr>
          <w:p w14:paraId="3D4EF09F" w14:textId="77777777" w:rsidR="00EA6E27" w:rsidRPr="0019790A" w:rsidRDefault="00EA6E27" w:rsidP="00EA6E27">
            <w:pPr>
              <w:jc w:val="center"/>
              <w:rPr>
                <w:rFonts w:cs="Arial"/>
                <w:b/>
                <w:color w:val="000000"/>
                <w:szCs w:val="22"/>
                <w:lang w:eastAsia="it-IT"/>
              </w:rPr>
            </w:pPr>
            <w:r w:rsidRPr="0019790A">
              <w:rPr>
                <w:rFonts w:cs="Arial"/>
                <w:b/>
                <w:color w:val="000000"/>
                <w:szCs w:val="22"/>
                <w:lang w:eastAsia="it-IT"/>
              </w:rPr>
              <w:t>100,0</w:t>
            </w:r>
          </w:p>
        </w:tc>
        <w:tc>
          <w:tcPr>
            <w:tcW w:w="1418" w:type="dxa"/>
            <w:gridSpan w:val="2"/>
            <w:shd w:val="clear" w:color="auto" w:fill="auto"/>
            <w:vAlign w:val="center"/>
          </w:tcPr>
          <w:p w14:paraId="1871D1EA" w14:textId="77777777" w:rsidR="00EA6E27" w:rsidRPr="0019790A" w:rsidRDefault="00EA6E27" w:rsidP="00EA6E27">
            <w:pPr>
              <w:jc w:val="center"/>
              <w:rPr>
                <w:rFonts w:cs="Arial"/>
                <w:b/>
                <w:color w:val="000000"/>
                <w:szCs w:val="22"/>
                <w:lang w:eastAsia="it-IT"/>
              </w:rPr>
            </w:pPr>
            <w:r w:rsidRPr="0019790A">
              <w:rPr>
                <w:rFonts w:cs="Arial"/>
                <w:b/>
                <w:color w:val="000000"/>
                <w:szCs w:val="22"/>
                <w:lang w:eastAsia="it-IT"/>
              </w:rPr>
              <w:t>100,0</w:t>
            </w:r>
          </w:p>
        </w:tc>
        <w:tc>
          <w:tcPr>
            <w:tcW w:w="1276" w:type="dxa"/>
            <w:gridSpan w:val="2"/>
            <w:shd w:val="clear" w:color="auto" w:fill="FFFFFF"/>
            <w:vAlign w:val="center"/>
          </w:tcPr>
          <w:p w14:paraId="618EC2CA" w14:textId="77777777" w:rsidR="00EA6E27" w:rsidRPr="0019790A" w:rsidRDefault="00EA6E27" w:rsidP="00EA6E27">
            <w:pPr>
              <w:jc w:val="center"/>
              <w:rPr>
                <w:rFonts w:cs="Arial"/>
                <w:b/>
                <w:color w:val="000000"/>
                <w:szCs w:val="22"/>
                <w:lang w:eastAsia="it-IT"/>
              </w:rPr>
            </w:pPr>
            <w:r w:rsidRPr="0019790A">
              <w:rPr>
                <w:rFonts w:cs="Arial"/>
                <w:b/>
                <w:color w:val="000000"/>
                <w:szCs w:val="22"/>
                <w:lang w:eastAsia="it-IT"/>
              </w:rPr>
              <w:t>120,0</w:t>
            </w:r>
          </w:p>
        </w:tc>
        <w:tc>
          <w:tcPr>
            <w:tcW w:w="1571" w:type="dxa"/>
            <w:gridSpan w:val="2"/>
            <w:shd w:val="clear" w:color="auto" w:fill="FFFFFF"/>
            <w:vAlign w:val="center"/>
          </w:tcPr>
          <w:p w14:paraId="3CD3B5D8" w14:textId="77777777" w:rsidR="00EA6E27" w:rsidRPr="0019790A" w:rsidRDefault="00EA6E27" w:rsidP="00EA6E27">
            <w:pPr>
              <w:jc w:val="center"/>
              <w:rPr>
                <w:rFonts w:cs="Arial"/>
                <w:b/>
                <w:color w:val="000000"/>
                <w:szCs w:val="22"/>
                <w:lang w:eastAsia="it-IT"/>
              </w:rPr>
            </w:pPr>
            <w:r w:rsidRPr="0019790A">
              <w:rPr>
                <w:rFonts w:cs="Arial"/>
                <w:b/>
                <w:color w:val="000000"/>
                <w:szCs w:val="22"/>
                <w:lang w:eastAsia="it-IT"/>
              </w:rPr>
              <w:t>320,0</w:t>
            </w:r>
          </w:p>
        </w:tc>
      </w:tr>
      <w:tr w:rsidR="00EA6E27" w:rsidRPr="0019790A" w14:paraId="6B5BB430" w14:textId="77777777" w:rsidTr="00EA6E27">
        <w:trPr>
          <w:trHeight w:val="276"/>
          <w:jc w:val="right"/>
        </w:trPr>
        <w:tc>
          <w:tcPr>
            <w:tcW w:w="3425" w:type="dxa"/>
            <w:shd w:val="clear" w:color="auto" w:fill="FFFFFF"/>
            <w:vAlign w:val="center"/>
          </w:tcPr>
          <w:p w14:paraId="4BAFF1DC" w14:textId="77777777" w:rsidR="00EA6E27" w:rsidRPr="0019790A" w:rsidRDefault="00EA6E27" w:rsidP="00EA6E27">
            <w:pPr>
              <w:rPr>
                <w:rFonts w:cs="Arial"/>
                <w:b/>
                <w:bCs/>
                <w:color w:val="000000"/>
                <w:szCs w:val="22"/>
              </w:rPr>
            </w:pPr>
            <w:r w:rsidRPr="0019790A">
              <w:rPr>
                <w:rFonts w:cs="Arial"/>
                <w:b/>
                <w:bCs/>
                <w:color w:val="000000"/>
                <w:szCs w:val="22"/>
              </w:rPr>
              <w:t>по джерелах фінансування:</w:t>
            </w:r>
          </w:p>
        </w:tc>
        <w:tc>
          <w:tcPr>
            <w:tcW w:w="6794" w:type="dxa"/>
            <w:gridSpan w:val="9"/>
            <w:vAlign w:val="center"/>
          </w:tcPr>
          <w:p w14:paraId="37DE6F2C" w14:textId="77777777" w:rsidR="00EA6E27" w:rsidRPr="0019790A" w:rsidRDefault="00EA6E27" w:rsidP="00EA6E27">
            <w:pPr>
              <w:jc w:val="both"/>
              <w:rPr>
                <w:rFonts w:cs="Arial"/>
                <w:color w:val="000000"/>
                <w:szCs w:val="22"/>
                <w:lang w:eastAsia="it-IT"/>
              </w:rPr>
            </w:pPr>
          </w:p>
        </w:tc>
      </w:tr>
      <w:tr w:rsidR="0019790A" w:rsidRPr="0019790A" w14:paraId="62785EB5" w14:textId="38D07BA2" w:rsidTr="0019790A">
        <w:trPr>
          <w:trHeight w:val="240"/>
          <w:jc w:val="right"/>
        </w:trPr>
        <w:tc>
          <w:tcPr>
            <w:tcW w:w="3425" w:type="dxa"/>
            <w:shd w:val="clear" w:color="auto" w:fill="FFFFFF"/>
            <w:vAlign w:val="center"/>
          </w:tcPr>
          <w:p w14:paraId="381C8109" w14:textId="77777777" w:rsidR="0019790A" w:rsidRPr="0019790A" w:rsidRDefault="0019790A" w:rsidP="00EA6E27">
            <w:pPr>
              <w:rPr>
                <w:rFonts w:cs="Arial"/>
                <w:b/>
                <w:bCs/>
                <w:color w:val="000000"/>
                <w:szCs w:val="22"/>
              </w:rPr>
            </w:pPr>
            <w:r w:rsidRPr="0019790A">
              <w:rPr>
                <w:rFonts w:cs="Arial"/>
                <w:color w:val="000000"/>
                <w:szCs w:val="22"/>
              </w:rPr>
              <w:t>- державний бюджет</w:t>
            </w:r>
          </w:p>
        </w:tc>
        <w:tc>
          <w:tcPr>
            <w:tcW w:w="1190" w:type="dxa"/>
            <w:vAlign w:val="center"/>
          </w:tcPr>
          <w:p w14:paraId="388F09D1" w14:textId="77777777" w:rsidR="0019790A" w:rsidRPr="0019790A" w:rsidRDefault="0019790A" w:rsidP="0019790A">
            <w:pPr>
              <w:jc w:val="center"/>
              <w:rPr>
                <w:rFonts w:cs="Arial"/>
                <w:color w:val="000000"/>
                <w:szCs w:val="22"/>
                <w:lang w:eastAsia="it-IT"/>
              </w:rPr>
            </w:pPr>
          </w:p>
        </w:tc>
        <w:tc>
          <w:tcPr>
            <w:tcW w:w="1365" w:type="dxa"/>
            <w:gridSpan w:val="3"/>
            <w:vAlign w:val="center"/>
          </w:tcPr>
          <w:p w14:paraId="7A752551" w14:textId="77777777" w:rsidR="0019790A" w:rsidRPr="0019790A" w:rsidRDefault="0019790A" w:rsidP="0019790A">
            <w:pPr>
              <w:jc w:val="center"/>
              <w:rPr>
                <w:rFonts w:cs="Arial"/>
                <w:color w:val="000000"/>
                <w:szCs w:val="22"/>
                <w:lang w:eastAsia="it-IT"/>
              </w:rPr>
            </w:pPr>
          </w:p>
        </w:tc>
        <w:tc>
          <w:tcPr>
            <w:tcW w:w="1415" w:type="dxa"/>
            <w:gridSpan w:val="2"/>
            <w:vAlign w:val="center"/>
          </w:tcPr>
          <w:p w14:paraId="1FCF9ADC" w14:textId="77777777" w:rsidR="0019790A" w:rsidRPr="0019790A" w:rsidRDefault="0019790A" w:rsidP="0019790A">
            <w:pPr>
              <w:jc w:val="center"/>
              <w:rPr>
                <w:rFonts w:cs="Arial"/>
                <w:color w:val="000000"/>
                <w:szCs w:val="22"/>
                <w:lang w:eastAsia="it-IT"/>
              </w:rPr>
            </w:pPr>
          </w:p>
        </w:tc>
        <w:tc>
          <w:tcPr>
            <w:tcW w:w="1277" w:type="dxa"/>
            <w:gridSpan w:val="2"/>
            <w:vAlign w:val="center"/>
          </w:tcPr>
          <w:p w14:paraId="38A396D8" w14:textId="77777777" w:rsidR="0019790A" w:rsidRPr="0019790A" w:rsidRDefault="0019790A" w:rsidP="0019790A">
            <w:pPr>
              <w:jc w:val="center"/>
              <w:rPr>
                <w:rFonts w:cs="Arial"/>
                <w:color w:val="000000"/>
                <w:szCs w:val="22"/>
                <w:lang w:eastAsia="it-IT"/>
              </w:rPr>
            </w:pPr>
          </w:p>
        </w:tc>
        <w:tc>
          <w:tcPr>
            <w:tcW w:w="1547" w:type="dxa"/>
            <w:vAlign w:val="center"/>
          </w:tcPr>
          <w:p w14:paraId="3123CA39" w14:textId="77777777" w:rsidR="0019790A" w:rsidRPr="0019790A" w:rsidRDefault="0019790A" w:rsidP="0019790A">
            <w:pPr>
              <w:jc w:val="center"/>
              <w:rPr>
                <w:rFonts w:cs="Arial"/>
                <w:color w:val="000000"/>
                <w:szCs w:val="22"/>
                <w:lang w:eastAsia="it-IT"/>
              </w:rPr>
            </w:pPr>
          </w:p>
        </w:tc>
      </w:tr>
      <w:tr w:rsidR="0019790A" w:rsidRPr="0019790A" w14:paraId="61550E8F" w14:textId="7E60A331" w:rsidTr="0019790A">
        <w:trPr>
          <w:trHeight w:val="99"/>
          <w:jc w:val="right"/>
        </w:trPr>
        <w:tc>
          <w:tcPr>
            <w:tcW w:w="3425" w:type="dxa"/>
            <w:shd w:val="clear" w:color="auto" w:fill="FFFFFF"/>
            <w:vAlign w:val="center"/>
          </w:tcPr>
          <w:p w14:paraId="3ED6200B" w14:textId="77777777" w:rsidR="0019790A" w:rsidRPr="0019790A" w:rsidRDefault="0019790A" w:rsidP="00EA6E27">
            <w:pPr>
              <w:rPr>
                <w:rFonts w:cs="Arial"/>
                <w:color w:val="000000"/>
                <w:szCs w:val="22"/>
              </w:rPr>
            </w:pPr>
            <w:r w:rsidRPr="0019790A">
              <w:rPr>
                <w:rFonts w:cs="Arial"/>
                <w:color w:val="000000"/>
                <w:szCs w:val="22"/>
              </w:rPr>
              <w:t>- обласний бюджет</w:t>
            </w:r>
          </w:p>
        </w:tc>
        <w:tc>
          <w:tcPr>
            <w:tcW w:w="1190" w:type="dxa"/>
            <w:vAlign w:val="center"/>
          </w:tcPr>
          <w:p w14:paraId="37981B1E" w14:textId="77777777" w:rsidR="0019790A" w:rsidRPr="0019790A" w:rsidRDefault="0019790A" w:rsidP="0019790A">
            <w:pPr>
              <w:jc w:val="center"/>
              <w:rPr>
                <w:rFonts w:cs="Arial"/>
                <w:color w:val="000000"/>
                <w:szCs w:val="22"/>
                <w:lang w:eastAsia="it-IT"/>
              </w:rPr>
            </w:pPr>
          </w:p>
        </w:tc>
        <w:tc>
          <w:tcPr>
            <w:tcW w:w="1365" w:type="dxa"/>
            <w:gridSpan w:val="3"/>
            <w:vAlign w:val="center"/>
          </w:tcPr>
          <w:p w14:paraId="025E3F7B" w14:textId="77777777" w:rsidR="0019790A" w:rsidRPr="0019790A" w:rsidRDefault="0019790A" w:rsidP="0019790A">
            <w:pPr>
              <w:jc w:val="center"/>
              <w:rPr>
                <w:rFonts w:cs="Arial"/>
                <w:color w:val="000000"/>
                <w:szCs w:val="22"/>
                <w:lang w:eastAsia="it-IT"/>
              </w:rPr>
            </w:pPr>
          </w:p>
        </w:tc>
        <w:tc>
          <w:tcPr>
            <w:tcW w:w="1415" w:type="dxa"/>
            <w:gridSpan w:val="2"/>
            <w:vAlign w:val="center"/>
          </w:tcPr>
          <w:p w14:paraId="51D3F138" w14:textId="77777777" w:rsidR="0019790A" w:rsidRPr="0019790A" w:rsidRDefault="0019790A" w:rsidP="0019790A">
            <w:pPr>
              <w:jc w:val="center"/>
              <w:rPr>
                <w:rFonts w:cs="Arial"/>
                <w:color w:val="000000"/>
                <w:szCs w:val="22"/>
                <w:lang w:eastAsia="it-IT"/>
              </w:rPr>
            </w:pPr>
          </w:p>
        </w:tc>
        <w:tc>
          <w:tcPr>
            <w:tcW w:w="1277" w:type="dxa"/>
            <w:gridSpan w:val="2"/>
            <w:vAlign w:val="center"/>
          </w:tcPr>
          <w:p w14:paraId="3B52DF68" w14:textId="77777777" w:rsidR="0019790A" w:rsidRPr="0019790A" w:rsidRDefault="0019790A" w:rsidP="0019790A">
            <w:pPr>
              <w:jc w:val="center"/>
              <w:rPr>
                <w:rFonts w:cs="Arial"/>
                <w:color w:val="000000"/>
                <w:szCs w:val="22"/>
                <w:lang w:eastAsia="it-IT"/>
              </w:rPr>
            </w:pPr>
          </w:p>
        </w:tc>
        <w:tc>
          <w:tcPr>
            <w:tcW w:w="1547" w:type="dxa"/>
            <w:vAlign w:val="center"/>
          </w:tcPr>
          <w:p w14:paraId="5C618C28" w14:textId="77777777" w:rsidR="0019790A" w:rsidRPr="0019790A" w:rsidRDefault="0019790A" w:rsidP="0019790A">
            <w:pPr>
              <w:jc w:val="center"/>
              <w:rPr>
                <w:rFonts w:cs="Arial"/>
                <w:color w:val="000000"/>
                <w:szCs w:val="22"/>
                <w:lang w:eastAsia="it-IT"/>
              </w:rPr>
            </w:pPr>
          </w:p>
        </w:tc>
      </w:tr>
      <w:tr w:rsidR="0019790A" w:rsidRPr="0019790A" w14:paraId="0C80662A" w14:textId="7635753C" w:rsidTr="0019790A">
        <w:trPr>
          <w:trHeight w:val="275"/>
          <w:jc w:val="right"/>
        </w:trPr>
        <w:tc>
          <w:tcPr>
            <w:tcW w:w="3425" w:type="dxa"/>
            <w:shd w:val="clear" w:color="auto" w:fill="FFFFFF"/>
            <w:vAlign w:val="center"/>
          </w:tcPr>
          <w:p w14:paraId="171C7ACA" w14:textId="77777777" w:rsidR="0019790A" w:rsidRPr="0019790A" w:rsidRDefault="0019790A" w:rsidP="00EA6E27">
            <w:pPr>
              <w:rPr>
                <w:rFonts w:cs="Arial"/>
                <w:color w:val="000000"/>
                <w:szCs w:val="22"/>
              </w:rPr>
            </w:pPr>
            <w:r w:rsidRPr="0019790A">
              <w:rPr>
                <w:rFonts w:cs="Arial"/>
                <w:color w:val="000000"/>
                <w:szCs w:val="22"/>
              </w:rPr>
              <w:t>- бюджет Жмеринської МТГ</w:t>
            </w:r>
          </w:p>
        </w:tc>
        <w:tc>
          <w:tcPr>
            <w:tcW w:w="1190" w:type="dxa"/>
            <w:vAlign w:val="center"/>
          </w:tcPr>
          <w:p w14:paraId="3A9F4E02" w14:textId="366EE861" w:rsidR="0019790A" w:rsidRPr="0019790A" w:rsidRDefault="0019790A" w:rsidP="0019790A">
            <w:pPr>
              <w:jc w:val="center"/>
              <w:rPr>
                <w:rFonts w:cs="Arial"/>
                <w:color w:val="000000"/>
                <w:szCs w:val="22"/>
                <w:lang w:eastAsia="it-IT"/>
              </w:rPr>
            </w:pPr>
          </w:p>
        </w:tc>
        <w:tc>
          <w:tcPr>
            <w:tcW w:w="1365" w:type="dxa"/>
            <w:gridSpan w:val="3"/>
            <w:vAlign w:val="center"/>
          </w:tcPr>
          <w:p w14:paraId="7D6C364B" w14:textId="02AEC632" w:rsidR="0019790A" w:rsidRPr="0019790A" w:rsidRDefault="0019790A" w:rsidP="0019790A">
            <w:pPr>
              <w:jc w:val="center"/>
              <w:rPr>
                <w:rFonts w:cs="Arial"/>
                <w:color w:val="000000"/>
                <w:szCs w:val="22"/>
                <w:lang w:eastAsia="it-IT"/>
              </w:rPr>
            </w:pPr>
            <w:r w:rsidRPr="0019790A">
              <w:rPr>
                <w:rFonts w:cs="Arial"/>
                <w:color w:val="000000"/>
                <w:szCs w:val="22"/>
                <w:lang w:eastAsia="it-IT"/>
              </w:rPr>
              <w:t>100,0</w:t>
            </w:r>
          </w:p>
        </w:tc>
        <w:tc>
          <w:tcPr>
            <w:tcW w:w="1415" w:type="dxa"/>
            <w:gridSpan w:val="2"/>
            <w:vAlign w:val="center"/>
          </w:tcPr>
          <w:p w14:paraId="35087063" w14:textId="2BD4AD38" w:rsidR="0019790A" w:rsidRPr="0019790A" w:rsidRDefault="0019790A" w:rsidP="0019790A">
            <w:pPr>
              <w:jc w:val="center"/>
              <w:rPr>
                <w:rFonts w:cs="Arial"/>
                <w:color w:val="000000"/>
                <w:szCs w:val="22"/>
                <w:lang w:eastAsia="it-IT"/>
              </w:rPr>
            </w:pPr>
            <w:r w:rsidRPr="0019790A">
              <w:rPr>
                <w:rFonts w:cs="Arial"/>
                <w:color w:val="000000"/>
                <w:szCs w:val="22"/>
                <w:lang w:eastAsia="it-IT"/>
              </w:rPr>
              <w:t>100,0</w:t>
            </w:r>
          </w:p>
        </w:tc>
        <w:tc>
          <w:tcPr>
            <w:tcW w:w="1277" w:type="dxa"/>
            <w:gridSpan w:val="2"/>
            <w:vAlign w:val="center"/>
          </w:tcPr>
          <w:p w14:paraId="278CD7CA" w14:textId="12DB0465" w:rsidR="0019790A" w:rsidRPr="0019790A" w:rsidRDefault="0019790A" w:rsidP="0019790A">
            <w:pPr>
              <w:jc w:val="center"/>
              <w:rPr>
                <w:rFonts w:cs="Arial"/>
                <w:color w:val="000000"/>
                <w:szCs w:val="22"/>
                <w:lang w:eastAsia="it-IT"/>
              </w:rPr>
            </w:pPr>
            <w:r w:rsidRPr="0019790A">
              <w:rPr>
                <w:rFonts w:cs="Arial"/>
                <w:color w:val="000000"/>
                <w:szCs w:val="22"/>
                <w:lang w:eastAsia="it-IT"/>
              </w:rPr>
              <w:t>120,0</w:t>
            </w:r>
          </w:p>
        </w:tc>
        <w:tc>
          <w:tcPr>
            <w:tcW w:w="1547" w:type="dxa"/>
            <w:vAlign w:val="center"/>
          </w:tcPr>
          <w:p w14:paraId="7BDF81EB" w14:textId="32FD0B51" w:rsidR="0019790A" w:rsidRPr="0019790A" w:rsidRDefault="0019790A" w:rsidP="0019790A">
            <w:pPr>
              <w:jc w:val="center"/>
              <w:rPr>
                <w:rFonts w:cs="Arial"/>
                <w:b/>
                <w:color w:val="000000"/>
                <w:szCs w:val="22"/>
                <w:lang w:eastAsia="it-IT"/>
              </w:rPr>
            </w:pPr>
            <w:r w:rsidRPr="0019790A">
              <w:rPr>
                <w:rFonts w:cs="Arial"/>
                <w:b/>
                <w:color w:val="000000"/>
                <w:szCs w:val="22"/>
                <w:lang w:eastAsia="it-IT"/>
              </w:rPr>
              <w:t>320,0</w:t>
            </w:r>
          </w:p>
        </w:tc>
      </w:tr>
      <w:tr w:rsidR="0019790A" w:rsidRPr="0019790A" w14:paraId="136245CF" w14:textId="765E0A54" w:rsidTr="0019790A">
        <w:trPr>
          <w:trHeight w:val="226"/>
          <w:jc w:val="right"/>
        </w:trPr>
        <w:tc>
          <w:tcPr>
            <w:tcW w:w="3425" w:type="dxa"/>
            <w:shd w:val="clear" w:color="auto" w:fill="FFFFFF"/>
            <w:vAlign w:val="center"/>
          </w:tcPr>
          <w:p w14:paraId="34DC1F04" w14:textId="77777777" w:rsidR="0019790A" w:rsidRPr="0019790A" w:rsidRDefault="0019790A" w:rsidP="00EA6E27">
            <w:pPr>
              <w:rPr>
                <w:rFonts w:cs="Arial"/>
                <w:color w:val="000000"/>
                <w:szCs w:val="22"/>
              </w:rPr>
            </w:pPr>
            <w:r w:rsidRPr="0019790A">
              <w:rPr>
                <w:rFonts w:cs="Arial"/>
                <w:color w:val="000000"/>
                <w:szCs w:val="22"/>
              </w:rPr>
              <w:t>- інші джерела фінансування</w:t>
            </w:r>
          </w:p>
        </w:tc>
        <w:tc>
          <w:tcPr>
            <w:tcW w:w="1190" w:type="dxa"/>
            <w:vAlign w:val="center"/>
          </w:tcPr>
          <w:p w14:paraId="7B9EBA69" w14:textId="77777777" w:rsidR="0019790A" w:rsidRPr="0019790A" w:rsidRDefault="0019790A" w:rsidP="0019790A">
            <w:pPr>
              <w:jc w:val="center"/>
              <w:rPr>
                <w:rFonts w:cs="Arial"/>
                <w:color w:val="000000"/>
                <w:szCs w:val="22"/>
                <w:lang w:eastAsia="it-IT"/>
              </w:rPr>
            </w:pPr>
          </w:p>
        </w:tc>
        <w:tc>
          <w:tcPr>
            <w:tcW w:w="1365" w:type="dxa"/>
            <w:gridSpan w:val="3"/>
            <w:vAlign w:val="center"/>
          </w:tcPr>
          <w:p w14:paraId="2F6F82F1" w14:textId="77777777" w:rsidR="0019790A" w:rsidRPr="0019790A" w:rsidRDefault="0019790A" w:rsidP="0019790A">
            <w:pPr>
              <w:jc w:val="center"/>
              <w:rPr>
                <w:rFonts w:cs="Arial"/>
                <w:color w:val="000000"/>
                <w:szCs w:val="22"/>
                <w:lang w:eastAsia="it-IT"/>
              </w:rPr>
            </w:pPr>
          </w:p>
        </w:tc>
        <w:tc>
          <w:tcPr>
            <w:tcW w:w="1415" w:type="dxa"/>
            <w:gridSpan w:val="2"/>
            <w:vAlign w:val="center"/>
          </w:tcPr>
          <w:p w14:paraId="5F891188" w14:textId="77777777" w:rsidR="0019790A" w:rsidRPr="0019790A" w:rsidRDefault="0019790A" w:rsidP="0019790A">
            <w:pPr>
              <w:jc w:val="center"/>
              <w:rPr>
                <w:rFonts w:cs="Arial"/>
                <w:color w:val="000000"/>
                <w:szCs w:val="22"/>
                <w:lang w:eastAsia="it-IT"/>
              </w:rPr>
            </w:pPr>
          </w:p>
        </w:tc>
        <w:tc>
          <w:tcPr>
            <w:tcW w:w="1277" w:type="dxa"/>
            <w:gridSpan w:val="2"/>
            <w:vAlign w:val="center"/>
          </w:tcPr>
          <w:p w14:paraId="519CC448" w14:textId="77777777" w:rsidR="0019790A" w:rsidRPr="0019790A" w:rsidRDefault="0019790A" w:rsidP="0019790A">
            <w:pPr>
              <w:jc w:val="center"/>
              <w:rPr>
                <w:rFonts w:cs="Arial"/>
                <w:color w:val="000000"/>
                <w:szCs w:val="22"/>
                <w:lang w:eastAsia="it-IT"/>
              </w:rPr>
            </w:pPr>
          </w:p>
        </w:tc>
        <w:tc>
          <w:tcPr>
            <w:tcW w:w="1547" w:type="dxa"/>
            <w:vAlign w:val="center"/>
          </w:tcPr>
          <w:p w14:paraId="10BF3BB8" w14:textId="77777777" w:rsidR="0019790A" w:rsidRPr="0019790A" w:rsidRDefault="0019790A" w:rsidP="0019790A">
            <w:pPr>
              <w:jc w:val="center"/>
              <w:rPr>
                <w:rFonts w:cs="Arial"/>
                <w:color w:val="000000"/>
                <w:szCs w:val="22"/>
                <w:lang w:eastAsia="it-IT"/>
              </w:rPr>
            </w:pPr>
          </w:p>
        </w:tc>
      </w:tr>
      <w:tr w:rsidR="00EA6E27" w:rsidRPr="0019790A" w14:paraId="39F3FE1D" w14:textId="77777777" w:rsidTr="00EA6E27">
        <w:trPr>
          <w:trHeight w:val="789"/>
          <w:jc w:val="right"/>
        </w:trPr>
        <w:tc>
          <w:tcPr>
            <w:tcW w:w="3425" w:type="dxa"/>
            <w:shd w:val="clear" w:color="auto" w:fill="FFFFFF"/>
            <w:vAlign w:val="center"/>
          </w:tcPr>
          <w:p w14:paraId="3C1CCCD3" w14:textId="77777777" w:rsidR="00EA6E27" w:rsidRPr="0019790A" w:rsidRDefault="00EA6E27" w:rsidP="00EA6E27">
            <w:pPr>
              <w:rPr>
                <w:rFonts w:cs="Arial"/>
                <w:b/>
                <w:bCs/>
                <w:color w:val="000000"/>
                <w:szCs w:val="22"/>
              </w:rPr>
            </w:pPr>
            <w:r w:rsidRPr="0019790A">
              <w:rPr>
                <w:rFonts w:cs="Arial"/>
                <w:b/>
                <w:color w:val="000000"/>
                <w:szCs w:val="22"/>
              </w:rPr>
              <w:t>Відповідальний виконавець проєкту:</w:t>
            </w:r>
          </w:p>
        </w:tc>
        <w:tc>
          <w:tcPr>
            <w:tcW w:w="6794" w:type="dxa"/>
            <w:gridSpan w:val="9"/>
            <w:vAlign w:val="center"/>
          </w:tcPr>
          <w:p w14:paraId="37EA7E17" w14:textId="77777777" w:rsidR="00EA6E27" w:rsidRPr="0019790A" w:rsidRDefault="00EA6E27" w:rsidP="00EA6E27">
            <w:pPr>
              <w:jc w:val="center"/>
              <w:rPr>
                <w:rFonts w:cs="Arial"/>
                <w:color w:val="000000"/>
                <w:szCs w:val="22"/>
                <w:lang w:eastAsia="it-IT"/>
              </w:rPr>
            </w:pPr>
            <w:r w:rsidRPr="0019790A">
              <w:rPr>
                <w:rFonts w:cs="Arial"/>
                <w:szCs w:val="22"/>
                <w:lang w:eastAsia="it-IT"/>
              </w:rPr>
              <w:t>Управління економіки та розвитку інфраструктури</w:t>
            </w:r>
          </w:p>
        </w:tc>
      </w:tr>
    </w:tbl>
    <w:p w14:paraId="60687C7E" w14:textId="77777777" w:rsidR="00EA6E27" w:rsidRPr="00C2587D" w:rsidRDefault="00EA6E27" w:rsidP="00EA6E27">
      <w:pPr>
        <w:rPr>
          <w:rFonts w:cs="Arial"/>
        </w:rPr>
      </w:pPr>
    </w:p>
    <w:p w14:paraId="237CE570" w14:textId="77777777" w:rsidR="00EA6E27" w:rsidRPr="00C2587D" w:rsidRDefault="00EA6E27" w:rsidP="00EA6E27"/>
    <w:p w14:paraId="3F94A860" w14:textId="77777777" w:rsidR="00EA6E27" w:rsidRPr="00C2587D" w:rsidRDefault="00EA6E27" w:rsidP="00EA6E27">
      <w:pPr>
        <w:jc w:val="center"/>
        <w:rPr>
          <w:rFonts w:cs="Arial"/>
          <w:b/>
          <w:color w:val="000000"/>
          <w:szCs w:val="22"/>
        </w:rPr>
      </w:pPr>
      <w:r w:rsidRPr="00C2587D">
        <w:rPr>
          <w:rFonts w:cs="Arial"/>
          <w:b/>
          <w:color w:val="000000"/>
          <w:szCs w:val="22"/>
        </w:rPr>
        <w:t xml:space="preserve">Форма технічного завдання на проєкт місцевого розвитку </w:t>
      </w:r>
    </w:p>
    <w:p w14:paraId="18179ABA" w14:textId="77777777" w:rsidR="00EA6E27" w:rsidRPr="00C2587D" w:rsidRDefault="00EA6E27" w:rsidP="00EA6E27">
      <w:pPr>
        <w:jc w:val="center"/>
        <w:rPr>
          <w:rFonts w:cs="Arial"/>
          <w:b/>
          <w:color w:val="000000"/>
          <w:szCs w:val="22"/>
        </w:rPr>
      </w:pPr>
      <w:r w:rsidRPr="00C2587D">
        <w:rPr>
          <w:rFonts w:cs="Arial"/>
          <w:b/>
          <w:color w:val="000000"/>
          <w:szCs w:val="22"/>
        </w:rPr>
        <w:t>до Плану заходів з реалізації Стратегії</w:t>
      </w:r>
    </w:p>
    <w:p w14:paraId="5C97A351" w14:textId="77777777" w:rsidR="00EA6E27" w:rsidRPr="00C2587D" w:rsidRDefault="00EA6E27" w:rsidP="00EA6E27">
      <w:pP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1"/>
        <w:gridCol w:w="1252"/>
        <w:gridCol w:w="1275"/>
        <w:gridCol w:w="1418"/>
        <w:gridCol w:w="1276"/>
        <w:gridCol w:w="1577"/>
      </w:tblGrid>
      <w:tr w:rsidR="00EA6E27" w:rsidRPr="00C2587D" w14:paraId="7266C6C0" w14:textId="77777777" w:rsidTr="0019790A">
        <w:trPr>
          <w:jc w:val="right"/>
        </w:trPr>
        <w:tc>
          <w:tcPr>
            <w:tcW w:w="3421" w:type="dxa"/>
            <w:vAlign w:val="center"/>
          </w:tcPr>
          <w:p w14:paraId="40613AC9" w14:textId="77777777" w:rsidR="00EA6E27" w:rsidRPr="00C2587D" w:rsidRDefault="00EA6E27" w:rsidP="00EA6E27">
            <w:pPr>
              <w:rPr>
                <w:rFonts w:cs="Arial"/>
                <w:b/>
                <w:bCs/>
                <w:color w:val="000000"/>
                <w:szCs w:val="22"/>
              </w:rPr>
            </w:pPr>
            <w:r w:rsidRPr="00C2587D">
              <w:rPr>
                <w:rFonts w:cs="Arial"/>
                <w:b/>
                <w:bCs/>
                <w:color w:val="000000"/>
                <w:szCs w:val="22"/>
              </w:rPr>
              <w:t>Назва проєкту:</w:t>
            </w:r>
          </w:p>
        </w:tc>
        <w:tc>
          <w:tcPr>
            <w:tcW w:w="6798" w:type="dxa"/>
            <w:gridSpan w:val="5"/>
          </w:tcPr>
          <w:p w14:paraId="6D18FB1F" w14:textId="77777777" w:rsidR="00EA6E27" w:rsidRPr="00C2587D" w:rsidRDefault="00EA6E27" w:rsidP="0019790A">
            <w:pPr>
              <w:spacing w:before="40" w:after="40"/>
              <w:jc w:val="both"/>
              <w:rPr>
                <w:b/>
                <w:lang w:eastAsia="it-IT"/>
              </w:rPr>
            </w:pPr>
            <w:r w:rsidRPr="00C2587D">
              <w:rPr>
                <w:b/>
                <w:szCs w:val="20"/>
                <w:shd w:val="clear" w:color="auto" w:fill="FFFFFF"/>
              </w:rPr>
              <w:t>Капітальний ремонт адміністративних будівель (А-ІІІцн та Д-Іцн) та прилеглої території по вул. Училищна, 9 в м. Жмеринка Вінницької області</w:t>
            </w:r>
          </w:p>
        </w:tc>
      </w:tr>
      <w:tr w:rsidR="00EA6E27" w:rsidRPr="00C2587D" w14:paraId="0972FA17" w14:textId="77777777" w:rsidTr="0019790A">
        <w:trPr>
          <w:jc w:val="right"/>
        </w:trPr>
        <w:tc>
          <w:tcPr>
            <w:tcW w:w="3421" w:type="dxa"/>
          </w:tcPr>
          <w:p w14:paraId="6BE3A291" w14:textId="77777777" w:rsidR="00EA6E27" w:rsidRPr="00C2587D" w:rsidRDefault="00EA6E27" w:rsidP="00EA6E27">
            <w:pPr>
              <w:spacing w:before="40" w:after="40"/>
              <w:rPr>
                <w:rFonts w:cs="Arial"/>
                <w:sz w:val="20"/>
                <w:szCs w:val="22"/>
                <w:lang w:eastAsia="it-IT"/>
              </w:rPr>
            </w:pPr>
            <w:r w:rsidRPr="00C2587D">
              <w:rPr>
                <w:rFonts w:cs="Arial"/>
                <w:b/>
                <w:bCs/>
                <w:szCs w:val="22"/>
              </w:rPr>
              <w:t>Ваші контакти</w:t>
            </w:r>
            <w:r w:rsidRPr="00C2587D">
              <w:rPr>
                <w:rFonts w:cs="Arial"/>
                <w:sz w:val="20"/>
                <w:szCs w:val="22"/>
                <w:lang w:eastAsia="it-IT"/>
              </w:rPr>
              <w:t>:</w:t>
            </w:r>
          </w:p>
          <w:p w14:paraId="16E08765" w14:textId="77777777" w:rsidR="00EA6E27" w:rsidRPr="00C2587D" w:rsidRDefault="00EA6E27" w:rsidP="00EA6E27">
            <w:pPr>
              <w:spacing w:before="40" w:after="40"/>
              <w:rPr>
                <w:rFonts w:cs="Arial"/>
                <w:b/>
                <w:bCs/>
                <w:szCs w:val="22"/>
              </w:rPr>
            </w:pPr>
            <w:r w:rsidRPr="00C2587D">
              <w:rPr>
                <w:rFonts w:cs="Arial"/>
                <w:sz w:val="20"/>
                <w:szCs w:val="22"/>
                <w:lang w:eastAsia="it-IT"/>
              </w:rPr>
              <w:t>Назва установи, організації, підприємства</w:t>
            </w:r>
          </w:p>
        </w:tc>
        <w:tc>
          <w:tcPr>
            <w:tcW w:w="6798" w:type="dxa"/>
            <w:gridSpan w:val="5"/>
          </w:tcPr>
          <w:p w14:paraId="3EB6E4C4" w14:textId="77777777" w:rsidR="00EA6E27" w:rsidRPr="00C2587D" w:rsidRDefault="00EA6E27" w:rsidP="00EA6E27">
            <w:pPr>
              <w:spacing w:before="40" w:after="40"/>
              <w:rPr>
                <w:lang w:eastAsia="it-IT"/>
              </w:rPr>
            </w:pPr>
            <w:r w:rsidRPr="00C2587D">
              <w:rPr>
                <w:lang w:eastAsia="it-IT"/>
              </w:rPr>
              <w:t>Управління житлово-комунального господарства Жмеринської міської ради</w:t>
            </w:r>
          </w:p>
        </w:tc>
      </w:tr>
      <w:tr w:rsidR="00EA6E27" w:rsidRPr="00C2587D" w14:paraId="6942D183" w14:textId="77777777" w:rsidTr="0019790A">
        <w:trPr>
          <w:jc w:val="right"/>
        </w:trPr>
        <w:tc>
          <w:tcPr>
            <w:tcW w:w="3421" w:type="dxa"/>
          </w:tcPr>
          <w:p w14:paraId="1AF0F164" w14:textId="77777777" w:rsidR="00EA6E27" w:rsidRPr="00C2587D" w:rsidRDefault="00EA6E27" w:rsidP="00EA6E27">
            <w:pPr>
              <w:spacing w:before="40" w:after="40"/>
              <w:rPr>
                <w:rFonts w:cs="Arial"/>
                <w:b/>
                <w:bCs/>
                <w:szCs w:val="22"/>
              </w:rPr>
            </w:pPr>
            <w:r w:rsidRPr="00C2587D">
              <w:rPr>
                <w:rFonts w:cs="Arial"/>
                <w:sz w:val="20"/>
                <w:szCs w:val="22"/>
                <w:lang w:eastAsia="it-IT"/>
              </w:rPr>
              <w:t>Прізвище Ім’я По-батькові:</w:t>
            </w:r>
          </w:p>
        </w:tc>
        <w:tc>
          <w:tcPr>
            <w:tcW w:w="6798" w:type="dxa"/>
            <w:gridSpan w:val="5"/>
          </w:tcPr>
          <w:p w14:paraId="2869432D" w14:textId="77777777" w:rsidR="00EA6E27" w:rsidRPr="00C2587D" w:rsidRDefault="00EA6E27" w:rsidP="00EA6E27">
            <w:pPr>
              <w:spacing w:before="40" w:after="40"/>
              <w:rPr>
                <w:lang w:eastAsia="it-IT"/>
              </w:rPr>
            </w:pPr>
            <w:r w:rsidRPr="00C2587D">
              <w:rPr>
                <w:lang w:eastAsia="it-IT"/>
              </w:rPr>
              <w:t>Оленич Андрій Васильович</w:t>
            </w:r>
          </w:p>
        </w:tc>
      </w:tr>
      <w:tr w:rsidR="00EA6E27" w:rsidRPr="00C2587D" w14:paraId="79DD573D" w14:textId="77777777" w:rsidTr="0019790A">
        <w:trPr>
          <w:jc w:val="right"/>
        </w:trPr>
        <w:tc>
          <w:tcPr>
            <w:tcW w:w="3421" w:type="dxa"/>
          </w:tcPr>
          <w:p w14:paraId="436C8953" w14:textId="77777777" w:rsidR="00EA6E27" w:rsidRPr="00C2587D" w:rsidRDefault="00EA6E27" w:rsidP="00EA6E27">
            <w:pPr>
              <w:spacing w:before="40" w:after="40"/>
              <w:rPr>
                <w:rFonts w:cs="Arial"/>
                <w:b/>
                <w:bCs/>
                <w:szCs w:val="22"/>
              </w:rPr>
            </w:pPr>
            <w:r w:rsidRPr="00C2587D">
              <w:rPr>
                <w:rFonts w:cs="Arial"/>
                <w:sz w:val="20"/>
                <w:szCs w:val="22"/>
                <w:lang w:eastAsia="it-IT"/>
              </w:rPr>
              <w:t>Телефон (мобільний):</w:t>
            </w:r>
          </w:p>
        </w:tc>
        <w:tc>
          <w:tcPr>
            <w:tcW w:w="6798" w:type="dxa"/>
            <w:gridSpan w:val="5"/>
          </w:tcPr>
          <w:p w14:paraId="35DCFCDC" w14:textId="77777777" w:rsidR="00EA6E27" w:rsidRPr="00C2587D" w:rsidRDefault="00EA6E27" w:rsidP="00EA6E27">
            <w:pPr>
              <w:spacing w:before="40" w:after="40"/>
              <w:rPr>
                <w:lang w:eastAsia="it-IT"/>
              </w:rPr>
            </w:pPr>
            <w:r w:rsidRPr="00C2587D">
              <w:rPr>
                <w:lang w:eastAsia="it-IT"/>
              </w:rPr>
              <w:t>0972561907</w:t>
            </w:r>
          </w:p>
        </w:tc>
      </w:tr>
      <w:tr w:rsidR="00EA6E27" w:rsidRPr="00C2587D" w14:paraId="758D06A3" w14:textId="77777777" w:rsidTr="0019790A">
        <w:trPr>
          <w:jc w:val="right"/>
        </w:trPr>
        <w:tc>
          <w:tcPr>
            <w:tcW w:w="3421" w:type="dxa"/>
          </w:tcPr>
          <w:p w14:paraId="3B68BEC3" w14:textId="77777777" w:rsidR="00EA6E27" w:rsidRPr="00C2587D" w:rsidRDefault="00EA6E27" w:rsidP="00EA6E27">
            <w:pPr>
              <w:spacing w:before="40" w:after="40"/>
              <w:rPr>
                <w:rFonts w:cs="Arial"/>
                <w:b/>
                <w:bCs/>
                <w:szCs w:val="22"/>
              </w:rPr>
            </w:pPr>
            <w:r w:rsidRPr="00C2587D">
              <w:rPr>
                <w:rFonts w:cs="Arial"/>
                <w:sz w:val="20"/>
                <w:szCs w:val="22"/>
                <w:lang w:eastAsia="it-IT"/>
              </w:rPr>
              <w:t>Електронна адреса:</w:t>
            </w:r>
          </w:p>
        </w:tc>
        <w:tc>
          <w:tcPr>
            <w:tcW w:w="6798" w:type="dxa"/>
            <w:gridSpan w:val="5"/>
          </w:tcPr>
          <w:p w14:paraId="3C6B2591" w14:textId="77777777" w:rsidR="00EA6E27" w:rsidRPr="00C2587D" w:rsidRDefault="00D85FFD" w:rsidP="00EA6E27">
            <w:pPr>
              <w:spacing w:before="40" w:after="40"/>
              <w:rPr>
                <w:lang w:eastAsia="it-IT"/>
              </w:rPr>
            </w:pPr>
            <w:hyperlink r:id="rId89" w:history="1">
              <w:r w:rsidR="00EA6E27" w:rsidRPr="00C2587D">
                <w:rPr>
                  <w:rStyle w:val="af0"/>
                  <w:noProof w:val="0"/>
                  <w:sz w:val="24"/>
                  <w:lang w:eastAsia="it-IT"/>
                </w:rPr>
                <w:t>Aolenych03@ukr.net</w:t>
              </w:r>
            </w:hyperlink>
          </w:p>
        </w:tc>
      </w:tr>
      <w:tr w:rsidR="00EA6E27" w:rsidRPr="00C2587D" w14:paraId="79E0F3E3" w14:textId="77777777" w:rsidTr="0019790A">
        <w:trPr>
          <w:jc w:val="right"/>
        </w:trPr>
        <w:tc>
          <w:tcPr>
            <w:tcW w:w="3421" w:type="dxa"/>
            <w:vAlign w:val="center"/>
          </w:tcPr>
          <w:p w14:paraId="3E4488AF" w14:textId="77777777" w:rsidR="00EA6E27" w:rsidRPr="00C2587D" w:rsidRDefault="00EA6E27" w:rsidP="00EA6E27">
            <w:pPr>
              <w:pStyle w:val="6"/>
              <w:spacing w:before="0" w:after="0"/>
              <w:rPr>
                <w:rFonts w:ascii="Arial" w:hAnsi="Arial" w:cs="Arial"/>
                <w:color w:val="000000"/>
                <w:lang w:val="uk-UA"/>
              </w:rPr>
            </w:pPr>
            <w:r w:rsidRPr="00C2587D">
              <w:rPr>
                <w:rFonts w:ascii="Arial" w:hAnsi="Arial" w:cs="Arial"/>
                <w:color w:val="000000"/>
                <w:lang w:val="uk-UA"/>
              </w:rPr>
              <w:t>Номер і назва завдання з Стратегії</w:t>
            </w:r>
            <w:r w:rsidRPr="00C2587D">
              <w:rPr>
                <w:rFonts w:ascii="Arial" w:hAnsi="Arial" w:cs="Arial"/>
                <w:sz w:val="16"/>
                <w:szCs w:val="16"/>
                <w:lang w:val="uk-UA" w:eastAsia="it-IT"/>
              </w:rPr>
              <w:t xml:space="preserve"> </w:t>
            </w:r>
            <w:r w:rsidRPr="00C2587D">
              <w:rPr>
                <w:rFonts w:ascii="Arial" w:hAnsi="Arial" w:cs="Arial"/>
                <w:color w:val="000000"/>
                <w:lang w:val="uk-UA"/>
              </w:rPr>
              <w:t>розвитку Жмеринської міської територіальної громади,  якому відповідає проєкт:</w:t>
            </w:r>
          </w:p>
        </w:tc>
        <w:tc>
          <w:tcPr>
            <w:tcW w:w="6798" w:type="dxa"/>
            <w:gridSpan w:val="5"/>
          </w:tcPr>
          <w:p w14:paraId="3B850A17" w14:textId="7CAC72AB" w:rsidR="00EA6E27" w:rsidRPr="00C2587D" w:rsidRDefault="00EA6E27" w:rsidP="0019790A">
            <w:pPr>
              <w:spacing w:before="20" w:after="20"/>
              <w:jc w:val="both"/>
              <w:rPr>
                <w:lang w:eastAsia="it-IT"/>
              </w:rPr>
            </w:pPr>
            <w:r w:rsidRPr="00C2587D">
              <w:rPr>
                <w:rFonts w:cs="Arial"/>
                <w:lang w:eastAsia="it-IT"/>
              </w:rPr>
              <w:t>В.2.2.3. Впровадження енергоефективних заходів та обладнання на об’єктах комунальної власності громади, забезпечення термомодернізації об’єктів комунальної власності.</w:t>
            </w:r>
          </w:p>
        </w:tc>
      </w:tr>
      <w:tr w:rsidR="00EA6E27" w:rsidRPr="00C2587D" w14:paraId="178C81BB" w14:textId="77777777" w:rsidTr="0019790A">
        <w:trPr>
          <w:jc w:val="right"/>
        </w:trPr>
        <w:tc>
          <w:tcPr>
            <w:tcW w:w="3421" w:type="dxa"/>
            <w:vAlign w:val="center"/>
          </w:tcPr>
          <w:p w14:paraId="45F93C02" w14:textId="77777777" w:rsidR="00EA6E27" w:rsidRPr="00C2587D" w:rsidRDefault="00EA6E27" w:rsidP="00EA6E27">
            <w:pPr>
              <w:rPr>
                <w:rFonts w:cs="Arial"/>
                <w:b/>
                <w:bCs/>
                <w:color w:val="000000"/>
                <w:szCs w:val="22"/>
              </w:rPr>
            </w:pPr>
            <w:r w:rsidRPr="00C2587D">
              <w:rPr>
                <w:rFonts w:cs="Arial"/>
                <w:b/>
                <w:bCs/>
                <w:color w:val="000000"/>
                <w:szCs w:val="22"/>
              </w:rPr>
              <w:t>Мета проєкту:</w:t>
            </w:r>
          </w:p>
        </w:tc>
        <w:tc>
          <w:tcPr>
            <w:tcW w:w="6798" w:type="dxa"/>
            <w:gridSpan w:val="5"/>
          </w:tcPr>
          <w:p w14:paraId="057FEBFA" w14:textId="77777777" w:rsidR="00EA6E27" w:rsidRPr="00C2587D" w:rsidRDefault="00EA6E27" w:rsidP="00EA6E27">
            <w:pPr>
              <w:spacing w:before="40" w:after="40"/>
              <w:rPr>
                <w:sz w:val="16"/>
                <w:szCs w:val="16"/>
                <w:lang w:eastAsia="it-IT"/>
              </w:rPr>
            </w:pPr>
            <w:r w:rsidRPr="00C2587D">
              <w:rPr>
                <w:rFonts w:cs="Arial"/>
                <w:lang w:eastAsia="it-IT"/>
              </w:rPr>
              <w:t>Забезпечення комунального закладу якісними приміщення та забезпечення комфортного процесу навчання, комфортними приміщеннями та збереженням тепла у приміщення у холодні пори року, уникнення протікань та потрапляння у приміщення холодного повітря та води.</w:t>
            </w:r>
          </w:p>
        </w:tc>
      </w:tr>
      <w:tr w:rsidR="00EA6E27" w:rsidRPr="00C2587D" w14:paraId="03B7A59C" w14:textId="77777777" w:rsidTr="0019790A">
        <w:trPr>
          <w:jc w:val="right"/>
        </w:trPr>
        <w:tc>
          <w:tcPr>
            <w:tcW w:w="3421" w:type="dxa"/>
            <w:vAlign w:val="center"/>
          </w:tcPr>
          <w:p w14:paraId="0459A759" w14:textId="77777777" w:rsidR="00EA6E27" w:rsidRPr="00C2587D" w:rsidRDefault="00EA6E27" w:rsidP="00EA6E27">
            <w:pPr>
              <w:rPr>
                <w:rFonts w:cs="Arial"/>
                <w:b/>
                <w:bCs/>
                <w:color w:val="000000"/>
                <w:szCs w:val="22"/>
              </w:rPr>
            </w:pPr>
            <w:r w:rsidRPr="00C2587D">
              <w:rPr>
                <w:rFonts w:cs="Arial"/>
                <w:b/>
                <w:bCs/>
                <w:color w:val="000000"/>
                <w:szCs w:val="22"/>
              </w:rPr>
              <w:t>Цілі проєкту:</w:t>
            </w:r>
          </w:p>
        </w:tc>
        <w:tc>
          <w:tcPr>
            <w:tcW w:w="6798" w:type="dxa"/>
            <w:gridSpan w:val="5"/>
            <w:vAlign w:val="center"/>
          </w:tcPr>
          <w:p w14:paraId="7E75AE96" w14:textId="77777777" w:rsidR="00EA6E27" w:rsidRPr="00C2587D" w:rsidRDefault="00EA6E27" w:rsidP="00EA6E27">
            <w:pPr>
              <w:spacing w:before="40" w:after="40"/>
              <w:jc w:val="both"/>
              <w:rPr>
                <w:rFonts w:cs="Arial"/>
                <w:lang w:eastAsia="it-IT"/>
              </w:rPr>
            </w:pPr>
            <w:r w:rsidRPr="00C2587D">
              <w:rPr>
                <w:rFonts w:cs="Arial"/>
                <w:lang w:eastAsia="it-IT"/>
              </w:rPr>
              <w:t>Покращити рівень надання послуг в приміщеннях комунальних закладів</w:t>
            </w:r>
          </w:p>
        </w:tc>
      </w:tr>
      <w:tr w:rsidR="00EA6E27" w:rsidRPr="00C2587D" w14:paraId="6BACCAF5" w14:textId="77777777" w:rsidTr="0019790A">
        <w:trPr>
          <w:jc w:val="right"/>
        </w:trPr>
        <w:tc>
          <w:tcPr>
            <w:tcW w:w="3421" w:type="dxa"/>
            <w:vAlign w:val="center"/>
          </w:tcPr>
          <w:p w14:paraId="3759018D" w14:textId="77777777" w:rsidR="00EA6E27" w:rsidRPr="00C2587D" w:rsidRDefault="00EA6E27" w:rsidP="00EA6E27">
            <w:pPr>
              <w:autoSpaceDE w:val="0"/>
              <w:autoSpaceDN w:val="0"/>
              <w:adjustRightInd w:val="0"/>
              <w:rPr>
                <w:rFonts w:cs="Arial"/>
                <w:b/>
                <w:color w:val="000000"/>
                <w:szCs w:val="22"/>
              </w:rPr>
            </w:pPr>
            <w:r w:rsidRPr="00C2587D">
              <w:rPr>
                <w:rFonts w:cs="Arial"/>
                <w:b/>
                <w:color w:val="000000"/>
                <w:szCs w:val="22"/>
              </w:rPr>
              <w:t>Територія на яку проєкт матиме вплив:</w:t>
            </w:r>
          </w:p>
        </w:tc>
        <w:tc>
          <w:tcPr>
            <w:tcW w:w="6798" w:type="dxa"/>
            <w:gridSpan w:val="5"/>
          </w:tcPr>
          <w:p w14:paraId="6C9D5AAF" w14:textId="77777777" w:rsidR="00EA6E27" w:rsidRPr="00C2587D" w:rsidRDefault="00EA6E27" w:rsidP="00EA6E27">
            <w:pPr>
              <w:spacing w:before="40" w:after="40"/>
              <w:rPr>
                <w:lang w:eastAsia="it-IT"/>
              </w:rPr>
            </w:pPr>
            <w:r w:rsidRPr="00C2587D">
              <w:rPr>
                <w:color w:val="000000" w:themeColor="text1"/>
              </w:rPr>
              <w:t xml:space="preserve">Жмеринська МТГ </w:t>
            </w:r>
          </w:p>
        </w:tc>
      </w:tr>
      <w:tr w:rsidR="00EA6E27" w:rsidRPr="00C2587D" w14:paraId="7B7E5F6F" w14:textId="77777777" w:rsidTr="0019790A">
        <w:trPr>
          <w:jc w:val="right"/>
        </w:trPr>
        <w:tc>
          <w:tcPr>
            <w:tcW w:w="3421" w:type="dxa"/>
            <w:vAlign w:val="center"/>
          </w:tcPr>
          <w:p w14:paraId="5EF2FBAF" w14:textId="77777777" w:rsidR="00EA6E27" w:rsidRPr="00C2587D" w:rsidRDefault="00EA6E27" w:rsidP="00EA6E27">
            <w:pPr>
              <w:autoSpaceDE w:val="0"/>
              <w:autoSpaceDN w:val="0"/>
              <w:adjustRightInd w:val="0"/>
              <w:rPr>
                <w:rFonts w:cs="Arial"/>
                <w:b/>
                <w:color w:val="000000"/>
                <w:szCs w:val="22"/>
              </w:rPr>
            </w:pPr>
            <w:r w:rsidRPr="00C2587D">
              <w:rPr>
                <w:rFonts w:cs="Arial"/>
                <w:b/>
                <w:color w:val="000000"/>
                <w:szCs w:val="22"/>
              </w:rPr>
              <w:t>Цільові групи проєкту та кількість отримувачів вигоди</w:t>
            </w:r>
          </w:p>
        </w:tc>
        <w:tc>
          <w:tcPr>
            <w:tcW w:w="6798" w:type="dxa"/>
            <w:gridSpan w:val="5"/>
          </w:tcPr>
          <w:p w14:paraId="2AAE4AF5" w14:textId="77777777" w:rsidR="00EA6E27" w:rsidRPr="00C2587D" w:rsidRDefault="00EA6E27" w:rsidP="00EA6E27">
            <w:pPr>
              <w:spacing w:before="40" w:after="40"/>
              <w:rPr>
                <w:lang w:eastAsia="it-IT"/>
              </w:rPr>
            </w:pPr>
            <w:r w:rsidRPr="00C2587D">
              <w:rPr>
                <w:lang w:eastAsia="it-IT"/>
              </w:rPr>
              <w:t xml:space="preserve">Жмеринська МТГ в кількості </w:t>
            </w:r>
            <w:r w:rsidRPr="00C2587D">
              <w:t>49474 осіб</w:t>
            </w:r>
          </w:p>
        </w:tc>
      </w:tr>
      <w:tr w:rsidR="00EA6E27" w:rsidRPr="00C2587D" w14:paraId="7B33F52B" w14:textId="77777777" w:rsidTr="0019790A">
        <w:trPr>
          <w:jc w:val="right"/>
        </w:trPr>
        <w:tc>
          <w:tcPr>
            <w:tcW w:w="3421" w:type="dxa"/>
            <w:shd w:val="clear" w:color="auto" w:fill="FFFFFF"/>
            <w:vAlign w:val="center"/>
          </w:tcPr>
          <w:p w14:paraId="3A201BA3" w14:textId="77777777" w:rsidR="00EA6E27" w:rsidRPr="00C2587D" w:rsidRDefault="00EA6E27" w:rsidP="00EA6E27">
            <w:pPr>
              <w:rPr>
                <w:rFonts w:cs="Arial"/>
                <w:b/>
                <w:bCs/>
                <w:color w:val="000000"/>
                <w:szCs w:val="22"/>
              </w:rPr>
            </w:pPr>
            <w:r w:rsidRPr="00C2587D">
              <w:rPr>
                <w:rFonts w:cs="Arial"/>
                <w:b/>
                <w:bCs/>
                <w:color w:val="000000"/>
                <w:szCs w:val="22"/>
              </w:rPr>
              <w:t>Стислий опис проєкту:</w:t>
            </w:r>
          </w:p>
        </w:tc>
        <w:tc>
          <w:tcPr>
            <w:tcW w:w="6798" w:type="dxa"/>
            <w:gridSpan w:val="5"/>
          </w:tcPr>
          <w:p w14:paraId="7CD10EDB" w14:textId="77777777" w:rsidR="00EA6E27" w:rsidRPr="00C2587D" w:rsidRDefault="00EA6E27" w:rsidP="0019790A">
            <w:pPr>
              <w:spacing w:before="40" w:after="40"/>
              <w:jc w:val="both"/>
              <w:rPr>
                <w:lang w:eastAsia="it-IT"/>
              </w:rPr>
            </w:pPr>
            <w:r w:rsidRPr="00C2587D">
              <w:rPr>
                <w:lang w:eastAsia="it-IT"/>
              </w:rPr>
              <w:t xml:space="preserve">Надання послуг у комунальних закладах потребує належних технічних умов для проведення якісних заходів. Відповідно для цього необхідно, щоб приміщення таких споруд було герметичним для уникнення протікань, потрапляння холодного повітря та виходу теплого повітря з приміщень, задля цього необхідно провести капітальний ремонт приміщень які перебувають у неналежному стані. </w:t>
            </w:r>
          </w:p>
        </w:tc>
      </w:tr>
      <w:tr w:rsidR="00EA6E27" w:rsidRPr="00C2587D" w14:paraId="50BD09DA" w14:textId="77777777" w:rsidTr="0019790A">
        <w:trPr>
          <w:jc w:val="right"/>
        </w:trPr>
        <w:tc>
          <w:tcPr>
            <w:tcW w:w="3421" w:type="dxa"/>
            <w:shd w:val="clear" w:color="auto" w:fill="FFFFFF"/>
            <w:vAlign w:val="center"/>
          </w:tcPr>
          <w:p w14:paraId="13517E84" w14:textId="77777777" w:rsidR="00EA6E27" w:rsidRPr="00C2587D" w:rsidRDefault="00EA6E27" w:rsidP="00EA6E27">
            <w:pPr>
              <w:rPr>
                <w:rFonts w:cs="Arial"/>
                <w:b/>
                <w:bCs/>
                <w:color w:val="000000"/>
                <w:szCs w:val="22"/>
              </w:rPr>
            </w:pPr>
            <w:r w:rsidRPr="00C2587D">
              <w:rPr>
                <w:rFonts w:cs="Arial"/>
                <w:b/>
                <w:bCs/>
                <w:color w:val="000000"/>
                <w:szCs w:val="22"/>
              </w:rPr>
              <w:t>Основні заходи проєкту:</w:t>
            </w:r>
          </w:p>
        </w:tc>
        <w:tc>
          <w:tcPr>
            <w:tcW w:w="6798" w:type="dxa"/>
            <w:gridSpan w:val="5"/>
          </w:tcPr>
          <w:p w14:paraId="386F463A" w14:textId="5951D94D" w:rsidR="00EA6E27" w:rsidRPr="00C2587D" w:rsidRDefault="00EA6E27" w:rsidP="0019790A">
            <w:pPr>
              <w:spacing w:before="40" w:after="40"/>
              <w:jc w:val="both"/>
              <w:rPr>
                <w:lang w:eastAsia="it-IT"/>
              </w:rPr>
            </w:pPr>
            <w:r w:rsidRPr="00C2587D">
              <w:rPr>
                <w:lang w:eastAsia="it-IT"/>
              </w:rPr>
              <w:t xml:space="preserve">Створення робочої групи з питань реалізації </w:t>
            </w:r>
            <w:r w:rsidR="00314B9D">
              <w:rPr>
                <w:lang w:eastAsia="it-IT"/>
              </w:rPr>
              <w:t>проєкту</w:t>
            </w:r>
            <w:r w:rsidRPr="00C2587D">
              <w:rPr>
                <w:lang w:eastAsia="it-IT"/>
              </w:rPr>
              <w:t xml:space="preserve">. </w:t>
            </w:r>
          </w:p>
          <w:p w14:paraId="1FE5E25C" w14:textId="77777777" w:rsidR="00EA6E27" w:rsidRPr="00C2587D" w:rsidRDefault="00EA6E27" w:rsidP="0019790A">
            <w:pPr>
              <w:spacing w:before="40" w:after="40"/>
              <w:jc w:val="both"/>
              <w:rPr>
                <w:lang w:eastAsia="it-IT"/>
              </w:rPr>
            </w:pPr>
            <w:r w:rsidRPr="00C2587D">
              <w:rPr>
                <w:lang w:eastAsia="it-IT"/>
              </w:rPr>
              <w:t>Проведення процедури закупівель (визначення виконавця робіт).</w:t>
            </w:r>
          </w:p>
          <w:p w14:paraId="51299B3E" w14:textId="77777777" w:rsidR="00EA6E27" w:rsidRPr="00C2587D" w:rsidRDefault="00EA6E27" w:rsidP="0019790A">
            <w:pPr>
              <w:spacing w:before="40" w:after="40"/>
              <w:jc w:val="both"/>
              <w:rPr>
                <w:lang w:eastAsia="it-IT"/>
              </w:rPr>
            </w:pPr>
            <w:r w:rsidRPr="00C2587D">
              <w:rPr>
                <w:lang w:eastAsia="it-IT"/>
              </w:rPr>
              <w:t>Укладення договорів з виконавцем робіт, організаціями, що здійснюватимуть  технічний та авторський  нагляд .</w:t>
            </w:r>
          </w:p>
          <w:p w14:paraId="44357FBA" w14:textId="77777777" w:rsidR="00EA6E27" w:rsidRPr="00C2587D" w:rsidRDefault="00EA6E27" w:rsidP="0019790A">
            <w:pPr>
              <w:spacing w:before="40" w:after="40"/>
              <w:jc w:val="both"/>
              <w:rPr>
                <w:lang w:eastAsia="it-IT"/>
              </w:rPr>
            </w:pPr>
            <w:r w:rsidRPr="00C2587D">
              <w:rPr>
                <w:lang w:eastAsia="it-IT"/>
              </w:rPr>
              <w:t xml:space="preserve">Виконання робіт з капітального </w:t>
            </w:r>
            <w:r w:rsidRPr="00C2587D">
              <w:rPr>
                <w:color w:val="000000" w:themeColor="text1"/>
              </w:rPr>
              <w:t xml:space="preserve">ремонту покрівлі </w:t>
            </w:r>
            <w:r w:rsidRPr="00C2587D">
              <w:rPr>
                <w:szCs w:val="20"/>
                <w:shd w:val="clear" w:color="auto" w:fill="FFFFFF"/>
              </w:rPr>
              <w:t>адміністративних будівель (А-ІІІцн та Д-Іцн) та прилеглої території по вул. Училищна, 9 в м. Жмеринка Вінницької області</w:t>
            </w:r>
            <w:r w:rsidRPr="00C2587D">
              <w:rPr>
                <w:lang w:eastAsia="it-IT"/>
              </w:rPr>
              <w:t xml:space="preserve"> </w:t>
            </w:r>
          </w:p>
          <w:p w14:paraId="5371D31E" w14:textId="079F9053" w:rsidR="00EA6E27" w:rsidRPr="00C2587D" w:rsidRDefault="00EA6E27" w:rsidP="0019790A">
            <w:pPr>
              <w:spacing w:before="40" w:after="40"/>
              <w:jc w:val="both"/>
              <w:rPr>
                <w:sz w:val="16"/>
                <w:szCs w:val="16"/>
                <w:lang w:eastAsia="it-IT"/>
              </w:rPr>
            </w:pPr>
            <w:r w:rsidRPr="00C2587D">
              <w:rPr>
                <w:lang w:eastAsia="it-IT"/>
              </w:rPr>
              <w:t xml:space="preserve">Проведення інформаційних заходів (розміщення  інформації  про реалізацію  </w:t>
            </w:r>
            <w:r w:rsidR="00314B9D">
              <w:rPr>
                <w:lang w:eastAsia="it-IT"/>
              </w:rPr>
              <w:t>проєкту</w:t>
            </w:r>
            <w:r w:rsidRPr="00C2587D">
              <w:rPr>
                <w:lang w:eastAsia="it-IT"/>
              </w:rPr>
              <w:t xml:space="preserve"> у ЗМІ) .</w:t>
            </w:r>
          </w:p>
        </w:tc>
      </w:tr>
      <w:tr w:rsidR="00EA6E27" w:rsidRPr="00C2587D" w14:paraId="73AF2DAA" w14:textId="77777777" w:rsidTr="0019790A">
        <w:trPr>
          <w:jc w:val="right"/>
        </w:trPr>
        <w:tc>
          <w:tcPr>
            <w:tcW w:w="3421" w:type="dxa"/>
            <w:shd w:val="clear" w:color="auto" w:fill="FFFFFF"/>
            <w:vAlign w:val="center"/>
          </w:tcPr>
          <w:p w14:paraId="7F2FD5DF" w14:textId="77777777" w:rsidR="00EA6E27" w:rsidRPr="00C2587D" w:rsidRDefault="00EA6E27" w:rsidP="00EA6E27">
            <w:pPr>
              <w:rPr>
                <w:rFonts w:cs="Arial"/>
                <w:b/>
                <w:bCs/>
                <w:color w:val="000000"/>
                <w:szCs w:val="22"/>
              </w:rPr>
            </w:pPr>
            <w:r w:rsidRPr="00C2587D">
              <w:rPr>
                <w:rFonts w:cs="Arial"/>
                <w:b/>
                <w:bCs/>
                <w:color w:val="000000"/>
                <w:szCs w:val="22"/>
              </w:rPr>
              <w:t>Індикатори (показники) результативності:</w:t>
            </w:r>
          </w:p>
        </w:tc>
        <w:tc>
          <w:tcPr>
            <w:tcW w:w="6798" w:type="dxa"/>
            <w:gridSpan w:val="5"/>
          </w:tcPr>
          <w:p w14:paraId="692CB881" w14:textId="77777777" w:rsidR="00EA6E27" w:rsidRPr="00C2587D" w:rsidRDefault="00EA6E27" w:rsidP="0019790A">
            <w:pPr>
              <w:spacing w:before="40" w:after="40"/>
              <w:jc w:val="both"/>
              <w:rPr>
                <w:sz w:val="16"/>
                <w:szCs w:val="16"/>
                <w:lang w:eastAsia="it-IT"/>
              </w:rPr>
            </w:pPr>
            <w:r w:rsidRPr="00C2587D">
              <w:rPr>
                <w:rFonts w:eastAsia="Arial"/>
                <w:lang w:eastAsia="en-US"/>
              </w:rPr>
              <w:t xml:space="preserve">Ремонт внутрішніх приміщень, озеленення та ремонт прибудинкових територій, встановлення нових систем опалення, водопостачання та водовідведення, електромереж та покрівлі. </w:t>
            </w:r>
          </w:p>
        </w:tc>
      </w:tr>
      <w:tr w:rsidR="00EA6E27" w:rsidRPr="00C2587D" w14:paraId="7F39A64B" w14:textId="77777777" w:rsidTr="0019790A">
        <w:trPr>
          <w:jc w:val="right"/>
        </w:trPr>
        <w:tc>
          <w:tcPr>
            <w:tcW w:w="3421" w:type="dxa"/>
            <w:shd w:val="clear" w:color="auto" w:fill="FFFFFF"/>
            <w:vAlign w:val="center"/>
          </w:tcPr>
          <w:p w14:paraId="2277B5D1" w14:textId="77777777" w:rsidR="00EA6E27" w:rsidRPr="00C2587D" w:rsidRDefault="00EA6E27" w:rsidP="00EA6E27">
            <w:pPr>
              <w:rPr>
                <w:rFonts w:cs="Arial"/>
                <w:b/>
                <w:color w:val="000000"/>
                <w:szCs w:val="22"/>
              </w:rPr>
            </w:pPr>
            <w:r w:rsidRPr="00C2587D">
              <w:rPr>
                <w:rFonts w:cs="Arial"/>
                <w:b/>
                <w:color w:val="000000"/>
                <w:szCs w:val="22"/>
              </w:rPr>
              <w:t xml:space="preserve">Період здійснення: </w:t>
            </w:r>
          </w:p>
        </w:tc>
        <w:tc>
          <w:tcPr>
            <w:tcW w:w="6798" w:type="dxa"/>
            <w:gridSpan w:val="5"/>
            <w:vAlign w:val="center"/>
          </w:tcPr>
          <w:p w14:paraId="6586CB7F" w14:textId="77777777" w:rsidR="00EA6E27" w:rsidRPr="00C2587D" w:rsidRDefault="00EA6E27" w:rsidP="00EA6E27">
            <w:pPr>
              <w:rPr>
                <w:rFonts w:cs="Arial"/>
                <w:color w:val="000000"/>
                <w:szCs w:val="22"/>
                <w:lang w:eastAsia="it-IT"/>
              </w:rPr>
            </w:pPr>
            <w:r w:rsidRPr="00C2587D">
              <w:rPr>
                <w:rFonts w:cs="Arial"/>
                <w:b/>
                <w:color w:val="000000"/>
                <w:szCs w:val="22"/>
              </w:rPr>
              <w:t>2025 – 2028 роки:</w:t>
            </w:r>
          </w:p>
        </w:tc>
      </w:tr>
      <w:tr w:rsidR="00EA6E27" w:rsidRPr="00C2587D" w14:paraId="331C802E" w14:textId="77777777" w:rsidTr="0019790A">
        <w:trPr>
          <w:jc w:val="right"/>
        </w:trPr>
        <w:tc>
          <w:tcPr>
            <w:tcW w:w="3421" w:type="dxa"/>
            <w:vMerge w:val="restart"/>
            <w:shd w:val="clear" w:color="auto" w:fill="FFFFFF"/>
            <w:vAlign w:val="center"/>
          </w:tcPr>
          <w:p w14:paraId="61AD7F4F" w14:textId="77777777" w:rsidR="00EA6E27" w:rsidRPr="00C2587D" w:rsidRDefault="00EA6E27" w:rsidP="00EA6E27">
            <w:pPr>
              <w:rPr>
                <w:rFonts w:cs="Arial"/>
                <w:b/>
                <w:bCs/>
                <w:color w:val="000000"/>
                <w:szCs w:val="22"/>
              </w:rPr>
            </w:pPr>
            <w:r w:rsidRPr="00C2587D">
              <w:rPr>
                <w:rFonts w:cs="Arial"/>
                <w:b/>
                <w:bCs/>
                <w:color w:val="000000"/>
                <w:szCs w:val="22"/>
              </w:rPr>
              <w:t>Орієнтовна вартість проєкту, тис. грн., в тому числі:</w:t>
            </w:r>
          </w:p>
        </w:tc>
        <w:tc>
          <w:tcPr>
            <w:tcW w:w="1252" w:type="dxa"/>
            <w:shd w:val="clear" w:color="auto" w:fill="E6E6E6"/>
            <w:vAlign w:val="center"/>
          </w:tcPr>
          <w:p w14:paraId="57F9E179" w14:textId="77777777" w:rsidR="00EA6E27" w:rsidRPr="00C2587D" w:rsidRDefault="00EA6E27" w:rsidP="00EA6E27">
            <w:pPr>
              <w:jc w:val="center"/>
              <w:rPr>
                <w:rFonts w:cs="Arial"/>
                <w:b/>
                <w:color w:val="000000"/>
                <w:szCs w:val="22"/>
                <w:lang w:eastAsia="it-IT"/>
              </w:rPr>
            </w:pPr>
            <w:r w:rsidRPr="00C2587D">
              <w:rPr>
                <w:rFonts w:cs="Arial"/>
                <w:b/>
                <w:color w:val="000000"/>
                <w:szCs w:val="22"/>
                <w:lang w:eastAsia="it-IT"/>
              </w:rPr>
              <w:t>2025</w:t>
            </w:r>
          </w:p>
        </w:tc>
        <w:tc>
          <w:tcPr>
            <w:tcW w:w="1275" w:type="dxa"/>
            <w:shd w:val="clear" w:color="auto" w:fill="E6E6E6"/>
            <w:vAlign w:val="center"/>
          </w:tcPr>
          <w:p w14:paraId="284BCEC0" w14:textId="77777777" w:rsidR="00EA6E27" w:rsidRPr="00C2587D" w:rsidRDefault="00EA6E27" w:rsidP="00EA6E27">
            <w:pPr>
              <w:jc w:val="center"/>
              <w:rPr>
                <w:rFonts w:cs="Arial"/>
                <w:b/>
                <w:color w:val="000000"/>
                <w:szCs w:val="22"/>
                <w:lang w:eastAsia="it-IT"/>
              </w:rPr>
            </w:pPr>
            <w:r w:rsidRPr="00C2587D">
              <w:rPr>
                <w:rFonts w:cs="Arial"/>
                <w:b/>
                <w:color w:val="000000"/>
                <w:szCs w:val="22"/>
                <w:lang w:eastAsia="it-IT"/>
              </w:rPr>
              <w:t>2026</w:t>
            </w:r>
          </w:p>
        </w:tc>
        <w:tc>
          <w:tcPr>
            <w:tcW w:w="1418" w:type="dxa"/>
            <w:tcBorders>
              <w:bottom w:val="single" w:sz="4" w:space="0" w:color="auto"/>
            </w:tcBorders>
            <w:shd w:val="clear" w:color="auto" w:fill="E6E6E6"/>
            <w:vAlign w:val="center"/>
          </w:tcPr>
          <w:p w14:paraId="7F4775E3" w14:textId="77777777" w:rsidR="00EA6E27" w:rsidRPr="00C2587D" w:rsidRDefault="00EA6E27" w:rsidP="00EA6E27">
            <w:pPr>
              <w:jc w:val="center"/>
              <w:rPr>
                <w:rFonts w:cs="Arial"/>
                <w:b/>
                <w:color w:val="000000"/>
                <w:szCs w:val="22"/>
                <w:lang w:eastAsia="it-IT"/>
              </w:rPr>
            </w:pPr>
            <w:r w:rsidRPr="00C2587D">
              <w:rPr>
                <w:rFonts w:cs="Arial"/>
                <w:b/>
                <w:color w:val="000000"/>
                <w:szCs w:val="22"/>
                <w:lang w:eastAsia="it-IT"/>
              </w:rPr>
              <w:t>2027</w:t>
            </w:r>
          </w:p>
        </w:tc>
        <w:tc>
          <w:tcPr>
            <w:tcW w:w="1276" w:type="dxa"/>
            <w:shd w:val="clear" w:color="auto" w:fill="E6E6E6"/>
            <w:vAlign w:val="center"/>
          </w:tcPr>
          <w:p w14:paraId="73827302" w14:textId="77777777" w:rsidR="00EA6E27" w:rsidRPr="00C2587D" w:rsidRDefault="00EA6E27" w:rsidP="00EA6E27">
            <w:pPr>
              <w:jc w:val="center"/>
              <w:rPr>
                <w:rFonts w:cs="Arial"/>
                <w:b/>
                <w:color w:val="000000"/>
                <w:szCs w:val="22"/>
                <w:lang w:eastAsia="it-IT"/>
              </w:rPr>
            </w:pPr>
            <w:r w:rsidRPr="00C2587D">
              <w:rPr>
                <w:rFonts w:cs="Arial"/>
                <w:b/>
                <w:color w:val="000000"/>
                <w:szCs w:val="22"/>
                <w:lang w:eastAsia="it-IT"/>
              </w:rPr>
              <w:t>2028</w:t>
            </w:r>
          </w:p>
        </w:tc>
        <w:tc>
          <w:tcPr>
            <w:tcW w:w="1577" w:type="dxa"/>
            <w:shd w:val="clear" w:color="auto" w:fill="E6E6E6"/>
            <w:vAlign w:val="center"/>
          </w:tcPr>
          <w:p w14:paraId="6E830324" w14:textId="77777777" w:rsidR="00EA6E27" w:rsidRPr="00C2587D" w:rsidRDefault="00EA6E27" w:rsidP="00EA6E27">
            <w:pPr>
              <w:jc w:val="center"/>
              <w:rPr>
                <w:rFonts w:cs="Arial"/>
                <w:b/>
                <w:color w:val="000000"/>
                <w:szCs w:val="22"/>
                <w:lang w:eastAsia="it-IT"/>
              </w:rPr>
            </w:pPr>
            <w:r w:rsidRPr="00C2587D">
              <w:rPr>
                <w:rFonts w:cs="Arial"/>
                <w:b/>
                <w:color w:val="000000"/>
                <w:szCs w:val="22"/>
                <w:lang w:eastAsia="it-IT"/>
              </w:rPr>
              <w:t>РАЗОМ</w:t>
            </w:r>
          </w:p>
        </w:tc>
      </w:tr>
      <w:tr w:rsidR="00EA6E27" w:rsidRPr="00C2587D" w14:paraId="3BE47778" w14:textId="77777777" w:rsidTr="0019790A">
        <w:trPr>
          <w:jc w:val="right"/>
        </w:trPr>
        <w:tc>
          <w:tcPr>
            <w:tcW w:w="3421" w:type="dxa"/>
            <w:vMerge/>
            <w:shd w:val="clear" w:color="auto" w:fill="FFFFFF"/>
            <w:vAlign w:val="center"/>
          </w:tcPr>
          <w:p w14:paraId="676E212D" w14:textId="77777777" w:rsidR="00EA6E27" w:rsidRPr="00C2587D" w:rsidRDefault="00EA6E27" w:rsidP="00EA6E27">
            <w:pPr>
              <w:rPr>
                <w:rFonts w:cs="Arial"/>
                <w:b/>
                <w:bCs/>
                <w:color w:val="000000"/>
                <w:szCs w:val="22"/>
              </w:rPr>
            </w:pPr>
          </w:p>
        </w:tc>
        <w:tc>
          <w:tcPr>
            <w:tcW w:w="1252" w:type="dxa"/>
            <w:vAlign w:val="center"/>
          </w:tcPr>
          <w:p w14:paraId="06FBAB98" w14:textId="77777777" w:rsidR="00EA6E27" w:rsidRPr="00C2587D" w:rsidRDefault="00EA6E27" w:rsidP="00EA6E27">
            <w:pPr>
              <w:jc w:val="center"/>
              <w:rPr>
                <w:rFonts w:cs="Arial"/>
                <w:b/>
                <w:color w:val="000000"/>
                <w:szCs w:val="22"/>
                <w:lang w:eastAsia="it-IT"/>
              </w:rPr>
            </w:pPr>
          </w:p>
        </w:tc>
        <w:tc>
          <w:tcPr>
            <w:tcW w:w="1275" w:type="dxa"/>
            <w:shd w:val="clear" w:color="auto" w:fill="FFFFFF"/>
            <w:vAlign w:val="center"/>
          </w:tcPr>
          <w:p w14:paraId="7FF29D70" w14:textId="77777777" w:rsidR="00EA6E27" w:rsidRPr="00C2587D" w:rsidRDefault="00EA6E27" w:rsidP="00EA6E27">
            <w:pPr>
              <w:jc w:val="center"/>
              <w:rPr>
                <w:rFonts w:cs="Arial"/>
                <w:b/>
                <w:color w:val="000000"/>
                <w:szCs w:val="22"/>
                <w:lang w:eastAsia="it-IT"/>
              </w:rPr>
            </w:pPr>
            <w:r w:rsidRPr="00C2587D">
              <w:rPr>
                <w:rFonts w:eastAsia="Arial" w:cs="Arial"/>
                <w:b/>
              </w:rPr>
              <w:t>36590,868</w:t>
            </w:r>
          </w:p>
        </w:tc>
        <w:tc>
          <w:tcPr>
            <w:tcW w:w="1418" w:type="dxa"/>
            <w:shd w:val="clear" w:color="auto" w:fill="auto"/>
            <w:vAlign w:val="center"/>
          </w:tcPr>
          <w:p w14:paraId="198ECCDF" w14:textId="77777777" w:rsidR="00EA6E27" w:rsidRPr="00C2587D" w:rsidRDefault="00EA6E27" w:rsidP="00EA6E27">
            <w:pPr>
              <w:jc w:val="center"/>
              <w:rPr>
                <w:rFonts w:cs="Arial"/>
                <w:b/>
                <w:color w:val="000000"/>
                <w:szCs w:val="22"/>
                <w:lang w:eastAsia="it-IT"/>
              </w:rPr>
            </w:pPr>
          </w:p>
        </w:tc>
        <w:tc>
          <w:tcPr>
            <w:tcW w:w="1276" w:type="dxa"/>
            <w:shd w:val="clear" w:color="auto" w:fill="FFFFFF"/>
            <w:vAlign w:val="center"/>
          </w:tcPr>
          <w:p w14:paraId="1656522B" w14:textId="77777777" w:rsidR="00EA6E27" w:rsidRPr="00C2587D" w:rsidRDefault="00EA6E27" w:rsidP="00EA6E27">
            <w:pPr>
              <w:jc w:val="center"/>
              <w:rPr>
                <w:rFonts w:cs="Arial"/>
                <w:b/>
                <w:color w:val="000000"/>
                <w:szCs w:val="22"/>
                <w:lang w:eastAsia="it-IT"/>
              </w:rPr>
            </w:pPr>
          </w:p>
        </w:tc>
        <w:tc>
          <w:tcPr>
            <w:tcW w:w="1577" w:type="dxa"/>
            <w:shd w:val="clear" w:color="auto" w:fill="FFFFFF"/>
            <w:vAlign w:val="center"/>
          </w:tcPr>
          <w:p w14:paraId="089AF638" w14:textId="77777777" w:rsidR="00EA6E27" w:rsidRPr="00C2587D" w:rsidRDefault="00EA6E27" w:rsidP="00EA6E27">
            <w:pPr>
              <w:jc w:val="center"/>
              <w:rPr>
                <w:rFonts w:cs="Arial"/>
                <w:b/>
                <w:color w:val="000000"/>
                <w:szCs w:val="22"/>
                <w:lang w:eastAsia="it-IT"/>
              </w:rPr>
            </w:pPr>
            <w:r w:rsidRPr="00C2587D">
              <w:rPr>
                <w:rFonts w:eastAsia="Arial" w:cs="Arial"/>
                <w:b/>
              </w:rPr>
              <w:t>36590,868</w:t>
            </w:r>
          </w:p>
        </w:tc>
      </w:tr>
      <w:tr w:rsidR="0019790A" w:rsidRPr="00C2587D" w14:paraId="3A547D2A" w14:textId="711C0B4B" w:rsidTr="0019790A">
        <w:trPr>
          <w:trHeight w:val="276"/>
          <w:jc w:val="right"/>
        </w:trPr>
        <w:tc>
          <w:tcPr>
            <w:tcW w:w="3421" w:type="dxa"/>
            <w:shd w:val="clear" w:color="auto" w:fill="FFFFFF"/>
            <w:vAlign w:val="center"/>
          </w:tcPr>
          <w:p w14:paraId="46C8081E" w14:textId="77777777" w:rsidR="0019790A" w:rsidRPr="00C2587D" w:rsidRDefault="0019790A" w:rsidP="00EA6E27">
            <w:pPr>
              <w:rPr>
                <w:rFonts w:cs="Arial"/>
                <w:b/>
                <w:bCs/>
                <w:color w:val="000000"/>
                <w:szCs w:val="22"/>
              </w:rPr>
            </w:pPr>
            <w:r w:rsidRPr="00C2587D">
              <w:rPr>
                <w:rFonts w:cs="Arial"/>
                <w:b/>
                <w:bCs/>
                <w:color w:val="000000"/>
                <w:szCs w:val="22"/>
              </w:rPr>
              <w:t>по джерелах фінансування:</w:t>
            </w:r>
          </w:p>
        </w:tc>
        <w:tc>
          <w:tcPr>
            <w:tcW w:w="3945" w:type="dxa"/>
            <w:gridSpan w:val="3"/>
            <w:vAlign w:val="center"/>
          </w:tcPr>
          <w:p w14:paraId="02EC325B" w14:textId="77777777" w:rsidR="0019790A" w:rsidRPr="00C2587D" w:rsidRDefault="0019790A" w:rsidP="00EA6E27">
            <w:pPr>
              <w:jc w:val="both"/>
              <w:rPr>
                <w:rFonts w:cs="Arial"/>
                <w:color w:val="000000"/>
                <w:szCs w:val="22"/>
                <w:lang w:eastAsia="it-IT"/>
              </w:rPr>
            </w:pPr>
          </w:p>
        </w:tc>
        <w:tc>
          <w:tcPr>
            <w:tcW w:w="2853" w:type="dxa"/>
            <w:gridSpan w:val="2"/>
            <w:vAlign w:val="center"/>
          </w:tcPr>
          <w:p w14:paraId="5BEA3C72" w14:textId="77777777" w:rsidR="0019790A" w:rsidRPr="00C2587D" w:rsidRDefault="0019790A" w:rsidP="00EA6E27">
            <w:pPr>
              <w:jc w:val="both"/>
              <w:rPr>
                <w:rFonts w:cs="Arial"/>
                <w:color w:val="000000"/>
                <w:szCs w:val="22"/>
                <w:lang w:eastAsia="it-IT"/>
              </w:rPr>
            </w:pPr>
          </w:p>
        </w:tc>
      </w:tr>
      <w:tr w:rsidR="0019790A" w:rsidRPr="00C2587D" w14:paraId="4A322573" w14:textId="4B6FE786" w:rsidTr="0019790A">
        <w:trPr>
          <w:trHeight w:val="240"/>
          <w:jc w:val="right"/>
        </w:trPr>
        <w:tc>
          <w:tcPr>
            <w:tcW w:w="3421" w:type="dxa"/>
            <w:shd w:val="clear" w:color="auto" w:fill="FFFFFF"/>
            <w:vAlign w:val="center"/>
          </w:tcPr>
          <w:p w14:paraId="56527F43" w14:textId="77777777" w:rsidR="0019790A" w:rsidRPr="00C2587D" w:rsidRDefault="0019790A" w:rsidP="00EA6E27">
            <w:pPr>
              <w:rPr>
                <w:rFonts w:cs="Arial"/>
                <w:b/>
                <w:bCs/>
                <w:color w:val="000000"/>
                <w:szCs w:val="22"/>
              </w:rPr>
            </w:pPr>
            <w:r w:rsidRPr="00C2587D">
              <w:rPr>
                <w:rFonts w:cs="Arial"/>
                <w:color w:val="000000"/>
                <w:szCs w:val="22"/>
              </w:rPr>
              <w:t>- державний бюджет</w:t>
            </w:r>
          </w:p>
        </w:tc>
        <w:tc>
          <w:tcPr>
            <w:tcW w:w="1252" w:type="dxa"/>
            <w:vAlign w:val="center"/>
          </w:tcPr>
          <w:p w14:paraId="35E9175D" w14:textId="37BC5D03" w:rsidR="0019790A" w:rsidRPr="00C2587D" w:rsidRDefault="0019790A" w:rsidP="00EA6E27">
            <w:pPr>
              <w:jc w:val="both"/>
              <w:rPr>
                <w:rFonts w:eastAsia="Arial" w:cs="Arial"/>
              </w:rPr>
            </w:pPr>
          </w:p>
        </w:tc>
        <w:tc>
          <w:tcPr>
            <w:tcW w:w="1275" w:type="dxa"/>
            <w:vAlign w:val="center"/>
          </w:tcPr>
          <w:p w14:paraId="0B8677DF" w14:textId="432BE53E" w:rsidR="0019790A" w:rsidRPr="00C2587D" w:rsidRDefault="0019790A" w:rsidP="0019790A">
            <w:pPr>
              <w:jc w:val="center"/>
              <w:rPr>
                <w:rFonts w:eastAsia="Arial" w:cs="Arial"/>
              </w:rPr>
            </w:pPr>
            <w:r w:rsidRPr="00C2587D">
              <w:rPr>
                <w:rFonts w:eastAsia="Arial" w:cs="Arial"/>
              </w:rPr>
              <w:t>14400,00</w:t>
            </w:r>
          </w:p>
        </w:tc>
        <w:tc>
          <w:tcPr>
            <w:tcW w:w="1418" w:type="dxa"/>
            <w:vAlign w:val="center"/>
          </w:tcPr>
          <w:p w14:paraId="5F51F40E" w14:textId="3EB04EA3" w:rsidR="0019790A" w:rsidRPr="00C2587D" w:rsidRDefault="0019790A" w:rsidP="0019790A">
            <w:pPr>
              <w:jc w:val="both"/>
              <w:rPr>
                <w:rFonts w:eastAsia="Arial" w:cs="Arial"/>
              </w:rPr>
            </w:pPr>
          </w:p>
        </w:tc>
        <w:tc>
          <w:tcPr>
            <w:tcW w:w="1276" w:type="dxa"/>
            <w:vAlign w:val="center"/>
          </w:tcPr>
          <w:p w14:paraId="36D30803" w14:textId="3BA802B8" w:rsidR="0019790A" w:rsidRPr="00C2587D" w:rsidRDefault="0019790A" w:rsidP="0019790A">
            <w:pPr>
              <w:jc w:val="both"/>
              <w:rPr>
                <w:rFonts w:eastAsia="Arial" w:cs="Arial"/>
              </w:rPr>
            </w:pPr>
          </w:p>
        </w:tc>
        <w:tc>
          <w:tcPr>
            <w:tcW w:w="1577" w:type="dxa"/>
            <w:vAlign w:val="center"/>
          </w:tcPr>
          <w:p w14:paraId="1F11EE5A" w14:textId="484289A9" w:rsidR="0019790A" w:rsidRPr="0019790A" w:rsidRDefault="0019790A" w:rsidP="0019790A">
            <w:pPr>
              <w:jc w:val="center"/>
              <w:rPr>
                <w:rFonts w:eastAsia="Arial" w:cs="Arial"/>
                <w:b/>
              </w:rPr>
            </w:pPr>
            <w:r w:rsidRPr="0019790A">
              <w:rPr>
                <w:rFonts w:eastAsia="Arial" w:cs="Arial"/>
                <w:b/>
              </w:rPr>
              <w:t>14400,00</w:t>
            </w:r>
          </w:p>
        </w:tc>
      </w:tr>
      <w:tr w:rsidR="0019790A" w:rsidRPr="00C2587D" w14:paraId="49EC64F5" w14:textId="021ED302" w:rsidTr="0019790A">
        <w:trPr>
          <w:trHeight w:val="254"/>
          <w:jc w:val="right"/>
        </w:trPr>
        <w:tc>
          <w:tcPr>
            <w:tcW w:w="3421" w:type="dxa"/>
            <w:shd w:val="clear" w:color="auto" w:fill="FFFFFF"/>
            <w:vAlign w:val="center"/>
          </w:tcPr>
          <w:p w14:paraId="00D37E61" w14:textId="77777777" w:rsidR="0019790A" w:rsidRPr="00C2587D" w:rsidRDefault="0019790A" w:rsidP="00EA6E27">
            <w:pPr>
              <w:rPr>
                <w:rFonts w:cs="Arial"/>
                <w:color w:val="000000"/>
                <w:szCs w:val="22"/>
              </w:rPr>
            </w:pPr>
            <w:r w:rsidRPr="00C2587D">
              <w:rPr>
                <w:rFonts w:cs="Arial"/>
                <w:color w:val="000000"/>
                <w:szCs w:val="22"/>
              </w:rPr>
              <w:t>- обласний бюджет</w:t>
            </w:r>
          </w:p>
        </w:tc>
        <w:tc>
          <w:tcPr>
            <w:tcW w:w="1252" w:type="dxa"/>
            <w:vAlign w:val="center"/>
          </w:tcPr>
          <w:p w14:paraId="4CA3FB4C" w14:textId="77777777" w:rsidR="0019790A" w:rsidRPr="00C2587D" w:rsidRDefault="0019790A" w:rsidP="00EA6E27">
            <w:pPr>
              <w:jc w:val="both"/>
              <w:rPr>
                <w:rFonts w:cs="Arial"/>
                <w:color w:val="000000"/>
                <w:szCs w:val="22"/>
                <w:lang w:eastAsia="it-IT"/>
              </w:rPr>
            </w:pPr>
          </w:p>
        </w:tc>
        <w:tc>
          <w:tcPr>
            <w:tcW w:w="1275" w:type="dxa"/>
            <w:vAlign w:val="center"/>
          </w:tcPr>
          <w:p w14:paraId="02FAE02A" w14:textId="77777777" w:rsidR="0019790A" w:rsidRPr="00C2587D" w:rsidRDefault="0019790A" w:rsidP="0019790A">
            <w:pPr>
              <w:jc w:val="center"/>
              <w:rPr>
                <w:rFonts w:cs="Arial"/>
                <w:color w:val="000000"/>
                <w:szCs w:val="22"/>
                <w:lang w:eastAsia="it-IT"/>
              </w:rPr>
            </w:pPr>
          </w:p>
        </w:tc>
        <w:tc>
          <w:tcPr>
            <w:tcW w:w="1418" w:type="dxa"/>
            <w:vAlign w:val="center"/>
          </w:tcPr>
          <w:p w14:paraId="580521B2" w14:textId="77777777" w:rsidR="0019790A" w:rsidRPr="00C2587D" w:rsidRDefault="0019790A" w:rsidP="00EA6E27">
            <w:pPr>
              <w:jc w:val="both"/>
              <w:rPr>
                <w:rFonts w:cs="Arial"/>
                <w:color w:val="000000"/>
                <w:szCs w:val="22"/>
                <w:lang w:eastAsia="it-IT"/>
              </w:rPr>
            </w:pPr>
          </w:p>
        </w:tc>
        <w:tc>
          <w:tcPr>
            <w:tcW w:w="1276" w:type="dxa"/>
            <w:vAlign w:val="center"/>
          </w:tcPr>
          <w:p w14:paraId="2DF886C0" w14:textId="77777777" w:rsidR="0019790A" w:rsidRPr="00C2587D" w:rsidRDefault="0019790A" w:rsidP="00EA6E27">
            <w:pPr>
              <w:jc w:val="both"/>
              <w:rPr>
                <w:rFonts w:cs="Arial"/>
                <w:color w:val="000000"/>
                <w:szCs w:val="22"/>
                <w:lang w:eastAsia="it-IT"/>
              </w:rPr>
            </w:pPr>
          </w:p>
        </w:tc>
        <w:tc>
          <w:tcPr>
            <w:tcW w:w="1577" w:type="dxa"/>
            <w:vAlign w:val="center"/>
          </w:tcPr>
          <w:p w14:paraId="7391A314" w14:textId="77777777" w:rsidR="0019790A" w:rsidRPr="0019790A" w:rsidRDefault="0019790A" w:rsidP="0019790A">
            <w:pPr>
              <w:jc w:val="center"/>
              <w:rPr>
                <w:rFonts w:cs="Arial"/>
                <w:b/>
                <w:color w:val="000000"/>
                <w:szCs w:val="22"/>
                <w:lang w:eastAsia="it-IT"/>
              </w:rPr>
            </w:pPr>
          </w:p>
        </w:tc>
      </w:tr>
      <w:tr w:rsidR="0019790A" w:rsidRPr="00C2587D" w14:paraId="619426D7" w14:textId="27B6FD2D" w:rsidTr="0019790A">
        <w:trPr>
          <w:trHeight w:val="275"/>
          <w:jc w:val="right"/>
        </w:trPr>
        <w:tc>
          <w:tcPr>
            <w:tcW w:w="3421" w:type="dxa"/>
            <w:shd w:val="clear" w:color="auto" w:fill="FFFFFF"/>
            <w:vAlign w:val="center"/>
          </w:tcPr>
          <w:p w14:paraId="0CE9E1D9" w14:textId="77777777" w:rsidR="0019790A" w:rsidRPr="00C2587D" w:rsidRDefault="0019790A" w:rsidP="00EA6E27">
            <w:pPr>
              <w:rPr>
                <w:rFonts w:cs="Arial"/>
                <w:color w:val="000000"/>
                <w:szCs w:val="22"/>
              </w:rPr>
            </w:pPr>
            <w:r w:rsidRPr="00C2587D">
              <w:rPr>
                <w:rFonts w:cs="Arial"/>
                <w:color w:val="000000"/>
                <w:szCs w:val="22"/>
              </w:rPr>
              <w:t>- бюджет Жмеринської МТГ</w:t>
            </w:r>
          </w:p>
        </w:tc>
        <w:tc>
          <w:tcPr>
            <w:tcW w:w="1252" w:type="dxa"/>
            <w:vAlign w:val="center"/>
          </w:tcPr>
          <w:p w14:paraId="038A0951" w14:textId="723C732F" w:rsidR="0019790A" w:rsidRPr="00C2587D" w:rsidRDefault="0019790A" w:rsidP="00EA6E27">
            <w:pPr>
              <w:jc w:val="both"/>
              <w:rPr>
                <w:rFonts w:cs="Arial"/>
                <w:color w:val="000000"/>
                <w:szCs w:val="22"/>
                <w:lang w:eastAsia="it-IT"/>
              </w:rPr>
            </w:pPr>
          </w:p>
        </w:tc>
        <w:tc>
          <w:tcPr>
            <w:tcW w:w="1275" w:type="dxa"/>
            <w:vAlign w:val="center"/>
          </w:tcPr>
          <w:p w14:paraId="3F94001D" w14:textId="6FFCE809" w:rsidR="0019790A" w:rsidRPr="00C2587D" w:rsidRDefault="0019790A" w:rsidP="0019790A">
            <w:pPr>
              <w:jc w:val="center"/>
              <w:rPr>
                <w:rFonts w:cs="Arial"/>
                <w:color w:val="000000"/>
                <w:szCs w:val="22"/>
                <w:lang w:eastAsia="it-IT"/>
              </w:rPr>
            </w:pPr>
            <w:r w:rsidRPr="00C2587D">
              <w:rPr>
                <w:rFonts w:eastAsia="Arial" w:cs="Arial"/>
              </w:rPr>
              <w:t>22190,868</w:t>
            </w:r>
          </w:p>
        </w:tc>
        <w:tc>
          <w:tcPr>
            <w:tcW w:w="1418" w:type="dxa"/>
            <w:vAlign w:val="center"/>
          </w:tcPr>
          <w:p w14:paraId="332C6AD3" w14:textId="3F2EE0C4" w:rsidR="0019790A" w:rsidRPr="00C2587D" w:rsidRDefault="0019790A" w:rsidP="0019790A">
            <w:pPr>
              <w:jc w:val="both"/>
              <w:rPr>
                <w:rFonts w:cs="Arial"/>
                <w:color w:val="000000"/>
                <w:szCs w:val="22"/>
                <w:lang w:eastAsia="it-IT"/>
              </w:rPr>
            </w:pPr>
          </w:p>
        </w:tc>
        <w:tc>
          <w:tcPr>
            <w:tcW w:w="1276" w:type="dxa"/>
            <w:vAlign w:val="center"/>
          </w:tcPr>
          <w:p w14:paraId="1C2C5A16" w14:textId="1484A295" w:rsidR="0019790A" w:rsidRPr="00C2587D" w:rsidRDefault="0019790A" w:rsidP="0019790A">
            <w:pPr>
              <w:jc w:val="both"/>
              <w:rPr>
                <w:rFonts w:cs="Arial"/>
                <w:color w:val="000000"/>
                <w:szCs w:val="22"/>
                <w:lang w:eastAsia="it-IT"/>
              </w:rPr>
            </w:pPr>
          </w:p>
        </w:tc>
        <w:tc>
          <w:tcPr>
            <w:tcW w:w="1577" w:type="dxa"/>
            <w:vAlign w:val="center"/>
          </w:tcPr>
          <w:p w14:paraId="321B5DD2" w14:textId="699BAE8F" w:rsidR="0019790A" w:rsidRPr="0019790A" w:rsidRDefault="0019790A" w:rsidP="0019790A">
            <w:pPr>
              <w:ind w:left="68"/>
              <w:jc w:val="center"/>
              <w:rPr>
                <w:rFonts w:cs="Arial"/>
                <w:b/>
                <w:color w:val="000000"/>
                <w:szCs w:val="22"/>
                <w:lang w:eastAsia="it-IT"/>
              </w:rPr>
            </w:pPr>
            <w:r w:rsidRPr="0019790A">
              <w:rPr>
                <w:rFonts w:eastAsia="Arial" w:cs="Arial"/>
                <w:b/>
              </w:rPr>
              <w:t>22190,868</w:t>
            </w:r>
          </w:p>
        </w:tc>
      </w:tr>
      <w:tr w:rsidR="0019790A" w:rsidRPr="00C2587D" w14:paraId="28C8FCB8" w14:textId="0AFCCC67" w:rsidTr="0019790A">
        <w:trPr>
          <w:trHeight w:val="226"/>
          <w:jc w:val="right"/>
        </w:trPr>
        <w:tc>
          <w:tcPr>
            <w:tcW w:w="3421" w:type="dxa"/>
            <w:shd w:val="clear" w:color="auto" w:fill="FFFFFF"/>
            <w:vAlign w:val="center"/>
          </w:tcPr>
          <w:p w14:paraId="0BA2EBB6" w14:textId="77777777" w:rsidR="0019790A" w:rsidRPr="00C2587D" w:rsidRDefault="0019790A" w:rsidP="00EA6E27">
            <w:pPr>
              <w:rPr>
                <w:rFonts w:cs="Arial"/>
                <w:color w:val="000000"/>
                <w:szCs w:val="22"/>
              </w:rPr>
            </w:pPr>
            <w:r w:rsidRPr="00C2587D">
              <w:rPr>
                <w:rFonts w:cs="Arial"/>
                <w:color w:val="000000"/>
                <w:szCs w:val="22"/>
              </w:rPr>
              <w:t>- інші джерела фінансування</w:t>
            </w:r>
          </w:p>
        </w:tc>
        <w:tc>
          <w:tcPr>
            <w:tcW w:w="1252" w:type="dxa"/>
            <w:vAlign w:val="center"/>
          </w:tcPr>
          <w:p w14:paraId="04396449" w14:textId="77777777" w:rsidR="0019790A" w:rsidRPr="00C2587D" w:rsidRDefault="0019790A" w:rsidP="00EA6E27">
            <w:pPr>
              <w:jc w:val="both"/>
              <w:rPr>
                <w:rFonts w:cs="Arial"/>
                <w:color w:val="000000"/>
                <w:szCs w:val="22"/>
                <w:lang w:eastAsia="it-IT"/>
              </w:rPr>
            </w:pPr>
          </w:p>
        </w:tc>
        <w:tc>
          <w:tcPr>
            <w:tcW w:w="1275" w:type="dxa"/>
            <w:vAlign w:val="center"/>
          </w:tcPr>
          <w:p w14:paraId="42F2CD9E" w14:textId="77777777" w:rsidR="0019790A" w:rsidRPr="00C2587D" w:rsidRDefault="0019790A" w:rsidP="0019790A">
            <w:pPr>
              <w:jc w:val="center"/>
              <w:rPr>
                <w:rFonts w:cs="Arial"/>
                <w:color w:val="000000"/>
                <w:szCs w:val="22"/>
                <w:lang w:eastAsia="it-IT"/>
              </w:rPr>
            </w:pPr>
          </w:p>
        </w:tc>
        <w:tc>
          <w:tcPr>
            <w:tcW w:w="1418" w:type="dxa"/>
            <w:vAlign w:val="center"/>
          </w:tcPr>
          <w:p w14:paraId="27211E77" w14:textId="77777777" w:rsidR="0019790A" w:rsidRPr="00C2587D" w:rsidRDefault="0019790A" w:rsidP="00EA6E27">
            <w:pPr>
              <w:jc w:val="both"/>
              <w:rPr>
                <w:rFonts w:cs="Arial"/>
                <w:color w:val="000000"/>
                <w:szCs w:val="22"/>
                <w:lang w:eastAsia="it-IT"/>
              </w:rPr>
            </w:pPr>
          </w:p>
        </w:tc>
        <w:tc>
          <w:tcPr>
            <w:tcW w:w="1276" w:type="dxa"/>
            <w:vAlign w:val="center"/>
          </w:tcPr>
          <w:p w14:paraId="0ECB6B74" w14:textId="77777777" w:rsidR="0019790A" w:rsidRPr="00C2587D" w:rsidRDefault="0019790A" w:rsidP="00EA6E27">
            <w:pPr>
              <w:jc w:val="both"/>
              <w:rPr>
                <w:rFonts w:cs="Arial"/>
                <w:color w:val="000000"/>
                <w:szCs w:val="22"/>
                <w:lang w:eastAsia="it-IT"/>
              </w:rPr>
            </w:pPr>
          </w:p>
        </w:tc>
        <w:tc>
          <w:tcPr>
            <w:tcW w:w="1577" w:type="dxa"/>
            <w:vAlign w:val="center"/>
          </w:tcPr>
          <w:p w14:paraId="1F3A5453" w14:textId="77777777" w:rsidR="0019790A" w:rsidRPr="00C2587D" w:rsidRDefault="0019790A" w:rsidP="0019790A">
            <w:pPr>
              <w:jc w:val="center"/>
              <w:rPr>
                <w:rFonts w:cs="Arial"/>
                <w:color w:val="000000"/>
                <w:szCs w:val="22"/>
                <w:lang w:eastAsia="it-IT"/>
              </w:rPr>
            </w:pPr>
          </w:p>
        </w:tc>
      </w:tr>
      <w:tr w:rsidR="00EA6E27" w:rsidRPr="00C2587D" w14:paraId="5505472F" w14:textId="77777777" w:rsidTr="0019790A">
        <w:trPr>
          <w:jc w:val="right"/>
        </w:trPr>
        <w:tc>
          <w:tcPr>
            <w:tcW w:w="3421" w:type="dxa"/>
            <w:shd w:val="clear" w:color="auto" w:fill="FFFFFF"/>
            <w:vAlign w:val="center"/>
          </w:tcPr>
          <w:p w14:paraId="4193DB29" w14:textId="77777777" w:rsidR="00EA6E27" w:rsidRPr="00C2587D" w:rsidRDefault="00EA6E27" w:rsidP="00EA6E27">
            <w:pPr>
              <w:rPr>
                <w:rFonts w:cs="Arial"/>
                <w:b/>
                <w:bCs/>
                <w:color w:val="000000"/>
                <w:szCs w:val="22"/>
              </w:rPr>
            </w:pPr>
            <w:r w:rsidRPr="00C2587D">
              <w:rPr>
                <w:rFonts w:cs="Arial"/>
                <w:b/>
                <w:color w:val="000000"/>
                <w:szCs w:val="22"/>
              </w:rPr>
              <w:t>Відповідальний виконавець проєкту:</w:t>
            </w:r>
          </w:p>
        </w:tc>
        <w:tc>
          <w:tcPr>
            <w:tcW w:w="6798" w:type="dxa"/>
            <w:gridSpan w:val="5"/>
            <w:vAlign w:val="center"/>
          </w:tcPr>
          <w:p w14:paraId="51235F21" w14:textId="64617007" w:rsidR="00EA6E27" w:rsidRPr="00C2587D" w:rsidRDefault="00EA6E27" w:rsidP="0019790A">
            <w:pPr>
              <w:jc w:val="both"/>
              <w:rPr>
                <w:rFonts w:cs="Arial"/>
                <w:color w:val="000000"/>
                <w:szCs w:val="22"/>
                <w:lang w:eastAsia="it-IT"/>
              </w:rPr>
            </w:pPr>
            <w:r w:rsidRPr="00C2587D">
              <w:rPr>
                <w:rFonts w:cs="Arial"/>
                <w:color w:val="000000"/>
                <w:szCs w:val="22"/>
                <w:lang w:eastAsia="it-IT"/>
              </w:rPr>
              <w:t>Управління ЖКГ.</w:t>
            </w:r>
          </w:p>
        </w:tc>
      </w:tr>
      <w:tr w:rsidR="00EA6E27" w:rsidRPr="00C2587D" w14:paraId="2CCB2624" w14:textId="77777777" w:rsidTr="0019790A">
        <w:trPr>
          <w:jc w:val="right"/>
        </w:trPr>
        <w:tc>
          <w:tcPr>
            <w:tcW w:w="3421" w:type="dxa"/>
            <w:shd w:val="clear" w:color="auto" w:fill="FFFFFF"/>
            <w:vAlign w:val="center"/>
          </w:tcPr>
          <w:p w14:paraId="4688B9E1" w14:textId="77777777" w:rsidR="00EA6E27" w:rsidRPr="00C2587D" w:rsidRDefault="00EA6E27" w:rsidP="00EA6E27">
            <w:pPr>
              <w:rPr>
                <w:rFonts w:cs="Arial"/>
                <w:b/>
                <w:bCs/>
                <w:color w:val="000000"/>
                <w:szCs w:val="22"/>
              </w:rPr>
            </w:pPr>
            <w:r w:rsidRPr="00C2587D">
              <w:rPr>
                <w:rFonts w:cs="Arial"/>
                <w:b/>
                <w:bCs/>
                <w:color w:val="000000"/>
                <w:szCs w:val="22"/>
              </w:rPr>
              <w:t>Інше:</w:t>
            </w:r>
          </w:p>
        </w:tc>
        <w:tc>
          <w:tcPr>
            <w:tcW w:w="6798" w:type="dxa"/>
            <w:gridSpan w:val="5"/>
            <w:vAlign w:val="center"/>
          </w:tcPr>
          <w:p w14:paraId="3D31710F" w14:textId="77777777" w:rsidR="00EA6E27" w:rsidRPr="00C2587D" w:rsidRDefault="00EA6E27" w:rsidP="00EA6E27">
            <w:pPr>
              <w:rPr>
                <w:rFonts w:cs="Arial"/>
                <w:color w:val="000000"/>
                <w:szCs w:val="22"/>
                <w:lang w:eastAsia="it-IT"/>
              </w:rPr>
            </w:pPr>
          </w:p>
        </w:tc>
      </w:tr>
    </w:tbl>
    <w:p w14:paraId="42C7D0A1" w14:textId="77777777" w:rsidR="00EA6E27" w:rsidRPr="00C2587D" w:rsidRDefault="00EA6E27" w:rsidP="00EA6E27">
      <w:pPr>
        <w:jc w:val="center"/>
        <w:rPr>
          <w:rFonts w:cs="Arial"/>
          <w:b/>
          <w:color w:val="000000"/>
          <w:szCs w:val="22"/>
        </w:rPr>
      </w:pPr>
    </w:p>
    <w:p w14:paraId="069B7A5F" w14:textId="77777777" w:rsidR="00EA6E27" w:rsidRPr="00C2587D" w:rsidRDefault="00EA6E27" w:rsidP="00EA6E27">
      <w:pPr>
        <w:jc w:val="center"/>
        <w:rPr>
          <w:rFonts w:cs="Arial"/>
          <w:b/>
          <w:color w:val="000000"/>
          <w:szCs w:val="22"/>
        </w:rPr>
      </w:pPr>
    </w:p>
    <w:p w14:paraId="4EEF89A6" w14:textId="77777777" w:rsidR="000B0111" w:rsidRPr="00C2587D" w:rsidRDefault="000B0111" w:rsidP="000B0111">
      <w:pPr>
        <w:jc w:val="center"/>
        <w:rPr>
          <w:b/>
          <w:color w:val="000000"/>
          <w:szCs w:val="22"/>
        </w:rPr>
      </w:pPr>
      <w:r w:rsidRPr="00C2587D">
        <w:rPr>
          <w:b/>
          <w:color w:val="000000"/>
          <w:szCs w:val="22"/>
        </w:rPr>
        <w:t xml:space="preserve">Форма технічного завдання на проєкт місцевого розвитку </w:t>
      </w:r>
    </w:p>
    <w:p w14:paraId="568077F3" w14:textId="77777777" w:rsidR="000B0111" w:rsidRPr="00C2587D" w:rsidRDefault="000B0111" w:rsidP="000B0111">
      <w:pPr>
        <w:jc w:val="center"/>
        <w:rPr>
          <w:b/>
          <w:color w:val="000000"/>
          <w:szCs w:val="22"/>
        </w:rPr>
      </w:pPr>
      <w:r w:rsidRPr="00C2587D">
        <w:rPr>
          <w:b/>
          <w:color w:val="000000"/>
          <w:szCs w:val="22"/>
        </w:rPr>
        <w:t>до Плану заходів з реалізації Стратегії</w:t>
      </w:r>
    </w:p>
    <w:p w14:paraId="19868C88" w14:textId="77777777" w:rsidR="000B0111" w:rsidRPr="00C2587D" w:rsidRDefault="000B0111" w:rsidP="000B0111">
      <w:pPr>
        <w:rPr>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1275"/>
        <w:gridCol w:w="1418"/>
        <w:gridCol w:w="1276"/>
        <w:gridCol w:w="1571"/>
      </w:tblGrid>
      <w:tr w:rsidR="000B0111" w:rsidRPr="0019790A" w14:paraId="65333B7B" w14:textId="77777777" w:rsidTr="00787C61">
        <w:trPr>
          <w:jc w:val="right"/>
        </w:trPr>
        <w:tc>
          <w:tcPr>
            <w:tcW w:w="3425" w:type="dxa"/>
            <w:vAlign w:val="center"/>
          </w:tcPr>
          <w:p w14:paraId="59C9FC6B" w14:textId="77777777" w:rsidR="000B0111" w:rsidRPr="0019790A" w:rsidRDefault="000B0111" w:rsidP="0019790A">
            <w:pPr>
              <w:rPr>
                <w:rFonts w:cs="Arial"/>
                <w:b/>
                <w:bCs/>
                <w:color w:val="000000"/>
                <w:szCs w:val="22"/>
              </w:rPr>
            </w:pPr>
            <w:r w:rsidRPr="0019790A">
              <w:rPr>
                <w:rFonts w:cs="Arial"/>
                <w:b/>
                <w:bCs/>
                <w:color w:val="000000"/>
                <w:szCs w:val="22"/>
              </w:rPr>
              <w:t>Назва проєкту:</w:t>
            </w:r>
          </w:p>
        </w:tc>
        <w:tc>
          <w:tcPr>
            <w:tcW w:w="6794" w:type="dxa"/>
            <w:gridSpan w:val="5"/>
          </w:tcPr>
          <w:p w14:paraId="34E58BDC" w14:textId="77777777" w:rsidR="000B0111" w:rsidRPr="0019790A" w:rsidRDefault="000B0111" w:rsidP="0019790A">
            <w:pPr>
              <w:jc w:val="both"/>
              <w:rPr>
                <w:rFonts w:cs="Arial"/>
                <w:b/>
                <w:szCs w:val="22"/>
                <w:lang w:eastAsia="it-IT"/>
              </w:rPr>
            </w:pPr>
            <w:r w:rsidRPr="0019790A">
              <w:rPr>
                <w:rFonts w:cs="Arial"/>
                <w:b/>
                <w:szCs w:val="22"/>
                <w:lang w:eastAsia="it-IT"/>
              </w:rPr>
              <w:t xml:space="preserve">Капітальний ремонт (термомодернізація) будівлі комунального закладу «Жмеринський ліцей №6» </w:t>
            </w:r>
          </w:p>
        </w:tc>
      </w:tr>
      <w:tr w:rsidR="000B0111" w:rsidRPr="0019790A" w14:paraId="4C2BA5F9" w14:textId="77777777" w:rsidTr="00787C61">
        <w:trPr>
          <w:jc w:val="right"/>
        </w:trPr>
        <w:tc>
          <w:tcPr>
            <w:tcW w:w="3425" w:type="dxa"/>
          </w:tcPr>
          <w:p w14:paraId="797DBF3D" w14:textId="77777777" w:rsidR="000B0111" w:rsidRPr="0019790A" w:rsidRDefault="000B0111"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681E7407" w14:textId="77777777" w:rsidR="000B0111" w:rsidRPr="0019790A" w:rsidRDefault="000B0111"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5"/>
          </w:tcPr>
          <w:p w14:paraId="73562DE5" w14:textId="77777777" w:rsidR="000B0111" w:rsidRPr="0019790A" w:rsidRDefault="000B0111" w:rsidP="0019790A">
            <w:pPr>
              <w:jc w:val="both"/>
              <w:rPr>
                <w:rFonts w:cs="Arial"/>
                <w:szCs w:val="22"/>
                <w:lang w:eastAsia="it-IT"/>
              </w:rPr>
            </w:pPr>
            <w:r w:rsidRPr="0019790A">
              <w:rPr>
                <w:rFonts w:cs="Arial"/>
                <w:szCs w:val="22"/>
                <w:lang w:eastAsia="it-IT"/>
              </w:rPr>
              <w:t>Комунальний заклад «Жмеринський ліцей №6» Жмеринської міської територіальної громади Вінницької області</w:t>
            </w:r>
          </w:p>
        </w:tc>
      </w:tr>
      <w:tr w:rsidR="000B0111" w:rsidRPr="0019790A" w14:paraId="5ACEFB9C" w14:textId="77777777" w:rsidTr="00787C61">
        <w:trPr>
          <w:jc w:val="right"/>
        </w:trPr>
        <w:tc>
          <w:tcPr>
            <w:tcW w:w="3425" w:type="dxa"/>
          </w:tcPr>
          <w:p w14:paraId="418B1DFE" w14:textId="77777777" w:rsidR="000B0111" w:rsidRPr="0019790A" w:rsidRDefault="000B0111" w:rsidP="0019790A">
            <w:pPr>
              <w:rPr>
                <w:rFonts w:cs="Arial"/>
                <w:b/>
                <w:bCs/>
                <w:szCs w:val="22"/>
              </w:rPr>
            </w:pPr>
            <w:r w:rsidRPr="0019790A">
              <w:rPr>
                <w:rFonts w:cs="Arial"/>
                <w:szCs w:val="22"/>
                <w:lang w:eastAsia="it-IT"/>
              </w:rPr>
              <w:t>Прізвище Ім’я По-батькові:</w:t>
            </w:r>
          </w:p>
        </w:tc>
        <w:tc>
          <w:tcPr>
            <w:tcW w:w="6794" w:type="dxa"/>
            <w:gridSpan w:val="5"/>
          </w:tcPr>
          <w:p w14:paraId="110A7FA1" w14:textId="77777777" w:rsidR="000B0111" w:rsidRPr="0019790A" w:rsidRDefault="000B0111" w:rsidP="0019790A">
            <w:pPr>
              <w:pStyle w:val="TableParagraph"/>
              <w:ind w:left="66"/>
              <w:jc w:val="both"/>
              <w:rPr>
                <w:rFonts w:ascii="Arial" w:hAnsi="Arial" w:cs="Arial"/>
              </w:rPr>
            </w:pPr>
            <w:r w:rsidRPr="0019790A">
              <w:rPr>
                <w:rFonts w:ascii="Arial" w:hAnsi="Arial" w:cs="Arial"/>
              </w:rPr>
              <w:t>Бігун Людмила Василівна</w:t>
            </w:r>
          </w:p>
        </w:tc>
      </w:tr>
      <w:tr w:rsidR="000B0111" w:rsidRPr="0019790A" w14:paraId="3B3972FF" w14:textId="77777777" w:rsidTr="00787C61">
        <w:trPr>
          <w:jc w:val="right"/>
        </w:trPr>
        <w:tc>
          <w:tcPr>
            <w:tcW w:w="3425" w:type="dxa"/>
          </w:tcPr>
          <w:p w14:paraId="51976B62" w14:textId="77777777" w:rsidR="000B0111" w:rsidRPr="0019790A" w:rsidRDefault="000B0111" w:rsidP="0019790A">
            <w:pPr>
              <w:rPr>
                <w:rFonts w:cs="Arial"/>
                <w:b/>
                <w:bCs/>
                <w:szCs w:val="22"/>
              </w:rPr>
            </w:pPr>
            <w:r w:rsidRPr="0019790A">
              <w:rPr>
                <w:rFonts w:cs="Arial"/>
                <w:szCs w:val="22"/>
                <w:lang w:eastAsia="it-IT"/>
              </w:rPr>
              <w:t>Телефон (мобільний):</w:t>
            </w:r>
          </w:p>
        </w:tc>
        <w:tc>
          <w:tcPr>
            <w:tcW w:w="6794" w:type="dxa"/>
            <w:gridSpan w:val="5"/>
          </w:tcPr>
          <w:p w14:paraId="38FF7507" w14:textId="77777777" w:rsidR="000B0111" w:rsidRPr="0019790A" w:rsidRDefault="000B0111" w:rsidP="0019790A">
            <w:pPr>
              <w:pStyle w:val="TableParagraph"/>
              <w:ind w:left="66"/>
              <w:jc w:val="both"/>
              <w:rPr>
                <w:rFonts w:ascii="Arial" w:hAnsi="Arial" w:cs="Arial"/>
              </w:rPr>
            </w:pPr>
            <w:r w:rsidRPr="0019790A">
              <w:rPr>
                <w:rFonts w:ascii="Arial" w:hAnsi="Arial" w:cs="Arial"/>
                <w:spacing w:val="-2"/>
              </w:rPr>
              <w:t>0972125632</w:t>
            </w:r>
          </w:p>
        </w:tc>
      </w:tr>
      <w:tr w:rsidR="000B0111" w:rsidRPr="0019790A" w14:paraId="240B5FF2" w14:textId="77777777" w:rsidTr="00787C61">
        <w:trPr>
          <w:jc w:val="right"/>
        </w:trPr>
        <w:tc>
          <w:tcPr>
            <w:tcW w:w="3425" w:type="dxa"/>
          </w:tcPr>
          <w:p w14:paraId="25FD783B" w14:textId="77777777" w:rsidR="000B0111" w:rsidRPr="0019790A" w:rsidRDefault="000B0111" w:rsidP="0019790A">
            <w:pPr>
              <w:rPr>
                <w:rFonts w:cs="Arial"/>
                <w:b/>
                <w:bCs/>
                <w:szCs w:val="22"/>
              </w:rPr>
            </w:pPr>
            <w:r w:rsidRPr="0019790A">
              <w:rPr>
                <w:rFonts w:cs="Arial"/>
                <w:szCs w:val="22"/>
                <w:lang w:eastAsia="it-IT"/>
              </w:rPr>
              <w:t>Електронна адреса:</w:t>
            </w:r>
          </w:p>
        </w:tc>
        <w:tc>
          <w:tcPr>
            <w:tcW w:w="6794" w:type="dxa"/>
            <w:gridSpan w:val="5"/>
          </w:tcPr>
          <w:p w14:paraId="07FA2FE0" w14:textId="77777777" w:rsidR="000B0111" w:rsidRPr="0019790A" w:rsidRDefault="000B0111" w:rsidP="0019790A">
            <w:pPr>
              <w:pStyle w:val="TableParagraph"/>
              <w:ind w:left="66"/>
              <w:jc w:val="both"/>
              <w:rPr>
                <w:rFonts w:ascii="Arial" w:hAnsi="Arial" w:cs="Arial"/>
                <w:b/>
                <w:color w:val="0070C0"/>
              </w:rPr>
            </w:pPr>
            <w:r w:rsidRPr="0019790A">
              <w:rPr>
                <w:rFonts w:ascii="Arial" w:hAnsi="Arial" w:cs="Arial"/>
                <w:color w:val="0070C0"/>
              </w:rPr>
              <w:t>zosh6zm@ukr.net</w:t>
            </w:r>
          </w:p>
        </w:tc>
      </w:tr>
      <w:tr w:rsidR="000B0111" w:rsidRPr="0019790A" w14:paraId="2BB09BCC" w14:textId="77777777" w:rsidTr="00787C61">
        <w:trPr>
          <w:jc w:val="right"/>
        </w:trPr>
        <w:tc>
          <w:tcPr>
            <w:tcW w:w="3425" w:type="dxa"/>
            <w:vAlign w:val="center"/>
          </w:tcPr>
          <w:p w14:paraId="636C89E6" w14:textId="77777777" w:rsidR="000B0111" w:rsidRPr="0019790A" w:rsidRDefault="000B0111" w:rsidP="0019790A">
            <w:pPr>
              <w:pStyle w:val="6"/>
              <w:spacing w:before="0" w:after="0"/>
              <w:rPr>
                <w:rFonts w:ascii="Arial" w:hAnsi="Arial" w:cs="Arial"/>
                <w:color w:val="000000"/>
                <w:lang w:val="uk-UA"/>
              </w:rPr>
            </w:pPr>
            <w:r w:rsidRPr="0019790A">
              <w:rPr>
                <w:rFonts w:ascii="Arial" w:hAnsi="Arial" w:cs="Arial"/>
                <w:color w:val="000000"/>
                <w:lang w:val="uk-UA"/>
              </w:rPr>
              <w:t>Номер і назва завдання з Стратегії</w:t>
            </w:r>
            <w:r w:rsidRPr="0019790A">
              <w:rPr>
                <w:rFonts w:ascii="Arial" w:hAnsi="Arial" w:cs="Arial"/>
                <w:lang w:val="uk-UA" w:eastAsia="it-IT"/>
              </w:rPr>
              <w:t xml:space="preserve"> </w:t>
            </w:r>
            <w:r w:rsidRPr="0019790A">
              <w:rPr>
                <w:rFonts w:ascii="Arial" w:hAnsi="Arial" w:cs="Arial"/>
                <w:color w:val="000000"/>
                <w:lang w:val="uk-UA"/>
              </w:rPr>
              <w:t>розвитку Жмеринської міської територіальної громади,  якому відповідає проєкт:</w:t>
            </w:r>
          </w:p>
        </w:tc>
        <w:tc>
          <w:tcPr>
            <w:tcW w:w="6794" w:type="dxa"/>
            <w:gridSpan w:val="5"/>
          </w:tcPr>
          <w:p w14:paraId="55F3253A" w14:textId="77777777" w:rsidR="000B0111" w:rsidRPr="0019790A" w:rsidRDefault="000B0111" w:rsidP="0019790A">
            <w:pPr>
              <w:pStyle w:val="TableParagraph"/>
              <w:ind w:left="0"/>
              <w:jc w:val="both"/>
              <w:rPr>
                <w:rFonts w:ascii="Arial" w:hAnsi="Arial" w:cs="Arial"/>
              </w:rPr>
            </w:pPr>
            <w:r w:rsidRPr="0019790A">
              <w:rPr>
                <w:rFonts w:ascii="Arial" w:hAnsi="Arial" w:cs="Arial"/>
              </w:rPr>
              <w:t>В.2.2.1.</w:t>
            </w:r>
            <w:r w:rsidRPr="0019790A">
              <w:rPr>
                <w:rFonts w:ascii="Arial" w:hAnsi="Arial" w:cs="Arial"/>
                <w:spacing w:val="-8"/>
              </w:rPr>
              <w:t xml:space="preserve"> </w:t>
            </w:r>
            <w:r w:rsidRPr="0019790A">
              <w:rPr>
                <w:rFonts w:ascii="Arial" w:hAnsi="Arial" w:cs="Arial"/>
              </w:rPr>
              <w:t>Енергоаудит</w:t>
            </w:r>
            <w:r w:rsidRPr="0019790A">
              <w:rPr>
                <w:rFonts w:ascii="Arial" w:hAnsi="Arial" w:cs="Arial"/>
                <w:spacing w:val="-6"/>
              </w:rPr>
              <w:t xml:space="preserve"> </w:t>
            </w:r>
            <w:r w:rsidRPr="0019790A">
              <w:rPr>
                <w:rFonts w:ascii="Arial" w:hAnsi="Arial" w:cs="Arial"/>
              </w:rPr>
              <w:t>будівель</w:t>
            </w:r>
            <w:r w:rsidRPr="0019790A">
              <w:rPr>
                <w:rFonts w:ascii="Arial" w:hAnsi="Arial" w:cs="Arial"/>
                <w:spacing w:val="-6"/>
              </w:rPr>
              <w:t xml:space="preserve"> </w:t>
            </w:r>
            <w:r w:rsidRPr="0019790A">
              <w:rPr>
                <w:rFonts w:ascii="Arial" w:hAnsi="Arial" w:cs="Arial"/>
              </w:rPr>
              <w:t>комунальної</w:t>
            </w:r>
            <w:r w:rsidRPr="0019790A">
              <w:rPr>
                <w:rFonts w:ascii="Arial" w:hAnsi="Arial" w:cs="Arial"/>
                <w:spacing w:val="-8"/>
              </w:rPr>
              <w:t xml:space="preserve"> </w:t>
            </w:r>
            <w:r w:rsidRPr="0019790A">
              <w:rPr>
                <w:rFonts w:ascii="Arial" w:hAnsi="Arial" w:cs="Arial"/>
              </w:rPr>
              <w:t>власності</w:t>
            </w:r>
            <w:r w:rsidRPr="0019790A">
              <w:rPr>
                <w:rFonts w:ascii="Arial" w:hAnsi="Arial" w:cs="Arial"/>
                <w:spacing w:val="-3"/>
              </w:rPr>
              <w:t xml:space="preserve"> </w:t>
            </w:r>
            <w:r w:rsidRPr="0019790A">
              <w:rPr>
                <w:rFonts w:ascii="Arial" w:hAnsi="Arial" w:cs="Arial"/>
              </w:rPr>
              <w:t>(освіта,</w:t>
            </w:r>
            <w:r w:rsidRPr="0019790A">
              <w:rPr>
                <w:rFonts w:ascii="Arial" w:hAnsi="Arial" w:cs="Arial"/>
                <w:spacing w:val="-8"/>
              </w:rPr>
              <w:t xml:space="preserve"> </w:t>
            </w:r>
            <w:r w:rsidRPr="0019790A">
              <w:rPr>
                <w:rFonts w:ascii="Arial" w:hAnsi="Arial" w:cs="Arial"/>
              </w:rPr>
              <w:t xml:space="preserve">охорона </w:t>
            </w:r>
            <w:r w:rsidRPr="0019790A">
              <w:rPr>
                <w:rFonts w:ascii="Arial" w:hAnsi="Arial" w:cs="Arial"/>
                <w:spacing w:val="-2"/>
              </w:rPr>
              <w:t>здоров’я).</w:t>
            </w:r>
          </w:p>
          <w:p w14:paraId="6BE818C1" w14:textId="77777777" w:rsidR="000B0111" w:rsidRPr="0019790A" w:rsidRDefault="000B0111" w:rsidP="0019790A">
            <w:pPr>
              <w:pBdr>
                <w:left w:val="single" w:sz="18" w:space="4" w:color="auto"/>
              </w:pBdr>
              <w:jc w:val="both"/>
              <w:rPr>
                <w:rFonts w:cs="Arial"/>
                <w:szCs w:val="22"/>
              </w:rPr>
            </w:pPr>
            <w:r w:rsidRPr="0019790A">
              <w:rPr>
                <w:rFonts w:cs="Arial"/>
                <w:szCs w:val="22"/>
              </w:rPr>
              <w:t>В.2.2.3.</w:t>
            </w:r>
            <w:r w:rsidRPr="0019790A">
              <w:rPr>
                <w:rFonts w:cs="Arial"/>
                <w:spacing w:val="-13"/>
                <w:szCs w:val="22"/>
              </w:rPr>
              <w:t xml:space="preserve"> </w:t>
            </w:r>
            <w:r w:rsidRPr="0019790A">
              <w:rPr>
                <w:rFonts w:cs="Arial"/>
                <w:szCs w:val="22"/>
              </w:rPr>
              <w:t>Впровадження</w:t>
            </w:r>
            <w:r w:rsidRPr="0019790A">
              <w:rPr>
                <w:rFonts w:cs="Arial"/>
                <w:spacing w:val="-9"/>
                <w:szCs w:val="22"/>
              </w:rPr>
              <w:t xml:space="preserve"> </w:t>
            </w:r>
            <w:r w:rsidRPr="0019790A">
              <w:rPr>
                <w:rFonts w:cs="Arial"/>
                <w:szCs w:val="22"/>
              </w:rPr>
              <w:t>енергоефективних</w:t>
            </w:r>
            <w:r w:rsidRPr="0019790A">
              <w:rPr>
                <w:rFonts w:cs="Arial"/>
                <w:spacing w:val="-7"/>
                <w:szCs w:val="22"/>
              </w:rPr>
              <w:t xml:space="preserve"> </w:t>
            </w:r>
            <w:r w:rsidRPr="0019790A">
              <w:rPr>
                <w:rFonts w:cs="Arial"/>
                <w:szCs w:val="22"/>
              </w:rPr>
              <w:t>заходів</w:t>
            </w:r>
            <w:r w:rsidRPr="0019790A">
              <w:rPr>
                <w:rFonts w:cs="Arial"/>
                <w:spacing w:val="-11"/>
                <w:szCs w:val="22"/>
              </w:rPr>
              <w:t xml:space="preserve"> </w:t>
            </w:r>
            <w:r w:rsidRPr="0019790A">
              <w:rPr>
                <w:rFonts w:cs="Arial"/>
                <w:szCs w:val="22"/>
              </w:rPr>
              <w:t>та</w:t>
            </w:r>
            <w:r w:rsidRPr="0019790A">
              <w:rPr>
                <w:rFonts w:cs="Arial"/>
                <w:spacing w:val="-14"/>
                <w:szCs w:val="22"/>
              </w:rPr>
              <w:t xml:space="preserve"> </w:t>
            </w:r>
            <w:r w:rsidRPr="0019790A">
              <w:rPr>
                <w:rFonts w:cs="Arial"/>
                <w:szCs w:val="22"/>
              </w:rPr>
              <w:t>обладнання</w:t>
            </w:r>
            <w:r w:rsidRPr="0019790A">
              <w:rPr>
                <w:rFonts w:cs="Arial"/>
                <w:spacing w:val="-8"/>
                <w:szCs w:val="22"/>
              </w:rPr>
              <w:t xml:space="preserve"> </w:t>
            </w:r>
            <w:r w:rsidRPr="0019790A">
              <w:rPr>
                <w:rFonts w:cs="Arial"/>
                <w:szCs w:val="22"/>
              </w:rPr>
              <w:t>на об’єктах комунальної власності громади, забезпечення термомодернізації об’єктів комунальної власності.</w:t>
            </w:r>
          </w:p>
          <w:p w14:paraId="420A9987" w14:textId="77777777" w:rsidR="000B0111" w:rsidRPr="0019790A" w:rsidRDefault="000B0111" w:rsidP="0019790A">
            <w:pPr>
              <w:pBdr>
                <w:left w:val="single" w:sz="18" w:space="4" w:color="auto"/>
              </w:pBdr>
              <w:jc w:val="both"/>
              <w:rPr>
                <w:rFonts w:cs="Arial"/>
                <w:szCs w:val="22"/>
                <w:lang w:eastAsia="it-IT"/>
              </w:rPr>
            </w:pPr>
            <w:r w:rsidRPr="0019790A">
              <w:rPr>
                <w:rFonts w:cs="Arial"/>
                <w:szCs w:val="22"/>
              </w:rPr>
              <w:t>С.1.1.2. Розвиток освітньої інфраструктури територіальної громади відповідно до вимог часу.</w:t>
            </w:r>
          </w:p>
        </w:tc>
      </w:tr>
      <w:tr w:rsidR="000B0111" w:rsidRPr="0019790A" w14:paraId="669436E4" w14:textId="77777777" w:rsidTr="00787C61">
        <w:trPr>
          <w:jc w:val="right"/>
        </w:trPr>
        <w:tc>
          <w:tcPr>
            <w:tcW w:w="3425" w:type="dxa"/>
            <w:vAlign w:val="center"/>
          </w:tcPr>
          <w:p w14:paraId="3155AD16" w14:textId="77777777" w:rsidR="000B0111" w:rsidRPr="0019790A" w:rsidRDefault="000B0111" w:rsidP="0019790A">
            <w:pPr>
              <w:rPr>
                <w:rFonts w:cs="Arial"/>
                <w:b/>
                <w:bCs/>
                <w:color w:val="000000"/>
                <w:szCs w:val="22"/>
              </w:rPr>
            </w:pPr>
            <w:r w:rsidRPr="0019790A">
              <w:rPr>
                <w:rFonts w:cs="Arial"/>
                <w:b/>
                <w:bCs/>
                <w:color w:val="000000"/>
                <w:szCs w:val="22"/>
              </w:rPr>
              <w:t>Мета проєкту:</w:t>
            </w:r>
          </w:p>
        </w:tc>
        <w:tc>
          <w:tcPr>
            <w:tcW w:w="6794" w:type="dxa"/>
            <w:gridSpan w:val="5"/>
          </w:tcPr>
          <w:p w14:paraId="3EDE05E0" w14:textId="77777777" w:rsidR="000B0111" w:rsidRPr="0019790A" w:rsidRDefault="000B0111" w:rsidP="0019790A">
            <w:pPr>
              <w:jc w:val="both"/>
              <w:rPr>
                <w:rFonts w:cs="Arial"/>
                <w:szCs w:val="22"/>
                <w:lang w:eastAsia="it-IT"/>
              </w:rPr>
            </w:pPr>
            <w:r w:rsidRPr="0019790A">
              <w:rPr>
                <w:rFonts w:cs="Arial"/>
                <w:szCs w:val="22"/>
              </w:rPr>
              <w:t xml:space="preserve">Метою проєкту є </w:t>
            </w:r>
            <w:r w:rsidRPr="0019790A">
              <w:rPr>
                <w:rFonts w:eastAsia="Arial" w:cs="Arial"/>
                <w:color w:val="001D35"/>
                <w:szCs w:val="22"/>
                <w:shd w:val="clear" w:color="auto" w:fill="FFFFFF"/>
              </w:rPr>
              <w:t>підвищення енергоефективності будівлі, що включає зменшення теплових втрат, зниження витрат на опалення, створення комфортного та здорового мікроклімату для учасників освітнього процесу. Крім того, утеплення може позитивно впливати на естетичний вигляд будівлі та її довговічність.</w:t>
            </w:r>
          </w:p>
        </w:tc>
      </w:tr>
      <w:tr w:rsidR="000B0111" w:rsidRPr="0019790A" w14:paraId="71482246" w14:textId="77777777" w:rsidTr="00787C61">
        <w:trPr>
          <w:jc w:val="right"/>
        </w:trPr>
        <w:tc>
          <w:tcPr>
            <w:tcW w:w="3425" w:type="dxa"/>
            <w:vAlign w:val="center"/>
          </w:tcPr>
          <w:p w14:paraId="5F0AC4D5" w14:textId="77777777" w:rsidR="000B0111" w:rsidRPr="0019790A" w:rsidRDefault="000B0111" w:rsidP="0019790A">
            <w:pPr>
              <w:rPr>
                <w:rFonts w:cs="Arial"/>
                <w:b/>
                <w:bCs/>
                <w:color w:val="000000"/>
                <w:szCs w:val="22"/>
              </w:rPr>
            </w:pPr>
            <w:r w:rsidRPr="0019790A">
              <w:rPr>
                <w:rFonts w:cs="Arial"/>
                <w:b/>
                <w:bCs/>
                <w:color w:val="000000"/>
                <w:szCs w:val="22"/>
              </w:rPr>
              <w:t>Цілі проєкту:</w:t>
            </w:r>
          </w:p>
        </w:tc>
        <w:tc>
          <w:tcPr>
            <w:tcW w:w="6794" w:type="dxa"/>
            <w:gridSpan w:val="5"/>
          </w:tcPr>
          <w:p w14:paraId="3B2E10D2" w14:textId="77777777" w:rsidR="000B0111" w:rsidRPr="0019790A" w:rsidRDefault="000B0111" w:rsidP="0019790A">
            <w:pPr>
              <w:jc w:val="both"/>
              <w:rPr>
                <w:rFonts w:cs="Arial"/>
                <w:szCs w:val="22"/>
                <w:lang w:eastAsia="it-IT"/>
              </w:rPr>
            </w:pPr>
            <w:r w:rsidRPr="0019790A">
              <w:rPr>
                <w:rFonts w:cs="Arial"/>
                <w:szCs w:val="22"/>
              </w:rPr>
              <w:t>Реалізація проєкту сприятиме створенню комфортних умов для здійснення освітнього процесу, економії споживання енергоносіїв, дотриманню санітарного регламенту щодо забезпечення належного температурного режиму та енергозбереження</w:t>
            </w:r>
            <w:r w:rsidRPr="0019790A">
              <w:rPr>
                <w:rFonts w:cs="Arial"/>
                <w:spacing w:val="40"/>
                <w:szCs w:val="22"/>
              </w:rPr>
              <w:t xml:space="preserve"> </w:t>
            </w:r>
            <w:r w:rsidRPr="0019790A">
              <w:rPr>
                <w:rFonts w:cs="Arial"/>
                <w:szCs w:val="22"/>
              </w:rPr>
              <w:t xml:space="preserve">в закладі освіти. </w:t>
            </w:r>
          </w:p>
        </w:tc>
      </w:tr>
      <w:tr w:rsidR="000B0111" w:rsidRPr="0019790A" w14:paraId="1B0B4EBA" w14:textId="77777777" w:rsidTr="00787C61">
        <w:trPr>
          <w:jc w:val="right"/>
        </w:trPr>
        <w:tc>
          <w:tcPr>
            <w:tcW w:w="3425" w:type="dxa"/>
            <w:vAlign w:val="center"/>
          </w:tcPr>
          <w:p w14:paraId="7757DD66" w14:textId="77777777" w:rsidR="000B0111" w:rsidRPr="0019790A" w:rsidRDefault="000B0111" w:rsidP="0019790A">
            <w:pPr>
              <w:autoSpaceDE w:val="0"/>
              <w:autoSpaceDN w:val="0"/>
              <w:adjustRightInd w:val="0"/>
              <w:rPr>
                <w:rFonts w:cs="Arial"/>
                <w:b/>
                <w:color w:val="000000"/>
                <w:szCs w:val="22"/>
              </w:rPr>
            </w:pPr>
            <w:r w:rsidRPr="0019790A">
              <w:rPr>
                <w:rFonts w:cs="Arial"/>
                <w:b/>
                <w:color w:val="000000"/>
                <w:szCs w:val="22"/>
              </w:rPr>
              <w:t>Територія на яку проєкт матиме вплив:</w:t>
            </w:r>
          </w:p>
        </w:tc>
        <w:tc>
          <w:tcPr>
            <w:tcW w:w="6794" w:type="dxa"/>
            <w:gridSpan w:val="5"/>
          </w:tcPr>
          <w:p w14:paraId="00D58992" w14:textId="77777777" w:rsidR="000B0111" w:rsidRPr="0019790A" w:rsidRDefault="000B0111" w:rsidP="0019790A">
            <w:pPr>
              <w:jc w:val="both"/>
              <w:rPr>
                <w:rFonts w:cs="Arial"/>
                <w:szCs w:val="22"/>
                <w:lang w:eastAsia="it-IT"/>
              </w:rPr>
            </w:pPr>
            <w:r w:rsidRPr="0019790A">
              <w:rPr>
                <w:rFonts w:cs="Arial"/>
                <w:szCs w:val="22"/>
                <w:lang w:eastAsia="it-IT"/>
              </w:rPr>
              <w:t>Проєкт має здійснюватися на території Жмеринської міської територіальної громади.</w:t>
            </w:r>
          </w:p>
        </w:tc>
      </w:tr>
      <w:tr w:rsidR="000B0111" w:rsidRPr="0019790A" w14:paraId="59ED3A21" w14:textId="77777777" w:rsidTr="00787C61">
        <w:trPr>
          <w:jc w:val="right"/>
        </w:trPr>
        <w:tc>
          <w:tcPr>
            <w:tcW w:w="3425" w:type="dxa"/>
            <w:vAlign w:val="center"/>
          </w:tcPr>
          <w:p w14:paraId="1BD80140" w14:textId="77777777" w:rsidR="000B0111" w:rsidRPr="0019790A" w:rsidRDefault="000B0111" w:rsidP="0019790A">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4" w:type="dxa"/>
            <w:gridSpan w:val="5"/>
          </w:tcPr>
          <w:p w14:paraId="48B4C4C3" w14:textId="77777777" w:rsidR="000B0111" w:rsidRPr="0019790A" w:rsidRDefault="000B0111" w:rsidP="0019790A">
            <w:pPr>
              <w:pStyle w:val="TableParagraph"/>
              <w:jc w:val="both"/>
              <w:rPr>
                <w:rFonts w:ascii="Arial" w:hAnsi="Arial" w:cs="Arial"/>
              </w:rPr>
            </w:pPr>
            <w:r w:rsidRPr="0019790A">
              <w:rPr>
                <w:rFonts w:ascii="Arial" w:hAnsi="Arial" w:cs="Arial"/>
              </w:rPr>
              <w:t>771</w:t>
            </w:r>
            <w:r w:rsidRPr="0019790A">
              <w:rPr>
                <w:rFonts w:ascii="Arial" w:hAnsi="Arial" w:cs="Arial"/>
                <w:spacing w:val="-9"/>
              </w:rPr>
              <w:t xml:space="preserve"> </w:t>
            </w:r>
            <w:r w:rsidRPr="0019790A">
              <w:rPr>
                <w:rFonts w:ascii="Arial" w:hAnsi="Arial" w:cs="Arial"/>
              </w:rPr>
              <w:t>учнів,</w:t>
            </w:r>
            <w:r w:rsidRPr="0019790A">
              <w:rPr>
                <w:rFonts w:ascii="Arial" w:hAnsi="Arial" w:cs="Arial"/>
                <w:spacing w:val="-10"/>
              </w:rPr>
              <w:t xml:space="preserve"> </w:t>
            </w:r>
            <w:r w:rsidRPr="0019790A">
              <w:rPr>
                <w:rFonts w:ascii="Arial" w:hAnsi="Arial" w:cs="Arial"/>
              </w:rPr>
              <w:t>119</w:t>
            </w:r>
            <w:r w:rsidRPr="0019790A">
              <w:rPr>
                <w:rFonts w:ascii="Arial" w:hAnsi="Arial" w:cs="Arial"/>
                <w:spacing w:val="-9"/>
              </w:rPr>
              <w:t xml:space="preserve"> </w:t>
            </w:r>
            <w:r w:rsidRPr="0019790A">
              <w:rPr>
                <w:rFonts w:ascii="Arial" w:hAnsi="Arial" w:cs="Arial"/>
              </w:rPr>
              <w:t>працівників</w:t>
            </w:r>
            <w:r w:rsidRPr="0019790A">
              <w:rPr>
                <w:rFonts w:ascii="Arial" w:hAnsi="Arial" w:cs="Arial"/>
                <w:spacing w:val="-12"/>
              </w:rPr>
              <w:t xml:space="preserve"> </w:t>
            </w:r>
            <w:r w:rsidRPr="0019790A">
              <w:rPr>
                <w:rFonts w:ascii="Arial" w:hAnsi="Arial" w:cs="Arial"/>
              </w:rPr>
              <w:t>школи,</w:t>
            </w:r>
            <w:r w:rsidRPr="0019790A">
              <w:rPr>
                <w:rFonts w:ascii="Arial" w:hAnsi="Arial" w:cs="Arial"/>
                <w:spacing w:val="-10"/>
              </w:rPr>
              <w:t xml:space="preserve"> </w:t>
            </w:r>
            <w:r w:rsidRPr="0019790A">
              <w:rPr>
                <w:rFonts w:ascii="Arial" w:hAnsi="Arial" w:cs="Arial"/>
              </w:rPr>
              <w:t>батьки</w:t>
            </w:r>
            <w:r w:rsidRPr="0019790A">
              <w:rPr>
                <w:rFonts w:ascii="Arial" w:hAnsi="Arial" w:cs="Arial"/>
                <w:spacing w:val="-9"/>
              </w:rPr>
              <w:t xml:space="preserve"> </w:t>
            </w:r>
            <w:r w:rsidRPr="0019790A">
              <w:rPr>
                <w:rFonts w:ascii="Arial" w:hAnsi="Arial" w:cs="Arial"/>
              </w:rPr>
              <w:t>учнів</w:t>
            </w:r>
            <w:r w:rsidRPr="0019790A">
              <w:rPr>
                <w:rFonts w:ascii="Arial" w:hAnsi="Arial" w:cs="Arial"/>
                <w:spacing w:val="-12"/>
              </w:rPr>
              <w:t xml:space="preserve"> </w:t>
            </w:r>
            <w:r w:rsidRPr="0019790A">
              <w:rPr>
                <w:rFonts w:ascii="Arial" w:hAnsi="Arial" w:cs="Arial"/>
              </w:rPr>
              <w:t>(орєнтовно</w:t>
            </w:r>
            <w:r w:rsidRPr="0019790A">
              <w:rPr>
                <w:rFonts w:ascii="Arial" w:hAnsi="Arial" w:cs="Arial"/>
                <w:spacing w:val="37"/>
              </w:rPr>
              <w:t xml:space="preserve"> </w:t>
            </w:r>
            <w:r w:rsidRPr="0019790A">
              <w:rPr>
                <w:rFonts w:ascii="Arial" w:hAnsi="Arial" w:cs="Arial"/>
              </w:rPr>
              <w:t>1500</w:t>
            </w:r>
            <w:r w:rsidRPr="0019790A">
              <w:rPr>
                <w:rFonts w:ascii="Arial" w:hAnsi="Arial" w:cs="Arial"/>
                <w:spacing w:val="-9"/>
              </w:rPr>
              <w:t xml:space="preserve"> </w:t>
            </w:r>
            <w:r w:rsidRPr="0019790A">
              <w:rPr>
                <w:rFonts w:ascii="Arial" w:hAnsi="Arial" w:cs="Arial"/>
                <w:spacing w:val="-2"/>
              </w:rPr>
              <w:t>чол.)</w:t>
            </w:r>
          </w:p>
        </w:tc>
      </w:tr>
      <w:tr w:rsidR="000B0111" w:rsidRPr="0019790A" w14:paraId="223F6378" w14:textId="77777777" w:rsidTr="00787C61">
        <w:trPr>
          <w:jc w:val="right"/>
        </w:trPr>
        <w:tc>
          <w:tcPr>
            <w:tcW w:w="3425" w:type="dxa"/>
            <w:shd w:val="clear" w:color="auto" w:fill="FFFFFF"/>
            <w:vAlign w:val="center"/>
          </w:tcPr>
          <w:p w14:paraId="7CDBD881" w14:textId="77777777" w:rsidR="000B0111" w:rsidRPr="0019790A" w:rsidRDefault="000B0111" w:rsidP="0019790A">
            <w:pPr>
              <w:rPr>
                <w:rFonts w:cs="Arial"/>
                <w:b/>
                <w:bCs/>
                <w:color w:val="000000"/>
                <w:szCs w:val="22"/>
              </w:rPr>
            </w:pPr>
            <w:r w:rsidRPr="0019790A">
              <w:rPr>
                <w:rFonts w:cs="Arial"/>
                <w:b/>
                <w:bCs/>
                <w:color w:val="000000"/>
                <w:szCs w:val="22"/>
              </w:rPr>
              <w:t>Стислий опис проєкту:</w:t>
            </w:r>
          </w:p>
        </w:tc>
        <w:tc>
          <w:tcPr>
            <w:tcW w:w="6794" w:type="dxa"/>
            <w:gridSpan w:val="5"/>
          </w:tcPr>
          <w:p w14:paraId="190DC8DF" w14:textId="77777777" w:rsidR="000B0111" w:rsidRPr="0019790A" w:rsidRDefault="000B0111" w:rsidP="0019790A">
            <w:pPr>
              <w:pStyle w:val="TableParagraph"/>
              <w:ind w:right="55" w:firstLine="336"/>
              <w:jc w:val="both"/>
              <w:rPr>
                <w:rFonts w:ascii="Arial" w:eastAsia="sans-serif" w:hAnsi="Arial" w:cs="Arial"/>
              </w:rPr>
            </w:pPr>
            <w:r w:rsidRPr="0019790A">
              <w:rPr>
                <w:rFonts w:ascii="Arial" w:eastAsia="sans-serif" w:hAnsi="Arial" w:cs="Arial"/>
              </w:rPr>
              <w:t>В умовах постійного зростання цін на основні види енергоресурсів, виникла необхідність впровадження заходів енергоефективності в закладі, що фінансуються з місцевого бюджету. Енергоефективність – це не лише спосіб заощаджувати бюджетні кошти, а й спосіб покращити здоров’я учнів. В навчальному закладі здійснена заміна вікон на металопластикові (різної якості) та усіх дверей (основної групи та запасних виходів), проте, в період опалювального сезону, коли надворі була температура нижча “-10</w:t>
            </w:r>
            <w:r w:rsidRPr="0019790A">
              <w:rPr>
                <w:rFonts w:ascii="Arial" w:eastAsia="sans-serif" w:hAnsi="Arial" w:cs="Arial"/>
                <w:vertAlign w:val="superscript"/>
              </w:rPr>
              <w:t>0</w:t>
            </w:r>
            <w:r w:rsidRPr="0019790A">
              <w:rPr>
                <w:rFonts w:ascii="Arial" w:eastAsia="sans-serif" w:hAnsi="Arial" w:cs="Arial"/>
              </w:rPr>
              <w:t xml:space="preserve"> С”, в окремих приміщеннях закладу зберігалась температура повітря, нижча за допустимий санітарний рівень. Для досягнення максимального ефекту, необхідно здійснити повну санацію будівлі, оскільки неможливо забезпечити належну температуру в приміщенні через не утеплений фасад та горища, що сприяє втраті тепла. Проєктом, передбачено утеплення фасаду та горища школи, а також заміну вікон, які не відповідають потрібним нормам при утепленні фасадів. </w:t>
            </w:r>
          </w:p>
          <w:p w14:paraId="40DFDE2A" w14:textId="51D2E97F" w:rsidR="000B0111" w:rsidRPr="0019790A" w:rsidRDefault="000B0111" w:rsidP="0019790A">
            <w:pPr>
              <w:pStyle w:val="TableParagraph"/>
              <w:ind w:right="55" w:firstLine="336"/>
              <w:jc w:val="both"/>
              <w:rPr>
                <w:rFonts w:ascii="Arial" w:hAnsi="Arial" w:cs="Arial"/>
              </w:rPr>
            </w:pPr>
            <w:r w:rsidRPr="0019790A">
              <w:rPr>
                <w:rFonts w:ascii="Arial" w:eastAsia="sans-serif" w:hAnsi="Arial" w:cs="Arial"/>
              </w:rPr>
              <w:t>Реалізація проєкту сприятиме зменшенню втрат тепла та, як наслідок, видатків на опалення. Разом з ти, буде забезпечено відповідність температурного режиму в приміщенні школи згідно вимог,</w:t>
            </w:r>
            <w:r w:rsidR="0019790A">
              <w:rPr>
                <w:rFonts w:ascii="Arial" w:eastAsia="sans-serif" w:hAnsi="Arial" w:cs="Arial"/>
              </w:rPr>
              <w:t xml:space="preserve"> </w:t>
            </w:r>
            <w:r w:rsidRPr="0019790A">
              <w:rPr>
                <w:rFonts w:ascii="Arial" w:eastAsia="sans-serif" w:hAnsi="Arial" w:cs="Arial"/>
              </w:rPr>
              <w:t>визначених державними санітарними правилами й нормами.   Впровадження енергоефективних технологій дасть змогу створити комфортні умови для навчання та виховання здобувачів освіти, збереження здоров’я учасників освітнього процесу. В рамках реалізації проєкту буде здійснено наступні заходи: утеплення фасаду та горища; заміна частини вікон. Усі ці заходи в підсумку забезпечать значно кращі умови перебування дітей та умови праці всіх працівників закладу.</w:t>
            </w:r>
          </w:p>
          <w:p w14:paraId="675AD237" w14:textId="6D13DC05" w:rsidR="000B0111" w:rsidRPr="0019790A" w:rsidRDefault="000B0111" w:rsidP="0019790A">
            <w:pPr>
              <w:pStyle w:val="TableParagraph"/>
              <w:ind w:right="55" w:firstLineChars="185" w:firstLine="407"/>
              <w:jc w:val="both"/>
              <w:rPr>
                <w:rFonts w:ascii="Arial" w:hAnsi="Arial" w:cs="Arial"/>
                <w:lang w:eastAsia="it-IT"/>
              </w:rPr>
            </w:pPr>
            <w:r w:rsidRPr="0019790A">
              <w:rPr>
                <w:rFonts w:ascii="Arial" w:hAnsi="Arial" w:cs="Arial"/>
              </w:rPr>
              <w:t xml:space="preserve">Приміщення, в якому знаходиться заклад освіти, збудоване у 1976 році. Дах школи піддавався реконструкції, останній раз в 2014 році (заміна шиферного покриття на </w:t>
            </w:r>
            <w:r w:rsidR="0019790A" w:rsidRPr="0019790A">
              <w:rPr>
                <w:rFonts w:ascii="Arial" w:hAnsi="Arial" w:cs="Arial"/>
              </w:rPr>
              <w:t>металопрофілю</w:t>
            </w:r>
            <w:r w:rsidRPr="0019790A">
              <w:rPr>
                <w:rFonts w:ascii="Arial" w:hAnsi="Arial" w:cs="Arial"/>
              </w:rPr>
              <w:t xml:space="preserve">). </w:t>
            </w:r>
          </w:p>
        </w:tc>
      </w:tr>
      <w:tr w:rsidR="000B0111" w:rsidRPr="0019790A" w14:paraId="467B193D" w14:textId="77777777" w:rsidTr="00787C61">
        <w:trPr>
          <w:jc w:val="right"/>
        </w:trPr>
        <w:tc>
          <w:tcPr>
            <w:tcW w:w="3425" w:type="dxa"/>
            <w:shd w:val="clear" w:color="auto" w:fill="FFFFFF"/>
            <w:vAlign w:val="center"/>
          </w:tcPr>
          <w:p w14:paraId="74D7C41D" w14:textId="77777777" w:rsidR="000B0111" w:rsidRPr="0019790A" w:rsidRDefault="000B0111" w:rsidP="0019790A">
            <w:pPr>
              <w:rPr>
                <w:rFonts w:cs="Arial"/>
                <w:b/>
                <w:bCs/>
                <w:color w:val="000000"/>
                <w:szCs w:val="22"/>
              </w:rPr>
            </w:pPr>
            <w:r w:rsidRPr="0019790A">
              <w:rPr>
                <w:rFonts w:cs="Arial"/>
                <w:b/>
                <w:bCs/>
                <w:color w:val="000000"/>
                <w:szCs w:val="22"/>
              </w:rPr>
              <w:t>Основні заходи проєкту:</w:t>
            </w:r>
          </w:p>
        </w:tc>
        <w:tc>
          <w:tcPr>
            <w:tcW w:w="6794" w:type="dxa"/>
            <w:gridSpan w:val="5"/>
          </w:tcPr>
          <w:p w14:paraId="148B7E5B" w14:textId="44CEB06F" w:rsidR="000B0111" w:rsidRPr="0019790A" w:rsidRDefault="000B0111" w:rsidP="0019790A">
            <w:pPr>
              <w:pStyle w:val="TableParagraph"/>
              <w:jc w:val="both"/>
              <w:rPr>
                <w:rFonts w:ascii="Arial" w:hAnsi="Arial" w:cs="Arial"/>
                <w:lang w:eastAsia="it-IT"/>
              </w:rPr>
            </w:pPr>
            <w:r w:rsidRPr="0019790A">
              <w:rPr>
                <w:rFonts w:ascii="Arial" w:hAnsi="Arial" w:cs="Arial"/>
              </w:rPr>
              <w:t>В</w:t>
            </w:r>
            <w:r w:rsidRPr="0019790A">
              <w:rPr>
                <w:rFonts w:ascii="Arial" w:hAnsi="Arial" w:cs="Arial"/>
                <w:spacing w:val="-13"/>
              </w:rPr>
              <w:t xml:space="preserve"> </w:t>
            </w:r>
            <w:r w:rsidRPr="0019790A">
              <w:rPr>
                <w:rFonts w:ascii="Arial" w:hAnsi="Arial" w:cs="Arial"/>
              </w:rPr>
              <w:t>рамках</w:t>
            </w:r>
            <w:r w:rsidRPr="0019790A">
              <w:rPr>
                <w:rFonts w:ascii="Arial" w:hAnsi="Arial" w:cs="Arial"/>
                <w:spacing w:val="-12"/>
              </w:rPr>
              <w:t xml:space="preserve"> </w:t>
            </w:r>
            <w:r w:rsidRPr="0019790A">
              <w:rPr>
                <w:rFonts w:ascii="Arial" w:hAnsi="Arial" w:cs="Arial"/>
              </w:rPr>
              <w:t>реалізації</w:t>
            </w:r>
            <w:r w:rsidRPr="0019790A">
              <w:rPr>
                <w:rFonts w:ascii="Arial" w:hAnsi="Arial" w:cs="Arial"/>
                <w:spacing w:val="-14"/>
              </w:rPr>
              <w:t xml:space="preserve"> </w:t>
            </w:r>
            <w:r w:rsidR="00314B9D">
              <w:rPr>
                <w:rFonts w:ascii="Arial" w:hAnsi="Arial" w:cs="Arial"/>
              </w:rPr>
              <w:t>проєкту</w:t>
            </w:r>
            <w:r w:rsidRPr="0019790A">
              <w:rPr>
                <w:rFonts w:ascii="Arial" w:hAnsi="Arial" w:cs="Arial"/>
                <w:spacing w:val="-12"/>
              </w:rPr>
              <w:t xml:space="preserve"> </w:t>
            </w:r>
            <w:r w:rsidRPr="0019790A">
              <w:rPr>
                <w:rFonts w:ascii="Arial" w:hAnsi="Arial" w:cs="Arial"/>
              </w:rPr>
              <w:t>будуть</w:t>
            </w:r>
            <w:r w:rsidRPr="0019790A">
              <w:rPr>
                <w:rFonts w:ascii="Arial" w:hAnsi="Arial" w:cs="Arial"/>
                <w:spacing w:val="-12"/>
              </w:rPr>
              <w:t xml:space="preserve"> </w:t>
            </w:r>
            <w:r w:rsidRPr="0019790A">
              <w:rPr>
                <w:rFonts w:ascii="Arial" w:hAnsi="Arial" w:cs="Arial"/>
              </w:rPr>
              <w:t>виконуватись</w:t>
            </w:r>
            <w:r w:rsidRPr="0019790A">
              <w:rPr>
                <w:rFonts w:ascii="Arial" w:hAnsi="Arial" w:cs="Arial"/>
                <w:spacing w:val="-12"/>
              </w:rPr>
              <w:t xml:space="preserve"> </w:t>
            </w:r>
            <w:r w:rsidRPr="0019790A">
              <w:rPr>
                <w:rFonts w:ascii="Arial" w:hAnsi="Arial" w:cs="Arial"/>
              </w:rPr>
              <w:t>наступні</w:t>
            </w:r>
            <w:r w:rsidRPr="0019790A">
              <w:rPr>
                <w:rFonts w:ascii="Arial" w:hAnsi="Arial" w:cs="Arial"/>
                <w:spacing w:val="-13"/>
              </w:rPr>
              <w:t xml:space="preserve"> </w:t>
            </w:r>
            <w:r w:rsidRPr="0019790A">
              <w:rPr>
                <w:rFonts w:ascii="Arial" w:hAnsi="Arial" w:cs="Arial"/>
                <w:spacing w:val="-2"/>
              </w:rPr>
              <w:t xml:space="preserve">роботи: </w:t>
            </w:r>
            <w:r w:rsidRPr="0019790A">
              <w:rPr>
                <w:rFonts w:ascii="Arial" w:hAnsi="Arial" w:cs="Arial"/>
              </w:rPr>
              <w:t xml:space="preserve">Розробка </w:t>
            </w:r>
            <w:r w:rsidR="00314B9D">
              <w:rPr>
                <w:rFonts w:ascii="Arial" w:hAnsi="Arial" w:cs="Arial"/>
              </w:rPr>
              <w:t>проєкт</w:t>
            </w:r>
            <w:r w:rsidRPr="0019790A">
              <w:rPr>
                <w:rFonts w:ascii="Arial" w:hAnsi="Arial" w:cs="Arial"/>
              </w:rPr>
              <w:t>но-кошторисної документації, що містить перелік заходів,</w:t>
            </w:r>
            <w:r w:rsidRPr="0019790A">
              <w:rPr>
                <w:rFonts w:ascii="Arial" w:hAnsi="Arial" w:cs="Arial"/>
                <w:spacing w:val="-10"/>
              </w:rPr>
              <w:t xml:space="preserve"> </w:t>
            </w:r>
            <w:r w:rsidRPr="0019790A">
              <w:rPr>
                <w:rFonts w:ascii="Arial" w:hAnsi="Arial" w:cs="Arial"/>
              </w:rPr>
              <w:t>спрямованих</w:t>
            </w:r>
            <w:r w:rsidRPr="0019790A">
              <w:rPr>
                <w:rFonts w:ascii="Arial" w:hAnsi="Arial" w:cs="Arial"/>
                <w:spacing w:val="-5"/>
              </w:rPr>
              <w:t xml:space="preserve"> </w:t>
            </w:r>
            <w:r w:rsidRPr="0019790A">
              <w:rPr>
                <w:rFonts w:ascii="Arial" w:hAnsi="Arial" w:cs="Arial"/>
              </w:rPr>
              <w:t>на</w:t>
            </w:r>
            <w:r w:rsidRPr="0019790A">
              <w:rPr>
                <w:rFonts w:ascii="Arial" w:hAnsi="Arial" w:cs="Arial"/>
                <w:spacing w:val="-14"/>
              </w:rPr>
              <w:t xml:space="preserve"> </w:t>
            </w:r>
            <w:r w:rsidRPr="0019790A">
              <w:rPr>
                <w:rFonts w:ascii="Arial" w:hAnsi="Arial" w:cs="Arial"/>
              </w:rPr>
              <w:t>заміну частини</w:t>
            </w:r>
            <w:r w:rsidRPr="0019790A">
              <w:rPr>
                <w:rFonts w:ascii="Arial" w:hAnsi="Arial" w:cs="Arial"/>
                <w:spacing w:val="-11"/>
              </w:rPr>
              <w:t xml:space="preserve"> </w:t>
            </w:r>
            <w:r w:rsidRPr="0019790A">
              <w:rPr>
                <w:rFonts w:ascii="Arial" w:hAnsi="Arial" w:cs="Arial"/>
              </w:rPr>
              <w:t>вікон,</w:t>
            </w:r>
            <w:r w:rsidRPr="0019790A">
              <w:rPr>
                <w:rFonts w:ascii="Arial" w:hAnsi="Arial" w:cs="Arial"/>
                <w:spacing w:val="-10"/>
              </w:rPr>
              <w:t xml:space="preserve"> </w:t>
            </w:r>
            <w:r w:rsidRPr="0019790A">
              <w:rPr>
                <w:rFonts w:ascii="Arial" w:hAnsi="Arial" w:cs="Arial"/>
              </w:rPr>
              <w:t>утеплення</w:t>
            </w:r>
            <w:r w:rsidRPr="0019790A">
              <w:rPr>
                <w:rFonts w:ascii="Arial" w:hAnsi="Arial" w:cs="Arial"/>
                <w:spacing w:val="-11"/>
              </w:rPr>
              <w:t xml:space="preserve"> </w:t>
            </w:r>
            <w:r w:rsidRPr="0019790A">
              <w:rPr>
                <w:rFonts w:ascii="Arial" w:hAnsi="Arial" w:cs="Arial"/>
              </w:rPr>
              <w:t xml:space="preserve">та дизайн фасаду будівлі, утеплення горища, заміна системи опалення. </w:t>
            </w:r>
            <w:r w:rsidRPr="0019790A">
              <w:rPr>
                <w:rFonts w:ascii="Arial" w:hAnsi="Arial" w:cs="Arial"/>
                <w:spacing w:val="-2"/>
              </w:rPr>
              <w:t>Виконання</w:t>
            </w:r>
            <w:r w:rsidRPr="0019790A">
              <w:rPr>
                <w:rFonts w:ascii="Arial" w:hAnsi="Arial" w:cs="Arial"/>
                <w:spacing w:val="1"/>
              </w:rPr>
              <w:t xml:space="preserve"> </w:t>
            </w:r>
            <w:r w:rsidRPr="0019790A">
              <w:rPr>
                <w:rFonts w:ascii="Arial" w:hAnsi="Arial" w:cs="Arial"/>
                <w:spacing w:val="-2"/>
              </w:rPr>
              <w:t>ремонтних</w:t>
            </w:r>
            <w:r w:rsidRPr="0019790A">
              <w:rPr>
                <w:rFonts w:ascii="Arial" w:hAnsi="Arial" w:cs="Arial"/>
                <w:spacing w:val="4"/>
              </w:rPr>
              <w:t xml:space="preserve"> </w:t>
            </w:r>
            <w:r w:rsidRPr="0019790A">
              <w:rPr>
                <w:rFonts w:ascii="Arial" w:hAnsi="Arial" w:cs="Arial"/>
                <w:spacing w:val="-2"/>
              </w:rPr>
              <w:t>робіт.</w:t>
            </w:r>
          </w:p>
        </w:tc>
      </w:tr>
      <w:tr w:rsidR="000B0111" w:rsidRPr="0019790A" w14:paraId="151AB544" w14:textId="77777777" w:rsidTr="00787C61">
        <w:trPr>
          <w:jc w:val="right"/>
        </w:trPr>
        <w:tc>
          <w:tcPr>
            <w:tcW w:w="3425" w:type="dxa"/>
            <w:shd w:val="clear" w:color="auto" w:fill="FFFFFF"/>
            <w:vAlign w:val="center"/>
          </w:tcPr>
          <w:p w14:paraId="7B840B21" w14:textId="77777777" w:rsidR="000B0111" w:rsidRPr="0019790A" w:rsidRDefault="000B0111"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794" w:type="dxa"/>
            <w:gridSpan w:val="5"/>
          </w:tcPr>
          <w:p w14:paraId="13ABE641" w14:textId="77777777" w:rsidR="000B0111" w:rsidRPr="0019790A" w:rsidRDefault="000B0111" w:rsidP="0019790A">
            <w:pPr>
              <w:numPr>
                <w:ilvl w:val="0"/>
                <w:numId w:val="15"/>
              </w:numPr>
              <w:ind w:left="45"/>
              <w:jc w:val="both"/>
              <w:rPr>
                <w:rFonts w:cs="Arial"/>
                <w:szCs w:val="22"/>
              </w:rPr>
            </w:pPr>
            <w:r w:rsidRPr="0019790A">
              <w:rPr>
                <w:rFonts w:cs="Arial"/>
                <w:szCs w:val="22"/>
              </w:rPr>
              <w:t>Покращення умов перебування учнів і персоналу:</w:t>
            </w:r>
          </w:p>
          <w:p w14:paraId="44AD096E" w14:textId="77777777" w:rsidR="000B0111" w:rsidRPr="0019790A" w:rsidRDefault="000B0111" w:rsidP="0019790A">
            <w:pPr>
              <w:jc w:val="both"/>
              <w:rPr>
                <w:rFonts w:cs="Arial"/>
                <w:szCs w:val="22"/>
              </w:rPr>
            </w:pPr>
            <w:r w:rsidRPr="0019790A">
              <w:rPr>
                <w:rFonts w:cs="Arial"/>
                <w:szCs w:val="22"/>
              </w:rPr>
              <w:t>- стала температура в приміщеннях в опалювальний період.</w:t>
            </w:r>
          </w:p>
          <w:p w14:paraId="3D4F952E" w14:textId="77777777" w:rsidR="000B0111" w:rsidRPr="0019790A" w:rsidRDefault="000B0111" w:rsidP="0019790A">
            <w:pPr>
              <w:jc w:val="both"/>
              <w:rPr>
                <w:rFonts w:cs="Arial"/>
                <w:szCs w:val="22"/>
              </w:rPr>
            </w:pPr>
            <w:r w:rsidRPr="0019790A">
              <w:rPr>
                <w:rFonts w:cs="Arial"/>
                <w:szCs w:val="22"/>
              </w:rPr>
              <w:t>- зменшення рівня вологості, протягів, появи плісняви.</w:t>
            </w:r>
          </w:p>
          <w:p w14:paraId="59D4C60E" w14:textId="77777777" w:rsidR="0019790A" w:rsidRDefault="000B0111" w:rsidP="0019790A">
            <w:pPr>
              <w:jc w:val="both"/>
              <w:rPr>
                <w:rFonts w:cs="Arial"/>
                <w:szCs w:val="22"/>
              </w:rPr>
            </w:pPr>
            <w:r w:rsidRPr="0019790A">
              <w:rPr>
                <w:rFonts w:cs="Arial"/>
                <w:szCs w:val="22"/>
              </w:rPr>
              <w:t>- позитивні відгуки учнів, батьків та працівників.</w:t>
            </w:r>
          </w:p>
          <w:p w14:paraId="311AE5D8" w14:textId="396E5C39" w:rsidR="000B0111" w:rsidRPr="0019790A" w:rsidRDefault="000B0111" w:rsidP="0019790A">
            <w:pPr>
              <w:jc w:val="both"/>
              <w:rPr>
                <w:rFonts w:cs="Arial"/>
                <w:szCs w:val="22"/>
              </w:rPr>
            </w:pPr>
            <w:r w:rsidRPr="0019790A">
              <w:rPr>
                <w:rFonts w:cs="Arial"/>
                <w:szCs w:val="22"/>
              </w:rPr>
              <w:t>2. Зменшення споживання енергоресурсів:</w:t>
            </w:r>
          </w:p>
          <w:p w14:paraId="6FF06B07" w14:textId="3D479C85" w:rsidR="000B0111" w:rsidRPr="0019790A" w:rsidRDefault="000B0111" w:rsidP="0019790A">
            <w:pPr>
              <w:jc w:val="both"/>
              <w:rPr>
                <w:rFonts w:cs="Arial"/>
                <w:szCs w:val="22"/>
              </w:rPr>
            </w:pPr>
            <w:r w:rsidRPr="0019790A">
              <w:rPr>
                <w:rFonts w:cs="Arial"/>
                <w:szCs w:val="22"/>
              </w:rPr>
              <w:t xml:space="preserve">- </w:t>
            </w:r>
            <w:r w:rsidR="0019790A" w:rsidRPr="0019790A">
              <w:rPr>
                <w:rFonts w:cs="Arial"/>
                <w:szCs w:val="22"/>
              </w:rPr>
              <w:t>зменшення</w:t>
            </w:r>
            <w:r w:rsidRPr="0019790A">
              <w:rPr>
                <w:rFonts w:cs="Arial"/>
                <w:szCs w:val="22"/>
              </w:rPr>
              <w:t xml:space="preserve"> споживання теплової енергії.</w:t>
            </w:r>
          </w:p>
          <w:p w14:paraId="56024E9D" w14:textId="77777777" w:rsidR="0019790A" w:rsidRDefault="000B0111" w:rsidP="0019790A">
            <w:pPr>
              <w:jc w:val="both"/>
              <w:rPr>
                <w:rFonts w:cs="Arial"/>
                <w:szCs w:val="22"/>
              </w:rPr>
            </w:pPr>
            <w:r w:rsidRPr="0019790A">
              <w:rPr>
                <w:rFonts w:cs="Arial"/>
                <w:szCs w:val="22"/>
              </w:rPr>
              <w:t>- змен</w:t>
            </w:r>
            <w:r w:rsidR="0019790A">
              <w:rPr>
                <w:rFonts w:cs="Arial"/>
                <w:szCs w:val="22"/>
              </w:rPr>
              <w:t>шення споживання електроенергії.</w:t>
            </w:r>
          </w:p>
          <w:p w14:paraId="7546EA65" w14:textId="61AD722F" w:rsidR="000B0111" w:rsidRPr="0019790A" w:rsidRDefault="000B0111" w:rsidP="0019790A">
            <w:pPr>
              <w:jc w:val="both"/>
              <w:rPr>
                <w:rFonts w:cs="Arial"/>
                <w:szCs w:val="22"/>
              </w:rPr>
            </w:pPr>
            <w:r w:rsidRPr="0019790A">
              <w:rPr>
                <w:rFonts w:cs="Arial"/>
                <w:szCs w:val="22"/>
              </w:rPr>
              <w:t>3. Показники економії коштів:</w:t>
            </w:r>
          </w:p>
          <w:p w14:paraId="3C9B1276" w14:textId="77777777" w:rsidR="000B0111" w:rsidRPr="0019790A" w:rsidRDefault="000B0111" w:rsidP="0019790A">
            <w:pPr>
              <w:rPr>
                <w:rFonts w:cs="Arial"/>
                <w:szCs w:val="22"/>
              </w:rPr>
            </w:pPr>
            <w:r w:rsidRPr="0019790A">
              <w:rPr>
                <w:rFonts w:cs="Arial"/>
                <w:szCs w:val="22"/>
              </w:rPr>
              <w:t xml:space="preserve">- річна економія на оплаті комунальних послуг </w:t>
            </w:r>
          </w:p>
          <w:p w14:paraId="242016C1" w14:textId="77777777" w:rsidR="000B0111" w:rsidRPr="0019790A" w:rsidRDefault="000B0111" w:rsidP="0019790A">
            <w:pPr>
              <w:rPr>
                <w:rFonts w:cs="Arial"/>
                <w:szCs w:val="22"/>
              </w:rPr>
            </w:pPr>
            <w:r w:rsidRPr="0019790A">
              <w:rPr>
                <w:rFonts w:cs="Arial"/>
                <w:szCs w:val="22"/>
              </w:rPr>
              <w:t xml:space="preserve">- термін окупності інвестицій </w:t>
            </w:r>
            <w:r w:rsidRPr="0019790A">
              <w:rPr>
                <w:rFonts w:cs="Arial"/>
                <w:szCs w:val="22"/>
              </w:rPr>
              <w:br/>
              <w:t>4. Поліпшення технічного стану будівлі:</w:t>
            </w:r>
          </w:p>
          <w:p w14:paraId="7E15B470" w14:textId="77777777" w:rsidR="000B0111" w:rsidRPr="0019790A" w:rsidRDefault="000B0111" w:rsidP="0019790A">
            <w:pPr>
              <w:rPr>
                <w:rFonts w:cs="Arial"/>
                <w:szCs w:val="22"/>
              </w:rPr>
            </w:pPr>
            <w:r w:rsidRPr="0019790A">
              <w:rPr>
                <w:rFonts w:cs="Arial"/>
                <w:szCs w:val="22"/>
              </w:rPr>
              <w:t xml:space="preserve">- кількість утеплених квадратних метрів </w:t>
            </w:r>
          </w:p>
          <w:p w14:paraId="21B83416" w14:textId="77777777" w:rsidR="000B0111" w:rsidRPr="0019790A" w:rsidRDefault="000B0111" w:rsidP="0019790A">
            <w:pPr>
              <w:rPr>
                <w:rFonts w:cs="Arial"/>
                <w:szCs w:val="22"/>
              </w:rPr>
            </w:pPr>
            <w:r w:rsidRPr="0019790A">
              <w:rPr>
                <w:rFonts w:cs="Arial"/>
                <w:szCs w:val="22"/>
              </w:rPr>
              <w:t xml:space="preserve">- частка замінених вікон на енергоефективні </w:t>
            </w:r>
          </w:p>
          <w:p w14:paraId="32B2EC29" w14:textId="1C8A6B53" w:rsidR="000B0111" w:rsidRPr="0019790A" w:rsidRDefault="000B0111" w:rsidP="0019790A">
            <w:pPr>
              <w:rPr>
                <w:rFonts w:cs="Arial"/>
                <w:szCs w:val="22"/>
              </w:rPr>
            </w:pPr>
            <w:r w:rsidRPr="0019790A">
              <w:rPr>
                <w:rFonts w:cs="Arial"/>
                <w:szCs w:val="22"/>
              </w:rPr>
              <w:t xml:space="preserve">- </w:t>
            </w:r>
            <w:r w:rsidR="0019790A" w:rsidRPr="0019790A">
              <w:rPr>
                <w:rFonts w:cs="Arial"/>
                <w:szCs w:val="22"/>
              </w:rPr>
              <w:t>кількість</w:t>
            </w:r>
            <w:r w:rsidRPr="0019790A">
              <w:rPr>
                <w:rFonts w:cs="Arial"/>
                <w:szCs w:val="22"/>
              </w:rPr>
              <w:t xml:space="preserve"> модернізованих систем (опалення, вентиляції, освітлення).</w:t>
            </w:r>
          </w:p>
        </w:tc>
      </w:tr>
      <w:tr w:rsidR="000B0111" w:rsidRPr="0019790A" w14:paraId="69C6E278" w14:textId="77777777" w:rsidTr="00787C61">
        <w:trPr>
          <w:jc w:val="right"/>
        </w:trPr>
        <w:tc>
          <w:tcPr>
            <w:tcW w:w="3425" w:type="dxa"/>
            <w:shd w:val="clear" w:color="auto" w:fill="FFFFFF"/>
            <w:vAlign w:val="center"/>
          </w:tcPr>
          <w:p w14:paraId="3CA8B969" w14:textId="77777777" w:rsidR="000B0111" w:rsidRPr="0019790A" w:rsidRDefault="000B0111" w:rsidP="0019790A">
            <w:pPr>
              <w:rPr>
                <w:rFonts w:cs="Arial"/>
                <w:b/>
                <w:color w:val="000000"/>
                <w:szCs w:val="22"/>
              </w:rPr>
            </w:pPr>
            <w:r w:rsidRPr="0019790A">
              <w:rPr>
                <w:rFonts w:cs="Arial"/>
                <w:b/>
                <w:color w:val="000000"/>
                <w:szCs w:val="22"/>
              </w:rPr>
              <w:t xml:space="preserve">Період здійснення: </w:t>
            </w:r>
          </w:p>
        </w:tc>
        <w:tc>
          <w:tcPr>
            <w:tcW w:w="6794" w:type="dxa"/>
            <w:gridSpan w:val="5"/>
            <w:vAlign w:val="center"/>
          </w:tcPr>
          <w:p w14:paraId="2FDDC477" w14:textId="77777777" w:rsidR="000B0111" w:rsidRPr="0019790A" w:rsidRDefault="000B0111" w:rsidP="0019790A">
            <w:pPr>
              <w:rPr>
                <w:rFonts w:cs="Arial"/>
                <w:color w:val="000000"/>
                <w:szCs w:val="22"/>
                <w:lang w:eastAsia="it-IT"/>
              </w:rPr>
            </w:pPr>
            <w:r w:rsidRPr="0019790A">
              <w:rPr>
                <w:rFonts w:cs="Arial"/>
                <w:b/>
                <w:color w:val="000000"/>
                <w:szCs w:val="22"/>
              </w:rPr>
              <w:t>2025 – 2028 роки:</w:t>
            </w:r>
          </w:p>
        </w:tc>
      </w:tr>
      <w:tr w:rsidR="000B0111" w:rsidRPr="0019790A" w14:paraId="79D5F492" w14:textId="77777777" w:rsidTr="00787C61">
        <w:trPr>
          <w:jc w:val="right"/>
        </w:trPr>
        <w:tc>
          <w:tcPr>
            <w:tcW w:w="3425" w:type="dxa"/>
            <w:vMerge w:val="restart"/>
            <w:shd w:val="clear" w:color="auto" w:fill="FFFFFF"/>
            <w:vAlign w:val="center"/>
          </w:tcPr>
          <w:p w14:paraId="0DEAFC40" w14:textId="77777777" w:rsidR="000B0111" w:rsidRPr="0019790A" w:rsidRDefault="000B0111" w:rsidP="0019790A">
            <w:pPr>
              <w:rPr>
                <w:rFonts w:cs="Arial"/>
                <w:b/>
                <w:bCs/>
                <w:color w:val="000000"/>
                <w:szCs w:val="22"/>
              </w:rPr>
            </w:pPr>
            <w:r w:rsidRPr="0019790A">
              <w:rPr>
                <w:rFonts w:cs="Arial"/>
                <w:b/>
                <w:bCs/>
                <w:color w:val="000000"/>
                <w:szCs w:val="22"/>
              </w:rPr>
              <w:t>Орієнтовна вартість проєкту, тис. грн., в тому числі:</w:t>
            </w:r>
          </w:p>
        </w:tc>
        <w:tc>
          <w:tcPr>
            <w:tcW w:w="1254" w:type="dxa"/>
            <w:shd w:val="clear" w:color="auto" w:fill="E6E6E6"/>
            <w:vAlign w:val="center"/>
          </w:tcPr>
          <w:p w14:paraId="0ADBD0E3" w14:textId="77777777" w:rsidR="000B0111" w:rsidRPr="0019790A" w:rsidRDefault="000B0111" w:rsidP="0019790A">
            <w:pPr>
              <w:jc w:val="center"/>
              <w:rPr>
                <w:rFonts w:cs="Arial"/>
                <w:b/>
                <w:color w:val="000000"/>
                <w:szCs w:val="22"/>
                <w:lang w:eastAsia="it-IT"/>
              </w:rPr>
            </w:pPr>
            <w:r w:rsidRPr="0019790A">
              <w:rPr>
                <w:rFonts w:cs="Arial"/>
                <w:b/>
                <w:color w:val="000000"/>
                <w:szCs w:val="22"/>
                <w:lang w:eastAsia="it-IT"/>
              </w:rPr>
              <w:t>2025</w:t>
            </w:r>
          </w:p>
        </w:tc>
        <w:tc>
          <w:tcPr>
            <w:tcW w:w="1275" w:type="dxa"/>
            <w:shd w:val="clear" w:color="auto" w:fill="E6E6E6"/>
            <w:vAlign w:val="center"/>
          </w:tcPr>
          <w:p w14:paraId="2DE93955" w14:textId="77777777" w:rsidR="000B0111" w:rsidRPr="0019790A" w:rsidRDefault="000B0111" w:rsidP="0019790A">
            <w:pPr>
              <w:jc w:val="center"/>
              <w:rPr>
                <w:rFonts w:cs="Arial"/>
                <w:b/>
                <w:color w:val="000000"/>
                <w:szCs w:val="22"/>
                <w:lang w:eastAsia="it-IT"/>
              </w:rPr>
            </w:pPr>
            <w:r w:rsidRPr="0019790A">
              <w:rPr>
                <w:rFonts w:cs="Arial"/>
                <w:b/>
                <w:color w:val="000000"/>
                <w:szCs w:val="22"/>
                <w:lang w:eastAsia="it-IT"/>
              </w:rPr>
              <w:t>2026</w:t>
            </w:r>
          </w:p>
        </w:tc>
        <w:tc>
          <w:tcPr>
            <w:tcW w:w="1418" w:type="dxa"/>
            <w:tcBorders>
              <w:bottom w:val="single" w:sz="4" w:space="0" w:color="auto"/>
            </w:tcBorders>
            <w:shd w:val="clear" w:color="auto" w:fill="E6E6E6"/>
            <w:vAlign w:val="center"/>
          </w:tcPr>
          <w:p w14:paraId="67493370" w14:textId="77777777" w:rsidR="000B0111" w:rsidRPr="0019790A" w:rsidRDefault="000B0111" w:rsidP="0019790A">
            <w:pPr>
              <w:jc w:val="center"/>
              <w:rPr>
                <w:rFonts w:cs="Arial"/>
                <w:b/>
                <w:color w:val="000000"/>
                <w:szCs w:val="22"/>
                <w:lang w:eastAsia="it-IT"/>
              </w:rPr>
            </w:pPr>
            <w:r w:rsidRPr="0019790A">
              <w:rPr>
                <w:rFonts w:cs="Arial"/>
                <w:b/>
                <w:color w:val="000000"/>
                <w:szCs w:val="22"/>
                <w:lang w:eastAsia="it-IT"/>
              </w:rPr>
              <w:t>2027</w:t>
            </w:r>
          </w:p>
        </w:tc>
        <w:tc>
          <w:tcPr>
            <w:tcW w:w="1276" w:type="dxa"/>
            <w:shd w:val="clear" w:color="auto" w:fill="E6E6E6"/>
            <w:vAlign w:val="center"/>
          </w:tcPr>
          <w:p w14:paraId="7E474D6A" w14:textId="77777777" w:rsidR="000B0111" w:rsidRPr="0019790A" w:rsidRDefault="000B0111" w:rsidP="0019790A">
            <w:pPr>
              <w:jc w:val="center"/>
              <w:rPr>
                <w:rFonts w:cs="Arial"/>
                <w:b/>
                <w:color w:val="000000"/>
                <w:szCs w:val="22"/>
                <w:lang w:eastAsia="it-IT"/>
              </w:rPr>
            </w:pPr>
            <w:r w:rsidRPr="0019790A">
              <w:rPr>
                <w:rFonts w:cs="Arial"/>
                <w:b/>
                <w:color w:val="000000"/>
                <w:szCs w:val="22"/>
                <w:lang w:eastAsia="it-IT"/>
              </w:rPr>
              <w:t>2028</w:t>
            </w:r>
          </w:p>
        </w:tc>
        <w:tc>
          <w:tcPr>
            <w:tcW w:w="1571" w:type="dxa"/>
            <w:shd w:val="clear" w:color="auto" w:fill="E6E6E6"/>
            <w:vAlign w:val="center"/>
          </w:tcPr>
          <w:p w14:paraId="1071D3C5" w14:textId="77777777" w:rsidR="000B0111" w:rsidRPr="0019790A" w:rsidRDefault="000B0111" w:rsidP="0019790A">
            <w:pPr>
              <w:jc w:val="center"/>
              <w:rPr>
                <w:rFonts w:cs="Arial"/>
                <w:b/>
                <w:color w:val="000000"/>
                <w:szCs w:val="22"/>
                <w:lang w:eastAsia="it-IT"/>
              </w:rPr>
            </w:pPr>
            <w:r w:rsidRPr="0019790A">
              <w:rPr>
                <w:rFonts w:cs="Arial"/>
                <w:b/>
                <w:color w:val="000000"/>
                <w:szCs w:val="22"/>
                <w:lang w:eastAsia="it-IT"/>
              </w:rPr>
              <w:t>РАЗОМ</w:t>
            </w:r>
          </w:p>
        </w:tc>
      </w:tr>
      <w:tr w:rsidR="000B0111" w:rsidRPr="0019790A" w14:paraId="7B588088" w14:textId="77777777" w:rsidTr="00787C61">
        <w:trPr>
          <w:jc w:val="right"/>
        </w:trPr>
        <w:tc>
          <w:tcPr>
            <w:tcW w:w="3425" w:type="dxa"/>
            <w:vMerge/>
            <w:shd w:val="clear" w:color="auto" w:fill="FFFFFF"/>
            <w:vAlign w:val="center"/>
          </w:tcPr>
          <w:p w14:paraId="2014743C" w14:textId="77777777" w:rsidR="000B0111" w:rsidRPr="0019790A" w:rsidRDefault="000B0111" w:rsidP="0019790A">
            <w:pPr>
              <w:rPr>
                <w:rFonts w:cs="Arial"/>
                <w:b/>
                <w:bCs/>
                <w:color w:val="000000"/>
                <w:szCs w:val="22"/>
              </w:rPr>
            </w:pPr>
          </w:p>
        </w:tc>
        <w:tc>
          <w:tcPr>
            <w:tcW w:w="1254" w:type="dxa"/>
            <w:shd w:val="clear" w:color="auto" w:fill="auto"/>
            <w:vAlign w:val="center"/>
          </w:tcPr>
          <w:p w14:paraId="4BBBEA8D" w14:textId="77777777" w:rsidR="000B0111" w:rsidRPr="0019790A" w:rsidRDefault="000B0111" w:rsidP="0019790A">
            <w:pPr>
              <w:jc w:val="center"/>
              <w:rPr>
                <w:rFonts w:cs="Arial"/>
                <w:b/>
                <w:color w:val="000000"/>
                <w:szCs w:val="22"/>
                <w:lang w:eastAsia="it-IT"/>
              </w:rPr>
            </w:pPr>
          </w:p>
        </w:tc>
        <w:tc>
          <w:tcPr>
            <w:tcW w:w="1275" w:type="dxa"/>
            <w:shd w:val="clear" w:color="auto" w:fill="FFFFFF"/>
            <w:vAlign w:val="center"/>
          </w:tcPr>
          <w:p w14:paraId="03220B61" w14:textId="77777777" w:rsidR="000B0111" w:rsidRPr="0019790A" w:rsidRDefault="000B0111" w:rsidP="0019790A">
            <w:pPr>
              <w:jc w:val="center"/>
              <w:rPr>
                <w:rFonts w:cs="Arial"/>
                <w:b/>
                <w:color w:val="000000"/>
                <w:szCs w:val="22"/>
                <w:lang w:eastAsia="it-IT"/>
              </w:rPr>
            </w:pPr>
          </w:p>
        </w:tc>
        <w:tc>
          <w:tcPr>
            <w:tcW w:w="1418" w:type="dxa"/>
            <w:shd w:val="clear" w:color="auto" w:fill="auto"/>
            <w:vAlign w:val="center"/>
          </w:tcPr>
          <w:p w14:paraId="4C1B27C8" w14:textId="77777777" w:rsidR="000B0111" w:rsidRPr="0019790A" w:rsidRDefault="000B0111" w:rsidP="0019790A">
            <w:pPr>
              <w:jc w:val="center"/>
              <w:rPr>
                <w:rFonts w:cs="Arial"/>
                <w:b/>
                <w:color w:val="000000"/>
                <w:szCs w:val="22"/>
                <w:lang w:eastAsia="it-IT"/>
              </w:rPr>
            </w:pPr>
            <w:r w:rsidRPr="0019790A">
              <w:rPr>
                <w:rFonts w:cs="Arial"/>
                <w:b/>
                <w:color w:val="000000"/>
                <w:szCs w:val="22"/>
                <w:lang w:eastAsia="it-IT"/>
              </w:rPr>
              <w:t>30000,00</w:t>
            </w:r>
          </w:p>
        </w:tc>
        <w:tc>
          <w:tcPr>
            <w:tcW w:w="1276" w:type="dxa"/>
            <w:shd w:val="clear" w:color="auto" w:fill="FFFFFF"/>
            <w:vAlign w:val="center"/>
          </w:tcPr>
          <w:p w14:paraId="48D20F8E" w14:textId="77777777" w:rsidR="000B0111" w:rsidRPr="0019790A" w:rsidRDefault="000B0111" w:rsidP="0019790A">
            <w:pPr>
              <w:jc w:val="center"/>
              <w:rPr>
                <w:rFonts w:cs="Arial"/>
                <w:b/>
                <w:color w:val="000000"/>
                <w:szCs w:val="22"/>
                <w:lang w:eastAsia="it-IT"/>
              </w:rPr>
            </w:pPr>
            <w:r w:rsidRPr="0019790A">
              <w:rPr>
                <w:rFonts w:cs="Arial"/>
                <w:b/>
                <w:color w:val="000000"/>
                <w:szCs w:val="22"/>
                <w:lang w:eastAsia="it-IT"/>
              </w:rPr>
              <w:t>30000,00</w:t>
            </w:r>
          </w:p>
        </w:tc>
        <w:tc>
          <w:tcPr>
            <w:tcW w:w="1571" w:type="dxa"/>
            <w:shd w:val="clear" w:color="auto" w:fill="FFFFFF"/>
            <w:vAlign w:val="center"/>
          </w:tcPr>
          <w:p w14:paraId="3DAB9AA5" w14:textId="77777777" w:rsidR="000B0111" w:rsidRPr="0019790A" w:rsidRDefault="000B0111" w:rsidP="0019790A">
            <w:pPr>
              <w:jc w:val="center"/>
              <w:rPr>
                <w:rFonts w:cs="Arial"/>
                <w:b/>
                <w:color w:val="000000"/>
                <w:szCs w:val="22"/>
                <w:lang w:eastAsia="it-IT"/>
              </w:rPr>
            </w:pPr>
            <w:r w:rsidRPr="0019790A">
              <w:rPr>
                <w:rFonts w:cs="Arial"/>
                <w:b/>
                <w:color w:val="000000"/>
                <w:szCs w:val="22"/>
                <w:lang w:eastAsia="it-IT"/>
              </w:rPr>
              <w:t>60 000,00</w:t>
            </w:r>
          </w:p>
        </w:tc>
      </w:tr>
      <w:tr w:rsidR="000B0111" w:rsidRPr="0019790A" w14:paraId="24662A51" w14:textId="77777777" w:rsidTr="00787C61">
        <w:trPr>
          <w:trHeight w:val="276"/>
          <w:jc w:val="right"/>
        </w:trPr>
        <w:tc>
          <w:tcPr>
            <w:tcW w:w="3425" w:type="dxa"/>
            <w:shd w:val="clear" w:color="auto" w:fill="FFFFFF"/>
            <w:vAlign w:val="center"/>
          </w:tcPr>
          <w:p w14:paraId="0D47E462" w14:textId="77777777" w:rsidR="000B0111" w:rsidRPr="0019790A" w:rsidRDefault="000B0111" w:rsidP="0019790A">
            <w:pPr>
              <w:rPr>
                <w:rFonts w:cs="Arial"/>
                <w:b/>
                <w:bCs/>
                <w:color w:val="000000"/>
                <w:szCs w:val="22"/>
              </w:rPr>
            </w:pPr>
            <w:r w:rsidRPr="0019790A">
              <w:rPr>
                <w:rFonts w:cs="Arial"/>
                <w:b/>
                <w:bCs/>
                <w:color w:val="000000"/>
                <w:szCs w:val="22"/>
              </w:rPr>
              <w:t>по джерелах фінансування:</w:t>
            </w:r>
          </w:p>
        </w:tc>
        <w:tc>
          <w:tcPr>
            <w:tcW w:w="6794" w:type="dxa"/>
            <w:gridSpan w:val="5"/>
            <w:vAlign w:val="center"/>
          </w:tcPr>
          <w:p w14:paraId="1A114A90" w14:textId="77777777" w:rsidR="000B0111" w:rsidRPr="0019790A" w:rsidRDefault="000B0111" w:rsidP="0019790A">
            <w:pPr>
              <w:jc w:val="both"/>
              <w:rPr>
                <w:rFonts w:cs="Arial"/>
                <w:color w:val="000000"/>
                <w:szCs w:val="22"/>
                <w:lang w:eastAsia="it-IT"/>
              </w:rPr>
            </w:pPr>
          </w:p>
        </w:tc>
      </w:tr>
      <w:tr w:rsidR="000B0111" w:rsidRPr="0019790A" w14:paraId="2CF0FBA4" w14:textId="77777777" w:rsidTr="00787C61">
        <w:trPr>
          <w:trHeight w:val="240"/>
          <w:jc w:val="right"/>
        </w:trPr>
        <w:tc>
          <w:tcPr>
            <w:tcW w:w="3425" w:type="dxa"/>
            <w:shd w:val="clear" w:color="auto" w:fill="FFFFFF"/>
            <w:vAlign w:val="center"/>
          </w:tcPr>
          <w:p w14:paraId="7E721B25" w14:textId="77777777" w:rsidR="000B0111" w:rsidRPr="0019790A" w:rsidRDefault="000B0111" w:rsidP="0019790A">
            <w:pPr>
              <w:rPr>
                <w:rFonts w:cs="Arial"/>
                <w:b/>
                <w:bCs/>
                <w:color w:val="000000"/>
                <w:szCs w:val="22"/>
              </w:rPr>
            </w:pPr>
            <w:r w:rsidRPr="0019790A">
              <w:rPr>
                <w:rFonts w:cs="Arial"/>
                <w:color w:val="000000"/>
                <w:szCs w:val="22"/>
              </w:rPr>
              <w:t>- державний бюджет</w:t>
            </w:r>
          </w:p>
        </w:tc>
        <w:tc>
          <w:tcPr>
            <w:tcW w:w="1254" w:type="dxa"/>
            <w:vAlign w:val="center"/>
          </w:tcPr>
          <w:p w14:paraId="7A8863B5" w14:textId="77777777" w:rsidR="000B0111" w:rsidRPr="0019790A" w:rsidRDefault="000B0111" w:rsidP="0019790A">
            <w:pPr>
              <w:jc w:val="both"/>
              <w:rPr>
                <w:rFonts w:cs="Arial"/>
                <w:color w:val="000000"/>
                <w:szCs w:val="22"/>
                <w:lang w:eastAsia="it-IT"/>
              </w:rPr>
            </w:pPr>
          </w:p>
        </w:tc>
        <w:tc>
          <w:tcPr>
            <w:tcW w:w="1275" w:type="dxa"/>
            <w:vAlign w:val="center"/>
          </w:tcPr>
          <w:p w14:paraId="5D660DF7" w14:textId="77777777" w:rsidR="000B0111" w:rsidRPr="0019790A" w:rsidRDefault="000B0111" w:rsidP="0019790A">
            <w:pPr>
              <w:jc w:val="both"/>
              <w:rPr>
                <w:rFonts w:cs="Arial"/>
                <w:color w:val="000000"/>
                <w:szCs w:val="22"/>
                <w:lang w:eastAsia="it-IT"/>
              </w:rPr>
            </w:pPr>
          </w:p>
        </w:tc>
        <w:tc>
          <w:tcPr>
            <w:tcW w:w="1418" w:type="dxa"/>
            <w:vAlign w:val="center"/>
          </w:tcPr>
          <w:p w14:paraId="2F329645" w14:textId="77777777" w:rsidR="000B0111" w:rsidRPr="0019790A" w:rsidRDefault="000B0111" w:rsidP="0019790A">
            <w:pPr>
              <w:jc w:val="both"/>
              <w:rPr>
                <w:rFonts w:cs="Arial"/>
                <w:color w:val="000000"/>
                <w:szCs w:val="22"/>
                <w:lang w:eastAsia="it-IT"/>
              </w:rPr>
            </w:pPr>
          </w:p>
        </w:tc>
        <w:tc>
          <w:tcPr>
            <w:tcW w:w="1276" w:type="dxa"/>
            <w:vAlign w:val="center"/>
          </w:tcPr>
          <w:p w14:paraId="42BBB13A" w14:textId="77777777" w:rsidR="000B0111" w:rsidRPr="0019790A" w:rsidRDefault="000B0111" w:rsidP="0019790A">
            <w:pPr>
              <w:jc w:val="both"/>
              <w:rPr>
                <w:rFonts w:cs="Arial"/>
                <w:color w:val="000000"/>
                <w:szCs w:val="22"/>
                <w:lang w:eastAsia="it-IT"/>
              </w:rPr>
            </w:pPr>
          </w:p>
        </w:tc>
        <w:tc>
          <w:tcPr>
            <w:tcW w:w="1571" w:type="dxa"/>
            <w:vAlign w:val="center"/>
          </w:tcPr>
          <w:p w14:paraId="358AE7F2" w14:textId="77777777" w:rsidR="000B0111" w:rsidRPr="0019790A" w:rsidRDefault="000B0111" w:rsidP="0019790A">
            <w:pPr>
              <w:jc w:val="both"/>
              <w:rPr>
                <w:rFonts w:cs="Arial"/>
                <w:color w:val="000000"/>
                <w:szCs w:val="22"/>
                <w:lang w:eastAsia="it-IT"/>
              </w:rPr>
            </w:pPr>
          </w:p>
        </w:tc>
      </w:tr>
      <w:tr w:rsidR="000B0111" w:rsidRPr="0019790A" w14:paraId="687E8EF8" w14:textId="77777777" w:rsidTr="00787C61">
        <w:trPr>
          <w:trHeight w:val="254"/>
          <w:jc w:val="right"/>
        </w:trPr>
        <w:tc>
          <w:tcPr>
            <w:tcW w:w="3425" w:type="dxa"/>
            <w:shd w:val="clear" w:color="auto" w:fill="FFFFFF"/>
            <w:vAlign w:val="center"/>
          </w:tcPr>
          <w:p w14:paraId="33F29C6B" w14:textId="77777777" w:rsidR="000B0111" w:rsidRPr="0019790A" w:rsidRDefault="000B0111" w:rsidP="0019790A">
            <w:pPr>
              <w:rPr>
                <w:rFonts w:cs="Arial"/>
                <w:color w:val="000000"/>
                <w:szCs w:val="22"/>
              </w:rPr>
            </w:pPr>
            <w:r w:rsidRPr="0019790A">
              <w:rPr>
                <w:rFonts w:cs="Arial"/>
                <w:color w:val="000000"/>
                <w:szCs w:val="22"/>
              </w:rPr>
              <w:t>- обласний бюджет</w:t>
            </w:r>
          </w:p>
        </w:tc>
        <w:tc>
          <w:tcPr>
            <w:tcW w:w="1254" w:type="dxa"/>
            <w:vAlign w:val="center"/>
          </w:tcPr>
          <w:p w14:paraId="7D67868A" w14:textId="77777777" w:rsidR="000B0111" w:rsidRPr="0019790A" w:rsidRDefault="000B0111" w:rsidP="0019790A">
            <w:pPr>
              <w:jc w:val="both"/>
              <w:rPr>
                <w:rFonts w:cs="Arial"/>
                <w:color w:val="000000"/>
                <w:szCs w:val="22"/>
                <w:lang w:eastAsia="it-IT"/>
              </w:rPr>
            </w:pPr>
          </w:p>
        </w:tc>
        <w:tc>
          <w:tcPr>
            <w:tcW w:w="1275" w:type="dxa"/>
            <w:vAlign w:val="center"/>
          </w:tcPr>
          <w:p w14:paraId="07A15BE4" w14:textId="77777777" w:rsidR="000B0111" w:rsidRPr="0019790A" w:rsidRDefault="000B0111" w:rsidP="0019790A">
            <w:pPr>
              <w:jc w:val="both"/>
              <w:rPr>
                <w:rFonts w:cs="Arial"/>
                <w:color w:val="000000"/>
                <w:szCs w:val="22"/>
                <w:lang w:eastAsia="it-IT"/>
              </w:rPr>
            </w:pPr>
          </w:p>
        </w:tc>
        <w:tc>
          <w:tcPr>
            <w:tcW w:w="1418" w:type="dxa"/>
            <w:vAlign w:val="center"/>
          </w:tcPr>
          <w:p w14:paraId="544EE1C4" w14:textId="77777777" w:rsidR="000B0111" w:rsidRPr="0019790A" w:rsidRDefault="000B0111" w:rsidP="0019790A">
            <w:pPr>
              <w:jc w:val="center"/>
              <w:rPr>
                <w:rFonts w:cs="Arial"/>
                <w:color w:val="000000"/>
                <w:szCs w:val="22"/>
                <w:lang w:eastAsia="it-IT"/>
              </w:rPr>
            </w:pPr>
            <w:r w:rsidRPr="0019790A">
              <w:rPr>
                <w:rFonts w:cs="Arial"/>
                <w:color w:val="000000"/>
                <w:szCs w:val="22"/>
                <w:lang w:eastAsia="it-IT"/>
              </w:rPr>
              <w:t>24000,00</w:t>
            </w:r>
          </w:p>
        </w:tc>
        <w:tc>
          <w:tcPr>
            <w:tcW w:w="1276" w:type="dxa"/>
            <w:vAlign w:val="center"/>
          </w:tcPr>
          <w:p w14:paraId="7137EEEC" w14:textId="77777777" w:rsidR="000B0111" w:rsidRPr="0019790A" w:rsidRDefault="000B0111" w:rsidP="0019790A">
            <w:pPr>
              <w:jc w:val="center"/>
              <w:rPr>
                <w:rFonts w:cs="Arial"/>
                <w:color w:val="000000"/>
                <w:szCs w:val="22"/>
                <w:lang w:eastAsia="it-IT"/>
              </w:rPr>
            </w:pPr>
            <w:r w:rsidRPr="0019790A">
              <w:rPr>
                <w:rFonts w:cs="Arial"/>
                <w:color w:val="000000"/>
                <w:szCs w:val="22"/>
                <w:lang w:eastAsia="it-IT"/>
              </w:rPr>
              <w:t>24000,00</w:t>
            </w:r>
          </w:p>
        </w:tc>
        <w:tc>
          <w:tcPr>
            <w:tcW w:w="1571" w:type="dxa"/>
            <w:vAlign w:val="center"/>
          </w:tcPr>
          <w:p w14:paraId="09D5C1F5" w14:textId="77777777" w:rsidR="000B0111" w:rsidRPr="0019790A" w:rsidRDefault="000B0111" w:rsidP="0019790A">
            <w:pPr>
              <w:jc w:val="center"/>
              <w:rPr>
                <w:rFonts w:cs="Arial"/>
                <w:b/>
                <w:color w:val="000000"/>
                <w:szCs w:val="22"/>
                <w:lang w:eastAsia="it-IT"/>
              </w:rPr>
            </w:pPr>
            <w:r w:rsidRPr="0019790A">
              <w:rPr>
                <w:rFonts w:cs="Arial"/>
                <w:b/>
                <w:color w:val="000000"/>
                <w:szCs w:val="22"/>
                <w:lang w:eastAsia="it-IT"/>
              </w:rPr>
              <w:t>48000,00</w:t>
            </w:r>
          </w:p>
        </w:tc>
      </w:tr>
      <w:tr w:rsidR="000B0111" w:rsidRPr="0019790A" w14:paraId="290635B3" w14:textId="77777777" w:rsidTr="00787C61">
        <w:trPr>
          <w:trHeight w:val="275"/>
          <w:jc w:val="right"/>
        </w:trPr>
        <w:tc>
          <w:tcPr>
            <w:tcW w:w="3425" w:type="dxa"/>
            <w:shd w:val="clear" w:color="auto" w:fill="FFFFFF"/>
            <w:vAlign w:val="center"/>
          </w:tcPr>
          <w:p w14:paraId="5A3FBE6C" w14:textId="77777777" w:rsidR="000B0111" w:rsidRPr="0019790A" w:rsidRDefault="000B0111" w:rsidP="0019790A">
            <w:pPr>
              <w:rPr>
                <w:rFonts w:cs="Arial"/>
                <w:color w:val="000000"/>
                <w:szCs w:val="22"/>
              </w:rPr>
            </w:pPr>
            <w:r w:rsidRPr="0019790A">
              <w:rPr>
                <w:rFonts w:cs="Arial"/>
                <w:color w:val="000000"/>
                <w:szCs w:val="22"/>
              </w:rPr>
              <w:t>- бюджет Жмеринської МТГ</w:t>
            </w:r>
          </w:p>
        </w:tc>
        <w:tc>
          <w:tcPr>
            <w:tcW w:w="1254" w:type="dxa"/>
            <w:vAlign w:val="center"/>
          </w:tcPr>
          <w:p w14:paraId="5A791883" w14:textId="77777777" w:rsidR="000B0111" w:rsidRPr="0019790A" w:rsidRDefault="000B0111" w:rsidP="0019790A">
            <w:pPr>
              <w:jc w:val="both"/>
              <w:rPr>
                <w:rFonts w:cs="Arial"/>
                <w:color w:val="000000"/>
                <w:szCs w:val="22"/>
                <w:lang w:eastAsia="it-IT"/>
              </w:rPr>
            </w:pPr>
          </w:p>
        </w:tc>
        <w:tc>
          <w:tcPr>
            <w:tcW w:w="1275" w:type="dxa"/>
            <w:vAlign w:val="center"/>
          </w:tcPr>
          <w:p w14:paraId="72AE4D47" w14:textId="77777777" w:rsidR="000B0111" w:rsidRPr="0019790A" w:rsidRDefault="000B0111" w:rsidP="0019790A">
            <w:pPr>
              <w:jc w:val="both"/>
              <w:rPr>
                <w:rFonts w:cs="Arial"/>
                <w:color w:val="000000"/>
                <w:szCs w:val="22"/>
                <w:lang w:eastAsia="it-IT"/>
              </w:rPr>
            </w:pPr>
          </w:p>
        </w:tc>
        <w:tc>
          <w:tcPr>
            <w:tcW w:w="1418" w:type="dxa"/>
            <w:vAlign w:val="center"/>
          </w:tcPr>
          <w:p w14:paraId="23D78804" w14:textId="77777777" w:rsidR="000B0111" w:rsidRPr="0019790A" w:rsidRDefault="000B0111" w:rsidP="0019790A">
            <w:pPr>
              <w:jc w:val="center"/>
              <w:rPr>
                <w:rFonts w:cs="Arial"/>
                <w:color w:val="000000"/>
                <w:szCs w:val="22"/>
                <w:lang w:eastAsia="it-IT"/>
              </w:rPr>
            </w:pPr>
            <w:r w:rsidRPr="0019790A">
              <w:rPr>
                <w:rFonts w:cs="Arial"/>
                <w:color w:val="000000"/>
                <w:szCs w:val="22"/>
                <w:lang w:eastAsia="it-IT"/>
              </w:rPr>
              <w:t>6000,00</w:t>
            </w:r>
          </w:p>
        </w:tc>
        <w:tc>
          <w:tcPr>
            <w:tcW w:w="1276" w:type="dxa"/>
            <w:vAlign w:val="center"/>
          </w:tcPr>
          <w:p w14:paraId="1E89D899" w14:textId="77777777" w:rsidR="000B0111" w:rsidRPr="0019790A" w:rsidRDefault="000B0111" w:rsidP="0019790A">
            <w:pPr>
              <w:jc w:val="center"/>
              <w:rPr>
                <w:rFonts w:cs="Arial"/>
                <w:color w:val="000000"/>
                <w:szCs w:val="22"/>
                <w:lang w:eastAsia="it-IT"/>
              </w:rPr>
            </w:pPr>
            <w:r w:rsidRPr="0019790A">
              <w:rPr>
                <w:rFonts w:cs="Arial"/>
                <w:color w:val="000000"/>
                <w:szCs w:val="22"/>
                <w:lang w:eastAsia="it-IT"/>
              </w:rPr>
              <w:t>6000,00</w:t>
            </w:r>
          </w:p>
        </w:tc>
        <w:tc>
          <w:tcPr>
            <w:tcW w:w="1571" w:type="dxa"/>
            <w:vAlign w:val="center"/>
          </w:tcPr>
          <w:p w14:paraId="29472293" w14:textId="77777777" w:rsidR="000B0111" w:rsidRPr="0019790A" w:rsidRDefault="000B0111" w:rsidP="0019790A">
            <w:pPr>
              <w:jc w:val="center"/>
              <w:rPr>
                <w:rFonts w:cs="Arial"/>
                <w:b/>
                <w:color w:val="000000"/>
                <w:szCs w:val="22"/>
                <w:lang w:eastAsia="it-IT"/>
              </w:rPr>
            </w:pPr>
            <w:r w:rsidRPr="0019790A">
              <w:rPr>
                <w:rFonts w:cs="Arial"/>
                <w:b/>
                <w:color w:val="000000"/>
                <w:szCs w:val="22"/>
                <w:lang w:eastAsia="it-IT"/>
              </w:rPr>
              <w:t>12000,00</w:t>
            </w:r>
          </w:p>
        </w:tc>
      </w:tr>
      <w:tr w:rsidR="000B0111" w:rsidRPr="0019790A" w14:paraId="04D4068E" w14:textId="77777777" w:rsidTr="00787C61">
        <w:trPr>
          <w:trHeight w:val="226"/>
          <w:jc w:val="right"/>
        </w:trPr>
        <w:tc>
          <w:tcPr>
            <w:tcW w:w="3425" w:type="dxa"/>
            <w:shd w:val="clear" w:color="auto" w:fill="FFFFFF"/>
            <w:vAlign w:val="center"/>
          </w:tcPr>
          <w:p w14:paraId="6E46D4C3" w14:textId="77777777" w:rsidR="000B0111" w:rsidRPr="0019790A" w:rsidRDefault="000B0111" w:rsidP="0019790A">
            <w:pPr>
              <w:rPr>
                <w:rFonts w:cs="Arial"/>
                <w:color w:val="000000"/>
                <w:szCs w:val="22"/>
              </w:rPr>
            </w:pPr>
            <w:r w:rsidRPr="0019790A">
              <w:rPr>
                <w:rFonts w:cs="Arial"/>
                <w:color w:val="000000"/>
                <w:szCs w:val="22"/>
              </w:rPr>
              <w:t>- інші джерела фінансування</w:t>
            </w:r>
          </w:p>
        </w:tc>
        <w:tc>
          <w:tcPr>
            <w:tcW w:w="1254" w:type="dxa"/>
            <w:vAlign w:val="center"/>
          </w:tcPr>
          <w:p w14:paraId="2E5D3AA5" w14:textId="77777777" w:rsidR="000B0111" w:rsidRPr="0019790A" w:rsidRDefault="000B0111" w:rsidP="0019790A">
            <w:pPr>
              <w:jc w:val="both"/>
              <w:rPr>
                <w:rFonts w:cs="Arial"/>
                <w:color w:val="000000"/>
                <w:szCs w:val="22"/>
                <w:lang w:eastAsia="it-IT"/>
              </w:rPr>
            </w:pPr>
          </w:p>
        </w:tc>
        <w:tc>
          <w:tcPr>
            <w:tcW w:w="1275" w:type="dxa"/>
            <w:vAlign w:val="center"/>
          </w:tcPr>
          <w:p w14:paraId="499FA4E2" w14:textId="77777777" w:rsidR="000B0111" w:rsidRPr="0019790A" w:rsidRDefault="000B0111" w:rsidP="0019790A">
            <w:pPr>
              <w:jc w:val="both"/>
              <w:rPr>
                <w:rFonts w:cs="Arial"/>
                <w:color w:val="000000"/>
                <w:szCs w:val="22"/>
                <w:lang w:eastAsia="it-IT"/>
              </w:rPr>
            </w:pPr>
          </w:p>
        </w:tc>
        <w:tc>
          <w:tcPr>
            <w:tcW w:w="1418" w:type="dxa"/>
            <w:vAlign w:val="center"/>
          </w:tcPr>
          <w:p w14:paraId="0C853CE2" w14:textId="77777777" w:rsidR="000B0111" w:rsidRPr="0019790A" w:rsidRDefault="000B0111" w:rsidP="0019790A">
            <w:pPr>
              <w:jc w:val="both"/>
              <w:rPr>
                <w:rFonts w:cs="Arial"/>
                <w:color w:val="000000"/>
                <w:szCs w:val="22"/>
                <w:lang w:eastAsia="it-IT"/>
              </w:rPr>
            </w:pPr>
          </w:p>
        </w:tc>
        <w:tc>
          <w:tcPr>
            <w:tcW w:w="1276" w:type="dxa"/>
            <w:vAlign w:val="center"/>
          </w:tcPr>
          <w:p w14:paraId="6E7D6837" w14:textId="77777777" w:rsidR="000B0111" w:rsidRPr="0019790A" w:rsidRDefault="000B0111" w:rsidP="0019790A">
            <w:pPr>
              <w:jc w:val="both"/>
              <w:rPr>
                <w:rFonts w:cs="Arial"/>
                <w:color w:val="000000"/>
                <w:szCs w:val="22"/>
                <w:lang w:eastAsia="it-IT"/>
              </w:rPr>
            </w:pPr>
          </w:p>
        </w:tc>
        <w:tc>
          <w:tcPr>
            <w:tcW w:w="1571" w:type="dxa"/>
            <w:vAlign w:val="center"/>
          </w:tcPr>
          <w:p w14:paraId="5C13F612" w14:textId="77777777" w:rsidR="000B0111" w:rsidRPr="0019790A" w:rsidRDefault="000B0111" w:rsidP="0019790A">
            <w:pPr>
              <w:jc w:val="both"/>
              <w:rPr>
                <w:rFonts w:cs="Arial"/>
                <w:color w:val="000000"/>
                <w:szCs w:val="22"/>
                <w:lang w:eastAsia="it-IT"/>
              </w:rPr>
            </w:pPr>
          </w:p>
        </w:tc>
      </w:tr>
      <w:tr w:rsidR="000B0111" w:rsidRPr="0019790A" w14:paraId="0F7563BD" w14:textId="77777777" w:rsidTr="00787C61">
        <w:trPr>
          <w:jc w:val="right"/>
        </w:trPr>
        <w:tc>
          <w:tcPr>
            <w:tcW w:w="3425" w:type="dxa"/>
            <w:shd w:val="clear" w:color="auto" w:fill="FFFFFF"/>
            <w:vAlign w:val="center"/>
          </w:tcPr>
          <w:p w14:paraId="550C2C48" w14:textId="77777777" w:rsidR="000B0111" w:rsidRPr="0019790A" w:rsidRDefault="000B0111" w:rsidP="0019790A">
            <w:pPr>
              <w:rPr>
                <w:rFonts w:cs="Arial"/>
                <w:b/>
                <w:bCs/>
                <w:color w:val="000000"/>
                <w:szCs w:val="22"/>
              </w:rPr>
            </w:pPr>
            <w:r w:rsidRPr="0019790A">
              <w:rPr>
                <w:rFonts w:cs="Arial"/>
                <w:b/>
                <w:color w:val="000000"/>
                <w:szCs w:val="22"/>
              </w:rPr>
              <w:t>Відповідальний виконавець проєкту:</w:t>
            </w:r>
          </w:p>
        </w:tc>
        <w:tc>
          <w:tcPr>
            <w:tcW w:w="6794" w:type="dxa"/>
            <w:gridSpan w:val="5"/>
            <w:vAlign w:val="center"/>
          </w:tcPr>
          <w:p w14:paraId="4F0BB6EC" w14:textId="77777777" w:rsidR="000B0111" w:rsidRPr="0019790A" w:rsidRDefault="000B0111" w:rsidP="0019790A">
            <w:pPr>
              <w:jc w:val="both"/>
              <w:rPr>
                <w:rFonts w:cs="Arial"/>
                <w:color w:val="000000"/>
                <w:szCs w:val="22"/>
                <w:lang w:eastAsia="it-IT"/>
              </w:rPr>
            </w:pPr>
            <w:r w:rsidRPr="0019790A">
              <w:rPr>
                <w:rFonts w:cs="Arial"/>
                <w:color w:val="000000"/>
                <w:szCs w:val="22"/>
                <w:lang w:eastAsia="it-IT"/>
              </w:rPr>
              <w:t>Управління ЖКГ Жмеринської міської ради, управління освіти Жмеринської міської ради</w:t>
            </w:r>
          </w:p>
        </w:tc>
      </w:tr>
      <w:tr w:rsidR="000B0111" w:rsidRPr="0019790A" w14:paraId="29D2F5CC" w14:textId="77777777" w:rsidTr="00787C61">
        <w:trPr>
          <w:jc w:val="right"/>
        </w:trPr>
        <w:tc>
          <w:tcPr>
            <w:tcW w:w="3425" w:type="dxa"/>
            <w:shd w:val="clear" w:color="auto" w:fill="FFFFFF"/>
            <w:vAlign w:val="center"/>
          </w:tcPr>
          <w:p w14:paraId="258001A2" w14:textId="77777777" w:rsidR="000B0111" w:rsidRPr="0019790A" w:rsidRDefault="000B0111" w:rsidP="0019790A">
            <w:pPr>
              <w:rPr>
                <w:rFonts w:cs="Arial"/>
                <w:b/>
                <w:bCs/>
                <w:color w:val="000000"/>
                <w:szCs w:val="22"/>
              </w:rPr>
            </w:pPr>
            <w:r w:rsidRPr="0019790A">
              <w:rPr>
                <w:rFonts w:cs="Arial"/>
                <w:b/>
                <w:bCs/>
                <w:color w:val="000000"/>
                <w:szCs w:val="22"/>
              </w:rPr>
              <w:t>Інше:</w:t>
            </w:r>
          </w:p>
        </w:tc>
        <w:tc>
          <w:tcPr>
            <w:tcW w:w="6794" w:type="dxa"/>
            <w:gridSpan w:val="5"/>
            <w:vAlign w:val="center"/>
          </w:tcPr>
          <w:p w14:paraId="3ACB71A1" w14:textId="77777777" w:rsidR="000B0111" w:rsidRPr="0019790A" w:rsidRDefault="000B0111" w:rsidP="0019790A">
            <w:pPr>
              <w:rPr>
                <w:rFonts w:cs="Arial"/>
                <w:color w:val="000000"/>
                <w:szCs w:val="22"/>
                <w:lang w:eastAsia="it-IT"/>
              </w:rPr>
            </w:pPr>
          </w:p>
        </w:tc>
      </w:tr>
    </w:tbl>
    <w:p w14:paraId="5B082FB8" w14:textId="77777777" w:rsidR="003B45FC" w:rsidRPr="00C2587D" w:rsidRDefault="003B45FC" w:rsidP="003B45FC">
      <w:pPr>
        <w:jc w:val="center"/>
        <w:rPr>
          <w:rFonts w:cs="Arial"/>
          <w:b/>
          <w:sz w:val="20"/>
          <w:szCs w:val="20"/>
        </w:rPr>
      </w:pPr>
    </w:p>
    <w:p w14:paraId="641B93C3" w14:textId="77777777" w:rsidR="003B45FC" w:rsidRPr="00C2587D" w:rsidRDefault="003B45FC" w:rsidP="003B45FC">
      <w:pPr>
        <w:jc w:val="center"/>
        <w:rPr>
          <w:rFonts w:cs="Arial"/>
          <w:b/>
          <w:sz w:val="20"/>
          <w:szCs w:val="20"/>
        </w:rPr>
      </w:pPr>
    </w:p>
    <w:p w14:paraId="5400EAF7" w14:textId="77777777" w:rsidR="003B45FC" w:rsidRPr="0019790A" w:rsidRDefault="003B45FC" w:rsidP="0019790A">
      <w:pPr>
        <w:jc w:val="center"/>
        <w:rPr>
          <w:rFonts w:cs="Arial"/>
          <w:b/>
          <w:szCs w:val="22"/>
        </w:rPr>
      </w:pPr>
      <w:r w:rsidRPr="0019790A">
        <w:rPr>
          <w:rFonts w:cs="Arial"/>
          <w:b/>
          <w:szCs w:val="22"/>
        </w:rPr>
        <w:t xml:space="preserve">Форма технічного завдання на проєкт місцевого розвитку </w:t>
      </w:r>
    </w:p>
    <w:p w14:paraId="4242DFDF" w14:textId="77777777" w:rsidR="003B45FC" w:rsidRPr="0019790A" w:rsidRDefault="003B45FC" w:rsidP="0019790A">
      <w:pPr>
        <w:jc w:val="center"/>
        <w:rPr>
          <w:rFonts w:cs="Arial"/>
          <w:b/>
          <w:szCs w:val="22"/>
        </w:rPr>
      </w:pPr>
      <w:r w:rsidRPr="0019790A">
        <w:rPr>
          <w:rFonts w:cs="Arial"/>
          <w:b/>
          <w:szCs w:val="22"/>
        </w:rPr>
        <w:t>до Плану заходів з реалізації Стратегії</w:t>
      </w:r>
    </w:p>
    <w:p w14:paraId="1A933532" w14:textId="77777777" w:rsidR="003B45FC" w:rsidRPr="0019790A" w:rsidRDefault="003B45FC"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1"/>
        <w:gridCol w:w="1254"/>
        <w:gridCol w:w="48"/>
        <w:gridCol w:w="1226"/>
        <w:gridCol w:w="1417"/>
        <w:gridCol w:w="13"/>
        <w:gridCol w:w="1263"/>
        <w:gridCol w:w="1559"/>
        <w:gridCol w:w="18"/>
      </w:tblGrid>
      <w:tr w:rsidR="003B45FC" w:rsidRPr="0019790A" w14:paraId="26A3F05F" w14:textId="77777777" w:rsidTr="00722007">
        <w:trPr>
          <w:jc w:val="right"/>
        </w:trPr>
        <w:tc>
          <w:tcPr>
            <w:tcW w:w="3421" w:type="dxa"/>
            <w:vAlign w:val="center"/>
          </w:tcPr>
          <w:p w14:paraId="1C6C8812" w14:textId="77777777" w:rsidR="003B45FC" w:rsidRPr="0019790A" w:rsidRDefault="003B45FC" w:rsidP="0019790A">
            <w:pPr>
              <w:rPr>
                <w:rFonts w:cs="Arial"/>
                <w:b/>
                <w:bCs/>
                <w:szCs w:val="22"/>
              </w:rPr>
            </w:pPr>
            <w:r w:rsidRPr="0019790A">
              <w:rPr>
                <w:rFonts w:cs="Arial"/>
                <w:b/>
                <w:bCs/>
                <w:szCs w:val="22"/>
              </w:rPr>
              <w:t>Назва проєкту:</w:t>
            </w:r>
          </w:p>
        </w:tc>
        <w:tc>
          <w:tcPr>
            <w:tcW w:w="6798" w:type="dxa"/>
            <w:gridSpan w:val="8"/>
          </w:tcPr>
          <w:p w14:paraId="0AACEA44" w14:textId="10E86C77" w:rsidR="003B45FC" w:rsidRPr="0019790A" w:rsidRDefault="003B45FC" w:rsidP="0019790A">
            <w:pPr>
              <w:rPr>
                <w:rFonts w:cs="Arial"/>
                <w:b/>
                <w:szCs w:val="22"/>
                <w:lang w:eastAsia="it-IT"/>
              </w:rPr>
            </w:pPr>
            <w:r w:rsidRPr="0019790A">
              <w:rPr>
                <w:rFonts w:cs="Arial"/>
                <w:b/>
                <w:szCs w:val="22"/>
                <w:lang w:eastAsia="it-IT"/>
              </w:rPr>
              <w:t xml:space="preserve"> </w:t>
            </w:r>
            <w:r w:rsidRPr="0019790A">
              <w:rPr>
                <w:rFonts w:eastAsia="Arial" w:cs="Arial"/>
                <w:b/>
                <w:bCs/>
                <w:szCs w:val="22"/>
              </w:rPr>
              <w:t xml:space="preserve">Модернізація покрівлі </w:t>
            </w:r>
            <w:r w:rsidRPr="0019790A">
              <w:rPr>
                <w:rFonts w:cs="Arial"/>
                <w:b/>
                <w:szCs w:val="22"/>
              </w:rPr>
              <w:t>ЗДО № 6 «Казочка»</w:t>
            </w:r>
          </w:p>
        </w:tc>
      </w:tr>
      <w:tr w:rsidR="003B45FC" w:rsidRPr="0019790A" w14:paraId="4FF5064E" w14:textId="77777777" w:rsidTr="00722007">
        <w:trPr>
          <w:jc w:val="right"/>
        </w:trPr>
        <w:tc>
          <w:tcPr>
            <w:tcW w:w="3421" w:type="dxa"/>
          </w:tcPr>
          <w:p w14:paraId="7A4932CB" w14:textId="77777777" w:rsidR="003B45FC" w:rsidRPr="0019790A" w:rsidRDefault="003B45FC"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652E7E1F" w14:textId="77777777" w:rsidR="003B45FC" w:rsidRPr="0019790A" w:rsidRDefault="003B45FC" w:rsidP="0019790A">
            <w:pPr>
              <w:rPr>
                <w:rFonts w:cs="Arial"/>
                <w:b/>
                <w:bCs/>
                <w:szCs w:val="22"/>
              </w:rPr>
            </w:pPr>
            <w:r w:rsidRPr="0019790A">
              <w:rPr>
                <w:rFonts w:cs="Arial"/>
                <w:szCs w:val="22"/>
                <w:lang w:eastAsia="it-IT"/>
              </w:rPr>
              <w:t>Назва установи, організації, підприємства</w:t>
            </w:r>
          </w:p>
        </w:tc>
        <w:tc>
          <w:tcPr>
            <w:tcW w:w="6798" w:type="dxa"/>
            <w:gridSpan w:val="8"/>
          </w:tcPr>
          <w:p w14:paraId="43A94626" w14:textId="77777777" w:rsidR="003B45FC" w:rsidRPr="0019790A" w:rsidRDefault="003B45FC" w:rsidP="0019790A">
            <w:pPr>
              <w:rPr>
                <w:rFonts w:cs="Arial"/>
                <w:szCs w:val="22"/>
                <w:lang w:eastAsia="it-IT"/>
              </w:rPr>
            </w:pPr>
            <w:r w:rsidRPr="0019790A">
              <w:rPr>
                <w:rFonts w:cs="Arial"/>
                <w:szCs w:val="22"/>
                <w:lang w:eastAsia="it-IT"/>
              </w:rPr>
              <w:t xml:space="preserve"> Управління освіти Жмеринської міської ради</w:t>
            </w:r>
          </w:p>
        </w:tc>
      </w:tr>
      <w:tr w:rsidR="003B45FC" w:rsidRPr="0019790A" w14:paraId="755EF616" w14:textId="77777777" w:rsidTr="00722007">
        <w:trPr>
          <w:jc w:val="right"/>
        </w:trPr>
        <w:tc>
          <w:tcPr>
            <w:tcW w:w="3421" w:type="dxa"/>
          </w:tcPr>
          <w:p w14:paraId="05FFCAC3" w14:textId="77777777" w:rsidR="003B45FC" w:rsidRPr="0019790A" w:rsidRDefault="003B45FC" w:rsidP="0019790A">
            <w:pPr>
              <w:rPr>
                <w:rFonts w:cs="Arial"/>
                <w:b/>
                <w:bCs/>
                <w:szCs w:val="22"/>
              </w:rPr>
            </w:pPr>
            <w:r w:rsidRPr="0019790A">
              <w:rPr>
                <w:rFonts w:cs="Arial"/>
                <w:szCs w:val="22"/>
                <w:lang w:eastAsia="it-IT"/>
              </w:rPr>
              <w:t>Прізвище Ім’я по-батькові:</w:t>
            </w:r>
          </w:p>
        </w:tc>
        <w:tc>
          <w:tcPr>
            <w:tcW w:w="6798" w:type="dxa"/>
            <w:gridSpan w:val="8"/>
          </w:tcPr>
          <w:p w14:paraId="411247F2" w14:textId="77777777" w:rsidR="003B45FC" w:rsidRPr="0019790A" w:rsidRDefault="003B45FC" w:rsidP="0019790A">
            <w:pPr>
              <w:pStyle w:val="TableParagraph"/>
              <w:ind w:left="0"/>
              <w:rPr>
                <w:rFonts w:ascii="Arial" w:hAnsi="Arial" w:cs="Arial"/>
              </w:rPr>
            </w:pPr>
            <w:r w:rsidRPr="0019790A">
              <w:rPr>
                <w:rFonts w:ascii="Arial" w:hAnsi="Arial" w:cs="Arial"/>
              </w:rPr>
              <w:t>Твердохліб Аліна Петрівна</w:t>
            </w:r>
          </w:p>
        </w:tc>
      </w:tr>
      <w:tr w:rsidR="003B45FC" w:rsidRPr="0019790A" w14:paraId="75015376" w14:textId="77777777" w:rsidTr="00722007">
        <w:trPr>
          <w:jc w:val="right"/>
        </w:trPr>
        <w:tc>
          <w:tcPr>
            <w:tcW w:w="3421" w:type="dxa"/>
          </w:tcPr>
          <w:p w14:paraId="5713AEC4" w14:textId="77777777" w:rsidR="003B45FC" w:rsidRPr="0019790A" w:rsidRDefault="003B45FC" w:rsidP="0019790A">
            <w:pPr>
              <w:rPr>
                <w:rFonts w:cs="Arial"/>
                <w:b/>
                <w:bCs/>
                <w:szCs w:val="22"/>
              </w:rPr>
            </w:pPr>
            <w:r w:rsidRPr="0019790A">
              <w:rPr>
                <w:rFonts w:cs="Arial"/>
                <w:szCs w:val="22"/>
                <w:lang w:eastAsia="it-IT"/>
              </w:rPr>
              <w:t>Телефон (мобільний):</w:t>
            </w:r>
          </w:p>
        </w:tc>
        <w:tc>
          <w:tcPr>
            <w:tcW w:w="6798" w:type="dxa"/>
            <w:gridSpan w:val="8"/>
          </w:tcPr>
          <w:p w14:paraId="292469F3" w14:textId="77777777" w:rsidR="003B45FC" w:rsidRPr="0019790A" w:rsidRDefault="003B45FC" w:rsidP="0019790A">
            <w:pPr>
              <w:pStyle w:val="TableParagraph"/>
              <w:ind w:left="66"/>
              <w:rPr>
                <w:rFonts w:ascii="Arial" w:hAnsi="Arial" w:cs="Arial"/>
              </w:rPr>
            </w:pPr>
            <w:r w:rsidRPr="0019790A">
              <w:rPr>
                <w:rFonts w:ascii="Arial" w:hAnsi="Arial" w:cs="Arial"/>
                <w:spacing w:val="-2"/>
              </w:rPr>
              <w:t>+380 (67) 895 55 75</w:t>
            </w:r>
          </w:p>
        </w:tc>
      </w:tr>
      <w:tr w:rsidR="003B45FC" w:rsidRPr="0019790A" w14:paraId="0BEA0E76" w14:textId="77777777" w:rsidTr="00722007">
        <w:trPr>
          <w:jc w:val="right"/>
        </w:trPr>
        <w:tc>
          <w:tcPr>
            <w:tcW w:w="3421" w:type="dxa"/>
          </w:tcPr>
          <w:p w14:paraId="4EEBBAF2" w14:textId="77777777" w:rsidR="003B45FC" w:rsidRPr="0019790A" w:rsidRDefault="003B45FC" w:rsidP="0019790A">
            <w:pPr>
              <w:rPr>
                <w:rFonts w:cs="Arial"/>
                <w:b/>
                <w:bCs/>
                <w:szCs w:val="22"/>
              </w:rPr>
            </w:pPr>
            <w:r w:rsidRPr="0019790A">
              <w:rPr>
                <w:rFonts w:cs="Arial"/>
                <w:szCs w:val="22"/>
                <w:lang w:eastAsia="it-IT"/>
              </w:rPr>
              <w:t>Електронна адреса:</w:t>
            </w:r>
          </w:p>
        </w:tc>
        <w:tc>
          <w:tcPr>
            <w:tcW w:w="6798" w:type="dxa"/>
            <w:gridSpan w:val="8"/>
          </w:tcPr>
          <w:p w14:paraId="446FB11A" w14:textId="77777777" w:rsidR="003B45FC" w:rsidRPr="0019790A" w:rsidRDefault="003B45FC" w:rsidP="0019790A">
            <w:pPr>
              <w:pStyle w:val="TableParagraph"/>
              <w:ind w:left="66"/>
              <w:rPr>
                <w:rFonts w:ascii="Arial" w:hAnsi="Arial" w:cs="Arial"/>
                <w:b/>
              </w:rPr>
            </w:pPr>
            <w:r w:rsidRPr="0019790A">
              <w:rPr>
                <w:rFonts w:ascii="Arial" w:hAnsi="Arial" w:cs="Arial"/>
              </w:rPr>
              <w:t xml:space="preserve"> </w:t>
            </w:r>
            <w:hyperlink r:id="rId90" w:history="1">
              <w:r w:rsidRPr="0019790A">
                <w:rPr>
                  <w:rStyle w:val="af0"/>
                  <w:rFonts w:ascii="Arial" w:hAnsi="Arial" w:cs="Arial"/>
                  <w:noProof w:val="0"/>
                  <w:spacing w:val="5"/>
                  <w:sz w:val="22"/>
                  <w:szCs w:val="22"/>
                </w:rPr>
                <w:t>uposv.zmr@gmail.com</w:t>
              </w:r>
            </w:hyperlink>
          </w:p>
        </w:tc>
      </w:tr>
      <w:tr w:rsidR="003B45FC" w:rsidRPr="0019790A" w14:paraId="7EF04FDA" w14:textId="77777777" w:rsidTr="00722007">
        <w:trPr>
          <w:jc w:val="right"/>
        </w:trPr>
        <w:tc>
          <w:tcPr>
            <w:tcW w:w="3421" w:type="dxa"/>
            <w:vAlign w:val="center"/>
          </w:tcPr>
          <w:p w14:paraId="2D397A71" w14:textId="77777777" w:rsidR="003B45FC" w:rsidRPr="0019790A" w:rsidRDefault="003B45FC" w:rsidP="0019790A">
            <w:pPr>
              <w:pStyle w:val="6"/>
              <w:spacing w:before="0" w:after="0"/>
              <w:rPr>
                <w:rFonts w:ascii="Arial" w:hAnsi="Arial" w:cs="Arial"/>
                <w:lang w:val="uk-UA"/>
              </w:rPr>
            </w:pPr>
            <w:r w:rsidRPr="0019790A">
              <w:rPr>
                <w:rFonts w:ascii="Arial" w:hAnsi="Arial" w:cs="Arial"/>
                <w:lang w:val="uk-UA"/>
              </w:rPr>
              <w:t>Номер і назва завдання з Стратегії</w:t>
            </w:r>
            <w:r w:rsidRPr="0019790A">
              <w:rPr>
                <w:rFonts w:ascii="Arial" w:hAnsi="Arial" w:cs="Arial"/>
                <w:lang w:val="uk-UA" w:eastAsia="it-IT"/>
              </w:rPr>
              <w:t xml:space="preserve"> </w:t>
            </w:r>
            <w:r w:rsidRPr="0019790A">
              <w:rPr>
                <w:rFonts w:ascii="Arial" w:hAnsi="Arial" w:cs="Arial"/>
                <w:lang w:val="uk-UA"/>
              </w:rPr>
              <w:t>розвитку Жмеринської міської територіальної громади,  якому відповідає проєкт:</w:t>
            </w:r>
          </w:p>
        </w:tc>
        <w:tc>
          <w:tcPr>
            <w:tcW w:w="6798" w:type="dxa"/>
            <w:gridSpan w:val="8"/>
            <w:vAlign w:val="center"/>
          </w:tcPr>
          <w:p w14:paraId="111B1606" w14:textId="77777777" w:rsidR="003B45FC" w:rsidRPr="0019790A" w:rsidRDefault="003B45FC" w:rsidP="0019790A">
            <w:pPr>
              <w:rPr>
                <w:rFonts w:cs="Arial"/>
                <w:szCs w:val="22"/>
              </w:rPr>
            </w:pPr>
            <w:r w:rsidRPr="0019790A">
              <w:rPr>
                <w:rFonts w:cs="Arial"/>
                <w:szCs w:val="22"/>
              </w:rPr>
              <w:t>В 2.2.3. Впровадження енергоефективних заходів та обладнання на об’єктах комунальної власності громади, забезпечення термомодернізації об’єктів комунальної власності.</w:t>
            </w:r>
          </w:p>
          <w:p w14:paraId="572896E8" w14:textId="77777777" w:rsidR="003B45FC" w:rsidRPr="0019790A" w:rsidRDefault="003B45FC" w:rsidP="0019790A">
            <w:pPr>
              <w:rPr>
                <w:rFonts w:cs="Arial"/>
                <w:szCs w:val="22"/>
              </w:rPr>
            </w:pPr>
            <w:r w:rsidRPr="0019790A">
              <w:rPr>
                <w:rFonts w:cs="Arial"/>
                <w:szCs w:val="22"/>
              </w:rPr>
              <w:t xml:space="preserve"> С.1.1.2. Розвиток освітньої інфраструктури територіальної громади відповідно до вимог часу</w:t>
            </w:r>
          </w:p>
          <w:p w14:paraId="4B321AFF" w14:textId="77777777" w:rsidR="003B45FC" w:rsidRPr="0019790A" w:rsidRDefault="003B45FC" w:rsidP="0019790A">
            <w:pPr>
              <w:pBdr>
                <w:left w:val="single" w:sz="18" w:space="4" w:color="auto"/>
              </w:pBdr>
              <w:jc w:val="both"/>
              <w:rPr>
                <w:rFonts w:cs="Arial"/>
                <w:bCs/>
                <w:szCs w:val="22"/>
                <w:lang w:eastAsia="it-IT"/>
              </w:rPr>
            </w:pPr>
            <w:r w:rsidRPr="0019790A">
              <w:rPr>
                <w:rFonts w:cs="Arial"/>
                <w:bCs/>
                <w:szCs w:val="22"/>
                <w:lang w:eastAsia="it-IT"/>
              </w:rPr>
              <w:t>С.1.1.2. Розвиток освітньої інфраструктури територіальної громади відповідно до вимог часу</w:t>
            </w:r>
          </w:p>
          <w:p w14:paraId="5C4284DF" w14:textId="77777777" w:rsidR="003B45FC" w:rsidRPr="0019790A" w:rsidRDefault="003B45FC" w:rsidP="0019790A">
            <w:pPr>
              <w:pBdr>
                <w:left w:val="single" w:sz="18" w:space="4" w:color="auto"/>
              </w:pBdr>
              <w:jc w:val="both"/>
              <w:rPr>
                <w:rFonts w:cs="Arial"/>
                <w:bCs/>
                <w:szCs w:val="22"/>
                <w:lang w:eastAsia="it-IT"/>
              </w:rPr>
            </w:pPr>
            <w:r w:rsidRPr="0019790A">
              <w:rPr>
                <w:rFonts w:cs="Arial"/>
                <w:bCs/>
                <w:szCs w:val="22"/>
                <w:lang w:eastAsia="it-IT"/>
              </w:rPr>
              <w:t>С1.2.4. Підвищення рівня санітарної безпеки закладів освіти</w:t>
            </w:r>
            <w:r w:rsidRPr="0019790A">
              <w:rPr>
                <w:rFonts w:cs="Arial"/>
                <w:szCs w:val="22"/>
              </w:rPr>
              <w:t>.</w:t>
            </w:r>
          </w:p>
        </w:tc>
      </w:tr>
      <w:tr w:rsidR="003B45FC" w:rsidRPr="0019790A" w14:paraId="057DB5FB" w14:textId="77777777" w:rsidTr="00722007">
        <w:trPr>
          <w:jc w:val="right"/>
        </w:trPr>
        <w:tc>
          <w:tcPr>
            <w:tcW w:w="3421" w:type="dxa"/>
            <w:vAlign w:val="center"/>
          </w:tcPr>
          <w:p w14:paraId="64344D2A" w14:textId="77777777" w:rsidR="003B45FC" w:rsidRPr="0019790A" w:rsidRDefault="003B45FC" w:rsidP="0019790A">
            <w:pPr>
              <w:rPr>
                <w:rFonts w:cs="Arial"/>
                <w:b/>
                <w:bCs/>
                <w:szCs w:val="22"/>
              </w:rPr>
            </w:pPr>
            <w:r w:rsidRPr="0019790A">
              <w:rPr>
                <w:rFonts w:cs="Arial"/>
                <w:b/>
                <w:bCs/>
                <w:szCs w:val="22"/>
              </w:rPr>
              <w:t>Мета проєкту:</w:t>
            </w:r>
          </w:p>
        </w:tc>
        <w:tc>
          <w:tcPr>
            <w:tcW w:w="6798" w:type="dxa"/>
            <w:gridSpan w:val="8"/>
          </w:tcPr>
          <w:p w14:paraId="45811E8C" w14:textId="77777777" w:rsidR="003B45FC" w:rsidRPr="0019790A" w:rsidRDefault="003B45FC" w:rsidP="0019790A">
            <w:pPr>
              <w:jc w:val="both"/>
              <w:rPr>
                <w:rFonts w:cs="Arial"/>
                <w:szCs w:val="22"/>
                <w:lang w:eastAsia="it-IT"/>
              </w:rPr>
            </w:pPr>
            <w:r w:rsidRPr="0019790A">
              <w:rPr>
                <w:rFonts w:cs="Arial"/>
                <w:szCs w:val="22"/>
              </w:rPr>
              <w:t xml:space="preserve"> Метою проєкту є </w:t>
            </w:r>
            <w:r w:rsidRPr="0019790A">
              <w:rPr>
                <w:rFonts w:eastAsia="Arial" w:cs="Arial"/>
                <w:szCs w:val="22"/>
                <w:shd w:val="clear" w:color="auto" w:fill="FFFFFF"/>
              </w:rPr>
              <w:t>підвищення енергоефективності будівлі, що включає зменшення теплових втрат, зниження витрат на опалення, створення комфортного та здорового мікроклімату для учасників освітнього процесу. Крім того, утеплення може позитивно впливати на естетичний вигляд будівлі та її довговічність.</w:t>
            </w:r>
          </w:p>
        </w:tc>
      </w:tr>
      <w:tr w:rsidR="003B45FC" w:rsidRPr="0019790A" w14:paraId="0862BF97" w14:textId="77777777" w:rsidTr="00722007">
        <w:trPr>
          <w:jc w:val="right"/>
        </w:trPr>
        <w:tc>
          <w:tcPr>
            <w:tcW w:w="3421" w:type="dxa"/>
            <w:vAlign w:val="center"/>
          </w:tcPr>
          <w:p w14:paraId="42BB1ED9" w14:textId="77777777" w:rsidR="003B45FC" w:rsidRPr="0019790A" w:rsidRDefault="003B45FC" w:rsidP="0019790A">
            <w:pPr>
              <w:rPr>
                <w:rFonts w:cs="Arial"/>
                <w:b/>
                <w:bCs/>
                <w:szCs w:val="22"/>
              </w:rPr>
            </w:pPr>
            <w:r w:rsidRPr="0019790A">
              <w:rPr>
                <w:rFonts w:cs="Arial"/>
                <w:b/>
                <w:bCs/>
                <w:szCs w:val="22"/>
              </w:rPr>
              <w:t>Цілі проєкту:</w:t>
            </w:r>
          </w:p>
        </w:tc>
        <w:tc>
          <w:tcPr>
            <w:tcW w:w="6798" w:type="dxa"/>
            <w:gridSpan w:val="8"/>
          </w:tcPr>
          <w:p w14:paraId="1F9B3B4F" w14:textId="77777777" w:rsidR="003B45FC" w:rsidRPr="0019790A" w:rsidRDefault="003B45FC" w:rsidP="0019790A">
            <w:pPr>
              <w:shd w:val="clear" w:color="auto" w:fill="FFFFFF"/>
              <w:jc w:val="both"/>
              <w:rPr>
                <w:rFonts w:cs="Arial"/>
                <w:szCs w:val="22"/>
              </w:rPr>
            </w:pPr>
            <w:r w:rsidRPr="0019790A">
              <w:rPr>
                <w:rFonts w:cs="Arial"/>
                <w:szCs w:val="22"/>
              </w:rPr>
              <w:t xml:space="preserve">Створення комфортних та безпечних умов для навчання та праці, що відповідають сучасним будівельним, санітарним вимогам та нормам, Підвищення якості надання освітніх послуг. </w:t>
            </w:r>
          </w:p>
          <w:p w14:paraId="213EFC53" w14:textId="77777777" w:rsidR="003B45FC" w:rsidRPr="0019790A" w:rsidRDefault="003B45FC" w:rsidP="0019790A">
            <w:pPr>
              <w:jc w:val="both"/>
              <w:rPr>
                <w:rFonts w:cs="Arial"/>
                <w:szCs w:val="22"/>
                <w:lang w:eastAsia="it-IT"/>
              </w:rPr>
            </w:pPr>
            <w:r w:rsidRPr="0019790A">
              <w:rPr>
                <w:rFonts w:cs="Arial"/>
                <w:szCs w:val="22"/>
              </w:rPr>
              <w:t>Забезпечення енергозберження в закладах освіти.</w:t>
            </w:r>
          </w:p>
        </w:tc>
      </w:tr>
      <w:tr w:rsidR="003B45FC" w:rsidRPr="0019790A" w14:paraId="25822CF0" w14:textId="77777777" w:rsidTr="00722007">
        <w:trPr>
          <w:jc w:val="right"/>
        </w:trPr>
        <w:tc>
          <w:tcPr>
            <w:tcW w:w="3421" w:type="dxa"/>
            <w:vAlign w:val="center"/>
          </w:tcPr>
          <w:p w14:paraId="4F5CC99D" w14:textId="77777777" w:rsidR="003B45FC" w:rsidRPr="0019790A" w:rsidRDefault="003B45FC" w:rsidP="0019790A">
            <w:pPr>
              <w:autoSpaceDE w:val="0"/>
              <w:autoSpaceDN w:val="0"/>
              <w:adjustRightInd w:val="0"/>
              <w:rPr>
                <w:rFonts w:cs="Arial"/>
                <w:b/>
                <w:szCs w:val="22"/>
              </w:rPr>
            </w:pPr>
            <w:r w:rsidRPr="0019790A">
              <w:rPr>
                <w:rFonts w:cs="Arial"/>
                <w:b/>
                <w:szCs w:val="22"/>
              </w:rPr>
              <w:t>Територія на яку проєкт матиме вплив:</w:t>
            </w:r>
          </w:p>
        </w:tc>
        <w:tc>
          <w:tcPr>
            <w:tcW w:w="6798" w:type="dxa"/>
            <w:gridSpan w:val="8"/>
          </w:tcPr>
          <w:p w14:paraId="35AF69FF" w14:textId="77777777" w:rsidR="003B45FC" w:rsidRPr="0019790A" w:rsidRDefault="003B45FC" w:rsidP="0019790A">
            <w:pPr>
              <w:rPr>
                <w:rFonts w:cs="Arial"/>
                <w:szCs w:val="22"/>
                <w:lang w:eastAsia="it-IT"/>
              </w:rPr>
            </w:pPr>
            <w:r w:rsidRPr="0019790A">
              <w:rPr>
                <w:rFonts w:cs="Arial"/>
                <w:szCs w:val="22"/>
                <w:lang w:eastAsia="it-IT"/>
              </w:rPr>
              <w:t xml:space="preserve">Територія Жмеринської міської територіальної громади </w:t>
            </w:r>
          </w:p>
        </w:tc>
      </w:tr>
      <w:tr w:rsidR="003B45FC" w:rsidRPr="0019790A" w14:paraId="1F11DFDF" w14:textId="77777777" w:rsidTr="00722007">
        <w:trPr>
          <w:jc w:val="right"/>
        </w:trPr>
        <w:tc>
          <w:tcPr>
            <w:tcW w:w="3421" w:type="dxa"/>
            <w:vAlign w:val="center"/>
          </w:tcPr>
          <w:p w14:paraId="0E02A9BD" w14:textId="77777777" w:rsidR="003B45FC" w:rsidRPr="0019790A" w:rsidRDefault="003B45FC" w:rsidP="0019790A">
            <w:pPr>
              <w:autoSpaceDE w:val="0"/>
              <w:autoSpaceDN w:val="0"/>
              <w:adjustRightInd w:val="0"/>
              <w:rPr>
                <w:rFonts w:cs="Arial"/>
                <w:b/>
                <w:szCs w:val="22"/>
              </w:rPr>
            </w:pPr>
            <w:r w:rsidRPr="0019790A">
              <w:rPr>
                <w:rFonts w:cs="Arial"/>
                <w:b/>
                <w:szCs w:val="22"/>
              </w:rPr>
              <w:t>Цільові групи проєкту та кількість отримувачів вигоди</w:t>
            </w:r>
          </w:p>
        </w:tc>
        <w:tc>
          <w:tcPr>
            <w:tcW w:w="6798" w:type="dxa"/>
            <w:gridSpan w:val="8"/>
          </w:tcPr>
          <w:p w14:paraId="17367421" w14:textId="77777777" w:rsidR="003B45FC" w:rsidRPr="0019790A" w:rsidRDefault="003B45FC" w:rsidP="0019790A">
            <w:pPr>
              <w:pStyle w:val="TableParagraph"/>
              <w:rPr>
                <w:rFonts w:ascii="Arial" w:hAnsi="Arial" w:cs="Arial"/>
              </w:rPr>
            </w:pPr>
            <w:r w:rsidRPr="0019790A">
              <w:rPr>
                <w:rFonts w:ascii="Arial" w:hAnsi="Arial" w:cs="Arial"/>
              </w:rPr>
              <w:t>Здобувачі освіти, педагоги, батьки, жителі громади</w:t>
            </w:r>
          </w:p>
        </w:tc>
      </w:tr>
      <w:tr w:rsidR="003B45FC" w:rsidRPr="0019790A" w14:paraId="5221CF8D" w14:textId="77777777" w:rsidTr="00722007">
        <w:trPr>
          <w:jc w:val="right"/>
        </w:trPr>
        <w:tc>
          <w:tcPr>
            <w:tcW w:w="3421" w:type="dxa"/>
            <w:shd w:val="clear" w:color="auto" w:fill="FFFFFF"/>
            <w:vAlign w:val="center"/>
          </w:tcPr>
          <w:p w14:paraId="0BC6253D" w14:textId="77777777" w:rsidR="003B45FC" w:rsidRPr="0019790A" w:rsidRDefault="003B45FC" w:rsidP="0019790A">
            <w:pPr>
              <w:rPr>
                <w:rFonts w:cs="Arial"/>
                <w:b/>
                <w:bCs/>
                <w:szCs w:val="22"/>
              </w:rPr>
            </w:pPr>
            <w:r w:rsidRPr="0019790A">
              <w:rPr>
                <w:rFonts w:cs="Arial"/>
                <w:b/>
                <w:bCs/>
                <w:szCs w:val="22"/>
              </w:rPr>
              <w:t>Стислий опис проєкту:</w:t>
            </w:r>
          </w:p>
        </w:tc>
        <w:tc>
          <w:tcPr>
            <w:tcW w:w="6798" w:type="dxa"/>
            <w:gridSpan w:val="8"/>
          </w:tcPr>
          <w:p w14:paraId="4B8F439E" w14:textId="77777777" w:rsidR="003B45FC" w:rsidRPr="0019790A" w:rsidRDefault="003B45FC" w:rsidP="0019790A">
            <w:pPr>
              <w:jc w:val="both"/>
              <w:rPr>
                <w:rFonts w:cs="Arial"/>
                <w:szCs w:val="22"/>
                <w:lang w:eastAsia="it-IT"/>
              </w:rPr>
            </w:pPr>
            <w:r w:rsidRPr="0019790A">
              <w:rPr>
                <w:rFonts w:cs="Arial"/>
                <w:szCs w:val="22"/>
                <w:shd w:val="clear" w:color="auto" w:fill="FFFFFF"/>
              </w:rPr>
              <w:t xml:space="preserve"> </w:t>
            </w:r>
            <w:r w:rsidRPr="0019790A">
              <w:rPr>
                <w:rFonts w:eastAsia="MS Mincho" w:cs="Arial"/>
                <w:szCs w:val="22"/>
                <w:lang w:eastAsia="uk-UA"/>
              </w:rPr>
              <w:t>З</w:t>
            </w:r>
            <w:r w:rsidRPr="0019790A">
              <w:rPr>
                <w:rFonts w:cs="Arial"/>
                <w:szCs w:val="22"/>
              </w:rPr>
              <w:t xml:space="preserve">ношеність освітньої інфраструктури зумовлює проблеми щодо забезпечення сучасного енергоефективного освітнього простору в закладах освіти. Реалізація проєкту сприятиме створенню комфортних умов для здійснення освітнього процесу, економії споживання енергоносіїв, дотриманню Санітарного регламенту щодо забезпечення належного температурного режиму в закладах освіти  </w:t>
            </w:r>
          </w:p>
        </w:tc>
      </w:tr>
      <w:tr w:rsidR="003B45FC" w:rsidRPr="0019790A" w14:paraId="505CAFB4" w14:textId="77777777" w:rsidTr="00722007">
        <w:trPr>
          <w:jc w:val="right"/>
        </w:trPr>
        <w:tc>
          <w:tcPr>
            <w:tcW w:w="3421" w:type="dxa"/>
            <w:shd w:val="clear" w:color="auto" w:fill="FFFFFF"/>
            <w:vAlign w:val="center"/>
          </w:tcPr>
          <w:p w14:paraId="7624352D" w14:textId="77777777" w:rsidR="003B45FC" w:rsidRPr="0019790A" w:rsidRDefault="003B45FC" w:rsidP="0019790A">
            <w:pPr>
              <w:rPr>
                <w:rFonts w:cs="Arial"/>
                <w:b/>
                <w:bCs/>
                <w:szCs w:val="22"/>
              </w:rPr>
            </w:pPr>
            <w:r w:rsidRPr="0019790A">
              <w:rPr>
                <w:rFonts w:cs="Arial"/>
                <w:b/>
                <w:bCs/>
                <w:szCs w:val="22"/>
              </w:rPr>
              <w:t>Основні заходи проєкту:</w:t>
            </w:r>
          </w:p>
        </w:tc>
        <w:tc>
          <w:tcPr>
            <w:tcW w:w="6798" w:type="dxa"/>
            <w:gridSpan w:val="8"/>
          </w:tcPr>
          <w:p w14:paraId="66190132" w14:textId="77777777" w:rsidR="003B45FC" w:rsidRPr="0019790A" w:rsidRDefault="003B45FC" w:rsidP="0019790A">
            <w:pPr>
              <w:pStyle w:val="af4"/>
              <w:numPr>
                <w:ilvl w:val="0"/>
                <w:numId w:val="16"/>
              </w:numPr>
              <w:suppressAutoHyphens w:val="0"/>
              <w:spacing w:after="0" w:line="240" w:lineRule="auto"/>
              <w:contextualSpacing/>
              <w:jc w:val="both"/>
              <w:rPr>
                <w:rFonts w:ascii="Arial" w:hAnsi="Arial" w:cs="Arial"/>
                <w:b/>
              </w:rPr>
            </w:pPr>
            <w:r w:rsidRPr="0019790A">
              <w:rPr>
                <w:rFonts w:ascii="Arial" w:hAnsi="Arial" w:cs="Arial"/>
              </w:rPr>
              <w:t xml:space="preserve">Виготовлення ПКД </w:t>
            </w:r>
          </w:p>
          <w:p w14:paraId="684FD31F" w14:textId="77777777" w:rsidR="003B45FC" w:rsidRPr="0019790A" w:rsidRDefault="003B45FC" w:rsidP="0019790A">
            <w:pPr>
              <w:pStyle w:val="af4"/>
              <w:numPr>
                <w:ilvl w:val="0"/>
                <w:numId w:val="16"/>
              </w:numPr>
              <w:suppressAutoHyphens w:val="0"/>
              <w:spacing w:after="0" w:line="240" w:lineRule="auto"/>
              <w:contextualSpacing/>
              <w:jc w:val="both"/>
              <w:rPr>
                <w:rFonts w:ascii="Arial" w:hAnsi="Arial" w:cs="Arial"/>
                <w:b/>
              </w:rPr>
            </w:pPr>
            <w:r w:rsidRPr="0019790A">
              <w:rPr>
                <w:rFonts w:ascii="Arial" w:hAnsi="Arial" w:cs="Arial"/>
              </w:rPr>
              <w:t>Проведення процедури закупівлі</w:t>
            </w:r>
          </w:p>
          <w:p w14:paraId="5963450B" w14:textId="77777777" w:rsidR="003B45FC" w:rsidRPr="0019790A" w:rsidRDefault="003B45FC" w:rsidP="0019790A">
            <w:pPr>
              <w:pStyle w:val="af4"/>
              <w:numPr>
                <w:ilvl w:val="0"/>
                <w:numId w:val="16"/>
              </w:numPr>
              <w:suppressAutoHyphens w:val="0"/>
              <w:spacing w:after="0" w:line="240" w:lineRule="auto"/>
              <w:contextualSpacing/>
              <w:jc w:val="both"/>
              <w:rPr>
                <w:rFonts w:ascii="Arial" w:hAnsi="Arial" w:cs="Arial"/>
                <w:b/>
              </w:rPr>
            </w:pPr>
            <w:r w:rsidRPr="0019790A">
              <w:rPr>
                <w:rFonts w:ascii="Arial" w:hAnsi="Arial" w:cs="Arial"/>
              </w:rPr>
              <w:t xml:space="preserve">Проведення робіт з модернізації покрівлі  ЗДО № 6 «Казочка» </w:t>
            </w:r>
            <w:r w:rsidRPr="0019790A">
              <w:rPr>
                <w:rFonts w:ascii="Arial" w:hAnsi="Arial" w:cs="Arial"/>
                <w:lang w:eastAsia="it-IT"/>
              </w:rPr>
              <w:t xml:space="preserve"> </w:t>
            </w:r>
          </w:p>
        </w:tc>
      </w:tr>
      <w:tr w:rsidR="003B45FC" w:rsidRPr="0019790A" w14:paraId="70565351" w14:textId="77777777" w:rsidTr="00722007">
        <w:trPr>
          <w:jc w:val="right"/>
        </w:trPr>
        <w:tc>
          <w:tcPr>
            <w:tcW w:w="3421" w:type="dxa"/>
            <w:shd w:val="clear" w:color="auto" w:fill="FFFFFF"/>
            <w:vAlign w:val="center"/>
          </w:tcPr>
          <w:p w14:paraId="0ECD7E23" w14:textId="77777777" w:rsidR="003B45FC" w:rsidRPr="0019790A" w:rsidRDefault="003B45FC" w:rsidP="0019790A">
            <w:pPr>
              <w:rPr>
                <w:rFonts w:cs="Arial"/>
                <w:b/>
                <w:bCs/>
                <w:szCs w:val="22"/>
              </w:rPr>
            </w:pPr>
            <w:r w:rsidRPr="0019790A">
              <w:rPr>
                <w:rFonts w:cs="Arial"/>
                <w:b/>
                <w:bCs/>
                <w:szCs w:val="22"/>
              </w:rPr>
              <w:t>Індикатори (показники) результативності:</w:t>
            </w:r>
          </w:p>
        </w:tc>
        <w:tc>
          <w:tcPr>
            <w:tcW w:w="6798" w:type="dxa"/>
            <w:gridSpan w:val="8"/>
          </w:tcPr>
          <w:p w14:paraId="7C6CADD9" w14:textId="77777777" w:rsidR="003B45FC" w:rsidRPr="0019790A" w:rsidRDefault="003B45FC" w:rsidP="0019790A">
            <w:pPr>
              <w:rPr>
                <w:rFonts w:cs="Arial"/>
                <w:szCs w:val="22"/>
                <w:lang w:eastAsia="it-IT"/>
              </w:rPr>
            </w:pPr>
            <w:r w:rsidRPr="0019790A">
              <w:rPr>
                <w:rFonts w:cs="Arial"/>
                <w:szCs w:val="22"/>
              </w:rPr>
              <w:t xml:space="preserve"> </w:t>
            </w:r>
            <w:r w:rsidRPr="0019790A">
              <w:rPr>
                <w:rFonts w:cs="Arial"/>
                <w:szCs w:val="22"/>
                <w:lang w:eastAsia="it-IT"/>
              </w:rPr>
              <w:t xml:space="preserve">Покращення теплового режиму в приміщеннях (зниження втрат тепла на 20-30%).  </w:t>
            </w:r>
            <w:r w:rsidRPr="0019790A">
              <w:rPr>
                <w:rFonts w:cs="Arial"/>
                <w:szCs w:val="22"/>
              </w:rPr>
              <w:t xml:space="preserve"> </w:t>
            </w:r>
          </w:p>
        </w:tc>
      </w:tr>
      <w:tr w:rsidR="003B45FC" w:rsidRPr="0019790A" w14:paraId="17212CA7" w14:textId="77777777" w:rsidTr="00722007">
        <w:trPr>
          <w:jc w:val="right"/>
        </w:trPr>
        <w:tc>
          <w:tcPr>
            <w:tcW w:w="3421" w:type="dxa"/>
            <w:shd w:val="clear" w:color="auto" w:fill="FFFFFF"/>
            <w:vAlign w:val="center"/>
          </w:tcPr>
          <w:p w14:paraId="3AC74370" w14:textId="77777777" w:rsidR="003B45FC" w:rsidRPr="0019790A" w:rsidRDefault="003B45FC" w:rsidP="0019790A">
            <w:pPr>
              <w:rPr>
                <w:rFonts w:cs="Arial"/>
                <w:b/>
                <w:szCs w:val="22"/>
              </w:rPr>
            </w:pPr>
            <w:r w:rsidRPr="0019790A">
              <w:rPr>
                <w:rFonts w:cs="Arial"/>
                <w:b/>
                <w:szCs w:val="22"/>
              </w:rPr>
              <w:t xml:space="preserve">Період здійснення: </w:t>
            </w:r>
          </w:p>
        </w:tc>
        <w:tc>
          <w:tcPr>
            <w:tcW w:w="6798" w:type="dxa"/>
            <w:gridSpan w:val="8"/>
            <w:vAlign w:val="center"/>
          </w:tcPr>
          <w:p w14:paraId="0972E0A7" w14:textId="77777777" w:rsidR="003B45FC" w:rsidRPr="0019790A" w:rsidRDefault="003B45FC" w:rsidP="0019790A">
            <w:pPr>
              <w:rPr>
                <w:rFonts w:cs="Arial"/>
                <w:szCs w:val="22"/>
                <w:lang w:eastAsia="it-IT"/>
              </w:rPr>
            </w:pPr>
            <w:r w:rsidRPr="0019790A">
              <w:rPr>
                <w:rFonts w:cs="Arial"/>
                <w:b/>
                <w:szCs w:val="22"/>
              </w:rPr>
              <w:t>2025 – 2028 роки:</w:t>
            </w:r>
          </w:p>
        </w:tc>
      </w:tr>
      <w:tr w:rsidR="003B45FC" w:rsidRPr="0019790A" w14:paraId="62589572" w14:textId="77777777" w:rsidTr="00722007">
        <w:trPr>
          <w:jc w:val="right"/>
        </w:trPr>
        <w:tc>
          <w:tcPr>
            <w:tcW w:w="3421" w:type="dxa"/>
            <w:vMerge w:val="restart"/>
            <w:shd w:val="clear" w:color="auto" w:fill="FFFFFF"/>
            <w:vAlign w:val="center"/>
          </w:tcPr>
          <w:p w14:paraId="6EBACF2B" w14:textId="77777777" w:rsidR="003B45FC" w:rsidRPr="0019790A" w:rsidRDefault="003B45FC" w:rsidP="0019790A">
            <w:pPr>
              <w:rPr>
                <w:rFonts w:cs="Arial"/>
                <w:b/>
                <w:bCs/>
                <w:szCs w:val="22"/>
              </w:rPr>
            </w:pPr>
            <w:r w:rsidRPr="0019790A">
              <w:rPr>
                <w:rFonts w:cs="Arial"/>
                <w:b/>
                <w:bCs/>
                <w:szCs w:val="22"/>
              </w:rPr>
              <w:t>Орієнтовна вартість проєкту, тис. грн., в тому числі:</w:t>
            </w:r>
          </w:p>
        </w:tc>
        <w:tc>
          <w:tcPr>
            <w:tcW w:w="1254" w:type="dxa"/>
            <w:shd w:val="clear" w:color="auto" w:fill="E6E6E6"/>
            <w:vAlign w:val="center"/>
          </w:tcPr>
          <w:p w14:paraId="0FAA8FEC" w14:textId="77777777" w:rsidR="003B45FC" w:rsidRPr="0019790A" w:rsidRDefault="003B45FC" w:rsidP="0019790A">
            <w:pPr>
              <w:jc w:val="center"/>
              <w:rPr>
                <w:rFonts w:cs="Arial"/>
                <w:b/>
                <w:szCs w:val="22"/>
                <w:lang w:eastAsia="it-IT"/>
              </w:rPr>
            </w:pPr>
            <w:r w:rsidRPr="0019790A">
              <w:rPr>
                <w:rFonts w:cs="Arial"/>
                <w:b/>
                <w:szCs w:val="22"/>
                <w:lang w:eastAsia="it-IT"/>
              </w:rPr>
              <w:t>2025</w:t>
            </w:r>
          </w:p>
        </w:tc>
        <w:tc>
          <w:tcPr>
            <w:tcW w:w="1274" w:type="dxa"/>
            <w:gridSpan w:val="2"/>
            <w:shd w:val="clear" w:color="auto" w:fill="E6E6E6"/>
            <w:vAlign w:val="center"/>
          </w:tcPr>
          <w:p w14:paraId="1D600869" w14:textId="77777777" w:rsidR="003B45FC" w:rsidRPr="0019790A" w:rsidRDefault="003B45FC" w:rsidP="0019790A">
            <w:pPr>
              <w:jc w:val="center"/>
              <w:rPr>
                <w:rFonts w:cs="Arial"/>
                <w:b/>
                <w:szCs w:val="22"/>
                <w:lang w:eastAsia="it-IT"/>
              </w:rPr>
            </w:pPr>
            <w:r w:rsidRPr="0019790A">
              <w:rPr>
                <w:rFonts w:cs="Arial"/>
                <w:b/>
                <w:szCs w:val="22"/>
                <w:lang w:eastAsia="it-IT"/>
              </w:rPr>
              <w:t>2026</w:t>
            </w:r>
          </w:p>
        </w:tc>
        <w:tc>
          <w:tcPr>
            <w:tcW w:w="1417" w:type="dxa"/>
            <w:tcBorders>
              <w:bottom w:val="single" w:sz="4" w:space="0" w:color="auto"/>
            </w:tcBorders>
            <w:shd w:val="clear" w:color="auto" w:fill="E6E6E6"/>
            <w:vAlign w:val="center"/>
          </w:tcPr>
          <w:p w14:paraId="082F560D" w14:textId="77777777" w:rsidR="003B45FC" w:rsidRPr="0019790A" w:rsidRDefault="003B45FC" w:rsidP="0019790A">
            <w:pPr>
              <w:jc w:val="center"/>
              <w:rPr>
                <w:rFonts w:cs="Arial"/>
                <w:b/>
                <w:szCs w:val="22"/>
                <w:lang w:eastAsia="it-IT"/>
              </w:rPr>
            </w:pPr>
            <w:r w:rsidRPr="0019790A">
              <w:rPr>
                <w:rFonts w:cs="Arial"/>
                <w:b/>
                <w:szCs w:val="22"/>
                <w:lang w:eastAsia="it-IT"/>
              </w:rPr>
              <w:t>2027</w:t>
            </w:r>
          </w:p>
        </w:tc>
        <w:tc>
          <w:tcPr>
            <w:tcW w:w="1276" w:type="dxa"/>
            <w:gridSpan w:val="2"/>
            <w:shd w:val="clear" w:color="auto" w:fill="E6E6E6"/>
            <w:vAlign w:val="center"/>
          </w:tcPr>
          <w:p w14:paraId="1B04E327" w14:textId="77777777" w:rsidR="003B45FC" w:rsidRPr="0019790A" w:rsidRDefault="003B45FC" w:rsidP="0019790A">
            <w:pPr>
              <w:jc w:val="center"/>
              <w:rPr>
                <w:rFonts w:cs="Arial"/>
                <w:b/>
                <w:szCs w:val="22"/>
                <w:lang w:eastAsia="it-IT"/>
              </w:rPr>
            </w:pPr>
            <w:r w:rsidRPr="0019790A">
              <w:rPr>
                <w:rFonts w:cs="Arial"/>
                <w:b/>
                <w:szCs w:val="22"/>
                <w:lang w:eastAsia="it-IT"/>
              </w:rPr>
              <w:t>2028</w:t>
            </w:r>
          </w:p>
        </w:tc>
        <w:tc>
          <w:tcPr>
            <w:tcW w:w="1577" w:type="dxa"/>
            <w:gridSpan w:val="2"/>
            <w:shd w:val="clear" w:color="auto" w:fill="E6E6E6"/>
            <w:vAlign w:val="center"/>
          </w:tcPr>
          <w:p w14:paraId="258B0C03" w14:textId="77777777" w:rsidR="003B45FC" w:rsidRPr="0019790A" w:rsidRDefault="003B45FC" w:rsidP="0019790A">
            <w:pPr>
              <w:jc w:val="center"/>
              <w:rPr>
                <w:rFonts w:cs="Arial"/>
                <w:b/>
                <w:szCs w:val="22"/>
                <w:lang w:eastAsia="it-IT"/>
              </w:rPr>
            </w:pPr>
            <w:r w:rsidRPr="0019790A">
              <w:rPr>
                <w:rFonts w:cs="Arial"/>
                <w:b/>
                <w:szCs w:val="22"/>
                <w:lang w:eastAsia="it-IT"/>
              </w:rPr>
              <w:t>РАЗОМ</w:t>
            </w:r>
          </w:p>
        </w:tc>
      </w:tr>
      <w:tr w:rsidR="003B45FC" w:rsidRPr="0019790A" w14:paraId="270CB24B" w14:textId="77777777" w:rsidTr="00722007">
        <w:trPr>
          <w:jc w:val="right"/>
        </w:trPr>
        <w:tc>
          <w:tcPr>
            <w:tcW w:w="3421" w:type="dxa"/>
            <w:vMerge/>
            <w:shd w:val="clear" w:color="auto" w:fill="FFFFFF"/>
            <w:vAlign w:val="center"/>
          </w:tcPr>
          <w:p w14:paraId="7B6A25C1" w14:textId="77777777" w:rsidR="003B45FC" w:rsidRPr="0019790A" w:rsidRDefault="003B45FC" w:rsidP="0019790A">
            <w:pPr>
              <w:rPr>
                <w:rFonts w:cs="Arial"/>
                <w:b/>
                <w:bCs/>
                <w:szCs w:val="22"/>
              </w:rPr>
            </w:pPr>
          </w:p>
        </w:tc>
        <w:tc>
          <w:tcPr>
            <w:tcW w:w="1254" w:type="dxa"/>
            <w:vAlign w:val="center"/>
          </w:tcPr>
          <w:p w14:paraId="32375A2B" w14:textId="77777777" w:rsidR="003B45FC" w:rsidRPr="0019790A" w:rsidRDefault="003B45FC" w:rsidP="0019790A">
            <w:pPr>
              <w:jc w:val="center"/>
              <w:rPr>
                <w:rFonts w:cs="Arial"/>
                <w:b/>
                <w:szCs w:val="22"/>
                <w:lang w:eastAsia="it-IT"/>
              </w:rPr>
            </w:pPr>
          </w:p>
        </w:tc>
        <w:tc>
          <w:tcPr>
            <w:tcW w:w="1274" w:type="dxa"/>
            <w:gridSpan w:val="2"/>
            <w:shd w:val="clear" w:color="auto" w:fill="FFFFFF"/>
            <w:vAlign w:val="center"/>
          </w:tcPr>
          <w:p w14:paraId="108B039C" w14:textId="77777777" w:rsidR="003B45FC" w:rsidRPr="0019790A" w:rsidRDefault="003B45FC" w:rsidP="00722007">
            <w:pPr>
              <w:jc w:val="center"/>
              <w:rPr>
                <w:rFonts w:cs="Arial"/>
                <w:b/>
                <w:szCs w:val="22"/>
                <w:lang w:eastAsia="it-IT"/>
              </w:rPr>
            </w:pPr>
            <w:r w:rsidRPr="0019790A">
              <w:rPr>
                <w:rFonts w:cs="Arial"/>
                <w:b/>
                <w:szCs w:val="22"/>
                <w:lang w:eastAsia="it-IT"/>
              </w:rPr>
              <w:t>6 000,00</w:t>
            </w:r>
          </w:p>
        </w:tc>
        <w:tc>
          <w:tcPr>
            <w:tcW w:w="1417" w:type="dxa"/>
            <w:shd w:val="clear" w:color="auto" w:fill="auto"/>
            <w:vAlign w:val="center"/>
          </w:tcPr>
          <w:p w14:paraId="40161EEF" w14:textId="77777777" w:rsidR="003B45FC" w:rsidRPr="0019790A" w:rsidRDefault="003B45FC" w:rsidP="00722007">
            <w:pPr>
              <w:jc w:val="center"/>
              <w:rPr>
                <w:rFonts w:cs="Arial"/>
                <w:b/>
                <w:szCs w:val="22"/>
                <w:lang w:eastAsia="it-IT"/>
              </w:rPr>
            </w:pPr>
          </w:p>
        </w:tc>
        <w:tc>
          <w:tcPr>
            <w:tcW w:w="1276" w:type="dxa"/>
            <w:gridSpan w:val="2"/>
            <w:shd w:val="clear" w:color="auto" w:fill="FFFFFF"/>
            <w:vAlign w:val="center"/>
          </w:tcPr>
          <w:p w14:paraId="2BAD978F" w14:textId="77777777" w:rsidR="003B45FC" w:rsidRPr="0019790A" w:rsidRDefault="003B45FC" w:rsidP="00722007">
            <w:pPr>
              <w:jc w:val="center"/>
              <w:rPr>
                <w:rFonts w:cs="Arial"/>
                <w:b/>
                <w:szCs w:val="22"/>
                <w:lang w:eastAsia="it-IT"/>
              </w:rPr>
            </w:pPr>
          </w:p>
        </w:tc>
        <w:tc>
          <w:tcPr>
            <w:tcW w:w="1577" w:type="dxa"/>
            <w:gridSpan w:val="2"/>
            <w:shd w:val="clear" w:color="auto" w:fill="FFFFFF"/>
            <w:vAlign w:val="center"/>
          </w:tcPr>
          <w:p w14:paraId="3D9C0F88" w14:textId="46CD82B2" w:rsidR="003B45FC" w:rsidRPr="0019790A" w:rsidRDefault="003B45FC" w:rsidP="00722007">
            <w:pPr>
              <w:jc w:val="center"/>
              <w:rPr>
                <w:rFonts w:cs="Arial"/>
                <w:b/>
                <w:szCs w:val="22"/>
                <w:lang w:eastAsia="it-IT"/>
              </w:rPr>
            </w:pPr>
            <w:r w:rsidRPr="0019790A">
              <w:rPr>
                <w:rFonts w:cs="Arial"/>
                <w:b/>
                <w:szCs w:val="22"/>
                <w:lang w:eastAsia="it-IT"/>
              </w:rPr>
              <w:t>6 000,0</w:t>
            </w:r>
          </w:p>
        </w:tc>
      </w:tr>
      <w:tr w:rsidR="003B45FC" w:rsidRPr="0019790A" w14:paraId="4593C5C8" w14:textId="77777777" w:rsidTr="00722007">
        <w:trPr>
          <w:trHeight w:val="276"/>
          <w:jc w:val="right"/>
        </w:trPr>
        <w:tc>
          <w:tcPr>
            <w:tcW w:w="3421" w:type="dxa"/>
            <w:shd w:val="clear" w:color="auto" w:fill="FFFFFF"/>
            <w:vAlign w:val="center"/>
          </w:tcPr>
          <w:p w14:paraId="2D20B194" w14:textId="77777777" w:rsidR="003B45FC" w:rsidRPr="0019790A" w:rsidRDefault="003B45FC" w:rsidP="0019790A">
            <w:pPr>
              <w:rPr>
                <w:rFonts w:cs="Arial"/>
                <w:b/>
                <w:bCs/>
                <w:szCs w:val="22"/>
              </w:rPr>
            </w:pPr>
            <w:r w:rsidRPr="0019790A">
              <w:rPr>
                <w:rFonts w:cs="Arial"/>
                <w:b/>
                <w:bCs/>
                <w:szCs w:val="22"/>
              </w:rPr>
              <w:t>по джерелах фінансування:</w:t>
            </w:r>
          </w:p>
        </w:tc>
        <w:tc>
          <w:tcPr>
            <w:tcW w:w="6798" w:type="dxa"/>
            <w:gridSpan w:val="8"/>
            <w:vAlign w:val="center"/>
          </w:tcPr>
          <w:p w14:paraId="5A49356F" w14:textId="77777777" w:rsidR="003B45FC" w:rsidRPr="0019790A" w:rsidRDefault="003B45FC" w:rsidP="00722007">
            <w:pPr>
              <w:jc w:val="center"/>
              <w:rPr>
                <w:rFonts w:cs="Arial"/>
                <w:szCs w:val="22"/>
                <w:lang w:eastAsia="it-IT"/>
              </w:rPr>
            </w:pPr>
          </w:p>
        </w:tc>
      </w:tr>
      <w:tr w:rsidR="00722007" w:rsidRPr="0019790A" w14:paraId="7ABEC4BC" w14:textId="5589E2B5" w:rsidTr="00722007">
        <w:trPr>
          <w:trHeight w:val="240"/>
          <w:jc w:val="right"/>
        </w:trPr>
        <w:tc>
          <w:tcPr>
            <w:tcW w:w="3421" w:type="dxa"/>
            <w:shd w:val="clear" w:color="auto" w:fill="FFFFFF"/>
            <w:vAlign w:val="center"/>
          </w:tcPr>
          <w:p w14:paraId="5117570E" w14:textId="77777777" w:rsidR="00722007" w:rsidRPr="0019790A" w:rsidRDefault="00722007" w:rsidP="0019790A">
            <w:pPr>
              <w:rPr>
                <w:rFonts w:cs="Arial"/>
                <w:b/>
                <w:bCs/>
                <w:szCs w:val="22"/>
              </w:rPr>
            </w:pPr>
            <w:r w:rsidRPr="0019790A">
              <w:rPr>
                <w:rFonts w:cs="Arial"/>
                <w:szCs w:val="22"/>
              </w:rPr>
              <w:t>- державний бюджет</w:t>
            </w:r>
          </w:p>
        </w:tc>
        <w:tc>
          <w:tcPr>
            <w:tcW w:w="1302" w:type="dxa"/>
            <w:gridSpan w:val="2"/>
            <w:vAlign w:val="center"/>
          </w:tcPr>
          <w:p w14:paraId="0773A648" w14:textId="77777777" w:rsidR="00722007" w:rsidRPr="0019790A" w:rsidRDefault="00722007" w:rsidP="00722007">
            <w:pPr>
              <w:jc w:val="center"/>
              <w:rPr>
                <w:rFonts w:cs="Arial"/>
                <w:szCs w:val="22"/>
                <w:lang w:eastAsia="it-IT"/>
              </w:rPr>
            </w:pPr>
          </w:p>
        </w:tc>
        <w:tc>
          <w:tcPr>
            <w:tcW w:w="1226" w:type="dxa"/>
            <w:vAlign w:val="center"/>
          </w:tcPr>
          <w:p w14:paraId="49E3EDB3" w14:textId="77777777" w:rsidR="00722007" w:rsidRPr="0019790A" w:rsidRDefault="00722007" w:rsidP="00722007">
            <w:pPr>
              <w:jc w:val="center"/>
              <w:rPr>
                <w:rFonts w:cs="Arial"/>
                <w:szCs w:val="22"/>
                <w:lang w:eastAsia="it-IT"/>
              </w:rPr>
            </w:pPr>
          </w:p>
        </w:tc>
        <w:tc>
          <w:tcPr>
            <w:tcW w:w="1430" w:type="dxa"/>
            <w:gridSpan w:val="2"/>
            <w:vAlign w:val="center"/>
          </w:tcPr>
          <w:p w14:paraId="2719F7EC" w14:textId="77777777" w:rsidR="00722007" w:rsidRPr="0019790A" w:rsidRDefault="00722007" w:rsidP="00722007">
            <w:pPr>
              <w:jc w:val="center"/>
              <w:rPr>
                <w:rFonts w:cs="Arial"/>
                <w:szCs w:val="22"/>
                <w:lang w:eastAsia="it-IT"/>
              </w:rPr>
            </w:pPr>
          </w:p>
        </w:tc>
        <w:tc>
          <w:tcPr>
            <w:tcW w:w="1263" w:type="dxa"/>
            <w:vAlign w:val="center"/>
          </w:tcPr>
          <w:p w14:paraId="4AF378C8" w14:textId="77777777" w:rsidR="00722007" w:rsidRPr="0019790A" w:rsidRDefault="00722007" w:rsidP="00722007">
            <w:pPr>
              <w:jc w:val="center"/>
              <w:rPr>
                <w:rFonts w:cs="Arial"/>
                <w:szCs w:val="22"/>
                <w:lang w:eastAsia="it-IT"/>
              </w:rPr>
            </w:pPr>
          </w:p>
        </w:tc>
        <w:tc>
          <w:tcPr>
            <w:tcW w:w="1577" w:type="dxa"/>
            <w:gridSpan w:val="2"/>
            <w:vAlign w:val="center"/>
          </w:tcPr>
          <w:p w14:paraId="25CB2940" w14:textId="77777777" w:rsidR="00722007" w:rsidRPr="0019790A" w:rsidRDefault="00722007" w:rsidP="00722007">
            <w:pPr>
              <w:jc w:val="center"/>
              <w:rPr>
                <w:rFonts w:cs="Arial"/>
                <w:szCs w:val="22"/>
                <w:lang w:eastAsia="it-IT"/>
              </w:rPr>
            </w:pPr>
          </w:p>
        </w:tc>
      </w:tr>
      <w:tr w:rsidR="00722007" w:rsidRPr="0019790A" w14:paraId="0A1CB2DB" w14:textId="791A7778" w:rsidTr="00722007">
        <w:trPr>
          <w:trHeight w:val="254"/>
          <w:jc w:val="right"/>
        </w:trPr>
        <w:tc>
          <w:tcPr>
            <w:tcW w:w="3421" w:type="dxa"/>
            <w:shd w:val="clear" w:color="auto" w:fill="FFFFFF"/>
            <w:vAlign w:val="center"/>
          </w:tcPr>
          <w:p w14:paraId="038E636D" w14:textId="77777777" w:rsidR="00722007" w:rsidRPr="0019790A" w:rsidRDefault="00722007" w:rsidP="0019790A">
            <w:pPr>
              <w:rPr>
                <w:rFonts w:cs="Arial"/>
                <w:szCs w:val="22"/>
              </w:rPr>
            </w:pPr>
            <w:r w:rsidRPr="0019790A">
              <w:rPr>
                <w:rFonts w:cs="Arial"/>
                <w:szCs w:val="22"/>
              </w:rPr>
              <w:t>- обласний бюджет</w:t>
            </w:r>
          </w:p>
        </w:tc>
        <w:tc>
          <w:tcPr>
            <w:tcW w:w="1302" w:type="dxa"/>
            <w:gridSpan w:val="2"/>
            <w:vAlign w:val="center"/>
          </w:tcPr>
          <w:p w14:paraId="0888FB48" w14:textId="77777777" w:rsidR="00722007" w:rsidRPr="0019790A" w:rsidRDefault="00722007" w:rsidP="00722007">
            <w:pPr>
              <w:jc w:val="center"/>
              <w:rPr>
                <w:rFonts w:cs="Arial"/>
                <w:szCs w:val="22"/>
                <w:lang w:eastAsia="it-IT"/>
              </w:rPr>
            </w:pPr>
          </w:p>
        </w:tc>
        <w:tc>
          <w:tcPr>
            <w:tcW w:w="1226" w:type="dxa"/>
            <w:vAlign w:val="center"/>
          </w:tcPr>
          <w:p w14:paraId="7DB39C89" w14:textId="77777777" w:rsidR="00722007" w:rsidRPr="0019790A" w:rsidRDefault="00722007" w:rsidP="00722007">
            <w:pPr>
              <w:jc w:val="center"/>
              <w:rPr>
                <w:rFonts w:cs="Arial"/>
                <w:szCs w:val="22"/>
                <w:lang w:eastAsia="it-IT"/>
              </w:rPr>
            </w:pPr>
          </w:p>
        </w:tc>
        <w:tc>
          <w:tcPr>
            <w:tcW w:w="1430" w:type="dxa"/>
            <w:gridSpan w:val="2"/>
            <w:vAlign w:val="center"/>
          </w:tcPr>
          <w:p w14:paraId="7ED6F1E1" w14:textId="77777777" w:rsidR="00722007" w:rsidRPr="0019790A" w:rsidRDefault="00722007" w:rsidP="00722007">
            <w:pPr>
              <w:jc w:val="center"/>
              <w:rPr>
                <w:rFonts w:cs="Arial"/>
                <w:szCs w:val="22"/>
                <w:lang w:eastAsia="it-IT"/>
              </w:rPr>
            </w:pPr>
          </w:p>
        </w:tc>
        <w:tc>
          <w:tcPr>
            <w:tcW w:w="1263" w:type="dxa"/>
            <w:vAlign w:val="center"/>
          </w:tcPr>
          <w:p w14:paraId="79C060C7" w14:textId="77777777" w:rsidR="00722007" w:rsidRPr="0019790A" w:rsidRDefault="00722007" w:rsidP="00722007">
            <w:pPr>
              <w:jc w:val="center"/>
              <w:rPr>
                <w:rFonts w:cs="Arial"/>
                <w:szCs w:val="22"/>
                <w:lang w:eastAsia="it-IT"/>
              </w:rPr>
            </w:pPr>
          </w:p>
        </w:tc>
        <w:tc>
          <w:tcPr>
            <w:tcW w:w="1577" w:type="dxa"/>
            <w:gridSpan w:val="2"/>
            <w:vAlign w:val="center"/>
          </w:tcPr>
          <w:p w14:paraId="076637A0" w14:textId="77777777" w:rsidR="00722007" w:rsidRPr="0019790A" w:rsidRDefault="00722007" w:rsidP="00722007">
            <w:pPr>
              <w:jc w:val="center"/>
              <w:rPr>
                <w:rFonts w:cs="Arial"/>
                <w:szCs w:val="22"/>
                <w:lang w:eastAsia="it-IT"/>
              </w:rPr>
            </w:pPr>
          </w:p>
        </w:tc>
      </w:tr>
      <w:tr w:rsidR="00722007" w:rsidRPr="0019790A" w14:paraId="20A56551" w14:textId="77777777" w:rsidTr="00722007">
        <w:trPr>
          <w:gridAfter w:val="1"/>
          <w:wAfter w:w="18" w:type="dxa"/>
          <w:trHeight w:val="275"/>
          <w:jc w:val="right"/>
        </w:trPr>
        <w:tc>
          <w:tcPr>
            <w:tcW w:w="3421" w:type="dxa"/>
            <w:shd w:val="clear" w:color="auto" w:fill="FFFFFF"/>
            <w:vAlign w:val="center"/>
          </w:tcPr>
          <w:p w14:paraId="0A0629CB" w14:textId="77777777" w:rsidR="00722007" w:rsidRPr="0019790A" w:rsidRDefault="00722007" w:rsidP="0019790A">
            <w:pPr>
              <w:rPr>
                <w:rFonts w:cs="Arial"/>
                <w:szCs w:val="22"/>
              </w:rPr>
            </w:pPr>
            <w:r w:rsidRPr="0019790A">
              <w:rPr>
                <w:rFonts w:cs="Arial"/>
                <w:szCs w:val="22"/>
              </w:rPr>
              <w:t>- бюджет Жмеринської МТГ</w:t>
            </w:r>
          </w:p>
        </w:tc>
        <w:tc>
          <w:tcPr>
            <w:tcW w:w="1302" w:type="dxa"/>
            <w:gridSpan w:val="2"/>
            <w:vAlign w:val="center"/>
          </w:tcPr>
          <w:p w14:paraId="297E06FF" w14:textId="77777777" w:rsidR="00722007" w:rsidRPr="0019790A" w:rsidRDefault="00722007" w:rsidP="00722007">
            <w:pPr>
              <w:jc w:val="center"/>
              <w:rPr>
                <w:rFonts w:cs="Arial"/>
                <w:b/>
                <w:szCs w:val="22"/>
                <w:lang w:eastAsia="it-IT"/>
              </w:rPr>
            </w:pPr>
          </w:p>
        </w:tc>
        <w:tc>
          <w:tcPr>
            <w:tcW w:w="1226" w:type="dxa"/>
            <w:vAlign w:val="center"/>
          </w:tcPr>
          <w:p w14:paraId="62DF2B98" w14:textId="0BCBE9F4" w:rsidR="00722007" w:rsidRPr="0019790A" w:rsidRDefault="00722007" w:rsidP="00722007">
            <w:pPr>
              <w:jc w:val="center"/>
              <w:rPr>
                <w:rFonts w:cs="Arial"/>
                <w:b/>
                <w:szCs w:val="22"/>
                <w:lang w:eastAsia="it-IT"/>
              </w:rPr>
            </w:pPr>
            <w:r w:rsidRPr="0019790A">
              <w:rPr>
                <w:rFonts w:cs="Arial"/>
                <w:b/>
                <w:szCs w:val="22"/>
                <w:lang w:eastAsia="it-IT"/>
              </w:rPr>
              <w:t>6 000,00</w:t>
            </w:r>
          </w:p>
        </w:tc>
        <w:tc>
          <w:tcPr>
            <w:tcW w:w="1430" w:type="dxa"/>
            <w:gridSpan w:val="2"/>
            <w:vAlign w:val="center"/>
          </w:tcPr>
          <w:p w14:paraId="26984096" w14:textId="77777777" w:rsidR="00722007" w:rsidRPr="0019790A" w:rsidRDefault="00722007" w:rsidP="00722007">
            <w:pPr>
              <w:jc w:val="center"/>
              <w:rPr>
                <w:rFonts w:cs="Arial"/>
                <w:b/>
                <w:szCs w:val="22"/>
                <w:lang w:eastAsia="it-IT"/>
              </w:rPr>
            </w:pPr>
          </w:p>
        </w:tc>
        <w:tc>
          <w:tcPr>
            <w:tcW w:w="1263" w:type="dxa"/>
            <w:vAlign w:val="center"/>
          </w:tcPr>
          <w:p w14:paraId="39F27037" w14:textId="4C892374" w:rsidR="00722007" w:rsidRPr="0019790A" w:rsidRDefault="00722007" w:rsidP="00722007">
            <w:pPr>
              <w:jc w:val="center"/>
              <w:rPr>
                <w:rFonts w:cs="Arial"/>
                <w:b/>
                <w:szCs w:val="22"/>
                <w:lang w:eastAsia="it-IT"/>
              </w:rPr>
            </w:pPr>
          </w:p>
        </w:tc>
        <w:tc>
          <w:tcPr>
            <w:tcW w:w="1559" w:type="dxa"/>
            <w:vAlign w:val="center"/>
          </w:tcPr>
          <w:p w14:paraId="24C7D0E3" w14:textId="551BC705" w:rsidR="00722007" w:rsidRPr="0019790A" w:rsidRDefault="00722007" w:rsidP="00722007">
            <w:pPr>
              <w:jc w:val="center"/>
              <w:rPr>
                <w:rFonts w:cs="Arial"/>
                <w:b/>
                <w:szCs w:val="22"/>
                <w:lang w:eastAsia="it-IT"/>
              </w:rPr>
            </w:pPr>
            <w:r w:rsidRPr="0019790A">
              <w:rPr>
                <w:rFonts w:cs="Arial"/>
                <w:b/>
                <w:szCs w:val="22"/>
                <w:lang w:eastAsia="it-IT"/>
              </w:rPr>
              <w:t>6 000,0</w:t>
            </w:r>
          </w:p>
        </w:tc>
      </w:tr>
      <w:tr w:rsidR="003B45FC" w:rsidRPr="0019790A" w14:paraId="3E19BACB" w14:textId="77777777" w:rsidTr="00722007">
        <w:trPr>
          <w:trHeight w:val="226"/>
          <w:jc w:val="right"/>
        </w:trPr>
        <w:tc>
          <w:tcPr>
            <w:tcW w:w="3421" w:type="dxa"/>
            <w:shd w:val="clear" w:color="auto" w:fill="FFFFFF"/>
            <w:vAlign w:val="center"/>
          </w:tcPr>
          <w:p w14:paraId="042C8788" w14:textId="77777777" w:rsidR="003B45FC" w:rsidRPr="0019790A" w:rsidRDefault="003B45FC" w:rsidP="0019790A">
            <w:pPr>
              <w:rPr>
                <w:rFonts w:cs="Arial"/>
                <w:szCs w:val="22"/>
              </w:rPr>
            </w:pPr>
            <w:r w:rsidRPr="0019790A">
              <w:rPr>
                <w:rFonts w:cs="Arial"/>
                <w:szCs w:val="22"/>
              </w:rPr>
              <w:t>- інші джерела фінансування</w:t>
            </w:r>
          </w:p>
        </w:tc>
        <w:tc>
          <w:tcPr>
            <w:tcW w:w="6798" w:type="dxa"/>
            <w:gridSpan w:val="8"/>
            <w:vAlign w:val="center"/>
          </w:tcPr>
          <w:p w14:paraId="3B581B3D" w14:textId="77777777" w:rsidR="003B45FC" w:rsidRPr="0019790A" w:rsidRDefault="003B45FC" w:rsidP="0019790A">
            <w:pPr>
              <w:jc w:val="both"/>
              <w:rPr>
                <w:rFonts w:cs="Arial"/>
                <w:szCs w:val="22"/>
                <w:lang w:eastAsia="it-IT"/>
              </w:rPr>
            </w:pPr>
          </w:p>
        </w:tc>
      </w:tr>
      <w:tr w:rsidR="003B45FC" w:rsidRPr="0019790A" w14:paraId="0A661B7B" w14:textId="77777777" w:rsidTr="00722007">
        <w:trPr>
          <w:jc w:val="right"/>
        </w:trPr>
        <w:tc>
          <w:tcPr>
            <w:tcW w:w="3421" w:type="dxa"/>
            <w:shd w:val="clear" w:color="auto" w:fill="FFFFFF"/>
            <w:vAlign w:val="center"/>
          </w:tcPr>
          <w:p w14:paraId="7C1FCA18" w14:textId="77777777" w:rsidR="003B45FC" w:rsidRPr="0019790A" w:rsidRDefault="003B45FC" w:rsidP="0019790A">
            <w:pPr>
              <w:rPr>
                <w:rFonts w:cs="Arial"/>
                <w:b/>
                <w:bCs/>
                <w:szCs w:val="22"/>
              </w:rPr>
            </w:pPr>
            <w:r w:rsidRPr="0019790A">
              <w:rPr>
                <w:rFonts w:cs="Arial"/>
                <w:b/>
                <w:szCs w:val="22"/>
              </w:rPr>
              <w:t>Відповідальний виконавець проєкту:</w:t>
            </w:r>
          </w:p>
        </w:tc>
        <w:tc>
          <w:tcPr>
            <w:tcW w:w="6798" w:type="dxa"/>
            <w:gridSpan w:val="8"/>
            <w:vAlign w:val="center"/>
          </w:tcPr>
          <w:p w14:paraId="6A98FE71" w14:textId="77777777" w:rsidR="003B45FC" w:rsidRPr="0019790A" w:rsidRDefault="003B45FC" w:rsidP="0019790A">
            <w:pPr>
              <w:jc w:val="both"/>
              <w:rPr>
                <w:rFonts w:cs="Arial"/>
                <w:szCs w:val="22"/>
                <w:lang w:eastAsia="it-IT"/>
              </w:rPr>
            </w:pPr>
            <w:r w:rsidRPr="0019790A">
              <w:rPr>
                <w:rFonts w:cs="Arial"/>
                <w:szCs w:val="22"/>
                <w:lang w:eastAsia="it-IT"/>
              </w:rPr>
              <w:t>Управління ЖКГ Жмеринської міської ради, Управління освіти Жмеринської міської ради</w:t>
            </w:r>
          </w:p>
        </w:tc>
      </w:tr>
      <w:tr w:rsidR="003B45FC" w:rsidRPr="0019790A" w14:paraId="35B188D5" w14:textId="77777777" w:rsidTr="00722007">
        <w:trPr>
          <w:jc w:val="right"/>
        </w:trPr>
        <w:tc>
          <w:tcPr>
            <w:tcW w:w="3421" w:type="dxa"/>
            <w:shd w:val="clear" w:color="auto" w:fill="FFFFFF"/>
            <w:vAlign w:val="center"/>
          </w:tcPr>
          <w:p w14:paraId="0A38FCC7" w14:textId="77777777" w:rsidR="003B45FC" w:rsidRPr="0019790A" w:rsidRDefault="003B45FC" w:rsidP="0019790A">
            <w:pPr>
              <w:rPr>
                <w:rFonts w:cs="Arial"/>
                <w:b/>
                <w:bCs/>
                <w:szCs w:val="22"/>
              </w:rPr>
            </w:pPr>
            <w:r w:rsidRPr="0019790A">
              <w:rPr>
                <w:rFonts w:cs="Arial"/>
                <w:b/>
                <w:bCs/>
                <w:szCs w:val="22"/>
              </w:rPr>
              <w:t>Інше:</w:t>
            </w:r>
          </w:p>
        </w:tc>
        <w:tc>
          <w:tcPr>
            <w:tcW w:w="6798" w:type="dxa"/>
            <w:gridSpan w:val="8"/>
            <w:vAlign w:val="center"/>
          </w:tcPr>
          <w:p w14:paraId="47460F85" w14:textId="77777777" w:rsidR="003B45FC" w:rsidRPr="0019790A" w:rsidRDefault="003B45FC" w:rsidP="0019790A">
            <w:pPr>
              <w:rPr>
                <w:rFonts w:cs="Arial"/>
                <w:szCs w:val="22"/>
                <w:lang w:eastAsia="it-IT"/>
              </w:rPr>
            </w:pPr>
          </w:p>
          <w:p w14:paraId="65CE481E" w14:textId="77777777" w:rsidR="003B45FC" w:rsidRPr="0019790A" w:rsidRDefault="003B45FC" w:rsidP="0019790A">
            <w:pPr>
              <w:rPr>
                <w:rFonts w:cs="Arial"/>
                <w:szCs w:val="22"/>
                <w:lang w:eastAsia="it-IT"/>
              </w:rPr>
            </w:pPr>
          </w:p>
        </w:tc>
      </w:tr>
    </w:tbl>
    <w:p w14:paraId="76DB165D" w14:textId="77777777" w:rsidR="003B45FC" w:rsidRPr="0019790A" w:rsidRDefault="003B45FC" w:rsidP="0019790A">
      <w:pPr>
        <w:rPr>
          <w:rFonts w:cs="Arial"/>
          <w:szCs w:val="22"/>
        </w:rPr>
      </w:pPr>
    </w:p>
    <w:p w14:paraId="4DF5D676" w14:textId="77777777" w:rsidR="003B45FC" w:rsidRPr="0019790A" w:rsidRDefault="003B45FC" w:rsidP="0019790A">
      <w:pPr>
        <w:rPr>
          <w:rFonts w:cs="Arial"/>
          <w:szCs w:val="22"/>
        </w:rPr>
      </w:pPr>
    </w:p>
    <w:p w14:paraId="5307037B" w14:textId="77777777" w:rsidR="003B45FC" w:rsidRPr="0019790A" w:rsidRDefault="003B45FC" w:rsidP="0019790A">
      <w:pPr>
        <w:jc w:val="center"/>
        <w:rPr>
          <w:rFonts w:cs="Arial"/>
          <w:b/>
          <w:szCs w:val="22"/>
        </w:rPr>
      </w:pPr>
      <w:r w:rsidRPr="0019790A">
        <w:rPr>
          <w:rFonts w:cs="Arial"/>
          <w:b/>
          <w:color w:val="000000"/>
          <w:szCs w:val="22"/>
        </w:rPr>
        <w:t>Форма технічного завдання на проєкт мі</w:t>
      </w:r>
      <w:r w:rsidRPr="0019790A">
        <w:rPr>
          <w:rFonts w:cs="Arial"/>
          <w:b/>
          <w:szCs w:val="22"/>
        </w:rPr>
        <w:t xml:space="preserve">сцевого розвитку </w:t>
      </w:r>
    </w:p>
    <w:p w14:paraId="4F1D5D93" w14:textId="77777777" w:rsidR="003B45FC" w:rsidRPr="0019790A" w:rsidRDefault="003B45FC" w:rsidP="0019790A">
      <w:pPr>
        <w:jc w:val="center"/>
        <w:rPr>
          <w:rFonts w:cs="Arial"/>
          <w:b/>
          <w:szCs w:val="22"/>
        </w:rPr>
      </w:pPr>
      <w:r w:rsidRPr="0019790A">
        <w:rPr>
          <w:rFonts w:cs="Arial"/>
          <w:b/>
          <w:szCs w:val="22"/>
        </w:rPr>
        <w:t>до Плану заходів з реалізації Стратегії</w:t>
      </w:r>
    </w:p>
    <w:p w14:paraId="349BACB7" w14:textId="77777777" w:rsidR="003B45FC" w:rsidRPr="0019790A" w:rsidRDefault="003B45FC"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4"/>
        <w:gridCol w:w="1247"/>
        <w:gridCol w:w="6"/>
        <w:gridCol w:w="1274"/>
        <w:gridCol w:w="1417"/>
        <w:gridCol w:w="1275"/>
        <w:gridCol w:w="1576"/>
      </w:tblGrid>
      <w:tr w:rsidR="003B45FC" w:rsidRPr="0019790A" w14:paraId="20285581" w14:textId="77777777" w:rsidTr="00787C61">
        <w:trPr>
          <w:jc w:val="right"/>
        </w:trPr>
        <w:tc>
          <w:tcPr>
            <w:tcW w:w="3425" w:type="dxa"/>
            <w:vAlign w:val="center"/>
          </w:tcPr>
          <w:p w14:paraId="533DB9ED" w14:textId="77777777" w:rsidR="003B45FC" w:rsidRPr="0019790A" w:rsidRDefault="003B45FC" w:rsidP="0019790A">
            <w:pPr>
              <w:rPr>
                <w:rFonts w:cs="Arial"/>
                <w:b/>
                <w:bCs/>
                <w:szCs w:val="22"/>
              </w:rPr>
            </w:pPr>
            <w:r w:rsidRPr="0019790A">
              <w:rPr>
                <w:rFonts w:cs="Arial"/>
                <w:b/>
                <w:bCs/>
                <w:szCs w:val="22"/>
              </w:rPr>
              <w:t>Назва проєкту:</w:t>
            </w:r>
          </w:p>
        </w:tc>
        <w:tc>
          <w:tcPr>
            <w:tcW w:w="6794" w:type="dxa"/>
            <w:gridSpan w:val="6"/>
          </w:tcPr>
          <w:p w14:paraId="0212A3F3" w14:textId="39DD04C7" w:rsidR="003B45FC" w:rsidRPr="0019790A" w:rsidRDefault="003B45FC" w:rsidP="0019790A">
            <w:pPr>
              <w:rPr>
                <w:rFonts w:cs="Arial"/>
                <w:b/>
                <w:szCs w:val="22"/>
                <w:lang w:eastAsia="it-IT"/>
              </w:rPr>
            </w:pPr>
            <w:r w:rsidRPr="0019790A">
              <w:rPr>
                <w:rFonts w:cs="Arial"/>
                <w:b/>
                <w:szCs w:val="22"/>
                <w:lang w:eastAsia="it-IT"/>
              </w:rPr>
              <w:t xml:space="preserve"> </w:t>
            </w:r>
            <w:r w:rsidRPr="0019790A">
              <w:rPr>
                <w:rFonts w:eastAsia="Arial" w:cs="Arial"/>
                <w:b/>
                <w:bCs/>
                <w:szCs w:val="22"/>
              </w:rPr>
              <w:t xml:space="preserve">Модернізація покрівлі </w:t>
            </w:r>
            <w:r w:rsidRPr="0019790A">
              <w:rPr>
                <w:rFonts w:cs="Arial"/>
                <w:b/>
                <w:szCs w:val="22"/>
              </w:rPr>
              <w:t xml:space="preserve">  ЗДО № 2 «Калинка»</w:t>
            </w:r>
          </w:p>
        </w:tc>
      </w:tr>
      <w:tr w:rsidR="003B45FC" w:rsidRPr="0019790A" w14:paraId="2CB48D64" w14:textId="77777777" w:rsidTr="00787C61">
        <w:trPr>
          <w:jc w:val="right"/>
        </w:trPr>
        <w:tc>
          <w:tcPr>
            <w:tcW w:w="3425" w:type="dxa"/>
          </w:tcPr>
          <w:p w14:paraId="4665007E" w14:textId="77777777" w:rsidR="003B45FC" w:rsidRPr="0019790A" w:rsidRDefault="003B45FC"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2BD0CF52" w14:textId="77777777" w:rsidR="003B45FC" w:rsidRPr="0019790A" w:rsidRDefault="003B45FC"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6"/>
          </w:tcPr>
          <w:p w14:paraId="04AE45B3" w14:textId="77777777" w:rsidR="003B45FC" w:rsidRPr="0019790A" w:rsidRDefault="003B45FC" w:rsidP="0019790A">
            <w:pPr>
              <w:rPr>
                <w:rFonts w:cs="Arial"/>
                <w:szCs w:val="22"/>
                <w:lang w:eastAsia="it-IT"/>
              </w:rPr>
            </w:pPr>
            <w:r w:rsidRPr="0019790A">
              <w:rPr>
                <w:rFonts w:cs="Arial"/>
                <w:szCs w:val="22"/>
                <w:lang w:eastAsia="it-IT"/>
              </w:rPr>
              <w:t xml:space="preserve"> Управління освіти Жмеринської міської ради</w:t>
            </w:r>
          </w:p>
        </w:tc>
      </w:tr>
      <w:tr w:rsidR="003B45FC" w:rsidRPr="0019790A" w14:paraId="7A25ADBE" w14:textId="77777777" w:rsidTr="00787C61">
        <w:trPr>
          <w:jc w:val="right"/>
        </w:trPr>
        <w:tc>
          <w:tcPr>
            <w:tcW w:w="3425" w:type="dxa"/>
          </w:tcPr>
          <w:p w14:paraId="25A0F2FF" w14:textId="77777777" w:rsidR="003B45FC" w:rsidRPr="0019790A" w:rsidRDefault="003B45FC" w:rsidP="0019790A">
            <w:pPr>
              <w:rPr>
                <w:rFonts w:cs="Arial"/>
                <w:b/>
                <w:bCs/>
                <w:szCs w:val="22"/>
              </w:rPr>
            </w:pPr>
            <w:r w:rsidRPr="0019790A">
              <w:rPr>
                <w:rFonts w:cs="Arial"/>
                <w:szCs w:val="22"/>
                <w:lang w:eastAsia="it-IT"/>
              </w:rPr>
              <w:t>Прізвище Ім’я по-батькові:</w:t>
            </w:r>
          </w:p>
        </w:tc>
        <w:tc>
          <w:tcPr>
            <w:tcW w:w="6794" w:type="dxa"/>
            <w:gridSpan w:val="6"/>
          </w:tcPr>
          <w:p w14:paraId="2A96E6EC" w14:textId="77777777" w:rsidR="003B45FC" w:rsidRPr="0019790A" w:rsidRDefault="003B45FC" w:rsidP="0019790A">
            <w:pPr>
              <w:pStyle w:val="TableParagraph"/>
              <w:ind w:left="0"/>
              <w:rPr>
                <w:rFonts w:ascii="Arial" w:hAnsi="Arial" w:cs="Arial"/>
              </w:rPr>
            </w:pPr>
            <w:r w:rsidRPr="0019790A">
              <w:rPr>
                <w:rFonts w:ascii="Arial" w:hAnsi="Arial" w:cs="Arial"/>
              </w:rPr>
              <w:t>Твердохліб Аліна Петрівна</w:t>
            </w:r>
          </w:p>
        </w:tc>
      </w:tr>
      <w:tr w:rsidR="003B45FC" w:rsidRPr="0019790A" w14:paraId="5EA24EFD" w14:textId="77777777" w:rsidTr="00787C61">
        <w:trPr>
          <w:jc w:val="right"/>
        </w:trPr>
        <w:tc>
          <w:tcPr>
            <w:tcW w:w="3425" w:type="dxa"/>
          </w:tcPr>
          <w:p w14:paraId="12875334" w14:textId="77777777" w:rsidR="003B45FC" w:rsidRPr="0019790A" w:rsidRDefault="003B45FC" w:rsidP="0019790A">
            <w:pPr>
              <w:rPr>
                <w:rFonts w:cs="Arial"/>
                <w:b/>
                <w:bCs/>
                <w:szCs w:val="22"/>
              </w:rPr>
            </w:pPr>
            <w:r w:rsidRPr="0019790A">
              <w:rPr>
                <w:rFonts w:cs="Arial"/>
                <w:szCs w:val="22"/>
                <w:lang w:eastAsia="it-IT"/>
              </w:rPr>
              <w:t>Телефон (мобільний):</w:t>
            </w:r>
          </w:p>
        </w:tc>
        <w:tc>
          <w:tcPr>
            <w:tcW w:w="6794" w:type="dxa"/>
            <w:gridSpan w:val="6"/>
          </w:tcPr>
          <w:p w14:paraId="6C8FAB0F" w14:textId="77777777" w:rsidR="003B45FC" w:rsidRPr="0019790A" w:rsidRDefault="003B45FC" w:rsidP="0019790A">
            <w:pPr>
              <w:pStyle w:val="TableParagraph"/>
              <w:ind w:left="66"/>
              <w:rPr>
                <w:rFonts w:ascii="Arial" w:hAnsi="Arial" w:cs="Arial"/>
              </w:rPr>
            </w:pPr>
            <w:r w:rsidRPr="0019790A">
              <w:rPr>
                <w:rFonts w:ascii="Arial" w:hAnsi="Arial" w:cs="Arial"/>
                <w:spacing w:val="-2"/>
              </w:rPr>
              <w:t>+380 (67) 895 55 75</w:t>
            </w:r>
          </w:p>
        </w:tc>
      </w:tr>
      <w:tr w:rsidR="003B45FC" w:rsidRPr="0019790A" w14:paraId="0C2FE645" w14:textId="77777777" w:rsidTr="00787C61">
        <w:trPr>
          <w:jc w:val="right"/>
        </w:trPr>
        <w:tc>
          <w:tcPr>
            <w:tcW w:w="3425" w:type="dxa"/>
          </w:tcPr>
          <w:p w14:paraId="13BD3986" w14:textId="77777777" w:rsidR="003B45FC" w:rsidRPr="0019790A" w:rsidRDefault="003B45FC" w:rsidP="0019790A">
            <w:pPr>
              <w:rPr>
                <w:rFonts w:cs="Arial"/>
                <w:b/>
                <w:bCs/>
                <w:szCs w:val="22"/>
              </w:rPr>
            </w:pPr>
            <w:r w:rsidRPr="0019790A">
              <w:rPr>
                <w:rFonts w:cs="Arial"/>
                <w:szCs w:val="22"/>
                <w:lang w:eastAsia="it-IT"/>
              </w:rPr>
              <w:t>Електронна адреса:</w:t>
            </w:r>
          </w:p>
        </w:tc>
        <w:tc>
          <w:tcPr>
            <w:tcW w:w="6794" w:type="dxa"/>
            <w:gridSpan w:val="6"/>
          </w:tcPr>
          <w:p w14:paraId="5D547596" w14:textId="77777777" w:rsidR="003B45FC" w:rsidRPr="0019790A" w:rsidRDefault="003B45FC" w:rsidP="0019790A">
            <w:pPr>
              <w:pStyle w:val="TableParagraph"/>
              <w:ind w:left="66"/>
              <w:rPr>
                <w:rFonts w:ascii="Arial" w:hAnsi="Arial" w:cs="Arial"/>
                <w:b/>
              </w:rPr>
            </w:pPr>
            <w:r w:rsidRPr="0019790A">
              <w:rPr>
                <w:rFonts w:ascii="Arial" w:hAnsi="Arial" w:cs="Arial"/>
              </w:rPr>
              <w:t xml:space="preserve"> </w:t>
            </w:r>
            <w:hyperlink r:id="rId91" w:history="1">
              <w:r w:rsidRPr="0019790A">
                <w:rPr>
                  <w:rStyle w:val="af0"/>
                  <w:rFonts w:ascii="Arial" w:hAnsi="Arial" w:cs="Arial"/>
                  <w:noProof w:val="0"/>
                  <w:spacing w:val="5"/>
                  <w:sz w:val="22"/>
                  <w:szCs w:val="22"/>
                </w:rPr>
                <w:t>uposv.zmr@gmail.com</w:t>
              </w:r>
            </w:hyperlink>
          </w:p>
        </w:tc>
      </w:tr>
      <w:tr w:rsidR="003B45FC" w:rsidRPr="0019790A" w14:paraId="2C349C16" w14:textId="77777777" w:rsidTr="00787C61">
        <w:trPr>
          <w:jc w:val="right"/>
        </w:trPr>
        <w:tc>
          <w:tcPr>
            <w:tcW w:w="3425" w:type="dxa"/>
            <w:vAlign w:val="center"/>
          </w:tcPr>
          <w:p w14:paraId="24A19253" w14:textId="77777777" w:rsidR="003B45FC" w:rsidRPr="0019790A" w:rsidRDefault="003B45FC" w:rsidP="0019790A">
            <w:pPr>
              <w:pStyle w:val="6"/>
              <w:spacing w:before="0" w:after="0"/>
              <w:rPr>
                <w:rFonts w:ascii="Arial" w:hAnsi="Arial" w:cs="Arial"/>
                <w:lang w:val="uk-UA"/>
              </w:rPr>
            </w:pPr>
            <w:r w:rsidRPr="0019790A">
              <w:rPr>
                <w:rFonts w:ascii="Arial" w:hAnsi="Arial" w:cs="Arial"/>
                <w:lang w:val="uk-UA"/>
              </w:rPr>
              <w:t>Номер і назва завдання з Стратегії</w:t>
            </w:r>
            <w:r w:rsidRPr="0019790A">
              <w:rPr>
                <w:rFonts w:ascii="Arial" w:hAnsi="Arial" w:cs="Arial"/>
                <w:lang w:val="uk-UA" w:eastAsia="it-IT"/>
              </w:rPr>
              <w:t xml:space="preserve"> </w:t>
            </w:r>
            <w:r w:rsidRPr="0019790A">
              <w:rPr>
                <w:rFonts w:ascii="Arial" w:hAnsi="Arial" w:cs="Arial"/>
                <w:lang w:val="uk-UA"/>
              </w:rPr>
              <w:t>розвитку Жмеринської міської територіальної громади,  якому відповідає проєкт:</w:t>
            </w:r>
          </w:p>
        </w:tc>
        <w:tc>
          <w:tcPr>
            <w:tcW w:w="6794" w:type="dxa"/>
            <w:gridSpan w:val="6"/>
            <w:vAlign w:val="center"/>
          </w:tcPr>
          <w:p w14:paraId="657748E6" w14:textId="77777777" w:rsidR="003B45FC" w:rsidRPr="0019790A" w:rsidRDefault="003B45FC" w:rsidP="0019790A">
            <w:pPr>
              <w:rPr>
                <w:rFonts w:cs="Arial"/>
                <w:iCs/>
                <w:szCs w:val="22"/>
                <w:lang w:eastAsia="it-IT"/>
              </w:rPr>
            </w:pPr>
            <w:r w:rsidRPr="0019790A">
              <w:rPr>
                <w:rFonts w:cs="Arial"/>
                <w:szCs w:val="22"/>
              </w:rPr>
              <w:t>В 2.2.3. Впровадження енергоефективних заходів та обладнання на об’єктах комунальної власності громади, забезпечення термомодернізації об’єктів комунальної власності. С.1.1.2. Розвиток освітньої інфраструктури територіальної громади відповідно до вимог часу.</w:t>
            </w:r>
          </w:p>
        </w:tc>
      </w:tr>
      <w:tr w:rsidR="003B45FC" w:rsidRPr="0019790A" w14:paraId="734E9073" w14:textId="77777777" w:rsidTr="00787C61">
        <w:trPr>
          <w:jc w:val="right"/>
        </w:trPr>
        <w:tc>
          <w:tcPr>
            <w:tcW w:w="3425" w:type="dxa"/>
            <w:vAlign w:val="center"/>
          </w:tcPr>
          <w:p w14:paraId="7954CD7B" w14:textId="77777777" w:rsidR="003B45FC" w:rsidRPr="0019790A" w:rsidRDefault="003B45FC" w:rsidP="0019790A">
            <w:pPr>
              <w:rPr>
                <w:rFonts w:cs="Arial"/>
                <w:b/>
                <w:bCs/>
                <w:szCs w:val="22"/>
              </w:rPr>
            </w:pPr>
            <w:r w:rsidRPr="0019790A">
              <w:rPr>
                <w:rFonts w:cs="Arial"/>
                <w:b/>
                <w:bCs/>
                <w:szCs w:val="22"/>
              </w:rPr>
              <w:t>Мета проєкту:</w:t>
            </w:r>
          </w:p>
        </w:tc>
        <w:tc>
          <w:tcPr>
            <w:tcW w:w="6794" w:type="dxa"/>
            <w:gridSpan w:val="6"/>
          </w:tcPr>
          <w:p w14:paraId="455BF18D" w14:textId="77777777" w:rsidR="003B45FC" w:rsidRPr="0019790A" w:rsidRDefault="003B45FC" w:rsidP="0019790A">
            <w:pPr>
              <w:jc w:val="both"/>
              <w:rPr>
                <w:rFonts w:cs="Arial"/>
                <w:szCs w:val="22"/>
                <w:lang w:eastAsia="it-IT"/>
              </w:rPr>
            </w:pPr>
            <w:r w:rsidRPr="0019790A">
              <w:rPr>
                <w:rFonts w:cs="Arial"/>
                <w:szCs w:val="22"/>
              </w:rPr>
              <w:t xml:space="preserve"> Метою проєкту є </w:t>
            </w:r>
            <w:r w:rsidRPr="0019790A">
              <w:rPr>
                <w:rFonts w:eastAsia="Arial" w:cs="Arial"/>
                <w:szCs w:val="22"/>
                <w:shd w:val="clear" w:color="auto" w:fill="FFFFFF"/>
              </w:rPr>
              <w:t>підвищення енергоефективності будівлі, що включає зменшення теплових втрат, зниження витрат на опалення, створення комфортного та здорового мікроклімату для учасників освітнього процесу. Крім того, утеплення може позитивно впливати на естетичний вигляд будівлі та її довговічність.</w:t>
            </w:r>
          </w:p>
        </w:tc>
      </w:tr>
      <w:tr w:rsidR="003B45FC" w:rsidRPr="0019790A" w14:paraId="291AE105" w14:textId="77777777" w:rsidTr="00787C61">
        <w:trPr>
          <w:jc w:val="right"/>
        </w:trPr>
        <w:tc>
          <w:tcPr>
            <w:tcW w:w="3425" w:type="dxa"/>
            <w:vAlign w:val="center"/>
          </w:tcPr>
          <w:p w14:paraId="28089100" w14:textId="77777777" w:rsidR="003B45FC" w:rsidRPr="0019790A" w:rsidRDefault="003B45FC" w:rsidP="0019790A">
            <w:pPr>
              <w:rPr>
                <w:rFonts w:cs="Arial"/>
                <w:b/>
                <w:bCs/>
                <w:szCs w:val="22"/>
              </w:rPr>
            </w:pPr>
            <w:r w:rsidRPr="0019790A">
              <w:rPr>
                <w:rFonts w:cs="Arial"/>
                <w:b/>
                <w:bCs/>
                <w:szCs w:val="22"/>
              </w:rPr>
              <w:t>Цілі проєкту:</w:t>
            </w:r>
          </w:p>
        </w:tc>
        <w:tc>
          <w:tcPr>
            <w:tcW w:w="6794" w:type="dxa"/>
            <w:gridSpan w:val="6"/>
          </w:tcPr>
          <w:p w14:paraId="6BAF8557" w14:textId="77777777" w:rsidR="003B45FC" w:rsidRPr="0019790A" w:rsidRDefault="003B45FC" w:rsidP="0019790A">
            <w:pPr>
              <w:shd w:val="clear" w:color="auto" w:fill="FFFFFF"/>
              <w:jc w:val="both"/>
              <w:rPr>
                <w:rFonts w:cs="Arial"/>
                <w:szCs w:val="22"/>
              </w:rPr>
            </w:pPr>
            <w:r w:rsidRPr="0019790A">
              <w:rPr>
                <w:rFonts w:cs="Arial"/>
                <w:szCs w:val="22"/>
                <w:lang w:eastAsia="it-IT"/>
              </w:rPr>
              <w:t xml:space="preserve"> </w:t>
            </w:r>
            <w:r w:rsidRPr="0019790A">
              <w:rPr>
                <w:rFonts w:cs="Arial"/>
                <w:szCs w:val="22"/>
              </w:rPr>
              <w:t xml:space="preserve">Створення комфортних та безпечних умов для навчання та праці, що відповідають сучасним будівельним, санітарним вимогам та нормам, Підвищення якості надання освітніх послуг. </w:t>
            </w:r>
          </w:p>
          <w:p w14:paraId="479B3A5D" w14:textId="5DC2EC52" w:rsidR="003B45FC" w:rsidRPr="0019790A" w:rsidRDefault="003B45FC" w:rsidP="0019790A">
            <w:pPr>
              <w:jc w:val="both"/>
              <w:rPr>
                <w:rFonts w:cs="Arial"/>
                <w:szCs w:val="22"/>
                <w:lang w:eastAsia="it-IT"/>
              </w:rPr>
            </w:pPr>
            <w:r w:rsidRPr="0019790A">
              <w:rPr>
                <w:rFonts w:cs="Arial"/>
                <w:szCs w:val="22"/>
              </w:rPr>
              <w:t xml:space="preserve">Забезпечення </w:t>
            </w:r>
            <w:r w:rsidR="00722007" w:rsidRPr="0019790A">
              <w:rPr>
                <w:rFonts w:cs="Arial"/>
                <w:szCs w:val="22"/>
              </w:rPr>
              <w:t>енергозбереження</w:t>
            </w:r>
            <w:r w:rsidRPr="0019790A">
              <w:rPr>
                <w:rFonts w:cs="Arial"/>
                <w:szCs w:val="22"/>
              </w:rPr>
              <w:t xml:space="preserve"> в закладах освіти.</w:t>
            </w:r>
          </w:p>
        </w:tc>
      </w:tr>
      <w:tr w:rsidR="003B45FC" w:rsidRPr="0019790A" w14:paraId="119F1454" w14:textId="77777777" w:rsidTr="00787C61">
        <w:trPr>
          <w:jc w:val="right"/>
        </w:trPr>
        <w:tc>
          <w:tcPr>
            <w:tcW w:w="3425" w:type="dxa"/>
            <w:vAlign w:val="center"/>
          </w:tcPr>
          <w:p w14:paraId="0737517D" w14:textId="77777777" w:rsidR="003B45FC" w:rsidRPr="0019790A" w:rsidRDefault="003B45FC" w:rsidP="0019790A">
            <w:pPr>
              <w:autoSpaceDE w:val="0"/>
              <w:autoSpaceDN w:val="0"/>
              <w:adjustRightInd w:val="0"/>
              <w:rPr>
                <w:rFonts w:cs="Arial"/>
                <w:b/>
                <w:szCs w:val="22"/>
              </w:rPr>
            </w:pPr>
            <w:r w:rsidRPr="0019790A">
              <w:rPr>
                <w:rFonts w:cs="Arial"/>
                <w:b/>
                <w:szCs w:val="22"/>
              </w:rPr>
              <w:t>Територія на яку проєкт матиме вплив:</w:t>
            </w:r>
          </w:p>
        </w:tc>
        <w:tc>
          <w:tcPr>
            <w:tcW w:w="6794" w:type="dxa"/>
            <w:gridSpan w:val="6"/>
          </w:tcPr>
          <w:p w14:paraId="703DE5A0" w14:textId="77777777" w:rsidR="003B45FC" w:rsidRPr="0019790A" w:rsidRDefault="003B45FC" w:rsidP="0019790A">
            <w:pPr>
              <w:rPr>
                <w:rFonts w:cs="Arial"/>
                <w:szCs w:val="22"/>
                <w:lang w:eastAsia="it-IT"/>
              </w:rPr>
            </w:pPr>
            <w:r w:rsidRPr="0019790A">
              <w:rPr>
                <w:rFonts w:cs="Arial"/>
                <w:szCs w:val="22"/>
                <w:lang w:eastAsia="it-IT"/>
              </w:rPr>
              <w:t xml:space="preserve">Територія Жмеринської міської територіальної громади </w:t>
            </w:r>
          </w:p>
        </w:tc>
      </w:tr>
      <w:tr w:rsidR="003B45FC" w:rsidRPr="0019790A" w14:paraId="39DA85FE" w14:textId="77777777" w:rsidTr="00787C61">
        <w:trPr>
          <w:jc w:val="right"/>
        </w:trPr>
        <w:tc>
          <w:tcPr>
            <w:tcW w:w="3425" w:type="dxa"/>
            <w:vAlign w:val="center"/>
          </w:tcPr>
          <w:p w14:paraId="1EDB8EE5" w14:textId="77777777" w:rsidR="003B45FC" w:rsidRPr="0019790A" w:rsidRDefault="003B45FC" w:rsidP="0019790A">
            <w:pPr>
              <w:autoSpaceDE w:val="0"/>
              <w:autoSpaceDN w:val="0"/>
              <w:adjustRightInd w:val="0"/>
              <w:rPr>
                <w:rFonts w:cs="Arial"/>
                <w:b/>
                <w:szCs w:val="22"/>
              </w:rPr>
            </w:pPr>
            <w:r w:rsidRPr="0019790A">
              <w:rPr>
                <w:rFonts w:cs="Arial"/>
                <w:b/>
                <w:szCs w:val="22"/>
              </w:rPr>
              <w:t>Цільові групи проєкту та кількість отримувачів вигоди</w:t>
            </w:r>
          </w:p>
        </w:tc>
        <w:tc>
          <w:tcPr>
            <w:tcW w:w="6794" w:type="dxa"/>
            <w:gridSpan w:val="6"/>
          </w:tcPr>
          <w:p w14:paraId="68059964" w14:textId="77777777" w:rsidR="003B45FC" w:rsidRPr="0019790A" w:rsidRDefault="003B45FC" w:rsidP="0019790A">
            <w:pPr>
              <w:pStyle w:val="TableParagraph"/>
              <w:rPr>
                <w:rFonts w:ascii="Arial" w:hAnsi="Arial" w:cs="Arial"/>
              </w:rPr>
            </w:pPr>
            <w:r w:rsidRPr="0019790A">
              <w:rPr>
                <w:rFonts w:ascii="Arial" w:hAnsi="Arial" w:cs="Arial"/>
              </w:rPr>
              <w:t>Здобувачі освіти, педагоги, батьки, жителі громади</w:t>
            </w:r>
          </w:p>
        </w:tc>
      </w:tr>
      <w:tr w:rsidR="003B45FC" w:rsidRPr="0019790A" w14:paraId="10541409" w14:textId="77777777" w:rsidTr="00787C61">
        <w:trPr>
          <w:jc w:val="right"/>
        </w:trPr>
        <w:tc>
          <w:tcPr>
            <w:tcW w:w="3425" w:type="dxa"/>
            <w:shd w:val="clear" w:color="auto" w:fill="FFFFFF"/>
            <w:vAlign w:val="center"/>
          </w:tcPr>
          <w:p w14:paraId="0F5333FF" w14:textId="77777777" w:rsidR="003B45FC" w:rsidRPr="0019790A" w:rsidRDefault="003B45FC" w:rsidP="0019790A">
            <w:pPr>
              <w:rPr>
                <w:rFonts w:cs="Arial"/>
                <w:b/>
                <w:bCs/>
                <w:szCs w:val="22"/>
              </w:rPr>
            </w:pPr>
            <w:r w:rsidRPr="0019790A">
              <w:rPr>
                <w:rFonts w:cs="Arial"/>
                <w:b/>
                <w:bCs/>
                <w:szCs w:val="22"/>
              </w:rPr>
              <w:t>Стислий опис проєкту:</w:t>
            </w:r>
          </w:p>
        </w:tc>
        <w:tc>
          <w:tcPr>
            <w:tcW w:w="6794" w:type="dxa"/>
            <w:gridSpan w:val="6"/>
          </w:tcPr>
          <w:p w14:paraId="05FE857F" w14:textId="77777777" w:rsidR="003B45FC" w:rsidRPr="0019790A" w:rsidRDefault="003B45FC" w:rsidP="0019790A">
            <w:pPr>
              <w:jc w:val="both"/>
              <w:rPr>
                <w:rFonts w:cs="Arial"/>
                <w:szCs w:val="22"/>
                <w:lang w:eastAsia="it-IT"/>
              </w:rPr>
            </w:pPr>
            <w:r w:rsidRPr="0019790A">
              <w:rPr>
                <w:rFonts w:cs="Arial"/>
                <w:szCs w:val="22"/>
                <w:shd w:val="clear" w:color="auto" w:fill="FFFFFF"/>
              </w:rPr>
              <w:t xml:space="preserve"> </w:t>
            </w:r>
            <w:r w:rsidRPr="0019790A">
              <w:rPr>
                <w:rFonts w:eastAsia="MS Mincho" w:cs="Arial"/>
                <w:szCs w:val="22"/>
                <w:lang w:eastAsia="uk-UA"/>
              </w:rPr>
              <w:t>З</w:t>
            </w:r>
            <w:r w:rsidRPr="0019790A">
              <w:rPr>
                <w:rFonts w:cs="Arial"/>
                <w:szCs w:val="22"/>
              </w:rPr>
              <w:t xml:space="preserve">ношеність освітньої інфраструктури зумовлює проблеми щодо забезпечення сучасного енергоефективного освітнього простору в закладах освіти. Реалізація проєкту сприятиме створенню комфортних умов для здійснення освітнього процесу, економії споживання енергоносіїв, дотриманню Санітарного регламенту щодо забезпечення належного температурного режиму в закладах освіти  </w:t>
            </w:r>
          </w:p>
        </w:tc>
      </w:tr>
      <w:tr w:rsidR="003B45FC" w:rsidRPr="0019790A" w14:paraId="23B0CE18" w14:textId="77777777" w:rsidTr="00787C61">
        <w:trPr>
          <w:jc w:val="right"/>
        </w:trPr>
        <w:tc>
          <w:tcPr>
            <w:tcW w:w="3425" w:type="dxa"/>
            <w:shd w:val="clear" w:color="auto" w:fill="FFFFFF"/>
            <w:vAlign w:val="center"/>
          </w:tcPr>
          <w:p w14:paraId="049147E8" w14:textId="77777777" w:rsidR="003B45FC" w:rsidRPr="0019790A" w:rsidRDefault="003B45FC" w:rsidP="0019790A">
            <w:pPr>
              <w:rPr>
                <w:rFonts w:cs="Arial"/>
                <w:b/>
                <w:bCs/>
                <w:szCs w:val="22"/>
              </w:rPr>
            </w:pPr>
            <w:r w:rsidRPr="0019790A">
              <w:rPr>
                <w:rFonts w:cs="Arial"/>
                <w:b/>
                <w:bCs/>
                <w:szCs w:val="22"/>
              </w:rPr>
              <w:t>Основні заходи проєкту:</w:t>
            </w:r>
          </w:p>
        </w:tc>
        <w:tc>
          <w:tcPr>
            <w:tcW w:w="6794" w:type="dxa"/>
            <w:gridSpan w:val="6"/>
          </w:tcPr>
          <w:p w14:paraId="54805051" w14:textId="77777777" w:rsidR="003B45FC" w:rsidRPr="0019790A" w:rsidRDefault="003B45FC" w:rsidP="0019790A">
            <w:pPr>
              <w:pStyle w:val="af4"/>
              <w:numPr>
                <w:ilvl w:val="0"/>
                <w:numId w:val="17"/>
              </w:numPr>
              <w:suppressAutoHyphens w:val="0"/>
              <w:spacing w:after="0" w:line="240" w:lineRule="auto"/>
              <w:contextualSpacing/>
              <w:jc w:val="both"/>
              <w:rPr>
                <w:rFonts w:ascii="Arial" w:hAnsi="Arial" w:cs="Arial"/>
                <w:b/>
              </w:rPr>
            </w:pPr>
            <w:r w:rsidRPr="0019790A">
              <w:rPr>
                <w:rFonts w:ascii="Arial" w:hAnsi="Arial" w:cs="Arial"/>
              </w:rPr>
              <w:t xml:space="preserve">Виготовлення ПКД </w:t>
            </w:r>
          </w:p>
          <w:p w14:paraId="599626BD" w14:textId="77777777" w:rsidR="003B45FC" w:rsidRPr="0019790A" w:rsidRDefault="003B45FC" w:rsidP="0019790A">
            <w:pPr>
              <w:pStyle w:val="af4"/>
              <w:numPr>
                <w:ilvl w:val="0"/>
                <w:numId w:val="17"/>
              </w:numPr>
              <w:suppressAutoHyphens w:val="0"/>
              <w:spacing w:after="0" w:line="240" w:lineRule="auto"/>
              <w:contextualSpacing/>
              <w:jc w:val="both"/>
              <w:rPr>
                <w:rFonts w:ascii="Arial" w:hAnsi="Arial" w:cs="Arial"/>
                <w:b/>
              </w:rPr>
            </w:pPr>
            <w:r w:rsidRPr="0019790A">
              <w:rPr>
                <w:rFonts w:ascii="Arial" w:hAnsi="Arial" w:cs="Arial"/>
              </w:rPr>
              <w:t>Проведення процедури закупівлі</w:t>
            </w:r>
          </w:p>
          <w:p w14:paraId="70590F67" w14:textId="77777777" w:rsidR="003B45FC" w:rsidRPr="0019790A" w:rsidRDefault="003B45FC" w:rsidP="0019790A">
            <w:pPr>
              <w:pStyle w:val="af4"/>
              <w:numPr>
                <w:ilvl w:val="0"/>
                <w:numId w:val="17"/>
              </w:numPr>
              <w:suppressAutoHyphens w:val="0"/>
              <w:spacing w:after="0" w:line="240" w:lineRule="auto"/>
              <w:contextualSpacing/>
              <w:jc w:val="both"/>
              <w:rPr>
                <w:rFonts w:ascii="Arial" w:hAnsi="Arial" w:cs="Arial"/>
                <w:b/>
              </w:rPr>
            </w:pPr>
            <w:r w:rsidRPr="0019790A">
              <w:rPr>
                <w:rFonts w:ascii="Arial" w:hAnsi="Arial" w:cs="Arial"/>
              </w:rPr>
              <w:t xml:space="preserve">Проведення робіт з модернізації покрівлі  ЗДО № 2 «Калинка» </w:t>
            </w:r>
            <w:r w:rsidRPr="0019790A">
              <w:rPr>
                <w:rFonts w:ascii="Arial" w:hAnsi="Arial" w:cs="Arial"/>
                <w:lang w:eastAsia="it-IT"/>
              </w:rPr>
              <w:t xml:space="preserve"> </w:t>
            </w:r>
          </w:p>
        </w:tc>
      </w:tr>
      <w:tr w:rsidR="003B45FC" w:rsidRPr="0019790A" w14:paraId="5D537309" w14:textId="77777777" w:rsidTr="00787C61">
        <w:trPr>
          <w:jc w:val="right"/>
        </w:trPr>
        <w:tc>
          <w:tcPr>
            <w:tcW w:w="3425" w:type="dxa"/>
            <w:shd w:val="clear" w:color="auto" w:fill="FFFFFF"/>
            <w:vAlign w:val="center"/>
          </w:tcPr>
          <w:p w14:paraId="50DF22F1" w14:textId="77777777" w:rsidR="003B45FC" w:rsidRPr="0019790A" w:rsidRDefault="003B45FC" w:rsidP="0019790A">
            <w:pPr>
              <w:rPr>
                <w:rFonts w:cs="Arial"/>
                <w:b/>
                <w:bCs/>
                <w:szCs w:val="22"/>
              </w:rPr>
            </w:pPr>
            <w:r w:rsidRPr="0019790A">
              <w:rPr>
                <w:rFonts w:cs="Arial"/>
                <w:b/>
                <w:bCs/>
                <w:szCs w:val="22"/>
              </w:rPr>
              <w:t>Індикатори (показники) результативності:</w:t>
            </w:r>
          </w:p>
        </w:tc>
        <w:tc>
          <w:tcPr>
            <w:tcW w:w="6794" w:type="dxa"/>
            <w:gridSpan w:val="6"/>
          </w:tcPr>
          <w:p w14:paraId="1B4C688C" w14:textId="77777777" w:rsidR="003B45FC" w:rsidRPr="0019790A" w:rsidRDefault="003B45FC" w:rsidP="0019790A">
            <w:pPr>
              <w:rPr>
                <w:rFonts w:cs="Arial"/>
                <w:szCs w:val="22"/>
                <w:lang w:eastAsia="it-IT"/>
              </w:rPr>
            </w:pPr>
            <w:r w:rsidRPr="0019790A">
              <w:rPr>
                <w:rFonts w:cs="Arial"/>
                <w:szCs w:val="22"/>
              </w:rPr>
              <w:t xml:space="preserve"> </w:t>
            </w:r>
            <w:r w:rsidRPr="0019790A">
              <w:rPr>
                <w:rFonts w:cs="Arial"/>
                <w:szCs w:val="22"/>
                <w:lang w:eastAsia="it-IT"/>
              </w:rPr>
              <w:t xml:space="preserve">Покращення теплового режиму в приміщеннях (зниження втрат тепла на 20-30%).  </w:t>
            </w:r>
            <w:r w:rsidRPr="0019790A">
              <w:rPr>
                <w:rFonts w:cs="Arial"/>
                <w:szCs w:val="22"/>
              </w:rPr>
              <w:t xml:space="preserve"> </w:t>
            </w:r>
          </w:p>
        </w:tc>
      </w:tr>
      <w:tr w:rsidR="003B45FC" w:rsidRPr="0019790A" w14:paraId="5D05F25B" w14:textId="77777777" w:rsidTr="00787C61">
        <w:trPr>
          <w:jc w:val="right"/>
        </w:trPr>
        <w:tc>
          <w:tcPr>
            <w:tcW w:w="3425" w:type="dxa"/>
            <w:shd w:val="clear" w:color="auto" w:fill="FFFFFF"/>
            <w:vAlign w:val="center"/>
          </w:tcPr>
          <w:p w14:paraId="6571189A" w14:textId="77777777" w:rsidR="003B45FC" w:rsidRPr="0019790A" w:rsidRDefault="003B45FC" w:rsidP="0019790A">
            <w:pPr>
              <w:rPr>
                <w:rFonts w:cs="Arial"/>
                <w:b/>
                <w:szCs w:val="22"/>
              </w:rPr>
            </w:pPr>
            <w:r w:rsidRPr="0019790A">
              <w:rPr>
                <w:rFonts w:cs="Arial"/>
                <w:b/>
                <w:szCs w:val="22"/>
              </w:rPr>
              <w:t xml:space="preserve">Період здійснення: </w:t>
            </w:r>
          </w:p>
        </w:tc>
        <w:tc>
          <w:tcPr>
            <w:tcW w:w="6794" w:type="dxa"/>
            <w:gridSpan w:val="6"/>
            <w:vAlign w:val="center"/>
          </w:tcPr>
          <w:p w14:paraId="3EC9C135" w14:textId="77777777" w:rsidR="003B45FC" w:rsidRPr="0019790A" w:rsidRDefault="003B45FC" w:rsidP="0019790A">
            <w:pPr>
              <w:rPr>
                <w:rFonts w:cs="Arial"/>
                <w:szCs w:val="22"/>
                <w:lang w:eastAsia="it-IT"/>
              </w:rPr>
            </w:pPr>
            <w:r w:rsidRPr="0019790A">
              <w:rPr>
                <w:rFonts w:cs="Arial"/>
                <w:b/>
                <w:szCs w:val="22"/>
              </w:rPr>
              <w:t>2025 – 2028 роки:</w:t>
            </w:r>
          </w:p>
        </w:tc>
      </w:tr>
      <w:tr w:rsidR="003B45FC" w:rsidRPr="0019790A" w14:paraId="5D6F29D7" w14:textId="77777777" w:rsidTr="00787C61">
        <w:trPr>
          <w:jc w:val="right"/>
        </w:trPr>
        <w:tc>
          <w:tcPr>
            <w:tcW w:w="3425" w:type="dxa"/>
            <w:vMerge w:val="restart"/>
            <w:shd w:val="clear" w:color="auto" w:fill="FFFFFF"/>
            <w:vAlign w:val="center"/>
          </w:tcPr>
          <w:p w14:paraId="482F80AC" w14:textId="77777777" w:rsidR="003B45FC" w:rsidRPr="0019790A" w:rsidRDefault="003B45FC" w:rsidP="0019790A">
            <w:pPr>
              <w:rPr>
                <w:rFonts w:cs="Arial"/>
                <w:b/>
                <w:bCs/>
                <w:szCs w:val="22"/>
              </w:rPr>
            </w:pPr>
            <w:r w:rsidRPr="0019790A">
              <w:rPr>
                <w:rFonts w:cs="Arial"/>
                <w:b/>
                <w:bCs/>
                <w:szCs w:val="22"/>
              </w:rPr>
              <w:t>Орієнтовна вартість проєкту, тис. грн., в тому числі:</w:t>
            </w:r>
          </w:p>
        </w:tc>
        <w:tc>
          <w:tcPr>
            <w:tcW w:w="1254" w:type="dxa"/>
            <w:gridSpan w:val="2"/>
            <w:shd w:val="clear" w:color="auto" w:fill="E6E6E6"/>
            <w:vAlign w:val="center"/>
          </w:tcPr>
          <w:p w14:paraId="61682ABD" w14:textId="77777777" w:rsidR="003B45FC" w:rsidRPr="0019790A" w:rsidRDefault="003B45FC" w:rsidP="0019790A">
            <w:pPr>
              <w:jc w:val="center"/>
              <w:rPr>
                <w:rFonts w:cs="Arial"/>
                <w:b/>
                <w:szCs w:val="22"/>
                <w:lang w:eastAsia="it-IT"/>
              </w:rPr>
            </w:pPr>
            <w:r w:rsidRPr="0019790A">
              <w:rPr>
                <w:rFonts w:cs="Arial"/>
                <w:b/>
                <w:szCs w:val="22"/>
                <w:lang w:eastAsia="it-IT"/>
              </w:rPr>
              <w:t>2025</w:t>
            </w:r>
          </w:p>
        </w:tc>
        <w:tc>
          <w:tcPr>
            <w:tcW w:w="1275" w:type="dxa"/>
            <w:shd w:val="clear" w:color="auto" w:fill="E6E6E6"/>
            <w:vAlign w:val="center"/>
          </w:tcPr>
          <w:p w14:paraId="743C6FD8" w14:textId="77777777" w:rsidR="003B45FC" w:rsidRPr="0019790A" w:rsidRDefault="003B45FC" w:rsidP="0019790A">
            <w:pPr>
              <w:jc w:val="center"/>
              <w:rPr>
                <w:rFonts w:cs="Arial"/>
                <w:b/>
                <w:szCs w:val="22"/>
                <w:lang w:eastAsia="it-IT"/>
              </w:rPr>
            </w:pPr>
            <w:r w:rsidRPr="0019790A">
              <w:rPr>
                <w:rFonts w:cs="Arial"/>
                <w:b/>
                <w:szCs w:val="22"/>
                <w:lang w:eastAsia="it-IT"/>
              </w:rPr>
              <w:t>2026</w:t>
            </w:r>
          </w:p>
        </w:tc>
        <w:tc>
          <w:tcPr>
            <w:tcW w:w="1418" w:type="dxa"/>
            <w:tcBorders>
              <w:bottom w:val="single" w:sz="4" w:space="0" w:color="auto"/>
            </w:tcBorders>
            <w:shd w:val="clear" w:color="auto" w:fill="E6E6E6"/>
            <w:vAlign w:val="center"/>
          </w:tcPr>
          <w:p w14:paraId="4D9BB3D8" w14:textId="77777777" w:rsidR="003B45FC" w:rsidRPr="0019790A" w:rsidRDefault="003B45FC" w:rsidP="0019790A">
            <w:pPr>
              <w:jc w:val="center"/>
              <w:rPr>
                <w:rFonts w:cs="Arial"/>
                <w:b/>
                <w:szCs w:val="22"/>
                <w:lang w:eastAsia="it-IT"/>
              </w:rPr>
            </w:pPr>
            <w:r w:rsidRPr="0019790A">
              <w:rPr>
                <w:rFonts w:cs="Arial"/>
                <w:b/>
                <w:szCs w:val="22"/>
                <w:lang w:eastAsia="it-IT"/>
              </w:rPr>
              <w:t>2027</w:t>
            </w:r>
          </w:p>
        </w:tc>
        <w:tc>
          <w:tcPr>
            <w:tcW w:w="1276" w:type="dxa"/>
            <w:shd w:val="clear" w:color="auto" w:fill="E6E6E6"/>
            <w:vAlign w:val="center"/>
          </w:tcPr>
          <w:p w14:paraId="694F4167" w14:textId="77777777" w:rsidR="003B45FC" w:rsidRPr="0019790A" w:rsidRDefault="003B45FC" w:rsidP="0019790A">
            <w:pPr>
              <w:jc w:val="center"/>
              <w:rPr>
                <w:rFonts w:cs="Arial"/>
                <w:b/>
                <w:szCs w:val="22"/>
                <w:lang w:eastAsia="it-IT"/>
              </w:rPr>
            </w:pPr>
            <w:r w:rsidRPr="0019790A">
              <w:rPr>
                <w:rFonts w:cs="Arial"/>
                <w:b/>
                <w:szCs w:val="22"/>
                <w:lang w:eastAsia="it-IT"/>
              </w:rPr>
              <w:t>2028</w:t>
            </w:r>
          </w:p>
        </w:tc>
        <w:tc>
          <w:tcPr>
            <w:tcW w:w="1571" w:type="dxa"/>
            <w:shd w:val="clear" w:color="auto" w:fill="E6E6E6"/>
            <w:vAlign w:val="center"/>
          </w:tcPr>
          <w:p w14:paraId="208D07C1" w14:textId="77777777" w:rsidR="003B45FC" w:rsidRPr="0019790A" w:rsidRDefault="003B45FC" w:rsidP="0019790A">
            <w:pPr>
              <w:jc w:val="center"/>
              <w:rPr>
                <w:rFonts w:cs="Arial"/>
                <w:b/>
                <w:szCs w:val="22"/>
                <w:lang w:eastAsia="it-IT"/>
              </w:rPr>
            </w:pPr>
            <w:r w:rsidRPr="0019790A">
              <w:rPr>
                <w:rFonts w:cs="Arial"/>
                <w:b/>
                <w:szCs w:val="22"/>
                <w:lang w:eastAsia="it-IT"/>
              </w:rPr>
              <w:t>РАЗОМ</w:t>
            </w:r>
          </w:p>
        </w:tc>
      </w:tr>
      <w:tr w:rsidR="003B45FC" w:rsidRPr="0019790A" w14:paraId="5E1683A3" w14:textId="77777777" w:rsidTr="00722007">
        <w:trPr>
          <w:jc w:val="right"/>
        </w:trPr>
        <w:tc>
          <w:tcPr>
            <w:tcW w:w="3425" w:type="dxa"/>
            <w:vMerge/>
            <w:shd w:val="clear" w:color="auto" w:fill="FFFFFF"/>
            <w:vAlign w:val="center"/>
          </w:tcPr>
          <w:p w14:paraId="0CA4F5D3" w14:textId="77777777" w:rsidR="003B45FC" w:rsidRPr="0019790A" w:rsidRDefault="003B45FC" w:rsidP="0019790A">
            <w:pPr>
              <w:rPr>
                <w:rFonts w:cs="Arial"/>
                <w:b/>
                <w:bCs/>
                <w:szCs w:val="22"/>
              </w:rPr>
            </w:pPr>
          </w:p>
        </w:tc>
        <w:tc>
          <w:tcPr>
            <w:tcW w:w="1254" w:type="dxa"/>
            <w:gridSpan w:val="2"/>
            <w:vAlign w:val="center"/>
          </w:tcPr>
          <w:p w14:paraId="2F775587" w14:textId="77777777" w:rsidR="003B45FC" w:rsidRPr="0019790A" w:rsidRDefault="003B45FC" w:rsidP="0019790A">
            <w:pPr>
              <w:jc w:val="center"/>
              <w:rPr>
                <w:rFonts w:cs="Arial"/>
                <w:b/>
                <w:szCs w:val="22"/>
                <w:lang w:eastAsia="it-IT"/>
              </w:rPr>
            </w:pPr>
          </w:p>
        </w:tc>
        <w:tc>
          <w:tcPr>
            <w:tcW w:w="1275" w:type="dxa"/>
            <w:shd w:val="clear" w:color="auto" w:fill="FFFFFF"/>
            <w:vAlign w:val="center"/>
          </w:tcPr>
          <w:p w14:paraId="1018E686" w14:textId="77777777" w:rsidR="003B45FC" w:rsidRPr="0019790A" w:rsidRDefault="003B45FC" w:rsidP="00722007">
            <w:pPr>
              <w:jc w:val="center"/>
              <w:rPr>
                <w:rFonts w:cs="Arial"/>
                <w:b/>
                <w:szCs w:val="22"/>
                <w:lang w:eastAsia="it-IT"/>
              </w:rPr>
            </w:pPr>
            <w:r w:rsidRPr="0019790A">
              <w:rPr>
                <w:rFonts w:cs="Arial"/>
                <w:b/>
                <w:szCs w:val="22"/>
                <w:lang w:eastAsia="it-IT"/>
              </w:rPr>
              <w:t>300,00</w:t>
            </w:r>
          </w:p>
        </w:tc>
        <w:tc>
          <w:tcPr>
            <w:tcW w:w="1418" w:type="dxa"/>
            <w:shd w:val="clear" w:color="auto" w:fill="auto"/>
            <w:vAlign w:val="center"/>
          </w:tcPr>
          <w:p w14:paraId="26506B49" w14:textId="77777777" w:rsidR="003B45FC" w:rsidRPr="0019790A" w:rsidRDefault="003B45FC" w:rsidP="00722007">
            <w:pPr>
              <w:jc w:val="center"/>
              <w:rPr>
                <w:rFonts w:cs="Arial"/>
                <w:b/>
                <w:szCs w:val="22"/>
                <w:lang w:eastAsia="it-IT"/>
              </w:rPr>
            </w:pPr>
            <w:r w:rsidRPr="0019790A">
              <w:rPr>
                <w:rFonts w:cs="Arial"/>
                <w:b/>
                <w:szCs w:val="22"/>
                <w:lang w:eastAsia="it-IT"/>
              </w:rPr>
              <w:t>6 000,00</w:t>
            </w:r>
          </w:p>
        </w:tc>
        <w:tc>
          <w:tcPr>
            <w:tcW w:w="1276" w:type="dxa"/>
            <w:shd w:val="clear" w:color="auto" w:fill="FFFFFF"/>
            <w:vAlign w:val="center"/>
          </w:tcPr>
          <w:p w14:paraId="7630A9BB" w14:textId="77777777" w:rsidR="003B45FC" w:rsidRPr="0019790A" w:rsidRDefault="003B45FC" w:rsidP="00722007">
            <w:pPr>
              <w:jc w:val="center"/>
              <w:rPr>
                <w:rFonts w:cs="Arial"/>
                <w:b/>
                <w:szCs w:val="22"/>
                <w:lang w:eastAsia="it-IT"/>
              </w:rPr>
            </w:pPr>
          </w:p>
        </w:tc>
        <w:tc>
          <w:tcPr>
            <w:tcW w:w="1571" w:type="dxa"/>
            <w:shd w:val="clear" w:color="auto" w:fill="FFFFFF"/>
            <w:vAlign w:val="center"/>
          </w:tcPr>
          <w:p w14:paraId="43EC5F72" w14:textId="5D648E98" w:rsidR="003B45FC" w:rsidRPr="0019790A" w:rsidRDefault="003B45FC" w:rsidP="00722007">
            <w:pPr>
              <w:jc w:val="center"/>
              <w:rPr>
                <w:rFonts w:cs="Arial"/>
                <w:b/>
                <w:szCs w:val="22"/>
                <w:lang w:eastAsia="it-IT"/>
              </w:rPr>
            </w:pPr>
            <w:r w:rsidRPr="0019790A">
              <w:rPr>
                <w:rFonts w:cs="Arial"/>
                <w:b/>
                <w:szCs w:val="22"/>
                <w:lang w:eastAsia="it-IT"/>
              </w:rPr>
              <w:t>6 300, 00</w:t>
            </w:r>
          </w:p>
        </w:tc>
      </w:tr>
      <w:tr w:rsidR="003B45FC" w:rsidRPr="0019790A" w14:paraId="6A9BEDE9" w14:textId="77777777" w:rsidTr="00722007">
        <w:trPr>
          <w:trHeight w:val="276"/>
          <w:jc w:val="right"/>
        </w:trPr>
        <w:tc>
          <w:tcPr>
            <w:tcW w:w="3425" w:type="dxa"/>
            <w:shd w:val="clear" w:color="auto" w:fill="FFFFFF"/>
            <w:vAlign w:val="center"/>
          </w:tcPr>
          <w:p w14:paraId="20C4DB49" w14:textId="77777777" w:rsidR="003B45FC" w:rsidRPr="0019790A" w:rsidRDefault="003B45FC" w:rsidP="0019790A">
            <w:pPr>
              <w:rPr>
                <w:rFonts w:cs="Arial"/>
                <w:b/>
                <w:bCs/>
                <w:szCs w:val="22"/>
              </w:rPr>
            </w:pPr>
            <w:r w:rsidRPr="0019790A">
              <w:rPr>
                <w:rFonts w:cs="Arial"/>
                <w:b/>
                <w:bCs/>
                <w:szCs w:val="22"/>
              </w:rPr>
              <w:t>по джерелах фінансування:</w:t>
            </w:r>
          </w:p>
        </w:tc>
        <w:tc>
          <w:tcPr>
            <w:tcW w:w="6794" w:type="dxa"/>
            <w:gridSpan w:val="6"/>
            <w:vAlign w:val="center"/>
          </w:tcPr>
          <w:p w14:paraId="3B1D358B" w14:textId="77777777" w:rsidR="003B45FC" w:rsidRPr="0019790A" w:rsidRDefault="003B45FC" w:rsidP="00722007">
            <w:pPr>
              <w:jc w:val="center"/>
              <w:rPr>
                <w:rFonts w:cs="Arial"/>
                <w:szCs w:val="22"/>
                <w:lang w:eastAsia="it-IT"/>
              </w:rPr>
            </w:pPr>
          </w:p>
        </w:tc>
      </w:tr>
      <w:tr w:rsidR="00722007" w:rsidRPr="0019790A" w14:paraId="4B6C2494" w14:textId="2CD248F7" w:rsidTr="00722007">
        <w:trPr>
          <w:trHeight w:val="240"/>
          <w:jc w:val="right"/>
        </w:trPr>
        <w:tc>
          <w:tcPr>
            <w:tcW w:w="3425" w:type="dxa"/>
            <w:shd w:val="clear" w:color="auto" w:fill="FFFFFF"/>
            <w:vAlign w:val="center"/>
          </w:tcPr>
          <w:p w14:paraId="7B02EA5E" w14:textId="77777777" w:rsidR="00722007" w:rsidRPr="0019790A" w:rsidRDefault="00722007" w:rsidP="0019790A">
            <w:pPr>
              <w:rPr>
                <w:rFonts w:cs="Arial"/>
                <w:b/>
                <w:bCs/>
                <w:szCs w:val="22"/>
              </w:rPr>
            </w:pPr>
            <w:r w:rsidRPr="0019790A">
              <w:rPr>
                <w:rFonts w:cs="Arial"/>
                <w:szCs w:val="22"/>
              </w:rPr>
              <w:t>- державний бюджет</w:t>
            </w:r>
          </w:p>
        </w:tc>
        <w:tc>
          <w:tcPr>
            <w:tcW w:w="1248" w:type="dxa"/>
            <w:vAlign w:val="center"/>
          </w:tcPr>
          <w:p w14:paraId="39E6197A" w14:textId="77777777" w:rsidR="00722007" w:rsidRPr="0019790A" w:rsidRDefault="00722007" w:rsidP="0019790A">
            <w:pPr>
              <w:jc w:val="both"/>
              <w:rPr>
                <w:rFonts w:cs="Arial"/>
                <w:szCs w:val="22"/>
                <w:lang w:eastAsia="it-IT"/>
              </w:rPr>
            </w:pPr>
          </w:p>
        </w:tc>
        <w:tc>
          <w:tcPr>
            <w:tcW w:w="1276" w:type="dxa"/>
            <w:gridSpan w:val="2"/>
            <w:vAlign w:val="center"/>
          </w:tcPr>
          <w:p w14:paraId="515F8A63" w14:textId="77777777" w:rsidR="00722007" w:rsidRPr="0019790A" w:rsidRDefault="00722007" w:rsidP="00722007">
            <w:pPr>
              <w:jc w:val="center"/>
              <w:rPr>
                <w:rFonts w:cs="Arial"/>
                <w:szCs w:val="22"/>
                <w:lang w:eastAsia="it-IT"/>
              </w:rPr>
            </w:pPr>
          </w:p>
        </w:tc>
        <w:tc>
          <w:tcPr>
            <w:tcW w:w="1417" w:type="dxa"/>
            <w:vAlign w:val="center"/>
          </w:tcPr>
          <w:p w14:paraId="6077FAF6" w14:textId="77777777" w:rsidR="00722007" w:rsidRPr="0019790A" w:rsidRDefault="00722007" w:rsidP="00722007">
            <w:pPr>
              <w:jc w:val="center"/>
              <w:rPr>
                <w:rFonts w:cs="Arial"/>
                <w:szCs w:val="22"/>
                <w:lang w:eastAsia="it-IT"/>
              </w:rPr>
            </w:pPr>
          </w:p>
        </w:tc>
        <w:tc>
          <w:tcPr>
            <w:tcW w:w="1276" w:type="dxa"/>
            <w:vAlign w:val="center"/>
          </w:tcPr>
          <w:p w14:paraId="6564A241" w14:textId="77777777" w:rsidR="00722007" w:rsidRPr="0019790A" w:rsidRDefault="00722007" w:rsidP="00722007">
            <w:pPr>
              <w:jc w:val="center"/>
              <w:rPr>
                <w:rFonts w:cs="Arial"/>
                <w:szCs w:val="22"/>
                <w:lang w:eastAsia="it-IT"/>
              </w:rPr>
            </w:pPr>
          </w:p>
        </w:tc>
        <w:tc>
          <w:tcPr>
            <w:tcW w:w="1577" w:type="dxa"/>
            <w:vAlign w:val="center"/>
          </w:tcPr>
          <w:p w14:paraId="1A45FAA2" w14:textId="77777777" w:rsidR="00722007" w:rsidRPr="0019790A" w:rsidRDefault="00722007" w:rsidP="00722007">
            <w:pPr>
              <w:jc w:val="center"/>
              <w:rPr>
                <w:rFonts w:cs="Arial"/>
                <w:szCs w:val="22"/>
                <w:lang w:eastAsia="it-IT"/>
              </w:rPr>
            </w:pPr>
          </w:p>
        </w:tc>
      </w:tr>
      <w:tr w:rsidR="00722007" w:rsidRPr="0019790A" w14:paraId="0B3FA51E" w14:textId="0A975454" w:rsidTr="00722007">
        <w:trPr>
          <w:trHeight w:val="254"/>
          <w:jc w:val="right"/>
        </w:trPr>
        <w:tc>
          <w:tcPr>
            <w:tcW w:w="3425" w:type="dxa"/>
            <w:shd w:val="clear" w:color="auto" w:fill="FFFFFF"/>
            <w:vAlign w:val="center"/>
          </w:tcPr>
          <w:p w14:paraId="0EC411A4" w14:textId="77777777" w:rsidR="00722007" w:rsidRPr="0019790A" w:rsidRDefault="00722007" w:rsidP="0019790A">
            <w:pPr>
              <w:rPr>
                <w:rFonts w:cs="Arial"/>
                <w:szCs w:val="22"/>
              </w:rPr>
            </w:pPr>
            <w:r w:rsidRPr="0019790A">
              <w:rPr>
                <w:rFonts w:cs="Arial"/>
                <w:szCs w:val="22"/>
              </w:rPr>
              <w:t>- обласний бюджет</w:t>
            </w:r>
          </w:p>
        </w:tc>
        <w:tc>
          <w:tcPr>
            <w:tcW w:w="1248" w:type="dxa"/>
            <w:vAlign w:val="center"/>
          </w:tcPr>
          <w:p w14:paraId="12E58C2F" w14:textId="77777777" w:rsidR="00722007" w:rsidRPr="0019790A" w:rsidRDefault="00722007" w:rsidP="0019790A">
            <w:pPr>
              <w:jc w:val="both"/>
              <w:rPr>
                <w:rFonts w:cs="Arial"/>
                <w:szCs w:val="22"/>
                <w:lang w:eastAsia="it-IT"/>
              </w:rPr>
            </w:pPr>
          </w:p>
        </w:tc>
        <w:tc>
          <w:tcPr>
            <w:tcW w:w="1276" w:type="dxa"/>
            <w:gridSpan w:val="2"/>
            <w:vAlign w:val="center"/>
          </w:tcPr>
          <w:p w14:paraId="676F6433" w14:textId="77777777" w:rsidR="00722007" w:rsidRPr="0019790A" w:rsidRDefault="00722007" w:rsidP="00722007">
            <w:pPr>
              <w:jc w:val="center"/>
              <w:rPr>
                <w:rFonts w:cs="Arial"/>
                <w:szCs w:val="22"/>
                <w:lang w:eastAsia="it-IT"/>
              </w:rPr>
            </w:pPr>
          </w:p>
        </w:tc>
        <w:tc>
          <w:tcPr>
            <w:tcW w:w="1417" w:type="dxa"/>
            <w:vAlign w:val="center"/>
          </w:tcPr>
          <w:p w14:paraId="45177993" w14:textId="77777777" w:rsidR="00722007" w:rsidRPr="0019790A" w:rsidRDefault="00722007" w:rsidP="00722007">
            <w:pPr>
              <w:jc w:val="center"/>
              <w:rPr>
                <w:rFonts w:cs="Arial"/>
                <w:szCs w:val="22"/>
                <w:lang w:eastAsia="it-IT"/>
              </w:rPr>
            </w:pPr>
          </w:p>
        </w:tc>
        <w:tc>
          <w:tcPr>
            <w:tcW w:w="1276" w:type="dxa"/>
            <w:vAlign w:val="center"/>
          </w:tcPr>
          <w:p w14:paraId="74567B62" w14:textId="77777777" w:rsidR="00722007" w:rsidRPr="0019790A" w:rsidRDefault="00722007" w:rsidP="00722007">
            <w:pPr>
              <w:jc w:val="center"/>
              <w:rPr>
                <w:rFonts w:cs="Arial"/>
                <w:szCs w:val="22"/>
                <w:lang w:eastAsia="it-IT"/>
              </w:rPr>
            </w:pPr>
          </w:p>
        </w:tc>
        <w:tc>
          <w:tcPr>
            <w:tcW w:w="1577" w:type="dxa"/>
            <w:vAlign w:val="center"/>
          </w:tcPr>
          <w:p w14:paraId="6A8AD136" w14:textId="77777777" w:rsidR="00722007" w:rsidRPr="0019790A" w:rsidRDefault="00722007" w:rsidP="00722007">
            <w:pPr>
              <w:jc w:val="center"/>
              <w:rPr>
                <w:rFonts w:cs="Arial"/>
                <w:szCs w:val="22"/>
                <w:lang w:eastAsia="it-IT"/>
              </w:rPr>
            </w:pPr>
          </w:p>
        </w:tc>
      </w:tr>
      <w:tr w:rsidR="003B45FC" w:rsidRPr="0019790A" w14:paraId="1D47EC56" w14:textId="77777777" w:rsidTr="00722007">
        <w:trPr>
          <w:trHeight w:val="275"/>
          <w:jc w:val="right"/>
        </w:trPr>
        <w:tc>
          <w:tcPr>
            <w:tcW w:w="3425" w:type="dxa"/>
            <w:shd w:val="clear" w:color="auto" w:fill="FFFFFF"/>
            <w:vAlign w:val="center"/>
          </w:tcPr>
          <w:p w14:paraId="23AE32A9" w14:textId="77777777" w:rsidR="003B45FC" w:rsidRPr="0019790A" w:rsidRDefault="003B45FC" w:rsidP="0019790A">
            <w:pPr>
              <w:rPr>
                <w:rFonts w:cs="Arial"/>
                <w:szCs w:val="22"/>
              </w:rPr>
            </w:pPr>
            <w:r w:rsidRPr="0019790A">
              <w:rPr>
                <w:rFonts w:cs="Arial"/>
                <w:szCs w:val="22"/>
              </w:rPr>
              <w:t>- бюджет Жмеринської МТГ</w:t>
            </w:r>
          </w:p>
        </w:tc>
        <w:tc>
          <w:tcPr>
            <w:tcW w:w="1248" w:type="dxa"/>
            <w:vAlign w:val="center"/>
          </w:tcPr>
          <w:p w14:paraId="6CDA5129" w14:textId="77777777" w:rsidR="003B45FC" w:rsidRPr="0019790A" w:rsidRDefault="003B45FC" w:rsidP="0019790A">
            <w:pPr>
              <w:jc w:val="both"/>
              <w:rPr>
                <w:rFonts w:cs="Arial"/>
                <w:szCs w:val="22"/>
                <w:lang w:eastAsia="it-IT"/>
              </w:rPr>
            </w:pPr>
          </w:p>
        </w:tc>
        <w:tc>
          <w:tcPr>
            <w:tcW w:w="1276" w:type="dxa"/>
            <w:gridSpan w:val="2"/>
            <w:vAlign w:val="center"/>
          </w:tcPr>
          <w:p w14:paraId="0E6894F3" w14:textId="77777777" w:rsidR="003B45FC" w:rsidRPr="0019790A" w:rsidRDefault="003B45FC" w:rsidP="00722007">
            <w:pPr>
              <w:jc w:val="center"/>
              <w:rPr>
                <w:rFonts w:cs="Arial"/>
                <w:b/>
                <w:szCs w:val="22"/>
                <w:lang w:eastAsia="it-IT"/>
              </w:rPr>
            </w:pPr>
            <w:r w:rsidRPr="0019790A">
              <w:rPr>
                <w:rFonts w:cs="Arial"/>
                <w:b/>
                <w:szCs w:val="22"/>
                <w:lang w:eastAsia="it-IT"/>
              </w:rPr>
              <w:t>300,00</w:t>
            </w:r>
          </w:p>
        </w:tc>
        <w:tc>
          <w:tcPr>
            <w:tcW w:w="1417" w:type="dxa"/>
            <w:vAlign w:val="center"/>
          </w:tcPr>
          <w:p w14:paraId="5D26D5EA" w14:textId="77777777" w:rsidR="003B45FC" w:rsidRPr="0019790A" w:rsidRDefault="003B45FC" w:rsidP="00722007">
            <w:pPr>
              <w:jc w:val="center"/>
              <w:rPr>
                <w:rFonts w:cs="Arial"/>
                <w:b/>
                <w:szCs w:val="22"/>
                <w:lang w:eastAsia="it-IT"/>
              </w:rPr>
            </w:pPr>
            <w:r w:rsidRPr="0019790A">
              <w:rPr>
                <w:rFonts w:cs="Arial"/>
                <w:b/>
                <w:szCs w:val="22"/>
                <w:lang w:eastAsia="it-IT"/>
              </w:rPr>
              <w:t>6 000,00</w:t>
            </w:r>
          </w:p>
        </w:tc>
        <w:tc>
          <w:tcPr>
            <w:tcW w:w="1276" w:type="dxa"/>
            <w:vAlign w:val="center"/>
          </w:tcPr>
          <w:p w14:paraId="35E94F38" w14:textId="77777777" w:rsidR="003B45FC" w:rsidRPr="0019790A" w:rsidRDefault="003B45FC" w:rsidP="00722007">
            <w:pPr>
              <w:jc w:val="center"/>
              <w:rPr>
                <w:rFonts w:cs="Arial"/>
                <w:b/>
                <w:szCs w:val="22"/>
                <w:lang w:eastAsia="it-IT"/>
              </w:rPr>
            </w:pPr>
          </w:p>
        </w:tc>
        <w:tc>
          <w:tcPr>
            <w:tcW w:w="1577" w:type="dxa"/>
            <w:vAlign w:val="center"/>
          </w:tcPr>
          <w:p w14:paraId="5290EFAF" w14:textId="75BF38DA" w:rsidR="003B45FC" w:rsidRPr="0019790A" w:rsidRDefault="003B45FC" w:rsidP="00722007">
            <w:pPr>
              <w:jc w:val="center"/>
              <w:rPr>
                <w:rFonts w:cs="Arial"/>
                <w:b/>
                <w:szCs w:val="22"/>
                <w:lang w:eastAsia="it-IT"/>
              </w:rPr>
            </w:pPr>
            <w:r w:rsidRPr="0019790A">
              <w:rPr>
                <w:rFonts w:cs="Arial"/>
                <w:b/>
                <w:szCs w:val="22"/>
                <w:lang w:eastAsia="it-IT"/>
              </w:rPr>
              <w:t>6 300, 00</w:t>
            </w:r>
          </w:p>
        </w:tc>
      </w:tr>
      <w:tr w:rsidR="003B45FC" w:rsidRPr="0019790A" w14:paraId="7A824BB0" w14:textId="77777777" w:rsidTr="00787C61">
        <w:trPr>
          <w:trHeight w:val="226"/>
          <w:jc w:val="right"/>
        </w:trPr>
        <w:tc>
          <w:tcPr>
            <w:tcW w:w="3425" w:type="dxa"/>
            <w:shd w:val="clear" w:color="auto" w:fill="FFFFFF"/>
            <w:vAlign w:val="center"/>
          </w:tcPr>
          <w:p w14:paraId="6B4257F6" w14:textId="77777777" w:rsidR="003B45FC" w:rsidRPr="0019790A" w:rsidRDefault="003B45FC" w:rsidP="0019790A">
            <w:pPr>
              <w:rPr>
                <w:rFonts w:cs="Arial"/>
                <w:szCs w:val="22"/>
              </w:rPr>
            </w:pPr>
            <w:r w:rsidRPr="0019790A">
              <w:rPr>
                <w:rFonts w:cs="Arial"/>
                <w:szCs w:val="22"/>
              </w:rPr>
              <w:t>- інші джерела фінансування</w:t>
            </w:r>
          </w:p>
        </w:tc>
        <w:tc>
          <w:tcPr>
            <w:tcW w:w="6794" w:type="dxa"/>
            <w:gridSpan w:val="6"/>
            <w:vAlign w:val="center"/>
          </w:tcPr>
          <w:p w14:paraId="6B356576" w14:textId="77777777" w:rsidR="003B45FC" w:rsidRPr="0019790A" w:rsidRDefault="003B45FC" w:rsidP="0019790A">
            <w:pPr>
              <w:jc w:val="both"/>
              <w:rPr>
                <w:rFonts w:cs="Arial"/>
                <w:szCs w:val="22"/>
                <w:lang w:eastAsia="it-IT"/>
              </w:rPr>
            </w:pPr>
          </w:p>
        </w:tc>
      </w:tr>
      <w:tr w:rsidR="003B45FC" w:rsidRPr="0019790A" w14:paraId="09D13EA4" w14:textId="77777777" w:rsidTr="00787C61">
        <w:trPr>
          <w:jc w:val="right"/>
        </w:trPr>
        <w:tc>
          <w:tcPr>
            <w:tcW w:w="3425" w:type="dxa"/>
            <w:shd w:val="clear" w:color="auto" w:fill="FFFFFF"/>
            <w:vAlign w:val="center"/>
          </w:tcPr>
          <w:p w14:paraId="739E8776" w14:textId="77777777" w:rsidR="003B45FC" w:rsidRPr="0019790A" w:rsidRDefault="003B45FC" w:rsidP="0019790A">
            <w:pPr>
              <w:rPr>
                <w:rFonts w:cs="Arial"/>
                <w:b/>
                <w:bCs/>
                <w:szCs w:val="22"/>
              </w:rPr>
            </w:pPr>
            <w:r w:rsidRPr="0019790A">
              <w:rPr>
                <w:rFonts w:cs="Arial"/>
                <w:b/>
                <w:szCs w:val="22"/>
              </w:rPr>
              <w:t>Відповідальний виконавець проєкту:</w:t>
            </w:r>
          </w:p>
        </w:tc>
        <w:tc>
          <w:tcPr>
            <w:tcW w:w="6794" w:type="dxa"/>
            <w:gridSpan w:val="6"/>
            <w:vAlign w:val="center"/>
          </w:tcPr>
          <w:p w14:paraId="23BFA2B2" w14:textId="77777777" w:rsidR="003B45FC" w:rsidRPr="0019790A" w:rsidRDefault="003B45FC" w:rsidP="0019790A">
            <w:pPr>
              <w:jc w:val="both"/>
              <w:rPr>
                <w:rFonts w:cs="Arial"/>
                <w:szCs w:val="22"/>
                <w:lang w:eastAsia="it-IT"/>
              </w:rPr>
            </w:pPr>
            <w:r w:rsidRPr="0019790A">
              <w:rPr>
                <w:rFonts w:cs="Arial"/>
                <w:szCs w:val="22"/>
                <w:lang w:eastAsia="it-IT"/>
              </w:rPr>
              <w:t>Управління ЖКГ Жмеринської міської ради, Управління освіти Жмеринської міської ради</w:t>
            </w:r>
          </w:p>
        </w:tc>
      </w:tr>
      <w:tr w:rsidR="003B45FC" w:rsidRPr="0019790A" w14:paraId="16BBBC3B" w14:textId="77777777" w:rsidTr="00787C61">
        <w:trPr>
          <w:jc w:val="right"/>
        </w:trPr>
        <w:tc>
          <w:tcPr>
            <w:tcW w:w="3425" w:type="dxa"/>
            <w:shd w:val="clear" w:color="auto" w:fill="FFFFFF"/>
            <w:vAlign w:val="center"/>
          </w:tcPr>
          <w:p w14:paraId="3B5CC0FE" w14:textId="77777777" w:rsidR="003B45FC" w:rsidRPr="0019790A" w:rsidRDefault="003B45FC" w:rsidP="0019790A">
            <w:pPr>
              <w:rPr>
                <w:rFonts w:cs="Arial"/>
                <w:b/>
                <w:bCs/>
                <w:szCs w:val="22"/>
              </w:rPr>
            </w:pPr>
            <w:r w:rsidRPr="0019790A">
              <w:rPr>
                <w:rFonts w:cs="Arial"/>
                <w:b/>
                <w:bCs/>
                <w:szCs w:val="22"/>
              </w:rPr>
              <w:t>Інше:</w:t>
            </w:r>
          </w:p>
        </w:tc>
        <w:tc>
          <w:tcPr>
            <w:tcW w:w="6794" w:type="dxa"/>
            <w:gridSpan w:val="6"/>
            <w:vAlign w:val="center"/>
          </w:tcPr>
          <w:p w14:paraId="5E3E4A78" w14:textId="77777777" w:rsidR="003B45FC" w:rsidRPr="0019790A" w:rsidRDefault="003B45FC" w:rsidP="0019790A">
            <w:pPr>
              <w:rPr>
                <w:rFonts w:cs="Arial"/>
                <w:szCs w:val="22"/>
                <w:lang w:eastAsia="it-IT"/>
              </w:rPr>
            </w:pPr>
          </w:p>
        </w:tc>
      </w:tr>
    </w:tbl>
    <w:p w14:paraId="3B30E6B8" w14:textId="77777777" w:rsidR="003B45FC" w:rsidRPr="0019790A" w:rsidRDefault="003B45FC" w:rsidP="0019790A">
      <w:pPr>
        <w:rPr>
          <w:rFonts w:cs="Arial"/>
          <w:szCs w:val="22"/>
        </w:rPr>
      </w:pPr>
    </w:p>
    <w:p w14:paraId="32DDC8C7" w14:textId="77777777" w:rsidR="0033645A" w:rsidRPr="0019790A" w:rsidRDefault="0033645A" w:rsidP="0019790A">
      <w:pPr>
        <w:jc w:val="right"/>
        <w:rPr>
          <w:rFonts w:cs="Arial"/>
          <w:b/>
          <w:szCs w:val="22"/>
        </w:rPr>
      </w:pPr>
      <w:r w:rsidRPr="0019790A">
        <w:rPr>
          <w:rFonts w:cs="Arial"/>
          <w:i/>
          <w:szCs w:val="22"/>
        </w:rPr>
        <w:t xml:space="preserve">             </w:t>
      </w:r>
    </w:p>
    <w:p w14:paraId="016C4E38" w14:textId="77777777" w:rsidR="0033645A" w:rsidRPr="0019790A" w:rsidRDefault="0033645A" w:rsidP="0019790A">
      <w:pPr>
        <w:jc w:val="center"/>
        <w:rPr>
          <w:rFonts w:cs="Arial"/>
          <w:b/>
          <w:szCs w:val="22"/>
        </w:rPr>
      </w:pPr>
      <w:r w:rsidRPr="0019790A">
        <w:rPr>
          <w:rFonts w:cs="Arial"/>
          <w:b/>
          <w:szCs w:val="22"/>
        </w:rPr>
        <w:t xml:space="preserve">Форма технічного завдання на проєкт місцевого розвитку </w:t>
      </w:r>
    </w:p>
    <w:p w14:paraId="3301583E" w14:textId="77777777" w:rsidR="0033645A" w:rsidRPr="0019790A" w:rsidRDefault="0033645A" w:rsidP="0019790A">
      <w:pPr>
        <w:jc w:val="center"/>
        <w:rPr>
          <w:rFonts w:cs="Arial"/>
          <w:b/>
          <w:szCs w:val="22"/>
        </w:rPr>
      </w:pPr>
      <w:r w:rsidRPr="0019790A">
        <w:rPr>
          <w:rFonts w:cs="Arial"/>
          <w:b/>
          <w:szCs w:val="22"/>
        </w:rPr>
        <w:t>до Плану заходів з реалізації Стратегії</w:t>
      </w:r>
    </w:p>
    <w:p w14:paraId="55A30835" w14:textId="77777777" w:rsidR="0033645A" w:rsidRPr="0019790A" w:rsidRDefault="0033645A"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0"/>
        <w:gridCol w:w="1247"/>
        <w:gridCol w:w="6"/>
        <w:gridCol w:w="1273"/>
        <w:gridCol w:w="1420"/>
        <w:gridCol w:w="1277"/>
        <w:gridCol w:w="1558"/>
        <w:gridCol w:w="18"/>
      </w:tblGrid>
      <w:tr w:rsidR="0033645A" w:rsidRPr="0019790A" w14:paraId="55361906" w14:textId="77777777" w:rsidTr="00722007">
        <w:trPr>
          <w:jc w:val="right"/>
        </w:trPr>
        <w:tc>
          <w:tcPr>
            <w:tcW w:w="3421" w:type="dxa"/>
            <w:vAlign w:val="center"/>
          </w:tcPr>
          <w:p w14:paraId="6A7EBBBF" w14:textId="77777777" w:rsidR="0033645A" w:rsidRPr="0019790A" w:rsidRDefault="0033645A" w:rsidP="0019790A">
            <w:pPr>
              <w:rPr>
                <w:rFonts w:cs="Arial"/>
                <w:bCs/>
                <w:szCs w:val="22"/>
              </w:rPr>
            </w:pPr>
            <w:r w:rsidRPr="0019790A">
              <w:rPr>
                <w:rFonts w:cs="Arial"/>
                <w:bCs/>
                <w:szCs w:val="22"/>
              </w:rPr>
              <w:t>Назва проєкту:</w:t>
            </w:r>
          </w:p>
        </w:tc>
        <w:tc>
          <w:tcPr>
            <w:tcW w:w="6798" w:type="dxa"/>
            <w:gridSpan w:val="7"/>
          </w:tcPr>
          <w:p w14:paraId="1AF5727E" w14:textId="77777777" w:rsidR="0033645A" w:rsidRPr="0019790A" w:rsidRDefault="0033645A" w:rsidP="00722007">
            <w:pPr>
              <w:jc w:val="both"/>
              <w:rPr>
                <w:rFonts w:cs="Arial"/>
                <w:b/>
                <w:szCs w:val="22"/>
                <w:lang w:eastAsia="it-IT"/>
              </w:rPr>
            </w:pPr>
            <w:r w:rsidRPr="0019790A">
              <w:rPr>
                <w:rFonts w:cs="Arial"/>
                <w:b/>
                <w:szCs w:val="22"/>
                <w:lang w:eastAsia="it-IT"/>
              </w:rPr>
              <w:t>Безпечна школа – запорука якості освіти</w:t>
            </w:r>
          </w:p>
        </w:tc>
      </w:tr>
      <w:tr w:rsidR="0033645A" w:rsidRPr="0019790A" w14:paraId="5DA20A7F" w14:textId="77777777" w:rsidTr="00722007">
        <w:trPr>
          <w:jc w:val="right"/>
        </w:trPr>
        <w:tc>
          <w:tcPr>
            <w:tcW w:w="3421" w:type="dxa"/>
          </w:tcPr>
          <w:p w14:paraId="176ADF70" w14:textId="77777777" w:rsidR="0033645A" w:rsidRPr="0019790A" w:rsidRDefault="0033645A"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7A0A8082" w14:textId="77777777" w:rsidR="0033645A" w:rsidRPr="0019790A" w:rsidRDefault="0033645A" w:rsidP="0019790A">
            <w:pPr>
              <w:rPr>
                <w:rFonts w:cs="Arial"/>
                <w:b/>
                <w:bCs/>
                <w:szCs w:val="22"/>
              </w:rPr>
            </w:pPr>
            <w:r w:rsidRPr="0019790A">
              <w:rPr>
                <w:rFonts w:cs="Arial"/>
                <w:szCs w:val="22"/>
                <w:lang w:eastAsia="it-IT"/>
              </w:rPr>
              <w:t>Назва установи, організації, підприємства</w:t>
            </w:r>
          </w:p>
        </w:tc>
        <w:tc>
          <w:tcPr>
            <w:tcW w:w="6798" w:type="dxa"/>
            <w:gridSpan w:val="7"/>
          </w:tcPr>
          <w:p w14:paraId="5B3DD8E2" w14:textId="29B8D972" w:rsidR="0033645A" w:rsidRPr="0019790A" w:rsidRDefault="0033645A" w:rsidP="00722007">
            <w:pPr>
              <w:jc w:val="both"/>
              <w:rPr>
                <w:rFonts w:cs="Arial"/>
                <w:szCs w:val="22"/>
                <w:lang w:eastAsia="it-IT"/>
              </w:rPr>
            </w:pPr>
            <w:r w:rsidRPr="0019790A">
              <w:rPr>
                <w:rFonts w:cs="Arial"/>
                <w:szCs w:val="22"/>
                <w:lang w:eastAsia="it-IT"/>
              </w:rPr>
              <w:t>Комунальний заклад «Жмеринський ліцей №3»</w:t>
            </w:r>
            <w:r w:rsidR="00722007">
              <w:rPr>
                <w:rFonts w:cs="Arial"/>
                <w:szCs w:val="22"/>
                <w:lang w:eastAsia="it-IT"/>
              </w:rPr>
              <w:t xml:space="preserve"> </w:t>
            </w:r>
            <w:r w:rsidRPr="0019790A">
              <w:rPr>
                <w:rFonts w:cs="Arial"/>
                <w:szCs w:val="22"/>
                <w:lang w:eastAsia="it-IT"/>
              </w:rPr>
              <w:t>Жмеринської міської територіальної громади</w:t>
            </w:r>
          </w:p>
          <w:p w14:paraId="6EB62B25" w14:textId="77777777" w:rsidR="0033645A" w:rsidRPr="0019790A" w:rsidRDefault="0033645A" w:rsidP="00722007">
            <w:pPr>
              <w:jc w:val="both"/>
              <w:rPr>
                <w:rFonts w:cs="Arial"/>
                <w:szCs w:val="22"/>
                <w:lang w:eastAsia="it-IT"/>
              </w:rPr>
            </w:pPr>
          </w:p>
        </w:tc>
      </w:tr>
      <w:tr w:rsidR="0033645A" w:rsidRPr="0019790A" w14:paraId="1352659F" w14:textId="77777777" w:rsidTr="00722007">
        <w:trPr>
          <w:jc w:val="right"/>
        </w:trPr>
        <w:tc>
          <w:tcPr>
            <w:tcW w:w="3421" w:type="dxa"/>
          </w:tcPr>
          <w:p w14:paraId="2C79A53F" w14:textId="77777777" w:rsidR="0033645A" w:rsidRPr="0019790A" w:rsidRDefault="0033645A" w:rsidP="0019790A">
            <w:pPr>
              <w:rPr>
                <w:rFonts w:cs="Arial"/>
                <w:b/>
                <w:bCs/>
                <w:szCs w:val="22"/>
              </w:rPr>
            </w:pPr>
            <w:r w:rsidRPr="0019790A">
              <w:rPr>
                <w:rFonts w:cs="Arial"/>
                <w:szCs w:val="22"/>
                <w:lang w:eastAsia="it-IT"/>
              </w:rPr>
              <w:t>Прізвище Ім’я По-батькові:</w:t>
            </w:r>
          </w:p>
        </w:tc>
        <w:tc>
          <w:tcPr>
            <w:tcW w:w="6798" w:type="dxa"/>
            <w:gridSpan w:val="7"/>
          </w:tcPr>
          <w:p w14:paraId="51C52612" w14:textId="77777777" w:rsidR="0033645A" w:rsidRPr="0019790A" w:rsidRDefault="0033645A" w:rsidP="0019790A">
            <w:pPr>
              <w:rPr>
                <w:rFonts w:cs="Arial"/>
                <w:szCs w:val="22"/>
                <w:lang w:eastAsia="it-IT"/>
              </w:rPr>
            </w:pPr>
            <w:r w:rsidRPr="0019790A">
              <w:rPr>
                <w:rFonts w:cs="Arial"/>
                <w:szCs w:val="22"/>
                <w:lang w:eastAsia="it-IT"/>
              </w:rPr>
              <w:t xml:space="preserve">Білан Тамара Леонтівна </w:t>
            </w:r>
          </w:p>
        </w:tc>
      </w:tr>
      <w:tr w:rsidR="0033645A" w:rsidRPr="0019790A" w14:paraId="060EC5EA" w14:textId="77777777" w:rsidTr="00722007">
        <w:trPr>
          <w:jc w:val="right"/>
        </w:trPr>
        <w:tc>
          <w:tcPr>
            <w:tcW w:w="3421" w:type="dxa"/>
          </w:tcPr>
          <w:p w14:paraId="5B113983" w14:textId="77777777" w:rsidR="0033645A" w:rsidRPr="0019790A" w:rsidRDefault="0033645A" w:rsidP="0019790A">
            <w:pPr>
              <w:rPr>
                <w:rFonts w:cs="Arial"/>
                <w:b/>
                <w:bCs/>
                <w:szCs w:val="22"/>
              </w:rPr>
            </w:pPr>
            <w:r w:rsidRPr="0019790A">
              <w:rPr>
                <w:rFonts w:cs="Arial"/>
                <w:szCs w:val="22"/>
                <w:lang w:eastAsia="it-IT"/>
              </w:rPr>
              <w:t>Телефон (мобільний):</w:t>
            </w:r>
          </w:p>
        </w:tc>
        <w:tc>
          <w:tcPr>
            <w:tcW w:w="6798" w:type="dxa"/>
            <w:gridSpan w:val="7"/>
          </w:tcPr>
          <w:p w14:paraId="3ED82BA2" w14:textId="77777777" w:rsidR="0033645A" w:rsidRPr="0019790A" w:rsidRDefault="0033645A" w:rsidP="0019790A">
            <w:pPr>
              <w:rPr>
                <w:rFonts w:cs="Arial"/>
                <w:szCs w:val="22"/>
                <w:lang w:eastAsia="it-IT"/>
              </w:rPr>
            </w:pPr>
            <w:r w:rsidRPr="0019790A">
              <w:rPr>
                <w:rFonts w:cs="Arial"/>
                <w:szCs w:val="22"/>
                <w:lang w:eastAsia="it-IT"/>
              </w:rPr>
              <w:t>0984387898</w:t>
            </w:r>
          </w:p>
        </w:tc>
      </w:tr>
      <w:tr w:rsidR="0033645A" w:rsidRPr="0019790A" w14:paraId="56DA42E3" w14:textId="77777777" w:rsidTr="00722007">
        <w:trPr>
          <w:jc w:val="right"/>
        </w:trPr>
        <w:tc>
          <w:tcPr>
            <w:tcW w:w="3421" w:type="dxa"/>
          </w:tcPr>
          <w:p w14:paraId="7FCB503C" w14:textId="77777777" w:rsidR="0033645A" w:rsidRPr="0019790A" w:rsidRDefault="0033645A" w:rsidP="0019790A">
            <w:pPr>
              <w:rPr>
                <w:rFonts w:cs="Arial"/>
                <w:b/>
                <w:bCs/>
                <w:szCs w:val="22"/>
              </w:rPr>
            </w:pPr>
            <w:r w:rsidRPr="0019790A">
              <w:rPr>
                <w:rFonts w:cs="Arial"/>
                <w:szCs w:val="22"/>
                <w:lang w:eastAsia="it-IT"/>
              </w:rPr>
              <w:t>Електронна адреса:</w:t>
            </w:r>
          </w:p>
        </w:tc>
        <w:tc>
          <w:tcPr>
            <w:tcW w:w="6798" w:type="dxa"/>
            <w:gridSpan w:val="7"/>
          </w:tcPr>
          <w:p w14:paraId="35D210C6" w14:textId="06D0CF54" w:rsidR="0033645A" w:rsidRPr="0019790A" w:rsidRDefault="00D85FFD" w:rsidP="0019790A">
            <w:pPr>
              <w:rPr>
                <w:rFonts w:cs="Arial"/>
                <w:szCs w:val="22"/>
                <w:lang w:eastAsia="it-IT"/>
              </w:rPr>
            </w:pPr>
            <w:hyperlink r:id="rId92" w:history="1">
              <w:r w:rsidR="00722007" w:rsidRPr="00BF0394">
                <w:rPr>
                  <w:rStyle w:val="af0"/>
                  <w:rFonts w:cs="Arial"/>
                  <w:noProof w:val="0"/>
                  <w:sz w:val="22"/>
                  <w:szCs w:val="22"/>
                  <w:lang w:eastAsia="it-IT"/>
                </w:rPr>
                <w:t>zosh3zm@ukr.net</w:t>
              </w:r>
            </w:hyperlink>
            <w:r w:rsidR="00722007">
              <w:rPr>
                <w:rFonts w:cs="Arial"/>
                <w:szCs w:val="22"/>
                <w:lang w:eastAsia="it-IT"/>
              </w:rPr>
              <w:t xml:space="preserve"> </w:t>
            </w:r>
          </w:p>
        </w:tc>
      </w:tr>
      <w:tr w:rsidR="0033645A" w:rsidRPr="0019790A" w14:paraId="6DE2968B" w14:textId="77777777" w:rsidTr="00722007">
        <w:trPr>
          <w:jc w:val="right"/>
        </w:trPr>
        <w:tc>
          <w:tcPr>
            <w:tcW w:w="3421" w:type="dxa"/>
            <w:vAlign w:val="center"/>
          </w:tcPr>
          <w:p w14:paraId="0E44D8D5" w14:textId="77777777" w:rsidR="0033645A" w:rsidRPr="0019790A" w:rsidRDefault="0033645A" w:rsidP="0019790A">
            <w:pPr>
              <w:pStyle w:val="6"/>
              <w:spacing w:before="0" w:after="0"/>
              <w:rPr>
                <w:rFonts w:ascii="Arial" w:hAnsi="Arial" w:cs="Arial"/>
                <w:lang w:val="uk-UA"/>
              </w:rPr>
            </w:pPr>
            <w:r w:rsidRPr="0019790A">
              <w:rPr>
                <w:rFonts w:ascii="Arial" w:hAnsi="Arial" w:cs="Arial"/>
                <w:lang w:val="uk-UA"/>
              </w:rPr>
              <w:t>Номер і назва завдання з Стратегії</w:t>
            </w:r>
            <w:r w:rsidRPr="0019790A">
              <w:rPr>
                <w:rFonts w:ascii="Arial" w:hAnsi="Arial" w:cs="Arial"/>
                <w:lang w:val="uk-UA" w:eastAsia="it-IT"/>
              </w:rPr>
              <w:t xml:space="preserve"> </w:t>
            </w:r>
            <w:r w:rsidRPr="0019790A">
              <w:rPr>
                <w:rFonts w:ascii="Arial" w:hAnsi="Arial" w:cs="Arial"/>
                <w:lang w:val="uk-UA"/>
              </w:rPr>
              <w:t>розвитку Жмеринської міської територіальної громади,  якому відповідає проєкт:</w:t>
            </w:r>
          </w:p>
        </w:tc>
        <w:tc>
          <w:tcPr>
            <w:tcW w:w="6798" w:type="dxa"/>
            <w:gridSpan w:val="7"/>
          </w:tcPr>
          <w:p w14:paraId="023F191B" w14:textId="77777777" w:rsidR="0033645A" w:rsidRPr="0019790A" w:rsidRDefault="0033645A" w:rsidP="00722007">
            <w:pPr>
              <w:pBdr>
                <w:left w:val="single" w:sz="18" w:space="4" w:color="auto"/>
              </w:pBdr>
              <w:jc w:val="both"/>
              <w:rPr>
                <w:rFonts w:cs="Arial"/>
                <w:szCs w:val="22"/>
              </w:rPr>
            </w:pPr>
            <w:r w:rsidRPr="0019790A">
              <w:rPr>
                <w:rFonts w:cs="Arial"/>
                <w:szCs w:val="22"/>
              </w:rPr>
              <w:t>В 2.2.3. Впровадження енергоефективних заходів та обладнання на об’єктах комунальної власності громади, забезпечення термомодернізації об’єктів комунальної власності.</w:t>
            </w:r>
          </w:p>
          <w:p w14:paraId="49B2DD5A" w14:textId="77777777" w:rsidR="0033645A" w:rsidRPr="0019790A" w:rsidRDefault="0033645A" w:rsidP="00722007">
            <w:pPr>
              <w:pBdr>
                <w:left w:val="single" w:sz="18" w:space="4" w:color="auto"/>
              </w:pBdr>
              <w:jc w:val="both"/>
              <w:rPr>
                <w:rFonts w:cs="Arial"/>
                <w:bCs/>
                <w:szCs w:val="22"/>
                <w:lang w:eastAsia="it-IT"/>
              </w:rPr>
            </w:pPr>
            <w:r w:rsidRPr="0019790A">
              <w:rPr>
                <w:rFonts w:cs="Arial"/>
                <w:szCs w:val="22"/>
              </w:rPr>
              <w:t xml:space="preserve"> С.1.1.2. Розвиток освітньої інфраструктури територіальної громади відповідно до вимог часу</w:t>
            </w:r>
          </w:p>
        </w:tc>
      </w:tr>
      <w:tr w:rsidR="0033645A" w:rsidRPr="0019790A" w14:paraId="24D6A540" w14:textId="77777777" w:rsidTr="00722007">
        <w:trPr>
          <w:jc w:val="right"/>
        </w:trPr>
        <w:tc>
          <w:tcPr>
            <w:tcW w:w="3421" w:type="dxa"/>
            <w:vAlign w:val="center"/>
          </w:tcPr>
          <w:p w14:paraId="28B642F7" w14:textId="77777777" w:rsidR="0033645A" w:rsidRPr="0019790A" w:rsidRDefault="0033645A" w:rsidP="0019790A">
            <w:pPr>
              <w:rPr>
                <w:rFonts w:cs="Arial"/>
                <w:b/>
                <w:bCs/>
                <w:szCs w:val="22"/>
              </w:rPr>
            </w:pPr>
            <w:r w:rsidRPr="0019790A">
              <w:rPr>
                <w:rFonts w:cs="Arial"/>
                <w:b/>
                <w:bCs/>
                <w:szCs w:val="22"/>
              </w:rPr>
              <w:t>Мета проєкту:</w:t>
            </w:r>
          </w:p>
        </w:tc>
        <w:tc>
          <w:tcPr>
            <w:tcW w:w="6798" w:type="dxa"/>
            <w:gridSpan w:val="7"/>
          </w:tcPr>
          <w:p w14:paraId="7333C9EE" w14:textId="77777777" w:rsidR="0033645A" w:rsidRPr="0019790A" w:rsidRDefault="0033645A" w:rsidP="00722007">
            <w:pPr>
              <w:jc w:val="both"/>
              <w:rPr>
                <w:rFonts w:cs="Arial"/>
                <w:szCs w:val="22"/>
                <w:lang w:eastAsia="it-IT"/>
              </w:rPr>
            </w:pPr>
            <w:r w:rsidRPr="0019790A">
              <w:rPr>
                <w:rFonts w:cs="Arial"/>
                <w:szCs w:val="22"/>
                <w:lang w:eastAsia="it-IT"/>
              </w:rPr>
              <w:t xml:space="preserve">Забезпечення безпеки, комфортних умов навчання та продовження експлуатаційного терміну шкільного приміщення шляхом проведення капітального ремонту покрівлі.  </w:t>
            </w:r>
          </w:p>
        </w:tc>
      </w:tr>
      <w:tr w:rsidR="0033645A" w:rsidRPr="0019790A" w14:paraId="4A774DD2" w14:textId="77777777" w:rsidTr="00722007">
        <w:trPr>
          <w:jc w:val="right"/>
        </w:trPr>
        <w:tc>
          <w:tcPr>
            <w:tcW w:w="3421" w:type="dxa"/>
            <w:vAlign w:val="center"/>
          </w:tcPr>
          <w:p w14:paraId="598E5068" w14:textId="77777777" w:rsidR="0033645A" w:rsidRPr="0019790A" w:rsidRDefault="0033645A" w:rsidP="0019790A">
            <w:pPr>
              <w:rPr>
                <w:rFonts w:cs="Arial"/>
                <w:b/>
                <w:bCs/>
                <w:szCs w:val="22"/>
              </w:rPr>
            </w:pPr>
            <w:r w:rsidRPr="0019790A">
              <w:rPr>
                <w:rFonts w:cs="Arial"/>
                <w:b/>
                <w:bCs/>
                <w:szCs w:val="22"/>
              </w:rPr>
              <w:t>Цілі проєкту:</w:t>
            </w:r>
          </w:p>
        </w:tc>
        <w:tc>
          <w:tcPr>
            <w:tcW w:w="6798" w:type="dxa"/>
            <w:gridSpan w:val="7"/>
          </w:tcPr>
          <w:p w14:paraId="43AF7C8C" w14:textId="77777777" w:rsidR="0033645A" w:rsidRPr="0019790A" w:rsidRDefault="0033645A" w:rsidP="00722007">
            <w:pPr>
              <w:jc w:val="both"/>
              <w:rPr>
                <w:rFonts w:cs="Arial"/>
                <w:szCs w:val="22"/>
                <w:lang w:eastAsia="it-IT"/>
              </w:rPr>
            </w:pPr>
            <w:r w:rsidRPr="0019790A">
              <w:rPr>
                <w:rFonts w:cs="Arial"/>
                <w:szCs w:val="22"/>
                <w:lang w:eastAsia="it-IT"/>
              </w:rPr>
              <w:t xml:space="preserve">1. Усунення поточних проблем:  </w:t>
            </w:r>
          </w:p>
          <w:p w14:paraId="3E49EDBD" w14:textId="77777777" w:rsidR="0033645A" w:rsidRPr="0019790A" w:rsidRDefault="0033645A" w:rsidP="00722007">
            <w:pPr>
              <w:jc w:val="both"/>
              <w:rPr>
                <w:rFonts w:cs="Arial"/>
                <w:szCs w:val="22"/>
                <w:lang w:eastAsia="it-IT"/>
              </w:rPr>
            </w:pPr>
            <w:r w:rsidRPr="0019790A">
              <w:rPr>
                <w:rFonts w:cs="Arial"/>
                <w:szCs w:val="22"/>
                <w:lang w:eastAsia="it-IT"/>
              </w:rPr>
              <w:t xml:space="preserve">   - Ліквідація протікання даху, що призводить до пошкодження внутрішніх приміщень (стін, стель, електрики).  </w:t>
            </w:r>
          </w:p>
          <w:p w14:paraId="35322E33" w14:textId="77777777" w:rsidR="0033645A" w:rsidRPr="0019790A" w:rsidRDefault="0033645A" w:rsidP="00722007">
            <w:pPr>
              <w:jc w:val="both"/>
              <w:rPr>
                <w:rFonts w:cs="Arial"/>
                <w:szCs w:val="22"/>
                <w:lang w:eastAsia="it-IT"/>
              </w:rPr>
            </w:pPr>
            <w:r w:rsidRPr="0019790A">
              <w:rPr>
                <w:rFonts w:cs="Arial"/>
                <w:szCs w:val="22"/>
                <w:lang w:eastAsia="it-IT"/>
              </w:rPr>
              <w:t xml:space="preserve">   - Попередження утворення грибка та підвищення вологості в класах.  </w:t>
            </w:r>
          </w:p>
          <w:p w14:paraId="61231964" w14:textId="77777777" w:rsidR="0033645A" w:rsidRPr="0019790A" w:rsidRDefault="0033645A" w:rsidP="00722007">
            <w:pPr>
              <w:jc w:val="both"/>
              <w:rPr>
                <w:rFonts w:cs="Arial"/>
                <w:szCs w:val="22"/>
                <w:lang w:eastAsia="it-IT"/>
              </w:rPr>
            </w:pPr>
            <w:r w:rsidRPr="0019790A">
              <w:rPr>
                <w:rFonts w:cs="Arial"/>
                <w:szCs w:val="22"/>
                <w:lang w:eastAsia="it-IT"/>
              </w:rPr>
              <w:t xml:space="preserve">2. Підвищення енергоефективності:  </w:t>
            </w:r>
          </w:p>
          <w:p w14:paraId="1A91FA61" w14:textId="77777777" w:rsidR="0033645A" w:rsidRPr="0019790A" w:rsidRDefault="0033645A" w:rsidP="00722007">
            <w:pPr>
              <w:jc w:val="both"/>
              <w:rPr>
                <w:rFonts w:cs="Arial"/>
                <w:szCs w:val="22"/>
                <w:lang w:eastAsia="it-IT"/>
              </w:rPr>
            </w:pPr>
            <w:r w:rsidRPr="0019790A">
              <w:rPr>
                <w:rFonts w:cs="Arial"/>
                <w:szCs w:val="22"/>
                <w:lang w:eastAsia="it-IT"/>
              </w:rPr>
              <w:t xml:space="preserve">   - Утеплення покрівлі для зменшення втрат тепла в холодний період.  </w:t>
            </w:r>
          </w:p>
          <w:p w14:paraId="6D3F280A" w14:textId="77777777" w:rsidR="0033645A" w:rsidRPr="0019790A" w:rsidRDefault="0033645A" w:rsidP="00722007">
            <w:pPr>
              <w:jc w:val="both"/>
              <w:rPr>
                <w:rFonts w:cs="Arial"/>
                <w:szCs w:val="22"/>
                <w:lang w:eastAsia="it-IT"/>
              </w:rPr>
            </w:pPr>
            <w:r w:rsidRPr="0019790A">
              <w:rPr>
                <w:rFonts w:cs="Arial"/>
                <w:szCs w:val="22"/>
                <w:lang w:eastAsia="it-IT"/>
              </w:rPr>
              <w:t xml:space="preserve">   - Оптимізація витрат на опалення школи.  </w:t>
            </w:r>
          </w:p>
          <w:p w14:paraId="2AEFE871" w14:textId="77777777" w:rsidR="0033645A" w:rsidRPr="0019790A" w:rsidRDefault="0033645A" w:rsidP="00722007">
            <w:pPr>
              <w:jc w:val="both"/>
              <w:rPr>
                <w:rFonts w:cs="Arial"/>
                <w:szCs w:val="22"/>
                <w:lang w:eastAsia="it-IT"/>
              </w:rPr>
            </w:pPr>
            <w:r w:rsidRPr="0019790A">
              <w:rPr>
                <w:rFonts w:cs="Arial"/>
                <w:szCs w:val="22"/>
                <w:lang w:eastAsia="it-IT"/>
              </w:rPr>
              <w:t xml:space="preserve">3. Забезпечення довговічності:  </w:t>
            </w:r>
          </w:p>
          <w:p w14:paraId="50B5049A" w14:textId="77777777" w:rsidR="0033645A" w:rsidRPr="0019790A" w:rsidRDefault="0033645A" w:rsidP="00722007">
            <w:pPr>
              <w:jc w:val="both"/>
              <w:rPr>
                <w:rFonts w:cs="Arial"/>
                <w:szCs w:val="22"/>
                <w:lang w:eastAsia="it-IT"/>
              </w:rPr>
            </w:pPr>
            <w:r w:rsidRPr="0019790A">
              <w:rPr>
                <w:rFonts w:cs="Arial"/>
                <w:szCs w:val="22"/>
                <w:lang w:eastAsia="it-IT"/>
              </w:rPr>
              <w:t xml:space="preserve">4.  Створення безпечного середовища:  </w:t>
            </w:r>
          </w:p>
          <w:p w14:paraId="4B7E61B6" w14:textId="77777777" w:rsidR="0033645A" w:rsidRPr="0019790A" w:rsidRDefault="0033645A" w:rsidP="00722007">
            <w:pPr>
              <w:jc w:val="both"/>
              <w:rPr>
                <w:rFonts w:cs="Arial"/>
                <w:szCs w:val="22"/>
                <w:lang w:eastAsia="it-IT"/>
              </w:rPr>
            </w:pPr>
            <w:r w:rsidRPr="0019790A">
              <w:rPr>
                <w:rFonts w:cs="Arial"/>
                <w:szCs w:val="22"/>
                <w:lang w:eastAsia="it-IT"/>
              </w:rPr>
              <w:t xml:space="preserve">   - Запобігання аварійним ситуаціям </w:t>
            </w:r>
          </w:p>
        </w:tc>
      </w:tr>
      <w:tr w:rsidR="0033645A" w:rsidRPr="0019790A" w14:paraId="0AD92B6E" w14:textId="77777777" w:rsidTr="00722007">
        <w:trPr>
          <w:jc w:val="right"/>
        </w:trPr>
        <w:tc>
          <w:tcPr>
            <w:tcW w:w="3421" w:type="dxa"/>
            <w:vAlign w:val="center"/>
          </w:tcPr>
          <w:p w14:paraId="5DF14ECC" w14:textId="77777777" w:rsidR="0033645A" w:rsidRPr="0019790A" w:rsidRDefault="0033645A" w:rsidP="0019790A">
            <w:pPr>
              <w:adjustRightInd w:val="0"/>
              <w:rPr>
                <w:rFonts w:cs="Arial"/>
                <w:b/>
                <w:szCs w:val="22"/>
              </w:rPr>
            </w:pPr>
            <w:r w:rsidRPr="0019790A">
              <w:rPr>
                <w:rFonts w:cs="Arial"/>
                <w:b/>
                <w:szCs w:val="22"/>
              </w:rPr>
              <w:t>Територія на яку проєкт матиме вплив:</w:t>
            </w:r>
          </w:p>
        </w:tc>
        <w:tc>
          <w:tcPr>
            <w:tcW w:w="6798" w:type="dxa"/>
            <w:gridSpan w:val="7"/>
          </w:tcPr>
          <w:p w14:paraId="0D68DC54" w14:textId="77777777" w:rsidR="0033645A" w:rsidRPr="0019790A" w:rsidRDefault="0033645A" w:rsidP="0019790A">
            <w:pPr>
              <w:rPr>
                <w:rFonts w:cs="Arial"/>
                <w:szCs w:val="22"/>
                <w:lang w:eastAsia="it-IT"/>
              </w:rPr>
            </w:pPr>
            <w:r w:rsidRPr="0019790A">
              <w:rPr>
                <w:rFonts w:cs="Arial"/>
                <w:szCs w:val="22"/>
                <w:lang w:eastAsia="it-IT"/>
              </w:rPr>
              <w:t>Жмеринська міська територіальна громада</w:t>
            </w:r>
          </w:p>
        </w:tc>
      </w:tr>
      <w:tr w:rsidR="0033645A" w:rsidRPr="0019790A" w14:paraId="35149154" w14:textId="77777777" w:rsidTr="00722007">
        <w:trPr>
          <w:jc w:val="right"/>
        </w:trPr>
        <w:tc>
          <w:tcPr>
            <w:tcW w:w="3421" w:type="dxa"/>
            <w:vAlign w:val="center"/>
          </w:tcPr>
          <w:p w14:paraId="4863D52E" w14:textId="77777777" w:rsidR="0033645A" w:rsidRPr="0019790A" w:rsidRDefault="0033645A" w:rsidP="0019790A">
            <w:pPr>
              <w:adjustRightInd w:val="0"/>
              <w:rPr>
                <w:rFonts w:cs="Arial"/>
                <w:b/>
                <w:szCs w:val="22"/>
              </w:rPr>
            </w:pPr>
            <w:r w:rsidRPr="0019790A">
              <w:rPr>
                <w:rFonts w:cs="Arial"/>
                <w:b/>
                <w:szCs w:val="22"/>
              </w:rPr>
              <w:t>Цільові групи проєкту та кількість отримувачів вигоди</w:t>
            </w:r>
          </w:p>
        </w:tc>
        <w:tc>
          <w:tcPr>
            <w:tcW w:w="6798" w:type="dxa"/>
            <w:gridSpan w:val="7"/>
          </w:tcPr>
          <w:p w14:paraId="38F624B9" w14:textId="77777777" w:rsidR="0033645A" w:rsidRPr="0019790A" w:rsidRDefault="0033645A" w:rsidP="0019790A">
            <w:pPr>
              <w:rPr>
                <w:rFonts w:cs="Arial"/>
                <w:szCs w:val="22"/>
                <w:lang w:eastAsia="it-IT"/>
              </w:rPr>
            </w:pPr>
            <w:r w:rsidRPr="0019790A">
              <w:rPr>
                <w:rFonts w:cs="Arial"/>
                <w:szCs w:val="22"/>
                <w:lang w:eastAsia="it-IT"/>
              </w:rPr>
              <w:t>Прямі користувачі (основні бенефіціари):</w:t>
            </w:r>
          </w:p>
          <w:p w14:paraId="55EB8CF8" w14:textId="77777777" w:rsidR="0033645A" w:rsidRPr="0019790A" w:rsidRDefault="0033645A" w:rsidP="0019790A">
            <w:pPr>
              <w:rPr>
                <w:rFonts w:cs="Arial"/>
                <w:szCs w:val="22"/>
                <w:lang w:eastAsia="it-IT"/>
              </w:rPr>
            </w:pPr>
            <w:r w:rsidRPr="0019790A">
              <w:rPr>
                <w:rFonts w:cs="Arial"/>
                <w:szCs w:val="22"/>
                <w:lang w:eastAsia="it-IT"/>
              </w:rPr>
              <w:t>Здобувачі освіти – 950</w:t>
            </w:r>
          </w:p>
          <w:p w14:paraId="488BF609" w14:textId="77777777" w:rsidR="0033645A" w:rsidRPr="0019790A" w:rsidRDefault="0033645A" w:rsidP="0019790A">
            <w:pPr>
              <w:rPr>
                <w:rFonts w:cs="Arial"/>
                <w:szCs w:val="22"/>
                <w:lang w:eastAsia="it-IT"/>
              </w:rPr>
            </w:pPr>
            <w:r w:rsidRPr="0019790A">
              <w:rPr>
                <w:rFonts w:cs="Arial"/>
                <w:szCs w:val="22"/>
                <w:lang w:eastAsia="it-IT"/>
              </w:rPr>
              <w:t>Педагогічний колектив – 99</w:t>
            </w:r>
          </w:p>
          <w:p w14:paraId="3C6A9F58" w14:textId="77777777" w:rsidR="0033645A" w:rsidRPr="0019790A" w:rsidRDefault="0033645A" w:rsidP="0019790A">
            <w:pPr>
              <w:rPr>
                <w:rFonts w:cs="Arial"/>
                <w:szCs w:val="22"/>
                <w:lang w:eastAsia="it-IT"/>
              </w:rPr>
            </w:pPr>
            <w:r w:rsidRPr="0019790A">
              <w:rPr>
                <w:rFonts w:cs="Arial"/>
                <w:szCs w:val="22"/>
                <w:lang w:eastAsia="it-IT"/>
              </w:rPr>
              <w:t>Технічний персонаж – 25</w:t>
            </w:r>
          </w:p>
          <w:p w14:paraId="616FD845" w14:textId="77777777" w:rsidR="0033645A" w:rsidRPr="0019790A" w:rsidRDefault="0033645A" w:rsidP="0019790A">
            <w:pPr>
              <w:rPr>
                <w:rFonts w:cs="Arial"/>
                <w:szCs w:val="22"/>
                <w:lang w:eastAsia="it-IT"/>
              </w:rPr>
            </w:pPr>
            <w:r w:rsidRPr="0019790A">
              <w:rPr>
                <w:rFonts w:cs="Arial"/>
                <w:szCs w:val="22"/>
                <w:lang w:eastAsia="it-IT"/>
              </w:rPr>
              <w:t>Непрямі отримувачі:</w:t>
            </w:r>
          </w:p>
          <w:p w14:paraId="1AC8BF16" w14:textId="77777777" w:rsidR="0033645A" w:rsidRPr="0019790A" w:rsidRDefault="0033645A" w:rsidP="0019790A">
            <w:pPr>
              <w:rPr>
                <w:rFonts w:cs="Arial"/>
                <w:szCs w:val="22"/>
                <w:lang w:eastAsia="it-IT"/>
              </w:rPr>
            </w:pPr>
            <w:r w:rsidRPr="0019790A">
              <w:rPr>
                <w:rFonts w:cs="Arial"/>
                <w:szCs w:val="22"/>
                <w:lang w:eastAsia="it-IT"/>
              </w:rPr>
              <w:t>Батьки учнів – 1800</w:t>
            </w:r>
          </w:p>
          <w:p w14:paraId="225777AD" w14:textId="77777777" w:rsidR="0033645A" w:rsidRPr="0019790A" w:rsidRDefault="0033645A" w:rsidP="0019790A">
            <w:pPr>
              <w:rPr>
                <w:rFonts w:cs="Arial"/>
                <w:szCs w:val="22"/>
                <w:lang w:eastAsia="it-IT"/>
              </w:rPr>
            </w:pPr>
            <w:r w:rsidRPr="0019790A">
              <w:rPr>
                <w:rFonts w:cs="Arial"/>
                <w:szCs w:val="22"/>
                <w:lang w:eastAsia="it-IT"/>
              </w:rPr>
              <w:t>Місцева громада</w:t>
            </w:r>
          </w:p>
          <w:p w14:paraId="1096E2AB" w14:textId="77777777" w:rsidR="0033645A" w:rsidRPr="0019790A" w:rsidRDefault="0033645A" w:rsidP="0019790A">
            <w:pPr>
              <w:rPr>
                <w:rFonts w:cs="Arial"/>
                <w:szCs w:val="22"/>
                <w:lang w:eastAsia="it-IT"/>
              </w:rPr>
            </w:pPr>
            <w:r w:rsidRPr="0019790A">
              <w:rPr>
                <w:rFonts w:cs="Arial"/>
                <w:szCs w:val="22"/>
                <w:lang w:eastAsia="it-IT"/>
              </w:rPr>
              <w:t>Жителі мікрорайону</w:t>
            </w:r>
          </w:p>
          <w:p w14:paraId="07828427" w14:textId="77777777" w:rsidR="0033645A" w:rsidRPr="0019790A" w:rsidRDefault="0033645A" w:rsidP="0019790A">
            <w:pPr>
              <w:rPr>
                <w:rFonts w:cs="Arial"/>
                <w:szCs w:val="22"/>
                <w:lang w:eastAsia="it-IT"/>
              </w:rPr>
            </w:pPr>
            <w:r w:rsidRPr="0019790A">
              <w:rPr>
                <w:rFonts w:cs="Arial"/>
                <w:szCs w:val="22"/>
                <w:lang w:eastAsia="it-IT"/>
              </w:rPr>
              <w:t>Загальна кількість людей, які отримають вигоду 950+99+25+1800=2874 осіб</w:t>
            </w:r>
          </w:p>
        </w:tc>
      </w:tr>
      <w:tr w:rsidR="0033645A" w:rsidRPr="0019790A" w14:paraId="10D5525D" w14:textId="77777777" w:rsidTr="00722007">
        <w:trPr>
          <w:jc w:val="right"/>
        </w:trPr>
        <w:tc>
          <w:tcPr>
            <w:tcW w:w="3421" w:type="dxa"/>
            <w:shd w:val="clear" w:color="auto" w:fill="FFFFFF"/>
            <w:vAlign w:val="center"/>
          </w:tcPr>
          <w:p w14:paraId="71181017" w14:textId="77777777" w:rsidR="0033645A" w:rsidRPr="0019790A" w:rsidRDefault="0033645A" w:rsidP="0019790A">
            <w:pPr>
              <w:rPr>
                <w:rFonts w:cs="Arial"/>
                <w:b/>
                <w:bCs/>
                <w:szCs w:val="22"/>
              </w:rPr>
            </w:pPr>
            <w:r w:rsidRPr="0019790A">
              <w:rPr>
                <w:rFonts w:cs="Arial"/>
                <w:b/>
                <w:bCs/>
                <w:szCs w:val="22"/>
              </w:rPr>
              <w:t>Стислий опис проєкту:</w:t>
            </w:r>
          </w:p>
        </w:tc>
        <w:tc>
          <w:tcPr>
            <w:tcW w:w="6798" w:type="dxa"/>
            <w:gridSpan w:val="7"/>
          </w:tcPr>
          <w:p w14:paraId="432E349F" w14:textId="39193C03" w:rsidR="0033645A" w:rsidRPr="0019790A" w:rsidRDefault="0033645A" w:rsidP="0019790A">
            <w:pPr>
              <w:jc w:val="both"/>
              <w:rPr>
                <w:rFonts w:cs="Arial"/>
                <w:szCs w:val="22"/>
                <w:lang w:eastAsia="uk-UA"/>
              </w:rPr>
            </w:pPr>
            <w:r w:rsidRPr="0019790A">
              <w:rPr>
                <w:rFonts w:cs="Arial"/>
                <w:szCs w:val="22"/>
                <w:lang w:eastAsia="uk-UA"/>
              </w:rPr>
              <w:t xml:space="preserve">Реалізація  </w:t>
            </w:r>
            <w:r w:rsidR="00314B9D">
              <w:rPr>
                <w:rFonts w:cs="Arial"/>
                <w:szCs w:val="22"/>
                <w:lang w:eastAsia="uk-UA"/>
              </w:rPr>
              <w:t>проєкту</w:t>
            </w:r>
            <w:r w:rsidRPr="0019790A">
              <w:rPr>
                <w:rFonts w:cs="Arial"/>
                <w:szCs w:val="22"/>
                <w:lang w:eastAsia="uk-UA"/>
              </w:rPr>
              <w:t xml:space="preserve"> сприятиме повному відновленню покрівлі школи для забезпечення безпеки, енергоефективності та комфортних умов навчання. Основним завданням є заміна зношеного покриття, утеплення, ремонт кроквяної системи та встановлення сучасної гідроізоляції.  </w:t>
            </w:r>
          </w:p>
          <w:p w14:paraId="5EA591C0" w14:textId="6410855E" w:rsidR="0033645A" w:rsidRPr="0019790A" w:rsidRDefault="0033645A" w:rsidP="0019790A">
            <w:pPr>
              <w:jc w:val="both"/>
              <w:rPr>
                <w:rFonts w:cs="Arial"/>
                <w:szCs w:val="22"/>
                <w:lang w:eastAsia="uk-UA"/>
              </w:rPr>
            </w:pPr>
            <w:r w:rsidRPr="0019790A">
              <w:rPr>
                <w:rFonts w:cs="Arial"/>
                <w:szCs w:val="22"/>
                <w:lang w:eastAsia="uk-UA"/>
              </w:rPr>
              <w:t xml:space="preserve"> </w:t>
            </w:r>
            <w:r w:rsidR="00314B9D">
              <w:rPr>
                <w:rFonts w:cs="Arial"/>
                <w:szCs w:val="22"/>
                <w:lang w:eastAsia="uk-UA"/>
              </w:rPr>
              <w:t>Проєкт</w:t>
            </w:r>
            <w:r w:rsidRPr="0019790A">
              <w:rPr>
                <w:rFonts w:cs="Arial"/>
                <w:szCs w:val="22"/>
                <w:lang w:eastAsia="uk-UA"/>
              </w:rPr>
              <w:t xml:space="preserve"> покращить умови навчання та зменшить витрати на експлуатацію школи.</w:t>
            </w:r>
          </w:p>
        </w:tc>
      </w:tr>
      <w:tr w:rsidR="0033645A" w:rsidRPr="0019790A" w14:paraId="5976841A" w14:textId="77777777" w:rsidTr="00722007">
        <w:trPr>
          <w:jc w:val="right"/>
        </w:trPr>
        <w:tc>
          <w:tcPr>
            <w:tcW w:w="3421" w:type="dxa"/>
            <w:shd w:val="clear" w:color="auto" w:fill="FFFFFF"/>
            <w:vAlign w:val="center"/>
          </w:tcPr>
          <w:p w14:paraId="62C56491" w14:textId="77777777" w:rsidR="0033645A" w:rsidRPr="0019790A" w:rsidRDefault="0033645A" w:rsidP="0019790A">
            <w:pPr>
              <w:rPr>
                <w:rFonts w:cs="Arial"/>
                <w:b/>
                <w:bCs/>
                <w:szCs w:val="22"/>
              </w:rPr>
            </w:pPr>
            <w:r w:rsidRPr="0019790A">
              <w:rPr>
                <w:rFonts w:cs="Arial"/>
                <w:b/>
                <w:bCs/>
                <w:szCs w:val="22"/>
              </w:rPr>
              <w:t>Основні заходи проєкту:</w:t>
            </w:r>
          </w:p>
        </w:tc>
        <w:tc>
          <w:tcPr>
            <w:tcW w:w="6798" w:type="dxa"/>
            <w:gridSpan w:val="7"/>
          </w:tcPr>
          <w:p w14:paraId="49B00403" w14:textId="76BAE0BC" w:rsidR="0033645A" w:rsidRPr="0019790A" w:rsidRDefault="0033645A" w:rsidP="0019790A">
            <w:pPr>
              <w:rPr>
                <w:rFonts w:cs="Arial"/>
                <w:szCs w:val="22"/>
                <w:lang w:eastAsia="it-IT"/>
              </w:rPr>
            </w:pPr>
            <w:r w:rsidRPr="0019790A">
              <w:rPr>
                <w:rFonts w:cs="Arial"/>
                <w:szCs w:val="22"/>
                <w:lang w:eastAsia="it-IT"/>
              </w:rPr>
              <w:t xml:space="preserve"> -Розробка </w:t>
            </w:r>
            <w:r w:rsidR="00314B9D">
              <w:rPr>
                <w:rFonts w:cs="Arial"/>
                <w:szCs w:val="22"/>
                <w:lang w:eastAsia="it-IT"/>
              </w:rPr>
              <w:t>проєкт</w:t>
            </w:r>
            <w:r w:rsidRPr="0019790A">
              <w:rPr>
                <w:rFonts w:cs="Arial"/>
                <w:szCs w:val="22"/>
                <w:lang w:eastAsia="it-IT"/>
              </w:rPr>
              <w:t xml:space="preserve">но-кошторисної документації (з урахуванням ДБН, СНиП та санітарних норм).  </w:t>
            </w:r>
          </w:p>
          <w:p w14:paraId="0096D22B" w14:textId="77777777" w:rsidR="0033645A" w:rsidRPr="0019790A" w:rsidRDefault="0033645A" w:rsidP="0019790A">
            <w:pPr>
              <w:rPr>
                <w:rFonts w:cs="Arial"/>
                <w:szCs w:val="22"/>
                <w:lang w:eastAsia="it-IT"/>
              </w:rPr>
            </w:pPr>
            <w:r w:rsidRPr="0019790A">
              <w:rPr>
                <w:rFonts w:cs="Arial"/>
                <w:szCs w:val="22"/>
                <w:lang w:eastAsia="it-IT"/>
              </w:rPr>
              <w:t xml:space="preserve">- Отримання необхідних дозволів (координація з органами місцевої влади, Держпраці, пожежною інспекцією).  </w:t>
            </w:r>
          </w:p>
          <w:p w14:paraId="35095E64" w14:textId="77777777" w:rsidR="0033645A" w:rsidRPr="0019790A" w:rsidRDefault="0033645A" w:rsidP="0019790A">
            <w:pPr>
              <w:rPr>
                <w:rFonts w:cs="Arial"/>
                <w:szCs w:val="22"/>
                <w:lang w:eastAsia="it-IT"/>
              </w:rPr>
            </w:pPr>
            <w:r w:rsidRPr="0019790A">
              <w:rPr>
                <w:rFonts w:cs="Arial"/>
                <w:szCs w:val="22"/>
                <w:lang w:eastAsia="it-IT"/>
              </w:rPr>
              <w:t xml:space="preserve">-  Проведення процедури закупівлі  </w:t>
            </w:r>
          </w:p>
          <w:p w14:paraId="4376E098" w14:textId="77777777" w:rsidR="0033645A" w:rsidRPr="0019790A" w:rsidRDefault="0033645A" w:rsidP="0019790A">
            <w:pPr>
              <w:rPr>
                <w:rFonts w:cs="Arial"/>
                <w:szCs w:val="22"/>
                <w:lang w:eastAsia="it-IT"/>
              </w:rPr>
            </w:pPr>
            <w:r w:rsidRPr="0019790A">
              <w:rPr>
                <w:rFonts w:cs="Arial"/>
                <w:szCs w:val="22"/>
                <w:lang w:eastAsia="it-IT"/>
              </w:rPr>
              <w:t xml:space="preserve">- Демонтажні роботи  </w:t>
            </w:r>
          </w:p>
          <w:p w14:paraId="42930A63" w14:textId="77777777" w:rsidR="0033645A" w:rsidRPr="0019790A" w:rsidRDefault="0033645A" w:rsidP="0019790A">
            <w:pPr>
              <w:rPr>
                <w:rFonts w:cs="Arial"/>
                <w:szCs w:val="22"/>
                <w:lang w:eastAsia="it-IT"/>
              </w:rPr>
            </w:pPr>
            <w:r w:rsidRPr="0019790A">
              <w:rPr>
                <w:rFonts w:cs="Arial"/>
                <w:szCs w:val="22"/>
                <w:lang w:eastAsia="it-IT"/>
              </w:rPr>
              <w:t xml:space="preserve">- Відновлення та посилення конструкції  </w:t>
            </w:r>
          </w:p>
          <w:p w14:paraId="1E024DFC" w14:textId="77777777" w:rsidR="0033645A" w:rsidRPr="0019790A" w:rsidRDefault="0033645A" w:rsidP="0019790A">
            <w:pPr>
              <w:rPr>
                <w:rFonts w:cs="Arial"/>
                <w:szCs w:val="22"/>
                <w:lang w:eastAsia="it-IT"/>
              </w:rPr>
            </w:pPr>
            <w:r w:rsidRPr="0019790A">
              <w:rPr>
                <w:rFonts w:cs="Arial"/>
                <w:szCs w:val="22"/>
                <w:lang w:eastAsia="it-IT"/>
              </w:rPr>
              <w:t xml:space="preserve">- Монтаж нового покрівельного покриття  </w:t>
            </w:r>
          </w:p>
        </w:tc>
      </w:tr>
      <w:tr w:rsidR="0033645A" w:rsidRPr="0019790A" w14:paraId="1F681D7D" w14:textId="77777777" w:rsidTr="00722007">
        <w:trPr>
          <w:jc w:val="right"/>
        </w:trPr>
        <w:tc>
          <w:tcPr>
            <w:tcW w:w="3421" w:type="dxa"/>
            <w:shd w:val="clear" w:color="auto" w:fill="FFFFFF"/>
            <w:vAlign w:val="center"/>
          </w:tcPr>
          <w:p w14:paraId="32B6C531" w14:textId="77777777" w:rsidR="0033645A" w:rsidRPr="0019790A" w:rsidRDefault="0033645A" w:rsidP="0019790A">
            <w:pPr>
              <w:rPr>
                <w:rFonts w:cs="Arial"/>
                <w:b/>
                <w:bCs/>
                <w:szCs w:val="22"/>
              </w:rPr>
            </w:pPr>
            <w:r w:rsidRPr="0019790A">
              <w:rPr>
                <w:rFonts w:cs="Arial"/>
                <w:b/>
                <w:bCs/>
                <w:szCs w:val="22"/>
              </w:rPr>
              <w:t>Індикатори (показники) результативності:</w:t>
            </w:r>
          </w:p>
        </w:tc>
        <w:tc>
          <w:tcPr>
            <w:tcW w:w="6798" w:type="dxa"/>
            <w:gridSpan w:val="7"/>
          </w:tcPr>
          <w:p w14:paraId="2DD8120F" w14:textId="77777777" w:rsidR="0033645A" w:rsidRPr="0019790A" w:rsidRDefault="0033645A" w:rsidP="0019790A">
            <w:pPr>
              <w:rPr>
                <w:rFonts w:cs="Arial"/>
                <w:szCs w:val="22"/>
                <w:lang w:eastAsia="it-IT"/>
              </w:rPr>
            </w:pPr>
            <w:r w:rsidRPr="0019790A">
              <w:rPr>
                <w:rFonts w:cs="Arial"/>
                <w:szCs w:val="22"/>
                <w:lang w:eastAsia="it-IT"/>
              </w:rPr>
              <w:t xml:space="preserve">- Термін експлуатації нової покрівлі (гарантійний термін – 10-20 років).  </w:t>
            </w:r>
          </w:p>
          <w:p w14:paraId="5539A47C" w14:textId="77777777" w:rsidR="0033645A" w:rsidRPr="0019790A" w:rsidRDefault="0033645A" w:rsidP="0019790A">
            <w:pPr>
              <w:rPr>
                <w:rFonts w:cs="Arial"/>
                <w:szCs w:val="22"/>
                <w:lang w:eastAsia="it-IT"/>
              </w:rPr>
            </w:pPr>
            <w:r w:rsidRPr="0019790A">
              <w:rPr>
                <w:rFonts w:cs="Arial"/>
                <w:szCs w:val="22"/>
                <w:lang w:eastAsia="it-IT"/>
              </w:rPr>
              <w:t xml:space="preserve">- Скорочення витрат на опалення (на 15-25% за рахунок утеплення).    </w:t>
            </w:r>
          </w:p>
        </w:tc>
      </w:tr>
      <w:tr w:rsidR="0033645A" w:rsidRPr="0019790A" w14:paraId="4D62DA04" w14:textId="77777777" w:rsidTr="00722007">
        <w:trPr>
          <w:trHeight w:val="382"/>
          <w:jc w:val="right"/>
        </w:trPr>
        <w:tc>
          <w:tcPr>
            <w:tcW w:w="3421" w:type="dxa"/>
            <w:shd w:val="clear" w:color="auto" w:fill="FFFFFF"/>
            <w:vAlign w:val="center"/>
          </w:tcPr>
          <w:p w14:paraId="78400239" w14:textId="77777777" w:rsidR="0033645A" w:rsidRPr="0019790A" w:rsidRDefault="0033645A" w:rsidP="0019790A">
            <w:pPr>
              <w:rPr>
                <w:rFonts w:cs="Arial"/>
                <w:b/>
                <w:szCs w:val="22"/>
              </w:rPr>
            </w:pPr>
            <w:r w:rsidRPr="0019790A">
              <w:rPr>
                <w:rFonts w:cs="Arial"/>
                <w:b/>
                <w:szCs w:val="22"/>
              </w:rPr>
              <w:t xml:space="preserve">Період здійснення: </w:t>
            </w:r>
          </w:p>
        </w:tc>
        <w:tc>
          <w:tcPr>
            <w:tcW w:w="6798" w:type="dxa"/>
            <w:gridSpan w:val="7"/>
            <w:vAlign w:val="center"/>
          </w:tcPr>
          <w:p w14:paraId="4AA23F4A" w14:textId="77777777" w:rsidR="0033645A" w:rsidRPr="0019790A" w:rsidRDefault="0033645A" w:rsidP="0019790A">
            <w:pPr>
              <w:rPr>
                <w:rFonts w:cs="Arial"/>
                <w:b/>
                <w:szCs w:val="22"/>
              </w:rPr>
            </w:pPr>
            <w:r w:rsidRPr="0019790A">
              <w:rPr>
                <w:rFonts w:cs="Arial"/>
                <w:b/>
                <w:szCs w:val="22"/>
              </w:rPr>
              <w:t>2025 – 2028 роки:</w:t>
            </w:r>
          </w:p>
        </w:tc>
      </w:tr>
      <w:tr w:rsidR="0033645A" w:rsidRPr="0019790A" w14:paraId="5106601F" w14:textId="77777777" w:rsidTr="00722007">
        <w:trPr>
          <w:jc w:val="right"/>
        </w:trPr>
        <w:tc>
          <w:tcPr>
            <w:tcW w:w="3421" w:type="dxa"/>
            <w:vMerge w:val="restart"/>
            <w:shd w:val="clear" w:color="auto" w:fill="FFFFFF"/>
            <w:vAlign w:val="center"/>
          </w:tcPr>
          <w:p w14:paraId="6452A703" w14:textId="77777777" w:rsidR="0033645A" w:rsidRPr="0019790A" w:rsidRDefault="0033645A" w:rsidP="0019790A">
            <w:pPr>
              <w:rPr>
                <w:rFonts w:cs="Arial"/>
                <w:b/>
                <w:bCs/>
                <w:szCs w:val="22"/>
              </w:rPr>
            </w:pPr>
            <w:r w:rsidRPr="0019790A">
              <w:rPr>
                <w:rFonts w:cs="Arial"/>
                <w:b/>
                <w:bCs/>
                <w:szCs w:val="22"/>
              </w:rPr>
              <w:t>Орієнтовна вартість проєкту, тис. грн., в тому числі:</w:t>
            </w:r>
          </w:p>
        </w:tc>
        <w:tc>
          <w:tcPr>
            <w:tcW w:w="1253" w:type="dxa"/>
            <w:gridSpan w:val="2"/>
            <w:shd w:val="clear" w:color="auto" w:fill="E6E6E6"/>
            <w:vAlign w:val="center"/>
          </w:tcPr>
          <w:p w14:paraId="51DE1CF1" w14:textId="77777777" w:rsidR="0033645A" w:rsidRPr="0019790A" w:rsidRDefault="0033645A" w:rsidP="0019790A">
            <w:pPr>
              <w:jc w:val="center"/>
              <w:rPr>
                <w:rFonts w:cs="Arial"/>
                <w:b/>
                <w:szCs w:val="22"/>
                <w:lang w:eastAsia="it-IT"/>
              </w:rPr>
            </w:pPr>
            <w:r w:rsidRPr="0019790A">
              <w:rPr>
                <w:rFonts w:cs="Arial"/>
                <w:b/>
                <w:szCs w:val="22"/>
                <w:lang w:eastAsia="it-IT"/>
              </w:rPr>
              <w:t>2025</w:t>
            </w:r>
          </w:p>
        </w:tc>
        <w:tc>
          <w:tcPr>
            <w:tcW w:w="1274" w:type="dxa"/>
            <w:shd w:val="clear" w:color="auto" w:fill="E6E6E6"/>
            <w:vAlign w:val="center"/>
          </w:tcPr>
          <w:p w14:paraId="5109373F" w14:textId="77777777" w:rsidR="0033645A" w:rsidRPr="0019790A" w:rsidRDefault="0033645A" w:rsidP="0019790A">
            <w:pPr>
              <w:jc w:val="center"/>
              <w:rPr>
                <w:rFonts w:cs="Arial"/>
                <w:b/>
                <w:szCs w:val="22"/>
                <w:lang w:eastAsia="it-IT"/>
              </w:rPr>
            </w:pPr>
            <w:r w:rsidRPr="0019790A">
              <w:rPr>
                <w:rFonts w:cs="Arial"/>
                <w:b/>
                <w:szCs w:val="22"/>
                <w:lang w:eastAsia="it-IT"/>
              </w:rPr>
              <w:t>2026</w:t>
            </w:r>
          </w:p>
        </w:tc>
        <w:tc>
          <w:tcPr>
            <w:tcW w:w="1421" w:type="dxa"/>
            <w:tcBorders>
              <w:bottom w:val="single" w:sz="4" w:space="0" w:color="auto"/>
            </w:tcBorders>
            <w:shd w:val="clear" w:color="auto" w:fill="E6E6E6"/>
            <w:vAlign w:val="center"/>
          </w:tcPr>
          <w:p w14:paraId="699942BA" w14:textId="77777777" w:rsidR="0033645A" w:rsidRPr="0019790A" w:rsidRDefault="0033645A" w:rsidP="0019790A">
            <w:pPr>
              <w:jc w:val="center"/>
              <w:rPr>
                <w:rFonts w:cs="Arial"/>
                <w:b/>
                <w:szCs w:val="22"/>
                <w:lang w:eastAsia="it-IT"/>
              </w:rPr>
            </w:pPr>
            <w:r w:rsidRPr="0019790A">
              <w:rPr>
                <w:rFonts w:cs="Arial"/>
                <w:b/>
                <w:szCs w:val="22"/>
                <w:lang w:eastAsia="it-IT"/>
              </w:rPr>
              <w:t>2027</w:t>
            </w:r>
          </w:p>
        </w:tc>
        <w:tc>
          <w:tcPr>
            <w:tcW w:w="1275" w:type="dxa"/>
            <w:shd w:val="clear" w:color="auto" w:fill="E6E6E6"/>
            <w:vAlign w:val="center"/>
          </w:tcPr>
          <w:p w14:paraId="37A1C76B" w14:textId="77777777" w:rsidR="0033645A" w:rsidRPr="0019790A" w:rsidRDefault="0033645A" w:rsidP="0019790A">
            <w:pPr>
              <w:jc w:val="center"/>
              <w:rPr>
                <w:rFonts w:cs="Arial"/>
                <w:b/>
                <w:szCs w:val="22"/>
                <w:lang w:eastAsia="it-IT"/>
              </w:rPr>
            </w:pPr>
            <w:r w:rsidRPr="0019790A">
              <w:rPr>
                <w:rFonts w:cs="Arial"/>
                <w:b/>
                <w:szCs w:val="22"/>
                <w:lang w:eastAsia="it-IT"/>
              </w:rPr>
              <w:t>2028</w:t>
            </w:r>
          </w:p>
        </w:tc>
        <w:tc>
          <w:tcPr>
            <w:tcW w:w="1575" w:type="dxa"/>
            <w:gridSpan w:val="2"/>
            <w:shd w:val="clear" w:color="auto" w:fill="E6E6E6"/>
            <w:vAlign w:val="center"/>
          </w:tcPr>
          <w:p w14:paraId="546C1249" w14:textId="77777777" w:rsidR="0033645A" w:rsidRPr="0019790A" w:rsidRDefault="0033645A" w:rsidP="0019790A">
            <w:pPr>
              <w:jc w:val="center"/>
              <w:rPr>
                <w:rFonts w:cs="Arial"/>
                <w:b/>
                <w:szCs w:val="22"/>
                <w:lang w:eastAsia="it-IT"/>
              </w:rPr>
            </w:pPr>
            <w:r w:rsidRPr="0019790A">
              <w:rPr>
                <w:rFonts w:cs="Arial"/>
                <w:b/>
                <w:szCs w:val="22"/>
                <w:lang w:eastAsia="it-IT"/>
              </w:rPr>
              <w:t>РАЗОМ</w:t>
            </w:r>
          </w:p>
        </w:tc>
      </w:tr>
      <w:tr w:rsidR="0033645A" w:rsidRPr="0019790A" w14:paraId="76A888E5" w14:textId="77777777" w:rsidTr="00722007">
        <w:trPr>
          <w:jc w:val="right"/>
        </w:trPr>
        <w:tc>
          <w:tcPr>
            <w:tcW w:w="3421" w:type="dxa"/>
            <w:vMerge/>
            <w:shd w:val="clear" w:color="auto" w:fill="FFFFFF"/>
            <w:vAlign w:val="center"/>
          </w:tcPr>
          <w:p w14:paraId="7CA26AC9" w14:textId="77777777" w:rsidR="0033645A" w:rsidRPr="0019790A" w:rsidRDefault="0033645A" w:rsidP="0019790A">
            <w:pPr>
              <w:rPr>
                <w:rFonts w:cs="Arial"/>
                <w:b/>
                <w:bCs/>
                <w:szCs w:val="22"/>
              </w:rPr>
            </w:pPr>
          </w:p>
        </w:tc>
        <w:tc>
          <w:tcPr>
            <w:tcW w:w="1253" w:type="dxa"/>
            <w:gridSpan w:val="2"/>
            <w:vAlign w:val="center"/>
          </w:tcPr>
          <w:p w14:paraId="7DE7A5F0" w14:textId="77777777" w:rsidR="0033645A" w:rsidRPr="0019790A" w:rsidRDefault="0033645A" w:rsidP="0019790A">
            <w:pPr>
              <w:jc w:val="center"/>
              <w:rPr>
                <w:rFonts w:cs="Arial"/>
                <w:b/>
                <w:szCs w:val="22"/>
                <w:lang w:eastAsia="it-IT"/>
              </w:rPr>
            </w:pPr>
          </w:p>
        </w:tc>
        <w:tc>
          <w:tcPr>
            <w:tcW w:w="1274" w:type="dxa"/>
            <w:shd w:val="clear" w:color="auto" w:fill="FFFFFF"/>
            <w:vAlign w:val="center"/>
          </w:tcPr>
          <w:p w14:paraId="3AD5F162" w14:textId="77777777" w:rsidR="0033645A" w:rsidRPr="0019790A" w:rsidRDefault="0033645A" w:rsidP="0019790A">
            <w:pPr>
              <w:jc w:val="center"/>
              <w:rPr>
                <w:rFonts w:cs="Arial"/>
                <w:b/>
                <w:szCs w:val="22"/>
                <w:lang w:eastAsia="it-IT"/>
              </w:rPr>
            </w:pPr>
            <w:r w:rsidRPr="0019790A">
              <w:rPr>
                <w:rFonts w:cs="Arial"/>
                <w:b/>
                <w:szCs w:val="22"/>
                <w:lang w:eastAsia="it-IT"/>
              </w:rPr>
              <w:t xml:space="preserve"> </w:t>
            </w:r>
          </w:p>
        </w:tc>
        <w:tc>
          <w:tcPr>
            <w:tcW w:w="1421" w:type="dxa"/>
            <w:shd w:val="clear" w:color="auto" w:fill="auto"/>
            <w:vAlign w:val="center"/>
          </w:tcPr>
          <w:p w14:paraId="3C9A068E" w14:textId="77777777" w:rsidR="0033645A" w:rsidRPr="0019790A" w:rsidRDefault="0033645A" w:rsidP="0019790A">
            <w:pPr>
              <w:jc w:val="center"/>
              <w:rPr>
                <w:rFonts w:cs="Arial"/>
                <w:b/>
                <w:szCs w:val="22"/>
                <w:lang w:eastAsia="it-IT"/>
              </w:rPr>
            </w:pPr>
            <w:r w:rsidRPr="0019790A">
              <w:rPr>
                <w:rFonts w:cs="Arial"/>
                <w:b/>
                <w:szCs w:val="22"/>
                <w:lang w:eastAsia="it-IT"/>
              </w:rPr>
              <w:t>8 000,00</w:t>
            </w:r>
          </w:p>
        </w:tc>
        <w:tc>
          <w:tcPr>
            <w:tcW w:w="1275" w:type="dxa"/>
            <w:shd w:val="clear" w:color="auto" w:fill="FFFFFF"/>
            <w:vAlign w:val="center"/>
          </w:tcPr>
          <w:p w14:paraId="7BFA5A23" w14:textId="77777777" w:rsidR="0033645A" w:rsidRPr="0019790A" w:rsidRDefault="0033645A" w:rsidP="0019790A">
            <w:pPr>
              <w:jc w:val="center"/>
              <w:rPr>
                <w:rFonts w:cs="Arial"/>
                <w:b/>
                <w:szCs w:val="22"/>
                <w:lang w:eastAsia="it-IT"/>
              </w:rPr>
            </w:pPr>
            <w:r w:rsidRPr="0019790A">
              <w:rPr>
                <w:rFonts w:cs="Arial"/>
                <w:b/>
                <w:szCs w:val="22"/>
                <w:lang w:eastAsia="it-IT"/>
              </w:rPr>
              <w:t xml:space="preserve"> </w:t>
            </w:r>
          </w:p>
        </w:tc>
        <w:tc>
          <w:tcPr>
            <w:tcW w:w="1575" w:type="dxa"/>
            <w:gridSpan w:val="2"/>
            <w:shd w:val="clear" w:color="auto" w:fill="FFFFFF"/>
            <w:vAlign w:val="center"/>
          </w:tcPr>
          <w:p w14:paraId="4E60E7C6" w14:textId="77777777" w:rsidR="0033645A" w:rsidRPr="0019790A" w:rsidRDefault="0033645A" w:rsidP="0019790A">
            <w:pPr>
              <w:jc w:val="center"/>
              <w:rPr>
                <w:rFonts w:cs="Arial"/>
                <w:b/>
                <w:szCs w:val="22"/>
                <w:lang w:eastAsia="it-IT"/>
              </w:rPr>
            </w:pPr>
            <w:r w:rsidRPr="0019790A">
              <w:rPr>
                <w:rFonts w:cs="Arial"/>
                <w:b/>
                <w:szCs w:val="22"/>
                <w:lang w:eastAsia="it-IT"/>
              </w:rPr>
              <w:t>8 000,00</w:t>
            </w:r>
          </w:p>
        </w:tc>
      </w:tr>
      <w:tr w:rsidR="0033645A" w:rsidRPr="0019790A" w14:paraId="13ED38BE" w14:textId="77777777" w:rsidTr="00722007">
        <w:trPr>
          <w:trHeight w:val="276"/>
          <w:jc w:val="right"/>
        </w:trPr>
        <w:tc>
          <w:tcPr>
            <w:tcW w:w="3421" w:type="dxa"/>
            <w:shd w:val="clear" w:color="auto" w:fill="FFFFFF"/>
            <w:vAlign w:val="center"/>
          </w:tcPr>
          <w:p w14:paraId="3A989D99" w14:textId="77777777" w:rsidR="0033645A" w:rsidRPr="0019790A" w:rsidRDefault="0033645A" w:rsidP="0019790A">
            <w:pPr>
              <w:rPr>
                <w:rFonts w:cs="Arial"/>
                <w:b/>
                <w:bCs/>
                <w:szCs w:val="22"/>
              </w:rPr>
            </w:pPr>
            <w:r w:rsidRPr="0019790A">
              <w:rPr>
                <w:rFonts w:cs="Arial"/>
                <w:b/>
                <w:bCs/>
                <w:szCs w:val="22"/>
              </w:rPr>
              <w:t>по джерелах фінансування:</w:t>
            </w:r>
          </w:p>
        </w:tc>
        <w:tc>
          <w:tcPr>
            <w:tcW w:w="6798" w:type="dxa"/>
            <w:gridSpan w:val="7"/>
            <w:vAlign w:val="center"/>
          </w:tcPr>
          <w:p w14:paraId="0BE2B959" w14:textId="77777777" w:rsidR="0033645A" w:rsidRPr="0019790A" w:rsidRDefault="0033645A" w:rsidP="0019790A">
            <w:pPr>
              <w:rPr>
                <w:rFonts w:cs="Arial"/>
                <w:szCs w:val="22"/>
                <w:lang w:eastAsia="uk-UA"/>
              </w:rPr>
            </w:pPr>
            <w:r w:rsidRPr="0019790A">
              <w:rPr>
                <w:rFonts w:cs="Arial"/>
                <w:szCs w:val="22"/>
                <w:lang w:eastAsia="uk-UA"/>
              </w:rPr>
              <w:t xml:space="preserve"> </w:t>
            </w:r>
          </w:p>
        </w:tc>
      </w:tr>
      <w:tr w:rsidR="00722007" w:rsidRPr="0019790A" w14:paraId="0058CD39" w14:textId="6C596E2F" w:rsidTr="00722007">
        <w:trPr>
          <w:trHeight w:val="240"/>
          <w:jc w:val="right"/>
        </w:trPr>
        <w:tc>
          <w:tcPr>
            <w:tcW w:w="3421" w:type="dxa"/>
            <w:shd w:val="clear" w:color="auto" w:fill="FFFFFF"/>
            <w:vAlign w:val="center"/>
          </w:tcPr>
          <w:p w14:paraId="0EA6875A" w14:textId="77777777" w:rsidR="00722007" w:rsidRPr="0019790A" w:rsidRDefault="00722007" w:rsidP="0019790A">
            <w:pPr>
              <w:rPr>
                <w:rFonts w:cs="Arial"/>
                <w:b/>
                <w:bCs/>
                <w:szCs w:val="22"/>
              </w:rPr>
            </w:pPr>
            <w:r w:rsidRPr="0019790A">
              <w:rPr>
                <w:rFonts w:cs="Arial"/>
                <w:szCs w:val="22"/>
              </w:rPr>
              <w:t>- державний бюджет</w:t>
            </w:r>
          </w:p>
        </w:tc>
        <w:tc>
          <w:tcPr>
            <w:tcW w:w="1247" w:type="dxa"/>
            <w:vAlign w:val="center"/>
          </w:tcPr>
          <w:p w14:paraId="25A32F42" w14:textId="77777777" w:rsidR="00722007" w:rsidRPr="0019790A" w:rsidRDefault="00722007" w:rsidP="00722007">
            <w:pPr>
              <w:jc w:val="center"/>
              <w:rPr>
                <w:rFonts w:cs="Arial"/>
                <w:szCs w:val="22"/>
                <w:lang w:eastAsia="it-IT"/>
              </w:rPr>
            </w:pPr>
          </w:p>
        </w:tc>
        <w:tc>
          <w:tcPr>
            <w:tcW w:w="1280" w:type="dxa"/>
            <w:gridSpan w:val="2"/>
            <w:vAlign w:val="center"/>
          </w:tcPr>
          <w:p w14:paraId="56A0D02A" w14:textId="77777777" w:rsidR="00722007" w:rsidRPr="0019790A" w:rsidRDefault="00722007" w:rsidP="00722007">
            <w:pPr>
              <w:jc w:val="center"/>
              <w:rPr>
                <w:rFonts w:cs="Arial"/>
                <w:szCs w:val="22"/>
                <w:lang w:eastAsia="it-IT"/>
              </w:rPr>
            </w:pPr>
          </w:p>
        </w:tc>
        <w:tc>
          <w:tcPr>
            <w:tcW w:w="1416" w:type="dxa"/>
            <w:vAlign w:val="center"/>
          </w:tcPr>
          <w:p w14:paraId="6BDAE711" w14:textId="77777777" w:rsidR="00722007" w:rsidRPr="0019790A" w:rsidRDefault="00722007" w:rsidP="00722007">
            <w:pPr>
              <w:jc w:val="center"/>
              <w:rPr>
                <w:rFonts w:cs="Arial"/>
                <w:szCs w:val="22"/>
                <w:lang w:eastAsia="it-IT"/>
              </w:rPr>
            </w:pPr>
          </w:p>
        </w:tc>
        <w:tc>
          <w:tcPr>
            <w:tcW w:w="1278" w:type="dxa"/>
            <w:vAlign w:val="center"/>
          </w:tcPr>
          <w:p w14:paraId="1708223D" w14:textId="77777777" w:rsidR="00722007" w:rsidRPr="0019790A" w:rsidRDefault="00722007" w:rsidP="00722007">
            <w:pPr>
              <w:jc w:val="center"/>
              <w:rPr>
                <w:rFonts w:cs="Arial"/>
                <w:szCs w:val="22"/>
                <w:lang w:eastAsia="it-IT"/>
              </w:rPr>
            </w:pPr>
          </w:p>
        </w:tc>
        <w:tc>
          <w:tcPr>
            <w:tcW w:w="1577" w:type="dxa"/>
            <w:gridSpan w:val="2"/>
            <w:vAlign w:val="center"/>
          </w:tcPr>
          <w:p w14:paraId="3DE4FD9B" w14:textId="77777777" w:rsidR="00722007" w:rsidRPr="0019790A" w:rsidRDefault="00722007" w:rsidP="00722007">
            <w:pPr>
              <w:jc w:val="center"/>
              <w:rPr>
                <w:rFonts w:cs="Arial"/>
                <w:szCs w:val="22"/>
                <w:lang w:eastAsia="it-IT"/>
              </w:rPr>
            </w:pPr>
          </w:p>
        </w:tc>
      </w:tr>
      <w:tr w:rsidR="00722007" w:rsidRPr="0019790A" w14:paraId="05009C57" w14:textId="28E4A7CE" w:rsidTr="00722007">
        <w:trPr>
          <w:trHeight w:val="254"/>
          <w:jc w:val="right"/>
        </w:trPr>
        <w:tc>
          <w:tcPr>
            <w:tcW w:w="3421" w:type="dxa"/>
            <w:shd w:val="clear" w:color="auto" w:fill="FFFFFF"/>
            <w:vAlign w:val="center"/>
          </w:tcPr>
          <w:p w14:paraId="69C5B9CE" w14:textId="77777777" w:rsidR="00722007" w:rsidRPr="0019790A" w:rsidRDefault="00722007" w:rsidP="0019790A">
            <w:pPr>
              <w:rPr>
                <w:rFonts w:cs="Arial"/>
                <w:szCs w:val="22"/>
              </w:rPr>
            </w:pPr>
            <w:r w:rsidRPr="0019790A">
              <w:rPr>
                <w:rFonts w:cs="Arial"/>
                <w:szCs w:val="22"/>
              </w:rPr>
              <w:t>- обласний бюджет</w:t>
            </w:r>
          </w:p>
        </w:tc>
        <w:tc>
          <w:tcPr>
            <w:tcW w:w="1247" w:type="dxa"/>
            <w:vAlign w:val="center"/>
          </w:tcPr>
          <w:p w14:paraId="6175F338" w14:textId="77777777" w:rsidR="00722007" w:rsidRPr="0019790A" w:rsidRDefault="00722007" w:rsidP="00722007">
            <w:pPr>
              <w:jc w:val="center"/>
              <w:rPr>
                <w:rFonts w:cs="Arial"/>
                <w:szCs w:val="22"/>
                <w:lang w:eastAsia="it-IT"/>
              </w:rPr>
            </w:pPr>
          </w:p>
        </w:tc>
        <w:tc>
          <w:tcPr>
            <w:tcW w:w="1280" w:type="dxa"/>
            <w:gridSpan w:val="2"/>
            <w:vAlign w:val="center"/>
          </w:tcPr>
          <w:p w14:paraId="3D6A5F6B" w14:textId="77777777" w:rsidR="00722007" w:rsidRPr="0019790A" w:rsidRDefault="00722007" w:rsidP="00722007">
            <w:pPr>
              <w:jc w:val="center"/>
              <w:rPr>
                <w:rFonts w:cs="Arial"/>
                <w:szCs w:val="22"/>
                <w:lang w:eastAsia="it-IT"/>
              </w:rPr>
            </w:pPr>
          </w:p>
        </w:tc>
        <w:tc>
          <w:tcPr>
            <w:tcW w:w="1416" w:type="dxa"/>
            <w:vAlign w:val="center"/>
          </w:tcPr>
          <w:p w14:paraId="7BBE0632" w14:textId="77777777" w:rsidR="00722007" w:rsidRPr="0019790A" w:rsidRDefault="00722007" w:rsidP="00722007">
            <w:pPr>
              <w:jc w:val="center"/>
              <w:rPr>
                <w:rFonts w:cs="Arial"/>
                <w:szCs w:val="22"/>
                <w:lang w:eastAsia="it-IT"/>
              </w:rPr>
            </w:pPr>
          </w:p>
        </w:tc>
        <w:tc>
          <w:tcPr>
            <w:tcW w:w="1278" w:type="dxa"/>
            <w:vAlign w:val="center"/>
          </w:tcPr>
          <w:p w14:paraId="51886C86" w14:textId="77777777" w:rsidR="00722007" w:rsidRPr="0019790A" w:rsidRDefault="00722007" w:rsidP="00722007">
            <w:pPr>
              <w:jc w:val="center"/>
              <w:rPr>
                <w:rFonts w:cs="Arial"/>
                <w:szCs w:val="22"/>
                <w:lang w:eastAsia="it-IT"/>
              </w:rPr>
            </w:pPr>
          </w:p>
        </w:tc>
        <w:tc>
          <w:tcPr>
            <w:tcW w:w="1577" w:type="dxa"/>
            <w:gridSpan w:val="2"/>
            <w:vAlign w:val="center"/>
          </w:tcPr>
          <w:p w14:paraId="670660AD" w14:textId="77777777" w:rsidR="00722007" w:rsidRPr="0019790A" w:rsidRDefault="00722007" w:rsidP="00722007">
            <w:pPr>
              <w:jc w:val="center"/>
              <w:rPr>
                <w:rFonts w:cs="Arial"/>
                <w:szCs w:val="22"/>
                <w:lang w:eastAsia="it-IT"/>
              </w:rPr>
            </w:pPr>
          </w:p>
        </w:tc>
      </w:tr>
      <w:tr w:rsidR="00722007" w:rsidRPr="0019790A" w14:paraId="24805481" w14:textId="77777777" w:rsidTr="00722007">
        <w:trPr>
          <w:gridAfter w:val="1"/>
          <w:wAfter w:w="18" w:type="dxa"/>
          <w:trHeight w:val="275"/>
          <w:jc w:val="right"/>
        </w:trPr>
        <w:tc>
          <w:tcPr>
            <w:tcW w:w="3421" w:type="dxa"/>
            <w:shd w:val="clear" w:color="auto" w:fill="FFFFFF"/>
            <w:vAlign w:val="center"/>
          </w:tcPr>
          <w:p w14:paraId="037A65CA" w14:textId="77777777" w:rsidR="00722007" w:rsidRPr="0019790A" w:rsidRDefault="00722007" w:rsidP="0019790A">
            <w:pPr>
              <w:rPr>
                <w:rFonts w:cs="Arial"/>
                <w:szCs w:val="22"/>
              </w:rPr>
            </w:pPr>
            <w:r w:rsidRPr="0019790A">
              <w:rPr>
                <w:rFonts w:cs="Arial"/>
                <w:szCs w:val="22"/>
              </w:rPr>
              <w:t>- бюджет Жмеринської МТГ</w:t>
            </w:r>
          </w:p>
        </w:tc>
        <w:tc>
          <w:tcPr>
            <w:tcW w:w="1247" w:type="dxa"/>
            <w:vAlign w:val="center"/>
          </w:tcPr>
          <w:p w14:paraId="099FA1FF" w14:textId="77777777" w:rsidR="00722007" w:rsidRPr="0019790A" w:rsidRDefault="00722007" w:rsidP="00722007">
            <w:pPr>
              <w:jc w:val="center"/>
              <w:rPr>
                <w:rFonts w:cs="Arial"/>
                <w:szCs w:val="22"/>
                <w:lang w:eastAsia="it-IT"/>
              </w:rPr>
            </w:pPr>
          </w:p>
        </w:tc>
        <w:tc>
          <w:tcPr>
            <w:tcW w:w="1280" w:type="dxa"/>
            <w:gridSpan w:val="2"/>
            <w:vAlign w:val="center"/>
          </w:tcPr>
          <w:p w14:paraId="4C165C2C" w14:textId="77777777" w:rsidR="00722007" w:rsidRPr="0019790A" w:rsidRDefault="00722007" w:rsidP="00722007">
            <w:pPr>
              <w:jc w:val="center"/>
              <w:rPr>
                <w:rFonts w:cs="Arial"/>
                <w:szCs w:val="22"/>
                <w:lang w:eastAsia="it-IT"/>
              </w:rPr>
            </w:pPr>
          </w:p>
        </w:tc>
        <w:tc>
          <w:tcPr>
            <w:tcW w:w="1416" w:type="dxa"/>
            <w:vAlign w:val="center"/>
          </w:tcPr>
          <w:p w14:paraId="10DAE817" w14:textId="5A5556B6" w:rsidR="00722007" w:rsidRPr="0019790A" w:rsidRDefault="00722007" w:rsidP="00722007">
            <w:pPr>
              <w:jc w:val="center"/>
              <w:rPr>
                <w:rFonts w:cs="Arial"/>
                <w:b/>
                <w:szCs w:val="22"/>
                <w:lang w:eastAsia="it-IT"/>
              </w:rPr>
            </w:pPr>
            <w:r w:rsidRPr="0019790A">
              <w:rPr>
                <w:rFonts w:cs="Arial"/>
                <w:b/>
                <w:szCs w:val="22"/>
                <w:lang w:eastAsia="it-IT"/>
              </w:rPr>
              <w:t>8 000,00</w:t>
            </w:r>
          </w:p>
        </w:tc>
        <w:tc>
          <w:tcPr>
            <w:tcW w:w="1278" w:type="dxa"/>
            <w:vAlign w:val="center"/>
          </w:tcPr>
          <w:p w14:paraId="3906879B" w14:textId="4B9BA0FB" w:rsidR="00722007" w:rsidRPr="0019790A" w:rsidRDefault="00722007" w:rsidP="00722007">
            <w:pPr>
              <w:jc w:val="center"/>
              <w:rPr>
                <w:rFonts w:cs="Arial"/>
                <w:b/>
                <w:szCs w:val="22"/>
                <w:lang w:eastAsia="it-IT"/>
              </w:rPr>
            </w:pPr>
          </w:p>
        </w:tc>
        <w:tc>
          <w:tcPr>
            <w:tcW w:w="1559" w:type="dxa"/>
            <w:vAlign w:val="center"/>
          </w:tcPr>
          <w:p w14:paraId="4A8D2990" w14:textId="77777777" w:rsidR="00722007" w:rsidRPr="0019790A" w:rsidRDefault="00722007" w:rsidP="00722007">
            <w:pPr>
              <w:jc w:val="center"/>
              <w:rPr>
                <w:rFonts w:cs="Arial"/>
                <w:b/>
                <w:szCs w:val="22"/>
                <w:lang w:eastAsia="it-IT"/>
              </w:rPr>
            </w:pPr>
            <w:r w:rsidRPr="0019790A">
              <w:rPr>
                <w:rFonts w:cs="Arial"/>
                <w:b/>
                <w:szCs w:val="22"/>
                <w:lang w:eastAsia="it-IT"/>
              </w:rPr>
              <w:t>8 000,00</w:t>
            </w:r>
          </w:p>
        </w:tc>
      </w:tr>
      <w:tr w:rsidR="0033645A" w:rsidRPr="0019790A" w14:paraId="6627F702" w14:textId="77777777" w:rsidTr="00722007">
        <w:trPr>
          <w:trHeight w:val="226"/>
          <w:jc w:val="right"/>
        </w:trPr>
        <w:tc>
          <w:tcPr>
            <w:tcW w:w="3421" w:type="dxa"/>
            <w:shd w:val="clear" w:color="auto" w:fill="FFFFFF"/>
            <w:vAlign w:val="center"/>
          </w:tcPr>
          <w:p w14:paraId="6A368E82" w14:textId="77777777" w:rsidR="0033645A" w:rsidRPr="0019790A" w:rsidRDefault="0033645A" w:rsidP="0019790A">
            <w:pPr>
              <w:rPr>
                <w:rFonts w:cs="Arial"/>
                <w:szCs w:val="22"/>
              </w:rPr>
            </w:pPr>
            <w:r w:rsidRPr="0019790A">
              <w:rPr>
                <w:rFonts w:cs="Arial"/>
                <w:szCs w:val="22"/>
              </w:rPr>
              <w:t>- інші джерела фінансування</w:t>
            </w:r>
          </w:p>
        </w:tc>
        <w:tc>
          <w:tcPr>
            <w:tcW w:w="6798" w:type="dxa"/>
            <w:gridSpan w:val="7"/>
            <w:vAlign w:val="center"/>
          </w:tcPr>
          <w:p w14:paraId="4A061387" w14:textId="77777777" w:rsidR="0033645A" w:rsidRPr="0019790A" w:rsidRDefault="0033645A" w:rsidP="0019790A">
            <w:pPr>
              <w:jc w:val="both"/>
              <w:rPr>
                <w:rFonts w:cs="Arial"/>
                <w:szCs w:val="22"/>
                <w:lang w:eastAsia="it-IT"/>
              </w:rPr>
            </w:pPr>
            <w:r w:rsidRPr="0019790A">
              <w:rPr>
                <w:rFonts w:cs="Arial"/>
                <w:szCs w:val="22"/>
                <w:lang w:eastAsia="it-IT"/>
              </w:rPr>
              <w:t>Інші джерела фінансування.</w:t>
            </w:r>
          </w:p>
        </w:tc>
      </w:tr>
      <w:tr w:rsidR="0033645A" w:rsidRPr="0019790A" w14:paraId="6EA359D5" w14:textId="77777777" w:rsidTr="00722007">
        <w:trPr>
          <w:trHeight w:val="186"/>
          <w:jc w:val="right"/>
        </w:trPr>
        <w:tc>
          <w:tcPr>
            <w:tcW w:w="3421" w:type="dxa"/>
            <w:shd w:val="clear" w:color="auto" w:fill="FFFFFF"/>
            <w:vAlign w:val="center"/>
          </w:tcPr>
          <w:p w14:paraId="263C072E" w14:textId="77777777" w:rsidR="0033645A" w:rsidRPr="0019790A" w:rsidRDefault="0033645A" w:rsidP="0019790A">
            <w:pPr>
              <w:rPr>
                <w:rFonts w:cs="Arial"/>
                <w:b/>
                <w:bCs/>
                <w:szCs w:val="22"/>
              </w:rPr>
            </w:pPr>
            <w:r w:rsidRPr="0019790A">
              <w:rPr>
                <w:rFonts w:cs="Arial"/>
                <w:b/>
                <w:szCs w:val="22"/>
              </w:rPr>
              <w:t>Відповідальний виконавець проєкту:</w:t>
            </w:r>
          </w:p>
        </w:tc>
        <w:tc>
          <w:tcPr>
            <w:tcW w:w="6798" w:type="dxa"/>
            <w:gridSpan w:val="7"/>
            <w:vAlign w:val="center"/>
          </w:tcPr>
          <w:p w14:paraId="67EC486D" w14:textId="77777777" w:rsidR="0033645A" w:rsidRPr="0019790A" w:rsidRDefault="0033645A" w:rsidP="0019790A">
            <w:pPr>
              <w:jc w:val="both"/>
              <w:rPr>
                <w:rFonts w:cs="Arial"/>
                <w:szCs w:val="22"/>
                <w:lang w:eastAsia="it-IT"/>
              </w:rPr>
            </w:pPr>
            <w:r w:rsidRPr="0019790A">
              <w:rPr>
                <w:rFonts w:cs="Arial"/>
                <w:szCs w:val="22"/>
                <w:lang w:eastAsia="it-IT"/>
              </w:rPr>
              <w:t>Управління ЖКГ Жмеринської міської ради, управління освіти Жмеринської міської ради, КЗ «Жмеринський ліцей № 3»</w:t>
            </w:r>
          </w:p>
        </w:tc>
      </w:tr>
      <w:tr w:rsidR="0033645A" w:rsidRPr="0019790A" w14:paraId="568D3704" w14:textId="77777777" w:rsidTr="00722007">
        <w:trPr>
          <w:trHeight w:val="70"/>
          <w:jc w:val="right"/>
        </w:trPr>
        <w:tc>
          <w:tcPr>
            <w:tcW w:w="3421" w:type="dxa"/>
            <w:shd w:val="clear" w:color="auto" w:fill="FFFFFF"/>
            <w:vAlign w:val="center"/>
          </w:tcPr>
          <w:p w14:paraId="0BBA3139" w14:textId="77777777" w:rsidR="0033645A" w:rsidRPr="0019790A" w:rsidRDefault="0033645A" w:rsidP="0019790A">
            <w:pPr>
              <w:rPr>
                <w:rFonts w:cs="Arial"/>
                <w:b/>
                <w:bCs/>
                <w:szCs w:val="22"/>
              </w:rPr>
            </w:pPr>
            <w:r w:rsidRPr="0019790A">
              <w:rPr>
                <w:rFonts w:cs="Arial"/>
                <w:b/>
                <w:bCs/>
                <w:szCs w:val="22"/>
              </w:rPr>
              <w:t>Інше:</w:t>
            </w:r>
          </w:p>
        </w:tc>
        <w:tc>
          <w:tcPr>
            <w:tcW w:w="6798" w:type="dxa"/>
            <w:gridSpan w:val="7"/>
            <w:vAlign w:val="center"/>
          </w:tcPr>
          <w:p w14:paraId="00FF2077" w14:textId="77777777" w:rsidR="0033645A" w:rsidRPr="0019790A" w:rsidRDefault="0033645A" w:rsidP="0019790A">
            <w:pPr>
              <w:rPr>
                <w:rFonts w:cs="Arial"/>
                <w:szCs w:val="22"/>
                <w:lang w:eastAsia="it-IT"/>
              </w:rPr>
            </w:pPr>
          </w:p>
        </w:tc>
      </w:tr>
    </w:tbl>
    <w:p w14:paraId="028480BB" w14:textId="77777777" w:rsidR="0033645A" w:rsidRPr="0019790A" w:rsidRDefault="0033645A" w:rsidP="0019790A">
      <w:pPr>
        <w:rPr>
          <w:rFonts w:cs="Arial"/>
          <w:szCs w:val="22"/>
        </w:rPr>
      </w:pPr>
    </w:p>
    <w:p w14:paraId="3005D40E" w14:textId="77777777" w:rsidR="00EA6E27" w:rsidRPr="0019790A" w:rsidRDefault="00EA6E27" w:rsidP="0019790A">
      <w:pPr>
        <w:jc w:val="center"/>
        <w:rPr>
          <w:rFonts w:cs="Arial"/>
          <w:b/>
          <w:color w:val="000000"/>
          <w:szCs w:val="22"/>
        </w:rPr>
      </w:pPr>
    </w:p>
    <w:p w14:paraId="19922510" w14:textId="77777777" w:rsidR="0033645A" w:rsidRPr="0019790A" w:rsidRDefault="0033645A" w:rsidP="0019790A">
      <w:pPr>
        <w:jc w:val="center"/>
        <w:rPr>
          <w:rFonts w:cs="Arial"/>
          <w:b/>
          <w:color w:val="000000"/>
          <w:szCs w:val="22"/>
        </w:rPr>
      </w:pPr>
      <w:r w:rsidRPr="0019790A">
        <w:rPr>
          <w:rFonts w:cs="Arial"/>
          <w:b/>
          <w:color w:val="000000"/>
          <w:szCs w:val="22"/>
        </w:rPr>
        <w:t xml:space="preserve">Форма технічного завдання на проєкт місцевого розвитку </w:t>
      </w:r>
    </w:p>
    <w:p w14:paraId="16A48D37" w14:textId="77777777" w:rsidR="0033645A" w:rsidRPr="0019790A" w:rsidRDefault="0033645A" w:rsidP="0019790A">
      <w:pPr>
        <w:jc w:val="center"/>
        <w:rPr>
          <w:rFonts w:cs="Arial"/>
          <w:b/>
          <w:color w:val="000000"/>
          <w:szCs w:val="22"/>
        </w:rPr>
      </w:pPr>
      <w:r w:rsidRPr="0019790A">
        <w:rPr>
          <w:rFonts w:cs="Arial"/>
          <w:b/>
          <w:color w:val="000000"/>
          <w:szCs w:val="22"/>
        </w:rPr>
        <w:t>до Плану заходів з реалізації Стратегії</w:t>
      </w:r>
    </w:p>
    <w:p w14:paraId="41CA2583" w14:textId="77777777" w:rsidR="0033645A" w:rsidRPr="0019790A" w:rsidRDefault="0033645A"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0"/>
        <w:gridCol w:w="1252"/>
        <w:gridCol w:w="1273"/>
        <w:gridCol w:w="1419"/>
        <w:gridCol w:w="1277"/>
        <w:gridCol w:w="1578"/>
      </w:tblGrid>
      <w:tr w:rsidR="0033645A" w:rsidRPr="0019790A" w14:paraId="310DCA82" w14:textId="77777777" w:rsidTr="00722007">
        <w:trPr>
          <w:jc w:val="right"/>
        </w:trPr>
        <w:tc>
          <w:tcPr>
            <w:tcW w:w="3421" w:type="dxa"/>
            <w:vAlign w:val="center"/>
          </w:tcPr>
          <w:p w14:paraId="030DE4B7" w14:textId="77777777" w:rsidR="0033645A" w:rsidRPr="0019790A" w:rsidRDefault="0033645A" w:rsidP="0019790A">
            <w:pPr>
              <w:rPr>
                <w:rFonts w:cs="Arial"/>
                <w:b/>
                <w:bCs/>
                <w:color w:val="000000"/>
                <w:szCs w:val="22"/>
              </w:rPr>
            </w:pPr>
            <w:r w:rsidRPr="0019790A">
              <w:rPr>
                <w:rFonts w:cs="Arial"/>
                <w:b/>
                <w:bCs/>
                <w:color w:val="000000"/>
                <w:szCs w:val="22"/>
              </w:rPr>
              <w:t>Назва проєкту:</w:t>
            </w:r>
          </w:p>
        </w:tc>
        <w:tc>
          <w:tcPr>
            <w:tcW w:w="6798" w:type="dxa"/>
            <w:gridSpan w:val="5"/>
          </w:tcPr>
          <w:p w14:paraId="470BF6F4" w14:textId="77777777" w:rsidR="0033645A" w:rsidRPr="0019790A" w:rsidRDefault="0033645A" w:rsidP="0019790A">
            <w:pPr>
              <w:rPr>
                <w:rFonts w:cs="Arial"/>
                <w:b/>
                <w:szCs w:val="22"/>
                <w:lang w:eastAsia="it-IT"/>
              </w:rPr>
            </w:pPr>
            <w:r w:rsidRPr="0019790A">
              <w:rPr>
                <w:rFonts w:cs="Arial"/>
                <w:b/>
                <w:szCs w:val="22"/>
                <w:lang w:eastAsia="it-IT"/>
              </w:rPr>
              <w:t xml:space="preserve"> </w:t>
            </w:r>
            <w:r w:rsidRPr="0019790A">
              <w:rPr>
                <w:rFonts w:eastAsia="Arial" w:cs="Arial"/>
                <w:b/>
                <w:bCs/>
                <w:color w:val="000000"/>
                <w:szCs w:val="22"/>
              </w:rPr>
              <w:t>Модернізація покрівлі - важлива складова створення сучасного енергоефективного освітнього простору</w:t>
            </w:r>
          </w:p>
        </w:tc>
      </w:tr>
      <w:tr w:rsidR="0033645A" w:rsidRPr="0019790A" w14:paraId="68E4A185" w14:textId="77777777" w:rsidTr="00722007">
        <w:trPr>
          <w:jc w:val="right"/>
        </w:trPr>
        <w:tc>
          <w:tcPr>
            <w:tcW w:w="3421" w:type="dxa"/>
          </w:tcPr>
          <w:p w14:paraId="791E9BDD" w14:textId="77777777" w:rsidR="0033645A" w:rsidRPr="0019790A" w:rsidRDefault="0033645A"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264E67CB" w14:textId="77777777" w:rsidR="0033645A" w:rsidRPr="0019790A" w:rsidRDefault="0033645A" w:rsidP="0019790A">
            <w:pPr>
              <w:rPr>
                <w:rFonts w:cs="Arial"/>
                <w:b/>
                <w:bCs/>
                <w:szCs w:val="22"/>
              </w:rPr>
            </w:pPr>
            <w:r w:rsidRPr="0019790A">
              <w:rPr>
                <w:rFonts w:cs="Arial"/>
                <w:szCs w:val="22"/>
                <w:lang w:eastAsia="it-IT"/>
              </w:rPr>
              <w:t>Назва установи, організації, підприємства</w:t>
            </w:r>
          </w:p>
        </w:tc>
        <w:tc>
          <w:tcPr>
            <w:tcW w:w="6798" w:type="dxa"/>
            <w:gridSpan w:val="5"/>
          </w:tcPr>
          <w:p w14:paraId="349C3D33" w14:textId="344BD5A3" w:rsidR="0033645A" w:rsidRPr="0019790A" w:rsidRDefault="0033645A" w:rsidP="00722007">
            <w:pPr>
              <w:rPr>
                <w:rFonts w:cs="Arial"/>
                <w:szCs w:val="22"/>
                <w:lang w:eastAsia="it-IT"/>
              </w:rPr>
            </w:pPr>
            <w:r w:rsidRPr="0019790A">
              <w:rPr>
                <w:rFonts w:cs="Arial"/>
                <w:szCs w:val="22"/>
                <w:lang w:eastAsia="it-IT"/>
              </w:rPr>
              <w:t>Управління освіти Жмеринської міської ради</w:t>
            </w:r>
            <w:r w:rsidR="00722007">
              <w:rPr>
                <w:rFonts w:cs="Arial"/>
                <w:szCs w:val="22"/>
                <w:lang w:eastAsia="it-IT"/>
              </w:rPr>
              <w:t xml:space="preserve"> </w:t>
            </w:r>
            <w:r w:rsidRPr="0019790A">
              <w:rPr>
                <w:rFonts w:cs="Arial"/>
                <w:szCs w:val="22"/>
                <w:lang w:eastAsia="it-IT"/>
              </w:rPr>
              <w:t>КЗ «Браїлівський ліцей ім. В.О.</w:t>
            </w:r>
            <w:r w:rsidR="00722007">
              <w:rPr>
                <w:rFonts w:cs="Arial"/>
                <w:szCs w:val="22"/>
                <w:lang w:eastAsia="it-IT"/>
              </w:rPr>
              <w:t xml:space="preserve"> </w:t>
            </w:r>
            <w:r w:rsidRPr="0019790A">
              <w:rPr>
                <w:rFonts w:cs="Arial"/>
                <w:szCs w:val="22"/>
                <w:lang w:eastAsia="it-IT"/>
              </w:rPr>
              <w:t>Забаштанського»</w:t>
            </w:r>
          </w:p>
        </w:tc>
      </w:tr>
      <w:tr w:rsidR="0033645A" w:rsidRPr="0019790A" w14:paraId="5E9F809E" w14:textId="77777777" w:rsidTr="00722007">
        <w:trPr>
          <w:jc w:val="right"/>
        </w:trPr>
        <w:tc>
          <w:tcPr>
            <w:tcW w:w="3421" w:type="dxa"/>
          </w:tcPr>
          <w:p w14:paraId="26155CE9" w14:textId="77777777" w:rsidR="0033645A" w:rsidRPr="0019790A" w:rsidRDefault="0033645A" w:rsidP="0019790A">
            <w:pPr>
              <w:rPr>
                <w:rFonts w:cs="Arial"/>
                <w:b/>
                <w:bCs/>
                <w:szCs w:val="22"/>
              </w:rPr>
            </w:pPr>
            <w:r w:rsidRPr="0019790A">
              <w:rPr>
                <w:rFonts w:cs="Arial"/>
                <w:szCs w:val="22"/>
                <w:lang w:eastAsia="it-IT"/>
              </w:rPr>
              <w:t>Прізвище Ім’я по-батькові:</w:t>
            </w:r>
          </w:p>
        </w:tc>
        <w:tc>
          <w:tcPr>
            <w:tcW w:w="6798" w:type="dxa"/>
            <w:gridSpan w:val="5"/>
          </w:tcPr>
          <w:p w14:paraId="1C9A1836" w14:textId="77777777" w:rsidR="0033645A" w:rsidRPr="0019790A" w:rsidRDefault="0033645A" w:rsidP="0019790A">
            <w:pPr>
              <w:pStyle w:val="TableParagraph"/>
              <w:ind w:left="0"/>
              <w:rPr>
                <w:rFonts w:ascii="Arial" w:hAnsi="Arial" w:cs="Arial"/>
              </w:rPr>
            </w:pPr>
            <w:r w:rsidRPr="0019790A">
              <w:rPr>
                <w:rFonts w:ascii="Arial" w:hAnsi="Arial" w:cs="Arial"/>
              </w:rPr>
              <w:t>Твердохліб Аліна Петрівна</w:t>
            </w:r>
          </w:p>
        </w:tc>
      </w:tr>
      <w:tr w:rsidR="0033645A" w:rsidRPr="0019790A" w14:paraId="0DA73462" w14:textId="77777777" w:rsidTr="00722007">
        <w:trPr>
          <w:jc w:val="right"/>
        </w:trPr>
        <w:tc>
          <w:tcPr>
            <w:tcW w:w="3421" w:type="dxa"/>
          </w:tcPr>
          <w:p w14:paraId="281625A9" w14:textId="77777777" w:rsidR="0033645A" w:rsidRPr="0019790A" w:rsidRDefault="0033645A" w:rsidP="0019790A">
            <w:pPr>
              <w:rPr>
                <w:rFonts w:cs="Arial"/>
                <w:b/>
                <w:bCs/>
                <w:szCs w:val="22"/>
              </w:rPr>
            </w:pPr>
            <w:r w:rsidRPr="0019790A">
              <w:rPr>
                <w:rFonts w:cs="Arial"/>
                <w:szCs w:val="22"/>
                <w:lang w:eastAsia="it-IT"/>
              </w:rPr>
              <w:t>Телефон (мобільний):</w:t>
            </w:r>
          </w:p>
        </w:tc>
        <w:tc>
          <w:tcPr>
            <w:tcW w:w="6798" w:type="dxa"/>
            <w:gridSpan w:val="5"/>
          </w:tcPr>
          <w:p w14:paraId="74AF8C53" w14:textId="77777777" w:rsidR="0033645A" w:rsidRPr="0019790A" w:rsidRDefault="0033645A" w:rsidP="0019790A">
            <w:pPr>
              <w:pStyle w:val="TableParagraph"/>
              <w:ind w:left="66"/>
              <w:rPr>
                <w:rFonts w:ascii="Arial" w:hAnsi="Arial" w:cs="Arial"/>
              </w:rPr>
            </w:pPr>
            <w:r w:rsidRPr="0019790A">
              <w:rPr>
                <w:rFonts w:ascii="Arial" w:hAnsi="Arial" w:cs="Arial"/>
                <w:spacing w:val="-2"/>
              </w:rPr>
              <w:t>+380 (67) 895 55 75</w:t>
            </w:r>
          </w:p>
        </w:tc>
      </w:tr>
      <w:tr w:rsidR="0033645A" w:rsidRPr="0019790A" w14:paraId="4FFBFA62" w14:textId="77777777" w:rsidTr="00722007">
        <w:trPr>
          <w:jc w:val="right"/>
        </w:trPr>
        <w:tc>
          <w:tcPr>
            <w:tcW w:w="3421" w:type="dxa"/>
          </w:tcPr>
          <w:p w14:paraId="62913A30" w14:textId="77777777" w:rsidR="0033645A" w:rsidRPr="0019790A" w:rsidRDefault="0033645A" w:rsidP="0019790A">
            <w:pPr>
              <w:rPr>
                <w:rFonts w:cs="Arial"/>
                <w:b/>
                <w:bCs/>
                <w:szCs w:val="22"/>
              </w:rPr>
            </w:pPr>
            <w:r w:rsidRPr="0019790A">
              <w:rPr>
                <w:rFonts w:cs="Arial"/>
                <w:szCs w:val="22"/>
                <w:lang w:eastAsia="it-IT"/>
              </w:rPr>
              <w:t>Електронна адреса:</w:t>
            </w:r>
          </w:p>
        </w:tc>
        <w:tc>
          <w:tcPr>
            <w:tcW w:w="6798" w:type="dxa"/>
            <w:gridSpan w:val="5"/>
          </w:tcPr>
          <w:p w14:paraId="7872322E" w14:textId="77777777" w:rsidR="0033645A" w:rsidRPr="0019790A" w:rsidRDefault="0033645A" w:rsidP="0019790A">
            <w:pPr>
              <w:pStyle w:val="TableParagraph"/>
              <w:ind w:left="66"/>
              <w:rPr>
                <w:rFonts w:ascii="Arial" w:hAnsi="Arial" w:cs="Arial"/>
                <w:b/>
                <w:color w:val="0070C0"/>
              </w:rPr>
            </w:pPr>
            <w:r w:rsidRPr="0019790A">
              <w:rPr>
                <w:rFonts w:ascii="Arial" w:hAnsi="Arial" w:cs="Arial"/>
                <w:color w:val="0070C0"/>
              </w:rPr>
              <w:t xml:space="preserve"> </w:t>
            </w:r>
            <w:hyperlink r:id="rId93" w:history="1">
              <w:r w:rsidRPr="0019790A">
                <w:rPr>
                  <w:rStyle w:val="af0"/>
                  <w:rFonts w:ascii="Arial" w:hAnsi="Arial" w:cs="Arial"/>
                  <w:noProof w:val="0"/>
                  <w:spacing w:val="5"/>
                  <w:sz w:val="22"/>
                  <w:szCs w:val="22"/>
                </w:rPr>
                <w:t>uposv.zmr@gmail.com</w:t>
              </w:r>
            </w:hyperlink>
          </w:p>
        </w:tc>
      </w:tr>
      <w:tr w:rsidR="0033645A" w:rsidRPr="0019790A" w14:paraId="7B36E880" w14:textId="77777777" w:rsidTr="00722007">
        <w:trPr>
          <w:jc w:val="right"/>
        </w:trPr>
        <w:tc>
          <w:tcPr>
            <w:tcW w:w="3421" w:type="dxa"/>
            <w:vAlign w:val="center"/>
          </w:tcPr>
          <w:p w14:paraId="10C15C31" w14:textId="77777777" w:rsidR="0033645A" w:rsidRPr="0019790A" w:rsidRDefault="0033645A" w:rsidP="0019790A">
            <w:pPr>
              <w:pStyle w:val="6"/>
              <w:spacing w:before="0" w:after="0"/>
              <w:rPr>
                <w:rFonts w:ascii="Arial" w:hAnsi="Arial" w:cs="Arial"/>
                <w:color w:val="000000"/>
                <w:lang w:val="uk-UA"/>
              </w:rPr>
            </w:pPr>
            <w:r w:rsidRPr="0019790A">
              <w:rPr>
                <w:rFonts w:ascii="Arial" w:hAnsi="Arial" w:cs="Arial"/>
                <w:color w:val="000000"/>
                <w:lang w:val="uk-UA"/>
              </w:rPr>
              <w:t>Номер і назва завдання з Стратегії</w:t>
            </w:r>
            <w:r w:rsidRPr="0019790A">
              <w:rPr>
                <w:rFonts w:ascii="Arial" w:hAnsi="Arial" w:cs="Arial"/>
                <w:lang w:val="uk-UA" w:eastAsia="it-IT"/>
              </w:rPr>
              <w:t xml:space="preserve"> </w:t>
            </w:r>
            <w:r w:rsidRPr="0019790A">
              <w:rPr>
                <w:rFonts w:ascii="Arial" w:hAnsi="Arial" w:cs="Arial"/>
                <w:color w:val="000000"/>
                <w:lang w:val="uk-UA"/>
              </w:rPr>
              <w:t>розвитку Жмеринської міської територіальної громади,  якому відповідає проєкт:</w:t>
            </w:r>
          </w:p>
        </w:tc>
        <w:tc>
          <w:tcPr>
            <w:tcW w:w="6798" w:type="dxa"/>
            <w:gridSpan w:val="5"/>
            <w:vAlign w:val="center"/>
          </w:tcPr>
          <w:p w14:paraId="64FA8E6D" w14:textId="77777777" w:rsidR="0033645A" w:rsidRPr="0019790A" w:rsidRDefault="0033645A" w:rsidP="0019790A">
            <w:pPr>
              <w:rPr>
                <w:rFonts w:cs="Arial"/>
                <w:iCs/>
                <w:szCs w:val="22"/>
                <w:lang w:eastAsia="it-IT"/>
              </w:rPr>
            </w:pPr>
            <w:r w:rsidRPr="0019790A">
              <w:rPr>
                <w:rFonts w:cs="Arial"/>
                <w:szCs w:val="22"/>
              </w:rPr>
              <w:t>В 2.2.3. Впровадження енергоефективних заходів та обладнання на об’єктах комунальної власності громади, забезпечення термомодернізації об’єктів комунальної власності. С.1.1.2. Розвиток освітньої інфраструктури територіальної громади відповідно до вимог часу.</w:t>
            </w:r>
          </w:p>
        </w:tc>
      </w:tr>
      <w:tr w:rsidR="0033645A" w:rsidRPr="0019790A" w14:paraId="0B56F56D" w14:textId="77777777" w:rsidTr="00722007">
        <w:trPr>
          <w:jc w:val="right"/>
        </w:trPr>
        <w:tc>
          <w:tcPr>
            <w:tcW w:w="3421" w:type="dxa"/>
            <w:vAlign w:val="center"/>
          </w:tcPr>
          <w:p w14:paraId="04826ED7" w14:textId="77777777" w:rsidR="0033645A" w:rsidRPr="0019790A" w:rsidRDefault="0033645A" w:rsidP="0019790A">
            <w:pPr>
              <w:rPr>
                <w:rFonts w:cs="Arial"/>
                <w:b/>
                <w:bCs/>
                <w:color w:val="000000"/>
                <w:szCs w:val="22"/>
              </w:rPr>
            </w:pPr>
            <w:r w:rsidRPr="0019790A">
              <w:rPr>
                <w:rFonts w:cs="Arial"/>
                <w:b/>
                <w:bCs/>
                <w:color w:val="000000"/>
                <w:szCs w:val="22"/>
              </w:rPr>
              <w:t>Мета проєкту:</w:t>
            </w:r>
          </w:p>
        </w:tc>
        <w:tc>
          <w:tcPr>
            <w:tcW w:w="6798" w:type="dxa"/>
            <w:gridSpan w:val="5"/>
          </w:tcPr>
          <w:p w14:paraId="1AE2D6CB" w14:textId="77777777" w:rsidR="0033645A" w:rsidRPr="0019790A" w:rsidRDefault="0033645A" w:rsidP="0019790A">
            <w:pPr>
              <w:jc w:val="both"/>
              <w:rPr>
                <w:rFonts w:cs="Arial"/>
                <w:szCs w:val="22"/>
                <w:lang w:eastAsia="it-IT"/>
              </w:rPr>
            </w:pPr>
            <w:r w:rsidRPr="0019790A">
              <w:rPr>
                <w:rFonts w:cs="Arial"/>
                <w:szCs w:val="22"/>
              </w:rPr>
              <w:t xml:space="preserve"> Реалізація проєкту сприятиме створенню комфортних умов для здійснення освітнього процесу, економії споживання енергоносіїв, дотриманню санітарного регламенту щодо забезпечення належного температурного режиму та енергозбереження</w:t>
            </w:r>
            <w:r w:rsidRPr="0019790A">
              <w:rPr>
                <w:rFonts w:cs="Arial"/>
                <w:spacing w:val="40"/>
                <w:szCs w:val="22"/>
              </w:rPr>
              <w:t xml:space="preserve"> </w:t>
            </w:r>
            <w:r w:rsidRPr="0019790A">
              <w:rPr>
                <w:rFonts w:cs="Arial"/>
                <w:szCs w:val="22"/>
              </w:rPr>
              <w:t>в закладі освіти.</w:t>
            </w:r>
          </w:p>
        </w:tc>
      </w:tr>
      <w:tr w:rsidR="0033645A" w:rsidRPr="0019790A" w14:paraId="4DD0956B" w14:textId="77777777" w:rsidTr="00722007">
        <w:trPr>
          <w:jc w:val="right"/>
        </w:trPr>
        <w:tc>
          <w:tcPr>
            <w:tcW w:w="3421" w:type="dxa"/>
            <w:vAlign w:val="center"/>
          </w:tcPr>
          <w:p w14:paraId="22121B9C" w14:textId="77777777" w:rsidR="0033645A" w:rsidRPr="0019790A" w:rsidRDefault="0033645A" w:rsidP="0019790A">
            <w:pPr>
              <w:rPr>
                <w:rFonts w:cs="Arial"/>
                <w:b/>
                <w:bCs/>
                <w:color w:val="000000"/>
                <w:szCs w:val="22"/>
              </w:rPr>
            </w:pPr>
            <w:r w:rsidRPr="0019790A">
              <w:rPr>
                <w:rFonts w:cs="Arial"/>
                <w:b/>
                <w:bCs/>
                <w:color w:val="000000"/>
                <w:szCs w:val="22"/>
              </w:rPr>
              <w:t>Цілі проєкту:</w:t>
            </w:r>
          </w:p>
        </w:tc>
        <w:tc>
          <w:tcPr>
            <w:tcW w:w="6798" w:type="dxa"/>
            <w:gridSpan w:val="5"/>
          </w:tcPr>
          <w:p w14:paraId="2BB9EE50" w14:textId="77777777" w:rsidR="0033645A" w:rsidRPr="0019790A" w:rsidRDefault="0033645A" w:rsidP="0019790A">
            <w:pPr>
              <w:shd w:val="clear" w:color="auto" w:fill="FFFFFF"/>
              <w:jc w:val="both"/>
              <w:rPr>
                <w:rFonts w:cs="Arial"/>
                <w:szCs w:val="22"/>
              </w:rPr>
            </w:pPr>
            <w:r w:rsidRPr="0019790A">
              <w:rPr>
                <w:rFonts w:cs="Arial"/>
                <w:szCs w:val="22"/>
                <w:lang w:eastAsia="it-IT"/>
              </w:rPr>
              <w:t xml:space="preserve"> </w:t>
            </w:r>
            <w:r w:rsidRPr="0019790A">
              <w:rPr>
                <w:rFonts w:cs="Arial"/>
                <w:szCs w:val="22"/>
              </w:rPr>
              <w:t xml:space="preserve">Створення комфортних та безпечних умов для навчання та праці, що відповідають сучасним будівельним, санітарним вимогам та нормам, Підвищення якості надання освітніх послуг. </w:t>
            </w:r>
          </w:p>
          <w:p w14:paraId="16F84736" w14:textId="59C1DABF" w:rsidR="0033645A" w:rsidRPr="0019790A" w:rsidRDefault="0033645A" w:rsidP="0019790A">
            <w:pPr>
              <w:jc w:val="both"/>
              <w:rPr>
                <w:rFonts w:cs="Arial"/>
                <w:szCs w:val="22"/>
                <w:lang w:eastAsia="it-IT"/>
              </w:rPr>
            </w:pPr>
            <w:r w:rsidRPr="0019790A">
              <w:rPr>
                <w:rFonts w:cs="Arial"/>
                <w:szCs w:val="22"/>
              </w:rPr>
              <w:t xml:space="preserve">Забезпечення </w:t>
            </w:r>
            <w:r w:rsidR="00722007" w:rsidRPr="0019790A">
              <w:rPr>
                <w:rFonts w:cs="Arial"/>
                <w:szCs w:val="22"/>
              </w:rPr>
              <w:t>енергозбереження</w:t>
            </w:r>
            <w:r w:rsidRPr="0019790A">
              <w:rPr>
                <w:rFonts w:cs="Arial"/>
                <w:szCs w:val="22"/>
              </w:rPr>
              <w:t xml:space="preserve"> в закладах освіти.</w:t>
            </w:r>
          </w:p>
        </w:tc>
      </w:tr>
      <w:tr w:rsidR="0033645A" w:rsidRPr="0019790A" w14:paraId="089C183F" w14:textId="77777777" w:rsidTr="00722007">
        <w:trPr>
          <w:jc w:val="right"/>
        </w:trPr>
        <w:tc>
          <w:tcPr>
            <w:tcW w:w="3421" w:type="dxa"/>
            <w:vAlign w:val="center"/>
          </w:tcPr>
          <w:p w14:paraId="5601098E" w14:textId="77777777" w:rsidR="0033645A" w:rsidRPr="0019790A" w:rsidRDefault="0033645A" w:rsidP="0019790A">
            <w:pPr>
              <w:autoSpaceDE w:val="0"/>
              <w:autoSpaceDN w:val="0"/>
              <w:adjustRightInd w:val="0"/>
              <w:rPr>
                <w:rFonts w:cs="Arial"/>
                <w:b/>
                <w:color w:val="000000"/>
                <w:szCs w:val="22"/>
              </w:rPr>
            </w:pPr>
            <w:r w:rsidRPr="0019790A">
              <w:rPr>
                <w:rFonts w:cs="Arial"/>
                <w:b/>
                <w:color w:val="000000"/>
                <w:szCs w:val="22"/>
              </w:rPr>
              <w:t>Територія на яку проєкт матиме вплив:</w:t>
            </w:r>
          </w:p>
        </w:tc>
        <w:tc>
          <w:tcPr>
            <w:tcW w:w="6798" w:type="dxa"/>
            <w:gridSpan w:val="5"/>
          </w:tcPr>
          <w:p w14:paraId="00D864B5" w14:textId="77777777" w:rsidR="0033645A" w:rsidRPr="0019790A" w:rsidRDefault="0033645A" w:rsidP="0019790A">
            <w:pPr>
              <w:rPr>
                <w:rFonts w:cs="Arial"/>
                <w:szCs w:val="22"/>
                <w:lang w:eastAsia="it-IT"/>
              </w:rPr>
            </w:pPr>
            <w:r w:rsidRPr="0019790A">
              <w:rPr>
                <w:rFonts w:cs="Arial"/>
                <w:szCs w:val="22"/>
                <w:lang w:eastAsia="it-IT"/>
              </w:rPr>
              <w:t xml:space="preserve">Територія Жмеринської міської територіальної громади </w:t>
            </w:r>
          </w:p>
        </w:tc>
      </w:tr>
      <w:tr w:rsidR="0033645A" w:rsidRPr="0019790A" w14:paraId="079BAB64" w14:textId="77777777" w:rsidTr="00722007">
        <w:trPr>
          <w:jc w:val="right"/>
        </w:trPr>
        <w:tc>
          <w:tcPr>
            <w:tcW w:w="3421" w:type="dxa"/>
            <w:vAlign w:val="center"/>
          </w:tcPr>
          <w:p w14:paraId="675AEDF8" w14:textId="77777777" w:rsidR="0033645A" w:rsidRPr="0019790A" w:rsidRDefault="0033645A" w:rsidP="0019790A">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8" w:type="dxa"/>
            <w:gridSpan w:val="5"/>
          </w:tcPr>
          <w:p w14:paraId="26683A92" w14:textId="77777777" w:rsidR="0033645A" w:rsidRPr="0019790A" w:rsidRDefault="0033645A" w:rsidP="0019790A">
            <w:pPr>
              <w:pStyle w:val="TableParagraph"/>
              <w:rPr>
                <w:rFonts w:ascii="Arial" w:hAnsi="Arial" w:cs="Arial"/>
              </w:rPr>
            </w:pPr>
            <w:r w:rsidRPr="0019790A">
              <w:rPr>
                <w:rFonts w:ascii="Arial" w:hAnsi="Arial" w:cs="Arial"/>
              </w:rPr>
              <w:t>Здобувачі освіти, педагоги, батьки</w:t>
            </w:r>
          </w:p>
        </w:tc>
      </w:tr>
      <w:tr w:rsidR="0033645A" w:rsidRPr="0019790A" w14:paraId="5B7AF982" w14:textId="77777777" w:rsidTr="00722007">
        <w:trPr>
          <w:jc w:val="right"/>
        </w:trPr>
        <w:tc>
          <w:tcPr>
            <w:tcW w:w="3421" w:type="dxa"/>
            <w:shd w:val="clear" w:color="auto" w:fill="FFFFFF"/>
            <w:vAlign w:val="center"/>
          </w:tcPr>
          <w:p w14:paraId="7A0ABF37" w14:textId="77777777" w:rsidR="0033645A" w:rsidRPr="0019790A" w:rsidRDefault="0033645A" w:rsidP="0019790A">
            <w:pPr>
              <w:rPr>
                <w:rFonts w:cs="Arial"/>
                <w:b/>
                <w:bCs/>
                <w:color w:val="000000"/>
                <w:szCs w:val="22"/>
              </w:rPr>
            </w:pPr>
            <w:r w:rsidRPr="0019790A">
              <w:rPr>
                <w:rFonts w:cs="Arial"/>
                <w:b/>
                <w:bCs/>
                <w:color w:val="000000"/>
                <w:szCs w:val="22"/>
              </w:rPr>
              <w:t>Стислий опис проєкту:</w:t>
            </w:r>
          </w:p>
        </w:tc>
        <w:tc>
          <w:tcPr>
            <w:tcW w:w="6798" w:type="dxa"/>
            <w:gridSpan w:val="5"/>
          </w:tcPr>
          <w:p w14:paraId="0956A169" w14:textId="77777777" w:rsidR="0033645A" w:rsidRPr="0019790A" w:rsidRDefault="0033645A" w:rsidP="0019790A">
            <w:pPr>
              <w:jc w:val="both"/>
              <w:rPr>
                <w:rFonts w:cs="Arial"/>
                <w:szCs w:val="22"/>
                <w:lang w:eastAsia="it-IT"/>
              </w:rPr>
            </w:pPr>
            <w:r w:rsidRPr="0019790A">
              <w:rPr>
                <w:rFonts w:cs="Arial"/>
                <w:color w:val="333333"/>
                <w:szCs w:val="22"/>
                <w:shd w:val="clear" w:color="auto" w:fill="FFFFFF"/>
              </w:rPr>
              <w:t xml:space="preserve"> </w:t>
            </w:r>
            <w:r w:rsidRPr="0019790A">
              <w:rPr>
                <w:rFonts w:eastAsia="MS Mincho" w:cs="Arial"/>
                <w:szCs w:val="22"/>
                <w:lang w:eastAsia="uk-UA"/>
              </w:rPr>
              <w:t>З</w:t>
            </w:r>
            <w:r w:rsidRPr="0019790A">
              <w:rPr>
                <w:rFonts w:cs="Arial"/>
                <w:szCs w:val="22"/>
              </w:rPr>
              <w:t xml:space="preserve">ношеність освітньої інфраструктури зумовлює проблеми щодо забезпечення сучасного енергоефективного освітнього простору в закладах освіти. Реалізація проєкту сприятиме створенню комфортних умов для здійснення освітнього процесу, економії споживання енергоносіїв, дотриманню Санітарного регламенту щодо забезпечення належного температурного режиму в закладах освіти  </w:t>
            </w:r>
          </w:p>
        </w:tc>
      </w:tr>
      <w:tr w:rsidR="0033645A" w:rsidRPr="0019790A" w14:paraId="5AC2F595" w14:textId="77777777" w:rsidTr="00722007">
        <w:trPr>
          <w:jc w:val="right"/>
        </w:trPr>
        <w:tc>
          <w:tcPr>
            <w:tcW w:w="3421" w:type="dxa"/>
            <w:shd w:val="clear" w:color="auto" w:fill="FFFFFF"/>
            <w:vAlign w:val="center"/>
          </w:tcPr>
          <w:p w14:paraId="17C2CB31" w14:textId="77777777" w:rsidR="0033645A" w:rsidRPr="0019790A" w:rsidRDefault="0033645A" w:rsidP="0019790A">
            <w:pPr>
              <w:rPr>
                <w:rFonts w:cs="Arial"/>
                <w:b/>
                <w:bCs/>
                <w:color w:val="000000"/>
                <w:szCs w:val="22"/>
              </w:rPr>
            </w:pPr>
            <w:r w:rsidRPr="0019790A">
              <w:rPr>
                <w:rFonts w:cs="Arial"/>
                <w:b/>
                <w:bCs/>
                <w:color w:val="000000"/>
                <w:szCs w:val="22"/>
              </w:rPr>
              <w:t>Основні заходи проєкту:</w:t>
            </w:r>
          </w:p>
        </w:tc>
        <w:tc>
          <w:tcPr>
            <w:tcW w:w="6798" w:type="dxa"/>
            <w:gridSpan w:val="5"/>
          </w:tcPr>
          <w:p w14:paraId="26F9DDE9" w14:textId="605F3FB7" w:rsidR="0033645A" w:rsidRPr="0019790A" w:rsidRDefault="0033645A" w:rsidP="0019790A">
            <w:pPr>
              <w:pStyle w:val="af4"/>
              <w:numPr>
                <w:ilvl w:val="0"/>
                <w:numId w:val="18"/>
              </w:numPr>
              <w:suppressAutoHyphens w:val="0"/>
              <w:spacing w:after="0" w:line="240" w:lineRule="auto"/>
              <w:contextualSpacing/>
              <w:jc w:val="both"/>
              <w:rPr>
                <w:rFonts w:ascii="Arial" w:hAnsi="Arial" w:cs="Arial"/>
                <w:b/>
              </w:rPr>
            </w:pPr>
            <w:r w:rsidRPr="0019790A">
              <w:rPr>
                <w:rFonts w:ascii="Arial" w:hAnsi="Arial" w:cs="Arial"/>
              </w:rPr>
              <w:t>Виготовлення ПКД та проведення робіт з модернізації покрівлі</w:t>
            </w:r>
            <w:r w:rsidRPr="0019790A">
              <w:rPr>
                <w:rFonts w:ascii="Arial" w:hAnsi="Arial" w:cs="Arial"/>
                <w:lang w:eastAsia="it-IT"/>
              </w:rPr>
              <w:t xml:space="preserve"> КЗ «Браїлівський ліцей ім. В.О.</w:t>
            </w:r>
            <w:r w:rsidR="00722007">
              <w:rPr>
                <w:rFonts w:ascii="Arial" w:hAnsi="Arial" w:cs="Arial"/>
                <w:lang w:eastAsia="it-IT"/>
              </w:rPr>
              <w:t xml:space="preserve"> </w:t>
            </w:r>
            <w:r w:rsidRPr="0019790A">
              <w:rPr>
                <w:rFonts w:ascii="Arial" w:hAnsi="Arial" w:cs="Arial"/>
                <w:lang w:eastAsia="it-IT"/>
              </w:rPr>
              <w:t>Забаштанського»</w:t>
            </w:r>
          </w:p>
        </w:tc>
      </w:tr>
      <w:tr w:rsidR="0033645A" w:rsidRPr="0019790A" w14:paraId="4FA16E57" w14:textId="77777777" w:rsidTr="00722007">
        <w:trPr>
          <w:jc w:val="right"/>
        </w:trPr>
        <w:tc>
          <w:tcPr>
            <w:tcW w:w="3421" w:type="dxa"/>
            <w:shd w:val="clear" w:color="auto" w:fill="FFFFFF"/>
            <w:vAlign w:val="center"/>
          </w:tcPr>
          <w:p w14:paraId="045428FA" w14:textId="77777777" w:rsidR="0033645A" w:rsidRPr="0019790A" w:rsidRDefault="0033645A"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798" w:type="dxa"/>
            <w:gridSpan w:val="5"/>
          </w:tcPr>
          <w:p w14:paraId="2BB4BC1D" w14:textId="77777777" w:rsidR="0033645A" w:rsidRPr="0019790A" w:rsidRDefault="0033645A" w:rsidP="0019790A">
            <w:pPr>
              <w:rPr>
                <w:rFonts w:cs="Arial"/>
                <w:szCs w:val="22"/>
                <w:lang w:eastAsia="it-IT"/>
              </w:rPr>
            </w:pPr>
            <w:r w:rsidRPr="0019790A">
              <w:rPr>
                <w:rFonts w:cs="Arial"/>
                <w:szCs w:val="22"/>
              </w:rPr>
              <w:t xml:space="preserve"> </w:t>
            </w:r>
            <w:r w:rsidRPr="0019790A">
              <w:rPr>
                <w:rFonts w:cs="Arial"/>
                <w:szCs w:val="22"/>
                <w:lang w:eastAsia="it-IT"/>
              </w:rPr>
              <w:t xml:space="preserve">Покращення теплового режиму в приміщеннях (зниження втрат тепла на 20-30%). </w:t>
            </w:r>
          </w:p>
        </w:tc>
      </w:tr>
      <w:tr w:rsidR="0033645A" w:rsidRPr="0019790A" w14:paraId="7664A828" w14:textId="77777777" w:rsidTr="00722007">
        <w:trPr>
          <w:jc w:val="right"/>
        </w:trPr>
        <w:tc>
          <w:tcPr>
            <w:tcW w:w="3421" w:type="dxa"/>
            <w:shd w:val="clear" w:color="auto" w:fill="FFFFFF"/>
            <w:vAlign w:val="center"/>
          </w:tcPr>
          <w:p w14:paraId="7F12D638" w14:textId="77777777" w:rsidR="0033645A" w:rsidRPr="0019790A" w:rsidRDefault="0033645A" w:rsidP="0019790A">
            <w:pPr>
              <w:rPr>
                <w:rFonts w:cs="Arial"/>
                <w:b/>
                <w:color w:val="000000"/>
                <w:szCs w:val="22"/>
              </w:rPr>
            </w:pPr>
            <w:r w:rsidRPr="0019790A">
              <w:rPr>
                <w:rFonts w:cs="Arial"/>
                <w:b/>
                <w:color w:val="000000"/>
                <w:szCs w:val="22"/>
              </w:rPr>
              <w:t xml:space="preserve">Період здійснення: </w:t>
            </w:r>
          </w:p>
        </w:tc>
        <w:tc>
          <w:tcPr>
            <w:tcW w:w="6798" w:type="dxa"/>
            <w:gridSpan w:val="5"/>
            <w:vAlign w:val="center"/>
          </w:tcPr>
          <w:p w14:paraId="10B121A6" w14:textId="77777777" w:rsidR="0033645A" w:rsidRPr="0019790A" w:rsidRDefault="0033645A" w:rsidP="0019790A">
            <w:pPr>
              <w:rPr>
                <w:rFonts w:cs="Arial"/>
                <w:color w:val="000000"/>
                <w:szCs w:val="22"/>
                <w:lang w:eastAsia="it-IT"/>
              </w:rPr>
            </w:pPr>
            <w:r w:rsidRPr="0019790A">
              <w:rPr>
                <w:rFonts w:cs="Arial"/>
                <w:b/>
                <w:color w:val="000000"/>
                <w:szCs w:val="22"/>
              </w:rPr>
              <w:t>2025 – 2028 роки:</w:t>
            </w:r>
          </w:p>
        </w:tc>
      </w:tr>
      <w:tr w:rsidR="0033645A" w:rsidRPr="0019790A" w14:paraId="7F0E5564" w14:textId="77777777" w:rsidTr="00722007">
        <w:trPr>
          <w:jc w:val="right"/>
        </w:trPr>
        <w:tc>
          <w:tcPr>
            <w:tcW w:w="3421" w:type="dxa"/>
            <w:vMerge w:val="restart"/>
            <w:shd w:val="clear" w:color="auto" w:fill="FFFFFF"/>
            <w:vAlign w:val="center"/>
          </w:tcPr>
          <w:p w14:paraId="0E93F1FB" w14:textId="77777777" w:rsidR="0033645A" w:rsidRPr="0019790A" w:rsidRDefault="0033645A" w:rsidP="0019790A">
            <w:pPr>
              <w:rPr>
                <w:rFonts w:cs="Arial"/>
                <w:b/>
                <w:bCs/>
                <w:color w:val="000000"/>
                <w:szCs w:val="22"/>
              </w:rPr>
            </w:pPr>
            <w:r w:rsidRPr="0019790A">
              <w:rPr>
                <w:rFonts w:cs="Arial"/>
                <w:b/>
                <w:bCs/>
                <w:color w:val="000000"/>
                <w:szCs w:val="22"/>
              </w:rPr>
              <w:t>Орієнтовна вартість проєкту, тис. грн., в тому числі:</w:t>
            </w:r>
          </w:p>
        </w:tc>
        <w:tc>
          <w:tcPr>
            <w:tcW w:w="1252" w:type="dxa"/>
            <w:shd w:val="clear" w:color="auto" w:fill="E6E6E6"/>
            <w:vAlign w:val="center"/>
          </w:tcPr>
          <w:p w14:paraId="5CB6EFF1" w14:textId="77777777" w:rsidR="0033645A" w:rsidRPr="0019790A" w:rsidRDefault="0033645A" w:rsidP="0019790A">
            <w:pPr>
              <w:jc w:val="center"/>
              <w:rPr>
                <w:rFonts w:cs="Arial"/>
                <w:b/>
                <w:color w:val="000000"/>
                <w:szCs w:val="22"/>
                <w:lang w:eastAsia="it-IT"/>
              </w:rPr>
            </w:pPr>
            <w:r w:rsidRPr="0019790A">
              <w:rPr>
                <w:rFonts w:cs="Arial"/>
                <w:b/>
                <w:color w:val="000000"/>
                <w:szCs w:val="22"/>
                <w:lang w:eastAsia="it-IT"/>
              </w:rPr>
              <w:t>2025</w:t>
            </w:r>
          </w:p>
        </w:tc>
        <w:tc>
          <w:tcPr>
            <w:tcW w:w="1274" w:type="dxa"/>
            <w:shd w:val="clear" w:color="auto" w:fill="E6E6E6"/>
            <w:vAlign w:val="center"/>
          </w:tcPr>
          <w:p w14:paraId="711FCE82" w14:textId="77777777" w:rsidR="0033645A" w:rsidRPr="0019790A" w:rsidRDefault="0033645A" w:rsidP="0019790A">
            <w:pPr>
              <w:jc w:val="center"/>
              <w:rPr>
                <w:rFonts w:cs="Arial"/>
                <w:b/>
                <w:color w:val="000000"/>
                <w:szCs w:val="22"/>
                <w:lang w:eastAsia="it-IT"/>
              </w:rPr>
            </w:pPr>
            <w:r w:rsidRPr="0019790A">
              <w:rPr>
                <w:rFonts w:cs="Arial"/>
                <w:b/>
                <w:color w:val="000000"/>
                <w:szCs w:val="22"/>
                <w:lang w:eastAsia="it-IT"/>
              </w:rPr>
              <w:t>2026</w:t>
            </w:r>
          </w:p>
        </w:tc>
        <w:tc>
          <w:tcPr>
            <w:tcW w:w="1420" w:type="dxa"/>
            <w:tcBorders>
              <w:bottom w:val="single" w:sz="4" w:space="0" w:color="auto"/>
            </w:tcBorders>
            <w:shd w:val="clear" w:color="auto" w:fill="E6E6E6"/>
            <w:vAlign w:val="center"/>
          </w:tcPr>
          <w:p w14:paraId="6C4248E2" w14:textId="77777777" w:rsidR="0033645A" w:rsidRPr="0019790A" w:rsidRDefault="0033645A" w:rsidP="0019790A">
            <w:pPr>
              <w:jc w:val="center"/>
              <w:rPr>
                <w:rFonts w:cs="Arial"/>
                <w:b/>
                <w:color w:val="000000"/>
                <w:szCs w:val="22"/>
                <w:lang w:eastAsia="it-IT"/>
              </w:rPr>
            </w:pPr>
            <w:r w:rsidRPr="0019790A">
              <w:rPr>
                <w:rFonts w:cs="Arial"/>
                <w:b/>
                <w:color w:val="000000"/>
                <w:szCs w:val="22"/>
                <w:lang w:eastAsia="it-IT"/>
              </w:rPr>
              <w:t>2027</w:t>
            </w:r>
          </w:p>
        </w:tc>
        <w:tc>
          <w:tcPr>
            <w:tcW w:w="1278" w:type="dxa"/>
            <w:shd w:val="clear" w:color="auto" w:fill="E6E6E6"/>
            <w:vAlign w:val="center"/>
          </w:tcPr>
          <w:p w14:paraId="45F30973" w14:textId="77777777" w:rsidR="0033645A" w:rsidRPr="0019790A" w:rsidRDefault="0033645A" w:rsidP="0019790A">
            <w:pPr>
              <w:jc w:val="center"/>
              <w:rPr>
                <w:rFonts w:cs="Arial"/>
                <w:b/>
                <w:color w:val="000000"/>
                <w:szCs w:val="22"/>
                <w:lang w:eastAsia="it-IT"/>
              </w:rPr>
            </w:pPr>
            <w:r w:rsidRPr="0019790A">
              <w:rPr>
                <w:rFonts w:cs="Arial"/>
                <w:b/>
                <w:color w:val="000000"/>
                <w:szCs w:val="22"/>
                <w:lang w:eastAsia="it-IT"/>
              </w:rPr>
              <w:t>2028</w:t>
            </w:r>
          </w:p>
        </w:tc>
        <w:tc>
          <w:tcPr>
            <w:tcW w:w="1574" w:type="dxa"/>
            <w:shd w:val="clear" w:color="auto" w:fill="E6E6E6"/>
            <w:vAlign w:val="center"/>
          </w:tcPr>
          <w:p w14:paraId="17BE6AA7" w14:textId="77777777" w:rsidR="0033645A" w:rsidRPr="0019790A" w:rsidRDefault="0033645A" w:rsidP="0019790A">
            <w:pPr>
              <w:jc w:val="center"/>
              <w:rPr>
                <w:rFonts w:cs="Arial"/>
                <w:b/>
                <w:color w:val="000000"/>
                <w:szCs w:val="22"/>
                <w:lang w:eastAsia="it-IT"/>
              </w:rPr>
            </w:pPr>
            <w:r w:rsidRPr="0019790A">
              <w:rPr>
                <w:rFonts w:cs="Arial"/>
                <w:b/>
                <w:color w:val="000000"/>
                <w:szCs w:val="22"/>
                <w:lang w:eastAsia="it-IT"/>
              </w:rPr>
              <w:t>РАЗОМ</w:t>
            </w:r>
          </w:p>
        </w:tc>
      </w:tr>
      <w:tr w:rsidR="0033645A" w:rsidRPr="0019790A" w14:paraId="42336D6F" w14:textId="77777777" w:rsidTr="00722007">
        <w:trPr>
          <w:jc w:val="right"/>
        </w:trPr>
        <w:tc>
          <w:tcPr>
            <w:tcW w:w="3421" w:type="dxa"/>
            <w:vMerge/>
            <w:shd w:val="clear" w:color="auto" w:fill="FFFFFF"/>
            <w:vAlign w:val="center"/>
          </w:tcPr>
          <w:p w14:paraId="63EEDD87" w14:textId="77777777" w:rsidR="0033645A" w:rsidRPr="0019790A" w:rsidRDefault="0033645A" w:rsidP="0019790A">
            <w:pPr>
              <w:rPr>
                <w:rFonts w:cs="Arial"/>
                <w:b/>
                <w:bCs/>
                <w:color w:val="000000"/>
                <w:szCs w:val="22"/>
              </w:rPr>
            </w:pPr>
          </w:p>
        </w:tc>
        <w:tc>
          <w:tcPr>
            <w:tcW w:w="1252" w:type="dxa"/>
            <w:vAlign w:val="center"/>
          </w:tcPr>
          <w:p w14:paraId="5DB57C27" w14:textId="77777777" w:rsidR="0033645A" w:rsidRPr="0019790A" w:rsidRDefault="0033645A" w:rsidP="0019790A">
            <w:pPr>
              <w:jc w:val="center"/>
              <w:rPr>
                <w:rFonts w:cs="Arial"/>
                <w:b/>
                <w:color w:val="000000"/>
                <w:szCs w:val="22"/>
                <w:lang w:eastAsia="it-IT"/>
              </w:rPr>
            </w:pPr>
          </w:p>
        </w:tc>
        <w:tc>
          <w:tcPr>
            <w:tcW w:w="1274" w:type="dxa"/>
            <w:shd w:val="clear" w:color="auto" w:fill="FFFFFF"/>
            <w:vAlign w:val="center"/>
          </w:tcPr>
          <w:p w14:paraId="1668C487" w14:textId="77777777" w:rsidR="0033645A" w:rsidRPr="0019790A" w:rsidRDefault="0033645A" w:rsidP="0019790A">
            <w:pPr>
              <w:jc w:val="center"/>
              <w:rPr>
                <w:rFonts w:cs="Arial"/>
                <w:b/>
                <w:color w:val="000000"/>
                <w:szCs w:val="22"/>
                <w:lang w:eastAsia="it-IT"/>
              </w:rPr>
            </w:pPr>
          </w:p>
        </w:tc>
        <w:tc>
          <w:tcPr>
            <w:tcW w:w="1420" w:type="dxa"/>
            <w:shd w:val="clear" w:color="auto" w:fill="auto"/>
            <w:vAlign w:val="center"/>
          </w:tcPr>
          <w:p w14:paraId="4C483926" w14:textId="77777777" w:rsidR="0033645A" w:rsidRPr="0019790A" w:rsidRDefault="0033645A" w:rsidP="0019790A">
            <w:pPr>
              <w:jc w:val="center"/>
              <w:rPr>
                <w:rFonts w:cs="Arial"/>
                <w:b/>
                <w:color w:val="000000"/>
                <w:szCs w:val="22"/>
                <w:lang w:eastAsia="it-IT"/>
              </w:rPr>
            </w:pPr>
            <w:r w:rsidRPr="0019790A">
              <w:rPr>
                <w:rFonts w:cs="Arial"/>
                <w:b/>
                <w:color w:val="000000"/>
                <w:szCs w:val="22"/>
                <w:lang w:eastAsia="it-IT"/>
              </w:rPr>
              <w:t>200,00</w:t>
            </w:r>
          </w:p>
        </w:tc>
        <w:tc>
          <w:tcPr>
            <w:tcW w:w="1278" w:type="dxa"/>
            <w:shd w:val="clear" w:color="auto" w:fill="FFFFFF"/>
            <w:vAlign w:val="center"/>
          </w:tcPr>
          <w:p w14:paraId="09C532EF" w14:textId="77777777" w:rsidR="0033645A" w:rsidRPr="0019790A" w:rsidRDefault="0033645A" w:rsidP="0019790A">
            <w:pPr>
              <w:jc w:val="center"/>
              <w:rPr>
                <w:rFonts w:cs="Arial"/>
                <w:b/>
                <w:color w:val="000000"/>
                <w:szCs w:val="22"/>
                <w:lang w:eastAsia="it-IT"/>
              </w:rPr>
            </w:pPr>
            <w:r w:rsidRPr="0019790A">
              <w:rPr>
                <w:rFonts w:cs="Arial"/>
                <w:b/>
                <w:color w:val="000000"/>
                <w:szCs w:val="22"/>
                <w:lang w:eastAsia="it-IT"/>
              </w:rPr>
              <w:t>8  000,00</w:t>
            </w:r>
          </w:p>
        </w:tc>
        <w:tc>
          <w:tcPr>
            <w:tcW w:w="1574" w:type="dxa"/>
            <w:shd w:val="clear" w:color="auto" w:fill="FFFFFF"/>
            <w:vAlign w:val="center"/>
          </w:tcPr>
          <w:p w14:paraId="6D3FC347" w14:textId="77777777" w:rsidR="0033645A" w:rsidRPr="0019790A" w:rsidRDefault="0033645A" w:rsidP="0019790A">
            <w:pPr>
              <w:jc w:val="center"/>
              <w:rPr>
                <w:rFonts w:cs="Arial"/>
                <w:b/>
                <w:color w:val="000000"/>
                <w:szCs w:val="22"/>
                <w:lang w:eastAsia="it-IT"/>
              </w:rPr>
            </w:pPr>
            <w:r w:rsidRPr="0019790A">
              <w:rPr>
                <w:rFonts w:cs="Arial"/>
                <w:b/>
                <w:color w:val="000000"/>
                <w:szCs w:val="22"/>
                <w:lang w:eastAsia="it-IT"/>
              </w:rPr>
              <w:t>8 200,00</w:t>
            </w:r>
          </w:p>
        </w:tc>
      </w:tr>
      <w:tr w:rsidR="0033645A" w:rsidRPr="0019790A" w14:paraId="350AF9AA" w14:textId="77777777" w:rsidTr="00722007">
        <w:trPr>
          <w:trHeight w:val="276"/>
          <w:jc w:val="right"/>
        </w:trPr>
        <w:tc>
          <w:tcPr>
            <w:tcW w:w="3421" w:type="dxa"/>
            <w:shd w:val="clear" w:color="auto" w:fill="FFFFFF"/>
            <w:vAlign w:val="center"/>
          </w:tcPr>
          <w:p w14:paraId="49FA11DE" w14:textId="77777777" w:rsidR="0033645A" w:rsidRPr="0019790A" w:rsidRDefault="0033645A" w:rsidP="0019790A">
            <w:pPr>
              <w:rPr>
                <w:rFonts w:cs="Arial"/>
                <w:b/>
                <w:bCs/>
                <w:color w:val="000000"/>
                <w:szCs w:val="22"/>
              </w:rPr>
            </w:pPr>
            <w:r w:rsidRPr="0019790A">
              <w:rPr>
                <w:rFonts w:cs="Arial"/>
                <w:b/>
                <w:bCs/>
                <w:color w:val="000000"/>
                <w:szCs w:val="22"/>
              </w:rPr>
              <w:t>по джерелах фінансування:</w:t>
            </w:r>
          </w:p>
        </w:tc>
        <w:tc>
          <w:tcPr>
            <w:tcW w:w="6798" w:type="dxa"/>
            <w:gridSpan w:val="5"/>
            <w:vAlign w:val="center"/>
          </w:tcPr>
          <w:p w14:paraId="198C439F" w14:textId="77777777" w:rsidR="0033645A" w:rsidRPr="0019790A" w:rsidRDefault="0033645A" w:rsidP="0019790A">
            <w:pPr>
              <w:jc w:val="both"/>
              <w:rPr>
                <w:rFonts w:cs="Arial"/>
                <w:color w:val="000000"/>
                <w:szCs w:val="22"/>
                <w:lang w:eastAsia="it-IT"/>
              </w:rPr>
            </w:pPr>
          </w:p>
        </w:tc>
      </w:tr>
      <w:tr w:rsidR="0033645A" w:rsidRPr="0019790A" w14:paraId="1C64E502" w14:textId="77777777" w:rsidTr="00722007">
        <w:trPr>
          <w:trHeight w:val="240"/>
          <w:jc w:val="right"/>
        </w:trPr>
        <w:tc>
          <w:tcPr>
            <w:tcW w:w="3421" w:type="dxa"/>
            <w:shd w:val="clear" w:color="auto" w:fill="FFFFFF"/>
            <w:vAlign w:val="center"/>
          </w:tcPr>
          <w:p w14:paraId="0118AC81" w14:textId="77777777" w:rsidR="0033645A" w:rsidRPr="0019790A" w:rsidRDefault="0033645A" w:rsidP="0019790A">
            <w:pPr>
              <w:rPr>
                <w:rFonts w:cs="Arial"/>
                <w:b/>
                <w:bCs/>
                <w:color w:val="000000"/>
                <w:szCs w:val="22"/>
              </w:rPr>
            </w:pPr>
            <w:r w:rsidRPr="0019790A">
              <w:rPr>
                <w:rFonts w:cs="Arial"/>
                <w:color w:val="000000"/>
                <w:szCs w:val="22"/>
              </w:rPr>
              <w:t>- державний бюджет</w:t>
            </w:r>
          </w:p>
        </w:tc>
        <w:tc>
          <w:tcPr>
            <w:tcW w:w="6798" w:type="dxa"/>
            <w:gridSpan w:val="5"/>
            <w:vAlign w:val="center"/>
          </w:tcPr>
          <w:p w14:paraId="2A9E77C1" w14:textId="77777777" w:rsidR="0033645A" w:rsidRPr="0019790A" w:rsidRDefault="0033645A" w:rsidP="0019790A">
            <w:pPr>
              <w:jc w:val="both"/>
              <w:rPr>
                <w:rFonts w:cs="Arial"/>
                <w:color w:val="000000"/>
                <w:szCs w:val="22"/>
                <w:lang w:eastAsia="it-IT"/>
              </w:rPr>
            </w:pPr>
          </w:p>
        </w:tc>
      </w:tr>
      <w:tr w:rsidR="0033645A" w:rsidRPr="0019790A" w14:paraId="570882EA" w14:textId="77777777" w:rsidTr="00722007">
        <w:trPr>
          <w:trHeight w:val="254"/>
          <w:jc w:val="right"/>
        </w:trPr>
        <w:tc>
          <w:tcPr>
            <w:tcW w:w="3421" w:type="dxa"/>
            <w:shd w:val="clear" w:color="auto" w:fill="FFFFFF"/>
            <w:vAlign w:val="center"/>
          </w:tcPr>
          <w:p w14:paraId="65B23E0D" w14:textId="77777777" w:rsidR="0033645A" w:rsidRPr="0019790A" w:rsidRDefault="0033645A" w:rsidP="0019790A">
            <w:pPr>
              <w:rPr>
                <w:rFonts w:cs="Arial"/>
                <w:color w:val="000000"/>
                <w:szCs w:val="22"/>
              </w:rPr>
            </w:pPr>
            <w:r w:rsidRPr="0019790A">
              <w:rPr>
                <w:rFonts w:cs="Arial"/>
                <w:color w:val="000000"/>
                <w:szCs w:val="22"/>
              </w:rPr>
              <w:t>- обласний бюджет</w:t>
            </w:r>
          </w:p>
        </w:tc>
        <w:tc>
          <w:tcPr>
            <w:tcW w:w="6798" w:type="dxa"/>
            <w:gridSpan w:val="5"/>
            <w:vAlign w:val="center"/>
          </w:tcPr>
          <w:p w14:paraId="02036363" w14:textId="77777777" w:rsidR="0033645A" w:rsidRPr="0019790A" w:rsidRDefault="0033645A" w:rsidP="0019790A">
            <w:pPr>
              <w:jc w:val="both"/>
              <w:rPr>
                <w:rFonts w:cs="Arial"/>
                <w:color w:val="000000"/>
                <w:szCs w:val="22"/>
                <w:lang w:eastAsia="it-IT"/>
              </w:rPr>
            </w:pPr>
          </w:p>
        </w:tc>
      </w:tr>
      <w:tr w:rsidR="0033645A" w:rsidRPr="0019790A" w14:paraId="750DF3C8" w14:textId="77777777" w:rsidTr="00722007">
        <w:trPr>
          <w:trHeight w:val="275"/>
          <w:jc w:val="right"/>
        </w:trPr>
        <w:tc>
          <w:tcPr>
            <w:tcW w:w="3421" w:type="dxa"/>
            <w:shd w:val="clear" w:color="auto" w:fill="FFFFFF"/>
            <w:vAlign w:val="center"/>
          </w:tcPr>
          <w:p w14:paraId="7C931C74" w14:textId="77777777" w:rsidR="0033645A" w:rsidRPr="0019790A" w:rsidRDefault="0033645A" w:rsidP="0019790A">
            <w:pPr>
              <w:rPr>
                <w:rFonts w:cs="Arial"/>
                <w:color w:val="000000"/>
                <w:szCs w:val="22"/>
              </w:rPr>
            </w:pPr>
            <w:r w:rsidRPr="0019790A">
              <w:rPr>
                <w:rFonts w:cs="Arial"/>
                <w:color w:val="000000"/>
                <w:szCs w:val="22"/>
              </w:rPr>
              <w:t>- бюджет Жмеринської МТГ</w:t>
            </w:r>
          </w:p>
        </w:tc>
        <w:tc>
          <w:tcPr>
            <w:tcW w:w="1252" w:type="dxa"/>
            <w:vAlign w:val="center"/>
          </w:tcPr>
          <w:p w14:paraId="32B78FFE" w14:textId="77777777" w:rsidR="0033645A" w:rsidRPr="0019790A" w:rsidRDefault="0033645A" w:rsidP="0019790A">
            <w:pPr>
              <w:jc w:val="both"/>
              <w:rPr>
                <w:rFonts w:cs="Arial"/>
                <w:color w:val="000000"/>
                <w:szCs w:val="22"/>
                <w:lang w:eastAsia="it-IT"/>
              </w:rPr>
            </w:pPr>
          </w:p>
        </w:tc>
        <w:tc>
          <w:tcPr>
            <w:tcW w:w="1274" w:type="dxa"/>
            <w:vAlign w:val="center"/>
          </w:tcPr>
          <w:p w14:paraId="471BD4DF" w14:textId="77777777" w:rsidR="0033645A" w:rsidRPr="0019790A" w:rsidRDefault="0033645A" w:rsidP="0019790A">
            <w:pPr>
              <w:jc w:val="both"/>
              <w:rPr>
                <w:rFonts w:cs="Arial"/>
                <w:color w:val="000000"/>
                <w:szCs w:val="22"/>
                <w:lang w:eastAsia="it-IT"/>
              </w:rPr>
            </w:pPr>
          </w:p>
        </w:tc>
        <w:tc>
          <w:tcPr>
            <w:tcW w:w="1415" w:type="dxa"/>
            <w:vAlign w:val="center"/>
          </w:tcPr>
          <w:p w14:paraId="11C24170" w14:textId="77777777" w:rsidR="0033645A" w:rsidRPr="0019790A" w:rsidRDefault="0033645A" w:rsidP="0019790A">
            <w:pPr>
              <w:jc w:val="center"/>
              <w:rPr>
                <w:rFonts w:cs="Arial"/>
                <w:b/>
                <w:color w:val="000000"/>
                <w:szCs w:val="22"/>
                <w:lang w:eastAsia="it-IT"/>
              </w:rPr>
            </w:pPr>
            <w:r w:rsidRPr="0019790A">
              <w:rPr>
                <w:rFonts w:cs="Arial"/>
                <w:b/>
                <w:color w:val="000000"/>
                <w:szCs w:val="22"/>
                <w:lang w:eastAsia="it-IT"/>
              </w:rPr>
              <w:t>200,00</w:t>
            </w:r>
          </w:p>
        </w:tc>
        <w:tc>
          <w:tcPr>
            <w:tcW w:w="1278" w:type="dxa"/>
            <w:vAlign w:val="center"/>
          </w:tcPr>
          <w:p w14:paraId="645511AB" w14:textId="77777777" w:rsidR="0033645A" w:rsidRPr="0019790A" w:rsidRDefault="0033645A" w:rsidP="0019790A">
            <w:pPr>
              <w:jc w:val="center"/>
              <w:rPr>
                <w:rFonts w:cs="Arial"/>
                <w:b/>
                <w:color w:val="000000"/>
                <w:szCs w:val="22"/>
                <w:lang w:eastAsia="it-IT"/>
              </w:rPr>
            </w:pPr>
            <w:r w:rsidRPr="0019790A">
              <w:rPr>
                <w:rFonts w:cs="Arial"/>
                <w:b/>
                <w:color w:val="000000"/>
                <w:szCs w:val="22"/>
                <w:lang w:eastAsia="it-IT"/>
              </w:rPr>
              <w:t>8  000,00</w:t>
            </w:r>
          </w:p>
        </w:tc>
        <w:tc>
          <w:tcPr>
            <w:tcW w:w="1579" w:type="dxa"/>
            <w:vAlign w:val="center"/>
          </w:tcPr>
          <w:p w14:paraId="2E93BEDD" w14:textId="77777777" w:rsidR="0033645A" w:rsidRPr="0019790A" w:rsidRDefault="0033645A" w:rsidP="0019790A">
            <w:pPr>
              <w:jc w:val="center"/>
              <w:rPr>
                <w:rFonts w:cs="Arial"/>
                <w:b/>
                <w:color w:val="000000"/>
                <w:szCs w:val="22"/>
                <w:lang w:eastAsia="it-IT"/>
              </w:rPr>
            </w:pPr>
            <w:r w:rsidRPr="0019790A">
              <w:rPr>
                <w:rFonts w:cs="Arial"/>
                <w:b/>
                <w:color w:val="000000"/>
                <w:szCs w:val="22"/>
                <w:lang w:eastAsia="it-IT"/>
              </w:rPr>
              <w:t>8 200,00</w:t>
            </w:r>
          </w:p>
        </w:tc>
      </w:tr>
      <w:tr w:rsidR="0033645A" w:rsidRPr="0019790A" w14:paraId="3B38F63E" w14:textId="77777777" w:rsidTr="00722007">
        <w:trPr>
          <w:trHeight w:val="226"/>
          <w:jc w:val="right"/>
        </w:trPr>
        <w:tc>
          <w:tcPr>
            <w:tcW w:w="3421" w:type="dxa"/>
            <w:shd w:val="clear" w:color="auto" w:fill="FFFFFF"/>
            <w:vAlign w:val="center"/>
          </w:tcPr>
          <w:p w14:paraId="334E3525" w14:textId="77777777" w:rsidR="0033645A" w:rsidRPr="0019790A" w:rsidRDefault="0033645A" w:rsidP="0019790A">
            <w:pPr>
              <w:rPr>
                <w:rFonts w:cs="Arial"/>
                <w:color w:val="000000"/>
                <w:szCs w:val="22"/>
              </w:rPr>
            </w:pPr>
            <w:r w:rsidRPr="0019790A">
              <w:rPr>
                <w:rFonts w:cs="Arial"/>
                <w:color w:val="000000"/>
                <w:szCs w:val="22"/>
              </w:rPr>
              <w:t>- інші джерела фінансування</w:t>
            </w:r>
          </w:p>
        </w:tc>
        <w:tc>
          <w:tcPr>
            <w:tcW w:w="6798" w:type="dxa"/>
            <w:gridSpan w:val="5"/>
            <w:vAlign w:val="center"/>
          </w:tcPr>
          <w:p w14:paraId="5A599F16" w14:textId="77777777" w:rsidR="0033645A" w:rsidRPr="0019790A" w:rsidRDefault="0033645A" w:rsidP="0019790A">
            <w:pPr>
              <w:jc w:val="both"/>
              <w:rPr>
                <w:rFonts w:cs="Arial"/>
                <w:color w:val="000000"/>
                <w:szCs w:val="22"/>
                <w:lang w:eastAsia="it-IT"/>
              </w:rPr>
            </w:pPr>
          </w:p>
        </w:tc>
      </w:tr>
      <w:tr w:rsidR="0033645A" w:rsidRPr="0019790A" w14:paraId="261B440F" w14:textId="77777777" w:rsidTr="00722007">
        <w:trPr>
          <w:jc w:val="right"/>
        </w:trPr>
        <w:tc>
          <w:tcPr>
            <w:tcW w:w="3421" w:type="dxa"/>
            <w:shd w:val="clear" w:color="auto" w:fill="FFFFFF"/>
            <w:vAlign w:val="center"/>
          </w:tcPr>
          <w:p w14:paraId="134B8DE8" w14:textId="77777777" w:rsidR="0033645A" w:rsidRPr="0019790A" w:rsidRDefault="0033645A" w:rsidP="0019790A">
            <w:pPr>
              <w:rPr>
                <w:rFonts w:cs="Arial"/>
                <w:b/>
                <w:bCs/>
                <w:color w:val="000000"/>
                <w:szCs w:val="22"/>
              </w:rPr>
            </w:pPr>
            <w:r w:rsidRPr="0019790A">
              <w:rPr>
                <w:rFonts w:cs="Arial"/>
                <w:b/>
                <w:color w:val="000000"/>
                <w:szCs w:val="22"/>
              </w:rPr>
              <w:t>Відповідальний виконавець проєкту:</w:t>
            </w:r>
          </w:p>
        </w:tc>
        <w:tc>
          <w:tcPr>
            <w:tcW w:w="6798" w:type="dxa"/>
            <w:gridSpan w:val="5"/>
            <w:vAlign w:val="center"/>
          </w:tcPr>
          <w:p w14:paraId="548FA78A" w14:textId="77777777" w:rsidR="0033645A" w:rsidRPr="0019790A" w:rsidRDefault="0033645A" w:rsidP="0019790A">
            <w:pPr>
              <w:jc w:val="both"/>
              <w:rPr>
                <w:rFonts w:cs="Arial"/>
                <w:color w:val="000000"/>
                <w:szCs w:val="22"/>
                <w:lang w:eastAsia="it-IT"/>
              </w:rPr>
            </w:pPr>
            <w:r w:rsidRPr="0019790A">
              <w:rPr>
                <w:rFonts w:cs="Arial"/>
                <w:color w:val="000000"/>
                <w:szCs w:val="22"/>
                <w:lang w:eastAsia="it-IT"/>
              </w:rPr>
              <w:t>Управління ЖКГ Жмеринської міської ради, Управління освіти Жмеринської міської ради</w:t>
            </w:r>
          </w:p>
        </w:tc>
      </w:tr>
      <w:tr w:rsidR="0033645A" w:rsidRPr="0019790A" w14:paraId="48EDCB0F" w14:textId="77777777" w:rsidTr="00722007">
        <w:trPr>
          <w:jc w:val="right"/>
        </w:trPr>
        <w:tc>
          <w:tcPr>
            <w:tcW w:w="3421" w:type="dxa"/>
            <w:shd w:val="clear" w:color="auto" w:fill="FFFFFF"/>
            <w:vAlign w:val="center"/>
          </w:tcPr>
          <w:p w14:paraId="7F0EAEA4" w14:textId="77777777" w:rsidR="0033645A" w:rsidRPr="0019790A" w:rsidRDefault="0033645A" w:rsidP="0019790A">
            <w:pPr>
              <w:rPr>
                <w:rFonts w:cs="Arial"/>
                <w:b/>
                <w:bCs/>
                <w:color w:val="000000"/>
                <w:szCs w:val="22"/>
              </w:rPr>
            </w:pPr>
            <w:r w:rsidRPr="0019790A">
              <w:rPr>
                <w:rFonts w:cs="Arial"/>
                <w:b/>
                <w:bCs/>
                <w:color w:val="000000"/>
                <w:szCs w:val="22"/>
              </w:rPr>
              <w:t>Інше:</w:t>
            </w:r>
          </w:p>
        </w:tc>
        <w:tc>
          <w:tcPr>
            <w:tcW w:w="6798" w:type="dxa"/>
            <w:gridSpan w:val="5"/>
            <w:vAlign w:val="center"/>
          </w:tcPr>
          <w:p w14:paraId="714EB672" w14:textId="77777777" w:rsidR="0033645A" w:rsidRPr="0019790A" w:rsidRDefault="0033645A" w:rsidP="0019790A">
            <w:pPr>
              <w:rPr>
                <w:rFonts w:cs="Arial"/>
                <w:color w:val="000000"/>
                <w:szCs w:val="22"/>
                <w:lang w:eastAsia="it-IT"/>
              </w:rPr>
            </w:pPr>
          </w:p>
          <w:p w14:paraId="73BA30C4" w14:textId="77777777" w:rsidR="0033645A" w:rsidRPr="0019790A" w:rsidRDefault="0033645A" w:rsidP="0019790A">
            <w:pPr>
              <w:rPr>
                <w:rFonts w:cs="Arial"/>
                <w:color w:val="000000"/>
                <w:szCs w:val="22"/>
                <w:lang w:eastAsia="it-IT"/>
              </w:rPr>
            </w:pPr>
          </w:p>
        </w:tc>
      </w:tr>
    </w:tbl>
    <w:p w14:paraId="6593E207" w14:textId="77777777" w:rsidR="0033645A" w:rsidRPr="0019790A" w:rsidRDefault="0033645A" w:rsidP="0019790A">
      <w:pPr>
        <w:rPr>
          <w:rFonts w:cs="Arial"/>
          <w:szCs w:val="22"/>
        </w:rPr>
      </w:pPr>
    </w:p>
    <w:p w14:paraId="75530FBD" w14:textId="77777777" w:rsidR="0033645A" w:rsidRPr="0019790A" w:rsidRDefault="0033645A" w:rsidP="0019790A">
      <w:pPr>
        <w:rPr>
          <w:rFonts w:cs="Arial"/>
          <w:szCs w:val="22"/>
        </w:rPr>
      </w:pPr>
    </w:p>
    <w:p w14:paraId="30C6F15A" w14:textId="665AB4CC" w:rsidR="00860EB4" w:rsidRPr="0019790A" w:rsidRDefault="00860EB4" w:rsidP="0019790A">
      <w:pPr>
        <w:jc w:val="center"/>
        <w:rPr>
          <w:rFonts w:cs="Arial"/>
          <w:b/>
          <w:color w:val="000000"/>
          <w:szCs w:val="22"/>
        </w:rPr>
      </w:pPr>
      <w:r w:rsidRPr="0019790A">
        <w:rPr>
          <w:rFonts w:cs="Arial"/>
          <w:b/>
          <w:color w:val="000000"/>
          <w:szCs w:val="22"/>
        </w:rPr>
        <w:t xml:space="preserve">Форма технічного завдання на </w:t>
      </w:r>
      <w:r w:rsidR="00314B9D">
        <w:rPr>
          <w:rFonts w:cs="Arial"/>
          <w:b/>
          <w:color w:val="000000"/>
          <w:szCs w:val="22"/>
        </w:rPr>
        <w:t>проєкт</w:t>
      </w:r>
      <w:r w:rsidRPr="0019790A">
        <w:rPr>
          <w:rFonts w:cs="Arial"/>
          <w:b/>
          <w:color w:val="000000"/>
          <w:szCs w:val="22"/>
        </w:rPr>
        <w:t xml:space="preserve"> місцевого розвитку </w:t>
      </w:r>
    </w:p>
    <w:p w14:paraId="5B25D645" w14:textId="77777777" w:rsidR="00860EB4" w:rsidRPr="0019790A" w:rsidRDefault="00860EB4" w:rsidP="0019790A">
      <w:pPr>
        <w:jc w:val="center"/>
        <w:rPr>
          <w:rFonts w:cs="Arial"/>
          <w:b/>
          <w:color w:val="000000"/>
          <w:szCs w:val="22"/>
        </w:rPr>
      </w:pPr>
      <w:r w:rsidRPr="0019790A">
        <w:rPr>
          <w:rFonts w:cs="Arial"/>
          <w:b/>
          <w:color w:val="000000"/>
          <w:szCs w:val="22"/>
        </w:rPr>
        <w:t>до Плану заходів з реалізації Стратегії</w:t>
      </w:r>
    </w:p>
    <w:p w14:paraId="559A0755" w14:textId="77777777" w:rsidR="00860EB4" w:rsidRPr="0019790A" w:rsidRDefault="00860EB4"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40"/>
        <w:gridCol w:w="14"/>
        <w:gridCol w:w="1417"/>
        <w:gridCol w:w="22"/>
        <w:gridCol w:w="1396"/>
        <w:gridCol w:w="19"/>
        <w:gridCol w:w="1256"/>
        <w:gridCol w:w="9"/>
        <w:gridCol w:w="1421"/>
      </w:tblGrid>
      <w:tr w:rsidR="00860EB4" w:rsidRPr="0019790A" w14:paraId="413A483C" w14:textId="77777777" w:rsidTr="00787C61">
        <w:trPr>
          <w:jc w:val="right"/>
        </w:trPr>
        <w:tc>
          <w:tcPr>
            <w:tcW w:w="3425" w:type="dxa"/>
          </w:tcPr>
          <w:p w14:paraId="111821CC" w14:textId="22A2B18C" w:rsidR="00860EB4" w:rsidRPr="0019790A" w:rsidRDefault="00860EB4" w:rsidP="0019790A">
            <w:pPr>
              <w:rPr>
                <w:rFonts w:cs="Arial"/>
                <w:b/>
                <w:szCs w:val="22"/>
              </w:rPr>
            </w:pPr>
            <w:r w:rsidRPr="0019790A">
              <w:rPr>
                <w:rFonts w:cs="Arial"/>
                <w:b/>
                <w:szCs w:val="22"/>
              </w:rPr>
              <w:t xml:space="preserve">Назва </w:t>
            </w:r>
            <w:r w:rsidR="00314B9D">
              <w:rPr>
                <w:rFonts w:cs="Arial"/>
                <w:b/>
                <w:szCs w:val="22"/>
              </w:rPr>
              <w:t>проєкту</w:t>
            </w:r>
            <w:r w:rsidRPr="0019790A">
              <w:rPr>
                <w:rFonts w:cs="Arial"/>
                <w:b/>
                <w:szCs w:val="22"/>
              </w:rPr>
              <w:t>:</w:t>
            </w:r>
          </w:p>
        </w:tc>
        <w:tc>
          <w:tcPr>
            <w:tcW w:w="6794" w:type="dxa"/>
            <w:gridSpan w:val="9"/>
          </w:tcPr>
          <w:p w14:paraId="65D54162" w14:textId="1E0080DB" w:rsidR="00860EB4" w:rsidRPr="0019790A" w:rsidRDefault="00860EB4" w:rsidP="00722007">
            <w:pPr>
              <w:jc w:val="both"/>
              <w:rPr>
                <w:rFonts w:cs="Arial"/>
                <w:b/>
                <w:szCs w:val="22"/>
              </w:rPr>
            </w:pPr>
            <w:r w:rsidRPr="0019790A">
              <w:rPr>
                <w:rFonts w:cs="Arial"/>
                <w:b/>
                <w:szCs w:val="22"/>
              </w:rPr>
              <w:t>Реконструкція даху з утепленням фасадів будівлі головного корпусу КНП «Жмеринська ЦРЛ» по вул.</w:t>
            </w:r>
            <w:r w:rsidR="00722007">
              <w:rPr>
                <w:rFonts w:cs="Arial"/>
                <w:b/>
                <w:szCs w:val="22"/>
              </w:rPr>
              <w:t xml:space="preserve"> </w:t>
            </w:r>
            <w:r w:rsidRPr="0019790A">
              <w:rPr>
                <w:rFonts w:cs="Arial"/>
                <w:b/>
                <w:szCs w:val="22"/>
              </w:rPr>
              <w:t>Київська, 288 в м.Жмеринка Вінницької області</w:t>
            </w:r>
          </w:p>
        </w:tc>
      </w:tr>
      <w:tr w:rsidR="00860EB4" w:rsidRPr="0019790A" w14:paraId="1240935F" w14:textId="77777777" w:rsidTr="00787C61">
        <w:trPr>
          <w:jc w:val="right"/>
        </w:trPr>
        <w:tc>
          <w:tcPr>
            <w:tcW w:w="3425" w:type="dxa"/>
          </w:tcPr>
          <w:p w14:paraId="73F1F465" w14:textId="77777777" w:rsidR="00860EB4" w:rsidRPr="0019790A" w:rsidRDefault="00860EB4"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2439B54A" w14:textId="77777777" w:rsidR="00860EB4" w:rsidRPr="0019790A" w:rsidRDefault="00860EB4"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9"/>
          </w:tcPr>
          <w:p w14:paraId="54EC8F41" w14:textId="77777777" w:rsidR="00860EB4" w:rsidRPr="0019790A" w:rsidRDefault="00860EB4" w:rsidP="00722007">
            <w:pPr>
              <w:jc w:val="both"/>
              <w:rPr>
                <w:rFonts w:cs="Arial"/>
                <w:szCs w:val="22"/>
                <w:lang w:eastAsia="it-IT"/>
              </w:rPr>
            </w:pPr>
            <w:r w:rsidRPr="0019790A">
              <w:rPr>
                <w:rFonts w:cs="Arial"/>
                <w:szCs w:val="22"/>
                <w:lang w:eastAsia="it-IT"/>
              </w:rPr>
              <w:t>Комунальне некомерційне підприємство «Жмеринська центральна районна лікарня» Жмеринської міської ради</w:t>
            </w:r>
          </w:p>
        </w:tc>
      </w:tr>
      <w:tr w:rsidR="00860EB4" w:rsidRPr="0019790A" w14:paraId="33AFD7FF" w14:textId="77777777" w:rsidTr="00787C61">
        <w:trPr>
          <w:jc w:val="right"/>
        </w:trPr>
        <w:tc>
          <w:tcPr>
            <w:tcW w:w="3425" w:type="dxa"/>
          </w:tcPr>
          <w:p w14:paraId="5262666C" w14:textId="77777777" w:rsidR="00860EB4" w:rsidRPr="0019790A" w:rsidRDefault="00860EB4" w:rsidP="0019790A">
            <w:pPr>
              <w:rPr>
                <w:rFonts w:cs="Arial"/>
                <w:b/>
                <w:bCs/>
                <w:szCs w:val="22"/>
              </w:rPr>
            </w:pPr>
            <w:r w:rsidRPr="0019790A">
              <w:rPr>
                <w:rFonts w:cs="Arial"/>
                <w:szCs w:val="22"/>
                <w:lang w:eastAsia="it-IT"/>
              </w:rPr>
              <w:t>Прізвище Ім’я По-батькові:</w:t>
            </w:r>
          </w:p>
        </w:tc>
        <w:tc>
          <w:tcPr>
            <w:tcW w:w="6794" w:type="dxa"/>
            <w:gridSpan w:val="9"/>
          </w:tcPr>
          <w:p w14:paraId="24001EF1" w14:textId="77777777" w:rsidR="00860EB4" w:rsidRPr="0019790A" w:rsidRDefault="00860EB4" w:rsidP="0019790A">
            <w:pPr>
              <w:rPr>
                <w:rFonts w:cs="Arial"/>
                <w:szCs w:val="22"/>
                <w:lang w:eastAsia="it-IT"/>
              </w:rPr>
            </w:pPr>
            <w:r w:rsidRPr="0019790A">
              <w:rPr>
                <w:rFonts w:cs="Arial"/>
                <w:szCs w:val="22"/>
                <w:lang w:eastAsia="it-IT"/>
              </w:rPr>
              <w:t>Боровський Ростислав Васильович</w:t>
            </w:r>
          </w:p>
        </w:tc>
      </w:tr>
      <w:tr w:rsidR="00860EB4" w:rsidRPr="0019790A" w14:paraId="79882007" w14:textId="77777777" w:rsidTr="00787C61">
        <w:trPr>
          <w:jc w:val="right"/>
        </w:trPr>
        <w:tc>
          <w:tcPr>
            <w:tcW w:w="3425" w:type="dxa"/>
          </w:tcPr>
          <w:p w14:paraId="7BFE204F" w14:textId="77777777" w:rsidR="00860EB4" w:rsidRPr="0019790A" w:rsidRDefault="00860EB4" w:rsidP="0019790A">
            <w:pPr>
              <w:rPr>
                <w:rFonts w:cs="Arial"/>
                <w:b/>
                <w:bCs/>
                <w:szCs w:val="22"/>
              </w:rPr>
            </w:pPr>
            <w:r w:rsidRPr="0019790A">
              <w:rPr>
                <w:rFonts w:cs="Arial"/>
                <w:szCs w:val="22"/>
                <w:lang w:eastAsia="it-IT"/>
              </w:rPr>
              <w:t>Телефон (мобільний):</w:t>
            </w:r>
          </w:p>
        </w:tc>
        <w:tc>
          <w:tcPr>
            <w:tcW w:w="6794" w:type="dxa"/>
            <w:gridSpan w:val="9"/>
          </w:tcPr>
          <w:p w14:paraId="5F2A6C43" w14:textId="77777777" w:rsidR="00860EB4" w:rsidRPr="0019790A" w:rsidRDefault="00860EB4" w:rsidP="0019790A">
            <w:pPr>
              <w:rPr>
                <w:rFonts w:cs="Arial"/>
                <w:szCs w:val="22"/>
                <w:lang w:eastAsia="it-IT"/>
              </w:rPr>
            </w:pPr>
            <w:r w:rsidRPr="0019790A">
              <w:rPr>
                <w:rFonts w:cs="Arial"/>
                <w:szCs w:val="22"/>
                <w:lang w:eastAsia="it-IT"/>
              </w:rPr>
              <w:t>0978652320</w:t>
            </w:r>
          </w:p>
        </w:tc>
      </w:tr>
      <w:tr w:rsidR="00860EB4" w:rsidRPr="0019790A" w14:paraId="364B2C2B" w14:textId="77777777" w:rsidTr="00787C61">
        <w:trPr>
          <w:jc w:val="right"/>
        </w:trPr>
        <w:tc>
          <w:tcPr>
            <w:tcW w:w="3425" w:type="dxa"/>
          </w:tcPr>
          <w:p w14:paraId="764196A3" w14:textId="77777777" w:rsidR="00860EB4" w:rsidRPr="0019790A" w:rsidRDefault="00860EB4" w:rsidP="0019790A">
            <w:pPr>
              <w:rPr>
                <w:rFonts w:cs="Arial"/>
                <w:b/>
                <w:bCs/>
                <w:szCs w:val="22"/>
              </w:rPr>
            </w:pPr>
            <w:r w:rsidRPr="0019790A">
              <w:rPr>
                <w:rFonts w:cs="Arial"/>
                <w:szCs w:val="22"/>
                <w:lang w:eastAsia="it-IT"/>
              </w:rPr>
              <w:t>Електронна адреса:</w:t>
            </w:r>
          </w:p>
        </w:tc>
        <w:tc>
          <w:tcPr>
            <w:tcW w:w="6794" w:type="dxa"/>
            <w:gridSpan w:val="9"/>
          </w:tcPr>
          <w:p w14:paraId="4D3CF336" w14:textId="77777777" w:rsidR="00860EB4" w:rsidRPr="0019790A" w:rsidRDefault="00860EB4" w:rsidP="0019790A">
            <w:pPr>
              <w:rPr>
                <w:rFonts w:cs="Arial"/>
                <w:szCs w:val="22"/>
                <w:lang w:eastAsia="it-IT"/>
              </w:rPr>
            </w:pPr>
            <w:r w:rsidRPr="0019790A">
              <w:rPr>
                <w:rFonts w:cs="Arial"/>
                <w:szCs w:val="22"/>
                <w:lang w:eastAsia="it-IT"/>
              </w:rPr>
              <w:t>zhcrl@ukr.net</w:t>
            </w:r>
          </w:p>
        </w:tc>
      </w:tr>
      <w:tr w:rsidR="00860EB4" w:rsidRPr="0019790A" w14:paraId="398D6093" w14:textId="77777777" w:rsidTr="00787C61">
        <w:trPr>
          <w:jc w:val="right"/>
        </w:trPr>
        <w:tc>
          <w:tcPr>
            <w:tcW w:w="3425" w:type="dxa"/>
            <w:vAlign w:val="center"/>
          </w:tcPr>
          <w:p w14:paraId="7CEA4762" w14:textId="10F0B588" w:rsidR="00860EB4" w:rsidRPr="0019790A" w:rsidRDefault="00860EB4" w:rsidP="0019790A">
            <w:pPr>
              <w:pStyle w:val="6"/>
              <w:spacing w:before="0" w:after="0"/>
              <w:rPr>
                <w:rFonts w:ascii="Arial" w:hAnsi="Arial" w:cs="Arial"/>
                <w:color w:val="000000"/>
                <w:lang w:val="uk-UA"/>
              </w:rPr>
            </w:pPr>
            <w:r w:rsidRPr="0019790A">
              <w:rPr>
                <w:rFonts w:ascii="Arial" w:hAnsi="Arial" w:cs="Arial"/>
                <w:color w:val="000000"/>
                <w:lang w:val="uk-UA"/>
              </w:rPr>
              <w:t>Номер і назва завдання з Стратегії</w:t>
            </w:r>
            <w:r w:rsidRPr="0019790A">
              <w:rPr>
                <w:rFonts w:ascii="Arial" w:hAnsi="Arial" w:cs="Arial"/>
                <w:lang w:val="uk-UA" w:eastAsia="it-IT"/>
              </w:rPr>
              <w:t xml:space="preserve"> </w:t>
            </w:r>
            <w:r w:rsidRPr="0019790A">
              <w:rPr>
                <w:rFonts w:ascii="Arial" w:hAnsi="Arial" w:cs="Arial"/>
                <w:color w:val="000000"/>
                <w:lang w:val="uk-UA"/>
              </w:rPr>
              <w:t xml:space="preserve">розвитку Жмеринської міської територіальної громади,  якому відповідає </w:t>
            </w:r>
            <w:r w:rsidR="00314B9D">
              <w:rPr>
                <w:rFonts w:ascii="Arial" w:hAnsi="Arial" w:cs="Arial"/>
                <w:color w:val="000000"/>
                <w:lang w:val="uk-UA"/>
              </w:rPr>
              <w:t>проєкт</w:t>
            </w:r>
            <w:r w:rsidRPr="0019790A">
              <w:rPr>
                <w:rFonts w:ascii="Arial" w:hAnsi="Arial" w:cs="Arial"/>
                <w:color w:val="000000"/>
                <w:lang w:val="uk-UA"/>
              </w:rPr>
              <w:t>:</w:t>
            </w:r>
          </w:p>
        </w:tc>
        <w:tc>
          <w:tcPr>
            <w:tcW w:w="6794" w:type="dxa"/>
            <w:gridSpan w:val="9"/>
          </w:tcPr>
          <w:p w14:paraId="114C5CB6" w14:textId="71329879" w:rsidR="00860EB4" w:rsidRPr="00722007" w:rsidRDefault="00860EB4" w:rsidP="0019790A">
            <w:pPr>
              <w:pBdr>
                <w:left w:val="single" w:sz="18" w:space="4" w:color="auto"/>
              </w:pBdr>
              <w:rPr>
                <w:rFonts w:cs="Arial"/>
                <w:iCs/>
                <w:szCs w:val="22"/>
                <w:lang w:eastAsia="it-IT"/>
              </w:rPr>
            </w:pPr>
            <w:r w:rsidRPr="0019790A">
              <w:rPr>
                <w:rFonts w:cs="Arial"/>
                <w:iCs/>
                <w:szCs w:val="22"/>
                <w:lang w:eastAsia="it-IT"/>
              </w:rPr>
              <w:t xml:space="preserve">В.2. Забезпечення підвищення енергоефективності в громаді </w:t>
            </w:r>
          </w:p>
        </w:tc>
      </w:tr>
      <w:tr w:rsidR="00860EB4" w:rsidRPr="0019790A" w14:paraId="6C9DFA22" w14:textId="77777777" w:rsidTr="00787C61">
        <w:trPr>
          <w:jc w:val="right"/>
        </w:trPr>
        <w:tc>
          <w:tcPr>
            <w:tcW w:w="3425" w:type="dxa"/>
            <w:vAlign w:val="center"/>
          </w:tcPr>
          <w:p w14:paraId="7FBEB28D" w14:textId="77777777" w:rsidR="00860EB4" w:rsidRPr="0019790A" w:rsidRDefault="00860EB4" w:rsidP="0019790A">
            <w:pPr>
              <w:rPr>
                <w:rFonts w:cs="Arial"/>
                <w:b/>
                <w:bCs/>
                <w:color w:val="000000"/>
                <w:szCs w:val="22"/>
              </w:rPr>
            </w:pPr>
            <w:r w:rsidRPr="0019790A">
              <w:rPr>
                <w:rFonts w:cs="Arial"/>
                <w:b/>
                <w:bCs/>
                <w:color w:val="000000"/>
                <w:szCs w:val="22"/>
              </w:rPr>
              <w:t>Мета проєкту</w:t>
            </w:r>
          </w:p>
        </w:tc>
        <w:tc>
          <w:tcPr>
            <w:tcW w:w="6794" w:type="dxa"/>
            <w:gridSpan w:val="9"/>
          </w:tcPr>
          <w:p w14:paraId="51D4D28B" w14:textId="77777777" w:rsidR="00860EB4" w:rsidRPr="0019790A" w:rsidRDefault="00860EB4" w:rsidP="0019790A">
            <w:pPr>
              <w:rPr>
                <w:rFonts w:cs="Arial"/>
                <w:szCs w:val="22"/>
                <w:lang w:eastAsia="it-IT"/>
              </w:rPr>
            </w:pPr>
            <w:r w:rsidRPr="0019790A">
              <w:rPr>
                <w:rFonts w:cs="Arial"/>
                <w:szCs w:val="22"/>
                <w:lang w:eastAsia="it-IT"/>
              </w:rPr>
              <w:t>Створити комфортні умови для перебування пацієнтів у лікувальному закладі</w:t>
            </w:r>
          </w:p>
        </w:tc>
      </w:tr>
      <w:tr w:rsidR="00860EB4" w:rsidRPr="0019790A" w14:paraId="1D97AB8C" w14:textId="77777777" w:rsidTr="00787C61">
        <w:trPr>
          <w:jc w:val="right"/>
        </w:trPr>
        <w:tc>
          <w:tcPr>
            <w:tcW w:w="3425" w:type="dxa"/>
            <w:vAlign w:val="center"/>
          </w:tcPr>
          <w:p w14:paraId="0391C9D0" w14:textId="5867EC4E" w:rsidR="00860EB4" w:rsidRPr="0019790A" w:rsidRDefault="00860EB4" w:rsidP="0019790A">
            <w:pPr>
              <w:rPr>
                <w:rFonts w:cs="Arial"/>
                <w:b/>
                <w:bCs/>
                <w:color w:val="000000"/>
                <w:szCs w:val="22"/>
              </w:rPr>
            </w:pPr>
            <w:r w:rsidRPr="0019790A">
              <w:rPr>
                <w:rFonts w:cs="Arial"/>
                <w:b/>
                <w:bCs/>
                <w:color w:val="000000"/>
                <w:szCs w:val="22"/>
              </w:rPr>
              <w:t xml:space="preserve">Цілі </w:t>
            </w:r>
            <w:r w:rsidR="00314B9D">
              <w:rPr>
                <w:rFonts w:cs="Arial"/>
                <w:b/>
                <w:bCs/>
                <w:color w:val="000000"/>
                <w:szCs w:val="22"/>
              </w:rPr>
              <w:t>проєкту</w:t>
            </w:r>
            <w:r w:rsidRPr="0019790A">
              <w:rPr>
                <w:rFonts w:cs="Arial"/>
                <w:b/>
                <w:bCs/>
                <w:color w:val="000000"/>
                <w:szCs w:val="22"/>
              </w:rPr>
              <w:t>:</w:t>
            </w:r>
          </w:p>
        </w:tc>
        <w:tc>
          <w:tcPr>
            <w:tcW w:w="6794" w:type="dxa"/>
            <w:gridSpan w:val="9"/>
          </w:tcPr>
          <w:p w14:paraId="0AF7F3ED" w14:textId="77777777" w:rsidR="00860EB4" w:rsidRPr="0019790A" w:rsidRDefault="00860EB4" w:rsidP="0019790A">
            <w:pPr>
              <w:rPr>
                <w:rFonts w:cs="Arial"/>
                <w:szCs w:val="22"/>
                <w:lang w:eastAsia="it-IT"/>
              </w:rPr>
            </w:pPr>
            <w:r w:rsidRPr="0019790A">
              <w:rPr>
                <w:rFonts w:cs="Arial"/>
                <w:szCs w:val="22"/>
                <w:lang w:eastAsia="it-IT"/>
              </w:rPr>
              <w:t>Економія паливних ресурсів, застосування нових енергозберігаючих технологій, створення сприятливих умов для перебування пацієнтів в лікувальному закладі та роботи медичного персоналу</w:t>
            </w:r>
          </w:p>
          <w:p w14:paraId="655589E3" w14:textId="77777777" w:rsidR="00860EB4" w:rsidRPr="0019790A" w:rsidRDefault="00860EB4" w:rsidP="0019790A">
            <w:pPr>
              <w:rPr>
                <w:rFonts w:cs="Arial"/>
                <w:szCs w:val="22"/>
                <w:lang w:eastAsia="it-IT"/>
              </w:rPr>
            </w:pPr>
          </w:p>
        </w:tc>
      </w:tr>
      <w:tr w:rsidR="00860EB4" w:rsidRPr="0019790A" w14:paraId="0DCCD26E" w14:textId="77777777" w:rsidTr="00787C61">
        <w:trPr>
          <w:jc w:val="right"/>
        </w:trPr>
        <w:tc>
          <w:tcPr>
            <w:tcW w:w="3425" w:type="dxa"/>
            <w:vAlign w:val="center"/>
          </w:tcPr>
          <w:p w14:paraId="5E9CEAC8" w14:textId="6E793D5F" w:rsidR="00860EB4" w:rsidRPr="0019790A" w:rsidRDefault="00860EB4" w:rsidP="0019790A">
            <w:pPr>
              <w:autoSpaceDE w:val="0"/>
              <w:autoSpaceDN w:val="0"/>
              <w:adjustRightInd w:val="0"/>
              <w:rPr>
                <w:rFonts w:cs="Arial"/>
                <w:b/>
                <w:color w:val="000000"/>
                <w:szCs w:val="22"/>
              </w:rPr>
            </w:pPr>
            <w:r w:rsidRPr="0019790A">
              <w:rPr>
                <w:rFonts w:cs="Arial"/>
                <w:b/>
                <w:color w:val="000000"/>
                <w:szCs w:val="22"/>
              </w:rPr>
              <w:t xml:space="preserve">Територія на яку </w:t>
            </w:r>
            <w:r w:rsidR="00314B9D">
              <w:rPr>
                <w:rFonts w:cs="Arial"/>
                <w:b/>
                <w:color w:val="000000"/>
                <w:szCs w:val="22"/>
              </w:rPr>
              <w:t>проєкт</w:t>
            </w:r>
            <w:r w:rsidRPr="0019790A">
              <w:rPr>
                <w:rFonts w:cs="Arial"/>
                <w:b/>
                <w:color w:val="000000"/>
                <w:szCs w:val="22"/>
              </w:rPr>
              <w:t xml:space="preserve"> матиме вплив:</w:t>
            </w:r>
          </w:p>
        </w:tc>
        <w:tc>
          <w:tcPr>
            <w:tcW w:w="6794" w:type="dxa"/>
            <w:gridSpan w:val="9"/>
          </w:tcPr>
          <w:p w14:paraId="44E7DB17" w14:textId="081D289E" w:rsidR="00860EB4" w:rsidRPr="0019790A" w:rsidRDefault="00860EB4" w:rsidP="0019790A">
            <w:pPr>
              <w:rPr>
                <w:rFonts w:cs="Arial"/>
                <w:szCs w:val="22"/>
                <w:lang w:eastAsia="it-IT"/>
              </w:rPr>
            </w:pPr>
            <w:r w:rsidRPr="0019790A">
              <w:rPr>
                <w:rFonts w:cs="Arial"/>
                <w:szCs w:val="22"/>
                <w:lang w:eastAsia="it-IT"/>
              </w:rPr>
              <w:t xml:space="preserve">Територія </w:t>
            </w:r>
            <w:r w:rsidR="00722007" w:rsidRPr="0019790A">
              <w:rPr>
                <w:rFonts w:cs="Arial"/>
                <w:szCs w:val="22"/>
                <w:lang w:eastAsia="it-IT"/>
              </w:rPr>
              <w:t>Жмеринської</w:t>
            </w:r>
            <w:r w:rsidRPr="0019790A">
              <w:rPr>
                <w:rFonts w:cs="Arial"/>
                <w:szCs w:val="22"/>
                <w:lang w:eastAsia="it-IT"/>
              </w:rPr>
              <w:t xml:space="preserve"> </w:t>
            </w:r>
            <w:r w:rsidR="00722007" w:rsidRPr="0019790A">
              <w:rPr>
                <w:rFonts w:cs="Arial"/>
                <w:szCs w:val="22"/>
                <w:lang w:eastAsia="it-IT"/>
              </w:rPr>
              <w:t>міської</w:t>
            </w:r>
            <w:r w:rsidRPr="0019790A">
              <w:rPr>
                <w:rFonts w:cs="Arial"/>
                <w:szCs w:val="22"/>
                <w:lang w:eastAsia="it-IT"/>
              </w:rPr>
              <w:t xml:space="preserve"> </w:t>
            </w:r>
            <w:r w:rsidR="00722007" w:rsidRPr="0019790A">
              <w:rPr>
                <w:rFonts w:cs="Arial"/>
                <w:szCs w:val="22"/>
                <w:lang w:eastAsia="it-IT"/>
              </w:rPr>
              <w:t>територіальної</w:t>
            </w:r>
            <w:r w:rsidRPr="0019790A">
              <w:rPr>
                <w:rFonts w:cs="Arial"/>
                <w:szCs w:val="22"/>
                <w:lang w:eastAsia="it-IT"/>
              </w:rPr>
              <w:t xml:space="preserve"> громади площею 530,5 кв.км.</w:t>
            </w:r>
          </w:p>
        </w:tc>
      </w:tr>
      <w:tr w:rsidR="00860EB4" w:rsidRPr="0019790A" w14:paraId="26C1EBDB" w14:textId="77777777" w:rsidTr="00787C61">
        <w:trPr>
          <w:jc w:val="right"/>
        </w:trPr>
        <w:tc>
          <w:tcPr>
            <w:tcW w:w="3425" w:type="dxa"/>
            <w:vAlign w:val="center"/>
          </w:tcPr>
          <w:p w14:paraId="05B18DF9" w14:textId="77777777" w:rsidR="00860EB4" w:rsidRPr="0019790A" w:rsidRDefault="00860EB4" w:rsidP="0019790A">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4" w:type="dxa"/>
            <w:gridSpan w:val="9"/>
          </w:tcPr>
          <w:p w14:paraId="07A02BEE" w14:textId="77777777" w:rsidR="00860EB4" w:rsidRPr="0019790A" w:rsidRDefault="00860EB4" w:rsidP="0019790A">
            <w:pPr>
              <w:rPr>
                <w:rFonts w:cs="Arial"/>
                <w:szCs w:val="22"/>
                <w:lang w:eastAsia="it-IT"/>
              </w:rPr>
            </w:pPr>
            <w:r w:rsidRPr="0019790A">
              <w:rPr>
                <w:rFonts w:cs="Arial"/>
                <w:szCs w:val="22"/>
                <w:lang w:eastAsia="it-IT"/>
              </w:rPr>
              <w:t>170 тис.осіб дорослого та дитячого населення</w:t>
            </w:r>
          </w:p>
        </w:tc>
      </w:tr>
      <w:tr w:rsidR="00860EB4" w:rsidRPr="0019790A" w14:paraId="0306326B" w14:textId="77777777" w:rsidTr="00787C61">
        <w:trPr>
          <w:jc w:val="right"/>
        </w:trPr>
        <w:tc>
          <w:tcPr>
            <w:tcW w:w="3425" w:type="dxa"/>
            <w:shd w:val="clear" w:color="auto" w:fill="FFFFFF"/>
            <w:vAlign w:val="center"/>
          </w:tcPr>
          <w:p w14:paraId="7881F258" w14:textId="4D230B78" w:rsidR="00860EB4" w:rsidRPr="0019790A" w:rsidRDefault="00860EB4" w:rsidP="0019790A">
            <w:pPr>
              <w:rPr>
                <w:rFonts w:cs="Arial"/>
                <w:b/>
                <w:bCs/>
                <w:color w:val="000000"/>
                <w:szCs w:val="22"/>
              </w:rPr>
            </w:pPr>
            <w:r w:rsidRPr="0019790A">
              <w:rPr>
                <w:rFonts w:cs="Arial"/>
                <w:b/>
                <w:bCs/>
                <w:color w:val="000000"/>
                <w:szCs w:val="22"/>
              </w:rPr>
              <w:t xml:space="preserve">Стислий опис </w:t>
            </w:r>
            <w:r w:rsidR="00314B9D">
              <w:rPr>
                <w:rFonts w:cs="Arial"/>
                <w:b/>
                <w:bCs/>
                <w:color w:val="000000"/>
                <w:szCs w:val="22"/>
              </w:rPr>
              <w:t>проєкту</w:t>
            </w:r>
            <w:r w:rsidRPr="0019790A">
              <w:rPr>
                <w:rFonts w:cs="Arial"/>
                <w:b/>
                <w:bCs/>
                <w:color w:val="000000"/>
                <w:szCs w:val="22"/>
              </w:rPr>
              <w:t>:</w:t>
            </w:r>
          </w:p>
        </w:tc>
        <w:tc>
          <w:tcPr>
            <w:tcW w:w="6794" w:type="dxa"/>
            <w:gridSpan w:val="9"/>
          </w:tcPr>
          <w:p w14:paraId="2C3B063E" w14:textId="4076F781" w:rsidR="00860EB4" w:rsidRPr="0019790A" w:rsidRDefault="00314B9D" w:rsidP="00722007">
            <w:pPr>
              <w:jc w:val="both"/>
              <w:rPr>
                <w:rFonts w:cs="Arial"/>
                <w:szCs w:val="22"/>
                <w:lang w:eastAsia="it-IT"/>
              </w:rPr>
            </w:pPr>
            <w:r>
              <w:rPr>
                <w:rFonts w:cs="Arial"/>
                <w:szCs w:val="22"/>
                <w:lang w:eastAsia="it-IT"/>
              </w:rPr>
              <w:t>Проєкт</w:t>
            </w:r>
            <w:r w:rsidR="00722007">
              <w:rPr>
                <w:rFonts w:cs="Arial"/>
                <w:szCs w:val="22"/>
                <w:lang w:eastAsia="it-IT"/>
              </w:rPr>
              <w:t xml:space="preserve"> направлено на проведе</w:t>
            </w:r>
            <w:r w:rsidR="00860EB4" w:rsidRPr="0019790A">
              <w:rPr>
                <w:rFonts w:cs="Arial"/>
                <w:szCs w:val="22"/>
                <w:lang w:eastAsia="it-IT"/>
              </w:rPr>
              <w:t>ння енергоефективних заходів для збереження теплової енергії та економії коштів на оплату за енергоносії</w:t>
            </w:r>
          </w:p>
          <w:p w14:paraId="6F6B3E21" w14:textId="77777777" w:rsidR="00860EB4" w:rsidRPr="0019790A" w:rsidRDefault="00860EB4" w:rsidP="0019790A">
            <w:pPr>
              <w:rPr>
                <w:rFonts w:cs="Arial"/>
                <w:szCs w:val="22"/>
                <w:lang w:eastAsia="it-IT"/>
              </w:rPr>
            </w:pPr>
          </w:p>
          <w:p w14:paraId="003B6E61" w14:textId="77777777" w:rsidR="00860EB4" w:rsidRPr="0019790A" w:rsidRDefault="00860EB4" w:rsidP="00722007">
            <w:pPr>
              <w:jc w:val="both"/>
              <w:rPr>
                <w:rFonts w:cs="Arial"/>
                <w:szCs w:val="22"/>
                <w:lang w:eastAsia="it-IT"/>
              </w:rPr>
            </w:pPr>
          </w:p>
        </w:tc>
      </w:tr>
      <w:tr w:rsidR="00860EB4" w:rsidRPr="0019790A" w14:paraId="549D3DF4" w14:textId="77777777" w:rsidTr="00787C61">
        <w:trPr>
          <w:jc w:val="right"/>
        </w:trPr>
        <w:tc>
          <w:tcPr>
            <w:tcW w:w="3425" w:type="dxa"/>
            <w:shd w:val="clear" w:color="auto" w:fill="FFFFFF"/>
            <w:vAlign w:val="center"/>
          </w:tcPr>
          <w:p w14:paraId="1FC8E8AC" w14:textId="77777777" w:rsidR="00860EB4" w:rsidRPr="0019790A" w:rsidRDefault="00860EB4" w:rsidP="0019790A">
            <w:pPr>
              <w:rPr>
                <w:rFonts w:cs="Arial"/>
                <w:b/>
                <w:bCs/>
                <w:color w:val="000000"/>
                <w:szCs w:val="22"/>
              </w:rPr>
            </w:pPr>
            <w:r w:rsidRPr="0019790A">
              <w:rPr>
                <w:rFonts w:cs="Arial"/>
                <w:b/>
                <w:bCs/>
                <w:color w:val="000000"/>
                <w:szCs w:val="22"/>
              </w:rPr>
              <w:t>Основні заходи проєкту</w:t>
            </w:r>
          </w:p>
        </w:tc>
        <w:tc>
          <w:tcPr>
            <w:tcW w:w="6794" w:type="dxa"/>
            <w:gridSpan w:val="9"/>
            <w:shd w:val="clear" w:color="auto" w:fill="FFFFFF"/>
          </w:tcPr>
          <w:p w14:paraId="7992E05E" w14:textId="77777777" w:rsidR="00860EB4" w:rsidRPr="0019790A" w:rsidRDefault="00860EB4" w:rsidP="0019790A">
            <w:pPr>
              <w:rPr>
                <w:rFonts w:cs="Arial"/>
                <w:szCs w:val="22"/>
                <w:lang w:eastAsia="it-IT"/>
              </w:rPr>
            </w:pPr>
            <w:r w:rsidRPr="0019790A">
              <w:rPr>
                <w:rFonts w:cs="Arial"/>
                <w:szCs w:val="22"/>
                <w:lang w:eastAsia="it-IT"/>
              </w:rPr>
              <w:t>створення робочої групи проєкту;</w:t>
            </w:r>
          </w:p>
          <w:p w14:paraId="12B6648F" w14:textId="77777777" w:rsidR="00860EB4" w:rsidRPr="0019790A" w:rsidRDefault="00860EB4" w:rsidP="0019790A">
            <w:pPr>
              <w:rPr>
                <w:rFonts w:cs="Arial"/>
                <w:szCs w:val="22"/>
                <w:lang w:eastAsia="it-IT"/>
              </w:rPr>
            </w:pPr>
            <w:r w:rsidRPr="0019790A">
              <w:rPr>
                <w:rFonts w:cs="Arial"/>
                <w:szCs w:val="22"/>
                <w:lang w:eastAsia="it-IT"/>
              </w:rPr>
              <w:t>-утеплення фасадів будівлі головного корпусу з використанням енергозберігаючих технологій;</w:t>
            </w:r>
          </w:p>
          <w:p w14:paraId="7A3C7B1E" w14:textId="77777777" w:rsidR="00860EB4" w:rsidRPr="0019790A" w:rsidRDefault="00860EB4" w:rsidP="0019790A">
            <w:pPr>
              <w:rPr>
                <w:rFonts w:cs="Arial"/>
                <w:szCs w:val="22"/>
                <w:lang w:eastAsia="it-IT"/>
              </w:rPr>
            </w:pPr>
            <w:r w:rsidRPr="0019790A">
              <w:rPr>
                <w:rFonts w:cs="Arial"/>
                <w:szCs w:val="22"/>
                <w:lang w:eastAsia="it-IT"/>
              </w:rPr>
              <w:t>- реконструкція даху;</w:t>
            </w:r>
          </w:p>
          <w:p w14:paraId="6C38A84B" w14:textId="12E584BD" w:rsidR="00860EB4" w:rsidRPr="0019790A" w:rsidRDefault="00860EB4" w:rsidP="00722007">
            <w:pPr>
              <w:rPr>
                <w:rFonts w:cs="Arial"/>
                <w:szCs w:val="22"/>
                <w:lang w:eastAsia="it-IT"/>
              </w:rPr>
            </w:pPr>
            <w:r w:rsidRPr="0019790A">
              <w:rPr>
                <w:rFonts w:cs="Arial"/>
                <w:szCs w:val="22"/>
                <w:lang w:eastAsia="it-IT"/>
              </w:rPr>
              <w:t>-моніторинг виконання проєкту та оцінка наслідків реалізації проєкту</w:t>
            </w:r>
          </w:p>
        </w:tc>
      </w:tr>
      <w:tr w:rsidR="00860EB4" w:rsidRPr="0019790A" w14:paraId="180375E4" w14:textId="77777777" w:rsidTr="00787C61">
        <w:trPr>
          <w:jc w:val="right"/>
        </w:trPr>
        <w:tc>
          <w:tcPr>
            <w:tcW w:w="3425" w:type="dxa"/>
            <w:shd w:val="clear" w:color="auto" w:fill="FFFFFF"/>
            <w:vAlign w:val="center"/>
          </w:tcPr>
          <w:p w14:paraId="2F5EAB75" w14:textId="77777777" w:rsidR="00860EB4" w:rsidRPr="0019790A" w:rsidRDefault="00860EB4"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794" w:type="dxa"/>
            <w:gridSpan w:val="9"/>
          </w:tcPr>
          <w:p w14:paraId="5DE47DF8" w14:textId="77777777" w:rsidR="00860EB4" w:rsidRPr="0019790A" w:rsidRDefault="00860EB4" w:rsidP="0019790A">
            <w:pPr>
              <w:rPr>
                <w:rFonts w:cs="Arial"/>
                <w:szCs w:val="22"/>
                <w:lang w:eastAsia="it-IT"/>
              </w:rPr>
            </w:pPr>
            <w:r w:rsidRPr="0019790A">
              <w:rPr>
                <w:rFonts w:cs="Arial"/>
                <w:szCs w:val="22"/>
                <w:lang w:eastAsia="it-IT"/>
              </w:rPr>
              <w:t xml:space="preserve"> Економія енергоносіїв у розмірі 10 %, збереження тепла в приміщенні та як наслідок економія бюджетних коштів, створення комфортних умов для лікування населення</w:t>
            </w:r>
          </w:p>
          <w:p w14:paraId="21C18476" w14:textId="77777777" w:rsidR="00860EB4" w:rsidRPr="0019790A" w:rsidRDefault="00860EB4" w:rsidP="0019790A">
            <w:pPr>
              <w:rPr>
                <w:rFonts w:cs="Arial"/>
                <w:szCs w:val="22"/>
                <w:lang w:eastAsia="it-IT"/>
              </w:rPr>
            </w:pPr>
          </w:p>
        </w:tc>
      </w:tr>
      <w:tr w:rsidR="00860EB4" w:rsidRPr="0019790A" w14:paraId="20BA90B0" w14:textId="77777777" w:rsidTr="00787C61">
        <w:trPr>
          <w:jc w:val="right"/>
        </w:trPr>
        <w:tc>
          <w:tcPr>
            <w:tcW w:w="3425" w:type="dxa"/>
            <w:shd w:val="clear" w:color="auto" w:fill="FFFFFF"/>
            <w:vAlign w:val="center"/>
          </w:tcPr>
          <w:p w14:paraId="57CE6931" w14:textId="4411D08C" w:rsidR="00860EB4" w:rsidRPr="0019790A" w:rsidRDefault="00860EB4" w:rsidP="0019790A">
            <w:pPr>
              <w:rPr>
                <w:rFonts w:cs="Arial"/>
                <w:b/>
                <w:color w:val="000000"/>
                <w:szCs w:val="22"/>
              </w:rPr>
            </w:pPr>
            <w:r w:rsidRPr="0019790A">
              <w:rPr>
                <w:rFonts w:cs="Arial"/>
                <w:b/>
                <w:color w:val="000000"/>
                <w:szCs w:val="22"/>
              </w:rPr>
              <w:t xml:space="preserve">ріод здійснення: </w:t>
            </w:r>
          </w:p>
        </w:tc>
        <w:tc>
          <w:tcPr>
            <w:tcW w:w="6794" w:type="dxa"/>
            <w:gridSpan w:val="9"/>
            <w:vAlign w:val="center"/>
          </w:tcPr>
          <w:p w14:paraId="24A673F0" w14:textId="77777777" w:rsidR="00860EB4" w:rsidRPr="0019790A" w:rsidRDefault="00860EB4" w:rsidP="0019790A">
            <w:pPr>
              <w:rPr>
                <w:rFonts w:cs="Arial"/>
                <w:color w:val="000000"/>
                <w:szCs w:val="22"/>
                <w:lang w:eastAsia="it-IT"/>
              </w:rPr>
            </w:pPr>
            <w:r w:rsidRPr="0019790A">
              <w:rPr>
                <w:rFonts w:cs="Arial"/>
                <w:b/>
                <w:color w:val="000000"/>
                <w:szCs w:val="22"/>
              </w:rPr>
              <w:t>2025 – 2028 роки:</w:t>
            </w:r>
          </w:p>
        </w:tc>
      </w:tr>
      <w:tr w:rsidR="00860EB4" w:rsidRPr="0019790A" w14:paraId="04A89C85" w14:textId="77777777" w:rsidTr="00787C61">
        <w:trPr>
          <w:jc w:val="right"/>
        </w:trPr>
        <w:tc>
          <w:tcPr>
            <w:tcW w:w="3425" w:type="dxa"/>
            <w:vMerge w:val="restart"/>
            <w:shd w:val="clear" w:color="auto" w:fill="FFFFFF"/>
            <w:vAlign w:val="center"/>
          </w:tcPr>
          <w:p w14:paraId="304D62E4" w14:textId="2E7D2D65" w:rsidR="00860EB4" w:rsidRPr="0019790A" w:rsidRDefault="00860EB4" w:rsidP="0019790A">
            <w:pPr>
              <w:rPr>
                <w:rFonts w:cs="Arial"/>
                <w:b/>
                <w:bCs/>
                <w:color w:val="000000"/>
                <w:szCs w:val="22"/>
              </w:rPr>
            </w:pPr>
            <w:r w:rsidRPr="0019790A">
              <w:rPr>
                <w:rFonts w:cs="Arial"/>
                <w:b/>
                <w:bCs/>
                <w:color w:val="000000"/>
                <w:szCs w:val="22"/>
              </w:rPr>
              <w:t xml:space="preserve">Орієнтовна вартість </w:t>
            </w:r>
            <w:r w:rsidR="00314B9D">
              <w:rPr>
                <w:rFonts w:cs="Arial"/>
                <w:b/>
                <w:bCs/>
                <w:color w:val="000000"/>
                <w:szCs w:val="22"/>
              </w:rPr>
              <w:t>проєкту</w:t>
            </w:r>
            <w:r w:rsidRPr="0019790A">
              <w:rPr>
                <w:rFonts w:cs="Arial"/>
                <w:b/>
                <w:bCs/>
                <w:color w:val="000000"/>
                <w:szCs w:val="22"/>
              </w:rPr>
              <w:t>, тис. грн., тому числі:</w:t>
            </w:r>
          </w:p>
        </w:tc>
        <w:tc>
          <w:tcPr>
            <w:tcW w:w="1254" w:type="dxa"/>
            <w:gridSpan w:val="2"/>
            <w:shd w:val="clear" w:color="auto" w:fill="E6E6E6"/>
            <w:vAlign w:val="center"/>
          </w:tcPr>
          <w:p w14:paraId="23D78C16" w14:textId="77777777" w:rsidR="00860EB4" w:rsidRPr="0019790A" w:rsidRDefault="00860EB4" w:rsidP="0019790A">
            <w:pPr>
              <w:jc w:val="center"/>
              <w:rPr>
                <w:rFonts w:cs="Arial"/>
                <w:b/>
                <w:color w:val="000000"/>
                <w:szCs w:val="22"/>
                <w:lang w:eastAsia="it-IT"/>
              </w:rPr>
            </w:pPr>
            <w:r w:rsidRPr="0019790A">
              <w:rPr>
                <w:rFonts w:cs="Arial"/>
                <w:b/>
                <w:color w:val="000000"/>
                <w:szCs w:val="22"/>
                <w:lang w:eastAsia="it-IT"/>
              </w:rPr>
              <w:t>2025</w:t>
            </w:r>
          </w:p>
        </w:tc>
        <w:tc>
          <w:tcPr>
            <w:tcW w:w="1417" w:type="dxa"/>
            <w:shd w:val="clear" w:color="auto" w:fill="E6E6E6"/>
            <w:vAlign w:val="center"/>
          </w:tcPr>
          <w:p w14:paraId="1F25F7DE" w14:textId="77777777" w:rsidR="00860EB4" w:rsidRPr="0019790A" w:rsidRDefault="00860EB4" w:rsidP="0019790A">
            <w:pPr>
              <w:jc w:val="center"/>
              <w:rPr>
                <w:rFonts w:cs="Arial"/>
                <w:b/>
                <w:color w:val="000000"/>
                <w:szCs w:val="22"/>
                <w:lang w:eastAsia="it-IT"/>
              </w:rPr>
            </w:pPr>
            <w:r w:rsidRPr="0019790A">
              <w:rPr>
                <w:rFonts w:cs="Arial"/>
                <w:b/>
                <w:color w:val="000000"/>
                <w:szCs w:val="22"/>
                <w:lang w:eastAsia="it-IT"/>
              </w:rPr>
              <w:t>2026</w:t>
            </w:r>
          </w:p>
        </w:tc>
        <w:tc>
          <w:tcPr>
            <w:tcW w:w="1418" w:type="dxa"/>
            <w:gridSpan w:val="2"/>
            <w:tcBorders>
              <w:bottom w:val="single" w:sz="4" w:space="0" w:color="auto"/>
            </w:tcBorders>
            <w:shd w:val="clear" w:color="auto" w:fill="E6E6E6"/>
            <w:vAlign w:val="center"/>
          </w:tcPr>
          <w:p w14:paraId="0EA2CB41" w14:textId="77777777" w:rsidR="00860EB4" w:rsidRPr="0019790A" w:rsidRDefault="00860EB4" w:rsidP="0019790A">
            <w:pPr>
              <w:jc w:val="center"/>
              <w:rPr>
                <w:rFonts w:cs="Arial"/>
                <w:b/>
                <w:color w:val="000000"/>
                <w:szCs w:val="22"/>
                <w:lang w:eastAsia="it-IT"/>
              </w:rPr>
            </w:pPr>
            <w:r w:rsidRPr="0019790A">
              <w:rPr>
                <w:rFonts w:cs="Arial"/>
                <w:b/>
                <w:color w:val="000000"/>
                <w:szCs w:val="22"/>
                <w:lang w:eastAsia="it-IT"/>
              </w:rPr>
              <w:t>2027</w:t>
            </w:r>
          </w:p>
        </w:tc>
        <w:tc>
          <w:tcPr>
            <w:tcW w:w="1275" w:type="dxa"/>
            <w:gridSpan w:val="2"/>
            <w:shd w:val="clear" w:color="auto" w:fill="E6E6E6"/>
            <w:vAlign w:val="center"/>
          </w:tcPr>
          <w:p w14:paraId="165C3AA8" w14:textId="77777777" w:rsidR="00860EB4" w:rsidRPr="0019790A" w:rsidRDefault="00860EB4" w:rsidP="0019790A">
            <w:pPr>
              <w:jc w:val="center"/>
              <w:rPr>
                <w:rFonts w:cs="Arial"/>
                <w:b/>
                <w:color w:val="000000"/>
                <w:szCs w:val="22"/>
                <w:lang w:eastAsia="it-IT"/>
              </w:rPr>
            </w:pPr>
            <w:r w:rsidRPr="0019790A">
              <w:rPr>
                <w:rFonts w:cs="Arial"/>
                <w:b/>
                <w:color w:val="000000"/>
                <w:szCs w:val="22"/>
                <w:lang w:eastAsia="it-IT"/>
              </w:rPr>
              <w:t>2028</w:t>
            </w:r>
          </w:p>
        </w:tc>
        <w:tc>
          <w:tcPr>
            <w:tcW w:w="1430" w:type="dxa"/>
            <w:gridSpan w:val="2"/>
            <w:shd w:val="clear" w:color="auto" w:fill="E6E6E6"/>
            <w:vAlign w:val="center"/>
          </w:tcPr>
          <w:p w14:paraId="6B4301CA" w14:textId="77777777" w:rsidR="00860EB4" w:rsidRPr="0019790A" w:rsidRDefault="00860EB4" w:rsidP="0019790A">
            <w:pPr>
              <w:jc w:val="center"/>
              <w:rPr>
                <w:rFonts w:cs="Arial"/>
                <w:b/>
                <w:color w:val="000000"/>
                <w:szCs w:val="22"/>
                <w:lang w:eastAsia="it-IT"/>
              </w:rPr>
            </w:pPr>
            <w:r w:rsidRPr="0019790A">
              <w:rPr>
                <w:rFonts w:cs="Arial"/>
                <w:b/>
                <w:color w:val="000000"/>
                <w:szCs w:val="22"/>
                <w:lang w:eastAsia="it-IT"/>
              </w:rPr>
              <w:t>Разом</w:t>
            </w:r>
          </w:p>
        </w:tc>
      </w:tr>
      <w:tr w:rsidR="00860EB4" w:rsidRPr="0019790A" w14:paraId="4D25973F" w14:textId="77777777" w:rsidTr="00787C61">
        <w:trPr>
          <w:jc w:val="right"/>
        </w:trPr>
        <w:tc>
          <w:tcPr>
            <w:tcW w:w="3425" w:type="dxa"/>
            <w:vMerge/>
            <w:shd w:val="clear" w:color="auto" w:fill="FFFFFF"/>
            <w:vAlign w:val="center"/>
          </w:tcPr>
          <w:p w14:paraId="538950CA" w14:textId="77777777" w:rsidR="00860EB4" w:rsidRPr="0019790A" w:rsidRDefault="00860EB4" w:rsidP="0019790A">
            <w:pPr>
              <w:rPr>
                <w:rFonts w:cs="Arial"/>
                <w:b/>
                <w:bCs/>
                <w:color w:val="000000"/>
                <w:szCs w:val="22"/>
              </w:rPr>
            </w:pPr>
          </w:p>
        </w:tc>
        <w:tc>
          <w:tcPr>
            <w:tcW w:w="1254" w:type="dxa"/>
            <w:gridSpan w:val="2"/>
            <w:vAlign w:val="center"/>
          </w:tcPr>
          <w:p w14:paraId="55ED313E" w14:textId="77777777" w:rsidR="00860EB4" w:rsidRPr="0019790A" w:rsidRDefault="00860EB4" w:rsidP="0019790A">
            <w:pPr>
              <w:jc w:val="center"/>
              <w:rPr>
                <w:rFonts w:cs="Arial"/>
                <w:b/>
                <w:color w:val="000000"/>
                <w:szCs w:val="22"/>
                <w:lang w:eastAsia="it-IT"/>
              </w:rPr>
            </w:pPr>
          </w:p>
        </w:tc>
        <w:tc>
          <w:tcPr>
            <w:tcW w:w="1417" w:type="dxa"/>
            <w:shd w:val="clear" w:color="auto" w:fill="FFFFFF"/>
            <w:vAlign w:val="center"/>
          </w:tcPr>
          <w:p w14:paraId="07870BE4" w14:textId="77777777" w:rsidR="00860EB4" w:rsidRPr="0019790A" w:rsidRDefault="00860EB4" w:rsidP="0019790A">
            <w:pPr>
              <w:jc w:val="center"/>
              <w:rPr>
                <w:rFonts w:cs="Arial"/>
                <w:b/>
                <w:color w:val="000000"/>
                <w:szCs w:val="22"/>
                <w:lang w:eastAsia="it-IT"/>
              </w:rPr>
            </w:pPr>
            <w:r w:rsidRPr="0019790A">
              <w:rPr>
                <w:rFonts w:cs="Arial"/>
                <w:b/>
                <w:color w:val="000000"/>
                <w:szCs w:val="22"/>
                <w:lang w:eastAsia="it-IT"/>
              </w:rPr>
              <w:t>8000,000</w:t>
            </w:r>
          </w:p>
        </w:tc>
        <w:tc>
          <w:tcPr>
            <w:tcW w:w="1418" w:type="dxa"/>
            <w:gridSpan w:val="2"/>
            <w:shd w:val="clear" w:color="auto" w:fill="auto"/>
            <w:vAlign w:val="center"/>
          </w:tcPr>
          <w:p w14:paraId="62DFE0AD" w14:textId="77777777" w:rsidR="00860EB4" w:rsidRPr="0019790A" w:rsidRDefault="00860EB4" w:rsidP="0019790A">
            <w:pPr>
              <w:jc w:val="center"/>
              <w:rPr>
                <w:rFonts w:cs="Arial"/>
                <w:b/>
                <w:color w:val="000000"/>
                <w:szCs w:val="22"/>
                <w:lang w:eastAsia="it-IT"/>
              </w:rPr>
            </w:pPr>
            <w:r w:rsidRPr="0019790A">
              <w:rPr>
                <w:rFonts w:cs="Arial"/>
                <w:b/>
                <w:color w:val="000000"/>
                <w:szCs w:val="22"/>
                <w:lang w:eastAsia="it-IT"/>
              </w:rPr>
              <w:t>6992,557</w:t>
            </w:r>
          </w:p>
        </w:tc>
        <w:tc>
          <w:tcPr>
            <w:tcW w:w="1275" w:type="dxa"/>
            <w:gridSpan w:val="2"/>
            <w:shd w:val="clear" w:color="auto" w:fill="FFFFFF"/>
            <w:vAlign w:val="center"/>
          </w:tcPr>
          <w:p w14:paraId="41BB2530" w14:textId="77777777" w:rsidR="00860EB4" w:rsidRPr="0019790A" w:rsidRDefault="00860EB4" w:rsidP="0019790A">
            <w:pPr>
              <w:jc w:val="center"/>
              <w:rPr>
                <w:rFonts w:cs="Arial"/>
                <w:b/>
                <w:color w:val="000000"/>
                <w:szCs w:val="22"/>
                <w:lang w:eastAsia="it-IT"/>
              </w:rPr>
            </w:pPr>
          </w:p>
        </w:tc>
        <w:tc>
          <w:tcPr>
            <w:tcW w:w="1430" w:type="dxa"/>
            <w:gridSpan w:val="2"/>
            <w:shd w:val="clear" w:color="auto" w:fill="FFFFFF"/>
            <w:vAlign w:val="center"/>
          </w:tcPr>
          <w:p w14:paraId="438E8232" w14:textId="77777777" w:rsidR="00860EB4" w:rsidRPr="0019790A" w:rsidRDefault="00860EB4" w:rsidP="0019790A">
            <w:pPr>
              <w:jc w:val="center"/>
              <w:rPr>
                <w:rFonts w:cs="Arial"/>
                <w:b/>
                <w:color w:val="000000"/>
                <w:szCs w:val="22"/>
                <w:lang w:eastAsia="it-IT"/>
              </w:rPr>
            </w:pPr>
            <w:r w:rsidRPr="0019790A">
              <w:rPr>
                <w:rFonts w:cs="Arial"/>
                <w:b/>
                <w:color w:val="000000"/>
                <w:szCs w:val="22"/>
                <w:lang w:eastAsia="it-IT"/>
              </w:rPr>
              <w:t>14992,557</w:t>
            </w:r>
          </w:p>
        </w:tc>
      </w:tr>
      <w:tr w:rsidR="00860EB4" w:rsidRPr="0019790A" w14:paraId="7BAACBCF" w14:textId="77777777" w:rsidTr="00787C61">
        <w:trPr>
          <w:trHeight w:val="206"/>
          <w:jc w:val="right"/>
        </w:trPr>
        <w:tc>
          <w:tcPr>
            <w:tcW w:w="3425" w:type="dxa"/>
            <w:shd w:val="clear" w:color="auto" w:fill="FFFFFF"/>
            <w:vAlign w:val="center"/>
          </w:tcPr>
          <w:p w14:paraId="362838FC" w14:textId="77777777" w:rsidR="00860EB4" w:rsidRPr="0019790A" w:rsidRDefault="00860EB4" w:rsidP="0019790A">
            <w:pPr>
              <w:rPr>
                <w:rFonts w:cs="Arial"/>
                <w:b/>
                <w:bCs/>
                <w:color w:val="000000"/>
                <w:szCs w:val="22"/>
              </w:rPr>
            </w:pPr>
            <w:r w:rsidRPr="0019790A">
              <w:rPr>
                <w:rFonts w:cs="Arial"/>
                <w:b/>
                <w:bCs/>
                <w:color w:val="000000"/>
                <w:szCs w:val="22"/>
              </w:rPr>
              <w:t>по джерелах фінансування:</w:t>
            </w:r>
          </w:p>
        </w:tc>
        <w:tc>
          <w:tcPr>
            <w:tcW w:w="6794" w:type="dxa"/>
            <w:gridSpan w:val="9"/>
            <w:vAlign w:val="center"/>
          </w:tcPr>
          <w:p w14:paraId="401EE101" w14:textId="77777777" w:rsidR="00860EB4" w:rsidRPr="0019790A" w:rsidRDefault="00860EB4" w:rsidP="0019790A">
            <w:pPr>
              <w:jc w:val="both"/>
              <w:rPr>
                <w:rFonts w:cs="Arial"/>
                <w:color w:val="000000"/>
                <w:szCs w:val="22"/>
                <w:lang w:eastAsia="it-IT"/>
              </w:rPr>
            </w:pPr>
          </w:p>
        </w:tc>
      </w:tr>
      <w:tr w:rsidR="00722007" w:rsidRPr="0019790A" w14:paraId="09538508" w14:textId="3DE5A7CE" w:rsidTr="00722007">
        <w:trPr>
          <w:trHeight w:val="285"/>
          <w:jc w:val="right"/>
        </w:trPr>
        <w:tc>
          <w:tcPr>
            <w:tcW w:w="3425" w:type="dxa"/>
            <w:shd w:val="clear" w:color="auto" w:fill="FFFFFF"/>
            <w:vAlign w:val="center"/>
          </w:tcPr>
          <w:p w14:paraId="6259CC58" w14:textId="32BC9B45" w:rsidR="00722007" w:rsidRPr="0019790A" w:rsidRDefault="00722007" w:rsidP="00722007">
            <w:pPr>
              <w:rPr>
                <w:rFonts w:cs="Arial"/>
                <w:b/>
                <w:bCs/>
                <w:color w:val="000000"/>
                <w:szCs w:val="22"/>
              </w:rPr>
            </w:pPr>
            <w:r w:rsidRPr="0019790A">
              <w:rPr>
                <w:rFonts w:cs="Arial"/>
                <w:color w:val="000000"/>
                <w:szCs w:val="22"/>
              </w:rPr>
              <w:t>державний бюджет;</w:t>
            </w:r>
          </w:p>
        </w:tc>
        <w:tc>
          <w:tcPr>
            <w:tcW w:w="1240" w:type="dxa"/>
            <w:vAlign w:val="center"/>
          </w:tcPr>
          <w:p w14:paraId="2A012775" w14:textId="083B2085" w:rsidR="00722007" w:rsidRPr="0019790A" w:rsidRDefault="00722007" w:rsidP="00722007">
            <w:pPr>
              <w:jc w:val="center"/>
              <w:rPr>
                <w:rFonts w:cs="Arial"/>
                <w:color w:val="000000"/>
                <w:szCs w:val="22"/>
                <w:lang w:eastAsia="it-IT"/>
              </w:rPr>
            </w:pPr>
          </w:p>
        </w:tc>
        <w:tc>
          <w:tcPr>
            <w:tcW w:w="1453" w:type="dxa"/>
            <w:gridSpan w:val="3"/>
            <w:vAlign w:val="center"/>
          </w:tcPr>
          <w:p w14:paraId="7B9F9858" w14:textId="012FE873" w:rsidR="00722007" w:rsidRPr="0019790A" w:rsidRDefault="00722007" w:rsidP="00722007">
            <w:pPr>
              <w:jc w:val="center"/>
              <w:rPr>
                <w:rFonts w:cs="Arial"/>
                <w:color w:val="000000"/>
                <w:szCs w:val="22"/>
                <w:lang w:eastAsia="it-IT"/>
              </w:rPr>
            </w:pPr>
            <w:r w:rsidRPr="0019790A">
              <w:rPr>
                <w:rFonts w:cs="Arial"/>
                <w:color w:val="000000"/>
                <w:szCs w:val="22"/>
                <w:lang w:eastAsia="it-IT"/>
              </w:rPr>
              <w:t>6400,000</w:t>
            </w:r>
          </w:p>
        </w:tc>
        <w:tc>
          <w:tcPr>
            <w:tcW w:w="1415" w:type="dxa"/>
            <w:gridSpan w:val="2"/>
            <w:vAlign w:val="center"/>
          </w:tcPr>
          <w:p w14:paraId="580EB69B" w14:textId="041E092C" w:rsidR="00722007" w:rsidRPr="0019790A" w:rsidRDefault="00722007" w:rsidP="00722007">
            <w:pPr>
              <w:jc w:val="center"/>
              <w:rPr>
                <w:rFonts w:cs="Arial"/>
                <w:color w:val="000000"/>
                <w:szCs w:val="22"/>
                <w:lang w:eastAsia="it-IT"/>
              </w:rPr>
            </w:pPr>
            <w:r w:rsidRPr="0019790A">
              <w:rPr>
                <w:rFonts w:cs="Arial"/>
                <w:color w:val="000000"/>
                <w:szCs w:val="22"/>
                <w:lang w:eastAsia="it-IT"/>
              </w:rPr>
              <w:t>5594,045</w:t>
            </w:r>
          </w:p>
        </w:tc>
        <w:tc>
          <w:tcPr>
            <w:tcW w:w="1265" w:type="dxa"/>
            <w:gridSpan w:val="2"/>
            <w:vAlign w:val="center"/>
          </w:tcPr>
          <w:p w14:paraId="747BCCF3" w14:textId="7605305E" w:rsidR="00722007" w:rsidRPr="0019790A" w:rsidRDefault="00722007" w:rsidP="00722007">
            <w:pPr>
              <w:jc w:val="center"/>
              <w:rPr>
                <w:rFonts w:cs="Arial"/>
                <w:color w:val="000000"/>
                <w:szCs w:val="22"/>
                <w:lang w:eastAsia="it-IT"/>
              </w:rPr>
            </w:pPr>
          </w:p>
        </w:tc>
        <w:tc>
          <w:tcPr>
            <w:tcW w:w="1421" w:type="dxa"/>
            <w:vAlign w:val="center"/>
          </w:tcPr>
          <w:p w14:paraId="2E636FAA" w14:textId="756A7111" w:rsidR="00722007" w:rsidRPr="0019790A" w:rsidRDefault="00722007" w:rsidP="00722007">
            <w:pPr>
              <w:jc w:val="center"/>
              <w:rPr>
                <w:rFonts w:cs="Arial"/>
                <w:color w:val="000000"/>
                <w:szCs w:val="22"/>
                <w:lang w:eastAsia="it-IT"/>
              </w:rPr>
            </w:pPr>
            <w:r w:rsidRPr="0019790A">
              <w:rPr>
                <w:rFonts w:cs="Arial"/>
                <w:color w:val="000000"/>
                <w:szCs w:val="22"/>
                <w:lang w:eastAsia="it-IT"/>
              </w:rPr>
              <w:t>11994,045</w:t>
            </w:r>
          </w:p>
        </w:tc>
      </w:tr>
      <w:tr w:rsidR="00722007" w:rsidRPr="0019790A" w14:paraId="12ABB996" w14:textId="693784B6" w:rsidTr="00722007">
        <w:trPr>
          <w:trHeight w:val="315"/>
          <w:jc w:val="right"/>
        </w:trPr>
        <w:tc>
          <w:tcPr>
            <w:tcW w:w="3425" w:type="dxa"/>
            <w:shd w:val="clear" w:color="auto" w:fill="FFFFFF"/>
            <w:vAlign w:val="center"/>
          </w:tcPr>
          <w:p w14:paraId="33E8951B" w14:textId="5042AC56" w:rsidR="00722007" w:rsidRPr="0019790A" w:rsidRDefault="00722007" w:rsidP="00722007">
            <w:pPr>
              <w:rPr>
                <w:rFonts w:cs="Arial"/>
                <w:b/>
                <w:bCs/>
                <w:color w:val="000000"/>
                <w:szCs w:val="22"/>
              </w:rPr>
            </w:pPr>
            <w:r w:rsidRPr="0019790A">
              <w:rPr>
                <w:rFonts w:cs="Arial"/>
                <w:color w:val="000000"/>
                <w:szCs w:val="22"/>
              </w:rPr>
              <w:t>-обласний бюджет;</w:t>
            </w:r>
          </w:p>
        </w:tc>
        <w:tc>
          <w:tcPr>
            <w:tcW w:w="1240" w:type="dxa"/>
            <w:vAlign w:val="center"/>
          </w:tcPr>
          <w:p w14:paraId="7CACF7CF" w14:textId="77777777" w:rsidR="00722007" w:rsidRPr="0019790A" w:rsidRDefault="00722007" w:rsidP="00722007">
            <w:pPr>
              <w:jc w:val="center"/>
              <w:rPr>
                <w:rFonts w:cs="Arial"/>
                <w:color w:val="000000"/>
                <w:szCs w:val="22"/>
                <w:lang w:eastAsia="it-IT"/>
              </w:rPr>
            </w:pPr>
          </w:p>
        </w:tc>
        <w:tc>
          <w:tcPr>
            <w:tcW w:w="1453" w:type="dxa"/>
            <w:gridSpan w:val="3"/>
            <w:vAlign w:val="center"/>
          </w:tcPr>
          <w:p w14:paraId="4EB8E7AD" w14:textId="77777777" w:rsidR="00722007" w:rsidRPr="0019790A" w:rsidRDefault="00722007" w:rsidP="00722007">
            <w:pPr>
              <w:jc w:val="center"/>
              <w:rPr>
                <w:rFonts w:cs="Arial"/>
                <w:color w:val="000000"/>
                <w:szCs w:val="22"/>
                <w:lang w:eastAsia="it-IT"/>
              </w:rPr>
            </w:pPr>
          </w:p>
        </w:tc>
        <w:tc>
          <w:tcPr>
            <w:tcW w:w="1415" w:type="dxa"/>
            <w:gridSpan w:val="2"/>
            <w:vAlign w:val="center"/>
          </w:tcPr>
          <w:p w14:paraId="19AC6083" w14:textId="77777777" w:rsidR="00722007" w:rsidRPr="0019790A" w:rsidRDefault="00722007" w:rsidP="00722007">
            <w:pPr>
              <w:jc w:val="center"/>
              <w:rPr>
                <w:rFonts w:cs="Arial"/>
                <w:color w:val="000000"/>
                <w:szCs w:val="22"/>
                <w:lang w:eastAsia="it-IT"/>
              </w:rPr>
            </w:pPr>
          </w:p>
        </w:tc>
        <w:tc>
          <w:tcPr>
            <w:tcW w:w="1265" w:type="dxa"/>
            <w:gridSpan w:val="2"/>
            <w:vAlign w:val="center"/>
          </w:tcPr>
          <w:p w14:paraId="125A2E93" w14:textId="77777777" w:rsidR="00722007" w:rsidRPr="0019790A" w:rsidRDefault="00722007" w:rsidP="00722007">
            <w:pPr>
              <w:jc w:val="center"/>
              <w:rPr>
                <w:rFonts w:cs="Arial"/>
                <w:color w:val="000000"/>
                <w:szCs w:val="22"/>
                <w:lang w:eastAsia="it-IT"/>
              </w:rPr>
            </w:pPr>
          </w:p>
        </w:tc>
        <w:tc>
          <w:tcPr>
            <w:tcW w:w="1421" w:type="dxa"/>
            <w:vAlign w:val="center"/>
          </w:tcPr>
          <w:p w14:paraId="11EB1C5A" w14:textId="77777777" w:rsidR="00722007" w:rsidRPr="0019790A" w:rsidRDefault="00722007" w:rsidP="00722007">
            <w:pPr>
              <w:jc w:val="center"/>
              <w:rPr>
                <w:rFonts w:cs="Arial"/>
                <w:color w:val="000000"/>
                <w:szCs w:val="22"/>
                <w:lang w:eastAsia="it-IT"/>
              </w:rPr>
            </w:pPr>
          </w:p>
        </w:tc>
      </w:tr>
      <w:tr w:rsidR="00722007" w:rsidRPr="0019790A" w14:paraId="06294537" w14:textId="38A5A5B0" w:rsidTr="00722007">
        <w:trPr>
          <w:trHeight w:val="216"/>
          <w:jc w:val="right"/>
        </w:trPr>
        <w:tc>
          <w:tcPr>
            <w:tcW w:w="3425" w:type="dxa"/>
            <w:shd w:val="clear" w:color="auto" w:fill="FFFFFF"/>
            <w:vAlign w:val="center"/>
          </w:tcPr>
          <w:p w14:paraId="288C04B2" w14:textId="4FBB4D94" w:rsidR="00722007" w:rsidRPr="0019790A" w:rsidRDefault="00722007" w:rsidP="00722007">
            <w:pPr>
              <w:rPr>
                <w:rFonts w:cs="Arial"/>
                <w:color w:val="000000"/>
                <w:szCs w:val="22"/>
              </w:rPr>
            </w:pPr>
            <w:r w:rsidRPr="0019790A">
              <w:rPr>
                <w:rFonts w:cs="Arial"/>
                <w:color w:val="000000"/>
                <w:szCs w:val="22"/>
              </w:rPr>
              <w:t xml:space="preserve">-бюджет Жмеринської МТГ; </w:t>
            </w:r>
          </w:p>
        </w:tc>
        <w:tc>
          <w:tcPr>
            <w:tcW w:w="1240" w:type="dxa"/>
            <w:vAlign w:val="center"/>
          </w:tcPr>
          <w:p w14:paraId="1E9CF32A" w14:textId="6179818C" w:rsidR="00722007" w:rsidRPr="0019790A" w:rsidRDefault="00722007" w:rsidP="00722007">
            <w:pPr>
              <w:jc w:val="center"/>
              <w:rPr>
                <w:rFonts w:cs="Arial"/>
                <w:color w:val="000000"/>
                <w:szCs w:val="22"/>
                <w:lang w:eastAsia="it-IT"/>
              </w:rPr>
            </w:pPr>
          </w:p>
        </w:tc>
        <w:tc>
          <w:tcPr>
            <w:tcW w:w="1453" w:type="dxa"/>
            <w:gridSpan w:val="3"/>
            <w:vAlign w:val="center"/>
          </w:tcPr>
          <w:p w14:paraId="19C0FAD0" w14:textId="73244484" w:rsidR="00722007" w:rsidRPr="0019790A" w:rsidRDefault="00722007" w:rsidP="00722007">
            <w:pPr>
              <w:jc w:val="center"/>
              <w:rPr>
                <w:rFonts w:cs="Arial"/>
                <w:color w:val="000000"/>
                <w:szCs w:val="22"/>
                <w:lang w:eastAsia="it-IT"/>
              </w:rPr>
            </w:pPr>
            <w:r w:rsidRPr="0019790A">
              <w:rPr>
                <w:rFonts w:cs="Arial"/>
                <w:color w:val="000000"/>
                <w:szCs w:val="22"/>
                <w:lang w:eastAsia="it-IT"/>
              </w:rPr>
              <w:t>1600,000</w:t>
            </w:r>
          </w:p>
        </w:tc>
        <w:tc>
          <w:tcPr>
            <w:tcW w:w="1415" w:type="dxa"/>
            <w:gridSpan w:val="2"/>
            <w:vAlign w:val="center"/>
          </w:tcPr>
          <w:p w14:paraId="20908C6B" w14:textId="303566D5" w:rsidR="00722007" w:rsidRPr="0019790A" w:rsidRDefault="00722007" w:rsidP="00722007">
            <w:pPr>
              <w:jc w:val="center"/>
              <w:rPr>
                <w:rFonts w:cs="Arial"/>
                <w:color w:val="000000"/>
                <w:szCs w:val="22"/>
                <w:lang w:eastAsia="it-IT"/>
              </w:rPr>
            </w:pPr>
            <w:r w:rsidRPr="0019790A">
              <w:rPr>
                <w:rFonts w:cs="Arial"/>
                <w:color w:val="000000"/>
                <w:szCs w:val="22"/>
                <w:lang w:eastAsia="it-IT"/>
              </w:rPr>
              <w:t>1398,512</w:t>
            </w:r>
          </w:p>
        </w:tc>
        <w:tc>
          <w:tcPr>
            <w:tcW w:w="1265" w:type="dxa"/>
            <w:gridSpan w:val="2"/>
            <w:vAlign w:val="center"/>
          </w:tcPr>
          <w:p w14:paraId="2E054CBE" w14:textId="4C69A55A" w:rsidR="00722007" w:rsidRPr="0019790A" w:rsidRDefault="00722007" w:rsidP="00722007">
            <w:pPr>
              <w:jc w:val="center"/>
              <w:rPr>
                <w:rFonts w:cs="Arial"/>
                <w:color w:val="000000"/>
                <w:szCs w:val="22"/>
                <w:lang w:eastAsia="it-IT"/>
              </w:rPr>
            </w:pPr>
          </w:p>
        </w:tc>
        <w:tc>
          <w:tcPr>
            <w:tcW w:w="1421" w:type="dxa"/>
            <w:vAlign w:val="center"/>
          </w:tcPr>
          <w:p w14:paraId="45D21319" w14:textId="2B6C3997" w:rsidR="00722007" w:rsidRPr="0019790A" w:rsidRDefault="00722007" w:rsidP="00722007">
            <w:pPr>
              <w:ind w:left="-230"/>
              <w:jc w:val="center"/>
              <w:rPr>
                <w:rFonts w:cs="Arial"/>
                <w:color w:val="000000"/>
                <w:szCs w:val="22"/>
                <w:lang w:eastAsia="it-IT"/>
              </w:rPr>
            </w:pPr>
            <w:r w:rsidRPr="0019790A">
              <w:rPr>
                <w:rFonts w:cs="Arial"/>
                <w:color w:val="000000"/>
                <w:szCs w:val="22"/>
                <w:lang w:eastAsia="it-IT"/>
              </w:rPr>
              <w:t>2998,512</w:t>
            </w:r>
          </w:p>
        </w:tc>
      </w:tr>
      <w:tr w:rsidR="00722007" w:rsidRPr="0019790A" w14:paraId="66544700" w14:textId="1C1C969F" w:rsidTr="00722007">
        <w:trPr>
          <w:trHeight w:val="240"/>
          <w:jc w:val="right"/>
        </w:trPr>
        <w:tc>
          <w:tcPr>
            <w:tcW w:w="3425" w:type="dxa"/>
            <w:shd w:val="clear" w:color="auto" w:fill="FFFFFF"/>
            <w:vAlign w:val="center"/>
          </w:tcPr>
          <w:p w14:paraId="7850EFDF" w14:textId="77777777" w:rsidR="00722007" w:rsidRPr="0019790A" w:rsidRDefault="00722007" w:rsidP="00722007">
            <w:pPr>
              <w:rPr>
                <w:rFonts w:cs="Arial"/>
                <w:color w:val="000000"/>
                <w:szCs w:val="22"/>
              </w:rPr>
            </w:pPr>
            <w:r w:rsidRPr="0019790A">
              <w:rPr>
                <w:rFonts w:cs="Arial"/>
                <w:color w:val="000000"/>
                <w:szCs w:val="22"/>
              </w:rPr>
              <w:t>-інші джерела фінансування.</w:t>
            </w:r>
          </w:p>
        </w:tc>
        <w:tc>
          <w:tcPr>
            <w:tcW w:w="1240" w:type="dxa"/>
            <w:vAlign w:val="center"/>
          </w:tcPr>
          <w:p w14:paraId="540F343F" w14:textId="77777777" w:rsidR="00722007" w:rsidRPr="0019790A" w:rsidRDefault="00722007" w:rsidP="00722007">
            <w:pPr>
              <w:jc w:val="center"/>
              <w:rPr>
                <w:rFonts w:cs="Arial"/>
                <w:color w:val="000000"/>
                <w:szCs w:val="22"/>
                <w:lang w:eastAsia="it-IT"/>
              </w:rPr>
            </w:pPr>
          </w:p>
        </w:tc>
        <w:tc>
          <w:tcPr>
            <w:tcW w:w="1453" w:type="dxa"/>
            <w:gridSpan w:val="3"/>
            <w:vAlign w:val="center"/>
          </w:tcPr>
          <w:p w14:paraId="588A55BF" w14:textId="77777777" w:rsidR="00722007" w:rsidRPr="0019790A" w:rsidRDefault="00722007" w:rsidP="00722007">
            <w:pPr>
              <w:jc w:val="center"/>
              <w:rPr>
                <w:rFonts w:cs="Arial"/>
                <w:color w:val="000000"/>
                <w:szCs w:val="22"/>
                <w:lang w:eastAsia="it-IT"/>
              </w:rPr>
            </w:pPr>
          </w:p>
        </w:tc>
        <w:tc>
          <w:tcPr>
            <w:tcW w:w="1415" w:type="dxa"/>
            <w:gridSpan w:val="2"/>
            <w:vAlign w:val="center"/>
          </w:tcPr>
          <w:p w14:paraId="588D320A" w14:textId="77777777" w:rsidR="00722007" w:rsidRPr="0019790A" w:rsidRDefault="00722007" w:rsidP="00722007">
            <w:pPr>
              <w:jc w:val="center"/>
              <w:rPr>
                <w:rFonts w:cs="Arial"/>
                <w:color w:val="000000"/>
                <w:szCs w:val="22"/>
                <w:lang w:eastAsia="it-IT"/>
              </w:rPr>
            </w:pPr>
          </w:p>
        </w:tc>
        <w:tc>
          <w:tcPr>
            <w:tcW w:w="1265" w:type="dxa"/>
            <w:gridSpan w:val="2"/>
            <w:vAlign w:val="center"/>
          </w:tcPr>
          <w:p w14:paraId="0A932A4B" w14:textId="77777777" w:rsidR="00722007" w:rsidRPr="0019790A" w:rsidRDefault="00722007" w:rsidP="00722007">
            <w:pPr>
              <w:jc w:val="center"/>
              <w:rPr>
                <w:rFonts w:cs="Arial"/>
                <w:color w:val="000000"/>
                <w:szCs w:val="22"/>
                <w:lang w:eastAsia="it-IT"/>
              </w:rPr>
            </w:pPr>
          </w:p>
        </w:tc>
        <w:tc>
          <w:tcPr>
            <w:tcW w:w="1421" w:type="dxa"/>
            <w:vAlign w:val="center"/>
          </w:tcPr>
          <w:p w14:paraId="0FCB0FF5" w14:textId="77777777" w:rsidR="00722007" w:rsidRPr="0019790A" w:rsidRDefault="00722007" w:rsidP="00722007">
            <w:pPr>
              <w:jc w:val="center"/>
              <w:rPr>
                <w:rFonts w:cs="Arial"/>
                <w:color w:val="000000"/>
                <w:szCs w:val="22"/>
                <w:lang w:eastAsia="it-IT"/>
              </w:rPr>
            </w:pPr>
          </w:p>
        </w:tc>
      </w:tr>
      <w:tr w:rsidR="00860EB4" w:rsidRPr="0019790A" w14:paraId="638CBC0B" w14:textId="77777777" w:rsidTr="00787C61">
        <w:trPr>
          <w:jc w:val="right"/>
        </w:trPr>
        <w:tc>
          <w:tcPr>
            <w:tcW w:w="3425" w:type="dxa"/>
            <w:shd w:val="clear" w:color="auto" w:fill="FFFFFF"/>
            <w:vAlign w:val="center"/>
          </w:tcPr>
          <w:p w14:paraId="4A34BD57" w14:textId="77777777" w:rsidR="00860EB4" w:rsidRPr="0019790A" w:rsidRDefault="00860EB4" w:rsidP="0019790A">
            <w:pPr>
              <w:rPr>
                <w:rFonts w:cs="Arial"/>
                <w:b/>
                <w:bCs/>
                <w:color w:val="000000"/>
                <w:szCs w:val="22"/>
              </w:rPr>
            </w:pPr>
            <w:r w:rsidRPr="0019790A">
              <w:rPr>
                <w:rFonts w:cs="Arial"/>
                <w:b/>
                <w:color w:val="000000"/>
                <w:szCs w:val="22"/>
              </w:rPr>
              <w:t>Відповідальний виконавець проєкту:</w:t>
            </w:r>
          </w:p>
        </w:tc>
        <w:tc>
          <w:tcPr>
            <w:tcW w:w="6794" w:type="dxa"/>
            <w:gridSpan w:val="9"/>
            <w:vAlign w:val="center"/>
          </w:tcPr>
          <w:p w14:paraId="54E80175" w14:textId="579AA5B1" w:rsidR="00860EB4" w:rsidRPr="0019790A" w:rsidRDefault="00860EB4" w:rsidP="00722007">
            <w:pPr>
              <w:jc w:val="both"/>
              <w:rPr>
                <w:rFonts w:cs="Arial"/>
                <w:color w:val="000000"/>
                <w:szCs w:val="22"/>
                <w:lang w:eastAsia="it-IT"/>
              </w:rPr>
            </w:pPr>
            <w:r w:rsidRPr="0019790A">
              <w:rPr>
                <w:rFonts w:cs="Arial"/>
                <w:color w:val="000000"/>
                <w:szCs w:val="22"/>
                <w:lang w:eastAsia="it-IT"/>
              </w:rPr>
              <w:t>КНП «Жмеринська ЦРЛ», Управління соціального захисту населення та охорони здоров’я</w:t>
            </w:r>
          </w:p>
        </w:tc>
      </w:tr>
      <w:tr w:rsidR="00860EB4" w:rsidRPr="0019790A" w14:paraId="3A93E94E" w14:textId="77777777" w:rsidTr="00787C61">
        <w:trPr>
          <w:jc w:val="right"/>
        </w:trPr>
        <w:tc>
          <w:tcPr>
            <w:tcW w:w="3425" w:type="dxa"/>
            <w:shd w:val="clear" w:color="auto" w:fill="FFFFFF"/>
            <w:vAlign w:val="center"/>
          </w:tcPr>
          <w:p w14:paraId="2916EA55" w14:textId="77777777" w:rsidR="00860EB4" w:rsidRPr="0019790A" w:rsidRDefault="00860EB4" w:rsidP="0019790A">
            <w:pPr>
              <w:rPr>
                <w:rFonts w:cs="Arial"/>
                <w:b/>
                <w:bCs/>
                <w:color w:val="000000"/>
                <w:szCs w:val="22"/>
              </w:rPr>
            </w:pPr>
            <w:r w:rsidRPr="0019790A">
              <w:rPr>
                <w:rFonts w:cs="Arial"/>
                <w:b/>
                <w:bCs/>
                <w:color w:val="000000"/>
                <w:szCs w:val="22"/>
              </w:rPr>
              <w:t>Інше:</w:t>
            </w:r>
          </w:p>
        </w:tc>
        <w:tc>
          <w:tcPr>
            <w:tcW w:w="6794" w:type="dxa"/>
            <w:gridSpan w:val="9"/>
            <w:vAlign w:val="center"/>
          </w:tcPr>
          <w:p w14:paraId="01D3EF67" w14:textId="77777777" w:rsidR="00860EB4" w:rsidRPr="0019790A" w:rsidRDefault="00860EB4" w:rsidP="0019790A">
            <w:pPr>
              <w:rPr>
                <w:rFonts w:cs="Arial"/>
                <w:color w:val="000000"/>
                <w:szCs w:val="22"/>
                <w:lang w:eastAsia="it-IT"/>
              </w:rPr>
            </w:pPr>
          </w:p>
        </w:tc>
      </w:tr>
    </w:tbl>
    <w:p w14:paraId="75D84C1A" w14:textId="77777777" w:rsidR="00722007" w:rsidRDefault="00722007" w:rsidP="0019790A">
      <w:pPr>
        <w:jc w:val="center"/>
        <w:rPr>
          <w:rFonts w:cs="Arial"/>
          <w:b/>
          <w:color w:val="000000"/>
          <w:szCs w:val="22"/>
        </w:rPr>
      </w:pPr>
    </w:p>
    <w:p w14:paraId="7559C586" w14:textId="77777777" w:rsidR="00722007" w:rsidRDefault="00722007" w:rsidP="0019790A">
      <w:pPr>
        <w:jc w:val="center"/>
        <w:rPr>
          <w:rFonts w:cs="Arial"/>
          <w:b/>
          <w:color w:val="000000"/>
          <w:szCs w:val="22"/>
        </w:rPr>
      </w:pPr>
    </w:p>
    <w:p w14:paraId="7612BD68" w14:textId="35C8D9D6" w:rsidR="00860EB4" w:rsidRPr="0019790A" w:rsidRDefault="00860EB4" w:rsidP="0019790A">
      <w:pPr>
        <w:jc w:val="center"/>
        <w:rPr>
          <w:rFonts w:cs="Arial"/>
          <w:b/>
          <w:color w:val="000000"/>
          <w:szCs w:val="22"/>
        </w:rPr>
      </w:pPr>
      <w:r w:rsidRPr="0019790A">
        <w:rPr>
          <w:rFonts w:cs="Arial"/>
          <w:b/>
          <w:color w:val="000000"/>
          <w:szCs w:val="22"/>
        </w:rPr>
        <w:t xml:space="preserve">Форма технічного завдання на проєкт місцевого розвитку </w:t>
      </w:r>
    </w:p>
    <w:p w14:paraId="47F93312" w14:textId="77777777" w:rsidR="00860EB4" w:rsidRPr="0019790A" w:rsidRDefault="00860EB4" w:rsidP="0019790A">
      <w:pPr>
        <w:jc w:val="center"/>
        <w:rPr>
          <w:rFonts w:cs="Arial"/>
          <w:b/>
          <w:color w:val="000000"/>
          <w:szCs w:val="22"/>
        </w:rPr>
      </w:pPr>
      <w:r w:rsidRPr="0019790A">
        <w:rPr>
          <w:rFonts w:cs="Arial"/>
          <w:b/>
          <w:color w:val="000000"/>
          <w:szCs w:val="22"/>
        </w:rPr>
        <w:t>до Плану заходів з реалізації Стратегії</w:t>
      </w:r>
    </w:p>
    <w:p w14:paraId="3E290FC8" w14:textId="77777777" w:rsidR="00860EB4" w:rsidRPr="0019790A" w:rsidRDefault="00860EB4"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36"/>
        <w:gridCol w:w="1239"/>
        <w:gridCol w:w="13"/>
        <w:gridCol w:w="1405"/>
        <w:gridCol w:w="35"/>
        <w:gridCol w:w="1241"/>
        <w:gridCol w:w="61"/>
        <w:gridCol w:w="1510"/>
      </w:tblGrid>
      <w:tr w:rsidR="00860EB4" w:rsidRPr="0019790A" w14:paraId="0AC25AC4" w14:textId="77777777" w:rsidTr="00787C61">
        <w:trPr>
          <w:jc w:val="right"/>
        </w:trPr>
        <w:tc>
          <w:tcPr>
            <w:tcW w:w="3425" w:type="dxa"/>
            <w:vAlign w:val="center"/>
          </w:tcPr>
          <w:p w14:paraId="484F481E" w14:textId="77777777" w:rsidR="00860EB4" w:rsidRPr="0019790A" w:rsidRDefault="00860EB4" w:rsidP="0019790A">
            <w:pPr>
              <w:rPr>
                <w:rFonts w:cs="Arial"/>
                <w:b/>
                <w:bCs/>
                <w:color w:val="000000"/>
                <w:szCs w:val="22"/>
              </w:rPr>
            </w:pPr>
            <w:r w:rsidRPr="0019790A">
              <w:rPr>
                <w:rFonts w:cs="Arial"/>
                <w:b/>
                <w:bCs/>
                <w:color w:val="000000"/>
                <w:szCs w:val="22"/>
              </w:rPr>
              <w:t>Назва проєкту:</w:t>
            </w:r>
          </w:p>
        </w:tc>
        <w:tc>
          <w:tcPr>
            <w:tcW w:w="6794" w:type="dxa"/>
            <w:gridSpan w:val="9"/>
          </w:tcPr>
          <w:p w14:paraId="248E8649" w14:textId="77777777" w:rsidR="00860EB4" w:rsidRPr="0019790A" w:rsidRDefault="00860EB4" w:rsidP="00722007">
            <w:pPr>
              <w:jc w:val="both"/>
              <w:rPr>
                <w:rFonts w:cs="Arial"/>
                <w:b/>
                <w:szCs w:val="22"/>
                <w:lang w:eastAsia="it-IT"/>
              </w:rPr>
            </w:pPr>
            <w:r w:rsidRPr="0019790A">
              <w:rPr>
                <w:rFonts w:cs="Arial"/>
                <w:b/>
                <w:szCs w:val="22"/>
                <w:lang w:eastAsia="it-IT"/>
              </w:rPr>
              <w:t>«Тепло- та енергозбереження закладів культури Жмеринської громади»</w:t>
            </w:r>
          </w:p>
        </w:tc>
      </w:tr>
      <w:tr w:rsidR="00860EB4" w:rsidRPr="0019790A" w14:paraId="46D9470E" w14:textId="77777777" w:rsidTr="00787C61">
        <w:trPr>
          <w:jc w:val="right"/>
        </w:trPr>
        <w:tc>
          <w:tcPr>
            <w:tcW w:w="3425" w:type="dxa"/>
          </w:tcPr>
          <w:p w14:paraId="5D20C62D" w14:textId="77777777" w:rsidR="00860EB4" w:rsidRPr="0019790A" w:rsidRDefault="00860EB4"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4D5F964C" w14:textId="77777777" w:rsidR="00860EB4" w:rsidRPr="0019790A" w:rsidRDefault="00860EB4"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9"/>
          </w:tcPr>
          <w:p w14:paraId="6715B54D" w14:textId="77777777" w:rsidR="00860EB4" w:rsidRPr="0019790A" w:rsidRDefault="00860EB4" w:rsidP="00722007">
            <w:pPr>
              <w:jc w:val="both"/>
              <w:rPr>
                <w:rFonts w:cs="Arial"/>
                <w:b/>
                <w:szCs w:val="22"/>
                <w:lang w:eastAsia="it-IT"/>
              </w:rPr>
            </w:pPr>
            <w:r w:rsidRPr="0019790A">
              <w:rPr>
                <w:rFonts w:cs="Arial"/>
                <w:b/>
                <w:szCs w:val="22"/>
                <w:lang w:eastAsia="it-IT"/>
              </w:rPr>
              <w:t>Управління культури і туризму Жмеринської міської ТГ</w:t>
            </w:r>
          </w:p>
        </w:tc>
      </w:tr>
      <w:tr w:rsidR="00860EB4" w:rsidRPr="0019790A" w14:paraId="57D8A053" w14:textId="77777777" w:rsidTr="00787C61">
        <w:trPr>
          <w:jc w:val="right"/>
        </w:trPr>
        <w:tc>
          <w:tcPr>
            <w:tcW w:w="3425" w:type="dxa"/>
          </w:tcPr>
          <w:p w14:paraId="1887B623" w14:textId="77777777" w:rsidR="00860EB4" w:rsidRPr="0019790A" w:rsidRDefault="00860EB4" w:rsidP="0019790A">
            <w:pPr>
              <w:rPr>
                <w:rFonts w:cs="Arial"/>
                <w:b/>
                <w:bCs/>
                <w:szCs w:val="22"/>
              </w:rPr>
            </w:pPr>
            <w:r w:rsidRPr="0019790A">
              <w:rPr>
                <w:rFonts w:cs="Arial"/>
                <w:szCs w:val="22"/>
                <w:lang w:eastAsia="it-IT"/>
              </w:rPr>
              <w:t>Прізвище Ім’я По-батькові:</w:t>
            </w:r>
          </w:p>
        </w:tc>
        <w:tc>
          <w:tcPr>
            <w:tcW w:w="6794" w:type="dxa"/>
            <w:gridSpan w:val="9"/>
          </w:tcPr>
          <w:p w14:paraId="29630C39" w14:textId="77777777" w:rsidR="00860EB4" w:rsidRPr="0019790A" w:rsidRDefault="00860EB4" w:rsidP="0019790A">
            <w:pPr>
              <w:rPr>
                <w:rFonts w:cs="Arial"/>
                <w:b/>
                <w:szCs w:val="22"/>
                <w:lang w:eastAsia="it-IT"/>
              </w:rPr>
            </w:pPr>
            <w:r w:rsidRPr="0019790A">
              <w:rPr>
                <w:rFonts w:cs="Arial"/>
                <w:b/>
                <w:szCs w:val="22"/>
                <w:lang w:eastAsia="it-IT"/>
              </w:rPr>
              <w:t>Дудік Володимир Валентинович</w:t>
            </w:r>
          </w:p>
        </w:tc>
      </w:tr>
      <w:tr w:rsidR="00860EB4" w:rsidRPr="0019790A" w14:paraId="1D0BA726" w14:textId="77777777" w:rsidTr="00787C61">
        <w:trPr>
          <w:jc w:val="right"/>
        </w:trPr>
        <w:tc>
          <w:tcPr>
            <w:tcW w:w="3425" w:type="dxa"/>
          </w:tcPr>
          <w:p w14:paraId="2C8B8425" w14:textId="77777777" w:rsidR="00860EB4" w:rsidRPr="0019790A" w:rsidRDefault="00860EB4" w:rsidP="0019790A">
            <w:pPr>
              <w:rPr>
                <w:rFonts w:cs="Arial"/>
                <w:b/>
                <w:bCs/>
                <w:szCs w:val="22"/>
              </w:rPr>
            </w:pPr>
            <w:r w:rsidRPr="0019790A">
              <w:rPr>
                <w:rFonts w:cs="Arial"/>
                <w:szCs w:val="22"/>
                <w:lang w:eastAsia="it-IT"/>
              </w:rPr>
              <w:t>Телефон (мобільний):</w:t>
            </w:r>
          </w:p>
        </w:tc>
        <w:tc>
          <w:tcPr>
            <w:tcW w:w="6794" w:type="dxa"/>
            <w:gridSpan w:val="9"/>
          </w:tcPr>
          <w:p w14:paraId="7F5939CF" w14:textId="77777777" w:rsidR="00860EB4" w:rsidRPr="0019790A" w:rsidRDefault="00860EB4" w:rsidP="0019790A">
            <w:pPr>
              <w:rPr>
                <w:rFonts w:cs="Arial"/>
                <w:b/>
                <w:szCs w:val="22"/>
                <w:lang w:eastAsia="it-IT"/>
              </w:rPr>
            </w:pPr>
            <w:r w:rsidRPr="0019790A">
              <w:rPr>
                <w:rFonts w:cs="Arial"/>
                <w:b/>
                <w:szCs w:val="22"/>
                <w:lang w:eastAsia="it-IT"/>
              </w:rPr>
              <w:t>0674303746</w:t>
            </w:r>
          </w:p>
        </w:tc>
      </w:tr>
      <w:tr w:rsidR="00860EB4" w:rsidRPr="0019790A" w14:paraId="14DDA749" w14:textId="77777777" w:rsidTr="00787C61">
        <w:trPr>
          <w:jc w:val="right"/>
        </w:trPr>
        <w:tc>
          <w:tcPr>
            <w:tcW w:w="3425" w:type="dxa"/>
          </w:tcPr>
          <w:p w14:paraId="63181479" w14:textId="77777777" w:rsidR="00860EB4" w:rsidRPr="0019790A" w:rsidRDefault="00860EB4" w:rsidP="0019790A">
            <w:pPr>
              <w:rPr>
                <w:rFonts w:cs="Arial"/>
                <w:b/>
                <w:bCs/>
                <w:szCs w:val="22"/>
              </w:rPr>
            </w:pPr>
            <w:r w:rsidRPr="0019790A">
              <w:rPr>
                <w:rFonts w:cs="Arial"/>
                <w:szCs w:val="22"/>
                <w:lang w:eastAsia="it-IT"/>
              </w:rPr>
              <w:t>Електронна адреса:</w:t>
            </w:r>
          </w:p>
        </w:tc>
        <w:tc>
          <w:tcPr>
            <w:tcW w:w="6794" w:type="dxa"/>
            <w:gridSpan w:val="9"/>
          </w:tcPr>
          <w:p w14:paraId="2DD66496" w14:textId="7598A04D" w:rsidR="00860EB4" w:rsidRPr="0019790A" w:rsidRDefault="00D85FFD" w:rsidP="0019790A">
            <w:pPr>
              <w:rPr>
                <w:rFonts w:cs="Arial"/>
                <w:b/>
                <w:szCs w:val="22"/>
                <w:lang w:eastAsia="it-IT"/>
              </w:rPr>
            </w:pPr>
            <w:hyperlink r:id="rId94" w:history="1">
              <w:r w:rsidR="00722007" w:rsidRPr="00BF0394">
                <w:rPr>
                  <w:rStyle w:val="af0"/>
                  <w:rFonts w:cs="Arial"/>
                  <w:b/>
                  <w:noProof w:val="0"/>
                  <w:sz w:val="22"/>
                  <w:szCs w:val="22"/>
                  <w:lang w:eastAsia="it-IT"/>
                </w:rPr>
                <w:t>kult@zhmr.gov.ua</w:t>
              </w:r>
            </w:hyperlink>
            <w:r w:rsidR="00722007">
              <w:rPr>
                <w:rFonts w:cs="Arial"/>
                <w:b/>
                <w:szCs w:val="22"/>
                <w:lang w:eastAsia="it-IT"/>
              </w:rPr>
              <w:t xml:space="preserve"> </w:t>
            </w:r>
          </w:p>
        </w:tc>
      </w:tr>
      <w:tr w:rsidR="00860EB4" w:rsidRPr="0019790A" w14:paraId="75E68A6B" w14:textId="77777777" w:rsidTr="00787C61">
        <w:trPr>
          <w:jc w:val="right"/>
        </w:trPr>
        <w:tc>
          <w:tcPr>
            <w:tcW w:w="3425" w:type="dxa"/>
            <w:vAlign w:val="center"/>
          </w:tcPr>
          <w:p w14:paraId="1667585D" w14:textId="77777777" w:rsidR="00860EB4" w:rsidRPr="0019790A" w:rsidRDefault="00860EB4" w:rsidP="0019790A">
            <w:pPr>
              <w:outlineLvl w:val="5"/>
              <w:rPr>
                <w:rFonts w:cs="Arial"/>
                <w:b/>
                <w:bCs/>
                <w:color w:val="000000"/>
                <w:szCs w:val="22"/>
              </w:rPr>
            </w:pPr>
            <w:r w:rsidRPr="0019790A">
              <w:rPr>
                <w:rFonts w:cs="Arial"/>
                <w:b/>
                <w:bCs/>
                <w:color w:val="000000"/>
                <w:szCs w:val="22"/>
              </w:rPr>
              <w:t>Номер і назва завдання з Стратегії</w:t>
            </w:r>
            <w:r w:rsidRPr="0019790A">
              <w:rPr>
                <w:rFonts w:cs="Arial"/>
                <w:b/>
                <w:bCs/>
                <w:szCs w:val="22"/>
                <w:lang w:eastAsia="it-IT"/>
              </w:rPr>
              <w:t xml:space="preserve"> </w:t>
            </w:r>
            <w:r w:rsidRPr="0019790A">
              <w:rPr>
                <w:rFonts w:cs="Arial"/>
                <w:b/>
                <w:bCs/>
                <w:color w:val="000000"/>
                <w:szCs w:val="22"/>
              </w:rPr>
              <w:t>розвитку Жмеринської міської територіальної громади,  якому відповідає проєкт:</w:t>
            </w:r>
          </w:p>
        </w:tc>
        <w:tc>
          <w:tcPr>
            <w:tcW w:w="6794" w:type="dxa"/>
            <w:gridSpan w:val="9"/>
          </w:tcPr>
          <w:p w14:paraId="15B5AE25" w14:textId="77777777" w:rsidR="00860EB4" w:rsidRPr="0019790A" w:rsidRDefault="00860EB4" w:rsidP="0019790A">
            <w:pPr>
              <w:pBdr>
                <w:left w:val="single" w:sz="18" w:space="4" w:color="auto"/>
              </w:pBdr>
              <w:rPr>
                <w:rFonts w:cs="Arial"/>
                <w:szCs w:val="22"/>
                <w:lang w:eastAsia="it-IT"/>
              </w:rPr>
            </w:pPr>
            <w:r w:rsidRPr="0019790A">
              <w:rPr>
                <w:rFonts w:cs="Arial"/>
                <w:szCs w:val="22"/>
                <w:lang w:eastAsia="it-IT"/>
              </w:rPr>
              <w:t>В.2.2.3. Впровадження енергоефективних заходів та обладнання на об’єктах комунальної власності громади, забезпечення термомодернізації об’єктів комунальної власності.</w:t>
            </w:r>
          </w:p>
        </w:tc>
      </w:tr>
      <w:tr w:rsidR="00860EB4" w:rsidRPr="0019790A" w14:paraId="4346E641" w14:textId="77777777" w:rsidTr="00787C61">
        <w:trPr>
          <w:jc w:val="right"/>
        </w:trPr>
        <w:tc>
          <w:tcPr>
            <w:tcW w:w="3425" w:type="dxa"/>
            <w:vAlign w:val="center"/>
          </w:tcPr>
          <w:p w14:paraId="285927EE" w14:textId="77777777" w:rsidR="00860EB4" w:rsidRPr="0019790A" w:rsidRDefault="00860EB4" w:rsidP="0019790A">
            <w:pPr>
              <w:rPr>
                <w:rFonts w:cs="Arial"/>
                <w:b/>
                <w:bCs/>
                <w:color w:val="000000"/>
                <w:szCs w:val="22"/>
              </w:rPr>
            </w:pPr>
            <w:r w:rsidRPr="0019790A">
              <w:rPr>
                <w:rFonts w:cs="Arial"/>
                <w:b/>
                <w:bCs/>
                <w:color w:val="000000"/>
                <w:szCs w:val="22"/>
              </w:rPr>
              <w:t>Мета проєкту:</w:t>
            </w:r>
          </w:p>
        </w:tc>
        <w:tc>
          <w:tcPr>
            <w:tcW w:w="6794" w:type="dxa"/>
            <w:gridSpan w:val="9"/>
          </w:tcPr>
          <w:p w14:paraId="7F5D8F14" w14:textId="77777777" w:rsidR="00860EB4" w:rsidRPr="0019790A" w:rsidRDefault="00860EB4" w:rsidP="0019790A">
            <w:pPr>
              <w:rPr>
                <w:rFonts w:cs="Arial"/>
                <w:szCs w:val="22"/>
                <w:lang w:eastAsia="it-IT"/>
              </w:rPr>
            </w:pPr>
            <w:r w:rsidRPr="0019790A">
              <w:rPr>
                <w:rFonts w:cs="Arial"/>
                <w:szCs w:val="22"/>
                <w:lang w:eastAsia="it-IT"/>
              </w:rPr>
              <w:t>Підвищення енергоефективності та забезпечення належних умов функціонування закладів культури шляхом модернізації систем опалення, освітлення та електропостачання</w:t>
            </w:r>
          </w:p>
        </w:tc>
      </w:tr>
      <w:tr w:rsidR="00860EB4" w:rsidRPr="0019790A" w14:paraId="1CE3DCCA" w14:textId="77777777" w:rsidTr="00787C61">
        <w:trPr>
          <w:jc w:val="right"/>
        </w:trPr>
        <w:tc>
          <w:tcPr>
            <w:tcW w:w="3425" w:type="dxa"/>
            <w:vAlign w:val="center"/>
          </w:tcPr>
          <w:p w14:paraId="11FC2C59" w14:textId="77777777" w:rsidR="00860EB4" w:rsidRPr="0019790A" w:rsidRDefault="00860EB4" w:rsidP="0019790A">
            <w:pPr>
              <w:rPr>
                <w:rFonts w:cs="Arial"/>
                <w:b/>
                <w:bCs/>
                <w:color w:val="000000"/>
                <w:szCs w:val="22"/>
              </w:rPr>
            </w:pPr>
            <w:r w:rsidRPr="0019790A">
              <w:rPr>
                <w:rFonts w:cs="Arial"/>
                <w:b/>
                <w:bCs/>
                <w:color w:val="000000"/>
                <w:szCs w:val="22"/>
              </w:rPr>
              <w:t>Цілі проєкту:</w:t>
            </w:r>
          </w:p>
        </w:tc>
        <w:tc>
          <w:tcPr>
            <w:tcW w:w="6794" w:type="dxa"/>
            <w:gridSpan w:val="9"/>
          </w:tcPr>
          <w:p w14:paraId="123E18EB" w14:textId="77777777" w:rsidR="00860EB4" w:rsidRPr="0019790A" w:rsidRDefault="00860EB4" w:rsidP="0019790A">
            <w:pPr>
              <w:rPr>
                <w:rFonts w:cs="Arial"/>
                <w:szCs w:val="22"/>
                <w:lang w:eastAsia="it-IT"/>
              </w:rPr>
            </w:pPr>
            <w:r w:rsidRPr="0019790A">
              <w:rPr>
                <w:rFonts w:cs="Arial"/>
                <w:szCs w:val="22"/>
                <w:lang w:eastAsia="it-IT"/>
              </w:rPr>
              <w:t>  Зниження енергоспоживання в закладах культури</w:t>
            </w:r>
          </w:p>
          <w:p w14:paraId="734EA6E4" w14:textId="77777777" w:rsidR="00860EB4" w:rsidRPr="0019790A" w:rsidRDefault="00860EB4" w:rsidP="0019790A">
            <w:pPr>
              <w:rPr>
                <w:rFonts w:cs="Arial"/>
                <w:szCs w:val="22"/>
                <w:lang w:eastAsia="it-IT"/>
              </w:rPr>
            </w:pPr>
            <w:r w:rsidRPr="0019790A">
              <w:rPr>
                <w:rFonts w:cs="Arial"/>
                <w:szCs w:val="22"/>
                <w:lang w:eastAsia="it-IT"/>
              </w:rPr>
              <w:t>  Покращення умов перебування для працівників та відвідувачів</w:t>
            </w:r>
          </w:p>
          <w:p w14:paraId="2B656986" w14:textId="77777777" w:rsidR="00860EB4" w:rsidRPr="0019790A" w:rsidRDefault="00860EB4" w:rsidP="0019790A">
            <w:pPr>
              <w:rPr>
                <w:rFonts w:cs="Arial"/>
                <w:szCs w:val="22"/>
                <w:lang w:eastAsia="it-IT"/>
              </w:rPr>
            </w:pPr>
            <w:r w:rsidRPr="0019790A">
              <w:rPr>
                <w:rFonts w:cs="Arial"/>
                <w:szCs w:val="22"/>
                <w:lang w:eastAsia="it-IT"/>
              </w:rPr>
              <w:t>  Підвищення надійності електромереж для проведення культурних заходів</w:t>
            </w:r>
          </w:p>
          <w:p w14:paraId="6C8DF459" w14:textId="77777777" w:rsidR="00860EB4" w:rsidRPr="0019790A" w:rsidRDefault="00860EB4" w:rsidP="0019790A">
            <w:pPr>
              <w:rPr>
                <w:rFonts w:cs="Arial"/>
                <w:szCs w:val="22"/>
                <w:lang w:eastAsia="it-IT"/>
              </w:rPr>
            </w:pPr>
            <w:r w:rsidRPr="0019790A">
              <w:rPr>
                <w:rFonts w:cs="Arial"/>
                <w:szCs w:val="22"/>
                <w:lang w:eastAsia="it-IT"/>
              </w:rPr>
              <w:t>  Підняття потужності електропостачання</w:t>
            </w:r>
          </w:p>
        </w:tc>
      </w:tr>
      <w:tr w:rsidR="00860EB4" w:rsidRPr="0019790A" w14:paraId="2C7B9BB6" w14:textId="77777777" w:rsidTr="00787C61">
        <w:trPr>
          <w:jc w:val="right"/>
        </w:trPr>
        <w:tc>
          <w:tcPr>
            <w:tcW w:w="3425" w:type="dxa"/>
            <w:vAlign w:val="center"/>
          </w:tcPr>
          <w:p w14:paraId="6C99FEEE" w14:textId="77777777" w:rsidR="00860EB4" w:rsidRPr="0019790A" w:rsidRDefault="00860EB4" w:rsidP="0019790A">
            <w:pPr>
              <w:autoSpaceDE w:val="0"/>
              <w:autoSpaceDN w:val="0"/>
              <w:adjustRightInd w:val="0"/>
              <w:rPr>
                <w:rFonts w:cs="Arial"/>
                <w:b/>
                <w:color w:val="000000"/>
                <w:szCs w:val="22"/>
              </w:rPr>
            </w:pPr>
            <w:r w:rsidRPr="0019790A">
              <w:rPr>
                <w:rFonts w:cs="Arial"/>
                <w:b/>
                <w:color w:val="000000"/>
                <w:szCs w:val="22"/>
              </w:rPr>
              <w:t>Територія на яку проєкт матиме вплив:</w:t>
            </w:r>
          </w:p>
        </w:tc>
        <w:tc>
          <w:tcPr>
            <w:tcW w:w="6794" w:type="dxa"/>
            <w:gridSpan w:val="9"/>
          </w:tcPr>
          <w:p w14:paraId="6AD5F096" w14:textId="77777777" w:rsidR="00860EB4" w:rsidRPr="0019790A" w:rsidRDefault="00860EB4" w:rsidP="0019790A">
            <w:pPr>
              <w:rPr>
                <w:rFonts w:cs="Arial"/>
                <w:szCs w:val="22"/>
                <w:lang w:eastAsia="it-IT"/>
              </w:rPr>
            </w:pPr>
            <w:r w:rsidRPr="0019790A">
              <w:rPr>
                <w:rFonts w:cs="Arial"/>
                <w:szCs w:val="22"/>
                <w:lang w:eastAsia="it-IT"/>
              </w:rPr>
              <w:t>Заклади культури Жмеринської громади</w:t>
            </w:r>
          </w:p>
        </w:tc>
      </w:tr>
      <w:tr w:rsidR="00860EB4" w:rsidRPr="0019790A" w14:paraId="0AEC45E1" w14:textId="77777777" w:rsidTr="00787C61">
        <w:trPr>
          <w:jc w:val="right"/>
        </w:trPr>
        <w:tc>
          <w:tcPr>
            <w:tcW w:w="3425" w:type="dxa"/>
            <w:vAlign w:val="center"/>
          </w:tcPr>
          <w:p w14:paraId="1D115A47" w14:textId="77777777" w:rsidR="00860EB4" w:rsidRPr="0019790A" w:rsidRDefault="00860EB4" w:rsidP="0019790A">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4" w:type="dxa"/>
            <w:gridSpan w:val="9"/>
          </w:tcPr>
          <w:p w14:paraId="3DC1225F" w14:textId="77777777" w:rsidR="00860EB4" w:rsidRPr="0019790A" w:rsidRDefault="00860EB4" w:rsidP="0019790A">
            <w:pPr>
              <w:rPr>
                <w:rFonts w:cs="Arial"/>
                <w:szCs w:val="22"/>
                <w:lang w:eastAsia="it-IT"/>
              </w:rPr>
            </w:pPr>
            <w:r w:rsidRPr="0019790A">
              <w:rPr>
                <w:rFonts w:cs="Arial"/>
                <w:szCs w:val="22"/>
                <w:lang w:eastAsia="it-IT"/>
              </w:rPr>
              <w:t>  Культурні працівники – понад 40 осіб</w:t>
            </w:r>
          </w:p>
          <w:p w14:paraId="3550626A" w14:textId="77777777" w:rsidR="00860EB4" w:rsidRPr="0019790A" w:rsidRDefault="00860EB4" w:rsidP="0019790A">
            <w:pPr>
              <w:rPr>
                <w:rFonts w:cs="Arial"/>
                <w:szCs w:val="22"/>
                <w:lang w:eastAsia="it-IT"/>
              </w:rPr>
            </w:pPr>
            <w:r w:rsidRPr="0019790A">
              <w:rPr>
                <w:rFonts w:cs="Arial"/>
                <w:szCs w:val="22"/>
                <w:lang w:eastAsia="it-IT"/>
              </w:rPr>
              <w:t>  Відвідувачі закладів культури – понад 8000 осіб на рік</w:t>
            </w:r>
          </w:p>
          <w:p w14:paraId="67DC566B" w14:textId="77777777" w:rsidR="00860EB4" w:rsidRPr="0019790A" w:rsidRDefault="00860EB4" w:rsidP="0019790A">
            <w:pPr>
              <w:rPr>
                <w:rFonts w:cs="Arial"/>
                <w:szCs w:val="22"/>
                <w:lang w:eastAsia="it-IT"/>
              </w:rPr>
            </w:pPr>
            <w:r w:rsidRPr="0019790A">
              <w:rPr>
                <w:rFonts w:cs="Arial"/>
                <w:szCs w:val="22"/>
                <w:lang w:eastAsia="it-IT"/>
              </w:rPr>
              <w:t>  Мешканці сільських населених пунктів — понад 15 тис. осіб</w:t>
            </w:r>
          </w:p>
        </w:tc>
      </w:tr>
      <w:tr w:rsidR="00860EB4" w:rsidRPr="0019790A" w14:paraId="65A5844E" w14:textId="77777777" w:rsidTr="00787C61">
        <w:trPr>
          <w:jc w:val="right"/>
        </w:trPr>
        <w:tc>
          <w:tcPr>
            <w:tcW w:w="3425" w:type="dxa"/>
            <w:shd w:val="clear" w:color="auto" w:fill="FFFFFF"/>
            <w:vAlign w:val="center"/>
          </w:tcPr>
          <w:p w14:paraId="254177A5" w14:textId="77777777" w:rsidR="00860EB4" w:rsidRPr="0019790A" w:rsidRDefault="00860EB4" w:rsidP="0019790A">
            <w:pPr>
              <w:rPr>
                <w:rFonts w:cs="Arial"/>
                <w:b/>
                <w:bCs/>
                <w:color w:val="000000"/>
                <w:szCs w:val="22"/>
              </w:rPr>
            </w:pPr>
            <w:r w:rsidRPr="0019790A">
              <w:rPr>
                <w:rFonts w:cs="Arial"/>
                <w:b/>
                <w:bCs/>
                <w:color w:val="000000"/>
                <w:szCs w:val="22"/>
              </w:rPr>
              <w:t>Стислий опис проєкту:</w:t>
            </w:r>
          </w:p>
        </w:tc>
        <w:tc>
          <w:tcPr>
            <w:tcW w:w="6794" w:type="dxa"/>
            <w:gridSpan w:val="9"/>
          </w:tcPr>
          <w:p w14:paraId="5B97C38A" w14:textId="147DCA66" w:rsidR="00860EB4" w:rsidRPr="0019790A" w:rsidRDefault="00860EB4" w:rsidP="0019790A">
            <w:pPr>
              <w:rPr>
                <w:rFonts w:cs="Arial"/>
                <w:szCs w:val="22"/>
                <w:lang w:eastAsia="it-IT"/>
              </w:rPr>
            </w:pPr>
            <w:r w:rsidRPr="0019790A">
              <w:rPr>
                <w:rFonts w:cs="Arial"/>
                <w:szCs w:val="22"/>
                <w:lang w:eastAsia="it-IT"/>
              </w:rPr>
              <w:t xml:space="preserve">Головною проблемою енергозбереження в комунальних закладах культури Жмеринської територіальної громади є застарілість та несправність систем опалення, котлів, зношеність основних конструкцій будівель (покрівлі), оснащеність неефективними лампами розжарення. Ці факти призводять до значних втрат енергоресурсів, а також значних фінансових перевитрат та погіршення умов праці працюючих та створення несприятливих умов для відвідувачів закладів. Тому реалізація даного </w:t>
            </w:r>
            <w:r w:rsidR="00314B9D">
              <w:rPr>
                <w:rFonts w:cs="Arial"/>
                <w:szCs w:val="22"/>
                <w:lang w:eastAsia="it-IT"/>
              </w:rPr>
              <w:t>проєкту</w:t>
            </w:r>
            <w:r w:rsidRPr="0019790A">
              <w:rPr>
                <w:rFonts w:cs="Arial"/>
                <w:szCs w:val="22"/>
                <w:lang w:eastAsia="it-IT"/>
              </w:rPr>
              <w:t xml:space="preserve"> є важливим кроком для вирішення цих проблем.</w:t>
            </w:r>
          </w:p>
          <w:p w14:paraId="683573BA" w14:textId="77777777" w:rsidR="00860EB4" w:rsidRPr="0019790A" w:rsidRDefault="00860EB4" w:rsidP="0019790A">
            <w:pPr>
              <w:rPr>
                <w:rFonts w:cs="Arial"/>
                <w:szCs w:val="22"/>
                <w:lang w:eastAsia="it-IT"/>
              </w:rPr>
            </w:pPr>
            <w:r w:rsidRPr="0019790A">
              <w:rPr>
                <w:rFonts w:cs="Arial"/>
                <w:szCs w:val="22"/>
                <w:lang w:eastAsia="it-IT"/>
              </w:rPr>
              <w:t>Проєкт передбачає реалізацію комплексу заходів з енергомодернізації закладів культури громади. Планується дослідження причин втрати тепла в закладах, утеплення будівель, заміна старих джерел опалення на сучасні енергоефективні, встановлення LED-освітлення, заміна вікон та дверей, ремонт даху, підняття потужності електромереж. Усе це сприятиме сталому функціонуванню установ культури та підвищенню комфорту для працівників і відвідувачів.</w:t>
            </w:r>
          </w:p>
        </w:tc>
      </w:tr>
      <w:tr w:rsidR="00860EB4" w:rsidRPr="0019790A" w14:paraId="6A2EB538" w14:textId="77777777" w:rsidTr="00787C61">
        <w:trPr>
          <w:jc w:val="right"/>
        </w:trPr>
        <w:tc>
          <w:tcPr>
            <w:tcW w:w="3425" w:type="dxa"/>
            <w:shd w:val="clear" w:color="auto" w:fill="FFFFFF"/>
            <w:vAlign w:val="center"/>
          </w:tcPr>
          <w:p w14:paraId="19D18718" w14:textId="77777777" w:rsidR="00860EB4" w:rsidRPr="0019790A" w:rsidRDefault="00860EB4" w:rsidP="0019790A">
            <w:pPr>
              <w:rPr>
                <w:rFonts w:cs="Arial"/>
                <w:b/>
                <w:bCs/>
                <w:color w:val="000000"/>
                <w:szCs w:val="22"/>
              </w:rPr>
            </w:pPr>
            <w:r w:rsidRPr="0019790A">
              <w:rPr>
                <w:rFonts w:cs="Arial"/>
                <w:b/>
                <w:bCs/>
                <w:color w:val="000000"/>
                <w:szCs w:val="22"/>
              </w:rPr>
              <w:t>Основні заходи проєкту:</w:t>
            </w:r>
          </w:p>
        </w:tc>
        <w:tc>
          <w:tcPr>
            <w:tcW w:w="6794" w:type="dxa"/>
            <w:gridSpan w:val="9"/>
          </w:tcPr>
          <w:p w14:paraId="163866A2" w14:textId="77777777" w:rsidR="00860EB4" w:rsidRPr="0019790A" w:rsidRDefault="00860EB4" w:rsidP="0019790A">
            <w:pPr>
              <w:rPr>
                <w:rFonts w:cs="Arial"/>
                <w:szCs w:val="22"/>
                <w:lang w:eastAsia="it-IT"/>
              </w:rPr>
            </w:pPr>
            <w:r w:rsidRPr="0019790A">
              <w:rPr>
                <w:rFonts w:cs="Arial"/>
                <w:szCs w:val="22"/>
                <w:lang w:eastAsia="it-IT"/>
              </w:rPr>
              <w:t>  Проведення енергоаудиту в закладах культури</w:t>
            </w:r>
          </w:p>
          <w:p w14:paraId="0CC61033" w14:textId="77777777" w:rsidR="00860EB4" w:rsidRPr="0019790A" w:rsidRDefault="00860EB4" w:rsidP="0019790A">
            <w:pPr>
              <w:rPr>
                <w:rFonts w:cs="Arial"/>
                <w:szCs w:val="22"/>
                <w:lang w:eastAsia="it-IT"/>
              </w:rPr>
            </w:pPr>
            <w:r w:rsidRPr="0019790A">
              <w:rPr>
                <w:rFonts w:cs="Arial"/>
                <w:szCs w:val="22"/>
                <w:lang w:eastAsia="it-IT"/>
              </w:rPr>
              <w:t>  Виготовлення право установчих документів</w:t>
            </w:r>
          </w:p>
          <w:p w14:paraId="2568229C" w14:textId="77B18D16" w:rsidR="00860EB4" w:rsidRPr="0019790A" w:rsidRDefault="00860EB4" w:rsidP="0019790A">
            <w:pPr>
              <w:rPr>
                <w:rFonts w:cs="Arial"/>
                <w:szCs w:val="22"/>
                <w:lang w:eastAsia="it-IT"/>
              </w:rPr>
            </w:pPr>
            <w:r w:rsidRPr="0019790A">
              <w:rPr>
                <w:rFonts w:cs="Arial"/>
                <w:szCs w:val="22"/>
                <w:lang w:eastAsia="it-IT"/>
              </w:rPr>
              <w:t xml:space="preserve">  Виготовлення </w:t>
            </w:r>
            <w:r w:rsidR="00314B9D">
              <w:rPr>
                <w:rFonts w:cs="Arial"/>
                <w:szCs w:val="22"/>
                <w:lang w:eastAsia="it-IT"/>
              </w:rPr>
              <w:t>проєкт</w:t>
            </w:r>
            <w:r w:rsidRPr="0019790A">
              <w:rPr>
                <w:rFonts w:cs="Arial"/>
                <w:szCs w:val="22"/>
                <w:lang w:eastAsia="it-IT"/>
              </w:rPr>
              <w:t>но-кошторисної документації</w:t>
            </w:r>
          </w:p>
          <w:p w14:paraId="27048959" w14:textId="77777777" w:rsidR="00860EB4" w:rsidRPr="0019790A" w:rsidRDefault="00860EB4" w:rsidP="0019790A">
            <w:pPr>
              <w:rPr>
                <w:rFonts w:cs="Arial"/>
                <w:szCs w:val="22"/>
                <w:lang w:eastAsia="it-IT"/>
              </w:rPr>
            </w:pPr>
            <w:r w:rsidRPr="0019790A">
              <w:rPr>
                <w:rFonts w:cs="Arial"/>
                <w:szCs w:val="22"/>
                <w:lang w:eastAsia="it-IT"/>
              </w:rPr>
              <w:t>  Заміна систем освітлення на енергоощадне LED-освітлення</w:t>
            </w:r>
          </w:p>
          <w:p w14:paraId="7415EA87" w14:textId="77777777" w:rsidR="00860EB4" w:rsidRPr="0019790A" w:rsidRDefault="00860EB4" w:rsidP="0019790A">
            <w:pPr>
              <w:rPr>
                <w:rFonts w:cs="Arial"/>
                <w:szCs w:val="22"/>
                <w:lang w:eastAsia="it-IT"/>
              </w:rPr>
            </w:pPr>
            <w:r w:rsidRPr="0019790A">
              <w:rPr>
                <w:rFonts w:cs="Arial"/>
                <w:szCs w:val="22"/>
                <w:lang w:eastAsia="it-IT"/>
              </w:rPr>
              <w:t>  Утеплення фасадів, покрівель, горищ, заміна вікон та дверей</w:t>
            </w:r>
          </w:p>
          <w:p w14:paraId="07D33D06" w14:textId="77777777" w:rsidR="00860EB4" w:rsidRPr="0019790A" w:rsidRDefault="00860EB4" w:rsidP="0019790A">
            <w:pPr>
              <w:rPr>
                <w:rFonts w:cs="Arial"/>
                <w:szCs w:val="22"/>
                <w:lang w:eastAsia="it-IT"/>
              </w:rPr>
            </w:pPr>
            <w:r w:rsidRPr="0019790A">
              <w:rPr>
                <w:rFonts w:cs="Arial"/>
                <w:szCs w:val="22"/>
                <w:lang w:eastAsia="it-IT"/>
              </w:rPr>
              <w:t>  Встановлення або модернізація систем опалення (котли, батареї, автоматика)</w:t>
            </w:r>
          </w:p>
          <w:p w14:paraId="4DD8CBF2" w14:textId="77777777" w:rsidR="00860EB4" w:rsidRPr="0019790A" w:rsidRDefault="00860EB4" w:rsidP="0019790A">
            <w:pPr>
              <w:rPr>
                <w:rFonts w:cs="Arial"/>
                <w:szCs w:val="22"/>
                <w:lang w:eastAsia="it-IT"/>
              </w:rPr>
            </w:pPr>
            <w:r w:rsidRPr="0019790A">
              <w:rPr>
                <w:rFonts w:cs="Arial"/>
                <w:szCs w:val="22"/>
                <w:lang w:eastAsia="it-IT"/>
              </w:rPr>
              <w:t>  Підняття електричної потужності для безперебійної роботи сучасного обладнання</w:t>
            </w:r>
          </w:p>
          <w:p w14:paraId="1114E8AB" w14:textId="77777777" w:rsidR="00860EB4" w:rsidRPr="0019790A" w:rsidRDefault="00860EB4" w:rsidP="0019790A">
            <w:pPr>
              <w:rPr>
                <w:rFonts w:cs="Arial"/>
                <w:szCs w:val="22"/>
                <w:lang w:eastAsia="it-IT"/>
              </w:rPr>
            </w:pPr>
            <w:r w:rsidRPr="0019790A">
              <w:rPr>
                <w:rFonts w:cs="Arial"/>
                <w:szCs w:val="22"/>
                <w:lang w:eastAsia="it-IT"/>
              </w:rPr>
              <w:t>  Моніторинг ефективності після реалізації</w:t>
            </w:r>
          </w:p>
        </w:tc>
      </w:tr>
      <w:tr w:rsidR="00860EB4" w:rsidRPr="0019790A" w14:paraId="3861BFA7" w14:textId="77777777" w:rsidTr="00787C61">
        <w:trPr>
          <w:jc w:val="right"/>
        </w:trPr>
        <w:tc>
          <w:tcPr>
            <w:tcW w:w="3425" w:type="dxa"/>
            <w:shd w:val="clear" w:color="auto" w:fill="FFFFFF"/>
            <w:vAlign w:val="center"/>
          </w:tcPr>
          <w:p w14:paraId="1CEB2207" w14:textId="77777777" w:rsidR="00860EB4" w:rsidRPr="0019790A" w:rsidRDefault="00860EB4"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794" w:type="dxa"/>
            <w:gridSpan w:val="9"/>
          </w:tcPr>
          <w:p w14:paraId="0385239D" w14:textId="77777777" w:rsidR="00860EB4" w:rsidRPr="0019790A" w:rsidRDefault="00860EB4" w:rsidP="0019790A">
            <w:pPr>
              <w:rPr>
                <w:rFonts w:cs="Arial"/>
                <w:szCs w:val="22"/>
                <w:lang w:eastAsia="it-IT"/>
              </w:rPr>
            </w:pPr>
            <w:r w:rsidRPr="0019790A">
              <w:rPr>
                <w:rFonts w:cs="Arial"/>
                <w:szCs w:val="22"/>
                <w:lang w:eastAsia="it-IT"/>
              </w:rPr>
              <w:t></w:t>
            </w:r>
            <w:r w:rsidRPr="0019790A">
              <w:rPr>
                <w:rFonts w:cs="Arial"/>
                <w:szCs w:val="22"/>
              </w:rPr>
              <w:t xml:space="preserve"> </w:t>
            </w:r>
            <w:r w:rsidRPr="0019790A">
              <w:rPr>
                <w:rFonts w:cs="Arial"/>
                <w:szCs w:val="22"/>
                <w:lang w:eastAsia="it-IT"/>
              </w:rPr>
              <w:t>Зниження енергоспоживання в закладах культури на 5%.</w:t>
            </w:r>
          </w:p>
          <w:p w14:paraId="25B3F2F0" w14:textId="77777777" w:rsidR="00860EB4" w:rsidRPr="0019790A" w:rsidRDefault="00860EB4" w:rsidP="0019790A">
            <w:pPr>
              <w:rPr>
                <w:rFonts w:cs="Arial"/>
                <w:szCs w:val="22"/>
                <w:lang w:eastAsia="it-IT"/>
              </w:rPr>
            </w:pPr>
            <w:r w:rsidRPr="0019790A">
              <w:rPr>
                <w:rFonts w:cs="Arial"/>
                <w:szCs w:val="22"/>
                <w:lang w:eastAsia="it-IT"/>
              </w:rPr>
              <w:t>Підвищення температурного режиму в закладах до нормативного рівня</w:t>
            </w:r>
          </w:p>
          <w:p w14:paraId="037B9DCF" w14:textId="77777777" w:rsidR="00860EB4" w:rsidRPr="0019790A" w:rsidRDefault="00860EB4" w:rsidP="0019790A">
            <w:pPr>
              <w:rPr>
                <w:rFonts w:cs="Arial"/>
                <w:szCs w:val="22"/>
                <w:lang w:eastAsia="it-IT"/>
              </w:rPr>
            </w:pPr>
            <w:r w:rsidRPr="0019790A">
              <w:rPr>
                <w:rFonts w:cs="Arial"/>
                <w:szCs w:val="22"/>
                <w:lang w:eastAsia="it-IT"/>
              </w:rPr>
              <w:t>Оснащення щонайменше 10 закладів новим освітленням та опаленням</w:t>
            </w:r>
          </w:p>
        </w:tc>
      </w:tr>
      <w:tr w:rsidR="00860EB4" w:rsidRPr="0019790A" w14:paraId="33EFB681" w14:textId="77777777" w:rsidTr="00787C61">
        <w:trPr>
          <w:jc w:val="right"/>
        </w:trPr>
        <w:tc>
          <w:tcPr>
            <w:tcW w:w="3425" w:type="dxa"/>
            <w:shd w:val="clear" w:color="auto" w:fill="FFFFFF"/>
            <w:vAlign w:val="center"/>
          </w:tcPr>
          <w:p w14:paraId="19023F04" w14:textId="77777777" w:rsidR="00860EB4" w:rsidRPr="0019790A" w:rsidRDefault="00860EB4" w:rsidP="0019790A">
            <w:pPr>
              <w:rPr>
                <w:rFonts w:cs="Arial"/>
                <w:b/>
                <w:color w:val="000000"/>
                <w:szCs w:val="22"/>
              </w:rPr>
            </w:pPr>
            <w:r w:rsidRPr="0019790A">
              <w:rPr>
                <w:rFonts w:cs="Arial"/>
                <w:b/>
                <w:color w:val="000000"/>
                <w:szCs w:val="22"/>
              </w:rPr>
              <w:t xml:space="preserve">Період здійснення: </w:t>
            </w:r>
          </w:p>
        </w:tc>
        <w:tc>
          <w:tcPr>
            <w:tcW w:w="6794" w:type="dxa"/>
            <w:gridSpan w:val="9"/>
            <w:vAlign w:val="center"/>
          </w:tcPr>
          <w:p w14:paraId="06382BA9" w14:textId="77777777" w:rsidR="00860EB4" w:rsidRPr="0019790A" w:rsidRDefault="00860EB4" w:rsidP="0019790A">
            <w:pPr>
              <w:rPr>
                <w:rFonts w:cs="Arial"/>
                <w:color w:val="000000"/>
                <w:szCs w:val="22"/>
                <w:lang w:eastAsia="it-IT"/>
              </w:rPr>
            </w:pPr>
            <w:r w:rsidRPr="0019790A">
              <w:rPr>
                <w:rFonts w:cs="Arial"/>
                <w:b/>
                <w:color w:val="000000"/>
                <w:szCs w:val="22"/>
              </w:rPr>
              <w:t>2025 – 2028 роки:</w:t>
            </w:r>
          </w:p>
        </w:tc>
      </w:tr>
      <w:tr w:rsidR="00860EB4" w:rsidRPr="0019790A" w14:paraId="4EE08EA1" w14:textId="77777777" w:rsidTr="00787C61">
        <w:trPr>
          <w:jc w:val="right"/>
        </w:trPr>
        <w:tc>
          <w:tcPr>
            <w:tcW w:w="3425" w:type="dxa"/>
            <w:vMerge w:val="restart"/>
            <w:shd w:val="clear" w:color="auto" w:fill="FFFFFF"/>
            <w:vAlign w:val="center"/>
          </w:tcPr>
          <w:p w14:paraId="0E3950FA" w14:textId="77777777" w:rsidR="00860EB4" w:rsidRPr="0019790A" w:rsidRDefault="00860EB4" w:rsidP="0019790A">
            <w:pPr>
              <w:rPr>
                <w:rFonts w:cs="Arial"/>
                <w:b/>
                <w:bCs/>
                <w:color w:val="000000"/>
                <w:szCs w:val="22"/>
              </w:rPr>
            </w:pPr>
            <w:r w:rsidRPr="0019790A">
              <w:rPr>
                <w:rFonts w:cs="Arial"/>
                <w:b/>
                <w:bCs/>
                <w:color w:val="000000"/>
                <w:szCs w:val="22"/>
              </w:rPr>
              <w:t>Орієнтовна вартість проєкту, тис. грн., в тому числі:</w:t>
            </w:r>
          </w:p>
        </w:tc>
        <w:tc>
          <w:tcPr>
            <w:tcW w:w="1254" w:type="dxa"/>
            <w:shd w:val="clear" w:color="auto" w:fill="E6E6E6"/>
            <w:vAlign w:val="center"/>
          </w:tcPr>
          <w:p w14:paraId="47E43FB1" w14:textId="77777777" w:rsidR="00860EB4" w:rsidRPr="0019790A" w:rsidRDefault="00860EB4" w:rsidP="0019790A">
            <w:pPr>
              <w:jc w:val="center"/>
              <w:rPr>
                <w:rFonts w:cs="Arial"/>
                <w:b/>
                <w:color w:val="000000"/>
                <w:szCs w:val="22"/>
                <w:lang w:eastAsia="it-IT"/>
              </w:rPr>
            </w:pPr>
            <w:r w:rsidRPr="0019790A">
              <w:rPr>
                <w:rFonts w:cs="Arial"/>
                <w:b/>
                <w:color w:val="000000"/>
                <w:szCs w:val="22"/>
                <w:lang w:eastAsia="it-IT"/>
              </w:rPr>
              <w:t>2025</w:t>
            </w:r>
          </w:p>
        </w:tc>
        <w:tc>
          <w:tcPr>
            <w:tcW w:w="1275" w:type="dxa"/>
            <w:gridSpan w:val="2"/>
            <w:shd w:val="clear" w:color="auto" w:fill="E6E6E6"/>
            <w:vAlign w:val="center"/>
          </w:tcPr>
          <w:p w14:paraId="1A6C3DF9" w14:textId="77777777" w:rsidR="00860EB4" w:rsidRPr="0019790A" w:rsidRDefault="00860EB4" w:rsidP="0019790A">
            <w:pPr>
              <w:jc w:val="center"/>
              <w:rPr>
                <w:rFonts w:cs="Arial"/>
                <w:b/>
                <w:color w:val="000000"/>
                <w:szCs w:val="22"/>
                <w:lang w:eastAsia="it-IT"/>
              </w:rPr>
            </w:pPr>
            <w:r w:rsidRPr="0019790A">
              <w:rPr>
                <w:rFonts w:cs="Arial"/>
                <w:b/>
                <w:color w:val="000000"/>
                <w:szCs w:val="22"/>
                <w:lang w:eastAsia="it-IT"/>
              </w:rPr>
              <w:t>2026</w:t>
            </w:r>
          </w:p>
        </w:tc>
        <w:tc>
          <w:tcPr>
            <w:tcW w:w="1418" w:type="dxa"/>
            <w:gridSpan w:val="2"/>
            <w:tcBorders>
              <w:bottom w:val="single" w:sz="4" w:space="0" w:color="auto"/>
            </w:tcBorders>
            <w:shd w:val="clear" w:color="auto" w:fill="E6E6E6"/>
            <w:vAlign w:val="center"/>
          </w:tcPr>
          <w:p w14:paraId="459236AC" w14:textId="77777777" w:rsidR="00860EB4" w:rsidRPr="0019790A" w:rsidRDefault="00860EB4" w:rsidP="0019790A">
            <w:pPr>
              <w:jc w:val="center"/>
              <w:rPr>
                <w:rFonts w:cs="Arial"/>
                <w:b/>
                <w:color w:val="000000"/>
                <w:szCs w:val="22"/>
                <w:lang w:eastAsia="it-IT"/>
              </w:rPr>
            </w:pPr>
            <w:r w:rsidRPr="0019790A">
              <w:rPr>
                <w:rFonts w:cs="Arial"/>
                <w:b/>
                <w:color w:val="000000"/>
                <w:szCs w:val="22"/>
                <w:lang w:eastAsia="it-IT"/>
              </w:rPr>
              <w:t>2027</w:t>
            </w:r>
          </w:p>
        </w:tc>
        <w:tc>
          <w:tcPr>
            <w:tcW w:w="1276" w:type="dxa"/>
            <w:gridSpan w:val="2"/>
            <w:shd w:val="clear" w:color="auto" w:fill="E6E6E6"/>
            <w:vAlign w:val="center"/>
          </w:tcPr>
          <w:p w14:paraId="15484DB0" w14:textId="77777777" w:rsidR="00860EB4" w:rsidRPr="0019790A" w:rsidRDefault="00860EB4" w:rsidP="0019790A">
            <w:pPr>
              <w:jc w:val="center"/>
              <w:rPr>
                <w:rFonts w:cs="Arial"/>
                <w:b/>
                <w:color w:val="000000"/>
                <w:szCs w:val="22"/>
                <w:lang w:eastAsia="it-IT"/>
              </w:rPr>
            </w:pPr>
            <w:r w:rsidRPr="0019790A">
              <w:rPr>
                <w:rFonts w:cs="Arial"/>
                <w:b/>
                <w:color w:val="000000"/>
                <w:szCs w:val="22"/>
                <w:lang w:eastAsia="it-IT"/>
              </w:rPr>
              <w:t>2028</w:t>
            </w:r>
          </w:p>
        </w:tc>
        <w:tc>
          <w:tcPr>
            <w:tcW w:w="1571" w:type="dxa"/>
            <w:gridSpan w:val="2"/>
            <w:shd w:val="clear" w:color="auto" w:fill="E6E6E6"/>
            <w:vAlign w:val="center"/>
          </w:tcPr>
          <w:p w14:paraId="11D90D51" w14:textId="77777777" w:rsidR="00860EB4" w:rsidRPr="0019790A" w:rsidRDefault="00860EB4" w:rsidP="0019790A">
            <w:pPr>
              <w:jc w:val="center"/>
              <w:rPr>
                <w:rFonts w:cs="Arial"/>
                <w:b/>
                <w:color w:val="000000"/>
                <w:szCs w:val="22"/>
                <w:lang w:eastAsia="it-IT"/>
              </w:rPr>
            </w:pPr>
            <w:r w:rsidRPr="0019790A">
              <w:rPr>
                <w:rFonts w:cs="Arial"/>
                <w:b/>
                <w:color w:val="000000"/>
                <w:szCs w:val="22"/>
                <w:lang w:eastAsia="it-IT"/>
              </w:rPr>
              <w:t>РАЗОМ</w:t>
            </w:r>
          </w:p>
        </w:tc>
      </w:tr>
      <w:tr w:rsidR="00860EB4" w:rsidRPr="0019790A" w14:paraId="1539C8AA" w14:textId="77777777" w:rsidTr="00787C61">
        <w:trPr>
          <w:jc w:val="right"/>
        </w:trPr>
        <w:tc>
          <w:tcPr>
            <w:tcW w:w="3425" w:type="dxa"/>
            <w:vMerge/>
            <w:shd w:val="clear" w:color="auto" w:fill="FFFFFF"/>
            <w:vAlign w:val="center"/>
          </w:tcPr>
          <w:p w14:paraId="17CC84CB" w14:textId="77777777" w:rsidR="00860EB4" w:rsidRPr="0019790A" w:rsidRDefault="00860EB4" w:rsidP="0019790A">
            <w:pPr>
              <w:rPr>
                <w:rFonts w:cs="Arial"/>
                <w:b/>
                <w:bCs/>
                <w:color w:val="000000"/>
                <w:szCs w:val="22"/>
              </w:rPr>
            </w:pPr>
          </w:p>
        </w:tc>
        <w:tc>
          <w:tcPr>
            <w:tcW w:w="1254" w:type="dxa"/>
            <w:vAlign w:val="center"/>
          </w:tcPr>
          <w:p w14:paraId="1C0F0C1B" w14:textId="77777777" w:rsidR="00860EB4" w:rsidRPr="0019790A" w:rsidRDefault="00860EB4" w:rsidP="0019790A">
            <w:pPr>
              <w:jc w:val="center"/>
              <w:rPr>
                <w:rFonts w:cs="Arial"/>
                <w:b/>
                <w:color w:val="000000"/>
                <w:szCs w:val="22"/>
                <w:lang w:eastAsia="it-IT"/>
              </w:rPr>
            </w:pPr>
            <w:r w:rsidRPr="0019790A">
              <w:rPr>
                <w:rFonts w:cs="Arial"/>
                <w:b/>
                <w:color w:val="000000"/>
                <w:szCs w:val="22"/>
                <w:lang w:eastAsia="it-IT"/>
              </w:rPr>
              <w:t>632,0</w:t>
            </w:r>
          </w:p>
        </w:tc>
        <w:tc>
          <w:tcPr>
            <w:tcW w:w="1275" w:type="dxa"/>
            <w:gridSpan w:val="2"/>
            <w:shd w:val="clear" w:color="auto" w:fill="FFFFFF"/>
            <w:vAlign w:val="center"/>
          </w:tcPr>
          <w:p w14:paraId="08502FAB" w14:textId="77777777" w:rsidR="00860EB4" w:rsidRPr="0019790A" w:rsidRDefault="00860EB4" w:rsidP="0019790A">
            <w:pPr>
              <w:jc w:val="center"/>
              <w:rPr>
                <w:rFonts w:cs="Arial"/>
                <w:b/>
                <w:color w:val="000000"/>
                <w:szCs w:val="22"/>
                <w:lang w:eastAsia="it-IT"/>
              </w:rPr>
            </w:pPr>
            <w:r w:rsidRPr="0019790A">
              <w:rPr>
                <w:rFonts w:cs="Arial"/>
                <w:b/>
                <w:color w:val="000000"/>
                <w:szCs w:val="22"/>
                <w:lang w:eastAsia="it-IT"/>
              </w:rPr>
              <w:t>5282,0</w:t>
            </w:r>
          </w:p>
        </w:tc>
        <w:tc>
          <w:tcPr>
            <w:tcW w:w="1418" w:type="dxa"/>
            <w:gridSpan w:val="2"/>
            <w:shd w:val="clear" w:color="auto" w:fill="auto"/>
            <w:vAlign w:val="center"/>
          </w:tcPr>
          <w:p w14:paraId="07416E05" w14:textId="77777777" w:rsidR="00860EB4" w:rsidRPr="0019790A" w:rsidRDefault="00860EB4" w:rsidP="0019790A">
            <w:pPr>
              <w:jc w:val="center"/>
              <w:rPr>
                <w:rFonts w:cs="Arial"/>
                <w:b/>
                <w:color w:val="000000"/>
                <w:szCs w:val="22"/>
                <w:lang w:eastAsia="it-IT"/>
              </w:rPr>
            </w:pPr>
            <w:r w:rsidRPr="0019790A">
              <w:rPr>
                <w:rFonts w:cs="Arial"/>
                <w:b/>
                <w:color w:val="000000"/>
                <w:szCs w:val="22"/>
                <w:lang w:eastAsia="it-IT"/>
              </w:rPr>
              <w:t>7760,0</w:t>
            </w:r>
          </w:p>
        </w:tc>
        <w:tc>
          <w:tcPr>
            <w:tcW w:w="1276" w:type="dxa"/>
            <w:gridSpan w:val="2"/>
            <w:shd w:val="clear" w:color="auto" w:fill="FFFFFF"/>
            <w:vAlign w:val="center"/>
          </w:tcPr>
          <w:p w14:paraId="74266073" w14:textId="77777777" w:rsidR="00860EB4" w:rsidRPr="0019790A" w:rsidRDefault="00860EB4" w:rsidP="0019790A">
            <w:pPr>
              <w:jc w:val="center"/>
              <w:rPr>
                <w:rFonts w:cs="Arial"/>
                <w:b/>
                <w:color w:val="000000"/>
                <w:szCs w:val="22"/>
                <w:lang w:eastAsia="it-IT"/>
              </w:rPr>
            </w:pPr>
            <w:r w:rsidRPr="0019790A">
              <w:rPr>
                <w:rFonts w:cs="Arial"/>
                <w:b/>
                <w:color w:val="000000"/>
                <w:szCs w:val="22"/>
                <w:lang w:eastAsia="it-IT"/>
              </w:rPr>
              <w:t>-</w:t>
            </w:r>
          </w:p>
        </w:tc>
        <w:tc>
          <w:tcPr>
            <w:tcW w:w="1571" w:type="dxa"/>
            <w:gridSpan w:val="2"/>
            <w:shd w:val="clear" w:color="auto" w:fill="FFFFFF"/>
            <w:vAlign w:val="center"/>
          </w:tcPr>
          <w:p w14:paraId="7F4F032D" w14:textId="77777777" w:rsidR="00860EB4" w:rsidRPr="0019790A" w:rsidRDefault="00860EB4" w:rsidP="0019790A">
            <w:pPr>
              <w:jc w:val="center"/>
              <w:rPr>
                <w:rFonts w:cs="Arial"/>
                <w:b/>
                <w:color w:val="000000"/>
                <w:szCs w:val="22"/>
                <w:lang w:eastAsia="it-IT"/>
              </w:rPr>
            </w:pPr>
            <w:r w:rsidRPr="0019790A">
              <w:rPr>
                <w:rFonts w:cs="Arial"/>
                <w:b/>
                <w:color w:val="000000"/>
                <w:szCs w:val="22"/>
                <w:lang w:eastAsia="it-IT"/>
              </w:rPr>
              <w:t>13674,0</w:t>
            </w:r>
          </w:p>
        </w:tc>
      </w:tr>
      <w:tr w:rsidR="00860EB4" w:rsidRPr="0019790A" w14:paraId="455C165E" w14:textId="77777777" w:rsidTr="00787C61">
        <w:trPr>
          <w:trHeight w:val="276"/>
          <w:jc w:val="right"/>
        </w:trPr>
        <w:tc>
          <w:tcPr>
            <w:tcW w:w="3425" w:type="dxa"/>
            <w:shd w:val="clear" w:color="auto" w:fill="FFFFFF"/>
            <w:vAlign w:val="center"/>
          </w:tcPr>
          <w:p w14:paraId="64D3EA36" w14:textId="77777777" w:rsidR="00860EB4" w:rsidRPr="0019790A" w:rsidRDefault="00860EB4" w:rsidP="0019790A">
            <w:pPr>
              <w:rPr>
                <w:rFonts w:cs="Arial"/>
                <w:b/>
                <w:bCs/>
                <w:color w:val="000000"/>
                <w:szCs w:val="22"/>
              </w:rPr>
            </w:pPr>
            <w:r w:rsidRPr="0019790A">
              <w:rPr>
                <w:rFonts w:cs="Arial"/>
                <w:b/>
                <w:bCs/>
                <w:color w:val="000000"/>
                <w:szCs w:val="22"/>
              </w:rPr>
              <w:t>по джерелах фінансування:</w:t>
            </w:r>
          </w:p>
        </w:tc>
        <w:tc>
          <w:tcPr>
            <w:tcW w:w="6794" w:type="dxa"/>
            <w:gridSpan w:val="9"/>
            <w:vAlign w:val="center"/>
          </w:tcPr>
          <w:p w14:paraId="30CD0C42" w14:textId="77777777" w:rsidR="00860EB4" w:rsidRPr="0019790A" w:rsidRDefault="00860EB4" w:rsidP="0019790A">
            <w:pPr>
              <w:jc w:val="both"/>
              <w:rPr>
                <w:rFonts w:cs="Arial"/>
                <w:color w:val="000000"/>
                <w:szCs w:val="22"/>
                <w:lang w:eastAsia="it-IT"/>
              </w:rPr>
            </w:pPr>
          </w:p>
        </w:tc>
      </w:tr>
      <w:tr w:rsidR="00722007" w:rsidRPr="0019790A" w14:paraId="20B19B6F" w14:textId="5AAA098B" w:rsidTr="00722007">
        <w:trPr>
          <w:trHeight w:val="240"/>
          <w:jc w:val="right"/>
        </w:trPr>
        <w:tc>
          <w:tcPr>
            <w:tcW w:w="3425" w:type="dxa"/>
            <w:shd w:val="clear" w:color="auto" w:fill="FFFFFF"/>
            <w:vAlign w:val="center"/>
          </w:tcPr>
          <w:p w14:paraId="78D2FE8B" w14:textId="77777777" w:rsidR="00722007" w:rsidRPr="0019790A" w:rsidRDefault="00722007" w:rsidP="0019790A">
            <w:pPr>
              <w:rPr>
                <w:rFonts w:cs="Arial"/>
                <w:b/>
                <w:bCs/>
                <w:color w:val="000000"/>
                <w:szCs w:val="22"/>
              </w:rPr>
            </w:pPr>
            <w:r w:rsidRPr="0019790A">
              <w:rPr>
                <w:rFonts w:cs="Arial"/>
                <w:color w:val="000000"/>
                <w:szCs w:val="22"/>
              </w:rPr>
              <w:t>- державний бюджет</w:t>
            </w:r>
          </w:p>
        </w:tc>
        <w:tc>
          <w:tcPr>
            <w:tcW w:w="1290" w:type="dxa"/>
            <w:gridSpan w:val="2"/>
            <w:vAlign w:val="center"/>
          </w:tcPr>
          <w:p w14:paraId="517C1800" w14:textId="77777777" w:rsidR="00722007" w:rsidRPr="0019790A" w:rsidRDefault="00722007" w:rsidP="00722007">
            <w:pPr>
              <w:jc w:val="center"/>
              <w:rPr>
                <w:rFonts w:cs="Arial"/>
                <w:color w:val="000000"/>
                <w:szCs w:val="22"/>
                <w:lang w:eastAsia="it-IT"/>
              </w:rPr>
            </w:pPr>
          </w:p>
        </w:tc>
        <w:tc>
          <w:tcPr>
            <w:tcW w:w="1252" w:type="dxa"/>
            <w:gridSpan w:val="2"/>
            <w:vAlign w:val="center"/>
          </w:tcPr>
          <w:p w14:paraId="0AC3CD3C" w14:textId="77777777" w:rsidR="00722007" w:rsidRPr="0019790A" w:rsidRDefault="00722007" w:rsidP="00722007">
            <w:pPr>
              <w:jc w:val="center"/>
              <w:rPr>
                <w:rFonts w:cs="Arial"/>
                <w:color w:val="000000"/>
                <w:szCs w:val="22"/>
                <w:lang w:eastAsia="it-IT"/>
              </w:rPr>
            </w:pPr>
          </w:p>
        </w:tc>
        <w:tc>
          <w:tcPr>
            <w:tcW w:w="1440" w:type="dxa"/>
            <w:gridSpan w:val="2"/>
            <w:vAlign w:val="center"/>
          </w:tcPr>
          <w:p w14:paraId="53214259" w14:textId="77777777" w:rsidR="00722007" w:rsidRPr="0019790A" w:rsidRDefault="00722007" w:rsidP="00722007">
            <w:pPr>
              <w:jc w:val="center"/>
              <w:rPr>
                <w:rFonts w:cs="Arial"/>
                <w:color w:val="000000"/>
                <w:szCs w:val="22"/>
                <w:lang w:eastAsia="it-IT"/>
              </w:rPr>
            </w:pPr>
          </w:p>
        </w:tc>
        <w:tc>
          <w:tcPr>
            <w:tcW w:w="1302" w:type="dxa"/>
            <w:gridSpan w:val="2"/>
            <w:vAlign w:val="center"/>
          </w:tcPr>
          <w:p w14:paraId="7C2BEF54" w14:textId="77777777" w:rsidR="00722007" w:rsidRPr="0019790A" w:rsidRDefault="00722007" w:rsidP="00722007">
            <w:pPr>
              <w:jc w:val="center"/>
              <w:rPr>
                <w:rFonts w:cs="Arial"/>
                <w:color w:val="000000"/>
                <w:szCs w:val="22"/>
                <w:lang w:eastAsia="it-IT"/>
              </w:rPr>
            </w:pPr>
          </w:p>
        </w:tc>
        <w:tc>
          <w:tcPr>
            <w:tcW w:w="1510" w:type="dxa"/>
            <w:vAlign w:val="center"/>
          </w:tcPr>
          <w:p w14:paraId="483D04A5" w14:textId="77777777" w:rsidR="00722007" w:rsidRPr="0019790A" w:rsidRDefault="00722007" w:rsidP="00722007">
            <w:pPr>
              <w:jc w:val="center"/>
              <w:rPr>
                <w:rFonts w:cs="Arial"/>
                <w:color w:val="000000"/>
                <w:szCs w:val="22"/>
                <w:lang w:eastAsia="it-IT"/>
              </w:rPr>
            </w:pPr>
          </w:p>
        </w:tc>
      </w:tr>
      <w:tr w:rsidR="00722007" w:rsidRPr="0019790A" w14:paraId="21F226C1" w14:textId="2478664A" w:rsidTr="00722007">
        <w:trPr>
          <w:trHeight w:val="254"/>
          <w:jc w:val="right"/>
        </w:trPr>
        <w:tc>
          <w:tcPr>
            <w:tcW w:w="3425" w:type="dxa"/>
            <w:shd w:val="clear" w:color="auto" w:fill="FFFFFF"/>
            <w:vAlign w:val="center"/>
          </w:tcPr>
          <w:p w14:paraId="58A4A639" w14:textId="77777777" w:rsidR="00722007" w:rsidRPr="0019790A" w:rsidRDefault="00722007" w:rsidP="0019790A">
            <w:pPr>
              <w:rPr>
                <w:rFonts w:cs="Arial"/>
                <w:color w:val="000000"/>
                <w:szCs w:val="22"/>
              </w:rPr>
            </w:pPr>
            <w:r w:rsidRPr="0019790A">
              <w:rPr>
                <w:rFonts w:cs="Arial"/>
                <w:color w:val="000000"/>
                <w:szCs w:val="22"/>
              </w:rPr>
              <w:t>- обласний бюджет</w:t>
            </w:r>
          </w:p>
        </w:tc>
        <w:tc>
          <w:tcPr>
            <w:tcW w:w="1290" w:type="dxa"/>
            <w:gridSpan w:val="2"/>
            <w:vAlign w:val="center"/>
          </w:tcPr>
          <w:p w14:paraId="3F89BBB0" w14:textId="77777777" w:rsidR="00722007" w:rsidRPr="0019790A" w:rsidRDefault="00722007" w:rsidP="00722007">
            <w:pPr>
              <w:jc w:val="center"/>
              <w:rPr>
                <w:rFonts w:cs="Arial"/>
                <w:color w:val="000000"/>
                <w:szCs w:val="22"/>
                <w:lang w:eastAsia="it-IT"/>
              </w:rPr>
            </w:pPr>
          </w:p>
        </w:tc>
        <w:tc>
          <w:tcPr>
            <w:tcW w:w="1252" w:type="dxa"/>
            <w:gridSpan w:val="2"/>
            <w:vAlign w:val="center"/>
          </w:tcPr>
          <w:p w14:paraId="56BBB275" w14:textId="77777777" w:rsidR="00722007" w:rsidRPr="0019790A" w:rsidRDefault="00722007" w:rsidP="00722007">
            <w:pPr>
              <w:jc w:val="center"/>
              <w:rPr>
                <w:rFonts w:cs="Arial"/>
                <w:color w:val="000000"/>
                <w:szCs w:val="22"/>
                <w:lang w:eastAsia="it-IT"/>
              </w:rPr>
            </w:pPr>
          </w:p>
        </w:tc>
        <w:tc>
          <w:tcPr>
            <w:tcW w:w="1440" w:type="dxa"/>
            <w:gridSpan w:val="2"/>
            <w:vAlign w:val="center"/>
          </w:tcPr>
          <w:p w14:paraId="26DE1A51" w14:textId="77777777" w:rsidR="00722007" w:rsidRPr="0019790A" w:rsidRDefault="00722007" w:rsidP="00722007">
            <w:pPr>
              <w:jc w:val="center"/>
              <w:rPr>
                <w:rFonts w:cs="Arial"/>
                <w:color w:val="000000"/>
                <w:szCs w:val="22"/>
                <w:lang w:eastAsia="it-IT"/>
              </w:rPr>
            </w:pPr>
          </w:p>
        </w:tc>
        <w:tc>
          <w:tcPr>
            <w:tcW w:w="1302" w:type="dxa"/>
            <w:gridSpan w:val="2"/>
            <w:vAlign w:val="center"/>
          </w:tcPr>
          <w:p w14:paraId="56852556" w14:textId="77777777" w:rsidR="00722007" w:rsidRPr="0019790A" w:rsidRDefault="00722007" w:rsidP="00722007">
            <w:pPr>
              <w:jc w:val="center"/>
              <w:rPr>
                <w:rFonts w:cs="Arial"/>
                <w:color w:val="000000"/>
                <w:szCs w:val="22"/>
                <w:lang w:eastAsia="it-IT"/>
              </w:rPr>
            </w:pPr>
          </w:p>
        </w:tc>
        <w:tc>
          <w:tcPr>
            <w:tcW w:w="1510" w:type="dxa"/>
            <w:vAlign w:val="center"/>
          </w:tcPr>
          <w:p w14:paraId="39F8DD74" w14:textId="77777777" w:rsidR="00722007" w:rsidRPr="00722007" w:rsidRDefault="00722007" w:rsidP="00722007">
            <w:pPr>
              <w:jc w:val="center"/>
              <w:rPr>
                <w:rFonts w:cs="Arial"/>
                <w:b/>
                <w:color w:val="000000"/>
                <w:szCs w:val="22"/>
                <w:lang w:eastAsia="it-IT"/>
              </w:rPr>
            </w:pPr>
          </w:p>
        </w:tc>
      </w:tr>
      <w:tr w:rsidR="00722007" w:rsidRPr="0019790A" w14:paraId="46BC0A03" w14:textId="26D836CB" w:rsidTr="00722007">
        <w:trPr>
          <w:trHeight w:val="275"/>
          <w:jc w:val="right"/>
        </w:trPr>
        <w:tc>
          <w:tcPr>
            <w:tcW w:w="3425" w:type="dxa"/>
            <w:shd w:val="clear" w:color="auto" w:fill="FFFFFF"/>
            <w:vAlign w:val="center"/>
          </w:tcPr>
          <w:p w14:paraId="61C58F74" w14:textId="77777777" w:rsidR="00722007" w:rsidRPr="0019790A" w:rsidRDefault="00722007" w:rsidP="0019790A">
            <w:pPr>
              <w:rPr>
                <w:rFonts w:cs="Arial"/>
                <w:color w:val="000000"/>
                <w:szCs w:val="22"/>
              </w:rPr>
            </w:pPr>
            <w:r w:rsidRPr="0019790A">
              <w:rPr>
                <w:rFonts w:cs="Arial"/>
                <w:color w:val="000000"/>
                <w:szCs w:val="22"/>
              </w:rPr>
              <w:t>- бюджет Жмеринської МТГ</w:t>
            </w:r>
          </w:p>
        </w:tc>
        <w:tc>
          <w:tcPr>
            <w:tcW w:w="1290" w:type="dxa"/>
            <w:gridSpan w:val="2"/>
            <w:vAlign w:val="center"/>
          </w:tcPr>
          <w:p w14:paraId="731D5112" w14:textId="354BABB5" w:rsidR="00722007" w:rsidRPr="0019790A" w:rsidRDefault="00722007" w:rsidP="00722007">
            <w:pPr>
              <w:jc w:val="center"/>
              <w:rPr>
                <w:rFonts w:cs="Arial"/>
                <w:color w:val="000000"/>
                <w:szCs w:val="22"/>
                <w:lang w:eastAsia="it-IT"/>
              </w:rPr>
            </w:pPr>
            <w:r w:rsidRPr="0019790A">
              <w:rPr>
                <w:rFonts w:cs="Arial"/>
                <w:color w:val="000000"/>
                <w:szCs w:val="22"/>
                <w:lang w:eastAsia="it-IT"/>
              </w:rPr>
              <w:t>632</w:t>
            </w:r>
          </w:p>
        </w:tc>
        <w:tc>
          <w:tcPr>
            <w:tcW w:w="1252" w:type="dxa"/>
            <w:gridSpan w:val="2"/>
            <w:vAlign w:val="center"/>
          </w:tcPr>
          <w:p w14:paraId="1DE266B2" w14:textId="2A7C6B65" w:rsidR="00722007" w:rsidRPr="0019790A" w:rsidRDefault="00722007" w:rsidP="00722007">
            <w:pPr>
              <w:jc w:val="center"/>
              <w:rPr>
                <w:rFonts w:cs="Arial"/>
                <w:color w:val="000000"/>
                <w:szCs w:val="22"/>
                <w:lang w:eastAsia="it-IT"/>
              </w:rPr>
            </w:pPr>
            <w:r w:rsidRPr="0019790A">
              <w:rPr>
                <w:rFonts w:cs="Arial"/>
                <w:color w:val="000000"/>
                <w:szCs w:val="22"/>
                <w:lang w:eastAsia="it-IT"/>
              </w:rPr>
              <w:t>5282</w:t>
            </w:r>
          </w:p>
        </w:tc>
        <w:tc>
          <w:tcPr>
            <w:tcW w:w="1440" w:type="dxa"/>
            <w:gridSpan w:val="2"/>
            <w:vAlign w:val="center"/>
          </w:tcPr>
          <w:p w14:paraId="50F9C8BD" w14:textId="75BFDD82" w:rsidR="00722007" w:rsidRPr="0019790A" w:rsidRDefault="00722007" w:rsidP="00722007">
            <w:pPr>
              <w:jc w:val="center"/>
              <w:rPr>
                <w:rFonts w:cs="Arial"/>
                <w:color w:val="000000"/>
                <w:szCs w:val="22"/>
                <w:lang w:eastAsia="it-IT"/>
              </w:rPr>
            </w:pPr>
            <w:r w:rsidRPr="0019790A">
              <w:rPr>
                <w:rFonts w:cs="Arial"/>
                <w:color w:val="000000"/>
                <w:szCs w:val="22"/>
                <w:lang w:eastAsia="it-IT"/>
              </w:rPr>
              <w:t>7760,0</w:t>
            </w:r>
          </w:p>
        </w:tc>
        <w:tc>
          <w:tcPr>
            <w:tcW w:w="1302" w:type="dxa"/>
            <w:gridSpan w:val="2"/>
            <w:vAlign w:val="center"/>
          </w:tcPr>
          <w:p w14:paraId="6BD133D8" w14:textId="2CAF9CF2" w:rsidR="00722007" w:rsidRPr="0019790A" w:rsidRDefault="00722007" w:rsidP="00722007">
            <w:pPr>
              <w:jc w:val="center"/>
              <w:rPr>
                <w:rFonts w:cs="Arial"/>
                <w:color w:val="000000"/>
                <w:szCs w:val="22"/>
                <w:lang w:eastAsia="it-IT"/>
              </w:rPr>
            </w:pPr>
          </w:p>
        </w:tc>
        <w:tc>
          <w:tcPr>
            <w:tcW w:w="1510" w:type="dxa"/>
            <w:vAlign w:val="center"/>
          </w:tcPr>
          <w:p w14:paraId="4FBADFFD" w14:textId="24716154" w:rsidR="00722007" w:rsidRPr="00722007" w:rsidRDefault="00722007" w:rsidP="00722007">
            <w:pPr>
              <w:jc w:val="center"/>
              <w:rPr>
                <w:rFonts w:cs="Arial"/>
                <w:b/>
                <w:color w:val="000000"/>
                <w:szCs w:val="22"/>
                <w:lang w:eastAsia="it-IT"/>
              </w:rPr>
            </w:pPr>
            <w:r w:rsidRPr="00722007">
              <w:rPr>
                <w:rFonts w:cs="Arial"/>
                <w:b/>
                <w:color w:val="000000"/>
                <w:szCs w:val="22"/>
                <w:lang w:eastAsia="it-IT"/>
              </w:rPr>
              <w:t>13674,0</w:t>
            </w:r>
          </w:p>
        </w:tc>
      </w:tr>
      <w:tr w:rsidR="00722007" w:rsidRPr="0019790A" w14:paraId="7413D966" w14:textId="0646BFB4" w:rsidTr="00722007">
        <w:trPr>
          <w:trHeight w:val="226"/>
          <w:jc w:val="right"/>
        </w:trPr>
        <w:tc>
          <w:tcPr>
            <w:tcW w:w="3425" w:type="dxa"/>
            <w:shd w:val="clear" w:color="auto" w:fill="FFFFFF"/>
            <w:vAlign w:val="center"/>
          </w:tcPr>
          <w:p w14:paraId="36D8F347" w14:textId="77777777" w:rsidR="00722007" w:rsidRPr="0019790A" w:rsidRDefault="00722007" w:rsidP="0019790A">
            <w:pPr>
              <w:rPr>
                <w:rFonts w:cs="Arial"/>
                <w:color w:val="000000"/>
                <w:szCs w:val="22"/>
              </w:rPr>
            </w:pPr>
            <w:r w:rsidRPr="0019790A">
              <w:rPr>
                <w:rFonts w:cs="Arial"/>
                <w:color w:val="000000"/>
                <w:szCs w:val="22"/>
              </w:rPr>
              <w:t>- інші джерела фінансування</w:t>
            </w:r>
          </w:p>
        </w:tc>
        <w:tc>
          <w:tcPr>
            <w:tcW w:w="1290" w:type="dxa"/>
            <w:gridSpan w:val="2"/>
            <w:vAlign w:val="center"/>
          </w:tcPr>
          <w:p w14:paraId="3BF9AAA2" w14:textId="77777777" w:rsidR="00722007" w:rsidRPr="0019790A" w:rsidRDefault="00722007" w:rsidP="00722007">
            <w:pPr>
              <w:jc w:val="center"/>
              <w:rPr>
                <w:rFonts w:cs="Arial"/>
                <w:color w:val="000000"/>
                <w:szCs w:val="22"/>
                <w:lang w:eastAsia="it-IT"/>
              </w:rPr>
            </w:pPr>
          </w:p>
        </w:tc>
        <w:tc>
          <w:tcPr>
            <w:tcW w:w="1252" w:type="dxa"/>
            <w:gridSpan w:val="2"/>
            <w:vAlign w:val="center"/>
          </w:tcPr>
          <w:p w14:paraId="27AE5ECB" w14:textId="77777777" w:rsidR="00722007" w:rsidRPr="0019790A" w:rsidRDefault="00722007" w:rsidP="00722007">
            <w:pPr>
              <w:jc w:val="center"/>
              <w:rPr>
                <w:rFonts w:cs="Arial"/>
                <w:color w:val="000000"/>
                <w:szCs w:val="22"/>
                <w:lang w:eastAsia="it-IT"/>
              </w:rPr>
            </w:pPr>
          </w:p>
        </w:tc>
        <w:tc>
          <w:tcPr>
            <w:tcW w:w="1440" w:type="dxa"/>
            <w:gridSpan w:val="2"/>
            <w:vAlign w:val="center"/>
          </w:tcPr>
          <w:p w14:paraId="659BF085" w14:textId="77777777" w:rsidR="00722007" w:rsidRPr="0019790A" w:rsidRDefault="00722007" w:rsidP="00722007">
            <w:pPr>
              <w:jc w:val="center"/>
              <w:rPr>
                <w:rFonts w:cs="Arial"/>
                <w:color w:val="000000"/>
                <w:szCs w:val="22"/>
                <w:lang w:eastAsia="it-IT"/>
              </w:rPr>
            </w:pPr>
          </w:p>
        </w:tc>
        <w:tc>
          <w:tcPr>
            <w:tcW w:w="1302" w:type="dxa"/>
            <w:gridSpan w:val="2"/>
            <w:vAlign w:val="center"/>
          </w:tcPr>
          <w:p w14:paraId="19E36CAA" w14:textId="77777777" w:rsidR="00722007" w:rsidRPr="0019790A" w:rsidRDefault="00722007" w:rsidP="00722007">
            <w:pPr>
              <w:jc w:val="center"/>
              <w:rPr>
                <w:rFonts w:cs="Arial"/>
                <w:color w:val="000000"/>
                <w:szCs w:val="22"/>
                <w:lang w:eastAsia="it-IT"/>
              </w:rPr>
            </w:pPr>
          </w:p>
        </w:tc>
        <w:tc>
          <w:tcPr>
            <w:tcW w:w="1510" w:type="dxa"/>
            <w:vAlign w:val="center"/>
          </w:tcPr>
          <w:p w14:paraId="6335200D" w14:textId="77777777" w:rsidR="00722007" w:rsidRPr="0019790A" w:rsidRDefault="00722007" w:rsidP="00722007">
            <w:pPr>
              <w:jc w:val="center"/>
              <w:rPr>
                <w:rFonts w:cs="Arial"/>
                <w:color w:val="000000"/>
                <w:szCs w:val="22"/>
                <w:lang w:eastAsia="it-IT"/>
              </w:rPr>
            </w:pPr>
          </w:p>
        </w:tc>
      </w:tr>
      <w:tr w:rsidR="00860EB4" w:rsidRPr="0019790A" w14:paraId="2E9CD7A8" w14:textId="77777777" w:rsidTr="00787C61">
        <w:trPr>
          <w:jc w:val="right"/>
        </w:trPr>
        <w:tc>
          <w:tcPr>
            <w:tcW w:w="3425" w:type="dxa"/>
            <w:shd w:val="clear" w:color="auto" w:fill="FFFFFF"/>
            <w:vAlign w:val="center"/>
          </w:tcPr>
          <w:p w14:paraId="38880203" w14:textId="77777777" w:rsidR="00860EB4" w:rsidRPr="0019790A" w:rsidRDefault="00860EB4" w:rsidP="0019790A">
            <w:pPr>
              <w:rPr>
                <w:rFonts w:cs="Arial"/>
                <w:b/>
                <w:bCs/>
                <w:color w:val="000000"/>
                <w:szCs w:val="22"/>
              </w:rPr>
            </w:pPr>
            <w:r w:rsidRPr="0019790A">
              <w:rPr>
                <w:rFonts w:cs="Arial"/>
                <w:b/>
                <w:color w:val="000000"/>
                <w:szCs w:val="22"/>
              </w:rPr>
              <w:t>Відповідальний виконавець проєкту:</w:t>
            </w:r>
          </w:p>
        </w:tc>
        <w:tc>
          <w:tcPr>
            <w:tcW w:w="6794" w:type="dxa"/>
            <w:gridSpan w:val="9"/>
            <w:vAlign w:val="center"/>
          </w:tcPr>
          <w:p w14:paraId="54C1EC8E" w14:textId="77777777" w:rsidR="00860EB4" w:rsidRPr="0019790A" w:rsidRDefault="00860EB4" w:rsidP="0019790A">
            <w:pPr>
              <w:jc w:val="both"/>
              <w:rPr>
                <w:rFonts w:cs="Arial"/>
                <w:color w:val="000000"/>
                <w:szCs w:val="22"/>
                <w:lang w:eastAsia="it-IT"/>
              </w:rPr>
            </w:pPr>
            <w:r w:rsidRPr="0019790A">
              <w:rPr>
                <w:rFonts w:cs="Arial"/>
                <w:b/>
                <w:color w:val="000000"/>
                <w:szCs w:val="22"/>
                <w:lang w:eastAsia="it-IT"/>
              </w:rPr>
              <w:t>Управління культури і туризму Жмеринської міської ТГ</w:t>
            </w:r>
          </w:p>
        </w:tc>
      </w:tr>
      <w:tr w:rsidR="00860EB4" w:rsidRPr="0019790A" w14:paraId="6B1D971D" w14:textId="77777777" w:rsidTr="00787C61">
        <w:trPr>
          <w:jc w:val="right"/>
        </w:trPr>
        <w:tc>
          <w:tcPr>
            <w:tcW w:w="3425" w:type="dxa"/>
            <w:shd w:val="clear" w:color="auto" w:fill="FFFFFF"/>
            <w:vAlign w:val="center"/>
          </w:tcPr>
          <w:p w14:paraId="520A1A3A" w14:textId="77777777" w:rsidR="00860EB4" w:rsidRPr="0019790A" w:rsidRDefault="00860EB4" w:rsidP="0019790A">
            <w:pPr>
              <w:rPr>
                <w:rFonts w:cs="Arial"/>
                <w:b/>
                <w:bCs/>
                <w:color w:val="000000"/>
                <w:szCs w:val="22"/>
              </w:rPr>
            </w:pPr>
            <w:r w:rsidRPr="0019790A">
              <w:rPr>
                <w:rFonts w:cs="Arial"/>
                <w:b/>
                <w:bCs/>
                <w:color w:val="000000"/>
                <w:szCs w:val="22"/>
              </w:rPr>
              <w:t>Інше:</w:t>
            </w:r>
          </w:p>
        </w:tc>
        <w:tc>
          <w:tcPr>
            <w:tcW w:w="6794" w:type="dxa"/>
            <w:gridSpan w:val="9"/>
            <w:vAlign w:val="center"/>
          </w:tcPr>
          <w:p w14:paraId="689D06DF" w14:textId="77777777" w:rsidR="00860EB4" w:rsidRPr="0019790A" w:rsidRDefault="00860EB4" w:rsidP="0019790A">
            <w:pPr>
              <w:rPr>
                <w:rFonts w:cs="Arial"/>
                <w:color w:val="000000"/>
                <w:szCs w:val="22"/>
                <w:lang w:eastAsia="it-IT"/>
              </w:rPr>
            </w:pPr>
          </w:p>
        </w:tc>
      </w:tr>
    </w:tbl>
    <w:p w14:paraId="693B2845" w14:textId="77777777" w:rsidR="00860EB4" w:rsidRPr="0019790A" w:rsidRDefault="00860EB4" w:rsidP="0019790A">
      <w:pPr>
        <w:rPr>
          <w:rFonts w:cs="Arial"/>
          <w:szCs w:val="22"/>
        </w:rPr>
      </w:pPr>
    </w:p>
    <w:p w14:paraId="576A3997" w14:textId="6C4C6271" w:rsidR="00860EB4" w:rsidRDefault="00860EB4" w:rsidP="0019790A">
      <w:pPr>
        <w:rPr>
          <w:rFonts w:cs="Arial"/>
          <w:szCs w:val="22"/>
        </w:rPr>
      </w:pPr>
    </w:p>
    <w:p w14:paraId="49697985" w14:textId="77777777" w:rsidR="00722007" w:rsidRPr="0019790A" w:rsidRDefault="00722007" w:rsidP="0019790A">
      <w:pPr>
        <w:rPr>
          <w:rFonts w:cs="Arial"/>
          <w:szCs w:val="22"/>
        </w:rPr>
      </w:pPr>
    </w:p>
    <w:p w14:paraId="0EFABD17" w14:textId="77777777" w:rsidR="00EA6E27" w:rsidRPr="0019790A" w:rsidRDefault="00EA6E27" w:rsidP="0019790A">
      <w:pPr>
        <w:jc w:val="center"/>
        <w:rPr>
          <w:rFonts w:cs="Arial"/>
          <w:b/>
          <w:color w:val="000000"/>
          <w:szCs w:val="22"/>
        </w:rPr>
      </w:pPr>
      <w:r w:rsidRPr="0019790A">
        <w:rPr>
          <w:rFonts w:cs="Arial"/>
          <w:b/>
          <w:color w:val="000000"/>
          <w:szCs w:val="22"/>
        </w:rPr>
        <w:t xml:space="preserve">Форма технічного завдання на проєкт місцевого розвитку </w:t>
      </w:r>
    </w:p>
    <w:p w14:paraId="4434C65D" w14:textId="77777777" w:rsidR="00EA6E27" w:rsidRPr="0019790A" w:rsidRDefault="00EA6E27" w:rsidP="0019790A">
      <w:pPr>
        <w:jc w:val="center"/>
        <w:rPr>
          <w:rFonts w:cs="Arial"/>
          <w:b/>
          <w:color w:val="000000"/>
          <w:szCs w:val="22"/>
        </w:rPr>
      </w:pPr>
      <w:r w:rsidRPr="0019790A">
        <w:rPr>
          <w:rFonts w:cs="Arial"/>
          <w:b/>
          <w:color w:val="000000"/>
          <w:szCs w:val="22"/>
        </w:rPr>
        <w:t>до Плану заходів з реалізації Стратегії</w:t>
      </w:r>
    </w:p>
    <w:p w14:paraId="37AAC1AA" w14:textId="77777777" w:rsidR="00EA6E27" w:rsidRPr="0019790A" w:rsidRDefault="00EA6E27"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4"/>
        <w:gridCol w:w="1254"/>
        <w:gridCol w:w="11"/>
        <w:gridCol w:w="1264"/>
        <w:gridCol w:w="26"/>
        <w:gridCol w:w="1365"/>
        <w:gridCol w:w="27"/>
        <w:gridCol w:w="1276"/>
        <w:gridCol w:w="1572"/>
      </w:tblGrid>
      <w:tr w:rsidR="00EA6E27" w:rsidRPr="0019790A" w14:paraId="5EC9CCE5" w14:textId="77777777" w:rsidTr="00722007">
        <w:trPr>
          <w:trHeight w:val="446"/>
          <w:jc w:val="right"/>
        </w:trPr>
        <w:tc>
          <w:tcPr>
            <w:tcW w:w="3425" w:type="dxa"/>
            <w:vAlign w:val="center"/>
          </w:tcPr>
          <w:p w14:paraId="2CD47578" w14:textId="77777777" w:rsidR="00EA6E27" w:rsidRPr="0019790A" w:rsidRDefault="00EA6E27" w:rsidP="00722007">
            <w:pPr>
              <w:rPr>
                <w:rFonts w:cs="Arial"/>
                <w:b/>
                <w:bCs/>
                <w:color w:val="000000"/>
                <w:szCs w:val="22"/>
              </w:rPr>
            </w:pPr>
            <w:r w:rsidRPr="0019790A">
              <w:rPr>
                <w:rFonts w:cs="Arial"/>
                <w:b/>
                <w:bCs/>
                <w:color w:val="000000"/>
                <w:szCs w:val="22"/>
              </w:rPr>
              <w:t>Назва проєкту:</w:t>
            </w:r>
          </w:p>
        </w:tc>
        <w:tc>
          <w:tcPr>
            <w:tcW w:w="6794" w:type="dxa"/>
            <w:gridSpan w:val="8"/>
            <w:vAlign w:val="center"/>
          </w:tcPr>
          <w:p w14:paraId="6DAB46D8" w14:textId="77777777" w:rsidR="00EA6E27" w:rsidRPr="0019790A" w:rsidRDefault="00EA6E27" w:rsidP="00722007">
            <w:pPr>
              <w:rPr>
                <w:rFonts w:cs="Arial"/>
                <w:b/>
                <w:szCs w:val="22"/>
                <w:lang w:eastAsia="it-IT"/>
              </w:rPr>
            </w:pPr>
            <w:r w:rsidRPr="0019790A">
              <w:rPr>
                <w:rFonts w:cs="Arial"/>
                <w:b/>
                <w:szCs w:val="22"/>
                <w:lang w:eastAsia="it-IT"/>
              </w:rPr>
              <w:t>Проведення у громаді Днів сталої енергії</w:t>
            </w:r>
          </w:p>
        </w:tc>
      </w:tr>
      <w:tr w:rsidR="00EA6E27" w:rsidRPr="0019790A" w14:paraId="5A6E815F" w14:textId="77777777" w:rsidTr="00EA6E27">
        <w:trPr>
          <w:jc w:val="right"/>
        </w:trPr>
        <w:tc>
          <w:tcPr>
            <w:tcW w:w="3425" w:type="dxa"/>
          </w:tcPr>
          <w:p w14:paraId="7EC653EA" w14:textId="77777777" w:rsidR="00EA6E27" w:rsidRPr="0019790A" w:rsidRDefault="00EA6E27"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198E3956" w14:textId="77777777" w:rsidR="00EA6E27" w:rsidRPr="0019790A" w:rsidRDefault="00EA6E27"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8"/>
          </w:tcPr>
          <w:p w14:paraId="003A5F81" w14:textId="77777777" w:rsidR="00EA6E27" w:rsidRPr="0019790A" w:rsidRDefault="00EA6E27" w:rsidP="0019790A">
            <w:pPr>
              <w:rPr>
                <w:rFonts w:cs="Arial"/>
                <w:szCs w:val="22"/>
                <w:lang w:eastAsia="it-IT"/>
              </w:rPr>
            </w:pPr>
            <w:r w:rsidRPr="0019790A">
              <w:rPr>
                <w:rFonts w:cs="Arial"/>
                <w:szCs w:val="22"/>
                <w:lang w:eastAsia="it-IT"/>
              </w:rPr>
              <w:t>Управління економіки та розвитку інфраструктури</w:t>
            </w:r>
          </w:p>
        </w:tc>
      </w:tr>
      <w:tr w:rsidR="00EA6E27" w:rsidRPr="0019790A" w14:paraId="2F692881" w14:textId="77777777" w:rsidTr="00EA6E27">
        <w:trPr>
          <w:jc w:val="right"/>
        </w:trPr>
        <w:tc>
          <w:tcPr>
            <w:tcW w:w="3425" w:type="dxa"/>
          </w:tcPr>
          <w:p w14:paraId="5C660B7A" w14:textId="77777777" w:rsidR="00EA6E27" w:rsidRPr="0019790A" w:rsidRDefault="00EA6E27" w:rsidP="0019790A">
            <w:pPr>
              <w:rPr>
                <w:rFonts w:cs="Arial"/>
                <w:b/>
                <w:bCs/>
                <w:szCs w:val="22"/>
              </w:rPr>
            </w:pPr>
            <w:r w:rsidRPr="0019790A">
              <w:rPr>
                <w:rFonts w:cs="Arial"/>
                <w:szCs w:val="22"/>
                <w:lang w:eastAsia="it-IT"/>
              </w:rPr>
              <w:t>Прізвище Ім’я По-батькові:</w:t>
            </w:r>
          </w:p>
        </w:tc>
        <w:tc>
          <w:tcPr>
            <w:tcW w:w="6794" w:type="dxa"/>
            <w:gridSpan w:val="8"/>
          </w:tcPr>
          <w:p w14:paraId="51D33A1C" w14:textId="77777777" w:rsidR="00EA6E27" w:rsidRPr="0019790A" w:rsidRDefault="00EA6E27" w:rsidP="0019790A">
            <w:pPr>
              <w:rPr>
                <w:rFonts w:cs="Arial"/>
                <w:szCs w:val="22"/>
                <w:lang w:eastAsia="it-IT"/>
              </w:rPr>
            </w:pPr>
            <w:r w:rsidRPr="0019790A">
              <w:rPr>
                <w:rFonts w:cs="Arial"/>
                <w:szCs w:val="22"/>
                <w:lang w:eastAsia="it-IT"/>
              </w:rPr>
              <w:t>Монастирська Ірина Ігорівна</w:t>
            </w:r>
          </w:p>
        </w:tc>
      </w:tr>
      <w:tr w:rsidR="00EA6E27" w:rsidRPr="0019790A" w14:paraId="10E20620" w14:textId="77777777" w:rsidTr="00EA6E27">
        <w:trPr>
          <w:jc w:val="right"/>
        </w:trPr>
        <w:tc>
          <w:tcPr>
            <w:tcW w:w="3425" w:type="dxa"/>
          </w:tcPr>
          <w:p w14:paraId="704398A7" w14:textId="77777777" w:rsidR="00EA6E27" w:rsidRPr="0019790A" w:rsidRDefault="00EA6E27" w:rsidP="0019790A">
            <w:pPr>
              <w:rPr>
                <w:rFonts w:cs="Arial"/>
                <w:b/>
                <w:bCs/>
                <w:szCs w:val="22"/>
              </w:rPr>
            </w:pPr>
            <w:r w:rsidRPr="0019790A">
              <w:rPr>
                <w:rFonts w:cs="Arial"/>
                <w:szCs w:val="22"/>
                <w:lang w:eastAsia="it-IT"/>
              </w:rPr>
              <w:t>Телефон (мобільний):</w:t>
            </w:r>
          </w:p>
        </w:tc>
        <w:tc>
          <w:tcPr>
            <w:tcW w:w="6794" w:type="dxa"/>
            <w:gridSpan w:val="8"/>
          </w:tcPr>
          <w:p w14:paraId="6C443CEB" w14:textId="77777777" w:rsidR="00EA6E27" w:rsidRPr="0019790A" w:rsidRDefault="00EA6E27" w:rsidP="0019790A">
            <w:pPr>
              <w:rPr>
                <w:rFonts w:cs="Arial"/>
                <w:szCs w:val="22"/>
                <w:lang w:eastAsia="it-IT"/>
              </w:rPr>
            </w:pPr>
            <w:r w:rsidRPr="0019790A">
              <w:rPr>
                <w:rFonts w:cs="Arial"/>
                <w:szCs w:val="22"/>
                <w:lang w:eastAsia="it-IT"/>
              </w:rPr>
              <w:t>0987939269</w:t>
            </w:r>
          </w:p>
        </w:tc>
      </w:tr>
      <w:tr w:rsidR="00EA6E27" w:rsidRPr="0019790A" w14:paraId="71F43641" w14:textId="77777777" w:rsidTr="00EA6E27">
        <w:trPr>
          <w:jc w:val="right"/>
        </w:trPr>
        <w:tc>
          <w:tcPr>
            <w:tcW w:w="3425" w:type="dxa"/>
          </w:tcPr>
          <w:p w14:paraId="4A11ABC0" w14:textId="77777777" w:rsidR="00EA6E27" w:rsidRPr="0019790A" w:rsidRDefault="00EA6E27" w:rsidP="0019790A">
            <w:pPr>
              <w:rPr>
                <w:rFonts w:cs="Arial"/>
                <w:b/>
                <w:bCs/>
                <w:szCs w:val="22"/>
              </w:rPr>
            </w:pPr>
            <w:r w:rsidRPr="0019790A">
              <w:rPr>
                <w:rFonts w:cs="Arial"/>
                <w:szCs w:val="22"/>
                <w:lang w:eastAsia="it-IT"/>
              </w:rPr>
              <w:t>Електронна адреса:</w:t>
            </w:r>
          </w:p>
        </w:tc>
        <w:tc>
          <w:tcPr>
            <w:tcW w:w="6794" w:type="dxa"/>
            <w:gridSpan w:val="8"/>
          </w:tcPr>
          <w:p w14:paraId="22F6D272" w14:textId="77777777" w:rsidR="00EA6E27" w:rsidRPr="0019790A" w:rsidRDefault="00D85FFD" w:rsidP="0019790A">
            <w:pPr>
              <w:rPr>
                <w:rFonts w:cs="Arial"/>
                <w:color w:val="000000"/>
                <w:szCs w:val="22"/>
                <w:lang w:eastAsia="it-IT"/>
              </w:rPr>
            </w:pPr>
            <w:hyperlink r:id="rId95" w:history="1">
              <w:r w:rsidR="00EA6E27" w:rsidRPr="0019790A">
                <w:rPr>
                  <w:rStyle w:val="text"/>
                  <w:rFonts w:cs="Arial"/>
                  <w:b/>
                  <w:bCs/>
                  <w:color w:val="000000"/>
                  <w:szCs w:val="22"/>
                  <w:shd w:val="clear" w:color="auto" w:fill="E9EAEC"/>
                </w:rPr>
                <w:t>econ@zhmr.gov.ua</w:t>
              </w:r>
            </w:hyperlink>
          </w:p>
        </w:tc>
      </w:tr>
      <w:tr w:rsidR="00EA6E27" w:rsidRPr="0019790A" w14:paraId="1FCB60CA" w14:textId="77777777" w:rsidTr="00EA6E27">
        <w:trPr>
          <w:jc w:val="right"/>
        </w:trPr>
        <w:tc>
          <w:tcPr>
            <w:tcW w:w="3425" w:type="dxa"/>
            <w:vAlign w:val="center"/>
          </w:tcPr>
          <w:p w14:paraId="40D24975" w14:textId="77777777" w:rsidR="00EA6E27" w:rsidRPr="0019790A" w:rsidRDefault="00EA6E27" w:rsidP="0019790A">
            <w:pPr>
              <w:pStyle w:val="6"/>
              <w:spacing w:before="0" w:after="0"/>
              <w:rPr>
                <w:rFonts w:ascii="Arial" w:hAnsi="Arial" w:cs="Arial"/>
                <w:color w:val="000000"/>
                <w:lang w:val="uk-UA"/>
              </w:rPr>
            </w:pPr>
            <w:r w:rsidRPr="0019790A">
              <w:rPr>
                <w:rFonts w:ascii="Arial" w:hAnsi="Arial" w:cs="Arial"/>
                <w:color w:val="000000"/>
                <w:lang w:val="uk-UA"/>
              </w:rPr>
              <w:t>Номер і назва завдання з Стратегії</w:t>
            </w:r>
            <w:r w:rsidRPr="0019790A">
              <w:rPr>
                <w:rFonts w:ascii="Arial" w:hAnsi="Arial" w:cs="Arial"/>
                <w:lang w:val="uk-UA" w:eastAsia="it-IT"/>
              </w:rPr>
              <w:t xml:space="preserve"> </w:t>
            </w:r>
            <w:r w:rsidRPr="0019790A">
              <w:rPr>
                <w:rFonts w:ascii="Arial" w:hAnsi="Arial" w:cs="Arial"/>
                <w:color w:val="000000"/>
                <w:lang w:val="uk-UA"/>
              </w:rPr>
              <w:t>розвитку Жмеринської міської територіальної громади,  якому відповідає проєкт:</w:t>
            </w:r>
          </w:p>
        </w:tc>
        <w:tc>
          <w:tcPr>
            <w:tcW w:w="6794" w:type="dxa"/>
            <w:gridSpan w:val="8"/>
          </w:tcPr>
          <w:p w14:paraId="5E58F26E" w14:textId="77777777" w:rsidR="00EA6E27" w:rsidRPr="0019790A" w:rsidRDefault="00EA6E27" w:rsidP="0019790A">
            <w:pPr>
              <w:pBdr>
                <w:left w:val="single" w:sz="18" w:space="4" w:color="auto"/>
              </w:pBdr>
              <w:rPr>
                <w:rFonts w:cs="Arial"/>
                <w:szCs w:val="22"/>
                <w:lang w:eastAsia="it-IT"/>
              </w:rPr>
            </w:pPr>
            <w:r w:rsidRPr="0019790A">
              <w:rPr>
                <w:rFonts w:cs="Arial"/>
                <w:szCs w:val="22"/>
                <w:lang w:eastAsia="it-IT"/>
              </w:rPr>
              <w:t>В.2.1.4. Проведення масово-роз’яснювальної роботи серед дітей учнів, молоді та жителів громади щодо енергозбереження та запобігання змінам клімату</w:t>
            </w:r>
          </w:p>
          <w:p w14:paraId="15595981" w14:textId="77777777" w:rsidR="00EA6E27" w:rsidRPr="0019790A" w:rsidRDefault="00EA6E27" w:rsidP="0019790A">
            <w:pPr>
              <w:pBdr>
                <w:left w:val="single" w:sz="18" w:space="4" w:color="auto"/>
              </w:pBdr>
              <w:rPr>
                <w:rFonts w:cs="Arial"/>
                <w:szCs w:val="22"/>
                <w:lang w:eastAsia="it-IT"/>
              </w:rPr>
            </w:pPr>
            <w:r w:rsidRPr="0019790A">
              <w:rPr>
                <w:rFonts w:cs="Arial"/>
                <w:szCs w:val="22"/>
                <w:lang w:eastAsia="it-IT"/>
              </w:rPr>
              <w:t>В.2.3.1. Проведення Днів енергії</w:t>
            </w:r>
          </w:p>
        </w:tc>
      </w:tr>
      <w:tr w:rsidR="00EA6E27" w:rsidRPr="0019790A" w14:paraId="707D6FA0" w14:textId="77777777" w:rsidTr="00EA6E27">
        <w:trPr>
          <w:jc w:val="right"/>
        </w:trPr>
        <w:tc>
          <w:tcPr>
            <w:tcW w:w="3425" w:type="dxa"/>
            <w:vAlign w:val="center"/>
          </w:tcPr>
          <w:p w14:paraId="584CDE54" w14:textId="77777777" w:rsidR="00EA6E27" w:rsidRPr="0019790A" w:rsidRDefault="00EA6E27" w:rsidP="0019790A">
            <w:pPr>
              <w:rPr>
                <w:rFonts w:cs="Arial"/>
                <w:b/>
                <w:bCs/>
                <w:color w:val="000000"/>
                <w:szCs w:val="22"/>
              </w:rPr>
            </w:pPr>
            <w:r w:rsidRPr="0019790A">
              <w:rPr>
                <w:rFonts w:cs="Arial"/>
                <w:b/>
                <w:bCs/>
                <w:color w:val="000000"/>
                <w:szCs w:val="22"/>
              </w:rPr>
              <w:t>Мета проєкту:</w:t>
            </w:r>
          </w:p>
        </w:tc>
        <w:tc>
          <w:tcPr>
            <w:tcW w:w="6794" w:type="dxa"/>
            <w:gridSpan w:val="8"/>
          </w:tcPr>
          <w:p w14:paraId="17FA1828" w14:textId="77777777" w:rsidR="00EA6E27" w:rsidRPr="0019790A" w:rsidRDefault="00EA6E27" w:rsidP="0019790A">
            <w:pPr>
              <w:rPr>
                <w:rFonts w:cs="Arial"/>
                <w:szCs w:val="22"/>
                <w:lang w:eastAsia="it-IT"/>
              </w:rPr>
            </w:pPr>
            <w:r w:rsidRPr="0019790A">
              <w:rPr>
                <w:rFonts w:cs="Arial"/>
                <w:szCs w:val="22"/>
                <w:lang w:eastAsia="it-IT"/>
              </w:rPr>
              <w:t>Підвищення обізнаності мешканців громади щодо ефективного використання енергії, збереження довкілля та впровадження принципів сталого розвитку  через проведення інформаційно-просвітницьких заходів у рамках Днів сталої енергії.</w:t>
            </w:r>
          </w:p>
        </w:tc>
      </w:tr>
      <w:tr w:rsidR="00EA6E27" w:rsidRPr="0019790A" w14:paraId="63EE7B1D" w14:textId="77777777" w:rsidTr="00EA6E27">
        <w:trPr>
          <w:jc w:val="right"/>
        </w:trPr>
        <w:tc>
          <w:tcPr>
            <w:tcW w:w="3425" w:type="dxa"/>
            <w:vAlign w:val="center"/>
          </w:tcPr>
          <w:p w14:paraId="173036B4" w14:textId="77777777" w:rsidR="00EA6E27" w:rsidRPr="0019790A" w:rsidRDefault="00EA6E27" w:rsidP="0019790A">
            <w:pPr>
              <w:rPr>
                <w:rFonts w:cs="Arial"/>
                <w:b/>
                <w:bCs/>
                <w:color w:val="000000"/>
                <w:szCs w:val="22"/>
              </w:rPr>
            </w:pPr>
            <w:r w:rsidRPr="0019790A">
              <w:rPr>
                <w:rFonts w:cs="Arial"/>
                <w:b/>
                <w:bCs/>
                <w:color w:val="000000"/>
                <w:szCs w:val="22"/>
              </w:rPr>
              <w:t>Цілі проєкту:</w:t>
            </w:r>
          </w:p>
        </w:tc>
        <w:tc>
          <w:tcPr>
            <w:tcW w:w="6794" w:type="dxa"/>
            <w:gridSpan w:val="8"/>
          </w:tcPr>
          <w:p w14:paraId="2FAF4852" w14:textId="0F07AB69" w:rsidR="00EA6E27" w:rsidRPr="0019790A" w:rsidRDefault="00EA6E27" w:rsidP="00722007">
            <w:pPr>
              <w:jc w:val="both"/>
              <w:rPr>
                <w:rFonts w:cs="Arial"/>
                <w:szCs w:val="22"/>
              </w:rPr>
            </w:pPr>
            <w:r w:rsidRPr="0019790A">
              <w:rPr>
                <w:rFonts w:cs="Arial"/>
                <w:szCs w:val="22"/>
              </w:rPr>
              <w:t>Долучитись до Європейської традиції проведення Д</w:t>
            </w:r>
            <w:r w:rsidR="00722007">
              <w:rPr>
                <w:rFonts w:cs="Arial"/>
                <w:szCs w:val="22"/>
              </w:rPr>
              <w:t>нів сталої енергії та п</w:t>
            </w:r>
            <w:r w:rsidRPr="0019790A">
              <w:rPr>
                <w:rFonts w:cs="Arial"/>
                <w:szCs w:val="22"/>
              </w:rPr>
              <w:t xml:space="preserve">роведення інформаційної кампанії з </w:t>
            </w:r>
            <w:r w:rsidR="00722007" w:rsidRPr="0019790A">
              <w:rPr>
                <w:rFonts w:cs="Arial"/>
                <w:szCs w:val="22"/>
              </w:rPr>
              <w:t>енергоефективності</w:t>
            </w:r>
            <w:r w:rsidRPr="0019790A">
              <w:rPr>
                <w:rFonts w:cs="Arial"/>
                <w:szCs w:val="22"/>
              </w:rPr>
              <w:t xml:space="preserve"> серед населення громади.</w:t>
            </w:r>
          </w:p>
          <w:p w14:paraId="3D042AE5" w14:textId="36539F24" w:rsidR="00EA6E27" w:rsidRPr="0019790A" w:rsidRDefault="00EA6E27" w:rsidP="00722007">
            <w:pPr>
              <w:rPr>
                <w:rFonts w:cs="Arial"/>
                <w:szCs w:val="22"/>
                <w:lang w:eastAsia="it-IT"/>
              </w:rPr>
            </w:pPr>
            <w:r w:rsidRPr="0019790A">
              <w:rPr>
                <w:rFonts w:cs="Arial"/>
                <w:szCs w:val="22"/>
              </w:rPr>
              <w:t>Залучення мешканців до ініціатив з енергозбереження.</w:t>
            </w:r>
          </w:p>
        </w:tc>
      </w:tr>
      <w:tr w:rsidR="00EA6E27" w:rsidRPr="0019790A" w14:paraId="38A682E1" w14:textId="77777777" w:rsidTr="00EA6E27">
        <w:trPr>
          <w:jc w:val="right"/>
        </w:trPr>
        <w:tc>
          <w:tcPr>
            <w:tcW w:w="3425" w:type="dxa"/>
            <w:vAlign w:val="center"/>
          </w:tcPr>
          <w:p w14:paraId="4EF60544" w14:textId="77777777" w:rsidR="00EA6E27" w:rsidRPr="0019790A" w:rsidRDefault="00EA6E27" w:rsidP="0019790A">
            <w:pPr>
              <w:autoSpaceDE w:val="0"/>
              <w:autoSpaceDN w:val="0"/>
              <w:adjustRightInd w:val="0"/>
              <w:rPr>
                <w:rFonts w:cs="Arial"/>
                <w:b/>
                <w:color w:val="000000"/>
                <w:szCs w:val="22"/>
              </w:rPr>
            </w:pPr>
            <w:r w:rsidRPr="0019790A">
              <w:rPr>
                <w:rFonts w:cs="Arial"/>
                <w:b/>
                <w:color w:val="000000"/>
                <w:szCs w:val="22"/>
              </w:rPr>
              <w:t>Територія на яку проєкт матиме вплив:</w:t>
            </w:r>
          </w:p>
        </w:tc>
        <w:tc>
          <w:tcPr>
            <w:tcW w:w="6794" w:type="dxa"/>
            <w:gridSpan w:val="8"/>
          </w:tcPr>
          <w:p w14:paraId="4F34D399" w14:textId="77777777" w:rsidR="00EA6E27" w:rsidRPr="0019790A" w:rsidRDefault="00EA6E27" w:rsidP="0019790A">
            <w:pPr>
              <w:rPr>
                <w:rFonts w:cs="Arial"/>
                <w:szCs w:val="22"/>
                <w:lang w:eastAsia="it-IT"/>
              </w:rPr>
            </w:pPr>
            <w:r w:rsidRPr="0019790A">
              <w:rPr>
                <w:rFonts w:cs="Arial"/>
                <w:szCs w:val="22"/>
                <w:lang w:eastAsia="it-IT"/>
              </w:rPr>
              <w:t>Жмеринська міська територіальна громада</w:t>
            </w:r>
          </w:p>
        </w:tc>
      </w:tr>
      <w:tr w:rsidR="00EA6E27" w:rsidRPr="0019790A" w14:paraId="0F174B11" w14:textId="77777777" w:rsidTr="00EA6E27">
        <w:trPr>
          <w:jc w:val="right"/>
        </w:trPr>
        <w:tc>
          <w:tcPr>
            <w:tcW w:w="3425" w:type="dxa"/>
            <w:vAlign w:val="center"/>
          </w:tcPr>
          <w:p w14:paraId="66F7B399" w14:textId="77777777" w:rsidR="00EA6E27" w:rsidRPr="0019790A" w:rsidRDefault="00EA6E27" w:rsidP="0019790A">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4" w:type="dxa"/>
            <w:gridSpan w:val="8"/>
          </w:tcPr>
          <w:p w14:paraId="47B1E7D2" w14:textId="77777777" w:rsidR="00EA6E27" w:rsidRPr="0019790A" w:rsidRDefault="00EA6E27" w:rsidP="0019790A">
            <w:pPr>
              <w:tabs>
                <w:tab w:val="left" w:pos="3825"/>
              </w:tabs>
              <w:rPr>
                <w:rFonts w:cs="Arial"/>
                <w:szCs w:val="22"/>
                <w:lang w:eastAsia="it-IT"/>
              </w:rPr>
            </w:pPr>
            <w:r w:rsidRPr="0019790A">
              <w:rPr>
                <w:rFonts w:cs="Arial"/>
                <w:szCs w:val="22"/>
                <w:lang w:eastAsia="it-IT"/>
              </w:rPr>
              <w:t>48,271 тис.осіб</w:t>
            </w:r>
            <w:r w:rsidRPr="0019790A">
              <w:rPr>
                <w:rFonts w:cs="Arial"/>
                <w:szCs w:val="22"/>
                <w:lang w:eastAsia="it-IT"/>
              </w:rPr>
              <w:tab/>
            </w:r>
          </w:p>
        </w:tc>
      </w:tr>
      <w:tr w:rsidR="00EA6E27" w:rsidRPr="0019790A" w14:paraId="6961F845" w14:textId="77777777" w:rsidTr="00EA6E27">
        <w:trPr>
          <w:jc w:val="right"/>
        </w:trPr>
        <w:tc>
          <w:tcPr>
            <w:tcW w:w="3425" w:type="dxa"/>
            <w:shd w:val="clear" w:color="auto" w:fill="FFFFFF"/>
            <w:vAlign w:val="center"/>
          </w:tcPr>
          <w:p w14:paraId="0BA7949C" w14:textId="77777777" w:rsidR="00EA6E27" w:rsidRPr="0019790A" w:rsidRDefault="00EA6E27" w:rsidP="0019790A">
            <w:pPr>
              <w:rPr>
                <w:rFonts w:cs="Arial"/>
                <w:b/>
                <w:bCs/>
                <w:color w:val="000000"/>
                <w:szCs w:val="22"/>
              </w:rPr>
            </w:pPr>
            <w:r w:rsidRPr="0019790A">
              <w:rPr>
                <w:rFonts w:cs="Arial"/>
                <w:b/>
                <w:bCs/>
                <w:color w:val="000000"/>
                <w:szCs w:val="22"/>
              </w:rPr>
              <w:t>Стислий опис проєкту:</w:t>
            </w:r>
          </w:p>
        </w:tc>
        <w:tc>
          <w:tcPr>
            <w:tcW w:w="6794" w:type="dxa"/>
            <w:gridSpan w:val="8"/>
          </w:tcPr>
          <w:p w14:paraId="36FCD873" w14:textId="77777777" w:rsidR="00EA6E27" w:rsidRPr="0019790A" w:rsidRDefault="00EA6E27" w:rsidP="0019790A">
            <w:pPr>
              <w:rPr>
                <w:rFonts w:cs="Arial"/>
                <w:szCs w:val="22"/>
                <w:lang w:eastAsia="it-IT"/>
              </w:rPr>
            </w:pPr>
            <w:r w:rsidRPr="0019790A">
              <w:rPr>
                <w:rFonts w:cs="Arial"/>
                <w:szCs w:val="22"/>
                <w:lang w:eastAsia="it-IT"/>
              </w:rPr>
              <w:t>Проведення Днів  сталої енергії у громаді в рамках Європейських днів енергії.</w:t>
            </w:r>
          </w:p>
          <w:p w14:paraId="1D087AF6" w14:textId="77777777" w:rsidR="00EA6E27" w:rsidRPr="0019790A" w:rsidRDefault="00EA6E27" w:rsidP="0019790A">
            <w:pPr>
              <w:rPr>
                <w:rFonts w:cs="Arial"/>
                <w:szCs w:val="22"/>
                <w:lang w:eastAsia="it-IT"/>
              </w:rPr>
            </w:pPr>
          </w:p>
        </w:tc>
      </w:tr>
      <w:tr w:rsidR="00EA6E27" w:rsidRPr="0019790A" w14:paraId="26E6D71C" w14:textId="77777777" w:rsidTr="00EA6E27">
        <w:trPr>
          <w:jc w:val="right"/>
        </w:trPr>
        <w:tc>
          <w:tcPr>
            <w:tcW w:w="3425" w:type="dxa"/>
            <w:shd w:val="clear" w:color="auto" w:fill="FFFFFF"/>
            <w:vAlign w:val="center"/>
          </w:tcPr>
          <w:p w14:paraId="6E7E6527" w14:textId="77777777" w:rsidR="00EA6E27" w:rsidRPr="0019790A" w:rsidRDefault="00EA6E27" w:rsidP="0019790A">
            <w:pPr>
              <w:rPr>
                <w:rFonts w:cs="Arial"/>
                <w:b/>
                <w:bCs/>
                <w:color w:val="000000"/>
                <w:szCs w:val="22"/>
              </w:rPr>
            </w:pPr>
            <w:r w:rsidRPr="0019790A">
              <w:rPr>
                <w:rFonts w:cs="Arial"/>
                <w:b/>
                <w:bCs/>
                <w:color w:val="000000"/>
                <w:szCs w:val="22"/>
              </w:rPr>
              <w:t>Основні заходи проєкту:</w:t>
            </w:r>
          </w:p>
        </w:tc>
        <w:tc>
          <w:tcPr>
            <w:tcW w:w="6794" w:type="dxa"/>
            <w:gridSpan w:val="8"/>
          </w:tcPr>
          <w:p w14:paraId="01FB6D34" w14:textId="77777777" w:rsidR="00EA6E27" w:rsidRPr="0019790A" w:rsidRDefault="00EA6E27" w:rsidP="00722007">
            <w:pPr>
              <w:jc w:val="both"/>
              <w:rPr>
                <w:rFonts w:cs="Arial"/>
                <w:szCs w:val="22"/>
              </w:rPr>
            </w:pPr>
            <w:r w:rsidRPr="0019790A">
              <w:rPr>
                <w:rFonts w:cs="Arial"/>
                <w:szCs w:val="22"/>
              </w:rPr>
              <w:t>Підвищення обізнаності громадян в енергоефективних заходах, залучення дітей та молоді до активної участі у програмах енергозбереження, популяризації державної програми «Енергодім» серед населення, інтеграція муніципальних ініціатив з енергоефективності у повсякденне житня громади.</w:t>
            </w:r>
          </w:p>
          <w:p w14:paraId="259903E3" w14:textId="5D444CE0" w:rsidR="00EA6E27" w:rsidRPr="0019790A" w:rsidRDefault="00EA6E27" w:rsidP="00722007">
            <w:pPr>
              <w:widowControl w:val="0"/>
              <w:tabs>
                <w:tab w:val="left" w:pos="5829"/>
                <w:tab w:val="left" w:pos="9720"/>
                <w:tab w:val="left" w:pos="10357"/>
              </w:tabs>
              <w:autoSpaceDE w:val="0"/>
              <w:autoSpaceDN w:val="0"/>
              <w:jc w:val="both"/>
              <w:rPr>
                <w:rFonts w:cs="Arial"/>
                <w:szCs w:val="22"/>
              </w:rPr>
            </w:pPr>
            <w:r w:rsidRPr="0019790A">
              <w:rPr>
                <w:rFonts w:cs="Arial"/>
                <w:szCs w:val="22"/>
              </w:rPr>
              <w:t xml:space="preserve">Проведення інформаційної компанії з </w:t>
            </w:r>
            <w:r w:rsidR="00722007" w:rsidRPr="0019790A">
              <w:rPr>
                <w:rFonts w:cs="Arial"/>
                <w:szCs w:val="22"/>
              </w:rPr>
              <w:t>енергоефективності</w:t>
            </w:r>
            <w:r w:rsidRPr="0019790A">
              <w:rPr>
                <w:rFonts w:cs="Arial"/>
                <w:szCs w:val="22"/>
              </w:rPr>
              <w:t xml:space="preserve"> .</w:t>
            </w:r>
          </w:p>
          <w:p w14:paraId="7A36E472" w14:textId="77777777" w:rsidR="00EA6E27" w:rsidRPr="0019790A" w:rsidRDefault="00EA6E27" w:rsidP="00722007">
            <w:pPr>
              <w:widowControl w:val="0"/>
              <w:tabs>
                <w:tab w:val="left" w:pos="5829"/>
                <w:tab w:val="left" w:pos="9720"/>
                <w:tab w:val="left" w:pos="10357"/>
              </w:tabs>
              <w:autoSpaceDE w:val="0"/>
              <w:autoSpaceDN w:val="0"/>
              <w:jc w:val="both"/>
              <w:rPr>
                <w:rFonts w:cs="Arial"/>
                <w:szCs w:val="22"/>
              </w:rPr>
            </w:pPr>
            <w:r w:rsidRPr="0019790A">
              <w:rPr>
                <w:rFonts w:cs="Arial"/>
                <w:szCs w:val="22"/>
              </w:rPr>
              <w:t>Залучення мешканців до ініціатив з енергозбереження.</w:t>
            </w:r>
          </w:p>
        </w:tc>
      </w:tr>
      <w:tr w:rsidR="00EA6E27" w:rsidRPr="0019790A" w14:paraId="0323829B" w14:textId="77777777" w:rsidTr="00EA6E27">
        <w:trPr>
          <w:jc w:val="right"/>
        </w:trPr>
        <w:tc>
          <w:tcPr>
            <w:tcW w:w="3425" w:type="dxa"/>
            <w:shd w:val="clear" w:color="auto" w:fill="FFFFFF"/>
            <w:vAlign w:val="center"/>
          </w:tcPr>
          <w:p w14:paraId="00D72405" w14:textId="77777777" w:rsidR="00EA6E27" w:rsidRPr="0019790A" w:rsidRDefault="00EA6E27"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794" w:type="dxa"/>
            <w:gridSpan w:val="8"/>
          </w:tcPr>
          <w:p w14:paraId="588D74EF" w14:textId="77777777" w:rsidR="00EA6E27" w:rsidRPr="0019790A" w:rsidRDefault="00EA6E27" w:rsidP="00722007">
            <w:pPr>
              <w:jc w:val="both"/>
              <w:rPr>
                <w:rFonts w:cs="Arial"/>
                <w:szCs w:val="22"/>
                <w:lang w:eastAsia="it-IT"/>
              </w:rPr>
            </w:pPr>
            <w:r w:rsidRPr="0019790A">
              <w:rPr>
                <w:rFonts w:cs="Arial"/>
                <w:szCs w:val="22"/>
                <w:lang w:eastAsia="it-IT"/>
              </w:rPr>
              <w:t>1. Охоплення та залучення Днів сталої енергії (кількість учасників - 100 осіб, кількість проведених заходів -4);</w:t>
            </w:r>
          </w:p>
          <w:p w14:paraId="45CBD99B" w14:textId="77777777" w:rsidR="00EA6E27" w:rsidRPr="0019790A" w:rsidRDefault="00EA6E27" w:rsidP="00722007">
            <w:pPr>
              <w:jc w:val="both"/>
              <w:rPr>
                <w:rFonts w:cs="Arial"/>
                <w:szCs w:val="22"/>
                <w:lang w:eastAsia="it-IT"/>
              </w:rPr>
            </w:pPr>
            <w:r w:rsidRPr="0019790A">
              <w:rPr>
                <w:rFonts w:cs="Arial"/>
                <w:szCs w:val="22"/>
                <w:lang w:eastAsia="it-IT"/>
              </w:rPr>
              <w:t>2.Інформаційна ефективність ( кількість інформаційних матеріалів -5);</w:t>
            </w:r>
          </w:p>
          <w:p w14:paraId="3867DA03" w14:textId="77777777" w:rsidR="00EA6E27" w:rsidRPr="0019790A" w:rsidRDefault="00EA6E27" w:rsidP="00722007">
            <w:pPr>
              <w:jc w:val="both"/>
              <w:rPr>
                <w:rFonts w:cs="Arial"/>
                <w:szCs w:val="22"/>
                <w:lang w:eastAsia="it-IT"/>
              </w:rPr>
            </w:pPr>
            <w:r w:rsidRPr="0019790A">
              <w:rPr>
                <w:rFonts w:cs="Arial"/>
                <w:szCs w:val="22"/>
                <w:lang w:eastAsia="it-IT"/>
              </w:rPr>
              <w:t>3.Освітній вплив (кількість учасників освітніх тренінгів, сесій, зміна рівня обізнаності про питання енергоефективності, кількість розроблених і запроваджених навчальних матеріалів).</w:t>
            </w:r>
          </w:p>
        </w:tc>
      </w:tr>
      <w:tr w:rsidR="00EA6E27" w:rsidRPr="0019790A" w14:paraId="08CE172E" w14:textId="77777777" w:rsidTr="00EA6E27">
        <w:trPr>
          <w:jc w:val="right"/>
        </w:trPr>
        <w:tc>
          <w:tcPr>
            <w:tcW w:w="3425" w:type="dxa"/>
            <w:shd w:val="clear" w:color="auto" w:fill="FFFFFF"/>
            <w:vAlign w:val="center"/>
          </w:tcPr>
          <w:p w14:paraId="04561BCD" w14:textId="77777777" w:rsidR="00EA6E27" w:rsidRPr="0019790A" w:rsidRDefault="00EA6E27" w:rsidP="0019790A">
            <w:pPr>
              <w:rPr>
                <w:rFonts w:cs="Arial"/>
                <w:b/>
                <w:color w:val="000000"/>
                <w:szCs w:val="22"/>
              </w:rPr>
            </w:pPr>
            <w:r w:rsidRPr="0019790A">
              <w:rPr>
                <w:rFonts w:cs="Arial"/>
                <w:b/>
                <w:color w:val="000000"/>
                <w:szCs w:val="22"/>
              </w:rPr>
              <w:t xml:space="preserve">Період здійснення: </w:t>
            </w:r>
          </w:p>
        </w:tc>
        <w:tc>
          <w:tcPr>
            <w:tcW w:w="6794" w:type="dxa"/>
            <w:gridSpan w:val="8"/>
            <w:vAlign w:val="center"/>
          </w:tcPr>
          <w:p w14:paraId="76753062" w14:textId="77777777" w:rsidR="00EA6E27" w:rsidRPr="0019790A" w:rsidRDefault="00EA6E27" w:rsidP="0019790A">
            <w:pPr>
              <w:jc w:val="center"/>
              <w:rPr>
                <w:rFonts w:cs="Arial"/>
                <w:color w:val="000000"/>
                <w:szCs w:val="22"/>
                <w:lang w:eastAsia="it-IT"/>
              </w:rPr>
            </w:pPr>
            <w:r w:rsidRPr="0019790A">
              <w:rPr>
                <w:rFonts w:cs="Arial"/>
                <w:b/>
                <w:color w:val="000000"/>
                <w:szCs w:val="22"/>
              </w:rPr>
              <w:t>2025 – 2028 роки:</w:t>
            </w:r>
          </w:p>
        </w:tc>
      </w:tr>
      <w:tr w:rsidR="00EA6E27" w:rsidRPr="0019790A" w14:paraId="6A3E6FC8" w14:textId="77777777" w:rsidTr="00EA6E27">
        <w:trPr>
          <w:jc w:val="right"/>
        </w:trPr>
        <w:tc>
          <w:tcPr>
            <w:tcW w:w="3425" w:type="dxa"/>
            <w:vMerge w:val="restart"/>
            <w:shd w:val="clear" w:color="auto" w:fill="FFFFFF"/>
            <w:vAlign w:val="center"/>
          </w:tcPr>
          <w:p w14:paraId="655C0684" w14:textId="77777777" w:rsidR="00EA6E27" w:rsidRPr="0019790A" w:rsidRDefault="00EA6E27" w:rsidP="0019790A">
            <w:pPr>
              <w:rPr>
                <w:rFonts w:cs="Arial"/>
                <w:b/>
                <w:bCs/>
                <w:color w:val="000000"/>
                <w:szCs w:val="22"/>
              </w:rPr>
            </w:pPr>
            <w:r w:rsidRPr="0019790A">
              <w:rPr>
                <w:rFonts w:cs="Arial"/>
                <w:b/>
                <w:bCs/>
                <w:color w:val="000000"/>
                <w:szCs w:val="22"/>
              </w:rPr>
              <w:t>Орієнтовна вартість проєкту, тис. грн., в тому числі:</w:t>
            </w:r>
          </w:p>
        </w:tc>
        <w:tc>
          <w:tcPr>
            <w:tcW w:w="1254" w:type="dxa"/>
            <w:shd w:val="clear" w:color="auto" w:fill="E6E6E6"/>
            <w:vAlign w:val="center"/>
          </w:tcPr>
          <w:p w14:paraId="1672E8BF" w14:textId="77777777" w:rsidR="00EA6E27" w:rsidRPr="0019790A" w:rsidRDefault="00EA6E27" w:rsidP="0019790A">
            <w:pPr>
              <w:jc w:val="center"/>
              <w:rPr>
                <w:rFonts w:cs="Arial"/>
                <w:b/>
                <w:color w:val="000000"/>
                <w:szCs w:val="22"/>
                <w:lang w:eastAsia="it-IT"/>
              </w:rPr>
            </w:pPr>
            <w:r w:rsidRPr="0019790A">
              <w:rPr>
                <w:rFonts w:cs="Arial"/>
                <w:b/>
                <w:color w:val="000000"/>
                <w:szCs w:val="22"/>
                <w:lang w:eastAsia="it-IT"/>
              </w:rPr>
              <w:t>2025</w:t>
            </w:r>
          </w:p>
        </w:tc>
        <w:tc>
          <w:tcPr>
            <w:tcW w:w="1275" w:type="dxa"/>
            <w:gridSpan w:val="2"/>
            <w:shd w:val="clear" w:color="auto" w:fill="E6E6E6"/>
            <w:vAlign w:val="center"/>
          </w:tcPr>
          <w:p w14:paraId="5157A55A" w14:textId="77777777" w:rsidR="00EA6E27" w:rsidRPr="0019790A" w:rsidRDefault="00EA6E27" w:rsidP="0019790A">
            <w:pPr>
              <w:jc w:val="center"/>
              <w:rPr>
                <w:rFonts w:cs="Arial"/>
                <w:b/>
                <w:color w:val="000000"/>
                <w:szCs w:val="22"/>
                <w:lang w:eastAsia="it-IT"/>
              </w:rPr>
            </w:pPr>
            <w:r w:rsidRPr="0019790A">
              <w:rPr>
                <w:rFonts w:cs="Arial"/>
                <w:b/>
                <w:color w:val="000000"/>
                <w:szCs w:val="22"/>
                <w:lang w:eastAsia="it-IT"/>
              </w:rPr>
              <w:t>2026</w:t>
            </w:r>
          </w:p>
        </w:tc>
        <w:tc>
          <w:tcPr>
            <w:tcW w:w="1418" w:type="dxa"/>
            <w:gridSpan w:val="3"/>
            <w:tcBorders>
              <w:bottom w:val="single" w:sz="4" w:space="0" w:color="auto"/>
            </w:tcBorders>
            <w:shd w:val="clear" w:color="auto" w:fill="E6E6E6"/>
            <w:vAlign w:val="center"/>
          </w:tcPr>
          <w:p w14:paraId="2A6F4FDA" w14:textId="77777777" w:rsidR="00EA6E27" w:rsidRPr="0019790A" w:rsidRDefault="00EA6E27" w:rsidP="0019790A">
            <w:pPr>
              <w:jc w:val="center"/>
              <w:rPr>
                <w:rFonts w:cs="Arial"/>
                <w:b/>
                <w:color w:val="000000"/>
                <w:szCs w:val="22"/>
                <w:lang w:eastAsia="it-IT"/>
              </w:rPr>
            </w:pPr>
            <w:r w:rsidRPr="0019790A">
              <w:rPr>
                <w:rFonts w:cs="Arial"/>
                <w:b/>
                <w:color w:val="000000"/>
                <w:szCs w:val="22"/>
                <w:lang w:eastAsia="it-IT"/>
              </w:rPr>
              <w:t>2027</w:t>
            </w:r>
          </w:p>
        </w:tc>
        <w:tc>
          <w:tcPr>
            <w:tcW w:w="1276" w:type="dxa"/>
            <w:shd w:val="clear" w:color="auto" w:fill="E6E6E6"/>
            <w:vAlign w:val="center"/>
          </w:tcPr>
          <w:p w14:paraId="0B573617" w14:textId="77777777" w:rsidR="00EA6E27" w:rsidRPr="0019790A" w:rsidRDefault="00EA6E27" w:rsidP="0019790A">
            <w:pPr>
              <w:jc w:val="center"/>
              <w:rPr>
                <w:rFonts w:cs="Arial"/>
                <w:b/>
                <w:color w:val="000000"/>
                <w:szCs w:val="22"/>
                <w:lang w:eastAsia="it-IT"/>
              </w:rPr>
            </w:pPr>
            <w:r w:rsidRPr="0019790A">
              <w:rPr>
                <w:rFonts w:cs="Arial"/>
                <w:b/>
                <w:color w:val="000000"/>
                <w:szCs w:val="22"/>
                <w:lang w:eastAsia="it-IT"/>
              </w:rPr>
              <w:t>2028</w:t>
            </w:r>
          </w:p>
        </w:tc>
        <w:tc>
          <w:tcPr>
            <w:tcW w:w="1571" w:type="dxa"/>
            <w:shd w:val="clear" w:color="auto" w:fill="E6E6E6"/>
            <w:vAlign w:val="center"/>
          </w:tcPr>
          <w:p w14:paraId="2BC2C64E" w14:textId="77777777" w:rsidR="00EA6E27" w:rsidRPr="0019790A" w:rsidRDefault="00EA6E27" w:rsidP="0019790A">
            <w:pPr>
              <w:jc w:val="center"/>
              <w:rPr>
                <w:rFonts w:cs="Arial"/>
                <w:b/>
                <w:color w:val="000000"/>
                <w:szCs w:val="22"/>
                <w:lang w:eastAsia="it-IT"/>
              </w:rPr>
            </w:pPr>
            <w:r w:rsidRPr="0019790A">
              <w:rPr>
                <w:rFonts w:cs="Arial"/>
                <w:b/>
                <w:color w:val="000000"/>
                <w:szCs w:val="22"/>
                <w:lang w:eastAsia="it-IT"/>
              </w:rPr>
              <w:t>РАЗОМ</w:t>
            </w:r>
          </w:p>
        </w:tc>
      </w:tr>
      <w:tr w:rsidR="00EA6E27" w:rsidRPr="0019790A" w14:paraId="536DFC06" w14:textId="77777777" w:rsidTr="00EA6E27">
        <w:trPr>
          <w:jc w:val="right"/>
        </w:trPr>
        <w:tc>
          <w:tcPr>
            <w:tcW w:w="3425" w:type="dxa"/>
            <w:vMerge/>
            <w:shd w:val="clear" w:color="auto" w:fill="FFFFFF"/>
            <w:vAlign w:val="center"/>
          </w:tcPr>
          <w:p w14:paraId="78533680" w14:textId="77777777" w:rsidR="00EA6E27" w:rsidRPr="0019790A" w:rsidRDefault="00EA6E27" w:rsidP="0019790A">
            <w:pPr>
              <w:rPr>
                <w:rFonts w:cs="Arial"/>
                <w:b/>
                <w:bCs/>
                <w:color w:val="000000"/>
                <w:szCs w:val="22"/>
              </w:rPr>
            </w:pPr>
          </w:p>
        </w:tc>
        <w:tc>
          <w:tcPr>
            <w:tcW w:w="1254" w:type="dxa"/>
            <w:vAlign w:val="center"/>
          </w:tcPr>
          <w:p w14:paraId="2B5ECD74" w14:textId="77777777" w:rsidR="00EA6E27" w:rsidRPr="0019790A" w:rsidRDefault="00EA6E27" w:rsidP="0019790A">
            <w:pPr>
              <w:jc w:val="center"/>
              <w:rPr>
                <w:rFonts w:cs="Arial"/>
                <w:b/>
                <w:color w:val="000000"/>
                <w:szCs w:val="22"/>
                <w:lang w:eastAsia="it-IT"/>
              </w:rPr>
            </w:pPr>
          </w:p>
        </w:tc>
        <w:tc>
          <w:tcPr>
            <w:tcW w:w="1275" w:type="dxa"/>
            <w:gridSpan w:val="2"/>
            <w:shd w:val="clear" w:color="auto" w:fill="FFFFFF"/>
            <w:vAlign w:val="center"/>
          </w:tcPr>
          <w:p w14:paraId="6EFCA5D7" w14:textId="77777777" w:rsidR="00EA6E27" w:rsidRPr="0019790A" w:rsidRDefault="00EA6E27" w:rsidP="0019790A">
            <w:pPr>
              <w:jc w:val="center"/>
              <w:rPr>
                <w:rFonts w:cs="Arial"/>
                <w:b/>
                <w:color w:val="000000"/>
                <w:szCs w:val="22"/>
                <w:lang w:eastAsia="it-IT"/>
              </w:rPr>
            </w:pPr>
            <w:r w:rsidRPr="0019790A">
              <w:rPr>
                <w:rFonts w:cs="Arial"/>
                <w:b/>
                <w:color w:val="000000"/>
                <w:szCs w:val="22"/>
                <w:lang w:eastAsia="it-IT"/>
              </w:rPr>
              <w:t>100,0</w:t>
            </w:r>
          </w:p>
        </w:tc>
        <w:tc>
          <w:tcPr>
            <w:tcW w:w="1418" w:type="dxa"/>
            <w:gridSpan w:val="3"/>
            <w:shd w:val="clear" w:color="auto" w:fill="auto"/>
            <w:vAlign w:val="center"/>
          </w:tcPr>
          <w:p w14:paraId="6D732CFA" w14:textId="77777777" w:rsidR="00EA6E27" w:rsidRPr="0019790A" w:rsidRDefault="00EA6E27" w:rsidP="0019790A">
            <w:pPr>
              <w:jc w:val="center"/>
              <w:rPr>
                <w:rFonts w:cs="Arial"/>
                <w:b/>
                <w:color w:val="000000"/>
                <w:szCs w:val="22"/>
                <w:lang w:eastAsia="it-IT"/>
              </w:rPr>
            </w:pPr>
            <w:r w:rsidRPr="0019790A">
              <w:rPr>
                <w:rFonts w:cs="Arial"/>
                <w:b/>
                <w:color w:val="000000"/>
                <w:szCs w:val="22"/>
                <w:lang w:eastAsia="it-IT"/>
              </w:rPr>
              <w:t>100,0</w:t>
            </w:r>
          </w:p>
        </w:tc>
        <w:tc>
          <w:tcPr>
            <w:tcW w:w="1276" w:type="dxa"/>
            <w:shd w:val="clear" w:color="auto" w:fill="FFFFFF"/>
            <w:vAlign w:val="center"/>
          </w:tcPr>
          <w:p w14:paraId="76916708" w14:textId="77777777" w:rsidR="00EA6E27" w:rsidRPr="0019790A" w:rsidRDefault="00EA6E27" w:rsidP="0019790A">
            <w:pPr>
              <w:jc w:val="center"/>
              <w:rPr>
                <w:rFonts w:cs="Arial"/>
                <w:b/>
                <w:color w:val="000000"/>
                <w:szCs w:val="22"/>
                <w:lang w:eastAsia="it-IT"/>
              </w:rPr>
            </w:pPr>
            <w:r w:rsidRPr="0019790A">
              <w:rPr>
                <w:rFonts w:cs="Arial"/>
                <w:b/>
                <w:color w:val="000000"/>
                <w:szCs w:val="22"/>
                <w:lang w:eastAsia="it-IT"/>
              </w:rPr>
              <w:t>100,0</w:t>
            </w:r>
          </w:p>
        </w:tc>
        <w:tc>
          <w:tcPr>
            <w:tcW w:w="1571" w:type="dxa"/>
            <w:shd w:val="clear" w:color="auto" w:fill="FFFFFF"/>
            <w:vAlign w:val="center"/>
          </w:tcPr>
          <w:p w14:paraId="432A939E" w14:textId="77777777" w:rsidR="00EA6E27" w:rsidRPr="0019790A" w:rsidRDefault="00EA6E27" w:rsidP="0019790A">
            <w:pPr>
              <w:jc w:val="center"/>
              <w:rPr>
                <w:rFonts w:cs="Arial"/>
                <w:b/>
                <w:color w:val="000000"/>
                <w:szCs w:val="22"/>
                <w:lang w:eastAsia="it-IT"/>
              </w:rPr>
            </w:pPr>
            <w:r w:rsidRPr="0019790A">
              <w:rPr>
                <w:rFonts w:cs="Arial"/>
                <w:b/>
                <w:color w:val="000000"/>
                <w:szCs w:val="22"/>
                <w:lang w:eastAsia="it-IT"/>
              </w:rPr>
              <w:t>300,0</w:t>
            </w:r>
          </w:p>
        </w:tc>
      </w:tr>
      <w:tr w:rsidR="00EA6E27" w:rsidRPr="0019790A" w14:paraId="70933019" w14:textId="77777777" w:rsidTr="00EA6E27">
        <w:trPr>
          <w:trHeight w:val="276"/>
          <w:jc w:val="right"/>
        </w:trPr>
        <w:tc>
          <w:tcPr>
            <w:tcW w:w="3425" w:type="dxa"/>
            <w:shd w:val="clear" w:color="auto" w:fill="FFFFFF"/>
            <w:vAlign w:val="center"/>
          </w:tcPr>
          <w:p w14:paraId="3D6A5409" w14:textId="77777777" w:rsidR="00EA6E27" w:rsidRPr="0019790A" w:rsidRDefault="00EA6E27" w:rsidP="0019790A">
            <w:pPr>
              <w:rPr>
                <w:rFonts w:cs="Arial"/>
                <w:b/>
                <w:bCs/>
                <w:color w:val="000000"/>
                <w:szCs w:val="22"/>
              </w:rPr>
            </w:pPr>
            <w:r w:rsidRPr="0019790A">
              <w:rPr>
                <w:rFonts w:cs="Arial"/>
                <w:b/>
                <w:bCs/>
                <w:color w:val="000000"/>
                <w:szCs w:val="22"/>
              </w:rPr>
              <w:t>по джерелах фінансування:</w:t>
            </w:r>
          </w:p>
        </w:tc>
        <w:tc>
          <w:tcPr>
            <w:tcW w:w="6794" w:type="dxa"/>
            <w:gridSpan w:val="8"/>
            <w:vAlign w:val="center"/>
          </w:tcPr>
          <w:p w14:paraId="3326BFA7" w14:textId="77777777" w:rsidR="00EA6E27" w:rsidRPr="0019790A" w:rsidRDefault="00EA6E27" w:rsidP="0019790A">
            <w:pPr>
              <w:jc w:val="both"/>
              <w:rPr>
                <w:rFonts w:cs="Arial"/>
                <w:color w:val="000000"/>
                <w:szCs w:val="22"/>
                <w:lang w:eastAsia="it-IT"/>
              </w:rPr>
            </w:pPr>
          </w:p>
        </w:tc>
      </w:tr>
      <w:tr w:rsidR="00722007" w:rsidRPr="0019790A" w14:paraId="7BBED87D" w14:textId="0FC24689" w:rsidTr="00722007">
        <w:trPr>
          <w:trHeight w:val="240"/>
          <w:jc w:val="right"/>
        </w:trPr>
        <w:tc>
          <w:tcPr>
            <w:tcW w:w="3425" w:type="dxa"/>
            <w:shd w:val="clear" w:color="auto" w:fill="FFFFFF"/>
            <w:vAlign w:val="center"/>
          </w:tcPr>
          <w:p w14:paraId="59A92564" w14:textId="77777777" w:rsidR="00722007" w:rsidRPr="0019790A" w:rsidRDefault="00722007" w:rsidP="0019790A">
            <w:pPr>
              <w:rPr>
                <w:rFonts w:cs="Arial"/>
                <w:b/>
                <w:bCs/>
                <w:color w:val="000000"/>
                <w:szCs w:val="22"/>
              </w:rPr>
            </w:pPr>
            <w:r w:rsidRPr="0019790A">
              <w:rPr>
                <w:rFonts w:cs="Arial"/>
                <w:color w:val="000000"/>
                <w:szCs w:val="22"/>
              </w:rPr>
              <w:t>- державний бюджет</w:t>
            </w:r>
          </w:p>
        </w:tc>
        <w:tc>
          <w:tcPr>
            <w:tcW w:w="1265" w:type="dxa"/>
            <w:gridSpan w:val="2"/>
            <w:vAlign w:val="center"/>
          </w:tcPr>
          <w:p w14:paraId="490C6656" w14:textId="77777777" w:rsidR="00722007" w:rsidRPr="0019790A" w:rsidRDefault="00722007" w:rsidP="0019790A">
            <w:pPr>
              <w:jc w:val="both"/>
              <w:rPr>
                <w:rFonts w:cs="Arial"/>
                <w:color w:val="000000"/>
                <w:szCs w:val="22"/>
                <w:lang w:eastAsia="it-IT"/>
              </w:rPr>
            </w:pPr>
          </w:p>
        </w:tc>
        <w:tc>
          <w:tcPr>
            <w:tcW w:w="1290" w:type="dxa"/>
            <w:gridSpan w:val="2"/>
            <w:vAlign w:val="center"/>
          </w:tcPr>
          <w:p w14:paraId="5D6C0110" w14:textId="77777777" w:rsidR="00722007" w:rsidRPr="0019790A" w:rsidRDefault="00722007" w:rsidP="0019790A">
            <w:pPr>
              <w:jc w:val="both"/>
              <w:rPr>
                <w:rFonts w:cs="Arial"/>
                <w:color w:val="000000"/>
                <w:szCs w:val="22"/>
                <w:lang w:eastAsia="it-IT"/>
              </w:rPr>
            </w:pPr>
          </w:p>
        </w:tc>
        <w:tc>
          <w:tcPr>
            <w:tcW w:w="1365" w:type="dxa"/>
            <w:vAlign w:val="center"/>
          </w:tcPr>
          <w:p w14:paraId="1E8C2A24" w14:textId="77777777" w:rsidR="00722007" w:rsidRPr="0019790A" w:rsidRDefault="00722007" w:rsidP="0019790A">
            <w:pPr>
              <w:jc w:val="both"/>
              <w:rPr>
                <w:rFonts w:cs="Arial"/>
                <w:color w:val="000000"/>
                <w:szCs w:val="22"/>
                <w:lang w:eastAsia="it-IT"/>
              </w:rPr>
            </w:pPr>
          </w:p>
        </w:tc>
        <w:tc>
          <w:tcPr>
            <w:tcW w:w="1302" w:type="dxa"/>
            <w:gridSpan w:val="2"/>
            <w:vAlign w:val="center"/>
          </w:tcPr>
          <w:p w14:paraId="198A018C" w14:textId="77777777" w:rsidR="00722007" w:rsidRPr="0019790A" w:rsidRDefault="00722007" w:rsidP="0019790A">
            <w:pPr>
              <w:jc w:val="both"/>
              <w:rPr>
                <w:rFonts w:cs="Arial"/>
                <w:color w:val="000000"/>
                <w:szCs w:val="22"/>
                <w:lang w:eastAsia="it-IT"/>
              </w:rPr>
            </w:pPr>
          </w:p>
        </w:tc>
        <w:tc>
          <w:tcPr>
            <w:tcW w:w="1572" w:type="dxa"/>
            <w:vAlign w:val="center"/>
          </w:tcPr>
          <w:p w14:paraId="2B18BFF3" w14:textId="77777777" w:rsidR="00722007" w:rsidRPr="0019790A" w:rsidRDefault="00722007" w:rsidP="0019790A">
            <w:pPr>
              <w:jc w:val="both"/>
              <w:rPr>
                <w:rFonts w:cs="Arial"/>
                <w:color w:val="000000"/>
                <w:szCs w:val="22"/>
                <w:lang w:eastAsia="it-IT"/>
              </w:rPr>
            </w:pPr>
          </w:p>
        </w:tc>
      </w:tr>
      <w:tr w:rsidR="00722007" w:rsidRPr="0019790A" w14:paraId="7C3D8F2C" w14:textId="0AC2647E" w:rsidTr="00722007">
        <w:trPr>
          <w:trHeight w:val="254"/>
          <w:jc w:val="right"/>
        </w:trPr>
        <w:tc>
          <w:tcPr>
            <w:tcW w:w="3425" w:type="dxa"/>
            <w:shd w:val="clear" w:color="auto" w:fill="FFFFFF"/>
            <w:vAlign w:val="center"/>
          </w:tcPr>
          <w:p w14:paraId="63843F26" w14:textId="77777777" w:rsidR="00722007" w:rsidRPr="0019790A" w:rsidRDefault="00722007" w:rsidP="0019790A">
            <w:pPr>
              <w:rPr>
                <w:rFonts w:cs="Arial"/>
                <w:color w:val="000000"/>
                <w:szCs w:val="22"/>
              </w:rPr>
            </w:pPr>
            <w:r w:rsidRPr="0019790A">
              <w:rPr>
                <w:rFonts w:cs="Arial"/>
                <w:color w:val="000000"/>
                <w:szCs w:val="22"/>
              </w:rPr>
              <w:t>- обласний бюджет</w:t>
            </w:r>
          </w:p>
        </w:tc>
        <w:tc>
          <w:tcPr>
            <w:tcW w:w="1265" w:type="dxa"/>
            <w:gridSpan w:val="2"/>
            <w:vAlign w:val="center"/>
          </w:tcPr>
          <w:p w14:paraId="63778BDD" w14:textId="77777777" w:rsidR="00722007" w:rsidRPr="0019790A" w:rsidRDefault="00722007" w:rsidP="0019790A">
            <w:pPr>
              <w:jc w:val="both"/>
              <w:rPr>
                <w:rFonts w:cs="Arial"/>
                <w:color w:val="000000"/>
                <w:szCs w:val="22"/>
                <w:lang w:eastAsia="it-IT"/>
              </w:rPr>
            </w:pPr>
          </w:p>
        </w:tc>
        <w:tc>
          <w:tcPr>
            <w:tcW w:w="1290" w:type="dxa"/>
            <w:gridSpan w:val="2"/>
            <w:vAlign w:val="center"/>
          </w:tcPr>
          <w:p w14:paraId="38CA3B68" w14:textId="77777777" w:rsidR="00722007" w:rsidRPr="0019790A" w:rsidRDefault="00722007" w:rsidP="0019790A">
            <w:pPr>
              <w:jc w:val="both"/>
              <w:rPr>
                <w:rFonts w:cs="Arial"/>
                <w:color w:val="000000"/>
                <w:szCs w:val="22"/>
                <w:lang w:eastAsia="it-IT"/>
              </w:rPr>
            </w:pPr>
          </w:p>
        </w:tc>
        <w:tc>
          <w:tcPr>
            <w:tcW w:w="1365" w:type="dxa"/>
            <w:vAlign w:val="center"/>
          </w:tcPr>
          <w:p w14:paraId="621BA1FA" w14:textId="77777777" w:rsidR="00722007" w:rsidRPr="0019790A" w:rsidRDefault="00722007" w:rsidP="0019790A">
            <w:pPr>
              <w:jc w:val="both"/>
              <w:rPr>
                <w:rFonts w:cs="Arial"/>
                <w:color w:val="000000"/>
                <w:szCs w:val="22"/>
                <w:lang w:eastAsia="it-IT"/>
              </w:rPr>
            </w:pPr>
          </w:p>
        </w:tc>
        <w:tc>
          <w:tcPr>
            <w:tcW w:w="1302" w:type="dxa"/>
            <w:gridSpan w:val="2"/>
            <w:vAlign w:val="center"/>
          </w:tcPr>
          <w:p w14:paraId="2A97B475" w14:textId="77777777" w:rsidR="00722007" w:rsidRPr="0019790A" w:rsidRDefault="00722007" w:rsidP="0019790A">
            <w:pPr>
              <w:jc w:val="both"/>
              <w:rPr>
                <w:rFonts w:cs="Arial"/>
                <w:color w:val="000000"/>
                <w:szCs w:val="22"/>
                <w:lang w:eastAsia="it-IT"/>
              </w:rPr>
            </w:pPr>
          </w:p>
        </w:tc>
        <w:tc>
          <w:tcPr>
            <w:tcW w:w="1572" w:type="dxa"/>
            <w:vAlign w:val="center"/>
          </w:tcPr>
          <w:p w14:paraId="5E95DB89" w14:textId="77777777" w:rsidR="00722007" w:rsidRPr="0019790A" w:rsidRDefault="00722007" w:rsidP="0019790A">
            <w:pPr>
              <w:jc w:val="both"/>
              <w:rPr>
                <w:rFonts w:cs="Arial"/>
                <w:color w:val="000000"/>
                <w:szCs w:val="22"/>
                <w:lang w:eastAsia="it-IT"/>
              </w:rPr>
            </w:pPr>
          </w:p>
        </w:tc>
      </w:tr>
      <w:tr w:rsidR="00722007" w:rsidRPr="0019790A" w14:paraId="1A850030" w14:textId="73700DEC" w:rsidTr="0018782C">
        <w:trPr>
          <w:trHeight w:val="275"/>
          <w:jc w:val="right"/>
        </w:trPr>
        <w:tc>
          <w:tcPr>
            <w:tcW w:w="3425" w:type="dxa"/>
            <w:shd w:val="clear" w:color="auto" w:fill="FFFFFF"/>
            <w:vAlign w:val="center"/>
          </w:tcPr>
          <w:p w14:paraId="60AA8EC8" w14:textId="77777777" w:rsidR="00722007" w:rsidRPr="0019790A" w:rsidRDefault="00722007" w:rsidP="0019790A">
            <w:pPr>
              <w:rPr>
                <w:rFonts w:cs="Arial"/>
                <w:color w:val="000000"/>
                <w:szCs w:val="22"/>
              </w:rPr>
            </w:pPr>
            <w:r w:rsidRPr="0019790A">
              <w:rPr>
                <w:rFonts w:cs="Arial"/>
                <w:color w:val="000000"/>
                <w:szCs w:val="22"/>
              </w:rPr>
              <w:t>- бюджет Жмеринської МТГ</w:t>
            </w:r>
          </w:p>
        </w:tc>
        <w:tc>
          <w:tcPr>
            <w:tcW w:w="1265" w:type="dxa"/>
            <w:gridSpan w:val="2"/>
            <w:vAlign w:val="center"/>
          </w:tcPr>
          <w:p w14:paraId="0A347BFB" w14:textId="2CB9AA95" w:rsidR="00722007" w:rsidRPr="0019790A" w:rsidRDefault="00722007" w:rsidP="0019790A">
            <w:pPr>
              <w:jc w:val="both"/>
              <w:rPr>
                <w:rFonts w:cs="Arial"/>
                <w:color w:val="000000"/>
                <w:szCs w:val="22"/>
                <w:lang w:eastAsia="it-IT"/>
              </w:rPr>
            </w:pPr>
          </w:p>
        </w:tc>
        <w:tc>
          <w:tcPr>
            <w:tcW w:w="1290" w:type="dxa"/>
            <w:gridSpan w:val="2"/>
            <w:vAlign w:val="center"/>
          </w:tcPr>
          <w:p w14:paraId="287267C3" w14:textId="40F587CA" w:rsidR="00722007" w:rsidRPr="0019790A" w:rsidRDefault="00722007" w:rsidP="0018782C">
            <w:pPr>
              <w:jc w:val="center"/>
              <w:rPr>
                <w:rFonts w:cs="Arial"/>
                <w:color w:val="000000"/>
                <w:szCs w:val="22"/>
                <w:lang w:eastAsia="it-IT"/>
              </w:rPr>
            </w:pPr>
            <w:r w:rsidRPr="0019790A">
              <w:rPr>
                <w:rFonts w:cs="Arial"/>
                <w:color w:val="000000"/>
                <w:szCs w:val="22"/>
                <w:lang w:eastAsia="it-IT"/>
              </w:rPr>
              <w:t>50,0</w:t>
            </w:r>
          </w:p>
        </w:tc>
        <w:tc>
          <w:tcPr>
            <w:tcW w:w="1365" w:type="dxa"/>
            <w:vAlign w:val="center"/>
          </w:tcPr>
          <w:p w14:paraId="47A847FC" w14:textId="4C1F2A53" w:rsidR="00722007" w:rsidRPr="0019790A" w:rsidRDefault="00722007" w:rsidP="0018782C">
            <w:pPr>
              <w:jc w:val="center"/>
              <w:rPr>
                <w:rFonts w:cs="Arial"/>
                <w:color w:val="000000"/>
                <w:szCs w:val="22"/>
                <w:lang w:eastAsia="it-IT"/>
              </w:rPr>
            </w:pPr>
            <w:r w:rsidRPr="0019790A">
              <w:rPr>
                <w:rFonts w:cs="Arial"/>
                <w:color w:val="000000"/>
                <w:szCs w:val="22"/>
                <w:lang w:eastAsia="it-IT"/>
              </w:rPr>
              <w:t>50,0</w:t>
            </w:r>
          </w:p>
        </w:tc>
        <w:tc>
          <w:tcPr>
            <w:tcW w:w="1302" w:type="dxa"/>
            <w:gridSpan w:val="2"/>
            <w:vAlign w:val="center"/>
          </w:tcPr>
          <w:p w14:paraId="0823A007" w14:textId="7B34E92B" w:rsidR="00722007" w:rsidRPr="0019790A" w:rsidRDefault="00722007" w:rsidP="0018782C">
            <w:pPr>
              <w:jc w:val="center"/>
              <w:rPr>
                <w:rFonts w:cs="Arial"/>
                <w:color w:val="000000"/>
                <w:szCs w:val="22"/>
                <w:lang w:eastAsia="it-IT"/>
              </w:rPr>
            </w:pPr>
            <w:r w:rsidRPr="0019790A">
              <w:rPr>
                <w:rFonts w:cs="Arial"/>
                <w:color w:val="000000"/>
                <w:szCs w:val="22"/>
                <w:lang w:eastAsia="it-IT"/>
              </w:rPr>
              <w:t>50,0</w:t>
            </w:r>
          </w:p>
        </w:tc>
        <w:tc>
          <w:tcPr>
            <w:tcW w:w="1572" w:type="dxa"/>
            <w:vAlign w:val="center"/>
          </w:tcPr>
          <w:p w14:paraId="2CD315F7" w14:textId="3DC64AEB" w:rsidR="00722007" w:rsidRPr="0019790A" w:rsidRDefault="00722007" w:rsidP="0018782C">
            <w:pPr>
              <w:jc w:val="center"/>
              <w:rPr>
                <w:rFonts w:cs="Arial"/>
                <w:color w:val="000000"/>
                <w:szCs w:val="22"/>
                <w:lang w:eastAsia="it-IT"/>
              </w:rPr>
            </w:pPr>
            <w:r w:rsidRPr="0019790A">
              <w:rPr>
                <w:rFonts w:cs="Arial"/>
                <w:color w:val="000000"/>
                <w:szCs w:val="22"/>
                <w:lang w:eastAsia="it-IT"/>
              </w:rPr>
              <w:t>150,0</w:t>
            </w:r>
          </w:p>
        </w:tc>
      </w:tr>
      <w:tr w:rsidR="00722007" w:rsidRPr="0019790A" w14:paraId="7DE37351" w14:textId="49E308D0" w:rsidTr="0018782C">
        <w:trPr>
          <w:trHeight w:val="226"/>
          <w:jc w:val="right"/>
        </w:trPr>
        <w:tc>
          <w:tcPr>
            <w:tcW w:w="3425" w:type="dxa"/>
            <w:shd w:val="clear" w:color="auto" w:fill="FFFFFF"/>
            <w:vAlign w:val="center"/>
          </w:tcPr>
          <w:p w14:paraId="7B64E728" w14:textId="77777777" w:rsidR="00722007" w:rsidRPr="0019790A" w:rsidRDefault="00722007" w:rsidP="0019790A">
            <w:pPr>
              <w:rPr>
                <w:rFonts w:cs="Arial"/>
                <w:color w:val="000000"/>
                <w:szCs w:val="22"/>
              </w:rPr>
            </w:pPr>
            <w:r w:rsidRPr="0019790A">
              <w:rPr>
                <w:rFonts w:cs="Arial"/>
                <w:color w:val="000000"/>
                <w:szCs w:val="22"/>
              </w:rPr>
              <w:t>- інші джерела фінансування</w:t>
            </w:r>
          </w:p>
        </w:tc>
        <w:tc>
          <w:tcPr>
            <w:tcW w:w="1265" w:type="dxa"/>
            <w:gridSpan w:val="2"/>
            <w:vAlign w:val="center"/>
          </w:tcPr>
          <w:p w14:paraId="6904F2CC" w14:textId="10ABAB85" w:rsidR="00722007" w:rsidRPr="0019790A" w:rsidRDefault="00722007" w:rsidP="0019790A">
            <w:pPr>
              <w:jc w:val="both"/>
              <w:rPr>
                <w:rFonts w:cs="Arial"/>
                <w:color w:val="000000"/>
                <w:szCs w:val="22"/>
                <w:lang w:eastAsia="it-IT"/>
              </w:rPr>
            </w:pPr>
          </w:p>
        </w:tc>
        <w:tc>
          <w:tcPr>
            <w:tcW w:w="1290" w:type="dxa"/>
            <w:gridSpan w:val="2"/>
            <w:vAlign w:val="center"/>
          </w:tcPr>
          <w:p w14:paraId="6F8462FC" w14:textId="78B379DC" w:rsidR="00722007" w:rsidRPr="0019790A" w:rsidRDefault="00722007" w:rsidP="0018782C">
            <w:pPr>
              <w:jc w:val="center"/>
              <w:rPr>
                <w:rFonts w:cs="Arial"/>
                <w:color w:val="000000"/>
                <w:szCs w:val="22"/>
                <w:lang w:eastAsia="it-IT"/>
              </w:rPr>
            </w:pPr>
            <w:r w:rsidRPr="0019790A">
              <w:rPr>
                <w:rFonts w:cs="Arial"/>
                <w:color w:val="000000"/>
                <w:szCs w:val="22"/>
                <w:lang w:eastAsia="it-IT"/>
              </w:rPr>
              <w:t>50,0</w:t>
            </w:r>
          </w:p>
        </w:tc>
        <w:tc>
          <w:tcPr>
            <w:tcW w:w="1365" w:type="dxa"/>
            <w:vAlign w:val="center"/>
          </w:tcPr>
          <w:p w14:paraId="2A038D0C" w14:textId="201CCF02" w:rsidR="00722007" w:rsidRPr="0019790A" w:rsidRDefault="00722007" w:rsidP="0018782C">
            <w:pPr>
              <w:jc w:val="center"/>
              <w:rPr>
                <w:rFonts w:cs="Arial"/>
                <w:color w:val="000000"/>
                <w:szCs w:val="22"/>
                <w:lang w:eastAsia="it-IT"/>
              </w:rPr>
            </w:pPr>
            <w:r w:rsidRPr="0019790A">
              <w:rPr>
                <w:rFonts w:cs="Arial"/>
                <w:color w:val="000000"/>
                <w:szCs w:val="22"/>
                <w:lang w:eastAsia="it-IT"/>
              </w:rPr>
              <w:t>50,0</w:t>
            </w:r>
          </w:p>
        </w:tc>
        <w:tc>
          <w:tcPr>
            <w:tcW w:w="1302" w:type="dxa"/>
            <w:gridSpan w:val="2"/>
            <w:vAlign w:val="center"/>
          </w:tcPr>
          <w:p w14:paraId="6EF82D1C" w14:textId="5D0B3E4F" w:rsidR="00722007" w:rsidRPr="0019790A" w:rsidRDefault="00722007" w:rsidP="0018782C">
            <w:pPr>
              <w:jc w:val="center"/>
              <w:rPr>
                <w:rFonts w:cs="Arial"/>
                <w:color w:val="000000"/>
                <w:szCs w:val="22"/>
                <w:lang w:eastAsia="it-IT"/>
              </w:rPr>
            </w:pPr>
            <w:r w:rsidRPr="0019790A">
              <w:rPr>
                <w:rFonts w:cs="Arial"/>
                <w:color w:val="000000"/>
                <w:szCs w:val="22"/>
                <w:lang w:eastAsia="it-IT"/>
              </w:rPr>
              <w:t>50,0</w:t>
            </w:r>
          </w:p>
        </w:tc>
        <w:tc>
          <w:tcPr>
            <w:tcW w:w="1572" w:type="dxa"/>
            <w:vAlign w:val="center"/>
          </w:tcPr>
          <w:p w14:paraId="25D5ED67" w14:textId="40A03482" w:rsidR="00722007" w:rsidRPr="0019790A" w:rsidRDefault="00722007" w:rsidP="0018782C">
            <w:pPr>
              <w:jc w:val="center"/>
              <w:rPr>
                <w:rFonts w:cs="Arial"/>
                <w:color w:val="000000"/>
                <w:szCs w:val="22"/>
                <w:lang w:eastAsia="it-IT"/>
              </w:rPr>
            </w:pPr>
            <w:r w:rsidRPr="0019790A">
              <w:rPr>
                <w:rFonts w:cs="Arial"/>
                <w:color w:val="000000"/>
                <w:szCs w:val="22"/>
                <w:lang w:eastAsia="it-IT"/>
              </w:rPr>
              <w:t>150,0</w:t>
            </w:r>
          </w:p>
        </w:tc>
      </w:tr>
      <w:tr w:rsidR="00EA6E27" w:rsidRPr="0019790A" w14:paraId="2EED5093" w14:textId="77777777" w:rsidTr="00EA6E27">
        <w:trPr>
          <w:jc w:val="right"/>
        </w:trPr>
        <w:tc>
          <w:tcPr>
            <w:tcW w:w="3425" w:type="dxa"/>
            <w:shd w:val="clear" w:color="auto" w:fill="FFFFFF"/>
            <w:vAlign w:val="center"/>
          </w:tcPr>
          <w:p w14:paraId="19CBEA42" w14:textId="77777777" w:rsidR="00EA6E27" w:rsidRPr="0019790A" w:rsidRDefault="00EA6E27" w:rsidP="0019790A">
            <w:pPr>
              <w:rPr>
                <w:rFonts w:cs="Arial"/>
                <w:b/>
                <w:bCs/>
                <w:color w:val="000000"/>
                <w:szCs w:val="22"/>
              </w:rPr>
            </w:pPr>
            <w:r w:rsidRPr="0019790A">
              <w:rPr>
                <w:rFonts w:cs="Arial"/>
                <w:b/>
                <w:color w:val="000000"/>
                <w:szCs w:val="22"/>
              </w:rPr>
              <w:t>Відповідальний виконавець проєкту:</w:t>
            </w:r>
          </w:p>
        </w:tc>
        <w:tc>
          <w:tcPr>
            <w:tcW w:w="6794" w:type="dxa"/>
            <w:gridSpan w:val="8"/>
            <w:vAlign w:val="center"/>
          </w:tcPr>
          <w:p w14:paraId="3EE694F5" w14:textId="77777777" w:rsidR="00EA6E27" w:rsidRPr="0019790A" w:rsidRDefault="00EA6E27" w:rsidP="0019790A">
            <w:pPr>
              <w:rPr>
                <w:rFonts w:cs="Arial"/>
                <w:b/>
                <w:color w:val="000000"/>
                <w:szCs w:val="22"/>
                <w:lang w:eastAsia="it-IT"/>
              </w:rPr>
            </w:pPr>
            <w:r w:rsidRPr="0019790A">
              <w:rPr>
                <w:rFonts w:cs="Arial"/>
                <w:szCs w:val="22"/>
                <w:lang w:eastAsia="it-IT"/>
              </w:rPr>
              <w:t>Управління економіки та розвитку інфраструктури</w:t>
            </w:r>
          </w:p>
        </w:tc>
      </w:tr>
    </w:tbl>
    <w:p w14:paraId="6138DB83" w14:textId="77777777" w:rsidR="00EA6E27" w:rsidRPr="0019790A" w:rsidRDefault="00EA6E27" w:rsidP="0019790A">
      <w:pPr>
        <w:rPr>
          <w:rFonts w:cs="Arial"/>
          <w:b/>
          <w:color w:val="000000"/>
          <w:szCs w:val="22"/>
        </w:rPr>
      </w:pPr>
    </w:p>
    <w:p w14:paraId="5D4A0EB3" w14:textId="77777777" w:rsidR="00EA6E27" w:rsidRPr="0019790A" w:rsidRDefault="00EA6E27" w:rsidP="0019790A">
      <w:pPr>
        <w:jc w:val="center"/>
        <w:rPr>
          <w:rFonts w:cs="Arial"/>
          <w:b/>
          <w:color w:val="000000"/>
          <w:szCs w:val="22"/>
        </w:rPr>
      </w:pPr>
    </w:p>
    <w:p w14:paraId="7D22C842" w14:textId="77777777" w:rsidR="00EA6E27" w:rsidRPr="0019790A" w:rsidRDefault="00EA6E27" w:rsidP="0019790A">
      <w:pPr>
        <w:jc w:val="center"/>
        <w:rPr>
          <w:rFonts w:cs="Arial"/>
          <w:b/>
          <w:color w:val="000000"/>
          <w:szCs w:val="22"/>
        </w:rPr>
      </w:pPr>
    </w:p>
    <w:p w14:paraId="3A698702" w14:textId="77777777" w:rsidR="00EA6E27" w:rsidRPr="0019790A" w:rsidRDefault="00EA6E27" w:rsidP="0019790A">
      <w:pPr>
        <w:jc w:val="center"/>
        <w:rPr>
          <w:rFonts w:cs="Arial"/>
          <w:b/>
          <w:color w:val="000000"/>
          <w:szCs w:val="22"/>
        </w:rPr>
      </w:pPr>
    </w:p>
    <w:p w14:paraId="7D6D3B74" w14:textId="77777777" w:rsidR="00EA6E27" w:rsidRPr="0019790A" w:rsidRDefault="00EA6E27" w:rsidP="0019790A">
      <w:pPr>
        <w:jc w:val="center"/>
        <w:rPr>
          <w:rFonts w:cs="Arial"/>
          <w:b/>
          <w:color w:val="000000"/>
          <w:szCs w:val="22"/>
        </w:rPr>
      </w:pPr>
      <w:r w:rsidRPr="0019790A">
        <w:rPr>
          <w:rFonts w:cs="Arial"/>
          <w:b/>
          <w:color w:val="000000"/>
          <w:szCs w:val="22"/>
        </w:rPr>
        <w:t xml:space="preserve">Форма технічного завдання на проєкт місцевого розвитку </w:t>
      </w:r>
    </w:p>
    <w:p w14:paraId="628EC846" w14:textId="77777777" w:rsidR="00EA6E27" w:rsidRPr="0019790A" w:rsidRDefault="00EA6E27" w:rsidP="0019790A">
      <w:pPr>
        <w:jc w:val="center"/>
        <w:rPr>
          <w:rFonts w:cs="Arial"/>
          <w:b/>
          <w:color w:val="000000"/>
          <w:szCs w:val="22"/>
        </w:rPr>
      </w:pPr>
      <w:r w:rsidRPr="0019790A">
        <w:rPr>
          <w:rFonts w:cs="Arial"/>
          <w:b/>
          <w:color w:val="000000"/>
          <w:szCs w:val="22"/>
        </w:rPr>
        <w:t>до Плану заходів з реалізації Стратегії</w:t>
      </w:r>
    </w:p>
    <w:p w14:paraId="1AA61E71" w14:textId="77777777" w:rsidR="00EA6E27" w:rsidRPr="0019790A" w:rsidRDefault="00EA6E27"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3"/>
        <w:gridCol w:w="1253"/>
        <w:gridCol w:w="11"/>
        <w:gridCol w:w="1252"/>
        <w:gridCol w:w="12"/>
        <w:gridCol w:w="1418"/>
        <w:gridCol w:w="1276"/>
        <w:gridCol w:w="89"/>
        <w:gridCol w:w="1485"/>
      </w:tblGrid>
      <w:tr w:rsidR="00EA6E27" w:rsidRPr="0019790A" w14:paraId="08BA7461" w14:textId="77777777" w:rsidTr="00571D7A">
        <w:trPr>
          <w:trHeight w:val="368"/>
          <w:jc w:val="right"/>
        </w:trPr>
        <w:tc>
          <w:tcPr>
            <w:tcW w:w="3425" w:type="dxa"/>
            <w:vAlign w:val="center"/>
          </w:tcPr>
          <w:p w14:paraId="71EA95F0" w14:textId="77777777" w:rsidR="00EA6E27" w:rsidRPr="0019790A" w:rsidRDefault="00EA6E27" w:rsidP="00571D7A">
            <w:pPr>
              <w:rPr>
                <w:rFonts w:cs="Arial"/>
                <w:b/>
                <w:bCs/>
                <w:color w:val="000000"/>
                <w:szCs w:val="22"/>
              </w:rPr>
            </w:pPr>
            <w:r w:rsidRPr="0019790A">
              <w:rPr>
                <w:rFonts w:cs="Arial"/>
                <w:b/>
                <w:bCs/>
                <w:color w:val="000000"/>
                <w:szCs w:val="22"/>
              </w:rPr>
              <w:t>Назва проєкту:</w:t>
            </w:r>
          </w:p>
        </w:tc>
        <w:tc>
          <w:tcPr>
            <w:tcW w:w="6794" w:type="dxa"/>
            <w:gridSpan w:val="8"/>
            <w:vAlign w:val="center"/>
          </w:tcPr>
          <w:p w14:paraId="4F86FD91" w14:textId="77777777" w:rsidR="00EA6E27" w:rsidRPr="0019790A" w:rsidRDefault="00EA6E27" w:rsidP="00571D7A">
            <w:pPr>
              <w:rPr>
                <w:rFonts w:cs="Arial"/>
                <w:b/>
                <w:szCs w:val="22"/>
                <w:lang w:eastAsia="it-IT"/>
              </w:rPr>
            </w:pPr>
            <w:r w:rsidRPr="0019790A">
              <w:rPr>
                <w:rFonts w:cs="Arial"/>
                <w:b/>
                <w:szCs w:val="22"/>
                <w:lang w:eastAsia="it-IT"/>
              </w:rPr>
              <w:t>Встановлення гібридної СЕС  в КНП «Жмеринська ЦРЛ»</w:t>
            </w:r>
          </w:p>
        </w:tc>
      </w:tr>
      <w:tr w:rsidR="00EA6E27" w:rsidRPr="0019790A" w14:paraId="72F12050" w14:textId="77777777" w:rsidTr="00EA6E27">
        <w:trPr>
          <w:jc w:val="right"/>
        </w:trPr>
        <w:tc>
          <w:tcPr>
            <w:tcW w:w="3425" w:type="dxa"/>
          </w:tcPr>
          <w:p w14:paraId="740F5266" w14:textId="77777777" w:rsidR="00EA6E27" w:rsidRPr="0019790A" w:rsidRDefault="00EA6E27"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0AD916DB" w14:textId="77777777" w:rsidR="00EA6E27" w:rsidRPr="0019790A" w:rsidRDefault="00EA6E27"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8"/>
          </w:tcPr>
          <w:p w14:paraId="454E9684" w14:textId="77777777" w:rsidR="00EA6E27" w:rsidRPr="0019790A" w:rsidRDefault="00EA6E27" w:rsidP="0019790A">
            <w:pPr>
              <w:rPr>
                <w:rFonts w:cs="Arial"/>
                <w:szCs w:val="22"/>
                <w:lang w:eastAsia="it-IT"/>
              </w:rPr>
            </w:pPr>
            <w:r w:rsidRPr="0019790A">
              <w:rPr>
                <w:rFonts w:cs="Arial"/>
                <w:szCs w:val="22"/>
                <w:lang w:eastAsia="it-IT"/>
              </w:rPr>
              <w:t>Управління економіки та розвитку інфраструктури</w:t>
            </w:r>
          </w:p>
        </w:tc>
      </w:tr>
      <w:tr w:rsidR="00EA6E27" w:rsidRPr="0019790A" w14:paraId="452383DB" w14:textId="77777777" w:rsidTr="00EA6E27">
        <w:trPr>
          <w:jc w:val="right"/>
        </w:trPr>
        <w:tc>
          <w:tcPr>
            <w:tcW w:w="3425" w:type="dxa"/>
          </w:tcPr>
          <w:p w14:paraId="27719F84" w14:textId="77777777" w:rsidR="00EA6E27" w:rsidRPr="0019790A" w:rsidRDefault="00EA6E27" w:rsidP="0019790A">
            <w:pPr>
              <w:rPr>
                <w:rFonts w:cs="Arial"/>
                <w:b/>
                <w:bCs/>
                <w:szCs w:val="22"/>
              </w:rPr>
            </w:pPr>
            <w:r w:rsidRPr="0019790A">
              <w:rPr>
                <w:rFonts w:cs="Arial"/>
                <w:szCs w:val="22"/>
                <w:lang w:eastAsia="it-IT"/>
              </w:rPr>
              <w:t>Прізвище Ім’я По-батькові:</w:t>
            </w:r>
          </w:p>
        </w:tc>
        <w:tc>
          <w:tcPr>
            <w:tcW w:w="6794" w:type="dxa"/>
            <w:gridSpan w:val="8"/>
          </w:tcPr>
          <w:p w14:paraId="4D014792" w14:textId="77777777" w:rsidR="00EA6E27" w:rsidRPr="0019790A" w:rsidRDefault="00EA6E27" w:rsidP="0019790A">
            <w:pPr>
              <w:rPr>
                <w:rFonts w:cs="Arial"/>
                <w:szCs w:val="22"/>
                <w:lang w:eastAsia="it-IT"/>
              </w:rPr>
            </w:pPr>
            <w:r w:rsidRPr="0019790A">
              <w:rPr>
                <w:rFonts w:cs="Arial"/>
                <w:szCs w:val="22"/>
                <w:lang w:eastAsia="it-IT"/>
              </w:rPr>
              <w:t>Монастирська Ірина Ігорівна</w:t>
            </w:r>
          </w:p>
        </w:tc>
      </w:tr>
      <w:tr w:rsidR="00EA6E27" w:rsidRPr="0019790A" w14:paraId="7BDD2BAB" w14:textId="77777777" w:rsidTr="00EA6E27">
        <w:trPr>
          <w:jc w:val="right"/>
        </w:trPr>
        <w:tc>
          <w:tcPr>
            <w:tcW w:w="3425" w:type="dxa"/>
          </w:tcPr>
          <w:p w14:paraId="7E863DE6" w14:textId="77777777" w:rsidR="00EA6E27" w:rsidRPr="0019790A" w:rsidRDefault="00EA6E27" w:rsidP="0019790A">
            <w:pPr>
              <w:rPr>
                <w:rFonts w:cs="Arial"/>
                <w:b/>
                <w:bCs/>
                <w:szCs w:val="22"/>
              </w:rPr>
            </w:pPr>
            <w:r w:rsidRPr="0019790A">
              <w:rPr>
                <w:rFonts w:cs="Arial"/>
                <w:szCs w:val="22"/>
                <w:lang w:eastAsia="it-IT"/>
              </w:rPr>
              <w:t>Телефон (мобільний):</w:t>
            </w:r>
          </w:p>
        </w:tc>
        <w:tc>
          <w:tcPr>
            <w:tcW w:w="6794" w:type="dxa"/>
            <w:gridSpan w:val="8"/>
          </w:tcPr>
          <w:p w14:paraId="7F019C7C" w14:textId="77777777" w:rsidR="00EA6E27" w:rsidRPr="0019790A" w:rsidRDefault="00EA6E27" w:rsidP="0019790A">
            <w:pPr>
              <w:rPr>
                <w:rFonts w:cs="Arial"/>
                <w:szCs w:val="22"/>
                <w:lang w:eastAsia="it-IT"/>
              </w:rPr>
            </w:pPr>
            <w:r w:rsidRPr="0019790A">
              <w:rPr>
                <w:rFonts w:cs="Arial"/>
                <w:szCs w:val="22"/>
                <w:lang w:eastAsia="it-IT"/>
              </w:rPr>
              <w:t>0987939269</w:t>
            </w:r>
          </w:p>
        </w:tc>
      </w:tr>
      <w:tr w:rsidR="00EA6E27" w:rsidRPr="0019790A" w14:paraId="1CA8914B" w14:textId="77777777" w:rsidTr="00EA6E27">
        <w:trPr>
          <w:jc w:val="right"/>
        </w:trPr>
        <w:tc>
          <w:tcPr>
            <w:tcW w:w="3425" w:type="dxa"/>
          </w:tcPr>
          <w:p w14:paraId="6EE12B3D" w14:textId="77777777" w:rsidR="00EA6E27" w:rsidRPr="0019790A" w:rsidRDefault="00EA6E27" w:rsidP="0019790A">
            <w:pPr>
              <w:rPr>
                <w:rFonts w:cs="Arial"/>
                <w:b/>
                <w:bCs/>
                <w:szCs w:val="22"/>
              </w:rPr>
            </w:pPr>
            <w:r w:rsidRPr="0019790A">
              <w:rPr>
                <w:rFonts w:cs="Arial"/>
                <w:szCs w:val="22"/>
                <w:lang w:eastAsia="it-IT"/>
              </w:rPr>
              <w:t>Електронна адреса:</w:t>
            </w:r>
          </w:p>
        </w:tc>
        <w:tc>
          <w:tcPr>
            <w:tcW w:w="6794" w:type="dxa"/>
            <w:gridSpan w:val="8"/>
          </w:tcPr>
          <w:p w14:paraId="4F44C78F" w14:textId="6364955B" w:rsidR="00EA6E27" w:rsidRPr="0019790A" w:rsidRDefault="00D85FFD" w:rsidP="0019790A">
            <w:pPr>
              <w:rPr>
                <w:rFonts w:cs="Arial"/>
                <w:color w:val="000000"/>
                <w:szCs w:val="22"/>
                <w:lang w:eastAsia="it-IT"/>
              </w:rPr>
            </w:pPr>
            <w:hyperlink r:id="rId96" w:history="1">
              <w:r w:rsidR="00EA6E27" w:rsidRPr="0019790A">
                <w:rPr>
                  <w:rStyle w:val="text"/>
                  <w:rFonts w:cs="Arial"/>
                  <w:b/>
                  <w:bCs/>
                  <w:color w:val="000000"/>
                  <w:szCs w:val="22"/>
                  <w:shd w:val="clear" w:color="auto" w:fill="E9EAEC"/>
                </w:rPr>
                <w:t>econ@zhmr.gov.ua</w:t>
              </w:r>
            </w:hyperlink>
            <w:r w:rsidR="00571D7A">
              <w:rPr>
                <w:rStyle w:val="text"/>
                <w:rFonts w:cs="Arial"/>
                <w:b/>
                <w:bCs/>
                <w:color w:val="000000"/>
                <w:szCs w:val="22"/>
                <w:shd w:val="clear" w:color="auto" w:fill="E9EAEC"/>
              </w:rPr>
              <w:t xml:space="preserve"> </w:t>
            </w:r>
          </w:p>
        </w:tc>
      </w:tr>
      <w:tr w:rsidR="00EA6E27" w:rsidRPr="0019790A" w14:paraId="4AADA57D" w14:textId="77777777" w:rsidTr="00EA6E27">
        <w:trPr>
          <w:trHeight w:val="1443"/>
          <w:jc w:val="right"/>
        </w:trPr>
        <w:tc>
          <w:tcPr>
            <w:tcW w:w="3425" w:type="dxa"/>
            <w:vAlign w:val="center"/>
          </w:tcPr>
          <w:p w14:paraId="09DAA3A5" w14:textId="77777777" w:rsidR="00EA6E27" w:rsidRPr="0019790A" w:rsidRDefault="00EA6E27" w:rsidP="0019790A">
            <w:pPr>
              <w:pStyle w:val="6"/>
              <w:spacing w:before="0" w:after="0"/>
              <w:rPr>
                <w:rFonts w:ascii="Arial" w:hAnsi="Arial" w:cs="Arial"/>
                <w:color w:val="000000"/>
                <w:lang w:val="uk-UA"/>
              </w:rPr>
            </w:pPr>
            <w:r w:rsidRPr="0019790A">
              <w:rPr>
                <w:rFonts w:ascii="Arial" w:hAnsi="Arial" w:cs="Arial"/>
                <w:color w:val="000000"/>
                <w:lang w:val="uk-UA"/>
              </w:rPr>
              <w:t>Номер і назва завдання з Стратегії</w:t>
            </w:r>
            <w:r w:rsidRPr="0019790A">
              <w:rPr>
                <w:rFonts w:ascii="Arial" w:hAnsi="Arial" w:cs="Arial"/>
                <w:lang w:val="uk-UA" w:eastAsia="it-IT"/>
              </w:rPr>
              <w:t xml:space="preserve"> </w:t>
            </w:r>
            <w:r w:rsidRPr="0019790A">
              <w:rPr>
                <w:rFonts w:ascii="Arial" w:hAnsi="Arial" w:cs="Arial"/>
                <w:color w:val="000000"/>
                <w:lang w:val="uk-UA"/>
              </w:rPr>
              <w:t>розвитку Жмеринської міської територіальної громади,  якому відповідає проєкт:</w:t>
            </w:r>
          </w:p>
        </w:tc>
        <w:tc>
          <w:tcPr>
            <w:tcW w:w="6794" w:type="dxa"/>
            <w:gridSpan w:val="8"/>
          </w:tcPr>
          <w:p w14:paraId="23C4A9AA" w14:textId="77777777" w:rsidR="00EA6E27" w:rsidRPr="0019790A" w:rsidRDefault="00EA6E27" w:rsidP="0019790A">
            <w:pPr>
              <w:pBdr>
                <w:left w:val="single" w:sz="18" w:space="4" w:color="auto"/>
              </w:pBdr>
              <w:rPr>
                <w:rFonts w:cs="Arial"/>
                <w:szCs w:val="22"/>
              </w:rPr>
            </w:pPr>
            <w:r w:rsidRPr="0019790A">
              <w:rPr>
                <w:rFonts w:cs="Arial"/>
                <w:szCs w:val="22"/>
              </w:rPr>
              <w:t xml:space="preserve">В.2.2. Енергоефективні будівлі бюджетної, комунальної, житлової сфери та енергоаудит                                                                                </w:t>
            </w:r>
            <w:r w:rsidRPr="0019790A">
              <w:rPr>
                <w:rFonts w:cs="Arial"/>
                <w:color w:val="000000"/>
                <w:szCs w:val="22"/>
              </w:rPr>
              <w:t>В.2.2.3. Впровадження енергоефективних заходів та обладнання на об’єктах  комунальної власності громади, забезпечення термомодернізації об’єктів комунальної власності.</w:t>
            </w:r>
          </w:p>
        </w:tc>
      </w:tr>
      <w:tr w:rsidR="00EA6E27" w:rsidRPr="0019790A" w14:paraId="138E77D1" w14:textId="77777777" w:rsidTr="00EA6E27">
        <w:trPr>
          <w:jc w:val="right"/>
        </w:trPr>
        <w:tc>
          <w:tcPr>
            <w:tcW w:w="3425" w:type="dxa"/>
            <w:vAlign w:val="center"/>
          </w:tcPr>
          <w:p w14:paraId="02B2983C" w14:textId="77777777" w:rsidR="00EA6E27" w:rsidRPr="0019790A" w:rsidRDefault="00EA6E27" w:rsidP="0019790A">
            <w:pPr>
              <w:rPr>
                <w:rFonts w:cs="Arial"/>
                <w:b/>
                <w:bCs/>
                <w:color w:val="000000"/>
                <w:szCs w:val="22"/>
              </w:rPr>
            </w:pPr>
            <w:r w:rsidRPr="0019790A">
              <w:rPr>
                <w:rFonts w:cs="Arial"/>
                <w:b/>
                <w:bCs/>
                <w:color w:val="000000"/>
                <w:szCs w:val="22"/>
              </w:rPr>
              <w:t>Мета проєкту:</w:t>
            </w:r>
          </w:p>
        </w:tc>
        <w:tc>
          <w:tcPr>
            <w:tcW w:w="6794" w:type="dxa"/>
            <w:gridSpan w:val="8"/>
          </w:tcPr>
          <w:p w14:paraId="1886F7E3" w14:textId="77777777" w:rsidR="00EA6E27" w:rsidRPr="0019790A" w:rsidRDefault="00EA6E27" w:rsidP="0019790A">
            <w:pPr>
              <w:rPr>
                <w:rFonts w:cs="Arial"/>
                <w:szCs w:val="22"/>
                <w:lang w:eastAsia="it-IT"/>
              </w:rPr>
            </w:pPr>
            <w:r w:rsidRPr="0019790A">
              <w:rPr>
                <w:rFonts w:cs="Arial"/>
                <w:szCs w:val="22"/>
                <w:lang w:eastAsia="it-IT"/>
              </w:rPr>
              <w:t xml:space="preserve">Забезпечення енергетичної незалежності та сталості функціонування ; </w:t>
            </w:r>
          </w:p>
          <w:p w14:paraId="0CE07AE4" w14:textId="77777777" w:rsidR="00EA6E27" w:rsidRPr="0019790A" w:rsidRDefault="00EA6E27" w:rsidP="0019790A">
            <w:pPr>
              <w:rPr>
                <w:rFonts w:cs="Arial"/>
                <w:szCs w:val="22"/>
                <w:lang w:eastAsia="it-IT"/>
              </w:rPr>
            </w:pPr>
            <w:r w:rsidRPr="0019790A">
              <w:rPr>
                <w:rFonts w:cs="Arial"/>
                <w:szCs w:val="22"/>
                <w:lang w:eastAsia="it-IT"/>
              </w:rPr>
              <w:t>Забезпечення безперебійного енергопостачання та підвищення надійності;</w:t>
            </w:r>
          </w:p>
          <w:p w14:paraId="1AD72285" w14:textId="77777777" w:rsidR="00EA6E27" w:rsidRPr="0019790A" w:rsidRDefault="00EA6E27" w:rsidP="0019790A">
            <w:pPr>
              <w:rPr>
                <w:rFonts w:cs="Arial"/>
                <w:szCs w:val="22"/>
                <w:lang w:eastAsia="it-IT"/>
              </w:rPr>
            </w:pPr>
            <w:r w:rsidRPr="0019790A">
              <w:rPr>
                <w:rFonts w:cs="Arial"/>
                <w:szCs w:val="22"/>
                <w:lang w:eastAsia="it-IT"/>
              </w:rPr>
              <w:t>Економічна ефективність та оптимізація витрат;</w:t>
            </w:r>
          </w:p>
          <w:p w14:paraId="4A5409CE" w14:textId="77777777" w:rsidR="00EA6E27" w:rsidRPr="0019790A" w:rsidRDefault="00EA6E27" w:rsidP="0019790A">
            <w:pPr>
              <w:rPr>
                <w:rFonts w:cs="Arial"/>
                <w:szCs w:val="22"/>
                <w:lang w:eastAsia="it-IT"/>
              </w:rPr>
            </w:pPr>
            <w:r w:rsidRPr="0019790A">
              <w:rPr>
                <w:rFonts w:cs="Arial"/>
                <w:szCs w:val="22"/>
                <w:lang w:eastAsia="it-IT"/>
              </w:rPr>
              <w:t>Зменшення викидів парникових газів та покращення якості повітря;</w:t>
            </w:r>
          </w:p>
          <w:p w14:paraId="1508F43D" w14:textId="77777777" w:rsidR="00EA6E27" w:rsidRPr="0019790A" w:rsidRDefault="00EA6E27" w:rsidP="0019790A">
            <w:pPr>
              <w:rPr>
                <w:rFonts w:cs="Arial"/>
                <w:szCs w:val="22"/>
                <w:lang w:eastAsia="it-IT"/>
              </w:rPr>
            </w:pPr>
            <w:r w:rsidRPr="0019790A">
              <w:rPr>
                <w:rFonts w:cs="Arial"/>
                <w:szCs w:val="22"/>
                <w:lang w:eastAsia="it-IT"/>
              </w:rPr>
              <w:t>Інклюзивна доступність та реабілітаційні послуги.</w:t>
            </w:r>
          </w:p>
        </w:tc>
      </w:tr>
      <w:tr w:rsidR="00EA6E27" w:rsidRPr="0019790A" w14:paraId="65282BB2" w14:textId="77777777" w:rsidTr="00EA6E27">
        <w:trPr>
          <w:jc w:val="right"/>
        </w:trPr>
        <w:tc>
          <w:tcPr>
            <w:tcW w:w="3425" w:type="dxa"/>
            <w:vAlign w:val="center"/>
          </w:tcPr>
          <w:p w14:paraId="5B97547B" w14:textId="77777777" w:rsidR="00EA6E27" w:rsidRPr="0019790A" w:rsidRDefault="00EA6E27" w:rsidP="0019790A">
            <w:pPr>
              <w:rPr>
                <w:rFonts w:cs="Arial"/>
                <w:b/>
                <w:bCs/>
                <w:color w:val="000000"/>
                <w:szCs w:val="22"/>
              </w:rPr>
            </w:pPr>
            <w:r w:rsidRPr="0019790A">
              <w:rPr>
                <w:rFonts w:cs="Arial"/>
                <w:b/>
                <w:bCs/>
                <w:color w:val="000000"/>
                <w:szCs w:val="22"/>
              </w:rPr>
              <w:t>Цілі проєкту:</w:t>
            </w:r>
          </w:p>
        </w:tc>
        <w:tc>
          <w:tcPr>
            <w:tcW w:w="6794" w:type="dxa"/>
            <w:gridSpan w:val="8"/>
          </w:tcPr>
          <w:p w14:paraId="5790DE6E" w14:textId="77777777" w:rsidR="00EA6E27" w:rsidRPr="0019790A" w:rsidRDefault="00EA6E27" w:rsidP="0019790A">
            <w:pPr>
              <w:rPr>
                <w:rFonts w:cs="Arial"/>
                <w:szCs w:val="22"/>
                <w:lang w:eastAsia="it-IT"/>
              </w:rPr>
            </w:pPr>
            <w:r w:rsidRPr="0019790A">
              <w:rPr>
                <w:rFonts w:cs="Arial"/>
                <w:szCs w:val="22"/>
                <w:lang w:eastAsia="it-IT"/>
              </w:rPr>
              <w:t>Підвищення енергоефективності лікарні;</w:t>
            </w:r>
          </w:p>
          <w:p w14:paraId="6BB20371" w14:textId="77777777" w:rsidR="00EA6E27" w:rsidRPr="0019790A" w:rsidRDefault="00EA6E27" w:rsidP="0019790A">
            <w:pPr>
              <w:rPr>
                <w:rFonts w:cs="Arial"/>
                <w:szCs w:val="22"/>
                <w:lang w:eastAsia="it-IT"/>
              </w:rPr>
            </w:pPr>
            <w:r w:rsidRPr="0019790A">
              <w:rPr>
                <w:rFonts w:cs="Arial"/>
                <w:szCs w:val="22"/>
                <w:lang w:eastAsia="it-IT"/>
              </w:rPr>
              <w:t>Зниження експлуатаційних витрат;</w:t>
            </w:r>
          </w:p>
          <w:p w14:paraId="273AEBF5" w14:textId="77777777" w:rsidR="00EA6E27" w:rsidRPr="0019790A" w:rsidRDefault="00EA6E27" w:rsidP="0019790A">
            <w:pPr>
              <w:rPr>
                <w:rFonts w:cs="Arial"/>
                <w:szCs w:val="22"/>
                <w:lang w:eastAsia="it-IT"/>
              </w:rPr>
            </w:pPr>
            <w:r w:rsidRPr="0019790A">
              <w:rPr>
                <w:rFonts w:cs="Arial"/>
                <w:szCs w:val="22"/>
                <w:lang w:eastAsia="it-IT"/>
              </w:rPr>
              <w:t>Забезпечення енергетичної стабільності лікарні;</w:t>
            </w:r>
          </w:p>
          <w:p w14:paraId="1A7ACAAE" w14:textId="77777777" w:rsidR="00EA6E27" w:rsidRPr="0019790A" w:rsidRDefault="00EA6E27" w:rsidP="0019790A">
            <w:pPr>
              <w:rPr>
                <w:rFonts w:cs="Arial"/>
                <w:szCs w:val="22"/>
                <w:lang w:eastAsia="it-IT"/>
              </w:rPr>
            </w:pPr>
            <w:r w:rsidRPr="0019790A">
              <w:rPr>
                <w:rFonts w:cs="Arial"/>
                <w:szCs w:val="22"/>
                <w:lang w:eastAsia="it-IT"/>
              </w:rPr>
              <w:t>Покращення екологічних показників .</w:t>
            </w:r>
          </w:p>
          <w:p w14:paraId="73BE4349" w14:textId="77777777" w:rsidR="00EA6E27" w:rsidRPr="0019790A" w:rsidRDefault="00EA6E27" w:rsidP="0019790A">
            <w:pPr>
              <w:rPr>
                <w:rFonts w:cs="Arial"/>
                <w:szCs w:val="22"/>
                <w:lang w:eastAsia="it-IT"/>
              </w:rPr>
            </w:pPr>
          </w:p>
        </w:tc>
      </w:tr>
      <w:tr w:rsidR="00EA6E27" w:rsidRPr="0019790A" w14:paraId="2E436845" w14:textId="77777777" w:rsidTr="00EA6E27">
        <w:trPr>
          <w:jc w:val="right"/>
        </w:trPr>
        <w:tc>
          <w:tcPr>
            <w:tcW w:w="3425" w:type="dxa"/>
            <w:vAlign w:val="center"/>
          </w:tcPr>
          <w:p w14:paraId="51214652" w14:textId="77777777" w:rsidR="00EA6E27" w:rsidRPr="0019790A" w:rsidRDefault="00EA6E27" w:rsidP="0019790A">
            <w:pPr>
              <w:autoSpaceDE w:val="0"/>
              <w:autoSpaceDN w:val="0"/>
              <w:adjustRightInd w:val="0"/>
              <w:rPr>
                <w:rFonts w:cs="Arial"/>
                <w:b/>
                <w:color w:val="000000"/>
                <w:szCs w:val="22"/>
              </w:rPr>
            </w:pPr>
            <w:r w:rsidRPr="0019790A">
              <w:rPr>
                <w:rFonts w:cs="Arial"/>
                <w:b/>
                <w:color w:val="000000"/>
                <w:szCs w:val="22"/>
              </w:rPr>
              <w:t>Територія на яку проєкт матиме вплив:</w:t>
            </w:r>
          </w:p>
        </w:tc>
        <w:tc>
          <w:tcPr>
            <w:tcW w:w="6794" w:type="dxa"/>
            <w:gridSpan w:val="8"/>
          </w:tcPr>
          <w:p w14:paraId="04939EE5" w14:textId="77777777" w:rsidR="00EA6E27" w:rsidRPr="0019790A" w:rsidRDefault="00EA6E27" w:rsidP="0019790A">
            <w:pPr>
              <w:rPr>
                <w:rFonts w:cs="Arial"/>
                <w:szCs w:val="22"/>
                <w:lang w:eastAsia="it-IT"/>
              </w:rPr>
            </w:pPr>
            <w:r w:rsidRPr="0019790A">
              <w:rPr>
                <w:rFonts w:cs="Arial"/>
                <w:szCs w:val="22"/>
                <w:lang w:eastAsia="it-IT"/>
              </w:rPr>
              <w:t>Жмеринська міська територіальна громада</w:t>
            </w:r>
          </w:p>
        </w:tc>
      </w:tr>
      <w:tr w:rsidR="00EA6E27" w:rsidRPr="0019790A" w14:paraId="6E3AE286" w14:textId="77777777" w:rsidTr="00EA6E27">
        <w:trPr>
          <w:jc w:val="right"/>
        </w:trPr>
        <w:tc>
          <w:tcPr>
            <w:tcW w:w="3425" w:type="dxa"/>
            <w:vAlign w:val="center"/>
          </w:tcPr>
          <w:p w14:paraId="6B03F7EE" w14:textId="77777777" w:rsidR="00EA6E27" w:rsidRPr="0019790A" w:rsidRDefault="00EA6E27" w:rsidP="0019790A">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4" w:type="dxa"/>
            <w:gridSpan w:val="8"/>
          </w:tcPr>
          <w:p w14:paraId="124B4FA3" w14:textId="77777777" w:rsidR="00EA6E27" w:rsidRPr="0019790A" w:rsidRDefault="00EA6E27" w:rsidP="0019790A">
            <w:pPr>
              <w:rPr>
                <w:rFonts w:cs="Arial"/>
                <w:szCs w:val="22"/>
                <w:lang w:eastAsia="it-IT"/>
              </w:rPr>
            </w:pPr>
            <w:r w:rsidRPr="0019790A">
              <w:rPr>
                <w:rFonts w:cs="Arial"/>
                <w:szCs w:val="22"/>
                <w:lang w:eastAsia="it-IT"/>
              </w:rPr>
              <w:t>48,271 тис.осіб</w:t>
            </w:r>
          </w:p>
        </w:tc>
      </w:tr>
      <w:tr w:rsidR="00EA6E27" w:rsidRPr="0019790A" w14:paraId="469EAE34" w14:textId="77777777" w:rsidTr="00EA6E27">
        <w:trPr>
          <w:jc w:val="right"/>
        </w:trPr>
        <w:tc>
          <w:tcPr>
            <w:tcW w:w="3425" w:type="dxa"/>
            <w:shd w:val="clear" w:color="auto" w:fill="FFFFFF"/>
            <w:vAlign w:val="center"/>
          </w:tcPr>
          <w:p w14:paraId="6411255D" w14:textId="77777777" w:rsidR="00EA6E27" w:rsidRPr="0019790A" w:rsidRDefault="00EA6E27" w:rsidP="0019790A">
            <w:pPr>
              <w:rPr>
                <w:rFonts w:cs="Arial"/>
                <w:b/>
                <w:bCs/>
                <w:color w:val="000000"/>
                <w:szCs w:val="22"/>
              </w:rPr>
            </w:pPr>
            <w:r w:rsidRPr="0019790A">
              <w:rPr>
                <w:rFonts w:cs="Arial"/>
                <w:b/>
                <w:bCs/>
                <w:color w:val="000000"/>
                <w:szCs w:val="22"/>
              </w:rPr>
              <w:t>Стислий опис проєкту:</w:t>
            </w:r>
          </w:p>
        </w:tc>
        <w:tc>
          <w:tcPr>
            <w:tcW w:w="6794" w:type="dxa"/>
            <w:gridSpan w:val="8"/>
          </w:tcPr>
          <w:p w14:paraId="00D35634" w14:textId="77777777" w:rsidR="00EA6E27" w:rsidRPr="0019790A" w:rsidRDefault="00EA6E27" w:rsidP="0019790A">
            <w:pPr>
              <w:rPr>
                <w:rFonts w:cs="Arial"/>
                <w:szCs w:val="22"/>
                <w:lang w:eastAsia="it-IT"/>
              </w:rPr>
            </w:pPr>
            <w:r w:rsidRPr="0019790A">
              <w:rPr>
                <w:rFonts w:cs="Arial"/>
                <w:szCs w:val="22"/>
                <w:lang w:eastAsia="it-IT"/>
              </w:rPr>
              <w:t>Встановлення гібридної СЕС (потужністю 100кВт) в КНП «Жмеринська ЦРЛ»</w:t>
            </w:r>
          </w:p>
        </w:tc>
      </w:tr>
      <w:tr w:rsidR="00EA6E27" w:rsidRPr="0019790A" w14:paraId="26E85F3A" w14:textId="77777777" w:rsidTr="00EA6E27">
        <w:trPr>
          <w:jc w:val="right"/>
        </w:trPr>
        <w:tc>
          <w:tcPr>
            <w:tcW w:w="3425" w:type="dxa"/>
            <w:shd w:val="clear" w:color="auto" w:fill="FFFFFF"/>
            <w:vAlign w:val="center"/>
          </w:tcPr>
          <w:p w14:paraId="508DEC43" w14:textId="77777777" w:rsidR="00EA6E27" w:rsidRPr="0019790A" w:rsidRDefault="00EA6E27" w:rsidP="0019790A">
            <w:pPr>
              <w:rPr>
                <w:rFonts w:cs="Arial"/>
                <w:b/>
                <w:bCs/>
                <w:color w:val="000000"/>
                <w:szCs w:val="22"/>
              </w:rPr>
            </w:pPr>
            <w:r w:rsidRPr="0019790A">
              <w:rPr>
                <w:rFonts w:cs="Arial"/>
                <w:b/>
                <w:bCs/>
                <w:color w:val="000000"/>
                <w:szCs w:val="22"/>
              </w:rPr>
              <w:t>Основні заходи проєкту:</w:t>
            </w:r>
          </w:p>
        </w:tc>
        <w:tc>
          <w:tcPr>
            <w:tcW w:w="6794" w:type="dxa"/>
            <w:gridSpan w:val="8"/>
          </w:tcPr>
          <w:p w14:paraId="6FADB6CE" w14:textId="1B02A0C8" w:rsidR="00EA6E27" w:rsidRPr="0019790A" w:rsidRDefault="00EA6E27" w:rsidP="0019790A">
            <w:pPr>
              <w:widowControl w:val="0"/>
              <w:tabs>
                <w:tab w:val="left" w:pos="5829"/>
                <w:tab w:val="left" w:pos="9720"/>
                <w:tab w:val="left" w:pos="10357"/>
              </w:tabs>
              <w:autoSpaceDE w:val="0"/>
              <w:autoSpaceDN w:val="0"/>
              <w:rPr>
                <w:rFonts w:cs="Arial"/>
                <w:szCs w:val="22"/>
              </w:rPr>
            </w:pPr>
            <w:r w:rsidRPr="0019790A">
              <w:rPr>
                <w:rFonts w:cs="Arial"/>
                <w:szCs w:val="22"/>
              </w:rPr>
              <w:t xml:space="preserve">Розробка ТЕО та </w:t>
            </w:r>
            <w:r w:rsidR="00314B9D">
              <w:rPr>
                <w:rFonts w:cs="Arial"/>
                <w:szCs w:val="22"/>
              </w:rPr>
              <w:t>проєкт</w:t>
            </w:r>
            <w:r w:rsidRPr="0019790A">
              <w:rPr>
                <w:rFonts w:cs="Arial"/>
                <w:szCs w:val="22"/>
              </w:rPr>
              <w:t>но-кошторисної документації,</w:t>
            </w:r>
          </w:p>
          <w:p w14:paraId="764AEF53" w14:textId="77777777" w:rsidR="00EA6E27" w:rsidRPr="0019790A" w:rsidRDefault="00EA6E27" w:rsidP="0019790A">
            <w:pPr>
              <w:widowControl w:val="0"/>
              <w:tabs>
                <w:tab w:val="left" w:pos="5829"/>
                <w:tab w:val="left" w:pos="9720"/>
                <w:tab w:val="left" w:pos="10357"/>
              </w:tabs>
              <w:autoSpaceDE w:val="0"/>
              <w:autoSpaceDN w:val="0"/>
              <w:rPr>
                <w:rFonts w:cs="Arial"/>
                <w:szCs w:val="22"/>
              </w:rPr>
            </w:pPr>
            <w:r w:rsidRPr="0019790A">
              <w:rPr>
                <w:rFonts w:cs="Arial"/>
                <w:szCs w:val="22"/>
              </w:rPr>
              <w:t xml:space="preserve">Закупівля обладнання , будівельно –монтажні роботи та             підключення до електромережі; </w:t>
            </w:r>
          </w:p>
          <w:p w14:paraId="33CC31F9" w14:textId="77777777" w:rsidR="00EA6E27" w:rsidRPr="0019790A" w:rsidRDefault="00EA6E27" w:rsidP="0019790A">
            <w:pPr>
              <w:widowControl w:val="0"/>
              <w:tabs>
                <w:tab w:val="left" w:pos="5829"/>
                <w:tab w:val="left" w:pos="9720"/>
                <w:tab w:val="left" w:pos="10357"/>
              </w:tabs>
              <w:autoSpaceDE w:val="0"/>
              <w:autoSpaceDN w:val="0"/>
              <w:rPr>
                <w:rFonts w:cs="Arial"/>
                <w:szCs w:val="22"/>
              </w:rPr>
            </w:pPr>
            <w:r w:rsidRPr="0019790A">
              <w:rPr>
                <w:rFonts w:cs="Arial"/>
                <w:szCs w:val="22"/>
              </w:rPr>
              <w:t>Введення в експлуатацію</w:t>
            </w:r>
          </w:p>
          <w:p w14:paraId="3BA5E9CF" w14:textId="77777777" w:rsidR="00EA6E27" w:rsidRPr="0019790A" w:rsidRDefault="00EA6E27" w:rsidP="0019790A">
            <w:pPr>
              <w:widowControl w:val="0"/>
              <w:tabs>
                <w:tab w:val="left" w:pos="5829"/>
                <w:tab w:val="left" w:pos="9720"/>
                <w:tab w:val="left" w:pos="10357"/>
              </w:tabs>
              <w:autoSpaceDE w:val="0"/>
              <w:autoSpaceDN w:val="0"/>
              <w:rPr>
                <w:rFonts w:cs="Arial"/>
                <w:szCs w:val="22"/>
              </w:rPr>
            </w:pPr>
            <w:r w:rsidRPr="0019790A">
              <w:rPr>
                <w:rFonts w:cs="Arial"/>
                <w:szCs w:val="22"/>
              </w:rPr>
              <w:t>Моніторинг та контроль</w:t>
            </w:r>
          </w:p>
          <w:p w14:paraId="6707878F" w14:textId="77777777" w:rsidR="00EA6E27" w:rsidRPr="0019790A" w:rsidRDefault="00EA6E27" w:rsidP="0019790A">
            <w:pPr>
              <w:widowControl w:val="0"/>
              <w:tabs>
                <w:tab w:val="left" w:pos="5829"/>
                <w:tab w:val="left" w:pos="9720"/>
                <w:tab w:val="left" w:pos="10357"/>
              </w:tabs>
              <w:autoSpaceDE w:val="0"/>
              <w:autoSpaceDN w:val="0"/>
              <w:rPr>
                <w:rFonts w:cs="Arial"/>
                <w:szCs w:val="22"/>
              </w:rPr>
            </w:pPr>
            <w:r w:rsidRPr="0019790A">
              <w:rPr>
                <w:rFonts w:cs="Arial"/>
                <w:szCs w:val="22"/>
              </w:rPr>
              <w:t>Навчання персоналу</w:t>
            </w:r>
          </w:p>
        </w:tc>
      </w:tr>
      <w:tr w:rsidR="00EA6E27" w:rsidRPr="0019790A" w14:paraId="07C52DC3" w14:textId="77777777" w:rsidTr="00EA6E27">
        <w:trPr>
          <w:jc w:val="right"/>
        </w:trPr>
        <w:tc>
          <w:tcPr>
            <w:tcW w:w="3425" w:type="dxa"/>
            <w:shd w:val="clear" w:color="auto" w:fill="FFFFFF"/>
            <w:vAlign w:val="center"/>
          </w:tcPr>
          <w:p w14:paraId="3B9A0B96" w14:textId="77777777" w:rsidR="00EA6E27" w:rsidRPr="0019790A" w:rsidRDefault="00EA6E27"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794" w:type="dxa"/>
            <w:gridSpan w:val="8"/>
          </w:tcPr>
          <w:p w14:paraId="1FBB5954" w14:textId="77777777" w:rsidR="00EA6E27" w:rsidRPr="0019790A" w:rsidRDefault="00EA6E27" w:rsidP="0019790A">
            <w:pPr>
              <w:rPr>
                <w:rFonts w:cs="Arial"/>
                <w:szCs w:val="22"/>
                <w:lang w:eastAsia="it-IT"/>
              </w:rPr>
            </w:pPr>
            <w:r w:rsidRPr="0019790A">
              <w:rPr>
                <w:rFonts w:cs="Arial"/>
                <w:szCs w:val="22"/>
                <w:lang w:eastAsia="it-IT"/>
              </w:rPr>
              <w:t>Скорочення витрат на енергоносії після встановлення СЕС – на 6 %,</w:t>
            </w:r>
          </w:p>
          <w:p w14:paraId="715EAB34" w14:textId="77777777" w:rsidR="00EA6E27" w:rsidRPr="0019790A" w:rsidRDefault="00EA6E27" w:rsidP="0019790A">
            <w:pPr>
              <w:rPr>
                <w:rFonts w:cs="Arial"/>
                <w:szCs w:val="22"/>
                <w:lang w:eastAsia="it-IT"/>
              </w:rPr>
            </w:pPr>
            <w:r w:rsidRPr="0019790A">
              <w:rPr>
                <w:rFonts w:cs="Arial"/>
                <w:szCs w:val="22"/>
                <w:lang w:eastAsia="it-IT"/>
              </w:rPr>
              <w:t>-Зменшення споживання теплової енергії – 2%,</w:t>
            </w:r>
          </w:p>
          <w:p w14:paraId="57DAD2DD" w14:textId="77777777" w:rsidR="00EA6E27" w:rsidRPr="0019790A" w:rsidRDefault="00EA6E27" w:rsidP="0019790A">
            <w:pPr>
              <w:rPr>
                <w:rFonts w:cs="Arial"/>
                <w:szCs w:val="22"/>
                <w:lang w:eastAsia="it-IT"/>
              </w:rPr>
            </w:pPr>
            <w:r w:rsidRPr="0019790A">
              <w:rPr>
                <w:rFonts w:cs="Arial"/>
                <w:szCs w:val="22"/>
                <w:lang w:eastAsia="it-IT"/>
              </w:rPr>
              <w:t>-Відсоток досягнутої  економії,</w:t>
            </w:r>
          </w:p>
          <w:p w14:paraId="00D85490" w14:textId="77777777" w:rsidR="00EA6E27" w:rsidRPr="0019790A" w:rsidRDefault="00EA6E27" w:rsidP="0019790A">
            <w:pPr>
              <w:rPr>
                <w:rFonts w:cs="Arial"/>
                <w:szCs w:val="22"/>
                <w:vertAlign w:val="superscript"/>
                <w:lang w:eastAsia="it-IT"/>
              </w:rPr>
            </w:pPr>
            <w:r w:rsidRPr="0019790A">
              <w:rPr>
                <w:rFonts w:cs="Arial"/>
                <w:szCs w:val="22"/>
                <w:lang w:eastAsia="it-IT"/>
              </w:rPr>
              <w:t>-Зниження викидів СО</w:t>
            </w:r>
            <w:r w:rsidRPr="0019790A">
              <w:rPr>
                <w:rFonts w:cs="Arial"/>
                <w:szCs w:val="22"/>
                <w:vertAlign w:val="superscript"/>
                <w:lang w:eastAsia="it-IT"/>
              </w:rPr>
              <w:t>2,</w:t>
            </w:r>
          </w:p>
          <w:p w14:paraId="0630B77D" w14:textId="77777777" w:rsidR="00EA6E27" w:rsidRPr="0019790A" w:rsidRDefault="00EA6E27" w:rsidP="0019790A">
            <w:pPr>
              <w:rPr>
                <w:rFonts w:cs="Arial"/>
                <w:szCs w:val="22"/>
                <w:lang w:eastAsia="it-IT"/>
              </w:rPr>
            </w:pPr>
            <w:r w:rsidRPr="0019790A">
              <w:rPr>
                <w:rFonts w:cs="Arial"/>
                <w:szCs w:val="22"/>
                <w:lang w:eastAsia="it-IT"/>
              </w:rPr>
              <w:t>-Час окупності проєкту – 5 років,</w:t>
            </w:r>
          </w:p>
          <w:p w14:paraId="15FBD91B" w14:textId="77777777" w:rsidR="00EA6E27" w:rsidRPr="0019790A" w:rsidRDefault="00EA6E27" w:rsidP="0019790A">
            <w:pPr>
              <w:rPr>
                <w:rFonts w:cs="Arial"/>
                <w:szCs w:val="22"/>
                <w:lang w:eastAsia="it-IT"/>
              </w:rPr>
            </w:pPr>
            <w:r w:rsidRPr="0019790A">
              <w:rPr>
                <w:rFonts w:cs="Arial"/>
                <w:szCs w:val="22"/>
                <w:lang w:eastAsia="it-IT"/>
              </w:rPr>
              <w:t>-Покращення мікроклімату в приміщеннях  лікарні(температура,</w:t>
            </w:r>
          </w:p>
          <w:p w14:paraId="79C4A399" w14:textId="77777777" w:rsidR="00EA6E27" w:rsidRPr="0019790A" w:rsidRDefault="00EA6E27" w:rsidP="0019790A">
            <w:pPr>
              <w:rPr>
                <w:rFonts w:cs="Arial"/>
                <w:szCs w:val="22"/>
                <w:lang w:eastAsia="it-IT"/>
              </w:rPr>
            </w:pPr>
            <w:r w:rsidRPr="0019790A">
              <w:rPr>
                <w:rFonts w:cs="Arial"/>
                <w:szCs w:val="22"/>
                <w:lang w:eastAsia="it-IT"/>
              </w:rPr>
              <w:t>вологість).</w:t>
            </w:r>
          </w:p>
        </w:tc>
      </w:tr>
      <w:tr w:rsidR="00EA6E27" w:rsidRPr="0019790A" w14:paraId="45F31A48" w14:textId="77777777" w:rsidTr="00EA6E27">
        <w:trPr>
          <w:jc w:val="right"/>
        </w:trPr>
        <w:tc>
          <w:tcPr>
            <w:tcW w:w="3425" w:type="dxa"/>
            <w:shd w:val="clear" w:color="auto" w:fill="FFFFFF"/>
            <w:vAlign w:val="center"/>
          </w:tcPr>
          <w:p w14:paraId="32793D39" w14:textId="77777777" w:rsidR="00EA6E27" w:rsidRPr="0019790A" w:rsidRDefault="00EA6E27" w:rsidP="0019790A">
            <w:pPr>
              <w:rPr>
                <w:rFonts w:cs="Arial"/>
                <w:b/>
                <w:color w:val="000000"/>
                <w:szCs w:val="22"/>
              </w:rPr>
            </w:pPr>
            <w:r w:rsidRPr="0019790A">
              <w:rPr>
                <w:rFonts w:cs="Arial"/>
                <w:b/>
                <w:color w:val="000000"/>
                <w:szCs w:val="22"/>
              </w:rPr>
              <w:t xml:space="preserve">Період здійснення: </w:t>
            </w:r>
          </w:p>
        </w:tc>
        <w:tc>
          <w:tcPr>
            <w:tcW w:w="6794" w:type="dxa"/>
            <w:gridSpan w:val="8"/>
            <w:vAlign w:val="center"/>
          </w:tcPr>
          <w:p w14:paraId="702E9410" w14:textId="77777777" w:rsidR="00EA6E27" w:rsidRPr="0019790A" w:rsidRDefault="00EA6E27" w:rsidP="0019790A">
            <w:pPr>
              <w:jc w:val="center"/>
              <w:rPr>
                <w:rFonts w:cs="Arial"/>
                <w:color w:val="000000"/>
                <w:szCs w:val="22"/>
                <w:lang w:eastAsia="it-IT"/>
              </w:rPr>
            </w:pPr>
            <w:r w:rsidRPr="0019790A">
              <w:rPr>
                <w:rFonts w:cs="Arial"/>
                <w:b/>
                <w:color w:val="000000"/>
                <w:szCs w:val="22"/>
              </w:rPr>
              <w:t>2025 – 2028 роки:</w:t>
            </w:r>
          </w:p>
        </w:tc>
      </w:tr>
      <w:tr w:rsidR="00EA6E27" w:rsidRPr="0019790A" w14:paraId="2F12C20A" w14:textId="77777777" w:rsidTr="00EA6E27">
        <w:trPr>
          <w:jc w:val="right"/>
        </w:trPr>
        <w:tc>
          <w:tcPr>
            <w:tcW w:w="3425" w:type="dxa"/>
            <w:vMerge w:val="restart"/>
            <w:shd w:val="clear" w:color="auto" w:fill="FFFFFF"/>
            <w:vAlign w:val="center"/>
          </w:tcPr>
          <w:p w14:paraId="1A44085C" w14:textId="77777777" w:rsidR="00EA6E27" w:rsidRPr="0019790A" w:rsidRDefault="00EA6E27" w:rsidP="0019790A">
            <w:pPr>
              <w:rPr>
                <w:rFonts w:cs="Arial"/>
                <w:b/>
                <w:bCs/>
                <w:color w:val="000000"/>
                <w:szCs w:val="22"/>
              </w:rPr>
            </w:pPr>
            <w:r w:rsidRPr="0019790A">
              <w:rPr>
                <w:rFonts w:cs="Arial"/>
                <w:b/>
                <w:bCs/>
                <w:color w:val="000000"/>
                <w:szCs w:val="22"/>
              </w:rPr>
              <w:t>Орієнтовна вартість проєкту, тис. грн., в тому числі:</w:t>
            </w:r>
          </w:p>
        </w:tc>
        <w:tc>
          <w:tcPr>
            <w:tcW w:w="1254" w:type="dxa"/>
            <w:shd w:val="clear" w:color="auto" w:fill="E6E6E6"/>
            <w:vAlign w:val="center"/>
          </w:tcPr>
          <w:p w14:paraId="3F0180D9" w14:textId="77777777" w:rsidR="00EA6E27" w:rsidRPr="0019790A" w:rsidRDefault="00EA6E27" w:rsidP="0019790A">
            <w:pPr>
              <w:jc w:val="center"/>
              <w:rPr>
                <w:rFonts w:cs="Arial"/>
                <w:b/>
                <w:color w:val="000000"/>
                <w:szCs w:val="22"/>
                <w:lang w:eastAsia="it-IT"/>
              </w:rPr>
            </w:pPr>
            <w:r w:rsidRPr="0019790A">
              <w:rPr>
                <w:rFonts w:cs="Arial"/>
                <w:b/>
                <w:color w:val="000000"/>
                <w:szCs w:val="22"/>
                <w:lang w:eastAsia="it-IT"/>
              </w:rPr>
              <w:t>2025</w:t>
            </w:r>
          </w:p>
        </w:tc>
        <w:tc>
          <w:tcPr>
            <w:tcW w:w="1275" w:type="dxa"/>
            <w:gridSpan w:val="3"/>
            <w:shd w:val="clear" w:color="auto" w:fill="E6E6E6"/>
            <w:vAlign w:val="center"/>
          </w:tcPr>
          <w:p w14:paraId="37B8CCFD" w14:textId="77777777" w:rsidR="00EA6E27" w:rsidRPr="0019790A" w:rsidRDefault="00EA6E27" w:rsidP="0019790A">
            <w:pPr>
              <w:jc w:val="center"/>
              <w:rPr>
                <w:rFonts w:cs="Arial"/>
                <w:b/>
                <w:color w:val="000000"/>
                <w:szCs w:val="22"/>
                <w:lang w:eastAsia="it-IT"/>
              </w:rPr>
            </w:pPr>
            <w:r w:rsidRPr="0019790A">
              <w:rPr>
                <w:rFonts w:cs="Arial"/>
                <w:b/>
                <w:color w:val="000000"/>
                <w:szCs w:val="22"/>
                <w:lang w:eastAsia="it-IT"/>
              </w:rPr>
              <w:t>2026</w:t>
            </w:r>
          </w:p>
        </w:tc>
        <w:tc>
          <w:tcPr>
            <w:tcW w:w="1418" w:type="dxa"/>
            <w:tcBorders>
              <w:bottom w:val="single" w:sz="4" w:space="0" w:color="auto"/>
            </w:tcBorders>
            <w:shd w:val="clear" w:color="auto" w:fill="E6E6E6"/>
            <w:vAlign w:val="center"/>
          </w:tcPr>
          <w:p w14:paraId="479CDCAD" w14:textId="77777777" w:rsidR="00EA6E27" w:rsidRPr="0019790A" w:rsidRDefault="00EA6E27" w:rsidP="0019790A">
            <w:pPr>
              <w:jc w:val="center"/>
              <w:rPr>
                <w:rFonts w:cs="Arial"/>
                <w:b/>
                <w:color w:val="000000"/>
                <w:szCs w:val="22"/>
                <w:lang w:eastAsia="it-IT"/>
              </w:rPr>
            </w:pPr>
            <w:r w:rsidRPr="0019790A">
              <w:rPr>
                <w:rFonts w:cs="Arial"/>
                <w:b/>
                <w:color w:val="000000"/>
                <w:szCs w:val="22"/>
                <w:lang w:eastAsia="it-IT"/>
              </w:rPr>
              <w:t>2027</w:t>
            </w:r>
          </w:p>
        </w:tc>
        <w:tc>
          <w:tcPr>
            <w:tcW w:w="1276" w:type="dxa"/>
            <w:shd w:val="clear" w:color="auto" w:fill="E6E6E6"/>
            <w:vAlign w:val="center"/>
          </w:tcPr>
          <w:p w14:paraId="67CABFB9" w14:textId="77777777" w:rsidR="00EA6E27" w:rsidRPr="0019790A" w:rsidRDefault="00EA6E27" w:rsidP="0019790A">
            <w:pPr>
              <w:jc w:val="center"/>
              <w:rPr>
                <w:rFonts w:cs="Arial"/>
                <w:b/>
                <w:color w:val="000000"/>
                <w:szCs w:val="22"/>
                <w:lang w:eastAsia="it-IT"/>
              </w:rPr>
            </w:pPr>
            <w:r w:rsidRPr="0019790A">
              <w:rPr>
                <w:rFonts w:cs="Arial"/>
                <w:b/>
                <w:color w:val="000000"/>
                <w:szCs w:val="22"/>
                <w:lang w:eastAsia="it-IT"/>
              </w:rPr>
              <w:t>2028</w:t>
            </w:r>
          </w:p>
        </w:tc>
        <w:tc>
          <w:tcPr>
            <w:tcW w:w="1571" w:type="dxa"/>
            <w:gridSpan w:val="2"/>
            <w:shd w:val="clear" w:color="auto" w:fill="E6E6E6"/>
            <w:vAlign w:val="center"/>
          </w:tcPr>
          <w:p w14:paraId="682A051B" w14:textId="77777777" w:rsidR="00EA6E27" w:rsidRPr="0019790A" w:rsidRDefault="00EA6E27" w:rsidP="0019790A">
            <w:pPr>
              <w:jc w:val="center"/>
              <w:rPr>
                <w:rFonts w:cs="Arial"/>
                <w:b/>
                <w:color w:val="000000"/>
                <w:szCs w:val="22"/>
                <w:lang w:eastAsia="it-IT"/>
              </w:rPr>
            </w:pPr>
            <w:r w:rsidRPr="0019790A">
              <w:rPr>
                <w:rFonts w:cs="Arial"/>
                <w:b/>
                <w:color w:val="000000"/>
                <w:szCs w:val="22"/>
                <w:lang w:eastAsia="it-IT"/>
              </w:rPr>
              <w:t>РАЗОМ</w:t>
            </w:r>
          </w:p>
        </w:tc>
      </w:tr>
      <w:tr w:rsidR="00EA6E27" w:rsidRPr="0019790A" w14:paraId="7DC5E6B3" w14:textId="77777777" w:rsidTr="00571D7A">
        <w:trPr>
          <w:jc w:val="right"/>
        </w:trPr>
        <w:tc>
          <w:tcPr>
            <w:tcW w:w="3425" w:type="dxa"/>
            <w:vMerge/>
            <w:shd w:val="clear" w:color="auto" w:fill="FFFFFF"/>
            <w:vAlign w:val="center"/>
          </w:tcPr>
          <w:p w14:paraId="7DAABC51" w14:textId="77777777" w:rsidR="00EA6E27" w:rsidRPr="0019790A" w:rsidRDefault="00EA6E27" w:rsidP="0019790A">
            <w:pPr>
              <w:rPr>
                <w:rFonts w:cs="Arial"/>
                <w:b/>
                <w:bCs/>
                <w:color w:val="000000"/>
                <w:szCs w:val="22"/>
              </w:rPr>
            </w:pPr>
          </w:p>
        </w:tc>
        <w:tc>
          <w:tcPr>
            <w:tcW w:w="1254" w:type="dxa"/>
            <w:vAlign w:val="center"/>
          </w:tcPr>
          <w:p w14:paraId="1A076298" w14:textId="77777777" w:rsidR="00EA6E27" w:rsidRPr="0019790A" w:rsidRDefault="00EA6E27" w:rsidP="00571D7A">
            <w:pPr>
              <w:jc w:val="center"/>
              <w:rPr>
                <w:rFonts w:cs="Arial"/>
                <w:b/>
                <w:color w:val="000000"/>
                <w:szCs w:val="22"/>
                <w:lang w:eastAsia="it-IT"/>
              </w:rPr>
            </w:pPr>
            <w:r w:rsidRPr="0019790A">
              <w:rPr>
                <w:rFonts w:cs="Arial"/>
                <w:b/>
                <w:color w:val="000000"/>
                <w:szCs w:val="22"/>
                <w:lang w:eastAsia="it-IT"/>
              </w:rPr>
              <w:t>150,0</w:t>
            </w:r>
          </w:p>
        </w:tc>
        <w:tc>
          <w:tcPr>
            <w:tcW w:w="1275" w:type="dxa"/>
            <w:gridSpan w:val="3"/>
            <w:shd w:val="clear" w:color="auto" w:fill="FFFFFF"/>
            <w:vAlign w:val="center"/>
          </w:tcPr>
          <w:p w14:paraId="285E1BBD" w14:textId="77777777" w:rsidR="00EA6E27" w:rsidRPr="0019790A" w:rsidRDefault="00EA6E27" w:rsidP="00571D7A">
            <w:pPr>
              <w:jc w:val="center"/>
              <w:rPr>
                <w:rFonts w:cs="Arial"/>
                <w:b/>
                <w:color w:val="000000"/>
                <w:szCs w:val="22"/>
                <w:lang w:eastAsia="it-IT"/>
              </w:rPr>
            </w:pPr>
            <w:r w:rsidRPr="0019790A">
              <w:rPr>
                <w:rFonts w:eastAsia="Arial" w:cs="Arial"/>
                <w:szCs w:val="22"/>
                <w:lang w:eastAsia="en-US"/>
              </w:rPr>
              <w:t>6692,0</w:t>
            </w:r>
          </w:p>
        </w:tc>
        <w:tc>
          <w:tcPr>
            <w:tcW w:w="1418" w:type="dxa"/>
            <w:shd w:val="clear" w:color="auto" w:fill="auto"/>
            <w:vAlign w:val="center"/>
          </w:tcPr>
          <w:p w14:paraId="3D5AF62E" w14:textId="77777777" w:rsidR="00EA6E27" w:rsidRPr="0019790A" w:rsidRDefault="00EA6E27" w:rsidP="00571D7A">
            <w:pPr>
              <w:jc w:val="center"/>
              <w:rPr>
                <w:rFonts w:cs="Arial"/>
                <w:b/>
                <w:color w:val="000000"/>
                <w:szCs w:val="22"/>
                <w:lang w:eastAsia="it-IT"/>
              </w:rPr>
            </w:pPr>
          </w:p>
        </w:tc>
        <w:tc>
          <w:tcPr>
            <w:tcW w:w="1276" w:type="dxa"/>
            <w:shd w:val="clear" w:color="auto" w:fill="FFFFFF"/>
            <w:vAlign w:val="center"/>
          </w:tcPr>
          <w:p w14:paraId="65A3185A" w14:textId="77777777" w:rsidR="00EA6E27" w:rsidRPr="0019790A" w:rsidRDefault="00EA6E27" w:rsidP="00571D7A">
            <w:pPr>
              <w:jc w:val="center"/>
              <w:rPr>
                <w:rFonts w:cs="Arial"/>
                <w:b/>
                <w:color w:val="000000"/>
                <w:szCs w:val="22"/>
                <w:lang w:eastAsia="it-IT"/>
              </w:rPr>
            </w:pPr>
          </w:p>
        </w:tc>
        <w:tc>
          <w:tcPr>
            <w:tcW w:w="1571" w:type="dxa"/>
            <w:gridSpan w:val="2"/>
            <w:shd w:val="clear" w:color="auto" w:fill="FFFFFF"/>
            <w:vAlign w:val="center"/>
          </w:tcPr>
          <w:p w14:paraId="3CEA2623" w14:textId="77777777" w:rsidR="00EA6E27" w:rsidRPr="0019790A" w:rsidRDefault="00EA6E27" w:rsidP="00571D7A">
            <w:pPr>
              <w:jc w:val="center"/>
              <w:rPr>
                <w:rFonts w:cs="Arial"/>
                <w:b/>
                <w:color w:val="000000"/>
                <w:szCs w:val="22"/>
                <w:lang w:eastAsia="it-IT"/>
              </w:rPr>
            </w:pPr>
            <w:r w:rsidRPr="0019790A">
              <w:rPr>
                <w:rFonts w:cs="Arial"/>
                <w:b/>
                <w:color w:val="000000"/>
                <w:szCs w:val="22"/>
                <w:lang w:eastAsia="it-IT"/>
              </w:rPr>
              <w:t>6842.0</w:t>
            </w:r>
          </w:p>
        </w:tc>
      </w:tr>
      <w:tr w:rsidR="00EA6E27" w:rsidRPr="0019790A" w14:paraId="1CCC4CC8" w14:textId="77777777" w:rsidTr="00EA6E27">
        <w:trPr>
          <w:trHeight w:val="276"/>
          <w:jc w:val="right"/>
        </w:trPr>
        <w:tc>
          <w:tcPr>
            <w:tcW w:w="3425" w:type="dxa"/>
            <w:shd w:val="clear" w:color="auto" w:fill="FFFFFF"/>
            <w:vAlign w:val="center"/>
          </w:tcPr>
          <w:p w14:paraId="2C306700" w14:textId="77777777" w:rsidR="00EA6E27" w:rsidRPr="0019790A" w:rsidRDefault="00EA6E27" w:rsidP="0019790A">
            <w:pPr>
              <w:rPr>
                <w:rFonts w:cs="Arial"/>
                <w:b/>
                <w:bCs/>
                <w:color w:val="000000"/>
                <w:szCs w:val="22"/>
              </w:rPr>
            </w:pPr>
            <w:r w:rsidRPr="0019790A">
              <w:rPr>
                <w:rFonts w:cs="Arial"/>
                <w:b/>
                <w:bCs/>
                <w:color w:val="000000"/>
                <w:szCs w:val="22"/>
              </w:rPr>
              <w:t>по джерелах фінансування:</w:t>
            </w:r>
          </w:p>
        </w:tc>
        <w:tc>
          <w:tcPr>
            <w:tcW w:w="6794" w:type="dxa"/>
            <w:gridSpan w:val="8"/>
            <w:vAlign w:val="center"/>
          </w:tcPr>
          <w:p w14:paraId="57EC3C25" w14:textId="77777777" w:rsidR="00EA6E27" w:rsidRPr="0019790A" w:rsidRDefault="00EA6E27" w:rsidP="0019790A">
            <w:pPr>
              <w:jc w:val="both"/>
              <w:rPr>
                <w:rFonts w:cs="Arial"/>
                <w:color w:val="000000"/>
                <w:szCs w:val="22"/>
                <w:lang w:eastAsia="it-IT"/>
              </w:rPr>
            </w:pPr>
          </w:p>
        </w:tc>
      </w:tr>
      <w:tr w:rsidR="00571D7A" w:rsidRPr="0019790A" w14:paraId="25696C6C" w14:textId="32EAECB9" w:rsidTr="00571D7A">
        <w:trPr>
          <w:trHeight w:val="240"/>
          <w:jc w:val="right"/>
        </w:trPr>
        <w:tc>
          <w:tcPr>
            <w:tcW w:w="3425" w:type="dxa"/>
            <w:shd w:val="clear" w:color="auto" w:fill="FFFFFF"/>
            <w:vAlign w:val="center"/>
          </w:tcPr>
          <w:p w14:paraId="64AA595D" w14:textId="77777777" w:rsidR="00571D7A" w:rsidRPr="0019790A" w:rsidRDefault="00571D7A" w:rsidP="0019790A">
            <w:pPr>
              <w:rPr>
                <w:rFonts w:cs="Arial"/>
                <w:b/>
                <w:bCs/>
                <w:color w:val="000000"/>
                <w:szCs w:val="22"/>
              </w:rPr>
            </w:pPr>
            <w:r w:rsidRPr="0019790A">
              <w:rPr>
                <w:rFonts w:cs="Arial"/>
                <w:color w:val="000000"/>
                <w:szCs w:val="22"/>
              </w:rPr>
              <w:t>- державний бюджет</w:t>
            </w:r>
          </w:p>
        </w:tc>
        <w:tc>
          <w:tcPr>
            <w:tcW w:w="1265" w:type="dxa"/>
            <w:gridSpan w:val="2"/>
            <w:vAlign w:val="center"/>
          </w:tcPr>
          <w:p w14:paraId="76333447" w14:textId="77777777" w:rsidR="00571D7A" w:rsidRPr="0019790A" w:rsidRDefault="00571D7A" w:rsidP="0019790A">
            <w:pPr>
              <w:jc w:val="both"/>
              <w:rPr>
                <w:rFonts w:cs="Arial"/>
                <w:color w:val="000000"/>
                <w:szCs w:val="22"/>
                <w:lang w:eastAsia="it-IT"/>
              </w:rPr>
            </w:pPr>
          </w:p>
        </w:tc>
        <w:tc>
          <w:tcPr>
            <w:tcW w:w="1252" w:type="dxa"/>
            <w:vAlign w:val="center"/>
          </w:tcPr>
          <w:p w14:paraId="36629337" w14:textId="77777777" w:rsidR="00571D7A" w:rsidRPr="0019790A" w:rsidRDefault="00571D7A" w:rsidP="0019790A">
            <w:pPr>
              <w:jc w:val="both"/>
              <w:rPr>
                <w:rFonts w:cs="Arial"/>
                <w:color w:val="000000"/>
                <w:szCs w:val="22"/>
                <w:lang w:eastAsia="it-IT"/>
              </w:rPr>
            </w:pPr>
          </w:p>
        </w:tc>
        <w:tc>
          <w:tcPr>
            <w:tcW w:w="1427" w:type="dxa"/>
            <w:gridSpan w:val="2"/>
            <w:vAlign w:val="center"/>
          </w:tcPr>
          <w:p w14:paraId="13225246" w14:textId="77777777" w:rsidR="00571D7A" w:rsidRPr="0019790A" w:rsidRDefault="00571D7A" w:rsidP="0019790A">
            <w:pPr>
              <w:jc w:val="both"/>
              <w:rPr>
                <w:rFonts w:cs="Arial"/>
                <w:color w:val="000000"/>
                <w:szCs w:val="22"/>
                <w:lang w:eastAsia="it-IT"/>
              </w:rPr>
            </w:pPr>
          </w:p>
        </w:tc>
        <w:tc>
          <w:tcPr>
            <w:tcW w:w="1365" w:type="dxa"/>
            <w:gridSpan w:val="2"/>
            <w:vAlign w:val="center"/>
          </w:tcPr>
          <w:p w14:paraId="7857491F" w14:textId="77777777" w:rsidR="00571D7A" w:rsidRPr="0019790A" w:rsidRDefault="00571D7A" w:rsidP="0019790A">
            <w:pPr>
              <w:jc w:val="both"/>
              <w:rPr>
                <w:rFonts w:cs="Arial"/>
                <w:color w:val="000000"/>
                <w:szCs w:val="22"/>
                <w:lang w:eastAsia="it-IT"/>
              </w:rPr>
            </w:pPr>
          </w:p>
        </w:tc>
        <w:tc>
          <w:tcPr>
            <w:tcW w:w="1485" w:type="dxa"/>
            <w:vAlign w:val="center"/>
          </w:tcPr>
          <w:p w14:paraId="79884920" w14:textId="77777777" w:rsidR="00571D7A" w:rsidRPr="0019790A" w:rsidRDefault="00571D7A" w:rsidP="0019790A">
            <w:pPr>
              <w:jc w:val="both"/>
              <w:rPr>
                <w:rFonts w:cs="Arial"/>
                <w:color w:val="000000"/>
                <w:szCs w:val="22"/>
                <w:lang w:eastAsia="it-IT"/>
              </w:rPr>
            </w:pPr>
          </w:p>
        </w:tc>
      </w:tr>
      <w:tr w:rsidR="00571D7A" w:rsidRPr="0019790A" w14:paraId="3F3C3ADB" w14:textId="04734101" w:rsidTr="00571D7A">
        <w:trPr>
          <w:trHeight w:val="254"/>
          <w:jc w:val="right"/>
        </w:trPr>
        <w:tc>
          <w:tcPr>
            <w:tcW w:w="3425" w:type="dxa"/>
            <w:shd w:val="clear" w:color="auto" w:fill="FFFFFF"/>
            <w:vAlign w:val="center"/>
          </w:tcPr>
          <w:p w14:paraId="587142F9" w14:textId="77777777" w:rsidR="00571D7A" w:rsidRPr="0019790A" w:rsidRDefault="00571D7A" w:rsidP="0019790A">
            <w:pPr>
              <w:rPr>
                <w:rFonts w:cs="Arial"/>
                <w:color w:val="000000"/>
                <w:szCs w:val="22"/>
              </w:rPr>
            </w:pPr>
            <w:r w:rsidRPr="0019790A">
              <w:rPr>
                <w:rFonts w:cs="Arial"/>
                <w:color w:val="000000"/>
                <w:szCs w:val="22"/>
              </w:rPr>
              <w:t>- обласний бюджет</w:t>
            </w:r>
          </w:p>
        </w:tc>
        <w:tc>
          <w:tcPr>
            <w:tcW w:w="1265" w:type="dxa"/>
            <w:gridSpan w:val="2"/>
            <w:vAlign w:val="center"/>
          </w:tcPr>
          <w:p w14:paraId="0C233F33" w14:textId="77777777" w:rsidR="00571D7A" w:rsidRPr="0019790A" w:rsidRDefault="00571D7A" w:rsidP="0019790A">
            <w:pPr>
              <w:jc w:val="both"/>
              <w:rPr>
                <w:rFonts w:cs="Arial"/>
                <w:color w:val="000000"/>
                <w:szCs w:val="22"/>
                <w:lang w:eastAsia="it-IT"/>
              </w:rPr>
            </w:pPr>
          </w:p>
        </w:tc>
        <w:tc>
          <w:tcPr>
            <w:tcW w:w="1252" w:type="dxa"/>
            <w:vAlign w:val="center"/>
          </w:tcPr>
          <w:p w14:paraId="134E338D" w14:textId="77777777" w:rsidR="00571D7A" w:rsidRPr="0019790A" w:rsidRDefault="00571D7A" w:rsidP="0019790A">
            <w:pPr>
              <w:jc w:val="both"/>
              <w:rPr>
                <w:rFonts w:cs="Arial"/>
                <w:color w:val="000000"/>
                <w:szCs w:val="22"/>
                <w:lang w:eastAsia="it-IT"/>
              </w:rPr>
            </w:pPr>
          </w:p>
        </w:tc>
        <w:tc>
          <w:tcPr>
            <w:tcW w:w="1427" w:type="dxa"/>
            <w:gridSpan w:val="2"/>
            <w:vAlign w:val="center"/>
          </w:tcPr>
          <w:p w14:paraId="316D6838" w14:textId="77777777" w:rsidR="00571D7A" w:rsidRPr="0019790A" w:rsidRDefault="00571D7A" w:rsidP="0019790A">
            <w:pPr>
              <w:jc w:val="both"/>
              <w:rPr>
                <w:rFonts w:cs="Arial"/>
                <w:color w:val="000000"/>
                <w:szCs w:val="22"/>
                <w:lang w:eastAsia="it-IT"/>
              </w:rPr>
            </w:pPr>
          </w:p>
        </w:tc>
        <w:tc>
          <w:tcPr>
            <w:tcW w:w="1365" w:type="dxa"/>
            <w:gridSpan w:val="2"/>
            <w:vAlign w:val="center"/>
          </w:tcPr>
          <w:p w14:paraId="72499521" w14:textId="77777777" w:rsidR="00571D7A" w:rsidRPr="0019790A" w:rsidRDefault="00571D7A" w:rsidP="0019790A">
            <w:pPr>
              <w:jc w:val="both"/>
              <w:rPr>
                <w:rFonts w:cs="Arial"/>
                <w:color w:val="000000"/>
                <w:szCs w:val="22"/>
                <w:lang w:eastAsia="it-IT"/>
              </w:rPr>
            </w:pPr>
          </w:p>
        </w:tc>
        <w:tc>
          <w:tcPr>
            <w:tcW w:w="1485" w:type="dxa"/>
            <w:vAlign w:val="center"/>
          </w:tcPr>
          <w:p w14:paraId="54917FC1" w14:textId="77777777" w:rsidR="00571D7A" w:rsidRPr="0019790A" w:rsidRDefault="00571D7A" w:rsidP="0019790A">
            <w:pPr>
              <w:jc w:val="both"/>
              <w:rPr>
                <w:rFonts w:cs="Arial"/>
                <w:color w:val="000000"/>
                <w:szCs w:val="22"/>
                <w:lang w:eastAsia="it-IT"/>
              </w:rPr>
            </w:pPr>
          </w:p>
        </w:tc>
      </w:tr>
      <w:tr w:rsidR="00571D7A" w:rsidRPr="0019790A" w14:paraId="47AD8A37" w14:textId="06F886AB" w:rsidTr="00571D7A">
        <w:trPr>
          <w:trHeight w:val="275"/>
          <w:jc w:val="right"/>
        </w:trPr>
        <w:tc>
          <w:tcPr>
            <w:tcW w:w="3425" w:type="dxa"/>
            <w:shd w:val="clear" w:color="auto" w:fill="FFFFFF"/>
            <w:vAlign w:val="center"/>
          </w:tcPr>
          <w:p w14:paraId="04AAA74C" w14:textId="77777777" w:rsidR="00571D7A" w:rsidRPr="0019790A" w:rsidRDefault="00571D7A" w:rsidP="00571D7A">
            <w:pPr>
              <w:rPr>
                <w:rFonts w:cs="Arial"/>
                <w:color w:val="000000"/>
                <w:szCs w:val="22"/>
              </w:rPr>
            </w:pPr>
            <w:r w:rsidRPr="0019790A">
              <w:rPr>
                <w:rFonts w:cs="Arial"/>
                <w:color w:val="000000"/>
                <w:szCs w:val="22"/>
              </w:rPr>
              <w:t>- бюджет Жмеринської МТГ</w:t>
            </w:r>
          </w:p>
        </w:tc>
        <w:tc>
          <w:tcPr>
            <w:tcW w:w="1265" w:type="dxa"/>
            <w:gridSpan w:val="2"/>
            <w:vAlign w:val="center"/>
          </w:tcPr>
          <w:p w14:paraId="21E0C9E1" w14:textId="160B2E8E" w:rsidR="00571D7A" w:rsidRPr="0019790A" w:rsidRDefault="00571D7A" w:rsidP="00571D7A">
            <w:pPr>
              <w:widowControl w:val="0"/>
              <w:autoSpaceDE w:val="0"/>
              <w:autoSpaceDN w:val="0"/>
              <w:jc w:val="center"/>
              <w:rPr>
                <w:rFonts w:eastAsia="Arial" w:cs="Arial"/>
                <w:szCs w:val="22"/>
                <w:lang w:eastAsia="en-US"/>
              </w:rPr>
            </w:pPr>
            <w:r w:rsidRPr="0019790A">
              <w:rPr>
                <w:rFonts w:cs="Arial"/>
                <w:b/>
                <w:color w:val="000000"/>
                <w:szCs w:val="22"/>
                <w:lang w:eastAsia="it-IT"/>
              </w:rPr>
              <w:t>150,0</w:t>
            </w:r>
          </w:p>
        </w:tc>
        <w:tc>
          <w:tcPr>
            <w:tcW w:w="1252" w:type="dxa"/>
            <w:vAlign w:val="center"/>
          </w:tcPr>
          <w:p w14:paraId="10D813B7" w14:textId="4605CD9C" w:rsidR="00571D7A" w:rsidRPr="0019790A" w:rsidRDefault="00571D7A" w:rsidP="00571D7A">
            <w:pPr>
              <w:widowControl w:val="0"/>
              <w:autoSpaceDE w:val="0"/>
              <w:autoSpaceDN w:val="0"/>
              <w:jc w:val="center"/>
              <w:rPr>
                <w:rFonts w:eastAsia="Arial" w:cs="Arial"/>
                <w:szCs w:val="22"/>
                <w:lang w:eastAsia="en-US"/>
              </w:rPr>
            </w:pPr>
            <w:r w:rsidRPr="0019790A">
              <w:rPr>
                <w:rFonts w:eastAsia="Arial" w:cs="Arial"/>
                <w:szCs w:val="22"/>
                <w:lang w:eastAsia="en-US"/>
              </w:rPr>
              <w:t>6692,0</w:t>
            </w:r>
          </w:p>
        </w:tc>
        <w:tc>
          <w:tcPr>
            <w:tcW w:w="1427" w:type="dxa"/>
            <w:gridSpan w:val="2"/>
            <w:vAlign w:val="center"/>
          </w:tcPr>
          <w:p w14:paraId="1D3D27BD" w14:textId="77777777" w:rsidR="00571D7A" w:rsidRPr="0019790A" w:rsidRDefault="00571D7A" w:rsidP="00571D7A">
            <w:pPr>
              <w:widowControl w:val="0"/>
              <w:autoSpaceDE w:val="0"/>
              <w:autoSpaceDN w:val="0"/>
              <w:jc w:val="center"/>
              <w:rPr>
                <w:rFonts w:eastAsia="Arial" w:cs="Arial"/>
                <w:szCs w:val="22"/>
                <w:lang w:eastAsia="en-US"/>
              </w:rPr>
            </w:pPr>
          </w:p>
        </w:tc>
        <w:tc>
          <w:tcPr>
            <w:tcW w:w="1365" w:type="dxa"/>
            <w:gridSpan w:val="2"/>
            <w:vAlign w:val="center"/>
          </w:tcPr>
          <w:p w14:paraId="290AC60C" w14:textId="77777777" w:rsidR="00571D7A" w:rsidRPr="0019790A" w:rsidRDefault="00571D7A" w:rsidP="00571D7A">
            <w:pPr>
              <w:widowControl w:val="0"/>
              <w:autoSpaceDE w:val="0"/>
              <w:autoSpaceDN w:val="0"/>
              <w:jc w:val="center"/>
              <w:rPr>
                <w:rFonts w:eastAsia="Arial" w:cs="Arial"/>
                <w:szCs w:val="22"/>
                <w:lang w:eastAsia="en-US"/>
              </w:rPr>
            </w:pPr>
          </w:p>
        </w:tc>
        <w:tc>
          <w:tcPr>
            <w:tcW w:w="1485" w:type="dxa"/>
            <w:vAlign w:val="center"/>
          </w:tcPr>
          <w:p w14:paraId="075312E9" w14:textId="67ADB336" w:rsidR="00571D7A" w:rsidRPr="0019790A" w:rsidRDefault="00571D7A" w:rsidP="00571D7A">
            <w:pPr>
              <w:widowControl w:val="0"/>
              <w:autoSpaceDE w:val="0"/>
              <w:autoSpaceDN w:val="0"/>
              <w:jc w:val="center"/>
              <w:rPr>
                <w:rFonts w:eastAsia="Arial" w:cs="Arial"/>
                <w:szCs w:val="22"/>
                <w:lang w:eastAsia="en-US"/>
              </w:rPr>
            </w:pPr>
            <w:r w:rsidRPr="0019790A">
              <w:rPr>
                <w:rFonts w:cs="Arial"/>
                <w:b/>
                <w:color w:val="000000"/>
                <w:szCs w:val="22"/>
                <w:lang w:eastAsia="it-IT"/>
              </w:rPr>
              <w:t>6842.0</w:t>
            </w:r>
          </w:p>
        </w:tc>
      </w:tr>
      <w:tr w:rsidR="00571D7A" w:rsidRPr="0019790A" w14:paraId="46011B09" w14:textId="18A9B5D2" w:rsidTr="00571D7A">
        <w:trPr>
          <w:trHeight w:val="226"/>
          <w:jc w:val="right"/>
        </w:trPr>
        <w:tc>
          <w:tcPr>
            <w:tcW w:w="3425" w:type="dxa"/>
            <w:shd w:val="clear" w:color="auto" w:fill="FFFFFF"/>
            <w:vAlign w:val="center"/>
          </w:tcPr>
          <w:p w14:paraId="679C32C6" w14:textId="77777777" w:rsidR="00571D7A" w:rsidRPr="0019790A" w:rsidRDefault="00571D7A" w:rsidP="00571D7A">
            <w:pPr>
              <w:rPr>
                <w:rFonts w:cs="Arial"/>
                <w:color w:val="000000"/>
                <w:szCs w:val="22"/>
              </w:rPr>
            </w:pPr>
            <w:r w:rsidRPr="0019790A">
              <w:rPr>
                <w:rFonts w:cs="Arial"/>
                <w:color w:val="000000"/>
                <w:szCs w:val="22"/>
              </w:rPr>
              <w:t>- інші джерела фінансування</w:t>
            </w:r>
          </w:p>
        </w:tc>
        <w:tc>
          <w:tcPr>
            <w:tcW w:w="1265" w:type="dxa"/>
            <w:gridSpan w:val="2"/>
            <w:vAlign w:val="center"/>
          </w:tcPr>
          <w:p w14:paraId="6E54CB1D" w14:textId="77777777" w:rsidR="00571D7A" w:rsidRPr="0019790A" w:rsidRDefault="00571D7A" w:rsidP="00571D7A">
            <w:pPr>
              <w:jc w:val="both"/>
              <w:rPr>
                <w:rFonts w:cs="Arial"/>
                <w:color w:val="000000"/>
                <w:szCs w:val="22"/>
                <w:lang w:eastAsia="it-IT"/>
              </w:rPr>
            </w:pPr>
          </w:p>
        </w:tc>
        <w:tc>
          <w:tcPr>
            <w:tcW w:w="1252" w:type="dxa"/>
            <w:vAlign w:val="center"/>
          </w:tcPr>
          <w:p w14:paraId="572C6558" w14:textId="77777777" w:rsidR="00571D7A" w:rsidRPr="0019790A" w:rsidRDefault="00571D7A" w:rsidP="00571D7A">
            <w:pPr>
              <w:jc w:val="both"/>
              <w:rPr>
                <w:rFonts w:cs="Arial"/>
                <w:color w:val="000000"/>
                <w:szCs w:val="22"/>
                <w:lang w:eastAsia="it-IT"/>
              </w:rPr>
            </w:pPr>
          </w:p>
        </w:tc>
        <w:tc>
          <w:tcPr>
            <w:tcW w:w="1427" w:type="dxa"/>
            <w:gridSpan w:val="2"/>
            <w:vAlign w:val="center"/>
          </w:tcPr>
          <w:p w14:paraId="12F5E5EB" w14:textId="77777777" w:rsidR="00571D7A" w:rsidRPr="0019790A" w:rsidRDefault="00571D7A" w:rsidP="00571D7A">
            <w:pPr>
              <w:jc w:val="both"/>
              <w:rPr>
                <w:rFonts w:cs="Arial"/>
                <w:color w:val="000000"/>
                <w:szCs w:val="22"/>
                <w:lang w:eastAsia="it-IT"/>
              </w:rPr>
            </w:pPr>
          </w:p>
        </w:tc>
        <w:tc>
          <w:tcPr>
            <w:tcW w:w="1365" w:type="dxa"/>
            <w:gridSpan w:val="2"/>
            <w:vAlign w:val="center"/>
          </w:tcPr>
          <w:p w14:paraId="2B992B7F" w14:textId="77777777" w:rsidR="00571D7A" w:rsidRPr="0019790A" w:rsidRDefault="00571D7A" w:rsidP="00571D7A">
            <w:pPr>
              <w:jc w:val="both"/>
              <w:rPr>
                <w:rFonts w:cs="Arial"/>
                <w:color w:val="000000"/>
                <w:szCs w:val="22"/>
                <w:lang w:eastAsia="it-IT"/>
              </w:rPr>
            </w:pPr>
          </w:p>
        </w:tc>
        <w:tc>
          <w:tcPr>
            <w:tcW w:w="1485" w:type="dxa"/>
            <w:vAlign w:val="center"/>
          </w:tcPr>
          <w:p w14:paraId="41B10557" w14:textId="77777777" w:rsidR="00571D7A" w:rsidRPr="0019790A" w:rsidRDefault="00571D7A" w:rsidP="00571D7A">
            <w:pPr>
              <w:jc w:val="both"/>
              <w:rPr>
                <w:rFonts w:cs="Arial"/>
                <w:color w:val="000000"/>
                <w:szCs w:val="22"/>
                <w:lang w:eastAsia="it-IT"/>
              </w:rPr>
            </w:pPr>
          </w:p>
        </w:tc>
      </w:tr>
      <w:tr w:rsidR="00571D7A" w:rsidRPr="0019790A" w14:paraId="6CD70F82" w14:textId="4A9719ED" w:rsidTr="008A040F">
        <w:trPr>
          <w:jc w:val="right"/>
        </w:trPr>
        <w:tc>
          <w:tcPr>
            <w:tcW w:w="3425" w:type="dxa"/>
            <w:shd w:val="clear" w:color="auto" w:fill="FFFFFF"/>
            <w:vAlign w:val="center"/>
          </w:tcPr>
          <w:p w14:paraId="3376F9B8" w14:textId="77777777" w:rsidR="00571D7A" w:rsidRPr="0019790A" w:rsidRDefault="00571D7A" w:rsidP="00571D7A">
            <w:pPr>
              <w:rPr>
                <w:rFonts w:cs="Arial"/>
                <w:b/>
                <w:bCs/>
                <w:color w:val="000000"/>
                <w:szCs w:val="22"/>
              </w:rPr>
            </w:pPr>
            <w:r w:rsidRPr="0019790A">
              <w:rPr>
                <w:rFonts w:cs="Arial"/>
                <w:b/>
                <w:color w:val="000000"/>
                <w:szCs w:val="22"/>
              </w:rPr>
              <w:t>Відповідальний виконавець проєкту:</w:t>
            </w:r>
          </w:p>
        </w:tc>
        <w:tc>
          <w:tcPr>
            <w:tcW w:w="6794" w:type="dxa"/>
            <w:gridSpan w:val="8"/>
            <w:vAlign w:val="center"/>
          </w:tcPr>
          <w:p w14:paraId="1FD3C900" w14:textId="77777777" w:rsidR="00571D7A" w:rsidRPr="0019790A" w:rsidRDefault="00571D7A" w:rsidP="00571D7A">
            <w:pPr>
              <w:rPr>
                <w:rFonts w:cs="Arial"/>
                <w:szCs w:val="22"/>
                <w:lang w:eastAsia="it-IT"/>
              </w:rPr>
            </w:pPr>
            <w:r w:rsidRPr="0019790A">
              <w:rPr>
                <w:rFonts w:cs="Arial"/>
                <w:szCs w:val="22"/>
                <w:lang w:eastAsia="it-IT"/>
              </w:rPr>
              <w:t>Управління соціального захисту населення  та охорони здоров’я,</w:t>
            </w:r>
          </w:p>
          <w:p w14:paraId="21CA74BD" w14:textId="1AD2C2AB" w:rsidR="00571D7A" w:rsidRPr="0019790A" w:rsidRDefault="00571D7A" w:rsidP="00571D7A">
            <w:pPr>
              <w:rPr>
                <w:rFonts w:cs="Arial"/>
                <w:b/>
                <w:color w:val="000000"/>
                <w:szCs w:val="22"/>
                <w:lang w:eastAsia="it-IT"/>
              </w:rPr>
            </w:pPr>
            <w:r w:rsidRPr="0019790A">
              <w:rPr>
                <w:rFonts w:cs="Arial"/>
                <w:szCs w:val="22"/>
                <w:lang w:eastAsia="it-IT"/>
              </w:rPr>
              <w:t xml:space="preserve"> КНП «Жмеринська ЦРЛ»</w:t>
            </w:r>
          </w:p>
        </w:tc>
      </w:tr>
    </w:tbl>
    <w:p w14:paraId="117AF22E" w14:textId="77777777" w:rsidR="00EA6E27" w:rsidRPr="0019790A" w:rsidRDefault="00EA6E27" w:rsidP="0019790A">
      <w:pPr>
        <w:rPr>
          <w:rFonts w:cs="Arial"/>
          <w:szCs w:val="22"/>
        </w:rPr>
      </w:pPr>
    </w:p>
    <w:p w14:paraId="34A97D3E" w14:textId="77777777" w:rsidR="00EA6E27" w:rsidRPr="0019790A" w:rsidRDefault="00EA6E27" w:rsidP="0019790A">
      <w:pPr>
        <w:jc w:val="center"/>
        <w:rPr>
          <w:rFonts w:cs="Arial"/>
          <w:b/>
          <w:szCs w:val="22"/>
          <w:u w:val="single"/>
          <w:lang w:eastAsia="uk-UA"/>
        </w:rPr>
      </w:pPr>
    </w:p>
    <w:p w14:paraId="653685A5" w14:textId="77777777" w:rsidR="00EA6E27" w:rsidRPr="0019790A" w:rsidRDefault="00EA6E27" w:rsidP="0019790A">
      <w:pPr>
        <w:jc w:val="center"/>
        <w:rPr>
          <w:rFonts w:cs="Arial"/>
          <w:b/>
          <w:szCs w:val="22"/>
          <w:u w:val="single"/>
          <w:lang w:eastAsia="uk-UA"/>
        </w:rPr>
      </w:pPr>
    </w:p>
    <w:p w14:paraId="12B76210" w14:textId="43434FF9" w:rsidR="002227B3" w:rsidRPr="0019790A" w:rsidRDefault="00033DCC" w:rsidP="0019790A">
      <w:pPr>
        <w:jc w:val="center"/>
        <w:rPr>
          <w:rFonts w:cs="Arial"/>
          <w:b/>
          <w:color w:val="000000"/>
          <w:szCs w:val="22"/>
          <w:u w:val="single"/>
        </w:rPr>
      </w:pPr>
      <w:r w:rsidRPr="0019790A">
        <w:rPr>
          <w:rFonts w:cs="Arial"/>
          <w:b/>
          <w:szCs w:val="22"/>
          <w:u w:val="single"/>
          <w:lang w:eastAsia="uk-UA"/>
        </w:rPr>
        <w:t>Стратегічна ціль: В.3</w:t>
      </w:r>
      <w:r w:rsidR="0060653D" w:rsidRPr="0019790A">
        <w:rPr>
          <w:rFonts w:cs="Arial"/>
          <w:b/>
          <w:szCs w:val="22"/>
          <w:u w:val="single"/>
          <w:lang w:eastAsia="uk-UA"/>
        </w:rPr>
        <w:t xml:space="preserve">. </w:t>
      </w:r>
      <w:r w:rsidRPr="0019790A">
        <w:rPr>
          <w:rFonts w:cs="Arial"/>
          <w:b/>
          <w:szCs w:val="22"/>
          <w:u w:val="single"/>
          <w:lang w:eastAsia="uk-UA"/>
        </w:rPr>
        <w:t>Поліпшення екологічного стану навколишнього середовища</w:t>
      </w:r>
    </w:p>
    <w:p w14:paraId="1A694486" w14:textId="77777777" w:rsidR="006C74F0" w:rsidRPr="0019790A" w:rsidRDefault="006C74F0" w:rsidP="0019790A">
      <w:pPr>
        <w:jc w:val="center"/>
        <w:rPr>
          <w:rFonts w:cs="Arial"/>
          <w:b/>
          <w:color w:val="000000"/>
          <w:szCs w:val="22"/>
        </w:rPr>
      </w:pPr>
    </w:p>
    <w:p w14:paraId="3D900641" w14:textId="77777777" w:rsidR="0094630F" w:rsidRPr="0019790A" w:rsidRDefault="0094630F" w:rsidP="0019790A">
      <w:pPr>
        <w:rPr>
          <w:rFonts w:cs="Arial"/>
          <w:color w:val="FF0000"/>
          <w:szCs w:val="22"/>
        </w:rPr>
      </w:pPr>
    </w:p>
    <w:p w14:paraId="711A667E" w14:textId="46ADDBA9" w:rsidR="0094630F" w:rsidRPr="0019790A" w:rsidRDefault="0094630F" w:rsidP="0019790A">
      <w:pPr>
        <w:jc w:val="center"/>
        <w:rPr>
          <w:rFonts w:cs="Arial"/>
          <w:b/>
          <w:szCs w:val="22"/>
        </w:rPr>
      </w:pPr>
      <w:r w:rsidRPr="0019790A">
        <w:rPr>
          <w:rFonts w:cs="Arial"/>
          <w:b/>
          <w:szCs w:val="22"/>
        </w:rPr>
        <w:t>С</w:t>
      </w:r>
      <w:r w:rsidRPr="0019790A">
        <w:rPr>
          <w:rFonts w:cs="Arial"/>
          <w:b/>
          <w:szCs w:val="22"/>
          <w:u w:val="single"/>
        </w:rPr>
        <w:t>тратегічна ціль В.4. Ефективна система безпеки громади</w:t>
      </w:r>
    </w:p>
    <w:p w14:paraId="68901839" w14:textId="77777777" w:rsidR="002373CF" w:rsidRPr="0019790A" w:rsidRDefault="002373CF" w:rsidP="0019790A">
      <w:pPr>
        <w:jc w:val="center"/>
        <w:rPr>
          <w:rFonts w:cs="Arial"/>
          <w:b/>
          <w:color w:val="000000"/>
          <w:szCs w:val="22"/>
        </w:rPr>
      </w:pPr>
      <w:r w:rsidRPr="0019790A">
        <w:rPr>
          <w:rFonts w:cs="Arial"/>
          <w:b/>
          <w:color w:val="000000"/>
          <w:szCs w:val="22"/>
        </w:rPr>
        <w:t xml:space="preserve">Форма технічного завдання на проєкт місцевого розвитку </w:t>
      </w:r>
    </w:p>
    <w:p w14:paraId="7AFE4142" w14:textId="77777777" w:rsidR="002373CF" w:rsidRPr="0019790A" w:rsidRDefault="002373CF" w:rsidP="0019790A">
      <w:pPr>
        <w:jc w:val="center"/>
        <w:rPr>
          <w:rFonts w:cs="Arial"/>
          <w:b/>
          <w:color w:val="000000"/>
          <w:szCs w:val="22"/>
        </w:rPr>
      </w:pPr>
      <w:r w:rsidRPr="0019790A">
        <w:rPr>
          <w:rFonts w:cs="Arial"/>
          <w:b/>
          <w:color w:val="000000"/>
          <w:szCs w:val="22"/>
        </w:rPr>
        <w:t>до Плану заходів з реалізації Стратегії</w:t>
      </w:r>
    </w:p>
    <w:p w14:paraId="071A792A" w14:textId="77777777" w:rsidR="002373CF" w:rsidRPr="0019790A" w:rsidRDefault="002373CF"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1275"/>
        <w:gridCol w:w="1276"/>
        <w:gridCol w:w="14"/>
        <w:gridCol w:w="1262"/>
        <w:gridCol w:w="14"/>
        <w:gridCol w:w="1699"/>
      </w:tblGrid>
      <w:tr w:rsidR="002373CF" w:rsidRPr="0019790A" w14:paraId="5E7742C5" w14:textId="77777777" w:rsidTr="00480C22">
        <w:trPr>
          <w:trHeight w:val="461"/>
          <w:jc w:val="right"/>
        </w:trPr>
        <w:tc>
          <w:tcPr>
            <w:tcW w:w="3425" w:type="dxa"/>
            <w:vAlign w:val="center"/>
          </w:tcPr>
          <w:p w14:paraId="1DA70139" w14:textId="77777777" w:rsidR="002373CF" w:rsidRPr="0019790A" w:rsidRDefault="002373CF" w:rsidP="00480C22">
            <w:pPr>
              <w:rPr>
                <w:rFonts w:cs="Arial"/>
                <w:b/>
                <w:bCs/>
                <w:color w:val="000000"/>
                <w:szCs w:val="22"/>
              </w:rPr>
            </w:pPr>
            <w:r w:rsidRPr="0019790A">
              <w:rPr>
                <w:rFonts w:cs="Arial"/>
                <w:b/>
                <w:bCs/>
                <w:color w:val="000000"/>
                <w:szCs w:val="22"/>
              </w:rPr>
              <w:t>Назва проєкту:</w:t>
            </w:r>
          </w:p>
        </w:tc>
        <w:tc>
          <w:tcPr>
            <w:tcW w:w="6794" w:type="dxa"/>
            <w:gridSpan w:val="7"/>
            <w:vAlign w:val="center"/>
          </w:tcPr>
          <w:p w14:paraId="6EA22BCD" w14:textId="14A5E078" w:rsidR="002373CF" w:rsidRPr="00480C22" w:rsidRDefault="002373CF" w:rsidP="00480C22">
            <w:pPr>
              <w:rPr>
                <w:rFonts w:cs="Arial"/>
                <w:b/>
                <w:szCs w:val="22"/>
                <w:lang w:eastAsia="it-IT"/>
              </w:rPr>
            </w:pPr>
            <w:r w:rsidRPr="00480C22">
              <w:rPr>
                <w:rFonts w:cs="Arial"/>
                <w:b/>
                <w:szCs w:val="22"/>
                <w:lang w:eastAsia="it-IT"/>
              </w:rPr>
              <w:t>Безпечна громада</w:t>
            </w:r>
          </w:p>
        </w:tc>
      </w:tr>
      <w:tr w:rsidR="002373CF" w:rsidRPr="0019790A" w14:paraId="0EDEC5FD" w14:textId="77777777" w:rsidTr="00787C61">
        <w:trPr>
          <w:jc w:val="right"/>
        </w:trPr>
        <w:tc>
          <w:tcPr>
            <w:tcW w:w="3425" w:type="dxa"/>
          </w:tcPr>
          <w:p w14:paraId="20495D9B" w14:textId="77777777" w:rsidR="002373CF" w:rsidRPr="0019790A" w:rsidRDefault="002373CF"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3998B536" w14:textId="77777777" w:rsidR="002373CF" w:rsidRPr="0019790A" w:rsidRDefault="002373CF"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7"/>
          </w:tcPr>
          <w:p w14:paraId="326CB169" w14:textId="77777777" w:rsidR="002373CF" w:rsidRPr="0019790A" w:rsidRDefault="002373CF" w:rsidP="0019790A">
            <w:pPr>
              <w:rPr>
                <w:rFonts w:cs="Arial"/>
                <w:szCs w:val="22"/>
                <w:lang w:eastAsia="it-IT"/>
              </w:rPr>
            </w:pPr>
            <w:r w:rsidRPr="0019790A">
              <w:rPr>
                <w:rFonts w:cs="Arial"/>
                <w:szCs w:val="22"/>
              </w:rPr>
              <w:t>Виконавчий комітет Жмеринської міської ради</w:t>
            </w:r>
          </w:p>
        </w:tc>
      </w:tr>
      <w:tr w:rsidR="002373CF" w:rsidRPr="0019790A" w14:paraId="2B334C0E" w14:textId="77777777" w:rsidTr="00787C61">
        <w:trPr>
          <w:jc w:val="right"/>
        </w:trPr>
        <w:tc>
          <w:tcPr>
            <w:tcW w:w="3425" w:type="dxa"/>
          </w:tcPr>
          <w:p w14:paraId="135E4145" w14:textId="77777777" w:rsidR="002373CF" w:rsidRPr="0019790A" w:rsidRDefault="002373CF" w:rsidP="0019790A">
            <w:pPr>
              <w:rPr>
                <w:rFonts w:cs="Arial"/>
                <w:b/>
                <w:bCs/>
                <w:szCs w:val="22"/>
              </w:rPr>
            </w:pPr>
            <w:r w:rsidRPr="0019790A">
              <w:rPr>
                <w:rFonts w:cs="Arial"/>
                <w:szCs w:val="22"/>
                <w:lang w:eastAsia="it-IT"/>
              </w:rPr>
              <w:t>Прізвище Ім’я По-батькові:</w:t>
            </w:r>
          </w:p>
        </w:tc>
        <w:tc>
          <w:tcPr>
            <w:tcW w:w="6794" w:type="dxa"/>
            <w:gridSpan w:val="7"/>
          </w:tcPr>
          <w:p w14:paraId="21FABD0C" w14:textId="77777777" w:rsidR="002373CF" w:rsidRPr="0019790A" w:rsidRDefault="002373CF" w:rsidP="0019790A">
            <w:pPr>
              <w:rPr>
                <w:rFonts w:cs="Arial"/>
                <w:szCs w:val="22"/>
                <w:lang w:eastAsia="it-IT"/>
              </w:rPr>
            </w:pPr>
            <w:r w:rsidRPr="0019790A">
              <w:rPr>
                <w:rFonts w:cs="Arial"/>
                <w:szCs w:val="22"/>
              </w:rPr>
              <w:t>Нікітюк Сергій Вікторович</w:t>
            </w:r>
          </w:p>
        </w:tc>
      </w:tr>
      <w:tr w:rsidR="002373CF" w:rsidRPr="0019790A" w14:paraId="64917714" w14:textId="77777777" w:rsidTr="00787C61">
        <w:trPr>
          <w:jc w:val="right"/>
        </w:trPr>
        <w:tc>
          <w:tcPr>
            <w:tcW w:w="3425" w:type="dxa"/>
          </w:tcPr>
          <w:p w14:paraId="69F96EA1" w14:textId="77777777" w:rsidR="002373CF" w:rsidRPr="0019790A" w:rsidRDefault="002373CF" w:rsidP="0019790A">
            <w:pPr>
              <w:rPr>
                <w:rFonts w:cs="Arial"/>
                <w:b/>
                <w:bCs/>
                <w:szCs w:val="22"/>
              </w:rPr>
            </w:pPr>
            <w:r w:rsidRPr="0019790A">
              <w:rPr>
                <w:rFonts w:cs="Arial"/>
                <w:szCs w:val="22"/>
                <w:lang w:eastAsia="it-IT"/>
              </w:rPr>
              <w:t>Телефон (мобільний):</w:t>
            </w:r>
          </w:p>
        </w:tc>
        <w:tc>
          <w:tcPr>
            <w:tcW w:w="6794" w:type="dxa"/>
            <w:gridSpan w:val="7"/>
          </w:tcPr>
          <w:p w14:paraId="21160383" w14:textId="77777777" w:rsidR="002373CF" w:rsidRPr="0019790A" w:rsidRDefault="002373CF" w:rsidP="0019790A">
            <w:pPr>
              <w:rPr>
                <w:rFonts w:cs="Arial"/>
                <w:szCs w:val="22"/>
                <w:lang w:eastAsia="it-IT"/>
              </w:rPr>
            </w:pPr>
            <w:r w:rsidRPr="0019790A">
              <w:rPr>
                <w:rFonts w:cs="Arial"/>
                <w:szCs w:val="22"/>
              </w:rPr>
              <w:t>0969989709</w:t>
            </w:r>
          </w:p>
        </w:tc>
      </w:tr>
      <w:tr w:rsidR="002373CF" w:rsidRPr="0019790A" w14:paraId="2C46ADBE" w14:textId="77777777" w:rsidTr="00787C61">
        <w:trPr>
          <w:jc w:val="right"/>
        </w:trPr>
        <w:tc>
          <w:tcPr>
            <w:tcW w:w="3425" w:type="dxa"/>
          </w:tcPr>
          <w:p w14:paraId="3B9226D6" w14:textId="77777777" w:rsidR="002373CF" w:rsidRPr="0019790A" w:rsidRDefault="002373CF" w:rsidP="0019790A">
            <w:pPr>
              <w:rPr>
                <w:rFonts w:cs="Arial"/>
                <w:b/>
                <w:bCs/>
                <w:szCs w:val="22"/>
              </w:rPr>
            </w:pPr>
            <w:r w:rsidRPr="0019790A">
              <w:rPr>
                <w:rFonts w:cs="Arial"/>
                <w:szCs w:val="22"/>
                <w:lang w:eastAsia="it-IT"/>
              </w:rPr>
              <w:t>Електронна адреса:</w:t>
            </w:r>
          </w:p>
        </w:tc>
        <w:tc>
          <w:tcPr>
            <w:tcW w:w="6794" w:type="dxa"/>
            <w:gridSpan w:val="7"/>
          </w:tcPr>
          <w:p w14:paraId="70E8C125" w14:textId="3B66FB83" w:rsidR="002373CF" w:rsidRPr="0019790A" w:rsidRDefault="00D85FFD" w:rsidP="0019790A">
            <w:pPr>
              <w:rPr>
                <w:rFonts w:cs="Arial"/>
                <w:szCs w:val="22"/>
                <w:lang w:eastAsia="it-IT"/>
              </w:rPr>
            </w:pPr>
            <w:hyperlink r:id="rId97" w:history="1">
              <w:r w:rsidR="00480C22" w:rsidRPr="00BF0394">
                <w:rPr>
                  <w:rStyle w:val="af0"/>
                  <w:rFonts w:cs="Arial"/>
                  <w:noProof w:val="0"/>
                  <w:sz w:val="22"/>
                  <w:szCs w:val="22"/>
                  <w:lang w:eastAsia="it-IT"/>
                </w:rPr>
                <w:t>it@zhmr.gov.ua</w:t>
              </w:r>
            </w:hyperlink>
            <w:r w:rsidR="00480C22">
              <w:rPr>
                <w:rFonts w:cs="Arial"/>
                <w:szCs w:val="22"/>
                <w:lang w:eastAsia="it-IT"/>
              </w:rPr>
              <w:t xml:space="preserve"> </w:t>
            </w:r>
          </w:p>
        </w:tc>
      </w:tr>
      <w:tr w:rsidR="002373CF" w:rsidRPr="0019790A" w14:paraId="5759BB50" w14:textId="77777777" w:rsidTr="00787C61">
        <w:trPr>
          <w:jc w:val="right"/>
        </w:trPr>
        <w:tc>
          <w:tcPr>
            <w:tcW w:w="3425" w:type="dxa"/>
            <w:vAlign w:val="center"/>
          </w:tcPr>
          <w:p w14:paraId="2E840AE5" w14:textId="77777777" w:rsidR="002373CF" w:rsidRPr="0019790A" w:rsidRDefault="002373CF" w:rsidP="0019790A">
            <w:pPr>
              <w:pStyle w:val="6"/>
              <w:spacing w:before="0" w:after="0"/>
              <w:rPr>
                <w:rFonts w:ascii="Arial" w:hAnsi="Arial" w:cs="Arial"/>
                <w:color w:val="000000"/>
                <w:lang w:val="uk-UA"/>
              </w:rPr>
            </w:pPr>
            <w:r w:rsidRPr="0019790A">
              <w:rPr>
                <w:rFonts w:ascii="Arial" w:hAnsi="Arial" w:cs="Arial"/>
                <w:color w:val="000000"/>
                <w:lang w:val="uk-UA"/>
              </w:rPr>
              <w:t>Номер і назва завдання з Стратегії</w:t>
            </w:r>
            <w:r w:rsidRPr="0019790A">
              <w:rPr>
                <w:rFonts w:ascii="Arial" w:hAnsi="Arial" w:cs="Arial"/>
                <w:lang w:val="uk-UA" w:eastAsia="it-IT"/>
              </w:rPr>
              <w:t xml:space="preserve"> </w:t>
            </w:r>
            <w:r w:rsidRPr="0019790A">
              <w:rPr>
                <w:rFonts w:ascii="Arial" w:hAnsi="Arial" w:cs="Arial"/>
                <w:color w:val="000000"/>
                <w:lang w:val="uk-UA"/>
              </w:rPr>
              <w:t>розвитку Жмеринської міської територіальної громади,  якому відповідає проєкт:</w:t>
            </w:r>
          </w:p>
        </w:tc>
        <w:tc>
          <w:tcPr>
            <w:tcW w:w="6794" w:type="dxa"/>
            <w:gridSpan w:val="7"/>
          </w:tcPr>
          <w:p w14:paraId="1AA2C7DD" w14:textId="77777777" w:rsidR="002373CF" w:rsidRPr="0019790A" w:rsidRDefault="002373CF" w:rsidP="0019790A">
            <w:pPr>
              <w:autoSpaceDE w:val="0"/>
              <w:autoSpaceDN w:val="0"/>
              <w:adjustRightInd w:val="0"/>
              <w:rPr>
                <w:rFonts w:cs="Arial"/>
                <w:bCs/>
                <w:szCs w:val="22"/>
              </w:rPr>
            </w:pPr>
            <w:r w:rsidRPr="0019790A">
              <w:rPr>
                <w:rFonts w:cs="Arial"/>
                <w:bCs/>
                <w:szCs w:val="22"/>
              </w:rPr>
              <w:t>В.4.1. Впровадження  Центру безпеки та активної безпекової платформи</w:t>
            </w:r>
          </w:p>
          <w:p w14:paraId="5903E5B3" w14:textId="77777777" w:rsidR="002373CF" w:rsidRPr="0019790A" w:rsidRDefault="002373CF" w:rsidP="0019790A">
            <w:pPr>
              <w:rPr>
                <w:rFonts w:cs="Arial"/>
                <w:bCs/>
                <w:szCs w:val="22"/>
              </w:rPr>
            </w:pPr>
            <w:r w:rsidRPr="0019790A">
              <w:rPr>
                <w:rFonts w:cs="Arial"/>
                <w:szCs w:val="22"/>
              </w:rPr>
              <w:t xml:space="preserve">В.4.1.6. </w:t>
            </w:r>
            <w:r w:rsidRPr="0019790A">
              <w:rPr>
                <w:rFonts w:cs="Arial"/>
                <w:szCs w:val="22"/>
                <w:lang w:eastAsia="it-IT"/>
              </w:rPr>
              <w:t>Впровадження комплексу програмно-апаратних та організаційних заходів для посилення безпеки мешканців громади, захисту об’єктів забезпечення життєдіяльності громади, безпеки дорожнього руху із встановлення сучасних систем, здатних здійснювати інтелектуальну обробку зображення, забезпечувати контроль та оповіщення проблем.</w:t>
            </w:r>
          </w:p>
          <w:p w14:paraId="058FDEC5" w14:textId="77777777" w:rsidR="002373CF" w:rsidRPr="0019790A" w:rsidRDefault="002373CF" w:rsidP="0019790A">
            <w:pPr>
              <w:rPr>
                <w:rFonts w:cs="Arial"/>
                <w:szCs w:val="22"/>
              </w:rPr>
            </w:pPr>
            <w:r w:rsidRPr="0019790A">
              <w:rPr>
                <w:rFonts w:cs="Arial"/>
                <w:szCs w:val="22"/>
              </w:rPr>
              <w:t xml:space="preserve">В.4.1.7. </w:t>
            </w:r>
            <w:r w:rsidRPr="0019790A">
              <w:rPr>
                <w:rFonts w:cs="Arial"/>
                <w:szCs w:val="22"/>
                <w:lang w:eastAsia="it-IT"/>
              </w:rPr>
              <w:t>Придбання та встановлення систем відеоспостереження: відеокамери; серверу із програмним забезпеченням.</w:t>
            </w:r>
          </w:p>
          <w:p w14:paraId="44DFC372" w14:textId="3DA27FED" w:rsidR="002373CF" w:rsidRPr="0019790A" w:rsidRDefault="002373CF" w:rsidP="00480C22">
            <w:pPr>
              <w:autoSpaceDE w:val="0"/>
              <w:autoSpaceDN w:val="0"/>
              <w:adjustRightInd w:val="0"/>
              <w:rPr>
                <w:rFonts w:cs="Arial"/>
                <w:szCs w:val="22"/>
                <w:lang w:eastAsia="it-IT"/>
              </w:rPr>
            </w:pPr>
            <w:r w:rsidRPr="0019790A">
              <w:rPr>
                <w:rFonts w:cs="Arial"/>
                <w:szCs w:val="22"/>
              </w:rPr>
              <w:t xml:space="preserve">В.4.1.8. </w:t>
            </w:r>
            <w:r w:rsidRPr="0019790A">
              <w:rPr>
                <w:rFonts w:cs="Arial"/>
                <w:szCs w:val="22"/>
                <w:lang w:eastAsia="it-IT"/>
              </w:rPr>
              <w:t>Проведення робіт по прокладці мережі відеоспостереження з урахуванням потреб населення конкретних населених пунктів</w:t>
            </w:r>
          </w:p>
        </w:tc>
      </w:tr>
      <w:tr w:rsidR="002373CF" w:rsidRPr="0019790A" w14:paraId="48487D0A" w14:textId="77777777" w:rsidTr="00787C61">
        <w:trPr>
          <w:jc w:val="right"/>
        </w:trPr>
        <w:tc>
          <w:tcPr>
            <w:tcW w:w="3425" w:type="dxa"/>
            <w:vAlign w:val="center"/>
          </w:tcPr>
          <w:p w14:paraId="2873D02B" w14:textId="77777777" w:rsidR="002373CF" w:rsidRPr="0019790A" w:rsidRDefault="002373CF" w:rsidP="0019790A">
            <w:pPr>
              <w:rPr>
                <w:rFonts w:cs="Arial"/>
                <w:b/>
                <w:bCs/>
                <w:color w:val="000000"/>
                <w:szCs w:val="22"/>
              </w:rPr>
            </w:pPr>
            <w:r w:rsidRPr="0019790A">
              <w:rPr>
                <w:rFonts w:cs="Arial"/>
                <w:b/>
                <w:bCs/>
                <w:color w:val="000000"/>
                <w:szCs w:val="22"/>
              </w:rPr>
              <w:t>Мета проєкту:</w:t>
            </w:r>
          </w:p>
        </w:tc>
        <w:tc>
          <w:tcPr>
            <w:tcW w:w="6794" w:type="dxa"/>
            <w:gridSpan w:val="7"/>
          </w:tcPr>
          <w:p w14:paraId="3FDE2544" w14:textId="72262224" w:rsidR="002373CF" w:rsidRPr="0019790A" w:rsidRDefault="002373CF" w:rsidP="00480C22">
            <w:pPr>
              <w:rPr>
                <w:rFonts w:cs="Arial"/>
                <w:szCs w:val="22"/>
                <w:lang w:eastAsia="it-IT"/>
              </w:rPr>
            </w:pPr>
            <w:r w:rsidRPr="0019790A">
              <w:rPr>
                <w:rFonts w:cs="Arial"/>
                <w:szCs w:val="22"/>
              </w:rPr>
              <w:t>посилення безпеки громадян, захисту важливих об’єктів громади та комунального майна, посилення безпеки дорожнього руху, підвищення рівня розкриття правопорушень.</w:t>
            </w:r>
          </w:p>
        </w:tc>
      </w:tr>
      <w:tr w:rsidR="002373CF" w:rsidRPr="0019790A" w14:paraId="79A3815E" w14:textId="77777777" w:rsidTr="00787C61">
        <w:trPr>
          <w:jc w:val="right"/>
        </w:trPr>
        <w:tc>
          <w:tcPr>
            <w:tcW w:w="3425" w:type="dxa"/>
            <w:vAlign w:val="center"/>
          </w:tcPr>
          <w:p w14:paraId="1FF1D295" w14:textId="77777777" w:rsidR="002373CF" w:rsidRPr="0019790A" w:rsidRDefault="002373CF" w:rsidP="0019790A">
            <w:pPr>
              <w:rPr>
                <w:rFonts w:cs="Arial"/>
                <w:b/>
                <w:bCs/>
                <w:color w:val="000000"/>
                <w:szCs w:val="22"/>
              </w:rPr>
            </w:pPr>
            <w:r w:rsidRPr="0019790A">
              <w:rPr>
                <w:rFonts w:cs="Arial"/>
                <w:b/>
                <w:bCs/>
                <w:color w:val="000000"/>
                <w:szCs w:val="22"/>
              </w:rPr>
              <w:t>Цілі проєкту:</w:t>
            </w:r>
          </w:p>
        </w:tc>
        <w:tc>
          <w:tcPr>
            <w:tcW w:w="6794" w:type="dxa"/>
            <w:gridSpan w:val="7"/>
          </w:tcPr>
          <w:p w14:paraId="1B2871D4" w14:textId="77777777" w:rsidR="002373CF" w:rsidRPr="0019790A" w:rsidRDefault="002373CF" w:rsidP="0019790A">
            <w:pPr>
              <w:rPr>
                <w:rFonts w:cs="Arial"/>
                <w:szCs w:val="22"/>
                <w:lang w:eastAsia="it-IT"/>
              </w:rPr>
            </w:pPr>
            <w:r w:rsidRPr="0019790A">
              <w:rPr>
                <w:rFonts w:cs="Arial"/>
                <w:szCs w:val="22"/>
              </w:rPr>
              <w:t>Посилення безпеки громадян, захисту важливих об’єктів громади та комунального майна, посилення безпеки дорожнього руху, підвищення рівня розкриття правопорушень</w:t>
            </w:r>
          </w:p>
        </w:tc>
      </w:tr>
      <w:tr w:rsidR="002373CF" w:rsidRPr="0019790A" w14:paraId="3020EBC8" w14:textId="77777777" w:rsidTr="00787C61">
        <w:trPr>
          <w:jc w:val="right"/>
        </w:trPr>
        <w:tc>
          <w:tcPr>
            <w:tcW w:w="3425" w:type="dxa"/>
            <w:vAlign w:val="center"/>
          </w:tcPr>
          <w:p w14:paraId="10A6EB90" w14:textId="77777777" w:rsidR="002373CF" w:rsidRPr="0019790A" w:rsidRDefault="002373CF" w:rsidP="0019790A">
            <w:pPr>
              <w:autoSpaceDE w:val="0"/>
              <w:autoSpaceDN w:val="0"/>
              <w:adjustRightInd w:val="0"/>
              <w:rPr>
                <w:rFonts w:cs="Arial"/>
                <w:b/>
                <w:color w:val="000000"/>
                <w:szCs w:val="22"/>
              </w:rPr>
            </w:pPr>
            <w:r w:rsidRPr="0019790A">
              <w:rPr>
                <w:rFonts w:cs="Arial"/>
                <w:b/>
                <w:color w:val="000000"/>
                <w:szCs w:val="22"/>
              </w:rPr>
              <w:t>Територія на яку проєкт матиме вплив:</w:t>
            </w:r>
          </w:p>
        </w:tc>
        <w:tc>
          <w:tcPr>
            <w:tcW w:w="6794" w:type="dxa"/>
            <w:gridSpan w:val="7"/>
          </w:tcPr>
          <w:p w14:paraId="6EA7A2E4" w14:textId="77777777" w:rsidR="002373CF" w:rsidRPr="0019790A" w:rsidRDefault="002373CF" w:rsidP="0019790A">
            <w:pPr>
              <w:rPr>
                <w:rFonts w:cs="Arial"/>
                <w:szCs w:val="22"/>
                <w:lang w:eastAsia="it-IT"/>
              </w:rPr>
            </w:pPr>
            <w:r w:rsidRPr="0019790A">
              <w:rPr>
                <w:rFonts w:cs="Arial"/>
                <w:szCs w:val="22"/>
              </w:rPr>
              <w:t>Територія Жмеринської міської територіальної громади</w:t>
            </w:r>
          </w:p>
        </w:tc>
      </w:tr>
      <w:tr w:rsidR="002373CF" w:rsidRPr="0019790A" w14:paraId="1D6FD45C" w14:textId="77777777" w:rsidTr="00787C61">
        <w:trPr>
          <w:jc w:val="right"/>
        </w:trPr>
        <w:tc>
          <w:tcPr>
            <w:tcW w:w="3425" w:type="dxa"/>
            <w:vAlign w:val="center"/>
          </w:tcPr>
          <w:p w14:paraId="7A02214F" w14:textId="77777777" w:rsidR="002373CF" w:rsidRPr="0019790A" w:rsidRDefault="002373CF" w:rsidP="0019790A">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4" w:type="dxa"/>
            <w:gridSpan w:val="7"/>
          </w:tcPr>
          <w:p w14:paraId="3EC4C2BE" w14:textId="5CEBB6E9" w:rsidR="002373CF" w:rsidRPr="0019790A" w:rsidRDefault="002373CF" w:rsidP="0019790A">
            <w:pPr>
              <w:rPr>
                <w:rFonts w:cs="Arial"/>
                <w:szCs w:val="22"/>
                <w:lang w:eastAsia="it-IT"/>
              </w:rPr>
            </w:pPr>
            <w:r w:rsidRPr="0019790A">
              <w:rPr>
                <w:rFonts w:cs="Arial"/>
                <w:szCs w:val="22"/>
                <w:lang w:eastAsia="it-IT"/>
              </w:rPr>
              <w:t>є всі громадяни Жмеринської ТГ, 48 271 осіб</w:t>
            </w:r>
          </w:p>
        </w:tc>
      </w:tr>
      <w:tr w:rsidR="002373CF" w:rsidRPr="0019790A" w14:paraId="7CFB9B05" w14:textId="77777777" w:rsidTr="00787C61">
        <w:trPr>
          <w:jc w:val="right"/>
        </w:trPr>
        <w:tc>
          <w:tcPr>
            <w:tcW w:w="3425" w:type="dxa"/>
            <w:shd w:val="clear" w:color="auto" w:fill="FFFFFF"/>
            <w:vAlign w:val="center"/>
          </w:tcPr>
          <w:p w14:paraId="66327F06" w14:textId="77777777" w:rsidR="002373CF" w:rsidRPr="0019790A" w:rsidRDefault="002373CF" w:rsidP="0019790A">
            <w:pPr>
              <w:rPr>
                <w:rFonts w:cs="Arial"/>
                <w:b/>
                <w:bCs/>
                <w:color w:val="000000"/>
                <w:szCs w:val="22"/>
              </w:rPr>
            </w:pPr>
            <w:r w:rsidRPr="0019790A">
              <w:rPr>
                <w:rFonts w:cs="Arial"/>
                <w:b/>
                <w:bCs/>
                <w:color w:val="000000"/>
                <w:szCs w:val="22"/>
              </w:rPr>
              <w:t>Стислий опис проєкту:</w:t>
            </w:r>
          </w:p>
        </w:tc>
        <w:tc>
          <w:tcPr>
            <w:tcW w:w="6794" w:type="dxa"/>
            <w:gridSpan w:val="7"/>
          </w:tcPr>
          <w:p w14:paraId="3A3FEC76" w14:textId="77777777" w:rsidR="002373CF" w:rsidRPr="0019790A" w:rsidRDefault="002373CF" w:rsidP="0019790A">
            <w:pPr>
              <w:rPr>
                <w:rFonts w:cs="Arial"/>
                <w:szCs w:val="22"/>
                <w:lang w:eastAsia="it-IT"/>
              </w:rPr>
            </w:pPr>
            <w:r w:rsidRPr="0019790A">
              <w:rPr>
                <w:rFonts w:cs="Arial"/>
                <w:szCs w:val="22"/>
                <w:lang w:eastAsia="it-IT"/>
              </w:rPr>
              <w:t>Встановлення камер відеоспостереження у Жмеринській МТГ.</w:t>
            </w:r>
          </w:p>
          <w:p w14:paraId="415F3832" w14:textId="77777777" w:rsidR="002373CF" w:rsidRPr="0019790A" w:rsidRDefault="002373CF" w:rsidP="0019790A">
            <w:pPr>
              <w:rPr>
                <w:rFonts w:cs="Arial"/>
                <w:szCs w:val="22"/>
                <w:lang w:eastAsia="it-IT"/>
              </w:rPr>
            </w:pPr>
            <w:r w:rsidRPr="0019790A">
              <w:rPr>
                <w:rFonts w:cs="Arial"/>
                <w:szCs w:val="22"/>
                <w:lang w:eastAsia="it-IT"/>
              </w:rPr>
              <w:t>Створення Ситуаційного центру.</w:t>
            </w:r>
          </w:p>
        </w:tc>
      </w:tr>
      <w:tr w:rsidR="002373CF" w:rsidRPr="0019790A" w14:paraId="0C34580D" w14:textId="77777777" w:rsidTr="00787C61">
        <w:trPr>
          <w:jc w:val="right"/>
        </w:trPr>
        <w:tc>
          <w:tcPr>
            <w:tcW w:w="3425" w:type="dxa"/>
            <w:shd w:val="clear" w:color="auto" w:fill="FFFFFF"/>
            <w:vAlign w:val="center"/>
          </w:tcPr>
          <w:p w14:paraId="5B770C3F" w14:textId="77777777" w:rsidR="002373CF" w:rsidRPr="0019790A" w:rsidRDefault="002373CF" w:rsidP="0019790A">
            <w:pPr>
              <w:rPr>
                <w:rFonts w:cs="Arial"/>
                <w:b/>
                <w:bCs/>
                <w:color w:val="000000"/>
                <w:szCs w:val="22"/>
              </w:rPr>
            </w:pPr>
            <w:r w:rsidRPr="0019790A">
              <w:rPr>
                <w:rFonts w:cs="Arial"/>
                <w:b/>
                <w:bCs/>
                <w:color w:val="000000"/>
                <w:szCs w:val="22"/>
              </w:rPr>
              <w:t>Основні заходи проєкту:</w:t>
            </w:r>
          </w:p>
        </w:tc>
        <w:tc>
          <w:tcPr>
            <w:tcW w:w="6794" w:type="dxa"/>
            <w:gridSpan w:val="7"/>
          </w:tcPr>
          <w:p w14:paraId="011DA96D" w14:textId="77777777" w:rsidR="002373CF" w:rsidRPr="0019790A" w:rsidRDefault="002373CF" w:rsidP="0019790A">
            <w:pPr>
              <w:rPr>
                <w:rFonts w:cs="Arial"/>
                <w:szCs w:val="22"/>
                <w:lang w:eastAsia="it-IT"/>
              </w:rPr>
            </w:pPr>
            <w:r w:rsidRPr="0019790A">
              <w:rPr>
                <w:rFonts w:cs="Arial"/>
                <w:szCs w:val="22"/>
                <w:lang w:eastAsia="it-IT"/>
              </w:rPr>
              <w:t>1. Комплексна взаємодія, координація спільних дій та зусиль влади і правоохоронних органів, спрямованих на забезпечення оперативного, ефективного, злагодженого реагування на надзвичайні події та загрози інтересам громади, запобігання та подолання небезпечних ситуацій, збереження спокою та нормальної життєдіяльності громади;</w:t>
            </w:r>
          </w:p>
          <w:p w14:paraId="69F97A96" w14:textId="77777777" w:rsidR="002373CF" w:rsidRPr="0019790A" w:rsidRDefault="002373CF" w:rsidP="0019790A">
            <w:pPr>
              <w:rPr>
                <w:rFonts w:cs="Arial"/>
                <w:szCs w:val="22"/>
                <w:lang w:eastAsia="it-IT"/>
              </w:rPr>
            </w:pPr>
            <w:r w:rsidRPr="0019790A">
              <w:rPr>
                <w:rFonts w:cs="Arial"/>
                <w:szCs w:val="22"/>
                <w:lang w:eastAsia="it-IT"/>
              </w:rPr>
              <w:t>2. Створення єдиної локальної мережі системи «Безпечна громада», в яку будуть об’єднані всі міські камери зовнішнього відео нагляду, структурні підрозділи міської ради та інші елементи системи безпеки об’єктів усіх форм власності;</w:t>
            </w:r>
          </w:p>
          <w:p w14:paraId="22E0AAFB" w14:textId="77777777" w:rsidR="002373CF" w:rsidRPr="0019790A" w:rsidRDefault="002373CF" w:rsidP="0019790A">
            <w:pPr>
              <w:rPr>
                <w:rFonts w:cs="Arial"/>
                <w:szCs w:val="22"/>
                <w:lang w:eastAsia="it-IT"/>
              </w:rPr>
            </w:pPr>
            <w:r w:rsidRPr="0019790A">
              <w:rPr>
                <w:rFonts w:cs="Arial"/>
                <w:szCs w:val="22"/>
                <w:lang w:eastAsia="it-IT"/>
              </w:rPr>
              <w:t>3. Забезпечення доступу міської влади та правоохоронних органів до інформації з усіх камер відеонагляду системи «Безпечна громада»;</w:t>
            </w:r>
          </w:p>
          <w:p w14:paraId="200C2000" w14:textId="30924A02" w:rsidR="002373CF" w:rsidRPr="0019790A" w:rsidRDefault="002373CF" w:rsidP="0019790A">
            <w:pPr>
              <w:rPr>
                <w:rFonts w:cs="Arial"/>
                <w:szCs w:val="22"/>
                <w:lang w:eastAsia="it-IT"/>
              </w:rPr>
            </w:pPr>
            <w:r w:rsidRPr="0019790A">
              <w:rPr>
                <w:rFonts w:cs="Arial"/>
                <w:szCs w:val="22"/>
                <w:lang w:eastAsia="it-IT"/>
              </w:rPr>
              <w:t xml:space="preserve">4. Підвищення безпеки дорожнього руху, посилення рівня дисципліни учасників дорожнього руху, оперативне реагування на </w:t>
            </w:r>
            <w:r w:rsidR="00480C22" w:rsidRPr="0019790A">
              <w:rPr>
                <w:rFonts w:cs="Arial"/>
                <w:szCs w:val="22"/>
                <w:lang w:eastAsia="it-IT"/>
              </w:rPr>
              <w:t>дорожньо-транспортні</w:t>
            </w:r>
            <w:r w:rsidRPr="0019790A">
              <w:rPr>
                <w:rFonts w:cs="Arial"/>
                <w:szCs w:val="22"/>
                <w:lang w:eastAsia="it-IT"/>
              </w:rPr>
              <w:t xml:space="preserve"> події та небезпечні ситуації.</w:t>
            </w:r>
          </w:p>
        </w:tc>
      </w:tr>
      <w:tr w:rsidR="002373CF" w:rsidRPr="0019790A" w14:paraId="5535DCE2" w14:textId="77777777" w:rsidTr="00787C61">
        <w:trPr>
          <w:jc w:val="right"/>
        </w:trPr>
        <w:tc>
          <w:tcPr>
            <w:tcW w:w="3425" w:type="dxa"/>
            <w:shd w:val="clear" w:color="auto" w:fill="FFFFFF"/>
            <w:vAlign w:val="center"/>
          </w:tcPr>
          <w:p w14:paraId="4F22991A" w14:textId="77777777" w:rsidR="002373CF" w:rsidRPr="0019790A" w:rsidRDefault="002373CF"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794" w:type="dxa"/>
            <w:gridSpan w:val="7"/>
          </w:tcPr>
          <w:p w14:paraId="7D5864FD" w14:textId="77777777" w:rsidR="002373CF" w:rsidRPr="0019790A" w:rsidRDefault="002373CF" w:rsidP="0019790A">
            <w:pPr>
              <w:rPr>
                <w:rFonts w:cs="Arial"/>
                <w:szCs w:val="22"/>
                <w:lang w:eastAsia="it-IT"/>
              </w:rPr>
            </w:pPr>
            <w:r w:rsidRPr="0019790A">
              <w:rPr>
                <w:rFonts w:cs="Arial"/>
                <w:szCs w:val="22"/>
                <w:lang w:eastAsia="it-IT"/>
              </w:rPr>
              <w:t>- Встановлення 150 камер відеоспостереження</w:t>
            </w:r>
          </w:p>
          <w:p w14:paraId="4327495A" w14:textId="77777777" w:rsidR="002373CF" w:rsidRPr="0019790A" w:rsidRDefault="002373CF" w:rsidP="0019790A">
            <w:pPr>
              <w:rPr>
                <w:rFonts w:cs="Arial"/>
                <w:szCs w:val="22"/>
                <w:lang w:eastAsia="it-IT"/>
              </w:rPr>
            </w:pPr>
            <w:r w:rsidRPr="0019790A">
              <w:rPr>
                <w:rFonts w:cs="Arial"/>
                <w:szCs w:val="22"/>
                <w:lang w:eastAsia="it-IT"/>
              </w:rPr>
              <w:t>- Монтаж 15 км власних оптоволоконних мереж</w:t>
            </w:r>
          </w:p>
        </w:tc>
      </w:tr>
      <w:tr w:rsidR="002373CF" w:rsidRPr="0019790A" w14:paraId="2D0630ED" w14:textId="77777777" w:rsidTr="00787C61">
        <w:trPr>
          <w:jc w:val="right"/>
        </w:trPr>
        <w:tc>
          <w:tcPr>
            <w:tcW w:w="3425" w:type="dxa"/>
            <w:shd w:val="clear" w:color="auto" w:fill="FFFFFF"/>
            <w:vAlign w:val="center"/>
          </w:tcPr>
          <w:p w14:paraId="0E67A61E" w14:textId="77777777" w:rsidR="002373CF" w:rsidRPr="0019790A" w:rsidRDefault="002373CF" w:rsidP="0019790A">
            <w:pPr>
              <w:rPr>
                <w:rFonts w:cs="Arial"/>
                <w:b/>
                <w:color w:val="000000"/>
                <w:szCs w:val="22"/>
              </w:rPr>
            </w:pPr>
            <w:r w:rsidRPr="0019790A">
              <w:rPr>
                <w:rFonts w:cs="Arial"/>
                <w:b/>
                <w:color w:val="000000"/>
                <w:szCs w:val="22"/>
              </w:rPr>
              <w:t xml:space="preserve">Період здійснення: </w:t>
            </w:r>
          </w:p>
        </w:tc>
        <w:tc>
          <w:tcPr>
            <w:tcW w:w="6794" w:type="dxa"/>
            <w:gridSpan w:val="7"/>
            <w:vAlign w:val="center"/>
          </w:tcPr>
          <w:p w14:paraId="395C8279" w14:textId="77777777" w:rsidR="002373CF" w:rsidRPr="0019790A" w:rsidRDefault="002373CF" w:rsidP="0019790A">
            <w:pPr>
              <w:rPr>
                <w:rFonts w:cs="Arial"/>
                <w:color w:val="000000"/>
                <w:szCs w:val="22"/>
                <w:lang w:eastAsia="it-IT"/>
              </w:rPr>
            </w:pPr>
            <w:r w:rsidRPr="0019790A">
              <w:rPr>
                <w:rFonts w:cs="Arial"/>
                <w:b/>
                <w:color w:val="000000"/>
                <w:szCs w:val="22"/>
              </w:rPr>
              <w:t>2025 – 2028 роки:</w:t>
            </w:r>
          </w:p>
        </w:tc>
      </w:tr>
      <w:tr w:rsidR="002373CF" w:rsidRPr="0019790A" w14:paraId="79148302" w14:textId="77777777" w:rsidTr="00787C61">
        <w:trPr>
          <w:trHeight w:val="451"/>
          <w:jc w:val="right"/>
        </w:trPr>
        <w:tc>
          <w:tcPr>
            <w:tcW w:w="3425" w:type="dxa"/>
            <w:vMerge w:val="restart"/>
            <w:shd w:val="clear" w:color="auto" w:fill="FFFFFF"/>
            <w:vAlign w:val="center"/>
          </w:tcPr>
          <w:p w14:paraId="618FCD30" w14:textId="77777777" w:rsidR="002373CF" w:rsidRPr="0019790A" w:rsidRDefault="002373CF" w:rsidP="0019790A">
            <w:pPr>
              <w:rPr>
                <w:rFonts w:cs="Arial"/>
                <w:b/>
                <w:bCs/>
                <w:color w:val="000000"/>
                <w:szCs w:val="22"/>
              </w:rPr>
            </w:pPr>
            <w:r w:rsidRPr="0019790A">
              <w:rPr>
                <w:rFonts w:cs="Arial"/>
                <w:b/>
                <w:bCs/>
                <w:color w:val="000000"/>
                <w:szCs w:val="22"/>
              </w:rPr>
              <w:t>Орієнтовна вартість проєкту, тис. грн., в тому числі:</w:t>
            </w:r>
          </w:p>
        </w:tc>
        <w:tc>
          <w:tcPr>
            <w:tcW w:w="1254" w:type="dxa"/>
            <w:shd w:val="clear" w:color="auto" w:fill="E6E6E6"/>
            <w:vAlign w:val="center"/>
          </w:tcPr>
          <w:p w14:paraId="64BF8327" w14:textId="77777777" w:rsidR="002373CF" w:rsidRPr="0019790A" w:rsidRDefault="002373CF" w:rsidP="0019790A">
            <w:pPr>
              <w:jc w:val="center"/>
              <w:rPr>
                <w:rFonts w:cs="Arial"/>
                <w:b/>
                <w:color w:val="000000"/>
                <w:szCs w:val="22"/>
                <w:lang w:eastAsia="it-IT"/>
              </w:rPr>
            </w:pPr>
            <w:r w:rsidRPr="0019790A">
              <w:rPr>
                <w:rFonts w:cs="Arial"/>
                <w:b/>
                <w:color w:val="000000"/>
                <w:szCs w:val="22"/>
                <w:lang w:eastAsia="it-IT"/>
              </w:rPr>
              <w:t>2025</w:t>
            </w:r>
          </w:p>
        </w:tc>
        <w:tc>
          <w:tcPr>
            <w:tcW w:w="1275" w:type="dxa"/>
            <w:shd w:val="clear" w:color="auto" w:fill="E6E6E6"/>
            <w:vAlign w:val="center"/>
          </w:tcPr>
          <w:p w14:paraId="22174B68" w14:textId="77777777" w:rsidR="002373CF" w:rsidRPr="0019790A" w:rsidRDefault="002373CF" w:rsidP="0019790A">
            <w:pPr>
              <w:jc w:val="center"/>
              <w:rPr>
                <w:rFonts w:cs="Arial"/>
                <w:b/>
                <w:color w:val="000000"/>
                <w:szCs w:val="22"/>
                <w:lang w:eastAsia="it-IT"/>
              </w:rPr>
            </w:pPr>
            <w:r w:rsidRPr="0019790A">
              <w:rPr>
                <w:rFonts w:cs="Arial"/>
                <w:b/>
                <w:color w:val="000000"/>
                <w:szCs w:val="22"/>
                <w:lang w:eastAsia="it-IT"/>
              </w:rPr>
              <w:t>2026</w:t>
            </w:r>
          </w:p>
        </w:tc>
        <w:tc>
          <w:tcPr>
            <w:tcW w:w="1276" w:type="dxa"/>
            <w:tcBorders>
              <w:bottom w:val="single" w:sz="4" w:space="0" w:color="auto"/>
            </w:tcBorders>
            <w:shd w:val="clear" w:color="auto" w:fill="E6E6E6"/>
            <w:vAlign w:val="center"/>
          </w:tcPr>
          <w:p w14:paraId="72B49F42" w14:textId="77777777" w:rsidR="002373CF" w:rsidRPr="0019790A" w:rsidRDefault="002373CF" w:rsidP="0019790A">
            <w:pPr>
              <w:jc w:val="center"/>
              <w:rPr>
                <w:rFonts w:cs="Arial"/>
                <w:b/>
                <w:color w:val="000000"/>
                <w:szCs w:val="22"/>
                <w:lang w:eastAsia="it-IT"/>
              </w:rPr>
            </w:pPr>
            <w:r w:rsidRPr="0019790A">
              <w:rPr>
                <w:rFonts w:cs="Arial"/>
                <w:b/>
                <w:color w:val="000000"/>
                <w:szCs w:val="22"/>
                <w:lang w:eastAsia="it-IT"/>
              </w:rPr>
              <w:t>2027</w:t>
            </w:r>
          </w:p>
        </w:tc>
        <w:tc>
          <w:tcPr>
            <w:tcW w:w="1276" w:type="dxa"/>
            <w:gridSpan w:val="2"/>
            <w:tcBorders>
              <w:bottom w:val="single" w:sz="4" w:space="0" w:color="auto"/>
            </w:tcBorders>
            <w:shd w:val="clear" w:color="auto" w:fill="E6E6E6"/>
            <w:vAlign w:val="center"/>
          </w:tcPr>
          <w:p w14:paraId="164E95F3" w14:textId="77777777" w:rsidR="002373CF" w:rsidRPr="0019790A" w:rsidRDefault="002373CF" w:rsidP="0019790A">
            <w:pPr>
              <w:jc w:val="center"/>
              <w:rPr>
                <w:rFonts w:cs="Arial"/>
                <w:b/>
                <w:color w:val="000000"/>
                <w:szCs w:val="22"/>
                <w:lang w:eastAsia="it-IT"/>
              </w:rPr>
            </w:pPr>
            <w:r w:rsidRPr="0019790A">
              <w:rPr>
                <w:rFonts w:cs="Arial"/>
                <w:b/>
                <w:color w:val="000000"/>
                <w:szCs w:val="22"/>
                <w:lang w:eastAsia="it-IT"/>
              </w:rPr>
              <w:t>2028</w:t>
            </w:r>
          </w:p>
        </w:tc>
        <w:tc>
          <w:tcPr>
            <w:tcW w:w="1713" w:type="dxa"/>
            <w:gridSpan w:val="2"/>
            <w:shd w:val="clear" w:color="auto" w:fill="E6E6E6"/>
            <w:vAlign w:val="center"/>
          </w:tcPr>
          <w:p w14:paraId="5FDB3F33" w14:textId="77777777" w:rsidR="002373CF" w:rsidRPr="0019790A" w:rsidRDefault="002373CF" w:rsidP="0019790A">
            <w:pPr>
              <w:jc w:val="center"/>
              <w:rPr>
                <w:rFonts w:cs="Arial"/>
                <w:b/>
                <w:color w:val="000000"/>
                <w:szCs w:val="22"/>
                <w:lang w:eastAsia="it-IT"/>
              </w:rPr>
            </w:pPr>
            <w:r w:rsidRPr="0019790A">
              <w:rPr>
                <w:rFonts w:cs="Arial"/>
                <w:b/>
                <w:color w:val="000000"/>
                <w:szCs w:val="22"/>
                <w:lang w:eastAsia="it-IT"/>
              </w:rPr>
              <w:t>РАЗОМ</w:t>
            </w:r>
          </w:p>
        </w:tc>
      </w:tr>
      <w:tr w:rsidR="002373CF" w:rsidRPr="0019790A" w14:paraId="3E8CB992" w14:textId="77777777" w:rsidTr="00787C61">
        <w:trPr>
          <w:jc w:val="right"/>
        </w:trPr>
        <w:tc>
          <w:tcPr>
            <w:tcW w:w="3425" w:type="dxa"/>
            <w:vMerge/>
            <w:shd w:val="clear" w:color="auto" w:fill="FFFFFF"/>
            <w:vAlign w:val="center"/>
          </w:tcPr>
          <w:p w14:paraId="22F2CAC1" w14:textId="77777777" w:rsidR="002373CF" w:rsidRPr="0019790A" w:rsidRDefault="002373CF" w:rsidP="0019790A">
            <w:pPr>
              <w:rPr>
                <w:rFonts w:cs="Arial"/>
                <w:b/>
                <w:bCs/>
                <w:color w:val="000000"/>
                <w:szCs w:val="22"/>
              </w:rPr>
            </w:pPr>
          </w:p>
        </w:tc>
        <w:tc>
          <w:tcPr>
            <w:tcW w:w="1254" w:type="dxa"/>
            <w:vAlign w:val="center"/>
          </w:tcPr>
          <w:p w14:paraId="57591EA9" w14:textId="77777777" w:rsidR="002373CF" w:rsidRPr="0019790A" w:rsidRDefault="002373CF" w:rsidP="0019790A">
            <w:pPr>
              <w:jc w:val="center"/>
              <w:rPr>
                <w:rFonts w:cs="Arial"/>
                <w:b/>
                <w:color w:val="000000"/>
                <w:szCs w:val="22"/>
                <w:lang w:eastAsia="it-IT"/>
              </w:rPr>
            </w:pPr>
            <w:r w:rsidRPr="0019790A">
              <w:rPr>
                <w:rFonts w:cs="Arial"/>
                <w:szCs w:val="22"/>
              </w:rPr>
              <w:t>1 726,0</w:t>
            </w:r>
          </w:p>
        </w:tc>
        <w:tc>
          <w:tcPr>
            <w:tcW w:w="1275" w:type="dxa"/>
            <w:shd w:val="clear" w:color="auto" w:fill="FFFFFF"/>
            <w:vAlign w:val="center"/>
          </w:tcPr>
          <w:p w14:paraId="10FA1D5A" w14:textId="77777777" w:rsidR="002373CF" w:rsidRPr="0019790A" w:rsidRDefault="002373CF" w:rsidP="0019790A">
            <w:pPr>
              <w:jc w:val="center"/>
              <w:rPr>
                <w:rFonts w:cs="Arial"/>
                <w:b/>
                <w:color w:val="000000"/>
                <w:szCs w:val="22"/>
                <w:lang w:eastAsia="it-IT"/>
              </w:rPr>
            </w:pPr>
            <w:r w:rsidRPr="0019790A">
              <w:rPr>
                <w:rFonts w:cs="Arial"/>
                <w:szCs w:val="22"/>
              </w:rPr>
              <w:t>1 540,0</w:t>
            </w:r>
          </w:p>
        </w:tc>
        <w:tc>
          <w:tcPr>
            <w:tcW w:w="1276" w:type="dxa"/>
            <w:shd w:val="clear" w:color="auto" w:fill="auto"/>
            <w:vAlign w:val="center"/>
          </w:tcPr>
          <w:p w14:paraId="6644C502" w14:textId="77777777" w:rsidR="002373CF" w:rsidRPr="0019790A" w:rsidRDefault="002373CF" w:rsidP="0019790A">
            <w:pPr>
              <w:jc w:val="center"/>
              <w:rPr>
                <w:rFonts w:cs="Arial"/>
                <w:b/>
                <w:color w:val="000000"/>
                <w:szCs w:val="22"/>
                <w:lang w:eastAsia="it-IT"/>
              </w:rPr>
            </w:pPr>
            <w:r w:rsidRPr="0019790A">
              <w:rPr>
                <w:rFonts w:cs="Arial"/>
                <w:szCs w:val="22"/>
              </w:rPr>
              <w:t>1 700,0</w:t>
            </w:r>
          </w:p>
        </w:tc>
        <w:tc>
          <w:tcPr>
            <w:tcW w:w="1276" w:type="dxa"/>
            <w:gridSpan w:val="2"/>
            <w:shd w:val="clear" w:color="auto" w:fill="auto"/>
            <w:vAlign w:val="center"/>
          </w:tcPr>
          <w:p w14:paraId="7746CA38" w14:textId="77777777" w:rsidR="002373CF" w:rsidRPr="0019790A" w:rsidRDefault="002373CF" w:rsidP="0019790A">
            <w:pPr>
              <w:jc w:val="center"/>
              <w:rPr>
                <w:rFonts w:cs="Arial"/>
                <w:color w:val="000000"/>
                <w:szCs w:val="22"/>
                <w:lang w:eastAsia="it-IT"/>
              </w:rPr>
            </w:pPr>
            <w:r w:rsidRPr="0019790A">
              <w:rPr>
                <w:rFonts w:cs="Arial"/>
                <w:color w:val="000000"/>
                <w:szCs w:val="22"/>
                <w:lang w:eastAsia="it-IT"/>
              </w:rPr>
              <w:t>1 700,0</w:t>
            </w:r>
          </w:p>
        </w:tc>
        <w:tc>
          <w:tcPr>
            <w:tcW w:w="1713" w:type="dxa"/>
            <w:gridSpan w:val="2"/>
            <w:shd w:val="clear" w:color="auto" w:fill="FFFFFF"/>
            <w:vAlign w:val="center"/>
          </w:tcPr>
          <w:p w14:paraId="71C8C725" w14:textId="77777777" w:rsidR="002373CF" w:rsidRPr="0019790A" w:rsidRDefault="002373CF" w:rsidP="0019790A">
            <w:pPr>
              <w:jc w:val="center"/>
              <w:rPr>
                <w:rFonts w:cs="Arial"/>
                <w:b/>
                <w:color w:val="000000"/>
                <w:szCs w:val="22"/>
                <w:lang w:eastAsia="it-IT"/>
              </w:rPr>
            </w:pPr>
            <w:r w:rsidRPr="0019790A">
              <w:rPr>
                <w:rFonts w:cs="Arial"/>
                <w:b/>
                <w:szCs w:val="22"/>
              </w:rPr>
              <w:t>6 666,0</w:t>
            </w:r>
          </w:p>
        </w:tc>
      </w:tr>
      <w:tr w:rsidR="002373CF" w:rsidRPr="0019790A" w14:paraId="2B3A300B" w14:textId="77777777" w:rsidTr="00787C61">
        <w:trPr>
          <w:trHeight w:val="276"/>
          <w:jc w:val="right"/>
        </w:trPr>
        <w:tc>
          <w:tcPr>
            <w:tcW w:w="3425" w:type="dxa"/>
            <w:shd w:val="clear" w:color="auto" w:fill="FFFFFF"/>
            <w:vAlign w:val="center"/>
          </w:tcPr>
          <w:p w14:paraId="37B7FBDE" w14:textId="77777777" w:rsidR="002373CF" w:rsidRPr="0019790A" w:rsidRDefault="002373CF" w:rsidP="0019790A">
            <w:pPr>
              <w:rPr>
                <w:rFonts w:cs="Arial"/>
                <w:b/>
                <w:bCs/>
                <w:color w:val="000000"/>
                <w:szCs w:val="22"/>
              </w:rPr>
            </w:pPr>
            <w:r w:rsidRPr="0019790A">
              <w:rPr>
                <w:rFonts w:cs="Arial"/>
                <w:b/>
                <w:bCs/>
                <w:color w:val="000000"/>
                <w:szCs w:val="22"/>
              </w:rPr>
              <w:t>по джерелах фінансування:</w:t>
            </w:r>
          </w:p>
        </w:tc>
        <w:tc>
          <w:tcPr>
            <w:tcW w:w="6794" w:type="dxa"/>
            <w:gridSpan w:val="7"/>
            <w:vAlign w:val="center"/>
          </w:tcPr>
          <w:p w14:paraId="284647B8" w14:textId="77777777" w:rsidR="002373CF" w:rsidRPr="0019790A" w:rsidRDefault="002373CF" w:rsidP="0019790A">
            <w:pPr>
              <w:jc w:val="both"/>
              <w:rPr>
                <w:rFonts w:cs="Arial"/>
                <w:color w:val="000000"/>
                <w:szCs w:val="22"/>
                <w:lang w:eastAsia="it-IT"/>
              </w:rPr>
            </w:pPr>
          </w:p>
        </w:tc>
      </w:tr>
      <w:tr w:rsidR="002373CF" w:rsidRPr="0019790A" w14:paraId="72A61568" w14:textId="77777777" w:rsidTr="00787C61">
        <w:trPr>
          <w:trHeight w:val="240"/>
          <w:jc w:val="right"/>
        </w:trPr>
        <w:tc>
          <w:tcPr>
            <w:tcW w:w="3425" w:type="dxa"/>
            <w:shd w:val="clear" w:color="auto" w:fill="FFFFFF"/>
            <w:vAlign w:val="center"/>
          </w:tcPr>
          <w:p w14:paraId="7251D36F" w14:textId="77777777" w:rsidR="002373CF" w:rsidRPr="0019790A" w:rsidRDefault="002373CF" w:rsidP="0019790A">
            <w:pPr>
              <w:rPr>
                <w:rFonts w:cs="Arial"/>
                <w:b/>
                <w:bCs/>
                <w:color w:val="000000"/>
                <w:szCs w:val="22"/>
              </w:rPr>
            </w:pPr>
            <w:r w:rsidRPr="0019790A">
              <w:rPr>
                <w:rFonts w:cs="Arial"/>
                <w:color w:val="000000"/>
                <w:szCs w:val="22"/>
              </w:rPr>
              <w:t>- державний бюджет</w:t>
            </w:r>
          </w:p>
        </w:tc>
        <w:tc>
          <w:tcPr>
            <w:tcW w:w="6794" w:type="dxa"/>
            <w:gridSpan w:val="7"/>
            <w:vAlign w:val="center"/>
          </w:tcPr>
          <w:p w14:paraId="4829476E" w14:textId="77777777" w:rsidR="002373CF" w:rsidRPr="0019790A" w:rsidRDefault="002373CF" w:rsidP="0019790A">
            <w:pPr>
              <w:jc w:val="both"/>
              <w:rPr>
                <w:rFonts w:cs="Arial"/>
                <w:color w:val="000000"/>
                <w:szCs w:val="22"/>
                <w:lang w:eastAsia="it-IT"/>
              </w:rPr>
            </w:pPr>
          </w:p>
        </w:tc>
      </w:tr>
      <w:tr w:rsidR="002373CF" w:rsidRPr="0019790A" w14:paraId="0CB92887" w14:textId="77777777" w:rsidTr="00787C61">
        <w:trPr>
          <w:trHeight w:val="254"/>
          <w:jc w:val="right"/>
        </w:trPr>
        <w:tc>
          <w:tcPr>
            <w:tcW w:w="3425" w:type="dxa"/>
            <w:shd w:val="clear" w:color="auto" w:fill="FFFFFF"/>
            <w:vAlign w:val="center"/>
          </w:tcPr>
          <w:p w14:paraId="68903DCD" w14:textId="77777777" w:rsidR="002373CF" w:rsidRPr="0019790A" w:rsidRDefault="002373CF" w:rsidP="0019790A">
            <w:pPr>
              <w:rPr>
                <w:rFonts w:cs="Arial"/>
                <w:color w:val="000000"/>
                <w:szCs w:val="22"/>
              </w:rPr>
            </w:pPr>
            <w:r w:rsidRPr="0019790A">
              <w:rPr>
                <w:rFonts w:cs="Arial"/>
                <w:color w:val="000000"/>
                <w:szCs w:val="22"/>
              </w:rPr>
              <w:t>- обласний бюджет</w:t>
            </w:r>
          </w:p>
        </w:tc>
        <w:tc>
          <w:tcPr>
            <w:tcW w:w="6794" w:type="dxa"/>
            <w:gridSpan w:val="7"/>
            <w:vAlign w:val="center"/>
          </w:tcPr>
          <w:p w14:paraId="009FC79B" w14:textId="77777777" w:rsidR="002373CF" w:rsidRPr="0019790A" w:rsidRDefault="002373CF" w:rsidP="0019790A">
            <w:pPr>
              <w:jc w:val="both"/>
              <w:rPr>
                <w:rFonts w:cs="Arial"/>
                <w:color w:val="000000"/>
                <w:szCs w:val="22"/>
                <w:lang w:eastAsia="it-IT"/>
              </w:rPr>
            </w:pPr>
          </w:p>
        </w:tc>
      </w:tr>
      <w:tr w:rsidR="002373CF" w:rsidRPr="0019790A" w14:paraId="68DEFB1C" w14:textId="77777777" w:rsidTr="00787C61">
        <w:trPr>
          <w:trHeight w:val="275"/>
          <w:jc w:val="right"/>
        </w:trPr>
        <w:tc>
          <w:tcPr>
            <w:tcW w:w="3425" w:type="dxa"/>
            <w:shd w:val="clear" w:color="auto" w:fill="FFFFFF"/>
            <w:vAlign w:val="center"/>
          </w:tcPr>
          <w:p w14:paraId="365484C2" w14:textId="77777777" w:rsidR="002373CF" w:rsidRPr="0019790A" w:rsidRDefault="002373CF" w:rsidP="0019790A">
            <w:pPr>
              <w:rPr>
                <w:rFonts w:cs="Arial"/>
                <w:color w:val="000000"/>
                <w:szCs w:val="22"/>
              </w:rPr>
            </w:pPr>
            <w:r w:rsidRPr="0019790A">
              <w:rPr>
                <w:rFonts w:cs="Arial"/>
                <w:color w:val="000000"/>
                <w:szCs w:val="22"/>
              </w:rPr>
              <w:t>- бюджет Жмеринської МТГ</w:t>
            </w:r>
          </w:p>
        </w:tc>
        <w:tc>
          <w:tcPr>
            <w:tcW w:w="1254" w:type="dxa"/>
            <w:vAlign w:val="center"/>
          </w:tcPr>
          <w:p w14:paraId="6375D0EA" w14:textId="77777777" w:rsidR="002373CF" w:rsidRPr="0019790A" w:rsidRDefault="002373CF" w:rsidP="0019790A">
            <w:pPr>
              <w:jc w:val="center"/>
              <w:rPr>
                <w:rFonts w:cs="Arial"/>
                <w:b/>
                <w:color w:val="000000"/>
                <w:szCs w:val="22"/>
                <w:lang w:eastAsia="it-IT"/>
              </w:rPr>
            </w:pPr>
            <w:r w:rsidRPr="0019790A">
              <w:rPr>
                <w:rFonts w:cs="Arial"/>
                <w:szCs w:val="22"/>
              </w:rPr>
              <w:t>1 726,0</w:t>
            </w:r>
          </w:p>
        </w:tc>
        <w:tc>
          <w:tcPr>
            <w:tcW w:w="1275" w:type="dxa"/>
            <w:vAlign w:val="center"/>
          </w:tcPr>
          <w:p w14:paraId="39DC9FA3" w14:textId="77777777" w:rsidR="002373CF" w:rsidRPr="0019790A" w:rsidRDefault="002373CF" w:rsidP="0019790A">
            <w:pPr>
              <w:jc w:val="center"/>
              <w:rPr>
                <w:rFonts w:cs="Arial"/>
                <w:b/>
                <w:color w:val="000000"/>
                <w:szCs w:val="22"/>
                <w:lang w:eastAsia="it-IT"/>
              </w:rPr>
            </w:pPr>
            <w:r w:rsidRPr="0019790A">
              <w:rPr>
                <w:rFonts w:cs="Arial"/>
                <w:szCs w:val="22"/>
              </w:rPr>
              <w:t>1 540,0</w:t>
            </w:r>
          </w:p>
        </w:tc>
        <w:tc>
          <w:tcPr>
            <w:tcW w:w="1290" w:type="dxa"/>
            <w:gridSpan w:val="2"/>
            <w:vAlign w:val="center"/>
          </w:tcPr>
          <w:p w14:paraId="5FE50901" w14:textId="77777777" w:rsidR="002373CF" w:rsidRPr="0019790A" w:rsidRDefault="002373CF" w:rsidP="0019790A">
            <w:pPr>
              <w:jc w:val="center"/>
              <w:rPr>
                <w:rFonts w:cs="Arial"/>
                <w:b/>
                <w:color w:val="000000"/>
                <w:szCs w:val="22"/>
                <w:lang w:eastAsia="it-IT"/>
              </w:rPr>
            </w:pPr>
            <w:r w:rsidRPr="0019790A">
              <w:rPr>
                <w:rFonts w:cs="Arial"/>
                <w:szCs w:val="22"/>
              </w:rPr>
              <w:t>1 700,0</w:t>
            </w:r>
          </w:p>
        </w:tc>
        <w:tc>
          <w:tcPr>
            <w:tcW w:w="1276" w:type="dxa"/>
            <w:gridSpan w:val="2"/>
            <w:vAlign w:val="center"/>
          </w:tcPr>
          <w:p w14:paraId="70974E91" w14:textId="77777777" w:rsidR="002373CF" w:rsidRPr="0019790A" w:rsidRDefault="002373CF" w:rsidP="0019790A">
            <w:pPr>
              <w:jc w:val="center"/>
              <w:rPr>
                <w:rFonts w:cs="Arial"/>
                <w:color w:val="000000"/>
                <w:szCs w:val="22"/>
                <w:lang w:eastAsia="it-IT"/>
              </w:rPr>
            </w:pPr>
            <w:r w:rsidRPr="0019790A">
              <w:rPr>
                <w:rFonts w:cs="Arial"/>
                <w:color w:val="000000"/>
                <w:szCs w:val="22"/>
                <w:lang w:eastAsia="it-IT"/>
              </w:rPr>
              <w:t>1 700,0</w:t>
            </w:r>
          </w:p>
        </w:tc>
        <w:tc>
          <w:tcPr>
            <w:tcW w:w="1699" w:type="dxa"/>
            <w:vAlign w:val="center"/>
          </w:tcPr>
          <w:p w14:paraId="77ADFD65" w14:textId="77777777" w:rsidR="002373CF" w:rsidRPr="0019790A" w:rsidRDefault="002373CF" w:rsidP="0019790A">
            <w:pPr>
              <w:jc w:val="center"/>
              <w:rPr>
                <w:rFonts w:cs="Arial"/>
                <w:b/>
                <w:color w:val="000000"/>
                <w:szCs w:val="22"/>
                <w:lang w:eastAsia="it-IT"/>
              </w:rPr>
            </w:pPr>
            <w:r w:rsidRPr="0019790A">
              <w:rPr>
                <w:rFonts w:cs="Arial"/>
                <w:b/>
                <w:szCs w:val="22"/>
              </w:rPr>
              <w:t>6 666,0</w:t>
            </w:r>
          </w:p>
        </w:tc>
      </w:tr>
      <w:tr w:rsidR="002373CF" w:rsidRPr="0019790A" w14:paraId="39129B8B" w14:textId="77777777" w:rsidTr="00787C61">
        <w:trPr>
          <w:trHeight w:val="226"/>
          <w:jc w:val="right"/>
        </w:trPr>
        <w:tc>
          <w:tcPr>
            <w:tcW w:w="3425" w:type="dxa"/>
            <w:shd w:val="clear" w:color="auto" w:fill="FFFFFF"/>
            <w:vAlign w:val="center"/>
          </w:tcPr>
          <w:p w14:paraId="4D543EE8" w14:textId="77777777" w:rsidR="002373CF" w:rsidRPr="0019790A" w:rsidRDefault="002373CF" w:rsidP="0019790A">
            <w:pPr>
              <w:rPr>
                <w:rFonts w:cs="Arial"/>
                <w:color w:val="000000"/>
                <w:szCs w:val="22"/>
              </w:rPr>
            </w:pPr>
            <w:r w:rsidRPr="0019790A">
              <w:rPr>
                <w:rFonts w:cs="Arial"/>
                <w:color w:val="000000"/>
                <w:szCs w:val="22"/>
              </w:rPr>
              <w:t>- інші джерела фінансування</w:t>
            </w:r>
          </w:p>
        </w:tc>
        <w:tc>
          <w:tcPr>
            <w:tcW w:w="6794" w:type="dxa"/>
            <w:gridSpan w:val="7"/>
            <w:vAlign w:val="center"/>
          </w:tcPr>
          <w:p w14:paraId="33FE2D0A" w14:textId="77777777" w:rsidR="002373CF" w:rsidRPr="0019790A" w:rsidRDefault="002373CF" w:rsidP="0019790A">
            <w:pPr>
              <w:jc w:val="both"/>
              <w:rPr>
                <w:rFonts w:cs="Arial"/>
                <w:color w:val="000000"/>
                <w:szCs w:val="22"/>
                <w:lang w:eastAsia="it-IT"/>
              </w:rPr>
            </w:pPr>
          </w:p>
        </w:tc>
      </w:tr>
      <w:tr w:rsidR="002373CF" w:rsidRPr="0019790A" w14:paraId="637C61EA" w14:textId="77777777" w:rsidTr="00787C61">
        <w:trPr>
          <w:jc w:val="right"/>
        </w:trPr>
        <w:tc>
          <w:tcPr>
            <w:tcW w:w="3425" w:type="dxa"/>
            <w:shd w:val="clear" w:color="auto" w:fill="FFFFFF"/>
            <w:vAlign w:val="center"/>
          </w:tcPr>
          <w:p w14:paraId="19E60535" w14:textId="77777777" w:rsidR="002373CF" w:rsidRPr="0019790A" w:rsidRDefault="002373CF" w:rsidP="0019790A">
            <w:pPr>
              <w:rPr>
                <w:rFonts w:cs="Arial"/>
                <w:b/>
                <w:bCs/>
                <w:color w:val="000000"/>
                <w:szCs w:val="22"/>
              </w:rPr>
            </w:pPr>
            <w:r w:rsidRPr="0019790A">
              <w:rPr>
                <w:rFonts w:cs="Arial"/>
                <w:b/>
                <w:color w:val="000000"/>
                <w:szCs w:val="22"/>
              </w:rPr>
              <w:t>Відповідальний виконавець проєкту</w:t>
            </w:r>
          </w:p>
        </w:tc>
        <w:tc>
          <w:tcPr>
            <w:tcW w:w="6794" w:type="dxa"/>
            <w:gridSpan w:val="7"/>
            <w:vAlign w:val="center"/>
          </w:tcPr>
          <w:p w14:paraId="28627056" w14:textId="77777777" w:rsidR="002373CF" w:rsidRPr="0019790A" w:rsidRDefault="002373CF" w:rsidP="0019790A">
            <w:pPr>
              <w:jc w:val="both"/>
              <w:rPr>
                <w:rFonts w:cs="Arial"/>
                <w:color w:val="000000"/>
                <w:szCs w:val="22"/>
                <w:lang w:eastAsia="it-IT"/>
              </w:rPr>
            </w:pPr>
            <w:r w:rsidRPr="0019790A">
              <w:rPr>
                <w:rFonts w:cs="Arial"/>
                <w:szCs w:val="22"/>
              </w:rPr>
              <w:t>Жмеринський районний відділ поліції ГУНП у Вінницькій області, Жмеринський міжрайонний відділ УСБУ у Вінницькій області, Головне управління Національної поліції у Вінницькій області, Виконавчий комітет Жмеринської міської ради</w:t>
            </w:r>
          </w:p>
        </w:tc>
      </w:tr>
      <w:tr w:rsidR="002373CF" w:rsidRPr="0019790A" w14:paraId="324F75F0" w14:textId="77777777" w:rsidTr="00787C61">
        <w:trPr>
          <w:jc w:val="right"/>
        </w:trPr>
        <w:tc>
          <w:tcPr>
            <w:tcW w:w="3425" w:type="dxa"/>
            <w:shd w:val="clear" w:color="auto" w:fill="FFFFFF"/>
            <w:vAlign w:val="center"/>
          </w:tcPr>
          <w:p w14:paraId="35C54392" w14:textId="77777777" w:rsidR="002373CF" w:rsidRPr="0019790A" w:rsidRDefault="002373CF" w:rsidP="0019790A">
            <w:pPr>
              <w:rPr>
                <w:rFonts w:cs="Arial"/>
                <w:b/>
                <w:bCs/>
                <w:color w:val="000000"/>
                <w:szCs w:val="22"/>
              </w:rPr>
            </w:pPr>
            <w:r w:rsidRPr="0019790A">
              <w:rPr>
                <w:rFonts w:cs="Arial"/>
                <w:b/>
                <w:bCs/>
                <w:color w:val="000000"/>
                <w:szCs w:val="22"/>
              </w:rPr>
              <w:t>Інше:</w:t>
            </w:r>
          </w:p>
        </w:tc>
        <w:tc>
          <w:tcPr>
            <w:tcW w:w="6794" w:type="dxa"/>
            <w:gridSpan w:val="7"/>
            <w:vAlign w:val="center"/>
          </w:tcPr>
          <w:p w14:paraId="6BBE11A7" w14:textId="77777777" w:rsidR="002373CF" w:rsidRPr="0019790A" w:rsidRDefault="002373CF" w:rsidP="0019790A">
            <w:pPr>
              <w:rPr>
                <w:rFonts w:cs="Arial"/>
                <w:color w:val="000000"/>
                <w:szCs w:val="22"/>
                <w:lang w:eastAsia="it-IT"/>
              </w:rPr>
            </w:pPr>
          </w:p>
          <w:p w14:paraId="75B816CC" w14:textId="77777777" w:rsidR="002373CF" w:rsidRPr="0019790A" w:rsidRDefault="002373CF" w:rsidP="0019790A">
            <w:pPr>
              <w:rPr>
                <w:rFonts w:cs="Arial"/>
                <w:color w:val="000000"/>
                <w:szCs w:val="22"/>
                <w:lang w:eastAsia="it-IT"/>
              </w:rPr>
            </w:pPr>
          </w:p>
        </w:tc>
      </w:tr>
    </w:tbl>
    <w:p w14:paraId="7A12DC31" w14:textId="77777777" w:rsidR="002373CF" w:rsidRPr="0019790A" w:rsidRDefault="002373CF" w:rsidP="0019790A">
      <w:pPr>
        <w:jc w:val="center"/>
        <w:rPr>
          <w:rFonts w:cs="Arial"/>
          <w:b/>
          <w:color w:val="000000"/>
          <w:szCs w:val="22"/>
        </w:rPr>
      </w:pPr>
    </w:p>
    <w:p w14:paraId="40964548" w14:textId="77777777" w:rsidR="002373CF" w:rsidRPr="0019790A" w:rsidRDefault="002373CF" w:rsidP="0019790A">
      <w:pPr>
        <w:jc w:val="center"/>
        <w:rPr>
          <w:rFonts w:cs="Arial"/>
          <w:b/>
          <w:color w:val="000000"/>
          <w:szCs w:val="22"/>
        </w:rPr>
      </w:pPr>
    </w:p>
    <w:p w14:paraId="48A670C1" w14:textId="77777777" w:rsidR="002373CF" w:rsidRPr="0019790A" w:rsidRDefault="002373CF" w:rsidP="0019790A">
      <w:pPr>
        <w:jc w:val="center"/>
        <w:rPr>
          <w:rFonts w:cs="Arial"/>
          <w:b/>
          <w:color w:val="000000"/>
          <w:szCs w:val="22"/>
        </w:rPr>
      </w:pPr>
      <w:r w:rsidRPr="0019790A">
        <w:rPr>
          <w:rFonts w:cs="Arial"/>
          <w:b/>
          <w:color w:val="000000"/>
          <w:szCs w:val="22"/>
        </w:rPr>
        <w:t xml:space="preserve">Форма технічного завдання на проєкт місцевого розвитку </w:t>
      </w:r>
    </w:p>
    <w:p w14:paraId="34408A7C" w14:textId="77777777" w:rsidR="002373CF" w:rsidRPr="0019790A" w:rsidRDefault="002373CF" w:rsidP="0019790A">
      <w:pPr>
        <w:jc w:val="center"/>
        <w:rPr>
          <w:rFonts w:cs="Arial"/>
          <w:b/>
          <w:color w:val="000000"/>
          <w:szCs w:val="22"/>
        </w:rPr>
      </w:pPr>
      <w:r w:rsidRPr="0019790A">
        <w:rPr>
          <w:rFonts w:cs="Arial"/>
          <w:b/>
          <w:color w:val="000000"/>
          <w:szCs w:val="22"/>
        </w:rPr>
        <w:t>до Плану заходів з реалізації Стратегії</w:t>
      </w:r>
    </w:p>
    <w:p w14:paraId="2B0D7FE1" w14:textId="77777777" w:rsidR="002373CF" w:rsidRPr="0019790A" w:rsidRDefault="002373CF"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27"/>
        <w:gridCol w:w="27"/>
        <w:gridCol w:w="1275"/>
        <w:gridCol w:w="50"/>
        <w:gridCol w:w="1368"/>
        <w:gridCol w:w="59"/>
        <w:gridCol w:w="1211"/>
        <w:gridCol w:w="6"/>
        <w:gridCol w:w="1571"/>
      </w:tblGrid>
      <w:tr w:rsidR="002373CF" w:rsidRPr="0019790A" w14:paraId="69104A01" w14:textId="77777777" w:rsidTr="00787C61">
        <w:trPr>
          <w:jc w:val="right"/>
        </w:trPr>
        <w:tc>
          <w:tcPr>
            <w:tcW w:w="3425" w:type="dxa"/>
            <w:vAlign w:val="center"/>
          </w:tcPr>
          <w:p w14:paraId="3FEFA37E" w14:textId="77777777" w:rsidR="002373CF" w:rsidRPr="0019790A" w:rsidRDefault="002373CF" w:rsidP="0019790A">
            <w:pPr>
              <w:rPr>
                <w:rFonts w:cs="Arial"/>
                <w:b/>
                <w:bCs/>
                <w:color w:val="000000"/>
                <w:szCs w:val="22"/>
              </w:rPr>
            </w:pPr>
            <w:r w:rsidRPr="0019790A">
              <w:rPr>
                <w:rFonts w:cs="Arial"/>
                <w:b/>
                <w:bCs/>
                <w:color w:val="000000"/>
                <w:szCs w:val="22"/>
              </w:rPr>
              <w:t>Назва проєкту:</w:t>
            </w:r>
          </w:p>
        </w:tc>
        <w:tc>
          <w:tcPr>
            <w:tcW w:w="6794" w:type="dxa"/>
            <w:gridSpan w:val="9"/>
          </w:tcPr>
          <w:p w14:paraId="676000EC" w14:textId="77777777" w:rsidR="002373CF" w:rsidRPr="00480C22" w:rsidRDefault="002373CF" w:rsidP="0019790A">
            <w:pPr>
              <w:ind w:right="84"/>
              <w:jc w:val="both"/>
              <w:rPr>
                <w:rFonts w:cs="Arial"/>
                <w:b/>
                <w:szCs w:val="22"/>
                <w:lang w:eastAsia="it-IT"/>
              </w:rPr>
            </w:pPr>
            <w:r w:rsidRPr="00480C22">
              <w:rPr>
                <w:rFonts w:cs="Arial"/>
                <w:b/>
                <w:szCs w:val="22"/>
                <w:lang w:eastAsia="it-IT"/>
              </w:rPr>
              <w:t xml:space="preserve">«Безпечні громади» (обласний конкурс), підтримка сил безпеки й оборони України Жмеринською міською територіальною громадою </w:t>
            </w:r>
          </w:p>
        </w:tc>
      </w:tr>
      <w:tr w:rsidR="002373CF" w:rsidRPr="0019790A" w14:paraId="4F5CC77B" w14:textId="77777777" w:rsidTr="00787C61">
        <w:trPr>
          <w:jc w:val="right"/>
        </w:trPr>
        <w:tc>
          <w:tcPr>
            <w:tcW w:w="3425" w:type="dxa"/>
          </w:tcPr>
          <w:p w14:paraId="30F3F443" w14:textId="77777777" w:rsidR="002373CF" w:rsidRPr="0019790A" w:rsidRDefault="002373CF"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19EE7766" w14:textId="77777777" w:rsidR="002373CF" w:rsidRPr="0019790A" w:rsidRDefault="002373CF"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9"/>
          </w:tcPr>
          <w:p w14:paraId="6C673B59" w14:textId="77777777" w:rsidR="002373CF" w:rsidRPr="0019790A" w:rsidRDefault="002373CF" w:rsidP="0019790A">
            <w:pPr>
              <w:ind w:right="84"/>
              <w:jc w:val="both"/>
              <w:rPr>
                <w:rFonts w:cs="Arial"/>
                <w:szCs w:val="22"/>
                <w:lang w:eastAsia="it-IT"/>
              </w:rPr>
            </w:pPr>
            <w:r w:rsidRPr="0019790A">
              <w:rPr>
                <w:rFonts w:cs="Arial"/>
                <w:szCs w:val="22"/>
              </w:rPr>
              <w:t>Відділ з питань цивільного захисту, оборонно-мобілізаційної роботи та взаємодії з правоохоронними органами виконавчого комітету Жмеринської міської ради</w:t>
            </w:r>
          </w:p>
        </w:tc>
      </w:tr>
      <w:tr w:rsidR="002373CF" w:rsidRPr="0019790A" w14:paraId="5D41AE70" w14:textId="77777777" w:rsidTr="00787C61">
        <w:trPr>
          <w:jc w:val="right"/>
        </w:trPr>
        <w:tc>
          <w:tcPr>
            <w:tcW w:w="3425" w:type="dxa"/>
          </w:tcPr>
          <w:p w14:paraId="355DA728" w14:textId="77777777" w:rsidR="002373CF" w:rsidRPr="0019790A" w:rsidRDefault="002373CF" w:rsidP="0019790A">
            <w:pPr>
              <w:rPr>
                <w:rFonts w:cs="Arial"/>
                <w:b/>
                <w:bCs/>
                <w:szCs w:val="22"/>
              </w:rPr>
            </w:pPr>
            <w:r w:rsidRPr="0019790A">
              <w:rPr>
                <w:rFonts w:cs="Arial"/>
                <w:szCs w:val="22"/>
                <w:lang w:eastAsia="it-IT"/>
              </w:rPr>
              <w:t>Прізвище Ім’я По-батькові:</w:t>
            </w:r>
          </w:p>
        </w:tc>
        <w:tc>
          <w:tcPr>
            <w:tcW w:w="6794" w:type="dxa"/>
            <w:gridSpan w:val="9"/>
          </w:tcPr>
          <w:p w14:paraId="64E26B77" w14:textId="77777777" w:rsidR="002373CF" w:rsidRPr="0019790A" w:rsidRDefault="002373CF" w:rsidP="0019790A">
            <w:pPr>
              <w:rPr>
                <w:rFonts w:cs="Arial"/>
                <w:szCs w:val="22"/>
                <w:lang w:eastAsia="it-IT"/>
              </w:rPr>
            </w:pPr>
            <w:r w:rsidRPr="0019790A">
              <w:rPr>
                <w:rFonts w:cs="Arial"/>
                <w:szCs w:val="22"/>
                <w:lang w:eastAsia="it-IT"/>
              </w:rPr>
              <w:t>Захарчук Микола Володимирович</w:t>
            </w:r>
          </w:p>
        </w:tc>
      </w:tr>
      <w:tr w:rsidR="002373CF" w:rsidRPr="0019790A" w14:paraId="6110698C" w14:textId="77777777" w:rsidTr="00787C61">
        <w:trPr>
          <w:jc w:val="right"/>
        </w:trPr>
        <w:tc>
          <w:tcPr>
            <w:tcW w:w="3425" w:type="dxa"/>
          </w:tcPr>
          <w:p w14:paraId="3BCDE258" w14:textId="77777777" w:rsidR="002373CF" w:rsidRPr="0019790A" w:rsidRDefault="002373CF" w:rsidP="0019790A">
            <w:pPr>
              <w:rPr>
                <w:rFonts w:cs="Arial"/>
                <w:b/>
                <w:bCs/>
                <w:szCs w:val="22"/>
              </w:rPr>
            </w:pPr>
            <w:r w:rsidRPr="0019790A">
              <w:rPr>
                <w:rFonts w:cs="Arial"/>
                <w:szCs w:val="22"/>
                <w:lang w:eastAsia="it-IT"/>
              </w:rPr>
              <w:t>Телефон (мобільний):</w:t>
            </w:r>
          </w:p>
        </w:tc>
        <w:tc>
          <w:tcPr>
            <w:tcW w:w="6794" w:type="dxa"/>
            <w:gridSpan w:val="9"/>
          </w:tcPr>
          <w:p w14:paraId="647113C5" w14:textId="77777777" w:rsidR="002373CF" w:rsidRPr="0019790A" w:rsidRDefault="002373CF" w:rsidP="0019790A">
            <w:pPr>
              <w:rPr>
                <w:rFonts w:cs="Arial"/>
                <w:szCs w:val="22"/>
                <w:lang w:eastAsia="it-IT"/>
              </w:rPr>
            </w:pPr>
            <w:r w:rsidRPr="0019790A">
              <w:rPr>
                <w:rFonts w:cs="Arial"/>
                <w:szCs w:val="22"/>
                <w:lang w:eastAsia="it-IT"/>
              </w:rPr>
              <w:t>+380675735478</w:t>
            </w:r>
          </w:p>
        </w:tc>
      </w:tr>
      <w:tr w:rsidR="002373CF" w:rsidRPr="0019790A" w14:paraId="6506CABA" w14:textId="77777777" w:rsidTr="00787C61">
        <w:trPr>
          <w:jc w:val="right"/>
        </w:trPr>
        <w:tc>
          <w:tcPr>
            <w:tcW w:w="3425" w:type="dxa"/>
          </w:tcPr>
          <w:p w14:paraId="4DADF8CC" w14:textId="77777777" w:rsidR="002373CF" w:rsidRPr="0019790A" w:rsidRDefault="002373CF" w:rsidP="0019790A">
            <w:pPr>
              <w:rPr>
                <w:rFonts w:cs="Arial"/>
                <w:b/>
                <w:bCs/>
                <w:szCs w:val="22"/>
              </w:rPr>
            </w:pPr>
            <w:r w:rsidRPr="0019790A">
              <w:rPr>
                <w:rFonts w:cs="Arial"/>
                <w:szCs w:val="22"/>
                <w:lang w:eastAsia="it-IT"/>
              </w:rPr>
              <w:t>Електронна адреса:</w:t>
            </w:r>
          </w:p>
        </w:tc>
        <w:tc>
          <w:tcPr>
            <w:tcW w:w="6794" w:type="dxa"/>
            <w:gridSpan w:val="9"/>
          </w:tcPr>
          <w:p w14:paraId="262E9B41" w14:textId="0FCF9DEB" w:rsidR="002373CF" w:rsidRPr="0019790A" w:rsidRDefault="00D85FFD" w:rsidP="0019790A">
            <w:pPr>
              <w:rPr>
                <w:rFonts w:cs="Arial"/>
                <w:szCs w:val="22"/>
                <w:lang w:eastAsia="it-IT"/>
              </w:rPr>
            </w:pPr>
            <w:hyperlink r:id="rId98" w:history="1">
              <w:r w:rsidR="00480C22" w:rsidRPr="00BF0394">
                <w:rPr>
                  <w:rStyle w:val="af0"/>
                  <w:rFonts w:cs="Arial"/>
                  <w:noProof w:val="0"/>
                  <w:sz w:val="22"/>
                  <w:szCs w:val="22"/>
                  <w:lang w:eastAsia="it-IT"/>
                </w:rPr>
                <w:t>mvk@zhmr.gov.ua</w:t>
              </w:r>
            </w:hyperlink>
            <w:r w:rsidR="00480C22">
              <w:rPr>
                <w:rFonts w:cs="Arial"/>
                <w:szCs w:val="22"/>
                <w:lang w:eastAsia="it-IT"/>
              </w:rPr>
              <w:t xml:space="preserve"> </w:t>
            </w:r>
          </w:p>
        </w:tc>
      </w:tr>
      <w:tr w:rsidR="002373CF" w:rsidRPr="0019790A" w14:paraId="6907CB03" w14:textId="77777777" w:rsidTr="00787C61">
        <w:trPr>
          <w:jc w:val="right"/>
        </w:trPr>
        <w:tc>
          <w:tcPr>
            <w:tcW w:w="3425" w:type="dxa"/>
            <w:vAlign w:val="center"/>
          </w:tcPr>
          <w:p w14:paraId="509C31AA" w14:textId="77777777" w:rsidR="002373CF" w:rsidRPr="0019790A" w:rsidRDefault="002373CF" w:rsidP="0019790A">
            <w:pPr>
              <w:pStyle w:val="6"/>
              <w:spacing w:before="0" w:after="0"/>
              <w:rPr>
                <w:rFonts w:ascii="Arial" w:hAnsi="Arial" w:cs="Arial"/>
                <w:color w:val="000000"/>
                <w:lang w:val="uk-UA"/>
              </w:rPr>
            </w:pPr>
            <w:r w:rsidRPr="0019790A">
              <w:rPr>
                <w:rFonts w:ascii="Arial" w:hAnsi="Arial" w:cs="Arial"/>
                <w:color w:val="000000"/>
                <w:lang w:val="uk-UA"/>
              </w:rPr>
              <w:t>Номер і назва завдання з Стратегії</w:t>
            </w:r>
            <w:r w:rsidRPr="0019790A">
              <w:rPr>
                <w:rFonts w:ascii="Arial" w:hAnsi="Arial" w:cs="Arial"/>
                <w:lang w:val="uk-UA" w:eastAsia="it-IT"/>
              </w:rPr>
              <w:t xml:space="preserve"> </w:t>
            </w:r>
            <w:r w:rsidRPr="0019790A">
              <w:rPr>
                <w:rFonts w:ascii="Arial" w:hAnsi="Arial" w:cs="Arial"/>
                <w:color w:val="000000"/>
                <w:lang w:val="uk-UA"/>
              </w:rPr>
              <w:t>розвитку Жмеринської міської територіальної громади,  якому відповідає проєкт:</w:t>
            </w:r>
          </w:p>
        </w:tc>
        <w:tc>
          <w:tcPr>
            <w:tcW w:w="6794" w:type="dxa"/>
            <w:gridSpan w:val="9"/>
          </w:tcPr>
          <w:p w14:paraId="132A1669" w14:textId="77777777" w:rsidR="002373CF" w:rsidRPr="0019790A" w:rsidRDefault="002373CF" w:rsidP="0019790A">
            <w:pPr>
              <w:jc w:val="both"/>
              <w:rPr>
                <w:rFonts w:cs="Arial"/>
                <w:szCs w:val="22"/>
                <w:lang w:eastAsia="it-IT"/>
              </w:rPr>
            </w:pPr>
            <w:r w:rsidRPr="0019790A">
              <w:rPr>
                <w:rFonts w:cs="Arial"/>
                <w:szCs w:val="22"/>
                <w:lang w:eastAsia="it-IT"/>
              </w:rPr>
              <w:t>В. 4. Ефективна система безпеки громади.</w:t>
            </w:r>
          </w:p>
          <w:p w14:paraId="50AA70D7" w14:textId="77777777" w:rsidR="002373CF" w:rsidRPr="0019790A" w:rsidRDefault="002373CF" w:rsidP="0019790A">
            <w:pPr>
              <w:pBdr>
                <w:left w:val="single" w:sz="18" w:space="4" w:color="auto"/>
              </w:pBdr>
              <w:rPr>
                <w:rFonts w:cs="Arial"/>
                <w:b/>
                <w:bCs/>
                <w:i/>
                <w:szCs w:val="22"/>
                <w:lang w:eastAsia="it-IT"/>
              </w:rPr>
            </w:pPr>
          </w:p>
          <w:p w14:paraId="35B7D8E0" w14:textId="77777777" w:rsidR="002373CF" w:rsidRPr="0019790A" w:rsidRDefault="002373CF" w:rsidP="0019790A">
            <w:pPr>
              <w:pBdr>
                <w:left w:val="single" w:sz="18" w:space="4" w:color="auto"/>
              </w:pBdr>
              <w:rPr>
                <w:rFonts w:cs="Arial"/>
                <w:szCs w:val="22"/>
                <w:lang w:eastAsia="it-IT"/>
              </w:rPr>
            </w:pPr>
          </w:p>
        </w:tc>
      </w:tr>
      <w:tr w:rsidR="002373CF" w:rsidRPr="0019790A" w14:paraId="59A5F328" w14:textId="77777777" w:rsidTr="00787C61">
        <w:trPr>
          <w:jc w:val="right"/>
        </w:trPr>
        <w:tc>
          <w:tcPr>
            <w:tcW w:w="3425" w:type="dxa"/>
            <w:vAlign w:val="center"/>
          </w:tcPr>
          <w:p w14:paraId="6B04106C" w14:textId="77777777" w:rsidR="002373CF" w:rsidRPr="0019790A" w:rsidRDefault="002373CF" w:rsidP="0019790A">
            <w:pPr>
              <w:rPr>
                <w:rFonts w:cs="Arial"/>
                <w:b/>
                <w:bCs/>
                <w:color w:val="000000"/>
                <w:szCs w:val="22"/>
              </w:rPr>
            </w:pPr>
            <w:r w:rsidRPr="0019790A">
              <w:rPr>
                <w:rFonts w:cs="Arial"/>
                <w:b/>
                <w:bCs/>
                <w:color w:val="000000"/>
                <w:szCs w:val="22"/>
              </w:rPr>
              <w:t>Мета проєкту:</w:t>
            </w:r>
          </w:p>
        </w:tc>
        <w:tc>
          <w:tcPr>
            <w:tcW w:w="6794" w:type="dxa"/>
            <w:gridSpan w:val="9"/>
          </w:tcPr>
          <w:p w14:paraId="15F6F360" w14:textId="77777777" w:rsidR="002373CF" w:rsidRPr="0019790A" w:rsidRDefault="002373CF" w:rsidP="0019790A">
            <w:pPr>
              <w:rPr>
                <w:rFonts w:cs="Arial"/>
                <w:szCs w:val="22"/>
                <w:lang w:eastAsia="it-IT"/>
              </w:rPr>
            </w:pPr>
            <w:r w:rsidRPr="0019790A">
              <w:rPr>
                <w:rFonts w:cs="Arial"/>
                <w:szCs w:val="22"/>
                <w:lang w:eastAsia="it-IT"/>
              </w:rPr>
              <w:t xml:space="preserve">Підтримка  підрозділів безпеки й оборони України </w:t>
            </w:r>
            <w:r w:rsidRPr="0019790A">
              <w:rPr>
                <w:rFonts w:cs="Arial"/>
                <w:szCs w:val="22"/>
              </w:rPr>
              <w:t>матеріально-технічними засобами.</w:t>
            </w:r>
          </w:p>
          <w:p w14:paraId="3DE37255" w14:textId="77777777" w:rsidR="002373CF" w:rsidRPr="0019790A" w:rsidRDefault="002373CF" w:rsidP="0019790A">
            <w:pPr>
              <w:rPr>
                <w:rFonts w:cs="Arial"/>
                <w:szCs w:val="22"/>
                <w:lang w:eastAsia="it-IT"/>
              </w:rPr>
            </w:pPr>
          </w:p>
        </w:tc>
      </w:tr>
      <w:tr w:rsidR="002373CF" w:rsidRPr="0019790A" w14:paraId="29AE4A7F" w14:textId="77777777" w:rsidTr="00787C61">
        <w:trPr>
          <w:jc w:val="right"/>
        </w:trPr>
        <w:tc>
          <w:tcPr>
            <w:tcW w:w="3425" w:type="dxa"/>
            <w:vAlign w:val="center"/>
          </w:tcPr>
          <w:p w14:paraId="4E6E1BEC" w14:textId="77777777" w:rsidR="002373CF" w:rsidRPr="0019790A" w:rsidRDefault="002373CF" w:rsidP="0019790A">
            <w:pPr>
              <w:rPr>
                <w:rFonts w:cs="Arial"/>
                <w:b/>
                <w:bCs/>
                <w:color w:val="000000"/>
                <w:szCs w:val="22"/>
              </w:rPr>
            </w:pPr>
            <w:r w:rsidRPr="0019790A">
              <w:rPr>
                <w:rFonts w:cs="Arial"/>
                <w:b/>
                <w:bCs/>
                <w:color w:val="000000"/>
                <w:szCs w:val="22"/>
              </w:rPr>
              <w:t>Цілі проєкту:</w:t>
            </w:r>
          </w:p>
        </w:tc>
        <w:tc>
          <w:tcPr>
            <w:tcW w:w="6794" w:type="dxa"/>
            <w:gridSpan w:val="9"/>
          </w:tcPr>
          <w:p w14:paraId="71321721" w14:textId="77777777" w:rsidR="002373CF" w:rsidRPr="0019790A" w:rsidRDefault="002373CF" w:rsidP="0019790A">
            <w:pPr>
              <w:rPr>
                <w:rFonts w:cs="Arial"/>
                <w:szCs w:val="22"/>
                <w:lang w:eastAsia="it-IT"/>
              </w:rPr>
            </w:pPr>
            <w:r w:rsidRPr="0019790A">
              <w:rPr>
                <w:rFonts w:cs="Arial"/>
                <w:szCs w:val="22"/>
                <w:lang w:eastAsia="it-IT"/>
              </w:rPr>
              <w:t xml:space="preserve">Покращення забезпечення  підрозділів безпеки й оборони України </w:t>
            </w:r>
            <w:r w:rsidRPr="0019790A">
              <w:rPr>
                <w:rFonts w:cs="Arial"/>
                <w:szCs w:val="22"/>
              </w:rPr>
              <w:t>матеріально-технічними засобами.</w:t>
            </w:r>
          </w:p>
        </w:tc>
      </w:tr>
      <w:tr w:rsidR="002373CF" w:rsidRPr="0019790A" w14:paraId="35D12826" w14:textId="77777777" w:rsidTr="00787C61">
        <w:trPr>
          <w:jc w:val="right"/>
        </w:trPr>
        <w:tc>
          <w:tcPr>
            <w:tcW w:w="3425" w:type="dxa"/>
            <w:vAlign w:val="center"/>
          </w:tcPr>
          <w:p w14:paraId="1E6CA735" w14:textId="77777777" w:rsidR="002373CF" w:rsidRPr="0019790A" w:rsidRDefault="002373CF" w:rsidP="0019790A">
            <w:pPr>
              <w:autoSpaceDE w:val="0"/>
              <w:autoSpaceDN w:val="0"/>
              <w:adjustRightInd w:val="0"/>
              <w:rPr>
                <w:rFonts w:cs="Arial"/>
                <w:b/>
                <w:color w:val="000000"/>
                <w:szCs w:val="22"/>
              </w:rPr>
            </w:pPr>
            <w:r w:rsidRPr="0019790A">
              <w:rPr>
                <w:rFonts w:cs="Arial"/>
                <w:b/>
                <w:color w:val="000000"/>
                <w:szCs w:val="22"/>
              </w:rPr>
              <w:t>Територія на яку проєкт матиме вплив:</w:t>
            </w:r>
          </w:p>
        </w:tc>
        <w:tc>
          <w:tcPr>
            <w:tcW w:w="6794" w:type="dxa"/>
            <w:gridSpan w:val="9"/>
          </w:tcPr>
          <w:p w14:paraId="49575127" w14:textId="77777777" w:rsidR="002373CF" w:rsidRPr="0019790A" w:rsidRDefault="002373CF" w:rsidP="0019790A">
            <w:pPr>
              <w:rPr>
                <w:rFonts w:cs="Arial"/>
                <w:szCs w:val="22"/>
                <w:lang w:eastAsia="it-IT"/>
              </w:rPr>
            </w:pPr>
            <w:r w:rsidRPr="0019790A">
              <w:rPr>
                <w:rFonts w:cs="Arial"/>
                <w:szCs w:val="22"/>
                <w:lang w:eastAsia="it-IT"/>
              </w:rPr>
              <w:t>Територія Вінницької області та України</w:t>
            </w:r>
          </w:p>
        </w:tc>
      </w:tr>
      <w:tr w:rsidR="002373CF" w:rsidRPr="0019790A" w14:paraId="58D30484" w14:textId="77777777" w:rsidTr="00787C61">
        <w:trPr>
          <w:jc w:val="right"/>
        </w:trPr>
        <w:tc>
          <w:tcPr>
            <w:tcW w:w="3425" w:type="dxa"/>
            <w:vAlign w:val="center"/>
          </w:tcPr>
          <w:p w14:paraId="33FE119F" w14:textId="77777777" w:rsidR="002373CF" w:rsidRPr="0019790A" w:rsidRDefault="002373CF" w:rsidP="0019790A">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4" w:type="dxa"/>
            <w:gridSpan w:val="9"/>
          </w:tcPr>
          <w:p w14:paraId="34F6D61B" w14:textId="77777777" w:rsidR="002373CF" w:rsidRPr="0019790A" w:rsidRDefault="002373CF" w:rsidP="0019790A">
            <w:pPr>
              <w:rPr>
                <w:rFonts w:cs="Arial"/>
                <w:szCs w:val="22"/>
                <w:lang w:eastAsia="it-IT"/>
              </w:rPr>
            </w:pPr>
            <w:r w:rsidRPr="0019790A">
              <w:rPr>
                <w:rFonts w:cs="Arial"/>
                <w:szCs w:val="22"/>
                <w:lang w:eastAsia="it-IT"/>
              </w:rPr>
              <w:t>Підрозділи безпеки й оборони України</w:t>
            </w:r>
            <w:r w:rsidRPr="0019790A">
              <w:rPr>
                <w:rFonts w:cs="Arial"/>
                <w:szCs w:val="22"/>
              </w:rPr>
              <w:t>.</w:t>
            </w:r>
          </w:p>
          <w:p w14:paraId="7C809F60" w14:textId="77777777" w:rsidR="002373CF" w:rsidRPr="0019790A" w:rsidRDefault="002373CF" w:rsidP="0019790A">
            <w:pPr>
              <w:rPr>
                <w:rFonts w:cs="Arial"/>
                <w:szCs w:val="22"/>
                <w:lang w:eastAsia="it-IT"/>
              </w:rPr>
            </w:pPr>
          </w:p>
          <w:p w14:paraId="6D6F1058" w14:textId="77777777" w:rsidR="002373CF" w:rsidRPr="0019790A" w:rsidRDefault="002373CF" w:rsidP="0019790A">
            <w:pPr>
              <w:rPr>
                <w:rFonts w:cs="Arial"/>
                <w:szCs w:val="22"/>
                <w:lang w:eastAsia="it-IT"/>
              </w:rPr>
            </w:pPr>
          </w:p>
        </w:tc>
      </w:tr>
      <w:tr w:rsidR="002373CF" w:rsidRPr="0019790A" w14:paraId="44876DAE" w14:textId="77777777" w:rsidTr="00787C61">
        <w:trPr>
          <w:jc w:val="right"/>
        </w:trPr>
        <w:tc>
          <w:tcPr>
            <w:tcW w:w="3425" w:type="dxa"/>
            <w:shd w:val="clear" w:color="auto" w:fill="FFFFFF"/>
            <w:vAlign w:val="center"/>
          </w:tcPr>
          <w:p w14:paraId="3261223B" w14:textId="77777777" w:rsidR="002373CF" w:rsidRPr="0019790A" w:rsidRDefault="002373CF" w:rsidP="0019790A">
            <w:pPr>
              <w:rPr>
                <w:rFonts w:cs="Arial"/>
                <w:b/>
                <w:bCs/>
                <w:color w:val="000000"/>
                <w:szCs w:val="22"/>
              </w:rPr>
            </w:pPr>
            <w:r w:rsidRPr="0019790A">
              <w:rPr>
                <w:rFonts w:cs="Arial"/>
                <w:b/>
                <w:bCs/>
                <w:color w:val="000000"/>
                <w:szCs w:val="22"/>
              </w:rPr>
              <w:t>Стислий опис проєкту:</w:t>
            </w:r>
          </w:p>
        </w:tc>
        <w:tc>
          <w:tcPr>
            <w:tcW w:w="6794" w:type="dxa"/>
            <w:gridSpan w:val="9"/>
          </w:tcPr>
          <w:p w14:paraId="48E64239" w14:textId="69037805" w:rsidR="002373CF" w:rsidRPr="0019790A" w:rsidRDefault="002373CF" w:rsidP="00480C22">
            <w:pPr>
              <w:rPr>
                <w:rFonts w:cs="Arial"/>
                <w:szCs w:val="22"/>
                <w:lang w:eastAsia="it-IT"/>
              </w:rPr>
            </w:pPr>
            <w:r w:rsidRPr="0019790A">
              <w:rPr>
                <w:rFonts w:cs="Arial"/>
                <w:szCs w:val="22"/>
                <w:lang w:eastAsia="it-IT"/>
              </w:rPr>
              <w:t>Закупівля військового обладнання   підрозділам безпеки й оборони України</w:t>
            </w:r>
            <w:r w:rsidRPr="0019790A">
              <w:rPr>
                <w:rFonts w:cs="Arial"/>
                <w:szCs w:val="22"/>
              </w:rPr>
              <w:t>.</w:t>
            </w:r>
          </w:p>
        </w:tc>
      </w:tr>
      <w:tr w:rsidR="002373CF" w:rsidRPr="0019790A" w14:paraId="27F617B8" w14:textId="77777777" w:rsidTr="00787C61">
        <w:trPr>
          <w:jc w:val="right"/>
        </w:trPr>
        <w:tc>
          <w:tcPr>
            <w:tcW w:w="3425" w:type="dxa"/>
            <w:shd w:val="clear" w:color="auto" w:fill="FFFFFF"/>
            <w:vAlign w:val="center"/>
          </w:tcPr>
          <w:p w14:paraId="1A879869" w14:textId="77777777" w:rsidR="002373CF" w:rsidRPr="0019790A" w:rsidRDefault="002373CF" w:rsidP="0019790A">
            <w:pPr>
              <w:rPr>
                <w:rFonts w:cs="Arial"/>
                <w:b/>
                <w:bCs/>
                <w:color w:val="000000"/>
                <w:szCs w:val="22"/>
              </w:rPr>
            </w:pPr>
            <w:r w:rsidRPr="0019790A">
              <w:rPr>
                <w:rFonts w:cs="Arial"/>
                <w:b/>
                <w:bCs/>
                <w:color w:val="000000"/>
                <w:szCs w:val="22"/>
              </w:rPr>
              <w:t>Основні заходи проєкту:</w:t>
            </w:r>
          </w:p>
        </w:tc>
        <w:tc>
          <w:tcPr>
            <w:tcW w:w="6794" w:type="dxa"/>
            <w:gridSpan w:val="9"/>
          </w:tcPr>
          <w:p w14:paraId="7C4CC387" w14:textId="0ABA597B" w:rsidR="002373CF" w:rsidRPr="0019790A" w:rsidRDefault="002373CF" w:rsidP="00480C22">
            <w:pPr>
              <w:rPr>
                <w:rFonts w:cs="Arial"/>
                <w:szCs w:val="22"/>
                <w:lang w:eastAsia="it-IT"/>
              </w:rPr>
            </w:pPr>
            <w:r w:rsidRPr="0019790A">
              <w:rPr>
                <w:rFonts w:cs="Arial"/>
                <w:szCs w:val="22"/>
                <w:lang w:eastAsia="it-IT"/>
              </w:rPr>
              <w:t>Закупівля військового обладнання   підрозділам безпеки й оборони України</w:t>
            </w:r>
            <w:r w:rsidRPr="0019790A">
              <w:rPr>
                <w:rFonts w:cs="Arial"/>
                <w:szCs w:val="22"/>
              </w:rPr>
              <w:t>.</w:t>
            </w:r>
          </w:p>
        </w:tc>
      </w:tr>
      <w:tr w:rsidR="002373CF" w:rsidRPr="0019790A" w14:paraId="4953CBBF" w14:textId="77777777" w:rsidTr="00787C61">
        <w:trPr>
          <w:jc w:val="right"/>
        </w:trPr>
        <w:tc>
          <w:tcPr>
            <w:tcW w:w="3425" w:type="dxa"/>
            <w:shd w:val="clear" w:color="auto" w:fill="FFFFFF"/>
            <w:vAlign w:val="center"/>
          </w:tcPr>
          <w:p w14:paraId="26F8A31F" w14:textId="77777777" w:rsidR="002373CF" w:rsidRPr="0019790A" w:rsidRDefault="002373CF"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794" w:type="dxa"/>
            <w:gridSpan w:val="9"/>
          </w:tcPr>
          <w:p w14:paraId="1C8C3180" w14:textId="0399A9A7" w:rsidR="002373CF" w:rsidRPr="0019790A" w:rsidRDefault="002373CF" w:rsidP="00480C22">
            <w:pPr>
              <w:rPr>
                <w:rFonts w:cs="Arial"/>
                <w:szCs w:val="22"/>
                <w:lang w:eastAsia="it-IT"/>
              </w:rPr>
            </w:pPr>
            <w:r w:rsidRPr="0019790A">
              <w:rPr>
                <w:rFonts w:cs="Arial"/>
                <w:szCs w:val="22"/>
                <w:lang w:eastAsia="it-IT"/>
              </w:rPr>
              <w:t>Зміцнення обороноздатності держави.</w:t>
            </w:r>
          </w:p>
        </w:tc>
      </w:tr>
      <w:tr w:rsidR="002373CF" w:rsidRPr="0019790A" w14:paraId="08094459" w14:textId="77777777" w:rsidTr="00787C61">
        <w:trPr>
          <w:jc w:val="right"/>
        </w:trPr>
        <w:tc>
          <w:tcPr>
            <w:tcW w:w="3425" w:type="dxa"/>
            <w:shd w:val="clear" w:color="auto" w:fill="FFFFFF"/>
            <w:vAlign w:val="center"/>
          </w:tcPr>
          <w:p w14:paraId="2EBC4CD5" w14:textId="77777777" w:rsidR="002373CF" w:rsidRPr="0019790A" w:rsidRDefault="002373CF" w:rsidP="0019790A">
            <w:pPr>
              <w:rPr>
                <w:rFonts w:cs="Arial"/>
                <w:b/>
                <w:color w:val="000000"/>
                <w:szCs w:val="22"/>
              </w:rPr>
            </w:pPr>
            <w:r w:rsidRPr="0019790A">
              <w:rPr>
                <w:rFonts w:cs="Arial"/>
                <w:b/>
                <w:color w:val="000000"/>
                <w:szCs w:val="22"/>
              </w:rPr>
              <w:t xml:space="preserve">Період здійснення: </w:t>
            </w:r>
          </w:p>
        </w:tc>
        <w:tc>
          <w:tcPr>
            <w:tcW w:w="6794" w:type="dxa"/>
            <w:gridSpan w:val="9"/>
            <w:vAlign w:val="center"/>
          </w:tcPr>
          <w:p w14:paraId="08DC572E" w14:textId="77777777" w:rsidR="002373CF" w:rsidRPr="0019790A" w:rsidRDefault="002373CF" w:rsidP="0019790A">
            <w:pPr>
              <w:jc w:val="center"/>
              <w:rPr>
                <w:rFonts w:cs="Arial"/>
                <w:color w:val="000000"/>
                <w:szCs w:val="22"/>
                <w:lang w:eastAsia="it-IT"/>
              </w:rPr>
            </w:pPr>
            <w:r w:rsidRPr="0019790A">
              <w:rPr>
                <w:rFonts w:cs="Arial"/>
                <w:b/>
                <w:color w:val="000000"/>
                <w:szCs w:val="22"/>
              </w:rPr>
              <w:t>2025 – 2028 роки:</w:t>
            </w:r>
          </w:p>
        </w:tc>
      </w:tr>
      <w:tr w:rsidR="002373CF" w:rsidRPr="0019790A" w14:paraId="4682DFBC" w14:textId="77777777" w:rsidTr="00787C61">
        <w:trPr>
          <w:jc w:val="right"/>
        </w:trPr>
        <w:tc>
          <w:tcPr>
            <w:tcW w:w="3425" w:type="dxa"/>
            <w:vMerge w:val="restart"/>
            <w:shd w:val="clear" w:color="auto" w:fill="FFFFFF"/>
            <w:vAlign w:val="center"/>
          </w:tcPr>
          <w:p w14:paraId="668FCC7E" w14:textId="77777777" w:rsidR="002373CF" w:rsidRPr="0019790A" w:rsidRDefault="002373CF" w:rsidP="0019790A">
            <w:pPr>
              <w:rPr>
                <w:rFonts w:cs="Arial"/>
                <w:b/>
                <w:bCs/>
                <w:color w:val="000000"/>
                <w:szCs w:val="22"/>
              </w:rPr>
            </w:pPr>
            <w:r w:rsidRPr="0019790A">
              <w:rPr>
                <w:rFonts w:cs="Arial"/>
                <w:b/>
                <w:bCs/>
                <w:color w:val="000000"/>
                <w:szCs w:val="22"/>
              </w:rPr>
              <w:t>Орієнтовна вартість проєкту, тис. грн., в тому числі:</w:t>
            </w:r>
          </w:p>
        </w:tc>
        <w:tc>
          <w:tcPr>
            <w:tcW w:w="1254" w:type="dxa"/>
            <w:gridSpan w:val="2"/>
            <w:shd w:val="clear" w:color="auto" w:fill="E6E6E6"/>
            <w:vAlign w:val="center"/>
          </w:tcPr>
          <w:p w14:paraId="35A4E686" w14:textId="77777777" w:rsidR="002373CF" w:rsidRPr="0019790A" w:rsidRDefault="002373CF" w:rsidP="0019790A">
            <w:pPr>
              <w:jc w:val="center"/>
              <w:rPr>
                <w:rFonts w:cs="Arial"/>
                <w:b/>
                <w:color w:val="000000"/>
                <w:szCs w:val="22"/>
                <w:lang w:eastAsia="it-IT"/>
              </w:rPr>
            </w:pPr>
            <w:r w:rsidRPr="0019790A">
              <w:rPr>
                <w:rFonts w:cs="Arial"/>
                <w:b/>
                <w:color w:val="000000"/>
                <w:szCs w:val="22"/>
                <w:lang w:eastAsia="it-IT"/>
              </w:rPr>
              <w:t>2025</w:t>
            </w:r>
          </w:p>
        </w:tc>
        <w:tc>
          <w:tcPr>
            <w:tcW w:w="1275" w:type="dxa"/>
            <w:shd w:val="clear" w:color="auto" w:fill="E6E6E6"/>
            <w:vAlign w:val="center"/>
          </w:tcPr>
          <w:p w14:paraId="122C79F9" w14:textId="77777777" w:rsidR="002373CF" w:rsidRPr="0019790A" w:rsidRDefault="002373CF" w:rsidP="0019790A">
            <w:pPr>
              <w:jc w:val="center"/>
              <w:rPr>
                <w:rFonts w:cs="Arial"/>
                <w:b/>
                <w:color w:val="000000"/>
                <w:szCs w:val="22"/>
                <w:lang w:eastAsia="it-IT"/>
              </w:rPr>
            </w:pPr>
            <w:r w:rsidRPr="0019790A">
              <w:rPr>
                <w:rFonts w:cs="Arial"/>
                <w:b/>
                <w:color w:val="000000"/>
                <w:szCs w:val="22"/>
                <w:lang w:eastAsia="it-IT"/>
              </w:rPr>
              <w:t>2026</w:t>
            </w:r>
          </w:p>
        </w:tc>
        <w:tc>
          <w:tcPr>
            <w:tcW w:w="1418" w:type="dxa"/>
            <w:gridSpan w:val="2"/>
            <w:tcBorders>
              <w:bottom w:val="single" w:sz="4" w:space="0" w:color="auto"/>
            </w:tcBorders>
            <w:shd w:val="clear" w:color="auto" w:fill="E6E6E6"/>
            <w:vAlign w:val="center"/>
          </w:tcPr>
          <w:p w14:paraId="4F501062" w14:textId="77777777" w:rsidR="002373CF" w:rsidRPr="0019790A" w:rsidRDefault="002373CF" w:rsidP="0019790A">
            <w:pPr>
              <w:jc w:val="center"/>
              <w:rPr>
                <w:rFonts w:cs="Arial"/>
                <w:b/>
                <w:color w:val="000000"/>
                <w:szCs w:val="22"/>
                <w:lang w:eastAsia="it-IT"/>
              </w:rPr>
            </w:pPr>
            <w:r w:rsidRPr="0019790A">
              <w:rPr>
                <w:rFonts w:cs="Arial"/>
                <w:b/>
                <w:color w:val="000000"/>
                <w:szCs w:val="22"/>
                <w:lang w:eastAsia="it-IT"/>
              </w:rPr>
              <w:t>2027</w:t>
            </w:r>
          </w:p>
        </w:tc>
        <w:tc>
          <w:tcPr>
            <w:tcW w:w="1276" w:type="dxa"/>
            <w:gridSpan w:val="3"/>
            <w:shd w:val="clear" w:color="auto" w:fill="E6E6E6"/>
            <w:vAlign w:val="center"/>
          </w:tcPr>
          <w:p w14:paraId="4D917204" w14:textId="77777777" w:rsidR="002373CF" w:rsidRPr="0019790A" w:rsidRDefault="002373CF" w:rsidP="0019790A">
            <w:pPr>
              <w:jc w:val="center"/>
              <w:rPr>
                <w:rFonts w:cs="Arial"/>
                <w:b/>
                <w:color w:val="000000"/>
                <w:szCs w:val="22"/>
                <w:lang w:eastAsia="it-IT"/>
              </w:rPr>
            </w:pPr>
            <w:r w:rsidRPr="0019790A">
              <w:rPr>
                <w:rFonts w:cs="Arial"/>
                <w:b/>
                <w:color w:val="000000"/>
                <w:szCs w:val="22"/>
                <w:lang w:eastAsia="it-IT"/>
              </w:rPr>
              <w:t>2028</w:t>
            </w:r>
          </w:p>
        </w:tc>
        <w:tc>
          <w:tcPr>
            <w:tcW w:w="1571" w:type="dxa"/>
            <w:shd w:val="clear" w:color="auto" w:fill="E6E6E6"/>
            <w:vAlign w:val="center"/>
          </w:tcPr>
          <w:p w14:paraId="5FCFEB4D" w14:textId="77777777" w:rsidR="002373CF" w:rsidRPr="0019790A" w:rsidRDefault="002373CF" w:rsidP="0019790A">
            <w:pPr>
              <w:jc w:val="center"/>
              <w:rPr>
                <w:rFonts w:cs="Arial"/>
                <w:b/>
                <w:color w:val="000000"/>
                <w:szCs w:val="22"/>
                <w:lang w:eastAsia="it-IT"/>
              </w:rPr>
            </w:pPr>
            <w:r w:rsidRPr="0019790A">
              <w:rPr>
                <w:rFonts w:cs="Arial"/>
                <w:b/>
                <w:color w:val="000000"/>
                <w:szCs w:val="22"/>
                <w:lang w:eastAsia="it-IT"/>
              </w:rPr>
              <w:t>РАЗОМ</w:t>
            </w:r>
          </w:p>
        </w:tc>
      </w:tr>
      <w:tr w:rsidR="002373CF" w:rsidRPr="0019790A" w14:paraId="6903B531" w14:textId="77777777" w:rsidTr="00787C61">
        <w:trPr>
          <w:jc w:val="right"/>
        </w:trPr>
        <w:tc>
          <w:tcPr>
            <w:tcW w:w="3425" w:type="dxa"/>
            <w:vMerge/>
            <w:shd w:val="clear" w:color="auto" w:fill="FFFFFF"/>
            <w:vAlign w:val="center"/>
          </w:tcPr>
          <w:p w14:paraId="25CE0551" w14:textId="77777777" w:rsidR="002373CF" w:rsidRPr="0019790A" w:rsidRDefault="002373CF" w:rsidP="0019790A">
            <w:pPr>
              <w:rPr>
                <w:rFonts w:cs="Arial"/>
                <w:b/>
                <w:bCs/>
                <w:color w:val="000000"/>
                <w:szCs w:val="22"/>
              </w:rPr>
            </w:pPr>
          </w:p>
        </w:tc>
        <w:tc>
          <w:tcPr>
            <w:tcW w:w="1254" w:type="dxa"/>
            <w:gridSpan w:val="2"/>
            <w:vAlign w:val="center"/>
          </w:tcPr>
          <w:p w14:paraId="6BAEBBFB" w14:textId="77777777" w:rsidR="002373CF" w:rsidRPr="0019790A" w:rsidRDefault="002373CF" w:rsidP="0019790A">
            <w:pPr>
              <w:jc w:val="center"/>
              <w:rPr>
                <w:rFonts w:cs="Arial"/>
                <w:b/>
                <w:color w:val="000000"/>
                <w:szCs w:val="22"/>
                <w:lang w:eastAsia="it-IT"/>
              </w:rPr>
            </w:pPr>
            <w:r w:rsidRPr="0019790A">
              <w:rPr>
                <w:rFonts w:cs="Arial"/>
                <w:b/>
                <w:color w:val="000000"/>
                <w:szCs w:val="22"/>
                <w:lang w:eastAsia="it-IT"/>
              </w:rPr>
              <w:t>0</w:t>
            </w:r>
          </w:p>
        </w:tc>
        <w:tc>
          <w:tcPr>
            <w:tcW w:w="1275" w:type="dxa"/>
            <w:shd w:val="clear" w:color="auto" w:fill="FFFFFF"/>
            <w:vAlign w:val="center"/>
          </w:tcPr>
          <w:p w14:paraId="296E77EF" w14:textId="77777777" w:rsidR="002373CF" w:rsidRPr="0019790A" w:rsidRDefault="002373CF" w:rsidP="0019790A">
            <w:pPr>
              <w:jc w:val="center"/>
              <w:rPr>
                <w:rFonts w:cs="Arial"/>
                <w:b/>
                <w:color w:val="000000"/>
                <w:szCs w:val="22"/>
                <w:lang w:eastAsia="it-IT"/>
              </w:rPr>
            </w:pPr>
            <w:r w:rsidRPr="0019790A">
              <w:rPr>
                <w:rFonts w:cs="Arial"/>
                <w:b/>
                <w:color w:val="000000"/>
                <w:szCs w:val="22"/>
                <w:lang w:eastAsia="it-IT"/>
              </w:rPr>
              <w:t>8 000,0</w:t>
            </w:r>
          </w:p>
        </w:tc>
        <w:tc>
          <w:tcPr>
            <w:tcW w:w="1418" w:type="dxa"/>
            <w:gridSpan w:val="2"/>
            <w:shd w:val="clear" w:color="auto" w:fill="auto"/>
          </w:tcPr>
          <w:p w14:paraId="0DFBC719" w14:textId="77777777" w:rsidR="002373CF" w:rsidRPr="0019790A" w:rsidRDefault="002373CF" w:rsidP="0019790A">
            <w:pPr>
              <w:jc w:val="center"/>
              <w:rPr>
                <w:rFonts w:cs="Arial"/>
                <w:szCs w:val="22"/>
              </w:rPr>
            </w:pPr>
            <w:r w:rsidRPr="0019790A">
              <w:rPr>
                <w:rFonts w:cs="Arial"/>
                <w:b/>
                <w:color w:val="000000"/>
                <w:szCs w:val="22"/>
                <w:lang w:eastAsia="it-IT"/>
              </w:rPr>
              <w:t>8 000,0</w:t>
            </w:r>
          </w:p>
        </w:tc>
        <w:tc>
          <w:tcPr>
            <w:tcW w:w="1276" w:type="dxa"/>
            <w:gridSpan w:val="3"/>
            <w:shd w:val="clear" w:color="auto" w:fill="FFFFFF"/>
          </w:tcPr>
          <w:p w14:paraId="0F11B133" w14:textId="77777777" w:rsidR="002373CF" w:rsidRPr="0019790A" w:rsidRDefault="002373CF" w:rsidP="0019790A">
            <w:pPr>
              <w:jc w:val="center"/>
              <w:rPr>
                <w:rFonts w:cs="Arial"/>
                <w:szCs w:val="22"/>
              </w:rPr>
            </w:pPr>
            <w:r w:rsidRPr="0019790A">
              <w:rPr>
                <w:rFonts w:cs="Arial"/>
                <w:b/>
                <w:color w:val="000000"/>
                <w:szCs w:val="22"/>
                <w:lang w:eastAsia="it-IT"/>
              </w:rPr>
              <w:t>8 000,0</w:t>
            </w:r>
          </w:p>
        </w:tc>
        <w:tc>
          <w:tcPr>
            <w:tcW w:w="1571" w:type="dxa"/>
            <w:shd w:val="clear" w:color="auto" w:fill="FFFFFF"/>
            <w:vAlign w:val="center"/>
          </w:tcPr>
          <w:p w14:paraId="34C79DF6" w14:textId="77777777" w:rsidR="002373CF" w:rsidRPr="0019790A" w:rsidRDefault="002373CF" w:rsidP="0019790A">
            <w:pPr>
              <w:jc w:val="center"/>
              <w:rPr>
                <w:rFonts w:cs="Arial"/>
                <w:b/>
                <w:color w:val="000000"/>
                <w:szCs w:val="22"/>
                <w:lang w:eastAsia="it-IT"/>
              </w:rPr>
            </w:pPr>
            <w:r w:rsidRPr="0019790A">
              <w:rPr>
                <w:rFonts w:cs="Arial"/>
                <w:b/>
                <w:color w:val="000000"/>
                <w:szCs w:val="22"/>
                <w:lang w:eastAsia="it-IT"/>
              </w:rPr>
              <w:t>24 000,0</w:t>
            </w:r>
          </w:p>
        </w:tc>
      </w:tr>
      <w:tr w:rsidR="002373CF" w:rsidRPr="0019790A" w14:paraId="544656D4" w14:textId="77777777" w:rsidTr="00787C61">
        <w:trPr>
          <w:trHeight w:val="276"/>
          <w:jc w:val="right"/>
        </w:trPr>
        <w:tc>
          <w:tcPr>
            <w:tcW w:w="3425" w:type="dxa"/>
            <w:shd w:val="clear" w:color="auto" w:fill="FFFFFF"/>
            <w:vAlign w:val="center"/>
          </w:tcPr>
          <w:p w14:paraId="4E4AF5F0" w14:textId="77777777" w:rsidR="002373CF" w:rsidRPr="0019790A" w:rsidRDefault="002373CF" w:rsidP="0019790A">
            <w:pPr>
              <w:rPr>
                <w:rFonts w:cs="Arial"/>
                <w:b/>
                <w:bCs/>
                <w:color w:val="000000"/>
                <w:szCs w:val="22"/>
              </w:rPr>
            </w:pPr>
            <w:r w:rsidRPr="0019790A">
              <w:rPr>
                <w:rFonts w:cs="Arial"/>
                <w:b/>
                <w:bCs/>
                <w:color w:val="000000"/>
                <w:szCs w:val="22"/>
              </w:rPr>
              <w:t>по джерелах фінансування:</w:t>
            </w:r>
          </w:p>
        </w:tc>
        <w:tc>
          <w:tcPr>
            <w:tcW w:w="6794" w:type="dxa"/>
            <w:gridSpan w:val="9"/>
            <w:vAlign w:val="center"/>
          </w:tcPr>
          <w:p w14:paraId="2CC9C990" w14:textId="77777777" w:rsidR="002373CF" w:rsidRPr="0019790A" w:rsidRDefault="002373CF" w:rsidP="0019790A">
            <w:pPr>
              <w:jc w:val="both"/>
              <w:rPr>
                <w:rFonts w:cs="Arial"/>
                <w:color w:val="000000"/>
                <w:szCs w:val="22"/>
                <w:lang w:eastAsia="it-IT"/>
              </w:rPr>
            </w:pPr>
          </w:p>
        </w:tc>
      </w:tr>
      <w:tr w:rsidR="00480C22" w:rsidRPr="0019790A" w14:paraId="63FA86B7" w14:textId="31EF75EF" w:rsidTr="00480C22">
        <w:trPr>
          <w:trHeight w:val="240"/>
          <w:jc w:val="right"/>
        </w:trPr>
        <w:tc>
          <w:tcPr>
            <w:tcW w:w="3425" w:type="dxa"/>
            <w:shd w:val="clear" w:color="auto" w:fill="FFFFFF"/>
            <w:vAlign w:val="center"/>
          </w:tcPr>
          <w:p w14:paraId="297DE1BA" w14:textId="77777777" w:rsidR="00480C22" w:rsidRPr="0019790A" w:rsidRDefault="00480C22" w:rsidP="0019790A">
            <w:pPr>
              <w:rPr>
                <w:rFonts w:cs="Arial"/>
                <w:b/>
                <w:bCs/>
                <w:color w:val="000000"/>
                <w:szCs w:val="22"/>
              </w:rPr>
            </w:pPr>
            <w:r w:rsidRPr="0019790A">
              <w:rPr>
                <w:rFonts w:cs="Arial"/>
                <w:color w:val="000000"/>
                <w:szCs w:val="22"/>
              </w:rPr>
              <w:t>- державний бюджет</w:t>
            </w:r>
          </w:p>
        </w:tc>
        <w:tc>
          <w:tcPr>
            <w:tcW w:w="1227" w:type="dxa"/>
            <w:vAlign w:val="center"/>
          </w:tcPr>
          <w:p w14:paraId="5D4966D3" w14:textId="77777777" w:rsidR="00480C22" w:rsidRPr="0019790A" w:rsidRDefault="00480C22" w:rsidP="0019790A">
            <w:pPr>
              <w:jc w:val="both"/>
              <w:rPr>
                <w:rFonts w:cs="Arial"/>
                <w:color w:val="000000"/>
                <w:szCs w:val="22"/>
                <w:lang w:eastAsia="it-IT"/>
              </w:rPr>
            </w:pPr>
          </w:p>
        </w:tc>
        <w:tc>
          <w:tcPr>
            <w:tcW w:w="5567" w:type="dxa"/>
            <w:gridSpan w:val="8"/>
            <w:vAlign w:val="center"/>
          </w:tcPr>
          <w:p w14:paraId="4A8C0EE4" w14:textId="77777777" w:rsidR="00480C22" w:rsidRPr="0019790A" w:rsidRDefault="00480C22" w:rsidP="0019790A">
            <w:pPr>
              <w:jc w:val="both"/>
              <w:rPr>
                <w:rFonts w:cs="Arial"/>
                <w:color w:val="000000"/>
                <w:szCs w:val="22"/>
                <w:lang w:eastAsia="it-IT"/>
              </w:rPr>
            </w:pPr>
          </w:p>
        </w:tc>
      </w:tr>
      <w:tr w:rsidR="00480C22" w:rsidRPr="0019790A" w14:paraId="4EE33CAB" w14:textId="6DD6F573" w:rsidTr="00480C22">
        <w:trPr>
          <w:trHeight w:val="254"/>
          <w:jc w:val="right"/>
        </w:trPr>
        <w:tc>
          <w:tcPr>
            <w:tcW w:w="3425" w:type="dxa"/>
            <w:shd w:val="clear" w:color="auto" w:fill="FFFFFF"/>
            <w:vAlign w:val="center"/>
          </w:tcPr>
          <w:p w14:paraId="1D0F010F" w14:textId="77777777" w:rsidR="00480C22" w:rsidRPr="0019790A" w:rsidRDefault="00480C22" w:rsidP="0019790A">
            <w:pPr>
              <w:rPr>
                <w:rFonts w:cs="Arial"/>
                <w:color w:val="000000"/>
                <w:szCs w:val="22"/>
              </w:rPr>
            </w:pPr>
            <w:r w:rsidRPr="0019790A">
              <w:rPr>
                <w:rFonts w:cs="Arial"/>
                <w:color w:val="000000"/>
                <w:szCs w:val="22"/>
              </w:rPr>
              <w:t>- обласний бюджет</w:t>
            </w:r>
          </w:p>
        </w:tc>
        <w:tc>
          <w:tcPr>
            <w:tcW w:w="1227" w:type="dxa"/>
            <w:vAlign w:val="center"/>
          </w:tcPr>
          <w:p w14:paraId="63A86979" w14:textId="58DE4A82" w:rsidR="00480C22" w:rsidRPr="0019790A" w:rsidRDefault="00480C22" w:rsidP="0019790A">
            <w:pPr>
              <w:jc w:val="both"/>
              <w:rPr>
                <w:rFonts w:cs="Arial"/>
                <w:color w:val="000000"/>
                <w:szCs w:val="22"/>
                <w:lang w:eastAsia="it-IT"/>
              </w:rPr>
            </w:pPr>
          </w:p>
        </w:tc>
        <w:tc>
          <w:tcPr>
            <w:tcW w:w="1352" w:type="dxa"/>
            <w:gridSpan w:val="3"/>
            <w:vAlign w:val="center"/>
          </w:tcPr>
          <w:p w14:paraId="1B98411B" w14:textId="090A3E63" w:rsidR="00480C22" w:rsidRPr="0019790A" w:rsidRDefault="00480C22" w:rsidP="00480C22">
            <w:pPr>
              <w:jc w:val="center"/>
              <w:rPr>
                <w:rFonts w:cs="Arial"/>
                <w:color w:val="000000"/>
                <w:szCs w:val="22"/>
                <w:lang w:eastAsia="it-IT"/>
              </w:rPr>
            </w:pPr>
            <w:r w:rsidRPr="0019790A">
              <w:rPr>
                <w:rFonts w:cs="Arial"/>
                <w:color w:val="000000"/>
                <w:szCs w:val="22"/>
                <w:lang w:eastAsia="it-IT"/>
              </w:rPr>
              <w:t>2000,0</w:t>
            </w:r>
          </w:p>
        </w:tc>
        <w:tc>
          <w:tcPr>
            <w:tcW w:w="1427" w:type="dxa"/>
            <w:gridSpan w:val="2"/>
            <w:vAlign w:val="center"/>
          </w:tcPr>
          <w:p w14:paraId="4ACA3053" w14:textId="359AF33E" w:rsidR="00480C22" w:rsidRPr="0019790A" w:rsidRDefault="00480C22" w:rsidP="00480C22">
            <w:pPr>
              <w:jc w:val="center"/>
              <w:rPr>
                <w:rFonts w:cs="Arial"/>
                <w:color w:val="000000"/>
                <w:szCs w:val="22"/>
                <w:lang w:eastAsia="it-IT"/>
              </w:rPr>
            </w:pPr>
            <w:r w:rsidRPr="0019790A">
              <w:rPr>
                <w:rFonts w:cs="Arial"/>
                <w:color w:val="000000"/>
                <w:szCs w:val="22"/>
                <w:lang w:eastAsia="it-IT"/>
              </w:rPr>
              <w:t>2000,0</w:t>
            </w:r>
          </w:p>
        </w:tc>
        <w:tc>
          <w:tcPr>
            <w:tcW w:w="1211" w:type="dxa"/>
            <w:vAlign w:val="center"/>
          </w:tcPr>
          <w:p w14:paraId="2158593A" w14:textId="3C5F7868" w:rsidR="00480C22" w:rsidRPr="0019790A" w:rsidRDefault="00480C22" w:rsidP="00480C22">
            <w:pPr>
              <w:jc w:val="center"/>
              <w:rPr>
                <w:rFonts w:cs="Arial"/>
                <w:color w:val="000000"/>
                <w:szCs w:val="22"/>
                <w:lang w:eastAsia="it-IT"/>
              </w:rPr>
            </w:pPr>
            <w:r w:rsidRPr="0019790A">
              <w:rPr>
                <w:rFonts w:cs="Arial"/>
                <w:color w:val="000000"/>
                <w:szCs w:val="22"/>
                <w:lang w:eastAsia="it-IT"/>
              </w:rPr>
              <w:t>2000,0</w:t>
            </w:r>
          </w:p>
        </w:tc>
        <w:tc>
          <w:tcPr>
            <w:tcW w:w="1577" w:type="dxa"/>
            <w:gridSpan w:val="2"/>
            <w:vAlign w:val="center"/>
          </w:tcPr>
          <w:p w14:paraId="6A933230" w14:textId="4C7D4400" w:rsidR="00480C22" w:rsidRPr="00480C22" w:rsidRDefault="00480C22" w:rsidP="00480C22">
            <w:pPr>
              <w:jc w:val="center"/>
              <w:rPr>
                <w:rFonts w:cs="Arial"/>
                <w:b/>
                <w:color w:val="000000"/>
                <w:szCs w:val="22"/>
                <w:lang w:eastAsia="it-IT"/>
              </w:rPr>
            </w:pPr>
            <w:r w:rsidRPr="00480C22">
              <w:rPr>
                <w:rFonts w:cs="Arial"/>
                <w:b/>
                <w:color w:val="000000"/>
                <w:szCs w:val="22"/>
                <w:lang w:eastAsia="it-IT"/>
              </w:rPr>
              <w:t>6 000,0</w:t>
            </w:r>
          </w:p>
        </w:tc>
      </w:tr>
      <w:tr w:rsidR="00480C22" w:rsidRPr="0019790A" w14:paraId="3544CB17" w14:textId="139DA3E7" w:rsidTr="00480C22">
        <w:trPr>
          <w:trHeight w:val="275"/>
          <w:jc w:val="right"/>
        </w:trPr>
        <w:tc>
          <w:tcPr>
            <w:tcW w:w="3425" w:type="dxa"/>
            <w:shd w:val="clear" w:color="auto" w:fill="FFFFFF"/>
            <w:vAlign w:val="center"/>
          </w:tcPr>
          <w:p w14:paraId="7E9B53AB" w14:textId="77777777" w:rsidR="00480C22" w:rsidRPr="0019790A" w:rsidRDefault="00480C22" w:rsidP="0019790A">
            <w:pPr>
              <w:rPr>
                <w:rFonts w:cs="Arial"/>
                <w:color w:val="000000"/>
                <w:szCs w:val="22"/>
              </w:rPr>
            </w:pPr>
            <w:r w:rsidRPr="0019790A">
              <w:rPr>
                <w:rFonts w:cs="Arial"/>
                <w:color w:val="000000"/>
                <w:szCs w:val="22"/>
              </w:rPr>
              <w:t>- бюджет Жмеринської МТГ</w:t>
            </w:r>
          </w:p>
        </w:tc>
        <w:tc>
          <w:tcPr>
            <w:tcW w:w="1227" w:type="dxa"/>
            <w:vAlign w:val="center"/>
          </w:tcPr>
          <w:p w14:paraId="27E5C860" w14:textId="543845FA" w:rsidR="00480C22" w:rsidRPr="0019790A" w:rsidRDefault="00480C22" w:rsidP="0019790A">
            <w:pPr>
              <w:jc w:val="both"/>
              <w:rPr>
                <w:rFonts w:cs="Arial"/>
                <w:color w:val="000000"/>
                <w:szCs w:val="22"/>
                <w:lang w:eastAsia="it-IT"/>
              </w:rPr>
            </w:pPr>
          </w:p>
        </w:tc>
        <w:tc>
          <w:tcPr>
            <w:tcW w:w="1352" w:type="dxa"/>
            <w:gridSpan w:val="3"/>
            <w:vAlign w:val="center"/>
          </w:tcPr>
          <w:p w14:paraId="2912F999" w14:textId="139ABC61" w:rsidR="00480C22" w:rsidRPr="0019790A" w:rsidRDefault="00480C22" w:rsidP="00480C22">
            <w:pPr>
              <w:jc w:val="center"/>
              <w:rPr>
                <w:rFonts w:cs="Arial"/>
                <w:color w:val="000000"/>
                <w:szCs w:val="22"/>
                <w:lang w:eastAsia="it-IT"/>
              </w:rPr>
            </w:pPr>
            <w:r w:rsidRPr="0019790A">
              <w:rPr>
                <w:rFonts w:cs="Arial"/>
                <w:color w:val="000000"/>
                <w:szCs w:val="22"/>
                <w:lang w:eastAsia="it-IT"/>
              </w:rPr>
              <w:t>6000,0</w:t>
            </w:r>
          </w:p>
        </w:tc>
        <w:tc>
          <w:tcPr>
            <w:tcW w:w="1427" w:type="dxa"/>
            <w:gridSpan w:val="2"/>
            <w:vAlign w:val="center"/>
          </w:tcPr>
          <w:p w14:paraId="5F78A583" w14:textId="33F60774" w:rsidR="00480C22" w:rsidRPr="0019790A" w:rsidRDefault="00480C22" w:rsidP="00480C22">
            <w:pPr>
              <w:jc w:val="center"/>
              <w:rPr>
                <w:rFonts w:cs="Arial"/>
                <w:color w:val="000000"/>
                <w:szCs w:val="22"/>
                <w:lang w:eastAsia="it-IT"/>
              </w:rPr>
            </w:pPr>
            <w:r w:rsidRPr="0019790A">
              <w:rPr>
                <w:rFonts w:cs="Arial"/>
                <w:color w:val="000000"/>
                <w:szCs w:val="22"/>
                <w:lang w:eastAsia="it-IT"/>
              </w:rPr>
              <w:t>6000,0</w:t>
            </w:r>
          </w:p>
        </w:tc>
        <w:tc>
          <w:tcPr>
            <w:tcW w:w="1211" w:type="dxa"/>
            <w:vAlign w:val="center"/>
          </w:tcPr>
          <w:p w14:paraId="11775B78" w14:textId="0F1501E2" w:rsidR="00480C22" w:rsidRPr="0019790A" w:rsidRDefault="00480C22" w:rsidP="00480C22">
            <w:pPr>
              <w:jc w:val="center"/>
              <w:rPr>
                <w:rFonts w:cs="Arial"/>
                <w:color w:val="000000"/>
                <w:szCs w:val="22"/>
                <w:lang w:eastAsia="it-IT"/>
              </w:rPr>
            </w:pPr>
            <w:r w:rsidRPr="0019790A">
              <w:rPr>
                <w:rFonts w:cs="Arial"/>
                <w:color w:val="000000"/>
                <w:szCs w:val="22"/>
                <w:lang w:eastAsia="it-IT"/>
              </w:rPr>
              <w:t>6000,0</w:t>
            </w:r>
          </w:p>
        </w:tc>
        <w:tc>
          <w:tcPr>
            <w:tcW w:w="1577" w:type="dxa"/>
            <w:gridSpan w:val="2"/>
            <w:vAlign w:val="center"/>
          </w:tcPr>
          <w:p w14:paraId="21A590CA" w14:textId="7EF0BFE2" w:rsidR="00480C22" w:rsidRPr="00480C22" w:rsidRDefault="00480C22" w:rsidP="00480C22">
            <w:pPr>
              <w:jc w:val="center"/>
              <w:rPr>
                <w:rFonts w:cs="Arial"/>
                <w:b/>
                <w:color w:val="000000"/>
                <w:szCs w:val="22"/>
                <w:lang w:eastAsia="it-IT"/>
              </w:rPr>
            </w:pPr>
            <w:r w:rsidRPr="00480C22">
              <w:rPr>
                <w:rFonts w:cs="Arial"/>
                <w:b/>
                <w:color w:val="000000"/>
                <w:szCs w:val="22"/>
                <w:lang w:eastAsia="it-IT"/>
              </w:rPr>
              <w:t>18 000,0</w:t>
            </w:r>
          </w:p>
        </w:tc>
      </w:tr>
      <w:tr w:rsidR="00480C22" w:rsidRPr="0019790A" w14:paraId="621685D4" w14:textId="515D214D" w:rsidTr="00480C22">
        <w:trPr>
          <w:trHeight w:val="226"/>
          <w:jc w:val="right"/>
        </w:trPr>
        <w:tc>
          <w:tcPr>
            <w:tcW w:w="3425" w:type="dxa"/>
            <w:shd w:val="clear" w:color="auto" w:fill="FFFFFF"/>
            <w:vAlign w:val="center"/>
          </w:tcPr>
          <w:p w14:paraId="2B2FFE62" w14:textId="77777777" w:rsidR="00480C22" w:rsidRPr="0019790A" w:rsidRDefault="00480C22" w:rsidP="0019790A">
            <w:pPr>
              <w:rPr>
                <w:rFonts w:cs="Arial"/>
                <w:color w:val="000000"/>
                <w:szCs w:val="22"/>
              </w:rPr>
            </w:pPr>
            <w:r w:rsidRPr="0019790A">
              <w:rPr>
                <w:rFonts w:cs="Arial"/>
                <w:color w:val="000000"/>
                <w:szCs w:val="22"/>
              </w:rPr>
              <w:t>- інші джерела фінансування</w:t>
            </w:r>
          </w:p>
        </w:tc>
        <w:tc>
          <w:tcPr>
            <w:tcW w:w="1227" w:type="dxa"/>
            <w:vAlign w:val="center"/>
          </w:tcPr>
          <w:p w14:paraId="6B3EC4F3" w14:textId="77777777" w:rsidR="00480C22" w:rsidRPr="0019790A" w:rsidRDefault="00480C22" w:rsidP="0019790A">
            <w:pPr>
              <w:jc w:val="both"/>
              <w:rPr>
                <w:rFonts w:cs="Arial"/>
                <w:color w:val="000000"/>
                <w:szCs w:val="22"/>
                <w:lang w:eastAsia="it-IT"/>
              </w:rPr>
            </w:pPr>
          </w:p>
        </w:tc>
        <w:tc>
          <w:tcPr>
            <w:tcW w:w="1352" w:type="dxa"/>
            <w:gridSpan w:val="3"/>
            <w:vAlign w:val="center"/>
          </w:tcPr>
          <w:p w14:paraId="55DF2438" w14:textId="77777777" w:rsidR="00480C22" w:rsidRPr="0019790A" w:rsidRDefault="00480C22" w:rsidP="0019790A">
            <w:pPr>
              <w:jc w:val="both"/>
              <w:rPr>
                <w:rFonts w:cs="Arial"/>
                <w:color w:val="000000"/>
                <w:szCs w:val="22"/>
                <w:lang w:eastAsia="it-IT"/>
              </w:rPr>
            </w:pPr>
          </w:p>
        </w:tc>
        <w:tc>
          <w:tcPr>
            <w:tcW w:w="1427" w:type="dxa"/>
            <w:gridSpan w:val="2"/>
            <w:vAlign w:val="center"/>
          </w:tcPr>
          <w:p w14:paraId="52D0CB48" w14:textId="77777777" w:rsidR="00480C22" w:rsidRPr="0019790A" w:rsidRDefault="00480C22" w:rsidP="0019790A">
            <w:pPr>
              <w:jc w:val="both"/>
              <w:rPr>
                <w:rFonts w:cs="Arial"/>
                <w:color w:val="000000"/>
                <w:szCs w:val="22"/>
                <w:lang w:eastAsia="it-IT"/>
              </w:rPr>
            </w:pPr>
          </w:p>
        </w:tc>
        <w:tc>
          <w:tcPr>
            <w:tcW w:w="1211" w:type="dxa"/>
            <w:vAlign w:val="center"/>
          </w:tcPr>
          <w:p w14:paraId="0C8DE632" w14:textId="77777777" w:rsidR="00480C22" w:rsidRPr="0019790A" w:rsidRDefault="00480C22" w:rsidP="00480C22">
            <w:pPr>
              <w:ind w:left="13"/>
              <w:jc w:val="center"/>
              <w:rPr>
                <w:rFonts w:cs="Arial"/>
                <w:color w:val="000000"/>
                <w:szCs w:val="22"/>
                <w:lang w:eastAsia="it-IT"/>
              </w:rPr>
            </w:pPr>
          </w:p>
        </w:tc>
        <w:tc>
          <w:tcPr>
            <w:tcW w:w="1577" w:type="dxa"/>
            <w:gridSpan w:val="2"/>
            <w:vAlign w:val="center"/>
          </w:tcPr>
          <w:p w14:paraId="7CD36946" w14:textId="77777777" w:rsidR="00480C22" w:rsidRPr="0019790A" w:rsidRDefault="00480C22" w:rsidP="0019790A">
            <w:pPr>
              <w:jc w:val="both"/>
              <w:rPr>
                <w:rFonts w:cs="Arial"/>
                <w:color w:val="000000"/>
                <w:szCs w:val="22"/>
                <w:lang w:eastAsia="it-IT"/>
              </w:rPr>
            </w:pPr>
          </w:p>
        </w:tc>
      </w:tr>
      <w:tr w:rsidR="002373CF" w:rsidRPr="0019790A" w14:paraId="65530632" w14:textId="77777777" w:rsidTr="00787C61">
        <w:trPr>
          <w:jc w:val="right"/>
        </w:trPr>
        <w:tc>
          <w:tcPr>
            <w:tcW w:w="3425" w:type="dxa"/>
            <w:shd w:val="clear" w:color="auto" w:fill="FFFFFF"/>
            <w:vAlign w:val="center"/>
          </w:tcPr>
          <w:p w14:paraId="1518F10E" w14:textId="77777777" w:rsidR="002373CF" w:rsidRPr="0019790A" w:rsidRDefault="002373CF" w:rsidP="0019790A">
            <w:pPr>
              <w:rPr>
                <w:rFonts w:cs="Arial"/>
                <w:b/>
                <w:bCs/>
                <w:color w:val="000000"/>
                <w:szCs w:val="22"/>
              </w:rPr>
            </w:pPr>
            <w:r w:rsidRPr="0019790A">
              <w:rPr>
                <w:rFonts w:cs="Arial"/>
                <w:b/>
                <w:color w:val="000000"/>
                <w:szCs w:val="22"/>
              </w:rPr>
              <w:t>Відповідальний виконавець проєкту:</w:t>
            </w:r>
          </w:p>
        </w:tc>
        <w:tc>
          <w:tcPr>
            <w:tcW w:w="6794" w:type="dxa"/>
            <w:gridSpan w:val="9"/>
            <w:vAlign w:val="center"/>
          </w:tcPr>
          <w:p w14:paraId="6F492D12" w14:textId="21DF4167" w:rsidR="002373CF" w:rsidRPr="0019790A" w:rsidRDefault="002373CF" w:rsidP="00480C22">
            <w:pPr>
              <w:jc w:val="both"/>
              <w:rPr>
                <w:rFonts w:cs="Arial"/>
                <w:color w:val="000000"/>
                <w:szCs w:val="22"/>
                <w:lang w:eastAsia="it-IT"/>
              </w:rPr>
            </w:pPr>
            <w:r w:rsidRPr="0019790A">
              <w:rPr>
                <w:rFonts w:cs="Arial"/>
                <w:szCs w:val="22"/>
              </w:rPr>
              <w:t>Відділ з питань цивільного захисту, оборонно-мобілізаційної роботи та взаємодії з правоохоронними органами виконавчого комітету Жмеринської міської ради</w:t>
            </w:r>
          </w:p>
        </w:tc>
      </w:tr>
      <w:tr w:rsidR="002373CF" w:rsidRPr="0019790A" w14:paraId="41CA2132" w14:textId="77777777" w:rsidTr="00787C61">
        <w:trPr>
          <w:jc w:val="right"/>
        </w:trPr>
        <w:tc>
          <w:tcPr>
            <w:tcW w:w="3425" w:type="dxa"/>
            <w:shd w:val="clear" w:color="auto" w:fill="FFFFFF"/>
            <w:vAlign w:val="center"/>
          </w:tcPr>
          <w:p w14:paraId="3D219357" w14:textId="77777777" w:rsidR="002373CF" w:rsidRPr="0019790A" w:rsidRDefault="002373CF" w:rsidP="0019790A">
            <w:pPr>
              <w:rPr>
                <w:rFonts w:cs="Arial"/>
                <w:b/>
                <w:bCs/>
                <w:color w:val="000000"/>
                <w:szCs w:val="22"/>
              </w:rPr>
            </w:pPr>
            <w:r w:rsidRPr="0019790A">
              <w:rPr>
                <w:rFonts w:cs="Arial"/>
                <w:b/>
                <w:bCs/>
                <w:color w:val="000000"/>
                <w:szCs w:val="22"/>
              </w:rPr>
              <w:t>Інше:</w:t>
            </w:r>
          </w:p>
        </w:tc>
        <w:tc>
          <w:tcPr>
            <w:tcW w:w="6794" w:type="dxa"/>
            <w:gridSpan w:val="9"/>
            <w:vAlign w:val="center"/>
          </w:tcPr>
          <w:p w14:paraId="4C1E4F04" w14:textId="77777777" w:rsidR="002373CF" w:rsidRPr="0019790A" w:rsidRDefault="002373CF" w:rsidP="0019790A">
            <w:pPr>
              <w:rPr>
                <w:rFonts w:cs="Arial"/>
                <w:color w:val="000000"/>
                <w:szCs w:val="22"/>
                <w:lang w:eastAsia="it-IT"/>
              </w:rPr>
            </w:pPr>
          </w:p>
        </w:tc>
      </w:tr>
    </w:tbl>
    <w:p w14:paraId="026865B7" w14:textId="77777777" w:rsidR="002373CF" w:rsidRPr="0019790A" w:rsidRDefault="002373CF" w:rsidP="0019790A">
      <w:pPr>
        <w:rPr>
          <w:rFonts w:cs="Arial"/>
          <w:szCs w:val="22"/>
        </w:rPr>
      </w:pPr>
    </w:p>
    <w:p w14:paraId="3AB79AD3" w14:textId="77777777" w:rsidR="00787C61" w:rsidRPr="0019790A" w:rsidRDefault="00787C61" w:rsidP="0019790A">
      <w:pPr>
        <w:jc w:val="center"/>
        <w:rPr>
          <w:rFonts w:cs="Arial"/>
          <w:b/>
          <w:color w:val="000000"/>
          <w:szCs w:val="22"/>
        </w:rPr>
      </w:pPr>
    </w:p>
    <w:p w14:paraId="18C0F5D8" w14:textId="77777777" w:rsidR="00787C61" w:rsidRPr="0019790A" w:rsidRDefault="00787C61" w:rsidP="0019790A">
      <w:pPr>
        <w:jc w:val="center"/>
        <w:rPr>
          <w:rFonts w:cs="Arial"/>
          <w:b/>
          <w:color w:val="000000"/>
          <w:szCs w:val="22"/>
        </w:rPr>
      </w:pPr>
      <w:r w:rsidRPr="0019790A">
        <w:rPr>
          <w:rFonts w:cs="Arial"/>
          <w:b/>
          <w:color w:val="000000"/>
          <w:szCs w:val="22"/>
        </w:rPr>
        <w:t xml:space="preserve">Форма технічного завдання на проєкт місцевого розвитку </w:t>
      </w:r>
    </w:p>
    <w:p w14:paraId="3DA415CB" w14:textId="77777777" w:rsidR="00787C61" w:rsidRPr="0019790A" w:rsidRDefault="00787C61" w:rsidP="0019790A">
      <w:pPr>
        <w:jc w:val="center"/>
        <w:rPr>
          <w:rFonts w:cs="Arial"/>
          <w:b/>
          <w:color w:val="000000"/>
          <w:szCs w:val="22"/>
        </w:rPr>
      </w:pPr>
      <w:r w:rsidRPr="0019790A">
        <w:rPr>
          <w:rFonts w:cs="Arial"/>
          <w:b/>
          <w:color w:val="000000"/>
          <w:szCs w:val="22"/>
        </w:rPr>
        <w:t>до Плану заходів з реалізації Стратегії</w:t>
      </w:r>
    </w:p>
    <w:p w14:paraId="5AE4DAAC" w14:textId="77777777" w:rsidR="00787C61" w:rsidRPr="0019790A" w:rsidRDefault="00787C61"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4"/>
        <w:gridCol w:w="1254"/>
        <w:gridCol w:w="36"/>
        <w:gridCol w:w="1240"/>
        <w:gridCol w:w="1402"/>
        <w:gridCol w:w="16"/>
        <w:gridCol w:w="1249"/>
        <w:gridCol w:w="27"/>
        <w:gridCol w:w="1571"/>
      </w:tblGrid>
      <w:tr w:rsidR="00787C61" w:rsidRPr="0019790A" w14:paraId="7A071C49" w14:textId="77777777" w:rsidTr="00480C22">
        <w:trPr>
          <w:jc w:val="right"/>
        </w:trPr>
        <w:tc>
          <w:tcPr>
            <w:tcW w:w="3424" w:type="dxa"/>
            <w:vAlign w:val="center"/>
          </w:tcPr>
          <w:p w14:paraId="18A5CEBB" w14:textId="77777777" w:rsidR="00787C61" w:rsidRPr="0019790A" w:rsidRDefault="00787C61" w:rsidP="0019790A">
            <w:pPr>
              <w:rPr>
                <w:rFonts w:cs="Arial"/>
                <w:b/>
                <w:bCs/>
                <w:color w:val="000000"/>
                <w:szCs w:val="22"/>
              </w:rPr>
            </w:pPr>
            <w:r w:rsidRPr="0019790A">
              <w:rPr>
                <w:rFonts w:cs="Arial"/>
                <w:b/>
                <w:bCs/>
                <w:color w:val="000000"/>
                <w:szCs w:val="22"/>
              </w:rPr>
              <w:t>Назва проєкту:</w:t>
            </w:r>
          </w:p>
        </w:tc>
        <w:tc>
          <w:tcPr>
            <w:tcW w:w="6795" w:type="dxa"/>
            <w:gridSpan w:val="8"/>
          </w:tcPr>
          <w:p w14:paraId="2BF89209" w14:textId="77777777" w:rsidR="00787C61" w:rsidRPr="0019790A" w:rsidRDefault="00787C61" w:rsidP="0019790A">
            <w:pPr>
              <w:rPr>
                <w:rFonts w:cs="Arial"/>
                <w:b/>
                <w:szCs w:val="22"/>
                <w:lang w:eastAsia="it-IT"/>
              </w:rPr>
            </w:pPr>
            <w:r w:rsidRPr="0019790A">
              <w:rPr>
                <w:rFonts w:cs="Arial"/>
                <w:b/>
                <w:szCs w:val="22"/>
                <w:lang w:eastAsia="it-IT"/>
              </w:rPr>
              <w:t>«Безпечна культура: облаштування укриття в будинку культури села Почапинці»</w:t>
            </w:r>
          </w:p>
        </w:tc>
      </w:tr>
      <w:tr w:rsidR="00787C61" w:rsidRPr="0019790A" w14:paraId="2425DAE2" w14:textId="77777777" w:rsidTr="00480C22">
        <w:trPr>
          <w:jc w:val="right"/>
        </w:trPr>
        <w:tc>
          <w:tcPr>
            <w:tcW w:w="3424" w:type="dxa"/>
          </w:tcPr>
          <w:p w14:paraId="7DD5257C" w14:textId="77777777" w:rsidR="00787C61" w:rsidRPr="0019790A" w:rsidRDefault="00787C61"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750C07BF" w14:textId="77777777" w:rsidR="00787C61" w:rsidRPr="0019790A" w:rsidRDefault="00787C61" w:rsidP="0019790A">
            <w:pPr>
              <w:rPr>
                <w:rFonts w:cs="Arial"/>
                <w:b/>
                <w:bCs/>
                <w:szCs w:val="22"/>
              </w:rPr>
            </w:pPr>
            <w:r w:rsidRPr="0019790A">
              <w:rPr>
                <w:rFonts w:cs="Arial"/>
                <w:szCs w:val="22"/>
                <w:lang w:eastAsia="it-IT"/>
              </w:rPr>
              <w:t>Назва установи, організації, підприємства</w:t>
            </w:r>
          </w:p>
        </w:tc>
        <w:tc>
          <w:tcPr>
            <w:tcW w:w="6795" w:type="dxa"/>
            <w:gridSpan w:val="8"/>
          </w:tcPr>
          <w:p w14:paraId="69921468" w14:textId="77777777" w:rsidR="00787C61" w:rsidRPr="00480C22" w:rsidRDefault="00787C61" w:rsidP="0019790A">
            <w:pPr>
              <w:rPr>
                <w:rFonts w:cs="Arial"/>
                <w:szCs w:val="22"/>
                <w:lang w:eastAsia="it-IT"/>
              </w:rPr>
            </w:pPr>
            <w:r w:rsidRPr="00480C22">
              <w:rPr>
                <w:rFonts w:cs="Arial"/>
                <w:szCs w:val="22"/>
                <w:lang w:eastAsia="it-IT"/>
              </w:rPr>
              <w:t>Управління культури і туризму Жмеринської міської ради</w:t>
            </w:r>
          </w:p>
        </w:tc>
      </w:tr>
      <w:tr w:rsidR="00787C61" w:rsidRPr="0019790A" w14:paraId="3F7F1FF5" w14:textId="77777777" w:rsidTr="00480C22">
        <w:trPr>
          <w:jc w:val="right"/>
        </w:trPr>
        <w:tc>
          <w:tcPr>
            <w:tcW w:w="3424" w:type="dxa"/>
          </w:tcPr>
          <w:p w14:paraId="5B4AE8AA" w14:textId="77777777" w:rsidR="00787C61" w:rsidRPr="0019790A" w:rsidRDefault="00787C61" w:rsidP="0019790A">
            <w:pPr>
              <w:rPr>
                <w:rFonts w:cs="Arial"/>
                <w:b/>
                <w:bCs/>
                <w:szCs w:val="22"/>
              </w:rPr>
            </w:pPr>
            <w:r w:rsidRPr="0019790A">
              <w:rPr>
                <w:rFonts w:cs="Arial"/>
                <w:szCs w:val="22"/>
                <w:lang w:eastAsia="it-IT"/>
              </w:rPr>
              <w:t>Прізвище Ім’я По-батькові:</w:t>
            </w:r>
          </w:p>
        </w:tc>
        <w:tc>
          <w:tcPr>
            <w:tcW w:w="6795" w:type="dxa"/>
            <w:gridSpan w:val="8"/>
          </w:tcPr>
          <w:p w14:paraId="63CCB66B" w14:textId="77777777" w:rsidR="00787C61" w:rsidRPr="00480C22" w:rsidRDefault="00787C61" w:rsidP="0019790A">
            <w:pPr>
              <w:rPr>
                <w:rFonts w:cs="Arial"/>
                <w:szCs w:val="22"/>
                <w:lang w:eastAsia="it-IT"/>
              </w:rPr>
            </w:pPr>
            <w:r w:rsidRPr="00480C22">
              <w:rPr>
                <w:rFonts w:cs="Arial"/>
                <w:szCs w:val="22"/>
                <w:lang w:eastAsia="it-IT"/>
              </w:rPr>
              <w:t>Дудік Володимир Валентинович</w:t>
            </w:r>
          </w:p>
        </w:tc>
      </w:tr>
      <w:tr w:rsidR="00787C61" w:rsidRPr="0019790A" w14:paraId="498713B5" w14:textId="77777777" w:rsidTr="00480C22">
        <w:trPr>
          <w:jc w:val="right"/>
        </w:trPr>
        <w:tc>
          <w:tcPr>
            <w:tcW w:w="3424" w:type="dxa"/>
          </w:tcPr>
          <w:p w14:paraId="0AF9C1DD" w14:textId="77777777" w:rsidR="00787C61" w:rsidRPr="0019790A" w:rsidRDefault="00787C61" w:rsidP="0019790A">
            <w:pPr>
              <w:rPr>
                <w:rFonts w:cs="Arial"/>
                <w:b/>
                <w:bCs/>
                <w:szCs w:val="22"/>
              </w:rPr>
            </w:pPr>
            <w:r w:rsidRPr="0019790A">
              <w:rPr>
                <w:rFonts w:cs="Arial"/>
                <w:szCs w:val="22"/>
                <w:lang w:eastAsia="it-IT"/>
              </w:rPr>
              <w:t>Телефон (мобільний):</w:t>
            </w:r>
          </w:p>
        </w:tc>
        <w:tc>
          <w:tcPr>
            <w:tcW w:w="6795" w:type="dxa"/>
            <w:gridSpan w:val="8"/>
          </w:tcPr>
          <w:p w14:paraId="2A8EF62E" w14:textId="77777777" w:rsidR="00787C61" w:rsidRPr="00480C22" w:rsidRDefault="00787C61" w:rsidP="0019790A">
            <w:pPr>
              <w:rPr>
                <w:rFonts w:cs="Arial"/>
                <w:szCs w:val="22"/>
                <w:lang w:eastAsia="it-IT"/>
              </w:rPr>
            </w:pPr>
            <w:r w:rsidRPr="00480C22">
              <w:rPr>
                <w:rFonts w:cs="Arial"/>
                <w:szCs w:val="22"/>
                <w:lang w:eastAsia="it-IT"/>
              </w:rPr>
              <w:t>0674303746</w:t>
            </w:r>
          </w:p>
        </w:tc>
      </w:tr>
      <w:tr w:rsidR="00787C61" w:rsidRPr="0019790A" w14:paraId="7328FA6D" w14:textId="77777777" w:rsidTr="00480C22">
        <w:trPr>
          <w:jc w:val="right"/>
        </w:trPr>
        <w:tc>
          <w:tcPr>
            <w:tcW w:w="3424" w:type="dxa"/>
          </w:tcPr>
          <w:p w14:paraId="5E0BEE27" w14:textId="77777777" w:rsidR="00787C61" w:rsidRPr="0019790A" w:rsidRDefault="00787C61" w:rsidP="0019790A">
            <w:pPr>
              <w:rPr>
                <w:rFonts w:cs="Arial"/>
                <w:b/>
                <w:bCs/>
                <w:szCs w:val="22"/>
              </w:rPr>
            </w:pPr>
            <w:r w:rsidRPr="0019790A">
              <w:rPr>
                <w:rFonts w:cs="Arial"/>
                <w:szCs w:val="22"/>
                <w:lang w:eastAsia="it-IT"/>
              </w:rPr>
              <w:t>Електронна адреса:</w:t>
            </w:r>
          </w:p>
        </w:tc>
        <w:tc>
          <w:tcPr>
            <w:tcW w:w="6795" w:type="dxa"/>
            <w:gridSpan w:val="8"/>
          </w:tcPr>
          <w:p w14:paraId="0ABC417C" w14:textId="60183892" w:rsidR="00787C61" w:rsidRPr="0019790A" w:rsidRDefault="00D85FFD" w:rsidP="0019790A">
            <w:pPr>
              <w:rPr>
                <w:rFonts w:cs="Arial"/>
                <w:b/>
                <w:szCs w:val="22"/>
                <w:lang w:eastAsia="it-IT"/>
              </w:rPr>
            </w:pPr>
            <w:hyperlink r:id="rId99" w:history="1">
              <w:r w:rsidR="00480C22" w:rsidRPr="00BF0394">
                <w:rPr>
                  <w:rStyle w:val="af0"/>
                  <w:rFonts w:cs="Arial"/>
                  <w:b/>
                  <w:noProof w:val="0"/>
                  <w:sz w:val="22"/>
                  <w:szCs w:val="22"/>
                  <w:lang w:eastAsia="it-IT"/>
                </w:rPr>
                <w:t>kult@zhmr.gov.ua</w:t>
              </w:r>
            </w:hyperlink>
            <w:r w:rsidR="00480C22">
              <w:rPr>
                <w:rFonts w:cs="Arial"/>
                <w:b/>
                <w:szCs w:val="22"/>
                <w:lang w:eastAsia="it-IT"/>
              </w:rPr>
              <w:t xml:space="preserve"> </w:t>
            </w:r>
          </w:p>
        </w:tc>
      </w:tr>
      <w:tr w:rsidR="00787C61" w:rsidRPr="0019790A" w14:paraId="4461BCF0" w14:textId="77777777" w:rsidTr="00480C22">
        <w:trPr>
          <w:jc w:val="right"/>
        </w:trPr>
        <w:tc>
          <w:tcPr>
            <w:tcW w:w="3424" w:type="dxa"/>
            <w:vAlign w:val="center"/>
          </w:tcPr>
          <w:p w14:paraId="061C1346" w14:textId="77777777" w:rsidR="00787C61" w:rsidRPr="0019790A" w:rsidRDefault="00787C61" w:rsidP="0019790A">
            <w:pPr>
              <w:outlineLvl w:val="5"/>
              <w:rPr>
                <w:rFonts w:cs="Arial"/>
                <w:b/>
                <w:bCs/>
                <w:color w:val="000000"/>
                <w:szCs w:val="22"/>
              </w:rPr>
            </w:pPr>
            <w:r w:rsidRPr="0019790A">
              <w:rPr>
                <w:rFonts w:cs="Arial"/>
                <w:b/>
                <w:bCs/>
                <w:color w:val="000000"/>
                <w:szCs w:val="22"/>
              </w:rPr>
              <w:t>Номер і назва завдання з Стратегії</w:t>
            </w:r>
            <w:r w:rsidRPr="0019790A">
              <w:rPr>
                <w:rFonts w:cs="Arial"/>
                <w:b/>
                <w:bCs/>
                <w:szCs w:val="22"/>
                <w:lang w:eastAsia="it-IT"/>
              </w:rPr>
              <w:t xml:space="preserve"> </w:t>
            </w:r>
            <w:r w:rsidRPr="0019790A">
              <w:rPr>
                <w:rFonts w:cs="Arial"/>
                <w:b/>
                <w:bCs/>
                <w:color w:val="000000"/>
                <w:szCs w:val="22"/>
              </w:rPr>
              <w:t>розвитку Жмеринської міської територіальної громади,  якому відповідає проєкт:</w:t>
            </w:r>
          </w:p>
        </w:tc>
        <w:tc>
          <w:tcPr>
            <w:tcW w:w="6795" w:type="dxa"/>
            <w:gridSpan w:val="8"/>
          </w:tcPr>
          <w:p w14:paraId="7E1C18A7" w14:textId="77777777" w:rsidR="00787C61" w:rsidRPr="00480C22" w:rsidRDefault="00787C61" w:rsidP="0019790A">
            <w:pPr>
              <w:pBdr>
                <w:left w:val="single" w:sz="18" w:space="4" w:color="auto"/>
              </w:pBdr>
              <w:rPr>
                <w:rFonts w:cs="Arial"/>
                <w:szCs w:val="22"/>
                <w:lang w:eastAsia="it-IT"/>
              </w:rPr>
            </w:pPr>
            <w:r w:rsidRPr="00480C22">
              <w:rPr>
                <w:rFonts w:cs="Arial"/>
                <w:szCs w:val="22"/>
                <w:lang w:eastAsia="it-IT"/>
              </w:rPr>
              <w:t>В. 4. Ефективна система безпеки громади.</w:t>
            </w:r>
          </w:p>
          <w:p w14:paraId="16EAAFAA" w14:textId="77777777" w:rsidR="00787C61" w:rsidRPr="00480C22" w:rsidRDefault="00787C61" w:rsidP="0019790A">
            <w:pPr>
              <w:pBdr>
                <w:left w:val="single" w:sz="18" w:space="4" w:color="auto"/>
              </w:pBdr>
              <w:rPr>
                <w:rFonts w:cs="Arial"/>
                <w:szCs w:val="22"/>
                <w:lang w:eastAsia="it-IT"/>
              </w:rPr>
            </w:pPr>
            <w:r w:rsidRPr="00480C22">
              <w:rPr>
                <w:rFonts w:cs="Arial"/>
                <w:szCs w:val="22"/>
                <w:lang w:eastAsia="it-IT"/>
              </w:rPr>
              <w:t>В. 4.2.3. Забезпечення укриття населення в захисних спорудах всіх типів.</w:t>
            </w:r>
          </w:p>
        </w:tc>
      </w:tr>
      <w:tr w:rsidR="00787C61" w:rsidRPr="0019790A" w14:paraId="3A9B13ED" w14:textId="77777777" w:rsidTr="00480C22">
        <w:trPr>
          <w:jc w:val="right"/>
        </w:trPr>
        <w:tc>
          <w:tcPr>
            <w:tcW w:w="3424" w:type="dxa"/>
            <w:vAlign w:val="center"/>
          </w:tcPr>
          <w:p w14:paraId="749A1528" w14:textId="77777777" w:rsidR="00787C61" w:rsidRPr="0019790A" w:rsidRDefault="00787C61" w:rsidP="0019790A">
            <w:pPr>
              <w:rPr>
                <w:rFonts w:cs="Arial"/>
                <w:b/>
                <w:bCs/>
                <w:color w:val="000000"/>
                <w:szCs w:val="22"/>
              </w:rPr>
            </w:pPr>
            <w:r w:rsidRPr="0019790A">
              <w:rPr>
                <w:rFonts w:cs="Arial"/>
                <w:b/>
                <w:bCs/>
                <w:color w:val="000000"/>
                <w:szCs w:val="22"/>
              </w:rPr>
              <w:t>Мета проєкту:</w:t>
            </w:r>
          </w:p>
        </w:tc>
        <w:tc>
          <w:tcPr>
            <w:tcW w:w="6795" w:type="dxa"/>
            <w:gridSpan w:val="8"/>
          </w:tcPr>
          <w:p w14:paraId="562A94CB" w14:textId="77777777" w:rsidR="00787C61" w:rsidRPr="0019790A" w:rsidRDefault="00787C61" w:rsidP="0019790A">
            <w:pPr>
              <w:rPr>
                <w:rFonts w:cs="Arial"/>
                <w:szCs w:val="22"/>
                <w:lang w:eastAsia="it-IT"/>
              </w:rPr>
            </w:pPr>
            <w:r w:rsidRPr="0019790A">
              <w:rPr>
                <w:rFonts w:cs="Arial"/>
                <w:szCs w:val="22"/>
                <w:lang w:eastAsia="it-IT"/>
              </w:rPr>
              <w:t>Забезпечити захисні умови перебування для населення у сільському закладі культури, який є центрами громадської активності, через облаштування укриття відповідно до чинних вимог безпеки.</w:t>
            </w:r>
          </w:p>
        </w:tc>
      </w:tr>
      <w:tr w:rsidR="00787C61" w:rsidRPr="0019790A" w14:paraId="48107819" w14:textId="77777777" w:rsidTr="00480C22">
        <w:trPr>
          <w:jc w:val="right"/>
        </w:trPr>
        <w:tc>
          <w:tcPr>
            <w:tcW w:w="3424" w:type="dxa"/>
            <w:vAlign w:val="center"/>
          </w:tcPr>
          <w:p w14:paraId="6A583F51" w14:textId="77777777" w:rsidR="00787C61" w:rsidRPr="0019790A" w:rsidRDefault="00787C61" w:rsidP="0019790A">
            <w:pPr>
              <w:rPr>
                <w:rFonts w:cs="Arial"/>
                <w:b/>
                <w:bCs/>
                <w:color w:val="000000"/>
                <w:szCs w:val="22"/>
              </w:rPr>
            </w:pPr>
            <w:r w:rsidRPr="0019790A">
              <w:rPr>
                <w:rFonts w:cs="Arial"/>
                <w:b/>
                <w:bCs/>
                <w:color w:val="000000"/>
                <w:szCs w:val="22"/>
              </w:rPr>
              <w:t>Цілі проєкту:</w:t>
            </w:r>
          </w:p>
        </w:tc>
        <w:tc>
          <w:tcPr>
            <w:tcW w:w="6795" w:type="dxa"/>
            <w:gridSpan w:val="8"/>
          </w:tcPr>
          <w:p w14:paraId="5681E68F" w14:textId="77777777" w:rsidR="00787C61" w:rsidRPr="0019790A" w:rsidRDefault="00787C61" w:rsidP="0019790A">
            <w:pPr>
              <w:rPr>
                <w:rFonts w:cs="Arial"/>
                <w:szCs w:val="22"/>
                <w:lang w:eastAsia="it-IT"/>
              </w:rPr>
            </w:pPr>
            <w:r w:rsidRPr="0019790A">
              <w:rPr>
                <w:rFonts w:cs="Arial"/>
                <w:szCs w:val="22"/>
                <w:lang w:eastAsia="it-IT"/>
              </w:rPr>
              <w:t>  Забезпечення належного рівня цивільного захисту у громаді</w:t>
            </w:r>
          </w:p>
          <w:p w14:paraId="5076D783" w14:textId="77777777" w:rsidR="00787C61" w:rsidRPr="0019790A" w:rsidRDefault="00787C61" w:rsidP="0019790A">
            <w:pPr>
              <w:rPr>
                <w:rFonts w:cs="Arial"/>
                <w:szCs w:val="22"/>
                <w:lang w:eastAsia="it-IT"/>
              </w:rPr>
            </w:pPr>
            <w:r w:rsidRPr="0019790A">
              <w:rPr>
                <w:rFonts w:cs="Arial"/>
                <w:szCs w:val="22"/>
                <w:lang w:eastAsia="it-IT"/>
              </w:rPr>
              <w:t>  Створення умов для безперервної діяльності закладу в кризових ситуаціях</w:t>
            </w:r>
          </w:p>
          <w:p w14:paraId="7A369514" w14:textId="77777777" w:rsidR="00787C61" w:rsidRPr="0019790A" w:rsidRDefault="00787C61" w:rsidP="0019790A">
            <w:pPr>
              <w:rPr>
                <w:rFonts w:cs="Arial"/>
                <w:szCs w:val="22"/>
                <w:lang w:eastAsia="it-IT"/>
              </w:rPr>
            </w:pPr>
            <w:r w:rsidRPr="0019790A">
              <w:rPr>
                <w:rFonts w:cs="Arial"/>
                <w:szCs w:val="22"/>
                <w:lang w:eastAsia="it-IT"/>
              </w:rPr>
              <w:t>  Підвищення рівня безпеки працівників та відвідувачів будинку культури</w:t>
            </w:r>
          </w:p>
          <w:p w14:paraId="38DE6D36" w14:textId="56008ED2" w:rsidR="00787C61" w:rsidRPr="0019790A" w:rsidRDefault="00787C61" w:rsidP="00480C22">
            <w:pPr>
              <w:rPr>
                <w:rFonts w:cs="Arial"/>
                <w:szCs w:val="22"/>
                <w:lang w:eastAsia="it-IT"/>
              </w:rPr>
            </w:pPr>
            <w:r w:rsidRPr="0019790A">
              <w:rPr>
                <w:rFonts w:cs="Arial"/>
                <w:szCs w:val="22"/>
                <w:lang w:eastAsia="it-IT"/>
              </w:rPr>
              <w:t>  Виконання вимог законодавства щодо облаштування найпростіших укриттів</w:t>
            </w:r>
          </w:p>
        </w:tc>
      </w:tr>
      <w:tr w:rsidR="00787C61" w:rsidRPr="0019790A" w14:paraId="1D119636" w14:textId="77777777" w:rsidTr="00480C22">
        <w:trPr>
          <w:jc w:val="right"/>
        </w:trPr>
        <w:tc>
          <w:tcPr>
            <w:tcW w:w="3424" w:type="dxa"/>
            <w:vAlign w:val="center"/>
          </w:tcPr>
          <w:p w14:paraId="3ADC3BDC" w14:textId="77777777" w:rsidR="00787C61" w:rsidRPr="0019790A" w:rsidRDefault="00787C61" w:rsidP="0019790A">
            <w:pPr>
              <w:autoSpaceDE w:val="0"/>
              <w:autoSpaceDN w:val="0"/>
              <w:adjustRightInd w:val="0"/>
              <w:rPr>
                <w:rFonts w:cs="Arial"/>
                <w:b/>
                <w:color w:val="000000"/>
                <w:szCs w:val="22"/>
              </w:rPr>
            </w:pPr>
            <w:r w:rsidRPr="0019790A">
              <w:rPr>
                <w:rFonts w:cs="Arial"/>
                <w:b/>
                <w:color w:val="000000"/>
                <w:szCs w:val="22"/>
              </w:rPr>
              <w:t>Територія на яку проєкт матиме вплив:</w:t>
            </w:r>
          </w:p>
        </w:tc>
        <w:tc>
          <w:tcPr>
            <w:tcW w:w="6795" w:type="dxa"/>
            <w:gridSpan w:val="8"/>
          </w:tcPr>
          <w:p w14:paraId="2DF14C87" w14:textId="77777777" w:rsidR="00787C61" w:rsidRPr="0019790A" w:rsidRDefault="00787C61" w:rsidP="0019790A">
            <w:pPr>
              <w:rPr>
                <w:rFonts w:cs="Arial"/>
                <w:szCs w:val="22"/>
                <w:lang w:eastAsia="it-IT"/>
              </w:rPr>
            </w:pPr>
            <w:r w:rsidRPr="0019790A">
              <w:rPr>
                <w:rFonts w:cs="Arial"/>
                <w:szCs w:val="22"/>
                <w:lang w:eastAsia="it-IT"/>
              </w:rPr>
              <w:t xml:space="preserve">Село Почапинці Жмеринської міської територіальної </w:t>
            </w:r>
          </w:p>
        </w:tc>
      </w:tr>
      <w:tr w:rsidR="00787C61" w:rsidRPr="0019790A" w14:paraId="3209A38A" w14:textId="77777777" w:rsidTr="00480C22">
        <w:trPr>
          <w:jc w:val="right"/>
        </w:trPr>
        <w:tc>
          <w:tcPr>
            <w:tcW w:w="3424" w:type="dxa"/>
            <w:vAlign w:val="center"/>
          </w:tcPr>
          <w:p w14:paraId="46BC4DD0" w14:textId="77777777" w:rsidR="00787C61" w:rsidRPr="0019790A" w:rsidRDefault="00787C61" w:rsidP="0019790A">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5" w:type="dxa"/>
            <w:gridSpan w:val="8"/>
          </w:tcPr>
          <w:p w14:paraId="4102073E" w14:textId="77777777" w:rsidR="00787C61" w:rsidRPr="0019790A" w:rsidRDefault="00787C61" w:rsidP="00480C22">
            <w:pPr>
              <w:numPr>
                <w:ilvl w:val="0"/>
                <w:numId w:val="19"/>
              </w:numPr>
              <w:tabs>
                <w:tab w:val="clear" w:pos="720"/>
                <w:tab w:val="left" w:pos="402"/>
              </w:tabs>
              <w:ind w:left="39" w:firstLine="28"/>
              <w:rPr>
                <w:rFonts w:cs="Arial"/>
                <w:szCs w:val="22"/>
                <w:lang w:eastAsia="it-IT"/>
              </w:rPr>
            </w:pPr>
            <w:r w:rsidRPr="0019790A">
              <w:rPr>
                <w:rFonts w:cs="Arial"/>
                <w:szCs w:val="22"/>
                <w:lang w:eastAsia="it-IT"/>
              </w:rPr>
              <w:t>Мешканці села – близько 837 осіб</w:t>
            </w:r>
          </w:p>
          <w:p w14:paraId="7F8525D7" w14:textId="3EE45CDD" w:rsidR="00787C61" w:rsidRPr="0019790A" w:rsidRDefault="00787C61" w:rsidP="00480C22">
            <w:pPr>
              <w:numPr>
                <w:ilvl w:val="0"/>
                <w:numId w:val="19"/>
              </w:numPr>
              <w:tabs>
                <w:tab w:val="clear" w:pos="720"/>
                <w:tab w:val="left" w:pos="402"/>
              </w:tabs>
              <w:ind w:left="39" w:firstLine="28"/>
              <w:rPr>
                <w:rFonts w:cs="Arial"/>
                <w:szCs w:val="22"/>
                <w:lang w:eastAsia="it-IT"/>
              </w:rPr>
            </w:pPr>
            <w:r w:rsidRPr="0019790A">
              <w:rPr>
                <w:rFonts w:cs="Arial"/>
                <w:szCs w:val="22"/>
                <w:lang w:eastAsia="it-IT"/>
              </w:rPr>
              <w:t>Відвідувачі заходів, гуртків, свят – понад 2000 осіб щороку</w:t>
            </w:r>
          </w:p>
        </w:tc>
      </w:tr>
      <w:tr w:rsidR="00787C61" w:rsidRPr="0019790A" w14:paraId="7B58F64F" w14:textId="77777777" w:rsidTr="00480C22">
        <w:trPr>
          <w:jc w:val="right"/>
        </w:trPr>
        <w:tc>
          <w:tcPr>
            <w:tcW w:w="3424" w:type="dxa"/>
            <w:shd w:val="clear" w:color="auto" w:fill="FFFFFF"/>
            <w:vAlign w:val="center"/>
          </w:tcPr>
          <w:p w14:paraId="36D3B77B" w14:textId="77777777" w:rsidR="00787C61" w:rsidRPr="0019790A" w:rsidRDefault="00787C61" w:rsidP="0019790A">
            <w:pPr>
              <w:rPr>
                <w:rFonts w:cs="Arial"/>
                <w:b/>
                <w:bCs/>
                <w:color w:val="000000"/>
                <w:szCs w:val="22"/>
              </w:rPr>
            </w:pPr>
            <w:r w:rsidRPr="0019790A">
              <w:rPr>
                <w:rFonts w:cs="Arial"/>
                <w:b/>
                <w:bCs/>
                <w:color w:val="000000"/>
                <w:szCs w:val="22"/>
              </w:rPr>
              <w:t>Стислий опис проєкту:</w:t>
            </w:r>
          </w:p>
        </w:tc>
        <w:tc>
          <w:tcPr>
            <w:tcW w:w="6795" w:type="dxa"/>
            <w:gridSpan w:val="8"/>
          </w:tcPr>
          <w:p w14:paraId="7332B50F" w14:textId="77777777" w:rsidR="00787C61" w:rsidRPr="0019790A" w:rsidRDefault="00787C61" w:rsidP="0019790A">
            <w:pPr>
              <w:rPr>
                <w:rFonts w:cs="Arial"/>
                <w:szCs w:val="22"/>
                <w:lang w:eastAsia="it-IT"/>
              </w:rPr>
            </w:pPr>
            <w:r w:rsidRPr="0019790A">
              <w:rPr>
                <w:rFonts w:cs="Arial"/>
                <w:szCs w:val="22"/>
                <w:lang w:eastAsia="it-IT"/>
              </w:rPr>
              <w:t>Проєкт передбачає облаштування найпростішого укриття в будинку культури села Почапинці. Будівля є активним культурним центром громади, однак в ній відсутні безпечне приміщення для перебування у разі тривоги. Передбачено виконання ремонтних робіт даху, встановлення водопостачання та водовідведення, підняття потужності електропостачання. Вся діяльність проводиться з дотриманням норм ДСНС та рекомендацій МКІП.</w:t>
            </w:r>
          </w:p>
        </w:tc>
      </w:tr>
      <w:tr w:rsidR="00787C61" w:rsidRPr="0019790A" w14:paraId="68A64D83" w14:textId="77777777" w:rsidTr="00480C22">
        <w:trPr>
          <w:jc w:val="right"/>
        </w:trPr>
        <w:tc>
          <w:tcPr>
            <w:tcW w:w="3424" w:type="dxa"/>
            <w:shd w:val="clear" w:color="auto" w:fill="FFFFFF"/>
            <w:vAlign w:val="center"/>
          </w:tcPr>
          <w:p w14:paraId="1EEE2A44" w14:textId="77777777" w:rsidR="00787C61" w:rsidRPr="0019790A" w:rsidRDefault="00787C61" w:rsidP="0019790A">
            <w:pPr>
              <w:rPr>
                <w:rFonts w:cs="Arial"/>
                <w:b/>
                <w:bCs/>
                <w:color w:val="000000"/>
                <w:szCs w:val="22"/>
              </w:rPr>
            </w:pPr>
            <w:r w:rsidRPr="0019790A">
              <w:rPr>
                <w:rFonts w:cs="Arial"/>
                <w:b/>
                <w:bCs/>
                <w:color w:val="000000"/>
                <w:szCs w:val="22"/>
              </w:rPr>
              <w:t>Основні заходи проєкту:</w:t>
            </w:r>
          </w:p>
        </w:tc>
        <w:tc>
          <w:tcPr>
            <w:tcW w:w="6795" w:type="dxa"/>
            <w:gridSpan w:val="8"/>
          </w:tcPr>
          <w:p w14:paraId="31D82608" w14:textId="77777777" w:rsidR="00787C61" w:rsidRPr="0019790A" w:rsidRDefault="00787C61" w:rsidP="0019790A">
            <w:pPr>
              <w:rPr>
                <w:rFonts w:cs="Arial"/>
                <w:szCs w:val="22"/>
                <w:lang w:eastAsia="it-IT"/>
              </w:rPr>
            </w:pPr>
            <w:r w:rsidRPr="0019790A">
              <w:rPr>
                <w:rFonts w:cs="Arial"/>
                <w:szCs w:val="22"/>
                <w:lang w:eastAsia="it-IT"/>
              </w:rPr>
              <w:t>  Капітальний ремонт покрівлі приміщення</w:t>
            </w:r>
          </w:p>
          <w:p w14:paraId="4C37C4A4" w14:textId="77777777" w:rsidR="00787C61" w:rsidRPr="0019790A" w:rsidRDefault="00787C61" w:rsidP="0019790A">
            <w:pPr>
              <w:rPr>
                <w:rFonts w:cs="Arial"/>
                <w:szCs w:val="22"/>
                <w:lang w:eastAsia="it-IT"/>
              </w:rPr>
            </w:pPr>
            <w:r w:rsidRPr="0019790A">
              <w:rPr>
                <w:rFonts w:cs="Arial"/>
                <w:szCs w:val="22"/>
                <w:lang w:eastAsia="it-IT"/>
              </w:rPr>
              <w:t>  Встановлення водопостачання та водовідведення</w:t>
            </w:r>
          </w:p>
          <w:p w14:paraId="468B4A18" w14:textId="2F3ACA9B" w:rsidR="00787C61" w:rsidRPr="0019790A" w:rsidRDefault="00787C61" w:rsidP="00480C22">
            <w:pPr>
              <w:rPr>
                <w:rFonts w:cs="Arial"/>
                <w:szCs w:val="22"/>
                <w:lang w:eastAsia="it-IT"/>
              </w:rPr>
            </w:pPr>
            <w:r w:rsidRPr="0019790A">
              <w:rPr>
                <w:rFonts w:cs="Arial"/>
                <w:szCs w:val="22"/>
                <w:lang w:eastAsia="it-IT"/>
              </w:rPr>
              <w:t>  Підняття потужності електропостачання</w:t>
            </w:r>
          </w:p>
        </w:tc>
      </w:tr>
      <w:tr w:rsidR="00787C61" w:rsidRPr="0019790A" w14:paraId="65DE37A9" w14:textId="77777777" w:rsidTr="00480C22">
        <w:trPr>
          <w:jc w:val="right"/>
        </w:trPr>
        <w:tc>
          <w:tcPr>
            <w:tcW w:w="3424" w:type="dxa"/>
            <w:shd w:val="clear" w:color="auto" w:fill="FFFFFF"/>
            <w:vAlign w:val="center"/>
          </w:tcPr>
          <w:p w14:paraId="4EF88FC7" w14:textId="77777777" w:rsidR="00787C61" w:rsidRPr="0019790A" w:rsidRDefault="00787C61"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795" w:type="dxa"/>
            <w:gridSpan w:val="8"/>
          </w:tcPr>
          <w:p w14:paraId="30B0A26E" w14:textId="77777777" w:rsidR="00787C61" w:rsidRPr="0019790A" w:rsidRDefault="00787C61" w:rsidP="00480C22">
            <w:pPr>
              <w:numPr>
                <w:ilvl w:val="0"/>
                <w:numId w:val="20"/>
              </w:numPr>
              <w:tabs>
                <w:tab w:val="clear" w:pos="720"/>
              </w:tabs>
              <w:ind w:left="464"/>
              <w:rPr>
                <w:rFonts w:cs="Arial"/>
                <w:szCs w:val="22"/>
                <w:lang w:eastAsia="it-IT"/>
              </w:rPr>
            </w:pPr>
            <w:r w:rsidRPr="0019790A">
              <w:rPr>
                <w:rFonts w:cs="Arial"/>
                <w:szCs w:val="22"/>
                <w:lang w:eastAsia="it-IT"/>
              </w:rPr>
              <w:t>Облаштовано 1 укриття</w:t>
            </w:r>
          </w:p>
          <w:p w14:paraId="03542756" w14:textId="77777777" w:rsidR="00787C61" w:rsidRPr="0019790A" w:rsidRDefault="00787C61" w:rsidP="00480C22">
            <w:pPr>
              <w:numPr>
                <w:ilvl w:val="0"/>
                <w:numId w:val="20"/>
              </w:numPr>
              <w:tabs>
                <w:tab w:val="clear" w:pos="720"/>
              </w:tabs>
              <w:ind w:left="464"/>
              <w:rPr>
                <w:rFonts w:cs="Arial"/>
                <w:szCs w:val="22"/>
                <w:lang w:eastAsia="it-IT"/>
              </w:rPr>
            </w:pPr>
            <w:r w:rsidRPr="0019790A">
              <w:rPr>
                <w:rFonts w:cs="Arial"/>
                <w:szCs w:val="22"/>
                <w:lang w:eastAsia="it-IT"/>
              </w:rPr>
              <w:t>Забезпечено безпечне перебування не менше 100 осіб одночасно</w:t>
            </w:r>
          </w:p>
          <w:p w14:paraId="4E75CBC2" w14:textId="77777777" w:rsidR="00787C61" w:rsidRPr="0019790A" w:rsidRDefault="00787C61" w:rsidP="00480C22">
            <w:pPr>
              <w:numPr>
                <w:ilvl w:val="0"/>
                <w:numId w:val="20"/>
              </w:numPr>
              <w:tabs>
                <w:tab w:val="clear" w:pos="720"/>
              </w:tabs>
              <w:ind w:left="464"/>
              <w:rPr>
                <w:rFonts w:cs="Arial"/>
                <w:szCs w:val="22"/>
                <w:lang w:eastAsia="it-IT"/>
              </w:rPr>
            </w:pPr>
            <w:r w:rsidRPr="0019790A">
              <w:rPr>
                <w:rFonts w:cs="Arial"/>
                <w:szCs w:val="22"/>
                <w:lang w:eastAsia="it-IT"/>
              </w:rPr>
              <w:t>Проведено перевірку готовності та навчань</w:t>
            </w:r>
          </w:p>
          <w:p w14:paraId="1816B031" w14:textId="77777777" w:rsidR="00787C61" w:rsidRPr="0019790A" w:rsidRDefault="00787C61" w:rsidP="00480C22">
            <w:pPr>
              <w:numPr>
                <w:ilvl w:val="0"/>
                <w:numId w:val="20"/>
              </w:numPr>
              <w:tabs>
                <w:tab w:val="clear" w:pos="720"/>
              </w:tabs>
              <w:ind w:left="464"/>
              <w:rPr>
                <w:rFonts w:cs="Arial"/>
                <w:szCs w:val="22"/>
                <w:lang w:eastAsia="it-IT"/>
              </w:rPr>
            </w:pPr>
            <w:r w:rsidRPr="0019790A">
              <w:rPr>
                <w:rFonts w:cs="Arial"/>
                <w:szCs w:val="22"/>
                <w:lang w:eastAsia="it-IT"/>
              </w:rPr>
              <w:t>Підвищено рівень готовності закладу культури до надзвичайних ситуацій</w:t>
            </w:r>
          </w:p>
          <w:p w14:paraId="397202B2" w14:textId="77777777" w:rsidR="00787C61" w:rsidRPr="0019790A" w:rsidRDefault="00787C61" w:rsidP="00480C22">
            <w:pPr>
              <w:numPr>
                <w:ilvl w:val="0"/>
                <w:numId w:val="20"/>
              </w:numPr>
              <w:tabs>
                <w:tab w:val="clear" w:pos="720"/>
              </w:tabs>
              <w:ind w:left="464"/>
              <w:rPr>
                <w:rFonts w:cs="Arial"/>
                <w:szCs w:val="22"/>
                <w:lang w:eastAsia="it-IT"/>
              </w:rPr>
            </w:pPr>
            <w:r w:rsidRPr="0019790A">
              <w:rPr>
                <w:rFonts w:cs="Arial"/>
                <w:szCs w:val="22"/>
                <w:lang w:eastAsia="it-IT"/>
              </w:rPr>
              <w:t>Створено умови для безпечного функціонування заходів культури навіть під час воєнного стану</w:t>
            </w:r>
          </w:p>
        </w:tc>
      </w:tr>
      <w:tr w:rsidR="00787C61" w:rsidRPr="0019790A" w14:paraId="270F4E32" w14:textId="77777777" w:rsidTr="00480C22">
        <w:trPr>
          <w:jc w:val="right"/>
        </w:trPr>
        <w:tc>
          <w:tcPr>
            <w:tcW w:w="3424" w:type="dxa"/>
            <w:shd w:val="clear" w:color="auto" w:fill="FFFFFF"/>
            <w:vAlign w:val="center"/>
          </w:tcPr>
          <w:p w14:paraId="190A35CC" w14:textId="77777777" w:rsidR="00787C61" w:rsidRPr="0019790A" w:rsidRDefault="00787C61" w:rsidP="0019790A">
            <w:pPr>
              <w:rPr>
                <w:rFonts w:cs="Arial"/>
                <w:b/>
                <w:color w:val="000000"/>
                <w:szCs w:val="22"/>
              </w:rPr>
            </w:pPr>
            <w:r w:rsidRPr="0019790A">
              <w:rPr>
                <w:rFonts w:cs="Arial"/>
                <w:b/>
                <w:color w:val="000000"/>
                <w:szCs w:val="22"/>
              </w:rPr>
              <w:t xml:space="preserve">Період здійснення: </w:t>
            </w:r>
          </w:p>
        </w:tc>
        <w:tc>
          <w:tcPr>
            <w:tcW w:w="6795" w:type="dxa"/>
            <w:gridSpan w:val="8"/>
            <w:vAlign w:val="center"/>
          </w:tcPr>
          <w:p w14:paraId="37BEA010" w14:textId="77777777" w:rsidR="00787C61" w:rsidRPr="0019790A" w:rsidRDefault="00787C61" w:rsidP="0019790A">
            <w:pPr>
              <w:rPr>
                <w:rFonts w:cs="Arial"/>
                <w:color w:val="000000"/>
                <w:szCs w:val="22"/>
                <w:lang w:eastAsia="it-IT"/>
              </w:rPr>
            </w:pPr>
            <w:r w:rsidRPr="0019790A">
              <w:rPr>
                <w:rFonts w:cs="Arial"/>
                <w:b/>
                <w:color w:val="000000"/>
                <w:szCs w:val="22"/>
              </w:rPr>
              <w:t>2025 – 2028 роки:</w:t>
            </w:r>
          </w:p>
        </w:tc>
      </w:tr>
      <w:tr w:rsidR="00787C61" w:rsidRPr="0019790A" w14:paraId="0DF32C06" w14:textId="77777777" w:rsidTr="00480C22">
        <w:trPr>
          <w:jc w:val="right"/>
        </w:trPr>
        <w:tc>
          <w:tcPr>
            <w:tcW w:w="3424" w:type="dxa"/>
            <w:vMerge w:val="restart"/>
            <w:shd w:val="clear" w:color="auto" w:fill="FFFFFF"/>
            <w:vAlign w:val="center"/>
          </w:tcPr>
          <w:p w14:paraId="1137997A" w14:textId="77777777" w:rsidR="00787C61" w:rsidRPr="0019790A" w:rsidRDefault="00787C61" w:rsidP="0019790A">
            <w:pPr>
              <w:rPr>
                <w:rFonts w:cs="Arial"/>
                <w:b/>
                <w:bCs/>
                <w:color w:val="000000"/>
                <w:szCs w:val="22"/>
              </w:rPr>
            </w:pPr>
            <w:r w:rsidRPr="0019790A">
              <w:rPr>
                <w:rFonts w:cs="Arial"/>
                <w:b/>
                <w:bCs/>
                <w:color w:val="000000"/>
                <w:szCs w:val="22"/>
              </w:rPr>
              <w:t>Орієнтовна вартість проєкту, тис. грн., в тому числі:</w:t>
            </w:r>
          </w:p>
        </w:tc>
        <w:tc>
          <w:tcPr>
            <w:tcW w:w="1254" w:type="dxa"/>
            <w:shd w:val="clear" w:color="auto" w:fill="E6E6E6"/>
            <w:vAlign w:val="center"/>
          </w:tcPr>
          <w:p w14:paraId="1D079179" w14:textId="77777777" w:rsidR="00787C61" w:rsidRPr="0019790A" w:rsidRDefault="00787C61" w:rsidP="0019790A">
            <w:pPr>
              <w:jc w:val="center"/>
              <w:rPr>
                <w:rFonts w:cs="Arial"/>
                <w:b/>
                <w:color w:val="000000"/>
                <w:szCs w:val="22"/>
                <w:lang w:eastAsia="it-IT"/>
              </w:rPr>
            </w:pPr>
            <w:r w:rsidRPr="0019790A">
              <w:rPr>
                <w:rFonts w:cs="Arial"/>
                <w:b/>
                <w:color w:val="000000"/>
                <w:szCs w:val="22"/>
                <w:lang w:eastAsia="it-IT"/>
              </w:rPr>
              <w:t>2025</w:t>
            </w:r>
          </w:p>
        </w:tc>
        <w:tc>
          <w:tcPr>
            <w:tcW w:w="1276" w:type="dxa"/>
            <w:gridSpan w:val="2"/>
            <w:shd w:val="clear" w:color="auto" w:fill="E6E6E6"/>
            <w:vAlign w:val="center"/>
          </w:tcPr>
          <w:p w14:paraId="4664929E" w14:textId="77777777" w:rsidR="00787C61" w:rsidRPr="0019790A" w:rsidRDefault="00787C61" w:rsidP="0019790A">
            <w:pPr>
              <w:jc w:val="center"/>
              <w:rPr>
                <w:rFonts w:cs="Arial"/>
                <w:b/>
                <w:color w:val="000000"/>
                <w:szCs w:val="22"/>
                <w:lang w:eastAsia="it-IT"/>
              </w:rPr>
            </w:pPr>
            <w:r w:rsidRPr="0019790A">
              <w:rPr>
                <w:rFonts w:cs="Arial"/>
                <w:b/>
                <w:color w:val="000000"/>
                <w:szCs w:val="22"/>
                <w:lang w:eastAsia="it-IT"/>
              </w:rPr>
              <w:t>2026</w:t>
            </w:r>
          </w:p>
        </w:tc>
        <w:tc>
          <w:tcPr>
            <w:tcW w:w="1418" w:type="dxa"/>
            <w:gridSpan w:val="2"/>
            <w:tcBorders>
              <w:bottom w:val="single" w:sz="4" w:space="0" w:color="auto"/>
            </w:tcBorders>
            <w:shd w:val="clear" w:color="auto" w:fill="E6E6E6"/>
            <w:vAlign w:val="center"/>
          </w:tcPr>
          <w:p w14:paraId="1B599210" w14:textId="77777777" w:rsidR="00787C61" w:rsidRPr="0019790A" w:rsidRDefault="00787C61" w:rsidP="0019790A">
            <w:pPr>
              <w:jc w:val="center"/>
              <w:rPr>
                <w:rFonts w:cs="Arial"/>
                <w:b/>
                <w:color w:val="000000"/>
                <w:szCs w:val="22"/>
                <w:lang w:eastAsia="it-IT"/>
              </w:rPr>
            </w:pPr>
            <w:r w:rsidRPr="0019790A">
              <w:rPr>
                <w:rFonts w:cs="Arial"/>
                <w:b/>
                <w:color w:val="000000"/>
                <w:szCs w:val="22"/>
                <w:lang w:eastAsia="it-IT"/>
              </w:rPr>
              <w:t>2027</w:t>
            </w:r>
          </w:p>
        </w:tc>
        <w:tc>
          <w:tcPr>
            <w:tcW w:w="1276" w:type="dxa"/>
            <w:gridSpan w:val="2"/>
            <w:shd w:val="clear" w:color="auto" w:fill="E6E6E6"/>
            <w:vAlign w:val="center"/>
          </w:tcPr>
          <w:p w14:paraId="56454169" w14:textId="77777777" w:rsidR="00787C61" w:rsidRPr="0019790A" w:rsidRDefault="00787C61" w:rsidP="0019790A">
            <w:pPr>
              <w:jc w:val="center"/>
              <w:rPr>
                <w:rFonts w:cs="Arial"/>
                <w:b/>
                <w:color w:val="000000"/>
                <w:szCs w:val="22"/>
                <w:lang w:eastAsia="it-IT"/>
              </w:rPr>
            </w:pPr>
            <w:r w:rsidRPr="0019790A">
              <w:rPr>
                <w:rFonts w:cs="Arial"/>
                <w:b/>
                <w:color w:val="000000"/>
                <w:szCs w:val="22"/>
                <w:lang w:eastAsia="it-IT"/>
              </w:rPr>
              <w:t>2028</w:t>
            </w:r>
          </w:p>
        </w:tc>
        <w:tc>
          <w:tcPr>
            <w:tcW w:w="1571" w:type="dxa"/>
            <w:shd w:val="clear" w:color="auto" w:fill="E6E6E6"/>
            <w:vAlign w:val="center"/>
          </w:tcPr>
          <w:p w14:paraId="39EB2B91" w14:textId="77777777" w:rsidR="00787C61" w:rsidRPr="0019790A" w:rsidRDefault="00787C61" w:rsidP="0019790A">
            <w:pPr>
              <w:jc w:val="center"/>
              <w:rPr>
                <w:rFonts w:cs="Arial"/>
                <w:b/>
                <w:color w:val="000000"/>
                <w:szCs w:val="22"/>
                <w:lang w:eastAsia="it-IT"/>
              </w:rPr>
            </w:pPr>
            <w:r w:rsidRPr="0019790A">
              <w:rPr>
                <w:rFonts w:cs="Arial"/>
                <w:b/>
                <w:color w:val="000000"/>
                <w:szCs w:val="22"/>
                <w:lang w:eastAsia="it-IT"/>
              </w:rPr>
              <w:t>РАЗОМ</w:t>
            </w:r>
          </w:p>
        </w:tc>
      </w:tr>
      <w:tr w:rsidR="00787C61" w:rsidRPr="0019790A" w14:paraId="0DF000D1" w14:textId="77777777" w:rsidTr="00480C22">
        <w:trPr>
          <w:jc w:val="right"/>
        </w:trPr>
        <w:tc>
          <w:tcPr>
            <w:tcW w:w="3424" w:type="dxa"/>
            <w:vMerge/>
            <w:shd w:val="clear" w:color="auto" w:fill="FFFFFF"/>
            <w:vAlign w:val="center"/>
          </w:tcPr>
          <w:p w14:paraId="44ECAD8F" w14:textId="77777777" w:rsidR="00787C61" w:rsidRPr="0019790A" w:rsidRDefault="00787C61" w:rsidP="0019790A">
            <w:pPr>
              <w:rPr>
                <w:rFonts w:cs="Arial"/>
                <w:b/>
                <w:bCs/>
                <w:color w:val="000000"/>
                <w:szCs w:val="22"/>
              </w:rPr>
            </w:pPr>
          </w:p>
        </w:tc>
        <w:tc>
          <w:tcPr>
            <w:tcW w:w="1254" w:type="dxa"/>
            <w:vAlign w:val="center"/>
          </w:tcPr>
          <w:p w14:paraId="46CB1673" w14:textId="77777777" w:rsidR="00787C61" w:rsidRPr="0019790A" w:rsidRDefault="00787C61" w:rsidP="0019790A">
            <w:pPr>
              <w:jc w:val="center"/>
              <w:rPr>
                <w:rFonts w:cs="Arial"/>
                <w:b/>
                <w:color w:val="000000"/>
                <w:szCs w:val="22"/>
                <w:lang w:eastAsia="it-IT"/>
              </w:rPr>
            </w:pPr>
            <w:r w:rsidRPr="0019790A">
              <w:rPr>
                <w:rFonts w:cs="Arial"/>
                <w:b/>
                <w:color w:val="000000"/>
                <w:szCs w:val="22"/>
                <w:lang w:eastAsia="it-IT"/>
              </w:rPr>
              <w:t>-</w:t>
            </w:r>
          </w:p>
        </w:tc>
        <w:tc>
          <w:tcPr>
            <w:tcW w:w="1276" w:type="dxa"/>
            <w:gridSpan w:val="2"/>
            <w:shd w:val="clear" w:color="auto" w:fill="FFFFFF"/>
            <w:vAlign w:val="center"/>
          </w:tcPr>
          <w:p w14:paraId="782908E6" w14:textId="77777777" w:rsidR="00787C61" w:rsidRPr="0019790A" w:rsidRDefault="00787C61" w:rsidP="0019790A">
            <w:pPr>
              <w:jc w:val="center"/>
              <w:rPr>
                <w:rFonts w:cs="Arial"/>
                <w:b/>
                <w:color w:val="000000"/>
                <w:szCs w:val="22"/>
                <w:lang w:eastAsia="it-IT"/>
              </w:rPr>
            </w:pPr>
            <w:r w:rsidRPr="0019790A">
              <w:rPr>
                <w:rFonts w:cs="Arial"/>
                <w:b/>
                <w:color w:val="000000"/>
                <w:szCs w:val="22"/>
                <w:lang w:eastAsia="it-IT"/>
              </w:rPr>
              <w:t>4700,0</w:t>
            </w:r>
          </w:p>
        </w:tc>
        <w:tc>
          <w:tcPr>
            <w:tcW w:w="1418" w:type="dxa"/>
            <w:gridSpan w:val="2"/>
            <w:shd w:val="clear" w:color="auto" w:fill="auto"/>
            <w:vAlign w:val="center"/>
          </w:tcPr>
          <w:p w14:paraId="59475890" w14:textId="77777777" w:rsidR="00787C61" w:rsidRPr="0019790A" w:rsidRDefault="00787C61" w:rsidP="0019790A">
            <w:pPr>
              <w:jc w:val="center"/>
              <w:rPr>
                <w:rFonts w:cs="Arial"/>
                <w:b/>
                <w:color w:val="000000"/>
                <w:szCs w:val="22"/>
                <w:lang w:eastAsia="it-IT"/>
              </w:rPr>
            </w:pPr>
            <w:r w:rsidRPr="0019790A">
              <w:rPr>
                <w:rFonts w:cs="Arial"/>
                <w:b/>
                <w:color w:val="000000"/>
                <w:szCs w:val="22"/>
                <w:lang w:eastAsia="it-IT"/>
              </w:rPr>
              <w:t>-</w:t>
            </w:r>
          </w:p>
        </w:tc>
        <w:tc>
          <w:tcPr>
            <w:tcW w:w="1276" w:type="dxa"/>
            <w:gridSpan w:val="2"/>
            <w:shd w:val="clear" w:color="auto" w:fill="FFFFFF"/>
            <w:vAlign w:val="center"/>
          </w:tcPr>
          <w:p w14:paraId="211D73A4" w14:textId="77777777" w:rsidR="00787C61" w:rsidRPr="0019790A" w:rsidRDefault="00787C61" w:rsidP="0019790A">
            <w:pPr>
              <w:jc w:val="center"/>
              <w:rPr>
                <w:rFonts w:cs="Arial"/>
                <w:b/>
                <w:color w:val="000000"/>
                <w:szCs w:val="22"/>
                <w:lang w:eastAsia="it-IT"/>
              </w:rPr>
            </w:pPr>
            <w:r w:rsidRPr="0019790A">
              <w:rPr>
                <w:rFonts w:cs="Arial"/>
                <w:b/>
                <w:color w:val="000000"/>
                <w:szCs w:val="22"/>
                <w:lang w:eastAsia="it-IT"/>
              </w:rPr>
              <w:t>-</w:t>
            </w:r>
          </w:p>
        </w:tc>
        <w:tc>
          <w:tcPr>
            <w:tcW w:w="1571" w:type="dxa"/>
            <w:shd w:val="clear" w:color="auto" w:fill="FFFFFF"/>
            <w:vAlign w:val="center"/>
          </w:tcPr>
          <w:p w14:paraId="01EA2091" w14:textId="77777777" w:rsidR="00787C61" w:rsidRPr="0019790A" w:rsidRDefault="00787C61" w:rsidP="0019790A">
            <w:pPr>
              <w:jc w:val="center"/>
              <w:rPr>
                <w:rFonts w:cs="Arial"/>
                <w:b/>
                <w:color w:val="000000"/>
                <w:szCs w:val="22"/>
                <w:lang w:eastAsia="it-IT"/>
              </w:rPr>
            </w:pPr>
            <w:r w:rsidRPr="0019790A">
              <w:rPr>
                <w:rFonts w:cs="Arial"/>
                <w:b/>
                <w:color w:val="000000"/>
                <w:szCs w:val="22"/>
                <w:lang w:eastAsia="it-IT"/>
              </w:rPr>
              <w:t>4700,0</w:t>
            </w:r>
          </w:p>
        </w:tc>
      </w:tr>
      <w:tr w:rsidR="00787C61" w:rsidRPr="0019790A" w14:paraId="5D73AE91" w14:textId="77777777" w:rsidTr="00480C22">
        <w:trPr>
          <w:trHeight w:val="276"/>
          <w:jc w:val="right"/>
        </w:trPr>
        <w:tc>
          <w:tcPr>
            <w:tcW w:w="3424" w:type="dxa"/>
            <w:shd w:val="clear" w:color="auto" w:fill="FFFFFF"/>
            <w:vAlign w:val="center"/>
          </w:tcPr>
          <w:p w14:paraId="4B5C16DD" w14:textId="77777777" w:rsidR="00787C61" w:rsidRPr="0019790A" w:rsidRDefault="00787C61" w:rsidP="0019790A">
            <w:pPr>
              <w:rPr>
                <w:rFonts w:cs="Arial"/>
                <w:b/>
                <w:bCs/>
                <w:color w:val="000000"/>
                <w:szCs w:val="22"/>
              </w:rPr>
            </w:pPr>
            <w:r w:rsidRPr="0019790A">
              <w:rPr>
                <w:rFonts w:cs="Arial"/>
                <w:b/>
                <w:bCs/>
                <w:color w:val="000000"/>
                <w:szCs w:val="22"/>
              </w:rPr>
              <w:t>по джерелах фінансування:</w:t>
            </w:r>
          </w:p>
        </w:tc>
        <w:tc>
          <w:tcPr>
            <w:tcW w:w="6795" w:type="dxa"/>
            <w:gridSpan w:val="8"/>
            <w:vAlign w:val="center"/>
          </w:tcPr>
          <w:p w14:paraId="26E5EAF6" w14:textId="77777777" w:rsidR="00787C61" w:rsidRPr="0019790A" w:rsidRDefault="00787C61" w:rsidP="0019790A">
            <w:pPr>
              <w:jc w:val="both"/>
              <w:rPr>
                <w:rFonts w:cs="Arial"/>
                <w:color w:val="000000"/>
                <w:szCs w:val="22"/>
                <w:lang w:eastAsia="it-IT"/>
              </w:rPr>
            </w:pPr>
          </w:p>
        </w:tc>
      </w:tr>
      <w:tr w:rsidR="00480C22" w:rsidRPr="0019790A" w14:paraId="607BC4D7" w14:textId="65ECA784" w:rsidTr="00480C22">
        <w:trPr>
          <w:trHeight w:val="240"/>
          <w:jc w:val="right"/>
        </w:trPr>
        <w:tc>
          <w:tcPr>
            <w:tcW w:w="3424" w:type="dxa"/>
            <w:shd w:val="clear" w:color="auto" w:fill="FFFFFF"/>
            <w:vAlign w:val="center"/>
          </w:tcPr>
          <w:p w14:paraId="39FCCA4A" w14:textId="77777777" w:rsidR="00480C22" w:rsidRPr="0019790A" w:rsidRDefault="00480C22" w:rsidP="0019790A">
            <w:pPr>
              <w:rPr>
                <w:rFonts w:cs="Arial"/>
                <w:b/>
                <w:bCs/>
                <w:color w:val="000000"/>
                <w:szCs w:val="22"/>
              </w:rPr>
            </w:pPr>
            <w:r w:rsidRPr="0019790A">
              <w:rPr>
                <w:rFonts w:cs="Arial"/>
                <w:color w:val="000000"/>
                <w:szCs w:val="22"/>
              </w:rPr>
              <w:t>- державний бюджет</w:t>
            </w:r>
          </w:p>
        </w:tc>
        <w:tc>
          <w:tcPr>
            <w:tcW w:w="1290" w:type="dxa"/>
            <w:gridSpan w:val="2"/>
            <w:vAlign w:val="center"/>
          </w:tcPr>
          <w:p w14:paraId="31E95C04" w14:textId="77777777" w:rsidR="00480C22" w:rsidRPr="0019790A" w:rsidRDefault="00480C22" w:rsidP="0019790A">
            <w:pPr>
              <w:jc w:val="both"/>
              <w:rPr>
                <w:rFonts w:cs="Arial"/>
                <w:color w:val="000000"/>
                <w:szCs w:val="22"/>
                <w:lang w:eastAsia="it-IT"/>
              </w:rPr>
            </w:pPr>
          </w:p>
        </w:tc>
        <w:tc>
          <w:tcPr>
            <w:tcW w:w="1240" w:type="dxa"/>
            <w:vAlign w:val="center"/>
          </w:tcPr>
          <w:p w14:paraId="5CE66769" w14:textId="77777777" w:rsidR="00480C22" w:rsidRPr="0019790A" w:rsidRDefault="00480C22" w:rsidP="0019790A">
            <w:pPr>
              <w:jc w:val="both"/>
              <w:rPr>
                <w:rFonts w:cs="Arial"/>
                <w:color w:val="000000"/>
                <w:szCs w:val="22"/>
                <w:lang w:eastAsia="it-IT"/>
              </w:rPr>
            </w:pPr>
          </w:p>
        </w:tc>
        <w:tc>
          <w:tcPr>
            <w:tcW w:w="1402" w:type="dxa"/>
            <w:vAlign w:val="center"/>
          </w:tcPr>
          <w:p w14:paraId="7C1CFF3E" w14:textId="77777777" w:rsidR="00480C22" w:rsidRPr="0019790A" w:rsidRDefault="00480C22" w:rsidP="0019790A">
            <w:pPr>
              <w:jc w:val="both"/>
              <w:rPr>
                <w:rFonts w:cs="Arial"/>
                <w:color w:val="000000"/>
                <w:szCs w:val="22"/>
                <w:lang w:eastAsia="it-IT"/>
              </w:rPr>
            </w:pPr>
          </w:p>
        </w:tc>
        <w:tc>
          <w:tcPr>
            <w:tcW w:w="1265" w:type="dxa"/>
            <w:gridSpan w:val="2"/>
            <w:vAlign w:val="center"/>
          </w:tcPr>
          <w:p w14:paraId="1501839E" w14:textId="77777777" w:rsidR="00480C22" w:rsidRPr="0019790A" w:rsidRDefault="00480C22" w:rsidP="0019790A">
            <w:pPr>
              <w:jc w:val="both"/>
              <w:rPr>
                <w:rFonts w:cs="Arial"/>
                <w:color w:val="000000"/>
                <w:szCs w:val="22"/>
                <w:lang w:eastAsia="it-IT"/>
              </w:rPr>
            </w:pPr>
          </w:p>
        </w:tc>
        <w:tc>
          <w:tcPr>
            <w:tcW w:w="1598" w:type="dxa"/>
            <w:gridSpan w:val="2"/>
            <w:vAlign w:val="center"/>
          </w:tcPr>
          <w:p w14:paraId="42E34D3E" w14:textId="77777777" w:rsidR="00480C22" w:rsidRPr="0019790A" w:rsidRDefault="00480C22" w:rsidP="0019790A">
            <w:pPr>
              <w:jc w:val="both"/>
              <w:rPr>
                <w:rFonts w:cs="Arial"/>
                <w:color w:val="000000"/>
                <w:szCs w:val="22"/>
                <w:lang w:eastAsia="it-IT"/>
              </w:rPr>
            </w:pPr>
          </w:p>
        </w:tc>
      </w:tr>
      <w:tr w:rsidR="00480C22" w:rsidRPr="0019790A" w14:paraId="01A1987E" w14:textId="171AFB3D" w:rsidTr="00480C22">
        <w:trPr>
          <w:trHeight w:val="254"/>
          <w:jc w:val="right"/>
        </w:trPr>
        <w:tc>
          <w:tcPr>
            <w:tcW w:w="3424" w:type="dxa"/>
            <w:shd w:val="clear" w:color="auto" w:fill="FFFFFF"/>
            <w:vAlign w:val="center"/>
          </w:tcPr>
          <w:p w14:paraId="073B5F93" w14:textId="77777777" w:rsidR="00480C22" w:rsidRPr="0019790A" w:rsidRDefault="00480C22" w:rsidP="0019790A">
            <w:pPr>
              <w:rPr>
                <w:rFonts w:cs="Arial"/>
                <w:color w:val="000000"/>
                <w:szCs w:val="22"/>
              </w:rPr>
            </w:pPr>
            <w:r w:rsidRPr="0019790A">
              <w:rPr>
                <w:rFonts w:cs="Arial"/>
                <w:color w:val="000000"/>
                <w:szCs w:val="22"/>
              </w:rPr>
              <w:t>- обласний бюджет</w:t>
            </w:r>
          </w:p>
        </w:tc>
        <w:tc>
          <w:tcPr>
            <w:tcW w:w="1290" w:type="dxa"/>
            <w:gridSpan w:val="2"/>
            <w:vAlign w:val="center"/>
          </w:tcPr>
          <w:p w14:paraId="0BCE3A5C" w14:textId="77777777" w:rsidR="00480C22" w:rsidRPr="0019790A" w:rsidRDefault="00480C22" w:rsidP="0019790A">
            <w:pPr>
              <w:jc w:val="both"/>
              <w:rPr>
                <w:rFonts w:cs="Arial"/>
                <w:color w:val="000000"/>
                <w:szCs w:val="22"/>
                <w:lang w:eastAsia="it-IT"/>
              </w:rPr>
            </w:pPr>
          </w:p>
        </w:tc>
        <w:tc>
          <w:tcPr>
            <w:tcW w:w="1240" w:type="dxa"/>
            <w:vAlign w:val="center"/>
          </w:tcPr>
          <w:p w14:paraId="545C6FBF" w14:textId="77777777" w:rsidR="00480C22" w:rsidRPr="0019790A" w:rsidRDefault="00480C22" w:rsidP="0019790A">
            <w:pPr>
              <w:jc w:val="both"/>
              <w:rPr>
                <w:rFonts w:cs="Arial"/>
                <w:color w:val="000000"/>
                <w:szCs w:val="22"/>
                <w:lang w:eastAsia="it-IT"/>
              </w:rPr>
            </w:pPr>
          </w:p>
        </w:tc>
        <w:tc>
          <w:tcPr>
            <w:tcW w:w="1402" w:type="dxa"/>
            <w:vAlign w:val="center"/>
          </w:tcPr>
          <w:p w14:paraId="5F6D8D3D" w14:textId="77777777" w:rsidR="00480C22" w:rsidRPr="0019790A" w:rsidRDefault="00480C22" w:rsidP="0019790A">
            <w:pPr>
              <w:jc w:val="both"/>
              <w:rPr>
                <w:rFonts w:cs="Arial"/>
                <w:color w:val="000000"/>
                <w:szCs w:val="22"/>
                <w:lang w:eastAsia="it-IT"/>
              </w:rPr>
            </w:pPr>
          </w:p>
        </w:tc>
        <w:tc>
          <w:tcPr>
            <w:tcW w:w="1265" w:type="dxa"/>
            <w:gridSpan w:val="2"/>
            <w:vAlign w:val="center"/>
          </w:tcPr>
          <w:p w14:paraId="5B53C5D5" w14:textId="77777777" w:rsidR="00480C22" w:rsidRPr="0019790A" w:rsidRDefault="00480C22" w:rsidP="0019790A">
            <w:pPr>
              <w:jc w:val="both"/>
              <w:rPr>
                <w:rFonts w:cs="Arial"/>
                <w:color w:val="000000"/>
                <w:szCs w:val="22"/>
                <w:lang w:eastAsia="it-IT"/>
              </w:rPr>
            </w:pPr>
          </w:p>
        </w:tc>
        <w:tc>
          <w:tcPr>
            <w:tcW w:w="1598" w:type="dxa"/>
            <w:gridSpan w:val="2"/>
            <w:vAlign w:val="center"/>
          </w:tcPr>
          <w:p w14:paraId="01251613" w14:textId="77777777" w:rsidR="00480C22" w:rsidRPr="0019790A" w:rsidRDefault="00480C22" w:rsidP="0019790A">
            <w:pPr>
              <w:jc w:val="both"/>
              <w:rPr>
                <w:rFonts w:cs="Arial"/>
                <w:color w:val="000000"/>
                <w:szCs w:val="22"/>
                <w:lang w:eastAsia="it-IT"/>
              </w:rPr>
            </w:pPr>
          </w:p>
        </w:tc>
      </w:tr>
      <w:tr w:rsidR="00480C22" w:rsidRPr="0019790A" w14:paraId="4BB2DB8C" w14:textId="556C4DA4" w:rsidTr="00480C22">
        <w:trPr>
          <w:trHeight w:val="275"/>
          <w:jc w:val="right"/>
        </w:trPr>
        <w:tc>
          <w:tcPr>
            <w:tcW w:w="3424" w:type="dxa"/>
            <w:shd w:val="clear" w:color="auto" w:fill="FFFFFF"/>
            <w:vAlign w:val="center"/>
          </w:tcPr>
          <w:p w14:paraId="2F63CEAD" w14:textId="77777777" w:rsidR="00480C22" w:rsidRPr="0019790A" w:rsidRDefault="00480C22" w:rsidP="00480C22">
            <w:pPr>
              <w:rPr>
                <w:rFonts w:cs="Arial"/>
                <w:color w:val="000000"/>
                <w:szCs w:val="22"/>
              </w:rPr>
            </w:pPr>
            <w:r w:rsidRPr="0019790A">
              <w:rPr>
                <w:rFonts w:cs="Arial"/>
                <w:color w:val="000000"/>
                <w:szCs w:val="22"/>
              </w:rPr>
              <w:t>- бюджет Жмеринської МТГ</w:t>
            </w:r>
          </w:p>
        </w:tc>
        <w:tc>
          <w:tcPr>
            <w:tcW w:w="1290" w:type="dxa"/>
            <w:gridSpan w:val="2"/>
          </w:tcPr>
          <w:p w14:paraId="22FC7F78" w14:textId="1BC63B01" w:rsidR="00480C22" w:rsidRPr="0019790A" w:rsidRDefault="00480C22" w:rsidP="00480C22">
            <w:pPr>
              <w:jc w:val="both"/>
              <w:rPr>
                <w:rFonts w:cs="Arial"/>
                <w:color w:val="000000"/>
                <w:szCs w:val="22"/>
                <w:lang w:eastAsia="it-IT"/>
              </w:rPr>
            </w:pPr>
          </w:p>
        </w:tc>
        <w:tc>
          <w:tcPr>
            <w:tcW w:w="1240" w:type="dxa"/>
            <w:vAlign w:val="center"/>
          </w:tcPr>
          <w:p w14:paraId="22160ADF" w14:textId="21058839" w:rsidR="00480C22" w:rsidRPr="0019790A" w:rsidRDefault="00480C22" w:rsidP="00480C22">
            <w:pPr>
              <w:jc w:val="center"/>
              <w:rPr>
                <w:rFonts w:cs="Arial"/>
                <w:color w:val="000000"/>
                <w:szCs w:val="22"/>
                <w:lang w:eastAsia="it-IT"/>
              </w:rPr>
            </w:pPr>
            <w:r w:rsidRPr="0019790A">
              <w:rPr>
                <w:rFonts w:cs="Arial"/>
                <w:b/>
                <w:color w:val="000000"/>
                <w:szCs w:val="22"/>
                <w:lang w:eastAsia="it-IT"/>
              </w:rPr>
              <w:t>4700,0</w:t>
            </w:r>
          </w:p>
        </w:tc>
        <w:tc>
          <w:tcPr>
            <w:tcW w:w="1402" w:type="dxa"/>
            <w:vAlign w:val="center"/>
          </w:tcPr>
          <w:p w14:paraId="162ACB88" w14:textId="6C47B9D0" w:rsidR="00480C22" w:rsidRPr="0019790A" w:rsidRDefault="00480C22" w:rsidP="00480C22">
            <w:pPr>
              <w:jc w:val="both"/>
              <w:rPr>
                <w:rFonts w:cs="Arial"/>
                <w:color w:val="000000"/>
                <w:szCs w:val="22"/>
                <w:lang w:eastAsia="it-IT"/>
              </w:rPr>
            </w:pPr>
            <w:r w:rsidRPr="0019790A">
              <w:rPr>
                <w:rFonts w:cs="Arial"/>
                <w:b/>
                <w:color w:val="000000"/>
                <w:szCs w:val="22"/>
                <w:lang w:eastAsia="it-IT"/>
              </w:rPr>
              <w:t>-</w:t>
            </w:r>
          </w:p>
        </w:tc>
        <w:tc>
          <w:tcPr>
            <w:tcW w:w="1265" w:type="dxa"/>
            <w:gridSpan w:val="2"/>
            <w:vAlign w:val="center"/>
          </w:tcPr>
          <w:p w14:paraId="2B7F3A43" w14:textId="16B048DE" w:rsidR="00480C22" w:rsidRPr="0019790A" w:rsidRDefault="00480C22" w:rsidP="00480C22">
            <w:pPr>
              <w:jc w:val="both"/>
              <w:rPr>
                <w:rFonts w:cs="Arial"/>
                <w:color w:val="000000"/>
                <w:szCs w:val="22"/>
                <w:lang w:eastAsia="it-IT"/>
              </w:rPr>
            </w:pPr>
            <w:r w:rsidRPr="0019790A">
              <w:rPr>
                <w:rFonts w:cs="Arial"/>
                <w:b/>
                <w:color w:val="000000"/>
                <w:szCs w:val="22"/>
                <w:lang w:eastAsia="it-IT"/>
              </w:rPr>
              <w:t>-</w:t>
            </w:r>
          </w:p>
        </w:tc>
        <w:tc>
          <w:tcPr>
            <w:tcW w:w="1598" w:type="dxa"/>
            <w:gridSpan w:val="2"/>
            <w:vAlign w:val="center"/>
          </w:tcPr>
          <w:p w14:paraId="36EB77A7" w14:textId="03E81A22" w:rsidR="00480C22" w:rsidRPr="0019790A" w:rsidRDefault="00480C22" w:rsidP="00480C22">
            <w:pPr>
              <w:jc w:val="center"/>
              <w:rPr>
                <w:rFonts w:cs="Arial"/>
                <w:color w:val="000000"/>
                <w:szCs w:val="22"/>
                <w:lang w:eastAsia="it-IT"/>
              </w:rPr>
            </w:pPr>
            <w:r w:rsidRPr="0019790A">
              <w:rPr>
                <w:rFonts w:cs="Arial"/>
                <w:b/>
                <w:color w:val="000000"/>
                <w:szCs w:val="22"/>
                <w:lang w:eastAsia="it-IT"/>
              </w:rPr>
              <w:t>4700,0</w:t>
            </w:r>
          </w:p>
        </w:tc>
      </w:tr>
      <w:tr w:rsidR="00480C22" w:rsidRPr="0019790A" w14:paraId="62D67789" w14:textId="5EBB749F" w:rsidTr="00480C22">
        <w:trPr>
          <w:trHeight w:val="226"/>
          <w:jc w:val="right"/>
        </w:trPr>
        <w:tc>
          <w:tcPr>
            <w:tcW w:w="3424" w:type="dxa"/>
            <w:shd w:val="clear" w:color="auto" w:fill="FFFFFF"/>
            <w:vAlign w:val="center"/>
          </w:tcPr>
          <w:p w14:paraId="279D6DDA" w14:textId="77777777" w:rsidR="00480C22" w:rsidRPr="0019790A" w:rsidRDefault="00480C22" w:rsidP="00480C22">
            <w:pPr>
              <w:rPr>
                <w:rFonts w:cs="Arial"/>
                <w:color w:val="000000"/>
                <w:szCs w:val="22"/>
              </w:rPr>
            </w:pPr>
            <w:r w:rsidRPr="0019790A">
              <w:rPr>
                <w:rFonts w:cs="Arial"/>
                <w:color w:val="000000"/>
                <w:szCs w:val="22"/>
              </w:rPr>
              <w:t>- інші джерела фінансування</w:t>
            </w:r>
          </w:p>
        </w:tc>
        <w:tc>
          <w:tcPr>
            <w:tcW w:w="1290" w:type="dxa"/>
            <w:gridSpan w:val="2"/>
          </w:tcPr>
          <w:p w14:paraId="5D8C1A36" w14:textId="77777777" w:rsidR="00480C22" w:rsidRPr="0019790A" w:rsidRDefault="00480C22" w:rsidP="00480C22">
            <w:pPr>
              <w:rPr>
                <w:rFonts w:cs="Arial"/>
                <w:szCs w:val="22"/>
              </w:rPr>
            </w:pPr>
          </w:p>
        </w:tc>
        <w:tc>
          <w:tcPr>
            <w:tcW w:w="1240" w:type="dxa"/>
          </w:tcPr>
          <w:p w14:paraId="74D12280" w14:textId="77777777" w:rsidR="00480C22" w:rsidRPr="0019790A" w:rsidRDefault="00480C22" w:rsidP="00480C22">
            <w:pPr>
              <w:rPr>
                <w:rFonts w:cs="Arial"/>
                <w:szCs w:val="22"/>
              </w:rPr>
            </w:pPr>
          </w:p>
        </w:tc>
        <w:tc>
          <w:tcPr>
            <w:tcW w:w="1402" w:type="dxa"/>
          </w:tcPr>
          <w:p w14:paraId="1FEE13B2" w14:textId="77777777" w:rsidR="00480C22" w:rsidRPr="0019790A" w:rsidRDefault="00480C22" w:rsidP="00480C22">
            <w:pPr>
              <w:rPr>
                <w:rFonts w:cs="Arial"/>
                <w:szCs w:val="22"/>
              </w:rPr>
            </w:pPr>
          </w:p>
        </w:tc>
        <w:tc>
          <w:tcPr>
            <w:tcW w:w="1265" w:type="dxa"/>
            <w:gridSpan w:val="2"/>
          </w:tcPr>
          <w:p w14:paraId="1DB10869" w14:textId="77777777" w:rsidR="00480C22" w:rsidRPr="0019790A" w:rsidRDefault="00480C22" w:rsidP="00480C22">
            <w:pPr>
              <w:rPr>
                <w:rFonts w:cs="Arial"/>
                <w:szCs w:val="22"/>
              </w:rPr>
            </w:pPr>
          </w:p>
        </w:tc>
        <w:tc>
          <w:tcPr>
            <w:tcW w:w="1598" w:type="dxa"/>
            <w:gridSpan w:val="2"/>
          </w:tcPr>
          <w:p w14:paraId="5875D1C0" w14:textId="77777777" w:rsidR="00480C22" w:rsidRPr="0019790A" w:rsidRDefault="00480C22" w:rsidP="00480C22">
            <w:pPr>
              <w:rPr>
                <w:rFonts w:cs="Arial"/>
                <w:szCs w:val="22"/>
              </w:rPr>
            </w:pPr>
          </w:p>
        </w:tc>
      </w:tr>
      <w:tr w:rsidR="00480C22" w:rsidRPr="0019790A" w14:paraId="2B638B3A" w14:textId="77777777" w:rsidTr="00480C22">
        <w:trPr>
          <w:jc w:val="right"/>
        </w:trPr>
        <w:tc>
          <w:tcPr>
            <w:tcW w:w="3424" w:type="dxa"/>
            <w:shd w:val="clear" w:color="auto" w:fill="FFFFFF"/>
            <w:vAlign w:val="center"/>
          </w:tcPr>
          <w:p w14:paraId="58B4AE84" w14:textId="77777777" w:rsidR="00480C22" w:rsidRPr="0019790A" w:rsidRDefault="00480C22" w:rsidP="00480C22">
            <w:pPr>
              <w:rPr>
                <w:rFonts w:cs="Arial"/>
                <w:b/>
                <w:bCs/>
                <w:color w:val="000000"/>
                <w:szCs w:val="22"/>
              </w:rPr>
            </w:pPr>
            <w:r w:rsidRPr="0019790A">
              <w:rPr>
                <w:rFonts w:cs="Arial"/>
                <w:b/>
                <w:color w:val="000000"/>
                <w:szCs w:val="22"/>
              </w:rPr>
              <w:t>Відповідальний виконавець проєкту:</w:t>
            </w:r>
          </w:p>
        </w:tc>
        <w:tc>
          <w:tcPr>
            <w:tcW w:w="6795" w:type="dxa"/>
            <w:gridSpan w:val="8"/>
            <w:vAlign w:val="center"/>
          </w:tcPr>
          <w:p w14:paraId="2697DF70" w14:textId="77777777" w:rsidR="00480C22" w:rsidRPr="0019790A" w:rsidRDefault="00480C22" w:rsidP="00480C22">
            <w:pPr>
              <w:jc w:val="both"/>
              <w:rPr>
                <w:rFonts w:cs="Arial"/>
                <w:color w:val="000000"/>
                <w:szCs w:val="22"/>
                <w:lang w:eastAsia="it-IT"/>
              </w:rPr>
            </w:pPr>
            <w:r w:rsidRPr="0019790A">
              <w:rPr>
                <w:rFonts w:cs="Arial"/>
                <w:szCs w:val="22"/>
              </w:rPr>
              <w:t xml:space="preserve">Управління культури і туризму Жмеринської міської ради </w:t>
            </w:r>
          </w:p>
        </w:tc>
      </w:tr>
      <w:tr w:rsidR="00480C22" w:rsidRPr="0019790A" w14:paraId="4513F811" w14:textId="77777777" w:rsidTr="00480C22">
        <w:trPr>
          <w:jc w:val="right"/>
        </w:trPr>
        <w:tc>
          <w:tcPr>
            <w:tcW w:w="3424" w:type="dxa"/>
            <w:shd w:val="clear" w:color="auto" w:fill="FFFFFF"/>
            <w:vAlign w:val="center"/>
          </w:tcPr>
          <w:p w14:paraId="24E10B1C" w14:textId="77777777" w:rsidR="00480C22" w:rsidRPr="0019790A" w:rsidRDefault="00480C22" w:rsidP="00480C22">
            <w:pPr>
              <w:rPr>
                <w:rFonts w:cs="Arial"/>
                <w:b/>
                <w:bCs/>
                <w:color w:val="000000"/>
                <w:szCs w:val="22"/>
              </w:rPr>
            </w:pPr>
            <w:r w:rsidRPr="0019790A">
              <w:rPr>
                <w:rFonts w:cs="Arial"/>
                <w:b/>
                <w:bCs/>
                <w:color w:val="000000"/>
                <w:szCs w:val="22"/>
              </w:rPr>
              <w:t>Інше:</w:t>
            </w:r>
          </w:p>
        </w:tc>
        <w:tc>
          <w:tcPr>
            <w:tcW w:w="6795" w:type="dxa"/>
            <w:gridSpan w:val="8"/>
            <w:vAlign w:val="center"/>
          </w:tcPr>
          <w:p w14:paraId="6873FF3F" w14:textId="77777777" w:rsidR="00480C22" w:rsidRPr="0019790A" w:rsidRDefault="00480C22" w:rsidP="00480C22">
            <w:pPr>
              <w:jc w:val="both"/>
              <w:rPr>
                <w:rFonts w:cs="Arial"/>
                <w:color w:val="000000"/>
                <w:szCs w:val="22"/>
                <w:lang w:eastAsia="it-IT"/>
              </w:rPr>
            </w:pPr>
            <w:r w:rsidRPr="0019790A">
              <w:rPr>
                <w:rFonts w:cs="Arial"/>
                <w:color w:val="000000"/>
                <w:szCs w:val="22"/>
              </w:rPr>
              <w:t>Облаштоване укриття дозволить зберегти життєдіяльність культурної сфери громади, убезпечити населення в умовах тривожного часу та слугуватиме надійною підтримкою соціального функціонування села.</w:t>
            </w:r>
          </w:p>
        </w:tc>
      </w:tr>
    </w:tbl>
    <w:p w14:paraId="2A207866" w14:textId="77777777" w:rsidR="00787C61" w:rsidRPr="0019790A" w:rsidRDefault="00787C61" w:rsidP="0019790A">
      <w:pPr>
        <w:rPr>
          <w:rFonts w:cs="Arial"/>
          <w:szCs w:val="22"/>
        </w:rPr>
      </w:pPr>
    </w:p>
    <w:p w14:paraId="02F8BFE1" w14:textId="77777777" w:rsidR="00787C61" w:rsidRPr="0019790A" w:rsidRDefault="00787C61" w:rsidP="0019790A">
      <w:pPr>
        <w:jc w:val="center"/>
        <w:rPr>
          <w:rFonts w:cs="Arial"/>
          <w:b/>
          <w:color w:val="000000"/>
          <w:szCs w:val="22"/>
        </w:rPr>
      </w:pPr>
      <w:r w:rsidRPr="0019790A">
        <w:rPr>
          <w:rFonts w:cs="Arial"/>
          <w:b/>
          <w:color w:val="000000"/>
          <w:szCs w:val="22"/>
        </w:rPr>
        <w:t xml:space="preserve">Форма технічного завдання на проєкт місцевого розвитку </w:t>
      </w:r>
    </w:p>
    <w:p w14:paraId="1BE5BDA8" w14:textId="77777777" w:rsidR="00787C61" w:rsidRPr="0019790A" w:rsidRDefault="00787C61" w:rsidP="0019790A">
      <w:pPr>
        <w:jc w:val="center"/>
        <w:rPr>
          <w:rFonts w:cs="Arial"/>
          <w:b/>
          <w:color w:val="000000"/>
          <w:szCs w:val="22"/>
        </w:rPr>
      </w:pPr>
      <w:r w:rsidRPr="0019790A">
        <w:rPr>
          <w:rFonts w:cs="Arial"/>
          <w:b/>
          <w:color w:val="000000"/>
          <w:szCs w:val="22"/>
        </w:rPr>
        <w:t>до Плану заходів з реалізації Стратегії</w:t>
      </w:r>
    </w:p>
    <w:p w14:paraId="57A9A23C" w14:textId="77777777" w:rsidR="00787C61" w:rsidRPr="0019790A" w:rsidRDefault="00787C61"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27"/>
        <w:gridCol w:w="27"/>
        <w:gridCol w:w="1263"/>
        <w:gridCol w:w="12"/>
        <w:gridCol w:w="1418"/>
        <w:gridCol w:w="10"/>
        <w:gridCol w:w="1266"/>
        <w:gridCol w:w="11"/>
        <w:gridCol w:w="1560"/>
      </w:tblGrid>
      <w:tr w:rsidR="00787C61" w:rsidRPr="0019790A" w14:paraId="6CE0DA7C" w14:textId="77777777" w:rsidTr="00787C61">
        <w:trPr>
          <w:jc w:val="right"/>
        </w:trPr>
        <w:tc>
          <w:tcPr>
            <w:tcW w:w="3425" w:type="dxa"/>
            <w:vAlign w:val="center"/>
          </w:tcPr>
          <w:p w14:paraId="21C1BE3A" w14:textId="77777777" w:rsidR="00787C61" w:rsidRPr="0019790A" w:rsidRDefault="00787C61" w:rsidP="0019790A">
            <w:pPr>
              <w:rPr>
                <w:rFonts w:cs="Arial"/>
                <w:b/>
                <w:bCs/>
                <w:color w:val="000000"/>
                <w:szCs w:val="22"/>
              </w:rPr>
            </w:pPr>
            <w:r w:rsidRPr="0019790A">
              <w:rPr>
                <w:rFonts w:cs="Arial"/>
                <w:b/>
                <w:bCs/>
                <w:color w:val="000000"/>
                <w:szCs w:val="22"/>
              </w:rPr>
              <w:t>Назва проєкту:</w:t>
            </w:r>
          </w:p>
        </w:tc>
        <w:tc>
          <w:tcPr>
            <w:tcW w:w="6794" w:type="dxa"/>
            <w:gridSpan w:val="9"/>
          </w:tcPr>
          <w:p w14:paraId="20AB762A" w14:textId="77777777" w:rsidR="00787C61" w:rsidRPr="0019790A" w:rsidRDefault="00787C61" w:rsidP="00480C22">
            <w:pPr>
              <w:jc w:val="both"/>
              <w:rPr>
                <w:rFonts w:cs="Arial"/>
                <w:b/>
                <w:szCs w:val="22"/>
                <w:lang w:eastAsia="it-IT"/>
              </w:rPr>
            </w:pPr>
            <w:r w:rsidRPr="0019790A">
              <w:rPr>
                <w:rFonts w:cs="Arial"/>
                <w:b/>
                <w:szCs w:val="22"/>
                <w:lang w:eastAsia="it-IT"/>
              </w:rPr>
              <w:t>«Безпечна культура: облаштування укриття в будинку культури села Біликівці»</w:t>
            </w:r>
          </w:p>
        </w:tc>
      </w:tr>
      <w:tr w:rsidR="00787C61" w:rsidRPr="0019790A" w14:paraId="4B5EEB1D" w14:textId="77777777" w:rsidTr="00787C61">
        <w:trPr>
          <w:jc w:val="right"/>
        </w:trPr>
        <w:tc>
          <w:tcPr>
            <w:tcW w:w="3425" w:type="dxa"/>
          </w:tcPr>
          <w:p w14:paraId="092AADDA" w14:textId="77777777" w:rsidR="00787C61" w:rsidRPr="0019790A" w:rsidRDefault="00787C61"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455C3FC3" w14:textId="77777777" w:rsidR="00787C61" w:rsidRPr="0019790A" w:rsidRDefault="00787C61"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9"/>
          </w:tcPr>
          <w:p w14:paraId="7F07052F" w14:textId="77777777" w:rsidR="00787C61" w:rsidRPr="00480C22" w:rsidRDefault="00787C61" w:rsidP="0019790A">
            <w:pPr>
              <w:rPr>
                <w:rFonts w:cs="Arial"/>
                <w:szCs w:val="22"/>
                <w:lang w:eastAsia="it-IT"/>
              </w:rPr>
            </w:pPr>
            <w:r w:rsidRPr="00480C22">
              <w:rPr>
                <w:rFonts w:cs="Arial"/>
                <w:szCs w:val="22"/>
                <w:lang w:eastAsia="it-IT"/>
              </w:rPr>
              <w:t>Управління культури і туризму Жмеринської міської ради</w:t>
            </w:r>
          </w:p>
        </w:tc>
      </w:tr>
      <w:tr w:rsidR="00787C61" w:rsidRPr="0019790A" w14:paraId="48F07306" w14:textId="77777777" w:rsidTr="00787C61">
        <w:trPr>
          <w:jc w:val="right"/>
        </w:trPr>
        <w:tc>
          <w:tcPr>
            <w:tcW w:w="3425" w:type="dxa"/>
          </w:tcPr>
          <w:p w14:paraId="136E87F0" w14:textId="77777777" w:rsidR="00787C61" w:rsidRPr="0019790A" w:rsidRDefault="00787C61" w:rsidP="0019790A">
            <w:pPr>
              <w:rPr>
                <w:rFonts w:cs="Arial"/>
                <w:b/>
                <w:bCs/>
                <w:szCs w:val="22"/>
              </w:rPr>
            </w:pPr>
            <w:r w:rsidRPr="0019790A">
              <w:rPr>
                <w:rFonts w:cs="Arial"/>
                <w:szCs w:val="22"/>
                <w:lang w:eastAsia="it-IT"/>
              </w:rPr>
              <w:t>Прізвище Ім’я По-батькові:</w:t>
            </w:r>
          </w:p>
        </w:tc>
        <w:tc>
          <w:tcPr>
            <w:tcW w:w="6794" w:type="dxa"/>
            <w:gridSpan w:val="9"/>
          </w:tcPr>
          <w:p w14:paraId="1261B1D8" w14:textId="77777777" w:rsidR="00787C61" w:rsidRPr="00480C22" w:rsidRDefault="00787C61" w:rsidP="0019790A">
            <w:pPr>
              <w:rPr>
                <w:rFonts w:cs="Arial"/>
                <w:szCs w:val="22"/>
                <w:lang w:eastAsia="it-IT"/>
              </w:rPr>
            </w:pPr>
            <w:r w:rsidRPr="00480C22">
              <w:rPr>
                <w:rFonts w:cs="Arial"/>
                <w:szCs w:val="22"/>
                <w:lang w:eastAsia="it-IT"/>
              </w:rPr>
              <w:t>Дудік Володимир Валентинович</w:t>
            </w:r>
          </w:p>
        </w:tc>
      </w:tr>
      <w:tr w:rsidR="00787C61" w:rsidRPr="0019790A" w14:paraId="1A661CAC" w14:textId="77777777" w:rsidTr="00787C61">
        <w:trPr>
          <w:jc w:val="right"/>
        </w:trPr>
        <w:tc>
          <w:tcPr>
            <w:tcW w:w="3425" w:type="dxa"/>
          </w:tcPr>
          <w:p w14:paraId="4B7998ED" w14:textId="77777777" w:rsidR="00787C61" w:rsidRPr="0019790A" w:rsidRDefault="00787C61" w:rsidP="0019790A">
            <w:pPr>
              <w:rPr>
                <w:rFonts w:cs="Arial"/>
                <w:b/>
                <w:bCs/>
                <w:szCs w:val="22"/>
              </w:rPr>
            </w:pPr>
            <w:r w:rsidRPr="0019790A">
              <w:rPr>
                <w:rFonts w:cs="Arial"/>
                <w:szCs w:val="22"/>
                <w:lang w:eastAsia="it-IT"/>
              </w:rPr>
              <w:t>Телефон (мобільний):</w:t>
            </w:r>
          </w:p>
        </w:tc>
        <w:tc>
          <w:tcPr>
            <w:tcW w:w="6794" w:type="dxa"/>
            <w:gridSpan w:val="9"/>
          </w:tcPr>
          <w:p w14:paraId="12EC9D95" w14:textId="77777777" w:rsidR="00787C61" w:rsidRPr="00480C22" w:rsidRDefault="00787C61" w:rsidP="0019790A">
            <w:pPr>
              <w:rPr>
                <w:rFonts w:cs="Arial"/>
                <w:szCs w:val="22"/>
                <w:lang w:eastAsia="it-IT"/>
              </w:rPr>
            </w:pPr>
            <w:r w:rsidRPr="00480C22">
              <w:rPr>
                <w:rFonts w:cs="Arial"/>
                <w:szCs w:val="22"/>
                <w:lang w:eastAsia="it-IT"/>
              </w:rPr>
              <w:t>0674303746</w:t>
            </w:r>
          </w:p>
        </w:tc>
      </w:tr>
      <w:tr w:rsidR="00787C61" w:rsidRPr="0019790A" w14:paraId="1DE41746" w14:textId="77777777" w:rsidTr="00787C61">
        <w:trPr>
          <w:jc w:val="right"/>
        </w:trPr>
        <w:tc>
          <w:tcPr>
            <w:tcW w:w="3425" w:type="dxa"/>
          </w:tcPr>
          <w:p w14:paraId="5A66A728" w14:textId="77777777" w:rsidR="00787C61" w:rsidRPr="0019790A" w:rsidRDefault="00787C61" w:rsidP="0019790A">
            <w:pPr>
              <w:rPr>
                <w:rFonts w:cs="Arial"/>
                <w:b/>
                <w:bCs/>
                <w:szCs w:val="22"/>
              </w:rPr>
            </w:pPr>
            <w:r w:rsidRPr="0019790A">
              <w:rPr>
                <w:rFonts w:cs="Arial"/>
                <w:szCs w:val="22"/>
                <w:lang w:eastAsia="it-IT"/>
              </w:rPr>
              <w:t>Електронна адреса:</w:t>
            </w:r>
          </w:p>
        </w:tc>
        <w:tc>
          <w:tcPr>
            <w:tcW w:w="6794" w:type="dxa"/>
            <w:gridSpan w:val="9"/>
          </w:tcPr>
          <w:p w14:paraId="2F279DF9" w14:textId="7DEA73C8" w:rsidR="00787C61" w:rsidRPr="00480C22" w:rsidRDefault="00D85FFD" w:rsidP="0019790A">
            <w:pPr>
              <w:rPr>
                <w:rFonts w:cs="Arial"/>
                <w:szCs w:val="22"/>
                <w:lang w:eastAsia="it-IT"/>
              </w:rPr>
            </w:pPr>
            <w:hyperlink r:id="rId100" w:history="1">
              <w:r w:rsidR="00480C22" w:rsidRPr="00BF0394">
                <w:rPr>
                  <w:rStyle w:val="af0"/>
                  <w:rFonts w:cs="Arial"/>
                  <w:noProof w:val="0"/>
                  <w:sz w:val="22"/>
                  <w:szCs w:val="22"/>
                  <w:lang w:eastAsia="it-IT"/>
                </w:rPr>
                <w:t>kult@zhmr.gov.ua</w:t>
              </w:r>
            </w:hyperlink>
            <w:r w:rsidR="00480C22">
              <w:rPr>
                <w:rFonts w:cs="Arial"/>
                <w:szCs w:val="22"/>
                <w:lang w:eastAsia="it-IT"/>
              </w:rPr>
              <w:t xml:space="preserve"> </w:t>
            </w:r>
          </w:p>
        </w:tc>
      </w:tr>
      <w:tr w:rsidR="00787C61" w:rsidRPr="0019790A" w14:paraId="58CB1FE4" w14:textId="77777777" w:rsidTr="00787C61">
        <w:trPr>
          <w:jc w:val="right"/>
        </w:trPr>
        <w:tc>
          <w:tcPr>
            <w:tcW w:w="3425" w:type="dxa"/>
            <w:vAlign w:val="center"/>
          </w:tcPr>
          <w:p w14:paraId="525DACA6" w14:textId="77777777" w:rsidR="00787C61" w:rsidRPr="0019790A" w:rsidRDefault="00787C61" w:rsidP="0019790A">
            <w:pPr>
              <w:outlineLvl w:val="5"/>
              <w:rPr>
                <w:rFonts w:cs="Arial"/>
                <w:b/>
                <w:bCs/>
                <w:color w:val="000000"/>
                <w:szCs w:val="22"/>
              </w:rPr>
            </w:pPr>
            <w:r w:rsidRPr="0019790A">
              <w:rPr>
                <w:rFonts w:cs="Arial"/>
                <w:b/>
                <w:bCs/>
                <w:color w:val="000000"/>
                <w:szCs w:val="22"/>
              </w:rPr>
              <w:t>Номер і назва завдання з Стратегії</w:t>
            </w:r>
            <w:r w:rsidRPr="0019790A">
              <w:rPr>
                <w:rFonts w:cs="Arial"/>
                <w:b/>
                <w:bCs/>
                <w:szCs w:val="22"/>
                <w:lang w:eastAsia="it-IT"/>
              </w:rPr>
              <w:t xml:space="preserve"> </w:t>
            </w:r>
            <w:r w:rsidRPr="0019790A">
              <w:rPr>
                <w:rFonts w:cs="Arial"/>
                <w:b/>
                <w:bCs/>
                <w:color w:val="000000"/>
                <w:szCs w:val="22"/>
              </w:rPr>
              <w:t>розвитку Жмеринської міської територіальної громади,  якому відповідає проєкт:</w:t>
            </w:r>
          </w:p>
        </w:tc>
        <w:tc>
          <w:tcPr>
            <w:tcW w:w="6794" w:type="dxa"/>
            <w:gridSpan w:val="9"/>
          </w:tcPr>
          <w:p w14:paraId="6EB53C6F" w14:textId="77777777" w:rsidR="00787C61" w:rsidRPr="00480C22" w:rsidRDefault="00787C61" w:rsidP="0019790A">
            <w:pPr>
              <w:pBdr>
                <w:left w:val="single" w:sz="18" w:space="4" w:color="auto"/>
              </w:pBdr>
              <w:rPr>
                <w:rFonts w:cs="Arial"/>
                <w:szCs w:val="22"/>
                <w:lang w:eastAsia="it-IT"/>
              </w:rPr>
            </w:pPr>
            <w:r w:rsidRPr="00480C22">
              <w:rPr>
                <w:rFonts w:cs="Arial"/>
                <w:szCs w:val="22"/>
                <w:lang w:eastAsia="it-IT"/>
              </w:rPr>
              <w:t>В. 4. Ефективна система безпеки громади.</w:t>
            </w:r>
          </w:p>
          <w:p w14:paraId="39DC7040" w14:textId="77777777" w:rsidR="00787C61" w:rsidRPr="0019790A" w:rsidRDefault="00787C61" w:rsidP="0019790A">
            <w:pPr>
              <w:pBdr>
                <w:left w:val="single" w:sz="18" w:space="4" w:color="auto"/>
              </w:pBdr>
              <w:rPr>
                <w:rFonts w:cs="Arial"/>
                <w:b/>
                <w:szCs w:val="22"/>
                <w:lang w:eastAsia="it-IT"/>
              </w:rPr>
            </w:pPr>
            <w:r w:rsidRPr="00480C22">
              <w:rPr>
                <w:rFonts w:cs="Arial"/>
                <w:szCs w:val="22"/>
                <w:lang w:eastAsia="it-IT"/>
              </w:rPr>
              <w:t>В. 4.2.3. Забезпечення укриття населення в захисних спорудах всіх типів.</w:t>
            </w:r>
          </w:p>
        </w:tc>
      </w:tr>
      <w:tr w:rsidR="00787C61" w:rsidRPr="0019790A" w14:paraId="692ED5CE" w14:textId="77777777" w:rsidTr="00787C61">
        <w:trPr>
          <w:jc w:val="right"/>
        </w:trPr>
        <w:tc>
          <w:tcPr>
            <w:tcW w:w="3425" w:type="dxa"/>
            <w:vAlign w:val="center"/>
          </w:tcPr>
          <w:p w14:paraId="0393431A" w14:textId="77777777" w:rsidR="00787C61" w:rsidRPr="0019790A" w:rsidRDefault="00787C61" w:rsidP="0019790A">
            <w:pPr>
              <w:rPr>
                <w:rFonts w:cs="Arial"/>
                <w:b/>
                <w:bCs/>
                <w:color w:val="000000"/>
                <w:szCs w:val="22"/>
              </w:rPr>
            </w:pPr>
            <w:r w:rsidRPr="0019790A">
              <w:rPr>
                <w:rFonts w:cs="Arial"/>
                <w:b/>
                <w:bCs/>
                <w:color w:val="000000"/>
                <w:szCs w:val="22"/>
              </w:rPr>
              <w:t>Мета проєкту:</w:t>
            </w:r>
          </w:p>
        </w:tc>
        <w:tc>
          <w:tcPr>
            <w:tcW w:w="6794" w:type="dxa"/>
            <w:gridSpan w:val="9"/>
          </w:tcPr>
          <w:p w14:paraId="4381E4AF" w14:textId="77777777" w:rsidR="00787C61" w:rsidRPr="0019790A" w:rsidRDefault="00787C61" w:rsidP="00480C22">
            <w:pPr>
              <w:jc w:val="both"/>
              <w:rPr>
                <w:rFonts w:cs="Arial"/>
                <w:szCs w:val="22"/>
                <w:lang w:eastAsia="it-IT"/>
              </w:rPr>
            </w:pPr>
            <w:r w:rsidRPr="0019790A">
              <w:rPr>
                <w:rFonts w:cs="Arial"/>
                <w:szCs w:val="22"/>
                <w:lang w:eastAsia="it-IT"/>
              </w:rPr>
              <w:t>Забезпечити захисні умови перебування для населення у сільському закладі культури, який є центрами громадської активності, через облаштування укриття відповідно до чинних вимог безпеки.</w:t>
            </w:r>
          </w:p>
        </w:tc>
      </w:tr>
      <w:tr w:rsidR="00787C61" w:rsidRPr="0019790A" w14:paraId="3BCF2253" w14:textId="77777777" w:rsidTr="00787C61">
        <w:trPr>
          <w:jc w:val="right"/>
        </w:trPr>
        <w:tc>
          <w:tcPr>
            <w:tcW w:w="3425" w:type="dxa"/>
            <w:vAlign w:val="center"/>
          </w:tcPr>
          <w:p w14:paraId="44CD1D92" w14:textId="77777777" w:rsidR="00787C61" w:rsidRPr="0019790A" w:rsidRDefault="00787C61" w:rsidP="0019790A">
            <w:pPr>
              <w:rPr>
                <w:rFonts w:cs="Arial"/>
                <w:b/>
                <w:bCs/>
                <w:color w:val="000000"/>
                <w:szCs w:val="22"/>
              </w:rPr>
            </w:pPr>
            <w:r w:rsidRPr="0019790A">
              <w:rPr>
                <w:rFonts w:cs="Arial"/>
                <w:b/>
                <w:bCs/>
                <w:color w:val="000000"/>
                <w:szCs w:val="22"/>
              </w:rPr>
              <w:t>Цілі проєкту:</w:t>
            </w:r>
          </w:p>
        </w:tc>
        <w:tc>
          <w:tcPr>
            <w:tcW w:w="6794" w:type="dxa"/>
            <w:gridSpan w:val="9"/>
          </w:tcPr>
          <w:p w14:paraId="0BF44CCC" w14:textId="77777777" w:rsidR="00787C61" w:rsidRPr="0019790A" w:rsidRDefault="00787C61" w:rsidP="0019790A">
            <w:pPr>
              <w:rPr>
                <w:rFonts w:cs="Arial"/>
                <w:szCs w:val="22"/>
                <w:lang w:eastAsia="it-IT"/>
              </w:rPr>
            </w:pPr>
            <w:r w:rsidRPr="0019790A">
              <w:rPr>
                <w:rFonts w:cs="Arial"/>
                <w:szCs w:val="22"/>
                <w:lang w:eastAsia="it-IT"/>
              </w:rPr>
              <w:t>  Забезпечення належного рівня цивільного захисту у громаді</w:t>
            </w:r>
          </w:p>
          <w:p w14:paraId="3632F105" w14:textId="77777777" w:rsidR="00787C61" w:rsidRPr="0019790A" w:rsidRDefault="00787C61" w:rsidP="0019790A">
            <w:pPr>
              <w:rPr>
                <w:rFonts w:cs="Arial"/>
                <w:szCs w:val="22"/>
                <w:lang w:eastAsia="it-IT"/>
              </w:rPr>
            </w:pPr>
            <w:r w:rsidRPr="0019790A">
              <w:rPr>
                <w:rFonts w:cs="Arial"/>
                <w:szCs w:val="22"/>
                <w:lang w:eastAsia="it-IT"/>
              </w:rPr>
              <w:t>  Створення умов для безперервної діяльності закладу в кризових ситуаціях</w:t>
            </w:r>
          </w:p>
          <w:p w14:paraId="5B552E86" w14:textId="77777777" w:rsidR="00787C61" w:rsidRPr="0019790A" w:rsidRDefault="00787C61" w:rsidP="0019790A">
            <w:pPr>
              <w:rPr>
                <w:rFonts w:cs="Arial"/>
                <w:szCs w:val="22"/>
                <w:lang w:eastAsia="it-IT"/>
              </w:rPr>
            </w:pPr>
            <w:r w:rsidRPr="0019790A">
              <w:rPr>
                <w:rFonts w:cs="Arial"/>
                <w:szCs w:val="22"/>
                <w:lang w:eastAsia="it-IT"/>
              </w:rPr>
              <w:t>  Підвищення рівня безпеки працівників та відвідувачів будинку культури</w:t>
            </w:r>
          </w:p>
          <w:p w14:paraId="43735D4D" w14:textId="45A3AEB3" w:rsidR="00787C61" w:rsidRPr="0019790A" w:rsidRDefault="00787C61" w:rsidP="00480C22">
            <w:pPr>
              <w:rPr>
                <w:rFonts w:cs="Arial"/>
                <w:szCs w:val="22"/>
                <w:lang w:eastAsia="it-IT"/>
              </w:rPr>
            </w:pPr>
            <w:r w:rsidRPr="0019790A">
              <w:rPr>
                <w:rFonts w:cs="Arial"/>
                <w:szCs w:val="22"/>
                <w:lang w:eastAsia="it-IT"/>
              </w:rPr>
              <w:t>  Виконання вимог законодавства щодо облаштування найпростіших укриттів</w:t>
            </w:r>
          </w:p>
        </w:tc>
      </w:tr>
      <w:tr w:rsidR="00787C61" w:rsidRPr="0019790A" w14:paraId="3DEFBF47" w14:textId="77777777" w:rsidTr="00787C61">
        <w:trPr>
          <w:jc w:val="right"/>
        </w:trPr>
        <w:tc>
          <w:tcPr>
            <w:tcW w:w="3425" w:type="dxa"/>
            <w:vAlign w:val="center"/>
          </w:tcPr>
          <w:p w14:paraId="14648B58" w14:textId="77777777" w:rsidR="00787C61" w:rsidRPr="0019790A" w:rsidRDefault="00787C61" w:rsidP="0019790A">
            <w:pPr>
              <w:autoSpaceDE w:val="0"/>
              <w:autoSpaceDN w:val="0"/>
              <w:adjustRightInd w:val="0"/>
              <w:rPr>
                <w:rFonts w:cs="Arial"/>
                <w:b/>
                <w:color w:val="000000"/>
                <w:szCs w:val="22"/>
              </w:rPr>
            </w:pPr>
            <w:r w:rsidRPr="0019790A">
              <w:rPr>
                <w:rFonts w:cs="Arial"/>
                <w:b/>
                <w:color w:val="000000"/>
                <w:szCs w:val="22"/>
              </w:rPr>
              <w:t>Територія на яку проєкт матиме вплив:</w:t>
            </w:r>
          </w:p>
        </w:tc>
        <w:tc>
          <w:tcPr>
            <w:tcW w:w="6794" w:type="dxa"/>
            <w:gridSpan w:val="9"/>
          </w:tcPr>
          <w:p w14:paraId="7042637E" w14:textId="77777777" w:rsidR="00787C61" w:rsidRPr="0019790A" w:rsidRDefault="00787C61" w:rsidP="0019790A">
            <w:pPr>
              <w:rPr>
                <w:rFonts w:cs="Arial"/>
                <w:szCs w:val="22"/>
                <w:lang w:eastAsia="it-IT"/>
              </w:rPr>
            </w:pPr>
            <w:r w:rsidRPr="0019790A">
              <w:rPr>
                <w:rFonts w:cs="Arial"/>
                <w:szCs w:val="22"/>
                <w:lang w:eastAsia="it-IT"/>
              </w:rPr>
              <w:t xml:space="preserve">Село Біликівці Жмеринської міської територіальної </w:t>
            </w:r>
          </w:p>
        </w:tc>
      </w:tr>
      <w:tr w:rsidR="00787C61" w:rsidRPr="0019790A" w14:paraId="4AA7C78A" w14:textId="77777777" w:rsidTr="00787C61">
        <w:trPr>
          <w:jc w:val="right"/>
        </w:trPr>
        <w:tc>
          <w:tcPr>
            <w:tcW w:w="3425" w:type="dxa"/>
            <w:vAlign w:val="center"/>
          </w:tcPr>
          <w:p w14:paraId="3189CCDA" w14:textId="77777777" w:rsidR="00787C61" w:rsidRPr="0019790A" w:rsidRDefault="00787C61" w:rsidP="0019790A">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4" w:type="dxa"/>
            <w:gridSpan w:val="9"/>
          </w:tcPr>
          <w:p w14:paraId="0E849AAB" w14:textId="77777777" w:rsidR="00787C61" w:rsidRPr="0019790A" w:rsidRDefault="00787C61" w:rsidP="0019790A">
            <w:pPr>
              <w:numPr>
                <w:ilvl w:val="0"/>
                <w:numId w:val="19"/>
              </w:numPr>
              <w:rPr>
                <w:rFonts w:cs="Arial"/>
                <w:szCs w:val="22"/>
                <w:lang w:eastAsia="it-IT"/>
              </w:rPr>
            </w:pPr>
            <w:r w:rsidRPr="0019790A">
              <w:rPr>
                <w:rFonts w:cs="Arial"/>
                <w:szCs w:val="22"/>
                <w:lang w:eastAsia="it-IT"/>
              </w:rPr>
              <w:t>Мешканці села – близько 539 осіб</w:t>
            </w:r>
          </w:p>
          <w:p w14:paraId="102E52F0" w14:textId="77777777" w:rsidR="00787C61" w:rsidRPr="0019790A" w:rsidRDefault="00787C61" w:rsidP="00480C22">
            <w:pPr>
              <w:numPr>
                <w:ilvl w:val="0"/>
                <w:numId w:val="19"/>
              </w:numPr>
              <w:tabs>
                <w:tab w:val="clear" w:pos="720"/>
                <w:tab w:val="num" w:pos="181"/>
              </w:tabs>
              <w:ind w:hanging="681"/>
              <w:rPr>
                <w:rFonts w:cs="Arial"/>
                <w:szCs w:val="22"/>
                <w:lang w:eastAsia="it-IT"/>
              </w:rPr>
            </w:pPr>
            <w:r w:rsidRPr="0019790A">
              <w:rPr>
                <w:rFonts w:cs="Arial"/>
                <w:szCs w:val="22"/>
                <w:lang w:eastAsia="it-IT"/>
              </w:rPr>
              <w:t>Відвідувачі заходів, гуртків, свят – понад 1000 осіб щороку</w:t>
            </w:r>
          </w:p>
          <w:p w14:paraId="5C30793C" w14:textId="77777777" w:rsidR="00787C61" w:rsidRPr="0019790A" w:rsidRDefault="00787C61" w:rsidP="0019790A">
            <w:pPr>
              <w:rPr>
                <w:rFonts w:cs="Arial"/>
                <w:szCs w:val="22"/>
                <w:lang w:eastAsia="it-IT"/>
              </w:rPr>
            </w:pPr>
          </w:p>
        </w:tc>
      </w:tr>
      <w:tr w:rsidR="00787C61" w:rsidRPr="0019790A" w14:paraId="516744FF" w14:textId="77777777" w:rsidTr="00787C61">
        <w:trPr>
          <w:jc w:val="right"/>
        </w:trPr>
        <w:tc>
          <w:tcPr>
            <w:tcW w:w="3425" w:type="dxa"/>
            <w:shd w:val="clear" w:color="auto" w:fill="FFFFFF"/>
            <w:vAlign w:val="center"/>
          </w:tcPr>
          <w:p w14:paraId="219EE3AF" w14:textId="77777777" w:rsidR="00787C61" w:rsidRPr="0019790A" w:rsidRDefault="00787C61" w:rsidP="0019790A">
            <w:pPr>
              <w:rPr>
                <w:rFonts w:cs="Arial"/>
                <w:b/>
                <w:bCs/>
                <w:color w:val="000000"/>
                <w:szCs w:val="22"/>
              </w:rPr>
            </w:pPr>
            <w:r w:rsidRPr="0019790A">
              <w:rPr>
                <w:rFonts w:cs="Arial"/>
                <w:b/>
                <w:bCs/>
                <w:color w:val="000000"/>
                <w:szCs w:val="22"/>
              </w:rPr>
              <w:t>Стислий опис проєкту:</w:t>
            </w:r>
          </w:p>
        </w:tc>
        <w:tc>
          <w:tcPr>
            <w:tcW w:w="6794" w:type="dxa"/>
            <w:gridSpan w:val="9"/>
          </w:tcPr>
          <w:p w14:paraId="67916F4A" w14:textId="77777777" w:rsidR="00787C61" w:rsidRPr="0019790A" w:rsidRDefault="00787C61" w:rsidP="0019790A">
            <w:pPr>
              <w:rPr>
                <w:rFonts w:cs="Arial"/>
                <w:szCs w:val="22"/>
                <w:lang w:eastAsia="it-IT"/>
              </w:rPr>
            </w:pPr>
            <w:r w:rsidRPr="0019790A">
              <w:rPr>
                <w:rFonts w:cs="Arial"/>
                <w:szCs w:val="22"/>
                <w:lang w:eastAsia="it-IT"/>
              </w:rPr>
              <w:t>Проєкт передбачає облаштування протирадіаційного укриття в будинку культури села Біликівці. Будівля є активним культурним центром громади, однак в ній відсутні безпечне приміщення для перебування у разі тривоги. Передбачено виконання ремонтно-будівельних робіт, облаштування вентиляції, електропостачання, встановлення лавок, резервного освітлення, аптечок, засобів зв’язку та водопостачання, підняття потужності електропостачання. Вся діяльність проводиться з дотриманням норм ДСНС та рекомендацій МКІП.</w:t>
            </w:r>
          </w:p>
        </w:tc>
      </w:tr>
      <w:tr w:rsidR="00787C61" w:rsidRPr="0019790A" w14:paraId="535D7C86" w14:textId="77777777" w:rsidTr="00787C61">
        <w:trPr>
          <w:jc w:val="right"/>
        </w:trPr>
        <w:tc>
          <w:tcPr>
            <w:tcW w:w="3425" w:type="dxa"/>
            <w:shd w:val="clear" w:color="auto" w:fill="FFFFFF"/>
            <w:vAlign w:val="center"/>
          </w:tcPr>
          <w:p w14:paraId="01CEBFAF" w14:textId="77777777" w:rsidR="00787C61" w:rsidRPr="0019790A" w:rsidRDefault="00787C61" w:rsidP="0019790A">
            <w:pPr>
              <w:rPr>
                <w:rFonts w:cs="Arial"/>
                <w:b/>
                <w:bCs/>
                <w:color w:val="000000"/>
                <w:szCs w:val="22"/>
              </w:rPr>
            </w:pPr>
            <w:r w:rsidRPr="0019790A">
              <w:rPr>
                <w:rFonts w:cs="Arial"/>
                <w:b/>
                <w:bCs/>
                <w:color w:val="000000"/>
                <w:szCs w:val="22"/>
              </w:rPr>
              <w:t>Основні заходи проєкту:</w:t>
            </w:r>
          </w:p>
        </w:tc>
        <w:tc>
          <w:tcPr>
            <w:tcW w:w="6794" w:type="dxa"/>
            <w:gridSpan w:val="9"/>
          </w:tcPr>
          <w:p w14:paraId="739C5644" w14:textId="77777777" w:rsidR="00787C61" w:rsidRPr="0019790A" w:rsidRDefault="00787C61" w:rsidP="0019790A">
            <w:pPr>
              <w:rPr>
                <w:rFonts w:cs="Arial"/>
                <w:szCs w:val="22"/>
                <w:lang w:eastAsia="it-IT"/>
              </w:rPr>
            </w:pPr>
            <w:r w:rsidRPr="0019790A">
              <w:rPr>
                <w:rFonts w:cs="Arial"/>
                <w:szCs w:val="22"/>
                <w:lang w:eastAsia="it-IT"/>
              </w:rPr>
              <w:t>  Ремонт підвального приміщення: гідроізоляція, стіни, підлога, вентиляція, пожежна сигналізація</w:t>
            </w:r>
          </w:p>
          <w:p w14:paraId="4FA669AA" w14:textId="77777777" w:rsidR="00787C61" w:rsidRPr="0019790A" w:rsidRDefault="00787C61" w:rsidP="0019790A">
            <w:pPr>
              <w:rPr>
                <w:rFonts w:cs="Arial"/>
                <w:szCs w:val="22"/>
                <w:lang w:eastAsia="it-IT"/>
              </w:rPr>
            </w:pPr>
            <w:r w:rsidRPr="0019790A">
              <w:rPr>
                <w:rFonts w:cs="Arial"/>
                <w:szCs w:val="22"/>
                <w:lang w:eastAsia="it-IT"/>
              </w:rPr>
              <w:t>  Проведення електромережі, встановлення аварійного освітлення</w:t>
            </w:r>
          </w:p>
          <w:p w14:paraId="3E306C02" w14:textId="77777777" w:rsidR="00787C61" w:rsidRPr="0019790A" w:rsidRDefault="00787C61" w:rsidP="0019790A">
            <w:pPr>
              <w:rPr>
                <w:rFonts w:cs="Arial"/>
                <w:szCs w:val="22"/>
                <w:lang w:eastAsia="it-IT"/>
              </w:rPr>
            </w:pPr>
            <w:r w:rsidRPr="0019790A">
              <w:rPr>
                <w:rFonts w:cs="Arial"/>
                <w:szCs w:val="22"/>
                <w:lang w:eastAsia="it-IT"/>
              </w:rPr>
              <w:t>  Придбання лавок, водних резервуарів, вогнегасників, аптечок</w:t>
            </w:r>
          </w:p>
          <w:p w14:paraId="62AC6CFB" w14:textId="77777777" w:rsidR="00787C61" w:rsidRPr="0019790A" w:rsidRDefault="00787C61" w:rsidP="0019790A">
            <w:pPr>
              <w:rPr>
                <w:rFonts w:cs="Arial"/>
                <w:szCs w:val="22"/>
                <w:lang w:eastAsia="it-IT"/>
              </w:rPr>
            </w:pPr>
            <w:r w:rsidRPr="0019790A">
              <w:rPr>
                <w:rFonts w:cs="Arial"/>
                <w:szCs w:val="22"/>
                <w:lang w:eastAsia="it-IT"/>
              </w:rPr>
              <w:t>  Встановлення табличок, схем евакуації та зв’язку</w:t>
            </w:r>
          </w:p>
          <w:p w14:paraId="0BDDB460" w14:textId="77777777" w:rsidR="00787C61" w:rsidRPr="0019790A" w:rsidRDefault="00787C61" w:rsidP="0019790A">
            <w:pPr>
              <w:rPr>
                <w:rFonts w:cs="Arial"/>
                <w:szCs w:val="22"/>
                <w:lang w:eastAsia="it-IT"/>
              </w:rPr>
            </w:pPr>
            <w:r w:rsidRPr="0019790A">
              <w:rPr>
                <w:rFonts w:cs="Arial"/>
                <w:szCs w:val="22"/>
                <w:lang w:eastAsia="it-IT"/>
              </w:rPr>
              <w:t>  Підняття потужності електропостачання</w:t>
            </w:r>
          </w:p>
        </w:tc>
      </w:tr>
      <w:tr w:rsidR="00787C61" w:rsidRPr="0019790A" w14:paraId="2126736E" w14:textId="77777777" w:rsidTr="00787C61">
        <w:trPr>
          <w:jc w:val="right"/>
        </w:trPr>
        <w:tc>
          <w:tcPr>
            <w:tcW w:w="3425" w:type="dxa"/>
            <w:shd w:val="clear" w:color="auto" w:fill="FFFFFF"/>
            <w:vAlign w:val="center"/>
          </w:tcPr>
          <w:p w14:paraId="447EFC9E" w14:textId="77777777" w:rsidR="00787C61" w:rsidRPr="0019790A" w:rsidRDefault="00787C61"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794" w:type="dxa"/>
            <w:gridSpan w:val="9"/>
          </w:tcPr>
          <w:p w14:paraId="56AE0E5E" w14:textId="77777777" w:rsidR="00787C61" w:rsidRPr="0019790A" w:rsidRDefault="00787C61" w:rsidP="00480C22">
            <w:pPr>
              <w:numPr>
                <w:ilvl w:val="0"/>
                <w:numId w:val="20"/>
              </w:numPr>
              <w:tabs>
                <w:tab w:val="clear" w:pos="720"/>
                <w:tab w:val="left" w:pos="477"/>
              </w:tabs>
              <w:ind w:left="39" w:firstLine="283"/>
              <w:rPr>
                <w:rFonts w:cs="Arial"/>
                <w:szCs w:val="22"/>
                <w:lang w:eastAsia="it-IT"/>
              </w:rPr>
            </w:pPr>
            <w:r w:rsidRPr="0019790A">
              <w:rPr>
                <w:rFonts w:cs="Arial"/>
                <w:szCs w:val="22"/>
                <w:lang w:eastAsia="it-IT"/>
              </w:rPr>
              <w:t>Облаштовано 1 укриття</w:t>
            </w:r>
          </w:p>
          <w:p w14:paraId="6E6A053C" w14:textId="77777777" w:rsidR="00787C61" w:rsidRPr="0019790A" w:rsidRDefault="00787C61" w:rsidP="00480C22">
            <w:pPr>
              <w:numPr>
                <w:ilvl w:val="0"/>
                <w:numId w:val="20"/>
              </w:numPr>
              <w:tabs>
                <w:tab w:val="clear" w:pos="720"/>
                <w:tab w:val="left" w:pos="477"/>
              </w:tabs>
              <w:ind w:left="39" w:firstLine="283"/>
              <w:rPr>
                <w:rFonts w:cs="Arial"/>
                <w:szCs w:val="22"/>
                <w:lang w:eastAsia="it-IT"/>
              </w:rPr>
            </w:pPr>
            <w:r w:rsidRPr="0019790A">
              <w:rPr>
                <w:rFonts w:cs="Arial"/>
                <w:szCs w:val="22"/>
                <w:lang w:eastAsia="it-IT"/>
              </w:rPr>
              <w:t>Забезпечено безпечне перебування не менше 100 осіб одночасно</w:t>
            </w:r>
          </w:p>
          <w:p w14:paraId="7457CDDF" w14:textId="77777777" w:rsidR="00787C61" w:rsidRPr="0019790A" w:rsidRDefault="00787C61" w:rsidP="00480C22">
            <w:pPr>
              <w:numPr>
                <w:ilvl w:val="0"/>
                <w:numId w:val="20"/>
              </w:numPr>
              <w:tabs>
                <w:tab w:val="clear" w:pos="720"/>
                <w:tab w:val="left" w:pos="477"/>
              </w:tabs>
              <w:ind w:left="39" w:firstLine="283"/>
              <w:rPr>
                <w:rFonts w:cs="Arial"/>
                <w:szCs w:val="22"/>
                <w:lang w:eastAsia="it-IT"/>
              </w:rPr>
            </w:pPr>
            <w:r w:rsidRPr="0019790A">
              <w:rPr>
                <w:rFonts w:cs="Arial"/>
                <w:szCs w:val="22"/>
                <w:lang w:eastAsia="it-IT"/>
              </w:rPr>
              <w:t>Проведено перевірку готовності та навчань</w:t>
            </w:r>
          </w:p>
          <w:p w14:paraId="6781E69C" w14:textId="77777777" w:rsidR="00787C61" w:rsidRPr="0019790A" w:rsidRDefault="00787C61" w:rsidP="00480C22">
            <w:pPr>
              <w:numPr>
                <w:ilvl w:val="0"/>
                <w:numId w:val="20"/>
              </w:numPr>
              <w:tabs>
                <w:tab w:val="clear" w:pos="720"/>
                <w:tab w:val="left" w:pos="477"/>
              </w:tabs>
              <w:ind w:left="39" w:firstLine="283"/>
              <w:jc w:val="both"/>
              <w:rPr>
                <w:rFonts w:cs="Arial"/>
                <w:szCs w:val="22"/>
                <w:lang w:eastAsia="it-IT"/>
              </w:rPr>
            </w:pPr>
            <w:r w:rsidRPr="0019790A">
              <w:rPr>
                <w:rFonts w:cs="Arial"/>
                <w:szCs w:val="22"/>
                <w:lang w:eastAsia="it-IT"/>
              </w:rPr>
              <w:t>Підвищено рівень готовності закладу культури до надзвичайних ситуацій</w:t>
            </w:r>
          </w:p>
          <w:p w14:paraId="7D78DF96" w14:textId="77777777" w:rsidR="00787C61" w:rsidRPr="0019790A" w:rsidRDefault="00787C61" w:rsidP="00480C22">
            <w:pPr>
              <w:numPr>
                <w:ilvl w:val="0"/>
                <w:numId w:val="20"/>
              </w:numPr>
              <w:tabs>
                <w:tab w:val="clear" w:pos="720"/>
                <w:tab w:val="left" w:pos="477"/>
              </w:tabs>
              <w:ind w:left="39" w:firstLine="283"/>
              <w:rPr>
                <w:rFonts w:cs="Arial"/>
                <w:szCs w:val="22"/>
                <w:lang w:eastAsia="it-IT"/>
              </w:rPr>
            </w:pPr>
            <w:r w:rsidRPr="0019790A">
              <w:rPr>
                <w:rFonts w:cs="Arial"/>
                <w:szCs w:val="22"/>
                <w:lang w:eastAsia="it-IT"/>
              </w:rPr>
              <w:t>Створено умови для безпечного функціонування заходів культури навіть під час воєнного стану</w:t>
            </w:r>
          </w:p>
        </w:tc>
      </w:tr>
      <w:tr w:rsidR="00787C61" w:rsidRPr="0019790A" w14:paraId="188CA815" w14:textId="77777777" w:rsidTr="00787C61">
        <w:trPr>
          <w:jc w:val="right"/>
        </w:trPr>
        <w:tc>
          <w:tcPr>
            <w:tcW w:w="3425" w:type="dxa"/>
            <w:shd w:val="clear" w:color="auto" w:fill="FFFFFF"/>
            <w:vAlign w:val="center"/>
          </w:tcPr>
          <w:p w14:paraId="5B271934" w14:textId="77777777" w:rsidR="00787C61" w:rsidRPr="0019790A" w:rsidRDefault="00787C61" w:rsidP="0019790A">
            <w:pPr>
              <w:rPr>
                <w:rFonts w:cs="Arial"/>
                <w:b/>
                <w:color w:val="000000"/>
                <w:szCs w:val="22"/>
              </w:rPr>
            </w:pPr>
            <w:r w:rsidRPr="0019790A">
              <w:rPr>
                <w:rFonts w:cs="Arial"/>
                <w:b/>
                <w:color w:val="000000"/>
                <w:szCs w:val="22"/>
              </w:rPr>
              <w:t xml:space="preserve">Період здійснення: </w:t>
            </w:r>
          </w:p>
        </w:tc>
        <w:tc>
          <w:tcPr>
            <w:tcW w:w="6794" w:type="dxa"/>
            <w:gridSpan w:val="9"/>
            <w:vAlign w:val="center"/>
          </w:tcPr>
          <w:p w14:paraId="05FEBC5B" w14:textId="77777777" w:rsidR="00787C61" w:rsidRPr="0019790A" w:rsidRDefault="00787C61" w:rsidP="0019790A">
            <w:pPr>
              <w:rPr>
                <w:rFonts w:cs="Arial"/>
                <w:color w:val="000000"/>
                <w:szCs w:val="22"/>
                <w:lang w:eastAsia="it-IT"/>
              </w:rPr>
            </w:pPr>
            <w:r w:rsidRPr="0019790A">
              <w:rPr>
                <w:rFonts w:cs="Arial"/>
                <w:b/>
                <w:color w:val="000000"/>
                <w:szCs w:val="22"/>
              </w:rPr>
              <w:t>2025 – 2028 роки:</w:t>
            </w:r>
          </w:p>
        </w:tc>
      </w:tr>
      <w:tr w:rsidR="00787C61" w:rsidRPr="0019790A" w14:paraId="2BA9C5F5" w14:textId="77777777" w:rsidTr="00787C61">
        <w:trPr>
          <w:jc w:val="right"/>
        </w:trPr>
        <w:tc>
          <w:tcPr>
            <w:tcW w:w="3425" w:type="dxa"/>
            <w:vMerge w:val="restart"/>
            <w:shd w:val="clear" w:color="auto" w:fill="FFFFFF"/>
            <w:vAlign w:val="center"/>
          </w:tcPr>
          <w:p w14:paraId="6718E9DF" w14:textId="77777777" w:rsidR="00787C61" w:rsidRPr="0019790A" w:rsidRDefault="00787C61" w:rsidP="0019790A">
            <w:pPr>
              <w:rPr>
                <w:rFonts w:cs="Arial"/>
                <w:b/>
                <w:bCs/>
                <w:color w:val="000000"/>
                <w:szCs w:val="22"/>
              </w:rPr>
            </w:pPr>
            <w:r w:rsidRPr="0019790A">
              <w:rPr>
                <w:rFonts w:cs="Arial"/>
                <w:b/>
                <w:bCs/>
                <w:color w:val="000000"/>
                <w:szCs w:val="22"/>
              </w:rPr>
              <w:t>Орієнтовна вартість проєкту, тис. грн., в тому числі:</w:t>
            </w:r>
          </w:p>
        </w:tc>
        <w:tc>
          <w:tcPr>
            <w:tcW w:w="1254" w:type="dxa"/>
            <w:gridSpan w:val="2"/>
            <w:shd w:val="clear" w:color="auto" w:fill="E6E6E6"/>
            <w:vAlign w:val="center"/>
          </w:tcPr>
          <w:p w14:paraId="41D0EB59" w14:textId="77777777" w:rsidR="00787C61" w:rsidRPr="0019790A" w:rsidRDefault="00787C61" w:rsidP="0019790A">
            <w:pPr>
              <w:jc w:val="center"/>
              <w:rPr>
                <w:rFonts w:cs="Arial"/>
                <w:b/>
                <w:color w:val="000000"/>
                <w:szCs w:val="22"/>
                <w:lang w:eastAsia="it-IT"/>
              </w:rPr>
            </w:pPr>
            <w:r w:rsidRPr="0019790A">
              <w:rPr>
                <w:rFonts w:cs="Arial"/>
                <w:b/>
                <w:color w:val="000000"/>
                <w:szCs w:val="22"/>
                <w:lang w:eastAsia="it-IT"/>
              </w:rPr>
              <w:t>2025</w:t>
            </w:r>
          </w:p>
        </w:tc>
        <w:tc>
          <w:tcPr>
            <w:tcW w:w="1275" w:type="dxa"/>
            <w:gridSpan w:val="2"/>
            <w:shd w:val="clear" w:color="auto" w:fill="E6E6E6"/>
            <w:vAlign w:val="center"/>
          </w:tcPr>
          <w:p w14:paraId="06E19F49" w14:textId="77777777" w:rsidR="00787C61" w:rsidRPr="0019790A" w:rsidRDefault="00787C61" w:rsidP="0019790A">
            <w:pPr>
              <w:jc w:val="center"/>
              <w:rPr>
                <w:rFonts w:cs="Arial"/>
                <w:b/>
                <w:color w:val="000000"/>
                <w:szCs w:val="22"/>
                <w:lang w:eastAsia="it-IT"/>
              </w:rPr>
            </w:pPr>
            <w:r w:rsidRPr="0019790A">
              <w:rPr>
                <w:rFonts w:cs="Arial"/>
                <w:b/>
                <w:color w:val="000000"/>
                <w:szCs w:val="22"/>
                <w:lang w:eastAsia="it-IT"/>
              </w:rPr>
              <w:t>2026</w:t>
            </w:r>
          </w:p>
        </w:tc>
        <w:tc>
          <w:tcPr>
            <w:tcW w:w="1418" w:type="dxa"/>
            <w:tcBorders>
              <w:bottom w:val="single" w:sz="4" w:space="0" w:color="auto"/>
            </w:tcBorders>
            <w:shd w:val="clear" w:color="auto" w:fill="E6E6E6"/>
            <w:vAlign w:val="center"/>
          </w:tcPr>
          <w:p w14:paraId="18A860DB" w14:textId="77777777" w:rsidR="00787C61" w:rsidRPr="0019790A" w:rsidRDefault="00787C61" w:rsidP="0019790A">
            <w:pPr>
              <w:jc w:val="center"/>
              <w:rPr>
                <w:rFonts w:cs="Arial"/>
                <w:b/>
                <w:color w:val="000000"/>
                <w:szCs w:val="22"/>
                <w:lang w:eastAsia="it-IT"/>
              </w:rPr>
            </w:pPr>
            <w:r w:rsidRPr="0019790A">
              <w:rPr>
                <w:rFonts w:cs="Arial"/>
                <w:b/>
                <w:color w:val="000000"/>
                <w:szCs w:val="22"/>
                <w:lang w:eastAsia="it-IT"/>
              </w:rPr>
              <w:t>2027</w:t>
            </w:r>
          </w:p>
        </w:tc>
        <w:tc>
          <w:tcPr>
            <w:tcW w:w="1276" w:type="dxa"/>
            <w:gridSpan w:val="2"/>
            <w:shd w:val="clear" w:color="auto" w:fill="E6E6E6"/>
            <w:vAlign w:val="center"/>
          </w:tcPr>
          <w:p w14:paraId="0E9860EB" w14:textId="77777777" w:rsidR="00787C61" w:rsidRPr="0019790A" w:rsidRDefault="00787C61" w:rsidP="0019790A">
            <w:pPr>
              <w:jc w:val="center"/>
              <w:rPr>
                <w:rFonts w:cs="Arial"/>
                <w:b/>
                <w:color w:val="000000"/>
                <w:szCs w:val="22"/>
                <w:lang w:eastAsia="it-IT"/>
              </w:rPr>
            </w:pPr>
            <w:r w:rsidRPr="0019790A">
              <w:rPr>
                <w:rFonts w:cs="Arial"/>
                <w:b/>
                <w:color w:val="000000"/>
                <w:szCs w:val="22"/>
                <w:lang w:eastAsia="it-IT"/>
              </w:rPr>
              <w:t>2028</w:t>
            </w:r>
          </w:p>
        </w:tc>
        <w:tc>
          <w:tcPr>
            <w:tcW w:w="1571" w:type="dxa"/>
            <w:gridSpan w:val="2"/>
            <w:shd w:val="clear" w:color="auto" w:fill="E6E6E6"/>
            <w:vAlign w:val="center"/>
          </w:tcPr>
          <w:p w14:paraId="06CAC30F" w14:textId="77777777" w:rsidR="00787C61" w:rsidRPr="0019790A" w:rsidRDefault="00787C61" w:rsidP="0019790A">
            <w:pPr>
              <w:jc w:val="center"/>
              <w:rPr>
                <w:rFonts w:cs="Arial"/>
                <w:b/>
                <w:color w:val="000000"/>
                <w:szCs w:val="22"/>
                <w:lang w:eastAsia="it-IT"/>
              </w:rPr>
            </w:pPr>
            <w:r w:rsidRPr="0019790A">
              <w:rPr>
                <w:rFonts w:cs="Arial"/>
                <w:b/>
                <w:color w:val="000000"/>
                <w:szCs w:val="22"/>
                <w:lang w:eastAsia="it-IT"/>
              </w:rPr>
              <w:t>РАЗОМ</w:t>
            </w:r>
          </w:p>
        </w:tc>
      </w:tr>
      <w:tr w:rsidR="00787C61" w:rsidRPr="0019790A" w14:paraId="38BB6420" w14:textId="77777777" w:rsidTr="00787C61">
        <w:trPr>
          <w:jc w:val="right"/>
        </w:trPr>
        <w:tc>
          <w:tcPr>
            <w:tcW w:w="3425" w:type="dxa"/>
            <w:vMerge/>
            <w:shd w:val="clear" w:color="auto" w:fill="FFFFFF"/>
            <w:vAlign w:val="center"/>
          </w:tcPr>
          <w:p w14:paraId="2B1C01A0" w14:textId="77777777" w:rsidR="00787C61" w:rsidRPr="0019790A" w:rsidRDefault="00787C61" w:rsidP="0019790A">
            <w:pPr>
              <w:rPr>
                <w:rFonts w:cs="Arial"/>
                <w:b/>
                <w:bCs/>
                <w:color w:val="000000"/>
                <w:szCs w:val="22"/>
              </w:rPr>
            </w:pPr>
          </w:p>
        </w:tc>
        <w:tc>
          <w:tcPr>
            <w:tcW w:w="1254" w:type="dxa"/>
            <w:gridSpan w:val="2"/>
            <w:vAlign w:val="center"/>
          </w:tcPr>
          <w:p w14:paraId="6C7724C0" w14:textId="77777777" w:rsidR="00787C61" w:rsidRPr="0019790A" w:rsidRDefault="00787C61" w:rsidP="0019790A">
            <w:pPr>
              <w:jc w:val="center"/>
              <w:rPr>
                <w:rFonts w:cs="Arial"/>
                <w:b/>
                <w:color w:val="000000"/>
                <w:szCs w:val="22"/>
                <w:lang w:eastAsia="it-IT"/>
              </w:rPr>
            </w:pPr>
            <w:r w:rsidRPr="0019790A">
              <w:rPr>
                <w:rFonts w:cs="Arial"/>
                <w:b/>
                <w:color w:val="000000"/>
                <w:szCs w:val="22"/>
                <w:lang w:eastAsia="it-IT"/>
              </w:rPr>
              <w:t>-</w:t>
            </w:r>
          </w:p>
        </w:tc>
        <w:tc>
          <w:tcPr>
            <w:tcW w:w="1275" w:type="dxa"/>
            <w:gridSpan w:val="2"/>
            <w:shd w:val="clear" w:color="auto" w:fill="FFFFFF"/>
            <w:vAlign w:val="center"/>
          </w:tcPr>
          <w:p w14:paraId="31C9BA7C" w14:textId="77777777" w:rsidR="00787C61" w:rsidRPr="0019790A" w:rsidRDefault="00787C61" w:rsidP="0019790A">
            <w:pPr>
              <w:jc w:val="center"/>
              <w:rPr>
                <w:rFonts w:cs="Arial"/>
                <w:b/>
                <w:color w:val="000000"/>
                <w:szCs w:val="22"/>
                <w:lang w:eastAsia="it-IT"/>
              </w:rPr>
            </w:pPr>
            <w:r w:rsidRPr="0019790A">
              <w:rPr>
                <w:rFonts w:cs="Arial"/>
                <w:b/>
                <w:color w:val="000000"/>
                <w:szCs w:val="22"/>
                <w:lang w:eastAsia="it-IT"/>
              </w:rPr>
              <w:t>10000,0</w:t>
            </w:r>
          </w:p>
        </w:tc>
        <w:tc>
          <w:tcPr>
            <w:tcW w:w="1418" w:type="dxa"/>
            <w:shd w:val="clear" w:color="auto" w:fill="auto"/>
            <w:vAlign w:val="center"/>
          </w:tcPr>
          <w:p w14:paraId="2303EDB5" w14:textId="77777777" w:rsidR="00787C61" w:rsidRPr="0019790A" w:rsidRDefault="00787C61" w:rsidP="0019790A">
            <w:pPr>
              <w:jc w:val="center"/>
              <w:rPr>
                <w:rFonts w:cs="Arial"/>
                <w:b/>
                <w:color w:val="000000"/>
                <w:szCs w:val="22"/>
                <w:lang w:eastAsia="it-IT"/>
              </w:rPr>
            </w:pPr>
            <w:r w:rsidRPr="0019790A">
              <w:rPr>
                <w:rFonts w:cs="Arial"/>
                <w:b/>
                <w:color w:val="000000"/>
                <w:szCs w:val="22"/>
                <w:lang w:eastAsia="it-IT"/>
              </w:rPr>
              <w:t>-</w:t>
            </w:r>
          </w:p>
        </w:tc>
        <w:tc>
          <w:tcPr>
            <w:tcW w:w="1276" w:type="dxa"/>
            <w:gridSpan w:val="2"/>
            <w:shd w:val="clear" w:color="auto" w:fill="FFFFFF"/>
            <w:vAlign w:val="center"/>
          </w:tcPr>
          <w:p w14:paraId="68C2F73E" w14:textId="77777777" w:rsidR="00787C61" w:rsidRPr="0019790A" w:rsidRDefault="00787C61" w:rsidP="0019790A">
            <w:pPr>
              <w:jc w:val="center"/>
              <w:rPr>
                <w:rFonts w:cs="Arial"/>
                <w:b/>
                <w:color w:val="000000"/>
                <w:szCs w:val="22"/>
                <w:lang w:eastAsia="it-IT"/>
              </w:rPr>
            </w:pPr>
            <w:r w:rsidRPr="0019790A">
              <w:rPr>
                <w:rFonts w:cs="Arial"/>
                <w:b/>
                <w:color w:val="000000"/>
                <w:szCs w:val="22"/>
                <w:lang w:eastAsia="it-IT"/>
              </w:rPr>
              <w:t>-</w:t>
            </w:r>
          </w:p>
        </w:tc>
        <w:tc>
          <w:tcPr>
            <w:tcW w:w="1571" w:type="dxa"/>
            <w:gridSpan w:val="2"/>
            <w:shd w:val="clear" w:color="auto" w:fill="FFFFFF"/>
            <w:vAlign w:val="center"/>
          </w:tcPr>
          <w:p w14:paraId="1A93F219" w14:textId="77777777" w:rsidR="00787C61" w:rsidRPr="0019790A" w:rsidRDefault="00787C61" w:rsidP="0019790A">
            <w:pPr>
              <w:jc w:val="center"/>
              <w:rPr>
                <w:rFonts w:cs="Arial"/>
                <w:b/>
                <w:color w:val="000000"/>
                <w:szCs w:val="22"/>
                <w:lang w:eastAsia="it-IT"/>
              </w:rPr>
            </w:pPr>
            <w:r w:rsidRPr="0019790A">
              <w:rPr>
                <w:rFonts w:cs="Arial"/>
                <w:b/>
                <w:color w:val="000000"/>
                <w:szCs w:val="22"/>
                <w:lang w:eastAsia="it-IT"/>
              </w:rPr>
              <w:t>10000,0</w:t>
            </w:r>
          </w:p>
        </w:tc>
      </w:tr>
      <w:tr w:rsidR="00787C61" w:rsidRPr="0019790A" w14:paraId="1D1E66E0" w14:textId="77777777" w:rsidTr="00787C61">
        <w:trPr>
          <w:trHeight w:val="276"/>
          <w:jc w:val="right"/>
        </w:trPr>
        <w:tc>
          <w:tcPr>
            <w:tcW w:w="3425" w:type="dxa"/>
            <w:shd w:val="clear" w:color="auto" w:fill="FFFFFF"/>
            <w:vAlign w:val="center"/>
          </w:tcPr>
          <w:p w14:paraId="07FCFE90" w14:textId="77777777" w:rsidR="00787C61" w:rsidRPr="0019790A" w:rsidRDefault="00787C61" w:rsidP="0019790A">
            <w:pPr>
              <w:rPr>
                <w:rFonts w:cs="Arial"/>
                <w:b/>
                <w:bCs/>
                <w:color w:val="000000"/>
                <w:szCs w:val="22"/>
              </w:rPr>
            </w:pPr>
            <w:r w:rsidRPr="0019790A">
              <w:rPr>
                <w:rFonts w:cs="Arial"/>
                <w:b/>
                <w:bCs/>
                <w:color w:val="000000"/>
                <w:szCs w:val="22"/>
              </w:rPr>
              <w:t>по джерелах фінансування:</w:t>
            </w:r>
          </w:p>
        </w:tc>
        <w:tc>
          <w:tcPr>
            <w:tcW w:w="6794" w:type="dxa"/>
            <w:gridSpan w:val="9"/>
            <w:vAlign w:val="center"/>
          </w:tcPr>
          <w:p w14:paraId="0FBE931D" w14:textId="77777777" w:rsidR="00787C61" w:rsidRPr="0019790A" w:rsidRDefault="00787C61" w:rsidP="0019790A">
            <w:pPr>
              <w:jc w:val="both"/>
              <w:rPr>
                <w:rFonts w:cs="Arial"/>
                <w:color w:val="000000"/>
                <w:szCs w:val="22"/>
                <w:lang w:eastAsia="it-IT"/>
              </w:rPr>
            </w:pPr>
          </w:p>
        </w:tc>
      </w:tr>
      <w:tr w:rsidR="00480C22" w:rsidRPr="0019790A" w14:paraId="0ACE11D0" w14:textId="75E9156B" w:rsidTr="00480C22">
        <w:trPr>
          <w:trHeight w:val="240"/>
          <w:jc w:val="right"/>
        </w:trPr>
        <w:tc>
          <w:tcPr>
            <w:tcW w:w="3425" w:type="dxa"/>
            <w:shd w:val="clear" w:color="auto" w:fill="FFFFFF"/>
            <w:vAlign w:val="center"/>
          </w:tcPr>
          <w:p w14:paraId="325D60B7" w14:textId="77777777" w:rsidR="00480C22" w:rsidRPr="0019790A" w:rsidRDefault="00480C22" w:rsidP="0019790A">
            <w:pPr>
              <w:rPr>
                <w:rFonts w:cs="Arial"/>
                <w:b/>
                <w:bCs/>
                <w:color w:val="000000"/>
                <w:szCs w:val="22"/>
              </w:rPr>
            </w:pPr>
            <w:r w:rsidRPr="0019790A">
              <w:rPr>
                <w:rFonts w:cs="Arial"/>
                <w:color w:val="000000"/>
                <w:szCs w:val="22"/>
              </w:rPr>
              <w:t>- державний бюджет</w:t>
            </w:r>
          </w:p>
        </w:tc>
        <w:tc>
          <w:tcPr>
            <w:tcW w:w="1227" w:type="dxa"/>
            <w:vAlign w:val="center"/>
          </w:tcPr>
          <w:p w14:paraId="43540EF1" w14:textId="77777777" w:rsidR="00480C22" w:rsidRPr="0019790A" w:rsidRDefault="00480C22" w:rsidP="0019790A">
            <w:pPr>
              <w:jc w:val="both"/>
              <w:rPr>
                <w:rFonts w:cs="Arial"/>
                <w:color w:val="000000"/>
                <w:szCs w:val="22"/>
                <w:lang w:eastAsia="it-IT"/>
              </w:rPr>
            </w:pPr>
          </w:p>
        </w:tc>
        <w:tc>
          <w:tcPr>
            <w:tcW w:w="1290" w:type="dxa"/>
            <w:gridSpan w:val="2"/>
            <w:vAlign w:val="center"/>
          </w:tcPr>
          <w:p w14:paraId="61568098" w14:textId="77777777" w:rsidR="00480C22" w:rsidRPr="0019790A" w:rsidRDefault="00480C22" w:rsidP="0019790A">
            <w:pPr>
              <w:jc w:val="both"/>
              <w:rPr>
                <w:rFonts w:cs="Arial"/>
                <w:color w:val="000000"/>
                <w:szCs w:val="22"/>
                <w:lang w:eastAsia="it-IT"/>
              </w:rPr>
            </w:pPr>
          </w:p>
        </w:tc>
        <w:tc>
          <w:tcPr>
            <w:tcW w:w="1440" w:type="dxa"/>
            <w:gridSpan w:val="3"/>
            <w:vAlign w:val="center"/>
          </w:tcPr>
          <w:p w14:paraId="231CDBA9" w14:textId="77777777" w:rsidR="00480C22" w:rsidRPr="0019790A" w:rsidRDefault="00480C22" w:rsidP="0019790A">
            <w:pPr>
              <w:jc w:val="both"/>
              <w:rPr>
                <w:rFonts w:cs="Arial"/>
                <w:color w:val="000000"/>
                <w:szCs w:val="22"/>
                <w:lang w:eastAsia="it-IT"/>
              </w:rPr>
            </w:pPr>
          </w:p>
        </w:tc>
        <w:tc>
          <w:tcPr>
            <w:tcW w:w="1277" w:type="dxa"/>
            <w:gridSpan w:val="2"/>
            <w:vAlign w:val="center"/>
          </w:tcPr>
          <w:p w14:paraId="63D86CD0" w14:textId="77777777" w:rsidR="00480C22" w:rsidRPr="0019790A" w:rsidRDefault="00480C22" w:rsidP="0019790A">
            <w:pPr>
              <w:jc w:val="both"/>
              <w:rPr>
                <w:rFonts w:cs="Arial"/>
                <w:color w:val="000000"/>
                <w:szCs w:val="22"/>
                <w:lang w:eastAsia="it-IT"/>
              </w:rPr>
            </w:pPr>
          </w:p>
        </w:tc>
        <w:tc>
          <w:tcPr>
            <w:tcW w:w="1560" w:type="dxa"/>
            <w:vAlign w:val="center"/>
          </w:tcPr>
          <w:p w14:paraId="09E7A7D4" w14:textId="77777777" w:rsidR="00480C22" w:rsidRPr="0019790A" w:rsidRDefault="00480C22" w:rsidP="0019790A">
            <w:pPr>
              <w:jc w:val="both"/>
              <w:rPr>
                <w:rFonts w:cs="Arial"/>
                <w:color w:val="000000"/>
                <w:szCs w:val="22"/>
                <w:lang w:eastAsia="it-IT"/>
              </w:rPr>
            </w:pPr>
          </w:p>
        </w:tc>
      </w:tr>
      <w:tr w:rsidR="00480C22" w:rsidRPr="0019790A" w14:paraId="02AC1A85" w14:textId="6B70D8AB" w:rsidTr="00480C22">
        <w:trPr>
          <w:trHeight w:val="254"/>
          <w:jc w:val="right"/>
        </w:trPr>
        <w:tc>
          <w:tcPr>
            <w:tcW w:w="3425" w:type="dxa"/>
            <w:shd w:val="clear" w:color="auto" w:fill="FFFFFF"/>
            <w:vAlign w:val="center"/>
          </w:tcPr>
          <w:p w14:paraId="1E8E1F5F" w14:textId="77777777" w:rsidR="00480C22" w:rsidRPr="0019790A" w:rsidRDefault="00480C22" w:rsidP="0019790A">
            <w:pPr>
              <w:rPr>
                <w:rFonts w:cs="Arial"/>
                <w:color w:val="000000"/>
                <w:szCs w:val="22"/>
              </w:rPr>
            </w:pPr>
            <w:r w:rsidRPr="0019790A">
              <w:rPr>
                <w:rFonts w:cs="Arial"/>
                <w:color w:val="000000"/>
                <w:szCs w:val="22"/>
              </w:rPr>
              <w:t>- обласний бюджет</w:t>
            </w:r>
          </w:p>
        </w:tc>
        <w:tc>
          <w:tcPr>
            <w:tcW w:w="1227" w:type="dxa"/>
            <w:vAlign w:val="center"/>
          </w:tcPr>
          <w:p w14:paraId="4D564BF0" w14:textId="77777777" w:rsidR="00480C22" w:rsidRPr="0019790A" w:rsidRDefault="00480C22" w:rsidP="0019790A">
            <w:pPr>
              <w:jc w:val="both"/>
              <w:rPr>
                <w:rFonts w:cs="Arial"/>
                <w:color w:val="000000"/>
                <w:szCs w:val="22"/>
                <w:lang w:eastAsia="it-IT"/>
              </w:rPr>
            </w:pPr>
          </w:p>
        </w:tc>
        <w:tc>
          <w:tcPr>
            <w:tcW w:w="1290" w:type="dxa"/>
            <w:gridSpan w:val="2"/>
            <w:vAlign w:val="center"/>
          </w:tcPr>
          <w:p w14:paraId="1EE613D8" w14:textId="77777777" w:rsidR="00480C22" w:rsidRPr="0019790A" w:rsidRDefault="00480C22" w:rsidP="0019790A">
            <w:pPr>
              <w:jc w:val="both"/>
              <w:rPr>
                <w:rFonts w:cs="Arial"/>
                <w:color w:val="000000"/>
                <w:szCs w:val="22"/>
                <w:lang w:eastAsia="it-IT"/>
              </w:rPr>
            </w:pPr>
          </w:p>
        </w:tc>
        <w:tc>
          <w:tcPr>
            <w:tcW w:w="1440" w:type="dxa"/>
            <w:gridSpan w:val="3"/>
            <w:vAlign w:val="center"/>
          </w:tcPr>
          <w:p w14:paraId="2C087B77" w14:textId="77777777" w:rsidR="00480C22" w:rsidRPr="0019790A" w:rsidRDefault="00480C22" w:rsidP="0019790A">
            <w:pPr>
              <w:jc w:val="both"/>
              <w:rPr>
                <w:rFonts w:cs="Arial"/>
                <w:color w:val="000000"/>
                <w:szCs w:val="22"/>
                <w:lang w:eastAsia="it-IT"/>
              </w:rPr>
            </w:pPr>
          </w:p>
        </w:tc>
        <w:tc>
          <w:tcPr>
            <w:tcW w:w="1277" w:type="dxa"/>
            <w:gridSpan w:val="2"/>
            <w:vAlign w:val="center"/>
          </w:tcPr>
          <w:p w14:paraId="5A9343E6" w14:textId="77777777" w:rsidR="00480C22" w:rsidRPr="0019790A" w:rsidRDefault="00480C22" w:rsidP="0019790A">
            <w:pPr>
              <w:jc w:val="both"/>
              <w:rPr>
                <w:rFonts w:cs="Arial"/>
                <w:color w:val="000000"/>
                <w:szCs w:val="22"/>
                <w:lang w:eastAsia="it-IT"/>
              </w:rPr>
            </w:pPr>
          </w:p>
        </w:tc>
        <w:tc>
          <w:tcPr>
            <w:tcW w:w="1560" w:type="dxa"/>
            <w:vAlign w:val="center"/>
          </w:tcPr>
          <w:p w14:paraId="63350178" w14:textId="77777777" w:rsidR="00480C22" w:rsidRPr="0019790A" w:rsidRDefault="00480C22" w:rsidP="0019790A">
            <w:pPr>
              <w:jc w:val="both"/>
              <w:rPr>
                <w:rFonts w:cs="Arial"/>
                <w:color w:val="000000"/>
                <w:szCs w:val="22"/>
                <w:lang w:eastAsia="it-IT"/>
              </w:rPr>
            </w:pPr>
          </w:p>
        </w:tc>
      </w:tr>
      <w:tr w:rsidR="00480C22" w:rsidRPr="0019790A" w14:paraId="278FF721" w14:textId="5EA49FFA" w:rsidTr="00480C22">
        <w:trPr>
          <w:trHeight w:val="275"/>
          <w:jc w:val="right"/>
        </w:trPr>
        <w:tc>
          <w:tcPr>
            <w:tcW w:w="3425" w:type="dxa"/>
            <w:shd w:val="clear" w:color="auto" w:fill="FFFFFF"/>
            <w:vAlign w:val="center"/>
          </w:tcPr>
          <w:p w14:paraId="1F821C1D" w14:textId="77777777" w:rsidR="00480C22" w:rsidRPr="0019790A" w:rsidRDefault="00480C22" w:rsidP="00480C22">
            <w:pPr>
              <w:rPr>
                <w:rFonts w:cs="Arial"/>
                <w:color w:val="000000"/>
                <w:szCs w:val="22"/>
              </w:rPr>
            </w:pPr>
            <w:r w:rsidRPr="0019790A">
              <w:rPr>
                <w:rFonts w:cs="Arial"/>
                <w:color w:val="000000"/>
                <w:szCs w:val="22"/>
              </w:rPr>
              <w:t>- бюджет Жмеринської МТГ</w:t>
            </w:r>
          </w:p>
        </w:tc>
        <w:tc>
          <w:tcPr>
            <w:tcW w:w="1227" w:type="dxa"/>
            <w:vAlign w:val="center"/>
          </w:tcPr>
          <w:p w14:paraId="5D7D3610" w14:textId="0322EA47" w:rsidR="00480C22" w:rsidRPr="0019790A" w:rsidRDefault="00480C22" w:rsidP="00480C22">
            <w:pPr>
              <w:jc w:val="center"/>
              <w:rPr>
                <w:rFonts w:cs="Arial"/>
                <w:color w:val="000000"/>
                <w:szCs w:val="22"/>
                <w:lang w:eastAsia="it-IT"/>
              </w:rPr>
            </w:pPr>
            <w:r w:rsidRPr="0019790A">
              <w:rPr>
                <w:rFonts w:cs="Arial"/>
                <w:b/>
                <w:color w:val="000000"/>
                <w:szCs w:val="22"/>
                <w:lang w:eastAsia="it-IT"/>
              </w:rPr>
              <w:t>-</w:t>
            </w:r>
          </w:p>
        </w:tc>
        <w:tc>
          <w:tcPr>
            <w:tcW w:w="1290" w:type="dxa"/>
            <w:gridSpan w:val="2"/>
            <w:vAlign w:val="center"/>
          </w:tcPr>
          <w:p w14:paraId="78EC581A" w14:textId="6D8266C1" w:rsidR="00480C22" w:rsidRPr="0019790A" w:rsidRDefault="00480C22" w:rsidP="00480C22">
            <w:pPr>
              <w:jc w:val="center"/>
              <w:rPr>
                <w:rFonts w:cs="Arial"/>
                <w:color w:val="000000"/>
                <w:szCs w:val="22"/>
                <w:lang w:eastAsia="it-IT"/>
              </w:rPr>
            </w:pPr>
            <w:r w:rsidRPr="0019790A">
              <w:rPr>
                <w:rFonts w:cs="Arial"/>
                <w:b/>
                <w:color w:val="000000"/>
                <w:szCs w:val="22"/>
                <w:lang w:eastAsia="it-IT"/>
              </w:rPr>
              <w:t>10000,0</w:t>
            </w:r>
          </w:p>
        </w:tc>
        <w:tc>
          <w:tcPr>
            <w:tcW w:w="1440" w:type="dxa"/>
            <w:gridSpan w:val="3"/>
            <w:vAlign w:val="center"/>
          </w:tcPr>
          <w:p w14:paraId="2692F51E" w14:textId="3EACE676" w:rsidR="00480C22" w:rsidRPr="0019790A" w:rsidRDefault="00480C22" w:rsidP="00480C22">
            <w:pPr>
              <w:jc w:val="center"/>
              <w:rPr>
                <w:rFonts w:cs="Arial"/>
                <w:color w:val="000000"/>
                <w:szCs w:val="22"/>
                <w:lang w:eastAsia="it-IT"/>
              </w:rPr>
            </w:pPr>
            <w:r w:rsidRPr="0019790A">
              <w:rPr>
                <w:rFonts w:cs="Arial"/>
                <w:b/>
                <w:color w:val="000000"/>
                <w:szCs w:val="22"/>
                <w:lang w:eastAsia="it-IT"/>
              </w:rPr>
              <w:t>-</w:t>
            </w:r>
          </w:p>
        </w:tc>
        <w:tc>
          <w:tcPr>
            <w:tcW w:w="1277" w:type="dxa"/>
            <w:gridSpan w:val="2"/>
            <w:vAlign w:val="center"/>
          </w:tcPr>
          <w:p w14:paraId="5E4024F0" w14:textId="0A122073" w:rsidR="00480C22" w:rsidRPr="0019790A" w:rsidRDefault="00480C22" w:rsidP="00480C22">
            <w:pPr>
              <w:jc w:val="center"/>
              <w:rPr>
                <w:rFonts w:cs="Arial"/>
                <w:color w:val="000000"/>
                <w:szCs w:val="22"/>
                <w:lang w:eastAsia="it-IT"/>
              </w:rPr>
            </w:pPr>
            <w:r w:rsidRPr="0019790A">
              <w:rPr>
                <w:rFonts w:cs="Arial"/>
                <w:b/>
                <w:color w:val="000000"/>
                <w:szCs w:val="22"/>
                <w:lang w:eastAsia="it-IT"/>
              </w:rPr>
              <w:t>-</w:t>
            </w:r>
          </w:p>
        </w:tc>
        <w:tc>
          <w:tcPr>
            <w:tcW w:w="1560" w:type="dxa"/>
            <w:vAlign w:val="center"/>
          </w:tcPr>
          <w:p w14:paraId="6C9A1B00" w14:textId="74739E9C" w:rsidR="00480C22" w:rsidRPr="0019790A" w:rsidRDefault="00480C22" w:rsidP="00480C22">
            <w:pPr>
              <w:jc w:val="center"/>
              <w:rPr>
                <w:rFonts w:cs="Arial"/>
                <w:color w:val="000000"/>
                <w:szCs w:val="22"/>
                <w:lang w:eastAsia="it-IT"/>
              </w:rPr>
            </w:pPr>
            <w:r w:rsidRPr="0019790A">
              <w:rPr>
                <w:rFonts w:cs="Arial"/>
                <w:b/>
                <w:color w:val="000000"/>
                <w:szCs w:val="22"/>
                <w:lang w:eastAsia="it-IT"/>
              </w:rPr>
              <w:t>10000,0</w:t>
            </w:r>
          </w:p>
        </w:tc>
      </w:tr>
      <w:tr w:rsidR="00480C22" w:rsidRPr="0019790A" w14:paraId="67268CCD" w14:textId="63332047" w:rsidTr="00480C22">
        <w:trPr>
          <w:trHeight w:val="226"/>
          <w:jc w:val="right"/>
        </w:trPr>
        <w:tc>
          <w:tcPr>
            <w:tcW w:w="3425" w:type="dxa"/>
            <w:shd w:val="clear" w:color="auto" w:fill="FFFFFF"/>
            <w:vAlign w:val="center"/>
          </w:tcPr>
          <w:p w14:paraId="5908755E" w14:textId="77777777" w:rsidR="00480C22" w:rsidRPr="0019790A" w:rsidRDefault="00480C22" w:rsidP="00480C22">
            <w:pPr>
              <w:rPr>
                <w:rFonts w:cs="Arial"/>
                <w:color w:val="000000"/>
                <w:szCs w:val="22"/>
              </w:rPr>
            </w:pPr>
            <w:r w:rsidRPr="0019790A">
              <w:rPr>
                <w:rFonts w:cs="Arial"/>
                <w:color w:val="000000"/>
                <w:szCs w:val="22"/>
              </w:rPr>
              <w:t>- інші джерела фінансування</w:t>
            </w:r>
          </w:p>
        </w:tc>
        <w:tc>
          <w:tcPr>
            <w:tcW w:w="1227" w:type="dxa"/>
          </w:tcPr>
          <w:p w14:paraId="348B82D2" w14:textId="77777777" w:rsidR="00480C22" w:rsidRPr="0019790A" w:rsidRDefault="00480C22" w:rsidP="00480C22">
            <w:pPr>
              <w:rPr>
                <w:rFonts w:cs="Arial"/>
                <w:szCs w:val="22"/>
              </w:rPr>
            </w:pPr>
          </w:p>
        </w:tc>
        <w:tc>
          <w:tcPr>
            <w:tcW w:w="1290" w:type="dxa"/>
            <w:gridSpan w:val="2"/>
          </w:tcPr>
          <w:p w14:paraId="30604623" w14:textId="77777777" w:rsidR="00480C22" w:rsidRPr="0019790A" w:rsidRDefault="00480C22" w:rsidP="00480C22">
            <w:pPr>
              <w:rPr>
                <w:rFonts w:cs="Arial"/>
                <w:szCs w:val="22"/>
              </w:rPr>
            </w:pPr>
          </w:p>
        </w:tc>
        <w:tc>
          <w:tcPr>
            <w:tcW w:w="1440" w:type="dxa"/>
            <w:gridSpan w:val="3"/>
          </w:tcPr>
          <w:p w14:paraId="68F02B7A" w14:textId="77777777" w:rsidR="00480C22" w:rsidRPr="0019790A" w:rsidRDefault="00480C22" w:rsidP="00480C22">
            <w:pPr>
              <w:rPr>
                <w:rFonts w:cs="Arial"/>
                <w:szCs w:val="22"/>
              </w:rPr>
            </w:pPr>
          </w:p>
        </w:tc>
        <w:tc>
          <w:tcPr>
            <w:tcW w:w="1277" w:type="dxa"/>
            <w:gridSpan w:val="2"/>
          </w:tcPr>
          <w:p w14:paraId="43A14DD6" w14:textId="77777777" w:rsidR="00480C22" w:rsidRPr="0019790A" w:rsidRDefault="00480C22" w:rsidP="00480C22">
            <w:pPr>
              <w:rPr>
                <w:rFonts w:cs="Arial"/>
                <w:szCs w:val="22"/>
              </w:rPr>
            </w:pPr>
          </w:p>
        </w:tc>
        <w:tc>
          <w:tcPr>
            <w:tcW w:w="1560" w:type="dxa"/>
          </w:tcPr>
          <w:p w14:paraId="3B6A2114" w14:textId="77777777" w:rsidR="00480C22" w:rsidRPr="0019790A" w:rsidRDefault="00480C22" w:rsidP="00480C22">
            <w:pPr>
              <w:rPr>
                <w:rFonts w:cs="Arial"/>
                <w:szCs w:val="22"/>
              </w:rPr>
            </w:pPr>
          </w:p>
        </w:tc>
      </w:tr>
      <w:tr w:rsidR="00480C22" w:rsidRPr="0019790A" w14:paraId="20499212" w14:textId="77777777" w:rsidTr="00787C61">
        <w:trPr>
          <w:jc w:val="right"/>
        </w:trPr>
        <w:tc>
          <w:tcPr>
            <w:tcW w:w="3425" w:type="dxa"/>
            <w:shd w:val="clear" w:color="auto" w:fill="FFFFFF"/>
            <w:vAlign w:val="center"/>
          </w:tcPr>
          <w:p w14:paraId="4CF47E7F" w14:textId="77777777" w:rsidR="00480C22" w:rsidRPr="0019790A" w:rsidRDefault="00480C22" w:rsidP="00480C22">
            <w:pPr>
              <w:rPr>
                <w:rFonts w:cs="Arial"/>
                <w:b/>
                <w:bCs/>
                <w:color w:val="000000"/>
                <w:szCs w:val="22"/>
              </w:rPr>
            </w:pPr>
            <w:r w:rsidRPr="0019790A">
              <w:rPr>
                <w:rFonts w:cs="Arial"/>
                <w:b/>
                <w:color w:val="000000"/>
                <w:szCs w:val="22"/>
              </w:rPr>
              <w:t>Відповідальний виконавець проєкту:</w:t>
            </w:r>
          </w:p>
        </w:tc>
        <w:tc>
          <w:tcPr>
            <w:tcW w:w="6794" w:type="dxa"/>
            <w:gridSpan w:val="9"/>
            <w:vAlign w:val="center"/>
          </w:tcPr>
          <w:p w14:paraId="5AA5A8CC" w14:textId="77777777" w:rsidR="00480C22" w:rsidRPr="0019790A" w:rsidRDefault="00480C22" w:rsidP="00480C22">
            <w:pPr>
              <w:jc w:val="both"/>
              <w:rPr>
                <w:rFonts w:cs="Arial"/>
                <w:color w:val="000000"/>
                <w:szCs w:val="22"/>
                <w:lang w:eastAsia="it-IT"/>
              </w:rPr>
            </w:pPr>
            <w:r w:rsidRPr="0019790A">
              <w:rPr>
                <w:rFonts w:cs="Arial"/>
                <w:szCs w:val="22"/>
              </w:rPr>
              <w:t xml:space="preserve">Управління культури і туризму Жмеринської міської ради </w:t>
            </w:r>
          </w:p>
        </w:tc>
      </w:tr>
      <w:tr w:rsidR="00480C22" w:rsidRPr="0019790A" w14:paraId="7D5148DB" w14:textId="77777777" w:rsidTr="00787C61">
        <w:trPr>
          <w:jc w:val="right"/>
        </w:trPr>
        <w:tc>
          <w:tcPr>
            <w:tcW w:w="3425" w:type="dxa"/>
            <w:shd w:val="clear" w:color="auto" w:fill="FFFFFF"/>
            <w:vAlign w:val="center"/>
          </w:tcPr>
          <w:p w14:paraId="41758EF6" w14:textId="77777777" w:rsidR="00480C22" w:rsidRPr="0019790A" w:rsidRDefault="00480C22" w:rsidP="00480C22">
            <w:pPr>
              <w:rPr>
                <w:rFonts w:cs="Arial"/>
                <w:b/>
                <w:bCs/>
                <w:color w:val="000000"/>
                <w:szCs w:val="22"/>
              </w:rPr>
            </w:pPr>
            <w:r w:rsidRPr="0019790A">
              <w:rPr>
                <w:rFonts w:cs="Arial"/>
                <w:b/>
                <w:bCs/>
                <w:color w:val="000000"/>
                <w:szCs w:val="22"/>
              </w:rPr>
              <w:t>Інше:</w:t>
            </w:r>
          </w:p>
        </w:tc>
        <w:tc>
          <w:tcPr>
            <w:tcW w:w="6794" w:type="dxa"/>
            <w:gridSpan w:val="9"/>
            <w:vAlign w:val="center"/>
          </w:tcPr>
          <w:p w14:paraId="55FA45B6" w14:textId="77777777" w:rsidR="00480C22" w:rsidRPr="0019790A" w:rsidRDefault="00480C22" w:rsidP="00480C22">
            <w:pPr>
              <w:rPr>
                <w:rFonts w:cs="Arial"/>
                <w:color w:val="000000"/>
                <w:szCs w:val="22"/>
                <w:lang w:eastAsia="it-IT"/>
              </w:rPr>
            </w:pPr>
            <w:r w:rsidRPr="0019790A">
              <w:rPr>
                <w:rFonts w:cs="Arial"/>
                <w:color w:val="000000"/>
                <w:szCs w:val="22"/>
              </w:rPr>
              <w:t>Облаштоване укриття дозволить зберегти життєдіяльність культурної сфери громади, убезпечити населення в умовах тривожного часу та слугуватиме надійною підтримкою соціального функціонування села.</w:t>
            </w:r>
          </w:p>
        </w:tc>
      </w:tr>
    </w:tbl>
    <w:p w14:paraId="104547EE" w14:textId="77777777" w:rsidR="00787C61" w:rsidRPr="0019790A" w:rsidRDefault="00787C61" w:rsidP="0019790A">
      <w:pPr>
        <w:rPr>
          <w:rFonts w:cs="Arial"/>
          <w:szCs w:val="22"/>
        </w:rPr>
      </w:pPr>
    </w:p>
    <w:p w14:paraId="4CE539A5" w14:textId="77777777" w:rsidR="00787C61" w:rsidRPr="0019790A" w:rsidRDefault="00787C61" w:rsidP="0019790A">
      <w:pPr>
        <w:rPr>
          <w:rFonts w:cs="Arial"/>
          <w:szCs w:val="22"/>
        </w:rPr>
      </w:pPr>
    </w:p>
    <w:p w14:paraId="10E15406" w14:textId="77777777" w:rsidR="00787C61" w:rsidRPr="0019790A" w:rsidRDefault="00787C61" w:rsidP="0019790A">
      <w:pPr>
        <w:rPr>
          <w:rFonts w:cs="Arial"/>
          <w:szCs w:val="22"/>
        </w:rPr>
      </w:pPr>
    </w:p>
    <w:p w14:paraId="2F611EEE" w14:textId="77777777" w:rsidR="00787C61" w:rsidRPr="0019790A" w:rsidRDefault="00787C61" w:rsidP="0019790A">
      <w:pPr>
        <w:rPr>
          <w:rFonts w:cs="Arial"/>
          <w:szCs w:val="22"/>
        </w:rPr>
      </w:pPr>
    </w:p>
    <w:p w14:paraId="3BEC6581" w14:textId="77777777" w:rsidR="00787C61" w:rsidRPr="0019790A" w:rsidRDefault="00787C61" w:rsidP="0019790A">
      <w:pPr>
        <w:rPr>
          <w:rFonts w:cs="Arial"/>
          <w:szCs w:val="22"/>
        </w:rPr>
      </w:pPr>
    </w:p>
    <w:p w14:paraId="76FEE5EB" w14:textId="77777777" w:rsidR="00787C61" w:rsidRPr="0019790A" w:rsidRDefault="00787C61" w:rsidP="0019790A">
      <w:pPr>
        <w:rPr>
          <w:rFonts w:cs="Arial"/>
          <w:szCs w:val="22"/>
        </w:rPr>
      </w:pPr>
    </w:p>
    <w:p w14:paraId="2BC76354" w14:textId="77777777" w:rsidR="00787C61" w:rsidRPr="0019790A" w:rsidRDefault="00787C61" w:rsidP="0019790A">
      <w:pPr>
        <w:rPr>
          <w:rFonts w:cs="Arial"/>
          <w:szCs w:val="22"/>
        </w:rPr>
      </w:pPr>
    </w:p>
    <w:p w14:paraId="1B3A6A34" w14:textId="77777777" w:rsidR="00787C61" w:rsidRPr="0019790A" w:rsidRDefault="00787C61" w:rsidP="0019790A">
      <w:pPr>
        <w:rPr>
          <w:rFonts w:cs="Arial"/>
          <w:szCs w:val="22"/>
        </w:rPr>
      </w:pPr>
    </w:p>
    <w:p w14:paraId="52495B5E" w14:textId="77777777" w:rsidR="00480C22" w:rsidRDefault="00E21B92" w:rsidP="0019790A">
      <w:pPr>
        <w:pStyle w:val="2"/>
        <w:spacing w:before="0" w:after="0"/>
        <w:ind w:left="1080" w:firstLine="0"/>
        <w:rPr>
          <w:rFonts w:cs="Arial"/>
          <w:sz w:val="22"/>
          <w:szCs w:val="22"/>
        </w:rPr>
      </w:pPr>
      <w:r w:rsidRPr="0019790A">
        <w:rPr>
          <w:rFonts w:cs="Arial"/>
          <w:sz w:val="22"/>
          <w:szCs w:val="22"/>
        </w:rPr>
        <w:tab/>
      </w:r>
    </w:p>
    <w:p w14:paraId="1D56B4E9" w14:textId="77777777" w:rsidR="00480C22" w:rsidRDefault="00480C22">
      <w:pPr>
        <w:rPr>
          <w:rFonts w:cs="Arial"/>
          <w:b/>
          <w:bCs/>
          <w:color w:val="455E63"/>
          <w:szCs w:val="22"/>
          <w:lang w:eastAsia="en-US"/>
        </w:rPr>
      </w:pPr>
      <w:r>
        <w:rPr>
          <w:rFonts w:cs="Arial"/>
          <w:szCs w:val="22"/>
        </w:rPr>
        <w:br w:type="page"/>
      </w:r>
    </w:p>
    <w:p w14:paraId="0104F6DC" w14:textId="574C635D" w:rsidR="00E21B92" w:rsidRPr="0019790A" w:rsidRDefault="00E21B92" w:rsidP="0019790A">
      <w:pPr>
        <w:pStyle w:val="2"/>
        <w:spacing w:before="0" w:after="0"/>
        <w:ind w:left="1080" w:firstLine="0"/>
        <w:rPr>
          <w:rFonts w:cs="Arial"/>
          <w:sz w:val="22"/>
          <w:szCs w:val="22"/>
        </w:rPr>
      </w:pPr>
      <w:r w:rsidRPr="0019790A">
        <w:rPr>
          <w:rFonts w:cs="Arial"/>
          <w:sz w:val="22"/>
          <w:szCs w:val="22"/>
        </w:rPr>
        <w:t xml:space="preserve">Каталог технічних завдань </w:t>
      </w:r>
      <w:r w:rsidR="00314B9D">
        <w:rPr>
          <w:rFonts w:cs="Arial"/>
          <w:sz w:val="22"/>
          <w:szCs w:val="22"/>
        </w:rPr>
        <w:t>проєкт</w:t>
      </w:r>
      <w:r w:rsidRPr="0019790A">
        <w:rPr>
          <w:rFonts w:cs="Arial"/>
          <w:sz w:val="22"/>
          <w:szCs w:val="22"/>
        </w:rPr>
        <w:t xml:space="preserve">ів до Програми </w:t>
      </w:r>
      <w:r w:rsidR="003A7067" w:rsidRPr="0019790A">
        <w:rPr>
          <w:rFonts w:cs="Arial"/>
          <w:sz w:val="22"/>
          <w:szCs w:val="22"/>
        </w:rPr>
        <w:t>С. «Доступна громада»</w:t>
      </w:r>
    </w:p>
    <w:p w14:paraId="367F09C6" w14:textId="77777777" w:rsidR="00E21B92" w:rsidRPr="0019790A" w:rsidRDefault="00E21B92" w:rsidP="0019790A">
      <w:pPr>
        <w:rPr>
          <w:rFonts w:cs="Arial"/>
          <w:szCs w:val="22"/>
        </w:rPr>
      </w:pPr>
    </w:p>
    <w:p w14:paraId="42A6BF15" w14:textId="46DB66C0" w:rsidR="00E21B92" w:rsidRPr="0019790A" w:rsidRDefault="00D02BB5" w:rsidP="0019790A">
      <w:pPr>
        <w:jc w:val="center"/>
        <w:rPr>
          <w:rFonts w:cs="Arial"/>
          <w:b/>
          <w:bCs/>
          <w:szCs w:val="22"/>
          <w:u w:val="single"/>
        </w:rPr>
      </w:pPr>
      <w:r w:rsidRPr="0019790A">
        <w:rPr>
          <w:rFonts w:cs="Arial"/>
          <w:b/>
          <w:bCs/>
          <w:szCs w:val="22"/>
          <w:u w:val="single"/>
        </w:rPr>
        <w:t xml:space="preserve">Стратегічна ціль </w:t>
      </w:r>
      <w:r w:rsidR="003A7067" w:rsidRPr="0019790A">
        <w:rPr>
          <w:rFonts w:cs="Arial"/>
          <w:b/>
          <w:bCs/>
          <w:szCs w:val="22"/>
          <w:u w:val="single"/>
        </w:rPr>
        <w:t>С.1. Підвищення рівня надання освітніх послуг</w:t>
      </w:r>
    </w:p>
    <w:p w14:paraId="6A01B0CF" w14:textId="77777777" w:rsidR="0013446B" w:rsidRPr="0019790A" w:rsidRDefault="0013446B" w:rsidP="0019790A">
      <w:pPr>
        <w:rPr>
          <w:rFonts w:cs="Arial"/>
          <w:b/>
          <w:bCs/>
          <w:szCs w:val="22"/>
        </w:rPr>
      </w:pPr>
    </w:p>
    <w:p w14:paraId="3B2D5C94" w14:textId="77777777" w:rsidR="00012357" w:rsidRPr="0019790A" w:rsidRDefault="00012357" w:rsidP="0019790A">
      <w:pPr>
        <w:jc w:val="right"/>
        <w:rPr>
          <w:rFonts w:cs="Arial"/>
          <w:b/>
          <w:szCs w:val="22"/>
        </w:rPr>
      </w:pPr>
    </w:p>
    <w:p w14:paraId="564577BA" w14:textId="77777777" w:rsidR="00012357" w:rsidRPr="0019790A" w:rsidRDefault="00012357" w:rsidP="0019790A">
      <w:pPr>
        <w:jc w:val="center"/>
        <w:rPr>
          <w:rFonts w:cs="Arial"/>
          <w:b/>
          <w:szCs w:val="22"/>
        </w:rPr>
      </w:pPr>
      <w:r w:rsidRPr="0019790A">
        <w:rPr>
          <w:rFonts w:cs="Arial"/>
          <w:b/>
          <w:szCs w:val="22"/>
        </w:rPr>
        <w:t xml:space="preserve">Форма технічного завдання на проєкт місцевого розвитку </w:t>
      </w:r>
    </w:p>
    <w:p w14:paraId="420EEBDE" w14:textId="77777777" w:rsidR="00012357" w:rsidRPr="0019790A" w:rsidRDefault="00012357" w:rsidP="0019790A">
      <w:pPr>
        <w:jc w:val="center"/>
        <w:rPr>
          <w:rFonts w:cs="Arial"/>
          <w:b/>
          <w:szCs w:val="22"/>
        </w:rPr>
      </w:pPr>
      <w:r w:rsidRPr="0019790A">
        <w:rPr>
          <w:rFonts w:cs="Arial"/>
          <w:b/>
          <w:szCs w:val="22"/>
        </w:rPr>
        <w:t>до Плану заходів з реалізації Стратегії</w:t>
      </w:r>
    </w:p>
    <w:p w14:paraId="517B808F" w14:textId="77777777" w:rsidR="00012357" w:rsidRPr="0019790A" w:rsidRDefault="00012357"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1275"/>
        <w:gridCol w:w="1418"/>
        <w:gridCol w:w="1276"/>
        <w:gridCol w:w="1571"/>
      </w:tblGrid>
      <w:tr w:rsidR="00012357" w:rsidRPr="0019790A" w14:paraId="38E02F5B" w14:textId="77777777" w:rsidTr="008A040F">
        <w:trPr>
          <w:trHeight w:val="450"/>
          <w:jc w:val="right"/>
        </w:trPr>
        <w:tc>
          <w:tcPr>
            <w:tcW w:w="3425" w:type="dxa"/>
            <w:vAlign w:val="center"/>
          </w:tcPr>
          <w:p w14:paraId="09FFD0C9" w14:textId="77777777" w:rsidR="00012357" w:rsidRPr="0019790A" w:rsidRDefault="00012357" w:rsidP="008A040F">
            <w:pPr>
              <w:rPr>
                <w:rFonts w:cs="Arial"/>
                <w:b/>
                <w:bCs/>
                <w:szCs w:val="22"/>
              </w:rPr>
            </w:pPr>
            <w:r w:rsidRPr="0019790A">
              <w:rPr>
                <w:rFonts w:cs="Arial"/>
                <w:b/>
                <w:bCs/>
                <w:szCs w:val="22"/>
              </w:rPr>
              <w:t>Назва проєкту:</w:t>
            </w:r>
          </w:p>
        </w:tc>
        <w:tc>
          <w:tcPr>
            <w:tcW w:w="6794" w:type="dxa"/>
            <w:gridSpan w:val="5"/>
            <w:vAlign w:val="center"/>
          </w:tcPr>
          <w:p w14:paraId="35F95289" w14:textId="77777777" w:rsidR="00012357" w:rsidRPr="0019790A" w:rsidRDefault="00012357" w:rsidP="008A040F">
            <w:pPr>
              <w:pStyle w:val="aa"/>
              <w:rPr>
                <w:rFonts w:ascii="Arial" w:hAnsi="Arial" w:cs="Arial"/>
                <w:b/>
              </w:rPr>
            </w:pPr>
            <w:r w:rsidRPr="0019790A">
              <w:rPr>
                <w:rFonts w:ascii="Arial" w:hAnsi="Arial" w:cs="Arial"/>
                <w:b/>
              </w:rPr>
              <w:t xml:space="preserve"> Освіта без бар’єрів</w:t>
            </w:r>
          </w:p>
        </w:tc>
      </w:tr>
      <w:tr w:rsidR="00012357" w:rsidRPr="0019790A" w14:paraId="08EBF5D4" w14:textId="77777777" w:rsidTr="00D1052A">
        <w:trPr>
          <w:jc w:val="right"/>
        </w:trPr>
        <w:tc>
          <w:tcPr>
            <w:tcW w:w="3425" w:type="dxa"/>
          </w:tcPr>
          <w:p w14:paraId="0B858AE2" w14:textId="77777777" w:rsidR="00012357" w:rsidRPr="0019790A" w:rsidRDefault="00012357"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1D2DA4E5" w14:textId="77777777" w:rsidR="00012357" w:rsidRPr="0019790A" w:rsidRDefault="00012357"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5"/>
          </w:tcPr>
          <w:p w14:paraId="7B1B9FC8" w14:textId="77777777" w:rsidR="00012357" w:rsidRPr="0019790A" w:rsidRDefault="00012357" w:rsidP="0019790A">
            <w:pPr>
              <w:rPr>
                <w:rFonts w:cs="Arial"/>
                <w:szCs w:val="22"/>
                <w:lang w:eastAsia="it-IT"/>
              </w:rPr>
            </w:pPr>
            <w:r w:rsidRPr="0019790A">
              <w:rPr>
                <w:rFonts w:cs="Arial"/>
                <w:szCs w:val="22"/>
                <w:lang w:eastAsia="it-IT"/>
              </w:rPr>
              <w:t xml:space="preserve"> Управління освіти Жмеринської міської ради</w:t>
            </w:r>
          </w:p>
          <w:p w14:paraId="6DCDBD81" w14:textId="77777777" w:rsidR="00012357" w:rsidRPr="0019790A" w:rsidRDefault="00012357" w:rsidP="0019790A">
            <w:pPr>
              <w:rPr>
                <w:rFonts w:cs="Arial"/>
                <w:szCs w:val="22"/>
                <w:lang w:eastAsia="it-IT"/>
              </w:rPr>
            </w:pPr>
            <w:r w:rsidRPr="0019790A">
              <w:rPr>
                <w:rFonts w:cs="Arial"/>
                <w:bCs/>
                <w:szCs w:val="22"/>
              </w:rPr>
              <w:t xml:space="preserve">  </w:t>
            </w:r>
          </w:p>
        </w:tc>
      </w:tr>
      <w:tr w:rsidR="00012357" w:rsidRPr="0019790A" w14:paraId="18C56D85" w14:textId="77777777" w:rsidTr="00D1052A">
        <w:trPr>
          <w:jc w:val="right"/>
        </w:trPr>
        <w:tc>
          <w:tcPr>
            <w:tcW w:w="3425" w:type="dxa"/>
          </w:tcPr>
          <w:p w14:paraId="5F427226" w14:textId="77777777" w:rsidR="00012357" w:rsidRPr="0019790A" w:rsidRDefault="00012357" w:rsidP="0019790A">
            <w:pPr>
              <w:rPr>
                <w:rFonts w:cs="Arial"/>
                <w:b/>
                <w:bCs/>
                <w:szCs w:val="22"/>
              </w:rPr>
            </w:pPr>
            <w:r w:rsidRPr="0019790A">
              <w:rPr>
                <w:rFonts w:cs="Arial"/>
                <w:szCs w:val="22"/>
                <w:lang w:eastAsia="it-IT"/>
              </w:rPr>
              <w:t>Прізвище Ім’я по-батькові:</w:t>
            </w:r>
          </w:p>
        </w:tc>
        <w:tc>
          <w:tcPr>
            <w:tcW w:w="6794" w:type="dxa"/>
            <w:gridSpan w:val="5"/>
          </w:tcPr>
          <w:p w14:paraId="1321F51F" w14:textId="77777777" w:rsidR="00012357" w:rsidRPr="0019790A" w:rsidRDefault="00012357" w:rsidP="0019790A">
            <w:pPr>
              <w:pStyle w:val="TableParagraph"/>
              <w:ind w:left="0"/>
              <w:rPr>
                <w:rFonts w:ascii="Arial" w:hAnsi="Arial" w:cs="Arial"/>
              </w:rPr>
            </w:pPr>
            <w:r w:rsidRPr="0019790A">
              <w:rPr>
                <w:rFonts w:ascii="Arial" w:hAnsi="Arial" w:cs="Arial"/>
              </w:rPr>
              <w:t>Твердохліб Аліна Петрівна</w:t>
            </w:r>
          </w:p>
        </w:tc>
      </w:tr>
      <w:tr w:rsidR="00012357" w:rsidRPr="0019790A" w14:paraId="399D59D3" w14:textId="77777777" w:rsidTr="00D1052A">
        <w:trPr>
          <w:jc w:val="right"/>
        </w:trPr>
        <w:tc>
          <w:tcPr>
            <w:tcW w:w="3425" w:type="dxa"/>
          </w:tcPr>
          <w:p w14:paraId="69075730" w14:textId="77777777" w:rsidR="00012357" w:rsidRPr="0019790A" w:rsidRDefault="00012357" w:rsidP="0019790A">
            <w:pPr>
              <w:rPr>
                <w:rFonts w:cs="Arial"/>
                <w:b/>
                <w:bCs/>
                <w:szCs w:val="22"/>
              </w:rPr>
            </w:pPr>
            <w:r w:rsidRPr="0019790A">
              <w:rPr>
                <w:rFonts w:cs="Arial"/>
                <w:szCs w:val="22"/>
                <w:lang w:eastAsia="it-IT"/>
              </w:rPr>
              <w:t>Телефон (мобільний):</w:t>
            </w:r>
          </w:p>
        </w:tc>
        <w:tc>
          <w:tcPr>
            <w:tcW w:w="6794" w:type="dxa"/>
            <w:gridSpan w:val="5"/>
          </w:tcPr>
          <w:p w14:paraId="59A8BE67" w14:textId="77777777" w:rsidR="00012357" w:rsidRPr="0019790A" w:rsidRDefault="00012357" w:rsidP="0019790A">
            <w:pPr>
              <w:pStyle w:val="TableParagraph"/>
              <w:ind w:left="66"/>
              <w:rPr>
                <w:rFonts w:ascii="Arial" w:hAnsi="Arial" w:cs="Arial"/>
              </w:rPr>
            </w:pPr>
            <w:r w:rsidRPr="0019790A">
              <w:rPr>
                <w:rFonts w:ascii="Arial" w:hAnsi="Arial" w:cs="Arial"/>
                <w:spacing w:val="-2"/>
              </w:rPr>
              <w:t>+380 (67) 895 55 75</w:t>
            </w:r>
          </w:p>
        </w:tc>
      </w:tr>
      <w:tr w:rsidR="00012357" w:rsidRPr="0019790A" w14:paraId="1899847B" w14:textId="77777777" w:rsidTr="00D1052A">
        <w:trPr>
          <w:jc w:val="right"/>
        </w:trPr>
        <w:tc>
          <w:tcPr>
            <w:tcW w:w="3425" w:type="dxa"/>
          </w:tcPr>
          <w:p w14:paraId="648BB669" w14:textId="77777777" w:rsidR="00012357" w:rsidRPr="0019790A" w:rsidRDefault="00012357" w:rsidP="0019790A">
            <w:pPr>
              <w:rPr>
                <w:rFonts w:cs="Arial"/>
                <w:b/>
                <w:bCs/>
                <w:szCs w:val="22"/>
              </w:rPr>
            </w:pPr>
            <w:r w:rsidRPr="0019790A">
              <w:rPr>
                <w:rFonts w:cs="Arial"/>
                <w:szCs w:val="22"/>
                <w:lang w:eastAsia="it-IT"/>
              </w:rPr>
              <w:t>Електронна адреса:</w:t>
            </w:r>
          </w:p>
        </w:tc>
        <w:tc>
          <w:tcPr>
            <w:tcW w:w="6794" w:type="dxa"/>
            <w:gridSpan w:val="5"/>
          </w:tcPr>
          <w:p w14:paraId="5EE1D447" w14:textId="77777777" w:rsidR="00012357" w:rsidRPr="0019790A" w:rsidRDefault="00012357" w:rsidP="0019790A">
            <w:pPr>
              <w:pStyle w:val="TableParagraph"/>
              <w:ind w:left="66"/>
              <w:rPr>
                <w:rFonts w:ascii="Arial" w:hAnsi="Arial" w:cs="Arial"/>
                <w:b/>
              </w:rPr>
            </w:pPr>
            <w:r w:rsidRPr="0019790A">
              <w:rPr>
                <w:rFonts w:ascii="Arial" w:hAnsi="Arial" w:cs="Arial"/>
              </w:rPr>
              <w:t xml:space="preserve"> </w:t>
            </w:r>
            <w:hyperlink r:id="rId101" w:history="1">
              <w:r w:rsidRPr="0019790A">
                <w:rPr>
                  <w:rStyle w:val="af0"/>
                  <w:rFonts w:ascii="Arial" w:hAnsi="Arial" w:cs="Arial"/>
                  <w:noProof w:val="0"/>
                  <w:spacing w:val="5"/>
                  <w:sz w:val="22"/>
                  <w:szCs w:val="22"/>
                </w:rPr>
                <w:t>uposv.zmr@gmail.com</w:t>
              </w:r>
            </w:hyperlink>
          </w:p>
        </w:tc>
      </w:tr>
      <w:tr w:rsidR="00012357" w:rsidRPr="0019790A" w14:paraId="5BF5DE6D" w14:textId="77777777" w:rsidTr="00D1052A">
        <w:trPr>
          <w:jc w:val="right"/>
        </w:trPr>
        <w:tc>
          <w:tcPr>
            <w:tcW w:w="3425" w:type="dxa"/>
            <w:vAlign w:val="center"/>
          </w:tcPr>
          <w:p w14:paraId="547C309C" w14:textId="77777777" w:rsidR="00012357" w:rsidRPr="0019790A" w:rsidRDefault="00012357" w:rsidP="0019790A">
            <w:pPr>
              <w:pStyle w:val="6"/>
              <w:spacing w:before="0" w:after="0"/>
              <w:rPr>
                <w:rFonts w:ascii="Arial" w:hAnsi="Arial" w:cs="Arial"/>
                <w:lang w:val="uk-UA"/>
              </w:rPr>
            </w:pPr>
            <w:r w:rsidRPr="0019790A">
              <w:rPr>
                <w:rFonts w:ascii="Arial" w:hAnsi="Arial" w:cs="Arial"/>
                <w:lang w:val="uk-UA"/>
              </w:rPr>
              <w:t>Номер і назва завдання з Стратегії</w:t>
            </w:r>
            <w:r w:rsidRPr="0019790A">
              <w:rPr>
                <w:rFonts w:ascii="Arial" w:hAnsi="Arial" w:cs="Arial"/>
                <w:lang w:val="uk-UA" w:eastAsia="it-IT"/>
              </w:rPr>
              <w:t xml:space="preserve"> </w:t>
            </w:r>
            <w:r w:rsidRPr="0019790A">
              <w:rPr>
                <w:rFonts w:ascii="Arial" w:hAnsi="Arial" w:cs="Arial"/>
                <w:lang w:val="uk-UA"/>
              </w:rPr>
              <w:t>розвитку Жмеринської міської територіальної громади,  якому відповідає проєкт:</w:t>
            </w:r>
          </w:p>
        </w:tc>
        <w:tc>
          <w:tcPr>
            <w:tcW w:w="6794" w:type="dxa"/>
            <w:gridSpan w:val="5"/>
          </w:tcPr>
          <w:p w14:paraId="3B61A6EA" w14:textId="77777777" w:rsidR="00012357" w:rsidRPr="0019790A" w:rsidRDefault="00012357" w:rsidP="0019790A">
            <w:pPr>
              <w:rPr>
                <w:rFonts w:cs="Arial"/>
                <w:szCs w:val="22"/>
              </w:rPr>
            </w:pPr>
            <w:r w:rsidRPr="0019790A">
              <w:rPr>
                <w:rFonts w:cs="Arial"/>
                <w:szCs w:val="22"/>
              </w:rPr>
              <w:t>С.1.1.2. Розвиток освітньої інфраструктури територіальної громади відповідно до вимог часу.</w:t>
            </w:r>
          </w:p>
          <w:p w14:paraId="2C4D3B79" w14:textId="77777777" w:rsidR="00012357" w:rsidRPr="0019790A" w:rsidRDefault="00012357" w:rsidP="0019790A">
            <w:pPr>
              <w:rPr>
                <w:rFonts w:cs="Arial"/>
                <w:szCs w:val="22"/>
              </w:rPr>
            </w:pPr>
            <w:r w:rsidRPr="0019790A">
              <w:rPr>
                <w:rFonts w:cs="Arial"/>
                <w:szCs w:val="22"/>
              </w:rPr>
              <w:t xml:space="preserve"> С.1.4.5. Формування та розвиток спроможної освітньої мережі, що забезпечує рівний доступ до якісної освіти на всіх її рівнях для всієї громади</w:t>
            </w:r>
            <w:r w:rsidRPr="0019790A">
              <w:rPr>
                <w:rFonts w:cs="Arial"/>
                <w:i/>
                <w:szCs w:val="22"/>
              </w:rPr>
              <w:t>.</w:t>
            </w:r>
          </w:p>
          <w:p w14:paraId="29EF49FB" w14:textId="77777777" w:rsidR="00012357" w:rsidRPr="0019790A" w:rsidRDefault="00012357" w:rsidP="0019790A">
            <w:pPr>
              <w:pBdr>
                <w:left w:val="single" w:sz="18" w:space="4" w:color="auto"/>
              </w:pBdr>
              <w:rPr>
                <w:rFonts w:cs="Arial"/>
                <w:szCs w:val="22"/>
                <w:lang w:eastAsia="it-IT"/>
              </w:rPr>
            </w:pPr>
            <w:r w:rsidRPr="0019790A">
              <w:rPr>
                <w:rFonts w:cs="Arial"/>
                <w:szCs w:val="22"/>
              </w:rPr>
              <w:t>С.1.3.1. Забезпечення доступу до якісних освітніх послуг в тому числі для дітей з особливими освітніми потребами.</w:t>
            </w:r>
          </w:p>
        </w:tc>
      </w:tr>
      <w:tr w:rsidR="00012357" w:rsidRPr="0019790A" w14:paraId="062141DA" w14:textId="77777777" w:rsidTr="00D1052A">
        <w:trPr>
          <w:jc w:val="right"/>
        </w:trPr>
        <w:tc>
          <w:tcPr>
            <w:tcW w:w="3425" w:type="dxa"/>
            <w:vAlign w:val="center"/>
          </w:tcPr>
          <w:p w14:paraId="0262D6F0" w14:textId="77777777" w:rsidR="00012357" w:rsidRPr="0019790A" w:rsidRDefault="00012357" w:rsidP="0019790A">
            <w:pPr>
              <w:rPr>
                <w:rFonts w:cs="Arial"/>
                <w:b/>
                <w:bCs/>
                <w:szCs w:val="22"/>
              </w:rPr>
            </w:pPr>
            <w:r w:rsidRPr="0019790A">
              <w:rPr>
                <w:rFonts w:cs="Arial"/>
                <w:b/>
                <w:bCs/>
                <w:szCs w:val="22"/>
              </w:rPr>
              <w:t>Мета проєкту:</w:t>
            </w:r>
          </w:p>
        </w:tc>
        <w:tc>
          <w:tcPr>
            <w:tcW w:w="6794" w:type="dxa"/>
            <w:gridSpan w:val="5"/>
          </w:tcPr>
          <w:p w14:paraId="24DC78C6" w14:textId="77777777" w:rsidR="00012357" w:rsidRPr="0019790A" w:rsidRDefault="00012357" w:rsidP="0019790A">
            <w:pPr>
              <w:jc w:val="both"/>
              <w:rPr>
                <w:rFonts w:cs="Arial"/>
                <w:szCs w:val="22"/>
                <w:lang w:eastAsia="uk-UA"/>
              </w:rPr>
            </w:pPr>
            <w:r w:rsidRPr="0019790A">
              <w:rPr>
                <w:rFonts w:cs="Arial"/>
                <w:szCs w:val="22"/>
              </w:rPr>
              <w:t xml:space="preserve">    </w:t>
            </w:r>
            <w:r w:rsidRPr="0019790A">
              <w:rPr>
                <w:rFonts w:cs="Arial"/>
                <w:szCs w:val="22"/>
                <w:shd w:val="clear" w:color="auto" w:fill="FFFFFF"/>
              </w:rPr>
              <w:t xml:space="preserve">Створення освітнього середовища, що забезпечує рівні права і можливості в освіті для всіх, </w:t>
            </w:r>
            <w:r w:rsidRPr="0019790A">
              <w:rPr>
                <w:rFonts w:cs="Arial"/>
                <w:szCs w:val="22"/>
              </w:rPr>
              <w:t>незалежно від статі, стану здоров'я, соціального статусу чи іншого</w:t>
            </w:r>
            <w:r w:rsidRPr="0019790A">
              <w:rPr>
                <w:rFonts w:cs="Arial"/>
                <w:szCs w:val="22"/>
                <w:lang w:eastAsia="uk-UA"/>
              </w:rPr>
              <w:t xml:space="preserve"> </w:t>
            </w:r>
          </w:p>
          <w:p w14:paraId="391217A1" w14:textId="77777777" w:rsidR="00012357" w:rsidRPr="0019790A" w:rsidRDefault="00012357" w:rsidP="0019790A">
            <w:pPr>
              <w:jc w:val="both"/>
              <w:rPr>
                <w:rFonts w:cs="Arial"/>
                <w:szCs w:val="22"/>
                <w:lang w:eastAsia="it-IT"/>
              </w:rPr>
            </w:pPr>
            <w:r w:rsidRPr="0019790A">
              <w:rPr>
                <w:rFonts w:cs="Arial"/>
                <w:szCs w:val="22"/>
                <w:lang w:eastAsia="uk-UA"/>
              </w:rPr>
              <w:t xml:space="preserve">    Наближення освіти Жмеринської ТГ до європейських принципів та стандартів життя, де кожен громадянин має можливості для реалізації свого потенціалу.</w:t>
            </w:r>
          </w:p>
        </w:tc>
      </w:tr>
      <w:tr w:rsidR="00012357" w:rsidRPr="0019790A" w14:paraId="501DB018" w14:textId="77777777" w:rsidTr="00D1052A">
        <w:trPr>
          <w:jc w:val="right"/>
        </w:trPr>
        <w:tc>
          <w:tcPr>
            <w:tcW w:w="3425" w:type="dxa"/>
            <w:vAlign w:val="center"/>
          </w:tcPr>
          <w:p w14:paraId="44E7EAD0" w14:textId="77777777" w:rsidR="00012357" w:rsidRPr="0019790A" w:rsidRDefault="00012357" w:rsidP="0019790A">
            <w:pPr>
              <w:rPr>
                <w:rFonts w:cs="Arial"/>
                <w:b/>
                <w:bCs/>
                <w:szCs w:val="22"/>
              </w:rPr>
            </w:pPr>
            <w:r w:rsidRPr="0019790A">
              <w:rPr>
                <w:rFonts w:cs="Arial"/>
                <w:b/>
                <w:bCs/>
                <w:szCs w:val="22"/>
              </w:rPr>
              <w:t>Цілі проєкту:</w:t>
            </w:r>
          </w:p>
        </w:tc>
        <w:tc>
          <w:tcPr>
            <w:tcW w:w="6794" w:type="dxa"/>
            <w:gridSpan w:val="5"/>
          </w:tcPr>
          <w:p w14:paraId="10280442" w14:textId="77777777" w:rsidR="00012357" w:rsidRPr="0019790A" w:rsidRDefault="00012357" w:rsidP="0019790A">
            <w:pPr>
              <w:jc w:val="both"/>
              <w:rPr>
                <w:rFonts w:cs="Arial"/>
                <w:szCs w:val="22"/>
              </w:rPr>
            </w:pPr>
            <w:r w:rsidRPr="0019790A">
              <w:rPr>
                <w:rFonts w:cs="Arial"/>
                <w:szCs w:val="22"/>
              </w:rPr>
              <w:t xml:space="preserve">   Створення умов для дітей з особливими потребами, зокрема, з порушенням роботи опорно-рухового апарату та порушення зору.</w:t>
            </w:r>
          </w:p>
          <w:p w14:paraId="6A381185" w14:textId="77777777" w:rsidR="00012357" w:rsidRPr="0019790A" w:rsidRDefault="00012357" w:rsidP="0019790A">
            <w:pPr>
              <w:jc w:val="both"/>
              <w:rPr>
                <w:rFonts w:cs="Arial"/>
                <w:bCs/>
                <w:szCs w:val="22"/>
              </w:rPr>
            </w:pPr>
            <w:r w:rsidRPr="0019790A">
              <w:rPr>
                <w:rFonts w:cs="Arial"/>
                <w:szCs w:val="22"/>
              </w:rPr>
              <w:t xml:space="preserve">   Забезпечення фізичної доступності закладів/установ освіти</w:t>
            </w:r>
          </w:p>
          <w:p w14:paraId="04050857" w14:textId="77777777" w:rsidR="00012357" w:rsidRPr="0019790A" w:rsidRDefault="00012357" w:rsidP="0019790A">
            <w:pPr>
              <w:jc w:val="both"/>
              <w:rPr>
                <w:rFonts w:cs="Arial"/>
                <w:szCs w:val="22"/>
                <w:lang w:eastAsia="it-IT"/>
              </w:rPr>
            </w:pPr>
            <w:r w:rsidRPr="0019790A">
              <w:rPr>
                <w:rFonts w:cs="Arial"/>
                <w:bCs/>
                <w:szCs w:val="22"/>
              </w:rPr>
              <w:t xml:space="preserve">   Створення мережі спеціальних класів/груп</w:t>
            </w:r>
          </w:p>
        </w:tc>
      </w:tr>
      <w:tr w:rsidR="00012357" w:rsidRPr="0019790A" w14:paraId="00DAEAD2" w14:textId="77777777" w:rsidTr="00D1052A">
        <w:trPr>
          <w:jc w:val="right"/>
        </w:trPr>
        <w:tc>
          <w:tcPr>
            <w:tcW w:w="3425" w:type="dxa"/>
            <w:vAlign w:val="center"/>
          </w:tcPr>
          <w:p w14:paraId="1DF9754B" w14:textId="77777777" w:rsidR="00012357" w:rsidRPr="0019790A" w:rsidRDefault="00012357" w:rsidP="0019790A">
            <w:pPr>
              <w:autoSpaceDE w:val="0"/>
              <w:autoSpaceDN w:val="0"/>
              <w:adjustRightInd w:val="0"/>
              <w:rPr>
                <w:rFonts w:cs="Arial"/>
                <w:b/>
                <w:szCs w:val="22"/>
              </w:rPr>
            </w:pPr>
            <w:r w:rsidRPr="0019790A">
              <w:rPr>
                <w:rFonts w:cs="Arial"/>
                <w:b/>
                <w:szCs w:val="22"/>
              </w:rPr>
              <w:t>Територія на яку проєкт матиме вплив:</w:t>
            </w:r>
          </w:p>
        </w:tc>
        <w:tc>
          <w:tcPr>
            <w:tcW w:w="6794" w:type="dxa"/>
            <w:gridSpan w:val="5"/>
          </w:tcPr>
          <w:p w14:paraId="0615794B" w14:textId="77777777" w:rsidR="00012357" w:rsidRPr="0019790A" w:rsidRDefault="00012357" w:rsidP="0019790A">
            <w:pPr>
              <w:rPr>
                <w:rFonts w:cs="Arial"/>
                <w:szCs w:val="22"/>
                <w:lang w:eastAsia="it-IT"/>
              </w:rPr>
            </w:pPr>
            <w:r w:rsidRPr="0019790A">
              <w:rPr>
                <w:rFonts w:cs="Arial"/>
                <w:szCs w:val="22"/>
                <w:lang w:eastAsia="it-IT"/>
              </w:rPr>
              <w:t xml:space="preserve">Територія Жмеринської міської територіальної громади  </w:t>
            </w:r>
          </w:p>
        </w:tc>
      </w:tr>
      <w:tr w:rsidR="00012357" w:rsidRPr="0019790A" w14:paraId="41AC9977" w14:textId="77777777" w:rsidTr="00D1052A">
        <w:trPr>
          <w:jc w:val="right"/>
        </w:trPr>
        <w:tc>
          <w:tcPr>
            <w:tcW w:w="3425" w:type="dxa"/>
            <w:vAlign w:val="center"/>
          </w:tcPr>
          <w:p w14:paraId="696F3315" w14:textId="77777777" w:rsidR="00012357" w:rsidRPr="0019790A" w:rsidRDefault="00012357" w:rsidP="0019790A">
            <w:pPr>
              <w:autoSpaceDE w:val="0"/>
              <w:autoSpaceDN w:val="0"/>
              <w:adjustRightInd w:val="0"/>
              <w:rPr>
                <w:rFonts w:cs="Arial"/>
                <w:b/>
                <w:szCs w:val="22"/>
              </w:rPr>
            </w:pPr>
            <w:r w:rsidRPr="0019790A">
              <w:rPr>
                <w:rFonts w:cs="Arial"/>
                <w:b/>
                <w:szCs w:val="22"/>
              </w:rPr>
              <w:t>Цільові групи проєкту та кількість отримувачів вигоди</w:t>
            </w:r>
          </w:p>
        </w:tc>
        <w:tc>
          <w:tcPr>
            <w:tcW w:w="6794" w:type="dxa"/>
            <w:gridSpan w:val="5"/>
          </w:tcPr>
          <w:p w14:paraId="6A07A0B1" w14:textId="77777777" w:rsidR="00012357" w:rsidRPr="0019790A" w:rsidRDefault="00012357" w:rsidP="0019790A">
            <w:pPr>
              <w:pStyle w:val="TableParagraph"/>
              <w:ind w:left="0"/>
              <w:jc w:val="both"/>
              <w:rPr>
                <w:rFonts w:ascii="Arial" w:hAnsi="Arial" w:cs="Arial"/>
              </w:rPr>
            </w:pPr>
            <w:r w:rsidRPr="0019790A">
              <w:rPr>
                <w:rFonts w:ascii="Arial" w:hAnsi="Arial" w:cs="Arial"/>
              </w:rPr>
              <w:t>150 дітей з ООП, здобувачі освіти, педагоги, батьки, відвідувачі,  жителі громади</w:t>
            </w:r>
          </w:p>
        </w:tc>
      </w:tr>
      <w:tr w:rsidR="00012357" w:rsidRPr="0019790A" w14:paraId="2BA55CB6" w14:textId="77777777" w:rsidTr="00D1052A">
        <w:trPr>
          <w:jc w:val="right"/>
        </w:trPr>
        <w:tc>
          <w:tcPr>
            <w:tcW w:w="3425" w:type="dxa"/>
            <w:shd w:val="clear" w:color="auto" w:fill="FFFFFF"/>
            <w:vAlign w:val="center"/>
          </w:tcPr>
          <w:p w14:paraId="15884B0A" w14:textId="77777777" w:rsidR="00012357" w:rsidRPr="0019790A" w:rsidRDefault="00012357" w:rsidP="0019790A">
            <w:pPr>
              <w:rPr>
                <w:rFonts w:cs="Arial"/>
                <w:b/>
                <w:bCs/>
                <w:szCs w:val="22"/>
              </w:rPr>
            </w:pPr>
            <w:r w:rsidRPr="0019790A">
              <w:rPr>
                <w:rFonts w:cs="Arial"/>
                <w:b/>
                <w:bCs/>
                <w:szCs w:val="22"/>
              </w:rPr>
              <w:t>Стислий опис проєкту:</w:t>
            </w:r>
          </w:p>
        </w:tc>
        <w:tc>
          <w:tcPr>
            <w:tcW w:w="6794" w:type="dxa"/>
            <w:gridSpan w:val="5"/>
          </w:tcPr>
          <w:p w14:paraId="28B38C2F" w14:textId="6023DC1D" w:rsidR="00012357" w:rsidRPr="0019790A" w:rsidRDefault="00012357" w:rsidP="0019790A">
            <w:pPr>
              <w:jc w:val="both"/>
              <w:rPr>
                <w:rFonts w:cs="Arial"/>
                <w:szCs w:val="22"/>
                <w:shd w:val="clear" w:color="auto" w:fill="FFFFFF"/>
              </w:rPr>
            </w:pPr>
            <w:r w:rsidRPr="0019790A">
              <w:rPr>
                <w:rFonts w:cs="Arial"/>
                <w:szCs w:val="22"/>
                <w:shd w:val="clear" w:color="auto" w:fill="FFFFFF"/>
              </w:rPr>
              <w:t xml:space="preserve">  Сучасне суспільство активно рухається до створення інклюзивного середовища, де кожна людина, незалежно від фізичних чи психічних особливостей, може реалізувати свій потенціал. Однією з ключових складових цього процесу є </w:t>
            </w:r>
            <w:r w:rsidR="008A040F" w:rsidRPr="0019790A">
              <w:rPr>
                <w:rFonts w:cs="Arial"/>
                <w:szCs w:val="22"/>
                <w:shd w:val="clear" w:color="auto" w:fill="FFFFFF"/>
              </w:rPr>
              <w:t>безбар’єрності</w:t>
            </w:r>
            <w:r w:rsidRPr="0019790A">
              <w:rPr>
                <w:rFonts w:cs="Arial"/>
                <w:szCs w:val="22"/>
                <w:shd w:val="clear" w:color="auto" w:fill="FFFFFF"/>
              </w:rPr>
              <w:t xml:space="preserve"> в освіті.  </w:t>
            </w:r>
          </w:p>
          <w:p w14:paraId="0B15C0D8" w14:textId="0139E8A0" w:rsidR="00012357" w:rsidRPr="0019790A" w:rsidRDefault="00012357" w:rsidP="0019790A">
            <w:pPr>
              <w:shd w:val="clear" w:color="auto" w:fill="FFFFFF"/>
              <w:jc w:val="both"/>
              <w:textAlignment w:val="baseline"/>
              <w:rPr>
                <w:rFonts w:cs="Arial"/>
                <w:szCs w:val="22"/>
                <w:lang w:eastAsia="uk-UA"/>
              </w:rPr>
            </w:pPr>
            <w:r w:rsidRPr="0019790A">
              <w:rPr>
                <w:rFonts w:cs="Arial"/>
                <w:szCs w:val="22"/>
                <w:shd w:val="clear" w:color="auto" w:fill="FFFFFF"/>
              </w:rPr>
              <w:t xml:space="preserve">   </w:t>
            </w:r>
            <w:r w:rsidR="008A040F" w:rsidRPr="0019790A">
              <w:rPr>
                <w:rFonts w:cs="Arial"/>
                <w:szCs w:val="22"/>
                <w:lang w:eastAsia="uk-UA"/>
              </w:rPr>
              <w:t>Безбар’єрності</w:t>
            </w:r>
            <w:r w:rsidRPr="0019790A">
              <w:rPr>
                <w:rFonts w:cs="Arial"/>
                <w:szCs w:val="22"/>
                <w:lang w:eastAsia="uk-UA"/>
              </w:rPr>
              <w:t xml:space="preserve"> в освіті – це створення умов, при яких люди з інвалідністю чи іншими особливостями не відчувають обмежень у доступі до знань. Це включає не тільки фізичні бар’єри, такі як відсутність пандусів чи спеціальних ліфтів, але й соціальні, психологічні та освітні перешкоди, які можуть завадити повноцінному навчанню</w:t>
            </w:r>
          </w:p>
          <w:p w14:paraId="5C93C2CF" w14:textId="47349218" w:rsidR="00012357" w:rsidRPr="0019790A" w:rsidRDefault="00012357" w:rsidP="0019790A">
            <w:pPr>
              <w:jc w:val="both"/>
              <w:rPr>
                <w:rFonts w:cs="Arial"/>
                <w:szCs w:val="22"/>
                <w:lang w:eastAsia="it-IT"/>
              </w:rPr>
            </w:pPr>
            <w:r w:rsidRPr="0019790A">
              <w:rPr>
                <w:rFonts w:cs="Arial"/>
                <w:szCs w:val="22"/>
              </w:rPr>
              <w:t xml:space="preserve">      Реалізація даного </w:t>
            </w:r>
            <w:r w:rsidR="00314B9D">
              <w:rPr>
                <w:rFonts w:cs="Arial"/>
                <w:szCs w:val="22"/>
              </w:rPr>
              <w:t>проєкту</w:t>
            </w:r>
            <w:r w:rsidRPr="0019790A">
              <w:rPr>
                <w:rFonts w:cs="Arial"/>
                <w:szCs w:val="22"/>
              </w:rPr>
              <w:t xml:space="preserve"> забезпечить рівний доступ до якісної освіти</w:t>
            </w:r>
            <w:r w:rsidRPr="0019790A">
              <w:rPr>
                <w:rFonts w:cs="Arial"/>
                <w:szCs w:val="22"/>
                <w:lang w:eastAsia="uk-UA"/>
              </w:rPr>
              <w:t xml:space="preserve"> особам з особливими освітніми потребами не тільки у здобутті знань, але й </w:t>
            </w:r>
            <w:r w:rsidR="008A040F" w:rsidRPr="0019790A">
              <w:rPr>
                <w:rFonts w:cs="Arial"/>
                <w:szCs w:val="22"/>
                <w:lang w:eastAsia="uk-UA"/>
              </w:rPr>
              <w:t>дозволить</w:t>
            </w:r>
            <w:r w:rsidRPr="0019790A">
              <w:rPr>
                <w:rFonts w:cs="Arial"/>
                <w:szCs w:val="22"/>
                <w:lang w:eastAsia="uk-UA"/>
              </w:rPr>
              <w:t xml:space="preserve"> розвивати свої таланти, </w:t>
            </w:r>
            <w:r w:rsidR="008A040F" w:rsidRPr="0019790A">
              <w:rPr>
                <w:rFonts w:cs="Arial"/>
                <w:szCs w:val="22"/>
                <w:lang w:eastAsia="uk-UA"/>
              </w:rPr>
              <w:t>само реалізовуватися</w:t>
            </w:r>
            <w:r w:rsidRPr="0019790A">
              <w:rPr>
                <w:rFonts w:cs="Arial"/>
                <w:szCs w:val="22"/>
                <w:lang w:eastAsia="uk-UA"/>
              </w:rPr>
              <w:t xml:space="preserve"> та брати активну участь у житті суспільства</w:t>
            </w:r>
            <w:r w:rsidRPr="0019790A">
              <w:rPr>
                <w:rFonts w:cs="Arial"/>
                <w:szCs w:val="22"/>
              </w:rPr>
              <w:t>.</w:t>
            </w:r>
          </w:p>
        </w:tc>
      </w:tr>
      <w:tr w:rsidR="00012357" w:rsidRPr="0019790A" w14:paraId="2B4C7617" w14:textId="77777777" w:rsidTr="00D1052A">
        <w:trPr>
          <w:jc w:val="right"/>
        </w:trPr>
        <w:tc>
          <w:tcPr>
            <w:tcW w:w="3425" w:type="dxa"/>
            <w:shd w:val="clear" w:color="auto" w:fill="FFFFFF"/>
            <w:vAlign w:val="center"/>
          </w:tcPr>
          <w:p w14:paraId="01E27FF9" w14:textId="77777777" w:rsidR="00012357" w:rsidRPr="0019790A" w:rsidRDefault="00012357" w:rsidP="0019790A">
            <w:pPr>
              <w:rPr>
                <w:rFonts w:cs="Arial"/>
                <w:b/>
                <w:bCs/>
                <w:szCs w:val="22"/>
              </w:rPr>
            </w:pPr>
            <w:r w:rsidRPr="0019790A">
              <w:rPr>
                <w:rFonts w:cs="Arial"/>
                <w:b/>
                <w:bCs/>
                <w:szCs w:val="22"/>
              </w:rPr>
              <w:t>Основні заходи проєкту:</w:t>
            </w:r>
          </w:p>
        </w:tc>
        <w:tc>
          <w:tcPr>
            <w:tcW w:w="6794" w:type="dxa"/>
            <w:gridSpan w:val="5"/>
          </w:tcPr>
          <w:p w14:paraId="69541C5E" w14:textId="77777777" w:rsidR="00012357" w:rsidRPr="0019790A" w:rsidRDefault="00012357" w:rsidP="0019790A">
            <w:pPr>
              <w:tabs>
                <w:tab w:val="left" w:pos="501"/>
              </w:tabs>
              <w:jc w:val="both"/>
              <w:rPr>
                <w:rStyle w:val="afd"/>
                <w:rFonts w:cs="Arial"/>
                <w:b w:val="0"/>
                <w:bCs w:val="0"/>
                <w:szCs w:val="22"/>
              </w:rPr>
            </w:pPr>
            <w:r w:rsidRPr="0019790A">
              <w:rPr>
                <w:rFonts w:cs="Arial"/>
                <w:szCs w:val="22"/>
                <w:lang w:eastAsia="uk-UA"/>
              </w:rPr>
              <w:t>1. Забезпечення фізичної доступності закладів/установ освіти</w:t>
            </w:r>
            <w:r w:rsidRPr="0019790A">
              <w:rPr>
                <w:rFonts w:cs="Arial"/>
                <w:spacing w:val="1"/>
                <w:szCs w:val="22"/>
              </w:rPr>
              <w:t xml:space="preserve"> </w:t>
            </w:r>
            <w:r w:rsidRPr="0019790A">
              <w:rPr>
                <w:rStyle w:val="afd"/>
                <w:rFonts w:cs="Arial"/>
                <w:b w:val="0"/>
                <w:szCs w:val="22"/>
                <w:bdr w:val="none" w:sz="0" w:space="0" w:color="auto" w:frame="1"/>
                <w:shd w:val="clear" w:color="auto" w:fill="FFFFFF"/>
              </w:rPr>
              <w:t>шляхом облаштування пандусів, підйомників, прилеглої території.</w:t>
            </w:r>
          </w:p>
          <w:p w14:paraId="5AD122BB" w14:textId="77777777" w:rsidR="00012357" w:rsidRPr="0019790A" w:rsidRDefault="00012357" w:rsidP="0019790A">
            <w:pPr>
              <w:tabs>
                <w:tab w:val="left" w:pos="501"/>
              </w:tabs>
              <w:jc w:val="both"/>
              <w:rPr>
                <w:rStyle w:val="afd"/>
                <w:rFonts w:cs="Arial"/>
                <w:b w:val="0"/>
                <w:bCs w:val="0"/>
                <w:szCs w:val="22"/>
              </w:rPr>
            </w:pPr>
            <w:r w:rsidRPr="0019790A">
              <w:rPr>
                <w:rStyle w:val="afd"/>
                <w:rFonts w:cs="Arial"/>
                <w:b w:val="0"/>
                <w:szCs w:val="22"/>
                <w:bdr w:val="none" w:sz="0" w:space="0" w:color="auto" w:frame="1"/>
                <w:shd w:val="clear" w:color="auto" w:fill="FFFFFF"/>
              </w:rPr>
              <w:t>2. Забезпечення доступу до споруд цивільного захисту.</w:t>
            </w:r>
          </w:p>
          <w:p w14:paraId="242E55F3" w14:textId="77777777" w:rsidR="00012357" w:rsidRPr="0019790A" w:rsidRDefault="00012357" w:rsidP="0019790A">
            <w:pPr>
              <w:tabs>
                <w:tab w:val="left" w:pos="501"/>
              </w:tabs>
              <w:jc w:val="both"/>
              <w:rPr>
                <w:rStyle w:val="afd"/>
                <w:rFonts w:cs="Arial"/>
                <w:b w:val="0"/>
                <w:bCs w:val="0"/>
                <w:szCs w:val="22"/>
              </w:rPr>
            </w:pPr>
            <w:r w:rsidRPr="0019790A">
              <w:rPr>
                <w:rStyle w:val="afd"/>
                <w:rFonts w:cs="Arial"/>
                <w:b w:val="0"/>
                <w:szCs w:val="22"/>
                <w:bdr w:val="none" w:sz="0" w:space="0" w:color="auto" w:frame="1"/>
                <w:shd w:val="clear" w:color="auto" w:fill="FFFFFF"/>
              </w:rPr>
              <w:t>3. Облаштування універсальних санітарних кімнат.</w:t>
            </w:r>
          </w:p>
          <w:p w14:paraId="20A401FA" w14:textId="77777777" w:rsidR="00012357" w:rsidRPr="0019790A" w:rsidRDefault="00012357" w:rsidP="0019790A">
            <w:pPr>
              <w:tabs>
                <w:tab w:val="left" w:pos="501"/>
              </w:tabs>
              <w:jc w:val="both"/>
              <w:rPr>
                <w:rFonts w:cs="Arial"/>
                <w:szCs w:val="22"/>
              </w:rPr>
            </w:pPr>
            <w:r w:rsidRPr="0019790A">
              <w:rPr>
                <w:rFonts w:cs="Arial"/>
                <w:szCs w:val="22"/>
                <w:lang w:eastAsia="uk-UA"/>
              </w:rPr>
              <w:t>4. Створення мережі спеціальних та інклюзивних класів/груп</w:t>
            </w:r>
          </w:p>
          <w:p w14:paraId="4EEC9E39" w14:textId="77777777" w:rsidR="00012357" w:rsidRPr="0019790A" w:rsidRDefault="00012357" w:rsidP="0019790A">
            <w:pPr>
              <w:tabs>
                <w:tab w:val="left" w:pos="501"/>
              </w:tabs>
              <w:jc w:val="both"/>
              <w:rPr>
                <w:rFonts w:cs="Arial"/>
                <w:szCs w:val="22"/>
              </w:rPr>
            </w:pPr>
            <w:r w:rsidRPr="0019790A">
              <w:rPr>
                <w:rFonts w:cs="Arial"/>
                <w:szCs w:val="22"/>
              </w:rPr>
              <w:t xml:space="preserve">5. Забезпечення </w:t>
            </w:r>
            <w:r w:rsidRPr="0019790A">
              <w:rPr>
                <w:rFonts w:cs="Arial"/>
                <w:bCs/>
                <w:szCs w:val="22"/>
                <w:bdr w:val="none" w:sz="0" w:space="0" w:color="auto" w:frame="1"/>
                <w:lang w:eastAsia="uk-UA"/>
              </w:rPr>
              <w:t>психологічної та соціальної  безбар’єрності.</w:t>
            </w:r>
          </w:p>
          <w:p w14:paraId="667ED8B5" w14:textId="77777777" w:rsidR="00012357" w:rsidRPr="0019790A" w:rsidRDefault="00012357" w:rsidP="0019790A">
            <w:pPr>
              <w:tabs>
                <w:tab w:val="left" w:pos="501"/>
              </w:tabs>
              <w:jc w:val="both"/>
              <w:rPr>
                <w:rFonts w:cs="Arial"/>
                <w:szCs w:val="22"/>
              </w:rPr>
            </w:pPr>
            <w:r w:rsidRPr="0019790A">
              <w:rPr>
                <w:rFonts w:cs="Arial"/>
                <w:bCs/>
                <w:szCs w:val="22"/>
                <w:bdr w:val="none" w:sz="0" w:space="0" w:color="auto" w:frame="1"/>
                <w:lang w:eastAsia="uk-UA"/>
              </w:rPr>
              <w:t>6. Придбання шкільних автобусів, обладнаних місцями для осіб з ООП</w:t>
            </w:r>
          </w:p>
        </w:tc>
      </w:tr>
      <w:tr w:rsidR="00012357" w:rsidRPr="0019790A" w14:paraId="7F6D8939" w14:textId="77777777" w:rsidTr="00D1052A">
        <w:trPr>
          <w:jc w:val="right"/>
        </w:trPr>
        <w:tc>
          <w:tcPr>
            <w:tcW w:w="3425" w:type="dxa"/>
            <w:shd w:val="clear" w:color="auto" w:fill="FFFFFF"/>
            <w:vAlign w:val="center"/>
          </w:tcPr>
          <w:p w14:paraId="2F5B1E22" w14:textId="77777777" w:rsidR="00012357" w:rsidRPr="0019790A" w:rsidRDefault="00012357" w:rsidP="0019790A">
            <w:pPr>
              <w:rPr>
                <w:rFonts w:cs="Arial"/>
                <w:b/>
                <w:bCs/>
                <w:szCs w:val="22"/>
              </w:rPr>
            </w:pPr>
            <w:r w:rsidRPr="0019790A">
              <w:rPr>
                <w:rFonts w:cs="Arial"/>
                <w:b/>
                <w:bCs/>
                <w:szCs w:val="22"/>
              </w:rPr>
              <w:t>Індикатори (показники) результативності:</w:t>
            </w:r>
          </w:p>
        </w:tc>
        <w:tc>
          <w:tcPr>
            <w:tcW w:w="6794" w:type="dxa"/>
            <w:gridSpan w:val="5"/>
          </w:tcPr>
          <w:p w14:paraId="559FC6A8" w14:textId="77777777" w:rsidR="00012357" w:rsidRPr="0019790A" w:rsidRDefault="00012357" w:rsidP="0019790A">
            <w:pPr>
              <w:shd w:val="clear" w:color="auto" w:fill="FFFFFF"/>
              <w:jc w:val="both"/>
              <w:textAlignment w:val="baseline"/>
              <w:rPr>
                <w:rFonts w:cs="Arial"/>
                <w:szCs w:val="22"/>
                <w:lang w:eastAsia="uk-UA"/>
              </w:rPr>
            </w:pPr>
            <w:r w:rsidRPr="0019790A">
              <w:rPr>
                <w:rFonts w:cs="Arial"/>
                <w:szCs w:val="22"/>
              </w:rPr>
              <w:t>100</w:t>
            </w:r>
            <w:r w:rsidRPr="0019790A">
              <w:rPr>
                <w:rFonts w:cs="Arial"/>
                <w:szCs w:val="22"/>
                <w:lang w:eastAsia="uk-UA"/>
              </w:rPr>
              <w:t xml:space="preserve"> % закладів освіти обладнано пандусами, поручнями на вході в будівлі та спеціальними туалетними кімнатами.</w:t>
            </w:r>
          </w:p>
          <w:p w14:paraId="6D94FFBB" w14:textId="77777777" w:rsidR="00012357" w:rsidRPr="0019790A" w:rsidRDefault="00012357" w:rsidP="0019790A">
            <w:pPr>
              <w:shd w:val="clear" w:color="auto" w:fill="FFFFFF"/>
              <w:jc w:val="both"/>
              <w:textAlignment w:val="baseline"/>
              <w:rPr>
                <w:rFonts w:cs="Arial"/>
                <w:szCs w:val="22"/>
                <w:lang w:eastAsia="uk-UA"/>
              </w:rPr>
            </w:pPr>
            <w:r w:rsidRPr="0019790A">
              <w:rPr>
                <w:rFonts w:cs="Arial"/>
                <w:szCs w:val="22"/>
                <w:lang w:eastAsia="uk-UA"/>
              </w:rPr>
              <w:t>Створено спеціальні класи/групи в 4 закладах освіти.</w:t>
            </w:r>
          </w:p>
          <w:p w14:paraId="0823ADEF" w14:textId="240F6E8F" w:rsidR="00012357" w:rsidRPr="0019790A" w:rsidRDefault="00012357" w:rsidP="0019790A">
            <w:pPr>
              <w:shd w:val="clear" w:color="auto" w:fill="FFFFFF"/>
              <w:jc w:val="both"/>
              <w:textAlignment w:val="baseline"/>
              <w:rPr>
                <w:rFonts w:cs="Arial"/>
                <w:szCs w:val="22"/>
                <w:lang w:eastAsia="uk-UA"/>
              </w:rPr>
            </w:pPr>
            <w:r w:rsidRPr="0019790A">
              <w:rPr>
                <w:rFonts w:cs="Arial"/>
                <w:szCs w:val="22"/>
                <w:lang w:eastAsia="uk-UA"/>
              </w:rPr>
              <w:t xml:space="preserve">Збільшено кількість </w:t>
            </w:r>
            <w:r w:rsidR="008A040F">
              <w:rPr>
                <w:rFonts w:cs="Arial"/>
                <w:szCs w:val="22"/>
                <w:lang w:eastAsia="uk-UA"/>
              </w:rPr>
              <w:t>без бар’єрних</w:t>
            </w:r>
            <w:r w:rsidRPr="0019790A">
              <w:rPr>
                <w:rFonts w:cs="Arial"/>
                <w:szCs w:val="22"/>
                <w:lang w:eastAsia="uk-UA"/>
              </w:rPr>
              <w:t xml:space="preserve"> об’єктів фонду захисних споруд,</w:t>
            </w:r>
          </w:p>
          <w:p w14:paraId="5BD46D2F" w14:textId="77777777" w:rsidR="00012357" w:rsidRPr="0019790A" w:rsidRDefault="00012357" w:rsidP="0019790A">
            <w:pPr>
              <w:shd w:val="clear" w:color="auto" w:fill="FFFFFF"/>
              <w:jc w:val="both"/>
              <w:textAlignment w:val="baseline"/>
              <w:rPr>
                <w:rFonts w:cs="Arial"/>
                <w:szCs w:val="22"/>
                <w:lang w:eastAsia="uk-UA"/>
              </w:rPr>
            </w:pPr>
            <w:r w:rsidRPr="0019790A">
              <w:rPr>
                <w:rFonts w:cs="Arial"/>
                <w:szCs w:val="22"/>
                <w:lang w:eastAsia="uk-UA"/>
              </w:rPr>
              <w:t xml:space="preserve">Придбано 3 шкільних автобуса, обладнаних місцями для осіб з ООП. </w:t>
            </w:r>
            <w:r w:rsidRPr="0019790A">
              <w:rPr>
                <w:rFonts w:cs="Arial"/>
                <w:szCs w:val="22"/>
              </w:rPr>
              <w:t xml:space="preserve"> </w:t>
            </w:r>
            <w:r w:rsidRPr="0019790A">
              <w:rPr>
                <w:rFonts w:cs="Arial"/>
                <w:szCs w:val="22"/>
                <w:lang w:eastAsia="uk-UA"/>
              </w:rPr>
              <w:t xml:space="preserve"> </w:t>
            </w:r>
          </w:p>
        </w:tc>
      </w:tr>
      <w:tr w:rsidR="00012357" w:rsidRPr="0019790A" w14:paraId="0F93AFAA" w14:textId="77777777" w:rsidTr="00D1052A">
        <w:trPr>
          <w:jc w:val="right"/>
        </w:trPr>
        <w:tc>
          <w:tcPr>
            <w:tcW w:w="3425" w:type="dxa"/>
            <w:shd w:val="clear" w:color="auto" w:fill="FFFFFF"/>
            <w:vAlign w:val="center"/>
          </w:tcPr>
          <w:p w14:paraId="28365827" w14:textId="77777777" w:rsidR="00012357" w:rsidRPr="0019790A" w:rsidRDefault="00012357" w:rsidP="0019790A">
            <w:pPr>
              <w:rPr>
                <w:rFonts w:cs="Arial"/>
                <w:b/>
                <w:szCs w:val="22"/>
              </w:rPr>
            </w:pPr>
            <w:r w:rsidRPr="0019790A">
              <w:rPr>
                <w:rFonts w:cs="Arial"/>
                <w:b/>
                <w:szCs w:val="22"/>
              </w:rPr>
              <w:t xml:space="preserve">Період здійснення: </w:t>
            </w:r>
          </w:p>
        </w:tc>
        <w:tc>
          <w:tcPr>
            <w:tcW w:w="6794" w:type="dxa"/>
            <w:gridSpan w:val="5"/>
            <w:vAlign w:val="center"/>
          </w:tcPr>
          <w:p w14:paraId="47E0A12A" w14:textId="77777777" w:rsidR="00012357" w:rsidRPr="0019790A" w:rsidRDefault="00012357" w:rsidP="0019790A">
            <w:pPr>
              <w:rPr>
                <w:rFonts w:cs="Arial"/>
                <w:szCs w:val="22"/>
                <w:lang w:eastAsia="it-IT"/>
              </w:rPr>
            </w:pPr>
            <w:r w:rsidRPr="0019790A">
              <w:rPr>
                <w:rFonts w:cs="Arial"/>
                <w:b/>
                <w:szCs w:val="22"/>
              </w:rPr>
              <w:t>2025 – 2028 роки:</w:t>
            </w:r>
          </w:p>
        </w:tc>
      </w:tr>
      <w:tr w:rsidR="00012357" w:rsidRPr="0019790A" w14:paraId="52F3C3BE" w14:textId="77777777" w:rsidTr="00D1052A">
        <w:trPr>
          <w:jc w:val="right"/>
        </w:trPr>
        <w:tc>
          <w:tcPr>
            <w:tcW w:w="3425" w:type="dxa"/>
            <w:vMerge w:val="restart"/>
            <w:shd w:val="clear" w:color="auto" w:fill="FFFFFF"/>
            <w:vAlign w:val="center"/>
          </w:tcPr>
          <w:p w14:paraId="2FC6B359" w14:textId="77777777" w:rsidR="00012357" w:rsidRPr="0019790A" w:rsidRDefault="00012357" w:rsidP="0019790A">
            <w:pPr>
              <w:rPr>
                <w:rFonts w:cs="Arial"/>
                <w:b/>
                <w:bCs/>
                <w:szCs w:val="22"/>
              </w:rPr>
            </w:pPr>
            <w:r w:rsidRPr="0019790A">
              <w:rPr>
                <w:rFonts w:cs="Arial"/>
                <w:b/>
                <w:bCs/>
                <w:szCs w:val="22"/>
              </w:rPr>
              <w:t>Орієнтовна вартість проєкту, тис. грн., в тому числі:</w:t>
            </w:r>
          </w:p>
        </w:tc>
        <w:tc>
          <w:tcPr>
            <w:tcW w:w="1254" w:type="dxa"/>
            <w:shd w:val="clear" w:color="auto" w:fill="E6E6E6"/>
            <w:vAlign w:val="center"/>
          </w:tcPr>
          <w:p w14:paraId="74DB25B6" w14:textId="77777777" w:rsidR="00012357" w:rsidRPr="0019790A" w:rsidRDefault="00012357" w:rsidP="0019790A">
            <w:pPr>
              <w:jc w:val="center"/>
              <w:rPr>
                <w:rFonts w:cs="Arial"/>
                <w:b/>
                <w:szCs w:val="22"/>
                <w:lang w:eastAsia="it-IT"/>
              </w:rPr>
            </w:pPr>
            <w:r w:rsidRPr="0019790A">
              <w:rPr>
                <w:rFonts w:cs="Arial"/>
                <w:b/>
                <w:szCs w:val="22"/>
                <w:lang w:eastAsia="it-IT"/>
              </w:rPr>
              <w:t>2025</w:t>
            </w:r>
          </w:p>
        </w:tc>
        <w:tc>
          <w:tcPr>
            <w:tcW w:w="1275" w:type="dxa"/>
            <w:shd w:val="clear" w:color="auto" w:fill="E6E6E6"/>
            <w:vAlign w:val="center"/>
          </w:tcPr>
          <w:p w14:paraId="1642A2CB" w14:textId="77777777" w:rsidR="00012357" w:rsidRPr="0019790A" w:rsidRDefault="00012357" w:rsidP="0019790A">
            <w:pPr>
              <w:jc w:val="center"/>
              <w:rPr>
                <w:rFonts w:cs="Arial"/>
                <w:b/>
                <w:szCs w:val="22"/>
                <w:lang w:eastAsia="it-IT"/>
              </w:rPr>
            </w:pPr>
            <w:r w:rsidRPr="0019790A">
              <w:rPr>
                <w:rFonts w:cs="Arial"/>
                <w:b/>
                <w:szCs w:val="22"/>
                <w:lang w:eastAsia="it-IT"/>
              </w:rPr>
              <w:t>2026</w:t>
            </w:r>
          </w:p>
        </w:tc>
        <w:tc>
          <w:tcPr>
            <w:tcW w:w="1418" w:type="dxa"/>
            <w:tcBorders>
              <w:bottom w:val="single" w:sz="4" w:space="0" w:color="auto"/>
            </w:tcBorders>
            <w:shd w:val="clear" w:color="auto" w:fill="E6E6E6"/>
            <w:vAlign w:val="center"/>
          </w:tcPr>
          <w:p w14:paraId="156BF9F9" w14:textId="77777777" w:rsidR="00012357" w:rsidRPr="0019790A" w:rsidRDefault="00012357" w:rsidP="0019790A">
            <w:pPr>
              <w:jc w:val="center"/>
              <w:rPr>
                <w:rFonts w:cs="Arial"/>
                <w:b/>
                <w:szCs w:val="22"/>
                <w:lang w:eastAsia="it-IT"/>
              </w:rPr>
            </w:pPr>
            <w:r w:rsidRPr="0019790A">
              <w:rPr>
                <w:rFonts w:cs="Arial"/>
                <w:b/>
                <w:szCs w:val="22"/>
                <w:lang w:eastAsia="it-IT"/>
              </w:rPr>
              <w:t>2027</w:t>
            </w:r>
          </w:p>
        </w:tc>
        <w:tc>
          <w:tcPr>
            <w:tcW w:w="1276" w:type="dxa"/>
            <w:shd w:val="clear" w:color="auto" w:fill="E6E6E6"/>
            <w:vAlign w:val="center"/>
          </w:tcPr>
          <w:p w14:paraId="6A619015" w14:textId="77777777" w:rsidR="00012357" w:rsidRPr="0019790A" w:rsidRDefault="00012357" w:rsidP="0019790A">
            <w:pPr>
              <w:jc w:val="center"/>
              <w:rPr>
                <w:rFonts w:cs="Arial"/>
                <w:b/>
                <w:szCs w:val="22"/>
                <w:lang w:eastAsia="it-IT"/>
              </w:rPr>
            </w:pPr>
            <w:r w:rsidRPr="0019790A">
              <w:rPr>
                <w:rFonts w:cs="Arial"/>
                <w:b/>
                <w:szCs w:val="22"/>
                <w:lang w:eastAsia="it-IT"/>
              </w:rPr>
              <w:t>2028</w:t>
            </w:r>
          </w:p>
        </w:tc>
        <w:tc>
          <w:tcPr>
            <w:tcW w:w="1571" w:type="dxa"/>
            <w:shd w:val="clear" w:color="auto" w:fill="E6E6E6"/>
            <w:vAlign w:val="center"/>
          </w:tcPr>
          <w:p w14:paraId="3BE17289" w14:textId="77777777" w:rsidR="00012357" w:rsidRPr="0019790A" w:rsidRDefault="00012357" w:rsidP="0019790A">
            <w:pPr>
              <w:jc w:val="center"/>
              <w:rPr>
                <w:rFonts w:cs="Arial"/>
                <w:b/>
                <w:szCs w:val="22"/>
                <w:lang w:eastAsia="it-IT"/>
              </w:rPr>
            </w:pPr>
            <w:r w:rsidRPr="0019790A">
              <w:rPr>
                <w:rFonts w:cs="Arial"/>
                <w:b/>
                <w:szCs w:val="22"/>
                <w:lang w:eastAsia="it-IT"/>
              </w:rPr>
              <w:t>РАЗОМ</w:t>
            </w:r>
          </w:p>
        </w:tc>
      </w:tr>
      <w:tr w:rsidR="00012357" w:rsidRPr="0019790A" w14:paraId="64571847" w14:textId="77777777" w:rsidTr="008A040F">
        <w:trPr>
          <w:jc w:val="right"/>
        </w:trPr>
        <w:tc>
          <w:tcPr>
            <w:tcW w:w="3425" w:type="dxa"/>
            <w:vMerge/>
            <w:shd w:val="clear" w:color="auto" w:fill="FFFFFF"/>
            <w:vAlign w:val="center"/>
          </w:tcPr>
          <w:p w14:paraId="6CA91EEC" w14:textId="77777777" w:rsidR="00012357" w:rsidRPr="0019790A" w:rsidRDefault="00012357" w:rsidP="0019790A">
            <w:pPr>
              <w:rPr>
                <w:rFonts w:cs="Arial"/>
                <w:b/>
                <w:bCs/>
                <w:szCs w:val="22"/>
              </w:rPr>
            </w:pPr>
          </w:p>
        </w:tc>
        <w:tc>
          <w:tcPr>
            <w:tcW w:w="1254" w:type="dxa"/>
            <w:vAlign w:val="center"/>
          </w:tcPr>
          <w:p w14:paraId="2F1427D7" w14:textId="77777777" w:rsidR="00012357" w:rsidRPr="008A040F" w:rsidRDefault="00012357" w:rsidP="008A040F">
            <w:pPr>
              <w:jc w:val="center"/>
              <w:rPr>
                <w:rFonts w:cs="Arial"/>
                <w:szCs w:val="22"/>
                <w:lang w:eastAsia="it-IT"/>
              </w:rPr>
            </w:pPr>
            <w:r w:rsidRPr="008A040F">
              <w:rPr>
                <w:rFonts w:cs="Arial"/>
                <w:szCs w:val="22"/>
                <w:lang w:eastAsia="it-IT"/>
              </w:rPr>
              <w:t>5 200, 00</w:t>
            </w:r>
          </w:p>
        </w:tc>
        <w:tc>
          <w:tcPr>
            <w:tcW w:w="1275" w:type="dxa"/>
            <w:shd w:val="clear" w:color="auto" w:fill="FFFFFF"/>
            <w:vAlign w:val="center"/>
          </w:tcPr>
          <w:p w14:paraId="3349305C" w14:textId="4C014585" w:rsidR="00012357" w:rsidRPr="008A040F" w:rsidRDefault="00012357" w:rsidP="008A040F">
            <w:pPr>
              <w:jc w:val="center"/>
              <w:rPr>
                <w:rFonts w:cs="Arial"/>
                <w:szCs w:val="22"/>
                <w:lang w:eastAsia="it-IT"/>
              </w:rPr>
            </w:pPr>
            <w:r w:rsidRPr="008A040F">
              <w:rPr>
                <w:rFonts w:cs="Arial"/>
                <w:szCs w:val="22"/>
                <w:lang w:eastAsia="it-IT"/>
              </w:rPr>
              <w:t>4 000, 00</w:t>
            </w:r>
          </w:p>
        </w:tc>
        <w:tc>
          <w:tcPr>
            <w:tcW w:w="1418" w:type="dxa"/>
            <w:shd w:val="clear" w:color="auto" w:fill="auto"/>
            <w:vAlign w:val="center"/>
          </w:tcPr>
          <w:p w14:paraId="19D0F751" w14:textId="77777777" w:rsidR="00012357" w:rsidRPr="008A040F" w:rsidRDefault="00012357" w:rsidP="008A040F">
            <w:pPr>
              <w:jc w:val="center"/>
              <w:rPr>
                <w:rFonts w:cs="Arial"/>
                <w:szCs w:val="22"/>
                <w:lang w:eastAsia="it-IT"/>
              </w:rPr>
            </w:pPr>
            <w:r w:rsidRPr="008A040F">
              <w:rPr>
                <w:rFonts w:cs="Arial"/>
                <w:szCs w:val="22"/>
                <w:lang w:eastAsia="it-IT"/>
              </w:rPr>
              <w:t>3 600,00</w:t>
            </w:r>
          </w:p>
        </w:tc>
        <w:tc>
          <w:tcPr>
            <w:tcW w:w="1276" w:type="dxa"/>
            <w:shd w:val="clear" w:color="auto" w:fill="FFFFFF"/>
            <w:vAlign w:val="center"/>
          </w:tcPr>
          <w:p w14:paraId="00AC9341" w14:textId="67D4CFDD" w:rsidR="00012357" w:rsidRPr="008A040F" w:rsidRDefault="00012357" w:rsidP="008A040F">
            <w:pPr>
              <w:jc w:val="center"/>
              <w:rPr>
                <w:rFonts w:cs="Arial"/>
                <w:szCs w:val="22"/>
                <w:lang w:eastAsia="it-IT"/>
              </w:rPr>
            </w:pPr>
            <w:r w:rsidRPr="008A040F">
              <w:rPr>
                <w:rFonts w:cs="Arial"/>
                <w:szCs w:val="22"/>
                <w:lang w:eastAsia="it-IT"/>
              </w:rPr>
              <w:t>2 000,00</w:t>
            </w:r>
          </w:p>
        </w:tc>
        <w:tc>
          <w:tcPr>
            <w:tcW w:w="1571" w:type="dxa"/>
            <w:shd w:val="clear" w:color="auto" w:fill="FFFFFF"/>
            <w:vAlign w:val="center"/>
          </w:tcPr>
          <w:p w14:paraId="7799DA42" w14:textId="6A37353D" w:rsidR="00012357" w:rsidRPr="0019790A" w:rsidRDefault="00012357" w:rsidP="008A040F">
            <w:pPr>
              <w:jc w:val="center"/>
              <w:rPr>
                <w:rFonts w:cs="Arial"/>
                <w:b/>
                <w:bCs/>
                <w:szCs w:val="22"/>
                <w:lang w:eastAsia="it-IT"/>
              </w:rPr>
            </w:pPr>
            <w:r w:rsidRPr="0019790A">
              <w:rPr>
                <w:rFonts w:cs="Arial"/>
                <w:b/>
                <w:bCs/>
                <w:szCs w:val="22"/>
              </w:rPr>
              <w:t>14 800,00</w:t>
            </w:r>
          </w:p>
        </w:tc>
      </w:tr>
      <w:tr w:rsidR="00012357" w:rsidRPr="0019790A" w14:paraId="66197D3A" w14:textId="77777777" w:rsidTr="008A040F">
        <w:trPr>
          <w:trHeight w:val="276"/>
          <w:jc w:val="right"/>
        </w:trPr>
        <w:tc>
          <w:tcPr>
            <w:tcW w:w="3425" w:type="dxa"/>
            <w:shd w:val="clear" w:color="auto" w:fill="FFFFFF"/>
            <w:vAlign w:val="center"/>
          </w:tcPr>
          <w:p w14:paraId="7C4B3C5F" w14:textId="77777777" w:rsidR="00012357" w:rsidRPr="0019790A" w:rsidRDefault="00012357" w:rsidP="0019790A">
            <w:pPr>
              <w:rPr>
                <w:rFonts w:cs="Arial"/>
                <w:b/>
                <w:bCs/>
                <w:szCs w:val="22"/>
              </w:rPr>
            </w:pPr>
            <w:r w:rsidRPr="0019790A">
              <w:rPr>
                <w:rFonts w:cs="Arial"/>
                <w:b/>
                <w:bCs/>
                <w:szCs w:val="22"/>
              </w:rPr>
              <w:t>по джерелах фінансування:</w:t>
            </w:r>
          </w:p>
        </w:tc>
        <w:tc>
          <w:tcPr>
            <w:tcW w:w="6794" w:type="dxa"/>
            <w:gridSpan w:val="5"/>
            <w:vAlign w:val="center"/>
          </w:tcPr>
          <w:p w14:paraId="6D580DE2" w14:textId="77777777" w:rsidR="00012357" w:rsidRPr="008A040F" w:rsidRDefault="00012357" w:rsidP="008A040F">
            <w:pPr>
              <w:jc w:val="center"/>
              <w:rPr>
                <w:rFonts w:cs="Arial"/>
                <w:szCs w:val="22"/>
                <w:lang w:eastAsia="it-IT"/>
              </w:rPr>
            </w:pPr>
          </w:p>
        </w:tc>
      </w:tr>
      <w:tr w:rsidR="00012357" w:rsidRPr="0019790A" w14:paraId="43C20675" w14:textId="77777777" w:rsidTr="008A040F">
        <w:trPr>
          <w:trHeight w:val="240"/>
          <w:jc w:val="right"/>
        </w:trPr>
        <w:tc>
          <w:tcPr>
            <w:tcW w:w="3425" w:type="dxa"/>
            <w:shd w:val="clear" w:color="auto" w:fill="FFFFFF"/>
            <w:vAlign w:val="center"/>
          </w:tcPr>
          <w:p w14:paraId="7AE60A16" w14:textId="77777777" w:rsidR="00012357" w:rsidRPr="0019790A" w:rsidRDefault="00012357" w:rsidP="0019790A">
            <w:pPr>
              <w:rPr>
                <w:rFonts w:cs="Arial"/>
                <w:b/>
                <w:bCs/>
                <w:szCs w:val="22"/>
              </w:rPr>
            </w:pPr>
            <w:r w:rsidRPr="0019790A">
              <w:rPr>
                <w:rFonts w:cs="Arial"/>
                <w:szCs w:val="22"/>
              </w:rPr>
              <w:t>- державний бюджет</w:t>
            </w:r>
          </w:p>
        </w:tc>
        <w:tc>
          <w:tcPr>
            <w:tcW w:w="1254" w:type="dxa"/>
            <w:vAlign w:val="center"/>
          </w:tcPr>
          <w:p w14:paraId="661DDD09" w14:textId="63024AD6" w:rsidR="00012357" w:rsidRPr="008A040F" w:rsidRDefault="00012357" w:rsidP="008A040F">
            <w:pPr>
              <w:jc w:val="center"/>
              <w:rPr>
                <w:rFonts w:cs="Arial"/>
                <w:szCs w:val="22"/>
                <w:lang w:eastAsia="it-IT"/>
              </w:rPr>
            </w:pPr>
            <w:r w:rsidRPr="008A040F">
              <w:rPr>
                <w:rFonts w:cs="Arial"/>
                <w:szCs w:val="22"/>
                <w:lang w:eastAsia="it-IT"/>
              </w:rPr>
              <w:t>2 600,00</w:t>
            </w:r>
          </w:p>
        </w:tc>
        <w:tc>
          <w:tcPr>
            <w:tcW w:w="1275" w:type="dxa"/>
            <w:vAlign w:val="center"/>
          </w:tcPr>
          <w:p w14:paraId="22B5839A" w14:textId="69FDE03C" w:rsidR="00012357" w:rsidRPr="008A040F" w:rsidRDefault="00012357" w:rsidP="008A040F">
            <w:pPr>
              <w:jc w:val="center"/>
              <w:rPr>
                <w:rFonts w:cs="Arial"/>
                <w:szCs w:val="22"/>
                <w:lang w:eastAsia="it-IT"/>
              </w:rPr>
            </w:pPr>
            <w:r w:rsidRPr="008A040F">
              <w:rPr>
                <w:rFonts w:cs="Arial"/>
                <w:szCs w:val="22"/>
                <w:lang w:eastAsia="it-IT"/>
              </w:rPr>
              <w:t>2 000,00</w:t>
            </w:r>
          </w:p>
        </w:tc>
        <w:tc>
          <w:tcPr>
            <w:tcW w:w="1418" w:type="dxa"/>
            <w:vAlign w:val="center"/>
          </w:tcPr>
          <w:p w14:paraId="288682EA" w14:textId="77777777" w:rsidR="00012357" w:rsidRPr="008A040F" w:rsidRDefault="00012357" w:rsidP="008A040F">
            <w:pPr>
              <w:jc w:val="center"/>
              <w:rPr>
                <w:rFonts w:cs="Arial"/>
                <w:szCs w:val="22"/>
                <w:lang w:eastAsia="it-IT"/>
              </w:rPr>
            </w:pPr>
            <w:r w:rsidRPr="008A040F">
              <w:rPr>
                <w:rFonts w:cs="Arial"/>
                <w:szCs w:val="22"/>
                <w:lang w:eastAsia="it-IT"/>
              </w:rPr>
              <w:t>2 600,00</w:t>
            </w:r>
          </w:p>
        </w:tc>
        <w:tc>
          <w:tcPr>
            <w:tcW w:w="1276" w:type="dxa"/>
            <w:vAlign w:val="center"/>
          </w:tcPr>
          <w:p w14:paraId="4B5907ED" w14:textId="4B905E99" w:rsidR="00012357" w:rsidRPr="008A040F" w:rsidRDefault="00012357" w:rsidP="008A040F">
            <w:pPr>
              <w:jc w:val="center"/>
              <w:rPr>
                <w:rFonts w:cs="Arial"/>
                <w:szCs w:val="22"/>
                <w:lang w:eastAsia="it-IT"/>
              </w:rPr>
            </w:pPr>
            <w:r w:rsidRPr="008A040F">
              <w:rPr>
                <w:rFonts w:cs="Arial"/>
                <w:szCs w:val="22"/>
                <w:lang w:eastAsia="it-IT"/>
              </w:rPr>
              <w:t>1 000,00</w:t>
            </w:r>
          </w:p>
        </w:tc>
        <w:tc>
          <w:tcPr>
            <w:tcW w:w="1571" w:type="dxa"/>
            <w:vAlign w:val="center"/>
          </w:tcPr>
          <w:p w14:paraId="3191DC6D" w14:textId="77777777" w:rsidR="00012357" w:rsidRPr="0019790A" w:rsidRDefault="00012357" w:rsidP="008A040F">
            <w:pPr>
              <w:jc w:val="center"/>
              <w:rPr>
                <w:rFonts w:cs="Arial"/>
                <w:b/>
                <w:szCs w:val="22"/>
                <w:lang w:eastAsia="it-IT"/>
              </w:rPr>
            </w:pPr>
            <w:r w:rsidRPr="0019790A">
              <w:rPr>
                <w:rFonts w:cs="Arial"/>
                <w:b/>
                <w:szCs w:val="22"/>
                <w:lang w:eastAsia="it-IT"/>
              </w:rPr>
              <w:t>8 200,00</w:t>
            </w:r>
          </w:p>
        </w:tc>
      </w:tr>
      <w:tr w:rsidR="00012357" w:rsidRPr="0019790A" w14:paraId="103F8C04" w14:textId="77777777" w:rsidTr="008A040F">
        <w:trPr>
          <w:trHeight w:val="254"/>
          <w:jc w:val="right"/>
        </w:trPr>
        <w:tc>
          <w:tcPr>
            <w:tcW w:w="3425" w:type="dxa"/>
            <w:shd w:val="clear" w:color="auto" w:fill="FFFFFF"/>
            <w:vAlign w:val="center"/>
          </w:tcPr>
          <w:p w14:paraId="057E8D93" w14:textId="77777777" w:rsidR="00012357" w:rsidRPr="0019790A" w:rsidRDefault="00012357" w:rsidP="0019790A">
            <w:pPr>
              <w:rPr>
                <w:rFonts w:cs="Arial"/>
                <w:szCs w:val="22"/>
              </w:rPr>
            </w:pPr>
            <w:r w:rsidRPr="0019790A">
              <w:rPr>
                <w:rFonts w:cs="Arial"/>
                <w:szCs w:val="22"/>
              </w:rPr>
              <w:t>- обласний бюджет</w:t>
            </w:r>
          </w:p>
        </w:tc>
        <w:tc>
          <w:tcPr>
            <w:tcW w:w="6794" w:type="dxa"/>
            <w:gridSpan w:val="5"/>
            <w:vAlign w:val="center"/>
          </w:tcPr>
          <w:p w14:paraId="6309F66D" w14:textId="77777777" w:rsidR="00012357" w:rsidRPr="008A040F" w:rsidRDefault="00012357" w:rsidP="008A040F">
            <w:pPr>
              <w:jc w:val="center"/>
              <w:rPr>
                <w:rFonts w:cs="Arial"/>
                <w:szCs w:val="22"/>
                <w:lang w:eastAsia="it-IT"/>
              </w:rPr>
            </w:pPr>
          </w:p>
        </w:tc>
      </w:tr>
      <w:tr w:rsidR="00012357" w:rsidRPr="0019790A" w14:paraId="6EE430CA" w14:textId="77777777" w:rsidTr="008A040F">
        <w:trPr>
          <w:trHeight w:val="275"/>
          <w:jc w:val="right"/>
        </w:trPr>
        <w:tc>
          <w:tcPr>
            <w:tcW w:w="3425" w:type="dxa"/>
            <w:shd w:val="clear" w:color="auto" w:fill="FFFFFF"/>
            <w:vAlign w:val="center"/>
          </w:tcPr>
          <w:p w14:paraId="70EB35D0" w14:textId="77777777" w:rsidR="00012357" w:rsidRPr="0019790A" w:rsidRDefault="00012357" w:rsidP="0019790A">
            <w:pPr>
              <w:rPr>
                <w:rFonts w:cs="Arial"/>
                <w:szCs w:val="22"/>
              </w:rPr>
            </w:pPr>
            <w:r w:rsidRPr="0019790A">
              <w:rPr>
                <w:rFonts w:cs="Arial"/>
                <w:szCs w:val="22"/>
              </w:rPr>
              <w:t>- бюджет Жмеринської МТГ</w:t>
            </w:r>
          </w:p>
        </w:tc>
        <w:tc>
          <w:tcPr>
            <w:tcW w:w="1254" w:type="dxa"/>
            <w:vAlign w:val="center"/>
          </w:tcPr>
          <w:p w14:paraId="0A7C6DE4" w14:textId="77777777" w:rsidR="00012357" w:rsidRPr="008A040F" w:rsidRDefault="00012357" w:rsidP="008A040F">
            <w:pPr>
              <w:jc w:val="center"/>
              <w:rPr>
                <w:rFonts w:cs="Arial"/>
                <w:szCs w:val="22"/>
                <w:lang w:eastAsia="it-IT"/>
              </w:rPr>
            </w:pPr>
            <w:r w:rsidRPr="008A040F">
              <w:rPr>
                <w:rFonts w:cs="Arial"/>
                <w:szCs w:val="22"/>
                <w:lang w:eastAsia="it-IT"/>
              </w:rPr>
              <w:t>2 600, 00</w:t>
            </w:r>
          </w:p>
        </w:tc>
        <w:tc>
          <w:tcPr>
            <w:tcW w:w="1275" w:type="dxa"/>
            <w:vAlign w:val="center"/>
          </w:tcPr>
          <w:p w14:paraId="62908B15" w14:textId="7C89F6A2" w:rsidR="00012357" w:rsidRPr="008A040F" w:rsidRDefault="00012357" w:rsidP="008A040F">
            <w:pPr>
              <w:jc w:val="center"/>
              <w:rPr>
                <w:rFonts w:cs="Arial"/>
                <w:szCs w:val="22"/>
                <w:lang w:eastAsia="it-IT"/>
              </w:rPr>
            </w:pPr>
            <w:r w:rsidRPr="008A040F">
              <w:rPr>
                <w:rFonts w:cs="Arial"/>
                <w:szCs w:val="22"/>
                <w:lang w:eastAsia="it-IT"/>
              </w:rPr>
              <w:t>2 000, 00</w:t>
            </w:r>
          </w:p>
        </w:tc>
        <w:tc>
          <w:tcPr>
            <w:tcW w:w="1418" w:type="dxa"/>
            <w:vAlign w:val="center"/>
          </w:tcPr>
          <w:p w14:paraId="5E349ADD" w14:textId="77777777" w:rsidR="00012357" w:rsidRPr="008A040F" w:rsidRDefault="00012357" w:rsidP="008A040F">
            <w:pPr>
              <w:jc w:val="center"/>
              <w:rPr>
                <w:rFonts w:cs="Arial"/>
                <w:szCs w:val="22"/>
                <w:lang w:eastAsia="it-IT"/>
              </w:rPr>
            </w:pPr>
            <w:r w:rsidRPr="008A040F">
              <w:rPr>
                <w:rFonts w:cs="Arial"/>
                <w:szCs w:val="22"/>
                <w:lang w:eastAsia="it-IT"/>
              </w:rPr>
              <w:t>1 000,00</w:t>
            </w:r>
          </w:p>
        </w:tc>
        <w:tc>
          <w:tcPr>
            <w:tcW w:w="1276" w:type="dxa"/>
            <w:vAlign w:val="center"/>
          </w:tcPr>
          <w:p w14:paraId="23260241" w14:textId="53C7AA00" w:rsidR="00012357" w:rsidRPr="008A040F" w:rsidRDefault="00012357" w:rsidP="008A040F">
            <w:pPr>
              <w:jc w:val="center"/>
              <w:rPr>
                <w:rFonts w:cs="Arial"/>
                <w:szCs w:val="22"/>
                <w:lang w:eastAsia="it-IT"/>
              </w:rPr>
            </w:pPr>
            <w:r w:rsidRPr="008A040F">
              <w:rPr>
                <w:rFonts w:cs="Arial"/>
                <w:szCs w:val="22"/>
                <w:lang w:eastAsia="it-IT"/>
              </w:rPr>
              <w:t>1 000,00</w:t>
            </w:r>
          </w:p>
        </w:tc>
        <w:tc>
          <w:tcPr>
            <w:tcW w:w="1571" w:type="dxa"/>
            <w:vAlign w:val="center"/>
          </w:tcPr>
          <w:p w14:paraId="043135A8" w14:textId="2DD1934C" w:rsidR="00012357" w:rsidRPr="0019790A" w:rsidRDefault="00012357" w:rsidP="008A040F">
            <w:pPr>
              <w:jc w:val="center"/>
              <w:rPr>
                <w:rFonts w:cs="Arial"/>
                <w:b/>
                <w:bCs/>
                <w:szCs w:val="22"/>
                <w:lang w:eastAsia="it-IT"/>
              </w:rPr>
            </w:pPr>
            <w:r w:rsidRPr="0019790A">
              <w:rPr>
                <w:rFonts w:cs="Arial"/>
                <w:b/>
                <w:bCs/>
                <w:szCs w:val="22"/>
              </w:rPr>
              <w:t>6 600,00</w:t>
            </w:r>
          </w:p>
        </w:tc>
      </w:tr>
      <w:tr w:rsidR="00012357" w:rsidRPr="0019790A" w14:paraId="11CB1C3F" w14:textId="77777777" w:rsidTr="00D1052A">
        <w:trPr>
          <w:trHeight w:val="226"/>
          <w:jc w:val="right"/>
        </w:trPr>
        <w:tc>
          <w:tcPr>
            <w:tcW w:w="3425" w:type="dxa"/>
            <w:shd w:val="clear" w:color="auto" w:fill="FFFFFF"/>
            <w:vAlign w:val="center"/>
          </w:tcPr>
          <w:p w14:paraId="4330AF84" w14:textId="77777777" w:rsidR="00012357" w:rsidRPr="0019790A" w:rsidRDefault="00012357" w:rsidP="0019790A">
            <w:pPr>
              <w:rPr>
                <w:rFonts w:cs="Arial"/>
                <w:szCs w:val="22"/>
              </w:rPr>
            </w:pPr>
            <w:r w:rsidRPr="0019790A">
              <w:rPr>
                <w:rFonts w:cs="Arial"/>
                <w:szCs w:val="22"/>
              </w:rPr>
              <w:t>- інші джерела фінансування</w:t>
            </w:r>
          </w:p>
        </w:tc>
        <w:tc>
          <w:tcPr>
            <w:tcW w:w="6794" w:type="dxa"/>
            <w:gridSpan w:val="5"/>
            <w:vAlign w:val="center"/>
          </w:tcPr>
          <w:p w14:paraId="3DCA37CA" w14:textId="77777777" w:rsidR="00012357" w:rsidRPr="0019790A" w:rsidRDefault="00012357" w:rsidP="0019790A">
            <w:pPr>
              <w:jc w:val="both"/>
              <w:rPr>
                <w:rFonts w:cs="Arial"/>
                <w:szCs w:val="22"/>
                <w:lang w:eastAsia="it-IT"/>
              </w:rPr>
            </w:pPr>
          </w:p>
        </w:tc>
      </w:tr>
      <w:tr w:rsidR="00012357" w:rsidRPr="0019790A" w14:paraId="7DA8BC2F" w14:textId="77777777" w:rsidTr="00D1052A">
        <w:trPr>
          <w:jc w:val="right"/>
        </w:trPr>
        <w:tc>
          <w:tcPr>
            <w:tcW w:w="3425" w:type="dxa"/>
            <w:shd w:val="clear" w:color="auto" w:fill="FFFFFF"/>
            <w:vAlign w:val="center"/>
          </w:tcPr>
          <w:p w14:paraId="38076AE3" w14:textId="77777777" w:rsidR="00012357" w:rsidRPr="0019790A" w:rsidRDefault="00012357" w:rsidP="0019790A">
            <w:pPr>
              <w:rPr>
                <w:rFonts w:cs="Arial"/>
                <w:b/>
                <w:bCs/>
                <w:szCs w:val="22"/>
              </w:rPr>
            </w:pPr>
            <w:r w:rsidRPr="0019790A">
              <w:rPr>
                <w:rFonts w:cs="Arial"/>
                <w:b/>
                <w:szCs w:val="22"/>
              </w:rPr>
              <w:t>Відповідальний виконавець проєкту:</w:t>
            </w:r>
          </w:p>
        </w:tc>
        <w:tc>
          <w:tcPr>
            <w:tcW w:w="6794" w:type="dxa"/>
            <w:gridSpan w:val="5"/>
            <w:vAlign w:val="center"/>
          </w:tcPr>
          <w:p w14:paraId="0F9C63AE" w14:textId="77777777" w:rsidR="00012357" w:rsidRPr="0019790A" w:rsidRDefault="00012357" w:rsidP="0019790A">
            <w:pPr>
              <w:jc w:val="both"/>
              <w:rPr>
                <w:rFonts w:cs="Arial"/>
                <w:szCs w:val="22"/>
                <w:lang w:eastAsia="it-IT"/>
              </w:rPr>
            </w:pPr>
            <w:r w:rsidRPr="0019790A">
              <w:rPr>
                <w:rFonts w:cs="Arial"/>
                <w:szCs w:val="22"/>
                <w:lang w:eastAsia="it-IT"/>
              </w:rPr>
              <w:t>Управління ЖКГ Жмеринської міської ради, Управління освіти Жмеринської міської ради, заклади освіти</w:t>
            </w:r>
          </w:p>
        </w:tc>
      </w:tr>
      <w:tr w:rsidR="00012357" w:rsidRPr="0019790A" w14:paraId="0164FBF1" w14:textId="77777777" w:rsidTr="00D1052A">
        <w:trPr>
          <w:jc w:val="right"/>
        </w:trPr>
        <w:tc>
          <w:tcPr>
            <w:tcW w:w="3425" w:type="dxa"/>
            <w:shd w:val="clear" w:color="auto" w:fill="FFFFFF"/>
            <w:vAlign w:val="center"/>
          </w:tcPr>
          <w:p w14:paraId="4D485D32" w14:textId="77777777" w:rsidR="00012357" w:rsidRPr="0019790A" w:rsidRDefault="00012357" w:rsidP="0019790A">
            <w:pPr>
              <w:rPr>
                <w:rFonts w:cs="Arial"/>
                <w:b/>
                <w:bCs/>
                <w:szCs w:val="22"/>
              </w:rPr>
            </w:pPr>
            <w:r w:rsidRPr="0019790A">
              <w:rPr>
                <w:rFonts w:cs="Arial"/>
                <w:b/>
                <w:bCs/>
                <w:szCs w:val="22"/>
              </w:rPr>
              <w:t>Інше:</w:t>
            </w:r>
          </w:p>
        </w:tc>
        <w:tc>
          <w:tcPr>
            <w:tcW w:w="6794" w:type="dxa"/>
            <w:gridSpan w:val="5"/>
            <w:vAlign w:val="center"/>
          </w:tcPr>
          <w:p w14:paraId="74C9EBB9" w14:textId="77777777" w:rsidR="00012357" w:rsidRPr="0019790A" w:rsidRDefault="00012357" w:rsidP="0019790A">
            <w:pPr>
              <w:rPr>
                <w:rFonts w:cs="Arial"/>
                <w:szCs w:val="22"/>
                <w:lang w:eastAsia="it-IT"/>
              </w:rPr>
            </w:pPr>
          </w:p>
        </w:tc>
      </w:tr>
    </w:tbl>
    <w:p w14:paraId="1A21F70A" w14:textId="77777777" w:rsidR="00012357" w:rsidRPr="0019790A" w:rsidRDefault="00012357" w:rsidP="0019790A">
      <w:pPr>
        <w:rPr>
          <w:rFonts w:cs="Arial"/>
          <w:szCs w:val="22"/>
        </w:rPr>
      </w:pPr>
    </w:p>
    <w:p w14:paraId="56764DAF" w14:textId="77777777" w:rsidR="00012357" w:rsidRPr="0019790A" w:rsidRDefault="00012357" w:rsidP="0019790A">
      <w:pPr>
        <w:jc w:val="center"/>
        <w:rPr>
          <w:rFonts w:cs="Arial"/>
          <w:b/>
          <w:color w:val="000000"/>
          <w:szCs w:val="22"/>
        </w:rPr>
      </w:pPr>
      <w:r w:rsidRPr="0019790A">
        <w:rPr>
          <w:rFonts w:cs="Arial"/>
          <w:b/>
          <w:color w:val="000000"/>
          <w:szCs w:val="22"/>
        </w:rPr>
        <w:t xml:space="preserve">Форма технічного завдання на проєкт місцевого розвитку </w:t>
      </w:r>
    </w:p>
    <w:p w14:paraId="138F175B" w14:textId="77777777" w:rsidR="00012357" w:rsidRPr="0019790A" w:rsidRDefault="00012357" w:rsidP="0019790A">
      <w:pPr>
        <w:jc w:val="center"/>
        <w:rPr>
          <w:rFonts w:cs="Arial"/>
          <w:b/>
          <w:color w:val="000000"/>
          <w:szCs w:val="22"/>
        </w:rPr>
      </w:pPr>
      <w:r w:rsidRPr="0019790A">
        <w:rPr>
          <w:rFonts w:cs="Arial"/>
          <w:b/>
          <w:color w:val="000000"/>
          <w:szCs w:val="22"/>
        </w:rPr>
        <w:t>до Плану заходів з реалізації Стратегії</w:t>
      </w:r>
    </w:p>
    <w:p w14:paraId="737FBD4C" w14:textId="77777777" w:rsidR="00012357" w:rsidRPr="0019790A" w:rsidRDefault="00012357"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104"/>
        <w:gridCol w:w="1171"/>
        <w:gridCol w:w="1418"/>
        <w:gridCol w:w="1276"/>
        <w:gridCol w:w="1571"/>
      </w:tblGrid>
      <w:tr w:rsidR="00012357" w:rsidRPr="0019790A" w14:paraId="2019CAFC" w14:textId="77777777" w:rsidTr="008A040F">
        <w:trPr>
          <w:jc w:val="right"/>
        </w:trPr>
        <w:tc>
          <w:tcPr>
            <w:tcW w:w="3425" w:type="dxa"/>
            <w:vAlign w:val="center"/>
          </w:tcPr>
          <w:p w14:paraId="068DF224" w14:textId="77777777" w:rsidR="00012357" w:rsidRPr="0019790A" w:rsidRDefault="00012357" w:rsidP="0019790A">
            <w:pPr>
              <w:rPr>
                <w:rFonts w:cs="Arial"/>
                <w:b/>
                <w:bCs/>
                <w:color w:val="000000"/>
                <w:szCs w:val="22"/>
              </w:rPr>
            </w:pPr>
            <w:r w:rsidRPr="0019790A">
              <w:rPr>
                <w:rFonts w:cs="Arial"/>
                <w:b/>
                <w:bCs/>
                <w:color w:val="000000"/>
                <w:szCs w:val="22"/>
              </w:rPr>
              <w:t>Назва проєкту:</w:t>
            </w:r>
          </w:p>
        </w:tc>
        <w:tc>
          <w:tcPr>
            <w:tcW w:w="6794" w:type="dxa"/>
            <w:gridSpan w:val="6"/>
            <w:vAlign w:val="center"/>
          </w:tcPr>
          <w:p w14:paraId="0E8F075A" w14:textId="77777777" w:rsidR="00012357" w:rsidRPr="0019790A" w:rsidRDefault="00012357" w:rsidP="008A040F">
            <w:pPr>
              <w:jc w:val="both"/>
              <w:rPr>
                <w:rFonts w:cs="Arial"/>
                <w:szCs w:val="22"/>
                <w:lang w:eastAsia="it-IT"/>
              </w:rPr>
            </w:pPr>
            <w:r w:rsidRPr="0019790A">
              <w:rPr>
                <w:rFonts w:cs="Arial"/>
                <w:b/>
                <w:szCs w:val="22"/>
                <w:lang w:eastAsia="it-IT"/>
              </w:rPr>
              <w:t>Профільна старша школа я</w:t>
            </w:r>
            <w:r w:rsidRPr="0019790A">
              <w:rPr>
                <w:rFonts w:cs="Arial"/>
                <w:b/>
                <w:color w:val="141414"/>
                <w:szCs w:val="22"/>
              </w:rPr>
              <w:t>к</w:t>
            </w:r>
            <w:r w:rsidRPr="0019790A">
              <w:rPr>
                <w:rStyle w:val="afd"/>
                <w:rFonts w:cs="Arial"/>
                <w:color w:val="010101"/>
                <w:szCs w:val="22"/>
                <w:bdr w:val="none" w:sz="0" w:space="0" w:color="auto" w:frame="1"/>
              </w:rPr>
              <w:t> необхідна умова розвитку освіти громади</w:t>
            </w:r>
          </w:p>
        </w:tc>
      </w:tr>
      <w:tr w:rsidR="00012357" w:rsidRPr="0019790A" w14:paraId="41B6548E" w14:textId="77777777" w:rsidTr="008A040F">
        <w:trPr>
          <w:jc w:val="right"/>
        </w:trPr>
        <w:tc>
          <w:tcPr>
            <w:tcW w:w="3425" w:type="dxa"/>
          </w:tcPr>
          <w:p w14:paraId="188CDD5F" w14:textId="77777777" w:rsidR="00012357" w:rsidRPr="0019790A" w:rsidRDefault="00012357"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6F154559" w14:textId="77777777" w:rsidR="00012357" w:rsidRPr="0019790A" w:rsidRDefault="00012357"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6"/>
            <w:vAlign w:val="center"/>
          </w:tcPr>
          <w:p w14:paraId="1E125E3F" w14:textId="77777777" w:rsidR="00012357" w:rsidRPr="0019790A" w:rsidRDefault="00012357" w:rsidP="008A040F">
            <w:pPr>
              <w:rPr>
                <w:rFonts w:cs="Arial"/>
                <w:szCs w:val="22"/>
                <w:lang w:eastAsia="it-IT"/>
              </w:rPr>
            </w:pPr>
            <w:r w:rsidRPr="0019790A">
              <w:rPr>
                <w:rFonts w:cs="Arial"/>
                <w:szCs w:val="22"/>
                <w:lang w:eastAsia="it-IT"/>
              </w:rPr>
              <w:t xml:space="preserve"> Управління освіти Жмеринської міської ради</w:t>
            </w:r>
          </w:p>
        </w:tc>
      </w:tr>
      <w:tr w:rsidR="00012357" w:rsidRPr="0019790A" w14:paraId="7006F2FD" w14:textId="77777777" w:rsidTr="00D1052A">
        <w:trPr>
          <w:jc w:val="right"/>
        </w:trPr>
        <w:tc>
          <w:tcPr>
            <w:tcW w:w="3425" w:type="dxa"/>
          </w:tcPr>
          <w:p w14:paraId="0AD691DF" w14:textId="77777777" w:rsidR="00012357" w:rsidRPr="0019790A" w:rsidRDefault="00012357" w:rsidP="0019790A">
            <w:pPr>
              <w:rPr>
                <w:rFonts w:cs="Arial"/>
                <w:b/>
                <w:bCs/>
                <w:szCs w:val="22"/>
              </w:rPr>
            </w:pPr>
            <w:r w:rsidRPr="0019790A">
              <w:rPr>
                <w:rFonts w:cs="Arial"/>
                <w:szCs w:val="22"/>
                <w:lang w:eastAsia="it-IT"/>
              </w:rPr>
              <w:t>Прізвище Ім’я по-батькові:</w:t>
            </w:r>
          </w:p>
        </w:tc>
        <w:tc>
          <w:tcPr>
            <w:tcW w:w="6794" w:type="dxa"/>
            <w:gridSpan w:val="6"/>
          </w:tcPr>
          <w:p w14:paraId="64A6DA06" w14:textId="77777777" w:rsidR="00012357" w:rsidRPr="0019790A" w:rsidRDefault="00012357" w:rsidP="0019790A">
            <w:pPr>
              <w:pStyle w:val="TableParagraph"/>
              <w:ind w:left="0"/>
              <w:rPr>
                <w:rFonts w:ascii="Arial" w:hAnsi="Arial" w:cs="Arial"/>
              </w:rPr>
            </w:pPr>
            <w:r w:rsidRPr="0019790A">
              <w:rPr>
                <w:rFonts w:ascii="Arial" w:hAnsi="Arial" w:cs="Arial"/>
              </w:rPr>
              <w:t>Твердохліб Аліна Петрівна</w:t>
            </w:r>
          </w:p>
        </w:tc>
      </w:tr>
      <w:tr w:rsidR="00012357" w:rsidRPr="0019790A" w14:paraId="5465D034" w14:textId="77777777" w:rsidTr="00D1052A">
        <w:trPr>
          <w:jc w:val="right"/>
        </w:trPr>
        <w:tc>
          <w:tcPr>
            <w:tcW w:w="3425" w:type="dxa"/>
          </w:tcPr>
          <w:p w14:paraId="55A4D9CE" w14:textId="77777777" w:rsidR="00012357" w:rsidRPr="0019790A" w:rsidRDefault="00012357" w:rsidP="0019790A">
            <w:pPr>
              <w:rPr>
                <w:rFonts w:cs="Arial"/>
                <w:b/>
                <w:bCs/>
                <w:szCs w:val="22"/>
              </w:rPr>
            </w:pPr>
            <w:r w:rsidRPr="0019790A">
              <w:rPr>
                <w:rFonts w:cs="Arial"/>
                <w:szCs w:val="22"/>
                <w:lang w:eastAsia="it-IT"/>
              </w:rPr>
              <w:t>Телефон (мобільний):</w:t>
            </w:r>
          </w:p>
        </w:tc>
        <w:tc>
          <w:tcPr>
            <w:tcW w:w="6794" w:type="dxa"/>
            <w:gridSpan w:val="6"/>
          </w:tcPr>
          <w:p w14:paraId="3044A474" w14:textId="77777777" w:rsidR="00012357" w:rsidRPr="0019790A" w:rsidRDefault="00012357" w:rsidP="0019790A">
            <w:pPr>
              <w:pStyle w:val="TableParagraph"/>
              <w:ind w:left="66"/>
              <w:rPr>
                <w:rFonts w:ascii="Arial" w:hAnsi="Arial" w:cs="Arial"/>
              </w:rPr>
            </w:pPr>
            <w:r w:rsidRPr="0019790A">
              <w:rPr>
                <w:rFonts w:ascii="Arial" w:hAnsi="Arial" w:cs="Arial"/>
                <w:spacing w:val="-2"/>
              </w:rPr>
              <w:t>+380 (67) 895 55 75</w:t>
            </w:r>
          </w:p>
        </w:tc>
      </w:tr>
      <w:tr w:rsidR="00012357" w:rsidRPr="0019790A" w14:paraId="406C541C" w14:textId="77777777" w:rsidTr="00D1052A">
        <w:trPr>
          <w:jc w:val="right"/>
        </w:trPr>
        <w:tc>
          <w:tcPr>
            <w:tcW w:w="3425" w:type="dxa"/>
          </w:tcPr>
          <w:p w14:paraId="60F14177" w14:textId="77777777" w:rsidR="00012357" w:rsidRPr="0019790A" w:rsidRDefault="00012357" w:rsidP="0019790A">
            <w:pPr>
              <w:rPr>
                <w:rFonts w:cs="Arial"/>
                <w:b/>
                <w:bCs/>
                <w:szCs w:val="22"/>
              </w:rPr>
            </w:pPr>
            <w:r w:rsidRPr="0019790A">
              <w:rPr>
                <w:rFonts w:cs="Arial"/>
                <w:szCs w:val="22"/>
                <w:lang w:eastAsia="it-IT"/>
              </w:rPr>
              <w:t>Електронна адреса:</w:t>
            </w:r>
          </w:p>
        </w:tc>
        <w:tc>
          <w:tcPr>
            <w:tcW w:w="6794" w:type="dxa"/>
            <w:gridSpan w:val="6"/>
          </w:tcPr>
          <w:p w14:paraId="2269659F" w14:textId="77777777" w:rsidR="00012357" w:rsidRPr="0019790A" w:rsidRDefault="00012357" w:rsidP="0019790A">
            <w:pPr>
              <w:pStyle w:val="TableParagraph"/>
              <w:ind w:left="66"/>
              <w:rPr>
                <w:rFonts w:ascii="Arial" w:hAnsi="Arial" w:cs="Arial"/>
                <w:b/>
                <w:color w:val="0070C0"/>
              </w:rPr>
            </w:pPr>
            <w:r w:rsidRPr="0019790A">
              <w:rPr>
                <w:rFonts w:ascii="Arial" w:hAnsi="Arial" w:cs="Arial"/>
                <w:color w:val="0070C0"/>
              </w:rPr>
              <w:t xml:space="preserve"> </w:t>
            </w:r>
            <w:hyperlink r:id="rId102" w:history="1">
              <w:r w:rsidRPr="0019790A">
                <w:rPr>
                  <w:rStyle w:val="af0"/>
                  <w:rFonts w:ascii="Arial" w:hAnsi="Arial" w:cs="Arial"/>
                  <w:noProof w:val="0"/>
                  <w:spacing w:val="5"/>
                  <w:sz w:val="22"/>
                  <w:szCs w:val="22"/>
                </w:rPr>
                <w:t>uposv.zmr@gmail.com</w:t>
              </w:r>
            </w:hyperlink>
          </w:p>
        </w:tc>
      </w:tr>
      <w:tr w:rsidR="00012357" w:rsidRPr="0019790A" w14:paraId="4327B8C4" w14:textId="77777777" w:rsidTr="00D1052A">
        <w:trPr>
          <w:jc w:val="right"/>
        </w:trPr>
        <w:tc>
          <w:tcPr>
            <w:tcW w:w="3425" w:type="dxa"/>
            <w:vAlign w:val="center"/>
          </w:tcPr>
          <w:p w14:paraId="16E39DBA" w14:textId="77777777" w:rsidR="00012357" w:rsidRPr="0019790A" w:rsidRDefault="00012357" w:rsidP="0019790A">
            <w:pPr>
              <w:pStyle w:val="6"/>
              <w:spacing w:before="0" w:after="0"/>
              <w:rPr>
                <w:rFonts w:ascii="Arial" w:hAnsi="Arial" w:cs="Arial"/>
                <w:color w:val="000000"/>
                <w:lang w:val="uk-UA"/>
              </w:rPr>
            </w:pPr>
            <w:r w:rsidRPr="0019790A">
              <w:rPr>
                <w:rFonts w:ascii="Arial" w:hAnsi="Arial" w:cs="Arial"/>
                <w:color w:val="000000"/>
                <w:lang w:val="uk-UA"/>
              </w:rPr>
              <w:t>Номер і назва завдання з Стратегії</w:t>
            </w:r>
            <w:r w:rsidRPr="0019790A">
              <w:rPr>
                <w:rFonts w:ascii="Arial" w:hAnsi="Arial" w:cs="Arial"/>
                <w:lang w:val="uk-UA" w:eastAsia="it-IT"/>
              </w:rPr>
              <w:t xml:space="preserve"> </w:t>
            </w:r>
            <w:r w:rsidRPr="0019790A">
              <w:rPr>
                <w:rFonts w:ascii="Arial" w:hAnsi="Arial" w:cs="Arial"/>
                <w:color w:val="000000"/>
                <w:lang w:val="uk-UA"/>
              </w:rPr>
              <w:t>розвитку Жмеринської міської територіальної громади,  якому відповідає проєкт:</w:t>
            </w:r>
          </w:p>
        </w:tc>
        <w:tc>
          <w:tcPr>
            <w:tcW w:w="6794" w:type="dxa"/>
            <w:gridSpan w:val="6"/>
          </w:tcPr>
          <w:p w14:paraId="35269D19" w14:textId="77777777" w:rsidR="00012357" w:rsidRPr="0019790A" w:rsidRDefault="00012357" w:rsidP="0019790A">
            <w:pPr>
              <w:jc w:val="both"/>
              <w:rPr>
                <w:rFonts w:cs="Arial"/>
                <w:szCs w:val="22"/>
              </w:rPr>
            </w:pPr>
            <w:r w:rsidRPr="0019790A">
              <w:rPr>
                <w:rFonts w:cs="Arial"/>
                <w:szCs w:val="22"/>
                <w:lang w:eastAsia="it-IT"/>
              </w:rPr>
              <w:t xml:space="preserve"> </w:t>
            </w:r>
            <w:r w:rsidRPr="0019790A">
              <w:rPr>
                <w:rFonts w:cs="Arial"/>
                <w:szCs w:val="22"/>
              </w:rPr>
              <w:t xml:space="preserve">С.1.1.2. Розвиток освітньої інфраструктури територіальної громади відповідно до вимог часу </w:t>
            </w:r>
          </w:p>
          <w:p w14:paraId="25658839" w14:textId="77777777" w:rsidR="00012357" w:rsidRPr="0019790A" w:rsidRDefault="00012357" w:rsidP="0019790A">
            <w:pPr>
              <w:pBdr>
                <w:left w:val="single" w:sz="18" w:space="4" w:color="auto"/>
              </w:pBdr>
              <w:rPr>
                <w:rFonts w:cs="Arial"/>
                <w:szCs w:val="22"/>
                <w:lang w:eastAsia="it-IT"/>
              </w:rPr>
            </w:pPr>
            <w:r w:rsidRPr="0019790A">
              <w:rPr>
                <w:rFonts w:cs="Arial"/>
                <w:szCs w:val="22"/>
              </w:rPr>
              <w:t>С.1.1.6. Підвищення орієнтації  галузі освіти на потреби ринку праці</w:t>
            </w:r>
          </w:p>
        </w:tc>
      </w:tr>
      <w:tr w:rsidR="00012357" w:rsidRPr="0019790A" w14:paraId="7E72E4CD" w14:textId="77777777" w:rsidTr="00D1052A">
        <w:trPr>
          <w:jc w:val="right"/>
        </w:trPr>
        <w:tc>
          <w:tcPr>
            <w:tcW w:w="3425" w:type="dxa"/>
            <w:vAlign w:val="center"/>
          </w:tcPr>
          <w:p w14:paraId="65E80AAC" w14:textId="77777777" w:rsidR="00012357" w:rsidRPr="0019790A" w:rsidRDefault="00012357" w:rsidP="0019790A">
            <w:pPr>
              <w:rPr>
                <w:rFonts w:cs="Arial"/>
                <w:b/>
                <w:bCs/>
                <w:color w:val="000000"/>
                <w:szCs w:val="22"/>
              </w:rPr>
            </w:pPr>
            <w:r w:rsidRPr="0019790A">
              <w:rPr>
                <w:rFonts w:cs="Arial"/>
                <w:b/>
                <w:bCs/>
                <w:color w:val="000000"/>
                <w:szCs w:val="22"/>
              </w:rPr>
              <w:t>Мета проєкту:</w:t>
            </w:r>
          </w:p>
        </w:tc>
        <w:tc>
          <w:tcPr>
            <w:tcW w:w="6794" w:type="dxa"/>
            <w:gridSpan w:val="6"/>
          </w:tcPr>
          <w:p w14:paraId="11EE4FAA" w14:textId="082C3F36" w:rsidR="00012357" w:rsidRPr="0019790A" w:rsidRDefault="00012357" w:rsidP="0019790A">
            <w:pPr>
              <w:rPr>
                <w:rFonts w:cs="Arial"/>
                <w:szCs w:val="22"/>
                <w:lang w:eastAsia="it-IT"/>
              </w:rPr>
            </w:pPr>
            <w:r w:rsidRPr="0019790A">
              <w:rPr>
                <w:rFonts w:cs="Arial"/>
                <w:szCs w:val="22"/>
              </w:rPr>
              <w:t xml:space="preserve">Метою </w:t>
            </w:r>
            <w:r w:rsidR="00314B9D">
              <w:rPr>
                <w:rFonts w:cs="Arial"/>
                <w:szCs w:val="22"/>
              </w:rPr>
              <w:t>проєкту</w:t>
            </w:r>
            <w:r w:rsidRPr="0019790A">
              <w:rPr>
                <w:rFonts w:cs="Arial"/>
                <w:szCs w:val="22"/>
              </w:rPr>
              <w:t xml:space="preserve"> є с</w:t>
            </w:r>
            <w:r w:rsidRPr="0019790A">
              <w:rPr>
                <w:rFonts w:cs="Arial"/>
                <w:bCs/>
                <w:szCs w:val="22"/>
              </w:rPr>
              <w:t>творення системи конкурентоспроможної освіти відповідно до потреб ринку праці  та розвитку особистості</w:t>
            </w:r>
          </w:p>
        </w:tc>
      </w:tr>
      <w:tr w:rsidR="00012357" w:rsidRPr="0019790A" w14:paraId="78407902" w14:textId="77777777" w:rsidTr="00D1052A">
        <w:trPr>
          <w:jc w:val="right"/>
        </w:trPr>
        <w:tc>
          <w:tcPr>
            <w:tcW w:w="3425" w:type="dxa"/>
            <w:vAlign w:val="center"/>
          </w:tcPr>
          <w:p w14:paraId="18C08795" w14:textId="77777777" w:rsidR="00012357" w:rsidRPr="0019790A" w:rsidRDefault="00012357" w:rsidP="0019790A">
            <w:pPr>
              <w:rPr>
                <w:rFonts w:cs="Arial"/>
                <w:b/>
                <w:bCs/>
                <w:color w:val="000000"/>
                <w:szCs w:val="22"/>
              </w:rPr>
            </w:pPr>
            <w:r w:rsidRPr="0019790A">
              <w:rPr>
                <w:rFonts w:cs="Arial"/>
                <w:b/>
                <w:bCs/>
                <w:color w:val="000000"/>
                <w:szCs w:val="22"/>
              </w:rPr>
              <w:t>Цілі проєкту:</w:t>
            </w:r>
          </w:p>
        </w:tc>
        <w:tc>
          <w:tcPr>
            <w:tcW w:w="6794" w:type="dxa"/>
            <w:gridSpan w:val="6"/>
          </w:tcPr>
          <w:p w14:paraId="2D1E2364" w14:textId="77777777" w:rsidR="00012357" w:rsidRPr="0019790A" w:rsidRDefault="00012357" w:rsidP="0019790A">
            <w:pPr>
              <w:jc w:val="both"/>
              <w:rPr>
                <w:rFonts w:cs="Arial"/>
                <w:szCs w:val="22"/>
                <w:lang w:eastAsia="it-IT"/>
              </w:rPr>
            </w:pPr>
            <w:r w:rsidRPr="0019790A">
              <w:rPr>
                <w:rFonts w:cs="Arial"/>
                <w:szCs w:val="22"/>
                <w:lang w:eastAsia="it-IT"/>
              </w:rPr>
              <w:t>Створення умов для запровадження якісної профільної старшої школи, що сприятиме</w:t>
            </w:r>
            <w:r w:rsidRPr="0019790A">
              <w:rPr>
                <w:rFonts w:cs="Arial"/>
                <w:iCs/>
                <w:szCs w:val="22"/>
              </w:rPr>
              <w:t xml:space="preserve"> вибору учнями різних освітніх траєкторій та формуванню найбільш затребуваних на ринку праці компетенцій і навичок</w:t>
            </w:r>
          </w:p>
        </w:tc>
      </w:tr>
      <w:tr w:rsidR="00012357" w:rsidRPr="0019790A" w14:paraId="04FD2EC5" w14:textId="77777777" w:rsidTr="00D1052A">
        <w:trPr>
          <w:jc w:val="right"/>
        </w:trPr>
        <w:tc>
          <w:tcPr>
            <w:tcW w:w="3425" w:type="dxa"/>
            <w:vAlign w:val="center"/>
          </w:tcPr>
          <w:p w14:paraId="5C6F3F15" w14:textId="77777777" w:rsidR="00012357" w:rsidRPr="0019790A" w:rsidRDefault="00012357" w:rsidP="0019790A">
            <w:pPr>
              <w:autoSpaceDE w:val="0"/>
              <w:autoSpaceDN w:val="0"/>
              <w:adjustRightInd w:val="0"/>
              <w:rPr>
                <w:rFonts w:cs="Arial"/>
                <w:b/>
                <w:color w:val="000000"/>
                <w:szCs w:val="22"/>
              </w:rPr>
            </w:pPr>
            <w:r w:rsidRPr="0019790A">
              <w:rPr>
                <w:rFonts w:cs="Arial"/>
                <w:b/>
                <w:color w:val="000000"/>
                <w:szCs w:val="22"/>
              </w:rPr>
              <w:t>Територія на яку проєкт матиме вплив:</w:t>
            </w:r>
          </w:p>
        </w:tc>
        <w:tc>
          <w:tcPr>
            <w:tcW w:w="6794" w:type="dxa"/>
            <w:gridSpan w:val="6"/>
          </w:tcPr>
          <w:p w14:paraId="32D3DE20" w14:textId="77777777" w:rsidR="00012357" w:rsidRPr="0019790A" w:rsidRDefault="00012357" w:rsidP="0019790A">
            <w:pPr>
              <w:rPr>
                <w:rFonts w:cs="Arial"/>
                <w:szCs w:val="22"/>
                <w:lang w:eastAsia="it-IT"/>
              </w:rPr>
            </w:pPr>
            <w:r w:rsidRPr="0019790A">
              <w:rPr>
                <w:rFonts w:cs="Arial"/>
                <w:szCs w:val="22"/>
                <w:lang w:eastAsia="it-IT"/>
              </w:rPr>
              <w:t>Територія Жмеринської міської територіальної громади та двох прилеглих громад (Станіславчицької та Северинівської)</w:t>
            </w:r>
          </w:p>
        </w:tc>
      </w:tr>
      <w:tr w:rsidR="00012357" w:rsidRPr="0019790A" w14:paraId="29FDAF6B" w14:textId="77777777" w:rsidTr="00D1052A">
        <w:trPr>
          <w:jc w:val="right"/>
        </w:trPr>
        <w:tc>
          <w:tcPr>
            <w:tcW w:w="3425" w:type="dxa"/>
            <w:vAlign w:val="center"/>
          </w:tcPr>
          <w:p w14:paraId="7FF7F76E" w14:textId="77777777" w:rsidR="00012357" w:rsidRPr="0019790A" w:rsidRDefault="00012357" w:rsidP="0019790A">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4" w:type="dxa"/>
            <w:gridSpan w:val="6"/>
          </w:tcPr>
          <w:p w14:paraId="66DC3C2E" w14:textId="77777777" w:rsidR="00012357" w:rsidRPr="0019790A" w:rsidRDefault="00012357" w:rsidP="0019790A">
            <w:pPr>
              <w:pStyle w:val="TableParagraph"/>
              <w:rPr>
                <w:rFonts w:ascii="Arial" w:hAnsi="Arial" w:cs="Arial"/>
              </w:rPr>
            </w:pPr>
            <w:r w:rsidRPr="0019790A">
              <w:rPr>
                <w:rFonts w:ascii="Arial" w:hAnsi="Arial" w:cs="Arial"/>
              </w:rPr>
              <w:t>700 здобувачів освіти 11 - 12 класів, педагоги, батьки</w:t>
            </w:r>
          </w:p>
        </w:tc>
      </w:tr>
      <w:tr w:rsidR="00012357" w:rsidRPr="0019790A" w14:paraId="0C335B83" w14:textId="77777777" w:rsidTr="00D1052A">
        <w:trPr>
          <w:jc w:val="right"/>
        </w:trPr>
        <w:tc>
          <w:tcPr>
            <w:tcW w:w="3425" w:type="dxa"/>
            <w:shd w:val="clear" w:color="auto" w:fill="FFFFFF"/>
            <w:vAlign w:val="center"/>
          </w:tcPr>
          <w:p w14:paraId="043F5545" w14:textId="77777777" w:rsidR="00012357" w:rsidRPr="0019790A" w:rsidRDefault="00012357" w:rsidP="0019790A">
            <w:pPr>
              <w:rPr>
                <w:rFonts w:cs="Arial"/>
                <w:b/>
                <w:bCs/>
                <w:color w:val="000000"/>
                <w:szCs w:val="22"/>
              </w:rPr>
            </w:pPr>
            <w:r w:rsidRPr="0019790A">
              <w:rPr>
                <w:rFonts w:cs="Arial"/>
                <w:b/>
                <w:bCs/>
                <w:color w:val="000000"/>
                <w:szCs w:val="22"/>
              </w:rPr>
              <w:t>Стислий опис проєкту:</w:t>
            </w:r>
          </w:p>
        </w:tc>
        <w:tc>
          <w:tcPr>
            <w:tcW w:w="6794" w:type="dxa"/>
            <w:gridSpan w:val="6"/>
          </w:tcPr>
          <w:p w14:paraId="0CB6F0CA" w14:textId="77777777" w:rsidR="00012357" w:rsidRPr="0019790A" w:rsidRDefault="00012357" w:rsidP="0019790A">
            <w:pPr>
              <w:jc w:val="both"/>
              <w:rPr>
                <w:rStyle w:val="afe"/>
                <w:rFonts w:cs="Arial"/>
                <w:i w:val="0"/>
                <w:szCs w:val="22"/>
                <w:bdr w:val="none" w:sz="0" w:space="0" w:color="auto" w:frame="1"/>
              </w:rPr>
            </w:pPr>
            <w:r w:rsidRPr="0019790A">
              <w:rPr>
                <w:rFonts w:cs="Arial"/>
                <w:iCs/>
                <w:szCs w:val="22"/>
              </w:rPr>
              <w:t xml:space="preserve">      </w:t>
            </w:r>
            <w:r w:rsidRPr="0019790A">
              <w:rPr>
                <w:rFonts w:cs="Arial"/>
                <w:szCs w:val="22"/>
                <w:shd w:val="clear" w:color="auto" w:fill="FFFFFF"/>
              </w:rPr>
              <w:t>Новий Закон “Про освіту» визначив модель старшої школи, яка з 2027 року має стати трирічною та профільною. Профільна освіта, яка не є абсолютно новим явищем для української освітньої системи, на жаль, не стала всеохоплюючою для старшої школи</w:t>
            </w:r>
            <w:r w:rsidRPr="0019790A">
              <w:rPr>
                <w:rFonts w:cs="Arial"/>
                <w:color w:val="333333"/>
                <w:szCs w:val="22"/>
                <w:shd w:val="clear" w:color="auto" w:fill="FFFFFF"/>
              </w:rPr>
              <w:t>. </w:t>
            </w:r>
            <w:r w:rsidRPr="0019790A">
              <w:rPr>
                <w:rStyle w:val="afe"/>
                <w:rFonts w:cs="Arial"/>
                <w:szCs w:val="22"/>
                <w:bdr w:val="none" w:sz="0" w:space="0" w:color="auto" w:frame="1"/>
              </w:rPr>
              <w:t>Н</w:t>
            </w:r>
            <w:r w:rsidRPr="0019790A">
              <w:rPr>
                <w:rFonts w:cs="Arial"/>
                <w:szCs w:val="22"/>
                <w:shd w:val="clear" w:color="auto" w:fill="FFFFFF"/>
              </w:rPr>
              <w:t>евелика кількість здобувачів освіти в теперішній старшій школі призводить до того, що заклади не в змозі сформувати необхідну кількість профілів або кількість профілів максимально обмежена. У дітей забирають вибір, необхідний їм для професійного становлення.</w:t>
            </w:r>
            <w:r w:rsidRPr="0019790A">
              <w:rPr>
                <w:rStyle w:val="afe"/>
                <w:rFonts w:cs="Arial"/>
                <w:szCs w:val="22"/>
                <w:bdr w:val="none" w:sz="0" w:space="0" w:color="auto" w:frame="1"/>
              </w:rPr>
              <w:t xml:space="preserve"> </w:t>
            </w:r>
          </w:p>
          <w:p w14:paraId="61403C1D" w14:textId="77777777" w:rsidR="00012357" w:rsidRPr="0019790A" w:rsidRDefault="00012357" w:rsidP="0019790A">
            <w:pPr>
              <w:jc w:val="both"/>
              <w:rPr>
                <w:rFonts w:cs="Arial"/>
                <w:szCs w:val="22"/>
                <w:shd w:val="clear" w:color="auto" w:fill="FFFFFF"/>
              </w:rPr>
            </w:pPr>
            <w:r w:rsidRPr="0019790A">
              <w:rPr>
                <w:rStyle w:val="afe"/>
                <w:rFonts w:cs="Arial"/>
                <w:szCs w:val="22"/>
                <w:bdr w:val="none" w:sz="0" w:space="0" w:color="auto" w:frame="1"/>
              </w:rPr>
              <w:t xml:space="preserve">     </w:t>
            </w:r>
            <w:r w:rsidRPr="0019790A">
              <w:rPr>
                <w:rStyle w:val="afe"/>
                <w:rFonts w:cs="Arial"/>
                <w:i w:val="0"/>
                <w:szCs w:val="22"/>
                <w:bdr w:val="none" w:sz="0" w:space="0" w:color="auto" w:frame="1"/>
              </w:rPr>
              <w:t>Крім того</w:t>
            </w:r>
            <w:r w:rsidRPr="0019790A">
              <w:rPr>
                <w:rStyle w:val="afe"/>
                <w:rFonts w:cs="Arial"/>
                <w:szCs w:val="22"/>
                <w:bdr w:val="none" w:sz="0" w:space="0" w:color="auto" w:frame="1"/>
              </w:rPr>
              <w:t xml:space="preserve">, </w:t>
            </w:r>
            <w:r w:rsidRPr="0019790A">
              <w:rPr>
                <w:rFonts w:cs="Arial"/>
                <w:szCs w:val="22"/>
                <w:shd w:val="clear" w:color="auto" w:fill="FFFFFF"/>
              </w:rPr>
              <w:t xml:space="preserve">без відокремлення старшої школи – у нас мізерні шанси сформувати потужну матеріально-технічну базу, а навчання прикладних навичок буде імітуванням без реальної практики. </w:t>
            </w:r>
            <w:r w:rsidRPr="0019790A">
              <w:rPr>
                <w:rStyle w:val="afe"/>
                <w:rFonts w:cs="Arial"/>
                <w:szCs w:val="22"/>
                <w:bdr w:val="none" w:sz="0" w:space="0" w:color="auto" w:frame="1"/>
              </w:rPr>
              <w:t xml:space="preserve"> </w:t>
            </w:r>
          </w:p>
          <w:p w14:paraId="784F105B" w14:textId="77777777" w:rsidR="00012357" w:rsidRPr="0019790A" w:rsidRDefault="00012357" w:rsidP="0019790A">
            <w:pPr>
              <w:jc w:val="both"/>
              <w:rPr>
                <w:rFonts w:cs="Arial"/>
                <w:szCs w:val="22"/>
                <w:lang w:eastAsia="it-IT"/>
              </w:rPr>
            </w:pPr>
            <w:r w:rsidRPr="0019790A">
              <w:rPr>
                <w:rFonts w:cs="Arial"/>
                <w:szCs w:val="22"/>
                <w:shd w:val="clear" w:color="auto" w:fill="FFFFFF"/>
              </w:rPr>
              <w:t xml:space="preserve">   Саме тому маємо завчасно готуватися до майбутніх змін, щоб ризики були як найменшими, а помилки - як найрідшими  Адже наші діти потребують якісної освіти в старшій школі вже сьогодні, яка дозволить їм стати успішними вже завтра.</w:t>
            </w:r>
          </w:p>
        </w:tc>
      </w:tr>
      <w:tr w:rsidR="00012357" w:rsidRPr="0019790A" w14:paraId="0C4EFF64" w14:textId="77777777" w:rsidTr="00D1052A">
        <w:trPr>
          <w:jc w:val="right"/>
        </w:trPr>
        <w:tc>
          <w:tcPr>
            <w:tcW w:w="3425" w:type="dxa"/>
            <w:shd w:val="clear" w:color="auto" w:fill="FFFFFF"/>
            <w:vAlign w:val="center"/>
          </w:tcPr>
          <w:p w14:paraId="294A6C29" w14:textId="77777777" w:rsidR="00012357" w:rsidRPr="0019790A" w:rsidRDefault="00012357" w:rsidP="0019790A">
            <w:pPr>
              <w:rPr>
                <w:rFonts w:cs="Arial"/>
                <w:b/>
                <w:bCs/>
                <w:color w:val="000000"/>
                <w:szCs w:val="22"/>
              </w:rPr>
            </w:pPr>
            <w:r w:rsidRPr="0019790A">
              <w:rPr>
                <w:rFonts w:cs="Arial"/>
                <w:b/>
                <w:bCs/>
                <w:color w:val="000000"/>
                <w:szCs w:val="22"/>
              </w:rPr>
              <w:t>Основні заходи проєкту:</w:t>
            </w:r>
          </w:p>
        </w:tc>
        <w:tc>
          <w:tcPr>
            <w:tcW w:w="6794" w:type="dxa"/>
            <w:gridSpan w:val="6"/>
          </w:tcPr>
          <w:p w14:paraId="272423E2" w14:textId="77777777" w:rsidR="00012357" w:rsidRPr="0019790A" w:rsidRDefault="00012357" w:rsidP="0019790A">
            <w:pPr>
              <w:jc w:val="both"/>
              <w:rPr>
                <w:rFonts w:cs="Arial"/>
                <w:color w:val="000000"/>
                <w:spacing w:val="1"/>
                <w:szCs w:val="22"/>
              </w:rPr>
            </w:pPr>
            <w:r w:rsidRPr="0019790A">
              <w:rPr>
                <w:rFonts w:cs="Arial"/>
                <w:szCs w:val="22"/>
                <w:lang w:eastAsia="it-IT"/>
              </w:rPr>
              <w:t xml:space="preserve"> 1. </w:t>
            </w:r>
            <w:r w:rsidRPr="0019790A">
              <w:rPr>
                <w:rFonts w:cs="Arial"/>
                <w:iCs/>
                <w:szCs w:val="22"/>
              </w:rPr>
              <w:t xml:space="preserve">Виготовлення ПКД </w:t>
            </w:r>
            <w:r w:rsidRPr="0019790A">
              <w:rPr>
                <w:rFonts w:cs="Arial"/>
                <w:szCs w:val="22"/>
              </w:rPr>
              <w:t>по об’єкту: «Реконструкція частини комплексу будівель №2 будинок №1 із спорудженням протирадіаційного укриття для діяльності комунального закладу середньої освіти ІІІ ступеня «Жмеринський ліцей», що знаходиться на земельній ділянці з кадастровим номером 0521083600:02:003:0172 Жмеринської міської територіальної громади</w:t>
            </w:r>
            <w:r w:rsidRPr="0019790A">
              <w:rPr>
                <w:rFonts w:cs="Arial"/>
                <w:color w:val="000000"/>
                <w:spacing w:val="1"/>
                <w:szCs w:val="22"/>
              </w:rPr>
              <w:t>»</w:t>
            </w:r>
            <w:r w:rsidRPr="0019790A">
              <w:rPr>
                <w:rFonts w:cs="Arial"/>
                <w:szCs w:val="22"/>
              </w:rPr>
              <w:t xml:space="preserve">.    </w:t>
            </w:r>
          </w:p>
          <w:p w14:paraId="3081576A" w14:textId="77777777" w:rsidR="00012357" w:rsidRPr="0019790A" w:rsidRDefault="00012357" w:rsidP="0019790A">
            <w:pPr>
              <w:jc w:val="both"/>
              <w:rPr>
                <w:rFonts w:cs="Arial"/>
                <w:color w:val="333333"/>
                <w:szCs w:val="22"/>
                <w:shd w:val="clear" w:color="auto" w:fill="FFFFFF"/>
              </w:rPr>
            </w:pPr>
            <w:r w:rsidRPr="0019790A">
              <w:rPr>
                <w:rFonts w:cs="Arial"/>
                <w:iCs/>
                <w:szCs w:val="22"/>
              </w:rPr>
              <w:t>2. Оголошення процедури</w:t>
            </w:r>
            <w:r w:rsidRPr="0019790A">
              <w:rPr>
                <w:rFonts w:cs="Arial"/>
                <w:color w:val="333333"/>
                <w:szCs w:val="22"/>
                <w:shd w:val="clear" w:color="auto" w:fill="FFFFFF"/>
              </w:rPr>
              <w:t xml:space="preserve"> закупівлі робіт.</w:t>
            </w:r>
          </w:p>
          <w:p w14:paraId="6D034DD4" w14:textId="77777777" w:rsidR="00012357" w:rsidRPr="0019790A" w:rsidRDefault="00012357" w:rsidP="0019790A">
            <w:pPr>
              <w:jc w:val="both"/>
              <w:rPr>
                <w:rFonts w:cs="Arial"/>
                <w:iCs/>
                <w:szCs w:val="22"/>
              </w:rPr>
            </w:pPr>
            <w:r w:rsidRPr="0019790A">
              <w:rPr>
                <w:rFonts w:cs="Arial"/>
                <w:iCs/>
                <w:szCs w:val="22"/>
              </w:rPr>
              <w:t>3. Модернізація покрівлі.</w:t>
            </w:r>
          </w:p>
          <w:p w14:paraId="32CDB36E" w14:textId="77777777" w:rsidR="00012357" w:rsidRPr="0019790A" w:rsidRDefault="00012357" w:rsidP="0019790A">
            <w:pPr>
              <w:jc w:val="both"/>
              <w:rPr>
                <w:rFonts w:cs="Arial"/>
                <w:iCs/>
                <w:szCs w:val="22"/>
              </w:rPr>
            </w:pPr>
            <w:r w:rsidRPr="0019790A">
              <w:rPr>
                <w:rFonts w:cs="Arial"/>
                <w:iCs/>
                <w:szCs w:val="22"/>
              </w:rPr>
              <w:t>4. Проведення капітального ремонту внутрішніх приміщень..</w:t>
            </w:r>
          </w:p>
          <w:p w14:paraId="18694EB7" w14:textId="77777777" w:rsidR="00012357" w:rsidRPr="0019790A" w:rsidRDefault="00012357" w:rsidP="0019790A">
            <w:pPr>
              <w:jc w:val="both"/>
              <w:rPr>
                <w:rFonts w:cs="Arial"/>
                <w:iCs/>
                <w:szCs w:val="22"/>
              </w:rPr>
            </w:pPr>
            <w:r w:rsidRPr="0019790A">
              <w:rPr>
                <w:rFonts w:cs="Arial"/>
                <w:iCs/>
                <w:szCs w:val="22"/>
              </w:rPr>
              <w:t>5. Термомодернізація будівлі</w:t>
            </w:r>
          </w:p>
          <w:p w14:paraId="1AFD8E76" w14:textId="77777777" w:rsidR="00012357" w:rsidRPr="0019790A" w:rsidRDefault="00012357" w:rsidP="0019790A">
            <w:pPr>
              <w:jc w:val="both"/>
              <w:rPr>
                <w:rFonts w:cs="Arial"/>
                <w:szCs w:val="22"/>
                <w:lang w:eastAsia="it-IT"/>
              </w:rPr>
            </w:pPr>
            <w:r w:rsidRPr="0019790A">
              <w:rPr>
                <w:rFonts w:cs="Arial"/>
                <w:iCs/>
                <w:szCs w:val="22"/>
              </w:rPr>
              <w:t>6.Облаштування території</w:t>
            </w:r>
          </w:p>
        </w:tc>
      </w:tr>
      <w:tr w:rsidR="00012357" w:rsidRPr="0019790A" w14:paraId="58C78B3A" w14:textId="77777777" w:rsidTr="00D1052A">
        <w:trPr>
          <w:jc w:val="right"/>
        </w:trPr>
        <w:tc>
          <w:tcPr>
            <w:tcW w:w="3425" w:type="dxa"/>
            <w:shd w:val="clear" w:color="auto" w:fill="FFFFFF"/>
            <w:vAlign w:val="center"/>
          </w:tcPr>
          <w:p w14:paraId="4DA84D7C" w14:textId="77777777" w:rsidR="00012357" w:rsidRPr="0019790A" w:rsidRDefault="00012357"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794" w:type="dxa"/>
            <w:gridSpan w:val="6"/>
          </w:tcPr>
          <w:p w14:paraId="4CB163B1" w14:textId="77777777" w:rsidR="00012357" w:rsidRPr="0019790A" w:rsidRDefault="00012357" w:rsidP="0019790A">
            <w:pPr>
              <w:widowControl w:val="0"/>
              <w:jc w:val="both"/>
              <w:rPr>
                <w:rFonts w:cs="Arial"/>
                <w:szCs w:val="22"/>
              </w:rPr>
            </w:pPr>
            <w:r w:rsidRPr="0019790A">
              <w:rPr>
                <w:rFonts w:cs="Arial"/>
                <w:szCs w:val="22"/>
              </w:rPr>
              <w:t>Наявність в громаді профільного ліцею академічного спрямування</w:t>
            </w:r>
          </w:p>
          <w:p w14:paraId="4C4A4861" w14:textId="77777777" w:rsidR="00012357" w:rsidRPr="0019790A" w:rsidRDefault="00012357" w:rsidP="0019790A">
            <w:pPr>
              <w:widowControl w:val="0"/>
              <w:jc w:val="both"/>
              <w:rPr>
                <w:rFonts w:cs="Arial"/>
                <w:szCs w:val="22"/>
              </w:rPr>
            </w:pPr>
            <w:r w:rsidRPr="0019790A">
              <w:rPr>
                <w:rFonts w:cs="Arial"/>
                <w:szCs w:val="22"/>
              </w:rPr>
              <w:t xml:space="preserve">Відсоток випускників, які вступили до закладів вищої освіти за підсумками  ЗНО  </w:t>
            </w:r>
          </w:p>
        </w:tc>
      </w:tr>
      <w:tr w:rsidR="00012357" w:rsidRPr="0019790A" w14:paraId="0ECF3379" w14:textId="77777777" w:rsidTr="00D1052A">
        <w:trPr>
          <w:jc w:val="right"/>
        </w:trPr>
        <w:tc>
          <w:tcPr>
            <w:tcW w:w="3425" w:type="dxa"/>
            <w:shd w:val="clear" w:color="auto" w:fill="FFFFFF"/>
            <w:vAlign w:val="center"/>
          </w:tcPr>
          <w:p w14:paraId="7A350FAD" w14:textId="77777777" w:rsidR="00012357" w:rsidRPr="0019790A" w:rsidRDefault="00012357" w:rsidP="0019790A">
            <w:pPr>
              <w:rPr>
                <w:rFonts w:cs="Arial"/>
                <w:b/>
                <w:color w:val="000000"/>
                <w:szCs w:val="22"/>
              </w:rPr>
            </w:pPr>
            <w:r w:rsidRPr="0019790A">
              <w:rPr>
                <w:rFonts w:cs="Arial"/>
                <w:b/>
                <w:color w:val="000000"/>
                <w:szCs w:val="22"/>
              </w:rPr>
              <w:t xml:space="preserve">Період здійснення: </w:t>
            </w:r>
          </w:p>
        </w:tc>
        <w:tc>
          <w:tcPr>
            <w:tcW w:w="6794" w:type="dxa"/>
            <w:gridSpan w:val="6"/>
            <w:vAlign w:val="center"/>
          </w:tcPr>
          <w:p w14:paraId="60A7575B" w14:textId="77777777" w:rsidR="00012357" w:rsidRPr="0019790A" w:rsidRDefault="00012357" w:rsidP="0019790A">
            <w:pPr>
              <w:rPr>
                <w:rFonts w:cs="Arial"/>
                <w:color w:val="000000"/>
                <w:szCs w:val="22"/>
                <w:lang w:eastAsia="it-IT"/>
              </w:rPr>
            </w:pPr>
            <w:r w:rsidRPr="0019790A">
              <w:rPr>
                <w:rFonts w:cs="Arial"/>
                <w:b/>
                <w:color w:val="000000"/>
                <w:szCs w:val="22"/>
              </w:rPr>
              <w:t>2025 – 2028 роки:</w:t>
            </w:r>
          </w:p>
        </w:tc>
      </w:tr>
      <w:tr w:rsidR="00012357" w:rsidRPr="0019790A" w14:paraId="28D5B0FA" w14:textId="77777777" w:rsidTr="00D1052A">
        <w:trPr>
          <w:jc w:val="right"/>
        </w:trPr>
        <w:tc>
          <w:tcPr>
            <w:tcW w:w="3425" w:type="dxa"/>
            <w:vMerge w:val="restart"/>
            <w:shd w:val="clear" w:color="auto" w:fill="FFFFFF"/>
            <w:vAlign w:val="center"/>
          </w:tcPr>
          <w:p w14:paraId="3DF674A3" w14:textId="77777777" w:rsidR="00012357" w:rsidRPr="0019790A" w:rsidRDefault="00012357" w:rsidP="0019790A">
            <w:pPr>
              <w:rPr>
                <w:rFonts w:cs="Arial"/>
                <w:b/>
                <w:bCs/>
                <w:color w:val="000000"/>
                <w:szCs w:val="22"/>
              </w:rPr>
            </w:pPr>
            <w:r w:rsidRPr="0019790A">
              <w:rPr>
                <w:rFonts w:cs="Arial"/>
                <w:b/>
                <w:bCs/>
                <w:color w:val="000000"/>
                <w:szCs w:val="22"/>
              </w:rPr>
              <w:t>Орієнтовна вартість проєкту, тис. грн., в тому числі:</w:t>
            </w:r>
          </w:p>
        </w:tc>
        <w:tc>
          <w:tcPr>
            <w:tcW w:w="1254" w:type="dxa"/>
            <w:shd w:val="clear" w:color="auto" w:fill="E6E6E6"/>
            <w:vAlign w:val="center"/>
          </w:tcPr>
          <w:p w14:paraId="32E5563A" w14:textId="77777777" w:rsidR="00012357" w:rsidRPr="0019790A" w:rsidRDefault="00012357" w:rsidP="0019790A">
            <w:pPr>
              <w:jc w:val="center"/>
              <w:rPr>
                <w:rFonts w:cs="Arial"/>
                <w:b/>
                <w:color w:val="000000"/>
                <w:szCs w:val="22"/>
                <w:lang w:eastAsia="it-IT"/>
              </w:rPr>
            </w:pPr>
            <w:r w:rsidRPr="0019790A">
              <w:rPr>
                <w:rFonts w:cs="Arial"/>
                <w:b/>
                <w:color w:val="000000"/>
                <w:szCs w:val="22"/>
                <w:lang w:eastAsia="it-IT"/>
              </w:rPr>
              <w:t>2025</w:t>
            </w:r>
          </w:p>
        </w:tc>
        <w:tc>
          <w:tcPr>
            <w:tcW w:w="1275" w:type="dxa"/>
            <w:gridSpan w:val="2"/>
            <w:shd w:val="clear" w:color="auto" w:fill="E6E6E6"/>
            <w:vAlign w:val="center"/>
          </w:tcPr>
          <w:p w14:paraId="2329ADB6" w14:textId="77777777" w:rsidR="00012357" w:rsidRPr="0019790A" w:rsidRDefault="00012357" w:rsidP="0019790A">
            <w:pPr>
              <w:jc w:val="center"/>
              <w:rPr>
                <w:rFonts w:cs="Arial"/>
                <w:b/>
                <w:color w:val="000000"/>
                <w:szCs w:val="22"/>
                <w:lang w:eastAsia="it-IT"/>
              </w:rPr>
            </w:pPr>
            <w:r w:rsidRPr="0019790A">
              <w:rPr>
                <w:rFonts w:cs="Arial"/>
                <w:b/>
                <w:color w:val="000000"/>
                <w:szCs w:val="22"/>
                <w:lang w:eastAsia="it-IT"/>
              </w:rPr>
              <w:t>2026</w:t>
            </w:r>
          </w:p>
        </w:tc>
        <w:tc>
          <w:tcPr>
            <w:tcW w:w="1418" w:type="dxa"/>
            <w:tcBorders>
              <w:bottom w:val="single" w:sz="4" w:space="0" w:color="auto"/>
            </w:tcBorders>
            <w:shd w:val="clear" w:color="auto" w:fill="E6E6E6"/>
            <w:vAlign w:val="center"/>
          </w:tcPr>
          <w:p w14:paraId="10F9F344" w14:textId="77777777" w:rsidR="00012357" w:rsidRPr="0019790A" w:rsidRDefault="00012357" w:rsidP="0019790A">
            <w:pPr>
              <w:jc w:val="center"/>
              <w:rPr>
                <w:rFonts w:cs="Arial"/>
                <w:b/>
                <w:color w:val="000000"/>
                <w:szCs w:val="22"/>
                <w:lang w:eastAsia="it-IT"/>
              </w:rPr>
            </w:pPr>
            <w:r w:rsidRPr="0019790A">
              <w:rPr>
                <w:rFonts w:cs="Arial"/>
                <w:b/>
                <w:color w:val="000000"/>
                <w:szCs w:val="22"/>
                <w:lang w:eastAsia="it-IT"/>
              </w:rPr>
              <w:t>2027</w:t>
            </w:r>
          </w:p>
        </w:tc>
        <w:tc>
          <w:tcPr>
            <w:tcW w:w="1276" w:type="dxa"/>
            <w:shd w:val="clear" w:color="auto" w:fill="E6E6E6"/>
            <w:vAlign w:val="center"/>
          </w:tcPr>
          <w:p w14:paraId="5FF62A81" w14:textId="77777777" w:rsidR="00012357" w:rsidRPr="0019790A" w:rsidRDefault="00012357" w:rsidP="0019790A">
            <w:pPr>
              <w:jc w:val="center"/>
              <w:rPr>
                <w:rFonts w:cs="Arial"/>
                <w:b/>
                <w:color w:val="000000"/>
                <w:szCs w:val="22"/>
                <w:lang w:eastAsia="it-IT"/>
              </w:rPr>
            </w:pPr>
            <w:r w:rsidRPr="0019790A">
              <w:rPr>
                <w:rFonts w:cs="Arial"/>
                <w:b/>
                <w:color w:val="000000"/>
                <w:szCs w:val="22"/>
                <w:lang w:eastAsia="it-IT"/>
              </w:rPr>
              <w:t>2028</w:t>
            </w:r>
          </w:p>
        </w:tc>
        <w:tc>
          <w:tcPr>
            <w:tcW w:w="1571" w:type="dxa"/>
            <w:shd w:val="clear" w:color="auto" w:fill="E6E6E6"/>
            <w:vAlign w:val="center"/>
          </w:tcPr>
          <w:p w14:paraId="01C9768D" w14:textId="77777777" w:rsidR="00012357" w:rsidRPr="0019790A" w:rsidRDefault="00012357" w:rsidP="0019790A">
            <w:pPr>
              <w:jc w:val="center"/>
              <w:rPr>
                <w:rFonts w:cs="Arial"/>
                <w:b/>
                <w:color w:val="000000"/>
                <w:szCs w:val="22"/>
                <w:lang w:eastAsia="it-IT"/>
              </w:rPr>
            </w:pPr>
            <w:r w:rsidRPr="0019790A">
              <w:rPr>
                <w:rFonts w:cs="Arial"/>
                <w:b/>
                <w:color w:val="000000"/>
                <w:szCs w:val="22"/>
                <w:lang w:eastAsia="it-IT"/>
              </w:rPr>
              <w:t>РАЗОМ</w:t>
            </w:r>
          </w:p>
        </w:tc>
      </w:tr>
      <w:tr w:rsidR="00012357" w:rsidRPr="0019790A" w14:paraId="2C9D302D" w14:textId="77777777" w:rsidTr="00D1052A">
        <w:trPr>
          <w:jc w:val="right"/>
        </w:trPr>
        <w:tc>
          <w:tcPr>
            <w:tcW w:w="3425" w:type="dxa"/>
            <w:vMerge/>
            <w:shd w:val="clear" w:color="auto" w:fill="FFFFFF"/>
            <w:vAlign w:val="center"/>
          </w:tcPr>
          <w:p w14:paraId="28F331AE" w14:textId="77777777" w:rsidR="00012357" w:rsidRPr="0019790A" w:rsidRDefault="00012357" w:rsidP="0019790A">
            <w:pPr>
              <w:rPr>
                <w:rFonts w:cs="Arial"/>
                <w:b/>
                <w:bCs/>
                <w:color w:val="000000"/>
                <w:szCs w:val="22"/>
              </w:rPr>
            </w:pPr>
          </w:p>
        </w:tc>
        <w:tc>
          <w:tcPr>
            <w:tcW w:w="1254" w:type="dxa"/>
            <w:vAlign w:val="center"/>
          </w:tcPr>
          <w:p w14:paraId="14C595F0" w14:textId="77777777" w:rsidR="00012357" w:rsidRPr="0019790A" w:rsidRDefault="00012357" w:rsidP="0019790A">
            <w:pPr>
              <w:jc w:val="center"/>
              <w:rPr>
                <w:rFonts w:cs="Arial"/>
                <w:b/>
                <w:color w:val="000000"/>
                <w:szCs w:val="22"/>
                <w:lang w:eastAsia="it-IT"/>
              </w:rPr>
            </w:pPr>
            <w:r w:rsidRPr="0019790A">
              <w:rPr>
                <w:rFonts w:cs="Arial"/>
                <w:b/>
                <w:color w:val="000000"/>
                <w:szCs w:val="22"/>
                <w:lang w:eastAsia="it-IT"/>
              </w:rPr>
              <w:t>0,00</w:t>
            </w:r>
          </w:p>
        </w:tc>
        <w:tc>
          <w:tcPr>
            <w:tcW w:w="1275" w:type="dxa"/>
            <w:gridSpan w:val="2"/>
            <w:shd w:val="clear" w:color="auto" w:fill="FFFFFF"/>
            <w:vAlign w:val="center"/>
          </w:tcPr>
          <w:p w14:paraId="7B15D4BA" w14:textId="77777777" w:rsidR="00012357" w:rsidRPr="0019790A" w:rsidRDefault="00012357" w:rsidP="0019790A">
            <w:pPr>
              <w:jc w:val="center"/>
              <w:rPr>
                <w:rFonts w:cs="Arial"/>
                <w:b/>
                <w:color w:val="000000"/>
                <w:szCs w:val="22"/>
                <w:lang w:eastAsia="it-IT"/>
              </w:rPr>
            </w:pPr>
            <w:r w:rsidRPr="0019790A">
              <w:rPr>
                <w:rFonts w:cs="Arial"/>
                <w:b/>
                <w:color w:val="000000"/>
                <w:szCs w:val="22"/>
                <w:lang w:eastAsia="it-IT"/>
              </w:rPr>
              <w:t>60 000,00</w:t>
            </w:r>
          </w:p>
        </w:tc>
        <w:tc>
          <w:tcPr>
            <w:tcW w:w="1418" w:type="dxa"/>
            <w:shd w:val="clear" w:color="auto" w:fill="auto"/>
            <w:vAlign w:val="center"/>
          </w:tcPr>
          <w:p w14:paraId="0F8EDAC9" w14:textId="77777777" w:rsidR="00012357" w:rsidRPr="0019790A" w:rsidRDefault="00012357" w:rsidP="0019790A">
            <w:pPr>
              <w:jc w:val="center"/>
              <w:rPr>
                <w:rFonts w:cs="Arial"/>
                <w:b/>
                <w:color w:val="000000"/>
                <w:szCs w:val="22"/>
                <w:lang w:eastAsia="it-IT"/>
              </w:rPr>
            </w:pPr>
            <w:r w:rsidRPr="0019790A">
              <w:rPr>
                <w:rFonts w:cs="Arial"/>
                <w:b/>
                <w:color w:val="000000"/>
                <w:szCs w:val="22"/>
                <w:lang w:eastAsia="it-IT"/>
              </w:rPr>
              <w:t>60 000,00</w:t>
            </w:r>
          </w:p>
        </w:tc>
        <w:tc>
          <w:tcPr>
            <w:tcW w:w="1276" w:type="dxa"/>
            <w:shd w:val="clear" w:color="auto" w:fill="FFFFFF"/>
            <w:vAlign w:val="center"/>
          </w:tcPr>
          <w:p w14:paraId="766C0431" w14:textId="77777777" w:rsidR="00012357" w:rsidRPr="0019790A" w:rsidRDefault="00012357" w:rsidP="0019790A">
            <w:pPr>
              <w:jc w:val="center"/>
              <w:rPr>
                <w:rFonts w:cs="Arial"/>
                <w:b/>
                <w:color w:val="000000"/>
                <w:szCs w:val="22"/>
                <w:lang w:eastAsia="it-IT"/>
              </w:rPr>
            </w:pPr>
            <w:r w:rsidRPr="0019790A">
              <w:rPr>
                <w:rFonts w:cs="Arial"/>
                <w:b/>
                <w:color w:val="000000"/>
                <w:szCs w:val="22"/>
                <w:lang w:eastAsia="it-IT"/>
              </w:rPr>
              <w:t>60 000,00</w:t>
            </w:r>
          </w:p>
        </w:tc>
        <w:tc>
          <w:tcPr>
            <w:tcW w:w="1571" w:type="dxa"/>
            <w:shd w:val="clear" w:color="auto" w:fill="FFFFFF"/>
            <w:vAlign w:val="center"/>
          </w:tcPr>
          <w:p w14:paraId="28E9CE54" w14:textId="77777777" w:rsidR="00012357" w:rsidRPr="0019790A" w:rsidRDefault="00012357" w:rsidP="0019790A">
            <w:pPr>
              <w:jc w:val="center"/>
              <w:rPr>
                <w:rFonts w:cs="Arial"/>
                <w:b/>
                <w:bCs/>
                <w:color w:val="000000"/>
                <w:szCs w:val="22"/>
                <w:lang w:eastAsia="it-IT"/>
              </w:rPr>
            </w:pPr>
            <w:r w:rsidRPr="0019790A">
              <w:rPr>
                <w:rFonts w:cs="Arial"/>
                <w:b/>
                <w:bCs/>
                <w:szCs w:val="22"/>
              </w:rPr>
              <w:t>180 000,00</w:t>
            </w:r>
          </w:p>
        </w:tc>
      </w:tr>
      <w:tr w:rsidR="00012357" w:rsidRPr="0019790A" w14:paraId="04FAF75D" w14:textId="77777777" w:rsidTr="00D1052A">
        <w:trPr>
          <w:trHeight w:val="276"/>
          <w:jc w:val="right"/>
        </w:trPr>
        <w:tc>
          <w:tcPr>
            <w:tcW w:w="3425" w:type="dxa"/>
            <w:shd w:val="clear" w:color="auto" w:fill="FFFFFF"/>
            <w:vAlign w:val="center"/>
          </w:tcPr>
          <w:p w14:paraId="254E0903" w14:textId="77777777" w:rsidR="00012357" w:rsidRPr="0019790A" w:rsidRDefault="00012357" w:rsidP="0019790A">
            <w:pPr>
              <w:rPr>
                <w:rFonts w:cs="Arial"/>
                <w:b/>
                <w:bCs/>
                <w:color w:val="000000"/>
                <w:szCs w:val="22"/>
              </w:rPr>
            </w:pPr>
            <w:r w:rsidRPr="0019790A">
              <w:rPr>
                <w:rFonts w:cs="Arial"/>
                <w:b/>
                <w:bCs/>
                <w:color w:val="000000"/>
                <w:szCs w:val="22"/>
              </w:rPr>
              <w:t>по джерелах фінансування:</w:t>
            </w:r>
          </w:p>
        </w:tc>
        <w:tc>
          <w:tcPr>
            <w:tcW w:w="6794" w:type="dxa"/>
            <w:gridSpan w:val="6"/>
            <w:vAlign w:val="center"/>
          </w:tcPr>
          <w:p w14:paraId="3DBC89B0" w14:textId="77777777" w:rsidR="00012357" w:rsidRPr="0019790A" w:rsidRDefault="00012357" w:rsidP="0019790A">
            <w:pPr>
              <w:jc w:val="both"/>
              <w:rPr>
                <w:rFonts w:cs="Arial"/>
                <w:color w:val="000000"/>
                <w:szCs w:val="22"/>
                <w:lang w:eastAsia="it-IT"/>
              </w:rPr>
            </w:pPr>
          </w:p>
        </w:tc>
      </w:tr>
      <w:tr w:rsidR="00012357" w:rsidRPr="0019790A" w14:paraId="7296B46B" w14:textId="77777777" w:rsidTr="00D1052A">
        <w:trPr>
          <w:trHeight w:val="240"/>
          <w:jc w:val="right"/>
        </w:trPr>
        <w:tc>
          <w:tcPr>
            <w:tcW w:w="3425" w:type="dxa"/>
            <w:shd w:val="clear" w:color="auto" w:fill="FFFFFF"/>
            <w:vAlign w:val="center"/>
          </w:tcPr>
          <w:p w14:paraId="2AF056C5" w14:textId="77777777" w:rsidR="00012357" w:rsidRPr="0019790A" w:rsidRDefault="00012357" w:rsidP="0019790A">
            <w:pPr>
              <w:rPr>
                <w:rFonts w:cs="Arial"/>
                <w:b/>
                <w:bCs/>
                <w:color w:val="000000"/>
                <w:szCs w:val="22"/>
              </w:rPr>
            </w:pPr>
            <w:r w:rsidRPr="0019790A">
              <w:rPr>
                <w:rFonts w:cs="Arial"/>
                <w:color w:val="000000"/>
                <w:szCs w:val="22"/>
              </w:rPr>
              <w:t>- державний бюджет</w:t>
            </w:r>
          </w:p>
        </w:tc>
        <w:tc>
          <w:tcPr>
            <w:tcW w:w="1358" w:type="dxa"/>
            <w:gridSpan w:val="2"/>
            <w:vAlign w:val="center"/>
          </w:tcPr>
          <w:p w14:paraId="613D8EF1" w14:textId="77777777" w:rsidR="00012357" w:rsidRPr="0019790A" w:rsidRDefault="00012357" w:rsidP="0019790A">
            <w:pPr>
              <w:jc w:val="both"/>
              <w:rPr>
                <w:rFonts w:cs="Arial"/>
                <w:color w:val="000000"/>
                <w:szCs w:val="22"/>
                <w:lang w:eastAsia="it-IT"/>
              </w:rPr>
            </w:pPr>
          </w:p>
        </w:tc>
        <w:tc>
          <w:tcPr>
            <w:tcW w:w="1171" w:type="dxa"/>
            <w:vAlign w:val="center"/>
          </w:tcPr>
          <w:p w14:paraId="11A1A96B" w14:textId="77777777" w:rsidR="00012357" w:rsidRPr="0019790A" w:rsidRDefault="00012357" w:rsidP="0019790A">
            <w:pPr>
              <w:jc w:val="center"/>
              <w:rPr>
                <w:rFonts w:cs="Arial"/>
                <w:color w:val="000000"/>
                <w:szCs w:val="22"/>
                <w:lang w:eastAsia="it-IT"/>
              </w:rPr>
            </w:pPr>
            <w:r w:rsidRPr="0019790A">
              <w:rPr>
                <w:rFonts w:cs="Arial"/>
                <w:color w:val="000000"/>
                <w:szCs w:val="22"/>
                <w:lang w:eastAsia="it-IT"/>
              </w:rPr>
              <w:t>50000,00</w:t>
            </w:r>
          </w:p>
        </w:tc>
        <w:tc>
          <w:tcPr>
            <w:tcW w:w="1418" w:type="dxa"/>
            <w:vAlign w:val="center"/>
          </w:tcPr>
          <w:p w14:paraId="01ED16A3" w14:textId="77777777" w:rsidR="00012357" w:rsidRPr="0019790A" w:rsidRDefault="00012357" w:rsidP="0019790A">
            <w:pPr>
              <w:jc w:val="center"/>
              <w:rPr>
                <w:rFonts w:cs="Arial"/>
                <w:color w:val="000000"/>
                <w:szCs w:val="22"/>
                <w:lang w:eastAsia="it-IT"/>
              </w:rPr>
            </w:pPr>
            <w:r w:rsidRPr="0019790A">
              <w:rPr>
                <w:rFonts w:cs="Arial"/>
                <w:color w:val="000000"/>
                <w:szCs w:val="22"/>
                <w:lang w:eastAsia="it-IT"/>
              </w:rPr>
              <w:t>50000,00</w:t>
            </w:r>
          </w:p>
        </w:tc>
        <w:tc>
          <w:tcPr>
            <w:tcW w:w="1276" w:type="dxa"/>
            <w:vAlign w:val="center"/>
          </w:tcPr>
          <w:p w14:paraId="7F8A177E" w14:textId="77777777" w:rsidR="00012357" w:rsidRPr="0019790A" w:rsidRDefault="00012357" w:rsidP="0019790A">
            <w:pPr>
              <w:jc w:val="center"/>
              <w:rPr>
                <w:rFonts w:cs="Arial"/>
                <w:color w:val="000000"/>
                <w:szCs w:val="22"/>
                <w:lang w:eastAsia="it-IT"/>
              </w:rPr>
            </w:pPr>
            <w:r w:rsidRPr="0019790A">
              <w:rPr>
                <w:rFonts w:cs="Arial"/>
                <w:color w:val="000000"/>
                <w:szCs w:val="22"/>
                <w:lang w:eastAsia="it-IT"/>
              </w:rPr>
              <w:t>50000,00</w:t>
            </w:r>
          </w:p>
        </w:tc>
        <w:tc>
          <w:tcPr>
            <w:tcW w:w="1571" w:type="dxa"/>
            <w:vAlign w:val="center"/>
          </w:tcPr>
          <w:p w14:paraId="6FB44A63" w14:textId="77777777" w:rsidR="00012357" w:rsidRPr="0019790A" w:rsidRDefault="00012357" w:rsidP="0019790A">
            <w:pPr>
              <w:jc w:val="center"/>
              <w:rPr>
                <w:rFonts w:cs="Arial"/>
                <w:b/>
                <w:color w:val="000000"/>
                <w:szCs w:val="22"/>
                <w:lang w:eastAsia="it-IT"/>
              </w:rPr>
            </w:pPr>
            <w:r w:rsidRPr="0019790A">
              <w:rPr>
                <w:rFonts w:cs="Arial"/>
                <w:b/>
                <w:color w:val="000000"/>
                <w:szCs w:val="22"/>
                <w:lang w:eastAsia="it-IT"/>
              </w:rPr>
              <w:t>150000,00</w:t>
            </w:r>
          </w:p>
        </w:tc>
      </w:tr>
      <w:tr w:rsidR="00012357" w:rsidRPr="0019790A" w14:paraId="6BD30C10" w14:textId="77777777" w:rsidTr="00D1052A">
        <w:trPr>
          <w:trHeight w:val="254"/>
          <w:jc w:val="right"/>
        </w:trPr>
        <w:tc>
          <w:tcPr>
            <w:tcW w:w="3425" w:type="dxa"/>
            <w:shd w:val="clear" w:color="auto" w:fill="FFFFFF"/>
            <w:vAlign w:val="center"/>
          </w:tcPr>
          <w:p w14:paraId="1A9461D6" w14:textId="77777777" w:rsidR="00012357" w:rsidRPr="0019790A" w:rsidRDefault="00012357" w:rsidP="0019790A">
            <w:pPr>
              <w:rPr>
                <w:rFonts w:cs="Arial"/>
                <w:color w:val="000000"/>
                <w:szCs w:val="22"/>
              </w:rPr>
            </w:pPr>
            <w:r w:rsidRPr="0019790A">
              <w:rPr>
                <w:rFonts w:cs="Arial"/>
                <w:color w:val="000000"/>
                <w:szCs w:val="22"/>
              </w:rPr>
              <w:t>- обласний бюджет</w:t>
            </w:r>
          </w:p>
        </w:tc>
        <w:tc>
          <w:tcPr>
            <w:tcW w:w="6794" w:type="dxa"/>
            <w:gridSpan w:val="6"/>
            <w:vAlign w:val="center"/>
          </w:tcPr>
          <w:p w14:paraId="497A170C" w14:textId="77777777" w:rsidR="00012357" w:rsidRPr="0019790A" w:rsidRDefault="00012357" w:rsidP="0019790A">
            <w:pPr>
              <w:jc w:val="center"/>
              <w:rPr>
                <w:rFonts w:cs="Arial"/>
                <w:color w:val="000000"/>
                <w:szCs w:val="22"/>
                <w:lang w:eastAsia="it-IT"/>
              </w:rPr>
            </w:pPr>
          </w:p>
        </w:tc>
      </w:tr>
      <w:tr w:rsidR="00012357" w:rsidRPr="0019790A" w14:paraId="6065386B" w14:textId="77777777" w:rsidTr="00D1052A">
        <w:trPr>
          <w:trHeight w:val="275"/>
          <w:jc w:val="right"/>
        </w:trPr>
        <w:tc>
          <w:tcPr>
            <w:tcW w:w="3425" w:type="dxa"/>
            <w:shd w:val="clear" w:color="auto" w:fill="FFFFFF"/>
            <w:vAlign w:val="center"/>
          </w:tcPr>
          <w:p w14:paraId="1A82A073" w14:textId="77777777" w:rsidR="00012357" w:rsidRPr="0019790A" w:rsidRDefault="00012357" w:rsidP="0019790A">
            <w:pPr>
              <w:rPr>
                <w:rFonts w:cs="Arial"/>
                <w:color w:val="000000"/>
                <w:szCs w:val="22"/>
              </w:rPr>
            </w:pPr>
            <w:r w:rsidRPr="0019790A">
              <w:rPr>
                <w:rFonts w:cs="Arial"/>
                <w:color w:val="000000"/>
                <w:szCs w:val="22"/>
              </w:rPr>
              <w:t>- бюджет Жмеринської МТГ</w:t>
            </w:r>
          </w:p>
        </w:tc>
        <w:tc>
          <w:tcPr>
            <w:tcW w:w="1358" w:type="dxa"/>
            <w:gridSpan w:val="2"/>
            <w:vAlign w:val="center"/>
          </w:tcPr>
          <w:p w14:paraId="20521F24" w14:textId="77777777" w:rsidR="00012357" w:rsidRPr="0019790A" w:rsidRDefault="00012357" w:rsidP="0019790A">
            <w:pPr>
              <w:jc w:val="both"/>
              <w:rPr>
                <w:rFonts w:cs="Arial"/>
                <w:color w:val="000000"/>
                <w:szCs w:val="22"/>
                <w:lang w:eastAsia="it-IT"/>
              </w:rPr>
            </w:pPr>
          </w:p>
        </w:tc>
        <w:tc>
          <w:tcPr>
            <w:tcW w:w="1171" w:type="dxa"/>
            <w:vAlign w:val="center"/>
          </w:tcPr>
          <w:p w14:paraId="098166DF" w14:textId="77777777" w:rsidR="00012357" w:rsidRPr="0019790A" w:rsidRDefault="00012357" w:rsidP="0019790A">
            <w:pPr>
              <w:jc w:val="center"/>
              <w:rPr>
                <w:rFonts w:cs="Arial"/>
                <w:color w:val="000000"/>
                <w:szCs w:val="22"/>
                <w:lang w:eastAsia="it-IT"/>
              </w:rPr>
            </w:pPr>
            <w:r w:rsidRPr="0019790A">
              <w:rPr>
                <w:rFonts w:cs="Arial"/>
                <w:color w:val="000000"/>
                <w:szCs w:val="22"/>
                <w:lang w:eastAsia="it-IT"/>
              </w:rPr>
              <w:t>10000,00</w:t>
            </w:r>
          </w:p>
        </w:tc>
        <w:tc>
          <w:tcPr>
            <w:tcW w:w="1418" w:type="dxa"/>
            <w:vAlign w:val="center"/>
          </w:tcPr>
          <w:p w14:paraId="445434BB" w14:textId="77777777" w:rsidR="00012357" w:rsidRPr="0019790A" w:rsidRDefault="00012357" w:rsidP="0019790A">
            <w:pPr>
              <w:jc w:val="center"/>
              <w:rPr>
                <w:rFonts w:cs="Arial"/>
                <w:color w:val="000000"/>
                <w:szCs w:val="22"/>
                <w:lang w:eastAsia="it-IT"/>
              </w:rPr>
            </w:pPr>
            <w:r w:rsidRPr="0019790A">
              <w:rPr>
                <w:rFonts w:cs="Arial"/>
                <w:color w:val="000000"/>
                <w:szCs w:val="22"/>
                <w:lang w:eastAsia="it-IT"/>
              </w:rPr>
              <w:t>10000,00</w:t>
            </w:r>
          </w:p>
        </w:tc>
        <w:tc>
          <w:tcPr>
            <w:tcW w:w="1276" w:type="dxa"/>
            <w:vAlign w:val="center"/>
          </w:tcPr>
          <w:p w14:paraId="6D77BADB" w14:textId="77777777" w:rsidR="00012357" w:rsidRPr="0019790A" w:rsidRDefault="00012357" w:rsidP="0019790A">
            <w:pPr>
              <w:jc w:val="center"/>
              <w:rPr>
                <w:rFonts w:cs="Arial"/>
                <w:color w:val="000000"/>
                <w:szCs w:val="22"/>
                <w:lang w:eastAsia="it-IT"/>
              </w:rPr>
            </w:pPr>
            <w:r w:rsidRPr="0019790A">
              <w:rPr>
                <w:rFonts w:cs="Arial"/>
                <w:color w:val="000000"/>
                <w:szCs w:val="22"/>
                <w:lang w:eastAsia="it-IT"/>
              </w:rPr>
              <w:t>10000,00</w:t>
            </w:r>
          </w:p>
        </w:tc>
        <w:tc>
          <w:tcPr>
            <w:tcW w:w="1571" w:type="dxa"/>
            <w:vAlign w:val="center"/>
          </w:tcPr>
          <w:p w14:paraId="254843FE" w14:textId="77777777" w:rsidR="00012357" w:rsidRPr="0019790A" w:rsidRDefault="00012357" w:rsidP="0019790A">
            <w:pPr>
              <w:jc w:val="center"/>
              <w:rPr>
                <w:rFonts w:cs="Arial"/>
                <w:b/>
                <w:color w:val="000000"/>
                <w:szCs w:val="22"/>
                <w:lang w:eastAsia="it-IT"/>
              </w:rPr>
            </w:pPr>
            <w:r w:rsidRPr="0019790A">
              <w:rPr>
                <w:rFonts w:cs="Arial"/>
                <w:b/>
                <w:color w:val="000000"/>
                <w:szCs w:val="22"/>
                <w:lang w:eastAsia="it-IT"/>
              </w:rPr>
              <w:t>30000,00</w:t>
            </w:r>
          </w:p>
        </w:tc>
      </w:tr>
      <w:tr w:rsidR="00012357" w:rsidRPr="0019790A" w14:paraId="5B58D1A5" w14:textId="77777777" w:rsidTr="00D1052A">
        <w:trPr>
          <w:trHeight w:val="226"/>
          <w:jc w:val="right"/>
        </w:trPr>
        <w:tc>
          <w:tcPr>
            <w:tcW w:w="3425" w:type="dxa"/>
            <w:shd w:val="clear" w:color="auto" w:fill="FFFFFF"/>
            <w:vAlign w:val="center"/>
          </w:tcPr>
          <w:p w14:paraId="26325636" w14:textId="77777777" w:rsidR="00012357" w:rsidRPr="0019790A" w:rsidRDefault="00012357" w:rsidP="0019790A">
            <w:pPr>
              <w:rPr>
                <w:rFonts w:cs="Arial"/>
                <w:color w:val="000000"/>
                <w:szCs w:val="22"/>
              </w:rPr>
            </w:pPr>
            <w:r w:rsidRPr="0019790A">
              <w:rPr>
                <w:rFonts w:cs="Arial"/>
                <w:color w:val="000000"/>
                <w:szCs w:val="22"/>
              </w:rPr>
              <w:t>- інші джерела фінансування</w:t>
            </w:r>
          </w:p>
        </w:tc>
        <w:tc>
          <w:tcPr>
            <w:tcW w:w="6794" w:type="dxa"/>
            <w:gridSpan w:val="6"/>
            <w:vAlign w:val="center"/>
          </w:tcPr>
          <w:p w14:paraId="74221A53" w14:textId="77777777" w:rsidR="00012357" w:rsidRPr="0019790A" w:rsidRDefault="00012357" w:rsidP="0019790A">
            <w:pPr>
              <w:jc w:val="both"/>
              <w:rPr>
                <w:rFonts w:cs="Arial"/>
                <w:color w:val="000000"/>
                <w:szCs w:val="22"/>
                <w:lang w:eastAsia="it-IT"/>
              </w:rPr>
            </w:pPr>
          </w:p>
        </w:tc>
      </w:tr>
      <w:tr w:rsidR="00012357" w:rsidRPr="0019790A" w14:paraId="0547E250" w14:textId="77777777" w:rsidTr="00D1052A">
        <w:trPr>
          <w:jc w:val="right"/>
        </w:trPr>
        <w:tc>
          <w:tcPr>
            <w:tcW w:w="3425" w:type="dxa"/>
            <w:shd w:val="clear" w:color="auto" w:fill="FFFFFF"/>
            <w:vAlign w:val="center"/>
          </w:tcPr>
          <w:p w14:paraId="796F8B91" w14:textId="77777777" w:rsidR="00012357" w:rsidRPr="0019790A" w:rsidRDefault="00012357" w:rsidP="0019790A">
            <w:pPr>
              <w:rPr>
                <w:rFonts w:cs="Arial"/>
                <w:b/>
                <w:bCs/>
                <w:color w:val="000000"/>
                <w:szCs w:val="22"/>
              </w:rPr>
            </w:pPr>
            <w:r w:rsidRPr="0019790A">
              <w:rPr>
                <w:rFonts w:cs="Arial"/>
                <w:b/>
                <w:color w:val="000000"/>
                <w:szCs w:val="22"/>
              </w:rPr>
              <w:t>Відповідальний виконавець проєкту:</w:t>
            </w:r>
          </w:p>
        </w:tc>
        <w:tc>
          <w:tcPr>
            <w:tcW w:w="6794" w:type="dxa"/>
            <w:gridSpan w:val="6"/>
            <w:vAlign w:val="center"/>
          </w:tcPr>
          <w:p w14:paraId="474A37B4" w14:textId="77777777" w:rsidR="00012357" w:rsidRPr="0019790A" w:rsidRDefault="00012357" w:rsidP="0019790A">
            <w:pPr>
              <w:jc w:val="both"/>
              <w:rPr>
                <w:rFonts w:cs="Arial"/>
                <w:color w:val="000000"/>
                <w:szCs w:val="22"/>
                <w:lang w:eastAsia="it-IT"/>
              </w:rPr>
            </w:pPr>
            <w:r w:rsidRPr="0019790A">
              <w:rPr>
                <w:rFonts w:cs="Arial"/>
                <w:color w:val="000000"/>
                <w:szCs w:val="22"/>
                <w:lang w:eastAsia="it-IT"/>
              </w:rPr>
              <w:t>Управління ЖКГ Жмеринської міської ради, Управління освіти Жмеринської міської ради</w:t>
            </w:r>
          </w:p>
        </w:tc>
      </w:tr>
      <w:tr w:rsidR="00012357" w:rsidRPr="0019790A" w14:paraId="312EE0C2" w14:textId="77777777" w:rsidTr="00D1052A">
        <w:trPr>
          <w:jc w:val="right"/>
        </w:trPr>
        <w:tc>
          <w:tcPr>
            <w:tcW w:w="3425" w:type="dxa"/>
            <w:shd w:val="clear" w:color="auto" w:fill="FFFFFF"/>
            <w:vAlign w:val="center"/>
          </w:tcPr>
          <w:p w14:paraId="31C1DC73" w14:textId="77777777" w:rsidR="00012357" w:rsidRPr="0019790A" w:rsidRDefault="00012357" w:rsidP="0019790A">
            <w:pPr>
              <w:rPr>
                <w:rFonts w:cs="Arial"/>
                <w:b/>
                <w:bCs/>
                <w:color w:val="000000"/>
                <w:szCs w:val="22"/>
              </w:rPr>
            </w:pPr>
            <w:r w:rsidRPr="0019790A">
              <w:rPr>
                <w:rFonts w:cs="Arial"/>
                <w:b/>
                <w:bCs/>
                <w:color w:val="000000"/>
                <w:szCs w:val="22"/>
              </w:rPr>
              <w:t>Інше:</w:t>
            </w:r>
          </w:p>
        </w:tc>
        <w:tc>
          <w:tcPr>
            <w:tcW w:w="6794" w:type="dxa"/>
            <w:gridSpan w:val="6"/>
            <w:vAlign w:val="center"/>
          </w:tcPr>
          <w:p w14:paraId="7532E2E5" w14:textId="77777777" w:rsidR="00012357" w:rsidRPr="0019790A" w:rsidRDefault="00012357" w:rsidP="0019790A">
            <w:pPr>
              <w:rPr>
                <w:rFonts w:cs="Arial"/>
                <w:color w:val="000000"/>
                <w:szCs w:val="22"/>
                <w:lang w:eastAsia="it-IT"/>
              </w:rPr>
            </w:pPr>
          </w:p>
          <w:p w14:paraId="3C375118" w14:textId="77777777" w:rsidR="00012357" w:rsidRPr="0019790A" w:rsidRDefault="00012357" w:rsidP="0019790A">
            <w:pPr>
              <w:rPr>
                <w:rFonts w:cs="Arial"/>
                <w:color w:val="000000"/>
                <w:szCs w:val="22"/>
                <w:lang w:eastAsia="it-IT"/>
              </w:rPr>
            </w:pPr>
          </w:p>
        </w:tc>
      </w:tr>
    </w:tbl>
    <w:p w14:paraId="352B3459" w14:textId="77777777" w:rsidR="00B947B8" w:rsidRPr="0019790A" w:rsidRDefault="00B947B8" w:rsidP="0019790A">
      <w:pPr>
        <w:rPr>
          <w:rFonts w:cs="Arial"/>
          <w:i/>
          <w:szCs w:val="22"/>
        </w:rPr>
      </w:pPr>
    </w:p>
    <w:p w14:paraId="55840DBA" w14:textId="77777777" w:rsidR="00B947B8" w:rsidRPr="0019790A" w:rsidRDefault="00B947B8" w:rsidP="0019790A">
      <w:pPr>
        <w:jc w:val="center"/>
        <w:rPr>
          <w:rFonts w:cs="Arial"/>
          <w:b/>
          <w:szCs w:val="22"/>
        </w:rPr>
      </w:pPr>
      <w:r w:rsidRPr="0019790A">
        <w:rPr>
          <w:rFonts w:cs="Arial"/>
          <w:b/>
          <w:szCs w:val="22"/>
        </w:rPr>
        <w:t xml:space="preserve">Форма технічного завдання на проєкт місцевого розвитку </w:t>
      </w:r>
    </w:p>
    <w:p w14:paraId="460F78C7" w14:textId="77777777" w:rsidR="00B947B8" w:rsidRPr="0019790A" w:rsidRDefault="00B947B8" w:rsidP="0019790A">
      <w:pPr>
        <w:jc w:val="center"/>
        <w:rPr>
          <w:rFonts w:cs="Arial"/>
          <w:b/>
          <w:szCs w:val="22"/>
        </w:rPr>
      </w:pPr>
      <w:r w:rsidRPr="0019790A">
        <w:rPr>
          <w:rFonts w:cs="Arial"/>
          <w:b/>
          <w:szCs w:val="22"/>
        </w:rPr>
        <w:t>до Плану заходів з реалізації Стратегії</w:t>
      </w:r>
    </w:p>
    <w:p w14:paraId="5A994CD3" w14:textId="77777777" w:rsidR="00B947B8" w:rsidRPr="0019790A" w:rsidRDefault="00B947B8"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4"/>
        <w:gridCol w:w="1247"/>
        <w:gridCol w:w="6"/>
        <w:gridCol w:w="1274"/>
        <w:gridCol w:w="1417"/>
        <w:gridCol w:w="1275"/>
        <w:gridCol w:w="1576"/>
      </w:tblGrid>
      <w:tr w:rsidR="00B947B8" w:rsidRPr="0019790A" w14:paraId="170077CA" w14:textId="77777777" w:rsidTr="00D1052A">
        <w:trPr>
          <w:jc w:val="right"/>
        </w:trPr>
        <w:tc>
          <w:tcPr>
            <w:tcW w:w="3425" w:type="dxa"/>
            <w:vAlign w:val="center"/>
          </w:tcPr>
          <w:p w14:paraId="46250F06" w14:textId="77777777" w:rsidR="00B947B8" w:rsidRPr="0019790A" w:rsidRDefault="00B947B8" w:rsidP="0019790A">
            <w:pPr>
              <w:rPr>
                <w:rFonts w:cs="Arial"/>
                <w:b/>
                <w:bCs/>
                <w:szCs w:val="22"/>
              </w:rPr>
            </w:pPr>
            <w:r w:rsidRPr="0019790A">
              <w:rPr>
                <w:rFonts w:cs="Arial"/>
                <w:b/>
                <w:bCs/>
                <w:szCs w:val="22"/>
              </w:rPr>
              <w:t>Назва проєкту:</w:t>
            </w:r>
          </w:p>
        </w:tc>
        <w:tc>
          <w:tcPr>
            <w:tcW w:w="6794" w:type="dxa"/>
            <w:gridSpan w:val="6"/>
          </w:tcPr>
          <w:p w14:paraId="16BE20E4" w14:textId="77777777" w:rsidR="00B947B8" w:rsidRPr="0019790A" w:rsidRDefault="00B947B8" w:rsidP="008A040F">
            <w:pPr>
              <w:jc w:val="both"/>
              <w:rPr>
                <w:rFonts w:cs="Arial"/>
                <w:b/>
                <w:szCs w:val="22"/>
                <w:lang w:eastAsia="it-IT"/>
              </w:rPr>
            </w:pPr>
            <w:r w:rsidRPr="0019790A">
              <w:rPr>
                <w:rFonts w:cs="Arial"/>
                <w:b/>
                <w:szCs w:val="22"/>
                <w:lang w:eastAsia="it-IT"/>
              </w:rPr>
              <w:t>Подвір’я закладу освіти – безпечний та мотивуючий освітній простір</w:t>
            </w:r>
          </w:p>
        </w:tc>
      </w:tr>
      <w:tr w:rsidR="00B947B8" w:rsidRPr="0019790A" w14:paraId="1AA39D47" w14:textId="77777777" w:rsidTr="00D1052A">
        <w:trPr>
          <w:jc w:val="right"/>
        </w:trPr>
        <w:tc>
          <w:tcPr>
            <w:tcW w:w="3425" w:type="dxa"/>
          </w:tcPr>
          <w:p w14:paraId="08003343" w14:textId="77777777" w:rsidR="00B947B8" w:rsidRPr="0019790A" w:rsidRDefault="00B947B8"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0ABB51A2" w14:textId="77777777" w:rsidR="00B947B8" w:rsidRPr="0019790A" w:rsidRDefault="00B947B8"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6"/>
          </w:tcPr>
          <w:p w14:paraId="4F37617B" w14:textId="77777777" w:rsidR="00B947B8" w:rsidRPr="0019790A" w:rsidRDefault="00B947B8" w:rsidP="0019790A">
            <w:pPr>
              <w:rPr>
                <w:rFonts w:cs="Arial"/>
                <w:szCs w:val="22"/>
                <w:lang w:eastAsia="it-IT"/>
              </w:rPr>
            </w:pPr>
            <w:r w:rsidRPr="0019790A">
              <w:rPr>
                <w:rFonts w:cs="Arial"/>
                <w:szCs w:val="22"/>
                <w:lang w:eastAsia="it-IT"/>
              </w:rPr>
              <w:t>Комунальний заклад «Жмеринський ліцей №4»</w:t>
            </w:r>
          </w:p>
        </w:tc>
      </w:tr>
      <w:tr w:rsidR="00B947B8" w:rsidRPr="0019790A" w14:paraId="06A0D780" w14:textId="77777777" w:rsidTr="00D1052A">
        <w:trPr>
          <w:jc w:val="right"/>
        </w:trPr>
        <w:tc>
          <w:tcPr>
            <w:tcW w:w="3425" w:type="dxa"/>
          </w:tcPr>
          <w:p w14:paraId="11D56E5C" w14:textId="77777777" w:rsidR="00B947B8" w:rsidRPr="0019790A" w:rsidRDefault="00B947B8" w:rsidP="0019790A">
            <w:pPr>
              <w:rPr>
                <w:rFonts w:cs="Arial"/>
                <w:b/>
                <w:bCs/>
                <w:szCs w:val="22"/>
              </w:rPr>
            </w:pPr>
            <w:r w:rsidRPr="0019790A">
              <w:rPr>
                <w:rFonts w:cs="Arial"/>
                <w:szCs w:val="22"/>
                <w:lang w:eastAsia="it-IT"/>
              </w:rPr>
              <w:t>Прізвище Ім’я По-батькові:</w:t>
            </w:r>
          </w:p>
        </w:tc>
        <w:tc>
          <w:tcPr>
            <w:tcW w:w="6794" w:type="dxa"/>
            <w:gridSpan w:val="6"/>
          </w:tcPr>
          <w:p w14:paraId="43F7706D" w14:textId="77777777" w:rsidR="00B947B8" w:rsidRPr="0019790A" w:rsidRDefault="00B947B8" w:rsidP="0019790A">
            <w:pPr>
              <w:rPr>
                <w:rFonts w:cs="Arial"/>
                <w:szCs w:val="22"/>
                <w:lang w:eastAsia="it-IT"/>
              </w:rPr>
            </w:pPr>
            <w:r w:rsidRPr="0019790A">
              <w:rPr>
                <w:rFonts w:cs="Arial"/>
                <w:szCs w:val="22"/>
                <w:lang w:eastAsia="it-IT"/>
              </w:rPr>
              <w:t>Бігун Михайло Йосипович</w:t>
            </w:r>
          </w:p>
        </w:tc>
      </w:tr>
      <w:tr w:rsidR="00B947B8" w:rsidRPr="0019790A" w14:paraId="3197E34C" w14:textId="77777777" w:rsidTr="00D1052A">
        <w:trPr>
          <w:jc w:val="right"/>
        </w:trPr>
        <w:tc>
          <w:tcPr>
            <w:tcW w:w="3425" w:type="dxa"/>
          </w:tcPr>
          <w:p w14:paraId="6377EB11" w14:textId="77777777" w:rsidR="00B947B8" w:rsidRPr="0019790A" w:rsidRDefault="00B947B8" w:rsidP="0019790A">
            <w:pPr>
              <w:rPr>
                <w:rFonts w:cs="Arial"/>
                <w:b/>
                <w:bCs/>
                <w:szCs w:val="22"/>
              </w:rPr>
            </w:pPr>
            <w:r w:rsidRPr="0019790A">
              <w:rPr>
                <w:rFonts w:cs="Arial"/>
                <w:szCs w:val="22"/>
                <w:lang w:eastAsia="it-IT"/>
              </w:rPr>
              <w:t>Телефон (мобільний):</w:t>
            </w:r>
          </w:p>
        </w:tc>
        <w:tc>
          <w:tcPr>
            <w:tcW w:w="6794" w:type="dxa"/>
            <w:gridSpan w:val="6"/>
          </w:tcPr>
          <w:p w14:paraId="0A81D368" w14:textId="77777777" w:rsidR="00B947B8" w:rsidRPr="0019790A" w:rsidRDefault="00B947B8" w:rsidP="0019790A">
            <w:pPr>
              <w:rPr>
                <w:rFonts w:cs="Arial"/>
                <w:szCs w:val="22"/>
                <w:lang w:eastAsia="it-IT"/>
              </w:rPr>
            </w:pPr>
            <w:r w:rsidRPr="0019790A">
              <w:rPr>
                <w:rFonts w:cs="Arial"/>
                <w:szCs w:val="22"/>
                <w:lang w:eastAsia="it-IT"/>
              </w:rPr>
              <w:t>0673588145</w:t>
            </w:r>
          </w:p>
        </w:tc>
      </w:tr>
      <w:tr w:rsidR="00B947B8" w:rsidRPr="0019790A" w14:paraId="65AC49CF" w14:textId="77777777" w:rsidTr="00D1052A">
        <w:trPr>
          <w:jc w:val="right"/>
        </w:trPr>
        <w:tc>
          <w:tcPr>
            <w:tcW w:w="3425" w:type="dxa"/>
          </w:tcPr>
          <w:p w14:paraId="2AF79C06" w14:textId="77777777" w:rsidR="00B947B8" w:rsidRPr="0019790A" w:rsidRDefault="00B947B8" w:rsidP="0019790A">
            <w:pPr>
              <w:rPr>
                <w:rFonts w:cs="Arial"/>
                <w:b/>
                <w:bCs/>
                <w:szCs w:val="22"/>
              </w:rPr>
            </w:pPr>
            <w:r w:rsidRPr="0019790A">
              <w:rPr>
                <w:rFonts w:cs="Arial"/>
                <w:szCs w:val="22"/>
                <w:lang w:eastAsia="it-IT"/>
              </w:rPr>
              <w:t>Електронна адреса:</w:t>
            </w:r>
          </w:p>
        </w:tc>
        <w:tc>
          <w:tcPr>
            <w:tcW w:w="6794" w:type="dxa"/>
            <w:gridSpan w:val="6"/>
          </w:tcPr>
          <w:p w14:paraId="78295B9B" w14:textId="6812FBD7" w:rsidR="00B947B8" w:rsidRPr="0019790A" w:rsidRDefault="00D85FFD" w:rsidP="0019790A">
            <w:pPr>
              <w:rPr>
                <w:rFonts w:cs="Arial"/>
                <w:szCs w:val="22"/>
                <w:lang w:eastAsia="it-IT"/>
              </w:rPr>
            </w:pPr>
            <w:hyperlink r:id="rId103" w:history="1">
              <w:r w:rsidR="008A040F" w:rsidRPr="00BF0394">
                <w:rPr>
                  <w:rStyle w:val="af0"/>
                  <w:rFonts w:cs="Arial"/>
                  <w:noProof w:val="0"/>
                  <w:sz w:val="22"/>
                  <w:szCs w:val="22"/>
                  <w:lang w:eastAsia="it-IT"/>
                </w:rPr>
                <w:t>mihajlobigun@gmail.com</w:t>
              </w:r>
            </w:hyperlink>
            <w:r w:rsidR="008A040F">
              <w:rPr>
                <w:rFonts w:cs="Arial"/>
                <w:szCs w:val="22"/>
                <w:lang w:eastAsia="it-IT"/>
              </w:rPr>
              <w:t xml:space="preserve"> </w:t>
            </w:r>
          </w:p>
        </w:tc>
      </w:tr>
      <w:tr w:rsidR="00B947B8" w:rsidRPr="0019790A" w14:paraId="661EFA25" w14:textId="77777777" w:rsidTr="00D1052A">
        <w:trPr>
          <w:jc w:val="right"/>
        </w:trPr>
        <w:tc>
          <w:tcPr>
            <w:tcW w:w="3425" w:type="dxa"/>
            <w:vAlign w:val="center"/>
          </w:tcPr>
          <w:p w14:paraId="1D9877D2" w14:textId="77777777" w:rsidR="00B947B8" w:rsidRPr="0019790A" w:rsidRDefault="00B947B8" w:rsidP="0019790A">
            <w:pPr>
              <w:pStyle w:val="6"/>
              <w:spacing w:before="0" w:after="0"/>
              <w:rPr>
                <w:rFonts w:ascii="Arial" w:hAnsi="Arial" w:cs="Arial"/>
                <w:lang w:val="uk-UA"/>
              </w:rPr>
            </w:pPr>
            <w:r w:rsidRPr="0019790A">
              <w:rPr>
                <w:rFonts w:ascii="Arial" w:hAnsi="Arial" w:cs="Arial"/>
                <w:lang w:val="uk-UA"/>
              </w:rPr>
              <w:t>Номер і назва завдання з Стратегії</w:t>
            </w:r>
            <w:r w:rsidRPr="0019790A">
              <w:rPr>
                <w:rFonts w:ascii="Arial" w:hAnsi="Arial" w:cs="Arial"/>
                <w:lang w:val="uk-UA" w:eastAsia="it-IT"/>
              </w:rPr>
              <w:t xml:space="preserve"> </w:t>
            </w:r>
            <w:r w:rsidRPr="0019790A">
              <w:rPr>
                <w:rFonts w:ascii="Arial" w:hAnsi="Arial" w:cs="Arial"/>
                <w:lang w:val="uk-UA"/>
              </w:rPr>
              <w:t>розвитку Жмеринської міської територіальної громади,  якому відповідає проєкт:</w:t>
            </w:r>
          </w:p>
        </w:tc>
        <w:tc>
          <w:tcPr>
            <w:tcW w:w="6794" w:type="dxa"/>
            <w:gridSpan w:val="6"/>
          </w:tcPr>
          <w:p w14:paraId="7D398329" w14:textId="77777777" w:rsidR="00B947B8" w:rsidRPr="0019790A" w:rsidRDefault="00B947B8" w:rsidP="0019790A">
            <w:pPr>
              <w:pBdr>
                <w:left w:val="single" w:sz="18" w:space="4" w:color="auto"/>
              </w:pBdr>
              <w:jc w:val="both"/>
              <w:rPr>
                <w:rFonts w:cs="Arial"/>
                <w:bCs/>
                <w:szCs w:val="22"/>
                <w:lang w:eastAsia="it-IT"/>
              </w:rPr>
            </w:pPr>
            <w:r w:rsidRPr="0019790A">
              <w:rPr>
                <w:rFonts w:cs="Arial"/>
                <w:iCs/>
                <w:szCs w:val="22"/>
                <w:lang w:eastAsia="it-IT"/>
              </w:rPr>
              <w:t xml:space="preserve"> </w:t>
            </w:r>
            <w:r w:rsidRPr="0019790A">
              <w:rPr>
                <w:rFonts w:cs="Arial"/>
                <w:bCs/>
                <w:szCs w:val="22"/>
                <w:lang w:eastAsia="it-IT"/>
              </w:rPr>
              <w:t>С.1.1.2. Розвиток освітньої інфраструктури територіальної громади відповідно до вимог часу</w:t>
            </w:r>
          </w:p>
          <w:p w14:paraId="2269ADDD" w14:textId="77777777" w:rsidR="00B947B8" w:rsidRPr="0019790A" w:rsidRDefault="00B947B8" w:rsidP="0019790A">
            <w:pPr>
              <w:pBdr>
                <w:left w:val="single" w:sz="18" w:space="4" w:color="auto"/>
              </w:pBdr>
              <w:jc w:val="both"/>
              <w:rPr>
                <w:rFonts w:cs="Arial"/>
                <w:bCs/>
                <w:szCs w:val="22"/>
                <w:lang w:eastAsia="it-IT"/>
              </w:rPr>
            </w:pPr>
            <w:r w:rsidRPr="0019790A">
              <w:rPr>
                <w:rFonts w:cs="Arial"/>
                <w:bCs/>
                <w:szCs w:val="22"/>
                <w:lang w:eastAsia="it-IT"/>
              </w:rPr>
              <w:t>С1.2.4. Підвищення рівня санітарної безпеки закладів освіти</w:t>
            </w:r>
          </w:p>
          <w:p w14:paraId="4B3FB566" w14:textId="77777777" w:rsidR="00B947B8" w:rsidRPr="0019790A" w:rsidRDefault="00B947B8" w:rsidP="0019790A">
            <w:pPr>
              <w:pBdr>
                <w:left w:val="single" w:sz="18" w:space="4" w:color="auto"/>
              </w:pBdr>
              <w:rPr>
                <w:rFonts w:cs="Arial"/>
                <w:iCs/>
                <w:szCs w:val="22"/>
                <w:lang w:eastAsia="it-IT"/>
              </w:rPr>
            </w:pPr>
            <w:r w:rsidRPr="0019790A">
              <w:rPr>
                <w:rFonts w:cs="Arial"/>
                <w:bCs/>
                <w:szCs w:val="22"/>
                <w:lang w:eastAsia="it-IT"/>
              </w:rPr>
              <w:t>С.1.2.6. Удосконалення екологічної політики та підвищення рівня екологічної безпеки закладів освіти</w:t>
            </w:r>
            <w:r w:rsidRPr="0019790A">
              <w:rPr>
                <w:rFonts w:cs="Arial"/>
                <w:iCs/>
                <w:szCs w:val="22"/>
                <w:lang w:eastAsia="it-IT"/>
              </w:rPr>
              <w:t xml:space="preserve"> діяльності</w:t>
            </w:r>
          </w:p>
        </w:tc>
      </w:tr>
      <w:tr w:rsidR="00B947B8" w:rsidRPr="0019790A" w14:paraId="5C1AA34B" w14:textId="77777777" w:rsidTr="00D1052A">
        <w:trPr>
          <w:jc w:val="right"/>
        </w:trPr>
        <w:tc>
          <w:tcPr>
            <w:tcW w:w="3425" w:type="dxa"/>
            <w:vAlign w:val="center"/>
          </w:tcPr>
          <w:p w14:paraId="4D6F5374" w14:textId="77777777" w:rsidR="00B947B8" w:rsidRPr="0019790A" w:rsidRDefault="00B947B8" w:rsidP="0019790A">
            <w:pPr>
              <w:rPr>
                <w:rFonts w:cs="Arial"/>
                <w:b/>
                <w:bCs/>
                <w:szCs w:val="22"/>
              </w:rPr>
            </w:pPr>
            <w:r w:rsidRPr="0019790A">
              <w:rPr>
                <w:rFonts w:cs="Arial"/>
                <w:b/>
                <w:bCs/>
                <w:szCs w:val="22"/>
              </w:rPr>
              <w:t>Мета проєкту:</w:t>
            </w:r>
          </w:p>
        </w:tc>
        <w:tc>
          <w:tcPr>
            <w:tcW w:w="6794" w:type="dxa"/>
            <w:gridSpan w:val="6"/>
          </w:tcPr>
          <w:p w14:paraId="42E16634" w14:textId="77777777" w:rsidR="00B947B8" w:rsidRPr="0019790A" w:rsidRDefault="00B947B8" w:rsidP="0019790A">
            <w:pPr>
              <w:rPr>
                <w:rFonts w:cs="Arial"/>
                <w:szCs w:val="22"/>
                <w:lang w:eastAsia="it-IT"/>
              </w:rPr>
            </w:pPr>
            <w:r w:rsidRPr="0019790A">
              <w:rPr>
                <w:rFonts w:cs="Arial"/>
                <w:szCs w:val="22"/>
                <w:lang w:eastAsia="it-IT"/>
              </w:rPr>
              <w:t>Створення безпечного, комфортного, мотивуючого освітнього середовища</w:t>
            </w:r>
          </w:p>
        </w:tc>
      </w:tr>
      <w:tr w:rsidR="00B947B8" w:rsidRPr="0019790A" w14:paraId="7124E979" w14:textId="77777777" w:rsidTr="00D1052A">
        <w:trPr>
          <w:jc w:val="right"/>
        </w:trPr>
        <w:tc>
          <w:tcPr>
            <w:tcW w:w="3425" w:type="dxa"/>
            <w:vAlign w:val="center"/>
          </w:tcPr>
          <w:p w14:paraId="04F75C40" w14:textId="77777777" w:rsidR="00B947B8" w:rsidRPr="0019790A" w:rsidRDefault="00B947B8" w:rsidP="0019790A">
            <w:pPr>
              <w:rPr>
                <w:rFonts w:cs="Arial"/>
                <w:b/>
                <w:bCs/>
                <w:szCs w:val="22"/>
              </w:rPr>
            </w:pPr>
            <w:r w:rsidRPr="0019790A">
              <w:rPr>
                <w:rFonts w:cs="Arial"/>
                <w:b/>
                <w:bCs/>
                <w:szCs w:val="22"/>
              </w:rPr>
              <w:t>Цілі проєкту:</w:t>
            </w:r>
          </w:p>
        </w:tc>
        <w:tc>
          <w:tcPr>
            <w:tcW w:w="6794" w:type="dxa"/>
            <w:gridSpan w:val="6"/>
          </w:tcPr>
          <w:p w14:paraId="209ABB39" w14:textId="77777777" w:rsidR="00B947B8" w:rsidRPr="0019790A" w:rsidRDefault="00B947B8" w:rsidP="008A040F">
            <w:pPr>
              <w:pStyle w:val="af4"/>
              <w:widowControl w:val="0"/>
              <w:numPr>
                <w:ilvl w:val="0"/>
                <w:numId w:val="21"/>
              </w:numPr>
              <w:suppressAutoHyphens w:val="0"/>
              <w:autoSpaceDE w:val="0"/>
              <w:autoSpaceDN w:val="0"/>
              <w:spacing w:after="0" w:line="240" w:lineRule="auto"/>
              <w:ind w:left="0" w:firstLine="311"/>
              <w:contextualSpacing/>
              <w:rPr>
                <w:rFonts w:ascii="Arial" w:hAnsi="Arial" w:cs="Arial"/>
                <w:lang w:eastAsia="it-IT"/>
              </w:rPr>
            </w:pPr>
            <w:r w:rsidRPr="0019790A">
              <w:rPr>
                <w:rFonts w:ascii="Arial" w:hAnsi="Arial" w:cs="Arial"/>
                <w:lang w:eastAsia="it-IT"/>
              </w:rPr>
              <w:t>Облаштування подвір’я закладу освіти з дотриманням вимог безпеки життєдіяльності.</w:t>
            </w:r>
          </w:p>
          <w:p w14:paraId="6B0D477B" w14:textId="77777777" w:rsidR="00B947B8" w:rsidRPr="0019790A" w:rsidRDefault="00B947B8" w:rsidP="008A040F">
            <w:pPr>
              <w:pStyle w:val="af4"/>
              <w:widowControl w:val="0"/>
              <w:numPr>
                <w:ilvl w:val="0"/>
                <w:numId w:val="21"/>
              </w:numPr>
              <w:suppressAutoHyphens w:val="0"/>
              <w:autoSpaceDE w:val="0"/>
              <w:autoSpaceDN w:val="0"/>
              <w:spacing w:after="0" w:line="240" w:lineRule="auto"/>
              <w:ind w:left="0" w:firstLine="311"/>
              <w:contextualSpacing/>
              <w:rPr>
                <w:rFonts w:ascii="Arial" w:hAnsi="Arial" w:cs="Arial"/>
                <w:lang w:eastAsia="it-IT"/>
              </w:rPr>
            </w:pPr>
            <w:r w:rsidRPr="0019790A">
              <w:rPr>
                <w:rFonts w:ascii="Arial" w:hAnsi="Arial" w:cs="Arial"/>
                <w:lang w:eastAsia="it-IT"/>
              </w:rPr>
              <w:t>Створення умов для проведення заходів на подвір’ї закладу освіти, які охоплюватимуть значну кількість учасників.</w:t>
            </w:r>
          </w:p>
          <w:p w14:paraId="777C285A" w14:textId="77777777" w:rsidR="00B947B8" w:rsidRPr="0019790A" w:rsidRDefault="00B947B8" w:rsidP="008A040F">
            <w:pPr>
              <w:pStyle w:val="af4"/>
              <w:widowControl w:val="0"/>
              <w:numPr>
                <w:ilvl w:val="0"/>
                <w:numId w:val="21"/>
              </w:numPr>
              <w:suppressAutoHyphens w:val="0"/>
              <w:autoSpaceDE w:val="0"/>
              <w:autoSpaceDN w:val="0"/>
              <w:spacing w:after="0" w:line="240" w:lineRule="auto"/>
              <w:ind w:left="0" w:firstLine="311"/>
              <w:contextualSpacing/>
              <w:rPr>
                <w:rFonts w:ascii="Arial" w:hAnsi="Arial" w:cs="Arial"/>
                <w:lang w:eastAsia="it-IT"/>
              </w:rPr>
            </w:pPr>
            <w:r w:rsidRPr="0019790A">
              <w:rPr>
                <w:rFonts w:ascii="Arial" w:hAnsi="Arial" w:cs="Arial"/>
                <w:lang w:eastAsia="it-IT"/>
              </w:rPr>
              <w:t>Створення умов для активного проведення часу на перервах та поза уроками учнями закладу.</w:t>
            </w:r>
          </w:p>
        </w:tc>
      </w:tr>
      <w:tr w:rsidR="00B947B8" w:rsidRPr="0019790A" w14:paraId="007AA3A5" w14:textId="77777777" w:rsidTr="00D1052A">
        <w:trPr>
          <w:jc w:val="right"/>
        </w:trPr>
        <w:tc>
          <w:tcPr>
            <w:tcW w:w="3425" w:type="dxa"/>
            <w:vAlign w:val="center"/>
          </w:tcPr>
          <w:p w14:paraId="301DACA3" w14:textId="77777777" w:rsidR="00B947B8" w:rsidRPr="0019790A" w:rsidRDefault="00B947B8" w:rsidP="0019790A">
            <w:pPr>
              <w:adjustRightInd w:val="0"/>
              <w:rPr>
                <w:rFonts w:cs="Arial"/>
                <w:b/>
                <w:szCs w:val="22"/>
              </w:rPr>
            </w:pPr>
            <w:r w:rsidRPr="0019790A">
              <w:rPr>
                <w:rFonts w:cs="Arial"/>
                <w:b/>
                <w:szCs w:val="22"/>
              </w:rPr>
              <w:t>Територія, на яку проєкт матиме вплив:</w:t>
            </w:r>
          </w:p>
        </w:tc>
        <w:tc>
          <w:tcPr>
            <w:tcW w:w="6794" w:type="dxa"/>
            <w:gridSpan w:val="6"/>
          </w:tcPr>
          <w:p w14:paraId="7D74AF6B" w14:textId="77777777" w:rsidR="00B947B8" w:rsidRPr="0019790A" w:rsidRDefault="00B947B8" w:rsidP="0019790A">
            <w:pPr>
              <w:rPr>
                <w:rFonts w:cs="Arial"/>
                <w:szCs w:val="22"/>
                <w:lang w:eastAsia="it-IT"/>
              </w:rPr>
            </w:pPr>
            <w:r w:rsidRPr="0019790A">
              <w:rPr>
                <w:rFonts w:cs="Arial"/>
                <w:szCs w:val="22"/>
                <w:lang w:eastAsia="it-IT"/>
              </w:rPr>
              <w:t>Територія обслуговування  КЗ «Жмеринський ліцей №4»</w:t>
            </w:r>
          </w:p>
        </w:tc>
      </w:tr>
      <w:tr w:rsidR="00B947B8" w:rsidRPr="0019790A" w14:paraId="7745CFFD" w14:textId="77777777" w:rsidTr="00D1052A">
        <w:trPr>
          <w:jc w:val="right"/>
        </w:trPr>
        <w:tc>
          <w:tcPr>
            <w:tcW w:w="3425" w:type="dxa"/>
            <w:vAlign w:val="center"/>
          </w:tcPr>
          <w:p w14:paraId="7BE4A982" w14:textId="77777777" w:rsidR="00B947B8" w:rsidRPr="0019790A" w:rsidRDefault="00B947B8" w:rsidP="0019790A">
            <w:pPr>
              <w:adjustRightInd w:val="0"/>
              <w:rPr>
                <w:rFonts w:cs="Arial"/>
                <w:b/>
                <w:szCs w:val="22"/>
              </w:rPr>
            </w:pPr>
            <w:r w:rsidRPr="0019790A">
              <w:rPr>
                <w:rFonts w:cs="Arial"/>
                <w:b/>
                <w:szCs w:val="22"/>
              </w:rPr>
              <w:t>Цільові групи проєкту та кількість отримувачів вигоди</w:t>
            </w:r>
          </w:p>
        </w:tc>
        <w:tc>
          <w:tcPr>
            <w:tcW w:w="6794" w:type="dxa"/>
            <w:gridSpan w:val="6"/>
          </w:tcPr>
          <w:p w14:paraId="0E47E5C1" w14:textId="77777777" w:rsidR="00B947B8" w:rsidRPr="0019790A" w:rsidRDefault="00B947B8" w:rsidP="0019790A">
            <w:pPr>
              <w:rPr>
                <w:rFonts w:cs="Arial"/>
                <w:szCs w:val="22"/>
                <w:lang w:eastAsia="it-IT"/>
              </w:rPr>
            </w:pPr>
            <w:r w:rsidRPr="0019790A">
              <w:rPr>
                <w:rFonts w:cs="Arial"/>
                <w:szCs w:val="22"/>
                <w:lang w:eastAsia="it-IT"/>
              </w:rPr>
              <w:t>856 здобувачів освіти, 90 працівників закладу освіти, 1200 представників батьківської громади</w:t>
            </w:r>
          </w:p>
        </w:tc>
      </w:tr>
      <w:tr w:rsidR="00B947B8" w:rsidRPr="0019790A" w14:paraId="6F357DF3" w14:textId="77777777" w:rsidTr="00D1052A">
        <w:trPr>
          <w:jc w:val="right"/>
        </w:trPr>
        <w:tc>
          <w:tcPr>
            <w:tcW w:w="3425" w:type="dxa"/>
            <w:shd w:val="clear" w:color="auto" w:fill="FFFFFF"/>
            <w:vAlign w:val="center"/>
          </w:tcPr>
          <w:p w14:paraId="4C490390" w14:textId="77777777" w:rsidR="00B947B8" w:rsidRPr="0019790A" w:rsidRDefault="00B947B8" w:rsidP="0019790A">
            <w:pPr>
              <w:rPr>
                <w:rFonts w:cs="Arial"/>
                <w:b/>
                <w:bCs/>
                <w:szCs w:val="22"/>
              </w:rPr>
            </w:pPr>
            <w:r w:rsidRPr="0019790A">
              <w:rPr>
                <w:rFonts w:cs="Arial"/>
                <w:b/>
                <w:bCs/>
                <w:szCs w:val="22"/>
              </w:rPr>
              <w:t>Стислий опис проєкту:</w:t>
            </w:r>
          </w:p>
        </w:tc>
        <w:tc>
          <w:tcPr>
            <w:tcW w:w="6794" w:type="dxa"/>
            <w:gridSpan w:val="6"/>
          </w:tcPr>
          <w:p w14:paraId="281A7F75" w14:textId="77777777" w:rsidR="00B947B8" w:rsidRPr="0019790A" w:rsidRDefault="00B947B8" w:rsidP="0019790A">
            <w:pPr>
              <w:jc w:val="both"/>
              <w:rPr>
                <w:rFonts w:cs="Arial"/>
                <w:szCs w:val="22"/>
                <w:lang w:eastAsia="it-IT"/>
              </w:rPr>
            </w:pPr>
            <w:r w:rsidRPr="0019790A">
              <w:rPr>
                <w:rFonts w:cs="Arial"/>
                <w:szCs w:val="22"/>
                <w:lang w:eastAsia="it-IT"/>
              </w:rPr>
              <w:t xml:space="preserve">   Подвір’я закладу освіти можна вважати візитівкою закладу. Адже воно є місцем проведення уроків під відкритим небом, занять  фізичної культурою, позакласних та загальношкільних заходів та, врешті-решт, місцем для спілкування та відпочинку під час перерв.</w:t>
            </w:r>
          </w:p>
          <w:p w14:paraId="1B9884AC" w14:textId="77777777" w:rsidR="00B947B8" w:rsidRPr="0019790A" w:rsidRDefault="00B947B8" w:rsidP="0019790A">
            <w:pPr>
              <w:jc w:val="both"/>
              <w:rPr>
                <w:rFonts w:cs="Arial"/>
                <w:szCs w:val="22"/>
                <w:lang w:eastAsia="it-IT"/>
              </w:rPr>
            </w:pPr>
            <w:r w:rsidRPr="0019790A">
              <w:rPr>
                <w:rFonts w:cs="Arial"/>
                <w:szCs w:val="22"/>
                <w:lang w:eastAsia="it-IT"/>
              </w:rPr>
              <w:t xml:space="preserve">     На даний час стан покриття подвір’я закладу у незадовільному стані. Причин цього декілька: 1)оновлення покриття відбувалося щонайменше 34 роки тому назад; 2)необхідно було проводити копальні роботи в зв’язку з заміною труб, які протікали. Таким чином, зовнішній вигляд подвір’я є непривабливим, а також певною мірою небезпечним є покриття з точки зору безпеки життєдіяльності.</w:t>
            </w:r>
          </w:p>
          <w:p w14:paraId="452673CE" w14:textId="77777777" w:rsidR="00B947B8" w:rsidRPr="0019790A" w:rsidRDefault="00B947B8" w:rsidP="0019790A">
            <w:pPr>
              <w:jc w:val="both"/>
              <w:rPr>
                <w:rFonts w:cs="Arial"/>
                <w:szCs w:val="22"/>
                <w:lang w:eastAsia="it-IT"/>
              </w:rPr>
            </w:pPr>
            <w:r w:rsidRPr="0019790A">
              <w:rPr>
                <w:rFonts w:cs="Arial"/>
                <w:szCs w:val="22"/>
                <w:lang w:eastAsia="it-IT"/>
              </w:rPr>
              <w:t xml:space="preserve">     Реалізація даного проєкту дозволить привести у належний стан подвір’я закладу відповідно до правил безпеки, а також вимог до облаштування закладів освіти. Учасники освітнього процесу зможуть використовувати його для організації та проведення навчальних занять, культурно-масових заходів, спілкування та відпочинку під час перерв, а сам заклад освіти матиме естетичний вигляд.</w:t>
            </w:r>
          </w:p>
        </w:tc>
      </w:tr>
      <w:tr w:rsidR="00B947B8" w:rsidRPr="0019790A" w14:paraId="2BB9F429" w14:textId="77777777" w:rsidTr="00D1052A">
        <w:trPr>
          <w:jc w:val="right"/>
        </w:trPr>
        <w:tc>
          <w:tcPr>
            <w:tcW w:w="3425" w:type="dxa"/>
            <w:shd w:val="clear" w:color="auto" w:fill="FFFFFF"/>
            <w:vAlign w:val="center"/>
          </w:tcPr>
          <w:p w14:paraId="722DC47E" w14:textId="77777777" w:rsidR="00B947B8" w:rsidRPr="0019790A" w:rsidRDefault="00B947B8" w:rsidP="0019790A">
            <w:pPr>
              <w:rPr>
                <w:rFonts w:cs="Arial"/>
                <w:b/>
                <w:bCs/>
                <w:szCs w:val="22"/>
              </w:rPr>
            </w:pPr>
            <w:r w:rsidRPr="0019790A">
              <w:rPr>
                <w:rFonts w:cs="Arial"/>
                <w:b/>
                <w:bCs/>
                <w:szCs w:val="22"/>
              </w:rPr>
              <w:t>Основні заходи проєкту:</w:t>
            </w:r>
          </w:p>
        </w:tc>
        <w:tc>
          <w:tcPr>
            <w:tcW w:w="6794" w:type="dxa"/>
            <w:gridSpan w:val="6"/>
          </w:tcPr>
          <w:p w14:paraId="60D8014B" w14:textId="77777777" w:rsidR="00B947B8" w:rsidRPr="0019790A" w:rsidRDefault="00B947B8" w:rsidP="008A040F">
            <w:pPr>
              <w:pStyle w:val="af4"/>
              <w:widowControl w:val="0"/>
              <w:numPr>
                <w:ilvl w:val="0"/>
                <w:numId w:val="22"/>
              </w:numPr>
              <w:suppressAutoHyphens w:val="0"/>
              <w:autoSpaceDE w:val="0"/>
              <w:autoSpaceDN w:val="0"/>
              <w:spacing w:after="0" w:line="240" w:lineRule="auto"/>
              <w:ind w:left="39" w:firstLine="284"/>
              <w:contextualSpacing/>
              <w:jc w:val="both"/>
              <w:rPr>
                <w:rFonts w:ascii="Arial" w:hAnsi="Arial" w:cs="Arial"/>
                <w:lang w:eastAsia="it-IT"/>
              </w:rPr>
            </w:pPr>
            <w:r w:rsidRPr="0019790A">
              <w:rPr>
                <w:rFonts w:ascii="Arial" w:hAnsi="Arial" w:cs="Arial"/>
                <w:lang w:eastAsia="it-IT"/>
              </w:rPr>
              <w:t>Ремонт та/або заміна труб, що проходять під покриттям шкільного подвір’я.</w:t>
            </w:r>
          </w:p>
          <w:p w14:paraId="59B68D43" w14:textId="77777777" w:rsidR="00B947B8" w:rsidRPr="0019790A" w:rsidRDefault="00B947B8" w:rsidP="008A040F">
            <w:pPr>
              <w:pStyle w:val="af4"/>
              <w:widowControl w:val="0"/>
              <w:numPr>
                <w:ilvl w:val="0"/>
                <w:numId w:val="22"/>
              </w:numPr>
              <w:suppressAutoHyphens w:val="0"/>
              <w:autoSpaceDE w:val="0"/>
              <w:autoSpaceDN w:val="0"/>
              <w:spacing w:after="0" w:line="240" w:lineRule="auto"/>
              <w:ind w:left="39" w:firstLine="284"/>
              <w:contextualSpacing/>
              <w:jc w:val="both"/>
              <w:rPr>
                <w:rFonts w:ascii="Arial" w:hAnsi="Arial" w:cs="Arial"/>
                <w:lang w:eastAsia="it-IT"/>
              </w:rPr>
            </w:pPr>
            <w:r w:rsidRPr="0019790A">
              <w:rPr>
                <w:rFonts w:ascii="Arial" w:hAnsi="Arial" w:cs="Arial"/>
                <w:lang w:eastAsia="it-IT"/>
              </w:rPr>
              <w:t>Встановлення покриття на подвір’ї закладу освіти.</w:t>
            </w:r>
          </w:p>
          <w:p w14:paraId="4B561636" w14:textId="0FF0FF5F" w:rsidR="00B947B8" w:rsidRPr="0019790A" w:rsidRDefault="00B947B8" w:rsidP="008A040F">
            <w:pPr>
              <w:pStyle w:val="af4"/>
              <w:widowControl w:val="0"/>
              <w:numPr>
                <w:ilvl w:val="0"/>
                <w:numId w:val="22"/>
              </w:numPr>
              <w:suppressAutoHyphens w:val="0"/>
              <w:autoSpaceDE w:val="0"/>
              <w:autoSpaceDN w:val="0"/>
              <w:spacing w:after="0" w:line="240" w:lineRule="auto"/>
              <w:ind w:left="39" w:firstLine="284"/>
              <w:contextualSpacing/>
              <w:jc w:val="both"/>
              <w:rPr>
                <w:rFonts w:ascii="Arial" w:hAnsi="Arial" w:cs="Arial"/>
                <w:lang w:eastAsia="it-IT"/>
              </w:rPr>
            </w:pPr>
            <w:r w:rsidRPr="0019790A">
              <w:rPr>
                <w:rFonts w:ascii="Arial" w:hAnsi="Arial" w:cs="Arial"/>
                <w:lang w:eastAsia="it-IT"/>
              </w:rPr>
              <w:t>Облаштування спортивних майданчиків, зон для проведення уроків під відкритим небом</w:t>
            </w:r>
            <w:r w:rsidR="008A040F">
              <w:rPr>
                <w:rFonts w:ascii="Arial" w:hAnsi="Arial" w:cs="Arial"/>
                <w:lang w:eastAsia="it-IT"/>
              </w:rPr>
              <w:t xml:space="preserve"> </w:t>
            </w:r>
            <w:r w:rsidRPr="0019790A">
              <w:rPr>
                <w:rFonts w:ascii="Arial" w:hAnsi="Arial" w:cs="Arial"/>
                <w:lang w:eastAsia="it-IT"/>
              </w:rPr>
              <w:t>відпочинку під час перерв</w:t>
            </w:r>
          </w:p>
          <w:p w14:paraId="409EEB69" w14:textId="77777777" w:rsidR="00B947B8" w:rsidRPr="0019790A" w:rsidRDefault="00B947B8" w:rsidP="008A040F">
            <w:pPr>
              <w:pStyle w:val="af4"/>
              <w:widowControl w:val="0"/>
              <w:numPr>
                <w:ilvl w:val="0"/>
                <w:numId w:val="22"/>
              </w:numPr>
              <w:suppressAutoHyphens w:val="0"/>
              <w:autoSpaceDE w:val="0"/>
              <w:autoSpaceDN w:val="0"/>
              <w:spacing w:after="0" w:line="240" w:lineRule="auto"/>
              <w:ind w:left="39" w:firstLine="284"/>
              <w:contextualSpacing/>
              <w:rPr>
                <w:rFonts w:ascii="Arial" w:hAnsi="Arial" w:cs="Arial"/>
                <w:lang w:eastAsia="it-IT"/>
              </w:rPr>
            </w:pPr>
            <w:r w:rsidRPr="0019790A">
              <w:rPr>
                <w:rFonts w:ascii="Arial" w:hAnsi="Arial" w:cs="Arial"/>
                <w:lang w:eastAsia="it-IT"/>
              </w:rPr>
              <w:t>Озеленення та благоустрій території</w:t>
            </w:r>
          </w:p>
        </w:tc>
      </w:tr>
      <w:tr w:rsidR="00B947B8" w:rsidRPr="0019790A" w14:paraId="4356DD0C" w14:textId="77777777" w:rsidTr="00D1052A">
        <w:trPr>
          <w:jc w:val="right"/>
        </w:trPr>
        <w:tc>
          <w:tcPr>
            <w:tcW w:w="3425" w:type="dxa"/>
            <w:shd w:val="clear" w:color="auto" w:fill="FFFFFF"/>
            <w:vAlign w:val="center"/>
          </w:tcPr>
          <w:p w14:paraId="17D89AA5" w14:textId="77777777" w:rsidR="00B947B8" w:rsidRPr="0019790A" w:rsidRDefault="00B947B8" w:rsidP="0019790A">
            <w:pPr>
              <w:rPr>
                <w:rFonts w:cs="Arial"/>
                <w:b/>
                <w:bCs/>
                <w:szCs w:val="22"/>
              </w:rPr>
            </w:pPr>
            <w:r w:rsidRPr="0019790A">
              <w:rPr>
                <w:rFonts w:cs="Arial"/>
                <w:b/>
                <w:bCs/>
                <w:szCs w:val="22"/>
              </w:rPr>
              <w:t>Індикатори (показники) результативності:</w:t>
            </w:r>
          </w:p>
        </w:tc>
        <w:tc>
          <w:tcPr>
            <w:tcW w:w="6794" w:type="dxa"/>
            <w:gridSpan w:val="6"/>
          </w:tcPr>
          <w:p w14:paraId="6BB165EF" w14:textId="77777777" w:rsidR="00B947B8" w:rsidRPr="0019790A" w:rsidRDefault="00B947B8" w:rsidP="008A040F">
            <w:pPr>
              <w:pStyle w:val="af4"/>
              <w:widowControl w:val="0"/>
              <w:numPr>
                <w:ilvl w:val="0"/>
                <w:numId w:val="23"/>
              </w:numPr>
              <w:suppressAutoHyphens w:val="0"/>
              <w:autoSpaceDE w:val="0"/>
              <w:autoSpaceDN w:val="0"/>
              <w:spacing w:after="0" w:line="240" w:lineRule="auto"/>
              <w:ind w:left="39" w:firstLine="284"/>
              <w:contextualSpacing/>
              <w:jc w:val="both"/>
              <w:rPr>
                <w:rFonts w:ascii="Arial" w:hAnsi="Arial" w:cs="Arial"/>
                <w:lang w:eastAsia="it-IT"/>
              </w:rPr>
            </w:pPr>
            <w:r w:rsidRPr="0019790A">
              <w:rPr>
                <w:rFonts w:ascii="Arial" w:hAnsi="Arial" w:cs="Arial"/>
                <w:lang w:eastAsia="it-IT"/>
              </w:rPr>
              <w:t>Покриття подвір’я закладу освіти замінено та відповідає сучасним вимогам безпеки та розумного пристосування.</w:t>
            </w:r>
          </w:p>
          <w:p w14:paraId="0FA0724B" w14:textId="77777777" w:rsidR="00B947B8" w:rsidRPr="0019790A" w:rsidRDefault="00B947B8" w:rsidP="008A040F">
            <w:pPr>
              <w:pStyle w:val="af4"/>
              <w:widowControl w:val="0"/>
              <w:numPr>
                <w:ilvl w:val="0"/>
                <w:numId w:val="23"/>
              </w:numPr>
              <w:suppressAutoHyphens w:val="0"/>
              <w:autoSpaceDE w:val="0"/>
              <w:autoSpaceDN w:val="0"/>
              <w:spacing w:after="0" w:line="240" w:lineRule="auto"/>
              <w:ind w:left="39" w:firstLine="284"/>
              <w:contextualSpacing/>
              <w:jc w:val="both"/>
              <w:rPr>
                <w:rFonts w:ascii="Arial" w:hAnsi="Arial" w:cs="Arial"/>
                <w:lang w:eastAsia="it-IT"/>
              </w:rPr>
            </w:pPr>
            <w:r w:rsidRPr="0019790A">
              <w:rPr>
                <w:rFonts w:ascii="Arial" w:hAnsi="Arial" w:cs="Arial"/>
                <w:lang w:eastAsia="it-IT"/>
              </w:rPr>
              <w:t>На подвір’ї облаштовано зони для проведення навчальних занять, загальношкільних заходів</w:t>
            </w:r>
          </w:p>
          <w:p w14:paraId="194D7373" w14:textId="77777777" w:rsidR="00B947B8" w:rsidRPr="0019790A" w:rsidRDefault="00B947B8" w:rsidP="008A040F">
            <w:pPr>
              <w:pStyle w:val="af4"/>
              <w:widowControl w:val="0"/>
              <w:numPr>
                <w:ilvl w:val="0"/>
                <w:numId w:val="23"/>
              </w:numPr>
              <w:suppressAutoHyphens w:val="0"/>
              <w:autoSpaceDE w:val="0"/>
              <w:autoSpaceDN w:val="0"/>
              <w:spacing w:after="0" w:line="240" w:lineRule="auto"/>
              <w:ind w:left="39" w:firstLine="284"/>
              <w:contextualSpacing/>
              <w:jc w:val="both"/>
              <w:rPr>
                <w:rFonts w:ascii="Arial" w:hAnsi="Arial" w:cs="Arial"/>
                <w:lang w:eastAsia="it-IT"/>
              </w:rPr>
            </w:pPr>
            <w:r w:rsidRPr="0019790A">
              <w:rPr>
                <w:rFonts w:ascii="Arial" w:hAnsi="Arial" w:cs="Arial"/>
                <w:lang w:eastAsia="it-IT"/>
              </w:rPr>
              <w:t>Збільшення кількості учнів, які активно відпочивають на перервах на подвір’ї школи</w:t>
            </w:r>
          </w:p>
          <w:p w14:paraId="4B52D233" w14:textId="77777777" w:rsidR="00B947B8" w:rsidRPr="0019790A" w:rsidRDefault="00B947B8" w:rsidP="008A040F">
            <w:pPr>
              <w:pStyle w:val="af4"/>
              <w:widowControl w:val="0"/>
              <w:numPr>
                <w:ilvl w:val="0"/>
                <w:numId w:val="23"/>
              </w:numPr>
              <w:suppressAutoHyphens w:val="0"/>
              <w:autoSpaceDE w:val="0"/>
              <w:autoSpaceDN w:val="0"/>
              <w:spacing w:after="0" w:line="240" w:lineRule="auto"/>
              <w:ind w:left="39" w:firstLine="284"/>
              <w:contextualSpacing/>
              <w:jc w:val="both"/>
              <w:rPr>
                <w:rFonts w:ascii="Arial" w:hAnsi="Arial" w:cs="Arial"/>
                <w:lang w:eastAsia="it-IT"/>
              </w:rPr>
            </w:pPr>
            <w:r w:rsidRPr="0019790A">
              <w:rPr>
                <w:rFonts w:ascii="Arial" w:hAnsi="Arial" w:cs="Arial"/>
                <w:lang w:eastAsia="it-IT"/>
              </w:rPr>
              <w:t>Подвір’я школи використовується для проведення уроків фізичної культури (модулі «Петанк», «Фрізбі» тощо)</w:t>
            </w:r>
          </w:p>
        </w:tc>
      </w:tr>
      <w:tr w:rsidR="00B947B8" w:rsidRPr="0019790A" w14:paraId="0F290D7A" w14:textId="77777777" w:rsidTr="00D1052A">
        <w:trPr>
          <w:jc w:val="right"/>
        </w:trPr>
        <w:tc>
          <w:tcPr>
            <w:tcW w:w="3425" w:type="dxa"/>
            <w:shd w:val="clear" w:color="auto" w:fill="FFFFFF"/>
            <w:vAlign w:val="center"/>
          </w:tcPr>
          <w:p w14:paraId="766AEC20" w14:textId="77777777" w:rsidR="00B947B8" w:rsidRPr="0019790A" w:rsidRDefault="00B947B8" w:rsidP="0019790A">
            <w:pPr>
              <w:rPr>
                <w:rFonts w:cs="Arial"/>
                <w:b/>
                <w:szCs w:val="22"/>
              </w:rPr>
            </w:pPr>
            <w:r w:rsidRPr="0019790A">
              <w:rPr>
                <w:rFonts w:cs="Arial"/>
                <w:b/>
                <w:szCs w:val="22"/>
              </w:rPr>
              <w:t xml:space="preserve">Період здійснення: </w:t>
            </w:r>
          </w:p>
        </w:tc>
        <w:tc>
          <w:tcPr>
            <w:tcW w:w="6794" w:type="dxa"/>
            <w:gridSpan w:val="6"/>
            <w:vAlign w:val="center"/>
          </w:tcPr>
          <w:p w14:paraId="7EF16E7F" w14:textId="77777777" w:rsidR="00B947B8" w:rsidRPr="0019790A" w:rsidRDefault="00B947B8" w:rsidP="0019790A">
            <w:pPr>
              <w:rPr>
                <w:rFonts w:cs="Arial"/>
                <w:szCs w:val="22"/>
                <w:lang w:eastAsia="it-IT"/>
              </w:rPr>
            </w:pPr>
            <w:r w:rsidRPr="0019790A">
              <w:rPr>
                <w:rFonts w:cs="Arial"/>
                <w:b/>
                <w:szCs w:val="22"/>
              </w:rPr>
              <w:t>2025 – 2028 роки:</w:t>
            </w:r>
          </w:p>
        </w:tc>
      </w:tr>
      <w:tr w:rsidR="00B947B8" w:rsidRPr="0019790A" w14:paraId="1209665F" w14:textId="77777777" w:rsidTr="00D1052A">
        <w:trPr>
          <w:jc w:val="right"/>
        </w:trPr>
        <w:tc>
          <w:tcPr>
            <w:tcW w:w="3425" w:type="dxa"/>
            <w:vMerge w:val="restart"/>
            <w:shd w:val="clear" w:color="auto" w:fill="FFFFFF"/>
            <w:vAlign w:val="center"/>
          </w:tcPr>
          <w:p w14:paraId="34F6C73B" w14:textId="77777777" w:rsidR="00B947B8" w:rsidRPr="0019790A" w:rsidRDefault="00B947B8" w:rsidP="0019790A">
            <w:pPr>
              <w:rPr>
                <w:rFonts w:cs="Arial"/>
                <w:b/>
                <w:bCs/>
                <w:szCs w:val="22"/>
              </w:rPr>
            </w:pPr>
            <w:r w:rsidRPr="0019790A">
              <w:rPr>
                <w:rFonts w:cs="Arial"/>
                <w:b/>
                <w:bCs/>
                <w:szCs w:val="22"/>
              </w:rPr>
              <w:t>Орієнтовна вартість проєкту, тис. грн., в тому числі:</w:t>
            </w:r>
          </w:p>
        </w:tc>
        <w:tc>
          <w:tcPr>
            <w:tcW w:w="1254" w:type="dxa"/>
            <w:gridSpan w:val="2"/>
            <w:shd w:val="clear" w:color="auto" w:fill="E6E6E6"/>
            <w:vAlign w:val="center"/>
          </w:tcPr>
          <w:p w14:paraId="7A45E7F7" w14:textId="77777777" w:rsidR="00B947B8" w:rsidRPr="0019790A" w:rsidRDefault="00B947B8" w:rsidP="0019790A">
            <w:pPr>
              <w:jc w:val="center"/>
              <w:rPr>
                <w:rFonts w:cs="Arial"/>
                <w:b/>
                <w:szCs w:val="22"/>
                <w:lang w:eastAsia="it-IT"/>
              </w:rPr>
            </w:pPr>
            <w:r w:rsidRPr="0019790A">
              <w:rPr>
                <w:rFonts w:cs="Arial"/>
                <w:b/>
                <w:szCs w:val="22"/>
                <w:lang w:eastAsia="it-IT"/>
              </w:rPr>
              <w:t>2025</w:t>
            </w:r>
          </w:p>
        </w:tc>
        <w:tc>
          <w:tcPr>
            <w:tcW w:w="1275" w:type="dxa"/>
            <w:shd w:val="clear" w:color="auto" w:fill="E6E6E6"/>
            <w:vAlign w:val="center"/>
          </w:tcPr>
          <w:p w14:paraId="66E0DE26" w14:textId="77777777" w:rsidR="00B947B8" w:rsidRPr="0019790A" w:rsidRDefault="00B947B8" w:rsidP="0019790A">
            <w:pPr>
              <w:jc w:val="center"/>
              <w:rPr>
                <w:rFonts w:cs="Arial"/>
                <w:b/>
                <w:szCs w:val="22"/>
                <w:lang w:eastAsia="it-IT"/>
              </w:rPr>
            </w:pPr>
            <w:r w:rsidRPr="0019790A">
              <w:rPr>
                <w:rFonts w:cs="Arial"/>
                <w:b/>
                <w:szCs w:val="22"/>
                <w:lang w:eastAsia="it-IT"/>
              </w:rPr>
              <w:t>2026</w:t>
            </w:r>
          </w:p>
        </w:tc>
        <w:tc>
          <w:tcPr>
            <w:tcW w:w="1418" w:type="dxa"/>
            <w:tcBorders>
              <w:bottom w:val="single" w:sz="4" w:space="0" w:color="auto"/>
            </w:tcBorders>
            <w:shd w:val="clear" w:color="auto" w:fill="E6E6E6"/>
            <w:vAlign w:val="center"/>
          </w:tcPr>
          <w:p w14:paraId="5BB7358A" w14:textId="77777777" w:rsidR="00B947B8" w:rsidRPr="0019790A" w:rsidRDefault="00B947B8" w:rsidP="0019790A">
            <w:pPr>
              <w:jc w:val="center"/>
              <w:rPr>
                <w:rFonts w:cs="Arial"/>
                <w:b/>
                <w:szCs w:val="22"/>
                <w:lang w:eastAsia="it-IT"/>
              </w:rPr>
            </w:pPr>
            <w:r w:rsidRPr="0019790A">
              <w:rPr>
                <w:rFonts w:cs="Arial"/>
                <w:b/>
                <w:szCs w:val="22"/>
                <w:lang w:eastAsia="it-IT"/>
              </w:rPr>
              <w:t>2027</w:t>
            </w:r>
          </w:p>
        </w:tc>
        <w:tc>
          <w:tcPr>
            <w:tcW w:w="1276" w:type="dxa"/>
            <w:shd w:val="clear" w:color="auto" w:fill="E6E6E6"/>
            <w:vAlign w:val="center"/>
          </w:tcPr>
          <w:p w14:paraId="1E8DD1E4" w14:textId="77777777" w:rsidR="00B947B8" w:rsidRPr="0019790A" w:rsidRDefault="00B947B8" w:rsidP="0019790A">
            <w:pPr>
              <w:jc w:val="center"/>
              <w:rPr>
                <w:rFonts w:cs="Arial"/>
                <w:b/>
                <w:szCs w:val="22"/>
                <w:lang w:eastAsia="it-IT"/>
              </w:rPr>
            </w:pPr>
            <w:r w:rsidRPr="0019790A">
              <w:rPr>
                <w:rFonts w:cs="Arial"/>
                <w:b/>
                <w:szCs w:val="22"/>
                <w:lang w:eastAsia="it-IT"/>
              </w:rPr>
              <w:t>2028</w:t>
            </w:r>
          </w:p>
        </w:tc>
        <w:tc>
          <w:tcPr>
            <w:tcW w:w="1571" w:type="dxa"/>
            <w:shd w:val="clear" w:color="auto" w:fill="E6E6E6"/>
            <w:vAlign w:val="center"/>
          </w:tcPr>
          <w:p w14:paraId="41B9DABD" w14:textId="77777777" w:rsidR="00B947B8" w:rsidRPr="0019790A" w:rsidRDefault="00B947B8" w:rsidP="0019790A">
            <w:pPr>
              <w:jc w:val="center"/>
              <w:rPr>
                <w:rFonts w:cs="Arial"/>
                <w:b/>
                <w:szCs w:val="22"/>
                <w:lang w:eastAsia="it-IT"/>
              </w:rPr>
            </w:pPr>
            <w:r w:rsidRPr="0019790A">
              <w:rPr>
                <w:rFonts w:cs="Arial"/>
                <w:b/>
                <w:szCs w:val="22"/>
                <w:lang w:eastAsia="it-IT"/>
              </w:rPr>
              <w:t>РАЗОМ</w:t>
            </w:r>
          </w:p>
        </w:tc>
      </w:tr>
      <w:tr w:rsidR="00B947B8" w:rsidRPr="0019790A" w14:paraId="424C5AD5" w14:textId="77777777" w:rsidTr="00D1052A">
        <w:trPr>
          <w:jc w:val="right"/>
        </w:trPr>
        <w:tc>
          <w:tcPr>
            <w:tcW w:w="3425" w:type="dxa"/>
            <w:vMerge/>
            <w:shd w:val="clear" w:color="auto" w:fill="FFFFFF"/>
            <w:vAlign w:val="center"/>
          </w:tcPr>
          <w:p w14:paraId="0DA8F899" w14:textId="77777777" w:rsidR="00B947B8" w:rsidRPr="0019790A" w:rsidRDefault="00B947B8" w:rsidP="0019790A">
            <w:pPr>
              <w:rPr>
                <w:rFonts w:cs="Arial"/>
                <w:b/>
                <w:bCs/>
                <w:szCs w:val="22"/>
              </w:rPr>
            </w:pPr>
          </w:p>
        </w:tc>
        <w:tc>
          <w:tcPr>
            <w:tcW w:w="1254" w:type="dxa"/>
            <w:gridSpan w:val="2"/>
            <w:vAlign w:val="center"/>
          </w:tcPr>
          <w:p w14:paraId="2655ADE5" w14:textId="77777777" w:rsidR="00B947B8" w:rsidRPr="008A040F" w:rsidRDefault="00B947B8" w:rsidP="0019790A">
            <w:pPr>
              <w:jc w:val="center"/>
              <w:rPr>
                <w:rFonts w:cs="Arial"/>
                <w:szCs w:val="22"/>
                <w:lang w:eastAsia="it-IT"/>
              </w:rPr>
            </w:pPr>
            <w:r w:rsidRPr="008A040F">
              <w:rPr>
                <w:rFonts w:cs="Arial"/>
                <w:szCs w:val="22"/>
                <w:lang w:eastAsia="it-IT"/>
              </w:rPr>
              <w:t>100,00</w:t>
            </w:r>
          </w:p>
        </w:tc>
        <w:tc>
          <w:tcPr>
            <w:tcW w:w="1275" w:type="dxa"/>
            <w:shd w:val="clear" w:color="auto" w:fill="FFFFFF"/>
            <w:vAlign w:val="center"/>
          </w:tcPr>
          <w:p w14:paraId="3FFCF964" w14:textId="77777777" w:rsidR="00B947B8" w:rsidRPr="008A040F" w:rsidRDefault="00B947B8" w:rsidP="0019790A">
            <w:pPr>
              <w:jc w:val="center"/>
              <w:rPr>
                <w:rFonts w:cs="Arial"/>
                <w:szCs w:val="22"/>
                <w:lang w:eastAsia="it-IT"/>
              </w:rPr>
            </w:pPr>
            <w:r w:rsidRPr="008A040F">
              <w:rPr>
                <w:rFonts w:cs="Arial"/>
                <w:szCs w:val="22"/>
                <w:lang w:eastAsia="it-IT"/>
              </w:rPr>
              <w:t>2 000,00</w:t>
            </w:r>
          </w:p>
        </w:tc>
        <w:tc>
          <w:tcPr>
            <w:tcW w:w="1418" w:type="dxa"/>
            <w:shd w:val="clear" w:color="auto" w:fill="auto"/>
            <w:vAlign w:val="center"/>
          </w:tcPr>
          <w:p w14:paraId="66F84AF1" w14:textId="77777777" w:rsidR="00B947B8" w:rsidRPr="008A040F" w:rsidRDefault="00B947B8" w:rsidP="0019790A">
            <w:pPr>
              <w:jc w:val="center"/>
              <w:rPr>
                <w:rFonts w:cs="Arial"/>
                <w:szCs w:val="22"/>
                <w:lang w:eastAsia="it-IT"/>
              </w:rPr>
            </w:pPr>
            <w:r w:rsidRPr="008A040F">
              <w:rPr>
                <w:rFonts w:cs="Arial"/>
                <w:szCs w:val="22"/>
                <w:lang w:eastAsia="it-IT"/>
              </w:rPr>
              <w:t>2 000,00</w:t>
            </w:r>
          </w:p>
        </w:tc>
        <w:tc>
          <w:tcPr>
            <w:tcW w:w="1276" w:type="dxa"/>
            <w:shd w:val="clear" w:color="auto" w:fill="FFFFFF"/>
            <w:vAlign w:val="center"/>
          </w:tcPr>
          <w:p w14:paraId="5E5FE2AE" w14:textId="77777777" w:rsidR="00B947B8" w:rsidRPr="008A040F" w:rsidRDefault="00B947B8" w:rsidP="0019790A">
            <w:pPr>
              <w:jc w:val="center"/>
              <w:rPr>
                <w:rFonts w:cs="Arial"/>
                <w:szCs w:val="22"/>
                <w:lang w:eastAsia="it-IT"/>
              </w:rPr>
            </w:pPr>
            <w:r w:rsidRPr="008A040F">
              <w:rPr>
                <w:rFonts w:cs="Arial"/>
                <w:szCs w:val="22"/>
                <w:lang w:eastAsia="it-IT"/>
              </w:rPr>
              <w:t>2 000,00</w:t>
            </w:r>
          </w:p>
        </w:tc>
        <w:tc>
          <w:tcPr>
            <w:tcW w:w="1571" w:type="dxa"/>
            <w:shd w:val="clear" w:color="auto" w:fill="FFFFFF"/>
            <w:vAlign w:val="center"/>
          </w:tcPr>
          <w:p w14:paraId="1F8812F7" w14:textId="77777777" w:rsidR="00B947B8" w:rsidRPr="008A040F" w:rsidRDefault="00B947B8" w:rsidP="0019790A">
            <w:pPr>
              <w:jc w:val="center"/>
              <w:rPr>
                <w:rFonts w:cs="Arial"/>
                <w:b/>
                <w:szCs w:val="22"/>
                <w:lang w:eastAsia="it-IT"/>
              </w:rPr>
            </w:pPr>
            <w:r w:rsidRPr="008A040F">
              <w:rPr>
                <w:rFonts w:cs="Arial"/>
                <w:b/>
                <w:szCs w:val="22"/>
                <w:lang w:eastAsia="it-IT"/>
              </w:rPr>
              <w:t>6 100,00</w:t>
            </w:r>
          </w:p>
        </w:tc>
      </w:tr>
      <w:tr w:rsidR="00B947B8" w:rsidRPr="0019790A" w14:paraId="573E0EFB" w14:textId="77777777" w:rsidTr="00D1052A">
        <w:trPr>
          <w:trHeight w:val="276"/>
          <w:jc w:val="right"/>
        </w:trPr>
        <w:tc>
          <w:tcPr>
            <w:tcW w:w="3425" w:type="dxa"/>
            <w:shd w:val="clear" w:color="auto" w:fill="FFFFFF"/>
            <w:vAlign w:val="center"/>
          </w:tcPr>
          <w:p w14:paraId="064573B3" w14:textId="77777777" w:rsidR="00B947B8" w:rsidRPr="0019790A" w:rsidRDefault="00B947B8" w:rsidP="0019790A">
            <w:pPr>
              <w:rPr>
                <w:rFonts w:cs="Arial"/>
                <w:b/>
                <w:bCs/>
                <w:szCs w:val="22"/>
              </w:rPr>
            </w:pPr>
            <w:r w:rsidRPr="0019790A">
              <w:rPr>
                <w:rFonts w:cs="Arial"/>
                <w:b/>
                <w:bCs/>
                <w:szCs w:val="22"/>
              </w:rPr>
              <w:t>по джерелах фінансування:</w:t>
            </w:r>
          </w:p>
        </w:tc>
        <w:tc>
          <w:tcPr>
            <w:tcW w:w="6794" w:type="dxa"/>
            <w:gridSpan w:val="6"/>
            <w:vAlign w:val="center"/>
          </w:tcPr>
          <w:p w14:paraId="31745718" w14:textId="77777777" w:rsidR="00B947B8" w:rsidRPr="008A040F" w:rsidRDefault="00B947B8" w:rsidP="0019790A">
            <w:pPr>
              <w:jc w:val="both"/>
              <w:rPr>
                <w:rFonts w:cs="Arial"/>
                <w:szCs w:val="22"/>
                <w:lang w:eastAsia="it-IT"/>
              </w:rPr>
            </w:pPr>
          </w:p>
        </w:tc>
      </w:tr>
      <w:tr w:rsidR="00B947B8" w:rsidRPr="0019790A" w14:paraId="24822B40" w14:textId="77777777" w:rsidTr="00D1052A">
        <w:trPr>
          <w:trHeight w:val="240"/>
          <w:jc w:val="right"/>
        </w:trPr>
        <w:tc>
          <w:tcPr>
            <w:tcW w:w="3425" w:type="dxa"/>
            <w:shd w:val="clear" w:color="auto" w:fill="FFFFFF"/>
            <w:vAlign w:val="center"/>
          </w:tcPr>
          <w:p w14:paraId="02D1962B" w14:textId="77777777" w:rsidR="00B947B8" w:rsidRPr="0019790A" w:rsidRDefault="00B947B8" w:rsidP="0019790A">
            <w:pPr>
              <w:rPr>
                <w:rFonts w:cs="Arial"/>
                <w:b/>
                <w:bCs/>
                <w:szCs w:val="22"/>
              </w:rPr>
            </w:pPr>
            <w:r w:rsidRPr="0019790A">
              <w:rPr>
                <w:rFonts w:cs="Arial"/>
                <w:szCs w:val="22"/>
              </w:rPr>
              <w:t>- державний бюджет</w:t>
            </w:r>
          </w:p>
        </w:tc>
        <w:tc>
          <w:tcPr>
            <w:tcW w:w="6794" w:type="dxa"/>
            <w:gridSpan w:val="6"/>
            <w:vAlign w:val="center"/>
          </w:tcPr>
          <w:p w14:paraId="3D7AA113" w14:textId="77777777" w:rsidR="00B947B8" w:rsidRPr="008A040F" w:rsidRDefault="00B947B8" w:rsidP="0019790A">
            <w:pPr>
              <w:jc w:val="both"/>
              <w:rPr>
                <w:rFonts w:cs="Arial"/>
                <w:szCs w:val="22"/>
                <w:lang w:eastAsia="it-IT"/>
              </w:rPr>
            </w:pPr>
          </w:p>
        </w:tc>
      </w:tr>
      <w:tr w:rsidR="00B947B8" w:rsidRPr="0019790A" w14:paraId="7C2CCA93" w14:textId="77777777" w:rsidTr="00D1052A">
        <w:trPr>
          <w:trHeight w:val="254"/>
          <w:jc w:val="right"/>
        </w:trPr>
        <w:tc>
          <w:tcPr>
            <w:tcW w:w="3425" w:type="dxa"/>
            <w:shd w:val="clear" w:color="auto" w:fill="FFFFFF"/>
            <w:vAlign w:val="center"/>
          </w:tcPr>
          <w:p w14:paraId="30C1FC76" w14:textId="77777777" w:rsidR="00B947B8" w:rsidRPr="0019790A" w:rsidRDefault="00B947B8" w:rsidP="0019790A">
            <w:pPr>
              <w:rPr>
                <w:rFonts w:cs="Arial"/>
                <w:szCs w:val="22"/>
              </w:rPr>
            </w:pPr>
            <w:r w:rsidRPr="0019790A">
              <w:rPr>
                <w:rFonts w:cs="Arial"/>
                <w:szCs w:val="22"/>
              </w:rPr>
              <w:t>- обласний бюджет</w:t>
            </w:r>
          </w:p>
        </w:tc>
        <w:tc>
          <w:tcPr>
            <w:tcW w:w="6794" w:type="dxa"/>
            <w:gridSpan w:val="6"/>
            <w:vAlign w:val="center"/>
          </w:tcPr>
          <w:p w14:paraId="1CFEF5EA" w14:textId="77777777" w:rsidR="00B947B8" w:rsidRPr="008A040F" w:rsidRDefault="00B947B8" w:rsidP="0019790A">
            <w:pPr>
              <w:jc w:val="both"/>
              <w:rPr>
                <w:rFonts w:cs="Arial"/>
                <w:szCs w:val="22"/>
                <w:lang w:eastAsia="it-IT"/>
              </w:rPr>
            </w:pPr>
          </w:p>
        </w:tc>
      </w:tr>
      <w:tr w:rsidR="00B947B8" w:rsidRPr="0019790A" w14:paraId="7C1CB990" w14:textId="77777777" w:rsidTr="008A040F">
        <w:trPr>
          <w:trHeight w:val="275"/>
          <w:jc w:val="right"/>
        </w:trPr>
        <w:tc>
          <w:tcPr>
            <w:tcW w:w="3425" w:type="dxa"/>
            <w:shd w:val="clear" w:color="auto" w:fill="FFFFFF"/>
            <w:vAlign w:val="center"/>
          </w:tcPr>
          <w:p w14:paraId="5D646EEC" w14:textId="77777777" w:rsidR="00B947B8" w:rsidRPr="0019790A" w:rsidRDefault="00B947B8" w:rsidP="0019790A">
            <w:pPr>
              <w:rPr>
                <w:rFonts w:cs="Arial"/>
                <w:szCs w:val="22"/>
              </w:rPr>
            </w:pPr>
            <w:r w:rsidRPr="0019790A">
              <w:rPr>
                <w:rFonts w:cs="Arial"/>
                <w:szCs w:val="22"/>
              </w:rPr>
              <w:t>- бюджет Жмеринської МТГ</w:t>
            </w:r>
          </w:p>
        </w:tc>
        <w:tc>
          <w:tcPr>
            <w:tcW w:w="1248" w:type="dxa"/>
            <w:vAlign w:val="center"/>
          </w:tcPr>
          <w:p w14:paraId="710047F2" w14:textId="77777777" w:rsidR="00B947B8" w:rsidRPr="008A040F" w:rsidRDefault="00B947B8" w:rsidP="0019790A">
            <w:pPr>
              <w:jc w:val="center"/>
              <w:rPr>
                <w:rFonts w:cs="Arial"/>
                <w:szCs w:val="22"/>
                <w:lang w:eastAsia="it-IT"/>
              </w:rPr>
            </w:pPr>
            <w:r w:rsidRPr="008A040F">
              <w:rPr>
                <w:rFonts w:cs="Arial"/>
                <w:szCs w:val="22"/>
                <w:lang w:eastAsia="it-IT"/>
              </w:rPr>
              <w:t>100,00</w:t>
            </w:r>
          </w:p>
        </w:tc>
        <w:tc>
          <w:tcPr>
            <w:tcW w:w="1276" w:type="dxa"/>
            <w:gridSpan w:val="2"/>
            <w:vAlign w:val="center"/>
          </w:tcPr>
          <w:p w14:paraId="32D5048D" w14:textId="77777777" w:rsidR="00B947B8" w:rsidRPr="008A040F" w:rsidRDefault="00B947B8" w:rsidP="0019790A">
            <w:pPr>
              <w:jc w:val="center"/>
              <w:rPr>
                <w:rFonts w:cs="Arial"/>
                <w:szCs w:val="22"/>
                <w:lang w:eastAsia="it-IT"/>
              </w:rPr>
            </w:pPr>
            <w:r w:rsidRPr="008A040F">
              <w:rPr>
                <w:rFonts w:cs="Arial"/>
                <w:szCs w:val="22"/>
                <w:lang w:eastAsia="it-IT"/>
              </w:rPr>
              <w:t>2 000,00</w:t>
            </w:r>
          </w:p>
        </w:tc>
        <w:tc>
          <w:tcPr>
            <w:tcW w:w="1417" w:type="dxa"/>
            <w:vAlign w:val="center"/>
          </w:tcPr>
          <w:p w14:paraId="311C75F5" w14:textId="77777777" w:rsidR="00B947B8" w:rsidRPr="008A040F" w:rsidRDefault="00B947B8" w:rsidP="0019790A">
            <w:pPr>
              <w:jc w:val="center"/>
              <w:rPr>
                <w:rFonts w:cs="Arial"/>
                <w:szCs w:val="22"/>
                <w:lang w:eastAsia="it-IT"/>
              </w:rPr>
            </w:pPr>
            <w:r w:rsidRPr="008A040F">
              <w:rPr>
                <w:rFonts w:cs="Arial"/>
                <w:szCs w:val="22"/>
                <w:lang w:eastAsia="it-IT"/>
              </w:rPr>
              <w:t>2 000,00</w:t>
            </w:r>
          </w:p>
        </w:tc>
        <w:tc>
          <w:tcPr>
            <w:tcW w:w="1276" w:type="dxa"/>
            <w:vAlign w:val="center"/>
          </w:tcPr>
          <w:p w14:paraId="2BE5FE97" w14:textId="77777777" w:rsidR="00B947B8" w:rsidRPr="008A040F" w:rsidRDefault="00B947B8" w:rsidP="0019790A">
            <w:pPr>
              <w:jc w:val="center"/>
              <w:rPr>
                <w:rFonts w:cs="Arial"/>
                <w:szCs w:val="22"/>
                <w:lang w:eastAsia="it-IT"/>
              </w:rPr>
            </w:pPr>
            <w:r w:rsidRPr="008A040F">
              <w:rPr>
                <w:rFonts w:cs="Arial"/>
                <w:szCs w:val="22"/>
                <w:lang w:eastAsia="it-IT"/>
              </w:rPr>
              <w:t>2 000,00</w:t>
            </w:r>
          </w:p>
        </w:tc>
        <w:tc>
          <w:tcPr>
            <w:tcW w:w="1577" w:type="dxa"/>
            <w:vAlign w:val="center"/>
          </w:tcPr>
          <w:p w14:paraId="31649E61" w14:textId="77777777" w:rsidR="00B947B8" w:rsidRPr="0019790A" w:rsidRDefault="00B947B8" w:rsidP="0019790A">
            <w:pPr>
              <w:jc w:val="center"/>
              <w:rPr>
                <w:rFonts w:cs="Arial"/>
                <w:b/>
                <w:szCs w:val="22"/>
                <w:lang w:eastAsia="it-IT"/>
              </w:rPr>
            </w:pPr>
            <w:r w:rsidRPr="0019790A">
              <w:rPr>
                <w:rFonts w:cs="Arial"/>
                <w:b/>
                <w:szCs w:val="22"/>
                <w:lang w:eastAsia="it-IT"/>
              </w:rPr>
              <w:t>6 100,00</w:t>
            </w:r>
          </w:p>
        </w:tc>
      </w:tr>
      <w:tr w:rsidR="00B947B8" w:rsidRPr="0019790A" w14:paraId="409ECEF7" w14:textId="77777777" w:rsidTr="00D1052A">
        <w:trPr>
          <w:trHeight w:val="226"/>
          <w:jc w:val="right"/>
        </w:trPr>
        <w:tc>
          <w:tcPr>
            <w:tcW w:w="3425" w:type="dxa"/>
            <w:shd w:val="clear" w:color="auto" w:fill="FFFFFF"/>
            <w:vAlign w:val="center"/>
          </w:tcPr>
          <w:p w14:paraId="7507D0B4" w14:textId="77777777" w:rsidR="00B947B8" w:rsidRPr="0019790A" w:rsidRDefault="00B947B8" w:rsidP="0019790A">
            <w:pPr>
              <w:rPr>
                <w:rFonts w:cs="Arial"/>
                <w:szCs w:val="22"/>
              </w:rPr>
            </w:pPr>
            <w:r w:rsidRPr="0019790A">
              <w:rPr>
                <w:rFonts w:cs="Arial"/>
                <w:szCs w:val="22"/>
              </w:rPr>
              <w:t>- інші джерела фінансування</w:t>
            </w:r>
          </w:p>
        </w:tc>
        <w:tc>
          <w:tcPr>
            <w:tcW w:w="6794" w:type="dxa"/>
            <w:gridSpan w:val="6"/>
            <w:vAlign w:val="center"/>
          </w:tcPr>
          <w:p w14:paraId="47DE9249" w14:textId="77777777" w:rsidR="00B947B8" w:rsidRPr="0019790A" w:rsidRDefault="00B947B8" w:rsidP="0019790A">
            <w:pPr>
              <w:jc w:val="both"/>
              <w:rPr>
                <w:rFonts w:cs="Arial"/>
                <w:szCs w:val="22"/>
                <w:lang w:eastAsia="it-IT"/>
              </w:rPr>
            </w:pPr>
          </w:p>
        </w:tc>
      </w:tr>
      <w:tr w:rsidR="00B947B8" w:rsidRPr="0019790A" w14:paraId="198CB2CD" w14:textId="77777777" w:rsidTr="00D1052A">
        <w:trPr>
          <w:trHeight w:val="415"/>
          <w:jc w:val="right"/>
        </w:trPr>
        <w:tc>
          <w:tcPr>
            <w:tcW w:w="3425" w:type="dxa"/>
            <w:shd w:val="clear" w:color="auto" w:fill="FFFFFF"/>
            <w:vAlign w:val="center"/>
          </w:tcPr>
          <w:p w14:paraId="2776A868" w14:textId="77777777" w:rsidR="00B947B8" w:rsidRPr="0019790A" w:rsidRDefault="00B947B8" w:rsidP="0019790A">
            <w:pPr>
              <w:rPr>
                <w:rFonts w:cs="Arial"/>
                <w:b/>
                <w:bCs/>
                <w:szCs w:val="22"/>
              </w:rPr>
            </w:pPr>
            <w:r w:rsidRPr="0019790A">
              <w:rPr>
                <w:rFonts w:cs="Arial"/>
                <w:b/>
                <w:szCs w:val="22"/>
              </w:rPr>
              <w:t>Відповідальний виконавець проєкту:</w:t>
            </w:r>
          </w:p>
        </w:tc>
        <w:tc>
          <w:tcPr>
            <w:tcW w:w="6794" w:type="dxa"/>
            <w:gridSpan w:val="6"/>
            <w:vAlign w:val="center"/>
          </w:tcPr>
          <w:p w14:paraId="0E276CFC" w14:textId="77777777" w:rsidR="00B947B8" w:rsidRPr="0019790A" w:rsidRDefault="00B947B8" w:rsidP="0019790A">
            <w:pPr>
              <w:jc w:val="both"/>
              <w:rPr>
                <w:rFonts w:cs="Arial"/>
                <w:szCs w:val="22"/>
                <w:lang w:eastAsia="it-IT"/>
              </w:rPr>
            </w:pPr>
            <w:r w:rsidRPr="0019790A">
              <w:rPr>
                <w:rFonts w:cs="Arial"/>
                <w:color w:val="000000"/>
                <w:szCs w:val="22"/>
                <w:lang w:eastAsia="it-IT"/>
              </w:rPr>
              <w:t>Управління ЖКГ Жмеринської міської ради, Управління освіти Жмеринської міської ради</w:t>
            </w:r>
          </w:p>
        </w:tc>
      </w:tr>
      <w:tr w:rsidR="00B947B8" w:rsidRPr="0019790A" w14:paraId="78175A7C" w14:textId="77777777" w:rsidTr="00D1052A">
        <w:trPr>
          <w:jc w:val="right"/>
        </w:trPr>
        <w:tc>
          <w:tcPr>
            <w:tcW w:w="3425" w:type="dxa"/>
            <w:shd w:val="clear" w:color="auto" w:fill="FFFFFF"/>
            <w:vAlign w:val="center"/>
          </w:tcPr>
          <w:p w14:paraId="45B41F3D" w14:textId="77777777" w:rsidR="00B947B8" w:rsidRPr="0019790A" w:rsidRDefault="00B947B8" w:rsidP="0019790A">
            <w:pPr>
              <w:rPr>
                <w:rFonts w:cs="Arial"/>
                <w:b/>
                <w:bCs/>
                <w:szCs w:val="22"/>
              </w:rPr>
            </w:pPr>
            <w:r w:rsidRPr="0019790A">
              <w:rPr>
                <w:rFonts w:cs="Arial"/>
                <w:b/>
                <w:bCs/>
                <w:szCs w:val="22"/>
              </w:rPr>
              <w:t>Інше:</w:t>
            </w:r>
          </w:p>
        </w:tc>
        <w:tc>
          <w:tcPr>
            <w:tcW w:w="6794" w:type="dxa"/>
            <w:gridSpan w:val="6"/>
            <w:vAlign w:val="center"/>
          </w:tcPr>
          <w:p w14:paraId="0DD67A1D" w14:textId="77777777" w:rsidR="00B947B8" w:rsidRPr="0019790A" w:rsidRDefault="00B947B8" w:rsidP="0019790A">
            <w:pPr>
              <w:rPr>
                <w:rFonts w:cs="Arial"/>
                <w:szCs w:val="22"/>
                <w:lang w:eastAsia="it-IT"/>
              </w:rPr>
            </w:pPr>
          </w:p>
        </w:tc>
      </w:tr>
    </w:tbl>
    <w:p w14:paraId="1CD24D30" w14:textId="77777777" w:rsidR="00D1052A" w:rsidRPr="0019790A" w:rsidRDefault="00D1052A" w:rsidP="0019790A">
      <w:pPr>
        <w:jc w:val="center"/>
        <w:rPr>
          <w:rFonts w:cs="Arial"/>
          <w:b/>
          <w:color w:val="000000"/>
          <w:szCs w:val="22"/>
        </w:rPr>
      </w:pPr>
    </w:p>
    <w:p w14:paraId="4AE7E328" w14:textId="77777777" w:rsidR="00D1052A" w:rsidRPr="0019790A" w:rsidRDefault="00D1052A" w:rsidP="0019790A">
      <w:pPr>
        <w:jc w:val="center"/>
        <w:rPr>
          <w:rFonts w:cs="Arial"/>
          <w:b/>
          <w:color w:val="000000"/>
          <w:szCs w:val="22"/>
        </w:rPr>
      </w:pPr>
      <w:r w:rsidRPr="0019790A">
        <w:rPr>
          <w:rFonts w:cs="Arial"/>
          <w:b/>
          <w:color w:val="000000"/>
          <w:szCs w:val="22"/>
        </w:rPr>
        <w:t xml:space="preserve">Форма технічного завдання на проєкт місцевого розвитку </w:t>
      </w:r>
    </w:p>
    <w:p w14:paraId="3D0262A1" w14:textId="77777777" w:rsidR="00D1052A" w:rsidRPr="0019790A" w:rsidRDefault="00D1052A" w:rsidP="0019790A">
      <w:pPr>
        <w:jc w:val="center"/>
        <w:rPr>
          <w:rFonts w:cs="Arial"/>
          <w:b/>
          <w:color w:val="000000"/>
          <w:szCs w:val="22"/>
        </w:rPr>
      </w:pPr>
      <w:r w:rsidRPr="0019790A">
        <w:rPr>
          <w:rFonts w:cs="Arial"/>
          <w:b/>
          <w:color w:val="000000"/>
          <w:szCs w:val="22"/>
        </w:rPr>
        <w:t>до Плану заходів з реалізації Стратегії</w:t>
      </w:r>
    </w:p>
    <w:p w14:paraId="1F8E7FF3" w14:textId="77777777" w:rsidR="00D1052A" w:rsidRPr="0019790A" w:rsidRDefault="00D1052A"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7"/>
        <w:gridCol w:w="1245"/>
        <w:gridCol w:w="6"/>
        <w:gridCol w:w="9"/>
        <w:gridCol w:w="1267"/>
        <w:gridCol w:w="12"/>
        <w:gridCol w:w="1416"/>
        <w:gridCol w:w="1279"/>
        <w:gridCol w:w="1578"/>
      </w:tblGrid>
      <w:tr w:rsidR="00D1052A" w:rsidRPr="0019790A" w14:paraId="07FE8A18" w14:textId="77777777" w:rsidTr="00D1052A">
        <w:trPr>
          <w:jc w:val="right"/>
        </w:trPr>
        <w:tc>
          <w:tcPr>
            <w:tcW w:w="3409" w:type="dxa"/>
            <w:vAlign w:val="center"/>
          </w:tcPr>
          <w:p w14:paraId="38CF4F5D" w14:textId="77777777" w:rsidR="00D1052A" w:rsidRPr="0019790A" w:rsidRDefault="00D1052A" w:rsidP="0019790A">
            <w:pPr>
              <w:rPr>
                <w:rFonts w:cs="Arial"/>
                <w:b/>
                <w:bCs/>
                <w:color w:val="000000"/>
                <w:szCs w:val="22"/>
              </w:rPr>
            </w:pPr>
            <w:r w:rsidRPr="0019790A">
              <w:rPr>
                <w:rFonts w:cs="Arial"/>
                <w:b/>
                <w:bCs/>
                <w:color w:val="000000"/>
                <w:szCs w:val="22"/>
              </w:rPr>
              <w:t>Назва проєкту:</w:t>
            </w:r>
          </w:p>
        </w:tc>
        <w:tc>
          <w:tcPr>
            <w:tcW w:w="6810" w:type="dxa"/>
            <w:gridSpan w:val="8"/>
          </w:tcPr>
          <w:p w14:paraId="04248492" w14:textId="77777777" w:rsidR="00D1052A" w:rsidRPr="0019790A" w:rsidRDefault="00D1052A" w:rsidP="008A040F">
            <w:pPr>
              <w:jc w:val="both"/>
              <w:rPr>
                <w:rFonts w:cs="Arial"/>
                <w:b/>
                <w:szCs w:val="22"/>
                <w:lang w:eastAsia="it-IT"/>
              </w:rPr>
            </w:pPr>
            <w:r w:rsidRPr="0019790A">
              <w:rPr>
                <w:rFonts w:cs="Arial"/>
                <w:b/>
                <w:szCs w:val="22"/>
                <w:lang w:eastAsia="it-IT"/>
              </w:rPr>
              <w:t xml:space="preserve">«Капітальний ремонт прибудинкової території  КЗ «Жмеринський ліцей №2» з облаштуванням багатофункціонального спортивного майданчика» </w:t>
            </w:r>
          </w:p>
        </w:tc>
      </w:tr>
      <w:tr w:rsidR="00D1052A" w:rsidRPr="0019790A" w14:paraId="4DC08937" w14:textId="77777777" w:rsidTr="00D1052A">
        <w:trPr>
          <w:jc w:val="right"/>
        </w:trPr>
        <w:tc>
          <w:tcPr>
            <w:tcW w:w="3409" w:type="dxa"/>
          </w:tcPr>
          <w:p w14:paraId="4B045EE9" w14:textId="77777777" w:rsidR="00D1052A" w:rsidRPr="0019790A" w:rsidRDefault="00D1052A"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01B9E039" w14:textId="77777777" w:rsidR="00D1052A" w:rsidRPr="0019790A" w:rsidRDefault="00D1052A" w:rsidP="0019790A">
            <w:pPr>
              <w:rPr>
                <w:rFonts w:cs="Arial"/>
                <w:b/>
                <w:bCs/>
                <w:szCs w:val="22"/>
              </w:rPr>
            </w:pPr>
            <w:r w:rsidRPr="0019790A">
              <w:rPr>
                <w:rFonts w:cs="Arial"/>
                <w:szCs w:val="22"/>
                <w:lang w:eastAsia="it-IT"/>
              </w:rPr>
              <w:t>Назва установи, організації, підприємства</w:t>
            </w:r>
          </w:p>
        </w:tc>
        <w:tc>
          <w:tcPr>
            <w:tcW w:w="6810" w:type="dxa"/>
            <w:gridSpan w:val="8"/>
          </w:tcPr>
          <w:p w14:paraId="52DB9A6F" w14:textId="77777777" w:rsidR="00D1052A" w:rsidRPr="0019790A" w:rsidRDefault="00D1052A" w:rsidP="0019790A">
            <w:pPr>
              <w:ind w:left="182"/>
              <w:rPr>
                <w:rFonts w:cs="Arial"/>
                <w:szCs w:val="22"/>
                <w:lang w:eastAsia="it-IT"/>
              </w:rPr>
            </w:pPr>
            <w:r w:rsidRPr="0019790A">
              <w:rPr>
                <w:rFonts w:cs="Arial"/>
                <w:szCs w:val="22"/>
                <w:lang w:eastAsia="it-IT"/>
              </w:rPr>
              <w:t>Комунальний заклад «Жмеринський ліцей №2»</w:t>
            </w:r>
          </w:p>
        </w:tc>
      </w:tr>
      <w:tr w:rsidR="00D1052A" w:rsidRPr="0019790A" w14:paraId="5AAC4820" w14:textId="77777777" w:rsidTr="00D1052A">
        <w:trPr>
          <w:jc w:val="right"/>
        </w:trPr>
        <w:tc>
          <w:tcPr>
            <w:tcW w:w="3409" w:type="dxa"/>
          </w:tcPr>
          <w:p w14:paraId="6E5CDB3E" w14:textId="77777777" w:rsidR="00D1052A" w:rsidRPr="0019790A" w:rsidRDefault="00D1052A" w:rsidP="0019790A">
            <w:pPr>
              <w:rPr>
                <w:rFonts w:cs="Arial"/>
                <w:b/>
                <w:bCs/>
                <w:szCs w:val="22"/>
              </w:rPr>
            </w:pPr>
            <w:r w:rsidRPr="0019790A">
              <w:rPr>
                <w:rFonts w:cs="Arial"/>
                <w:szCs w:val="22"/>
                <w:lang w:eastAsia="it-IT"/>
              </w:rPr>
              <w:t>Прізвище Ім’я По-батькові:</w:t>
            </w:r>
          </w:p>
        </w:tc>
        <w:tc>
          <w:tcPr>
            <w:tcW w:w="6810" w:type="dxa"/>
            <w:gridSpan w:val="8"/>
          </w:tcPr>
          <w:p w14:paraId="7B53D8AC" w14:textId="77777777" w:rsidR="00D1052A" w:rsidRPr="0019790A" w:rsidRDefault="00D1052A" w:rsidP="0019790A">
            <w:pPr>
              <w:ind w:left="182"/>
              <w:rPr>
                <w:rFonts w:cs="Arial"/>
                <w:szCs w:val="22"/>
                <w:lang w:eastAsia="it-IT"/>
              </w:rPr>
            </w:pPr>
            <w:r w:rsidRPr="0019790A">
              <w:rPr>
                <w:rFonts w:cs="Arial"/>
                <w:szCs w:val="22"/>
                <w:lang w:eastAsia="it-IT"/>
              </w:rPr>
              <w:t>Кочура Оксана Володимирівна</w:t>
            </w:r>
          </w:p>
        </w:tc>
      </w:tr>
      <w:tr w:rsidR="00D1052A" w:rsidRPr="0019790A" w14:paraId="2569D87B" w14:textId="77777777" w:rsidTr="00D1052A">
        <w:trPr>
          <w:jc w:val="right"/>
        </w:trPr>
        <w:tc>
          <w:tcPr>
            <w:tcW w:w="3409" w:type="dxa"/>
          </w:tcPr>
          <w:p w14:paraId="1E57E764" w14:textId="77777777" w:rsidR="00D1052A" w:rsidRPr="0019790A" w:rsidRDefault="00D1052A" w:rsidP="0019790A">
            <w:pPr>
              <w:rPr>
                <w:rFonts w:cs="Arial"/>
                <w:b/>
                <w:bCs/>
                <w:szCs w:val="22"/>
              </w:rPr>
            </w:pPr>
            <w:r w:rsidRPr="0019790A">
              <w:rPr>
                <w:rFonts w:cs="Arial"/>
                <w:szCs w:val="22"/>
                <w:lang w:eastAsia="it-IT"/>
              </w:rPr>
              <w:t>Телефон (мобільний):</w:t>
            </w:r>
          </w:p>
        </w:tc>
        <w:tc>
          <w:tcPr>
            <w:tcW w:w="6810" w:type="dxa"/>
            <w:gridSpan w:val="8"/>
          </w:tcPr>
          <w:p w14:paraId="2D54B328" w14:textId="77777777" w:rsidR="00D1052A" w:rsidRPr="0019790A" w:rsidRDefault="00D1052A" w:rsidP="0019790A">
            <w:pPr>
              <w:ind w:left="182"/>
              <w:rPr>
                <w:rFonts w:cs="Arial"/>
                <w:szCs w:val="22"/>
                <w:lang w:eastAsia="it-IT"/>
              </w:rPr>
            </w:pPr>
            <w:r w:rsidRPr="0019790A">
              <w:rPr>
                <w:rFonts w:cs="Arial"/>
                <w:szCs w:val="22"/>
                <w:lang w:eastAsia="it-IT"/>
              </w:rPr>
              <w:t>0673671509</w:t>
            </w:r>
          </w:p>
        </w:tc>
      </w:tr>
      <w:tr w:rsidR="00D1052A" w:rsidRPr="0019790A" w14:paraId="27A0FDCE" w14:textId="77777777" w:rsidTr="00D1052A">
        <w:trPr>
          <w:jc w:val="right"/>
        </w:trPr>
        <w:tc>
          <w:tcPr>
            <w:tcW w:w="3409" w:type="dxa"/>
          </w:tcPr>
          <w:p w14:paraId="68A29D14" w14:textId="77777777" w:rsidR="00D1052A" w:rsidRPr="0019790A" w:rsidRDefault="00D1052A" w:rsidP="0019790A">
            <w:pPr>
              <w:rPr>
                <w:rFonts w:cs="Arial"/>
                <w:b/>
                <w:bCs/>
                <w:szCs w:val="22"/>
              </w:rPr>
            </w:pPr>
            <w:r w:rsidRPr="0019790A">
              <w:rPr>
                <w:rFonts w:cs="Arial"/>
                <w:szCs w:val="22"/>
                <w:lang w:eastAsia="it-IT"/>
              </w:rPr>
              <w:t>Електронна адреса:</w:t>
            </w:r>
          </w:p>
        </w:tc>
        <w:tc>
          <w:tcPr>
            <w:tcW w:w="6810" w:type="dxa"/>
            <w:gridSpan w:val="8"/>
          </w:tcPr>
          <w:p w14:paraId="41710386" w14:textId="77777777" w:rsidR="00D1052A" w:rsidRPr="0019790A" w:rsidRDefault="00D85FFD" w:rsidP="0019790A">
            <w:pPr>
              <w:ind w:left="182"/>
              <w:rPr>
                <w:rFonts w:cs="Arial"/>
                <w:szCs w:val="22"/>
                <w:lang w:eastAsia="it-IT"/>
              </w:rPr>
            </w:pPr>
            <w:hyperlink r:id="rId104" w:history="1">
              <w:r w:rsidR="00D1052A" w:rsidRPr="0019790A">
                <w:rPr>
                  <w:rStyle w:val="af0"/>
                  <w:rFonts w:cs="Arial"/>
                  <w:noProof w:val="0"/>
                  <w:sz w:val="22"/>
                  <w:szCs w:val="22"/>
                </w:rPr>
                <w:t>s</w:t>
              </w:r>
              <w:r w:rsidR="00D1052A" w:rsidRPr="0019790A">
                <w:rPr>
                  <w:rStyle w:val="af0"/>
                  <w:rFonts w:cs="Arial"/>
                  <w:noProof w:val="0"/>
                  <w:sz w:val="22"/>
                  <w:szCs w:val="22"/>
                  <w:lang w:eastAsia="it-IT"/>
                </w:rPr>
                <w:t>chool-licey@ukr.net</w:t>
              </w:r>
            </w:hyperlink>
          </w:p>
        </w:tc>
      </w:tr>
      <w:tr w:rsidR="00D1052A" w:rsidRPr="0019790A" w14:paraId="31BCD1C5" w14:textId="77777777" w:rsidTr="00D1052A">
        <w:trPr>
          <w:jc w:val="right"/>
        </w:trPr>
        <w:tc>
          <w:tcPr>
            <w:tcW w:w="3409" w:type="dxa"/>
            <w:vAlign w:val="center"/>
          </w:tcPr>
          <w:p w14:paraId="66357E4F" w14:textId="77777777" w:rsidR="00D1052A" w:rsidRPr="0019790A" w:rsidRDefault="00D1052A" w:rsidP="0019790A">
            <w:pPr>
              <w:pStyle w:val="6"/>
              <w:spacing w:before="0" w:after="0"/>
              <w:rPr>
                <w:rFonts w:ascii="Arial" w:hAnsi="Arial" w:cs="Arial"/>
                <w:color w:val="000000"/>
                <w:lang w:val="uk-UA"/>
              </w:rPr>
            </w:pPr>
            <w:r w:rsidRPr="0019790A">
              <w:rPr>
                <w:rFonts w:ascii="Arial" w:hAnsi="Arial" w:cs="Arial"/>
                <w:color w:val="000000"/>
                <w:lang w:val="uk-UA"/>
              </w:rPr>
              <w:t>Номер і назва завдання з Стратегії</w:t>
            </w:r>
            <w:r w:rsidRPr="0019790A">
              <w:rPr>
                <w:rFonts w:ascii="Arial" w:hAnsi="Arial" w:cs="Arial"/>
                <w:lang w:val="uk-UA" w:eastAsia="it-IT"/>
              </w:rPr>
              <w:t xml:space="preserve"> </w:t>
            </w:r>
            <w:r w:rsidRPr="0019790A">
              <w:rPr>
                <w:rFonts w:ascii="Arial" w:hAnsi="Arial" w:cs="Arial"/>
                <w:color w:val="000000"/>
                <w:lang w:val="uk-UA"/>
              </w:rPr>
              <w:t>розвитку Жмеринської міської територіальної громади,  якому відповідає проєкт:</w:t>
            </w:r>
          </w:p>
        </w:tc>
        <w:tc>
          <w:tcPr>
            <w:tcW w:w="6810" w:type="dxa"/>
            <w:gridSpan w:val="8"/>
          </w:tcPr>
          <w:p w14:paraId="2D3B7890" w14:textId="77777777" w:rsidR="00D1052A" w:rsidRPr="0019790A" w:rsidRDefault="00D1052A" w:rsidP="0019790A">
            <w:pPr>
              <w:jc w:val="both"/>
              <w:rPr>
                <w:rFonts w:cs="Arial"/>
                <w:szCs w:val="22"/>
              </w:rPr>
            </w:pPr>
            <w:r w:rsidRPr="0019790A">
              <w:rPr>
                <w:rFonts w:cs="Arial"/>
                <w:szCs w:val="22"/>
              </w:rPr>
              <w:t>С.1.1.2. Розвиток освітньої інфраструктури територіальної громади відповідно до вимог часу.</w:t>
            </w:r>
          </w:p>
          <w:p w14:paraId="5D8CFA50" w14:textId="77777777" w:rsidR="00D1052A" w:rsidRPr="0019790A" w:rsidRDefault="00D1052A" w:rsidP="0019790A">
            <w:pPr>
              <w:pBdr>
                <w:left w:val="single" w:sz="18" w:space="4" w:color="auto"/>
              </w:pBdr>
              <w:rPr>
                <w:rFonts w:cs="Arial"/>
                <w:b/>
                <w:bCs/>
                <w:i/>
                <w:szCs w:val="22"/>
                <w:lang w:eastAsia="it-IT"/>
              </w:rPr>
            </w:pPr>
            <w:r w:rsidRPr="0019790A">
              <w:rPr>
                <w:rFonts w:cs="Arial"/>
                <w:szCs w:val="22"/>
              </w:rPr>
              <w:t>С.1.1.6. Підвищення орієнтації галузі освіти на потреби ринку праці.</w:t>
            </w:r>
          </w:p>
          <w:p w14:paraId="046BAC47" w14:textId="77777777" w:rsidR="00D1052A" w:rsidRPr="0019790A" w:rsidRDefault="00D1052A" w:rsidP="0019790A">
            <w:pPr>
              <w:pBdr>
                <w:left w:val="single" w:sz="18" w:space="4" w:color="auto"/>
              </w:pBdr>
              <w:rPr>
                <w:rFonts w:cs="Arial"/>
                <w:szCs w:val="22"/>
                <w:lang w:eastAsia="it-IT"/>
              </w:rPr>
            </w:pPr>
            <w:bookmarkStart w:id="43" w:name="_Hlk199773793"/>
            <w:r w:rsidRPr="0019790A">
              <w:rPr>
                <w:rFonts w:cs="Arial"/>
                <w:szCs w:val="22"/>
                <w:lang w:eastAsia="it-IT"/>
              </w:rPr>
              <w:t>С.1.2. Забезпечення комфортних і безпечних умов навчання та праці.</w:t>
            </w:r>
            <w:bookmarkEnd w:id="43"/>
          </w:p>
        </w:tc>
      </w:tr>
      <w:tr w:rsidR="00D1052A" w:rsidRPr="0019790A" w14:paraId="6FD3FFE4" w14:textId="77777777" w:rsidTr="00D1052A">
        <w:trPr>
          <w:jc w:val="right"/>
        </w:trPr>
        <w:tc>
          <w:tcPr>
            <w:tcW w:w="3409" w:type="dxa"/>
            <w:vAlign w:val="center"/>
          </w:tcPr>
          <w:p w14:paraId="33C85253" w14:textId="77777777" w:rsidR="00D1052A" w:rsidRPr="0019790A" w:rsidRDefault="00D1052A" w:rsidP="0019790A">
            <w:pPr>
              <w:rPr>
                <w:rFonts w:cs="Arial"/>
                <w:b/>
                <w:bCs/>
                <w:color w:val="000000"/>
                <w:szCs w:val="22"/>
              </w:rPr>
            </w:pPr>
            <w:r w:rsidRPr="0019790A">
              <w:rPr>
                <w:rFonts w:cs="Arial"/>
                <w:b/>
                <w:bCs/>
                <w:color w:val="000000"/>
                <w:szCs w:val="22"/>
              </w:rPr>
              <w:t>Мета проєкту:</w:t>
            </w:r>
          </w:p>
        </w:tc>
        <w:tc>
          <w:tcPr>
            <w:tcW w:w="6810" w:type="dxa"/>
            <w:gridSpan w:val="8"/>
          </w:tcPr>
          <w:p w14:paraId="270B193D" w14:textId="77777777" w:rsidR="00D1052A" w:rsidRPr="0019790A" w:rsidRDefault="00D1052A" w:rsidP="0019790A">
            <w:pPr>
              <w:rPr>
                <w:rFonts w:cs="Arial"/>
                <w:szCs w:val="22"/>
                <w:lang w:eastAsia="it-IT"/>
              </w:rPr>
            </w:pPr>
            <w:r w:rsidRPr="0019790A">
              <w:rPr>
                <w:rFonts w:cs="Arial"/>
                <w:szCs w:val="22"/>
                <w:lang w:eastAsia="it-IT"/>
              </w:rPr>
              <w:t xml:space="preserve">Створення багатофункціонального і безпечного  освітнього простору, що відповідає стандартам якості та матиме безбар’єрний доступ, підвищення рівня охоплення учнівської молоді та мешканців громади руховою активністю. </w:t>
            </w:r>
          </w:p>
        </w:tc>
      </w:tr>
      <w:tr w:rsidR="00D1052A" w:rsidRPr="0019790A" w14:paraId="742CB47E" w14:textId="77777777" w:rsidTr="00D1052A">
        <w:trPr>
          <w:jc w:val="right"/>
        </w:trPr>
        <w:tc>
          <w:tcPr>
            <w:tcW w:w="3409" w:type="dxa"/>
            <w:vAlign w:val="center"/>
          </w:tcPr>
          <w:p w14:paraId="330CB9A7" w14:textId="77777777" w:rsidR="00D1052A" w:rsidRPr="0019790A" w:rsidRDefault="00D1052A" w:rsidP="0019790A">
            <w:pPr>
              <w:rPr>
                <w:rFonts w:cs="Arial"/>
                <w:b/>
                <w:bCs/>
                <w:color w:val="000000"/>
                <w:szCs w:val="22"/>
              </w:rPr>
            </w:pPr>
            <w:r w:rsidRPr="0019790A">
              <w:rPr>
                <w:rFonts w:cs="Arial"/>
                <w:b/>
                <w:bCs/>
                <w:color w:val="000000"/>
                <w:szCs w:val="22"/>
              </w:rPr>
              <w:t>Цілі проєкту:</w:t>
            </w:r>
          </w:p>
        </w:tc>
        <w:tc>
          <w:tcPr>
            <w:tcW w:w="6810" w:type="dxa"/>
            <w:gridSpan w:val="8"/>
          </w:tcPr>
          <w:p w14:paraId="0A3AFDD5" w14:textId="77777777" w:rsidR="00D1052A" w:rsidRPr="0019790A" w:rsidRDefault="00D1052A" w:rsidP="0019790A">
            <w:pPr>
              <w:jc w:val="both"/>
              <w:rPr>
                <w:rFonts w:cs="Arial"/>
                <w:szCs w:val="22"/>
                <w:lang w:eastAsia="it-IT"/>
              </w:rPr>
            </w:pPr>
            <w:r w:rsidRPr="0019790A">
              <w:rPr>
                <w:rFonts w:cs="Arial"/>
                <w:szCs w:val="22"/>
                <w:lang w:eastAsia="it-IT"/>
              </w:rPr>
              <w:t>1. Підвищення безпеки та  комфорту перебування на сучасному шкільному подвір’ї з урахуванням принципів універсального дизайну та розумного пристосування.</w:t>
            </w:r>
          </w:p>
          <w:p w14:paraId="142896C5" w14:textId="77777777" w:rsidR="00D1052A" w:rsidRPr="0019790A" w:rsidRDefault="00D1052A" w:rsidP="0019790A">
            <w:pPr>
              <w:jc w:val="both"/>
              <w:rPr>
                <w:rFonts w:cs="Arial"/>
                <w:szCs w:val="22"/>
                <w:lang w:eastAsia="it-IT"/>
              </w:rPr>
            </w:pPr>
            <w:r w:rsidRPr="0019790A">
              <w:rPr>
                <w:rFonts w:cs="Arial"/>
                <w:szCs w:val="22"/>
                <w:lang w:eastAsia="it-IT"/>
              </w:rPr>
              <w:t>2. Створення багатофункціонального і безпечного спортивного простору для підвищення рівня ефективності занять з фізичної культури відповідно до вимог Нової української школи, розвиток рухової активності учнів закладу та мешканців мікрорайону.</w:t>
            </w:r>
          </w:p>
        </w:tc>
      </w:tr>
      <w:tr w:rsidR="00D1052A" w:rsidRPr="0019790A" w14:paraId="7BFBBFFE" w14:textId="77777777" w:rsidTr="00D1052A">
        <w:trPr>
          <w:jc w:val="right"/>
        </w:trPr>
        <w:tc>
          <w:tcPr>
            <w:tcW w:w="3409" w:type="dxa"/>
            <w:vAlign w:val="center"/>
          </w:tcPr>
          <w:p w14:paraId="72153710" w14:textId="77777777" w:rsidR="00D1052A" w:rsidRPr="0019790A" w:rsidRDefault="00D1052A" w:rsidP="0019790A">
            <w:pPr>
              <w:adjustRightInd w:val="0"/>
              <w:rPr>
                <w:rFonts w:cs="Arial"/>
                <w:b/>
                <w:color w:val="000000"/>
                <w:szCs w:val="22"/>
              </w:rPr>
            </w:pPr>
            <w:r w:rsidRPr="0019790A">
              <w:rPr>
                <w:rFonts w:cs="Arial"/>
                <w:b/>
                <w:color w:val="000000"/>
                <w:szCs w:val="22"/>
              </w:rPr>
              <w:t>Територія на яку проєкт матиме вплив:</w:t>
            </w:r>
          </w:p>
        </w:tc>
        <w:tc>
          <w:tcPr>
            <w:tcW w:w="6810" w:type="dxa"/>
            <w:gridSpan w:val="8"/>
          </w:tcPr>
          <w:p w14:paraId="32EE533B" w14:textId="77777777" w:rsidR="00D1052A" w:rsidRPr="0019790A" w:rsidRDefault="00D1052A" w:rsidP="0019790A">
            <w:pPr>
              <w:rPr>
                <w:rFonts w:cs="Arial"/>
                <w:szCs w:val="22"/>
                <w:lang w:eastAsia="it-IT"/>
              </w:rPr>
            </w:pPr>
            <w:r w:rsidRPr="0019790A">
              <w:rPr>
                <w:rFonts w:cs="Arial"/>
                <w:szCs w:val="22"/>
                <w:lang w:eastAsia="it-IT"/>
              </w:rPr>
              <w:t>Жмеринська міська територіальна громада</w:t>
            </w:r>
          </w:p>
        </w:tc>
      </w:tr>
      <w:tr w:rsidR="00D1052A" w:rsidRPr="0019790A" w14:paraId="60316303" w14:textId="77777777" w:rsidTr="00D1052A">
        <w:trPr>
          <w:jc w:val="right"/>
        </w:trPr>
        <w:tc>
          <w:tcPr>
            <w:tcW w:w="3409" w:type="dxa"/>
            <w:vAlign w:val="center"/>
          </w:tcPr>
          <w:p w14:paraId="04017102" w14:textId="77777777" w:rsidR="00D1052A" w:rsidRPr="0019790A" w:rsidRDefault="00D1052A" w:rsidP="0019790A">
            <w:pPr>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810" w:type="dxa"/>
            <w:gridSpan w:val="8"/>
          </w:tcPr>
          <w:p w14:paraId="46590569" w14:textId="77777777" w:rsidR="00D1052A" w:rsidRPr="0019790A" w:rsidRDefault="00D1052A" w:rsidP="0019790A">
            <w:pPr>
              <w:rPr>
                <w:rFonts w:cs="Arial"/>
                <w:szCs w:val="22"/>
                <w:lang w:eastAsia="it-IT"/>
              </w:rPr>
            </w:pPr>
            <w:r w:rsidRPr="0019790A">
              <w:rPr>
                <w:rFonts w:cs="Arial"/>
                <w:szCs w:val="22"/>
                <w:lang w:eastAsia="it-IT"/>
              </w:rPr>
              <w:t xml:space="preserve"> 787 учнів, 70 працівників закладу, батьки або особи, які їх замінюють, 22 дітей ВПО, мешканці громади міста</w:t>
            </w:r>
          </w:p>
        </w:tc>
      </w:tr>
      <w:tr w:rsidR="00D1052A" w:rsidRPr="0019790A" w14:paraId="09F30EAC" w14:textId="77777777" w:rsidTr="00D1052A">
        <w:trPr>
          <w:jc w:val="right"/>
        </w:trPr>
        <w:tc>
          <w:tcPr>
            <w:tcW w:w="3409" w:type="dxa"/>
            <w:shd w:val="clear" w:color="auto" w:fill="FFFFFF"/>
            <w:vAlign w:val="center"/>
          </w:tcPr>
          <w:p w14:paraId="61B04A12" w14:textId="77777777" w:rsidR="00D1052A" w:rsidRPr="0019790A" w:rsidRDefault="00D1052A" w:rsidP="0019790A">
            <w:pPr>
              <w:rPr>
                <w:rFonts w:cs="Arial"/>
                <w:b/>
                <w:bCs/>
                <w:color w:val="000000"/>
                <w:szCs w:val="22"/>
              </w:rPr>
            </w:pPr>
            <w:r w:rsidRPr="0019790A">
              <w:rPr>
                <w:rFonts w:cs="Arial"/>
                <w:b/>
                <w:bCs/>
                <w:color w:val="000000"/>
                <w:szCs w:val="22"/>
              </w:rPr>
              <w:t>Стислий опис проєкту:</w:t>
            </w:r>
          </w:p>
        </w:tc>
        <w:tc>
          <w:tcPr>
            <w:tcW w:w="6810" w:type="dxa"/>
            <w:gridSpan w:val="8"/>
          </w:tcPr>
          <w:p w14:paraId="43168887" w14:textId="77777777" w:rsidR="00D1052A" w:rsidRPr="0019790A" w:rsidRDefault="00D1052A" w:rsidP="0019790A">
            <w:pPr>
              <w:jc w:val="both"/>
              <w:rPr>
                <w:rFonts w:cs="Arial"/>
                <w:szCs w:val="22"/>
                <w:lang w:eastAsia="it-IT"/>
              </w:rPr>
            </w:pPr>
            <w:r w:rsidRPr="0019790A">
              <w:rPr>
                <w:rFonts w:cs="Arial"/>
                <w:szCs w:val="22"/>
                <w:lang w:eastAsia="it-IT"/>
              </w:rPr>
              <w:t xml:space="preserve">     Комунальний заклад «Жмеринський ліцей №2» розташований у центральній частині міста.</w:t>
            </w:r>
            <w:r w:rsidRPr="0019790A">
              <w:rPr>
                <w:rFonts w:cs="Arial"/>
                <w:szCs w:val="22"/>
              </w:rPr>
              <w:t xml:space="preserve"> </w:t>
            </w:r>
            <w:r w:rsidRPr="0019790A">
              <w:rPr>
                <w:rFonts w:cs="Arial"/>
                <w:szCs w:val="22"/>
                <w:lang w:eastAsia="it-IT"/>
              </w:rPr>
              <w:t xml:space="preserve">Безпечне та естетично оформлене шкільне подвір'я – це обличчя сучасної школи, необхідна деталь, яка багато говорить про високий стандарт закладу освіти. Перше враження від перебування в школі може стати покликом до бажання навчатися в ній. </w:t>
            </w:r>
          </w:p>
          <w:p w14:paraId="528083C6" w14:textId="77777777" w:rsidR="00D1052A" w:rsidRPr="0019790A" w:rsidRDefault="00D1052A" w:rsidP="0019790A">
            <w:pPr>
              <w:jc w:val="both"/>
              <w:rPr>
                <w:rFonts w:cs="Arial"/>
                <w:szCs w:val="22"/>
                <w:lang w:eastAsia="it-IT"/>
              </w:rPr>
            </w:pPr>
            <w:r w:rsidRPr="0019790A">
              <w:rPr>
                <w:rFonts w:cs="Arial"/>
                <w:szCs w:val="22"/>
                <w:lang w:eastAsia="it-IT"/>
              </w:rPr>
              <w:t>Наразі покриття шкільного подвір’я не має естетичного вигляду після неодноразових часткових ремонтних робіт та викликає небезпеку травмування, особливо під час проведення масових урочистих заходів.</w:t>
            </w:r>
          </w:p>
          <w:p w14:paraId="274C2FE1" w14:textId="77777777" w:rsidR="00D1052A" w:rsidRPr="0019790A" w:rsidRDefault="00D1052A" w:rsidP="0019790A">
            <w:pPr>
              <w:jc w:val="both"/>
              <w:rPr>
                <w:rFonts w:cs="Arial"/>
                <w:szCs w:val="22"/>
                <w:lang w:eastAsia="it-IT"/>
              </w:rPr>
            </w:pPr>
            <w:r w:rsidRPr="0019790A">
              <w:rPr>
                <w:rFonts w:cs="Arial"/>
                <w:szCs w:val="22"/>
                <w:lang w:eastAsia="it-IT"/>
              </w:rPr>
              <w:t xml:space="preserve">Крім того, у закладі відсутній майданчик для проведення таких командних видів спорту як волейбол та баскетбол. Наявний  у закладі майданчик потребує модернізації відповідно до вимог часу. Його покриття - утрамбований щебнем ґрунт та бетонні травмонебезпечні бордюри. Учням доводиться грати у волейбол, баскетбол на небезпечному покритті, яке не відповідає жодним вимогам безпеки </w:t>
            </w:r>
          </w:p>
          <w:p w14:paraId="30D58243" w14:textId="77777777" w:rsidR="00D1052A" w:rsidRPr="0019790A" w:rsidRDefault="00D1052A" w:rsidP="0019790A">
            <w:pPr>
              <w:jc w:val="both"/>
              <w:rPr>
                <w:rFonts w:cs="Arial"/>
                <w:szCs w:val="22"/>
                <w:lang w:eastAsia="it-IT"/>
              </w:rPr>
            </w:pPr>
            <w:r w:rsidRPr="0019790A">
              <w:rPr>
                <w:rFonts w:cs="Arial"/>
                <w:szCs w:val="22"/>
                <w:lang w:eastAsia="it-IT"/>
              </w:rPr>
              <w:t xml:space="preserve">     Реалізація проєкту</w:t>
            </w:r>
            <w:r w:rsidRPr="0019790A">
              <w:rPr>
                <w:rFonts w:cs="Arial"/>
                <w:szCs w:val="22"/>
              </w:rPr>
              <w:t xml:space="preserve"> сприятиме створенню </w:t>
            </w:r>
            <w:r w:rsidRPr="0019790A">
              <w:rPr>
                <w:rFonts w:cs="Arial"/>
                <w:szCs w:val="22"/>
                <w:lang w:eastAsia="it-IT"/>
              </w:rPr>
              <w:t>безпечного спортивного простору для підвищення рівня ефективності занять з фізичної культури відповідно до вимог Нової української школи, розвитку рухової активності учнів закладу та мешканців мікрорайону.</w:t>
            </w:r>
          </w:p>
        </w:tc>
      </w:tr>
      <w:tr w:rsidR="00D1052A" w:rsidRPr="0019790A" w14:paraId="1181EAAD" w14:textId="77777777" w:rsidTr="00D1052A">
        <w:trPr>
          <w:jc w:val="right"/>
        </w:trPr>
        <w:tc>
          <w:tcPr>
            <w:tcW w:w="3409" w:type="dxa"/>
            <w:shd w:val="clear" w:color="auto" w:fill="FFFFFF"/>
            <w:vAlign w:val="center"/>
          </w:tcPr>
          <w:p w14:paraId="4C869727" w14:textId="77777777" w:rsidR="00D1052A" w:rsidRPr="0019790A" w:rsidRDefault="00D1052A" w:rsidP="0019790A">
            <w:pPr>
              <w:rPr>
                <w:rFonts w:cs="Arial"/>
                <w:b/>
                <w:bCs/>
                <w:color w:val="000000"/>
                <w:szCs w:val="22"/>
              </w:rPr>
            </w:pPr>
            <w:r w:rsidRPr="0019790A">
              <w:rPr>
                <w:rFonts w:cs="Arial"/>
                <w:b/>
                <w:bCs/>
                <w:color w:val="000000"/>
                <w:szCs w:val="22"/>
              </w:rPr>
              <w:t>Основні заходи проєкту:</w:t>
            </w:r>
          </w:p>
        </w:tc>
        <w:tc>
          <w:tcPr>
            <w:tcW w:w="6810" w:type="dxa"/>
            <w:gridSpan w:val="8"/>
          </w:tcPr>
          <w:p w14:paraId="6261959F" w14:textId="77777777" w:rsidR="00D1052A" w:rsidRPr="0019790A" w:rsidRDefault="00D1052A" w:rsidP="0019790A">
            <w:pPr>
              <w:jc w:val="both"/>
              <w:rPr>
                <w:rFonts w:cs="Arial"/>
                <w:szCs w:val="22"/>
                <w:lang w:eastAsia="it-IT"/>
              </w:rPr>
            </w:pPr>
            <w:r w:rsidRPr="0019790A">
              <w:rPr>
                <w:rFonts w:cs="Arial"/>
                <w:szCs w:val="22"/>
                <w:lang w:eastAsia="it-IT"/>
              </w:rPr>
              <w:t xml:space="preserve">1. Виготовлення ПКД по об’єкту: «Реконструкція багатофункціонального спортивного майданчика у КЗ «Жмеринський ліцей №2» з облаштуванням території закладу по вул. Центральна, 2».    </w:t>
            </w:r>
          </w:p>
          <w:p w14:paraId="54B5E886" w14:textId="77777777" w:rsidR="00D1052A" w:rsidRPr="0019790A" w:rsidRDefault="00D1052A" w:rsidP="0019790A">
            <w:pPr>
              <w:jc w:val="both"/>
              <w:rPr>
                <w:rFonts w:cs="Arial"/>
                <w:szCs w:val="22"/>
                <w:lang w:eastAsia="it-IT"/>
              </w:rPr>
            </w:pPr>
            <w:r w:rsidRPr="0019790A">
              <w:rPr>
                <w:rFonts w:cs="Arial"/>
                <w:szCs w:val="22"/>
                <w:lang w:eastAsia="it-IT"/>
              </w:rPr>
              <w:t>2. Оголошення процедури закупівлі робіт.</w:t>
            </w:r>
          </w:p>
          <w:p w14:paraId="61A64EDE" w14:textId="77777777" w:rsidR="00D1052A" w:rsidRPr="0019790A" w:rsidRDefault="00D1052A" w:rsidP="0019790A">
            <w:pPr>
              <w:jc w:val="both"/>
              <w:rPr>
                <w:rFonts w:cs="Arial"/>
                <w:szCs w:val="22"/>
                <w:lang w:eastAsia="it-IT"/>
              </w:rPr>
            </w:pPr>
            <w:r w:rsidRPr="0019790A">
              <w:rPr>
                <w:rFonts w:cs="Arial"/>
                <w:szCs w:val="22"/>
                <w:lang w:eastAsia="it-IT"/>
              </w:rPr>
              <w:t>3. Реконструкція спортивного майданчика: проведення робіт із врахуванням усіх необхідних  вимог та сучасних тенденцій.</w:t>
            </w:r>
          </w:p>
          <w:p w14:paraId="442C93F5" w14:textId="77777777" w:rsidR="00D1052A" w:rsidRPr="0019790A" w:rsidRDefault="00D1052A" w:rsidP="0019790A">
            <w:pPr>
              <w:jc w:val="both"/>
              <w:rPr>
                <w:rFonts w:cs="Arial"/>
                <w:szCs w:val="22"/>
                <w:lang w:eastAsia="it-IT"/>
              </w:rPr>
            </w:pPr>
            <w:r w:rsidRPr="0019790A">
              <w:rPr>
                <w:rFonts w:cs="Arial"/>
                <w:szCs w:val="22"/>
                <w:lang w:eastAsia="it-IT"/>
              </w:rPr>
              <w:t>4. Облаштування майданчика з вуличними тренажерами ( придбання та встановлення штучного покриття та 5-ти  вуличних тренажерів).</w:t>
            </w:r>
          </w:p>
          <w:p w14:paraId="7D34FAC3" w14:textId="77777777" w:rsidR="00D1052A" w:rsidRPr="0019790A" w:rsidRDefault="00D1052A" w:rsidP="0019790A">
            <w:pPr>
              <w:jc w:val="both"/>
              <w:rPr>
                <w:rFonts w:cs="Arial"/>
                <w:szCs w:val="22"/>
                <w:lang w:eastAsia="it-IT"/>
              </w:rPr>
            </w:pPr>
            <w:r w:rsidRPr="0019790A">
              <w:rPr>
                <w:rFonts w:cs="Arial"/>
                <w:szCs w:val="22"/>
                <w:lang w:eastAsia="it-IT"/>
              </w:rPr>
              <w:t>5. Демонтаж старого асфальтного покриття на подвір’ї закладу.</w:t>
            </w:r>
          </w:p>
          <w:p w14:paraId="74850618" w14:textId="77777777" w:rsidR="00D1052A" w:rsidRPr="0019790A" w:rsidRDefault="00D1052A" w:rsidP="0019790A">
            <w:pPr>
              <w:jc w:val="both"/>
              <w:rPr>
                <w:rFonts w:cs="Arial"/>
                <w:szCs w:val="22"/>
                <w:lang w:eastAsia="it-IT"/>
              </w:rPr>
            </w:pPr>
            <w:r w:rsidRPr="0019790A">
              <w:rPr>
                <w:rFonts w:cs="Arial"/>
                <w:szCs w:val="22"/>
                <w:lang w:eastAsia="it-IT"/>
              </w:rPr>
              <w:t>6. Підготовчі роботи до укладання тротуарної плитки.</w:t>
            </w:r>
          </w:p>
          <w:p w14:paraId="2E47BF48" w14:textId="77777777" w:rsidR="00D1052A" w:rsidRPr="0019790A" w:rsidRDefault="00D1052A" w:rsidP="0019790A">
            <w:pPr>
              <w:jc w:val="both"/>
              <w:rPr>
                <w:rFonts w:cs="Arial"/>
                <w:szCs w:val="22"/>
                <w:lang w:eastAsia="it-IT"/>
              </w:rPr>
            </w:pPr>
            <w:r w:rsidRPr="0019790A">
              <w:rPr>
                <w:rFonts w:cs="Arial"/>
                <w:szCs w:val="22"/>
                <w:lang w:eastAsia="it-IT"/>
              </w:rPr>
              <w:t>7. Укладання тротуарної плитки.</w:t>
            </w:r>
          </w:p>
        </w:tc>
      </w:tr>
      <w:tr w:rsidR="00D1052A" w:rsidRPr="0019790A" w14:paraId="2938A830" w14:textId="77777777" w:rsidTr="00D1052A">
        <w:trPr>
          <w:jc w:val="right"/>
        </w:trPr>
        <w:tc>
          <w:tcPr>
            <w:tcW w:w="3409" w:type="dxa"/>
            <w:shd w:val="clear" w:color="auto" w:fill="FFFFFF"/>
            <w:vAlign w:val="center"/>
          </w:tcPr>
          <w:p w14:paraId="4014A732" w14:textId="77777777" w:rsidR="00D1052A" w:rsidRPr="0019790A" w:rsidRDefault="00D1052A"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810" w:type="dxa"/>
            <w:gridSpan w:val="8"/>
          </w:tcPr>
          <w:p w14:paraId="735EF36A" w14:textId="77777777" w:rsidR="00D1052A" w:rsidRPr="0019790A" w:rsidRDefault="00D1052A" w:rsidP="0019790A">
            <w:pPr>
              <w:jc w:val="both"/>
              <w:rPr>
                <w:rFonts w:cs="Arial"/>
                <w:szCs w:val="22"/>
                <w:lang w:eastAsia="it-IT"/>
              </w:rPr>
            </w:pPr>
            <w:r w:rsidRPr="0019790A">
              <w:rPr>
                <w:rFonts w:cs="Arial"/>
                <w:szCs w:val="22"/>
                <w:lang w:eastAsia="it-IT"/>
              </w:rPr>
              <w:t xml:space="preserve">1. Для 787 учнів, 70 працівників закладу та батьків учнів буде облаштовано сучасне безпечне шкільне подвір’я із урахуванням принципів універсального дизайну. </w:t>
            </w:r>
          </w:p>
          <w:p w14:paraId="1CAD29F0" w14:textId="77777777" w:rsidR="00D1052A" w:rsidRPr="0019790A" w:rsidRDefault="00D1052A" w:rsidP="0019790A">
            <w:pPr>
              <w:jc w:val="both"/>
              <w:rPr>
                <w:rFonts w:cs="Arial"/>
                <w:szCs w:val="22"/>
                <w:lang w:eastAsia="it-IT"/>
              </w:rPr>
            </w:pPr>
            <w:r w:rsidRPr="0019790A">
              <w:rPr>
                <w:rFonts w:cs="Arial"/>
                <w:szCs w:val="22"/>
                <w:lang w:eastAsia="it-IT"/>
              </w:rPr>
              <w:t xml:space="preserve">2. Створення загальнодоступного багатофункціонального спортивного простору для занять з волейболу та баскетболу, </w:t>
            </w:r>
          </w:p>
          <w:p w14:paraId="3A2E9C8D" w14:textId="77777777" w:rsidR="00D1052A" w:rsidRPr="0019790A" w:rsidRDefault="00D1052A" w:rsidP="0019790A">
            <w:pPr>
              <w:jc w:val="both"/>
              <w:rPr>
                <w:rFonts w:cs="Arial"/>
                <w:szCs w:val="22"/>
                <w:lang w:eastAsia="it-IT"/>
              </w:rPr>
            </w:pPr>
            <w:r w:rsidRPr="0019790A">
              <w:rPr>
                <w:rFonts w:cs="Arial"/>
                <w:szCs w:val="22"/>
                <w:lang w:eastAsia="it-IT"/>
              </w:rPr>
              <w:t>3.</w:t>
            </w:r>
            <w:r w:rsidRPr="0019790A">
              <w:rPr>
                <w:rFonts w:cs="Arial"/>
                <w:szCs w:val="22"/>
              </w:rPr>
              <w:t xml:space="preserve"> </w:t>
            </w:r>
            <w:r w:rsidRPr="0019790A">
              <w:rPr>
                <w:rFonts w:cs="Arial"/>
                <w:szCs w:val="22"/>
                <w:lang w:eastAsia="it-IT"/>
              </w:rPr>
              <w:t>Підвищення рухової активності 787 здобувачів освіти, підвищення  результативність участі команд у змаганнях  «Пліч-о-пліч. Всеукраїнські шкільні ігри».</w:t>
            </w:r>
          </w:p>
        </w:tc>
      </w:tr>
      <w:tr w:rsidR="00D1052A" w:rsidRPr="0019790A" w14:paraId="0A75B1F5" w14:textId="77777777" w:rsidTr="00D1052A">
        <w:trPr>
          <w:jc w:val="right"/>
        </w:trPr>
        <w:tc>
          <w:tcPr>
            <w:tcW w:w="3409" w:type="dxa"/>
            <w:shd w:val="clear" w:color="auto" w:fill="FFFFFF"/>
            <w:vAlign w:val="center"/>
          </w:tcPr>
          <w:p w14:paraId="7D99008B" w14:textId="77777777" w:rsidR="00D1052A" w:rsidRPr="0019790A" w:rsidRDefault="00D1052A" w:rsidP="0019790A">
            <w:pPr>
              <w:rPr>
                <w:rFonts w:cs="Arial"/>
                <w:b/>
                <w:color w:val="000000"/>
                <w:szCs w:val="22"/>
              </w:rPr>
            </w:pPr>
            <w:r w:rsidRPr="0019790A">
              <w:rPr>
                <w:rFonts w:cs="Arial"/>
                <w:b/>
                <w:color w:val="000000"/>
                <w:szCs w:val="22"/>
              </w:rPr>
              <w:t xml:space="preserve">Період здійснення: </w:t>
            </w:r>
          </w:p>
        </w:tc>
        <w:tc>
          <w:tcPr>
            <w:tcW w:w="6810" w:type="dxa"/>
            <w:gridSpan w:val="8"/>
            <w:vAlign w:val="center"/>
          </w:tcPr>
          <w:p w14:paraId="71B6BCCB" w14:textId="77777777" w:rsidR="00D1052A" w:rsidRPr="0019790A" w:rsidRDefault="00D1052A" w:rsidP="0019790A">
            <w:pPr>
              <w:rPr>
                <w:rFonts w:cs="Arial"/>
                <w:color w:val="000000"/>
                <w:szCs w:val="22"/>
                <w:lang w:eastAsia="it-IT"/>
              </w:rPr>
            </w:pPr>
            <w:r w:rsidRPr="0019790A">
              <w:rPr>
                <w:rFonts w:cs="Arial"/>
                <w:b/>
                <w:color w:val="000000"/>
                <w:szCs w:val="22"/>
              </w:rPr>
              <w:t>2025 – 2028 роки:</w:t>
            </w:r>
          </w:p>
        </w:tc>
      </w:tr>
      <w:tr w:rsidR="00D1052A" w:rsidRPr="0019790A" w14:paraId="775747D8" w14:textId="77777777" w:rsidTr="00D1052A">
        <w:trPr>
          <w:jc w:val="right"/>
        </w:trPr>
        <w:tc>
          <w:tcPr>
            <w:tcW w:w="3409" w:type="dxa"/>
            <w:vMerge w:val="restart"/>
            <w:shd w:val="clear" w:color="auto" w:fill="FFFFFF"/>
            <w:vAlign w:val="center"/>
          </w:tcPr>
          <w:p w14:paraId="6038C15E" w14:textId="77777777" w:rsidR="00D1052A" w:rsidRPr="0019790A" w:rsidRDefault="00D1052A" w:rsidP="0019790A">
            <w:pPr>
              <w:rPr>
                <w:rFonts w:cs="Arial"/>
                <w:b/>
                <w:bCs/>
                <w:color w:val="000000"/>
                <w:szCs w:val="22"/>
              </w:rPr>
            </w:pPr>
            <w:r w:rsidRPr="0019790A">
              <w:rPr>
                <w:rFonts w:cs="Arial"/>
                <w:b/>
                <w:bCs/>
                <w:color w:val="000000"/>
                <w:szCs w:val="22"/>
              </w:rPr>
              <w:t>Орієнтовна вартість проєкту, тис. грн., в тому числі:</w:t>
            </w:r>
          </w:p>
        </w:tc>
        <w:tc>
          <w:tcPr>
            <w:tcW w:w="1252" w:type="dxa"/>
            <w:gridSpan w:val="2"/>
            <w:shd w:val="clear" w:color="auto" w:fill="E6E6E6"/>
            <w:vAlign w:val="center"/>
          </w:tcPr>
          <w:p w14:paraId="7C5F2A48" w14:textId="77777777" w:rsidR="00D1052A" w:rsidRPr="0019790A" w:rsidRDefault="00D1052A" w:rsidP="0019790A">
            <w:pPr>
              <w:jc w:val="center"/>
              <w:rPr>
                <w:rFonts w:cs="Arial"/>
                <w:b/>
                <w:color w:val="000000"/>
                <w:szCs w:val="22"/>
                <w:lang w:eastAsia="it-IT"/>
              </w:rPr>
            </w:pPr>
            <w:r w:rsidRPr="0019790A">
              <w:rPr>
                <w:rFonts w:cs="Arial"/>
                <w:b/>
                <w:color w:val="000000"/>
                <w:szCs w:val="22"/>
                <w:lang w:eastAsia="it-IT"/>
              </w:rPr>
              <w:t>2025</w:t>
            </w:r>
          </w:p>
        </w:tc>
        <w:tc>
          <w:tcPr>
            <w:tcW w:w="1276" w:type="dxa"/>
            <w:gridSpan w:val="2"/>
            <w:shd w:val="clear" w:color="auto" w:fill="E6E6E6"/>
            <w:vAlign w:val="center"/>
          </w:tcPr>
          <w:p w14:paraId="69E60503" w14:textId="77777777" w:rsidR="00D1052A" w:rsidRPr="0019790A" w:rsidRDefault="00D1052A" w:rsidP="0019790A">
            <w:pPr>
              <w:jc w:val="center"/>
              <w:rPr>
                <w:rFonts w:cs="Arial"/>
                <w:b/>
                <w:color w:val="000000"/>
                <w:szCs w:val="22"/>
                <w:lang w:eastAsia="it-IT"/>
              </w:rPr>
            </w:pPr>
            <w:r w:rsidRPr="0019790A">
              <w:rPr>
                <w:rFonts w:cs="Arial"/>
                <w:b/>
                <w:color w:val="000000"/>
                <w:szCs w:val="22"/>
                <w:lang w:eastAsia="it-IT"/>
              </w:rPr>
              <w:t>2026</w:t>
            </w:r>
          </w:p>
        </w:tc>
        <w:tc>
          <w:tcPr>
            <w:tcW w:w="1425" w:type="dxa"/>
            <w:gridSpan w:val="2"/>
            <w:tcBorders>
              <w:bottom w:val="single" w:sz="4" w:space="0" w:color="auto"/>
            </w:tcBorders>
            <w:shd w:val="clear" w:color="auto" w:fill="E6E6E6"/>
            <w:vAlign w:val="center"/>
          </w:tcPr>
          <w:p w14:paraId="385B43D8" w14:textId="77777777" w:rsidR="00D1052A" w:rsidRPr="0019790A" w:rsidRDefault="00D1052A" w:rsidP="0019790A">
            <w:pPr>
              <w:jc w:val="center"/>
              <w:rPr>
                <w:rFonts w:cs="Arial"/>
                <w:b/>
                <w:color w:val="000000"/>
                <w:szCs w:val="22"/>
                <w:lang w:eastAsia="it-IT"/>
              </w:rPr>
            </w:pPr>
            <w:r w:rsidRPr="0019790A">
              <w:rPr>
                <w:rFonts w:cs="Arial"/>
                <w:b/>
                <w:color w:val="000000"/>
                <w:szCs w:val="22"/>
                <w:lang w:eastAsia="it-IT"/>
              </w:rPr>
              <w:t>2027</w:t>
            </w:r>
          </w:p>
        </w:tc>
        <w:tc>
          <w:tcPr>
            <w:tcW w:w="1279" w:type="dxa"/>
            <w:shd w:val="clear" w:color="auto" w:fill="E6E6E6"/>
            <w:vAlign w:val="center"/>
          </w:tcPr>
          <w:p w14:paraId="204683B2" w14:textId="77777777" w:rsidR="00D1052A" w:rsidRPr="0019790A" w:rsidRDefault="00D1052A" w:rsidP="0019790A">
            <w:pPr>
              <w:jc w:val="center"/>
              <w:rPr>
                <w:rFonts w:cs="Arial"/>
                <w:b/>
                <w:color w:val="000000"/>
                <w:szCs w:val="22"/>
                <w:lang w:eastAsia="it-IT"/>
              </w:rPr>
            </w:pPr>
            <w:r w:rsidRPr="0019790A">
              <w:rPr>
                <w:rFonts w:cs="Arial"/>
                <w:b/>
                <w:color w:val="000000"/>
                <w:szCs w:val="22"/>
                <w:lang w:eastAsia="it-IT"/>
              </w:rPr>
              <w:t>2028</w:t>
            </w:r>
          </w:p>
        </w:tc>
        <w:tc>
          <w:tcPr>
            <w:tcW w:w="1578" w:type="dxa"/>
            <w:shd w:val="clear" w:color="auto" w:fill="E6E6E6"/>
            <w:vAlign w:val="center"/>
          </w:tcPr>
          <w:p w14:paraId="4C370F6B" w14:textId="77777777" w:rsidR="00D1052A" w:rsidRPr="0019790A" w:rsidRDefault="00D1052A" w:rsidP="0019790A">
            <w:pPr>
              <w:jc w:val="center"/>
              <w:rPr>
                <w:rFonts w:cs="Arial"/>
                <w:b/>
                <w:color w:val="000000"/>
                <w:szCs w:val="22"/>
                <w:lang w:eastAsia="it-IT"/>
              </w:rPr>
            </w:pPr>
            <w:r w:rsidRPr="0019790A">
              <w:rPr>
                <w:rFonts w:cs="Arial"/>
                <w:b/>
                <w:color w:val="000000"/>
                <w:szCs w:val="22"/>
                <w:lang w:eastAsia="it-IT"/>
              </w:rPr>
              <w:t>РАЗОМ</w:t>
            </w:r>
          </w:p>
        </w:tc>
      </w:tr>
      <w:tr w:rsidR="00D1052A" w:rsidRPr="0019790A" w14:paraId="22A56B36" w14:textId="77777777" w:rsidTr="00D1052A">
        <w:trPr>
          <w:jc w:val="right"/>
        </w:trPr>
        <w:tc>
          <w:tcPr>
            <w:tcW w:w="3409" w:type="dxa"/>
            <w:vMerge/>
            <w:shd w:val="clear" w:color="auto" w:fill="FFFFFF"/>
            <w:vAlign w:val="center"/>
          </w:tcPr>
          <w:p w14:paraId="6A6C30B6" w14:textId="77777777" w:rsidR="00D1052A" w:rsidRPr="0019790A" w:rsidRDefault="00D1052A" w:rsidP="0019790A">
            <w:pPr>
              <w:rPr>
                <w:rFonts w:cs="Arial"/>
                <w:b/>
                <w:bCs/>
                <w:color w:val="000000"/>
                <w:szCs w:val="22"/>
              </w:rPr>
            </w:pPr>
          </w:p>
        </w:tc>
        <w:tc>
          <w:tcPr>
            <w:tcW w:w="1252" w:type="dxa"/>
            <w:gridSpan w:val="2"/>
            <w:vAlign w:val="center"/>
          </w:tcPr>
          <w:p w14:paraId="5395B113" w14:textId="77777777" w:rsidR="00D1052A" w:rsidRPr="0019790A" w:rsidRDefault="00D1052A" w:rsidP="0019790A">
            <w:pPr>
              <w:jc w:val="center"/>
              <w:rPr>
                <w:rFonts w:cs="Arial"/>
                <w:b/>
                <w:color w:val="000000"/>
                <w:szCs w:val="22"/>
                <w:lang w:eastAsia="it-IT"/>
              </w:rPr>
            </w:pPr>
          </w:p>
        </w:tc>
        <w:tc>
          <w:tcPr>
            <w:tcW w:w="1276" w:type="dxa"/>
            <w:gridSpan w:val="2"/>
            <w:vAlign w:val="center"/>
          </w:tcPr>
          <w:p w14:paraId="30B70284" w14:textId="77777777" w:rsidR="00D1052A" w:rsidRPr="0019790A" w:rsidRDefault="00D1052A" w:rsidP="0019790A">
            <w:pPr>
              <w:jc w:val="center"/>
              <w:rPr>
                <w:rFonts w:cs="Arial"/>
                <w:b/>
                <w:color w:val="000000"/>
                <w:szCs w:val="22"/>
                <w:lang w:eastAsia="it-IT"/>
              </w:rPr>
            </w:pPr>
            <w:r w:rsidRPr="0019790A">
              <w:rPr>
                <w:rFonts w:cs="Arial"/>
                <w:b/>
                <w:color w:val="000000"/>
                <w:szCs w:val="22"/>
                <w:lang w:eastAsia="it-IT"/>
              </w:rPr>
              <w:t>500,00</w:t>
            </w:r>
          </w:p>
        </w:tc>
        <w:tc>
          <w:tcPr>
            <w:tcW w:w="1425" w:type="dxa"/>
            <w:gridSpan w:val="2"/>
            <w:shd w:val="clear" w:color="auto" w:fill="FFFFFF"/>
            <w:vAlign w:val="center"/>
          </w:tcPr>
          <w:p w14:paraId="77E848E8" w14:textId="77777777" w:rsidR="00D1052A" w:rsidRPr="0019790A" w:rsidRDefault="00D1052A" w:rsidP="0019790A">
            <w:pPr>
              <w:jc w:val="center"/>
              <w:rPr>
                <w:rFonts w:cs="Arial"/>
                <w:b/>
                <w:color w:val="000000"/>
                <w:szCs w:val="22"/>
                <w:lang w:eastAsia="it-IT"/>
              </w:rPr>
            </w:pPr>
            <w:r w:rsidRPr="0019790A">
              <w:rPr>
                <w:rFonts w:cs="Arial"/>
                <w:b/>
                <w:color w:val="000000"/>
                <w:szCs w:val="22"/>
                <w:lang w:eastAsia="it-IT"/>
              </w:rPr>
              <w:t>7 500 ,00</w:t>
            </w:r>
          </w:p>
        </w:tc>
        <w:tc>
          <w:tcPr>
            <w:tcW w:w="1279" w:type="dxa"/>
            <w:shd w:val="clear" w:color="auto" w:fill="auto"/>
            <w:vAlign w:val="center"/>
          </w:tcPr>
          <w:p w14:paraId="2541ED03" w14:textId="77777777" w:rsidR="00D1052A" w:rsidRPr="0019790A" w:rsidRDefault="00D1052A" w:rsidP="0019790A">
            <w:pPr>
              <w:jc w:val="center"/>
              <w:rPr>
                <w:rFonts w:cs="Arial"/>
                <w:b/>
                <w:color w:val="000000"/>
                <w:szCs w:val="22"/>
                <w:lang w:eastAsia="it-IT"/>
              </w:rPr>
            </w:pPr>
          </w:p>
        </w:tc>
        <w:tc>
          <w:tcPr>
            <w:tcW w:w="1578" w:type="dxa"/>
            <w:shd w:val="clear" w:color="auto" w:fill="FFFFFF"/>
            <w:vAlign w:val="center"/>
          </w:tcPr>
          <w:p w14:paraId="6D2E41F6" w14:textId="77777777" w:rsidR="00D1052A" w:rsidRPr="0019790A" w:rsidRDefault="00D1052A" w:rsidP="0019790A">
            <w:pPr>
              <w:jc w:val="center"/>
              <w:rPr>
                <w:rFonts w:cs="Arial"/>
                <w:b/>
                <w:color w:val="000000"/>
                <w:szCs w:val="22"/>
                <w:lang w:eastAsia="it-IT"/>
              </w:rPr>
            </w:pPr>
            <w:r w:rsidRPr="0019790A">
              <w:rPr>
                <w:rFonts w:cs="Arial"/>
                <w:b/>
                <w:color w:val="000000"/>
                <w:szCs w:val="22"/>
                <w:lang w:eastAsia="it-IT"/>
              </w:rPr>
              <w:t>8 000, 00</w:t>
            </w:r>
          </w:p>
        </w:tc>
      </w:tr>
      <w:tr w:rsidR="00D1052A" w:rsidRPr="0019790A" w14:paraId="61F14AAA" w14:textId="77777777" w:rsidTr="00D1052A">
        <w:trPr>
          <w:trHeight w:val="276"/>
          <w:jc w:val="right"/>
        </w:trPr>
        <w:tc>
          <w:tcPr>
            <w:tcW w:w="3409" w:type="dxa"/>
            <w:shd w:val="clear" w:color="auto" w:fill="FFFFFF"/>
            <w:vAlign w:val="center"/>
          </w:tcPr>
          <w:p w14:paraId="3F0EBF5F" w14:textId="77777777" w:rsidR="00D1052A" w:rsidRPr="0019790A" w:rsidRDefault="00D1052A" w:rsidP="0019790A">
            <w:pPr>
              <w:rPr>
                <w:rFonts w:cs="Arial"/>
                <w:b/>
                <w:bCs/>
                <w:color w:val="000000"/>
                <w:szCs w:val="22"/>
              </w:rPr>
            </w:pPr>
            <w:r w:rsidRPr="0019790A">
              <w:rPr>
                <w:rFonts w:cs="Arial"/>
                <w:b/>
                <w:bCs/>
                <w:color w:val="000000"/>
                <w:szCs w:val="22"/>
              </w:rPr>
              <w:t>по джерелах фінансування:</w:t>
            </w:r>
          </w:p>
        </w:tc>
        <w:tc>
          <w:tcPr>
            <w:tcW w:w="6810" w:type="dxa"/>
            <w:gridSpan w:val="8"/>
            <w:vAlign w:val="center"/>
          </w:tcPr>
          <w:p w14:paraId="33D087AA" w14:textId="77777777" w:rsidR="00D1052A" w:rsidRPr="0019790A" w:rsidRDefault="00D1052A" w:rsidP="0019790A">
            <w:pPr>
              <w:jc w:val="both"/>
              <w:rPr>
                <w:rFonts w:cs="Arial"/>
                <w:color w:val="000000"/>
                <w:szCs w:val="22"/>
                <w:lang w:eastAsia="it-IT"/>
              </w:rPr>
            </w:pPr>
          </w:p>
        </w:tc>
      </w:tr>
      <w:tr w:rsidR="00D1052A" w:rsidRPr="0019790A" w14:paraId="2A0CB8A4" w14:textId="77777777" w:rsidTr="00D1052A">
        <w:trPr>
          <w:trHeight w:val="240"/>
          <w:jc w:val="right"/>
        </w:trPr>
        <w:tc>
          <w:tcPr>
            <w:tcW w:w="3409" w:type="dxa"/>
            <w:shd w:val="clear" w:color="auto" w:fill="FFFFFF"/>
            <w:vAlign w:val="center"/>
          </w:tcPr>
          <w:p w14:paraId="00CA47A9" w14:textId="77777777" w:rsidR="00D1052A" w:rsidRPr="0019790A" w:rsidRDefault="00D1052A" w:rsidP="0019790A">
            <w:pPr>
              <w:rPr>
                <w:rFonts w:cs="Arial"/>
                <w:b/>
                <w:bCs/>
                <w:color w:val="000000"/>
                <w:szCs w:val="22"/>
              </w:rPr>
            </w:pPr>
            <w:r w:rsidRPr="0019790A">
              <w:rPr>
                <w:rFonts w:cs="Arial"/>
                <w:color w:val="000000"/>
                <w:szCs w:val="22"/>
              </w:rPr>
              <w:t>- державний бюджет</w:t>
            </w:r>
          </w:p>
        </w:tc>
        <w:tc>
          <w:tcPr>
            <w:tcW w:w="1246" w:type="dxa"/>
            <w:vAlign w:val="center"/>
          </w:tcPr>
          <w:p w14:paraId="6B2BC116" w14:textId="77777777" w:rsidR="00D1052A" w:rsidRPr="0019790A" w:rsidRDefault="00D1052A" w:rsidP="0019790A">
            <w:pPr>
              <w:jc w:val="both"/>
              <w:rPr>
                <w:rFonts w:cs="Arial"/>
                <w:color w:val="000000"/>
                <w:szCs w:val="22"/>
                <w:lang w:eastAsia="it-IT"/>
              </w:rPr>
            </w:pPr>
          </w:p>
        </w:tc>
        <w:tc>
          <w:tcPr>
            <w:tcW w:w="1282" w:type="dxa"/>
            <w:gridSpan w:val="3"/>
            <w:vAlign w:val="center"/>
          </w:tcPr>
          <w:p w14:paraId="089B46A8" w14:textId="77777777" w:rsidR="00D1052A" w:rsidRPr="0019790A" w:rsidRDefault="00D1052A" w:rsidP="0019790A">
            <w:pPr>
              <w:jc w:val="both"/>
              <w:rPr>
                <w:rFonts w:cs="Arial"/>
                <w:color w:val="000000"/>
                <w:szCs w:val="22"/>
                <w:lang w:eastAsia="it-IT"/>
              </w:rPr>
            </w:pPr>
          </w:p>
        </w:tc>
        <w:tc>
          <w:tcPr>
            <w:tcW w:w="1425" w:type="dxa"/>
            <w:gridSpan w:val="2"/>
            <w:vAlign w:val="center"/>
          </w:tcPr>
          <w:p w14:paraId="47F25BFE" w14:textId="77777777" w:rsidR="00D1052A" w:rsidRPr="0019790A" w:rsidRDefault="00D1052A" w:rsidP="0019790A">
            <w:pPr>
              <w:jc w:val="both"/>
              <w:rPr>
                <w:rFonts w:cs="Arial"/>
                <w:color w:val="000000"/>
                <w:szCs w:val="22"/>
                <w:lang w:eastAsia="it-IT"/>
              </w:rPr>
            </w:pPr>
          </w:p>
        </w:tc>
        <w:tc>
          <w:tcPr>
            <w:tcW w:w="1279" w:type="dxa"/>
            <w:vAlign w:val="center"/>
          </w:tcPr>
          <w:p w14:paraId="37C00B9F" w14:textId="77777777" w:rsidR="00D1052A" w:rsidRPr="0019790A" w:rsidRDefault="00D1052A" w:rsidP="0019790A">
            <w:pPr>
              <w:jc w:val="both"/>
              <w:rPr>
                <w:rFonts w:cs="Arial"/>
                <w:color w:val="000000"/>
                <w:szCs w:val="22"/>
                <w:lang w:eastAsia="it-IT"/>
              </w:rPr>
            </w:pPr>
          </w:p>
        </w:tc>
        <w:tc>
          <w:tcPr>
            <w:tcW w:w="1578" w:type="dxa"/>
            <w:vAlign w:val="center"/>
          </w:tcPr>
          <w:p w14:paraId="5D8A9F43" w14:textId="77777777" w:rsidR="00D1052A" w:rsidRPr="0019790A" w:rsidRDefault="00D1052A" w:rsidP="0019790A">
            <w:pPr>
              <w:jc w:val="both"/>
              <w:rPr>
                <w:rFonts w:cs="Arial"/>
                <w:color w:val="000000"/>
                <w:szCs w:val="22"/>
                <w:lang w:eastAsia="it-IT"/>
              </w:rPr>
            </w:pPr>
          </w:p>
        </w:tc>
      </w:tr>
      <w:tr w:rsidR="00D1052A" w:rsidRPr="0019790A" w14:paraId="7AD57942" w14:textId="77777777" w:rsidTr="00D1052A">
        <w:trPr>
          <w:trHeight w:val="254"/>
          <w:jc w:val="right"/>
        </w:trPr>
        <w:tc>
          <w:tcPr>
            <w:tcW w:w="3409" w:type="dxa"/>
            <w:shd w:val="clear" w:color="auto" w:fill="FFFFFF"/>
            <w:vAlign w:val="center"/>
          </w:tcPr>
          <w:p w14:paraId="45142340" w14:textId="77777777" w:rsidR="00D1052A" w:rsidRPr="0019790A" w:rsidRDefault="00D1052A" w:rsidP="0019790A">
            <w:pPr>
              <w:rPr>
                <w:rFonts w:cs="Arial"/>
                <w:color w:val="000000"/>
                <w:szCs w:val="22"/>
              </w:rPr>
            </w:pPr>
            <w:r w:rsidRPr="0019790A">
              <w:rPr>
                <w:rFonts w:cs="Arial"/>
                <w:color w:val="000000"/>
                <w:szCs w:val="22"/>
              </w:rPr>
              <w:t>- обласний бюджет</w:t>
            </w:r>
          </w:p>
        </w:tc>
        <w:tc>
          <w:tcPr>
            <w:tcW w:w="1261" w:type="dxa"/>
            <w:gridSpan w:val="3"/>
            <w:vAlign w:val="center"/>
          </w:tcPr>
          <w:p w14:paraId="30992684" w14:textId="77777777" w:rsidR="00D1052A" w:rsidRPr="0019790A" w:rsidRDefault="00D1052A" w:rsidP="0019790A">
            <w:pPr>
              <w:jc w:val="both"/>
              <w:rPr>
                <w:rFonts w:cs="Arial"/>
                <w:color w:val="000000"/>
                <w:szCs w:val="22"/>
                <w:lang w:eastAsia="it-IT"/>
              </w:rPr>
            </w:pPr>
          </w:p>
        </w:tc>
        <w:tc>
          <w:tcPr>
            <w:tcW w:w="1279" w:type="dxa"/>
            <w:gridSpan w:val="2"/>
            <w:vAlign w:val="center"/>
          </w:tcPr>
          <w:p w14:paraId="7E676EBD" w14:textId="77777777" w:rsidR="00D1052A" w:rsidRPr="0019790A" w:rsidRDefault="00D1052A" w:rsidP="0019790A">
            <w:pPr>
              <w:jc w:val="both"/>
              <w:rPr>
                <w:rFonts w:cs="Arial"/>
                <w:color w:val="000000"/>
                <w:szCs w:val="22"/>
                <w:lang w:eastAsia="it-IT"/>
              </w:rPr>
            </w:pPr>
          </w:p>
        </w:tc>
        <w:tc>
          <w:tcPr>
            <w:tcW w:w="1413" w:type="dxa"/>
            <w:vAlign w:val="center"/>
          </w:tcPr>
          <w:p w14:paraId="6110523A" w14:textId="77777777" w:rsidR="00D1052A" w:rsidRPr="0019790A" w:rsidRDefault="00D1052A" w:rsidP="0019790A">
            <w:pPr>
              <w:jc w:val="both"/>
              <w:rPr>
                <w:rFonts w:cs="Arial"/>
                <w:color w:val="000000"/>
                <w:szCs w:val="22"/>
                <w:lang w:eastAsia="it-IT"/>
              </w:rPr>
            </w:pPr>
          </w:p>
        </w:tc>
        <w:tc>
          <w:tcPr>
            <w:tcW w:w="1279" w:type="dxa"/>
            <w:vAlign w:val="center"/>
          </w:tcPr>
          <w:p w14:paraId="4A2F67CA" w14:textId="77777777" w:rsidR="00D1052A" w:rsidRPr="0019790A" w:rsidRDefault="00D1052A" w:rsidP="0019790A">
            <w:pPr>
              <w:jc w:val="both"/>
              <w:rPr>
                <w:rFonts w:cs="Arial"/>
                <w:color w:val="000000"/>
                <w:szCs w:val="22"/>
                <w:lang w:eastAsia="it-IT"/>
              </w:rPr>
            </w:pPr>
          </w:p>
        </w:tc>
        <w:tc>
          <w:tcPr>
            <w:tcW w:w="1578" w:type="dxa"/>
            <w:vAlign w:val="center"/>
          </w:tcPr>
          <w:p w14:paraId="17AD9FBB" w14:textId="77777777" w:rsidR="00D1052A" w:rsidRPr="0019790A" w:rsidRDefault="00D1052A" w:rsidP="0019790A">
            <w:pPr>
              <w:jc w:val="both"/>
              <w:rPr>
                <w:rFonts w:cs="Arial"/>
                <w:color w:val="000000"/>
                <w:szCs w:val="22"/>
                <w:lang w:eastAsia="it-IT"/>
              </w:rPr>
            </w:pPr>
          </w:p>
        </w:tc>
      </w:tr>
      <w:tr w:rsidR="00D1052A" w:rsidRPr="0019790A" w14:paraId="720BD423" w14:textId="77777777" w:rsidTr="00D1052A">
        <w:trPr>
          <w:trHeight w:val="275"/>
          <w:jc w:val="right"/>
        </w:trPr>
        <w:tc>
          <w:tcPr>
            <w:tcW w:w="3409" w:type="dxa"/>
            <w:shd w:val="clear" w:color="auto" w:fill="FFFFFF"/>
            <w:vAlign w:val="center"/>
          </w:tcPr>
          <w:p w14:paraId="6A99DF3F" w14:textId="77777777" w:rsidR="00D1052A" w:rsidRPr="0019790A" w:rsidRDefault="00D1052A" w:rsidP="0019790A">
            <w:pPr>
              <w:rPr>
                <w:rFonts w:cs="Arial"/>
                <w:color w:val="000000"/>
                <w:szCs w:val="22"/>
              </w:rPr>
            </w:pPr>
            <w:r w:rsidRPr="0019790A">
              <w:rPr>
                <w:rFonts w:cs="Arial"/>
                <w:color w:val="000000"/>
                <w:szCs w:val="22"/>
              </w:rPr>
              <w:t>- бюджет Жмеринської МТГ</w:t>
            </w:r>
          </w:p>
        </w:tc>
        <w:tc>
          <w:tcPr>
            <w:tcW w:w="1252" w:type="dxa"/>
            <w:gridSpan w:val="2"/>
            <w:vAlign w:val="center"/>
          </w:tcPr>
          <w:p w14:paraId="2C1660E9" w14:textId="77777777" w:rsidR="00D1052A" w:rsidRPr="0019790A" w:rsidRDefault="00D1052A" w:rsidP="0019790A">
            <w:pPr>
              <w:jc w:val="both"/>
              <w:rPr>
                <w:rFonts w:cs="Arial"/>
                <w:color w:val="000000"/>
                <w:szCs w:val="22"/>
                <w:lang w:eastAsia="it-IT"/>
              </w:rPr>
            </w:pPr>
          </w:p>
        </w:tc>
        <w:tc>
          <w:tcPr>
            <w:tcW w:w="1276" w:type="dxa"/>
            <w:gridSpan w:val="2"/>
            <w:vAlign w:val="center"/>
          </w:tcPr>
          <w:p w14:paraId="71908922" w14:textId="77777777" w:rsidR="00D1052A" w:rsidRPr="0019790A" w:rsidRDefault="00D1052A" w:rsidP="008A040F">
            <w:pPr>
              <w:jc w:val="center"/>
              <w:rPr>
                <w:rFonts w:cs="Arial"/>
                <w:color w:val="000000"/>
                <w:szCs w:val="22"/>
                <w:lang w:eastAsia="it-IT"/>
              </w:rPr>
            </w:pPr>
            <w:r w:rsidRPr="0019790A">
              <w:rPr>
                <w:rFonts w:cs="Arial"/>
                <w:color w:val="000000"/>
                <w:szCs w:val="22"/>
                <w:lang w:eastAsia="it-IT"/>
              </w:rPr>
              <w:t>350,00</w:t>
            </w:r>
          </w:p>
        </w:tc>
        <w:tc>
          <w:tcPr>
            <w:tcW w:w="1425" w:type="dxa"/>
            <w:gridSpan w:val="2"/>
            <w:vAlign w:val="center"/>
          </w:tcPr>
          <w:p w14:paraId="50E9C9EC" w14:textId="77777777" w:rsidR="00D1052A" w:rsidRPr="0019790A" w:rsidRDefault="00D1052A" w:rsidP="008A040F">
            <w:pPr>
              <w:jc w:val="center"/>
              <w:rPr>
                <w:rFonts w:cs="Arial"/>
                <w:color w:val="000000"/>
                <w:szCs w:val="22"/>
                <w:lang w:eastAsia="it-IT"/>
              </w:rPr>
            </w:pPr>
            <w:r w:rsidRPr="0019790A">
              <w:rPr>
                <w:rFonts w:cs="Arial"/>
                <w:color w:val="000000"/>
                <w:szCs w:val="22"/>
                <w:lang w:eastAsia="it-IT"/>
              </w:rPr>
              <w:t>5250,00</w:t>
            </w:r>
          </w:p>
        </w:tc>
        <w:tc>
          <w:tcPr>
            <w:tcW w:w="1279" w:type="dxa"/>
            <w:vAlign w:val="center"/>
          </w:tcPr>
          <w:p w14:paraId="33F44438" w14:textId="77777777" w:rsidR="00D1052A" w:rsidRPr="0019790A" w:rsidRDefault="00D1052A" w:rsidP="0019790A">
            <w:pPr>
              <w:jc w:val="both"/>
              <w:rPr>
                <w:rFonts w:cs="Arial"/>
                <w:color w:val="000000"/>
                <w:szCs w:val="22"/>
                <w:lang w:eastAsia="it-IT"/>
              </w:rPr>
            </w:pPr>
          </w:p>
        </w:tc>
        <w:tc>
          <w:tcPr>
            <w:tcW w:w="1578" w:type="dxa"/>
            <w:vAlign w:val="center"/>
          </w:tcPr>
          <w:p w14:paraId="3CE9D7E2" w14:textId="77777777" w:rsidR="00D1052A" w:rsidRPr="008A040F" w:rsidRDefault="00D1052A" w:rsidP="008A040F">
            <w:pPr>
              <w:jc w:val="center"/>
              <w:rPr>
                <w:rFonts w:cs="Arial"/>
                <w:b/>
                <w:color w:val="000000"/>
                <w:szCs w:val="22"/>
                <w:lang w:eastAsia="it-IT"/>
              </w:rPr>
            </w:pPr>
            <w:r w:rsidRPr="008A040F">
              <w:rPr>
                <w:rFonts w:cs="Arial"/>
                <w:b/>
                <w:color w:val="000000"/>
                <w:szCs w:val="22"/>
                <w:lang w:eastAsia="it-IT"/>
              </w:rPr>
              <w:t>5600,00</w:t>
            </w:r>
          </w:p>
        </w:tc>
      </w:tr>
      <w:tr w:rsidR="00D1052A" w:rsidRPr="0019790A" w14:paraId="2E482EC2" w14:textId="77777777" w:rsidTr="00D1052A">
        <w:trPr>
          <w:trHeight w:val="226"/>
          <w:jc w:val="right"/>
        </w:trPr>
        <w:tc>
          <w:tcPr>
            <w:tcW w:w="3409" w:type="dxa"/>
            <w:shd w:val="clear" w:color="auto" w:fill="FFFFFF"/>
            <w:vAlign w:val="center"/>
          </w:tcPr>
          <w:p w14:paraId="4AD63727" w14:textId="77777777" w:rsidR="00D1052A" w:rsidRPr="0019790A" w:rsidRDefault="00D1052A" w:rsidP="0019790A">
            <w:pPr>
              <w:rPr>
                <w:rFonts w:cs="Arial"/>
                <w:color w:val="000000"/>
                <w:szCs w:val="22"/>
              </w:rPr>
            </w:pPr>
            <w:r w:rsidRPr="0019790A">
              <w:rPr>
                <w:rFonts w:cs="Arial"/>
                <w:color w:val="000000"/>
                <w:szCs w:val="22"/>
              </w:rPr>
              <w:t>- інші джерела фінансування</w:t>
            </w:r>
          </w:p>
        </w:tc>
        <w:tc>
          <w:tcPr>
            <w:tcW w:w="1261" w:type="dxa"/>
            <w:gridSpan w:val="3"/>
            <w:vAlign w:val="center"/>
          </w:tcPr>
          <w:p w14:paraId="170EB780" w14:textId="77777777" w:rsidR="00D1052A" w:rsidRPr="0019790A" w:rsidRDefault="00D1052A" w:rsidP="008A040F">
            <w:pPr>
              <w:jc w:val="center"/>
              <w:rPr>
                <w:rFonts w:cs="Arial"/>
                <w:color w:val="000000"/>
                <w:szCs w:val="22"/>
                <w:lang w:eastAsia="it-IT"/>
              </w:rPr>
            </w:pPr>
          </w:p>
        </w:tc>
        <w:tc>
          <w:tcPr>
            <w:tcW w:w="1276" w:type="dxa"/>
            <w:gridSpan w:val="2"/>
            <w:vAlign w:val="center"/>
          </w:tcPr>
          <w:p w14:paraId="2AA2654B" w14:textId="77777777" w:rsidR="00D1052A" w:rsidRPr="0019790A" w:rsidRDefault="00D1052A" w:rsidP="008A040F">
            <w:pPr>
              <w:jc w:val="center"/>
              <w:rPr>
                <w:rFonts w:cs="Arial"/>
                <w:color w:val="000000"/>
                <w:szCs w:val="22"/>
                <w:lang w:eastAsia="it-IT"/>
              </w:rPr>
            </w:pPr>
            <w:r w:rsidRPr="0019790A">
              <w:rPr>
                <w:rFonts w:cs="Arial"/>
                <w:color w:val="000000"/>
                <w:szCs w:val="22"/>
                <w:lang w:eastAsia="it-IT"/>
              </w:rPr>
              <w:t>150,00</w:t>
            </w:r>
          </w:p>
        </w:tc>
        <w:tc>
          <w:tcPr>
            <w:tcW w:w="1416" w:type="dxa"/>
            <w:vAlign w:val="center"/>
          </w:tcPr>
          <w:p w14:paraId="3314C623" w14:textId="77777777" w:rsidR="00D1052A" w:rsidRPr="0019790A" w:rsidRDefault="00D1052A" w:rsidP="008A040F">
            <w:pPr>
              <w:jc w:val="center"/>
              <w:rPr>
                <w:rFonts w:cs="Arial"/>
                <w:color w:val="000000"/>
                <w:szCs w:val="22"/>
                <w:lang w:eastAsia="it-IT"/>
              </w:rPr>
            </w:pPr>
            <w:r w:rsidRPr="0019790A">
              <w:rPr>
                <w:rFonts w:cs="Arial"/>
                <w:color w:val="000000"/>
                <w:szCs w:val="22"/>
                <w:lang w:eastAsia="it-IT"/>
              </w:rPr>
              <w:t>2250,00</w:t>
            </w:r>
          </w:p>
        </w:tc>
        <w:tc>
          <w:tcPr>
            <w:tcW w:w="1279" w:type="dxa"/>
            <w:vAlign w:val="center"/>
          </w:tcPr>
          <w:p w14:paraId="3F020907" w14:textId="77777777" w:rsidR="00D1052A" w:rsidRPr="0019790A" w:rsidRDefault="00D1052A" w:rsidP="0019790A">
            <w:pPr>
              <w:jc w:val="both"/>
              <w:rPr>
                <w:rFonts w:cs="Arial"/>
                <w:color w:val="000000"/>
                <w:szCs w:val="22"/>
                <w:lang w:eastAsia="it-IT"/>
              </w:rPr>
            </w:pPr>
          </w:p>
        </w:tc>
        <w:tc>
          <w:tcPr>
            <w:tcW w:w="1578" w:type="dxa"/>
            <w:vAlign w:val="center"/>
          </w:tcPr>
          <w:p w14:paraId="4C2122FD" w14:textId="77777777" w:rsidR="00D1052A" w:rsidRPr="008A040F" w:rsidRDefault="00D1052A" w:rsidP="008A040F">
            <w:pPr>
              <w:jc w:val="center"/>
              <w:rPr>
                <w:rFonts w:cs="Arial"/>
                <w:b/>
                <w:color w:val="000000"/>
                <w:szCs w:val="22"/>
                <w:lang w:eastAsia="it-IT"/>
              </w:rPr>
            </w:pPr>
            <w:r w:rsidRPr="008A040F">
              <w:rPr>
                <w:rFonts w:cs="Arial"/>
                <w:b/>
                <w:color w:val="000000"/>
                <w:szCs w:val="22"/>
                <w:lang w:eastAsia="it-IT"/>
              </w:rPr>
              <w:t>2400,00</w:t>
            </w:r>
          </w:p>
        </w:tc>
      </w:tr>
      <w:tr w:rsidR="00D1052A" w:rsidRPr="0019790A" w14:paraId="06BEEE62" w14:textId="77777777" w:rsidTr="00D1052A">
        <w:trPr>
          <w:jc w:val="right"/>
        </w:trPr>
        <w:tc>
          <w:tcPr>
            <w:tcW w:w="3409" w:type="dxa"/>
            <w:shd w:val="clear" w:color="auto" w:fill="FFFFFF"/>
            <w:vAlign w:val="center"/>
          </w:tcPr>
          <w:p w14:paraId="2236A311" w14:textId="77777777" w:rsidR="00D1052A" w:rsidRPr="0019790A" w:rsidRDefault="00D1052A" w:rsidP="0019790A">
            <w:pPr>
              <w:rPr>
                <w:rFonts w:cs="Arial"/>
                <w:b/>
                <w:bCs/>
                <w:color w:val="000000"/>
                <w:szCs w:val="22"/>
              </w:rPr>
            </w:pPr>
            <w:r w:rsidRPr="0019790A">
              <w:rPr>
                <w:rFonts w:cs="Arial"/>
                <w:b/>
                <w:color w:val="000000"/>
                <w:szCs w:val="22"/>
              </w:rPr>
              <w:t>Відповідальний виконавець проєкту:</w:t>
            </w:r>
          </w:p>
        </w:tc>
        <w:tc>
          <w:tcPr>
            <w:tcW w:w="6810" w:type="dxa"/>
            <w:gridSpan w:val="8"/>
            <w:vAlign w:val="center"/>
          </w:tcPr>
          <w:p w14:paraId="251A8DCE" w14:textId="77777777" w:rsidR="00D1052A" w:rsidRPr="0019790A" w:rsidRDefault="00D1052A" w:rsidP="0019790A">
            <w:pPr>
              <w:jc w:val="both"/>
              <w:rPr>
                <w:rFonts w:cs="Arial"/>
                <w:color w:val="000000"/>
                <w:szCs w:val="22"/>
                <w:lang w:eastAsia="it-IT"/>
              </w:rPr>
            </w:pPr>
            <w:r w:rsidRPr="0019790A">
              <w:rPr>
                <w:rFonts w:cs="Arial"/>
                <w:color w:val="000000"/>
                <w:szCs w:val="22"/>
                <w:lang w:eastAsia="it-IT"/>
              </w:rPr>
              <w:t>Управління ЖКГ Жмеринської міської ради, управління освіти, заклад освіти</w:t>
            </w:r>
          </w:p>
        </w:tc>
      </w:tr>
      <w:tr w:rsidR="00D1052A" w:rsidRPr="0019790A" w14:paraId="6130530E" w14:textId="77777777" w:rsidTr="00D1052A">
        <w:trPr>
          <w:jc w:val="right"/>
        </w:trPr>
        <w:tc>
          <w:tcPr>
            <w:tcW w:w="3409" w:type="dxa"/>
            <w:shd w:val="clear" w:color="auto" w:fill="FFFFFF"/>
            <w:vAlign w:val="center"/>
          </w:tcPr>
          <w:p w14:paraId="65CBD135" w14:textId="77777777" w:rsidR="00D1052A" w:rsidRPr="0019790A" w:rsidRDefault="00D1052A" w:rsidP="0019790A">
            <w:pPr>
              <w:rPr>
                <w:rFonts w:cs="Arial"/>
                <w:b/>
                <w:bCs/>
                <w:color w:val="000000"/>
                <w:szCs w:val="22"/>
              </w:rPr>
            </w:pPr>
            <w:r w:rsidRPr="0019790A">
              <w:rPr>
                <w:rFonts w:cs="Arial"/>
                <w:b/>
                <w:bCs/>
                <w:color w:val="000000"/>
                <w:szCs w:val="22"/>
              </w:rPr>
              <w:t>Інше:</w:t>
            </w:r>
          </w:p>
        </w:tc>
        <w:tc>
          <w:tcPr>
            <w:tcW w:w="6810" w:type="dxa"/>
            <w:gridSpan w:val="8"/>
            <w:vAlign w:val="center"/>
          </w:tcPr>
          <w:p w14:paraId="5725D384" w14:textId="77777777" w:rsidR="00D1052A" w:rsidRPr="0019790A" w:rsidRDefault="00D1052A" w:rsidP="0019790A">
            <w:pPr>
              <w:rPr>
                <w:rFonts w:cs="Arial"/>
                <w:color w:val="000000"/>
                <w:szCs w:val="22"/>
                <w:lang w:eastAsia="it-IT"/>
              </w:rPr>
            </w:pPr>
          </w:p>
        </w:tc>
      </w:tr>
    </w:tbl>
    <w:p w14:paraId="15EF33B4" w14:textId="77777777" w:rsidR="00D1052A" w:rsidRPr="0019790A" w:rsidRDefault="00D1052A" w:rsidP="0019790A">
      <w:pPr>
        <w:rPr>
          <w:rFonts w:cs="Arial"/>
          <w:szCs w:val="22"/>
        </w:rPr>
      </w:pPr>
    </w:p>
    <w:p w14:paraId="7249C882" w14:textId="77777777" w:rsidR="00D1052A" w:rsidRPr="0019790A" w:rsidRDefault="00D1052A" w:rsidP="0019790A">
      <w:pPr>
        <w:rPr>
          <w:rFonts w:cs="Arial"/>
          <w:b/>
          <w:color w:val="FF0000"/>
          <w:szCs w:val="22"/>
        </w:rPr>
      </w:pPr>
    </w:p>
    <w:p w14:paraId="13C733CF" w14:textId="77777777" w:rsidR="00D1052A" w:rsidRPr="0019790A" w:rsidRDefault="00D1052A" w:rsidP="0019790A">
      <w:pPr>
        <w:jc w:val="center"/>
        <w:rPr>
          <w:rFonts w:cs="Arial"/>
          <w:b/>
          <w:szCs w:val="22"/>
        </w:rPr>
      </w:pPr>
      <w:r w:rsidRPr="0019790A">
        <w:rPr>
          <w:rFonts w:cs="Arial"/>
          <w:b/>
          <w:szCs w:val="22"/>
        </w:rPr>
        <w:t xml:space="preserve">Форма технічного завдання на проєкт місцевого розвитку </w:t>
      </w:r>
    </w:p>
    <w:p w14:paraId="5C1B4FDC" w14:textId="77777777" w:rsidR="00D1052A" w:rsidRPr="0019790A" w:rsidRDefault="00D1052A" w:rsidP="0019790A">
      <w:pPr>
        <w:jc w:val="center"/>
        <w:rPr>
          <w:rFonts w:cs="Arial"/>
          <w:b/>
          <w:szCs w:val="22"/>
        </w:rPr>
      </w:pPr>
      <w:r w:rsidRPr="0019790A">
        <w:rPr>
          <w:rFonts w:cs="Arial"/>
          <w:b/>
          <w:szCs w:val="22"/>
        </w:rPr>
        <w:t>до Плану заходів з реалізації Стратегії</w:t>
      </w:r>
    </w:p>
    <w:p w14:paraId="1ED38596" w14:textId="77777777" w:rsidR="00D1052A" w:rsidRPr="0019790A" w:rsidRDefault="00D1052A"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1275"/>
        <w:gridCol w:w="1418"/>
        <w:gridCol w:w="1276"/>
        <w:gridCol w:w="1571"/>
      </w:tblGrid>
      <w:tr w:rsidR="00D1052A" w:rsidRPr="0019790A" w14:paraId="65079DA3" w14:textId="77777777" w:rsidTr="00D1052A">
        <w:trPr>
          <w:jc w:val="right"/>
        </w:trPr>
        <w:tc>
          <w:tcPr>
            <w:tcW w:w="3425" w:type="dxa"/>
            <w:vAlign w:val="center"/>
          </w:tcPr>
          <w:p w14:paraId="33B89D17" w14:textId="77777777" w:rsidR="00D1052A" w:rsidRPr="0019790A" w:rsidRDefault="00D1052A" w:rsidP="0019790A">
            <w:pPr>
              <w:rPr>
                <w:rFonts w:cs="Arial"/>
                <w:b/>
                <w:bCs/>
                <w:szCs w:val="22"/>
              </w:rPr>
            </w:pPr>
            <w:r w:rsidRPr="0019790A">
              <w:rPr>
                <w:rFonts w:cs="Arial"/>
                <w:b/>
                <w:bCs/>
                <w:szCs w:val="22"/>
              </w:rPr>
              <w:t>Назва проєкту:</w:t>
            </w:r>
          </w:p>
        </w:tc>
        <w:tc>
          <w:tcPr>
            <w:tcW w:w="6794" w:type="dxa"/>
            <w:gridSpan w:val="5"/>
          </w:tcPr>
          <w:p w14:paraId="4C6F4DC7" w14:textId="77777777" w:rsidR="00D1052A" w:rsidRPr="0019790A" w:rsidRDefault="00D1052A" w:rsidP="0019790A">
            <w:pPr>
              <w:pStyle w:val="aa"/>
              <w:jc w:val="both"/>
              <w:rPr>
                <w:rFonts w:ascii="Arial" w:hAnsi="Arial" w:cs="Arial"/>
                <w:b/>
              </w:rPr>
            </w:pPr>
            <w:r w:rsidRPr="0019790A">
              <w:rPr>
                <w:rFonts w:ascii="Arial" w:hAnsi="Arial" w:cs="Arial"/>
                <w:b/>
                <w:lang w:eastAsia="it-IT"/>
              </w:rPr>
              <w:t xml:space="preserve"> </w:t>
            </w:r>
            <w:r w:rsidRPr="0019790A">
              <w:rPr>
                <w:rFonts w:ascii="Arial" w:hAnsi="Arial" w:cs="Arial"/>
                <w:b/>
              </w:rPr>
              <w:t>«Підйомник для дітей з інвалідністю -  необхідна умова для забезпечення безбар’єрного доступу до якісної освіти»</w:t>
            </w:r>
          </w:p>
        </w:tc>
      </w:tr>
      <w:tr w:rsidR="00D1052A" w:rsidRPr="0019790A" w14:paraId="082514BB" w14:textId="77777777" w:rsidTr="00D1052A">
        <w:trPr>
          <w:jc w:val="right"/>
        </w:trPr>
        <w:tc>
          <w:tcPr>
            <w:tcW w:w="3425" w:type="dxa"/>
          </w:tcPr>
          <w:p w14:paraId="703767F4" w14:textId="77777777" w:rsidR="00D1052A" w:rsidRPr="0019790A" w:rsidRDefault="00D1052A"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189BF181" w14:textId="77777777" w:rsidR="00D1052A" w:rsidRPr="0019790A" w:rsidRDefault="00D1052A"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5"/>
          </w:tcPr>
          <w:p w14:paraId="318CB110" w14:textId="77777777" w:rsidR="00D1052A" w:rsidRPr="0019790A" w:rsidRDefault="00D1052A" w:rsidP="0019790A">
            <w:pPr>
              <w:rPr>
                <w:rFonts w:cs="Arial"/>
                <w:szCs w:val="22"/>
                <w:lang w:eastAsia="it-IT"/>
              </w:rPr>
            </w:pPr>
            <w:r w:rsidRPr="0019790A">
              <w:rPr>
                <w:rFonts w:cs="Arial"/>
                <w:szCs w:val="22"/>
                <w:lang w:eastAsia="it-IT"/>
              </w:rPr>
              <w:t xml:space="preserve"> Управління освіти Жмеринської міської ради</w:t>
            </w:r>
          </w:p>
          <w:p w14:paraId="7D718C6C" w14:textId="77777777" w:rsidR="00D1052A" w:rsidRPr="0019790A" w:rsidRDefault="00D1052A" w:rsidP="0019790A">
            <w:pPr>
              <w:rPr>
                <w:rFonts w:cs="Arial"/>
                <w:szCs w:val="22"/>
                <w:lang w:eastAsia="it-IT"/>
              </w:rPr>
            </w:pPr>
            <w:r w:rsidRPr="0019790A">
              <w:rPr>
                <w:rFonts w:cs="Arial"/>
                <w:bCs/>
                <w:szCs w:val="22"/>
              </w:rPr>
              <w:t xml:space="preserve"> КЗ «Жмеринський ліцей № 5»</w:t>
            </w:r>
          </w:p>
        </w:tc>
      </w:tr>
      <w:tr w:rsidR="00D1052A" w:rsidRPr="0019790A" w14:paraId="246337D3" w14:textId="77777777" w:rsidTr="00D1052A">
        <w:trPr>
          <w:jc w:val="right"/>
        </w:trPr>
        <w:tc>
          <w:tcPr>
            <w:tcW w:w="3425" w:type="dxa"/>
          </w:tcPr>
          <w:p w14:paraId="11990967" w14:textId="77777777" w:rsidR="00D1052A" w:rsidRPr="0019790A" w:rsidRDefault="00D1052A" w:rsidP="0019790A">
            <w:pPr>
              <w:rPr>
                <w:rFonts w:cs="Arial"/>
                <w:b/>
                <w:bCs/>
                <w:szCs w:val="22"/>
              </w:rPr>
            </w:pPr>
            <w:r w:rsidRPr="0019790A">
              <w:rPr>
                <w:rFonts w:cs="Arial"/>
                <w:szCs w:val="22"/>
                <w:lang w:eastAsia="it-IT"/>
              </w:rPr>
              <w:t>Прізвище Ім’я по-батькові:</w:t>
            </w:r>
          </w:p>
        </w:tc>
        <w:tc>
          <w:tcPr>
            <w:tcW w:w="6794" w:type="dxa"/>
            <w:gridSpan w:val="5"/>
          </w:tcPr>
          <w:p w14:paraId="370A6220" w14:textId="77777777" w:rsidR="00D1052A" w:rsidRPr="0019790A" w:rsidRDefault="00D1052A" w:rsidP="0019790A">
            <w:pPr>
              <w:pStyle w:val="TableParagraph"/>
              <w:ind w:left="0"/>
              <w:rPr>
                <w:rFonts w:ascii="Arial" w:hAnsi="Arial" w:cs="Arial"/>
              </w:rPr>
            </w:pPr>
            <w:r w:rsidRPr="0019790A">
              <w:rPr>
                <w:rFonts w:ascii="Arial" w:hAnsi="Arial" w:cs="Arial"/>
              </w:rPr>
              <w:t>Твердохліб Аліна Петрівна</w:t>
            </w:r>
          </w:p>
        </w:tc>
      </w:tr>
      <w:tr w:rsidR="00D1052A" w:rsidRPr="0019790A" w14:paraId="285F7C3E" w14:textId="77777777" w:rsidTr="00D1052A">
        <w:trPr>
          <w:jc w:val="right"/>
        </w:trPr>
        <w:tc>
          <w:tcPr>
            <w:tcW w:w="3425" w:type="dxa"/>
          </w:tcPr>
          <w:p w14:paraId="0D615719" w14:textId="77777777" w:rsidR="00D1052A" w:rsidRPr="0019790A" w:rsidRDefault="00D1052A" w:rsidP="0019790A">
            <w:pPr>
              <w:rPr>
                <w:rFonts w:cs="Arial"/>
                <w:b/>
                <w:bCs/>
                <w:szCs w:val="22"/>
              </w:rPr>
            </w:pPr>
            <w:r w:rsidRPr="0019790A">
              <w:rPr>
                <w:rFonts w:cs="Arial"/>
                <w:szCs w:val="22"/>
                <w:lang w:eastAsia="it-IT"/>
              </w:rPr>
              <w:t>Телефон (мобільний):</w:t>
            </w:r>
          </w:p>
        </w:tc>
        <w:tc>
          <w:tcPr>
            <w:tcW w:w="6794" w:type="dxa"/>
            <w:gridSpan w:val="5"/>
          </w:tcPr>
          <w:p w14:paraId="6A570B75" w14:textId="77777777" w:rsidR="00D1052A" w:rsidRPr="0019790A" w:rsidRDefault="00D1052A" w:rsidP="0019790A">
            <w:pPr>
              <w:pStyle w:val="TableParagraph"/>
              <w:ind w:left="66"/>
              <w:rPr>
                <w:rFonts w:ascii="Arial" w:hAnsi="Arial" w:cs="Arial"/>
              </w:rPr>
            </w:pPr>
            <w:r w:rsidRPr="0019790A">
              <w:rPr>
                <w:rFonts w:ascii="Arial" w:hAnsi="Arial" w:cs="Arial"/>
                <w:spacing w:val="-2"/>
              </w:rPr>
              <w:t>+380 (67) 895 55 75</w:t>
            </w:r>
          </w:p>
        </w:tc>
      </w:tr>
      <w:tr w:rsidR="00D1052A" w:rsidRPr="0019790A" w14:paraId="1FA35B1D" w14:textId="77777777" w:rsidTr="00D1052A">
        <w:trPr>
          <w:jc w:val="right"/>
        </w:trPr>
        <w:tc>
          <w:tcPr>
            <w:tcW w:w="3425" w:type="dxa"/>
          </w:tcPr>
          <w:p w14:paraId="722E3036" w14:textId="77777777" w:rsidR="00D1052A" w:rsidRPr="0019790A" w:rsidRDefault="00D1052A" w:rsidP="0019790A">
            <w:pPr>
              <w:rPr>
                <w:rFonts w:cs="Arial"/>
                <w:b/>
                <w:bCs/>
                <w:szCs w:val="22"/>
              </w:rPr>
            </w:pPr>
            <w:r w:rsidRPr="0019790A">
              <w:rPr>
                <w:rFonts w:cs="Arial"/>
                <w:szCs w:val="22"/>
                <w:lang w:eastAsia="it-IT"/>
              </w:rPr>
              <w:t>Електронна адреса:</w:t>
            </w:r>
          </w:p>
        </w:tc>
        <w:tc>
          <w:tcPr>
            <w:tcW w:w="6794" w:type="dxa"/>
            <w:gridSpan w:val="5"/>
          </w:tcPr>
          <w:p w14:paraId="70FC71B7" w14:textId="77777777" w:rsidR="00D1052A" w:rsidRPr="0019790A" w:rsidRDefault="00D1052A" w:rsidP="0019790A">
            <w:pPr>
              <w:pStyle w:val="TableParagraph"/>
              <w:ind w:left="66"/>
              <w:rPr>
                <w:rFonts w:ascii="Arial" w:hAnsi="Arial" w:cs="Arial"/>
                <w:b/>
              </w:rPr>
            </w:pPr>
            <w:r w:rsidRPr="0019790A">
              <w:rPr>
                <w:rFonts w:ascii="Arial" w:hAnsi="Arial" w:cs="Arial"/>
              </w:rPr>
              <w:t xml:space="preserve"> </w:t>
            </w:r>
            <w:hyperlink r:id="rId105" w:history="1">
              <w:r w:rsidRPr="0019790A">
                <w:rPr>
                  <w:rStyle w:val="af0"/>
                  <w:rFonts w:ascii="Arial" w:hAnsi="Arial" w:cs="Arial"/>
                  <w:noProof w:val="0"/>
                  <w:spacing w:val="5"/>
                  <w:sz w:val="22"/>
                  <w:szCs w:val="22"/>
                </w:rPr>
                <w:t>uposv.zmr@gmail.com</w:t>
              </w:r>
            </w:hyperlink>
          </w:p>
        </w:tc>
      </w:tr>
      <w:tr w:rsidR="00D1052A" w:rsidRPr="0019790A" w14:paraId="7CA8558E" w14:textId="77777777" w:rsidTr="00D1052A">
        <w:trPr>
          <w:jc w:val="right"/>
        </w:trPr>
        <w:tc>
          <w:tcPr>
            <w:tcW w:w="3425" w:type="dxa"/>
            <w:vAlign w:val="center"/>
          </w:tcPr>
          <w:p w14:paraId="58EB3516" w14:textId="77777777" w:rsidR="00D1052A" w:rsidRPr="0019790A" w:rsidRDefault="00D1052A" w:rsidP="0019790A">
            <w:pPr>
              <w:pStyle w:val="6"/>
              <w:spacing w:before="0" w:after="0"/>
              <w:rPr>
                <w:rFonts w:ascii="Arial" w:hAnsi="Arial" w:cs="Arial"/>
                <w:lang w:val="uk-UA"/>
              </w:rPr>
            </w:pPr>
            <w:r w:rsidRPr="0019790A">
              <w:rPr>
                <w:rFonts w:ascii="Arial" w:hAnsi="Arial" w:cs="Arial"/>
                <w:lang w:val="uk-UA"/>
              </w:rPr>
              <w:t>Номер і назва завдання з Стратегії</w:t>
            </w:r>
            <w:r w:rsidRPr="0019790A">
              <w:rPr>
                <w:rFonts w:ascii="Arial" w:hAnsi="Arial" w:cs="Arial"/>
                <w:lang w:val="uk-UA" w:eastAsia="it-IT"/>
              </w:rPr>
              <w:t xml:space="preserve"> </w:t>
            </w:r>
            <w:r w:rsidRPr="0019790A">
              <w:rPr>
                <w:rFonts w:ascii="Arial" w:hAnsi="Arial" w:cs="Arial"/>
                <w:lang w:val="uk-UA"/>
              </w:rPr>
              <w:t>розвитку Жмеринської міської територіальної громади,  якому відповідає проєкт:</w:t>
            </w:r>
          </w:p>
        </w:tc>
        <w:tc>
          <w:tcPr>
            <w:tcW w:w="6794" w:type="dxa"/>
            <w:gridSpan w:val="5"/>
          </w:tcPr>
          <w:p w14:paraId="526066C1" w14:textId="77777777" w:rsidR="00D1052A" w:rsidRPr="0019790A" w:rsidRDefault="00D1052A" w:rsidP="0019790A">
            <w:pPr>
              <w:rPr>
                <w:rFonts w:cs="Arial"/>
                <w:szCs w:val="22"/>
              </w:rPr>
            </w:pPr>
            <w:r w:rsidRPr="0019790A">
              <w:rPr>
                <w:rFonts w:cs="Arial"/>
                <w:szCs w:val="22"/>
              </w:rPr>
              <w:t xml:space="preserve"> С.1.1.2. Розвиток освітньої інфраструктури територіальної громади відповідно до вимог часу.</w:t>
            </w:r>
          </w:p>
          <w:p w14:paraId="5752EB2E" w14:textId="77777777" w:rsidR="00D1052A" w:rsidRPr="0019790A" w:rsidRDefault="00D1052A" w:rsidP="0019790A">
            <w:pPr>
              <w:rPr>
                <w:rFonts w:cs="Arial"/>
                <w:szCs w:val="22"/>
              </w:rPr>
            </w:pPr>
            <w:r w:rsidRPr="0019790A">
              <w:rPr>
                <w:rFonts w:cs="Arial"/>
                <w:szCs w:val="22"/>
              </w:rPr>
              <w:t xml:space="preserve"> С.1.4.5. Формування та розвиток спроможної освітньої мережі, що забезпечує рівний доступ до якісної освіти на всіх її рівнях для всієї громади</w:t>
            </w:r>
            <w:r w:rsidRPr="0019790A">
              <w:rPr>
                <w:rFonts w:cs="Arial"/>
                <w:i/>
                <w:szCs w:val="22"/>
              </w:rPr>
              <w:t>.</w:t>
            </w:r>
          </w:p>
          <w:p w14:paraId="23152139" w14:textId="77777777" w:rsidR="00D1052A" w:rsidRPr="0019790A" w:rsidRDefault="00D1052A" w:rsidP="0019790A">
            <w:pPr>
              <w:pBdr>
                <w:left w:val="single" w:sz="18" w:space="4" w:color="auto"/>
              </w:pBdr>
              <w:rPr>
                <w:rFonts w:cs="Arial"/>
                <w:szCs w:val="22"/>
                <w:lang w:eastAsia="it-IT"/>
              </w:rPr>
            </w:pPr>
            <w:r w:rsidRPr="0019790A">
              <w:rPr>
                <w:rFonts w:cs="Arial"/>
                <w:szCs w:val="22"/>
              </w:rPr>
              <w:t>С.1.3.1. Забезпечення доступу до якісних освітніх послуг в тому числі для дітей з особливими освітніми потребами.</w:t>
            </w:r>
          </w:p>
        </w:tc>
      </w:tr>
      <w:tr w:rsidR="00D1052A" w:rsidRPr="0019790A" w14:paraId="386422A2" w14:textId="77777777" w:rsidTr="00D1052A">
        <w:trPr>
          <w:jc w:val="right"/>
        </w:trPr>
        <w:tc>
          <w:tcPr>
            <w:tcW w:w="3425" w:type="dxa"/>
            <w:vAlign w:val="center"/>
          </w:tcPr>
          <w:p w14:paraId="60E71E39" w14:textId="77777777" w:rsidR="00D1052A" w:rsidRPr="0019790A" w:rsidRDefault="00D1052A" w:rsidP="0019790A">
            <w:pPr>
              <w:rPr>
                <w:rFonts w:cs="Arial"/>
                <w:b/>
                <w:bCs/>
                <w:szCs w:val="22"/>
              </w:rPr>
            </w:pPr>
            <w:r w:rsidRPr="0019790A">
              <w:rPr>
                <w:rFonts w:cs="Arial"/>
                <w:b/>
                <w:bCs/>
                <w:szCs w:val="22"/>
              </w:rPr>
              <w:t>Мета проєкту:</w:t>
            </w:r>
          </w:p>
        </w:tc>
        <w:tc>
          <w:tcPr>
            <w:tcW w:w="6794" w:type="dxa"/>
            <w:gridSpan w:val="5"/>
          </w:tcPr>
          <w:p w14:paraId="1D7F5171" w14:textId="77777777" w:rsidR="00D1052A" w:rsidRPr="0019790A" w:rsidRDefault="00D1052A" w:rsidP="0019790A">
            <w:pPr>
              <w:rPr>
                <w:rFonts w:cs="Arial"/>
                <w:szCs w:val="22"/>
                <w:lang w:eastAsia="it-IT"/>
              </w:rPr>
            </w:pPr>
            <w:r w:rsidRPr="0019790A">
              <w:rPr>
                <w:rFonts w:cs="Arial"/>
                <w:szCs w:val="22"/>
              </w:rPr>
              <w:t xml:space="preserve"> </w:t>
            </w:r>
            <w:r w:rsidRPr="0019790A">
              <w:rPr>
                <w:rFonts w:cs="Arial"/>
                <w:szCs w:val="22"/>
                <w:shd w:val="clear" w:color="auto" w:fill="FFFFFF"/>
              </w:rPr>
              <w:t xml:space="preserve">Створення освітнього середовища, що забезпечує рівні права і можливості в освіті для всіх, </w:t>
            </w:r>
            <w:r w:rsidRPr="0019790A">
              <w:rPr>
                <w:rFonts w:cs="Arial"/>
                <w:szCs w:val="22"/>
              </w:rPr>
              <w:t>незалежно від статі, стану здоров'я, соціального статусу чи іншого</w:t>
            </w:r>
          </w:p>
        </w:tc>
      </w:tr>
      <w:tr w:rsidR="00D1052A" w:rsidRPr="0019790A" w14:paraId="058BE4F2" w14:textId="77777777" w:rsidTr="00D1052A">
        <w:trPr>
          <w:jc w:val="right"/>
        </w:trPr>
        <w:tc>
          <w:tcPr>
            <w:tcW w:w="3425" w:type="dxa"/>
            <w:vAlign w:val="center"/>
          </w:tcPr>
          <w:p w14:paraId="74917EBC" w14:textId="77777777" w:rsidR="00D1052A" w:rsidRPr="0019790A" w:rsidRDefault="00D1052A" w:rsidP="0019790A">
            <w:pPr>
              <w:rPr>
                <w:rFonts w:cs="Arial"/>
                <w:b/>
                <w:bCs/>
                <w:szCs w:val="22"/>
              </w:rPr>
            </w:pPr>
            <w:r w:rsidRPr="0019790A">
              <w:rPr>
                <w:rFonts w:cs="Arial"/>
                <w:b/>
                <w:bCs/>
                <w:szCs w:val="22"/>
              </w:rPr>
              <w:t>Цілі проєкту:</w:t>
            </w:r>
          </w:p>
        </w:tc>
        <w:tc>
          <w:tcPr>
            <w:tcW w:w="6794" w:type="dxa"/>
            <w:gridSpan w:val="5"/>
          </w:tcPr>
          <w:p w14:paraId="0CB7E2FE" w14:textId="77777777" w:rsidR="00D1052A" w:rsidRPr="0019790A" w:rsidRDefault="00D1052A" w:rsidP="0019790A">
            <w:pPr>
              <w:jc w:val="both"/>
              <w:rPr>
                <w:rFonts w:cs="Arial"/>
                <w:szCs w:val="22"/>
                <w:lang w:eastAsia="it-IT"/>
              </w:rPr>
            </w:pPr>
            <w:r w:rsidRPr="0019790A">
              <w:rPr>
                <w:rFonts w:cs="Arial"/>
                <w:szCs w:val="22"/>
              </w:rPr>
              <w:t>Створення умов для дітей з особливими потребами, зокрема, з порушенням роботи опорно-рухового апарату,</w:t>
            </w:r>
            <w:r w:rsidRPr="0019790A">
              <w:rPr>
                <w:rFonts w:cs="Arial"/>
                <w:szCs w:val="22"/>
                <w:lang w:eastAsia="it-IT"/>
              </w:rPr>
              <w:t xml:space="preserve"> для </w:t>
            </w:r>
            <w:r w:rsidRPr="0019790A">
              <w:rPr>
                <w:rFonts w:cs="Arial"/>
                <w:szCs w:val="22"/>
              </w:rPr>
              <w:t xml:space="preserve">отримання рівного доступу до якісної освіти та інших послуг в інклюзивному освітньому середовищі. </w:t>
            </w:r>
            <w:r w:rsidRPr="0019790A">
              <w:rPr>
                <w:rFonts w:cs="Arial"/>
                <w:bCs/>
                <w:szCs w:val="22"/>
              </w:rPr>
              <w:t>Формування інклюзивного (безбар’єрного) освітнього середовища в КЗ «Жмеринський ліцей № 5»</w:t>
            </w:r>
          </w:p>
        </w:tc>
      </w:tr>
      <w:tr w:rsidR="00D1052A" w:rsidRPr="0019790A" w14:paraId="3904A3D1" w14:textId="77777777" w:rsidTr="00D1052A">
        <w:trPr>
          <w:jc w:val="right"/>
        </w:trPr>
        <w:tc>
          <w:tcPr>
            <w:tcW w:w="3425" w:type="dxa"/>
            <w:vAlign w:val="center"/>
          </w:tcPr>
          <w:p w14:paraId="62DAD401" w14:textId="77777777" w:rsidR="00D1052A" w:rsidRPr="0019790A" w:rsidRDefault="00D1052A" w:rsidP="0019790A">
            <w:pPr>
              <w:autoSpaceDE w:val="0"/>
              <w:autoSpaceDN w:val="0"/>
              <w:adjustRightInd w:val="0"/>
              <w:rPr>
                <w:rFonts w:cs="Arial"/>
                <w:b/>
                <w:szCs w:val="22"/>
              </w:rPr>
            </w:pPr>
            <w:r w:rsidRPr="0019790A">
              <w:rPr>
                <w:rFonts w:cs="Arial"/>
                <w:b/>
                <w:szCs w:val="22"/>
              </w:rPr>
              <w:t>Територія на яку проєкт матиме вплив:</w:t>
            </w:r>
          </w:p>
        </w:tc>
        <w:tc>
          <w:tcPr>
            <w:tcW w:w="6794" w:type="dxa"/>
            <w:gridSpan w:val="5"/>
          </w:tcPr>
          <w:p w14:paraId="00041E22" w14:textId="77777777" w:rsidR="00D1052A" w:rsidRPr="0019790A" w:rsidRDefault="00D1052A" w:rsidP="0019790A">
            <w:pPr>
              <w:rPr>
                <w:rFonts w:cs="Arial"/>
                <w:szCs w:val="22"/>
                <w:lang w:eastAsia="it-IT"/>
              </w:rPr>
            </w:pPr>
            <w:r w:rsidRPr="0019790A">
              <w:rPr>
                <w:rFonts w:cs="Arial"/>
                <w:szCs w:val="22"/>
                <w:lang w:eastAsia="it-IT"/>
              </w:rPr>
              <w:t xml:space="preserve">Територія Жмеринської міської територіальної громади  </w:t>
            </w:r>
          </w:p>
        </w:tc>
      </w:tr>
      <w:tr w:rsidR="00D1052A" w:rsidRPr="0019790A" w14:paraId="394386E7" w14:textId="77777777" w:rsidTr="00D1052A">
        <w:trPr>
          <w:jc w:val="right"/>
        </w:trPr>
        <w:tc>
          <w:tcPr>
            <w:tcW w:w="3425" w:type="dxa"/>
            <w:vAlign w:val="center"/>
          </w:tcPr>
          <w:p w14:paraId="020D5BE0" w14:textId="77777777" w:rsidR="00D1052A" w:rsidRPr="0019790A" w:rsidRDefault="00D1052A" w:rsidP="0019790A">
            <w:pPr>
              <w:autoSpaceDE w:val="0"/>
              <w:autoSpaceDN w:val="0"/>
              <w:adjustRightInd w:val="0"/>
              <w:rPr>
                <w:rFonts w:cs="Arial"/>
                <w:b/>
                <w:szCs w:val="22"/>
              </w:rPr>
            </w:pPr>
            <w:r w:rsidRPr="0019790A">
              <w:rPr>
                <w:rFonts w:cs="Arial"/>
                <w:b/>
                <w:szCs w:val="22"/>
              </w:rPr>
              <w:t>Цільові групи проєкту та кількість отримувачів вигоди</w:t>
            </w:r>
          </w:p>
        </w:tc>
        <w:tc>
          <w:tcPr>
            <w:tcW w:w="6794" w:type="dxa"/>
            <w:gridSpan w:val="5"/>
          </w:tcPr>
          <w:p w14:paraId="558A64A2" w14:textId="77777777" w:rsidR="00D1052A" w:rsidRPr="0019790A" w:rsidRDefault="00D1052A" w:rsidP="0019790A">
            <w:pPr>
              <w:pStyle w:val="TableParagraph"/>
              <w:ind w:left="0"/>
              <w:jc w:val="both"/>
              <w:rPr>
                <w:rFonts w:ascii="Arial" w:hAnsi="Arial" w:cs="Arial"/>
              </w:rPr>
            </w:pPr>
            <w:r w:rsidRPr="0019790A">
              <w:rPr>
                <w:rFonts w:ascii="Arial" w:hAnsi="Arial" w:cs="Arial"/>
              </w:rPr>
              <w:t>15 дітей з порушенням ОРА, здобувачі освіти, педагоги, батьки, відвідувачі,  жителі громади</w:t>
            </w:r>
          </w:p>
        </w:tc>
      </w:tr>
      <w:tr w:rsidR="00D1052A" w:rsidRPr="0019790A" w14:paraId="68CF3B01" w14:textId="77777777" w:rsidTr="00D1052A">
        <w:trPr>
          <w:jc w:val="right"/>
        </w:trPr>
        <w:tc>
          <w:tcPr>
            <w:tcW w:w="3425" w:type="dxa"/>
            <w:shd w:val="clear" w:color="auto" w:fill="FFFFFF"/>
            <w:vAlign w:val="center"/>
          </w:tcPr>
          <w:p w14:paraId="6E9B138C" w14:textId="77777777" w:rsidR="00D1052A" w:rsidRPr="0019790A" w:rsidRDefault="00D1052A" w:rsidP="0019790A">
            <w:pPr>
              <w:rPr>
                <w:rFonts w:cs="Arial"/>
                <w:b/>
                <w:bCs/>
                <w:szCs w:val="22"/>
              </w:rPr>
            </w:pPr>
            <w:r w:rsidRPr="0019790A">
              <w:rPr>
                <w:rFonts w:cs="Arial"/>
                <w:b/>
                <w:bCs/>
                <w:szCs w:val="22"/>
              </w:rPr>
              <w:t>Стислий опис проєкту:</w:t>
            </w:r>
          </w:p>
        </w:tc>
        <w:tc>
          <w:tcPr>
            <w:tcW w:w="6794" w:type="dxa"/>
            <w:gridSpan w:val="5"/>
          </w:tcPr>
          <w:p w14:paraId="4E49D493" w14:textId="77777777" w:rsidR="00D1052A" w:rsidRPr="0019790A" w:rsidRDefault="00D1052A" w:rsidP="0019790A">
            <w:pPr>
              <w:jc w:val="both"/>
              <w:rPr>
                <w:rFonts w:cs="Arial"/>
                <w:szCs w:val="22"/>
                <w:shd w:val="clear" w:color="auto" w:fill="FFFFFF"/>
              </w:rPr>
            </w:pPr>
            <w:r w:rsidRPr="0019790A">
              <w:rPr>
                <w:rFonts w:cs="Arial"/>
                <w:szCs w:val="22"/>
                <w:shd w:val="clear" w:color="auto" w:fill="FFFFFF"/>
              </w:rPr>
              <w:t xml:space="preserve">   </w:t>
            </w:r>
            <w:r w:rsidRPr="0019790A">
              <w:rPr>
                <w:rFonts w:cs="Arial"/>
                <w:szCs w:val="22"/>
              </w:rPr>
              <w:t xml:space="preserve">Зміни, які відбуваються у суспільстві, – економічні, політичні, соціокультурні, демографічні, – стосуються також і закладів освіти, потребуючи адаптації освітнього середовища та освітнього процесу до потреб кожної людини. Тому заклад освіти має забезпечувати максимально зручне для всіх учасників освітнього процесу середовище, яке відповідає основним принципам інклюзивної освіти, рівності та поваги до прав людини. </w:t>
            </w:r>
          </w:p>
          <w:p w14:paraId="016CE8D8" w14:textId="77777777" w:rsidR="00D1052A" w:rsidRPr="0019790A" w:rsidRDefault="00D1052A" w:rsidP="0019790A">
            <w:pPr>
              <w:autoSpaceDE w:val="0"/>
              <w:autoSpaceDN w:val="0"/>
              <w:adjustRightInd w:val="0"/>
              <w:jc w:val="both"/>
              <w:rPr>
                <w:rFonts w:cs="Arial"/>
                <w:szCs w:val="22"/>
              </w:rPr>
            </w:pPr>
            <w:r w:rsidRPr="0019790A">
              <w:rPr>
                <w:rFonts w:cs="Arial"/>
                <w:szCs w:val="22"/>
                <w:shd w:val="clear" w:color="auto" w:fill="FFFFFF"/>
              </w:rPr>
              <w:t xml:space="preserve">      Безбар'єрність в умовах повномасштабної війни та в період відбудови не може бути формальністю. Доступність будівель» закладів освіти, роботи, інформації  повинні бути пріоритетом під час прийняття будь-яких рішень і змін та мають втілюватися «по-людськи й для людей».</w:t>
            </w:r>
          </w:p>
          <w:p w14:paraId="4A2D46FD" w14:textId="77777777" w:rsidR="00D1052A" w:rsidRPr="0019790A" w:rsidRDefault="00D1052A" w:rsidP="0019790A">
            <w:pPr>
              <w:autoSpaceDE w:val="0"/>
              <w:autoSpaceDN w:val="0"/>
              <w:adjustRightInd w:val="0"/>
              <w:jc w:val="both"/>
              <w:rPr>
                <w:rFonts w:cs="Arial"/>
                <w:szCs w:val="22"/>
              </w:rPr>
            </w:pPr>
            <w:r w:rsidRPr="0019790A">
              <w:rPr>
                <w:rFonts w:cs="Arial"/>
                <w:szCs w:val="22"/>
              </w:rPr>
              <w:t xml:space="preserve">       Вперше, завдяки позитивним змінам щодо створення безбар’єрного середовища, до Нової української школи прийшла дитина на візку. Для 5-ти учнів організовано індивідуальну форму навчання, оскільки заклади загальної середньої освіти не пристосовані належним чином для інклюзивної освіти: немає ліфтів, сходових підйомників тощо.       </w:t>
            </w:r>
          </w:p>
          <w:p w14:paraId="46092B4E" w14:textId="1C2375DC" w:rsidR="00D1052A" w:rsidRPr="0019790A" w:rsidRDefault="00D1052A" w:rsidP="0019790A">
            <w:pPr>
              <w:jc w:val="both"/>
              <w:rPr>
                <w:rFonts w:cs="Arial"/>
                <w:szCs w:val="22"/>
                <w:lang w:eastAsia="it-IT"/>
              </w:rPr>
            </w:pPr>
            <w:r w:rsidRPr="0019790A">
              <w:rPr>
                <w:rFonts w:cs="Arial"/>
                <w:szCs w:val="22"/>
              </w:rPr>
              <w:t xml:space="preserve">      Реалізація даного </w:t>
            </w:r>
            <w:r w:rsidR="00314B9D">
              <w:rPr>
                <w:rFonts w:cs="Arial"/>
                <w:szCs w:val="22"/>
              </w:rPr>
              <w:t>проєкту</w:t>
            </w:r>
            <w:r w:rsidRPr="0019790A">
              <w:rPr>
                <w:rFonts w:cs="Arial"/>
                <w:szCs w:val="22"/>
              </w:rPr>
              <w:t xml:space="preserve"> забезпечить рівний доступ до якісної освіти дітям з особливими освітніми потребами не лише в початковій школі,</w:t>
            </w:r>
            <w:r w:rsidR="00CD6B99">
              <w:rPr>
                <w:rFonts w:cs="Arial"/>
                <w:szCs w:val="22"/>
              </w:rPr>
              <w:t xml:space="preserve"> </w:t>
            </w:r>
            <w:r w:rsidRPr="0019790A">
              <w:rPr>
                <w:rFonts w:cs="Arial"/>
                <w:szCs w:val="22"/>
              </w:rPr>
              <w:t>а й на наступних рівнях освіти.</w:t>
            </w:r>
          </w:p>
        </w:tc>
      </w:tr>
      <w:tr w:rsidR="00D1052A" w:rsidRPr="0019790A" w14:paraId="2E50BD4A" w14:textId="77777777" w:rsidTr="00D1052A">
        <w:trPr>
          <w:jc w:val="right"/>
        </w:trPr>
        <w:tc>
          <w:tcPr>
            <w:tcW w:w="3425" w:type="dxa"/>
            <w:shd w:val="clear" w:color="auto" w:fill="FFFFFF"/>
            <w:vAlign w:val="center"/>
          </w:tcPr>
          <w:p w14:paraId="7117963D" w14:textId="77777777" w:rsidR="00D1052A" w:rsidRPr="0019790A" w:rsidRDefault="00D1052A" w:rsidP="0019790A">
            <w:pPr>
              <w:rPr>
                <w:rFonts w:cs="Arial"/>
                <w:b/>
                <w:bCs/>
                <w:szCs w:val="22"/>
              </w:rPr>
            </w:pPr>
            <w:r w:rsidRPr="0019790A">
              <w:rPr>
                <w:rFonts w:cs="Arial"/>
                <w:b/>
                <w:bCs/>
                <w:szCs w:val="22"/>
              </w:rPr>
              <w:t>Основні заходи проєкту:</w:t>
            </w:r>
          </w:p>
        </w:tc>
        <w:tc>
          <w:tcPr>
            <w:tcW w:w="6794" w:type="dxa"/>
            <w:gridSpan w:val="5"/>
          </w:tcPr>
          <w:p w14:paraId="30EB8C2F" w14:textId="77777777" w:rsidR="00D1052A" w:rsidRPr="0019790A" w:rsidRDefault="00D1052A" w:rsidP="0019790A">
            <w:pPr>
              <w:numPr>
                <w:ilvl w:val="0"/>
                <w:numId w:val="24"/>
              </w:numPr>
              <w:jc w:val="both"/>
              <w:rPr>
                <w:rFonts w:cs="Arial"/>
                <w:szCs w:val="22"/>
                <w:lang w:eastAsia="it-IT"/>
              </w:rPr>
            </w:pPr>
            <w:r w:rsidRPr="0019790A">
              <w:rPr>
                <w:rFonts w:cs="Arial"/>
                <w:szCs w:val="22"/>
                <w:lang w:eastAsia="it-IT"/>
              </w:rPr>
              <w:t>Оголошення процедури закупівлі</w:t>
            </w:r>
          </w:p>
          <w:p w14:paraId="576DC1D0" w14:textId="77777777" w:rsidR="00D1052A" w:rsidRPr="0019790A" w:rsidRDefault="00D1052A" w:rsidP="0019790A">
            <w:pPr>
              <w:numPr>
                <w:ilvl w:val="0"/>
                <w:numId w:val="24"/>
              </w:numPr>
              <w:jc w:val="both"/>
              <w:rPr>
                <w:rFonts w:cs="Arial"/>
                <w:spacing w:val="1"/>
                <w:szCs w:val="22"/>
              </w:rPr>
            </w:pPr>
            <w:r w:rsidRPr="0019790A">
              <w:rPr>
                <w:rFonts w:cs="Arial"/>
                <w:spacing w:val="1"/>
                <w:szCs w:val="22"/>
              </w:rPr>
              <w:t>Встановлення підйомної платформи</w:t>
            </w:r>
          </w:p>
          <w:p w14:paraId="28B12121" w14:textId="77777777" w:rsidR="00D1052A" w:rsidRPr="0019790A" w:rsidRDefault="00D1052A" w:rsidP="0019790A">
            <w:pPr>
              <w:numPr>
                <w:ilvl w:val="0"/>
                <w:numId w:val="24"/>
              </w:numPr>
              <w:jc w:val="both"/>
              <w:rPr>
                <w:rFonts w:cs="Arial"/>
                <w:szCs w:val="22"/>
                <w:lang w:eastAsia="it-IT"/>
              </w:rPr>
            </w:pPr>
            <w:r w:rsidRPr="0019790A">
              <w:rPr>
                <w:rFonts w:cs="Arial"/>
                <w:spacing w:val="1"/>
                <w:szCs w:val="22"/>
              </w:rPr>
              <w:t>Облаштування території закладу освіти</w:t>
            </w:r>
          </w:p>
        </w:tc>
      </w:tr>
      <w:tr w:rsidR="00D1052A" w:rsidRPr="0019790A" w14:paraId="557A8884" w14:textId="77777777" w:rsidTr="00D1052A">
        <w:trPr>
          <w:jc w:val="right"/>
        </w:trPr>
        <w:tc>
          <w:tcPr>
            <w:tcW w:w="3425" w:type="dxa"/>
            <w:shd w:val="clear" w:color="auto" w:fill="FFFFFF"/>
            <w:vAlign w:val="center"/>
          </w:tcPr>
          <w:p w14:paraId="6A7A929A" w14:textId="77777777" w:rsidR="00D1052A" w:rsidRPr="0019790A" w:rsidRDefault="00D1052A" w:rsidP="0019790A">
            <w:pPr>
              <w:rPr>
                <w:rFonts w:cs="Arial"/>
                <w:b/>
                <w:bCs/>
                <w:szCs w:val="22"/>
              </w:rPr>
            </w:pPr>
            <w:r w:rsidRPr="0019790A">
              <w:rPr>
                <w:rFonts w:cs="Arial"/>
                <w:b/>
                <w:bCs/>
                <w:szCs w:val="22"/>
              </w:rPr>
              <w:t>Індикатори (показники) результативності:</w:t>
            </w:r>
          </w:p>
        </w:tc>
        <w:tc>
          <w:tcPr>
            <w:tcW w:w="6794" w:type="dxa"/>
            <w:gridSpan w:val="5"/>
          </w:tcPr>
          <w:p w14:paraId="7B570C29" w14:textId="77777777" w:rsidR="00D1052A" w:rsidRPr="0019790A" w:rsidRDefault="00D1052A" w:rsidP="0019790A">
            <w:pPr>
              <w:widowControl w:val="0"/>
              <w:jc w:val="both"/>
              <w:rPr>
                <w:rFonts w:cs="Arial"/>
                <w:szCs w:val="22"/>
              </w:rPr>
            </w:pPr>
            <w:r w:rsidRPr="0019790A">
              <w:rPr>
                <w:rFonts w:cs="Arial"/>
                <w:szCs w:val="22"/>
              </w:rPr>
              <w:t xml:space="preserve"> </w:t>
            </w:r>
            <w:r w:rsidRPr="0019790A">
              <w:rPr>
                <w:rFonts w:cs="Arial"/>
                <w:szCs w:val="22"/>
                <w:lang w:eastAsia="uk-UA"/>
              </w:rPr>
              <w:t>Забезпечення 100% доступності приміщень КЗ «Жмеринський ліцей № 5 для дітей, що мають проблеми з опорно-руховим апаратом та</w:t>
            </w:r>
          </w:p>
        </w:tc>
      </w:tr>
      <w:tr w:rsidR="00D1052A" w:rsidRPr="0019790A" w14:paraId="6D1820F1" w14:textId="77777777" w:rsidTr="00D1052A">
        <w:trPr>
          <w:jc w:val="right"/>
        </w:trPr>
        <w:tc>
          <w:tcPr>
            <w:tcW w:w="3425" w:type="dxa"/>
            <w:shd w:val="clear" w:color="auto" w:fill="FFFFFF"/>
            <w:vAlign w:val="center"/>
          </w:tcPr>
          <w:p w14:paraId="58D40119" w14:textId="77777777" w:rsidR="00D1052A" w:rsidRPr="0019790A" w:rsidRDefault="00D1052A" w:rsidP="0019790A">
            <w:pPr>
              <w:rPr>
                <w:rFonts w:cs="Arial"/>
                <w:b/>
                <w:szCs w:val="22"/>
              </w:rPr>
            </w:pPr>
            <w:r w:rsidRPr="0019790A">
              <w:rPr>
                <w:rFonts w:cs="Arial"/>
                <w:b/>
                <w:szCs w:val="22"/>
              </w:rPr>
              <w:t xml:space="preserve">Період здійснення: </w:t>
            </w:r>
          </w:p>
        </w:tc>
        <w:tc>
          <w:tcPr>
            <w:tcW w:w="6794" w:type="dxa"/>
            <w:gridSpan w:val="5"/>
            <w:vAlign w:val="center"/>
          </w:tcPr>
          <w:p w14:paraId="583B116B" w14:textId="77777777" w:rsidR="00D1052A" w:rsidRPr="0019790A" w:rsidRDefault="00D1052A" w:rsidP="0019790A">
            <w:pPr>
              <w:rPr>
                <w:rFonts w:cs="Arial"/>
                <w:szCs w:val="22"/>
                <w:lang w:eastAsia="it-IT"/>
              </w:rPr>
            </w:pPr>
            <w:r w:rsidRPr="0019790A">
              <w:rPr>
                <w:rFonts w:cs="Arial"/>
                <w:b/>
                <w:szCs w:val="22"/>
              </w:rPr>
              <w:t>2025 – 2028 роки:</w:t>
            </w:r>
          </w:p>
        </w:tc>
      </w:tr>
      <w:tr w:rsidR="00D1052A" w:rsidRPr="0019790A" w14:paraId="2AD7FDBA" w14:textId="77777777" w:rsidTr="00D1052A">
        <w:trPr>
          <w:jc w:val="right"/>
        </w:trPr>
        <w:tc>
          <w:tcPr>
            <w:tcW w:w="3425" w:type="dxa"/>
            <w:vMerge w:val="restart"/>
            <w:shd w:val="clear" w:color="auto" w:fill="FFFFFF"/>
            <w:vAlign w:val="center"/>
          </w:tcPr>
          <w:p w14:paraId="51B4AD0B" w14:textId="77777777" w:rsidR="00D1052A" w:rsidRPr="0019790A" w:rsidRDefault="00D1052A" w:rsidP="0019790A">
            <w:pPr>
              <w:rPr>
                <w:rFonts w:cs="Arial"/>
                <w:b/>
                <w:bCs/>
                <w:szCs w:val="22"/>
              </w:rPr>
            </w:pPr>
            <w:r w:rsidRPr="0019790A">
              <w:rPr>
                <w:rFonts w:cs="Arial"/>
                <w:b/>
                <w:bCs/>
                <w:szCs w:val="22"/>
              </w:rPr>
              <w:t>Орієнтовна вартість проєкту, тис. грн., в тому числі:</w:t>
            </w:r>
          </w:p>
        </w:tc>
        <w:tc>
          <w:tcPr>
            <w:tcW w:w="1254" w:type="dxa"/>
            <w:shd w:val="clear" w:color="auto" w:fill="E6E6E6"/>
            <w:vAlign w:val="center"/>
          </w:tcPr>
          <w:p w14:paraId="1B5F63A1" w14:textId="77777777" w:rsidR="00D1052A" w:rsidRPr="0019790A" w:rsidRDefault="00D1052A" w:rsidP="0019790A">
            <w:pPr>
              <w:jc w:val="center"/>
              <w:rPr>
                <w:rFonts w:cs="Arial"/>
                <w:b/>
                <w:szCs w:val="22"/>
                <w:lang w:eastAsia="it-IT"/>
              </w:rPr>
            </w:pPr>
            <w:r w:rsidRPr="0019790A">
              <w:rPr>
                <w:rFonts w:cs="Arial"/>
                <w:b/>
                <w:szCs w:val="22"/>
                <w:lang w:eastAsia="it-IT"/>
              </w:rPr>
              <w:t>2025</w:t>
            </w:r>
          </w:p>
        </w:tc>
        <w:tc>
          <w:tcPr>
            <w:tcW w:w="1275" w:type="dxa"/>
            <w:shd w:val="clear" w:color="auto" w:fill="E6E6E6"/>
            <w:vAlign w:val="center"/>
          </w:tcPr>
          <w:p w14:paraId="357DC8CB" w14:textId="77777777" w:rsidR="00D1052A" w:rsidRPr="0019790A" w:rsidRDefault="00D1052A" w:rsidP="0019790A">
            <w:pPr>
              <w:jc w:val="center"/>
              <w:rPr>
                <w:rFonts w:cs="Arial"/>
                <w:b/>
                <w:szCs w:val="22"/>
                <w:lang w:eastAsia="it-IT"/>
              </w:rPr>
            </w:pPr>
            <w:r w:rsidRPr="0019790A">
              <w:rPr>
                <w:rFonts w:cs="Arial"/>
                <w:b/>
                <w:szCs w:val="22"/>
                <w:lang w:eastAsia="it-IT"/>
              </w:rPr>
              <w:t>2026</w:t>
            </w:r>
          </w:p>
        </w:tc>
        <w:tc>
          <w:tcPr>
            <w:tcW w:w="1418" w:type="dxa"/>
            <w:tcBorders>
              <w:bottom w:val="single" w:sz="4" w:space="0" w:color="auto"/>
            </w:tcBorders>
            <w:shd w:val="clear" w:color="auto" w:fill="E6E6E6"/>
            <w:vAlign w:val="center"/>
          </w:tcPr>
          <w:p w14:paraId="358CDB27" w14:textId="77777777" w:rsidR="00D1052A" w:rsidRPr="0019790A" w:rsidRDefault="00D1052A" w:rsidP="0019790A">
            <w:pPr>
              <w:jc w:val="center"/>
              <w:rPr>
                <w:rFonts w:cs="Arial"/>
                <w:b/>
                <w:szCs w:val="22"/>
                <w:lang w:eastAsia="it-IT"/>
              </w:rPr>
            </w:pPr>
            <w:r w:rsidRPr="0019790A">
              <w:rPr>
                <w:rFonts w:cs="Arial"/>
                <w:b/>
                <w:szCs w:val="22"/>
                <w:lang w:eastAsia="it-IT"/>
              </w:rPr>
              <w:t>2027</w:t>
            </w:r>
          </w:p>
        </w:tc>
        <w:tc>
          <w:tcPr>
            <w:tcW w:w="1276" w:type="dxa"/>
            <w:shd w:val="clear" w:color="auto" w:fill="E6E6E6"/>
            <w:vAlign w:val="center"/>
          </w:tcPr>
          <w:p w14:paraId="77C044FA" w14:textId="77777777" w:rsidR="00D1052A" w:rsidRPr="0019790A" w:rsidRDefault="00D1052A" w:rsidP="0019790A">
            <w:pPr>
              <w:jc w:val="center"/>
              <w:rPr>
                <w:rFonts w:cs="Arial"/>
                <w:b/>
                <w:szCs w:val="22"/>
                <w:lang w:eastAsia="it-IT"/>
              </w:rPr>
            </w:pPr>
            <w:r w:rsidRPr="0019790A">
              <w:rPr>
                <w:rFonts w:cs="Arial"/>
                <w:b/>
                <w:szCs w:val="22"/>
                <w:lang w:eastAsia="it-IT"/>
              </w:rPr>
              <w:t>2028</w:t>
            </w:r>
          </w:p>
        </w:tc>
        <w:tc>
          <w:tcPr>
            <w:tcW w:w="1571" w:type="dxa"/>
            <w:shd w:val="clear" w:color="auto" w:fill="E6E6E6"/>
            <w:vAlign w:val="center"/>
          </w:tcPr>
          <w:p w14:paraId="2623148C" w14:textId="77777777" w:rsidR="00D1052A" w:rsidRPr="0019790A" w:rsidRDefault="00D1052A" w:rsidP="0019790A">
            <w:pPr>
              <w:jc w:val="center"/>
              <w:rPr>
                <w:rFonts w:cs="Arial"/>
                <w:b/>
                <w:szCs w:val="22"/>
                <w:lang w:eastAsia="it-IT"/>
              </w:rPr>
            </w:pPr>
            <w:r w:rsidRPr="0019790A">
              <w:rPr>
                <w:rFonts w:cs="Arial"/>
                <w:b/>
                <w:szCs w:val="22"/>
                <w:lang w:eastAsia="it-IT"/>
              </w:rPr>
              <w:t>РАЗОМ</w:t>
            </w:r>
          </w:p>
        </w:tc>
      </w:tr>
      <w:tr w:rsidR="00D1052A" w:rsidRPr="0019790A" w14:paraId="03C40484" w14:textId="77777777" w:rsidTr="00D1052A">
        <w:trPr>
          <w:jc w:val="right"/>
        </w:trPr>
        <w:tc>
          <w:tcPr>
            <w:tcW w:w="3425" w:type="dxa"/>
            <w:vMerge/>
            <w:shd w:val="clear" w:color="auto" w:fill="FFFFFF"/>
            <w:vAlign w:val="center"/>
          </w:tcPr>
          <w:p w14:paraId="3B2D8B42" w14:textId="77777777" w:rsidR="00D1052A" w:rsidRPr="0019790A" w:rsidRDefault="00D1052A" w:rsidP="0019790A">
            <w:pPr>
              <w:rPr>
                <w:rFonts w:cs="Arial"/>
                <w:b/>
                <w:bCs/>
                <w:szCs w:val="22"/>
              </w:rPr>
            </w:pPr>
          </w:p>
        </w:tc>
        <w:tc>
          <w:tcPr>
            <w:tcW w:w="1254" w:type="dxa"/>
            <w:vAlign w:val="center"/>
          </w:tcPr>
          <w:p w14:paraId="5D442FC7" w14:textId="77777777" w:rsidR="00D1052A" w:rsidRPr="0019790A" w:rsidRDefault="00D1052A" w:rsidP="0019790A">
            <w:pPr>
              <w:jc w:val="center"/>
              <w:rPr>
                <w:rFonts w:cs="Arial"/>
                <w:b/>
                <w:szCs w:val="22"/>
                <w:lang w:eastAsia="it-IT"/>
              </w:rPr>
            </w:pPr>
          </w:p>
        </w:tc>
        <w:tc>
          <w:tcPr>
            <w:tcW w:w="1275" w:type="dxa"/>
            <w:shd w:val="clear" w:color="auto" w:fill="FFFFFF"/>
            <w:vAlign w:val="center"/>
          </w:tcPr>
          <w:p w14:paraId="1BE9C61A" w14:textId="77777777" w:rsidR="00D1052A" w:rsidRPr="0019790A" w:rsidRDefault="00D1052A" w:rsidP="0019790A">
            <w:pPr>
              <w:jc w:val="center"/>
              <w:rPr>
                <w:rFonts w:cs="Arial"/>
                <w:b/>
                <w:szCs w:val="22"/>
                <w:lang w:eastAsia="it-IT"/>
              </w:rPr>
            </w:pPr>
            <w:r w:rsidRPr="0019790A">
              <w:rPr>
                <w:rFonts w:cs="Arial"/>
                <w:b/>
                <w:szCs w:val="22"/>
                <w:lang w:eastAsia="it-IT"/>
              </w:rPr>
              <w:t xml:space="preserve">1 000, 00 </w:t>
            </w:r>
          </w:p>
        </w:tc>
        <w:tc>
          <w:tcPr>
            <w:tcW w:w="1418" w:type="dxa"/>
            <w:shd w:val="clear" w:color="auto" w:fill="auto"/>
            <w:vAlign w:val="center"/>
          </w:tcPr>
          <w:p w14:paraId="7261A0FE" w14:textId="77777777" w:rsidR="00D1052A" w:rsidRPr="0019790A" w:rsidRDefault="00D1052A" w:rsidP="0019790A">
            <w:pPr>
              <w:jc w:val="center"/>
              <w:rPr>
                <w:rFonts w:cs="Arial"/>
                <w:b/>
                <w:szCs w:val="22"/>
                <w:lang w:eastAsia="it-IT"/>
              </w:rPr>
            </w:pPr>
            <w:r w:rsidRPr="0019790A">
              <w:rPr>
                <w:rFonts w:cs="Arial"/>
                <w:b/>
                <w:szCs w:val="22"/>
                <w:lang w:eastAsia="it-IT"/>
              </w:rPr>
              <w:t>1 000,00</w:t>
            </w:r>
          </w:p>
        </w:tc>
        <w:tc>
          <w:tcPr>
            <w:tcW w:w="1276" w:type="dxa"/>
            <w:shd w:val="clear" w:color="auto" w:fill="FFFFFF"/>
            <w:vAlign w:val="center"/>
          </w:tcPr>
          <w:p w14:paraId="266A3067" w14:textId="77777777" w:rsidR="00D1052A" w:rsidRPr="0019790A" w:rsidRDefault="00D1052A" w:rsidP="0019790A">
            <w:pPr>
              <w:jc w:val="center"/>
              <w:rPr>
                <w:rFonts w:cs="Arial"/>
                <w:b/>
                <w:szCs w:val="22"/>
                <w:lang w:eastAsia="it-IT"/>
              </w:rPr>
            </w:pPr>
            <w:r w:rsidRPr="0019790A">
              <w:rPr>
                <w:rFonts w:cs="Arial"/>
                <w:b/>
                <w:szCs w:val="22"/>
                <w:lang w:eastAsia="it-IT"/>
              </w:rPr>
              <w:t xml:space="preserve">800,00 </w:t>
            </w:r>
          </w:p>
        </w:tc>
        <w:tc>
          <w:tcPr>
            <w:tcW w:w="1571" w:type="dxa"/>
            <w:shd w:val="clear" w:color="auto" w:fill="FFFFFF"/>
            <w:vAlign w:val="center"/>
          </w:tcPr>
          <w:p w14:paraId="52CFAA45" w14:textId="77777777" w:rsidR="00D1052A" w:rsidRPr="0019790A" w:rsidRDefault="00D1052A" w:rsidP="0019790A">
            <w:pPr>
              <w:jc w:val="center"/>
              <w:rPr>
                <w:rFonts w:cs="Arial"/>
                <w:b/>
                <w:bCs/>
                <w:szCs w:val="22"/>
                <w:lang w:eastAsia="it-IT"/>
              </w:rPr>
            </w:pPr>
            <w:r w:rsidRPr="0019790A">
              <w:rPr>
                <w:rFonts w:cs="Arial"/>
                <w:b/>
                <w:bCs/>
                <w:szCs w:val="22"/>
              </w:rPr>
              <w:t xml:space="preserve">2800,00 </w:t>
            </w:r>
          </w:p>
        </w:tc>
      </w:tr>
      <w:tr w:rsidR="00D1052A" w:rsidRPr="0019790A" w14:paraId="1B0BD9C9" w14:textId="77777777" w:rsidTr="00D1052A">
        <w:trPr>
          <w:trHeight w:val="276"/>
          <w:jc w:val="right"/>
        </w:trPr>
        <w:tc>
          <w:tcPr>
            <w:tcW w:w="3425" w:type="dxa"/>
            <w:shd w:val="clear" w:color="auto" w:fill="FFFFFF"/>
            <w:vAlign w:val="center"/>
          </w:tcPr>
          <w:p w14:paraId="11EE0191" w14:textId="77777777" w:rsidR="00D1052A" w:rsidRPr="0019790A" w:rsidRDefault="00D1052A" w:rsidP="0019790A">
            <w:pPr>
              <w:rPr>
                <w:rFonts w:cs="Arial"/>
                <w:b/>
                <w:bCs/>
                <w:szCs w:val="22"/>
              </w:rPr>
            </w:pPr>
            <w:r w:rsidRPr="0019790A">
              <w:rPr>
                <w:rFonts w:cs="Arial"/>
                <w:b/>
                <w:bCs/>
                <w:szCs w:val="22"/>
              </w:rPr>
              <w:t>по джерелах фінансування:</w:t>
            </w:r>
          </w:p>
        </w:tc>
        <w:tc>
          <w:tcPr>
            <w:tcW w:w="6794" w:type="dxa"/>
            <w:gridSpan w:val="5"/>
            <w:vAlign w:val="center"/>
          </w:tcPr>
          <w:p w14:paraId="72BEC155" w14:textId="77777777" w:rsidR="00D1052A" w:rsidRPr="0019790A" w:rsidRDefault="00D1052A" w:rsidP="0019790A">
            <w:pPr>
              <w:jc w:val="both"/>
              <w:rPr>
                <w:rFonts w:cs="Arial"/>
                <w:szCs w:val="22"/>
                <w:lang w:eastAsia="it-IT"/>
              </w:rPr>
            </w:pPr>
          </w:p>
        </w:tc>
      </w:tr>
      <w:tr w:rsidR="00D1052A" w:rsidRPr="0019790A" w14:paraId="708B9897" w14:textId="77777777" w:rsidTr="00D1052A">
        <w:trPr>
          <w:trHeight w:val="240"/>
          <w:jc w:val="right"/>
        </w:trPr>
        <w:tc>
          <w:tcPr>
            <w:tcW w:w="3425" w:type="dxa"/>
            <w:shd w:val="clear" w:color="auto" w:fill="FFFFFF"/>
            <w:vAlign w:val="center"/>
          </w:tcPr>
          <w:p w14:paraId="30AEA9E5" w14:textId="77777777" w:rsidR="00D1052A" w:rsidRPr="0019790A" w:rsidRDefault="00D1052A" w:rsidP="0019790A">
            <w:pPr>
              <w:rPr>
                <w:rFonts w:cs="Arial"/>
                <w:b/>
                <w:bCs/>
                <w:szCs w:val="22"/>
              </w:rPr>
            </w:pPr>
            <w:r w:rsidRPr="0019790A">
              <w:rPr>
                <w:rFonts w:cs="Arial"/>
                <w:szCs w:val="22"/>
              </w:rPr>
              <w:t>- державний бюджет</w:t>
            </w:r>
          </w:p>
        </w:tc>
        <w:tc>
          <w:tcPr>
            <w:tcW w:w="1254" w:type="dxa"/>
            <w:vAlign w:val="center"/>
          </w:tcPr>
          <w:p w14:paraId="37B880AC" w14:textId="77777777" w:rsidR="00D1052A" w:rsidRPr="0019790A" w:rsidRDefault="00D1052A" w:rsidP="0019790A">
            <w:pPr>
              <w:jc w:val="both"/>
              <w:rPr>
                <w:rFonts w:cs="Arial"/>
                <w:szCs w:val="22"/>
                <w:lang w:eastAsia="it-IT"/>
              </w:rPr>
            </w:pPr>
          </w:p>
        </w:tc>
        <w:tc>
          <w:tcPr>
            <w:tcW w:w="1275" w:type="dxa"/>
            <w:vAlign w:val="center"/>
          </w:tcPr>
          <w:p w14:paraId="3C2D0F17" w14:textId="77777777" w:rsidR="00D1052A" w:rsidRPr="0019790A" w:rsidRDefault="00D1052A" w:rsidP="0019790A">
            <w:pPr>
              <w:jc w:val="both"/>
              <w:rPr>
                <w:rFonts w:cs="Arial"/>
                <w:szCs w:val="22"/>
                <w:lang w:eastAsia="it-IT"/>
              </w:rPr>
            </w:pPr>
          </w:p>
        </w:tc>
        <w:tc>
          <w:tcPr>
            <w:tcW w:w="1418" w:type="dxa"/>
            <w:vAlign w:val="center"/>
          </w:tcPr>
          <w:p w14:paraId="27A8BF92" w14:textId="77777777" w:rsidR="00D1052A" w:rsidRPr="0019790A" w:rsidRDefault="00D1052A" w:rsidP="0019790A">
            <w:pPr>
              <w:jc w:val="both"/>
              <w:rPr>
                <w:rFonts w:cs="Arial"/>
                <w:szCs w:val="22"/>
                <w:lang w:eastAsia="it-IT"/>
              </w:rPr>
            </w:pPr>
          </w:p>
        </w:tc>
        <w:tc>
          <w:tcPr>
            <w:tcW w:w="1276" w:type="dxa"/>
            <w:vAlign w:val="center"/>
          </w:tcPr>
          <w:p w14:paraId="0FCA1231" w14:textId="77777777" w:rsidR="00D1052A" w:rsidRPr="0019790A" w:rsidRDefault="00D1052A" w:rsidP="0019790A">
            <w:pPr>
              <w:jc w:val="both"/>
              <w:rPr>
                <w:rFonts w:cs="Arial"/>
                <w:szCs w:val="22"/>
                <w:lang w:eastAsia="it-IT"/>
              </w:rPr>
            </w:pPr>
          </w:p>
        </w:tc>
        <w:tc>
          <w:tcPr>
            <w:tcW w:w="1571" w:type="dxa"/>
            <w:vAlign w:val="center"/>
          </w:tcPr>
          <w:p w14:paraId="5628A695" w14:textId="77777777" w:rsidR="00D1052A" w:rsidRPr="0019790A" w:rsidRDefault="00D1052A" w:rsidP="0019790A">
            <w:pPr>
              <w:jc w:val="both"/>
              <w:rPr>
                <w:rFonts w:cs="Arial"/>
                <w:szCs w:val="22"/>
                <w:lang w:eastAsia="it-IT"/>
              </w:rPr>
            </w:pPr>
          </w:p>
        </w:tc>
      </w:tr>
      <w:tr w:rsidR="00D1052A" w:rsidRPr="0019790A" w14:paraId="5606E960" w14:textId="77777777" w:rsidTr="00D1052A">
        <w:trPr>
          <w:trHeight w:val="254"/>
          <w:jc w:val="right"/>
        </w:trPr>
        <w:tc>
          <w:tcPr>
            <w:tcW w:w="3425" w:type="dxa"/>
            <w:shd w:val="clear" w:color="auto" w:fill="FFFFFF"/>
            <w:vAlign w:val="center"/>
          </w:tcPr>
          <w:p w14:paraId="3669B95D" w14:textId="77777777" w:rsidR="00D1052A" w:rsidRPr="0019790A" w:rsidRDefault="00D1052A" w:rsidP="0019790A">
            <w:pPr>
              <w:rPr>
                <w:rFonts w:cs="Arial"/>
                <w:szCs w:val="22"/>
              </w:rPr>
            </w:pPr>
            <w:r w:rsidRPr="0019790A">
              <w:rPr>
                <w:rFonts w:cs="Arial"/>
                <w:szCs w:val="22"/>
              </w:rPr>
              <w:t>- обласний бюджет</w:t>
            </w:r>
          </w:p>
        </w:tc>
        <w:tc>
          <w:tcPr>
            <w:tcW w:w="1254" w:type="dxa"/>
            <w:vAlign w:val="center"/>
          </w:tcPr>
          <w:p w14:paraId="10F8FCD4" w14:textId="77777777" w:rsidR="00D1052A" w:rsidRPr="0019790A" w:rsidRDefault="00D1052A" w:rsidP="0019790A">
            <w:pPr>
              <w:jc w:val="both"/>
              <w:rPr>
                <w:rFonts w:cs="Arial"/>
                <w:szCs w:val="22"/>
                <w:lang w:eastAsia="it-IT"/>
              </w:rPr>
            </w:pPr>
          </w:p>
        </w:tc>
        <w:tc>
          <w:tcPr>
            <w:tcW w:w="1275" w:type="dxa"/>
            <w:vAlign w:val="center"/>
          </w:tcPr>
          <w:p w14:paraId="3B0814E7" w14:textId="77777777" w:rsidR="00D1052A" w:rsidRPr="0019790A" w:rsidRDefault="00D1052A" w:rsidP="00CD6B99">
            <w:pPr>
              <w:jc w:val="center"/>
              <w:rPr>
                <w:rFonts w:cs="Arial"/>
                <w:szCs w:val="22"/>
                <w:lang w:eastAsia="it-IT"/>
              </w:rPr>
            </w:pPr>
            <w:r w:rsidRPr="0019790A">
              <w:rPr>
                <w:rFonts w:cs="Arial"/>
                <w:szCs w:val="22"/>
                <w:lang w:eastAsia="it-IT"/>
              </w:rPr>
              <w:t>800,00</w:t>
            </w:r>
          </w:p>
        </w:tc>
        <w:tc>
          <w:tcPr>
            <w:tcW w:w="1418" w:type="dxa"/>
            <w:vAlign w:val="center"/>
          </w:tcPr>
          <w:p w14:paraId="4016AB20" w14:textId="77777777" w:rsidR="00D1052A" w:rsidRPr="0019790A" w:rsidRDefault="00D1052A" w:rsidP="00CD6B99">
            <w:pPr>
              <w:jc w:val="center"/>
              <w:rPr>
                <w:rFonts w:cs="Arial"/>
                <w:szCs w:val="22"/>
                <w:lang w:eastAsia="it-IT"/>
              </w:rPr>
            </w:pPr>
            <w:r w:rsidRPr="0019790A">
              <w:rPr>
                <w:rFonts w:cs="Arial"/>
                <w:szCs w:val="22"/>
                <w:lang w:eastAsia="it-IT"/>
              </w:rPr>
              <w:t>800,00</w:t>
            </w:r>
          </w:p>
        </w:tc>
        <w:tc>
          <w:tcPr>
            <w:tcW w:w="1276" w:type="dxa"/>
            <w:vAlign w:val="center"/>
          </w:tcPr>
          <w:p w14:paraId="40AFAFDC" w14:textId="77777777" w:rsidR="00D1052A" w:rsidRPr="0019790A" w:rsidRDefault="00D1052A" w:rsidP="00CD6B99">
            <w:pPr>
              <w:jc w:val="center"/>
              <w:rPr>
                <w:rFonts w:cs="Arial"/>
                <w:szCs w:val="22"/>
                <w:lang w:eastAsia="it-IT"/>
              </w:rPr>
            </w:pPr>
            <w:r w:rsidRPr="0019790A">
              <w:rPr>
                <w:rFonts w:cs="Arial"/>
                <w:szCs w:val="22"/>
                <w:lang w:eastAsia="it-IT"/>
              </w:rPr>
              <w:t>640,00</w:t>
            </w:r>
          </w:p>
        </w:tc>
        <w:tc>
          <w:tcPr>
            <w:tcW w:w="1571" w:type="dxa"/>
            <w:vAlign w:val="center"/>
          </w:tcPr>
          <w:p w14:paraId="2EFA5E78" w14:textId="77777777" w:rsidR="00D1052A" w:rsidRPr="00CD6B99" w:rsidRDefault="00D1052A" w:rsidP="00CD6B99">
            <w:pPr>
              <w:jc w:val="center"/>
              <w:rPr>
                <w:rFonts w:cs="Arial"/>
                <w:b/>
                <w:szCs w:val="22"/>
                <w:lang w:eastAsia="it-IT"/>
              </w:rPr>
            </w:pPr>
            <w:r w:rsidRPr="00CD6B99">
              <w:rPr>
                <w:rFonts w:cs="Arial"/>
                <w:b/>
                <w:szCs w:val="22"/>
                <w:lang w:eastAsia="it-IT"/>
              </w:rPr>
              <w:t>2240,00</w:t>
            </w:r>
          </w:p>
        </w:tc>
      </w:tr>
      <w:tr w:rsidR="00D1052A" w:rsidRPr="0019790A" w14:paraId="682A53FC" w14:textId="77777777" w:rsidTr="00D1052A">
        <w:trPr>
          <w:trHeight w:val="275"/>
          <w:jc w:val="right"/>
        </w:trPr>
        <w:tc>
          <w:tcPr>
            <w:tcW w:w="3425" w:type="dxa"/>
            <w:shd w:val="clear" w:color="auto" w:fill="FFFFFF"/>
            <w:vAlign w:val="center"/>
          </w:tcPr>
          <w:p w14:paraId="6233E229" w14:textId="77777777" w:rsidR="00D1052A" w:rsidRPr="0019790A" w:rsidRDefault="00D1052A" w:rsidP="0019790A">
            <w:pPr>
              <w:rPr>
                <w:rFonts w:cs="Arial"/>
                <w:szCs w:val="22"/>
              </w:rPr>
            </w:pPr>
            <w:r w:rsidRPr="0019790A">
              <w:rPr>
                <w:rFonts w:cs="Arial"/>
                <w:szCs w:val="22"/>
              </w:rPr>
              <w:t>- бюджет Жмеринської МТГ</w:t>
            </w:r>
          </w:p>
        </w:tc>
        <w:tc>
          <w:tcPr>
            <w:tcW w:w="1254" w:type="dxa"/>
            <w:vAlign w:val="center"/>
          </w:tcPr>
          <w:p w14:paraId="7B783A60" w14:textId="77777777" w:rsidR="00D1052A" w:rsidRPr="0019790A" w:rsidRDefault="00D1052A" w:rsidP="0019790A">
            <w:pPr>
              <w:jc w:val="both"/>
              <w:rPr>
                <w:rFonts w:cs="Arial"/>
                <w:szCs w:val="22"/>
                <w:lang w:eastAsia="it-IT"/>
              </w:rPr>
            </w:pPr>
          </w:p>
        </w:tc>
        <w:tc>
          <w:tcPr>
            <w:tcW w:w="1275" w:type="dxa"/>
            <w:vAlign w:val="center"/>
          </w:tcPr>
          <w:p w14:paraId="4E645BE7" w14:textId="77777777" w:rsidR="00D1052A" w:rsidRPr="0019790A" w:rsidRDefault="00D1052A" w:rsidP="00CD6B99">
            <w:pPr>
              <w:jc w:val="center"/>
              <w:rPr>
                <w:rFonts w:cs="Arial"/>
                <w:szCs w:val="22"/>
                <w:lang w:eastAsia="it-IT"/>
              </w:rPr>
            </w:pPr>
            <w:r w:rsidRPr="0019790A">
              <w:rPr>
                <w:rFonts w:cs="Arial"/>
                <w:szCs w:val="22"/>
                <w:lang w:eastAsia="it-IT"/>
              </w:rPr>
              <w:t>200,00</w:t>
            </w:r>
          </w:p>
        </w:tc>
        <w:tc>
          <w:tcPr>
            <w:tcW w:w="1418" w:type="dxa"/>
            <w:vAlign w:val="center"/>
          </w:tcPr>
          <w:p w14:paraId="7B267D76" w14:textId="77777777" w:rsidR="00D1052A" w:rsidRPr="0019790A" w:rsidRDefault="00D1052A" w:rsidP="00CD6B99">
            <w:pPr>
              <w:jc w:val="center"/>
              <w:rPr>
                <w:rFonts w:cs="Arial"/>
                <w:szCs w:val="22"/>
                <w:lang w:eastAsia="it-IT"/>
              </w:rPr>
            </w:pPr>
            <w:r w:rsidRPr="0019790A">
              <w:rPr>
                <w:rFonts w:cs="Arial"/>
                <w:szCs w:val="22"/>
                <w:lang w:eastAsia="it-IT"/>
              </w:rPr>
              <w:t>200,00</w:t>
            </w:r>
          </w:p>
        </w:tc>
        <w:tc>
          <w:tcPr>
            <w:tcW w:w="1276" w:type="dxa"/>
            <w:vAlign w:val="center"/>
          </w:tcPr>
          <w:p w14:paraId="0EA82230" w14:textId="77777777" w:rsidR="00D1052A" w:rsidRPr="0019790A" w:rsidRDefault="00D1052A" w:rsidP="00CD6B99">
            <w:pPr>
              <w:jc w:val="center"/>
              <w:rPr>
                <w:rFonts w:cs="Arial"/>
                <w:szCs w:val="22"/>
                <w:lang w:eastAsia="it-IT"/>
              </w:rPr>
            </w:pPr>
            <w:r w:rsidRPr="0019790A">
              <w:rPr>
                <w:rFonts w:cs="Arial"/>
                <w:szCs w:val="22"/>
                <w:lang w:eastAsia="it-IT"/>
              </w:rPr>
              <w:t>160,00</w:t>
            </w:r>
          </w:p>
        </w:tc>
        <w:tc>
          <w:tcPr>
            <w:tcW w:w="1571" w:type="dxa"/>
            <w:vAlign w:val="center"/>
          </w:tcPr>
          <w:p w14:paraId="63344AE6" w14:textId="77777777" w:rsidR="00D1052A" w:rsidRPr="00CD6B99" w:rsidRDefault="00D1052A" w:rsidP="00CD6B99">
            <w:pPr>
              <w:jc w:val="center"/>
              <w:rPr>
                <w:rFonts w:cs="Arial"/>
                <w:b/>
                <w:szCs w:val="22"/>
                <w:lang w:eastAsia="it-IT"/>
              </w:rPr>
            </w:pPr>
            <w:r w:rsidRPr="00CD6B99">
              <w:rPr>
                <w:rFonts w:cs="Arial"/>
                <w:b/>
                <w:szCs w:val="22"/>
                <w:lang w:eastAsia="it-IT"/>
              </w:rPr>
              <w:t>560,00</w:t>
            </w:r>
          </w:p>
        </w:tc>
      </w:tr>
      <w:tr w:rsidR="00D1052A" w:rsidRPr="0019790A" w14:paraId="59B7752F" w14:textId="77777777" w:rsidTr="00D1052A">
        <w:trPr>
          <w:trHeight w:val="226"/>
          <w:jc w:val="right"/>
        </w:trPr>
        <w:tc>
          <w:tcPr>
            <w:tcW w:w="3425" w:type="dxa"/>
            <w:shd w:val="clear" w:color="auto" w:fill="FFFFFF"/>
            <w:vAlign w:val="center"/>
          </w:tcPr>
          <w:p w14:paraId="3AE4E31B" w14:textId="77777777" w:rsidR="00D1052A" w:rsidRPr="0019790A" w:rsidRDefault="00D1052A" w:rsidP="0019790A">
            <w:pPr>
              <w:rPr>
                <w:rFonts w:cs="Arial"/>
                <w:szCs w:val="22"/>
              </w:rPr>
            </w:pPr>
            <w:r w:rsidRPr="0019790A">
              <w:rPr>
                <w:rFonts w:cs="Arial"/>
                <w:szCs w:val="22"/>
              </w:rPr>
              <w:t>- інші джерела фінансування</w:t>
            </w:r>
          </w:p>
        </w:tc>
        <w:tc>
          <w:tcPr>
            <w:tcW w:w="1254" w:type="dxa"/>
            <w:vAlign w:val="center"/>
          </w:tcPr>
          <w:p w14:paraId="79E9669C" w14:textId="77777777" w:rsidR="00D1052A" w:rsidRPr="0019790A" w:rsidRDefault="00D1052A" w:rsidP="0019790A">
            <w:pPr>
              <w:jc w:val="both"/>
              <w:rPr>
                <w:rFonts w:cs="Arial"/>
                <w:szCs w:val="22"/>
                <w:lang w:eastAsia="it-IT"/>
              </w:rPr>
            </w:pPr>
          </w:p>
        </w:tc>
        <w:tc>
          <w:tcPr>
            <w:tcW w:w="1275" w:type="dxa"/>
            <w:vAlign w:val="center"/>
          </w:tcPr>
          <w:p w14:paraId="0A126CC8" w14:textId="77777777" w:rsidR="00D1052A" w:rsidRPr="0019790A" w:rsidRDefault="00D1052A" w:rsidP="00CD6B99">
            <w:pPr>
              <w:jc w:val="center"/>
              <w:rPr>
                <w:rFonts w:cs="Arial"/>
                <w:szCs w:val="22"/>
                <w:lang w:eastAsia="it-IT"/>
              </w:rPr>
            </w:pPr>
          </w:p>
        </w:tc>
        <w:tc>
          <w:tcPr>
            <w:tcW w:w="1418" w:type="dxa"/>
            <w:vAlign w:val="center"/>
          </w:tcPr>
          <w:p w14:paraId="7FE3DCBD" w14:textId="77777777" w:rsidR="00D1052A" w:rsidRPr="0019790A" w:rsidRDefault="00D1052A" w:rsidP="00CD6B99">
            <w:pPr>
              <w:jc w:val="center"/>
              <w:rPr>
                <w:rFonts w:cs="Arial"/>
                <w:szCs w:val="22"/>
                <w:lang w:eastAsia="it-IT"/>
              </w:rPr>
            </w:pPr>
          </w:p>
        </w:tc>
        <w:tc>
          <w:tcPr>
            <w:tcW w:w="1276" w:type="dxa"/>
            <w:vAlign w:val="center"/>
          </w:tcPr>
          <w:p w14:paraId="639845AE" w14:textId="77777777" w:rsidR="00D1052A" w:rsidRPr="0019790A" w:rsidRDefault="00D1052A" w:rsidP="00CD6B99">
            <w:pPr>
              <w:jc w:val="center"/>
              <w:rPr>
                <w:rFonts w:cs="Arial"/>
                <w:szCs w:val="22"/>
                <w:lang w:eastAsia="it-IT"/>
              </w:rPr>
            </w:pPr>
          </w:p>
        </w:tc>
        <w:tc>
          <w:tcPr>
            <w:tcW w:w="1571" w:type="dxa"/>
            <w:vAlign w:val="center"/>
          </w:tcPr>
          <w:p w14:paraId="63B60A56" w14:textId="77777777" w:rsidR="00D1052A" w:rsidRPr="0019790A" w:rsidRDefault="00D1052A" w:rsidP="00CD6B99">
            <w:pPr>
              <w:jc w:val="center"/>
              <w:rPr>
                <w:rFonts w:cs="Arial"/>
                <w:szCs w:val="22"/>
                <w:lang w:eastAsia="it-IT"/>
              </w:rPr>
            </w:pPr>
          </w:p>
        </w:tc>
      </w:tr>
      <w:tr w:rsidR="00D1052A" w:rsidRPr="0019790A" w14:paraId="0049EAD5" w14:textId="77777777" w:rsidTr="00D1052A">
        <w:trPr>
          <w:jc w:val="right"/>
        </w:trPr>
        <w:tc>
          <w:tcPr>
            <w:tcW w:w="3425" w:type="dxa"/>
            <w:shd w:val="clear" w:color="auto" w:fill="FFFFFF"/>
            <w:vAlign w:val="center"/>
          </w:tcPr>
          <w:p w14:paraId="6E177426" w14:textId="77777777" w:rsidR="00D1052A" w:rsidRPr="0019790A" w:rsidRDefault="00D1052A" w:rsidP="0019790A">
            <w:pPr>
              <w:rPr>
                <w:rFonts w:cs="Arial"/>
                <w:b/>
                <w:bCs/>
                <w:szCs w:val="22"/>
              </w:rPr>
            </w:pPr>
            <w:r w:rsidRPr="0019790A">
              <w:rPr>
                <w:rFonts w:cs="Arial"/>
                <w:b/>
                <w:szCs w:val="22"/>
              </w:rPr>
              <w:t>Відповідальний виконавець проєкту:</w:t>
            </w:r>
          </w:p>
        </w:tc>
        <w:tc>
          <w:tcPr>
            <w:tcW w:w="6794" w:type="dxa"/>
            <w:gridSpan w:val="5"/>
            <w:vAlign w:val="center"/>
          </w:tcPr>
          <w:p w14:paraId="14CFBB1C" w14:textId="77777777" w:rsidR="00D1052A" w:rsidRPr="0019790A" w:rsidRDefault="00D1052A" w:rsidP="0019790A">
            <w:pPr>
              <w:jc w:val="both"/>
              <w:rPr>
                <w:rFonts w:cs="Arial"/>
                <w:szCs w:val="22"/>
                <w:lang w:eastAsia="it-IT"/>
              </w:rPr>
            </w:pPr>
            <w:r w:rsidRPr="0019790A">
              <w:rPr>
                <w:rFonts w:cs="Arial"/>
                <w:szCs w:val="22"/>
                <w:lang w:eastAsia="it-IT"/>
              </w:rPr>
              <w:t>Управління ЖКГ Жмеринської міської ради, Управління освіти Жмеринської міської ради</w:t>
            </w:r>
          </w:p>
        </w:tc>
      </w:tr>
      <w:tr w:rsidR="00D1052A" w:rsidRPr="0019790A" w14:paraId="350AA09D" w14:textId="77777777" w:rsidTr="00D1052A">
        <w:trPr>
          <w:jc w:val="right"/>
        </w:trPr>
        <w:tc>
          <w:tcPr>
            <w:tcW w:w="3425" w:type="dxa"/>
            <w:shd w:val="clear" w:color="auto" w:fill="FFFFFF"/>
            <w:vAlign w:val="center"/>
          </w:tcPr>
          <w:p w14:paraId="2EC28FB3" w14:textId="77777777" w:rsidR="00D1052A" w:rsidRPr="0019790A" w:rsidRDefault="00D1052A" w:rsidP="0019790A">
            <w:pPr>
              <w:rPr>
                <w:rFonts w:cs="Arial"/>
                <w:b/>
                <w:bCs/>
                <w:szCs w:val="22"/>
              </w:rPr>
            </w:pPr>
            <w:r w:rsidRPr="0019790A">
              <w:rPr>
                <w:rFonts w:cs="Arial"/>
                <w:b/>
                <w:bCs/>
                <w:szCs w:val="22"/>
              </w:rPr>
              <w:t>Інше:</w:t>
            </w:r>
          </w:p>
        </w:tc>
        <w:tc>
          <w:tcPr>
            <w:tcW w:w="6794" w:type="dxa"/>
            <w:gridSpan w:val="5"/>
            <w:vAlign w:val="center"/>
          </w:tcPr>
          <w:p w14:paraId="62CEDD3F" w14:textId="77777777" w:rsidR="00D1052A" w:rsidRPr="0019790A" w:rsidRDefault="00D1052A" w:rsidP="0019790A">
            <w:pPr>
              <w:rPr>
                <w:rFonts w:cs="Arial"/>
                <w:szCs w:val="22"/>
                <w:lang w:eastAsia="it-IT"/>
              </w:rPr>
            </w:pPr>
          </w:p>
        </w:tc>
      </w:tr>
    </w:tbl>
    <w:p w14:paraId="73C081FF" w14:textId="77777777" w:rsidR="00D1052A" w:rsidRPr="0019790A" w:rsidRDefault="00D1052A" w:rsidP="0019790A">
      <w:pPr>
        <w:rPr>
          <w:rFonts w:cs="Arial"/>
          <w:szCs w:val="22"/>
        </w:rPr>
      </w:pPr>
    </w:p>
    <w:p w14:paraId="3B48011C" w14:textId="77777777" w:rsidR="00D1052A" w:rsidRPr="0019790A" w:rsidRDefault="00D1052A" w:rsidP="0019790A">
      <w:pPr>
        <w:rPr>
          <w:rFonts w:cs="Arial"/>
          <w:szCs w:val="22"/>
        </w:rPr>
      </w:pPr>
    </w:p>
    <w:p w14:paraId="4AF7B7A2" w14:textId="77777777" w:rsidR="00D1052A" w:rsidRPr="0019790A" w:rsidRDefault="00D1052A" w:rsidP="0019790A">
      <w:pPr>
        <w:jc w:val="center"/>
        <w:rPr>
          <w:rFonts w:cs="Arial"/>
          <w:b/>
          <w:szCs w:val="22"/>
        </w:rPr>
      </w:pPr>
      <w:r w:rsidRPr="0019790A">
        <w:rPr>
          <w:rFonts w:cs="Arial"/>
          <w:b/>
          <w:szCs w:val="22"/>
        </w:rPr>
        <w:t xml:space="preserve">Форма технічного завдання на проєкт місцевого розвитку </w:t>
      </w:r>
    </w:p>
    <w:p w14:paraId="1C4C9134" w14:textId="77777777" w:rsidR="00D1052A" w:rsidRPr="0019790A" w:rsidRDefault="00D1052A" w:rsidP="0019790A">
      <w:pPr>
        <w:jc w:val="center"/>
        <w:rPr>
          <w:rFonts w:cs="Arial"/>
          <w:b/>
          <w:szCs w:val="22"/>
        </w:rPr>
      </w:pPr>
      <w:r w:rsidRPr="0019790A">
        <w:rPr>
          <w:rFonts w:cs="Arial"/>
          <w:b/>
          <w:szCs w:val="22"/>
        </w:rPr>
        <w:t>до Плану заходів з реалізації Стратегії</w:t>
      </w:r>
    </w:p>
    <w:p w14:paraId="406B3914" w14:textId="77777777" w:rsidR="00D1052A" w:rsidRPr="0019790A" w:rsidRDefault="00D1052A"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1275"/>
        <w:gridCol w:w="188"/>
        <w:gridCol w:w="1230"/>
        <w:gridCol w:w="129"/>
        <w:gridCol w:w="1147"/>
        <w:gridCol w:w="212"/>
        <w:gridCol w:w="1359"/>
      </w:tblGrid>
      <w:tr w:rsidR="00D1052A" w:rsidRPr="0019790A" w14:paraId="542DD98B" w14:textId="77777777" w:rsidTr="00D1052A">
        <w:trPr>
          <w:jc w:val="right"/>
        </w:trPr>
        <w:tc>
          <w:tcPr>
            <w:tcW w:w="3425" w:type="dxa"/>
            <w:vAlign w:val="center"/>
          </w:tcPr>
          <w:p w14:paraId="6C798F27" w14:textId="77777777" w:rsidR="00D1052A" w:rsidRPr="0019790A" w:rsidRDefault="00D1052A" w:rsidP="0019790A">
            <w:pPr>
              <w:rPr>
                <w:rFonts w:cs="Arial"/>
                <w:b/>
                <w:bCs/>
                <w:szCs w:val="22"/>
              </w:rPr>
            </w:pPr>
            <w:r w:rsidRPr="0019790A">
              <w:rPr>
                <w:rFonts w:cs="Arial"/>
                <w:b/>
                <w:bCs/>
                <w:szCs w:val="22"/>
              </w:rPr>
              <w:t>Назва проєкту:</w:t>
            </w:r>
          </w:p>
        </w:tc>
        <w:tc>
          <w:tcPr>
            <w:tcW w:w="6794" w:type="dxa"/>
            <w:gridSpan w:val="8"/>
          </w:tcPr>
          <w:p w14:paraId="0E75B1AC" w14:textId="77777777" w:rsidR="00D1052A" w:rsidRPr="0019790A" w:rsidRDefault="00D1052A" w:rsidP="0019790A">
            <w:pPr>
              <w:jc w:val="both"/>
              <w:rPr>
                <w:rFonts w:cs="Arial"/>
                <w:b/>
                <w:szCs w:val="22"/>
                <w:shd w:val="clear" w:color="auto" w:fill="FFFFFF"/>
              </w:rPr>
            </w:pPr>
            <w:r w:rsidRPr="0019790A">
              <w:rPr>
                <w:rFonts w:cs="Arial"/>
                <w:b/>
                <w:szCs w:val="22"/>
              </w:rPr>
              <w:t xml:space="preserve">Опорна кухня - </w:t>
            </w:r>
            <w:r w:rsidRPr="0019790A">
              <w:rPr>
                <w:rFonts w:cs="Arial"/>
                <w:b/>
                <w:szCs w:val="22"/>
                <w:shd w:val="clear" w:color="auto" w:fill="FFFFFF"/>
              </w:rPr>
              <w:t xml:space="preserve">інноваційна модель організації шкільного харчування </w:t>
            </w:r>
          </w:p>
        </w:tc>
      </w:tr>
      <w:tr w:rsidR="00D1052A" w:rsidRPr="0019790A" w14:paraId="2C650970" w14:textId="77777777" w:rsidTr="00D1052A">
        <w:trPr>
          <w:jc w:val="right"/>
        </w:trPr>
        <w:tc>
          <w:tcPr>
            <w:tcW w:w="3425" w:type="dxa"/>
          </w:tcPr>
          <w:p w14:paraId="7DFF7CF6" w14:textId="77777777" w:rsidR="00D1052A" w:rsidRPr="0019790A" w:rsidRDefault="00D1052A"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4D69F6E8" w14:textId="77777777" w:rsidR="00D1052A" w:rsidRPr="0019790A" w:rsidRDefault="00D1052A"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8"/>
          </w:tcPr>
          <w:p w14:paraId="753200C3" w14:textId="77777777" w:rsidR="00D1052A" w:rsidRPr="0019790A" w:rsidRDefault="00D1052A" w:rsidP="0019790A">
            <w:pPr>
              <w:rPr>
                <w:rFonts w:cs="Arial"/>
                <w:szCs w:val="22"/>
                <w:lang w:eastAsia="it-IT"/>
              </w:rPr>
            </w:pPr>
            <w:r w:rsidRPr="0019790A">
              <w:rPr>
                <w:rFonts w:cs="Arial"/>
                <w:szCs w:val="22"/>
                <w:lang w:eastAsia="it-IT"/>
              </w:rPr>
              <w:t xml:space="preserve"> Управління освіти Жмеринської міської ради</w:t>
            </w:r>
          </w:p>
          <w:p w14:paraId="1A543AEB" w14:textId="77777777" w:rsidR="00D1052A" w:rsidRPr="0019790A" w:rsidRDefault="00D1052A" w:rsidP="0019790A">
            <w:pPr>
              <w:rPr>
                <w:rFonts w:cs="Arial"/>
                <w:szCs w:val="22"/>
                <w:lang w:eastAsia="it-IT"/>
              </w:rPr>
            </w:pPr>
            <w:r w:rsidRPr="0019790A">
              <w:rPr>
                <w:rFonts w:cs="Arial"/>
                <w:bCs/>
                <w:szCs w:val="22"/>
              </w:rPr>
              <w:t xml:space="preserve">  </w:t>
            </w:r>
          </w:p>
        </w:tc>
      </w:tr>
      <w:tr w:rsidR="00D1052A" w:rsidRPr="0019790A" w14:paraId="569F55E7" w14:textId="77777777" w:rsidTr="00D1052A">
        <w:trPr>
          <w:jc w:val="right"/>
        </w:trPr>
        <w:tc>
          <w:tcPr>
            <w:tcW w:w="3425" w:type="dxa"/>
          </w:tcPr>
          <w:p w14:paraId="3B27CCC7" w14:textId="77777777" w:rsidR="00D1052A" w:rsidRPr="0019790A" w:rsidRDefault="00D1052A" w:rsidP="0019790A">
            <w:pPr>
              <w:rPr>
                <w:rFonts w:cs="Arial"/>
                <w:b/>
                <w:bCs/>
                <w:szCs w:val="22"/>
              </w:rPr>
            </w:pPr>
            <w:r w:rsidRPr="0019790A">
              <w:rPr>
                <w:rFonts w:cs="Arial"/>
                <w:szCs w:val="22"/>
                <w:lang w:eastAsia="it-IT"/>
              </w:rPr>
              <w:t>Прізвище Ім’я по-батькові:</w:t>
            </w:r>
          </w:p>
        </w:tc>
        <w:tc>
          <w:tcPr>
            <w:tcW w:w="6794" w:type="dxa"/>
            <w:gridSpan w:val="8"/>
          </w:tcPr>
          <w:p w14:paraId="00E7C5E3" w14:textId="77777777" w:rsidR="00D1052A" w:rsidRPr="0019790A" w:rsidRDefault="00D1052A" w:rsidP="0019790A">
            <w:pPr>
              <w:pStyle w:val="TableParagraph"/>
              <w:ind w:left="0"/>
              <w:rPr>
                <w:rFonts w:ascii="Arial" w:hAnsi="Arial" w:cs="Arial"/>
              </w:rPr>
            </w:pPr>
            <w:r w:rsidRPr="0019790A">
              <w:rPr>
                <w:rFonts w:ascii="Arial" w:hAnsi="Arial" w:cs="Arial"/>
              </w:rPr>
              <w:t>Щурик Людмила Анатоліївна</w:t>
            </w:r>
          </w:p>
        </w:tc>
      </w:tr>
      <w:tr w:rsidR="00D1052A" w:rsidRPr="0019790A" w14:paraId="1F32EF9A" w14:textId="77777777" w:rsidTr="00D1052A">
        <w:trPr>
          <w:jc w:val="right"/>
        </w:trPr>
        <w:tc>
          <w:tcPr>
            <w:tcW w:w="3425" w:type="dxa"/>
          </w:tcPr>
          <w:p w14:paraId="39AF60DA" w14:textId="77777777" w:rsidR="00D1052A" w:rsidRPr="0019790A" w:rsidRDefault="00D1052A" w:rsidP="0019790A">
            <w:pPr>
              <w:rPr>
                <w:rFonts w:cs="Arial"/>
                <w:b/>
                <w:bCs/>
                <w:szCs w:val="22"/>
              </w:rPr>
            </w:pPr>
            <w:r w:rsidRPr="0019790A">
              <w:rPr>
                <w:rFonts w:cs="Arial"/>
                <w:szCs w:val="22"/>
                <w:lang w:eastAsia="it-IT"/>
              </w:rPr>
              <w:t>Телефон (мобільний):</w:t>
            </w:r>
          </w:p>
        </w:tc>
        <w:tc>
          <w:tcPr>
            <w:tcW w:w="6794" w:type="dxa"/>
            <w:gridSpan w:val="8"/>
          </w:tcPr>
          <w:p w14:paraId="182359A6" w14:textId="77777777" w:rsidR="00D1052A" w:rsidRPr="0019790A" w:rsidRDefault="00D1052A" w:rsidP="0019790A">
            <w:pPr>
              <w:pStyle w:val="TableParagraph"/>
              <w:ind w:left="66"/>
              <w:rPr>
                <w:rFonts w:ascii="Arial" w:hAnsi="Arial" w:cs="Arial"/>
              </w:rPr>
            </w:pPr>
            <w:r w:rsidRPr="0019790A">
              <w:rPr>
                <w:rFonts w:ascii="Arial" w:hAnsi="Arial" w:cs="Arial"/>
                <w:spacing w:val="-2"/>
              </w:rPr>
              <w:t>+380 (97) 265 81 51</w:t>
            </w:r>
          </w:p>
        </w:tc>
      </w:tr>
      <w:tr w:rsidR="00D1052A" w:rsidRPr="0019790A" w14:paraId="210089F6" w14:textId="77777777" w:rsidTr="00D1052A">
        <w:trPr>
          <w:jc w:val="right"/>
        </w:trPr>
        <w:tc>
          <w:tcPr>
            <w:tcW w:w="3425" w:type="dxa"/>
          </w:tcPr>
          <w:p w14:paraId="001EA690" w14:textId="77777777" w:rsidR="00D1052A" w:rsidRPr="0019790A" w:rsidRDefault="00D1052A" w:rsidP="0019790A">
            <w:pPr>
              <w:rPr>
                <w:rFonts w:cs="Arial"/>
                <w:b/>
                <w:bCs/>
                <w:szCs w:val="22"/>
              </w:rPr>
            </w:pPr>
            <w:r w:rsidRPr="0019790A">
              <w:rPr>
                <w:rFonts w:cs="Arial"/>
                <w:szCs w:val="22"/>
                <w:lang w:eastAsia="it-IT"/>
              </w:rPr>
              <w:t>Електронна адреса:</w:t>
            </w:r>
          </w:p>
        </w:tc>
        <w:tc>
          <w:tcPr>
            <w:tcW w:w="6794" w:type="dxa"/>
            <w:gridSpan w:val="8"/>
          </w:tcPr>
          <w:p w14:paraId="32E89DF5" w14:textId="77777777" w:rsidR="00D1052A" w:rsidRPr="0019790A" w:rsidRDefault="00D1052A" w:rsidP="0019790A">
            <w:pPr>
              <w:pStyle w:val="TableParagraph"/>
              <w:ind w:left="66"/>
              <w:rPr>
                <w:rFonts w:ascii="Arial" w:hAnsi="Arial" w:cs="Arial"/>
                <w:b/>
              </w:rPr>
            </w:pPr>
            <w:r w:rsidRPr="0019790A">
              <w:rPr>
                <w:rFonts w:ascii="Arial" w:hAnsi="Arial" w:cs="Arial"/>
              </w:rPr>
              <w:t xml:space="preserve"> </w:t>
            </w:r>
            <w:hyperlink r:id="rId106" w:history="1">
              <w:r w:rsidRPr="0019790A">
                <w:rPr>
                  <w:rStyle w:val="af0"/>
                  <w:rFonts w:ascii="Arial" w:hAnsi="Arial" w:cs="Arial"/>
                  <w:noProof w:val="0"/>
                  <w:spacing w:val="5"/>
                  <w:sz w:val="22"/>
                  <w:szCs w:val="22"/>
                </w:rPr>
                <w:t>uposv.zmr@gmail.com</w:t>
              </w:r>
            </w:hyperlink>
          </w:p>
        </w:tc>
      </w:tr>
      <w:tr w:rsidR="00D1052A" w:rsidRPr="0019790A" w14:paraId="32C19CBF" w14:textId="77777777" w:rsidTr="00D1052A">
        <w:trPr>
          <w:jc w:val="right"/>
        </w:trPr>
        <w:tc>
          <w:tcPr>
            <w:tcW w:w="3425" w:type="dxa"/>
            <w:vAlign w:val="center"/>
          </w:tcPr>
          <w:p w14:paraId="2CB96EF2" w14:textId="77777777" w:rsidR="00D1052A" w:rsidRPr="0019790A" w:rsidRDefault="00D1052A" w:rsidP="0019790A">
            <w:pPr>
              <w:pStyle w:val="6"/>
              <w:spacing w:before="0" w:after="0"/>
              <w:rPr>
                <w:rFonts w:ascii="Arial" w:hAnsi="Arial" w:cs="Arial"/>
                <w:lang w:val="uk-UA"/>
              </w:rPr>
            </w:pPr>
            <w:r w:rsidRPr="0019790A">
              <w:rPr>
                <w:rFonts w:ascii="Arial" w:hAnsi="Arial" w:cs="Arial"/>
                <w:lang w:val="uk-UA"/>
              </w:rPr>
              <w:t>Номер і назва завдання з Стратегії</w:t>
            </w:r>
            <w:r w:rsidRPr="0019790A">
              <w:rPr>
                <w:rFonts w:ascii="Arial" w:hAnsi="Arial" w:cs="Arial"/>
                <w:lang w:val="uk-UA" w:eastAsia="it-IT"/>
              </w:rPr>
              <w:t xml:space="preserve"> </w:t>
            </w:r>
            <w:r w:rsidRPr="0019790A">
              <w:rPr>
                <w:rFonts w:ascii="Arial" w:hAnsi="Arial" w:cs="Arial"/>
                <w:lang w:val="uk-UA"/>
              </w:rPr>
              <w:t>розвитку Жмеринської міської територіальної громади,  якому відповідає проєкт:</w:t>
            </w:r>
          </w:p>
        </w:tc>
        <w:tc>
          <w:tcPr>
            <w:tcW w:w="6794" w:type="dxa"/>
            <w:gridSpan w:val="8"/>
          </w:tcPr>
          <w:p w14:paraId="60E205D1" w14:textId="77777777" w:rsidR="00D1052A" w:rsidRPr="0019790A" w:rsidRDefault="00D1052A" w:rsidP="0019790A">
            <w:pPr>
              <w:rPr>
                <w:rFonts w:cs="Arial"/>
                <w:szCs w:val="22"/>
              </w:rPr>
            </w:pPr>
            <w:r w:rsidRPr="0019790A">
              <w:rPr>
                <w:rFonts w:cs="Arial"/>
                <w:szCs w:val="22"/>
              </w:rPr>
              <w:t>С.1.2.4.Підвищення рівня санітарної безпеки закладів освіти</w:t>
            </w:r>
          </w:p>
          <w:p w14:paraId="5A05FCD7" w14:textId="77777777" w:rsidR="00D1052A" w:rsidRPr="0019790A" w:rsidRDefault="00D1052A" w:rsidP="0019790A">
            <w:pPr>
              <w:rPr>
                <w:rFonts w:cs="Arial"/>
                <w:szCs w:val="22"/>
                <w:lang w:eastAsia="it-IT"/>
              </w:rPr>
            </w:pPr>
            <w:r w:rsidRPr="0019790A">
              <w:rPr>
                <w:rFonts w:cs="Arial"/>
                <w:szCs w:val="22"/>
              </w:rPr>
              <w:t>С.1.2.5 Підвищення рівня безпечності та якості організації харчування, створення умов для здорового способу життя</w:t>
            </w:r>
          </w:p>
        </w:tc>
      </w:tr>
      <w:tr w:rsidR="00D1052A" w:rsidRPr="0019790A" w14:paraId="7425295D" w14:textId="77777777" w:rsidTr="00D1052A">
        <w:trPr>
          <w:jc w:val="right"/>
        </w:trPr>
        <w:tc>
          <w:tcPr>
            <w:tcW w:w="3425" w:type="dxa"/>
            <w:vAlign w:val="center"/>
          </w:tcPr>
          <w:p w14:paraId="48A720A8" w14:textId="77777777" w:rsidR="00D1052A" w:rsidRPr="0019790A" w:rsidRDefault="00D1052A" w:rsidP="0019790A">
            <w:pPr>
              <w:rPr>
                <w:rFonts w:cs="Arial"/>
                <w:b/>
                <w:bCs/>
                <w:szCs w:val="22"/>
              </w:rPr>
            </w:pPr>
            <w:r w:rsidRPr="0019790A">
              <w:rPr>
                <w:rFonts w:cs="Arial"/>
                <w:b/>
                <w:bCs/>
                <w:szCs w:val="22"/>
              </w:rPr>
              <w:t>Мета проєкту:</w:t>
            </w:r>
          </w:p>
        </w:tc>
        <w:tc>
          <w:tcPr>
            <w:tcW w:w="6794" w:type="dxa"/>
            <w:gridSpan w:val="8"/>
          </w:tcPr>
          <w:p w14:paraId="4E9C9BA1" w14:textId="77777777" w:rsidR="00D1052A" w:rsidRPr="0019790A" w:rsidRDefault="00D1052A" w:rsidP="0019790A">
            <w:pPr>
              <w:jc w:val="both"/>
              <w:rPr>
                <w:rFonts w:cs="Arial"/>
                <w:szCs w:val="22"/>
              </w:rPr>
            </w:pPr>
            <w:r w:rsidRPr="0019790A">
              <w:rPr>
                <w:rFonts w:cs="Arial"/>
                <w:szCs w:val="22"/>
              </w:rPr>
              <w:t>Підвищення якості освіти та освітніх послуг.</w:t>
            </w:r>
          </w:p>
          <w:p w14:paraId="690B5E15" w14:textId="77777777" w:rsidR="00D1052A" w:rsidRPr="0019790A" w:rsidRDefault="00D1052A" w:rsidP="0019790A">
            <w:pPr>
              <w:jc w:val="both"/>
              <w:rPr>
                <w:rFonts w:cs="Arial"/>
                <w:szCs w:val="22"/>
                <w:lang w:eastAsia="it-IT"/>
              </w:rPr>
            </w:pPr>
            <w:r w:rsidRPr="0019790A">
              <w:rPr>
                <w:rFonts w:cs="Arial"/>
                <w:szCs w:val="22"/>
              </w:rPr>
              <w:t>Ф</w:t>
            </w:r>
            <w:r w:rsidRPr="0019790A">
              <w:rPr>
                <w:rFonts w:cs="Arial"/>
                <w:szCs w:val="22"/>
                <w:shd w:val="clear" w:color="auto" w:fill="FFFFFF"/>
              </w:rPr>
              <w:t>ормування культури здорового харчування у школярів, як наскрізної компетенції Нової української школи.</w:t>
            </w:r>
          </w:p>
        </w:tc>
      </w:tr>
      <w:tr w:rsidR="00D1052A" w:rsidRPr="0019790A" w14:paraId="4D9AC13B" w14:textId="77777777" w:rsidTr="00D1052A">
        <w:trPr>
          <w:jc w:val="right"/>
        </w:trPr>
        <w:tc>
          <w:tcPr>
            <w:tcW w:w="3425" w:type="dxa"/>
            <w:vAlign w:val="center"/>
          </w:tcPr>
          <w:p w14:paraId="50B0B78A" w14:textId="77777777" w:rsidR="00D1052A" w:rsidRPr="0019790A" w:rsidRDefault="00D1052A" w:rsidP="0019790A">
            <w:pPr>
              <w:rPr>
                <w:rFonts w:cs="Arial"/>
                <w:b/>
                <w:bCs/>
                <w:szCs w:val="22"/>
              </w:rPr>
            </w:pPr>
            <w:r w:rsidRPr="0019790A">
              <w:rPr>
                <w:rFonts w:cs="Arial"/>
                <w:b/>
                <w:bCs/>
                <w:szCs w:val="22"/>
              </w:rPr>
              <w:t>Цілі проєкту:</w:t>
            </w:r>
          </w:p>
        </w:tc>
        <w:tc>
          <w:tcPr>
            <w:tcW w:w="6794" w:type="dxa"/>
            <w:gridSpan w:val="8"/>
          </w:tcPr>
          <w:p w14:paraId="267E128F" w14:textId="77777777" w:rsidR="00D1052A" w:rsidRPr="0019790A" w:rsidRDefault="00D1052A" w:rsidP="0019790A">
            <w:pPr>
              <w:jc w:val="both"/>
              <w:rPr>
                <w:rFonts w:cs="Arial"/>
                <w:szCs w:val="22"/>
              </w:rPr>
            </w:pPr>
            <w:r w:rsidRPr="0019790A">
              <w:rPr>
                <w:rFonts w:cs="Arial"/>
                <w:szCs w:val="22"/>
              </w:rPr>
              <w:t xml:space="preserve">Створити неналежні умови організації достатнього, якісного, безпечного, збалансованого харчування в закладах освіти сільської місцевості, </w:t>
            </w:r>
          </w:p>
        </w:tc>
      </w:tr>
      <w:tr w:rsidR="00D1052A" w:rsidRPr="0019790A" w14:paraId="56B5E7BC" w14:textId="77777777" w:rsidTr="00D1052A">
        <w:trPr>
          <w:jc w:val="right"/>
        </w:trPr>
        <w:tc>
          <w:tcPr>
            <w:tcW w:w="3425" w:type="dxa"/>
            <w:vAlign w:val="center"/>
          </w:tcPr>
          <w:p w14:paraId="44F3C0A3" w14:textId="77777777" w:rsidR="00D1052A" w:rsidRPr="0019790A" w:rsidRDefault="00D1052A" w:rsidP="0019790A">
            <w:pPr>
              <w:autoSpaceDE w:val="0"/>
              <w:autoSpaceDN w:val="0"/>
              <w:adjustRightInd w:val="0"/>
              <w:rPr>
                <w:rFonts w:cs="Arial"/>
                <w:b/>
                <w:szCs w:val="22"/>
              </w:rPr>
            </w:pPr>
            <w:r w:rsidRPr="0019790A">
              <w:rPr>
                <w:rFonts w:cs="Arial"/>
                <w:b/>
                <w:szCs w:val="22"/>
              </w:rPr>
              <w:t>Територія на яку проєкт матиме вплив:</w:t>
            </w:r>
          </w:p>
        </w:tc>
        <w:tc>
          <w:tcPr>
            <w:tcW w:w="6794" w:type="dxa"/>
            <w:gridSpan w:val="8"/>
          </w:tcPr>
          <w:p w14:paraId="5631FCA3" w14:textId="77777777" w:rsidR="00D1052A" w:rsidRPr="0019790A" w:rsidRDefault="00D1052A" w:rsidP="0019790A">
            <w:pPr>
              <w:rPr>
                <w:rFonts w:cs="Arial"/>
                <w:szCs w:val="22"/>
                <w:lang w:eastAsia="it-IT"/>
              </w:rPr>
            </w:pPr>
            <w:r w:rsidRPr="0019790A">
              <w:rPr>
                <w:rFonts w:cs="Arial"/>
                <w:szCs w:val="22"/>
                <w:lang w:eastAsia="it-IT"/>
              </w:rPr>
              <w:t xml:space="preserve">Територія Жмеринської міської територіальної громади  </w:t>
            </w:r>
          </w:p>
        </w:tc>
      </w:tr>
      <w:tr w:rsidR="00D1052A" w:rsidRPr="0019790A" w14:paraId="3F6DC2D6" w14:textId="77777777" w:rsidTr="00D1052A">
        <w:trPr>
          <w:jc w:val="right"/>
        </w:trPr>
        <w:tc>
          <w:tcPr>
            <w:tcW w:w="3425" w:type="dxa"/>
            <w:vAlign w:val="center"/>
          </w:tcPr>
          <w:p w14:paraId="1B87EE11" w14:textId="77777777" w:rsidR="00D1052A" w:rsidRPr="0019790A" w:rsidRDefault="00D1052A" w:rsidP="0019790A">
            <w:pPr>
              <w:autoSpaceDE w:val="0"/>
              <w:autoSpaceDN w:val="0"/>
              <w:adjustRightInd w:val="0"/>
              <w:rPr>
                <w:rFonts w:cs="Arial"/>
                <w:b/>
                <w:szCs w:val="22"/>
              </w:rPr>
            </w:pPr>
            <w:r w:rsidRPr="0019790A">
              <w:rPr>
                <w:rFonts w:cs="Arial"/>
                <w:b/>
                <w:szCs w:val="22"/>
              </w:rPr>
              <w:t>Цільові групи проєкту та кількість отримувачів вигоди</w:t>
            </w:r>
          </w:p>
        </w:tc>
        <w:tc>
          <w:tcPr>
            <w:tcW w:w="6794" w:type="dxa"/>
            <w:gridSpan w:val="8"/>
          </w:tcPr>
          <w:p w14:paraId="48C4C2B0" w14:textId="77777777" w:rsidR="00D1052A" w:rsidRPr="0019790A" w:rsidRDefault="00D1052A" w:rsidP="0019790A">
            <w:pPr>
              <w:pStyle w:val="TableParagraph"/>
              <w:ind w:left="0"/>
              <w:jc w:val="both"/>
              <w:rPr>
                <w:rFonts w:ascii="Arial" w:hAnsi="Arial" w:cs="Arial"/>
              </w:rPr>
            </w:pPr>
            <w:r w:rsidRPr="0019790A">
              <w:rPr>
                <w:rFonts w:ascii="Arial" w:hAnsi="Arial" w:cs="Arial"/>
              </w:rPr>
              <w:t>здобувачі освіти, педагоги, батьки, відвідувачі,  жителі громади</w:t>
            </w:r>
          </w:p>
        </w:tc>
      </w:tr>
      <w:tr w:rsidR="00D1052A" w:rsidRPr="0019790A" w14:paraId="130AE437" w14:textId="77777777" w:rsidTr="00D1052A">
        <w:trPr>
          <w:jc w:val="right"/>
        </w:trPr>
        <w:tc>
          <w:tcPr>
            <w:tcW w:w="3425" w:type="dxa"/>
            <w:shd w:val="clear" w:color="auto" w:fill="FFFFFF"/>
            <w:vAlign w:val="center"/>
          </w:tcPr>
          <w:p w14:paraId="70D870F8" w14:textId="77777777" w:rsidR="00D1052A" w:rsidRPr="0019790A" w:rsidRDefault="00D1052A" w:rsidP="0019790A">
            <w:pPr>
              <w:rPr>
                <w:rFonts w:cs="Arial"/>
                <w:b/>
                <w:bCs/>
                <w:szCs w:val="22"/>
              </w:rPr>
            </w:pPr>
            <w:r w:rsidRPr="0019790A">
              <w:rPr>
                <w:rFonts w:cs="Arial"/>
                <w:b/>
                <w:bCs/>
                <w:szCs w:val="22"/>
              </w:rPr>
              <w:t>Стислий опис проєкту:</w:t>
            </w:r>
          </w:p>
        </w:tc>
        <w:tc>
          <w:tcPr>
            <w:tcW w:w="6794" w:type="dxa"/>
            <w:gridSpan w:val="8"/>
          </w:tcPr>
          <w:p w14:paraId="3A72C325" w14:textId="77777777" w:rsidR="00D1052A" w:rsidRPr="0019790A" w:rsidRDefault="00D1052A" w:rsidP="0019790A">
            <w:pPr>
              <w:jc w:val="both"/>
              <w:rPr>
                <w:rFonts w:cs="Arial"/>
                <w:szCs w:val="22"/>
                <w:shd w:val="clear" w:color="auto" w:fill="FFFFFF"/>
              </w:rPr>
            </w:pPr>
            <w:r w:rsidRPr="0019790A">
              <w:rPr>
                <w:rFonts w:cs="Arial"/>
                <w:szCs w:val="22"/>
                <w:shd w:val="clear" w:color="auto" w:fill="FFFFFF"/>
              </w:rPr>
              <w:t xml:space="preserve">   </w:t>
            </w:r>
            <w:r w:rsidRPr="0019790A">
              <w:rPr>
                <w:rFonts w:cs="Arial"/>
                <w:szCs w:val="22"/>
              </w:rPr>
              <w:t xml:space="preserve">В Україні </w:t>
            </w:r>
            <w:r w:rsidRPr="0019790A">
              <w:rPr>
                <w:rFonts w:cs="Arial"/>
                <w:szCs w:val="22"/>
                <w:shd w:val="clear" w:color="auto" w:fill="FFFFFF"/>
              </w:rPr>
              <w:t>триває реформа шкільного харчування, де новацій  зазнає не тільки склад шкільного меню та рецептури приготування, але й форми організації харчування.</w:t>
            </w:r>
          </w:p>
          <w:p w14:paraId="5FB52F64" w14:textId="77777777" w:rsidR="00D1052A" w:rsidRPr="0019790A" w:rsidRDefault="00D1052A" w:rsidP="0019790A">
            <w:pPr>
              <w:jc w:val="both"/>
              <w:rPr>
                <w:rFonts w:cs="Arial"/>
                <w:szCs w:val="22"/>
                <w:shd w:val="clear" w:color="auto" w:fill="FFFFFF"/>
              </w:rPr>
            </w:pPr>
            <w:r w:rsidRPr="0019790A">
              <w:rPr>
                <w:rFonts w:cs="Arial"/>
                <w:szCs w:val="22"/>
                <w:shd w:val="clear" w:color="auto" w:fill="FFFFFF"/>
              </w:rPr>
              <w:t xml:space="preserve">    Опорна кухня: - інноваційна модель організації шкільного харчування, яку вже запроваджено в Жмеринській міській територіальній громаді. У </w:t>
            </w:r>
            <w:r w:rsidRPr="0019790A">
              <w:rPr>
                <w:rFonts w:cs="Arial"/>
                <w:szCs w:val="22"/>
              </w:rPr>
              <w:t>межах цієї моделі два заклади освіти, де обладнання вже оновлене, готують та доставляють готову гарячу їжу до шкіл, де організація гарячого харчування була неможливою та економічно недоцільною.</w:t>
            </w:r>
            <w:r w:rsidRPr="0019790A">
              <w:rPr>
                <w:rFonts w:cs="Arial"/>
                <w:szCs w:val="22"/>
                <w:shd w:val="clear" w:color="auto" w:fill="FFFFFF"/>
              </w:rPr>
              <w:t xml:space="preserve"> Це дозволило забезпечити якісним і збалансованим гарячим харчуванням 200 здобувачів освіти трьох малокомлектних шкіл сільської місцевості,   </w:t>
            </w:r>
          </w:p>
          <w:p w14:paraId="44E7FE12" w14:textId="77777777" w:rsidR="00D1052A" w:rsidRPr="0019790A" w:rsidRDefault="00D1052A" w:rsidP="0019790A">
            <w:pPr>
              <w:jc w:val="both"/>
              <w:rPr>
                <w:rFonts w:cs="Arial"/>
                <w:szCs w:val="22"/>
                <w:lang w:eastAsia="it-IT"/>
              </w:rPr>
            </w:pPr>
            <w:r w:rsidRPr="0019790A">
              <w:rPr>
                <w:rFonts w:cs="Arial"/>
                <w:szCs w:val="22"/>
                <w:shd w:val="clear" w:color="auto" w:fill="FFFFFF"/>
              </w:rPr>
              <w:t xml:space="preserve">    Реалізація проєкту сприятиме запровадженню технологічної  моделі «опорна кухня» на базі «КЗ «Жмеринський ліцей № 6» та стане оптимальним рішенням для забезпечення учнів ще двох закладів освіти, </w:t>
            </w:r>
            <w:r w:rsidRPr="0019790A">
              <w:rPr>
                <w:rFonts w:cs="Arial"/>
                <w:szCs w:val="22"/>
              </w:rPr>
              <w:t>розташованих поблизу,</w:t>
            </w:r>
            <w:r w:rsidRPr="0019790A">
              <w:rPr>
                <w:rFonts w:cs="Arial"/>
                <w:szCs w:val="22"/>
                <w:shd w:val="clear" w:color="auto" w:fill="FFFFFF"/>
              </w:rPr>
              <w:t xml:space="preserve"> не лише корисною їжею, але й смачною і різноманітною.  </w:t>
            </w:r>
          </w:p>
        </w:tc>
      </w:tr>
      <w:tr w:rsidR="00D1052A" w:rsidRPr="0019790A" w14:paraId="42D22210" w14:textId="77777777" w:rsidTr="00D1052A">
        <w:trPr>
          <w:jc w:val="right"/>
        </w:trPr>
        <w:tc>
          <w:tcPr>
            <w:tcW w:w="3425" w:type="dxa"/>
            <w:shd w:val="clear" w:color="auto" w:fill="FFFFFF"/>
            <w:vAlign w:val="center"/>
          </w:tcPr>
          <w:p w14:paraId="23E1C622" w14:textId="77777777" w:rsidR="00D1052A" w:rsidRPr="0019790A" w:rsidRDefault="00D1052A" w:rsidP="0019790A">
            <w:pPr>
              <w:rPr>
                <w:rFonts w:cs="Arial"/>
                <w:b/>
                <w:bCs/>
                <w:szCs w:val="22"/>
              </w:rPr>
            </w:pPr>
            <w:r w:rsidRPr="0019790A">
              <w:rPr>
                <w:rFonts w:cs="Arial"/>
                <w:b/>
                <w:bCs/>
                <w:szCs w:val="22"/>
              </w:rPr>
              <w:t>Основні заходи проєкту:</w:t>
            </w:r>
          </w:p>
        </w:tc>
        <w:tc>
          <w:tcPr>
            <w:tcW w:w="6794" w:type="dxa"/>
            <w:gridSpan w:val="8"/>
          </w:tcPr>
          <w:p w14:paraId="277ACA03" w14:textId="77777777" w:rsidR="00D1052A" w:rsidRPr="0019790A" w:rsidRDefault="00D1052A" w:rsidP="0019790A">
            <w:pPr>
              <w:numPr>
                <w:ilvl w:val="0"/>
                <w:numId w:val="25"/>
              </w:numPr>
              <w:tabs>
                <w:tab w:val="left" w:pos="501"/>
              </w:tabs>
              <w:jc w:val="both"/>
              <w:rPr>
                <w:rFonts w:cs="Arial"/>
                <w:szCs w:val="22"/>
              </w:rPr>
            </w:pPr>
            <w:r w:rsidRPr="0019790A">
              <w:rPr>
                <w:rFonts w:cs="Arial"/>
                <w:szCs w:val="22"/>
                <w:lang w:eastAsia="uk-UA"/>
              </w:rPr>
              <w:t>Придбання спеціального автомобіля для доставки гарячої їжі.</w:t>
            </w:r>
          </w:p>
          <w:p w14:paraId="2CA4AFC1" w14:textId="243B51A3" w:rsidR="00D1052A" w:rsidRPr="0019790A" w:rsidRDefault="00D1052A" w:rsidP="0019790A">
            <w:pPr>
              <w:numPr>
                <w:ilvl w:val="0"/>
                <w:numId w:val="25"/>
              </w:numPr>
              <w:tabs>
                <w:tab w:val="left" w:pos="501"/>
              </w:tabs>
              <w:jc w:val="both"/>
              <w:rPr>
                <w:rFonts w:cs="Arial"/>
                <w:szCs w:val="22"/>
              </w:rPr>
            </w:pPr>
            <w:r w:rsidRPr="0019790A">
              <w:rPr>
                <w:rFonts w:cs="Arial"/>
                <w:szCs w:val="22"/>
              </w:rPr>
              <w:t xml:space="preserve">Модернізація шкільних </w:t>
            </w:r>
            <w:r w:rsidR="00CD6B99" w:rsidRPr="0019790A">
              <w:rPr>
                <w:rFonts w:cs="Arial"/>
                <w:szCs w:val="22"/>
              </w:rPr>
              <w:t>їдальнь</w:t>
            </w:r>
            <w:r w:rsidRPr="0019790A">
              <w:rPr>
                <w:rFonts w:cs="Arial"/>
                <w:szCs w:val="22"/>
              </w:rPr>
              <w:t xml:space="preserve"> </w:t>
            </w:r>
            <w:r w:rsidR="00CD6B99" w:rsidRPr="0019790A">
              <w:rPr>
                <w:rFonts w:cs="Arial"/>
                <w:szCs w:val="22"/>
              </w:rPr>
              <w:t>Браїлівської</w:t>
            </w:r>
            <w:r w:rsidRPr="0019790A">
              <w:rPr>
                <w:rFonts w:cs="Arial"/>
                <w:szCs w:val="22"/>
              </w:rPr>
              <w:t xml:space="preserve"> гімназії та філії «Коростівецька гімназія». </w:t>
            </w:r>
          </w:p>
          <w:p w14:paraId="44F750B6" w14:textId="77777777" w:rsidR="00D1052A" w:rsidRPr="0019790A" w:rsidRDefault="00D1052A" w:rsidP="0019790A">
            <w:pPr>
              <w:numPr>
                <w:ilvl w:val="0"/>
                <w:numId w:val="25"/>
              </w:numPr>
              <w:tabs>
                <w:tab w:val="left" w:pos="501"/>
              </w:tabs>
              <w:jc w:val="both"/>
              <w:rPr>
                <w:rFonts w:cs="Arial"/>
                <w:szCs w:val="22"/>
              </w:rPr>
            </w:pPr>
            <w:r w:rsidRPr="0019790A">
              <w:rPr>
                <w:rFonts w:cs="Arial"/>
                <w:szCs w:val="22"/>
              </w:rPr>
              <w:t xml:space="preserve">Підвищення кваліфікації кухарів,. </w:t>
            </w:r>
          </w:p>
          <w:p w14:paraId="5EE02889" w14:textId="77777777" w:rsidR="00D1052A" w:rsidRPr="0019790A" w:rsidRDefault="00D1052A" w:rsidP="0019790A">
            <w:pPr>
              <w:numPr>
                <w:ilvl w:val="0"/>
                <w:numId w:val="25"/>
              </w:numPr>
              <w:tabs>
                <w:tab w:val="left" w:pos="501"/>
              </w:tabs>
              <w:jc w:val="both"/>
              <w:rPr>
                <w:rFonts w:cs="Arial"/>
                <w:szCs w:val="22"/>
              </w:rPr>
            </w:pPr>
            <w:r w:rsidRPr="0019790A">
              <w:rPr>
                <w:rFonts w:cs="Arial"/>
                <w:szCs w:val="22"/>
                <w:lang w:eastAsia="uk-UA"/>
              </w:rPr>
              <w:t>Придбання кухонного посуду, термосів, столових приборів.</w:t>
            </w:r>
          </w:p>
          <w:p w14:paraId="5880087A" w14:textId="77777777" w:rsidR="00D1052A" w:rsidRPr="0019790A" w:rsidRDefault="00D1052A" w:rsidP="0019790A">
            <w:pPr>
              <w:numPr>
                <w:ilvl w:val="0"/>
                <w:numId w:val="25"/>
              </w:numPr>
              <w:tabs>
                <w:tab w:val="left" w:pos="501"/>
              </w:tabs>
              <w:jc w:val="both"/>
              <w:rPr>
                <w:rFonts w:cs="Arial"/>
                <w:szCs w:val="22"/>
              </w:rPr>
            </w:pPr>
            <w:r w:rsidRPr="0019790A">
              <w:rPr>
                <w:rFonts w:cs="Arial"/>
                <w:szCs w:val="22"/>
                <w:lang w:eastAsia="uk-UA"/>
              </w:rPr>
              <w:t>Виготовлення ПКД на проведення капітального ремонту приміщень  харчоблоку КЗ «Жмеринський ліцей № 3»</w:t>
            </w:r>
          </w:p>
        </w:tc>
      </w:tr>
      <w:tr w:rsidR="00D1052A" w:rsidRPr="0019790A" w14:paraId="23F177E2" w14:textId="77777777" w:rsidTr="00D1052A">
        <w:trPr>
          <w:jc w:val="right"/>
        </w:trPr>
        <w:tc>
          <w:tcPr>
            <w:tcW w:w="3425" w:type="dxa"/>
            <w:shd w:val="clear" w:color="auto" w:fill="FFFFFF"/>
            <w:vAlign w:val="center"/>
          </w:tcPr>
          <w:p w14:paraId="12718F51" w14:textId="77777777" w:rsidR="00D1052A" w:rsidRPr="0019790A" w:rsidRDefault="00D1052A" w:rsidP="0019790A">
            <w:pPr>
              <w:rPr>
                <w:rFonts w:cs="Arial"/>
                <w:b/>
                <w:bCs/>
                <w:szCs w:val="22"/>
              </w:rPr>
            </w:pPr>
            <w:r w:rsidRPr="0019790A">
              <w:rPr>
                <w:rFonts w:cs="Arial"/>
                <w:b/>
                <w:bCs/>
                <w:szCs w:val="22"/>
              </w:rPr>
              <w:t>Індикатори (показники) результативності:</w:t>
            </w:r>
          </w:p>
        </w:tc>
        <w:tc>
          <w:tcPr>
            <w:tcW w:w="6794" w:type="dxa"/>
            <w:gridSpan w:val="8"/>
          </w:tcPr>
          <w:p w14:paraId="2993BF30" w14:textId="77777777" w:rsidR="00D1052A" w:rsidRPr="0019790A" w:rsidRDefault="00D1052A" w:rsidP="0019790A">
            <w:pPr>
              <w:jc w:val="both"/>
              <w:rPr>
                <w:rFonts w:cs="Arial"/>
                <w:szCs w:val="22"/>
                <w:shd w:val="clear" w:color="auto" w:fill="FFFFFF"/>
              </w:rPr>
            </w:pPr>
            <w:r w:rsidRPr="0019790A">
              <w:rPr>
                <w:rFonts w:cs="Arial"/>
                <w:szCs w:val="22"/>
                <w:shd w:val="clear" w:color="auto" w:fill="FFFFFF"/>
              </w:rPr>
              <w:t xml:space="preserve">150 учнів двох закладів освіти сільської місцевості забезпечені якісним і збалансованим гарячим харчуванням.     </w:t>
            </w:r>
          </w:p>
          <w:p w14:paraId="241A6716" w14:textId="77777777" w:rsidR="00D1052A" w:rsidRPr="0019790A" w:rsidRDefault="00D1052A" w:rsidP="0019790A">
            <w:pPr>
              <w:jc w:val="both"/>
              <w:rPr>
                <w:rFonts w:cs="Arial"/>
                <w:szCs w:val="22"/>
              </w:rPr>
            </w:pPr>
            <w:r w:rsidRPr="0019790A">
              <w:rPr>
                <w:rFonts w:cs="Arial"/>
                <w:szCs w:val="22"/>
                <w:shd w:val="clear" w:color="auto" w:fill="FFFFFF"/>
              </w:rPr>
              <w:t>Створено умови для формування культури здорового харчування у школярів.</w:t>
            </w:r>
          </w:p>
        </w:tc>
      </w:tr>
      <w:tr w:rsidR="00D1052A" w:rsidRPr="0019790A" w14:paraId="5456243D" w14:textId="77777777" w:rsidTr="00D1052A">
        <w:trPr>
          <w:jc w:val="right"/>
        </w:trPr>
        <w:tc>
          <w:tcPr>
            <w:tcW w:w="3425" w:type="dxa"/>
            <w:shd w:val="clear" w:color="auto" w:fill="FFFFFF"/>
            <w:vAlign w:val="center"/>
          </w:tcPr>
          <w:p w14:paraId="0190D81F" w14:textId="77777777" w:rsidR="00D1052A" w:rsidRPr="0019790A" w:rsidRDefault="00D1052A" w:rsidP="0019790A">
            <w:pPr>
              <w:rPr>
                <w:rFonts w:cs="Arial"/>
                <w:b/>
                <w:szCs w:val="22"/>
              </w:rPr>
            </w:pPr>
            <w:r w:rsidRPr="0019790A">
              <w:rPr>
                <w:rFonts w:cs="Arial"/>
                <w:b/>
                <w:szCs w:val="22"/>
              </w:rPr>
              <w:t xml:space="preserve">Період здійснення: </w:t>
            </w:r>
          </w:p>
        </w:tc>
        <w:tc>
          <w:tcPr>
            <w:tcW w:w="6794" w:type="dxa"/>
            <w:gridSpan w:val="8"/>
            <w:vAlign w:val="center"/>
          </w:tcPr>
          <w:p w14:paraId="2CBFC786" w14:textId="77777777" w:rsidR="00D1052A" w:rsidRPr="0019790A" w:rsidRDefault="00D1052A" w:rsidP="0019790A">
            <w:pPr>
              <w:rPr>
                <w:rFonts w:cs="Arial"/>
                <w:szCs w:val="22"/>
                <w:lang w:eastAsia="it-IT"/>
              </w:rPr>
            </w:pPr>
            <w:r w:rsidRPr="0019790A">
              <w:rPr>
                <w:rFonts w:cs="Arial"/>
                <w:b/>
                <w:szCs w:val="22"/>
              </w:rPr>
              <w:t>2025 – 2028 роки:</w:t>
            </w:r>
          </w:p>
        </w:tc>
      </w:tr>
      <w:tr w:rsidR="00D1052A" w:rsidRPr="0019790A" w14:paraId="302A0431" w14:textId="77777777" w:rsidTr="00D1052A">
        <w:trPr>
          <w:jc w:val="right"/>
        </w:trPr>
        <w:tc>
          <w:tcPr>
            <w:tcW w:w="3425" w:type="dxa"/>
            <w:vMerge w:val="restart"/>
            <w:shd w:val="clear" w:color="auto" w:fill="FFFFFF"/>
            <w:vAlign w:val="center"/>
          </w:tcPr>
          <w:p w14:paraId="07B92539" w14:textId="77777777" w:rsidR="00D1052A" w:rsidRPr="0019790A" w:rsidRDefault="00D1052A" w:rsidP="0019790A">
            <w:pPr>
              <w:rPr>
                <w:rFonts w:cs="Arial"/>
                <w:b/>
                <w:bCs/>
                <w:szCs w:val="22"/>
              </w:rPr>
            </w:pPr>
            <w:r w:rsidRPr="0019790A">
              <w:rPr>
                <w:rFonts w:cs="Arial"/>
                <w:b/>
                <w:bCs/>
                <w:szCs w:val="22"/>
              </w:rPr>
              <w:t>Орієнтовна вартість проєкту, тис. грн., в тому числі:</w:t>
            </w:r>
          </w:p>
        </w:tc>
        <w:tc>
          <w:tcPr>
            <w:tcW w:w="1254" w:type="dxa"/>
            <w:shd w:val="clear" w:color="auto" w:fill="E6E6E6"/>
            <w:vAlign w:val="center"/>
          </w:tcPr>
          <w:p w14:paraId="64D5AA76" w14:textId="77777777" w:rsidR="00D1052A" w:rsidRPr="0019790A" w:rsidRDefault="00D1052A" w:rsidP="0019790A">
            <w:pPr>
              <w:jc w:val="center"/>
              <w:rPr>
                <w:rFonts w:cs="Arial"/>
                <w:b/>
                <w:szCs w:val="22"/>
                <w:lang w:eastAsia="it-IT"/>
              </w:rPr>
            </w:pPr>
            <w:r w:rsidRPr="0019790A">
              <w:rPr>
                <w:rFonts w:cs="Arial"/>
                <w:b/>
                <w:szCs w:val="22"/>
                <w:lang w:eastAsia="it-IT"/>
              </w:rPr>
              <w:t>2025</w:t>
            </w:r>
          </w:p>
        </w:tc>
        <w:tc>
          <w:tcPr>
            <w:tcW w:w="1275" w:type="dxa"/>
            <w:shd w:val="clear" w:color="auto" w:fill="E6E6E6"/>
            <w:vAlign w:val="center"/>
          </w:tcPr>
          <w:p w14:paraId="73F957E4" w14:textId="77777777" w:rsidR="00D1052A" w:rsidRPr="0019790A" w:rsidRDefault="00D1052A" w:rsidP="0019790A">
            <w:pPr>
              <w:jc w:val="center"/>
              <w:rPr>
                <w:rFonts w:cs="Arial"/>
                <w:b/>
                <w:szCs w:val="22"/>
                <w:lang w:eastAsia="it-IT"/>
              </w:rPr>
            </w:pPr>
            <w:r w:rsidRPr="0019790A">
              <w:rPr>
                <w:rFonts w:cs="Arial"/>
                <w:b/>
                <w:szCs w:val="22"/>
                <w:lang w:eastAsia="it-IT"/>
              </w:rPr>
              <w:t>2026</w:t>
            </w:r>
          </w:p>
        </w:tc>
        <w:tc>
          <w:tcPr>
            <w:tcW w:w="1418" w:type="dxa"/>
            <w:gridSpan w:val="2"/>
            <w:tcBorders>
              <w:bottom w:val="single" w:sz="4" w:space="0" w:color="auto"/>
            </w:tcBorders>
            <w:shd w:val="clear" w:color="auto" w:fill="E6E6E6"/>
            <w:vAlign w:val="center"/>
          </w:tcPr>
          <w:p w14:paraId="3FADBCAA" w14:textId="77777777" w:rsidR="00D1052A" w:rsidRPr="0019790A" w:rsidRDefault="00D1052A" w:rsidP="0019790A">
            <w:pPr>
              <w:jc w:val="center"/>
              <w:rPr>
                <w:rFonts w:cs="Arial"/>
                <w:b/>
                <w:szCs w:val="22"/>
                <w:lang w:eastAsia="it-IT"/>
              </w:rPr>
            </w:pPr>
            <w:r w:rsidRPr="0019790A">
              <w:rPr>
                <w:rFonts w:cs="Arial"/>
                <w:b/>
                <w:szCs w:val="22"/>
                <w:lang w:eastAsia="it-IT"/>
              </w:rPr>
              <w:t>2027</w:t>
            </w:r>
          </w:p>
        </w:tc>
        <w:tc>
          <w:tcPr>
            <w:tcW w:w="1276" w:type="dxa"/>
            <w:gridSpan w:val="2"/>
            <w:shd w:val="clear" w:color="auto" w:fill="E6E6E6"/>
            <w:vAlign w:val="center"/>
          </w:tcPr>
          <w:p w14:paraId="072BA2E6" w14:textId="77777777" w:rsidR="00D1052A" w:rsidRPr="0019790A" w:rsidRDefault="00D1052A" w:rsidP="0019790A">
            <w:pPr>
              <w:jc w:val="center"/>
              <w:rPr>
                <w:rFonts w:cs="Arial"/>
                <w:b/>
                <w:szCs w:val="22"/>
                <w:lang w:eastAsia="it-IT"/>
              </w:rPr>
            </w:pPr>
            <w:r w:rsidRPr="0019790A">
              <w:rPr>
                <w:rFonts w:cs="Arial"/>
                <w:b/>
                <w:szCs w:val="22"/>
                <w:lang w:eastAsia="it-IT"/>
              </w:rPr>
              <w:t>2028</w:t>
            </w:r>
          </w:p>
        </w:tc>
        <w:tc>
          <w:tcPr>
            <w:tcW w:w="1571" w:type="dxa"/>
            <w:gridSpan w:val="2"/>
            <w:shd w:val="clear" w:color="auto" w:fill="E6E6E6"/>
            <w:vAlign w:val="center"/>
          </w:tcPr>
          <w:p w14:paraId="3014FC91" w14:textId="77777777" w:rsidR="00D1052A" w:rsidRPr="0019790A" w:rsidRDefault="00D1052A" w:rsidP="0019790A">
            <w:pPr>
              <w:jc w:val="center"/>
              <w:rPr>
                <w:rFonts w:cs="Arial"/>
                <w:b/>
                <w:szCs w:val="22"/>
                <w:lang w:eastAsia="it-IT"/>
              </w:rPr>
            </w:pPr>
            <w:r w:rsidRPr="0019790A">
              <w:rPr>
                <w:rFonts w:cs="Arial"/>
                <w:b/>
                <w:szCs w:val="22"/>
                <w:lang w:eastAsia="it-IT"/>
              </w:rPr>
              <w:t>РАЗОМ</w:t>
            </w:r>
          </w:p>
        </w:tc>
      </w:tr>
      <w:tr w:rsidR="00D1052A" w:rsidRPr="0019790A" w14:paraId="5E483F4D" w14:textId="77777777" w:rsidTr="00D1052A">
        <w:trPr>
          <w:jc w:val="right"/>
        </w:trPr>
        <w:tc>
          <w:tcPr>
            <w:tcW w:w="3425" w:type="dxa"/>
            <w:vMerge/>
            <w:shd w:val="clear" w:color="auto" w:fill="FFFFFF"/>
            <w:vAlign w:val="center"/>
          </w:tcPr>
          <w:p w14:paraId="56EFAA82" w14:textId="77777777" w:rsidR="00D1052A" w:rsidRPr="0019790A" w:rsidRDefault="00D1052A" w:rsidP="0019790A">
            <w:pPr>
              <w:rPr>
                <w:rFonts w:cs="Arial"/>
                <w:b/>
                <w:bCs/>
                <w:szCs w:val="22"/>
              </w:rPr>
            </w:pPr>
          </w:p>
        </w:tc>
        <w:tc>
          <w:tcPr>
            <w:tcW w:w="1254" w:type="dxa"/>
            <w:vAlign w:val="center"/>
          </w:tcPr>
          <w:p w14:paraId="436D2DD8" w14:textId="77777777" w:rsidR="00D1052A" w:rsidRPr="0019790A" w:rsidRDefault="00D1052A" w:rsidP="0019790A">
            <w:pPr>
              <w:jc w:val="center"/>
              <w:rPr>
                <w:rFonts w:cs="Arial"/>
                <w:b/>
                <w:szCs w:val="22"/>
                <w:lang w:eastAsia="it-IT"/>
              </w:rPr>
            </w:pPr>
            <w:r w:rsidRPr="0019790A">
              <w:rPr>
                <w:rFonts w:cs="Arial"/>
                <w:b/>
                <w:szCs w:val="22"/>
                <w:lang w:eastAsia="it-IT"/>
              </w:rPr>
              <w:t>600,00</w:t>
            </w:r>
          </w:p>
        </w:tc>
        <w:tc>
          <w:tcPr>
            <w:tcW w:w="1275" w:type="dxa"/>
            <w:shd w:val="clear" w:color="auto" w:fill="FFFFFF"/>
            <w:vAlign w:val="center"/>
          </w:tcPr>
          <w:p w14:paraId="4E849188" w14:textId="77777777" w:rsidR="00D1052A" w:rsidRPr="0019790A" w:rsidRDefault="00D1052A" w:rsidP="0019790A">
            <w:pPr>
              <w:jc w:val="center"/>
              <w:rPr>
                <w:rFonts w:cs="Arial"/>
                <w:b/>
                <w:szCs w:val="22"/>
                <w:lang w:eastAsia="it-IT"/>
              </w:rPr>
            </w:pPr>
            <w:r w:rsidRPr="0019790A">
              <w:rPr>
                <w:rFonts w:cs="Arial"/>
                <w:b/>
                <w:szCs w:val="22"/>
                <w:lang w:eastAsia="it-IT"/>
              </w:rPr>
              <w:t xml:space="preserve">1 500, 00 </w:t>
            </w:r>
          </w:p>
        </w:tc>
        <w:tc>
          <w:tcPr>
            <w:tcW w:w="1418" w:type="dxa"/>
            <w:gridSpan w:val="2"/>
            <w:shd w:val="clear" w:color="auto" w:fill="auto"/>
            <w:vAlign w:val="center"/>
          </w:tcPr>
          <w:p w14:paraId="4ECFF4FC" w14:textId="77777777" w:rsidR="00D1052A" w:rsidRPr="0019790A" w:rsidRDefault="00D1052A" w:rsidP="0019790A">
            <w:pPr>
              <w:rPr>
                <w:rFonts w:cs="Arial"/>
                <w:b/>
                <w:szCs w:val="22"/>
                <w:lang w:eastAsia="it-IT"/>
              </w:rPr>
            </w:pPr>
            <w:r w:rsidRPr="0019790A">
              <w:rPr>
                <w:rFonts w:cs="Arial"/>
                <w:b/>
                <w:szCs w:val="22"/>
                <w:lang w:eastAsia="it-IT"/>
              </w:rPr>
              <w:t xml:space="preserve">    1 500,00</w:t>
            </w:r>
          </w:p>
        </w:tc>
        <w:tc>
          <w:tcPr>
            <w:tcW w:w="1276" w:type="dxa"/>
            <w:gridSpan w:val="2"/>
            <w:shd w:val="clear" w:color="auto" w:fill="FFFFFF"/>
            <w:vAlign w:val="center"/>
          </w:tcPr>
          <w:p w14:paraId="1AF63493" w14:textId="77777777" w:rsidR="00D1052A" w:rsidRPr="0019790A" w:rsidRDefault="00D1052A" w:rsidP="0019790A">
            <w:pPr>
              <w:jc w:val="center"/>
              <w:rPr>
                <w:rFonts w:cs="Arial"/>
                <w:b/>
                <w:szCs w:val="22"/>
                <w:lang w:eastAsia="it-IT"/>
              </w:rPr>
            </w:pPr>
            <w:r w:rsidRPr="0019790A">
              <w:rPr>
                <w:rFonts w:cs="Arial"/>
                <w:b/>
                <w:szCs w:val="22"/>
                <w:lang w:eastAsia="it-IT"/>
              </w:rPr>
              <w:t xml:space="preserve">2 000,00 </w:t>
            </w:r>
          </w:p>
        </w:tc>
        <w:tc>
          <w:tcPr>
            <w:tcW w:w="1571" w:type="dxa"/>
            <w:gridSpan w:val="2"/>
            <w:shd w:val="clear" w:color="auto" w:fill="FFFFFF"/>
            <w:vAlign w:val="center"/>
          </w:tcPr>
          <w:p w14:paraId="724BBAC0" w14:textId="77777777" w:rsidR="00D1052A" w:rsidRPr="0019790A" w:rsidRDefault="00D1052A" w:rsidP="0019790A">
            <w:pPr>
              <w:jc w:val="center"/>
              <w:rPr>
                <w:rFonts w:cs="Arial"/>
                <w:b/>
                <w:bCs/>
                <w:szCs w:val="22"/>
                <w:lang w:eastAsia="it-IT"/>
              </w:rPr>
            </w:pPr>
            <w:r w:rsidRPr="0019790A">
              <w:rPr>
                <w:rFonts w:cs="Arial"/>
                <w:b/>
                <w:bCs/>
                <w:szCs w:val="22"/>
              </w:rPr>
              <w:t xml:space="preserve">5 600,00 </w:t>
            </w:r>
          </w:p>
        </w:tc>
      </w:tr>
      <w:tr w:rsidR="00D1052A" w:rsidRPr="0019790A" w14:paraId="3FE35470" w14:textId="77777777" w:rsidTr="00D1052A">
        <w:trPr>
          <w:trHeight w:val="276"/>
          <w:jc w:val="right"/>
        </w:trPr>
        <w:tc>
          <w:tcPr>
            <w:tcW w:w="3425" w:type="dxa"/>
            <w:shd w:val="clear" w:color="auto" w:fill="FFFFFF"/>
            <w:vAlign w:val="center"/>
          </w:tcPr>
          <w:p w14:paraId="14B14803" w14:textId="77777777" w:rsidR="00D1052A" w:rsidRPr="0019790A" w:rsidRDefault="00D1052A" w:rsidP="0019790A">
            <w:pPr>
              <w:rPr>
                <w:rFonts w:cs="Arial"/>
                <w:b/>
                <w:bCs/>
                <w:szCs w:val="22"/>
              </w:rPr>
            </w:pPr>
            <w:r w:rsidRPr="0019790A">
              <w:rPr>
                <w:rFonts w:cs="Arial"/>
                <w:b/>
                <w:bCs/>
                <w:szCs w:val="22"/>
              </w:rPr>
              <w:t>по джерелах фінансування:</w:t>
            </w:r>
          </w:p>
        </w:tc>
        <w:tc>
          <w:tcPr>
            <w:tcW w:w="6794" w:type="dxa"/>
            <w:gridSpan w:val="8"/>
            <w:vAlign w:val="center"/>
          </w:tcPr>
          <w:p w14:paraId="7024692A" w14:textId="77777777" w:rsidR="00D1052A" w:rsidRPr="0019790A" w:rsidRDefault="00D1052A" w:rsidP="0019790A">
            <w:pPr>
              <w:jc w:val="both"/>
              <w:rPr>
                <w:rFonts w:cs="Arial"/>
                <w:szCs w:val="22"/>
                <w:lang w:eastAsia="it-IT"/>
              </w:rPr>
            </w:pPr>
          </w:p>
        </w:tc>
      </w:tr>
      <w:tr w:rsidR="00D1052A" w:rsidRPr="0019790A" w14:paraId="1B85DBF7" w14:textId="77777777" w:rsidTr="00D1052A">
        <w:trPr>
          <w:trHeight w:val="240"/>
          <w:jc w:val="right"/>
        </w:trPr>
        <w:tc>
          <w:tcPr>
            <w:tcW w:w="3425" w:type="dxa"/>
            <w:shd w:val="clear" w:color="auto" w:fill="FFFFFF"/>
            <w:vAlign w:val="center"/>
          </w:tcPr>
          <w:p w14:paraId="0F2B20FC" w14:textId="77777777" w:rsidR="00D1052A" w:rsidRPr="0019790A" w:rsidRDefault="00D1052A" w:rsidP="0019790A">
            <w:pPr>
              <w:rPr>
                <w:rFonts w:cs="Arial"/>
                <w:b/>
                <w:bCs/>
                <w:szCs w:val="22"/>
              </w:rPr>
            </w:pPr>
            <w:r w:rsidRPr="0019790A">
              <w:rPr>
                <w:rFonts w:cs="Arial"/>
                <w:szCs w:val="22"/>
              </w:rPr>
              <w:t>- державний бюджет</w:t>
            </w:r>
          </w:p>
        </w:tc>
        <w:tc>
          <w:tcPr>
            <w:tcW w:w="6794" w:type="dxa"/>
            <w:gridSpan w:val="8"/>
            <w:vAlign w:val="center"/>
          </w:tcPr>
          <w:p w14:paraId="049D244A" w14:textId="77777777" w:rsidR="00D1052A" w:rsidRPr="0019790A" w:rsidRDefault="00D1052A" w:rsidP="0019790A">
            <w:pPr>
              <w:jc w:val="both"/>
              <w:rPr>
                <w:rFonts w:cs="Arial"/>
                <w:szCs w:val="22"/>
                <w:lang w:eastAsia="it-IT"/>
              </w:rPr>
            </w:pPr>
            <w:r w:rsidRPr="0019790A">
              <w:rPr>
                <w:rFonts w:cs="Arial"/>
                <w:szCs w:val="22"/>
                <w:lang w:eastAsia="it-IT"/>
              </w:rPr>
              <w:t xml:space="preserve"> </w:t>
            </w:r>
          </w:p>
        </w:tc>
      </w:tr>
      <w:tr w:rsidR="00D1052A" w:rsidRPr="0019790A" w14:paraId="21CC6CFC" w14:textId="77777777" w:rsidTr="00D1052A">
        <w:trPr>
          <w:trHeight w:val="254"/>
          <w:jc w:val="right"/>
        </w:trPr>
        <w:tc>
          <w:tcPr>
            <w:tcW w:w="3425" w:type="dxa"/>
            <w:shd w:val="clear" w:color="auto" w:fill="FFFFFF"/>
            <w:vAlign w:val="center"/>
          </w:tcPr>
          <w:p w14:paraId="7954453B" w14:textId="77777777" w:rsidR="00D1052A" w:rsidRPr="0019790A" w:rsidRDefault="00D1052A" w:rsidP="0019790A">
            <w:pPr>
              <w:rPr>
                <w:rFonts w:cs="Arial"/>
                <w:szCs w:val="22"/>
              </w:rPr>
            </w:pPr>
            <w:r w:rsidRPr="0019790A">
              <w:rPr>
                <w:rFonts w:cs="Arial"/>
                <w:szCs w:val="22"/>
              </w:rPr>
              <w:t>- обласний бюджет</w:t>
            </w:r>
          </w:p>
        </w:tc>
        <w:tc>
          <w:tcPr>
            <w:tcW w:w="6794" w:type="dxa"/>
            <w:gridSpan w:val="8"/>
            <w:vAlign w:val="center"/>
          </w:tcPr>
          <w:p w14:paraId="30F0D29C" w14:textId="77777777" w:rsidR="00D1052A" w:rsidRPr="0019790A" w:rsidRDefault="00D1052A" w:rsidP="0019790A">
            <w:pPr>
              <w:jc w:val="both"/>
              <w:rPr>
                <w:rFonts w:cs="Arial"/>
                <w:szCs w:val="22"/>
                <w:lang w:eastAsia="it-IT"/>
              </w:rPr>
            </w:pPr>
          </w:p>
        </w:tc>
      </w:tr>
      <w:tr w:rsidR="00D1052A" w:rsidRPr="0019790A" w14:paraId="67E15F4C" w14:textId="77777777" w:rsidTr="00D1052A">
        <w:trPr>
          <w:trHeight w:val="275"/>
          <w:jc w:val="right"/>
        </w:trPr>
        <w:tc>
          <w:tcPr>
            <w:tcW w:w="3425" w:type="dxa"/>
            <w:shd w:val="clear" w:color="auto" w:fill="FFFFFF"/>
            <w:vAlign w:val="center"/>
          </w:tcPr>
          <w:p w14:paraId="3A7DCFDF" w14:textId="77777777" w:rsidR="00D1052A" w:rsidRPr="0019790A" w:rsidRDefault="00D1052A" w:rsidP="0019790A">
            <w:pPr>
              <w:rPr>
                <w:rFonts w:cs="Arial"/>
                <w:szCs w:val="22"/>
              </w:rPr>
            </w:pPr>
            <w:r w:rsidRPr="0019790A">
              <w:rPr>
                <w:rFonts w:cs="Arial"/>
                <w:szCs w:val="22"/>
              </w:rPr>
              <w:t>- бюджет Жмеринської МТГ</w:t>
            </w:r>
          </w:p>
        </w:tc>
        <w:tc>
          <w:tcPr>
            <w:tcW w:w="1254" w:type="dxa"/>
            <w:vAlign w:val="center"/>
          </w:tcPr>
          <w:p w14:paraId="079C6D11" w14:textId="77777777" w:rsidR="00D1052A" w:rsidRPr="00CD6B99" w:rsidRDefault="00D1052A" w:rsidP="0019790A">
            <w:pPr>
              <w:jc w:val="center"/>
              <w:rPr>
                <w:rFonts w:cs="Arial"/>
                <w:szCs w:val="22"/>
                <w:lang w:eastAsia="it-IT"/>
              </w:rPr>
            </w:pPr>
            <w:r w:rsidRPr="00CD6B99">
              <w:rPr>
                <w:rFonts w:cs="Arial"/>
                <w:szCs w:val="22"/>
                <w:lang w:eastAsia="it-IT"/>
              </w:rPr>
              <w:t>600,00</w:t>
            </w:r>
          </w:p>
        </w:tc>
        <w:tc>
          <w:tcPr>
            <w:tcW w:w="1463" w:type="dxa"/>
            <w:gridSpan w:val="2"/>
            <w:vAlign w:val="center"/>
          </w:tcPr>
          <w:p w14:paraId="1710CA7E" w14:textId="77777777" w:rsidR="00D1052A" w:rsidRPr="00CD6B99" w:rsidRDefault="00D1052A" w:rsidP="0019790A">
            <w:pPr>
              <w:jc w:val="center"/>
              <w:rPr>
                <w:rFonts w:cs="Arial"/>
                <w:szCs w:val="22"/>
                <w:lang w:eastAsia="it-IT"/>
              </w:rPr>
            </w:pPr>
            <w:r w:rsidRPr="00CD6B99">
              <w:rPr>
                <w:rFonts w:cs="Arial"/>
                <w:szCs w:val="22"/>
                <w:lang w:eastAsia="it-IT"/>
              </w:rPr>
              <w:t xml:space="preserve">1 500, 00 </w:t>
            </w:r>
          </w:p>
        </w:tc>
        <w:tc>
          <w:tcPr>
            <w:tcW w:w="1359" w:type="dxa"/>
            <w:gridSpan w:val="2"/>
            <w:vAlign w:val="center"/>
          </w:tcPr>
          <w:p w14:paraId="7A3508C7" w14:textId="77777777" w:rsidR="00D1052A" w:rsidRPr="00CD6B99" w:rsidRDefault="00D1052A" w:rsidP="0019790A">
            <w:pPr>
              <w:rPr>
                <w:rFonts w:cs="Arial"/>
                <w:szCs w:val="22"/>
                <w:lang w:eastAsia="it-IT"/>
              </w:rPr>
            </w:pPr>
            <w:r w:rsidRPr="00CD6B99">
              <w:rPr>
                <w:rFonts w:cs="Arial"/>
                <w:szCs w:val="22"/>
                <w:lang w:eastAsia="it-IT"/>
              </w:rPr>
              <w:t xml:space="preserve">    1 500,00</w:t>
            </w:r>
          </w:p>
        </w:tc>
        <w:tc>
          <w:tcPr>
            <w:tcW w:w="1359" w:type="dxa"/>
            <w:gridSpan w:val="2"/>
            <w:vAlign w:val="center"/>
          </w:tcPr>
          <w:p w14:paraId="5F9EC5A8" w14:textId="77777777" w:rsidR="00D1052A" w:rsidRPr="00CD6B99" w:rsidRDefault="00D1052A" w:rsidP="0019790A">
            <w:pPr>
              <w:jc w:val="center"/>
              <w:rPr>
                <w:rFonts w:cs="Arial"/>
                <w:szCs w:val="22"/>
                <w:lang w:eastAsia="it-IT"/>
              </w:rPr>
            </w:pPr>
            <w:r w:rsidRPr="00CD6B99">
              <w:rPr>
                <w:rFonts w:cs="Arial"/>
                <w:szCs w:val="22"/>
                <w:lang w:eastAsia="it-IT"/>
              </w:rPr>
              <w:t xml:space="preserve">2 000,00 </w:t>
            </w:r>
          </w:p>
        </w:tc>
        <w:tc>
          <w:tcPr>
            <w:tcW w:w="1359" w:type="dxa"/>
            <w:vAlign w:val="center"/>
          </w:tcPr>
          <w:p w14:paraId="6911B889" w14:textId="77777777" w:rsidR="00D1052A" w:rsidRPr="0019790A" w:rsidRDefault="00D1052A" w:rsidP="0019790A">
            <w:pPr>
              <w:jc w:val="center"/>
              <w:rPr>
                <w:rFonts w:cs="Arial"/>
                <w:b/>
                <w:bCs/>
                <w:szCs w:val="22"/>
                <w:lang w:eastAsia="it-IT"/>
              </w:rPr>
            </w:pPr>
            <w:r w:rsidRPr="0019790A">
              <w:rPr>
                <w:rFonts w:cs="Arial"/>
                <w:b/>
                <w:bCs/>
                <w:szCs w:val="22"/>
              </w:rPr>
              <w:t xml:space="preserve">5 600,00 </w:t>
            </w:r>
          </w:p>
        </w:tc>
      </w:tr>
      <w:tr w:rsidR="00D1052A" w:rsidRPr="0019790A" w14:paraId="191AD1A4" w14:textId="77777777" w:rsidTr="00D1052A">
        <w:trPr>
          <w:trHeight w:val="226"/>
          <w:jc w:val="right"/>
        </w:trPr>
        <w:tc>
          <w:tcPr>
            <w:tcW w:w="3425" w:type="dxa"/>
            <w:shd w:val="clear" w:color="auto" w:fill="FFFFFF"/>
            <w:vAlign w:val="center"/>
          </w:tcPr>
          <w:p w14:paraId="4C11C64B" w14:textId="77777777" w:rsidR="00D1052A" w:rsidRPr="0019790A" w:rsidRDefault="00D1052A" w:rsidP="0019790A">
            <w:pPr>
              <w:rPr>
                <w:rFonts w:cs="Arial"/>
                <w:szCs w:val="22"/>
              </w:rPr>
            </w:pPr>
            <w:r w:rsidRPr="0019790A">
              <w:rPr>
                <w:rFonts w:cs="Arial"/>
                <w:szCs w:val="22"/>
              </w:rPr>
              <w:t>- інші джерела фінансування</w:t>
            </w:r>
          </w:p>
        </w:tc>
        <w:tc>
          <w:tcPr>
            <w:tcW w:w="6794" w:type="dxa"/>
            <w:gridSpan w:val="8"/>
            <w:vAlign w:val="center"/>
          </w:tcPr>
          <w:p w14:paraId="60F1035C" w14:textId="77777777" w:rsidR="00D1052A" w:rsidRPr="0019790A" w:rsidRDefault="00D1052A" w:rsidP="0019790A">
            <w:pPr>
              <w:jc w:val="both"/>
              <w:rPr>
                <w:rFonts w:cs="Arial"/>
                <w:szCs w:val="22"/>
                <w:lang w:eastAsia="it-IT"/>
              </w:rPr>
            </w:pPr>
          </w:p>
        </w:tc>
      </w:tr>
      <w:tr w:rsidR="00D1052A" w:rsidRPr="0019790A" w14:paraId="6371F62C" w14:textId="77777777" w:rsidTr="00D1052A">
        <w:trPr>
          <w:jc w:val="right"/>
        </w:trPr>
        <w:tc>
          <w:tcPr>
            <w:tcW w:w="3425" w:type="dxa"/>
            <w:shd w:val="clear" w:color="auto" w:fill="FFFFFF"/>
            <w:vAlign w:val="center"/>
          </w:tcPr>
          <w:p w14:paraId="34E945AA" w14:textId="77777777" w:rsidR="00D1052A" w:rsidRPr="0019790A" w:rsidRDefault="00D1052A" w:rsidP="0019790A">
            <w:pPr>
              <w:rPr>
                <w:rFonts w:cs="Arial"/>
                <w:b/>
                <w:bCs/>
                <w:szCs w:val="22"/>
              </w:rPr>
            </w:pPr>
            <w:r w:rsidRPr="0019790A">
              <w:rPr>
                <w:rFonts w:cs="Arial"/>
                <w:b/>
                <w:szCs w:val="22"/>
              </w:rPr>
              <w:t>Відповідальний виконавець проєкту:</w:t>
            </w:r>
          </w:p>
        </w:tc>
        <w:tc>
          <w:tcPr>
            <w:tcW w:w="6794" w:type="dxa"/>
            <w:gridSpan w:val="8"/>
            <w:vAlign w:val="center"/>
          </w:tcPr>
          <w:p w14:paraId="7422505D" w14:textId="77777777" w:rsidR="00D1052A" w:rsidRPr="0019790A" w:rsidRDefault="00D1052A" w:rsidP="0019790A">
            <w:pPr>
              <w:jc w:val="both"/>
              <w:rPr>
                <w:rFonts w:cs="Arial"/>
                <w:szCs w:val="22"/>
                <w:lang w:eastAsia="it-IT"/>
              </w:rPr>
            </w:pPr>
            <w:r w:rsidRPr="0019790A">
              <w:rPr>
                <w:rFonts w:cs="Arial"/>
                <w:szCs w:val="22"/>
                <w:lang w:eastAsia="it-IT"/>
              </w:rPr>
              <w:t xml:space="preserve"> Управління освіти Жмеринської міської ради, заклади освіти</w:t>
            </w:r>
          </w:p>
        </w:tc>
      </w:tr>
      <w:tr w:rsidR="00D1052A" w:rsidRPr="0019790A" w14:paraId="00DED8FC" w14:textId="77777777" w:rsidTr="00D1052A">
        <w:trPr>
          <w:jc w:val="right"/>
        </w:trPr>
        <w:tc>
          <w:tcPr>
            <w:tcW w:w="3425" w:type="dxa"/>
            <w:shd w:val="clear" w:color="auto" w:fill="FFFFFF"/>
            <w:vAlign w:val="center"/>
          </w:tcPr>
          <w:p w14:paraId="25FDCF87" w14:textId="77777777" w:rsidR="00D1052A" w:rsidRPr="0019790A" w:rsidRDefault="00D1052A" w:rsidP="0019790A">
            <w:pPr>
              <w:rPr>
                <w:rFonts w:cs="Arial"/>
                <w:b/>
                <w:bCs/>
                <w:szCs w:val="22"/>
              </w:rPr>
            </w:pPr>
            <w:r w:rsidRPr="0019790A">
              <w:rPr>
                <w:rFonts w:cs="Arial"/>
                <w:b/>
                <w:bCs/>
                <w:szCs w:val="22"/>
              </w:rPr>
              <w:t>Інше:</w:t>
            </w:r>
          </w:p>
        </w:tc>
        <w:tc>
          <w:tcPr>
            <w:tcW w:w="6794" w:type="dxa"/>
            <w:gridSpan w:val="8"/>
            <w:vAlign w:val="center"/>
          </w:tcPr>
          <w:p w14:paraId="150F23D8" w14:textId="77777777" w:rsidR="00D1052A" w:rsidRPr="0019790A" w:rsidRDefault="00D1052A" w:rsidP="0019790A">
            <w:pPr>
              <w:rPr>
                <w:rFonts w:cs="Arial"/>
                <w:szCs w:val="22"/>
                <w:lang w:eastAsia="it-IT"/>
              </w:rPr>
            </w:pPr>
          </w:p>
        </w:tc>
      </w:tr>
    </w:tbl>
    <w:p w14:paraId="0036E1EA" w14:textId="77777777" w:rsidR="00D1052A" w:rsidRPr="0019790A" w:rsidRDefault="00D1052A" w:rsidP="0019790A">
      <w:pPr>
        <w:rPr>
          <w:rFonts w:cs="Arial"/>
          <w:szCs w:val="22"/>
        </w:rPr>
      </w:pPr>
    </w:p>
    <w:p w14:paraId="147A4BAD" w14:textId="77777777" w:rsidR="00D1052A" w:rsidRPr="0019790A" w:rsidRDefault="00D1052A" w:rsidP="0019790A">
      <w:pPr>
        <w:jc w:val="center"/>
        <w:rPr>
          <w:rFonts w:cs="Arial"/>
          <w:b/>
          <w:szCs w:val="22"/>
        </w:rPr>
      </w:pPr>
      <w:r w:rsidRPr="0019790A">
        <w:rPr>
          <w:rFonts w:cs="Arial"/>
          <w:b/>
          <w:color w:val="000000"/>
          <w:szCs w:val="22"/>
        </w:rPr>
        <w:t>Форма технічн</w:t>
      </w:r>
      <w:r w:rsidRPr="0019790A">
        <w:rPr>
          <w:rFonts w:cs="Arial"/>
          <w:b/>
          <w:szCs w:val="22"/>
        </w:rPr>
        <w:t xml:space="preserve">ого завдання на проєкт місцевого розвитку </w:t>
      </w:r>
    </w:p>
    <w:p w14:paraId="32B5EF95" w14:textId="77777777" w:rsidR="00D1052A" w:rsidRPr="0019790A" w:rsidRDefault="00D1052A" w:rsidP="0019790A">
      <w:pPr>
        <w:jc w:val="center"/>
        <w:rPr>
          <w:rFonts w:cs="Arial"/>
          <w:b/>
          <w:szCs w:val="22"/>
        </w:rPr>
      </w:pPr>
      <w:r w:rsidRPr="0019790A">
        <w:rPr>
          <w:rFonts w:cs="Arial"/>
          <w:b/>
          <w:szCs w:val="22"/>
        </w:rPr>
        <w:t>до Плану заходів з реалізації Стратегії</w:t>
      </w:r>
    </w:p>
    <w:p w14:paraId="08B508C4" w14:textId="77777777" w:rsidR="00D1052A" w:rsidRPr="0019790A" w:rsidRDefault="00D1052A"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1275"/>
        <w:gridCol w:w="1418"/>
        <w:gridCol w:w="1276"/>
        <w:gridCol w:w="1571"/>
      </w:tblGrid>
      <w:tr w:rsidR="00D1052A" w:rsidRPr="0019790A" w14:paraId="2DE09588" w14:textId="77777777" w:rsidTr="00D1052A">
        <w:trPr>
          <w:jc w:val="right"/>
        </w:trPr>
        <w:tc>
          <w:tcPr>
            <w:tcW w:w="3425" w:type="dxa"/>
            <w:vAlign w:val="center"/>
          </w:tcPr>
          <w:p w14:paraId="241DEE51" w14:textId="77777777" w:rsidR="00D1052A" w:rsidRPr="0019790A" w:rsidRDefault="00D1052A" w:rsidP="0019790A">
            <w:pPr>
              <w:rPr>
                <w:rFonts w:cs="Arial"/>
                <w:b/>
                <w:bCs/>
                <w:szCs w:val="22"/>
              </w:rPr>
            </w:pPr>
            <w:r w:rsidRPr="0019790A">
              <w:rPr>
                <w:rFonts w:cs="Arial"/>
                <w:b/>
                <w:bCs/>
                <w:szCs w:val="22"/>
              </w:rPr>
              <w:t>Назва проєкту:</w:t>
            </w:r>
          </w:p>
        </w:tc>
        <w:tc>
          <w:tcPr>
            <w:tcW w:w="6794" w:type="dxa"/>
            <w:gridSpan w:val="5"/>
          </w:tcPr>
          <w:p w14:paraId="2B4C6C39" w14:textId="28F76D10" w:rsidR="00D1052A" w:rsidRPr="0019790A" w:rsidRDefault="00D1052A" w:rsidP="00CD6B99">
            <w:pPr>
              <w:jc w:val="both"/>
              <w:rPr>
                <w:rFonts w:cs="Arial"/>
                <w:szCs w:val="22"/>
                <w:lang w:eastAsia="it-IT"/>
              </w:rPr>
            </w:pPr>
            <w:r w:rsidRPr="0019790A">
              <w:rPr>
                <w:rFonts w:cs="Arial"/>
                <w:b/>
                <w:szCs w:val="22"/>
              </w:rPr>
              <w:t>Капітальний ремонт харчоблоку КЗ «Жмеринський ліцей №1»</w:t>
            </w:r>
          </w:p>
        </w:tc>
      </w:tr>
      <w:tr w:rsidR="00D1052A" w:rsidRPr="0019790A" w14:paraId="1E7409C1" w14:textId="77777777" w:rsidTr="00D1052A">
        <w:trPr>
          <w:jc w:val="right"/>
        </w:trPr>
        <w:tc>
          <w:tcPr>
            <w:tcW w:w="3425" w:type="dxa"/>
          </w:tcPr>
          <w:p w14:paraId="1BD55F8B" w14:textId="77777777" w:rsidR="00D1052A" w:rsidRPr="0019790A" w:rsidRDefault="00D1052A"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63BF28DE" w14:textId="77777777" w:rsidR="00D1052A" w:rsidRPr="0019790A" w:rsidRDefault="00D1052A"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5"/>
          </w:tcPr>
          <w:p w14:paraId="378FB087" w14:textId="77777777" w:rsidR="00D1052A" w:rsidRPr="0019790A" w:rsidRDefault="00D1052A" w:rsidP="0019790A">
            <w:pPr>
              <w:rPr>
                <w:rFonts w:cs="Arial"/>
                <w:szCs w:val="22"/>
                <w:lang w:eastAsia="it-IT"/>
              </w:rPr>
            </w:pPr>
            <w:r w:rsidRPr="0019790A">
              <w:rPr>
                <w:rFonts w:cs="Arial"/>
                <w:szCs w:val="22"/>
                <w:lang w:eastAsia="it-IT"/>
              </w:rPr>
              <w:t xml:space="preserve"> Управління освіти Жмеринської міської ради</w:t>
            </w:r>
          </w:p>
        </w:tc>
      </w:tr>
      <w:tr w:rsidR="00D1052A" w:rsidRPr="0019790A" w14:paraId="06E84133" w14:textId="77777777" w:rsidTr="00D1052A">
        <w:trPr>
          <w:jc w:val="right"/>
        </w:trPr>
        <w:tc>
          <w:tcPr>
            <w:tcW w:w="3425" w:type="dxa"/>
          </w:tcPr>
          <w:p w14:paraId="64A6FB5E" w14:textId="77777777" w:rsidR="00D1052A" w:rsidRPr="0019790A" w:rsidRDefault="00D1052A" w:rsidP="0019790A">
            <w:pPr>
              <w:rPr>
                <w:rFonts w:cs="Arial"/>
                <w:b/>
                <w:bCs/>
                <w:szCs w:val="22"/>
              </w:rPr>
            </w:pPr>
            <w:r w:rsidRPr="0019790A">
              <w:rPr>
                <w:rFonts w:cs="Arial"/>
                <w:szCs w:val="22"/>
                <w:lang w:eastAsia="it-IT"/>
              </w:rPr>
              <w:t>Прізвище Ім’я по-батькові:</w:t>
            </w:r>
          </w:p>
        </w:tc>
        <w:tc>
          <w:tcPr>
            <w:tcW w:w="6794" w:type="dxa"/>
            <w:gridSpan w:val="5"/>
          </w:tcPr>
          <w:p w14:paraId="75061F36" w14:textId="77777777" w:rsidR="00D1052A" w:rsidRPr="0019790A" w:rsidRDefault="00D1052A" w:rsidP="0019790A">
            <w:pPr>
              <w:pStyle w:val="TableParagraph"/>
              <w:ind w:left="0"/>
              <w:rPr>
                <w:rFonts w:ascii="Arial" w:hAnsi="Arial" w:cs="Arial"/>
              </w:rPr>
            </w:pPr>
            <w:r w:rsidRPr="0019790A">
              <w:rPr>
                <w:rFonts w:ascii="Arial" w:hAnsi="Arial" w:cs="Arial"/>
              </w:rPr>
              <w:t>Твердохліб Аліна Петрівна</w:t>
            </w:r>
          </w:p>
        </w:tc>
      </w:tr>
      <w:tr w:rsidR="00D1052A" w:rsidRPr="0019790A" w14:paraId="3914563F" w14:textId="77777777" w:rsidTr="00D1052A">
        <w:trPr>
          <w:jc w:val="right"/>
        </w:trPr>
        <w:tc>
          <w:tcPr>
            <w:tcW w:w="3425" w:type="dxa"/>
          </w:tcPr>
          <w:p w14:paraId="1719E845" w14:textId="77777777" w:rsidR="00D1052A" w:rsidRPr="0019790A" w:rsidRDefault="00D1052A" w:rsidP="0019790A">
            <w:pPr>
              <w:rPr>
                <w:rFonts w:cs="Arial"/>
                <w:b/>
                <w:bCs/>
                <w:szCs w:val="22"/>
              </w:rPr>
            </w:pPr>
            <w:r w:rsidRPr="0019790A">
              <w:rPr>
                <w:rFonts w:cs="Arial"/>
                <w:szCs w:val="22"/>
                <w:lang w:eastAsia="it-IT"/>
              </w:rPr>
              <w:t>Телефон (мобільний):</w:t>
            </w:r>
          </w:p>
        </w:tc>
        <w:tc>
          <w:tcPr>
            <w:tcW w:w="6794" w:type="dxa"/>
            <w:gridSpan w:val="5"/>
          </w:tcPr>
          <w:p w14:paraId="57F04F05" w14:textId="77777777" w:rsidR="00D1052A" w:rsidRPr="0019790A" w:rsidRDefault="00D1052A" w:rsidP="0019790A">
            <w:pPr>
              <w:pStyle w:val="TableParagraph"/>
              <w:ind w:left="66"/>
              <w:rPr>
                <w:rFonts w:ascii="Arial" w:hAnsi="Arial" w:cs="Arial"/>
              </w:rPr>
            </w:pPr>
            <w:r w:rsidRPr="0019790A">
              <w:rPr>
                <w:rFonts w:ascii="Arial" w:hAnsi="Arial" w:cs="Arial"/>
                <w:spacing w:val="-2"/>
              </w:rPr>
              <w:t>+380 (67) 895 55 75</w:t>
            </w:r>
          </w:p>
        </w:tc>
      </w:tr>
      <w:tr w:rsidR="00D1052A" w:rsidRPr="0019790A" w14:paraId="041614D7" w14:textId="77777777" w:rsidTr="00D1052A">
        <w:trPr>
          <w:jc w:val="right"/>
        </w:trPr>
        <w:tc>
          <w:tcPr>
            <w:tcW w:w="3425" w:type="dxa"/>
          </w:tcPr>
          <w:p w14:paraId="5C3D8A26" w14:textId="77777777" w:rsidR="00D1052A" w:rsidRPr="0019790A" w:rsidRDefault="00D1052A" w:rsidP="0019790A">
            <w:pPr>
              <w:rPr>
                <w:rFonts w:cs="Arial"/>
                <w:b/>
                <w:bCs/>
                <w:szCs w:val="22"/>
              </w:rPr>
            </w:pPr>
            <w:r w:rsidRPr="0019790A">
              <w:rPr>
                <w:rFonts w:cs="Arial"/>
                <w:szCs w:val="22"/>
                <w:lang w:eastAsia="it-IT"/>
              </w:rPr>
              <w:t>Електронна адреса:</w:t>
            </w:r>
          </w:p>
        </w:tc>
        <w:tc>
          <w:tcPr>
            <w:tcW w:w="6794" w:type="dxa"/>
            <w:gridSpan w:val="5"/>
          </w:tcPr>
          <w:p w14:paraId="3FE9B6C9" w14:textId="77777777" w:rsidR="00D1052A" w:rsidRPr="0019790A" w:rsidRDefault="00D85FFD" w:rsidP="0019790A">
            <w:pPr>
              <w:pStyle w:val="TableParagraph"/>
              <w:ind w:left="66"/>
              <w:rPr>
                <w:rFonts w:ascii="Arial" w:hAnsi="Arial" w:cs="Arial"/>
                <w:b/>
              </w:rPr>
            </w:pPr>
            <w:hyperlink r:id="rId107" w:history="1">
              <w:r w:rsidR="00D1052A" w:rsidRPr="0019790A">
                <w:rPr>
                  <w:rStyle w:val="af0"/>
                  <w:rFonts w:ascii="Arial" w:hAnsi="Arial" w:cs="Arial"/>
                  <w:noProof w:val="0"/>
                  <w:spacing w:val="5"/>
                  <w:sz w:val="22"/>
                  <w:szCs w:val="22"/>
                </w:rPr>
                <w:t>uposv.zmr@gmail.com</w:t>
              </w:r>
            </w:hyperlink>
          </w:p>
        </w:tc>
      </w:tr>
      <w:tr w:rsidR="00D1052A" w:rsidRPr="0019790A" w14:paraId="1018C559" w14:textId="77777777" w:rsidTr="00D1052A">
        <w:trPr>
          <w:jc w:val="right"/>
        </w:trPr>
        <w:tc>
          <w:tcPr>
            <w:tcW w:w="3425" w:type="dxa"/>
            <w:vAlign w:val="center"/>
          </w:tcPr>
          <w:p w14:paraId="5E2A2B16" w14:textId="77777777" w:rsidR="00D1052A" w:rsidRPr="0019790A" w:rsidRDefault="00D1052A" w:rsidP="0019790A">
            <w:pPr>
              <w:pStyle w:val="6"/>
              <w:spacing w:before="0" w:after="0"/>
              <w:rPr>
                <w:rFonts w:ascii="Arial" w:hAnsi="Arial" w:cs="Arial"/>
                <w:lang w:val="uk-UA"/>
              </w:rPr>
            </w:pPr>
            <w:r w:rsidRPr="0019790A">
              <w:rPr>
                <w:rFonts w:ascii="Arial" w:hAnsi="Arial" w:cs="Arial"/>
                <w:lang w:val="uk-UA"/>
              </w:rPr>
              <w:t>Номер і назва завдання з Стратегії</w:t>
            </w:r>
            <w:r w:rsidRPr="0019790A">
              <w:rPr>
                <w:rFonts w:ascii="Arial" w:hAnsi="Arial" w:cs="Arial"/>
                <w:lang w:val="uk-UA" w:eastAsia="it-IT"/>
              </w:rPr>
              <w:t xml:space="preserve"> </w:t>
            </w:r>
            <w:r w:rsidRPr="0019790A">
              <w:rPr>
                <w:rFonts w:ascii="Arial" w:hAnsi="Arial" w:cs="Arial"/>
                <w:lang w:val="uk-UA"/>
              </w:rPr>
              <w:t>розвитку Жмеринської міської територіальної громади,  якому відповідає проєкт:</w:t>
            </w:r>
          </w:p>
        </w:tc>
        <w:tc>
          <w:tcPr>
            <w:tcW w:w="6794" w:type="dxa"/>
            <w:gridSpan w:val="5"/>
          </w:tcPr>
          <w:p w14:paraId="12C3C090" w14:textId="77777777" w:rsidR="00D1052A" w:rsidRPr="0019790A" w:rsidRDefault="00D1052A" w:rsidP="0019790A">
            <w:pPr>
              <w:rPr>
                <w:rFonts w:cs="Arial"/>
                <w:szCs w:val="22"/>
              </w:rPr>
            </w:pPr>
            <w:r w:rsidRPr="0019790A">
              <w:rPr>
                <w:rFonts w:cs="Arial"/>
                <w:szCs w:val="22"/>
              </w:rPr>
              <w:t>С.1.2.4. Підвищення рівня санітарної безпеки закладів освіти.</w:t>
            </w:r>
          </w:p>
          <w:p w14:paraId="7ABF186B" w14:textId="77777777" w:rsidR="00D1052A" w:rsidRPr="0019790A" w:rsidRDefault="00D1052A" w:rsidP="0019790A">
            <w:pPr>
              <w:jc w:val="both"/>
              <w:rPr>
                <w:rFonts w:cs="Arial"/>
                <w:szCs w:val="22"/>
                <w:lang w:eastAsia="it-IT"/>
              </w:rPr>
            </w:pPr>
            <w:r w:rsidRPr="0019790A">
              <w:rPr>
                <w:rFonts w:cs="Arial"/>
                <w:szCs w:val="22"/>
              </w:rPr>
              <w:t>С.1.2.5. Підвищення рівня безпечності та якості організації харчування, створення умов для здорового способу життя.</w:t>
            </w:r>
          </w:p>
        </w:tc>
      </w:tr>
      <w:tr w:rsidR="00D1052A" w:rsidRPr="0019790A" w14:paraId="4026B487" w14:textId="77777777" w:rsidTr="00D1052A">
        <w:trPr>
          <w:jc w:val="right"/>
        </w:trPr>
        <w:tc>
          <w:tcPr>
            <w:tcW w:w="3425" w:type="dxa"/>
            <w:vAlign w:val="center"/>
          </w:tcPr>
          <w:p w14:paraId="2157A034" w14:textId="77777777" w:rsidR="00D1052A" w:rsidRPr="0019790A" w:rsidRDefault="00D1052A" w:rsidP="0019790A">
            <w:pPr>
              <w:rPr>
                <w:rFonts w:cs="Arial"/>
                <w:b/>
                <w:bCs/>
                <w:szCs w:val="22"/>
              </w:rPr>
            </w:pPr>
            <w:r w:rsidRPr="0019790A">
              <w:rPr>
                <w:rFonts w:cs="Arial"/>
                <w:b/>
                <w:bCs/>
                <w:szCs w:val="22"/>
              </w:rPr>
              <w:t>Мета проєкту:</w:t>
            </w:r>
          </w:p>
        </w:tc>
        <w:tc>
          <w:tcPr>
            <w:tcW w:w="6794" w:type="dxa"/>
            <w:gridSpan w:val="5"/>
          </w:tcPr>
          <w:p w14:paraId="39A9BF8F" w14:textId="77777777" w:rsidR="00D1052A" w:rsidRPr="0019790A" w:rsidRDefault="00D1052A" w:rsidP="0019790A">
            <w:pPr>
              <w:jc w:val="both"/>
              <w:rPr>
                <w:rFonts w:cs="Arial"/>
                <w:szCs w:val="22"/>
              </w:rPr>
            </w:pPr>
            <w:r w:rsidRPr="0019790A">
              <w:rPr>
                <w:rFonts w:cs="Arial"/>
                <w:szCs w:val="22"/>
              </w:rPr>
              <w:t>Підвищення рівня безпечності та якості організації харчування учнів, створення умов для здорового способу життя.</w:t>
            </w:r>
          </w:p>
        </w:tc>
      </w:tr>
      <w:tr w:rsidR="00D1052A" w:rsidRPr="0019790A" w14:paraId="359B1BE8" w14:textId="77777777" w:rsidTr="00D1052A">
        <w:trPr>
          <w:jc w:val="right"/>
        </w:trPr>
        <w:tc>
          <w:tcPr>
            <w:tcW w:w="3425" w:type="dxa"/>
            <w:vAlign w:val="center"/>
          </w:tcPr>
          <w:p w14:paraId="27E8883E" w14:textId="77777777" w:rsidR="00D1052A" w:rsidRPr="0019790A" w:rsidRDefault="00D1052A" w:rsidP="0019790A">
            <w:pPr>
              <w:rPr>
                <w:rFonts w:cs="Arial"/>
                <w:b/>
                <w:bCs/>
                <w:szCs w:val="22"/>
              </w:rPr>
            </w:pPr>
            <w:r w:rsidRPr="0019790A">
              <w:rPr>
                <w:rFonts w:cs="Arial"/>
                <w:b/>
                <w:bCs/>
                <w:szCs w:val="22"/>
              </w:rPr>
              <w:t>Цілі проєкту:</w:t>
            </w:r>
          </w:p>
        </w:tc>
        <w:tc>
          <w:tcPr>
            <w:tcW w:w="6794" w:type="dxa"/>
            <w:gridSpan w:val="5"/>
          </w:tcPr>
          <w:p w14:paraId="1EBF8D44" w14:textId="77777777" w:rsidR="00D1052A" w:rsidRPr="0019790A" w:rsidRDefault="00D1052A" w:rsidP="0019790A">
            <w:pPr>
              <w:jc w:val="both"/>
              <w:rPr>
                <w:rFonts w:cs="Arial"/>
                <w:szCs w:val="22"/>
                <w:lang w:eastAsia="it-IT"/>
              </w:rPr>
            </w:pPr>
            <w:r w:rsidRPr="0019790A">
              <w:rPr>
                <w:rFonts w:cs="Arial"/>
                <w:szCs w:val="22"/>
              </w:rPr>
              <w:t>Створення комфортних умов для раціонального та безпечного харчування дітей</w:t>
            </w:r>
            <w:r w:rsidRPr="0019790A">
              <w:rPr>
                <w:rFonts w:cs="Arial"/>
                <w:szCs w:val="22"/>
                <w:shd w:val="clear" w:color="auto" w:fill="FFFFFF"/>
              </w:rPr>
              <w:t xml:space="preserve"> шляхом модернізації харчоблоку  </w:t>
            </w:r>
            <w:r w:rsidRPr="0019790A">
              <w:rPr>
                <w:rFonts w:cs="Arial"/>
                <w:szCs w:val="22"/>
              </w:rPr>
              <w:t xml:space="preserve"> </w:t>
            </w:r>
          </w:p>
        </w:tc>
      </w:tr>
      <w:tr w:rsidR="00D1052A" w:rsidRPr="0019790A" w14:paraId="0DD96A0E" w14:textId="77777777" w:rsidTr="00D1052A">
        <w:trPr>
          <w:jc w:val="right"/>
        </w:trPr>
        <w:tc>
          <w:tcPr>
            <w:tcW w:w="3425" w:type="dxa"/>
            <w:vAlign w:val="center"/>
          </w:tcPr>
          <w:p w14:paraId="1A8A6195" w14:textId="77777777" w:rsidR="00D1052A" w:rsidRPr="0019790A" w:rsidRDefault="00D1052A" w:rsidP="0019790A">
            <w:pPr>
              <w:autoSpaceDE w:val="0"/>
              <w:autoSpaceDN w:val="0"/>
              <w:adjustRightInd w:val="0"/>
              <w:rPr>
                <w:rFonts w:cs="Arial"/>
                <w:b/>
                <w:szCs w:val="22"/>
              </w:rPr>
            </w:pPr>
            <w:r w:rsidRPr="0019790A">
              <w:rPr>
                <w:rFonts w:cs="Arial"/>
                <w:b/>
                <w:szCs w:val="22"/>
              </w:rPr>
              <w:t>Територія на яку проєкт матиме вплив:</w:t>
            </w:r>
          </w:p>
        </w:tc>
        <w:tc>
          <w:tcPr>
            <w:tcW w:w="6794" w:type="dxa"/>
            <w:gridSpan w:val="5"/>
          </w:tcPr>
          <w:p w14:paraId="49CE63D9" w14:textId="77777777" w:rsidR="00D1052A" w:rsidRPr="0019790A" w:rsidRDefault="00D1052A" w:rsidP="0019790A">
            <w:pPr>
              <w:rPr>
                <w:rFonts w:cs="Arial"/>
                <w:szCs w:val="22"/>
                <w:lang w:eastAsia="it-IT"/>
              </w:rPr>
            </w:pPr>
            <w:r w:rsidRPr="0019790A">
              <w:rPr>
                <w:rFonts w:cs="Arial"/>
                <w:szCs w:val="22"/>
                <w:lang w:eastAsia="it-IT"/>
              </w:rPr>
              <w:t>Територія обслуговування КЗ «Жмеринський ліцей № 1»</w:t>
            </w:r>
          </w:p>
        </w:tc>
      </w:tr>
      <w:tr w:rsidR="00D1052A" w:rsidRPr="0019790A" w14:paraId="14337F1D" w14:textId="77777777" w:rsidTr="00D1052A">
        <w:trPr>
          <w:jc w:val="right"/>
        </w:trPr>
        <w:tc>
          <w:tcPr>
            <w:tcW w:w="3425" w:type="dxa"/>
            <w:vAlign w:val="center"/>
          </w:tcPr>
          <w:p w14:paraId="68C655FA" w14:textId="77777777" w:rsidR="00D1052A" w:rsidRPr="0019790A" w:rsidRDefault="00D1052A" w:rsidP="0019790A">
            <w:pPr>
              <w:autoSpaceDE w:val="0"/>
              <w:autoSpaceDN w:val="0"/>
              <w:adjustRightInd w:val="0"/>
              <w:rPr>
                <w:rFonts w:cs="Arial"/>
                <w:b/>
                <w:szCs w:val="22"/>
              </w:rPr>
            </w:pPr>
            <w:r w:rsidRPr="0019790A">
              <w:rPr>
                <w:rFonts w:cs="Arial"/>
                <w:b/>
                <w:szCs w:val="22"/>
              </w:rPr>
              <w:t>Цільові групи проєкту та кількість отримувачів вигоди</w:t>
            </w:r>
          </w:p>
        </w:tc>
        <w:tc>
          <w:tcPr>
            <w:tcW w:w="6794" w:type="dxa"/>
            <w:gridSpan w:val="5"/>
          </w:tcPr>
          <w:p w14:paraId="1BDD4F2F" w14:textId="77777777" w:rsidR="00D1052A" w:rsidRPr="0019790A" w:rsidRDefault="00D1052A" w:rsidP="0019790A">
            <w:pPr>
              <w:pStyle w:val="TableParagraph"/>
              <w:rPr>
                <w:rFonts w:ascii="Arial" w:hAnsi="Arial" w:cs="Arial"/>
              </w:rPr>
            </w:pPr>
            <w:r w:rsidRPr="0019790A">
              <w:rPr>
                <w:rFonts w:ascii="Arial" w:hAnsi="Arial" w:cs="Arial"/>
              </w:rPr>
              <w:t>500 здобувачів освіти, педагоги, батьки,</w:t>
            </w:r>
          </w:p>
        </w:tc>
      </w:tr>
      <w:tr w:rsidR="00D1052A" w:rsidRPr="0019790A" w14:paraId="0382EE9C" w14:textId="77777777" w:rsidTr="00D1052A">
        <w:trPr>
          <w:jc w:val="right"/>
        </w:trPr>
        <w:tc>
          <w:tcPr>
            <w:tcW w:w="3425" w:type="dxa"/>
            <w:shd w:val="clear" w:color="auto" w:fill="FFFFFF"/>
            <w:vAlign w:val="center"/>
          </w:tcPr>
          <w:p w14:paraId="16A0487D" w14:textId="77777777" w:rsidR="00D1052A" w:rsidRPr="0019790A" w:rsidRDefault="00D1052A" w:rsidP="0019790A">
            <w:pPr>
              <w:rPr>
                <w:rFonts w:cs="Arial"/>
                <w:b/>
                <w:bCs/>
                <w:szCs w:val="22"/>
              </w:rPr>
            </w:pPr>
            <w:r w:rsidRPr="0019790A">
              <w:rPr>
                <w:rFonts w:cs="Arial"/>
                <w:b/>
                <w:bCs/>
                <w:szCs w:val="22"/>
              </w:rPr>
              <w:t>Стислий опис проєкту:</w:t>
            </w:r>
          </w:p>
        </w:tc>
        <w:tc>
          <w:tcPr>
            <w:tcW w:w="6794" w:type="dxa"/>
            <w:gridSpan w:val="5"/>
          </w:tcPr>
          <w:p w14:paraId="1E09ABCB" w14:textId="27B20AD0" w:rsidR="00D1052A" w:rsidRPr="0019790A" w:rsidRDefault="00D1052A" w:rsidP="0019790A">
            <w:pPr>
              <w:jc w:val="both"/>
              <w:rPr>
                <w:rFonts w:cs="Arial"/>
                <w:szCs w:val="22"/>
                <w:lang w:eastAsia="uk-UA"/>
              </w:rPr>
            </w:pPr>
            <w:r w:rsidRPr="0019790A">
              <w:rPr>
                <w:rFonts w:cs="Arial"/>
                <w:szCs w:val="22"/>
                <w:lang w:eastAsia="it-IT"/>
              </w:rPr>
              <w:t xml:space="preserve">   </w:t>
            </w:r>
            <w:r w:rsidRPr="0019790A">
              <w:rPr>
                <w:rFonts w:cs="Arial"/>
                <w:szCs w:val="22"/>
                <w:lang w:eastAsia="uk-UA"/>
              </w:rPr>
              <w:t xml:space="preserve">Матеріально-технічне забезпечення </w:t>
            </w:r>
            <w:r w:rsidR="00CD6B99" w:rsidRPr="0019790A">
              <w:rPr>
                <w:rFonts w:cs="Arial"/>
                <w:szCs w:val="22"/>
                <w:lang w:eastAsia="uk-UA"/>
              </w:rPr>
              <w:t>їдальнь</w:t>
            </w:r>
            <w:r w:rsidRPr="0019790A">
              <w:rPr>
                <w:rFonts w:cs="Arial"/>
                <w:szCs w:val="22"/>
                <w:lang w:eastAsia="uk-UA"/>
              </w:rPr>
              <w:t xml:space="preserve"> (харчоблоків) закладів освіти має бути сучасним і спроможним забезпечити потреби в здоровому та збалансованому харчуванні дітей, педагогічних працівників, інших учасників освітнього процесу. </w:t>
            </w:r>
          </w:p>
          <w:p w14:paraId="7410500D" w14:textId="77777777" w:rsidR="00D1052A" w:rsidRPr="0019790A" w:rsidRDefault="00D1052A" w:rsidP="0019790A">
            <w:pPr>
              <w:jc w:val="both"/>
              <w:rPr>
                <w:rFonts w:eastAsia="Arial" w:cs="Arial"/>
                <w:szCs w:val="22"/>
              </w:rPr>
            </w:pPr>
            <w:r w:rsidRPr="0019790A">
              <w:rPr>
                <w:rFonts w:eastAsia="Arial" w:cs="Arial"/>
                <w:szCs w:val="22"/>
              </w:rPr>
              <w:t xml:space="preserve">  Реалізація проєкту – це крок до втілення програми «Нове шкільне харчування», яка впроваджується в закладах освіти Жмеринської міської територіальної громади і спрямована на виховання сучасного свідомого громадянина зі сформованим європейським підходом до культури харчування.</w:t>
            </w:r>
          </w:p>
          <w:p w14:paraId="30DC039A" w14:textId="3BEBBE9B" w:rsidR="00D1052A" w:rsidRPr="0019790A" w:rsidRDefault="00D1052A" w:rsidP="0019790A">
            <w:pPr>
              <w:jc w:val="both"/>
              <w:rPr>
                <w:rFonts w:cs="Arial"/>
                <w:szCs w:val="22"/>
                <w:lang w:eastAsia="it-IT"/>
              </w:rPr>
            </w:pPr>
            <w:r w:rsidRPr="0019790A">
              <w:rPr>
                <w:rFonts w:cs="Arial"/>
                <w:szCs w:val="22"/>
                <w:shd w:val="clear" w:color="auto" w:fill="FFFFFF"/>
              </w:rPr>
              <w:t xml:space="preserve">  Модернізації харчоблоку забезпечить умови для організації учням здорового, збалансованого та якісного харчування, а також дозволить створити комфортні умови для роботи в закладі освіти. </w:t>
            </w:r>
            <w:r w:rsidRPr="0019790A">
              <w:rPr>
                <w:rFonts w:cs="Arial"/>
                <w:iCs/>
                <w:szCs w:val="22"/>
              </w:rPr>
              <w:t xml:space="preserve">    </w:t>
            </w:r>
            <w:r w:rsidR="00314B9D">
              <w:rPr>
                <w:rFonts w:cs="Arial"/>
                <w:iCs/>
                <w:szCs w:val="22"/>
              </w:rPr>
              <w:t>Проєкт</w:t>
            </w:r>
            <w:r w:rsidRPr="0019790A">
              <w:rPr>
                <w:rFonts w:cs="Arial"/>
                <w:iCs/>
                <w:szCs w:val="22"/>
              </w:rPr>
              <w:t xml:space="preserve"> є соціально значимим та соціально ефективним для всіх учасників освітнього процесу КЗ «Жмеринський ліцей № 1»</w:t>
            </w:r>
          </w:p>
        </w:tc>
      </w:tr>
      <w:tr w:rsidR="00D1052A" w:rsidRPr="0019790A" w14:paraId="4FF0A228" w14:textId="77777777" w:rsidTr="00D1052A">
        <w:trPr>
          <w:jc w:val="right"/>
        </w:trPr>
        <w:tc>
          <w:tcPr>
            <w:tcW w:w="3425" w:type="dxa"/>
            <w:shd w:val="clear" w:color="auto" w:fill="FFFFFF"/>
            <w:vAlign w:val="center"/>
          </w:tcPr>
          <w:p w14:paraId="51088AF9" w14:textId="77777777" w:rsidR="00D1052A" w:rsidRPr="0019790A" w:rsidRDefault="00D1052A" w:rsidP="0019790A">
            <w:pPr>
              <w:rPr>
                <w:rFonts w:cs="Arial"/>
                <w:b/>
                <w:bCs/>
                <w:szCs w:val="22"/>
              </w:rPr>
            </w:pPr>
            <w:r w:rsidRPr="0019790A">
              <w:rPr>
                <w:rFonts w:cs="Arial"/>
                <w:b/>
                <w:bCs/>
                <w:szCs w:val="22"/>
              </w:rPr>
              <w:t>Основні заходи проєкту:</w:t>
            </w:r>
          </w:p>
        </w:tc>
        <w:tc>
          <w:tcPr>
            <w:tcW w:w="6794" w:type="dxa"/>
            <w:gridSpan w:val="5"/>
          </w:tcPr>
          <w:p w14:paraId="4FC8440E" w14:textId="77777777" w:rsidR="00D1052A" w:rsidRPr="0019790A" w:rsidRDefault="00D1052A" w:rsidP="0019790A">
            <w:pPr>
              <w:jc w:val="both"/>
              <w:rPr>
                <w:rFonts w:cs="Arial"/>
                <w:iCs/>
                <w:szCs w:val="22"/>
              </w:rPr>
            </w:pPr>
            <w:r w:rsidRPr="0019790A">
              <w:rPr>
                <w:rFonts w:cs="Arial"/>
                <w:szCs w:val="22"/>
                <w:lang w:eastAsia="it-IT"/>
              </w:rPr>
              <w:t xml:space="preserve"> </w:t>
            </w:r>
            <w:r w:rsidRPr="0019790A">
              <w:rPr>
                <w:rFonts w:cs="Arial"/>
                <w:iCs/>
                <w:szCs w:val="22"/>
              </w:rPr>
              <w:t>- виготовлення ПКД на проведення ремонтних робіт харчоблоку та їдальні КЗ «Жмеринський ліцей № 1 по вул. Коцюбинського, 39 в м. Жмеринка Вінницької області».</w:t>
            </w:r>
          </w:p>
          <w:p w14:paraId="50E79F82" w14:textId="77777777" w:rsidR="00D1052A" w:rsidRPr="0019790A" w:rsidRDefault="00D1052A" w:rsidP="0019790A">
            <w:pPr>
              <w:jc w:val="both"/>
              <w:rPr>
                <w:rFonts w:cs="Arial"/>
                <w:iCs/>
                <w:szCs w:val="22"/>
              </w:rPr>
            </w:pPr>
            <w:r w:rsidRPr="0019790A">
              <w:rPr>
                <w:rFonts w:cs="Arial"/>
                <w:iCs/>
                <w:szCs w:val="22"/>
              </w:rPr>
              <w:t>- проведення тендерних процедур закупівлі робіт.</w:t>
            </w:r>
          </w:p>
          <w:p w14:paraId="60DF1092" w14:textId="77777777" w:rsidR="00D1052A" w:rsidRPr="0019790A" w:rsidRDefault="00D1052A" w:rsidP="0019790A">
            <w:pPr>
              <w:jc w:val="both"/>
              <w:rPr>
                <w:rFonts w:cs="Arial"/>
                <w:iCs/>
                <w:szCs w:val="22"/>
              </w:rPr>
            </w:pPr>
            <w:r w:rsidRPr="0019790A">
              <w:rPr>
                <w:rFonts w:cs="Arial"/>
                <w:iCs/>
                <w:szCs w:val="22"/>
              </w:rPr>
              <w:t>- проведення ремонтних робіт харчоблоку та їдальні КЗ «Жмеринський ліцей №1»</w:t>
            </w:r>
          </w:p>
          <w:p w14:paraId="688BA2C7" w14:textId="318291C3" w:rsidR="00D1052A" w:rsidRPr="0019790A" w:rsidRDefault="00D1052A" w:rsidP="0019790A">
            <w:pPr>
              <w:jc w:val="both"/>
              <w:rPr>
                <w:rFonts w:cs="Arial"/>
                <w:szCs w:val="22"/>
                <w:lang w:eastAsia="it-IT"/>
              </w:rPr>
            </w:pPr>
            <w:r w:rsidRPr="0019790A">
              <w:rPr>
                <w:rFonts w:cs="Arial"/>
                <w:iCs/>
                <w:szCs w:val="22"/>
              </w:rPr>
              <w:t xml:space="preserve">- підвищення </w:t>
            </w:r>
            <w:r w:rsidR="00CD6B99" w:rsidRPr="0019790A">
              <w:rPr>
                <w:rFonts w:cs="Arial"/>
                <w:iCs/>
                <w:szCs w:val="22"/>
              </w:rPr>
              <w:t>кваліфікації</w:t>
            </w:r>
            <w:r w:rsidRPr="0019790A">
              <w:rPr>
                <w:rFonts w:cs="Arial"/>
                <w:iCs/>
                <w:szCs w:val="22"/>
              </w:rPr>
              <w:t xml:space="preserve"> кухарів.</w:t>
            </w:r>
          </w:p>
        </w:tc>
      </w:tr>
      <w:tr w:rsidR="00D1052A" w:rsidRPr="0019790A" w14:paraId="7F467B54" w14:textId="77777777" w:rsidTr="00D1052A">
        <w:trPr>
          <w:jc w:val="right"/>
        </w:trPr>
        <w:tc>
          <w:tcPr>
            <w:tcW w:w="3425" w:type="dxa"/>
            <w:shd w:val="clear" w:color="auto" w:fill="FFFFFF"/>
            <w:vAlign w:val="center"/>
          </w:tcPr>
          <w:p w14:paraId="5D89A7A7" w14:textId="77777777" w:rsidR="00D1052A" w:rsidRPr="0019790A" w:rsidRDefault="00D1052A" w:rsidP="0019790A">
            <w:pPr>
              <w:rPr>
                <w:rFonts w:cs="Arial"/>
                <w:b/>
                <w:bCs/>
                <w:szCs w:val="22"/>
              </w:rPr>
            </w:pPr>
            <w:r w:rsidRPr="0019790A">
              <w:rPr>
                <w:rFonts w:cs="Arial"/>
                <w:b/>
                <w:bCs/>
                <w:szCs w:val="22"/>
              </w:rPr>
              <w:t>Індикатори (показники) результативності:</w:t>
            </w:r>
          </w:p>
        </w:tc>
        <w:tc>
          <w:tcPr>
            <w:tcW w:w="6794" w:type="dxa"/>
            <w:gridSpan w:val="5"/>
          </w:tcPr>
          <w:p w14:paraId="04F1AAAE" w14:textId="77777777" w:rsidR="00D1052A" w:rsidRPr="0019790A" w:rsidRDefault="00D1052A" w:rsidP="0019790A">
            <w:pPr>
              <w:widowControl w:val="0"/>
              <w:jc w:val="both"/>
              <w:rPr>
                <w:rFonts w:cs="Arial"/>
                <w:szCs w:val="22"/>
              </w:rPr>
            </w:pPr>
            <w:r w:rsidRPr="0019790A">
              <w:rPr>
                <w:rFonts w:cs="Arial"/>
                <w:szCs w:val="22"/>
              </w:rPr>
              <w:t>Збільшено відсоток дітей (30%), які харчуються в шкільній їдальні</w:t>
            </w:r>
          </w:p>
          <w:p w14:paraId="462D9619" w14:textId="77777777" w:rsidR="00D1052A" w:rsidRPr="0019790A" w:rsidRDefault="00D1052A" w:rsidP="0019790A">
            <w:pPr>
              <w:widowControl w:val="0"/>
              <w:jc w:val="both"/>
              <w:rPr>
                <w:rFonts w:cs="Arial"/>
                <w:szCs w:val="22"/>
                <w:shd w:val="clear" w:color="auto" w:fill="FFFFFF"/>
              </w:rPr>
            </w:pPr>
            <w:r w:rsidRPr="0019790A">
              <w:rPr>
                <w:rFonts w:cs="Arial"/>
                <w:szCs w:val="22"/>
                <w:shd w:val="clear" w:color="auto" w:fill="FFFFFF"/>
              </w:rPr>
              <w:t xml:space="preserve">Використовується сучасне енергоефективне обладнання, </w:t>
            </w:r>
          </w:p>
          <w:p w14:paraId="5DE42275" w14:textId="4556B529" w:rsidR="00D1052A" w:rsidRPr="0019790A" w:rsidRDefault="00D1052A" w:rsidP="0019790A">
            <w:pPr>
              <w:widowControl w:val="0"/>
              <w:jc w:val="both"/>
              <w:rPr>
                <w:rFonts w:cs="Arial"/>
                <w:szCs w:val="22"/>
                <w:shd w:val="clear" w:color="auto" w:fill="FFFFFF"/>
              </w:rPr>
            </w:pPr>
            <w:r w:rsidRPr="0019790A">
              <w:rPr>
                <w:rFonts w:cs="Arial"/>
                <w:szCs w:val="22"/>
                <w:shd w:val="clear" w:color="auto" w:fill="FFFFFF"/>
              </w:rPr>
              <w:t xml:space="preserve">Дотримуються </w:t>
            </w:r>
            <w:r w:rsidR="00CD6B99" w:rsidRPr="0019790A">
              <w:rPr>
                <w:rFonts w:cs="Arial"/>
                <w:szCs w:val="22"/>
                <w:shd w:val="clear" w:color="auto" w:fill="FFFFFF"/>
              </w:rPr>
              <w:t>вимоги</w:t>
            </w:r>
            <w:r w:rsidRPr="0019790A">
              <w:rPr>
                <w:rFonts w:cs="Arial"/>
                <w:szCs w:val="22"/>
                <w:shd w:val="clear" w:color="auto" w:fill="FFFFFF"/>
              </w:rPr>
              <w:t xml:space="preserve"> системи НАССР </w:t>
            </w:r>
          </w:p>
          <w:p w14:paraId="140AD97E" w14:textId="77777777" w:rsidR="00D1052A" w:rsidRPr="0019790A" w:rsidRDefault="00D1052A" w:rsidP="0019790A">
            <w:pPr>
              <w:widowControl w:val="0"/>
              <w:jc w:val="both"/>
              <w:rPr>
                <w:rFonts w:cs="Arial"/>
                <w:szCs w:val="22"/>
              </w:rPr>
            </w:pPr>
            <w:r w:rsidRPr="0019790A">
              <w:rPr>
                <w:rFonts w:cs="Arial"/>
                <w:szCs w:val="22"/>
                <w:shd w:val="clear" w:color="auto" w:fill="FFFFFF"/>
              </w:rPr>
              <w:t>Сформовано кваліфіковані кадри для організації харчування</w:t>
            </w:r>
            <w:r w:rsidRPr="0019790A">
              <w:rPr>
                <w:rFonts w:cs="Arial"/>
                <w:szCs w:val="22"/>
              </w:rPr>
              <w:t>.</w:t>
            </w:r>
          </w:p>
        </w:tc>
      </w:tr>
      <w:tr w:rsidR="00D1052A" w:rsidRPr="0019790A" w14:paraId="584C7CD2" w14:textId="77777777" w:rsidTr="00D1052A">
        <w:trPr>
          <w:jc w:val="right"/>
        </w:trPr>
        <w:tc>
          <w:tcPr>
            <w:tcW w:w="3425" w:type="dxa"/>
            <w:shd w:val="clear" w:color="auto" w:fill="FFFFFF"/>
            <w:vAlign w:val="center"/>
          </w:tcPr>
          <w:p w14:paraId="4DF64D6F" w14:textId="77777777" w:rsidR="00D1052A" w:rsidRPr="0019790A" w:rsidRDefault="00D1052A" w:rsidP="0019790A">
            <w:pPr>
              <w:rPr>
                <w:rFonts w:cs="Arial"/>
                <w:b/>
                <w:szCs w:val="22"/>
              </w:rPr>
            </w:pPr>
            <w:r w:rsidRPr="0019790A">
              <w:rPr>
                <w:rFonts w:cs="Arial"/>
                <w:b/>
                <w:szCs w:val="22"/>
              </w:rPr>
              <w:t xml:space="preserve">Період здійснення: </w:t>
            </w:r>
          </w:p>
        </w:tc>
        <w:tc>
          <w:tcPr>
            <w:tcW w:w="6794" w:type="dxa"/>
            <w:gridSpan w:val="5"/>
            <w:vAlign w:val="center"/>
          </w:tcPr>
          <w:p w14:paraId="7D058857" w14:textId="77777777" w:rsidR="00D1052A" w:rsidRPr="0019790A" w:rsidRDefault="00D1052A" w:rsidP="0019790A">
            <w:pPr>
              <w:rPr>
                <w:rFonts w:cs="Arial"/>
                <w:szCs w:val="22"/>
                <w:lang w:eastAsia="it-IT"/>
              </w:rPr>
            </w:pPr>
            <w:r w:rsidRPr="0019790A">
              <w:rPr>
                <w:rFonts w:cs="Arial"/>
                <w:b/>
                <w:szCs w:val="22"/>
              </w:rPr>
              <w:t>2025 – 2028 роки:</w:t>
            </w:r>
          </w:p>
        </w:tc>
      </w:tr>
      <w:tr w:rsidR="00D1052A" w:rsidRPr="0019790A" w14:paraId="4DFE3064" w14:textId="77777777" w:rsidTr="00D1052A">
        <w:trPr>
          <w:jc w:val="right"/>
        </w:trPr>
        <w:tc>
          <w:tcPr>
            <w:tcW w:w="3425" w:type="dxa"/>
            <w:vMerge w:val="restart"/>
            <w:shd w:val="clear" w:color="auto" w:fill="FFFFFF"/>
            <w:vAlign w:val="center"/>
          </w:tcPr>
          <w:p w14:paraId="095D7104" w14:textId="77777777" w:rsidR="00D1052A" w:rsidRPr="0019790A" w:rsidRDefault="00D1052A" w:rsidP="0019790A">
            <w:pPr>
              <w:rPr>
                <w:rFonts w:cs="Arial"/>
                <w:b/>
                <w:bCs/>
                <w:szCs w:val="22"/>
              </w:rPr>
            </w:pPr>
            <w:r w:rsidRPr="0019790A">
              <w:rPr>
                <w:rFonts w:cs="Arial"/>
                <w:b/>
                <w:bCs/>
                <w:szCs w:val="22"/>
              </w:rPr>
              <w:t>Орієнтовна вартість проєкту, тис. грн., в тому числі:</w:t>
            </w:r>
          </w:p>
        </w:tc>
        <w:tc>
          <w:tcPr>
            <w:tcW w:w="1254" w:type="dxa"/>
            <w:shd w:val="clear" w:color="auto" w:fill="E6E6E6"/>
            <w:vAlign w:val="center"/>
          </w:tcPr>
          <w:p w14:paraId="60C54911" w14:textId="77777777" w:rsidR="00D1052A" w:rsidRPr="0019790A" w:rsidRDefault="00D1052A" w:rsidP="0019790A">
            <w:pPr>
              <w:jc w:val="center"/>
              <w:rPr>
                <w:rFonts w:cs="Arial"/>
                <w:b/>
                <w:szCs w:val="22"/>
                <w:lang w:eastAsia="it-IT"/>
              </w:rPr>
            </w:pPr>
            <w:r w:rsidRPr="0019790A">
              <w:rPr>
                <w:rFonts w:cs="Arial"/>
                <w:b/>
                <w:szCs w:val="22"/>
                <w:lang w:eastAsia="it-IT"/>
              </w:rPr>
              <w:t>2025</w:t>
            </w:r>
          </w:p>
        </w:tc>
        <w:tc>
          <w:tcPr>
            <w:tcW w:w="1275" w:type="dxa"/>
            <w:shd w:val="clear" w:color="auto" w:fill="E6E6E6"/>
            <w:vAlign w:val="center"/>
          </w:tcPr>
          <w:p w14:paraId="0B910E3C" w14:textId="77777777" w:rsidR="00D1052A" w:rsidRPr="0019790A" w:rsidRDefault="00D1052A" w:rsidP="0019790A">
            <w:pPr>
              <w:jc w:val="center"/>
              <w:rPr>
                <w:rFonts w:cs="Arial"/>
                <w:b/>
                <w:szCs w:val="22"/>
                <w:lang w:eastAsia="it-IT"/>
              </w:rPr>
            </w:pPr>
            <w:r w:rsidRPr="0019790A">
              <w:rPr>
                <w:rFonts w:cs="Arial"/>
                <w:b/>
                <w:szCs w:val="22"/>
                <w:lang w:eastAsia="it-IT"/>
              </w:rPr>
              <w:t>2026</w:t>
            </w:r>
          </w:p>
        </w:tc>
        <w:tc>
          <w:tcPr>
            <w:tcW w:w="1418" w:type="dxa"/>
            <w:tcBorders>
              <w:bottom w:val="single" w:sz="4" w:space="0" w:color="auto"/>
            </w:tcBorders>
            <w:shd w:val="clear" w:color="auto" w:fill="E6E6E6"/>
            <w:vAlign w:val="center"/>
          </w:tcPr>
          <w:p w14:paraId="56DBCD57" w14:textId="77777777" w:rsidR="00D1052A" w:rsidRPr="0019790A" w:rsidRDefault="00D1052A" w:rsidP="0019790A">
            <w:pPr>
              <w:jc w:val="center"/>
              <w:rPr>
                <w:rFonts w:cs="Arial"/>
                <w:b/>
                <w:szCs w:val="22"/>
                <w:lang w:eastAsia="it-IT"/>
              </w:rPr>
            </w:pPr>
            <w:r w:rsidRPr="0019790A">
              <w:rPr>
                <w:rFonts w:cs="Arial"/>
                <w:b/>
                <w:szCs w:val="22"/>
                <w:lang w:eastAsia="it-IT"/>
              </w:rPr>
              <w:t>2027</w:t>
            </w:r>
          </w:p>
        </w:tc>
        <w:tc>
          <w:tcPr>
            <w:tcW w:w="1276" w:type="dxa"/>
            <w:shd w:val="clear" w:color="auto" w:fill="E6E6E6"/>
            <w:vAlign w:val="center"/>
          </w:tcPr>
          <w:p w14:paraId="49616FA0" w14:textId="77777777" w:rsidR="00D1052A" w:rsidRPr="0019790A" w:rsidRDefault="00D1052A" w:rsidP="0019790A">
            <w:pPr>
              <w:jc w:val="center"/>
              <w:rPr>
                <w:rFonts w:cs="Arial"/>
                <w:b/>
                <w:szCs w:val="22"/>
                <w:lang w:eastAsia="it-IT"/>
              </w:rPr>
            </w:pPr>
            <w:r w:rsidRPr="0019790A">
              <w:rPr>
                <w:rFonts w:cs="Arial"/>
                <w:b/>
                <w:szCs w:val="22"/>
                <w:lang w:eastAsia="it-IT"/>
              </w:rPr>
              <w:t>2028</w:t>
            </w:r>
          </w:p>
        </w:tc>
        <w:tc>
          <w:tcPr>
            <w:tcW w:w="1571" w:type="dxa"/>
            <w:shd w:val="clear" w:color="auto" w:fill="E6E6E6"/>
            <w:vAlign w:val="center"/>
          </w:tcPr>
          <w:p w14:paraId="3A0431FB" w14:textId="77777777" w:rsidR="00D1052A" w:rsidRPr="0019790A" w:rsidRDefault="00D1052A" w:rsidP="0019790A">
            <w:pPr>
              <w:jc w:val="center"/>
              <w:rPr>
                <w:rFonts w:cs="Arial"/>
                <w:b/>
                <w:szCs w:val="22"/>
                <w:lang w:eastAsia="it-IT"/>
              </w:rPr>
            </w:pPr>
            <w:r w:rsidRPr="0019790A">
              <w:rPr>
                <w:rFonts w:cs="Arial"/>
                <w:b/>
                <w:szCs w:val="22"/>
                <w:lang w:eastAsia="it-IT"/>
              </w:rPr>
              <w:t>РАЗОМ</w:t>
            </w:r>
          </w:p>
        </w:tc>
      </w:tr>
      <w:tr w:rsidR="00D1052A" w:rsidRPr="0019790A" w14:paraId="4C050BEF" w14:textId="77777777" w:rsidTr="00D1052A">
        <w:trPr>
          <w:jc w:val="right"/>
        </w:trPr>
        <w:tc>
          <w:tcPr>
            <w:tcW w:w="3425" w:type="dxa"/>
            <w:vMerge/>
            <w:shd w:val="clear" w:color="auto" w:fill="FFFFFF"/>
            <w:vAlign w:val="center"/>
          </w:tcPr>
          <w:p w14:paraId="2B934DBD" w14:textId="77777777" w:rsidR="00D1052A" w:rsidRPr="0019790A" w:rsidRDefault="00D1052A" w:rsidP="0019790A">
            <w:pPr>
              <w:rPr>
                <w:rFonts w:cs="Arial"/>
                <w:b/>
                <w:bCs/>
                <w:szCs w:val="22"/>
              </w:rPr>
            </w:pPr>
          </w:p>
        </w:tc>
        <w:tc>
          <w:tcPr>
            <w:tcW w:w="1254" w:type="dxa"/>
            <w:vAlign w:val="center"/>
          </w:tcPr>
          <w:p w14:paraId="4D1A043B" w14:textId="77777777" w:rsidR="00D1052A" w:rsidRPr="0019790A" w:rsidRDefault="00D1052A" w:rsidP="0019790A">
            <w:pPr>
              <w:jc w:val="center"/>
              <w:rPr>
                <w:rFonts w:cs="Arial"/>
                <w:b/>
                <w:szCs w:val="22"/>
                <w:lang w:eastAsia="it-IT"/>
              </w:rPr>
            </w:pPr>
          </w:p>
        </w:tc>
        <w:tc>
          <w:tcPr>
            <w:tcW w:w="1275" w:type="dxa"/>
            <w:shd w:val="clear" w:color="auto" w:fill="FFFFFF"/>
            <w:vAlign w:val="center"/>
          </w:tcPr>
          <w:p w14:paraId="7A212A97" w14:textId="77777777" w:rsidR="00D1052A" w:rsidRPr="0019790A" w:rsidRDefault="00D1052A" w:rsidP="0019790A">
            <w:pPr>
              <w:jc w:val="center"/>
              <w:rPr>
                <w:rFonts w:cs="Arial"/>
                <w:b/>
                <w:szCs w:val="22"/>
                <w:lang w:eastAsia="it-IT"/>
              </w:rPr>
            </w:pPr>
            <w:r w:rsidRPr="0019790A">
              <w:rPr>
                <w:rFonts w:cs="Arial"/>
                <w:b/>
                <w:szCs w:val="22"/>
              </w:rPr>
              <w:t>7000,000</w:t>
            </w:r>
          </w:p>
        </w:tc>
        <w:tc>
          <w:tcPr>
            <w:tcW w:w="1418" w:type="dxa"/>
            <w:shd w:val="clear" w:color="auto" w:fill="auto"/>
            <w:vAlign w:val="center"/>
          </w:tcPr>
          <w:p w14:paraId="656BD6EB" w14:textId="77777777" w:rsidR="00D1052A" w:rsidRPr="0019790A" w:rsidRDefault="00D1052A" w:rsidP="0019790A">
            <w:pPr>
              <w:jc w:val="center"/>
              <w:rPr>
                <w:rFonts w:cs="Arial"/>
                <w:b/>
                <w:szCs w:val="22"/>
                <w:lang w:eastAsia="it-IT"/>
              </w:rPr>
            </w:pPr>
            <w:r w:rsidRPr="0019790A">
              <w:rPr>
                <w:rFonts w:cs="Arial"/>
                <w:b/>
                <w:szCs w:val="22"/>
                <w:lang w:eastAsia="it-IT"/>
              </w:rPr>
              <w:t xml:space="preserve"> 0</w:t>
            </w:r>
          </w:p>
        </w:tc>
        <w:tc>
          <w:tcPr>
            <w:tcW w:w="1276" w:type="dxa"/>
            <w:shd w:val="clear" w:color="auto" w:fill="FFFFFF"/>
            <w:vAlign w:val="center"/>
          </w:tcPr>
          <w:p w14:paraId="7520DD25" w14:textId="77777777" w:rsidR="00D1052A" w:rsidRPr="0019790A" w:rsidRDefault="00D1052A" w:rsidP="0019790A">
            <w:pPr>
              <w:jc w:val="center"/>
              <w:rPr>
                <w:rFonts w:cs="Arial"/>
                <w:b/>
                <w:szCs w:val="22"/>
                <w:lang w:eastAsia="it-IT"/>
              </w:rPr>
            </w:pPr>
            <w:r w:rsidRPr="0019790A">
              <w:rPr>
                <w:rFonts w:cs="Arial"/>
                <w:b/>
                <w:szCs w:val="22"/>
                <w:lang w:eastAsia="it-IT"/>
              </w:rPr>
              <w:t>0</w:t>
            </w:r>
          </w:p>
        </w:tc>
        <w:tc>
          <w:tcPr>
            <w:tcW w:w="1571" w:type="dxa"/>
            <w:shd w:val="clear" w:color="auto" w:fill="FFFFFF"/>
            <w:vAlign w:val="center"/>
          </w:tcPr>
          <w:p w14:paraId="08D0C43D" w14:textId="77777777" w:rsidR="00D1052A" w:rsidRPr="0019790A" w:rsidRDefault="00D1052A" w:rsidP="0019790A">
            <w:pPr>
              <w:jc w:val="center"/>
              <w:rPr>
                <w:rFonts w:cs="Arial"/>
                <w:b/>
                <w:szCs w:val="22"/>
                <w:lang w:eastAsia="it-IT"/>
              </w:rPr>
            </w:pPr>
            <w:r w:rsidRPr="0019790A">
              <w:rPr>
                <w:rFonts w:cs="Arial"/>
                <w:b/>
                <w:szCs w:val="22"/>
              </w:rPr>
              <w:t xml:space="preserve"> 7000,00</w:t>
            </w:r>
          </w:p>
        </w:tc>
      </w:tr>
      <w:tr w:rsidR="00D1052A" w:rsidRPr="0019790A" w14:paraId="0BE80EAC" w14:textId="77777777" w:rsidTr="00D1052A">
        <w:trPr>
          <w:trHeight w:val="276"/>
          <w:jc w:val="right"/>
        </w:trPr>
        <w:tc>
          <w:tcPr>
            <w:tcW w:w="3425" w:type="dxa"/>
            <w:shd w:val="clear" w:color="auto" w:fill="FFFFFF"/>
            <w:vAlign w:val="center"/>
          </w:tcPr>
          <w:p w14:paraId="78A7BD5E" w14:textId="77777777" w:rsidR="00D1052A" w:rsidRPr="0019790A" w:rsidRDefault="00D1052A" w:rsidP="0019790A">
            <w:pPr>
              <w:rPr>
                <w:rFonts w:cs="Arial"/>
                <w:b/>
                <w:bCs/>
                <w:szCs w:val="22"/>
              </w:rPr>
            </w:pPr>
            <w:r w:rsidRPr="0019790A">
              <w:rPr>
                <w:rFonts w:cs="Arial"/>
                <w:b/>
                <w:bCs/>
                <w:szCs w:val="22"/>
              </w:rPr>
              <w:t>по джерелах фінансування:</w:t>
            </w:r>
          </w:p>
        </w:tc>
        <w:tc>
          <w:tcPr>
            <w:tcW w:w="6794" w:type="dxa"/>
            <w:gridSpan w:val="5"/>
            <w:vAlign w:val="center"/>
          </w:tcPr>
          <w:p w14:paraId="5618AE6A" w14:textId="77777777" w:rsidR="00D1052A" w:rsidRPr="0019790A" w:rsidRDefault="00D1052A" w:rsidP="0019790A">
            <w:pPr>
              <w:jc w:val="both"/>
              <w:rPr>
                <w:rFonts w:cs="Arial"/>
                <w:szCs w:val="22"/>
                <w:lang w:eastAsia="it-IT"/>
              </w:rPr>
            </w:pPr>
          </w:p>
        </w:tc>
      </w:tr>
      <w:tr w:rsidR="00D1052A" w:rsidRPr="0019790A" w14:paraId="2A65DAB7" w14:textId="77777777" w:rsidTr="00D1052A">
        <w:trPr>
          <w:trHeight w:val="240"/>
          <w:jc w:val="right"/>
        </w:trPr>
        <w:tc>
          <w:tcPr>
            <w:tcW w:w="3425" w:type="dxa"/>
            <w:shd w:val="clear" w:color="auto" w:fill="FFFFFF"/>
            <w:vAlign w:val="center"/>
          </w:tcPr>
          <w:p w14:paraId="6087A11E" w14:textId="77777777" w:rsidR="00D1052A" w:rsidRPr="0019790A" w:rsidRDefault="00D1052A" w:rsidP="0019790A">
            <w:pPr>
              <w:rPr>
                <w:rFonts w:cs="Arial"/>
                <w:b/>
                <w:bCs/>
                <w:szCs w:val="22"/>
              </w:rPr>
            </w:pPr>
            <w:r w:rsidRPr="0019790A">
              <w:rPr>
                <w:rFonts w:cs="Arial"/>
                <w:szCs w:val="22"/>
              </w:rPr>
              <w:t>- державний бюджет</w:t>
            </w:r>
          </w:p>
        </w:tc>
        <w:tc>
          <w:tcPr>
            <w:tcW w:w="1254" w:type="dxa"/>
            <w:vAlign w:val="center"/>
          </w:tcPr>
          <w:p w14:paraId="4E3CE46C" w14:textId="77777777" w:rsidR="00D1052A" w:rsidRPr="0019790A" w:rsidRDefault="00D1052A" w:rsidP="0019790A">
            <w:pPr>
              <w:jc w:val="both"/>
              <w:rPr>
                <w:rFonts w:cs="Arial"/>
                <w:szCs w:val="22"/>
                <w:lang w:eastAsia="it-IT"/>
              </w:rPr>
            </w:pPr>
          </w:p>
        </w:tc>
        <w:tc>
          <w:tcPr>
            <w:tcW w:w="1275" w:type="dxa"/>
            <w:vAlign w:val="center"/>
          </w:tcPr>
          <w:p w14:paraId="1113EBFD" w14:textId="77777777" w:rsidR="00D1052A" w:rsidRPr="0019790A" w:rsidRDefault="00D1052A" w:rsidP="0019790A">
            <w:pPr>
              <w:jc w:val="both"/>
              <w:rPr>
                <w:rFonts w:cs="Arial"/>
                <w:szCs w:val="22"/>
                <w:lang w:eastAsia="it-IT"/>
              </w:rPr>
            </w:pPr>
            <w:r w:rsidRPr="0019790A">
              <w:rPr>
                <w:rFonts w:cs="Arial"/>
                <w:szCs w:val="22"/>
                <w:lang w:eastAsia="it-IT"/>
              </w:rPr>
              <w:t>4900,00</w:t>
            </w:r>
          </w:p>
        </w:tc>
        <w:tc>
          <w:tcPr>
            <w:tcW w:w="1418" w:type="dxa"/>
            <w:vAlign w:val="center"/>
          </w:tcPr>
          <w:p w14:paraId="4450F9D7" w14:textId="77777777" w:rsidR="00D1052A" w:rsidRPr="0019790A" w:rsidRDefault="00D1052A" w:rsidP="0019790A">
            <w:pPr>
              <w:jc w:val="both"/>
              <w:rPr>
                <w:rFonts w:cs="Arial"/>
                <w:szCs w:val="22"/>
                <w:lang w:eastAsia="it-IT"/>
              </w:rPr>
            </w:pPr>
          </w:p>
        </w:tc>
        <w:tc>
          <w:tcPr>
            <w:tcW w:w="1276" w:type="dxa"/>
            <w:vAlign w:val="center"/>
          </w:tcPr>
          <w:p w14:paraId="718D7808" w14:textId="77777777" w:rsidR="00D1052A" w:rsidRPr="0019790A" w:rsidRDefault="00D1052A" w:rsidP="0019790A">
            <w:pPr>
              <w:jc w:val="both"/>
              <w:rPr>
                <w:rFonts w:cs="Arial"/>
                <w:szCs w:val="22"/>
                <w:lang w:eastAsia="it-IT"/>
              </w:rPr>
            </w:pPr>
          </w:p>
        </w:tc>
        <w:tc>
          <w:tcPr>
            <w:tcW w:w="1571" w:type="dxa"/>
            <w:vAlign w:val="center"/>
          </w:tcPr>
          <w:p w14:paraId="5B42BD52" w14:textId="77777777" w:rsidR="00D1052A" w:rsidRPr="00CD6B99" w:rsidRDefault="00D1052A" w:rsidP="00CD6B99">
            <w:pPr>
              <w:jc w:val="center"/>
              <w:rPr>
                <w:rFonts w:cs="Arial"/>
                <w:b/>
                <w:szCs w:val="22"/>
                <w:lang w:eastAsia="it-IT"/>
              </w:rPr>
            </w:pPr>
            <w:r w:rsidRPr="00CD6B99">
              <w:rPr>
                <w:rFonts w:cs="Arial"/>
                <w:b/>
                <w:szCs w:val="22"/>
                <w:lang w:eastAsia="it-IT"/>
              </w:rPr>
              <w:t>4900,00</w:t>
            </w:r>
          </w:p>
        </w:tc>
      </w:tr>
      <w:tr w:rsidR="00D1052A" w:rsidRPr="0019790A" w14:paraId="52C5E8DD" w14:textId="77777777" w:rsidTr="00D1052A">
        <w:trPr>
          <w:trHeight w:val="254"/>
          <w:jc w:val="right"/>
        </w:trPr>
        <w:tc>
          <w:tcPr>
            <w:tcW w:w="3425" w:type="dxa"/>
            <w:shd w:val="clear" w:color="auto" w:fill="FFFFFF"/>
            <w:vAlign w:val="center"/>
          </w:tcPr>
          <w:p w14:paraId="208475D9" w14:textId="77777777" w:rsidR="00D1052A" w:rsidRPr="0019790A" w:rsidRDefault="00D1052A" w:rsidP="0019790A">
            <w:pPr>
              <w:rPr>
                <w:rFonts w:cs="Arial"/>
                <w:szCs w:val="22"/>
              </w:rPr>
            </w:pPr>
            <w:r w:rsidRPr="0019790A">
              <w:rPr>
                <w:rFonts w:cs="Arial"/>
                <w:szCs w:val="22"/>
              </w:rPr>
              <w:t>- обласний бюджет</w:t>
            </w:r>
          </w:p>
        </w:tc>
        <w:tc>
          <w:tcPr>
            <w:tcW w:w="6794" w:type="dxa"/>
            <w:gridSpan w:val="5"/>
            <w:vAlign w:val="center"/>
          </w:tcPr>
          <w:p w14:paraId="14A9D7BB" w14:textId="77777777" w:rsidR="00D1052A" w:rsidRPr="0019790A" w:rsidRDefault="00D1052A" w:rsidP="0019790A">
            <w:pPr>
              <w:jc w:val="both"/>
              <w:rPr>
                <w:rFonts w:cs="Arial"/>
                <w:szCs w:val="22"/>
                <w:lang w:eastAsia="it-IT"/>
              </w:rPr>
            </w:pPr>
          </w:p>
        </w:tc>
      </w:tr>
      <w:tr w:rsidR="00D1052A" w:rsidRPr="0019790A" w14:paraId="5A464674" w14:textId="77777777" w:rsidTr="00D1052A">
        <w:trPr>
          <w:trHeight w:val="275"/>
          <w:jc w:val="right"/>
        </w:trPr>
        <w:tc>
          <w:tcPr>
            <w:tcW w:w="3425" w:type="dxa"/>
            <w:shd w:val="clear" w:color="auto" w:fill="FFFFFF"/>
            <w:vAlign w:val="center"/>
          </w:tcPr>
          <w:p w14:paraId="0D834E84" w14:textId="77777777" w:rsidR="00D1052A" w:rsidRPr="0019790A" w:rsidRDefault="00D1052A" w:rsidP="0019790A">
            <w:pPr>
              <w:rPr>
                <w:rFonts w:cs="Arial"/>
                <w:szCs w:val="22"/>
              </w:rPr>
            </w:pPr>
            <w:r w:rsidRPr="0019790A">
              <w:rPr>
                <w:rFonts w:cs="Arial"/>
                <w:szCs w:val="22"/>
              </w:rPr>
              <w:t>- бюджет Жмеринської МТГ</w:t>
            </w:r>
          </w:p>
        </w:tc>
        <w:tc>
          <w:tcPr>
            <w:tcW w:w="1254" w:type="dxa"/>
            <w:vAlign w:val="center"/>
          </w:tcPr>
          <w:p w14:paraId="0167C478" w14:textId="77777777" w:rsidR="00D1052A" w:rsidRPr="0019790A" w:rsidRDefault="00D1052A" w:rsidP="0019790A">
            <w:pPr>
              <w:jc w:val="both"/>
              <w:rPr>
                <w:rFonts w:cs="Arial"/>
                <w:szCs w:val="22"/>
                <w:lang w:eastAsia="it-IT"/>
              </w:rPr>
            </w:pPr>
          </w:p>
        </w:tc>
        <w:tc>
          <w:tcPr>
            <w:tcW w:w="1275" w:type="dxa"/>
            <w:vAlign w:val="center"/>
          </w:tcPr>
          <w:p w14:paraId="04E8F103" w14:textId="77777777" w:rsidR="00D1052A" w:rsidRPr="0019790A" w:rsidRDefault="00D1052A" w:rsidP="0019790A">
            <w:pPr>
              <w:jc w:val="both"/>
              <w:rPr>
                <w:rFonts w:cs="Arial"/>
                <w:szCs w:val="22"/>
                <w:lang w:eastAsia="it-IT"/>
              </w:rPr>
            </w:pPr>
            <w:r w:rsidRPr="0019790A">
              <w:rPr>
                <w:rFonts w:cs="Arial"/>
                <w:szCs w:val="22"/>
                <w:lang w:eastAsia="it-IT"/>
              </w:rPr>
              <w:t>2100,00</w:t>
            </w:r>
          </w:p>
        </w:tc>
        <w:tc>
          <w:tcPr>
            <w:tcW w:w="1418" w:type="dxa"/>
            <w:vAlign w:val="center"/>
          </w:tcPr>
          <w:p w14:paraId="7772A328" w14:textId="77777777" w:rsidR="00D1052A" w:rsidRPr="0019790A" w:rsidRDefault="00D1052A" w:rsidP="0019790A">
            <w:pPr>
              <w:jc w:val="both"/>
              <w:rPr>
                <w:rFonts w:cs="Arial"/>
                <w:szCs w:val="22"/>
                <w:lang w:eastAsia="it-IT"/>
              </w:rPr>
            </w:pPr>
          </w:p>
        </w:tc>
        <w:tc>
          <w:tcPr>
            <w:tcW w:w="1276" w:type="dxa"/>
            <w:vAlign w:val="center"/>
          </w:tcPr>
          <w:p w14:paraId="03EA1B2C" w14:textId="77777777" w:rsidR="00D1052A" w:rsidRPr="0019790A" w:rsidRDefault="00D1052A" w:rsidP="0019790A">
            <w:pPr>
              <w:jc w:val="both"/>
              <w:rPr>
                <w:rFonts w:cs="Arial"/>
                <w:szCs w:val="22"/>
                <w:lang w:eastAsia="it-IT"/>
              </w:rPr>
            </w:pPr>
          </w:p>
        </w:tc>
        <w:tc>
          <w:tcPr>
            <w:tcW w:w="1571" w:type="dxa"/>
            <w:vAlign w:val="center"/>
          </w:tcPr>
          <w:p w14:paraId="47210EEC" w14:textId="77777777" w:rsidR="00D1052A" w:rsidRPr="00CD6B99" w:rsidRDefault="00D1052A" w:rsidP="00CD6B99">
            <w:pPr>
              <w:jc w:val="center"/>
              <w:rPr>
                <w:rFonts w:cs="Arial"/>
                <w:b/>
                <w:szCs w:val="22"/>
                <w:lang w:eastAsia="it-IT"/>
              </w:rPr>
            </w:pPr>
            <w:r w:rsidRPr="00CD6B99">
              <w:rPr>
                <w:rFonts w:cs="Arial"/>
                <w:b/>
                <w:szCs w:val="22"/>
                <w:lang w:eastAsia="it-IT"/>
              </w:rPr>
              <w:t>2100,00</w:t>
            </w:r>
          </w:p>
        </w:tc>
      </w:tr>
      <w:tr w:rsidR="00D1052A" w:rsidRPr="0019790A" w14:paraId="20FED436" w14:textId="77777777" w:rsidTr="00D1052A">
        <w:trPr>
          <w:trHeight w:val="226"/>
          <w:jc w:val="right"/>
        </w:trPr>
        <w:tc>
          <w:tcPr>
            <w:tcW w:w="3425" w:type="dxa"/>
            <w:shd w:val="clear" w:color="auto" w:fill="FFFFFF"/>
            <w:vAlign w:val="center"/>
          </w:tcPr>
          <w:p w14:paraId="5509BE5C" w14:textId="77777777" w:rsidR="00D1052A" w:rsidRPr="0019790A" w:rsidRDefault="00D1052A" w:rsidP="0019790A">
            <w:pPr>
              <w:rPr>
                <w:rFonts w:cs="Arial"/>
                <w:szCs w:val="22"/>
              </w:rPr>
            </w:pPr>
            <w:r w:rsidRPr="0019790A">
              <w:rPr>
                <w:rFonts w:cs="Arial"/>
                <w:szCs w:val="22"/>
              </w:rPr>
              <w:t>- інші джерела фінансування</w:t>
            </w:r>
          </w:p>
        </w:tc>
        <w:tc>
          <w:tcPr>
            <w:tcW w:w="6794" w:type="dxa"/>
            <w:gridSpan w:val="5"/>
            <w:vAlign w:val="center"/>
          </w:tcPr>
          <w:p w14:paraId="71D8B0AD" w14:textId="77777777" w:rsidR="00D1052A" w:rsidRPr="0019790A" w:rsidRDefault="00D1052A" w:rsidP="0019790A">
            <w:pPr>
              <w:jc w:val="both"/>
              <w:rPr>
                <w:rFonts w:cs="Arial"/>
                <w:szCs w:val="22"/>
                <w:lang w:eastAsia="it-IT"/>
              </w:rPr>
            </w:pPr>
          </w:p>
        </w:tc>
      </w:tr>
      <w:tr w:rsidR="00D1052A" w:rsidRPr="0019790A" w14:paraId="4EAA26D1" w14:textId="77777777" w:rsidTr="00D1052A">
        <w:trPr>
          <w:jc w:val="right"/>
        </w:trPr>
        <w:tc>
          <w:tcPr>
            <w:tcW w:w="3425" w:type="dxa"/>
            <w:shd w:val="clear" w:color="auto" w:fill="FFFFFF"/>
            <w:vAlign w:val="center"/>
          </w:tcPr>
          <w:p w14:paraId="6B1FDCBA" w14:textId="77777777" w:rsidR="00D1052A" w:rsidRPr="0019790A" w:rsidRDefault="00D1052A" w:rsidP="0019790A">
            <w:pPr>
              <w:rPr>
                <w:rFonts w:cs="Arial"/>
                <w:b/>
                <w:bCs/>
                <w:szCs w:val="22"/>
              </w:rPr>
            </w:pPr>
            <w:r w:rsidRPr="0019790A">
              <w:rPr>
                <w:rFonts w:cs="Arial"/>
                <w:b/>
                <w:szCs w:val="22"/>
              </w:rPr>
              <w:t>Відповідальний виконавець проєкту:</w:t>
            </w:r>
          </w:p>
        </w:tc>
        <w:tc>
          <w:tcPr>
            <w:tcW w:w="6794" w:type="dxa"/>
            <w:gridSpan w:val="5"/>
            <w:vAlign w:val="center"/>
          </w:tcPr>
          <w:p w14:paraId="4063C5DB" w14:textId="77777777" w:rsidR="00D1052A" w:rsidRPr="0019790A" w:rsidRDefault="00D1052A" w:rsidP="0019790A">
            <w:pPr>
              <w:jc w:val="both"/>
              <w:rPr>
                <w:rFonts w:cs="Arial"/>
                <w:szCs w:val="22"/>
                <w:lang w:eastAsia="it-IT"/>
              </w:rPr>
            </w:pPr>
            <w:r w:rsidRPr="0019790A">
              <w:rPr>
                <w:rFonts w:cs="Arial"/>
                <w:szCs w:val="22"/>
                <w:lang w:eastAsia="it-IT"/>
              </w:rPr>
              <w:t>Управління ЖКГ Жмеринської міської ради, Управління освіти Жмеринської міської ради</w:t>
            </w:r>
          </w:p>
        </w:tc>
      </w:tr>
      <w:tr w:rsidR="00D1052A" w:rsidRPr="0019790A" w14:paraId="326D3D93" w14:textId="77777777" w:rsidTr="00D1052A">
        <w:trPr>
          <w:trHeight w:val="70"/>
          <w:jc w:val="right"/>
        </w:trPr>
        <w:tc>
          <w:tcPr>
            <w:tcW w:w="3425" w:type="dxa"/>
            <w:shd w:val="clear" w:color="auto" w:fill="FFFFFF"/>
            <w:vAlign w:val="center"/>
          </w:tcPr>
          <w:p w14:paraId="70A00BF8" w14:textId="77777777" w:rsidR="00D1052A" w:rsidRPr="0019790A" w:rsidRDefault="00D1052A" w:rsidP="0019790A">
            <w:pPr>
              <w:rPr>
                <w:rFonts w:cs="Arial"/>
                <w:b/>
                <w:bCs/>
                <w:color w:val="000000"/>
                <w:szCs w:val="22"/>
              </w:rPr>
            </w:pPr>
            <w:r w:rsidRPr="0019790A">
              <w:rPr>
                <w:rFonts w:cs="Arial"/>
                <w:b/>
                <w:bCs/>
                <w:color w:val="000000"/>
                <w:szCs w:val="22"/>
              </w:rPr>
              <w:t>Інше:</w:t>
            </w:r>
          </w:p>
        </w:tc>
        <w:tc>
          <w:tcPr>
            <w:tcW w:w="6794" w:type="dxa"/>
            <w:gridSpan w:val="5"/>
            <w:vAlign w:val="center"/>
          </w:tcPr>
          <w:p w14:paraId="38E7DF45" w14:textId="77777777" w:rsidR="00D1052A" w:rsidRPr="0019790A" w:rsidRDefault="00D1052A" w:rsidP="0019790A">
            <w:pPr>
              <w:rPr>
                <w:rFonts w:cs="Arial"/>
                <w:color w:val="000000"/>
                <w:szCs w:val="22"/>
                <w:lang w:eastAsia="it-IT"/>
              </w:rPr>
            </w:pPr>
          </w:p>
        </w:tc>
      </w:tr>
    </w:tbl>
    <w:p w14:paraId="23DFEC46" w14:textId="77777777" w:rsidR="00D1052A" w:rsidRPr="0019790A" w:rsidRDefault="00D1052A" w:rsidP="0019790A">
      <w:pPr>
        <w:rPr>
          <w:rFonts w:cs="Arial"/>
          <w:szCs w:val="22"/>
        </w:rPr>
      </w:pPr>
    </w:p>
    <w:p w14:paraId="6077F1ED" w14:textId="77777777" w:rsidR="00D1052A" w:rsidRPr="0019790A" w:rsidRDefault="00D1052A" w:rsidP="0019790A">
      <w:pPr>
        <w:rPr>
          <w:rFonts w:cs="Arial"/>
          <w:szCs w:val="22"/>
        </w:rPr>
      </w:pPr>
    </w:p>
    <w:p w14:paraId="47D0C9E7" w14:textId="77777777" w:rsidR="00D1052A" w:rsidRPr="0019790A" w:rsidRDefault="00D1052A" w:rsidP="0019790A">
      <w:pPr>
        <w:jc w:val="center"/>
        <w:rPr>
          <w:rFonts w:cs="Arial"/>
          <w:b/>
          <w:szCs w:val="22"/>
        </w:rPr>
      </w:pPr>
      <w:r w:rsidRPr="0019790A">
        <w:rPr>
          <w:rFonts w:cs="Arial"/>
          <w:b/>
          <w:szCs w:val="22"/>
        </w:rPr>
        <w:t xml:space="preserve">Форма технічного завдання на проєкт місцевого розвитку </w:t>
      </w:r>
    </w:p>
    <w:p w14:paraId="2FDE793D" w14:textId="77777777" w:rsidR="00D1052A" w:rsidRPr="0019790A" w:rsidRDefault="00D1052A" w:rsidP="0019790A">
      <w:pPr>
        <w:jc w:val="center"/>
        <w:rPr>
          <w:rFonts w:cs="Arial"/>
          <w:b/>
          <w:szCs w:val="22"/>
        </w:rPr>
      </w:pPr>
      <w:r w:rsidRPr="0019790A">
        <w:rPr>
          <w:rFonts w:cs="Arial"/>
          <w:b/>
          <w:szCs w:val="22"/>
        </w:rPr>
        <w:t>до Плану заходів з реалізації Стратегії</w:t>
      </w:r>
    </w:p>
    <w:p w14:paraId="04DDD63B" w14:textId="77777777" w:rsidR="00D1052A" w:rsidRPr="0019790A" w:rsidRDefault="00D1052A"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1275"/>
        <w:gridCol w:w="1418"/>
        <w:gridCol w:w="1276"/>
        <w:gridCol w:w="1571"/>
      </w:tblGrid>
      <w:tr w:rsidR="00D1052A" w:rsidRPr="0019790A" w14:paraId="2AE2ACBD" w14:textId="77777777" w:rsidTr="00D1052A">
        <w:trPr>
          <w:jc w:val="right"/>
        </w:trPr>
        <w:tc>
          <w:tcPr>
            <w:tcW w:w="3425" w:type="dxa"/>
            <w:vAlign w:val="center"/>
          </w:tcPr>
          <w:p w14:paraId="4D704A55" w14:textId="77777777" w:rsidR="00D1052A" w:rsidRPr="0019790A" w:rsidRDefault="00D1052A" w:rsidP="0019790A">
            <w:pPr>
              <w:rPr>
                <w:rFonts w:cs="Arial"/>
                <w:b/>
                <w:bCs/>
                <w:szCs w:val="22"/>
              </w:rPr>
            </w:pPr>
            <w:r w:rsidRPr="0019790A">
              <w:rPr>
                <w:rFonts w:cs="Arial"/>
                <w:b/>
                <w:bCs/>
                <w:szCs w:val="22"/>
              </w:rPr>
              <w:t>Назва проєкту:</w:t>
            </w:r>
          </w:p>
        </w:tc>
        <w:tc>
          <w:tcPr>
            <w:tcW w:w="6794" w:type="dxa"/>
            <w:gridSpan w:val="5"/>
          </w:tcPr>
          <w:p w14:paraId="67E081DB" w14:textId="77777777" w:rsidR="00D1052A" w:rsidRPr="0019790A" w:rsidRDefault="00D1052A" w:rsidP="0019790A">
            <w:pPr>
              <w:jc w:val="both"/>
              <w:rPr>
                <w:rFonts w:cs="Arial"/>
                <w:szCs w:val="22"/>
                <w:lang w:eastAsia="it-IT"/>
              </w:rPr>
            </w:pPr>
            <w:r w:rsidRPr="0019790A">
              <w:rPr>
                <w:rFonts w:cs="Arial"/>
                <w:b/>
                <w:szCs w:val="22"/>
                <w:lang w:eastAsia="it-IT"/>
              </w:rPr>
              <w:t xml:space="preserve"> </w:t>
            </w:r>
            <w:r w:rsidRPr="0019790A">
              <w:rPr>
                <w:rFonts w:cs="Arial"/>
                <w:b/>
                <w:szCs w:val="22"/>
              </w:rPr>
              <w:t>Капітальний ремонт харчоблоку КЗ «Мартинівський ліцей» Жмеринської міської територіальної громади</w:t>
            </w:r>
          </w:p>
        </w:tc>
      </w:tr>
      <w:tr w:rsidR="00D1052A" w:rsidRPr="0019790A" w14:paraId="269EBA03" w14:textId="77777777" w:rsidTr="00D1052A">
        <w:trPr>
          <w:jc w:val="right"/>
        </w:trPr>
        <w:tc>
          <w:tcPr>
            <w:tcW w:w="3425" w:type="dxa"/>
          </w:tcPr>
          <w:p w14:paraId="5509A401" w14:textId="77777777" w:rsidR="00D1052A" w:rsidRPr="0019790A" w:rsidRDefault="00D1052A"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6DE58FEE" w14:textId="77777777" w:rsidR="00D1052A" w:rsidRPr="0019790A" w:rsidRDefault="00D1052A"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5"/>
          </w:tcPr>
          <w:p w14:paraId="1ACF87F0" w14:textId="77777777" w:rsidR="00D1052A" w:rsidRPr="0019790A" w:rsidRDefault="00D1052A" w:rsidP="0019790A">
            <w:pPr>
              <w:rPr>
                <w:rFonts w:cs="Arial"/>
                <w:szCs w:val="22"/>
                <w:lang w:eastAsia="it-IT"/>
              </w:rPr>
            </w:pPr>
            <w:r w:rsidRPr="0019790A">
              <w:rPr>
                <w:rFonts w:cs="Arial"/>
                <w:szCs w:val="22"/>
                <w:lang w:eastAsia="it-IT"/>
              </w:rPr>
              <w:t xml:space="preserve"> Управління освіти Жмеринської міської ради</w:t>
            </w:r>
          </w:p>
        </w:tc>
      </w:tr>
      <w:tr w:rsidR="00D1052A" w:rsidRPr="0019790A" w14:paraId="079BC3AF" w14:textId="77777777" w:rsidTr="00D1052A">
        <w:trPr>
          <w:jc w:val="right"/>
        </w:trPr>
        <w:tc>
          <w:tcPr>
            <w:tcW w:w="3425" w:type="dxa"/>
          </w:tcPr>
          <w:p w14:paraId="3252C4EE" w14:textId="77777777" w:rsidR="00D1052A" w:rsidRPr="0019790A" w:rsidRDefault="00D1052A" w:rsidP="0019790A">
            <w:pPr>
              <w:rPr>
                <w:rFonts w:cs="Arial"/>
                <w:b/>
                <w:bCs/>
                <w:szCs w:val="22"/>
              </w:rPr>
            </w:pPr>
            <w:r w:rsidRPr="0019790A">
              <w:rPr>
                <w:rFonts w:cs="Arial"/>
                <w:szCs w:val="22"/>
                <w:lang w:eastAsia="it-IT"/>
              </w:rPr>
              <w:t>Прізвище Ім’я по-батькові:</w:t>
            </w:r>
          </w:p>
        </w:tc>
        <w:tc>
          <w:tcPr>
            <w:tcW w:w="6794" w:type="dxa"/>
            <w:gridSpan w:val="5"/>
          </w:tcPr>
          <w:p w14:paraId="2C59AF03" w14:textId="77777777" w:rsidR="00D1052A" w:rsidRPr="0019790A" w:rsidRDefault="00D1052A" w:rsidP="0019790A">
            <w:pPr>
              <w:pStyle w:val="TableParagraph"/>
              <w:ind w:left="0"/>
              <w:rPr>
                <w:rFonts w:ascii="Arial" w:hAnsi="Arial" w:cs="Arial"/>
              </w:rPr>
            </w:pPr>
            <w:r w:rsidRPr="0019790A">
              <w:rPr>
                <w:rFonts w:ascii="Arial" w:hAnsi="Arial" w:cs="Arial"/>
              </w:rPr>
              <w:t>Твердохліб Аліна Петрівна</w:t>
            </w:r>
          </w:p>
        </w:tc>
      </w:tr>
      <w:tr w:rsidR="00D1052A" w:rsidRPr="0019790A" w14:paraId="20F26ECF" w14:textId="77777777" w:rsidTr="00D1052A">
        <w:trPr>
          <w:jc w:val="right"/>
        </w:trPr>
        <w:tc>
          <w:tcPr>
            <w:tcW w:w="3425" w:type="dxa"/>
          </w:tcPr>
          <w:p w14:paraId="7DAECFE3" w14:textId="77777777" w:rsidR="00D1052A" w:rsidRPr="0019790A" w:rsidRDefault="00D1052A" w:rsidP="0019790A">
            <w:pPr>
              <w:rPr>
                <w:rFonts w:cs="Arial"/>
                <w:b/>
                <w:bCs/>
                <w:szCs w:val="22"/>
              </w:rPr>
            </w:pPr>
            <w:r w:rsidRPr="0019790A">
              <w:rPr>
                <w:rFonts w:cs="Arial"/>
                <w:szCs w:val="22"/>
                <w:lang w:eastAsia="it-IT"/>
              </w:rPr>
              <w:t>Телефон (мобільний):</w:t>
            </w:r>
          </w:p>
        </w:tc>
        <w:tc>
          <w:tcPr>
            <w:tcW w:w="6794" w:type="dxa"/>
            <w:gridSpan w:val="5"/>
          </w:tcPr>
          <w:p w14:paraId="366A23F6" w14:textId="77777777" w:rsidR="00D1052A" w:rsidRPr="0019790A" w:rsidRDefault="00D1052A" w:rsidP="0019790A">
            <w:pPr>
              <w:pStyle w:val="TableParagraph"/>
              <w:ind w:left="66"/>
              <w:rPr>
                <w:rFonts w:ascii="Arial" w:hAnsi="Arial" w:cs="Arial"/>
              </w:rPr>
            </w:pPr>
            <w:r w:rsidRPr="0019790A">
              <w:rPr>
                <w:rFonts w:ascii="Arial" w:hAnsi="Arial" w:cs="Arial"/>
                <w:spacing w:val="-2"/>
              </w:rPr>
              <w:t>+380 (67) 895 55 75</w:t>
            </w:r>
          </w:p>
        </w:tc>
      </w:tr>
      <w:tr w:rsidR="00D1052A" w:rsidRPr="0019790A" w14:paraId="4D144C42" w14:textId="77777777" w:rsidTr="00D1052A">
        <w:trPr>
          <w:jc w:val="right"/>
        </w:trPr>
        <w:tc>
          <w:tcPr>
            <w:tcW w:w="3425" w:type="dxa"/>
          </w:tcPr>
          <w:p w14:paraId="0F91B7E5" w14:textId="77777777" w:rsidR="00D1052A" w:rsidRPr="0019790A" w:rsidRDefault="00D1052A" w:rsidP="0019790A">
            <w:pPr>
              <w:rPr>
                <w:rFonts w:cs="Arial"/>
                <w:b/>
                <w:bCs/>
                <w:szCs w:val="22"/>
              </w:rPr>
            </w:pPr>
            <w:r w:rsidRPr="0019790A">
              <w:rPr>
                <w:rFonts w:cs="Arial"/>
                <w:szCs w:val="22"/>
                <w:lang w:eastAsia="it-IT"/>
              </w:rPr>
              <w:t>Електронна адреса:</w:t>
            </w:r>
          </w:p>
        </w:tc>
        <w:tc>
          <w:tcPr>
            <w:tcW w:w="6794" w:type="dxa"/>
            <w:gridSpan w:val="5"/>
          </w:tcPr>
          <w:p w14:paraId="6448849C" w14:textId="77777777" w:rsidR="00D1052A" w:rsidRPr="0019790A" w:rsidRDefault="00D85FFD" w:rsidP="0019790A">
            <w:pPr>
              <w:pStyle w:val="TableParagraph"/>
              <w:ind w:left="66"/>
              <w:rPr>
                <w:rFonts w:ascii="Arial" w:hAnsi="Arial" w:cs="Arial"/>
                <w:b/>
              </w:rPr>
            </w:pPr>
            <w:hyperlink r:id="rId108" w:history="1">
              <w:r w:rsidR="00D1052A" w:rsidRPr="0019790A">
                <w:rPr>
                  <w:rStyle w:val="af0"/>
                  <w:rFonts w:ascii="Arial" w:hAnsi="Arial" w:cs="Arial"/>
                  <w:noProof w:val="0"/>
                  <w:spacing w:val="5"/>
                  <w:sz w:val="22"/>
                  <w:szCs w:val="22"/>
                </w:rPr>
                <w:t>uposv.zmr@gmail.com</w:t>
              </w:r>
            </w:hyperlink>
          </w:p>
        </w:tc>
      </w:tr>
      <w:tr w:rsidR="00D1052A" w:rsidRPr="0019790A" w14:paraId="4DD2FA23" w14:textId="77777777" w:rsidTr="00D1052A">
        <w:trPr>
          <w:jc w:val="right"/>
        </w:trPr>
        <w:tc>
          <w:tcPr>
            <w:tcW w:w="3425" w:type="dxa"/>
            <w:vAlign w:val="center"/>
          </w:tcPr>
          <w:p w14:paraId="1EBE55EC" w14:textId="77777777" w:rsidR="00D1052A" w:rsidRPr="0019790A" w:rsidRDefault="00D1052A" w:rsidP="0019790A">
            <w:pPr>
              <w:pStyle w:val="6"/>
              <w:spacing w:before="0" w:after="0"/>
              <w:rPr>
                <w:rFonts w:ascii="Arial" w:hAnsi="Arial" w:cs="Arial"/>
                <w:lang w:val="uk-UA"/>
              </w:rPr>
            </w:pPr>
            <w:r w:rsidRPr="0019790A">
              <w:rPr>
                <w:rFonts w:ascii="Arial" w:hAnsi="Arial" w:cs="Arial"/>
                <w:lang w:val="uk-UA"/>
              </w:rPr>
              <w:t>Номер і назва завдання з Стратегії</w:t>
            </w:r>
            <w:r w:rsidRPr="0019790A">
              <w:rPr>
                <w:rFonts w:ascii="Arial" w:hAnsi="Arial" w:cs="Arial"/>
                <w:lang w:val="uk-UA" w:eastAsia="it-IT"/>
              </w:rPr>
              <w:t xml:space="preserve"> </w:t>
            </w:r>
            <w:r w:rsidRPr="0019790A">
              <w:rPr>
                <w:rFonts w:ascii="Arial" w:hAnsi="Arial" w:cs="Arial"/>
                <w:lang w:val="uk-UA"/>
              </w:rPr>
              <w:t>розвитку Жмеринської міської територіальної громади,  якому відповідає проєкт:</w:t>
            </w:r>
          </w:p>
        </w:tc>
        <w:tc>
          <w:tcPr>
            <w:tcW w:w="6794" w:type="dxa"/>
            <w:gridSpan w:val="5"/>
          </w:tcPr>
          <w:p w14:paraId="06F2FF54" w14:textId="77777777" w:rsidR="00D1052A" w:rsidRPr="0019790A" w:rsidRDefault="00D1052A" w:rsidP="0019790A">
            <w:pPr>
              <w:rPr>
                <w:rFonts w:cs="Arial"/>
                <w:szCs w:val="22"/>
              </w:rPr>
            </w:pPr>
            <w:r w:rsidRPr="0019790A">
              <w:rPr>
                <w:rFonts w:cs="Arial"/>
                <w:szCs w:val="22"/>
              </w:rPr>
              <w:t>С.1.2.4. Підвищення рівня санітарної безпеки закладів освіти.</w:t>
            </w:r>
          </w:p>
          <w:p w14:paraId="3339DCA8" w14:textId="77777777" w:rsidR="00D1052A" w:rsidRPr="0019790A" w:rsidRDefault="00D1052A" w:rsidP="0019790A">
            <w:pPr>
              <w:jc w:val="both"/>
              <w:rPr>
                <w:rFonts w:cs="Arial"/>
                <w:szCs w:val="22"/>
                <w:lang w:eastAsia="it-IT"/>
              </w:rPr>
            </w:pPr>
            <w:r w:rsidRPr="0019790A">
              <w:rPr>
                <w:rFonts w:cs="Arial"/>
                <w:szCs w:val="22"/>
              </w:rPr>
              <w:t>С.1.2.5. Підвищення рівня безпечності та якості організації харчування, створення умов для здорового способу життя.</w:t>
            </w:r>
          </w:p>
        </w:tc>
      </w:tr>
      <w:tr w:rsidR="00D1052A" w:rsidRPr="0019790A" w14:paraId="0AC195A1" w14:textId="77777777" w:rsidTr="00D1052A">
        <w:trPr>
          <w:jc w:val="right"/>
        </w:trPr>
        <w:tc>
          <w:tcPr>
            <w:tcW w:w="3425" w:type="dxa"/>
            <w:vAlign w:val="center"/>
          </w:tcPr>
          <w:p w14:paraId="31D2FA24" w14:textId="77777777" w:rsidR="00D1052A" w:rsidRPr="0019790A" w:rsidRDefault="00D1052A" w:rsidP="0019790A">
            <w:pPr>
              <w:rPr>
                <w:rFonts w:cs="Arial"/>
                <w:b/>
                <w:bCs/>
                <w:szCs w:val="22"/>
              </w:rPr>
            </w:pPr>
            <w:r w:rsidRPr="0019790A">
              <w:rPr>
                <w:rFonts w:cs="Arial"/>
                <w:b/>
                <w:bCs/>
                <w:szCs w:val="22"/>
              </w:rPr>
              <w:t>Мета проєкту:</w:t>
            </w:r>
          </w:p>
        </w:tc>
        <w:tc>
          <w:tcPr>
            <w:tcW w:w="6794" w:type="dxa"/>
            <w:gridSpan w:val="5"/>
          </w:tcPr>
          <w:p w14:paraId="05D3005D" w14:textId="77777777" w:rsidR="00D1052A" w:rsidRPr="0019790A" w:rsidRDefault="00D1052A" w:rsidP="0019790A">
            <w:pPr>
              <w:rPr>
                <w:rFonts w:cs="Arial"/>
                <w:szCs w:val="22"/>
                <w:lang w:eastAsia="it-IT"/>
              </w:rPr>
            </w:pPr>
            <w:r w:rsidRPr="0019790A">
              <w:rPr>
                <w:rFonts w:cs="Arial"/>
                <w:szCs w:val="22"/>
              </w:rPr>
              <w:t>Підвищення рівня безпечності та якості організації харчування учнів, створення умов для здорового способу життя</w:t>
            </w:r>
          </w:p>
        </w:tc>
      </w:tr>
      <w:tr w:rsidR="00D1052A" w:rsidRPr="0019790A" w14:paraId="1EFDA19C" w14:textId="77777777" w:rsidTr="00D1052A">
        <w:trPr>
          <w:jc w:val="right"/>
        </w:trPr>
        <w:tc>
          <w:tcPr>
            <w:tcW w:w="3425" w:type="dxa"/>
            <w:vAlign w:val="center"/>
          </w:tcPr>
          <w:p w14:paraId="3F95EA8D" w14:textId="77777777" w:rsidR="00D1052A" w:rsidRPr="0019790A" w:rsidRDefault="00D1052A" w:rsidP="0019790A">
            <w:pPr>
              <w:rPr>
                <w:rFonts w:cs="Arial"/>
                <w:b/>
                <w:bCs/>
                <w:szCs w:val="22"/>
              </w:rPr>
            </w:pPr>
            <w:r w:rsidRPr="0019790A">
              <w:rPr>
                <w:rFonts w:cs="Arial"/>
                <w:b/>
                <w:bCs/>
                <w:szCs w:val="22"/>
              </w:rPr>
              <w:t>Цілі проєкту:</w:t>
            </w:r>
          </w:p>
        </w:tc>
        <w:tc>
          <w:tcPr>
            <w:tcW w:w="6794" w:type="dxa"/>
            <w:gridSpan w:val="5"/>
          </w:tcPr>
          <w:p w14:paraId="7553EB60" w14:textId="77777777" w:rsidR="00D1052A" w:rsidRPr="0019790A" w:rsidRDefault="00D1052A" w:rsidP="0019790A">
            <w:pPr>
              <w:jc w:val="both"/>
              <w:rPr>
                <w:rFonts w:cs="Arial"/>
                <w:szCs w:val="22"/>
              </w:rPr>
            </w:pPr>
            <w:r w:rsidRPr="0019790A">
              <w:rPr>
                <w:rFonts w:cs="Arial"/>
                <w:szCs w:val="22"/>
              </w:rPr>
              <w:t>- удосконалення системи організації харчування в закладі освіти;</w:t>
            </w:r>
          </w:p>
          <w:p w14:paraId="2F79BF02" w14:textId="77777777" w:rsidR="00D1052A" w:rsidRPr="0019790A" w:rsidRDefault="00D1052A" w:rsidP="0019790A">
            <w:pPr>
              <w:jc w:val="both"/>
              <w:rPr>
                <w:rFonts w:cs="Arial"/>
                <w:szCs w:val="22"/>
              </w:rPr>
            </w:pPr>
            <w:r w:rsidRPr="0019790A">
              <w:rPr>
                <w:rFonts w:cs="Arial"/>
                <w:szCs w:val="22"/>
              </w:rPr>
              <w:t>- сформуванти культуру здорового, збалансованого споживання їжі та питної води;</w:t>
            </w:r>
          </w:p>
          <w:p w14:paraId="6CA17063" w14:textId="77777777" w:rsidR="00D1052A" w:rsidRPr="0019790A" w:rsidRDefault="00D1052A" w:rsidP="0019790A">
            <w:pPr>
              <w:jc w:val="both"/>
              <w:rPr>
                <w:rFonts w:cs="Arial"/>
                <w:szCs w:val="22"/>
              </w:rPr>
            </w:pPr>
            <w:r w:rsidRPr="0019790A">
              <w:rPr>
                <w:rFonts w:cs="Arial"/>
                <w:szCs w:val="22"/>
              </w:rPr>
              <w:t>- здійснити якісні зміни в технологічних процесах;</w:t>
            </w:r>
          </w:p>
          <w:p w14:paraId="08617CCE" w14:textId="77777777" w:rsidR="00D1052A" w:rsidRPr="0019790A" w:rsidRDefault="00D1052A" w:rsidP="0019790A">
            <w:pPr>
              <w:jc w:val="both"/>
              <w:rPr>
                <w:rFonts w:cs="Arial"/>
                <w:szCs w:val="22"/>
              </w:rPr>
            </w:pPr>
            <w:r w:rsidRPr="0019790A">
              <w:rPr>
                <w:rFonts w:cs="Arial"/>
                <w:szCs w:val="22"/>
              </w:rPr>
              <w:t xml:space="preserve">- провести модернізацію обладнання для їдальні та харчоблокіу </w:t>
            </w:r>
          </w:p>
        </w:tc>
      </w:tr>
      <w:tr w:rsidR="00D1052A" w:rsidRPr="0019790A" w14:paraId="61DD9C16" w14:textId="77777777" w:rsidTr="00D1052A">
        <w:trPr>
          <w:jc w:val="right"/>
        </w:trPr>
        <w:tc>
          <w:tcPr>
            <w:tcW w:w="3425" w:type="dxa"/>
            <w:vAlign w:val="center"/>
          </w:tcPr>
          <w:p w14:paraId="032DAF0C" w14:textId="77777777" w:rsidR="00D1052A" w:rsidRPr="0019790A" w:rsidRDefault="00D1052A" w:rsidP="0019790A">
            <w:pPr>
              <w:autoSpaceDE w:val="0"/>
              <w:autoSpaceDN w:val="0"/>
              <w:adjustRightInd w:val="0"/>
              <w:rPr>
                <w:rFonts w:cs="Arial"/>
                <w:b/>
                <w:szCs w:val="22"/>
              </w:rPr>
            </w:pPr>
            <w:r w:rsidRPr="0019790A">
              <w:rPr>
                <w:rFonts w:cs="Arial"/>
                <w:b/>
                <w:szCs w:val="22"/>
              </w:rPr>
              <w:t>Територія на яку проєкт матиме вплив:</w:t>
            </w:r>
          </w:p>
        </w:tc>
        <w:tc>
          <w:tcPr>
            <w:tcW w:w="6794" w:type="dxa"/>
            <w:gridSpan w:val="5"/>
          </w:tcPr>
          <w:p w14:paraId="0AA11CE1" w14:textId="77777777" w:rsidR="00D1052A" w:rsidRPr="0019790A" w:rsidRDefault="00D1052A" w:rsidP="0019790A">
            <w:pPr>
              <w:rPr>
                <w:rFonts w:cs="Arial"/>
                <w:szCs w:val="22"/>
                <w:lang w:eastAsia="it-IT"/>
              </w:rPr>
            </w:pPr>
            <w:r w:rsidRPr="0019790A">
              <w:rPr>
                <w:rFonts w:cs="Arial"/>
                <w:szCs w:val="22"/>
                <w:lang w:eastAsia="it-IT"/>
              </w:rPr>
              <w:t xml:space="preserve">Територія обслуговування </w:t>
            </w:r>
            <w:r w:rsidRPr="0019790A">
              <w:rPr>
                <w:rFonts w:cs="Arial"/>
                <w:szCs w:val="22"/>
              </w:rPr>
              <w:t xml:space="preserve"> КЗ «Мартинівський ліцей» Жмеринської міської територіальної громади</w:t>
            </w:r>
          </w:p>
        </w:tc>
      </w:tr>
      <w:tr w:rsidR="00D1052A" w:rsidRPr="0019790A" w14:paraId="1B00A01A" w14:textId="77777777" w:rsidTr="00D1052A">
        <w:trPr>
          <w:jc w:val="right"/>
        </w:trPr>
        <w:tc>
          <w:tcPr>
            <w:tcW w:w="3425" w:type="dxa"/>
            <w:vAlign w:val="center"/>
          </w:tcPr>
          <w:p w14:paraId="0DB9D93E" w14:textId="77777777" w:rsidR="00D1052A" w:rsidRPr="0019790A" w:rsidRDefault="00D1052A" w:rsidP="0019790A">
            <w:pPr>
              <w:autoSpaceDE w:val="0"/>
              <w:autoSpaceDN w:val="0"/>
              <w:adjustRightInd w:val="0"/>
              <w:rPr>
                <w:rFonts w:cs="Arial"/>
                <w:b/>
                <w:szCs w:val="22"/>
              </w:rPr>
            </w:pPr>
            <w:r w:rsidRPr="0019790A">
              <w:rPr>
                <w:rFonts w:cs="Arial"/>
                <w:b/>
                <w:szCs w:val="22"/>
              </w:rPr>
              <w:t>Цільові групи проєкту та кількість отримувачів вигоди</w:t>
            </w:r>
          </w:p>
        </w:tc>
        <w:tc>
          <w:tcPr>
            <w:tcW w:w="6794" w:type="dxa"/>
            <w:gridSpan w:val="5"/>
          </w:tcPr>
          <w:p w14:paraId="2DCFE13D" w14:textId="77777777" w:rsidR="00D1052A" w:rsidRPr="0019790A" w:rsidRDefault="00D1052A" w:rsidP="0019790A">
            <w:pPr>
              <w:pStyle w:val="TableParagraph"/>
              <w:rPr>
                <w:rFonts w:ascii="Arial" w:hAnsi="Arial" w:cs="Arial"/>
              </w:rPr>
            </w:pPr>
            <w:r w:rsidRPr="0019790A">
              <w:rPr>
                <w:rFonts w:ascii="Arial" w:hAnsi="Arial" w:cs="Arial"/>
              </w:rPr>
              <w:t>140 здобувачів освіти, педагоги, батьки,</w:t>
            </w:r>
          </w:p>
        </w:tc>
      </w:tr>
      <w:tr w:rsidR="00D1052A" w:rsidRPr="0019790A" w14:paraId="7C67B8F6" w14:textId="77777777" w:rsidTr="00D1052A">
        <w:trPr>
          <w:jc w:val="right"/>
        </w:trPr>
        <w:tc>
          <w:tcPr>
            <w:tcW w:w="3425" w:type="dxa"/>
            <w:shd w:val="clear" w:color="auto" w:fill="FFFFFF"/>
            <w:vAlign w:val="center"/>
          </w:tcPr>
          <w:p w14:paraId="020ACF1B" w14:textId="77777777" w:rsidR="00D1052A" w:rsidRPr="0019790A" w:rsidRDefault="00D1052A" w:rsidP="0019790A">
            <w:pPr>
              <w:rPr>
                <w:rFonts w:cs="Arial"/>
                <w:b/>
                <w:bCs/>
                <w:szCs w:val="22"/>
              </w:rPr>
            </w:pPr>
            <w:r w:rsidRPr="0019790A">
              <w:rPr>
                <w:rFonts w:cs="Arial"/>
                <w:b/>
                <w:bCs/>
                <w:szCs w:val="22"/>
              </w:rPr>
              <w:t>Стислий опис проєкту:</w:t>
            </w:r>
          </w:p>
        </w:tc>
        <w:tc>
          <w:tcPr>
            <w:tcW w:w="6794" w:type="dxa"/>
            <w:gridSpan w:val="5"/>
          </w:tcPr>
          <w:p w14:paraId="73B7E11F" w14:textId="77777777" w:rsidR="00D1052A" w:rsidRPr="0019790A" w:rsidRDefault="00D1052A" w:rsidP="0019790A">
            <w:pPr>
              <w:jc w:val="both"/>
              <w:rPr>
                <w:rFonts w:cs="Arial"/>
                <w:szCs w:val="22"/>
                <w:lang w:eastAsia="uk-UA"/>
              </w:rPr>
            </w:pPr>
            <w:r w:rsidRPr="0019790A">
              <w:rPr>
                <w:rFonts w:cs="Arial"/>
                <w:szCs w:val="22"/>
                <w:lang w:eastAsia="it-IT"/>
              </w:rPr>
              <w:t xml:space="preserve">   </w:t>
            </w:r>
            <w:r w:rsidRPr="0019790A">
              <w:rPr>
                <w:rFonts w:cs="Arial"/>
                <w:szCs w:val="22"/>
                <w:lang w:eastAsia="uk-UA"/>
              </w:rPr>
              <w:t xml:space="preserve">Матеріально-технічне забезпечення їдалень (харчоблоків) закладів освіти має бути сучасним і спроможним забезпечити потреби в здоровому та збалансованому харчуванні дітей, педагогічних працівників, інших учасників освітнього процесу незалежно від їх місця проживання. </w:t>
            </w:r>
          </w:p>
          <w:p w14:paraId="704469CF" w14:textId="77777777" w:rsidR="00D1052A" w:rsidRPr="0019790A" w:rsidRDefault="00D1052A" w:rsidP="0019790A">
            <w:pPr>
              <w:jc w:val="both"/>
              <w:rPr>
                <w:rFonts w:cs="Arial"/>
                <w:szCs w:val="22"/>
              </w:rPr>
            </w:pPr>
            <w:r w:rsidRPr="0019790A">
              <w:rPr>
                <w:rFonts w:eastAsia="Arial" w:cs="Arial"/>
                <w:szCs w:val="22"/>
              </w:rPr>
              <w:t xml:space="preserve">  Реалізація проєкту – це крок до впровадження реформи шкільного харчування в закладі освіти сільської місцевості</w:t>
            </w:r>
            <w:r w:rsidRPr="0019790A">
              <w:rPr>
                <w:rFonts w:cs="Arial"/>
                <w:szCs w:val="22"/>
              </w:rPr>
              <w:t>, створення умов для здорового способу життя</w:t>
            </w:r>
            <w:r w:rsidRPr="0019790A">
              <w:rPr>
                <w:rFonts w:eastAsia="Arial" w:cs="Arial"/>
                <w:szCs w:val="22"/>
              </w:rPr>
              <w:t xml:space="preserve"> та забезпечення доступу до якісної освіти.</w:t>
            </w:r>
          </w:p>
          <w:p w14:paraId="0B9C0B3C" w14:textId="2BB1F369" w:rsidR="00D1052A" w:rsidRPr="0019790A" w:rsidRDefault="00D1052A" w:rsidP="0019790A">
            <w:pPr>
              <w:jc w:val="both"/>
              <w:rPr>
                <w:rFonts w:cs="Arial"/>
                <w:szCs w:val="22"/>
                <w:lang w:eastAsia="it-IT"/>
              </w:rPr>
            </w:pPr>
            <w:r w:rsidRPr="0019790A">
              <w:rPr>
                <w:rFonts w:cs="Arial"/>
                <w:iCs/>
                <w:szCs w:val="22"/>
              </w:rPr>
              <w:t xml:space="preserve">    </w:t>
            </w:r>
            <w:r w:rsidR="00314B9D">
              <w:rPr>
                <w:rFonts w:cs="Arial"/>
                <w:iCs/>
                <w:szCs w:val="22"/>
              </w:rPr>
              <w:t>Проєкт</w:t>
            </w:r>
            <w:r w:rsidRPr="0019790A">
              <w:rPr>
                <w:rFonts w:cs="Arial"/>
                <w:iCs/>
                <w:szCs w:val="22"/>
              </w:rPr>
              <w:t xml:space="preserve"> є соціально значимим та соціально ефективним для всіх учасників освітнього процесу КЗ «Мартинівський ліцей».</w:t>
            </w:r>
          </w:p>
        </w:tc>
      </w:tr>
      <w:tr w:rsidR="00D1052A" w:rsidRPr="0019790A" w14:paraId="0215CC6F" w14:textId="77777777" w:rsidTr="00D1052A">
        <w:trPr>
          <w:jc w:val="right"/>
        </w:trPr>
        <w:tc>
          <w:tcPr>
            <w:tcW w:w="3425" w:type="dxa"/>
            <w:shd w:val="clear" w:color="auto" w:fill="FFFFFF"/>
            <w:vAlign w:val="center"/>
          </w:tcPr>
          <w:p w14:paraId="322FB01A" w14:textId="77777777" w:rsidR="00D1052A" w:rsidRPr="0019790A" w:rsidRDefault="00D1052A" w:rsidP="0019790A">
            <w:pPr>
              <w:rPr>
                <w:rFonts w:cs="Arial"/>
                <w:b/>
                <w:bCs/>
                <w:szCs w:val="22"/>
              </w:rPr>
            </w:pPr>
            <w:r w:rsidRPr="0019790A">
              <w:rPr>
                <w:rFonts w:cs="Arial"/>
                <w:b/>
                <w:bCs/>
                <w:szCs w:val="22"/>
              </w:rPr>
              <w:t>Основні заходи проєкту:</w:t>
            </w:r>
          </w:p>
        </w:tc>
        <w:tc>
          <w:tcPr>
            <w:tcW w:w="6794" w:type="dxa"/>
            <w:gridSpan w:val="5"/>
          </w:tcPr>
          <w:p w14:paraId="6A839D4D" w14:textId="77777777" w:rsidR="00D1052A" w:rsidRPr="0019790A" w:rsidRDefault="00D1052A" w:rsidP="0019790A">
            <w:pPr>
              <w:jc w:val="both"/>
              <w:rPr>
                <w:rFonts w:cs="Arial"/>
                <w:iCs/>
                <w:szCs w:val="22"/>
              </w:rPr>
            </w:pPr>
            <w:r w:rsidRPr="0019790A">
              <w:rPr>
                <w:rFonts w:cs="Arial"/>
                <w:szCs w:val="22"/>
                <w:lang w:eastAsia="it-IT"/>
              </w:rPr>
              <w:t xml:space="preserve">- </w:t>
            </w:r>
            <w:r w:rsidRPr="0019790A">
              <w:rPr>
                <w:rFonts w:cs="Arial"/>
                <w:iCs/>
                <w:szCs w:val="22"/>
              </w:rPr>
              <w:t>проведення тендерних процедур закупівлі робіт.</w:t>
            </w:r>
          </w:p>
          <w:p w14:paraId="5636743B" w14:textId="77777777" w:rsidR="00D1052A" w:rsidRPr="0019790A" w:rsidRDefault="00D1052A" w:rsidP="0019790A">
            <w:pPr>
              <w:jc w:val="both"/>
              <w:rPr>
                <w:rFonts w:cs="Arial"/>
                <w:szCs w:val="22"/>
                <w:lang w:eastAsia="it-IT"/>
              </w:rPr>
            </w:pPr>
            <w:r w:rsidRPr="0019790A">
              <w:rPr>
                <w:rFonts w:cs="Arial"/>
                <w:iCs/>
                <w:szCs w:val="22"/>
              </w:rPr>
              <w:t xml:space="preserve">- проведення ремонтних робіт харчоблоку та їдальні </w:t>
            </w:r>
            <w:r w:rsidRPr="0019790A">
              <w:rPr>
                <w:rFonts w:cs="Arial"/>
                <w:b/>
                <w:szCs w:val="22"/>
              </w:rPr>
              <w:t>КЗ «Мартинівський ліцей»</w:t>
            </w:r>
          </w:p>
        </w:tc>
      </w:tr>
      <w:tr w:rsidR="00D1052A" w:rsidRPr="0019790A" w14:paraId="7536B772" w14:textId="77777777" w:rsidTr="00D1052A">
        <w:trPr>
          <w:jc w:val="right"/>
        </w:trPr>
        <w:tc>
          <w:tcPr>
            <w:tcW w:w="3425" w:type="dxa"/>
            <w:shd w:val="clear" w:color="auto" w:fill="FFFFFF"/>
            <w:vAlign w:val="center"/>
          </w:tcPr>
          <w:p w14:paraId="19507F5D" w14:textId="77777777" w:rsidR="00D1052A" w:rsidRPr="0019790A" w:rsidRDefault="00D1052A" w:rsidP="0019790A">
            <w:pPr>
              <w:rPr>
                <w:rFonts w:cs="Arial"/>
                <w:b/>
                <w:bCs/>
                <w:szCs w:val="22"/>
              </w:rPr>
            </w:pPr>
            <w:r w:rsidRPr="0019790A">
              <w:rPr>
                <w:rFonts w:cs="Arial"/>
                <w:b/>
                <w:bCs/>
                <w:szCs w:val="22"/>
              </w:rPr>
              <w:t>Індикатори (показники) результативності:</w:t>
            </w:r>
          </w:p>
        </w:tc>
        <w:tc>
          <w:tcPr>
            <w:tcW w:w="6794" w:type="dxa"/>
            <w:gridSpan w:val="5"/>
          </w:tcPr>
          <w:p w14:paraId="4032DFBD" w14:textId="77777777" w:rsidR="00D1052A" w:rsidRPr="0019790A" w:rsidRDefault="00D1052A" w:rsidP="0019790A">
            <w:pPr>
              <w:widowControl w:val="0"/>
              <w:jc w:val="both"/>
              <w:rPr>
                <w:rFonts w:cs="Arial"/>
                <w:szCs w:val="22"/>
              </w:rPr>
            </w:pPr>
            <w:r w:rsidRPr="0019790A">
              <w:rPr>
                <w:rFonts w:cs="Arial"/>
                <w:szCs w:val="22"/>
              </w:rPr>
              <w:t xml:space="preserve"> Збільшено відсоток дітей (30%), які харчуються в шкільній їдальні.</w:t>
            </w:r>
          </w:p>
          <w:p w14:paraId="7ABE350A" w14:textId="77777777" w:rsidR="00D1052A" w:rsidRPr="0019790A" w:rsidRDefault="00D1052A" w:rsidP="0019790A">
            <w:pPr>
              <w:jc w:val="both"/>
              <w:rPr>
                <w:rFonts w:cs="Arial"/>
                <w:szCs w:val="22"/>
              </w:rPr>
            </w:pPr>
            <w:r w:rsidRPr="0019790A">
              <w:rPr>
                <w:rFonts w:cs="Arial"/>
                <w:szCs w:val="22"/>
              </w:rPr>
              <w:t>- удосконалення системи організації харчування в закладі освіти;</w:t>
            </w:r>
          </w:p>
          <w:p w14:paraId="6E05C999" w14:textId="7EE794CC" w:rsidR="00D1052A" w:rsidRPr="0019790A" w:rsidRDefault="00D1052A" w:rsidP="0019790A">
            <w:pPr>
              <w:jc w:val="both"/>
              <w:rPr>
                <w:rFonts w:cs="Arial"/>
                <w:szCs w:val="22"/>
              </w:rPr>
            </w:pPr>
            <w:r w:rsidRPr="0019790A">
              <w:rPr>
                <w:rFonts w:cs="Arial"/>
                <w:szCs w:val="22"/>
              </w:rPr>
              <w:t xml:space="preserve">- </w:t>
            </w:r>
            <w:r w:rsidR="00CD6B99" w:rsidRPr="0019790A">
              <w:rPr>
                <w:rFonts w:cs="Arial"/>
                <w:szCs w:val="22"/>
              </w:rPr>
              <w:t>сформувати</w:t>
            </w:r>
            <w:r w:rsidRPr="0019790A">
              <w:rPr>
                <w:rFonts w:cs="Arial"/>
                <w:szCs w:val="22"/>
              </w:rPr>
              <w:t xml:space="preserve"> культуру здорового, збалансованого споживання їжі та питної води;</w:t>
            </w:r>
          </w:p>
          <w:p w14:paraId="6F13F448" w14:textId="77777777" w:rsidR="00D1052A" w:rsidRPr="0019790A" w:rsidRDefault="00D1052A" w:rsidP="0019790A">
            <w:pPr>
              <w:jc w:val="both"/>
              <w:rPr>
                <w:rFonts w:cs="Arial"/>
                <w:szCs w:val="22"/>
              </w:rPr>
            </w:pPr>
            <w:r w:rsidRPr="0019790A">
              <w:rPr>
                <w:rFonts w:cs="Arial"/>
                <w:szCs w:val="22"/>
              </w:rPr>
              <w:t>- здійснити якісні зміни в технологічних процесах;</w:t>
            </w:r>
          </w:p>
          <w:p w14:paraId="6B8F582D" w14:textId="1F5E3113" w:rsidR="00D1052A" w:rsidRPr="0019790A" w:rsidRDefault="00D1052A" w:rsidP="0019790A">
            <w:pPr>
              <w:widowControl w:val="0"/>
              <w:jc w:val="both"/>
              <w:rPr>
                <w:rFonts w:cs="Arial"/>
                <w:szCs w:val="22"/>
              </w:rPr>
            </w:pPr>
            <w:r w:rsidRPr="0019790A">
              <w:rPr>
                <w:rFonts w:cs="Arial"/>
                <w:szCs w:val="22"/>
              </w:rPr>
              <w:t xml:space="preserve">- провести модернізацію обладнання для їдальні та </w:t>
            </w:r>
            <w:r w:rsidR="00CD6B99" w:rsidRPr="0019790A">
              <w:rPr>
                <w:rFonts w:cs="Arial"/>
                <w:szCs w:val="22"/>
              </w:rPr>
              <w:t>харчоблоку</w:t>
            </w:r>
          </w:p>
        </w:tc>
      </w:tr>
      <w:tr w:rsidR="00D1052A" w:rsidRPr="0019790A" w14:paraId="06F1008D" w14:textId="77777777" w:rsidTr="00D1052A">
        <w:trPr>
          <w:jc w:val="right"/>
        </w:trPr>
        <w:tc>
          <w:tcPr>
            <w:tcW w:w="3425" w:type="dxa"/>
            <w:shd w:val="clear" w:color="auto" w:fill="FFFFFF"/>
            <w:vAlign w:val="center"/>
          </w:tcPr>
          <w:p w14:paraId="4F288F6B" w14:textId="77777777" w:rsidR="00D1052A" w:rsidRPr="0019790A" w:rsidRDefault="00D1052A" w:rsidP="0019790A">
            <w:pPr>
              <w:rPr>
                <w:rFonts w:cs="Arial"/>
                <w:b/>
                <w:szCs w:val="22"/>
              </w:rPr>
            </w:pPr>
            <w:r w:rsidRPr="0019790A">
              <w:rPr>
                <w:rFonts w:cs="Arial"/>
                <w:b/>
                <w:szCs w:val="22"/>
              </w:rPr>
              <w:t xml:space="preserve">Період здійснення: </w:t>
            </w:r>
          </w:p>
        </w:tc>
        <w:tc>
          <w:tcPr>
            <w:tcW w:w="6794" w:type="dxa"/>
            <w:gridSpan w:val="5"/>
            <w:vAlign w:val="center"/>
          </w:tcPr>
          <w:p w14:paraId="6212D136" w14:textId="77777777" w:rsidR="00D1052A" w:rsidRPr="0019790A" w:rsidRDefault="00D1052A" w:rsidP="0019790A">
            <w:pPr>
              <w:rPr>
                <w:rFonts w:cs="Arial"/>
                <w:szCs w:val="22"/>
                <w:lang w:eastAsia="it-IT"/>
              </w:rPr>
            </w:pPr>
            <w:r w:rsidRPr="0019790A">
              <w:rPr>
                <w:rFonts w:cs="Arial"/>
                <w:b/>
                <w:szCs w:val="22"/>
              </w:rPr>
              <w:t>2025 – 2028 роки:</w:t>
            </w:r>
          </w:p>
        </w:tc>
      </w:tr>
      <w:tr w:rsidR="00D1052A" w:rsidRPr="0019790A" w14:paraId="20B7BFE3" w14:textId="77777777" w:rsidTr="00D1052A">
        <w:trPr>
          <w:jc w:val="right"/>
        </w:trPr>
        <w:tc>
          <w:tcPr>
            <w:tcW w:w="3425" w:type="dxa"/>
            <w:vMerge w:val="restart"/>
            <w:shd w:val="clear" w:color="auto" w:fill="FFFFFF"/>
            <w:vAlign w:val="center"/>
          </w:tcPr>
          <w:p w14:paraId="66AEE555" w14:textId="77777777" w:rsidR="00D1052A" w:rsidRPr="0019790A" w:rsidRDefault="00D1052A" w:rsidP="0019790A">
            <w:pPr>
              <w:rPr>
                <w:rFonts w:cs="Arial"/>
                <w:b/>
                <w:bCs/>
                <w:szCs w:val="22"/>
              </w:rPr>
            </w:pPr>
            <w:r w:rsidRPr="0019790A">
              <w:rPr>
                <w:rFonts w:cs="Arial"/>
                <w:b/>
                <w:bCs/>
                <w:szCs w:val="22"/>
              </w:rPr>
              <w:t>Орієнтовна вартість проєкту, тис. грн., в тому числі:</w:t>
            </w:r>
          </w:p>
        </w:tc>
        <w:tc>
          <w:tcPr>
            <w:tcW w:w="1254" w:type="dxa"/>
            <w:shd w:val="clear" w:color="auto" w:fill="E6E6E6"/>
            <w:vAlign w:val="center"/>
          </w:tcPr>
          <w:p w14:paraId="5EA0CBFD" w14:textId="77777777" w:rsidR="00D1052A" w:rsidRPr="0019790A" w:rsidRDefault="00D1052A" w:rsidP="0019790A">
            <w:pPr>
              <w:jc w:val="center"/>
              <w:rPr>
                <w:rFonts w:cs="Arial"/>
                <w:b/>
                <w:szCs w:val="22"/>
                <w:lang w:eastAsia="it-IT"/>
              </w:rPr>
            </w:pPr>
            <w:r w:rsidRPr="0019790A">
              <w:rPr>
                <w:rFonts w:cs="Arial"/>
                <w:b/>
                <w:szCs w:val="22"/>
                <w:lang w:eastAsia="it-IT"/>
              </w:rPr>
              <w:t>2025</w:t>
            </w:r>
          </w:p>
        </w:tc>
        <w:tc>
          <w:tcPr>
            <w:tcW w:w="1275" w:type="dxa"/>
            <w:shd w:val="clear" w:color="auto" w:fill="E6E6E6"/>
            <w:vAlign w:val="center"/>
          </w:tcPr>
          <w:p w14:paraId="59BE8825" w14:textId="77777777" w:rsidR="00D1052A" w:rsidRPr="0019790A" w:rsidRDefault="00D1052A" w:rsidP="0019790A">
            <w:pPr>
              <w:jc w:val="center"/>
              <w:rPr>
                <w:rFonts w:cs="Arial"/>
                <w:b/>
                <w:szCs w:val="22"/>
                <w:lang w:eastAsia="it-IT"/>
              </w:rPr>
            </w:pPr>
            <w:r w:rsidRPr="0019790A">
              <w:rPr>
                <w:rFonts w:cs="Arial"/>
                <w:b/>
                <w:szCs w:val="22"/>
                <w:lang w:eastAsia="it-IT"/>
              </w:rPr>
              <w:t>2026</w:t>
            </w:r>
          </w:p>
        </w:tc>
        <w:tc>
          <w:tcPr>
            <w:tcW w:w="1418" w:type="dxa"/>
            <w:tcBorders>
              <w:bottom w:val="single" w:sz="4" w:space="0" w:color="auto"/>
            </w:tcBorders>
            <w:shd w:val="clear" w:color="auto" w:fill="E6E6E6"/>
            <w:vAlign w:val="center"/>
          </w:tcPr>
          <w:p w14:paraId="7D79C81B" w14:textId="77777777" w:rsidR="00D1052A" w:rsidRPr="0019790A" w:rsidRDefault="00D1052A" w:rsidP="0019790A">
            <w:pPr>
              <w:jc w:val="center"/>
              <w:rPr>
                <w:rFonts w:cs="Arial"/>
                <w:b/>
                <w:szCs w:val="22"/>
                <w:lang w:eastAsia="it-IT"/>
              </w:rPr>
            </w:pPr>
            <w:r w:rsidRPr="0019790A">
              <w:rPr>
                <w:rFonts w:cs="Arial"/>
                <w:b/>
                <w:szCs w:val="22"/>
                <w:lang w:eastAsia="it-IT"/>
              </w:rPr>
              <w:t>2027</w:t>
            </w:r>
          </w:p>
        </w:tc>
        <w:tc>
          <w:tcPr>
            <w:tcW w:w="1276" w:type="dxa"/>
            <w:shd w:val="clear" w:color="auto" w:fill="E6E6E6"/>
            <w:vAlign w:val="center"/>
          </w:tcPr>
          <w:p w14:paraId="43FEBDC0" w14:textId="77777777" w:rsidR="00D1052A" w:rsidRPr="0019790A" w:rsidRDefault="00D1052A" w:rsidP="0019790A">
            <w:pPr>
              <w:jc w:val="center"/>
              <w:rPr>
                <w:rFonts w:cs="Arial"/>
                <w:b/>
                <w:szCs w:val="22"/>
                <w:lang w:eastAsia="it-IT"/>
              </w:rPr>
            </w:pPr>
            <w:r w:rsidRPr="0019790A">
              <w:rPr>
                <w:rFonts w:cs="Arial"/>
                <w:b/>
                <w:szCs w:val="22"/>
                <w:lang w:eastAsia="it-IT"/>
              </w:rPr>
              <w:t>2028</w:t>
            </w:r>
          </w:p>
        </w:tc>
        <w:tc>
          <w:tcPr>
            <w:tcW w:w="1571" w:type="dxa"/>
            <w:shd w:val="clear" w:color="auto" w:fill="E6E6E6"/>
            <w:vAlign w:val="center"/>
          </w:tcPr>
          <w:p w14:paraId="1EC25807" w14:textId="77777777" w:rsidR="00D1052A" w:rsidRPr="0019790A" w:rsidRDefault="00D1052A" w:rsidP="0019790A">
            <w:pPr>
              <w:jc w:val="center"/>
              <w:rPr>
                <w:rFonts w:cs="Arial"/>
                <w:b/>
                <w:szCs w:val="22"/>
                <w:lang w:eastAsia="it-IT"/>
              </w:rPr>
            </w:pPr>
            <w:r w:rsidRPr="0019790A">
              <w:rPr>
                <w:rFonts w:cs="Arial"/>
                <w:b/>
                <w:szCs w:val="22"/>
                <w:lang w:eastAsia="it-IT"/>
              </w:rPr>
              <w:t>РАЗОМ</w:t>
            </w:r>
          </w:p>
        </w:tc>
      </w:tr>
      <w:tr w:rsidR="00D1052A" w:rsidRPr="0019790A" w14:paraId="53BC9D9D" w14:textId="77777777" w:rsidTr="00D1052A">
        <w:trPr>
          <w:jc w:val="right"/>
        </w:trPr>
        <w:tc>
          <w:tcPr>
            <w:tcW w:w="3425" w:type="dxa"/>
            <w:vMerge/>
            <w:shd w:val="clear" w:color="auto" w:fill="FFFFFF"/>
            <w:vAlign w:val="center"/>
          </w:tcPr>
          <w:p w14:paraId="44493BE9" w14:textId="77777777" w:rsidR="00D1052A" w:rsidRPr="0019790A" w:rsidRDefault="00D1052A" w:rsidP="0019790A">
            <w:pPr>
              <w:rPr>
                <w:rFonts w:cs="Arial"/>
                <w:b/>
                <w:bCs/>
                <w:szCs w:val="22"/>
              </w:rPr>
            </w:pPr>
          </w:p>
        </w:tc>
        <w:tc>
          <w:tcPr>
            <w:tcW w:w="1254" w:type="dxa"/>
            <w:vAlign w:val="center"/>
          </w:tcPr>
          <w:p w14:paraId="488C2852" w14:textId="77777777" w:rsidR="00D1052A" w:rsidRPr="0019790A" w:rsidRDefault="00D1052A" w:rsidP="0019790A">
            <w:pPr>
              <w:jc w:val="center"/>
              <w:rPr>
                <w:rFonts w:cs="Arial"/>
                <w:b/>
                <w:szCs w:val="22"/>
                <w:lang w:eastAsia="it-IT"/>
              </w:rPr>
            </w:pPr>
            <w:r w:rsidRPr="0019790A">
              <w:rPr>
                <w:rFonts w:cs="Arial"/>
                <w:b/>
                <w:szCs w:val="22"/>
                <w:lang w:eastAsia="it-IT"/>
              </w:rPr>
              <w:t>0</w:t>
            </w:r>
          </w:p>
        </w:tc>
        <w:tc>
          <w:tcPr>
            <w:tcW w:w="1275" w:type="dxa"/>
            <w:shd w:val="clear" w:color="auto" w:fill="FFFFFF"/>
            <w:vAlign w:val="center"/>
          </w:tcPr>
          <w:p w14:paraId="43F3A0FD" w14:textId="77777777" w:rsidR="00D1052A" w:rsidRPr="0019790A" w:rsidRDefault="00D1052A" w:rsidP="0019790A">
            <w:pPr>
              <w:jc w:val="center"/>
              <w:rPr>
                <w:rFonts w:cs="Arial"/>
                <w:b/>
                <w:szCs w:val="22"/>
                <w:lang w:eastAsia="it-IT"/>
              </w:rPr>
            </w:pPr>
            <w:r w:rsidRPr="0019790A">
              <w:rPr>
                <w:rFonts w:cs="Arial"/>
                <w:b/>
                <w:szCs w:val="22"/>
                <w:lang w:eastAsia="it-IT"/>
              </w:rPr>
              <w:t xml:space="preserve"> </w:t>
            </w:r>
            <w:r w:rsidRPr="0019790A">
              <w:rPr>
                <w:rFonts w:cs="Arial"/>
                <w:b/>
                <w:szCs w:val="22"/>
              </w:rPr>
              <w:t>4 313,</w:t>
            </w:r>
            <w:r w:rsidRPr="0019790A">
              <w:rPr>
                <w:rFonts w:cs="Arial"/>
                <w:b/>
                <w:szCs w:val="22"/>
                <w:lang w:eastAsia="it-IT"/>
              </w:rPr>
              <w:t>00</w:t>
            </w:r>
          </w:p>
        </w:tc>
        <w:tc>
          <w:tcPr>
            <w:tcW w:w="1418" w:type="dxa"/>
            <w:shd w:val="clear" w:color="auto" w:fill="auto"/>
            <w:vAlign w:val="center"/>
          </w:tcPr>
          <w:p w14:paraId="7473E386" w14:textId="77777777" w:rsidR="00D1052A" w:rsidRPr="0019790A" w:rsidRDefault="00D1052A" w:rsidP="0019790A">
            <w:pPr>
              <w:jc w:val="center"/>
              <w:rPr>
                <w:rFonts w:cs="Arial"/>
                <w:b/>
                <w:szCs w:val="22"/>
                <w:lang w:eastAsia="it-IT"/>
              </w:rPr>
            </w:pPr>
            <w:r w:rsidRPr="0019790A">
              <w:rPr>
                <w:rFonts w:cs="Arial"/>
                <w:b/>
                <w:szCs w:val="22"/>
                <w:lang w:eastAsia="it-IT"/>
              </w:rPr>
              <w:t xml:space="preserve"> 0</w:t>
            </w:r>
          </w:p>
        </w:tc>
        <w:tc>
          <w:tcPr>
            <w:tcW w:w="1276" w:type="dxa"/>
            <w:shd w:val="clear" w:color="auto" w:fill="FFFFFF"/>
            <w:vAlign w:val="center"/>
          </w:tcPr>
          <w:p w14:paraId="1CEC6ED0" w14:textId="77777777" w:rsidR="00D1052A" w:rsidRPr="0019790A" w:rsidRDefault="00D1052A" w:rsidP="0019790A">
            <w:pPr>
              <w:jc w:val="center"/>
              <w:rPr>
                <w:rFonts w:cs="Arial"/>
                <w:b/>
                <w:szCs w:val="22"/>
                <w:lang w:eastAsia="it-IT"/>
              </w:rPr>
            </w:pPr>
            <w:r w:rsidRPr="0019790A">
              <w:rPr>
                <w:rFonts w:cs="Arial"/>
                <w:b/>
                <w:szCs w:val="22"/>
                <w:lang w:eastAsia="it-IT"/>
              </w:rPr>
              <w:t>0</w:t>
            </w:r>
          </w:p>
        </w:tc>
        <w:tc>
          <w:tcPr>
            <w:tcW w:w="1571" w:type="dxa"/>
            <w:shd w:val="clear" w:color="auto" w:fill="FFFFFF"/>
            <w:vAlign w:val="center"/>
          </w:tcPr>
          <w:p w14:paraId="3563E107" w14:textId="77777777" w:rsidR="00D1052A" w:rsidRPr="0019790A" w:rsidRDefault="00D1052A" w:rsidP="0019790A">
            <w:pPr>
              <w:jc w:val="center"/>
              <w:rPr>
                <w:rFonts w:cs="Arial"/>
                <w:b/>
                <w:szCs w:val="22"/>
                <w:lang w:eastAsia="it-IT"/>
              </w:rPr>
            </w:pPr>
            <w:r w:rsidRPr="0019790A">
              <w:rPr>
                <w:rFonts w:cs="Arial"/>
                <w:b/>
                <w:szCs w:val="22"/>
              </w:rPr>
              <w:t>4 313,00</w:t>
            </w:r>
          </w:p>
        </w:tc>
      </w:tr>
      <w:tr w:rsidR="00D1052A" w:rsidRPr="0019790A" w14:paraId="1C52DCE7" w14:textId="77777777" w:rsidTr="00D1052A">
        <w:trPr>
          <w:trHeight w:val="276"/>
          <w:jc w:val="right"/>
        </w:trPr>
        <w:tc>
          <w:tcPr>
            <w:tcW w:w="3425" w:type="dxa"/>
            <w:shd w:val="clear" w:color="auto" w:fill="FFFFFF"/>
            <w:vAlign w:val="center"/>
          </w:tcPr>
          <w:p w14:paraId="05F7623C" w14:textId="77777777" w:rsidR="00D1052A" w:rsidRPr="0019790A" w:rsidRDefault="00D1052A" w:rsidP="0019790A">
            <w:pPr>
              <w:rPr>
                <w:rFonts w:cs="Arial"/>
                <w:b/>
                <w:bCs/>
                <w:szCs w:val="22"/>
              </w:rPr>
            </w:pPr>
            <w:r w:rsidRPr="0019790A">
              <w:rPr>
                <w:rFonts w:cs="Arial"/>
                <w:b/>
                <w:bCs/>
                <w:szCs w:val="22"/>
              </w:rPr>
              <w:t>по джерелах фінансування:</w:t>
            </w:r>
          </w:p>
        </w:tc>
        <w:tc>
          <w:tcPr>
            <w:tcW w:w="6794" w:type="dxa"/>
            <w:gridSpan w:val="5"/>
            <w:vAlign w:val="center"/>
          </w:tcPr>
          <w:p w14:paraId="7E80553C" w14:textId="77777777" w:rsidR="00D1052A" w:rsidRPr="0019790A" w:rsidRDefault="00D1052A" w:rsidP="0019790A">
            <w:pPr>
              <w:jc w:val="both"/>
              <w:rPr>
                <w:rFonts w:cs="Arial"/>
                <w:szCs w:val="22"/>
                <w:lang w:eastAsia="it-IT"/>
              </w:rPr>
            </w:pPr>
          </w:p>
        </w:tc>
      </w:tr>
      <w:tr w:rsidR="00D1052A" w:rsidRPr="0019790A" w14:paraId="06A31AEE" w14:textId="77777777" w:rsidTr="00D1052A">
        <w:trPr>
          <w:trHeight w:val="240"/>
          <w:jc w:val="right"/>
        </w:trPr>
        <w:tc>
          <w:tcPr>
            <w:tcW w:w="3425" w:type="dxa"/>
            <w:shd w:val="clear" w:color="auto" w:fill="FFFFFF"/>
            <w:vAlign w:val="center"/>
          </w:tcPr>
          <w:p w14:paraId="31F1585E" w14:textId="77777777" w:rsidR="00D1052A" w:rsidRPr="0019790A" w:rsidRDefault="00D1052A" w:rsidP="0019790A">
            <w:pPr>
              <w:rPr>
                <w:rFonts w:cs="Arial"/>
                <w:b/>
                <w:bCs/>
                <w:szCs w:val="22"/>
              </w:rPr>
            </w:pPr>
            <w:r w:rsidRPr="0019790A">
              <w:rPr>
                <w:rFonts w:cs="Arial"/>
                <w:szCs w:val="22"/>
              </w:rPr>
              <w:t>- державний бюджет</w:t>
            </w:r>
          </w:p>
        </w:tc>
        <w:tc>
          <w:tcPr>
            <w:tcW w:w="1254" w:type="dxa"/>
            <w:vAlign w:val="center"/>
          </w:tcPr>
          <w:p w14:paraId="12D7EECF" w14:textId="77777777" w:rsidR="00D1052A" w:rsidRPr="0019790A" w:rsidRDefault="00D1052A" w:rsidP="0019790A">
            <w:pPr>
              <w:jc w:val="both"/>
              <w:rPr>
                <w:rFonts w:cs="Arial"/>
                <w:szCs w:val="22"/>
                <w:lang w:eastAsia="it-IT"/>
              </w:rPr>
            </w:pPr>
          </w:p>
        </w:tc>
        <w:tc>
          <w:tcPr>
            <w:tcW w:w="1275" w:type="dxa"/>
            <w:vAlign w:val="center"/>
          </w:tcPr>
          <w:p w14:paraId="00F13AD1" w14:textId="77777777" w:rsidR="00D1052A" w:rsidRPr="0019790A" w:rsidRDefault="00D1052A" w:rsidP="00CD6B99">
            <w:pPr>
              <w:jc w:val="center"/>
              <w:rPr>
                <w:rFonts w:cs="Arial"/>
                <w:szCs w:val="22"/>
                <w:lang w:eastAsia="it-IT"/>
              </w:rPr>
            </w:pPr>
            <w:r w:rsidRPr="0019790A">
              <w:rPr>
                <w:rFonts w:cs="Arial"/>
                <w:szCs w:val="22"/>
                <w:lang w:eastAsia="it-IT"/>
              </w:rPr>
              <w:t>3450,4</w:t>
            </w:r>
          </w:p>
        </w:tc>
        <w:tc>
          <w:tcPr>
            <w:tcW w:w="1418" w:type="dxa"/>
            <w:vAlign w:val="center"/>
          </w:tcPr>
          <w:p w14:paraId="416A1F92" w14:textId="77777777" w:rsidR="00D1052A" w:rsidRPr="0019790A" w:rsidRDefault="00D1052A" w:rsidP="00CD6B99">
            <w:pPr>
              <w:jc w:val="center"/>
              <w:rPr>
                <w:rFonts w:cs="Arial"/>
                <w:szCs w:val="22"/>
                <w:lang w:eastAsia="it-IT"/>
              </w:rPr>
            </w:pPr>
          </w:p>
        </w:tc>
        <w:tc>
          <w:tcPr>
            <w:tcW w:w="1276" w:type="dxa"/>
            <w:vAlign w:val="center"/>
          </w:tcPr>
          <w:p w14:paraId="1F49EDFF" w14:textId="77777777" w:rsidR="00D1052A" w:rsidRPr="0019790A" w:rsidRDefault="00D1052A" w:rsidP="00CD6B99">
            <w:pPr>
              <w:jc w:val="center"/>
              <w:rPr>
                <w:rFonts w:cs="Arial"/>
                <w:szCs w:val="22"/>
                <w:lang w:eastAsia="it-IT"/>
              </w:rPr>
            </w:pPr>
          </w:p>
        </w:tc>
        <w:tc>
          <w:tcPr>
            <w:tcW w:w="1571" w:type="dxa"/>
            <w:vAlign w:val="center"/>
          </w:tcPr>
          <w:p w14:paraId="723C194A" w14:textId="77777777" w:rsidR="00D1052A" w:rsidRPr="00CD6B99" w:rsidRDefault="00D1052A" w:rsidP="00CD6B99">
            <w:pPr>
              <w:jc w:val="center"/>
              <w:rPr>
                <w:rFonts w:cs="Arial"/>
                <w:b/>
                <w:szCs w:val="22"/>
                <w:lang w:eastAsia="it-IT"/>
              </w:rPr>
            </w:pPr>
            <w:r w:rsidRPr="00CD6B99">
              <w:rPr>
                <w:rFonts w:cs="Arial"/>
                <w:b/>
                <w:szCs w:val="22"/>
                <w:lang w:eastAsia="it-IT"/>
              </w:rPr>
              <w:t>3450,40</w:t>
            </w:r>
          </w:p>
        </w:tc>
      </w:tr>
      <w:tr w:rsidR="00D1052A" w:rsidRPr="0019790A" w14:paraId="39395D61" w14:textId="77777777" w:rsidTr="00D1052A">
        <w:trPr>
          <w:trHeight w:val="254"/>
          <w:jc w:val="right"/>
        </w:trPr>
        <w:tc>
          <w:tcPr>
            <w:tcW w:w="3425" w:type="dxa"/>
            <w:shd w:val="clear" w:color="auto" w:fill="FFFFFF"/>
            <w:vAlign w:val="center"/>
          </w:tcPr>
          <w:p w14:paraId="3A4CD76E" w14:textId="77777777" w:rsidR="00D1052A" w:rsidRPr="0019790A" w:rsidRDefault="00D1052A" w:rsidP="0019790A">
            <w:pPr>
              <w:rPr>
                <w:rFonts w:cs="Arial"/>
                <w:szCs w:val="22"/>
              </w:rPr>
            </w:pPr>
            <w:r w:rsidRPr="0019790A">
              <w:rPr>
                <w:rFonts w:cs="Arial"/>
                <w:szCs w:val="22"/>
              </w:rPr>
              <w:t>- обласний бюджет</w:t>
            </w:r>
          </w:p>
        </w:tc>
        <w:tc>
          <w:tcPr>
            <w:tcW w:w="6794" w:type="dxa"/>
            <w:gridSpan w:val="5"/>
            <w:vAlign w:val="center"/>
          </w:tcPr>
          <w:p w14:paraId="30F16EEE" w14:textId="77777777" w:rsidR="00D1052A" w:rsidRPr="00CD6B99" w:rsidRDefault="00D1052A" w:rsidP="00CD6B99">
            <w:pPr>
              <w:jc w:val="center"/>
              <w:rPr>
                <w:rFonts w:cs="Arial"/>
                <w:b/>
                <w:szCs w:val="22"/>
                <w:lang w:eastAsia="it-IT"/>
              </w:rPr>
            </w:pPr>
          </w:p>
        </w:tc>
      </w:tr>
      <w:tr w:rsidR="00D1052A" w:rsidRPr="0019790A" w14:paraId="16423C68" w14:textId="77777777" w:rsidTr="00D1052A">
        <w:trPr>
          <w:trHeight w:val="275"/>
          <w:jc w:val="right"/>
        </w:trPr>
        <w:tc>
          <w:tcPr>
            <w:tcW w:w="3425" w:type="dxa"/>
            <w:shd w:val="clear" w:color="auto" w:fill="FFFFFF"/>
            <w:vAlign w:val="center"/>
          </w:tcPr>
          <w:p w14:paraId="68C01F90" w14:textId="77777777" w:rsidR="00D1052A" w:rsidRPr="0019790A" w:rsidRDefault="00D1052A" w:rsidP="0019790A">
            <w:pPr>
              <w:rPr>
                <w:rFonts w:cs="Arial"/>
                <w:szCs w:val="22"/>
              </w:rPr>
            </w:pPr>
            <w:r w:rsidRPr="0019790A">
              <w:rPr>
                <w:rFonts w:cs="Arial"/>
                <w:szCs w:val="22"/>
              </w:rPr>
              <w:t>- бюджет Жмеринської МТГ</w:t>
            </w:r>
          </w:p>
        </w:tc>
        <w:tc>
          <w:tcPr>
            <w:tcW w:w="1254" w:type="dxa"/>
            <w:vAlign w:val="center"/>
          </w:tcPr>
          <w:p w14:paraId="2D87C289" w14:textId="77777777" w:rsidR="00D1052A" w:rsidRPr="0019790A" w:rsidRDefault="00D1052A" w:rsidP="0019790A">
            <w:pPr>
              <w:jc w:val="both"/>
              <w:rPr>
                <w:rFonts w:cs="Arial"/>
                <w:szCs w:val="22"/>
                <w:lang w:eastAsia="it-IT"/>
              </w:rPr>
            </w:pPr>
          </w:p>
        </w:tc>
        <w:tc>
          <w:tcPr>
            <w:tcW w:w="1275" w:type="dxa"/>
            <w:vAlign w:val="center"/>
          </w:tcPr>
          <w:p w14:paraId="4C3ED8D6" w14:textId="77777777" w:rsidR="00D1052A" w:rsidRPr="0019790A" w:rsidRDefault="00D1052A" w:rsidP="00CD6B99">
            <w:pPr>
              <w:jc w:val="center"/>
              <w:rPr>
                <w:rFonts w:cs="Arial"/>
                <w:szCs w:val="22"/>
                <w:lang w:eastAsia="it-IT"/>
              </w:rPr>
            </w:pPr>
            <w:r w:rsidRPr="0019790A">
              <w:rPr>
                <w:rFonts w:cs="Arial"/>
                <w:szCs w:val="22"/>
                <w:lang w:eastAsia="it-IT"/>
              </w:rPr>
              <w:t>862,6</w:t>
            </w:r>
          </w:p>
        </w:tc>
        <w:tc>
          <w:tcPr>
            <w:tcW w:w="1418" w:type="dxa"/>
            <w:vAlign w:val="center"/>
          </w:tcPr>
          <w:p w14:paraId="22116622" w14:textId="77777777" w:rsidR="00D1052A" w:rsidRPr="0019790A" w:rsidRDefault="00D1052A" w:rsidP="00CD6B99">
            <w:pPr>
              <w:jc w:val="center"/>
              <w:rPr>
                <w:rFonts w:cs="Arial"/>
                <w:szCs w:val="22"/>
                <w:lang w:eastAsia="it-IT"/>
              </w:rPr>
            </w:pPr>
          </w:p>
        </w:tc>
        <w:tc>
          <w:tcPr>
            <w:tcW w:w="1276" w:type="dxa"/>
            <w:vAlign w:val="center"/>
          </w:tcPr>
          <w:p w14:paraId="1087D868" w14:textId="77777777" w:rsidR="00D1052A" w:rsidRPr="0019790A" w:rsidRDefault="00D1052A" w:rsidP="00CD6B99">
            <w:pPr>
              <w:jc w:val="center"/>
              <w:rPr>
                <w:rFonts w:cs="Arial"/>
                <w:szCs w:val="22"/>
                <w:lang w:eastAsia="it-IT"/>
              </w:rPr>
            </w:pPr>
          </w:p>
        </w:tc>
        <w:tc>
          <w:tcPr>
            <w:tcW w:w="1571" w:type="dxa"/>
            <w:vAlign w:val="center"/>
          </w:tcPr>
          <w:p w14:paraId="4685CE25" w14:textId="77777777" w:rsidR="00D1052A" w:rsidRPr="00CD6B99" w:rsidRDefault="00D1052A" w:rsidP="00CD6B99">
            <w:pPr>
              <w:jc w:val="center"/>
              <w:rPr>
                <w:rFonts w:cs="Arial"/>
                <w:b/>
                <w:szCs w:val="22"/>
                <w:lang w:eastAsia="it-IT"/>
              </w:rPr>
            </w:pPr>
            <w:r w:rsidRPr="00CD6B99">
              <w:rPr>
                <w:rFonts w:cs="Arial"/>
                <w:b/>
                <w:szCs w:val="22"/>
                <w:lang w:eastAsia="it-IT"/>
              </w:rPr>
              <w:t>862,60</w:t>
            </w:r>
          </w:p>
        </w:tc>
      </w:tr>
      <w:tr w:rsidR="00D1052A" w:rsidRPr="0019790A" w14:paraId="7199570C" w14:textId="77777777" w:rsidTr="00D1052A">
        <w:trPr>
          <w:trHeight w:val="226"/>
          <w:jc w:val="right"/>
        </w:trPr>
        <w:tc>
          <w:tcPr>
            <w:tcW w:w="3425" w:type="dxa"/>
            <w:shd w:val="clear" w:color="auto" w:fill="FFFFFF"/>
            <w:vAlign w:val="center"/>
          </w:tcPr>
          <w:p w14:paraId="061428E4" w14:textId="77777777" w:rsidR="00D1052A" w:rsidRPr="0019790A" w:rsidRDefault="00D1052A" w:rsidP="0019790A">
            <w:pPr>
              <w:rPr>
                <w:rFonts w:cs="Arial"/>
                <w:szCs w:val="22"/>
              </w:rPr>
            </w:pPr>
            <w:r w:rsidRPr="0019790A">
              <w:rPr>
                <w:rFonts w:cs="Arial"/>
                <w:szCs w:val="22"/>
              </w:rPr>
              <w:t>- інші джерела фінансування</w:t>
            </w:r>
          </w:p>
        </w:tc>
        <w:tc>
          <w:tcPr>
            <w:tcW w:w="6794" w:type="dxa"/>
            <w:gridSpan w:val="5"/>
            <w:vAlign w:val="center"/>
          </w:tcPr>
          <w:p w14:paraId="4E7174C4" w14:textId="77777777" w:rsidR="00D1052A" w:rsidRPr="0019790A" w:rsidRDefault="00D1052A" w:rsidP="0019790A">
            <w:pPr>
              <w:jc w:val="both"/>
              <w:rPr>
                <w:rFonts w:cs="Arial"/>
                <w:szCs w:val="22"/>
                <w:lang w:eastAsia="it-IT"/>
              </w:rPr>
            </w:pPr>
          </w:p>
        </w:tc>
      </w:tr>
      <w:tr w:rsidR="00D1052A" w:rsidRPr="0019790A" w14:paraId="0B1A5457" w14:textId="77777777" w:rsidTr="00D1052A">
        <w:trPr>
          <w:jc w:val="right"/>
        </w:trPr>
        <w:tc>
          <w:tcPr>
            <w:tcW w:w="3425" w:type="dxa"/>
            <w:shd w:val="clear" w:color="auto" w:fill="FFFFFF"/>
            <w:vAlign w:val="center"/>
          </w:tcPr>
          <w:p w14:paraId="22AD4B04" w14:textId="77777777" w:rsidR="00D1052A" w:rsidRPr="0019790A" w:rsidRDefault="00D1052A" w:rsidP="0019790A">
            <w:pPr>
              <w:rPr>
                <w:rFonts w:cs="Arial"/>
                <w:b/>
                <w:bCs/>
                <w:szCs w:val="22"/>
              </w:rPr>
            </w:pPr>
            <w:r w:rsidRPr="0019790A">
              <w:rPr>
                <w:rFonts w:cs="Arial"/>
                <w:b/>
                <w:szCs w:val="22"/>
              </w:rPr>
              <w:t>Відповідальний виконавець проєкту:</w:t>
            </w:r>
          </w:p>
        </w:tc>
        <w:tc>
          <w:tcPr>
            <w:tcW w:w="6794" w:type="dxa"/>
            <w:gridSpan w:val="5"/>
            <w:vAlign w:val="center"/>
          </w:tcPr>
          <w:p w14:paraId="6D23A268" w14:textId="77777777" w:rsidR="00D1052A" w:rsidRPr="0019790A" w:rsidRDefault="00D1052A" w:rsidP="0019790A">
            <w:pPr>
              <w:jc w:val="both"/>
              <w:rPr>
                <w:rFonts w:cs="Arial"/>
                <w:szCs w:val="22"/>
                <w:lang w:eastAsia="it-IT"/>
              </w:rPr>
            </w:pPr>
            <w:r w:rsidRPr="0019790A">
              <w:rPr>
                <w:rFonts w:cs="Arial"/>
                <w:szCs w:val="22"/>
                <w:lang w:eastAsia="it-IT"/>
              </w:rPr>
              <w:t>Управління ЖКГ Жмеринської міської ради, Управління освіти Жмеринської міської ради</w:t>
            </w:r>
          </w:p>
        </w:tc>
      </w:tr>
      <w:tr w:rsidR="00D1052A" w:rsidRPr="0019790A" w14:paraId="6A3A50AD" w14:textId="77777777" w:rsidTr="00D1052A">
        <w:trPr>
          <w:jc w:val="right"/>
        </w:trPr>
        <w:tc>
          <w:tcPr>
            <w:tcW w:w="3425" w:type="dxa"/>
            <w:shd w:val="clear" w:color="auto" w:fill="FFFFFF"/>
            <w:vAlign w:val="center"/>
          </w:tcPr>
          <w:p w14:paraId="0C223818" w14:textId="77777777" w:rsidR="00D1052A" w:rsidRPr="0019790A" w:rsidRDefault="00D1052A" w:rsidP="0019790A">
            <w:pPr>
              <w:rPr>
                <w:rFonts w:cs="Arial"/>
                <w:b/>
                <w:bCs/>
                <w:szCs w:val="22"/>
              </w:rPr>
            </w:pPr>
            <w:r w:rsidRPr="0019790A">
              <w:rPr>
                <w:rFonts w:cs="Arial"/>
                <w:b/>
                <w:bCs/>
                <w:szCs w:val="22"/>
              </w:rPr>
              <w:t>Інше:</w:t>
            </w:r>
          </w:p>
        </w:tc>
        <w:tc>
          <w:tcPr>
            <w:tcW w:w="6794" w:type="dxa"/>
            <w:gridSpan w:val="5"/>
            <w:vAlign w:val="center"/>
          </w:tcPr>
          <w:p w14:paraId="6D6F847B" w14:textId="77777777" w:rsidR="00D1052A" w:rsidRPr="0019790A" w:rsidRDefault="00D1052A" w:rsidP="0019790A">
            <w:pPr>
              <w:rPr>
                <w:rFonts w:cs="Arial"/>
                <w:szCs w:val="22"/>
                <w:lang w:eastAsia="it-IT"/>
              </w:rPr>
            </w:pPr>
          </w:p>
        </w:tc>
      </w:tr>
    </w:tbl>
    <w:p w14:paraId="5A35EF90" w14:textId="77777777" w:rsidR="00D1052A" w:rsidRPr="0019790A" w:rsidRDefault="00D1052A" w:rsidP="0019790A">
      <w:pPr>
        <w:rPr>
          <w:rFonts w:cs="Arial"/>
          <w:szCs w:val="22"/>
        </w:rPr>
      </w:pPr>
    </w:p>
    <w:p w14:paraId="623444AC" w14:textId="77777777" w:rsidR="00D1052A" w:rsidRPr="0019790A" w:rsidRDefault="00D1052A" w:rsidP="0019790A">
      <w:pPr>
        <w:rPr>
          <w:rFonts w:cs="Arial"/>
          <w:szCs w:val="22"/>
        </w:rPr>
      </w:pPr>
    </w:p>
    <w:p w14:paraId="4E8FD684" w14:textId="77777777" w:rsidR="00D1052A" w:rsidRPr="0019790A" w:rsidRDefault="00D1052A" w:rsidP="0019790A">
      <w:pPr>
        <w:jc w:val="center"/>
        <w:rPr>
          <w:rFonts w:cs="Arial"/>
          <w:b/>
          <w:szCs w:val="22"/>
        </w:rPr>
      </w:pPr>
      <w:r w:rsidRPr="0019790A">
        <w:rPr>
          <w:rFonts w:cs="Arial"/>
          <w:b/>
          <w:color w:val="000000"/>
          <w:szCs w:val="22"/>
        </w:rPr>
        <w:t>Форма технічн</w:t>
      </w:r>
      <w:r w:rsidRPr="0019790A">
        <w:rPr>
          <w:rFonts w:cs="Arial"/>
          <w:b/>
          <w:szCs w:val="22"/>
        </w:rPr>
        <w:t xml:space="preserve">ого завдання на проєкт місцевого розвитку </w:t>
      </w:r>
    </w:p>
    <w:p w14:paraId="7F25614A" w14:textId="77777777" w:rsidR="00D1052A" w:rsidRPr="0019790A" w:rsidRDefault="00D1052A" w:rsidP="0019790A">
      <w:pPr>
        <w:jc w:val="center"/>
        <w:rPr>
          <w:rFonts w:cs="Arial"/>
          <w:b/>
          <w:szCs w:val="22"/>
        </w:rPr>
      </w:pPr>
      <w:r w:rsidRPr="0019790A">
        <w:rPr>
          <w:rFonts w:cs="Arial"/>
          <w:b/>
          <w:szCs w:val="22"/>
        </w:rPr>
        <w:t>до Плану заходів з реалізації Стратегії</w:t>
      </w:r>
    </w:p>
    <w:p w14:paraId="58123DD5" w14:textId="77777777" w:rsidR="00D1052A" w:rsidRPr="0019790A" w:rsidRDefault="00D1052A"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1275"/>
        <w:gridCol w:w="1418"/>
        <w:gridCol w:w="1276"/>
        <w:gridCol w:w="1571"/>
      </w:tblGrid>
      <w:tr w:rsidR="00D1052A" w:rsidRPr="0019790A" w14:paraId="3F5FD797" w14:textId="77777777" w:rsidTr="00D1052A">
        <w:trPr>
          <w:jc w:val="right"/>
        </w:trPr>
        <w:tc>
          <w:tcPr>
            <w:tcW w:w="3425" w:type="dxa"/>
            <w:vAlign w:val="center"/>
          </w:tcPr>
          <w:p w14:paraId="4EDAE839" w14:textId="77777777" w:rsidR="00D1052A" w:rsidRPr="0019790A" w:rsidRDefault="00D1052A" w:rsidP="0019790A">
            <w:pPr>
              <w:rPr>
                <w:rFonts w:cs="Arial"/>
                <w:b/>
                <w:bCs/>
                <w:szCs w:val="22"/>
              </w:rPr>
            </w:pPr>
            <w:r w:rsidRPr="0019790A">
              <w:rPr>
                <w:rFonts w:cs="Arial"/>
                <w:b/>
                <w:bCs/>
                <w:szCs w:val="22"/>
              </w:rPr>
              <w:t>Назва проєкту:</w:t>
            </w:r>
          </w:p>
        </w:tc>
        <w:tc>
          <w:tcPr>
            <w:tcW w:w="6794" w:type="dxa"/>
            <w:gridSpan w:val="5"/>
          </w:tcPr>
          <w:p w14:paraId="3F0BB65D" w14:textId="77777777" w:rsidR="00D1052A" w:rsidRPr="0019790A" w:rsidRDefault="00D1052A" w:rsidP="0019790A">
            <w:pPr>
              <w:rPr>
                <w:rFonts w:cs="Arial"/>
                <w:szCs w:val="22"/>
                <w:lang w:eastAsia="it-IT"/>
              </w:rPr>
            </w:pPr>
            <w:r w:rsidRPr="0019790A">
              <w:rPr>
                <w:rFonts w:cs="Arial"/>
                <w:b/>
                <w:szCs w:val="22"/>
                <w:lang w:eastAsia="it-IT"/>
              </w:rPr>
              <w:t xml:space="preserve"> </w:t>
            </w:r>
            <w:r w:rsidRPr="0019790A">
              <w:rPr>
                <w:rFonts w:cs="Arial"/>
                <w:b/>
                <w:szCs w:val="22"/>
              </w:rPr>
              <w:t>Капітальний ремонт харчоблоку ЗДО №2 «Калинка»</w:t>
            </w:r>
          </w:p>
        </w:tc>
      </w:tr>
      <w:tr w:rsidR="00D1052A" w:rsidRPr="0019790A" w14:paraId="2D5DBF5C" w14:textId="77777777" w:rsidTr="00D1052A">
        <w:trPr>
          <w:jc w:val="right"/>
        </w:trPr>
        <w:tc>
          <w:tcPr>
            <w:tcW w:w="3425" w:type="dxa"/>
          </w:tcPr>
          <w:p w14:paraId="5ADE9279" w14:textId="77777777" w:rsidR="00D1052A" w:rsidRPr="0019790A" w:rsidRDefault="00D1052A"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27A604E6" w14:textId="77777777" w:rsidR="00D1052A" w:rsidRPr="0019790A" w:rsidRDefault="00D1052A"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5"/>
          </w:tcPr>
          <w:p w14:paraId="2716B656" w14:textId="77777777" w:rsidR="00D1052A" w:rsidRPr="0019790A" w:rsidRDefault="00D1052A" w:rsidP="0019790A">
            <w:pPr>
              <w:rPr>
                <w:rFonts w:cs="Arial"/>
                <w:szCs w:val="22"/>
                <w:lang w:eastAsia="it-IT"/>
              </w:rPr>
            </w:pPr>
            <w:r w:rsidRPr="0019790A">
              <w:rPr>
                <w:rFonts w:cs="Arial"/>
                <w:szCs w:val="22"/>
                <w:lang w:eastAsia="it-IT"/>
              </w:rPr>
              <w:t xml:space="preserve"> Управління освіти Жмеринської міської ради</w:t>
            </w:r>
          </w:p>
        </w:tc>
      </w:tr>
      <w:tr w:rsidR="00D1052A" w:rsidRPr="0019790A" w14:paraId="562DFFFD" w14:textId="77777777" w:rsidTr="00D1052A">
        <w:trPr>
          <w:jc w:val="right"/>
        </w:trPr>
        <w:tc>
          <w:tcPr>
            <w:tcW w:w="3425" w:type="dxa"/>
          </w:tcPr>
          <w:p w14:paraId="0082F628" w14:textId="77777777" w:rsidR="00D1052A" w:rsidRPr="0019790A" w:rsidRDefault="00D1052A" w:rsidP="0019790A">
            <w:pPr>
              <w:rPr>
                <w:rFonts w:cs="Arial"/>
                <w:b/>
                <w:bCs/>
                <w:szCs w:val="22"/>
              </w:rPr>
            </w:pPr>
            <w:r w:rsidRPr="0019790A">
              <w:rPr>
                <w:rFonts w:cs="Arial"/>
                <w:szCs w:val="22"/>
                <w:lang w:eastAsia="it-IT"/>
              </w:rPr>
              <w:t>Прізвище Ім’я по-батькові:</w:t>
            </w:r>
          </w:p>
        </w:tc>
        <w:tc>
          <w:tcPr>
            <w:tcW w:w="6794" w:type="dxa"/>
            <w:gridSpan w:val="5"/>
          </w:tcPr>
          <w:p w14:paraId="3B2A05D1" w14:textId="77777777" w:rsidR="00D1052A" w:rsidRPr="0019790A" w:rsidRDefault="00D1052A" w:rsidP="0019790A">
            <w:pPr>
              <w:pStyle w:val="TableParagraph"/>
              <w:ind w:left="0"/>
              <w:rPr>
                <w:rFonts w:ascii="Arial" w:hAnsi="Arial" w:cs="Arial"/>
              </w:rPr>
            </w:pPr>
            <w:r w:rsidRPr="0019790A">
              <w:rPr>
                <w:rFonts w:ascii="Arial" w:hAnsi="Arial" w:cs="Arial"/>
              </w:rPr>
              <w:t>Твердохліб Аліна Петрівна</w:t>
            </w:r>
          </w:p>
        </w:tc>
      </w:tr>
      <w:tr w:rsidR="00D1052A" w:rsidRPr="0019790A" w14:paraId="6DFF0D6B" w14:textId="77777777" w:rsidTr="00D1052A">
        <w:trPr>
          <w:jc w:val="right"/>
        </w:trPr>
        <w:tc>
          <w:tcPr>
            <w:tcW w:w="3425" w:type="dxa"/>
          </w:tcPr>
          <w:p w14:paraId="3DC262C7" w14:textId="77777777" w:rsidR="00D1052A" w:rsidRPr="0019790A" w:rsidRDefault="00D1052A" w:rsidP="0019790A">
            <w:pPr>
              <w:rPr>
                <w:rFonts w:cs="Arial"/>
                <w:b/>
                <w:bCs/>
                <w:szCs w:val="22"/>
              </w:rPr>
            </w:pPr>
            <w:r w:rsidRPr="0019790A">
              <w:rPr>
                <w:rFonts w:cs="Arial"/>
                <w:szCs w:val="22"/>
                <w:lang w:eastAsia="it-IT"/>
              </w:rPr>
              <w:t>Телефон (мобільний):</w:t>
            </w:r>
          </w:p>
        </w:tc>
        <w:tc>
          <w:tcPr>
            <w:tcW w:w="6794" w:type="dxa"/>
            <w:gridSpan w:val="5"/>
          </w:tcPr>
          <w:p w14:paraId="65544C46" w14:textId="77777777" w:rsidR="00D1052A" w:rsidRPr="0019790A" w:rsidRDefault="00D1052A" w:rsidP="0019790A">
            <w:pPr>
              <w:pStyle w:val="TableParagraph"/>
              <w:ind w:left="66"/>
              <w:rPr>
                <w:rFonts w:ascii="Arial" w:hAnsi="Arial" w:cs="Arial"/>
              </w:rPr>
            </w:pPr>
            <w:r w:rsidRPr="0019790A">
              <w:rPr>
                <w:rFonts w:ascii="Arial" w:hAnsi="Arial" w:cs="Arial"/>
                <w:spacing w:val="-2"/>
              </w:rPr>
              <w:t>+380 (67) 895 55 75</w:t>
            </w:r>
          </w:p>
        </w:tc>
      </w:tr>
      <w:tr w:rsidR="00D1052A" w:rsidRPr="0019790A" w14:paraId="67211AA8" w14:textId="77777777" w:rsidTr="00D1052A">
        <w:trPr>
          <w:jc w:val="right"/>
        </w:trPr>
        <w:tc>
          <w:tcPr>
            <w:tcW w:w="3425" w:type="dxa"/>
          </w:tcPr>
          <w:p w14:paraId="6CB2A29A" w14:textId="77777777" w:rsidR="00D1052A" w:rsidRPr="0019790A" w:rsidRDefault="00D1052A" w:rsidP="0019790A">
            <w:pPr>
              <w:rPr>
                <w:rFonts w:cs="Arial"/>
                <w:b/>
                <w:bCs/>
                <w:szCs w:val="22"/>
              </w:rPr>
            </w:pPr>
            <w:r w:rsidRPr="0019790A">
              <w:rPr>
                <w:rFonts w:cs="Arial"/>
                <w:szCs w:val="22"/>
                <w:lang w:eastAsia="it-IT"/>
              </w:rPr>
              <w:t>Електронна адреса:</w:t>
            </w:r>
          </w:p>
        </w:tc>
        <w:tc>
          <w:tcPr>
            <w:tcW w:w="6794" w:type="dxa"/>
            <w:gridSpan w:val="5"/>
          </w:tcPr>
          <w:p w14:paraId="1C14DAF8" w14:textId="77777777" w:rsidR="00D1052A" w:rsidRPr="0019790A" w:rsidRDefault="00D85FFD" w:rsidP="0019790A">
            <w:pPr>
              <w:pStyle w:val="TableParagraph"/>
              <w:ind w:left="66"/>
              <w:rPr>
                <w:rFonts w:ascii="Arial" w:hAnsi="Arial" w:cs="Arial"/>
                <w:b/>
              </w:rPr>
            </w:pPr>
            <w:hyperlink r:id="rId109" w:history="1">
              <w:r w:rsidR="00D1052A" w:rsidRPr="0019790A">
                <w:rPr>
                  <w:rStyle w:val="af0"/>
                  <w:rFonts w:ascii="Arial" w:hAnsi="Arial" w:cs="Arial"/>
                  <w:noProof w:val="0"/>
                  <w:spacing w:val="5"/>
                  <w:sz w:val="22"/>
                  <w:szCs w:val="22"/>
                </w:rPr>
                <w:t>uposv.zmr@gmail.com</w:t>
              </w:r>
            </w:hyperlink>
          </w:p>
        </w:tc>
      </w:tr>
      <w:tr w:rsidR="00D1052A" w:rsidRPr="0019790A" w14:paraId="5FD52573" w14:textId="77777777" w:rsidTr="00D1052A">
        <w:trPr>
          <w:jc w:val="right"/>
        </w:trPr>
        <w:tc>
          <w:tcPr>
            <w:tcW w:w="3425" w:type="dxa"/>
            <w:vAlign w:val="center"/>
          </w:tcPr>
          <w:p w14:paraId="7C089291" w14:textId="77777777" w:rsidR="00D1052A" w:rsidRPr="0019790A" w:rsidRDefault="00D1052A" w:rsidP="0019790A">
            <w:pPr>
              <w:pStyle w:val="6"/>
              <w:spacing w:before="0" w:after="0"/>
              <w:rPr>
                <w:rFonts w:ascii="Arial" w:hAnsi="Arial" w:cs="Arial"/>
                <w:lang w:val="uk-UA"/>
              </w:rPr>
            </w:pPr>
            <w:r w:rsidRPr="0019790A">
              <w:rPr>
                <w:rFonts w:ascii="Arial" w:hAnsi="Arial" w:cs="Arial"/>
                <w:lang w:val="uk-UA"/>
              </w:rPr>
              <w:t>Номер і назва завдання з Стратегії</w:t>
            </w:r>
            <w:r w:rsidRPr="0019790A">
              <w:rPr>
                <w:rFonts w:ascii="Arial" w:hAnsi="Arial" w:cs="Arial"/>
                <w:lang w:val="uk-UA" w:eastAsia="it-IT"/>
              </w:rPr>
              <w:t xml:space="preserve"> </w:t>
            </w:r>
            <w:r w:rsidRPr="0019790A">
              <w:rPr>
                <w:rFonts w:ascii="Arial" w:hAnsi="Arial" w:cs="Arial"/>
                <w:lang w:val="uk-UA"/>
              </w:rPr>
              <w:t>розвитку Жмеринської міської територіальної громади,  якому відповідає проєкт:</w:t>
            </w:r>
          </w:p>
        </w:tc>
        <w:tc>
          <w:tcPr>
            <w:tcW w:w="6794" w:type="dxa"/>
            <w:gridSpan w:val="5"/>
          </w:tcPr>
          <w:p w14:paraId="6FEBC852" w14:textId="77777777" w:rsidR="00D1052A" w:rsidRPr="0019790A" w:rsidRDefault="00D1052A" w:rsidP="0019790A">
            <w:pPr>
              <w:rPr>
                <w:rFonts w:cs="Arial"/>
                <w:szCs w:val="22"/>
              </w:rPr>
            </w:pPr>
            <w:r w:rsidRPr="0019790A">
              <w:rPr>
                <w:rFonts w:cs="Arial"/>
                <w:szCs w:val="22"/>
              </w:rPr>
              <w:t>С.1.2.4. Підвищення рівня санітарної безпеки закладів освіти.</w:t>
            </w:r>
          </w:p>
          <w:p w14:paraId="4370F789" w14:textId="77777777" w:rsidR="00D1052A" w:rsidRPr="0019790A" w:rsidRDefault="00D1052A" w:rsidP="0019790A">
            <w:pPr>
              <w:jc w:val="both"/>
              <w:rPr>
                <w:rFonts w:cs="Arial"/>
                <w:szCs w:val="22"/>
                <w:lang w:eastAsia="it-IT"/>
              </w:rPr>
            </w:pPr>
            <w:r w:rsidRPr="0019790A">
              <w:rPr>
                <w:rFonts w:cs="Arial"/>
                <w:szCs w:val="22"/>
              </w:rPr>
              <w:t>С.1.2.5. Підвищення рівня безпечності та якості організації харчування, створення умов для здорового способу життя.</w:t>
            </w:r>
          </w:p>
        </w:tc>
      </w:tr>
      <w:tr w:rsidR="00D1052A" w:rsidRPr="0019790A" w14:paraId="1D71A293" w14:textId="77777777" w:rsidTr="00D1052A">
        <w:trPr>
          <w:jc w:val="right"/>
        </w:trPr>
        <w:tc>
          <w:tcPr>
            <w:tcW w:w="3425" w:type="dxa"/>
            <w:vAlign w:val="center"/>
          </w:tcPr>
          <w:p w14:paraId="0F0A8F16" w14:textId="77777777" w:rsidR="00D1052A" w:rsidRPr="0019790A" w:rsidRDefault="00D1052A" w:rsidP="0019790A">
            <w:pPr>
              <w:rPr>
                <w:rFonts w:cs="Arial"/>
                <w:b/>
                <w:bCs/>
                <w:szCs w:val="22"/>
              </w:rPr>
            </w:pPr>
            <w:r w:rsidRPr="0019790A">
              <w:rPr>
                <w:rFonts w:cs="Arial"/>
                <w:b/>
                <w:bCs/>
                <w:szCs w:val="22"/>
              </w:rPr>
              <w:t>Мета проєкту:</w:t>
            </w:r>
          </w:p>
        </w:tc>
        <w:tc>
          <w:tcPr>
            <w:tcW w:w="6794" w:type="dxa"/>
            <w:gridSpan w:val="5"/>
          </w:tcPr>
          <w:p w14:paraId="231FFE75" w14:textId="77777777" w:rsidR="00D1052A" w:rsidRPr="0019790A" w:rsidRDefault="00D1052A" w:rsidP="0019790A">
            <w:pPr>
              <w:jc w:val="both"/>
              <w:rPr>
                <w:rFonts w:cs="Arial"/>
                <w:szCs w:val="22"/>
              </w:rPr>
            </w:pPr>
            <w:r w:rsidRPr="0019790A">
              <w:rPr>
                <w:rFonts w:cs="Arial"/>
                <w:szCs w:val="22"/>
              </w:rPr>
              <w:t>Підвищення рівня безпечності та якості організації харчування учнів, створення умов для здорового способу життя.</w:t>
            </w:r>
          </w:p>
        </w:tc>
      </w:tr>
      <w:tr w:rsidR="00D1052A" w:rsidRPr="0019790A" w14:paraId="752E2CF1" w14:textId="77777777" w:rsidTr="00D1052A">
        <w:trPr>
          <w:jc w:val="right"/>
        </w:trPr>
        <w:tc>
          <w:tcPr>
            <w:tcW w:w="3425" w:type="dxa"/>
            <w:vAlign w:val="center"/>
          </w:tcPr>
          <w:p w14:paraId="2B76B39A" w14:textId="77777777" w:rsidR="00D1052A" w:rsidRPr="0019790A" w:rsidRDefault="00D1052A" w:rsidP="0019790A">
            <w:pPr>
              <w:rPr>
                <w:rFonts w:cs="Arial"/>
                <w:b/>
                <w:bCs/>
                <w:szCs w:val="22"/>
              </w:rPr>
            </w:pPr>
            <w:r w:rsidRPr="0019790A">
              <w:rPr>
                <w:rFonts w:cs="Arial"/>
                <w:b/>
                <w:bCs/>
                <w:szCs w:val="22"/>
              </w:rPr>
              <w:t>Цілі проєкту:</w:t>
            </w:r>
          </w:p>
        </w:tc>
        <w:tc>
          <w:tcPr>
            <w:tcW w:w="6794" w:type="dxa"/>
            <w:gridSpan w:val="5"/>
          </w:tcPr>
          <w:p w14:paraId="03D4D864" w14:textId="77777777" w:rsidR="00D1052A" w:rsidRPr="0019790A" w:rsidRDefault="00D1052A" w:rsidP="0019790A">
            <w:pPr>
              <w:jc w:val="both"/>
              <w:rPr>
                <w:rFonts w:cs="Arial"/>
                <w:szCs w:val="22"/>
                <w:lang w:eastAsia="it-IT"/>
              </w:rPr>
            </w:pPr>
            <w:r w:rsidRPr="0019790A">
              <w:rPr>
                <w:rFonts w:cs="Arial"/>
                <w:szCs w:val="22"/>
              </w:rPr>
              <w:t>Створення комфортних умов для раціонального та безпечного харчування дітей</w:t>
            </w:r>
            <w:r w:rsidRPr="0019790A">
              <w:rPr>
                <w:rFonts w:cs="Arial"/>
                <w:szCs w:val="22"/>
                <w:shd w:val="clear" w:color="auto" w:fill="FFFFFF"/>
              </w:rPr>
              <w:t> шляхом модернізації харчоблоку</w:t>
            </w:r>
            <w:r w:rsidRPr="0019790A">
              <w:rPr>
                <w:rFonts w:cs="Arial"/>
                <w:szCs w:val="22"/>
                <w:lang w:eastAsia="it-IT"/>
              </w:rPr>
              <w:t xml:space="preserve"> </w:t>
            </w:r>
          </w:p>
          <w:p w14:paraId="177E25B5" w14:textId="77777777" w:rsidR="00D1052A" w:rsidRPr="0019790A" w:rsidRDefault="00D1052A" w:rsidP="0019790A">
            <w:pPr>
              <w:jc w:val="both"/>
              <w:rPr>
                <w:rFonts w:cs="Arial"/>
                <w:szCs w:val="22"/>
                <w:lang w:eastAsia="it-IT"/>
              </w:rPr>
            </w:pPr>
            <w:r w:rsidRPr="0019790A">
              <w:rPr>
                <w:rFonts w:cs="Arial"/>
                <w:szCs w:val="22"/>
                <w:lang w:eastAsia="it-IT"/>
              </w:rPr>
              <w:t>Зменшення витрати енергоресурсів та забезпечення належних умов харчування.</w:t>
            </w:r>
          </w:p>
          <w:p w14:paraId="5D795F21" w14:textId="25FA07B6" w:rsidR="00D1052A" w:rsidRPr="0019790A" w:rsidRDefault="00CD6B99" w:rsidP="0019790A">
            <w:pPr>
              <w:jc w:val="both"/>
              <w:rPr>
                <w:rFonts w:cs="Arial"/>
                <w:szCs w:val="22"/>
                <w:lang w:eastAsia="it-IT"/>
              </w:rPr>
            </w:pPr>
            <w:r w:rsidRPr="0019790A">
              <w:rPr>
                <w:rFonts w:cs="Arial"/>
                <w:szCs w:val="22"/>
                <w:lang w:eastAsia="it-IT"/>
              </w:rPr>
              <w:t>Модернізація</w:t>
            </w:r>
            <w:r w:rsidR="00D1052A" w:rsidRPr="0019790A">
              <w:rPr>
                <w:rFonts w:cs="Arial"/>
                <w:szCs w:val="22"/>
                <w:lang w:eastAsia="it-IT"/>
              </w:rPr>
              <w:t xml:space="preserve"> обладнання та приміщення харчоблоку.</w:t>
            </w:r>
          </w:p>
          <w:p w14:paraId="14434EAE" w14:textId="77777777" w:rsidR="00D1052A" w:rsidRPr="0019790A" w:rsidRDefault="00D1052A" w:rsidP="0019790A">
            <w:pPr>
              <w:jc w:val="both"/>
              <w:rPr>
                <w:rFonts w:cs="Arial"/>
                <w:szCs w:val="22"/>
                <w:lang w:eastAsia="it-IT"/>
              </w:rPr>
            </w:pPr>
            <w:r w:rsidRPr="0019790A">
              <w:rPr>
                <w:rFonts w:cs="Arial"/>
                <w:szCs w:val="22"/>
                <w:lang w:eastAsia="it-IT"/>
              </w:rPr>
              <w:t>Забезпечення відповідності санітарним нормам.</w:t>
            </w:r>
          </w:p>
        </w:tc>
      </w:tr>
      <w:tr w:rsidR="00D1052A" w:rsidRPr="0019790A" w14:paraId="574026E8" w14:textId="77777777" w:rsidTr="00D1052A">
        <w:trPr>
          <w:jc w:val="right"/>
        </w:trPr>
        <w:tc>
          <w:tcPr>
            <w:tcW w:w="3425" w:type="dxa"/>
            <w:vAlign w:val="center"/>
          </w:tcPr>
          <w:p w14:paraId="077F218D" w14:textId="77777777" w:rsidR="00D1052A" w:rsidRPr="0019790A" w:rsidRDefault="00D1052A" w:rsidP="0019790A">
            <w:pPr>
              <w:autoSpaceDE w:val="0"/>
              <w:autoSpaceDN w:val="0"/>
              <w:adjustRightInd w:val="0"/>
              <w:rPr>
                <w:rFonts w:cs="Arial"/>
                <w:b/>
                <w:szCs w:val="22"/>
              </w:rPr>
            </w:pPr>
            <w:r w:rsidRPr="0019790A">
              <w:rPr>
                <w:rFonts w:cs="Arial"/>
                <w:b/>
                <w:szCs w:val="22"/>
              </w:rPr>
              <w:t>Територія на яку проєкт матиме вплив:</w:t>
            </w:r>
          </w:p>
        </w:tc>
        <w:tc>
          <w:tcPr>
            <w:tcW w:w="6794" w:type="dxa"/>
            <w:gridSpan w:val="5"/>
          </w:tcPr>
          <w:p w14:paraId="3336C569" w14:textId="77777777" w:rsidR="00D1052A" w:rsidRPr="0019790A" w:rsidRDefault="00D1052A" w:rsidP="0019790A">
            <w:pPr>
              <w:rPr>
                <w:rFonts w:cs="Arial"/>
                <w:szCs w:val="22"/>
                <w:lang w:eastAsia="it-IT"/>
              </w:rPr>
            </w:pPr>
            <w:r w:rsidRPr="0019790A">
              <w:rPr>
                <w:rFonts w:cs="Arial"/>
                <w:szCs w:val="22"/>
                <w:lang w:eastAsia="it-IT"/>
              </w:rPr>
              <w:t xml:space="preserve">Територія обслуговування </w:t>
            </w:r>
            <w:r w:rsidRPr="0019790A">
              <w:rPr>
                <w:rFonts w:cs="Arial"/>
                <w:szCs w:val="22"/>
              </w:rPr>
              <w:t>ЗДО №2 «Калинка»</w:t>
            </w:r>
            <w:r w:rsidRPr="0019790A">
              <w:rPr>
                <w:rFonts w:cs="Arial"/>
                <w:b/>
                <w:szCs w:val="22"/>
              </w:rPr>
              <w:t xml:space="preserve"> </w:t>
            </w:r>
          </w:p>
        </w:tc>
      </w:tr>
      <w:tr w:rsidR="00D1052A" w:rsidRPr="0019790A" w14:paraId="174A8E52" w14:textId="77777777" w:rsidTr="00D1052A">
        <w:trPr>
          <w:jc w:val="right"/>
        </w:trPr>
        <w:tc>
          <w:tcPr>
            <w:tcW w:w="3425" w:type="dxa"/>
            <w:vAlign w:val="center"/>
          </w:tcPr>
          <w:p w14:paraId="53218359" w14:textId="77777777" w:rsidR="00D1052A" w:rsidRPr="0019790A" w:rsidRDefault="00D1052A" w:rsidP="0019790A">
            <w:pPr>
              <w:autoSpaceDE w:val="0"/>
              <w:autoSpaceDN w:val="0"/>
              <w:adjustRightInd w:val="0"/>
              <w:rPr>
                <w:rFonts w:cs="Arial"/>
                <w:b/>
                <w:szCs w:val="22"/>
              </w:rPr>
            </w:pPr>
            <w:r w:rsidRPr="0019790A">
              <w:rPr>
                <w:rFonts w:cs="Arial"/>
                <w:b/>
                <w:szCs w:val="22"/>
              </w:rPr>
              <w:t>Цільові групи проєкту та кількість отримувачів вигоди</w:t>
            </w:r>
          </w:p>
        </w:tc>
        <w:tc>
          <w:tcPr>
            <w:tcW w:w="6794" w:type="dxa"/>
            <w:gridSpan w:val="5"/>
          </w:tcPr>
          <w:p w14:paraId="47B8CAD8" w14:textId="77777777" w:rsidR="00D1052A" w:rsidRPr="0019790A" w:rsidRDefault="00D1052A" w:rsidP="0019790A">
            <w:pPr>
              <w:pStyle w:val="TableParagraph"/>
              <w:rPr>
                <w:rFonts w:ascii="Arial" w:hAnsi="Arial" w:cs="Arial"/>
              </w:rPr>
            </w:pPr>
            <w:r w:rsidRPr="0019790A">
              <w:rPr>
                <w:rFonts w:ascii="Arial" w:hAnsi="Arial" w:cs="Arial"/>
              </w:rPr>
              <w:t>250 здобувачів освіти, працівники закладу освіти, батьки.</w:t>
            </w:r>
          </w:p>
        </w:tc>
      </w:tr>
      <w:tr w:rsidR="00D1052A" w:rsidRPr="0019790A" w14:paraId="6787031C" w14:textId="77777777" w:rsidTr="00D1052A">
        <w:trPr>
          <w:jc w:val="right"/>
        </w:trPr>
        <w:tc>
          <w:tcPr>
            <w:tcW w:w="3425" w:type="dxa"/>
            <w:shd w:val="clear" w:color="auto" w:fill="FFFFFF"/>
            <w:vAlign w:val="center"/>
          </w:tcPr>
          <w:p w14:paraId="2242AF11" w14:textId="77777777" w:rsidR="00D1052A" w:rsidRPr="0019790A" w:rsidRDefault="00D1052A" w:rsidP="0019790A">
            <w:pPr>
              <w:rPr>
                <w:rFonts w:cs="Arial"/>
                <w:b/>
                <w:bCs/>
                <w:szCs w:val="22"/>
              </w:rPr>
            </w:pPr>
            <w:r w:rsidRPr="0019790A">
              <w:rPr>
                <w:rFonts w:cs="Arial"/>
                <w:b/>
                <w:bCs/>
                <w:szCs w:val="22"/>
              </w:rPr>
              <w:t>Стислий опис проєкту:</w:t>
            </w:r>
          </w:p>
        </w:tc>
        <w:tc>
          <w:tcPr>
            <w:tcW w:w="6794" w:type="dxa"/>
            <w:gridSpan w:val="5"/>
          </w:tcPr>
          <w:p w14:paraId="7342D964" w14:textId="77777777" w:rsidR="00D1052A" w:rsidRPr="0019790A" w:rsidRDefault="00D1052A" w:rsidP="0019790A">
            <w:pPr>
              <w:shd w:val="clear" w:color="auto" w:fill="FFFFFF"/>
              <w:jc w:val="both"/>
              <w:textAlignment w:val="baseline"/>
              <w:rPr>
                <w:rFonts w:cs="Arial"/>
                <w:color w:val="333333"/>
                <w:szCs w:val="22"/>
                <w:lang w:eastAsia="uk-UA"/>
              </w:rPr>
            </w:pPr>
            <w:r w:rsidRPr="0019790A">
              <w:rPr>
                <w:rFonts w:cs="Arial"/>
                <w:szCs w:val="22"/>
                <w:lang w:eastAsia="it-IT"/>
              </w:rPr>
              <w:t xml:space="preserve">   </w:t>
            </w:r>
            <w:r w:rsidRPr="0019790A">
              <w:rPr>
                <w:rFonts w:cs="Arial"/>
                <w:szCs w:val="22"/>
                <w:lang w:eastAsia="uk-UA"/>
              </w:rPr>
              <w:t xml:space="preserve">Матеріально-технічне забезпечення харчоблоків закладів освіти має бути сучасним і спроможним забезпечити потреби в здоровому та збалансованому харчуванні дітей, адже воно </w:t>
            </w:r>
            <w:r w:rsidRPr="0019790A">
              <w:rPr>
                <w:rFonts w:cs="Arial"/>
                <w:color w:val="333333"/>
                <w:szCs w:val="22"/>
                <w:lang w:eastAsia="uk-UA"/>
              </w:rPr>
              <w:t>відіграє важливу роль в питанні повноцінного розвитку і зростання школярів. Достатня кількість поживних речовин і правильна культура споживання їжі не лише вберігають дитину від численних хвороб, а й роблять її бадьорішою і уважнішою.</w:t>
            </w:r>
          </w:p>
          <w:p w14:paraId="669AD6B3" w14:textId="77777777" w:rsidR="00D1052A" w:rsidRPr="0019790A" w:rsidRDefault="00D1052A" w:rsidP="0019790A">
            <w:pPr>
              <w:jc w:val="both"/>
              <w:rPr>
                <w:rFonts w:cs="Arial"/>
                <w:szCs w:val="22"/>
                <w:shd w:val="clear" w:color="auto" w:fill="FFFFFF"/>
              </w:rPr>
            </w:pPr>
            <w:r w:rsidRPr="0019790A">
              <w:rPr>
                <w:rFonts w:cs="Arial"/>
                <w:szCs w:val="22"/>
                <w:lang w:eastAsia="uk-UA"/>
              </w:rPr>
              <w:t xml:space="preserve">     </w:t>
            </w:r>
            <w:r w:rsidRPr="0019790A">
              <w:rPr>
                <w:rFonts w:eastAsia="Arial" w:cs="Arial"/>
                <w:szCs w:val="22"/>
              </w:rPr>
              <w:t>Реалізація проєкту</w:t>
            </w:r>
            <w:r w:rsidRPr="0019790A">
              <w:rPr>
                <w:rFonts w:cs="Arial"/>
                <w:szCs w:val="22"/>
                <w:shd w:val="clear" w:color="auto" w:fill="FFFFFF"/>
              </w:rPr>
              <w:t xml:space="preserve"> дозволить здійснити модернізацію харчоблоку закладу дошкільної освіти та забезпечити умови для організації здорового, збалансованого та якісного харчування дітей, а також створити комфортні умови для роботи в закладі освіти. </w:t>
            </w:r>
          </w:p>
          <w:p w14:paraId="5D2B7727" w14:textId="77777777" w:rsidR="00D1052A" w:rsidRPr="0019790A" w:rsidRDefault="00D1052A" w:rsidP="0019790A">
            <w:pPr>
              <w:jc w:val="both"/>
              <w:rPr>
                <w:rFonts w:cs="Arial"/>
                <w:szCs w:val="22"/>
                <w:lang w:eastAsia="it-IT"/>
              </w:rPr>
            </w:pPr>
            <w:r w:rsidRPr="0019790A">
              <w:rPr>
                <w:rFonts w:cs="Arial"/>
                <w:szCs w:val="22"/>
                <w:shd w:val="clear" w:color="auto" w:fill="FFFFFF"/>
              </w:rPr>
              <w:t xml:space="preserve">    Разом з тим, нове технологічне обладнання сприятиме </w:t>
            </w:r>
            <w:r w:rsidRPr="0019790A">
              <w:rPr>
                <w:rFonts w:cs="Arial"/>
                <w:szCs w:val="22"/>
                <w:lang w:eastAsia="it-IT"/>
              </w:rPr>
              <w:t>зменшенню витрат енергоресурсів та забезпеченню належних умов харчування.</w:t>
            </w:r>
            <w:r w:rsidRPr="0019790A">
              <w:rPr>
                <w:rFonts w:cs="Arial"/>
                <w:iCs/>
                <w:szCs w:val="22"/>
              </w:rPr>
              <w:t xml:space="preserve">  </w:t>
            </w:r>
          </w:p>
        </w:tc>
      </w:tr>
      <w:tr w:rsidR="00D1052A" w:rsidRPr="0019790A" w14:paraId="77855201" w14:textId="77777777" w:rsidTr="00D1052A">
        <w:trPr>
          <w:jc w:val="right"/>
        </w:trPr>
        <w:tc>
          <w:tcPr>
            <w:tcW w:w="3425" w:type="dxa"/>
            <w:shd w:val="clear" w:color="auto" w:fill="FFFFFF"/>
            <w:vAlign w:val="center"/>
          </w:tcPr>
          <w:p w14:paraId="418F313F" w14:textId="77777777" w:rsidR="00D1052A" w:rsidRPr="0019790A" w:rsidRDefault="00D1052A" w:rsidP="0019790A">
            <w:pPr>
              <w:rPr>
                <w:rFonts w:cs="Arial"/>
                <w:b/>
                <w:bCs/>
                <w:szCs w:val="22"/>
              </w:rPr>
            </w:pPr>
            <w:r w:rsidRPr="0019790A">
              <w:rPr>
                <w:rFonts w:cs="Arial"/>
                <w:b/>
                <w:bCs/>
                <w:szCs w:val="22"/>
              </w:rPr>
              <w:t>Основні заходи проєкту:</w:t>
            </w:r>
          </w:p>
        </w:tc>
        <w:tc>
          <w:tcPr>
            <w:tcW w:w="6794" w:type="dxa"/>
            <w:gridSpan w:val="5"/>
          </w:tcPr>
          <w:p w14:paraId="2D612331" w14:textId="77777777" w:rsidR="00D1052A" w:rsidRPr="0019790A" w:rsidRDefault="00D1052A" w:rsidP="0019790A">
            <w:pPr>
              <w:jc w:val="both"/>
              <w:rPr>
                <w:rFonts w:cs="Arial"/>
                <w:iCs/>
                <w:szCs w:val="22"/>
              </w:rPr>
            </w:pPr>
            <w:r w:rsidRPr="0019790A">
              <w:rPr>
                <w:rFonts w:cs="Arial"/>
                <w:szCs w:val="22"/>
                <w:lang w:eastAsia="it-IT"/>
              </w:rPr>
              <w:t xml:space="preserve"> </w:t>
            </w:r>
            <w:r w:rsidRPr="0019790A">
              <w:rPr>
                <w:rFonts w:cs="Arial"/>
                <w:iCs/>
                <w:szCs w:val="22"/>
              </w:rPr>
              <w:t xml:space="preserve">- виготовлення ПКД на проведення ремонтних робіт харчоблоку  ЗДО № 2 «Калинка»  </w:t>
            </w:r>
          </w:p>
          <w:p w14:paraId="028FD876" w14:textId="77777777" w:rsidR="00D1052A" w:rsidRPr="0019790A" w:rsidRDefault="00D1052A" w:rsidP="0019790A">
            <w:pPr>
              <w:jc w:val="both"/>
              <w:rPr>
                <w:rFonts w:cs="Arial"/>
                <w:iCs/>
                <w:szCs w:val="22"/>
              </w:rPr>
            </w:pPr>
            <w:r w:rsidRPr="0019790A">
              <w:rPr>
                <w:rFonts w:cs="Arial"/>
                <w:iCs/>
                <w:szCs w:val="22"/>
              </w:rPr>
              <w:t>- проведення тендерних процедур закупівлі робіт.</w:t>
            </w:r>
          </w:p>
          <w:p w14:paraId="636FC92F" w14:textId="77777777" w:rsidR="00D1052A" w:rsidRPr="0019790A" w:rsidRDefault="00D1052A" w:rsidP="0019790A">
            <w:pPr>
              <w:jc w:val="both"/>
              <w:rPr>
                <w:rFonts w:cs="Arial"/>
                <w:iCs/>
                <w:szCs w:val="22"/>
              </w:rPr>
            </w:pPr>
            <w:r w:rsidRPr="0019790A">
              <w:rPr>
                <w:rFonts w:cs="Arial"/>
                <w:iCs/>
                <w:szCs w:val="22"/>
              </w:rPr>
              <w:t xml:space="preserve">- проведення ремонтних робіт  </w:t>
            </w:r>
          </w:p>
          <w:p w14:paraId="5285F142" w14:textId="77777777" w:rsidR="00D1052A" w:rsidRPr="0019790A" w:rsidRDefault="00D1052A" w:rsidP="0019790A">
            <w:pPr>
              <w:jc w:val="both"/>
              <w:rPr>
                <w:rFonts w:cs="Arial"/>
                <w:iCs/>
                <w:szCs w:val="22"/>
              </w:rPr>
            </w:pPr>
            <w:r w:rsidRPr="0019790A">
              <w:rPr>
                <w:rFonts w:cs="Arial"/>
                <w:iCs/>
                <w:szCs w:val="22"/>
              </w:rPr>
              <w:t>- модернізація обладнання</w:t>
            </w:r>
          </w:p>
        </w:tc>
      </w:tr>
      <w:tr w:rsidR="00D1052A" w:rsidRPr="0019790A" w14:paraId="443FEFB9" w14:textId="77777777" w:rsidTr="00D1052A">
        <w:trPr>
          <w:jc w:val="right"/>
        </w:trPr>
        <w:tc>
          <w:tcPr>
            <w:tcW w:w="3425" w:type="dxa"/>
            <w:shd w:val="clear" w:color="auto" w:fill="FFFFFF"/>
            <w:vAlign w:val="center"/>
          </w:tcPr>
          <w:p w14:paraId="50A7F92F" w14:textId="77777777" w:rsidR="00D1052A" w:rsidRPr="0019790A" w:rsidRDefault="00D1052A" w:rsidP="0019790A">
            <w:pPr>
              <w:rPr>
                <w:rFonts w:cs="Arial"/>
                <w:b/>
                <w:bCs/>
                <w:szCs w:val="22"/>
              </w:rPr>
            </w:pPr>
            <w:r w:rsidRPr="0019790A">
              <w:rPr>
                <w:rFonts w:cs="Arial"/>
                <w:b/>
                <w:bCs/>
                <w:szCs w:val="22"/>
              </w:rPr>
              <w:t>Індикатори (показники) результативності:</w:t>
            </w:r>
          </w:p>
        </w:tc>
        <w:tc>
          <w:tcPr>
            <w:tcW w:w="6794" w:type="dxa"/>
            <w:gridSpan w:val="5"/>
          </w:tcPr>
          <w:p w14:paraId="570F4DA0" w14:textId="77777777" w:rsidR="00D1052A" w:rsidRPr="0019790A" w:rsidRDefault="00D1052A" w:rsidP="0019790A">
            <w:pPr>
              <w:widowControl w:val="0"/>
              <w:jc w:val="both"/>
              <w:rPr>
                <w:rFonts w:cs="Arial"/>
                <w:szCs w:val="22"/>
              </w:rPr>
            </w:pPr>
            <w:r w:rsidRPr="0019790A">
              <w:rPr>
                <w:rFonts w:cs="Arial"/>
                <w:szCs w:val="22"/>
                <w:shd w:val="clear" w:color="auto" w:fill="FFFFFF"/>
              </w:rPr>
              <w:t xml:space="preserve">В ЗДО використовується сучасне енергоефективне обладнання, </w:t>
            </w:r>
          </w:p>
          <w:p w14:paraId="0121CCE5" w14:textId="77777777" w:rsidR="00D1052A" w:rsidRPr="0019790A" w:rsidRDefault="00D1052A" w:rsidP="0019790A">
            <w:pPr>
              <w:widowControl w:val="0"/>
              <w:jc w:val="both"/>
              <w:rPr>
                <w:rFonts w:cs="Arial"/>
                <w:szCs w:val="22"/>
                <w:shd w:val="clear" w:color="auto" w:fill="FFFFFF"/>
              </w:rPr>
            </w:pPr>
            <w:r w:rsidRPr="0019790A">
              <w:rPr>
                <w:rFonts w:cs="Arial"/>
                <w:szCs w:val="22"/>
                <w:shd w:val="clear" w:color="auto" w:fill="FFFFFF"/>
              </w:rPr>
              <w:t xml:space="preserve">Дотримуються вимоги системи НАССР. </w:t>
            </w:r>
          </w:p>
          <w:p w14:paraId="08BE1189" w14:textId="77777777" w:rsidR="00D1052A" w:rsidRPr="0019790A" w:rsidRDefault="00D1052A" w:rsidP="0019790A">
            <w:pPr>
              <w:widowControl w:val="0"/>
              <w:jc w:val="both"/>
              <w:rPr>
                <w:rFonts w:cs="Arial"/>
                <w:szCs w:val="22"/>
              </w:rPr>
            </w:pPr>
            <w:r w:rsidRPr="0019790A">
              <w:rPr>
                <w:rFonts w:cs="Arial"/>
                <w:szCs w:val="22"/>
              </w:rPr>
              <w:t>На 15 % зменшено витрати на оплату енергоносіїв.</w:t>
            </w:r>
          </w:p>
          <w:p w14:paraId="7EB36BEA" w14:textId="77777777" w:rsidR="00D1052A" w:rsidRPr="0019790A" w:rsidRDefault="00D1052A" w:rsidP="0019790A">
            <w:pPr>
              <w:widowControl w:val="0"/>
              <w:jc w:val="both"/>
              <w:rPr>
                <w:rFonts w:cs="Arial"/>
                <w:szCs w:val="22"/>
              </w:rPr>
            </w:pPr>
            <w:r w:rsidRPr="0019790A">
              <w:rPr>
                <w:rFonts w:cs="Arial"/>
                <w:szCs w:val="22"/>
              </w:rPr>
              <w:t xml:space="preserve">На 20% зменшено кількість випадків кишково-шлункових захворювань  дітей </w:t>
            </w:r>
          </w:p>
        </w:tc>
      </w:tr>
      <w:tr w:rsidR="00D1052A" w:rsidRPr="0019790A" w14:paraId="7392B22C" w14:textId="77777777" w:rsidTr="00D1052A">
        <w:trPr>
          <w:jc w:val="right"/>
        </w:trPr>
        <w:tc>
          <w:tcPr>
            <w:tcW w:w="3425" w:type="dxa"/>
            <w:shd w:val="clear" w:color="auto" w:fill="FFFFFF"/>
            <w:vAlign w:val="center"/>
          </w:tcPr>
          <w:p w14:paraId="63DC6A3D" w14:textId="77777777" w:rsidR="00D1052A" w:rsidRPr="0019790A" w:rsidRDefault="00D1052A" w:rsidP="0019790A">
            <w:pPr>
              <w:rPr>
                <w:rFonts w:cs="Arial"/>
                <w:b/>
                <w:szCs w:val="22"/>
              </w:rPr>
            </w:pPr>
            <w:r w:rsidRPr="0019790A">
              <w:rPr>
                <w:rFonts w:cs="Arial"/>
                <w:b/>
                <w:szCs w:val="22"/>
              </w:rPr>
              <w:t xml:space="preserve">Період здійснення: </w:t>
            </w:r>
          </w:p>
        </w:tc>
        <w:tc>
          <w:tcPr>
            <w:tcW w:w="6794" w:type="dxa"/>
            <w:gridSpan w:val="5"/>
            <w:vAlign w:val="center"/>
          </w:tcPr>
          <w:p w14:paraId="19E4A4CB" w14:textId="77777777" w:rsidR="00D1052A" w:rsidRPr="0019790A" w:rsidRDefault="00D1052A" w:rsidP="0019790A">
            <w:pPr>
              <w:rPr>
                <w:rFonts w:cs="Arial"/>
                <w:szCs w:val="22"/>
                <w:lang w:eastAsia="it-IT"/>
              </w:rPr>
            </w:pPr>
            <w:r w:rsidRPr="0019790A">
              <w:rPr>
                <w:rFonts w:cs="Arial"/>
                <w:b/>
                <w:szCs w:val="22"/>
              </w:rPr>
              <w:t>2025 – 2028 роки:</w:t>
            </w:r>
          </w:p>
        </w:tc>
      </w:tr>
      <w:tr w:rsidR="00D1052A" w:rsidRPr="0019790A" w14:paraId="3CEC10DF" w14:textId="77777777" w:rsidTr="00D1052A">
        <w:trPr>
          <w:jc w:val="right"/>
        </w:trPr>
        <w:tc>
          <w:tcPr>
            <w:tcW w:w="3425" w:type="dxa"/>
            <w:vMerge w:val="restart"/>
            <w:shd w:val="clear" w:color="auto" w:fill="FFFFFF"/>
            <w:vAlign w:val="center"/>
          </w:tcPr>
          <w:p w14:paraId="5DCA2530" w14:textId="77777777" w:rsidR="00D1052A" w:rsidRPr="0019790A" w:rsidRDefault="00D1052A" w:rsidP="0019790A">
            <w:pPr>
              <w:rPr>
                <w:rFonts w:cs="Arial"/>
                <w:b/>
                <w:bCs/>
                <w:szCs w:val="22"/>
              </w:rPr>
            </w:pPr>
            <w:r w:rsidRPr="0019790A">
              <w:rPr>
                <w:rFonts w:cs="Arial"/>
                <w:b/>
                <w:bCs/>
                <w:szCs w:val="22"/>
              </w:rPr>
              <w:t>Орієнтовна вартість проєкту, тис. грн., в тому числі:</w:t>
            </w:r>
          </w:p>
        </w:tc>
        <w:tc>
          <w:tcPr>
            <w:tcW w:w="1254" w:type="dxa"/>
            <w:shd w:val="clear" w:color="auto" w:fill="E6E6E6"/>
            <w:vAlign w:val="center"/>
          </w:tcPr>
          <w:p w14:paraId="2F018F29" w14:textId="77777777" w:rsidR="00D1052A" w:rsidRPr="0019790A" w:rsidRDefault="00D1052A" w:rsidP="0019790A">
            <w:pPr>
              <w:jc w:val="center"/>
              <w:rPr>
                <w:rFonts w:cs="Arial"/>
                <w:b/>
                <w:szCs w:val="22"/>
                <w:lang w:eastAsia="it-IT"/>
              </w:rPr>
            </w:pPr>
            <w:r w:rsidRPr="0019790A">
              <w:rPr>
                <w:rFonts w:cs="Arial"/>
                <w:b/>
                <w:szCs w:val="22"/>
                <w:lang w:eastAsia="it-IT"/>
              </w:rPr>
              <w:t>2025</w:t>
            </w:r>
          </w:p>
        </w:tc>
        <w:tc>
          <w:tcPr>
            <w:tcW w:w="1275" w:type="dxa"/>
            <w:shd w:val="clear" w:color="auto" w:fill="E6E6E6"/>
            <w:vAlign w:val="center"/>
          </w:tcPr>
          <w:p w14:paraId="69DDE0DF" w14:textId="77777777" w:rsidR="00D1052A" w:rsidRPr="0019790A" w:rsidRDefault="00D1052A" w:rsidP="0019790A">
            <w:pPr>
              <w:jc w:val="center"/>
              <w:rPr>
                <w:rFonts w:cs="Arial"/>
                <w:b/>
                <w:szCs w:val="22"/>
                <w:lang w:eastAsia="it-IT"/>
              </w:rPr>
            </w:pPr>
            <w:r w:rsidRPr="0019790A">
              <w:rPr>
                <w:rFonts w:cs="Arial"/>
                <w:b/>
                <w:szCs w:val="22"/>
                <w:lang w:eastAsia="it-IT"/>
              </w:rPr>
              <w:t>2026</w:t>
            </w:r>
          </w:p>
        </w:tc>
        <w:tc>
          <w:tcPr>
            <w:tcW w:w="1418" w:type="dxa"/>
            <w:tcBorders>
              <w:bottom w:val="single" w:sz="4" w:space="0" w:color="auto"/>
            </w:tcBorders>
            <w:shd w:val="clear" w:color="auto" w:fill="E6E6E6"/>
            <w:vAlign w:val="center"/>
          </w:tcPr>
          <w:p w14:paraId="0008C812" w14:textId="77777777" w:rsidR="00D1052A" w:rsidRPr="0019790A" w:rsidRDefault="00D1052A" w:rsidP="0019790A">
            <w:pPr>
              <w:jc w:val="center"/>
              <w:rPr>
                <w:rFonts w:cs="Arial"/>
                <w:b/>
                <w:szCs w:val="22"/>
                <w:lang w:eastAsia="it-IT"/>
              </w:rPr>
            </w:pPr>
            <w:r w:rsidRPr="0019790A">
              <w:rPr>
                <w:rFonts w:cs="Arial"/>
                <w:b/>
                <w:szCs w:val="22"/>
                <w:lang w:eastAsia="it-IT"/>
              </w:rPr>
              <w:t>2027</w:t>
            </w:r>
          </w:p>
        </w:tc>
        <w:tc>
          <w:tcPr>
            <w:tcW w:w="1276" w:type="dxa"/>
            <w:shd w:val="clear" w:color="auto" w:fill="E6E6E6"/>
            <w:vAlign w:val="center"/>
          </w:tcPr>
          <w:p w14:paraId="6BF01415" w14:textId="77777777" w:rsidR="00D1052A" w:rsidRPr="0019790A" w:rsidRDefault="00D1052A" w:rsidP="0019790A">
            <w:pPr>
              <w:jc w:val="center"/>
              <w:rPr>
                <w:rFonts w:cs="Arial"/>
                <w:b/>
                <w:szCs w:val="22"/>
                <w:lang w:eastAsia="it-IT"/>
              </w:rPr>
            </w:pPr>
            <w:r w:rsidRPr="0019790A">
              <w:rPr>
                <w:rFonts w:cs="Arial"/>
                <w:b/>
                <w:szCs w:val="22"/>
                <w:lang w:eastAsia="it-IT"/>
              </w:rPr>
              <w:t>2028</w:t>
            </w:r>
          </w:p>
        </w:tc>
        <w:tc>
          <w:tcPr>
            <w:tcW w:w="1571" w:type="dxa"/>
            <w:shd w:val="clear" w:color="auto" w:fill="E6E6E6"/>
            <w:vAlign w:val="center"/>
          </w:tcPr>
          <w:p w14:paraId="743F56A6" w14:textId="77777777" w:rsidR="00D1052A" w:rsidRPr="0019790A" w:rsidRDefault="00D1052A" w:rsidP="0019790A">
            <w:pPr>
              <w:jc w:val="center"/>
              <w:rPr>
                <w:rFonts w:cs="Arial"/>
                <w:b/>
                <w:szCs w:val="22"/>
                <w:lang w:eastAsia="it-IT"/>
              </w:rPr>
            </w:pPr>
            <w:r w:rsidRPr="0019790A">
              <w:rPr>
                <w:rFonts w:cs="Arial"/>
                <w:b/>
                <w:szCs w:val="22"/>
                <w:lang w:eastAsia="it-IT"/>
              </w:rPr>
              <w:t>РАЗОМ</w:t>
            </w:r>
          </w:p>
        </w:tc>
      </w:tr>
      <w:tr w:rsidR="00D1052A" w:rsidRPr="0019790A" w14:paraId="67AB7C2A" w14:textId="77777777" w:rsidTr="00D1052A">
        <w:trPr>
          <w:jc w:val="right"/>
        </w:trPr>
        <w:tc>
          <w:tcPr>
            <w:tcW w:w="3425" w:type="dxa"/>
            <w:vMerge/>
            <w:shd w:val="clear" w:color="auto" w:fill="FFFFFF"/>
            <w:vAlign w:val="center"/>
          </w:tcPr>
          <w:p w14:paraId="47500A83" w14:textId="77777777" w:rsidR="00D1052A" w:rsidRPr="0019790A" w:rsidRDefault="00D1052A" w:rsidP="0019790A">
            <w:pPr>
              <w:rPr>
                <w:rFonts w:cs="Arial"/>
                <w:b/>
                <w:bCs/>
                <w:szCs w:val="22"/>
              </w:rPr>
            </w:pPr>
          </w:p>
        </w:tc>
        <w:tc>
          <w:tcPr>
            <w:tcW w:w="1254" w:type="dxa"/>
            <w:vAlign w:val="center"/>
          </w:tcPr>
          <w:p w14:paraId="64B012B6" w14:textId="77777777" w:rsidR="00D1052A" w:rsidRPr="0019790A" w:rsidRDefault="00D1052A" w:rsidP="0019790A">
            <w:pPr>
              <w:jc w:val="center"/>
              <w:rPr>
                <w:rFonts w:cs="Arial"/>
                <w:b/>
                <w:szCs w:val="22"/>
                <w:lang w:eastAsia="it-IT"/>
              </w:rPr>
            </w:pPr>
            <w:r w:rsidRPr="0019790A">
              <w:rPr>
                <w:rFonts w:cs="Arial"/>
                <w:b/>
                <w:szCs w:val="22"/>
                <w:lang w:eastAsia="it-IT"/>
              </w:rPr>
              <w:t>4 000,00</w:t>
            </w:r>
          </w:p>
        </w:tc>
        <w:tc>
          <w:tcPr>
            <w:tcW w:w="1275" w:type="dxa"/>
            <w:shd w:val="clear" w:color="auto" w:fill="FFFFFF"/>
            <w:vAlign w:val="center"/>
          </w:tcPr>
          <w:p w14:paraId="51CAC920" w14:textId="77777777" w:rsidR="00D1052A" w:rsidRPr="0019790A" w:rsidRDefault="00D1052A" w:rsidP="0019790A">
            <w:pPr>
              <w:jc w:val="center"/>
              <w:rPr>
                <w:rFonts w:cs="Arial"/>
                <w:b/>
                <w:szCs w:val="22"/>
                <w:lang w:eastAsia="it-IT"/>
              </w:rPr>
            </w:pPr>
            <w:r w:rsidRPr="0019790A">
              <w:rPr>
                <w:rFonts w:cs="Arial"/>
                <w:b/>
                <w:szCs w:val="22"/>
              </w:rPr>
              <w:t xml:space="preserve"> </w:t>
            </w:r>
          </w:p>
        </w:tc>
        <w:tc>
          <w:tcPr>
            <w:tcW w:w="1418" w:type="dxa"/>
            <w:shd w:val="clear" w:color="auto" w:fill="auto"/>
            <w:vAlign w:val="center"/>
          </w:tcPr>
          <w:p w14:paraId="6B92B7E0" w14:textId="77777777" w:rsidR="00D1052A" w:rsidRPr="0019790A" w:rsidRDefault="00D1052A" w:rsidP="0019790A">
            <w:pPr>
              <w:jc w:val="center"/>
              <w:rPr>
                <w:rFonts w:cs="Arial"/>
                <w:b/>
                <w:szCs w:val="22"/>
                <w:lang w:eastAsia="it-IT"/>
              </w:rPr>
            </w:pPr>
            <w:r w:rsidRPr="0019790A">
              <w:rPr>
                <w:rFonts w:cs="Arial"/>
                <w:b/>
                <w:szCs w:val="22"/>
                <w:lang w:eastAsia="it-IT"/>
              </w:rPr>
              <w:t xml:space="preserve"> </w:t>
            </w:r>
          </w:p>
        </w:tc>
        <w:tc>
          <w:tcPr>
            <w:tcW w:w="1276" w:type="dxa"/>
            <w:shd w:val="clear" w:color="auto" w:fill="FFFFFF"/>
            <w:vAlign w:val="center"/>
          </w:tcPr>
          <w:p w14:paraId="76A4F1C0" w14:textId="77777777" w:rsidR="00D1052A" w:rsidRPr="0019790A" w:rsidRDefault="00D1052A" w:rsidP="0019790A">
            <w:pPr>
              <w:jc w:val="center"/>
              <w:rPr>
                <w:rFonts w:cs="Arial"/>
                <w:b/>
                <w:szCs w:val="22"/>
                <w:lang w:eastAsia="it-IT"/>
              </w:rPr>
            </w:pPr>
          </w:p>
        </w:tc>
        <w:tc>
          <w:tcPr>
            <w:tcW w:w="1571" w:type="dxa"/>
            <w:shd w:val="clear" w:color="auto" w:fill="FFFFFF"/>
            <w:vAlign w:val="center"/>
          </w:tcPr>
          <w:p w14:paraId="30DB49D0" w14:textId="77777777" w:rsidR="00D1052A" w:rsidRPr="0019790A" w:rsidRDefault="00D1052A" w:rsidP="0019790A">
            <w:pPr>
              <w:jc w:val="center"/>
              <w:rPr>
                <w:rFonts w:cs="Arial"/>
                <w:b/>
                <w:szCs w:val="22"/>
                <w:lang w:eastAsia="it-IT"/>
              </w:rPr>
            </w:pPr>
            <w:r w:rsidRPr="0019790A">
              <w:rPr>
                <w:rFonts w:cs="Arial"/>
                <w:b/>
                <w:szCs w:val="22"/>
              </w:rPr>
              <w:t xml:space="preserve"> 4 000,00</w:t>
            </w:r>
          </w:p>
        </w:tc>
      </w:tr>
      <w:tr w:rsidR="00D1052A" w:rsidRPr="0019790A" w14:paraId="54E8E116" w14:textId="77777777" w:rsidTr="00D1052A">
        <w:trPr>
          <w:trHeight w:val="276"/>
          <w:jc w:val="right"/>
        </w:trPr>
        <w:tc>
          <w:tcPr>
            <w:tcW w:w="3425" w:type="dxa"/>
            <w:shd w:val="clear" w:color="auto" w:fill="FFFFFF"/>
            <w:vAlign w:val="center"/>
          </w:tcPr>
          <w:p w14:paraId="38C73BAA" w14:textId="77777777" w:rsidR="00D1052A" w:rsidRPr="0019790A" w:rsidRDefault="00D1052A" w:rsidP="0019790A">
            <w:pPr>
              <w:rPr>
                <w:rFonts w:cs="Arial"/>
                <w:b/>
                <w:bCs/>
                <w:szCs w:val="22"/>
              </w:rPr>
            </w:pPr>
            <w:r w:rsidRPr="0019790A">
              <w:rPr>
                <w:rFonts w:cs="Arial"/>
                <w:b/>
                <w:bCs/>
                <w:szCs w:val="22"/>
              </w:rPr>
              <w:t>по джерелах фінансування:</w:t>
            </w:r>
          </w:p>
        </w:tc>
        <w:tc>
          <w:tcPr>
            <w:tcW w:w="6794" w:type="dxa"/>
            <w:gridSpan w:val="5"/>
            <w:vAlign w:val="center"/>
          </w:tcPr>
          <w:p w14:paraId="4E48AB85" w14:textId="77777777" w:rsidR="00D1052A" w:rsidRPr="0019790A" w:rsidRDefault="00D1052A" w:rsidP="0019790A">
            <w:pPr>
              <w:jc w:val="both"/>
              <w:rPr>
                <w:rFonts w:cs="Arial"/>
                <w:szCs w:val="22"/>
                <w:lang w:eastAsia="it-IT"/>
              </w:rPr>
            </w:pPr>
          </w:p>
        </w:tc>
      </w:tr>
      <w:tr w:rsidR="00D1052A" w:rsidRPr="0019790A" w14:paraId="6C6AC4EA" w14:textId="77777777" w:rsidTr="00D1052A">
        <w:trPr>
          <w:trHeight w:val="240"/>
          <w:jc w:val="right"/>
        </w:trPr>
        <w:tc>
          <w:tcPr>
            <w:tcW w:w="3425" w:type="dxa"/>
            <w:shd w:val="clear" w:color="auto" w:fill="FFFFFF"/>
            <w:vAlign w:val="center"/>
          </w:tcPr>
          <w:p w14:paraId="050FE5AF" w14:textId="77777777" w:rsidR="00D1052A" w:rsidRPr="0019790A" w:rsidRDefault="00D1052A" w:rsidP="0019790A">
            <w:pPr>
              <w:rPr>
                <w:rFonts w:cs="Arial"/>
                <w:b/>
                <w:bCs/>
                <w:szCs w:val="22"/>
              </w:rPr>
            </w:pPr>
            <w:r w:rsidRPr="0019790A">
              <w:rPr>
                <w:rFonts w:cs="Arial"/>
                <w:szCs w:val="22"/>
              </w:rPr>
              <w:t>- державний бюджет</w:t>
            </w:r>
          </w:p>
        </w:tc>
        <w:tc>
          <w:tcPr>
            <w:tcW w:w="1254" w:type="dxa"/>
            <w:vAlign w:val="center"/>
          </w:tcPr>
          <w:p w14:paraId="4DEB1223" w14:textId="77777777" w:rsidR="00D1052A" w:rsidRPr="0019790A" w:rsidRDefault="00D1052A" w:rsidP="0019790A">
            <w:pPr>
              <w:jc w:val="both"/>
              <w:rPr>
                <w:rFonts w:cs="Arial"/>
                <w:szCs w:val="22"/>
                <w:lang w:eastAsia="it-IT"/>
              </w:rPr>
            </w:pPr>
          </w:p>
        </w:tc>
        <w:tc>
          <w:tcPr>
            <w:tcW w:w="1275" w:type="dxa"/>
            <w:vAlign w:val="center"/>
          </w:tcPr>
          <w:p w14:paraId="4E239EF5" w14:textId="77777777" w:rsidR="00D1052A" w:rsidRPr="0019790A" w:rsidRDefault="00D1052A" w:rsidP="0019790A">
            <w:pPr>
              <w:jc w:val="both"/>
              <w:rPr>
                <w:rFonts w:cs="Arial"/>
                <w:szCs w:val="22"/>
                <w:lang w:eastAsia="it-IT"/>
              </w:rPr>
            </w:pPr>
            <w:r w:rsidRPr="0019790A">
              <w:rPr>
                <w:rFonts w:cs="Arial"/>
                <w:szCs w:val="22"/>
                <w:lang w:eastAsia="it-IT"/>
              </w:rPr>
              <w:t xml:space="preserve"> </w:t>
            </w:r>
          </w:p>
        </w:tc>
        <w:tc>
          <w:tcPr>
            <w:tcW w:w="1418" w:type="dxa"/>
            <w:vAlign w:val="center"/>
          </w:tcPr>
          <w:p w14:paraId="4795F977" w14:textId="77777777" w:rsidR="00D1052A" w:rsidRPr="0019790A" w:rsidRDefault="00D1052A" w:rsidP="0019790A">
            <w:pPr>
              <w:jc w:val="both"/>
              <w:rPr>
                <w:rFonts w:cs="Arial"/>
                <w:szCs w:val="22"/>
                <w:lang w:eastAsia="it-IT"/>
              </w:rPr>
            </w:pPr>
          </w:p>
        </w:tc>
        <w:tc>
          <w:tcPr>
            <w:tcW w:w="1276" w:type="dxa"/>
            <w:vAlign w:val="center"/>
          </w:tcPr>
          <w:p w14:paraId="5F90299D" w14:textId="77777777" w:rsidR="00D1052A" w:rsidRPr="0019790A" w:rsidRDefault="00D1052A" w:rsidP="0019790A">
            <w:pPr>
              <w:jc w:val="both"/>
              <w:rPr>
                <w:rFonts w:cs="Arial"/>
                <w:szCs w:val="22"/>
                <w:lang w:eastAsia="it-IT"/>
              </w:rPr>
            </w:pPr>
          </w:p>
        </w:tc>
        <w:tc>
          <w:tcPr>
            <w:tcW w:w="1571" w:type="dxa"/>
            <w:vAlign w:val="center"/>
          </w:tcPr>
          <w:p w14:paraId="38994EA4" w14:textId="77777777" w:rsidR="00D1052A" w:rsidRPr="0019790A" w:rsidRDefault="00D1052A" w:rsidP="0019790A">
            <w:pPr>
              <w:jc w:val="both"/>
              <w:rPr>
                <w:rFonts w:cs="Arial"/>
                <w:szCs w:val="22"/>
                <w:lang w:eastAsia="it-IT"/>
              </w:rPr>
            </w:pPr>
            <w:r w:rsidRPr="0019790A">
              <w:rPr>
                <w:rFonts w:cs="Arial"/>
                <w:szCs w:val="22"/>
                <w:lang w:eastAsia="it-IT"/>
              </w:rPr>
              <w:t xml:space="preserve"> </w:t>
            </w:r>
          </w:p>
        </w:tc>
      </w:tr>
      <w:tr w:rsidR="00D1052A" w:rsidRPr="0019790A" w14:paraId="341BA87D" w14:textId="77777777" w:rsidTr="00D1052A">
        <w:trPr>
          <w:trHeight w:val="254"/>
          <w:jc w:val="right"/>
        </w:trPr>
        <w:tc>
          <w:tcPr>
            <w:tcW w:w="3425" w:type="dxa"/>
            <w:shd w:val="clear" w:color="auto" w:fill="FFFFFF"/>
            <w:vAlign w:val="center"/>
          </w:tcPr>
          <w:p w14:paraId="57112EF5" w14:textId="77777777" w:rsidR="00D1052A" w:rsidRPr="0019790A" w:rsidRDefault="00D1052A" w:rsidP="0019790A">
            <w:pPr>
              <w:rPr>
                <w:rFonts w:cs="Arial"/>
                <w:szCs w:val="22"/>
              </w:rPr>
            </w:pPr>
            <w:r w:rsidRPr="0019790A">
              <w:rPr>
                <w:rFonts w:cs="Arial"/>
                <w:szCs w:val="22"/>
              </w:rPr>
              <w:t>- обласний бюджет</w:t>
            </w:r>
          </w:p>
        </w:tc>
        <w:tc>
          <w:tcPr>
            <w:tcW w:w="6794" w:type="dxa"/>
            <w:gridSpan w:val="5"/>
            <w:vAlign w:val="center"/>
          </w:tcPr>
          <w:p w14:paraId="494340D9" w14:textId="77777777" w:rsidR="00D1052A" w:rsidRPr="0019790A" w:rsidRDefault="00D1052A" w:rsidP="0019790A">
            <w:pPr>
              <w:jc w:val="both"/>
              <w:rPr>
                <w:rFonts w:cs="Arial"/>
                <w:szCs w:val="22"/>
                <w:lang w:eastAsia="it-IT"/>
              </w:rPr>
            </w:pPr>
          </w:p>
        </w:tc>
      </w:tr>
      <w:tr w:rsidR="00D1052A" w:rsidRPr="0019790A" w14:paraId="4DC0762B" w14:textId="77777777" w:rsidTr="00D1052A">
        <w:trPr>
          <w:trHeight w:val="275"/>
          <w:jc w:val="right"/>
        </w:trPr>
        <w:tc>
          <w:tcPr>
            <w:tcW w:w="3425" w:type="dxa"/>
            <w:shd w:val="clear" w:color="auto" w:fill="FFFFFF"/>
            <w:vAlign w:val="center"/>
          </w:tcPr>
          <w:p w14:paraId="241B8D37" w14:textId="77777777" w:rsidR="00D1052A" w:rsidRPr="0019790A" w:rsidRDefault="00D1052A" w:rsidP="0019790A">
            <w:pPr>
              <w:rPr>
                <w:rFonts w:cs="Arial"/>
                <w:szCs w:val="22"/>
              </w:rPr>
            </w:pPr>
            <w:r w:rsidRPr="0019790A">
              <w:rPr>
                <w:rFonts w:cs="Arial"/>
                <w:szCs w:val="22"/>
              </w:rPr>
              <w:t>- бюджет Жмеринської МТГ</w:t>
            </w:r>
          </w:p>
        </w:tc>
        <w:tc>
          <w:tcPr>
            <w:tcW w:w="1254" w:type="dxa"/>
            <w:vAlign w:val="center"/>
          </w:tcPr>
          <w:p w14:paraId="50054D99" w14:textId="77777777" w:rsidR="00D1052A" w:rsidRPr="00CD6B99" w:rsidRDefault="00D1052A" w:rsidP="0019790A">
            <w:pPr>
              <w:jc w:val="center"/>
              <w:rPr>
                <w:rFonts w:cs="Arial"/>
                <w:szCs w:val="22"/>
                <w:lang w:eastAsia="it-IT"/>
              </w:rPr>
            </w:pPr>
            <w:r w:rsidRPr="00CD6B99">
              <w:rPr>
                <w:rFonts w:cs="Arial"/>
                <w:szCs w:val="22"/>
                <w:lang w:eastAsia="it-IT"/>
              </w:rPr>
              <w:t>4 000,00</w:t>
            </w:r>
          </w:p>
        </w:tc>
        <w:tc>
          <w:tcPr>
            <w:tcW w:w="1275" w:type="dxa"/>
            <w:vAlign w:val="center"/>
          </w:tcPr>
          <w:p w14:paraId="767EBF85" w14:textId="77777777" w:rsidR="00D1052A" w:rsidRPr="0019790A" w:rsidRDefault="00D1052A" w:rsidP="0019790A">
            <w:pPr>
              <w:jc w:val="center"/>
              <w:rPr>
                <w:rFonts w:cs="Arial"/>
                <w:b/>
                <w:szCs w:val="22"/>
                <w:lang w:eastAsia="it-IT"/>
              </w:rPr>
            </w:pPr>
            <w:r w:rsidRPr="0019790A">
              <w:rPr>
                <w:rFonts w:cs="Arial"/>
                <w:b/>
                <w:szCs w:val="22"/>
              </w:rPr>
              <w:t xml:space="preserve"> </w:t>
            </w:r>
          </w:p>
        </w:tc>
        <w:tc>
          <w:tcPr>
            <w:tcW w:w="1418" w:type="dxa"/>
            <w:vAlign w:val="center"/>
          </w:tcPr>
          <w:p w14:paraId="77864274" w14:textId="77777777" w:rsidR="00D1052A" w:rsidRPr="0019790A" w:rsidRDefault="00D1052A" w:rsidP="0019790A">
            <w:pPr>
              <w:jc w:val="center"/>
              <w:rPr>
                <w:rFonts w:cs="Arial"/>
                <w:b/>
                <w:szCs w:val="22"/>
                <w:lang w:eastAsia="it-IT"/>
              </w:rPr>
            </w:pPr>
            <w:r w:rsidRPr="0019790A">
              <w:rPr>
                <w:rFonts w:cs="Arial"/>
                <w:b/>
                <w:szCs w:val="22"/>
                <w:lang w:eastAsia="it-IT"/>
              </w:rPr>
              <w:t xml:space="preserve"> </w:t>
            </w:r>
          </w:p>
        </w:tc>
        <w:tc>
          <w:tcPr>
            <w:tcW w:w="1276" w:type="dxa"/>
            <w:vAlign w:val="center"/>
          </w:tcPr>
          <w:p w14:paraId="74B06721" w14:textId="77777777" w:rsidR="00D1052A" w:rsidRPr="0019790A" w:rsidRDefault="00D1052A" w:rsidP="0019790A">
            <w:pPr>
              <w:jc w:val="center"/>
              <w:rPr>
                <w:rFonts w:cs="Arial"/>
                <w:b/>
                <w:szCs w:val="22"/>
                <w:lang w:eastAsia="it-IT"/>
              </w:rPr>
            </w:pPr>
          </w:p>
        </w:tc>
        <w:tc>
          <w:tcPr>
            <w:tcW w:w="1571" w:type="dxa"/>
            <w:vAlign w:val="center"/>
          </w:tcPr>
          <w:p w14:paraId="2E715B18" w14:textId="77777777" w:rsidR="00D1052A" w:rsidRPr="0019790A" w:rsidRDefault="00D1052A" w:rsidP="0019790A">
            <w:pPr>
              <w:jc w:val="center"/>
              <w:rPr>
                <w:rFonts w:cs="Arial"/>
                <w:b/>
                <w:szCs w:val="22"/>
                <w:lang w:eastAsia="it-IT"/>
              </w:rPr>
            </w:pPr>
            <w:r w:rsidRPr="0019790A">
              <w:rPr>
                <w:rFonts w:cs="Arial"/>
                <w:b/>
                <w:szCs w:val="22"/>
              </w:rPr>
              <w:t xml:space="preserve"> 4 000,00</w:t>
            </w:r>
          </w:p>
        </w:tc>
      </w:tr>
      <w:tr w:rsidR="00D1052A" w:rsidRPr="0019790A" w14:paraId="47B4DCA6" w14:textId="77777777" w:rsidTr="00D1052A">
        <w:trPr>
          <w:trHeight w:val="226"/>
          <w:jc w:val="right"/>
        </w:trPr>
        <w:tc>
          <w:tcPr>
            <w:tcW w:w="3425" w:type="dxa"/>
            <w:shd w:val="clear" w:color="auto" w:fill="FFFFFF"/>
            <w:vAlign w:val="center"/>
          </w:tcPr>
          <w:p w14:paraId="6B823047" w14:textId="77777777" w:rsidR="00D1052A" w:rsidRPr="0019790A" w:rsidRDefault="00D1052A" w:rsidP="0019790A">
            <w:pPr>
              <w:rPr>
                <w:rFonts w:cs="Arial"/>
                <w:szCs w:val="22"/>
              </w:rPr>
            </w:pPr>
            <w:r w:rsidRPr="0019790A">
              <w:rPr>
                <w:rFonts w:cs="Arial"/>
                <w:szCs w:val="22"/>
              </w:rPr>
              <w:t>- інші джерела фінансування</w:t>
            </w:r>
          </w:p>
        </w:tc>
        <w:tc>
          <w:tcPr>
            <w:tcW w:w="6794" w:type="dxa"/>
            <w:gridSpan w:val="5"/>
            <w:vAlign w:val="center"/>
          </w:tcPr>
          <w:p w14:paraId="7C82F9C4" w14:textId="77777777" w:rsidR="00D1052A" w:rsidRPr="0019790A" w:rsidRDefault="00D1052A" w:rsidP="0019790A">
            <w:pPr>
              <w:jc w:val="both"/>
              <w:rPr>
                <w:rFonts w:cs="Arial"/>
                <w:szCs w:val="22"/>
                <w:lang w:eastAsia="it-IT"/>
              </w:rPr>
            </w:pPr>
          </w:p>
        </w:tc>
      </w:tr>
      <w:tr w:rsidR="00D1052A" w:rsidRPr="0019790A" w14:paraId="4D6F81D4" w14:textId="77777777" w:rsidTr="00D1052A">
        <w:trPr>
          <w:jc w:val="right"/>
        </w:trPr>
        <w:tc>
          <w:tcPr>
            <w:tcW w:w="3425" w:type="dxa"/>
            <w:shd w:val="clear" w:color="auto" w:fill="FFFFFF"/>
            <w:vAlign w:val="center"/>
          </w:tcPr>
          <w:p w14:paraId="00819D4E" w14:textId="77777777" w:rsidR="00D1052A" w:rsidRPr="0019790A" w:rsidRDefault="00D1052A" w:rsidP="0019790A">
            <w:pPr>
              <w:rPr>
                <w:rFonts w:cs="Arial"/>
                <w:b/>
                <w:bCs/>
                <w:szCs w:val="22"/>
              </w:rPr>
            </w:pPr>
            <w:r w:rsidRPr="0019790A">
              <w:rPr>
                <w:rFonts w:cs="Arial"/>
                <w:b/>
                <w:szCs w:val="22"/>
              </w:rPr>
              <w:t>Відповідальний виконавець проєкту:</w:t>
            </w:r>
          </w:p>
        </w:tc>
        <w:tc>
          <w:tcPr>
            <w:tcW w:w="6794" w:type="dxa"/>
            <w:gridSpan w:val="5"/>
            <w:vAlign w:val="center"/>
          </w:tcPr>
          <w:p w14:paraId="077C7A61" w14:textId="77777777" w:rsidR="00D1052A" w:rsidRPr="0019790A" w:rsidRDefault="00D1052A" w:rsidP="0019790A">
            <w:pPr>
              <w:jc w:val="both"/>
              <w:rPr>
                <w:rFonts w:cs="Arial"/>
                <w:szCs w:val="22"/>
                <w:lang w:eastAsia="it-IT"/>
              </w:rPr>
            </w:pPr>
            <w:r w:rsidRPr="0019790A">
              <w:rPr>
                <w:rFonts w:cs="Arial"/>
                <w:szCs w:val="22"/>
                <w:lang w:eastAsia="it-IT"/>
              </w:rPr>
              <w:t>Управління ЖКГ Жмеринської міської ради, Управління освіти Жмеринської міської ради</w:t>
            </w:r>
          </w:p>
        </w:tc>
      </w:tr>
      <w:tr w:rsidR="00D1052A" w:rsidRPr="0019790A" w14:paraId="2441A1E4" w14:textId="77777777" w:rsidTr="00D1052A">
        <w:trPr>
          <w:trHeight w:val="70"/>
          <w:jc w:val="right"/>
        </w:trPr>
        <w:tc>
          <w:tcPr>
            <w:tcW w:w="3425" w:type="dxa"/>
            <w:shd w:val="clear" w:color="auto" w:fill="FFFFFF"/>
            <w:vAlign w:val="center"/>
          </w:tcPr>
          <w:p w14:paraId="49D475E6" w14:textId="77777777" w:rsidR="00D1052A" w:rsidRPr="0019790A" w:rsidRDefault="00D1052A" w:rsidP="0019790A">
            <w:pPr>
              <w:rPr>
                <w:rFonts w:cs="Arial"/>
                <w:b/>
                <w:bCs/>
                <w:color w:val="000000"/>
                <w:szCs w:val="22"/>
              </w:rPr>
            </w:pPr>
            <w:r w:rsidRPr="0019790A">
              <w:rPr>
                <w:rFonts w:cs="Arial"/>
                <w:b/>
                <w:bCs/>
                <w:color w:val="000000"/>
                <w:szCs w:val="22"/>
              </w:rPr>
              <w:t>Інше:</w:t>
            </w:r>
          </w:p>
        </w:tc>
        <w:tc>
          <w:tcPr>
            <w:tcW w:w="6794" w:type="dxa"/>
            <w:gridSpan w:val="5"/>
            <w:vAlign w:val="center"/>
          </w:tcPr>
          <w:p w14:paraId="76BBCC79" w14:textId="77777777" w:rsidR="00D1052A" w:rsidRPr="0019790A" w:rsidRDefault="00D1052A" w:rsidP="0019790A">
            <w:pPr>
              <w:rPr>
                <w:rFonts w:cs="Arial"/>
                <w:color w:val="000000"/>
                <w:szCs w:val="22"/>
                <w:lang w:eastAsia="it-IT"/>
              </w:rPr>
            </w:pPr>
          </w:p>
          <w:p w14:paraId="1DA02895" w14:textId="77777777" w:rsidR="00D1052A" w:rsidRPr="0019790A" w:rsidRDefault="00D1052A" w:rsidP="0019790A">
            <w:pPr>
              <w:rPr>
                <w:rFonts w:cs="Arial"/>
                <w:color w:val="000000"/>
                <w:szCs w:val="22"/>
                <w:lang w:eastAsia="it-IT"/>
              </w:rPr>
            </w:pPr>
          </w:p>
        </w:tc>
      </w:tr>
    </w:tbl>
    <w:p w14:paraId="3139F9D9" w14:textId="77777777" w:rsidR="007B4387" w:rsidRPr="0019790A" w:rsidRDefault="007B4387" w:rsidP="0019790A">
      <w:pPr>
        <w:rPr>
          <w:rFonts w:cs="Arial"/>
          <w:b/>
          <w:color w:val="FF0000"/>
          <w:szCs w:val="22"/>
        </w:rPr>
      </w:pPr>
    </w:p>
    <w:p w14:paraId="5485817C" w14:textId="77777777" w:rsidR="00D1052A" w:rsidRPr="0019790A" w:rsidRDefault="00D1052A" w:rsidP="0019790A">
      <w:pPr>
        <w:rPr>
          <w:rFonts w:cs="Arial"/>
          <w:b/>
          <w:color w:val="FF0000"/>
          <w:szCs w:val="22"/>
        </w:rPr>
      </w:pPr>
    </w:p>
    <w:p w14:paraId="1A30863D" w14:textId="77777777" w:rsidR="00D1052A" w:rsidRPr="0019790A" w:rsidRDefault="00D1052A" w:rsidP="0019790A">
      <w:pPr>
        <w:jc w:val="center"/>
        <w:rPr>
          <w:rFonts w:cs="Arial"/>
          <w:b/>
          <w:szCs w:val="22"/>
        </w:rPr>
      </w:pPr>
      <w:r w:rsidRPr="0019790A">
        <w:rPr>
          <w:rFonts w:cs="Arial"/>
          <w:b/>
          <w:szCs w:val="22"/>
        </w:rPr>
        <w:t xml:space="preserve">Форма технічного завдання на проєкт місцевого розвитку </w:t>
      </w:r>
    </w:p>
    <w:p w14:paraId="529AA135" w14:textId="77777777" w:rsidR="00D1052A" w:rsidRPr="0019790A" w:rsidRDefault="00D1052A" w:rsidP="0019790A">
      <w:pPr>
        <w:jc w:val="center"/>
        <w:rPr>
          <w:rFonts w:cs="Arial"/>
          <w:b/>
          <w:szCs w:val="22"/>
        </w:rPr>
      </w:pPr>
      <w:r w:rsidRPr="0019790A">
        <w:rPr>
          <w:rFonts w:cs="Arial"/>
          <w:b/>
          <w:szCs w:val="22"/>
        </w:rPr>
        <w:t>до Плану заходів з реалізації Стратегії</w:t>
      </w:r>
    </w:p>
    <w:p w14:paraId="1127604C" w14:textId="77777777" w:rsidR="00D1052A" w:rsidRPr="0019790A" w:rsidRDefault="00D1052A"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1275"/>
        <w:gridCol w:w="1418"/>
        <w:gridCol w:w="1276"/>
        <w:gridCol w:w="1571"/>
      </w:tblGrid>
      <w:tr w:rsidR="00D1052A" w:rsidRPr="0019790A" w14:paraId="11559591" w14:textId="77777777" w:rsidTr="00D1052A">
        <w:trPr>
          <w:jc w:val="right"/>
        </w:trPr>
        <w:tc>
          <w:tcPr>
            <w:tcW w:w="3425" w:type="dxa"/>
            <w:vAlign w:val="center"/>
          </w:tcPr>
          <w:p w14:paraId="2EA6089F" w14:textId="77777777" w:rsidR="00D1052A" w:rsidRPr="0019790A" w:rsidRDefault="00D1052A" w:rsidP="0019790A">
            <w:pPr>
              <w:rPr>
                <w:rFonts w:cs="Arial"/>
                <w:b/>
                <w:bCs/>
                <w:szCs w:val="22"/>
              </w:rPr>
            </w:pPr>
            <w:r w:rsidRPr="0019790A">
              <w:rPr>
                <w:rFonts w:cs="Arial"/>
                <w:b/>
                <w:bCs/>
                <w:szCs w:val="22"/>
              </w:rPr>
              <w:t>Назва проєкту:</w:t>
            </w:r>
          </w:p>
        </w:tc>
        <w:tc>
          <w:tcPr>
            <w:tcW w:w="6794" w:type="dxa"/>
            <w:gridSpan w:val="5"/>
          </w:tcPr>
          <w:p w14:paraId="32A57A67" w14:textId="5CE438CD" w:rsidR="00D1052A" w:rsidRPr="0019790A" w:rsidRDefault="00D1052A" w:rsidP="0019790A">
            <w:pPr>
              <w:rPr>
                <w:rFonts w:cs="Arial"/>
                <w:szCs w:val="22"/>
                <w:lang w:eastAsia="it-IT"/>
              </w:rPr>
            </w:pPr>
            <w:r w:rsidRPr="0019790A">
              <w:rPr>
                <w:rFonts w:cs="Arial"/>
                <w:b/>
                <w:szCs w:val="22"/>
              </w:rPr>
              <w:t>Пожежна сигналізація - необхідна умова створення безпечного освітнього простору в КЗ «Жмеринський ліцей № 4»</w:t>
            </w:r>
          </w:p>
        </w:tc>
      </w:tr>
      <w:tr w:rsidR="00D1052A" w:rsidRPr="0019790A" w14:paraId="12214C38" w14:textId="77777777" w:rsidTr="00D1052A">
        <w:trPr>
          <w:jc w:val="right"/>
        </w:trPr>
        <w:tc>
          <w:tcPr>
            <w:tcW w:w="3425" w:type="dxa"/>
          </w:tcPr>
          <w:p w14:paraId="1B578E7B" w14:textId="77777777" w:rsidR="00D1052A" w:rsidRPr="0019790A" w:rsidRDefault="00D1052A"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0901BE02" w14:textId="77777777" w:rsidR="00D1052A" w:rsidRPr="0019790A" w:rsidRDefault="00D1052A"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5"/>
          </w:tcPr>
          <w:p w14:paraId="22E3047B" w14:textId="77777777" w:rsidR="00D1052A" w:rsidRPr="0019790A" w:rsidRDefault="00D1052A" w:rsidP="0019790A">
            <w:pPr>
              <w:rPr>
                <w:rFonts w:cs="Arial"/>
                <w:szCs w:val="22"/>
                <w:lang w:eastAsia="it-IT"/>
              </w:rPr>
            </w:pPr>
            <w:r w:rsidRPr="0019790A">
              <w:rPr>
                <w:rFonts w:cs="Arial"/>
                <w:szCs w:val="22"/>
                <w:lang w:eastAsia="it-IT"/>
              </w:rPr>
              <w:t>Управління освіти Жмеринської міської ради</w:t>
            </w:r>
          </w:p>
          <w:p w14:paraId="7A2FAD89" w14:textId="77777777" w:rsidR="00D1052A" w:rsidRPr="0019790A" w:rsidRDefault="00D1052A" w:rsidP="0019790A">
            <w:pPr>
              <w:rPr>
                <w:rFonts w:cs="Arial"/>
                <w:szCs w:val="22"/>
                <w:lang w:eastAsia="it-IT"/>
              </w:rPr>
            </w:pPr>
            <w:r w:rsidRPr="0019790A">
              <w:rPr>
                <w:rFonts w:eastAsia="Arial" w:cs="Arial"/>
                <w:szCs w:val="22"/>
                <w:shd w:val="clear" w:color="auto" w:fill="FFFFFF"/>
              </w:rPr>
              <w:t>КЗ «Жмеринський ліцей №4»</w:t>
            </w:r>
          </w:p>
        </w:tc>
      </w:tr>
      <w:tr w:rsidR="00D1052A" w:rsidRPr="0019790A" w14:paraId="28CBB415" w14:textId="77777777" w:rsidTr="00D1052A">
        <w:trPr>
          <w:jc w:val="right"/>
        </w:trPr>
        <w:tc>
          <w:tcPr>
            <w:tcW w:w="3425" w:type="dxa"/>
          </w:tcPr>
          <w:p w14:paraId="2275C61B" w14:textId="77777777" w:rsidR="00D1052A" w:rsidRPr="0019790A" w:rsidRDefault="00D1052A" w:rsidP="0019790A">
            <w:pPr>
              <w:rPr>
                <w:rFonts w:cs="Arial"/>
                <w:b/>
                <w:bCs/>
                <w:szCs w:val="22"/>
              </w:rPr>
            </w:pPr>
            <w:r w:rsidRPr="0019790A">
              <w:rPr>
                <w:rFonts w:cs="Arial"/>
                <w:szCs w:val="22"/>
                <w:lang w:eastAsia="it-IT"/>
              </w:rPr>
              <w:t>Прізвище Ім’я по-батькові:</w:t>
            </w:r>
          </w:p>
        </w:tc>
        <w:tc>
          <w:tcPr>
            <w:tcW w:w="6794" w:type="dxa"/>
            <w:gridSpan w:val="5"/>
          </w:tcPr>
          <w:p w14:paraId="1B3DB168" w14:textId="77777777" w:rsidR="00D1052A" w:rsidRPr="0019790A" w:rsidRDefault="00D1052A" w:rsidP="0019790A">
            <w:pPr>
              <w:pStyle w:val="TableParagraph"/>
              <w:ind w:left="0"/>
              <w:rPr>
                <w:rFonts w:ascii="Arial" w:hAnsi="Arial" w:cs="Arial"/>
              </w:rPr>
            </w:pPr>
            <w:r w:rsidRPr="0019790A">
              <w:rPr>
                <w:rFonts w:ascii="Arial" w:hAnsi="Arial" w:cs="Arial"/>
              </w:rPr>
              <w:t>Твердохліб Аліна Петрівна</w:t>
            </w:r>
          </w:p>
        </w:tc>
      </w:tr>
      <w:tr w:rsidR="00D1052A" w:rsidRPr="0019790A" w14:paraId="40956B97" w14:textId="77777777" w:rsidTr="00D1052A">
        <w:trPr>
          <w:jc w:val="right"/>
        </w:trPr>
        <w:tc>
          <w:tcPr>
            <w:tcW w:w="3425" w:type="dxa"/>
          </w:tcPr>
          <w:p w14:paraId="29C8402E" w14:textId="77777777" w:rsidR="00D1052A" w:rsidRPr="0019790A" w:rsidRDefault="00D1052A" w:rsidP="0019790A">
            <w:pPr>
              <w:rPr>
                <w:rFonts w:cs="Arial"/>
                <w:b/>
                <w:bCs/>
                <w:szCs w:val="22"/>
              </w:rPr>
            </w:pPr>
            <w:r w:rsidRPr="0019790A">
              <w:rPr>
                <w:rFonts w:cs="Arial"/>
                <w:szCs w:val="22"/>
                <w:lang w:eastAsia="it-IT"/>
              </w:rPr>
              <w:t>Телефон (мобільний):</w:t>
            </w:r>
          </w:p>
        </w:tc>
        <w:tc>
          <w:tcPr>
            <w:tcW w:w="6794" w:type="dxa"/>
            <w:gridSpan w:val="5"/>
          </w:tcPr>
          <w:p w14:paraId="0252E12F" w14:textId="77777777" w:rsidR="00D1052A" w:rsidRPr="0019790A" w:rsidRDefault="00D1052A" w:rsidP="0019790A">
            <w:pPr>
              <w:pStyle w:val="TableParagraph"/>
              <w:ind w:left="66"/>
              <w:rPr>
                <w:rFonts w:ascii="Arial" w:hAnsi="Arial" w:cs="Arial"/>
              </w:rPr>
            </w:pPr>
            <w:r w:rsidRPr="0019790A">
              <w:rPr>
                <w:rFonts w:ascii="Arial" w:hAnsi="Arial" w:cs="Arial"/>
                <w:spacing w:val="-2"/>
              </w:rPr>
              <w:t>+380 (67) 895 55 75</w:t>
            </w:r>
          </w:p>
        </w:tc>
      </w:tr>
      <w:tr w:rsidR="00D1052A" w:rsidRPr="0019790A" w14:paraId="17C98A77" w14:textId="77777777" w:rsidTr="00D1052A">
        <w:trPr>
          <w:jc w:val="right"/>
        </w:trPr>
        <w:tc>
          <w:tcPr>
            <w:tcW w:w="3425" w:type="dxa"/>
          </w:tcPr>
          <w:p w14:paraId="3F4D5D72" w14:textId="77777777" w:rsidR="00D1052A" w:rsidRPr="0019790A" w:rsidRDefault="00D1052A" w:rsidP="0019790A">
            <w:pPr>
              <w:rPr>
                <w:rFonts w:cs="Arial"/>
                <w:b/>
                <w:bCs/>
                <w:szCs w:val="22"/>
              </w:rPr>
            </w:pPr>
            <w:r w:rsidRPr="0019790A">
              <w:rPr>
                <w:rFonts w:cs="Arial"/>
                <w:szCs w:val="22"/>
                <w:lang w:eastAsia="it-IT"/>
              </w:rPr>
              <w:t>Електронна адреса:</w:t>
            </w:r>
          </w:p>
        </w:tc>
        <w:tc>
          <w:tcPr>
            <w:tcW w:w="6794" w:type="dxa"/>
            <w:gridSpan w:val="5"/>
          </w:tcPr>
          <w:p w14:paraId="1606A3E0" w14:textId="77777777" w:rsidR="00D1052A" w:rsidRPr="0019790A" w:rsidRDefault="00D1052A" w:rsidP="0019790A">
            <w:pPr>
              <w:pStyle w:val="TableParagraph"/>
              <w:ind w:left="66"/>
              <w:rPr>
                <w:rFonts w:ascii="Arial" w:hAnsi="Arial" w:cs="Arial"/>
                <w:b/>
              </w:rPr>
            </w:pPr>
            <w:r w:rsidRPr="0019790A">
              <w:rPr>
                <w:rFonts w:ascii="Arial" w:hAnsi="Arial" w:cs="Arial"/>
              </w:rPr>
              <w:t xml:space="preserve"> </w:t>
            </w:r>
            <w:hyperlink r:id="rId110" w:history="1">
              <w:r w:rsidRPr="0019790A">
                <w:rPr>
                  <w:rStyle w:val="af0"/>
                  <w:rFonts w:ascii="Arial" w:hAnsi="Arial" w:cs="Arial"/>
                  <w:noProof w:val="0"/>
                  <w:spacing w:val="5"/>
                  <w:sz w:val="22"/>
                  <w:szCs w:val="22"/>
                </w:rPr>
                <w:t>uposv.zmr@gmail.com</w:t>
              </w:r>
            </w:hyperlink>
          </w:p>
        </w:tc>
      </w:tr>
      <w:tr w:rsidR="00D1052A" w:rsidRPr="0019790A" w14:paraId="016B2EB5" w14:textId="77777777" w:rsidTr="00D1052A">
        <w:trPr>
          <w:jc w:val="right"/>
        </w:trPr>
        <w:tc>
          <w:tcPr>
            <w:tcW w:w="3425" w:type="dxa"/>
            <w:vAlign w:val="center"/>
          </w:tcPr>
          <w:p w14:paraId="29D1B2A6" w14:textId="77777777" w:rsidR="00D1052A" w:rsidRPr="0019790A" w:rsidRDefault="00D1052A" w:rsidP="0019790A">
            <w:pPr>
              <w:pStyle w:val="6"/>
              <w:spacing w:before="0" w:after="0"/>
              <w:rPr>
                <w:rFonts w:ascii="Arial" w:hAnsi="Arial" w:cs="Arial"/>
                <w:lang w:val="uk-UA"/>
              </w:rPr>
            </w:pPr>
            <w:r w:rsidRPr="0019790A">
              <w:rPr>
                <w:rFonts w:ascii="Arial" w:hAnsi="Arial" w:cs="Arial"/>
                <w:lang w:val="uk-UA"/>
              </w:rPr>
              <w:t>Номер і назва завдання з Стратегії</w:t>
            </w:r>
            <w:r w:rsidRPr="0019790A">
              <w:rPr>
                <w:rFonts w:ascii="Arial" w:hAnsi="Arial" w:cs="Arial"/>
                <w:lang w:val="uk-UA" w:eastAsia="it-IT"/>
              </w:rPr>
              <w:t xml:space="preserve"> </w:t>
            </w:r>
            <w:r w:rsidRPr="0019790A">
              <w:rPr>
                <w:rFonts w:ascii="Arial" w:hAnsi="Arial" w:cs="Arial"/>
                <w:lang w:val="uk-UA"/>
              </w:rPr>
              <w:t>розвитку Жмеринської міської територіальної громади,  якому відповідає проєкт:</w:t>
            </w:r>
          </w:p>
        </w:tc>
        <w:tc>
          <w:tcPr>
            <w:tcW w:w="6794" w:type="dxa"/>
            <w:gridSpan w:val="5"/>
          </w:tcPr>
          <w:p w14:paraId="6CBF65B7" w14:textId="77777777" w:rsidR="00D1052A" w:rsidRPr="0019790A" w:rsidRDefault="00D1052A" w:rsidP="0019790A">
            <w:pPr>
              <w:pBdr>
                <w:left w:val="single" w:sz="18" w:space="4" w:color="auto"/>
              </w:pBdr>
              <w:jc w:val="both"/>
              <w:rPr>
                <w:rFonts w:cs="Arial"/>
                <w:szCs w:val="22"/>
              </w:rPr>
            </w:pPr>
            <w:r w:rsidRPr="0019790A">
              <w:rPr>
                <w:rFonts w:cs="Arial"/>
                <w:szCs w:val="22"/>
                <w:lang w:eastAsia="it-IT"/>
              </w:rPr>
              <w:t xml:space="preserve"> </w:t>
            </w:r>
            <w:r w:rsidRPr="0019790A">
              <w:rPr>
                <w:rFonts w:cs="Arial"/>
                <w:szCs w:val="22"/>
              </w:rPr>
              <w:t>С.1.1.2. Розвиток освітньої інфраструктури територіальної громади відповідно до вимог час</w:t>
            </w:r>
          </w:p>
          <w:p w14:paraId="05AE0E67" w14:textId="77777777" w:rsidR="00D1052A" w:rsidRPr="0019790A" w:rsidRDefault="00D1052A" w:rsidP="0019790A">
            <w:pPr>
              <w:pBdr>
                <w:left w:val="single" w:sz="18" w:space="4" w:color="auto"/>
              </w:pBdr>
              <w:rPr>
                <w:rFonts w:cs="Arial"/>
                <w:szCs w:val="22"/>
                <w:lang w:eastAsia="it-IT"/>
              </w:rPr>
            </w:pPr>
            <w:r w:rsidRPr="0019790A">
              <w:rPr>
                <w:rFonts w:cs="Arial"/>
                <w:szCs w:val="22"/>
              </w:rPr>
              <w:t>С.1.2.1. Підвищення рівня громадської безпеки в закладах освіти.</w:t>
            </w:r>
          </w:p>
        </w:tc>
      </w:tr>
      <w:tr w:rsidR="00D1052A" w:rsidRPr="0019790A" w14:paraId="01ECB001" w14:textId="77777777" w:rsidTr="00D1052A">
        <w:trPr>
          <w:jc w:val="right"/>
        </w:trPr>
        <w:tc>
          <w:tcPr>
            <w:tcW w:w="3425" w:type="dxa"/>
            <w:vAlign w:val="center"/>
          </w:tcPr>
          <w:p w14:paraId="07EB8C75" w14:textId="77777777" w:rsidR="00D1052A" w:rsidRPr="0019790A" w:rsidRDefault="00D1052A" w:rsidP="0019790A">
            <w:pPr>
              <w:rPr>
                <w:rFonts w:cs="Arial"/>
                <w:b/>
                <w:bCs/>
                <w:szCs w:val="22"/>
              </w:rPr>
            </w:pPr>
            <w:r w:rsidRPr="0019790A">
              <w:rPr>
                <w:rFonts w:cs="Arial"/>
                <w:b/>
                <w:bCs/>
                <w:szCs w:val="22"/>
              </w:rPr>
              <w:t>Мета проєкту:</w:t>
            </w:r>
          </w:p>
        </w:tc>
        <w:tc>
          <w:tcPr>
            <w:tcW w:w="6794" w:type="dxa"/>
            <w:gridSpan w:val="5"/>
          </w:tcPr>
          <w:p w14:paraId="7278088B" w14:textId="77777777" w:rsidR="00D1052A" w:rsidRPr="0019790A" w:rsidRDefault="00D1052A" w:rsidP="0019790A">
            <w:pPr>
              <w:jc w:val="both"/>
              <w:rPr>
                <w:rFonts w:cs="Arial"/>
                <w:szCs w:val="22"/>
                <w:lang w:eastAsia="it-IT"/>
              </w:rPr>
            </w:pPr>
            <w:r w:rsidRPr="0019790A">
              <w:rPr>
                <w:rFonts w:cs="Arial"/>
                <w:szCs w:val="22"/>
              </w:rPr>
              <w:t>Підвищення рівня безпеки життєдіяльності учасників освітнього процесу як у звичайних умовах так і в умовах виникнення надзвичайних ситуацій</w:t>
            </w:r>
            <w:r w:rsidRPr="0019790A">
              <w:rPr>
                <w:rFonts w:cs="Arial"/>
                <w:iCs/>
                <w:szCs w:val="22"/>
              </w:rPr>
              <w:t>.</w:t>
            </w:r>
          </w:p>
        </w:tc>
      </w:tr>
      <w:tr w:rsidR="00D1052A" w:rsidRPr="0019790A" w14:paraId="06DDF4C1" w14:textId="77777777" w:rsidTr="00D1052A">
        <w:trPr>
          <w:jc w:val="right"/>
        </w:trPr>
        <w:tc>
          <w:tcPr>
            <w:tcW w:w="3425" w:type="dxa"/>
            <w:vAlign w:val="center"/>
          </w:tcPr>
          <w:p w14:paraId="7028B6A8" w14:textId="77777777" w:rsidR="00D1052A" w:rsidRPr="0019790A" w:rsidRDefault="00D1052A" w:rsidP="0019790A">
            <w:pPr>
              <w:rPr>
                <w:rFonts w:cs="Arial"/>
                <w:b/>
                <w:bCs/>
                <w:szCs w:val="22"/>
              </w:rPr>
            </w:pPr>
            <w:r w:rsidRPr="0019790A">
              <w:rPr>
                <w:rFonts w:cs="Arial"/>
                <w:b/>
                <w:bCs/>
                <w:szCs w:val="22"/>
              </w:rPr>
              <w:t>Цілі проєкту:</w:t>
            </w:r>
          </w:p>
        </w:tc>
        <w:tc>
          <w:tcPr>
            <w:tcW w:w="6794" w:type="dxa"/>
            <w:gridSpan w:val="5"/>
          </w:tcPr>
          <w:p w14:paraId="64F42FE3" w14:textId="77777777" w:rsidR="00D1052A" w:rsidRPr="0019790A" w:rsidRDefault="00D1052A" w:rsidP="0019790A">
            <w:pPr>
              <w:jc w:val="both"/>
              <w:rPr>
                <w:rFonts w:cs="Arial"/>
                <w:szCs w:val="22"/>
                <w:lang w:eastAsia="it-IT"/>
              </w:rPr>
            </w:pPr>
            <w:r w:rsidRPr="0019790A">
              <w:rPr>
                <w:rFonts w:cs="Arial"/>
                <w:szCs w:val="22"/>
              </w:rPr>
              <w:t xml:space="preserve"> Створення</w:t>
            </w:r>
            <w:r w:rsidRPr="0019790A">
              <w:rPr>
                <w:rFonts w:eastAsia="Arial" w:cs="Arial"/>
                <w:szCs w:val="22"/>
                <w:shd w:val="clear" w:color="auto" w:fill="FFFFFF"/>
              </w:rPr>
              <w:t xml:space="preserve"> безпечного освітнього простору в КЗ «Жмеринський ліцей №4» шляхом облаштування системи автоматичної пожежної сигналізації  </w:t>
            </w:r>
            <w:r w:rsidRPr="0019790A">
              <w:rPr>
                <w:rFonts w:cs="Arial"/>
                <w:szCs w:val="22"/>
              </w:rPr>
              <w:t xml:space="preserve"> </w:t>
            </w:r>
          </w:p>
        </w:tc>
      </w:tr>
      <w:tr w:rsidR="00D1052A" w:rsidRPr="0019790A" w14:paraId="00084B74" w14:textId="77777777" w:rsidTr="00D1052A">
        <w:trPr>
          <w:jc w:val="right"/>
        </w:trPr>
        <w:tc>
          <w:tcPr>
            <w:tcW w:w="3425" w:type="dxa"/>
            <w:vAlign w:val="center"/>
          </w:tcPr>
          <w:p w14:paraId="0C034910" w14:textId="77777777" w:rsidR="00D1052A" w:rsidRPr="0019790A" w:rsidRDefault="00D1052A" w:rsidP="0019790A">
            <w:pPr>
              <w:autoSpaceDE w:val="0"/>
              <w:autoSpaceDN w:val="0"/>
              <w:adjustRightInd w:val="0"/>
              <w:rPr>
                <w:rFonts w:cs="Arial"/>
                <w:b/>
                <w:szCs w:val="22"/>
              </w:rPr>
            </w:pPr>
            <w:r w:rsidRPr="0019790A">
              <w:rPr>
                <w:rFonts w:cs="Arial"/>
                <w:b/>
                <w:szCs w:val="22"/>
              </w:rPr>
              <w:t>Територія на яку проєкт матиме вплив:</w:t>
            </w:r>
          </w:p>
        </w:tc>
        <w:tc>
          <w:tcPr>
            <w:tcW w:w="6794" w:type="dxa"/>
            <w:gridSpan w:val="5"/>
          </w:tcPr>
          <w:p w14:paraId="7516A015" w14:textId="77777777" w:rsidR="00D1052A" w:rsidRPr="0019790A" w:rsidRDefault="00D1052A" w:rsidP="0019790A">
            <w:pPr>
              <w:rPr>
                <w:rFonts w:cs="Arial"/>
                <w:szCs w:val="22"/>
                <w:lang w:eastAsia="it-IT"/>
              </w:rPr>
            </w:pPr>
            <w:r w:rsidRPr="0019790A">
              <w:rPr>
                <w:rFonts w:cs="Arial"/>
                <w:szCs w:val="22"/>
                <w:lang w:eastAsia="it-IT"/>
              </w:rPr>
              <w:t xml:space="preserve">Територія Жмеринської міської територіальної громади </w:t>
            </w:r>
          </w:p>
        </w:tc>
      </w:tr>
      <w:tr w:rsidR="00D1052A" w:rsidRPr="0019790A" w14:paraId="2B5C6163" w14:textId="77777777" w:rsidTr="00D1052A">
        <w:trPr>
          <w:jc w:val="right"/>
        </w:trPr>
        <w:tc>
          <w:tcPr>
            <w:tcW w:w="3425" w:type="dxa"/>
            <w:vAlign w:val="center"/>
          </w:tcPr>
          <w:p w14:paraId="59436480" w14:textId="77777777" w:rsidR="00D1052A" w:rsidRPr="0019790A" w:rsidRDefault="00D1052A" w:rsidP="0019790A">
            <w:pPr>
              <w:autoSpaceDE w:val="0"/>
              <w:autoSpaceDN w:val="0"/>
              <w:adjustRightInd w:val="0"/>
              <w:rPr>
                <w:rFonts w:cs="Arial"/>
                <w:b/>
                <w:szCs w:val="22"/>
              </w:rPr>
            </w:pPr>
            <w:r w:rsidRPr="0019790A">
              <w:rPr>
                <w:rFonts w:cs="Arial"/>
                <w:b/>
                <w:szCs w:val="22"/>
              </w:rPr>
              <w:t>Цільові групи проєкту та кількість отримувачів вигоди</w:t>
            </w:r>
          </w:p>
        </w:tc>
        <w:tc>
          <w:tcPr>
            <w:tcW w:w="6794" w:type="dxa"/>
            <w:gridSpan w:val="5"/>
          </w:tcPr>
          <w:p w14:paraId="097367A9" w14:textId="77777777" w:rsidR="00D1052A" w:rsidRPr="0019790A" w:rsidRDefault="00D1052A" w:rsidP="0019790A">
            <w:pPr>
              <w:pStyle w:val="TableParagraph"/>
              <w:rPr>
                <w:rFonts w:ascii="Arial" w:hAnsi="Arial" w:cs="Arial"/>
              </w:rPr>
            </w:pPr>
            <w:r w:rsidRPr="0019790A">
              <w:rPr>
                <w:rFonts w:ascii="Arial" w:hAnsi="Arial" w:cs="Arial"/>
              </w:rPr>
              <w:t>850 здобувачів освіти, працівники закладу, батьки, відвідувачі, жителі громади.</w:t>
            </w:r>
          </w:p>
        </w:tc>
      </w:tr>
      <w:tr w:rsidR="00D1052A" w:rsidRPr="0019790A" w14:paraId="3241A50A" w14:textId="77777777" w:rsidTr="00D1052A">
        <w:trPr>
          <w:jc w:val="right"/>
        </w:trPr>
        <w:tc>
          <w:tcPr>
            <w:tcW w:w="3425" w:type="dxa"/>
            <w:shd w:val="clear" w:color="auto" w:fill="FFFFFF"/>
            <w:vAlign w:val="center"/>
          </w:tcPr>
          <w:p w14:paraId="1210E623" w14:textId="77777777" w:rsidR="00D1052A" w:rsidRPr="0019790A" w:rsidRDefault="00D1052A" w:rsidP="0019790A">
            <w:pPr>
              <w:rPr>
                <w:rFonts w:cs="Arial"/>
                <w:b/>
                <w:bCs/>
                <w:szCs w:val="22"/>
              </w:rPr>
            </w:pPr>
            <w:r w:rsidRPr="0019790A">
              <w:rPr>
                <w:rFonts w:cs="Arial"/>
                <w:b/>
                <w:bCs/>
                <w:szCs w:val="22"/>
              </w:rPr>
              <w:t>Стислий опис проєкту:</w:t>
            </w:r>
          </w:p>
        </w:tc>
        <w:tc>
          <w:tcPr>
            <w:tcW w:w="6794" w:type="dxa"/>
            <w:gridSpan w:val="5"/>
          </w:tcPr>
          <w:p w14:paraId="2D599805" w14:textId="77777777" w:rsidR="00D1052A" w:rsidRPr="0019790A" w:rsidRDefault="00D1052A" w:rsidP="0019790A">
            <w:pPr>
              <w:ind w:left="-10"/>
              <w:jc w:val="both"/>
              <w:rPr>
                <w:rFonts w:cs="Arial"/>
                <w:szCs w:val="22"/>
              </w:rPr>
            </w:pPr>
            <w:r w:rsidRPr="0019790A">
              <w:rPr>
                <w:rFonts w:cs="Arial"/>
                <w:szCs w:val="22"/>
                <w:shd w:val="clear" w:color="auto" w:fill="FFFFFF"/>
              </w:rPr>
              <w:t xml:space="preserve">   </w:t>
            </w:r>
            <w:r w:rsidRPr="0019790A">
              <w:rPr>
                <w:rFonts w:cs="Arial"/>
                <w:szCs w:val="22"/>
              </w:rPr>
              <w:t xml:space="preserve">Питання безпеки, добробуту та здоров’я учасників освітнього процесу є одним з пріоритетних в освіті Жмеринської міської ТГ, адже у нездоровій атмосфері чи небезпечному освітньому середовищі складно забезпечити здобуття якісної освіти. </w:t>
            </w:r>
          </w:p>
          <w:p w14:paraId="6129C058" w14:textId="77777777" w:rsidR="00D1052A" w:rsidRPr="0019790A" w:rsidRDefault="00D1052A" w:rsidP="0019790A">
            <w:pPr>
              <w:ind w:left="-10"/>
              <w:jc w:val="both"/>
              <w:rPr>
                <w:rFonts w:cs="Arial"/>
                <w:szCs w:val="22"/>
              </w:rPr>
            </w:pPr>
            <w:r w:rsidRPr="0019790A">
              <w:rPr>
                <w:rFonts w:cs="Arial"/>
                <w:szCs w:val="22"/>
              </w:rPr>
              <w:t xml:space="preserve">     </w:t>
            </w:r>
            <w:r w:rsidRPr="0019790A">
              <w:rPr>
                <w:rFonts w:cs="Arial"/>
                <w:bCs/>
                <w:szCs w:val="22"/>
                <w:bdr w:val="none" w:sz="0" w:space="0" w:color="auto" w:frame="1"/>
                <w:lang w:eastAsia="uk-UA"/>
              </w:rPr>
              <w:t>Сучасна система пожежної безпеки навчального закладу</w:t>
            </w:r>
            <w:r w:rsidRPr="0019790A">
              <w:rPr>
                <w:rFonts w:cs="Arial"/>
                <w:szCs w:val="22"/>
                <w:lang w:eastAsia="uk-UA"/>
              </w:rPr>
              <w:t xml:space="preserve"> — це комплекс інтелектуальних продуктів і рішень, які допомагають не просто забезпечити потрібний рівень безпеки та вчасно виявити й розпізнати можливу загрозу, а й швидко та ефективно евакуювати людей у разі необхідності.  </w:t>
            </w:r>
          </w:p>
          <w:p w14:paraId="19C4E994" w14:textId="77777777" w:rsidR="00D1052A" w:rsidRPr="0019790A" w:rsidRDefault="00D1052A" w:rsidP="0019790A">
            <w:pPr>
              <w:jc w:val="both"/>
              <w:rPr>
                <w:rFonts w:cs="Arial"/>
                <w:szCs w:val="22"/>
                <w:lang w:eastAsia="it-IT"/>
              </w:rPr>
            </w:pPr>
            <w:r w:rsidRPr="0019790A">
              <w:rPr>
                <w:rFonts w:cs="Arial"/>
                <w:szCs w:val="22"/>
              </w:rPr>
              <w:t xml:space="preserve">   Реалізація проєкту сприятиме формуванню безпечного освітнього простору у закладі освіти та дозволить здійснювати постійний моніторинг пожежного стану приміщень за допомогою технічних засобів виявлення пожежі шляхом автоматичного контролю наявності первинних ознак (збільшення задимленості, підвищення температури тощо).</w:t>
            </w:r>
            <w:r w:rsidRPr="0019790A">
              <w:rPr>
                <w:rFonts w:eastAsia="Arial" w:cs="Arial"/>
                <w:szCs w:val="22"/>
                <w:shd w:val="clear" w:color="auto" w:fill="FFFFFF"/>
              </w:rPr>
              <w:t xml:space="preserve"> </w:t>
            </w:r>
            <w:r w:rsidRPr="0019790A">
              <w:rPr>
                <w:rFonts w:cs="Arial"/>
                <w:i/>
                <w:szCs w:val="22"/>
              </w:rPr>
              <w:t xml:space="preserve"> </w:t>
            </w:r>
            <w:r w:rsidRPr="0019790A">
              <w:rPr>
                <w:rFonts w:eastAsia="Arial" w:cs="Arial"/>
                <w:szCs w:val="22"/>
                <w:shd w:val="clear" w:color="auto" w:fill="FFFFFF"/>
              </w:rPr>
              <w:t xml:space="preserve">  </w:t>
            </w:r>
          </w:p>
        </w:tc>
      </w:tr>
      <w:tr w:rsidR="00D1052A" w:rsidRPr="0019790A" w14:paraId="3AEC2EF3" w14:textId="77777777" w:rsidTr="00D1052A">
        <w:trPr>
          <w:jc w:val="right"/>
        </w:trPr>
        <w:tc>
          <w:tcPr>
            <w:tcW w:w="3425" w:type="dxa"/>
            <w:shd w:val="clear" w:color="auto" w:fill="FFFFFF"/>
            <w:vAlign w:val="center"/>
          </w:tcPr>
          <w:p w14:paraId="1B65350B" w14:textId="77777777" w:rsidR="00D1052A" w:rsidRPr="0019790A" w:rsidRDefault="00D1052A" w:rsidP="0019790A">
            <w:pPr>
              <w:rPr>
                <w:rFonts w:cs="Arial"/>
                <w:b/>
                <w:bCs/>
                <w:szCs w:val="22"/>
              </w:rPr>
            </w:pPr>
            <w:r w:rsidRPr="0019790A">
              <w:rPr>
                <w:rFonts w:cs="Arial"/>
                <w:b/>
                <w:bCs/>
                <w:szCs w:val="22"/>
              </w:rPr>
              <w:t>Основні заходи проєкту:</w:t>
            </w:r>
          </w:p>
        </w:tc>
        <w:tc>
          <w:tcPr>
            <w:tcW w:w="6794" w:type="dxa"/>
            <w:gridSpan w:val="5"/>
          </w:tcPr>
          <w:p w14:paraId="14B0BA9E" w14:textId="77777777" w:rsidR="00D1052A" w:rsidRPr="0019790A" w:rsidRDefault="00D1052A" w:rsidP="00CD6B99">
            <w:pPr>
              <w:pStyle w:val="af4"/>
              <w:numPr>
                <w:ilvl w:val="0"/>
                <w:numId w:val="26"/>
              </w:numPr>
              <w:tabs>
                <w:tab w:val="left" w:pos="515"/>
              </w:tabs>
              <w:suppressAutoHyphens w:val="0"/>
              <w:spacing w:after="0" w:line="240" w:lineRule="auto"/>
              <w:ind w:left="39" w:firstLine="281"/>
              <w:contextualSpacing/>
              <w:jc w:val="both"/>
              <w:rPr>
                <w:rFonts w:ascii="Arial" w:hAnsi="Arial" w:cs="Arial"/>
                <w:b/>
                <w:iCs/>
              </w:rPr>
            </w:pPr>
            <w:r w:rsidRPr="0019790A">
              <w:rPr>
                <w:rFonts w:ascii="Arial" w:hAnsi="Arial" w:cs="Arial"/>
                <w:lang w:eastAsia="it-IT"/>
              </w:rPr>
              <w:t>Виготовлення ПКД на в</w:t>
            </w:r>
            <w:r w:rsidRPr="0019790A">
              <w:rPr>
                <w:rFonts w:ascii="Arial" w:hAnsi="Arial" w:cs="Arial"/>
                <w:iCs/>
              </w:rPr>
              <w:t xml:space="preserve">становлення автоматичної пожежної сигналізації   </w:t>
            </w:r>
          </w:p>
          <w:p w14:paraId="5AF40E26" w14:textId="77777777" w:rsidR="00D1052A" w:rsidRPr="0019790A" w:rsidRDefault="00D1052A" w:rsidP="00CD6B99">
            <w:pPr>
              <w:pStyle w:val="af4"/>
              <w:numPr>
                <w:ilvl w:val="0"/>
                <w:numId w:val="26"/>
              </w:numPr>
              <w:tabs>
                <w:tab w:val="left" w:pos="515"/>
              </w:tabs>
              <w:suppressAutoHyphens w:val="0"/>
              <w:spacing w:after="0" w:line="240" w:lineRule="auto"/>
              <w:ind w:left="39" w:firstLine="281"/>
              <w:contextualSpacing/>
              <w:jc w:val="both"/>
              <w:rPr>
                <w:rFonts w:ascii="Arial" w:hAnsi="Arial" w:cs="Arial"/>
                <w:b/>
                <w:iCs/>
              </w:rPr>
            </w:pPr>
            <w:r w:rsidRPr="0019790A">
              <w:rPr>
                <w:rFonts w:ascii="Arial" w:hAnsi="Arial" w:cs="Arial"/>
                <w:lang w:eastAsia="it-IT"/>
              </w:rPr>
              <w:t>Проведення процедури закупівель</w:t>
            </w:r>
          </w:p>
          <w:p w14:paraId="5FCF9DF8" w14:textId="77777777" w:rsidR="00D1052A" w:rsidRPr="0019790A" w:rsidRDefault="00D1052A" w:rsidP="00CD6B99">
            <w:pPr>
              <w:pStyle w:val="af4"/>
              <w:numPr>
                <w:ilvl w:val="0"/>
                <w:numId w:val="26"/>
              </w:numPr>
              <w:tabs>
                <w:tab w:val="left" w:pos="515"/>
              </w:tabs>
              <w:suppressAutoHyphens w:val="0"/>
              <w:spacing w:after="0" w:line="240" w:lineRule="auto"/>
              <w:ind w:left="39" w:firstLine="281"/>
              <w:contextualSpacing/>
              <w:jc w:val="both"/>
              <w:rPr>
                <w:rFonts w:ascii="Arial" w:hAnsi="Arial" w:cs="Arial"/>
                <w:b/>
                <w:iCs/>
              </w:rPr>
            </w:pPr>
            <w:r w:rsidRPr="0019790A">
              <w:rPr>
                <w:rFonts w:ascii="Arial" w:hAnsi="Arial" w:cs="Arial"/>
                <w:iCs/>
              </w:rPr>
              <w:t xml:space="preserve">Здійснення робіт з встановлення автоматичної пожежної сигналізації в КЗ «Жмеринський ліцей № 4»  </w:t>
            </w:r>
          </w:p>
        </w:tc>
      </w:tr>
      <w:tr w:rsidR="00D1052A" w:rsidRPr="0019790A" w14:paraId="1D377054" w14:textId="77777777" w:rsidTr="00D1052A">
        <w:trPr>
          <w:jc w:val="right"/>
        </w:trPr>
        <w:tc>
          <w:tcPr>
            <w:tcW w:w="3425" w:type="dxa"/>
            <w:shd w:val="clear" w:color="auto" w:fill="FFFFFF"/>
            <w:vAlign w:val="center"/>
          </w:tcPr>
          <w:p w14:paraId="11D203C9" w14:textId="77777777" w:rsidR="00D1052A" w:rsidRPr="0019790A" w:rsidRDefault="00D1052A" w:rsidP="0019790A">
            <w:pPr>
              <w:rPr>
                <w:rFonts w:cs="Arial"/>
                <w:b/>
                <w:bCs/>
                <w:szCs w:val="22"/>
              </w:rPr>
            </w:pPr>
            <w:r w:rsidRPr="0019790A">
              <w:rPr>
                <w:rFonts w:cs="Arial"/>
                <w:b/>
                <w:bCs/>
                <w:szCs w:val="22"/>
              </w:rPr>
              <w:t>Індикатори (показники) результативності:</w:t>
            </w:r>
          </w:p>
        </w:tc>
        <w:tc>
          <w:tcPr>
            <w:tcW w:w="6794" w:type="dxa"/>
            <w:gridSpan w:val="5"/>
          </w:tcPr>
          <w:p w14:paraId="40E7F1E3" w14:textId="67D8B0B2" w:rsidR="00D1052A" w:rsidRPr="0019790A" w:rsidRDefault="00D1052A" w:rsidP="0019790A">
            <w:pPr>
              <w:widowControl w:val="0"/>
              <w:jc w:val="both"/>
              <w:rPr>
                <w:rFonts w:cs="Arial"/>
                <w:szCs w:val="22"/>
              </w:rPr>
            </w:pPr>
            <w:r w:rsidRPr="0019790A">
              <w:rPr>
                <w:rFonts w:cs="Arial"/>
                <w:iCs/>
                <w:szCs w:val="22"/>
              </w:rPr>
              <w:t xml:space="preserve"> </w:t>
            </w:r>
            <w:r w:rsidRPr="0019790A">
              <w:rPr>
                <w:rFonts w:eastAsia="Arial" w:cs="Arial"/>
                <w:szCs w:val="22"/>
                <w:shd w:val="clear" w:color="auto" w:fill="FFFFFF"/>
              </w:rPr>
              <w:t xml:space="preserve"> Збі</w:t>
            </w:r>
            <w:r w:rsidR="00CD6B99">
              <w:rPr>
                <w:rFonts w:eastAsia="Arial" w:cs="Arial"/>
                <w:szCs w:val="22"/>
                <w:shd w:val="clear" w:color="auto" w:fill="FFFFFF"/>
              </w:rPr>
              <w:t>ль</w:t>
            </w:r>
            <w:r w:rsidRPr="0019790A">
              <w:rPr>
                <w:rFonts w:eastAsia="Arial" w:cs="Arial"/>
                <w:szCs w:val="22"/>
                <w:shd w:val="clear" w:color="auto" w:fill="FFFFFF"/>
              </w:rPr>
              <w:t xml:space="preserve">шення кількості закладів освіти, де створено безпечний освітній простір шляхом облаштування системи автоматичної пожежної сигналізації  </w:t>
            </w:r>
            <w:r w:rsidRPr="0019790A">
              <w:rPr>
                <w:rFonts w:cs="Arial"/>
                <w:szCs w:val="22"/>
              </w:rPr>
              <w:t xml:space="preserve">  </w:t>
            </w:r>
          </w:p>
        </w:tc>
      </w:tr>
      <w:tr w:rsidR="00D1052A" w:rsidRPr="0019790A" w14:paraId="2A5A41B6" w14:textId="77777777" w:rsidTr="00D1052A">
        <w:trPr>
          <w:jc w:val="right"/>
        </w:trPr>
        <w:tc>
          <w:tcPr>
            <w:tcW w:w="3425" w:type="dxa"/>
            <w:shd w:val="clear" w:color="auto" w:fill="FFFFFF"/>
            <w:vAlign w:val="center"/>
          </w:tcPr>
          <w:p w14:paraId="72DCF857" w14:textId="77777777" w:rsidR="00D1052A" w:rsidRPr="0019790A" w:rsidRDefault="00D1052A" w:rsidP="0019790A">
            <w:pPr>
              <w:rPr>
                <w:rFonts w:cs="Arial"/>
                <w:b/>
                <w:szCs w:val="22"/>
              </w:rPr>
            </w:pPr>
            <w:r w:rsidRPr="0019790A">
              <w:rPr>
                <w:rFonts w:cs="Arial"/>
                <w:b/>
                <w:szCs w:val="22"/>
              </w:rPr>
              <w:t xml:space="preserve">Період здійснення: </w:t>
            </w:r>
          </w:p>
        </w:tc>
        <w:tc>
          <w:tcPr>
            <w:tcW w:w="6794" w:type="dxa"/>
            <w:gridSpan w:val="5"/>
            <w:vAlign w:val="center"/>
          </w:tcPr>
          <w:p w14:paraId="223019CB" w14:textId="77777777" w:rsidR="00D1052A" w:rsidRPr="0019790A" w:rsidRDefault="00D1052A" w:rsidP="0019790A">
            <w:pPr>
              <w:rPr>
                <w:rFonts w:cs="Arial"/>
                <w:szCs w:val="22"/>
                <w:lang w:eastAsia="it-IT"/>
              </w:rPr>
            </w:pPr>
            <w:r w:rsidRPr="0019790A">
              <w:rPr>
                <w:rFonts w:cs="Arial"/>
                <w:b/>
                <w:szCs w:val="22"/>
              </w:rPr>
              <w:t>2025 – 2028 роки:</w:t>
            </w:r>
          </w:p>
        </w:tc>
      </w:tr>
      <w:tr w:rsidR="00D1052A" w:rsidRPr="0019790A" w14:paraId="2DF9A33E" w14:textId="77777777" w:rsidTr="00D1052A">
        <w:trPr>
          <w:jc w:val="right"/>
        </w:trPr>
        <w:tc>
          <w:tcPr>
            <w:tcW w:w="3425" w:type="dxa"/>
            <w:vMerge w:val="restart"/>
            <w:shd w:val="clear" w:color="auto" w:fill="FFFFFF"/>
            <w:vAlign w:val="center"/>
          </w:tcPr>
          <w:p w14:paraId="6397A919" w14:textId="77777777" w:rsidR="00D1052A" w:rsidRPr="0019790A" w:rsidRDefault="00D1052A" w:rsidP="0019790A">
            <w:pPr>
              <w:rPr>
                <w:rFonts w:cs="Arial"/>
                <w:b/>
                <w:bCs/>
                <w:szCs w:val="22"/>
              </w:rPr>
            </w:pPr>
            <w:r w:rsidRPr="0019790A">
              <w:rPr>
                <w:rFonts w:cs="Arial"/>
                <w:b/>
                <w:bCs/>
                <w:szCs w:val="22"/>
              </w:rPr>
              <w:t>Орієнтовна вартість проєкту, тис. грн., в тому числі:</w:t>
            </w:r>
          </w:p>
        </w:tc>
        <w:tc>
          <w:tcPr>
            <w:tcW w:w="1254" w:type="dxa"/>
            <w:shd w:val="clear" w:color="auto" w:fill="E6E6E6"/>
            <w:vAlign w:val="center"/>
          </w:tcPr>
          <w:p w14:paraId="4C3F16F2" w14:textId="77777777" w:rsidR="00D1052A" w:rsidRPr="0019790A" w:rsidRDefault="00D1052A" w:rsidP="0019790A">
            <w:pPr>
              <w:jc w:val="center"/>
              <w:rPr>
                <w:rFonts w:cs="Arial"/>
                <w:b/>
                <w:szCs w:val="22"/>
                <w:lang w:eastAsia="it-IT"/>
              </w:rPr>
            </w:pPr>
            <w:r w:rsidRPr="0019790A">
              <w:rPr>
                <w:rFonts w:cs="Arial"/>
                <w:b/>
                <w:szCs w:val="22"/>
                <w:lang w:eastAsia="it-IT"/>
              </w:rPr>
              <w:t>2025</w:t>
            </w:r>
          </w:p>
        </w:tc>
        <w:tc>
          <w:tcPr>
            <w:tcW w:w="1275" w:type="dxa"/>
            <w:shd w:val="clear" w:color="auto" w:fill="E6E6E6"/>
            <w:vAlign w:val="center"/>
          </w:tcPr>
          <w:p w14:paraId="2B602D37" w14:textId="77777777" w:rsidR="00D1052A" w:rsidRPr="0019790A" w:rsidRDefault="00D1052A" w:rsidP="0019790A">
            <w:pPr>
              <w:jc w:val="center"/>
              <w:rPr>
                <w:rFonts w:cs="Arial"/>
                <w:b/>
                <w:szCs w:val="22"/>
                <w:lang w:eastAsia="it-IT"/>
              </w:rPr>
            </w:pPr>
            <w:r w:rsidRPr="0019790A">
              <w:rPr>
                <w:rFonts w:cs="Arial"/>
                <w:b/>
                <w:szCs w:val="22"/>
                <w:lang w:eastAsia="it-IT"/>
              </w:rPr>
              <w:t>2026</w:t>
            </w:r>
          </w:p>
        </w:tc>
        <w:tc>
          <w:tcPr>
            <w:tcW w:w="1418" w:type="dxa"/>
            <w:tcBorders>
              <w:bottom w:val="single" w:sz="4" w:space="0" w:color="auto"/>
            </w:tcBorders>
            <w:shd w:val="clear" w:color="auto" w:fill="E6E6E6"/>
            <w:vAlign w:val="center"/>
          </w:tcPr>
          <w:p w14:paraId="23B34EA7" w14:textId="77777777" w:rsidR="00D1052A" w:rsidRPr="0019790A" w:rsidRDefault="00D1052A" w:rsidP="0019790A">
            <w:pPr>
              <w:jc w:val="center"/>
              <w:rPr>
                <w:rFonts w:cs="Arial"/>
                <w:b/>
                <w:szCs w:val="22"/>
                <w:lang w:eastAsia="it-IT"/>
              </w:rPr>
            </w:pPr>
            <w:r w:rsidRPr="0019790A">
              <w:rPr>
                <w:rFonts w:cs="Arial"/>
                <w:b/>
                <w:szCs w:val="22"/>
                <w:lang w:eastAsia="it-IT"/>
              </w:rPr>
              <w:t>2027</w:t>
            </w:r>
          </w:p>
        </w:tc>
        <w:tc>
          <w:tcPr>
            <w:tcW w:w="1276" w:type="dxa"/>
            <w:shd w:val="clear" w:color="auto" w:fill="E6E6E6"/>
            <w:vAlign w:val="center"/>
          </w:tcPr>
          <w:p w14:paraId="30DD34EF" w14:textId="77777777" w:rsidR="00D1052A" w:rsidRPr="0019790A" w:rsidRDefault="00D1052A" w:rsidP="0019790A">
            <w:pPr>
              <w:jc w:val="center"/>
              <w:rPr>
                <w:rFonts w:cs="Arial"/>
                <w:b/>
                <w:szCs w:val="22"/>
                <w:lang w:eastAsia="it-IT"/>
              </w:rPr>
            </w:pPr>
            <w:r w:rsidRPr="0019790A">
              <w:rPr>
                <w:rFonts w:cs="Arial"/>
                <w:b/>
                <w:szCs w:val="22"/>
                <w:lang w:eastAsia="it-IT"/>
              </w:rPr>
              <w:t>2028</w:t>
            </w:r>
          </w:p>
        </w:tc>
        <w:tc>
          <w:tcPr>
            <w:tcW w:w="1571" w:type="dxa"/>
            <w:shd w:val="clear" w:color="auto" w:fill="E6E6E6"/>
            <w:vAlign w:val="center"/>
          </w:tcPr>
          <w:p w14:paraId="31448D9E" w14:textId="77777777" w:rsidR="00D1052A" w:rsidRPr="0019790A" w:rsidRDefault="00D1052A" w:rsidP="0019790A">
            <w:pPr>
              <w:jc w:val="center"/>
              <w:rPr>
                <w:rFonts w:cs="Arial"/>
                <w:b/>
                <w:szCs w:val="22"/>
                <w:lang w:eastAsia="it-IT"/>
              </w:rPr>
            </w:pPr>
            <w:r w:rsidRPr="0019790A">
              <w:rPr>
                <w:rFonts w:cs="Arial"/>
                <w:b/>
                <w:szCs w:val="22"/>
                <w:lang w:eastAsia="it-IT"/>
              </w:rPr>
              <w:t>РАЗОМ</w:t>
            </w:r>
          </w:p>
        </w:tc>
      </w:tr>
      <w:tr w:rsidR="00D1052A" w:rsidRPr="0019790A" w14:paraId="1C903C0B" w14:textId="77777777" w:rsidTr="00D1052A">
        <w:trPr>
          <w:jc w:val="right"/>
        </w:trPr>
        <w:tc>
          <w:tcPr>
            <w:tcW w:w="3425" w:type="dxa"/>
            <w:vMerge/>
            <w:shd w:val="clear" w:color="auto" w:fill="FFFFFF"/>
            <w:vAlign w:val="center"/>
          </w:tcPr>
          <w:p w14:paraId="5CF847E1" w14:textId="77777777" w:rsidR="00D1052A" w:rsidRPr="0019790A" w:rsidRDefault="00D1052A" w:rsidP="0019790A">
            <w:pPr>
              <w:rPr>
                <w:rFonts w:cs="Arial"/>
                <w:b/>
                <w:bCs/>
                <w:szCs w:val="22"/>
              </w:rPr>
            </w:pPr>
          </w:p>
        </w:tc>
        <w:tc>
          <w:tcPr>
            <w:tcW w:w="1254" w:type="dxa"/>
            <w:vAlign w:val="center"/>
          </w:tcPr>
          <w:p w14:paraId="3BEA7215" w14:textId="77777777" w:rsidR="00D1052A" w:rsidRPr="0019790A" w:rsidRDefault="00D1052A" w:rsidP="0019790A">
            <w:pPr>
              <w:jc w:val="center"/>
              <w:rPr>
                <w:rFonts w:cs="Arial"/>
                <w:b/>
                <w:szCs w:val="22"/>
                <w:lang w:eastAsia="it-IT"/>
              </w:rPr>
            </w:pPr>
            <w:r w:rsidRPr="0019790A">
              <w:rPr>
                <w:rFonts w:cs="Arial"/>
                <w:b/>
                <w:szCs w:val="22"/>
                <w:lang w:eastAsia="it-IT"/>
              </w:rPr>
              <w:t xml:space="preserve"> 150,00</w:t>
            </w:r>
          </w:p>
        </w:tc>
        <w:tc>
          <w:tcPr>
            <w:tcW w:w="1275" w:type="dxa"/>
            <w:shd w:val="clear" w:color="auto" w:fill="FFFFFF"/>
            <w:vAlign w:val="center"/>
          </w:tcPr>
          <w:p w14:paraId="2C276653" w14:textId="77777777" w:rsidR="00D1052A" w:rsidRPr="0019790A" w:rsidRDefault="00D1052A" w:rsidP="0019790A">
            <w:pPr>
              <w:jc w:val="center"/>
              <w:rPr>
                <w:rFonts w:cs="Arial"/>
                <w:b/>
                <w:szCs w:val="22"/>
                <w:lang w:eastAsia="it-IT"/>
              </w:rPr>
            </w:pPr>
            <w:r w:rsidRPr="0019790A">
              <w:rPr>
                <w:rFonts w:cs="Arial"/>
                <w:b/>
                <w:szCs w:val="22"/>
                <w:lang w:eastAsia="it-IT"/>
              </w:rPr>
              <w:t xml:space="preserve">3 000,00 </w:t>
            </w:r>
          </w:p>
        </w:tc>
        <w:tc>
          <w:tcPr>
            <w:tcW w:w="1418" w:type="dxa"/>
            <w:shd w:val="clear" w:color="auto" w:fill="auto"/>
            <w:vAlign w:val="center"/>
          </w:tcPr>
          <w:p w14:paraId="7E8D37B2" w14:textId="77777777" w:rsidR="00D1052A" w:rsidRPr="0019790A" w:rsidRDefault="00D1052A" w:rsidP="0019790A">
            <w:pPr>
              <w:jc w:val="center"/>
              <w:rPr>
                <w:rFonts w:cs="Arial"/>
                <w:b/>
                <w:szCs w:val="22"/>
                <w:lang w:eastAsia="it-IT"/>
              </w:rPr>
            </w:pPr>
            <w:r w:rsidRPr="0019790A">
              <w:rPr>
                <w:rFonts w:cs="Arial"/>
                <w:b/>
                <w:szCs w:val="22"/>
                <w:lang w:eastAsia="it-IT"/>
              </w:rPr>
              <w:t xml:space="preserve"> </w:t>
            </w:r>
          </w:p>
        </w:tc>
        <w:tc>
          <w:tcPr>
            <w:tcW w:w="1276" w:type="dxa"/>
            <w:shd w:val="clear" w:color="auto" w:fill="FFFFFF"/>
            <w:vAlign w:val="center"/>
          </w:tcPr>
          <w:p w14:paraId="0A9E94B0" w14:textId="77777777" w:rsidR="00D1052A" w:rsidRPr="0019790A" w:rsidRDefault="00D1052A" w:rsidP="0019790A">
            <w:pPr>
              <w:jc w:val="center"/>
              <w:rPr>
                <w:rFonts w:cs="Arial"/>
                <w:b/>
                <w:szCs w:val="22"/>
                <w:lang w:eastAsia="it-IT"/>
              </w:rPr>
            </w:pPr>
            <w:r w:rsidRPr="0019790A">
              <w:rPr>
                <w:rFonts w:cs="Arial"/>
                <w:b/>
                <w:szCs w:val="22"/>
                <w:lang w:eastAsia="it-IT"/>
              </w:rPr>
              <w:t xml:space="preserve"> </w:t>
            </w:r>
          </w:p>
        </w:tc>
        <w:tc>
          <w:tcPr>
            <w:tcW w:w="1571" w:type="dxa"/>
            <w:shd w:val="clear" w:color="auto" w:fill="FFFFFF"/>
            <w:vAlign w:val="center"/>
          </w:tcPr>
          <w:p w14:paraId="00BAE282" w14:textId="77777777" w:rsidR="00D1052A" w:rsidRPr="0019790A" w:rsidRDefault="00D1052A" w:rsidP="0019790A">
            <w:pPr>
              <w:jc w:val="center"/>
              <w:rPr>
                <w:rFonts w:cs="Arial"/>
                <w:b/>
                <w:bCs/>
                <w:szCs w:val="22"/>
                <w:lang w:eastAsia="it-IT"/>
              </w:rPr>
            </w:pPr>
            <w:r w:rsidRPr="0019790A">
              <w:rPr>
                <w:rFonts w:cs="Arial"/>
                <w:b/>
                <w:bCs/>
                <w:szCs w:val="22"/>
              </w:rPr>
              <w:t xml:space="preserve">3 150,00 </w:t>
            </w:r>
          </w:p>
        </w:tc>
      </w:tr>
      <w:tr w:rsidR="00D1052A" w:rsidRPr="0019790A" w14:paraId="4E7F90F5" w14:textId="77777777" w:rsidTr="00D1052A">
        <w:trPr>
          <w:trHeight w:val="276"/>
          <w:jc w:val="right"/>
        </w:trPr>
        <w:tc>
          <w:tcPr>
            <w:tcW w:w="3425" w:type="dxa"/>
            <w:shd w:val="clear" w:color="auto" w:fill="FFFFFF"/>
            <w:vAlign w:val="center"/>
          </w:tcPr>
          <w:p w14:paraId="645C28EB" w14:textId="77777777" w:rsidR="00D1052A" w:rsidRPr="0019790A" w:rsidRDefault="00D1052A" w:rsidP="0019790A">
            <w:pPr>
              <w:rPr>
                <w:rFonts w:cs="Arial"/>
                <w:b/>
                <w:bCs/>
                <w:szCs w:val="22"/>
              </w:rPr>
            </w:pPr>
            <w:r w:rsidRPr="0019790A">
              <w:rPr>
                <w:rFonts w:cs="Arial"/>
                <w:b/>
                <w:bCs/>
                <w:szCs w:val="22"/>
              </w:rPr>
              <w:t>по джерелах фінансування:</w:t>
            </w:r>
          </w:p>
        </w:tc>
        <w:tc>
          <w:tcPr>
            <w:tcW w:w="6794" w:type="dxa"/>
            <w:gridSpan w:val="5"/>
            <w:vAlign w:val="center"/>
          </w:tcPr>
          <w:p w14:paraId="3E9AAA2F" w14:textId="77777777" w:rsidR="00D1052A" w:rsidRPr="0019790A" w:rsidRDefault="00D1052A" w:rsidP="0019790A">
            <w:pPr>
              <w:jc w:val="both"/>
              <w:rPr>
                <w:rFonts w:cs="Arial"/>
                <w:szCs w:val="22"/>
                <w:lang w:eastAsia="it-IT"/>
              </w:rPr>
            </w:pPr>
          </w:p>
        </w:tc>
      </w:tr>
      <w:tr w:rsidR="00D1052A" w:rsidRPr="0019790A" w14:paraId="34FA2A22" w14:textId="77777777" w:rsidTr="00D1052A">
        <w:trPr>
          <w:trHeight w:val="240"/>
          <w:jc w:val="right"/>
        </w:trPr>
        <w:tc>
          <w:tcPr>
            <w:tcW w:w="3425" w:type="dxa"/>
            <w:shd w:val="clear" w:color="auto" w:fill="FFFFFF"/>
            <w:vAlign w:val="center"/>
          </w:tcPr>
          <w:p w14:paraId="0EE8F693" w14:textId="77777777" w:rsidR="00D1052A" w:rsidRPr="0019790A" w:rsidRDefault="00D1052A" w:rsidP="0019790A">
            <w:pPr>
              <w:rPr>
                <w:rFonts w:cs="Arial"/>
                <w:b/>
                <w:bCs/>
                <w:szCs w:val="22"/>
              </w:rPr>
            </w:pPr>
            <w:r w:rsidRPr="0019790A">
              <w:rPr>
                <w:rFonts w:cs="Arial"/>
                <w:szCs w:val="22"/>
              </w:rPr>
              <w:t>- державний бюджет</w:t>
            </w:r>
          </w:p>
        </w:tc>
        <w:tc>
          <w:tcPr>
            <w:tcW w:w="1254" w:type="dxa"/>
            <w:vAlign w:val="center"/>
          </w:tcPr>
          <w:p w14:paraId="1A482AA4" w14:textId="77777777" w:rsidR="00D1052A" w:rsidRPr="0019790A" w:rsidRDefault="00D1052A" w:rsidP="0019790A">
            <w:pPr>
              <w:jc w:val="center"/>
              <w:rPr>
                <w:rFonts w:cs="Arial"/>
                <w:szCs w:val="22"/>
                <w:lang w:eastAsia="it-IT"/>
              </w:rPr>
            </w:pPr>
            <w:r w:rsidRPr="0019790A">
              <w:rPr>
                <w:rFonts w:cs="Arial"/>
                <w:szCs w:val="22"/>
                <w:lang w:eastAsia="it-IT"/>
              </w:rPr>
              <w:t>120,00</w:t>
            </w:r>
          </w:p>
        </w:tc>
        <w:tc>
          <w:tcPr>
            <w:tcW w:w="1275" w:type="dxa"/>
            <w:vAlign w:val="center"/>
          </w:tcPr>
          <w:p w14:paraId="5D9882C2" w14:textId="77777777" w:rsidR="00D1052A" w:rsidRPr="0019790A" w:rsidRDefault="00D1052A" w:rsidP="0019790A">
            <w:pPr>
              <w:jc w:val="center"/>
              <w:rPr>
                <w:rFonts w:cs="Arial"/>
                <w:szCs w:val="22"/>
                <w:lang w:eastAsia="it-IT"/>
              </w:rPr>
            </w:pPr>
            <w:r w:rsidRPr="0019790A">
              <w:rPr>
                <w:rFonts w:cs="Arial"/>
                <w:szCs w:val="22"/>
                <w:lang w:eastAsia="it-IT"/>
              </w:rPr>
              <w:t>2400,00</w:t>
            </w:r>
          </w:p>
        </w:tc>
        <w:tc>
          <w:tcPr>
            <w:tcW w:w="1418" w:type="dxa"/>
            <w:vAlign w:val="center"/>
          </w:tcPr>
          <w:p w14:paraId="3EDD3A9F" w14:textId="77777777" w:rsidR="00D1052A" w:rsidRPr="0019790A" w:rsidRDefault="00D1052A" w:rsidP="0019790A">
            <w:pPr>
              <w:jc w:val="center"/>
              <w:rPr>
                <w:rFonts w:cs="Arial"/>
                <w:szCs w:val="22"/>
                <w:lang w:eastAsia="it-IT"/>
              </w:rPr>
            </w:pPr>
          </w:p>
        </w:tc>
        <w:tc>
          <w:tcPr>
            <w:tcW w:w="1276" w:type="dxa"/>
            <w:vAlign w:val="center"/>
          </w:tcPr>
          <w:p w14:paraId="481EC00D" w14:textId="77777777" w:rsidR="00D1052A" w:rsidRPr="0019790A" w:rsidRDefault="00D1052A" w:rsidP="0019790A">
            <w:pPr>
              <w:jc w:val="center"/>
              <w:rPr>
                <w:rFonts w:cs="Arial"/>
                <w:szCs w:val="22"/>
                <w:lang w:eastAsia="it-IT"/>
              </w:rPr>
            </w:pPr>
          </w:p>
        </w:tc>
        <w:tc>
          <w:tcPr>
            <w:tcW w:w="1571" w:type="dxa"/>
            <w:vAlign w:val="center"/>
          </w:tcPr>
          <w:p w14:paraId="5EBA87D7" w14:textId="77777777" w:rsidR="00D1052A" w:rsidRPr="00CD6B99" w:rsidRDefault="00D1052A" w:rsidP="0019790A">
            <w:pPr>
              <w:jc w:val="center"/>
              <w:rPr>
                <w:rFonts w:cs="Arial"/>
                <w:b/>
                <w:szCs w:val="22"/>
                <w:lang w:eastAsia="it-IT"/>
              </w:rPr>
            </w:pPr>
            <w:r w:rsidRPr="00CD6B99">
              <w:rPr>
                <w:rFonts w:cs="Arial"/>
                <w:b/>
                <w:szCs w:val="22"/>
                <w:lang w:eastAsia="it-IT"/>
              </w:rPr>
              <w:t>2520,00</w:t>
            </w:r>
          </w:p>
        </w:tc>
      </w:tr>
      <w:tr w:rsidR="00D1052A" w:rsidRPr="0019790A" w14:paraId="3D9A0017" w14:textId="77777777" w:rsidTr="00D1052A">
        <w:trPr>
          <w:trHeight w:val="254"/>
          <w:jc w:val="right"/>
        </w:trPr>
        <w:tc>
          <w:tcPr>
            <w:tcW w:w="3425" w:type="dxa"/>
            <w:shd w:val="clear" w:color="auto" w:fill="FFFFFF"/>
            <w:vAlign w:val="center"/>
          </w:tcPr>
          <w:p w14:paraId="7C2F2AD2" w14:textId="77777777" w:rsidR="00D1052A" w:rsidRPr="0019790A" w:rsidRDefault="00D1052A" w:rsidP="0019790A">
            <w:pPr>
              <w:rPr>
                <w:rFonts w:cs="Arial"/>
                <w:szCs w:val="22"/>
              </w:rPr>
            </w:pPr>
            <w:r w:rsidRPr="0019790A">
              <w:rPr>
                <w:rFonts w:cs="Arial"/>
                <w:szCs w:val="22"/>
              </w:rPr>
              <w:t>- обласний бюджет</w:t>
            </w:r>
          </w:p>
        </w:tc>
        <w:tc>
          <w:tcPr>
            <w:tcW w:w="6794" w:type="dxa"/>
            <w:gridSpan w:val="5"/>
            <w:vAlign w:val="center"/>
          </w:tcPr>
          <w:p w14:paraId="388ABDA4" w14:textId="77777777" w:rsidR="00D1052A" w:rsidRPr="00CD6B99" w:rsidRDefault="00D1052A" w:rsidP="0019790A">
            <w:pPr>
              <w:jc w:val="center"/>
              <w:rPr>
                <w:rFonts w:cs="Arial"/>
                <w:b/>
                <w:szCs w:val="22"/>
                <w:lang w:eastAsia="it-IT"/>
              </w:rPr>
            </w:pPr>
          </w:p>
        </w:tc>
      </w:tr>
      <w:tr w:rsidR="00D1052A" w:rsidRPr="0019790A" w14:paraId="6CBFBE19" w14:textId="77777777" w:rsidTr="00D1052A">
        <w:trPr>
          <w:trHeight w:val="275"/>
          <w:jc w:val="right"/>
        </w:trPr>
        <w:tc>
          <w:tcPr>
            <w:tcW w:w="3425" w:type="dxa"/>
            <w:shd w:val="clear" w:color="auto" w:fill="FFFFFF"/>
            <w:vAlign w:val="center"/>
          </w:tcPr>
          <w:p w14:paraId="58023F15" w14:textId="77777777" w:rsidR="00D1052A" w:rsidRPr="0019790A" w:rsidRDefault="00D1052A" w:rsidP="0019790A">
            <w:pPr>
              <w:rPr>
                <w:rFonts w:cs="Arial"/>
                <w:szCs w:val="22"/>
              </w:rPr>
            </w:pPr>
            <w:r w:rsidRPr="0019790A">
              <w:rPr>
                <w:rFonts w:cs="Arial"/>
                <w:szCs w:val="22"/>
              </w:rPr>
              <w:t>- бюджет Жмеринської МТГ</w:t>
            </w:r>
          </w:p>
        </w:tc>
        <w:tc>
          <w:tcPr>
            <w:tcW w:w="1254" w:type="dxa"/>
            <w:vAlign w:val="center"/>
          </w:tcPr>
          <w:p w14:paraId="693AE277" w14:textId="77777777" w:rsidR="00D1052A" w:rsidRPr="0019790A" w:rsidRDefault="00D1052A" w:rsidP="0019790A">
            <w:pPr>
              <w:jc w:val="center"/>
              <w:rPr>
                <w:rFonts w:cs="Arial"/>
                <w:szCs w:val="22"/>
                <w:lang w:eastAsia="it-IT"/>
              </w:rPr>
            </w:pPr>
            <w:r w:rsidRPr="0019790A">
              <w:rPr>
                <w:rFonts w:cs="Arial"/>
                <w:szCs w:val="22"/>
                <w:lang w:eastAsia="it-IT"/>
              </w:rPr>
              <w:t>30,00</w:t>
            </w:r>
          </w:p>
        </w:tc>
        <w:tc>
          <w:tcPr>
            <w:tcW w:w="1275" w:type="dxa"/>
            <w:vAlign w:val="center"/>
          </w:tcPr>
          <w:p w14:paraId="130EE745" w14:textId="77777777" w:rsidR="00D1052A" w:rsidRPr="0019790A" w:rsidRDefault="00D1052A" w:rsidP="0019790A">
            <w:pPr>
              <w:jc w:val="center"/>
              <w:rPr>
                <w:rFonts w:cs="Arial"/>
                <w:szCs w:val="22"/>
                <w:lang w:eastAsia="it-IT"/>
              </w:rPr>
            </w:pPr>
            <w:r w:rsidRPr="0019790A">
              <w:rPr>
                <w:rFonts w:cs="Arial"/>
                <w:szCs w:val="22"/>
                <w:lang w:eastAsia="it-IT"/>
              </w:rPr>
              <w:t>600,00</w:t>
            </w:r>
          </w:p>
        </w:tc>
        <w:tc>
          <w:tcPr>
            <w:tcW w:w="1418" w:type="dxa"/>
            <w:vAlign w:val="center"/>
          </w:tcPr>
          <w:p w14:paraId="3DCAF518" w14:textId="77777777" w:rsidR="00D1052A" w:rsidRPr="0019790A" w:rsidRDefault="00D1052A" w:rsidP="0019790A">
            <w:pPr>
              <w:jc w:val="center"/>
              <w:rPr>
                <w:rFonts w:cs="Arial"/>
                <w:szCs w:val="22"/>
                <w:lang w:eastAsia="it-IT"/>
              </w:rPr>
            </w:pPr>
          </w:p>
        </w:tc>
        <w:tc>
          <w:tcPr>
            <w:tcW w:w="1276" w:type="dxa"/>
            <w:vAlign w:val="center"/>
          </w:tcPr>
          <w:p w14:paraId="2E2967F2" w14:textId="77777777" w:rsidR="00D1052A" w:rsidRPr="0019790A" w:rsidRDefault="00D1052A" w:rsidP="0019790A">
            <w:pPr>
              <w:jc w:val="center"/>
              <w:rPr>
                <w:rFonts w:cs="Arial"/>
                <w:szCs w:val="22"/>
                <w:lang w:eastAsia="it-IT"/>
              </w:rPr>
            </w:pPr>
          </w:p>
        </w:tc>
        <w:tc>
          <w:tcPr>
            <w:tcW w:w="1571" w:type="dxa"/>
            <w:vAlign w:val="center"/>
          </w:tcPr>
          <w:p w14:paraId="05857AAC" w14:textId="77777777" w:rsidR="00D1052A" w:rsidRPr="00CD6B99" w:rsidRDefault="00D1052A" w:rsidP="0019790A">
            <w:pPr>
              <w:jc w:val="center"/>
              <w:rPr>
                <w:rFonts w:cs="Arial"/>
                <w:b/>
                <w:szCs w:val="22"/>
                <w:lang w:eastAsia="it-IT"/>
              </w:rPr>
            </w:pPr>
            <w:r w:rsidRPr="00CD6B99">
              <w:rPr>
                <w:rFonts w:cs="Arial"/>
                <w:b/>
                <w:szCs w:val="22"/>
                <w:lang w:eastAsia="it-IT"/>
              </w:rPr>
              <w:t>630,00</w:t>
            </w:r>
          </w:p>
        </w:tc>
      </w:tr>
      <w:tr w:rsidR="00D1052A" w:rsidRPr="0019790A" w14:paraId="0EE351C4" w14:textId="77777777" w:rsidTr="00D1052A">
        <w:trPr>
          <w:trHeight w:val="226"/>
          <w:jc w:val="right"/>
        </w:trPr>
        <w:tc>
          <w:tcPr>
            <w:tcW w:w="3425" w:type="dxa"/>
            <w:shd w:val="clear" w:color="auto" w:fill="FFFFFF"/>
            <w:vAlign w:val="center"/>
          </w:tcPr>
          <w:p w14:paraId="12ECA5F8" w14:textId="77777777" w:rsidR="00D1052A" w:rsidRPr="0019790A" w:rsidRDefault="00D1052A" w:rsidP="0019790A">
            <w:pPr>
              <w:rPr>
                <w:rFonts w:cs="Arial"/>
                <w:szCs w:val="22"/>
              </w:rPr>
            </w:pPr>
            <w:r w:rsidRPr="0019790A">
              <w:rPr>
                <w:rFonts w:cs="Arial"/>
                <w:szCs w:val="22"/>
              </w:rPr>
              <w:t>- інші джерела фінансування</w:t>
            </w:r>
          </w:p>
        </w:tc>
        <w:tc>
          <w:tcPr>
            <w:tcW w:w="6794" w:type="dxa"/>
            <w:gridSpan w:val="5"/>
            <w:vAlign w:val="center"/>
          </w:tcPr>
          <w:p w14:paraId="1BA7C954" w14:textId="77777777" w:rsidR="00D1052A" w:rsidRPr="0019790A" w:rsidRDefault="00D1052A" w:rsidP="0019790A">
            <w:pPr>
              <w:jc w:val="center"/>
              <w:rPr>
                <w:rFonts w:cs="Arial"/>
                <w:szCs w:val="22"/>
                <w:lang w:eastAsia="it-IT"/>
              </w:rPr>
            </w:pPr>
          </w:p>
        </w:tc>
      </w:tr>
      <w:tr w:rsidR="00D1052A" w:rsidRPr="0019790A" w14:paraId="33B5CE11" w14:textId="77777777" w:rsidTr="00D1052A">
        <w:trPr>
          <w:jc w:val="right"/>
        </w:trPr>
        <w:tc>
          <w:tcPr>
            <w:tcW w:w="3425" w:type="dxa"/>
            <w:shd w:val="clear" w:color="auto" w:fill="FFFFFF"/>
            <w:vAlign w:val="center"/>
          </w:tcPr>
          <w:p w14:paraId="41C49329" w14:textId="77777777" w:rsidR="00D1052A" w:rsidRPr="0019790A" w:rsidRDefault="00D1052A" w:rsidP="0019790A">
            <w:pPr>
              <w:rPr>
                <w:rFonts w:cs="Arial"/>
                <w:b/>
                <w:bCs/>
                <w:szCs w:val="22"/>
              </w:rPr>
            </w:pPr>
            <w:r w:rsidRPr="0019790A">
              <w:rPr>
                <w:rFonts w:cs="Arial"/>
                <w:b/>
                <w:szCs w:val="22"/>
              </w:rPr>
              <w:t>Відповідальний виконавець проєкту:</w:t>
            </w:r>
          </w:p>
        </w:tc>
        <w:tc>
          <w:tcPr>
            <w:tcW w:w="6794" w:type="dxa"/>
            <w:gridSpan w:val="5"/>
            <w:vAlign w:val="center"/>
          </w:tcPr>
          <w:p w14:paraId="2D4E6642" w14:textId="77777777" w:rsidR="00D1052A" w:rsidRPr="0019790A" w:rsidRDefault="00D1052A" w:rsidP="0019790A">
            <w:pPr>
              <w:jc w:val="both"/>
              <w:rPr>
                <w:rFonts w:cs="Arial"/>
                <w:szCs w:val="22"/>
                <w:lang w:eastAsia="it-IT"/>
              </w:rPr>
            </w:pPr>
            <w:r w:rsidRPr="0019790A">
              <w:rPr>
                <w:rFonts w:cs="Arial"/>
                <w:szCs w:val="22"/>
                <w:lang w:eastAsia="it-IT"/>
              </w:rPr>
              <w:t>Управління ЖКГ Жмеринської міської ради, Управління освіти Жмеринської міської ради, КЗ «Жмеринський ліцей № 4»</w:t>
            </w:r>
          </w:p>
        </w:tc>
      </w:tr>
      <w:tr w:rsidR="00D1052A" w:rsidRPr="0019790A" w14:paraId="3E3A0866" w14:textId="77777777" w:rsidTr="00D1052A">
        <w:trPr>
          <w:jc w:val="right"/>
        </w:trPr>
        <w:tc>
          <w:tcPr>
            <w:tcW w:w="3425" w:type="dxa"/>
            <w:shd w:val="clear" w:color="auto" w:fill="FFFFFF"/>
            <w:vAlign w:val="center"/>
          </w:tcPr>
          <w:p w14:paraId="60AF1EB7" w14:textId="77777777" w:rsidR="00D1052A" w:rsidRPr="0019790A" w:rsidRDefault="00D1052A" w:rsidP="0019790A">
            <w:pPr>
              <w:rPr>
                <w:rFonts w:cs="Arial"/>
                <w:b/>
                <w:bCs/>
                <w:szCs w:val="22"/>
              </w:rPr>
            </w:pPr>
            <w:r w:rsidRPr="0019790A">
              <w:rPr>
                <w:rFonts w:cs="Arial"/>
                <w:b/>
                <w:bCs/>
                <w:szCs w:val="22"/>
              </w:rPr>
              <w:t>Інше:</w:t>
            </w:r>
          </w:p>
        </w:tc>
        <w:tc>
          <w:tcPr>
            <w:tcW w:w="6794" w:type="dxa"/>
            <w:gridSpan w:val="5"/>
            <w:vAlign w:val="center"/>
          </w:tcPr>
          <w:p w14:paraId="0C29E4C5" w14:textId="77777777" w:rsidR="00D1052A" w:rsidRPr="0019790A" w:rsidRDefault="00D1052A" w:rsidP="0019790A">
            <w:pPr>
              <w:rPr>
                <w:rFonts w:cs="Arial"/>
                <w:szCs w:val="22"/>
                <w:lang w:eastAsia="it-IT"/>
              </w:rPr>
            </w:pPr>
          </w:p>
        </w:tc>
      </w:tr>
    </w:tbl>
    <w:p w14:paraId="5360F8AF" w14:textId="77777777" w:rsidR="00D1052A" w:rsidRPr="0019790A" w:rsidRDefault="00D1052A" w:rsidP="0019790A">
      <w:pPr>
        <w:rPr>
          <w:rFonts w:cs="Arial"/>
          <w:szCs w:val="22"/>
        </w:rPr>
      </w:pPr>
    </w:p>
    <w:p w14:paraId="65060AB8" w14:textId="77777777" w:rsidR="00D1052A" w:rsidRPr="0019790A" w:rsidRDefault="00D1052A" w:rsidP="0019790A">
      <w:pPr>
        <w:jc w:val="center"/>
        <w:rPr>
          <w:rFonts w:cs="Arial"/>
          <w:b/>
          <w:color w:val="000000"/>
          <w:szCs w:val="22"/>
        </w:rPr>
      </w:pPr>
      <w:r w:rsidRPr="0019790A">
        <w:rPr>
          <w:rFonts w:cs="Arial"/>
          <w:b/>
          <w:color w:val="000000"/>
          <w:szCs w:val="22"/>
        </w:rPr>
        <w:t xml:space="preserve">Форма технічного завдання на проєкт місцевого розвитку </w:t>
      </w:r>
    </w:p>
    <w:p w14:paraId="33D60EE9" w14:textId="77777777" w:rsidR="00D1052A" w:rsidRPr="0019790A" w:rsidRDefault="00D1052A" w:rsidP="0019790A">
      <w:pPr>
        <w:jc w:val="center"/>
        <w:rPr>
          <w:rFonts w:cs="Arial"/>
          <w:b/>
          <w:color w:val="000000"/>
          <w:szCs w:val="22"/>
        </w:rPr>
      </w:pPr>
      <w:r w:rsidRPr="0019790A">
        <w:rPr>
          <w:rFonts w:cs="Arial"/>
          <w:b/>
          <w:color w:val="000000"/>
          <w:szCs w:val="22"/>
        </w:rPr>
        <w:t>до Плану заходів з реалізації Стратегії</w:t>
      </w:r>
    </w:p>
    <w:p w14:paraId="3606C0DC" w14:textId="77777777" w:rsidR="00D1052A" w:rsidRPr="0019790A" w:rsidRDefault="00D1052A"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1275"/>
        <w:gridCol w:w="1418"/>
        <w:gridCol w:w="1276"/>
        <w:gridCol w:w="1571"/>
      </w:tblGrid>
      <w:tr w:rsidR="00D1052A" w:rsidRPr="0019790A" w14:paraId="3B413AAD" w14:textId="77777777" w:rsidTr="00D1052A">
        <w:trPr>
          <w:jc w:val="right"/>
        </w:trPr>
        <w:tc>
          <w:tcPr>
            <w:tcW w:w="3425" w:type="dxa"/>
            <w:vAlign w:val="center"/>
          </w:tcPr>
          <w:p w14:paraId="3C2184F3" w14:textId="77777777" w:rsidR="00D1052A" w:rsidRPr="0019790A" w:rsidRDefault="00D1052A" w:rsidP="0019790A">
            <w:pPr>
              <w:rPr>
                <w:rFonts w:cs="Arial"/>
                <w:b/>
                <w:bCs/>
                <w:color w:val="000000"/>
                <w:szCs w:val="22"/>
              </w:rPr>
            </w:pPr>
            <w:r w:rsidRPr="0019790A">
              <w:rPr>
                <w:rFonts w:cs="Arial"/>
                <w:b/>
                <w:bCs/>
                <w:color w:val="000000"/>
                <w:szCs w:val="22"/>
              </w:rPr>
              <w:t>Назва проєкту:</w:t>
            </w:r>
          </w:p>
        </w:tc>
        <w:tc>
          <w:tcPr>
            <w:tcW w:w="6794" w:type="dxa"/>
            <w:gridSpan w:val="5"/>
          </w:tcPr>
          <w:p w14:paraId="6CF62DA0" w14:textId="77777777" w:rsidR="00D1052A" w:rsidRPr="0019790A" w:rsidRDefault="00D1052A" w:rsidP="0019790A">
            <w:pPr>
              <w:rPr>
                <w:rFonts w:cs="Arial"/>
                <w:szCs w:val="22"/>
                <w:lang w:eastAsia="it-IT"/>
              </w:rPr>
            </w:pPr>
            <w:r w:rsidRPr="0019790A">
              <w:rPr>
                <w:rFonts w:cs="Arial"/>
                <w:b/>
                <w:szCs w:val="22"/>
              </w:rPr>
              <w:t>Сучасна система пожежної безпеки в школі</w:t>
            </w:r>
          </w:p>
        </w:tc>
      </w:tr>
      <w:tr w:rsidR="00D1052A" w:rsidRPr="0019790A" w14:paraId="2AF57C4A" w14:textId="77777777" w:rsidTr="00D1052A">
        <w:trPr>
          <w:jc w:val="right"/>
        </w:trPr>
        <w:tc>
          <w:tcPr>
            <w:tcW w:w="3425" w:type="dxa"/>
          </w:tcPr>
          <w:p w14:paraId="5074D9E3" w14:textId="77777777" w:rsidR="00D1052A" w:rsidRPr="0019790A" w:rsidRDefault="00D1052A"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2DD7A78B" w14:textId="77777777" w:rsidR="00D1052A" w:rsidRPr="0019790A" w:rsidRDefault="00D1052A"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5"/>
          </w:tcPr>
          <w:p w14:paraId="45433D50" w14:textId="77777777" w:rsidR="00D1052A" w:rsidRPr="0019790A" w:rsidRDefault="00D1052A" w:rsidP="0019790A">
            <w:pPr>
              <w:rPr>
                <w:rFonts w:cs="Arial"/>
                <w:szCs w:val="22"/>
                <w:lang w:eastAsia="it-IT"/>
              </w:rPr>
            </w:pPr>
            <w:r w:rsidRPr="0019790A">
              <w:rPr>
                <w:rFonts w:cs="Arial"/>
                <w:szCs w:val="22"/>
                <w:lang w:eastAsia="it-IT"/>
              </w:rPr>
              <w:t xml:space="preserve"> Управління освіти Жмеринської міської ради</w:t>
            </w:r>
          </w:p>
          <w:p w14:paraId="3F93FA48" w14:textId="77777777" w:rsidR="00D1052A" w:rsidRPr="0019790A" w:rsidRDefault="00D1052A" w:rsidP="0019790A">
            <w:pPr>
              <w:rPr>
                <w:rFonts w:cs="Arial"/>
                <w:szCs w:val="22"/>
                <w:lang w:eastAsia="it-IT"/>
              </w:rPr>
            </w:pPr>
            <w:r w:rsidRPr="0019790A">
              <w:rPr>
                <w:rFonts w:eastAsia="Arial" w:cs="Arial"/>
                <w:szCs w:val="22"/>
                <w:shd w:val="clear" w:color="auto" w:fill="FFFFFF"/>
              </w:rPr>
              <w:t>КЗ «Жмеринський ліцей №1»</w:t>
            </w:r>
          </w:p>
        </w:tc>
      </w:tr>
      <w:tr w:rsidR="00D1052A" w:rsidRPr="0019790A" w14:paraId="3B5F129D" w14:textId="77777777" w:rsidTr="00D1052A">
        <w:trPr>
          <w:jc w:val="right"/>
        </w:trPr>
        <w:tc>
          <w:tcPr>
            <w:tcW w:w="3425" w:type="dxa"/>
          </w:tcPr>
          <w:p w14:paraId="26ADFE72" w14:textId="77777777" w:rsidR="00D1052A" w:rsidRPr="0019790A" w:rsidRDefault="00D1052A" w:rsidP="0019790A">
            <w:pPr>
              <w:rPr>
                <w:rFonts w:cs="Arial"/>
                <w:b/>
                <w:bCs/>
                <w:szCs w:val="22"/>
              </w:rPr>
            </w:pPr>
            <w:r w:rsidRPr="0019790A">
              <w:rPr>
                <w:rFonts w:cs="Arial"/>
                <w:szCs w:val="22"/>
                <w:lang w:eastAsia="it-IT"/>
              </w:rPr>
              <w:t>Прізвище Ім’я по-батькові:</w:t>
            </w:r>
          </w:p>
        </w:tc>
        <w:tc>
          <w:tcPr>
            <w:tcW w:w="6794" w:type="dxa"/>
            <w:gridSpan w:val="5"/>
          </w:tcPr>
          <w:p w14:paraId="7C0733E7" w14:textId="77777777" w:rsidR="00D1052A" w:rsidRPr="0019790A" w:rsidRDefault="00D1052A" w:rsidP="0019790A">
            <w:pPr>
              <w:pStyle w:val="TableParagraph"/>
              <w:ind w:left="0"/>
              <w:rPr>
                <w:rFonts w:ascii="Arial" w:hAnsi="Arial" w:cs="Arial"/>
              </w:rPr>
            </w:pPr>
            <w:r w:rsidRPr="0019790A">
              <w:rPr>
                <w:rFonts w:ascii="Arial" w:hAnsi="Arial" w:cs="Arial"/>
              </w:rPr>
              <w:t>Твердохліб Аліна Петрівна</w:t>
            </w:r>
          </w:p>
        </w:tc>
      </w:tr>
      <w:tr w:rsidR="00D1052A" w:rsidRPr="0019790A" w14:paraId="31F4CB20" w14:textId="77777777" w:rsidTr="00D1052A">
        <w:trPr>
          <w:jc w:val="right"/>
        </w:trPr>
        <w:tc>
          <w:tcPr>
            <w:tcW w:w="3425" w:type="dxa"/>
          </w:tcPr>
          <w:p w14:paraId="4959E7E0" w14:textId="77777777" w:rsidR="00D1052A" w:rsidRPr="0019790A" w:rsidRDefault="00D1052A" w:rsidP="0019790A">
            <w:pPr>
              <w:rPr>
                <w:rFonts w:cs="Arial"/>
                <w:b/>
                <w:bCs/>
                <w:szCs w:val="22"/>
              </w:rPr>
            </w:pPr>
            <w:r w:rsidRPr="0019790A">
              <w:rPr>
                <w:rFonts w:cs="Arial"/>
                <w:szCs w:val="22"/>
                <w:lang w:eastAsia="it-IT"/>
              </w:rPr>
              <w:t>Телефон (мобільний):</w:t>
            </w:r>
          </w:p>
        </w:tc>
        <w:tc>
          <w:tcPr>
            <w:tcW w:w="6794" w:type="dxa"/>
            <w:gridSpan w:val="5"/>
          </w:tcPr>
          <w:p w14:paraId="19216A39" w14:textId="77777777" w:rsidR="00D1052A" w:rsidRPr="0019790A" w:rsidRDefault="00D1052A" w:rsidP="0019790A">
            <w:pPr>
              <w:pStyle w:val="TableParagraph"/>
              <w:ind w:left="66"/>
              <w:rPr>
                <w:rFonts w:ascii="Arial" w:hAnsi="Arial" w:cs="Arial"/>
              </w:rPr>
            </w:pPr>
            <w:r w:rsidRPr="0019790A">
              <w:rPr>
                <w:rFonts w:ascii="Arial" w:hAnsi="Arial" w:cs="Arial"/>
                <w:spacing w:val="-2"/>
              </w:rPr>
              <w:t>+380 (67) 895 55 75</w:t>
            </w:r>
          </w:p>
        </w:tc>
      </w:tr>
      <w:tr w:rsidR="00D1052A" w:rsidRPr="0019790A" w14:paraId="025C7220" w14:textId="77777777" w:rsidTr="00D1052A">
        <w:trPr>
          <w:jc w:val="right"/>
        </w:trPr>
        <w:tc>
          <w:tcPr>
            <w:tcW w:w="3425" w:type="dxa"/>
          </w:tcPr>
          <w:p w14:paraId="172149DE" w14:textId="77777777" w:rsidR="00D1052A" w:rsidRPr="0019790A" w:rsidRDefault="00D1052A" w:rsidP="0019790A">
            <w:pPr>
              <w:rPr>
                <w:rFonts w:cs="Arial"/>
                <w:b/>
                <w:bCs/>
                <w:szCs w:val="22"/>
              </w:rPr>
            </w:pPr>
            <w:r w:rsidRPr="0019790A">
              <w:rPr>
                <w:rFonts w:cs="Arial"/>
                <w:szCs w:val="22"/>
                <w:lang w:eastAsia="it-IT"/>
              </w:rPr>
              <w:t>Електронна адреса:</w:t>
            </w:r>
          </w:p>
        </w:tc>
        <w:tc>
          <w:tcPr>
            <w:tcW w:w="6794" w:type="dxa"/>
            <w:gridSpan w:val="5"/>
          </w:tcPr>
          <w:p w14:paraId="731B88CF" w14:textId="77777777" w:rsidR="00D1052A" w:rsidRPr="0019790A" w:rsidRDefault="00D1052A" w:rsidP="0019790A">
            <w:pPr>
              <w:pStyle w:val="TableParagraph"/>
              <w:ind w:left="66"/>
              <w:rPr>
                <w:rFonts w:ascii="Arial" w:hAnsi="Arial" w:cs="Arial"/>
                <w:b/>
                <w:color w:val="0070C0"/>
              </w:rPr>
            </w:pPr>
            <w:r w:rsidRPr="0019790A">
              <w:rPr>
                <w:rFonts w:ascii="Arial" w:hAnsi="Arial" w:cs="Arial"/>
                <w:color w:val="0070C0"/>
              </w:rPr>
              <w:t xml:space="preserve"> </w:t>
            </w:r>
            <w:hyperlink r:id="rId111" w:history="1">
              <w:r w:rsidRPr="0019790A">
                <w:rPr>
                  <w:rStyle w:val="af0"/>
                  <w:rFonts w:ascii="Arial" w:hAnsi="Arial" w:cs="Arial"/>
                  <w:noProof w:val="0"/>
                  <w:spacing w:val="5"/>
                  <w:sz w:val="22"/>
                  <w:szCs w:val="22"/>
                </w:rPr>
                <w:t>uposv.zmr@gmail.com</w:t>
              </w:r>
            </w:hyperlink>
          </w:p>
        </w:tc>
      </w:tr>
      <w:tr w:rsidR="00D1052A" w:rsidRPr="0019790A" w14:paraId="71CE29BC" w14:textId="77777777" w:rsidTr="00D1052A">
        <w:trPr>
          <w:jc w:val="right"/>
        </w:trPr>
        <w:tc>
          <w:tcPr>
            <w:tcW w:w="3425" w:type="dxa"/>
            <w:vAlign w:val="center"/>
          </w:tcPr>
          <w:p w14:paraId="2F92F218" w14:textId="77777777" w:rsidR="00D1052A" w:rsidRPr="0019790A" w:rsidRDefault="00D1052A" w:rsidP="0019790A">
            <w:pPr>
              <w:pStyle w:val="6"/>
              <w:spacing w:before="0" w:after="0"/>
              <w:rPr>
                <w:rFonts w:ascii="Arial" w:hAnsi="Arial" w:cs="Arial"/>
                <w:color w:val="000000"/>
                <w:lang w:val="uk-UA"/>
              </w:rPr>
            </w:pPr>
            <w:r w:rsidRPr="0019790A">
              <w:rPr>
                <w:rFonts w:ascii="Arial" w:hAnsi="Arial" w:cs="Arial"/>
                <w:color w:val="000000"/>
                <w:lang w:val="uk-UA"/>
              </w:rPr>
              <w:t>Номер і назва завдання з Стратегії</w:t>
            </w:r>
            <w:r w:rsidRPr="0019790A">
              <w:rPr>
                <w:rFonts w:ascii="Arial" w:hAnsi="Arial" w:cs="Arial"/>
                <w:lang w:val="uk-UA" w:eastAsia="it-IT"/>
              </w:rPr>
              <w:t xml:space="preserve"> </w:t>
            </w:r>
            <w:r w:rsidRPr="0019790A">
              <w:rPr>
                <w:rFonts w:ascii="Arial" w:hAnsi="Arial" w:cs="Arial"/>
                <w:color w:val="000000"/>
                <w:lang w:val="uk-UA"/>
              </w:rPr>
              <w:t>розвитку Жмеринської міської територіальної громади,  якому відповідає проєкт:</w:t>
            </w:r>
          </w:p>
        </w:tc>
        <w:tc>
          <w:tcPr>
            <w:tcW w:w="6794" w:type="dxa"/>
            <w:gridSpan w:val="5"/>
          </w:tcPr>
          <w:p w14:paraId="335E4C9A" w14:textId="77777777" w:rsidR="00D1052A" w:rsidRPr="0019790A" w:rsidRDefault="00D1052A" w:rsidP="0019790A">
            <w:pPr>
              <w:pBdr>
                <w:left w:val="single" w:sz="18" w:space="4" w:color="auto"/>
              </w:pBdr>
              <w:jc w:val="both"/>
              <w:rPr>
                <w:rFonts w:cs="Arial"/>
                <w:szCs w:val="22"/>
              </w:rPr>
            </w:pPr>
            <w:r w:rsidRPr="0019790A">
              <w:rPr>
                <w:rFonts w:cs="Arial"/>
                <w:szCs w:val="22"/>
                <w:lang w:eastAsia="it-IT"/>
              </w:rPr>
              <w:t xml:space="preserve"> </w:t>
            </w:r>
            <w:r w:rsidRPr="0019790A">
              <w:rPr>
                <w:rFonts w:cs="Arial"/>
                <w:szCs w:val="22"/>
              </w:rPr>
              <w:t>С.1.1.2. Розвиток освітньої інфраструктури територіальної громади відповідно до вимог час</w:t>
            </w:r>
          </w:p>
          <w:p w14:paraId="43AD7E2C" w14:textId="77777777" w:rsidR="00D1052A" w:rsidRPr="0019790A" w:rsidRDefault="00D1052A" w:rsidP="0019790A">
            <w:pPr>
              <w:pBdr>
                <w:left w:val="single" w:sz="18" w:space="4" w:color="auto"/>
              </w:pBdr>
              <w:rPr>
                <w:rFonts w:cs="Arial"/>
                <w:szCs w:val="22"/>
                <w:lang w:eastAsia="it-IT"/>
              </w:rPr>
            </w:pPr>
            <w:r w:rsidRPr="0019790A">
              <w:rPr>
                <w:rFonts w:cs="Arial"/>
                <w:szCs w:val="22"/>
              </w:rPr>
              <w:t>С.1.2.1. Підвищення рівня громадської безпеки в закладах освіти.</w:t>
            </w:r>
          </w:p>
        </w:tc>
      </w:tr>
      <w:tr w:rsidR="00D1052A" w:rsidRPr="0019790A" w14:paraId="25B50458" w14:textId="77777777" w:rsidTr="00D1052A">
        <w:trPr>
          <w:jc w:val="right"/>
        </w:trPr>
        <w:tc>
          <w:tcPr>
            <w:tcW w:w="3425" w:type="dxa"/>
            <w:vAlign w:val="center"/>
          </w:tcPr>
          <w:p w14:paraId="0D2403A4" w14:textId="77777777" w:rsidR="00D1052A" w:rsidRPr="0019790A" w:rsidRDefault="00D1052A" w:rsidP="0019790A">
            <w:pPr>
              <w:rPr>
                <w:rFonts w:cs="Arial"/>
                <w:b/>
                <w:bCs/>
                <w:color w:val="000000"/>
                <w:szCs w:val="22"/>
              </w:rPr>
            </w:pPr>
            <w:r w:rsidRPr="0019790A">
              <w:rPr>
                <w:rFonts w:cs="Arial"/>
                <w:b/>
                <w:bCs/>
                <w:color w:val="000000"/>
                <w:szCs w:val="22"/>
              </w:rPr>
              <w:t>Мета проєкту:</w:t>
            </w:r>
          </w:p>
        </w:tc>
        <w:tc>
          <w:tcPr>
            <w:tcW w:w="6794" w:type="dxa"/>
            <w:gridSpan w:val="5"/>
          </w:tcPr>
          <w:p w14:paraId="39AC653F" w14:textId="77777777" w:rsidR="00D1052A" w:rsidRPr="0019790A" w:rsidRDefault="00D1052A" w:rsidP="0019790A">
            <w:pPr>
              <w:jc w:val="both"/>
              <w:rPr>
                <w:rFonts w:cs="Arial"/>
                <w:szCs w:val="22"/>
                <w:lang w:eastAsia="it-IT"/>
              </w:rPr>
            </w:pPr>
            <w:r w:rsidRPr="0019790A">
              <w:rPr>
                <w:rFonts w:cs="Arial"/>
                <w:szCs w:val="22"/>
              </w:rPr>
              <w:t>Підвищення рівня безпеки життєдіяльності учасників освітнього процесу як у звичайних умовах так і в умовах виникнення надзвичайних ситуацій</w:t>
            </w:r>
            <w:r w:rsidRPr="0019790A">
              <w:rPr>
                <w:rFonts w:cs="Arial"/>
                <w:iCs/>
                <w:szCs w:val="22"/>
              </w:rPr>
              <w:t>.</w:t>
            </w:r>
          </w:p>
        </w:tc>
      </w:tr>
      <w:tr w:rsidR="00D1052A" w:rsidRPr="0019790A" w14:paraId="78DE66FB" w14:textId="77777777" w:rsidTr="00D1052A">
        <w:trPr>
          <w:jc w:val="right"/>
        </w:trPr>
        <w:tc>
          <w:tcPr>
            <w:tcW w:w="3425" w:type="dxa"/>
            <w:vAlign w:val="center"/>
          </w:tcPr>
          <w:p w14:paraId="2C74715F" w14:textId="77777777" w:rsidR="00D1052A" w:rsidRPr="0019790A" w:rsidRDefault="00D1052A" w:rsidP="0019790A">
            <w:pPr>
              <w:rPr>
                <w:rFonts w:cs="Arial"/>
                <w:b/>
                <w:bCs/>
                <w:color w:val="000000"/>
                <w:szCs w:val="22"/>
              </w:rPr>
            </w:pPr>
            <w:r w:rsidRPr="0019790A">
              <w:rPr>
                <w:rFonts w:cs="Arial"/>
                <w:b/>
                <w:bCs/>
                <w:color w:val="000000"/>
                <w:szCs w:val="22"/>
              </w:rPr>
              <w:t>Цілі проєкту:</w:t>
            </w:r>
          </w:p>
        </w:tc>
        <w:tc>
          <w:tcPr>
            <w:tcW w:w="6794" w:type="dxa"/>
            <w:gridSpan w:val="5"/>
          </w:tcPr>
          <w:p w14:paraId="0A2E1558" w14:textId="77777777" w:rsidR="00D1052A" w:rsidRPr="0019790A" w:rsidRDefault="00D1052A" w:rsidP="0019790A">
            <w:pPr>
              <w:jc w:val="both"/>
              <w:rPr>
                <w:rFonts w:cs="Arial"/>
                <w:color w:val="000000"/>
                <w:szCs w:val="22"/>
                <w:lang w:eastAsia="uk-UA"/>
              </w:rPr>
            </w:pPr>
            <w:r w:rsidRPr="0019790A">
              <w:rPr>
                <w:rFonts w:cs="Arial"/>
                <w:szCs w:val="22"/>
              </w:rPr>
              <w:t xml:space="preserve">     Навчальні</w:t>
            </w:r>
            <w:r w:rsidRPr="0019790A">
              <w:rPr>
                <w:rFonts w:cs="Arial"/>
                <w:color w:val="000000"/>
                <w:szCs w:val="22"/>
                <w:lang w:eastAsia="uk-UA"/>
              </w:rPr>
              <w:t xml:space="preserve"> та інші приміщення закладу освіти укомплектовані з дотриманням усіх правил і вимог, </w:t>
            </w:r>
          </w:p>
          <w:p w14:paraId="24F57D8E" w14:textId="77777777" w:rsidR="00D1052A" w:rsidRPr="0019790A" w:rsidRDefault="00D1052A" w:rsidP="0019790A">
            <w:pPr>
              <w:jc w:val="both"/>
              <w:rPr>
                <w:rFonts w:cs="Arial"/>
                <w:szCs w:val="22"/>
                <w:lang w:eastAsia="it-IT"/>
              </w:rPr>
            </w:pPr>
            <w:r w:rsidRPr="0019790A">
              <w:rPr>
                <w:rFonts w:cs="Arial"/>
                <w:color w:val="000000"/>
                <w:szCs w:val="22"/>
                <w:lang w:eastAsia="uk-UA"/>
              </w:rPr>
              <w:t xml:space="preserve">    Забезпечення протипожежного захисту</w:t>
            </w:r>
            <w:r w:rsidRPr="0019790A">
              <w:rPr>
                <w:rFonts w:eastAsia="Arial" w:cs="Arial"/>
                <w:szCs w:val="22"/>
                <w:shd w:val="clear" w:color="auto" w:fill="FFFFFF"/>
              </w:rPr>
              <w:t xml:space="preserve"> КЗ «Жмеринський ліцей №1» шляхом облаштування сучасної системи пожежної безпеки</w:t>
            </w:r>
          </w:p>
        </w:tc>
      </w:tr>
      <w:tr w:rsidR="00D1052A" w:rsidRPr="0019790A" w14:paraId="2A84C7B1" w14:textId="77777777" w:rsidTr="00D1052A">
        <w:trPr>
          <w:jc w:val="right"/>
        </w:trPr>
        <w:tc>
          <w:tcPr>
            <w:tcW w:w="3425" w:type="dxa"/>
            <w:vAlign w:val="center"/>
          </w:tcPr>
          <w:p w14:paraId="0721A672" w14:textId="77777777" w:rsidR="00D1052A" w:rsidRPr="0019790A" w:rsidRDefault="00D1052A" w:rsidP="0019790A">
            <w:pPr>
              <w:autoSpaceDE w:val="0"/>
              <w:autoSpaceDN w:val="0"/>
              <w:adjustRightInd w:val="0"/>
              <w:rPr>
                <w:rFonts w:cs="Arial"/>
                <w:b/>
                <w:color w:val="000000"/>
                <w:szCs w:val="22"/>
              </w:rPr>
            </w:pPr>
            <w:r w:rsidRPr="0019790A">
              <w:rPr>
                <w:rFonts w:cs="Arial"/>
                <w:b/>
                <w:color w:val="000000"/>
                <w:szCs w:val="22"/>
              </w:rPr>
              <w:t>Територія на яку проєкт матиме вплив:</w:t>
            </w:r>
          </w:p>
        </w:tc>
        <w:tc>
          <w:tcPr>
            <w:tcW w:w="6794" w:type="dxa"/>
            <w:gridSpan w:val="5"/>
          </w:tcPr>
          <w:p w14:paraId="30FB0F40" w14:textId="77777777" w:rsidR="00D1052A" w:rsidRPr="0019790A" w:rsidRDefault="00D1052A" w:rsidP="0019790A">
            <w:pPr>
              <w:rPr>
                <w:rFonts w:cs="Arial"/>
                <w:szCs w:val="22"/>
                <w:lang w:eastAsia="it-IT"/>
              </w:rPr>
            </w:pPr>
            <w:r w:rsidRPr="0019790A">
              <w:rPr>
                <w:rFonts w:cs="Arial"/>
                <w:szCs w:val="22"/>
                <w:lang w:eastAsia="it-IT"/>
              </w:rPr>
              <w:t xml:space="preserve">Територія Жмеринської міської територіальної громади </w:t>
            </w:r>
          </w:p>
        </w:tc>
      </w:tr>
      <w:tr w:rsidR="00D1052A" w:rsidRPr="0019790A" w14:paraId="2DF1EB34" w14:textId="77777777" w:rsidTr="00D1052A">
        <w:trPr>
          <w:jc w:val="right"/>
        </w:trPr>
        <w:tc>
          <w:tcPr>
            <w:tcW w:w="3425" w:type="dxa"/>
            <w:vAlign w:val="center"/>
          </w:tcPr>
          <w:p w14:paraId="42EDA90B" w14:textId="77777777" w:rsidR="00D1052A" w:rsidRPr="0019790A" w:rsidRDefault="00D1052A" w:rsidP="0019790A">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4" w:type="dxa"/>
            <w:gridSpan w:val="5"/>
          </w:tcPr>
          <w:p w14:paraId="327AD95F" w14:textId="77777777" w:rsidR="00D1052A" w:rsidRPr="0019790A" w:rsidRDefault="00D1052A" w:rsidP="0019790A">
            <w:pPr>
              <w:pStyle w:val="TableParagraph"/>
              <w:rPr>
                <w:rFonts w:ascii="Arial" w:hAnsi="Arial" w:cs="Arial"/>
              </w:rPr>
            </w:pPr>
            <w:r w:rsidRPr="0019790A">
              <w:rPr>
                <w:rFonts w:ascii="Arial" w:hAnsi="Arial" w:cs="Arial"/>
              </w:rPr>
              <w:t>550 здобувачів освіти, працівники закладу, батьки, відвідувачі, жителі громади.</w:t>
            </w:r>
          </w:p>
        </w:tc>
      </w:tr>
      <w:tr w:rsidR="00D1052A" w:rsidRPr="0019790A" w14:paraId="2F621116" w14:textId="77777777" w:rsidTr="00D1052A">
        <w:trPr>
          <w:jc w:val="right"/>
        </w:trPr>
        <w:tc>
          <w:tcPr>
            <w:tcW w:w="3425" w:type="dxa"/>
            <w:shd w:val="clear" w:color="auto" w:fill="FFFFFF"/>
            <w:vAlign w:val="center"/>
          </w:tcPr>
          <w:p w14:paraId="34D8EDA0" w14:textId="77777777" w:rsidR="00D1052A" w:rsidRPr="0019790A" w:rsidRDefault="00D1052A" w:rsidP="0019790A">
            <w:pPr>
              <w:rPr>
                <w:rFonts w:cs="Arial"/>
                <w:b/>
                <w:bCs/>
                <w:color w:val="000000"/>
                <w:szCs w:val="22"/>
              </w:rPr>
            </w:pPr>
            <w:r w:rsidRPr="0019790A">
              <w:rPr>
                <w:rFonts w:cs="Arial"/>
                <w:b/>
                <w:bCs/>
                <w:color w:val="000000"/>
                <w:szCs w:val="22"/>
              </w:rPr>
              <w:t>Стислий опис проєкту:</w:t>
            </w:r>
          </w:p>
        </w:tc>
        <w:tc>
          <w:tcPr>
            <w:tcW w:w="6794" w:type="dxa"/>
            <w:gridSpan w:val="5"/>
          </w:tcPr>
          <w:p w14:paraId="0120F4C3" w14:textId="77777777" w:rsidR="00D1052A" w:rsidRPr="0019790A" w:rsidRDefault="00D1052A" w:rsidP="0019790A">
            <w:pPr>
              <w:jc w:val="both"/>
              <w:rPr>
                <w:rFonts w:cs="Arial"/>
                <w:color w:val="000000"/>
                <w:szCs w:val="22"/>
                <w:lang w:eastAsia="uk-UA"/>
              </w:rPr>
            </w:pPr>
            <w:r w:rsidRPr="0019790A">
              <w:rPr>
                <w:rFonts w:cs="Arial"/>
                <w:color w:val="333333"/>
                <w:szCs w:val="22"/>
                <w:shd w:val="clear" w:color="auto" w:fill="FFFFFF"/>
              </w:rPr>
              <w:t xml:space="preserve">      </w:t>
            </w:r>
            <w:r w:rsidRPr="0019790A">
              <w:rPr>
                <w:rFonts w:cs="Arial"/>
                <w:color w:val="000000"/>
                <w:szCs w:val="22"/>
                <w:lang w:eastAsia="uk-UA"/>
              </w:rPr>
              <w:t>Діти проводять у школі значну частину свого життя, не лише здобуваючи освіту й пізнаючи навколишній світ, а й щодня спілкуючись між собою, розвиваючи корисні практичні навички та розуміючи правила поведінки в суспільстві.</w:t>
            </w:r>
          </w:p>
          <w:p w14:paraId="685A83F3" w14:textId="77777777" w:rsidR="00D1052A" w:rsidRPr="0019790A" w:rsidRDefault="00D1052A" w:rsidP="0019790A">
            <w:pPr>
              <w:jc w:val="both"/>
              <w:rPr>
                <w:rFonts w:cs="Arial"/>
                <w:color w:val="000000"/>
                <w:szCs w:val="22"/>
                <w:lang w:eastAsia="uk-UA"/>
              </w:rPr>
            </w:pPr>
            <w:r w:rsidRPr="0019790A">
              <w:rPr>
                <w:rFonts w:cs="Arial"/>
                <w:color w:val="000000"/>
                <w:szCs w:val="22"/>
                <w:lang w:eastAsia="uk-UA"/>
              </w:rPr>
              <w:t xml:space="preserve">      Завдання Нової української школи — не лише забезпечити їм для цього всі необхідні сучасні навчальні засоби, техніку й методи викладання, а й створити повністю безпечне навчальне середовище.</w:t>
            </w:r>
          </w:p>
          <w:p w14:paraId="7384FA6F" w14:textId="77777777" w:rsidR="00D1052A" w:rsidRPr="0019790A" w:rsidRDefault="00D1052A" w:rsidP="0019790A">
            <w:pPr>
              <w:jc w:val="both"/>
              <w:rPr>
                <w:rFonts w:cs="Arial"/>
                <w:color w:val="000000"/>
                <w:szCs w:val="22"/>
                <w:lang w:eastAsia="uk-UA"/>
              </w:rPr>
            </w:pPr>
            <w:r w:rsidRPr="0019790A">
              <w:rPr>
                <w:rFonts w:cs="Arial"/>
                <w:color w:val="000000"/>
                <w:szCs w:val="22"/>
                <w:lang w:eastAsia="uk-UA"/>
              </w:rPr>
              <w:t>Одним із найважливіших його елементів є ефективна та дієва системи пожежної безпеки.</w:t>
            </w:r>
          </w:p>
          <w:p w14:paraId="4F8874FA" w14:textId="77777777" w:rsidR="00D1052A" w:rsidRPr="0019790A" w:rsidRDefault="00D1052A" w:rsidP="0019790A">
            <w:pPr>
              <w:jc w:val="both"/>
              <w:rPr>
                <w:rFonts w:cs="Arial"/>
                <w:color w:val="000000"/>
                <w:szCs w:val="22"/>
                <w:lang w:eastAsia="uk-UA"/>
              </w:rPr>
            </w:pPr>
            <w:r w:rsidRPr="0019790A">
              <w:rPr>
                <w:rFonts w:cs="Arial"/>
                <w:bCs/>
                <w:color w:val="000000"/>
                <w:szCs w:val="22"/>
                <w:bdr w:val="none" w:sz="0" w:space="0" w:color="auto" w:frame="1"/>
                <w:lang w:eastAsia="uk-UA"/>
              </w:rPr>
              <w:t xml:space="preserve">      Сучасна система пожежної безпеки навчального закладу</w:t>
            </w:r>
            <w:r w:rsidRPr="0019790A">
              <w:rPr>
                <w:rFonts w:cs="Arial"/>
                <w:color w:val="000000"/>
                <w:szCs w:val="22"/>
                <w:lang w:eastAsia="uk-UA"/>
              </w:rPr>
              <w:t> — це комплекс інтелектуальних продуктів і рішень, які допомагають не просто забезпечити потрібний рівень безпеки та вчасно виявити й розпізнати можливу загрозу, а й швидко та ефективно евакуювати людей у разі необхідності.</w:t>
            </w:r>
          </w:p>
          <w:p w14:paraId="40FC7004" w14:textId="77777777" w:rsidR="00D1052A" w:rsidRPr="0019790A" w:rsidRDefault="00D1052A" w:rsidP="0019790A">
            <w:pPr>
              <w:jc w:val="both"/>
              <w:rPr>
                <w:rFonts w:cs="Arial"/>
                <w:szCs w:val="22"/>
                <w:lang w:eastAsia="it-IT"/>
              </w:rPr>
            </w:pPr>
            <w:r w:rsidRPr="0019790A">
              <w:rPr>
                <w:rFonts w:cs="Arial"/>
                <w:szCs w:val="22"/>
              </w:rPr>
              <w:t xml:space="preserve">   Реалізація проєкту сприятиме формуванню безпечного освітнього простору у закладі освіти та дозволить здійснювати постійний моніторинг пожежного стану приміщень за допомогою технічних засобів виявлення пожежі шляхом автоматичного контролю наявності первинних ознак (збільшення задимленості, підвищення температури тощо).</w:t>
            </w:r>
            <w:r w:rsidRPr="0019790A">
              <w:rPr>
                <w:rFonts w:eastAsia="Arial" w:cs="Arial"/>
                <w:szCs w:val="22"/>
                <w:shd w:val="clear" w:color="auto" w:fill="FFFFFF"/>
              </w:rPr>
              <w:t xml:space="preserve"> </w:t>
            </w:r>
            <w:r w:rsidRPr="0019790A">
              <w:rPr>
                <w:rFonts w:cs="Arial"/>
                <w:i/>
                <w:color w:val="000000"/>
                <w:szCs w:val="22"/>
              </w:rPr>
              <w:t xml:space="preserve"> </w:t>
            </w:r>
            <w:r w:rsidRPr="0019790A">
              <w:rPr>
                <w:rFonts w:eastAsia="Arial" w:cs="Arial"/>
                <w:szCs w:val="22"/>
                <w:shd w:val="clear" w:color="auto" w:fill="FFFFFF"/>
              </w:rPr>
              <w:t xml:space="preserve">  </w:t>
            </w:r>
          </w:p>
        </w:tc>
      </w:tr>
      <w:tr w:rsidR="00D1052A" w:rsidRPr="0019790A" w14:paraId="1C0A332D" w14:textId="77777777" w:rsidTr="00D1052A">
        <w:trPr>
          <w:jc w:val="right"/>
        </w:trPr>
        <w:tc>
          <w:tcPr>
            <w:tcW w:w="3425" w:type="dxa"/>
            <w:shd w:val="clear" w:color="auto" w:fill="FFFFFF"/>
            <w:vAlign w:val="center"/>
          </w:tcPr>
          <w:p w14:paraId="60364558" w14:textId="77777777" w:rsidR="00D1052A" w:rsidRPr="0019790A" w:rsidRDefault="00D1052A" w:rsidP="0019790A">
            <w:pPr>
              <w:rPr>
                <w:rFonts w:cs="Arial"/>
                <w:b/>
                <w:bCs/>
                <w:color w:val="000000"/>
                <w:szCs w:val="22"/>
              </w:rPr>
            </w:pPr>
            <w:r w:rsidRPr="0019790A">
              <w:rPr>
                <w:rFonts w:cs="Arial"/>
                <w:b/>
                <w:bCs/>
                <w:color w:val="000000"/>
                <w:szCs w:val="22"/>
              </w:rPr>
              <w:t>Основні заходи проєкту:</w:t>
            </w:r>
          </w:p>
        </w:tc>
        <w:tc>
          <w:tcPr>
            <w:tcW w:w="6794" w:type="dxa"/>
            <w:gridSpan w:val="5"/>
          </w:tcPr>
          <w:p w14:paraId="1D0F1E55" w14:textId="77777777" w:rsidR="00D1052A" w:rsidRPr="0019790A" w:rsidRDefault="00D1052A" w:rsidP="00CD6B99">
            <w:pPr>
              <w:pStyle w:val="af4"/>
              <w:numPr>
                <w:ilvl w:val="0"/>
                <w:numId w:val="27"/>
              </w:numPr>
              <w:suppressAutoHyphens w:val="0"/>
              <w:spacing w:after="0" w:line="240" w:lineRule="auto"/>
              <w:ind w:left="0" w:firstLine="281"/>
              <w:contextualSpacing/>
              <w:jc w:val="both"/>
              <w:rPr>
                <w:rFonts w:ascii="Arial" w:hAnsi="Arial" w:cs="Arial"/>
                <w:b/>
                <w:iCs/>
              </w:rPr>
            </w:pPr>
            <w:r w:rsidRPr="0019790A">
              <w:rPr>
                <w:rFonts w:ascii="Arial" w:hAnsi="Arial" w:cs="Arial"/>
                <w:lang w:eastAsia="it-IT"/>
              </w:rPr>
              <w:t>Виготовлення ПКД на в</w:t>
            </w:r>
            <w:r w:rsidRPr="0019790A">
              <w:rPr>
                <w:rFonts w:ascii="Arial" w:hAnsi="Arial" w:cs="Arial"/>
                <w:iCs/>
              </w:rPr>
              <w:t xml:space="preserve">становлення автоматичної пожежної сигналізації   </w:t>
            </w:r>
          </w:p>
          <w:p w14:paraId="680B62CA" w14:textId="77777777" w:rsidR="00D1052A" w:rsidRPr="0019790A" w:rsidRDefault="00D1052A" w:rsidP="00CD6B99">
            <w:pPr>
              <w:pStyle w:val="af4"/>
              <w:numPr>
                <w:ilvl w:val="0"/>
                <w:numId w:val="27"/>
              </w:numPr>
              <w:suppressAutoHyphens w:val="0"/>
              <w:spacing w:after="0" w:line="240" w:lineRule="auto"/>
              <w:ind w:left="0" w:firstLine="281"/>
              <w:contextualSpacing/>
              <w:jc w:val="both"/>
              <w:rPr>
                <w:rFonts w:ascii="Arial" w:hAnsi="Arial" w:cs="Arial"/>
                <w:b/>
                <w:iCs/>
              </w:rPr>
            </w:pPr>
            <w:r w:rsidRPr="0019790A">
              <w:rPr>
                <w:rFonts w:ascii="Arial" w:hAnsi="Arial" w:cs="Arial"/>
                <w:lang w:eastAsia="it-IT"/>
              </w:rPr>
              <w:t>Проведення процедури закупівель</w:t>
            </w:r>
          </w:p>
          <w:p w14:paraId="17D9DD44" w14:textId="77777777" w:rsidR="00D1052A" w:rsidRPr="0019790A" w:rsidRDefault="00D1052A" w:rsidP="00CD6B99">
            <w:pPr>
              <w:pStyle w:val="af4"/>
              <w:numPr>
                <w:ilvl w:val="0"/>
                <w:numId w:val="27"/>
              </w:numPr>
              <w:suppressAutoHyphens w:val="0"/>
              <w:spacing w:after="0" w:line="240" w:lineRule="auto"/>
              <w:ind w:left="0" w:firstLine="281"/>
              <w:contextualSpacing/>
              <w:jc w:val="both"/>
              <w:rPr>
                <w:rFonts w:ascii="Arial" w:hAnsi="Arial" w:cs="Arial"/>
                <w:b/>
                <w:iCs/>
              </w:rPr>
            </w:pPr>
            <w:r w:rsidRPr="0019790A">
              <w:rPr>
                <w:rFonts w:ascii="Arial" w:hAnsi="Arial" w:cs="Arial"/>
                <w:iCs/>
              </w:rPr>
              <w:t xml:space="preserve">Здійснення робіт з встановлення автоматичної пожежної сигналізації в КЗ «Жмеринський ліцей № 1»  </w:t>
            </w:r>
          </w:p>
        </w:tc>
      </w:tr>
      <w:tr w:rsidR="00D1052A" w:rsidRPr="0019790A" w14:paraId="3BD400C6" w14:textId="77777777" w:rsidTr="00D1052A">
        <w:trPr>
          <w:jc w:val="right"/>
        </w:trPr>
        <w:tc>
          <w:tcPr>
            <w:tcW w:w="3425" w:type="dxa"/>
            <w:shd w:val="clear" w:color="auto" w:fill="FFFFFF"/>
            <w:vAlign w:val="center"/>
          </w:tcPr>
          <w:p w14:paraId="4E5A0509" w14:textId="77777777" w:rsidR="00D1052A" w:rsidRPr="0019790A" w:rsidRDefault="00D1052A"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794" w:type="dxa"/>
            <w:gridSpan w:val="5"/>
          </w:tcPr>
          <w:p w14:paraId="6E80133E" w14:textId="77777777" w:rsidR="00D1052A" w:rsidRPr="0019790A" w:rsidRDefault="00D1052A" w:rsidP="0019790A">
            <w:pPr>
              <w:widowControl w:val="0"/>
              <w:jc w:val="both"/>
              <w:rPr>
                <w:rFonts w:eastAsia="Arial" w:cs="Arial"/>
                <w:szCs w:val="22"/>
                <w:shd w:val="clear" w:color="auto" w:fill="FFFFFF"/>
              </w:rPr>
            </w:pPr>
            <w:r w:rsidRPr="0019790A">
              <w:rPr>
                <w:rFonts w:cs="Arial"/>
                <w:iCs/>
                <w:szCs w:val="22"/>
              </w:rPr>
              <w:t xml:space="preserve"> Забезпечено </w:t>
            </w:r>
            <w:r w:rsidRPr="0019790A">
              <w:rPr>
                <w:rFonts w:cs="Arial"/>
                <w:color w:val="000000"/>
                <w:szCs w:val="22"/>
                <w:lang w:eastAsia="uk-UA"/>
              </w:rPr>
              <w:t>захист учнів та співробітників навчального закладу в надзвичайних ситуаціях</w:t>
            </w:r>
            <w:r w:rsidRPr="0019790A">
              <w:rPr>
                <w:rFonts w:eastAsia="Arial" w:cs="Arial"/>
                <w:szCs w:val="22"/>
                <w:shd w:val="clear" w:color="auto" w:fill="FFFFFF"/>
              </w:rPr>
              <w:t xml:space="preserve"> </w:t>
            </w:r>
          </w:p>
          <w:p w14:paraId="426F1DB8" w14:textId="77777777" w:rsidR="00D1052A" w:rsidRPr="0019790A" w:rsidRDefault="00D1052A" w:rsidP="0019790A">
            <w:pPr>
              <w:widowControl w:val="0"/>
              <w:jc w:val="both"/>
              <w:rPr>
                <w:rFonts w:cs="Arial"/>
                <w:szCs w:val="22"/>
              </w:rPr>
            </w:pPr>
            <w:r w:rsidRPr="0019790A">
              <w:rPr>
                <w:rFonts w:eastAsia="Arial" w:cs="Arial"/>
                <w:szCs w:val="22"/>
                <w:shd w:val="clear" w:color="auto" w:fill="FFFFFF"/>
              </w:rPr>
              <w:t xml:space="preserve">   Збільшення кількості закладів освіти, де створено безпечний освітній простір   </w:t>
            </w:r>
            <w:r w:rsidRPr="0019790A">
              <w:rPr>
                <w:rFonts w:cs="Arial"/>
                <w:szCs w:val="22"/>
              </w:rPr>
              <w:t xml:space="preserve">  </w:t>
            </w:r>
          </w:p>
        </w:tc>
      </w:tr>
      <w:tr w:rsidR="00D1052A" w:rsidRPr="0019790A" w14:paraId="349D1E07" w14:textId="77777777" w:rsidTr="00D1052A">
        <w:trPr>
          <w:jc w:val="right"/>
        </w:trPr>
        <w:tc>
          <w:tcPr>
            <w:tcW w:w="3425" w:type="dxa"/>
            <w:shd w:val="clear" w:color="auto" w:fill="FFFFFF"/>
            <w:vAlign w:val="center"/>
          </w:tcPr>
          <w:p w14:paraId="4F2E791B" w14:textId="77777777" w:rsidR="00D1052A" w:rsidRPr="0019790A" w:rsidRDefault="00D1052A" w:rsidP="0019790A">
            <w:pPr>
              <w:rPr>
                <w:rFonts w:cs="Arial"/>
                <w:b/>
                <w:color w:val="000000"/>
                <w:szCs w:val="22"/>
              </w:rPr>
            </w:pPr>
            <w:r w:rsidRPr="0019790A">
              <w:rPr>
                <w:rFonts w:cs="Arial"/>
                <w:b/>
                <w:color w:val="000000"/>
                <w:szCs w:val="22"/>
              </w:rPr>
              <w:t xml:space="preserve">Період здійснення: </w:t>
            </w:r>
          </w:p>
        </w:tc>
        <w:tc>
          <w:tcPr>
            <w:tcW w:w="6794" w:type="dxa"/>
            <w:gridSpan w:val="5"/>
            <w:vAlign w:val="center"/>
          </w:tcPr>
          <w:p w14:paraId="44E8DE18" w14:textId="77777777" w:rsidR="00D1052A" w:rsidRPr="0019790A" w:rsidRDefault="00D1052A" w:rsidP="0019790A">
            <w:pPr>
              <w:rPr>
                <w:rFonts w:cs="Arial"/>
                <w:color w:val="000000"/>
                <w:szCs w:val="22"/>
                <w:lang w:eastAsia="it-IT"/>
              </w:rPr>
            </w:pPr>
            <w:r w:rsidRPr="0019790A">
              <w:rPr>
                <w:rFonts w:cs="Arial"/>
                <w:b/>
                <w:color w:val="000000"/>
                <w:szCs w:val="22"/>
              </w:rPr>
              <w:t>2025 – 2028 роки:</w:t>
            </w:r>
          </w:p>
        </w:tc>
      </w:tr>
      <w:tr w:rsidR="00D1052A" w:rsidRPr="0019790A" w14:paraId="3B628165" w14:textId="77777777" w:rsidTr="00D1052A">
        <w:trPr>
          <w:jc w:val="right"/>
        </w:trPr>
        <w:tc>
          <w:tcPr>
            <w:tcW w:w="3425" w:type="dxa"/>
            <w:vMerge w:val="restart"/>
            <w:shd w:val="clear" w:color="auto" w:fill="FFFFFF"/>
            <w:vAlign w:val="center"/>
          </w:tcPr>
          <w:p w14:paraId="0A95CE2F" w14:textId="77777777" w:rsidR="00D1052A" w:rsidRPr="0019790A" w:rsidRDefault="00D1052A" w:rsidP="0019790A">
            <w:pPr>
              <w:rPr>
                <w:rFonts w:cs="Arial"/>
                <w:b/>
                <w:bCs/>
                <w:color w:val="000000"/>
                <w:szCs w:val="22"/>
              </w:rPr>
            </w:pPr>
            <w:r w:rsidRPr="0019790A">
              <w:rPr>
                <w:rFonts w:cs="Arial"/>
                <w:b/>
                <w:bCs/>
                <w:color w:val="000000"/>
                <w:szCs w:val="22"/>
              </w:rPr>
              <w:t>Орієнтовна вартість проєкту, тис. грн., в тому числі:</w:t>
            </w:r>
          </w:p>
        </w:tc>
        <w:tc>
          <w:tcPr>
            <w:tcW w:w="1254" w:type="dxa"/>
            <w:shd w:val="clear" w:color="auto" w:fill="E6E6E6"/>
            <w:vAlign w:val="center"/>
          </w:tcPr>
          <w:p w14:paraId="30139A2C" w14:textId="77777777" w:rsidR="00D1052A" w:rsidRPr="0019790A" w:rsidRDefault="00D1052A" w:rsidP="0019790A">
            <w:pPr>
              <w:jc w:val="center"/>
              <w:rPr>
                <w:rFonts w:cs="Arial"/>
                <w:b/>
                <w:color w:val="000000"/>
                <w:szCs w:val="22"/>
                <w:lang w:eastAsia="it-IT"/>
              </w:rPr>
            </w:pPr>
            <w:r w:rsidRPr="0019790A">
              <w:rPr>
                <w:rFonts w:cs="Arial"/>
                <w:b/>
                <w:color w:val="000000"/>
                <w:szCs w:val="22"/>
                <w:lang w:eastAsia="it-IT"/>
              </w:rPr>
              <w:t>2025</w:t>
            </w:r>
          </w:p>
        </w:tc>
        <w:tc>
          <w:tcPr>
            <w:tcW w:w="1275" w:type="dxa"/>
            <w:shd w:val="clear" w:color="auto" w:fill="E6E6E6"/>
            <w:vAlign w:val="center"/>
          </w:tcPr>
          <w:p w14:paraId="7B0E4D31" w14:textId="77777777" w:rsidR="00D1052A" w:rsidRPr="0019790A" w:rsidRDefault="00D1052A" w:rsidP="0019790A">
            <w:pPr>
              <w:jc w:val="center"/>
              <w:rPr>
                <w:rFonts w:cs="Arial"/>
                <w:b/>
                <w:color w:val="000000"/>
                <w:szCs w:val="22"/>
                <w:lang w:eastAsia="it-IT"/>
              </w:rPr>
            </w:pPr>
            <w:r w:rsidRPr="0019790A">
              <w:rPr>
                <w:rFonts w:cs="Arial"/>
                <w:b/>
                <w:color w:val="000000"/>
                <w:szCs w:val="22"/>
                <w:lang w:eastAsia="it-IT"/>
              </w:rPr>
              <w:t>2026</w:t>
            </w:r>
          </w:p>
        </w:tc>
        <w:tc>
          <w:tcPr>
            <w:tcW w:w="1418" w:type="dxa"/>
            <w:tcBorders>
              <w:bottom w:val="single" w:sz="4" w:space="0" w:color="auto"/>
            </w:tcBorders>
            <w:shd w:val="clear" w:color="auto" w:fill="E6E6E6"/>
            <w:vAlign w:val="center"/>
          </w:tcPr>
          <w:p w14:paraId="6EB44E61" w14:textId="77777777" w:rsidR="00D1052A" w:rsidRPr="0019790A" w:rsidRDefault="00D1052A" w:rsidP="0019790A">
            <w:pPr>
              <w:jc w:val="center"/>
              <w:rPr>
                <w:rFonts w:cs="Arial"/>
                <w:b/>
                <w:color w:val="000000"/>
                <w:szCs w:val="22"/>
                <w:lang w:eastAsia="it-IT"/>
              </w:rPr>
            </w:pPr>
            <w:r w:rsidRPr="0019790A">
              <w:rPr>
                <w:rFonts w:cs="Arial"/>
                <w:b/>
                <w:color w:val="000000"/>
                <w:szCs w:val="22"/>
                <w:lang w:eastAsia="it-IT"/>
              </w:rPr>
              <w:t>2027</w:t>
            </w:r>
          </w:p>
        </w:tc>
        <w:tc>
          <w:tcPr>
            <w:tcW w:w="1276" w:type="dxa"/>
            <w:shd w:val="clear" w:color="auto" w:fill="E6E6E6"/>
            <w:vAlign w:val="center"/>
          </w:tcPr>
          <w:p w14:paraId="162FC990" w14:textId="77777777" w:rsidR="00D1052A" w:rsidRPr="0019790A" w:rsidRDefault="00D1052A" w:rsidP="0019790A">
            <w:pPr>
              <w:jc w:val="center"/>
              <w:rPr>
                <w:rFonts w:cs="Arial"/>
                <w:b/>
                <w:color w:val="000000"/>
                <w:szCs w:val="22"/>
                <w:lang w:eastAsia="it-IT"/>
              </w:rPr>
            </w:pPr>
            <w:r w:rsidRPr="0019790A">
              <w:rPr>
                <w:rFonts w:cs="Arial"/>
                <w:b/>
                <w:color w:val="000000"/>
                <w:szCs w:val="22"/>
                <w:lang w:eastAsia="it-IT"/>
              </w:rPr>
              <w:t>2028</w:t>
            </w:r>
          </w:p>
        </w:tc>
        <w:tc>
          <w:tcPr>
            <w:tcW w:w="1571" w:type="dxa"/>
            <w:shd w:val="clear" w:color="auto" w:fill="E6E6E6"/>
            <w:vAlign w:val="center"/>
          </w:tcPr>
          <w:p w14:paraId="42546990" w14:textId="77777777" w:rsidR="00D1052A" w:rsidRPr="0019790A" w:rsidRDefault="00D1052A" w:rsidP="0019790A">
            <w:pPr>
              <w:jc w:val="center"/>
              <w:rPr>
                <w:rFonts w:cs="Arial"/>
                <w:b/>
                <w:color w:val="000000"/>
                <w:szCs w:val="22"/>
                <w:lang w:eastAsia="it-IT"/>
              </w:rPr>
            </w:pPr>
            <w:r w:rsidRPr="0019790A">
              <w:rPr>
                <w:rFonts w:cs="Arial"/>
                <w:b/>
                <w:color w:val="000000"/>
                <w:szCs w:val="22"/>
                <w:lang w:eastAsia="it-IT"/>
              </w:rPr>
              <w:t>РАЗОМ</w:t>
            </w:r>
          </w:p>
        </w:tc>
      </w:tr>
      <w:tr w:rsidR="00D1052A" w:rsidRPr="0019790A" w14:paraId="796C31D4" w14:textId="77777777" w:rsidTr="00D1052A">
        <w:trPr>
          <w:jc w:val="right"/>
        </w:trPr>
        <w:tc>
          <w:tcPr>
            <w:tcW w:w="3425" w:type="dxa"/>
            <w:vMerge/>
            <w:shd w:val="clear" w:color="auto" w:fill="FFFFFF"/>
            <w:vAlign w:val="center"/>
          </w:tcPr>
          <w:p w14:paraId="4D0ACF7D" w14:textId="77777777" w:rsidR="00D1052A" w:rsidRPr="0019790A" w:rsidRDefault="00D1052A" w:rsidP="0019790A">
            <w:pPr>
              <w:rPr>
                <w:rFonts w:cs="Arial"/>
                <w:b/>
                <w:bCs/>
                <w:color w:val="000000"/>
                <w:szCs w:val="22"/>
              </w:rPr>
            </w:pPr>
          </w:p>
        </w:tc>
        <w:tc>
          <w:tcPr>
            <w:tcW w:w="1254" w:type="dxa"/>
            <w:vAlign w:val="center"/>
          </w:tcPr>
          <w:p w14:paraId="32C6D969" w14:textId="77777777" w:rsidR="00D1052A" w:rsidRPr="0019790A" w:rsidRDefault="00D1052A" w:rsidP="0019790A">
            <w:pPr>
              <w:jc w:val="center"/>
              <w:rPr>
                <w:rFonts w:cs="Arial"/>
                <w:b/>
                <w:color w:val="000000"/>
                <w:szCs w:val="22"/>
                <w:lang w:eastAsia="it-IT"/>
              </w:rPr>
            </w:pPr>
            <w:r w:rsidRPr="0019790A">
              <w:rPr>
                <w:rFonts w:cs="Arial"/>
                <w:b/>
                <w:color w:val="000000"/>
                <w:szCs w:val="22"/>
                <w:lang w:eastAsia="it-IT"/>
              </w:rPr>
              <w:t xml:space="preserve"> 150,00</w:t>
            </w:r>
          </w:p>
        </w:tc>
        <w:tc>
          <w:tcPr>
            <w:tcW w:w="1275" w:type="dxa"/>
            <w:shd w:val="clear" w:color="auto" w:fill="FFFFFF"/>
            <w:vAlign w:val="center"/>
          </w:tcPr>
          <w:p w14:paraId="118F534F" w14:textId="77777777" w:rsidR="00D1052A" w:rsidRPr="0019790A" w:rsidRDefault="00D1052A" w:rsidP="0019790A">
            <w:pPr>
              <w:jc w:val="center"/>
              <w:rPr>
                <w:rFonts w:cs="Arial"/>
                <w:b/>
                <w:color w:val="000000"/>
                <w:szCs w:val="22"/>
                <w:lang w:eastAsia="it-IT"/>
              </w:rPr>
            </w:pPr>
            <w:r w:rsidRPr="0019790A">
              <w:rPr>
                <w:rFonts w:cs="Arial"/>
                <w:b/>
                <w:color w:val="000000"/>
                <w:szCs w:val="22"/>
                <w:lang w:eastAsia="it-IT"/>
              </w:rPr>
              <w:t xml:space="preserve">3 000,00 </w:t>
            </w:r>
          </w:p>
        </w:tc>
        <w:tc>
          <w:tcPr>
            <w:tcW w:w="1418" w:type="dxa"/>
            <w:shd w:val="clear" w:color="auto" w:fill="auto"/>
            <w:vAlign w:val="center"/>
          </w:tcPr>
          <w:p w14:paraId="427BC016" w14:textId="77777777" w:rsidR="00D1052A" w:rsidRPr="0019790A" w:rsidRDefault="00D1052A" w:rsidP="0019790A">
            <w:pPr>
              <w:jc w:val="center"/>
              <w:rPr>
                <w:rFonts w:cs="Arial"/>
                <w:b/>
                <w:color w:val="000000"/>
                <w:szCs w:val="22"/>
                <w:lang w:eastAsia="it-IT"/>
              </w:rPr>
            </w:pPr>
            <w:r w:rsidRPr="0019790A">
              <w:rPr>
                <w:rFonts w:cs="Arial"/>
                <w:b/>
                <w:color w:val="000000"/>
                <w:szCs w:val="22"/>
                <w:lang w:eastAsia="it-IT"/>
              </w:rPr>
              <w:t xml:space="preserve"> </w:t>
            </w:r>
          </w:p>
        </w:tc>
        <w:tc>
          <w:tcPr>
            <w:tcW w:w="1276" w:type="dxa"/>
            <w:shd w:val="clear" w:color="auto" w:fill="FFFFFF"/>
            <w:vAlign w:val="center"/>
          </w:tcPr>
          <w:p w14:paraId="2084E349" w14:textId="77777777" w:rsidR="00D1052A" w:rsidRPr="0019790A" w:rsidRDefault="00D1052A" w:rsidP="0019790A">
            <w:pPr>
              <w:jc w:val="center"/>
              <w:rPr>
                <w:rFonts w:cs="Arial"/>
                <w:b/>
                <w:color w:val="000000"/>
                <w:szCs w:val="22"/>
                <w:lang w:eastAsia="it-IT"/>
              </w:rPr>
            </w:pPr>
            <w:r w:rsidRPr="0019790A">
              <w:rPr>
                <w:rFonts w:cs="Arial"/>
                <w:b/>
                <w:color w:val="000000"/>
                <w:szCs w:val="22"/>
                <w:lang w:eastAsia="it-IT"/>
              </w:rPr>
              <w:t xml:space="preserve"> </w:t>
            </w:r>
          </w:p>
        </w:tc>
        <w:tc>
          <w:tcPr>
            <w:tcW w:w="1571" w:type="dxa"/>
            <w:shd w:val="clear" w:color="auto" w:fill="FFFFFF"/>
            <w:vAlign w:val="center"/>
          </w:tcPr>
          <w:p w14:paraId="25103273" w14:textId="77777777" w:rsidR="00D1052A" w:rsidRPr="0019790A" w:rsidRDefault="00D1052A" w:rsidP="0019790A">
            <w:pPr>
              <w:jc w:val="center"/>
              <w:rPr>
                <w:rFonts w:cs="Arial"/>
                <w:b/>
                <w:bCs/>
                <w:color w:val="000000"/>
                <w:szCs w:val="22"/>
                <w:lang w:eastAsia="it-IT"/>
              </w:rPr>
            </w:pPr>
            <w:r w:rsidRPr="0019790A">
              <w:rPr>
                <w:rFonts w:cs="Arial"/>
                <w:b/>
                <w:bCs/>
                <w:szCs w:val="22"/>
              </w:rPr>
              <w:t xml:space="preserve">3 150,00 </w:t>
            </w:r>
          </w:p>
        </w:tc>
      </w:tr>
      <w:tr w:rsidR="00D1052A" w:rsidRPr="0019790A" w14:paraId="3F64041E" w14:textId="77777777" w:rsidTr="00D1052A">
        <w:trPr>
          <w:trHeight w:val="276"/>
          <w:jc w:val="right"/>
        </w:trPr>
        <w:tc>
          <w:tcPr>
            <w:tcW w:w="3425" w:type="dxa"/>
            <w:shd w:val="clear" w:color="auto" w:fill="FFFFFF"/>
            <w:vAlign w:val="center"/>
          </w:tcPr>
          <w:p w14:paraId="46C079DE" w14:textId="77777777" w:rsidR="00D1052A" w:rsidRPr="0019790A" w:rsidRDefault="00D1052A" w:rsidP="0019790A">
            <w:pPr>
              <w:rPr>
                <w:rFonts w:cs="Arial"/>
                <w:b/>
                <w:bCs/>
                <w:color w:val="000000"/>
                <w:szCs w:val="22"/>
              </w:rPr>
            </w:pPr>
            <w:r w:rsidRPr="0019790A">
              <w:rPr>
                <w:rFonts w:cs="Arial"/>
                <w:b/>
                <w:bCs/>
                <w:color w:val="000000"/>
                <w:szCs w:val="22"/>
              </w:rPr>
              <w:t>по джерелах фінансування:</w:t>
            </w:r>
          </w:p>
        </w:tc>
        <w:tc>
          <w:tcPr>
            <w:tcW w:w="6794" w:type="dxa"/>
            <w:gridSpan w:val="5"/>
            <w:vAlign w:val="center"/>
          </w:tcPr>
          <w:p w14:paraId="61100A32" w14:textId="77777777" w:rsidR="00D1052A" w:rsidRPr="0019790A" w:rsidRDefault="00D1052A" w:rsidP="0019790A">
            <w:pPr>
              <w:jc w:val="both"/>
              <w:rPr>
                <w:rFonts w:cs="Arial"/>
                <w:color w:val="000000"/>
                <w:szCs w:val="22"/>
                <w:lang w:eastAsia="it-IT"/>
              </w:rPr>
            </w:pPr>
          </w:p>
        </w:tc>
      </w:tr>
      <w:tr w:rsidR="00D1052A" w:rsidRPr="0019790A" w14:paraId="26110EFB" w14:textId="77777777" w:rsidTr="00D1052A">
        <w:trPr>
          <w:trHeight w:val="240"/>
          <w:jc w:val="right"/>
        </w:trPr>
        <w:tc>
          <w:tcPr>
            <w:tcW w:w="3425" w:type="dxa"/>
            <w:shd w:val="clear" w:color="auto" w:fill="FFFFFF"/>
            <w:vAlign w:val="center"/>
          </w:tcPr>
          <w:p w14:paraId="7AFED893" w14:textId="77777777" w:rsidR="00D1052A" w:rsidRPr="0019790A" w:rsidRDefault="00D1052A" w:rsidP="0019790A">
            <w:pPr>
              <w:rPr>
                <w:rFonts w:cs="Arial"/>
                <w:b/>
                <w:bCs/>
                <w:color w:val="000000"/>
                <w:szCs w:val="22"/>
              </w:rPr>
            </w:pPr>
            <w:r w:rsidRPr="0019790A">
              <w:rPr>
                <w:rFonts w:cs="Arial"/>
                <w:color w:val="000000"/>
                <w:szCs w:val="22"/>
              </w:rPr>
              <w:t>- державний бюджет</w:t>
            </w:r>
          </w:p>
        </w:tc>
        <w:tc>
          <w:tcPr>
            <w:tcW w:w="1254" w:type="dxa"/>
            <w:vAlign w:val="center"/>
          </w:tcPr>
          <w:p w14:paraId="1DC76BE7" w14:textId="77777777" w:rsidR="00D1052A" w:rsidRPr="0019790A" w:rsidRDefault="00D1052A" w:rsidP="0019790A">
            <w:pPr>
              <w:jc w:val="center"/>
              <w:rPr>
                <w:rFonts w:cs="Arial"/>
                <w:color w:val="000000"/>
                <w:szCs w:val="22"/>
                <w:lang w:eastAsia="it-IT"/>
              </w:rPr>
            </w:pPr>
            <w:r w:rsidRPr="0019790A">
              <w:rPr>
                <w:rFonts w:cs="Arial"/>
                <w:color w:val="000000"/>
                <w:szCs w:val="22"/>
                <w:lang w:eastAsia="it-IT"/>
              </w:rPr>
              <w:t>120,00</w:t>
            </w:r>
          </w:p>
        </w:tc>
        <w:tc>
          <w:tcPr>
            <w:tcW w:w="1275" w:type="dxa"/>
            <w:vAlign w:val="center"/>
          </w:tcPr>
          <w:p w14:paraId="068330FF" w14:textId="77777777" w:rsidR="00D1052A" w:rsidRPr="0019790A" w:rsidRDefault="00D1052A" w:rsidP="0019790A">
            <w:pPr>
              <w:jc w:val="center"/>
              <w:rPr>
                <w:rFonts w:cs="Arial"/>
                <w:color w:val="000000"/>
                <w:szCs w:val="22"/>
                <w:lang w:eastAsia="it-IT"/>
              </w:rPr>
            </w:pPr>
            <w:r w:rsidRPr="0019790A">
              <w:rPr>
                <w:rFonts w:cs="Arial"/>
                <w:color w:val="000000"/>
                <w:szCs w:val="22"/>
                <w:lang w:eastAsia="it-IT"/>
              </w:rPr>
              <w:t>2400,00</w:t>
            </w:r>
          </w:p>
        </w:tc>
        <w:tc>
          <w:tcPr>
            <w:tcW w:w="1418" w:type="dxa"/>
            <w:vAlign w:val="center"/>
          </w:tcPr>
          <w:p w14:paraId="71FB6353" w14:textId="77777777" w:rsidR="00D1052A" w:rsidRPr="0019790A" w:rsidRDefault="00D1052A" w:rsidP="0019790A">
            <w:pPr>
              <w:jc w:val="center"/>
              <w:rPr>
                <w:rFonts w:cs="Arial"/>
                <w:color w:val="000000"/>
                <w:szCs w:val="22"/>
                <w:lang w:eastAsia="it-IT"/>
              </w:rPr>
            </w:pPr>
          </w:p>
        </w:tc>
        <w:tc>
          <w:tcPr>
            <w:tcW w:w="1276" w:type="dxa"/>
            <w:vAlign w:val="center"/>
          </w:tcPr>
          <w:p w14:paraId="541E6C4D" w14:textId="77777777" w:rsidR="00D1052A" w:rsidRPr="0019790A" w:rsidRDefault="00D1052A" w:rsidP="0019790A">
            <w:pPr>
              <w:jc w:val="center"/>
              <w:rPr>
                <w:rFonts w:cs="Arial"/>
                <w:color w:val="000000"/>
                <w:szCs w:val="22"/>
                <w:lang w:eastAsia="it-IT"/>
              </w:rPr>
            </w:pPr>
          </w:p>
        </w:tc>
        <w:tc>
          <w:tcPr>
            <w:tcW w:w="1571" w:type="dxa"/>
            <w:vAlign w:val="center"/>
          </w:tcPr>
          <w:p w14:paraId="2E2D9745" w14:textId="77777777" w:rsidR="00D1052A" w:rsidRPr="00CD6B99" w:rsidRDefault="00D1052A" w:rsidP="0019790A">
            <w:pPr>
              <w:jc w:val="center"/>
              <w:rPr>
                <w:rFonts w:cs="Arial"/>
                <w:b/>
                <w:color w:val="000000"/>
                <w:szCs w:val="22"/>
                <w:lang w:eastAsia="it-IT"/>
              </w:rPr>
            </w:pPr>
            <w:r w:rsidRPr="00CD6B99">
              <w:rPr>
                <w:rFonts w:cs="Arial"/>
                <w:b/>
                <w:color w:val="000000"/>
                <w:szCs w:val="22"/>
                <w:lang w:eastAsia="it-IT"/>
              </w:rPr>
              <w:t>2520,00</w:t>
            </w:r>
          </w:p>
        </w:tc>
      </w:tr>
      <w:tr w:rsidR="00D1052A" w:rsidRPr="0019790A" w14:paraId="1D408F99" w14:textId="77777777" w:rsidTr="00D1052A">
        <w:trPr>
          <w:trHeight w:val="254"/>
          <w:jc w:val="right"/>
        </w:trPr>
        <w:tc>
          <w:tcPr>
            <w:tcW w:w="3425" w:type="dxa"/>
            <w:shd w:val="clear" w:color="auto" w:fill="FFFFFF"/>
            <w:vAlign w:val="center"/>
          </w:tcPr>
          <w:p w14:paraId="77786FA6" w14:textId="77777777" w:rsidR="00D1052A" w:rsidRPr="0019790A" w:rsidRDefault="00D1052A" w:rsidP="0019790A">
            <w:pPr>
              <w:rPr>
                <w:rFonts w:cs="Arial"/>
                <w:color w:val="000000"/>
                <w:szCs w:val="22"/>
              </w:rPr>
            </w:pPr>
            <w:r w:rsidRPr="0019790A">
              <w:rPr>
                <w:rFonts w:cs="Arial"/>
                <w:color w:val="000000"/>
                <w:szCs w:val="22"/>
              </w:rPr>
              <w:t>- обласний бюджет</w:t>
            </w:r>
          </w:p>
        </w:tc>
        <w:tc>
          <w:tcPr>
            <w:tcW w:w="6794" w:type="dxa"/>
            <w:gridSpan w:val="5"/>
            <w:vAlign w:val="center"/>
          </w:tcPr>
          <w:p w14:paraId="6260238C" w14:textId="77777777" w:rsidR="00D1052A" w:rsidRPr="00CD6B99" w:rsidRDefault="00D1052A" w:rsidP="0019790A">
            <w:pPr>
              <w:jc w:val="center"/>
              <w:rPr>
                <w:rFonts w:cs="Arial"/>
                <w:b/>
                <w:color w:val="000000"/>
                <w:szCs w:val="22"/>
                <w:lang w:eastAsia="it-IT"/>
              </w:rPr>
            </w:pPr>
          </w:p>
        </w:tc>
      </w:tr>
      <w:tr w:rsidR="00D1052A" w:rsidRPr="0019790A" w14:paraId="6F0CBFE8" w14:textId="77777777" w:rsidTr="00D1052A">
        <w:trPr>
          <w:trHeight w:val="275"/>
          <w:jc w:val="right"/>
        </w:trPr>
        <w:tc>
          <w:tcPr>
            <w:tcW w:w="3425" w:type="dxa"/>
            <w:shd w:val="clear" w:color="auto" w:fill="FFFFFF"/>
            <w:vAlign w:val="center"/>
          </w:tcPr>
          <w:p w14:paraId="50D19CF9" w14:textId="77777777" w:rsidR="00D1052A" w:rsidRPr="0019790A" w:rsidRDefault="00D1052A" w:rsidP="0019790A">
            <w:pPr>
              <w:rPr>
                <w:rFonts w:cs="Arial"/>
                <w:color w:val="000000"/>
                <w:szCs w:val="22"/>
              </w:rPr>
            </w:pPr>
            <w:r w:rsidRPr="0019790A">
              <w:rPr>
                <w:rFonts w:cs="Arial"/>
                <w:color w:val="000000"/>
                <w:szCs w:val="22"/>
              </w:rPr>
              <w:t>- бюджет Жмеринської МТГ</w:t>
            </w:r>
          </w:p>
        </w:tc>
        <w:tc>
          <w:tcPr>
            <w:tcW w:w="1254" w:type="dxa"/>
            <w:vAlign w:val="center"/>
          </w:tcPr>
          <w:p w14:paraId="147FE5BC" w14:textId="77777777" w:rsidR="00D1052A" w:rsidRPr="0019790A" w:rsidRDefault="00D1052A" w:rsidP="0019790A">
            <w:pPr>
              <w:jc w:val="center"/>
              <w:rPr>
                <w:rFonts w:cs="Arial"/>
                <w:color w:val="000000"/>
                <w:szCs w:val="22"/>
                <w:lang w:eastAsia="it-IT"/>
              </w:rPr>
            </w:pPr>
            <w:r w:rsidRPr="0019790A">
              <w:rPr>
                <w:rFonts w:cs="Arial"/>
                <w:color w:val="000000"/>
                <w:szCs w:val="22"/>
                <w:lang w:eastAsia="it-IT"/>
              </w:rPr>
              <w:t>30,00</w:t>
            </w:r>
          </w:p>
        </w:tc>
        <w:tc>
          <w:tcPr>
            <w:tcW w:w="1275" w:type="dxa"/>
            <w:vAlign w:val="center"/>
          </w:tcPr>
          <w:p w14:paraId="099D18A5" w14:textId="77777777" w:rsidR="00D1052A" w:rsidRPr="0019790A" w:rsidRDefault="00D1052A" w:rsidP="0019790A">
            <w:pPr>
              <w:jc w:val="center"/>
              <w:rPr>
                <w:rFonts w:cs="Arial"/>
                <w:color w:val="000000"/>
                <w:szCs w:val="22"/>
                <w:lang w:eastAsia="it-IT"/>
              </w:rPr>
            </w:pPr>
            <w:r w:rsidRPr="0019790A">
              <w:rPr>
                <w:rFonts w:cs="Arial"/>
                <w:color w:val="000000"/>
                <w:szCs w:val="22"/>
                <w:lang w:eastAsia="it-IT"/>
              </w:rPr>
              <w:t>600,00</w:t>
            </w:r>
          </w:p>
        </w:tc>
        <w:tc>
          <w:tcPr>
            <w:tcW w:w="1418" w:type="dxa"/>
            <w:vAlign w:val="center"/>
          </w:tcPr>
          <w:p w14:paraId="6AC72005" w14:textId="77777777" w:rsidR="00D1052A" w:rsidRPr="0019790A" w:rsidRDefault="00D1052A" w:rsidP="0019790A">
            <w:pPr>
              <w:jc w:val="center"/>
              <w:rPr>
                <w:rFonts w:cs="Arial"/>
                <w:color w:val="000000"/>
                <w:szCs w:val="22"/>
                <w:lang w:eastAsia="it-IT"/>
              </w:rPr>
            </w:pPr>
          </w:p>
        </w:tc>
        <w:tc>
          <w:tcPr>
            <w:tcW w:w="1276" w:type="dxa"/>
            <w:vAlign w:val="center"/>
          </w:tcPr>
          <w:p w14:paraId="742454DA" w14:textId="77777777" w:rsidR="00D1052A" w:rsidRPr="0019790A" w:rsidRDefault="00D1052A" w:rsidP="0019790A">
            <w:pPr>
              <w:jc w:val="center"/>
              <w:rPr>
                <w:rFonts w:cs="Arial"/>
                <w:color w:val="000000"/>
                <w:szCs w:val="22"/>
                <w:lang w:eastAsia="it-IT"/>
              </w:rPr>
            </w:pPr>
          </w:p>
        </w:tc>
        <w:tc>
          <w:tcPr>
            <w:tcW w:w="1571" w:type="dxa"/>
            <w:vAlign w:val="center"/>
          </w:tcPr>
          <w:p w14:paraId="30D824E9" w14:textId="77777777" w:rsidR="00D1052A" w:rsidRPr="00CD6B99" w:rsidRDefault="00D1052A" w:rsidP="0019790A">
            <w:pPr>
              <w:jc w:val="center"/>
              <w:rPr>
                <w:rFonts w:cs="Arial"/>
                <w:b/>
                <w:color w:val="000000"/>
                <w:szCs w:val="22"/>
                <w:lang w:eastAsia="it-IT"/>
              </w:rPr>
            </w:pPr>
            <w:r w:rsidRPr="00CD6B99">
              <w:rPr>
                <w:rFonts w:cs="Arial"/>
                <w:b/>
                <w:color w:val="000000"/>
                <w:szCs w:val="22"/>
                <w:lang w:eastAsia="it-IT"/>
              </w:rPr>
              <w:t>630,00</w:t>
            </w:r>
          </w:p>
        </w:tc>
      </w:tr>
      <w:tr w:rsidR="00D1052A" w:rsidRPr="0019790A" w14:paraId="0F015342" w14:textId="77777777" w:rsidTr="00D1052A">
        <w:trPr>
          <w:trHeight w:val="226"/>
          <w:jc w:val="right"/>
        </w:trPr>
        <w:tc>
          <w:tcPr>
            <w:tcW w:w="3425" w:type="dxa"/>
            <w:shd w:val="clear" w:color="auto" w:fill="FFFFFF"/>
            <w:vAlign w:val="center"/>
          </w:tcPr>
          <w:p w14:paraId="572B0923" w14:textId="77777777" w:rsidR="00D1052A" w:rsidRPr="0019790A" w:rsidRDefault="00D1052A" w:rsidP="0019790A">
            <w:pPr>
              <w:rPr>
                <w:rFonts w:cs="Arial"/>
                <w:color w:val="000000"/>
                <w:szCs w:val="22"/>
              </w:rPr>
            </w:pPr>
            <w:r w:rsidRPr="0019790A">
              <w:rPr>
                <w:rFonts w:cs="Arial"/>
                <w:color w:val="000000"/>
                <w:szCs w:val="22"/>
              </w:rPr>
              <w:t>- інші джерела фінансування</w:t>
            </w:r>
          </w:p>
        </w:tc>
        <w:tc>
          <w:tcPr>
            <w:tcW w:w="6794" w:type="dxa"/>
            <w:gridSpan w:val="5"/>
            <w:vAlign w:val="center"/>
          </w:tcPr>
          <w:p w14:paraId="290A663F" w14:textId="77777777" w:rsidR="00D1052A" w:rsidRPr="0019790A" w:rsidRDefault="00D1052A" w:rsidP="0019790A">
            <w:pPr>
              <w:jc w:val="both"/>
              <w:rPr>
                <w:rFonts w:cs="Arial"/>
                <w:color w:val="000000"/>
                <w:szCs w:val="22"/>
                <w:lang w:eastAsia="it-IT"/>
              </w:rPr>
            </w:pPr>
          </w:p>
        </w:tc>
      </w:tr>
      <w:tr w:rsidR="00D1052A" w:rsidRPr="0019790A" w14:paraId="1710686F" w14:textId="77777777" w:rsidTr="00D1052A">
        <w:trPr>
          <w:jc w:val="right"/>
        </w:trPr>
        <w:tc>
          <w:tcPr>
            <w:tcW w:w="3425" w:type="dxa"/>
            <w:shd w:val="clear" w:color="auto" w:fill="FFFFFF"/>
            <w:vAlign w:val="center"/>
          </w:tcPr>
          <w:p w14:paraId="40E3D2AF" w14:textId="77777777" w:rsidR="00D1052A" w:rsidRPr="0019790A" w:rsidRDefault="00D1052A" w:rsidP="0019790A">
            <w:pPr>
              <w:rPr>
                <w:rFonts w:cs="Arial"/>
                <w:b/>
                <w:bCs/>
                <w:color w:val="000000"/>
                <w:szCs w:val="22"/>
              </w:rPr>
            </w:pPr>
            <w:r w:rsidRPr="0019790A">
              <w:rPr>
                <w:rFonts w:cs="Arial"/>
                <w:b/>
                <w:color w:val="000000"/>
                <w:szCs w:val="22"/>
              </w:rPr>
              <w:t>Відповідальний виконавець проєкту:</w:t>
            </w:r>
          </w:p>
        </w:tc>
        <w:tc>
          <w:tcPr>
            <w:tcW w:w="6794" w:type="dxa"/>
            <w:gridSpan w:val="5"/>
            <w:vAlign w:val="center"/>
          </w:tcPr>
          <w:p w14:paraId="7F1656E4" w14:textId="77777777" w:rsidR="00D1052A" w:rsidRPr="0019790A" w:rsidRDefault="00D1052A" w:rsidP="0019790A">
            <w:pPr>
              <w:jc w:val="both"/>
              <w:rPr>
                <w:rFonts w:cs="Arial"/>
                <w:color w:val="000000"/>
                <w:szCs w:val="22"/>
                <w:lang w:eastAsia="it-IT"/>
              </w:rPr>
            </w:pPr>
            <w:r w:rsidRPr="0019790A">
              <w:rPr>
                <w:rFonts w:cs="Arial"/>
                <w:color w:val="000000"/>
                <w:szCs w:val="22"/>
                <w:lang w:eastAsia="it-IT"/>
              </w:rPr>
              <w:t>Управління ЖКГ Жмеринської міської ради, Управління освіти Жмеринської міської ради, КЗ «Жмеринський ліцей № 1»</w:t>
            </w:r>
          </w:p>
        </w:tc>
      </w:tr>
      <w:tr w:rsidR="00D1052A" w:rsidRPr="0019790A" w14:paraId="42479B39" w14:textId="77777777" w:rsidTr="00D1052A">
        <w:trPr>
          <w:jc w:val="right"/>
        </w:trPr>
        <w:tc>
          <w:tcPr>
            <w:tcW w:w="3425" w:type="dxa"/>
            <w:shd w:val="clear" w:color="auto" w:fill="FFFFFF"/>
            <w:vAlign w:val="center"/>
          </w:tcPr>
          <w:p w14:paraId="6B832AAF" w14:textId="77777777" w:rsidR="00D1052A" w:rsidRPr="0019790A" w:rsidRDefault="00D1052A" w:rsidP="0019790A">
            <w:pPr>
              <w:rPr>
                <w:rFonts w:cs="Arial"/>
                <w:b/>
                <w:bCs/>
                <w:color w:val="000000"/>
                <w:szCs w:val="22"/>
              </w:rPr>
            </w:pPr>
            <w:r w:rsidRPr="0019790A">
              <w:rPr>
                <w:rFonts w:cs="Arial"/>
                <w:b/>
                <w:bCs/>
                <w:color w:val="000000"/>
                <w:szCs w:val="22"/>
              </w:rPr>
              <w:t>Інше:</w:t>
            </w:r>
          </w:p>
        </w:tc>
        <w:tc>
          <w:tcPr>
            <w:tcW w:w="6794" w:type="dxa"/>
            <w:gridSpan w:val="5"/>
            <w:vAlign w:val="center"/>
          </w:tcPr>
          <w:p w14:paraId="6109712C" w14:textId="77777777" w:rsidR="00D1052A" w:rsidRPr="0019790A" w:rsidRDefault="00D1052A" w:rsidP="0019790A">
            <w:pPr>
              <w:rPr>
                <w:rFonts w:cs="Arial"/>
                <w:color w:val="000000"/>
                <w:szCs w:val="22"/>
                <w:lang w:eastAsia="it-IT"/>
              </w:rPr>
            </w:pPr>
          </w:p>
        </w:tc>
      </w:tr>
    </w:tbl>
    <w:p w14:paraId="501AA54F" w14:textId="77777777" w:rsidR="00D1052A" w:rsidRPr="0019790A" w:rsidRDefault="00D1052A" w:rsidP="0019790A">
      <w:pPr>
        <w:rPr>
          <w:rFonts w:cs="Arial"/>
          <w:szCs w:val="22"/>
        </w:rPr>
      </w:pPr>
    </w:p>
    <w:p w14:paraId="5C14D5BB" w14:textId="77777777" w:rsidR="00E6210F" w:rsidRPr="0019790A" w:rsidRDefault="00E6210F" w:rsidP="0019790A">
      <w:pPr>
        <w:jc w:val="center"/>
        <w:rPr>
          <w:rFonts w:cs="Arial"/>
          <w:b/>
          <w:color w:val="000000"/>
          <w:szCs w:val="22"/>
        </w:rPr>
      </w:pPr>
      <w:r w:rsidRPr="0019790A">
        <w:rPr>
          <w:rFonts w:cs="Arial"/>
          <w:b/>
          <w:color w:val="000000"/>
          <w:szCs w:val="22"/>
        </w:rPr>
        <w:t xml:space="preserve">Форма технічного завдання на проєкт місцевого розвитку </w:t>
      </w:r>
    </w:p>
    <w:p w14:paraId="26585F1F" w14:textId="77777777" w:rsidR="00E6210F" w:rsidRPr="0019790A" w:rsidRDefault="00E6210F" w:rsidP="0019790A">
      <w:pPr>
        <w:jc w:val="center"/>
        <w:rPr>
          <w:rFonts w:cs="Arial"/>
          <w:b/>
          <w:color w:val="000000"/>
          <w:szCs w:val="22"/>
        </w:rPr>
      </w:pPr>
      <w:r w:rsidRPr="0019790A">
        <w:rPr>
          <w:rFonts w:cs="Arial"/>
          <w:b/>
          <w:color w:val="000000"/>
          <w:szCs w:val="22"/>
        </w:rPr>
        <w:t>до Плану заходів з реалізації Стратегії</w:t>
      </w:r>
    </w:p>
    <w:p w14:paraId="2745E93A" w14:textId="77777777" w:rsidR="00E6210F" w:rsidRPr="0019790A" w:rsidRDefault="00E6210F"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1275"/>
        <w:gridCol w:w="1418"/>
        <w:gridCol w:w="1276"/>
        <w:gridCol w:w="1571"/>
      </w:tblGrid>
      <w:tr w:rsidR="00E6210F" w:rsidRPr="0019790A" w14:paraId="78A592C9" w14:textId="77777777" w:rsidTr="00B8248C">
        <w:trPr>
          <w:jc w:val="right"/>
        </w:trPr>
        <w:tc>
          <w:tcPr>
            <w:tcW w:w="3425" w:type="dxa"/>
            <w:vAlign w:val="center"/>
          </w:tcPr>
          <w:p w14:paraId="40111C0E" w14:textId="77777777" w:rsidR="00E6210F" w:rsidRPr="0019790A" w:rsidRDefault="00E6210F" w:rsidP="0019790A">
            <w:pPr>
              <w:rPr>
                <w:rFonts w:cs="Arial"/>
                <w:b/>
                <w:bCs/>
                <w:color w:val="000000"/>
                <w:szCs w:val="22"/>
              </w:rPr>
            </w:pPr>
            <w:r w:rsidRPr="0019790A">
              <w:rPr>
                <w:rFonts w:cs="Arial"/>
                <w:b/>
                <w:bCs/>
                <w:color w:val="000000"/>
                <w:szCs w:val="22"/>
              </w:rPr>
              <w:t>Назва проєкту:</w:t>
            </w:r>
          </w:p>
        </w:tc>
        <w:tc>
          <w:tcPr>
            <w:tcW w:w="6794" w:type="dxa"/>
            <w:gridSpan w:val="5"/>
          </w:tcPr>
          <w:p w14:paraId="6B6E1196" w14:textId="77777777" w:rsidR="00E6210F" w:rsidRPr="0019790A" w:rsidRDefault="00E6210F" w:rsidP="00CD6B99">
            <w:pPr>
              <w:jc w:val="both"/>
              <w:rPr>
                <w:rFonts w:cs="Arial"/>
                <w:szCs w:val="22"/>
                <w:lang w:eastAsia="it-IT"/>
              </w:rPr>
            </w:pPr>
            <w:r w:rsidRPr="0019790A">
              <w:rPr>
                <w:rFonts w:cs="Arial"/>
                <w:b/>
                <w:szCs w:val="22"/>
              </w:rPr>
              <w:t>Пожежна сигналізація – необхідна умова створення безпечного освітнього простору</w:t>
            </w:r>
          </w:p>
        </w:tc>
      </w:tr>
      <w:tr w:rsidR="00E6210F" w:rsidRPr="0019790A" w14:paraId="0226CA67" w14:textId="77777777" w:rsidTr="00B8248C">
        <w:trPr>
          <w:jc w:val="right"/>
        </w:trPr>
        <w:tc>
          <w:tcPr>
            <w:tcW w:w="3425" w:type="dxa"/>
          </w:tcPr>
          <w:p w14:paraId="02FD2D6C" w14:textId="77777777" w:rsidR="00E6210F" w:rsidRPr="0019790A" w:rsidRDefault="00E6210F"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45C43A36" w14:textId="77777777" w:rsidR="00E6210F" w:rsidRPr="0019790A" w:rsidRDefault="00E6210F"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5"/>
          </w:tcPr>
          <w:p w14:paraId="13FA0962" w14:textId="77777777" w:rsidR="00E6210F" w:rsidRPr="0019790A" w:rsidRDefault="00E6210F" w:rsidP="0019790A">
            <w:pPr>
              <w:rPr>
                <w:rFonts w:cs="Arial"/>
                <w:szCs w:val="22"/>
                <w:lang w:eastAsia="it-IT"/>
              </w:rPr>
            </w:pPr>
            <w:r w:rsidRPr="0019790A">
              <w:rPr>
                <w:rFonts w:cs="Arial"/>
                <w:szCs w:val="22"/>
                <w:lang w:eastAsia="it-IT"/>
              </w:rPr>
              <w:t xml:space="preserve"> Управління освіти Жмеринської міської ради</w:t>
            </w:r>
          </w:p>
          <w:p w14:paraId="7A469DF5" w14:textId="77777777" w:rsidR="00E6210F" w:rsidRPr="0019790A" w:rsidRDefault="00E6210F" w:rsidP="0019790A">
            <w:pPr>
              <w:rPr>
                <w:rFonts w:cs="Arial"/>
                <w:szCs w:val="22"/>
                <w:lang w:eastAsia="it-IT"/>
              </w:rPr>
            </w:pPr>
            <w:r w:rsidRPr="0019790A">
              <w:rPr>
                <w:rFonts w:eastAsia="Arial" w:cs="Arial"/>
                <w:szCs w:val="22"/>
                <w:shd w:val="clear" w:color="auto" w:fill="FFFFFF"/>
              </w:rPr>
              <w:t>КЗ «Жмеринський ліцей №2»</w:t>
            </w:r>
          </w:p>
        </w:tc>
      </w:tr>
      <w:tr w:rsidR="00E6210F" w:rsidRPr="0019790A" w14:paraId="3D98811B" w14:textId="77777777" w:rsidTr="00B8248C">
        <w:trPr>
          <w:jc w:val="right"/>
        </w:trPr>
        <w:tc>
          <w:tcPr>
            <w:tcW w:w="3425" w:type="dxa"/>
          </w:tcPr>
          <w:p w14:paraId="252F716A" w14:textId="77777777" w:rsidR="00E6210F" w:rsidRPr="0019790A" w:rsidRDefault="00E6210F" w:rsidP="0019790A">
            <w:pPr>
              <w:rPr>
                <w:rFonts w:cs="Arial"/>
                <w:b/>
                <w:bCs/>
                <w:szCs w:val="22"/>
              </w:rPr>
            </w:pPr>
            <w:r w:rsidRPr="0019790A">
              <w:rPr>
                <w:rFonts w:cs="Arial"/>
                <w:szCs w:val="22"/>
                <w:lang w:eastAsia="it-IT"/>
              </w:rPr>
              <w:t>Прізвище Ім’я по-батькові:</w:t>
            </w:r>
          </w:p>
        </w:tc>
        <w:tc>
          <w:tcPr>
            <w:tcW w:w="6794" w:type="dxa"/>
            <w:gridSpan w:val="5"/>
          </w:tcPr>
          <w:p w14:paraId="281EB87E" w14:textId="77777777" w:rsidR="00E6210F" w:rsidRPr="0019790A" w:rsidRDefault="00E6210F" w:rsidP="0019790A">
            <w:pPr>
              <w:pStyle w:val="TableParagraph"/>
              <w:ind w:left="0"/>
              <w:rPr>
                <w:rFonts w:ascii="Arial" w:hAnsi="Arial" w:cs="Arial"/>
              </w:rPr>
            </w:pPr>
            <w:r w:rsidRPr="0019790A">
              <w:rPr>
                <w:rFonts w:ascii="Arial" w:hAnsi="Arial" w:cs="Arial"/>
              </w:rPr>
              <w:t>Твердохліб Аліна Петрівна</w:t>
            </w:r>
          </w:p>
        </w:tc>
      </w:tr>
      <w:tr w:rsidR="00E6210F" w:rsidRPr="0019790A" w14:paraId="15406396" w14:textId="77777777" w:rsidTr="00B8248C">
        <w:trPr>
          <w:jc w:val="right"/>
        </w:trPr>
        <w:tc>
          <w:tcPr>
            <w:tcW w:w="3425" w:type="dxa"/>
          </w:tcPr>
          <w:p w14:paraId="1E9DBFA7" w14:textId="77777777" w:rsidR="00E6210F" w:rsidRPr="0019790A" w:rsidRDefault="00E6210F" w:rsidP="0019790A">
            <w:pPr>
              <w:rPr>
                <w:rFonts w:cs="Arial"/>
                <w:b/>
                <w:bCs/>
                <w:szCs w:val="22"/>
              </w:rPr>
            </w:pPr>
            <w:r w:rsidRPr="0019790A">
              <w:rPr>
                <w:rFonts w:cs="Arial"/>
                <w:szCs w:val="22"/>
                <w:lang w:eastAsia="it-IT"/>
              </w:rPr>
              <w:t>Телефон (мобільний):</w:t>
            </w:r>
          </w:p>
        </w:tc>
        <w:tc>
          <w:tcPr>
            <w:tcW w:w="6794" w:type="dxa"/>
            <w:gridSpan w:val="5"/>
          </w:tcPr>
          <w:p w14:paraId="24CE3127" w14:textId="77777777" w:rsidR="00E6210F" w:rsidRPr="0019790A" w:rsidRDefault="00E6210F" w:rsidP="0019790A">
            <w:pPr>
              <w:pStyle w:val="TableParagraph"/>
              <w:ind w:left="66"/>
              <w:rPr>
                <w:rFonts w:ascii="Arial" w:hAnsi="Arial" w:cs="Arial"/>
              </w:rPr>
            </w:pPr>
            <w:r w:rsidRPr="0019790A">
              <w:rPr>
                <w:rFonts w:ascii="Arial" w:hAnsi="Arial" w:cs="Arial"/>
                <w:spacing w:val="-2"/>
              </w:rPr>
              <w:t>+380 (67) 895 55 75</w:t>
            </w:r>
          </w:p>
        </w:tc>
      </w:tr>
      <w:tr w:rsidR="00E6210F" w:rsidRPr="0019790A" w14:paraId="33349C6E" w14:textId="77777777" w:rsidTr="00B8248C">
        <w:trPr>
          <w:jc w:val="right"/>
        </w:trPr>
        <w:tc>
          <w:tcPr>
            <w:tcW w:w="3425" w:type="dxa"/>
          </w:tcPr>
          <w:p w14:paraId="623930BB" w14:textId="77777777" w:rsidR="00E6210F" w:rsidRPr="0019790A" w:rsidRDefault="00E6210F" w:rsidP="0019790A">
            <w:pPr>
              <w:rPr>
                <w:rFonts w:cs="Arial"/>
                <w:b/>
                <w:bCs/>
                <w:szCs w:val="22"/>
              </w:rPr>
            </w:pPr>
            <w:r w:rsidRPr="0019790A">
              <w:rPr>
                <w:rFonts w:cs="Arial"/>
                <w:szCs w:val="22"/>
                <w:lang w:eastAsia="it-IT"/>
              </w:rPr>
              <w:t>Електронна адреса:</w:t>
            </w:r>
          </w:p>
        </w:tc>
        <w:tc>
          <w:tcPr>
            <w:tcW w:w="6794" w:type="dxa"/>
            <w:gridSpan w:val="5"/>
          </w:tcPr>
          <w:p w14:paraId="470F5B76" w14:textId="77777777" w:rsidR="00E6210F" w:rsidRPr="0019790A" w:rsidRDefault="00E6210F" w:rsidP="0019790A">
            <w:pPr>
              <w:pStyle w:val="TableParagraph"/>
              <w:ind w:left="66"/>
              <w:rPr>
                <w:rFonts w:ascii="Arial" w:hAnsi="Arial" w:cs="Arial"/>
                <w:b/>
                <w:color w:val="0070C0"/>
              </w:rPr>
            </w:pPr>
            <w:r w:rsidRPr="0019790A">
              <w:rPr>
                <w:rFonts w:ascii="Arial" w:hAnsi="Arial" w:cs="Arial"/>
                <w:color w:val="0070C0"/>
              </w:rPr>
              <w:t xml:space="preserve"> </w:t>
            </w:r>
            <w:hyperlink r:id="rId112" w:history="1">
              <w:r w:rsidRPr="0019790A">
                <w:rPr>
                  <w:rStyle w:val="af0"/>
                  <w:rFonts w:ascii="Arial" w:hAnsi="Arial" w:cs="Arial"/>
                  <w:noProof w:val="0"/>
                  <w:spacing w:val="5"/>
                  <w:sz w:val="22"/>
                  <w:szCs w:val="22"/>
                </w:rPr>
                <w:t>uposv.zmr@gmail.com</w:t>
              </w:r>
            </w:hyperlink>
          </w:p>
        </w:tc>
      </w:tr>
      <w:tr w:rsidR="00E6210F" w:rsidRPr="0019790A" w14:paraId="0202FCB8" w14:textId="77777777" w:rsidTr="00B8248C">
        <w:trPr>
          <w:jc w:val="right"/>
        </w:trPr>
        <w:tc>
          <w:tcPr>
            <w:tcW w:w="3425" w:type="dxa"/>
            <w:vAlign w:val="center"/>
          </w:tcPr>
          <w:p w14:paraId="0461E448" w14:textId="77777777" w:rsidR="00E6210F" w:rsidRPr="0019790A" w:rsidRDefault="00E6210F" w:rsidP="0019790A">
            <w:pPr>
              <w:pStyle w:val="6"/>
              <w:spacing w:before="0" w:after="0"/>
              <w:rPr>
                <w:rFonts w:ascii="Arial" w:hAnsi="Arial" w:cs="Arial"/>
                <w:color w:val="000000"/>
                <w:lang w:val="uk-UA"/>
              </w:rPr>
            </w:pPr>
            <w:r w:rsidRPr="0019790A">
              <w:rPr>
                <w:rFonts w:ascii="Arial" w:hAnsi="Arial" w:cs="Arial"/>
                <w:color w:val="000000"/>
                <w:lang w:val="uk-UA"/>
              </w:rPr>
              <w:t>Номер і назва завдання з Стратегії</w:t>
            </w:r>
            <w:r w:rsidRPr="0019790A">
              <w:rPr>
                <w:rFonts w:ascii="Arial" w:hAnsi="Arial" w:cs="Arial"/>
                <w:lang w:val="uk-UA" w:eastAsia="it-IT"/>
              </w:rPr>
              <w:t xml:space="preserve"> </w:t>
            </w:r>
            <w:r w:rsidRPr="0019790A">
              <w:rPr>
                <w:rFonts w:ascii="Arial" w:hAnsi="Arial" w:cs="Arial"/>
                <w:color w:val="000000"/>
                <w:lang w:val="uk-UA"/>
              </w:rPr>
              <w:t>розвитку Жмеринської міської територіальної громади,  якому відповідає проєкт:</w:t>
            </w:r>
          </w:p>
        </w:tc>
        <w:tc>
          <w:tcPr>
            <w:tcW w:w="6794" w:type="dxa"/>
            <w:gridSpan w:val="5"/>
          </w:tcPr>
          <w:p w14:paraId="3A7F5A19" w14:textId="77777777" w:rsidR="00E6210F" w:rsidRPr="0019790A" w:rsidRDefault="00E6210F" w:rsidP="0019790A">
            <w:pPr>
              <w:pBdr>
                <w:left w:val="single" w:sz="18" w:space="4" w:color="auto"/>
              </w:pBdr>
              <w:jc w:val="both"/>
              <w:rPr>
                <w:rFonts w:cs="Arial"/>
                <w:szCs w:val="22"/>
              </w:rPr>
            </w:pPr>
            <w:r w:rsidRPr="0019790A">
              <w:rPr>
                <w:rFonts w:cs="Arial"/>
                <w:szCs w:val="22"/>
                <w:lang w:eastAsia="it-IT"/>
              </w:rPr>
              <w:t xml:space="preserve"> </w:t>
            </w:r>
            <w:r w:rsidRPr="0019790A">
              <w:rPr>
                <w:rFonts w:cs="Arial"/>
                <w:szCs w:val="22"/>
              </w:rPr>
              <w:t>С.1.1.2. Розвиток освітньої інфраструктури територіальної громади відповідно до вимог час</w:t>
            </w:r>
          </w:p>
          <w:p w14:paraId="42B056E9" w14:textId="77777777" w:rsidR="00E6210F" w:rsidRPr="0019790A" w:rsidRDefault="00E6210F" w:rsidP="0019790A">
            <w:pPr>
              <w:pBdr>
                <w:left w:val="single" w:sz="18" w:space="4" w:color="auto"/>
              </w:pBdr>
              <w:rPr>
                <w:rFonts w:cs="Arial"/>
                <w:szCs w:val="22"/>
                <w:lang w:eastAsia="it-IT"/>
              </w:rPr>
            </w:pPr>
            <w:r w:rsidRPr="0019790A">
              <w:rPr>
                <w:rFonts w:cs="Arial"/>
                <w:szCs w:val="22"/>
              </w:rPr>
              <w:t>С.1.2.1. Підвищення рівня громадської безпеки в закладах освіти.</w:t>
            </w:r>
          </w:p>
        </w:tc>
      </w:tr>
      <w:tr w:rsidR="00E6210F" w:rsidRPr="0019790A" w14:paraId="186D1F6A" w14:textId="77777777" w:rsidTr="00B8248C">
        <w:trPr>
          <w:jc w:val="right"/>
        </w:trPr>
        <w:tc>
          <w:tcPr>
            <w:tcW w:w="3425" w:type="dxa"/>
            <w:vAlign w:val="center"/>
          </w:tcPr>
          <w:p w14:paraId="47A5CAAD" w14:textId="77777777" w:rsidR="00E6210F" w:rsidRPr="0019790A" w:rsidRDefault="00E6210F" w:rsidP="0019790A">
            <w:pPr>
              <w:rPr>
                <w:rFonts w:cs="Arial"/>
                <w:b/>
                <w:bCs/>
                <w:color w:val="000000"/>
                <w:szCs w:val="22"/>
              </w:rPr>
            </w:pPr>
            <w:r w:rsidRPr="0019790A">
              <w:rPr>
                <w:rFonts w:cs="Arial"/>
                <w:b/>
                <w:bCs/>
                <w:color w:val="000000"/>
                <w:szCs w:val="22"/>
              </w:rPr>
              <w:t>Мета проєкту:</w:t>
            </w:r>
          </w:p>
        </w:tc>
        <w:tc>
          <w:tcPr>
            <w:tcW w:w="6794" w:type="dxa"/>
            <w:gridSpan w:val="5"/>
          </w:tcPr>
          <w:p w14:paraId="3E5D32A8" w14:textId="77777777" w:rsidR="00E6210F" w:rsidRPr="0019790A" w:rsidRDefault="00E6210F" w:rsidP="0019790A">
            <w:pPr>
              <w:jc w:val="both"/>
              <w:rPr>
                <w:rFonts w:cs="Arial"/>
                <w:szCs w:val="22"/>
                <w:lang w:eastAsia="it-IT"/>
              </w:rPr>
            </w:pPr>
            <w:r w:rsidRPr="0019790A">
              <w:rPr>
                <w:rFonts w:cs="Arial"/>
                <w:szCs w:val="22"/>
              </w:rPr>
              <w:t>Підвищення рівня безпеки життєдіяльності учасників освітнього процесу як у звичайних умовах так і в умовах виникнення надзвичайних ситуацій</w:t>
            </w:r>
            <w:r w:rsidRPr="0019790A">
              <w:rPr>
                <w:rFonts w:cs="Arial"/>
                <w:iCs/>
                <w:szCs w:val="22"/>
              </w:rPr>
              <w:t>.</w:t>
            </w:r>
          </w:p>
        </w:tc>
      </w:tr>
      <w:tr w:rsidR="00E6210F" w:rsidRPr="0019790A" w14:paraId="59D568B6" w14:textId="77777777" w:rsidTr="00B8248C">
        <w:trPr>
          <w:jc w:val="right"/>
        </w:trPr>
        <w:tc>
          <w:tcPr>
            <w:tcW w:w="3425" w:type="dxa"/>
            <w:vAlign w:val="center"/>
          </w:tcPr>
          <w:p w14:paraId="2D5AEAD1" w14:textId="77777777" w:rsidR="00E6210F" w:rsidRPr="0019790A" w:rsidRDefault="00E6210F" w:rsidP="0019790A">
            <w:pPr>
              <w:rPr>
                <w:rFonts w:cs="Arial"/>
                <w:b/>
                <w:bCs/>
                <w:color w:val="000000"/>
                <w:szCs w:val="22"/>
              </w:rPr>
            </w:pPr>
            <w:r w:rsidRPr="0019790A">
              <w:rPr>
                <w:rFonts w:cs="Arial"/>
                <w:b/>
                <w:bCs/>
                <w:color w:val="000000"/>
                <w:szCs w:val="22"/>
              </w:rPr>
              <w:t>Цілі проєкту:</w:t>
            </w:r>
          </w:p>
        </w:tc>
        <w:tc>
          <w:tcPr>
            <w:tcW w:w="6794" w:type="dxa"/>
            <w:gridSpan w:val="5"/>
          </w:tcPr>
          <w:p w14:paraId="13EF2E71" w14:textId="77777777" w:rsidR="00E6210F" w:rsidRPr="0019790A" w:rsidRDefault="00E6210F" w:rsidP="0019790A">
            <w:pPr>
              <w:jc w:val="both"/>
              <w:rPr>
                <w:rFonts w:cs="Arial"/>
                <w:szCs w:val="22"/>
                <w:lang w:eastAsia="it-IT"/>
              </w:rPr>
            </w:pPr>
            <w:r w:rsidRPr="0019790A">
              <w:rPr>
                <w:rFonts w:cs="Arial"/>
                <w:szCs w:val="22"/>
              </w:rPr>
              <w:t xml:space="preserve"> Створення</w:t>
            </w:r>
            <w:r w:rsidRPr="0019790A">
              <w:rPr>
                <w:rFonts w:eastAsia="Arial" w:cs="Arial"/>
                <w:szCs w:val="22"/>
                <w:shd w:val="clear" w:color="auto" w:fill="FFFFFF"/>
              </w:rPr>
              <w:t xml:space="preserve"> безпечного освітнього простору в КЗ «Жмеринський ліцей №2» шляхом облаштування системи автоматичної пожежної сигналізації  </w:t>
            </w:r>
            <w:r w:rsidRPr="0019790A">
              <w:rPr>
                <w:rFonts w:cs="Arial"/>
                <w:szCs w:val="22"/>
              </w:rPr>
              <w:t xml:space="preserve"> </w:t>
            </w:r>
          </w:p>
        </w:tc>
      </w:tr>
      <w:tr w:rsidR="00E6210F" w:rsidRPr="0019790A" w14:paraId="582A1A1C" w14:textId="77777777" w:rsidTr="00B8248C">
        <w:trPr>
          <w:jc w:val="right"/>
        </w:trPr>
        <w:tc>
          <w:tcPr>
            <w:tcW w:w="3425" w:type="dxa"/>
            <w:vAlign w:val="center"/>
          </w:tcPr>
          <w:p w14:paraId="6B1EE8C7" w14:textId="77777777" w:rsidR="00E6210F" w:rsidRPr="0019790A" w:rsidRDefault="00E6210F" w:rsidP="0019790A">
            <w:pPr>
              <w:autoSpaceDE w:val="0"/>
              <w:autoSpaceDN w:val="0"/>
              <w:adjustRightInd w:val="0"/>
              <w:rPr>
                <w:rFonts w:cs="Arial"/>
                <w:b/>
                <w:color w:val="000000"/>
                <w:szCs w:val="22"/>
              </w:rPr>
            </w:pPr>
            <w:r w:rsidRPr="0019790A">
              <w:rPr>
                <w:rFonts w:cs="Arial"/>
                <w:b/>
                <w:color w:val="000000"/>
                <w:szCs w:val="22"/>
              </w:rPr>
              <w:t>Територія на яку проєкт матиме вплив:</w:t>
            </w:r>
          </w:p>
        </w:tc>
        <w:tc>
          <w:tcPr>
            <w:tcW w:w="6794" w:type="dxa"/>
            <w:gridSpan w:val="5"/>
          </w:tcPr>
          <w:p w14:paraId="1BD51241" w14:textId="77777777" w:rsidR="00E6210F" w:rsidRPr="0019790A" w:rsidRDefault="00E6210F" w:rsidP="0019790A">
            <w:pPr>
              <w:rPr>
                <w:rFonts w:cs="Arial"/>
                <w:szCs w:val="22"/>
                <w:lang w:eastAsia="it-IT"/>
              </w:rPr>
            </w:pPr>
            <w:r w:rsidRPr="0019790A">
              <w:rPr>
                <w:rFonts w:cs="Arial"/>
                <w:szCs w:val="22"/>
                <w:lang w:eastAsia="it-IT"/>
              </w:rPr>
              <w:t xml:space="preserve">Територія Жмеринської міської територіальної громади </w:t>
            </w:r>
          </w:p>
        </w:tc>
      </w:tr>
      <w:tr w:rsidR="00E6210F" w:rsidRPr="0019790A" w14:paraId="3887CEFF" w14:textId="77777777" w:rsidTr="00B8248C">
        <w:trPr>
          <w:jc w:val="right"/>
        </w:trPr>
        <w:tc>
          <w:tcPr>
            <w:tcW w:w="3425" w:type="dxa"/>
            <w:vAlign w:val="center"/>
          </w:tcPr>
          <w:p w14:paraId="62387D7C" w14:textId="77777777" w:rsidR="00E6210F" w:rsidRPr="0019790A" w:rsidRDefault="00E6210F" w:rsidP="0019790A">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4" w:type="dxa"/>
            <w:gridSpan w:val="5"/>
          </w:tcPr>
          <w:p w14:paraId="2C32EBAB" w14:textId="77777777" w:rsidR="00E6210F" w:rsidRPr="0019790A" w:rsidRDefault="00E6210F" w:rsidP="0019790A">
            <w:pPr>
              <w:pStyle w:val="TableParagraph"/>
              <w:rPr>
                <w:rFonts w:ascii="Arial" w:hAnsi="Arial" w:cs="Arial"/>
              </w:rPr>
            </w:pPr>
            <w:r w:rsidRPr="0019790A">
              <w:rPr>
                <w:rFonts w:ascii="Arial" w:hAnsi="Arial" w:cs="Arial"/>
              </w:rPr>
              <w:t>850 здобувачів освіти, працівники закладу, батьки, відвідувачі, жителі громади.</w:t>
            </w:r>
          </w:p>
        </w:tc>
      </w:tr>
      <w:tr w:rsidR="00E6210F" w:rsidRPr="0019790A" w14:paraId="4687B631" w14:textId="77777777" w:rsidTr="00B8248C">
        <w:trPr>
          <w:jc w:val="right"/>
        </w:trPr>
        <w:tc>
          <w:tcPr>
            <w:tcW w:w="3425" w:type="dxa"/>
            <w:shd w:val="clear" w:color="auto" w:fill="FFFFFF"/>
            <w:vAlign w:val="center"/>
          </w:tcPr>
          <w:p w14:paraId="4D1CD83D" w14:textId="77777777" w:rsidR="00E6210F" w:rsidRPr="0019790A" w:rsidRDefault="00E6210F" w:rsidP="0019790A">
            <w:pPr>
              <w:rPr>
                <w:rFonts w:cs="Arial"/>
                <w:b/>
                <w:bCs/>
                <w:color w:val="000000"/>
                <w:szCs w:val="22"/>
              </w:rPr>
            </w:pPr>
            <w:r w:rsidRPr="0019790A">
              <w:rPr>
                <w:rFonts w:cs="Arial"/>
                <w:b/>
                <w:bCs/>
                <w:color w:val="000000"/>
                <w:szCs w:val="22"/>
              </w:rPr>
              <w:t>Стислий опис проєкту:</w:t>
            </w:r>
          </w:p>
        </w:tc>
        <w:tc>
          <w:tcPr>
            <w:tcW w:w="6794" w:type="dxa"/>
            <w:gridSpan w:val="5"/>
          </w:tcPr>
          <w:p w14:paraId="66A08090" w14:textId="77777777" w:rsidR="00E6210F" w:rsidRPr="0019790A" w:rsidRDefault="00E6210F" w:rsidP="0019790A">
            <w:pPr>
              <w:ind w:left="-10"/>
              <w:jc w:val="both"/>
              <w:rPr>
                <w:rFonts w:cs="Arial"/>
                <w:color w:val="000000"/>
                <w:szCs w:val="22"/>
              </w:rPr>
            </w:pPr>
            <w:r w:rsidRPr="0019790A">
              <w:rPr>
                <w:rFonts w:cs="Arial"/>
                <w:color w:val="333333"/>
                <w:szCs w:val="22"/>
                <w:shd w:val="clear" w:color="auto" w:fill="FFFFFF"/>
              </w:rPr>
              <w:t xml:space="preserve">   </w:t>
            </w:r>
            <w:r w:rsidRPr="0019790A">
              <w:rPr>
                <w:rFonts w:cs="Arial"/>
                <w:color w:val="000000"/>
                <w:szCs w:val="22"/>
              </w:rPr>
              <w:t xml:space="preserve">Питання безпеки, добробуту та здоров’я учасників освітнього процесу є одним з пріоритетних в освіті Жмеринської міської ТГ, адже у нездоровій атмосфері чи небезпечному освітньому середовищі складно забезпечити здобуття якісної освіти. </w:t>
            </w:r>
          </w:p>
          <w:p w14:paraId="3670FD70" w14:textId="77777777" w:rsidR="00E6210F" w:rsidRPr="0019790A" w:rsidRDefault="00E6210F" w:rsidP="0019790A">
            <w:pPr>
              <w:ind w:left="-10"/>
              <w:jc w:val="both"/>
              <w:rPr>
                <w:rFonts w:cs="Arial"/>
                <w:szCs w:val="22"/>
              </w:rPr>
            </w:pPr>
            <w:r w:rsidRPr="0019790A">
              <w:rPr>
                <w:rFonts w:cs="Arial"/>
                <w:color w:val="000000"/>
                <w:szCs w:val="22"/>
              </w:rPr>
              <w:t xml:space="preserve">     </w:t>
            </w:r>
            <w:r w:rsidRPr="0019790A">
              <w:rPr>
                <w:rFonts w:cs="Arial"/>
                <w:bCs/>
                <w:color w:val="000000"/>
                <w:szCs w:val="22"/>
                <w:bdr w:val="none" w:sz="0" w:space="0" w:color="auto" w:frame="1"/>
                <w:lang w:eastAsia="uk-UA"/>
              </w:rPr>
              <w:t>Сучасна система пожежної безпеки навчального закладу</w:t>
            </w:r>
            <w:r w:rsidRPr="0019790A">
              <w:rPr>
                <w:rFonts w:cs="Arial"/>
                <w:color w:val="000000"/>
                <w:szCs w:val="22"/>
                <w:lang w:eastAsia="uk-UA"/>
              </w:rPr>
              <w:t xml:space="preserve"> — це комплекс інтелектуальних продуктів і рішень, які допомагають не просто забезпечити потрібний рівень безпеки та вчасно виявити й розпізнати можливу загрозу, а й швидко та ефективно евакуювати людей у разі необхідності.  </w:t>
            </w:r>
          </w:p>
          <w:p w14:paraId="27B78576" w14:textId="77777777" w:rsidR="00E6210F" w:rsidRPr="0019790A" w:rsidRDefault="00E6210F" w:rsidP="0019790A">
            <w:pPr>
              <w:jc w:val="both"/>
              <w:rPr>
                <w:rFonts w:cs="Arial"/>
                <w:szCs w:val="22"/>
                <w:lang w:eastAsia="it-IT"/>
              </w:rPr>
            </w:pPr>
            <w:r w:rsidRPr="0019790A">
              <w:rPr>
                <w:rFonts w:cs="Arial"/>
                <w:szCs w:val="22"/>
              </w:rPr>
              <w:t xml:space="preserve">   Реалізація проєкту сприятиме формуванню безпечного освітнього простору у закладі освіти та дозволить здійснювати постійний моніторинг пожежного стану приміщень за допомогою технічних засобів виявлення пожежі шляхом автоматичного контролю наявності первинних ознак (збільшення задимленості, підвищення температури тощо).</w:t>
            </w:r>
            <w:r w:rsidRPr="0019790A">
              <w:rPr>
                <w:rFonts w:eastAsia="Arial" w:cs="Arial"/>
                <w:szCs w:val="22"/>
                <w:shd w:val="clear" w:color="auto" w:fill="FFFFFF"/>
              </w:rPr>
              <w:t xml:space="preserve"> </w:t>
            </w:r>
            <w:r w:rsidRPr="0019790A">
              <w:rPr>
                <w:rFonts w:cs="Arial"/>
                <w:i/>
                <w:color w:val="000000"/>
                <w:szCs w:val="22"/>
              </w:rPr>
              <w:t xml:space="preserve"> </w:t>
            </w:r>
            <w:r w:rsidRPr="0019790A">
              <w:rPr>
                <w:rFonts w:eastAsia="Arial" w:cs="Arial"/>
                <w:szCs w:val="22"/>
                <w:shd w:val="clear" w:color="auto" w:fill="FFFFFF"/>
              </w:rPr>
              <w:t xml:space="preserve">  </w:t>
            </w:r>
          </w:p>
        </w:tc>
      </w:tr>
      <w:tr w:rsidR="00E6210F" w:rsidRPr="0019790A" w14:paraId="4DAF8BEB" w14:textId="77777777" w:rsidTr="00B8248C">
        <w:trPr>
          <w:jc w:val="right"/>
        </w:trPr>
        <w:tc>
          <w:tcPr>
            <w:tcW w:w="3425" w:type="dxa"/>
            <w:shd w:val="clear" w:color="auto" w:fill="FFFFFF"/>
            <w:vAlign w:val="center"/>
          </w:tcPr>
          <w:p w14:paraId="5F6543BA" w14:textId="77777777" w:rsidR="00E6210F" w:rsidRPr="0019790A" w:rsidRDefault="00E6210F" w:rsidP="0019790A">
            <w:pPr>
              <w:rPr>
                <w:rFonts w:cs="Arial"/>
                <w:b/>
                <w:bCs/>
                <w:color w:val="000000"/>
                <w:szCs w:val="22"/>
              </w:rPr>
            </w:pPr>
            <w:r w:rsidRPr="0019790A">
              <w:rPr>
                <w:rFonts w:cs="Arial"/>
                <w:b/>
                <w:bCs/>
                <w:color w:val="000000"/>
                <w:szCs w:val="22"/>
              </w:rPr>
              <w:t>Основні заходи проєкту:</w:t>
            </w:r>
          </w:p>
        </w:tc>
        <w:tc>
          <w:tcPr>
            <w:tcW w:w="6794" w:type="dxa"/>
            <w:gridSpan w:val="5"/>
          </w:tcPr>
          <w:p w14:paraId="4AE40CD0" w14:textId="77777777" w:rsidR="00E6210F" w:rsidRPr="0019790A" w:rsidRDefault="00E6210F" w:rsidP="0019790A">
            <w:pPr>
              <w:pStyle w:val="af4"/>
              <w:numPr>
                <w:ilvl w:val="0"/>
                <w:numId w:val="28"/>
              </w:numPr>
              <w:suppressAutoHyphens w:val="0"/>
              <w:spacing w:after="0" w:line="240" w:lineRule="auto"/>
              <w:contextualSpacing/>
              <w:jc w:val="both"/>
              <w:rPr>
                <w:rFonts w:ascii="Arial" w:hAnsi="Arial" w:cs="Arial"/>
                <w:b/>
                <w:iCs/>
              </w:rPr>
            </w:pPr>
            <w:r w:rsidRPr="0019790A">
              <w:rPr>
                <w:rFonts w:ascii="Arial" w:hAnsi="Arial" w:cs="Arial"/>
                <w:lang w:eastAsia="it-IT"/>
              </w:rPr>
              <w:t>Виготовлення ПКД на в</w:t>
            </w:r>
            <w:r w:rsidRPr="0019790A">
              <w:rPr>
                <w:rFonts w:ascii="Arial" w:hAnsi="Arial" w:cs="Arial"/>
                <w:iCs/>
              </w:rPr>
              <w:t xml:space="preserve">становлення автоматичної пожежної сигналізації   </w:t>
            </w:r>
          </w:p>
          <w:p w14:paraId="29CC6407" w14:textId="77777777" w:rsidR="00E6210F" w:rsidRPr="0019790A" w:rsidRDefault="00E6210F" w:rsidP="0019790A">
            <w:pPr>
              <w:pStyle w:val="af4"/>
              <w:numPr>
                <w:ilvl w:val="0"/>
                <w:numId w:val="28"/>
              </w:numPr>
              <w:suppressAutoHyphens w:val="0"/>
              <w:spacing w:after="0" w:line="240" w:lineRule="auto"/>
              <w:contextualSpacing/>
              <w:jc w:val="both"/>
              <w:rPr>
                <w:rFonts w:ascii="Arial" w:hAnsi="Arial" w:cs="Arial"/>
                <w:b/>
                <w:iCs/>
              </w:rPr>
            </w:pPr>
            <w:r w:rsidRPr="0019790A">
              <w:rPr>
                <w:rFonts w:ascii="Arial" w:hAnsi="Arial" w:cs="Arial"/>
                <w:lang w:eastAsia="it-IT"/>
              </w:rPr>
              <w:t>Проведення процедури закупівель</w:t>
            </w:r>
          </w:p>
          <w:p w14:paraId="21261991" w14:textId="77777777" w:rsidR="00E6210F" w:rsidRPr="0019790A" w:rsidRDefault="00E6210F" w:rsidP="0019790A">
            <w:pPr>
              <w:pStyle w:val="af4"/>
              <w:numPr>
                <w:ilvl w:val="0"/>
                <w:numId w:val="28"/>
              </w:numPr>
              <w:suppressAutoHyphens w:val="0"/>
              <w:spacing w:after="0" w:line="240" w:lineRule="auto"/>
              <w:contextualSpacing/>
              <w:jc w:val="both"/>
              <w:rPr>
                <w:rFonts w:ascii="Arial" w:hAnsi="Arial" w:cs="Arial"/>
                <w:b/>
                <w:iCs/>
              </w:rPr>
            </w:pPr>
            <w:r w:rsidRPr="0019790A">
              <w:rPr>
                <w:rFonts w:ascii="Arial" w:hAnsi="Arial" w:cs="Arial"/>
                <w:iCs/>
              </w:rPr>
              <w:t xml:space="preserve">Здійснення робіт з встановлення автоматичної пожежної сигналізації в КЗ «Жмеринський ліцей № 2»  </w:t>
            </w:r>
          </w:p>
        </w:tc>
      </w:tr>
      <w:tr w:rsidR="00E6210F" w:rsidRPr="0019790A" w14:paraId="6816EB15" w14:textId="77777777" w:rsidTr="00B8248C">
        <w:trPr>
          <w:jc w:val="right"/>
        </w:trPr>
        <w:tc>
          <w:tcPr>
            <w:tcW w:w="3425" w:type="dxa"/>
            <w:shd w:val="clear" w:color="auto" w:fill="FFFFFF"/>
            <w:vAlign w:val="center"/>
          </w:tcPr>
          <w:p w14:paraId="629791B5" w14:textId="77777777" w:rsidR="00E6210F" w:rsidRPr="0019790A" w:rsidRDefault="00E6210F"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794" w:type="dxa"/>
            <w:gridSpan w:val="5"/>
          </w:tcPr>
          <w:p w14:paraId="6BBDB6B3" w14:textId="40B3C9E0" w:rsidR="00E6210F" w:rsidRPr="0019790A" w:rsidRDefault="00E6210F" w:rsidP="0019790A">
            <w:pPr>
              <w:widowControl w:val="0"/>
              <w:jc w:val="both"/>
              <w:rPr>
                <w:rFonts w:cs="Arial"/>
                <w:szCs w:val="22"/>
              </w:rPr>
            </w:pPr>
            <w:r w:rsidRPr="0019790A">
              <w:rPr>
                <w:rFonts w:cs="Arial"/>
                <w:iCs/>
                <w:szCs w:val="22"/>
              </w:rPr>
              <w:t xml:space="preserve"> </w:t>
            </w:r>
            <w:r w:rsidRPr="0019790A">
              <w:rPr>
                <w:rFonts w:eastAsia="Arial" w:cs="Arial"/>
                <w:szCs w:val="22"/>
                <w:shd w:val="clear" w:color="auto" w:fill="FFFFFF"/>
              </w:rPr>
              <w:t xml:space="preserve"> Збі</w:t>
            </w:r>
            <w:r w:rsidR="00CD6B99">
              <w:rPr>
                <w:rFonts w:eastAsia="Arial" w:cs="Arial"/>
                <w:szCs w:val="22"/>
                <w:shd w:val="clear" w:color="auto" w:fill="FFFFFF"/>
              </w:rPr>
              <w:t>ль</w:t>
            </w:r>
            <w:r w:rsidRPr="0019790A">
              <w:rPr>
                <w:rFonts w:eastAsia="Arial" w:cs="Arial"/>
                <w:szCs w:val="22"/>
                <w:shd w:val="clear" w:color="auto" w:fill="FFFFFF"/>
              </w:rPr>
              <w:t xml:space="preserve">шення кількості закладів освіти, де створено безпечний освітній простір шляхом облаштування системи автоматичної пожежної сигналізації  </w:t>
            </w:r>
            <w:r w:rsidRPr="0019790A">
              <w:rPr>
                <w:rFonts w:cs="Arial"/>
                <w:szCs w:val="22"/>
              </w:rPr>
              <w:t xml:space="preserve">  </w:t>
            </w:r>
          </w:p>
        </w:tc>
      </w:tr>
      <w:tr w:rsidR="00E6210F" w:rsidRPr="0019790A" w14:paraId="428BC304" w14:textId="77777777" w:rsidTr="00B8248C">
        <w:trPr>
          <w:jc w:val="right"/>
        </w:trPr>
        <w:tc>
          <w:tcPr>
            <w:tcW w:w="3425" w:type="dxa"/>
            <w:shd w:val="clear" w:color="auto" w:fill="FFFFFF"/>
            <w:vAlign w:val="center"/>
          </w:tcPr>
          <w:p w14:paraId="524580C9" w14:textId="77777777" w:rsidR="00E6210F" w:rsidRPr="0019790A" w:rsidRDefault="00E6210F" w:rsidP="0019790A">
            <w:pPr>
              <w:rPr>
                <w:rFonts w:cs="Arial"/>
                <w:b/>
                <w:color w:val="000000"/>
                <w:szCs w:val="22"/>
              </w:rPr>
            </w:pPr>
            <w:r w:rsidRPr="0019790A">
              <w:rPr>
                <w:rFonts w:cs="Arial"/>
                <w:b/>
                <w:color w:val="000000"/>
                <w:szCs w:val="22"/>
              </w:rPr>
              <w:t xml:space="preserve">Період здійснення: </w:t>
            </w:r>
          </w:p>
        </w:tc>
        <w:tc>
          <w:tcPr>
            <w:tcW w:w="6794" w:type="dxa"/>
            <w:gridSpan w:val="5"/>
            <w:vAlign w:val="center"/>
          </w:tcPr>
          <w:p w14:paraId="4F6A7809" w14:textId="77777777" w:rsidR="00E6210F" w:rsidRPr="0019790A" w:rsidRDefault="00E6210F" w:rsidP="0019790A">
            <w:pPr>
              <w:rPr>
                <w:rFonts w:cs="Arial"/>
                <w:color w:val="000000"/>
                <w:szCs w:val="22"/>
                <w:lang w:eastAsia="it-IT"/>
              </w:rPr>
            </w:pPr>
            <w:r w:rsidRPr="0019790A">
              <w:rPr>
                <w:rFonts w:cs="Arial"/>
                <w:b/>
                <w:color w:val="000000"/>
                <w:szCs w:val="22"/>
              </w:rPr>
              <w:t>2025 – 2028 роки:</w:t>
            </w:r>
          </w:p>
        </w:tc>
      </w:tr>
      <w:tr w:rsidR="00E6210F" w:rsidRPr="0019790A" w14:paraId="527E46C0" w14:textId="77777777" w:rsidTr="00B8248C">
        <w:trPr>
          <w:jc w:val="right"/>
        </w:trPr>
        <w:tc>
          <w:tcPr>
            <w:tcW w:w="3425" w:type="dxa"/>
            <w:vMerge w:val="restart"/>
            <w:shd w:val="clear" w:color="auto" w:fill="FFFFFF"/>
            <w:vAlign w:val="center"/>
          </w:tcPr>
          <w:p w14:paraId="06C550D1" w14:textId="77777777" w:rsidR="00E6210F" w:rsidRPr="0019790A" w:rsidRDefault="00E6210F" w:rsidP="0019790A">
            <w:pPr>
              <w:rPr>
                <w:rFonts w:cs="Arial"/>
                <w:b/>
                <w:bCs/>
                <w:color w:val="000000"/>
                <w:szCs w:val="22"/>
              </w:rPr>
            </w:pPr>
            <w:r w:rsidRPr="0019790A">
              <w:rPr>
                <w:rFonts w:cs="Arial"/>
                <w:b/>
                <w:bCs/>
                <w:color w:val="000000"/>
                <w:szCs w:val="22"/>
              </w:rPr>
              <w:t>Орієнтовна вартість проєкту, тис. грн., в тому числі:</w:t>
            </w:r>
          </w:p>
        </w:tc>
        <w:tc>
          <w:tcPr>
            <w:tcW w:w="1254" w:type="dxa"/>
            <w:shd w:val="clear" w:color="auto" w:fill="E6E6E6"/>
            <w:vAlign w:val="center"/>
          </w:tcPr>
          <w:p w14:paraId="5ABA05AA" w14:textId="77777777" w:rsidR="00E6210F" w:rsidRPr="0019790A" w:rsidRDefault="00E6210F" w:rsidP="0019790A">
            <w:pPr>
              <w:jc w:val="center"/>
              <w:rPr>
                <w:rFonts w:cs="Arial"/>
                <w:b/>
                <w:color w:val="000000"/>
                <w:szCs w:val="22"/>
                <w:lang w:eastAsia="it-IT"/>
              </w:rPr>
            </w:pPr>
            <w:r w:rsidRPr="0019790A">
              <w:rPr>
                <w:rFonts w:cs="Arial"/>
                <w:b/>
                <w:color w:val="000000"/>
                <w:szCs w:val="22"/>
                <w:lang w:eastAsia="it-IT"/>
              </w:rPr>
              <w:t>2025</w:t>
            </w:r>
          </w:p>
        </w:tc>
        <w:tc>
          <w:tcPr>
            <w:tcW w:w="1275" w:type="dxa"/>
            <w:shd w:val="clear" w:color="auto" w:fill="E6E6E6"/>
            <w:vAlign w:val="center"/>
          </w:tcPr>
          <w:p w14:paraId="2D783D40" w14:textId="77777777" w:rsidR="00E6210F" w:rsidRPr="0019790A" w:rsidRDefault="00E6210F" w:rsidP="0019790A">
            <w:pPr>
              <w:jc w:val="center"/>
              <w:rPr>
                <w:rFonts w:cs="Arial"/>
                <w:b/>
                <w:color w:val="000000"/>
                <w:szCs w:val="22"/>
                <w:lang w:eastAsia="it-IT"/>
              </w:rPr>
            </w:pPr>
            <w:r w:rsidRPr="0019790A">
              <w:rPr>
                <w:rFonts w:cs="Arial"/>
                <w:b/>
                <w:color w:val="000000"/>
                <w:szCs w:val="22"/>
                <w:lang w:eastAsia="it-IT"/>
              </w:rPr>
              <w:t>2026</w:t>
            </w:r>
          </w:p>
        </w:tc>
        <w:tc>
          <w:tcPr>
            <w:tcW w:w="1418" w:type="dxa"/>
            <w:tcBorders>
              <w:bottom w:val="single" w:sz="4" w:space="0" w:color="auto"/>
            </w:tcBorders>
            <w:shd w:val="clear" w:color="auto" w:fill="E6E6E6"/>
            <w:vAlign w:val="center"/>
          </w:tcPr>
          <w:p w14:paraId="78D288B4" w14:textId="77777777" w:rsidR="00E6210F" w:rsidRPr="0019790A" w:rsidRDefault="00E6210F" w:rsidP="0019790A">
            <w:pPr>
              <w:jc w:val="center"/>
              <w:rPr>
                <w:rFonts w:cs="Arial"/>
                <w:b/>
                <w:color w:val="000000"/>
                <w:szCs w:val="22"/>
                <w:lang w:eastAsia="it-IT"/>
              </w:rPr>
            </w:pPr>
            <w:r w:rsidRPr="0019790A">
              <w:rPr>
                <w:rFonts w:cs="Arial"/>
                <w:b/>
                <w:color w:val="000000"/>
                <w:szCs w:val="22"/>
                <w:lang w:eastAsia="it-IT"/>
              </w:rPr>
              <w:t>2027</w:t>
            </w:r>
          </w:p>
        </w:tc>
        <w:tc>
          <w:tcPr>
            <w:tcW w:w="1276" w:type="dxa"/>
            <w:shd w:val="clear" w:color="auto" w:fill="E6E6E6"/>
            <w:vAlign w:val="center"/>
          </w:tcPr>
          <w:p w14:paraId="3FD35408" w14:textId="77777777" w:rsidR="00E6210F" w:rsidRPr="0019790A" w:rsidRDefault="00E6210F" w:rsidP="0019790A">
            <w:pPr>
              <w:jc w:val="center"/>
              <w:rPr>
                <w:rFonts w:cs="Arial"/>
                <w:b/>
                <w:color w:val="000000"/>
                <w:szCs w:val="22"/>
                <w:lang w:eastAsia="it-IT"/>
              </w:rPr>
            </w:pPr>
            <w:r w:rsidRPr="0019790A">
              <w:rPr>
                <w:rFonts w:cs="Arial"/>
                <w:b/>
                <w:color w:val="000000"/>
                <w:szCs w:val="22"/>
                <w:lang w:eastAsia="it-IT"/>
              </w:rPr>
              <w:t>2028</w:t>
            </w:r>
          </w:p>
        </w:tc>
        <w:tc>
          <w:tcPr>
            <w:tcW w:w="1571" w:type="dxa"/>
            <w:shd w:val="clear" w:color="auto" w:fill="E6E6E6"/>
            <w:vAlign w:val="center"/>
          </w:tcPr>
          <w:p w14:paraId="294B8D73" w14:textId="77777777" w:rsidR="00E6210F" w:rsidRPr="0019790A" w:rsidRDefault="00E6210F" w:rsidP="0019790A">
            <w:pPr>
              <w:jc w:val="center"/>
              <w:rPr>
                <w:rFonts w:cs="Arial"/>
                <w:b/>
                <w:color w:val="000000"/>
                <w:szCs w:val="22"/>
                <w:lang w:eastAsia="it-IT"/>
              </w:rPr>
            </w:pPr>
            <w:r w:rsidRPr="0019790A">
              <w:rPr>
                <w:rFonts w:cs="Arial"/>
                <w:b/>
                <w:color w:val="000000"/>
                <w:szCs w:val="22"/>
                <w:lang w:eastAsia="it-IT"/>
              </w:rPr>
              <w:t>РАЗОМ</w:t>
            </w:r>
          </w:p>
        </w:tc>
      </w:tr>
      <w:tr w:rsidR="00E6210F" w:rsidRPr="0019790A" w14:paraId="48AE4939" w14:textId="77777777" w:rsidTr="00B8248C">
        <w:trPr>
          <w:jc w:val="right"/>
        </w:trPr>
        <w:tc>
          <w:tcPr>
            <w:tcW w:w="3425" w:type="dxa"/>
            <w:vMerge/>
            <w:shd w:val="clear" w:color="auto" w:fill="FFFFFF"/>
            <w:vAlign w:val="center"/>
          </w:tcPr>
          <w:p w14:paraId="516D02A6" w14:textId="77777777" w:rsidR="00E6210F" w:rsidRPr="0019790A" w:rsidRDefault="00E6210F" w:rsidP="0019790A">
            <w:pPr>
              <w:rPr>
                <w:rFonts w:cs="Arial"/>
                <w:b/>
                <w:bCs/>
                <w:color w:val="000000"/>
                <w:szCs w:val="22"/>
              </w:rPr>
            </w:pPr>
          </w:p>
        </w:tc>
        <w:tc>
          <w:tcPr>
            <w:tcW w:w="1254" w:type="dxa"/>
            <w:vAlign w:val="center"/>
          </w:tcPr>
          <w:p w14:paraId="5E0B7E68" w14:textId="77777777" w:rsidR="00E6210F" w:rsidRPr="0019790A" w:rsidRDefault="00E6210F" w:rsidP="0019790A">
            <w:pPr>
              <w:jc w:val="center"/>
              <w:rPr>
                <w:rFonts w:cs="Arial"/>
                <w:b/>
                <w:color w:val="000000"/>
                <w:szCs w:val="22"/>
                <w:lang w:eastAsia="it-IT"/>
              </w:rPr>
            </w:pPr>
            <w:r w:rsidRPr="0019790A">
              <w:rPr>
                <w:rFonts w:cs="Arial"/>
                <w:b/>
                <w:color w:val="000000"/>
                <w:szCs w:val="22"/>
                <w:lang w:eastAsia="it-IT"/>
              </w:rPr>
              <w:t xml:space="preserve"> 150,00</w:t>
            </w:r>
          </w:p>
        </w:tc>
        <w:tc>
          <w:tcPr>
            <w:tcW w:w="1275" w:type="dxa"/>
            <w:shd w:val="clear" w:color="auto" w:fill="FFFFFF"/>
            <w:vAlign w:val="center"/>
          </w:tcPr>
          <w:p w14:paraId="79FD4F64" w14:textId="77777777" w:rsidR="00E6210F" w:rsidRPr="0019790A" w:rsidRDefault="00E6210F" w:rsidP="0019790A">
            <w:pPr>
              <w:jc w:val="center"/>
              <w:rPr>
                <w:rFonts w:cs="Arial"/>
                <w:b/>
                <w:color w:val="000000"/>
                <w:szCs w:val="22"/>
                <w:lang w:eastAsia="it-IT"/>
              </w:rPr>
            </w:pPr>
            <w:r w:rsidRPr="0019790A">
              <w:rPr>
                <w:rFonts w:cs="Arial"/>
                <w:b/>
                <w:color w:val="000000"/>
                <w:szCs w:val="22"/>
                <w:lang w:eastAsia="it-IT"/>
              </w:rPr>
              <w:t xml:space="preserve"> </w:t>
            </w:r>
          </w:p>
        </w:tc>
        <w:tc>
          <w:tcPr>
            <w:tcW w:w="1418" w:type="dxa"/>
            <w:shd w:val="clear" w:color="auto" w:fill="auto"/>
            <w:vAlign w:val="center"/>
          </w:tcPr>
          <w:p w14:paraId="05DBB9F3" w14:textId="77777777" w:rsidR="00E6210F" w:rsidRPr="0019790A" w:rsidRDefault="00E6210F" w:rsidP="0019790A">
            <w:pPr>
              <w:jc w:val="center"/>
              <w:rPr>
                <w:rFonts w:cs="Arial"/>
                <w:b/>
                <w:color w:val="000000"/>
                <w:szCs w:val="22"/>
                <w:lang w:eastAsia="it-IT"/>
              </w:rPr>
            </w:pPr>
            <w:r w:rsidRPr="0019790A">
              <w:rPr>
                <w:rFonts w:cs="Arial"/>
                <w:b/>
                <w:color w:val="000000"/>
                <w:szCs w:val="22"/>
                <w:lang w:eastAsia="it-IT"/>
              </w:rPr>
              <w:t xml:space="preserve"> 3 000,00</w:t>
            </w:r>
          </w:p>
        </w:tc>
        <w:tc>
          <w:tcPr>
            <w:tcW w:w="1276" w:type="dxa"/>
            <w:shd w:val="clear" w:color="auto" w:fill="FFFFFF"/>
            <w:vAlign w:val="center"/>
          </w:tcPr>
          <w:p w14:paraId="59795440" w14:textId="77777777" w:rsidR="00E6210F" w:rsidRPr="0019790A" w:rsidRDefault="00E6210F" w:rsidP="0019790A">
            <w:pPr>
              <w:jc w:val="center"/>
              <w:rPr>
                <w:rFonts w:cs="Arial"/>
                <w:b/>
                <w:color w:val="000000"/>
                <w:szCs w:val="22"/>
                <w:lang w:eastAsia="it-IT"/>
              </w:rPr>
            </w:pPr>
            <w:r w:rsidRPr="0019790A">
              <w:rPr>
                <w:rFonts w:cs="Arial"/>
                <w:b/>
                <w:color w:val="000000"/>
                <w:szCs w:val="22"/>
                <w:lang w:eastAsia="it-IT"/>
              </w:rPr>
              <w:t xml:space="preserve"> </w:t>
            </w:r>
          </w:p>
        </w:tc>
        <w:tc>
          <w:tcPr>
            <w:tcW w:w="1571" w:type="dxa"/>
            <w:shd w:val="clear" w:color="auto" w:fill="FFFFFF"/>
            <w:vAlign w:val="center"/>
          </w:tcPr>
          <w:p w14:paraId="1EA20533" w14:textId="77777777" w:rsidR="00E6210F" w:rsidRPr="0019790A" w:rsidRDefault="00E6210F" w:rsidP="0019790A">
            <w:pPr>
              <w:jc w:val="center"/>
              <w:rPr>
                <w:rFonts w:cs="Arial"/>
                <w:b/>
                <w:bCs/>
                <w:color w:val="000000"/>
                <w:szCs w:val="22"/>
                <w:lang w:eastAsia="it-IT"/>
              </w:rPr>
            </w:pPr>
            <w:r w:rsidRPr="0019790A">
              <w:rPr>
                <w:rFonts w:cs="Arial"/>
                <w:b/>
                <w:bCs/>
                <w:szCs w:val="22"/>
              </w:rPr>
              <w:t xml:space="preserve">3 150,00 </w:t>
            </w:r>
          </w:p>
        </w:tc>
      </w:tr>
      <w:tr w:rsidR="00E6210F" w:rsidRPr="0019790A" w14:paraId="339E87CF" w14:textId="77777777" w:rsidTr="00B8248C">
        <w:trPr>
          <w:trHeight w:val="276"/>
          <w:jc w:val="right"/>
        </w:trPr>
        <w:tc>
          <w:tcPr>
            <w:tcW w:w="3425" w:type="dxa"/>
            <w:shd w:val="clear" w:color="auto" w:fill="FFFFFF"/>
            <w:vAlign w:val="center"/>
          </w:tcPr>
          <w:p w14:paraId="613BE56C" w14:textId="77777777" w:rsidR="00E6210F" w:rsidRPr="0019790A" w:rsidRDefault="00E6210F" w:rsidP="0019790A">
            <w:pPr>
              <w:rPr>
                <w:rFonts w:cs="Arial"/>
                <w:b/>
                <w:bCs/>
                <w:color w:val="000000"/>
                <w:szCs w:val="22"/>
              </w:rPr>
            </w:pPr>
            <w:r w:rsidRPr="0019790A">
              <w:rPr>
                <w:rFonts w:cs="Arial"/>
                <w:b/>
                <w:bCs/>
                <w:color w:val="000000"/>
                <w:szCs w:val="22"/>
              </w:rPr>
              <w:t>по джерелах фінансування:</w:t>
            </w:r>
          </w:p>
        </w:tc>
        <w:tc>
          <w:tcPr>
            <w:tcW w:w="6794" w:type="dxa"/>
            <w:gridSpan w:val="5"/>
            <w:vAlign w:val="center"/>
          </w:tcPr>
          <w:p w14:paraId="51DD58A5" w14:textId="77777777" w:rsidR="00E6210F" w:rsidRPr="0019790A" w:rsidRDefault="00E6210F" w:rsidP="0019790A">
            <w:pPr>
              <w:jc w:val="both"/>
              <w:rPr>
                <w:rFonts w:cs="Arial"/>
                <w:color w:val="000000"/>
                <w:szCs w:val="22"/>
                <w:lang w:eastAsia="it-IT"/>
              </w:rPr>
            </w:pPr>
          </w:p>
        </w:tc>
      </w:tr>
      <w:tr w:rsidR="00E6210F" w:rsidRPr="0019790A" w14:paraId="64D58FE3" w14:textId="77777777" w:rsidTr="00B8248C">
        <w:trPr>
          <w:trHeight w:val="240"/>
          <w:jc w:val="right"/>
        </w:trPr>
        <w:tc>
          <w:tcPr>
            <w:tcW w:w="3425" w:type="dxa"/>
            <w:shd w:val="clear" w:color="auto" w:fill="FFFFFF"/>
            <w:vAlign w:val="center"/>
          </w:tcPr>
          <w:p w14:paraId="63CCF02E" w14:textId="77777777" w:rsidR="00E6210F" w:rsidRPr="0019790A" w:rsidRDefault="00E6210F" w:rsidP="0019790A">
            <w:pPr>
              <w:rPr>
                <w:rFonts w:cs="Arial"/>
                <w:b/>
                <w:bCs/>
                <w:color w:val="000000"/>
                <w:szCs w:val="22"/>
              </w:rPr>
            </w:pPr>
            <w:r w:rsidRPr="0019790A">
              <w:rPr>
                <w:rFonts w:cs="Arial"/>
                <w:color w:val="000000"/>
                <w:szCs w:val="22"/>
              </w:rPr>
              <w:t>- державний бюджет</w:t>
            </w:r>
          </w:p>
        </w:tc>
        <w:tc>
          <w:tcPr>
            <w:tcW w:w="1254" w:type="dxa"/>
            <w:vAlign w:val="center"/>
          </w:tcPr>
          <w:p w14:paraId="482708B3" w14:textId="77777777" w:rsidR="00E6210F" w:rsidRPr="0019790A" w:rsidRDefault="00E6210F" w:rsidP="0019790A">
            <w:pPr>
              <w:jc w:val="center"/>
              <w:rPr>
                <w:rFonts w:cs="Arial"/>
                <w:color w:val="000000"/>
                <w:szCs w:val="22"/>
                <w:lang w:eastAsia="it-IT"/>
              </w:rPr>
            </w:pPr>
            <w:r w:rsidRPr="0019790A">
              <w:rPr>
                <w:rFonts w:cs="Arial"/>
                <w:color w:val="000000"/>
                <w:szCs w:val="22"/>
                <w:lang w:eastAsia="it-IT"/>
              </w:rPr>
              <w:t>120,00</w:t>
            </w:r>
          </w:p>
        </w:tc>
        <w:tc>
          <w:tcPr>
            <w:tcW w:w="1275" w:type="dxa"/>
            <w:vAlign w:val="center"/>
          </w:tcPr>
          <w:p w14:paraId="1C859BC3" w14:textId="77777777" w:rsidR="00E6210F" w:rsidRPr="0019790A" w:rsidRDefault="00E6210F" w:rsidP="0019790A">
            <w:pPr>
              <w:jc w:val="both"/>
              <w:rPr>
                <w:rFonts w:cs="Arial"/>
                <w:color w:val="000000"/>
                <w:szCs w:val="22"/>
                <w:lang w:eastAsia="it-IT"/>
              </w:rPr>
            </w:pPr>
          </w:p>
        </w:tc>
        <w:tc>
          <w:tcPr>
            <w:tcW w:w="1418" w:type="dxa"/>
            <w:vAlign w:val="center"/>
          </w:tcPr>
          <w:p w14:paraId="4CB54E6C" w14:textId="77777777" w:rsidR="00E6210F" w:rsidRPr="0019790A" w:rsidRDefault="00E6210F" w:rsidP="0019790A">
            <w:pPr>
              <w:jc w:val="center"/>
              <w:rPr>
                <w:rFonts w:cs="Arial"/>
                <w:color w:val="000000"/>
                <w:szCs w:val="22"/>
                <w:lang w:eastAsia="it-IT"/>
              </w:rPr>
            </w:pPr>
            <w:r w:rsidRPr="0019790A">
              <w:rPr>
                <w:rFonts w:cs="Arial"/>
                <w:color w:val="000000"/>
                <w:szCs w:val="22"/>
                <w:lang w:eastAsia="it-IT"/>
              </w:rPr>
              <w:t>2400,00</w:t>
            </w:r>
          </w:p>
        </w:tc>
        <w:tc>
          <w:tcPr>
            <w:tcW w:w="1276" w:type="dxa"/>
            <w:vAlign w:val="center"/>
          </w:tcPr>
          <w:p w14:paraId="628E631E" w14:textId="77777777" w:rsidR="00E6210F" w:rsidRPr="0019790A" w:rsidRDefault="00E6210F" w:rsidP="0019790A">
            <w:pPr>
              <w:jc w:val="both"/>
              <w:rPr>
                <w:rFonts w:cs="Arial"/>
                <w:color w:val="000000"/>
                <w:szCs w:val="22"/>
                <w:lang w:eastAsia="it-IT"/>
              </w:rPr>
            </w:pPr>
          </w:p>
        </w:tc>
        <w:tc>
          <w:tcPr>
            <w:tcW w:w="1571" w:type="dxa"/>
            <w:vAlign w:val="center"/>
          </w:tcPr>
          <w:p w14:paraId="0B7D6698" w14:textId="77777777" w:rsidR="00E6210F" w:rsidRPr="0019790A" w:rsidRDefault="00E6210F" w:rsidP="0019790A">
            <w:pPr>
              <w:jc w:val="center"/>
              <w:rPr>
                <w:rFonts w:cs="Arial"/>
                <w:color w:val="000000"/>
                <w:szCs w:val="22"/>
                <w:lang w:eastAsia="it-IT"/>
              </w:rPr>
            </w:pPr>
            <w:r w:rsidRPr="0019790A">
              <w:rPr>
                <w:rFonts w:cs="Arial"/>
                <w:color w:val="000000"/>
                <w:szCs w:val="22"/>
                <w:lang w:eastAsia="it-IT"/>
              </w:rPr>
              <w:t>2520,00</w:t>
            </w:r>
          </w:p>
        </w:tc>
      </w:tr>
      <w:tr w:rsidR="00E6210F" w:rsidRPr="0019790A" w14:paraId="60780A9E" w14:textId="77777777" w:rsidTr="00B8248C">
        <w:trPr>
          <w:trHeight w:val="254"/>
          <w:jc w:val="right"/>
        </w:trPr>
        <w:tc>
          <w:tcPr>
            <w:tcW w:w="3425" w:type="dxa"/>
            <w:shd w:val="clear" w:color="auto" w:fill="FFFFFF"/>
            <w:vAlign w:val="center"/>
          </w:tcPr>
          <w:p w14:paraId="6FFDD9EB" w14:textId="77777777" w:rsidR="00E6210F" w:rsidRPr="0019790A" w:rsidRDefault="00E6210F" w:rsidP="0019790A">
            <w:pPr>
              <w:rPr>
                <w:rFonts w:cs="Arial"/>
                <w:color w:val="000000"/>
                <w:szCs w:val="22"/>
              </w:rPr>
            </w:pPr>
            <w:r w:rsidRPr="0019790A">
              <w:rPr>
                <w:rFonts w:cs="Arial"/>
                <w:color w:val="000000"/>
                <w:szCs w:val="22"/>
              </w:rPr>
              <w:t>- обласний бюджет</w:t>
            </w:r>
          </w:p>
        </w:tc>
        <w:tc>
          <w:tcPr>
            <w:tcW w:w="6794" w:type="dxa"/>
            <w:gridSpan w:val="5"/>
            <w:vAlign w:val="center"/>
          </w:tcPr>
          <w:p w14:paraId="789E0022" w14:textId="77777777" w:rsidR="00E6210F" w:rsidRPr="0019790A" w:rsidRDefault="00E6210F" w:rsidP="0019790A">
            <w:pPr>
              <w:jc w:val="center"/>
              <w:rPr>
                <w:rFonts w:cs="Arial"/>
                <w:color w:val="000000"/>
                <w:szCs w:val="22"/>
                <w:lang w:eastAsia="it-IT"/>
              </w:rPr>
            </w:pPr>
          </w:p>
        </w:tc>
      </w:tr>
      <w:tr w:rsidR="00E6210F" w:rsidRPr="0019790A" w14:paraId="269BF34B" w14:textId="77777777" w:rsidTr="00B8248C">
        <w:trPr>
          <w:trHeight w:val="275"/>
          <w:jc w:val="right"/>
        </w:trPr>
        <w:tc>
          <w:tcPr>
            <w:tcW w:w="3425" w:type="dxa"/>
            <w:shd w:val="clear" w:color="auto" w:fill="FFFFFF"/>
            <w:vAlign w:val="center"/>
          </w:tcPr>
          <w:p w14:paraId="783C2962" w14:textId="77777777" w:rsidR="00E6210F" w:rsidRPr="0019790A" w:rsidRDefault="00E6210F" w:rsidP="0019790A">
            <w:pPr>
              <w:rPr>
                <w:rFonts w:cs="Arial"/>
                <w:color w:val="000000"/>
                <w:szCs w:val="22"/>
              </w:rPr>
            </w:pPr>
            <w:r w:rsidRPr="0019790A">
              <w:rPr>
                <w:rFonts w:cs="Arial"/>
                <w:color w:val="000000"/>
                <w:szCs w:val="22"/>
              </w:rPr>
              <w:t>- бюджет Жмеринської МТГ</w:t>
            </w:r>
          </w:p>
        </w:tc>
        <w:tc>
          <w:tcPr>
            <w:tcW w:w="1254" w:type="dxa"/>
            <w:vAlign w:val="center"/>
          </w:tcPr>
          <w:p w14:paraId="370C9A93" w14:textId="77777777" w:rsidR="00E6210F" w:rsidRPr="0019790A" w:rsidRDefault="00E6210F" w:rsidP="0019790A">
            <w:pPr>
              <w:jc w:val="center"/>
              <w:rPr>
                <w:rFonts w:cs="Arial"/>
                <w:color w:val="000000"/>
                <w:szCs w:val="22"/>
                <w:lang w:eastAsia="it-IT"/>
              </w:rPr>
            </w:pPr>
            <w:r w:rsidRPr="0019790A">
              <w:rPr>
                <w:rFonts w:cs="Arial"/>
                <w:color w:val="000000"/>
                <w:szCs w:val="22"/>
                <w:lang w:eastAsia="it-IT"/>
              </w:rPr>
              <w:t>30,00</w:t>
            </w:r>
          </w:p>
        </w:tc>
        <w:tc>
          <w:tcPr>
            <w:tcW w:w="1275" w:type="dxa"/>
            <w:vAlign w:val="center"/>
          </w:tcPr>
          <w:p w14:paraId="7992CA8C" w14:textId="77777777" w:rsidR="00E6210F" w:rsidRPr="0019790A" w:rsidRDefault="00E6210F" w:rsidP="0019790A">
            <w:pPr>
              <w:jc w:val="both"/>
              <w:rPr>
                <w:rFonts w:cs="Arial"/>
                <w:color w:val="000000"/>
                <w:szCs w:val="22"/>
                <w:lang w:eastAsia="it-IT"/>
              </w:rPr>
            </w:pPr>
          </w:p>
        </w:tc>
        <w:tc>
          <w:tcPr>
            <w:tcW w:w="1418" w:type="dxa"/>
            <w:vAlign w:val="center"/>
          </w:tcPr>
          <w:p w14:paraId="0F715233" w14:textId="77777777" w:rsidR="00E6210F" w:rsidRPr="0019790A" w:rsidRDefault="00E6210F" w:rsidP="0019790A">
            <w:pPr>
              <w:jc w:val="center"/>
              <w:rPr>
                <w:rFonts w:cs="Arial"/>
                <w:color w:val="000000"/>
                <w:szCs w:val="22"/>
                <w:lang w:eastAsia="it-IT"/>
              </w:rPr>
            </w:pPr>
            <w:r w:rsidRPr="0019790A">
              <w:rPr>
                <w:rFonts w:cs="Arial"/>
                <w:color w:val="000000"/>
                <w:szCs w:val="22"/>
                <w:lang w:eastAsia="it-IT"/>
              </w:rPr>
              <w:t>600,00</w:t>
            </w:r>
          </w:p>
        </w:tc>
        <w:tc>
          <w:tcPr>
            <w:tcW w:w="1276" w:type="dxa"/>
            <w:vAlign w:val="center"/>
          </w:tcPr>
          <w:p w14:paraId="096B3364" w14:textId="77777777" w:rsidR="00E6210F" w:rsidRPr="0019790A" w:rsidRDefault="00E6210F" w:rsidP="0019790A">
            <w:pPr>
              <w:jc w:val="both"/>
              <w:rPr>
                <w:rFonts w:cs="Arial"/>
                <w:color w:val="000000"/>
                <w:szCs w:val="22"/>
                <w:lang w:eastAsia="it-IT"/>
              </w:rPr>
            </w:pPr>
          </w:p>
        </w:tc>
        <w:tc>
          <w:tcPr>
            <w:tcW w:w="1571" w:type="dxa"/>
            <w:vAlign w:val="center"/>
          </w:tcPr>
          <w:p w14:paraId="709F3407" w14:textId="77777777" w:rsidR="00E6210F" w:rsidRPr="0019790A" w:rsidRDefault="00E6210F" w:rsidP="0019790A">
            <w:pPr>
              <w:jc w:val="center"/>
              <w:rPr>
                <w:rFonts w:cs="Arial"/>
                <w:color w:val="000000"/>
                <w:szCs w:val="22"/>
                <w:lang w:eastAsia="it-IT"/>
              </w:rPr>
            </w:pPr>
            <w:r w:rsidRPr="0019790A">
              <w:rPr>
                <w:rFonts w:cs="Arial"/>
                <w:color w:val="000000"/>
                <w:szCs w:val="22"/>
                <w:lang w:eastAsia="it-IT"/>
              </w:rPr>
              <w:t>630,00</w:t>
            </w:r>
          </w:p>
        </w:tc>
      </w:tr>
      <w:tr w:rsidR="00E6210F" w:rsidRPr="0019790A" w14:paraId="2B24381E" w14:textId="77777777" w:rsidTr="00B8248C">
        <w:trPr>
          <w:trHeight w:val="226"/>
          <w:jc w:val="right"/>
        </w:trPr>
        <w:tc>
          <w:tcPr>
            <w:tcW w:w="3425" w:type="dxa"/>
            <w:shd w:val="clear" w:color="auto" w:fill="FFFFFF"/>
            <w:vAlign w:val="center"/>
          </w:tcPr>
          <w:p w14:paraId="47D15CBC" w14:textId="77777777" w:rsidR="00E6210F" w:rsidRPr="0019790A" w:rsidRDefault="00E6210F" w:rsidP="0019790A">
            <w:pPr>
              <w:rPr>
                <w:rFonts w:cs="Arial"/>
                <w:color w:val="000000"/>
                <w:szCs w:val="22"/>
              </w:rPr>
            </w:pPr>
            <w:r w:rsidRPr="0019790A">
              <w:rPr>
                <w:rFonts w:cs="Arial"/>
                <w:color w:val="000000"/>
                <w:szCs w:val="22"/>
              </w:rPr>
              <w:t>- інші джерела фінансування</w:t>
            </w:r>
          </w:p>
        </w:tc>
        <w:tc>
          <w:tcPr>
            <w:tcW w:w="6794" w:type="dxa"/>
            <w:gridSpan w:val="5"/>
            <w:vAlign w:val="center"/>
          </w:tcPr>
          <w:p w14:paraId="45DF85FE" w14:textId="77777777" w:rsidR="00E6210F" w:rsidRPr="0019790A" w:rsidRDefault="00E6210F" w:rsidP="0019790A">
            <w:pPr>
              <w:jc w:val="both"/>
              <w:rPr>
                <w:rFonts w:cs="Arial"/>
                <w:color w:val="000000"/>
                <w:szCs w:val="22"/>
                <w:lang w:eastAsia="it-IT"/>
              </w:rPr>
            </w:pPr>
          </w:p>
        </w:tc>
      </w:tr>
      <w:tr w:rsidR="00E6210F" w:rsidRPr="0019790A" w14:paraId="0D0B830F" w14:textId="77777777" w:rsidTr="00B8248C">
        <w:trPr>
          <w:jc w:val="right"/>
        </w:trPr>
        <w:tc>
          <w:tcPr>
            <w:tcW w:w="3425" w:type="dxa"/>
            <w:shd w:val="clear" w:color="auto" w:fill="FFFFFF"/>
            <w:vAlign w:val="center"/>
          </w:tcPr>
          <w:p w14:paraId="27899E62" w14:textId="77777777" w:rsidR="00E6210F" w:rsidRPr="0019790A" w:rsidRDefault="00E6210F" w:rsidP="0019790A">
            <w:pPr>
              <w:rPr>
                <w:rFonts w:cs="Arial"/>
                <w:b/>
                <w:bCs/>
                <w:color w:val="000000"/>
                <w:szCs w:val="22"/>
              </w:rPr>
            </w:pPr>
            <w:r w:rsidRPr="0019790A">
              <w:rPr>
                <w:rFonts w:cs="Arial"/>
                <w:b/>
                <w:color w:val="000000"/>
                <w:szCs w:val="22"/>
              </w:rPr>
              <w:t>Відповідальний виконавець проєкту:</w:t>
            </w:r>
          </w:p>
        </w:tc>
        <w:tc>
          <w:tcPr>
            <w:tcW w:w="6794" w:type="dxa"/>
            <w:gridSpan w:val="5"/>
            <w:vAlign w:val="center"/>
          </w:tcPr>
          <w:p w14:paraId="658DD404" w14:textId="77777777" w:rsidR="00E6210F" w:rsidRPr="0019790A" w:rsidRDefault="00E6210F" w:rsidP="0019790A">
            <w:pPr>
              <w:jc w:val="both"/>
              <w:rPr>
                <w:rFonts w:cs="Arial"/>
                <w:color w:val="000000"/>
                <w:szCs w:val="22"/>
                <w:lang w:eastAsia="it-IT"/>
              </w:rPr>
            </w:pPr>
            <w:r w:rsidRPr="0019790A">
              <w:rPr>
                <w:rFonts w:cs="Arial"/>
                <w:color w:val="000000"/>
                <w:szCs w:val="22"/>
                <w:lang w:eastAsia="it-IT"/>
              </w:rPr>
              <w:t>Управління ЖКГ Жмеринської міської ради, Управління освіти Жмеринської міської ради, КЗ «Жмеринський ліцей № 2»</w:t>
            </w:r>
          </w:p>
        </w:tc>
      </w:tr>
      <w:tr w:rsidR="00E6210F" w:rsidRPr="0019790A" w14:paraId="0B33F4DD" w14:textId="77777777" w:rsidTr="00B8248C">
        <w:trPr>
          <w:jc w:val="right"/>
        </w:trPr>
        <w:tc>
          <w:tcPr>
            <w:tcW w:w="3425" w:type="dxa"/>
            <w:shd w:val="clear" w:color="auto" w:fill="FFFFFF"/>
            <w:vAlign w:val="center"/>
          </w:tcPr>
          <w:p w14:paraId="0DAF959E" w14:textId="77777777" w:rsidR="00E6210F" w:rsidRPr="0019790A" w:rsidRDefault="00E6210F" w:rsidP="0019790A">
            <w:pPr>
              <w:rPr>
                <w:rFonts w:cs="Arial"/>
                <w:b/>
                <w:bCs/>
                <w:color w:val="000000"/>
                <w:szCs w:val="22"/>
              </w:rPr>
            </w:pPr>
            <w:r w:rsidRPr="0019790A">
              <w:rPr>
                <w:rFonts w:cs="Arial"/>
                <w:b/>
                <w:bCs/>
                <w:color w:val="000000"/>
                <w:szCs w:val="22"/>
              </w:rPr>
              <w:t>Інше:</w:t>
            </w:r>
          </w:p>
        </w:tc>
        <w:tc>
          <w:tcPr>
            <w:tcW w:w="6794" w:type="dxa"/>
            <w:gridSpan w:val="5"/>
            <w:vAlign w:val="center"/>
          </w:tcPr>
          <w:p w14:paraId="693757E6" w14:textId="77777777" w:rsidR="00E6210F" w:rsidRPr="0019790A" w:rsidRDefault="00E6210F" w:rsidP="0019790A">
            <w:pPr>
              <w:rPr>
                <w:rFonts w:cs="Arial"/>
                <w:color w:val="000000"/>
                <w:szCs w:val="22"/>
                <w:lang w:eastAsia="it-IT"/>
              </w:rPr>
            </w:pPr>
          </w:p>
        </w:tc>
      </w:tr>
    </w:tbl>
    <w:p w14:paraId="20C54F38" w14:textId="77777777" w:rsidR="00D1052A" w:rsidRPr="0019790A" w:rsidRDefault="00D1052A" w:rsidP="0019790A">
      <w:pPr>
        <w:rPr>
          <w:rFonts w:cs="Arial"/>
          <w:b/>
          <w:color w:val="FF0000"/>
          <w:szCs w:val="22"/>
        </w:rPr>
      </w:pPr>
    </w:p>
    <w:p w14:paraId="1AA75B11" w14:textId="77777777" w:rsidR="00E6210F" w:rsidRPr="0019790A" w:rsidRDefault="00E6210F" w:rsidP="0019790A">
      <w:pPr>
        <w:jc w:val="center"/>
        <w:rPr>
          <w:rFonts w:cs="Arial"/>
          <w:b/>
          <w:color w:val="000000"/>
          <w:szCs w:val="22"/>
        </w:rPr>
      </w:pPr>
      <w:r w:rsidRPr="0019790A">
        <w:rPr>
          <w:rFonts w:cs="Arial"/>
          <w:b/>
          <w:color w:val="000000"/>
          <w:szCs w:val="22"/>
        </w:rPr>
        <w:t xml:space="preserve">Форма технічного завдання на проєкт місцевого розвитку </w:t>
      </w:r>
    </w:p>
    <w:p w14:paraId="215D53F9" w14:textId="77777777" w:rsidR="00E6210F" w:rsidRPr="0019790A" w:rsidRDefault="00E6210F" w:rsidP="0019790A">
      <w:pPr>
        <w:jc w:val="center"/>
        <w:rPr>
          <w:rFonts w:cs="Arial"/>
          <w:b/>
          <w:color w:val="000000"/>
          <w:szCs w:val="22"/>
        </w:rPr>
      </w:pPr>
      <w:r w:rsidRPr="0019790A">
        <w:rPr>
          <w:rFonts w:cs="Arial"/>
          <w:b/>
          <w:color w:val="000000"/>
          <w:szCs w:val="22"/>
        </w:rPr>
        <w:t>до Плану заходів з реалізації Стратегії</w:t>
      </w:r>
    </w:p>
    <w:p w14:paraId="146B4529" w14:textId="77777777" w:rsidR="00E6210F" w:rsidRPr="0019790A" w:rsidRDefault="00E6210F"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1275"/>
        <w:gridCol w:w="1418"/>
        <w:gridCol w:w="1276"/>
        <w:gridCol w:w="1571"/>
      </w:tblGrid>
      <w:tr w:rsidR="00E6210F" w:rsidRPr="0019790A" w14:paraId="3761D7EA" w14:textId="77777777" w:rsidTr="00B8248C">
        <w:trPr>
          <w:jc w:val="right"/>
        </w:trPr>
        <w:tc>
          <w:tcPr>
            <w:tcW w:w="3425" w:type="dxa"/>
            <w:vAlign w:val="center"/>
          </w:tcPr>
          <w:p w14:paraId="7248F73B" w14:textId="77777777" w:rsidR="00E6210F" w:rsidRPr="0019790A" w:rsidRDefault="00E6210F" w:rsidP="0019790A">
            <w:pPr>
              <w:rPr>
                <w:rFonts w:cs="Arial"/>
                <w:b/>
                <w:bCs/>
                <w:szCs w:val="22"/>
              </w:rPr>
            </w:pPr>
            <w:r w:rsidRPr="0019790A">
              <w:rPr>
                <w:rFonts w:cs="Arial"/>
                <w:b/>
                <w:bCs/>
                <w:szCs w:val="22"/>
              </w:rPr>
              <w:t>Назва проєкту:</w:t>
            </w:r>
          </w:p>
        </w:tc>
        <w:tc>
          <w:tcPr>
            <w:tcW w:w="6794" w:type="dxa"/>
            <w:gridSpan w:val="5"/>
          </w:tcPr>
          <w:p w14:paraId="0F227151" w14:textId="50AEEECA" w:rsidR="00E6210F" w:rsidRPr="0019790A" w:rsidRDefault="00E6210F" w:rsidP="00CD6B99">
            <w:pPr>
              <w:jc w:val="both"/>
              <w:rPr>
                <w:rFonts w:cs="Arial"/>
                <w:szCs w:val="22"/>
                <w:lang w:eastAsia="it-IT"/>
              </w:rPr>
            </w:pPr>
            <w:r w:rsidRPr="0019790A">
              <w:rPr>
                <w:rFonts w:cs="Arial"/>
                <w:b/>
                <w:szCs w:val="22"/>
              </w:rPr>
              <w:t xml:space="preserve"> Облаштування сучасної системи пожежної безпеки в КЗ «Жмеринський ліцей № 3»</w:t>
            </w:r>
          </w:p>
        </w:tc>
      </w:tr>
      <w:tr w:rsidR="00E6210F" w:rsidRPr="0019790A" w14:paraId="5471C4D4" w14:textId="77777777" w:rsidTr="00B8248C">
        <w:trPr>
          <w:jc w:val="right"/>
        </w:trPr>
        <w:tc>
          <w:tcPr>
            <w:tcW w:w="3425" w:type="dxa"/>
          </w:tcPr>
          <w:p w14:paraId="3FA4FB48" w14:textId="77777777" w:rsidR="00E6210F" w:rsidRPr="0019790A" w:rsidRDefault="00E6210F"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3748D9BD" w14:textId="77777777" w:rsidR="00E6210F" w:rsidRPr="0019790A" w:rsidRDefault="00E6210F"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5"/>
          </w:tcPr>
          <w:p w14:paraId="00D606AC" w14:textId="77777777" w:rsidR="00E6210F" w:rsidRPr="0019790A" w:rsidRDefault="00E6210F" w:rsidP="0019790A">
            <w:pPr>
              <w:rPr>
                <w:rFonts w:cs="Arial"/>
                <w:szCs w:val="22"/>
                <w:lang w:eastAsia="it-IT"/>
              </w:rPr>
            </w:pPr>
            <w:r w:rsidRPr="0019790A">
              <w:rPr>
                <w:rFonts w:cs="Arial"/>
                <w:szCs w:val="22"/>
                <w:lang w:eastAsia="it-IT"/>
              </w:rPr>
              <w:t xml:space="preserve"> Управління освіти Жмеринської міської ради</w:t>
            </w:r>
          </w:p>
          <w:p w14:paraId="2DCAB440" w14:textId="77777777" w:rsidR="00E6210F" w:rsidRPr="0019790A" w:rsidRDefault="00E6210F" w:rsidP="0019790A">
            <w:pPr>
              <w:rPr>
                <w:rFonts w:cs="Arial"/>
                <w:szCs w:val="22"/>
                <w:lang w:eastAsia="it-IT"/>
              </w:rPr>
            </w:pPr>
            <w:r w:rsidRPr="0019790A">
              <w:rPr>
                <w:rFonts w:cs="Arial"/>
                <w:szCs w:val="22"/>
                <w:lang w:eastAsia="it-IT"/>
              </w:rPr>
              <w:t>КЗ «Жмеринський ліцей №3»</w:t>
            </w:r>
          </w:p>
        </w:tc>
      </w:tr>
      <w:tr w:rsidR="00E6210F" w:rsidRPr="0019790A" w14:paraId="745F4F33" w14:textId="77777777" w:rsidTr="00B8248C">
        <w:trPr>
          <w:jc w:val="right"/>
        </w:trPr>
        <w:tc>
          <w:tcPr>
            <w:tcW w:w="3425" w:type="dxa"/>
          </w:tcPr>
          <w:p w14:paraId="2B98EC98" w14:textId="77777777" w:rsidR="00E6210F" w:rsidRPr="0019790A" w:rsidRDefault="00E6210F" w:rsidP="0019790A">
            <w:pPr>
              <w:rPr>
                <w:rFonts w:cs="Arial"/>
                <w:b/>
                <w:bCs/>
                <w:szCs w:val="22"/>
              </w:rPr>
            </w:pPr>
            <w:r w:rsidRPr="0019790A">
              <w:rPr>
                <w:rFonts w:cs="Arial"/>
                <w:szCs w:val="22"/>
                <w:lang w:eastAsia="it-IT"/>
              </w:rPr>
              <w:t>Прізвище Ім’я по-батькові:</w:t>
            </w:r>
          </w:p>
        </w:tc>
        <w:tc>
          <w:tcPr>
            <w:tcW w:w="6794" w:type="dxa"/>
            <w:gridSpan w:val="5"/>
          </w:tcPr>
          <w:p w14:paraId="24B950D9" w14:textId="77777777" w:rsidR="00E6210F" w:rsidRPr="0019790A" w:rsidRDefault="00E6210F" w:rsidP="0019790A">
            <w:pPr>
              <w:pStyle w:val="TableParagraph"/>
              <w:ind w:left="0"/>
              <w:rPr>
                <w:rFonts w:ascii="Arial" w:hAnsi="Arial" w:cs="Arial"/>
              </w:rPr>
            </w:pPr>
            <w:r w:rsidRPr="0019790A">
              <w:rPr>
                <w:rFonts w:ascii="Arial" w:hAnsi="Arial" w:cs="Arial"/>
              </w:rPr>
              <w:t>Твердохліб Аліна Петрівна</w:t>
            </w:r>
          </w:p>
        </w:tc>
      </w:tr>
      <w:tr w:rsidR="00E6210F" w:rsidRPr="0019790A" w14:paraId="0916EF8B" w14:textId="77777777" w:rsidTr="00B8248C">
        <w:trPr>
          <w:jc w:val="right"/>
        </w:trPr>
        <w:tc>
          <w:tcPr>
            <w:tcW w:w="3425" w:type="dxa"/>
          </w:tcPr>
          <w:p w14:paraId="076E447A" w14:textId="77777777" w:rsidR="00E6210F" w:rsidRPr="0019790A" w:rsidRDefault="00E6210F" w:rsidP="0019790A">
            <w:pPr>
              <w:rPr>
                <w:rFonts w:cs="Arial"/>
                <w:b/>
                <w:bCs/>
                <w:szCs w:val="22"/>
              </w:rPr>
            </w:pPr>
            <w:r w:rsidRPr="0019790A">
              <w:rPr>
                <w:rFonts w:cs="Arial"/>
                <w:szCs w:val="22"/>
                <w:lang w:eastAsia="it-IT"/>
              </w:rPr>
              <w:t>Телефон (мобільний):</w:t>
            </w:r>
          </w:p>
        </w:tc>
        <w:tc>
          <w:tcPr>
            <w:tcW w:w="6794" w:type="dxa"/>
            <w:gridSpan w:val="5"/>
          </w:tcPr>
          <w:p w14:paraId="2C45B3FE" w14:textId="77777777" w:rsidR="00E6210F" w:rsidRPr="0019790A" w:rsidRDefault="00E6210F" w:rsidP="0019790A">
            <w:pPr>
              <w:pStyle w:val="TableParagraph"/>
              <w:ind w:left="66"/>
              <w:rPr>
                <w:rFonts w:ascii="Arial" w:hAnsi="Arial" w:cs="Arial"/>
              </w:rPr>
            </w:pPr>
            <w:r w:rsidRPr="0019790A">
              <w:rPr>
                <w:rFonts w:ascii="Arial" w:hAnsi="Arial" w:cs="Arial"/>
                <w:spacing w:val="-2"/>
              </w:rPr>
              <w:t>+380 (67) 895 55 75</w:t>
            </w:r>
          </w:p>
        </w:tc>
      </w:tr>
      <w:tr w:rsidR="00E6210F" w:rsidRPr="0019790A" w14:paraId="41A304E9" w14:textId="77777777" w:rsidTr="00B8248C">
        <w:trPr>
          <w:jc w:val="right"/>
        </w:trPr>
        <w:tc>
          <w:tcPr>
            <w:tcW w:w="3425" w:type="dxa"/>
          </w:tcPr>
          <w:p w14:paraId="4FF059EC" w14:textId="77777777" w:rsidR="00E6210F" w:rsidRPr="0019790A" w:rsidRDefault="00E6210F" w:rsidP="0019790A">
            <w:pPr>
              <w:rPr>
                <w:rFonts w:cs="Arial"/>
                <w:b/>
                <w:bCs/>
                <w:szCs w:val="22"/>
              </w:rPr>
            </w:pPr>
            <w:r w:rsidRPr="0019790A">
              <w:rPr>
                <w:rFonts w:cs="Arial"/>
                <w:szCs w:val="22"/>
                <w:lang w:eastAsia="it-IT"/>
              </w:rPr>
              <w:t>Електронна адреса:</w:t>
            </w:r>
          </w:p>
        </w:tc>
        <w:tc>
          <w:tcPr>
            <w:tcW w:w="6794" w:type="dxa"/>
            <w:gridSpan w:val="5"/>
          </w:tcPr>
          <w:p w14:paraId="52B695F0" w14:textId="77777777" w:rsidR="00E6210F" w:rsidRPr="0019790A" w:rsidRDefault="00E6210F" w:rsidP="0019790A">
            <w:pPr>
              <w:pStyle w:val="TableParagraph"/>
              <w:ind w:left="66"/>
              <w:rPr>
                <w:rFonts w:ascii="Arial" w:hAnsi="Arial" w:cs="Arial"/>
                <w:b/>
              </w:rPr>
            </w:pPr>
            <w:r w:rsidRPr="0019790A">
              <w:rPr>
                <w:rFonts w:ascii="Arial" w:hAnsi="Arial" w:cs="Arial"/>
              </w:rPr>
              <w:t xml:space="preserve"> </w:t>
            </w:r>
            <w:hyperlink r:id="rId113" w:history="1">
              <w:r w:rsidRPr="0019790A">
                <w:rPr>
                  <w:rStyle w:val="af0"/>
                  <w:rFonts w:ascii="Arial" w:hAnsi="Arial" w:cs="Arial"/>
                  <w:noProof w:val="0"/>
                  <w:spacing w:val="5"/>
                  <w:sz w:val="22"/>
                  <w:szCs w:val="22"/>
                </w:rPr>
                <w:t>uposv.zmr@gmail.com</w:t>
              </w:r>
            </w:hyperlink>
          </w:p>
        </w:tc>
      </w:tr>
      <w:tr w:rsidR="00E6210F" w:rsidRPr="0019790A" w14:paraId="3870B866" w14:textId="77777777" w:rsidTr="00B8248C">
        <w:trPr>
          <w:jc w:val="right"/>
        </w:trPr>
        <w:tc>
          <w:tcPr>
            <w:tcW w:w="3425" w:type="dxa"/>
            <w:vAlign w:val="center"/>
          </w:tcPr>
          <w:p w14:paraId="260027A0" w14:textId="77777777" w:rsidR="00E6210F" w:rsidRPr="0019790A" w:rsidRDefault="00E6210F" w:rsidP="0019790A">
            <w:pPr>
              <w:pStyle w:val="6"/>
              <w:spacing w:before="0" w:after="0"/>
              <w:rPr>
                <w:rFonts w:ascii="Arial" w:hAnsi="Arial" w:cs="Arial"/>
                <w:lang w:val="uk-UA"/>
              </w:rPr>
            </w:pPr>
            <w:r w:rsidRPr="0019790A">
              <w:rPr>
                <w:rFonts w:ascii="Arial" w:hAnsi="Arial" w:cs="Arial"/>
                <w:lang w:val="uk-UA"/>
              </w:rPr>
              <w:t>Номер і назва завдання з Стратегії</w:t>
            </w:r>
            <w:r w:rsidRPr="0019790A">
              <w:rPr>
                <w:rFonts w:ascii="Arial" w:hAnsi="Arial" w:cs="Arial"/>
                <w:lang w:val="uk-UA" w:eastAsia="it-IT"/>
              </w:rPr>
              <w:t xml:space="preserve"> </w:t>
            </w:r>
            <w:r w:rsidRPr="0019790A">
              <w:rPr>
                <w:rFonts w:ascii="Arial" w:hAnsi="Arial" w:cs="Arial"/>
                <w:lang w:val="uk-UA"/>
              </w:rPr>
              <w:t>розвитку Жмеринської міської територіальної громади,  якому відповідає проєкт:</w:t>
            </w:r>
          </w:p>
        </w:tc>
        <w:tc>
          <w:tcPr>
            <w:tcW w:w="6794" w:type="dxa"/>
            <w:gridSpan w:val="5"/>
          </w:tcPr>
          <w:p w14:paraId="6EFCFBD1" w14:textId="77777777" w:rsidR="00E6210F" w:rsidRPr="0019790A" w:rsidRDefault="00E6210F" w:rsidP="0019790A">
            <w:pPr>
              <w:pBdr>
                <w:left w:val="single" w:sz="18" w:space="4" w:color="auto"/>
              </w:pBdr>
              <w:jc w:val="both"/>
              <w:rPr>
                <w:rFonts w:cs="Arial"/>
                <w:szCs w:val="22"/>
              </w:rPr>
            </w:pPr>
            <w:r w:rsidRPr="0019790A">
              <w:rPr>
                <w:rFonts w:cs="Arial"/>
                <w:szCs w:val="22"/>
                <w:lang w:eastAsia="it-IT"/>
              </w:rPr>
              <w:t xml:space="preserve"> </w:t>
            </w:r>
            <w:r w:rsidRPr="0019790A">
              <w:rPr>
                <w:rFonts w:cs="Arial"/>
                <w:szCs w:val="22"/>
              </w:rPr>
              <w:t>С.1.1.2. Розвиток освітньої інфраструктури територіальної громади відповідно до вимог час</w:t>
            </w:r>
          </w:p>
          <w:p w14:paraId="7A5560D5" w14:textId="77777777" w:rsidR="00E6210F" w:rsidRPr="0019790A" w:rsidRDefault="00E6210F" w:rsidP="0019790A">
            <w:pPr>
              <w:pBdr>
                <w:left w:val="single" w:sz="18" w:space="4" w:color="auto"/>
              </w:pBdr>
              <w:rPr>
                <w:rFonts w:cs="Arial"/>
                <w:szCs w:val="22"/>
                <w:lang w:eastAsia="it-IT"/>
              </w:rPr>
            </w:pPr>
            <w:r w:rsidRPr="0019790A">
              <w:rPr>
                <w:rFonts w:cs="Arial"/>
                <w:szCs w:val="22"/>
              </w:rPr>
              <w:t>С.1.2.1. Підвищення рівня громадської безпеки в закладах освіти.</w:t>
            </w:r>
          </w:p>
        </w:tc>
      </w:tr>
      <w:tr w:rsidR="00E6210F" w:rsidRPr="0019790A" w14:paraId="7932D37D" w14:textId="77777777" w:rsidTr="00B8248C">
        <w:trPr>
          <w:jc w:val="right"/>
        </w:trPr>
        <w:tc>
          <w:tcPr>
            <w:tcW w:w="3425" w:type="dxa"/>
            <w:vAlign w:val="center"/>
          </w:tcPr>
          <w:p w14:paraId="575F05FB" w14:textId="77777777" w:rsidR="00E6210F" w:rsidRPr="0019790A" w:rsidRDefault="00E6210F" w:rsidP="0019790A">
            <w:pPr>
              <w:rPr>
                <w:rFonts w:cs="Arial"/>
                <w:b/>
                <w:bCs/>
                <w:szCs w:val="22"/>
              </w:rPr>
            </w:pPr>
            <w:r w:rsidRPr="0019790A">
              <w:rPr>
                <w:rFonts w:cs="Arial"/>
                <w:b/>
                <w:bCs/>
                <w:szCs w:val="22"/>
              </w:rPr>
              <w:t>Мета проєкту:</w:t>
            </w:r>
          </w:p>
        </w:tc>
        <w:tc>
          <w:tcPr>
            <w:tcW w:w="6794" w:type="dxa"/>
            <w:gridSpan w:val="5"/>
          </w:tcPr>
          <w:p w14:paraId="737561B8" w14:textId="77777777" w:rsidR="00E6210F" w:rsidRPr="0019790A" w:rsidRDefault="00E6210F" w:rsidP="0019790A">
            <w:pPr>
              <w:jc w:val="both"/>
              <w:rPr>
                <w:rFonts w:cs="Arial"/>
                <w:szCs w:val="22"/>
                <w:lang w:eastAsia="it-IT"/>
              </w:rPr>
            </w:pPr>
            <w:r w:rsidRPr="0019790A">
              <w:rPr>
                <w:rFonts w:cs="Arial"/>
                <w:szCs w:val="22"/>
              </w:rPr>
              <w:t>Підвищення рівня безпеки життєдіяльності учасників освітнього процесу як у звичайних умовах так і в умовах виникнення надзвичайних ситуацій</w:t>
            </w:r>
            <w:r w:rsidRPr="0019790A">
              <w:rPr>
                <w:rFonts w:cs="Arial"/>
                <w:iCs/>
                <w:szCs w:val="22"/>
              </w:rPr>
              <w:t>.</w:t>
            </w:r>
          </w:p>
        </w:tc>
      </w:tr>
      <w:tr w:rsidR="00E6210F" w:rsidRPr="0019790A" w14:paraId="4E7E6990" w14:textId="77777777" w:rsidTr="00B8248C">
        <w:trPr>
          <w:jc w:val="right"/>
        </w:trPr>
        <w:tc>
          <w:tcPr>
            <w:tcW w:w="3425" w:type="dxa"/>
            <w:vAlign w:val="center"/>
          </w:tcPr>
          <w:p w14:paraId="2DE86829" w14:textId="77777777" w:rsidR="00E6210F" w:rsidRPr="0019790A" w:rsidRDefault="00E6210F" w:rsidP="0019790A">
            <w:pPr>
              <w:rPr>
                <w:rFonts w:cs="Arial"/>
                <w:b/>
                <w:bCs/>
                <w:szCs w:val="22"/>
              </w:rPr>
            </w:pPr>
            <w:r w:rsidRPr="0019790A">
              <w:rPr>
                <w:rFonts w:cs="Arial"/>
                <w:b/>
                <w:bCs/>
                <w:szCs w:val="22"/>
              </w:rPr>
              <w:t>Цілі проєкту:</w:t>
            </w:r>
          </w:p>
        </w:tc>
        <w:tc>
          <w:tcPr>
            <w:tcW w:w="6794" w:type="dxa"/>
            <w:gridSpan w:val="5"/>
          </w:tcPr>
          <w:p w14:paraId="47F0A936" w14:textId="77777777" w:rsidR="00E6210F" w:rsidRPr="0019790A" w:rsidRDefault="00E6210F" w:rsidP="0019790A">
            <w:pPr>
              <w:jc w:val="both"/>
              <w:rPr>
                <w:rFonts w:cs="Arial"/>
                <w:szCs w:val="22"/>
                <w:lang w:eastAsia="uk-UA"/>
              </w:rPr>
            </w:pPr>
            <w:r w:rsidRPr="0019790A">
              <w:rPr>
                <w:rFonts w:cs="Arial"/>
                <w:szCs w:val="22"/>
              </w:rPr>
              <w:t xml:space="preserve">     Навчальні</w:t>
            </w:r>
            <w:r w:rsidRPr="0019790A">
              <w:rPr>
                <w:rFonts w:cs="Arial"/>
                <w:szCs w:val="22"/>
                <w:lang w:eastAsia="uk-UA"/>
              </w:rPr>
              <w:t xml:space="preserve"> та інші приміщення закладу освіти укомплектовані з дотриманням усіх правил і вимог, </w:t>
            </w:r>
          </w:p>
          <w:p w14:paraId="76985EEC" w14:textId="77777777" w:rsidR="00E6210F" w:rsidRPr="0019790A" w:rsidRDefault="00E6210F" w:rsidP="0019790A">
            <w:pPr>
              <w:jc w:val="both"/>
              <w:rPr>
                <w:rFonts w:cs="Arial"/>
                <w:szCs w:val="22"/>
                <w:lang w:eastAsia="it-IT"/>
              </w:rPr>
            </w:pPr>
            <w:r w:rsidRPr="0019790A">
              <w:rPr>
                <w:rFonts w:cs="Arial"/>
                <w:szCs w:val="22"/>
                <w:lang w:eastAsia="uk-UA"/>
              </w:rPr>
              <w:t xml:space="preserve">    Забезпечення протипожежного захисту</w:t>
            </w:r>
            <w:r w:rsidRPr="0019790A">
              <w:rPr>
                <w:rFonts w:eastAsia="Arial" w:cs="Arial"/>
                <w:szCs w:val="22"/>
                <w:shd w:val="clear" w:color="auto" w:fill="FFFFFF"/>
              </w:rPr>
              <w:t xml:space="preserve"> КЗ «Жмеринський ліцей №3» шляхом облаштування сучасної системи пожежної безпеки</w:t>
            </w:r>
          </w:p>
        </w:tc>
      </w:tr>
      <w:tr w:rsidR="00E6210F" w:rsidRPr="0019790A" w14:paraId="19E171CF" w14:textId="77777777" w:rsidTr="00B8248C">
        <w:trPr>
          <w:jc w:val="right"/>
        </w:trPr>
        <w:tc>
          <w:tcPr>
            <w:tcW w:w="3425" w:type="dxa"/>
            <w:vAlign w:val="center"/>
          </w:tcPr>
          <w:p w14:paraId="62A48D75" w14:textId="77777777" w:rsidR="00E6210F" w:rsidRPr="0019790A" w:rsidRDefault="00E6210F" w:rsidP="0019790A">
            <w:pPr>
              <w:autoSpaceDE w:val="0"/>
              <w:autoSpaceDN w:val="0"/>
              <w:adjustRightInd w:val="0"/>
              <w:rPr>
                <w:rFonts w:cs="Arial"/>
                <w:b/>
                <w:szCs w:val="22"/>
              </w:rPr>
            </w:pPr>
            <w:r w:rsidRPr="0019790A">
              <w:rPr>
                <w:rFonts w:cs="Arial"/>
                <w:b/>
                <w:szCs w:val="22"/>
              </w:rPr>
              <w:t>Територія на яку проєкт матиме вплив:</w:t>
            </w:r>
          </w:p>
        </w:tc>
        <w:tc>
          <w:tcPr>
            <w:tcW w:w="6794" w:type="dxa"/>
            <w:gridSpan w:val="5"/>
          </w:tcPr>
          <w:p w14:paraId="5DD39AAB" w14:textId="77777777" w:rsidR="00E6210F" w:rsidRPr="0019790A" w:rsidRDefault="00E6210F" w:rsidP="0019790A">
            <w:pPr>
              <w:rPr>
                <w:rFonts w:cs="Arial"/>
                <w:szCs w:val="22"/>
                <w:lang w:eastAsia="it-IT"/>
              </w:rPr>
            </w:pPr>
            <w:r w:rsidRPr="0019790A">
              <w:rPr>
                <w:rFonts w:cs="Arial"/>
                <w:szCs w:val="22"/>
                <w:lang w:eastAsia="it-IT"/>
              </w:rPr>
              <w:t xml:space="preserve">Територія Жмеринської міської територіальної громади </w:t>
            </w:r>
          </w:p>
        </w:tc>
      </w:tr>
      <w:tr w:rsidR="00E6210F" w:rsidRPr="0019790A" w14:paraId="78EEF74B" w14:textId="77777777" w:rsidTr="00B8248C">
        <w:trPr>
          <w:jc w:val="right"/>
        </w:trPr>
        <w:tc>
          <w:tcPr>
            <w:tcW w:w="3425" w:type="dxa"/>
            <w:vAlign w:val="center"/>
          </w:tcPr>
          <w:p w14:paraId="78D7C3F3" w14:textId="77777777" w:rsidR="00E6210F" w:rsidRPr="0019790A" w:rsidRDefault="00E6210F" w:rsidP="0019790A">
            <w:pPr>
              <w:autoSpaceDE w:val="0"/>
              <w:autoSpaceDN w:val="0"/>
              <w:adjustRightInd w:val="0"/>
              <w:rPr>
                <w:rFonts w:cs="Arial"/>
                <w:b/>
                <w:szCs w:val="22"/>
              </w:rPr>
            </w:pPr>
            <w:r w:rsidRPr="0019790A">
              <w:rPr>
                <w:rFonts w:cs="Arial"/>
                <w:b/>
                <w:szCs w:val="22"/>
              </w:rPr>
              <w:t>Цільові групи проєкту та кількість отримувачів вигоди</w:t>
            </w:r>
          </w:p>
        </w:tc>
        <w:tc>
          <w:tcPr>
            <w:tcW w:w="6794" w:type="dxa"/>
            <w:gridSpan w:val="5"/>
          </w:tcPr>
          <w:p w14:paraId="0885327F" w14:textId="77777777" w:rsidR="00E6210F" w:rsidRPr="0019790A" w:rsidRDefault="00E6210F" w:rsidP="0019790A">
            <w:pPr>
              <w:pStyle w:val="TableParagraph"/>
              <w:rPr>
                <w:rFonts w:ascii="Arial" w:hAnsi="Arial" w:cs="Arial"/>
              </w:rPr>
            </w:pPr>
            <w:r w:rsidRPr="0019790A">
              <w:rPr>
                <w:rFonts w:ascii="Arial" w:hAnsi="Arial" w:cs="Arial"/>
              </w:rPr>
              <w:t>950 здобувачів освіти, працівники закладу, батьки, відвідувачі, жителі громади.</w:t>
            </w:r>
          </w:p>
        </w:tc>
      </w:tr>
      <w:tr w:rsidR="00E6210F" w:rsidRPr="0019790A" w14:paraId="29A8945A" w14:textId="77777777" w:rsidTr="00B8248C">
        <w:trPr>
          <w:jc w:val="right"/>
        </w:trPr>
        <w:tc>
          <w:tcPr>
            <w:tcW w:w="3425" w:type="dxa"/>
            <w:shd w:val="clear" w:color="auto" w:fill="FFFFFF"/>
            <w:vAlign w:val="center"/>
          </w:tcPr>
          <w:p w14:paraId="0291EB31" w14:textId="77777777" w:rsidR="00E6210F" w:rsidRPr="0019790A" w:rsidRDefault="00E6210F" w:rsidP="0019790A">
            <w:pPr>
              <w:rPr>
                <w:rFonts w:cs="Arial"/>
                <w:b/>
                <w:bCs/>
                <w:szCs w:val="22"/>
              </w:rPr>
            </w:pPr>
            <w:r w:rsidRPr="0019790A">
              <w:rPr>
                <w:rFonts w:cs="Arial"/>
                <w:b/>
                <w:bCs/>
                <w:szCs w:val="22"/>
              </w:rPr>
              <w:t>Стислий опис проєкту:</w:t>
            </w:r>
          </w:p>
        </w:tc>
        <w:tc>
          <w:tcPr>
            <w:tcW w:w="6794" w:type="dxa"/>
            <w:gridSpan w:val="5"/>
          </w:tcPr>
          <w:p w14:paraId="32F85C7E" w14:textId="77777777" w:rsidR="00E6210F" w:rsidRPr="0019790A" w:rsidRDefault="00E6210F" w:rsidP="0019790A">
            <w:pPr>
              <w:jc w:val="both"/>
              <w:rPr>
                <w:rFonts w:cs="Arial"/>
                <w:szCs w:val="22"/>
                <w:lang w:eastAsia="uk-UA"/>
              </w:rPr>
            </w:pPr>
            <w:r w:rsidRPr="0019790A">
              <w:rPr>
                <w:rFonts w:cs="Arial"/>
                <w:szCs w:val="22"/>
                <w:shd w:val="clear" w:color="auto" w:fill="FFFFFF"/>
              </w:rPr>
              <w:t xml:space="preserve">      </w:t>
            </w:r>
            <w:r w:rsidRPr="0019790A">
              <w:rPr>
                <w:rFonts w:cs="Arial"/>
                <w:szCs w:val="22"/>
                <w:lang w:eastAsia="uk-UA"/>
              </w:rPr>
              <w:t>Діти проводять у школі значну частину свого життя, не лише здобуваючи освіту й пізнаючи навколишній світ, а й щодня спілкуючись між собою, розвиваючи корисні практичні навички та розуміючи правила поведінки в суспільстві.</w:t>
            </w:r>
          </w:p>
          <w:p w14:paraId="7D010F42" w14:textId="77777777" w:rsidR="00E6210F" w:rsidRPr="0019790A" w:rsidRDefault="00E6210F" w:rsidP="0019790A">
            <w:pPr>
              <w:jc w:val="both"/>
              <w:rPr>
                <w:rFonts w:cs="Arial"/>
                <w:szCs w:val="22"/>
                <w:lang w:eastAsia="uk-UA"/>
              </w:rPr>
            </w:pPr>
            <w:r w:rsidRPr="0019790A">
              <w:rPr>
                <w:rFonts w:cs="Arial"/>
                <w:szCs w:val="22"/>
                <w:lang w:eastAsia="uk-UA"/>
              </w:rPr>
              <w:t xml:space="preserve">      Завдання Нової української школи — не лише забезпечити їм для цього всі необхідні сучасні навчальні засоби, техніку й методи викладання, а й створити повністю безпечне навчальне середовище.</w:t>
            </w:r>
          </w:p>
          <w:p w14:paraId="2CB364BE" w14:textId="77777777" w:rsidR="00E6210F" w:rsidRPr="0019790A" w:rsidRDefault="00E6210F" w:rsidP="0019790A">
            <w:pPr>
              <w:jc w:val="both"/>
              <w:rPr>
                <w:rFonts w:cs="Arial"/>
                <w:szCs w:val="22"/>
                <w:lang w:eastAsia="uk-UA"/>
              </w:rPr>
            </w:pPr>
            <w:r w:rsidRPr="0019790A">
              <w:rPr>
                <w:rFonts w:cs="Arial"/>
                <w:szCs w:val="22"/>
                <w:lang w:eastAsia="uk-UA"/>
              </w:rPr>
              <w:t>Одним із найважливіших його елементів є ефективна та дієва системи пожежної безпеки.</w:t>
            </w:r>
          </w:p>
          <w:p w14:paraId="792C99F9" w14:textId="77777777" w:rsidR="00E6210F" w:rsidRPr="0019790A" w:rsidRDefault="00E6210F" w:rsidP="0019790A">
            <w:pPr>
              <w:jc w:val="both"/>
              <w:rPr>
                <w:rFonts w:cs="Arial"/>
                <w:szCs w:val="22"/>
                <w:lang w:eastAsia="uk-UA"/>
              </w:rPr>
            </w:pPr>
            <w:r w:rsidRPr="0019790A">
              <w:rPr>
                <w:rFonts w:cs="Arial"/>
                <w:bCs/>
                <w:szCs w:val="22"/>
                <w:bdr w:val="none" w:sz="0" w:space="0" w:color="auto" w:frame="1"/>
                <w:lang w:eastAsia="uk-UA"/>
              </w:rPr>
              <w:t xml:space="preserve">      Сучасна система пожежної безпеки навчального закладу</w:t>
            </w:r>
            <w:r w:rsidRPr="0019790A">
              <w:rPr>
                <w:rFonts w:cs="Arial"/>
                <w:szCs w:val="22"/>
                <w:lang w:eastAsia="uk-UA"/>
              </w:rPr>
              <w:t> — це комплекс інтелектуальних продуктів і рішень, які допомагають не просто забезпечити потрібний рівень безпеки та вчасно виявити й розпізнати можливу загрозу, а й швидко та ефективно евакуювати людей у разі необхідності.</w:t>
            </w:r>
          </w:p>
          <w:p w14:paraId="3F1BD434" w14:textId="77777777" w:rsidR="00E6210F" w:rsidRPr="0019790A" w:rsidRDefault="00E6210F" w:rsidP="0019790A">
            <w:pPr>
              <w:jc w:val="both"/>
              <w:rPr>
                <w:rFonts w:cs="Arial"/>
                <w:szCs w:val="22"/>
                <w:lang w:eastAsia="it-IT"/>
              </w:rPr>
            </w:pPr>
            <w:r w:rsidRPr="0019790A">
              <w:rPr>
                <w:rFonts w:cs="Arial"/>
                <w:szCs w:val="22"/>
              </w:rPr>
              <w:t xml:space="preserve">   Реалізація проєкту сприятиме формуванню безпечного освітнього простору у закладі освіти та дозволить здійснювати постійний моніторинг пожежного стану приміщень за допомогою технічних засобів виявлення пожежі шляхом автоматичного контролю наявності первинних ознак (збільшення задимленості, підвищення температури тощо).</w:t>
            </w:r>
            <w:r w:rsidRPr="0019790A">
              <w:rPr>
                <w:rFonts w:eastAsia="Arial" w:cs="Arial"/>
                <w:szCs w:val="22"/>
                <w:shd w:val="clear" w:color="auto" w:fill="FFFFFF"/>
              </w:rPr>
              <w:t xml:space="preserve"> </w:t>
            </w:r>
            <w:r w:rsidRPr="0019790A">
              <w:rPr>
                <w:rFonts w:cs="Arial"/>
                <w:i/>
                <w:szCs w:val="22"/>
              </w:rPr>
              <w:t xml:space="preserve"> </w:t>
            </w:r>
            <w:r w:rsidRPr="0019790A">
              <w:rPr>
                <w:rFonts w:eastAsia="Arial" w:cs="Arial"/>
                <w:szCs w:val="22"/>
                <w:shd w:val="clear" w:color="auto" w:fill="FFFFFF"/>
              </w:rPr>
              <w:t xml:space="preserve">  </w:t>
            </w:r>
          </w:p>
        </w:tc>
      </w:tr>
      <w:tr w:rsidR="00E6210F" w:rsidRPr="0019790A" w14:paraId="07DC6794" w14:textId="77777777" w:rsidTr="00B8248C">
        <w:trPr>
          <w:jc w:val="right"/>
        </w:trPr>
        <w:tc>
          <w:tcPr>
            <w:tcW w:w="3425" w:type="dxa"/>
            <w:shd w:val="clear" w:color="auto" w:fill="FFFFFF"/>
            <w:vAlign w:val="center"/>
          </w:tcPr>
          <w:p w14:paraId="435002C8" w14:textId="77777777" w:rsidR="00E6210F" w:rsidRPr="0019790A" w:rsidRDefault="00E6210F" w:rsidP="0019790A">
            <w:pPr>
              <w:rPr>
                <w:rFonts w:cs="Arial"/>
                <w:b/>
                <w:bCs/>
                <w:szCs w:val="22"/>
              </w:rPr>
            </w:pPr>
            <w:r w:rsidRPr="0019790A">
              <w:rPr>
                <w:rFonts w:cs="Arial"/>
                <w:b/>
                <w:bCs/>
                <w:szCs w:val="22"/>
              </w:rPr>
              <w:t>Основні заходи проєкту:</w:t>
            </w:r>
          </w:p>
        </w:tc>
        <w:tc>
          <w:tcPr>
            <w:tcW w:w="6794" w:type="dxa"/>
            <w:gridSpan w:val="5"/>
          </w:tcPr>
          <w:p w14:paraId="6F87946F" w14:textId="77777777" w:rsidR="00E6210F" w:rsidRPr="0019790A" w:rsidRDefault="00E6210F" w:rsidP="00CD6B99">
            <w:pPr>
              <w:pStyle w:val="af4"/>
              <w:numPr>
                <w:ilvl w:val="0"/>
                <w:numId w:val="29"/>
              </w:numPr>
              <w:tabs>
                <w:tab w:val="left" w:pos="477"/>
              </w:tabs>
              <w:suppressAutoHyphens w:val="0"/>
              <w:spacing w:after="0" w:line="240" w:lineRule="auto"/>
              <w:ind w:left="0" w:firstLine="323"/>
              <w:contextualSpacing/>
              <w:jc w:val="both"/>
              <w:rPr>
                <w:rFonts w:ascii="Arial" w:hAnsi="Arial" w:cs="Arial"/>
                <w:b/>
                <w:iCs/>
              </w:rPr>
            </w:pPr>
            <w:r w:rsidRPr="0019790A">
              <w:rPr>
                <w:rFonts w:ascii="Arial" w:hAnsi="Arial" w:cs="Arial"/>
                <w:lang w:eastAsia="it-IT"/>
              </w:rPr>
              <w:t>Виготовлення ПКД на в</w:t>
            </w:r>
            <w:r w:rsidRPr="0019790A">
              <w:rPr>
                <w:rFonts w:ascii="Arial" w:hAnsi="Arial" w:cs="Arial"/>
                <w:iCs/>
              </w:rPr>
              <w:t xml:space="preserve">становлення автоматичної пожежної сигналізації   </w:t>
            </w:r>
          </w:p>
          <w:p w14:paraId="3F56681A" w14:textId="77777777" w:rsidR="00E6210F" w:rsidRPr="0019790A" w:rsidRDefault="00E6210F" w:rsidP="00CD6B99">
            <w:pPr>
              <w:pStyle w:val="af4"/>
              <w:numPr>
                <w:ilvl w:val="0"/>
                <w:numId w:val="29"/>
              </w:numPr>
              <w:tabs>
                <w:tab w:val="left" w:pos="477"/>
              </w:tabs>
              <w:suppressAutoHyphens w:val="0"/>
              <w:spacing w:after="0" w:line="240" w:lineRule="auto"/>
              <w:ind w:left="0" w:firstLine="323"/>
              <w:contextualSpacing/>
              <w:jc w:val="both"/>
              <w:rPr>
                <w:rFonts w:ascii="Arial" w:hAnsi="Arial" w:cs="Arial"/>
                <w:b/>
                <w:iCs/>
              </w:rPr>
            </w:pPr>
            <w:r w:rsidRPr="0019790A">
              <w:rPr>
                <w:rFonts w:ascii="Arial" w:hAnsi="Arial" w:cs="Arial"/>
                <w:lang w:eastAsia="it-IT"/>
              </w:rPr>
              <w:t>Проведення процедури закупівель</w:t>
            </w:r>
          </w:p>
          <w:p w14:paraId="70E477FF" w14:textId="77777777" w:rsidR="00E6210F" w:rsidRPr="0019790A" w:rsidRDefault="00E6210F" w:rsidP="00CD6B99">
            <w:pPr>
              <w:pStyle w:val="af4"/>
              <w:numPr>
                <w:ilvl w:val="0"/>
                <w:numId w:val="29"/>
              </w:numPr>
              <w:tabs>
                <w:tab w:val="left" w:pos="477"/>
              </w:tabs>
              <w:suppressAutoHyphens w:val="0"/>
              <w:spacing w:after="0" w:line="240" w:lineRule="auto"/>
              <w:ind w:left="0" w:firstLine="323"/>
              <w:contextualSpacing/>
              <w:jc w:val="both"/>
              <w:rPr>
                <w:rFonts w:ascii="Arial" w:hAnsi="Arial" w:cs="Arial"/>
                <w:b/>
                <w:iCs/>
              </w:rPr>
            </w:pPr>
            <w:r w:rsidRPr="0019790A">
              <w:rPr>
                <w:rFonts w:ascii="Arial" w:hAnsi="Arial" w:cs="Arial"/>
                <w:iCs/>
              </w:rPr>
              <w:t xml:space="preserve">Здійснення робіт з встановлення автоматичної пожежної сигналізації в КЗ «Жмеринський ліцей №3»  </w:t>
            </w:r>
          </w:p>
        </w:tc>
      </w:tr>
      <w:tr w:rsidR="00E6210F" w:rsidRPr="0019790A" w14:paraId="06001F15" w14:textId="77777777" w:rsidTr="00B8248C">
        <w:trPr>
          <w:jc w:val="right"/>
        </w:trPr>
        <w:tc>
          <w:tcPr>
            <w:tcW w:w="3425" w:type="dxa"/>
            <w:shd w:val="clear" w:color="auto" w:fill="FFFFFF"/>
            <w:vAlign w:val="center"/>
          </w:tcPr>
          <w:p w14:paraId="2D7E48A5" w14:textId="77777777" w:rsidR="00E6210F" w:rsidRPr="0019790A" w:rsidRDefault="00E6210F" w:rsidP="0019790A">
            <w:pPr>
              <w:rPr>
                <w:rFonts w:cs="Arial"/>
                <w:b/>
                <w:bCs/>
                <w:szCs w:val="22"/>
              </w:rPr>
            </w:pPr>
            <w:r w:rsidRPr="0019790A">
              <w:rPr>
                <w:rFonts w:cs="Arial"/>
                <w:b/>
                <w:bCs/>
                <w:szCs w:val="22"/>
              </w:rPr>
              <w:t>Індикатори (показники) результативності:</w:t>
            </w:r>
          </w:p>
        </w:tc>
        <w:tc>
          <w:tcPr>
            <w:tcW w:w="6794" w:type="dxa"/>
            <w:gridSpan w:val="5"/>
          </w:tcPr>
          <w:p w14:paraId="60B5BE67" w14:textId="77777777" w:rsidR="00E6210F" w:rsidRPr="0019790A" w:rsidRDefault="00E6210F" w:rsidP="0019790A">
            <w:pPr>
              <w:widowControl w:val="0"/>
              <w:jc w:val="both"/>
              <w:rPr>
                <w:rFonts w:eastAsia="Arial" w:cs="Arial"/>
                <w:szCs w:val="22"/>
                <w:shd w:val="clear" w:color="auto" w:fill="FFFFFF"/>
              </w:rPr>
            </w:pPr>
            <w:r w:rsidRPr="0019790A">
              <w:rPr>
                <w:rFonts w:cs="Arial"/>
                <w:iCs/>
                <w:szCs w:val="22"/>
              </w:rPr>
              <w:t xml:space="preserve"> Забезпечено </w:t>
            </w:r>
            <w:r w:rsidRPr="0019790A">
              <w:rPr>
                <w:rFonts w:cs="Arial"/>
                <w:szCs w:val="22"/>
                <w:lang w:eastAsia="uk-UA"/>
              </w:rPr>
              <w:t>захист учнів та співробітників навчального закладу в надзвичайних ситуаціях</w:t>
            </w:r>
            <w:r w:rsidRPr="0019790A">
              <w:rPr>
                <w:rFonts w:eastAsia="Arial" w:cs="Arial"/>
                <w:szCs w:val="22"/>
                <w:shd w:val="clear" w:color="auto" w:fill="FFFFFF"/>
              </w:rPr>
              <w:t xml:space="preserve"> </w:t>
            </w:r>
          </w:p>
          <w:p w14:paraId="375654CD" w14:textId="77777777" w:rsidR="00E6210F" w:rsidRPr="0019790A" w:rsidRDefault="00E6210F" w:rsidP="0019790A">
            <w:pPr>
              <w:widowControl w:val="0"/>
              <w:jc w:val="both"/>
              <w:rPr>
                <w:rFonts w:cs="Arial"/>
                <w:szCs w:val="22"/>
              </w:rPr>
            </w:pPr>
            <w:r w:rsidRPr="0019790A">
              <w:rPr>
                <w:rFonts w:eastAsia="Arial" w:cs="Arial"/>
                <w:szCs w:val="22"/>
                <w:shd w:val="clear" w:color="auto" w:fill="FFFFFF"/>
              </w:rPr>
              <w:t xml:space="preserve">   Збільшення кількості закладів освіти, де створено безпечний освітній простір   </w:t>
            </w:r>
            <w:r w:rsidRPr="0019790A">
              <w:rPr>
                <w:rFonts w:cs="Arial"/>
                <w:szCs w:val="22"/>
              </w:rPr>
              <w:t xml:space="preserve">  </w:t>
            </w:r>
          </w:p>
        </w:tc>
      </w:tr>
      <w:tr w:rsidR="00E6210F" w:rsidRPr="0019790A" w14:paraId="2B6CD2E3" w14:textId="77777777" w:rsidTr="00B8248C">
        <w:trPr>
          <w:jc w:val="right"/>
        </w:trPr>
        <w:tc>
          <w:tcPr>
            <w:tcW w:w="3425" w:type="dxa"/>
            <w:shd w:val="clear" w:color="auto" w:fill="FFFFFF"/>
            <w:vAlign w:val="center"/>
          </w:tcPr>
          <w:p w14:paraId="4DB51D9A" w14:textId="77777777" w:rsidR="00E6210F" w:rsidRPr="0019790A" w:rsidRDefault="00E6210F" w:rsidP="0019790A">
            <w:pPr>
              <w:rPr>
                <w:rFonts w:cs="Arial"/>
                <w:b/>
                <w:szCs w:val="22"/>
              </w:rPr>
            </w:pPr>
            <w:r w:rsidRPr="0019790A">
              <w:rPr>
                <w:rFonts w:cs="Arial"/>
                <w:b/>
                <w:szCs w:val="22"/>
              </w:rPr>
              <w:t xml:space="preserve">Період здійснення: </w:t>
            </w:r>
          </w:p>
        </w:tc>
        <w:tc>
          <w:tcPr>
            <w:tcW w:w="6794" w:type="dxa"/>
            <w:gridSpan w:val="5"/>
            <w:vAlign w:val="center"/>
          </w:tcPr>
          <w:p w14:paraId="383D86E5" w14:textId="77777777" w:rsidR="00E6210F" w:rsidRPr="0019790A" w:rsidRDefault="00E6210F" w:rsidP="0019790A">
            <w:pPr>
              <w:rPr>
                <w:rFonts w:cs="Arial"/>
                <w:szCs w:val="22"/>
                <w:lang w:eastAsia="it-IT"/>
              </w:rPr>
            </w:pPr>
            <w:r w:rsidRPr="0019790A">
              <w:rPr>
                <w:rFonts w:cs="Arial"/>
                <w:b/>
                <w:szCs w:val="22"/>
              </w:rPr>
              <w:t>2025 – 2028 роки:</w:t>
            </w:r>
          </w:p>
        </w:tc>
      </w:tr>
      <w:tr w:rsidR="00E6210F" w:rsidRPr="0019790A" w14:paraId="30187942" w14:textId="77777777" w:rsidTr="00B8248C">
        <w:trPr>
          <w:jc w:val="right"/>
        </w:trPr>
        <w:tc>
          <w:tcPr>
            <w:tcW w:w="3425" w:type="dxa"/>
            <w:vMerge w:val="restart"/>
            <w:shd w:val="clear" w:color="auto" w:fill="FFFFFF"/>
            <w:vAlign w:val="center"/>
          </w:tcPr>
          <w:p w14:paraId="08E32430" w14:textId="77777777" w:rsidR="00E6210F" w:rsidRPr="0019790A" w:rsidRDefault="00E6210F" w:rsidP="0019790A">
            <w:pPr>
              <w:rPr>
                <w:rFonts w:cs="Arial"/>
                <w:b/>
                <w:bCs/>
                <w:szCs w:val="22"/>
              </w:rPr>
            </w:pPr>
            <w:r w:rsidRPr="0019790A">
              <w:rPr>
                <w:rFonts w:cs="Arial"/>
                <w:b/>
                <w:bCs/>
                <w:szCs w:val="22"/>
              </w:rPr>
              <w:t>Орієнтовна вартість проєкту, тис. грн., в тому числі:</w:t>
            </w:r>
          </w:p>
        </w:tc>
        <w:tc>
          <w:tcPr>
            <w:tcW w:w="1254" w:type="dxa"/>
            <w:shd w:val="clear" w:color="auto" w:fill="E6E6E6"/>
            <w:vAlign w:val="center"/>
          </w:tcPr>
          <w:p w14:paraId="0CEFF120" w14:textId="77777777" w:rsidR="00E6210F" w:rsidRPr="0019790A" w:rsidRDefault="00E6210F" w:rsidP="0019790A">
            <w:pPr>
              <w:jc w:val="center"/>
              <w:rPr>
                <w:rFonts w:cs="Arial"/>
                <w:b/>
                <w:szCs w:val="22"/>
                <w:lang w:eastAsia="it-IT"/>
              </w:rPr>
            </w:pPr>
            <w:r w:rsidRPr="0019790A">
              <w:rPr>
                <w:rFonts w:cs="Arial"/>
                <w:b/>
                <w:szCs w:val="22"/>
                <w:lang w:eastAsia="it-IT"/>
              </w:rPr>
              <w:t>2025</w:t>
            </w:r>
          </w:p>
        </w:tc>
        <w:tc>
          <w:tcPr>
            <w:tcW w:w="1275" w:type="dxa"/>
            <w:shd w:val="clear" w:color="auto" w:fill="E6E6E6"/>
            <w:vAlign w:val="center"/>
          </w:tcPr>
          <w:p w14:paraId="6C020821" w14:textId="77777777" w:rsidR="00E6210F" w:rsidRPr="0019790A" w:rsidRDefault="00E6210F" w:rsidP="0019790A">
            <w:pPr>
              <w:jc w:val="center"/>
              <w:rPr>
                <w:rFonts w:cs="Arial"/>
                <w:b/>
                <w:szCs w:val="22"/>
                <w:lang w:eastAsia="it-IT"/>
              </w:rPr>
            </w:pPr>
            <w:r w:rsidRPr="0019790A">
              <w:rPr>
                <w:rFonts w:cs="Arial"/>
                <w:b/>
                <w:szCs w:val="22"/>
                <w:lang w:eastAsia="it-IT"/>
              </w:rPr>
              <w:t>2026</w:t>
            </w:r>
          </w:p>
        </w:tc>
        <w:tc>
          <w:tcPr>
            <w:tcW w:w="1418" w:type="dxa"/>
            <w:tcBorders>
              <w:bottom w:val="single" w:sz="4" w:space="0" w:color="auto"/>
            </w:tcBorders>
            <w:shd w:val="clear" w:color="auto" w:fill="E6E6E6"/>
            <w:vAlign w:val="center"/>
          </w:tcPr>
          <w:p w14:paraId="24FEB9F9" w14:textId="77777777" w:rsidR="00E6210F" w:rsidRPr="0019790A" w:rsidRDefault="00E6210F" w:rsidP="0019790A">
            <w:pPr>
              <w:jc w:val="center"/>
              <w:rPr>
                <w:rFonts w:cs="Arial"/>
                <w:b/>
                <w:szCs w:val="22"/>
                <w:lang w:eastAsia="it-IT"/>
              </w:rPr>
            </w:pPr>
            <w:r w:rsidRPr="0019790A">
              <w:rPr>
                <w:rFonts w:cs="Arial"/>
                <w:b/>
                <w:szCs w:val="22"/>
                <w:lang w:eastAsia="it-IT"/>
              </w:rPr>
              <w:t>2027</w:t>
            </w:r>
          </w:p>
        </w:tc>
        <w:tc>
          <w:tcPr>
            <w:tcW w:w="1276" w:type="dxa"/>
            <w:shd w:val="clear" w:color="auto" w:fill="E6E6E6"/>
            <w:vAlign w:val="center"/>
          </w:tcPr>
          <w:p w14:paraId="5B315328" w14:textId="77777777" w:rsidR="00E6210F" w:rsidRPr="0019790A" w:rsidRDefault="00E6210F" w:rsidP="0019790A">
            <w:pPr>
              <w:jc w:val="center"/>
              <w:rPr>
                <w:rFonts w:cs="Arial"/>
                <w:b/>
                <w:szCs w:val="22"/>
                <w:lang w:eastAsia="it-IT"/>
              </w:rPr>
            </w:pPr>
            <w:r w:rsidRPr="0019790A">
              <w:rPr>
                <w:rFonts w:cs="Arial"/>
                <w:b/>
                <w:szCs w:val="22"/>
                <w:lang w:eastAsia="it-IT"/>
              </w:rPr>
              <w:t>2028</w:t>
            </w:r>
          </w:p>
        </w:tc>
        <w:tc>
          <w:tcPr>
            <w:tcW w:w="1571" w:type="dxa"/>
            <w:shd w:val="clear" w:color="auto" w:fill="E6E6E6"/>
            <w:vAlign w:val="center"/>
          </w:tcPr>
          <w:p w14:paraId="0E500D3C" w14:textId="77777777" w:rsidR="00E6210F" w:rsidRPr="0019790A" w:rsidRDefault="00E6210F" w:rsidP="0019790A">
            <w:pPr>
              <w:jc w:val="center"/>
              <w:rPr>
                <w:rFonts w:cs="Arial"/>
                <w:b/>
                <w:szCs w:val="22"/>
                <w:lang w:eastAsia="it-IT"/>
              </w:rPr>
            </w:pPr>
            <w:r w:rsidRPr="0019790A">
              <w:rPr>
                <w:rFonts w:cs="Arial"/>
                <w:b/>
                <w:szCs w:val="22"/>
                <w:lang w:eastAsia="it-IT"/>
              </w:rPr>
              <w:t>РАЗОМ</w:t>
            </w:r>
          </w:p>
        </w:tc>
      </w:tr>
      <w:tr w:rsidR="00E6210F" w:rsidRPr="0019790A" w14:paraId="51FB97C5" w14:textId="77777777" w:rsidTr="00B8248C">
        <w:trPr>
          <w:jc w:val="right"/>
        </w:trPr>
        <w:tc>
          <w:tcPr>
            <w:tcW w:w="3425" w:type="dxa"/>
            <w:vMerge/>
            <w:shd w:val="clear" w:color="auto" w:fill="FFFFFF"/>
            <w:vAlign w:val="center"/>
          </w:tcPr>
          <w:p w14:paraId="35F0B73D" w14:textId="77777777" w:rsidR="00E6210F" w:rsidRPr="0019790A" w:rsidRDefault="00E6210F" w:rsidP="0019790A">
            <w:pPr>
              <w:rPr>
                <w:rFonts w:cs="Arial"/>
                <w:b/>
                <w:bCs/>
                <w:szCs w:val="22"/>
              </w:rPr>
            </w:pPr>
          </w:p>
        </w:tc>
        <w:tc>
          <w:tcPr>
            <w:tcW w:w="1254" w:type="dxa"/>
            <w:vAlign w:val="center"/>
          </w:tcPr>
          <w:p w14:paraId="6EB265F7" w14:textId="77777777" w:rsidR="00E6210F" w:rsidRPr="0019790A" w:rsidRDefault="00E6210F" w:rsidP="0019790A">
            <w:pPr>
              <w:jc w:val="center"/>
              <w:rPr>
                <w:rFonts w:cs="Arial"/>
                <w:b/>
                <w:szCs w:val="22"/>
                <w:lang w:eastAsia="it-IT"/>
              </w:rPr>
            </w:pPr>
            <w:r w:rsidRPr="0019790A">
              <w:rPr>
                <w:rFonts w:cs="Arial"/>
                <w:b/>
                <w:szCs w:val="22"/>
                <w:lang w:eastAsia="it-IT"/>
              </w:rPr>
              <w:t xml:space="preserve"> </w:t>
            </w:r>
          </w:p>
        </w:tc>
        <w:tc>
          <w:tcPr>
            <w:tcW w:w="1275" w:type="dxa"/>
            <w:shd w:val="clear" w:color="auto" w:fill="FFFFFF"/>
            <w:vAlign w:val="center"/>
          </w:tcPr>
          <w:p w14:paraId="4CFEA785" w14:textId="77777777" w:rsidR="00E6210F" w:rsidRPr="0019790A" w:rsidRDefault="00E6210F" w:rsidP="0019790A">
            <w:pPr>
              <w:jc w:val="center"/>
              <w:rPr>
                <w:rFonts w:cs="Arial"/>
                <w:b/>
                <w:szCs w:val="22"/>
                <w:lang w:eastAsia="it-IT"/>
              </w:rPr>
            </w:pPr>
            <w:r w:rsidRPr="0019790A">
              <w:rPr>
                <w:rFonts w:cs="Arial"/>
                <w:b/>
                <w:szCs w:val="22"/>
                <w:lang w:eastAsia="it-IT"/>
              </w:rPr>
              <w:t>150,00</w:t>
            </w:r>
          </w:p>
        </w:tc>
        <w:tc>
          <w:tcPr>
            <w:tcW w:w="1418" w:type="dxa"/>
            <w:shd w:val="clear" w:color="auto" w:fill="auto"/>
            <w:vAlign w:val="center"/>
          </w:tcPr>
          <w:p w14:paraId="606D7DA5" w14:textId="77777777" w:rsidR="00E6210F" w:rsidRPr="0019790A" w:rsidRDefault="00E6210F" w:rsidP="0019790A">
            <w:pPr>
              <w:jc w:val="center"/>
              <w:rPr>
                <w:rFonts w:cs="Arial"/>
                <w:b/>
                <w:szCs w:val="22"/>
                <w:lang w:eastAsia="it-IT"/>
              </w:rPr>
            </w:pPr>
            <w:r w:rsidRPr="0019790A">
              <w:rPr>
                <w:rFonts w:cs="Arial"/>
                <w:b/>
                <w:szCs w:val="22"/>
                <w:lang w:eastAsia="it-IT"/>
              </w:rPr>
              <w:t xml:space="preserve"> </w:t>
            </w:r>
          </w:p>
        </w:tc>
        <w:tc>
          <w:tcPr>
            <w:tcW w:w="1276" w:type="dxa"/>
            <w:shd w:val="clear" w:color="auto" w:fill="FFFFFF"/>
            <w:vAlign w:val="center"/>
          </w:tcPr>
          <w:p w14:paraId="637A0518" w14:textId="77777777" w:rsidR="00E6210F" w:rsidRPr="0019790A" w:rsidRDefault="00E6210F" w:rsidP="0019790A">
            <w:pPr>
              <w:rPr>
                <w:rFonts w:cs="Arial"/>
                <w:b/>
                <w:szCs w:val="22"/>
                <w:lang w:eastAsia="it-IT"/>
              </w:rPr>
            </w:pPr>
            <w:r w:rsidRPr="0019790A">
              <w:rPr>
                <w:rFonts w:cs="Arial"/>
                <w:b/>
                <w:szCs w:val="22"/>
                <w:lang w:eastAsia="it-IT"/>
              </w:rPr>
              <w:t>4 000,00</w:t>
            </w:r>
          </w:p>
        </w:tc>
        <w:tc>
          <w:tcPr>
            <w:tcW w:w="1571" w:type="dxa"/>
            <w:shd w:val="clear" w:color="auto" w:fill="FFFFFF"/>
            <w:vAlign w:val="center"/>
          </w:tcPr>
          <w:p w14:paraId="5B2267F9" w14:textId="77777777" w:rsidR="00E6210F" w:rsidRPr="0019790A" w:rsidRDefault="00E6210F" w:rsidP="0019790A">
            <w:pPr>
              <w:jc w:val="center"/>
              <w:rPr>
                <w:rFonts w:cs="Arial"/>
                <w:b/>
                <w:bCs/>
                <w:szCs w:val="22"/>
                <w:lang w:eastAsia="it-IT"/>
              </w:rPr>
            </w:pPr>
            <w:r w:rsidRPr="0019790A">
              <w:rPr>
                <w:rFonts w:cs="Arial"/>
                <w:b/>
                <w:bCs/>
                <w:szCs w:val="22"/>
              </w:rPr>
              <w:t xml:space="preserve">4 150,00 </w:t>
            </w:r>
          </w:p>
        </w:tc>
      </w:tr>
      <w:tr w:rsidR="00E6210F" w:rsidRPr="0019790A" w14:paraId="0734DCC8" w14:textId="77777777" w:rsidTr="00B8248C">
        <w:trPr>
          <w:trHeight w:val="276"/>
          <w:jc w:val="right"/>
        </w:trPr>
        <w:tc>
          <w:tcPr>
            <w:tcW w:w="3425" w:type="dxa"/>
            <w:shd w:val="clear" w:color="auto" w:fill="FFFFFF"/>
            <w:vAlign w:val="center"/>
          </w:tcPr>
          <w:p w14:paraId="3BFA3204" w14:textId="77777777" w:rsidR="00E6210F" w:rsidRPr="0019790A" w:rsidRDefault="00E6210F" w:rsidP="0019790A">
            <w:pPr>
              <w:rPr>
                <w:rFonts w:cs="Arial"/>
                <w:b/>
                <w:bCs/>
                <w:szCs w:val="22"/>
              </w:rPr>
            </w:pPr>
            <w:r w:rsidRPr="0019790A">
              <w:rPr>
                <w:rFonts w:cs="Arial"/>
                <w:b/>
                <w:bCs/>
                <w:szCs w:val="22"/>
              </w:rPr>
              <w:t>по джерелах фінансування:</w:t>
            </w:r>
          </w:p>
        </w:tc>
        <w:tc>
          <w:tcPr>
            <w:tcW w:w="6794" w:type="dxa"/>
            <w:gridSpan w:val="5"/>
            <w:vAlign w:val="center"/>
          </w:tcPr>
          <w:p w14:paraId="085D87F1" w14:textId="77777777" w:rsidR="00E6210F" w:rsidRPr="0019790A" w:rsidRDefault="00E6210F" w:rsidP="0019790A">
            <w:pPr>
              <w:jc w:val="both"/>
              <w:rPr>
                <w:rFonts w:cs="Arial"/>
                <w:szCs w:val="22"/>
                <w:lang w:eastAsia="it-IT"/>
              </w:rPr>
            </w:pPr>
          </w:p>
        </w:tc>
      </w:tr>
      <w:tr w:rsidR="00E6210F" w:rsidRPr="0019790A" w14:paraId="52492436" w14:textId="77777777" w:rsidTr="00B8248C">
        <w:trPr>
          <w:trHeight w:val="240"/>
          <w:jc w:val="right"/>
        </w:trPr>
        <w:tc>
          <w:tcPr>
            <w:tcW w:w="3425" w:type="dxa"/>
            <w:shd w:val="clear" w:color="auto" w:fill="FFFFFF"/>
            <w:vAlign w:val="center"/>
          </w:tcPr>
          <w:p w14:paraId="120688ED" w14:textId="77777777" w:rsidR="00E6210F" w:rsidRPr="0019790A" w:rsidRDefault="00E6210F" w:rsidP="0019790A">
            <w:pPr>
              <w:rPr>
                <w:rFonts w:cs="Arial"/>
                <w:b/>
                <w:bCs/>
                <w:szCs w:val="22"/>
              </w:rPr>
            </w:pPr>
            <w:r w:rsidRPr="0019790A">
              <w:rPr>
                <w:rFonts w:cs="Arial"/>
                <w:szCs w:val="22"/>
              </w:rPr>
              <w:t>- державний бюджет</w:t>
            </w:r>
          </w:p>
        </w:tc>
        <w:tc>
          <w:tcPr>
            <w:tcW w:w="1254" w:type="dxa"/>
            <w:vAlign w:val="center"/>
          </w:tcPr>
          <w:p w14:paraId="1FBF9C47" w14:textId="77777777" w:rsidR="00E6210F" w:rsidRPr="0019790A" w:rsidRDefault="00E6210F" w:rsidP="0019790A">
            <w:pPr>
              <w:jc w:val="both"/>
              <w:rPr>
                <w:rFonts w:cs="Arial"/>
                <w:szCs w:val="22"/>
                <w:lang w:eastAsia="it-IT"/>
              </w:rPr>
            </w:pPr>
          </w:p>
        </w:tc>
        <w:tc>
          <w:tcPr>
            <w:tcW w:w="1275" w:type="dxa"/>
            <w:vAlign w:val="center"/>
          </w:tcPr>
          <w:p w14:paraId="14DB21C4" w14:textId="77777777" w:rsidR="00E6210F" w:rsidRPr="0019790A" w:rsidRDefault="00E6210F" w:rsidP="0019790A">
            <w:pPr>
              <w:jc w:val="center"/>
              <w:rPr>
                <w:rFonts w:cs="Arial"/>
                <w:szCs w:val="22"/>
                <w:lang w:eastAsia="it-IT"/>
              </w:rPr>
            </w:pPr>
            <w:r w:rsidRPr="0019790A">
              <w:rPr>
                <w:rFonts w:cs="Arial"/>
                <w:szCs w:val="22"/>
                <w:lang w:eastAsia="it-IT"/>
              </w:rPr>
              <w:t>120,00</w:t>
            </w:r>
          </w:p>
        </w:tc>
        <w:tc>
          <w:tcPr>
            <w:tcW w:w="1418" w:type="dxa"/>
            <w:vAlign w:val="center"/>
          </w:tcPr>
          <w:p w14:paraId="35AB2B1B" w14:textId="77777777" w:rsidR="00E6210F" w:rsidRPr="0019790A" w:rsidRDefault="00E6210F" w:rsidP="0019790A">
            <w:pPr>
              <w:jc w:val="center"/>
              <w:rPr>
                <w:rFonts w:cs="Arial"/>
                <w:szCs w:val="22"/>
                <w:lang w:eastAsia="it-IT"/>
              </w:rPr>
            </w:pPr>
          </w:p>
        </w:tc>
        <w:tc>
          <w:tcPr>
            <w:tcW w:w="1276" w:type="dxa"/>
            <w:vAlign w:val="center"/>
          </w:tcPr>
          <w:p w14:paraId="02A1688E" w14:textId="77777777" w:rsidR="00E6210F" w:rsidRPr="0019790A" w:rsidRDefault="00E6210F" w:rsidP="0019790A">
            <w:pPr>
              <w:jc w:val="center"/>
              <w:rPr>
                <w:rFonts w:cs="Arial"/>
                <w:szCs w:val="22"/>
                <w:lang w:eastAsia="it-IT"/>
              </w:rPr>
            </w:pPr>
            <w:r w:rsidRPr="0019790A">
              <w:rPr>
                <w:rFonts w:cs="Arial"/>
                <w:szCs w:val="22"/>
                <w:lang w:eastAsia="it-IT"/>
              </w:rPr>
              <w:t>3200,00</w:t>
            </w:r>
          </w:p>
        </w:tc>
        <w:tc>
          <w:tcPr>
            <w:tcW w:w="1571" w:type="dxa"/>
            <w:vAlign w:val="center"/>
          </w:tcPr>
          <w:p w14:paraId="0534B67A" w14:textId="77777777" w:rsidR="00E6210F" w:rsidRPr="00CD6B99" w:rsidRDefault="00E6210F" w:rsidP="0019790A">
            <w:pPr>
              <w:jc w:val="center"/>
              <w:rPr>
                <w:rFonts w:cs="Arial"/>
                <w:b/>
                <w:szCs w:val="22"/>
                <w:lang w:eastAsia="it-IT"/>
              </w:rPr>
            </w:pPr>
            <w:r w:rsidRPr="00CD6B99">
              <w:rPr>
                <w:rFonts w:cs="Arial"/>
                <w:b/>
                <w:szCs w:val="22"/>
                <w:lang w:eastAsia="it-IT"/>
              </w:rPr>
              <w:t>3320,00</w:t>
            </w:r>
          </w:p>
        </w:tc>
      </w:tr>
      <w:tr w:rsidR="00E6210F" w:rsidRPr="0019790A" w14:paraId="5BFCC403" w14:textId="77777777" w:rsidTr="00B8248C">
        <w:trPr>
          <w:trHeight w:val="254"/>
          <w:jc w:val="right"/>
        </w:trPr>
        <w:tc>
          <w:tcPr>
            <w:tcW w:w="3425" w:type="dxa"/>
            <w:shd w:val="clear" w:color="auto" w:fill="FFFFFF"/>
            <w:vAlign w:val="center"/>
          </w:tcPr>
          <w:p w14:paraId="5AFF1DCC" w14:textId="77777777" w:rsidR="00E6210F" w:rsidRPr="0019790A" w:rsidRDefault="00E6210F" w:rsidP="0019790A">
            <w:pPr>
              <w:rPr>
                <w:rFonts w:cs="Arial"/>
                <w:szCs w:val="22"/>
              </w:rPr>
            </w:pPr>
            <w:r w:rsidRPr="0019790A">
              <w:rPr>
                <w:rFonts w:cs="Arial"/>
                <w:szCs w:val="22"/>
              </w:rPr>
              <w:t>- обласний бюджет</w:t>
            </w:r>
          </w:p>
        </w:tc>
        <w:tc>
          <w:tcPr>
            <w:tcW w:w="6794" w:type="dxa"/>
            <w:gridSpan w:val="5"/>
            <w:vAlign w:val="center"/>
          </w:tcPr>
          <w:p w14:paraId="08270523" w14:textId="77777777" w:rsidR="00E6210F" w:rsidRPr="0019790A" w:rsidRDefault="00E6210F" w:rsidP="0019790A">
            <w:pPr>
              <w:jc w:val="center"/>
              <w:rPr>
                <w:rFonts w:cs="Arial"/>
                <w:szCs w:val="22"/>
                <w:lang w:eastAsia="it-IT"/>
              </w:rPr>
            </w:pPr>
          </w:p>
        </w:tc>
      </w:tr>
      <w:tr w:rsidR="00E6210F" w:rsidRPr="0019790A" w14:paraId="02A777AD" w14:textId="77777777" w:rsidTr="00B8248C">
        <w:trPr>
          <w:trHeight w:val="275"/>
          <w:jc w:val="right"/>
        </w:trPr>
        <w:tc>
          <w:tcPr>
            <w:tcW w:w="3425" w:type="dxa"/>
            <w:shd w:val="clear" w:color="auto" w:fill="FFFFFF"/>
            <w:vAlign w:val="center"/>
          </w:tcPr>
          <w:p w14:paraId="0AF89F0E" w14:textId="77777777" w:rsidR="00E6210F" w:rsidRPr="0019790A" w:rsidRDefault="00E6210F" w:rsidP="0019790A">
            <w:pPr>
              <w:rPr>
                <w:rFonts w:cs="Arial"/>
                <w:szCs w:val="22"/>
              </w:rPr>
            </w:pPr>
            <w:r w:rsidRPr="0019790A">
              <w:rPr>
                <w:rFonts w:cs="Arial"/>
                <w:szCs w:val="22"/>
              </w:rPr>
              <w:t>- бюджет Жмеринської МТГ</w:t>
            </w:r>
          </w:p>
        </w:tc>
        <w:tc>
          <w:tcPr>
            <w:tcW w:w="1254" w:type="dxa"/>
            <w:vAlign w:val="center"/>
          </w:tcPr>
          <w:p w14:paraId="7EFA8824" w14:textId="77777777" w:rsidR="00E6210F" w:rsidRPr="0019790A" w:rsidRDefault="00E6210F" w:rsidP="0019790A">
            <w:pPr>
              <w:jc w:val="both"/>
              <w:rPr>
                <w:rFonts w:cs="Arial"/>
                <w:szCs w:val="22"/>
                <w:lang w:eastAsia="it-IT"/>
              </w:rPr>
            </w:pPr>
          </w:p>
        </w:tc>
        <w:tc>
          <w:tcPr>
            <w:tcW w:w="1275" w:type="dxa"/>
            <w:vAlign w:val="center"/>
          </w:tcPr>
          <w:p w14:paraId="6C45C5C9" w14:textId="77777777" w:rsidR="00E6210F" w:rsidRPr="0019790A" w:rsidRDefault="00E6210F" w:rsidP="0019790A">
            <w:pPr>
              <w:jc w:val="center"/>
              <w:rPr>
                <w:rFonts w:cs="Arial"/>
                <w:szCs w:val="22"/>
                <w:lang w:eastAsia="it-IT"/>
              </w:rPr>
            </w:pPr>
            <w:r w:rsidRPr="0019790A">
              <w:rPr>
                <w:rFonts w:cs="Arial"/>
                <w:szCs w:val="22"/>
                <w:lang w:eastAsia="it-IT"/>
              </w:rPr>
              <w:t>30,00</w:t>
            </w:r>
          </w:p>
        </w:tc>
        <w:tc>
          <w:tcPr>
            <w:tcW w:w="1418" w:type="dxa"/>
            <w:vAlign w:val="center"/>
          </w:tcPr>
          <w:p w14:paraId="4BC1A1D6" w14:textId="77777777" w:rsidR="00E6210F" w:rsidRPr="0019790A" w:rsidRDefault="00E6210F" w:rsidP="0019790A">
            <w:pPr>
              <w:jc w:val="center"/>
              <w:rPr>
                <w:rFonts w:cs="Arial"/>
                <w:szCs w:val="22"/>
                <w:lang w:eastAsia="it-IT"/>
              </w:rPr>
            </w:pPr>
          </w:p>
        </w:tc>
        <w:tc>
          <w:tcPr>
            <w:tcW w:w="1276" w:type="dxa"/>
            <w:vAlign w:val="center"/>
          </w:tcPr>
          <w:p w14:paraId="5E6A6548" w14:textId="77777777" w:rsidR="00E6210F" w:rsidRPr="0019790A" w:rsidRDefault="00E6210F" w:rsidP="0019790A">
            <w:pPr>
              <w:jc w:val="center"/>
              <w:rPr>
                <w:rFonts w:cs="Arial"/>
                <w:szCs w:val="22"/>
                <w:lang w:eastAsia="it-IT"/>
              </w:rPr>
            </w:pPr>
            <w:r w:rsidRPr="0019790A">
              <w:rPr>
                <w:rFonts w:cs="Arial"/>
                <w:szCs w:val="22"/>
                <w:lang w:eastAsia="it-IT"/>
              </w:rPr>
              <w:t>800,00</w:t>
            </w:r>
          </w:p>
        </w:tc>
        <w:tc>
          <w:tcPr>
            <w:tcW w:w="1571" w:type="dxa"/>
            <w:vAlign w:val="center"/>
          </w:tcPr>
          <w:p w14:paraId="32BC737E" w14:textId="77777777" w:rsidR="00E6210F" w:rsidRPr="00CD6B99" w:rsidRDefault="00E6210F" w:rsidP="0019790A">
            <w:pPr>
              <w:jc w:val="center"/>
              <w:rPr>
                <w:rFonts w:cs="Arial"/>
                <w:b/>
                <w:szCs w:val="22"/>
                <w:lang w:eastAsia="it-IT"/>
              </w:rPr>
            </w:pPr>
            <w:r w:rsidRPr="00CD6B99">
              <w:rPr>
                <w:rFonts w:cs="Arial"/>
                <w:b/>
                <w:szCs w:val="22"/>
                <w:lang w:eastAsia="it-IT"/>
              </w:rPr>
              <w:t>830,00</w:t>
            </w:r>
          </w:p>
        </w:tc>
      </w:tr>
      <w:tr w:rsidR="00E6210F" w:rsidRPr="0019790A" w14:paraId="635ECA10" w14:textId="77777777" w:rsidTr="00B8248C">
        <w:trPr>
          <w:trHeight w:val="226"/>
          <w:jc w:val="right"/>
        </w:trPr>
        <w:tc>
          <w:tcPr>
            <w:tcW w:w="3425" w:type="dxa"/>
            <w:shd w:val="clear" w:color="auto" w:fill="FFFFFF"/>
            <w:vAlign w:val="center"/>
          </w:tcPr>
          <w:p w14:paraId="6DA6E596" w14:textId="77777777" w:rsidR="00E6210F" w:rsidRPr="0019790A" w:rsidRDefault="00E6210F" w:rsidP="0019790A">
            <w:pPr>
              <w:rPr>
                <w:rFonts w:cs="Arial"/>
                <w:szCs w:val="22"/>
              </w:rPr>
            </w:pPr>
            <w:r w:rsidRPr="0019790A">
              <w:rPr>
                <w:rFonts w:cs="Arial"/>
                <w:szCs w:val="22"/>
              </w:rPr>
              <w:t>- інші джерела фінансування</w:t>
            </w:r>
          </w:p>
        </w:tc>
        <w:tc>
          <w:tcPr>
            <w:tcW w:w="6794" w:type="dxa"/>
            <w:gridSpan w:val="5"/>
            <w:vAlign w:val="center"/>
          </w:tcPr>
          <w:p w14:paraId="36C29F1C" w14:textId="77777777" w:rsidR="00E6210F" w:rsidRPr="0019790A" w:rsidRDefault="00E6210F" w:rsidP="0019790A">
            <w:pPr>
              <w:jc w:val="both"/>
              <w:rPr>
                <w:rFonts w:cs="Arial"/>
                <w:szCs w:val="22"/>
                <w:lang w:eastAsia="it-IT"/>
              </w:rPr>
            </w:pPr>
          </w:p>
        </w:tc>
      </w:tr>
      <w:tr w:rsidR="00E6210F" w:rsidRPr="0019790A" w14:paraId="428DF147" w14:textId="77777777" w:rsidTr="00B8248C">
        <w:trPr>
          <w:jc w:val="right"/>
        </w:trPr>
        <w:tc>
          <w:tcPr>
            <w:tcW w:w="3425" w:type="dxa"/>
            <w:shd w:val="clear" w:color="auto" w:fill="FFFFFF"/>
            <w:vAlign w:val="center"/>
          </w:tcPr>
          <w:p w14:paraId="467AC04C" w14:textId="77777777" w:rsidR="00E6210F" w:rsidRPr="0019790A" w:rsidRDefault="00E6210F" w:rsidP="0019790A">
            <w:pPr>
              <w:rPr>
                <w:rFonts w:cs="Arial"/>
                <w:b/>
                <w:bCs/>
                <w:szCs w:val="22"/>
              </w:rPr>
            </w:pPr>
            <w:r w:rsidRPr="0019790A">
              <w:rPr>
                <w:rFonts w:cs="Arial"/>
                <w:b/>
                <w:szCs w:val="22"/>
              </w:rPr>
              <w:t>Відповідальний виконавець проєкту:</w:t>
            </w:r>
          </w:p>
        </w:tc>
        <w:tc>
          <w:tcPr>
            <w:tcW w:w="6794" w:type="dxa"/>
            <w:gridSpan w:val="5"/>
            <w:vAlign w:val="center"/>
          </w:tcPr>
          <w:p w14:paraId="6E300071" w14:textId="77777777" w:rsidR="00E6210F" w:rsidRPr="0019790A" w:rsidRDefault="00E6210F" w:rsidP="0019790A">
            <w:pPr>
              <w:jc w:val="both"/>
              <w:rPr>
                <w:rFonts w:cs="Arial"/>
                <w:szCs w:val="22"/>
                <w:lang w:eastAsia="it-IT"/>
              </w:rPr>
            </w:pPr>
            <w:r w:rsidRPr="0019790A">
              <w:rPr>
                <w:rFonts w:cs="Arial"/>
                <w:szCs w:val="22"/>
                <w:lang w:eastAsia="it-IT"/>
              </w:rPr>
              <w:t>Управління ЖКГ Жмеринської міської ради, Управління освіти Жмеринської міської ради, КЗ «Жмеринський ліцей №3»</w:t>
            </w:r>
          </w:p>
        </w:tc>
      </w:tr>
      <w:tr w:rsidR="00E6210F" w:rsidRPr="0019790A" w14:paraId="6BA72121" w14:textId="77777777" w:rsidTr="00B8248C">
        <w:trPr>
          <w:jc w:val="right"/>
        </w:trPr>
        <w:tc>
          <w:tcPr>
            <w:tcW w:w="3425" w:type="dxa"/>
            <w:shd w:val="clear" w:color="auto" w:fill="FFFFFF"/>
            <w:vAlign w:val="center"/>
          </w:tcPr>
          <w:p w14:paraId="5A6DFEF1" w14:textId="77777777" w:rsidR="00E6210F" w:rsidRPr="0019790A" w:rsidRDefault="00E6210F" w:rsidP="0019790A">
            <w:pPr>
              <w:rPr>
                <w:rFonts w:cs="Arial"/>
                <w:b/>
                <w:bCs/>
                <w:szCs w:val="22"/>
              </w:rPr>
            </w:pPr>
            <w:r w:rsidRPr="0019790A">
              <w:rPr>
                <w:rFonts w:cs="Arial"/>
                <w:b/>
                <w:bCs/>
                <w:szCs w:val="22"/>
              </w:rPr>
              <w:t>Інше:</w:t>
            </w:r>
          </w:p>
        </w:tc>
        <w:tc>
          <w:tcPr>
            <w:tcW w:w="6794" w:type="dxa"/>
            <w:gridSpan w:val="5"/>
            <w:vAlign w:val="center"/>
          </w:tcPr>
          <w:p w14:paraId="48DA4EB3" w14:textId="77777777" w:rsidR="00E6210F" w:rsidRPr="0019790A" w:rsidRDefault="00E6210F" w:rsidP="0019790A">
            <w:pPr>
              <w:rPr>
                <w:rFonts w:cs="Arial"/>
                <w:szCs w:val="22"/>
                <w:lang w:eastAsia="it-IT"/>
              </w:rPr>
            </w:pPr>
          </w:p>
          <w:p w14:paraId="7A09F91F" w14:textId="77777777" w:rsidR="00E6210F" w:rsidRPr="0019790A" w:rsidRDefault="00E6210F" w:rsidP="0019790A">
            <w:pPr>
              <w:rPr>
                <w:rFonts w:cs="Arial"/>
                <w:szCs w:val="22"/>
                <w:lang w:eastAsia="it-IT"/>
              </w:rPr>
            </w:pPr>
          </w:p>
        </w:tc>
      </w:tr>
    </w:tbl>
    <w:p w14:paraId="05AEED65" w14:textId="77777777" w:rsidR="00E6210F" w:rsidRPr="0019790A" w:rsidRDefault="00E6210F" w:rsidP="0019790A">
      <w:pPr>
        <w:rPr>
          <w:rFonts w:cs="Arial"/>
          <w:szCs w:val="22"/>
        </w:rPr>
      </w:pPr>
    </w:p>
    <w:p w14:paraId="4C516DBF" w14:textId="77777777" w:rsidR="005145BD" w:rsidRPr="0019790A" w:rsidRDefault="005145BD" w:rsidP="0019790A">
      <w:pPr>
        <w:jc w:val="center"/>
        <w:rPr>
          <w:rFonts w:cs="Arial"/>
          <w:b/>
          <w:color w:val="000000"/>
          <w:szCs w:val="22"/>
        </w:rPr>
      </w:pPr>
      <w:r w:rsidRPr="0019790A">
        <w:rPr>
          <w:rFonts w:cs="Arial"/>
          <w:b/>
          <w:color w:val="000000"/>
          <w:szCs w:val="22"/>
        </w:rPr>
        <w:t xml:space="preserve">Форма технічного завдання на проєкт місцевого розвитку </w:t>
      </w:r>
    </w:p>
    <w:p w14:paraId="6AEC12AC" w14:textId="77777777" w:rsidR="005145BD" w:rsidRPr="0019790A" w:rsidRDefault="005145BD" w:rsidP="0019790A">
      <w:pPr>
        <w:jc w:val="center"/>
        <w:rPr>
          <w:rFonts w:cs="Arial"/>
          <w:b/>
          <w:color w:val="000000"/>
          <w:szCs w:val="22"/>
        </w:rPr>
      </w:pPr>
      <w:r w:rsidRPr="0019790A">
        <w:rPr>
          <w:rFonts w:cs="Arial"/>
          <w:b/>
          <w:color w:val="000000"/>
          <w:szCs w:val="22"/>
        </w:rPr>
        <w:t>до Плану заходів з реалізації Стратегії</w:t>
      </w:r>
    </w:p>
    <w:p w14:paraId="7D954BF6" w14:textId="77777777" w:rsidR="005145BD" w:rsidRPr="0019790A" w:rsidRDefault="005145BD"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1275"/>
        <w:gridCol w:w="1418"/>
        <w:gridCol w:w="1276"/>
        <w:gridCol w:w="1571"/>
      </w:tblGrid>
      <w:tr w:rsidR="005145BD" w:rsidRPr="0019790A" w14:paraId="75636807" w14:textId="77777777" w:rsidTr="00B8248C">
        <w:trPr>
          <w:jc w:val="right"/>
        </w:trPr>
        <w:tc>
          <w:tcPr>
            <w:tcW w:w="3425" w:type="dxa"/>
            <w:vAlign w:val="center"/>
          </w:tcPr>
          <w:p w14:paraId="639029C1" w14:textId="77777777" w:rsidR="005145BD" w:rsidRPr="0019790A" w:rsidRDefault="005145BD" w:rsidP="0019790A">
            <w:pPr>
              <w:rPr>
                <w:rFonts w:cs="Arial"/>
                <w:b/>
                <w:bCs/>
                <w:color w:val="000000"/>
                <w:szCs w:val="22"/>
              </w:rPr>
            </w:pPr>
            <w:r w:rsidRPr="0019790A">
              <w:rPr>
                <w:rFonts w:cs="Arial"/>
                <w:b/>
                <w:bCs/>
                <w:color w:val="000000"/>
                <w:szCs w:val="22"/>
              </w:rPr>
              <w:t>Назва проєкту:</w:t>
            </w:r>
          </w:p>
        </w:tc>
        <w:tc>
          <w:tcPr>
            <w:tcW w:w="6794" w:type="dxa"/>
            <w:gridSpan w:val="5"/>
          </w:tcPr>
          <w:p w14:paraId="626C7222" w14:textId="153F8B81" w:rsidR="005145BD" w:rsidRPr="0019790A" w:rsidRDefault="005145BD" w:rsidP="00CD6B99">
            <w:pPr>
              <w:jc w:val="both"/>
              <w:rPr>
                <w:rFonts w:cs="Arial"/>
                <w:b/>
                <w:szCs w:val="22"/>
              </w:rPr>
            </w:pPr>
            <w:r w:rsidRPr="0019790A">
              <w:rPr>
                <w:rFonts w:cs="Arial"/>
                <w:b/>
                <w:szCs w:val="22"/>
              </w:rPr>
              <w:t xml:space="preserve">Облаштування сучасної систем пожежної безпеки в КЗ «Жмеринський ліцей № 6» </w:t>
            </w:r>
          </w:p>
        </w:tc>
      </w:tr>
      <w:tr w:rsidR="005145BD" w:rsidRPr="0019790A" w14:paraId="4D30D1BC" w14:textId="77777777" w:rsidTr="00B8248C">
        <w:trPr>
          <w:jc w:val="right"/>
        </w:trPr>
        <w:tc>
          <w:tcPr>
            <w:tcW w:w="3425" w:type="dxa"/>
          </w:tcPr>
          <w:p w14:paraId="019AC10B" w14:textId="77777777" w:rsidR="005145BD" w:rsidRPr="0019790A" w:rsidRDefault="005145BD"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28EC7713" w14:textId="77777777" w:rsidR="005145BD" w:rsidRPr="0019790A" w:rsidRDefault="005145BD"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5"/>
          </w:tcPr>
          <w:p w14:paraId="12A0D099" w14:textId="77777777" w:rsidR="005145BD" w:rsidRPr="0019790A" w:rsidRDefault="005145BD" w:rsidP="0019790A">
            <w:pPr>
              <w:rPr>
                <w:rFonts w:cs="Arial"/>
                <w:szCs w:val="22"/>
                <w:lang w:eastAsia="it-IT"/>
              </w:rPr>
            </w:pPr>
            <w:r w:rsidRPr="0019790A">
              <w:rPr>
                <w:rFonts w:cs="Arial"/>
                <w:szCs w:val="22"/>
                <w:lang w:eastAsia="it-IT"/>
              </w:rPr>
              <w:t>Управління освіти Жмеринської міської ради</w:t>
            </w:r>
          </w:p>
          <w:p w14:paraId="3E6F4181" w14:textId="77777777" w:rsidR="005145BD" w:rsidRPr="0019790A" w:rsidRDefault="005145BD" w:rsidP="0019790A">
            <w:pPr>
              <w:rPr>
                <w:rFonts w:cs="Arial"/>
                <w:szCs w:val="22"/>
                <w:lang w:eastAsia="it-IT"/>
              </w:rPr>
            </w:pPr>
            <w:r w:rsidRPr="0019790A">
              <w:rPr>
                <w:rFonts w:eastAsia="Arial" w:cs="Arial"/>
                <w:szCs w:val="22"/>
                <w:shd w:val="clear" w:color="auto" w:fill="FFFFFF"/>
              </w:rPr>
              <w:t>КЗ «Жмеринський ліцей №6»</w:t>
            </w:r>
          </w:p>
        </w:tc>
      </w:tr>
      <w:tr w:rsidR="005145BD" w:rsidRPr="0019790A" w14:paraId="5EFDD97E" w14:textId="77777777" w:rsidTr="00B8248C">
        <w:trPr>
          <w:jc w:val="right"/>
        </w:trPr>
        <w:tc>
          <w:tcPr>
            <w:tcW w:w="3425" w:type="dxa"/>
          </w:tcPr>
          <w:p w14:paraId="64EAEF9D" w14:textId="77777777" w:rsidR="005145BD" w:rsidRPr="0019790A" w:rsidRDefault="005145BD" w:rsidP="0019790A">
            <w:pPr>
              <w:rPr>
                <w:rFonts w:cs="Arial"/>
                <w:b/>
                <w:bCs/>
                <w:szCs w:val="22"/>
              </w:rPr>
            </w:pPr>
            <w:r w:rsidRPr="0019790A">
              <w:rPr>
                <w:rFonts w:cs="Arial"/>
                <w:szCs w:val="22"/>
                <w:lang w:eastAsia="it-IT"/>
              </w:rPr>
              <w:t>Прізвище Ім’я по-батькові:</w:t>
            </w:r>
          </w:p>
        </w:tc>
        <w:tc>
          <w:tcPr>
            <w:tcW w:w="6794" w:type="dxa"/>
            <w:gridSpan w:val="5"/>
          </w:tcPr>
          <w:p w14:paraId="23F73D78" w14:textId="77777777" w:rsidR="005145BD" w:rsidRPr="0019790A" w:rsidRDefault="005145BD" w:rsidP="0019790A">
            <w:pPr>
              <w:pStyle w:val="TableParagraph"/>
              <w:ind w:left="0"/>
              <w:rPr>
                <w:rFonts w:ascii="Arial" w:hAnsi="Arial" w:cs="Arial"/>
              </w:rPr>
            </w:pPr>
            <w:r w:rsidRPr="0019790A">
              <w:rPr>
                <w:rFonts w:ascii="Arial" w:hAnsi="Arial" w:cs="Arial"/>
              </w:rPr>
              <w:t>Твердохліб Аліна Петрівна</w:t>
            </w:r>
          </w:p>
        </w:tc>
      </w:tr>
      <w:tr w:rsidR="005145BD" w:rsidRPr="0019790A" w14:paraId="2F7077CE" w14:textId="77777777" w:rsidTr="00B8248C">
        <w:trPr>
          <w:jc w:val="right"/>
        </w:trPr>
        <w:tc>
          <w:tcPr>
            <w:tcW w:w="3425" w:type="dxa"/>
          </w:tcPr>
          <w:p w14:paraId="4B8D99C1" w14:textId="77777777" w:rsidR="005145BD" w:rsidRPr="0019790A" w:rsidRDefault="005145BD" w:rsidP="0019790A">
            <w:pPr>
              <w:rPr>
                <w:rFonts w:cs="Arial"/>
                <w:b/>
                <w:bCs/>
                <w:szCs w:val="22"/>
              </w:rPr>
            </w:pPr>
            <w:r w:rsidRPr="0019790A">
              <w:rPr>
                <w:rFonts w:cs="Arial"/>
                <w:szCs w:val="22"/>
                <w:lang w:eastAsia="it-IT"/>
              </w:rPr>
              <w:t>Телефон (мобільний):</w:t>
            </w:r>
          </w:p>
        </w:tc>
        <w:tc>
          <w:tcPr>
            <w:tcW w:w="6794" w:type="dxa"/>
            <w:gridSpan w:val="5"/>
          </w:tcPr>
          <w:p w14:paraId="125058EF" w14:textId="77777777" w:rsidR="005145BD" w:rsidRPr="0019790A" w:rsidRDefault="005145BD" w:rsidP="0019790A">
            <w:pPr>
              <w:pStyle w:val="TableParagraph"/>
              <w:ind w:left="66"/>
              <w:rPr>
                <w:rFonts w:ascii="Arial" w:hAnsi="Arial" w:cs="Arial"/>
              </w:rPr>
            </w:pPr>
            <w:r w:rsidRPr="0019790A">
              <w:rPr>
                <w:rFonts w:ascii="Arial" w:hAnsi="Arial" w:cs="Arial"/>
                <w:spacing w:val="-2"/>
              </w:rPr>
              <w:t>+380 (67) 895 55 75</w:t>
            </w:r>
          </w:p>
        </w:tc>
      </w:tr>
      <w:tr w:rsidR="005145BD" w:rsidRPr="0019790A" w14:paraId="6E1004F0" w14:textId="77777777" w:rsidTr="00B8248C">
        <w:trPr>
          <w:jc w:val="right"/>
        </w:trPr>
        <w:tc>
          <w:tcPr>
            <w:tcW w:w="3425" w:type="dxa"/>
          </w:tcPr>
          <w:p w14:paraId="08B0EF68" w14:textId="77777777" w:rsidR="005145BD" w:rsidRPr="0019790A" w:rsidRDefault="005145BD" w:rsidP="0019790A">
            <w:pPr>
              <w:rPr>
                <w:rFonts w:cs="Arial"/>
                <w:b/>
                <w:bCs/>
                <w:szCs w:val="22"/>
              </w:rPr>
            </w:pPr>
            <w:r w:rsidRPr="0019790A">
              <w:rPr>
                <w:rFonts w:cs="Arial"/>
                <w:szCs w:val="22"/>
                <w:lang w:eastAsia="it-IT"/>
              </w:rPr>
              <w:t>Електронна адреса:</w:t>
            </w:r>
          </w:p>
        </w:tc>
        <w:tc>
          <w:tcPr>
            <w:tcW w:w="6794" w:type="dxa"/>
            <w:gridSpan w:val="5"/>
          </w:tcPr>
          <w:p w14:paraId="06DD2CE5" w14:textId="77777777" w:rsidR="005145BD" w:rsidRPr="0019790A" w:rsidRDefault="005145BD" w:rsidP="0019790A">
            <w:pPr>
              <w:pStyle w:val="TableParagraph"/>
              <w:ind w:left="66"/>
              <w:rPr>
                <w:rFonts w:ascii="Arial" w:hAnsi="Arial" w:cs="Arial"/>
                <w:b/>
                <w:color w:val="0070C0"/>
              </w:rPr>
            </w:pPr>
            <w:r w:rsidRPr="0019790A">
              <w:rPr>
                <w:rFonts w:ascii="Arial" w:hAnsi="Arial" w:cs="Arial"/>
                <w:color w:val="0070C0"/>
              </w:rPr>
              <w:t xml:space="preserve"> </w:t>
            </w:r>
            <w:hyperlink r:id="rId114" w:history="1">
              <w:r w:rsidRPr="0019790A">
                <w:rPr>
                  <w:rStyle w:val="af0"/>
                  <w:rFonts w:ascii="Arial" w:hAnsi="Arial" w:cs="Arial"/>
                  <w:noProof w:val="0"/>
                  <w:spacing w:val="5"/>
                  <w:sz w:val="22"/>
                  <w:szCs w:val="22"/>
                </w:rPr>
                <w:t>uposv.zmr@gmail.com</w:t>
              </w:r>
            </w:hyperlink>
          </w:p>
        </w:tc>
      </w:tr>
      <w:tr w:rsidR="005145BD" w:rsidRPr="0019790A" w14:paraId="46A2E52C" w14:textId="77777777" w:rsidTr="00B8248C">
        <w:trPr>
          <w:jc w:val="right"/>
        </w:trPr>
        <w:tc>
          <w:tcPr>
            <w:tcW w:w="3425" w:type="dxa"/>
            <w:vAlign w:val="center"/>
          </w:tcPr>
          <w:p w14:paraId="779A4A6B" w14:textId="77777777" w:rsidR="005145BD" w:rsidRPr="0019790A" w:rsidRDefault="005145BD" w:rsidP="0019790A">
            <w:pPr>
              <w:pStyle w:val="6"/>
              <w:spacing w:before="0" w:after="0"/>
              <w:rPr>
                <w:rFonts w:ascii="Arial" w:hAnsi="Arial" w:cs="Arial"/>
                <w:color w:val="000000"/>
                <w:lang w:val="uk-UA"/>
              </w:rPr>
            </w:pPr>
            <w:r w:rsidRPr="0019790A">
              <w:rPr>
                <w:rFonts w:ascii="Arial" w:hAnsi="Arial" w:cs="Arial"/>
                <w:color w:val="000000"/>
                <w:lang w:val="uk-UA"/>
              </w:rPr>
              <w:t>Номер і назва завдання з Стратегії</w:t>
            </w:r>
            <w:r w:rsidRPr="0019790A">
              <w:rPr>
                <w:rFonts w:ascii="Arial" w:hAnsi="Arial" w:cs="Arial"/>
                <w:lang w:val="uk-UA" w:eastAsia="it-IT"/>
              </w:rPr>
              <w:t xml:space="preserve"> </w:t>
            </w:r>
            <w:r w:rsidRPr="0019790A">
              <w:rPr>
                <w:rFonts w:ascii="Arial" w:hAnsi="Arial" w:cs="Arial"/>
                <w:color w:val="000000"/>
                <w:lang w:val="uk-UA"/>
              </w:rPr>
              <w:t>розвитку Жмеринської міської територіальної громади,  якому відповідає проєкт:</w:t>
            </w:r>
          </w:p>
        </w:tc>
        <w:tc>
          <w:tcPr>
            <w:tcW w:w="6794" w:type="dxa"/>
            <w:gridSpan w:val="5"/>
          </w:tcPr>
          <w:p w14:paraId="7525E5FA" w14:textId="77777777" w:rsidR="005145BD" w:rsidRPr="0019790A" w:rsidRDefault="005145BD" w:rsidP="0019790A">
            <w:pPr>
              <w:pBdr>
                <w:left w:val="single" w:sz="18" w:space="4" w:color="auto"/>
              </w:pBdr>
              <w:jc w:val="both"/>
              <w:rPr>
                <w:rFonts w:cs="Arial"/>
                <w:szCs w:val="22"/>
              </w:rPr>
            </w:pPr>
            <w:r w:rsidRPr="0019790A">
              <w:rPr>
                <w:rFonts w:cs="Arial"/>
                <w:szCs w:val="22"/>
              </w:rPr>
              <w:t>С.1.1.2. Розвиток освітньої інфраструктури територіальної громади відповідно до вимог час</w:t>
            </w:r>
          </w:p>
          <w:p w14:paraId="49F49271" w14:textId="77777777" w:rsidR="005145BD" w:rsidRPr="0019790A" w:rsidRDefault="005145BD" w:rsidP="0019790A">
            <w:pPr>
              <w:pBdr>
                <w:left w:val="single" w:sz="18" w:space="4" w:color="auto"/>
              </w:pBdr>
              <w:rPr>
                <w:rFonts w:cs="Arial"/>
                <w:szCs w:val="22"/>
                <w:lang w:eastAsia="it-IT"/>
              </w:rPr>
            </w:pPr>
            <w:r w:rsidRPr="0019790A">
              <w:rPr>
                <w:rFonts w:cs="Arial"/>
                <w:szCs w:val="22"/>
              </w:rPr>
              <w:t>С.1.2.1. Підвищення рівня громадської безпеки в закладах освіти.</w:t>
            </w:r>
          </w:p>
        </w:tc>
      </w:tr>
      <w:tr w:rsidR="005145BD" w:rsidRPr="0019790A" w14:paraId="12C5EB9B" w14:textId="77777777" w:rsidTr="00B8248C">
        <w:trPr>
          <w:jc w:val="right"/>
        </w:trPr>
        <w:tc>
          <w:tcPr>
            <w:tcW w:w="3425" w:type="dxa"/>
            <w:vAlign w:val="center"/>
          </w:tcPr>
          <w:p w14:paraId="723EA6F1" w14:textId="77777777" w:rsidR="005145BD" w:rsidRPr="0019790A" w:rsidRDefault="005145BD" w:rsidP="0019790A">
            <w:pPr>
              <w:rPr>
                <w:rFonts w:cs="Arial"/>
                <w:b/>
                <w:bCs/>
                <w:color w:val="000000"/>
                <w:szCs w:val="22"/>
              </w:rPr>
            </w:pPr>
            <w:r w:rsidRPr="0019790A">
              <w:rPr>
                <w:rFonts w:cs="Arial"/>
                <w:b/>
                <w:bCs/>
                <w:color w:val="000000"/>
                <w:szCs w:val="22"/>
              </w:rPr>
              <w:t>Мета проєкту:</w:t>
            </w:r>
          </w:p>
        </w:tc>
        <w:tc>
          <w:tcPr>
            <w:tcW w:w="6794" w:type="dxa"/>
            <w:gridSpan w:val="5"/>
          </w:tcPr>
          <w:p w14:paraId="68976336" w14:textId="77777777" w:rsidR="005145BD" w:rsidRPr="0019790A" w:rsidRDefault="005145BD" w:rsidP="0019790A">
            <w:pPr>
              <w:jc w:val="both"/>
              <w:rPr>
                <w:rFonts w:cs="Arial"/>
                <w:szCs w:val="22"/>
                <w:lang w:eastAsia="it-IT"/>
              </w:rPr>
            </w:pPr>
            <w:r w:rsidRPr="0019790A">
              <w:rPr>
                <w:rFonts w:cs="Arial"/>
                <w:szCs w:val="22"/>
              </w:rPr>
              <w:t>Підвищення рівня безпеки життєдіяльності учасників освітнього процесу як у звичайних умовах так і в умовах виникнення надзвичайних ситуацій</w:t>
            </w:r>
            <w:r w:rsidRPr="0019790A">
              <w:rPr>
                <w:rFonts w:cs="Arial"/>
                <w:iCs/>
                <w:szCs w:val="22"/>
              </w:rPr>
              <w:t>.</w:t>
            </w:r>
          </w:p>
        </w:tc>
      </w:tr>
      <w:tr w:rsidR="005145BD" w:rsidRPr="0019790A" w14:paraId="6BF17EDD" w14:textId="77777777" w:rsidTr="00B8248C">
        <w:trPr>
          <w:jc w:val="right"/>
        </w:trPr>
        <w:tc>
          <w:tcPr>
            <w:tcW w:w="3425" w:type="dxa"/>
            <w:vAlign w:val="center"/>
          </w:tcPr>
          <w:p w14:paraId="4DEC5CBE" w14:textId="77777777" w:rsidR="005145BD" w:rsidRPr="0019790A" w:rsidRDefault="005145BD" w:rsidP="0019790A">
            <w:pPr>
              <w:rPr>
                <w:rFonts w:cs="Arial"/>
                <w:b/>
                <w:bCs/>
                <w:color w:val="000000"/>
                <w:szCs w:val="22"/>
              </w:rPr>
            </w:pPr>
            <w:r w:rsidRPr="0019790A">
              <w:rPr>
                <w:rFonts w:cs="Arial"/>
                <w:b/>
                <w:bCs/>
                <w:color w:val="000000"/>
                <w:szCs w:val="22"/>
              </w:rPr>
              <w:t>Цілі проєкту:</w:t>
            </w:r>
          </w:p>
        </w:tc>
        <w:tc>
          <w:tcPr>
            <w:tcW w:w="6794" w:type="dxa"/>
            <w:gridSpan w:val="5"/>
          </w:tcPr>
          <w:p w14:paraId="7FAED124" w14:textId="77777777" w:rsidR="005145BD" w:rsidRPr="0019790A" w:rsidRDefault="005145BD" w:rsidP="0019790A">
            <w:pPr>
              <w:jc w:val="both"/>
              <w:rPr>
                <w:rFonts w:cs="Arial"/>
                <w:color w:val="000000"/>
                <w:szCs w:val="22"/>
                <w:lang w:eastAsia="uk-UA"/>
              </w:rPr>
            </w:pPr>
            <w:r w:rsidRPr="0019790A">
              <w:rPr>
                <w:rFonts w:cs="Arial"/>
                <w:szCs w:val="22"/>
              </w:rPr>
              <w:t xml:space="preserve">     Навчальні</w:t>
            </w:r>
            <w:r w:rsidRPr="0019790A">
              <w:rPr>
                <w:rFonts w:cs="Arial"/>
                <w:color w:val="000000"/>
                <w:szCs w:val="22"/>
                <w:lang w:eastAsia="uk-UA"/>
              </w:rPr>
              <w:t xml:space="preserve"> та інші приміщення закладу освіти укомплектовані з дотриманням усіх правил і вимог, </w:t>
            </w:r>
          </w:p>
          <w:p w14:paraId="709A5666" w14:textId="77777777" w:rsidR="005145BD" w:rsidRPr="0019790A" w:rsidRDefault="005145BD" w:rsidP="0019790A">
            <w:pPr>
              <w:jc w:val="both"/>
              <w:rPr>
                <w:rFonts w:cs="Arial"/>
                <w:szCs w:val="22"/>
                <w:lang w:eastAsia="it-IT"/>
              </w:rPr>
            </w:pPr>
            <w:r w:rsidRPr="0019790A">
              <w:rPr>
                <w:rFonts w:cs="Arial"/>
                <w:color w:val="000000"/>
                <w:szCs w:val="22"/>
                <w:lang w:eastAsia="uk-UA"/>
              </w:rPr>
              <w:t xml:space="preserve">    Забезпечення протипожежного захисту</w:t>
            </w:r>
            <w:r w:rsidRPr="0019790A">
              <w:rPr>
                <w:rFonts w:eastAsia="Arial" w:cs="Arial"/>
                <w:szCs w:val="22"/>
                <w:shd w:val="clear" w:color="auto" w:fill="FFFFFF"/>
              </w:rPr>
              <w:t xml:space="preserve"> КЗ «Жмеринський ліцей №6» шляхом облаштування сучасної системи пожежної безпеки</w:t>
            </w:r>
          </w:p>
        </w:tc>
      </w:tr>
      <w:tr w:rsidR="005145BD" w:rsidRPr="0019790A" w14:paraId="33DCA2F1" w14:textId="77777777" w:rsidTr="00B8248C">
        <w:trPr>
          <w:jc w:val="right"/>
        </w:trPr>
        <w:tc>
          <w:tcPr>
            <w:tcW w:w="3425" w:type="dxa"/>
            <w:vAlign w:val="center"/>
          </w:tcPr>
          <w:p w14:paraId="2A9CCF36" w14:textId="77777777" w:rsidR="005145BD" w:rsidRPr="0019790A" w:rsidRDefault="005145BD" w:rsidP="0019790A">
            <w:pPr>
              <w:autoSpaceDE w:val="0"/>
              <w:autoSpaceDN w:val="0"/>
              <w:adjustRightInd w:val="0"/>
              <w:rPr>
                <w:rFonts w:cs="Arial"/>
                <w:b/>
                <w:color w:val="000000"/>
                <w:szCs w:val="22"/>
              </w:rPr>
            </w:pPr>
            <w:r w:rsidRPr="0019790A">
              <w:rPr>
                <w:rFonts w:cs="Arial"/>
                <w:b/>
                <w:color w:val="000000"/>
                <w:szCs w:val="22"/>
              </w:rPr>
              <w:t>Територія на яку проєкт матиме вплив:</w:t>
            </w:r>
          </w:p>
        </w:tc>
        <w:tc>
          <w:tcPr>
            <w:tcW w:w="6794" w:type="dxa"/>
            <w:gridSpan w:val="5"/>
          </w:tcPr>
          <w:p w14:paraId="5CC605E2" w14:textId="77777777" w:rsidR="005145BD" w:rsidRPr="0019790A" w:rsidRDefault="005145BD" w:rsidP="0019790A">
            <w:pPr>
              <w:rPr>
                <w:rFonts w:cs="Arial"/>
                <w:szCs w:val="22"/>
                <w:lang w:eastAsia="it-IT"/>
              </w:rPr>
            </w:pPr>
            <w:r w:rsidRPr="0019790A">
              <w:rPr>
                <w:rFonts w:cs="Arial"/>
                <w:szCs w:val="22"/>
                <w:lang w:eastAsia="it-IT"/>
              </w:rPr>
              <w:t xml:space="preserve">Територія Жмеринської міської територіальної громади </w:t>
            </w:r>
          </w:p>
        </w:tc>
      </w:tr>
      <w:tr w:rsidR="005145BD" w:rsidRPr="0019790A" w14:paraId="478BE6AB" w14:textId="77777777" w:rsidTr="00B8248C">
        <w:trPr>
          <w:jc w:val="right"/>
        </w:trPr>
        <w:tc>
          <w:tcPr>
            <w:tcW w:w="3425" w:type="dxa"/>
            <w:vAlign w:val="center"/>
          </w:tcPr>
          <w:p w14:paraId="3263CA59" w14:textId="77777777" w:rsidR="005145BD" w:rsidRPr="0019790A" w:rsidRDefault="005145BD" w:rsidP="0019790A">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4" w:type="dxa"/>
            <w:gridSpan w:val="5"/>
          </w:tcPr>
          <w:p w14:paraId="39568728" w14:textId="77777777" w:rsidR="005145BD" w:rsidRPr="0019790A" w:rsidRDefault="005145BD" w:rsidP="0019790A">
            <w:pPr>
              <w:pStyle w:val="TableParagraph"/>
              <w:rPr>
                <w:rFonts w:ascii="Arial" w:hAnsi="Arial" w:cs="Arial"/>
              </w:rPr>
            </w:pPr>
            <w:r w:rsidRPr="0019790A">
              <w:rPr>
                <w:rFonts w:ascii="Arial" w:hAnsi="Arial" w:cs="Arial"/>
              </w:rPr>
              <w:t>850 здобувачів освіти, працівники закладу, батьки, відвідувачі, жителі громади.</w:t>
            </w:r>
          </w:p>
        </w:tc>
      </w:tr>
      <w:tr w:rsidR="005145BD" w:rsidRPr="0019790A" w14:paraId="1F0F27A7" w14:textId="77777777" w:rsidTr="00B8248C">
        <w:trPr>
          <w:jc w:val="right"/>
        </w:trPr>
        <w:tc>
          <w:tcPr>
            <w:tcW w:w="3425" w:type="dxa"/>
            <w:shd w:val="clear" w:color="auto" w:fill="FFFFFF"/>
            <w:vAlign w:val="center"/>
          </w:tcPr>
          <w:p w14:paraId="5D1CFF7E" w14:textId="77777777" w:rsidR="005145BD" w:rsidRPr="0019790A" w:rsidRDefault="005145BD" w:rsidP="0019790A">
            <w:pPr>
              <w:rPr>
                <w:rFonts w:cs="Arial"/>
                <w:b/>
                <w:bCs/>
                <w:color w:val="000000"/>
                <w:szCs w:val="22"/>
              </w:rPr>
            </w:pPr>
            <w:r w:rsidRPr="0019790A">
              <w:rPr>
                <w:rFonts w:cs="Arial"/>
                <w:b/>
                <w:bCs/>
                <w:color w:val="000000"/>
                <w:szCs w:val="22"/>
              </w:rPr>
              <w:t>Стислий опис проєкту:</w:t>
            </w:r>
          </w:p>
        </w:tc>
        <w:tc>
          <w:tcPr>
            <w:tcW w:w="6794" w:type="dxa"/>
            <w:gridSpan w:val="5"/>
          </w:tcPr>
          <w:p w14:paraId="3C8268A7" w14:textId="77777777" w:rsidR="005145BD" w:rsidRPr="0019790A" w:rsidRDefault="005145BD" w:rsidP="0019790A">
            <w:pPr>
              <w:jc w:val="both"/>
              <w:rPr>
                <w:rFonts w:cs="Arial"/>
                <w:color w:val="000000"/>
                <w:szCs w:val="22"/>
                <w:lang w:eastAsia="uk-UA"/>
              </w:rPr>
            </w:pPr>
            <w:r w:rsidRPr="0019790A">
              <w:rPr>
                <w:rFonts w:cs="Arial"/>
                <w:color w:val="333333"/>
                <w:szCs w:val="22"/>
                <w:shd w:val="clear" w:color="auto" w:fill="FFFFFF"/>
              </w:rPr>
              <w:t xml:space="preserve">      </w:t>
            </w:r>
            <w:r w:rsidRPr="0019790A">
              <w:rPr>
                <w:rFonts w:cs="Arial"/>
                <w:color w:val="000000"/>
                <w:szCs w:val="22"/>
                <w:lang w:eastAsia="uk-UA"/>
              </w:rPr>
              <w:t>Діти проводять у школі значну частину свого життя, не лише здобуваючи освіту й пізнаючи навколишній світ, а й щодня спілкуючись між собою, розвиваючи корисні практичні навички та розуміючи правила поведінки в суспільстві.</w:t>
            </w:r>
          </w:p>
          <w:p w14:paraId="71F5AD60" w14:textId="77777777" w:rsidR="005145BD" w:rsidRPr="0019790A" w:rsidRDefault="005145BD" w:rsidP="0019790A">
            <w:pPr>
              <w:jc w:val="both"/>
              <w:rPr>
                <w:rFonts w:cs="Arial"/>
                <w:color w:val="000000"/>
                <w:szCs w:val="22"/>
                <w:lang w:eastAsia="uk-UA"/>
              </w:rPr>
            </w:pPr>
            <w:r w:rsidRPr="0019790A">
              <w:rPr>
                <w:rFonts w:cs="Arial"/>
                <w:color w:val="000000"/>
                <w:szCs w:val="22"/>
                <w:lang w:eastAsia="uk-UA"/>
              </w:rPr>
              <w:t xml:space="preserve">      Завдання Нової української школи — не лише забезпечити їм для цього всі необхідні сучасні навчальні засоби, техніку й методи викладання, а й створити повністю безпечне навчальне середовище.</w:t>
            </w:r>
          </w:p>
          <w:p w14:paraId="79092C7D" w14:textId="77777777" w:rsidR="005145BD" w:rsidRPr="0019790A" w:rsidRDefault="005145BD" w:rsidP="0019790A">
            <w:pPr>
              <w:jc w:val="both"/>
              <w:rPr>
                <w:rFonts w:cs="Arial"/>
                <w:color w:val="000000"/>
                <w:szCs w:val="22"/>
                <w:lang w:eastAsia="uk-UA"/>
              </w:rPr>
            </w:pPr>
            <w:r w:rsidRPr="0019790A">
              <w:rPr>
                <w:rFonts w:cs="Arial"/>
                <w:color w:val="000000"/>
                <w:szCs w:val="22"/>
                <w:lang w:eastAsia="uk-UA"/>
              </w:rPr>
              <w:t>Одним із найважливіших його елементів є ефективна та дієва системи пожежної безпеки.</w:t>
            </w:r>
          </w:p>
          <w:p w14:paraId="6FFCB7E9" w14:textId="77777777" w:rsidR="005145BD" w:rsidRPr="0019790A" w:rsidRDefault="005145BD" w:rsidP="0019790A">
            <w:pPr>
              <w:jc w:val="both"/>
              <w:rPr>
                <w:rFonts w:cs="Arial"/>
                <w:color w:val="000000"/>
                <w:szCs w:val="22"/>
                <w:lang w:eastAsia="uk-UA"/>
              </w:rPr>
            </w:pPr>
            <w:r w:rsidRPr="0019790A">
              <w:rPr>
                <w:rFonts w:cs="Arial"/>
                <w:bCs/>
                <w:color w:val="000000"/>
                <w:szCs w:val="22"/>
                <w:bdr w:val="none" w:sz="0" w:space="0" w:color="auto" w:frame="1"/>
                <w:lang w:eastAsia="uk-UA"/>
              </w:rPr>
              <w:t xml:space="preserve">      Сучасна система пожежної безпеки навчального закладу</w:t>
            </w:r>
            <w:r w:rsidRPr="0019790A">
              <w:rPr>
                <w:rFonts w:cs="Arial"/>
                <w:color w:val="000000"/>
                <w:szCs w:val="22"/>
                <w:lang w:eastAsia="uk-UA"/>
              </w:rPr>
              <w:t> — це комплекс інтелектуальних продуктів і рішень, які допомагають не просто забезпечити потрібний рівень безпеки та вчасно виявити й розпізнати можливу загрозу, а й швидко та ефективно евакуювати людей у разі необхідності.</w:t>
            </w:r>
          </w:p>
          <w:p w14:paraId="4D285344" w14:textId="77777777" w:rsidR="005145BD" w:rsidRPr="0019790A" w:rsidRDefault="005145BD" w:rsidP="0019790A">
            <w:pPr>
              <w:jc w:val="both"/>
              <w:rPr>
                <w:rFonts w:cs="Arial"/>
                <w:szCs w:val="22"/>
                <w:lang w:eastAsia="it-IT"/>
              </w:rPr>
            </w:pPr>
            <w:r w:rsidRPr="0019790A">
              <w:rPr>
                <w:rFonts w:cs="Arial"/>
                <w:szCs w:val="22"/>
              </w:rPr>
              <w:t xml:space="preserve">   Реалізація проєкту сприятиме формуванню безпечного освітнього простору у закладі освіти та дозволить здійснювати постійний моніторинг пожежного стану приміщень за допомогою технічних засобів виявлення пожежі шляхом автоматичного контролю наявності первинних ознак (збільшення задимленості, підвищення температури тощо).</w:t>
            </w:r>
            <w:r w:rsidRPr="0019790A">
              <w:rPr>
                <w:rFonts w:eastAsia="Arial" w:cs="Arial"/>
                <w:szCs w:val="22"/>
                <w:shd w:val="clear" w:color="auto" w:fill="FFFFFF"/>
              </w:rPr>
              <w:t xml:space="preserve"> </w:t>
            </w:r>
            <w:r w:rsidRPr="0019790A">
              <w:rPr>
                <w:rFonts w:cs="Arial"/>
                <w:i/>
                <w:color w:val="000000"/>
                <w:szCs w:val="22"/>
              </w:rPr>
              <w:t xml:space="preserve"> </w:t>
            </w:r>
            <w:r w:rsidRPr="0019790A">
              <w:rPr>
                <w:rFonts w:eastAsia="Arial" w:cs="Arial"/>
                <w:szCs w:val="22"/>
                <w:shd w:val="clear" w:color="auto" w:fill="FFFFFF"/>
              </w:rPr>
              <w:t xml:space="preserve">  </w:t>
            </w:r>
          </w:p>
        </w:tc>
      </w:tr>
      <w:tr w:rsidR="005145BD" w:rsidRPr="0019790A" w14:paraId="698E671C" w14:textId="77777777" w:rsidTr="00B8248C">
        <w:trPr>
          <w:jc w:val="right"/>
        </w:trPr>
        <w:tc>
          <w:tcPr>
            <w:tcW w:w="3425" w:type="dxa"/>
            <w:shd w:val="clear" w:color="auto" w:fill="FFFFFF"/>
            <w:vAlign w:val="center"/>
          </w:tcPr>
          <w:p w14:paraId="2371043E" w14:textId="77777777" w:rsidR="005145BD" w:rsidRPr="0019790A" w:rsidRDefault="005145BD" w:rsidP="0019790A">
            <w:pPr>
              <w:rPr>
                <w:rFonts w:cs="Arial"/>
                <w:b/>
                <w:bCs/>
                <w:color w:val="000000"/>
                <w:szCs w:val="22"/>
              </w:rPr>
            </w:pPr>
            <w:r w:rsidRPr="0019790A">
              <w:rPr>
                <w:rFonts w:cs="Arial"/>
                <w:b/>
                <w:bCs/>
                <w:color w:val="000000"/>
                <w:szCs w:val="22"/>
              </w:rPr>
              <w:t>Основні заходи проєкту:</w:t>
            </w:r>
          </w:p>
        </w:tc>
        <w:tc>
          <w:tcPr>
            <w:tcW w:w="6794" w:type="dxa"/>
            <w:gridSpan w:val="5"/>
          </w:tcPr>
          <w:p w14:paraId="41BC7871" w14:textId="77777777" w:rsidR="005145BD" w:rsidRPr="0019790A" w:rsidRDefault="005145BD" w:rsidP="00CD6B99">
            <w:pPr>
              <w:pStyle w:val="af4"/>
              <w:numPr>
                <w:ilvl w:val="0"/>
                <w:numId w:val="30"/>
              </w:numPr>
              <w:suppressAutoHyphens w:val="0"/>
              <w:spacing w:after="0" w:line="240" w:lineRule="auto"/>
              <w:ind w:left="0" w:firstLine="281"/>
              <w:contextualSpacing/>
              <w:jc w:val="both"/>
              <w:rPr>
                <w:rFonts w:ascii="Arial" w:hAnsi="Arial" w:cs="Arial"/>
                <w:b/>
                <w:iCs/>
              </w:rPr>
            </w:pPr>
            <w:r w:rsidRPr="0019790A">
              <w:rPr>
                <w:rFonts w:ascii="Arial" w:hAnsi="Arial" w:cs="Arial"/>
                <w:lang w:eastAsia="it-IT"/>
              </w:rPr>
              <w:t>Виготовлення ПКД на в</w:t>
            </w:r>
            <w:r w:rsidRPr="0019790A">
              <w:rPr>
                <w:rFonts w:ascii="Arial" w:hAnsi="Arial" w:cs="Arial"/>
                <w:iCs/>
              </w:rPr>
              <w:t xml:space="preserve">становлення автоматичної пожежної сигналізації   </w:t>
            </w:r>
          </w:p>
          <w:p w14:paraId="7665708C" w14:textId="77777777" w:rsidR="005145BD" w:rsidRPr="0019790A" w:rsidRDefault="005145BD" w:rsidP="00CD6B99">
            <w:pPr>
              <w:pStyle w:val="af4"/>
              <w:numPr>
                <w:ilvl w:val="0"/>
                <w:numId w:val="30"/>
              </w:numPr>
              <w:suppressAutoHyphens w:val="0"/>
              <w:spacing w:after="0" w:line="240" w:lineRule="auto"/>
              <w:ind w:left="0" w:firstLine="281"/>
              <w:contextualSpacing/>
              <w:jc w:val="both"/>
              <w:rPr>
                <w:rFonts w:ascii="Arial" w:hAnsi="Arial" w:cs="Arial"/>
                <w:b/>
                <w:iCs/>
              </w:rPr>
            </w:pPr>
            <w:r w:rsidRPr="0019790A">
              <w:rPr>
                <w:rFonts w:ascii="Arial" w:hAnsi="Arial" w:cs="Arial"/>
                <w:lang w:eastAsia="it-IT"/>
              </w:rPr>
              <w:t>Проведення процедури закупівель</w:t>
            </w:r>
          </w:p>
          <w:p w14:paraId="2C9BA179" w14:textId="77777777" w:rsidR="005145BD" w:rsidRPr="0019790A" w:rsidRDefault="005145BD" w:rsidP="00CD6B99">
            <w:pPr>
              <w:pStyle w:val="af4"/>
              <w:numPr>
                <w:ilvl w:val="0"/>
                <w:numId w:val="30"/>
              </w:numPr>
              <w:suppressAutoHyphens w:val="0"/>
              <w:spacing w:after="0" w:line="240" w:lineRule="auto"/>
              <w:ind w:left="0" w:firstLine="281"/>
              <w:contextualSpacing/>
              <w:jc w:val="both"/>
              <w:rPr>
                <w:rFonts w:ascii="Arial" w:hAnsi="Arial" w:cs="Arial"/>
                <w:b/>
                <w:iCs/>
              </w:rPr>
            </w:pPr>
            <w:r w:rsidRPr="0019790A">
              <w:rPr>
                <w:rFonts w:ascii="Arial" w:hAnsi="Arial" w:cs="Arial"/>
                <w:iCs/>
              </w:rPr>
              <w:t xml:space="preserve">Здійснення робіт з встановлення автоматичної пожежної сигналізації в КЗ «Жмеринський ліцей № 6»  </w:t>
            </w:r>
          </w:p>
        </w:tc>
      </w:tr>
      <w:tr w:rsidR="005145BD" w:rsidRPr="0019790A" w14:paraId="2378762A" w14:textId="77777777" w:rsidTr="00B8248C">
        <w:trPr>
          <w:jc w:val="right"/>
        </w:trPr>
        <w:tc>
          <w:tcPr>
            <w:tcW w:w="3425" w:type="dxa"/>
            <w:shd w:val="clear" w:color="auto" w:fill="FFFFFF"/>
            <w:vAlign w:val="center"/>
          </w:tcPr>
          <w:p w14:paraId="17169A4E" w14:textId="77777777" w:rsidR="005145BD" w:rsidRPr="0019790A" w:rsidRDefault="005145BD"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794" w:type="dxa"/>
            <w:gridSpan w:val="5"/>
          </w:tcPr>
          <w:p w14:paraId="592A62D9" w14:textId="77777777" w:rsidR="005145BD" w:rsidRPr="0019790A" w:rsidRDefault="005145BD" w:rsidP="0019790A">
            <w:pPr>
              <w:widowControl w:val="0"/>
              <w:jc w:val="both"/>
              <w:rPr>
                <w:rFonts w:eastAsia="Arial" w:cs="Arial"/>
                <w:szCs w:val="22"/>
                <w:shd w:val="clear" w:color="auto" w:fill="FFFFFF"/>
              </w:rPr>
            </w:pPr>
            <w:r w:rsidRPr="0019790A">
              <w:rPr>
                <w:rFonts w:cs="Arial"/>
                <w:iCs/>
                <w:szCs w:val="22"/>
              </w:rPr>
              <w:t xml:space="preserve"> Забезпечено </w:t>
            </w:r>
            <w:r w:rsidRPr="0019790A">
              <w:rPr>
                <w:rFonts w:cs="Arial"/>
                <w:color w:val="000000"/>
                <w:szCs w:val="22"/>
                <w:lang w:eastAsia="uk-UA"/>
              </w:rPr>
              <w:t>захист учнів та співробітників навчального закладу в надзвичайних ситуаціях</w:t>
            </w:r>
            <w:r w:rsidRPr="0019790A">
              <w:rPr>
                <w:rFonts w:eastAsia="Arial" w:cs="Arial"/>
                <w:szCs w:val="22"/>
                <w:shd w:val="clear" w:color="auto" w:fill="FFFFFF"/>
              </w:rPr>
              <w:t xml:space="preserve"> </w:t>
            </w:r>
          </w:p>
          <w:p w14:paraId="4A1F07BB" w14:textId="77777777" w:rsidR="005145BD" w:rsidRPr="0019790A" w:rsidRDefault="005145BD" w:rsidP="0019790A">
            <w:pPr>
              <w:widowControl w:val="0"/>
              <w:jc w:val="both"/>
              <w:rPr>
                <w:rFonts w:cs="Arial"/>
                <w:szCs w:val="22"/>
              </w:rPr>
            </w:pPr>
            <w:r w:rsidRPr="0019790A">
              <w:rPr>
                <w:rFonts w:eastAsia="Arial" w:cs="Arial"/>
                <w:szCs w:val="22"/>
                <w:shd w:val="clear" w:color="auto" w:fill="FFFFFF"/>
              </w:rPr>
              <w:t xml:space="preserve">   Збільшення кількості закладів освіти, де створено безпечний освітній простір   </w:t>
            </w:r>
            <w:r w:rsidRPr="0019790A">
              <w:rPr>
                <w:rFonts w:cs="Arial"/>
                <w:szCs w:val="22"/>
              </w:rPr>
              <w:t xml:space="preserve">  </w:t>
            </w:r>
          </w:p>
        </w:tc>
      </w:tr>
      <w:tr w:rsidR="005145BD" w:rsidRPr="0019790A" w14:paraId="5973A049" w14:textId="77777777" w:rsidTr="00B8248C">
        <w:trPr>
          <w:jc w:val="right"/>
        </w:trPr>
        <w:tc>
          <w:tcPr>
            <w:tcW w:w="3425" w:type="dxa"/>
            <w:shd w:val="clear" w:color="auto" w:fill="FFFFFF"/>
            <w:vAlign w:val="center"/>
          </w:tcPr>
          <w:p w14:paraId="5F59EBF1" w14:textId="77777777" w:rsidR="005145BD" w:rsidRPr="0019790A" w:rsidRDefault="005145BD" w:rsidP="0019790A">
            <w:pPr>
              <w:rPr>
                <w:rFonts w:cs="Arial"/>
                <w:b/>
                <w:color w:val="000000"/>
                <w:szCs w:val="22"/>
              </w:rPr>
            </w:pPr>
            <w:r w:rsidRPr="0019790A">
              <w:rPr>
                <w:rFonts w:cs="Arial"/>
                <w:b/>
                <w:color w:val="000000"/>
                <w:szCs w:val="22"/>
              </w:rPr>
              <w:t xml:space="preserve">Період здійснення: </w:t>
            </w:r>
          </w:p>
        </w:tc>
        <w:tc>
          <w:tcPr>
            <w:tcW w:w="6794" w:type="dxa"/>
            <w:gridSpan w:val="5"/>
            <w:vAlign w:val="center"/>
          </w:tcPr>
          <w:p w14:paraId="17BD6FB8" w14:textId="77777777" w:rsidR="005145BD" w:rsidRPr="0019790A" w:rsidRDefault="005145BD" w:rsidP="0019790A">
            <w:pPr>
              <w:rPr>
                <w:rFonts w:cs="Arial"/>
                <w:color w:val="000000"/>
                <w:szCs w:val="22"/>
                <w:lang w:eastAsia="it-IT"/>
              </w:rPr>
            </w:pPr>
            <w:r w:rsidRPr="0019790A">
              <w:rPr>
                <w:rFonts w:cs="Arial"/>
                <w:b/>
                <w:color w:val="000000"/>
                <w:szCs w:val="22"/>
              </w:rPr>
              <w:t>2025 – 2028 роки:</w:t>
            </w:r>
          </w:p>
        </w:tc>
      </w:tr>
      <w:tr w:rsidR="005145BD" w:rsidRPr="0019790A" w14:paraId="6FBA312E" w14:textId="77777777" w:rsidTr="00B8248C">
        <w:trPr>
          <w:jc w:val="right"/>
        </w:trPr>
        <w:tc>
          <w:tcPr>
            <w:tcW w:w="3425" w:type="dxa"/>
            <w:vMerge w:val="restart"/>
            <w:shd w:val="clear" w:color="auto" w:fill="FFFFFF"/>
            <w:vAlign w:val="center"/>
          </w:tcPr>
          <w:p w14:paraId="43D9046F" w14:textId="77777777" w:rsidR="005145BD" w:rsidRPr="0019790A" w:rsidRDefault="005145BD" w:rsidP="0019790A">
            <w:pPr>
              <w:rPr>
                <w:rFonts w:cs="Arial"/>
                <w:b/>
                <w:bCs/>
                <w:color w:val="000000"/>
                <w:szCs w:val="22"/>
              </w:rPr>
            </w:pPr>
            <w:r w:rsidRPr="0019790A">
              <w:rPr>
                <w:rFonts w:cs="Arial"/>
                <w:b/>
                <w:bCs/>
                <w:color w:val="000000"/>
                <w:szCs w:val="22"/>
              </w:rPr>
              <w:t>Орієнтовна вартість проєкту, тис. грн., в тому числі:</w:t>
            </w:r>
          </w:p>
        </w:tc>
        <w:tc>
          <w:tcPr>
            <w:tcW w:w="1254" w:type="dxa"/>
            <w:shd w:val="clear" w:color="auto" w:fill="E6E6E6"/>
            <w:vAlign w:val="center"/>
          </w:tcPr>
          <w:p w14:paraId="778BF016" w14:textId="77777777" w:rsidR="005145BD" w:rsidRPr="0019790A" w:rsidRDefault="005145BD" w:rsidP="0019790A">
            <w:pPr>
              <w:jc w:val="center"/>
              <w:rPr>
                <w:rFonts w:cs="Arial"/>
                <w:b/>
                <w:color w:val="000000"/>
                <w:szCs w:val="22"/>
                <w:lang w:eastAsia="it-IT"/>
              </w:rPr>
            </w:pPr>
            <w:r w:rsidRPr="0019790A">
              <w:rPr>
                <w:rFonts w:cs="Arial"/>
                <w:b/>
                <w:color w:val="000000"/>
                <w:szCs w:val="22"/>
                <w:lang w:eastAsia="it-IT"/>
              </w:rPr>
              <w:t>2025</w:t>
            </w:r>
          </w:p>
        </w:tc>
        <w:tc>
          <w:tcPr>
            <w:tcW w:w="1275" w:type="dxa"/>
            <w:shd w:val="clear" w:color="auto" w:fill="E6E6E6"/>
            <w:vAlign w:val="center"/>
          </w:tcPr>
          <w:p w14:paraId="4E866D0F" w14:textId="77777777" w:rsidR="005145BD" w:rsidRPr="0019790A" w:rsidRDefault="005145BD" w:rsidP="0019790A">
            <w:pPr>
              <w:jc w:val="center"/>
              <w:rPr>
                <w:rFonts w:cs="Arial"/>
                <w:b/>
                <w:color w:val="000000"/>
                <w:szCs w:val="22"/>
                <w:lang w:eastAsia="it-IT"/>
              </w:rPr>
            </w:pPr>
            <w:r w:rsidRPr="0019790A">
              <w:rPr>
                <w:rFonts w:cs="Arial"/>
                <w:b/>
                <w:color w:val="000000"/>
                <w:szCs w:val="22"/>
                <w:lang w:eastAsia="it-IT"/>
              </w:rPr>
              <w:t>2026</w:t>
            </w:r>
          </w:p>
        </w:tc>
        <w:tc>
          <w:tcPr>
            <w:tcW w:w="1418" w:type="dxa"/>
            <w:tcBorders>
              <w:bottom w:val="single" w:sz="4" w:space="0" w:color="auto"/>
            </w:tcBorders>
            <w:shd w:val="clear" w:color="auto" w:fill="E6E6E6"/>
            <w:vAlign w:val="center"/>
          </w:tcPr>
          <w:p w14:paraId="1612B60A" w14:textId="77777777" w:rsidR="005145BD" w:rsidRPr="0019790A" w:rsidRDefault="005145BD" w:rsidP="0019790A">
            <w:pPr>
              <w:jc w:val="center"/>
              <w:rPr>
                <w:rFonts w:cs="Arial"/>
                <w:b/>
                <w:color w:val="000000"/>
                <w:szCs w:val="22"/>
                <w:lang w:eastAsia="it-IT"/>
              </w:rPr>
            </w:pPr>
            <w:r w:rsidRPr="0019790A">
              <w:rPr>
                <w:rFonts w:cs="Arial"/>
                <w:b/>
                <w:color w:val="000000"/>
                <w:szCs w:val="22"/>
                <w:lang w:eastAsia="it-IT"/>
              </w:rPr>
              <w:t>2027</w:t>
            </w:r>
          </w:p>
        </w:tc>
        <w:tc>
          <w:tcPr>
            <w:tcW w:w="1276" w:type="dxa"/>
            <w:shd w:val="clear" w:color="auto" w:fill="E6E6E6"/>
            <w:vAlign w:val="center"/>
          </w:tcPr>
          <w:p w14:paraId="66DE4C16" w14:textId="77777777" w:rsidR="005145BD" w:rsidRPr="0019790A" w:rsidRDefault="005145BD" w:rsidP="0019790A">
            <w:pPr>
              <w:jc w:val="center"/>
              <w:rPr>
                <w:rFonts w:cs="Arial"/>
                <w:b/>
                <w:color w:val="000000"/>
                <w:szCs w:val="22"/>
                <w:lang w:eastAsia="it-IT"/>
              </w:rPr>
            </w:pPr>
            <w:r w:rsidRPr="0019790A">
              <w:rPr>
                <w:rFonts w:cs="Arial"/>
                <w:b/>
                <w:color w:val="000000"/>
                <w:szCs w:val="22"/>
                <w:lang w:eastAsia="it-IT"/>
              </w:rPr>
              <w:t>2028</w:t>
            </w:r>
          </w:p>
        </w:tc>
        <w:tc>
          <w:tcPr>
            <w:tcW w:w="1571" w:type="dxa"/>
            <w:shd w:val="clear" w:color="auto" w:fill="E6E6E6"/>
            <w:vAlign w:val="center"/>
          </w:tcPr>
          <w:p w14:paraId="7919D981" w14:textId="77777777" w:rsidR="005145BD" w:rsidRPr="0019790A" w:rsidRDefault="005145BD" w:rsidP="0019790A">
            <w:pPr>
              <w:jc w:val="center"/>
              <w:rPr>
                <w:rFonts w:cs="Arial"/>
                <w:b/>
                <w:color w:val="000000"/>
                <w:szCs w:val="22"/>
                <w:lang w:eastAsia="it-IT"/>
              </w:rPr>
            </w:pPr>
            <w:r w:rsidRPr="0019790A">
              <w:rPr>
                <w:rFonts w:cs="Arial"/>
                <w:b/>
                <w:color w:val="000000"/>
                <w:szCs w:val="22"/>
                <w:lang w:eastAsia="it-IT"/>
              </w:rPr>
              <w:t>РАЗОМ</w:t>
            </w:r>
          </w:p>
        </w:tc>
      </w:tr>
      <w:tr w:rsidR="005145BD" w:rsidRPr="0019790A" w14:paraId="5211CEB6" w14:textId="77777777" w:rsidTr="00B8248C">
        <w:trPr>
          <w:jc w:val="right"/>
        </w:trPr>
        <w:tc>
          <w:tcPr>
            <w:tcW w:w="3425" w:type="dxa"/>
            <w:vMerge/>
            <w:shd w:val="clear" w:color="auto" w:fill="FFFFFF"/>
            <w:vAlign w:val="center"/>
          </w:tcPr>
          <w:p w14:paraId="54FDB3B6" w14:textId="77777777" w:rsidR="005145BD" w:rsidRPr="0019790A" w:rsidRDefault="005145BD" w:rsidP="0019790A">
            <w:pPr>
              <w:rPr>
                <w:rFonts w:cs="Arial"/>
                <w:b/>
                <w:bCs/>
                <w:color w:val="000000"/>
                <w:szCs w:val="22"/>
              </w:rPr>
            </w:pPr>
          </w:p>
        </w:tc>
        <w:tc>
          <w:tcPr>
            <w:tcW w:w="1254" w:type="dxa"/>
            <w:vAlign w:val="center"/>
          </w:tcPr>
          <w:p w14:paraId="23E42CA7" w14:textId="77777777" w:rsidR="005145BD" w:rsidRPr="0019790A" w:rsidRDefault="005145BD" w:rsidP="0019790A">
            <w:pPr>
              <w:jc w:val="center"/>
              <w:rPr>
                <w:rFonts w:cs="Arial"/>
                <w:b/>
                <w:color w:val="000000"/>
                <w:szCs w:val="22"/>
                <w:lang w:eastAsia="it-IT"/>
              </w:rPr>
            </w:pPr>
            <w:r w:rsidRPr="0019790A">
              <w:rPr>
                <w:rFonts w:cs="Arial"/>
                <w:b/>
                <w:color w:val="000000"/>
                <w:szCs w:val="22"/>
                <w:lang w:eastAsia="it-IT"/>
              </w:rPr>
              <w:t xml:space="preserve"> </w:t>
            </w:r>
          </w:p>
        </w:tc>
        <w:tc>
          <w:tcPr>
            <w:tcW w:w="1275" w:type="dxa"/>
            <w:shd w:val="clear" w:color="auto" w:fill="FFFFFF"/>
            <w:vAlign w:val="center"/>
          </w:tcPr>
          <w:p w14:paraId="0391CCDA" w14:textId="77777777" w:rsidR="005145BD" w:rsidRPr="0019790A" w:rsidRDefault="005145BD" w:rsidP="0019790A">
            <w:pPr>
              <w:jc w:val="center"/>
              <w:rPr>
                <w:rFonts w:cs="Arial"/>
                <w:b/>
                <w:color w:val="000000"/>
                <w:szCs w:val="22"/>
                <w:lang w:eastAsia="it-IT"/>
              </w:rPr>
            </w:pPr>
            <w:r w:rsidRPr="0019790A">
              <w:rPr>
                <w:rFonts w:cs="Arial"/>
                <w:b/>
                <w:color w:val="000000"/>
                <w:szCs w:val="22"/>
                <w:lang w:eastAsia="it-IT"/>
              </w:rPr>
              <w:t>150,00</w:t>
            </w:r>
          </w:p>
        </w:tc>
        <w:tc>
          <w:tcPr>
            <w:tcW w:w="1418" w:type="dxa"/>
            <w:shd w:val="clear" w:color="auto" w:fill="auto"/>
            <w:vAlign w:val="center"/>
          </w:tcPr>
          <w:p w14:paraId="0B6C73EE" w14:textId="77777777" w:rsidR="005145BD" w:rsidRPr="0019790A" w:rsidRDefault="005145BD" w:rsidP="0019790A">
            <w:pPr>
              <w:jc w:val="center"/>
              <w:rPr>
                <w:rFonts w:cs="Arial"/>
                <w:b/>
                <w:color w:val="000000"/>
                <w:szCs w:val="22"/>
                <w:lang w:eastAsia="it-IT"/>
              </w:rPr>
            </w:pPr>
            <w:r w:rsidRPr="0019790A">
              <w:rPr>
                <w:rFonts w:cs="Arial"/>
                <w:b/>
                <w:color w:val="000000"/>
                <w:szCs w:val="22"/>
                <w:lang w:eastAsia="it-IT"/>
              </w:rPr>
              <w:t xml:space="preserve"> 3 500,00</w:t>
            </w:r>
          </w:p>
        </w:tc>
        <w:tc>
          <w:tcPr>
            <w:tcW w:w="1276" w:type="dxa"/>
            <w:shd w:val="clear" w:color="auto" w:fill="FFFFFF"/>
            <w:vAlign w:val="center"/>
          </w:tcPr>
          <w:p w14:paraId="5AA835CB" w14:textId="77777777" w:rsidR="005145BD" w:rsidRPr="0019790A" w:rsidRDefault="005145BD" w:rsidP="0019790A">
            <w:pPr>
              <w:jc w:val="center"/>
              <w:rPr>
                <w:rFonts w:cs="Arial"/>
                <w:b/>
                <w:color w:val="000000"/>
                <w:szCs w:val="22"/>
                <w:lang w:eastAsia="it-IT"/>
              </w:rPr>
            </w:pPr>
          </w:p>
        </w:tc>
        <w:tc>
          <w:tcPr>
            <w:tcW w:w="1571" w:type="dxa"/>
            <w:shd w:val="clear" w:color="auto" w:fill="FFFFFF"/>
            <w:vAlign w:val="center"/>
          </w:tcPr>
          <w:p w14:paraId="02249FC4" w14:textId="77777777" w:rsidR="005145BD" w:rsidRPr="0019790A" w:rsidRDefault="005145BD" w:rsidP="0019790A">
            <w:pPr>
              <w:jc w:val="center"/>
              <w:rPr>
                <w:rFonts w:cs="Arial"/>
                <w:b/>
                <w:bCs/>
                <w:color w:val="000000"/>
                <w:szCs w:val="22"/>
                <w:lang w:eastAsia="it-IT"/>
              </w:rPr>
            </w:pPr>
            <w:r w:rsidRPr="0019790A">
              <w:rPr>
                <w:rFonts w:cs="Arial"/>
                <w:b/>
                <w:bCs/>
                <w:szCs w:val="22"/>
              </w:rPr>
              <w:t xml:space="preserve">3 650,00 </w:t>
            </w:r>
          </w:p>
        </w:tc>
      </w:tr>
      <w:tr w:rsidR="005145BD" w:rsidRPr="0019790A" w14:paraId="7699AD6F" w14:textId="77777777" w:rsidTr="00B8248C">
        <w:trPr>
          <w:trHeight w:val="276"/>
          <w:jc w:val="right"/>
        </w:trPr>
        <w:tc>
          <w:tcPr>
            <w:tcW w:w="3425" w:type="dxa"/>
            <w:shd w:val="clear" w:color="auto" w:fill="FFFFFF"/>
            <w:vAlign w:val="center"/>
          </w:tcPr>
          <w:p w14:paraId="1033F1EA" w14:textId="77777777" w:rsidR="005145BD" w:rsidRPr="0019790A" w:rsidRDefault="005145BD" w:rsidP="0019790A">
            <w:pPr>
              <w:rPr>
                <w:rFonts w:cs="Arial"/>
                <w:b/>
                <w:bCs/>
                <w:color w:val="000000"/>
                <w:szCs w:val="22"/>
              </w:rPr>
            </w:pPr>
            <w:r w:rsidRPr="0019790A">
              <w:rPr>
                <w:rFonts w:cs="Arial"/>
                <w:b/>
                <w:bCs/>
                <w:color w:val="000000"/>
                <w:szCs w:val="22"/>
              </w:rPr>
              <w:t>по джерелах фінансування:</w:t>
            </w:r>
          </w:p>
        </w:tc>
        <w:tc>
          <w:tcPr>
            <w:tcW w:w="6794" w:type="dxa"/>
            <w:gridSpan w:val="5"/>
            <w:vAlign w:val="center"/>
          </w:tcPr>
          <w:p w14:paraId="33D467AA" w14:textId="77777777" w:rsidR="005145BD" w:rsidRPr="0019790A" w:rsidRDefault="005145BD" w:rsidP="0019790A">
            <w:pPr>
              <w:jc w:val="both"/>
              <w:rPr>
                <w:rFonts w:cs="Arial"/>
                <w:color w:val="000000"/>
                <w:szCs w:val="22"/>
                <w:lang w:eastAsia="it-IT"/>
              </w:rPr>
            </w:pPr>
          </w:p>
        </w:tc>
      </w:tr>
      <w:tr w:rsidR="005145BD" w:rsidRPr="0019790A" w14:paraId="73112519" w14:textId="77777777" w:rsidTr="00B8248C">
        <w:trPr>
          <w:trHeight w:val="240"/>
          <w:jc w:val="right"/>
        </w:trPr>
        <w:tc>
          <w:tcPr>
            <w:tcW w:w="3425" w:type="dxa"/>
            <w:shd w:val="clear" w:color="auto" w:fill="FFFFFF"/>
            <w:vAlign w:val="center"/>
          </w:tcPr>
          <w:p w14:paraId="009F82E0" w14:textId="77777777" w:rsidR="005145BD" w:rsidRPr="0019790A" w:rsidRDefault="005145BD" w:rsidP="0019790A">
            <w:pPr>
              <w:rPr>
                <w:rFonts w:cs="Arial"/>
                <w:b/>
                <w:bCs/>
                <w:color w:val="000000"/>
                <w:szCs w:val="22"/>
              </w:rPr>
            </w:pPr>
            <w:r w:rsidRPr="0019790A">
              <w:rPr>
                <w:rFonts w:cs="Arial"/>
                <w:color w:val="000000"/>
                <w:szCs w:val="22"/>
              </w:rPr>
              <w:t>- державний бюджет</w:t>
            </w:r>
          </w:p>
        </w:tc>
        <w:tc>
          <w:tcPr>
            <w:tcW w:w="1254" w:type="dxa"/>
            <w:vAlign w:val="center"/>
          </w:tcPr>
          <w:p w14:paraId="026C6F1F" w14:textId="77777777" w:rsidR="005145BD" w:rsidRPr="0019790A" w:rsidRDefault="005145BD" w:rsidP="0019790A">
            <w:pPr>
              <w:jc w:val="both"/>
              <w:rPr>
                <w:rFonts w:cs="Arial"/>
                <w:color w:val="000000"/>
                <w:szCs w:val="22"/>
                <w:lang w:eastAsia="it-IT"/>
              </w:rPr>
            </w:pPr>
          </w:p>
        </w:tc>
        <w:tc>
          <w:tcPr>
            <w:tcW w:w="1275" w:type="dxa"/>
            <w:vAlign w:val="center"/>
          </w:tcPr>
          <w:p w14:paraId="14EF9E08" w14:textId="77777777" w:rsidR="005145BD" w:rsidRPr="0019790A" w:rsidRDefault="005145BD" w:rsidP="0019790A">
            <w:pPr>
              <w:jc w:val="both"/>
              <w:rPr>
                <w:rFonts w:cs="Arial"/>
                <w:color w:val="000000"/>
                <w:szCs w:val="22"/>
                <w:lang w:eastAsia="it-IT"/>
              </w:rPr>
            </w:pPr>
            <w:r w:rsidRPr="0019790A">
              <w:rPr>
                <w:rFonts w:cs="Arial"/>
                <w:color w:val="000000"/>
                <w:szCs w:val="22"/>
                <w:lang w:eastAsia="it-IT"/>
              </w:rPr>
              <w:t>120,00</w:t>
            </w:r>
          </w:p>
        </w:tc>
        <w:tc>
          <w:tcPr>
            <w:tcW w:w="1418" w:type="dxa"/>
            <w:vAlign w:val="center"/>
          </w:tcPr>
          <w:p w14:paraId="478E467F" w14:textId="77777777" w:rsidR="005145BD" w:rsidRPr="0019790A" w:rsidRDefault="005145BD" w:rsidP="0019790A">
            <w:pPr>
              <w:jc w:val="center"/>
              <w:rPr>
                <w:rFonts w:cs="Arial"/>
                <w:color w:val="000000"/>
                <w:szCs w:val="22"/>
                <w:lang w:eastAsia="it-IT"/>
              </w:rPr>
            </w:pPr>
            <w:r w:rsidRPr="0019790A">
              <w:rPr>
                <w:rFonts w:cs="Arial"/>
                <w:color w:val="000000"/>
                <w:szCs w:val="22"/>
                <w:lang w:eastAsia="it-IT"/>
              </w:rPr>
              <w:t>2800,00</w:t>
            </w:r>
          </w:p>
        </w:tc>
        <w:tc>
          <w:tcPr>
            <w:tcW w:w="1276" w:type="dxa"/>
            <w:vAlign w:val="center"/>
          </w:tcPr>
          <w:p w14:paraId="3833606C" w14:textId="77777777" w:rsidR="005145BD" w:rsidRPr="0019790A" w:rsidRDefault="005145BD" w:rsidP="0019790A">
            <w:pPr>
              <w:jc w:val="both"/>
              <w:rPr>
                <w:rFonts w:cs="Arial"/>
                <w:color w:val="000000"/>
                <w:szCs w:val="22"/>
                <w:lang w:eastAsia="it-IT"/>
              </w:rPr>
            </w:pPr>
          </w:p>
        </w:tc>
        <w:tc>
          <w:tcPr>
            <w:tcW w:w="1571" w:type="dxa"/>
            <w:vAlign w:val="center"/>
          </w:tcPr>
          <w:p w14:paraId="2606EF25" w14:textId="77777777" w:rsidR="005145BD" w:rsidRPr="00CD6B99" w:rsidRDefault="005145BD" w:rsidP="0019790A">
            <w:pPr>
              <w:jc w:val="center"/>
              <w:rPr>
                <w:rFonts w:cs="Arial"/>
                <w:b/>
                <w:color w:val="000000"/>
                <w:szCs w:val="22"/>
                <w:lang w:eastAsia="it-IT"/>
              </w:rPr>
            </w:pPr>
            <w:r w:rsidRPr="00CD6B99">
              <w:rPr>
                <w:rFonts w:cs="Arial"/>
                <w:b/>
                <w:color w:val="000000"/>
                <w:szCs w:val="22"/>
                <w:lang w:eastAsia="it-IT"/>
              </w:rPr>
              <w:t>2920,00</w:t>
            </w:r>
          </w:p>
        </w:tc>
      </w:tr>
      <w:tr w:rsidR="005145BD" w:rsidRPr="0019790A" w14:paraId="008920EB" w14:textId="77777777" w:rsidTr="00B8248C">
        <w:trPr>
          <w:trHeight w:val="254"/>
          <w:jc w:val="right"/>
        </w:trPr>
        <w:tc>
          <w:tcPr>
            <w:tcW w:w="3425" w:type="dxa"/>
            <w:shd w:val="clear" w:color="auto" w:fill="FFFFFF"/>
            <w:vAlign w:val="center"/>
          </w:tcPr>
          <w:p w14:paraId="73C914EF" w14:textId="77777777" w:rsidR="005145BD" w:rsidRPr="0019790A" w:rsidRDefault="005145BD" w:rsidP="0019790A">
            <w:pPr>
              <w:rPr>
                <w:rFonts w:cs="Arial"/>
                <w:color w:val="000000"/>
                <w:szCs w:val="22"/>
              </w:rPr>
            </w:pPr>
            <w:r w:rsidRPr="0019790A">
              <w:rPr>
                <w:rFonts w:cs="Arial"/>
                <w:color w:val="000000"/>
                <w:szCs w:val="22"/>
              </w:rPr>
              <w:t>- обласний бюджет</w:t>
            </w:r>
          </w:p>
        </w:tc>
        <w:tc>
          <w:tcPr>
            <w:tcW w:w="6794" w:type="dxa"/>
            <w:gridSpan w:val="5"/>
            <w:vAlign w:val="center"/>
          </w:tcPr>
          <w:p w14:paraId="0435018D" w14:textId="77777777" w:rsidR="005145BD" w:rsidRPr="0019790A" w:rsidRDefault="005145BD" w:rsidP="0019790A">
            <w:pPr>
              <w:jc w:val="center"/>
              <w:rPr>
                <w:rFonts w:cs="Arial"/>
                <w:color w:val="000000"/>
                <w:szCs w:val="22"/>
                <w:lang w:eastAsia="it-IT"/>
              </w:rPr>
            </w:pPr>
          </w:p>
        </w:tc>
      </w:tr>
      <w:tr w:rsidR="005145BD" w:rsidRPr="0019790A" w14:paraId="312AF14B" w14:textId="77777777" w:rsidTr="00B8248C">
        <w:trPr>
          <w:trHeight w:val="275"/>
          <w:jc w:val="right"/>
        </w:trPr>
        <w:tc>
          <w:tcPr>
            <w:tcW w:w="3425" w:type="dxa"/>
            <w:shd w:val="clear" w:color="auto" w:fill="FFFFFF"/>
            <w:vAlign w:val="center"/>
          </w:tcPr>
          <w:p w14:paraId="27C08EAC" w14:textId="77777777" w:rsidR="005145BD" w:rsidRPr="0019790A" w:rsidRDefault="005145BD" w:rsidP="0019790A">
            <w:pPr>
              <w:rPr>
                <w:rFonts w:cs="Arial"/>
                <w:color w:val="000000"/>
                <w:szCs w:val="22"/>
              </w:rPr>
            </w:pPr>
            <w:r w:rsidRPr="0019790A">
              <w:rPr>
                <w:rFonts w:cs="Arial"/>
                <w:color w:val="000000"/>
                <w:szCs w:val="22"/>
              </w:rPr>
              <w:t>- бюджет Жмеринської МТГ</w:t>
            </w:r>
          </w:p>
        </w:tc>
        <w:tc>
          <w:tcPr>
            <w:tcW w:w="1254" w:type="dxa"/>
            <w:vAlign w:val="center"/>
          </w:tcPr>
          <w:p w14:paraId="212E11E9" w14:textId="77777777" w:rsidR="005145BD" w:rsidRPr="0019790A" w:rsidRDefault="005145BD" w:rsidP="0019790A">
            <w:pPr>
              <w:jc w:val="both"/>
              <w:rPr>
                <w:rFonts w:cs="Arial"/>
                <w:color w:val="000000"/>
                <w:szCs w:val="22"/>
                <w:lang w:eastAsia="it-IT"/>
              </w:rPr>
            </w:pPr>
          </w:p>
        </w:tc>
        <w:tc>
          <w:tcPr>
            <w:tcW w:w="1275" w:type="dxa"/>
            <w:vAlign w:val="center"/>
          </w:tcPr>
          <w:p w14:paraId="7F71EA2D" w14:textId="77777777" w:rsidR="005145BD" w:rsidRPr="0019790A" w:rsidRDefault="005145BD" w:rsidP="0019790A">
            <w:pPr>
              <w:jc w:val="both"/>
              <w:rPr>
                <w:rFonts w:cs="Arial"/>
                <w:color w:val="000000"/>
                <w:szCs w:val="22"/>
                <w:lang w:eastAsia="it-IT"/>
              </w:rPr>
            </w:pPr>
            <w:r w:rsidRPr="0019790A">
              <w:rPr>
                <w:rFonts w:cs="Arial"/>
                <w:color w:val="000000"/>
                <w:szCs w:val="22"/>
                <w:lang w:eastAsia="it-IT"/>
              </w:rPr>
              <w:t>30,00</w:t>
            </w:r>
          </w:p>
        </w:tc>
        <w:tc>
          <w:tcPr>
            <w:tcW w:w="1418" w:type="dxa"/>
            <w:vAlign w:val="center"/>
          </w:tcPr>
          <w:p w14:paraId="5031B054" w14:textId="77777777" w:rsidR="005145BD" w:rsidRPr="0019790A" w:rsidRDefault="005145BD" w:rsidP="0019790A">
            <w:pPr>
              <w:jc w:val="center"/>
              <w:rPr>
                <w:rFonts w:cs="Arial"/>
                <w:color w:val="000000"/>
                <w:szCs w:val="22"/>
                <w:lang w:eastAsia="it-IT"/>
              </w:rPr>
            </w:pPr>
            <w:r w:rsidRPr="0019790A">
              <w:rPr>
                <w:rFonts w:cs="Arial"/>
                <w:color w:val="000000"/>
                <w:szCs w:val="22"/>
                <w:lang w:eastAsia="it-IT"/>
              </w:rPr>
              <w:t>700,00</w:t>
            </w:r>
          </w:p>
        </w:tc>
        <w:tc>
          <w:tcPr>
            <w:tcW w:w="1276" w:type="dxa"/>
            <w:vAlign w:val="center"/>
          </w:tcPr>
          <w:p w14:paraId="1D465F02" w14:textId="77777777" w:rsidR="005145BD" w:rsidRPr="0019790A" w:rsidRDefault="005145BD" w:rsidP="0019790A">
            <w:pPr>
              <w:jc w:val="both"/>
              <w:rPr>
                <w:rFonts w:cs="Arial"/>
                <w:color w:val="000000"/>
                <w:szCs w:val="22"/>
                <w:lang w:eastAsia="it-IT"/>
              </w:rPr>
            </w:pPr>
          </w:p>
        </w:tc>
        <w:tc>
          <w:tcPr>
            <w:tcW w:w="1571" w:type="dxa"/>
            <w:vAlign w:val="center"/>
          </w:tcPr>
          <w:p w14:paraId="2FB7970F" w14:textId="77777777" w:rsidR="005145BD" w:rsidRPr="00CD6B99" w:rsidRDefault="005145BD" w:rsidP="0019790A">
            <w:pPr>
              <w:jc w:val="center"/>
              <w:rPr>
                <w:rFonts w:cs="Arial"/>
                <w:b/>
                <w:color w:val="000000"/>
                <w:szCs w:val="22"/>
                <w:lang w:eastAsia="it-IT"/>
              </w:rPr>
            </w:pPr>
            <w:r w:rsidRPr="00CD6B99">
              <w:rPr>
                <w:rFonts w:cs="Arial"/>
                <w:b/>
                <w:color w:val="000000"/>
                <w:szCs w:val="22"/>
                <w:lang w:eastAsia="it-IT"/>
              </w:rPr>
              <w:t>730,00</w:t>
            </w:r>
          </w:p>
        </w:tc>
      </w:tr>
      <w:tr w:rsidR="005145BD" w:rsidRPr="0019790A" w14:paraId="27EF48F0" w14:textId="77777777" w:rsidTr="00B8248C">
        <w:trPr>
          <w:trHeight w:val="226"/>
          <w:jc w:val="right"/>
        </w:trPr>
        <w:tc>
          <w:tcPr>
            <w:tcW w:w="3425" w:type="dxa"/>
            <w:shd w:val="clear" w:color="auto" w:fill="FFFFFF"/>
            <w:vAlign w:val="center"/>
          </w:tcPr>
          <w:p w14:paraId="577791BA" w14:textId="77777777" w:rsidR="005145BD" w:rsidRPr="0019790A" w:rsidRDefault="005145BD" w:rsidP="0019790A">
            <w:pPr>
              <w:rPr>
                <w:rFonts w:cs="Arial"/>
                <w:color w:val="000000"/>
                <w:szCs w:val="22"/>
              </w:rPr>
            </w:pPr>
            <w:r w:rsidRPr="0019790A">
              <w:rPr>
                <w:rFonts w:cs="Arial"/>
                <w:color w:val="000000"/>
                <w:szCs w:val="22"/>
              </w:rPr>
              <w:t>- інші джерела фінансування</w:t>
            </w:r>
          </w:p>
        </w:tc>
        <w:tc>
          <w:tcPr>
            <w:tcW w:w="6794" w:type="dxa"/>
            <w:gridSpan w:val="5"/>
            <w:vAlign w:val="center"/>
          </w:tcPr>
          <w:p w14:paraId="211E715A" w14:textId="77777777" w:rsidR="005145BD" w:rsidRPr="0019790A" w:rsidRDefault="005145BD" w:rsidP="0019790A">
            <w:pPr>
              <w:jc w:val="both"/>
              <w:rPr>
                <w:rFonts w:cs="Arial"/>
                <w:color w:val="000000"/>
                <w:szCs w:val="22"/>
                <w:lang w:eastAsia="it-IT"/>
              </w:rPr>
            </w:pPr>
          </w:p>
        </w:tc>
      </w:tr>
      <w:tr w:rsidR="005145BD" w:rsidRPr="0019790A" w14:paraId="06B4FD4C" w14:textId="77777777" w:rsidTr="00B8248C">
        <w:trPr>
          <w:jc w:val="right"/>
        </w:trPr>
        <w:tc>
          <w:tcPr>
            <w:tcW w:w="3425" w:type="dxa"/>
            <w:shd w:val="clear" w:color="auto" w:fill="FFFFFF"/>
            <w:vAlign w:val="center"/>
          </w:tcPr>
          <w:p w14:paraId="21CDDE5B" w14:textId="77777777" w:rsidR="005145BD" w:rsidRPr="0019790A" w:rsidRDefault="005145BD" w:rsidP="0019790A">
            <w:pPr>
              <w:rPr>
                <w:rFonts w:cs="Arial"/>
                <w:b/>
                <w:bCs/>
                <w:color w:val="000000"/>
                <w:szCs w:val="22"/>
              </w:rPr>
            </w:pPr>
            <w:r w:rsidRPr="0019790A">
              <w:rPr>
                <w:rFonts w:cs="Arial"/>
                <w:b/>
                <w:color w:val="000000"/>
                <w:szCs w:val="22"/>
              </w:rPr>
              <w:t>Відповідальний виконавець проєкту:</w:t>
            </w:r>
          </w:p>
        </w:tc>
        <w:tc>
          <w:tcPr>
            <w:tcW w:w="6794" w:type="dxa"/>
            <w:gridSpan w:val="5"/>
            <w:vAlign w:val="center"/>
          </w:tcPr>
          <w:p w14:paraId="71D80141" w14:textId="77777777" w:rsidR="005145BD" w:rsidRPr="0019790A" w:rsidRDefault="005145BD" w:rsidP="0019790A">
            <w:pPr>
              <w:jc w:val="both"/>
              <w:rPr>
                <w:rFonts w:cs="Arial"/>
                <w:color w:val="000000"/>
                <w:szCs w:val="22"/>
                <w:lang w:eastAsia="it-IT"/>
              </w:rPr>
            </w:pPr>
            <w:r w:rsidRPr="0019790A">
              <w:rPr>
                <w:rFonts w:cs="Arial"/>
                <w:color w:val="000000"/>
                <w:szCs w:val="22"/>
                <w:lang w:eastAsia="it-IT"/>
              </w:rPr>
              <w:t>Управління ЖКГ Жмеринської міської ради, Управління освіти Жмеринської міської ради, КЗ «Жмеринський ліцей №6»</w:t>
            </w:r>
          </w:p>
        </w:tc>
      </w:tr>
      <w:tr w:rsidR="005145BD" w:rsidRPr="0019790A" w14:paraId="225A2326" w14:textId="77777777" w:rsidTr="00B8248C">
        <w:trPr>
          <w:jc w:val="right"/>
        </w:trPr>
        <w:tc>
          <w:tcPr>
            <w:tcW w:w="3425" w:type="dxa"/>
            <w:shd w:val="clear" w:color="auto" w:fill="FFFFFF"/>
            <w:vAlign w:val="center"/>
          </w:tcPr>
          <w:p w14:paraId="686608A0" w14:textId="77777777" w:rsidR="005145BD" w:rsidRPr="0019790A" w:rsidRDefault="005145BD" w:rsidP="0019790A">
            <w:pPr>
              <w:rPr>
                <w:rFonts w:cs="Arial"/>
                <w:b/>
                <w:bCs/>
                <w:color w:val="000000"/>
                <w:szCs w:val="22"/>
              </w:rPr>
            </w:pPr>
            <w:r w:rsidRPr="0019790A">
              <w:rPr>
                <w:rFonts w:cs="Arial"/>
                <w:b/>
                <w:bCs/>
                <w:color w:val="000000"/>
                <w:szCs w:val="22"/>
              </w:rPr>
              <w:t>Інше:</w:t>
            </w:r>
          </w:p>
        </w:tc>
        <w:tc>
          <w:tcPr>
            <w:tcW w:w="6794" w:type="dxa"/>
            <w:gridSpan w:val="5"/>
            <w:vAlign w:val="center"/>
          </w:tcPr>
          <w:p w14:paraId="35C003AF" w14:textId="77777777" w:rsidR="005145BD" w:rsidRPr="0019790A" w:rsidRDefault="005145BD" w:rsidP="0019790A">
            <w:pPr>
              <w:rPr>
                <w:rFonts w:cs="Arial"/>
                <w:color w:val="000000"/>
                <w:szCs w:val="22"/>
                <w:lang w:eastAsia="it-IT"/>
              </w:rPr>
            </w:pPr>
          </w:p>
        </w:tc>
      </w:tr>
    </w:tbl>
    <w:p w14:paraId="770322B9" w14:textId="77777777" w:rsidR="005145BD" w:rsidRPr="0019790A" w:rsidRDefault="005145BD" w:rsidP="0019790A">
      <w:pPr>
        <w:rPr>
          <w:rFonts w:cs="Arial"/>
          <w:szCs w:val="22"/>
        </w:rPr>
      </w:pPr>
    </w:p>
    <w:p w14:paraId="58D7F2C2" w14:textId="77777777" w:rsidR="005145BD" w:rsidRPr="0019790A" w:rsidRDefault="005145BD" w:rsidP="0019790A">
      <w:pPr>
        <w:jc w:val="center"/>
        <w:rPr>
          <w:rFonts w:cs="Arial"/>
          <w:b/>
          <w:szCs w:val="22"/>
        </w:rPr>
      </w:pPr>
      <w:r w:rsidRPr="0019790A">
        <w:rPr>
          <w:rFonts w:cs="Arial"/>
          <w:b/>
          <w:szCs w:val="22"/>
        </w:rPr>
        <w:t xml:space="preserve">Форма технічного завдання на проєкт місцевого розвитку </w:t>
      </w:r>
    </w:p>
    <w:p w14:paraId="6F88DE08" w14:textId="77777777" w:rsidR="005145BD" w:rsidRPr="0019790A" w:rsidRDefault="005145BD" w:rsidP="0019790A">
      <w:pPr>
        <w:jc w:val="center"/>
        <w:rPr>
          <w:rFonts w:cs="Arial"/>
          <w:b/>
          <w:szCs w:val="22"/>
        </w:rPr>
      </w:pPr>
      <w:r w:rsidRPr="0019790A">
        <w:rPr>
          <w:rFonts w:cs="Arial"/>
          <w:b/>
          <w:szCs w:val="22"/>
        </w:rPr>
        <w:t>до Плану заходів з реалізації Стратегії</w:t>
      </w:r>
    </w:p>
    <w:p w14:paraId="70BAC5C6" w14:textId="77777777" w:rsidR="005145BD" w:rsidRPr="0019790A" w:rsidRDefault="005145BD"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104"/>
        <w:gridCol w:w="1171"/>
        <w:gridCol w:w="188"/>
        <w:gridCol w:w="1230"/>
        <w:gridCol w:w="129"/>
        <w:gridCol w:w="1147"/>
        <w:gridCol w:w="212"/>
        <w:gridCol w:w="1359"/>
      </w:tblGrid>
      <w:tr w:rsidR="005145BD" w:rsidRPr="0019790A" w14:paraId="60E5CE98" w14:textId="77777777" w:rsidTr="00B8248C">
        <w:trPr>
          <w:jc w:val="right"/>
        </w:trPr>
        <w:tc>
          <w:tcPr>
            <w:tcW w:w="3425" w:type="dxa"/>
            <w:vAlign w:val="center"/>
          </w:tcPr>
          <w:p w14:paraId="48423A49" w14:textId="77777777" w:rsidR="005145BD" w:rsidRPr="0019790A" w:rsidRDefault="005145BD" w:rsidP="0019790A">
            <w:pPr>
              <w:rPr>
                <w:rFonts w:cs="Arial"/>
                <w:b/>
                <w:bCs/>
                <w:szCs w:val="22"/>
              </w:rPr>
            </w:pPr>
            <w:r w:rsidRPr="0019790A">
              <w:rPr>
                <w:rFonts w:cs="Arial"/>
                <w:b/>
                <w:bCs/>
                <w:szCs w:val="22"/>
              </w:rPr>
              <w:t>Назва проєкту:</w:t>
            </w:r>
          </w:p>
        </w:tc>
        <w:tc>
          <w:tcPr>
            <w:tcW w:w="6794" w:type="dxa"/>
            <w:gridSpan w:val="9"/>
          </w:tcPr>
          <w:p w14:paraId="2FC2D804" w14:textId="77777777" w:rsidR="005145BD" w:rsidRPr="0019790A" w:rsidRDefault="005145BD" w:rsidP="0019790A">
            <w:pPr>
              <w:pStyle w:val="aa"/>
              <w:jc w:val="both"/>
              <w:rPr>
                <w:rFonts w:ascii="Arial" w:hAnsi="Arial" w:cs="Arial"/>
                <w:b/>
              </w:rPr>
            </w:pPr>
            <w:r w:rsidRPr="0019790A">
              <w:rPr>
                <w:rFonts w:ascii="Arial" w:hAnsi="Arial" w:cs="Arial"/>
                <w:b/>
              </w:rPr>
              <w:t xml:space="preserve"> Нарощення фонду захисних споруд ЦЗ</w:t>
            </w:r>
          </w:p>
        </w:tc>
      </w:tr>
      <w:tr w:rsidR="005145BD" w:rsidRPr="0019790A" w14:paraId="6E8A980D" w14:textId="77777777" w:rsidTr="00B8248C">
        <w:trPr>
          <w:jc w:val="right"/>
        </w:trPr>
        <w:tc>
          <w:tcPr>
            <w:tcW w:w="3425" w:type="dxa"/>
          </w:tcPr>
          <w:p w14:paraId="6B337F73" w14:textId="77777777" w:rsidR="005145BD" w:rsidRPr="0019790A" w:rsidRDefault="005145BD"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31AD3DA3" w14:textId="77777777" w:rsidR="005145BD" w:rsidRPr="0019790A" w:rsidRDefault="005145BD"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9"/>
          </w:tcPr>
          <w:p w14:paraId="5E226E8E" w14:textId="77777777" w:rsidR="005145BD" w:rsidRPr="0019790A" w:rsidRDefault="005145BD" w:rsidP="0019790A">
            <w:pPr>
              <w:rPr>
                <w:rFonts w:cs="Arial"/>
                <w:szCs w:val="22"/>
                <w:lang w:eastAsia="it-IT"/>
              </w:rPr>
            </w:pPr>
            <w:r w:rsidRPr="0019790A">
              <w:rPr>
                <w:rFonts w:cs="Arial"/>
                <w:szCs w:val="22"/>
                <w:lang w:eastAsia="it-IT"/>
              </w:rPr>
              <w:t xml:space="preserve"> Управління освіти Жмеринської міської ради</w:t>
            </w:r>
          </w:p>
          <w:p w14:paraId="69F81D58" w14:textId="77777777" w:rsidR="005145BD" w:rsidRPr="0019790A" w:rsidRDefault="005145BD" w:rsidP="0019790A">
            <w:pPr>
              <w:rPr>
                <w:rFonts w:cs="Arial"/>
                <w:szCs w:val="22"/>
                <w:lang w:eastAsia="it-IT"/>
              </w:rPr>
            </w:pPr>
          </w:p>
        </w:tc>
      </w:tr>
      <w:tr w:rsidR="005145BD" w:rsidRPr="0019790A" w14:paraId="5D0EBFD6" w14:textId="77777777" w:rsidTr="00B8248C">
        <w:trPr>
          <w:jc w:val="right"/>
        </w:trPr>
        <w:tc>
          <w:tcPr>
            <w:tcW w:w="3425" w:type="dxa"/>
          </w:tcPr>
          <w:p w14:paraId="55F817D1" w14:textId="77777777" w:rsidR="005145BD" w:rsidRPr="0019790A" w:rsidRDefault="005145BD" w:rsidP="0019790A">
            <w:pPr>
              <w:rPr>
                <w:rFonts w:cs="Arial"/>
                <w:b/>
                <w:bCs/>
                <w:szCs w:val="22"/>
              </w:rPr>
            </w:pPr>
            <w:r w:rsidRPr="0019790A">
              <w:rPr>
                <w:rFonts w:cs="Arial"/>
                <w:szCs w:val="22"/>
                <w:lang w:eastAsia="it-IT"/>
              </w:rPr>
              <w:t>Прізвище Ім’я по-батькові:</w:t>
            </w:r>
          </w:p>
        </w:tc>
        <w:tc>
          <w:tcPr>
            <w:tcW w:w="6794" w:type="dxa"/>
            <w:gridSpan w:val="9"/>
          </w:tcPr>
          <w:p w14:paraId="29B698C0" w14:textId="77777777" w:rsidR="005145BD" w:rsidRPr="0019790A" w:rsidRDefault="005145BD" w:rsidP="0019790A">
            <w:pPr>
              <w:pStyle w:val="TableParagraph"/>
              <w:ind w:left="0"/>
              <w:rPr>
                <w:rFonts w:ascii="Arial" w:hAnsi="Arial" w:cs="Arial"/>
              </w:rPr>
            </w:pPr>
            <w:r w:rsidRPr="0019790A">
              <w:rPr>
                <w:rFonts w:ascii="Arial" w:hAnsi="Arial" w:cs="Arial"/>
              </w:rPr>
              <w:t>Твердохліб Аліна Петрівна</w:t>
            </w:r>
          </w:p>
        </w:tc>
      </w:tr>
      <w:tr w:rsidR="005145BD" w:rsidRPr="0019790A" w14:paraId="6FDB1945" w14:textId="77777777" w:rsidTr="00B8248C">
        <w:trPr>
          <w:jc w:val="right"/>
        </w:trPr>
        <w:tc>
          <w:tcPr>
            <w:tcW w:w="3425" w:type="dxa"/>
          </w:tcPr>
          <w:p w14:paraId="19E25687" w14:textId="77777777" w:rsidR="005145BD" w:rsidRPr="0019790A" w:rsidRDefault="005145BD" w:rsidP="0019790A">
            <w:pPr>
              <w:rPr>
                <w:rFonts w:cs="Arial"/>
                <w:b/>
                <w:bCs/>
                <w:szCs w:val="22"/>
              </w:rPr>
            </w:pPr>
            <w:r w:rsidRPr="0019790A">
              <w:rPr>
                <w:rFonts w:cs="Arial"/>
                <w:szCs w:val="22"/>
                <w:lang w:eastAsia="it-IT"/>
              </w:rPr>
              <w:t>Телефон (мобільний):</w:t>
            </w:r>
          </w:p>
        </w:tc>
        <w:tc>
          <w:tcPr>
            <w:tcW w:w="6794" w:type="dxa"/>
            <w:gridSpan w:val="9"/>
          </w:tcPr>
          <w:p w14:paraId="1B1E2E18" w14:textId="77777777" w:rsidR="005145BD" w:rsidRPr="0019790A" w:rsidRDefault="005145BD" w:rsidP="0019790A">
            <w:pPr>
              <w:pStyle w:val="TableParagraph"/>
              <w:ind w:left="66"/>
              <w:rPr>
                <w:rFonts w:ascii="Arial" w:hAnsi="Arial" w:cs="Arial"/>
              </w:rPr>
            </w:pPr>
            <w:r w:rsidRPr="0019790A">
              <w:rPr>
                <w:rFonts w:ascii="Arial" w:hAnsi="Arial" w:cs="Arial"/>
                <w:spacing w:val="-2"/>
              </w:rPr>
              <w:t>+380 (67) 895 55 75</w:t>
            </w:r>
          </w:p>
        </w:tc>
      </w:tr>
      <w:tr w:rsidR="005145BD" w:rsidRPr="0019790A" w14:paraId="3E3794C5" w14:textId="77777777" w:rsidTr="00B8248C">
        <w:trPr>
          <w:jc w:val="right"/>
        </w:trPr>
        <w:tc>
          <w:tcPr>
            <w:tcW w:w="3425" w:type="dxa"/>
          </w:tcPr>
          <w:p w14:paraId="43656201" w14:textId="77777777" w:rsidR="005145BD" w:rsidRPr="0019790A" w:rsidRDefault="005145BD" w:rsidP="0019790A">
            <w:pPr>
              <w:rPr>
                <w:rFonts w:cs="Arial"/>
                <w:b/>
                <w:bCs/>
                <w:szCs w:val="22"/>
              </w:rPr>
            </w:pPr>
            <w:r w:rsidRPr="0019790A">
              <w:rPr>
                <w:rFonts w:cs="Arial"/>
                <w:szCs w:val="22"/>
                <w:lang w:eastAsia="it-IT"/>
              </w:rPr>
              <w:t>Електронна адреса:</w:t>
            </w:r>
          </w:p>
        </w:tc>
        <w:tc>
          <w:tcPr>
            <w:tcW w:w="6794" w:type="dxa"/>
            <w:gridSpan w:val="9"/>
          </w:tcPr>
          <w:p w14:paraId="236D969C" w14:textId="77777777" w:rsidR="005145BD" w:rsidRPr="0019790A" w:rsidRDefault="005145BD" w:rsidP="0019790A">
            <w:pPr>
              <w:pStyle w:val="TableParagraph"/>
              <w:ind w:left="66"/>
              <w:rPr>
                <w:rFonts w:ascii="Arial" w:hAnsi="Arial" w:cs="Arial"/>
                <w:b/>
              </w:rPr>
            </w:pPr>
            <w:r w:rsidRPr="0019790A">
              <w:rPr>
                <w:rFonts w:ascii="Arial" w:hAnsi="Arial" w:cs="Arial"/>
              </w:rPr>
              <w:t xml:space="preserve"> </w:t>
            </w:r>
            <w:hyperlink r:id="rId115" w:history="1">
              <w:r w:rsidRPr="0019790A">
                <w:rPr>
                  <w:rStyle w:val="af0"/>
                  <w:rFonts w:ascii="Arial" w:hAnsi="Arial" w:cs="Arial"/>
                  <w:noProof w:val="0"/>
                  <w:spacing w:val="5"/>
                  <w:sz w:val="22"/>
                  <w:szCs w:val="22"/>
                </w:rPr>
                <w:t>uposv.zmr@gmail.com</w:t>
              </w:r>
            </w:hyperlink>
          </w:p>
        </w:tc>
      </w:tr>
      <w:tr w:rsidR="005145BD" w:rsidRPr="0019790A" w14:paraId="27F14FE9" w14:textId="77777777" w:rsidTr="00B8248C">
        <w:trPr>
          <w:jc w:val="right"/>
        </w:trPr>
        <w:tc>
          <w:tcPr>
            <w:tcW w:w="3425" w:type="dxa"/>
            <w:vAlign w:val="center"/>
          </w:tcPr>
          <w:p w14:paraId="755328F2" w14:textId="77777777" w:rsidR="005145BD" w:rsidRPr="0019790A" w:rsidRDefault="005145BD" w:rsidP="0019790A">
            <w:pPr>
              <w:pStyle w:val="6"/>
              <w:spacing w:before="0" w:after="0"/>
              <w:rPr>
                <w:rFonts w:ascii="Arial" w:hAnsi="Arial" w:cs="Arial"/>
                <w:lang w:val="uk-UA"/>
              </w:rPr>
            </w:pPr>
            <w:r w:rsidRPr="0019790A">
              <w:rPr>
                <w:rFonts w:ascii="Arial" w:hAnsi="Arial" w:cs="Arial"/>
                <w:lang w:val="uk-UA"/>
              </w:rPr>
              <w:t>Номер і назва завдання з Стратегії</w:t>
            </w:r>
            <w:r w:rsidRPr="0019790A">
              <w:rPr>
                <w:rFonts w:ascii="Arial" w:hAnsi="Arial" w:cs="Arial"/>
                <w:lang w:val="uk-UA" w:eastAsia="it-IT"/>
              </w:rPr>
              <w:t xml:space="preserve"> </w:t>
            </w:r>
            <w:r w:rsidRPr="0019790A">
              <w:rPr>
                <w:rFonts w:ascii="Arial" w:hAnsi="Arial" w:cs="Arial"/>
                <w:lang w:val="uk-UA"/>
              </w:rPr>
              <w:t>розвитку Жмеринської міської територіальної громади,  якому відповідає проєкт:</w:t>
            </w:r>
          </w:p>
        </w:tc>
        <w:tc>
          <w:tcPr>
            <w:tcW w:w="6794" w:type="dxa"/>
            <w:gridSpan w:val="9"/>
          </w:tcPr>
          <w:p w14:paraId="1256D4E3" w14:textId="77777777" w:rsidR="005145BD" w:rsidRPr="0019790A" w:rsidRDefault="005145BD" w:rsidP="0019790A">
            <w:pPr>
              <w:pBdr>
                <w:left w:val="single" w:sz="18" w:space="4" w:color="auto"/>
              </w:pBdr>
              <w:jc w:val="both"/>
              <w:rPr>
                <w:rFonts w:cs="Arial"/>
                <w:szCs w:val="22"/>
              </w:rPr>
            </w:pPr>
            <w:r w:rsidRPr="0019790A">
              <w:rPr>
                <w:rFonts w:cs="Arial"/>
                <w:szCs w:val="22"/>
              </w:rPr>
              <w:t xml:space="preserve"> С.1.1.2. Розвиток освітньої інфраструктури територіальної громади відповідно до вимог час</w:t>
            </w:r>
          </w:p>
          <w:p w14:paraId="2831BD71" w14:textId="77777777" w:rsidR="005145BD" w:rsidRPr="0019790A" w:rsidRDefault="005145BD" w:rsidP="0019790A">
            <w:pPr>
              <w:pBdr>
                <w:left w:val="single" w:sz="18" w:space="4" w:color="auto"/>
              </w:pBdr>
              <w:rPr>
                <w:rFonts w:cs="Arial"/>
                <w:szCs w:val="22"/>
              </w:rPr>
            </w:pPr>
            <w:r w:rsidRPr="0019790A">
              <w:rPr>
                <w:rFonts w:cs="Arial"/>
                <w:szCs w:val="22"/>
              </w:rPr>
              <w:t>С.1.2.1. Підвищення рівня громадської безпеки в закладах освіти.</w:t>
            </w:r>
          </w:p>
          <w:p w14:paraId="173D5BA4" w14:textId="77777777" w:rsidR="005145BD" w:rsidRPr="0019790A" w:rsidRDefault="005145BD" w:rsidP="0019790A">
            <w:pPr>
              <w:pBdr>
                <w:left w:val="single" w:sz="18" w:space="4" w:color="auto"/>
              </w:pBdr>
              <w:rPr>
                <w:rFonts w:cs="Arial"/>
                <w:szCs w:val="22"/>
                <w:lang w:eastAsia="it-IT"/>
              </w:rPr>
            </w:pPr>
            <w:r w:rsidRPr="0019790A">
              <w:rPr>
                <w:rFonts w:cs="Arial"/>
                <w:szCs w:val="22"/>
              </w:rPr>
              <w:t>С.1.3.1.Забезпечення доступу до якісних освітніх послуг, в тому числі для осіб з особливими освітніми потребами</w:t>
            </w:r>
          </w:p>
        </w:tc>
      </w:tr>
      <w:tr w:rsidR="005145BD" w:rsidRPr="0019790A" w14:paraId="30372953" w14:textId="77777777" w:rsidTr="00B8248C">
        <w:trPr>
          <w:jc w:val="right"/>
        </w:trPr>
        <w:tc>
          <w:tcPr>
            <w:tcW w:w="3425" w:type="dxa"/>
            <w:vAlign w:val="center"/>
          </w:tcPr>
          <w:p w14:paraId="6F93735C" w14:textId="77777777" w:rsidR="005145BD" w:rsidRPr="0019790A" w:rsidRDefault="005145BD" w:rsidP="0019790A">
            <w:pPr>
              <w:rPr>
                <w:rFonts w:cs="Arial"/>
                <w:b/>
                <w:bCs/>
                <w:szCs w:val="22"/>
              </w:rPr>
            </w:pPr>
            <w:r w:rsidRPr="0019790A">
              <w:rPr>
                <w:rFonts w:cs="Arial"/>
                <w:b/>
                <w:bCs/>
                <w:szCs w:val="22"/>
              </w:rPr>
              <w:t>Мета проєкту:</w:t>
            </w:r>
          </w:p>
        </w:tc>
        <w:tc>
          <w:tcPr>
            <w:tcW w:w="6794" w:type="dxa"/>
            <w:gridSpan w:val="9"/>
          </w:tcPr>
          <w:p w14:paraId="06BD88D6" w14:textId="77777777" w:rsidR="005145BD" w:rsidRPr="0019790A" w:rsidRDefault="005145BD" w:rsidP="0019790A">
            <w:pPr>
              <w:jc w:val="both"/>
              <w:rPr>
                <w:rFonts w:cs="Arial"/>
                <w:szCs w:val="22"/>
                <w:lang w:eastAsia="it-IT"/>
              </w:rPr>
            </w:pPr>
            <w:r w:rsidRPr="0019790A">
              <w:rPr>
                <w:rFonts w:cs="Arial"/>
                <w:szCs w:val="22"/>
              </w:rPr>
              <w:t>Підвищення рівня безпеки життєдіяльності учасників освітнього процесу як у звичайних умовах так і в умовах виникнення надзвичайних ситуацій;</w:t>
            </w:r>
          </w:p>
        </w:tc>
      </w:tr>
      <w:tr w:rsidR="005145BD" w:rsidRPr="0019790A" w14:paraId="1C3C9327" w14:textId="77777777" w:rsidTr="00B8248C">
        <w:trPr>
          <w:jc w:val="right"/>
        </w:trPr>
        <w:tc>
          <w:tcPr>
            <w:tcW w:w="3425" w:type="dxa"/>
            <w:vAlign w:val="center"/>
          </w:tcPr>
          <w:p w14:paraId="4F3915BD" w14:textId="77777777" w:rsidR="005145BD" w:rsidRPr="0019790A" w:rsidRDefault="005145BD" w:rsidP="0019790A">
            <w:pPr>
              <w:rPr>
                <w:rFonts w:cs="Arial"/>
                <w:b/>
                <w:bCs/>
                <w:szCs w:val="22"/>
              </w:rPr>
            </w:pPr>
            <w:r w:rsidRPr="0019790A">
              <w:rPr>
                <w:rFonts w:cs="Arial"/>
                <w:b/>
                <w:bCs/>
                <w:szCs w:val="22"/>
              </w:rPr>
              <w:t>Цілі проєкту:</w:t>
            </w:r>
          </w:p>
        </w:tc>
        <w:tc>
          <w:tcPr>
            <w:tcW w:w="6794" w:type="dxa"/>
            <w:gridSpan w:val="9"/>
          </w:tcPr>
          <w:p w14:paraId="5C03E387" w14:textId="77777777" w:rsidR="005145BD" w:rsidRPr="0019790A" w:rsidRDefault="005145BD" w:rsidP="0019790A">
            <w:pPr>
              <w:jc w:val="both"/>
              <w:rPr>
                <w:rFonts w:cs="Arial"/>
                <w:szCs w:val="22"/>
                <w:lang w:eastAsia="it-IT"/>
              </w:rPr>
            </w:pPr>
            <w:r w:rsidRPr="0019790A">
              <w:rPr>
                <w:rFonts w:cs="Arial"/>
                <w:szCs w:val="22"/>
              </w:rPr>
              <w:t>Збільшення % закладів освіти, які працюють в очному форматі Забезпечення кожній дитині — незалежно від її потреб та рівня освіти  безпечні та комфортні умови під час повітряних тривог</w:t>
            </w:r>
          </w:p>
        </w:tc>
      </w:tr>
      <w:tr w:rsidR="005145BD" w:rsidRPr="0019790A" w14:paraId="53D4EAAF" w14:textId="77777777" w:rsidTr="00B8248C">
        <w:trPr>
          <w:jc w:val="right"/>
        </w:trPr>
        <w:tc>
          <w:tcPr>
            <w:tcW w:w="3425" w:type="dxa"/>
            <w:vAlign w:val="center"/>
          </w:tcPr>
          <w:p w14:paraId="5AE6023A" w14:textId="77777777" w:rsidR="005145BD" w:rsidRPr="0019790A" w:rsidRDefault="005145BD" w:rsidP="0019790A">
            <w:pPr>
              <w:autoSpaceDE w:val="0"/>
              <w:autoSpaceDN w:val="0"/>
              <w:adjustRightInd w:val="0"/>
              <w:rPr>
                <w:rFonts w:cs="Arial"/>
                <w:b/>
                <w:szCs w:val="22"/>
              </w:rPr>
            </w:pPr>
            <w:r w:rsidRPr="0019790A">
              <w:rPr>
                <w:rFonts w:cs="Arial"/>
                <w:b/>
                <w:szCs w:val="22"/>
              </w:rPr>
              <w:t>Територія на яку проєкт матиме вплив:</w:t>
            </w:r>
          </w:p>
        </w:tc>
        <w:tc>
          <w:tcPr>
            <w:tcW w:w="6794" w:type="dxa"/>
            <w:gridSpan w:val="9"/>
          </w:tcPr>
          <w:p w14:paraId="44F05AB7" w14:textId="77777777" w:rsidR="005145BD" w:rsidRPr="0019790A" w:rsidRDefault="005145BD" w:rsidP="0019790A">
            <w:pPr>
              <w:rPr>
                <w:rFonts w:cs="Arial"/>
                <w:szCs w:val="22"/>
                <w:lang w:eastAsia="it-IT"/>
              </w:rPr>
            </w:pPr>
            <w:r w:rsidRPr="0019790A">
              <w:rPr>
                <w:rFonts w:cs="Arial"/>
                <w:szCs w:val="22"/>
                <w:lang w:eastAsia="it-IT"/>
              </w:rPr>
              <w:t xml:space="preserve">Територія Жмеринської міської територіальної громади  </w:t>
            </w:r>
          </w:p>
        </w:tc>
      </w:tr>
      <w:tr w:rsidR="005145BD" w:rsidRPr="0019790A" w14:paraId="06AB204D" w14:textId="77777777" w:rsidTr="00B8248C">
        <w:trPr>
          <w:jc w:val="right"/>
        </w:trPr>
        <w:tc>
          <w:tcPr>
            <w:tcW w:w="3425" w:type="dxa"/>
            <w:vAlign w:val="center"/>
          </w:tcPr>
          <w:p w14:paraId="2A3C0B00" w14:textId="77777777" w:rsidR="005145BD" w:rsidRPr="0019790A" w:rsidRDefault="005145BD" w:rsidP="0019790A">
            <w:pPr>
              <w:autoSpaceDE w:val="0"/>
              <w:autoSpaceDN w:val="0"/>
              <w:adjustRightInd w:val="0"/>
              <w:rPr>
                <w:rFonts w:cs="Arial"/>
                <w:b/>
                <w:szCs w:val="22"/>
              </w:rPr>
            </w:pPr>
            <w:r w:rsidRPr="0019790A">
              <w:rPr>
                <w:rFonts w:cs="Arial"/>
                <w:b/>
                <w:szCs w:val="22"/>
              </w:rPr>
              <w:t>Цільові групи проєкту та кількість отримувачів вигоди</w:t>
            </w:r>
          </w:p>
        </w:tc>
        <w:tc>
          <w:tcPr>
            <w:tcW w:w="6794" w:type="dxa"/>
            <w:gridSpan w:val="9"/>
          </w:tcPr>
          <w:p w14:paraId="5C7EC728" w14:textId="77777777" w:rsidR="005145BD" w:rsidRPr="0019790A" w:rsidRDefault="005145BD" w:rsidP="0019790A">
            <w:pPr>
              <w:pStyle w:val="TableParagraph"/>
              <w:ind w:left="0"/>
              <w:jc w:val="both"/>
              <w:rPr>
                <w:rFonts w:ascii="Arial" w:hAnsi="Arial" w:cs="Arial"/>
              </w:rPr>
            </w:pPr>
            <w:r w:rsidRPr="0019790A">
              <w:rPr>
                <w:rFonts w:ascii="Arial" w:hAnsi="Arial" w:cs="Arial"/>
              </w:rPr>
              <w:t xml:space="preserve"> Учасники освітнього процесу, працівники закладів освіти, жителі громади</w:t>
            </w:r>
          </w:p>
        </w:tc>
      </w:tr>
      <w:tr w:rsidR="005145BD" w:rsidRPr="0019790A" w14:paraId="60E4EA21" w14:textId="77777777" w:rsidTr="00B8248C">
        <w:trPr>
          <w:jc w:val="right"/>
        </w:trPr>
        <w:tc>
          <w:tcPr>
            <w:tcW w:w="3425" w:type="dxa"/>
            <w:shd w:val="clear" w:color="auto" w:fill="FFFFFF"/>
            <w:vAlign w:val="center"/>
          </w:tcPr>
          <w:p w14:paraId="6E02EA7C" w14:textId="77777777" w:rsidR="005145BD" w:rsidRPr="0019790A" w:rsidRDefault="005145BD" w:rsidP="0019790A">
            <w:pPr>
              <w:rPr>
                <w:rFonts w:cs="Arial"/>
                <w:b/>
                <w:bCs/>
                <w:szCs w:val="22"/>
              </w:rPr>
            </w:pPr>
            <w:r w:rsidRPr="0019790A">
              <w:rPr>
                <w:rFonts w:cs="Arial"/>
                <w:b/>
                <w:bCs/>
                <w:szCs w:val="22"/>
              </w:rPr>
              <w:t>Стислий опис проєкту:</w:t>
            </w:r>
          </w:p>
        </w:tc>
        <w:tc>
          <w:tcPr>
            <w:tcW w:w="6794" w:type="dxa"/>
            <w:gridSpan w:val="9"/>
          </w:tcPr>
          <w:p w14:paraId="00EA7FF3" w14:textId="0F36DB98" w:rsidR="005145BD" w:rsidRPr="0019790A" w:rsidRDefault="005145BD" w:rsidP="0019790A">
            <w:pPr>
              <w:ind w:left="-10"/>
              <w:jc w:val="both"/>
              <w:rPr>
                <w:rFonts w:cs="Arial"/>
                <w:szCs w:val="22"/>
              </w:rPr>
            </w:pPr>
            <w:r w:rsidRPr="0019790A">
              <w:rPr>
                <w:rFonts w:cs="Arial"/>
                <w:szCs w:val="22"/>
                <w:shd w:val="clear" w:color="auto" w:fill="FFFFFF"/>
              </w:rPr>
              <w:t xml:space="preserve">   </w:t>
            </w:r>
            <w:r w:rsidRPr="0019790A">
              <w:rPr>
                <w:rFonts w:cs="Arial"/>
                <w:szCs w:val="22"/>
              </w:rPr>
              <w:t xml:space="preserve">       У сучасних умовах для українських дітей важливо не лише здобувати освіту, а й перебувати в безпеці. Ми активно працюємо над нарощенням фонду захисних споруд у навчальних закладах, створенням </w:t>
            </w:r>
            <w:r w:rsidR="00CD6B99">
              <w:rPr>
                <w:rFonts w:cs="Arial"/>
                <w:szCs w:val="22"/>
              </w:rPr>
              <w:t>безбар’єрних</w:t>
            </w:r>
            <w:r w:rsidRPr="0019790A">
              <w:rPr>
                <w:rFonts w:cs="Arial"/>
                <w:szCs w:val="22"/>
              </w:rPr>
              <w:t xml:space="preserve"> укриттів, забезпечуючи комфорт та захист для кожного учня.</w:t>
            </w:r>
            <w:r w:rsidRPr="0019790A">
              <w:rPr>
                <w:rStyle w:val="afe"/>
                <w:rFonts w:cs="Arial"/>
                <w:szCs w:val="22"/>
                <w:bdr w:val="none" w:sz="0" w:space="0" w:color="auto" w:frame="1"/>
              </w:rPr>
              <w:t xml:space="preserve"> </w:t>
            </w:r>
          </w:p>
          <w:p w14:paraId="3F3B4C24" w14:textId="77777777" w:rsidR="005145BD" w:rsidRPr="0019790A" w:rsidRDefault="005145BD" w:rsidP="0019790A">
            <w:pPr>
              <w:jc w:val="both"/>
              <w:rPr>
                <w:rFonts w:cs="Arial"/>
                <w:szCs w:val="22"/>
                <w:lang w:eastAsia="it-IT"/>
              </w:rPr>
            </w:pPr>
            <w:r w:rsidRPr="0019790A">
              <w:rPr>
                <w:rFonts w:cs="Arial"/>
                <w:szCs w:val="22"/>
              </w:rPr>
              <w:t xml:space="preserve">  Реалізація проєкту дозволить відновити роботу закладів дошкільної та загальної середньої освіти в очному форматі, сприятиме формуванню безпечного освітнього простору у закладах освіти, дозволить забезпечити кожній дитині — незалежно від її потреб та рівня освіти безпечні та комфортні умови під час повітряних тривог</w:t>
            </w:r>
          </w:p>
        </w:tc>
      </w:tr>
      <w:tr w:rsidR="005145BD" w:rsidRPr="0019790A" w14:paraId="77F0FA19" w14:textId="77777777" w:rsidTr="00B8248C">
        <w:trPr>
          <w:jc w:val="right"/>
        </w:trPr>
        <w:tc>
          <w:tcPr>
            <w:tcW w:w="3425" w:type="dxa"/>
            <w:shd w:val="clear" w:color="auto" w:fill="FFFFFF"/>
            <w:vAlign w:val="center"/>
          </w:tcPr>
          <w:p w14:paraId="48F6CC41" w14:textId="77777777" w:rsidR="005145BD" w:rsidRPr="0019790A" w:rsidRDefault="005145BD" w:rsidP="0019790A">
            <w:pPr>
              <w:rPr>
                <w:rFonts w:cs="Arial"/>
                <w:b/>
                <w:bCs/>
                <w:szCs w:val="22"/>
              </w:rPr>
            </w:pPr>
            <w:r w:rsidRPr="0019790A">
              <w:rPr>
                <w:rFonts w:cs="Arial"/>
                <w:b/>
                <w:bCs/>
                <w:szCs w:val="22"/>
              </w:rPr>
              <w:t>Основні заходи проєкту:</w:t>
            </w:r>
          </w:p>
        </w:tc>
        <w:tc>
          <w:tcPr>
            <w:tcW w:w="6794" w:type="dxa"/>
            <w:gridSpan w:val="9"/>
            <w:vAlign w:val="center"/>
          </w:tcPr>
          <w:p w14:paraId="3F06B267" w14:textId="77777777" w:rsidR="005145BD" w:rsidRPr="0019790A" w:rsidRDefault="005145BD" w:rsidP="0019790A">
            <w:pPr>
              <w:pStyle w:val="af4"/>
              <w:suppressAutoHyphens w:val="0"/>
              <w:spacing w:after="0" w:line="240" w:lineRule="auto"/>
              <w:contextualSpacing/>
              <w:jc w:val="both"/>
              <w:rPr>
                <w:rFonts w:ascii="Arial" w:hAnsi="Arial" w:cs="Arial"/>
                <w:iCs/>
              </w:rPr>
            </w:pPr>
            <w:r w:rsidRPr="0019790A">
              <w:rPr>
                <w:rFonts w:ascii="Arial" w:hAnsi="Arial" w:cs="Arial"/>
                <w:iCs/>
              </w:rPr>
              <w:t>1. Проведення робіт з ремонту та облаштування ПРУ КЗ «Жмеринський ліцей №6, найпростішого укриття ЗДО № 5 «Джерельце», ЗДО № 7 «Ромашка», Браїлівського ЗДО № 1 «Дзвіночок».</w:t>
            </w:r>
          </w:p>
          <w:p w14:paraId="7EF6FC9F" w14:textId="77777777" w:rsidR="005145BD" w:rsidRPr="0019790A" w:rsidRDefault="005145BD" w:rsidP="0019790A">
            <w:pPr>
              <w:pStyle w:val="af4"/>
              <w:suppressAutoHyphens w:val="0"/>
              <w:spacing w:after="0" w:line="240" w:lineRule="auto"/>
              <w:contextualSpacing/>
              <w:jc w:val="both"/>
              <w:rPr>
                <w:rFonts w:ascii="Arial" w:hAnsi="Arial" w:cs="Arial"/>
                <w:iCs/>
              </w:rPr>
            </w:pPr>
            <w:r w:rsidRPr="0019790A">
              <w:rPr>
                <w:rFonts w:ascii="Arial" w:hAnsi="Arial" w:cs="Arial"/>
                <w:iCs/>
              </w:rPr>
              <w:t>2. Встановлення модульного укриття в ЗДО № 4 «Вишенька».</w:t>
            </w:r>
          </w:p>
          <w:p w14:paraId="64464C7B" w14:textId="77777777" w:rsidR="005145BD" w:rsidRPr="0019790A" w:rsidRDefault="005145BD" w:rsidP="0019790A">
            <w:pPr>
              <w:pStyle w:val="af4"/>
              <w:suppressAutoHyphens w:val="0"/>
              <w:spacing w:after="0" w:line="240" w:lineRule="auto"/>
              <w:contextualSpacing/>
              <w:jc w:val="both"/>
              <w:rPr>
                <w:rFonts w:ascii="Arial" w:hAnsi="Arial" w:cs="Arial"/>
                <w:b/>
                <w:iCs/>
              </w:rPr>
            </w:pPr>
            <w:r w:rsidRPr="0019790A">
              <w:rPr>
                <w:rFonts w:ascii="Arial" w:hAnsi="Arial" w:cs="Arial"/>
                <w:iCs/>
              </w:rPr>
              <w:t xml:space="preserve">3. Виготовлення ПКД на будівництво укриття (КЗСО «Жмеринський ліцей ІІІ ступеня», КЗ «Жмеринський ліцей № 3»   </w:t>
            </w:r>
          </w:p>
        </w:tc>
      </w:tr>
      <w:tr w:rsidR="005145BD" w:rsidRPr="0019790A" w14:paraId="38BC5C6E" w14:textId="77777777" w:rsidTr="00B8248C">
        <w:trPr>
          <w:jc w:val="right"/>
        </w:trPr>
        <w:tc>
          <w:tcPr>
            <w:tcW w:w="3425" w:type="dxa"/>
            <w:shd w:val="clear" w:color="auto" w:fill="FFFFFF"/>
            <w:vAlign w:val="center"/>
          </w:tcPr>
          <w:p w14:paraId="72B7951A" w14:textId="77777777" w:rsidR="005145BD" w:rsidRPr="0019790A" w:rsidRDefault="005145BD" w:rsidP="0019790A">
            <w:pPr>
              <w:rPr>
                <w:rFonts w:cs="Arial"/>
                <w:b/>
                <w:bCs/>
                <w:szCs w:val="22"/>
              </w:rPr>
            </w:pPr>
            <w:r w:rsidRPr="0019790A">
              <w:rPr>
                <w:rFonts w:cs="Arial"/>
                <w:b/>
                <w:bCs/>
                <w:szCs w:val="22"/>
              </w:rPr>
              <w:t>Індикатори (показники) результативності:</w:t>
            </w:r>
          </w:p>
        </w:tc>
        <w:tc>
          <w:tcPr>
            <w:tcW w:w="6794" w:type="dxa"/>
            <w:gridSpan w:val="9"/>
          </w:tcPr>
          <w:p w14:paraId="07E008C0" w14:textId="77777777" w:rsidR="005145BD" w:rsidRPr="0019790A" w:rsidRDefault="005145BD" w:rsidP="0019790A">
            <w:pPr>
              <w:widowControl w:val="0"/>
              <w:jc w:val="both"/>
              <w:rPr>
                <w:rFonts w:cs="Arial"/>
                <w:szCs w:val="22"/>
              </w:rPr>
            </w:pPr>
            <w:r w:rsidRPr="0019790A">
              <w:rPr>
                <w:rFonts w:cs="Arial"/>
                <w:szCs w:val="22"/>
              </w:rPr>
              <w:t xml:space="preserve">  Збільшено фонд захисних споруд, відновлено роботу 3 закладів дошкільної освіти, </w:t>
            </w:r>
            <w:r w:rsidRPr="0019790A">
              <w:rPr>
                <w:rFonts w:eastAsia="Arial" w:cs="Arial"/>
                <w:szCs w:val="22"/>
                <w:shd w:val="clear" w:color="auto" w:fill="FFFFFF"/>
              </w:rPr>
              <w:t>підвищено рівень стану безпеки в 2 закладах загальної середньої освіти, що дозволить організувати освітній процес в очному форматі для 1400 учнів.</w:t>
            </w:r>
          </w:p>
        </w:tc>
      </w:tr>
      <w:tr w:rsidR="005145BD" w:rsidRPr="0019790A" w14:paraId="258A64C2" w14:textId="77777777" w:rsidTr="00B8248C">
        <w:trPr>
          <w:jc w:val="right"/>
        </w:trPr>
        <w:tc>
          <w:tcPr>
            <w:tcW w:w="3425" w:type="dxa"/>
            <w:shd w:val="clear" w:color="auto" w:fill="FFFFFF"/>
            <w:vAlign w:val="center"/>
          </w:tcPr>
          <w:p w14:paraId="2D32C805" w14:textId="77777777" w:rsidR="005145BD" w:rsidRPr="0019790A" w:rsidRDefault="005145BD" w:rsidP="0019790A">
            <w:pPr>
              <w:rPr>
                <w:rFonts w:cs="Arial"/>
                <w:b/>
                <w:szCs w:val="22"/>
              </w:rPr>
            </w:pPr>
            <w:r w:rsidRPr="0019790A">
              <w:rPr>
                <w:rFonts w:cs="Arial"/>
                <w:b/>
                <w:szCs w:val="22"/>
              </w:rPr>
              <w:t xml:space="preserve">Період здійснення: </w:t>
            </w:r>
          </w:p>
        </w:tc>
        <w:tc>
          <w:tcPr>
            <w:tcW w:w="6794" w:type="dxa"/>
            <w:gridSpan w:val="9"/>
            <w:vAlign w:val="center"/>
          </w:tcPr>
          <w:p w14:paraId="10303C6A" w14:textId="77777777" w:rsidR="005145BD" w:rsidRPr="0019790A" w:rsidRDefault="005145BD" w:rsidP="0019790A">
            <w:pPr>
              <w:rPr>
                <w:rFonts w:cs="Arial"/>
                <w:szCs w:val="22"/>
                <w:lang w:eastAsia="it-IT"/>
              </w:rPr>
            </w:pPr>
            <w:r w:rsidRPr="0019790A">
              <w:rPr>
                <w:rFonts w:cs="Arial"/>
                <w:b/>
                <w:szCs w:val="22"/>
              </w:rPr>
              <w:t>2025 – 2028 роки:</w:t>
            </w:r>
          </w:p>
        </w:tc>
      </w:tr>
      <w:tr w:rsidR="005145BD" w:rsidRPr="0019790A" w14:paraId="5917496F" w14:textId="77777777" w:rsidTr="00B8248C">
        <w:trPr>
          <w:jc w:val="right"/>
        </w:trPr>
        <w:tc>
          <w:tcPr>
            <w:tcW w:w="3425" w:type="dxa"/>
            <w:vMerge w:val="restart"/>
            <w:shd w:val="clear" w:color="auto" w:fill="FFFFFF"/>
            <w:vAlign w:val="center"/>
          </w:tcPr>
          <w:p w14:paraId="49482D6F" w14:textId="77777777" w:rsidR="005145BD" w:rsidRPr="0019790A" w:rsidRDefault="005145BD" w:rsidP="0019790A">
            <w:pPr>
              <w:rPr>
                <w:rFonts w:cs="Arial"/>
                <w:b/>
                <w:bCs/>
                <w:szCs w:val="22"/>
              </w:rPr>
            </w:pPr>
            <w:r w:rsidRPr="0019790A">
              <w:rPr>
                <w:rFonts w:cs="Arial"/>
                <w:b/>
                <w:bCs/>
                <w:szCs w:val="22"/>
              </w:rPr>
              <w:t>Орієнтовна вартість проєкту, тис. грн., в тому числі:</w:t>
            </w:r>
          </w:p>
        </w:tc>
        <w:tc>
          <w:tcPr>
            <w:tcW w:w="1254" w:type="dxa"/>
            <w:shd w:val="clear" w:color="auto" w:fill="E6E6E6"/>
            <w:vAlign w:val="center"/>
          </w:tcPr>
          <w:p w14:paraId="7103D5AF" w14:textId="77777777" w:rsidR="005145BD" w:rsidRPr="0019790A" w:rsidRDefault="005145BD" w:rsidP="0019790A">
            <w:pPr>
              <w:jc w:val="center"/>
              <w:rPr>
                <w:rFonts w:cs="Arial"/>
                <w:b/>
                <w:szCs w:val="22"/>
                <w:lang w:eastAsia="it-IT"/>
              </w:rPr>
            </w:pPr>
            <w:r w:rsidRPr="0019790A">
              <w:rPr>
                <w:rFonts w:cs="Arial"/>
                <w:b/>
                <w:szCs w:val="22"/>
                <w:lang w:eastAsia="it-IT"/>
              </w:rPr>
              <w:t>2025</w:t>
            </w:r>
          </w:p>
        </w:tc>
        <w:tc>
          <w:tcPr>
            <w:tcW w:w="1275" w:type="dxa"/>
            <w:gridSpan w:val="2"/>
            <w:shd w:val="clear" w:color="auto" w:fill="E6E6E6"/>
            <w:vAlign w:val="center"/>
          </w:tcPr>
          <w:p w14:paraId="3B299D06" w14:textId="77777777" w:rsidR="005145BD" w:rsidRPr="0019790A" w:rsidRDefault="005145BD" w:rsidP="0019790A">
            <w:pPr>
              <w:jc w:val="center"/>
              <w:rPr>
                <w:rFonts w:cs="Arial"/>
                <w:b/>
                <w:szCs w:val="22"/>
                <w:lang w:eastAsia="it-IT"/>
              </w:rPr>
            </w:pPr>
            <w:r w:rsidRPr="0019790A">
              <w:rPr>
                <w:rFonts w:cs="Arial"/>
                <w:b/>
                <w:szCs w:val="22"/>
                <w:lang w:eastAsia="it-IT"/>
              </w:rPr>
              <w:t>2026</w:t>
            </w:r>
          </w:p>
        </w:tc>
        <w:tc>
          <w:tcPr>
            <w:tcW w:w="1418" w:type="dxa"/>
            <w:gridSpan w:val="2"/>
            <w:tcBorders>
              <w:bottom w:val="single" w:sz="4" w:space="0" w:color="auto"/>
            </w:tcBorders>
            <w:shd w:val="clear" w:color="auto" w:fill="E6E6E6"/>
            <w:vAlign w:val="center"/>
          </w:tcPr>
          <w:p w14:paraId="4679D229" w14:textId="77777777" w:rsidR="005145BD" w:rsidRPr="0019790A" w:rsidRDefault="005145BD" w:rsidP="0019790A">
            <w:pPr>
              <w:jc w:val="center"/>
              <w:rPr>
                <w:rFonts w:cs="Arial"/>
                <w:b/>
                <w:szCs w:val="22"/>
                <w:lang w:eastAsia="it-IT"/>
              </w:rPr>
            </w:pPr>
            <w:r w:rsidRPr="0019790A">
              <w:rPr>
                <w:rFonts w:cs="Arial"/>
                <w:b/>
                <w:szCs w:val="22"/>
                <w:lang w:eastAsia="it-IT"/>
              </w:rPr>
              <w:t>2027</w:t>
            </w:r>
          </w:p>
        </w:tc>
        <w:tc>
          <w:tcPr>
            <w:tcW w:w="1276" w:type="dxa"/>
            <w:gridSpan w:val="2"/>
            <w:shd w:val="clear" w:color="auto" w:fill="E6E6E6"/>
            <w:vAlign w:val="center"/>
          </w:tcPr>
          <w:p w14:paraId="4A8046B6" w14:textId="77777777" w:rsidR="005145BD" w:rsidRPr="0019790A" w:rsidRDefault="005145BD" w:rsidP="0019790A">
            <w:pPr>
              <w:jc w:val="center"/>
              <w:rPr>
                <w:rFonts w:cs="Arial"/>
                <w:b/>
                <w:szCs w:val="22"/>
                <w:lang w:eastAsia="it-IT"/>
              </w:rPr>
            </w:pPr>
            <w:r w:rsidRPr="0019790A">
              <w:rPr>
                <w:rFonts w:cs="Arial"/>
                <w:b/>
                <w:szCs w:val="22"/>
                <w:lang w:eastAsia="it-IT"/>
              </w:rPr>
              <w:t>2028</w:t>
            </w:r>
          </w:p>
        </w:tc>
        <w:tc>
          <w:tcPr>
            <w:tcW w:w="1571" w:type="dxa"/>
            <w:gridSpan w:val="2"/>
            <w:shd w:val="clear" w:color="auto" w:fill="E6E6E6"/>
            <w:vAlign w:val="center"/>
          </w:tcPr>
          <w:p w14:paraId="36258976" w14:textId="77777777" w:rsidR="005145BD" w:rsidRPr="0019790A" w:rsidRDefault="005145BD" w:rsidP="0019790A">
            <w:pPr>
              <w:jc w:val="center"/>
              <w:rPr>
                <w:rFonts w:cs="Arial"/>
                <w:b/>
                <w:szCs w:val="22"/>
                <w:lang w:eastAsia="it-IT"/>
              </w:rPr>
            </w:pPr>
            <w:r w:rsidRPr="0019790A">
              <w:rPr>
                <w:rFonts w:cs="Arial"/>
                <w:b/>
                <w:szCs w:val="22"/>
                <w:lang w:eastAsia="it-IT"/>
              </w:rPr>
              <w:t>РАЗОМ</w:t>
            </w:r>
          </w:p>
        </w:tc>
      </w:tr>
      <w:tr w:rsidR="005145BD" w:rsidRPr="0019790A" w14:paraId="7E2337D6" w14:textId="77777777" w:rsidTr="00B8248C">
        <w:trPr>
          <w:jc w:val="right"/>
        </w:trPr>
        <w:tc>
          <w:tcPr>
            <w:tcW w:w="3425" w:type="dxa"/>
            <w:vMerge/>
            <w:shd w:val="clear" w:color="auto" w:fill="FFFFFF"/>
            <w:vAlign w:val="center"/>
          </w:tcPr>
          <w:p w14:paraId="6D6911CB" w14:textId="77777777" w:rsidR="005145BD" w:rsidRPr="0019790A" w:rsidRDefault="005145BD" w:rsidP="0019790A">
            <w:pPr>
              <w:rPr>
                <w:rFonts w:cs="Arial"/>
                <w:b/>
                <w:bCs/>
                <w:szCs w:val="22"/>
              </w:rPr>
            </w:pPr>
          </w:p>
        </w:tc>
        <w:tc>
          <w:tcPr>
            <w:tcW w:w="1254" w:type="dxa"/>
            <w:vAlign w:val="center"/>
          </w:tcPr>
          <w:p w14:paraId="72DC9D37" w14:textId="77777777" w:rsidR="005145BD" w:rsidRPr="0019790A" w:rsidRDefault="005145BD" w:rsidP="0019790A">
            <w:pPr>
              <w:jc w:val="center"/>
              <w:rPr>
                <w:rFonts w:cs="Arial"/>
                <w:b/>
                <w:szCs w:val="22"/>
                <w:lang w:eastAsia="it-IT"/>
              </w:rPr>
            </w:pPr>
            <w:r w:rsidRPr="0019790A">
              <w:rPr>
                <w:rFonts w:cs="Arial"/>
                <w:b/>
                <w:szCs w:val="22"/>
                <w:lang w:eastAsia="it-IT"/>
              </w:rPr>
              <w:t>6 500,00</w:t>
            </w:r>
          </w:p>
        </w:tc>
        <w:tc>
          <w:tcPr>
            <w:tcW w:w="1275" w:type="dxa"/>
            <w:gridSpan w:val="2"/>
            <w:shd w:val="clear" w:color="auto" w:fill="FFFFFF"/>
            <w:vAlign w:val="center"/>
          </w:tcPr>
          <w:p w14:paraId="14884C95" w14:textId="77777777" w:rsidR="005145BD" w:rsidRPr="0019790A" w:rsidRDefault="005145BD" w:rsidP="0019790A">
            <w:pPr>
              <w:jc w:val="center"/>
              <w:rPr>
                <w:rFonts w:cs="Arial"/>
                <w:b/>
                <w:szCs w:val="22"/>
                <w:lang w:eastAsia="it-IT"/>
              </w:rPr>
            </w:pPr>
            <w:r w:rsidRPr="0019790A">
              <w:rPr>
                <w:rFonts w:cs="Arial"/>
                <w:b/>
                <w:szCs w:val="22"/>
                <w:lang w:eastAsia="it-IT"/>
              </w:rPr>
              <w:t>6 000,00</w:t>
            </w:r>
          </w:p>
        </w:tc>
        <w:tc>
          <w:tcPr>
            <w:tcW w:w="1418" w:type="dxa"/>
            <w:gridSpan w:val="2"/>
            <w:shd w:val="clear" w:color="auto" w:fill="auto"/>
            <w:vAlign w:val="center"/>
          </w:tcPr>
          <w:p w14:paraId="4BEE9E82" w14:textId="77777777" w:rsidR="005145BD" w:rsidRPr="0019790A" w:rsidRDefault="005145BD" w:rsidP="0019790A">
            <w:pPr>
              <w:jc w:val="center"/>
              <w:rPr>
                <w:rFonts w:cs="Arial"/>
                <w:b/>
                <w:szCs w:val="22"/>
                <w:lang w:eastAsia="it-IT"/>
              </w:rPr>
            </w:pPr>
            <w:r w:rsidRPr="0019790A">
              <w:rPr>
                <w:rFonts w:cs="Arial"/>
                <w:b/>
                <w:szCs w:val="22"/>
                <w:lang w:eastAsia="it-IT"/>
              </w:rPr>
              <w:t>10 000,00</w:t>
            </w:r>
          </w:p>
        </w:tc>
        <w:tc>
          <w:tcPr>
            <w:tcW w:w="1276" w:type="dxa"/>
            <w:gridSpan w:val="2"/>
            <w:shd w:val="clear" w:color="auto" w:fill="FFFFFF"/>
            <w:vAlign w:val="center"/>
          </w:tcPr>
          <w:p w14:paraId="1C43CBC7" w14:textId="77777777" w:rsidR="005145BD" w:rsidRPr="0019790A" w:rsidRDefault="005145BD" w:rsidP="0019790A">
            <w:pPr>
              <w:jc w:val="center"/>
              <w:rPr>
                <w:rFonts w:cs="Arial"/>
                <w:b/>
                <w:szCs w:val="22"/>
                <w:lang w:eastAsia="it-IT"/>
              </w:rPr>
            </w:pPr>
            <w:r w:rsidRPr="0019790A">
              <w:rPr>
                <w:rFonts w:cs="Arial"/>
                <w:b/>
                <w:szCs w:val="22"/>
                <w:lang w:eastAsia="it-IT"/>
              </w:rPr>
              <w:t>10 000,00</w:t>
            </w:r>
          </w:p>
        </w:tc>
        <w:tc>
          <w:tcPr>
            <w:tcW w:w="1571" w:type="dxa"/>
            <w:gridSpan w:val="2"/>
            <w:shd w:val="clear" w:color="auto" w:fill="FFFFFF"/>
            <w:vAlign w:val="center"/>
          </w:tcPr>
          <w:p w14:paraId="6FED5001" w14:textId="77777777" w:rsidR="005145BD" w:rsidRPr="0019790A" w:rsidRDefault="005145BD" w:rsidP="0019790A">
            <w:pPr>
              <w:jc w:val="center"/>
              <w:rPr>
                <w:rFonts w:cs="Arial"/>
                <w:b/>
                <w:bCs/>
                <w:szCs w:val="22"/>
                <w:lang w:eastAsia="it-IT"/>
              </w:rPr>
            </w:pPr>
            <w:r w:rsidRPr="0019790A">
              <w:rPr>
                <w:rFonts w:cs="Arial"/>
                <w:b/>
                <w:bCs/>
                <w:szCs w:val="22"/>
              </w:rPr>
              <w:t>32 500,00</w:t>
            </w:r>
          </w:p>
        </w:tc>
      </w:tr>
      <w:tr w:rsidR="005145BD" w:rsidRPr="0019790A" w14:paraId="4D15C7C0" w14:textId="77777777" w:rsidTr="00B8248C">
        <w:trPr>
          <w:trHeight w:val="276"/>
          <w:jc w:val="right"/>
        </w:trPr>
        <w:tc>
          <w:tcPr>
            <w:tcW w:w="3425" w:type="dxa"/>
            <w:shd w:val="clear" w:color="auto" w:fill="FFFFFF"/>
            <w:vAlign w:val="center"/>
          </w:tcPr>
          <w:p w14:paraId="28220827" w14:textId="77777777" w:rsidR="005145BD" w:rsidRPr="0019790A" w:rsidRDefault="005145BD" w:rsidP="0019790A">
            <w:pPr>
              <w:rPr>
                <w:rFonts w:cs="Arial"/>
                <w:b/>
                <w:bCs/>
                <w:szCs w:val="22"/>
              </w:rPr>
            </w:pPr>
            <w:r w:rsidRPr="0019790A">
              <w:rPr>
                <w:rFonts w:cs="Arial"/>
                <w:b/>
                <w:bCs/>
                <w:szCs w:val="22"/>
              </w:rPr>
              <w:t>по джерелах фінансування:</w:t>
            </w:r>
          </w:p>
        </w:tc>
        <w:tc>
          <w:tcPr>
            <w:tcW w:w="6794" w:type="dxa"/>
            <w:gridSpan w:val="9"/>
            <w:vAlign w:val="center"/>
          </w:tcPr>
          <w:p w14:paraId="3C9F79F0" w14:textId="77777777" w:rsidR="005145BD" w:rsidRPr="0019790A" w:rsidRDefault="005145BD" w:rsidP="0019790A">
            <w:pPr>
              <w:jc w:val="both"/>
              <w:rPr>
                <w:rFonts w:cs="Arial"/>
                <w:szCs w:val="22"/>
                <w:lang w:eastAsia="it-IT"/>
              </w:rPr>
            </w:pPr>
          </w:p>
        </w:tc>
      </w:tr>
      <w:tr w:rsidR="005145BD" w:rsidRPr="0019790A" w14:paraId="45BE1E36" w14:textId="77777777" w:rsidTr="00B8248C">
        <w:trPr>
          <w:trHeight w:val="240"/>
          <w:jc w:val="right"/>
        </w:trPr>
        <w:tc>
          <w:tcPr>
            <w:tcW w:w="3425" w:type="dxa"/>
            <w:shd w:val="clear" w:color="auto" w:fill="FFFFFF"/>
            <w:vAlign w:val="center"/>
          </w:tcPr>
          <w:p w14:paraId="579CE93D" w14:textId="77777777" w:rsidR="005145BD" w:rsidRPr="0019790A" w:rsidRDefault="005145BD" w:rsidP="0019790A">
            <w:pPr>
              <w:rPr>
                <w:rFonts w:cs="Arial"/>
                <w:b/>
                <w:bCs/>
                <w:szCs w:val="22"/>
              </w:rPr>
            </w:pPr>
            <w:r w:rsidRPr="0019790A">
              <w:rPr>
                <w:rFonts w:cs="Arial"/>
                <w:szCs w:val="22"/>
              </w:rPr>
              <w:t>- державний бюджет</w:t>
            </w:r>
          </w:p>
        </w:tc>
        <w:tc>
          <w:tcPr>
            <w:tcW w:w="1358" w:type="dxa"/>
            <w:gridSpan w:val="2"/>
            <w:vAlign w:val="center"/>
          </w:tcPr>
          <w:p w14:paraId="39ACB6DB" w14:textId="77777777" w:rsidR="005145BD" w:rsidRPr="00CD6B99" w:rsidRDefault="005145BD" w:rsidP="0019790A">
            <w:pPr>
              <w:jc w:val="both"/>
              <w:rPr>
                <w:rFonts w:cs="Arial"/>
                <w:szCs w:val="22"/>
                <w:lang w:eastAsia="it-IT"/>
              </w:rPr>
            </w:pPr>
            <w:r w:rsidRPr="00CD6B99">
              <w:rPr>
                <w:rFonts w:cs="Arial"/>
                <w:szCs w:val="22"/>
                <w:lang w:eastAsia="it-IT"/>
              </w:rPr>
              <w:t>3 200,00</w:t>
            </w:r>
          </w:p>
        </w:tc>
        <w:tc>
          <w:tcPr>
            <w:tcW w:w="1359" w:type="dxa"/>
            <w:gridSpan w:val="2"/>
            <w:vAlign w:val="center"/>
          </w:tcPr>
          <w:p w14:paraId="31EFC667" w14:textId="77777777" w:rsidR="005145BD" w:rsidRPr="00CD6B99" w:rsidRDefault="005145BD" w:rsidP="0019790A">
            <w:pPr>
              <w:jc w:val="center"/>
              <w:rPr>
                <w:rFonts w:cs="Arial"/>
                <w:szCs w:val="22"/>
                <w:lang w:eastAsia="it-IT"/>
              </w:rPr>
            </w:pPr>
            <w:r w:rsidRPr="00CD6B99">
              <w:rPr>
                <w:rFonts w:cs="Arial"/>
                <w:szCs w:val="22"/>
                <w:lang w:eastAsia="it-IT"/>
              </w:rPr>
              <w:t>3 000,00</w:t>
            </w:r>
          </w:p>
        </w:tc>
        <w:tc>
          <w:tcPr>
            <w:tcW w:w="1359" w:type="dxa"/>
            <w:gridSpan w:val="2"/>
            <w:vAlign w:val="center"/>
          </w:tcPr>
          <w:p w14:paraId="569B24E6" w14:textId="77777777" w:rsidR="005145BD" w:rsidRPr="00CD6B99" w:rsidRDefault="005145BD" w:rsidP="0019790A">
            <w:pPr>
              <w:jc w:val="center"/>
              <w:rPr>
                <w:rFonts w:cs="Arial"/>
                <w:szCs w:val="22"/>
                <w:lang w:eastAsia="it-IT"/>
              </w:rPr>
            </w:pPr>
            <w:r w:rsidRPr="00CD6B99">
              <w:rPr>
                <w:rFonts w:cs="Arial"/>
                <w:szCs w:val="22"/>
                <w:lang w:eastAsia="it-IT"/>
              </w:rPr>
              <w:t>7 000,00</w:t>
            </w:r>
          </w:p>
        </w:tc>
        <w:tc>
          <w:tcPr>
            <w:tcW w:w="1359" w:type="dxa"/>
            <w:gridSpan w:val="2"/>
            <w:vAlign w:val="center"/>
          </w:tcPr>
          <w:p w14:paraId="18E37056" w14:textId="77777777" w:rsidR="005145BD" w:rsidRPr="00CD6B99" w:rsidRDefault="005145BD" w:rsidP="0019790A">
            <w:pPr>
              <w:jc w:val="center"/>
              <w:rPr>
                <w:rFonts w:cs="Arial"/>
                <w:szCs w:val="22"/>
                <w:lang w:eastAsia="it-IT"/>
              </w:rPr>
            </w:pPr>
            <w:r w:rsidRPr="00CD6B99">
              <w:rPr>
                <w:rFonts w:cs="Arial"/>
                <w:szCs w:val="22"/>
                <w:lang w:eastAsia="it-IT"/>
              </w:rPr>
              <w:t>7 000,00</w:t>
            </w:r>
          </w:p>
        </w:tc>
        <w:tc>
          <w:tcPr>
            <w:tcW w:w="1359" w:type="dxa"/>
            <w:vAlign w:val="center"/>
          </w:tcPr>
          <w:p w14:paraId="6859527B" w14:textId="77777777" w:rsidR="005145BD" w:rsidRPr="00CD6B99" w:rsidRDefault="005145BD" w:rsidP="0019790A">
            <w:pPr>
              <w:jc w:val="center"/>
              <w:rPr>
                <w:rFonts w:cs="Arial"/>
                <w:b/>
                <w:bCs/>
                <w:szCs w:val="22"/>
                <w:lang w:eastAsia="it-IT"/>
              </w:rPr>
            </w:pPr>
            <w:r w:rsidRPr="00CD6B99">
              <w:rPr>
                <w:rFonts w:cs="Arial"/>
                <w:b/>
                <w:bCs/>
                <w:szCs w:val="22"/>
              </w:rPr>
              <w:t>20 200,00</w:t>
            </w:r>
          </w:p>
        </w:tc>
      </w:tr>
      <w:tr w:rsidR="005145BD" w:rsidRPr="0019790A" w14:paraId="404F27D9" w14:textId="77777777" w:rsidTr="00B8248C">
        <w:trPr>
          <w:trHeight w:val="254"/>
          <w:jc w:val="right"/>
        </w:trPr>
        <w:tc>
          <w:tcPr>
            <w:tcW w:w="3425" w:type="dxa"/>
            <w:shd w:val="clear" w:color="auto" w:fill="FFFFFF"/>
            <w:vAlign w:val="center"/>
          </w:tcPr>
          <w:p w14:paraId="2999DC2E" w14:textId="77777777" w:rsidR="005145BD" w:rsidRPr="0019790A" w:rsidRDefault="005145BD" w:rsidP="0019790A">
            <w:pPr>
              <w:rPr>
                <w:rFonts w:cs="Arial"/>
                <w:szCs w:val="22"/>
              </w:rPr>
            </w:pPr>
            <w:r w:rsidRPr="0019790A">
              <w:rPr>
                <w:rFonts w:cs="Arial"/>
                <w:szCs w:val="22"/>
              </w:rPr>
              <w:t>- обласний бюджет</w:t>
            </w:r>
          </w:p>
        </w:tc>
        <w:tc>
          <w:tcPr>
            <w:tcW w:w="6794" w:type="dxa"/>
            <w:gridSpan w:val="9"/>
            <w:vAlign w:val="center"/>
          </w:tcPr>
          <w:p w14:paraId="0EA08D08" w14:textId="77777777" w:rsidR="005145BD" w:rsidRPr="00CD6B99" w:rsidRDefault="005145BD" w:rsidP="0019790A">
            <w:pPr>
              <w:jc w:val="both"/>
              <w:rPr>
                <w:rFonts w:cs="Arial"/>
                <w:szCs w:val="22"/>
                <w:lang w:eastAsia="it-IT"/>
              </w:rPr>
            </w:pPr>
          </w:p>
        </w:tc>
      </w:tr>
      <w:tr w:rsidR="005145BD" w:rsidRPr="0019790A" w14:paraId="100852C2" w14:textId="77777777" w:rsidTr="00B8248C">
        <w:trPr>
          <w:trHeight w:val="275"/>
          <w:jc w:val="right"/>
        </w:trPr>
        <w:tc>
          <w:tcPr>
            <w:tcW w:w="3425" w:type="dxa"/>
            <w:shd w:val="clear" w:color="auto" w:fill="FFFFFF"/>
            <w:vAlign w:val="center"/>
          </w:tcPr>
          <w:p w14:paraId="37B895A9" w14:textId="77777777" w:rsidR="005145BD" w:rsidRPr="0019790A" w:rsidRDefault="005145BD" w:rsidP="0019790A">
            <w:pPr>
              <w:rPr>
                <w:rFonts w:cs="Arial"/>
                <w:szCs w:val="22"/>
              </w:rPr>
            </w:pPr>
            <w:r w:rsidRPr="0019790A">
              <w:rPr>
                <w:rFonts w:cs="Arial"/>
                <w:szCs w:val="22"/>
              </w:rPr>
              <w:t>- бюджет Жмеринської МТГ</w:t>
            </w:r>
          </w:p>
        </w:tc>
        <w:tc>
          <w:tcPr>
            <w:tcW w:w="1358" w:type="dxa"/>
            <w:gridSpan w:val="2"/>
            <w:vAlign w:val="center"/>
          </w:tcPr>
          <w:p w14:paraId="3F524877" w14:textId="77777777" w:rsidR="005145BD" w:rsidRPr="00CD6B99" w:rsidRDefault="005145BD" w:rsidP="0019790A">
            <w:pPr>
              <w:jc w:val="both"/>
              <w:rPr>
                <w:rFonts w:cs="Arial"/>
                <w:szCs w:val="22"/>
                <w:lang w:eastAsia="it-IT"/>
              </w:rPr>
            </w:pPr>
            <w:r w:rsidRPr="00CD6B99">
              <w:rPr>
                <w:rFonts w:cs="Arial"/>
                <w:szCs w:val="22"/>
              </w:rPr>
              <w:t xml:space="preserve"> 3 300,00</w:t>
            </w:r>
          </w:p>
        </w:tc>
        <w:tc>
          <w:tcPr>
            <w:tcW w:w="1359" w:type="dxa"/>
            <w:gridSpan w:val="2"/>
            <w:vAlign w:val="center"/>
          </w:tcPr>
          <w:p w14:paraId="52B2CF6D" w14:textId="77777777" w:rsidR="005145BD" w:rsidRPr="00CD6B99" w:rsidRDefault="005145BD" w:rsidP="0019790A">
            <w:pPr>
              <w:jc w:val="center"/>
              <w:rPr>
                <w:rFonts w:cs="Arial"/>
                <w:szCs w:val="22"/>
                <w:lang w:eastAsia="it-IT"/>
              </w:rPr>
            </w:pPr>
            <w:r w:rsidRPr="00CD6B99">
              <w:rPr>
                <w:rFonts w:cs="Arial"/>
                <w:szCs w:val="22"/>
                <w:lang w:eastAsia="it-IT"/>
              </w:rPr>
              <w:t>3 000,00</w:t>
            </w:r>
          </w:p>
        </w:tc>
        <w:tc>
          <w:tcPr>
            <w:tcW w:w="1359" w:type="dxa"/>
            <w:gridSpan w:val="2"/>
            <w:vAlign w:val="center"/>
          </w:tcPr>
          <w:p w14:paraId="30CC6C67" w14:textId="77777777" w:rsidR="005145BD" w:rsidRPr="00CD6B99" w:rsidRDefault="005145BD" w:rsidP="0019790A">
            <w:pPr>
              <w:jc w:val="center"/>
              <w:rPr>
                <w:rFonts w:cs="Arial"/>
                <w:szCs w:val="22"/>
                <w:lang w:eastAsia="it-IT"/>
              </w:rPr>
            </w:pPr>
            <w:r w:rsidRPr="00CD6B99">
              <w:rPr>
                <w:rFonts w:cs="Arial"/>
                <w:szCs w:val="22"/>
                <w:lang w:eastAsia="it-IT"/>
              </w:rPr>
              <w:t>3 000,00</w:t>
            </w:r>
          </w:p>
        </w:tc>
        <w:tc>
          <w:tcPr>
            <w:tcW w:w="1359" w:type="dxa"/>
            <w:gridSpan w:val="2"/>
            <w:vAlign w:val="center"/>
          </w:tcPr>
          <w:p w14:paraId="2D678329" w14:textId="77777777" w:rsidR="005145BD" w:rsidRPr="00CD6B99" w:rsidRDefault="005145BD" w:rsidP="0019790A">
            <w:pPr>
              <w:jc w:val="center"/>
              <w:rPr>
                <w:rFonts w:cs="Arial"/>
                <w:szCs w:val="22"/>
                <w:lang w:eastAsia="it-IT"/>
              </w:rPr>
            </w:pPr>
            <w:r w:rsidRPr="00CD6B99">
              <w:rPr>
                <w:rFonts w:cs="Arial"/>
                <w:szCs w:val="22"/>
                <w:lang w:eastAsia="it-IT"/>
              </w:rPr>
              <w:t>3 000,00</w:t>
            </w:r>
          </w:p>
        </w:tc>
        <w:tc>
          <w:tcPr>
            <w:tcW w:w="1359" w:type="dxa"/>
            <w:vAlign w:val="center"/>
          </w:tcPr>
          <w:p w14:paraId="771F8A44" w14:textId="6A9ACC0F" w:rsidR="005145BD" w:rsidRPr="00CD6B99" w:rsidRDefault="005145BD" w:rsidP="00CD6B99">
            <w:pPr>
              <w:jc w:val="center"/>
              <w:rPr>
                <w:rFonts w:cs="Arial"/>
                <w:b/>
                <w:szCs w:val="22"/>
                <w:lang w:eastAsia="it-IT"/>
              </w:rPr>
            </w:pPr>
            <w:r w:rsidRPr="00CD6B99">
              <w:rPr>
                <w:rFonts w:cs="Arial"/>
                <w:b/>
                <w:szCs w:val="22"/>
                <w:lang w:eastAsia="it-IT"/>
              </w:rPr>
              <w:t>12 300,00</w:t>
            </w:r>
          </w:p>
        </w:tc>
      </w:tr>
      <w:tr w:rsidR="005145BD" w:rsidRPr="0019790A" w14:paraId="4401E39E" w14:textId="77777777" w:rsidTr="00B8248C">
        <w:trPr>
          <w:trHeight w:val="226"/>
          <w:jc w:val="right"/>
        </w:trPr>
        <w:tc>
          <w:tcPr>
            <w:tcW w:w="3425" w:type="dxa"/>
            <w:shd w:val="clear" w:color="auto" w:fill="FFFFFF"/>
            <w:vAlign w:val="center"/>
          </w:tcPr>
          <w:p w14:paraId="2A5BA04A" w14:textId="77777777" w:rsidR="005145BD" w:rsidRPr="0019790A" w:rsidRDefault="005145BD" w:rsidP="0019790A">
            <w:pPr>
              <w:rPr>
                <w:rFonts w:cs="Arial"/>
                <w:szCs w:val="22"/>
              </w:rPr>
            </w:pPr>
            <w:r w:rsidRPr="0019790A">
              <w:rPr>
                <w:rFonts w:cs="Arial"/>
                <w:szCs w:val="22"/>
              </w:rPr>
              <w:t>- інші джерела фінансування</w:t>
            </w:r>
          </w:p>
        </w:tc>
        <w:tc>
          <w:tcPr>
            <w:tcW w:w="6794" w:type="dxa"/>
            <w:gridSpan w:val="9"/>
            <w:vAlign w:val="center"/>
          </w:tcPr>
          <w:p w14:paraId="1820F91F" w14:textId="77777777" w:rsidR="005145BD" w:rsidRPr="00CD6B99" w:rsidRDefault="005145BD" w:rsidP="0019790A">
            <w:pPr>
              <w:jc w:val="both"/>
              <w:rPr>
                <w:rFonts w:cs="Arial"/>
                <w:szCs w:val="22"/>
                <w:lang w:eastAsia="it-IT"/>
              </w:rPr>
            </w:pPr>
          </w:p>
        </w:tc>
      </w:tr>
      <w:tr w:rsidR="005145BD" w:rsidRPr="0019790A" w14:paraId="44C46380" w14:textId="77777777" w:rsidTr="00B8248C">
        <w:trPr>
          <w:jc w:val="right"/>
        </w:trPr>
        <w:tc>
          <w:tcPr>
            <w:tcW w:w="3425" w:type="dxa"/>
            <w:shd w:val="clear" w:color="auto" w:fill="FFFFFF"/>
            <w:vAlign w:val="center"/>
          </w:tcPr>
          <w:p w14:paraId="1785F792" w14:textId="77777777" w:rsidR="005145BD" w:rsidRPr="0019790A" w:rsidRDefault="005145BD" w:rsidP="0019790A">
            <w:pPr>
              <w:rPr>
                <w:rFonts w:cs="Arial"/>
                <w:b/>
                <w:bCs/>
                <w:szCs w:val="22"/>
              </w:rPr>
            </w:pPr>
            <w:r w:rsidRPr="0019790A">
              <w:rPr>
                <w:rFonts w:cs="Arial"/>
                <w:b/>
                <w:szCs w:val="22"/>
              </w:rPr>
              <w:t>Відповідальний виконавець проєкту:</w:t>
            </w:r>
          </w:p>
        </w:tc>
        <w:tc>
          <w:tcPr>
            <w:tcW w:w="6794" w:type="dxa"/>
            <w:gridSpan w:val="9"/>
            <w:vAlign w:val="center"/>
          </w:tcPr>
          <w:p w14:paraId="09776758" w14:textId="77777777" w:rsidR="005145BD" w:rsidRPr="0019790A" w:rsidRDefault="005145BD" w:rsidP="0019790A">
            <w:pPr>
              <w:jc w:val="both"/>
              <w:rPr>
                <w:rFonts w:cs="Arial"/>
                <w:szCs w:val="22"/>
                <w:lang w:eastAsia="it-IT"/>
              </w:rPr>
            </w:pPr>
            <w:r w:rsidRPr="0019790A">
              <w:rPr>
                <w:rFonts w:cs="Arial"/>
                <w:szCs w:val="22"/>
                <w:lang w:eastAsia="it-IT"/>
              </w:rPr>
              <w:t>Управління ЖКГ Жмеринської міської ради, Управління освіти Жмеринської міської ради</w:t>
            </w:r>
          </w:p>
        </w:tc>
      </w:tr>
      <w:tr w:rsidR="005145BD" w:rsidRPr="0019790A" w14:paraId="3DF49E75" w14:textId="77777777" w:rsidTr="00B8248C">
        <w:trPr>
          <w:jc w:val="right"/>
        </w:trPr>
        <w:tc>
          <w:tcPr>
            <w:tcW w:w="3425" w:type="dxa"/>
            <w:shd w:val="clear" w:color="auto" w:fill="FFFFFF"/>
            <w:vAlign w:val="center"/>
          </w:tcPr>
          <w:p w14:paraId="3D29F8BF" w14:textId="77777777" w:rsidR="005145BD" w:rsidRPr="0019790A" w:rsidRDefault="005145BD" w:rsidP="0019790A">
            <w:pPr>
              <w:rPr>
                <w:rFonts w:cs="Arial"/>
                <w:b/>
                <w:bCs/>
                <w:szCs w:val="22"/>
              </w:rPr>
            </w:pPr>
            <w:r w:rsidRPr="0019790A">
              <w:rPr>
                <w:rFonts w:cs="Arial"/>
                <w:b/>
                <w:bCs/>
                <w:szCs w:val="22"/>
              </w:rPr>
              <w:t>Інше:</w:t>
            </w:r>
          </w:p>
        </w:tc>
        <w:tc>
          <w:tcPr>
            <w:tcW w:w="6794" w:type="dxa"/>
            <w:gridSpan w:val="9"/>
            <w:vAlign w:val="center"/>
          </w:tcPr>
          <w:p w14:paraId="2A05DCCE" w14:textId="77777777" w:rsidR="005145BD" w:rsidRPr="0019790A" w:rsidRDefault="005145BD" w:rsidP="0019790A">
            <w:pPr>
              <w:rPr>
                <w:rFonts w:cs="Arial"/>
                <w:szCs w:val="22"/>
                <w:lang w:eastAsia="it-IT"/>
              </w:rPr>
            </w:pPr>
          </w:p>
        </w:tc>
      </w:tr>
    </w:tbl>
    <w:p w14:paraId="6C6FBD40" w14:textId="77777777" w:rsidR="005145BD" w:rsidRPr="0019790A" w:rsidRDefault="005145BD" w:rsidP="0019790A">
      <w:pPr>
        <w:rPr>
          <w:rFonts w:cs="Arial"/>
          <w:szCs w:val="22"/>
        </w:rPr>
      </w:pPr>
    </w:p>
    <w:p w14:paraId="29A1E557" w14:textId="77777777" w:rsidR="00D34C6A" w:rsidRPr="0019790A" w:rsidRDefault="00D34C6A" w:rsidP="0019790A">
      <w:pPr>
        <w:pStyle w:val="af1"/>
        <w:spacing w:before="0"/>
        <w:ind w:right="3"/>
        <w:jc w:val="center"/>
        <w:rPr>
          <w:rFonts w:cs="Arial"/>
          <w:lang w:val="uk-UA"/>
        </w:rPr>
      </w:pPr>
      <w:r w:rsidRPr="0019790A">
        <w:rPr>
          <w:rFonts w:cs="Arial"/>
          <w:b/>
          <w:color w:val="000000"/>
          <w:lang w:val="uk-UA"/>
        </w:rPr>
        <w:t>Форма технічного завдання на проєкт місцевого розвитку</w:t>
      </w:r>
    </w:p>
    <w:p w14:paraId="42E809E1" w14:textId="77777777" w:rsidR="00D34C6A" w:rsidRPr="0019790A" w:rsidRDefault="00D34C6A" w:rsidP="0019790A">
      <w:pPr>
        <w:jc w:val="center"/>
        <w:rPr>
          <w:rFonts w:cs="Arial"/>
          <w:b/>
          <w:color w:val="000000"/>
          <w:szCs w:val="22"/>
        </w:rPr>
      </w:pPr>
      <w:r w:rsidRPr="0019790A">
        <w:rPr>
          <w:rFonts w:cs="Arial"/>
          <w:b/>
          <w:color w:val="000000"/>
          <w:szCs w:val="22"/>
        </w:rPr>
        <w:t>до Плану заходів з реалізації Стратегії</w:t>
      </w:r>
    </w:p>
    <w:p w14:paraId="5ACFDD52" w14:textId="77777777" w:rsidR="00D34C6A" w:rsidRPr="0019790A" w:rsidRDefault="00D34C6A"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5"/>
        <w:gridCol w:w="1245"/>
        <w:gridCol w:w="6"/>
        <w:gridCol w:w="9"/>
        <w:gridCol w:w="1284"/>
        <w:gridCol w:w="1414"/>
        <w:gridCol w:w="1279"/>
        <w:gridCol w:w="1577"/>
      </w:tblGrid>
      <w:tr w:rsidR="00D34C6A" w:rsidRPr="0019790A" w14:paraId="70B03ED0" w14:textId="77777777" w:rsidTr="00B8248C">
        <w:trPr>
          <w:jc w:val="right"/>
        </w:trPr>
        <w:tc>
          <w:tcPr>
            <w:tcW w:w="3405" w:type="dxa"/>
            <w:vAlign w:val="center"/>
          </w:tcPr>
          <w:p w14:paraId="736A71CC" w14:textId="77777777" w:rsidR="00D34C6A" w:rsidRPr="0019790A" w:rsidRDefault="00D34C6A" w:rsidP="0019790A">
            <w:pPr>
              <w:rPr>
                <w:rFonts w:cs="Arial"/>
                <w:b/>
                <w:bCs/>
                <w:color w:val="000000"/>
                <w:szCs w:val="22"/>
              </w:rPr>
            </w:pPr>
            <w:r w:rsidRPr="0019790A">
              <w:rPr>
                <w:rFonts w:cs="Arial"/>
                <w:b/>
                <w:bCs/>
                <w:color w:val="000000"/>
                <w:szCs w:val="22"/>
              </w:rPr>
              <w:t>Назва проєкту:</w:t>
            </w:r>
          </w:p>
        </w:tc>
        <w:tc>
          <w:tcPr>
            <w:tcW w:w="6814" w:type="dxa"/>
            <w:gridSpan w:val="7"/>
          </w:tcPr>
          <w:p w14:paraId="559C853C" w14:textId="77777777" w:rsidR="00D34C6A" w:rsidRPr="0019790A" w:rsidRDefault="00D34C6A" w:rsidP="00CD6B99">
            <w:pPr>
              <w:jc w:val="both"/>
              <w:rPr>
                <w:rFonts w:cs="Arial"/>
                <w:b/>
                <w:szCs w:val="22"/>
                <w:lang w:eastAsia="it-IT"/>
              </w:rPr>
            </w:pPr>
            <w:r w:rsidRPr="0019790A">
              <w:rPr>
                <w:rFonts w:cs="Arial"/>
                <w:b/>
                <w:szCs w:val="22"/>
                <w:lang w:eastAsia="it-IT"/>
              </w:rPr>
              <w:t xml:space="preserve">Встановлення та облаштування модульного укриття  “Safe Space” </w:t>
            </w:r>
          </w:p>
        </w:tc>
      </w:tr>
      <w:tr w:rsidR="00D34C6A" w:rsidRPr="0019790A" w14:paraId="34E4E9C7" w14:textId="77777777" w:rsidTr="00B8248C">
        <w:trPr>
          <w:jc w:val="right"/>
        </w:trPr>
        <w:tc>
          <w:tcPr>
            <w:tcW w:w="3405" w:type="dxa"/>
          </w:tcPr>
          <w:p w14:paraId="3466A09B" w14:textId="77777777" w:rsidR="00D34C6A" w:rsidRPr="0019790A" w:rsidRDefault="00D34C6A"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602C3BA4" w14:textId="77777777" w:rsidR="00D34C6A" w:rsidRPr="0019790A" w:rsidRDefault="00D34C6A" w:rsidP="0019790A">
            <w:pPr>
              <w:rPr>
                <w:rFonts w:cs="Arial"/>
                <w:b/>
                <w:bCs/>
                <w:szCs w:val="22"/>
              </w:rPr>
            </w:pPr>
            <w:r w:rsidRPr="0019790A">
              <w:rPr>
                <w:rFonts w:cs="Arial"/>
                <w:szCs w:val="22"/>
                <w:lang w:eastAsia="it-IT"/>
              </w:rPr>
              <w:t>Назва установи, організації, підприємства</w:t>
            </w:r>
          </w:p>
        </w:tc>
        <w:tc>
          <w:tcPr>
            <w:tcW w:w="6814" w:type="dxa"/>
            <w:gridSpan w:val="7"/>
          </w:tcPr>
          <w:p w14:paraId="1BF8DA8C" w14:textId="77777777" w:rsidR="00D34C6A" w:rsidRPr="0019790A" w:rsidRDefault="00D34C6A" w:rsidP="0019790A">
            <w:pPr>
              <w:rPr>
                <w:rFonts w:cs="Arial"/>
                <w:szCs w:val="22"/>
                <w:lang w:eastAsia="it-IT"/>
              </w:rPr>
            </w:pPr>
            <w:r w:rsidRPr="0019790A">
              <w:rPr>
                <w:rFonts w:cs="Arial"/>
                <w:szCs w:val="22"/>
                <w:lang w:eastAsia="it-IT"/>
              </w:rPr>
              <w:t>Комунальний заклад «Браїлівський ліцей імені В. О. Забаштанського» Жмеринської міської територіальної громади</w:t>
            </w:r>
          </w:p>
        </w:tc>
      </w:tr>
      <w:tr w:rsidR="00D34C6A" w:rsidRPr="0019790A" w14:paraId="3C5A46D4" w14:textId="77777777" w:rsidTr="00B8248C">
        <w:trPr>
          <w:jc w:val="right"/>
        </w:trPr>
        <w:tc>
          <w:tcPr>
            <w:tcW w:w="3405" w:type="dxa"/>
          </w:tcPr>
          <w:p w14:paraId="4CE9449E" w14:textId="77777777" w:rsidR="00D34C6A" w:rsidRPr="0019790A" w:rsidRDefault="00D34C6A" w:rsidP="0019790A">
            <w:pPr>
              <w:rPr>
                <w:rFonts w:cs="Arial"/>
                <w:b/>
                <w:bCs/>
                <w:szCs w:val="22"/>
              </w:rPr>
            </w:pPr>
            <w:r w:rsidRPr="0019790A">
              <w:rPr>
                <w:rFonts w:cs="Arial"/>
                <w:szCs w:val="22"/>
                <w:lang w:eastAsia="it-IT"/>
              </w:rPr>
              <w:t>Прізвище Ім’я По-батькові:</w:t>
            </w:r>
          </w:p>
        </w:tc>
        <w:tc>
          <w:tcPr>
            <w:tcW w:w="6814" w:type="dxa"/>
            <w:gridSpan w:val="7"/>
          </w:tcPr>
          <w:p w14:paraId="2BFA4C9F" w14:textId="77777777" w:rsidR="00D34C6A" w:rsidRPr="0019790A" w:rsidRDefault="00D34C6A" w:rsidP="0019790A">
            <w:pPr>
              <w:rPr>
                <w:rFonts w:cs="Arial"/>
                <w:szCs w:val="22"/>
                <w:lang w:eastAsia="it-IT"/>
              </w:rPr>
            </w:pPr>
            <w:r w:rsidRPr="0019790A">
              <w:rPr>
                <w:rFonts w:cs="Arial"/>
                <w:szCs w:val="22"/>
                <w:lang w:eastAsia="it-IT"/>
              </w:rPr>
              <w:t>Жарук Людмила Василівна</w:t>
            </w:r>
          </w:p>
        </w:tc>
      </w:tr>
      <w:tr w:rsidR="00D34C6A" w:rsidRPr="0019790A" w14:paraId="7557641A" w14:textId="77777777" w:rsidTr="00B8248C">
        <w:trPr>
          <w:jc w:val="right"/>
        </w:trPr>
        <w:tc>
          <w:tcPr>
            <w:tcW w:w="3405" w:type="dxa"/>
          </w:tcPr>
          <w:p w14:paraId="6E5C0F66" w14:textId="77777777" w:rsidR="00D34C6A" w:rsidRPr="0019790A" w:rsidRDefault="00D34C6A" w:rsidP="0019790A">
            <w:pPr>
              <w:rPr>
                <w:rFonts w:cs="Arial"/>
                <w:b/>
                <w:bCs/>
                <w:szCs w:val="22"/>
              </w:rPr>
            </w:pPr>
            <w:r w:rsidRPr="0019790A">
              <w:rPr>
                <w:rFonts w:cs="Arial"/>
                <w:szCs w:val="22"/>
                <w:lang w:eastAsia="it-IT"/>
              </w:rPr>
              <w:t>Телефон (мобільний):</w:t>
            </w:r>
          </w:p>
        </w:tc>
        <w:tc>
          <w:tcPr>
            <w:tcW w:w="6814" w:type="dxa"/>
            <w:gridSpan w:val="7"/>
          </w:tcPr>
          <w:p w14:paraId="5CC7BAD5" w14:textId="77777777" w:rsidR="00D34C6A" w:rsidRPr="0019790A" w:rsidRDefault="00D34C6A" w:rsidP="0019790A">
            <w:pPr>
              <w:rPr>
                <w:rFonts w:cs="Arial"/>
                <w:szCs w:val="22"/>
                <w:lang w:eastAsia="it-IT"/>
              </w:rPr>
            </w:pPr>
            <w:r w:rsidRPr="0019790A">
              <w:rPr>
                <w:rFonts w:cs="Arial"/>
                <w:szCs w:val="22"/>
                <w:lang w:eastAsia="it-IT"/>
              </w:rPr>
              <w:t>+380970884280</w:t>
            </w:r>
          </w:p>
        </w:tc>
      </w:tr>
      <w:tr w:rsidR="00D34C6A" w:rsidRPr="0019790A" w14:paraId="17795250" w14:textId="77777777" w:rsidTr="00B8248C">
        <w:trPr>
          <w:jc w:val="right"/>
        </w:trPr>
        <w:tc>
          <w:tcPr>
            <w:tcW w:w="3405" w:type="dxa"/>
          </w:tcPr>
          <w:p w14:paraId="34A83AC6" w14:textId="77777777" w:rsidR="00D34C6A" w:rsidRPr="0019790A" w:rsidRDefault="00D34C6A" w:rsidP="0019790A">
            <w:pPr>
              <w:rPr>
                <w:rFonts w:cs="Arial"/>
                <w:b/>
                <w:bCs/>
                <w:szCs w:val="22"/>
              </w:rPr>
            </w:pPr>
            <w:r w:rsidRPr="0019790A">
              <w:rPr>
                <w:rFonts w:cs="Arial"/>
                <w:szCs w:val="22"/>
                <w:lang w:eastAsia="it-IT"/>
              </w:rPr>
              <w:t>Електронна адреса:</w:t>
            </w:r>
          </w:p>
        </w:tc>
        <w:tc>
          <w:tcPr>
            <w:tcW w:w="6814" w:type="dxa"/>
            <w:gridSpan w:val="7"/>
          </w:tcPr>
          <w:p w14:paraId="34E38530" w14:textId="37F82880" w:rsidR="00D34C6A" w:rsidRPr="0019790A" w:rsidRDefault="00D85FFD" w:rsidP="0019790A">
            <w:pPr>
              <w:rPr>
                <w:rFonts w:cs="Arial"/>
                <w:szCs w:val="22"/>
                <w:lang w:eastAsia="it-IT"/>
              </w:rPr>
            </w:pPr>
            <w:hyperlink r:id="rId116" w:history="1">
              <w:r w:rsidR="00CD6B99" w:rsidRPr="00BF0394">
                <w:rPr>
                  <w:rStyle w:val="af0"/>
                  <w:rFonts w:cs="Arial"/>
                  <w:noProof w:val="0"/>
                  <w:sz w:val="22"/>
                  <w:szCs w:val="22"/>
                  <w:lang w:eastAsia="it-IT"/>
                </w:rPr>
                <w:t>brayiliv.school@gmail.com</w:t>
              </w:r>
            </w:hyperlink>
            <w:r w:rsidR="00CD6B99">
              <w:rPr>
                <w:rFonts w:cs="Arial"/>
                <w:szCs w:val="22"/>
                <w:lang w:eastAsia="it-IT"/>
              </w:rPr>
              <w:t xml:space="preserve"> </w:t>
            </w:r>
          </w:p>
        </w:tc>
      </w:tr>
      <w:tr w:rsidR="00D34C6A" w:rsidRPr="0019790A" w14:paraId="01595197" w14:textId="77777777" w:rsidTr="00B8248C">
        <w:trPr>
          <w:jc w:val="right"/>
        </w:trPr>
        <w:tc>
          <w:tcPr>
            <w:tcW w:w="3405" w:type="dxa"/>
            <w:vAlign w:val="center"/>
          </w:tcPr>
          <w:p w14:paraId="245792AB" w14:textId="77777777" w:rsidR="00D34C6A" w:rsidRPr="0019790A" w:rsidRDefault="00D34C6A" w:rsidP="0019790A">
            <w:pPr>
              <w:pStyle w:val="6"/>
              <w:spacing w:before="0" w:after="0"/>
              <w:rPr>
                <w:rFonts w:ascii="Arial" w:hAnsi="Arial" w:cs="Arial"/>
                <w:color w:val="000000"/>
                <w:lang w:val="uk-UA"/>
              </w:rPr>
            </w:pPr>
            <w:r w:rsidRPr="0019790A">
              <w:rPr>
                <w:rFonts w:ascii="Arial" w:hAnsi="Arial" w:cs="Arial"/>
                <w:color w:val="000000"/>
                <w:lang w:val="uk-UA"/>
              </w:rPr>
              <w:t>Номер і назва завдання з Стратегіїрозвитку Жмеринської міської територіальної громади,  якому відповідає проєкт:</w:t>
            </w:r>
          </w:p>
        </w:tc>
        <w:tc>
          <w:tcPr>
            <w:tcW w:w="6814" w:type="dxa"/>
            <w:gridSpan w:val="7"/>
          </w:tcPr>
          <w:p w14:paraId="4EA26829" w14:textId="77777777" w:rsidR="00D34C6A" w:rsidRPr="0019790A" w:rsidRDefault="00D34C6A" w:rsidP="0019790A">
            <w:pPr>
              <w:pBdr>
                <w:left w:val="single" w:sz="18" w:space="4" w:color="auto"/>
              </w:pBdr>
              <w:rPr>
                <w:rFonts w:cs="Arial"/>
                <w:szCs w:val="22"/>
              </w:rPr>
            </w:pPr>
            <w:r w:rsidRPr="0019790A">
              <w:rPr>
                <w:rFonts w:cs="Arial"/>
                <w:szCs w:val="22"/>
              </w:rPr>
              <w:t>С.1.2. Забезпечення комфортних і безпечних умов навчання та праці</w:t>
            </w:r>
          </w:p>
          <w:p w14:paraId="4782D605" w14:textId="77777777" w:rsidR="00D34C6A" w:rsidRPr="0019790A" w:rsidRDefault="00D34C6A" w:rsidP="0019790A">
            <w:pPr>
              <w:pBdr>
                <w:left w:val="single" w:sz="18" w:space="4" w:color="auto"/>
              </w:pBdr>
              <w:rPr>
                <w:rFonts w:cs="Arial"/>
                <w:szCs w:val="22"/>
                <w:lang w:eastAsia="it-IT"/>
              </w:rPr>
            </w:pPr>
            <w:r w:rsidRPr="0019790A">
              <w:rPr>
                <w:rFonts w:cs="Arial"/>
                <w:szCs w:val="22"/>
              </w:rPr>
              <w:t>С.1.3 Забезпечення якості освіти та освітньої діяльності</w:t>
            </w:r>
          </w:p>
        </w:tc>
      </w:tr>
      <w:tr w:rsidR="00D34C6A" w:rsidRPr="0019790A" w14:paraId="3DB9DCEC" w14:textId="77777777" w:rsidTr="00B8248C">
        <w:trPr>
          <w:jc w:val="right"/>
        </w:trPr>
        <w:tc>
          <w:tcPr>
            <w:tcW w:w="3405" w:type="dxa"/>
            <w:vAlign w:val="center"/>
          </w:tcPr>
          <w:p w14:paraId="5A9BC42D" w14:textId="77777777" w:rsidR="00D34C6A" w:rsidRPr="0019790A" w:rsidRDefault="00D34C6A" w:rsidP="0019790A">
            <w:pPr>
              <w:rPr>
                <w:rFonts w:cs="Arial"/>
                <w:b/>
                <w:bCs/>
                <w:color w:val="000000"/>
                <w:szCs w:val="22"/>
              </w:rPr>
            </w:pPr>
            <w:r w:rsidRPr="0019790A">
              <w:rPr>
                <w:rFonts w:cs="Arial"/>
                <w:b/>
                <w:bCs/>
                <w:color w:val="000000"/>
                <w:szCs w:val="22"/>
              </w:rPr>
              <w:t>Мета проєкту:</w:t>
            </w:r>
          </w:p>
        </w:tc>
        <w:tc>
          <w:tcPr>
            <w:tcW w:w="6814" w:type="dxa"/>
            <w:gridSpan w:val="7"/>
          </w:tcPr>
          <w:p w14:paraId="24C1E6A4" w14:textId="77777777" w:rsidR="00D34C6A" w:rsidRPr="0019790A" w:rsidRDefault="00D34C6A" w:rsidP="0019790A">
            <w:pPr>
              <w:jc w:val="both"/>
              <w:rPr>
                <w:rFonts w:cs="Arial"/>
                <w:szCs w:val="22"/>
                <w:lang w:eastAsia="it-IT"/>
              </w:rPr>
            </w:pPr>
            <w:r w:rsidRPr="0019790A">
              <w:rPr>
                <w:rFonts w:cs="Arial"/>
                <w:szCs w:val="22"/>
                <w:lang w:eastAsia="it-IT"/>
              </w:rPr>
              <w:t xml:space="preserve">Забезпечення комфортних і безпечних умов навчання та праці </w:t>
            </w:r>
          </w:p>
        </w:tc>
      </w:tr>
      <w:tr w:rsidR="00D34C6A" w:rsidRPr="0019790A" w14:paraId="7A7C36F2" w14:textId="77777777" w:rsidTr="00B8248C">
        <w:trPr>
          <w:jc w:val="right"/>
        </w:trPr>
        <w:tc>
          <w:tcPr>
            <w:tcW w:w="3405" w:type="dxa"/>
            <w:vAlign w:val="center"/>
          </w:tcPr>
          <w:p w14:paraId="1E5D1E2E" w14:textId="77777777" w:rsidR="00D34C6A" w:rsidRPr="0019790A" w:rsidRDefault="00D34C6A" w:rsidP="0019790A">
            <w:pPr>
              <w:rPr>
                <w:rFonts w:cs="Arial"/>
                <w:b/>
                <w:bCs/>
                <w:color w:val="000000"/>
                <w:szCs w:val="22"/>
              </w:rPr>
            </w:pPr>
            <w:r w:rsidRPr="0019790A">
              <w:rPr>
                <w:rFonts w:cs="Arial"/>
                <w:b/>
                <w:bCs/>
                <w:color w:val="000000"/>
                <w:szCs w:val="22"/>
              </w:rPr>
              <w:t>Цілі проєкту:</w:t>
            </w:r>
          </w:p>
        </w:tc>
        <w:tc>
          <w:tcPr>
            <w:tcW w:w="6814" w:type="dxa"/>
            <w:gridSpan w:val="7"/>
          </w:tcPr>
          <w:p w14:paraId="755B9962" w14:textId="77777777" w:rsidR="00D34C6A" w:rsidRPr="0019790A" w:rsidRDefault="00D34C6A" w:rsidP="0019790A">
            <w:pPr>
              <w:jc w:val="both"/>
              <w:rPr>
                <w:rFonts w:cs="Arial"/>
                <w:szCs w:val="22"/>
                <w:lang w:eastAsia="it-IT"/>
              </w:rPr>
            </w:pPr>
            <w:r w:rsidRPr="0019790A">
              <w:rPr>
                <w:rFonts w:cs="Arial"/>
                <w:szCs w:val="22"/>
                <w:lang w:eastAsia="it-IT"/>
              </w:rPr>
              <w:t>Забезпечити безпеку учнів та персоналу під час загрози шляхом встановлення та облаштування модульного укриття..</w:t>
            </w:r>
          </w:p>
          <w:p w14:paraId="56183A2A" w14:textId="77777777" w:rsidR="00D34C6A" w:rsidRPr="0019790A" w:rsidRDefault="00D34C6A" w:rsidP="0019790A">
            <w:pPr>
              <w:jc w:val="both"/>
              <w:rPr>
                <w:rFonts w:cs="Arial"/>
                <w:szCs w:val="22"/>
                <w:lang w:eastAsia="it-IT"/>
              </w:rPr>
            </w:pPr>
            <w:r w:rsidRPr="0019790A">
              <w:rPr>
                <w:rFonts w:cs="Arial"/>
                <w:szCs w:val="22"/>
              </w:rPr>
              <w:t>Відновити роботу закладу освіти в очному формат для усіх здобувачів освіти.</w:t>
            </w:r>
            <w:r w:rsidRPr="0019790A">
              <w:rPr>
                <w:rFonts w:cs="Arial"/>
                <w:szCs w:val="22"/>
                <w:lang w:eastAsia="it-IT"/>
              </w:rPr>
              <w:t xml:space="preserve">   </w:t>
            </w:r>
          </w:p>
        </w:tc>
      </w:tr>
      <w:tr w:rsidR="00D34C6A" w:rsidRPr="0019790A" w14:paraId="54A836AF" w14:textId="77777777" w:rsidTr="00B8248C">
        <w:trPr>
          <w:jc w:val="right"/>
        </w:trPr>
        <w:tc>
          <w:tcPr>
            <w:tcW w:w="3405" w:type="dxa"/>
            <w:vAlign w:val="center"/>
          </w:tcPr>
          <w:p w14:paraId="0A54CC04" w14:textId="77777777" w:rsidR="00D34C6A" w:rsidRPr="0019790A" w:rsidRDefault="00D34C6A" w:rsidP="0019790A">
            <w:pPr>
              <w:adjustRightInd w:val="0"/>
              <w:rPr>
                <w:rFonts w:cs="Arial"/>
                <w:b/>
                <w:color w:val="000000"/>
                <w:szCs w:val="22"/>
              </w:rPr>
            </w:pPr>
            <w:r w:rsidRPr="0019790A">
              <w:rPr>
                <w:rFonts w:cs="Arial"/>
                <w:b/>
                <w:color w:val="000000"/>
                <w:szCs w:val="22"/>
              </w:rPr>
              <w:t>Територія на яку проєкт матиме вплив:</w:t>
            </w:r>
          </w:p>
        </w:tc>
        <w:tc>
          <w:tcPr>
            <w:tcW w:w="6814" w:type="dxa"/>
            <w:gridSpan w:val="7"/>
          </w:tcPr>
          <w:p w14:paraId="722370B8" w14:textId="77777777" w:rsidR="00D34C6A" w:rsidRPr="0019790A" w:rsidRDefault="00D34C6A" w:rsidP="0019790A">
            <w:pPr>
              <w:rPr>
                <w:rFonts w:cs="Arial"/>
                <w:szCs w:val="22"/>
                <w:lang w:eastAsia="it-IT"/>
              </w:rPr>
            </w:pPr>
            <w:r w:rsidRPr="0019790A">
              <w:rPr>
                <w:rFonts w:cs="Arial"/>
                <w:szCs w:val="22"/>
                <w:lang w:eastAsia="it-IT"/>
              </w:rPr>
              <w:t>Територія Жмеринської міської територіальної громада та селища Браїлів, зокрема</w:t>
            </w:r>
          </w:p>
        </w:tc>
      </w:tr>
      <w:tr w:rsidR="00D34C6A" w:rsidRPr="0019790A" w14:paraId="391AB004" w14:textId="77777777" w:rsidTr="00B8248C">
        <w:trPr>
          <w:trHeight w:val="70"/>
          <w:jc w:val="right"/>
        </w:trPr>
        <w:tc>
          <w:tcPr>
            <w:tcW w:w="3405" w:type="dxa"/>
            <w:vAlign w:val="center"/>
          </w:tcPr>
          <w:p w14:paraId="5446AA85" w14:textId="77777777" w:rsidR="00D34C6A" w:rsidRPr="0019790A" w:rsidRDefault="00D34C6A" w:rsidP="0019790A">
            <w:pPr>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814" w:type="dxa"/>
            <w:gridSpan w:val="7"/>
          </w:tcPr>
          <w:p w14:paraId="36088D14" w14:textId="77777777" w:rsidR="00D34C6A" w:rsidRPr="0019790A" w:rsidRDefault="00D34C6A" w:rsidP="0019790A">
            <w:pPr>
              <w:rPr>
                <w:rFonts w:cs="Arial"/>
                <w:szCs w:val="22"/>
                <w:lang w:eastAsia="it-IT"/>
              </w:rPr>
            </w:pPr>
            <w:r w:rsidRPr="0019790A">
              <w:rPr>
                <w:rFonts w:cs="Arial"/>
                <w:szCs w:val="22"/>
                <w:lang w:eastAsia="it-IT"/>
              </w:rPr>
              <w:t xml:space="preserve">Учасники освітнього процесу, технічні працівники закладу освіти </w:t>
            </w:r>
          </w:p>
          <w:p w14:paraId="01190D2A" w14:textId="77777777" w:rsidR="00D34C6A" w:rsidRPr="0019790A" w:rsidRDefault="00D34C6A" w:rsidP="0019790A">
            <w:pPr>
              <w:rPr>
                <w:rFonts w:cs="Arial"/>
                <w:szCs w:val="22"/>
                <w:lang w:eastAsia="it-IT"/>
              </w:rPr>
            </w:pPr>
            <w:r w:rsidRPr="0019790A">
              <w:rPr>
                <w:rFonts w:cs="Arial"/>
                <w:szCs w:val="22"/>
                <w:lang w:eastAsia="it-IT"/>
              </w:rPr>
              <w:t>1200 отримувачів вигоди</w:t>
            </w:r>
          </w:p>
        </w:tc>
      </w:tr>
      <w:tr w:rsidR="00D34C6A" w:rsidRPr="0019790A" w14:paraId="4F4521B6" w14:textId="77777777" w:rsidTr="00B8248C">
        <w:trPr>
          <w:jc w:val="right"/>
        </w:trPr>
        <w:tc>
          <w:tcPr>
            <w:tcW w:w="3405" w:type="dxa"/>
            <w:shd w:val="clear" w:color="auto" w:fill="FFFFFF"/>
            <w:vAlign w:val="center"/>
          </w:tcPr>
          <w:p w14:paraId="4FDF664A" w14:textId="77777777" w:rsidR="00D34C6A" w:rsidRPr="0019790A" w:rsidRDefault="00D34C6A" w:rsidP="0019790A">
            <w:pPr>
              <w:rPr>
                <w:rFonts w:cs="Arial"/>
                <w:b/>
                <w:bCs/>
                <w:color w:val="000000"/>
                <w:szCs w:val="22"/>
              </w:rPr>
            </w:pPr>
            <w:r w:rsidRPr="0019790A">
              <w:rPr>
                <w:rFonts w:cs="Arial"/>
                <w:b/>
                <w:bCs/>
                <w:color w:val="000000"/>
                <w:szCs w:val="22"/>
              </w:rPr>
              <w:t>Стислий опис проєкту:</w:t>
            </w:r>
          </w:p>
        </w:tc>
        <w:tc>
          <w:tcPr>
            <w:tcW w:w="6814" w:type="dxa"/>
            <w:gridSpan w:val="7"/>
          </w:tcPr>
          <w:p w14:paraId="48640C35" w14:textId="77777777" w:rsidR="00D34C6A" w:rsidRPr="0019790A" w:rsidRDefault="00D34C6A" w:rsidP="0019790A">
            <w:pPr>
              <w:jc w:val="both"/>
              <w:rPr>
                <w:rFonts w:cs="Arial"/>
                <w:szCs w:val="22"/>
                <w:lang w:eastAsia="it-IT"/>
              </w:rPr>
            </w:pPr>
            <w:r w:rsidRPr="0019790A">
              <w:rPr>
                <w:rFonts w:cs="Arial"/>
                <w:szCs w:val="22"/>
                <w:lang w:eastAsia="it-IT"/>
              </w:rPr>
              <w:t xml:space="preserve">  Згідно чинного Закону України «Про повну загальну середню освіту», безпечне освітнє середовище – це сукупність умов, які не дають змоги учасникам освітнього процесу зазнавати фізичної, майнової або моральної шкоди. Особливу увагу цьому питанню приділяють в умовах воєнного стану. </w:t>
            </w:r>
          </w:p>
          <w:p w14:paraId="4135399A" w14:textId="77777777" w:rsidR="00D34C6A" w:rsidRPr="0019790A" w:rsidRDefault="00D34C6A" w:rsidP="0019790A">
            <w:pPr>
              <w:jc w:val="both"/>
              <w:rPr>
                <w:rFonts w:cs="Arial"/>
                <w:szCs w:val="22"/>
                <w:lang w:eastAsia="it-IT"/>
              </w:rPr>
            </w:pPr>
            <w:r w:rsidRPr="0019790A">
              <w:rPr>
                <w:rFonts w:cs="Arial"/>
                <w:szCs w:val="22"/>
                <w:lang w:eastAsia="it-IT"/>
              </w:rPr>
              <w:t xml:space="preserve">    Освітній заклад повинен не лише виховувати, а насамперед створювати простір для повноцінного розвитку школярів, креативних  щасливих людей, а для цього необхідна атмосфера фізичного, соціального та психологічного комфорту всіх учасників освітнього процесу. Для досягнення поставлених цілей необхідно створити укриття, яке б гарантувало безпеку навчання і виховання, збереження здоров’я та захисту життя.</w:t>
            </w:r>
          </w:p>
          <w:p w14:paraId="31EF9573" w14:textId="77777777" w:rsidR="00D34C6A" w:rsidRPr="0019790A" w:rsidRDefault="00D34C6A" w:rsidP="0019790A">
            <w:pPr>
              <w:jc w:val="both"/>
              <w:rPr>
                <w:rFonts w:cs="Arial"/>
                <w:szCs w:val="22"/>
                <w:lang w:eastAsia="it-IT"/>
              </w:rPr>
            </w:pPr>
            <w:r w:rsidRPr="0019790A">
              <w:rPr>
                <w:rFonts w:cs="Arial"/>
                <w:szCs w:val="22"/>
                <w:lang w:eastAsia="it-IT"/>
              </w:rPr>
              <w:t xml:space="preserve">     </w:t>
            </w:r>
            <w:r w:rsidRPr="0019790A">
              <w:rPr>
                <w:rFonts w:cs="Arial"/>
                <w:szCs w:val="22"/>
              </w:rPr>
              <w:t xml:space="preserve">Реалізація проєкту дозволить відновити роботу закладу освіти в очному форматі, </w:t>
            </w:r>
            <w:r w:rsidRPr="0019790A">
              <w:rPr>
                <w:rFonts w:cs="Arial"/>
                <w:color w:val="333333"/>
                <w:szCs w:val="22"/>
              </w:rPr>
              <w:t>забезпечивши при цьому кожній дитині — незалежно від її потреб та рівня освіти, безпечні та комфортні умови під час повітряних тривог.</w:t>
            </w:r>
            <w:r w:rsidRPr="0019790A">
              <w:rPr>
                <w:rFonts w:cs="Arial"/>
                <w:i/>
                <w:color w:val="000000"/>
                <w:szCs w:val="22"/>
              </w:rPr>
              <w:t xml:space="preserve"> </w:t>
            </w:r>
            <w:r w:rsidRPr="0019790A">
              <w:rPr>
                <w:rFonts w:eastAsia="Arial" w:cs="Arial"/>
                <w:szCs w:val="22"/>
                <w:shd w:val="clear" w:color="auto" w:fill="FFFFFF"/>
              </w:rPr>
              <w:t xml:space="preserve">  </w:t>
            </w:r>
            <w:r w:rsidRPr="0019790A">
              <w:rPr>
                <w:rFonts w:cs="Arial"/>
                <w:szCs w:val="22"/>
                <w:lang w:eastAsia="it-IT"/>
              </w:rPr>
              <w:t>.</w:t>
            </w:r>
          </w:p>
        </w:tc>
      </w:tr>
      <w:tr w:rsidR="00D34C6A" w:rsidRPr="0019790A" w14:paraId="6A7CA261" w14:textId="77777777" w:rsidTr="00B8248C">
        <w:trPr>
          <w:jc w:val="right"/>
        </w:trPr>
        <w:tc>
          <w:tcPr>
            <w:tcW w:w="3405" w:type="dxa"/>
            <w:shd w:val="clear" w:color="auto" w:fill="FFFFFF"/>
            <w:vAlign w:val="center"/>
          </w:tcPr>
          <w:p w14:paraId="2A2B2127" w14:textId="77777777" w:rsidR="00D34C6A" w:rsidRPr="0019790A" w:rsidRDefault="00D34C6A" w:rsidP="0019790A">
            <w:pPr>
              <w:rPr>
                <w:rFonts w:cs="Arial"/>
                <w:b/>
                <w:bCs/>
                <w:color w:val="000000"/>
                <w:szCs w:val="22"/>
              </w:rPr>
            </w:pPr>
            <w:r w:rsidRPr="0019790A">
              <w:rPr>
                <w:rFonts w:cs="Arial"/>
                <w:b/>
                <w:bCs/>
                <w:color w:val="000000"/>
                <w:szCs w:val="22"/>
              </w:rPr>
              <w:t>Основні заходи проєкту:</w:t>
            </w:r>
          </w:p>
        </w:tc>
        <w:tc>
          <w:tcPr>
            <w:tcW w:w="6814" w:type="dxa"/>
            <w:gridSpan w:val="7"/>
          </w:tcPr>
          <w:p w14:paraId="53A3AD6F" w14:textId="77777777" w:rsidR="00D34C6A" w:rsidRPr="0019790A" w:rsidRDefault="00D34C6A" w:rsidP="0019790A">
            <w:pPr>
              <w:rPr>
                <w:rFonts w:cs="Arial"/>
                <w:szCs w:val="22"/>
                <w:lang w:eastAsia="it-IT"/>
              </w:rPr>
            </w:pPr>
            <w:r w:rsidRPr="0019790A">
              <w:rPr>
                <w:rFonts w:cs="Arial"/>
                <w:szCs w:val="22"/>
                <w:lang w:eastAsia="it-IT"/>
              </w:rPr>
              <w:t>Ухвалення рішення про встановлення модульного укриття</w:t>
            </w:r>
          </w:p>
          <w:p w14:paraId="4941541D" w14:textId="77777777" w:rsidR="00D34C6A" w:rsidRPr="0019790A" w:rsidRDefault="00D34C6A" w:rsidP="0019790A">
            <w:pPr>
              <w:rPr>
                <w:rFonts w:cs="Arial"/>
                <w:szCs w:val="22"/>
                <w:lang w:eastAsia="it-IT"/>
              </w:rPr>
            </w:pPr>
            <w:r w:rsidRPr="0019790A">
              <w:rPr>
                <w:rFonts w:cs="Arial"/>
                <w:szCs w:val="22"/>
                <w:lang w:eastAsia="it-IT"/>
              </w:rPr>
              <w:t>Проведення процедури закупівлі</w:t>
            </w:r>
          </w:p>
          <w:p w14:paraId="6A44BFBD" w14:textId="77777777" w:rsidR="00D34C6A" w:rsidRPr="0019790A" w:rsidRDefault="00D34C6A" w:rsidP="0019790A">
            <w:pPr>
              <w:rPr>
                <w:rFonts w:cs="Arial"/>
                <w:szCs w:val="22"/>
                <w:lang w:eastAsia="it-IT"/>
              </w:rPr>
            </w:pPr>
            <w:r w:rsidRPr="0019790A">
              <w:rPr>
                <w:rFonts w:cs="Arial"/>
                <w:szCs w:val="22"/>
                <w:lang w:eastAsia="it-IT"/>
              </w:rPr>
              <w:t xml:space="preserve">Встановлення та облаштування укриття згідно норм законодавства  </w:t>
            </w:r>
          </w:p>
        </w:tc>
      </w:tr>
      <w:tr w:rsidR="00D34C6A" w:rsidRPr="0019790A" w14:paraId="6415F72F" w14:textId="77777777" w:rsidTr="00B8248C">
        <w:trPr>
          <w:jc w:val="right"/>
        </w:trPr>
        <w:tc>
          <w:tcPr>
            <w:tcW w:w="3405" w:type="dxa"/>
            <w:shd w:val="clear" w:color="auto" w:fill="FFFFFF"/>
            <w:vAlign w:val="center"/>
          </w:tcPr>
          <w:p w14:paraId="4A6E5295" w14:textId="77777777" w:rsidR="00D34C6A" w:rsidRPr="0019790A" w:rsidRDefault="00D34C6A"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814" w:type="dxa"/>
            <w:gridSpan w:val="7"/>
          </w:tcPr>
          <w:p w14:paraId="0562F4D3" w14:textId="77777777" w:rsidR="00D34C6A" w:rsidRPr="0019790A" w:rsidRDefault="00D34C6A" w:rsidP="0019790A">
            <w:pPr>
              <w:rPr>
                <w:rFonts w:cs="Arial"/>
                <w:szCs w:val="22"/>
                <w:lang w:eastAsia="it-IT"/>
              </w:rPr>
            </w:pPr>
            <w:r w:rsidRPr="0019790A">
              <w:rPr>
                <w:rFonts w:cs="Arial"/>
                <w:szCs w:val="22"/>
                <w:lang w:eastAsia="it-IT"/>
              </w:rPr>
              <w:t xml:space="preserve"> У закладі освіти організація освітнього процесу відбувається в очному форматі  </w:t>
            </w:r>
          </w:p>
          <w:p w14:paraId="4056FC33" w14:textId="77777777" w:rsidR="00D34C6A" w:rsidRPr="0019790A" w:rsidRDefault="00D34C6A" w:rsidP="0019790A">
            <w:pPr>
              <w:rPr>
                <w:rFonts w:cs="Arial"/>
                <w:szCs w:val="22"/>
                <w:lang w:eastAsia="it-IT"/>
              </w:rPr>
            </w:pPr>
            <w:r w:rsidRPr="0019790A">
              <w:rPr>
                <w:rFonts w:cs="Arial"/>
                <w:szCs w:val="22"/>
                <w:lang w:eastAsia="it-IT"/>
              </w:rPr>
              <w:t>Облаштовано 500 місць для укриття учасників освітнього процесу</w:t>
            </w:r>
          </w:p>
        </w:tc>
      </w:tr>
      <w:tr w:rsidR="00D34C6A" w:rsidRPr="0019790A" w14:paraId="29DEAB88" w14:textId="77777777" w:rsidTr="00B8248C">
        <w:trPr>
          <w:jc w:val="right"/>
        </w:trPr>
        <w:tc>
          <w:tcPr>
            <w:tcW w:w="3405" w:type="dxa"/>
            <w:shd w:val="clear" w:color="auto" w:fill="FFFFFF"/>
            <w:vAlign w:val="center"/>
          </w:tcPr>
          <w:p w14:paraId="39B8AAEE" w14:textId="77777777" w:rsidR="00D34C6A" w:rsidRPr="0019790A" w:rsidRDefault="00D34C6A" w:rsidP="0019790A">
            <w:pPr>
              <w:rPr>
                <w:rFonts w:cs="Arial"/>
                <w:b/>
                <w:color w:val="000000"/>
                <w:szCs w:val="22"/>
              </w:rPr>
            </w:pPr>
            <w:r w:rsidRPr="0019790A">
              <w:rPr>
                <w:rFonts w:cs="Arial"/>
                <w:b/>
                <w:color w:val="000000"/>
                <w:szCs w:val="22"/>
              </w:rPr>
              <w:t xml:space="preserve">Період здійснення: </w:t>
            </w:r>
          </w:p>
        </w:tc>
        <w:tc>
          <w:tcPr>
            <w:tcW w:w="6814" w:type="dxa"/>
            <w:gridSpan w:val="7"/>
            <w:vAlign w:val="center"/>
          </w:tcPr>
          <w:p w14:paraId="7C8232AA" w14:textId="77777777" w:rsidR="00D34C6A" w:rsidRPr="0019790A" w:rsidRDefault="00D34C6A" w:rsidP="0019790A">
            <w:pPr>
              <w:rPr>
                <w:rFonts w:cs="Arial"/>
                <w:color w:val="000000"/>
                <w:szCs w:val="22"/>
                <w:lang w:eastAsia="it-IT"/>
              </w:rPr>
            </w:pPr>
            <w:r w:rsidRPr="0019790A">
              <w:rPr>
                <w:rFonts w:cs="Arial"/>
                <w:b/>
                <w:color w:val="000000"/>
                <w:szCs w:val="22"/>
              </w:rPr>
              <w:t>2025 – 2028 роки:</w:t>
            </w:r>
          </w:p>
        </w:tc>
      </w:tr>
      <w:tr w:rsidR="00D34C6A" w:rsidRPr="0019790A" w14:paraId="7BFBC3D1" w14:textId="77777777" w:rsidTr="00B8248C">
        <w:trPr>
          <w:jc w:val="right"/>
        </w:trPr>
        <w:tc>
          <w:tcPr>
            <w:tcW w:w="3405" w:type="dxa"/>
            <w:vMerge w:val="restart"/>
            <w:shd w:val="clear" w:color="auto" w:fill="FFFFFF"/>
            <w:vAlign w:val="center"/>
          </w:tcPr>
          <w:p w14:paraId="5E6738FA" w14:textId="77777777" w:rsidR="00D34C6A" w:rsidRPr="0019790A" w:rsidRDefault="00D34C6A" w:rsidP="0019790A">
            <w:pPr>
              <w:rPr>
                <w:rFonts w:cs="Arial"/>
                <w:b/>
                <w:bCs/>
                <w:color w:val="000000"/>
                <w:szCs w:val="22"/>
              </w:rPr>
            </w:pPr>
            <w:r w:rsidRPr="0019790A">
              <w:rPr>
                <w:rFonts w:cs="Arial"/>
                <w:b/>
                <w:bCs/>
                <w:color w:val="000000"/>
                <w:szCs w:val="22"/>
              </w:rPr>
              <w:t>Орієнтовна вартість проєкту, тис. грн., в тому числі:</w:t>
            </w:r>
          </w:p>
        </w:tc>
        <w:tc>
          <w:tcPr>
            <w:tcW w:w="1251" w:type="dxa"/>
            <w:gridSpan w:val="2"/>
            <w:shd w:val="clear" w:color="auto" w:fill="E6E6E6"/>
            <w:vAlign w:val="center"/>
          </w:tcPr>
          <w:p w14:paraId="3901ADFB" w14:textId="77777777" w:rsidR="00D34C6A" w:rsidRPr="0019790A" w:rsidRDefault="00D34C6A" w:rsidP="0019790A">
            <w:pPr>
              <w:jc w:val="center"/>
              <w:rPr>
                <w:rFonts w:cs="Arial"/>
                <w:b/>
                <w:color w:val="000000"/>
                <w:szCs w:val="22"/>
                <w:lang w:eastAsia="it-IT"/>
              </w:rPr>
            </w:pPr>
            <w:r w:rsidRPr="0019790A">
              <w:rPr>
                <w:rFonts w:cs="Arial"/>
                <w:b/>
                <w:color w:val="000000"/>
                <w:szCs w:val="22"/>
                <w:lang w:eastAsia="it-IT"/>
              </w:rPr>
              <w:t>2025</w:t>
            </w:r>
          </w:p>
        </w:tc>
        <w:tc>
          <w:tcPr>
            <w:tcW w:w="1293" w:type="dxa"/>
            <w:gridSpan w:val="2"/>
            <w:shd w:val="clear" w:color="auto" w:fill="E6E6E6"/>
            <w:vAlign w:val="center"/>
          </w:tcPr>
          <w:p w14:paraId="107C43E3" w14:textId="77777777" w:rsidR="00D34C6A" w:rsidRPr="0019790A" w:rsidRDefault="00D34C6A" w:rsidP="0019790A">
            <w:pPr>
              <w:jc w:val="center"/>
              <w:rPr>
                <w:rFonts w:cs="Arial"/>
                <w:b/>
                <w:color w:val="000000"/>
                <w:szCs w:val="22"/>
                <w:lang w:eastAsia="it-IT"/>
              </w:rPr>
            </w:pPr>
            <w:r w:rsidRPr="0019790A">
              <w:rPr>
                <w:rFonts w:cs="Arial"/>
                <w:b/>
                <w:color w:val="000000"/>
                <w:szCs w:val="22"/>
                <w:lang w:eastAsia="it-IT"/>
              </w:rPr>
              <w:t>2026</w:t>
            </w:r>
          </w:p>
        </w:tc>
        <w:tc>
          <w:tcPr>
            <w:tcW w:w="1414" w:type="dxa"/>
            <w:tcBorders>
              <w:bottom w:val="single" w:sz="4" w:space="0" w:color="auto"/>
            </w:tcBorders>
            <w:shd w:val="clear" w:color="auto" w:fill="E6E6E6"/>
            <w:vAlign w:val="center"/>
          </w:tcPr>
          <w:p w14:paraId="0A451CCE" w14:textId="77777777" w:rsidR="00D34C6A" w:rsidRPr="0019790A" w:rsidRDefault="00D34C6A" w:rsidP="0019790A">
            <w:pPr>
              <w:jc w:val="center"/>
              <w:rPr>
                <w:rFonts w:cs="Arial"/>
                <w:b/>
                <w:color w:val="000000"/>
                <w:szCs w:val="22"/>
                <w:lang w:eastAsia="it-IT"/>
              </w:rPr>
            </w:pPr>
            <w:r w:rsidRPr="0019790A">
              <w:rPr>
                <w:rFonts w:cs="Arial"/>
                <w:b/>
                <w:color w:val="000000"/>
                <w:szCs w:val="22"/>
                <w:lang w:eastAsia="it-IT"/>
              </w:rPr>
              <w:t>2027</w:t>
            </w:r>
          </w:p>
        </w:tc>
        <w:tc>
          <w:tcPr>
            <w:tcW w:w="1279" w:type="dxa"/>
            <w:shd w:val="clear" w:color="auto" w:fill="E6E6E6"/>
            <w:vAlign w:val="center"/>
          </w:tcPr>
          <w:p w14:paraId="186ECD4D" w14:textId="77777777" w:rsidR="00D34C6A" w:rsidRPr="0019790A" w:rsidRDefault="00D34C6A" w:rsidP="0019790A">
            <w:pPr>
              <w:jc w:val="center"/>
              <w:rPr>
                <w:rFonts w:cs="Arial"/>
                <w:b/>
                <w:color w:val="000000"/>
                <w:szCs w:val="22"/>
                <w:lang w:eastAsia="it-IT"/>
              </w:rPr>
            </w:pPr>
            <w:r w:rsidRPr="0019790A">
              <w:rPr>
                <w:rFonts w:cs="Arial"/>
                <w:b/>
                <w:color w:val="000000"/>
                <w:szCs w:val="22"/>
                <w:lang w:eastAsia="it-IT"/>
              </w:rPr>
              <w:t>2028</w:t>
            </w:r>
          </w:p>
        </w:tc>
        <w:tc>
          <w:tcPr>
            <w:tcW w:w="1577" w:type="dxa"/>
            <w:shd w:val="clear" w:color="auto" w:fill="E6E6E6"/>
            <w:vAlign w:val="center"/>
          </w:tcPr>
          <w:p w14:paraId="6DC6BADE" w14:textId="77777777" w:rsidR="00D34C6A" w:rsidRPr="0019790A" w:rsidRDefault="00D34C6A" w:rsidP="0019790A">
            <w:pPr>
              <w:jc w:val="center"/>
              <w:rPr>
                <w:rFonts w:cs="Arial"/>
                <w:b/>
                <w:color w:val="000000"/>
                <w:szCs w:val="22"/>
                <w:lang w:eastAsia="it-IT"/>
              </w:rPr>
            </w:pPr>
            <w:r w:rsidRPr="0019790A">
              <w:rPr>
                <w:rFonts w:cs="Arial"/>
                <w:b/>
                <w:color w:val="000000"/>
                <w:szCs w:val="22"/>
                <w:lang w:eastAsia="it-IT"/>
              </w:rPr>
              <w:t>РАЗОМ</w:t>
            </w:r>
          </w:p>
        </w:tc>
      </w:tr>
      <w:tr w:rsidR="00D34C6A" w:rsidRPr="0019790A" w14:paraId="4C19EDC6" w14:textId="77777777" w:rsidTr="00B8248C">
        <w:trPr>
          <w:jc w:val="right"/>
        </w:trPr>
        <w:tc>
          <w:tcPr>
            <w:tcW w:w="3405" w:type="dxa"/>
            <w:vMerge/>
            <w:shd w:val="clear" w:color="auto" w:fill="FFFFFF"/>
            <w:vAlign w:val="center"/>
          </w:tcPr>
          <w:p w14:paraId="04941BCB" w14:textId="77777777" w:rsidR="00D34C6A" w:rsidRPr="0019790A" w:rsidRDefault="00D34C6A" w:rsidP="0019790A">
            <w:pPr>
              <w:rPr>
                <w:rFonts w:cs="Arial"/>
                <w:b/>
                <w:bCs/>
                <w:color w:val="000000"/>
                <w:szCs w:val="22"/>
              </w:rPr>
            </w:pPr>
          </w:p>
        </w:tc>
        <w:tc>
          <w:tcPr>
            <w:tcW w:w="1251" w:type="dxa"/>
            <w:gridSpan w:val="2"/>
            <w:vAlign w:val="center"/>
          </w:tcPr>
          <w:p w14:paraId="40FAFFC1" w14:textId="77777777" w:rsidR="00D34C6A" w:rsidRPr="0019790A" w:rsidRDefault="00D34C6A" w:rsidP="0019790A">
            <w:pPr>
              <w:jc w:val="center"/>
              <w:rPr>
                <w:rFonts w:cs="Arial"/>
                <w:b/>
                <w:color w:val="000000"/>
                <w:szCs w:val="22"/>
                <w:lang w:eastAsia="it-IT"/>
              </w:rPr>
            </w:pPr>
            <w:r w:rsidRPr="0019790A">
              <w:rPr>
                <w:rFonts w:cs="Arial"/>
                <w:b/>
                <w:color w:val="000000"/>
                <w:szCs w:val="22"/>
                <w:lang w:eastAsia="it-IT"/>
              </w:rPr>
              <w:t>0,0</w:t>
            </w:r>
          </w:p>
        </w:tc>
        <w:tc>
          <w:tcPr>
            <w:tcW w:w="1293" w:type="dxa"/>
            <w:gridSpan w:val="2"/>
            <w:shd w:val="clear" w:color="auto" w:fill="FFFFFF"/>
            <w:vAlign w:val="center"/>
          </w:tcPr>
          <w:p w14:paraId="7832741D" w14:textId="77777777" w:rsidR="00D34C6A" w:rsidRPr="0019790A" w:rsidRDefault="00D34C6A" w:rsidP="0019790A">
            <w:pPr>
              <w:jc w:val="center"/>
              <w:rPr>
                <w:rFonts w:cs="Arial"/>
                <w:b/>
                <w:color w:val="000000"/>
                <w:szCs w:val="22"/>
                <w:lang w:eastAsia="it-IT"/>
              </w:rPr>
            </w:pPr>
            <w:r w:rsidRPr="0019790A">
              <w:rPr>
                <w:rFonts w:cs="Arial"/>
                <w:b/>
                <w:color w:val="000000"/>
                <w:szCs w:val="22"/>
                <w:lang w:eastAsia="it-IT"/>
              </w:rPr>
              <w:t>5000,0</w:t>
            </w:r>
          </w:p>
        </w:tc>
        <w:tc>
          <w:tcPr>
            <w:tcW w:w="1414" w:type="dxa"/>
            <w:shd w:val="clear" w:color="auto" w:fill="auto"/>
            <w:vAlign w:val="center"/>
          </w:tcPr>
          <w:p w14:paraId="429D770B" w14:textId="77777777" w:rsidR="00D34C6A" w:rsidRPr="0019790A" w:rsidRDefault="00D34C6A" w:rsidP="0019790A">
            <w:pPr>
              <w:jc w:val="center"/>
              <w:rPr>
                <w:rFonts w:cs="Arial"/>
                <w:b/>
                <w:color w:val="000000"/>
                <w:szCs w:val="22"/>
                <w:lang w:eastAsia="it-IT"/>
              </w:rPr>
            </w:pPr>
            <w:r w:rsidRPr="0019790A">
              <w:rPr>
                <w:rFonts w:cs="Arial"/>
                <w:b/>
                <w:color w:val="000000"/>
                <w:szCs w:val="22"/>
                <w:lang w:eastAsia="it-IT"/>
              </w:rPr>
              <w:t>5000,0</w:t>
            </w:r>
          </w:p>
        </w:tc>
        <w:tc>
          <w:tcPr>
            <w:tcW w:w="1279" w:type="dxa"/>
            <w:shd w:val="clear" w:color="auto" w:fill="FFFFFF"/>
            <w:vAlign w:val="center"/>
          </w:tcPr>
          <w:p w14:paraId="2DECBA3D" w14:textId="77777777" w:rsidR="00D34C6A" w:rsidRPr="0019790A" w:rsidRDefault="00D34C6A" w:rsidP="0019790A">
            <w:pPr>
              <w:jc w:val="center"/>
              <w:rPr>
                <w:rFonts w:cs="Arial"/>
                <w:b/>
                <w:color w:val="000000"/>
                <w:szCs w:val="22"/>
                <w:lang w:eastAsia="it-IT"/>
              </w:rPr>
            </w:pPr>
            <w:r w:rsidRPr="0019790A">
              <w:rPr>
                <w:rFonts w:cs="Arial"/>
                <w:b/>
                <w:color w:val="000000"/>
                <w:szCs w:val="22"/>
                <w:lang w:eastAsia="it-IT"/>
              </w:rPr>
              <w:t>0,0</w:t>
            </w:r>
          </w:p>
        </w:tc>
        <w:tc>
          <w:tcPr>
            <w:tcW w:w="1577" w:type="dxa"/>
            <w:shd w:val="clear" w:color="auto" w:fill="FFFFFF"/>
            <w:vAlign w:val="center"/>
          </w:tcPr>
          <w:p w14:paraId="6DB17672" w14:textId="77777777" w:rsidR="00D34C6A" w:rsidRPr="0019790A" w:rsidRDefault="00D34C6A" w:rsidP="0019790A">
            <w:pPr>
              <w:jc w:val="center"/>
              <w:rPr>
                <w:rFonts w:cs="Arial"/>
                <w:b/>
                <w:color w:val="000000"/>
                <w:szCs w:val="22"/>
                <w:lang w:eastAsia="it-IT"/>
              </w:rPr>
            </w:pPr>
            <w:r w:rsidRPr="0019790A">
              <w:rPr>
                <w:rFonts w:cs="Arial"/>
                <w:b/>
                <w:color w:val="000000"/>
                <w:szCs w:val="22"/>
                <w:lang w:eastAsia="it-IT"/>
              </w:rPr>
              <w:t>10000,0</w:t>
            </w:r>
          </w:p>
        </w:tc>
      </w:tr>
      <w:tr w:rsidR="00D34C6A" w:rsidRPr="0019790A" w14:paraId="394267C3" w14:textId="77777777" w:rsidTr="00B8248C">
        <w:trPr>
          <w:trHeight w:val="276"/>
          <w:jc w:val="right"/>
        </w:trPr>
        <w:tc>
          <w:tcPr>
            <w:tcW w:w="3405" w:type="dxa"/>
            <w:shd w:val="clear" w:color="auto" w:fill="FFFFFF"/>
            <w:vAlign w:val="center"/>
          </w:tcPr>
          <w:p w14:paraId="19C3903C" w14:textId="77777777" w:rsidR="00D34C6A" w:rsidRPr="0019790A" w:rsidRDefault="00D34C6A" w:rsidP="0019790A">
            <w:pPr>
              <w:rPr>
                <w:rFonts w:cs="Arial"/>
                <w:b/>
                <w:bCs/>
                <w:color w:val="000000"/>
                <w:szCs w:val="22"/>
              </w:rPr>
            </w:pPr>
            <w:r w:rsidRPr="0019790A">
              <w:rPr>
                <w:rFonts w:cs="Arial"/>
                <w:b/>
                <w:bCs/>
                <w:color w:val="000000"/>
                <w:szCs w:val="22"/>
              </w:rPr>
              <w:t>по джерелах фінансування:</w:t>
            </w:r>
          </w:p>
        </w:tc>
        <w:tc>
          <w:tcPr>
            <w:tcW w:w="6814" w:type="dxa"/>
            <w:gridSpan w:val="7"/>
            <w:vAlign w:val="center"/>
          </w:tcPr>
          <w:p w14:paraId="7E811653" w14:textId="77777777" w:rsidR="00D34C6A" w:rsidRPr="0019790A" w:rsidRDefault="00D34C6A" w:rsidP="0019790A">
            <w:pPr>
              <w:jc w:val="both"/>
              <w:rPr>
                <w:rFonts w:cs="Arial"/>
                <w:color w:val="000000"/>
                <w:szCs w:val="22"/>
              </w:rPr>
            </w:pPr>
          </w:p>
        </w:tc>
      </w:tr>
      <w:tr w:rsidR="00D34C6A" w:rsidRPr="0019790A" w14:paraId="7AA29ECA" w14:textId="77777777" w:rsidTr="00B8248C">
        <w:trPr>
          <w:trHeight w:val="240"/>
          <w:jc w:val="right"/>
        </w:trPr>
        <w:tc>
          <w:tcPr>
            <w:tcW w:w="3405" w:type="dxa"/>
            <w:shd w:val="clear" w:color="auto" w:fill="FFFFFF"/>
            <w:vAlign w:val="center"/>
          </w:tcPr>
          <w:p w14:paraId="43937630" w14:textId="77777777" w:rsidR="00D34C6A" w:rsidRPr="0019790A" w:rsidRDefault="00D34C6A" w:rsidP="0019790A">
            <w:pPr>
              <w:rPr>
                <w:rFonts w:cs="Arial"/>
                <w:b/>
                <w:bCs/>
                <w:color w:val="000000"/>
                <w:szCs w:val="22"/>
              </w:rPr>
            </w:pPr>
            <w:r w:rsidRPr="0019790A">
              <w:rPr>
                <w:rFonts w:cs="Arial"/>
                <w:color w:val="000000"/>
                <w:szCs w:val="22"/>
              </w:rPr>
              <w:t>- державний бюджет</w:t>
            </w:r>
          </w:p>
        </w:tc>
        <w:tc>
          <w:tcPr>
            <w:tcW w:w="1245" w:type="dxa"/>
            <w:vAlign w:val="center"/>
          </w:tcPr>
          <w:p w14:paraId="0B29DAD2" w14:textId="77777777" w:rsidR="00D34C6A" w:rsidRPr="0019790A" w:rsidRDefault="00D34C6A" w:rsidP="0019790A">
            <w:pPr>
              <w:jc w:val="both"/>
              <w:rPr>
                <w:rFonts w:cs="Arial"/>
                <w:color w:val="000000"/>
                <w:szCs w:val="22"/>
              </w:rPr>
            </w:pPr>
          </w:p>
        </w:tc>
        <w:tc>
          <w:tcPr>
            <w:tcW w:w="1299" w:type="dxa"/>
            <w:gridSpan w:val="3"/>
            <w:vAlign w:val="center"/>
          </w:tcPr>
          <w:p w14:paraId="5FBC536C" w14:textId="77777777" w:rsidR="00D34C6A" w:rsidRPr="0019790A" w:rsidRDefault="00D34C6A" w:rsidP="0019790A">
            <w:pPr>
              <w:jc w:val="both"/>
              <w:rPr>
                <w:rFonts w:cs="Arial"/>
                <w:color w:val="000000"/>
                <w:szCs w:val="22"/>
              </w:rPr>
            </w:pPr>
          </w:p>
        </w:tc>
        <w:tc>
          <w:tcPr>
            <w:tcW w:w="1414" w:type="dxa"/>
            <w:vAlign w:val="center"/>
          </w:tcPr>
          <w:p w14:paraId="56D94BB9" w14:textId="77777777" w:rsidR="00D34C6A" w:rsidRPr="0019790A" w:rsidRDefault="00D34C6A" w:rsidP="0019790A">
            <w:pPr>
              <w:jc w:val="both"/>
              <w:rPr>
                <w:rFonts w:cs="Arial"/>
                <w:color w:val="000000"/>
                <w:szCs w:val="22"/>
              </w:rPr>
            </w:pPr>
          </w:p>
        </w:tc>
        <w:tc>
          <w:tcPr>
            <w:tcW w:w="1279" w:type="dxa"/>
            <w:vAlign w:val="center"/>
          </w:tcPr>
          <w:p w14:paraId="693ACADA" w14:textId="77777777" w:rsidR="00D34C6A" w:rsidRPr="0019790A" w:rsidRDefault="00D34C6A" w:rsidP="0019790A">
            <w:pPr>
              <w:jc w:val="both"/>
              <w:rPr>
                <w:rFonts w:cs="Arial"/>
                <w:color w:val="000000"/>
                <w:szCs w:val="22"/>
              </w:rPr>
            </w:pPr>
          </w:p>
        </w:tc>
        <w:tc>
          <w:tcPr>
            <w:tcW w:w="1577" w:type="dxa"/>
            <w:vAlign w:val="center"/>
          </w:tcPr>
          <w:p w14:paraId="0F84F473" w14:textId="77777777" w:rsidR="00D34C6A" w:rsidRPr="0019790A" w:rsidRDefault="00D34C6A" w:rsidP="0019790A">
            <w:pPr>
              <w:jc w:val="both"/>
              <w:rPr>
                <w:rFonts w:cs="Arial"/>
                <w:color w:val="000000"/>
                <w:szCs w:val="22"/>
              </w:rPr>
            </w:pPr>
          </w:p>
        </w:tc>
      </w:tr>
      <w:tr w:rsidR="00D34C6A" w:rsidRPr="0019790A" w14:paraId="45A556F8" w14:textId="77777777" w:rsidTr="00B8248C">
        <w:trPr>
          <w:trHeight w:val="254"/>
          <w:jc w:val="right"/>
        </w:trPr>
        <w:tc>
          <w:tcPr>
            <w:tcW w:w="3405" w:type="dxa"/>
            <w:shd w:val="clear" w:color="auto" w:fill="FFFFFF"/>
            <w:vAlign w:val="center"/>
          </w:tcPr>
          <w:p w14:paraId="4BB2A25E" w14:textId="77777777" w:rsidR="00D34C6A" w:rsidRPr="0019790A" w:rsidRDefault="00D34C6A" w:rsidP="0019790A">
            <w:pPr>
              <w:rPr>
                <w:rFonts w:cs="Arial"/>
                <w:color w:val="000000"/>
                <w:szCs w:val="22"/>
              </w:rPr>
            </w:pPr>
            <w:r w:rsidRPr="0019790A">
              <w:rPr>
                <w:rFonts w:cs="Arial"/>
                <w:color w:val="000000"/>
                <w:szCs w:val="22"/>
              </w:rPr>
              <w:t>- обласний бюджет</w:t>
            </w:r>
          </w:p>
        </w:tc>
        <w:tc>
          <w:tcPr>
            <w:tcW w:w="1260" w:type="dxa"/>
            <w:gridSpan w:val="3"/>
            <w:vAlign w:val="center"/>
          </w:tcPr>
          <w:p w14:paraId="1F0BDB13" w14:textId="77777777" w:rsidR="00D34C6A" w:rsidRPr="0019790A" w:rsidRDefault="00D34C6A" w:rsidP="0019790A">
            <w:pPr>
              <w:jc w:val="both"/>
              <w:rPr>
                <w:rFonts w:cs="Arial"/>
                <w:color w:val="000000"/>
                <w:szCs w:val="22"/>
                <w:lang w:eastAsia="it-IT"/>
              </w:rPr>
            </w:pPr>
          </w:p>
        </w:tc>
        <w:tc>
          <w:tcPr>
            <w:tcW w:w="1284" w:type="dxa"/>
            <w:vAlign w:val="center"/>
          </w:tcPr>
          <w:p w14:paraId="24E02319" w14:textId="77777777" w:rsidR="00D34C6A" w:rsidRPr="0019790A" w:rsidRDefault="00D34C6A" w:rsidP="0019790A">
            <w:pPr>
              <w:jc w:val="both"/>
              <w:rPr>
                <w:rFonts w:cs="Arial"/>
                <w:color w:val="000000"/>
                <w:szCs w:val="22"/>
                <w:lang w:eastAsia="it-IT"/>
              </w:rPr>
            </w:pPr>
            <w:r w:rsidRPr="0019790A">
              <w:rPr>
                <w:rFonts w:cs="Arial"/>
                <w:color w:val="000000"/>
                <w:szCs w:val="22"/>
                <w:lang w:eastAsia="it-IT"/>
              </w:rPr>
              <w:t>2500,00</w:t>
            </w:r>
          </w:p>
        </w:tc>
        <w:tc>
          <w:tcPr>
            <w:tcW w:w="1414" w:type="dxa"/>
            <w:vAlign w:val="center"/>
          </w:tcPr>
          <w:p w14:paraId="45AF3C97" w14:textId="77777777" w:rsidR="00D34C6A" w:rsidRPr="0019790A" w:rsidRDefault="00D34C6A" w:rsidP="0019790A">
            <w:pPr>
              <w:jc w:val="both"/>
              <w:rPr>
                <w:rFonts w:cs="Arial"/>
                <w:color w:val="000000"/>
                <w:szCs w:val="22"/>
                <w:lang w:eastAsia="it-IT"/>
              </w:rPr>
            </w:pPr>
            <w:r w:rsidRPr="0019790A">
              <w:rPr>
                <w:rFonts w:cs="Arial"/>
                <w:color w:val="000000"/>
                <w:szCs w:val="22"/>
                <w:lang w:eastAsia="it-IT"/>
              </w:rPr>
              <w:t>2500,00</w:t>
            </w:r>
          </w:p>
        </w:tc>
        <w:tc>
          <w:tcPr>
            <w:tcW w:w="1279" w:type="dxa"/>
            <w:vAlign w:val="center"/>
          </w:tcPr>
          <w:p w14:paraId="6EB443C5" w14:textId="77777777" w:rsidR="00D34C6A" w:rsidRPr="0019790A" w:rsidRDefault="00D34C6A" w:rsidP="0019790A">
            <w:pPr>
              <w:jc w:val="both"/>
              <w:rPr>
                <w:rFonts w:cs="Arial"/>
                <w:color w:val="000000"/>
                <w:szCs w:val="22"/>
                <w:lang w:eastAsia="it-IT"/>
              </w:rPr>
            </w:pPr>
          </w:p>
        </w:tc>
        <w:tc>
          <w:tcPr>
            <w:tcW w:w="1577" w:type="dxa"/>
            <w:vAlign w:val="center"/>
          </w:tcPr>
          <w:p w14:paraId="1498D162" w14:textId="77777777" w:rsidR="00D34C6A" w:rsidRPr="0019790A" w:rsidRDefault="00D34C6A" w:rsidP="0019790A">
            <w:pPr>
              <w:jc w:val="both"/>
              <w:rPr>
                <w:rFonts w:cs="Arial"/>
                <w:color w:val="000000"/>
                <w:szCs w:val="22"/>
                <w:lang w:eastAsia="it-IT"/>
              </w:rPr>
            </w:pPr>
            <w:r w:rsidRPr="0019790A">
              <w:rPr>
                <w:rFonts w:cs="Arial"/>
                <w:color w:val="000000"/>
                <w:szCs w:val="22"/>
                <w:lang w:eastAsia="it-IT"/>
              </w:rPr>
              <w:t>5000,00</w:t>
            </w:r>
          </w:p>
        </w:tc>
      </w:tr>
      <w:tr w:rsidR="00D34C6A" w:rsidRPr="0019790A" w14:paraId="5278E757" w14:textId="77777777" w:rsidTr="00B8248C">
        <w:trPr>
          <w:trHeight w:val="275"/>
          <w:jc w:val="right"/>
        </w:trPr>
        <w:tc>
          <w:tcPr>
            <w:tcW w:w="3405" w:type="dxa"/>
            <w:shd w:val="clear" w:color="auto" w:fill="FFFFFF"/>
            <w:vAlign w:val="center"/>
          </w:tcPr>
          <w:p w14:paraId="73065509" w14:textId="77777777" w:rsidR="00D34C6A" w:rsidRPr="0019790A" w:rsidRDefault="00D34C6A" w:rsidP="0019790A">
            <w:pPr>
              <w:rPr>
                <w:rFonts w:cs="Arial"/>
                <w:color w:val="000000"/>
                <w:szCs w:val="22"/>
              </w:rPr>
            </w:pPr>
            <w:r w:rsidRPr="0019790A">
              <w:rPr>
                <w:rFonts w:cs="Arial"/>
                <w:color w:val="000000"/>
                <w:szCs w:val="22"/>
              </w:rPr>
              <w:t>- бюджет Жмеринської МТГ</w:t>
            </w:r>
          </w:p>
        </w:tc>
        <w:tc>
          <w:tcPr>
            <w:tcW w:w="1251" w:type="dxa"/>
            <w:gridSpan w:val="2"/>
            <w:vAlign w:val="center"/>
          </w:tcPr>
          <w:p w14:paraId="54F93E84" w14:textId="77777777" w:rsidR="00D34C6A" w:rsidRPr="0019790A" w:rsidRDefault="00D34C6A" w:rsidP="0019790A">
            <w:pPr>
              <w:jc w:val="both"/>
              <w:rPr>
                <w:rFonts w:cs="Arial"/>
                <w:color w:val="000000"/>
                <w:szCs w:val="22"/>
                <w:lang w:eastAsia="it-IT"/>
              </w:rPr>
            </w:pPr>
          </w:p>
        </w:tc>
        <w:tc>
          <w:tcPr>
            <w:tcW w:w="1293" w:type="dxa"/>
            <w:gridSpan w:val="2"/>
            <w:vAlign w:val="center"/>
          </w:tcPr>
          <w:p w14:paraId="78E03EB8" w14:textId="77777777" w:rsidR="00D34C6A" w:rsidRPr="0019790A" w:rsidRDefault="00D34C6A" w:rsidP="0019790A">
            <w:pPr>
              <w:jc w:val="both"/>
              <w:rPr>
                <w:rFonts w:cs="Arial"/>
                <w:color w:val="000000"/>
                <w:szCs w:val="22"/>
                <w:lang w:eastAsia="it-IT"/>
              </w:rPr>
            </w:pPr>
            <w:r w:rsidRPr="0019790A">
              <w:rPr>
                <w:rFonts w:cs="Arial"/>
                <w:color w:val="000000"/>
                <w:szCs w:val="22"/>
                <w:lang w:eastAsia="it-IT"/>
              </w:rPr>
              <w:t>2500,00</w:t>
            </w:r>
          </w:p>
        </w:tc>
        <w:tc>
          <w:tcPr>
            <w:tcW w:w="1414" w:type="dxa"/>
            <w:vAlign w:val="center"/>
          </w:tcPr>
          <w:p w14:paraId="4DD300D8" w14:textId="77777777" w:rsidR="00D34C6A" w:rsidRPr="0019790A" w:rsidRDefault="00D34C6A" w:rsidP="0019790A">
            <w:pPr>
              <w:jc w:val="both"/>
              <w:rPr>
                <w:rFonts w:cs="Arial"/>
                <w:color w:val="000000"/>
                <w:szCs w:val="22"/>
                <w:lang w:eastAsia="it-IT"/>
              </w:rPr>
            </w:pPr>
            <w:r w:rsidRPr="0019790A">
              <w:rPr>
                <w:rFonts w:cs="Arial"/>
                <w:color w:val="000000"/>
                <w:szCs w:val="22"/>
                <w:lang w:eastAsia="it-IT"/>
              </w:rPr>
              <w:t>2500,00</w:t>
            </w:r>
          </w:p>
        </w:tc>
        <w:tc>
          <w:tcPr>
            <w:tcW w:w="1279" w:type="dxa"/>
            <w:vAlign w:val="center"/>
          </w:tcPr>
          <w:p w14:paraId="32D43CCE" w14:textId="77777777" w:rsidR="00D34C6A" w:rsidRPr="0019790A" w:rsidRDefault="00D34C6A" w:rsidP="0019790A">
            <w:pPr>
              <w:jc w:val="both"/>
              <w:rPr>
                <w:rFonts w:cs="Arial"/>
                <w:color w:val="000000"/>
                <w:szCs w:val="22"/>
                <w:lang w:eastAsia="it-IT"/>
              </w:rPr>
            </w:pPr>
          </w:p>
        </w:tc>
        <w:tc>
          <w:tcPr>
            <w:tcW w:w="1577" w:type="dxa"/>
            <w:vAlign w:val="center"/>
          </w:tcPr>
          <w:p w14:paraId="132D789D" w14:textId="77777777" w:rsidR="00D34C6A" w:rsidRPr="0019790A" w:rsidRDefault="00D34C6A" w:rsidP="0019790A">
            <w:pPr>
              <w:jc w:val="both"/>
              <w:rPr>
                <w:rFonts w:cs="Arial"/>
                <w:color w:val="000000"/>
                <w:szCs w:val="22"/>
                <w:lang w:eastAsia="it-IT"/>
              </w:rPr>
            </w:pPr>
            <w:r w:rsidRPr="0019790A">
              <w:rPr>
                <w:rFonts w:cs="Arial"/>
                <w:color w:val="000000"/>
                <w:szCs w:val="22"/>
                <w:lang w:eastAsia="it-IT"/>
              </w:rPr>
              <w:t>5000,00</w:t>
            </w:r>
          </w:p>
        </w:tc>
      </w:tr>
      <w:tr w:rsidR="00D34C6A" w:rsidRPr="0019790A" w14:paraId="1AD9D62D" w14:textId="77777777" w:rsidTr="00B8248C">
        <w:trPr>
          <w:trHeight w:val="226"/>
          <w:jc w:val="right"/>
        </w:trPr>
        <w:tc>
          <w:tcPr>
            <w:tcW w:w="3405" w:type="dxa"/>
            <w:shd w:val="clear" w:color="auto" w:fill="FFFFFF"/>
            <w:vAlign w:val="center"/>
          </w:tcPr>
          <w:p w14:paraId="034FD950" w14:textId="77777777" w:rsidR="00D34C6A" w:rsidRPr="0019790A" w:rsidRDefault="00D34C6A" w:rsidP="0019790A">
            <w:pPr>
              <w:rPr>
                <w:rFonts w:cs="Arial"/>
                <w:color w:val="000000"/>
                <w:szCs w:val="22"/>
              </w:rPr>
            </w:pPr>
            <w:r w:rsidRPr="0019790A">
              <w:rPr>
                <w:rFonts w:cs="Arial"/>
                <w:color w:val="000000"/>
                <w:szCs w:val="22"/>
              </w:rPr>
              <w:t>- інші джерела фінансування</w:t>
            </w:r>
          </w:p>
        </w:tc>
        <w:tc>
          <w:tcPr>
            <w:tcW w:w="1260" w:type="dxa"/>
            <w:gridSpan w:val="3"/>
            <w:vAlign w:val="center"/>
          </w:tcPr>
          <w:p w14:paraId="29508A56" w14:textId="77777777" w:rsidR="00D34C6A" w:rsidRPr="0019790A" w:rsidRDefault="00D34C6A" w:rsidP="0019790A">
            <w:pPr>
              <w:jc w:val="both"/>
              <w:rPr>
                <w:rFonts w:cs="Arial"/>
                <w:color w:val="000000"/>
                <w:szCs w:val="22"/>
                <w:lang w:eastAsia="it-IT"/>
              </w:rPr>
            </w:pPr>
          </w:p>
        </w:tc>
        <w:tc>
          <w:tcPr>
            <w:tcW w:w="1284" w:type="dxa"/>
            <w:vAlign w:val="center"/>
          </w:tcPr>
          <w:p w14:paraId="11D7C889" w14:textId="77777777" w:rsidR="00D34C6A" w:rsidRPr="0019790A" w:rsidRDefault="00D34C6A" w:rsidP="0019790A">
            <w:pPr>
              <w:jc w:val="both"/>
              <w:rPr>
                <w:rFonts w:cs="Arial"/>
                <w:color w:val="000000"/>
                <w:szCs w:val="22"/>
                <w:lang w:eastAsia="it-IT"/>
              </w:rPr>
            </w:pPr>
          </w:p>
        </w:tc>
        <w:tc>
          <w:tcPr>
            <w:tcW w:w="1414" w:type="dxa"/>
            <w:vAlign w:val="center"/>
          </w:tcPr>
          <w:p w14:paraId="1E34D83C" w14:textId="77777777" w:rsidR="00D34C6A" w:rsidRPr="0019790A" w:rsidRDefault="00D34C6A" w:rsidP="0019790A">
            <w:pPr>
              <w:jc w:val="both"/>
              <w:rPr>
                <w:rFonts w:cs="Arial"/>
                <w:color w:val="000000"/>
                <w:szCs w:val="22"/>
                <w:lang w:eastAsia="it-IT"/>
              </w:rPr>
            </w:pPr>
          </w:p>
        </w:tc>
        <w:tc>
          <w:tcPr>
            <w:tcW w:w="1279" w:type="dxa"/>
            <w:vAlign w:val="center"/>
          </w:tcPr>
          <w:p w14:paraId="6C582C91" w14:textId="77777777" w:rsidR="00D34C6A" w:rsidRPr="0019790A" w:rsidRDefault="00D34C6A" w:rsidP="0019790A">
            <w:pPr>
              <w:jc w:val="both"/>
              <w:rPr>
                <w:rFonts w:cs="Arial"/>
                <w:color w:val="000000"/>
                <w:szCs w:val="22"/>
                <w:lang w:eastAsia="it-IT"/>
              </w:rPr>
            </w:pPr>
          </w:p>
        </w:tc>
        <w:tc>
          <w:tcPr>
            <w:tcW w:w="1577" w:type="dxa"/>
            <w:vAlign w:val="center"/>
          </w:tcPr>
          <w:p w14:paraId="0DB2AE6A" w14:textId="77777777" w:rsidR="00D34C6A" w:rsidRPr="0019790A" w:rsidRDefault="00D34C6A" w:rsidP="0019790A">
            <w:pPr>
              <w:jc w:val="both"/>
              <w:rPr>
                <w:rFonts w:cs="Arial"/>
                <w:color w:val="000000"/>
                <w:szCs w:val="22"/>
                <w:lang w:eastAsia="it-IT"/>
              </w:rPr>
            </w:pPr>
          </w:p>
        </w:tc>
      </w:tr>
      <w:tr w:rsidR="00D34C6A" w:rsidRPr="0019790A" w14:paraId="3509B319" w14:textId="77777777" w:rsidTr="00B8248C">
        <w:trPr>
          <w:trHeight w:val="699"/>
          <w:jc w:val="right"/>
        </w:trPr>
        <w:tc>
          <w:tcPr>
            <w:tcW w:w="3405" w:type="dxa"/>
            <w:shd w:val="clear" w:color="auto" w:fill="FFFFFF"/>
            <w:vAlign w:val="center"/>
          </w:tcPr>
          <w:p w14:paraId="31FA42A2" w14:textId="77777777" w:rsidR="00D34C6A" w:rsidRPr="0019790A" w:rsidRDefault="00D34C6A" w:rsidP="0019790A">
            <w:pPr>
              <w:rPr>
                <w:rFonts w:cs="Arial"/>
                <w:b/>
                <w:bCs/>
                <w:color w:val="000000"/>
                <w:szCs w:val="22"/>
              </w:rPr>
            </w:pPr>
            <w:r w:rsidRPr="0019790A">
              <w:rPr>
                <w:rFonts w:cs="Arial"/>
                <w:b/>
                <w:color w:val="000000"/>
                <w:szCs w:val="22"/>
              </w:rPr>
              <w:t>Відповідальний виконавець проєкту:</w:t>
            </w:r>
          </w:p>
        </w:tc>
        <w:tc>
          <w:tcPr>
            <w:tcW w:w="6814" w:type="dxa"/>
            <w:gridSpan w:val="7"/>
            <w:vAlign w:val="center"/>
          </w:tcPr>
          <w:p w14:paraId="68DB02DC" w14:textId="77777777" w:rsidR="00D34C6A" w:rsidRPr="0019790A" w:rsidRDefault="00D34C6A" w:rsidP="0019790A">
            <w:pPr>
              <w:jc w:val="both"/>
              <w:rPr>
                <w:rFonts w:cs="Arial"/>
                <w:color w:val="000000"/>
                <w:szCs w:val="22"/>
                <w:lang w:eastAsia="it-IT"/>
              </w:rPr>
            </w:pPr>
            <w:r w:rsidRPr="0019790A">
              <w:rPr>
                <w:rFonts w:cs="Arial"/>
                <w:color w:val="000000"/>
                <w:szCs w:val="22"/>
                <w:lang w:eastAsia="it-IT"/>
              </w:rPr>
              <w:t xml:space="preserve"> Управління ЖКГ, управління освіти, виконавці робіт.</w:t>
            </w:r>
          </w:p>
        </w:tc>
      </w:tr>
      <w:tr w:rsidR="00D34C6A" w:rsidRPr="0019790A" w14:paraId="7E148A9E" w14:textId="77777777" w:rsidTr="00B8248C">
        <w:trPr>
          <w:jc w:val="right"/>
        </w:trPr>
        <w:tc>
          <w:tcPr>
            <w:tcW w:w="3405" w:type="dxa"/>
            <w:shd w:val="clear" w:color="auto" w:fill="FFFFFF"/>
            <w:vAlign w:val="center"/>
          </w:tcPr>
          <w:p w14:paraId="5028A59D" w14:textId="77777777" w:rsidR="00D34C6A" w:rsidRPr="0019790A" w:rsidRDefault="00D34C6A" w:rsidP="0019790A">
            <w:pPr>
              <w:rPr>
                <w:rFonts w:cs="Arial"/>
                <w:b/>
                <w:bCs/>
                <w:color w:val="000000"/>
                <w:szCs w:val="22"/>
              </w:rPr>
            </w:pPr>
            <w:r w:rsidRPr="0019790A">
              <w:rPr>
                <w:rFonts w:cs="Arial"/>
                <w:b/>
                <w:bCs/>
                <w:color w:val="000000"/>
                <w:szCs w:val="22"/>
              </w:rPr>
              <w:t>Інше:</w:t>
            </w:r>
          </w:p>
        </w:tc>
        <w:tc>
          <w:tcPr>
            <w:tcW w:w="6814" w:type="dxa"/>
            <w:gridSpan w:val="7"/>
            <w:vAlign w:val="center"/>
          </w:tcPr>
          <w:p w14:paraId="6DC6C8DC" w14:textId="77777777" w:rsidR="00D34C6A" w:rsidRPr="0019790A" w:rsidRDefault="00D34C6A" w:rsidP="0019790A">
            <w:pPr>
              <w:rPr>
                <w:rFonts w:cs="Arial"/>
                <w:color w:val="000000"/>
                <w:szCs w:val="22"/>
                <w:lang w:eastAsia="it-IT"/>
              </w:rPr>
            </w:pPr>
          </w:p>
        </w:tc>
      </w:tr>
    </w:tbl>
    <w:p w14:paraId="7516C269" w14:textId="77777777" w:rsidR="00D34C6A" w:rsidRPr="0019790A" w:rsidRDefault="00D34C6A" w:rsidP="0019790A">
      <w:pPr>
        <w:rPr>
          <w:rFonts w:cs="Arial"/>
          <w:szCs w:val="22"/>
        </w:rPr>
      </w:pPr>
    </w:p>
    <w:p w14:paraId="052D2F75" w14:textId="77777777" w:rsidR="00D34C6A" w:rsidRPr="0019790A" w:rsidRDefault="00D34C6A" w:rsidP="0019790A">
      <w:pPr>
        <w:rPr>
          <w:rFonts w:cs="Arial"/>
          <w:szCs w:val="22"/>
        </w:rPr>
      </w:pPr>
    </w:p>
    <w:p w14:paraId="260D8F5D" w14:textId="77777777" w:rsidR="002540E1" w:rsidRPr="0019790A" w:rsidRDefault="002540E1" w:rsidP="0019790A">
      <w:pPr>
        <w:jc w:val="right"/>
        <w:rPr>
          <w:rFonts w:cs="Arial"/>
          <w:b/>
          <w:szCs w:val="22"/>
        </w:rPr>
      </w:pPr>
    </w:p>
    <w:p w14:paraId="7141AE29" w14:textId="77777777" w:rsidR="002540E1" w:rsidRPr="0019790A" w:rsidRDefault="002540E1" w:rsidP="0019790A">
      <w:pPr>
        <w:jc w:val="center"/>
        <w:rPr>
          <w:rFonts w:cs="Arial"/>
          <w:b/>
          <w:szCs w:val="22"/>
        </w:rPr>
      </w:pPr>
      <w:r w:rsidRPr="0019790A">
        <w:rPr>
          <w:rFonts w:cs="Arial"/>
          <w:b/>
          <w:szCs w:val="22"/>
        </w:rPr>
        <w:t xml:space="preserve">Форма технічного завдання на проєкт місцевого розвитку </w:t>
      </w:r>
    </w:p>
    <w:p w14:paraId="7FC350C1" w14:textId="77777777" w:rsidR="002540E1" w:rsidRPr="0019790A" w:rsidRDefault="002540E1" w:rsidP="0019790A">
      <w:pPr>
        <w:jc w:val="center"/>
        <w:rPr>
          <w:rFonts w:cs="Arial"/>
          <w:b/>
          <w:szCs w:val="22"/>
        </w:rPr>
      </w:pPr>
      <w:r w:rsidRPr="0019790A">
        <w:rPr>
          <w:rFonts w:cs="Arial"/>
          <w:b/>
          <w:szCs w:val="22"/>
        </w:rPr>
        <w:t>до Плану заходів з реалізації Стратегії</w:t>
      </w:r>
    </w:p>
    <w:p w14:paraId="02FDF1AE" w14:textId="77777777" w:rsidR="002540E1" w:rsidRPr="0019790A" w:rsidRDefault="002540E1"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104"/>
        <w:gridCol w:w="1171"/>
        <w:gridCol w:w="188"/>
        <w:gridCol w:w="1230"/>
        <w:gridCol w:w="129"/>
        <w:gridCol w:w="1147"/>
        <w:gridCol w:w="212"/>
        <w:gridCol w:w="1359"/>
      </w:tblGrid>
      <w:tr w:rsidR="002540E1" w:rsidRPr="0019790A" w14:paraId="2EF77549" w14:textId="77777777" w:rsidTr="00B8248C">
        <w:trPr>
          <w:jc w:val="right"/>
        </w:trPr>
        <w:tc>
          <w:tcPr>
            <w:tcW w:w="3425" w:type="dxa"/>
            <w:vAlign w:val="center"/>
          </w:tcPr>
          <w:p w14:paraId="632D5389" w14:textId="77777777" w:rsidR="002540E1" w:rsidRPr="0019790A" w:rsidRDefault="002540E1" w:rsidP="0019790A">
            <w:pPr>
              <w:rPr>
                <w:rFonts w:cs="Arial"/>
                <w:b/>
                <w:bCs/>
                <w:szCs w:val="22"/>
              </w:rPr>
            </w:pPr>
            <w:r w:rsidRPr="0019790A">
              <w:rPr>
                <w:rFonts w:cs="Arial"/>
                <w:b/>
                <w:bCs/>
                <w:szCs w:val="22"/>
              </w:rPr>
              <w:t>Назва проєкту:</w:t>
            </w:r>
          </w:p>
        </w:tc>
        <w:tc>
          <w:tcPr>
            <w:tcW w:w="6794" w:type="dxa"/>
            <w:gridSpan w:val="9"/>
          </w:tcPr>
          <w:p w14:paraId="5CEA98DE" w14:textId="15185192" w:rsidR="002540E1" w:rsidRPr="0019790A" w:rsidRDefault="002540E1" w:rsidP="0019790A">
            <w:pPr>
              <w:pStyle w:val="aa"/>
              <w:jc w:val="both"/>
              <w:rPr>
                <w:rFonts w:ascii="Arial" w:hAnsi="Arial" w:cs="Arial"/>
                <w:b/>
              </w:rPr>
            </w:pPr>
            <w:r w:rsidRPr="0019790A">
              <w:rPr>
                <w:rFonts w:ascii="Arial" w:hAnsi="Arial" w:cs="Arial"/>
                <w:b/>
                <w:lang w:eastAsia="it-IT"/>
              </w:rPr>
              <w:t>Т</w:t>
            </w:r>
            <w:r w:rsidRPr="0019790A">
              <w:rPr>
                <w:rFonts w:ascii="Arial" w:hAnsi="Arial" w:cs="Arial"/>
                <w:b/>
              </w:rPr>
              <w:t>ериторія закладу освіти як важлива складова сучасного здоров’я</w:t>
            </w:r>
            <w:r w:rsidR="00CD6B99">
              <w:rPr>
                <w:rFonts w:ascii="Arial" w:hAnsi="Arial" w:cs="Arial"/>
                <w:b/>
              </w:rPr>
              <w:t>-</w:t>
            </w:r>
            <w:r w:rsidRPr="0019790A">
              <w:rPr>
                <w:rFonts w:ascii="Arial" w:hAnsi="Arial" w:cs="Arial"/>
                <w:b/>
              </w:rPr>
              <w:t>збережувального освітнього простору</w:t>
            </w:r>
          </w:p>
        </w:tc>
      </w:tr>
      <w:tr w:rsidR="002540E1" w:rsidRPr="0019790A" w14:paraId="3DFE3D6D" w14:textId="77777777" w:rsidTr="00B8248C">
        <w:trPr>
          <w:jc w:val="right"/>
        </w:trPr>
        <w:tc>
          <w:tcPr>
            <w:tcW w:w="3425" w:type="dxa"/>
          </w:tcPr>
          <w:p w14:paraId="665B35ED" w14:textId="77777777" w:rsidR="002540E1" w:rsidRPr="0019790A" w:rsidRDefault="002540E1"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5430BF14" w14:textId="77777777" w:rsidR="002540E1" w:rsidRPr="0019790A" w:rsidRDefault="002540E1"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9"/>
          </w:tcPr>
          <w:p w14:paraId="6D1F5760" w14:textId="77777777" w:rsidR="002540E1" w:rsidRPr="0019790A" w:rsidRDefault="002540E1" w:rsidP="0019790A">
            <w:pPr>
              <w:rPr>
                <w:rFonts w:cs="Arial"/>
                <w:szCs w:val="22"/>
                <w:lang w:eastAsia="it-IT"/>
              </w:rPr>
            </w:pPr>
            <w:r w:rsidRPr="0019790A">
              <w:rPr>
                <w:rFonts w:cs="Arial"/>
                <w:szCs w:val="22"/>
                <w:lang w:eastAsia="it-IT"/>
              </w:rPr>
              <w:t xml:space="preserve"> Управління освіти Жмеринської міської ради</w:t>
            </w:r>
          </w:p>
          <w:p w14:paraId="6667FA67" w14:textId="77777777" w:rsidR="002540E1" w:rsidRPr="0019790A" w:rsidRDefault="002540E1" w:rsidP="0019790A">
            <w:pPr>
              <w:rPr>
                <w:rFonts w:cs="Arial"/>
                <w:szCs w:val="22"/>
                <w:lang w:eastAsia="it-IT"/>
              </w:rPr>
            </w:pPr>
          </w:p>
        </w:tc>
      </w:tr>
      <w:tr w:rsidR="002540E1" w:rsidRPr="0019790A" w14:paraId="00C4305B" w14:textId="77777777" w:rsidTr="00B8248C">
        <w:trPr>
          <w:jc w:val="right"/>
        </w:trPr>
        <w:tc>
          <w:tcPr>
            <w:tcW w:w="3425" w:type="dxa"/>
          </w:tcPr>
          <w:p w14:paraId="5D8749AD" w14:textId="77777777" w:rsidR="002540E1" w:rsidRPr="0019790A" w:rsidRDefault="002540E1" w:rsidP="0019790A">
            <w:pPr>
              <w:rPr>
                <w:rFonts w:cs="Arial"/>
                <w:b/>
                <w:bCs/>
                <w:szCs w:val="22"/>
              </w:rPr>
            </w:pPr>
            <w:r w:rsidRPr="0019790A">
              <w:rPr>
                <w:rFonts w:cs="Arial"/>
                <w:szCs w:val="22"/>
                <w:lang w:eastAsia="it-IT"/>
              </w:rPr>
              <w:t>Прізвище Ім’я по-батькові:</w:t>
            </w:r>
          </w:p>
        </w:tc>
        <w:tc>
          <w:tcPr>
            <w:tcW w:w="6794" w:type="dxa"/>
            <w:gridSpan w:val="9"/>
          </w:tcPr>
          <w:p w14:paraId="2A224BD7" w14:textId="77777777" w:rsidR="002540E1" w:rsidRPr="0019790A" w:rsidRDefault="002540E1" w:rsidP="0019790A">
            <w:pPr>
              <w:pStyle w:val="TableParagraph"/>
              <w:ind w:left="0"/>
              <w:rPr>
                <w:rFonts w:ascii="Arial" w:hAnsi="Arial" w:cs="Arial"/>
              </w:rPr>
            </w:pPr>
            <w:r w:rsidRPr="0019790A">
              <w:rPr>
                <w:rFonts w:ascii="Arial" w:hAnsi="Arial" w:cs="Arial"/>
              </w:rPr>
              <w:t>Твердохліб Аліна Петрівна</w:t>
            </w:r>
          </w:p>
        </w:tc>
      </w:tr>
      <w:tr w:rsidR="002540E1" w:rsidRPr="0019790A" w14:paraId="2E09A3A0" w14:textId="77777777" w:rsidTr="00B8248C">
        <w:trPr>
          <w:jc w:val="right"/>
        </w:trPr>
        <w:tc>
          <w:tcPr>
            <w:tcW w:w="3425" w:type="dxa"/>
          </w:tcPr>
          <w:p w14:paraId="017FBDD9" w14:textId="77777777" w:rsidR="002540E1" w:rsidRPr="0019790A" w:rsidRDefault="002540E1" w:rsidP="0019790A">
            <w:pPr>
              <w:rPr>
                <w:rFonts w:cs="Arial"/>
                <w:b/>
                <w:bCs/>
                <w:szCs w:val="22"/>
              </w:rPr>
            </w:pPr>
            <w:r w:rsidRPr="0019790A">
              <w:rPr>
                <w:rFonts w:cs="Arial"/>
                <w:szCs w:val="22"/>
                <w:lang w:eastAsia="it-IT"/>
              </w:rPr>
              <w:t>Телефон (мобільний):</w:t>
            </w:r>
          </w:p>
        </w:tc>
        <w:tc>
          <w:tcPr>
            <w:tcW w:w="6794" w:type="dxa"/>
            <w:gridSpan w:val="9"/>
          </w:tcPr>
          <w:p w14:paraId="1CA2D672" w14:textId="77777777" w:rsidR="002540E1" w:rsidRPr="0019790A" w:rsidRDefault="002540E1" w:rsidP="0019790A">
            <w:pPr>
              <w:pStyle w:val="TableParagraph"/>
              <w:ind w:left="66"/>
              <w:rPr>
                <w:rFonts w:ascii="Arial" w:hAnsi="Arial" w:cs="Arial"/>
              </w:rPr>
            </w:pPr>
            <w:r w:rsidRPr="0019790A">
              <w:rPr>
                <w:rFonts w:ascii="Arial" w:hAnsi="Arial" w:cs="Arial"/>
                <w:spacing w:val="-2"/>
              </w:rPr>
              <w:t>+380 (67) 895 55 75</w:t>
            </w:r>
          </w:p>
        </w:tc>
      </w:tr>
      <w:tr w:rsidR="002540E1" w:rsidRPr="0019790A" w14:paraId="7E0C2757" w14:textId="77777777" w:rsidTr="00B8248C">
        <w:trPr>
          <w:jc w:val="right"/>
        </w:trPr>
        <w:tc>
          <w:tcPr>
            <w:tcW w:w="3425" w:type="dxa"/>
          </w:tcPr>
          <w:p w14:paraId="42D6F1E7" w14:textId="77777777" w:rsidR="002540E1" w:rsidRPr="0019790A" w:rsidRDefault="002540E1" w:rsidP="0019790A">
            <w:pPr>
              <w:rPr>
                <w:rFonts w:cs="Arial"/>
                <w:b/>
                <w:bCs/>
                <w:szCs w:val="22"/>
              </w:rPr>
            </w:pPr>
            <w:r w:rsidRPr="0019790A">
              <w:rPr>
                <w:rFonts w:cs="Arial"/>
                <w:szCs w:val="22"/>
                <w:lang w:eastAsia="it-IT"/>
              </w:rPr>
              <w:t>Електронна адреса:</w:t>
            </w:r>
          </w:p>
        </w:tc>
        <w:tc>
          <w:tcPr>
            <w:tcW w:w="6794" w:type="dxa"/>
            <w:gridSpan w:val="9"/>
          </w:tcPr>
          <w:p w14:paraId="4B0AF2A9" w14:textId="77777777" w:rsidR="002540E1" w:rsidRPr="0019790A" w:rsidRDefault="002540E1" w:rsidP="0019790A">
            <w:pPr>
              <w:pStyle w:val="TableParagraph"/>
              <w:ind w:left="66"/>
              <w:rPr>
                <w:rFonts w:ascii="Arial" w:hAnsi="Arial" w:cs="Arial"/>
                <w:b/>
              </w:rPr>
            </w:pPr>
            <w:r w:rsidRPr="0019790A">
              <w:rPr>
                <w:rFonts w:ascii="Arial" w:hAnsi="Arial" w:cs="Arial"/>
              </w:rPr>
              <w:t xml:space="preserve"> </w:t>
            </w:r>
            <w:hyperlink r:id="rId117" w:history="1">
              <w:r w:rsidRPr="0019790A">
                <w:rPr>
                  <w:rStyle w:val="af0"/>
                  <w:rFonts w:ascii="Arial" w:hAnsi="Arial" w:cs="Arial"/>
                  <w:noProof w:val="0"/>
                  <w:spacing w:val="5"/>
                  <w:sz w:val="22"/>
                  <w:szCs w:val="22"/>
                </w:rPr>
                <w:t>uposv.zmr@gmail.com</w:t>
              </w:r>
            </w:hyperlink>
          </w:p>
        </w:tc>
      </w:tr>
      <w:tr w:rsidR="002540E1" w:rsidRPr="0019790A" w14:paraId="0A67B4E9" w14:textId="77777777" w:rsidTr="00B8248C">
        <w:trPr>
          <w:jc w:val="right"/>
        </w:trPr>
        <w:tc>
          <w:tcPr>
            <w:tcW w:w="3425" w:type="dxa"/>
            <w:vAlign w:val="center"/>
          </w:tcPr>
          <w:p w14:paraId="334E2EAA" w14:textId="77777777" w:rsidR="002540E1" w:rsidRPr="0019790A" w:rsidRDefault="002540E1" w:rsidP="0019790A">
            <w:pPr>
              <w:pStyle w:val="6"/>
              <w:spacing w:before="0" w:after="0"/>
              <w:rPr>
                <w:rFonts w:ascii="Arial" w:hAnsi="Arial" w:cs="Arial"/>
                <w:lang w:val="uk-UA"/>
              </w:rPr>
            </w:pPr>
            <w:r w:rsidRPr="0019790A">
              <w:rPr>
                <w:rFonts w:ascii="Arial" w:hAnsi="Arial" w:cs="Arial"/>
                <w:lang w:val="uk-UA"/>
              </w:rPr>
              <w:t>Номер і назва завдання з Стратегії</w:t>
            </w:r>
            <w:r w:rsidRPr="0019790A">
              <w:rPr>
                <w:rFonts w:ascii="Arial" w:hAnsi="Arial" w:cs="Arial"/>
                <w:lang w:val="uk-UA" w:eastAsia="it-IT"/>
              </w:rPr>
              <w:t xml:space="preserve"> </w:t>
            </w:r>
            <w:r w:rsidRPr="0019790A">
              <w:rPr>
                <w:rFonts w:ascii="Arial" w:hAnsi="Arial" w:cs="Arial"/>
                <w:lang w:val="uk-UA"/>
              </w:rPr>
              <w:t>розвитку Жмеринської міської територіальної громади,  якому відповідає проєкт:</w:t>
            </w:r>
          </w:p>
        </w:tc>
        <w:tc>
          <w:tcPr>
            <w:tcW w:w="6794" w:type="dxa"/>
            <w:gridSpan w:val="9"/>
          </w:tcPr>
          <w:p w14:paraId="5961058D" w14:textId="77777777" w:rsidR="002540E1" w:rsidRPr="0019790A" w:rsidRDefault="002540E1" w:rsidP="0019790A">
            <w:pPr>
              <w:jc w:val="both"/>
              <w:rPr>
                <w:rFonts w:cs="Arial"/>
                <w:szCs w:val="22"/>
              </w:rPr>
            </w:pPr>
            <w:r w:rsidRPr="0019790A">
              <w:rPr>
                <w:rFonts w:cs="Arial"/>
                <w:szCs w:val="22"/>
              </w:rPr>
              <w:t xml:space="preserve"> С.1.1.2. Розвиток освітньої інфраструктури територіальної громади відповідно до вимог часу.</w:t>
            </w:r>
          </w:p>
          <w:p w14:paraId="7A1ECB3C" w14:textId="77777777" w:rsidR="002540E1" w:rsidRPr="0019790A" w:rsidRDefault="002540E1" w:rsidP="0019790A">
            <w:pPr>
              <w:pBdr>
                <w:left w:val="single" w:sz="18" w:space="4" w:color="auto"/>
              </w:pBdr>
              <w:jc w:val="both"/>
              <w:rPr>
                <w:rFonts w:cs="Arial"/>
                <w:szCs w:val="22"/>
                <w:lang w:eastAsia="it-IT"/>
              </w:rPr>
            </w:pPr>
            <w:r w:rsidRPr="0019790A">
              <w:rPr>
                <w:rFonts w:cs="Arial"/>
                <w:szCs w:val="22"/>
              </w:rPr>
              <w:t>С.1.3.4. Створення нового освітнього простору як необхідної передумови підвищення якості освіти</w:t>
            </w:r>
          </w:p>
        </w:tc>
      </w:tr>
      <w:tr w:rsidR="002540E1" w:rsidRPr="0019790A" w14:paraId="3382100D" w14:textId="77777777" w:rsidTr="00B8248C">
        <w:trPr>
          <w:jc w:val="right"/>
        </w:trPr>
        <w:tc>
          <w:tcPr>
            <w:tcW w:w="3425" w:type="dxa"/>
            <w:vAlign w:val="center"/>
          </w:tcPr>
          <w:p w14:paraId="479408B7" w14:textId="77777777" w:rsidR="002540E1" w:rsidRPr="0019790A" w:rsidRDefault="002540E1" w:rsidP="0019790A">
            <w:pPr>
              <w:rPr>
                <w:rFonts w:cs="Arial"/>
                <w:b/>
                <w:bCs/>
                <w:szCs w:val="22"/>
              </w:rPr>
            </w:pPr>
            <w:r w:rsidRPr="0019790A">
              <w:rPr>
                <w:rFonts w:cs="Arial"/>
                <w:b/>
                <w:bCs/>
                <w:szCs w:val="22"/>
              </w:rPr>
              <w:t>Мета проєкту:</w:t>
            </w:r>
          </w:p>
        </w:tc>
        <w:tc>
          <w:tcPr>
            <w:tcW w:w="6794" w:type="dxa"/>
            <w:gridSpan w:val="9"/>
          </w:tcPr>
          <w:p w14:paraId="151F258E" w14:textId="77777777" w:rsidR="002540E1" w:rsidRPr="0019790A" w:rsidRDefault="002540E1" w:rsidP="0019790A">
            <w:pPr>
              <w:jc w:val="both"/>
              <w:rPr>
                <w:rFonts w:cs="Arial"/>
                <w:szCs w:val="22"/>
              </w:rPr>
            </w:pPr>
            <w:r w:rsidRPr="0019790A">
              <w:rPr>
                <w:rFonts w:cs="Arial"/>
                <w:szCs w:val="22"/>
              </w:rPr>
              <w:t>Підвищення якості надання освітніх послуг.</w:t>
            </w:r>
          </w:p>
          <w:p w14:paraId="66F08097" w14:textId="77777777" w:rsidR="002540E1" w:rsidRPr="0019790A" w:rsidRDefault="002540E1" w:rsidP="0019790A">
            <w:pPr>
              <w:jc w:val="both"/>
              <w:rPr>
                <w:rFonts w:cs="Arial"/>
                <w:szCs w:val="22"/>
                <w:lang w:eastAsia="it-IT"/>
              </w:rPr>
            </w:pPr>
            <w:r w:rsidRPr="0019790A">
              <w:rPr>
                <w:rFonts w:cs="Arial"/>
                <w:szCs w:val="22"/>
              </w:rPr>
              <w:t>Створення умов, що сприяють збереженню та зміцненню здоров’я дітей</w:t>
            </w:r>
            <w:r w:rsidRPr="0019790A">
              <w:rPr>
                <w:rFonts w:cs="Arial"/>
                <w:szCs w:val="22"/>
                <w:lang w:eastAsia="uk-UA"/>
              </w:rPr>
              <w:t xml:space="preserve"> </w:t>
            </w:r>
          </w:p>
        </w:tc>
      </w:tr>
      <w:tr w:rsidR="002540E1" w:rsidRPr="0019790A" w14:paraId="083D7ADE" w14:textId="77777777" w:rsidTr="00B8248C">
        <w:trPr>
          <w:jc w:val="right"/>
        </w:trPr>
        <w:tc>
          <w:tcPr>
            <w:tcW w:w="3425" w:type="dxa"/>
            <w:vAlign w:val="center"/>
          </w:tcPr>
          <w:p w14:paraId="1FAE8B7B" w14:textId="77777777" w:rsidR="002540E1" w:rsidRPr="0019790A" w:rsidRDefault="002540E1" w:rsidP="0019790A">
            <w:pPr>
              <w:rPr>
                <w:rFonts w:cs="Arial"/>
                <w:b/>
                <w:bCs/>
                <w:szCs w:val="22"/>
              </w:rPr>
            </w:pPr>
            <w:r w:rsidRPr="0019790A">
              <w:rPr>
                <w:rFonts w:cs="Arial"/>
                <w:b/>
                <w:bCs/>
                <w:szCs w:val="22"/>
              </w:rPr>
              <w:t>Цілі проєкту:</w:t>
            </w:r>
          </w:p>
        </w:tc>
        <w:tc>
          <w:tcPr>
            <w:tcW w:w="6794" w:type="dxa"/>
            <w:gridSpan w:val="9"/>
          </w:tcPr>
          <w:p w14:paraId="0629AF79" w14:textId="77777777" w:rsidR="002540E1" w:rsidRPr="0019790A" w:rsidRDefault="002540E1" w:rsidP="0019790A">
            <w:pPr>
              <w:jc w:val="both"/>
              <w:rPr>
                <w:rFonts w:cs="Arial"/>
                <w:szCs w:val="22"/>
              </w:rPr>
            </w:pPr>
            <w:r w:rsidRPr="0019790A">
              <w:rPr>
                <w:rFonts w:cs="Arial"/>
                <w:szCs w:val="22"/>
              </w:rPr>
              <w:t xml:space="preserve">   Забезпечення середовища, яке мотивує до активностей (зокрема, ігрові майданчики для дошкільників, учнів початкової школи, спортивні майданчики для учнів старших класів, створення можливостей для рухової активності, доступ до спортивного обладнання під час перерв тощо)</w:t>
            </w:r>
          </w:p>
        </w:tc>
      </w:tr>
      <w:tr w:rsidR="002540E1" w:rsidRPr="0019790A" w14:paraId="6BC90FA5" w14:textId="77777777" w:rsidTr="00B8248C">
        <w:trPr>
          <w:jc w:val="right"/>
        </w:trPr>
        <w:tc>
          <w:tcPr>
            <w:tcW w:w="3425" w:type="dxa"/>
            <w:vAlign w:val="center"/>
          </w:tcPr>
          <w:p w14:paraId="399F5C2F" w14:textId="77777777" w:rsidR="002540E1" w:rsidRPr="0019790A" w:rsidRDefault="002540E1" w:rsidP="0019790A">
            <w:pPr>
              <w:autoSpaceDE w:val="0"/>
              <w:autoSpaceDN w:val="0"/>
              <w:adjustRightInd w:val="0"/>
              <w:rPr>
                <w:rFonts w:cs="Arial"/>
                <w:b/>
                <w:szCs w:val="22"/>
              </w:rPr>
            </w:pPr>
            <w:r w:rsidRPr="0019790A">
              <w:rPr>
                <w:rFonts w:cs="Arial"/>
                <w:b/>
                <w:szCs w:val="22"/>
              </w:rPr>
              <w:t>Територія на яку проєкт матиме вплив:</w:t>
            </w:r>
          </w:p>
        </w:tc>
        <w:tc>
          <w:tcPr>
            <w:tcW w:w="6794" w:type="dxa"/>
            <w:gridSpan w:val="9"/>
          </w:tcPr>
          <w:p w14:paraId="31A04021" w14:textId="77777777" w:rsidR="002540E1" w:rsidRPr="0019790A" w:rsidRDefault="002540E1" w:rsidP="0019790A">
            <w:pPr>
              <w:rPr>
                <w:rFonts w:cs="Arial"/>
                <w:szCs w:val="22"/>
                <w:lang w:eastAsia="it-IT"/>
              </w:rPr>
            </w:pPr>
            <w:r w:rsidRPr="0019790A">
              <w:rPr>
                <w:rFonts w:cs="Arial"/>
                <w:szCs w:val="22"/>
                <w:lang w:eastAsia="it-IT"/>
              </w:rPr>
              <w:t xml:space="preserve">Територія Жмеринської міської територіальної громади  </w:t>
            </w:r>
          </w:p>
        </w:tc>
      </w:tr>
      <w:tr w:rsidR="002540E1" w:rsidRPr="0019790A" w14:paraId="5A4AF0F4" w14:textId="77777777" w:rsidTr="00B8248C">
        <w:trPr>
          <w:jc w:val="right"/>
        </w:trPr>
        <w:tc>
          <w:tcPr>
            <w:tcW w:w="3425" w:type="dxa"/>
            <w:vAlign w:val="center"/>
          </w:tcPr>
          <w:p w14:paraId="1B6A2F18" w14:textId="77777777" w:rsidR="002540E1" w:rsidRPr="0019790A" w:rsidRDefault="002540E1" w:rsidP="0019790A">
            <w:pPr>
              <w:autoSpaceDE w:val="0"/>
              <w:autoSpaceDN w:val="0"/>
              <w:adjustRightInd w:val="0"/>
              <w:rPr>
                <w:rFonts w:cs="Arial"/>
                <w:b/>
                <w:szCs w:val="22"/>
              </w:rPr>
            </w:pPr>
            <w:r w:rsidRPr="0019790A">
              <w:rPr>
                <w:rFonts w:cs="Arial"/>
                <w:b/>
                <w:szCs w:val="22"/>
              </w:rPr>
              <w:t>Цільові групи проєкту та кількість отримувачів вигоди</w:t>
            </w:r>
          </w:p>
        </w:tc>
        <w:tc>
          <w:tcPr>
            <w:tcW w:w="6794" w:type="dxa"/>
            <w:gridSpan w:val="9"/>
          </w:tcPr>
          <w:p w14:paraId="539D72D3" w14:textId="77777777" w:rsidR="002540E1" w:rsidRPr="0019790A" w:rsidRDefault="002540E1" w:rsidP="0019790A">
            <w:pPr>
              <w:pStyle w:val="TableParagraph"/>
              <w:ind w:left="0"/>
              <w:jc w:val="both"/>
              <w:rPr>
                <w:rFonts w:ascii="Arial" w:hAnsi="Arial" w:cs="Arial"/>
              </w:rPr>
            </w:pPr>
            <w:r w:rsidRPr="0019790A">
              <w:rPr>
                <w:rFonts w:ascii="Arial" w:hAnsi="Arial" w:cs="Arial"/>
              </w:rPr>
              <w:t xml:space="preserve"> Учасники освітнього процесу, працівники закладів освіти, жителі громади</w:t>
            </w:r>
          </w:p>
        </w:tc>
      </w:tr>
      <w:tr w:rsidR="002540E1" w:rsidRPr="0019790A" w14:paraId="3344645D" w14:textId="77777777" w:rsidTr="00B8248C">
        <w:trPr>
          <w:jc w:val="right"/>
        </w:trPr>
        <w:tc>
          <w:tcPr>
            <w:tcW w:w="3425" w:type="dxa"/>
            <w:shd w:val="clear" w:color="auto" w:fill="FFFFFF"/>
            <w:vAlign w:val="center"/>
          </w:tcPr>
          <w:p w14:paraId="080A947D" w14:textId="77777777" w:rsidR="002540E1" w:rsidRPr="0019790A" w:rsidRDefault="002540E1" w:rsidP="0019790A">
            <w:pPr>
              <w:rPr>
                <w:rFonts w:cs="Arial"/>
                <w:b/>
                <w:bCs/>
                <w:szCs w:val="22"/>
              </w:rPr>
            </w:pPr>
            <w:r w:rsidRPr="0019790A">
              <w:rPr>
                <w:rFonts w:cs="Arial"/>
                <w:b/>
                <w:bCs/>
                <w:szCs w:val="22"/>
              </w:rPr>
              <w:t>Стислий опис проєкту:</w:t>
            </w:r>
          </w:p>
        </w:tc>
        <w:tc>
          <w:tcPr>
            <w:tcW w:w="6794" w:type="dxa"/>
            <w:gridSpan w:val="9"/>
          </w:tcPr>
          <w:p w14:paraId="18EF3CB4" w14:textId="77777777" w:rsidR="002540E1" w:rsidRPr="0019790A" w:rsidRDefault="002540E1" w:rsidP="0019790A">
            <w:pPr>
              <w:autoSpaceDE w:val="0"/>
              <w:autoSpaceDN w:val="0"/>
              <w:adjustRightInd w:val="0"/>
              <w:jc w:val="both"/>
              <w:rPr>
                <w:rFonts w:eastAsia="MS Mincho" w:cs="Arial"/>
                <w:szCs w:val="22"/>
                <w:lang w:eastAsia="uk-UA"/>
              </w:rPr>
            </w:pPr>
            <w:r w:rsidRPr="0019790A">
              <w:rPr>
                <w:rFonts w:cs="Arial"/>
                <w:szCs w:val="22"/>
                <w:shd w:val="clear" w:color="auto" w:fill="FFFFFF"/>
              </w:rPr>
              <w:t xml:space="preserve">    Ф</w:t>
            </w:r>
            <w:r w:rsidRPr="0019790A">
              <w:rPr>
                <w:rFonts w:eastAsia="MS Mincho" w:cs="Arial"/>
                <w:szCs w:val="22"/>
                <w:lang w:eastAsia="uk-UA"/>
              </w:rPr>
              <w:t>ізичне виховання у закладах освіти забезпечує популяризацію здорового способу життя, рухову активність учасників освітнього процесу для гармонійного, передусім фізичного розвитку, збереження і зміцнення здоров’я, виховання фізичних, морально-вольових та інтелектуальних здібностей, організації змістовного дозвілля.</w:t>
            </w:r>
            <w:r w:rsidRPr="0019790A">
              <w:rPr>
                <w:rFonts w:cs="Arial"/>
                <w:szCs w:val="22"/>
                <w:lang w:eastAsia="uk-UA"/>
              </w:rPr>
              <w:t xml:space="preserve">   </w:t>
            </w:r>
          </w:p>
          <w:p w14:paraId="2CF88F32" w14:textId="57046069" w:rsidR="002540E1" w:rsidRPr="0019790A" w:rsidRDefault="002540E1" w:rsidP="0019790A">
            <w:pPr>
              <w:jc w:val="both"/>
              <w:rPr>
                <w:rFonts w:cs="Arial"/>
                <w:szCs w:val="22"/>
              </w:rPr>
            </w:pPr>
            <w:r w:rsidRPr="0019790A">
              <w:rPr>
                <w:rFonts w:cs="Arial"/>
                <w:szCs w:val="22"/>
              </w:rPr>
              <w:t xml:space="preserve">     Реалізація даного </w:t>
            </w:r>
            <w:r w:rsidR="00314B9D">
              <w:rPr>
                <w:rFonts w:cs="Arial"/>
                <w:szCs w:val="22"/>
              </w:rPr>
              <w:t>проєкту</w:t>
            </w:r>
            <w:r w:rsidRPr="0019790A">
              <w:rPr>
                <w:rFonts w:cs="Arial"/>
                <w:szCs w:val="22"/>
              </w:rPr>
              <w:t xml:space="preserve"> розширить освітній простір закладів освіти, стане мотиватором  до активного і здорового життя, сприятиме підвищенню безпечності та комфортності перебування здобувачів освіти, покращенню психологічного клімату в дитячому середовищі.</w:t>
            </w:r>
          </w:p>
          <w:p w14:paraId="569A47C8" w14:textId="77777777" w:rsidR="002540E1" w:rsidRPr="0019790A" w:rsidRDefault="002540E1" w:rsidP="0019790A">
            <w:pPr>
              <w:ind w:right="55"/>
              <w:jc w:val="both"/>
              <w:rPr>
                <w:rFonts w:cs="Arial"/>
                <w:szCs w:val="22"/>
              </w:rPr>
            </w:pPr>
            <w:r w:rsidRPr="0019790A">
              <w:rPr>
                <w:rFonts w:cs="Arial"/>
                <w:szCs w:val="22"/>
                <w:lang w:eastAsia="uk-UA"/>
              </w:rPr>
              <w:t xml:space="preserve">   </w:t>
            </w:r>
            <w:r w:rsidRPr="0019790A">
              <w:rPr>
                <w:rFonts w:cs="Arial"/>
                <w:i/>
                <w:szCs w:val="22"/>
              </w:rPr>
              <w:t xml:space="preserve"> </w:t>
            </w:r>
            <w:r w:rsidRPr="0019790A">
              <w:rPr>
                <w:rFonts w:cs="Arial"/>
                <w:szCs w:val="22"/>
              </w:rPr>
              <w:t>Крім того, буде</w:t>
            </w:r>
            <w:r w:rsidRPr="0019790A">
              <w:rPr>
                <w:rFonts w:eastAsia="MS Mincho" w:cs="Arial"/>
                <w:szCs w:val="22"/>
                <w:lang w:eastAsia="uk-UA"/>
              </w:rPr>
              <w:t xml:space="preserve"> покращено матеріально-технічну базу для розвитку фізичного виховання та спорту у закладах загальної середньої освіти,</w:t>
            </w:r>
            <w:r w:rsidRPr="0019790A">
              <w:rPr>
                <w:rFonts w:cs="Arial"/>
                <w:szCs w:val="22"/>
              </w:rPr>
              <w:t xml:space="preserve"> створено умови для проведення спортивних заходів та змагань з різних видів спорту для усієї громади </w:t>
            </w:r>
          </w:p>
          <w:p w14:paraId="77C09C98" w14:textId="77777777" w:rsidR="002540E1" w:rsidRPr="0019790A" w:rsidRDefault="002540E1" w:rsidP="0019790A">
            <w:pPr>
              <w:jc w:val="both"/>
              <w:rPr>
                <w:rFonts w:cs="Arial"/>
                <w:szCs w:val="22"/>
                <w:lang w:eastAsia="uk-UA"/>
              </w:rPr>
            </w:pPr>
            <w:r w:rsidRPr="0019790A">
              <w:rPr>
                <w:rFonts w:cs="Arial"/>
                <w:szCs w:val="22"/>
                <w:lang w:eastAsia="uk-UA"/>
              </w:rPr>
              <w:t>Реалізація проєкту сприятиме фізичному, соціальному та емоційному розвитку здобувачів освіти, їх потенціалу, а також матиме позитивний вплив на стан громадського здоров’я, економіки та демографії в громаді та в цілому в Україні.</w:t>
            </w:r>
          </w:p>
        </w:tc>
      </w:tr>
      <w:tr w:rsidR="002540E1" w:rsidRPr="0019790A" w14:paraId="2CDD4689" w14:textId="77777777" w:rsidTr="00B8248C">
        <w:trPr>
          <w:jc w:val="right"/>
        </w:trPr>
        <w:tc>
          <w:tcPr>
            <w:tcW w:w="3425" w:type="dxa"/>
            <w:shd w:val="clear" w:color="auto" w:fill="FFFFFF"/>
            <w:vAlign w:val="center"/>
          </w:tcPr>
          <w:p w14:paraId="61CB020D" w14:textId="77777777" w:rsidR="002540E1" w:rsidRPr="0019790A" w:rsidRDefault="002540E1" w:rsidP="0019790A">
            <w:pPr>
              <w:rPr>
                <w:rFonts w:cs="Arial"/>
                <w:b/>
                <w:bCs/>
                <w:szCs w:val="22"/>
              </w:rPr>
            </w:pPr>
            <w:r w:rsidRPr="0019790A">
              <w:rPr>
                <w:rFonts w:cs="Arial"/>
                <w:b/>
                <w:bCs/>
                <w:szCs w:val="22"/>
              </w:rPr>
              <w:t>Основні заходи проєкту:</w:t>
            </w:r>
          </w:p>
        </w:tc>
        <w:tc>
          <w:tcPr>
            <w:tcW w:w="6794" w:type="dxa"/>
            <w:gridSpan w:val="9"/>
            <w:vAlign w:val="center"/>
          </w:tcPr>
          <w:p w14:paraId="441A8464" w14:textId="77777777" w:rsidR="002540E1" w:rsidRPr="0019790A" w:rsidRDefault="002540E1" w:rsidP="0019790A">
            <w:pPr>
              <w:contextualSpacing/>
              <w:jc w:val="both"/>
              <w:rPr>
                <w:rFonts w:cs="Arial"/>
                <w:szCs w:val="22"/>
              </w:rPr>
            </w:pPr>
            <w:r w:rsidRPr="0019790A">
              <w:rPr>
                <w:rFonts w:cs="Arial"/>
                <w:szCs w:val="22"/>
                <w:lang w:eastAsia="it-IT"/>
              </w:rPr>
              <w:t xml:space="preserve">1. </w:t>
            </w:r>
            <w:r w:rsidRPr="0019790A">
              <w:rPr>
                <w:rFonts w:cs="Arial"/>
                <w:szCs w:val="22"/>
              </w:rPr>
              <w:t>Встановлення дитячих ігрових майданчиків на території закладів дошкільної освіти (ЗДО № 1, ЗДО № 5, Браїлівський ЗДО № 1 «Дзвіночок»).</w:t>
            </w:r>
          </w:p>
          <w:p w14:paraId="4855B7BC" w14:textId="77777777" w:rsidR="002540E1" w:rsidRPr="0019790A" w:rsidRDefault="002540E1" w:rsidP="0019790A">
            <w:pPr>
              <w:contextualSpacing/>
              <w:jc w:val="both"/>
              <w:rPr>
                <w:rFonts w:cs="Arial"/>
                <w:iCs/>
                <w:szCs w:val="22"/>
              </w:rPr>
            </w:pPr>
            <w:r w:rsidRPr="0019790A">
              <w:rPr>
                <w:rFonts w:cs="Arial"/>
                <w:szCs w:val="22"/>
                <w:lang w:eastAsia="it-IT"/>
              </w:rPr>
              <w:t xml:space="preserve">2.Встановлення спортивних майданчиків на території ЗЗСО </w:t>
            </w:r>
            <w:r w:rsidRPr="0019790A">
              <w:rPr>
                <w:rFonts w:cs="Arial"/>
                <w:szCs w:val="22"/>
              </w:rPr>
              <w:t xml:space="preserve">з врахуванням різновікових та фізіологічних особливостей учасників освітнього процесу, в т. ч. дітей з ООП </w:t>
            </w:r>
            <w:r w:rsidRPr="0019790A">
              <w:rPr>
                <w:rFonts w:cs="Arial"/>
                <w:szCs w:val="22"/>
                <w:lang w:eastAsia="it-IT"/>
              </w:rPr>
              <w:t>(КЗ «Жмеринський ліцей №4», № 5, № 6).</w:t>
            </w:r>
            <w:r w:rsidRPr="0019790A">
              <w:rPr>
                <w:rFonts w:cs="Arial"/>
                <w:szCs w:val="22"/>
              </w:rPr>
              <w:t xml:space="preserve"> </w:t>
            </w:r>
            <w:r w:rsidRPr="0019790A">
              <w:rPr>
                <w:rFonts w:cs="Arial"/>
                <w:iCs/>
                <w:szCs w:val="22"/>
              </w:rPr>
              <w:t xml:space="preserve">   </w:t>
            </w:r>
          </w:p>
          <w:p w14:paraId="1B76851C" w14:textId="77777777" w:rsidR="002540E1" w:rsidRPr="0019790A" w:rsidRDefault="002540E1" w:rsidP="0019790A">
            <w:pPr>
              <w:contextualSpacing/>
              <w:jc w:val="both"/>
              <w:rPr>
                <w:rFonts w:cs="Arial"/>
                <w:szCs w:val="22"/>
                <w:lang w:eastAsia="it-IT"/>
              </w:rPr>
            </w:pPr>
            <w:r w:rsidRPr="0019790A">
              <w:rPr>
                <w:rFonts w:cs="Arial"/>
                <w:iCs/>
                <w:szCs w:val="22"/>
              </w:rPr>
              <w:t xml:space="preserve">3. Озеленення та благоустрій території закладів освіти. </w:t>
            </w:r>
          </w:p>
        </w:tc>
      </w:tr>
      <w:tr w:rsidR="002540E1" w:rsidRPr="0019790A" w14:paraId="19CCDCDA" w14:textId="77777777" w:rsidTr="00B8248C">
        <w:trPr>
          <w:jc w:val="right"/>
        </w:trPr>
        <w:tc>
          <w:tcPr>
            <w:tcW w:w="3425" w:type="dxa"/>
            <w:shd w:val="clear" w:color="auto" w:fill="FFFFFF"/>
            <w:vAlign w:val="center"/>
          </w:tcPr>
          <w:p w14:paraId="3FE7B48F" w14:textId="77777777" w:rsidR="002540E1" w:rsidRPr="0019790A" w:rsidRDefault="002540E1" w:rsidP="0019790A">
            <w:pPr>
              <w:rPr>
                <w:rFonts w:cs="Arial"/>
                <w:b/>
                <w:bCs/>
                <w:szCs w:val="22"/>
              </w:rPr>
            </w:pPr>
            <w:r w:rsidRPr="0019790A">
              <w:rPr>
                <w:rFonts w:cs="Arial"/>
                <w:b/>
                <w:bCs/>
                <w:szCs w:val="22"/>
              </w:rPr>
              <w:t>Індикатори (показники) результативності:</w:t>
            </w:r>
          </w:p>
        </w:tc>
        <w:tc>
          <w:tcPr>
            <w:tcW w:w="6794" w:type="dxa"/>
            <w:gridSpan w:val="9"/>
          </w:tcPr>
          <w:p w14:paraId="3706B408" w14:textId="77777777" w:rsidR="002540E1" w:rsidRPr="0019790A" w:rsidRDefault="002540E1" w:rsidP="0019790A">
            <w:pPr>
              <w:autoSpaceDE w:val="0"/>
              <w:autoSpaceDN w:val="0"/>
              <w:adjustRightInd w:val="0"/>
              <w:jc w:val="both"/>
              <w:rPr>
                <w:rFonts w:eastAsia="MS Mincho" w:cs="Arial"/>
                <w:szCs w:val="22"/>
                <w:lang w:eastAsia="uk-UA"/>
              </w:rPr>
            </w:pPr>
            <w:r w:rsidRPr="0019790A">
              <w:rPr>
                <w:rFonts w:eastAsia="MS Mincho" w:cs="Arial"/>
                <w:szCs w:val="22"/>
                <w:lang w:eastAsia="uk-UA"/>
              </w:rPr>
              <w:t>100% закладів дошкільної освіти облаштовані сучасним ігровими майданчиками.</w:t>
            </w:r>
          </w:p>
          <w:p w14:paraId="173567D5" w14:textId="77777777" w:rsidR="002540E1" w:rsidRPr="0019790A" w:rsidRDefault="002540E1" w:rsidP="0019790A">
            <w:pPr>
              <w:autoSpaceDE w:val="0"/>
              <w:autoSpaceDN w:val="0"/>
              <w:adjustRightInd w:val="0"/>
              <w:jc w:val="both"/>
              <w:rPr>
                <w:rFonts w:eastAsia="MS Mincho" w:cs="Arial"/>
                <w:szCs w:val="22"/>
                <w:lang w:eastAsia="uk-UA"/>
              </w:rPr>
            </w:pPr>
            <w:r w:rsidRPr="0019790A">
              <w:rPr>
                <w:rFonts w:eastAsia="MS Mincho" w:cs="Arial"/>
                <w:szCs w:val="22"/>
                <w:lang w:eastAsia="uk-UA"/>
              </w:rPr>
              <w:t>На 30 % модернізовано спортивну інфраструктури закладів загальної середньої освіти.</w:t>
            </w:r>
          </w:p>
          <w:p w14:paraId="76DD1072" w14:textId="77777777" w:rsidR="002540E1" w:rsidRPr="0019790A" w:rsidRDefault="002540E1" w:rsidP="0019790A">
            <w:pPr>
              <w:autoSpaceDE w:val="0"/>
              <w:autoSpaceDN w:val="0"/>
              <w:adjustRightInd w:val="0"/>
              <w:jc w:val="both"/>
              <w:rPr>
                <w:rFonts w:eastAsia="MS Mincho" w:cs="Arial"/>
                <w:szCs w:val="22"/>
                <w:lang w:eastAsia="uk-UA"/>
              </w:rPr>
            </w:pPr>
            <w:r w:rsidRPr="0019790A">
              <w:rPr>
                <w:rFonts w:eastAsia="MS Mincho" w:cs="Arial"/>
                <w:szCs w:val="22"/>
                <w:lang w:eastAsia="uk-UA"/>
              </w:rPr>
              <w:t>З</w:t>
            </w:r>
            <w:r w:rsidRPr="0019790A">
              <w:rPr>
                <w:rFonts w:cs="Arial"/>
                <w:szCs w:val="22"/>
                <w:lang w:eastAsia="it-IT"/>
              </w:rPr>
              <w:t>більшення кількості учнів, які відвідують спортивні секції, гутрки, беруть участь в спортивних змаганнях.</w:t>
            </w:r>
          </w:p>
        </w:tc>
      </w:tr>
      <w:tr w:rsidR="002540E1" w:rsidRPr="0019790A" w14:paraId="6E7753BE" w14:textId="77777777" w:rsidTr="00B8248C">
        <w:trPr>
          <w:jc w:val="right"/>
        </w:trPr>
        <w:tc>
          <w:tcPr>
            <w:tcW w:w="3425" w:type="dxa"/>
            <w:shd w:val="clear" w:color="auto" w:fill="FFFFFF"/>
            <w:vAlign w:val="center"/>
          </w:tcPr>
          <w:p w14:paraId="63415F59" w14:textId="77777777" w:rsidR="002540E1" w:rsidRPr="0019790A" w:rsidRDefault="002540E1" w:rsidP="0019790A">
            <w:pPr>
              <w:rPr>
                <w:rFonts w:cs="Arial"/>
                <w:b/>
                <w:szCs w:val="22"/>
              </w:rPr>
            </w:pPr>
            <w:r w:rsidRPr="0019790A">
              <w:rPr>
                <w:rFonts w:cs="Arial"/>
                <w:b/>
                <w:szCs w:val="22"/>
              </w:rPr>
              <w:t xml:space="preserve">Період здійснення: </w:t>
            </w:r>
          </w:p>
        </w:tc>
        <w:tc>
          <w:tcPr>
            <w:tcW w:w="6794" w:type="dxa"/>
            <w:gridSpan w:val="9"/>
            <w:vAlign w:val="center"/>
          </w:tcPr>
          <w:p w14:paraId="5DF3D676" w14:textId="77777777" w:rsidR="002540E1" w:rsidRPr="0019790A" w:rsidRDefault="002540E1" w:rsidP="0019790A">
            <w:pPr>
              <w:rPr>
                <w:rFonts w:cs="Arial"/>
                <w:szCs w:val="22"/>
                <w:lang w:eastAsia="it-IT"/>
              </w:rPr>
            </w:pPr>
            <w:r w:rsidRPr="0019790A">
              <w:rPr>
                <w:rFonts w:cs="Arial"/>
                <w:b/>
                <w:szCs w:val="22"/>
              </w:rPr>
              <w:t>2025 – 2028 роки:</w:t>
            </w:r>
          </w:p>
        </w:tc>
      </w:tr>
      <w:tr w:rsidR="002540E1" w:rsidRPr="0019790A" w14:paraId="1B56151E" w14:textId="77777777" w:rsidTr="00B8248C">
        <w:trPr>
          <w:jc w:val="right"/>
        </w:trPr>
        <w:tc>
          <w:tcPr>
            <w:tcW w:w="3425" w:type="dxa"/>
            <w:vMerge w:val="restart"/>
            <w:shd w:val="clear" w:color="auto" w:fill="FFFFFF"/>
            <w:vAlign w:val="center"/>
          </w:tcPr>
          <w:p w14:paraId="72D488EC" w14:textId="77777777" w:rsidR="002540E1" w:rsidRPr="0019790A" w:rsidRDefault="002540E1" w:rsidP="0019790A">
            <w:pPr>
              <w:rPr>
                <w:rFonts w:cs="Arial"/>
                <w:b/>
                <w:bCs/>
                <w:szCs w:val="22"/>
              </w:rPr>
            </w:pPr>
            <w:r w:rsidRPr="0019790A">
              <w:rPr>
                <w:rFonts w:cs="Arial"/>
                <w:b/>
                <w:bCs/>
                <w:szCs w:val="22"/>
              </w:rPr>
              <w:t>Орієнтовна вартість проєкту, тис. грн., в тому числі:</w:t>
            </w:r>
          </w:p>
        </w:tc>
        <w:tc>
          <w:tcPr>
            <w:tcW w:w="1254" w:type="dxa"/>
            <w:shd w:val="clear" w:color="auto" w:fill="E6E6E6"/>
            <w:vAlign w:val="center"/>
          </w:tcPr>
          <w:p w14:paraId="5E95AAF6" w14:textId="77777777" w:rsidR="002540E1" w:rsidRPr="0019790A" w:rsidRDefault="002540E1" w:rsidP="0019790A">
            <w:pPr>
              <w:jc w:val="center"/>
              <w:rPr>
                <w:rFonts w:cs="Arial"/>
                <w:b/>
                <w:szCs w:val="22"/>
                <w:lang w:eastAsia="it-IT"/>
              </w:rPr>
            </w:pPr>
            <w:r w:rsidRPr="0019790A">
              <w:rPr>
                <w:rFonts w:cs="Arial"/>
                <w:b/>
                <w:szCs w:val="22"/>
                <w:lang w:eastAsia="it-IT"/>
              </w:rPr>
              <w:t>2025</w:t>
            </w:r>
          </w:p>
        </w:tc>
        <w:tc>
          <w:tcPr>
            <w:tcW w:w="1275" w:type="dxa"/>
            <w:gridSpan w:val="2"/>
            <w:shd w:val="clear" w:color="auto" w:fill="E6E6E6"/>
            <w:vAlign w:val="center"/>
          </w:tcPr>
          <w:p w14:paraId="2ECC887E" w14:textId="77777777" w:rsidR="002540E1" w:rsidRPr="0019790A" w:rsidRDefault="002540E1" w:rsidP="0019790A">
            <w:pPr>
              <w:jc w:val="center"/>
              <w:rPr>
                <w:rFonts w:cs="Arial"/>
                <w:b/>
                <w:szCs w:val="22"/>
                <w:lang w:eastAsia="it-IT"/>
              </w:rPr>
            </w:pPr>
            <w:r w:rsidRPr="0019790A">
              <w:rPr>
                <w:rFonts w:cs="Arial"/>
                <w:b/>
                <w:szCs w:val="22"/>
                <w:lang w:eastAsia="it-IT"/>
              </w:rPr>
              <w:t>2026</w:t>
            </w:r>
          </w:p>
        </w:tc>
        <w:tc>
          <w:tcPr>
            <w:tcW w:w="1418" w:type="dxa"/>
            <w:gridSpan w:val="2"/>
            <w:tcBorders>
              <w:bottom w:val="single" w:sz="4" w:space="0" w:color="auto"/>
            </w:tcBorders>
            <w:shd w:val="clear" w:color="auto" w:fill="E6E6E6"/>
            <w:vAlign w:val="center"/>
          </w:tcPr>
          <w:p w14:paraId="779D1D8A" w14:textId="77777777" w:rsidR="002540E1" w:rsidRPr="0019790A" w:rsidRDefault="002540E1" w:rsidP="0019790A">
            <w:pPr>
              <w:jc w:val="center"/>
              <w:rPr>
                <w:rFonts w:cs="Arial"/>
                <w:b/>
                <w:szCs w:val="22"/>
                <w:lang w:eastAsia="it-IT"/>
              </w:rPr>
            </w:pPr>
            <w:r w:rsidRPr="0019790A">
              <w:rPr>
                <w:rFonts w:cs="Arial"/>
                <w:b/>
                <w:szCs w:val="22"/>
                <w:lang w:eastAsia="it-IT"/>
              </w:rPr>
              <w:t>2027</w:t>
            </w:r>
          </w:p>
        </w:tc>
        <w:tc>
          <w:tcPr>
            <w:tcW w:w="1276" w:type="dxa"/>
            <w:gridSpan w:val="2"/>
            <w:shd w:val="clear" w:color="auto" w:fill="E6E6E6"/>
            <w:vAlign w:val="center"/>
          </w:tcPr>
          <w:p w14:paraId="61833A2E" w14:textId="77777777" w:rsidR="002540E1" w:rsidRPr="0019790A" w:rsidRDefault="002540E1" w:rsidP="0019790A">
            <w:pPr>
              <w:jc w:val="center"/>
              <w:rPr>
                <w:rFonts w:cs="Arial"/>
                <w:b/>
                <w:szCs w:val="22"/>
                <w:lang w:eastAsia="it-IT"/>
              </w:rPr>
            </w:pPr>
            <w:r w:rsidRPr="0019790A">
              <w:rPr>
                <w:rFonts w:cs="Arial"/>
                <w:b/>
                <w:szCs w:val="22"/>
                <w:lang w:eastAsia="it-IT"/>
              </w:rPr>
              <w:t>2028</w:t>
            </w:r>
          </w:p>
        </w:tc>
        <w:tc>
          <w:tcPr>
            <w:tcW w:w="1571" w:type="dxa"/>
            <w:gridSpan w:val="2"/>
            <w:shd w:val="clear" w:color="auto" w:fill="E6E6E6"/>
            <w:vAlign w:val="center"/>
          </w:tcPr>
          <w:p w14:paraId="025BEB14" w14:textId="77777777" w:rsidR="002540E1" w:rsidRPr="0019790A" w:rsidRDefault="002540E1" w:rsidP="0019790A">
            <w:pPr>
              <w:jc w:val="center"/>
              <w:rPr>
                <w:rFonts w:cs="Arial"/>
                <w:b/>
                <w:szCs w:val="22"/>
                <w:lang w:eastAsia="it-IT"/>
              </w:rPr>
            </w:pPr>
            <w:r w:rsidRPr="0019790A">
              <w:rPr>
                <w:rFonts w:cs="Arial"/>
                <w:b/>
                <w:szCs w:val="22"/>
                <w:lang w:eastAsia="it-IT"/>
              </w:rPr>
              <w:t>РАЗОМ</w:t>
            </w:r>
          </w:p>
        </w:tc>
      </w:tr>
      <w:tr w:rsidR="002540E1" w:rsidRPr="0019790A" w14:paraId="78DCE5CE" w14:textId="77777777" w:rsidTr="00B8248C">
        <w:trPr>
          <w:jc w:val="right"/>
        </w:trPr>
        <w:tc>
          <w:tcPr>
            <w:tcW w:w="3425" w:type="dxa"/>
            <w:vMerge/>
            <w:shd w:val="clear" w:color="auto" w:fill="FFFFFF"/>
            <w:vAlign w:val="center"/>
          </w:tcPr>
          <w:p w14:paraId="5074D1E1" w14:textId="77777777" w:rsidR="002540E1" w:rsidRPr="0019790A" w:rsidRDefault="002540E1" w:rsidP="0019790A">
            <w:pPr>
              <w:rPr>
                <w:rFonts w:cs="Arial"/>
                <w:b/>
                <w:bCs/>
                <w:szCs w:val="22"/>
              </w:rPr>
            </w:pPr>
          </w:p>
        </w:tc>
        <w:tc>
          <w:tcPr>
            <w:tcW w:w="1254" w:type="dxa"/>
            <w:vAlign w:val="center"/>
          </w:tcPr>
          <w:p w14:paraId="2CA47523" w14:textId="77777777" w:rsidR="002540E1" w:rsidRPr="0019790A" w:rsidRDefault="002540E1" w:rsidP="0019790A">
            <w:pPr>
              <w:jc w:val="center"/>
              <w:rPr>
                <w:rFonts w:cs="Arial"/>
                <w:b/>
                <w:szCs w:val="22"/>
                <w:lang w:eastAsia="it-IT"/>
              </w:rPr>
            </w:pPr>
            <w:r w:rsidRPr="0019790A">
              <w:rPr>
                <w:rFonts w:cs="Arial"/>
                <w:b/>
                <w:szCs w:val="22"/>
                <w:lang w:eastAsia="it-IT"/>
              </w:rPr>
              <w:t xml:space="preserve"> 2 000,00</w:t>
            </w:r>
          </w:p>
        </w:tc>
        <w:tc>
          <w:tcPr>
            <w:tcW w:w="1275" w:type="dxa"/>
            <w:gridSpan w:val="2"/>
            <w:shd w:val="clear" w:color="auto" w:fill="FFFFFF"/>
            <w:vAlign w:val="center"/>
          </w:tcPr>
          <w:p w14:paraId="3C2E95BC" w14:textId="77777777" w:rsidR="002540E1" w:rsidRPr="0019790A" w:rsidRDefault="002540E1" w:rsidP="0019790A">
            <w:pPr>
              <w:jc w:val="center"/>
              <w:rPr>
                <w:rFonts w:cs="Arial"/>
                <w:b/>
                <w:szCs w:val="22"/>
                <w:lang w:eastAsia="it-IT"/>
              </w:rPr>
            </w:pPr>
            <w:r w:rsidRPr="0019790A">
              <w:rPr>
                <w:rFonts w:cs="Arial"/>
                <w:b/>
                <w:szCs w:val="22"/>
                <w:lang w:eastAsia="it-IT"/>
              </w:rPr>
              <w:t>2 000,00</w:t>
            </w:r>
          </w:p>
        </w:tc>
        <w:tc>
          <w:tcPr>
            <w:tcW w:w="1418" w:type="dxa"/>
            <w:gridSpan w:val="2"/>
            <w:shd w:val="clear" w:color="auto" w:fill="auto"/>
            <w:vAlign w:val="center"/>
          </w:tcPr>
          <w:p w14:paraId="623314DA" w14:textId="77777777" w:rsidR="002540E1" w:rsidRPr="0019790A" w:rsidRDefault="002540E1" w:rsidP="0019790A">
            <w:pPr>
              <w:jc w:val="center"/>
              <w:rPr>
                <w:rFonts w:cs="Arial"/>
                <w:b/>
                <w:szCs w:val="22"/>
                <w:lang w:eastAsia="it-IT"/>
              </w:rPr>
            </w:pPr>
            <w:r w:rsidRPr="0019790A">
              <w:rPr>
                <w:rFonts w:cs="Arial"/>
                <w:b/>
                <w:szCs w:val="22"/>
                <w:lang w:eastAsia="it-IT"/>
              </w:rPr>
              <w:t xml:space="preserve">2 000,00 </w:t>
            </w:r>
          </w:p>
        </w:tc>
        <w:tc>
          <w:tcPr>
            <w:tcW w:w="1276" w:type="dxa"/>
            <w:gridSpan w:val="2"/>
            <w:shd w:val="clear" w:color="auto" w:fill="FFFFFF"/>
            <w:vAlign w:val="center"/>
          </w:tcPr>
          <w:p w14:paraId="5CB3DAF1" w14:textId="77777777" w:rsidR="002540E1" w:rsidRPr="0019790A" w:rsidRDefault="002540E1" w:rsidP="0019790A">
            <w:pPr>
              <w:jc w:val="center"/>
              <w:rPr>
                <w:rFonts w:cs="Arial"/>
                <w:b/>
                <w:szCs w:val="22"/>
                <w:lang w:eastAsia="it-IT"/>
              </w:rPr>
            </w:pPr>
            <w:r w:rsidRPr="0019790A">
              <w:rPr>
                <w:rFonts w:cs="Arial"/>
                <w:b/>
                <w:szCs w:val="22"/>
                <w:lang w:eastAsia="it-IT"/>
              </w:rPr>
              <w:t>2 000,00</w:t>
            </w:r>
          </w:p>
        </w:tc>
        <w:tc>
          <w:tcPr>
            <w:tcW w:w="1571" w:type="dxa"/>
            <w:gridSpan w:val="2"/>
            <w:shd w:val="clear" w:color="auto" w:fill="FFFFFF"/>
            <w:vAlign w:val="center"/>
          </w:tcPr>
          <w:p w14:paraId="7AE33107" w14:textId="77777777" w:rsidR="002540E1" w:rsidRPr="0019790A" w:rsidRDefault="002540E1" w:rsidP="0019790A">
            <w:pPr>
              <w:jc w:val="center"/>
              <w:rPr>
                <w:rFonts w:cs="Arial"/>
                <w:b/>
                <w:bCs/>
                <w:szCs w:val="22"/>
                <w:lang w:eastAsia="it-IT"/>
              </w:rPr>
            </w:pPr>
            <w:r w:rsidRPr="0019790A">
              <w:rPr>
                <w:rFonts w:cs="Arial"/>
                <w:b/>
                <w:bCs/>
                <w:szCs w:val="22"/>
              </w:rPr>
              <w:t>8 000,00</w:t>
            </w:r>
          </w:p>
        </w:tc>
      </w:tr>
      <w:tr w:rsidR="002540E1" w:rsidRPr="0019790A" w14:paraId="3C0904D9" w14:textId="77777777" w:rsidTr="00B8248C">
        <w:trPr>
          <w:trHeight w:val="276"/>
          <w:jc w:val="right"/>
        </w:trPr>
        <w:tc>
          <w:tcPr>
            <w:tcW w:w="3425" w:type="dxa"/>
            <w:shd w:val="clear" w:color="auto" w:fill="FFFFFF"/>
            <w:vAlign w:val="center"/>
          </w:tcPr>
          <w:p w14:paraId="4D69113D" w14:textId="77777777" w:rsidR="002540E1" w:rsidRPr="0019790A" w:rsidRDefault="002540E1" w:rsidP="0019790A">
            <w:pPr>
              <w:rPr>
                <w:rFonts w:cs="Arial"/>
                <w:b/>
                <w:bCs/>
                <w:szCs w:val="22"/>
              </w:rPr>
            </w:pPr>
            <w:r w:rsidRPr="0019790A">
              <w:rPr>
                <w:rFonts w:cs="Arial"/>
                <w:b/>
                <w:bCs/>
                <w:szCs w:val="22"/>
              </w:rPr>
              <w:t>по джерелах фінансування:</w:t>
            </w:r>
          </w:p>
        </w:tc>
        <w:tc>
          <w:tcPr>
            <w:tcW w:w="6794" w:type="dxa"/>
            <w:gridSpan w:val="9"/>
            <w:vAlign w:val="center"/>
          </w:tcPr>
          <w:p w14:paraId="52C71F4F" w14:textId="77777777" w:rsidR="002540E1" w:rsidRPr="0019790A" w:rsidRDefault="002540E1" w:rsidP="0019790A">
            <w:pPr>
              <w:jc w:val="both"/>
              <w:rPr>
                <w:rFonts w:cs="Arial"/>
                <w:szCs w:val="22"/>
                <w:lang w:eastAsia="it-IT"/>
              </w:rPr>
            </w:pPr>
          </w:p>
        </w:tc>
      </w:tr>
      <w:tr w:rsidR="002540E1" w:rsidRPr="0019790A" w14:paraId="2D382C23" w14:textId="77777777" w:rsidTr="00B8248C">
        <w:trPr>
          <w:trHeight w:val="240"/>
          <w:jc w:val="right"/>
        </w:trPr>
        <w:tc>
          <w:tcPr>
            <w:tcW w:w="3425" w:type="dxa"/>
            <w:shd w:val="clear" w:color="auto" w:fill="FFFFFF"/>
            <w:vAlign w:val="center"/>
          </w:tcPr>
          <w:p w14:paraId="410BC8EE" w14:textId="77777777" w:rsidR="002540E1" w:rsidRPr="0019790A" w:rsidRDefault="002540E1" w:rsidP="0019790A">
            <w:pPr>
              <w:rPr>
                <w:rFonts w:cs="Arial"/>
                <w:b/>
                <w:bCs/>
                <w:szCs w:val="22"/>
              </w:rPr>
            </w:pPr>
            <w:r w:rsidRPr="0019790A">
              <w:rPr>
                <w:rFonts w:cs="Arial"/>
                <w:szCs w:val="22"/>
              </w:rPr>
              <w:t>- державний бюджет</w:t>
            </w:r>
          </w:p>
        </w:tc>
        <w:tc>
          <w:tcPr>
            <w:tcW w:w="6794" w:type="dxa"/>
            <w:gridSpan w:val="9"/>
            <w:vAlign w:val="center"/>
          </w:tcPr>
          <w:p w14:paraId="7C2832F7" w14:textId="77777777" w:rsidR="002540E1" w:rsidRPr="0019790A" w:rsidRDefault="002540E1" w:rsidP="0019790A">
            <w:pPr>
              <w:jc w:val="both"/>
              <w:rPr>
                <w:rFonts w:cs="Arial"/>
                <w:b/>
                <w:szCs w:val="22"/>
                <w:lang w:eastAsia="it-IT"/>
              </w:rPr>
            </w:pPr>
            <w:r w:rsidRPr="0019790A">
              <w:rPr>
                <w:rFonts w:cs="Arial"/>
                <w:b/>
                <w:szCs w:val="22"/>
                <w:lang w:eastAsia="it-IT"/>
              </w:rPr>
              <w:t xml:space="preserve"> </w:t>
            </w:r>
            <w:r w:rsidRPr="0019790A">
              <w:rPr>
                <w:rFonts w:cs="Arial"/>
                <w:b/>
                <w:bCs/>
                <w:szCs w:val="22"/>
              </w:rPr>
              <w:t xml:space="preserve"> </w:t>
            </w:r>
          </w:p>
        </w:tc>
      </w:tr>
      <w:tr w:rsidR="002540E1" w:rsidRPr="0019790A" w14:paraId="4B44BE4B" w14:textId="77777777" w:rsidTr="00B8248C">
        <w:trPr>
          <w:trHeight w:val="254"/>
          <w:jc w:val="right"/>
        </w:trPr>
        <w:tc>
          <w:tcPr>
            <w:tcW w:w="3425" w:type="dxa"/>
            <w:shd w:val="clear" w:color="auto" w:fill="FFFFFF"/>
            <w:vAlign w:val="center"/>
          </w:tcPr>
          <w:p w14:paraId="5F01FEAC" w14:textId="77777777" w:rsidR="002540E1" w:rsidRPr="0019790A" w:rsidRDefault="002540E1" w:rsidP="0019790A">
            <w:pPr>
              <w:rPr>
                <w:rFonts w:cs="Arial"/>
                <w:szCs w:val="22"/>
              </w:rPr>
            </w:pPr>
            <w:r w:rsidRPr="0019790A">
              <w:rPr>
                <w:rFonts w:cs="Arial"/>
                <w:szCs w:val="22"/>
              </w:rPr>
              <w:t>- обласний бюджет</w:t>
            </w:r>
          </w:p>
        </w:tc>
        <w:tc>
          <w:tcPr>
            <w:tcW w:w="6794" w:type="dxa"/>
            <w:gridSpan w:val="9"/>
            <w:vAlign w:val="center"/>
          </w:tcPr>
          <w:p w14:paraId="6A940305" w14:textId="77777777" w:rsidR="002540E1" w:rsidRPr="0019790A" w:rsidRDefault="002540E1" w:rsidP="0019790A">
            <w:pPr>
              <w:jc w:val="both"/>
              <w:rPr>
                <w:rFonts w:cs="Arial"/>
                <w:szCs w:val="22"/>
                <w:lang w:eastAsia="it-IT"/>
              </w:rPr>
            </w:pPr>
          </w:p>
        </w:tc>
      </w:tr>
      <w:tr w:rsidR="002540E1" w:rsidRPr="0019790A" w14:paraId="523B7331" w14:textId="77777777" w:rsidTr="00B8248C">
        <w:trPr>
          <w:trHeight w:val="275"/>
          <w:jc w:val="right"/>
        </w:trPr>
        <w:tc>
          <w:tcPr>
            <w:tcW w:w="3425" w:type="dxa"/>
            <w:shd w:val="clear" w:color="auto" w:fill="FFFFFF"/>
            <w:vAlign w:val="center"/>
          </w:tcPr>
          <w:p w14:paraId="2745172B" w14:textId="77777777" w:rsidR="002540E1" w:rsidRPr="0019790A" w:rsidRDefault="002540E1" w:rsidP="0019790A">
            <w:pPr>
              <w:rPr>
                <w:rFonts w:cs="Arial"/>
                <w:szCs w:val="22"/>
              </w:rPr>
            </w:pPr>
            <w:r w:rsidRPr="0019790A">
              <w:rPr>
                <w:rFonts w:cs="Arial"/>
                <w:szCs w:val="22"/>
              </w:rPr>
              <w:t>- бюджет Жмеринської МТГ</w:t>
            </w:r>
          </w:p>
        </w:tc>
        <w:tc>
          <w:tcPr>
            <w:tcW w:w="1358" w:type="dxa"/>
            <w:gridSpan w:val="2"/>
            <w:vAlign w:val="center"/>
          </w:tcPr>
          <w:p w14:paraId="209690E2" w14:textId="77777777" w:rsidR="002540E1" w:rsidRPr="00CD6B99" w:rsidRDefault="002540E1" w:rsidP="0019790A">
            <w:pPr>
              <w:jc w:val="center"/>
              <w:rPr>
                <w:rFonts w:cs="Arial"/>
                <w:szCs w:val="22"/>
                <w:lang w:eastAsia="it-IT"/>
              </w:rPr>
            </w:pPr>
            <w:r w:rsidRPr="00CD6B99">
              <w:rPr>
                <w:rFonts w:cs="Arial"/>
                <w:szCs w:val="22"/>
                <w:lang w:eastAsia="it-IT"/>
              </w:rPr>
              <w:t xml:space="preserve"> 2 000,00</w:t>
            </w:r>
          </w:p>
        </w:tc>
        <w:tc>
          <w:tcPr>
            <w:tcW w:w="1359" w:type="dxa"/>
            <w:gridSpan w:val="2"/>
            <w:vAlign w:val="center"/>
          </w:tcPr>
          <w:p w14:paraId="4B40F3C9" w14:textId="77777777" w:rsidR="002540E1" w:rsidRPr="00CD6B99" w:rsidRDefault="002540E1" w:rsidP="0019790A">
            <w:pPr>
              <w:jc w:val="center"/>
              <w:rPr>
                <w:rFonts w:cs="Arial"/>
                <w:szCs w:val="22"/>
                <w:lang w:eastAsia="it-IT"/>
              </w:rPr>
            </w:pPr>
            <w:r w:rsidRPr="00CD6B99">
              <w:rPr>
                <w:rFonts w:cs="Arial"/>
                <w:szCs w:val="22"/>
                <w:lang w:eastAsia="it-IT"/>
              </w:rPr>
              <w:t>2 000,00</w:t>
            </w:r>
          </w:p>
        </w:tc>
        <w:tc>
          <w:tcPr>
            <w:tcW w:w="1359" w:type="dxa"/>
            <w:gridSpan w:val="2"/>
            <w:vAlign w:val="center"/>
          </w:tcPr>
          <w:p w14:paraId="15D53D04" w14:textId="77777777" w:rsidR="002540E1" w:rsidRPr="00CD6B99" w:rsidRDefault="002540E1" w:rsidP="0019790A">
            <w:pPr>
              <w:jc w:val="center"/>
              <w:rPr>
                <w:rFonts w:cs="Arial"/>
                <w:szCs w:val="22"/>
                <w:lang w:eastAsia="it-IT"/>
              </w:rPr>
            </w:pPr>
            <w:r w:rsidRPr="00CD6B99">
              <w:rPr>
                <w:rFonts w:cs="Arial"/>
                <w:szCs w:val="22"/>
                <w:lang w:eastAsia="it-IT"/>
              </w:rPr>
              <w:t xml:space="preserve">2 000,00 </w:t>
            </w:r>
          </w:p>
        </w:tc>
        <w:tc>
          <w:tcPr>
            <w:tcW w:w="1359" w:type="dxa"/>
            <w:gridSpan w:val="2"/>
            <w:vAlign w:val="center"/>
          </w:tcPr>
          <w:p w14:paraId="30927182" w14:textId="77777777" w:rsidR="002540E1" w:rsidRPr="00CD6B99" w:rsidRDefault="002540E1" w:rsidP="0019790A">
            <w:pPr>
              <w:jc w:val="center"/>
              <w:rPr>
                <w:rFonts w:cs="Arial"/>
                <w:szCs w:val="22"/>
                <w:lang w:eastAsia="it-IT"/>
              </w:rPr>
            </w:pPr>
            <w:r w:rsidRPr="00CD6B99">
              <w:rPr>
                <w:rFonts w:cs="Arial"/>
                <w:szCs w:val="22"/>
                <w:lang w:eastAsia="it-IT"/>
              </w:rPr>
              <w:t>2 000,00</w:t>
            </w:r>
          </w:p>
        </w:tc>
        <w:tc>
          <w:tcPr>
            <w:tcW w:w="1359" w:type="dxa"/>
            <w:vAlign w:val="center"/>
          </w:tcPr>
          <w:p w14:paraId="7D1964C2" w14:textId="77777777" w:rsidR="002540E1" w:rsidRPr="0019790A" w:rsidRDefault="002540E1" w:rsidP="0019790A">
            <w:pPr>
              <w:jc w:val="center"/>
              <w:rPr>
                <w:rFonts w:cs="Arial"/>
                <w:b/>
                <w:bCs/>
                <w:szCs w:val="22"/>
                <w:lang w:eastAsia="it-IT"/>
              </w:rPr>
            </w:pPr>
            <w:r w:rsidRPr="0019790A">
              <w:rPr>
                <w:rFonts w:cs="Arial"/>
                <w:b/>
                <w:bCs/>
                <w:szCs w:val="22"/>
              </w:rPr>
              <w:t>8 000,00</w:t>
            </w:r>
          </w:p>
        </w:tc>
      </w:tr>
      <w:tr w:rsidR="002540E1" w:rsidRPr="0019790A" w14:paraId="264D52A5" w14:textId="77777777" w:rsidTr="00B8248C">
        <w:trPr>
          <w:trHeight w:val="226"/>
          <w:jc w:val="right"/>
        </w:trPr>
        <w:tc>
          <w:tcPr>
            <w:tcW w:w="3425" w:type="dxa"/>
            <w:shd w:val="clear" w:color="auto" w:fill="FFFFFF"/>
            <w:vAlign w:val="center"/>
          </w:tcPr>
          <w:p w14:paraId="4DBEFD6F" w14:textId="77777777" w:rsidR="002540E1" w:rsidRPr="0019790A" w:rsidRDefault="002540E1" w:rsidP="0019790A">
            <w:pPr>
              <w:rPr>
                <w:rFonts w:cs="Arial"/>
                <w:szCs w:val="22"/>
              </w:rPr>
            </w:pPr>
            <w:r w:rsidRPr="0019790A">
              <w:rPr>
                <w:rFonts w:cs="Arial"/>
                <w:szCs w:val="22"/>
              </w:rPr>
              <w:t>- інші джерела фінансування</w:t>
            </w:r>
          </w:p>
        </w:tc>
        <w:tc>
          <w:tcPr>
            <w:tcW w:w="6794" w:type="dxa"/>
            <w:gridSpan w:val="9"/>
            <w:vAlign w:val="center"/>
          </w:tcPr>
          <w:p w14:paraId="330D74F9" w14:textId="77777777" w:rsidR="002540E1" w:rsidRPr="0019790A" w:rsidRDefault="002540E1" w:rsidP="0019790A">
            <w:pPr>
              <w:jc w:val="both"/>
              <w:rPr>
                <w:rFonts w:cs="Arial"/>
                <w:szCs w:val="22"/>
                <w:lang w:eastAsia="it-IT"/>
              </w:rPr>
            </w:pPr>
          </w:p>
        </w:tc>
      </w:tr>
      <w:tr w:rsidR="002540E1" w:rsidRPr="0019790A" w14:paraId="52C94EEB" w14:textId="77777777" w:rsidTr="00B8248C">
        <w:trPr>
          <w:jc w:val="right"/>
        </w:trPr>
        <w:tc>
          <w:tcPr>
            <w:tcW w:w="3425" w:type="dxa"/>
            <w:shd w:val="clear" w:color="auto" w:fill="FFFFFF"/>
            <w:vAlign w:val="center"/>
          </w:tcPr>
          <w:p w14:paraId="7F6843C7" w14:textId="77777777" w:rsidR="002540E1" w:rsidRPr="0019790A" w:rsidRDefault="002540E1" w:rsidP="0019790A">
            <w:pPr>
              <w:rPr>
                <w:rFonts w:cs="Arial"/>
                <w:b/>
                <w:bCs/>
                <w:szCs w:val="22"/>
              </w:rPr>
            </w:pPr>
            <w:r w:rsidRPr="0019790A">
              <w:rPr>
                <w:rFonts w:cs="Arial"/>
                <w:b/>
                <w:szCs w:val="22"/>
              </w:rPr>
              <w:t>Відповідальний виконавець проєкту:</w:t>
            </w:r>
          </w:p>
        </w:tc>
        <w:tc>
          <w:tcPr>
            <w:tcW w:w="6794" w:type="dxa"/>
            <w:gridSpan w:val="9"/>
            <w:vAlign w:val="center"/>
          </w:tcPr>
          <w:p w14:paraId="5DFD2034" w14:textId="77777777" w:rsidR="002540E1" w:rsidRPr="0019790A" w:rsidRDefault="002540E1" w:rsidP="0019790A">
            <w:pPr>
              <w:jc w:val="both"/>
              <w:rPr>
                <w:rFonts w:cs="Arial"/>
                <w:szCs w:val="22"/>
                <w:lang w:eastAsia="it-IT"/>
              </w:rPr>
            </w:pPr>
            <w:r w:rsidRPr="0019790A">
              <w:rPr>
                <w:rFonts w:cs="Arial"/>
                <w:szCs w:val="22"/>
                <w:lang w:eastAsia="it-IT"/>
              </w:rPr>
              <w:t>Управління ЖКГ Жмеринської міської ради, Управління освіти Жмеринської міської ради</w:t>
            </w:r>
          </w:p>
        </w:tc>
      </w:tr>
      <w:tr w:rsidR="002540E1" w:rsidRPr="0019790A" w14:paraId="339F128D" w14:textId="77777777" w:rsidTr="00B8248C">
        <w:trPr>
          <w:jc w:val="right"/>
        </w:trPr>
        <w:tc>
          <w:tcPr>
            <w:tcW w:w="3425" w:type="dxa"/>
            <w:shd w:val="clear" w:color="auto" w:fill="FFFFFF"/>
            <w:vAlign w:val="center"/>
          </w:tcPr>
          <w:p w14:paraId="0FE57A05" w14:textId="77777777" w:rsidR="002540E1" w:rsidRPr="0019790A" w:rsidRDefault="002540E1" w:rsidP="0019790A">
            <w:pPr>
              <w:rPr>
                <w:rFonts w:cs="Arial"/>
                <w:b/>
                <w:bCs/>
                <w:szCs w:val="22"/>
              </w:rPr>
            </w:pPr>
            <w:r w:rsidRPr="0019790A">
              <w:rPr>
                <w:rFonts w:cs="Arial"/>
                <w:b/>
                <w:bCs/>
                <w:szCs w:val="22"/>
              </w:rPr>
              <w:t>Інше:</w:t>
            </w:r>
          </w:p>
        </w:tc>
        <w:tc>
          <w:tcPr>
            <w:tcW w:w="6794" w:type="dxa"/>
            <w:gridSpan w:val="9"/>
            <w:vAlign w:val="center"/>
          </w:tcPr>
          <w:p w14:paraId="5C7946D4" w14:textId="77777777" w:rsidR="002540E1" w:rsidRPr="0019790A" w:rsidRDefault="002540E1" w:rsidP="0019790A">
            <w:pPr>
              <w:rPr>
                <w:rFonts w:cs="Arial"/>
                <w:szCs w:val="22"/>
                <w:lang w:eastAsia="it-IT"/>
              </w:rPr>
            </w:pPr>
          </w:p>
        </w:tc>
      </w:tr>
    </w:tbl>
    <w:p w14:paraId="78977566" w14:textId="77777777" w:rsidR="002540E1" w:rsidRPr="0019790A" w:rsidRDefault="002540E1" w:rsidP="0019790A">
      <w:pPr>
        <w:rPr>
          <w:rFonts w:cs="Arial"/>
          <w:szCs w:val="22"/>
        </w:rPr>
      </w:pPr>
    </w:p>
    <w:p w14:paraId="318251FA" w14:textId="3C78BDB2" w:rsidR="002540E1" w:rsidRPr="0019790A" w:rsidRDefault="002540E1" w:rsidP="0019790A">
      <w:pPr>
        <w:rPr>
          <w:rFonts w:cs="Arial"/>
          <w:i/>
          <w:szCs w:val="22"/>
        </w:rPr>
      </w:pPr>
    </w:p>
    <w:p w14:paraId="508E4F57" w14:textId="77777777" w:rsidR="002540E1" w:rsidRPr="0019790A" w:rsidRDefault="002540E1" w:rsidP="0019790A">
      <w:pPr>
        <w:jc w:val="center"/>
        <w:rPr>
          <w:rFonts w:cs="Arial"/>
          <w:b/>
          <w:szCs w:val="22"/>
        </w:rPr>
      </w:pPr>
      <w:r w:rsidRPr="0019790A">
        <w:rPr>
          <w:rFonts w:cs="Arial"/>
          <w:b/>
          <w:szCs w:val="22"/>
        </w:rPr>
        <w:t xml:space="preserve">Форма технічного завдання на проєкт місцевого розвитку </w:t>
      </w:r>
    </w:p>
    <w:p w14:paraId="7E8699D0" w14:textId="77777777" w:rsidR="002540E1" w:rsidRPr="0019790A" w:rsidRDefault="002540E1" w:rsidP="0019790A">
      <w:pPr>
        <w:jc w:val="center"/>
        <w:rPr>
          <w:rFonts w:cs="Arial"/>
          <w:b/>
          <w:szCs w:val="22"/>
        </w:rPr>
      </w:pPr>
      <w:r w:rsidRPr="0019790A">
        <w:rPr>
          <w:rFonts w:cs="Arial"/>
          <w:b/>
          <w:szCs w:val="22"/>
        </w:rPr>
        <w:t>до Плану заходів з реалізації Стратегії</w:t>
      </w:r>
    </w:p>
    <w:p w14:paraId="0CC7BF45" w14:textId="77777777" w:rsidR="002540E1" w:rsidRPr="0019790A" w:rsidRDefault="002540E1"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104"/>
        <w:gridCol w:w="1171"/>
        <w:gridCol w:w="1418"/>
        <w:gridCol w:w="1276"/>
        <w:gridCol w:w="1571"/>
      </w:tblGrid>
      <w:tr w:rsidR="002540E1" w:rsidRPr="0019790A" w14:paraId="47330789" w14:textId="77777777" w:rsidTr="00CD6B99">
        <w:trPr>
          <w:trHeight w:val="480"/>
          <w:jc w:val="right"/>
        </w:trPr>
        <w:tc>
          <w:tcPr>
            <w:tcW w:w="3425" w:type="dxa"/>
            <w:vAlign w:val="center"/>
          </w:tcPr>
          <w:p w14:paraId="66017389" w14:textId="77777777" w:rsidR="002540E1" w:rsidRPr="0019790A" w:rsidRDefault="002540E1" w:rsidP="00CD6B99">
            <w:pPr>
              <w:rPr>
                <w:rFonts w:cs="Arial"/>
                <w:b/>
                <w:bCs/>
                <w:szCs w:val="22"/>
              </w:rPr>
            </w:pPr>
            <w:r w:rsidRPr="0019790A">
              <w:rPr>
                <w:rFonts w:cs="Arial"/>
                <w:b/>
                <w:bCs/>
                <w:szCs w:val="22"/>
              </w:rPr>
              <w:t>Назва проєкту:</w:t>
            </w:r>
          </w:p>
        </w:tc>
        <w:tc>
          <w:tcPr>
            <w:tcW w:w="6794" w:type="dxa"/>
            <w:gridSpan w:val="6"/>
            <w:vAlign w:val="center"/>
          </w:tcPr>
          <w:p w14:paraId="62894543" w14:textId="2541965D" w:rsidR="002540E1" w:rsidRPr="0019790A" w:rsidRDefault="002540E1" w:rsidP="00CD6B99">
            <w:pPr>
              <w:rPr>
                <w:rFonts w:cs="Arial"/>
                <w:b/>
              </w:rPr>
            </w:pPr>
            <w:r w:rsidRPr="0019790A">
              <w:rPr>
                <w:rFonts w:cs="Arial"/>
                <w:szCs w:val="22"/>
              </w:rPr>
              <w:t xml:space="preserve"> </w:t>
            </w:r>
            <w:r w:rsidR="00CD6B99" w:rsidRPr="0019790A">
              <w:rPr>
                <w:rFonts w:cs="Arial"/>
                <w:b/>
              </w:rPr>
              <w:t>Діджиталізація</w:t>
            </w:r>
            <w:r w:rsidRPr="0019790A">
              <w:rPr>
                <w:rFonts w:cs="Arial"/>
                <w:b/>
              </w:rPr>
              <w:t xml:space="preserve"> освіти – необхідність для розвитку країни</w:t>
            </w:r>
          </w:p>
        </w:tc>
      </w:tr>
      <w:tr w:rsidR="002540E1" w:rsidRPr="0019790A" w14:paraId="50B8C0AB" w14:textId="77777777" w:rsidTr="00B8248C">
        <w:trPr>
          <w:jc w:val="right"/>
        </w:trPr>
        <w:tc>
          <w:tcPr>
            <w:tcW w:w="3425" w:type="dxa"/>
          </w:tcPr>
          <w:p w14:paraId="0BB4F7B4" w14:textId="77777777" w:rsidR="002540E1" w:rsidRPr="0019790A" w:rsidRDefault="002540E1"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388F5B34" w14:textId="77777777" w:rsidR="002540E1" w:rsidRPr="0019790A" w:rsidRDefault="002540E1"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6"/>
          </w:tcPr>
          <w:p w14:paraId="6EAAB72C" w14:textId="77777777" w:rsidR="002540E1" w:rsidRPr="0019790A" w:rsidRDefault="002540E1" w:rsidP="0019790A">
            <w:pPr>
              <w:rPr>
                <w:rFonts w:cs="Arial"/>
                <w:szCs w:val="22"/>
                <w:lang w:eastAsia="it-IT"/>
              </w:rPr>
            </w:pPr>
          </w:p>
          <w:p w14:paraId="264218A9" w14:textId="77777777" w:rsidR="002540E1" w:rsidRPr="0019790A" w:rsidRDefault="002540E1" w:rsidP="0019790A">
            <w:pPr>
              <w:rPr>
                <w:rFonts w:cs="Arial"/>
                <w:szCs w:val="22"/>
                <w:lang w:eastAsia="it-IT"/>
              </w:rPr>
            </w:pPr>
            <w:r w:rsidRPr="0019790A">
              <w:rPr>
                <w:rFonts w:cs="Arial"/>
                <w:bCs/>
                <w:szCs w:val="22"/>
              </w:rPr>
              <w:t xml:space="preserve"> Управління освіти Жмеринської міської ради</w:t>
            </w:r>
          </w:p>
        </w:tc>
      </w:tr>
      <w:tr w:rsidR="002540E1" w:rsidRPr="0019790A" w14:paraId="53DBB2D2" w14:textId="77777777" w:rsidTr="00B8248C">
        <w:trPr>
          <w:jc w:val="right"/>
        </w:trPr>
        <w:tc>
          <w:tcPr>
            <w:tcW w:w="3425" w:type="dxa"/>
          </w:tcPr>
          <w:p w14:paraId="5AC43F94" w14:textId="77777777" w:rsidR="002540E1" w:rsidRPr="0019790A" w:rsidRDefault="002540E1" w:rsidP="0019790A">
            <w:pPr>
              <w:rPr>
                <w:rFonts w:cs="Arial"/>
                <w:b/>
                <w:bCs/>
                <w:szCs w:val="22"/>
              </w:rPr>
            </w:pPr>
            <w:r w:rsidRPr="0019790A">
              <w:rPr>
                <w:rFonts w:cs="Arial"/>
                <w:szCs w:val="22"/>
                <w:lang w:eastAsia="it-IT"/>
              </w:rPr>
              <w:t>Прізвище Ім’я по-батькові:</w:t>
            </w:r>
          </w:p>
        </w:tc>
        <w:tc>
          <w:tcPr>
            <w:tcW w:w="6794" w:type="dxa"/>
            <w:gridSpan w:val="6"/>
          </w:tcPr>
          <w:p w14:paraId="35C7FA57" w14:textId="77777777" w:rsidR="002540E1" w:rsidRPr="0019790A" w:rsidRDefault="002540E1" w:rsidP="0019790A">
            <w:pPr>
              <w:pStyle w:val="TableParagraph"/>
              <w:ind w:left="0"/>
              <w:rPr>
                <w:rFonts w:ascii="Arial" w:hAnsi="Arial" w:cs="Arial"/>
              </w:rPr>
            </w:pPr>
            <w:r w:rsidRPr="0019790A">
              <w:rPr>
                <w:rFonts w:ascii="Arial" w:hAnsi="Arial" w:cs="Arial"/>
              </w:rPr>
              <w:t>Щурик Людмила Анатоліївна</w:t>
            </w:r>
          </w:p>
        </w:tc>
      </w:tr>
      <w:tr w:rsidR="002540E1" w:rsidRPr="0019790A" w14:paraId="10BFDFBC" w14:textId="77777777" w:rsidTr="00B8248C">
        <w:trPr>
          <w:jc w:val="right"/>
        </w:trPr>
        <w:tc>
          <w:tcPr>
            <w:tcW w:w="3425" w:type="dxa"/>
          </w:tcPr>
          <w:p w14:paraId="2E680C9D" w14:textId="77777777" w:rsidR="002540E1" w:rsidRPr="0019790A" w:rsidRDefault="002540E1" w:rsidP="0019790A">
            <w:pPr>
              <w:rPr>
                <w:rFonts w:cs="Arial"/>
                <w:b/>
                <w:bCs/>
                <w:szCs w:val="22"/>
              </w:rPr>
            </w:pPr>
            <w:r w:rsidRPr="0019790A">
              <w:rPr>
                <w:rFonts w:cs="Arial"/>
                <w:szCs w:val="22"/>
                <w:lang w:eastAsia="it-IT"/>
              </w:rPr>
              <w:t>Телефон (мобільний):</w:t>
            </w:r>
          </w:p>
        </w:tc>
        <w:tc>
          <w:tcPr>
            <w:tcW w:w="6794" w:type="dxa"/>
            <w:gridSpan w:val="6"/>
          </w:tcPr>
          <w:p w14:paraId="68B8B335" w14:textId="77777777" w:rsidR="002540E1" w:rsidRPr="0019790A" w:rsidRDefault="002540E1" w:rsidP="0019790A">
            <w:pPr>
              <w:pStyle w:val="TableParagraph"/>
              <w:ind w:left="66"/>
              <w:rPr>
                <w:rFonts w:ascii="Arial" w:hAnsi="Arial" w:cs="Arial"/>
              </w:rPr>
            </w:pPr>
            <w:r w:rsidRPr="0019790A">
              <w:rPr>
                <w:rFonts w:ascii="Arial" w:hAnsi="Arial" w:cs="Arial"/>
                <w:spacing w:val="-2"/>
              </w:rPr>
              <w:t>+380 (97) 265 81 51</w:t>
            </w:r>
          </w:p>
        </w:tc>
      </w:tr>
      <w:tr w:rsidR="002540E1" w:rsidRPr="0019790A" w14:paraId="28181AF9" w14:textId="77777777" w:rsidTr="00B8248C">
        <w:trPr>
          <w:jc w:val="right"/>
        </w:trPr>
        <w:tc>
          <w:tcPr>
            <w:tcW w:w="3425" w:type="dxa"/>
          </w:tcPr>
          <w:p w14:paraId="2BF6DCDB" w14:textId="77777777" w:rsidR="002540E1" w:rsidRPr="0019790A" w:rsidRDefault="002540E1" w:rsidP="0019790A">
            <w:pPr>
              <w:rPr>
                <w:rFonts w:cs="Arial"/>
                <w:b/>
                <w:bCs/>
                <w:szCs w:val="22"/>
              </w:rPr>
            </w:pPr>
            <w:r w:rsidRPr="0019790A">
              <w:rPr>
                <w:rFonts w:cs="Arial"/>
                <w:szCs w:val="22"/>
                <w:lang w:eastAsia="it-IT"/>
              </w:rPr>
              <w:t>Електронна адреса:</w:t>
            </w:r>
          </w:p>
        </w:tc>
        <w:tc>
          <w:tcPr>
            <w:tcW w:w="6794" w:type="dxa"/>
            <w:gridSpan w:val="6"/>
          </w:tcPr>
          <w:p w14:paraId="388381D2" w14:textId="77777777" w:rsidR="002540E1" w:rsidRPr="0019790A" w:rsidRDefault="002540E1" w:rsidP="0019790A">
            <w:pPr>
              <w:pStyle w:val="TableParagraph"/>
              <w:ind w:left="66"/>
              <w:rPr>
                <w:rFonts w:ascii="Arial" w:hAnsi="Arial" w:cs="Arial"/>
                <w:b/>
              </w:rPr>
            </w:pPr>
            <w:r w:rsidRPr="0019790A">
              <w:rPr>
                <w:rFonts w:ascii="Arial" w:hAnsi="Arial" w:cs="Arial"/>
              </w:rPr>
              <w:t xml:space="preserve"> </w:t>
            </w:r>
            <w:hyperlink r:id="rId118" w:history="1">
              <w:r w:rsidRPr="0019790A">
                <w:rPr>
                  <w:rStyle w:val="af0"/>
                  <w:rFonts w:ascii="Arial" w:hAnsi="Arial" w:cs="Arial"/>
                  <w:noProof w:val="0"/>
                  <w:spacing w:val="5"/>
                  <w:sz w:val="22"/>
                  <w:szCs w:val="22"/>
                </w:rPr>
                <w:t>uposv.zmr@gmail.com</w:t>
              </w:r>
            </w:hyperlink>
          </w:p>
        </w:tc>
      </w:tr>
      <w:tr w:rsidR="002540E1" w:rsidRPr="0019790A" w14:paraId="2FD748A9" w14:textId="77777777" w:rsidTr="00B8248C">
        <w:trPr>
          <w:jc w:val="right"/>
        </w:trPr>
        <w:tc>
          <w:tcPr>
            <w:tcW w:w="3425" w:type="dxa"/>
            <w:vAlign w:val="center"/>
          </w:tcPr>
          <w:p w14:paraId="3FCF9973" w14:textId="77777777" w:rsidR="002540E1" w:rsidRPr="0019790A" w:rsidRDefault="002540E1" w:rsidP="0019790A">
            <w:pPr>
              <w:pStyle w:val="6"/>
              <w:spacing w:before="0" w:after="0"/>
              <w:rPr>
                <w:rFonts w:ascii="Arial" w:hAnsi="Arial" w:cs="Arial"/>
                <w:lang w:val="uk-UA"/>
              </w:rPr>
            </w:pPr>
            <w:r w:rsidRPr="0019790A">
              <w:rPr>
                <w:rFonts w:ascii="Arial" w:hAnsi="Arial" w:cs="Arial"/>
                <w:lang w:val="uk-UA"/>
              </w:rPr>
              <w:t>Номер і назва завдання з Стратегії</w:t>
            </w:r>
            <w:r w:rsidRPr="0019790A">
              <w:rPr>
                <w:rFonts w:ascii="Arial" w:hAnsi="Arial" w:cs="Arial"/>
                <w:lang w:val="uk-UA" w:eastAsia="it-IT"/>
              </w:rPr>
              <w:t xml:space="preserve"> </w:t>
            </w:r>
            <w:r w:rsidRPr="0019790A">
              <w:rPr>
                <w:rFonts w:ascii="Arial" w:hAnsi="Arial" w:cs="Arial"/>
                <w:lang w:val="uk-UA"/>
              </w:rPr>
              <w:t>розвитку Жмеринської міської територіальної громади,  якому відповідає проєкт:</w:t>
            </w:r>
          </w:p>
        </w:tc>
        <w:tc>
          <w:tcPr>
            <w:tcW w:w="6794" w:type="dxa"/>
            <w:gridSpan w:val="6"/>
          </w:tcPr>
          <w:p w14:paraId="1A3EA633" w14:textId="77777777" w:rsidR="002540E1" w:rsidRPr="0019790A" w:rsidRDefault="002540E1" w:rsidP="0019790A">
            <w:pPr>
              <w:pBdr>
                <w:left w:val="single" w:sz="18" w:space="4" w:color="auto"/>
              </w:pBdr>
              <w:jc w:val="both"/>
              <w:rPr>
                <w:rFonts w:cs="Arial"/>
                <w:szCs w:val="22"/>
              </w:rPr>
            </w:pPr>
            <w:r w:rsidRPr="0019790A">
              <w:rPr>
                <w:rFonts w:cs="Arial"/>
                <w:szCs w:val="22"/>
              </w:rPr>
              <w:t>С.1.2.3. Інтернет безпека та медіа грамотність</w:t>
            </w:r>
          </w:p>
          <w:p w14:paraId="707AA8B3" w14:textId="77777777" w:rsidR="002540E1" w:rsidRPr="0019790A" w:rsidRDefault="002540E1" w:rsidP="0019790A">
            <w:pPr>
              <w:rPr>
                <w:rFonts w:cs="Arial"/>
                <w:szCs w:val="22"/>
              </w:rPr>
            </w:pPr>
            <w:r w:rsidRPr="0019790A">
              <w:rPr>
                <w:rFonts w:cs="Arial"/>
                <w:szCs w:val="22"/>
              </w:rPr>
              <w:t>С.1.3.2. Запровадження в освітній процес закладів освіти інновацій, в тому числі інформаційно-комунікаційних та «Smart» технологій.</w:t>
            </w:r>
          </w:p>
          <w:p w14:paraId="2CA6C162" w14:textId="77777777" w:rsidR="002540E1" w:rsidRPr="0019790A" w:rsidRDefault="002540E1" w:rsidP="0019790A">
            <w:pPr>
              <w:pBdr>
                <w:left w:val="single" w:sz="18" w:space="4" w:color="auto"/>
              </w:pBdr>
              <w:jc w:val="both"/>
              <w:rPr>
                <w:rFonts w:cs="Arial"/>
                <w:szCs w:val="22"/>
              </w:rPr>
            </w:pPr>
            <w:r w:rsidRPr="0019790A">
              <w:rPr>
                <w:rFonts w:cs="Arial"/>
                <w:szCs w:val="22"/>
              </w:rPr>
              <w:t>С.1.3.4. Створення нового освітнього простору як необхідної передумови підвищення якості освіти.</w:t>
            </w:r>
          </w:p>
          <w:p w14:paraId="145584E0" w14:textId="77777777" w:rsidR="002540E1" w:rsidRPr="0019790A" w:rsidRDefault="002540E1" w:rsidP="0019790A">
            <w:pPr>
              <w:rPr>
                <w:rFonts w:cs="Arial"/>
                <w:szCs w:val="22"/>
                <w:lang w:eastAsia="it-IT"/>
              </w:rPr>
            </w:pPr>
            <w:r w:rsidRPr="0019790A">
              <w:rPr>
                <w:rFonts w:cs="Arial"/>
                <w:szCs w:val="22"/>
              </w:rPr>
              <w:t>С.1.4.3. Впровадження сучасних інформаційно-цифрових технологій управління освітою.</w:t>
            </w:r>
          </w:p>
        </w:tc>
      </w:tr>
      <w:tr w:rsidR="002540E1" w:rsidRPr="0019790A" w14:paraId="35BAF189" w14:textId="77777777" w:rsidTr="00B8248C">
        <w:trPr>
          <w:jc w:val="right"/>
        </w:trPr>
        <w:tc>
          <w:tcPr>
            <w:tcW w:w="3425" w:type="dxa"/>
            <w:vAlign w:val="center"/>
          </w:tcPr>
          <w:p w14:paraId="710B5994" w14:textId="77777777" w:rsidR="002540E1" w:rsidRPr="0019790A" w:rsidRDefault="002540E1" w:rsidP="0019790A">
            <w:pPr>
              <w:rPr>
                <w:rFonts w:cs="Arial"/>
                <w:b/>
                <w:bCs/>
                <w:szCs w:val="22"/>
              </w:rPr>
            </w:pPr>
            <w:r w:rsidRPr="0019790A">
              <w:rPr>
                <w:rFonts w:cs="Arial"/>
                <w:b/>
                <w:bCs/>
                <w:szCs w:val="22"/>
              </w:rPr>
              <w:t>Мета проєкту:</w:t>
            </w:r>
          </w:p>
        </w:tc>
        <w:tc>
          <w:tcPr>
            <w:tcW w:w="6794" w:type="dxa"/>
            <w:gridSpan w:val="6"/>
          </w:tcPr>
          <w:p w14:paraId="5B7868F7" w14:textId="77777777" w:rsidR="002540E1" w:rsidRPr="0019790A" w:rsidRDefault="002540E1" w:rsidP="0019790A">
            <w:pPr>
              <w:widowControl w:val="0"/>
              <w:tabs>
                <w:tab w:val="left" w:pos="1134"/>
              </w:tabs>
              <w:jc w:val="both"/>
              <w:rPr>
                <w:rFonts w:cs="Arial"/>
                <w:szCs w:val="22"/>
                <w:lang w:eastAsia="uk-UA"/>
              </w:rPr>
            </w:pPr>
            <w:r w:rsidRPr="0019790A">
              <w:rPr>
                <w:rFonts w:cs="Arial"/>
                <w:szCs w:val="22"/>
              </w:rPr>
              <w:t xml:space="preserve"> </w:t>
            </w:r>
            <w:r w:rsidRPr="0019790A">
              <w:rPr>
                <w:rFonts w:cs="Arial"/>
                <w:bCs/>
                <w:szCs w:val="22"/>
              </w:rPr>
              <w:t>Підвищення якості надання освітніх послуг</w:t>
            </w:r>
          </w:p>
          <w:p w14:paraId="355FC2A5" w14:textId="77777777" w:rsidR="002540E1" w:rsidRPr="0019790A" w:rsidRDefault="002540E1" w:rsidP="0019790A">
            <w:pPr>
              <w:jc w:val="both"/>
              <w:rPr>
                <w:rFonts w:cs="Arial"/>
                <w:szCs w:val="22"/>
                <w:lang w:eastAsia="it-IT"/>
              </w:rPr>
            </w:pPr>
            <w:r w:rsidRPr="0019790A">
              <w:rPr>
                <w:rFonts w:cs="Arial"/>
                <w:szCs w:val="22"/>
              </w:rPr>
              <w:t>Запровадження в освітній процес закладів освіти інновацій, в тому числі інформаційно-комунікаційних та «Smart» технологій</w:t>
            </w:r>
          </w:p>
        </w:tc>
      </w:tr>
      <w:tr w:rsidR="002540E1" w:rsidRPr="0019790A" w14:paraId="660EA410" w14:textId="77777777" w:rsidTr="00B8248C">
        <w:trPr>
          <w:jc w:val="right"/>
        </w:trPr>
        <w:tc>
          <w:tcPr>
            <w:tcW w:w="3425" w:type="dxa"/>
            <w:vAlign w:val="center"/>
          </w:tcPr>
          <w:p w14:paraId="5FD0D415" w14:textId="77777777" w:rsidR="002540E1" w:rsidRPr="0019790A" w:rsidRDefault="002540E1" w:rsidP="0019790A">
            <w:pPr>
              <w:rPr>
                <w:rFonts w:cs="Arial"/>
                <w:b/>
                <w:bCs/>
                <w:szCs w:val="22"/>
              </w:rPr>
            </w:pPr>
            <w:r w:rsidRPr="0019790A">
              <w:rPr>
                <w:rFonts w:cs="Arial"/>
                <w:b/>
                <w:bCs/>
                <w:szCs w:val="22"/>
              </w:rPr>
              <w:t>Цілі проєкту:</w:t>
            </w:r>
          </w:p>
        </w:tc>
        <w:tc>
          <w:tcPr>
            <w:tcW w:w="6794" w:type="dxa"/>
            <w:gridSpan w:val="6"/>
          </w:tcPr>
          <w:p w14:paraId="6965161F" w14:textId="77777777" w:rsidR="002540E1" w:rsidRPr="0019790A" w:rsidRDefault="002540E1" w:rsidP="0019790A">
            <w:pPr>
              <w:widowControl w:val="0"/>
              <w:tabs>
                <w:tab w:val="left" w:pos="1134"/>
              </w:tabs>
              <w:jc w:val="both"/>
              <w:rPr>
                <w:rFonts w:cs="Arial"/>
                <w:szCs w:val="22"/>
                <w:shd w:val="clear" w:color="auto" w:fill="FFFFFF"/>
              </w:rPr>
            </w:pPr>
            <w:r w:rsidRPr="0019790A">
              <w:rPr>
                <w:rFonts w:cs="Arial"/>
                <w:szCs w:val="22"/>
              </w:rPr>
              <w:t xml:space="preserve"> </w:t>
            </w:r>
            <w:r w:rsidRPr="0019790A">
              <w:rPr>
                <w:rFonts w:cs="Arial"/>
                <w:szCs w:val="22"/>
                <w:lang w:eastAsia="uk-UA"/>
              </w:rPr>
              <w:t>Прискорення цифрової трансформації освіти Жмеринської міської територіальної громади</w:t>
            </w:r>
          </w:p>
        </w:tc>
      </w:tr>
      <w:tr w:rsidR="002540E1" w:rsidRPr="0019790A" w14:paraId="2DA2E68C" w14:textId="77777777" w:rsidTr="00B8248C">
        <w:trPr>
          <w:jc w:val="right"/>
        </w:trPr>
        <w:tc>
          <w:tcPr>
            <w:tcW w:w="3425" w:type="dxa"/>
            <w:vAlign w:val="center"/>
          </w:tcPr>
          <w:p w14:paraId="5AB8DCDE" w14:textId="77777777" w:rsidR="002540E1" w:rsidRPr="0019790A" w:rsidRDefault="002540E1" w:rsidP="0019790A">
            <w:pPr>
              <w:autoSpaceDE w:val="0"/>
              <w:autoSpaceDN w:val="0"/>
              <w:adjustRightInd w:val="0"/>
              <w:rPr>
                <w:rFonts w:cs="Arial"/>
                <w:b/>
                <w:szCs w:val="22"/>
              </w:rPr>
            </w:pPr>
            <w:r w:rsidRPr="0019790A">
              <w:rPr>
                <w:rFonts w:cs="Arial"/>
                <w:b/>
                <w:szCs w:val="22"/>
              </w:rPr>
              <w:t>Територія на яку проєкт матиме вплив:</w:t>
            </w:r>
          </w:p>
        </w:tc>
        <w:tc>
          <w:tcPr>
            <w:tcW w:w="6794" w:type="dxa"/>
            <w:gridSpan w:val="6"/>
          </w:tcPr>
          <w:p w14:paraId="00FE0F70" w14:textId="77777777" w:rsidR="002540E1" w:rsidRPr="0019790A" w:rsidRDefault="002540E1" w:rsidP="0019790A">
            <w:pPr>
              <w:rPr>
                <w:rFonts w:cs="Arial"/>
                <w:szCs w:val="22"/>
                <w:lang w:eastAsia="it-IT"/>
              </w:rPr>
            </w:pPr>
            <w:r w:rsidRPr="0019790A">
              <w:rPr>
                <w:rFonts w:cs="Arial"/>
                <w:szCs w:val="22"/>
                <w:lang w:eastAsia="it-IT"/>
              </w:rPr>
              <w:t xml:space="preserve">Територія Жмеринської міської територіальної громади  </w:t>
            </w:r>
          </w:p>
        </w:tc>
      </w:tr>
      <w:tr w:rsidR="002540E1" w:rsidRPr="0019790A" w14:paraId="2343EC37" w14:textId="77777777" w:rsidTr="00B8248C">
        <w:trPr>
          <w:jc w:val="right"/>
        </w:trPr>
        <w:tc>
          <w:tcPr>
            <w:tcW w:w="3425" w:type="dxa"/>
            <w:vAlign w:val="center"/>
          </w:tcPr>
          <w:p w14:paraId="5D735ECD" w14:textId="77777777" w:rsidR="002540E1" w:rsidRPr="0019790A" w:rsidRDefault="002540E1" w:rsidP="0019790A">
            <w:pPr>
              <w:autoSpaceDE w:val="0"/>
              <w:autoSpaceDN w:val="0"/>
              <w:adjustRightInd w:val="0"/>
              <w:rPr>
                <w:rFonts w:cs="Arial"/>
                <w:b/>
                <w:szCs w:val="22"/>
              </w:rPr>
            </w:pPr>
            <w:r w:rsidRPr="0019790A">
              <w:rPr>
                <w:rFonts w:cs="Arial"/>
                <w:b/>
                <w:szCs w:val="22"/>
              </w:rPr>
              <w:t>Цільові групи проєкту та кількість отримувачів вигоди</w:t>
            </w:r>
          </w:p>
        </w:tc>
        <w:tc>
          <w:tcPr>
            <w:tcW w:w="6794" w:type="dxa"/>
            <w:gridSpan w:val="6"/>
          </w:tcPr>
          <w:p w14:paraId="2E08D0ED" w14:textId="77777777" w:rsidR="002540E1" w:rsidRPr="0019790A" w:rsidRDefault="002540E1" w:rsidP="0019790A">
            <w:pPr>
              <w:pStyle w:val="TableParagraph"/>
              <w:ind w:left="0"/>
              <w:jc w:val="both"/>
              <w:rPr>
                <w:rFonts w:ascii="Arial" w:hAnsi="Arial" w:cs="Arial"/>
              </w:rPr>
            </w:pPr>
            <w:r w:rsidRPr="0019790A">
              <w:rPr>
                <w:rFonts w:ascii="Arial" w:hAnsi="Arial" w:cs="Arial"/>
              </w:rPr>
              <w:t>Здобувачі освіти, педагоги, батьки, жителі громади</w:t>
            </w:r>
          </w:p>
        </w:tc>
      </w:tr>
      <w:tr w:rsidR="002540E1" w:rsidRPr="0019790A" w14:paraId="127A0B6E" w14:textId="77777777" w:rsidTr="00B8248C">
        <w:trPr>
          <w:jc w:val="right"/>
        </w:trPr>
        <w:tc>
          <w:tcPr>
            <w:tcW w:w="3425" w:type="dxa"/>
            <w:shd w:val="clear" w:color="auto" w:fill="FFFFFF"/>
            <w:vAlign w:val="center"/>
          </w:tcPr>
          <w:p w14:paraId="7FC9C4D5" w14:textId="77777777" w:rsidR="002540E1" w:rsidRPr="0019790A" w:rsidRDefault="002540E1" w:rsidP="0019790A">
            <w:pPr>
              <w:rPr>
                <w:rFonts w:cs="Arial"/>
                <w:b/>
                <w:bCs/>
                <w:szCs w:val="22"/>
              </w:rPr>
            </w:pPr>
            <w:r w:rsidRPr="0019790A">
              <w:rPr>
                <w:rFonts w:cs="Arial"/>
                <w:b/>
                <w:bCs/>
                <w:szCs w:val="22"/>
              </w:rPr>
              <w:t>Стислий опис проєкту:</w:t>
            </w:r>
          </w:p>
        </w:tc>
        <w:tc>
          <w:tcPr>
            <w:tcW w:w="6794" w:type="dxa"/>
            <w:gridSpan w:val="6"/>
          </w:tcPr>
          <w:p w14:paraId="7A910AD3" w14:textId="306CF928" w:rsidR="002540E1" w:rsidRPr="0019790A" w:rsidRDefault="002540E1" w:rsidP="0019790A">
            <w:pPr>
              <w:jc w:val="both"/>
              <w:rPr>
                <w:rFonts w:cs="Arial"/>
                <w:szCs w:val="22"/>
                <w:lang w:eastAsia="uk-UA"/>
              </w:rPr>
            </w:pPr>
            <w:r w:rsidRPr="0019790A">
              <w:rPr>
                <w:rFonts w:cs="Arial"/>
                <w:szCs w:val="22"/>
                <w:shd w:val="clear" w:color="auto" w:fill="FFFFFF"/>
              </w:rPr>
              <w:t xml:space="preserve">   </w:t>
            </w:r>
            <w:r w:rsidRPr="0019790A">
              <w:rPr>
                <w:rFonts w:cs="Arial"/>
                <w:szCs w:val="22"/>
              </w:rPr>
              <w:t xml:space="preserve">   </w:t>
            </w:r>
            <w:r w:rsidR="00CD6B99" w:rsidRPr="0019790A">
              <w:rPr>
                <w:rFonts w:cs="Arial"/>
                <w:szCs w:val="22"/>
                <w:bdr w:val="none" w:sz="0" w:space="0" w:color="auto" w:frame="1"/>
              </w:rPr>
              <w:t>Діджиталізація</w:t>
            </w:r>
            <w:r w:rsidRPr="0019790A">
              <w:rPr>
                <w:rFonts w:cs="Arial"/>
                <w:szCs w:val="22"/>
                <w:bdr w:val="none" w:sz="0" w:space="0" w:color="auto" w:frame="1"/>
              </w:rPr>
              <w:t xml:space="preserve"> всіх сфер суспільного життя є актуальним напрямом не лише через воєнну агресію РФ, а й загалом через глобальні тренди сьогодення та загальнодержавну політику щодо вектору цифрової трансформації держави.  </w:t>
            </w:r>
          </w:p>
          <w:p w14:paraId="29592CC7" w14:textId="6A7E8B1E" w:rsidR="002540E1" w:rsidRPr="0019790A" w:rsidRDefault="002540E1" w:rsidP="0019790A">
            <w:pPr>
              <w:jc w:val="both"/>
              <w:rPr>
                <w:rFonts w:cs="Arial"/>
                <w:szCs w:val="22"/>
                <w:shd w:val="clear" w:color="auto" w:fill="FFFFFF"/>
              </w:rPr>
            </w:pPr>
            <w:r w:rsidRPr="0019790A">
              <w:rPr>
                <w:rFonts w:cs="Arial"/>
                <w:szCs w:val="22"/>
                <w:shd w:val="clear" w:color="auto" w:fill="FFFFFF"/>
              </w:rPr>
              <w:t xml:space="preserve">     "Повна" </w:t>
            </w:r>
            <w:r w:rsidR="00CD6B99" w:rsidRPr="0019790A">
              <w:rPr>
                <w:rFonts w:cs="Arial"/>
                <w:szCs w:val="22"/>
                <w:shd w:val="clear" w:color="auto" w:fill="FFFFFF"/>
              </w:rPr>
              <w:t>діджиталізація</w:t>
            </w:r>
            <w:r w:rsidRPr="0019790A">
              <w:rPr>
                <w:rFonts w:cs="Arial"/>
                <w:szCs w:val="22"/>
                <w:shd w:val="clear" w:color="auto" w:fill="FFFFFF"/>
              </w:rPr>
              <w:t xml:space="preserve"> освіти означає повне та всеосяжне використання цифрових технологій в освітньому процесі, від підготовки матеріалів та їх подачі до оцінювання та обміну знаннями. Це передбачає не лише оцифрування матеріалів, а й перегляд освітніх методик та форм навчання, щоб максимально використовувати переваги цифрового середовища </w:t>
            </w:r>
          </w:p>
          <w:p w14:paraId="5D1785F7" w14:textId="77777777" w:rsidR="002540E1" w:rsidRPr="0019790A" w:rsidRDefault="002540E1" w:rsidP="0019790A">
            <w:pPr>
              <w:jc w:val="both"/>
              <w:rPr>
                <w:rFonts w:cs="Arial"/>
                <w:szCs w:val="22"/>
                <w:shd w:val="clear" w:color="auto" w:fill="FFFFFF"/>
              </w:rPr>
            </w:pPr>
            <w:r w:rsidRPr="0019790A">
              <w:rPr>
                <w:rFonts w:cs="Arial"/>
                <w:szCs w:val="22"/>
                <w:shd w:val="clear" w:color="auto" w:fill="FFFFFF"/>
              </w:rPr>
              <w:t xml:space="preserve">   Реалізація проєкту забезпечить можливість використання цифрових технологій для всіх аспектів навчання, від онлайн-курсів та віртуальних лабораторій до автоматизованої оцінки та індивідуалізованих планів.  </w:t>
            </w:r>
          </w:p>
          <w:p w14:paraId="6A7B2CFE" w14:textId="77777777" w:rsidR="002540E1" w:rsidRPr="0019790A" w:rsidRDefault="002540E1" w:rsidP="0019790A">
            <w:pPr>
              <w:jc w:val="both"/>
              <w:rPr>
                <w:rFonts w:cs="Arial"/>
                <w:szCs w:val="22"/>
                <w:lang w:eastAsia="it-IT"/>
              </w:rPr>
            </w:pPr>
            <w:r w:rsidRPr="0019790A">
              <w:rPr>
                <w:rFonts w:cs="Arial"/>
                <w:szCs w:val="22"/>
                <w:lang w:eastAsia="uk-UA"/>
              </w:rPr>
              <w:t xml:space="preserve">     Проєкт матиме значний соціальний ефект, адже завдяки йому всі учасники освітнього процесу матимуть рівний доступ до якісної освіти та рівні можливості для кожного.</w:t>
            </w:r>
          </w:p>
        </w:tc>
      </w:tr>
      <w:tr w:rsidR="002540E1" w:rsidRPr="0019790A" w14:paraId="1F6D2E34" w14:textId="77777777" w:rsidTr="00B8248C">
        <w:trPr>
          <w:jc w:val="right"/>
        </w:trPr>
        <w:tc>
          <w:tcPr>
            <w:tcW w:w="3425" w:type="dxa"/>
            <w:shd w:val="clear" w:color="auto" w:fill="FFFFFF"/>
            <w:vAlign w:val="center"/>
          </w:tcPr>
          <w:p w14:paraId="6F1537CD" w14:textId="77777777" w:rsidR="002540E1" w:rsidRPr="0019790A" w:rsidRDefault="002540E1" w:rsidP="0019790A">
            <w:pPr>
              <w:rPr>
                <w:rFonts w:cs="Arial"/>
                <w:b/>
                <w:bCs/>
                <w:szCs w:val="22"/>
              </w:rPr>
            </w:pPr>
            <w:r w:rsidRPr="0019790A">
              <w:rPr>
                <w:rFonts w:cs="Arial"/>
                <w:b/>
                <w:bCs/>
                <w:szCs w:val="22"/>
              </w:rPr>
              <w:t>Основні заходи проєкту:</w:t>
            </w:r>
          </w:p>
        </w:tc>
        <w:tc>
          <w:tcPr>
            <w:tcW w:w="6794" w:type="dxa"/>
            <w:gridSpan w:val="6"/>
            <w:vAlign w:val="center"/>
          </w:tcPr>
          <w:p w14:paraId="1C0AA032" w14:textId="77777777" w:rsidR="002540E1" w:rsidRPr="0019790A" w:rsidRDefault="002540E1" w:rsidP="0019790A">
            <w:pPr>
              <w:widowControl w:val="0"/>
              <w:tabs>
                <w:tab w:val="left" w:pos="1134"/>
              </w:tabs>
              <w:jc w:val="both"/>
              <w:rPr>
                <w:rFonts w:cs="Arial"/>
                <w:szCs w:val="22"/>
                <w:shd w:val="clear" w:color="auto" w:fill="FFFFFF"/>
                <w:lang w:eastAsia="uk-UA"/>
              </w:rPr>
            </w:pPr>
            <w:r w:rsidRPr="0019790A">
              <w:rPr>
                <w:rFonts w:cs="Arial"/>
                <w:szCs w:val="22"/>
                <w:shd w:val="clear" w:color="auto" w:fill="FFFFFF"/>
                <w:lang w:eastAsia="uk-UA"/>
              </w:rPr>
              <w:t>Організація доступу до інтернету для мережі закладу освіти</w:t>
            </w:r>
          </w:p>
          <w:p w14:paraId="5EB06738" w14:textId="77777777" w:rsidR="002540E1" w:rsidRPr="0019790A" w:rsidRDefault="002540E1" w:rsidP="0019790A">
            <w:pPr>
              <w:widowControl w:val="0"/>
              <w:tabs>
                <w:tab w:val="left" w:pos="1134"/>
              </w:tabs>
              <w:jc w:val="both"/>
              <w:rPr>
                <w:rFonts w:cs="Arial"/>
                <w:szCs w:val="22"/>
                <w:shd w:val="clear" w:color="auto" w:fill="FFFFFF"/>
              </w:rPr>
            </w:pPr>
            <w:r w:rsidRPr="0019790A">
              <w:rPr>
                <w:rFonts w:cs="Arial"/>
                <w:szCs w:val="22"/>
                <w:shd w:val="clear" w:color="auto" w:fill="FFFFFF"/>
              </w:rPr>
              <w:t xml:space="preserve">Організації доступу до мережі Інтернет з усіх наявних ПК  </w:t>
            </w:r>
          </w:p>
          <w:p w14:paraId="3074AD01" w14:textId="77777777" w:rsidR="002540E1" w:rsidRPr="0019790A" w:rsidRDefault="002540E1" w:rsidP="0019790A">
            <w:pPr>
              <w:widowControl w:val="0"/>
              <w:tabs>
                <w:tab w:val="left" w:pos="1134"/>
              </w:tabs>
              <w:jc w:val="both"/>
              <w:rPr>
                <w:rFonts w:cs="Arial"/>
                <w:szCs w:val="22"/>
                <w:lang w:eastAsia="uk-UA"/>
              </w:rPr>
            </w:pPr>
            <w:r w:rsidRPr="0019790A">
              <w:rPr>
                <w:rFonts w:cs="Arial"/>
                <w:szCs w:val="22"/>
                <w:shd w:val="clear" w:color="auto" w:fill="FFFFFF"/>
                <w:lang w:eastAsia="uk-UA"/>
              </w:rPr>
              <w:t>Модернізація комп’</w:t>
            </w:r>
            <w:r w:rsidRPr="0019790A">
              <w:rPr>
                <w:rFonts w:cs="Arial"/>
                <w:szCs w:val="22"/>
                <w:lang w:eastAsia="uk-UA"/>
              </w:rPr>
              <w:t>ютерного та мультимедійного обладнання</w:t>
            </w:r>
          </w:p>
          <w:p w14:paraId="071DDB27" w14:textId="77777777" w:rsidR="002540E1" w:rsidRPr="0019790A" w:rsidRDefault="002540E1" w:rsidP="0019790A">
            <w:pPr>
              <w:widowControl w:val="0"/>
              <w:tabs>
                <w:tab w:val="left" w:pos="1134"/>
              </w:tabs>
              <w:jc w:val="both"/>
              <w:rPr>
                <w:rFonts w:cs="Arial"/>
                <w:szCs w:val="22"/>
                <w:lang w:eastAsia="uk-UA"/>
              </w:rPr>
            </w:pPr>
            <w:r w:rsidRPr="0019790A">
              <w:rPr>
                <w:rFonts w:cs="Arial"/>
                <w:szCs w:val="22"/>
                <w:lang w:eastAsia="uk-UA"/>
              </w:rPr>
              <w:t>Підвищення цифрової компетентності педагогічних працівників</w:t>
            </w:r>
          </w:p>
        </w:tc>
      </w:tr>
      <w:tr w:rsidR="002540E1" w:rsidRPr="0019790A" w14:paraId="5537076D" w14:textId="77777777" w:rsidTr="00B8248C">
        <w:trPr>
          <w:jc w:val="right"/>
        </w:trPr>
        <w:tc>
          <w:tcPr>
            <w:tcW w:w="3425" w:type="dxa"/>
            <w:shd w:val="clear" w:color="auto" w:fill="FFFFFF"/>
            <w:vAlign w:val="center"/>
          </w:tcPr>
          <w:p w14:paraId="3A923BDC" w14:textId="77777777" w:rsidR="002540E1" w:rsidRPr="0019790A" w:rsidRDefault="002540E1" w:rsidP="0019790A">
            <w:pPr>
              <w:rPr>
                <w:rFonts w:cs="Arial"/>
                <w:b/>
                <w:bCs/>
                <w:szCs w:val="22"/>
              </w:rPr>
            </w:pPr>
            <w:r w:rsidRPr="0019790A">
              <w:rPr>
                <w:rFonts w:cs="Arial"/>
                <w:b/>
                <w:bCs/>
                <w:szCs w:val="22"/>
              </w:rPr>
              <w:t>Індикатори (показники) результативності:</w:t>
            </w:r>
          </w:p>
        </w:tc>
        <w:tc>
          <w:tcPr>
            <w:tcW w:w="6794" w:type="dxa"/>
            <w:gridSpan w:val="6"/>
            <w:vAlign w:val="center"/>
          </w:tcPr>
          <w:p w14:paraId="170F3EE4" w14:textId="77777777" w:rsidR="002540E1" w:rsidRPr="0019790A" w:rsidRDefault="002540E1" w:rsidP="0019790A">
            <w:pPr>
              <w:widowControl w:val="0"/>
              <w:tabs>
                <w:tab w:val="left" w:pos="1134"/>
              </w:tabs>
              <w:jc w:val="both"/>
              <w:rPr>
                <w:rFonts w:cs="Arial"/>
                <w:szCs w:val="22"/>
              </w:rPr>
            </w:pPr>
            <w:r w:rsidRPr="0019790A">
              <w:rPr>
                <w:rFonts w:cs="Arial"/>
                <w:szCs w:val="22"/>
              </w:rPr>
              <w:t>Створено сучасний освітній простір для організації різних форм навчання.</w:t>
            </w:r>
          </w:p>
          <w:p w14:paraId="3EEC6DBF" w14:textId="77777777" w:rsidR="002540E1" w:rsidRPr="0019790A" w:rsidRDefault="002540E1" w:rsidP="0019790A">
            <w:pPr>
              <w:widowControl w:val="0"/>
              <w:tabs>
                <w:tab w:val="left" w:pos="1134"/>
              </w:tabs>
              <w:jc w:val="both"/>
              <w:rPr>
                <w:rFonts w:cs="Arial"/>
                <w:szCs w:val="22"/>
                <w:shd w:val="clear" w:color="auto" w:fill="FFFFFF"/>
              </w:rPr>
            </w:pPr>
            <w:r w:rsidRPr="0019790A">
              <w:rPr>
                <w:rFonts w:cs="Arial"/>
                <w:szCs w:val="22"/>
                <w:shd w:val="clear" w:color="auto" w:fill="FFFFFF"/>
              </w:rPr>
              <w:t>Організовано доступ до мережі Інтернет з усіх наявних ПК  з одночасною можливістю фільтрації шкідливого контенту та "справедливим" поділом одного каналу серед значної кількості користувачів.</w:t>
            </w:r>
          </w:p>
          <w:p w14:paraId="0F3B05B7" w14:textId="77777777" w:rsidR="002540E1" w:rsidRPr="0019790A" w:rsidRDefault="002540E1" w:rsidP="0019790A">
            <w:pPr>
              <w:widowControl w:val="0"/>
              <w:tabs>
                <w:tab w:val="left" w:pos="1134"/>
              </w:tabs>
              <w:jc w:val="both"/>
              <w:rPr>
                <w:rFonts w:cs="Arial"/>
                <w:szCs w:val="22"/>
              </w:rPr>
            </w:pPr>
            <w:r w:rsidRPr="0019790A">
              <w:rPr>
                <w:rFonts w:cs="Arial"/>
                <w:szCs w:val="22"/>
              </w:rPr>
              <w:t>В закладах освіти ефективно використовуються технології штучного інтелекту.</w:t>
            </w:r>
          </w:p>
          <w:p w14:paraId="66570256" w14:textId="77777777" w:rsidR="002540E1" w:rsidRPr="0019790A" w:rsidRDefault="002540E1" w:rsidP="0019790A">
            <w:pPr>
              <w:widowControl w:val="0"/>
              <w:tabs>
                <w:tab w:val="left" w:pos="1134"/>
              </w:tabs>
              <w:jc w:val="both"/>
              <w:rPr>
                <w:rFonts w:cs="Arial"/>
                <w:szCs w:val="22"/>
              </w:rPr>
            </w:pPr>
            <w:r w:rsidRPr="0019790A">
              <w:rPr>
                <w:rFonts w:cs="Arial"/>
                <w:szCs w:val="22"/>
              </w:rPr>
              <w:t>Облаштовано комп’ютерні класи з ліцензованим програмовим забезпеченням</w:t>
            </w:r>
          </w:p>
          <w:p w14:paraId="33019AAC" w14:textId="77777777" w:rsidR="002540E1" w:rsidRPr="0019790A" w:rsidRDefault="002540E1" w:rsidP="0019790A">
            <w:pPr>
              <w:widowControl w:val="0"/>
              <w:tabs>
                <w:tab w:val="left" w:pos="1134"/>
              </w:tabs>
              <w:jc w:val="both"/>
              <w:rPr>
                <w:rFonts w:cs="Arial"/>
                <w:szCs w:val="22"/>
              </w:rPr>
            </w:pPr>
            <w:r w:rsidRPr="0019790A">
              <w:rPr>
                <w:rFonts w:eastAsia="+mn-ea" w:cs="Arial"/>
                <w:bCs/>
                <w:kern w:val="24"/>
                <w:szCs w:val="22"/>
              </w:rPr>
              <w:t xml:space="preserve">Підвищено рівень </w:t>
            </w:r>
            <w:r w:rsidRPr="0019790A">
              <w:rPr>
                <w:rFonts w:cs="Arial"/>
                <w:szCs w:val="22"/>
              </w:rPr>
              <w:t>викладання дисциплін з використанням комп’ютерних технологій на 50 %.</w:t>
            </w:r>
          </w:p>
          <w:p w14:paraId="5F9794DF" w14:textId="77777777" w:rsidR="002540E1" w:rsidRPr="0019790A" w:rsidRDefault="002540E1" w:rsidP="0019790A">
            <w:pPr>
              <w:widowControl w:val="0"/>
              <w:tabs>
                <w:tab w:val="left" w:pos="1134"/>
              </w:tabs>
              <w:jc w:val="both"/>
              <w:rPr>
                <w:rFonts w:cs="Arial"/>
                <w:szCs w:val="22"/>
                <w:shd w:val="clear" w:color="auto" w:fill="FFFFFF"/>
              </w:rPr>
            </w:pPr>
            <w:r w:rsidRPr="0019790A">
              <w:rPr>
                <w:rFonts w:cs="Arial"/>
                <w:szCs w:val="22"/>
                <w:shd w:val="clear" w:color="auto" w:fill="FFFFFF"/>
              </w:rPr>
              <w:t>Підвищено рівень цифрових навичок педагогічних працівників.</w:t>
            </w:r>
          </w:p>
        </w:tc>
      </w:tr>
      <w:tr w:rsidR="002540E1" w:rsidRPr="0019790A" w14:paraId="442EC401" w14:textId="77777777" w:rsidTr="00B8248C">
        <w:trPr>
          <w:jc w:val="right"/>
        </w:trPr>
        <w:tc>
          <w:tcPr>
            <w:tcW w:w="3425" w:type="dxa"/>
            <w:shd w:val="clear" w:color="auto" w:fill="FFFFFF"/>
            <w:vAlign w:val="center"/>
          </w:tcPr>
          <w:p w14:paraId="3B24C753" w14:textId="77777777" w:rsidR="002540E1" w:rsidRPr="0019790A" w:rsidRDefault="002540E1" w:rsidP="0019790A">
            <w:pPr>
              <w:rPr>
                <w:rFonts w:cs="Arial"/>
                <w:b/>
                <w:szCs w:val="22"/>
              </w:rPr>
            </w:pPr>
            <w:r w:rsidRPr="0019790A">
              <w:rPr>
                <w:rFonts w:cs="Arial"/>
                <w:b/>
                <w:szCs w:val="22"/>
              </w:rPr>
              <w:t xml:space="preserve">Період здійснення: </w:t>
            </w:r>
          </w:p>
        </w:tc>
        <w:tc>
          <w:tcPr>
            <w:tcW w:w="6794" w:type="dxa"/>
            <w:gridSpan w:val="6"/>
            <w:vAlign w:val="center"/>
          </w:tcPr>
          <w:p w14:paraId="0CFF961E" w14:textId="77777777" w:rsidR="002540E1" w:rsidRPr="0019790A" w:rsidRDefault="002540E1" w:rsidP="0019790A">
            <w:pPr>
              <w:rPr>
                <w:rFonts w:cs="Arial"/>
                <w:szCs w:val="22"/>
                <w:lang w:eastAsia="it-IT"/>
              </w:rPr>
            </w:pPr>
            <w:r w:rsidRPr="0019790A">
              <w:rPr>
                <w:rFonts w:cs="Arial"/>
                <w:b/>
                <w:szCs w:val="22"/>
              </w:rPr>
              <w:t>2025 – 2028 роки:</w:t>
            </w:r>
          </w:p>
        </w:tc>
      </w:tr>
      <w:tr w:rsidR="002540E1" w:rsidRPr="0019790A" w14:paraId="3C3D3F22" w14:textId="77777777" w:rsidTr="00B8248C">
        <w:trPr>
          <w:jc w:val="right"/>
        </w:trPr>
        <w:tc>
          <w:tcPr>
            <w:tcW w:w="3425" w:type="dxa"/>
            <w:vMerge w:val="restart"/>
            <w:shd w:val="clear" w:color="auto" w:fill="FFFFFF"/>
            <w:vAlign w:val="center"/>
          </w:tcPr>
          <w:p w14:paraId="512242AA" w14:textId="77777777" w:rsidR="002540E1" w:rsidRPr="0019790A" w:rsidRDefault="002540E1" w:rsidP="0019790A">
            <w:pPr>
              <w:rPr>
                <w:rFonts w:cs="Arial"/>
                <w:b/>
                <w:bCs/>
                <w:szCs w:val="22"/>
              </w:rPr>
            </w:pPr>
            <w:r w:rsidRPr="0019790A">
              <w:rPr>
                <w:rFonts w:cs="Arial"/>
                <w:b/>
                <w:bCs/>
                <w:szCs w:val="22"/>
              </w:rPr>
              <w:t>Орієнтовна вартість проєкту, тис. грн., в тому числі:</w:t>
            </w:r>
          </w:p>
        </w:tc>
        <w:tc>
          <w:tcPr>
            <w:tcW w:w="1254" w:type="dxa"/>
            <w:shd w:val="clear" w:color="auto" w:fill="E6E6E6"/>
            <w:vAlign w:val="center"/>
          </w:tcPr>
          <w:p w14:paraId="2A64479B" w14:textId="77777777" w:rsidR="002540E1" w:rsidRPr="0019790A" w:rsidRDefault="002540E1" w:rsidP="0019790A">
            <w:pPr>
              <w:jc w:val="center"/>
              <w:rPr>
                <w:rFonts w:cs="Arial"/>
                <w:b/>
                <w:szCs w:val="22"/>
                <w:lang w:eastAsia="it-IT"/>
              </w:rPr>
            </w:pPr>
            <w:r w:rsidRPr="0019790A">
              <w:rPr>
                <w:rFonts w:cs="Arial"/>
                <w:b/>
                <w:szCs w:val="22"/>
                <w:lang w:eastAsia="it-IT"/>
              </w:rPr>
              <w:t>2025</w:t>
            </w:r>
          </w:p>
        </w:tc>
        <w:tc>
          <w:tcPr>
            <w:tcW w:w="1275" w:type="dxa"/>
            <w:gridSpan w:val="2"/>
            <w:shd w:val="clear" w:color="auto" w:fill="E6E6E6"/>
            <w:vAlign w:val="center"/>
          </w:tcPr>
          <w:p w14:paraId="641BC299" w14:textId="77777777" w:rsidR="002540E1" w:rsidRPr="0019790A" w:rsidRDefault="002540E1" w:rsidP="0019790A">
            <w:pPr>
              <w:jc w:val="center"/>
              <w:rPr>
                <w:rFonts w:cs="Arial"/>
                <w:b/>
                <w:szCs w:val="22"/>
                <w:lang w:eastAsia="it-IT"/>
              </w:rPr>
            </w:pPr>
            <w:r w:rsidRPr="0019790A">
              <w:rPr>
                <w:rFonts w:cs="Arial"/>
                <w:b/>
                <w:szCs w:val="22"/>
                <w:lang w:eastAsia="it-IT"/>
              </w:rPr>
              <w:t>2026</w:t>
            </w:r>
          </w:p>
        </w:tc>
        <w:tc>
          <w:tcPr>
            <w:tcW w:w="1418" w:type="dxa"/>
            <w:tcBorders>
              <w:bottom w:val="single" w:sz="4" w:space="0" w:color="auto"/>
            </w:tcBorders>
            <w:shd w:val="clear" w:color="auto" w:fill="E6E6E6"/>
            <w:vAlign w:val="center"/>
          </w:tcPr>
          <w:p w14:paraId="180557C1" w14:textId="77777777" w:rsidR="002540E1" w:rsidRPr="0019790A" w:rsidRDefault="002540E1" w:rsidP="0019790A">
            <w:pPr>
              <w:jc w:val="center"/>
              <w:rPr>
                <w:rFonts w:cs="Arial"/>
                <w:b/>
                <w:szCs w:val="22"/>
                <w:lang w:eastAsia="it-IT"/>
              </w:rPr>
            </w:pPr>
            <w:r w:rsidRPr="0019790A">
              <w:rPr>
                <w:rFonts w:cs="Arial"/>
                <w:b/>
                <w:szCs w:val="22"/>
                <w:lang w:eastAsia="it-IT"/>
              </w:rPr>
              <w:t>2027</w:t>
            </w:r>
          </w:p>
        </w:tc>
        <w:tc>
          <w:tcPr>
            <w:tcW w:w="1276" w:type="dxa"/>
            <w:shd w:val="clear" w:color="auto" w:fill="E6E6E6"/>
            <w:vAlign w:val="center"/>
          </w:tcPr>
          <w:p w14:paraId="2004375F" w14:textId="77777777" w:rsidR="002540E1" w:rsidRPr="0019790A" w:rsidRDefault="002540E1" w:rsidP="0019790A">
            <w:pPr>
              <w:jc w:val="center"/>
              <w:rPr>
                <w:rFonts w:cs="Arial"/>
                <w:b/>
                <w:szCs w:val="22"/>
                <w:lang w:eastAsia="it-IT"/>
              </w:rPr>
            </w:pPr>
            <w:r w:rsidRPr="0019790A">
              <w:rPr>
                <w:rFonts w:cs="Arial"/>
                <w:b/>
                <w:szCs w:val="22"/>
                <w:lang w:eastAsia="it-IT"/>
              </w:rPr>
              <w:t>2028</w:t>
            </w:r>
          </w:p>
        </w:tc>
        <w:tc>
          <w:tcPr>
            <w:tcW w:w="1571" w:type="dxa"/>
            <w:shd w:val="clear" w:color="auto" w:fill="E6E6E6"/>
            <w:vAlign w:val="center"/>
          </w:tcPr>
          <w:p w14:paraId="5CCCEA16" w14:textId="77777777" w:rsidR="002540E1" w:rsidRPr="0019790A" w:rsidRDefault="002540E1" w:rsidP="0019790A">
            <w:pPr>
              <w:jc w:val="center"/>
              <w:rPr>
                <w:rFonts w:cs="Arial"/>
                <w:b/>
                <w:szCs w:val="22"/>
                <w:lang w:eastAsia="it-IT"/>
              </w:rPr>
            </w:pPr>
            <w:r w:rsidRPr="0019790A">
              <w:rPr>
                <w:rFonts w:cs="Arial"/>
                <w:b/>
                <w:szCs w:val="22"/>
                <w:lang w:eastAsia="it-IT"/>
              </w:rPr>
              <w:t>РАЗОМ</w:t>
            </w:r>
          </w:p>
        </w:tc>
      </w:tr>
      <w:tr w:rsidR="002540E1" w:rsidRPr="0019790A" w14:paraId="61CA3FF6" w14:textId="77777777" w:rsidTr="00CD6B99">
        <w:trPr>
          <w:jc w:val="right"/>
        </w:trPr>
        <w:tc>
          <w:tcPr>
            <w:tcW w:w="3425" w:type="dxa"/>
            <w:vMerge/>
            <w:shd w:val="clear" w:color="auto" w:fill="FFFFFF"/>
            <w:vAlign w:val="center"/>
          </w:tcPr>
          <w:p w14:paraId="14ABDFD5" w14:textId="77777777" w:rsidR="002540E1" w:rsidRPr="0019790A" w:rsidRDefault="002540E1" w:rsidP="0019790A">
            <w:pPr>
              <w:rPr>
                <w:rFonts w:cs="Arial"/>
                <w:b/>
                <w:bCs/>
                <w:szCs w:val="22"/>
              </w:rPr>
            </w:pPr>
          </w:p>
        </w:tc>
        <w:tc>
          <w:tcPr>
            <w:tcW w:w="1254" w:type="dxa"/>
            <w:vAlign w:val="center"/>
          </w:tcPr>
          <w:p w14:paraId="20B6B81C" w14:textId="77777777" w:rsidR="002540E1" w:rsidRPr="0019790A" w:rsidRDefault="002540E1" w:rsidP="00CD6B99">
            <w:pPr>
              <w:jc w:val="center"/>
              <w:rPr>
                <w:rFonts w:cs="Arial"/>
                <w:b/>
                <w:szCs w:val="22"/>
                <w:lang w:eastAsia="it-IT"/>
              </w:rPr>
            </w:pPr>
            <w:r w:rsidRPr="0019790A">
              <w:rPr>
                <w:rFonts w:cs="Arial"/>
                <w:b/>
                <w:szCs w:val="22"/>
                <w:lang w:eastAsia="it-IT"/>
              </w:rPr>
              <w:t>800,00</w:t>
            </w:r>
          </w:p>
        </w:tc>
        <w:tc>
          <w:tcPr>
            <w:tcW w:w="1275" w:type="dxa"/>
            <w:gridSpan w:val="2"/>
            <w:shd w:val="clear" w:color="auto" w:fill="FFFFFF"/>
            <w:vAlign w:val="center"/>
          </w:tcPr>
          <w:p w14:paraId="1CC1D9D3" w14:textId="3A252258" w:rsidR="002540E1" w:rsidRPr="0019790A" w:rsidRDefault="002540E1" w:rsidP="00CD6B99">
            <w:pPr>
              <w:jc w:val="center"/>
              <w:rPr>
                <w:rFonts w:cs="Arial"/>
                <w:b/>
                <w:szCs w:val="22"/>
                <w:lang w:eastAsia="it-IT"/>
              </w:rPr>
            </w:pPr>
            <w:r w:rsidRPr="0019790A">
              <w:rPr>
                <w:rFonts w:cs="Arial"/>
                <w:b/>
                <w:szCs w:val="22"/>
                <w:lang w:eastAsia="it-IT"/>
              </w:rPr>
              <w:t>800, 00</w:t>
            </w:r>
          </w:p>
        </w:tc>
        <w:tc>
          <w:tcPr>
            <w:tcW w:w="1418" w:type="dxa"/>
            <w:shd w:val="clear" w:color="auto" w:fill="auto"/>
            <w:vAlign w:val="center"/>
          </w:tcPr>
          <w:p w14:paraId="53CE2A59" w14:textId="3DA35FC3" w:rsidR="002540E1" w:rsidRPr="0019790A" w:rsidRDefault="002540E1" w:rsidP="00CD6B99">
            <w:pPr>
              <w:jc w:val="center"/>
              <w:rPr>
                <w:rFonts w:cs="Arial"/>
                <w:b/>
                <w:szCs w:val="22"/>
                <w:lang w:eastAsia="it-IT"/>
              </w:rPr>
            </w:pPr>
            <w:r w:rsidRPr="0019790A">
              <w:rPr>
                <w:rFonts w:cs="Arial"/>
                <w:b/>
                <w:szCs w:val="22"/>
                <w:lang w:eastAsia="it-IT"/>
              </w:rPr>
              <w:t>800,00</w:t>
            </w:r>
          </w:p>
        </w:tc>
        <w:tc>
          <w:tcPr>
            <w:tcW w:w="1276" w:type="dxa"/>
            <w:shd w:val="clear" w:color="auto" w:fill="FFFFFF"/>
            <w:vAlign w:val="center"/>
          </w:tcPr>
          <w:p w14:paraId="273B891A" w14:textId="3F9D94DB" w:rsidR="002540E1" w:rsidRPr="0019790A" w:rsidRDefault="002540E1" w:rsidP="00CD6B99">
            <w:pPr>
              <w:jc w:val="center"/>
              <w:rPr>
                <w:rFonts w:cs="Arial"/>
                <w:b/>
                <w:szCs w:val="22"/>
                <w:lang w:eastAsia="it-IT"/>
              </w:rPr>
            </w:pPr>
            <w:r w:rsidRPr="0019790A">
              <w:rPr>
                <w:rFonts w:cs="Arial"/>
                <w:b/>
                <w:szCs w:val="22"/>
                <w:lang w:eastAsia="it-IT"/>
              </w:rPr>
              <w:t>800,00</w:t>
            </w:r>
          </w:p>
        </w:tc>
        <w:tc>
          <w:tcPr>
            <w:tcW w:w="1571" w:type="dxa"/>
            <w:shd w:val="clear" w:color="auto" w:fill="FFFFFF"/>
            <w:vAlign w:val="center"/>
          </w:tcPr>
          <w:p w14:paraId="32076C15" w14:textId="1B64674F" w:rsidR="002540E1" w:rsidRPr="0019790A" w:rsidRDefault="002540E1" w:rsidP="00CD6B99">
            <w:pPr>
              <w:jc w:val="center"/>
              <w:rPr>
                <w:rFonts w:cs="Arial"/>
                <w:b/>
                <w:bCs/>
                <w:szCs w:val="22"/>
                <w:lang w:eastAsia="it-IT"/>
              </w:rPr>
            </w:pPr>
            <w:r w:rsidRPr="0019790A">
              <w:rPr>
                <w:rFonts w:cs="Arial"/>
                <w:b/>
                <w:bCs/>
                <w:szCs w:val="22"/>
              </w:rPr>
              <w:t>3 200,00</w:t>
            </w:r>
          </w:p>
        </w:tc>
      </w:tr>
      <w:tr w:rsidR="002540E1" w:rsidRPr="0019790A" w14:paraId="2760F11D" w14:textId="77777777" w:rsidTr="00CD6B99">
        <w:trPr>
          <w:trHeight w:val="276"/>
          <w:jc w:val="right"/>
        </w:trPr>
        <w:tc>
          <w:tcPr>
            <w:tcW w:w="3425" w:type="dxa"/>
            <w:shd w:val="clear" w:color="auto" w:fill="FFFFFF"/>
            <w:vAlign w:val="center"/>
          </w:tcPr>
          <w:p w14:paraId="2704B482" w14:textId="77777777" w:rsidR="002540E1" w:rsidRPr="0019790A" w:rsidRDefault="002540E1" w:rsidP="0019790A">
            <w:pPr>
              <w:rPr>
                <w:rFonts w:cs="Arial"/>
                <w:b/>
                <w:bCs/>
                <w:szCs w:val="22"/>
              </w:rPr>
            </w:pPr>
            <w:r w:rsidRPr="0019790A">
              <w:rPr>
                <w:rFonts w:cs="Arial"/>
                <w:b/>
                <w:bCs/>
                <w:szCs w:val="22"/>
              </w:rPr>
              <w:t>по джерелах фінансування:</w:t>
            </w:r>
          </w:p>
        </w:tc>
        <w:tc>
          <w:tcPr>
            <w:tcW w:w="6794" w:type="dxa"/>
            <w:gridSpan w:val="6"/>
            <w:vAlign w:val="center"/>
          </w:tcPr>
          <w:p w14:paraId="7A8DA787" w14:textId="77777777" w:rsidR="002540E1" w:rsidRPr="0019790A" w:rsidRDefault="002540E1" w:rsidP="00CD6B99">
            <w:pPr>
              <w:jc w:val="center"/>
              <w:rPr>
                <w:rFonts w:cs="Arial"/>
                <w:szCs w:val="22"/>
                <w:lang w:eastAsia="it-IT"/>
              </w:rPr>
            </w:pPr>
          </w:p>
        </w:tc>
      </w:tr>
      <w:tr w:rsidR="002540E1" w:rsidRPr="0019790A" w14:paraId="36517393" w14:textId="77777777" w:rsidTr="00CD6B99">
        <w:trPr>
          <w:trHeight w:val="240"/>
          <w:jc w:val="right"/>
        </w:trPr>
        <w:tc>
          <w:tcPr>
            <w:tcW w:w="3425" w:type="dxa"/>
            <w:shd w:val="clear" w:color="auto" w:fill="FFFFFF"/>
            <w:vAlign w:val="center"/>
          </w:tcPr>
          <w:p w14:paraId="4D0E9DCE" w14:textId="77777777" w:rsidR="002540E1" w:rsidRPr="0019790A" w:rsidRDefault="002540E1" w:rsidP="0019790A">
            <w:pPr>
              <w:rPr>
                <w:rFonts w:cs="Arial"/>
                <w:b/>
                <w:bCs/>
                <w:szCs w:val="22"/>
              </w:rPr>
            </w:pPr>
            <w:r w:rsidRPr="0019790A">
              <w:rPr>
                <w:rFonts w:cs="Arial"/>
                <w:szCs w:val="22"/>
              </w:rPr>
              <w:t>- державний бюджет</w:t>
            </w:r>
          </w:p>
        </w:tc>
        <w:tc>
          <w:tcPr>
            <w:tcW w:w="1358" w:type="dxa"/>
            <w:gridSpan w:val="2"/>
            <w:vAlign w:val="center"/>
          </w:tcPr>
          <w:p w14:paraId="44C8D17C" w14:textId="75DBFBB1" w:rsidR="002540E1" w:rsidRPr="00CD6B99" w:rsidRDefault="002540E1" w:rsidP="00CD6B99">
            <w:pPr>
              <w:jc w:val="center"/>
              <w:rPr>
                <w:rFonts w:cs="Arial"/>
                <w:szCs w:val="22"/>
                <w:lang w:eastAsia="it-IT"/>
              </w:rPr>
            </w:pPr>
            <w:r w:rsidRPr="00CD6B99">
              <w:rPr>
                <w:rFonts w:cs="Arial"/>
                <w:szCs w:val="22"/>
                <w:lang w:eastAsia="it-IT"/>
              </w:rPr>
              <w:t>500,00</w:t>
            </w:r>
          </w:p>
        </w:tc>
        <w:tc>
          <w:tcPr>
            <w:tcW w:w="1171" w:type="dxa"/>
            <w:vAlign w:val="center"/>
          </w:tcPr>
          <w:p w14:paraId="6719603B" w14:textId="1353A5C5" w:rsidR="002540E1" w:rsidRPr="00CD6B99" w:rsidRDefault="002540E1" w:rsidP="00CD6B99">
            <w:pPr>
              <w:jc w:val="center"/>
              <w:rPr>
                <w:rFonts w:cs="Arial"/>
                <w:szCs w:val="22"/>
                <w:lang w:eastAsia="it-IT"/>
              </w:rPr>
            </w:pPr>
            <w:r w:rsidRPr="00CD6B99">
              <w:rPr>
                <w:rFonts w:cs="Arial"/>
                <w:szCs w:val="22"/>
                <w:lang w:eastAsia="it-IT"/>
              </w:rPr>
              <w:t>500, 00</w:t>
            </w:r>
          </w:p>
        </w:tc>
        <w:tc>
          <w:tcPr>
            <w:tcW w:w="1418" w:type="dxa"/>
            <w:vAlign w:val="center"/>
          </w:tcPr>
          <w:p w14:paraId="538D9DA3" w14:textId="0B0B42C6" w:rsidR="002540E1" w:rsidRPr="00CD6B99" w:rsidRDefault="002540E1" w:rsidP="00CD6B99">
            <w:pPr>
              <w:jc w:val="center"/>
              <w:rPr>
                <w:rFonts w:cs="Arial"/>
                <w:szCs w:val="22"/>
                <w:lang w:eastAsia="it-IT"/>
              </w:rPr>
            </w:pPr>
            <w:r w:rsidRPr="00CD6B99">
              <w:rPr>
                <w:rFonts w:cs="Arial"/>
                <w:szCs w:val="22"/>
                <w:lang w:eastAsia="it-IT"/>
              </w:rPr>
              <w:t>500,00</w:t>
            </w:r>
          </w:p>
        </w:tc>
        <w:tc>
          <w:tcPr>
            <w:tcW w:w="1276" w:type="dxa"/>
            <w:vAlign w:val="center"/>
          </w:tcPr>
          <w:p w14:paraId="7AE546C2" w14:textId="4A0D4EFD" w:rsidR="002540E1" w:rsidRPr="00CD6B99" w:rsidRDefault="002540E1" w:rsidP="00CD6B99">
            <w:pPr>
              <w:jc w:val="center"/>
              <w:rPr>
                <w:rFonts w:cs="Arial"/>
                <w:szCs w:val="22"/>
                <w:lang w:eastAsia="it-IT"/>
              </w:rPr>
            </w:pPr>
            <w:r w:rsidRPr="00CD6B99">
              <w:rPr>
                <w:rFonts w:cs="Arial"/>
                <w:szCs w:val="22"/>
                <w:lang w:eastAsia="it-IT"/>
              </w:rPr>
              <w:t>500,00</w:t>
            </w:r>
          </w:p>
        </w:tc>
        <w:tc>
          <w:tcPr>
            <w:tcW w:w="1571" w:type="dxa"/>
            <w:vAlign w:val="center"/>
          </w:tcPr>
          <w:p w14:paraId="48D88ACB" w14:textId="77777777" w:rsidR="002540E1" w:rsidRPr="00CD6B99" w:rsidRDefault="002540E1" w:rsidP="00CD6B99">
            <w:pPr>
              <w:jc w:val="center"/>
              <w:rPr>
                <w:rFonts w:cs="Arial"/>
                <w:szCs w:val="22"/>
                <w:lang w:eastAsia="it-IT"/>
              </w:rPr>
            </w:pPr>
            <w:r w:rsidRPr="00CD6B99">
              <w:rPr>
                <w:rFonts w:cs="Arial"/>
                <w:szCs w:val="22"/>
                <w:lang w:eastAsia="it-IT"/>
              </w:rPr>
              <w:t>2 000,00</w:t>
            </w:r>
          </w:p>
        </w:tc>
      </w:tr>
      <w:tr w:rsidR="002540E1" w:rsidRPr="0019790A" w14:paraId="7705920B" w14:textId="77777777" w:rsidTr="00CD6B99">
        <w:trPr>
          <w:trHeight w:val="254"/>
          <w:jc w:val="right"/>
        </w:trPr>
        <w:tc>
          <w:tcPr>
            <w:tcW w:w="3425" w:type="dxa"/>
            <w:shd w:val="clear" w:color="auto" w:fill="FFFFFF"/>
            <w:vAlign w:val="center"/>
          </w:tcPr>
          <w:p w14:paraId="6DCBA278" w14:textId="77777777" w:rsidR="002540E1" w:rsidRPr="0019790A" w:rsidRDefault="002540E1" w:rsidP="0019790A">
            <w:pPr>
              <w:rPr>
                <w:rFonts w:cs="Arial"/>
                <w:szCs w:val="22"/>
              </w:rPr>
            </w:pPr>
            <w:r w:rsidRPr="0019790A">
              <w:rPr>
                <w:rFonts w:cs="Arial"/>
                <w:szCs w:val="22"/>
              </w:rPr>
              <w:t>- обласний бюджет</w:t>
            </w:r>
          </w:p>
        </w:tc>
        <w:tc>
          <w:tcPr>
            <w:tcW w:w="6794" w:type="dxa"/>
            <w:gridSpan w:val="6"/>
            <w:vAlign w:val="center"/>
          </w:tcPr>
          <w:p w14:paraId="3824CE27" w14:textId="77777777" w:rsidR="002540E1" w:rsidRPr="00CD6B99" w:rsidRDefault="002540E1" w:rsidP="00CD6B99">
            <w:pPr>
              <w:jc w:val="center"/>
              <w:rPr>
                <w:rFonts w:cs="Arial"/>
                <w:szCs w:val="22"/>
                <w:lang w:eastAsia="it-IT"/>
              </w:rPr>
            </w:pPr>
          </w:p>
        </w:tc>
      </w:tr>
      <w:tr w:rsidR="002540E1" w:rsidRPr="0019790A" w14:paraId="6F917757" w14:textId="77777777" w:rsidTr="00CD6B99">
        <w:trPr>
          <w:trHeight w:val="275"/>
          <w:jc w:val="right"/>
        </w:trPr>
        <w:tc>
          <w:tcPr>
            <w:tcW w:w="3425" w:type="dxa"/>
            <w:shd w:val="clear" w:color="auto" w:fill="FFFFFF"/>
            <w:vAlign w:val="center"/>
          </w:tcPr>
          <w:p w14:paraId="2BC0B512" w14:textId="77777777" w:rsidR="002540E1" w:rsidRPr="0019790A" w:rsidRDefault="002540E1" w:rsidP="0019790A">
            <w:pPr>
              <w:rPr>
                <w:rFonts w:cs="Arial"/>
                <w:szCs w:val="22"/>
              </w:rPr>
            </w:pPr>
            <w:r w:rsidRPr="0019790A">
              <w:rPr>
                <w:rFonts w:cs="Arial"/>
                <w:szCs w:val="22"/>
              </w:rPr>
              <w:t>- бюджет Жмеринської МТГ</w:t>
            </w:r>
          </w:p>
        </w:tc>
        <w:tc>
          <w:tcPr>
            <w:tcW w:w="1254" w:type="dxa"/>
            <w:vAlign w:val="center"/>
          </w:tcPr>
          <w:p w14:paraId="1AEF3DCC" w14:textId="77777777" w:rsidR="002540E1" w:rsidRPr="00CD6B99" w:rsidRDefault="002540E1" w:rsidP="00CD6B99">
            <w:pPr>
              <w:jc w:val="center"/>
              <w:rPr>
                <w:rFonts w:cs="Arial"/>
                <w:szCs w:val="22"/>
                <w:lang w:eastAsia="it-IT"/>
              </w:rPr>
            </w:pPr>
            <w:r w:rsidRPr="00CD6B99">
              <w:rPr>
                <w:rFonts w:cs="Arial"/>
                <w:szCs w:val="22"/>
                <w:lang w:eastAsia="it-IT"/>
              </w:rPr>
              <w:t>300,00</w:t>
            </w:r>
          </w:p>
        </w:tc>
        <w:tc>
          <w:tcPr>
            <w:tcW w:w="1275" w:type="dxa"/>
            <w:gridSpan w:val="2"/>
            <w:vAlign w:val="center"/>
          </w:tcPr>
          <w:p w14:paraId="67226ECF" w14:textId="7B9C2E6D" w:rsidR="002540E1" w:rsidRPr="00CD6B99" w:rsidRDefault="002540E1" w:rsidP="00CD6B99">
            <w:pPr>
              <w:jc w:val="center"/>
              <w:rPr>
                <w:rFonts w:cs="Arial"/>
                <w:szCs w:val="22"/>
                <w:lang w:eastAsia="it-IT"/>
              </w:rPr>
            </w:pPr>
            <w:r w:rsidRPr="00CD6B99">
              <w:rPr>
                <w:rFonts w:cs="Arial"/>
                <w:szCs w:val="22"/>
                <w:lang w:eastAsia="it-IT"/>
              </w:rPr>
              <w:t>300, 00</w:t>
            </w:r>
          </w:p>
        </w:tc>
        <w:tc>
          <w:tcPr>
            <w:tcW w:w="1418" w:type="dxa"/>
            <w:vAlign w:val="center"/>
          </w:tcPr>
          <w:p w14:paraId="2F01E1C7" w14:textId="31AE08BB" w:rsidR="002540E1" w:rsidRPr="00CD6B99" w:rsidRDefault="002540E1" w:rsidP="00CD6B99">
            <w:pPr>
              <w:jc w:val="center"/>
              <w:rPr>
                <w:rFonts w:cs="Arial"/>
                <w:szCs w:val="22"/>
                <w:lang w:eastAsia="it-IT"/>
              </w:rPr>
            </w:pPr>
            <w:r w:rsidRPr="00CD6B99">
              <w:rPr>
                <w:rFonts w:cs="Arial"/>
                <w:szCs w:val="22"/>
                <w:lang w:eastAsia="it-IT"/>
              </w:rPr>
              <w:t>300,00</w:t>
            </w:r>
          </w:p>
        </w:tc>
        <w:tc>
          <w:tcPr>
            <w:tcW w:w="1276" w:type="dxa"/>
            <w:vAlign w:val="center"/>
          </w:tcPr>
          <w:p w14:paraId="763F5C51" w14:textId="7C91AE98" w:rsidR="002540E1" w:rsidRPr="00CD6B99" w:rsidRDefault="002540E1" w:rsidP="00CD6B99">
            <w:pPr>
              <w:jc w:val="center"/>
              <w:rPr>
                <w:rFonts w:cs="Arial"/>
                <w:szCs w:val="22"/>
                <w:lang w:eastAsia="it-IT"/>
              </w:rPr>
            </w:pPr>
            <w:r w:rsidRPr="00CD6B99">
              <w:rPr>
                <w:rFonts w:cs="Arial"/>
                <w:szCs w:val="22"/>
                <w:lang w:eastAsia="it-IT"/>
              </w:rPr>
              <w:t>300,00</w:t>
            </w:r>
          </w:p>
        </w:tc>
        <w:tc>
          <w:tcPr>
            <w:tcW w:w="1571" w:type="dxa"/>
            <w:vAlign w:val="center"/>
          </w:tcPr>
          <w:p w14:paraId="77C58523" w14:textId="7BE3F40D" w:rsidR="002540E1" w:rsidRPr="00CD6B99" w:rsidRDefault="002540E1" w:rsidP="00CD6B99">
            <w:pPr>
              <w:jc w:val="center"/>
              <w:rPr>
                <w:rFonts w:cs="Arial"/>
                <w:bCs/>
                <w:szCs w:val="22"/>
                <w:lang w:eastAsia="it-IT"/>
              </w:rPr>
            </w:pPr>
            <w:r w:rsidRPr="00CD6B99">
              <w:rPr>
                <w:rFonts w:cs="Arial"/>
                <w:bCs/>
                <w:szCs w:val="22"/>
              </w:rPr>
              <w:t>1 200,00</w:t>
            </w:r>
          </w:p>
        </w:tc>
      </w:tr>
      <w:tr w:rsidR="002540E1" w:rsidRPr="0019790A" w14:paraId="13A82A72" w14:textId="77777777" w:rsidTr="00B8248C">
        <w:trPr>
          <w:trHeight w:val="226"/>
          <w:jc w:val="right"/>
        </w:trPr>
        <w:tc>
          <w:tcPr>
            <w:tcW w:w="3425" w:type="dxa"/>
            <w:shd w:val="clear" w:color="auto" w:fill="FFFFFF"/>
            <w:vAlign w:val="center"/>
          </w:tcPr>
          <w:p w14:paraId="3A9C268A" w14:textId="77777777" w:rsidR="002540E1" w:rsidRPr="0019790A" w:rsidRDefault="002540E1" w:rsidP="0019790A">
            <w:pPr>
              <w:rPr>
                <w:rFonts w:cs="Arial"/>
                <w:szCs w:val="22"/>
              </w:rPr>
            </w:pPr>
            <w:r w:rsidRPr="0019790A">
              <w:rPr>
                <w:rFonts w:cs="Arial"/>
                <w:szCs w:val="22"/>
              </w:rPr>
              <w:t>- інші джерела фінансування</w:t>
            </w:r>
          </w:p>
        </w:tc>
        <w:tc>
          <w:tcPr>
            <w:tcW w:w="6794" w:type="dxa"/>
            <w:gridSpan w:val="6"/>
            <w:vAlign w:val="center"/>
          </w:tcPr>
          <w:p w14:paraId="137F3F32" w14:textId="77777777" w:rsidR="002540E1" w:rsidRPr="0019790A" w:rsidRDefault="002540E1" w:rsidP="0019790A">
            <w:pPr>
              <w:jc w:val="both"/>
              <w:rPr>
                <w:rFonts w:cs="Arial"/>
                <w:szCs w:val="22"/>
                <w:lang w:eastAsia="it-IT"/>
              </w:rPr>
            </w:pPr>
          </w:p>
        </w:tc>
      </w:tr>
      <w:tr w:rsidR="002540E1" w:rsidRPr="0019790A" w14:paraId="7B80EDCE" w14:textId="77777777" w:rsidTr="00B8248C">
        <w:trPr>
          <w:jc w:val="right"/>
        </w:trPr>
        <w:tc>
          <w:tcPr>
            <w:tcW w:w="3425" w:type="dxa"/>
            <w:shd w:val="clear" w:color="auto" w:fill="FFFFFF"/>
            <w:vAlign w:val="center"/>
          </w:tcPr>
          <w:p w14:paraId="3571239E" w14:textId="77777777" w:rsidR="002540E1" w:rsidRPr="0019790A" w:rsidRDefault="002540E1" w:rsidP="0019790A">
            <w:pPr>
              <w:rPr>
                <w:rFonts w:cs="Arial"/>
                <w:b/>
                <w:bCs/>
                <w:szCs w:val="22"/>
              </w:rPr>
            </w:pPr>
            <w:r w:rsidRPr="0019790A">
              <w:rPr>
                <w:rFonts w:cs="Arial"/>
                <w:b/>
                <w:szCs w:val="22"/>
              </w:rPr>
              <w:t>Відповідальний виконавець проєкту:</w:t>
            </w:r>
          </w:p>
        </w:tc>
        <w:tc>
          <w:tcPr>
            <w:tcW w:w="6794" w:type="dxa"/>
            <w:gridSpan w:val="6"/>
            <w:vAlign w:val="center"/>
          </w:tcPr>
          <w:p w14:paraId="507033D2" w14:textId="77777777" w:rsidR="002540E1" w:rsidRPr="0019790A" w:rsidRDefault="002540E1" w:rsidP="0019790A">
            <w:pPr>
              <w:jc w:val="both"/>
              <w:rPr>
                <w:rFonts w:cs="Arial"/>
                <w:szCs w:val="22"/>
                <w:lang w:eastAsia="it-IT"/>
              </w:rPr>
            </w:pPr>
            <w:r w:rsidRPr="0019790A">
              <w:rPr>
                <w:rFonts w:cs="Arial"/>
                <w:szCs w:val="22"/>
                <w:lang w:eastAsia="it-IT"/>
              </w:rPr>
              <w:t xml:space="preserve"> Управління освіти Жмеринської міської рад, заклади освіти</w:t>
            </w:r>
          </w:p>
        </w:tc>
      </w:tr>
      <w:tr w:rsidR="002540E1" w:rsidRPr="0019790A" w14:paraId="1A76DF6A" w14:textId="77777777" w:rsidTr="00B8248C">
        <w:trPr>
          <w:jc w:val="right"/>
        </w:trPr>
        <w:tc>
          <w:tcPr>
            <w:tcW w:w="3425" w:type="dxa"/>
            <w:shd w:val="clear" w:color="auto" w:fill="FFFFFF"/>
            <w:vAlign w:val="center"/>
          </w:tcPr>
          <w:p w14:paraId="1C2FF4F8" w14:textId="77777777" w:rsidR="002540E1" w:rsidRPr="0019790A" w:rsidRDefault="002540E1" w:rsidP="0019790A">
            <w:pPr>
              <w:rPr>
                <w:rFonts w:cs="Arial"/>
                <w:b/>
                <w:bCs/>
                <w:szCs w:val="22"/>
              </w:rPr>
            </w:pPr>
            <w:r w:rsidRPr="0019790A">
              <w:rPr>
                <w:rFonts w:cs="Arial"/>
                <w:b/>
                <w:bCs/>
                <w:szCs w:val="22"/>
              </w:rPr>
              <w:t>Інше:</w:t>
            </w:r>
          </w:p>
        </w:tc>
        <w:tc>
          <w:tcPr>
            <w:tcW w:w="6794" w:type="dxa"/>
            <w:gridSpan w:val="6"/>
            <w:vAlign w:val="center"/>
          </w:tcPr>
          <w:p w14:paraId="79D278F2" w14:textId="77777777" w:rsidR="002540E1" w:rsidRPr="0019790A" w:rsidRDefault="002540E1" w:rsidP="0019790A">
            <w:pPr>
              <w:rPr>
                <w:rFonts w:cs="Arial"/>
                <w:szCs w:val="22"/>
                <w:lang w:eastAsia="it-IT"/>
              </w:rPr>
            </w:pPr>
          </w:p>
        </w:tc>
      </w:tr>
    </w:tbl>
    <w:p w14:paraId="5D65B6F4" w14:textId="77777777" w:rsidR="002540E1" w:rsidRPr="0019790A" w:rsidRDefault="002540E1" w:rsidP="0019790A">
      <w:pPr>
        <w:rPr>
          <w:rFonts w:cs="Arial"/>
          <w:szCs w:val="22"/>
        </w:rPr>
      </w:pPr>
    </w:p>
    <w:p w14:paraId="2228997E" w14:textId="77777777" w:rsidR="002540E1" w:rsidRPr="0019790A" w:rsidRDefault="002540E1" w:rsidP="0019790A">
      <w:pPr>
        <w:rPr>
          <w:rFonts w:cs="Arial"/>
          <w:szCs w:val="22"/>
        </w:rPr>
      </w:pPr>
    </w:p>
    <w:p w14:paraId="6F5C1913" w14:textId="77777777" w:rsidR="00E64EA6" w:rsidRPr="0019790A" w:rsidRDefault="00E64EA6" w:rsidP="0019790A">
      <w:pPr>
        <w:jc w:val="center"/>
        <w:rPr>
          <w:rFonts w:cs="Arial"/>
          <w:b/>
          <w:szCs w:val="22"/>
        </w:rPr>
      </w:pPr>
      <w:r w:rsidRPr="0019790A">
        <w:rPr>
          <w:rFonts w:cs="Arial"/>
          <w:b/>
          <w:szCs w:val="22"/>
        </w:rPr>
        <w:t xml:space="preserve">Форма технічного завдання на проєкт місцевого розвитку </w:t>
      </w:r>
    </w:p>
    <w:p w14:paraId="3B3AEC77" w14:textId="77777777" w:rsidR="00E64EA6" w:rsidRPr="0019790A" w:rsidRDefault="00E64EA6" w:rsidP="0019790A">
      <w:pPr>
        <w:jc w:val="center"/>
        <w:rPr>
          <w:rFonts w:cs="Arial"/>
          <w:b/>
          <w:szCs w:val="22"/>
        </w:rPr>
      </w:pPr>
      <w:r w:rsidRPr="0019790A">
        <w:rPr>
          <w:rFonts w:cs="Arial"/>
          <w:b/>
          <w:szCs w:val="22"/>
        </w:rPr>
        <w:t>до Плану заходів з реалізації Стратегії</w:t>
      </w:r>
    </w:p>
    <w:p w14:paraId="5E8E7269" w14:textId="77777777" w:rsidR="00E64EA6" w:rsidRPr="0019790A" w:rsidRDefault="00E64EA6"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1417"/>
        <w:gridCol w:w="46"/>
        <w:gridCol w:w="1230"/>
        <w:gridCol w:w="1276"/>
        <w:gridCol w:w="1571"/>
      </w:tblGrid>
      <w:tr w:rsidR="00E64EA6" w:rsidRPr="0019790A" w14:paraId="4DA816D3" w14:textId="77777777" w:rsidTr="00CD6B99">
        <w:trPr>
          <w:jc w:val="right"/>
        </w:trPr>
        <w:tc>
          <w:tcPr>
            <w:tcW w:w="3425" w:type="dxa"/>
            <w:vAlign w:val="center"/>
          </w:tcPr>
          <w:p w14:paraId="19C8168A" w14:textId="77777777" w:rsidR="00E64EA6" w:rsidRPr="0019790A" w:rsidRDefault="00E64EA6" w:rsidP="0019790A">
            <w:pPr>
              <w:rPr>
                <w:rFonts w:cs="Arial"/>
                <w:b/>
                <w:bCs/>
                <w:szCs w:val="22"/>
              </w:rPr>
            </w:pPr>
            <w:r w:rsidRPr="0019790A">
              <w:rPr>
                <w:rFonts w:cs="Arial"/>
                <w:b/>
                <w:bCs/>
                <w:szCs w:val="22"/>
              </w:rPr>
              <w:t>Назва проєкту:</w:t>
            </w:r>
          </w:p>
        </w:tc>
        <w:tc>
          <w:tcPr>
            <w:tcW w:w="6794" w:type="dxa"/>
            <w:gridSpan w:val="6"/>
            <w:vAlign w:val="center"/>
          </w:tcPr>
          <w:p w14:paraId="2C15714B" w14:textId="77777777" w:rsidR="00E64EA6" w:rsidRPr="0019790A" w:rsidRDefault="00E64EA6" w:rsidP="00CD6B99">
            <w:pPr>
              <w:pStyle w:val="10"/>
              <w:shd w:val="clear" w:color="auto" w:fill="FFFFFF"/>
              <w:tabs>
                <w:tab w:val="clear" w:pos="567"/>
                <w:tab w:val="left" w:pos="0"/>
              </w:tabs>
              <w:spacing w:before="0" w:after="0"/>
              <w:ind w:left="39" w:firstLine="0"/>
              <w:jc w:val="both"/>
              <w:textAlignment w:val="baseline"/>
              <w:rPr>
                <w:sz w:val="22"/>
                <w:szCs w:val="22"/>
              </w:rPr>
            </w:pPr>
            <w:r w:rsidRPr="0019790A">
              <w:rPr>
                <w:color w:val="auto"/>
                <w:sz w:val="22"/>
                <w:szCs w:val="22"/>
              </w:rPr>
              <w:t>Створення нового освітнього простору як необхідної передумови підвищення якості освіти</w:t>
            </w:r>
          </w:p>
        </w:tc>
      </w:tr>
      <w:tr w:rsidR="00E64EA6" w:rsidRPr="0019790A" w14:paraId="4AC542EE" w14:textId="77777777" w:rsidTr="00B8248C">
        <w:trPr>
          <w:jc w:val="right"/>
        </w:trPr>
        <w:tc>
          <w:tcPr>
            <w:tcW w:w="3425" w:type="dxa"/>
          </w:tcPr>
          <w:p w14:paraId="4480688E" w14:textId="77777777" w:rsidR="00E64EA6" w:rsidRPr="0019790A" w:rsidRDefault="00E64EA6"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0D37E981" w14:textId="77777777" w:rsidR="00E64EA6" w:rsidRPr="0019790A" w:rsidRDefault="00E64EA6"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6"/>
          </w:tcPr>
          <w:p w14:paraId="3505AC24" w14:textId="77777777" w:rsidR="00E64EA6" w:rsidRPr="0019790A" w:rsidRDefault="00E64EA6" w:rsidP="0019790A">
            <w:pPr>
              <w:rPr>
                <w:rFonts w:cs="Arial"/>
                <w:szCs w:val="22"/>
                <w:lang w:eastAsia="it-IT"/>
              </w:rPr>
            </w:pPr>
            <w:r w:rsidRPr="0019790A">
              <w:rPr>
                <w:rFonts w:cs="Arial"/>
                <w:szCs w:val="22"/>
                <w:lang w:eastAsia="it-IT"/>
              </w:rPr>
              <w:t xml:space="preserve"> Управління освіти Жмеринської міської ради</w:t>
            </w:r>
          </w:p>
          <w:p w14:paraId="35A9B659" w14:textId="77777777" w:rsidR="00E64EA6" w:rsidRPr="0019790A" w:rsidRDefault="00E64EA6" w:rsidP="0019790A">
            <w:pPr>
              <w:rPr>
                <w:rFonts w:cs="Arial"/>
                <w:szCs w:val="22"/>
                <w:lang w:eastAsia="it-IT"/>
              </w:rPr>
            </w:pPr>
            <w:r w:rsidRPr="0019790A">
              <w:rPr>
                <w:rFonts w:cs="Arial"/>
                <w:bCs/>
                <w:szCs w:val="22"/>
              </w:rPr>
              <w:t xml:space="preserve">  </w:t>
            </w:r>
          </w:p>
        </w:tc>
      </w:tr>
      <w:tr w:rsidR="00E64EA6" w:rsidRPr="0019790A" w14:paraId="00A7240C" w14:textId="77777777" w:rsidTr="00B8248C">
        <w:trPr>
          <w:jc w:val="right"/>
        </w:trPr>
        <w:tc>
          <w:tcPr>
            <w:tcW w:w="3425" w:type="dxa"/>
          </w:tcPr>
          <w:p w14:paraId="0CA5930F" w14:textId="77777777" w:rsidR="00E64EA6" w:rsidRPr="0019790A" w:rsidRDefault="00E64EA6" w:rsidP="0019790A">
            <w:pPr>
              <w:rPr>
                <w:rFonts w:cs="Arial"/>
                <w:b/>
                <w:bCs/>
                <w:szCs w:val="22"/>
              </w:rPr>
            </w:pPr>
            <w:r w:rsidRPr="0019790A">
              <w:rPr>
                <w:rFonts w:cs="Arial"/>
                <w:szCs w:val="22"/>
                <w:lang w:eastAsia="it-IT"/>
              </w:rPr>
              <w:t>Прізвище Ім’я по-батькові:</w:t>
            </w:r>
          </w:p>
        </w:tc>
        <w:tc>
          <w:tcPr>
            <w:tcW w:w="6794" w:type="dxa"/>
            <w:gridSpan w:val="6"/>
          </w:tcPr>
          <w:p w14:paraId="47075DD2" w14:textId="77777777" w:rsidR="00E64EA6" w:rsidRPr="0019790A" w:rsidRDefault="00E64EA6" w:rsidP="0019790A">
            <w:pPr>
              <w:pStyle w:val="TableParagraph"/>
              <w:ind w:left="0"/>
              <w:rPr>
                <w:rFonts w:ascii="Arial" w:hAnsi="Arial" w:cs="Arial"/>
              </w:rPr>
            </w:pPr>
            <w:r w:rsidRPr="0019790A">
              <w:rPr>
                <w:rFonts w:ascii="Arial" w:hAnsi="Arial" w:cs="Arial"/>
              </w:rPr>
              <w:t>Твердохліб Аліна Петрівна</w:t>
            </w:r>
          </w:p>
        </w:tc>
      </w:tr>
      <w:tr w:rsidR="00E64EA6" w:rsidRPr="0019790A" w14:paraId="574EDEE0" w14:textId="77777777" w:rsidTr="00B8248C">
        <w:trPr>
          <w:jc w:val="right"/>
        </w:trPr>
        <w:tc>
          <w:tcPr>
            <w:tcW w:w="3425" w:type="dxa"/>
          </w:tcPr>
          <w:p w14:paraId="271EA346" w14:textId="77777777" w:rsidR="00E64EA6" w:rsidRPr="0019790A" w:rsidRDefault="00E64EA6" w:rsidP="0019790A">
            <w:pPr>
              <w:rPr>
                <w:rFonts w:cs="Arial"/>
                <w:b/>
                <w:bCs/>
                <w:szCs w:val="22"/>
              </w:rPr>
            </w:pPr>
            <w:r w:rsidRPr="0019790A">
              <w:rPr>
                <w:rFonts w:cs="Arial"/>
                <w:szCs w:val="22"/>
                <w:lang w:eastAsia="it-IT"/>
              </w:rPr>
              <w:t>Телефон (мобільний):</w:t>
            </w:r>
          </w:p>
        </w:tc>
        <w:tc>
          <w:tcPr>
            <w:tcW w:w="6794" w:type="dxa"/>
            <w:gridSpan w:val="6"/>
          </w:tcPr>
          <w:p w14:paraId="5D6A6FC6" w14:textId="77777777" w:rsidR="00E64EA6" w:rsidRPr="0019790A" w:rsidRDefault="00E64EA6" w:rsidP="0019790A">
            <w:pPr>
              <w:pStyle w:val="TableParagraph"/>
              <w:ind w:left="66"/>
              <w:rPr>
                <w:rFonts w:ascii="Arial" w:hAnsi="Arial" w:cs="Arial"/>
              </w:rPr>
            </w:pPr>
            <w:r w:rsidRPr="0019790A">
              <w:rPr>
                <w:rFonts w:ascii="Arial" w:hAnsi="Arial" w:cs="Arial"/>
                <w:spacing w:val="-2"/>
              </w:rPr>
              <w:t>+380 (67) 895 55 75</w:t>
            </w:r>
          </w:p>
        </w:tc>
      </w:tr>
      <w:tr w:rsidR="00E64EA6" w:rsidRPr="0019790A" w14:paraId="0E5F1CEC" w14:textId="77777777" w:rsidTr="00B8248C">
        <w:trPr>
          <w:jc w:val="right"/>
        </w:trPr>
        <w:tc>
          <w:tcPr>
            <w:tcW w:w="3425" w:type="dxa"/>
          </w:tcPr>
          <w:p w14:paraId="07C914BD" w14:textId="77777777" w:rsidR="00E64EA6" w:rsidRPr="0019790A" w:rsidRDefault="00E64EA6" w:rsidP="0019790A">
            <w:pPr>
              <w:rPr>
                <w:rFonts w:cs="Arial"/>
                <w:b/>
                <w:bCs/>
                <w:szCs w:val="22"/>
              </w:rPr>
            </w:pPr>
            <w:r w:rsidRPr="0019790A">
              <w:rPr>
                <w:rFonts w:cs="Arial"/>
                <w:szCs w:val="22"/>
                <w:lang w:eastAsia="it-IT"/>
              </w:rPr>
              <w:t>Електронна адреса:</w:t>
            </w:r>
          </w:p>
        </w:tc>
        <w:tc>
          <w:tcPr>
            <w:tcW w:w="6794" w:type="dxa"/>
            <w:gridSpan w:val="6"/>
          </w:tcPr>
          <w:p w14:paraId="482D5693" w14:textId="77777777" w:rsidR="00E64EA6" w:rsidRPr="0019790A" w:rsidRDefault="00E64EA6" w:rsidP="0019790A">
            <w:pPr>
              <w:pStyle w:val="TableParagraph"/>
              <w:ind w:left="66"/>
              <w:rPr>
                <w:rFonts w:ascii="Arial" w:hAnsi="Arial" w:cs="Arial"/>
                <w:b/>
              </w:rPr>
            </w:pPr>
            <w:r w:rsidRPr="0019790A">
              <w:rPr>
                <w:rFonts w:ascii="Arial" w:hAnsi="Arial" w:cs="Arial"/>
              </w:rPr>
              <w:t xml:space="preserve"> </w:t>
            </w:r>
            <w:hyperlink r:id="rId119" w:history="1">
              <w:r w:rsidRPr="0019790A">
                <w:rPr>
                  <w:rStyle w:val="af0"/>
                  <w:rFonts w:ascii="Arial" w:hAnsi="Arial" w:cs="Arial"/>
                  <w:noProof w:val="0"/>
                  <w:spacing w:val="5"/>
                  <w:sz w:val="22"/>
                  <w:szCs w:val="22"/>
                </w:rPr>
                <w:t>uposv.zmr@gmail.com</w:t>
              </w:r>
            </w:hyperlink>
          </w:p>
        </w:tc>
      </w:tr>
      <w:tr w:rsidR="00E64EA6" w:rsidRPr="0019790A" w14:paraId="223D4937" w14:textId="77777777" w:rsidTr="00B8248C">
        <w:trPr>
          <w:jc w:val="right"/>
        </w:trPr>
        <w:tc>
          <w:tcPr>
            <w:tcW w:w="3425" w:type="dxa"/>
            <w:vAlign w:val="center"/>
          </w:tcPr>
          <w:p w14:paraId="71E54334" w14:textId="77777777" w:rsidR="00E64EA6" w:rsidRPr="0019790A" w:rsidRDefault="00E64EA6" w:rsidP="0019790A">
            <w:pPr>
              <w:pStyle w:val="6"/>
              <w:spacing w:before="0" w:after="0"/>
              <w:rPr>
                <w:rFonts w:ascii="Arial" w:hAnsi="Arial" w:cs="Arial"/>
                <w:lang w:val="uk-UA"/>
              </w:rPr>
            </w:pPr>
            <w:r w:rsidRPr="0019790A">
              <w:rPr>
                <w:rFonts w:ascii="Arial" w:hAnsi="Arial" w:cs="Arial"/>
                <w:lang w:val="uk-UA"/>
              </w:rPr>
              <w:t>Номер і назва завдання з Стратегії</w:t>
            </w:r>
            <w:r w:rsidRPr="0019790A">
              <w:rPr>
                <w:rFonts w:ascii="Arial" w:hAnsi="Arial" w:cs="Arial"/>
                <w:lang w:val="uk-UA" w:eastAsia="it-IT"/>
              </w:rPr>
              <w:t xml:space="preserve"> </w:t>
            </w:r>
            <w:r w:rsidRPr="0019790A">
              <w:rPr>
                <w:rFonts w:ascii="Arial" w:hAnsi="Arial" w:cs="Arial"/>
                <w:lang w:val="uk-UA"/>
              </w:rPr>
              <w:t>розвитку Жмеринської міської територіальної громади,  якому відповідає проєкт:</w:t>
            </w:r>
          </w:p>
        </w:tc>
        <w:tc>
          <w:tcPr>
            <w:tcW w:w="6794" w:type="dxa"/>
            <w:gridSpan w:val="6"/>
          </w:tcPr>
          <w:p w14:paraId="035007F2" w14:textId="77777777" w:rsidR="00E64EA6" w:rsidRPr="0019790A" w:rsidRDefault="00E64EA6" w:rsidP="0019790A">
            <w:pPr>
              <w:jc w:val="both"/>
              <w:rPr>
                <w:rFonts w:cs="Arial"/>
                <w:szCs w:val="22"/>
              </w:rPr>
            </w:pPr>
            <w:r w:rsidRPr="0019790A">
              <w:rPr>
                <w:rFonts w:cs="Arial"/>
                <w:szCs w:val="22"/>
              </w:rPr>
              <w:t>С.1.1.2. Розвиток освітньої інфраструктури територіальної громади відповідно до вимог часу.</w:t>
            </w:r>
          </w:p>
          <w:p w14:paraId="304D91AD" w14:textId="77777777" w:rsidR="00E64EA6" w:rsidRPr="0019790A" w:rsidRDefault="00E64EA6" w:rsidP="0019790A">
            <w:pPr>
              <w:jc w:val="both"/>
              <w:rPr>
                <w:rFonts w:cs="Arial"/>
                <w:bCs/>
                <w:szCs w:val="22"/>
              </w:rPr>
            </w:pPr>
            <w:r w:rsidRPr="0019790A">
              <w:rPr>
                <w:rFonts w:cs="Arial"/>
                <w:bCs/>
                <w:szCs w:val="22"/>
              </w:rPr>
              <w:t>С. 1.1.6. Підвищення орієнтації галузі освіти на потреби ринку праці.</w:t>
            </w:r>
          </w:p>
          <w:p w14:paraId="2ADA6D9F" w14:textId="77777777" w:rsidR="00E64EA6" w:rsidRPr="0019790A" w:rsidRDefault="00E64EA6" w:rsidP="0019790A">
            <w:pPr>
              <w:jc w:val="both"/>
              <w:rPr>
                <w:rFonts w:cs="Arial"/>
                <w:szCs w:val="22"/>
              </w:rPr>
            </w:pPr>
            <w:r w:rsidRPr="0019790A">
              <w:rPr>
                <w:rFonts w:cs="Arial"/>
                <w:bCs/>
                <w:szCs w:val="22"/>
              </w:rPr>
              <w:t>С 1.3.1.Забезпечення доступу до якісних освітніх послуг в тому числі для осіб з ООП.</w:t>
            </w:r>
          </w:p>
          <w:p w14:paraId="18AC3A17" w14:textId="77777777" w:rsidR="00E64EA6" w:rsidRPr="0019790A" w:rsidRDefault="00E64EA6" w:rsidP="0019790A">
            <w:pPr>
              <w:jc w:val="both"/>
              <w:rPr>
                <w:rFonts w:cs="Arial"/>
                <w:szCs w:val="22"/>
                <w:lang w:eastAsia="it-IT"/>
              </w:rPr>
            </w:pPr>
            <w:r w:rsidRPr="0019790A">
              <w:rPr>
                <w:rFonts w:cs="Arial"/>
                <w:szCs w:val="22"/>
              </w:rPr>
              <w:t>С.1.3.4. Створення нового освітнього простору як необхідної передумови підвищення якості освіти.</w:t>
            </w:r>
          </w:p>
        </w:tc>
      </w:tr>
      <w:tr w:rsidR="00E64EA6" w:rsidRPr="0019790A" w14:paraId="52B569CD" w14:textId="77777777" w:rsidTr="00B8248C">
        <w:trPr>
          <w:jc w:val="right"/>
        </w:trPr>
        <w:tc>
          <w:tcPr>
            <w:tcW w:w="3425" w:type="dxa"/>
            <w:vAlign w:val="center"/>
          </w:tcPr>
          <w:p w14:paraId="242E9A0D" w14:textId="77777777" w:rsidR="00E64EA6" w:rsidRPr="0019790A" w:rsidRDefault="00E64EA6" w:rsidP="0019790A">
            <w:pPr>
              <w:rPr>
                <w:rFonts w:cs="Arial"/>
                <w:b/>
                <w:bCs/>
                <w:szCs w:val="22"/>
              </w:rPr>
            </w:pPr>
            <w:r w:rsidRPr="0019790A">
              <w:rPr>
                <w:rFonts w:cs="Arial"/>
                <w:b/>
                <w:bCs/>
                <w:szCs w:val="22"/>
              </w:rPr>
              <w:t>Мета проєкту:</w:t>
            </w:r>
          </w:p>
        </w:tc>
        <w:tc>
          <w:tcPr>
            <w:tcW w:w="6794" w:type="dxa"/>
            <w:gridSpan w:val="6"/>
          </w:tcPr>
          <w:p w14:paraId="2AD89ABF" w14:textId="77777777" w:rsidR="00E64EA6" w:rsidRPr="0019790A" w:rsidRDefault="00E64EA6" w:rsidP="00CD6B99">
            <w:pPr>
              <w:pStyle w:val="10"/>
              <w:shd w:val="clear" w:color="auto" w:fill="FFFFFF"/>
              <w:tabs>
                <w:tab w:val="clear" w:pos="567"/>
              </w:tabs>
              <w:spacing w:before="0" w:after="0"/>
              <w:ind w:left="0" w:firstLine="181"/>
              <w:jc w:val="both"/>
              <w:textAlignment w:val="baseline"/>
              <w:rPr>
                <w:b w:val="0"/>
                <w:sz w:val="22"/>
                <w:szCs w:val="22"/>
                <w:lang w:eastAsia="uk-UA"/>
              </w:rPr>
            </w:pPr>
            <w:r w:rsidRPr="0019790A">
              <w:rPr>
                <w:sz w:val="22"/>
                <w:szCs w:val="22"/>
                <w:shd w:val="clear" w:color="auto" w:fill="FFFFFF"/>
              </w:rPr>
              <w:t> </w:t>
            </w:r>
            <w:r w:rsidRPr="00CD6B99">
              <w:rPr>
                <w:rStyle w:val="afe"/>
                <w:b w:val="0"/>
                <w:i w:val="0"/>
                <w:color w:val="auto"/>
                <w:sz w:val="22"/>
                <w:szCs w:val="22"/>
                <w:bdr w:val="none" w:sz="0" w:space="0" w:color="auto" w:frame="1"/>
              </w:rPr>
              <w:t xml:space="preserve">Створення сучасного освітнього середовища, зокрема багатофункціональних гнучких просторів, що сприяють різним формам роботи, мотивують </w:t>
            </w:r>
            <w:r w:rsidRPr="00CD6B99">
              <w:rPr>
                <w:b w:val="0"/>
                <w:color w:val="auto"/>
                <w:sz w:val="22"/>
                <w:szCs w:val="22"/>
                <w:shd w:val="clear" w:color="auto" w:fill="FFFFFF"/>
              </w:rPr>
              <w:t>робити якісну освіту доступною</w:t>
            </w:r>
            <w:r w:rsidRPr="0019790A">
              <w:rPr>
                <w:b w:val="0"/>
                <w:sz w:val="22"/>
                <w:szCs w:val="22"/>
                <w:shd w:val="clear" w:color="auto" w:fill="FFFFFF"/>
              </w:rPr>
              <w:t>.</w:t>
            </w:r>
          </w:p>
        </w:tc>
      </w:tr>
      <w:tr w:rsidR="00E64EA6" w:rsidRPr="0019790A" w14:paraId="65E3DA7A" w14:textId="77777777" w:rsidTr="00B8248C">
        <w:trPr>
          <w:jc w:val="right"/>
        </w:trPr>
        <w:tc>
          <w:tcPr>
            <w:tcW w:w="3425" w:type="dxa"/>
            <w:vAlign w:val="center"/>
          </w:tcPr>
          <w:p w14:paraId="14A8C434" w14:textId="77777777" w:rsidR="00E64EA6" w:rsidRPr="0019790A" w:rsidRDefault="00E64EA6" w:rsidP="0019790A">
            <w:pPr>
              <w:rPr>
                <w:rFonts w:cs="Arial"/>
                <w:b/>
                <w:bCs/>
                <w:szCs w:val="22"/>
              </w:rPr>
            </w:pPr>
            <w:r w:rsidRPr="0019790A">
              <w:rPr>
                <w:rFonts w:cs="Arial"/>
                <w:b/>
                <w:bCs/>
                <w:szCs w:val="22"/>
              </w:rPr>
              <w:t>Цілі проєкту:</w:t>
            </w:r>
          </w:p>
        </w:tc>
        <w:tc>
          <w:tcPr>
            <w:tcW w:w="6794" w:type="dxa"/>
            <w:gridSpan w:val="6"/>
          </w:tcPr>
          <w:p w14:paraId="297BB37E" w14:textId="77777777" w:rsidR="00E64EA6" w:rsidRPr="0019790A" w:rsidRDefault="00E64EA6" w:rsidP="0019790A">
            <w:pPr>
              <w:jc w:val="both"/>
              <w:rPr>
                <w:rFonts w:cs="Arial"/>
                <w:szCs w:val="22"/>
              </w:rPr>
            </w:pPr>
            <w:r w:rsidRPr="0019790A">
              <w:rPr>
                <w:rFonts w:cs="Arial"/>
                <w:szCs w:val="22"/>
              </w:rPr>
              <w:t>Забезпечення якісної, сучасної та доступної загальної середньої освіти «Нова українська школа».</w:t>
            </w:r>
          </w:p>
          <w:p w14:paraId="09A1AFE2" w14:textId="77777777" w:rsidR="00E64EA6" w:rsidRPr="0019790A" w:rsidRDefault="00E64EA6" w:rsidP="0019790A">
            <w:pPr>
              <w:jc w:val="both"/>
              <w:rPr>
                <w:rFonts w:cs="Arial"/>
                <w:szCs w:val="22"/>
                <w:shd w:val="clear" w:color="auto" w:fill="FFFFFF"/>
              </w:rPr>
            </w:pPr>
            <w:r w:rsidRPr="0019790A">
              <w:rPr>
                <w:rFonts w:cs="Arial"/>
                <w:szCs w:val="22"/>
              </w:rPr>
              <w:t xml:space="preserve"> Обладнання навчальних кабінетів</w:t>
            </w:r>
            <w:r w:rsidRPr="0019790A">
              <w:rPr>
                <w:rFonts w:cs="Arial"/>
                <w:szCs w:val="22"/>
                <w:shd w:val="clear" w:color="auto" w:fill="FFFFFF"/>
              </w:rPr>
              <w:t xml:space="preserve"> ресурсами, необхідними для безпечного, якісного та цікавого навчання. </w:t>
            </w:r>
          </w:p>
          <w:p w14:paraId="1AE5330B" w14:textId="77777777" w:rsidR="00E64EA6" w:rsidRPr="0019790A" w:rsidRDefault="00E64EA6" w:rsidP="0019790A">
            <w:pPr>
              <w:jc w:val="both"/>
              <w:rPr>
                <w:rFonts w:cs="Arial"/>
                <w:szCs w:val="22"/>
              </w:rPr>
            </w:pPr>
            <w:r w:rsidRPr="0019790A">
              <w:rPr>
                <w:rFonts w:cs="Arial"/>
                <w:szCs w:val="22"/>
                <w:shd w:val="clear" w:color="auto" w:fill="FFFFFF"/>
              </w:rPr>
              <w:t xml:space="preserve">Підвищення рівня навченості здобувачів освіти  </w:t>
            </w:r>
          </w:p>
        </w:tc>
      </w:tr>
      <w:tr w:rsidR="00E64EA6" w:rsidRPr="0019790A" w14:paraId="02E115D2" w14:textId="77777777" w:rsidTr="00B8248C">
        <w:trPr>
          <w:jc w:val="right"/>
        </w:trPr>
        <w:tc>
          <w:tcPr>
            <w:tcW w:w="3425" w:type="dxa"/>
            <w:vAlign w:val="center"/>
          </w:tcPr>
          <w:p w14:paraId="71415DF9" w14:textId="77777777" w:rsidR="00E64EA6" w:rsidRPr="0019790A" w:rsidRDefault="00E64EA6" w:rsidP="0019790A">
            <w:pPr>
              <w:autoSpaceDE w:val="0"/>
              <w:autoSpaceDN w:val="0"/>
              <w:adjustRightInd w:val="0"/>
              <w:rPr>
                <w:rFonts w:cs="Arial"/>
                <w:b/>
                <w:szCs w:val="22"/>
              </w:rPr>
            </w:pPr>
            <w:r w:rsidRPr="0019790A">
              <w:rPr>
                <w:rFonts w:cs="Arial"/>
                <w:b/>
                <w:szCs w:val="22"/>
              </w:rPr>
              <w:t>Територія на яку проєкт матиме вплив:</w:t>
            </w:r>
          </w:p>
        </w:tc>
        <w:tc>
          <w:tcPr>
            <w:tcW w:w="6794" w:type="dxa"/>
            <w:gridSpan w:val="6"/>
          </w:tcPr>
          <w:p w14:paraId="73BF099F" w14:textId="77777777" w:rsidR="00E64EA6" w:rsidRPr="0019790A" w:rsidRDefault="00E64EA6" w:rsidP="0019790A">
            <w:pPr>
              <w:rPr>
                <w:rFonts w:cs="Arial"/>
                <w:szCs w:val="22"/>
                <w:lang w:eastAsia="it-IT"/>
              </w:rPr>
            </w:pPr>
            <w:r w:rsidRPr="0019790A">
              <w:rPr>
                <w:rFonts w:cs="Arial"/>
                <w:szCs w:val="22"/>
                <w:lang w:eastAsia="it-IT"/>
              </w:rPr>
              <w:t xml:space="preserve">Територія Жмеринської міської територіальної громади  </w:t>
            </w:r>
          </w:p>
        </w:tc>
      </w:tr>
      <w:tr w:rsidR="00E64EA6" w:rsidRPr="0019790A" w14:paraId="4B6A08CD" w14:textId="77777777" w:rsidTr="00B8248C">
        <w:trPr>
          <w:jc w:val="right"/>
        </w:trPr>
        <w:tc>
          <w:tcPr>
            <w:tcW w:w="3425" w:type="dxa"/>
            <w:vAlign w:val="center"/>
          </w:tcPr>
          <w:p w14:paraId="100ED2EA" w14:textId="77777777" w:rsidR="00E64EA6" w:rsidRPr="0019790A" w:rsidRDefault="00E64EA6" w:rsidP="0019790A">
            <w:pPr>
              <w:autoSpaceDE w:val="0"/>
              <w:autoSpaceDN w:val="0"/>
              <w:adjustRightInd w:val="0"/>
              <w:rPr>
                <w:rFonts w:cs="Arial"/>
                <w:b/>
                <w:szCs w:val="22"/>
              </w:rPr>
            </w:pPr>
            <w:r w:rsidRPr="0019790A">
              <w:rPr>
                <w:rFonts w:cs="Arial"/>
                <w:b/>
                <w:szCs w:val="22"/>
              </w:rPr>
              <w:t>Цільові групи проєкту та кількість отримувачів вигоди</w:t>
            </w:r>
          </w:p>
        </w:tc>
        <w:tc>
          <w:tcPr>
            <w:tcW w:w="6794" w:type="dxa"/>
            <w:gridSpan w:val="6"/>
          </w:tcPr>
          <w:p w14:paraId="23BE0246" w14:textId="77777777" w:rsidR="00E64EA6" w:rsidRPr="0019790A" w:rsidRDefault="00E64EA6" w:rsidP="0019790A">
            <w:pPr>
              <w:pStyle w:val="TableParagraph"/>
              <w:ind w:left="0"/>
              <w:jc w:val="both"/>
              <w:rPr>
                <w:rFonts w:ascii="Arial" w:hAnsi="Arial" w:cs="Arial"/>
              </w:rPr>
            </w:pPr>
            <w:r w:rsidRPr="0019790A">
              <w:rPr>
                <w:rFonts w:ascii="Arial" w:hAnsi="Arial" w:cs="Arial"/>
              </w:rPr>
              <w:t>Здобувачі освіти, педагоги, батьки, відвідувачі,  жителі громади</w:t>
            </w:r>
          </w:p>
        </w:tc>
      </w:tr>
      <w:tr w:rsidR="00E64EA6" w:rsidRPr="0019790A" w14:paraId="5FFF1574" w14:textId="77777777" w:rsidTr="00B8248C">
        <w:trPr>
          <w:jc w:val="right"/>
        </w:trPr>
        <w:tc>
          <w:tcPr>
            <w:tcW w:w="3425" w:type="dxa"/>
            <w:shd w:val="clear" w:color="auto" w:fill="FFFFFF"/>
            <w:vAlign w:val="center"/>
          </w:tcPr>
          <w:p w14:paraId="3DE0845A" w14:textId="77777777" w:rsidR="00E64EA6" w:rsidRPr="0019790A" w:rsidRDefault="00E64EA6" w:rsidP="0019790A">
            <w:pPr>
              <w:rPr>
                <w:rFonts w:cs="Arial"/>
                <w:b/>
                <w:bCs/>
                <w:szCs w:val="22"/>
              </w:rPr>
            </w:pPr>
            <w:r w:rsidRPr="0019790A">
              <w:rPr>
                <w:rFonts w:cs="Arial"/>
                <w:b/>
                <w:bCs/>
                <w:szCs w:val="22"/>
              </w:rPr>
              <w:t>Стислий опис проєкту:</w:t>
            </w:r>
          </w:p>
        </w:tc>
        <w:tc>
          <w:tcPr>
            <w:tcW w:w="6794" w:type="dxa"/>
            <w:gridSpan w:val="6"/>
          </w:tcPr>
          <w:p w14:paraId="69424F67" w14:textId="77777777" w:rsidR="00E64EA6" w:rsidRPr="0019790A" w:rsidRDefault="00E64EA6" w:rsidP="0019790A">
            <w:pPr>
              <w:ind w:left="75"/>
              <w:jc w:val="both"/>
              <w:rPr>
                <w:rFonts w:cs="Arial"/>
                <w:szCs w:val="22"/>
                <w:shd w:val="clear" w:color="auto" w:fill="FFFFFF"/>
              </w:rPr>
            </w:pPr>
            <w:r w:rsidRPr="0019790A">
              <w:rPr>
                <w:rFonts w:cs="Arial"/>
                <w:szCs w:val="22"/>
                <w:shd w:val="clear" w:color="auto" w:fill="FFFFFF"/>
              </w:rPr>
              <w:t xml:space="preserve">     </w:t>
            </w:r>
            <w:r w:rsidRPr="0019790A">
              <w:rPr>
                <w:rFonts w:cs="Arial"/>
                <w:i/>
                <w:szCs w:val="22"/>
                <w:shd w:val="clear" w:color="auto" w:fill="FFFFFF"/>
              </w:rPr>
              <w:t xml:space="preserve"> </w:t>
            </w:r>
            <w:r w:rsidRPr="0019790A">
              <w:rPr>
                <w:rStyle w:val="afe"/>
                <w:rFonts w:cs="Arial"/>
                <w:i w:val="0"/>
                <w:szCs w:val="22"/>
                <w:bdr w:val="none" w:sz="0" w:space="0" w:color="auto" w:frame="1"/>
              </w:rPr>
              <w:t>Однією зі складових Нової української школи є створення сучасного освітнього середовища, зокрема багатофункціональних гнучких просторів, що сприяють різним формам роботи, мотивують до навчання</w:t>
            </w:r>
            <w:r w:rsidRPr="0019790A">
              <w:rPr>
                <w:rStyle w:val="afe"/>
                <w:rFonts w:cs="Arial"/>
                <w:szCs w:val="22"/>
                <w:bdr w:val="none" w:sz="0" w:space="0" w:color="auto" w:frame="1"/>
              </w:rPr>
              <w:t>. </w:t>
            </w:r>
            <w:r w:rsidRPr="0019790A">
              <w:rPr>
                <w:rFonts w:cs="Arial"/>
                <w:szCs w:val="22"/>
                <w:shd w:val="clear" w:color="auto" w:fill="FFFFFF"/>
              </w:rPr>
              <w:t>Облаштування класів та приміщень закладів освіти за стандартами НУШ спрямоване на створення комфортного та мотивуючих освітнього середовища, де діти можуть навчатися через діяльність, проявляти свою креативність та розвивати інтелектуальні здібності. </w:t>
            </w:r>
          </w:p>
          <w:p w14:paraId="2FED1309" w14:textId="77777777" w:rsidR="00E64EA6" w:rsidRPr="0019790A" w:rsidRDefault="00E64EA6" w:rsidP="0019790A">
            <w:pPr>
              <w:ind w:left="75"/>
              <w:jc w:val="both"/>
              <w:rPr>
                <w:rFonts w:cs="Arial"/>
                <w:szCs w:val="22"/>
                <w:shd w:val="clear" w:color="auto" w:fill="FFFFFF"/>
              </w:rPr>
            </w:pPr>
            <w:r w:rsidRPr="0019790A">
              <w:rPr>
                <w:rStyle w:val="afe"/>
                <w:rFonts w:cs="Arial"/>
                <w:szCs w:val="22"/>
                <w:bdr w:val="none" w:sz="0" w:space="0" w:color="auto" w:frame="1"/>
              </w:rPr>
              <w:t xml:space="preserve">       </w:t>
            </w:r>
            <w:r w:rsidRPr="0019790A">
              <w:rPr>
                <w:rFonts w:cs="Arial"/>
                <w:szCs w:val="22"/>
                <w:shd w:val="clear" w:color="auto" w:fill="FFFFFF"/>
              </w:rPr>
              <w:t xml:space="preserve">Сучасно обладнані кабінети фізики, хімії, біології, географії, математики й STEM-лабораторій — це перший крок до того, щоб більше дітей цікавилося відповідними предметами й надалі вибирали саме ці спеціальності.  </w:t>
            </w:r>
          </w:p>
          <w:p w14:paraId="35001A56" w14:textId="77777777" w:rsidR="00E64EA6" w:rsidRPr="0019790A" w:rsidRDefault="00E64EA6" w:rsidP="0019790A">
            <w:pPr>
              <w:ind w:left="75"/>
              <w:jc w:val="both"/>
              <w:rPr>
                <w:rFonts w:cs="Arial"/>
                <w:szCs w:val="22"/>
                <w:lang w:eastAsia="it-IT"/>
              </w:rPr>
            </w:pPr>
            <w:r w:rsidRPr="0019790A">
              <w:rPr>
                <w:rFonts w:cs="Arial"/>
                <w:szCs w:val="22"/>
                <w:shd w:val="clear" w:color="auto" w:fill="FFFFFF"/>
              </w:rPr>
              <w:t xml:space="preserve">      Реалізація проєкту дозволить зробити школу приємним місцем навчання, де учні будуть не лише отримувати знання, а й розвивати вміння застосовувати їх у реальному житті.</w:t>
            </w:r>
            <w:r w:rsidRPr="0019790A">
              <w:rPr>
                <w:rStyle w:val="uv3um"/>
                <w:rFonts w:cs="Arial"/>
                <w:szCs w:val="22"/>
                <w:shd w:val="clear" w:color="auto" w:fill="FFFFFF"/>
              </w:rPr>
              <w:t> </w:t>
            </w:r>
            <w:r w:rsidRPr="0019790A">
              <w:rPr>
                <w:rFonts w:cs="Arial"/>
                <w:szCs w:val="22"/>
                <w:shd w:val="clear" w:color="auto" w:fill="FFFFFF"/>
              </w:rPr>
              <w:t xml:space="preserve"> </w:t>
            </w:r>
          </w:p>
        </w:tc>
      </w:tr>
      <w:tr w:rsidR="00E64EA6" w:rsidRPr="0019790A" w14:paraId="083BEB52" w14:textId="77777777" w:rsidTr="00B8248C">
        <w:trPr>
          <w:jc w:val="right"/>
        </w:trPr>
        <w:tc>
          <w:tcPr>
            <w:tcW w:w="3425" w:type="dxa"/>
            <w:shd w:val="clear" w:color="auto" w:fill="FFFFFF"/>
            <w:vAlign w:val="center"/>
          </w:tcPr>
          <w:p w14:paraId="57E6F687" w14:textId="77777777" w:rsidR="00E64EA6" w:rsidRPr="0019790A" w:rsidRDefault="00E64EA6" w:rsidP="0019790A">
            <w:pPr>
              <w:rPr>
                <w:rFonts w:cs="Arial"/>
                <w:b/>
                <w:bCs/>
                <w:szCs w:val="22"/>
              </w:rPr>
            </w:pPr>
            <w:r w:rsidRPr="0019790A">
              <w:rPr>
                <w:rFonts w:cs="Arial"/>
                <w:b/>
                <w:bCs/>
                <w:szCs w:val="22"/>
              </w:rPr>
              <w:t>Основні заходи проєкту:</w:t>
            </w:r>
          </w:p>
        </w:tc>
        <w:tc>
          <w:tcPr>
            <w:tcW w:w="6794" w:type="dxa"/>
            <w:gridSpan w:val="6"/>
          </w:tcPr>
          <w:p w14:paraId="528C8EC1" w14:textId="77777777" w:rsidR="00E64EA6" w:rsidRPr="0019790A" w:rsidRDefault="00E64EA6" w:rsidP="00CD6B99">
            <w:pPr>
              <w:numPr>
                <w:ilvl w:val="0"/>
                <w:numId w:val="31"/>
              </w:numPr>
              <w:tabs>
                <w:tab w:val="left" w:pos="501"/>
              </w:tabs>
              <w:ind w:left="39" w:firstLine="284"/>
              <w:jc w:val="both"/>
              <w:rPr>
                <w:rFonts w:cs="Arial"/>
                <w:szCs w:val="22"/>
              </w:rPr>
            </w:pPr>
            <w:r w:rsidRPr="0019790A">
              <w:rPr>
                <w:rFonts w:cs="Arial"/>
                <w:szCs w:val="22"/>
                <w:lang w:eastAsia="uk-UA"/>
              </w:rPr>
              <w:t xml:space="preserve">Ремонт та облаштування навчальних кабінетів природничо-математичної та технологічної  освітніх галузей, </w:t>
            </w:r>
          </w:p>
          <w:p w14:paraId="754D69A9" w14:textId="77777777" w:rsidR="00E64EA6" w:rsidRPr="0019790A" w:rsidRDefault="00E64EA6" w:rsidP="00CD6B99">
            <w:pPr>
              <w:numPr>
                <w:ilvl w:val="0"/>
                <w:numId w:val="31"/>
              </w:numPr>
              <w:tabs>
                <w:tab w:val="left" w:pos="501"/>
              </w:tabs>
              <w:ind w:left="39" w:firstLine="284"/>
              <w:jc w:val="both"/>
              <w:rPr>
                <w:rFonts w:cs="Arial"/>
                <w:szCs w:val="22"/>
              </w:rPr>
            </w:pPr>
            <w:r w:rsidRPr="0019790A">
              <w:rPr>
                <w:rFonts w:cs="Arial"/>
                <w:szCs w:val="22"/>
              </w:rPr>
              <w:t xml:space="preserve">Придбання лінгафонних кабінетів </w:t>
            </w:r>
            <w:r w:rsidRPr="0019790A">
              <w:rPr>
                <w:rFonts w:cs="Arial"/>
                <w:szCs w:val="22"/>
                <w:lang w:eastAsia="uk-UA"/>
              </w:rPr>
              <w:t xml:space="preserve">  </w:t>
            </w:r>
          </w:p>
          <w:p w14:paraId="35DB79A6" w14:textId="77777777" w:rsidR="00E64EA6" w:rsidRPr="0019790A" w:rsidRDefault="00E64EA6" w:rsidP="00CD6B99">
            <w:pPr>
              <w:numPr>
                <w:ilvl w:val="0"/>
                <w:numId w:val="31"/>
              </w:numPr>
              <w:tabs>
                <w:tab w:val="left" w:pos="501"/>
              </w:tabs>
              <w:ind w:left="39" w:firstLine="284"/>
              <w:jc w:val="both"/>
              <w:rPr>
                <w:rFonts w:cs="Arial"/>
                <w:szCs w:val="22"/>
              </w:rPr>
            </w:pPr>
            <w:r w:rsidRPr="0019790A">
              <w:rPr>
                <w:rFonts w:cs="Arial"/>
                <w:szCs w:val="22"/>
                <w:lang w:eastAsia="uk-UA"/>
              </w:rPr>
              <w:t>Облаштування СТЕМ-лабораторій та лабораторних кімнат</w:t>
            </w:r>
          </w:p>
          <w:p w14:paraId="3FD69585" w14:textId="77777777" w:rsidR="00E64EA6" w:rsidRPr="0019790A" w:rsidRDefault="00E64EA6" w:rsidP="00CD6B99">
            <w:pPr>
              <w:numPr>
                <w:ilvl w:val="0"/>
                <w:numId w:val="31"/>
              </w:numPr>
              <w:tabs>
                <w:tab w:val="left" w:pos="501"/>
              </w:tabs>
              <w:ind w:left="39" w:firstLine="284"/>
              <w:jc w:val="both"/>
              <w:rPr>
                <w:rFonts w:cs="Arial"/>
                <w:szCs w:val="22"/>
              </w:rPr>
            </w:pPr>
            <w:r w:rsidRPr="0019790A">
              <w:rPr>
                <w:rFonts w:cs="Arial"/>
                <w:szCs w:val="22"/>
                <w:lang w:eastAsia="uk-UA"/>
              </w:rPr>
              <w:t>Придбання сучасних ергономічних меблів</w:t>
            </w:r>
          </w:p>
          <w:p w14:paraId="2632DC58" w14:textId="77777777" w:rsidR="00E64EA6" w:rsidRPr="0019790A" w:rsidRDefault="00E64EA6" w:rsidP="00CD6B99">
            <w:pPr>
              <w:numPr>
                <w:ilvl w:val="0"/>
                <w:numId w:val="31"/>
              </w:numPr>
              <w:tabs>
                <w:tab w:val="left" w:pos="501"/>
              </w:tabs>
              <w:ind w:left="39" w:firstLine="284"/>
              <w:jc w:val="both"/>
              <w:rPr>
                <w:rFonts w:cs="Arial"/>
                <w:szCs w:val="22"/>
              </w:rPr>
            </w:pPr>
            <w:r w:rsidRPr="0019790A">
              <w:rPr>
                <w:rFonts w:cs="Arial"/>
                <w:szCs w:val="22"/>
                <w:lang w:eastAsia="uk-UA"/>
              </w:rPr>
              <w:t>Трансформація шкільних бібліотек в медіатеки.</w:t>
            </w:r>
          </w:p>
        </w:tc>
      </w:tr>
      <w:tr w:rsidR="00E64EA6" w:rsidRPr="0019790A" w14:paraId="0DE4740B" w14:textId="77777777" w:rsidTr="00B8248C">
        <w:trPr>
          <w:jc w:val="right"/>
        </w:trPr>
        <w:tc>
          <w:tcPr>
            <w:tcW w:w="3425" w:type="dxa"/>
            <w:shd w:val="clear" w:color="auto" w:fill="FFFFFF"/>
            <w:vAlign w:val="center"/>
          </w:tcPr>
          <w:p w14:paraId="7DBF69F9" w14:textId="77777777" w:rsidR="00E64EA6" w:rsidRPr="0019790A" w:rsidRDefault="00E64EA6" w:rsidP="0019790A">
            <w:pPr>
              <w:rPr>
                <w:rFonts w:cs="Arial"/>
                <w:b/>
                <w:bCs/>
                <w:szCs w:val="22"/>
              </w:rPr>
            </w:pPr>
            <w:r w:rsidRPr="0019790A">
              <w:rPr>
                <w:rFonts w:cs="Arial"/>
                <w:b/>
                <w:bCs/>
                <w:szCs w:val="22"/>
              </w:rPr>
              <w:t>Індикатори (показники) результативності:</w:t>
            </w:r>
          </w:p>
        </w:tc>
        <w:tc>
          <w:tcPr>
            <w:tcW w:w="6794" w:type="dxa"/>
            <w:gridSpan w:val="6"/>
          </w:tcPr>
          <w:p w14:paraId="335176B6" w14:textId="77777777" w:rsidR="00E64EA6" w:rsidRPr="0019790A" w:rsidRDefault="00E64EA6" w:rsidP="0019790A">
            <w:pPr>
              <w:jc w:val="both"/>
              <w:rPr>
                <w:rFonts w:cs="Arial"/>
                <w:szCs w:val="22"/>
                <w:lang w:eastAsia="it-IT"/>
              </w:rPr>
            </w:pPr>
            <w:r w:rsidRPr="0019790A">
              <w:rPr>
                <w:rFonts w:cs="Arial"/>
                <w:szCs w:val="22"/>
              </w:rPr>
              <w:t>1.</w:t>
            </w:r>
            <w:r w:rsidRPr="0019790A">
              <w:rPr>
                <w:rFonts w:cs="Arial"/>
                <w:szCs w:val="22"/>
                <w:lang w:eastAsia="uk-UA"/>
              </w:rPr>
              <w:t xml:space="preserve"> </w:t>
            </w:r>
            <w:r w:rsidRPr="0019790A">
              <w:rPr>
                <w:rFonts w:cs="Arial"/>
                <w:szCs w:val="22"/>
                <w:lang w:eastAsia="it-IT"/>
              </w:rPr>
              <w:t>Інноваційне оновлення та зміцнення матеріально-технічної бази.</w:t>
            </w:r>
          </w:p>
          <w:p w14:paraId="5743E454" w14:textId="77777777" w:rsidR="00E64EA6" w:rsidRPr="0019790A" w:rsidRDefault="00E64EA6" w:rsidP="0019790A">
            <w:pPr>
              <w:jc w:val="both"/>
              <w:rPr>
                <w:rFonts w:cs="Arial"/>
                <w:szCs w:val="22"/>
                <w:lang w:eastAsia="it-IT"/>
              </w:rPr>
            </w:pPr>
            <w:r w:rsidRPr="0019790A">
              <w:rPr>
                <w:rFonts w:cs="Arial"/>
                <w:szCs w:val="22"/>
                <w:lang w:eastAsia="it-IT"/>
              </w:rPr>
              <w:t>2. Підвищення показників успішності здобувачів освіти,  зокрема результатів ЗНО (НМТ) на 20 відсотків.</w:t>
            </w:r>
          </w:p>
          <w:p w14:paraId="629B5DE7" w14:textId="77777777" w:rsidR="00E64EA6" w:rsidRPr="0019790A" w:rsidRDefault="00E64EA6" w:rsidP="0019790A">
            <w:pPr>
              <w:jc w:val="both"/>
              <w:rPr>
                <w:rFonts w:cs="Arial"/>
                <w:szCs w:val="22"/>
                <w:lang w:eastAsia="it-IT"/>
              </w:rPr>
            </w:pPr>
            <w:r w:rsidRPr="0019790A">
              <w:rPr>
                <w:rFonts w:cs="Arial"/>
                <w:szCs w:val="22"/>
                <w:lang w:eastAsia="it-IT"/>
              </w:rPr>
              <w:t>3. Збільшення відсотка закладів освіти, де облаштовано природничо-математичні кабінети та СТЕМ-лабораторії.</w:t>
            </w:r>
          </w:p>
          <w:p w14:paraId="7D6E5CA0" w14:textId="77777777" w:rsidR="00E64EA6" w:rsidRPr="0019790A" w:rsidRDefault="00E64EA6" w:rsidP="0019790A">
            <w:pPr>
              <w:shd w:val="clear" w:color="auto" w:fill="FFFFFF"/>
              <w:jc w:val="both"/>
              <w:textAlignment w:val="baseline"/>
              <w:rPr>
                <w:rFonts w:cs="Arial"/>
                <w:szCs w:val="22"/>
                <w:lang w:eastAsia="uk-UA"/>
              </w:rPr>
            </w:pPr>
            <w:r w:rsidRPr="0019790A">
              <w:rPr>
                <w:rFonts w:cs="Arial"/>
                <w:szCs w:val="22"/>
                <w:lang w:eastAsia="it-IT"/>
              </w:rPr>
              <w:t>4.Збільшення відсотка забезпечення учнів комп’ютерним обладнанням.</w:t>
            </w:r>
          </w:p>
        </w:tc>
      </w:tr>
      <w:tr w:rsidR="00E64EA6" w:rsidRPr="0019790A" w14:paraId="0AEB0422" w14:textId="77777777" w:rsidTr="00B8248C">
        <w:trPr>
          <w:jc w:val="right"/>
        </w:trPr>
        <w:tc>
          <w:tcPr>
            <w:tcW w:w="3425" w:type="dxa"/>
            <w:shd w:val="clear" w:color="auto" w:fill="FFFFFF"/>
            <w:vAlign w:val="center"/>
          </w:tcPr>
          <w:p w14:paraId="10447EAD" w14:textId="77777777" w:rsidR="00E64EA6" w:rsidRPr="0019790A" w:rsidRDefault="00E64EA6" w:rsidP="0019790A">
            <w:pPr>
              <w:rPr>
                <w:rFonts w:cs="Arial"/>
                <w:b/>
                <w:szCs w:val="22"/>
              </w:rPr>
            </w:pPr>
            <w:r w:rsidRPr="0019790A">
              <w:rPr>
                <w:rFonts w:cs="Arial"/>
                <w:b/>
                <w:szCs w:val="22"/>
              </w:rPr>
              <w:t xml:space="preserve">Період здійснення: </w:t>
            </w:r>
          </w:p>
        </w:tc>
        <w:tc>
          <w:tcPr>
            <w:tcW w:w="6794" w:type="dxa"/>
            <w:gridSpan w:val="6"/>
            <w:vAlign w:val="center"/>
          </w:tcPr>
          <w:p w14:paraId="2EBC5A90" w14:textId="77777777" w:rsidR="00E64EA6" w:rsidRPr="0019790A" w:rsidRDefault="00E64EA6" w:rsidP="0019790A">
            <w:pPr>
              <w:rPr>
                <w:rFonts w:cs="Arial"/>
                <w:szCs w:val="22"/>
                <w:lang w:eastAsia="it-IT"/>
              </w:rPr>
            </w:pPr>
            <w:r w:rsidRPr="0019790A">
              <w:rPr>
                <w:rFonts w:cs="Arial"/>
                <w:b/>
                <w:szCs w:val="22"/>
              </w:rPr>
              <w:t>2025 – 2028 роки:</w:t>
            </w:r>
          </w:p>
        </w:tc>
      </w:tr>
      <w:tr w:rsidR="00E64EA6" w:rsidRPr="0019790A" w14:paraId="7E600FBB" w14:textId="77777777" w:rsidTr="00B8248C">
        <w:trPr>
          <w:jc w:val="right"/>
        </w:trPr>
        <w:tc>
          <w:tcPr>
            <w:tcW w:w="3425" w:type="dxa"/>
            <w:vMerge w:val="restart"/>
            <w:shd w:val="clear" w:color="auto" w:fill="FFFFFF"/>
            <w:vAlign w:val="center"/>
          </w:tcPr>
          <w:p w14:paraId="750A3A34" w14:textId="77777777" w:rsidR="00E64EA6" w:rsidRPr="0019790A" w:rsidRDefault="00E64EA6" w:rsidP="0019790A">
            <w:pPr>
              <w:rPr>
                <w:rFonts w:cs="Arial"/>
                <w:b/>
                <w:bCs/>
                <w:szCs w:val="22"/>
              </w:rPr>
            </w:pPr>
            <w:r w:rsidRPr="0019790A">
              <w:rPr>
                <w:rFonts w:cs="Arial"/>
                <w:b/>
                <w:bCs/>
                <w:szCs w:val="22"/>
              </w:rPr>
              <w:t>Орієнтовна вартість проєкту, тис. грн., в тому числі:</w:t>
            </w:r>
          </w:p>
        </w:tc>
        <w:tc>
          <w:tcPr>
            <w:tcW w:w="1254" w:type="dxa"/>
            <w:shd w:val="clear" w:color="auto" w:fill="E6E6E6"/>
            <w:vAlign w:val="center"/>
          </w:tcPr>
          <w:p w14:paraId="2467E364" w14:textId="77777777" w:rsidR="00E64EA6" w:rsidRPr="0019790A" w:rsidRDefault="00E64EA6" w:rsidP="0019790A">
            <w:pPr>
              <w:jc w:val="center"/>
              <w:rPr>
                <w:rFonts w:cs="Arial"/>
                <w:b/>
                <w:szCs w:val="22"/>
                <w:lang w:eastAsia="it-IT"/>
              </w:rPr>
            </w:pPr>
            <w:r w:rsidRPr="0019790A">
              <w:rPr>
                <w:rFonts w:cs="Arial"/>
                <w:b/>
                <w:szCs w:val="22"/>
                <w:lang w:eastAsia="it-IT"/>
              </w:rPr>
              <w:t>2025</w:t>
            </w:r>
          </w:p>
        </w:tc>
        <w:tc>
          <w:tcPr>
            <w:tcW w:w="1417" w:type="dxa"/>
            <w:shd w:val="clear" w:color="auto" w:fill="E6E6E6"/>
            <w:vAlign w:val="center"/>
          </w:tcPr>
          <w:p w14:paraId="408B289A" w14:textId="77777777" w:rsidR="00E64EA6" w:rsidRPr="0019790A" w:rsidRDefault="00E64EA6" w:rsidP="0019790A">
            <w:pPr>
              <w:jc w:val="center"/>
              <w:rPr>
                <w:rFonts w:cs="Arial"/>
                <w:b/>
                <w:szCs w:val="22"/>
                <w:lang w:eastAsia="it-IT"/>
              </w:rPr>
            </w:pPr>
            <w:r w:rsidRPr="0019790A">
              <w:rPr>
                <w:rFonts w:cs="Arial"/>
                <w:b/>
                <w:szCs w:val="22"/>
                <w:lang w:eastAsia="it-IT"/>
              </w:rPr>
              <w:t>2026</w:t>
            </w:r>
          </w:p>
        </w:tc>
        <w:tc>
          <w:tcPr>
            <w:tcW w:w="1276" w:type="dxa"/>
            <w:gridSpan w:val="2"/>
            <w:tcBorders>
              <w:bottom w:val="single" w:sz="4" w:space="0" w:color="auto"/>
            </w:tcBorders>
            <w:shd w:val="clear" w:color="auto" w:fill="E6E6E6"/>
            <w:vAlign w:val="center"/>
          </w:tcPr>
          <w:p w14:paraId="35A17B68" w14:textId="77777777" w:rsidR="00E64EA6" w:rsidRPr="0019790A" w:rsidRDefault="00E64EA6" w:rsidP="0019790A">
            <w:pPr>
              <w:jc w:val="center"/>
              <w:rPr>
                <w:rFonts w:cs="Arial"/>
                <w:b/>
                <w:szCs w:val="22"/>
                <w:lang w:eastAsia="it-IT"/>
              </w:rPr>
            </w:pPr>
            <w:r w:rsidRPr="0019790A">
              <w:rPr>
                <w:rFonts w:cs="Arial"/>
                <w:b/>
                <w:szCs w:val="22"/>
                <w:lang w:eastAsia="it-IT"/>
              </w:rPr>
              <w:t>2027</w:t>
            </w:r>
          </w:p>
        </w:tc>
        <w:tc>
          <w:tcPr>
            <w:tcW w:w="1276" w:type="dxa"/>
            <w:shd w:val="clear" w:color="auto" w:fill="E6E6E6"/>
            <w:vAlign w:val="center"/>
          </w:tcPr>
          <w:p w14:paraId="0F0807FF" w14:textId="77777777" w:rsidR="00E64EA6" w:rsidRPr="0019790A" w:rsidRDefault="00E64EA6" w:rsidP="0019790A">
            <w:pPr>
              <w:jc w:val="center"/>
              <w:rPr>
                <w:rFonts w:cs="Arial"/>
                <w:b/>
                <w:szCs w:val="22"/>
                <w:lang w:eastAsia="it-IT"/>
              </w:rPr>
            </w:pPr>
            <w:r w:rsidRPr="0019790A">
              <w:rPr>
                <w:rFonts w:cs="Arial"/>
                <w:b/>
                <w:szCs w:val="22"/>
                <w:lang w:eastAsia="it-IT"/>
              </w:rPr>
              <w:t>2028</w:t>
            </w:r>
          </w:p>
        </w:tc>
        <w:tc>
          <w:tcPr>
            <w:tcW w:w="1571" w:type="dxa"/>
            <w:shd w:val="clear" w:color="auto" w:fill="E6E6E6"/>
            <w:vAlign w:val="center"/>
          </w:tcPr>
          <w:p w14:paraId="4227727D" w14:textId="77777777" w:rsidR="00E64EA6" w:rsidRPr="0019790A" w:rsidRDefault="00E64EA6" w:rsidP="0019790A">
            <w:pPr>
              <w:jc w:val="center"/>
              <w:rPr>
                <w:rFonts w:cs="Arial"/>
                <w:b/>
                <w:szCs w:val="22"/>
                <w:lang w:eastAsia="it-IT"/>
              </w:rPr>
            </w:pPr>
            <w:r w:rsidRPr="0019790A">
              <w:rPr>
                <w:rFonts w:cs="Arial"/>
                <w:b/>
                <w:szCs w:val="22"/>
                <w:lang w:eastAsia="it-IT"/>
              </w:rPr>
              <w:t>РАЗОМ</w:t>
            </w:r>
          </w:p>
        </w:tc>
      </w:tr>
      <w:tr w:rsidR="00E64EA6" w:rsidRPr="0019790A" w14:paraId="49DA158E" w14:textId="77777777" w:rsidTr="00B8248C">
        <w:trPr>
          <w:jc w:val="right"/>
        </w:trPr>
        <w:tc>
          <w:tcPr>
            <w:tcW w:w="3425" w:type="dxa"/>
            <w:vMerge/>
            <w:shd w:val="clear" w:color="auto" w:fill="FFFFFF"/>
            <w:vAlign w:val="center"/>
          </w:tcPr>
          <w:p w14:paraId="46486F78" w14:textId="77777777" w:rsidR="00E64EA6" w:rsidRPr="0019790A" w:rsidRDefault="00E64EA6" w:rsidP="0019790A">
            <w:pPr>
              <w:rPr>
                <w:rFonts w:cs="Arial"/>
                <w:b/>
                <w:bCs/>
                <w:szCs w:val="22"/>
              </w:rPr>
            </w:pPr>
          </w:p>
        </w:tc>
        <w:tc>
          <w:tcPr>
            <w:tcW w:w="1254" w:type="dxa"/>
            <w:vAlign w:val="center"/>
          </w:tcPr>
          <w:p w14:paraId="63E93638" w14:textId="77777777" w:rsidR="00E64EA6" w:rsidRPr="0019790A" w:rsidRDefault="00E64EA6" w:rsidP="00CD6B99">
            <w:pPr>
              <w:jc w:val="center"/>
              <w:rPr>
                <w:rFonts w:cs="Arial"/>
                <w:b/>
                <w:szCs w:val="22"/>
                <w:lang w:eastAsia="it-IT"/>
              </w:rPr>
            </w:pPr>
            <w:r w:rsidRPr="0019790A">
              <w:rPr>
                <w:rFonts w:cs="Arial"/>
                <w:b/>
                <w:szCs w:val="22"/>
                <w:lang w:eastAsia="it-IT"/>
              </w:rPr>
              <w:t>8 500,00</w:t>
            </w:r>
          </w:p>
        </w:tc>
        <w:tc>
          <w:tcPr>
            <w:tcW w:w="1417" w:type="dxa"/>
            <w:shd w:val="clear" w:color="auto" w:fill="FFFFFF"/>
            <w:vAlign w:val="center"/>
          </w:tcPr>
          <w:p w14:paraId="04D1E434" w14:textId="6636E01C" w:rsidR="00E64EA6" w:rsidRPr="0019790A" w:rsidRDefault="00E64EA6" w:rsidP="00CD6B99">
            <w:pPr>
              <w:jc w:val="center"/>
              <w:rPr>
                <w:rFonts w:cs="Arial"/>
                <w:b/>
                <w:szCs w:val="22"/>
                <w:lang w:eastAsia="it-IT"/>
              </w:rPr>
            </w:pPr>
            <w:r w:rsidRPr="0019790A">
              <w:rPr>
                <w:rFonts w:cs="Arial"/>
                <w:b/>
                <w:szCs w:val="22"/>
                <w:lang w:eastAsia="it-IT"/>
              </w:rPr>
              <w:t>5 000, 00</w:t>
            </w:r>
          </w:p>
        </w:tc>
        <w:tc>
          <w:tcPr>
            <w:tcW w:w="1276" w:type="dxa"/>
            <w:gridSpan w:val="2"/>
            <w:shd w:val="clear" w:color="auto" w:fill="auto"/>
            <w:vAlign w:val="center"/>
          </w:tcPr>
          <w:p w14:paraId="032C5AEA" w14:textId="77777777" w:rsidR="00E64EA6" w:rsidRPr="0019790A" w:rsidRDefault="00E64EA6" w:rsidP="00CD6B99">
            <w:pPr>
              <w:jc w:val="center"/>
              <w:rPr>
                <w:rFonts w:cs="Arial"/>
                <w:b/>
                <w:szCs w:val="22"/>
                <w:lang w:eastAsia="it-IT"/>
              </w:rPr>
            </w:pPr>
            <w:r w:rsidRPr="0019790A">
              <w:rPr>
                <w:rFonts w:cs="Arial"/>
                <w:b/>
                <w:szCs w:val="22"/>
                <w:lang w:eastAsia="it-IT"/>
              </w:rPr>
              <w:t>5 000,00</w:t>
            </w:r>
          </w:p>
        </w:tc>
        <w:tc>
          <w:tcPr>
            <w:tcW w:w="1276" w:type="dxa"/>
            <w:shd w:val="clear" w:color="auto" w:fill="FFFFFF"/>
            <w:vAlign w:val="center"/>
          </w:tcPr>
          <w:p w14:paraId="57A86313" w14:textId="62406CAF" w:rsidR="00E64EA6" w:rsidRPr="0019790A" w:rsidRDefault="00E64EA6" w:rsidP="00CD6B99">
            <w:pPr>
              <w:jc w:val="center"/>
              <w:rPr>
                <w:rFonts w:cs="Arial"/>
                <w:b/>
                <w:szCs w:val="22"/>
                <w:lang w:eastAsia="it-IT"/>
              </w:rPr>
            </w:pPr>
            <w:r w:rsidRPr="0019790A">
              <w:rPr>
                <w:rFonts w:cs="Arial"/>
                <w:b/>
                <w:szCs w:val="22"/>
                <w:lang w:eastAsia="it-IT"/>
              </w:rPr>
              <w:t>5 000,00</w:t>
            </w:r>
          </w:p>
        </w:tc>
        <w:tc>
          <w:tcPr>
            <w:tcW w:w="1571" w:type="dxa"/>
            <w:shd w:val="clear" w:color="auto" w:fill="FFFFFF"/>
            <w:vAlign w:val="center"/>
          </w:tcPr>
          <w:p w14:paraId="71EDC637" w14:textId="5C965F99" w:rsidR="00E64EA6" w:rsidRPr="0019790A" w:rsidRDefault="00E64EA6" w:rsidP="00CD6B99">
            <w:pPr>
              <w:jc w:val="center"/>
              <w:rPr>
                <w:rFonts w:cs="Arial"/>
                <w:b/>
                <w:bCs/>
                <w:szCs w:val="22"/>
                <w:lang w:eastAsia="it-IT"/>
              </w:rPr>
            </w:pPr>
            <w:r w:rsidRPr="0019790A">
              <w:rPr>
                <w:rFonts w:cs="Arial"/>
                <w:b/>
                <w:bCs/>
                <w:szCs w:val="22"/>
              </w:rPr>
              <w:t>23 500,00</w:t>
            </w:r>
          </w:p>
        </w:tc>
      </w:tr>
      <w:tr w:rsidR="00E64EA6" w:rsidRPr="0019790A" w14:paraId="62F19D2C" w14:textId="77777777" w:rsidTr="00B8248C">
        <w:trPr>
          <w:trHeight w:val="276"/>
          <w:jc w:val="right"/>
        </w:trPr>
        <w:tc>
          <w:tcPr>
            <w:tcW w:w="3425" w:type="dxa"/>
            <w:shd w:val="clear" w:color="auto" w:fill="FFFFFF"/>
            <w:vAlign w:val="center"/>
          </w:tcPr>
          <w:p w14:paraId="4E79BFE0" w14:textId="77777777" w:rsidR="00E64EA6" w:rsidRPr="0019790A" w:rsidRDefault="00E64EA6" w:rsidP="0019790A">
            <w:pPr>
              <w:rPr>
                <w:rFonts w:cs="Arial"/>
                <w:b/>
                <w:bCs/>
                <w:szCs w:val="22"/>
              </w:rPr>
            </w:pPr>
            <w:r w:rsidRPr="0019790A">
              <w:rPr>
                <w:rFonts w:cs="Arial"/>
                <w:b/>
                <w:bCs/>
                <w:szCs w:val="22"/>
              </w:rPr>
              <w:t>по джерелах фінансування:</w:t>
            </w:r>
          </w:p>
        </w:tc>
        <w:tc>
          <w:tcPr>
            <w:tcW w:w="6794" w:type="dxa"/>
            <w:gridSpan w:val="6"/>
            <w:vAlign w:val="center"/>
          </w:tcPr>
          <w:p w14:paraId="2FC2E5AB" w14:textId="77777777" w:rsidR="00E64EA6" w:rsidRPr="0019790A" w:rsidRDefault="00E64EA6" w:rsidP="00CD6B99">
            <w:pPr>
              <w:jc w:val="center"/>
              <w:rPr>
                <w:rFonts w:cs="Arial"/>
                <w:szCs w:val="22"/>
                <w:lang w:eastAsia="it-IT"/>
              </w:rPr>
            </w:pPr>
          </w:p>
        </w:tc>
      </w:tr>
      <w:tr w:rsidR="00E64EA6" w:rsidRPr="0019790A" w14:paraId="7940D3BB" w14:textId="77777777" w:rsidTr="00B8248C">
        <w:trPr>
          <w:trHeight w:val="240"/>
          <w:jc w:val="right"/>
        </w:trPr>
        <w:tc>
          <w:tcPr>
            <w:tcW w:w="3425" w:type="dxa"/>
            <w:shd w:val="clear" w:color="auto" w:fill="FFFFFF"/>
            <w:vAlign w:val="center"/>
          </w:tcPr>
          <w:p w14:paraId="6A2788D5" w14:textId="77777777" w:rsidR="00E64EA6" w:rsidRPr="0019790A" w:rsidRDefault="00E64EA6" w:rsidP="0019790A">
            <w:pPr>
              <w:rPr>
                <w:rFonts w:cs="Arial"/>
                <w:b/>
                <w:bCs/>
                <w:szCs w:val="22"/>
              </w:rPr>
            </w:pPr>
            <w:r w:rsidRPr="0019790A">
              <w:rPr>
                <w:rFonts w:cs="Arial"/>
                <w:szCs w:val="22"/>
              </w:rPr>
              <w:t>- державний бюджет</w:t>
            </w:r>
          </w:p>
        </w:tc>
        <w:tc>
          <w:tcPr>
            <w:tcW w:w="1254" w:type="dxa"/>
            <w:vAlign w:val="center"/>
          </w:tcPr>
          <w:p w14:paraId="09B94A25" w14:textId="77777777" w:rsidR="00E64EA6" w:rsidRPr="00CD6B99" w:rsidRDefault="00E64EA6" w:rsidP="00CD6B99">
            <w:pPr>
              <w:jc w:val="center"/>
              <w:rPr>
                <w:rFonts w:cs="Arial"/>
                <w:szCs w:val="22"/>
                <w:lang w:eastAsia="it-IT"/>
              </w:rPr>
            </w:pPr>
            <w:r w:rsidRPr="00CD6B99">
              <w:rPr>
                <w:rFonts w:cs="Arial"/>
                <w:szCs w:val="22"/>
                <w:lang w:eastAsia="it-IT"/>
              </w:rPr>
              <w:t>6 500,00</w:t>
            </w:r>
          </w:p>
        </w:tc>
        <w:tc>
          <w:tcPr>
            <w:tcW w:w="1417" w:type="dxa"/>
            <w:vAlign w:val="center"/>
          </w:tcPr>
          <w:p w14:paraId="245E1D19" w14:textId="0FDE4B40" w:rsidR="00E64EA6" w:rsidRPr="00CD6B99" w:rsidRDefault="00E64EA6" w:rsidP="00CD6B99">
            <w:pPr>
              <w:jc w:val="center"/>
              <w:rPr>
                <w:rFonts w:cs="Arial"/>
                <w:szCs w:val="22"/>
                <w:lang w:eastAsia="it-IT"/>
              </w:rPr>
            </w:pPr>
            <w:r w:rsidRPr="00CD6B99">
              <w:rPr>
                <w:rFonts w:cs="Arial"/>
                <w:szCs w:val="22"/>
                <w:lang w:eastAsia="it-IT"/>
              </w:rPr>
              <w:t>3 000, 00</w:t>
            </w:r>
          </w:p>
        </w:tc>
        <w:tc>
          <w:tcPr>
            <w:tcW w:w="1276" w:type="dxa"/>
            <w:gridSpan w:val="2"/>
            <w:vAlign w:val="center"/>
          </w:tcPr>
          <w:p w14:paraId="498F0FA3" w14:textId="77777777" w:rsidR="00E64EA6" w:rsidRPr="00CD6B99" w:rsidRDefault="00E64EA6" w:rsidP="00CD6B99">
            <w:pPr>
              <w:jc w:val="center"/>
              <w:rPr>
                <w:rFonts w:cs="Arial"/>
                <w:szCs w:val="22"/>
                <w:lang w:eastAsia="it-IT"/>
              </w:rPr>
            </w:pPr>
            <w:r w:rsidRPr="00CD6B99">
              <w:rPr>
                <w:rFonts w:cs="Arial"/>
                <w:szCs w:val="22"/>
                <w:lang w:eastAsia="it-IT"/>
              </w:rPr>
              <w:t>3 000,00</w:t>
            </w:r>
          </w:p>
        </w:tc>
        <w:tc>
          <w:tcPr>
            <w:tcW w:w="1276" w:type="dxa"/>
            <w:vAlign w:val="center"/>
          </w:tcPr>
          <w:p w14:paraId="1057CBF7" w14:textId="5DF9817B" w:rsidR="00E64EA6" w:rsidRPr="00CD6B99" w:rsidRDefault="00E64EA6" w:rsidP="00CD6B99">
            <w:pPr>
              <w:jc w:val="center"/>
              <w:rPr>
                <w:rFonts w:cs="Arial"/>
                <w:szCs w:val="22"/>
                <w:lang w:eastAsia="it-IT"/>
              </w:rPr>
            </w:pPr>
            <w:r w:rsidRPr="00CD6B99">
              <w:rPr>
                <w:rFonts w:cs="Arial"/>
                <w:szCs w:val="22"/>
                <w:lang w:eastAsia="it-IT"/>
              </w:rPr>
              <w:t>3 000,00</w:t>
            </w:r>
          </w:p>
        </w:tc>
        <w:tc>
          <w:tcPr>
            <w:tcW w:w="1571" w:type="dxa"/>
            <w:vAlign w:val="center"/>
          </w:tcPr>
          <w:p w14:paraId="13387DDA" w14:textId="77777777" w:rsidR="00E64EA6" w:rsidRPr="00CD6B99" w:rsidRDefault="00E64EA6" w:rsidP="00CD6B99">
            <w:pPr>
              <w:jc w:val="center"/>
              <w:rPr>
                <w:rFonts w:cs="Arial"/>
                <w:szCs w:val="22"/>
                <w:lang w:eastAsia="it-IT"/>
              </w:rPr>
            </w:pPr>
            <w:r w:rsidRPr="00CD6B99">
              <w:rPr>
                <w:rFonts w:cs="Arial"/>
                <w:szCs w:val="22"/>
                <w:lang w:eastAsia="it-IT"/>
              </w:rPr>
              <w:t>15 500,00</w:t>
            </w:r>
          </w:p>
        </w:tc>
      </w:tr>
      <w:tr w:rsidR="00E64EA6" w:rsidRPr="0019790A" w14:paraId="0634D27B" w14:textId="77777777" w:rsidTr="00B8248C">
        <w:trPr>
          <w:trHeight w:val="254"/>
          <w:jc w:val="right"/>
        </w:trPr>
        <w:tc>
          <w:tcPr>
            <w:tcW w:w="3425" w:type="dxa"/>
            <w:shd w:val="clear" w:color="auto" w:fill="FFFFFF"/>
            <w:vAlign w:val="center"/>
          </w:tcPr>
          <w:p w14:paraId="4707AE56" w14:textId="77777777" w:rsidR="00E64EA6" w:rsidRPr="0019790A" w:rsidRDefault="00E64EA6" w:rsidP="0019790A">
            <w:pPr>
              <w:rPr>
                <w:rFonts w:cs="Arial"/>
                <w:szCs w:val="22"/>
              </w:rPr>
            </w:pPr>
            <w:r w:rsidRPr="0019790A">
              <w:rPr>
                <w:rFonts w:cs="Arial"/>
                <w:szCs w:val="22"/>
              </w:rPr>
              <w:t>- обласний бюджет</w:t>
            </w:r>
          </w:p>
        </w:tc>
        <w:tc>
          <w:tcPr>
            <w:tcW w:w="6794" w:type="dxa"/>
            <w:gridSpan w:val="6"/>
            <w:vAlign w:val="center"/>
          </w:tcPr>
          <w:p w14:paraId="0CB7E765" w14:textId="77777777" w:rsidR="00E64EA6" w:rsidRPr="00CD6B99" w:rsidRDefault="00E64EA6" w:rsidP="00CD6B99">
            <w:pPr>
              <w:jc w:val="center"/>
              <w:rPr>
                <w:rFonts w:cs="Arial"/>
                <w:szCs w:val="22"/>
                <w:lang w:eastAsia="it-IT"/>
              </w:rPr>
            </w:pPr>
          </w:p>
        </w:tc>
      </w:tr>
      <w:tr w:rsidR="00E64EA6" w:rsidRPr="0019790A" w14:paraId="5785542B" w14:textId="77777777" w:rsidTr="00B8248C">
        <w:trPr>
          <w:trHeight w:val="275"/>
          <w:jc w:val="right"/>
        </w:trPr>
        <w:tc>
          <w:tcPr>
            <w:tcW w:w="3425" w:type="dxa"/>
            <w:shd w:val="clear" w:color="auto" w:fill="FFFFFF"/>
            <w:vAlign w:val="center"/>
          </w:tcPr>
          <w:p w14:paraId="337B626B" w14:textId="77777777" w:rsidR="00E64EA6" w:rsidRPr="0019790A" w:rsidRDefault="00E64EA6" w:rsidP="0019790A">
            <w:pPr>
              <w:rPr>
                <w:rFonts w:cs="Arial"/>
                <w:szCs w:val="22"/>
              </w:rPr>
            </w:pPr>
            <w:r w:rsidRPr="0019790A">
              <w:rPr>
                <w:rFonts w:cs="Arial"/>
                <w:szCs w:val="22"/>
              </w:rPr>
              <w:t>- бюджет Жмеринської МТГ</w:t>
            </w:r>
          </w:p>
        </w:tc>
        <w:tc>
          <w:tcPr>
            <w:tcW w:w="1254" w:type="dxa"/>
            <w:vAlign w:val="center"/>
          </w:tcPr>
          <w:p w14:paraId="1F7B8362" w14:textId="47E94478" w:rsidR="00E64EA6" w:rsidRPr="00CD6B99" w:rsidRDefault="00E64EA6" w:rsidP="00CD6B99">
            <w:pPr>
              <w:jc w:val="center"/>
              <w:rPr>
                <w:rFonts w:cs="Arial"/>
                <w:szCs w:val="22"/>
                <w:lang w:eastAsia="it-IT"/>
              </w:rPr>
            </w:pPr>
            <w:r w:rsidRPr="00CD6B99">
              <w:rPr>
                <w:rFonts w:cs="Arial"/>
                <w:szCs w:val="22"/>
              </w:rPr>
              <w:t>2 000,00</w:t>
            </w:r>
          </w:p>
        </w:tc>
        <w:tc>
          <w:tcPr>
            <w:tcW w:w="1463" w:type="dxa"/>
            <w:gridSpan w:val="2"/>
            <w:vAlign w:val="center"/>
          </w:tcPr>
          <w:p w14:paraId="606BF847" w14:textId="5AF481F0" w:rsidR="00E64EA6" w:rsidRPr="00CD6B99" w:rsidRDefault="00E64EA6" w:rsidP="00CD6B99">
            <w:pPr>
              <w:jc w:val="center"/>
              <w:rPr>
                <w:rFonts w:cs="Arial"/>
                <w:szCs w:val="22"/>
                <w:lang w:eastAsia="it-IT"/>
              </w:rPr>
            </w:pPr>
            <w:r w:rsidRPr="00CD6B99">
              <w:rPr>
                <w:rFonts w:cs="Arial"/>
                <w:szCs w:val="22"/>
              </w:rPr>
              <w:t>2 000,00</w:t>
            </w:r>
          </w:p>
        </w:tc>
        <w:tc>
          <w:tcPr>
            <w:tcW w:w="1230" w:type="dxa"/>
            <w:vAlign w:val="center"/>
          </w:tcPr>
          <w:p w14:paraId="2920A60B" w14:textId="7129C5ED" w:rsidR="00E64EA6" w:rsidRPr="00CD6B99" w:rsidRDefault="00E64EA6" w:rsidP="00CD6B99">
            <w:pPr>
              <w:jc w:val="center"/>
              <w:rPr>
                <w:rFonts w:cs="Arial"/>
                <w:szCs w:val="22"/>
                <w:lang w:eastAsia="it-IT"/>
              </w:rPr>
            </w:pPr>
            <w:r w:rsidRPr="00CD6B99">
              <w:rPr>
                <w:rFonts w:cs="Arial"/>
                <w:szCs w:val="22"/>
              </w:rPr>
              <w:t>2 000,00</w:t>
            </w:r>
          </w:p>
        </w:tc>
        <w:tc>
          <w:tcPr>
            <w:tcW w:w="1276" w:type="dxa"/>
            <w:vAlign w:val="center"/>
          </w:tcPr>
          <w:p w14:paraId="648EBD33" w14:textId="6A9B0AF5" w:rsidR="00E64EA6" w:rsidRPr="00CD6B99" w:rsidRDefault="00E64EA6" w:rsidP="00CD6B99">
            <w:pPr>
              <w:jc w:val="center"/>
              <w:rPr>
                <w:rFonts w:cs="Arial"/>
                <w:szCs w:val="22"/>
                <w:lang w:eastAsia="it-IT"/>
              </w:rPr>
            </w:pPr>
            <w:r w:rsidRPr="00CD6B99">
              <w:rPr>
                <w:rFonts w:cs="Arial"/>
                <w:szCs w:val="22"/>
              </w:rPr>
              <w:t>2 000,00</w:t>
            </w:r>
          </w:p>
        </w:tc>
        <w:tc>
          <w:tcPr>
            <w:tcW w:w="1571" w:type="dxa"/>
            <w:vAlign w:val="center"/>
          </w:tcPr>
          <w:p w14:paraId="52FD3920" w14:textId="77777777" w:rsidR="00E64EA6" w:rsidRPr="00CD6B99" w:rsidRDefault="00E64EA6" w:rsidP="00CD6B99">
            <w:pPr>
              <w:jc w:val="center"/>
              <w:rPr>
                <w:rFonts w:cs="Arial"/>
                <w:szCs w:val="22"/>
                <w:lang w:eastAsia="it-IT"/>
              </w:rPr>
            </w:pPr>
            <w:r w:rsidRPr="00CD6B99">
              <w:rPr>
                <w:rFonts w:cs="Arial"/>
                <w:szCs w:val="22"/>
                <w:lang w:eastAsia="it-IT"/>
              </w:rPr>
              <w:t>8 000,00</w:t>
            </w:r>
          </w:p>
        </w:tc>
      </w:tr>
      <w:tr w:rsidR="00E64EA6" w:rsidRPr="0019790A" w14:paraId="497FA6E4" w14:textId="77777777" w:rsidTr="00B8248C">
        <w:trPr>
          <w:trHeight w:val="226"/>
          <w:jc w:val="right"/>
        </w:trPr>
        <w:tc>
          <w:tcPr>
            <w:tcW w:w="3425" w:type="dxa"/>
            <w:shd w:val="clear" w:color="auto" w:fill="FFFFFF"/>
            <w:vAlign w:val="center"/>
          </w:tcPr>
          <w:p w14:paraId="30FAE3C4" w14:textId="77777777" w:rsidR="00E64EA6" w:rsidRPr="0019790A" w:rsidRDefault="00E64EA6" w:rsidP="0019790A">
            <w:pPr>
              <w:rPr>
                <w:rFonts w:cs="Arial"/>
                <w:szCs w:val="22"/>
              </w:rPr>
            </w:pPr>
            <w:r w:rsidRPr="0019790A">
              <w:rPr>
                <w:rFonts w:cs="Arial"/>
                <w:szCs w:val="22"/>
              </w:rPr>
              <w:t>- інші джерела фінансування</w:t>
            </w:r>
          </w:p>
        </w:tc>
        <w:tc>
          <w:tcPr>
            <w:tcW w:w="6794" w:type="dxa"/>
            <w:gridSpan w:val="6"/>
            <w:vAlign w:val="center"/>
          </w:tcPr>
          <w:p w14:paraId="2400B07E" w14:textId="77777777" w:rsidR="00E64EA6" w:rsidRPr="0019790A" w:rsidRDefault="00E64EA6" w:rsidP="0019790A">
            <w:pPr>
              <w:jc w:val="both"/>
              <w:rPr>
                <w:rFonts w:cs="Arial"/>
                <w:szCs w:val="22"/>
                <w:lang w:eastAsia="it-IT"/>
              </w:rPr>
            </w:pPr>
          </w:p>
        </w:tc>
      </w:tr>
      <w:tr w:rsidR="00E64EA6" w:rsidRPr="0019790A" w14:paraId="025D80E5" w14:textId="77777777" w:rsidTr="00B8248C">
        <w:trPr>
          <w:jc w:val="right"/>
        </w:trPr>
        <w:tc>
          <w:tcPr>
            <w:tcW w:w="3425" w:type="dxa"/>
            <w:shd w:val="clear" w:color="auto" w:fill="FFFFFF"/>
            <w:vAlign w:val="center"/>
          </w:tcPr>
          <w:p w14:paraId="41325FDB" w14:textId="77777777" w:rsidR="00E64EA6" w:rsidRPr="0019790A" w:rsidRDefault="00E64EA6" w:rsidP="0019790A">
            <w:pPr>
              <w:rPr>
                <w:rFonts w:cs="Arial"/>
                <w:b/>
                <w:bCs/>
                <w:szCs w:val="22"/>
              </w:rPr>
            </w:pPr>
            <w:r w:rsidRPr="0019790A">
              <w:rPr>
                <w:rFonts w:cs="Arial"/>
                <w:b/>
                <w:szCs w:val="22"/>
              </w:rPr>
              <w:t>Відповідальний виконавець проєкту:</w:t>
            </w:r>
          </w:p>
        </w:tc>
        <w:tc>
          <w:tcPr>
            <w:tcW w:w="6794" w:type="dxa"/>
            <w:gridSpan w:val="6"/>
            <w:vAlign w:val="center"/>
          </w:tcPr>
          <w:p w14:paraId="44942508" w14:textId="77777777" w:rsidR="00E64EA6" w:rsidRPr="0019790A" w:rsidRDefault="00E64EA6" w:rsidP="0019790A">
            <w:pPr>
              <w:jc w:val="both"/>
              <w:rPr>
                <w:rFonts w:cs="Arial"/>
                <w:szCs w:val="22"/>
                <w:lang w:eastAsia="it-IT"/>
              </w:rPr>
            </w:pPr>
            <w:r w:rsidRPr="0019790A">
              <w:rPr>
                <w:rFonts w:cs="Arial"/>
                <w:szCs w:val="22"/>
                <w:lang w:eastAsia="it-IT"/>
              </w:rPr>
              <w:t>Управління ЖКГ Жмеринської міської ради, Управління освіти Жмеринської міської рад, заклади освіти</w:t>
            </w:r>
          </w:p>
        </w:tc>
      </w:tr>
      <w:tr w:rsidR="00E64EA6" w:rsidRPr="0019790A" w14:paraId="45759E6D" w14:textId="77777777" w:rsidTr="00B8248C">
        <w:trPr>
          <w:jc w:val="right"/>
        </w:trPr>
        <w:tc>
          <w:tcPr>
            <w:tcW w:w="3425" w:type="dxa"/>
            <w:shd w:val="clear" w:color="auto" w:fill="FFFFFF"/>
            <w:vAlign w:val="center"/>
          </w:tcPr>
          <w:p w14:paraId="582694A0" w14:textId="77777777" w:rsidR="00E64EA6" w:rsidRPr="0019790A" w:rsidRDefault="00E64EA6" w:rsidP="0019790A">
            <w:pPr>
              <w:rPr>
                <w:rFonts w:cs="Arial"/>
                <w:b/>
                <w:bCs/>
                <w:szCs w:val="22"/>
              </w:rPr>
            </w:pPr>
            <w:r w:rsidRPr="0019790A">
              <w:rPr>
                <w:rFonts w:cs="Arial"/>
                <w:b/>
                <w:bCs/>
                <w:szCs w:val="22"/>
              </w:rPr>
              <w:t>Інше:</w:t>
            </w:r>
          </w:p>
        </w:tc>
        <w:tc>
          <w:tcPr>
            <w:tcW w:w="6794" w:type="dxa"/>
            <w:gridSpan w:val="6"/>
            <w:vAlign w:val="center"/>
          </w:tcPr>
          <w:p w14:paraId="0F3027DA" w14:textId="77777777" w:rsidR="00E64EA6" w:rsidRPr="0019790A" w:rsidRDefault="00E64EA6" w:rsidP="0019790A">
            <w:pPr>
              <w:rPr>
                <w:rFonts w:cs="Arial"/>
                <w:szCs w:val="22"/>
                <w:lang w:eastAsia="it-IT"/>
              </w:rPr>
            </w:pPr>
          </w:p>
        </w:tc>
      </w:tr>
    </w:tbl>
    <w:p w14:paraId="1026AC59" w14:textId="36AE80DD" w:rsidR="002540E1" w:rsidRDefault="002540E1" w:rsidP="0019790A">
      <w:pPr>
        <w:rPr>
          <w:rFonts w:cs="Arial"/>
          <w:szCs w:val="22"/>
        </w:rPr>
      </w:pPr>
    </w:p>
    <w:p w14:paraId="62608BFB" w14:textId="1B8881A3" w:rsidR="00A92D1B" w:rsidRPr="00A92D1B" w:rsidRDefault="00A92D1B" w:rsidP="00A92D1B">
      <w:pPr>
        <w:jc w:val="center"/>
        <w:rPr>
          <w:rFonts w:ascii="Times New Roman" w:eastAsia="Calibri" w:hAnsi="Times New Roman"/>
          <w:b/>
          <w:sz w:val="24"/>
          <w:lang w:eastAsia="en-US"/>
        </w:rPr>
      </w:pPr>
    </w:p>
    <w:p w14:paraId="2CE70430" w14:textId="77777777" w:rsidR="00A92D1B" w:rsidRPr="00A92D1B" w:rsidRDefault="00A92D1B" w:rsidP="00A92D1B">
      <w:pPr>
        <w:jc w:val="center"/>
        <w:rPr>
          <w:rFonts w:eastAsia="Calibri" w:cs="Arial"/>
          <w:b/>
          <w:color w:val="000000"/>
          <w:szCs w:val="22"/>
          <w:lang w:eastAsia="en-US"/>
        </w:rPr>
      </w:pPr>
      <w:r w:rsidRPr="00A92D1B">
        <w:rPr>
          <w:rFonts w:eastAsia="Calibri" w:cs="Arial"/>
          <w:b/>
          <w:color w:val="000000"/>
          <w:szCs w:val="22"/>
          <w:lang w:eastAsia="en-US"/>
        </w:rPr>
        <w:t>Форма технічного завдання на проєкт місцевого розвитку</w:t>
      </w:r>
    </w:p>
    <w:p w14:paraId="35985D69" w14:textId="77777777" w:rsidR="00A92D1B" w:rsidRPr="00A92D1B" w:rsidRDefault="00A92D1B" w:rsidP="00A92D1B">
      <w:pPr>
        <w:jc w:val="center"/>
        <w:rPr>
          <w:rFonts w:eastAsia="Calibri" w:cs="Arial"/>
          <w:b/>
          <w:color w:val="000000"/>
          <w:szCs w:val="22"/>
          <w:lang w:eastAsia="en-US"/>
        </w:rPr>
      </w:pPr>
      <w:r w:rsidRPr="00A92D1B">
        <w:rPr>
          <w:rFonts w:eastAsia="Calibri" w:cs="Arial"/>
          <w:b/>
          <w:color w:val="000000"/>
          <w:szCs w:val="22"/>
          <w:lang w:eastAsia="en-US"/>
        </w:rPr>
        <w:t>до Плану заходів з реалізації Стратегії</w:t>
      </w:r>
    </w:p>
    <w:p w14:paraId="314452EC" w14:textId="77777777" w:rsidR="00A92D1B" w:rsidRPr="00A92D1B" w:rsidRDefault="00A92D1B" w:rsidP="00A92D1B">
      <w:pPr>
        <w:rPr>
          <w:rFonts w:eastAsia="Calibri" w:cs="Arial"/>
          <w:szCs w:val="22"/>
          <w:lang w:eastAsia="en-US"/>
        </w:rPr>
      </w:pPr>
    </w:p>
    <w:tbl>
      <w:tblPr>
        <w:tblW w:w="10497"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15"/>
        <w:gridCol w:w="1260"/>
        <w:gridCol w:w="17"/>
        <w:gridCol w:w="1401"/>
        <w:gridCol w:w="48"/>
        <w:gridCol w:w="1506"/>
        <w:gridCol w:w="1548"/>
        <w:gridCol w:w="23"/>
      </w:tblGrid>
      <w:tr w:rsidR="00A92D1B" w:rsidRPr="00A92D1B" w14:paraId="3D6D85E1" w14:textId="77777777" w:rsidTr="00A92D1B">
        <w:trPr>
          <w:gridAfter w:val="1"/>
          <w:wAfter w:w="23" w:type="dxa"/>
          <w:jc w:val="right"/>
        </w:trPr>
        <w:tc>
          <w:tcPr>
            <w:tcW w:w="3425" w:type="dxa"/>
            <w:vAlign w:val="center"/>
          </w:tcPr>
          <w:p w14:paraId="252DF00B" w14:textId="77777777" w:rsidR="00A92D1B" w:rsidRPr="00A92D1B" w:rsidRDefault="00A92D1B" w:rsidP="00A92D1B">
            <w:pPr>
              <w:rPr>
                <w:rFonts w:eastAsia="Calibri" w:cs="Arial"/>
                <w:b/>
                <w:bCs/>
                <w:color w:val="000000"/>
                <w:szCs w:val="22"/>
                <w:lang w:eastAsia="en-US"/>
              </w:rPr>
            </w:pPr>
            <w:r w:rsidRPr="00A92D1B">
              <w:rPr>
                <w:rFonts w:eastAsia="Calibri" w:cs="Arial"/>
                <w:b/>
                <w:bCs/>
                <w:color w:val="000000"/>
                <w:szCs w:val="22"/>
                <w:lang w:eastAsia="en-US"/>
              </w:rPr>
              <w:t>Назва проєкту:</w:t>
            </w:r>
          </w:p>
        </w:tc>
        <w:tc>
          <w:tcPr>
            <w:tcW w:w="7049" w:type="dxa"/>
            <w:gridSpan w:val="8"/>
          </w:tcPr>
          <w:p w14:paraId="6E5E9455" w14:textId="77777777" w:rsidR="00A92D1B" w:rsidRPr="00A92D1B" w:rsidRDefault="00A92D1B" w:rsidP="00A92D1B">
            <w:pPr>
              <w:jc w:val="both"/>
              <w:rPr>
                <w:rFonts w:eastAsia="Calibri" w:cs="Arial"/>
                <w:b/>
                <w:szCs w:val="22"/>
                <w:lang w:eastAsia="it-IT"/>
              </w:rPr>
            </w:pPr>
            <w:r w:rsidRPr="00A92D1B">
              <w:rPr>
                <w:rFonts w:eastAsia="Calibri" w:cs="Arial"/>
                <w:b/>
                <w:szCs w:val="22"/>
                <w:lang w:eastAsia="it-IT"/>
              </w:rPr>
              <w:t>Безбар’єрний освітній простір Жмеринського вищого професійного училища</w:t>
            </w:r>
          </w:p>
        </w:tc>
      </w:tr>
      <w:tr w:rsidR="00A92D1B" w:rsidRPr="00A92D1B" w14:paraId="57FF72D3" w14:textId="77777777" w:rsidTr="00A92D1B">
        <w:trPr>
          <w:gridAfter w:val="1"/>
          <w:wAfter w:w="23" w:type="dxa"/>
          <w:jc w:val="right"/>
        </w:trPr>
        <w:tc>
          <w:tcPr>
            <w:tcW w:w="3425" w:type="dxa"/>
          </w:tcPr>
          <w:p w14:paraId="2DB5CC1A" w14:textId="77777777" w:rsidR="00A92D1B" w:rsidRPr="00A92D1B" w:rsidRDefault="00A92D1B" w:rsidP="00A92D1B">
            <w:pPr>
              <w:rPr>
                <w:rFonts w:eastAsia="Calibri" w:cs="Arial"/>
                <w:b/>
                <w:szCs w:val="22"/>
                <w:lang w:eastAsia="it-IT"/>
              </w:rPr>
            </w:pPr>
            <w:r w:rsidRPr="00A92D1B">
              <w:rPr>
                <w:rFonts w:eastAsia="Calibri" w:cs="Arial"/>
                <w:b/>
                <w:bCs/>
                <w:szCs w:val="22"/>
                <w:lang w:eastAsia="en-US"/>
              </w:rPr>
              <w:t>Ваші контакти</w:t>
            </w:r>
            <w:r w:rsidRPr="00A92D1B">
              <w:rPr>
                <w:rFonts w:eastAsia="Calibri" w:cs="Arial"/>
                <w:b/>
                <w:szCs w:val="22"/>
                <w:lang w:eastAsia="it-IT"/>
              </w:rPr>
              <w:t>:</w:t>
            </w:r>
          </w:p>
          <w:p w14:paraId="3263C03D" w14:textId="77777777" w:rsidR="00A92D1B" w:rsidRPr="00A92D1B" w:rsidRDefault="00A92D1B" w:rsidP="00A92D1B">
            <w:pPr>
              <w:rPr>
                <w:rFonts w:eastAsia="Calibri" w:cs="Arial"/>
                <w:bCs/>
                <w:szCs w:val="22"/>
                <w:lang w:eastAsia="en-US"/>
              </w:rPr>
            </w:pPr>
            <w:r w:rsidRPr="00A92D1B">
              <w:rPr>
                <w:rFonts w:eastAsia="Calibri" w:cs="Arial"/>
                <w:szCs w:val="22"/>
                <w:lang w:eastAsia="it-IT"/>
              </w:rPr>
              <w:t>Назва установи, організації, підприємства</w:t>
            </w:r>
          </w:p>
        </w:tc>
        <w:tc>
          <w:tcPr>
            <w:tcW w:w="7049" w:type="dxa"/>
            <w:gridSpan w:val="8"/>
          </w:tcPr>
          <w:p w14:paraId="37D29FE1" w14:textId="77777777" w:rsidR="00A92D1B" w:rsidRPr="00A92D1B" w:rsidRDefault="00A92D1B" w:rsidP="00A92D1B">
            <w:pPr>
              <w:jc w:val="both"/>
              <w:rPr>
                <w:rFonts w:eastAsia="Calibri" w:cs="Arial"/>
                <w:szCs w:val="22"/>
                <w:lang w:eastAsia="it-IT"/>
              </w:rPr>
            </w:pPr>
          </w:p>
          <w:p w14:paraId="264C4BAA" w14:textId="77777777" w:rsidR="00A92D1B" w:rsidRPr="00A92D1B" w:rsidRDefault="00A92D1B" w:rsidP="00A92D1B">
            <w:pPr>
              <w:jc w:val="both"/>
              <w:rPr>
                <w:rFonts w:eastAsia="Calibri" w:cs="Arial"/>
                <w:szCs w:val="22"/>
                <w:lang w:eastAsia="it-IT"/>
              </w:rPr>
            </w:pPr>
            <w:r w:rsidRPr="00A92D1B">
              <w:rPr>
                <w:rFonts w:eastAsia="Calibri" w:cs="Arial"/>
                <w:szCs w:val="22"/>
                <w:lang w:eastAsia="it-IT"/>
              </w:rPr>
              <w:t>ДПТНЗ «Жмеринське вище професійне училище»</w:t>
            </w:r>
          </w:p>
        </w:tc>
      </w:tr>
      <w:tr w:rsidR="00A92D1B" w:rsidRPr="00A92D1B" w14:paraId="4268CAB1" w14:textId="77777777" w:rsidTr="00A92D1B">
        <w:trPr>
          <w:gridAfter w:val="1"/>
          <w:wAfter w:w="23" w:type="dxa"/>
          <w:jc w:val="right"/>
        </w:trPr>
        <w:tc>
          <w:tcPr>
            <w:tcW w:w="3425" w:type="dxa"/>
          </w:tcPr>
          <w:p w14:paraId="7DE50016" w14:textId="77777777" w:rsidR="00A92D1B" w:rsidRPr="00A92D1B" w:rsidRDefault="00A92D1B" w:rsidP="00A92D1B">
            <w:pPr>
              <w:rPr>
                <w:rFonts w:eastAsia="Calibri" w:cs="Arial"/>
                <w:bCs/>
                <w:szCs w:val="22"/>
                <w:lang w:eastAsia="en-US"/>
              </w:rPr>
            </w:pPr>
            <w:r w:rsidRPr="00A92D1B">
              <w:rPr>
                <w:rFonts w:eastAsia="Calibri" w:cs="Arial"/>
                <w:szCs w:val="22"/>
                <w:lang w:eastAsia="it-IT"/>
              </w:rPr>
              <w:t>Прізвище Ім’я По-батькові:</w:t>
            </w:r>
          </w:p>
        </w:tc>
        <w:tc>
          <w:tcPr>
            <w:tcW w:w="7049" w:type="dxa"/>
            <w:gridSpan w:val="8"/>
          </w:tcPr>
          <w:p w14:paraId="55413A5C" w14:textId="77777777" w:rsidR="00A92D1B" w:rsidRPr="00A92D1B" w:rsidRDefault="00A92D1B" w:rsidP="00A92D1B">
            <w:pPr>
              <w:jc w:val="both"/>
              <w:rPr>
                <w:rFonts w:eastAsia="Calibri" w:cs="Arial"/>
                <w:szCs w:val="22"/>
                <w:lang w:eastAsia="it-IT"/>
              </w:rPr>
            </w:pPr>
            <w:r w:rsidRPr="00A92D1B">
              <w:rPr>
                <w:rFonts w:eastAsia="Calibri" w:cs="Arial"/>
                <w:szCs w:val="22"/>
                <w:lang w:eastAsia="it-IT"/>
              </w:rPr>
              <w:t>Крупчук Вікторія Степанівна</w:t>
            </w:r>
          </w:p>
        </w:tc>
      </w:tr>
      <w:tr w:rsidR="00A92D1B" w:rsidRPr="00A92D1B" w14:paraId="294FB7E7" w14:textId="77777777" w:rsidTr="00A92D1B">
        <w:trPr>
          <w:gridAfter w:val="1"/>
          <w:wAfter w:w="23" w:type="dxa"/>
          <w:jc w:val="right"/>
        </w:trPr>
        <w:tc>
          <w:tcPr>
            <w:tcW w:w="3425" w:type="dxa"/>
          </w:tcPr>
          <w:p w14:paraId="4934B806" w14:textId="77777777" w:rsidR="00A92D1B" w:rsidRPr="00A92D1B" w:rsidRDefault="00A92D1B" w:rsidP="00A92D1B">
            <w:pPr>
              <w:rPr>
                <w:rFonts w:eastAsia="Calibri" w:cs="Arial"/>
                <w:bCs/>
                <w:szCs w:val="22"/>
                <w:lang w:eastAsia="en-US"/>
              </w:rPr>
            </w:pPr>
            <w:r w:rsidRPr="00A92D1B">
              <w:rPr>
                <w:rFonts w:eastAsia="Calibri" w:cs="Arial"/>
                <w:szCs w:val="22"/>
                <w:lang w:eastAsia="it-IT"/>
              </w:rPr>
              <w:t>Телефон (мобільний):</w:t>
            </w:r>
          </w:p>
        </w:tc>
        <w:tc>
          <w:tcPr>
            <w:tcW w:w="7049" w:type="dxa"/>
            <w:gridSpan w:val="8"/>
          </w:tcPr>
          <w:p w14:paraId="0684A236" w14:textId="77777777" w:rsidR="00A92D1B" w:rsidRPr="00A92D1B" w:rsidRDefault="00A92D1B" w:rsidP="00A92D1B">
            <w:pPr>
              <w:jc w:val="both"/>
              <w:rPr>
                <w:rFonts w:eastAsia="Calibri" w:cs="Arial"/>
                <w:szCs w:val="22"/>
                <w:lang w:eastAsia="it-IT"/>
              </w:rPr>
            </w:pPr>
            <w:r w:rsidRPr="00A92D1B">
              <w:rPr>
                <w:rFonts w:eastAsia="Calibri" w:cs="Arial"/>
                <w:szCs w:val="22"/>
                <w:lang w:eastAsia="it-IT"/>
              </w:rPr>
              <w:t>097-501-77-01</w:t>
            </w:r>
          </w:p>
        </w:tc>
      </w:tr>
      <w:tr w:rsidR="00A92D1B" w:rsidRPr="00A92D1B" w14:paraId="4C50D7F6" w14:textId="77777777" w:rsidTr="00A92D1B">
        <w:trPr>
          <w:gridAfter w:val="1"/>
          <w:wAfter w:w="23" w:type="dxa"/>
          <w:jc w:val="right"/>
        </w:trPr>
        <w:tc>
          <w:tcPr>
            <w:tcW w:w="3425" w:type="dxa"/>
          </w:tcPr>
          <w:p w14:paraId="724EDAED" w14:textId="77777777" w:rsidR="00A92D1B" w:rsidRPr="00A92D1B" w:rsidRDefault="00A92D1B" w:rsidP="00A92D1B">
            <w:pPr>
              <w:rPr>
                <w:rFonts w:eastAsia="Calibri" w:cs="Arial"/>
                <w:bCs/>
                <w:szCs w:val="22"/>
                <w:lang w:eastAsia="en-US"/>
              </w:rPr>
            </w:pPr>
            <w:r w:rsidRPr="00A92D1B">
              <w:rPr>
                <w:rFonts w:eastAsia="Calibri" w:cs="Arial"/>
                <w:szCs w:val="22"/>
                <w:lang w:eastAsia="it-IT"/>
              </w:rPr>
              <w:t>Електронна адреса:</w:t>
            </w:r>
          </w:p>
        </w:tc>
        <w:tc>
          <w:tcPr>
            <w:tcW w:w="7049" w:type="dxa"/>
            <w:gridSpan w:val="8"/>
          </w:tcPr>
          <w:p w14:paraId="5631B746" w14:textId="77777777" w:rsidR="00A92D1B" w:rsidRPr="00A92D1B" w:rsidRDefault="00A92D1B" w:rsidP="00A92D1B">
            <w:pPr>
              <w:jc w:val="both"/>
              <w:rPr>
                <w:rFonts w:eastAsia="Calibri" w:cs="Arial"/>
                <w:szCs w:val="22"/>
                <w:lang w:val="en-US" w:eastAsia="it-IT"/>
              </w:rPr>
            </w:pPr>
            <w:r w:rsidRPr="00A92D1B">
              <w:rPr>
                <w:rFonts w:eastAsia="Calibri" w:cs="Arial"/>
                <w:szCs w:val="22"/>
                <w:lang w:val="en-US" w:eastAsia="it-IT"/>
              </w:rPr>
              <w:t>vikakrupchuk5@gmail/com</w:t>
            </w:r>
          </w:p>
        </w:tc>
      </w:tr>
      <w:tr w:rsidR="00A92D1B" w:rsidRPr="00A92D1B" w14:paraId="4DC9AC13" w14:textId="77777777" w:rsidTr="00A92D1B">
        <w:trPr>
          <w:gridAfter w:val="1"/>
          <w:wAfter w:w="23" w:type="dxa"/>
          <w:jc w:val="right"/>
        </w:trPr>
        <w:tc>
          <w:tcPr>
            <w:tcW w:w="3425" w:type="dxa"/>
            <w:vAlign w:val="center"/>
          </w:tcPr>
          <w:p w14:paraId="5479E8E9" w14:textId="77777777" w:rsidR="00A92D1B" w:rsidRPr="00A92D1B" w:rsidRDefault="00A92D1B" w:rsidP="00A92D1B">
            <w:pPr>
              <w:rPr>
                <w:rFonts w:eastAsia="Calibri" w:cs="Arial"/>
                <w:b/>
                <w:color w:val="000000"/>
                <w:szCs w:val="22"/>
                <w:lang w:eastAsia="en-US"/>
              </w:rPr>
            </w:pPr>
            <w:r w:rsidRPr="00A92D1B">
              <w:rPr>
                <w:rFonts w:eastAsia="Calibri" w:cs="Arial"/>
                <w:b/>
                <w:color w:val="000000"/>
                <w:szCs w:val="22"/>
                <w:lang w:eastAsia="en-US"/>
              </w:rPr>
              <w:t>Номер і назва завдання з Стратегії</w:t>
            </w:r>
            <w:r w:rsidRPr="00A92D1B">
              <w:rPr>
                <w:rFonts w:eastAsia="Calibri" w:cs="Arial"/>
                <w:b/>
                <w:szCs w:val="22"/>
                <w:lang w:eastAsia="it-IT"/>
              </w:rPr>
              <w:t xml:space="preserve"> </w:t>
            </w:r>
            <w:r w:rsidRPr="00A92D1B">
              <w:rPr>
                <w:rFonts w:eastAsia="Calibri" w:cs="Arial"/>
                <w:b/>
                <w:color w:val="000000"/>
                <w:szCs w:val="22"/>
                <w:lang w:eastAsia="en-US"/>
              </w:rPr>
              <w:t>розвитку Жмеринської міської територіальної громади,  якому відповідає проєкт:</w:t>
            </w:r>
          </w:p>
        </w:tc>
        <w:tc>
          <w:tcPr>
            <w:tcW w:w="7049" w:type="dxa"/>
            <w:gridSpan w:val="8"/>
          </w:tcPr>
          <w:p w14:paraId="63E905BD" w14:textId="77777777" w:rsidR="00A92D1B" w:rsidRPr="00A92D1B" w:rsidRDefault="00A92D1B" w:rsidP="00A92D1B">
            <w:pPr>
              <w:jc w:val="both"/>
              <w:rPr>
                <w:rFonts w:eastAsia="Calibri" w:cs="Arial"/>
                <w:bCs/>
                <w:szCs w:val="22"/>
                <w:lang w:eastAsia="it-IT"/>
              </w:rPr>
            </w:pPr>
            <w:r w:rsidRPr="00A92D1B">
              <w:rPr>
                <w:rFonts w:eastAsia="Calibri" w:cs="Arial"/>
                <w:bCs/>
                <w:szCs w:val="22"/>
                <w:lang w:eastAsia="it-IT"/>
              </w:rPr>
              <w:t>С. 1.3.1. Забезпечення доступу  до якісних освітніх послуг в тому числі для дітей з особливими освітніми потребами</w:t>
            </w:r>
          </w:p>
          <w:p w14:paraId="7D8E0E5B" w14:textId="77777777" w:rsidR="00A92D1B" w:rsidRPr="00A92D1B" w:rsidRDefault="00A92D1B" w:rsidP="00A92D1B">
            <w:pPr>
              <w:jc w:val="both"/>
              <w:rPr>
                <w:rFonts w:eastAsia="Calibri" w:cs="Arial"/>
                <w:szCs w:val="22"/>
                <w:lang w:eastAsia="it-IT"/>
              </w:rPr>
            </w:pPr>
          </w:p>
        </w:tc>
      </w:tr>
      <w:tr w:rsidR="00A92D1B" w:rsidRPr="00A92D1B" w14:paraId="73E2781C" w14:textId="77777777" w:rsidTr="00A92D1B">
        <w:trPr>
          <w:gridAfter w:val="1"/>
          <w:wAfter w:w="23" w:type="dxa"/>
          <w:jc w:val="right"/>
        </w:trPr>
        <w:tc>
          <w:tcPr>
            <w:tcW w:w="3425" w:type="dxa"/>
            <w:vAlign w:val="center"/>
          </w:tcPr>
          <w:p w14:paraId="4CDB27D9" w14:textId="77777777" w:rsidR="00A92D1B" w:rsidRPr="00A92D1B" w:rsidRDefault="00A92D1B" w:rsidP="00A92D1B">
            <w:pPr>
              <w:rPr>
                <w:rFonts w:eastAsia="Calibri" w:cs="Arial"/>
                <w:b/>
                <w:bCs/>
                <w:color w:val="000000"/>
                <w:szCs w:val="22"/>
                <w:lang w:eastAsia="en-US"/>
              </w:rPr>
            </w:pPr>
            <w:r w:rsidRPr="00A92D1B">
              <w:rPr>
                <w:rFonts w:eastAsia="Calibri" w:cs="Arial"/>
                <w:b/>
                <w:bCs/>
                <w:color w:val="000000"/>
                <w:szCs w:val="22"/>
                <w:lang w:eastAsia="en-US"/>
              </w:rPr>
              <w:t>Мета проєкту:</w:t>
            </w:r>
          </w:p>
        </w:tc>
        <w:tc>
          <w:tcPr>
            <w:tcW w:w="7049" w:type="dxa"/>
            <w:gridSpan w:val="8"/>
          </w:tcPr>
          <w:p w14:paraId="0E948C99" w14:textId="77777777" w:rsidR="00A92D1B" w:rsidRPr="00A92D1B" w:rsidRDefault="00A92D1B" w:rsidP="00A92D1B">
            <w:pPr>
              <w:jc w:val="both"/>
              <w:rPr>
                <w:rFonts w:eastAsia="Calibri" w:cs="Arial"/>
                <w:szCs w:val="22"/>
                <w:lang w:eastAsia="it-IT"/>
              </w:rPr>
            </w:pPr>
            <w:r w:rsidRPr="00A92D1B">
              <w:rPr>
                <w:rFonts w:eastAsia="Calibri" w:cs="Arial"/>
                <w:szCs w:val="22"/>
                <w:lang w:eastAsia="it-IT"/>
              </w:rPr>
              <w:t>Забезпечення підготовки фахівців для підприємств громади шляхом відкриття нових професій, ліцензування яких можливе завдяки створенню інклюзивного безбар’єрного освітнього простору в училищі.</w:t>
            </w:r>
          </w:p>
        </w:tc>
      </w:tr>
      <w:tr w:rsidR="00A92D1B" w:rsidRPr="004705DE" w14:paraId="3401C463" w14:textId="77777777" w:rsidTr="00A92D1B">
        <w:trPr>
          <w:gridAfter w:val="1"/>
          <w:wAfter w:w="23" w:type="dxa"/>
          <w:jc w:val="right"/>
        </w:trPr>
        <w:tc>
          <w:tcPr>
            <w:tcW w:w="3425" w:type="dxa"/>
            <w:vAlign w:val="center"/>
          </w:tcPr>
          <w:p w14:paraId="5226C2A8" w14:textId="77777777" w:rsidR="00A92D1B" w:rsidRPr="00A92D1B" w:rsidRDefault="00A92D1B" w:rsidP="00A92D1B">
            <w:pPr>
              <w:rPr>
                <w:rFonts w:eastAsia="Calibri" w:cs="Arial"/>
                <w:b/>
                <w:bCs/>
                <w:color w:val="000000"/>
                <w:szCs w:val="22"/>
                <w:lang w:eastAsia="en-US"/>
              </w:rPr>
            </w:pPr>
            <w:r w:rsidRPr="00A92D1B">
              <w:rPr>
                <w:rFonts w:eastAsia="Calibri" w:cs="Arial"/>
                <w:b/>
                <w:bCs/>
                <w:color w:val="000000"/>
                <w:szCs w:val="22"/>
                <w:lang w:eastAsia="en-US"/>
              </w:rPr>
              <w:t>Цілі проєкту:</w:t>
            </w:r>
          </w:p>
        </w:tc>
        <w:tc>
          <w:tcPr>
            <w:tcW w:w="7049" w:type="dxa"/>
            <w:gridSpan w:val="8"/>
          </w:tcPr>
          <w:p w14:paraId="340683DE" w14:textId="3E754A63" w:rsidR="00A92D1B" w:rsidRPr="00A92D1B" w:rsidRDefault="004705DE" w:rsidP="00A92D1B">
            <w:pPr>
              <w:jc w:val="both"/>
              <w:rPr>
                <w:rFonts w:eastAsia="Calibri" w:cs="Arial"/>
                <w:szCs w:val="22"/>
                <w:lang w:eastAsia="en-US"/>
              </w:rPr>
            </w:pPr>
            <w:r>
              <w:rPr>
                <w:rFonts w:eastAsia="Calibri" w:cs="Arial"/>
                <w:szCs w:val="22"/>
                <w:lang w:eastAsia="en-US"/>
              </w:rPr>
              <w:t>Забезпечення</w:t>
            </w:r>
            <w:r w:rsidR="00A92D1B" w:rsidRPr="00A92D1B">
              <w:rPr>
                <w:rFonts w:eastAsia="Calibri" w:cs="Arial"/>
                <w:szCs w:val="22"/>
                <w:lang w:eastAsia="en-US"/>
              </w:rPr>
              <w:t xml:space="preserve"> повн</w:t>
            </w:r>
            <w:r>
              <w:rPr>
                <w:rFonts w:eastAsia="Calibri" w:cs="Arial"/>
                <w:szCs w:val="22"/>
                <w:lang w:eastAsia="en-US"/>
              </w:rPr>
              <w:t>ої безбар’єрності</w:t>
            </w:r>
            <w:r w:rsidR="00A92D1B" w:rsidRPr="00A92D1B">
              <w:rPr>
                <w:rFonts w:eastAsia="Calibri" w:cs="Arial"/>
                <w:szCs w:val="22"/>
                <w:lang w:eastAsia="en-US"/>
              </w:rPr>
              <w:t xml:space="preserve"> освітнього середовища шляхом облаштування пандусів, поручнів, адаптованих санвузлів, доступних переходів і навігації для осіб з інвалідністю.</w:t>
            </w:r>
          </w:p>
          <w:p w14:paraId="78FDB782" w14:textId="57808466" w:rsidR="00A92D1B" w:rsidRPr="00A92D1B" w:rsidRDefault="004705DE" w:rsidP="00A92D1B">
            <w:pPr>
              <w:jc w:val="both"/>
              <w:rPr>
                <w:rFonts w:eastAsia="Calibri" w:cs="Arial"/>
                <w:szCs w:val="22"/>
                <w:lang w:eastAsia="en-US"/>
              </w:rPr>
            </w:pPr>
            <w:r>
              <w:rPr>
                <w:rFonts w:eastAsia="Calibri" w:cs="Arial"/>
                <w:szCs w:val="22"/>
                <w:lang w:eastAsia="en-US"/>
              </w:rPr>
              <w:t>Підготовка навчально-матеріальної бази</w:t>
            </w:r>
            <w:r w:rsidR="00A92D1B" w:rsidRPr="00A92D1B">
              <w:rPr>
                <w:rFonts w:eastAsia="Calibri" w:cs="Arial"/>
                <w:szCs w:val="22"/>
                <w:lang w:eastAsia="en-US"/>
              </w:rPr>
              <w:t xml:space="preserve"> до відкриття нових професій, з урахуванням потреб місцевих підприємств у кадрах (будівельна, технічна, кулінарна, сервісна галузі).</w:t>
            </w:r>
          </w:p>
          <w:p w14:paraId="3875EA97" w14:textId="49819B71" w:rsidR="00A92D1B" w:rsidRPr="00A92D1B" w:rsidRDefault="004705DE" w:rsidP="00A92D1B">
            <w:pPr>
              <w:jc w:val="both"/>
              <w:rPr>
                <w:rFonts w:eastAsia="Calibri" w:cs="Arial"/>
                <w:szCs w:val="22"/>
                <w:lang w:eastAsia="en-US"/>
              </w:rPr>
            </w:pPr>
            <w:r>
              <w:rPr>
                <w:rFonts w:eastAsia="Calibri" w:cs="Arial"/>
                <w:szCs w:val="22"/>
                <w:lang w:eastAsia="en-US"/>
              </w:rPr>
              <w:t>Підготовка педагогічного</w:t>
            </w:r>
            <w:r w:rsidR="00A92D1B" w:rsidRPr="00A92D1B">
              <w:rPr>
                <w:rFonts w:eastAsia="Calibri" w:cs="Arial"/>
                <w:szCs w:val="22"/>
                <w:lang w:eastAsia="en-US"/>
              </w:rPr>
              <w:t xml:space="preserve"> персонал</w:t>
            </w:r>
            <w:r>
              <w:rPr>
                <w:rFonts w:eastAsia="Calibri" w:cs="Arial"/>
                <w:szCs w:val="22"/>
                <w:lang w:eastAsia="en-US"/>
              </w:rPr>
              <w:t>у</w:t>
            </w:r>
            <w:r w:rsidR="00A92D1B" w:rsidRPr="00A92D1B">
              <w:rPr>
                <w:rFonts w:eastAsia="Calibri" w:cs="Arial"/>
                <w:szCs w:val="22"/>
                <w:lang w:eastAsia="en-US"/>
              </w:rPr>
              <w:t xml:space="preserve"> для роботи в інклюзивному</w:t>
            </w:r>
            <w:r>
              <w:rPr>
                <w:rFonts w:eastAsia="Calibri" w:cs="Arial"/>
                <w:szCs w:val="22"/>
                <w:lang w:eastAsia="en-US"/>
              </w:rPr>
              <w:t xml:space="preserve"> освітньому середовищі — навчання</w:t>
            </w:r>
            <w:r w:rsidR="00A92D1B" w:rsidRPr="00A92D1B">
              <w:rPr>
                <w:rFonts w:eastAsia="Calibri" w:cs="Arial"/>
                <w:szCs w:val="22"/>
                <w:lang w:eastAsia="en-US"/>
              </w:rPr>
              <w:t xml:space="preserve"> не менше 10 викладачів сучасним методикам інклюзивної педагогіки</w:t>
            </w:r>
            <w:r>
              <w:rPr>
                <w:rFonts w:eastAsia="Calibri" w:cs="Arial"/>
                <w:szCs w:val="22"/>
                <w:lang w:eastAsia="en-US"/>
              </w:rPr>
              <w:t>.</w:t>
            </w:r>
          </w:p>
          <w:p w14:paraId="1EB58025" w14:textId="09336D03" w:rsidR="00A92D1B" w:rsidRPr="00A92D1B" w:rsidRDefault="004705DE" w:rsidP="004705DE">
            <w:pPr>
              <w:jc w:val="both"/>
              <w:rPr>
                <w:rFonts w:eastAsia="Calibri" w:cs="Arial"/>
                <w:szCs w:val="22"/>
                <w:lang w:eastAsia="en-US"/>
              </w:rPr>
            </w:pPr>
            <w:r>
              <w:rPr>
                <w:rFonts w:eastAsia="Calibri" w:cs="Arial"/>
                <w:szCs w:val="22"/>
                <w:lang w:eastAsia="en-US"/>
              </w:rPr>
              <w:t>Відкриття не мен</w:t>
            </w:r>
            <w:r w:rsidR="00A92D1B" w:rsidRPr="00A92D1B">
              <w:rPr>
                <w:rFonts w:eastAsia="Calibri" w:cs="Arial"/>
                <w:szCs w:val="22"/>
                <w:lang w:eastAsia="en-US"/>
              </w:rPr>
              <w:t>ш</w:t>
            </w:r>
            <w:r>
              <w:rPr>
                <w:rFonts w:eastAsia="Calibri" w:cs="Arial"/>
                <w:szCs w:val="22"/>
                <w:lang w:eastAsia="en-US"/>
              </w:rPr>
              <w:t>е</w:t>
            </w:r>
            <w:r w:rsidR="00A92D1B" w:rsidRPr="00A92D1B">
              <w:rPr>
                <w:rFonts w:eastAsia="Calibri" w:cs="Arial"/>
                <w:szCs w:val="22"/>
                <w:lang w:eastAsia="en-US"/>
              </w:rPr>
              <w:t xml:space="preserve"> ніж 3 професії а саме</w:t>
            </w:r>
            <w:r>
              <w:rPr>
                <w:rFonts w:eastAsia="Calibri" w:cs="Arial"/>
                <w:szCs w:val="22"/>
                <w:lang w:eastAsia="en-US"/>
              </w:rPr>
              <w:t xml:space="preserve"> для будівельної, технічної, кулінарної та сервісної галузей</w:t>
            </w:r>
            <w:r w:rsidR="00A92D1B" w:rsidRPr="00A92D1B">
              <w:rPr>
                <w:rFonts w:eastAsia="Calibri" w:cs="Arial"/>
                <w:szCs w:val="22"/>
                <w:lang w:eastAsia="en-US"/>
              </w:rPr>
              <w:t>.</w:t>
            </w:r>
          </w:p>
        </w:tc>
      </w:tr>
      <w:tr w:rsidR="00A92D1B" w:rsidRPr="00A92D1B" w14:paraId="07D16CFF" w14:textId="77777777" w:rsidTr="00A92D1B">
        <w:trPr>
          <w:gridAfter w:val="1"/>
          <w:wAfter w:w="23" w:type="dxa"/>
          <w:jc w:val="right"/>
        </w:trPr>
        <w:tc>
          <w:tcPr>
            <w:tcW w:w="3425" w:type="dxa"/>
            <w:vAlign w:val="center"/>
          </w:tcPr>
          <w:p w14:paraId="42D7E59A" w14:textId="77777777" w:rsidR="00A92D1B" w:rsidRPr="00A92D1B" w:rsidRDefault="00A92D1B" w:rsidP="00A92D1B">
            <w:pPr>
              <w:rPr>
                <w:rFonts w:eastAsia="Calibri" w:cs="Arial"/>
                <w:b/>
                <w:color w:val="000000"/>
                <w:szCs w:val="22"/>
                <w:lang w:eastAsia="en-US"/>
              </w:rPr>
            </w:pPr>
            <w:r w:rsidRPr="00A92D1B">
              <w:rPr>
                <w:rFonts w:eastAsia="Calibri" w:cs="Arial"/>
                <w:b/>
                <w:color w:val="000000"/>
                <w:szCs w:val="22"/>
                <w:lang w:eastAsia="en-US"/>
              </w:rPr>
              <w:t>Територія на яку проєкт матиме вплив:</w:t>
            </w:r>
          </w:p>
        </w:tc>
        <w:tc>
          <w:tcPr>
            <w:tcW w:w="7049" w:type="dxa"/>
            <w:gridSpan w:val="8"/>
          </w:tcPr>
          <w:p w14:paraId="6F902467" w14:textId="77777777" w:rsidR="00A92D1B" w:rsidRPr="00A92D1B" w:rsidRDefault="00A92D1B" w:rsidP="00A92D1B">
            <w:pPr>
              <w:jc w:val="both"/>
              <w:rPr>
                <w:rFonts w:eastAsia="Calibri" w:cs="Arial"/>
                <w:szCs w:val="22"/>
                <w:lang w:eastAsia="it-IT"/>
              </w:rPr>
            </w:pPr>
            <w:r w:rsidRPr="00A92D1B">
              <w:rPr>
                <w:rFonts w:eastAsia="Calibri" w:cs="Arial"/>
                <w:szCs w:val="22"/>
                <w:lang w:eastAsia="it-IT"/>
              </w:rPr>
              <w:t>Жмеринський район, Вінницької області.</w:t>
            </w:r>
          </w:p>
        </w:tc>
      </w:tr>
      <w:tr w:rsidR="00A92D1B" w:rsidRPr="00A92D1B" w14:paraId="2665D25D" w14:textId="77777777" w:rsidTr="00A92D1B">
        <w:trPr>
          <w:gridAfter w:val="1"/>
          <w:wAfter w:w="23" w:type="dxa"/>
          <w:jc w:val="right"/>
        </w:trPr>
        <w:tc>
          <w:tcPr>
            <w:tcW w:w="3425" w:type="dxa"/>
            <w:vAlign w:val="center"/>
          </w:tcPr>
          <w:p w14:paraId="084F2392" w14:textId="77777777" w:rsidR="00A92D1B" w:rsidRPr="00A92D1B" w:rsidRDefault="00A92D1B" w:rsidP="00A92D1B">
            <w:pPr>
              <w:rPr>
                <w:rFonts w:eastAsia="Calibri" w:cs="Arial"/>
                <w:b/>
                <w:color w:val="000000"/>
                <w:szCs w:val="22"/>
                <w:lang w:eastAsia="en-US"/>
              </w:rPr>
            </w:pPr>
            <w:r w:rsidRPr="00A92D1B">
              <w:rPr>
                <w:rFonts w:eastAsia="Calibri" w:cs="Arial"/>
                <w:b/>
                <w:color w:val="000000"/>
                <w:szCs w:val="22"/>
                <w:lang w:eastAsia="en-US"/>
              </w:rPr>
              <w:t>Цільові групи проєкту та кількість отримувачів вигоди</w:t>
            </w:r>
          </w:p>
        </w:tc>
        <w:tc>
          <w:tcPr>
            <w:tcW w:w="7049" w:type="dxa"/>
            <w:gridSpan w:val="8"/>
          </w:tcPr>
          <w:p w14:paraId="5F143C9A" w14:textId="65729A57" w:rsidR="00A92D1B" w:rsidRPr="00A92D1B" w:rsidRDefault="00A92D1B" w:rsidP="00A92D1B">
            <w:pPr>
              <w:jc w:val="both"/>
              <w:rPr>
                <w:rFonts w:eastAsia="Calibri" w:cs="Arial"/>
                <w:szCs w:val="22"/>
                <w:lang w:eastAsia="ar-SA"/>
              </w:rPr>
            </w:pPr>
            <w:r w:rsidRPr="00A92D1B">
              <w:rPr>
                <w:rFonts w:eastAsia="Calibri" w:cs="Arial"/>
                <w:szCs w:val="22"/>
                <w:lang w:eastAsia="en-US"/>
              </w:rPr>
              <w:t xml:space="preserve">Учні училища у кількості 320 осіб та абітурієнти Жмеринської громади 180 осіб, у тому числі з інвалідністю чи ООП. Підприємства громади, які отримають кваліфікованих працівників; місцева молодь, що матиме можливість навчання та працевлаштування на місці. Родини учнів, міська громада в кількості 48000 осіб, освітні </w:t>
            </w:r>
            <w:r w:rsidR="004705DE">
              <w:rPr>
                <w:rFonts w:eastAsia="Calibri" w:cs="Arial"/>
                <w:szCs w:val="22"/>
                <w:lang w:eastAsia="en-US"/>
              </w:rPr>
              <w:t>заклади, місцевий бізнес, служба</w:t>
            </w:r>
            <w:r w:rsidRPr="00A92D1B">
              <w:rPr>
                <w:rFonts w:eastAsia="Calibri" w:cs="Arial"/>
                <w:szCs w:val="22"/>
                <w:lang w:eastAsia="en-US"/>
              </w:rPr>
              <w:t xml:space="preserve"> зайнятості, викладачі. </w:t>
            </w:r>
          </w:p>
        </w:tc>
      </w:tr>
      <w:tr w:rsidR="00A92D1B" w:rsidRPr="00A92D1B" w14:paraId="591A5FC1" w14:textId="77777777" w:rsidTr="00A92D1B">
        <w:trPr>
          <w:gridAfter w:val="1"/>
          <w:wAfter w:w="23" w:type="dxa"/>
          <w:jc w:val="right"/>
        </w:trPr>
        <w:tc>
          <w:tcPr>
            <w:tcW w:w="3425" w:type="dxa"/>
            <w:shd w:val="clear" w:color="auto" w:fill="FFFFFF"/>
            <w:vAlign w:val="center"/>
          </w:tcPr>
          <w:p w14:paraId="2B43FB46" w14:textId="77777777" w:rsidR="00A92D1B" w:rsidRPr="00A92D1B" w:rsidRDefault="00A92D1B" w:rsidP="00A92D1B">
            <w:pPr>
              <w:rPr>
                <w:rFonts w:eastAsia="Calibri" w:cs="Arial"/>
                <w:b/>
                <w:bCs/>
                <w:color w:val="000000"/>
                <w:szCs w:val="22"/>
                <w:lang w:eastAsia="en-US"/>
              </w:rPr>
            </w:pPr>
            <w:r w:rsidRPr="00A92D1B">
              <w:rPr>
                <w:rFonts w:eastAsia="Calibri" w:cs="Arial"/>
                <w:b/>
                <w:bCs/>
                <w:color w:val="000000"/>
                <w:szCs w:val="22"/>
                <w:lang w:eastAsia="en-US"/>
              </w:rPr>
              <w:t>Стислий опис проєкту:</w:t>
            </w:r>
          </w:p>
        </w:tc>
        <w:tc>
          <w:tcPr>
            <w:tcW w:w="7049" w:type="dxa"/>
            <w:gridSpan w:val="8"/>
          </w:tcPr>
          <w:p w14:paraId="6A0B7CD3" w14:textId="77777777" w:rsidR="00A92D1B" w:rsidRPr="00A92D1B" w:rsidRDefault="00A92D1B" w:rsidP="00A92D1B">
            <w:pPr>
              <w:jc w:val="both"/>
              <w:rPr>
                <w:rFonts w:eastAsia="Calibri" w:cs="Arial"/>
                <w:szCs w:val="22"/>
                <w:lang w:eastAsia="en-US"/>
              </w:rPr>
            </w:pPr>
            <w:r w:rsidRPr="00A92D1B">
              <w:rPr>
                <w:rFonts w:eastAsia="Calibri" w:cs="Arial"/>
                <w:szCs w:val="22"/>
                <w:lang w:eastAsia="en-US"/>
              </w:rPr>
              <w:t>Жмеринське вище професійне училище є важливою ланкою системи професійної освіти громади. Сьогодні навчальний заклад не повністю відповідає вимогам нового Закону України «Про професійну освіту» (№4574-ІХ, 2024 р.), який зобов’язує створити безбар’єрне, інклюзивне освітнє середовище як обов’язкову умову для отримання ліцензій на нові професії.</w:t>
            </w:r>
          </w:p>
          <w:p w14:paraId="55C0A708" w14:textId="77777777" w:rsidR="00A92D1B" w:rsidRPr="00A92D1B" w:rsidRDefault="00A92D1B" w:rsidP="00A92D1B">
            <w:pPr>
              <w:jc w:val="both"/>
              <w:rPr>
                <w:rFonts w:eastAsia="Calibri" w:cs="Arial"/>
                <w:szCs w:val="22"/>
                <w:lang w:eastAsia="en-US"/>
              </w:rPr>
            </w:pPr>
            <w:r w:rsidRPr="00A92D1B">
              <w:rPr>
                <w:rFonts w:eastAsia="Calibri" w:cs="Arial"/>
                <w:szCs w:val="22"/>
                <w:lang w:eastAsia="en-US"/>
              </w:rPr>
              <w:t>Реалізація проєкту дасть можливість:</w:t>
            </w:r>
          </w:p>
          <w:p w14:paraId="5AD4CBD3" w14:textId="77777777" w:rsidR="00A92D1B" w:rsidRPr="00A92D1B" w:rsidRDefault="00A92D1B" w:rsidP="00A92D1B">
            <w:pPr>
              <w:jc w:val="both"/>
              <w:rPr>
                <w:rFonts w:eastAsia="Calibri" w:cs="Arial"/>
                <w:szCs w:val="22"/>
                <w:lang w:eastAsia="en-US"/>
              </w:rPr>
            </w:pPr>
            <w:r w:rsidRPr="00A92D1B">
              <w:rPr>
                <w:rFonts w:eastAsia="Calibri" w:cs="Arial"/>
                <w:szCs w:val="22"/>
                <w:lang w:eastAsia="en-US"/>
              </w:rPr>
              <w:t>модернізувати інфраструктуру училища відповідно до принципів універсального дизайну;</w:t>
            </w:r>
          </w:p>
          <w:p w14:paraId="309C4967" w14:textId="77777777" w:rsidR="00A92D1B" w:rsidRPr="00A92D1B" w:rsidRDefault="00A92D1B" w:rsidP="00A92D1B">
            <w:pPr>
              <w:jc w:val="both"/>
              <w:rPr>
                <w:rFonts w:eastAsia="Calibri" w:cs="Arial"/>
                <w:szCs w:val="22"/>
                <w:lang w:eastAsia="en-US"/>
              </w:rPr>
            </w:pPr>
            <w:r w:rsidRPr="00A92D1B">
              <w:rPr>
                <w:rFonts w:eastAsia="Calibri" w:cs="Arial"/>
                <w:szCs w:val="22"/>
                <w:lang w:eastAsia="en-US"/>
              </w:rPr>
              <w:t>отримати ліцензії на відкриття нових професій, потрібних місцевим підприємствам;</w:t>
            </w:r>
          </w:p>
          <w:p w14:paraId="76B8AF89" w14:textId="77777777" w:rsidR="00A92D1B" w:rsidRPr="00A92D1B" w:rsidRDefault="00A92D1B" w:rsidP="00A92D1B">
            <w:pPr>
              <w:jc w:val="both"/>
              <w:rPr>
                <w:rFonts w:eastAsia="Calibri" w:cs="Arial"/>
                <w:szCs w:val="22"/>
                <w:lang w:eastAsia="en-US"/>
              </w:rPr>
            </w:pPr>
            <w:r w:rsidRPr="00A92D1B">
              <w:rPr>
                <w:rFonts w:eastAsia="Calibri" w:cs="Arial"/>
                <w:szCs w:val="22"/>
                <w:lang w:eastAsia="en-US"/>
              </w:rPr>
              <w:t>створити умови для навчання молоді з усіх населених пунктів громади;</w:t>
            </w:r>
          </w:p>
          <w:p w14:paraId="263300AD" w14:textId="77777777" w:rsidR="00A92D1B" w:rsidRPr="00A92D1B" w:rsidRDefault="00A92D1B" w:rsidP="00A92D1B">
            <w:pPr>
              <w:jc w:val="both"/>
              <w:rPr>
                <w:rFonts w:eastAsia="Calibri" w:cs="Arial"/>
                <w:szCs w:val="22"/>
                <w:lang w:eastAsia="en-US"/>
              </w:rPr>
            </w:pPr>
            <w:r w:rsidRPr="00A92D1B">
              <w:rPr>
                <w:rFonts w:eastAsia="Calibri" w:cs="Arial"/>
                <w:szCs w:val="22"/>
                <w:lang w:eastAsia="en-US"/>
              </w:rPr>
              <w:t>підвищити престиж професійної освіти та сприяти затримці молоді в місті.</w:t>
            </w:r>
          </w:p>
          <w:p w14:paraId="0DADA187" w14:textId="77777777" w:rsidR="00A92D1B" w:rsidRPr="00A92D1B" w:rsidRDefault="00A92D1B" w:rsidP="00A92D1B">
            <w:pPr>
              <w:jc w:val="both"/>
              <w:rPr>
                <w:rFonts w:eastAsia="Calibri" w:cs="Arial"/>
                <w:szCs w:val="22"/>
                <w:lang w:eastAsia="en-US"/>
              </w:rPr>
            </w:pPr>
            <w:r w:rsidRPr="00A92D1B">
              <w:rPr>
                <w:rFonts w:eastAsia="Calibri" w:cs="Arial"/>
                <w:szCs w:val="22"/>
                <w:lang w:eastAsia="en-US"/>
              </w:rPr>
              <w:t>Проєкт сприятиме розвитку місцевого ринку праці, формуванню власних бізнес-ініціатив серед випускників і підвищенню соціальної згуртованості громади.</w:t>
            </w:r>
          </w:p>
        </w:tc>
      </w:tr>
      <w:tr w:rsidR="00A92D1B" w:rsidRPr="00A92D1B" w14:paraId="7D0E8265" w14:textId="77777777" w:rsidTr="00A92D1B">
        <w:trPr>
          <w:gridAfter w:val="1"/>
          <w:wAfter w:w="23" w:type="dxa"/>
          <w:trHeight w:val="703"/>
          <w:jc w:val="right"/>
        </w:trPr>
        <w:tc>
          <w:tcPr>
            <w:tcW w:w="3425" w:type="dxa"/>
            <w:shd w:val="clear" w:color="auto" w:fill="FFFFFF"/>
            <w:vAlign w:val="center"/>
          </w:tcPr>
          <w:p w14:paraId="63D8534A" w14:textId="77777777" w:rsidR="00A92D1B" w:rsidRPr="00A92D1B" w:rsidRDefault="00A92D1B" w:rsidP="00A92D1B">
            <w:pPr>
              <w:rPr>
                <w:rFonts w:eastAsia="Calibri" w:cs="Arial"/>
                <w:b/>
                <w:bCs/>
                <w:color w:val="000000"/>
                <w:szCs w:val="22"/>
                <w:lang w:eastAsia="en-US"/>
              </w:rPr>
            </w:pPr>
            <w:r w:rsidRPr="00A92D1B">
              <w:rPr>
                <w:rFonts w:eastAsia="Calibri" w:cs="Arial"/>
                <w:b/>
                <w:bCs/>
                <w:color w:val="000000"/>
                <w:szCs w:val="22"/>
                <w:lang w:eastAsia="en-US"/>
              </w:rPr>
              <w:t>Основні заходи проєкту:</w:t>
            </w:r>
          </w:p>
        </w:tc>
        <w:tc>
          <w:tcPr>
            <w:tcW w:w="7049" w:type="dxa"/>
            <w:gridSpan w:val="8"/>
          </w:tcPr>
          <w:p w14:paraId="7D003876" w14:textId="65EB6C9A" w:rsidR="00A92D1B" w:rsidRPr="00A92D1B" w:rsidRDefault="00A943D6" w:rsidP="00A92D1B">
            <w:pPr>
              <w:jc w:val="both"/>
              <w:rPr>
                <w:rFonts w:eastAsia="Calibri" w:cs="Arial"/>
                <w:szCs w:val="22"/>
                <w:lang w:eastAsia="en-US"/>
              </w:rPr>
            </w:pPr>
            <w:r>
              <w:rPr>
                <w:rFonts w:eastAsia="Calibri" w:cs="Arial"/>
                <w:szCs w:val="22"/>
                <w:lang w:eastAsia="en-US"/>
              </w:rPr>
              <w:t>Проведення</w:t>
            </w:r>
            <w:r w:rsidR="00A92D1B" w:rsidRPr="00A92D1B">
              <w:rPr>
                <w:rFonts w:eastAsia="Calibri" w:cs="Arial"/>
                <w:szCs w:val="22"/>
                <w:lang w:eastAsia="en-US"/>
              </w:rPr>
              <w:t xml:space="preserve"> аудит</w:t>
            </w:r>
            <w:r>
              <w:rPr>
                <w:rFonts w:eastAsia="Calibri" w:cs="Arial"/>
                <w:szCs w:val="22"/>
                <w:lang w:eastAsia="en-US"/>
              </w:rPr>
              <w:t>у</w:t>
            </w:r>
            <w:r w:rsidR="00A92D1B" w:rsidRPr="00A92D1B">
              <w:rPr>
                <w:rFonts w:eastAsia="Calibri" w:cs="Arial"/>
                <w:szCs w:val="22"/>
                <w:lang w:eastAsia="en-US"/>
              </w:rPr>
              <w:t xml:space="preserve"> стану будівель і території на предмет доступності.</w:t>
            </w:r>
          </w:p>
          <w:p w14:paraId="0C830D5E" w14:textId="69BF1A84" w:rsidR="00A92D1B" w:rsidRPr="00A92D1B" w:rsidRDefault="00A943D6" w:rsidP="00A92D1B">
            <w:pPr>
              <w:jc w:val="both"/>
              <w:rPr>
                <w:rFonts w:eastAsia="Calibri" w:cs="Arial"/>
                <w:szCs w:val="22"/>
                <w:lang w:eastAsia="en-US"/>
              </w:rPr>
            </w:pPr>
            <w:r>
              <w:rPr>
                <w:rFonts w:eastAsia="Calibri" w:cs="Arial"/>
                <w:szCs w:val="22"/>
                <w:lang w:eastAsia="en-US"/>
              </w:rPr>
              <w:t>Розроблення та затвердження проєктно-кошторисної документації</w:t>
            </w:r>
            <w:r w:rsidR="00A92D1B" w:rsidRPr="00A92D1B">
              <w:rPr>
                <w:rFonts w:eastAsia="Calibri" w:cs="Arial"/>
                <w:szCs w:val="22"/>
                <w:lang w:eastAsia="en-US"/>
              </w:rPr>
              <w:t xml:space="preserve"> згідно з ДБН В.2.2-40:2018.</w:t>
            </w:r>
          </w:p>
          <w:p w14:paraId="1AA4846D" w14:textId="38578CBA" w:rsidR="00A92D1B" w:rsidRPr="00A92D1B" w:rsidRDefault="00A943D6" w:rsidP="00A92D1B">
            <w:pPr>
              <w:jc w:val="both"/>
              <w:rPr>
                <w:rFonts w:eastAsia="Calibri" w:cs="Arial"/>
                <w:szCs w:val="22"/>
                <w:lang w:eastAsia="en-US"/>
              </w:rPr>
            </w:pPr>
            <w:r>
              <w:rPr>
                <w:rFonts w:eastAsia="Calibri" w:cs="Arial"/>
                <w:szCs w:val="22"/>
                <w:lang w:eastAsia="en-US"/>
              </w:rPr>
              <w:t>Облаштування пандусів</w:t>
            </w:r>
            <w:r w:rsidR="00A92D1B" w:rsidRPr="00A92D1B">
              <w:rPr>
                <w:rFonts w:eastAsia="Calibri" w:cs="Arial"/>
                <w:szCs w:val="22"/>
                <w:lang w:eastAsia="en-US"/>
              </w:rPr>
              <w:t>, поручні</w:t>
            </w:r>
            <w:r>
              <w:rPr>
                <w:rFonts w:eastAsia="Calibri" w:cs="Arial"/>
                <w:szCs w:val="22"/>
                <w:lang w:eastAsia="en-US"/>
              </w:rPr>
              <w:t>в, адаптованих санвузлів та безпечних</w:t>
            </w:r>
            <w:r w:rsidR="00A92D1B" w:rsidRPr="00A92D1B">
              <w:rPr>
                <w:rFonts w:eastAsia="Calibri" w:cs="Arial"/>
                <w:szCs w:val="22"/>
                <w:lang w:eastAsia="en-US"/>
              </w:rPr>
              <w:t xml:space="preserve"> переход</w:t>
            </w:r>
            <w:r>
              <w:rPr>
                <w:rFonts w:eastAsia="Calibri" w:cs="Arial"/>
                <w:szCs w:val="22"/>
                <w:lang w:eastAsia="en-US"/>
              </w:rPr>
              <w:t>ів</w:t>
            </w:r>
            <w:r w:rsidR="00A92D1B" w:rsidRPr="00A92D1B">
              <w:rPr>
                <w:rFonts w:eastAsia="Calibri" w:cs="Arial"/>
                <w:szCs w:val="22"/>
                <w:lang w:eastAsia="en-US"/>
              </w:rPr>
              <w:t>.</w:t>
            </w:r>
          </w:p>
          <w:p w14:paraId="347902B2" w14:textId="1E56A56D" w:rsidR="00A92D1B" w:rsidRPr="00A92D1B" w:rsidRDefault="00A943D6" w:rsidP="00A92D1B">
            <w:pPr>
              <w:jc w:val="both"/>
              <w:rPr>
                <w:rFonts w:eastAsia="Calibri" w:cs="Arial"/>
                <w:szCs w:val="22"/>
                <w:lang w:eastAsia="en-US"/>
              </w:rPr>
            </w:pPr>
            <w:r>
              <w:rPr>
                <w:rFonts w:eastAsia="Calibri" w:cs="Arial"/>
                <w:szCs w:val="22"/>
                <w:lang w:eastAsia="en-US"/>
              </w:rPr>
              <w:t>Проведення сертифікації об’єкту</w:t>
            </w:r>
            <w:r w:rsidR="00A92D1B" w:rsidRPr="00A92D1B">
              <w:rPr>
                <w:rFonts w:eastAsia="Calibri" w:cs="Arial"/>
                <w:szCs w:val="22"/>
                <w:lang w:eastAsia="en-US"/>
              </w:rPr>
              <w:t xml:space="preserve"> на відповідність критеріям інклюзивності.</w:t>
            </w:r>
          </w:p>
          <w:p w14:paraId="216929E0" w14:textId="45CE0D82" w:rsidR="00A92D1B" w:rsidRPr="00A92D1B" w:rsidRDefault="00A943D6" w:rsidP="00A92D1B">
            <w:pPr>
              <w:jc w:val="both"/>
              <w:rPr>
                <w:rFonts w:cs="Arial"/>
                <w:szCs w:val="22"/>
                <w:lang w:eastAsia="uk-UA"/>
              </w:rPr>
            </w:pPr>
            <w:r>
              <w:rPr>
                <w:rFonts w:cs="Arial"/>
                <w:szCs w:val="22"/>
                <w:lang w:eastAsia="uk-UA"/>
              </w:rPr>
              <w:t>Проведення</w:t>
            </w:r>
            <w:r w:rsidR="00A92D1B" w:rsidRPr="00A92D1B">
              <w:rPr>
                <w:rFonts w:cs="Arial"/>
                <w:szCs w:val="22"/>
                <w:lang w:eastAsia="uk-UA"/>
              </w:rPr>
              <w:t xml:space="preserve"> аналіз</w:t>
            </w:r>
            <w:r>
              <w:rPr>
                <w:rFonts w:cs="Arial"/>
                <w:szCs w:val="22"/>
                <w:lang w:eastAsia="uk-UA"/>
              </w:rPr>
              <w:t>у</w:t>
            </w:r>
            <w:r w:rsidR="00A92D1B" w:rsidRPr="00A92D1B">
              <w:rPr>
                <w:rFonts w:cs="Arial"/>
                <w:szCs w:val="22"/>
                <w:lang w:eastAsia="uk-UA"/>
              </w:rPr>
              <w:t xml:space="preserve"> потреб ринку праці Жмеринської громади.</w:t>
            </w:r>
          </w:p>
          <w:p w14:paraId="5A784D97" w14:textId="3CB29D58" w:rsidR="00A92D1B" w:rsidRPr="00A92D1B" w:rsidRDefault="00A943D6" w:rsidP="00A92D1B">
            <w:pPr>
              <w:jc w:val="both"/>
              <w:rPr>
                <w:rFonts w:cs="Arial"/>
                <w:szCs w:val="22"/>
                <w:lang w:eastAsia="uk-UA"/>
              </w:rPr>
            </w:pPr>
            <w:r>
              <w:rPr>
                <w:rFonts w:cs="Arial"/>
                <w:szCs w:val="22"/>
                <w:lang w:eastAsia="uk-UA"/>
              </w:rPr>
              <w:t>Підготовка</w:t>
            </w:r>
            <w:r w:rsidR="00A92D1B" w:rsidRPr="00A92D1B">
              <w:rPr>
                <w:rFonts w:cs="Arial"/>
                <w:szCs w:val="22"/>
                <w:lang w:eastAsia="uk-UA"/>
              </w:rPr>
              <w:t xml:space="preserve"> пакет</w:t>
            </w:r>
            <w:r>
              <w:rPr>
                <w:rFonts w:cs="Arial"/>
                <w:szCs w:val="22"/>
                <w:lang w:eastAsia="uk-UA"/>
              </w:rPr>
              <w:t>у</w:t>
            </w:r>
            <w:r w:rsidR="00A92D1B" w:rsidRPr="00A92D1B">
              <w:rPr>
                <w:rFonts w:cs="Arial"/>
                <w:szCs w:val="22"/>
                <w:lang w:eastAsia="uk-UA"/>
              </w:rPr>
              <w:t xml:space="preserve"> документів для отримання ліцензій на нові професії (кулінарія, технічні спеціальності, сфера послуг, будівництво).</w:t>
            </w:r>
          </w:p>
          <w:p w14:paraId="5445842E" w14:textId="4A642CF1" w:rsidR="00A92D1B" w:rsidRPr="00A92D1B" w:rsidRDefault="00A943D6" w:rsidP="00A92D1B">
            <w:pPr>
              <w:jc w:val="both"/>
              <w:rPr>
                <w:rFonts w:cs="Arial"/>
                <w:szCs w:val="22"/>
                <w:lang w:eastAsia="uk-UA"/>
              </w:rPr>
            </w:pPr>
            <w:r>
              <w:rPr>
                <w:rFonts w:cs="Arial"/>
                <w:szCs w:val="22"/>
                <w:lang w:eastAsia="uk-UA"/>
              </w:rPr>
              <w:t>Оснащення навчальних</w:t>
            </w:r>
            <w:r w:rsidR="00A92D1B" w:rsidRPr="00A92D1B">
              <w:rPr>
                <w:rFonts w:cs="Arial"/>
                <w:szCs w:val="22"/>
                <w:lang w:eastAsia="uk-UA"/>
              </w:rPr>
              <w:t xml:space="preserve"> майстер</w:t>
            </w:r>
            <w:r>
              <w:rPr>
                <w:rFonts w:cs="Arial"/>
                <w:szCs w:val="22"/>
                <w:lang w:eastAsia="uk-UA"/>
              </w:rPr>
              <w:t>ень</w:t>
            </w:r>
            <w:r w:rsidR="00A92D1B" w:rsidRPr="00A92D1B">
              <w:rPr>
                <w:rFonts w:cs="Arial"/>
                <w:szCs w:val="22"/>
                <w:lang w:eastAsia="uk-UA"/>
              </w:rPr>
              <w:t xml:space="preserve"> сучасним обладнанням.</w:t>
            </w:r>
          </w:p>
          <w:p w14:paraId="09ECA8E3" w14:textId="7AD59176" w:rsidR="00A92D1B" w:rsidRPr="00A92D1B" w:rsidRDefault="00A92D1B" w:rsidP="00A92D1B">
            <w:pPr>
              <w:jc w:val="both"/>
              <w:rPr>
                <w:rFonts w:cs="Arial"/>
                <w:szCs w:val="22"/>
                <w:lang w:eastAsia="uk-UA"/>
              </w:rPr>
            </w:pPr>
            <w:r w:rsidRPr="00A92D1B">
              <w:rPr>
                <w:rFonts w:cs="Arial"/>
                <w:szCs w:val="22"/>
                <w:lang w:eastAsia="uk-UA"/>
              </w:rPr>
              <w:t>Нал</w:t>
            </w:r>
            <w:r w:rsidR="00A943D6">
              <w:rPr>
                <w:rFonts w:cs="Arial"/>
                <w:szCs w:val="22"/>
                <w:lang w:eastAsia="uk-UA"/>
              </w:rPr>
              <w:t>агодження партнерства</w:t>
            </w:r>
            <w:r w:rsidRPr="00A92D1B">
              <w:rPr>
                <w:rFonts w:cs="Arial"/>
                <w:szCs w:val="22"/>
                <w:lang w:eastAsia="uk-UA"/>
              </w:rPr>
              <w:t xml:space="preserve"> з підприємствами для дуальної освіти та практики.</w:t>
            </w:r>
          </w:p>
          <w:p w14:paraId="5717CD94" w14:textId="657CC359" w:rsidR="00A92D1B" w:rsidRPr="00A92D1B" w:rsidRDefault="00A943D6" w:rsidP="00A92D1B">
            <w:pPr>
              <w:jc w:val="both"/>
              <w:rPr>
                <w:rFonts w:cs="Arial"/>
                <w:szCs w:val="22"/>
                <w:lang w:eastAsia="uk-UA"/>
              </w:rPr>
            </w:pPr>
            <w:r>
              <w:rPr>
                <w:rFonts w:cs="Arial"/>
                <w:szCs w:val="22"/>
                <w:lang w:eastAsia="uk-UA"/>
              </w:rPr>
              <w:t>Проведення профорієнтаційних заходів</w:t>
            </w:r>
            <w:r w:rsidR="00A92D1B" w:rsidRPr="00A92D1B">
              <w:rPr>
                <w:rFonts w:cs="Arial"/>
                <w:szCs w:val="22"/>
                <w:lang w:eastAsia="uk-UA"/>
              </w:rPr>
              <w:t xml:space="preserve"> для молоді громади.</w:t>
            </w:r>
          </w:p>
          <w:p w14:paraId="47367AAF" w14:textId="52A85B96" w:rsidR="00A92D1B" w:rsidRPr="00A92D1B" w:rsidRDefault="00A943D6" w:rsidP="00A92D1B">
            <w:pPr>
              <w:jc w:val="both"/>
              <w:rPr>
                <w:rFonts w:cs="Arial"/>
                <w:szCs w:val="22"/>
                <w:lang w:eastAsia="uk-UA"/>
              </w:rPr>
            </w:pPr>
            <w:r>
              <w:rPr>
                <w:rFonts w:cs="Arial"/>
                <w:szCs w:val="22"/>
                <w:lang w:eastAsia="uk-UA"/>
              </w:rPr>
              <w:t>Організація курсів</w:t>
            </w:r>
            <w:r w:rsidR="00A92D1B" w:rsidRPr="00A92D1B">
              <w:rPr>
                <w:rFonts w:cs="Arial"/>
                <w:szCs w:val="22"/>
                <w:lang w:eastAsia="uk-UA"/>
              </w:rPr>
              <w:t xml:space="preserve"> з інклюзивної педагогіки та сучасних освітніх технологій.</w:t>
            </w:r>
          </w:p>
          <w:p w14:paraId="100D7633" w14:textId="6563533C" w:rsidR="00A92D1B" w:rsidRPr="00A92D1B" w:rsidRDefault="00AC48AF" w:rsidP="00A92D1B">
            <w:pPr>
              <w:jc w:val="both"/>
              <w:rPr>
                <w:rFonts w:cs="Arial"/>
                <w:szCs w:val="22"/>
                <w:lang w:eastAsia="uk-UA"/>
              </w:rPr>
            </w:pPr>
            <w:r>
              <w:rPr>
                <w:rFonts w:cs="Arial"/>
                <w:szCs w:val="22"/>
                <w:lang w:eastAsia="uk-UA"/>
              </w:rPr>
              <w:t>Залучення</w:t>
            </w:r>
            <w:r w:rsidR="00A92D1B" w:rsidRPr="00A92D1B">
              <w:rPr>
                <w:rFonts w:cs="Arial"/>
                <w:szCs w:val="22"/>
                <w:lang w:eastAsia="uk-UA"/>
              </w:rPr>
              <w:t xml:space="preserve"> фахівців з обласного навчально -  методичного центру до навчання педагогів.</w:t>
            </w:r>
          </w:p>
          <w:p w14:paraId="6F7C4835" w14:textId="3C5A61DA" w:rsidR="00A92D1B" w:rsidRPr="00A92D1B" w:rsidRDefault="00AC48AF" w:rsidP="00A92D1B">
            <w:pPr>
              <w:jc w:val="both"/>
              <w:rPr>
                <w:rFonts w:cs="Arial"/>
                <w:szCs w:val="22"/>
                <w:lang w:eastAsia="uk-UA"/>
              </w:rPr>
            </w:pPr>
            <w:r>
              <w:rPr>
                <w:rFonts w:cs="Arial"/>
                <w:szCs w:val="22"/>
                <w:lang w:eastAsia="uk-UA"/>
              </w:rPr>
              <w:t>Проведення тренінгів</w:t>
            </w:r>
            <w:r w:rsidR="00A92D1B" w:rsidRPr="00A92D1B">
              <w:rPr>
                <w:rFonts w:cs="Arial"/>
                <w:szCs w:val="22"/>
                <w:lang w:eastAsia="uk-UA"/>
              </w:rPr>
              <w:t xml:space="preserve"> з психологічної підтримки учнів з ООП.</w:t>
            </w:r>
          </w:p>
          <w:p w14:paraId="0DEB169D" w14:textId="52617A2B" w:rsidR="00A92D1B" w:rsidRPr="00A92D1B" w:rsidRDefault="00AC48AF" w:rsidP="00A92D1B">
            <w:pPr>
              <w:jc w:val="both"/>
              <w:rPr>
                <w:rFonts w:cs="Arial"/>
                <w:szCs w:val="22"/>
                <w:lang w:eastAsia="uk-UA"/>
              </w:rPr>
            </w:pPr>
            <w:r>
              <w:rPr>
                <w:rFonts w:cs="Arial"/>
                <w:szCs w:val="22"/>
                <w:lang w:eastAsia="uk-UA"/>
              </w:rPr>
              <w:t>Створення внутрішньої команди</w:t>
            </w:r>
            <w:r w:rsidR="00A92D1B" w:rsidRPr="00A92D1B">
              <w:rPr>
                <w:rFonts w:cs="Arial"/>
                <w:szCs w:val="22"/>
                <w:lang w:eastAsia="uk-UA"/>
              </w:rPr>
              <w:t xml:space="preserve"> супроводу інклюзивного навчання.</w:t>
            </w:r>
          </w:p>
          <w:p w14:paraId="0ECF342B" w14:textId="104DC72E" w:rsidR="00A92D1B" w:rsidRPr="00A92D1B" w:rsidRDefault="00AC48AF" w:rsidP="00A92D1B">
            <w:pPr>
              <w:jc w:val="both"/>
              <w:rPr>
                <w:rFonts w:cs="Arial"/>
                <w:szCs w:val="22"/>
                <w:lang w:eastAsia="uk-UA"/>
              </w:rPr>
            </w:pPr>
            <w:r>
              <w:rPr>
                <w:rFonts w:cs="Arial"/>
                <w:szCs w:val="22"/>
                <w:lang w:eastAsia="uk-UA"/>
              </w:rPr>
              <w:t>Запровадження</w:t>
            </w:r>
            <w:r w:rsidR="00A92D1B" w:rsidRPr="00A92D1B">
              <w:rPr>
                <w:rFonts w:cs="Arial"/>
                <w:szCs w:val="22"/>
                <w:lang w:eastAsia="uk-UA"/>
              </w:rPr>
              <w:t xml:space="preserve"> освітньо-практичн</w:t>
            </w:r>
            <w:r>
              <w:rPr>
                <w:rFonts w:cs="Arial"/>
                <w:szCs w:val="22"/>
                <w:lang w:eastAsia="uk-UA"/>
              </w:rPr>
              <w:t>ої програми</w:t>
            </w:r>
            <w:r w:rsidR="00A92D1B" w:rsidRPr="00A92D1B">
              <w:rPr>
                <w:rFonts w:cs="Arial"/>
                <w:szCs w:val="22"/>
                <w:lang w:eastAsia="uk-UA"/>
              </w:rPr>
              <w:t xml:space="preserve"> «Майстерня власної справи».</w:t>
            </w:r>
          </w:p>
          <w:p w14:paraId="3E1112C3" w14:textId="7B7A3971" w:rsidR="00A92D1B" w:rsidRPr="00A92D1B" w:rsidRDefault="00AC48AF" w:rsidP="00A92D1B">
            <w:pPr>
              <w:jc w:val="both"/>
              <w:rPr>
                <w:rFonts w:cs="Arial"/>
                <w:szCs w:val="22"/>
                <w:lang w:eastAsia="uk-UA"/>
              </w:rPr>
            </w:pPr>
            <w:r>
              <w:rPr>
                <w:rFonts w:cs="Arial"/>
                <w:szCs w:val="22"/>
                <w:lang w:eastAsia="uk-UA"/>
              </w:rPr>
              <w:t>Організація</w:t>
            </w:r>
            <w:r w:rsidR="00A92D1B" w:rsidRPr="00A92D1B">
              <w:rPr>
                <w:rFonts w:cs="Arial"/>
                <w:szCs w:val="22"/>
                <w:lang w:eastAsia="uk-UA"/>
              </w:rPr>
              <w:t xml:space="preserve"> спільн</w:t>
            </w:r>
            <w:r>
              <w:rPr>
                <w:rFonts w:cs="Arial"/>
                <w:szCs w:val="22"/>
                <w:lang w:eastAsia="uk-UA"/>
              </w:rPr>
              <w:t>их заходів</w:t>
            </w:r>
            <w:r w:rsidR="00A92D1B" w:rsidRPr="00A92D1B">
              <w:rPr>
                <w:rFonts w:cs="Arial"/>
                <w:szCs w:val="22"/>
                <w:lang w:eastAsia="uk-UA"/>
              </w:rPr>
              <w:t xml:space="preserve"> з місцевим бізнесом: ярмарки, дні кар’єри, стажування.</w:t>
            </w:r>
          </w:p>
          <w:p w14:paraId="3009A512" w14:textId="210AE797" w:rsidR="00A92D1B" w:rsidRPr="00A92D1B" w:rsidRDefault="00AC48AF" w:rsidP="00AC48AF">
            <w:pPr>
              <w:jc w:val="both"/>
              <w:rPr>
                <w:rFonts w:cs="Arial"/>
                <w:szCs w:val="22"/>
                <w:lang w:eastAsia="uk-UA"/>
              </w:rPr>
            </w:pPr>
            <w:r>
              <w:rPr>
                <w:rFonts w:cs="Arial"/>
                <w:szCs w:val="22"/>
                <w:lang w:eastAsia="uk-UA"/>
              </w:rPr>
              <w:t>Створення</w:t>
            </w:r>
            <w:r w:rsidR="00A92D1B" w:rsidRPr="00A92D1B">
              <w:rPr>
                <w:rFonts w:cs="Arial"/>
                <w:szCs w:val="22"/>
                <w:lang w:eastAsia="uk-UA"/>
              </w:rPr>
              <w:t xml:space="preserve"> промоційн</w:t>
            </w:r>
            <w:r>
              <w:rPr>
                <w:rFonts w:cs="Arial"/>
                <w:szCs w:val="22"/>
                <w:lang w:eastAsia="uk-UA"/>
              </w:rPr>
              <w:t>их матеріалів та інформаційного</w:t>
            </w:r>
            <w:r w:rsidR="00A92D1B" w:rsidRPr="00A92D1B">
              <w:rPr>
                <w:rFonts w:cs="Arial"/>
                <w:szCs w:val="22"/>
                <w:lang w:eastAsia="uk-UA"/>
              </w:rPr>
              <w:t xml:space="preserve"> контент</w:t>
            </w:r>
            <w:r>
              <w:rPr>
                <w:rFonts w:cs="Arial"/>
                <w:szCs w:val="22"/>
                <w:lang w:eastAsia="uk-UA"/>
              </w:rPr>
              <w:t>у</w:t>
            </w:r>
            <w:r w:rsidR="00A92D1B" w:rsidRPr="00A92D1B">
              <w:rPr>
                <w:rFonts w:cs="Arial"/>
                <w:szCs w:val="22"/>
                <w:lang w:eastAsia="uk-UA"/>
              </w:rPr>
              <w:t xml:space="preserve"> про можливості навчання.</w:t>
            </w:r>
          </w:p>
        </w:tc>
      </w:tr>
      <w:tr w:rsidR="00A92D1B" w:rsidRPr="00A92D1B" w14:paraId="7F0F5B09" w14:textId="77777777" w:rsidTr="00A92D1B">
        <w:trPr>
          <w:gridAfter w:val="1"/>
          <w:wAfter w:w="23" w:type="dxa"/>
          <w:jc w:val="right"/>
        </w:trPr>
        <w:tc>
          <w:tcPr>
            <w:tcW w:w="3425" w:type="dxa"/>
            <w:shd w:val="clear" w:color="auto" w:fill="FFFFFF"/>
            <w:vAlign w:val="center"/>
          </w:tcPr>
          <w:p w14:paraId="30AD5B3F" w14:textId="77777777" w:rsidR="00A92D1B" w:rsidRPr="00A92D1B" w:rsidRDefault="00A92D1B" w:rsidP="00A92D1B">
            <w:pPr>
              <w:rPr>
                <w:rFonts w:eastAsia="Calibri" w:cs="Arial"/>
                <w:b/>
                <w:bCs/>
                <w:color w:val="000000"/>
                <w:szCs w:val="22"/>
                <w:lang w:eastAsia="en-US"/>
              </w:rPr>
            </w:pPr>
            <w:r w:rsidRPr="00A92D1B">
              <w:rPr>
                <w:rFonts w:eastAsia="Calibri" w:cs="Arial"/>
                <w:b/>
                <w:bCs/>
                <w:color w:val="000000"/>
                <w:szCs w:val="22"/>
                <w:lang w:eastAsia="en-US"/>
              </w:rPr>
              <w:t>Індикатори (показники) результативності:</w:t>
            </w:r>
          </w:p>
        </w:tc>
        <w:tc>
          <w:tcPr>
            <w:tcW w:w="7049" w:type="dxa"/>
            <w:gridSpan w:val="8"/>
          </w:tcPr>
          <w:p w14:paraId="059251CA" w14:textId="77777777" w:rsidR="00A92D1B" w:rsidRPr="00A92D1B" w:rsidRDefault="00A92D1B" w:rsidP="004705DE">
            <w:pPr>
              <w:numPr>
                <w:ilvl w:val="0"/>
                <w:numId w:val="169"/>
              </w:numPr>
              <w:ind w:left="328" w:hanging="251"/>
              <w:jc w:val="both"/>
              <w:rPr>
                <w:rFonts w:eastAsia="Calibri" w:cs="Arial"/>
                <w:szCs w:val="22"/>
                <w:lang w:eastAsia="en-US"/>
              </w:rPr>
            </w:pPr>
            <w:r w:rsidRPr="00A92D1B">
              <w:rPr>
                <w:rFonts w:eastAsia="Calibri" w:cs="Arial"/>
                <w:szCs w:val="22"/>
                <w:lang w:eastAsia="en-US"/>
              </w:rPr>
              <w:t>училище повністю відповідає вимогам безбар’єрності та може отримувати нові ліцензії;</w:t>
            </w:r>
          </w:p>
          <w:p w14:paraId="595853F3" w14:textId="77777777" w:rsidR="00A92D1B" w:rsidRPr="00A92D1B" w:rsidRDefault="00A92D1B" w:rsidP="004705DE">
            <w:pPr>
              <w:numPr>
                <w:ilvl w:val="0"/>
                <w:numId w:val="169"/>
              </w:numPr>
              <w:ind w:left="328" w:hanging="251"/>
              <w:jc w:val="both"/>
              <w:rPr>
                <w:rFonts w:eastAsia="Calibri" w:cs="Arial"/>
                <w:szCs w:val="22"/>
                <w:lang w:eastAsia="en-US"/>
              </w:rPr>
            </w:pPr>
            <w:r w:rsidRPr="00A92D1B">
              <w:rPr>
                <w:rFonts w:eastAsia="Calibri" w:cs="Arial"/>
                <w:szCs w:val="22"/>
                <w:lang w:eastAsia="en-US"/>
              </w:rPr>
              <w:t>відкрито не менше трьох нових професій, затребуваних підприємствами громади;</w:t>
            </w:r>
          </w:p>
          <w:p w14:paraId="2C997981" w14:textId="77777777" w:rsidR="00A92D1B" w:rsidRPr="00A92D1B" w:rsidRDefault="00A92D1B" w:rsidP="004705DE">
            <w:pPr>
              <w:numPr>
                <w:ilvl w:val="0"/>
                <w:numId w:val="169"/>
              </w:numPr>
              <w:ind w:left="328" w:hanging="251"/>
              <w:jc w:val="both"/>
              <w:rPr>
                <w:rFonts w:eastAsia="Calibri" w:cs="Arial"/>
                <w:szCs w:val="22"/>
                <w:lang w:eastAsia="en-US"/>
              </w:rPr>
            </w:pPr>
            <w:r w:rsidRPr="00A92D1B">
              <w:rPr>
                <w:rFonts w:eastAsia="Calibri" w:cs="Arial"/>
                <w:szCs w:val="22"/>
                <w:lang w:eastAsia="en-US"/>
              </w:rPr>
              <w:t>збільшено набір учнів на 40%;</w:t>
            </w:r>
          </w:p>
          <w:p w14:paraId="16D716BE" w14:textId="77777777" w:rsidR="00A92D1B" w:rsidRPr="00A92D1B" w:rsidRDefault="00A92D1B" w:rsidP="004705DE">
            <w:pPr>
              <w:numPr>
                <w:ilvl w:val="0"/>
                <w:numId w:val="169"/>
              </w:numPr>
              <w:ind w:left="328" w:hanging="251"/>
              <w:jc w:val="both"/>
              <w:rPr>
                <w:rFonts w:eastAsia="Calibri" w:cs="Arial"/>
                <w:szCs w:val="22"/>
                <w:lang w:eastAsia="en-US"/>
              </w:rPr>
            </w:pPr>
            <w:r w:rsidRPr="00A92D1B">
              <w:rPr>
                <w:rFonts w:eastAsia="Calibri" w:cs="Arial"/>
                <w:szCs w:val="22"/>
                <w:lang w:eastAsia="en-US"/>
              </w:rPr>
              <w:t>не менше 400 учнів щороку користуються оновленою інфраструктурою;</w:t>
            </w:r>
          </w:p>
          <w:p w14:paraId="5490386F" w14:textId="77777777" w:rsidR="00A92D1B" w:rsidRPr="00A92D1B" w:rsidRDefault="00A92D1B" w:rsidP="004705DE">
            <w:pPr>
              <w:numPr>
                <w:ilvl w:val="0"/>
                <w:numId w:val="169"/>
              </w:numPr>
              <w:ind w:left="328" w:hanging="251"/>
              <w:jc w:val="both"/>
              <w:rPr>
                <w:rFonts w:eastAsia="Calibri" w:cs="Arial"/>
                <w:szCs w:val="22"/>
                <w:lang w:eastAsia="en-US"/>
              </w:rPr>
            </w:pPr>
            <w:r w:rsidRPr="00A92D1B">
              <w:rPr>
                <w:rFonts w:eastAsia="Calibri" w:cs="Arial"/>
                <w:szCs w:val="22"/>
                <w:lang w:eastAsia="en-US"/>
              </w:rPr>
              <w:t>підготовлено 10 педагогів для роботи в інклюзивному середовищі;</w:t>
            </w:r>
          </w:p>
          <w:p w14:paraId="3BD1EA1E" w14:textId="77777777" w:rsidR="00A92D1B" w:rsidRPr="00A92D1B" w:rsidRDefault="00A92D1B" w:rsidP="004705DE">
            <w:pPr>
              <w:numPr>
                <w:ilvl w:val="0"/>
                <w:numId w:val="169"/>
              </w:numPr>
              <w:ind w:left="328" w:hanging="251"/>
              <w:jc w:val="both"/>
              <w:rPr>
                <w:rFonts w:eastAsia="Calibri" w:cs="Arial"/>
                <w:szCs w:val="22"/>
                <w:lang w:eastAsia="en-US"/>
              </w:rPr>
            </w:pPr>
            <w:r w:rsidRPr="00A92D1B">
              <w:rPr>
                <w:rFonts w:eastAsia="Calibri" w:cs="Arial"/>
                <w:szCs w:val="22"/>
                <w:lang w:eastAsia="en-US"/>
              </w:rPr>
              <w:t>підвищено рівень працевлаштування випускників до 70%.</w:t>
            </w:r>
          </w:p>
        </w:tc>
      </w:tr>
      <w:tr w:rsidR="00A92D1B" w:rsidRPr="00A92D1B" w14:paraId="035BA9D9" w14:textId="77777777" w:rsidTr="00A92D1B">
        <w:trPr>
          <w:gridAfter w:val="1"/>
          <w:wAfter w:w="23" w:type="dxa"/>
          <w:jc w:val="right"/>
        </w:trPr>
        <w:tc>
          <w:tcPr>
            <w:tcW w:w="3425" w:type="dxa"/>
            <w:shd w:val="clear" w:color="auto" w:fill="FFFFFF"/>
            <w:vAlign w:val="center"/>
          </w:tcPr>
          <w:p w14:paraId="0B2455D1" w14:textId="77777777" w:rsidR="00A92D1B" w:rsidRPr="00A92D1B" w:rsidRDefault="00A92D1B" w:rsidP="00A92D1B">
            <w:pPr>
              <w:rPr>
                <w:rFonts w:eastAsia="Calibri" w:cs="Arial"/>
                <w:b/>
                <w:color w:val="000000"/>
                <w:szCs w:val="22"/>
                <w:lang w:eastAsia="en-US"/>
              </w:rPr>
            </w:pPr>
            <w:r w:rsidRPr="00A92D1B">
              <w:rPr>
                <w:rFonts w:eastAsia="Calibri" w:cs="Arial"/>
                <w:b/>
                <w:color w:val="000000"/>
                <w:szCs w:val="22"/>
                <w:lang w:eastAsia="en-US"/>
              </w:rPr>
              <w:t xml:space="preserve">Період здійснення: </w:t>
            </w:r>
          </w:p>
        </w:tc>
        <w:tc>
          <w:tcPr>
            <w:tcW w:w="7049" w:type="dxa"/>
            <w:gridSpan w:val="8"/>
            <w:vAlign w:val="center"/>
          </w:tcPr>
          <w:p w14:paraId="0BFCFBFC" w14:textId="77777777" w:rsidR="00A92D1B" w:rsidRPr="00A92D1B" w:rsidRDefault="00A92D1B" w:rsidP="00A92D1B">
            <w:pPr>
              <w:jc w:val="both"/>
              <w:rPr>
                <w:rFonts w:eastAsia="Calibri" w:cs="Arial"/>
                <w:color w:val="000000"/>
                <w:szCs w:val="22"/>
                <w:lang w:eastAsia="it-IT"/>
              </w:rPr>
            </w:pPr>
            <w:r w:rsidRPr="00A92D1B">
              <w:rPr>
                <w:rFonts w:eastAsia="Calibri" w:cs="Arial"/>
                <w:color w:val="000000"/>
                <w:szCs w:val="22"/>
                <w:lang w:eastAsia="en-US"/>
              </w:rPr>
              <w:t>2025 – 2028 роки:</w:t>
            </w:r>
          </w:p>
        </w:tc>
      </w:tr>
      <w:tr w:rsidR="00A92D1B" w:rsidRPr="00A92D1B" w14:paraId="55D018FA" w14:textId="77777777" w:rsidTr="00A92D1B">
        <w:trPr>
          <w:jc w:val="right"/>
        </w:trPr>
        <w:tc>
          <w:tcPr>
            <w:tcW w:w="3425" w:type="dxa"/>
            <w:vMerge w:val="restart"/>
            <w:shd w:val="clear" w:color="auto" w:fill="FFFFFF"/>
            <w:vAlign w:val="center"/>
          </w:tcPr>
          <w:p w14:paraId="6E8F9F41" w14:textId="77777777" w:rsidR="00A92D1B" w:rsidRPr="00A92D1B" w:rsidRDefault="00A92D1B" w:rsidP="00A92D1B">
            <w:pPr>
              <w:rPr>
                <w:rFonts w:eastAsia="Calibri" w:cs="Arial"/>
                <w:b/>
                <w:bCs/>
                <w:color w:val="000000"/>
                <w:szCs w:val="22"/>
                <w:lang w:eastAsia="en-US"/>
              </w:rPr>
            </w:pPr>
            <w:r w:rsidRPr="00A92D1B">
              <w:rPr>
                <w:rFonts w:eastAsia="Calibri" w:cs="Arial"/>
                <w:b/>
                <w:bCs/>
                <w:color w:val="000000"/>
                <w:szCs w:val="22"/>
                <w:lang w:eastAsia="en-US"/>
              </w:rPr>
              <w:t>Орієнтовна вартість проєкту, тис. грн., в тому числі:</w:t>
            </w:r>
          </w:p>
        </w:tc>
        <w:tc>
          <w:tcPr>
            <w:tcW w:w="1254" w:type="dxa"/>
            <w:shd w:val="clear" w:color="auto" w:fill="E6E6E6"/>
            <w:vAlign w:val="center"/>
          </w:tcPr>
          <w:p w14:paraId="16DD6E03" w14:textId="77777777" w:rsidR="00A92D1B" w:rsidRPr="00A92D1B" w:rsidRDefault="00A92D1B" w:rsidP="00A92D1B">
            <w:pPr>
              <w:jc w:val="center"/>
              <w:rPr>
                <w:rFonts w:eastAsia="Calibri" w:cs="Arial"/>
                <w:b/>
                <w:color w:val="000000"/>
                <w:szCs w:val="22"/>
                <w:lang w:eastAsia="it-IT"/>
              </w:rPr>
            </w:pPr>
            <w:r w:rsidRPr="00A92D1B">
              <w:rPr>
                <w:rFonts w:eastAsia="Calibri" w:cs="Arial"/>
                <w:b/>
                <w:color w:val="000000"/>
                <w:szCs w:val="22"/>
                <w:lang w:eastAsia="it-IT"/>
              </w:rPr>
              <w:t>2025</w:t>
            </w:r>
          </w:p>
        </w:tc>
        <w:tc>
          <w:tcPr>
            <w:tcW w:w="1275" w:type="dxa"/>
            <w:gridSpan w:val="2"/>
            <w:shd w:val="clear" w:color="auto" w:fill="E6E6E6"/>
            <w:vAlign w:val="center"/>
          </w:tcPr>
          <w:p w14:paraId="47D2240F" w14:textId="77777777" w:rsidR="00A92D1B" w:rsidRPr="00A92D1B" w:rsidRDefault="00A92D1B" w:rsidP="00A92D1B">
            <w:pPr>
              <w:jc w:val="center"/>
              <w:rPr>
                <w:rFonts w:eastAsia="Calibri" w:cs="Arial"/>
                <w:b/>
                <w:color w:val="000000"/>
                <w:szCs w:val="22"/>
                <w:lang w:eastAsia="it-IT"/>
              </w:rPr>
            </w:pPr>
            <w:r w:rsidRPr="00A92D1B">
              <w:rPr>
                <w:rFonts w:eastAsia="Calibri" w:cs="Arial"/>
                <w:b/>
                <w:color w:val="000000"/>
                <w:szCs w:val="22"/>
                <w:lang w:eastAsia="it-IT"/>
              </w:rPr>
              <w:t>2026</w:t>
            </w:r>
          </w:p>
        </w:tc>
        <w:tc>
          <w:tcPr>
            <w:tcW w:w="1418" w:type="dxa"/>
            <w:gridSpan w:val="2"/>
            <w:tcBorders>
              <w:bottom w:val="single" w:sz="4" w:space="0" w:color="auto"/>
            </w:tcBorders>
            <w:shd w:val="clear" w:color="auto" w:fill="E6E6E6"/>
            <w:vAlign w:val="center"/>
          </w:tcPr>
          <w:p w14:paraId="63BE2B6A" w14:textId="77777777" w:rsidR="00A92D1B" w:rsidRPr="00A92D1B" w:rsidRDefault="00A92D1B" w:rsidP="00A92D1B">
            <w:pPr>
              <w:jc w:val="center"/>
              <w:rPr>
                <w:rFonts w:eastAsia="Calibri" w:cs="Arial"/>
                <w:b/>
                <w:color w:val="000000"/>
                <w:szCs w:val="22"/>
                <w:lang w:eastAsia="it-IT"/>
              </w:rPr>
            </w:pPr>
            <w:r w:rsidRPr="00A92D1B">
              <w:rPr>
                <w:rFonts w:eastAsia="Calibri" w:cs="Arial"/>
                <w:b/>
                <w:color w:val="000000"/>
                <w:szCs w:val="22"/>
                <w:lang w:eastAsia="it-IT"/>
              </w:rPr>
              <w:t>2027</w:t>
            </w:r>
          </w:p>
        </w:tc>
        <w:tc>
          <w:tcPr>
            <w:tcW w:w="1554" w:type="dxa"/>
            <w:gridSpan w:val="2"/>
            <w:shd w:val="clear" w:color="auto" w:fill="E6E6E6"/>
            <w:vAlign w:val="center"/>
          </w:tcPr>
          <w:p w14:paraId="119464CA" w14:textId="77777777" w:rsidR="00A92D1B" w:rsidRPr="00A92D1B" w:rsidRDefault="00A92D1B" w:rsidP="00A92D1B">
            <w:pPr>
              <w:jc w:val="center"/>
              <w:rPr>
                <w:rFonts w:eastAsia="Calibri" w:cs="Arial"/>
                <w:b/>
                <w:color w:val="000000"/>
                <w:szCs w:val="22"/>
                <w:lang w:eastAsia="it-IT"/>
              </w:rPr>
            </w:pPr>
            <w:r w:rsidRPr="00A92D1B">
              <w:rPr>
                <w:rFonts w:eastAsia="Calibri" w:cs="Arial"/>
                <w:b/>
                <w:color w:val="000000"/>
                <w:szCs w:val="22"/>
                <w:lang w:eastAsia="it-IT"/>
              </w:rPr>
              <w:t>2028</w:t>
            </w:r>
          </w:p>
        </w:tc>
        <w:tc>
          <w:tcPr>
            <w:tcW w:w="1571" w:type="dxa"/>
            <w:gridSpan w:val="2"/>
            <w:shd w:val="clear" w:color="auto" w:fill="E6E6E6"/>
            <w:vAlign w:val="center"/>
          </w:tcPr>
          <w:p w14:paraId="04EB66B6" w14:textId="77777777" w:rsidR="00A92D1B" w:rsidRPr="00A92D1B" w:rsidRDefault="00A92D1B" w:rsidP="00A92D1B">
            <w:pPr>
              <w:jc w:val="center"/>
              <w:rPr>
                <w:rFonts w:eastAsia="Calibri" w:cs="Arial"/>
                <w:b/>
                <w:color w:val="000000"/>
                <w:szCs w:val="22"/>
                <w:lang w:eastAsia="it-IT"/>
              </w:rPr>
            </w:pPr>
            <w:r w:rsidRPr="00A92D1B">
              <w:rPr>
                <w:rFonts w:eastAsia="Calibri" w:cs="Arial"/>
                <w:b/>
                <w:color w:val="000000"/>
                <w:szCs w:val="22"/>
                <w:lang w:eastAsia="it-IT"/>
              </w:rPr>
              <w:t>РАЗОМ</w:t>
            </w:r>
          </w:p>
        </w:tc>
      </w:tr>
      <w:tr w:rsidR="00A92D1B" w:rsidRPr="00A92D1B" w14:paraId="408D6B1C" w14:textId="77777777" w:rsidTr="00A92D1B">
        <w:trPr>
          <w:jc w:val="right"/>
        </w:trPr>
        <w:tc>
          <w:tcPr>
            <w:tcW w:w="3425" w:type="dxa"/>
            <w:vMerge/>
            <w:shd w:val="clear" w:color="auto" w:fill="FFFFFF"/>
            <w:vAlign w:val="center"/>
          </w:tcPr>
          <w:p w14:paraId="2B5B05E3" w14:textId="77777777" w:rsidR="00A92D1B" w:rsidRPr="00A92D1B" w:rsidRDefault="00A92D1B" w:rsidP="00A92D1B">
            <w:pPr>
              <w:rPr>
                <w:rFonts w:eastAsia="Calibri" w:cs="Arial"/>
                <w:bCs/>
                <w:color w:val="000000"/>
                <w:szCs w:val="22"/>
                <w:lang w:eastAsia="en-US"/>
              </w:rPr>
            </w:pPr>
          </w:p>
        </w:tc>
        <w:tc>
          <w:tcPr>
            <w:tcW w:w="1254" w:type="dxa"/>
            <w:vAlign w:val="center"/>
          </w:tcPr>
          <w:p w14:paraId="5DFDB1DA" w14:textId="5F023E3F" w:rsidR="00A92D1B" w:rsidRPr="00A92D1B" w:rsidRDefault="00A92D1B" w:rsidP="00A92D1B">
            <w:pPr>
              <w:jc w:val="center"/>
              <w:rPr>
                <w:rFonts w:eastAsia="Calibri" w:cs="Arial"/>
                <w:color w:val="000000"/>
                <w:szCs w:val="22"/>
                <w:lang w:eastAsia="it-IT"/>
              </w:rPr>
            </w:pPr>
            <w:r w:rsidRPr="00A92D1B">
              <w:rPr>
                <w:rFonts w:eastAsia="Calibri" w:cs="Arial"/>
                <w:color w:val="000000"/>
                <w:szCs w:val="22"/>
                <w:lang w:eastAsia="it-IT"/>
              </w:rPr>
              <w:t>50</w:t>
            </w:r>
          </w:p>
        </w:tc>
        <w:tc>
          <w:tcPr>
            <w:tcW w:w="1275" w:type="dxa"/>
            <w:gridSpan w:val="2"/>
            <w:shd w:val="clear" w:color="auto" w:fill="FFFFFF"/>
            <w:vAlign w:val="center"/>
          </w:tcPr>
          <w:p w14:paraId="689CD09C" w14:textId="6E3FC0BC" w:rsidR="00A92D1B" w:rsidRPr="00A92D1B" w:rsidRDefault="00A92D1B" w:rsidP="00A92D1B">
            <w:pPr>
              <w:jc w:val="center"/>
              <w:rPr>
                <w:rFonts w:eastAsia="Calibri" w:cs="Arial"/>
                <w:color w:val="000000"/>
                <w:szCs w:val="22"/>
                <w:lang w:eastAsia="it-IT"/>
              </w:rPr>
            </w:pPr>
            <w:r>
              <w:rPr>
                <w:rFonts w:eastAsia="Calibri" w:cs="Arial"/>
                <w:color w:val="000000"/>
                <w:szCs w:val="22"/>
                <w:lang w:eastAsia="it-IT"/>
              </w:rPr>
              <w:t>3</w:t>
            </w:r>
            <w:r w:rsidRPr="00A92D1B">
              <w:rPr>
                <w:rFonts w:eastAsia="Calibri" w:cs="Arial"/>
                <w:color w:val="000000"/>
                <w:szCs w:val="22"/>
                <w:lang w:eastAsia="it-IT"/>
              </w:rPr>
              <w:t>00</w:t>
            </w:r>
          </w:p>
        </w:tc>
        <w:tc>
          <w:tcPr>
            <w:tcW w:w="1418" w:type="dxa"/>
            <w:gridSpan w:val="2"/>
            <w:shd w:val="clear" w:color="auto" w:fill="auto"/>
            <w:vAlign w:val="center"/>
          </w:tcPr>
          <w:p w14:paraId="62FBD766" w14:textId="75C403BF" w:rsidR="00A92D1B" w:rsidRPr="00A92D1B" w:rsidRDefault="00A92D1B" w:rsidP="00A92D1B">
            <w:pPr>
              <w:jc w:val="center"/>
              <w:rPr>
                <w:rFonts w:eastAsia="Calibri" w:cs="Arial"/>
                <w:color w:val="000000"/>
                <w:szCs w:val="22"/>
                <w:lang w:eastAsia="it-IT"/>
              </w:rPr>
            </w:pPr>
            <w:r>
              <w:rPr>
                <w:rFonts w:eastAsia="Calibri" w:cs="Arial"/>
                <w:color w:val="000000"/>
                <w:szCs w:val="22"/>
                <w:lang w:eastAsia="it-IT"/>
              </w:rPr>
              <w:t>35</w:t>
            </w:r>
            <w:r w:rsidRPr="00A92D1B">
              <w:rPr>
                <w:rFonts w:eastAsia="Calibri" w:cs="Arial"/>
                <w:color w:val="000000"/>
                <w:szCs w:val="22"/>
                <w:lang w:eastAsia="it-IT"/>
              </w:rPr>
              <w:t>0</w:t>
            </w:r>
          </w:p>
        </w:tc>
        <w:tc>
          <w:tcPr>
            <w:tcW w:w="1554" w:type="dxa"/>
            <w:gridSpan w:val="2"/>
            <w:shd w:val="clear" w:color="auto" w:fill="FFFFFF"/>
            <w:vAlign w:val="center"/>
          </w:tcPr>
          <w:p w14:paraId="72833F04" w14:textId="0D87183C" w:rsidR="00A92D1B" w:rsidRPr="00A92D1B" w:rsidRDefault="00A92D1B" w:rsidP="00A92D1B">
            <w:pPr>
              <w:jc w:val="center"/>
              <w:rPr>
                <w:rFonts w:eastAsia="Calibri" w:cs="Arial"/>
                <w:color w:val="000000"/>
                <w:szCs w:val="22"/>
                <w:lang w:eastAsia="it-IT"/>
              </w:rPr>
            </w:pPr>
            <w:r>
              <w:rPr>
                <w:rFonts w:eastAsia="Calibri" w:cs="Arial"/>
                <w:color w:val="000000"/>
                <w:szCs w:val="22"/>
                <w:lang w:eastAsia="it-IT"/>
              </w:rPr>
              <w:t>4</w:t>
            </w:r>
            <w:r w:rsidRPr="00A92D1B">
              <w:rPr>
                <w:rFonts w:eastAsia="Calibri" w:cs="Arial"/>
                <w:color w:val="000000"/>
                <w:szCs w:val="22"/>
                <w:lang w:eastAsia="it-IT"/>
              </w:rPr>
              <w:t>00</w:t>
            </w:r>
          </w:p>
        </w:tc>
        <w:tc>
          <w:tcPr>
            <w:tcW w:w="1571" w:type="dxa"/>
            <w:gridSpan w:val="2"/>
            <w:shd w:val="clear" w:color="auto" w:fill="FFFFFF"/>
            <w:vAlign w:val="center"/>
          </w:tcPr>
          <w:p w14:paraId="301569ED" w14:textId="2045DAB1" w:rsidR="00A92D1B" w:rsidRPr="00A92D1B" w:rsidRDefault="00C217CA" w:rsidP="00A92D1B">
            <w:pPr>
              <w:jc w:val="center"/>
              <w:rPr>
                <w:rFonts w:eastAsia="Calibri" w:cs="Arial"/>
                <w:color w:val="000000"/>
                <w:szCs w:val="22"/>
                <w:lang w:eastAsia="it-IT"/>
              </w:rPr>
            </w:pPr>
            <w:r>
              <w:rPr>
                <w:rFonts w:eastAsia="Calibri" w:cs="Arial"/>
                <w:color w:val="000000"/>
                <w:szCs w:val="22"/>
                <w:lang w:eastAsia="it-IT"/>
              </w:rPr>
              <w:t>1100,0</w:t>
            </w:r>
          </w:p>
        </w:tc>
      </w:tr>
      <w:tr w:rsidR="00A92D1B" w:rsidRPr="00A92D1B" w14:paraId="3A40A9CF" w14:textId="77777777" w:rsidTr="00A92D1B">
        <w:trPr>
          <w:gridAfter w:val="1"/>
          <w:wAfter w:w="23" w:type="dxa"/>
          <w:trHeight w:val="276"/>
          <w:jc w:val="right"/>
        </w:trPr>
        <w:tc>
          <w:tcPr>
            <w:tcW w:w="3425" w:type="dxa"/>
            <w:shd w:val="clear" w:color="auto" w:fill="FFFFFF"/>
            <w:vAlign w:val="center"/>
          </w:tcPr>
          <w:p w14:paraId="0C52EBFD" w14:textId="77777777" w:rsidR="00A92D1B" w:rsidRPr="00A92D1B" w:rsidRDefault="00A92D1B" w:rsidP="00A92D1B">
            <w:pPr>
              <w:rPr>
                <w:rFonts w:eastAsia="Calibri" w:cs="Arial"/>
                <w:bCs/>
                <w:color w:val="000000"/>
                <w:szCs w:val="22"/>
                <w:lang w:eastAsia="en-US"/>
              </w:rPr>
            </w:pPr>
            <w:r w:rsidRPr="00A92D1B">
              <w:rPr>
                <w:rFonts w:eastAsia="Calibri" w:cs="Arial"/>
                <w:bCs/>
                <w:color w:val="000000"/>
                <w:szCs w:val="22"/>
                <w:lang w:eastAsia="en-US"/>
              </w:rPr>
              <w:t>по джерелах фінансування:</w:t>
            </w:r>
          </w:p>
        </w:tc>
        <w:tc>
          <w:tcPr>
            <w:tcW w:w="7049" w:type="dxa"/>
            <w:gridSpan w:val="8"/>
            <w:vAlign w:val="center"/>
          </w:tcPr>
          <w:p w14:paraId="64340214" w14:textId="77777777" w:rsidR="00A92D1B" w:rsidRPr="00A92D1B" w:rsidRDefault="00A92D1B" w:rsidP="00A92D1B">
            <w:pPr>
              <w:jc w:val="both"/>
              <w:rPr>
                <w:rFonts w:eastAsia="Calibri" w:cs="Arial"/>
                <w:color w:val="000000"/>
                <w:szCs w:val="22"/>
                <w:lang w:eastAsia="it-IT"/>
              </w:rPr>
            </w:pPr>
          </w:p>
        </w:tc>
      </w:tr>
      <w:tr w:rsidR="00A92D1B" w:rsidRPr="00A92D1B" w14:paraId="56F12091" w14:textId="314DCAF2" w:rsidTr="00A92D1B">
        <w:trPr>
          <w:gridAfter w:val="1"/>
          <w:wAfter w:w="23" w:type="dxa"/>
          <w:trHeight w:val="240"/>
          <w:jc w:val="right"/>
        </w:trPr>
        <w:tc>
          <w:tcPr>
            <w:tcW w:w="3425" w:type="dxa"/>
            <w:shd w:val="clear" w:color="auto" w:fill="FFFFFF"/>
            <w:vAlign w:val="center"/>
          </w:tcPr>
          <w:p w14:paraId="5DBF3D4B" w14:textId="77777777" w:rsidR="00A92D1B" w:rsidRPr="00A92D1B" w:rsidRDefault="00A92D1B" w:rsidP="00A92D1B">
            <w:pPr>
              <w:rPr>
                <w:rFonts w:eastAsia="Calibri" w:cs="Arial"/>
                <w:bCs/>
                <w:color w:val="000000"/>
                <w:szCs w:val="22"/>
                <w:lang w:eastAsia="en-US"/>
              </w:rPr>
            </w:pPr>
            <w:r w:rsidRPr="00A92D1B">
              <w:rPr>
                <w:rFonts w:eastAsia="Calibri" w:cs="Arial"/>
                <w:color w:val="000000"/>
                <w:szCs w:val="22"/>
                <w:lang w:eastAsia="en-US"/>
              </w:rPr>
              <w:t>- державний бюджет</w:t>
            </w:r>
          </w:p>
        </w:tc>
        <w:tc>
          <w:tcPr>
            <w:tcW w:w="1269" w:type="dxa"/>
            <w:gridSpan w:val="2"/>
            <w:vAlign w:val="center"/>
          </w:tcPr>
          <w:p w14:paraId="0C9F50F3" w14:textId="77777777" w:rsidR="00A92D1B" w:rsidRPr="00A92D1B" w:rsidRDefault="00A92D1B" w:rsidP="00A92D1B">
            <w:pPr>
              <w:jc w:val="both"/>
              <w:rPr>
                <w:rFonts w:eastAsia="Calibri" w:cs="Arial"/>
                <w:color w:val="000000"/>
                <w:szCs w:val="22"/>
                <w:lang w:eastAsia="it-IT"/>
              </w:rPr>
            </w:pPr>
          </w:p>
        </w:tc>
        <w:tc>
          <w:tcPr>
            <w:tcW w:w="1277" w:type="dxa"/>
            <w:gridSpan w:val="2"/>
            <w:vAlign w:val="center"/>
          </w:tcPr>
          <w:p w14:paraId="5F4200D0" w14:textId="77777777" w:rsidR="00A92D1B" w:rsidRPr="00A92D1B" w:rsidRDefault="00A92D1B" w:rsidP="00A92D1B">
            <w:pPr>
              <w:jc w:val="both"/>
              <w:rPr>
                <w:rFonts w:eastAsia="Calibri" w:cs="Arial"/>
                <w:color w:val="000000"/>
                <w:szCs w:val="22"/>
                <w:lang w:eastAsia="it-IT"/>
              </w:rPr>
            </w:pPr>
          </w:p>
        </w:tc>
        <w:tc>
          <w:tcPr>
            <w:tcW w:w="1449" w:type="dxa"/>
            <w:gridSpan w:val="2"/>
            <w:vAlign w:val="center"/>
          </w:tcPr>
          <w:p w14:paraId="65D16F68" w14:textId="77777777" w:rsidR="00A92D1B" w:rsidRPr="00A92D1B" w:rsidRDefault="00A92D1B" w:rsidP="00A92D1B">
            <w:pPr>
              <w:jc w:val="both"/>
              <w:rPr>
                <w:rFonts w:eastAsia="Calibri" w:cs="Arial"/>
                <w:color w:val="000000"/>
                <w:szCs w:val="22"/>
                <w:lang w:eastAsia="it-IT"/>
              </w:rPr>
            </w:pPr>
          </w:p>
        </w:tc>
        <w:tc>
          <w:tcPr>
            <w:tcW w:w="3054" w:type="dxa"/>
            <w:gridSpan w:val="2"/>
            <w:vAlign w:val="center"/>
          </w:tcPr>
          <w:p w14:paraId="106F817B" w14:textId="77777777" w:rsidR="00A92D1B" w:rsidRPr="00A92D1B" w:rsidRDefault="00A92D1B" w:rsidP="00A92D1B">
            <w:pPr>
              <w:jc w:val="both"/>
              <w:rPr>
                <w:rFonts w:eastAsia="Calibri" w:cs="Arial"/>
                <w:color w:val="000000"/>
                <w:szCs w:val="22"/>
                <w:lang w:eastAsia="it-IT"/>
              </w:rPr>
            </w:pPr>
          </w:p>
        </w:tc>
      </w:tr>
      <w:tr w:rsidR="00A92D1B" w:rsidRPr="00A92D1B" w14:paraId="723DC4C1" w14:textId="0FDF6352" w:rsidTr="00A92D1B">
        <w:trPr>
          <w:gridAfter w:val="1"/>
          <w:wAfter w:w="23" w:type="dxa"/>
          <w:trHeight w:val="254"/>
          <w:jc w:val="right"/>
        </w:trPr>
        <w:tc>
          <w:tcPr>
            <w:tcW w:w="3425" w:type="dxa"/>
            <w:shd w:val="clear" w:color="auto" w:fill="FFFFFF"/>
            <w:vAlign w:val="center"/>
          </w:tcPr>
          <w:p w14:paraId="7B7B2D8B" w14:textId="77777777" w:rsidR="00A92D1B" w:rsidRPr="00A92D1B" w:rsidRDefault="00A92D1B" w:rsidP="00A92D1B">
            <w:pPr>
              <w:rPr>
                <w:rFonts w:eastAsia="Calibri" w:cs="Arial"/>
                <w:color w:val="000000"/>
                <w:szCs w:val="22"/>
                <w:lang w:eastAsia="en-US"/>
              </w:rPr>
            </w:pPr>
            <w:r w:rsidRPr="00A92D1B">
              <w:rPr>
                <w:rFonts w:eastAsia="Calibri" w:cs="Arial"/>
                <w:color w:val="000000"/>
                <w:szCs w:val="22"/>
                <w:lang w:eastAsia="en-US"/>
              </w:rPr>
              <w:t>- обласний бюджет</w:t>
            </w:r>
          </w:p>
        </w:tc>
        <w:tc>
          <w:tcPr>
            <w:tcW w:w="1269" w:type="dxa"/>
            <w:gridSpan w:val="2"/>
            <w:vAlign w:val="center"/>
          </w:tcPr>
          <w:p w14:paraId="3F8F29A7" w14:textId="2974245C" w:rsidR="00A92D1B" w:rsidRPr="00A92D1B" w:rsidRDefault="00A92D1B" w:rsidP="00A92D1B">
            <w:pPr>
              <w:jc w:val="center"/>
              <w:rPr>
                <w:rFonts w:eastAsia="Calibri" w:cs="Arial"/>
                <w:color w:val="000000"/>
                <w:szCs w:val="22"/>
                <w:lang w:eastAsia="it-IT"/>
              </w:rPr>
            </w:pPr>
            <w:r w:rsidRPr="00A92D1B">
              <w:rPr>
                <w:rFonts w:eastAsia="Calibri" w:cs="Arial"/>
                <w:color w:val="000000"/>
                <w:szCs w:val="22"/>
                <w:lang w:eastAsia="it-IT"/>
              </w:rPr>
              <w:t>25</w:t>
            </w:r>
          </w:p>
        </w:tc>
        <w:tc>
          <w:tcPr>
            <w:tcW w:w="1277" w:type="dxa"/>
            <w:gridSpan w:val="2"/>
            <w:vAlign w:val="center"/>
          </w:tcPr>
          <w:p w14:paraId="25979505" w14:textId="31F835D5" w:rsidR="00A92D1B" w:rsidRPr="00A92D1B" w:rsidRDefault="00A92D1B" w:rsidP="00A92D1B">
            <w:pPr>
              <w:ind w:left="193"/>
              <w:jc w:val="center"/>
              <w:rPr>
                <w:rFonts w:eastAsia="Calibri" w:cs="Arial"/>
                <w:color w:val="000000"/>
                <w:szCs w:val="22"/>
                <w:lang w:eastAsia="it-IT"/>
              </w:rPr>
            </w:pPr>
            <w:r w:rsidRPr="00A92D1B">
              <w:rPr>
                <w:rFonts w:eastAsia="Calibri" w:cs="Arial"/>
                <w:color w:val="000000"/>
                <w:szCs w:val="22"/>
                <w:lang w:eastAsia="it-IT"/>
              </w:rPr>
              <w:t>150</w:t>
            </w:r>
          </w:p>
        </w:tc>
        <w:tc>
          <w:tcPr>
            <w:tcW w:w="1449" w:type="dxa"/>
            <w:gridSpan w:val="2"/>
            <w:vAlign w:val="center"/>
          </w:tcPr>
          <w:p w14:paraId="43627094" w14:textId="4E78BA82" w:rsidR="00A92D1B" w:rsidRPr="00A92D1B" w:rsidRDefault="00A92D1B" w:rsidP="00A92D1B">
            <w:pPr>
              <w:ind w:left="191"/>
              <w:jc w:val="center"/>
              <w:rPr>
                <w:rFonts w:eastAsia="Calibri" w:cs="Arial"/>
                <w:color w:val="000000"/>
                <w:szCs w:val="22"/>
                <w:lang w:eastAsia="it-IT"/>
              </w:rPr>
            </w:pPr>
            <w:r w:rsidRPr="00A92D1B">
              <w:rPr>
                <w:rFonts w:eastAsia="Calibri" w:cs="Arial"/>
                <w:color w:val="000000"/>
                <w:szCs w:val="22"/>
                <w:lang w:eastAsia="it-IT"/>
              </w:rPr>
              <w:t>150</w:t>
            </w:r>
          </w:p>
        </w:tc>
        <w:tc>
          <w:tcPr>
            <w:tcW w:w="1506" w:type="dxa"/>
            <w:vAlign w:val="center"/>
          </w:tcPr>
          <w:p w14:paraId="18A595B9" w14:textId="6B80FD0D" w:rsidR="00A92D1B" w:rsidRPr="00A92D1B" w:rsidRDefault="00A92D1B" w:rsidP="00A92D1B">
            <w:pPr>
              <w:ind w:left="302"/>
              <w:jc w:val="center"/>
              <w:rPr>
                <w:rFonts w:eastAsia="Calibri" w:cs="Arial"/>
                <w:color w:val="000000"/>
                <w:szCs w:val="22"/>
                <w:lang w:eastAsia="it-IT"/>
              </w:rPr>
            </w:pPr>
            <w:r w:rsidRPr="00A92D1B">
              <w:rPr>
                <w:rFonts w:eastAsia="Calibri" w:cs="Arial"/>
                <w:color w:val="000000"/>
                <w:szCs w:val="22"/>
                <w:lang w:eastAsia="it-IT"/>
              </w:rPr>
              <w:t>200</w:t>
            </w:r>
          </w:p>
        </w:tc>
        <w:tc>
          <w:tcPr>
            <w:tcW w:w="1548" w:type="dxa"/>
            <w:vAlign w:val="center"/>
          </w:tcPr>
          <w:p w14:paraId="07F2098C" w14:textId="32E3851A" w:rsidR="00A92D1B" w:rsidRPr="00A92D1B" w:rsidRDefault="00C217CA" w:rsidP="00C217CA">
            <w:pPr>
              <w:ind w:left="355"/>
              <w:jc w:val="center"/>
              <w:rPr>
                <w:rFonts w:eastAsia="Calibri" w:cs="Arial"/>
                <w:color w:val="000000"/>
                <w:szCs w:val="22"/>
                <w:lang w:eastAsia="it-IT"/>
              </w:rPr>
            </w:pPr>
            <w:r>
              <w:rPr>
                <w:rFonts w:eastAsia="Calibri" w:cs="Arial"/>
                <w:color w:val="000000"/>
                <w:szCs w:val="22"/>
                <w:lang w:eastAsia="it-IT"/>
              </w:rPr>
              <w:t>525,0</w:t>
            </w:r>
          </w:p>
        </w:tc>
      </w:tr>
      <w:tr w:rsidR="00A92D1B" w:rsidRPr="00A92D1B" w14:paraId="14DA851D" w14:textId="71ADAB46" w:rsidTr="00A92D1B">
        <w:trPr>
          <w:gridAfter w:val="1"/>
          <w:wAfter w:w="23" w:type="dxa"/>
          <w:trHeight w:val="275"/>
          <w:jc w:val="right"/>
        </w:trPr>
        <w:tc>
          <w:tcPr>
            <w:tcW w:w="3425" w:type="dxa"/>
            <w:shd w:val="clear" w:color="auto" w:fill="FFFFFF"/>
            <w:vAlign w:val="center"/>
          </w:tcPr>
          <w:p w14:paraId="46B21F31" w14:textId="77777777" w:rsidR="00A92D1B" w:rsidRPr="00A92D1B" w:rsidRDefault="00A92D1B" w:rsidP="00A92D1B">
            <w:pPr>
              <w:rPr>
                <w:rFonts w:eastAsia="Calibri" w:cs="Arial"/>
                <w:color w:val="000000"/>
                <w:szCs w:val="22"/>
                <w:lang w:eastAsia="en-US"/>
              </w:rPr>
            </w:pPr>
            <w:r w:rsidRPr="00A92D1B">
              <w:rPr>
                <w:rFonts w:eastAsia="Calibri" w:cs="Arial"/>
                <w:color w:val="000000"/>
                <w:szCs w:val="22"/>
                <w:lang w:eastAsia="en-US"/>
              </w:rPr>
              <w:t>- бюджет Жмеринської МТГ</w:t>
            </w:r>
          </w:p>
        </w:tc>
        <w:tc>
          <w:tcPr>
            <w:tcW w:w="1269" w:type="dxa"/>
            <w:gridSpan w:val="2"/>
            <w:vAlign w:val="center"/>
          </w:tcPr>
          <w:p w14:paraId="3A63770A" w14:textId="2B423377" w:rsidR="00A92D1B" w:rsidRPr="00A92D1B" w:rsidRDefault="00A92D1B" w:rsidP="00A92D1B">
            <w:pPr>
              <w:jc w:val="center"/>
              <w:rPr>
                <w:rFonts w:eastAsia="Calibri" w:cs="Arial"/>
                <w:color w:val="000000"/>
                <w:szCs w:val="22"/>
                <w:lang w:eastAsia="it-IT"/>
              </w:rPr>
            </w:pPr>
            <w:r w:rsidRPr="00A92D1B">
              <w:rPr>
                <w:rFonts w:eastAsia="Calibri" w:cs="Arial"/>
                <w:color w:val="000000"/>
                <w:szCs w:val="22"/>
                <w:lang w:eastAsia="it-IT"/>
              </w:rPr>
              <w:t>25</w:t>
            </w:r>
          </w:p>
        </w:tc>
        <w:tc>
          <w:tcPr>
            <w:tcW w:w="1277" w:type="dxa"/>
            <w:gridSpan w:val="2"/>
            <w:vAlign w:val="center"/>
          </w:tcPr>
          <w:p w14:paraId="0D58175D" w14:textId="5F330CEC" w:rsidR="00A92D1B" w:rsidRPr="00A92D1B" w:rsidRDefault="00A92D1B" w:rsidP="00A92D1B">
            <w:pPr>
              <w:ind w:left="193"/>
              <w:jc w:val="center"/>
              <w:rPr>
                <w:rFonts w:eastAsia="Calibri" w:cs="Arial"/>
                <w:color w:val="000000"/>
                <w:szCs w:val="22"/>
                <w:lang w:eastAsia="it-IT"/>
              </w:rPr>
            </w:pPr>
            <w:r w:rsidRPr="00A92D1B">
              <w:rPr>
                <w:rFonts w:eastAsia="Calibri" w:cs="Arial"/>
                <w:color w:val="000000"/>
                <w:szCs w:val="22"/>
                <w:lang w:eastAsia="it-IT"/>
              </w:rPr>
              <w:t>50</w:t>
            </w:r>
          </w:p>
        </w:tc>
        <w:tc>
          <w:tcPr>
            <w:tcW w:w="1449" w:type="dxa"/>
            <w:gridSpan w:val="2"/>
            <w:vAlign w:val="center"/>
          </w:tcPr>
          <w:p w14:paraId="12125989" w14:textId="27FC1D4A" w:rsidR="00A92D1B" w:rsidRPr="00A92D1B" w:rsidRDefault="00A92D1B" w:rsidP="00A92D1B">
            <w:pPr>
              <w:ind w:left="191"/>
              <w:jc w:val="center"/>
              <w:rPr>
                <w:rFonts w:eastAsia="Calibri" w:cs="Arial"/>
                <w:color w:val="000000"/>
                <w:szCs w:val="22"/>
                <w:lang w:eastAsia="it-IT"/>
              </w:rPr>
            </w:pPr>
            <w:r w:rsidRPr="00A92D1B">
              <w:rPr>
                <w:rFonts w:eastAsia="Calibri" w:cs="Arial"/>
                <w:color w:val="000000"/>
                <w:szCs w:val="22"/>
                <w:lang w:eastAsia="it-IT"/>
              </w:rPr>
              <w:t>150</w:t>
            </w:r>
          </w:p>
        </w:tc>
        <w:tc>
          <w:tcPr>
            <w:tcW w:w="1506" w:type="dxa"/>
            <w:vAlign w:val="center"/>
          </w:tcPr>
          <w:p w14:paraId="3700B72B" w14:textId="256ED55D" w:rsidR="00A92D1B" w:rsidRPr="00A92D1B" w:rsidRDefault="00A92D1B" w:rsidP="00A92D1B">
            <w:pPr>
              <w:ind w:left="160"/>
              <w:jc w:val="center"/>
              <w:rPr>
                <w:rFonts w:eastAsia="Calibri" w:cs="Arial"/>
                <w:color w:val="000000"/>
                <w:szCs w:val="22"/>
                <w:lang w:eastAsia="it-IT"/>
              </w:rPr>
            </w:pPr>
            <w:r w:rsidRPr="00A92D1B">
              <w:rPr>
                <w:rFonts w:eastAsia="Calibri" w:cs="Arial"/>
                <w:color w:val="000000"/>
                <w:szCs w:val="22"/>
                <w:lang w:eastAsia="it-IT"/>
              </w:rPr>
              <w:t>100</w:t>
            </w:r>
          </w:p>
        </w:tc>
        <w:tc>
          <w:tcPr>
            <w:tcW w:w="1548" w:type="dxa"/>
            <w:vAlign w:val="center"/>
          </w:tcPr>
          <w:p w14:paraId="2E909EF5" w14:textId="5D761740" w:rsidR="00A92D1B" w:rsidRPr="00A92D1B" w:rsidRDefault="00C217CA" w:rsidP="00C217CA">
            <w:pPr>
              <w:ind w:left="355"/>
              <w:jc w:val="center"/>
              <w:rPr>
                <w:rFonts w:eastAsia="Calibri" w:cs="Arial"/>
                <w:color w:val="000000"/>
                <w:szCs w:val="22"/>
                <w:lang w:eastAsia="it-IT"/>
              </w:rPr>
            </w:pPr>
            <w:r>
              <w:rPr>
                <w:rFonts w:eastAsia="Calibri" w:cs="Arial"/>
                <w:color w:val="000000"/>
                <w:szCs w:val="22"/>
                <w:lang w:eastAsia="it-IT"/>
              </w:rPr>
              <w:t>325,0</w:t>
            </w:r>
          </w:p>
        </w:tc>
      </w:tr>
      <w:tr w:rsidR="00A92D1B" w:rsidRPr="00A92D1B" w14:paraId="6A0F7065" w14:textId="72908B99" w:rsidTr="00A92D1B">
        <w:trPr>
          <w:gridAfter w:val="1"/>
          <w:wAfter w:w="23" w:type="dxa"/>
          <w:trHeight w:val="226"/>
          <w:jc w:val="right"/>
        </w:trPr>
        <w:tc>
          <w:tcPr>
            <w:tcW w:w="3425" w:type="dxa"/>
            <w:shd w:val="clear" w:color="auto" w:fill="FFFFFF"/>
            <w:vAlign w:val="center"/>
          </w:tcPr>
          <w:p w14:paraId="1E317225" w14:textId="77777777" w:rsidR="00A92D1B" w:rsidRPr="00A92D1B" w:rsidRDefault="00A92D1B" w:rsidP="00A92D1B">
            <w:pPr>
              <w:rPr>
                <w:rFonts w:eastAsia="Calibri" w:cs="Arial"/>
                <w:color w:val="000000"/>
                <w:szCs w:val="22"/>
                <w:lang w:eastAsia="en-US"/>
              </w:rPr>
            </w:pPr>
            <w:r w:rsidRPr="00A92D1B">
              <w:rPr>
                <w:rFonts w:eastAsia="Calibri" w:cs="Arial"/>
                <w:color w:val="000000"/>
                <w:szCs w:val="22"/>
                <w:lang w:eastAsia="en-US"/>
              </w:rPr>
              <w:t>- інші джерела фінансування</w:t>
            </w:r>
          </w:p>
        </w:tc>
        <w:tc>
          <w:tcPr>
            <w:tcW w:w="1269" w:type="dxa"/>
            <w:gridSpan w:val="2"/>
            <w:vAlign w:val="center"/>
          </w:tcPr>
          <w:p w14:paraId="69F4A94A" w14:textId="67A3A9B2" w:rsidR="00A92D1B" w:rsidRPr="00A92D1B" w:rsidRDefault="00A92D1B" w:rsidP="00A92D1B">
            <w:pPr>
              <w:jc w:val="center"/>
              <w:rPr>
                <w:rFonts w:eastAsia="Calibri" w:cs="Arial"/>
                <w:color w:val="000000"/>
                <w:szCs w:val="22"/>
                <w:lang w:eastAsia="it-IT"/>
              </w:rPr>
            </w:pPr>
            <w:r w:rsidRPr="00A92D1B">
              <w:rPr>
                <w:rFonts w:eastAsia="Calibri" w:cs="Arial"/>
                <w:color w:val="000000"/>
                <w:szCs w:val="22"/>
                <w:lang w:eastAsia="it-IT"/>
              </w:rPr>
              <w:t>0</w:t>
            </w:r>
          </w:p>
        </w:tc>
        <w:tc>
          <w:tcPr>
            <w:tcW w:w="1277" w:type="dxa"/>
            <w:gridSpan w:val="2"/>
            <w:vAlign w:val="center"/>
          </w:tcPr>
          <w:p w14:paraId="2C6ECD8D" w14:textId="2F1AAAB1" w:rsidR="00A92D1B" w:rsidRPr="00A92D1B" w:rsidRDefault="00A92D1B" w:rsidP="00A92D1B">
            <w:pPr>
              <w:ind w:left="135"/>
              <w:jc w:val="center"/>
              <w:rPr>
                <w:rFonts w:eastAsia="Calibri" w:cs="Arial"/>
                <w:color w:val="000000"/>
                <w:szCs w:val="22"/>
                <w:lang w:eastAsia="it-IT"/>
              </w:rPr>
            </w:pPr>
            <w:r w:rsidRPr="00A92D1B">
              <w:rPr>
                <w:rFonts w:eastAsia="Calibri" w:cs="Arial"/>
                <w:color w:val="000000"/>
                <w:szCs w:val="22"/>
                <w:lang w:eastAsia="it-IT"/>
              </w:rPr>
              <w:t>100</w:t>
            </w:r>
          </w:p>
        </w:tc>
        <w:tc>
          <w:tcPr>
            <w:tcW w:w="1449" w:type="dxa"/>
            <w:gridSpan w:val="2"/>
            <w:vAlign w:val="center"/>
          </w:tcPr>
          <w:p w14:paraId="7BC8B26F" w14:textId="07B29229" w:rsidR="00A92D1B" w:rsidRPr="00A92D1B" w:rsidRDefault="00A92D1B" w:rsidP="00A92D1B">
            <w:pPr>
              <w:ind w:left="191"/>
              <w:jc w:val="center"/>
              <w:rPr>
                <w:rFonts w:eastAsia="Calibri" w:cs="Arial"/>
                <w:color w:val="000000"/>
                <w:szCs w:val="22"/>
                <w:lang w:eastAsia="it-IT"/>
              </w:rPr>
            </w:pPr>
            <w:r w:rsidRPr="00A92D1B">
              <w:rPr>
                <w:rFonts w:eastAsia="Calibri" w:cs="Arial"/>
                <w:color w:val="000000"/>
                <w:szCs w:val="22"/>
                <w:lang w:eastAsia="it-IT"/>
              </w:rPr>
              <w:t>50</w:t>
            </w:r>
          </w:p>
        </w:tc>
        <w:tc>
          <w:tcPr>
            <w:tcW w:w="1506" w:type="dxa"/>
            <w:vAlign w:val="center"/>
          </w:tcPr>
          <w:p w14:paraId="20273A1D" w14:textId="55390646" w:rsidR="00A92D1B" w:rsidRPr="00A92D1B" w:rsidRDefault="00A92D1B" w:rsidP="00A92D1B">
            <w:pPr>
              <w:ind w:left="160"/>
              <w:jc w:val="center"/>
              <w:rPr>
                <w:rFonts w:eastAsia="Calibri" w:cs="Arial"/>
                <w:color w:val="000000"/>
                <w:szCs w:val="22"/>
                <w:lang w:eastAsia="it-IT"/>
              </w:rPr>
            </w:pPr>
            <w:r w:rsidRPr="00A92D1B">
              <w:rPr>
                <w:rFonts w:eastAsia="Calibri" w:cs="Arial"/>
                <w:color w:val="000000"/>
                <w:szCs w:val="22"/>
                <w:lang w:eastAsia="it-IT"/>
              </w:rPr>
              <w:t>100</w:t>
            </w:r>
          </w:p>
        </w:tc>
        <w:tc>
          <w:tcPr>
            <w:tcW w:w="1548" w:type="dxa"/>
            <w:vAlign w:val="center"/>
          </w:tcPr>
          <w:p w14:paraId="2E485F13" w14:textId="1666E62B" w:rsidR="00A92D1B" w:rsidRPr="00A92D1B" w:rsidRDefault="00C217CA" w:rsidP="00C217CA">
            <w:pPr>
              <w:ind w:left="355"/>
              <w:jc w:val="center"/>
              <w:rPr>
                <w:rFonts w:eastAsia="Calibri" w:cs="Arial"/>
                <w:color w:val="000000"/>
                <w:szCs w:val="22"/>
                <w:lang w:eastAsia="it-IT"/>
              </w:rPr>
            </w:pPr>
            <w:r>
              <w:rPr>
                <w:rFonts w:eastAsia="Calibri" w:cs="Arial"/>
                <w:color w:val="000000"/>
                <w:szCs w:val="22"/>
                <w:lang w:eastAsia="it-IT"/>
              </w:rPr>
              <w:t>250,0</w:t>
            </w:r>
          </w:p>
        </w:tc>
      </w:tr>
      <w:tr w:rsidR="00A92D1B" w:rsidRPr="00A92D1B" w14:paraId="4D0CF879" w14:textId="77777777" w:rsidTr="00A92D1B">
        <w:trPr>
          <w:gridAfter w:val="1"/>
          <w:wAfter w:w="23" w:type="dxa"/>
          <w:jc w:val="right"/>
        </w:trPr>
        <w:tc>
          <w:tcPr>
            <w:tcW w:w="3425" w:type="dxa"/>
            <w:shd w:val="clear" w:color="auto" w:fill="FFFFFF"/>
            <w:vAlign w:val="center"/>
          </w:tcPr>
          <w:p w14:paraId="6D57BDD6" w14:textId="77777777" w:rsidR="00A92D1B" w:rsidRPr="00A92D1B" w:rsidRDefault="00A92D1B" w:rsidP="00A92D1B">
            <w:pPr>
              <w:rPr>
                <w:rFonts w:eastAsia="Calibri" w:cs="Arial"/>
                <w:b/>
                <w:bCs/>
                <w:color w:val="000000"/>
                <w:szCs w:val="22"/>
                <w:lang w:eastAsia="en-US"/>
              </w:rPr>
            </w:pPr>
            <w:r w:rsidRPr="00A92D1B">
              <w:rPr>
                <w:rFonts w:eastAsia="Calibri" w:cs="Arial"/>
                <w:b/>
                <w:color w:val="000000"/>
                <w:szCs w:val="22"/>
                <w:lang w:eastAsia="en-US"/>
              </w:rPr>
              <w:t>Відповідальний виконавець проєкту:</w:t>
            </w:r>
          </w:p>
        </w:tc>
        <w:tc>
          <w:tcPr>
            <w:tcW w:w="7049" w:type="dxa"/>
            <w:gridSpan w:val="8"/>
            <w:vAlign w:val="center"/>
          </w:tcPr>
          <w:p w14:paraId="6C582869" w14:textId="0B41CC83" w:rsidR="00A92D1B" w:rsidRDefault="00A92D1B" w:rsidP="00A92D1B">
            <w:pPr>
              <w:jc w:val="both"/>
              <w:rPr>
                <w:rFonts w:eastAsia="Calibri" w:cs="Arial"/>
                <w:color w:val="000000"/>
                <w:szCs w:val="22"/>
                <w:lang w:eastAsia="it-IT"/>
              </w:rPr>
            </w:pPr>
            <w:r w:rsidRPr="00A92D1B">
              <w:rPr>
                <w:rFonts w:eastAsia="Calibri" w:cs="Arial"/>
                <w:color w:val="000000"/>
                <w:szCs w:val="22"/>
                <w:lang w:eastAsia="it-IT"/>
              </w:rPr>
              <w:t>ДПТНЗ «Жмеринське вище професійне училище»</w:t>
            </w:r>
            <w:r>
              <w:rPr>
                <w:rFonts w:eastAsia="Calibri" w:cs="Arial"/>
                <w:color w:val="000000"/>
                <w:szCs w:val="22"/>
                <w:lang w:eastAsia="it-IT"/>
              </w:rPr>
              <w:t>,</w:t>
            </w:r>
          </w:p>
          <w:p w14:paraId="5A1AB134" w14:textId="77777777" w:rsidR="00A92D1B" w:rsidRPr="00A92D1B" w:rsidRDefault="00A92D1B" w:rsidP="00A92D1B">
            <w:pPr>
              <w:jc w:val="both"/>
              <w:rPr>
                <w:rFonts w:eastAsia="Calibri" w:cs="Arial"/>
                <w:color w:val="000000"/>
                <w:szCs w:val="22"/>
                <w:lang w:eastAsia="it-IT"/>
              </w:rPr>
            </w:pPr>
            <w:r w:rsidRPr="00A92D1B">
              <w:rPr>
                <w:rFonts w:eastAsia="Calibri" w:cs="Arial"/>
                <w:color w:val="000000"/>
                <w:szCs w:val="22"/>
                <w:lang w:eastAsia="it-IT"/>
              </w:rPr>
              <w:t xml:space="preserve">Крупчук Вікторія Степанівна </w:t>
            </w:r>
          </w:p>
        </w:tc>
      </w:tr>
      <w:tr w:rsidR="00A92D1B" w:rsidRPr="00A92D1B" w14:paraId="1E3D3E81" w14:textId="77777777" w:rsidTr="00A92D1B">
        <w:trPr>
          <w:gridAfter w:val="1"/>
          <w:wAfter w:w="23" w:type="dxa"/>
          <w:jc w:val="right"/>
        </w:trPr>
        <w:tc>
          <w:tcPr>
            <w:tcW w:w="3425" w:type="dxa"/>
            <w:shd w:val="clear" w:color="auto" w:fill="FFFFFF"/>
            <w:vAlign w:val="center"/>
          </w:tcPr>
          <w:p w14:paraId="05A518F8" w14:textId="77777777" w:rsidR="00A92D1B" w:rsidRPr="00A92D1B" w:rsidRDefault="00A92D1B" w:rsidP="00A92D1B">
            <w:pPr>
              <w:rPr>
                <w:rFonts w:eastAsia="Calibri" w:cs="Arial"/>
                <w:b/>
                <w:bCs/>
                <w:color w:val="000000"/>
                <w:szCs w:val="22"/>
                <w:lang w:eastAsia="en-US"/>
              </w:rPr>
            </w:pPr>
            <w:r w:rsidRPr="00A92D1B">
              <w:rPr>
                <w:rFonts w:eastAsia="Calibri" w:cs="Arial"/>
                <w:b/>
                <w:bCs/>
                <w:color w:val="000000"/>
                <w:szCs w:val="22"/>
                <w:lang w:eastAsia="en-US"/>
              </w:rPr>
              <w:t>Інше:</w:t>
            </w:r>
          </w:p>
        </w:tc>
        <w:tc>
          <w:tcPr>
            <w:tcW w:w="7049" w:type="dxa"/>
            <w:gridSpan w:val="8"/>
            <w:vAlign w:val="center"/>
          </w:tcPr>
          <w:p w14:paraId="29BBA1DC" w14:textId="77777777" w:rsidR="00A92D1B" w:rsidRPr="00A92D1B" w:rsidRDefault="00A92D1B" w:rsidP="00A92D1B">
            <w:pPr>
              <w:rPr>
                <w:rFonts w:ascii="Times New Roman" w:eastAsia="Calibri" w:hAnsi="Times New Roman"/>
                <w:color w:val="000000"/>
                <w:szCs w:val="22"/>
                <w:lang w:eastAsia="it-IT"/>
              </w:rPr>
            </w:pPr>
          </w:p>
        </w:tc>
      </w:tr>
    </w:tbl>
    <w:p w14:paraId="543EBB4E" w14:textId="77777777" w:rsidR="00A92D1B" w:rsidRPr="0019790A" w:rsidRDefault="00A92D1B" w:rsidP="0019790A">
      <w:pPr>
        <w:rPr>
          <w:rFonts w:cs="Arial"/>
          <w:szCs w:val="22"/>
        </w:rPr>
      </w:pPr>
    </w:p>
    <w:p w14:paraId="3FFB4055" w14:textId="77777777" w:rsidR="00D34C6A" w:rsidRPr="0019790A" w:rsidRDefault="00D34C6A" w:rsidP="0019790A">
      <w:pPr>
        <w:rPr>
          <w:rFonts w:cs="Arial"/>
          <w:b/>
          <w:color w:val="FF0000"/>
          <w:szCs w:val="22"/>
        </w:rPr>
      </w:pPr>
    </w:p>
    <w:p w14:paraId="21990C3B" w14:textId="77777777" w:rsidR="002B23E2" w:rsidRPr="0019790A" w:rsidRDefault="002B23E2" w:rsidP="0019790A">
      <w:pPr>
        <w:jc w:val="center"/>
        <w:rPr>
          <w:rFonts w:cs="Arial"/>
          <w:b/>
          <w:szCs w:val="22"/>
          <w:u w:val="single"/>
          <w:lang w:eastAsia="uk-UA"/>
        </w:rPr>
      </w:pPr>
      <w:r w:rsidRPr="0019790A">
        <w:rPr>
          <w:rFonts w:cs="Arial"/>
          <w:b/>
          <w:szCs w:val="22"/>
          <w:u w:val="single"/>
          <w:lang w:eastAsia="uk-UA"/>
        </w:rPr>
        <w:t>Стратегічна  ціль: С.2. Забезпечення доступу до якісної системи охорони здоров’я</w:t>
      </w:r>
    </w:p>
    <w:p w14:paraId="2B1867B6" w14:textId="77777777" w:rsidR="001002EC" w:rsidRPr="0019790A" w:rsidRDefault="001002EC" w:rsidP="0019790A">
      <w:pPr>
        <w:jc w:val="center"/>
        <w:rPr>
          <w:rFonts w:cs="Arial"/>
          <w:b/>
          <w:bCs/>
          <w:color w:val="000000"/>
          <w:szCs w:val="22"/>
        </w:rPr>
      </w:pPr>
    </w:p>
    <w:p w14:paraId="30B205B2" w14:textId="77777777" w:rsidR="001002EC" w:rsidRPr="0019790A" w:rsidRDefault="001002EC" w:rsidP="0019790A">
      <w:pPr>
        <w:jc w:val="center"/>
        <w:rPr>
          <w:rFonts w:cs="Arial"/>
          <w:b/>
          <w:bCs/>
          <w:color w:val="000000"/>
          <w:szCs w:val="22"/>
        </w:rPr>
      </w:pPr>
      <w:r w:rsidRPr="0019790A">
        <w:rPr>
          <w:rFonts w:cs="Arial"/>
          <w:b/>
          <w:bCs/>
          <w:color w:val="000000"/>
          <w:szCs w:val="22"/>
        </w:rPr>
        <w:t xml:space="preserve">Форма технічного завдання на проєкт місцевого розвитку </w:t>
      </w:r>
    </w:p>
    <w:p w14:paraId="38914BAA" w14:textId="77777777" w:rsidR="001002EC" w:rsidRPr="0019790A" w:rsidRDefault="001002EC" w:rsidP="0019790A">
      <w:pPr>
        <w:jc w:val="center"/>
        <w:rPr>
          <w:rFonts w:cs="Arial"/>
          <w:b/>
          <w:bCs/>
          <w:color w:val="000000"/>
          <w:szCs w:val="22"/>
        </w:rPr>
      </w:pPr>
      <w:r w:rsidRPr="0019790A">
        <w:rPr>
          <w:rFonts w:cs="Arial"/>
          <w:b/>
          <w:bCs/>
          <w:color w:val="000000"/>
          <w:szCs w:val="22"/>
        </w:rPr>
        <w:t>до Плану заходів з реалізації Стратегії</w:t>
      </w:r>
    </w:p>
    <w:p w14:paraId="391095F8" w14:textId="77777777" w:rsidR="001002EC" w:rsidRPr="0019790A" w:rsidRDefault="001002EC" w:rsidP="0019790A">
      <w:pPr>
        <w:rPr>
          <w:rFonts w:cs="Arial"/>
          <w:b/>
          <w:bCs/>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1275"/>
        <w:gridCol w:w="1418"/>
        <w:gridCol w:w="1276"/>
        <w:gridCol w:w="1571"/>
      </w:tblGrid>
      <w:tr w:rsidR="001002EC" w:rsidRPr="0019790A" w14:paraId="7A8CB9B6" w14:textId="77777777" w:rsidTr="00B8248C">
        <w:trPr>
          <w:jc w:val="right"/>
        </w:trPr>
        <w:tc>
          <w:tcPr>
            <w:tcW w:w="3425" w:type="dxa"/>
            <w:vAlign w:val="center"/>
          </w:tcPr>
          <w:p w14:paraId="4C56236F" w14:textId="77777777" w:rsidR="001002EC" w:rsidRPr="0019790A" w:rsidRDefault="001002EC" w:rsidP="0019790A">
            <w:pPr>
              <w:rPr>
                <w:rFonts w:cs="Arial"/>
                <w:b/>
                <w:bCs/>
                <w:color w:val="000000"/>
                <w:szCs w:val="22"/>
              </w:rPr>
            </w:pPr>
            <w:r w:rsidRPr="0019790A">
              <w:rPr>
                <w:rFonts w:cs="Arial"/>
                <w:b/>
                <w:bCs/>
                <w:color w:val="000000"/>
                <w:szCs w:val="22"/>
              </w:rPr>
              <w:t>Назва проєкту:</w:t>
            </w:r>
          </w:p>
        </w:tc>
        <w:tc>
          <w:tcPr>
            <w:tcW w:w="6794" w:type="dxa"/>
            <w:gridSpan w:val="5"/>
          </w:tcPr>
          <w:p w14:paraId="1F9A3916" w14:textId="77777777" w:rsidR="001002EC" w:rsidRPr="0019790A" w:rsidRDefault="001002EC" w:rsidP="0019790A">
            <w:pPr>
              <w:rPr>
                <w:rFonts w:cs="Arial"/>
                <w:b/>
                <w:bCs/>
                <w:szCs w:val="22"/>
                <w:lang w:eastAsia="it-IT"/>
              </w:rPr>
            </w:pPr>
            <w:r w:rsidRPr="0019790A">
              <w:rPr>
                <w:rFonts w:cs="Arial"/>
                <w:b/>
                <w:bCs/>
                <w:szCs w:val="22"/>
              </w:rPr>
              <w:t>Щорічне оновлення та модернізація медичного обладнання в амбулаторіях Жмеринської МТГ</w:t>
            </w:r>
          </w:p>
        </w:tc>
      </w:tr>
      <w:tr w:rsidR="001002EC" w:rsidRPr="0019790A" w14:paraId="13AD73A1" w14:textId="77777777" w:rsidTr="00B8248C">
        <w:trPr>
          <w:jc w:val="right"/>
        </w:trPr>
        <w:tc>
          <w:tcPr>
            <w:tcW w:w="3425" w:type="dxa"/>
          </w:tcPr>
          <w:p w14:paraId="03BD6837" w14:textId="77777777" w:rsidR="001002EC" w:rsidRPr="0019790A" w:rsidRDefault="001002EC" w:rsidP="0019790A">
            <w:pPr>
              <w:rPr>
                <w:rFonts w:cs="Arial"/>
                <w:b/>
                <w:szCs w:val="22"/>
                <w:lang w:eastAsia="it-IT"/>
              </w:rPr>
            </w:pPr>
            <w:r w:rsidRPr="0019790A">
              <w:rPr>
                <w:rFonts w:cs="Arial"/>
                <w:b/>
                <w:bCs/>
                <w:szCs w:val="22"/>
              </w:rPr>
              <w:t>Ваші контакти</w:t>
            </w:r>
            <w:r w:rsidRPr="0019790A">
              <w:rPr>
                <w:rFonts w:cs="Arial"/>
                <w:b/>
                <w:szCs w:val="22"/>
                <w:lang w:eastAsia="it-IT"/>
              </w:rPr>
              <w:t>:</w:t>
            </w:r>
          </w:p>
          <w:p w14:paraId="1453CB71" w14:textId="77777777" w:rsidR="001002EC" w:rsidRPr="0019790A" w:rsidRDefault="001002EC" w:rsidP="0019790A">
            <w:pPr>
              <w:rPr>
                <w:rFonts w:cs="Arial"/>
                <w:b/>
                <w:bCs/>
                <w:szCs w:val="22"/>
              </w:rPr>
            </w:pPr>
            <w:r w:rsidRPr="0019790A">
              <w:rPr>
                <w:rFonts w:cs="Arial"/>
                <w:b/>
                <w:szCs w:val="22"/>
                <w:lang w:eastAsia="it-IT"/>
              </w:rPr>
              <w:t>Назва установи, організації, підприємства</w:t>
            </w:r>
          </w:p>
        </w:tc>
        <w:tc>
          <w:tcPr>
            <w:tcW w:w="6794" w:type="dxa"/>
            <w:gridSpan w:val="5"/>
            <w:vAlign w:val="center"/>
          </w:tcPr>
          <w:p w14:paraId="24CAD080" w14:textId="243D0889" w:rsidR="001002EC" w:rsidRPr="0019790A" w:rsidRDefault="001002EC" w:rsidP="00192C40">
            <w:pPr>
              <w:widowControl w:val="0"/>
              <w:rPr>
                <w:rFonts w:cs="Arial"/>
                <w:szCs w:val="22"/>
              </w:rPr>
            </w:pPr>
            <w:r w:rsidRPr="0019790A">
              <w:rPr>
                <w:rFonts w:cs="Arial"/>
                <w:szCs w:val="22"/>
              </w:rPr>
              <w:t>Комунальне некомерційне підприємство «Жмеринський медичний центр первинної медико-санітарної допомоги» Жмеринської міської ради</w:t>
            </w:r>
          </w:p>
        </w:tc>
      </w:tr>
      <w:tr w:rsidR="001002EC" w:rsidRPr="0019790A" w14:paraId="2B38A9F2" w14:textId="77777777" w:rsidTr="00B8248C">
        <w:trPr>
          <w:jc w:val="right"/>
        </w:trPr>
        <w:tc>
          <w:tcPr>
            <w:tcW w:w="3425" w:type="dxa"/>
          </w:tcPr>
          <w:p w14:paraId="003992A7" w14:textId="77777777" w:rsidR="001002EC" w:rsidRPr="0019790A" w:rsidRDefault="001002EC" w:rsidP="0019790A">
            <w:pPr>
              <w:rPr>
                <w:rFonts w:cs="Arial"/>
                <w:b/>
                <w:bCs/>
                <w:szCs w:val="22"/>
              </w:rPr>
            </w:pPr>
            <w:r w:rsidRPr="0019790A">
              <w:rPr>
                <w:rFonts w:cs="Arial"/>
                <w:b/>
                <w:szCs w:val="22"/>
                <w:lang w:eastAsia="it-IT"/>
              </w:rPr>
              <w:t>Прізвище Ім’я По-батькові:</w:t>
            </w:r>
          </w:p>
        </w:tc>
        <w:tc>
          <w:tcPr>
            <w:tcW w:w="6794" w:type="dxa"/>
            <w:gridSpan w:val="5"/>
          </w:tcPr>
          <w:p w14:paraId="3BBBB5C2" w14:textId="77777777" w:rsidR="001002EC" w:rsidRPr="0019790A" w:rsidRDefault="001002EC" w:rsidP="0019790A">
            <w:pPr>
              <w:rPr>
                <w:rFonts w:cs="Arial"/>
                <w:szCs w:val="22"/>
                <w:lang w:eastAsia="it-IT"/>
              </w:rPr>
            </w:pPr>
            <w:r w:rsidRPr="0019790A">
              <w:rPr>
                <w:rFonts w:cs="Arial"/>
                <w:szCs w:val="22"/>
                <w:lang w:eastAsia="it-IT"/>
              </w:rPr>
              <w:t>Султанов Олександр Наілович</w:t>
            </w:r>
          </w:p>
        </w:tc>
      </w:tr>
      <w:tr w:rsidR="001002EC" w:rsidRPr="0019790A" w14:paraId="3BD83811" w14:textId="77777777" w:rsidTr="00B8248C">
        <w:trPr>
          <w:jc w:val="right"/>
        </w:trPr>
        <w:tc>
          <w:tcPr>
            <w:tcW w:w="3425" w:type="dxa"/>
          </w:tcPr>
          <w:p w14:paraId="37DC824E" w14:textId="77777777" w:rsidR="001002EC" w:rsidRPr="0019790A" w:rsidRDefault="001002EC" w:rsidP="0019790A">
            <w:pPr>
              <w:rPr>
                <w:rFonts w:cs="Arial"/>
                <w:b/>
                <w:bCs/>
                <w:szCs w:val="22"/>
              </w:rPr>
            </w:pPr>
            <w:r w:rsidRPr="0019790A">
              <w:rPr>
                <w:rFonts w:cs="Arial"/>
                <w:b/>
                <w:szCs w:val="22"/>
                <w:lang w:eastAsia="it-IT"/>
              </w:rPr>
              <w:t>Телефон (мобільний):</w:t>
            </w:r>
          </w:p>
        </w:tc>
        <w:tc>
          <w:tcPr>
            <w:tcW w:w="6794" w:type="dxa"/>
            <w:gridSpan w:val="5"/>
          </w:tcPr>
          <w:p w14:paraId="217FB890" w14:textId="77777777" w:rsidR="001002EC" w:rsidRPr="0019790A" w:rsidRDefault="001002EC" w:rsidP="0019790A">
            <w:pPr>
              <w:rPr>
                <w:rFonts w:cs="Arial"/>
                <w:szCs w:val="22"/>
                <w:lang w:eastAsia="it-IT"/>
              </w:rPr>
            </w:pPr>
            <w:r w:rsidRPr="0019790A">
              <w:rPr>
                <w:rFonts w:cs="Arial"/>
                <w:szCs w:val="22"/>
                <w:lang w:eastAsia="it-IT"/>
              </w:rPr>
              <w:t>+380632604265</w:t>
            </w:r>
          </w:p>
        </w:tc>
      </w:tr>
      <w:tr w:rsidR="001002EC" w:rsidRPr="0019790A" w14:paraId="324F2C51" w14:textId="77777777" w:rsidTr="00B8248C">
        <w:trPr>
          <w:jc w:val="right"/>
        </w:trPr>
        <w:tc>
          <w:tcPr>
            <w:tcW w:w="3425" w:type="dxa"/>
          </w:tcPr>
          <w:p w14:paraId="70EBB027" w14:textId="77777777" w:rsidR="001002EC" w:rsidRPr="0019790A" w:rsidRDefault="001002EC" w:rsidP="0019790A">
            <w:pPr>
              <w:rPr>
                <w:rFonts w:cs="Arial"/>
                <w:b/>
                <w:bCs/>
                <w:szCs w:val="22"/>
              </w:rPr>
            </w:pPr>
            <w:r w:rsidRPr="0019790A">
              <w:rPr>
                <w:rFonts w:cs="Arial"/>
                <w:b/>
                <w:szCs w:val="22"/>
                <w:lang w:eastAsia="it-IT"/>
              </w:rPr>
              <w:t>Електронна адреса:</w:t>
            </w:r>
          </w:p>
        </w:tc>
        <w:tc>
          <w:tcPr>
            <w:tcW w:w="6794" w:type="dxa"/>
            <w:gridSpan w:val="5"/>
          </w:tcPr>
          <w:p w14:paraId="1CD1A90D" w14:textId="3BA19F5F" w:rsidR="001002EC" w:rsidRPr="0019790A" w:rsidRDefault="00D85FFD" w:rsidP="0019790A">
            <w:pPr>
              <w:rPr>
                <w:rFonts w:cs="Arial"/>
                <w:color w:val="000000"/>
                <w:szCs w:val="22"/>
                <w:lang w:eastAsia="it-IT"/>
              </w:rPr>
            </w:pPr>
            <w:hyperlink r:id="rId120" w:history="1">
              <w:r w:rsidR="00192C40" w:rsidRPr="00BF0394">
                <w:rPr>
                  <w:rStyle w:val="af0"/>
                  <w:rFonts w:cs="Arial"/>
                  <w:noProof w:val="0"/>
                  <w:sz w:val="22"/>
                  <w:szCs w:val="22"/>
                </w:rPr>
                <w:t>zhmercpmsd@ukr.net</w:t>
              </w:r>
            </w:hyperlink>
            <w:r w:rsidR="00192C40">
              <w:rPr>
                <w:rFonts w:cs="Arial"/>
                <w:color w:val="000000"/>
                <w:szCs w:val="22"/>
              </w:rPr>
              <w:t xml:space="preserve"> </w:t>
            </w:r>
          </w:p>
        </w:tc>
      </w:tr>
      <w:tr w:rsidR="001002EC" w:rsidRPr="0019790A" w14:paraId="6343C538" w14:textId="77777777" w:rsidTr="00B8248C">
        <w:trPr>
          <w:jc w:val="right"/>
        </w:trPr>
        <w:tc>
          <w:tcPr>
            <w:tcW w:w="3425" w:type="dxa"/>
            <w:vAlign w:val="center"/>
          </w:tcPr>
          <w:p w14:paraId="2263FC0A" w14:textId="77777777" w:rsidR="001002EC" w:rsidRPr="0019790A" w:rsidRDefault="001002EC" w:rsidP="0019790A">
            <w:pPr>
              <w:pStyle w:val="6"/>
              <w:spacing w:before="0" w:after="0"/>
              <w:rPr>
                <w:rFonts w:ascii="Arial" w:hAnsi="Arial" w:cs="Arial"/>
                <w:color w:val="000000"/>
                <w:lang w:val="uk-UA"/>
              </w:rPr>
            </w:pPr>
            <w:r w:rsidRPr="0019790A">
              <w:rPr>
                <w:rFonts w:ascii="Arial" w:hAnsi="Arial" w:cs="Arial"/>
                <w:color w:val="000000"/>
                <w:lang w:val="uk-UA"/>
              </w:rPr>
              <w:t>Номер і назва завдання з Стратегії</w:t>
            </w:r>
            <w:r w:rsidRPr="0019790A">
              <w:rPr>
                <w:rFonts w:ascii="Arial" w:hAnsi="Arial" w:cs="Arial"/>
                <w:lang w:val="uk-UA" w:eastAsia="it-IT"/>
              </w:rPr>
              <w:t xml:space="preserve"> </w:t>
            </w:r>
            <w:r w:rsidRPr="0019790A">
              <w:rPr>
                <w:rFonts w:ascii="Arial" w:hAnsi="Arial" w:cs="Arial"/>
                <w:color w:val="000000"/>
                <w:lang w:val="uk-UA"/>
              </w:rPr>
              <w:t>розвитку Жмеринської міської територіальної громади,  якому відповідає проєкт:</w:t>
            </w:r>
          </w:p>
        </w:tc>
        <w:tc>
          <w:tcPr>
            <w:tcW w:w="6794" w:type="dxa"/>
            <w:gridSpan w:val="5"/>
          </w:tcPr>
          <w:p w14:paraId="70C8D296" w14:textId="77777777" w:rsidR="001002EC" w:rsidRPr="0019790A" w:rsidRDefault="001002EC" w:rsidP="0019790A">
            <w:pPr>
              <w:pBdr>
                <w:left w:val="single" w:sz="18" w:space="4" w:color="auto"/>
              </w:pBdr>
              <w:rPr>
                <w:rFonts w:cs="Arial"/>
                <w:szCs w:val="22"/>
                <w:lang w:eastAsia="it-IT"/>
              </w:rPr>
            </w:pPr>
            <w:r w:rsidRPr="0019790A">
              <w:rPr>
                <w:rStyle w:val="afd"/>
                <w:rFonts w:cs="Arial"/>
                <w:b w:val="0"/>
                <w:szCs w:val="22"/>
              </w:rPr>
              <w:t>С.2 Забезпечення доступу до якісної системи охорони здоров’я</w:t>
            </w:r>
          </w:p>
        </w:tc>
      </w:tr>
      <w:tr w:rsidR="001002EC" w:rsidRPr="0019790A" w14:paraId="22842848" w14:textId="77777777" w:rsidTr="00B8248C">
        <w:trPr>
          <w:jc w:val="right"/>
        </w:trPr>
        <w:tc>
          <w:tcPr>
            <w:tcW w:w="3425" w:type="dxa"/>
            <w:vAlign w:val="center"/>
          </w:tcPr>
          <w:p w14:paraId="39F1D195" w14:textId="77777777" w:rsidR="001002EC" w:rsidRPr="0019790A" w:rsidRDefault="001002EC" w:rsidP="0019790A">
            <w:pPr>
              <w:rPr>
                <w:rFonts w:cs="Arial"/>
                <w:b/>
                <w:bCs/>
                <w:color w:val="000000"/>
                <w:szCs w:val="22"/>
              </w:rPr>
            </w:pPr>
            <w:r w:rsidRPr="0019790A">
              <w:rPr>
                <w:rFonts w:cs="Arial"/>
                <w:b/>
                <w:bCs/>
                <w:color w:val="000000"/>
                <w:szCs w:val="22"/>
              </w:rPr>
              <w:t>Мета проєкту:</w:t>
            </w:r>
          </w:p>
        </w:tc>
        <w:tc>
          <w:tcPr>
            <w:tcW w:w="6794" w:type="dxa"/>
            <w:gridSpan w:val="5"/>
          </w:tcPr>
          <w:p w14:paraId="0D020B9C" w14:textId="77777777" w:rsidR="001002EC" w:rsidRPr="0019790A" w:rsidRDefault="001002EC" w:rsidP="0019790A">
            <w:pPr>
              <w:rPr>
                <w:rFonts w:cs="Arial"/>
                <w:szCs w:val="22"/>
                <w:lang w:eastAsia="it-IT"/>
              </w:rPr>
            </w:pPr>
            <w:r w:rsidRPr="0019790A">
              <w:rPr>
                <w:rFonts w:cs="Arial"/>
                <w:szCs w:val="22"/>
              </w:rPr>
              <w:t>Покращити діагностичні та лікувальні можливості амбулаторій загальної практики – сімейної медицини шляхом системного оновлення застарілого медичного обладнання.</w:t>
            </w:r>
          </w:p>
        </w:tc>
      </w:tr>
      <w:tr w:rsidR="001002EC" w:rsidRPr="0019790A" w14:paraId="066E464C" w14:textId="77777777" w:rsidTr="00B8248C">
        <w:trPr>
          <w:jc w:val="right"/>
        </w:trPr>
        <w:tc>
          <w:tcPr>
            <w:tcW w:w="3425" w:type="dxa"/>
            <w:vAlign w:val="center"/>
          </w:tcPr>
          <w:p w14:paraId="430A0602" w14:textId="77777777" w:rsidR="001002EC" w:rsidRPr="0019790A" w:rsidRDefault="001002EC" w:rsidP="0019790A">
            <w:pPr>
              <w:rPr>
                <w:rFonts w:cs="Arial"/>
                <w:b/>
                <w:bCs/>
                <w:color w:val="000000"/>
                <w:szCs w:val="22"/>
              </w:rPr>
            </w:pPr>
            <w:r w:rsidRPr="0019790A">
              <w:rPr>
                <w:rFonts w:cs="Arial"/>
                <w:b/>
                <w:bCs/>
                <w:color w:val="000000"/>
                <w:szCs w:val="22"/>
              </w:rPr>
              <w:t>Цілі проєкту:</w:t>
            </w:r>
          </w:p>
        </w:tc>
        <w:tc>
          <w:tcPr>
            <w:tcW w:w="6794" w:type="dxa"/>
            <w:gridSpan w:val="5"/>
          </w:tcPr>
          <w:p w14:paraId="729548E0" w14:textId="77777777" w:rsidR="001002EC" w:rsidRPr="0019790A" w:rsidRDefault="001002EC" w:rsidP="0019790A">
            <w:pPr>
              <w:pStyle w:val="ad"/>
              <w:spacing w:before="0" w:beforeAutospacing="0" w:after="0" w:afterAutospacing="0"/>
              <w:rPr>
                <w:rFonts w:cs="Arial"/>
                <w:szCs w:val="22"/>
              </w:rPr>
            </w:pPr>
            <w:r w:rsidRPr="0019790A">
              <w:rPr>
                <w:rFonts w:cs="Arial"/>
                <w:szCs w:val="22"/>
              </w:rPr>
              <w:t>-   Забезпечення якісного медичного обслуговування на рівні ПМД.</w:t>
            </w:r>
          </w:p>
          <w:p w14:paraId="6419A485" w14:textId="77777777" w:rsidR="001002EC" w:rsidRPr="0019790A" w:rsidRDefault="001002EC" w:rsidP="0019790A">
            <w:pPr>
              <w:pStyle w:val="ad"/>
              <w:spacing w:before="0" w:beforeAutospacing="0" w:after="0" w:afterAutospacing="0"/>
              <w:rPr>
                <w:rFonts w:cs="Arial"/>
                <w:szCs w:val="22"/>
              </w:rPr>
            </w:pPr>
            <w:r w:rsidRPr="0019790A">
              <w:rPr>
                <w:rFonts w:cs="Arial"/>
                <w:szCs w:val="22"/>
              </w:rPr>
              <w:t>-  Відповідність обладнання вимогам НСЗУ для контрактування.</w:t>
            </w:r>
          </w:p>
          <w:p w14:paraId="3A310A8B" w14:textId="4EB97371" w:rsidR="001002EC" w:rsidRPr="0019790A" w:rsidRDefault="001002EC" w:rsidP="00192C40">
            <w:pPr>
              <w:pStyle w:val="ad"/>
              <w:spacing w:before="0" w:beforeAutospacing="0" w:after="0" w:afterAutospacing="0"/>
              <w:rPr>
                <w:rFonts w:cs="Arial"/>
                <w:szCs w:val="22"/>
              </w:rPr>
            </w:pPr>
            <w:r w:rsidRPr="0019790A">
              <w:rPr>
                <w:rFonts w:cs="Arial"/>
                <w:szCs w:val="22"/>
              </w:rPr>
              <w:t xml:space="preserve">-  Покращення умов праці медичних працівників. </w:t>
            </w:r>
          </w:p>
        </w:tc>
      </w:tr>
      <w:tr w:rsidR="001002EC" w:rsidRPr="0019790A" w14:paraId="2A08021C" w14:textId="77777777" w:rsidTr="00B8248C">
        <w:trPr>
          <w:jc w:val="right"/>
        </w:trPr>
        <w:tc>
          <w:tcPr>
            <w:tcW w:w="3425" w:type="dxa"/>
            <w:vAlign w:val="center"/>
          </w:tcPr>
          <w:p w14:paraId="4F8B963E" w14:textId="77777777" w:rsidR="001002EC" w:rsidRPr="0019790A" w:rsidRDefault="001002EC" w:rsidP="0019790A">
            <w:pPr>
              <w:autoSpaceDE w:val="0"/>
              <w:autoSpaceDN w:val="0"/>
              <w:adjustRightInd w:val="0"/>
              <w:rPr>
                <w:rFonts w:cs="Arial"/>
                <w:b/>
                <w:color w:val="000000"/>
                <w:szCs w:val="22"/>
              </w:rPr>
            </w:pPr>
            <w:r w:rsidRPr="0019790A">
              <w:rPr>
                <w:rFonts w:cs="Arial"/>
                <w:b/>
                <w:color w:val="000000"/>
                <w:szCs w:val="22"/>
              </w:rPr>
              <w:t>Територія на яку проєкт матиме вплив:</w:t>
            </w:r>
          </w:p>
        </w:tc>
        <w:tc>
          <w:tcPr>
            <w:tcW w:w="6794" w:type="dxa"/>
            <w:gridSpan w:val="5"/>
          </w:tcPr>
          <w:p w14:paraId="390FB10D" w14:textId="77777777" w:rsidR="001002EC" w:rsidRPr="0019790A" w:rsidRDefault="001002EC" w:rsidP="0019790A">
            <w:pPr>
              <w:rPr>
                <w:rFonts w:cs="Arial"/>
                <w:szCs w:val="22"/>
                <w:lang w:eastAsia="it-IT"/>
              </w:rPr>
            </w:pPr>
            <w:r w:rsidRPr="0019790A">
              <w:rPr>
                <w:rFonts w:cs="Arial"/>
                <w:szCs w:val="22"/>
              </w:rPr>
              <w:t>Територія Жмеринської міської територіальної громади</w:t>
            </w:r>
          </w:p>
        </w:tc>
      </w:tr>
      <w:tr w:rsidR="001002EC" w:rsidRPr="0019790A" w14:paraId="2479919A" w14:textId="77777777" w:rsidTr="00B8248C">
        <w:trPr>
          <w:jc w:val="right"/>
        </w:trPr>
        <w:tc>
          <w:tcPr>
            <w:tcW w:w="3425" w:type="dxa"/>
            <w:vAlign w:val="center"/>
          </w:tcPr>
          <w:p w14:paraId="1045C377" w14:textId="77777777" w:rsidR="001002EC" w:rsidRPr="0019790A" w:rsidRDefault="001002EC" w:rsidP="0019790A">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4" w:type="dxa"/>
            <w:gridSpan w:val="5"/>
          </w:tcPr>
          <w:p w14:paraId="5F687728" w14:textId="77777777" w:rsidR="001002EC" w:rsidRPr="0019790A" w:rsidRDefault="001002EC" w:rsidP="0019790A">
            <w:pPr>
              <w:rPr>
                <w:rFonts w:cs="Arial"/>
                <w:szCs w:val="22"/>
              </w:rPr>
            </w:pPr>
            <w:r w:rsidRPr="0019790A">
              <w:rPr>
                <w:rFonts w:cs="Arial"/>
                <w:szCs w:val="22"/>
              </w:rPr>
              <w:t>-  Понад 44,5 тис. декларантів.</w:t>
            </w:r>
          </w:p>
          <w:p w14:paraId="45B02BF2" w14:textId="77777777" w:rsidR="001002EC" w:rsidRPr="0019790A" w:rsidRDefault="001002EC" w:rsidP="0019790A">
            <w:pPr>
              <w:pStyle w:val="ad"/>
              <w:spacing w:before="0" w:beforeAutospacing="0" w:after="0" w:afterAutospacing="0"/>
              <w:rPr>
                <w:rFonts w:cs="Arial"/>
                <w:szCs w:val="22"/>
              </w:rPr>
            </w:pPr>
          </w:p>
          <w:p w14:paraId="1292CAC5" w14:textId="77777777" w:rsidR="001002EC" w:rsidRPr="0019790A" w:rsidRDefault="001002EC" w:rsidP="0019790A">
            <w:pPr>
              <w:pStyle w:val="ad"/>
              <w:spacing w:before="0" w:beforeAutospacing="0" w:after="0" w:afterAutospacing="0"/>
              <w:rPr>
                <w:rFonts w:cs="Arial"/>
                <w:szCs w:val="22"/>
                <w:lang w:eastAsia="it-IT"/>
              </w:rPr>
            </w:pPr>
          </w:p>
        </w:tc>
      </w:tr>
      <w:tr w:rsidR="001002EC" w:rsidRPr="0019790A" w14:paraId="3C2F6144" w14:textId="77777777" w:rsidTr="00B8248C">
        <w:trPr>
          <w:jc w:val="right"/>
        </w:trPr>
        <w:tc>
          <w:tcPr>
            <w:tcW w:w="3425" w:type="dxa"/>
            <w:shd w:val="clear" w:color="auto" w:fill="FFFFFF"/>
            <w:vAlign w:val="center"/>
          </w:tcPr>
          <w:p w14:paraId="66D396F6" w14:textId="77777777" w:rsidR="001002EC" w:rsidRPr="0019790A" w:rsidRDefault="001002EC" w:rsidP="0019790A">
            <w:pPr>
              <w:rPr>
                <w:rFonts w:cs="Arial"/>
                <w:b/>
                <w:bCs/>
                <w:color w:val="000000"/>
                <w:szCs w:val="22"/>
              </w:rPr>
            </w:pPr>
            <w:r w:rsidRPr="0019790A">
              <w:rPr>
                <w:rFonts w:cs="Arial"/>
                <w:b/>
                <w:bCs/>
                <w:color w:val="000000"/>
                <w:szCs w:val="22"/>
              </w:rPr>
              <w:t>Стислий опис проєкту:</w:t>
            </w:r>
          </w:p>
        </w:tc>
        <w:tc>
          <w:tcPr>
            <w:tcW w:w="6794" w:type="dxa"/>
            <w:gridSpan w:val="5"/>
          </w:tcPr>
          <w:p w14:paraId="5E534949" w14:textId="77777777" w:rsidR="001002EC" w:rsidRPr="0019790A" w:rsidRDefault="001002EC" w:rsidP="0019790A">
            <w:pPr>
              <w:rPr>
                <w:rFonts w:cs="Arial"/>
                <w:szCs w:val="22"/>
                <w:lang w:eastAsia="it-IT"/>
              </w:rPr>
            </w:pPr>
            <w:r w:rsidRPr="0019790A">
              <w:rPr>
                <w:rFonts w:cs="Arial"/>
                <w:szCs w:val="22"/>
              </w:rPr>
              <w:t>Частина амбулаторій громади використовує морально та фізично застаріле обладнання (електрокардіографи, аналізатори, глюкометри, небулайзери тощо). Це ускладнює якісне надання послуг, обмежує кількість контрактованих пакетів та створює ризики діагностичних помилок. Водночас сучасне обладнання підвищить швидкість, точність і безпечність обслуговування пацієнтів.</w:t>
            </w:r>
          </w:p>
        </w:tc>
      </w:tr>
      <w:tr w:rsidR="001002EC" w:rsidRPr="0019790A" w14:paraId="757F9BFA" w14:textId="77777777" w:rsidTr="00B8248C">
        <w:trPr>
          <w:jc w:val="right"/>
        </w:trPr>
        <w:tc>
          <w:tcPr>
            <w:tcW w:w="3425" w:type="dxa"/>
            <w:shd w:val="clear" w:color="auto" w:fill="FFFFFF"/>
            <w:vAlign w:val="center"/>
          </w:tcPr>
          <w:p w14:paraId="00B34F30" w14:textId="77777777" w:rsidR="001002EC" w:rsidRPr="0019790A" w:rsidRDefault="001002EC" w:rsidP="0019790A">
            <w:pPr>
              <w:rPr>
                <w:rFonts w:cs="Arial"/>
                <w:b/>
                <w:bCs/>
                <w:color w:val="000000"/>
                <w:szCs w:val="22"/>
              </w:rPr>
            </w:pPr>
            <w:r w:rsidRPr="0019790A">
              <w:rPr>
                <w:rFonts w:cs="Arial"/>
                <w:b/>
                <w:bCs/>
                <w:color w:val="000000"/>
                <w:szCs w:val="22"/>
              </w:rPr>
              <w:t>Основні заходи проєкту:</w:t>
            </w:r>
          </w:p>
        </w:tc>
        <w:tc>
          <w:tcPr>
            <w:tcW w:w="6794" w:type="dxa"/>
            <w:gridSpan w:val="5"/>
          </w:tcPr>
          <w:p w14:paraId="79F1A3F9" w14:textId="77777777" w:rsidR="001002EC" w:rsidRPr="0019790A" w:rsidRDefault="001002EC" w:rsidP="0019790A">
            <w:pPr>
              <w:pStyle w:val="ad"/>
              <w:spacing w:before="0" w:beforeAutospacing="0" w:after="0" w:afterAutospacing="0"/>
              <w:rPr>
                <w:rFonts w:cs="Arial"/>
                <w:szCs w:val="22"/>
              </w:rPr>
            </w:pPr>
            <w:r w:rsidRPr="0019790A">
              <w:rPr>
                <w:rFonts w:cs="Arial"/>
                <w:szCs w:val="22"/>
              </w:rPr>
              <w:t>-    Щорічне оновлення базового обладнання в амбулаторіях Жмеринської МТГ</w:t>
            </w:r>
          </w:p>
          <w:p w14:paraId="462C88DC" w14:textId="77777777" w:rsidR="001002EC" w:rsidRPr="0019790A" w:rsidRDefault="001002EC" w:rsidP="0019790A">
            <w:pPr>
              <w:pStyle w:val="ad"/>
              <w:spacing w:before="0" w:beforeAutospacing="0" w:after="0" w:afterAutospacing="0"/>
              <w:rPr>
                <w:rFonts w:cs="Arial"/>
                <w:szCs w:val="22"/>
              </w:rPr>
            </w:pPr>
            <w:r w:rsidRPr="0019790A">
              <w:rPr>
                <w:rFonts w:cs="Arial"/>
                <w:szCs w:val="22"/>
              </w:rPr>
              <w:t>- Надання якісних медичних послуг</w:t>
            </w:r>
          </w:p>
          <w:p w14:paraId="358B399D" w14:textId="77777777" w:rsidR="001002EC" w:rsidRPr="0019790A" w:rsidRDefault="001002EC" w:rsidP="0019790A">
            <w:pPr>
              <w:pStyle w:val="ad"/>
              <w:spacing w:before="0" w:beforeAutospacing="0" w:after="0" w:afterAutospacing="0"/>
              <w:rPr>
                <w:rFonts w:cs="Arial"/>
                <w:szCs w:val="22"/>
              </w:rPr>
            </w:pPr>
            <w:r w:rsidRPr="0019790A">
              <w:rPr>
                <w:rFonts w:cs="Arial"/>
                <w:szCs w:val="22"/>
              </w:rPr>
              <w:t>-  Придбання:</w:t>
            </w:r>
          </w:p>
          <w:p w14:paraId="392DFFC5" w14:textId="77777777" w:rsidR="001002EC" w:rsidRPr="0019790A" w:rsidRDefault="001002EC" w:rsidP="0019790A">
            <w:pPr>
              <w:pStyle w:val="ad"/>
              <w:numPr>
                <w:ilvl w:val="0"/>
                <w:numId w:val="32"/>
              </w:numPr>
              <w:spacing w:before="0" w:beforeAutospacing="0" w:after="0" w:afterAutospacing="0"/>
              <w:rPr>
                <w:rFonts w:cs="Arial"/>
                <w:szCs w:val="22"/>
              </w:rPr>
            </w:pPr>
            <w:r w:rsidRPr="0019790A">
              <w:rPr>
                <w:rFonts w:cs="Arial"/>
                <w:szCs w:val="22"/>
              </w:rPr>
              <w:t>5 електрокардіографів в 2026 році</w:t>
            </w:r>
          </w:p>
          <w:p w14:paraId="34BA0A33" w14:textId="77777777" w:rsidR="001002EC" w:rsidRPr="0019790A" w:rsidRDefault="001002EC" w:rsidP="0019790A">
            <w:pPr>
              <w:pStyle w:val="ad"/>
              <w:numPr>
                <w:ilvl w:val="0"/>
                <w:numId w:val="32"/>
              </w:numPr>
              <w:spacing w:before="0" w:beforeAutospacing="0" w:after="0" w:afterAutospacing="0"/>
              <w:rPr>
                <w:rFonts w:cs="Arial"/>
                <w:szCs w:val="22"/>
              </w:rPr>
            </w:pPr>
            <w:r w:rsidRPr="0019790A">
              <w:rPr>
                <w:rFonts w:cs="Arial"/>
                <w:szCs w:val="22"/>
              </w:rPr>
              <w:t>2 гематологічних аналізаторів в 2025 році</w:t>
            </w:r>
          </w:p>
          <w:p w14:paraId="60261400" w14:textId="77777777" w:rsidR="001002EC" w:rsidRPr="0019790A" w:rsidRDefault="001002EC" w:rsidP="0019790A">
            <w:pPr>
              <w:pStyle w:val="ad"/>
              <w:numPr>
                <w:ilvl w:val="0"/>
                <w:numId w:val="32"/>
              </w:numPr>
              <w:spacing w:before="0" w:beforeAutospacing="0" w:after="0" w:afterAutospacing="0"/>
              <w:rPr>
                <w:rFonts w:cs="Arial"/>
                <w:szCs w:val="22"/>
              </w:rPr>
            </w:pPr>
            <w:r w:rsidRPr="0019790A">
              <w:rPr>
                <w:rFonts w:cs="Arial"/>
                <w:szCs w:val="22"/>
              </w:rPr>
              <w:t>3 аналізаторів сечі в 2027 році</w:t>
            </w:r>
          </w:p>
          <w:p w14:paraId="2FDA3D29" w14:textId="77777777" w:rsidR="001002EC" w:rsidRPr="0019790A" w:rsidRDefault="001002EC" w:rsidP="0019790A">
            <w:pPr>
              <w:pStyle w:val="ad"/>
              <w:numPr>
                <w:ilvl w:val="0"/>
                <w:numId w:val="32"/>
              </w:numPr>
              <w:spacing w:before="0" w:beforeAutospacing="0" w:after="0" w:afterAutospacing="0"/>
              <w:rPr>
                <w:rFonts w:cs="Arial"/>
                <w:szCs w:val="22"/>
              </w:rPr>
            </w:pPr>
            <w:r w:rsidRPr="0019790A">
              <w:rPr>
                <w:rFonts w:cs="Arial"/>
                <w:szCs w:val="22"/>
              </w:rPr>
              <w:t>29 автоматичних тонометрів в 2026 році</w:t>
            </w:r>
          </w:p>
          <w:p w14:paraId="62691CB8" w14:textId="77777777" w:rsidR="001002EC" w:rsidRPr="0019790A" w:rsidRDefault="001002EC" w:rsidP="0019790A">
            <w:pPr>
              <w:pStyle w:val="ad"/>
              <w:spacing w:before="0" w:beforeAutospacing="0" w:after="0" w:afterAutospacing="0"/>
              <w:rPr>
                <w:rFonts w:cs="Arial"/>
                <w:szCs w:val="22"/>
              </w:rPr>
            </w:pPr>
          </w:p>
        </w:tc>
      </w:tr>
      <w:tr w:rsidR="001002EC" w:rsidRPr="0019790A" w14:paraId="4D17B6BD" w14:textId="77777777" w:rsidTr="00B8248C">
        <w:trPr>
          <w:jc w:val="right"/>
        </w:trPr>
        <w:tc>
          <w:tcPr>
            <w:tcW w:w="3425" w:type="dxa"/>
            <w:shd w:val="clear" w:color="auto" w:fill="FFFFFF"/>
            <w:vAlign w:val="center"/>
          </w:tcPr>
          <w:p w14:paraId="3B8FBD8E" w14:textId="77777777" w:rsidR="001002EC" w:rsidRPr="0019790A" w:rsidRDefault="001002EC"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794" w:type="dxa"/>
            <w:gridSpan w:val="5"/>
          </w:tcPr>
          <w:p w14:paraId="1467D49E" w14:textId="77777777" w:rsidR="001002EC" w:rsidRPr="0019790A" w:rsidRDefault="001002EC" w:rsidP="0019790A">
            <w:pPr>
              <w:pStyle w:val="ad"/>
              <w:spacing w:before="0" w:beforeAutospacing="0" w:after="0" w:afterAutospacing="0"/>
              <w:rPr>
                <w:rFonts w:cs="Arial"/>
                <w:szCs w:val="22"/>
              </w:rPr>
            </w:pPr>
            <w:r w:rsidRPr="0019790A">
              <w:rPr>
                <w:rFonts w:cs="Arial"/>
                <w:szCs w:val="22"/>
              </w:rPr>
              <w:t>-  Оновлено не менше 10 одиниць обладнання щороку</w:t>
            </w:r>
          </w:p>
          <w:p w14:paraId="6E5477AE" w14:textId="77777777" w:rsidR="001002EC" w:rsidRPr="0019790A" w:rsidRDefault="001002EC" w:rsidP="0019790A">
            <w:pPr>
              <w:pStyle w:val="ad"/>
              <w:spacing w:before="0" w:beforeAutospacing="0" w:after="0" w:afterAutospacing="0"/>
              <w:rPr>
                <w:rFonts w:cs="Arial"/>
                <w:szCs w:val="22"/>
              </w:rPr>
            </w:pPr>
            <w:r w:rsidRPr="0019790A">
              <w:rPr>
                <w:rFonts w:cs="Arial"/>
                <w:szCs w:val="22"/>
              </w:rPr>
              <w:t>-  Покращено забезпечення амбулаторій на 100% протягом 4 років</w:t>
            </w:r>
          </w:p>
          <w:p w14:paraId="39803696" w14:textId="77777777" w:rsidR="001002EC" w:rsidRPr="0019790A" w:rsidRDefault="001002EC" w:rsidP="0019790A">
            <w:pPr>
              <w:pStyle w:val="ad"/>
              <w:spacing w:before="0" w:beforeAutospacing="0" w:after="0" w:afterAutospacing="0"/>
              <w:rPr>
                <w:rFonts w:cs="Arial"/>
                <w:szCs w:val="22"/>
              </w:rPr>
            </w:pPr>
            <w:r w:rsidRPr="0019790A">
              <w:rPr>
                <w:rFonts w:cs="Arial"/>
                <w:szCs w:val="22"/>
              </w:rPr>
              <w:t>-  Скорочено час діагностики на 20–30%</w:t>
            </w:r>
          </w:p>
          <w:p w14:paraId="06BAF362" w14:textId="77777777" w:rsidR="001002EC" w:rsidRPr="0019790A" w:rsidRDefault="001002EC" w:rsidP="0019790A">
            <w:pPr>
              <w:pStyle w:val="ad"/>
              <w:spacing w:before="0" w:beforeAutospacing="0" w:after="0" w:afterAutospacing="0"/>
              <w:rPr>
                <w:rFonts w:cs="Arial"/>
                <w:szCs w:val="22"/>
              </w:rPr>
            </w:pPr>
            <w:r w:rsidRPr="0019790A">
              <w:rPr>
                <w:rFonts w:cs="Arial"/>
                <w:szCs w:val="22"/>
              </w:rPr>
              <w:t>-  Підвищено кількість контрактованих пакетів НСЗУ</w:t>
            </w:r>
          </w:p>
        </w:tc>
      </w:tr>
      <w:tr w:rsidR="001002EC" w:rsidRPr="0019790A" w14:paraId="20602043" w14:textId="77777777" w:rsidTr="00B8248C">
        <w:trPr>
          <w:jc w:val="right"/>
        </w:trPr>
        <w:tc>
          <w:tcPr>
            <w:tcW w:w="3425" w:type="dxa"/>
            <w:shd w:val="clear" w:color="auto" w:fill="FFFFFF"/>
            <w:vAlign w:val="center"/>
          </w:tcPr>
          <w:p w14:paraId="21CA5D15" w14:textId="77777777" w:rsidR="001002EC" w:rsidRPr="0019790A" w:rsidRDefault="001002EC" w:rsidP="0019790A">
            <w:pPr>
              <w:rPr>
                <w:rFonts w:cs="Arial"/>
                <w:b/>
                <w:color w:val="000000"/>
                <w:szCs w:val="22"/>
              </w:rPr>
            </w:pPr>
            <w:r w:rsidRPr="0019790A">
              <w:rPr>
                <w:rFonts w:cs="Arial"/>
                <w:b/>
                <w:color w:val="000000"/>
                <w:szCs w:val="22"/>
              </w:rPr>
              <w:t xml:space="preserve">Період здійснення: </w:t>
            </w:r>
          </w:p>
        </w:tc>
        <w:tc>
          <w:tcPr>
            <w:tcW w:w="6794" w:type="dxa"/>
            <w:gridSpan w:val="5"/>
            <w:vAlign w:val="center"/>
          </w:tcPr>
          <w:p w14:paraId="6B61C219" w14:textId="77777777" w:rsidR="001002EC" w:rsidRPr="0019790A" w:rsidRDefault="001002EC" w:rsidP="0019790A">
            <w:pPr>
              <w:rPr>
                <w:rFonts w:cs="Arial"/>
                <w:color w:val="000000"/>
                <w:szCs w:val="22"/>
                <w:lang w:eastAsia="it-IT"/>
              </w:rPr>
            </w:pPr>
            <w:r w:rsidRPr="0019790A">
              <w:rPr>
                <w:rFonts w:cs="Arial"/>
                <w:color w:val="000000"/>
                <w:szCs w:val="22"/>
              </w:rPr>
              <w:t>2025 – 2028 роки:</w:t>
            </w:r>
          </w:p>
        </w:tc>
      </w:tr>
      <w:tr w:rsidR="001002EC" w:rsidRPr="0019790A" w14:paraId="15A38B3C" w14:textId="77777777" w:rsidTr="00B8248C">
        <w:trPr>
          <w:jc w:val="right"/>
        </w:trPr>
        <w:tc>
          <w:tcPr>
            <w:tcW w:w="3425" w:type="dxa"/>
            <w:vMerge w:val="restart"/>
            <w:shd w:val="clear" w:color="auto" w:fill="FFFFFF"/>
            <w:vAlign w:val="center"/>
          </w:tcPr>
          <w:p w14:paraId="22C26277" w14:textId="77777777" w:rsidR="001002EC" w:rsidRPr="0019790A" w:rsidRDefault="001002EC" w:rsidP="0019790A">
            <w:pPr>
              <w:rPr>
                <w:rFonts w:cs="Arial"/>
                <w:b/>
                <w:bCs/>
                <w:color w:val="000000"/>
                <w:szCs w:val="22"/>
              </w:rPr>
            </w:pPr>
            <w:r w:rsidRPr="0019790A">
              <w:rPr>
                <w:rFonts w:cs="Arial"/>
                <w:b/>
                <w:bCs/>
                <w:color w:val="000000"/>
                <w:szCs w:val="22"/>
              </w:rPr>
              <w:t>Орієнтовна вартість проєкту, тис. грн., в тому числі:</w:t>
            </w:r>
          </w:p>
        </w:tc>
        <w:tc>
          <w:tcPr>
            <w:tcW w:w="1254" w:type="dxa"/>
            <w:shd w:val="clear" w:color="auto" w:fill="E6E6E6"/>
            <w:vAlign w:val="center"/>
          </w:tcPr>
          <w:p w14:paraId="16482495" w14:textId="77777777" w:rsidR="001002EC" w:rsidRPr="0019790A" w:rsidRDefault="001002EC" w:rsidP="0019790A">
            <w:pPr>
              <w:jc w:val="center"/>
              <w:rPr>
                <w:rFonts w:cs="Arial"/>
                <w:b/>
                <w:bCs/>
                <w:color w:val="000000"/>
                <w:szCs w:val="22"/>
                <w:lang w:eastAsia="it-IT"/>
              </w:rPr>
            </w:pPr>
            <w:r w:rsidRPr="0019790A">
              <w:rPr>
                <w:rFonts w:cs="Arial"/>
                <w:b/>
                <w:bCs/>
                <w:color w:val="000000"/>
                <w:szCs w:val="22"/>
                <w:lang w:eastAsia="it-IT"/>
              </w:rPr>
              <w:t>2025</w:t>
            </w:r>
          </w:p>
        </w:tc>
        <w:tc>
          <w:tcPr>
            <w:tcW w:w="1275" w:type="dxa"/>
            <w:shd w:val="clear" w:color="auto" w:fill="E6E6E6"/>
            <w:vAlign w:val="center"/>
          </w:tcPr>
          <w:p w14:paraId="68B02831" w14:textId="77777777" w:rsidR="001002EC" w:rsidRPr="0019790A" w:rsidRDefault="001002EC" w:rsidP="0019790A">
            <w:pPr>
              <w:jc w:val="center"/>
              <w:rPr>
                <w:rFonts w:cs="Arial"/>
                <w:b/>
                <w:bCs/>
                <w:color w:val="000000"/>
                <w:szCs w:val="22"/>
                <w:lang w:eastAsia="it-IT"/>
              </w:rPr>
            </w:pPr>
            <w:r w:rsidRPr="0019790A">
              <w:rPr>
                <w:rFonts w:cs="Arial"/>
                <w:b/>
                <w:bCs/>
                <w:color w:val="000000"/>
                <w:szCs w:val="22"/>
                <w:lang w:eastAsia="it-IT"/>
              </w:rPr>
              <w:t>2026</w:t>
            </w:r>
          </w:p>
        </w:tc>
        <w:tc>
          <w:tcPr>
            <w:tcW w:w="1418" w:type="dxa"/>
            <w:tcBorders>
              <w:bottom w:val="single" w:sz="4" w:space="0" w:color="auto"/>
            </w:tcBorders>
            <w:shd w:val="clear" w:color="auto" w:fill="E6E6E6"/>
            <w:vAlign w:val="center"/>
          </w:tcPr>
          <w:p w14:paraId="4902C541" w14:textId="77777777" w:rsidR="001002EC" w:rsidRPr="0019790A" w:rsidRDefault="001002EC" w:rsidP="0019790A">
            <w:pPr>
              <w:jc w:val="center"/>
              <w:rPr>
                <w:rFonts w:cs="Arial"/>
                <w:b/>
                <w:bCs/>
                <w:color w:val="000000"/>
                <w:szCs w:val="22"/>
                <w:lang w:eastAsia="it-IT"/>
              </w:rPr>
            </w:pPr>
            <w:r w:rsidRPr="0019790A">
              <w:rPr>
                <w:rFonts w:cs="Arial"/>
                <w:b/>
                <w:bCs/>
                <w:color w:val="000000"/>
                <w:szCs w:val="22"/>
                <w:lang w:eastAsia="it-IT"/>
              </w:rPr>
              <w:t>2027</w:t>
            </w:r>
          </w:p>
        </w:tc>
        <w:tc>
          <w:tcPr>
            <w:tcW w:w="1276" w:type="dxa"/>
            <w:shd w:val="clear" w:color="auto" w:fill="E6E6E6"/>
            <w:vAlign w:val="center"/>
          </w:tcPr>
          <w:p w14:paraId="0A562635" w14:textId="77777777" w:rsidR="001002EC" w:rsidRPr="0019790A" w:rsidRDefault="001002EC" w:rsidP="0019790A">
            <w:pPr>
              <w:jc w:val="center"/>
              <w:rPr>
                <w:rFonts w:cs="Arial"/>
                <w:b/>
                <w:bCs/>
                <w:color w:val="000000"/>
                <w:szCs w:val="22"/>
                <w:lang w:eastAsia="it-IT"/>
              </w:rPr>
            </w:pPr>
            <w:r w:rsidRPr="0019790A">
              <w:rPr>
                <w:rFonts w:cs="Arial"/>
                <w:b/>
                <w:bCs/>
                <w:color w:val="000000"/>
                <w:szCs w:val="22"/>
                <w:lang w:eastAsia="it-IT"/>
              </w:rPr>
              <w:t>2028</w:t>
            </w:r>
          </w:p>
        </w:tc>
        <w:tc>
          <w:tcPr>
            <w:tcW w:w="1571" w:type="dxa"/>
            <w:shd w:val="clear" w:color="auto" w:fill="E6E6E6"/>
            <w:vAlign w:val="center"/>
          </w:tcPr>
          <w:p w14:paraId="26047FB2" w14:textId="77777777" w:rsidR="001002EC" w:rsidRPr="0019790A" w:rsidRDefault="001002EC" w:rsidP="0019790A">
            <w:pPr>
              <w:jc w:val="center"/>
              <w:rPr>
                <w:rFonts w:cs="Arial"/>
                <w:b/>
                <w:bCs/>
                <w:color w:val="000000"/>
                <w:szCs w:val="22"/>
                <w:lang w:eastAsia="it-IT"/>
              </w:rPr>
            </w:pPr>
            <w:r w:rsidRPr="0019790A">
              <w:rPr>
                <w:rFonts w:cs="Arial"/>
                <w:b/>
                <w:bCs/>
                <w:color w:val="000000"/>
                <w:szCs w:val="22"/>
                <w:lang w:eastAsia="it-IT"/>
              </w:rPr>
              <w:t>РАЗОМ</w:t>
            </w:r>
          </w:p>
        </w:tc>
      </w:tr>
      <w:tr w:rsidR="001002EC" w:rsidRPr="0019790A" w14:paraId="166EFF0F" w14:textId="77777777" w:rsidTr="00B8248C">
        <w:trPr>
          <w:jc w:val="right"/>
        </w:trPr>
        <w:tc>
          <w:tcPr>
            <w:tcW w:w="3425" w:type="dxa"/>
            <w:vMerge/>
            <w:shd w:val="clear" w:color="auto" w:fill="FFFFFF"/>
            <w:vAlign w:val="center"/>
          </w:tcPr>
          <w:p w14:paraId="3E213FC9" w14:textId="77777777" w:rsidR="001002EC" w:rsidRPr="0019790A" w:rsidRDefault="001002EC" w:rsidP="0019790A">
            <w:pPr>
              <w:rPr>
                <w:rFonts w:cs="Arial"/>
                <w:b/>
                <w:bCs/>
                <w:color w:val="000000"/>
                <w:szCs w:val="22"/>
              </w:rPr>
            </w:pPr>
          </w:p>
        </w:tc>
        <w:tc>
          <w:tcPr>
            <w:tcW w:w="1254" w:type="dxa"/>
            <w:vAlign w:val="center"/>
          </w:tcPr>
          <w:p w14:paraId="1C98C455"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464,000</w:t>
            </w:r>
          </w:p>
        </w:tc>
        <w:tc>
          <w:tcPr>
            <w:tcW w:w="1275" w:type="dxa"/>
            <w:shd w:val="clear" w:color="auto" w:fill="FFFFFF"/>
            <w:vAlign w:val="center"/>
          </w:tcPr>
          <w:p w14:paraId="2BB0C134"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455,100</w:t>
            </w:r>
          </w:p>
        </w:tc>
        <w:tc>
          <w:tcPr>
            <w:tcW w:w="1418" w:type="dxa"/>
            <w:shd w:val="clear" w:color="auto" w:fill="auto"/>
            <w:vAlign w:val="center"/>
          </w:tcPr>
          <w:p w14:paraId="36F0B6F1"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128,300</w:t>
            </w:r>
          </w:p>
        </w:tc>
        <w:tc>
          <w:tcPr>
            <w:tcW w:w="1276" w:type="dxa"/>
            <w:shd w:val="clear" w:color="auto" w:fill="FFFFFF"/>
            <w:vAlign w:val="center"/>
          </w:tcPr>
          <w:p w14:paraId="4BA7073A" w14:textId="77777777" w:rsidR="001002EC" w:rsidRPr="0019790A" w:rsidRDefault="001002EC" w:rsidP="0019790A">
            <w:pPr>
              <w:jc w:val="center"/>
              <w:rPr>
                <w:rFonts w:cs="Arial"/>
                <w:b/>
                <w:color w:val="000000"/>
                <w:szCs w:val="22"/>
                <w:lang w:eastAsia="it-IT"/>
              </w:rPr>
            </w:pPr>
          </w:p>
        </w:tc>
        <w:tc>
          <w:tcPr>
            <w:tcW w:w="1571" w:type="dxa"/>
            <w:shd w:val="clear" w:color="auto" w:fill="FFFFFF"/>
            <w:vAlign w:val="center"/>
          </w:tcPr>
          <w:p w14:paraId="61CD2771"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1047,400</w:t>
            </w:r>
          </w:p>
        </w:tc>
      </w:tr>
      <w:tr w:rsidR="001002EC" w:rsidRPr="0019790A" w14:paraId="17B980DB" w14:textId="77777777" w:rsidTr="00B8248C">
        <w:trPr>
          <w:jc w:val="right"/>
        </w:trPr>
        <w:tc>
          <w:tcPr>
            <w:tcW w:w="3425" w:type="dxa"/>
            <w:shd w:val="clear" w:color="auto" w:fill="FFFFFF"/>
            <w:vAlign w:val="center"/>
          </w:tcPr>
          <w:p w14:paraId="3B3B903B" w14:textId="77777777" w:rsidR="001002EC" w:rsidRPr="0019790A" w:rsidRDefault="001002EC" w:rsidP="0019790A">
            <w:pPr>
              <w:rPr>
                <w:rFonts w:cs="Arial"/>
                <w:b/>
                <w:bCs/>
                <w:color w:val="000000"/>
                <w:szCs w:val="22"/>
              </w:rPr>
            </w:pPr>
            <w:r w:rsidRPr="0019790A">
              <w:rPr>
                <w:rFonts w:cs="Arial"/>
                <w:b/>
                <w:bCs/>
                <w:color w:val="000000"/>
                <w:szCs w:val="22"/>
              </w:rPr>
              <w:t>по джерелах фінансування:</w:t>
            </w:r>
          </w:p>
        </w:tc>
        <w:tc>
          <w:tcPr>
            <w:tcW w:w="1254" w:type="dxa"/>
            <w:vAlign w:val="center"/>
          </w:tcPr>
          <w:p w14:paraId="77190098" w14:textId="77777777" w:rsidR="001002EC" w:rsidRPr="0019790A" w:rsidRDefault="001002EC" w:rsidP="0019790A">
            <w:pPr>
              <w:jc w:val="center"/>
              <w:rPr>
                <w:rFonts w:cs="Arial"/>
                <w:color w:val="000000"/>
                <w:szCs w:val="22"/>
                <w:lang w:eastAsia="it-IT"/>
              </w:rPr>
            </w:pPr>
          </w:p>
        </w:tc>
        <w:tc>
          <w:tcPr>
            <w:tcW w:w="1275" w:type="dxa"/>
            <w:shd w:val="clear" w:color="auto" w:fill="FFFFFF"/>
            <w:vAlign w:val="center"/>
          </w:tcPr>
          <w:p w14:paraId="1538CD45" w14:textId="77777777" w:rsidR="001002EC" w:rsidRPr="0019790A" w:rsidRDefault="001002EC" w:rsidP="0019790A">
            <w:pPr>
              <w:jc w:val="center"/>
              <w:rPr>
                <w:rFonts w:cs="Arial"/>
                <w:color w:val="000000"/>
                <w:szCs w:val="22"/>
                <w:lang w:eastAsia="it-IT"/>
              </w:rPr>
            </w:pPr>
          </w:p>
        </w:tc>
        <w:tc>
          <w:tcPr>
            <w:tcW w:w="1418" w:type="dxa"/>
            <w:shd w:val="clear" w:color="auto" w:fill="auto"/>
            <w:vAlign w:val="center"/>
          </w:tcPr>
          <w:p w14:paraId="3F2781E5" w14:textId="77777777" w:rsidR="001002EC" w:rsidRPr="0019790A" w:rsidRDefault="001002EC" w:rsidP="0019790A">
            <w:pPr>
              <w:jc w:val="center"/>
              <w:rPr>
                <w:rFonts w:cs="Arial"/>
                <w:color w:val="000000"/>
                <w:szCs w:val="22"/>
                <w:lang w:eastAsia="it-IT"/>
              </w:rPr>
            </w:pPr>
          </w:p>
        </w:tc>
        <w:tc>
          <w:tcPr>
            <w:tcW w:w="1276" w:type="dxa"/>
            <w:shd w:val="clear" w:color="auto" w:fill="FFFFFF"/>
            <w:vAlign w:val="center"/>
          </w:tcPr>
          <w:p w14:paraId="69AF0003" w14:textId="77777777" w:rsidR="001002EC" w:rsidRPr="0019790A" w:rsidRDefault="001002EC" w:rsidP="0019790A">
            <w:pPr>
              <w:jc w:val="center"/>
              <w:rPr>
                <w:rFonts w:cs="Arial"/>
                <w:color w:val="000000"/>
                <w:szCs w:val="22"/>
                <w:lang w:eastAsia="it-IT"/>
              </w:rPr>
            </w:pPr>
          </w:p>
        </w:tc>
        <w:tc>
          <w:tcPr>
            <w:tcW w:w="1571" w:type="dxa"/>
            <w:shd w:val="clear" w:color="auto" w:fill="FFFFFF"/>
            <w:vAlign w:val="center"/>
          </w:tcPr>
          <w:p w14:paraId="79A05A6A" w14:textId="77777777" w:rsidR="001002EC" w:rsidRPr="0019790A" w:rsidRDefault="001002EC" w:rsidP="0019790A">
            <w:pPr>
              <w:jc w:val="center"/>
              <w:rPr>
                <w:rFonts w:cs="Arial"/>
                <w:color w:val="000000"/>
                <w:szCs w:val="22"/>
                <w:lang w:eastAsia="it-IT"/>
              </w:rPr>
            </w:pPr>
          </w:p>
        </w:tc>
      </w:tr>
      <w:tr w:rsidR="001002EC" w:rsidRPr="0019790A" w14:paraId="54FD0A06" w14:textId="77777777" w:rsidTr="00B8248C">
        <w:trPr>
          <w:jc w:val="right"/>
        </w:trPr>
        <w:tc>
          <w:tcPr>
            <w:tcW w:w="3425" w:type="dxa"/>
            <w:shd w:val="clear" w:color="auto" w:fill="FFFFFF"/>
            <w:vAlign w:val="center"/>
          </w:tcPr>
          <w:p w14:paraId="42911E36" w14:textId="77777777" w:rsidR="001002EC" w:rsidRPr="0019790A" w:rsidRDefault="001002EC" w:rsidP="0019790A">
            <w:pPr>
              <w:rPr>
                <w:rFonts w:cs="Arial"/>
                <w:b/>
                <w:bCs/>
                <w:color w:val="000000"/>
                <w:szCs w:val="22"/>
              </w:rPr>
            </w:pPr>
            <w:r w:rsidRPr="0019790A">
              <w:rPr>
                <w:rFonts w:cs="Arial"/>
                <w:b/>
                <w:color w:val="000000"/>
                <w:szCs w:val="22"/>
              </w:rPr>
              <w:t>- державний бюджет</w:t>
            </w:r>
          </w:p>
        </w:tc>
        <w:tc>
          <w:tcPr>
            <w:tcW w:w="1254" w:type="dxa"/>
            <w:vAlign w:val="center"/>
          </w:tcPr>
          <w:p w14:paraId="5440D07D" w14:textId="77777777" w:rsidR="001002EC" w:rsidRPr="0019790A" w:rsidRDefault="001002EC" w:rsidP="0019790A">
            <w:pPr>
              <w:jc w:val="center"/>
              <w:rPr>
                <w:rFonts w:cs="Arial"/>
                <w:color w:val="000000"/>
                <w:szCs w:val="22"/>
                <w:lang w:eastAsia="it-IT"/>
              </w:rPr>
            </w:pPr>
          </w:p>
        </w:tc>
        <w:tc>
          <w:tcPr>
            <w:tcW w:w="1275" w:type="dxa"/>
            <w:shd w:val="clear" w:color="auto" w:fill="FFFFFF"/>
            <w:vAlign w:val="center"/>
          </w:tcPr>
          <w:p w14:paraId="558B2134" w14:textId="77777777" w:rsidR="001002EC" w:rsidRPr="0019790A" w:rsidRDefault="001002EC" w:rsidP="0019790A">
            <w:pPr>
              <w:jc w:val="center"/>
              <w:rPr>
                <w:rFonts w:cs="Arial"/>
                <w:color w:val="000000"/>
                <w:szCs w:val="22"/>
                <w:lang w:eastAsia="it-IT"/>
              </w:rPr>
            </w:pPr>
          </w:p>
        </w:tc>
        <w:tc>
          <w:tcPr>
            <w:tcW w:w="1418" w:type="dxa"/>
            <w:shd w:val="clear" w:color="auto" w:fill="auto"/>
            <w:vAlign w:val="center"/>
          </w:tcPr>
          <w:p w14:paraId="5585A0E8" w14:textId="77777777" w:rsidR="001002EC" w:rsidRPr="0019790A" w:rsidRDefault="001002EC" w:rsidP="0019790A">
            <w:pPr>
              <w:jc w:val="center"/>
              <w:rPr>
                <w:rFonts w:cs="Arial"/>
                <w:color w:val="000000"/>
                <w:szCs w:val="22"/>
                <w:lang w:eastAsia="it-IT"/>
              </w:rPr>
            </w:pPr>
          </w:p>
        </w:tc>
        <w:tc>
          <w:tcPr>
            <w:tcW w:w="1276" w:type="dxa"/>
            <w:shd w:val="clear" w:color="auto" w:fill="FFFFFF"/>
            <w:vAlign w:val="center"/>
          </w:tcPr>
          <w:p w14:paraId="027AB608" w14:textId="77777777" w:rsidR="001002EC" w:rsidRPr="0019790A" w:rsidRDefault="001002EC" w:rsidP="0019790A">
            <w:pPr>
              <w:jc w:val="center"/>
              <w:rPr>
                <w:rFonts w:cs="Arial"/>
                <w:color w:val="000000"/>
                <w:szCs w:val="22"/>
                <w:lang w:eastAsia="it-IT"/>
              </w:rPr>
            </w:pPr>
          </w:p>
        </w:tc>
        <w:tc>
          <w:tcPr>
            <w:tcW w:w="1571" w:type="dxa"/>
            <w:shd w:val="clear" w:color="auto" w:fill="FFFFFF"/>
            <w:vAlign w:val="center"/>
          </w:tcPr>
          <w:p w14:paraId="38A60AE7" w14:textId="77777777" w:rsidR="001002EC" w:rsidRPr="0019790A" w:rsidRDefault="001002EC" w:rsidP="0019790A">
            <w:pPr>
              <w:jc w:val="center"/>
              <w:rPr>
                <w:rFonts w:cs="Arial"/>
                <w:color w:val="000000"/>
                <w:szCs w:val="22"/>
                <w:lang w:eastAsia="it-IT"/>
              </w:rPr>
            </w:pPr>
          </w:p>
        </w:tc>
      </w:tr>
      <w:tr w:rsidR="001002EC" w:rsidRPr="0019790A" w14:paraId="6AF90E16" w14:textId="77777777" w:rsidTr="00B8248C">
        <w:trPr>
          <w:jc w:val="right"/>
        </w:trPr>
        <w:tc>
          <w:tcPr>
            <w:tcW w:w="3425" w:type="dxa"/>
            <w:shd w:val="clear" w:color="auto" w:fill="FFFFFF"/>
            <w:vAlign w:val="center"/>
          </w:tcPr>
          <w:p w14:paraId="0A766B50" w14:textId="77777777" w:rsidR="001002EC" w:rsidRPr="0019790A" w:rsidRDefault="001002EC" w:rsidP="0019790A">
            <w:pPr>
              <w:rPr>
                <w:rFonts w:cs="Arial"/>
                <w:b/>
                <w:color w:val="000000"/>
                <w:szCs w:val="22"/>
              </w:rPr>
            </w:pPr>
            <w:r w:rsidRPr="0019790A">
              <w:rPr>
                <w:rFonts w:cs="Arial"/>
                <w:b/>
                <w:color w:val="000000"/>
                <w:szCs w:val="22"/>
              </w:rPr>
              <w:t>- обласний бюджет</w:t>
            </w:r>
          </w:p>
        </w:tc>
        <w:tc>
          <w:tcPr>
            <w:tcW w:w="1254" w:type="dxa"/>
            <w:vAlign w:val="center"/>
          </w:tcPr>
          <w:p w14:paraId="7BFF9B73" w14:textId="77777777" w:rsidR="001002EC" w:rsidRPr="0019790A" w:rsidRDefault="001002EC" w:rsidP="0019790A">
            <w:pPr>
              <w:jc w:val="center"/>
              <w:rPr>
                <w:rFonts w:cs="Arial"/>
                <w:color w:val="000000"/>
                <w:szCs w:val="22"/>
                <w:lang w:eastAsia="it-IT"/>
              </w:rPr>
            </w:pPr>
          </w:p>
        </w:tc>
        <w:tc>
          <w:tcPr>
            <w:tcW w:w="1275" w:type="dxa"/>
            <w:shd w:val="clear" w:color="auto" w:fill="FFFFFF"/>
            <w:vAlign w:val="center"/>
          </w:tcPr>
          <w:p w14:paraId="17FB7E3F" w14:textId="77777777" w:rsidR="001002EC" w:rsidRPr="0019790A" w:rsidRDefault="001002EC" w:rsidP="0019790A">
            <w:pPr>
              <w:jc w:val="center"/>
              <w:rPr>
                <w:rFonts w:cs="Arial"/>
                <w:color w:val="000000"/>
                <w:szCs w:val="22"/>
                <w:lang w:eastAsia="it-IT"/>
              </w:rPr>
            </w:pPr>
          </w:p>
        </w:tc>
        <w:tc>
          <w:tcPr>
            <w:tcW w:w="1418" w:type="dxa"/>
            <w:shd w:val="clear" w:color="auto" w:fill="auto"/>
            <w:vAlign w:val="center"/>
          </w:tcPr>
          <w:p w14:paraId="2626E6EB" w14:textId="77777777" w:rsidR="001002EC" w:rsidRPr="0019790A" w:rsidRDefault="001002EC" w:rsidP="0019790A">
            <w:pPr>
              <w:jc w:val="center"/>
              <w:rPr>
                <w:rFonts w:cs="Arial"/>
                <w:color w:val="000000"/>
                <w:szCs w:val="22"/>
                <w:lang w:eastAsia="it-IT"/>
              </w:rPr>
            </w:pPr>
          </w:p>
        </w:tc>
        <w:tc>
          <w:tcPr>
            <w:tcW w:w="1276" w:type="dxa"/>
            <w:shd w:val="clear" w:color="auto" w:fill="FFFFFF"/>
            <w:vAlign w:val="center"/>
          </w:tcPr>
          <w:p w14:paraId="3D758968" w14:textId="77777777" w:rsidR="001002EC" w:rsidRPr="0019790A" w:rsidRDefault="001002EC" w:rsidP="0019790A">
            <w:pPr>
              <w:jc w:val="center"/>
              <w:rPr>
                <w:rFonts w:cs="Arial"/>
                <w:color w:val="000000"/>
                <w:szCs w:val="22"/>
                <w:lang w:eastAsia="it-IT"/>
              </w:rPr>
            </w:pPr>
          </w:p>
        </w:tc>
        <w:tc>
          <w:tcPr>
            <w:tcW w:w="1571" w:type="dxa"/>
            <w:shd w:val="clear" w:color="auto" w:fill="FFFFFF"/>
            <w:vAlign w:val="center"/>
          </w:tcPr>
          <w:p w14:paraId="612531EC" w14:textId="77777777" w:rsidR="001002EC" w:rsidRPr="0019790A" w:rsidRDefault="001002EC" w:rsidP="0019790A">
            <w:pPr>
              <w:jc w:val="center"/>
              <w:rPr>
                <w:rFonts w:cs="Arial"/>
                <w:color w:val="000000"/>
                <w:szCs w:val="22"/>
                <w:lang w:eastAsia="it-IT"/>
              </w:rPr>
            </w:pPr>
          </w:p>
        </w:tc>
      </w:tr>
      <w:tr w:rsidR="001002EC" w:rsidRPr="0019790A" w14:paraId="5914E4FA" w14:textId="77777777" w:rsidTr="00B8248C">
        <w:trPr>
          <w:jc w:val="right"/>
        </w:trPr>
        <w:tc>
          <w:tcPr>
            <w:tcW w:w="3425" w:type="dxa"/>
            <w:shd w:val="clear" w:color="auto" w:fill="FFFFFF"/>
            <w:vAlign w:val="center"/>
          </w:tcPr>
          <w:p w14:paraId="6F9E5CA6" w14:textId="77777777" w:rsidR="001002EC" w:rsidRPr="0019790A" w:rsidRDefault="001002EC" w:rsidP="0019790A">
            <w:pPr>
              <w:rPr>
                <w:rFonts w:cs="Arial"/>
                <w:b/>
                <w:color w:val="000000"/>
                <w:szCs w:val="22"/>
              </w:rPr>
            </w:pPr>
            <w:r w:rsidRPr="0019790A">
              <w:rPr>
                <w:rFonts w:cs="Arial"/>
                <w:b/>
                <w:color w:val="000000"/>
                <w:szCs w:val="22"/>
              </w:rPr>
              <w:t>- бюджет Жмеринської МТГ</w:t>
            </w:r>
          </w:p>
        </w:tc>
        <w:tc>
          <w:tcPr>
            <w:tcW w:w="1254" w:type="dxa"/>
            <w:vAlign w:val="center"/>
          </w:tcPr>
          <w:p w14:paraId="2955337C" w14:textId="77777777" w:rsidR="001002EC" w:rsidRPr="0019790A" w:rsidRDefault="001002EC" w:rsidP="0019790A">
            <w:pPr>
              <w:jc w:val="center"/>
              <w:rPr>
                <w:rFonts w:cs="Arial"/>
                <w:color w:val="000000"/>
                <w:szCs w:val="22"/>
                <w:lang w:eastAsia="it-IT"/>
              </w:rPr>
            </w:pPr>
            <w:r w:rsidRPr="0019790A">
              <w:rPr>
                <w:rFonts w:cs="Arial"/>
                <w:color w:val="000000"/>
                <w:szCs w:val="22"/>
                <w:lang w:eastAsia="it-IT"/>
              </w:rPr>
              <w:t>464,000</w:t>
            </w:r>
          </w:p>
        </w:tc>
        <w:tc>
          <w:tcPr>
            <w:tcW w:w="1275" w:type="dxa"/>
            <w:shd w:val="clear" w:color="auto" w:fill="FFFFFF"/>
            <w:vAlign w:val="center"/>
          </w:tcPr>
          <w:p w14:paraId="44A4D42B" w14:textId="77777777" w:rsidR="001002EC" w:rsidRPr="0019790A" w:rsidRDefault="001002EC" w:rsidP="0019790A">
            <w:pPr>
              <w:jc w:val="center"/>
              <w:rPr>
                <w:rFonts w:cs="Arial"/>
                <w:color w:val="000000"/>
                <w:szCs w:val="22"/>
                <w:lang w:eastAsia="it-IT"/>
              </w:rPr>
            </w:pPr>
            <w:r w:rsidRPr="0019790A">
              <w:rPr>
                <w:rFonts w:cs="Arial"/>
                <w:color w:val="000000"/>
                <w:szCs w:val="22"/>
                <w:lang w:eastAsia="it-IT"/>
              </w:rPr>
              <w:t>455,100</w:t>
            </w:r>
          </w:p>
        </w:tc>
        <w:tc>
          <w:tcPr>
            <w:tcW w:w="1418" w:type="dxa"/>
            <w:shd w:val="clear" w:color="auto" w:fill="auto"/>
            <w:vAlign w:val="center"/>
          </w:tcPr>
          <w:p w14:paraId="026C5156" w14:textId="77777777" w:rsidR="001002EC" w:rsidRPr="0019790A" w:rsidRDefault="001002EC" w:rsidP="0019790A">
            <w:pPr>
              <w:jc w:val="center"/>
              <w:rPr>
                <w:rFonts w:cs="Arial"/>
                <w:color w:val="000000"/>
                <w:szCs w:val="22"/>
                <w:lang w:eastAsia="it-IT"/>
              </w:rPr>
            </w:pPr>
            <w:r w:rsidRPr="0019790A">
              <w:rPr>
                <w:rFonts w:cs="Arial"/>
                <w:color w:val="000000"/>
                <w:szCs w:val="22"/>
                <w:lang w:eastAsia="it-IT"/>
              </w:rPr>
              <w:t>128,300</w:t>
            </w:r>
          </w:p>
        </w:tc>
        <w:tc>
          <w:tcPr>
            <w:tcW w:w="1276" w:type="dxa"/>
            <w:shd w:val="clear" w:color="auto" w:fill="FFFFFF"/>
            <w:vAlign w:val="center"/>
          </w:tcPr>
          <w:p w14:paraId="1079104F" w14:textId="77777777" w:rsidR="001002EC" w:rsidRPr="0019790A" w:rsidRDefault="001002EC" w:rsidP="0019790A">
            <w:pPr>
              <w:jc w:val="center"/>
              <w:rPr>
                <w:rFonts w:cs="Arial"/>
                <w:color w:val="000000"/>
                <w:szCs w:val="22"/>
                <w:lang w:eastAsia="it-IT"/>
              </w:rPr>
            </w:pPr>
          </w:p>
        </w:tc>
        <w:tc>
          <w:tcPr>
            <w:tcW w:w="1571" w:type="dxa"/>
            <w:shd w:val="clear" w:color="auto" w:fill="FFFFFF"/>
            <w:vAlign w:val="center"/>
          </w:tcPr>
          <w:p w14:paraId="0F7365CB" w14:textId="77777777" w:rsidR="001002EC" w:rsidRPr="0019790A" w:rsidRDefault="001002EC" w:rsidP="0019790A">
            <w:pPr>
              <w:jc w:val="center"/>
              <w:rPr>
                <w:rFonts w:cs="Arial"/>
                <w:color w:val="000000"/>
                <w:szCs w:val="22"/>
                <w:lang w:eastAsia="it-IT"/>
              </w:rPr>
            </w:pPr>
            <w:r w:rsidRPr="0019790A">
              <w:rPr>
                <w:rFonts w:cs="Arial"/>
                <w:color w:val="000000"/>
                <w:szCs w:val="22"/>
                <w:lang w:eastAsia="it-IT"/>
              </w:rPr>
              <w:t>1047,400</w:t>
            </w:r>
          </w:p>
        </w:tc>
      </w:tr>
      <w:tr w:rsidR="001002EC" w:rsidRPr="0019790A" w14:paraId="0DA94510" w14:textId="77777777" w:rsidTr="00B8248C">
        <w:trPr>
          <w:jc w:val="right"/>
        </w:trPr>
        <w:tc>
          <w:tcPr>
            <w:tcW w:w="3425" w:type="dxa"/>
            <w:shd w:val="clear" w:color="auto" w:fill="FFFFFF"/>
            <w:vAlign w:val="center"/>
          </w:tcPr>
          <w:p w14:paraId="11A1288F" w14:textId="77777777" w:rsidR="001002EC" w:rsidRPr="0019790A" w:rsidRDefault="001002EC" w:rsidP="0019790A">
            <w:pPr>
              <w:rPr>
                <w:rFonts w:cs="Arial"/>
                <w:b/>
                <w:color w:val="000000"/>
                <w:szCs w:val="22"/>
              </w:rPr>
            </w:pPr>
            <w:r w:rsidRPr="0019790A">
              <w:rPr>
                <w:rFonts w:cs="Arial"/>
                <w:b/>
                <w:color w:val="000000"/>
                <w:szCs w:val="22"/>
              </w:rPr>
              <w:t>- інші джерела фінансування</w:t>
            </w:r>
          </w:p>
        </w:tc>
        <w:tc>
          <w:tcPr>
            <w:tcW w:w="1254" w:type="dxa"/>
            <w:vAlign w:val="center"/>
          </w:tcPr>
          <w:p w14:paraId="6E9DB257" w14:textId="77777777" w:rsidR="001002EC" w:rsidRPr="0019790A" w:rsidRDefault="001002EC" w:rsidP="0019790A">
            <w:pPr>
              <w:jc w:val="center"/>
              <w:rPr>
                <w:rFonts w:cs="Arial"/>
                <w:color w:val="000000"/>
                <w:szCs w:val="22"/>
                <w:lang w:eastAsia="it-IT"/>
              </w:rPr>
            </w:pPr>
          </w:p>
        </w:tc>
        <w:tc>
          <w:tcPr>
            <w:tcW w:w="1275" w:type="dxa"/>
            <w:shd w:val="clear" w:color="auto" w:fill="FFFFFF"/>
            <w:vAlign w:val="center"/>
          </w:tcPr>
          <w:p w14:paraId="32CF9CE1" w14:textId="77777777" w:rsidR="001002EC" w:rsidRPr="0019790A" w:rsidRDefault="001002EC" w:rsidP="0019790A">
            <w:pPr>
              <w:jc w:val="center"/>
              <w:rPr>
                <w:rFonts w:cs="Arial"/>
                <w:color w:val="000000"/>
                <w:szCs w:val="22"/>
                <w:lang w:eastAsia="it-IT"/>
              </w:rPr>
            </w:pPr>
          </w:p>
        </w:tc>
        <w:tc>
          <w:tcPr>
            <w:tcW w:w="1418" w:type="dxa"/>
            <w:shd w:val="clear" w:color="auto" w:fill="auto"/>
            <w:vAlign w:val="center"/>
          </w:tcPr>
          <w:p w14:paraId="61C24585" w14:textId="77777777" w:rsidR="001002EC" w:rsidRPr="0019790A" w:rsidRDefault="001002EC" w:rsidP="0019790A">
            <w:pPr>
              <w:jc w:val="center"/>
              <w:rPr>
                <w:rFonts w:cs="Arial"/>
                <w:color w:val="000000"/>
                <w:szCs w:val="22"/>
                <w:lang w:eastAsia="it-IT"/>
              </w:rPr>
            </w:pPr>
          </w:p>
        </w:tc>
        <w:tc>
          <w:tcPr>
            <w:tcW w:w="1276" w:type="dxa"/>
            <w:shd w:val="clear" w:color="auto" w:fill="FFFFFF"/>
            <w:vAlign w:val="center"/>
          </w:tcPr>
          <w:p w14:paraId="74F1DABA" w14:textId="77777777" w:rsidR="001002EC" w:rsidRPr="0019790A" w:rsidRDefault="001002EC" w:rsidP="0019790A">
            <w:pPr>
              <w:jc w:val="center"/>
              <w:rPr>
                <w:rFonts w:cs="Arial"/>
                <w:color w:val="000000"/>
                <w:szCs w:val="22"/>
                <w:lang w:eastAsia="it-IT"/>
              </w:rPr>
            </w:pPr>
          </w:p>
        </w:tc>
        <w:tc>
          <w:tcPr>
            <w:tcW w:w="1571" w:type="dxa"/>
            <w:shd w:val="clear" w:color="auto" w:fill="FFFFFF"/>
            <w:vAlign w:val="center"/>
          </w:tcPr>
          <w:p w14:paraId="7D61027C" w14:textId="77777777" w:rsidR="001002EC" w:rsidRPr="0019790A" w:rsidRDefault="001002EC" w:rsidP="0019790A">
            <w:pPr>
              <w:jc w:val="center"/>
              <w:rPr>
                <w:rFonts w:cs="Arial"/>
                <w:color w:val="000000"/>
                <w:szCs w:val="22"/>
                <w:lang w:eastAsia="it-IT"/>
              </w:rPr>
            </w:pPr>
          </w:p>
        </w:tc>
      </w:tr>
      <w:tr w:rsidR="001002EC" w:rsidRPr="0019790A" w14:paraId="6C4AA7F7" w14:textId="77777777" w:rsidTr="00B8248C">
        <w:trPr>
          <w:jc w:val="right"/>
        </w:trPr>
        <w:tc>
          <w:tcPr>
            <w:tcW w:w="3425" w:type="dxa"/>
            <w:shd w:val="clear" w:color="auto" w:fill="FFFFFF"/>
            <w:vAlign w:val="center"/>
          </w:tcPr>
          <w:p w14:paraId="31CB2D96" w14:textId="77777777" w:rsidR="001002EC" w:rsidRPr="0019790A" w:rsidRDefault="001002EC" w:rsidP="0019790A">
            <w:pPr>
              <w:rPr>
                <w:rFonts w:cs="Arial"/>
                <w:b/>
                <w:bCs/>
                <w:color w:val="000000"/>
                <w:szCs w:val="22"/>
              </w:rPr>
            </w:pPr>
            <w:r w:rsidRPr="0019790A">
              <w:rPr>
                <w:rFonts w:cs="Arial"/>
                <w:b/>
                <w:color w:val="000000"/>
                <w:szCs w:val="22"/>
              </w:rPr>
              <w:t>Відповідальний виконавець проєкту:</w:t>
            </w:r>
          </w:p>
        </w:tc>
        <w:tc>
          <w:tcPr>
            <w:tcW w:w="6794" w:type="dxa"/>
            <w:gridSpan w:val="5"/>
            <w:vAlign w:val="center"/>
          </w:tcPr>
          <w:p w14:paraId="5AA0A4DD" w14:textId="77777777" w:rsidR="001002EC" w:rsidRPr="0019790A" w:rsidRDefault="001002EC" w:rsidP="0019790A">
            <w:pPr>
              <w:rPr>
                <w:rFonts w:cs="Arial"/>
                <w:color w:val="000000"/>
                <w:szCs w:val="22"/>
                <w:lang w:eastAsia="it-IT"/>
              </w:rPr>
            </w:pPr>
            <w:r w:rsidRPr="0019790A">
              <w:rPr>
                <w:rFonts w:cs="Arial"/>
                <w:szCs w:val="22"/>
              </w:rPr>
              <w:t>КНП «Жмеринський МЦ ПМСД», Управління соціального захисту населення та охорони здоров’я</w:t>
            </w:r>
          </w:p>
          <w:p w14:paraId="5FE1962A" w14:textId="77777777" w:rsidR="001002EC" w:rsidRPr="0019790A" w:rsidRDefault="001002EC" w:rsidP="0019790A">
            <w:pPr>
              <w:jc w:val="both"/>
              <w:rPr>
                <w:rFonts w:cs="Arial"/>
                <w:color w:val="000000"/>
                <w:szCs w:val="22"/>
                <w:lang w:eastAsia="it-IT"/>
              </w:rPr>
            </w:pPr>
          </w:p>
        </w:tc>
      </w:tr>
      <w:tr w:rsidR="001002EC" w:rsidRPr="0019790A" w14:paraId="2945705E" w14:textId="77777777" w:rsidTr="00B8248C">
        <w:trPr>
          <w:jc w:val="right"/>
        </w:trPr>
        <w:tc>
          <w:tcPr>
            <w:tcW w:w="3425" w:type="dxa"/>
            <w:shd w:val="clear" w:color="auto" w:fill="FFFFFF"/>
            <w:vAlign w:val="center"/>
          </w:tcPr>
          <w:p w14:paraId="071A9F5A" w14:textId="77777777" w:rsidR="001002EC" w:rsidRPr="0019790A" w:rsidRDefault="001002EC" w:rsidP="0019790A">
            <w:pPr>
              <w:rPr>
                <w:rFonts w:cs="Arial"/>
                <w:b/>
                <w:bCs/>
                <w:color w:val="000000"/>
                <w:szCs w:val="22"/>
              </w:rPr>
            </w:pPr>
            <w:r w:rsidRPr="0019790A">
              <w:rPr>
                <w:rFonts w:cs="Arial"/>
                <w:b/>
                <w:bCs/>
                <w:color w:val="000000"/>
                <w:szCs w:val="22"/>
              </w:rPr>
              <w:t>Інше:</w:t>
            </w:r>
          </w:p>
        </w:tc>
        <w:tc>
          <w:tcPr>
            <w:tcW w:w="6794" w:type="dxa"/>
            <w:gridSpan w:val="5"/>
            <w:vAlign w:val="center"/>
          </w:tcPr>
          <w:p w14:paraId="235FF379" w14:textId="77777777" w:rsidR="001002EC" w:rsidRPr="0019790A" w:rsidRDefault="001002EC" w:rsidP="0019790A">
            <w:pPr>
              <w:pStyle w:val="30"/>
              <w:spacing w:before="0" w:after="0"/>
              <w:rPr>
                <w:rFonts w:cs="Arial"/>
                <w:b w:val="0"/>
                <w:bCs w:val="0"/>
                <w:sz w:val="22"/>
                <w:szCs w:val="22"/>
                <w:lang w:eastAsia="ru-RU"/>
              </w:rPr>
            </w:pPr>
            <w:r w:rsidRPr="0019790A">
              <w:rPr>
                <w:rFonts w:cs="Arial"/>
                <w:b w:val="0"/>
                <w:bCs w:val="0"/>
                <w:sz w:val="22"/>
                <w:szCs w:val="22"/>
                <w:lang w:eastAsia="ru-RU"/>
              </w:rPr>
              <w:t>НОРМАТИВНЕ ОБҐРУНТУВАННЯ:</w:t>
            </w:r>
          </w:p>
          <w:p w14:paraId="330C3024" w14:textId="77777777" w:rsidR="001002EC" w:rsidRPr="0019790A" w:rsidRDefault="001002EC" w:rsidP="0019790A">
            <w:pPr>
              <w:pStyle w:val="ad"/>
              <w:numPr>
                <w:ilvl w:val="0"/>
                <w:numId w:val="33"/>
              </w:numPr>
              <w:spacing w:before="0" w:beforeAutospacing="0" w:after="0" w:afterAutospacing="0"/>
              <w:rPr>
                <w:rFonts w:cs="Arial"/>
                <w:szCs w:val="22"/>
              </w:rPr>
            </w:pPr>
            <w:r w:rsidRPr="0019790A">
              <w:rPr>
                <w:rStyle w:val="afd"/>
                <w:rFonts w:cs="Arial"/>
                <w:b w:val="0"/>
                <w:bCs w:val="0"/>
                <w:szCs w:val="22"/>
              </w:rPr>
              <w:t>Закон України «Про державні фінансові гарантії медичного обслуговування»</w:t>
            </w:r>
          </w:p>
          <w:p w14:paraId="759F9DFB" w14:textId="77777777" w:rsidR="001002EC" w:rsidRPr="0019790A" w:rsidRDefault="001002EC" w:rsidP="0019790A">
            <w:pPr>
              <w:pStyle w:val="ad"/>
              <w:numPr>
                <w:ilvl w:val="0"/>
                <w:numId w:val="33"/>
              </w:numPr>
              <w:spacing w:before="0" w:beforeAutospacing="0" w:after="0" w:afterAutospacing="0"/>
              <w:rPr>
                <w:rFonts w:cs="Arial"/>
                <w:szCs w:val="22"/>
              </w:rPr>
            </w:pPr>
            <w:r w:rsidRPr="0019790A">
              <w:rPr>
                <w:rStyle w:val="afd"/>
                <w:rFonts w:cs="Arial"/>
                <w:b w:val="0"/>
                <w:bCs w:val="0"/>
                <w:szCs w:val="22"/>
              </w:rPr>
              <w:t>Наказ МОЗ №504 від 19.03.2018</w:t>
            </w:r>
            <w:r w:rsidRPr="0019790A">
              <w:rPr>
                <w:rFonts w:cs="Arial"/>
                <w:szCs w:val="22"/>
              </w:rPr>
              <w:t xml:space="preserve"> </w:t>
            </w:r>
          </w:p>
          <w:p w14:paraId="077C9C46" w14:textId="77777777" w:rsidR="001002EC" w:rsidRPr="0019790A" w:rsidRDefault="001002EC" w:rsidP="0019790A">
            <w:pPr>
              <w:pStyle w:val="ad"/>
              <w:numPr>
                <w:ilvl w:val="0"/>
                <w:numId w:val="33"/>
              </w:numPr>
              <w:spacing w:before="0" w:beforeAutospacing="0" w:after="0" w:afterAutospacing="0"/>
              <w:rPr>
                <w:rFonts w:cs="Arial"/>
                <w:szCs w:val="22"/>
              </w:rPr>
            </w:pPr>
            <w:r w:rsidRPr="0019790A">
              <w:rPr>
                <w:rStyle w:val="afd"/>
                <w:rFonts w:cs="Arial"/>
                <w:b w:val="0"/>
                <w:bCs w:val="0"/>
                <w:szCs w:val="22"/>
              </w:rPr>
              <w:t>Бюджетний кодекс України</w:t>
            </w:r>
            <w:r w:rsidRPr="0019790A">
              <w:rPr>
                <w:rFonts w:cs="Arial"/>
                <w:szCs w:val="22"/>
              </w:rPr>
              <w:t>.</w:t>
            </w:r>
          </w:p>
          <w:p w14:paraId="5283E718" w14:textId="77777777" w:rsidR="001002EC" w:rsidRPr="0019790A" w:rsidRDefault="001002EC" w:rsidP="0019790A">
            <w:pPr>
              <w:pStyle w:val="ad"/>
              <w:numPr>
                <w:ilvl w:val="0"/>
                <w:numId w:val="33"/>
              </w:numPr>
              <w:spacing w:before="0" w:beforeAutospacing="0" w:after="0" w:afterAutospacing="0"/>
              <w:rPr>
                <w:rFonts w:cs="Arial"/>
                <w:color w:val="000000"/>
                <w:szCs w:val="22"/>
                <w:lang w:eastAsia="it-IT"/>
              </w:rPr>
            </w:pPr>
            <w:r w:rsidRPr="0019790A">
              <w:rPr>
                <w:rStyle w:val="afd"/>
                <w:rFonts w:cs="Arial"/>
                <w:b w:val="0"/>
                <w:bCs w:val="0"/>
                <w:szCs w:val="22"/>
              </w:rPr>
              <w:t>Стратегія розвитку Жмеринської МТГ до 2030 року</w:t>
            </w:r>
          </w:p>
        </w:tc>
      </w:tr>
    </w:tbl>
    <w:p w14:paraId="67F48828" w14:textId="77777777" w:rsidR="001002EC" w:rsidRPr="0019790A" w:rsidRDefault="001002EC" w:rsidP="0019790A">
      <w:pPr>
        <w:rPr>
          <w:rFonts w:cs="Arial"/>
          <w:szCs w:val="22"/>
        </w:rPr>
      </w:pPr>
    </w:p>
    <w:p w14:paraId="56403896" w14:textId="77777777" w:rsidR="00876A00" w:rsidRPr="0019790A" w:rsidRDefault="00876A00" w:rsidP="0019790A">
      <w:pPr>
        <w:rPr>
          <w:rFonts w:cs="Arial"/>
          <w:szCs w:val="22"/>
        </w:rPr>
      </w:pPr>
    </w:p>
    <w:p w14:paraId="2D855040" w14:textId="2A9E7197" w:rsidR="001002EC" w:rsidRPr="0019790A" w:rsidRDefault="001002EC" w:rsidP="0019790A">
      <w:pPr>
        <w:jc w:val="center"/>
        <w:rPr>
          <w:rFonts w:cs="Arial"/>
          <w:b/>
          <w:color w:val="000000"/>
          <w:szCs w:val="22"/>
        </w:rPr>
      </w:pPr>
      <w:r w:rsidRPr="0019790A">
        <w:rPr>
          <w:rFonts w:cs="Arial"/>
          <w:b/>
          <w:color w:val="000000"/>
          <w:szCs w:val="22"/>
        </w:rPr>
        <w:t xml:space="preserve">Форма технічного завдання на </w:t>
      </w:r>
      <w:r w:rsidR="00314B9D">
        <w:rPr>
          <w:rFonts w:cs="Arial"/>
          <w:b/>
          <w:color w:val="000000"/>
          <w:szCs w:val="22"/>
        </w:rPr>
        <w:t>проєкт</w:t>
      </w:r>
      <w:r w:rsidRPr="0019790A">
        <w:rPr>
          <w:rFonts w:cs="Arial"/>
          <w:b/>
          <w:color w:val="000000"/>
          <w:szCs w:val="22"/>
        </w:rPr>
        <w:t xml:space="preserve"> місцевого розвитку </w:t>
      </w:r>
    </w:p>
    <w:p w14:paraId="6E646D28" w14:textId="77777777" w:rsidR="001002EC" w:rsidRPr="0019790A" w:rsidRDefault="001002EC" w:rsidP="0019790A">
      <w:pPr>
        <w:jc w:val="center"/>
        <w:rPr>
          <w:rFonts w:cs="Arial"/>
          <w:b/>
          <w:color w:val="000000"/>
          <w:szCs w:val="22"/>
        </w:rPr>
      </w:pPr>
      <w:r w:rsidRPr="0019790A">
        <w:rPr>
          <w:rFonts w:cs="Arial"/>
          <w:b/>
          <w:color w:val="000000"/>
          <w:szCs w:val="22"/>
        </w:rPr>
        <w:t>до Плану заходів з реалізації Стратегії</w:t>
      </w:r>
    </w:p>
    <w:p w14:paraId="1DBC836E" w14:textId="77777777" w:rsidR="001002EC" w:rsidRPr="0019790A" w:rsidRDefault="001002EC"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4"/>
        <w:gridCol w:w="1254"/>
        <w:gridCol w:w="23"/>
        <w:gridCol w:w="1393"/>
        <w:gridCol w:w="33"/>
        <w:gridCol w:w="1384"/>
        <w:gridCol w:w="55"/>
        <w:gridCol w:w="1219"/>
        <w:gridCol w:w="1434"/>
      </w:tblGrid>
      <w:tr w:rsidR="001002EC" w:rsidRPr="0019790A" w14:paraId="23922B53" w14:textId="77777777" w:rsidTr="00B8248C">
        <w:trPr>
          <w:jc w:val="right"/>
        </w:trPr>
        <w:tc>
          <w:tcPr>
            <w:tcW w:w="3425" w:type="dxa"/>
          </w:tcPr>
          <w:p w14:paraId="640ADC04" w14:textId="5F445EC1" w:rsidR="001002EC" w:rsidRPr="0019790A" w:rsidRDefault="001002EC" w:rsidP="0019790A">
            <w:pPr>
              <w:rPr>
                <w:rFonts w:cs="Arial"/>
                <w:b/>
                <w:szCs w:val="22"/>
              </w:rPr>
            </w:pPr>
            <w:r w:rsidRPr="0019790A">
              <w:rPr>
                <w:rFonts w:cs="Arial"/>
                <w:b/>
                <w:szCs w:val="22"/>
              </w:rPr>
              <w:t xml:space="preserve">Назва </w:t>
            </w:r>
            <w:r w:rsidR="00314B9D">
              <w:rPr>
                <w:rFonts w:cs="Arial"/>
                <w:b/>
                <w:szCs w:val="22"/>
              </w:rPr>
              <w:t>проєкту</w:t>
            </w:r>
            <w:r w:rsidRPr="0019790A">
              <w:rPr>
                <w:rFonts w:cs="Arial"/>
                <w:b/>
                <w:szCs w:val="22"/>
              </w:rPr>
              <w:t>:</w:t>
            </w:r>
          </w:p>
        </w:tc>
        <w:tc>
          <w:tcPr>
            <w:tcW w:w="6794" w:type="dxa"/>
            <w:gridSpan w:val="8"/>
          </w:tcPr>
          <w:p w14:paraId="0FA7631E" w14:textId="693F57A2" w:rsidR="001002EC" w:rsidRPr="0019790A" w:rsidRDefault="001002EC" w:rsidP="007118C6">
            <w:pPr>
              <w:jc w:val="both"/>
              <w:rPr>
                <w:rFonts w:cs="Arial"/>
                <w:b/>
                <w:szCs w:val="22"/>
              </w:rPr>
            </w:pPr>
            <w:r w:rsidRPr="0019790A">
              <w:rPr>
                <w:rFonts w:cs="Arial"/>
                <w:b/>
                <w:szCs w:val="22"/>
              </w:rPr>
              <w:t>Капітальний ремонт частини приміщень 3-го поверху у хірургічному відділенні та сходових клітин будівлі головного корпусу КНП «Жмеринська ЦРЛ» по вул.</w:t>
            </w:r>
            <w:r w:rsidR="007118C6">
              <w:rPr>
                <w:rFonts w:cs="Arial"/>
                <w:b/>
                <w:szCs w:val="22"/>
              </w:rPr>
              <w:t xml:space="preserve"> </w:t>
            </w:r>
            <w:r w:rsidRPr="0019790A">
              <w:rPr>
                <w:rFonts w:cs="Arial"/>
                <w:b/>
                <w:szCs w:val="22"/>
              </w:rPr>
              <w:t>Київська, 288, м.Жмеринка, Вінницької області</w:t>
            </w:r>
          </w:p>
        </w:tc>
      </w:tr>
      <w:tr w:rsidR="001002EC" w:rsidRPr="0019790A" w14:paraId="01A395AC" w14:textId="77777777" w:rsidTr="00B8248C">
        <w:trPr>
          <w:jc w:val="right"/>
        </w:trPr>
        <w:tc>
          <w:tcPr>
            <w:tcW w:w="3425" w:type="dxa"/>
          </w:tcPr>
          <w:p w14:paraId="3994D62F" w14:textId="77777777" w:rsidR="001002EC" w:rsidRPr="0019790A" w:rsidRDefault="001002EC"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1DE9AA69" w14:textId="77777777" w:rsidR="001002EC" w:rsidRPr="0019790A" w:rsidRDefault="001002EC"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8"/>
          </w:tcPr>
          <w:p w14:paraId="283B2FC0" w14:textId="77777777" w:rsidR="001002EC" w:rsidRPr="0019790A" w:rsidRDefault="001002EC" w:rsidP="0019790A">
            <w:pPr>
              <w:rPr>
                <w:rFonts w:cs="Arial"/>
                <w:szCs w:val="22"/>
                <w:lang w:eastAsia="it-IT"/>
              </w:rPr>
            </w:pPr>
            <w:r w:rsidRPr="0019790A">
              <w:rPr>
                <w:rFonts w:cs="Arial"/>
                <w:szCs w:val="22"/>
                <w:lang w:eastAsia="it-IT"/>
              </w:rPr>
              <w:t>Комунальне некомерційне підприємство «Жмеринська центральна районна лікарня» Жмеринської міської ради</w:t>
            </w:r>
          </w:p>
        </w:tc>
      </w:tr>
      <w:tr w:rsidR="001002EC" w:rsidRPr="0019790A" w14:paraId="0F49CDE6" w14:textId="77777777" w:rsidTr="00B8248C">
        <w:trPr>
          <w:jc w:val="right"/>
        </w:trPr>
        <w:tc>
          <w:tcPr>
            <w:tcW w:w="3425" w:type="dxa"/>
          </w:tcPr>
          <w:p w14:paraId="7BB18E72" w14:textId="77777777" w:rsidR="001002EC" w:rsidRPr="0019790A" w:rsidRDefault="001002EC" w:rsidP="0019790A">
            <w:pPr>
              <w:rPr>
                <w:rFonts w:cs="Arial"/>
                <w:b/>
                <w:bCs/>
                <w:szCs w:val="22"/>
              </w:rPr>
            </w:pPr>
            <w:r w:rsidRPr="0019790A">
              <w:rPr>
                <w:rFonts w:cs="Arial"/>
                <w:szCs w:val="22"/>
                <w:lang w:eastAsia="it-IT"/>
              </w:rPr>
              <w:t>Прізвище Ім’я По-батькові:</w:t>
            </w:r>
          </w:p>
        </w:tc>
        <w:tc>
          <w:tcPr>
            <w:tcW w:w="6794" w:type="dxa"/>
            <w:gridSpan w:val="8"/>
          </w:tcPr>
          <w:p w14:paraId="65B296A3" w14:textId="77777777" w:rsidR="001002EC" w:rsidRPr="0019790A" w:rsidRDefault="001002EC" w:rsidP="0019790A">
            <w:pPr>
              <w:rPr>
                <w:rFonts w:cs="Arial"/>
                <w:szCs w:val="22"/>
                <w:lang w:eastAsia="it-IT"/>
              </w:rPr>
            </w:pPr>
            <w:r w:rsidRPr="0019790A">
              <w:rPr>
                <w:rFonts w:cs="Arial"/>
                <w:szCs w:val="22"/>
                <w:lang w:eastAsia="it-IT"/>
              </w:rPr>
              <w:t>Боровський Ростислав Васильович</w:t>
            </w:r>
          </w:p>
        </w:tc>
      </w:tr>
      <w:tr w:rsidR="001002EC" w:rsidRPr="0019790A" w14:paraId="5C47FCCC" w14:textId="77777777" w:rsidTr="00B8248C">
        <w:trPr>
          <w:jc w:val="right"/>
        </w:trPr>
        <w:tc>
          <w:tcPr>
            <w:tcW w:w="3425" w:type="dxa"/>
          </w:tcPr>
          <w:p w14:paraId="1D6CAC80" w14:textId="77777777" w:rsidR="001002EC" w:rsidRPr="0019790A" w:rsidRDefault="001002EC" w:rsidP="0019790A">
            <w:pPr>
              <w:rPr>
                <w:rFonts w:cs="Arial"/>
                <w:b/>
                <w:bCs/>
                <w:szCs w:val="22"/>
              </w:rPr>
            </w:pPr>
            <w:r w:rsidRPr="0019790A">
              <w:rPr>
                <w:rFonts w:cs="Arial"/>
                <w:szCs w:val="22"/>
                <w:lang w:eastAsia="it-IT"/>
              </w:rPr>
              <w:t>Телефон (мобільний):</w:t>
            </w:r>
          </w:p>
        </w:tc>
        <w:tc>
          <w:tcPr>
            <w:tcW w:w="6794" w:type="dxa"/>
            <w:gridSpan w:val="8"/>
          </w:tcPr>
          <w:p w14:paraId="6D2269F6" w14:textId="77777777" w:rsidR="001002EC" w:rsidRPr="0019790A" w:rsidRDefault="001002EC" w:rsidP="0019790A">
            <w:pPr>
              <w:rPr>
                <w:rFonts w:cs="Arial"/>
                <w:szCs w:val="22"/>
                <w:lang w:eastAsia="it-IT"/>
              </w:rPr>
            </w:pPr>
            <w:r w:rsidRPr="0019790A">
              <w:rPr>
                <w:rFonts w:cs="Arial"/>
                <w:szCs w:val="22"/>
                <w:lang w:eastAsia="it-IT"/>
              </w:rPr>
              <w:t>0978652320</w:t>
            </w:r>
          </w:p>
        </w:tc>
      </w:tr>
      <w:tr w:rsidR="001002EC" w:rsidRPr="0019790A" w14:paraId="3A860C9F" w14:textId="77777777" w:rsidTr="00B8248C">
        <w:trPr>
          <w:jc w:val="right"/>
        </w:trPr>
        <w:tc>
          <w:tcPr>
            <w:tcW w:w="3425" w:type="dxa"/>
          </w:tcPr>
          <w:p w14:paraId="50BA16D1" w14:textId="77777777" w:rsidR="001002EC" w:rsidRPr="0019790A" w:rsidRDefault="001002EC" w:rsidP="0019790A">
            <w:pPr>
              <w:rPr>
                <w:rFonts w:cs="Arial"/>
                <w:b/>
                <w:bCs/>
                <w:szCs w:val="22"/>
              </w:rPr>
            </w:pPr>
            <w:r w:rsidRPr="0019790A">
              <w:rPr>
                <w:rFonts w:cs="Arial"/>
                <w:szCs w:val="22"/>
                <w:lang w:eastAsia="it-IT"/>
              </w:rPr>
              <w:t>Електронна адреса:</w:t>
            </w:r>
          </w:p>
        </w:tc>
        <w:tc>
          <w:tcPr>
            <w:tcW w:w="6794" w:type="dxa"/>
            <w:gridSpan w:val="8"/>
          </w:tcPr>
          <w:p w14:paraId="0E0A41AC" w14:textId="1DE1E58D" w:rsidR="001002EC" w:rsidRPr="0019790A" w:rsidRDefault="00D85FFD" w:rsidP="0019790A">
            <w:pPr>
              <w:rPr>
                <w:rFonts w:cs="Arial"/>
                <w:szCs w:val="22"/>
                <w:lang w:eastAsia="it-IT"/>
              </w:rPr>
            </w:pPr>
            <w:hyperlink r:id="rId121" w:history="1">
              <w:r w:rsidR="007118C6" w:rsidRPr="00BF0394">
                <w:rPr>
                  <w:rStyle w:val="af0"/>
                  <w:rFonts w:cs="Arial"/>
                  <w:noProof w:val="0"/>
                  <w:sz w:val="22"/>
                  <w:szCs w:val="22"/>
                  <w:lang w:eastAsia="it-IT"/>
                </w:rPr>
                <w:t>zhcrl@ukr.net</w:t>
              </w:r>
            </w:hyperlink>
            <w:r w:rsidR="007118C6">
              <w:rPr>
                <w:rFonts w:cs="Arial"/>
                <w:szCs w:val="22"/>
                <w:lang w:eastAsia="it-IT"/>
              </w:rPr>
              <w:t xml:space="preserve"> </w:t>
            </w:r>
          </w:p>
        </w:tc>
      </w:tr>
      <w:tr w:rsidR="001002EC" w:rsidRPr="0019790A" w14:paraId="3215EE9D" w14:textId="77777777" w:rsidTr="00B8248C">
        <w:trPr>
          <w:jc w:val="right"/>
        </w:trPr>
        <w:tc>
          <w:tcPr>
            <w:tcW w:w="3425" w:type="dxa"/>
            <w:vAlign w:val="center"/>
          </w:tcPr>
          <w:p w14:paraId="439EFEE3" w14:textId="752C40AF" w:rsidR="001002EC" w:rsidRPr="0019790A" w:rsidRDefault="001002EC" w:rsidP="0019790A">
            <w:pPr>
              <w:pStyle w:val="6"/>
              <w:spacing w:before="0" w:after="0"/>
              <w:rPr>
                <w:rFonts w:ascii="Arial" w:hAnsi="Arial" w:cs="Arial"/>
                <w:color w:val="000000"/>
                <w:lang w:val="uk-UA"/>
              </w:rPr>
            </w:pPr>
            <w:r w:rsidRPr="0019790A">
              <w:rPr>
                <w:rFonts w:ascii="Arial" w:hAnsi="Arial" w:cs="Arial"/>
                <w:color w:val="000000"/>
                <w:lang w:val="uk-UA"/>
              </w:rPr>
              <w:t>Номер і назва завдання з Стратегії</w:t>
            </w:r>
            <w:r w:rsidRPr="0019790A">
              <w:rPr>
                <w:rFonts w:ascii="Arial" w:hAnsi="Arial" w:cs="Arial"/>
                <w:lang w:val="uk-UA" w:eastAsia="it-IT"/>
              </w:rPr>
              <w:t xml:space="preserve"> </w:t>
            </w:r>
            <w:r w:rsidRPr="0019790A">
              <w:rPr>
                <w:rFonts w:ascii="Arial" w:hAnsi="Arial" w:cs="Arial"/>
                <w:color w:val="000000"/>
                <w:lang w:val="uk-UA"/>
              </w:rPr>
              <w:t xml:space="preserve">розвитку Жмеринської міської територіальної громади,  якому відповідає </w:t>
            </w:r>
            <w:r w:rsidR="00314B9D">
              <w:rPr>
                <w:rFonts w:ascii="Arial" w:hAnsi="Arial" w:cs="Arial"/>
                <w:color w:val="000000"/>
                <w:lang w:val="uk-UA"/>
              </w:rPr>
              <w:t>проєкт</w:t>
            </w:r>
            <w:r w:rsidRPr="0019790A">
              <w:rPr>
                <w:rFonts w:ascii="Arial" w:hAnsi="Arial" w:cs="Arial"/>
                <w:color w:val="000000"/>
                <w:lang w:val="uk-UA"/>
              </w:rPr>
              <w:t>:</w:t>
            </w:r>
          </w:p>
        </w:tc>
        <w:tc>
          <w:tcPr>
            <w:tcW w:w="6794" w:type="dxa"/>
            <w:gridSpan w:val="8"/>
          </w:tcPr>
          <w:p w14:paraId="45A51D1C" w14:textId="77777777" w:rsidR="001002EC" w:rsidRPr="0019790A" w:rsidRDefault="001002EC" w:rsidP="0019790A">
            <w:pPr>
              <w:pBdr>
                <w:left w:val="single" w:sz="18" w:space="4" w:color="auto"/>
              </w:pBdr>
              <w:rPr>
                <w:rFonts w:cs="Arial"/>
                <w:iCs/>
                <w:szCs w:val="22"/>
                <w:lang w:eastAsia="it-IT"/>
              </w:rPr>
            </w:pPr>
            <w:r w:rsidRPr="0019790A">
              <w:rPr>
                <w:rFonts w:cs="Arial"/>
                <w:iCs/>
                <w:szCs w:val="22"/>
                <w:lang w:eastAsia="it-IT"/>
              </w:rPr>
              <w:t>С.2.Забезпечення доступу до якісної системи охорони здоров’я</w:t>
            </w:r>
          </w:p>
          <w:p w14:paraId="6A5AA26C" w14:textId="77777777" w:rsidR="001002EC" w:rsidRPr="0019790A" w:rsidRDefault="001002EC" w:rsidP="0019790A">
            <w:pPr>
              <w:pBdr>
                <w:left w:val="single" w:sz="18" w:space="4" w:color="auto"/>
              </w:pBdr>
              <w:rPr>
                <w:rFonts w:cs="Arial"/>
                <w:szCs w:val="22"/>
                <w:lang w:eastAsia="it-IT"/>
              </w:rPr>
            </w:pPr>
          </w:p>
        </w:tc>
      </w:tr>
      <w:tr w:rsidR="001002EC" w:rsidRPr="0019790A" w14:paraId="7292C232" w14:textId="77777777" w:rsidTr="00B8248C">
        <w:trPr>
          <w:trHeight w:val="501"/>
          <w:jc w:val="right"/>
        </w:trPr>
        <w:tc>
          <w:tcPr>
            <w:tcW w:w="3425" w:type="dxa"/>
            <w:vAlign w:val="center"/>
          </w:tcPr>
          <w:p w14:paraId="0E6FCDA9" w14:textId="1522BC24" w:rsidR="001002EC" w:rsidRPr="0019790A" w:rsidRDefault="001002EC" w:rsidP="0019790A">
            <w:pPr>
              <w:rPr>
                <w:rFonts w:cs="Arial"/>
                <w:b/>
                <w:bCs/>
                <w:color w:val="000000"/>
                <w:szCs w:val="22"/>
              </w:rPr>
            </w:pPr>
            <w:r w:rsidRPr="0019790A">
              <w:rPr>
                <w:rFonts w:cs="Arial"/>
                <w:b/>
                <w:bCs/>
                <w:color w:val="000000"/>
                <w:szCs w:val="22"/>
              </w:rPr>
              <w:t xml:space="preserve">Мета </w:t>
            </w:r>
            <w:r w:rsidR="00314B9D">
              <w:rPr>
                <w:rFonts w:cs="Arial"/>
                <w:b/>
                <w:bCs/>
                <w:color w:val="000000"/>
                <w:szCs w:val="22"/>
              </w:rPr>
              <w:t>проєкту</w:t>
            </w:r>
            <w:r w:rsidRPr="0019790A">
              <w:rPr>
                <w:rFonts w:cs="Arial"/>
                <w:b/>
                <w:bCs/>
                <w:color w:val="000000"/>
                <w:szCs w:val="22"/>
              </w:rPr>
              <w:t>:</w:t>
            </w:r>
          </w:p>
        </w:tc>
        <w:tc>
          <w:tcPr>
            <w:tcW w:w="6794" w:type="dxa"/>
            <w:gridSpan w:val="8"/>
          </w:tcPr>
          <w:p w14:paraId="723190F4" w14:textId="77777777" w:rsidR="001002EC" w:rsidRPr="0019790A" w:rsidRDefault="001002EC" w:rsidP="007118C6">
            <w:pPr>
              <w:jc w:val="both"/>
              <w:rPr>
                <w:rFonts w:cs="Arial"/>
                <w:szCs w:val="22"/>
                <w:lang w:eastAsia="it-IT"/>
              </w:rPr>
            </w:pPr>
            <w:r w:rsidRPr="0019790A">
              <w:rPr>
                <w:rFonts w:cs="Arial"/>
                <w:szCs w:val="22"/>
                <w:lang w:eastAsia="it-IT"/>
              </w:rPr>
              <w:t>Створити комфортні умови перебування  пацієнтів в хірургічному відділенні, поліпшити умови праці персоналу відділення, забезпечити пересування сходовими клітинами будівлі головного корпусу</w:t>
            </w:r>
          </w:p>
        </w:tc>
      </w:tr>
      <w:tr w:rsidR="001002EC" w:rsidRPr="0019790A" w14:paraId="5C5FF08A" w14:textId="77777777" w:rsidTr="00B8248C">
        <w:trPr>
          <w:jc w:val="right"/>
        </w:trPr>
        <w:tc>
          <w:tcPr>
            <w:tcW w:w="3425" w:type="dxa"/>
            <w:vAlign w:val="center"/>
          </w:tcPr>
          <w:p w14:paraId="0330E530" w14:textId="254FFF7A" w:rsidR="001002EC" w:rsidRPr="0019790A" w:rsidRDefault="001002EC" w:rsidP="0019790A">
            <w:pPr>
              <w:rPr>
                <w:rFonts w:cs="Arial"/>
                <w:b/>
                <w:bCs/>
                <w:color w:val="000000"/>
                <w:szCs w:val="22"/>
              </w:rPr>
            </w:pPr>
            <w:r w:rsidRPr="0019790A">
              <w:rPr>
                <w:rFonts w:cs="Arial"/>
                <w:b/>
                <w:bCs/>
                <w:color w:val="000000"/>
                <w:szCs w:val="22"/>
              </w:rPr>
              <w:t xml:space="preserve">Цілі </w:t>
            </w:r>
            <w:r w:rsidR="00314B9D">
              <w:rPr>
                <w:rFonts w:cs="Arial"/>
                <w:b/>
                <w:bCs/>
                <w:color w:val="000000"/>
                <w:szCs w:val="22"/>
              </w:rPr>
              <w:t>проєкту</w:t>
            </w:r>
            <w:r w:rsidRPr="0019790A">
              <w:rPr>
                <w:rFonts w:cs="Arial"/>
                <w:b/>
                <w:bCs/>
                <w:color w:val="000000"/>
                <w:szCs w:val="22"/>
              </w:rPr>
              <w:t>:</w:t>
            </w:r>
          </w:p>
        </w:tc>
        <w:tc>
          <w:tcPr>
            <w:tcW w:w="6794" w:type="dxa"/>
            <w:gridSpan w:val="8"/>
          </w:tcPr>
          <w:p w14:paraId="05D52102" w14:textId="77777777" w:rsidR="001002EC" w:rsidRPr="0019790A" w:rsidRDefault="001002EC" w:rsidP="007118C6">
            <w:pPr>
              <w:jc w:val="both"/>
              <w:rPr>
                <w:rFonts w:cs="Arial"/>
                <w:szCs w:val="22"/>
                <w:lang w:eastAsia="it-IT"/>
              </w:rPr>
            </w:pPr>
            <w:r w:rsidRPr="0019790A">
              <w:rPr>
                <w:rFonts w:cs="Arial"/>
                <w:szCs w:val="22"/>
                <w:lang w:eastAsia="it-IT"/>
              </w:rPr>
              <w:t>Комфортне перебування  пацієнтів в хірургічному відділенні, покращення умов праці персоналу відділення, комфортне переміщення сходовими клітинами головного корпусу лікарні</w:t>
            </w:r>
          </w:p>
        </w:tc>
      </w:tr>
      <w:tr w:rsidR="001002EC" w:rsidRPr="0019790A" w14:paraId="46FFF698" w14:textId="77777777" w:rsidTr="00B8248C">
        <w:trPr>
          <w:jc w:val="right"/>
        </w:trPr>
        <w:tc>
          <w:tcPr>
            <w:tcW w:w="3425" w:type="dxa"/>
            <w:vAlign w:val="center"/>
          </w:tcPr>
          <w:p w14:paraId="679BD269" w14:textId="35AADB5E" w:rsidR="001002EC" w:rsidRPr="0019790A" w:rsidRDefault="001002EC" w:rsidP="0019790A">
            <w:pPr>
              <w:autoSpaceDE w:val="0"/>
              <w:autoSpaceDN w:val="0"/>
              <w:adjustRightInd w:val="0"/>
              <w:rPr>
                <w:rFonts w:cs="Arial"/>
                <w:b/>
                <w:color w:val="000000"/>
                <w:szCs w:val="22"/>
              </w:rPr>
            </w:pPr>
            <w:r w:rsidRPr="0019790A">
              <w:rPr>
                <w:rFonts w:cs="Arial"/>
                <w:b/>
                <w:color w:val="000000"/>
                <w:szCs w:val="22"/>
              </w:rPr>
              <w:t xml:space="preserve">Територія на яку </w:t>
            </w:r>
            <w:r w:rsidR="00314B9D">
              <w:rPr>
                <w:rFonts w:cs="Arial"/>
                <w:b/>
                <w:color w:val="000000"/>
                <w:szCs w:val="22"/>
              </w:rPr>
              <w:t>проєкт</w:t>
            </w:r>
            <w:r w:rsidRPr="0019790A">
              <w:rPr>
                <w:rFonts w:cs="Arial"/>
                <w:b/>
                <w:color w:val="000000"/>
                <w:szCs w:val="22"/>
              </w:rPr>
              <w:t xml:space="preserve"> матиме вплив:</w:t>
            </w:r>
          </w:p>
        </w:tc>
        <w:tc>
          <w:tcPr>
            <w:tcW w:w="6794" w:type="dxa"/>
            <w:gridSpan w:val="8"/>
          </w:tcPr>
          <w:p w14:paraId="5FE3F377" w14:textId="6265F0B9" w:rsidR="001002EC" w:rsidRPr="0019790A" w:rsidRDefault="001002EC" w:rsidP="0019790A">
            <w:pPr>
              <w:rPr>
                <w:rFonts w:cs="Arial"/>
                <w:szCs w:val="22"/>
                <w:lang w:eastAsia="it-IT"/>
              </w:rPr>
            </w:pPr>
            <w:r w:rsidRPr="0019790A">
              <w:rPr>
                <w:rFonts w:cs="Arial"/>
                <w:szCs w:val="22"/>
                <w:lang w:eastAsia="it-IT"/>
              </w:rPr>
              <w:t xml:space="preserve">Територія </w:t>
            </w:r>
            <w:r w:rsidR="007118C6" w:rsidRPr="0019790A">
              <w:rPr>
                <w:rFonts w:cs="Arial"/>
                <w:szCs w:val="22"/>
                <w:lang w:eastAsia="it-IT"/>
              </w:rPr>
              <w:t>Жмеринської</w:t>
            </w:r>
            <w:r w:rsidRPr="0019790A">
              <w:rPr>
                <w:rFonts w:cs="Arial"/>
                <w:szCs w:val="22"/>
                <w:lang w:eastAsia="it-IT"/>
              </w:rPr>
              <w:t xml:space="preserve"> </w:t>
            </w:r>
            <w:r w:rsidR="007118C6" w:rsidRPr="0019790A">
              <w:rPr>
                <w:rFonts w:cs="Arial"/>
                <w:szCs w:val="22"/>
                <w:lang w:eastAsia="it-IT"/>
              </w:rPr>
              <w:t>міської</w:t>
            </w:r>
            <w:r w:rsidRPr="0019790A">
              <w:rPr>
                <w:rFonts w:cs="Arial"/>
                <w:szCs w:val="22"/>
                <w:lang w:eastAsia="it-IT"/>
              </w:rPr>
              <w:t xml:space="preserve"> </w:t>
            </w:r>
            <w:r w:rsidR="007118C6" w:rsidRPr="0019790A">
              <w:rPr>
                <w:rFonts w:cs="Arial"/>
                <w:szCs w:val="22"/>
                <w:lang w:eastAsia="it-IT"/>
              </w:rPr>
              <w:t>територіальної</w:t>
            </w:r>
            <w:r w:rsidRPr="0019790A">
              <w:rPr>
                <w:rFonts w:cs="Arial"/>
                <w:szCs w:val="22"/>
                <w:lang w:eastAsia="it-IT"/>
              </w:rPr>
              <w:t xml:space="preserve"> громади площею 530,5 кв.км.</w:t>
            </w:r>
          </w:p>
        </w:tc>
      </w:tr>
      <w:tr w:rsidR="001002EC" w:rsidRPr="0019790A" w14:paraId="71574B5E" w14:textId="77777777" w:rsidTr="00B8248C">
        <w:trPr>
          <w:jc w:val="right"/>
        </w:trPr>
        <w:tc>
          <w:tcPr>
            <w:tcW w:w="3425" w:type="dxa"/>
            <w:vAlign w:val="center"/>
          </w:tcPr>
          <w:p w14:paraId="64A4014E" w14:textId="77777777" w:rsidR="001002EC" w:rsidRPr="0019790A" w:rsidRDefault="001002EC" w:rsidP="0019790A">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4" w:type="dxa"/>
            <w:gridSpan w:val="8"/>
          </w:tcPr>
          <w:p w14:paraId="02D2F03F" w14:textId="77777777" w:rsidR="001002EC" w:rsidRPr="0019790A" w:rsidRDefault="001002EC" w:rsidP="0019790A">
            <w:pPr>
              <w:rPr>
                <w:rFonts w:cs="Arial"/>
                <w:szCs w:val="22"/>
                <w:lang w:eastAsia="it-IT"/>
              </w:rPr>
            </w:pPr>
            <w:r w:rsidRPr="0019790A">
              <w:rPr>
                <w:rFonts w:cs="Arial"/>
                <w:szCs w:val="22"/>
                <w:lang w:eastAsia="it-IT"/>
              </w:rPr>
              <w:t>170 тис.осіб дорослого та дитячого населення</w:t>
            </w:r>
          </w:p>
        </w:tc>
      </w:tr>
      <w:tr w:rsidR="001002EC" w:rsidRPr="0019790A" w14:paraId="23214941" w14:textId="77777777" w:rsidTr="00B8248C">
        <w:trPr>
          <w:jc w:val="right"/>
        </w:trPr>
        <w:tc>
          <w:tcPr>
            <w:tcW w:w="3425" w:type="dxa"/>
            <w:shd w:val="clear" w:color="auto" w:fill="FFFFFF"/>
            <w:vAlign w:val="center"/>
          </w:tcPr>
          <w:p w14:paraId="3CF354FB" w14:textId="30470A27" w:rsidR="001002EC" w:rsidRPr="0019790A" w:rsidRDefault="001002EC" w:rsidP="0019790A">
            <w:pPr>
              <w:rPr>
                <w:rFonts w:cs="Arial"/>
                <w:b/>
                <w:bCs/>
                <w:color w:val="000000"/>
                <w:szCs w:val="22"/>
              </w:rPr>
            </w:pPr>
            <w:r w:rsidRPr="0019790A">
              <w:rPr>
                <w:rFonts w:cs="Arial"/>
                <w:b/>
                <w:bCs/>
                <w:color w:val="000000"/>
                <w:szCs w:val="22"/>
              </w:rPr>
              <w:t xml:space="preserve">Стислий опис </w:t>
            </w:r>
            <w:r w:rsidR="00314B9D">
              <w:rPr>
                <w:rFonts w:cs="Arial"/>
                <w:b/>
                <w:bCs/>
                <w:color w:val="000000"/>
                <w:szCs w:val="22"/>
              </w:rPr>
              <w:t>проєкту</w:t>
            </w:r>
            <w:r w:rsidRPr="0019790A">
              <w:rPr>
                <w:rFonts w:cs="Arial"/>
                <w:b/>
                <w:bCs/>
                <w:color w:val="000000"/>
                <w:szCs w:val="22"/>
              </w:rPr>
              <w:t>:</w:t>
            </w:r>
          </w:p>
        </w:tc>
        <w:tc>
          <w:tcPr>
            <w:tcW w:w="6794" w:type="dxa"/>
            <w:gridSpan w:val="8"/>
          </w:tcPr>
          <w:p w14:paraId="5E0FE717" w14:textId="77777777" w:rsidR="001002EC" w:rsidRPr="0019790A" w:rsidRDefault="001002EC" w:rsidP="0019790A">
            <w:pPr>
              <w:rPr>
                <w:rFonts w:cs="Arial"/>
                <w:szCs w:val="22"/>
                <w:lang w:eastAsia="it-IT"/>
              </w:rPr>
            </w:pPr>
            <w:r w:rsidRPr="0019790A">
              <w:rPr>
                <w:rFonts w:cs="Arial"/>
                <w:szCs w:val="22"/>
                <w:lang w:eastAsia="it-IT"/>
              </w:rPr>
              <w:t>Хірургічне відділення потребує капітального ремонту</w:t>
            </w:r>
          </w:p>
        </w:tc>
      </w:tr>
      <w:tr w:rsidR="001002EC" w:rsidRPr="0019790A" w14:paraId="4073ECFA" w14:textId="77777777" w:rsidTr="00B8248C">
        <w:trPr>
          <w:trHeight w:val="538"/>
          <w:jc w:val="right"/>
        </w:trPr>
        <w:tc>
          <w:tcPr>
            <w:tcW w:w="3425" w:type="dxa"/>
            <w:shd w:val="clear" w:color="auto" w:fill="FFFFFF"/>
            <w:vAlign w:val="center"/>
          </w:tcPr>
          <w:p w14:paraId="4F040BAB" w14:textId="77777777" w:rsidR="001002EC" w:rsidRPr="0019790A" w:rsidRDefault="001002EC" w:rsidP="0019790A">
            <w:pPr>
              <w:rPr>
                <w:rFonts w:cs="Arial"/>
                <w:b/>
                <w:bCs/>
                <w:color w:val="000000"/>
                <w:szCs w:val="22"/>
              </w:rPr>
            </w:pPr>
            <w:r w:rsidRPr="0019790A">
              <w:rPr>
                <w:rFonts w:cs="Arial"/>
                <w:b/>
                <w:bCs/>
                <w:color w:val="000000"/>
                <w:szCs w:val="22"/>
              </w:rPr>
              <w:t>Основні заходи проєкту</w:t>
            </w:r>
          </w:p>
        </w:tc>
        <w:tc>
          <w:tcPr>
            <w:tcW w:w="6794" w:type="dxa"/>
            <w:gridSpan w:val="8"/>
            <w:shd w:val="clear" w:color="auto" w:fill="FFFFFF"/>
          </w:tcPr>
          <w:p w14:paraId="69407CC7" w14:textId="77777777" w:rsidR="001002EC" w:rsidRPr="0019790A" w:rsidRDefault="001002EC" w:rsidP="007118C6">
            <w:pPr>
              <w:jc w:val="both"/>
              <w:rPr>
                <w:rFonts w:cs="Arial"/>
                <w:szCs w:val="22"/>
                <w:lang w:eastAsia="it-IT"/>
              </w:rPr>
            </w:pPr>
            <w:r w:rsidRPr="0019790A">
              <w:rPr>
                <w:rFonts w:cs="Arial"/>
                <w:szCs w:val="22"/>
                <w:lang w:eastAsia="it-IT"/>
              </w:rPr>
              <w:t>-створення робочої групи проєкту;</w:t>
            </w:r>
          </w:p>
          <w:p w14:paraId="69FFE071" w14:textId="77777777" w:rsidR="001002EC" w:rsidRPr="0019790A" w:rsidRDefault="001002EC" w:rsidP="007118C6">
            <w:pPr>
              <w:jc w:val="both"/>
              <w:rPr>
                <w:rFonts w:cs="Arial"/>
                <w:szCs w:val="22"/>
                <w:lang w:eastAsia="it-IT"/>
              </w:rPr>
            </w:pPr>
            <w:r w:rsidRPr="0019790A">
              <w:rPr>
                <w:rFonts w:cs="Arial"/>
                <w:szCs w:val="22"/>
                <w:lang w:eastAsia="it-IT"/>
              </w:rPr>
              <w:t xml:space="preserve">- організація капітального ремонту </w:t>
            </w:r>
            <w:r w:rsidRPr="0019790A">
              <w:rPr>
                <w:rFonts w:cs="Arial"/>
                <w:szCs w:val="22"/>
              </w:rPr>
              <w:t xml:space="preserve"> частини приміщень 3-го поверху у хірургічному відділенні та сходових клітин будівлі головного корпусу</w:t>
            </w:r>
            <w:r w:rsidRPr="0019790A">
              <w:rPr>
                <w:rFonts w:cs="Arial"/>
                <w:szCs w:val="22"/>
                <w:lang w:eastAsia="it-IT"/>
              </w:rPr>
              <w:t xml:space="preserve"> </w:t>
            </w:r>
          </w:p>
          <w:p w14:paraId="18523C73" w14:textId="77777777" w:rsidR="001002EC" w:rsidRPr="0019790A" w:rsidRDefault="001002EC" w:rsidP="007118C6">
            <w:pPr>
              <w:jc w:val="both"/>
              <w:rPr>
                <w:rFonts w:cs="Arial"/>
                <w:szCs w:val="22"/>
                <w:lang w:eastAsia="it-IT"/>
              </w:rPr>
            </w:pPr>
            <w:r w:rsidRPr="0019790A">
              <w:rPr>
                <w:rFonts w:cs="Arial"/>
                <w:szCs w:val="22"/>
                <w:lang w:eastAsia="it-IT"/>
              </w:rPr>
              <w:t xml:space="preserve">- здійснення капітального ремонту </w:t>
            </w:r>
            <w:r w:rsidRPr="0019790A">
              <w:rPr>
                <w:rFonts w:cs="Arial"/>
                <w:szCs w:val="22"/>
              </w:rPr>
              <w:t>частини приміщень 3-го поверху у хірургічному відділенні та сходових клітин будівлі головного корпусу</w:t>
            </w:r>
          </w:p>
          <w:p w14:paraId="25E5C2BF" w14:textId="77777777" w:rsidR="001002EC" w:rsidRPr="0019790A" w:rsidRDefault="001002EC" w:rsidP="007118C6">
            <w:pPr>
              <w:jc w:val="both"/>
              <w:rPr>
                <w:rFonts w:cs="Arial"/>
                <w:szCs w:val="22"/>
                <w:lang w:eastAsia="it-IT"/>
              </w:rPr>
            </w:pPr>
            <w:r w:rsidRPr="0019790A">
              <w:rPr>
                <w:rFonts w:cs="Arial"/>
                <w:szCs w:val="22"/>
                <w:lang w:eastAsia="it-IT"/>
              </w:rPr>
              <w:t xml:space="preserve">- завершення виконання проєкту </w:t>
            </w:r>
          </w:p>
          <w:p w14:paraId="7A6CF159" w14:textId="77777777" w:rsidR="001002EC" w:rsidRPr="0019790A" w:rsidRDefault="001002EC" w:rsidP="007118C6">
            <w:pPr>
              <w:jc w:val="both"/>
              <w:rPr>
                <w:rFonts w:cs="Arial"/>
                <w:szCs w:val="22"/>
                <w:lang w:eastAsia="it-IT"/>
              </w:rPr>
            </w:pPr>
          </w:p>
        </w:tc>
      </w:tr>
      <w:tr w:rsidR="001002EC" w:rsidRPr="0019790A" w14:paraId="25F498B8" w14:textId="77777777" w:rsidTr="00390661">
        <w:trPr>
          <w:trHeight w:val="20"/>
          <w:jc w:val="right"/>
        </w:trPr>
        <w:tc>
          <w:tcPr>
            <w:tcW w:w="3425" w:type="dxa"/>
            <w:shd w:val="clear" w:color="auto" w:fill="FFFFFF"/>
            <w:vAlign w:val="center"/>
          </w:tcPr>
          <w:p w14:paraId="3A570039" w14:textId="77777777" w:rsidR="001002EC" w:rsidRPr="0019790A" w:rsidRDefault="001002EC"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794" w:type="dxa"/>
            <w:gridSpan w:val="8"/>
          </w:tcPr>
          <w:p w14:paraId="36B05689" w14:textId="77777777" w:rsidR="001002EC" w:rsidRPr="0019790A" w:rsidRDefault="001002EC" w:rsidP="007118C6">
            <w:pPr>
              <w:jc w:val="both"/>
              <w:rPr>
                <w:rFonts w:cs="Arial"/>
                <w:szCs w:val="22"/>
                <w:lang w:eastAsia="it-IT"/>
              </w:rPr>
            </w:pPr>
            <w:r w:rsidRPr="0019790A">
              <w:rPr>
                <w:rFonts w:cs="Arial"/>
                <w:szCs w:val="22"/>
                <w:lang w:eastAsia="it-IT"/>
              </w:rPr>
              <w:t>Створення комфортних умов перебування  пацієнтів у хірургічному відділенні щонайменше для 2 тис.осіб на рік, забезпечення комфортного переміщення сходовими клітинами пацієнтами та  відвідувачами головного корпусу лікарні</w:t>
            </w:r>
          </w:p>
        </w:tc>
      </w:tr>
      <w:tr w:rsidR="001002EC" w:rsidRPr="0019790A" w14:paraId="5ECD66FE" w14:textId="77777777" w:rsidTr="00B8248C">
        <w:trPr>
          <w:jc w:val="right"/>
        </w:trPr>
        <w:tc>
          <w:tcPr>
            <w:tcW w:w="3425" w:type="dxa"/>
            <w:shd w:val="clear" w:color="auto" w:fill="FFFFFF"/>
            <w:vAlign w:val="center"/>
          </w:tcPr>
          <w:p w14:paraId="3393813E" w14:textId="77777777" w:rsidR="001002EC" w:rsidRPr="0019790A" w:rsidRDefault="001002EC" w:rsidP="0019790A">
            <w:pPr>
              <w:rPr>
                <w:rFonts w:cs="Arial"/>
                <w:b/>
                <w:color w:val="000000"/>
                <w:szCs w:val="22"/>
              </w:rPr>
            </w:pPr>
            <w:r w:rsidRPr="0019790A">
              <w:rPr>
                <w:rFonts w:cs="Arial"/>
                <w:b/>
                <w:color w:val="000000"/>
                <w:szCs w:val="22"/>
              </w:rPr>
              <w:t xml:space="preserve">Період здійснення: </w:t>
            </w:r>
          </w:p>
        </w:tc>
        <w:tc>
          <w:tcPr>
            <w:tcW w:w="6794" w:type="dxa"/>
            <w:gridSpan w:val="8"/>
            <w:vAlign w:val="center"/>
          </w:tcPr>
          <w:p w14:paraId="3CD1FC6B" w14:textId="77777777" w:rsidR="001002EC" w:rsidRPr="0019790A" w:rsidRDefault="001002EC" w:rsidP="0019790A">
            <w:pPr>
              <w:rPr>
                <w:rFonts w:cs="Arial"/>
                <w:color w:val="000000"/>
                <w:szCs w:val="22"/>
                <w:lang w:eastAsia="it-IT"/>
              </w:rPr>
            </w:pPr>
            <w:r w:rsidRPr="0019790A">
              <w:rPr>
                <w:rFonts w:cs="Arial"/>
                <w:b/>
                <w:color w:val="000000"/>
                <w:szCs w:val="22"/>
              </w:rPr>
              <w:t>2025 – 2028 роки:</w:t>
            </w:r>
          </w:p>
        </w:tc>
      </w:tr>
      <w:tr w:rsidR="001002EC" w:rsidRPr="0019790A" w14:paraId="53A5D941" w14:textId="77777777" w:rsidTr="00B8248C">
        <w:trPr>
          <w:jc w:val="right"/>
        </w:trPr>
        <w:tc>
          <w:tcPr>
            <w:tcW w:w="3425" w:type="dxa"/>
            <w:vMerge w:val="restart"/>
            <w:shd w:val="clear" w:color="auto" w:fill="FFFFFF"/>
            <w:vAlign w:val="center"/>
          </w:tcPr>
          <w:p w14:paraId="08F4FB1D" w14:textId="0835D959" w:rsidR="001002EC" w:rsidRPr="0019790A" w:rsidRDefault="001002EC" w:rsidP="0019790A">
            <w:pPr>
              <w:rPr>
                <w:rFonts w:cs="Arial"/>
                <w:b/>
                <w:bCs/>
                <w:color w:val="000000"/>
                <w:szCs w:val="22"/>
              </w:rPr>
            </w:pPr>
            <w:r w:rsidRPr="0019790A">
              <w:rPr>
                <w:rFonts w:cs="Arial"/>
                <w:b/>
                <w:bCs/>
                <w:color w:val="000000"/>
                <w:szCs w:val="22"/>
              </w:rPr>
              <w:t xml:space="preserve">Орієнтовна вартість </w:t>
            </w:r>
            <w:r w:rsidR="00314B9D">
              <w:rPr>
                <w:rFonts w:cs="Arial"/>
                <w:b/>
                <w:bCs/>
                <w:color w:val="000000"/>
                <w:szCs w:val="22"/>
              </w:rPr>
              <w:t>проєкту</w:t>
            </w:r>
            <w:r w:rsidRPr="0019790A">
              <w:rPr>
                <w:rFonts w:cs="Arial"/>
                <w:b/>
                <w:bCs/>
                <w:color w:val="000000"/>
                <w:szCs w:val="22"/>
              </w:rPr>
              <w:t>, тис. грн. в тому числі:</w:t>
            </w:r>
          </w:p>
        </w:tc>
        <w:tc>
          <w:tcPr>
            <w:tcW w:w="1254" w:type="dxa"/>
            <w:shd w:val="clear" w:color="auto" w:fill="E6E6E6"/>
            <w:vAlign w:val="center"/>
          </w:tcPr>
          <w:p w14:paraId="39523D09"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2025</w:t>
            </w:r>
          </w:p>
        </w:tc>
        <w:tc>
          <w:tcPr>
            <w:tcW w:w="1417" w:type="dxa"/>
            <w:gridSpan w:val="2"/>
            <w:shd w:val="clear" w:color="auto" w:fill="E6E6E6"/>
            <w:vAlign w:val="center"/>
          </w:tcPr>
          <w:p w14:paraId="22FC5046"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2026</w:t>
            </w:r>
          </w:p>
        </w:tc>
        <w:tc>
          <w:tcPr>
            <w:tcW w:w="1418" w:type="dxa"/>
            <w:gridSpan w:val="2"/>
            <w:tcBorders>
              <w:bottom w:val="single" w:sz="4" w:space="0" w:color="auto"/>
            </w:tcBorders>
            <w:shd w:val="clear" w:color="auto" w:fill="E6E6E6"/>
            <w:vAlign w:val="center"/>
          </w:tcPr>
          <w:p w14:paraId="44A04447"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2027</w:t>
            </w:r>
          </w:p>
        </w:tc>
        <w:tc>
          <w:tcPr>
            <w:tcW w:w="1275" w:type="dxa"/>
            <w:gridSpan w:val="2"/>
            <w:shd w:val="clear" w:color="auto" w:fill="E6E6E6"/>
            <w:vAlign w:val="center"/>
          </w:tcPr>
          <w:p w14:paraId="53683022"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2028</w:t>
            </w:r>
          </w:p>
        </w:tc>
        <w:tc>
          <w:tcPr>
            <w:tcW w:w="1430" w:type="dxa"/>
            <w:shd w:val="clear" w:color="auto" w:fill="E6E6E6"/>
            <w:vAlign w:val="center"/>
          </w:tcPr>
          <w:p w14:paraId="5F0B681C"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Разом</w:t>
            </w:r>
          </w:p>
        </w:tc>
      </w:tr>
      <w:tr w:rsidR="001002EC" w:rsidRPr="0019790A" w14:paraId="65C0C744" w14:textId="77777777" w:rsidTr="00B8248C">
        <w:trPr>
          <w:jc w:val="right"/>
        </w:trPr>
        <w:tc>
          <w:tcPr>
            <w:tcW w:w="3425" w:type="dxa"/>
            <w:vMerge/>
            <w:shd w:val="clear" w:color="auto" w:fill="FFFFFF"/>
            <w:vAlign w:val="center"/>
          </w:tcPr>
          <w:p w14:paraId="1C8C7FB6" w14:textId="77777777" w:rsidR="001002EC" w:rsidRPr="0019790A" w:rsidRDefault="001002EC" w:rsidP="0019790A">
            <w:pPr>
              <w:rPr>
                <w:rFonts w:cs="Arial"/>
                <w:b/>
                <w:bCs/>
                <w:color w:val="000000"/>
                <w:szCs w:val="22"/>
              </w:rPr>
            </w:pPr>
          </w:p>
        </w:tc>
        <w:tc>
          <w:tcPr>
            <w:tcW w:w="1254" w:type="dxa"/>
            <w:vAlign w:val="center"/>
          </w:tcPr>
          <w:p w14:paraId="550C2E93"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6720,207</w:t>
            </w:r>
          </w:p>
        </w:tc>
        <w:tc>
          <w:tcPr>
            <w:tcW w:w="1417" w:type="dxa"/>
            <w:gridSpan w:val="2"/>
            <w:shd w:val="clear" w:color="auto" w:fill="FFFFFF"/>
            <w:vAlign w:val="center"/>
          </w:tcPr>
          <w:p w14:paraId="4F63A5DA"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10527,142</w:t>
            </w:r>
          </w:p>
        </w:tc>
        <w:tc>
          <w:tcPr>
            <w:tcW w:w="1418" w:type="dxa"/>
            <w:gridSpan w:val="2"/>
            <w:shd w:val="clear" w:color="auto" w:fill="auto"/>
            <w:vAlign w:val="center"/>
          </w:tcPr>
          <w:p w14:paraId="3CDE7DFA" w14:textId="77777777" w:rsidR="001002EC" w:rsidRPr="0019790A" w:rsidRDefault="001002EC" w:rsidP="0019790A">
            <w:pPr>
              <w:jc w:val="center"/>
              <w:rPr>
                <w:rFonts w:cs="Arial"/>
                <w:b/>
                <w:color w:val="000000"/>
                <w:szCs w:val="22"/>
                <w:lang w:eastAsia="it-IT"/>
              </w:rPr>
            </w:pPr>
          </w:p>
        </w:tc>
        <w:tc>
          <w:tcPr>
            <w:tcW w:w="1275" w:type="dxa"/>
            <w:gridSpan w:val="2"/>
            <w:shd w:val="clear" w:color="auto" w:fill="FFFFFF"/>
            <w:vAlign w:val="center"/>
          </w:tcPr>
          <w:p w14:paraId="3E93BB3C" w14:textId="77777777" w:rsidR="001002EC" w:rsidRPr="0019790A" w:rsidRDefault="001002EC" w:rsidP="0019790A">
            <w:pPr>
              <w:jc w:val="center"/>
              <w:rPr>
                <w:rFonts w:cs="Arial"/>
                <w:b/>
                <w:color w:val="000000"/>
                <w:szCs w:val="22"/>
                <w:lang w:eastAsia="it-IT"/>
              </w:rPr>
            </w:pPr>
          </w:p>
        </w:tc>
        <w:tc>
          <w:tcPr>
            <w:tcW w:w="1430" w:type="dxa"/>
            <w:shd w:val="clear" w:color="auto" w:fill="FFFFFF"/>
            <w:vAlign w:val="center"/>
          </w:tcPr>
          <w:p w14:paraId="4482B75A"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17247,349</w:t>
            </w:r>
          </w:p>
        </w:tc>
      </w:tr>
      <w:tr w:rsidR="001002EC" w:rsidRPr="0019790A" w14:paraId="3D871A2E" w14:textId="77777777" w:rsidTr="00390661">
        <w:trPr>
          <w:trHeight w:val="475"/>
          <w:jc w:val="right"/>
        </w:trPr>
        <w:tc>
          <w:tcPr>
            <w:tcW w:w="3425" w:type="dxa"/>
            <w:shd w:val="clear" w:color="auto" w:fill="FFFFFF"/>
            <w:vAlign w:val="center"/>
          </w:tcPr>
          <w:p w14:paraId="2FA97829" w14:textId="77777777" w:rsidR="001002EC" w:rsidRPr="0019790A" w:rsidRDefault="001002EC" w:rsidP="0019790A">
            <w:pPr>
              <w:rPr>
                <w:rFonts w:cs="Arial"/>
                <w:b/>
                <w:bCs/>
                <w:color w:val="000000"/>
                <w:szCs w:val="22"/>
              </w:rPr>
            </w:pPr>
            <w:r w:rsidRPr="0019790A">
              <w:rPr>
                <w:rFonts w:cs="Arial"/>
                <w:b/>
                <w:bCs/>
                <w:color w:val="000000"/>
                <w:szCs w:val="22"/>
              </w:rPr>
              <w:t xml:space="preserve"> по джерелах фінансування:</w:t>
            </w:r>
          </w:p>
          <w:p w14:paraId="52B86F7F" w14:textId="2A68788B" w:rsidR="001002EC" w:rsidRPr="0019790A" w:rsidRDefault="001002EC" w:rsidP="0019790A">
            <w:pPr>
              <w:rPr>
                <w:rFonts w:cs="Arial"/>
                <w:b/>
                <w:bCs/>
                <w:color w:val="000000"/>
                <w:szCs w:val="22"/>
              </w:rPr>
            </w:pPr>
          </w:p>
        </w:tc>
        <w:tc>
          <w:tcPr>
            <w:tcW w:w="6794" w:type="dxa"/>
            <w:gridSpan w:val="8"/>
            <w:vAlign w:val="center"/>
          </w:tcPr>
          <w:p w14:paraId="089A3CFF" w14:textId="77777777" w:rsidR="001002EC" w:rsidRPr="0019790A" w:rsidRDefault="001002EC" w:rsidP="0019790A">
            <w:pPr>
              <w:jc w:val="both"/>
              <w:rPr>
                <w:rFonts w:cs="Arial"/>
                <w:color w:val="000000"/>
                <w:szCs w:val="22"/>
                <w:lang w:eastAsia="it-IT"/>
              </w:rPr>
            </w:pPr>
          </w:p>
          <w:p w14:paraId="6FF8F976" w14:textId="27433674" w:rsidR="001002EC" w:rsidRPr="0019790A" w:rsidRDefault="001002EC" w:rsidP="0019790A">
            <w:pPr>
              <w:jc w:val="both"/>
              <w:rPr>
                <w:rFonts w:cs="Arial"/>
                <w:color w:val="000000"/>
                <w:szCs w:val="22"/>
                <w:lang w:eastAsia="it-IT"/>
              </w:rPr>
            </w:pPr>
            <w:r w:rsidRPr="0019790A">
              <w:rPr>
                <w:rFonts w:cs="Arial"/>
                <w:color w:val="000000"/>
                <w:szCs w:val="22"/>
                <w:lang w:eastAsia="it-IT"/>
              </w:rPr>
              <w:t xml:space="preserve"> </w:t>
            </w:r>
          </w:p>
        </w:tc>
      </w:tr>
      <w:tr w:rsidR="00390661" w:rsidRPr="0019790A" w14:paraId="07D97F90" w14:textId="73DBC10D" w:rsidTr="00390661">
        <w:trPr>
          <w:trHeight w:val="271"/>
          <w:jc w:val="right"/>
        </w:trPr>
        <w:tc>
          <w:tcPr>
            <w:tcW w:w="3425" w:type="dxa"/>
            <w:shd w:val="clear" w:color="auto" w:fill="FFFFFF"/>
            <w:vAlign w:val="center"/>
          </w:tcPr>
          <w:p w14:paraId="340E2E2E" w14:textId="383A29F5" w:rsidR="00390661" w:rsidRPr="0019790A" w:rsidRDefault="00390661" w:rsidP="00390661">
            <w:pPr>
              <w:rPr>
                <w:rFonts w:cs="Arial"/>
                <w:b/>
                <w:bCs/>
                <w:color w:val="000000"/>
                <w:szCs w:val="22"/>
              </w:rPr>
            </w:pPr>
            <w:r w:rsidRPr="0019790A">
              <w:rPr>
                <w:rFonts w:cs="Arial"/>
                <w:color w:val="000000"/>
                <w:szCs w:val="22"/>
              </w:rPr>
              <w:t>-державний бюджет;</w:t>
            </w:r>
          </w:p>
        </w:tc>
        <w:tc>
          <w:tcPr>
            <w:tcW w:w="1277" w:type="dxa"/>
            <w:gridSpan w:val="2"/>
            <w:vAlign w:val="center"/>
          </w:tcPr>
          <w:p w14:paraId="1F0E6F88" w14:textId="454B6FCD" w:rsidR="00390661" w:rsidRPr="0019790A" w:rsidRDefault="00390661" w:rsidP="00390661">
            <w:pPr>
              <w:jc w:val="center"/>
              <w:rPr>
                <w:rFonts w:cs="Arial"/>
                <w:color w:val="000000"/>
                <w:szCs w:val="22"/>
                <w:lang w:eastAsia="it-IT"/>
              </w:rPr>
            </w:pPr>
            <w:r w:rsidRPr="0019790A">
              <w:rPr>
                <w:rFonts w:cs="Arial"/>
                <w:color w:val="000000"/>
                <w:szCs w:val="22"/>
                <w:lang w:eastAsia="it-IT"/>
              </w:rPr>
              <w:t>5376,165</w:t>
            </w:r>
          </w:p>
        </w:tc>
        <w:tc>
          <w:tcPr>
            <w:tcW w:w="1427" w:type="dxa"/>
            <w:gridSpan w:val="2"/>
            <w:vAlign w:val="center"/>
          </w:tcPr>
          <w:p w14:paraId="1E0B50FD" w14:textId="5202B8C2" w:rsidR="00390661" w:rsidRPr="0019790A" w:rsidRDefault="00390661" w:rsidP="00390661">
            <w:pPr>
              <w:jc w:val="center"/>
              <w:rPr>
                <w:rFonts w:cs="Arial"/>
                <w:color w:val="000000"/>
                <w:szCs w:val="22"/>
                <w:lang w:eastAsia="it-IT"/>
              </w:rPr>
            </w:pPr>
            <w:r w:rsidRPr="0019790A">
              <w:rPr>
                <w:rFonts w:cs="Arial"/>
                <w:color w:val="000000"/>
                <w:szCs w:val="22"/>
                <w:lang w:eastAsia="it-IT"/>
              </w:rPr>
              <w:t>8421,714</w:t>
            </w:r>
          </w:p>
        </w:tc>
        <w:tc>
          <w:tcPr>
            <w:tcW w:w="1440" w:type="dxa"/>
            <w:gridSpan w:val="2"/>
            <w:vAlign w:val="center"/>
          </w:tcPr>
          <w:p w14:paraId="1CE75CC3" w14:textId="02E69F06" w:rsidR="00390661" w:rsidRPr="0019790A" w:rsidRDefault="00390661" w:rsidP="00390661">
            <w:pPr>
              <w:jc w:val="center"/>
              <w:rPr>
                <w:rFonts w:cs="Arial"/>
                <w:color w:val="000000"/>
                <w:szCs w:val="22"/>
                <w:lang w:eastAsia="it-IT"/>
              </w:rPr>
            </w:pPr>
          </w:p>
        </w:tc>
        <w:tc>
          <w:tcPr>
            <w:tcW w:w="1215" w:type="dxa"/>
            <w:vAlign w:val="center"/>
          </w:tcPr>
          <w:p w14:paraId="3BEC5EDE" w14:textId="57E4E308" w:rsidR="00390661" w:rsidRPr="0019790A" w:rsidRDefault="00390661" w:rsidP="00390661">
            <w:pPr>
              <w:jc w:val="center"/>
              <w:rPr>
                <w:rFonts w:cs="Arial"/>
                <w:color w:val="000000"/>
                <w:szCs w:val="22"/>
                <w:lang w:eastAsia="it-IT"/>
              </w:rPr>
            </w:pPr>
            <w:r w:rsidRPr="0019790A">
              <w:rPr>
                <w:rFonts w:cs="Arial"/>
                <w:color w:val="000000"/>
                <w:szCs w:val="22"/>
                <w:lang w:eastAsia="it-IT"/>
              </w:rPr>
              <w:t>9</w:t>
            </w:r>
          </w:p>
        </w:tc>
        <w:tc>
          <w:tcPr>
            <w:tcW w:w="1435" w:type="dxa"/>
            <w:vAlign w:val="center"/>
          </w:tcPr>
          <w:p w14:paraId="508A140C" w14:textId="51E00A37" w:rsidR="00390661" w:rsidRPr="0019790A" w:rsidRDefault="00390661" w:rsidP="00390661">
            <w:pPr>
              <w:jc w:val="center"/>
              <w:rPr>
                <w:rFonts w:cs="Arial"/>
                <w:color w:val="000000"/>
                <w:szCs w:val="22"/>
                <w:lang w:eastAsia="it-IT"/>
              </w:rPr>
            </w:pPr>
            <w:r w:rsidRPr="0019790A">
              <w:rPr>
                <w:rFonts w:cs="Arial"/>
                <w:color w:val="000000"/>
                <w:szCs w:val="22"/>
                <w:lang w:eastAsia="it-IT"/>
              </w:rPr>
              <w:t>13797,87</w:t>
            </w:r>
          </w:p>
        </w:tc>
      </w:tr>
      <w:tr w:rsidR="00390661" w:rsidRPr="0019790A" w14:paraId="6BC20F14" w14:textId="65C89675" w:rsidTr="00390661">
        <w:trPr>
          <w:trHeight w:val="225"/>
          <w:jc w:val="right"/>
        </w:trPr>
        <w:tc>
          <w:tcPr>
            <w:tcW w:w="3425" w:type="dxa"/>
            <w:shd w:val="clear" w:color="auto" w:fill="FFFFFF"/>
            <w:vAlign w:val="center"/>
          </w:tcPr>
          <w:p w14:paraId="0304295C" w14:textId="77777777" w:rsidR="00390661" w:rsidRPr="0019790A" w:rsidRDefault="00390661" w:rsidP="0019790A">
            <w:pPr>
              <w:rPr>
                <w:rFonts w:cs="Arial"/>
                <w:b/>
                <w:bCs/>
                <w:color w:val="000000"/>
                <w:szCs w:val="22"/>
              </w:rPr>
            </w:pPr>
            <w:r w:rsidRPr="0019790A">
              <w:rPr>
                <w:rFonts w:cs="Arial"/>
                <w:color w:val="000000"/>
                <w:szCs w:val="22"/>
              </w:rPr>
              <w:t>-обласний бюджет;</w:t>
            </w:r>
          </w:p>
        </w:tc>
        <w:tc>
          <w:tcPr>
            <w:tcW w:w="1277" w:type="dxa"/>
            <w:gridSpan w:val="2"/>
            <w:vAlign w:val="center"/>
          </w:tcPr>
          <w:p w14:paraId="51B36F4F" w14:textId="77777777" w:rsidR="00390661" w:rsidRPr="0019790A" w:rsidRDefault="00390661" w:rsidP="00390661">
            <w:pPr>
              <w:jc w:val="center"/>
              <w:rPr>
                <w:rFonts w:cs="Arial"/>
                <w:color w:val="000000"/>
                <w:szCs w:val="22"/>
                <w:lang w:eastAsia="it-IT"/>
              </w:rPr>
            </w:pPr>
          </w:p>
        </w:tc>
        <w:tc>
          <w:tcPr>
            <w:tcW w:w="1427" w:type="dxa"/>
            <w:gridSpan w:val="2"/>
            <w:vAlign w:val="center"/>
          </w:tcPr>
          <w:p w14:paraId="0DC187F4" w14:textId="77777777" w:rsidR="00390661" w:rsidRPr="0019790A" w:rsidRDefault="00390661" w:rsidP="00390661">
            <w:pPr>
              <w:jc w:val="center"/>
              <w:rPr>
                <w:rFonts w:cs="Arial"/>
                <w:color w:val="000000"/>
                <w:szCs w:val="22"/>
                <w:lang w:eastAsia="it-IT"/>
              </w:rPr>
            </w:pPr>
          </w:p>
        </w:tc>
        <w:tc>
          <w:tcPr>
            <w:tcW w:w="1440" w:type="dxa"/>
            <w:gridSpan w:val="2"/>
            <w:vAlign w:val="center"/>
          </w:tcPr>
          <w:p w14:paraId="277B3174" w14:textId="77777777" w:rsidR="00390661" w:rsidRPr="0019790A" w:rsidRDefault="00390661" w:rsidP="00390661">
            <w:pPr>
              <w:jc w:val="center"/>
              <w:rPr>
                <w:rFonts w:cs="Arial"/>
                <w:color w:val="000000"/>
                <w:szCs w:val="22"/>
                <w:lang w:eastAsia="it-IT"/>
              </w:rPr>
            </w:pPr>
          </w:p>
        </w:tc>
        <w:tc>
          <w:tcPr>
            <w:tcW w:w="1215" w:type="dxa"/>
            <w:vAlign w:val="center"/>
          </w:tcPr>
          <w:p w14:paraId="57464F0C" w14:textId="77777777" w:rsidR="00390661" w:rsidRPr="0019790A" w:rsidRDefault="00390661" w:rsidP="00390661">
            <w:pPr>
              <w:jc w:val="center"/>
              <w:rPr>
                <w:rFonts w:cs="Arial"/>
                <w:color w:val="000000"/>
                <w:szCs w:val="22"/>
                <w:lang w:eastAsia="it-IT"/>
              </w:rPr>
            </w:pPr>
          </w:p>
        </w:tc>
        <w:tc>
          <w:tcPr>
            <w:tcW w:w="1435" w:type="dxa"/>
            <w:vAlign w:val="center"/>
          </w:tcPr>
          <w:p w14:paraId="5B40F3BF" w14:textId="77777777" w:rsidR="00390661" w:rsidRPr="0019790A" w:rsidRDefault="00390661" w:rsidP="00390661">
            <w:pPr>
              <w:jc w:val="center"/>
              <w:rPr>
                <w:rFonts w:cs="Arial"/>
                <w:color w:val="000000"/>
                <w:szCs w:val="22"/>
                <w:lang w:eastAsia="it-IT"/>
              </w:rPr>
            </w:pPr>
          </w:p>
        </w:tc>
      </w:tr>
      <w:tr w:rsidR="00390661" w:rsidRPr="0019790A" w14:paraId="20D538D4" w14:textId="20A0B1B5" w:rsidTr="00390661">
        <w:trPr>
          <w:trHeight w:val="165"/>
          <w:jc w:val="right"/>
        </w:trPr>
        <w:tc>
          <w:tcPr>
            <w:tcW w:w="3425" w:type="dxa"/>
            <w:shd w:val="clear" w:color="auto" w:fill="FFFFFF"/>
            <w:vAlign w:val="center"/>
          </w:tcPr>
          <w:p w14:paraId="0EC959E5" w14:textId="77777777" w:rsidR="00390661" w:rsidRPr="0019790A" w:rsidRDefault="00390661" w:rsidP="0019790A">
            <w:pPr>
              <w:rPr>
                <w:rFonts w:cs="Arial"/>
                <w:color w:val="000000"/>
                <w:szCs w:val="22"/>
              </w:rPr>
            </w:pPr>
            <w:r w:rsidRPr="0019790A">
              <w:rPr>
                <w:rFonts w:cs="Arial"/>
                <w:color w:val="000000"/>
                <w:szCs w:val="22"/>
              </w:rPr>
              <w:t>-бюджет Жмеринської МТГ;</w:t>
            </w:r>
          </w:p>
        </w:tc>
        <w:tc>
          <w:tcPr>
            <w:tcW w:w="1277" w:type="dxa"/>
            <w:gridSpan w:val="2"/>
            <w:vAlign w:val="center"/>
          </w:tcPr>
          <w:p w14:paraId="5D8A61C2" w14:textId="7A0CE682" w:rsidR="00390661" w:rsidRPr="0019790A" w:rsidRDefault="00390661" w:rsidP="00390661">
            <w:pPr>
              <w:jc w:val="center"/>
              <w:rPr>
                <w:rFonts w:cs="Arial"/>
                <w:color w:val="000000"/>
                <w:szCs w:val="22"/>
                <w:lang w:eastAsia="it-IT"/>
              </w:rPr>
            </w:pPr>
            <w:r w:rsidRPr="0019790A">
              <w:rPr>
                <w:rFonts w:cs="Arial"/>
                <w:color w:val="000000"/>
                <w:szCs w:val="22"/>
                <w:lang w:eastAsia="it-IT"/>
              </w:rPr>
              <w:t>1344,042</w:t>
            </w:r>
          </w:p>
        </w:tc>
        <w:tc>
          <w:tcPr>
            <w:tcW w:w="1427" w:type="dxa"/>
            <w:gridSpan w:val="2"/>
            <w:vAlign w:val="center"/>
          </w:tcPr>
          <w:p w14:paraId="5030E9B7" w14:textId="27609CD1" w:rsidR="00390661" w:rsidRPr="0019790A" w:rsidRDefault="00390661" w:rsidP="00390661">
            <w:pPr>
              <w:jc w:val="center"/>
              <w:rPr>
                <w:rFonts w:cs="Arial"/>
                <w:color w:val="000000"/>
                <w:szCs w:val="22"/>
                <w:lang w:eastAsia="it-IT"/>
              </w:rPr>
            </w:pPr>
            <w:r w:rsidRPr="0019790A">
              <w:rPr>
                <w:rFonts w:cs="Arial"/>
                <w:color w:val="000000"/>
                <w:szCs w:val="22"/>
                <w:lang w:eastAsia="it-IT"/>
              </w:rPr>
              <w:t>2105,428</w:t>
            </w:r>
          </w:p>
        </w:tc>
        <w:tc>
          <w:tcPr>
            <w:tcW w:w="1440" w:type="dxa"/>
            <w:gridSpan w:val="2"/>
            <w:vAlign w:val="center"/>
          </w:tcPr>
          <w:p w14:paraId="670BA6D2" w14:textId="10DAFA46" w:rsidR="00390661" w:rsidRPr="0019790A" w:rsidRDefault="00390661" w:rsidP="00390661">
            <w:pPr>
              <w:jc w:val="center"/>
              <w:rPr>
                <w:rFonts w:cs="Arial"/>
                <w:color w:val="000000"/>
                <w:szCs w:val="22"/>
                <w:lang w:eastAsia="it-IT"/>
              </w:rPr>
            </w:pPr>
          </w:p>
        </w:tc>
        <w:tc>
          <w:tcPr>
            <w:tcW w:w="1215" w:type="dxa"/>
            <w:vAlign w:val="center"/>
          </w:tcPr>
          <w:p w14:paraId="67B660CE" w14:textId="5C4CFEE2" w:rsidR="00390661" w:rsidRPr="0019790A" w:rsidRDefault="00390661" w:rsidP="00390661">
            <w:pPr>
              <w:jc w:val="center"/>
              <w:rPr>
                <w:rFonts w:cs="Arial"/>
                <w:color w:val="000000"/>
                <w:szCs w:val="22"/>
                <w:lang w:eastAsia="it-IT"/>
              </w:rPr>
            </w:pPr>
            <w:r w:rsidRPr="0019790A">
              <w:rPr>
                <w:rFonts w:cs="Arial"/>
                <w:color w:val="000000"/>
                <w:szCs w:val="22"/>
                <w:lang w:eastAsia="it-IT"/>
              </w:rPr>
              <w:t>0</w:t>
            </w:r>
          </w:p>
        </w:tc>
        <w:tc>
          <w:tcPr>
            <w:tcW w:w="1435" w:type="dxa"/>
            <w:vAlign w:val="center"/>
          </w:tcPr>
          <w:p w14:paraId="4FCE3D87" w14:textId="0705E831" w:rsidR="00390661" w:rsidRPr="0019790A" w:rsidRDefault="00390661" w:rsidP="00390661">
            <w:pPr>
              <w:jc w:val="center"/>
              <w:rPr>
                <w:rFonts w:cs="Arial"/>
                <w:color w:val="000000"/>
                <w:szCs w:val="22"/>
                <w:lang w:eastAsia="it-IT"/>
              </w:rPr>
            </w:pPr>
            <w:r w:rsidRPr="0019790A">
              <w:rPr>
                <w:rFonts w:cs="Arial"/>
                <w:color w:val="000000"/>
                <w:szCs w:val="22"/>
                <w:lang w:eastAsia="it-IT"/>
              </w:rPr>
              <w:t>3449,47</w:t>
            </w:r>
          </w:p>
        </w:tc>
      </w:tr>
      <w:tr w:rsidR="00390661" w:rsidRPr="0019790A" w14:paraId="07162C29" w14:textId="080847DA" w:rsidTr="00390661">
        <w:trPr>
          <w:trHeight w:val="330"/>
          <w:jc w:val="right"/>
        </w:trPr>
        <w:tc>
          <w:tcPr>
            <w:tcW w:w="3425" w:type="dxa"/>
            <w:shd w:val="clear" w:color="auto" w:fill="FFFFFF"/>
            <w:vAlign w:val="center"/>
          </w:tcPr>
          <w:p w14:paraId="2EF1DF54" w14:textId="77777777" w:rsidR="00390661" w:rsidRPr="0019790A" w:rsidRDefault="00390661" w:rsidP="0019790A">
            <w:pPr>
              <w:rPr>
                <w:rFonts w:cs="Arial"/>
                <w:color w:val="000000"/>
                <w:szCs w:val="22"/>
              </w:rPr>
            </w:pPr>
            <w:r w:rsidRPr="0019790A">
              <w:rPr>
                <w:rFonts w:cs="Arial"/>
                <w:color w:val="000000"/>
                <w:szCs w:val="22"/>
              </w:rPr>
              <w:t>-інші джерела фінансування.</w:t>
            </w:r>
          </w:p>
        </w:tc>
        <w:tc>
          <w:tcPr>
            <w:tcW w:w="1277" w:type="dxa"/>
            <w:gridSpan w:val="2"/>
            <w:vAlign w:val="center"/>
          </w:tcPr>
          <w:p w14:paraId="101169D8" w14:textId="77777777" w:rsidR="00390661" w:rsidRPr="0019790A" w:rsidRDefault="00390661" w:rsidP="00390661">
            <w:pPr>
              <w:jc w:val="center"/>
              <w:rPr>
                <w:rFonts w:cs="Arial"/>
                <w:color w:val="000000"/>
                <w:szCs w:val="22"/>
                <w:lang w:eastAsia="it-IT"/>
              </w:rPr>
            </w:pPr>
          </w:p>
        </w:tc>
        <w:tc>
          <w:tcPr>
            <w:tcW w:w="1427" w:type="dxa"/>
            <w:gridSpan w:val="2"/>
            <w:vAlign w:val="center"/>
          </w:tcPr>
          <w:p w14:paraId="21913C20" w14:textId="77777777" w:rsidR="00390661" w:rsidRPr="0019790A" w:rsidRDefault="00390661" w:rsidP="00390661">
            <w:pPr>
              <w:jc w:val="center"/>
              <w:rPr>
                <w:rFonts w:cs="Arial"/>
                <w:color w:val="000000"/>
                <w:szCs w:val="22"/>
                <w:lang w:eastAsia="it-IT"/>
              </w:rPr>
            </w:pPr>
          </w:p>
        </w:tc>
        <w:tc>
          <w:tcPr>
            <w:tcW w:w="1440" w:type="dxa"/>
            <w:gridSpan w:val="2"/>
            <w:vAlign w:val="center"/>
          </w:tcPr>
          <w:p w14:paraId="15A69021" w14:textId="77777777" w:rsidR="00390661" w:rsidRPr="0019790A" w:rsidRDefault="00390661" w:rsidP="00390661">
            <w:pPr>
              <w:jc w:val="center"/>
              <w:rPr>
                <w:rFonts w:cs="Arial"/>
                <w:color w:val="000000"/>
                <w:szCs w:val="22"/>
                <w:lang w:eastAsia="it-IT"/>
              </w:rPr>
            </w:pPr>
          </w:p>
        </w:tc>
        <w:tc>
          <w:tcPr>
            <w:tcW w:w="1215" w:type="dxa"/>
            <w:vAlign w:val="center"/>
          </w:tcPr>
          <w:p w14:paraId="33507664" w14:textId="77777777" w:rsidR="00390661" w:rsidRPr="0019790A" w:rsidRDefault="00390661" w:rsidP="00390661">
            <w:pPr>
              <w:jc w:val="center"/>
              <w:rPr>
                <w:rFonts w:cs="Arial"/>
                <w:color w:val="000000"/>
                <w:szCs w:val="22"/>
                <w:lang w:eastAsia="it-IT"/>
              </w:rPr>
            </w:pPr>
          </w:p>
        </w:tc>
        <w:tc>
          <w:tcPr>
            <w:tcW w:w="1435" w:type="dxa"/>
            <w:vAlign w:val="center"/>
          </w:tcPr>
          <w:p w14:paraId="40B92AB8" w14:textId="77777777" w:rsidR="00390661" w:rsidRPr="0019790A" w:rsidRDefault="00390661" w:rsidP="00390661">
            <w:pPr>
              <w:jc w:val="center"/>
              <w:rPr>
                <w:rFonts w:cs="Arial"/>
                <w:color w:val="000000"/>
                <w:szCs w:val="22"/>
                <w:lang w:eastAsia="it-IT"/>
              </w:rPr>
            </w:pPr>
          </w:p>
        </w:tc>
      </w:tr>
      <w:tr w:rsidR="001002EC" w:rsidRPr="0019790A" w14:paraId="55D33FE7" w14:textId="77777777" w:rsidTr="00B8248C">
        <w:trPr>
          <w:jc w:val="right"/>
        </w:trPr>
        <w:tc>
          <w:tcPr>
            <w:tcW w:w="3425" w:type="dxa"/>
            <w:shd w:val="clear" w:color="auto" w:fill="FFFFFF"/>
            <w:vAlign w:val="center"/>
          </w:tcPr>
          <w:p w14:paraId="78A8C635" w14:textId="6E255DD5" w:rsidR="001002EC" w:rsidRPr="0019790A" w:rsidRDefault="001002EC" w:rsidP="0019790A">
            <w:pPr>
              <w:rPr>
                <w:rFonts w:cs="Arial"/>
                <w:b/>
                <w:bCs/>
                <w:color w:val="000000"/>
                <w:szCs w:val="22"/>
              </w:rPr>
            </w:pPr>
            <w:r w:rsidRPr="0019790A">
              <w:rPr>
                <w:rFonts w:cs="Arial"/>
                <w:b/>
                <w:color w:val="000000"/>
                <w:szCs w:val="22"/>
              </w:rPr>
              <w:t xml:space="preserve">Ключові потенційні учасники реалізації </w:t>
            </w:r>
            <w:r w:rsidR="00314B9D">
              <w:rPr>
                <w:rFonts w:cs="Arial"/>
                <w:b/>
                <w:color w:val="000000"/>
                <w:szCs w:val="22"/>
              </w:rPr>
              <w:t>проєкту</w:t>
            </w:r>
            <w:r w:rsidRPr="0019790A">
              <w:rPr>
                <w:rFonts w:cs="Arial"/>
                <w:b/>
                <w:color w:val="000000"/>
                <w:szCs w:val="22"/>
              </w:rPr>
              <w:t>:</w:t>
            </w:r>
          </w:p>
        </w:tc>
        <w:tc>
          <w:tcPr>
            <w:tcW w:w="6794" w:type="dxa"/>
            <w:gridSpan w:val="8"/>
            <w:vAlign w:val="center"/>
          </w:tcPr>
          <w:p w14:paraId="0343A9BC" w14:textId="68B1038D" w:rsidR="001002EC" w:rsidRPr="0019790A" w:rsidRDefault="001002EC" w:rsidP="0019790A">
            <w:pPr>
              <w:jc w:val="both"/>
              <w:rPr>
                <w:rFonts w:cs="Arial"/>
                <w:color w:val="000000"/>
                <w:szCs w:val="22"/>
                <w:lang w:eastAsia="it-IT"/>
              </w:rPr>
            </w:pPr>
            <w:r w:rsidRPr="0019790A">
              <w:rPr>
                <w:rFonts w:cs="Arial"/>
                <w:color w:val="000000"/>
                <w:szCs w:val="22"/>
                <w:lang w:eastAsia="it-IT"/>
              </w:rPr>
              <w:t>КНП «Жмеринська ЦРЛ», Управління соціального захисту населення та охорони здоров’я</w:t>
            </w:r>
          </w:p>
        </w:tc>
      </w:tr>
      <w:tr w:rsidR="001002EC" w:rsidRPr="0019790A" w14:paraId="4DD56BCB" w14:textId="77777777" w:rsidTr="00B8248C">
        <w:trPr>
          <w:jc w:val="right"/>
        </w:trPr>
        <w:tc>
          <w:tcPr>
            <w:tcW w:w="3425" w:type="dxa"/>
            <w:shd w:val="clear" w:color="auto" w:fill="FFFFFF"/>
            <w:vAlign w:val="center"/>
          </w:tcPr>
          <w:p w14:paraId="24475A03" w14:textId="77777777" w:rsidR="001002EC" w:rsidRPr="0019790A" w:rsidRDefault="001002EC" w:rsidP="0019790A">
            <w:pPr>
              <w:rPr>
                <w:rFonts w:cs="Arial"/>
                <w:b/>
                <w:bCs/>
                <w:color w:val="000000"/>
                <w:szCs w:val="22"/>
              </w:rPr>
            </w:pPr>
            <w:r w:rsidRPr="0019790A">
              <w:rPr>
                <w:rFonts w:cs="Arial"/>
                <w:b/>
                <w:bCs/>
                <w:color w:val="000000"/>
                <w:szCs w:val="22"/>
              </w:rPr>
              <w:t>Інше:</w:t>
            </w:r>
          </w:p>
        </w:tc>
        <w:tc>
          <w:tcPr>
            <w:tcW w:w="6794" w:type="dxa"/>
            <w:gridSpan w:val="8"/>
            <w:vAlign w:val="center"/>
          </w:tcPr>
          <w:p w14:paraId="6054EE71" w14:textId="77777777" w:rsidR="001002EC" w:rsidRPr="0019790A" w:rsidRDefault="001002EC" w:rsidP="0019790A">
            <w:pPr>
              <w:rPr>
                <w:rFonts w:cs="Arial"/>
                <w:color w:val="000000"/>
                <w:szCs w:val="22"/>
                <w:lang w:eastAsia="it-IT"/>
              </w:rPr>
            </w:pPr>
          </w:p>
          <w:p w14:paraId="354C5E96" w14:textId="77777777" w:rsidR="001002EC" w:rsidRPr="0019790A" w:rsidRDefault="001002EC" w:rsidP="0019790A">
            <w:pPr>
              <w:rPr>
                <w:rFonts w:cs="Arial"/>
                <w:color w:val="000000"/>
                <w:szCs w:val="22"/>
                <w:lang w:eastAsia="it-IT"/>
              </w:rPr>
            </w:pPr>
          </w:p>
        </w:tc>
      </w:tr>
    </w:tbl>
    <w:p w14:paraId="73253FEC" w14:textId="77777777" w:rsidR="001002EC" w:rsidRPr="0019790A" w:rsidRDefault="001002EC" w:rsidP="0019790A">
      <w:pPr>
        <w:rPr>
          <w:rFonts w:cs="Arial"/>
          <w:szCs w:val="22"/>
        </w:rPr>
      </w:pPr>
    </w:p>
    <w:p w14:paraId="77122BA7" w14:textId="77777777" w:rsidR="001002EC" w:rsidRPr="0019790A" w:rsidRDefault="001002EC" w:rsidP="0019790A">
      <w:pPr>
        <w:rPr>
          <w:rFonts w:cs="Arial"/>
          <w:szCs w:val="22"/>
        </w:rPr>
      </w:pPr>
    </w:p>
    <w:p w14:paraId="0F21ADAB" w14:textId="1FE2DABB" w:rsidR="001002EC" w:rsidRPr="0019790A" w:rsidRDefault="001002EC" w:rsidP="0019790A">
      <w:pPr>
        <w:jc w:val="center"/>
        <w:rPr>
          <w:rFonts w:cs="Arial"/>
          <w:b/>
          <w:color w:val="000000"/>
          <w:szCs w:val="22"/>
        </w:rPr>
      </w:pPr>
      <w:r w:rsidRPr="0019790A">
        <w:rPr>
          <w:rFonts w:cs="Arial"/>
          <w:b/>
          <w:color w:val="000000"/>
          <w:szCs w:val="22"/>
        </w:rPr>
        <w:t xml:space="preserve">Форма технічного завдання на </w:t>
      </w:r>
      <w:r w:rsidR="00314B9D">
        <w:rPr>
          <w:rFonts w:cs="Arial"/>
          <w:b/>
          <w:color w:val="000000"/>
          <w:szCs w:val="22"/>
        </w:rPr>
        <w:t>проєкт</w:t>
      </w:r>
      <w:r w:rsidRPr="0019790A">
        <w:rPr>
          <w:rFonts w:cs="Arial"/>
          <w:b/>
          <w:color w:val="000000"/>
          <w:szCs w:val="22"/>
        </w:rPr>
        <w:t xml:space="preserve"> місцевого розвитку </w:t>
      </w:r>
    </w:p>
    <w:p w14:paraId="1A102050" w14:textId="77777777" w:rsidR="001002EC" w:rsidRPr="0019790A" w:rsidRDefault="001002EC" w:rsidP="0019790A">
      <w:pPr>
        <w:jc w:val="center"/>
        <w:rPr>
          <w:rFonts w:cs="Arial"/>
          <w:b/>
          <w:color w:val="000000"/>
          <w:szCs w:val="22"/>
        </w:rPr>
      </w:pPr>
      <w:r w:rsidRPr="0019790A">
        <w:rPr>
          <w:rFonts w:cs="Arial"/>
          <w:b/>
          <w:color w:val="000000"/>
          <w:szCs w:val="22"/>
        </w:rPr>
        <w:t>до Плану заходів з реалізації Стратегії</w:t>
      </w:r>
    </w:p>
    <w:p w14:paraId="77B45076" w14:textId="77777777" w:rsidR="001002EC" w:rsidRPr="0019790A" w:rsidRDefault="001002EC"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3"/>
        <w:gridCol w:w="1250"/>
        <w:gridCol w:w="1421"/>
        <w:gridCol w:w="72"/>
        <w:gridCol w:w="14"/>
        <w:gridCol w:w="1328"/>
        <w:gridCol w:w="1276"/>
        <w:gridCol w:w="1417"/>
        <w:gridCol w:w="18"/>
      </w:tblGrid>
      <w:tr w:rsidR="001002EC" w:rsidRPr="0019790A" w14:paraId="62132DF6" w14:textId="77777777" w:rsidTr="00390661">
        <w:trPr>
          <w:jc w:val="right"/>
        </w:trPr>
        <w:tc>
          <w:tcPr>
            <w:tcW w:w="3423" w:type="dxa"/>
          </w:tcPr>
          <w:p w14:paraId="5B7FAFEF" w14:textId="14C67E63" w:rsidR="001002EC" w:rsidRPr="0019790A" w:rsidRDefault="001002EC" w:rsidP="0019790A">
            <w:pPr>
              <w:rPr>
                <w:rFonts w:cs="Arial"/>
                <w:b/>
                <w:szCs w:val="22"/>
              </w:rPr>
            </w:pPr>
            <w:r w:rsidRPr="0019790A">
              <w:rPr>
                <w:rFonts w:cs="Arial"/>
                <w:b/>
                <w:szCs w:val="22"/>
              </w:rPr>
              <w:t xml:space="preserve">Назва </w:t>
            </w:r>
            <w:r w:rsidR="00314B9D">
              <w:rPr>
                <w:rFonts w:cs="Arial"/>
                <w:b/>
                <w:szCs w:val="22"/>
              </w:rPr>
              <w:t>проєкту</w:t>
            </w:r>
            <w:r w:rsidRPr="0019790A">
              <w:rPr>
                <w:rFonts w:cs="Arial"/>
                <w:b/>
                <w:szCs w:val="22"/>
              </w:rPr>
              <w:t>:</w:t>
            </w:r>
          </w:p>
        </w:tc>
        <w:tc>
          <w:tcPr>
            <w:tcW w:w="6796" w:type="dxa"/>
            <w:gridSpan w:val="8"/>
          </w:tcPr>
          <w:p w14:paraId="4C8D4169" w14:textId="1EEA7D3F" w:rsidR="001002EC" w:rsidRPr="0019790A" w:rsidRDefault="001002EC" w:rsidP="00390661">
            <w:pPr>
              <w:jc w:val="both"/>
              <w:rPr>
                <w:rFonts w:cs="Arial"/>
                <w:b/>
                <w:szCs w:val="22"/>
              </w:rPr>
            </w:pPr>
            <w:r w:rsidRPr="0019790A">
              <w:rPr>
                <w:rFonts w:cs="Arial"/>
                <w:b/>
                <w:szCs w:val="22"/>
              </w:rPr>
              <w:t>Капітальний ремонт будівлі адміністрації з травмпунктом  КНП «Жмеринська ЦРЛ» вул.</w:t>
            </w:r>
            <w:r w:rsidR="00390661">
              <w:rPr>
                <w:rFonts w:cs="Arial"/>
                <w:b/>
                <w:szCs w:val="22"/>
              </w:rPr>
              <w:t xml:space="preserve"> </w:t>
            </w:r>
            <w:r w:rsidRPr="0019790A">
              <w:rPr>
                <w:rFonts w:cs="Arial"/>
                <w:b/>
                <w:szCs w:val="22"/>
              </w:rPr>
              <w:t>Київська, 288, м.Жмеринка, Вінницької області</w:t>
            </w:r>
          </w:p>
        </w:tc>
      </w:tr>
      <w:tr w:rsidR="001002EC" w:rsidRPr="0019790A" w14:paraId="2CEBF4B6" w14:textId="77777777" w:rsidTr="00390661">
        <w:trPr>
          <w:jc w:val="right"/>
        </w:trPr>
        <w:tc>
          <w:tcPr>
            <w:tcW w:w="3423" w:type="dxa"/>
          </w:tcPr>
          <w:p w14:paraId="14D727E3" w14:textId="77777777" w:rsidR="001002EC" w:rsidRPr="0019790A" w:rsidRDefault="001002EC"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1D21EA10" w14:textId="77777777" w:rsidR="001002EC" w:rsidRPr="0019790A" w:rsidRDefault="001002EC" w:rsidP="0019790A">
            <w:pPr>
              <w:rPr>
                <w:rFonts w:cs="Arial"/>
                <w:b/>
                <w:bCs/>
                <w:szCs w:val="22"/>
              </w:rPr>
            </w:pPr>
            <w:r w:rsidRPr="0019790A">
              <w:rPr>
                <w:rFonts w:cs="Arial"/>
                <w:szCs w:val="22"/>
                <w:lang w:eastAsia="it-IT"/>
              </w:rPr>
              <w:t>Назва установи, організації, підприємства</w:t>
            </w:r>
          </w:p>
        </w:tc>
        <w:tc>
          <w:tcPr>
            <w:tcW w:w="6796" w:type="dxa"/>
            <w:gridSpan w:val="8"/>
          </w:tcPr>
          <w:p w14:paraId="391D1CF0" w14:textId="77777777" w:rsidR="001002EC" w:rsidRPr="0019790A" w:rsidRDefault="001002EC" w:rsidP="00390661">
            <w:pPr>
              <w:jc w:val="both"/>
              <w:rPr>
                <w:rFonts w:cs="Arial"/>
                <w:szCs w:val="22"/>
                <w:lang w:eastAsia="it-IT"/>
              </w:rPr>
            </w:pPr>
            <w:r w:rsidRPr="0019790A">
              <w:rPr>
                <w:rFonts w:cs="Arial"/>
                <w:szCs w:val="22"/>
                <w:lang w:eastAsia="it-IT"/>
              </w:rPr>
              <w:t>Комунальне некомерційне підприємство «Жмеринська центральна районна лікарня» Жмеринської міської ради</w:t>
            </w:r>
          </w:p>
        </w:tc>
      </w:tr>
      <w:tr w:rsidR="001002EC" w:rsidRPr="0019790A" w14:paraId="0724DE62" w14:textId="77777777" w:rsidTr="00390661">
        <w:trPr>
          <w:jc w:val="right"/>
        </w:trPr>
        <w:tc>
          <w:tcPr>
            <w:tcW w:w="3423" w:type="dxa"/>
          </w:tcPr>
          <w:p w14:paraId="7317B591" w14:textId="77777777" w:rsidR="001002EC" w:rsidRPr="0019790A" w:rsidRDefault="001002EC" w:rsidP="0019790A">
            <w:pPr>
              <w:rPr>
                <w:rFonts w:cs="Arial"/>
                <w:b/>
                <w:bCs/>
                <w:szCs w:val="22"/>
              </w:rPr>
            </w:pPr>
            <w:r w:rsidRPr="0019790A">
              <w:rPr>
                <w:rFonts w:cs="Arial"/>
                <w:szCs w:val="22"/>
                <w:lang w:eastAsia="it-IT"/>
              </w:rPr>
              <w:t>Прізвище Ім’я По-батькові:</w:t>
            </w:r>
          </w:p>
        </w:tc>
        <w:tc>
          <w:tcPr>
            <w:tcW w:w="6796" w:type="dxa"/>
            <w:gridSpan w:val="8"/>
          </w:tcPr>
          <w:p w14:paraId="6F9D7881" w14:textId="77777777" w:rsidR="001002EC" w:rsidRPr="0019790A" w:rsidRDefault="001002EC" w:rsidP="0019790A">
            <w:pPr>
              <w:rPr>
                <w:rFonts w:cs="Arial"/>
                <w:szCs w:val="22"/>
                <w:lang w:eastAsia="it-IT"/>
              </w:rPr>
            </w:pPr>
            <w:r w:rsidRPr="0019790A">
              <w:rPr>
                <w:rFonts w:cs="Arial"/>
                <w:szCs w:val="22"/>
                <w:lang w:eastAsia="it-IT"/>
              </w:rPr>
              <w:t>Боровський Ростислав Васильович</w:t>
            </w:r>
          </w:p>
        </w:tc>
      </w:tr>
      <w:tr w:rsidR="001002EC" w:rsidRPr="0019790A" w14:paraId="6BF72714" w14:textId="77777777" w:rsidTr="00390661">
        <w:trPr>
          <w:jc w:val="right"/>
        </w:trPr>
        <w:tc>
          <w:tcPr>
            <w:tcW w:w="3423" w:type="dxa"/>
          </w:tcPr>
          <w:p w14:paraId="2C741046" w14:textId="77777777" w:rsidR="001002EC" w:rsidRPr="0019790A" w:rsidRDefault="001002EC" w:rsidP="0019790A">
            <w:pPr>
              <w:rPr>
                <w:rFonts w:cs="Arial"/>
                <w:b/>
                <w:bCs/>
                <w:szCs w:val="22"/>
              </w:rPr>
            </w:pPr>
            <w:r w:rsidRPr="0019790A">
              <w:rPr>
                <w:rFonts w:cs="Arial"/>
                <w:szCs w:val="22"/>
                <w:lang w:eastAsia="it-IT"/>
              </w:rPr>
              <w:t>Телефон (мобільний):</w:t>
            </w:r>
          </w:p>
        </w:tc>
        <w:tc>
          <w:tcPr>
            <w:tcW w:w="6796" w:type="dxa"/>
            <w:gridSpan w:val="8"/>
          </w:tcPr>
          <w:p w14:paraId="7BA10985" w14:textId="77777777" w:rsidR="001002EC" w:rsidRPr="0019790A" w:rsidRDefault="001002EC" w:rsidP="0019790A">
            <w:pPr>
              <w:rPr>
                <w:rFonts w:cs="Arial"/>
                <w:szCs w:val="22"/>
                <w:lang w:eastAsia="it-IT"/>
              </w:rPr>
            </w:pPr>
            <w:r w:rsidRPr="0019790A">
              <w:rPr>
                <w:rFonts w:cs="Arial"/>
                <w:szCs w:val="22"/>
                <w:lang w:eastAsia="it-IT"/>
              </w:rPr>
              <w:t>0978652320</w:t>
            </w:r>
          </w:p>
        </w:tc>
      </w:tr>
      <w:tr w:rsidR="001002EC" w:rsidRPr="0019790A" w14:paraId="0FAD6D4E" w14:textId="77777777" w:rsidTr="00390661">
        <w:trPr>
          <w:jc w:val="right"/>
        </w:trPr>
        <w:tc>
          <w:tcPr>
            <w:tcW w:w="3423" w:type="dxa"/>
          </w:tcPr>
          <w:p w14:paraId="03A31C89" w14:textId="77777777" w:rsidR="001002EC" w:rsidRPr="0019790A" w:rsidRDefault="001002EC" w:rsidP="0019790A">
            <w:pPr>
              <w:rPr>
                <w:rFonts w:cs="Arial"/>
                <w:b/>
                <w:bCs/>
                <w:szCs w:val="22"/>
              </w:rPr>
            </w:pPr>
            <w:r w:rsidRPr="0019790A">
              <w:rPr>
                <w:rFonts w:cs="Arial"/>
                <w:szCs w:val="22"/>
                <w:lang w:eastAsia="it-IT"/>
              </w:rPr>
              <w:t>Електронна адреса:</w:t>
            </w:r>
          </w:p>
        </w:tc>
        <w:tc>
          <w:tcPr>
            <w:tcW w:w="6796" w:type="dxa"/>
            <w:gridSpan w:val="8"/>
          </w:tcPr>
          <w:p w14:paraId="238A6766" w14:textId="77777777" w:rsidR="001002EC" w:rsidRPr="0019790A" w:rsidRDefault="001002EC" w:rsidP="0019790A">
            <w:pPr>
              <w:rPr>
                <w:rFonts w:cs="Arial"/>
                <w:szCs w:val="22"/>
                <w:lang w:eastAsia="it-IT"/>
              </w:rPr>
            </w:pPr>
            <w:r w:rsidRPr="0019790A">
              <w:rPr>
                <w:rFonts w:cs="Arial"/>
                <w:szCs w:val="22"/>
                <w:lang w:eastAsia="it-IT"/>
              </w:rPr>
              <w:t>zhcrl@ukr.net</w:t>
            </w:r>
          </w:p>
        </w:tc>
      </w:tr>
      <w:tr w:rsidR="001002EC" w:rsidRPr="0019790A" w14:paraId="24EE5425" w14:textId="77777777" w:rsidTr="00390661">
        <w:trPr>
          <w:jc w:val="right"/>
        </w:trPr>
        <w:tc>
          <w:tcPr>
            <w:tcW w:w="3423" w:type="dxa"/>
            <w:vAlign w:val="center"/>
          </w:tcPr>
          <w:p w14:paraId="0B46F420" w14:textId="3021D929" w:rsidR="001002EC" w:rsidRPr="0019790A" w:rsidRDefault="001002EC" w:rsidP="0019790A">
            <w:pPr>
              <w:pStyle w:val="6"/>
              <w:spacing w:before="0" w:after="0"/>
              <w:rPr>
                <w:rFonts w:ascii="Arial" w:hAnsi="Arial" w:cs="Arial"/>
                <w:color w:val="000000"/>
                <w:lang w:val="uk-UA"/>
              </w:rPr>
            </w:pPr>
            <w:r w:rsidRPr="0019790A">
              <w:rPr>
                <w:rFonts w:ascii="Arial" w:hAnsi="Arial" w:cs="Arial"/>
                <w:color w:val="000000"/>
                <w:lang w:val="uk-UA"/>
              </w:rPr>
              <w:t>Номер і назва завдання з Стратегії</w:t>
            </w:r>
            <w:r w:rsidRPr="0019790A">
              <w:rPr>
                <w:rFonts w:ascii="Arial" w:hAnsi="Arial" w:cs="Arial"/>
                <w:lang w:val="uk-UA" w:eastAsia="it-IT"/>
              </w:rPr>
              <w:t xml:space="preserve"> </w:t>
            </w:r>
            <w:r w:rsidRPr="0019790A">
              <w:rPr>
                <w:rFonts w:ascii="Arial" w:hAnsi="Arial" w:cs="Arial"/>
                <w:color w:val="000000"/>
                <w:lang w:val="uk-UA"/>
              </w:rPr>
              <w:t xml:space="preserve">розвитку Жмеринської міської територіальної громади,  якому відповідає </w:t>
            </w:r>
            <w:r w:rsidR="00314B9D">
              <w:rPr>
                <w:rFonts w:ascii="Arial" w:hAnsi="Arial" w:cs="Arial"/>
                <w:color w:val="000000"/>
                <w:lang w:val="uk-UA"/>
              </w:rPr>
              <w:t>проєкт</w:t>
            </w:r>
            <w:r w:rsidRPr="0019790A">
              <w:rPr>
                <w:rFonts w:ascii="Arial" w:hAnsi="Arial" w:cs="Arial"/>
                <w:color w:val="000000"/>
                <w:lang w:val="uk-UA"/>
              </w:rPr>
              <w:t>:</w:t>
            </w:r>
          </w:p>
        </w:tc>
        <w:tc>
          <w:tcPr>
            <w:tcW w:w="6796" w:type="dxa"/>
            <w:gridSpan w:val="8"/>
          </w:tcPr>
          <w:p w14:paraId="3C10183D" w14:textId="77777777" w:rsidR="001002EC" w:rsidRPr="0019790A" w:rsidRDefault="001002EC" w:rsidP="0019790A">
            <w:pPr>
              <w:pBdr>
                <w:left w:val="single" w:sz="18" w:space="4" w:color="auto"/>
              </w:pBdr>
              <w:rPr>
                <w:rFonts w:cs="Arial"/>
                <w:iCs/>
                <w:szCs w:val="22"/>
                <w:lang w:eastAsia="it-IT"/>
              </w:rPr>
            </w:pPr>
            <w:r w:rsidRPr="0019790A">
              <w:rPr>
                <w:rFonts w:cs="Arial"/>
                <w:iCs/>
                <w:szCs w:val="22"/>
                <w:lang w:eastAsia="it-IT"/>
              </w:rPr>
              <w:t>С.2.Забезпечення доступу до якісної системи охорони здоров’я</w:t>
            </w:r>
          </w:p>
          <w:p w14:paraId="507EA0DE" w14:textId="77777777" w:rsidR="001002EC" w:rsidRPr="0019790A" w:rsidRDefault="001002EC" w:rsidP="0019790A">
            <w:pPr>
              <w:pBdr>
                <w:left w:val="single" w:sz="18" w:space="4" w:color="auto"/>
              </w:pBdr>
              <w:rPr>
                <w:rFonts w:cs="Arial"/>
                <w:szCs w:val="22"/>
                <w:lang w:eastAsia="it-IT"/>
              </w:rPr>
            </w:pPr>
          </w:p>
        </w:tc>
      </w:tr>
      <w:tr w:rsidR="001002EC" w:rsidRPr="0019790A" w14:paraId="45D3A6A4" w14:textId="77777777" w:rsidTr="00390661">
        <w:trPr>
          <w:trHeight w:val="501"/>
          <w:jc w:val="right"/>
        </w:trPr>
        <w:tc>
          <w:tcPr>
            <w:tcW w:w="3423" w:type="dxa"/>
            <w:vAlign w:val="center"/>
          </w:tcPr>
          <w:p w14:paraId="661ECDB4" w14:textId="66146213" w:rsidR="001002EC" w:rsidRPr="0019790A" w:rsidRDefault="001002EC" w:rsidP="0019790A">
            <w:pPr>
              <w:rPr>
                <w:rFonts w:cs="Arial"/>
                <w:b/>
                <w:bCs/>
                <w:color w:val="000000"/>
                <w:szCs w:val="22"/>
              </w:rPr>
            </w:pPr>
            <w:r w:rsidRPr="0019790A">
              <w:rPr>
                <w:rFonts w:cs="Arial"/>
                <w:b/>
                <w:bCs/>
                <w:color w:val="000000"/>
                <w:szCs w:val="22"/>
              </w:rPr>
              <w:t xml:space="preserve">Мета </w:t>
            </w:r>
            <w:r w:rsidR="00314B9D">
              <w:rPr>
                <w:rFonts w:cs="Arial"/>
                <w:b/>
                <w:bCs/>
                <w:color w:val="000000"/>
                <w:szCs w:val="22"/>
              </w:rPr>
              <w:t>проєкту</w:t>
            </w:r>
            <w:r w:rsidRPr="0019790A">
              <w:rPr>
                <w:rFonts w:cs="Arial"/>
                <w:b/>
                <w:bCs/>
                <w:color w:val="000000"/>
                <w:szCs w:val="22"/>
              </w:rPr>
              <w:t>:</w:t>
            </w:r>
          </w:p>
        </w:tc>
        <w:tc>
          <w:tcPr>
            <w:tcW w:w="6796" w:type="dxa"/>
            <w:gridSpan w:val="8"/>
          </w:tcPr>
          <w:p w14:paraId="46C6706B" w14:textId="77777777" w:rsidR="001002EC" w:rsidRPr="0019790A" w:rsidRDefault="001002EC" w:rsidP="0019790A">
            <w:pPr>
              <w:rPr>
                <w:rFonts w:cs="Arial"/>
                <w:szCs w:val="22"/>
                <w:lang w:eastAsia="it-IT"/>
              </w:rPr>
            </w:pPr>
            <w:r w:rsidRPr="0019790A">
              <w:rPr>
                <w:rFonts w:cs="Arial"/>
                <w:szCs w:val="22"/>
                <w:lang w:eastAsia="it-IT"/>
              </w:rPr>
              <w:t>Створити сприятливі  умови  для перебування  пацієнтів в лікувальному закладі та роботи  персоналу, створити комфортне робоче місце для фахівця із супроводу ветеранів війни та демобілізованих осіб</w:t>
            </w:r>
          </w:p>
        </w:tc>
      </w:tr>
      <w:tr w:rsidR="001002EC" w:rsidRPr="0019790A" w14:paraId="5F3A9F17" w14:textId="77777777" w:rsidTr="00390661">
        <w:trPr>
          <w:jc w:val="right"/>
        </w:trPr>
        <w:tc>
          <w:tcPr>
            <w:tcW w:w="3423" w:type="dxa"/>
            <w:vAlign w:val="center"/>
          </w:tcPr>
          <w:p w14:paraId="63ACBF63" w14:textId="19E24A4E" w:rsidR="001002EC" w:rsidRPr="0019790A" w:rsidRDefault="001002EC" w:rsidP="0019790A">
            <w:pPr>
              <w:rPr>
                <w:rFonts w:cs="Arial"/>
                <w:b/>
                <w:bCs/>
                <w:color w:val="000000"/>
                <w:szCs w:val="22"/>
              </w:rPr>
            </w:pPr>
            <w:r w:rsidRPr="0019790A">
              <w:rPr>
                <w:rFonts w:cs="Arial"/>
                <w:b/>
                <w:bCs/>
                <w:color w:val="000000"/>
                <w:szCs w:val="22"/>
              </w:rPr>
              <w:t xml:space="preserve">Цілі </w:t>
            </w:r>
            <w:r w:rsidR="00314B9D">
              <w:rPr>
                <w:rFonts w:cs="Arial"/>
                <w:b/>
                <w:bCs/>
                <w:color w:val="000000"/>
                <w:szCs w:val="22"/>
              </w:rPr>
              <w:t>проєкту</w:t>
            </w:r>
            <w:r w:rsidRPr="0019790A">
              <w:rPr>
                <w:rFonts w:cs="Arial"/>
                <w:b/>
                <w:bCs/>
                <w:color w:val="000000"/>
                <w:szCs w:val="22"/>
              </w:rPr>
              <w:t>:</w:t>
            </w:r>
          </w:p>
        </w:tc>
        <w:tc>
          <w:tcPr>
            <w:tcW w:w="6796" w:type="dxa"/>
            <w:gridSpan w:val="8"/>
          </w:tcPr>
          <w:p w14:paraId="753722B0" w14:textId="77777777" w:rsidR="001002EC" w:rsidRPr="0019790A" w:rsidRDefault="001002EC" w:rsidP="0019790A">
            <w:pPr>
              <w:rPr>
                <w:rFonts w:cs="Arial"/>
                <w:szCs w:val="22"/>
                <w:lang w:eastAsia="it-IT"/>
              </w:rPr>
            </w:pPr>
            <w:r w:rsidRPr="0019790A">
              <w:rPr>
                <w:rFonts w:cs="Arial"/>
                <w:szCs w:val="22"/>
                <w:lang w:eastAsia="it-IT"/>
              </w:rPr>
              <w:t>Комфортне перебування  пацієнтів в лікувальному закладі, покращення умов праці персоналу , створення комфортного робочого місця для фахівця із супроводу ветеранів війни та демобілізованих осіб</w:t>
            </w:r>
          </w:p>
        </w:tc>
      </w:tr>
      <w:tr w:rsidR="001002EC" w:rsidRPr="0019790A" w14:paraId="655AB8E2" w14:textId="77777777" w:rsidTr="00390661">
        <w:trPr>
          <w:jc w:val="right"/>
        </w:trPr>
        <w:tc>
          <w:tcPr>
            <w:tcW w:w="3423" w:type="dxa"/>
            <w:vAlign w:val="center"/>
          </w:tcPr>
          <w:p w14:paraId="66F61796" w14:textId="6F977B78" w:rsidR="001002EC" w:rsidRPr="0019790A" w:rsidRDefault="001002EC" w:rsidP="0019790A">
            <w:pPr>
              <w:autoSpaceDE w:val="0"/>
              <w:autoSpaceDN w:val="0"/>
              <w:adjustRightInd w:val="0"/>
              <w:rPr>
                <w:rFonts w:cs="Arial"/>
                <w:b/>
                <w:color w:val="000000"/>
                <w:szCs w:val="22"/>
              </w:rPr>
            </w:pPr>
            <w:r w:rsidRPr="0019790A">
              <w:rPr>
                <w:rFonts w:cs="Arial"/>
                <w:b/>
                <w:color w:val="000000"/>
                <w:szCs w:val="22"/>
              </w:rPr>
              <w:t xml:space="preserve">Територія на яку </w:t>
            </w:r>
            <w:r w:rsidR="00314B9D">
              <w:rPr>
                <w:rFonts w:cs="Arial"/>
                <w:b/>
                <w:color w:val="000000"/>
                <w:szCs w:val="22"/>
              </w:rPr>
              <w:t>проєкт</w:t>
            </w:r>
            <w:r w:rsidRPr="0019790A">
              <w:rPr>
                <w:rFonts w:cs="Arial"/>
                <w:b/>
                <w:color w:val="000000"/>
                <w:szCs w:val="22"/>
              </w:rPr>
              <w:t xml:space="preserve"> матиме вплив:</w:t>
            </w:r>
          </w:p>
        </w:tc>
        <w:tc>
          <w:tcPr>
            <w:tcW w:w="6796" w:type="dxa"/>
            <w:gridSpan w:val="8"/>
          </w:tcPr>
          <w:p w14:paraId="09F3B45B" w14:textId="353D5544" w:rsidR="001002EC" w:rsidRPr="0019790A" w:rsidRDefault="001002EC" w:rsidP="0019790A">
            <w:pPr>
              <w:rPr>
                <w:rFonts w:cs="Arial"/>
                <w:szCs w:val="22"/>
                <w:lang w:eastAsia="it-IT"/>
              </w:rPr>
            </w:pPr>
            <w:r w:rsidRPr="0019790A">
              <w:rPr>
                <w:rFonts w:cs="Arial"/>
                <w:szCs w:val="22"/>
                <w:lang w:eastAsia="it-IT"/>
              </w:rPr>
              <w:t xml:space="preserve">Територія </w:t>
            </w:r>
            <w:r w:rsidR="00390661" w:rsidRPr="0019790A">
              <w:rPr>
                <w:rFonts w:cs="Arial"/>
                <w:szCs w:val="22"/>
                <w:lang w:eastAsia="it-IT"/>
              </w:rPr>
              <w:t>Жмеринської</w:t>
            </w:r>
            <w:r w:rsidRPr="0019790A">
              <w:rPr>
                <w:rFonts w:cs="Arial"/>
                <w:szCs w:val="22"/>
                <w:lang w:eastAsia="it-IT"/>
              </w:rPr>
              <w:t xml:space="preserve"> </w:t>
            </w:r>
            <w:r w:rsidR="00390661" w:rsidRPr="0019790A">
              <w:rPr>
                <w:rFonts w:cs="Arial"/>
                <w:szCs w:val="22"/>
                <w:lang w:eastAsia="it-IT"/>
              </w:rPr>
              <w:t>міської</w:t>
            </w:r>
            <w:r w:rsidRPr="0019790A">
              <w:rPr>
                <w:rFonts w:cs="Arial"/>
                <w:szCs w:val="22"/>
                <w:lang w:eastAsia="it-IT"/>
              </w:rPr>
              <w:t xml:space="preserve"> </w:t>
            </w:r>
            <w:r w:rsidR="00390661" w:rsidRPr="0019790A">
              <w:rPr>
                <w:rFonts w:cs="Arial"/>
                <w:szCs w:val="22"/>
                <w:lang w:eastAsia="it-IT"/>
              </w:rPr>
              <w:t>територіальної</w:t>
            </w:r>
            <w:r w:rsidRPr="0019790A">
              <w:rPr>
                <w:rFonts w:cs="Arial"/>
                <w:szCs w:val="22"/>
                <w:lang w:eastAsia="it-IT"/>
              </w:rPr>
              <w:t xml:space="preserve"> громади площею 530,5 кв.км.</w:t>
            </w:r>
          </w:p>
        </w:tc>
      </w:tr>
      <w:tr w:rsidR="001002EC" w:rsidRPr="0019790A" w14:paraId="150A03D1" w14:textId="77777777" w:rsidTr="00390661">
        <w:trPr>
          <w:jc w:val="right"/>
        </w:trPr>
        <w:tc>
          <w:tcPr>
            <w:tcW w:w="3423" w:type="dxa"/>
            <w:vAlign w:val="center"/>
          </w:tcPr>
          <w:p w14:paraId="6473AE49" w14:textId="77777777" w:rsidR="001002EC" w:rsidRPr="0019790A" w:rsidRDefault="001002EC" w:rsidP="0019790A">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6" w:type="dxa"/>
            <w:gridSpan w:val="8"/>
          </w:tcPr>
          <w:p w14:paraId="44F20DD8" w14:textId="77777777" w:rsidR="001002EC" w:rsidRPr="0019790A" w:rsidRDefault="001002EC" w:rsidP="0019790A">
            <w:pPr>
              <w:rPr>
                <w:rFonts w:cs="Arial"/>
                <w:szCs w:val="22"/>
                <w:lang w:eastAsia="it-IT"/>
              </w:rPr>
            </w:pPr>
            <w:r w:rsidRPr="0019790A">
              <w:rPr>
                <w:rFonts w:cs="Arial"/>
                <w:szCs w:val="22"/>
                <w:lang w:eastAsia="it-IT"/>
              </w:rPr>
              <w:t>170 тис.осіб дорослого та дитячого населення</w:t>
            </w:r>
          </w:p>
        </w:tc>
      </w:tr>
      <w:tr w:rsidR="001002EC" w:rsidRPr="0019790A" w14:paraId="4AA30C3A" w14:textId="77777777" w:rsidTr="00390661">
        <w:trPr>
          <w:jc w:val="right"/>
        </w:trPr>
        <w:tc>
          <w:tcPr>
            <w:tcW w:w="3423" w:type="dxa"/>
            <w:shd w:val="clear" w:color="auto" w:fill="FFFFFF"/>
            <w:vAlign w:val="center"/>
          </w:tcPr>
          <w:p w14:paraId="3C41356E" w14:textId="2A027A01" w:rsidR="001002EC" w:rsidRPr="0019790A" w:rsidRDefault="001002EC" w:rsidP="0019790A">
            <w:pPr>
              <w:rPr>
                <w:rFonts w:cs="Arial"/>
                <w:b/>
                <w:bCs/>
                <w:color w:val="000000"/>
                <w:szCs w:val="22"/>
              </w:rPr>
            </w:pPr>
            <w:r w:rsidRPr="0019790A">
              <w:rPr>
                <w:rFonts w:cs="Arial"/>
                <w:b/>
                <w:bCs/>
                <w:color w:val="000000"/>
                <w:szCs w:val="22"/>
              </w:rPr>
              <w:t xml:space="preserve">Стислий опис </w:t>
            </w:r>
            <w:r w:rsidR="00314B9D">
              <w:rPr>
                <w:rFonts w:cs="Arial"/>
                <w:b/>
                <w:bCs/>
                <w:color w:val="000000"/>
                <w:szCs w:val="22"/>
              </w:rPr>
              <w:t>проєкту</w:t>
            </w:r>
            <w:r w:rsidRPr="0019790A">
              <w:rPr>
                <w:rFonts w:cs="Arial"/>
                <w:b/>
                <w:bCs/>
                <w:color w:val="000000"/>
                <w:szCs w:val="22"/>
              </w:rPr>
              <w:t>:</w:t>
            </w:r>
          </w:p>
        </w:tc>
        <w:tc>
          <w:tcPr>
            <w:tcW w:w="6796" w:type="dxa"/>
            <w:gridSpan w:val="8"/>
          </w:tcPr>
          <w:p w14:paraId="2CAB81E5" w14:textId="77777777" w:rsidR="001002EC" w:rsidRPr="0019790A" w:rsidRDefault="001002EC" w:rsidP="0019790A">
            <w:pPr>
              <w:rPr>
                <w:rFonts w:cs="Arial"/>
                <w:szCs w:val="22"/>
                <w:lang w:eastAsia="it-IT"/>
              </w:rPr>
            </w:pPr>
            <w:r w:rsidRPr="0019790A">
              <w:rPr>
                <w:rFonts w:cs="Arial"/>
                <w:szCs w:val="22"/>
                <w:lang w:eastAsia="it-IT"/>
              </w:rPr>
              <w:t>Капітальний ремонт приміщення адміністрації</w:t>
            </w:r>
          </w:p>
        </w:tc>
      </w:tr>
      <w:tr w:rsidR="001002EC" w:rsidRPr="0019790A" w14:paraId="06D8F947" w14:textId="77777777" w:rsidTr="00390661">
        <w:trPr>
          <w:trHeight w:val="538"/>
          <w:jc w:val="right"/>
        </w:trPr>
        <w:tc>
          <w:tcPr>
            <w:tcW w:w="3423" w:type="dxa"/>
            <w:shd w:val="clear" w:color="auto" w:fill="FFFFFF"/>
            <w:vAlign w:val="center"/>
          </w:tcPr>
          <w:p w14:paraId="6C18E555" w14:textId="77777777" w:rsidR="001002EC" w:rsidRPr="0019790A" w:rsidRDefault="001002EC" w:rsidP="0019790A">
            <w:pPr>
              <w:rPr>
                <w:rFonts w:cs="Arial"/>
                <w:b/>
                <w:bCs/>
                <w:color w:val="000000"/>
                <w:szCs w:val="22"/>
              </w:rPr>
            </w:pPr>
            <w:r w:rsidRPr="0019790A">
              <w:rPr>
                <w:rFonts w:cs="Arial"/>
                <w:b/>
                <w:bCs/>
                <w:color w:val="000000"/>
                <w:szCs w:val="22"/>
              </w:rPr>
              <w:t>Основні заходи проєкту</w:t>
            </w:r>
          </w:p>
        </w:tc>
        <w:tc>
          <w:tcPr>
            <w:tcW w:w="6796" w:type="dxa"/>
            <w:gridSpan w:val="8"/>
            <w:shd w:val="clear" w:color="auto" w:fill="FFFFFF"/>
          </w:tcPr>
          <w:p w14:paraId="1222ED09" w14:textId="77777777" w:rsidR="001002EC" w:rsidRPr="0019790A" w:rsidRDefault="001002EC" w:rsidP="0019790A">
            <w:pPr>
              <w:rPr>
                <w:rFonts w:cs="Arial"/>
                <w:szCs w:val="22"/>
                <w:lang w:eastAsia="it-IT"/>
              </w:rPr>
            </w:pPr>
            <w:r w:rsidRPr="0019790A">
              <w:rPr>
                <w:rFonts w:cs="Arial"/>
                <w:szCs w:val="22"/>
                <w:lang w:eastAsia="it-IT"/>
              </w:rPr>
              <w:t>-створення робочої групи проєкту;</w:t>
            </w:r>
          </w:p>
          <w:p w14:paraId="60EC2F2F" w14:textId="77777777" w:rsidR="001002EC" w:rsidRPr="0019790A" w:rsidRDefault="001002EC" w:rsidP="0019790A">
            <w:pPr>
              <w:rPr>
                <w:rFonts w:cs="Arial"/>
                <w:szCs w:val="22"/>
                <w:lang w:eastAsia="it-IT"/>
              </w:rPr>
            </w:pPr>
            <w:r w:rsidRPr="0019790A">
              <w:rPr>
                <w:rFonts w:cs="Arial"/>
                <w:szCs w:val="22"/>
                <w:lang w:eastAsia="it-IT"/>
              </w:rPr>
              <w:t xml:space="preserve">- організація капітального ремонту </w:t>
            </w:r>
            <w:r w:rsidRPr="0019790A">
              <w:rPr>
                <w:rFonts w:cs="Arial"/>
                <w:szCs w:val="22"/>
              </w:rPr>
              <w:t xml:space="preserve"> будівлі адміністрації</w:t>
            </w:r>
            <w:r w:rsidRPr="0019790A">
              <w:rPr>
                <w:rFonts w:cs="Arial"/>
                <w:szCs w:val="22"/>
                <w:lang w:eastAsia="it-IT"/>
              </w:rPr>
              <w:t xml:space="preserve"> </w:t>
            </w:r>
          </w:p>
          <w:p w14:paraId="5FDB11C3" w14:textId="77777777" w:rsidR="001002EC" w:rsidRPr="0019790A" w:rsidRDefault="001002EC" w:rsidP="0019790A">
            <w:pPr>
              <w:rPr>
                <w:rFonts w:cs="Arial"/>
                <w:szCs w:val="22"/>
                <w:lang w:eastAsia="it-IT"/>
              </w:rPr>
            </w:pPr>
            <w:r w:rsidRPr="0019790A">
              <w:rPr>
                <w:rFonts w:cs="Arial"/>
                <w:szCs w:val="22"/>
                <w:lang w:eastAsia="it-IT"/>
              </w:rPr>
              <w:t>- здійснення капітального ремонту будівлі адміністрації</w:t>
            </w:r>
          </w:p>
          <w:p w14:paraId="6843A9E1" w14:textId="72835361" w:rsidR="001002EC" w:rsidRPr="0019790A" w:rsidRDefault="001002EC" w:rsidP="00390661">
            <w:pPr>
              <w:rPr>
                <w:rFonts w:cs="Arial"/>
                <w:szCs w:val="22"/>
                <w:lang w:eastAsia="it-IT"/>
              </w:rPr>
            </w:pPr>
            <w:r w:rsidRPr="0019790A">
              <w:rPr>
                <w:rFonts w:cs="Arial"/>
                <w:szCs w:val="22"/>
                <w:lang w:eastAsia="it-IT"/>
              </w:rPr>
              <w:t xml:space="preserve">- завершення виконання проєкту </w:t>
            </w:r>
          </w:p>
        </w:tc>
      </w:tr>
      <w:tr w:rsidR="001002EC" w:rsidRPr="0019790A" w14:paraId="1BC4F3CB" w14:textId="77777777" w:rsidTr="00390661">
        <w:trPr>
          <w:jc w:val="right"/>
        </w:trPr>
        <w:tc>
          <w:tcPr>
            <w:tcW w:w="3423" w:type="dxa"/>
            <w:shd w:val="clear" w:color="auto" w:fill="FFFFFF"/>
            <w:vAlign w:val="center"/>
          </w:tcPr>
          <w:p w14:paraId="4CDFD8C8" w14:textId="77777777" w:rsidR="001002EC" w:rsidRPr="0019790A" w:rsidRDefault="001002EC"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796" w:type="dxa"/>
            <w:gridSpan w:val="8"/>
          </w:tcPr>
          <w:p w14:paraId="428C4F24" w14:textId="77777777" w:rsidR="001002EC" w:rsidRPr="0019790A" w:rsidRDefault="001002EC" w:rsidP="0019790A">
            <w:pPr>
              <w:rPr>
                <w:rFonts w:cs="Arial"/>
                <w:szCs w:val="22"/>
                <w:lang w:eastAsia="it-IT"/>
              </w:rPr>
            </w:pPr>
            <w:r w:rsidRPr="0019790A">
              <w:rPr>
                <w:rFonts w:cs="Arial"/>
                <w:szCs w:val="22"/>
                <w:lang w:eastAsia="it-IT"/>
              </w:rPr>
              <w:t>Покращення умов перебування відвідувачів та працівників у закладі, створення комфортного робочого місця для фахівця із супроводу ветеранів війни та демобілізованих осіб, забезпечення комфортних умов перебування для осіб, які  потребуватимуть допомоги фахівця із супроводу ветеранів війни та демобілізованих осіб у кількості щонайменше  100 осіб</w:t>
            </w:r>
          </w:p>
        </w:tc>
      </w:tr>
      <w:tr w:rsidR="001002EC" w:rsidRPr="0019790A" w14:paraId="792A6268" w14:textId="77777777" w:rsidTr="00390661">
        <w:trPr>
          <w:jc w:val="right"/>
        </w:trPr>
        <w:tc>
          <w:tcPr>
            <w:tcW w:w="3423" w:type="dxa"/>
            <w:shd w:val="clear" w:color="auto" w:fill="FFFFFF"/>
            <w:vAlign w:val="center"/>
          </w:tcPr>
          <w:p w14:paraId="6DC972CF" w14:textId="77777777" w:rsidR="001002EC" w:rsidRPr="0019790A" w:rsidRDefault="001002EC" w:rsidP="0019790A">
            <w:pPr>
              <w:rPr>
                <w:rFonts w:cs="Arial"/>
                <w:b/>
                <w:color w:val="000000"/>
                <w:szCs w:val="22"/>
              </w:rPr>
            </w:pPr>
            <w:r w:rsidRPr="0019790A">
              <w:rPr>
                <w:rFonts w:cs="Arial"/>
                <w:b/>
                <w:color w:val="000000"/>
                <w:szCs w:val="22"/>
              </w:rPr>
              <w:t xml:space="preserve">Період здійснення: </w:t>
            </w:r>
          </w:p>
        </w:tc>
        <w:tc>
          <w:tcPr>
            <w:tcW w:w="6796" w:type="dxa"/>
            <w:gridSpan w:val="8"/>
            <w:vAlign w:val="center"/>
          </w:tcPr>
          <w:p w14:paraId="644654A6" w14:textId="77777777" w:rsidR="001002EC" w:rsidRPr="0019790A" w:rsidRDefault="001002EC" w:rsidP="0019790A">
            <w:pPr>
              <w:rPr>
                <w:rFonts w:cs="Arial"/>
                <w:color w:val="000000"/>
                <w:szCs w:val="22"/>
                <w:lang w:eastAsia="it-IT"/>
              </w:rPr>
            </w:pPr>
            <w:r w:rsidRPr="0019790A">
              <w:rPr>
                <w:rFonts w:cs="Arial"/>
                <w:b/>
                <w:color w:val="000000"/>
                <w:szCs w:val="22"/>
              </w:rPr>
              <w:t>2025 – 2028 роки:</w:t>
            </w:r>
          </w:p>
        </w:tc>
      </w:tr>
      <w:tr w:rsidR="001002EC" w:rsidRPr="0019790A" w14:paraId="4D842609" w14:textId="77777777" w:rsidTr="00390661">
        <w:trPr>
          <w:jc w:val="right"/>
        </w:trPr>
        <w:tc>
          <w:tcPr>
            <w:tcW w:w="3423" w:type="dxa"/>
            <w:vMerge w:val="restart"/>
            <w:shd w:val="clear" w:color="auto" w:fill="FFFFFF"/>
            <w:vAlign w:val="center"/>
          </w:tcPr>
          <w:p w14:paraId="6A0E2484" w14:textId="31759636" w:rsidR="001002EC" w:rsidRPr="0019790A" w:rsidRDefault="001002EC" w:rsidP="0019790A">
            <w:pPr>
              <w:rPr>
                <w:rFonts w:cs="Arial"/>
                <w:b/>
                <w:bCs/>
                <w:color w:val="000000"/>
                <w:szCs w:val="22"/>
              </w:rPr>
            </w:pPr>
            <w:r w:rsidRPr="0019790A">
              <w:rPr>
                <w:rFonts w:cs="Arial"/>
                <w:b/>
                <w:bCs/>
                <w:color w:val="000000"/>
                <w:szCs w:val="22"/>
              </w:rPr>
              <w:t xml:space="preserve">Орієнтовна вартість </w:t>
            </w:r>
            <w:r w:rsidR="00314B9D">
              <w:rPr>
                <w:rFonts w:cs="Arial"/>
                <w:b/>
                <w:bCs/>
                <w:color w:val="000000"/>
                <w:szCs w:val="22"/>
              </w:rPr>
              <w:t>проєкту</w:t>
            </w:r>
            <w:r w:rsidRPr="0019790A">
              <w:rPr>
                <w:rFonts w:cs="Arial"/>
                <w:b/>
                <w:bCs/>
                <w:color w:val="000000"/>
                <w:szCs w:val="22"/>
              </w:rPr>
              <w:t>, тис. грн. в тому числі:</w:t>
            </w:r>
          </w:p>
        </w:tc>
        <w:tc>
          <w:tcPr>
            <w:tcW w:w="1250" w:type="dxa"/>
            <w:shd w:val="clear" w:color="auto" w:fill="E6E6E6"/>
            <w:vAlign w:val="center"/>
          </w:tcPr>
          <w:p w14:paraId="3B9BDC28"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2025</w:t>
            </w:r>
          </w:p>
        </w:tc>
        <w:tc>
          <w:tcPr>
            <w:tcW w:w="1421" w:type="dxa"/>
            <w:shd w:val="clear" w:color="auto" w:fill="E6E6E6"/>
            <w:vAlign w:val="center"/>
          </w:tcPr>
          <w:p w14:paraId="6559BC33"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2026</w:t>
            </w:r>
          </w:p>
        </w:tc>
        <w:tc>
          <w:tcPr>
            <w:tcW w:w="1414" w:type="dxa"/>
            <w:gridSpan w:val="3"/>
            <w:tcBorders>
              <w:bottom w:val="single" w:sz="4" w:space="0" w:color="auto"/>
            </w:tcBorders>
            <w:shd w:val="clear" w:color="auto" w:fill="E6E6E6"/>
            <w:vAlign w:val="center"/>
          </w:tcPr>
          <w:p w14:paraId="3E95F048"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2027</w:t>
            </w:r>
          </w:p>
        </w:tc>
        <w:tc>
          <w:tcPr>
            <w:tcW w:w="1276" w:type="dxa"/>
            <w:shd w:val="clear" w:color="auto" w:fill="E6E6E6"/>
            <w:vAlign w:val="center"/>
          </w:tcPr>
          <w:p w14:paraId="192FC862"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2028</w:t>
            </w:r>
          </w:p>
        </w:tc>
        <w:tc>
          <w:tcPr>
            <w:tcW w:w="1435" w:type="dxa"/>
            <w:gridSpan w:val="2"/>
            <w:shd w:val="clear" w:color="auto" w:fill="E6E6E6"/>
            <w:vAlign w:val="center"/>
          </w:tcPr>
          <w:p w14:paraId="5927235A"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Разом</w:t>
            </w:r>
          </w:p>
        </w:tc>
      </w:tr>
      <w:tr w:rsidR="001002EC" w:rsidRPr="0019790A" w14:paraId="0C787281" w14:textId="77777777" w:rsidTr="00390661">
        <w:trPr>
          <w:jc w:val="right"/>
        </w:trPr>
        <w:tc>
          <w:tcPr>
            <w:tcW w:w="3423" w:type="dxa"/>
            <w:vMerge/>
            <w:shd w:val="clear" w:color="auto" w:fill="FFFFFF"/>
            <w:vAlign w:val="center"/>
          </w:tcPr>
          <w:p w14:paraId="61B40826" w14:textId="77777777" w:rsidR="001002EC" w:rsidRPr="0019790A" w:rsidRDefault="001002EC" w:rsidP="0019790A">
            <w:pPr>
              <w:rPr>
                <w:rFonts w:cs="Arial"/>
                <w:b/>
                <w:bCs/>
                <w:color w:val="000000"/>
                <w:szCs w:val="22"/>
              </w:rPr>
            </w:pPr>
          </w:p>
        </w:tc>
        <w:tc>
          <w:tcPr>
            <w:tcW w:w="1250" w:type="dxa"/>
            <w:vAlign w:val="center"/>
          </w:tcPr>
          <w:p w14:paraId="52A994B0"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7024,662</w:t>
            </w:r>
          </w:p>
        </w:tc>
        <w:tc>
          <w:tcPr>
            <w:tcW w:w="1421" w:type="dxa"/>
            <w:shd w:val="clear" w:color="auto" w:fill="FFFFFF"/>
            <w:vAlign w:val="center"/>
          </w:tcPr>
          <w:p w14:paraId="4EB9F994" w14:textId="77777777" w:rsidR="001002EC" w:rsidRPr="0019790A" w:rsidRDefault="001002EC" w:rsidP="0019790A">
            <w:pPr>
              <w:jc w:val="center"/>
              <w:rPr>
                <w:rFonts w:cs="Arial"/>
                <w:b/>
                <w:color w:val="000000"/>
                <w:szCs w:val="22"/>
                <w:lang w:eastAsia="it-IT"/>
              </w:rPr>
            </w:pPr>
          </w:p>
        </w:tc>
        <w:tc>
          <w:tcPr>
            <w:tcW w:w="1414" w:type="dxa"/>
            <w:gridSpan w:val="3"/>
            <w:shd w:val="clear" w:color="auto" w:fill="auto"/>
            <w:vAlign w:val="center"/>
          </w:tcPr>
          <w:p w14:paraId="4FA89435" w14:textId="77777777" w:rsidR="001002EC" w:rsidRPr="0019790A" w:rsidRDefault="001002EC" w:rsidP="0019790A">
            <w:pPr>
              <w:jc w:val="center"/>
              <w:rPr>
                <w:rFonts w:cs="Arial"/>
                <w:b/>
                <w:color w:val="000000"/>
                <w:szCs w:val="22"/>
                <w:lang w:eastAsia="it-IT"/>
              </w:rPr>
            </w:pPr>
          </w:p>
        </w:tc>
        <w:tc>
          <w:tcPr>
            <w:tcW w:w="1276" w:type="dxa"/>
            <w:shd w:val="clear" w:color="auto" w:fill="FFFFFF"/>
            <w:vAlign w:val="center"/>
          </w:tcPr>
          <w:p w14:paraId="114A8F3F" w14:textId="77777777" w:rsidR="001002EC" w:rsidRPr="0019790A" w:rsidRDefault="001002EC" w:rsidP="0019790A">
            <w:pPr>
              <w:jc w:val="center"/>
              <w:rPr>
                <w:rFonts w:cs="Arial"/>
                <w:b/>
                <w:color w:val="000000"/>
                <w:szCs w:val="22"/>
                <w:lang w:eastAsia="it-IT"/>
              </w:rPr>
            </w:pPr>
          </w:p>
        </w:tc>
        <w:tc>
          <w:tcPr>
            <w:tcW w:w="1435" w:type="dxa"/>
            <w:gridSpan w:val="2"/>
            <w:shd w:val="clear" w:color="auto" w:fill="FFFFFF"/>
            <w:vAlign w:val="center"/>
          </w:tcPr>
          <w:p w14:paraId="74661D21"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7024,662</w:t>
            </w:r>
          </w:p>
        </w:tc>
      </w:tr>
      <w:tr w:rsidR="001002EC" w:rsidRPr="0019790A" w14:paraId="47F96389" w14:textId="77777777" w:rsidTr="00390661">
        <w:trPr>
          <w:trHeight w:val="243"/>
          <w:jc w:val="right"/>
        </w:trPr>
        <w:tc>
          <w:tcPr>
            <w:tcW w:w="3423" w:type="dxa"/>
            <w:shd w:val="clear" w:color="auto" w:fill="FFFFFF"/>
            <w:vAlign w:val="center"/>
          </w:tcPr>
          <w:p w14:paraId="7A0A57E6" w14:textId="2E298719" w:rsidR="001002EC" w:rsidRPr="0019790A" w:rsidRDefault="001002EC" w:rsidP="00390661">
            <w:pPr>
              <w:rPr>
                <w:rFonts w:cs="Arial"/>
                <w:b/>
                <w:bCs/>
                <w:color w:val="000000"/>
                <w:szCs w:val="22"/>
              </w:rPr>
            </w:pPr>
            <w:r w:rsidRPr="0019790A">
              <w:rPr>
                <w:rFonts w:cs="Arial"/>
                <w:b/>
                <w:bCs/>
                <w:color w:val="000000"/>
                <w:szCs w:val="22"/>
              </w:rPr>
              <w:t xml:space="preserve"> по джерелах фінансування:</w:t>
            </w:r>
          </w:p>
        </w:tc>
        <w:tc>
          <w:tcPr>
            <w:tcW w:w="6796" w:type="dxa"/>
            <w:gridSpan w:val="8"/>
            <w:vAlign w:val="center"/>
          </w:tcPr>
          <w:p w14:paraId="614C522D" w14:textId="77777777" w:rsidR="001002EC" w:rsidRPr="0019790A" w:rsidRDefault="001002EC" w:rsidP="0019790A">
            <w:pPr>
              <w:jc w:val="both"/>
              <w:rPr>
                <w:rFonts w:cs="Arial"/>
                <w:color w:val="000000"/>
                <w:szCs w:val="22"/>
                <w:lang w:eastAsia="it-IT"/>
              </w:rPr>
            </w:pPr>
          </w:p>
        </w:tc>
      </w:tr>
      <w:tr w:rsidR="00390661" w:rsidRPr="0019790A" w14:paraId="607D0FFB" w14:textId="4D0EFDF3" w:rsidTr="00390661">
        <w:trPr>
          <w:trHeight w:val="250"/>
          <w:jc w:val="right"/>
        </w:trPr>
        <w:tc>
          <w:tcPr>
            <w:tcW w:w="3423" w:type="dxa"/>
            <w:shd w:val="clear" w:color="auto" w:fill="FFFFFF"/>
            <w:vAlign w:val="center"/>
          </w:tcPr>
          <w:p w14:paraId="37F92371" w14:textId="5E271EC5" w:rsidR="00390661" w:rsidRPr="0019790A" w:rsidRDefault="00390661" w:rsidP="0019790A">
            <w:pPr>
              <w:rPr>
                <w:rFonts w:cs="Arial"/>
                <w:b/>
                <w:bCs/>
                <w:color w:val="000000"/>
                <w:szCs w:val="22"/>
              </w:rPr>
            </w:pPr>
            <w:r>
              <w:rPr>
                <w:rFonts w:cs="Arial"/>
                <w:color w:val="000000"/>
                <w:szCs w:val="22"/>
              </w:rPr>
              <w:t>-</w:t>
            </w:r>
            <w:r w:rsidRPr="0019790A">
              <w:rPr>
                <w:rFonts w:cs="Arial"/>
                <w:color w:val="000000"/>
                <w:szCs w:val="22"/>
              </w:rPr>
              <w:t>державний бюджет;</w:t>
            </w:r>
          </w:p>
        </w:tc>
        <w:tc>
          <w:tcPr>
            <w:tcW w:w="1250" w:type="dxa"/>
            <w:vAlign w:val="center"/>
          </w:tcPr>
          <w:p w14:paraId="6BD188E1" w14:textId="77777777" w:rsidR="00390661" w:rsidRPr="0019790A" w:rsidRDefault="00390661" w:rsidP="0019790A">
            <w:pPr>
              <w:jc w:val="both"/>
              <w:rPr>
                <w:rFonts w:cs="Arial"/>
                <w:color w:val="000000"/>
                <w:szCs w:val="22"/>
                <w:lang w:eastAsia="it-IT"/>
              </w:rPr>
            </w:pPr>
          </w:p>
        </w:tc>
        <w:tc>
          <w:tcPr>
            <w:tcW w:w="1507" w:type="dxa"/>
            <w:gridSpan w:val="3"/>
            <w:vAlign w:val="center"/>
          </w:tcPr>
          <w:p w14:paraId="39557680" w14:textId="77777777" w:rsidR="00390661" w:rsidRPr="0019790A" w:rsidRDefault="00390661" w:rsidP="0019790A">
            <w:pPr>
              <w:jc w:val="both"/>
              <w:rPr>
                <w:rFonts w:cs="Arial"/>
                <w:color w:val="000000"/>
                <w:szCs w:val="22"/>
                <w:lang w:eastAsia="it-IT"/>
              </w:rPr>
            </w:pPr>
          </w:p>
        </w:tc>
        <w:tc>
          <w:tcPr>
            <w:tcW w:w="1328" w:type="dxa"/>
            <w:vAlign w:val="center"/>
          </w:tcPr>
          <w:p w14:paraId="6345625A" w14:textId="77777777" w:rsidR="00390661" w:rsidRPr="0019790A" w:rsidRDefault="00390661" w:rsidP="0019790A">
            <w:pPr>
              <w:jc w:val="both"/>
              <w:rPr>
                <w:rFonts w:cs="Arial"/>
                <w:color w:val="000000"/>
                <w:szCs w:val="22"/>
                <w:lang w:eastAsia="it-IT"/>
              </w:rPr>
            </w:pPr>
          </w:p>
        </w:tc>
        <w:tc>
          <w:tcPr>
            <w:tcW w:w="1276" w:type="dxa"/>
            <w:vAlign w:val="center"/>
          </w:tcPr>
          <w:p w14:paraId="52BFCC61" w14:textId="77777777" w:rsidR="00390661" w:rsidRPr="0019790A" w:rsidRDefault="00390661" w:rsidP="0019790A">
            <w:pPr>
              <w:jc w:val="both"/>
              <w:rPr>
                <w:rFonts w:cs="Arial"/>
                <w:color w:val="000000"/>
                <w:szCs w:val="22"/>
                <w:lang w:eastAsia="it-IT"/>
              </w:rPr>
            </w:pPr>
          </w:p>
        </w:tc>
        <w:tc>
          <w:tcPr>
            <w:tcW w:w="1435" w:type="dxa"/>
            <w:gridSpan w:val="2"/>
            <w:vAlign w:val="center"/>
          </w:tcPr>
          <w:p w14:paraId="5331265F" w14:textId="77777777" w:rsidR="00390661" w:rsidRPr="0019790A" w:rsidRDefault="00390661" w:rsidP="0019790A">
            <w:pPr>
              <w:jc w:val="both"/>
              <w:rPr>
                <w:rFonts w:cs="Arial"/>
                <w:color w:val="000000"/>
                <w:szCs w:val="22"/>
                <w:lang w:eastAsia="it-IT"/>
              </w:rPr>
            </w:pPr>
          </w:p>
        </w:tc>
      </w:tr>
      <w:tr w:rsidR="00390661" w:rsidRPr="0019790A" w14:paraId="7BAF4A2F" w14:textId="498443A7" w:rsidTr="00390661">
        <w:trPr>
          <w:gridAfter w:val="1"/>
          <w:wAfter w:w="18" w:type="dxa"/>
          <w:trHeight w:val="225"/>
          <w:jc w:val="right"/>
        </w:trPr>
        <w:tc>
          <w:tcPr>
            <w:tcW w:w="3423" w:type="dxa"/>
            <w:shd w:val="clear" w:color="auto" w:fill="FFFFFF"/>
            <w:vAlign w:val="center"/>
          </w:tcPr>
          <w:p w14:paraId="456C5AC8" w14:textId="77777777" w:rsidR="00390661" w:rsidRPr="0019790A" w:rsidRDefault="00390661" w:rsidP="0019790A">
            <w:pPr>
              <w:rPr>
                <w:rFonts w:cs="Arial"/>
                <w:b/>
                <w:bCs/>
                <w:color w:val="000000"/>
                <w:szCs w:val="22"/>
              </w:rPr>
            </w:pPr>
            <w:r w:rsidRPr="0019790A">
              <w:rPr>
                <w:rFonts w:cs="Arial"/>
                <w:color w:val="000000"/>
                <w:szCs w:val="22"/>
              </w:rPr>
              <w:t>-обласний бюджет;</w:t>
            </w:r>
          </w:p>
        </w:tc>
        <w:tc>
          <w:tcPr>
            <w:tcW w:w="1250" w:type="dxa"/>
            <w:vAlign w:val="center"/>
          </w:tcPr>
          <w:p w14:paraId="68E38697" w14:textId="77777777" w:rsidR="00390661" w:rsidRPr="0019790A" w:rsidRDefault="00390661" w:rsidP="0019790A">
            <w:pPr>
              <w:jc w:val="both"/>
              <w:rPr>
                <w:rFonts w:cs="Arial"/>
                <w:color w:val="000000"/>
                <w:szCs w:val="22"/>
                <w:lang w:eastAsia="it-IT"/>
              </w:rPr>
            </w:pPr>
          </w:p>
        </w:tc>
        <w:tc>
          <w:tcPr>
            <w:tcW w:w="1493" w:type="dxa"/>
            <w:gridSpan w:val="2"/>
            <w:vAlign w:val="center"/>
          </w:tcPr>
          <w:p w14:paraId="18D0AE8A" w14:textId="77777777" w:rsidR="00390661" w:rsidRPr="0019790A" w:rsidRDefault="00390661" w:rsidP="0019790A">
            <w:pPr>
              <w:jc w:val="both"/>
              <w:rPr>
                <w:rFonts w:cs="Arial"/>
                <w:color w:val="000000"/>
                <w:szCs w:val="22"/>
                <w:lang w:eastAsia="it-IT"/>
              </w:rPr>
            </w:pPr>
          </w:p>
        </w:tc>
        <w:tc>
          <w:tcPr>
            <w:tcW w:w="1342" w:type="dxa"/>
            <w:gridSpan w:val="2"/>
            <w:vAlign w:val="center"/>
          </w:tcPr>
          <w:p w14:paraId="45C8F689" w14:textId="77777777" w:rsidR="00390661" w:rsidRPr="0019790A" w:rsidRDefault="00390661" w:rsidP="0019790A">
            <w:pPr>
              <w:jc w:val="both"/>
              <w:rPr>
                <w:rFonts w:cs="Arial"/>
                <w:color w:val="000000"/>
                <w:szCs w:val="22"/>
                <w:lang w:eastAsia="it-IT"/>
              </w:rPr>
            </w:pPr>
          </w:p>
        </w:tc>
        <w:tc>
          <w:tcPr>
            <w:tcW w:w="1276" w:type="dxa"/>
            <w:vAlign w:val="center"/>
          </w:tcPr>
          <w:p w14:paraId="417603E5" w14:textId="77777777" w:rsidR="00390661" w:rsidRPr="0019790A" w:rsidRDefault="00390661" w:rsidP="0019790A">
            <w:pPr>
              <w:jc w:val="both"/>
              <w:rPr>
                <w:rFonts w:cs="Arial"/>
                <w:color w:val="000000"/>
                <w:szCs w:val="22"/>
                <w:lang w:eastAsia="it-IT"/>
              </w:rPr>
            </w:pPr>
          </w:p>
        </w:tc>
        <w:tc>
          <w:tcPr>
            <w:tcW w:w="1417" w:type="dxa"/>
            <w:vAlign w:val="center"/>
          </w:tcPr>
          <w:p w14:paraId="72243315" w14:textId="4C018986" w:rsidR="00390661" w:rsidRPr="0019790A" w:rsidRDefault="00390661" w:rsidP="0019790A">
            <w:pPr>
              <w:jc w:val="both"/>
              <w:rPr>
                <w:rFonts w:cs="Arial"/>
                <w:color w:val="000000"/>
                <w:szCs w:val="22"/>
                <w:lang w:eastAsia="it-IT"/>
              </w:rPr>
            </w:pPr>
          </w:p>
        </w:tc>
      </w:tr>
      <w:tr w:rsidR="00390661" w:rsidRPr="0019790A" w14:paraId="3D5D0196" w14:textId="36D0937B" w:rsidTr="00390661">
        <w:trPr>
          <w:trHeight w:val="165"/>
          <w:jc w:val="right"/>
        </w:trPr>
        <w:tc>
          <w:tcPr>
            <w:tcW w:w="3423" w:type="dxa"/>
            <w:shd w:val="clear" w:color="auto" w:fill="FFFFFF"/>
            <w:vAlign w:val="center"/>
          </w:tcPr>
          <w:p w14:paraId="0EBDEC88" w14:textId="77777777" w:rsidR="00390661" w:rsidRPr="0019790A" w:rsidRDefault="00390661" w:rsidP="0019790A">
            <w:pPr>
              <w:rPr>
                <w:rFonts w:cs="Arial"/>
                <w:color w:val="000000"/>
                <w:szCs w:val="22"/>
              </w:rPr>
            </w:pPr>
            <w:r w:rsidRPr="0019790A">
              <w:rPr>
                <w:rFonts w:cs="Arial"/>
                <w:color w:val="000000"/>
                <w:szCs w:val="22"/>
              </w:rPr>
              <w:t>-бюджет Жмеринської МТГ;</w:t>
            </w:r>
          </w:p>
        </w:tc>
        <w:tc>
          <w:tcPr>
            <w:tcW w:w="1250" w:type="dxa"/>
            <w:vAlign w:val="center"/>
          </w:tcPr>
          <w:p w14:paraId="2727CFD6" w14:textId="45D5C961" w:rsidR="00390661" w:rsidRPr="0019790A" w:rsidRDefault="00390661" w:rsidP="00390661">
            <w:pPr>
              <w:jc w:val="center"/>
              <w:rPr>
                <w:rFonts w:cs="Arial"/>
                <w:color w:val="000000"/>
                <w:szCs w:val="22"/>
                <w:lang w:eastAsia="it-IT"/>
              </w:rPr>
            </w:pPr>
            <w:r w:rsidRPr="0019790A">
              <w:rPr>
                <w:rFonts w:cs="Arial"/>
                <w:color w:val="000000"/>
                <w:szCs w:val="22"/>
                <w:lang w:eastAsia="it-IT"/>
              </w:rPr>
              <w:t>7024,662</w:t>
            </w:r>
          </w:p>
        </w:tc>
        <w:tc>
          <w:tcPr>
            <w:tcW w:w="1493" w:type="dxa"/>
            <w:gridSpan w:val="2"/>
            <w:vAlign w:val="center"/>
          </w:tcPr>
          <w:p w14:paraId="1E0013D1" w14:textId="77777777" w:rsidR="00390661" w:rsidRPr="0019790A" w:rsidRDefault="00390661" w:rsidP="00390661">
            <w:pPr>
              <w:jc w:val="both"/>
              <w:rPr>
                <w:rFonts w:cs="Arial"/>
                <w:color w:val="000000"/>
                <w:szCs w:val="22"/>
                <w:lang w:eastAsia="it-IT"/>
              </w:rPr>
            </w:pPr>
          </w:p>
        </w:tc>
        <w:tc>
          <w:tcPr>
            <w:tcW w:w="1342" w:type="dxa"/>
            <w:gridSpan w:val="2"/>
            <w:vAlign w:val="center"/>
          </w:tcPr>
          <w:p w14:paraId="4F7DAFB2" w14:textId="77777777" w:rsidR="00390661" w:rsidRPr="0019790A" w:rsidRDefault="00390661" w:rsidP="00390661">
            <w:pPr>
              <w:jc w:val="both"/>
              <w:rPr>
                <w:rFonts w:cs="Arial"/>
                <w:color w:val="000000"/>
                <w:szCs w:val="22"/>
                <w:lang w:eastAsia="it-IT"/>
              </w:rPr>
            </w:pPr>
          </w:p>
        </w:tc>
        <w:tc>
          <w:tcPr>
            <w:tcW w:w="1276" w:type="dxa"/>
            <w:vAlign w:val="center"/>
          </w:tcPr>
          <w:p w14:paraId="17953059" w14:textId="77777777" w:rsidR="00390661" w:rsidRPr="0019790A" w:rsidRDefault="00390661" w:rsidP="00390661">
            <w:pPr>
              <w:jc w:val="both"/>
              <w:rPr>
                <w:rFonts w:cs="Arial"/>
                <w:color w:val="000000"/>
                <w:szCs w:val="22"/>
                <w:lang w:eastAsia="it-IT"/>
              </w:rPr>
            </w:pPr>
          </w:p>
        </w:tc>
        <w:tc>
          <w:tcPr>
            <w:tcW w:w="1435" w:type="dxa"/>
            <w:gridSpan w:val="2"/>
            <w:vAlign w:val="center"/>
          </w:tcPr>
          <w:p w14:paraId="7AB69CCA" w14:textId="734144BB" w:rsidR="00390661" w:rsidRPr="00390661" w:rsidRDefault="00390661" w:rsidP="00390661">
            <w:pPr>
              <w:jc w:val="center"/>
              <w:rPr>
                <w:rFonts w:cs="Arial"/>
                <w:b/>
                <w:color w:val="000000"/>
                <w:szCs w:val="22"/>
                <w:lang w:eastAsia="it-IT"/>
              </w:rPr>
            </w:pPr>
            <w:r w:rsidRPr="00390661">
              <w:rPr>
                <w:rFonts w:cs="Arial"/>
                <w:b/>
                <w:color w:val="000000"/>
                <w:szCs w:val="22"/>
                <w:lang w:eastAsia="it-IT"/>
              </w:rPr>
              <w:t>7024,662</w:t>
            </w:r>
          </w:p>
        </w:tc>
      </w:tr>
      <w:tr w:rsidR="00390661" w:rsidRPr="0019790A" w14:paraId="7D54FE09" w14:textId="04B695DD" w:rsidTr="00390661">
        <w:trPr>
          <w:trHeight w:val="330"/>
          <w:jc w:val="right"/>
        </w:trPr>
        <w:tc>
          <w:tcPr>
            <w:tcW w:w="3423" w:type="dxa"/>
            <w:shd w:val="clear" w:color="auto" w:fill="FFFFFF"/>
            <w:vAlign w:val="center"/>
          </w:tcPr>
          <w:p w14:paraId="34129DDA" w14:textId="77777777" w:rsidR="00390661" w:rsidRPr="0019790A" w:rsidRDefault="00390661" w:rsidP="0019790A">
            <w:pPr>
              <w:rPr>
                <w:rFonts w:cs="Arial"/>
                <w:color w:val="000000"/>
                <w:szCs w:val="22"/>
              </w:rPr>
            </w:pPr>
            <w:r w:rsidRPr="0019790A">
              <w:rPr>
                <w:rFonts w:cs="Arial"/>
                <w:color w:val="000000"/>
                <w:szCs w:val="22"/>
              </w:rPr>
              <w:t>-інші джерела фінансування.</w:t>
            </w:r>
          </w:p>
        </w:tc>
        <w:tc>
          <w:tcPr>
            <w:tcW w:w="1250" w:type="dxa"/>
            <w:vAlign w:val="center"/>
          </w:tcPr>
          <w:p w14:paraId="493E7D2D" w14:textId="77777777" w:rsidR="00390661" w:rsidRPr="0019790A" w:rsidRDefault="00390661" w:rsidP="0019790A">
            <w:pPr>
              <w:jc w:val="both"/>
              <w:rPr>
                <w:rFonts w:cs="Arial"/>
                <w:color w:val="000000"/>
                <w:szCs w:val="22"/>
                <w:lang w:eastAsia="it-IT"/>
              </w:rPr>
            </w:pPr>
          </w:p>
        </w:tc>
        <w:tc>
          <w:tcPr>
            <w:tcW w:w="1493" w:type="dxa"/>
            <w:gridSpan w:val="2"/>
            <w:vAlign w:val="center"/>
          </w:tcPr>
          <w:p w14:paraId="51E7912F" w14:textId="77777777" w:rsidR="00390661" w:rsidRPr="0019790A" w:rsidRDefault="00390661" w:rsidP="0019790A">
            <w:pPr>
              <w:jc w:val="both"/>
              <w:rPr>
                <w:rFonts w:cs="Arial"/>
                <w:color w:val="000000"/>
                <w:szCs w:val="22"/>
                <w:lang w:eastAsia="it-IT"/>
              </w:rPr>
            </w:pPr>
          </w:p>
        </w:tc>
        <w:tc>
          <w:tcPr>
            <w:tcW w:w="1342" w:type="dxa"/>
            <w:gridSpan w:val="2"/>
            <w:vAlign w:val="center"/>
          </w:tcPr>
          <w:p w14:paraId="4D24ECB1" w14:textId="77777777" w:rsidR="00390661" w:rsidRPr="0019790A" w:rsidRDefault="00390661" w:rsidP="0019790A">
            <w:pPr>
              <w:jc w:val="both"/>
              <w:rPr>
                <w:rFonts w:cs="Arial"/>
                <w:color w:val="000000"/>
                <w:szCs w:val="22"/>
                <w:lang w:eastAsia="it-IT"/>
              </w:rPr>
            </w:pPr>
          </w:p>
        </w:tc>
        <w:tc>
          <w:tcPr>
            <w:tcW w:w="1276" w:type="dxa"/>
            <w:vAlign w:val="center"/>
          </w:tcPr>
          <w:p w14:paraId="44D6A7E5" w14:textId="77777777" w:rsidR="00390661" w:rsidRPr="0019790A" w:rsidRDefault="00390661" w:rsidP="0019790A">
            <w:pPr>
              <w:jc w:val="both"/>
              <w:rPr>
                <w:rFonts w:cs="Arial"/>
                <w:color w:val="000000"/>
                <w:szCs w:val="22"/>
                <w:lang w:eastAsia="it-IT"/>
              </w:rPr>
            </w:pPr>
          </w:p>
        </w:tc>
        <w:tc>
          <w:tcPr>
            <w:tcW w:w="1435" w:type="dxa"/>
            <w:gridSpan w:val="2"/>
            <w:vAlign w:val="center"/>
          </w:tcPr>
          <w:p w14:paraId="6B9FFEF9" w14:textId="77777777" w:rsidR="00390661" w:rsidRPr="0019790A" w:rsidRDefault="00390661" w:rsidP="0019790A">
            <w:pPr>
              <w:jc w:val="both"/>
              <w:rPr>
                <w:rFonts w:cs="Arial"/>
                <w:color w:val="000000"/>
                <w:szCs w:val="22"/>
                <w:lang w:eastAsia="it-IT"/>
              </w:rPr>
            </w:pPr>
          </w:p>
        </w:tc>
      </w:tr>
      <w:tr w:rsidR="001002EC" w:rsidRPr="0019790A" w14:paraId="54B4B7A6" w14:textId="77777777" w:rsidTr="00390661">
        <w:trPr>
          <w:jc w:val="right"/>
        </w:trPr>
        <w:tc>
          <w:tcPr>
            <w:tcW w:w="3423" w:type="dxa"/>
            <w:shd w:val="clear" w:color="auto" w:fill="FFFFFF"/>
            <w:vAlign w:val="center"/>
          </w:tcPr>
          <w:p w14:paraId="40A2A58B" w14:textId="1C7C8E15" w:rsidR="001002EC" w:rsidRPr="0019790A" w:rsidRDefault="001002EC" w:rsidP="0019790A">
            <w:pPr>
              <w:rPr>
                <w:rFonts w:cs="Arial"/>
                <w:b/>
                <w:bCs/>
                <w:color w:val="000000"/>
                <w:szCs w:val="22"/>
              </w:rPr>
            </w:pPr>
            <w:r w:rsidRPr="0019790A">
              <w:rPr>
                <w:rFonts w:cs="Arial"/>
                <w:b/>
                <w:color w:val="000000"/>
                <w:szCs w:val="22"/>
              </w:rPr>
              <w:t xml:space="preserve">Ключові потенційні учасники реалізації </w:t>
            </w:r>
            <w:r w:rsidR="00314B9D">
              <w:rPr>
                <w:rFonts w:cs="Arial"/>
                <w:b/>
                <w:color w:val="000000"/>
                <w:szCs w:val="22"/>
              </w:rPr>
              <w:t>проєкту</w:t>
            </w:r>
            <w:r w:rsidRPr="0019790A">
              <w:rPr>
                <w:rFonts w:cs="Arial"/>
                <w:b/>
                <w:color w:val="000000"/>
                <w:szCs w:val="22"/>
              </w:rPr>
              <w:t>:</w:t>
            </w:r>
          </w:p>
        </w:tc>
        <w:tc>
          <w:tcPr>
            <w:tcW w:w="6796" w:type="dxa"/>
            <w:gridSpan w:val="8"/>
            <w:vAlign w:val="center"/>
          </w:tcPr>
          <w:p w14:paraId="3AB58C27" w14:textId="77777777" w:rsidR="001002EC" w:rsidRPr="0019790A" w:rsidRDefault="001002EC" w:rsidP="0019790A">
            <w:pPr>
              <w:jc w:val="both"/>
              <w:rPr>
                <w:rFonts w:cs="Arial"/>
                <w:color w:val="000000"/>
                <w:szCs w:val="22"/>
                <w:lang w:eastAsia="it-IT"/>
              </w:rPr>
            </w:pPr>
          </w:p>
          <w:p w14:paraId="61CE9905" w14:textId="77777777" w:rsidR="001002EC" w:rsidRPr="0019790A" w:rsidRDefault="001002EC" w:rsidP="0019790A">
            <w:pPr>
              <w:jc w:val="both"/>
              <w:rPr>
                <w:rFonts w:cs="Arial"/>
                <w:color w:val="000000"/>
                <w:szCs w:val="22"/>
                <w:lang w:eastAsia="it-IT"/>
              </w:rPr>
            </w:pPr>
            <w:r w:rsidRPr="0019790A">
              <w:rPr>
                <w:rFonts w:cs="Arial"/>
                <w:color w:val="000000"/>
                <w:szCs w:val="22"/>
                <w:lang w:eastAsia="it-IT"/>
              </w:rPr>
              <w:t>КНП «Жмеринська ЦРЛ», Управління соціального захисту населення та охорони здоров’я</w:t>
            </w:r>
          </w:p>
          <w:p w14:paraId="4DD14163" w14:textId="77777777" w:rsidR="001002EC" w:rsidRPr="0019790A" w:rsidRDefault="001002EC" w:rsidP="0019790A">
            <w:pPr>
              <w:jc w:val="both"/>
              <w:rPr>
                <w:rFonts w:cs="Arial"/>
                <w:color w:val="000000"/>
                <w:szCs w:val="22"/>
                <w:lang w:eastAsia="it-IT"/>
              </w:rPr>
            </w:pPr>
          </w:p>
          <w:p w14:paraId="6FC6545E" w14:textId="77777777" w:rsidR="001002EC" w:rsidRPr="0019790A" w:rsidRDefault="001002EC" w:rsidP="0019790A">
            <w:pPr>
              <w:jc w:val="both"/>
              <w:rPr>
                <w:rFonts w:cs="Arial"/>
                <w:color w:val="000000"/>
                <w:szCs w:val="22"/>
                <w:lang w:eastAsia="it-IT"/>
              </w:rPr>
            </w:pPr>
          </w:p>
          <w:p w14:paraId="269F9F73" w14:textId="77777777" w:rsidR="001002EC" w:rsidRPr="0019790A" w:rsidRDefault="001002EC" w:rsidP="0019790A">
            <w:pPr>
              <w:jc w:val="both"/>
              <w:rPr>
                <w:rFonts w:cs="Arial"/>
                <w:color w:val="000000"/>
                <w:szCs w:val="22"/>
                <w:lang w:eastAsia="it-IT"/>
              </w:rPr>
            </w:pPr>
          </w:p>
        </w:tc>
      </w:tr>
      <w:tr w:rsidR="001002EC" w:rsidRPr="0019790A" w14:paraId="596E8F55" w14:textId="77777777" w:rsidTr="00390661">
        <w:trPr>
          <w:jc w:val="right"/>
        </w:trPr>
        <w:tc>
          <w:tcPr>
            <w:tcW w:w="3423" w:type="dxa"/>
            <w:shd w:val="clear" w:color="auto" w:fill="FFFFFF"/>
            <w:vAlign w:val="center"/>
          </w:tcPr>
          <w:p w14:paraId="33F62FFA" w14:textId="77777777" w:rsidR="001002EC" w:rsidRPr="0019790A" w:rsidRDefault="001002EC" w:rsidP="0019790A">
            <w:pPr>
              <w:rPr>
                <w:rFonts w:cs="Arial"/>
                <w:b/>
                <w:bCs/>
                <w:color w:val="000000"/>
                <w:szCs w:val="22"/>
              </w:rPr>
            </w:pPr>
            <w:r w:rsidRPr="0019790A">
              <w:rPr>
                <w:rFonts w:cs="Arial"/>
                <w:b/>
                <w:bCs/>
                <w:color w:val="000000"/>
                <w:szCs w:val="22"/>
              </w:rPr>
              <w:t>Інше:</w:t>
            </w:r>
          </w:p>
        </w:tc>
        <w:tc>
          <w:tcPr>
            <w:tcW w:w="6796" w:type="dxa"/>
            <w:gridSpan w:val="8"/>
            <w:vAlign w:val="center"/>
          </w:tcPr>
          <w:p w14:paraId="069B470A" w14:textId="77777777" w:rsidR="001002EC" w:rsidRPr="0019790A" w:rsidRDefault="001002EC" w:rsidP="0019790A">
            <w:pPr>
              <w:rPr>
                <w:rFonts w:cs="Arial"/>
                <w:color w:val="000000"/>
                <w:szCs w:val="22"/>
                <w:lang w:eastAsia="it-IT"/>
              </w:rPr>
            </w:pPr>
          </w:p>
          <w:p w14:paraId="0E010D79" w14:textId="77777777" w:rsidR="001002EC" w:rsidRPr="0019790A" w:rsidRDefault="001002EC" w:rsidP="0019790A">
            <w:pPr>
              <w:rPr>
                <w:rFonts w:cs="Arial"/>
                <w:color w:val="000000"/>
                <w:szCs w:val="22"/>
                <w:lang w:eastAsia="it-IT"/>
              </w:rPr>
            </w:pPr>
          </w:p>
        </w:tc>
      </w:tr>
    </w:tbl>
    <w:p w14:paraId="3E4444DB" w14:textId="77777777" w:rsidR="001002EC" w:rsidRPr="0019790A" w:rsidRDefault="001002EC" w:rsidP="0019790A">
      <w:pPr>
        <w:rPr>
          <w:rFonts w:cs="Arial"/>
          <w:szCs w:val="22"/>
        </w:rPr>
      </w:pPr>
    </w:p>
    <w:p w14:paraId="5C126C35" w14:textId="77777777" w:rsidR="001002EC" w:rsidRPr="0019790A" w:rsidRDefault="001002EC" w:rsidP="0019790A">
      <w:pPr>
        <w:rPr>
          <w:rFonts w:cs="Arial"/>
          <w:szCs w:val="22"/>
        </w:rPr>
      </w:pPr>
    </w:p>
    <w:p w14:paraId="49CE279D" w14:textId="4595BB11" w:rsidR="001002EC" w:rsidRPr="0019790A" w:rsidRDefault="001002EC" w:rsidP="0019790A">
      <w:pPr>
        <w:jc w:val="center"/>
        <w:rPr>
          <w:rFonts w:cs="Arial"/>
          <w:b/>
          <w:color w:val="000000"/>
          <w:szCs w:val="22"/>
        </w:rPr>
      </w:pPr>
      <w:r w:rsidRPr="0019790A">
        <w:rPr>
          <w:rFonts w:cs="Arial"/>
          <w:b/>
          <w:color w:val="000000"/>
          <w:szCs w:val="22"/>
        </w:rPr>
        <w:t xml:space="preserve">Форма технічного завдання на </w:t>
      </w:r>
      <w:r w:rsidR="00314B9D">
        <w:rPr>
          <w:rFonts w:cs="Arial"/>
          <w:b/>
          <w:color w:val="000000"/>
          <w:szCs w:val="22"/>
        </w:rPr>
        <w:t>проєкт</w:t>
      </w:r>
      <w:r w:rsidRPr="0019790A">
        <w:rPr>
          <w:rFonts w:cs="Arial"/>
          <w:b/>
          <w:color w:val="000000"/>
          <w:szCs w:val="22"/>
        </w:rPr>
        <w:t xml:space="preserve"> місцевого розвитку </w:t>
      </w:r>
    </w:p>
    <w:p w14:paraId="04D27D44" w14:textId="77777777" w:rsidR="001002EC" w:rsidRPr="0019790A" w:rsidRDefault="001002EC" w:rsidP="0019790A">
      <w:pPr>
        <w:jc w:val="center"/>
        <w:rPr>
          <w:rFonts w:cs="Arial"/>
          <w:b/>
          <w:color w:val="000000"/>
          <w:szCs w:val="22"/>
        </w:rPr>
      </w:pPr>
      <w:r w:rsidRPr="0019790A">
        <w:rPr>
          <w:rFonts w:cs="Arial"/>
          <w:b/>
          <w:color w:val="000000"/>
          <w:szCs w:val="22"/>
        </w:rPr>
        <w:t>до Плану заходів з реалізації Стратегії</w:t>
      </w:r>
    </w:p>
    <w:p w14:paraId="1A1C5B45" w14:textId="77777777" w:rsidR="001002EC" w:rsidRPr="0019790A" w:rsidRDefault="001002EC"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3"/>
        <w:gridCol w:w="1254"/>
        <w:gridCol w:w="1415"/>
        <w:gridCol w:w="1416"/>
        <w:gridCol w:w="1278"/>
        <w:gridCol w:w="1433"/>
      </w:tblGrid>
      <w:tr w:rsidR="001002EC" w:rsidRPr="0019790A" w14:paraId="25FB939F" w14:textId="77777777" w:rsidTr="00E202E5">
        <w:trPr>
          <w:jc w:val="right"/>
        </w:trPr>
        <w:tc>
          <w:tcPr>
            <w:tcW w:w="3424" w:type="dxa"/>
          </w:tcPr>
          <w:p w14:paraId="4CE61712" w14:textId="12EB9F78" w:rsidR="001002EC" w:rsidRPr="0019790A" w:rsidRDefault="001002EC" w:rsidP="0019790A">
            <w:pPr>
              <w:rPr>
                <w:rFonts w:cs="Arial"/>
                <w:b/>
                <w:szCs w:val="22"/>
              </w:rPr>
            </w:pPr>
            <w:r w:rsidRPr="0019790A">
              <w:rPr>
                <w:rFonts w:cs="Arial"/>
                <w:b/>
                <w:szCs w:val="22"/>
              </w:rPr>
              <w:t xml:space="preserve">Назва </w:t>
            </w:r>
            <w:r w:rsidR="00314B9D">
              <w:rPr>
                <w:rFonts w:cs="Arial"/>
                <w:b/>
                <w:szCs w:val="22"/>
              </w:rPr>
              <w:t>проєкту</w:t>
            </w:r>
            <w:r w:rsidRPr="0019790A">
              <w:rPr>
                <w:rFonts w:cs="Arial"/>
                <w:b/>
                <w:szCs w:val="22"/>
              </w:rPr>
              <w:t>:</w:t>
            </w:r>
          </w:p>
        </w:tc>
        <w:tc>
          <w:tcPr>
            <w:tcW w:w="6795" w:type="dxa"/>
            <w:gridSpan w:val="5"/>
          </w:tcPr>
          <w:p w14:paraId="320FDF70" w14:textId="4031C459" w:rsidR="001002EC" w:rsidRPr="0019790A" w:rsidRDefault="001002EC" w:rsidP="00390661">
            <w:pPr>
              <w:jc w:val="both"/>
              <w:rPr>
                <w:rFonts w:cs="Arial"/>
                <w:b/>
                <w:szCs w:val="22"/>
              </w:rPr>
            </w:pPr>
            <w:r w:rsidRPr="0019790A">
              <w:rPr>
                <w:rFonts w:cs="Arial"/>
                <w:b/>
                <w:szCs w:val="22"/>
              </w:rPr>
              <w:t>Капітальний ремонт харчоблоку КНП «Жмеринська ЦРЛ» за адресою: вул.</w:t>
            </w:r>
            <w:r w:rsidR="00390661">
              <w:rPr>
                <w:rFonts w:cs="Arial"/>
                <w:b/>
                <w:szCs w:val="22"/>
              </w:rPr>
              <w:t xml:space="preserve"> </w:t>
            </w:r>
            <w:r w:rsidRPr="0019790A">
              <w:rPr>
                <w:rFonts w:cs="Arial"/>
                <w:b/>
                <w:szCs w:val="22"/>
              </w:rPr>
              <w:t>Київська, 288 в м.Жмеринка Вінницької області</w:t>
            </w:r>
          </w:p>
        </w:tc>
      </w:tr>
      <w:tr w:rsidR="001002EC" w:rsidRPr="0019790A" w14:paraId="4E96B1B9" w14:textId="77777777" w:rsidTr="00E202E5">
        <w:trPr>
          <w:jc w:val="right"/>
        </w:trPr>
        <w:tc>
          <w:tcPr>
            <w:tcW w:w="3424" w:type="dxa"/>
          </w:tcPr>
          <w:p w14:paraId="3F5AFCA0" w14:textId="77777777" w:rsidR="001002EC" w:rsidRPr="0019790A" w:rsidRDefault="001002EC"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209A5301" w14:textId="77777777" w:rsidR="001002EC" w:rsidRPr="0019790A" w:rsidRDefault="001002EC" w:rsidP="0019790A">
            <w:pPr>
              <w:rPr>
                <w:rFonts w:cs="Arial"/>
                <w:b/>
                <w:bCs/>
                <w:szCs w:val="22"/>
              </w:rPr>
            </w:pPr>
            <w:r w:rsidRPr="0019790A">
              <w:rPr>
                <w:rFonts w:cs="Arial"/>
                <w:szCs w:val="22"/>
                <w:lang w:eastAsia="it-IT"/>
              </w:rPr>
              <w:t>Назва установи, організації, підприємства</w:t>
            </w:r>
          </w:p>
        </w:tc>
        <w:tc>
          <w:tcPr>
            <w:tcW w:w="6795" w:type="dxa"/>
            <w:gridSpan w:val="5"/>
          </w:tcPr>
          <w:p w14:paraId="5B6F0EC6" w14:textId="77777777" w:rsidR="001002EC" w:rsidRPr="0019790A" w:rsidRDefault="001002EC" w:rsidP="0019790A">
            <w:pPr>
              <w:rPr>
                <w:rFonts w:cs="Arial"/>
                <w:szCs w:val="22"/>
                <w:lang w:eastAsia="it-IT"/>
              </w:rPr>
            </w:pPr>
            <w:r w:rsidRPr="0019790A">
              <w:rPr>
                <w:rFonts w:cs="Arial"/>
                <w:szCs w:val="22"/>
                <w:lang w:eastAsia="it-IT"/>
              </w:rPr>
              <w:t>Комунальне некомерційне підприємство «Жмеринська центральна районна лікарня» Жмеринської міської ради</w:t>
            </w:r>
          </w:p>
        </w:tc>
      </w:tr>
      <w:tr w:rsidR="001002EC" w:rsidRPr="0019790A" w14:paraId="6E86F9DB" w14:textId="77777777" w:rsidTr="00E202E5">
        <w:trPr>
          <w:jc w:val="right"/>
        </w:trPr>
        <w:tc>
          <w:tcPr>
            <w:tcW w:w="3424" w:type="dxa"/>
          </w:tcPr>
          <w:p w14:paraId="062CE05A" w14:textId="77777777" w:rsidR="001002EC" w:rsidRPr="0019790A" w:rsidRDefault="001002EC" w:rsidP="0019790A">
            <w:pPr>
              <w:rPr>
                <w:rFonts w:cs="Arial"/>
                <w:b/>
                <w:bCs/>
                <w:szCs w:val="22"/>
              </w:rPr>
            </w:pPr>
            <w:r w:rsidRPr="0019790A">
              <w:rPr>
                <w:rFonts w:cs="Arial"/>
                <w:szCs w:val="22"/>
                <w:lang w:eastAsia="it-IT"/>
              </w:rPr>
              <w:t>Прізвище Ім’я По-батькові:</w:t>
            </w:r>
          </w:p>
        </w:tc>
        <w:tc>
          <w:tcPr>
            <w:tcW w:w="6795" w:type="dxa"/>
            <w:gridSpan w:val="5"/>
          </w:tcPr>
          <w:p w14:paraId="02A77D85" w14:textId="77777777" w:rsidR="001002EC" w:rsidRPr="0019790A" w:rsidRDefault="001002EC" w:rsidP="0019790A">
            <w:pPr>
              <w:rPr>
                <w:rFonts w:cs="Arial"/>
                <w:szCs w:val="22"/>
                <w:lang w:eastAsia="it-IT"/>
              </w:rPr>
            </w:pPr>
            <w:r w:rsidRPr="0019790A">
              <w:rPr>
                <w:rFonts w:cs="Arial"/>
                <w:szCs w:val="22"/>
                <w:lang w:eastAsia="it-IT"/>
              </w:rPr>
              <w:t>Боровський Ростислав Васильович</w:t>
            </w:r>
          </w:p>
        </w:tc>
      </w:tr>
      <w:tr w:rsidR="001002EC" w:rsidRPr="0019790A" w14:paraId="02A693E9" w14:textId="77777777" w:rsidTr="00E202E5">
        <w:trPr>
          <w:jc w:val="right"/>
        </w:trPr>
        <w:tc>
          <w:tcPr>
            <w:tcW w:w="3424" w:type="dxa"/>
          </w:tcPr>
          <w:p w14:paraId="4B2C3CA6" w14:textId="77777777" w:rsidR="001002EC" w:rsidRPr="0019790A" w:rsidRDefault="001002EC" w:rsidP="0019790A">
            <w:pPr>
              <w:rPr>
                <w:rFonts w:cs="Arial"/>
                <w:b/>
                <w:bCs/>
                <w:szCs w:val="22"/>
              </w:rPr>
            </w:pPr>
            <w:r w:rsidRPr="0019790A">
              <w:rPr>
                <w:rFonts w:cs="Arial"/>
                <w:szCs w:val="22"/>
                <w:lang w:eastAsia="it-IT"/>
              </w:rPr>
              <w:t>Телефон (мобільний):</w:t>
            </w:r>
          </w:p>
        </w:tc>
        <w:tc>
          <w:tcPr>
            <w:tcW w:w="6795" w:type="dxa"/>
            <w:gridSpan w:val="5"/>
          </w:tcPr>
          <w:p w14:paraId="7B1F810C" w14:textId="77777777" w:rsidR="001002EC" w:rsidRPr="0019790A" w:rsidRDefault="001002EC" w:rsidP="0019790A">
            <w:pPr>
              <w:rPr>
                <w:rFonts w:cs="Arial"/>
                <w:szCs w:val="22"/>
                <w:lang w:eastAsia="it-IT"/>
              </w:rPr>
            </w:pPr>
            <w:r w:rsidRPr="0019790A">
              <w:rPr>
                <w:rFonts w:cs="Arial"/>
                <w:szCs w:val="22"/>
                <w:lang w:eastAsia="it-IT"/>
              </w:rPr>
              <w:t>0978652320</w:t>
            </w:r>
          </w:p>
        </w:tc>
      </w:tr>
      <w:tr w:rsidR="001002EC" w:rsidRPr="0019790A" w14:paraId="3CFD6B99" w14:textId="77777777" w:rsidTr="00E202E5">
        <w:trPr>
          <w:jc w:val="right"/>
        </w:trPr>
        <w:tc>
          <w:tcPr>
            <w:tcW w:w="3424" w:type="dxa"/>
          </w:tcPr>
          <w:p w14:paraId="4B851082" w14:textId="77777777" w:rsidR="001002EC" w:rsidRPr="0019790A" w:rsidRDefault="001002EC" w:rsidP="0019790A">
            <w:pPr>
              <w:rPr>
                <w:rFonts w:cs="Arial"/>
                <w:b/>
                <w:bCs/>
                <w:szCs w:val="22"/>
              </w:rPr>
            </w:pPr>
            <w:r w:rsidRPr="0019790A">
              <w:rPr>
                <w:rFonts w:cs="Arial"/>
                <w:szCs w:val="22"/>
                <w:lang w:eastAsia="it-IT"/>
              </w:rPr>
              <w:t>Електронна адреса:</w:t>
            </w:r>
          </w:p>
        </w:tc>
        <w:tc>
          <w:tcPr>
            <w:tcW w:w="6795" w:type="dxa"/>
            <w:gridSpan w:val="5"/>
          </w:tcPr>
          <w:p w14:paraId="4AD73447" w14:textId="62EC5E6E" w:rsidR="001002EC" w:rsidRPr="0019790A" w:rsidRDefault="00D85FFD" w:rsidP="0019790A">
            <w:pPr>
              <w:rPr>
                <w:rFonts w:cs="Arial"/>
                <w:szCs w:val="22"/>
                <w:lang w:eastAsia="it-IT"/>
              </w:rPr>
            </w:pPr>
            <w:hyperlink r:id="rId122" w:history="1">
              <w:r w:rsidR="00390661" w:rsidRPr="00BF0394">
                <w:rPr>
                  <w:rStyle w:val="af0"/>
                  <w:rFonts w:cs="Arial"/>
                  <w:noProof w:val="0"/>
                  <w:sz w:val="22"/>
                  <w:szCs w:val="22"/>
                  <w:lang w:eastAsia="it-IT"/>
                </w:rPr>
                <w:t>zhcrl@ukr.net</w:t>
              </w:r>
            </w:hyperlink>
            <w:r w:rsidR="00390661">
              <w:rPr>
                <w:rFonts w:cs="Arial"/>
                <w:szCs w:val="22"/>
                <w:lang w:eastAsia="it-IT"/>
              </w:rPr>
              <w:t xml:space="preserve"> </w:t>
            </w:r>
          </w:p>
        </w:tc>
      </w:tr>
      <w:tr w:rsidR="001002EC" w:rsidRPr="0019790A" w14:paraId="04491609" w14:textId="77777777" w:rsidTr="00E202E5">
        <w:trPr>
          <w:jc w:val="right"/>
        </w:trPr>
        <w:tc>
          <w:tcPr>
            <w:tcW w:w="3424" w:type="dxa"/>
            <w:vAlign w:val="center"/>
          </w:tcPr>
          <w:p w14:paraId="6115A452" w14:textId="6A2EFA38" w:rsidR="001002EC" w:rsidRPr="0019790A" w:rsidRDefault="001002EC" w:rsidP="0019790A">
            <w:pPr>
              <w:pStyle w:val="6"/>
              <w:spacing w:before="0" w:after="0"/>
              <w:rPr>
                <w:rFonts w:ascii="Arial" w:hAnsi="Arial" w:cs="Arial"/>
                <w:color w:val="000000"/>
                <w:lang w:val="uk-UA"/>
              </w:rPr>
            </w:pPr>
            <w:r w:rsidRPr="0019790A">
              <w:rPr>
                <w:rFonts w:ascii="Arial" w:hAnsi="Arial" w:cs="Arial"/>
                <w:color w:val="000000"/>
                <w:lang w:val="uk-UA"/>
              </w:rPr>
              <w:t>Номер і назва завдання з Стратегії</w:t>
            </w:r>
            <w:r w:rsidRPr="0019790A">
              <w:rPr>
                <w:rFonts w:ascii="Arial" w:hAnsi="Arial" w:cs="Arial"/>
                <w:lang w:val="uk-UA" w:eastAsia="it-IT"/>
              </w:rPr>
              <w:t xml:space="preserve"> </w:t>
            </w:r>
            <w:r w:rsidRPr="0019790A">
              <w:rPr>
                <w:rFonts w:ascii="Arial" w:hAnsi="Arial" w:cs="Arial"/>
                <w:color w:val="000000"/>
                <w:lang w:val="uk-UA"/>
              </w:rPr>
              <w:t xml:space="preserve">розвитку Жмеринської міської територіальної громади,  якому відповідає </w:t>
            </w:r>
            <w:r w:rsidR="00314B9D">
              <w:rPr>
                <w:rFonts w:ascii="Arial" w:hAnsi="Arial" w:cs="Arial"/>
                <w:color w:val="000000"/>
                <w:lang w:val="uk-UA"/>
              </w:rPr>
              <w:t>проєкт</w:t>
            </w:r>
            <w:r w:rsidRPr="0019790A">
              <w:rPr>
                <w:rFonts w:ascii="Arial" w:hAnsi="Arial" w:cs="Arial"/>
                <w:color w:val="000000"/>
                <w:lang w:val="uk-UA"/>
              </w:rPr>
              <w:t>:</w:t>
            </w:r>
          </w:p>
        </w:tc>
        <w:tc>
          <w:tcPr>
            <w:tcW w:w="6795" w:type="dxa"/>
            <w:gridSpan w:val="5"/>
          </w:tcPr>
          <w:p w14:paraId="164DD288" w14:textId="77777777" w:rsidR="001002EC" w:rsidRPr="0019790A" w:rsidRDefault="001002EC" w:rsidP="0019790A">
            <w:pPr>
              <w:pBdr>
                <w:left w:val="single" w:sz="18" w:space="4" w:color="auto"/>
              </w:pBdr>
              <w:rPr>
                <w:rFonts w:cs="Arial"/>
                <w:iCs/>
                <w:szCs w:val="22"/>
                <w:lang w:eastAsia="it-IT"/>
              </w:rPr>
            </w:pPr>
            <w:r w:rsidRPr="0019790A">
              <w:rPr>
                <w:rFonts w:cs="Arial"/>
                <w:iCs/>
                <w:szCs w:val="22"/>
                <w:lang w:eastAsia="it-IT"/>
              </w:rPr>
              <w:t>С.2.Забезпечення доступу до якісної системи охорони здоров’я</w:t>
            </w:r>
          </w:p>
          <w:p w14:paraId="42925EBB" w14:textId="77777777" w:rsidR="001002EC" w:rsidRPr="0019790A" w:rsidRDefault="001002EC" w:rsidP="0019790A">
            <w:pPr>
              <w:pBdr>
                <w:left w:val="single" w:sz="18" w:space="4" w:color="auto"/>
              </w:pBdr>
              <w:rPr>
                <w:rFonts w:cs="Arial"/>
                <w:szCs w:val="22"/>
                <w:lang w:eastAsia="it-IT"/>
              </w:rPr>
            </w:pPr>
          </w:p>
        </w:tc>
      </w:tr>
      <w:tr w:rsidR="001002EC" w:rsidRPr="0019790A" w14:paraId="4DFF0478" w14:textId="77777777" w:rsidTr="00E202E5">
        <w:trPr>
          <w:trHeight w:val="501"/>
          <w:jc w:val="right"/>
        </w:trPr>
        <w:tc>
          <w:tcPr>
            <w:tcW w:w="3424" w:type="dxa"/>
            <w:vAlign w:val="center"/>
          </w:tcPr>
          <w:p w14:paraId="02DF128B" w14:textId="752A1BD8" w:rsidR="001002EC" w:rsidRPr="0019790A" w:rsidRDefault="001002EC" w:rsidP="0019790A">
            <w:pPr>
              <w:rPr>
                <w:rFonts w:cs="Arial"/>
                <w:b/>
                <w:bCs/>
                <w:color w:val="000000"/>
                <w:szCs w:val="22"/>
              </w:rPr>
            </w:pPr>
            <w:r w:rsidRPr="0019790A">
              <w:rPr>
                <w:rFonts w:cs="Arial"/>
                <w:b/>
                <w:bCs/>
                <w:color w:val="000000"/>
                <w:szCs w:val="22"/>
              </w:rPr>
              <w:t xml:space="preserve">Мета </w:t>
            </w:r>
            <w:r w:rsidR="00314B9D">
              <w:rPr>
                <w:rFonts w:cs="Arial"/>
                <w:b/>
                <w:bCs/>
                <w:color w:val="000000"/>
                <w:szCs w:val="22"/>
              </w:rPr>
              <w:t>проєкту</w:t>
            </w:r>
            <w:r w:rsidRPr="0019790A">
              <w:rPr>
                <w:rFonts w:cs="Arial"/>
                <w:b/>
                <w:bCs/>
                <w:color w:val="000000"/>
                <w:szCs w:val="22"/>
              </w:rPr>
              <w:t>:</w:t>
            </w:r>
          </w:p>
        </w:tc>
        <w:tc>
          <w:tcPr>
            <w:tcW w:w="6795" w:type="dxa"/>
            <w:gridSpan w:val="5"/>
          </w:tcPr>
          <w:p w14:paraId="42D7059C" w14:textId="77777777" w:rsidR="001002EC" w:rsidRPr="0019790A" w:rsidRDefault="001002EC" w:rsidP="00E202E5">
            <w:pPr>
              <w:jc w:val="both"/>
              <w:rPr>
                <w:rFonts w:cs="Arial"/>
                <w:szCs w:val="22"/>
                <w:lang w:eastAsia="it-IT"/>
              </w:rPr>
            </w:pPr>
            <w:r w:rsidRPr="0019790A">
              <w:rPr>
                <w:rFonts w:cs="Arial"/>
                <w:szCs w:val="22"/>
                <w:lang w:eastAsia="it-IT"/>
              </w:rPr>
              <w:t>Створити сприятливі  умови  для приготування їжі , покращити умови праці для працівників кухні, забезпечити комфортне розміщення кухонної техніки, інвентарю</w:t>
            </w:r>
          </w:p>
        </w:tc>
      </w:tr>
      <w:tr w:rsidR="001002EC" w:rsidRPr="0019790A" w14:paraId="468B5688" w14:textId="77777777" w:rsidTr="00E202E5">
        <w:trPr>
          <w:jc w:val="right"/>
        </w:trPr>
        <w:tc>
          <w:tcPr>
            <w:tcW w:w="3424" w:type="dxa"/>
            <w:vAlign w:val="center"/>
          </w:tcPr>
          <w:p w14:paraId="4B5B556C" w14:textId="6E0D02D1" w:rsidR="001002EC" w:rsidRPr="0019790A" w:rsidRDefault="001002EC" w:rsidP="0019790A">
            <w:pPr>
              <w:rPr>
                <w:rFonts w:cs="Arial"/>
                <w:b/>
                <w:bCs/>
                <w:color w:val="000000"/>
                <w:szCs w:val="22"/>
              </w:rPr>
            </w:pPr>
            <w:r w:rsidRPr="0019790A">
              <w:rPr>
                <w:rFonts w:cs="Arial"/>
                <w:b/>
                <w:bCs/>
                <w:color w:val="000000"/>
                <w:szCs w:val="22"/>
              </w:rPr>
              <w:t xml:space="preserve">Цілі </w:t>
            </w:r>
            <w:r w:rsidR="00314B9D">
              <w:rPr>
                <w:rFonts w:cs="Arial"/>
                <w:b/>
                <w:bCs/>
                <w:color w:val="000000"/>
                <w:szCs w:val="22"/>
              </w:rPr>
              <w:t>проєкту</w:t>
            </w:r>
            <w:r w:rsidRPr="0019790A">
              <w:rPr>
                <w:rFonts w:cs="Arial"/>
                <w:b/>
                <w:bCs/>
                <w:color w:val="000000"/>
                <w:szCs w:val="22"/>
              </w:rPr>
              <w:t>:</w:t>
            </w:r>
          </w:p>
        </w:tc>
        <w:tc>
          <w:tcPr>
            <w:tcW w:w="6795" w:type="dxa"/>
            <w:gridSpan w:val="5"/>
          </w:tcPr>
          <w:p w14:paraId="09E8E44F" w14:textId="754F1AFC" w:rsidR="001002EC" w:rsidRPr="0019790A" w:rsidRDefault="001002EC" w:rsidP="00E202E5">
            <w:pPr>
              <w:jc w:val="both"/>
              <w:rPr>
                <w:rFonts w:cs="Arial"/>
                <w:szCs w:val="22"/>
                <w:lang w:eastAsia="it-IT"/>
              </w:rPr>
            </w:pPr>
            <w:r w:rsidRPr="0019790A">
              <w:rPr>
                <w:rFonts w:cs="Arial"/>
                <w:szCs w:val="22"/>
                <w:lang w:eastAsia="it-IT"/>
              </w:rPr>
              <w:t xml:space="preserve">Створення сприятливих умов для </w:t>
            </w:r>
            <w:r w:rsidR="00E202E5" w:rsidRPr="0019790A">
              <w:rPr>
                <w:rFonts w:cs="Arial"/>
                <w:szCs w:val="22"/>
                <w:lang w:eastAsia="it-IT"/>
              </w:rPr>
              <w:t>приготування</w:t>
            </w:r>
            <w:r w:rsidRPr="0019790A">
              <w:rPr>
                <w:rFonts w:cs="Arial"/>
                <w:szCs w:val="22"/>
                <w:lang w:eastAsia="it-IT"/>
              </w:rPr>
              <w:t xml:space="preserve"> їжі, покращення умов праці працівників кухні</w:t>
            </w:r>
          </w:p>
        </w:tc>
      </w:tr>
      <w:tr w:rsidR="001002EC" w:rsidRPr="0019790A" w14:paraId="032845CD" w14:textId="77777777" w:rsidTr="00E202E5">
        <w:trPr>
          <w:jc w:val="right"/>
        </w:trPr>
        <w:tc>
          <w:tcPr>
            <w:tcW w:w="3424" w:type="dxa"/>
            <w:vAlign w:val="center"/>
          </w:tcPr>
          <w:p w14:paraId="6A838335" w14:textId="3075DE94" w:rsidR="001002EC" w:rsidRPr="0019790A" w:rsidRDefault="001002EC" w:rsidP="0019790A">
            <w:pPr>
              <w:autoSpaceDE w:val="0"/>
              <w:autoSpaceDN w:val="0"/>
              <w:adjustRightInd w:val="0"/>
              <w:rPr>
                <w:rFonts w:cs="Arial"/>
                <w:b/>
                <w:color w:val="000000"/>
                <w:szCs w:val="22"/>
              </w:rPr>
            </w:pPr>
            <w:r w:rsidRPr="0019790A">
              <w:rPr>
                <w:rFonts w:cs="Arial"/>
                <w:b/>
                <w:color w:val="000000"/>
                <w:szCs w:val="22"/>
              </w:rPr>
              <w:t xml:space="preserve">Територія на яку </w:t>
            </w:r>
            <w:r w:rsidR="00314B9D">
              <w:rPr>
                <w:rFonts w:cs="Arial"/>
                <w:b/>
                <w:color w:val="000000"/>
                <w:szCs w:val="22"/>
              </w:rPr>
              <w:t>проєкт</w:t>
            </w:r>
            <w:r w:rsidRPr="0019790A">
              <w:rPr>
                <w:rFonts w:cs="Arial"/>
                <w:b/>
                <w:color w:val="000000"/>
                <w:szCs w:val="22"/>
              </w:rPr>
              <w:t xml:space="preserve"> матиме вплив:</w:t>
            </w:r>
          </w:p>
        </w:tc>
        <w:tc>
          <w:tcPr>
            <w:tcW w:w="6795" w:type="dxa"/>
            <w:gridSpan w:val="5"/>
          </w:tcPr>
          <w:p w14:paraId="524D865C" w14:textId="334F40A0" w:rsidR="001002EC" w:rsidRPr="0019790A" w:rsidRDefault="001002EC" w:rsidP="00E202E5">
            <w:pPr>
              <w:jc w:val="both"/>
              <w:rPr>
                <w:rFonts w:cs="Arial"/>
                <w:szCs w:val="22"/>
                <w:lang w:eastAsia="it-IT"/>
              </w:rPr>
            </w:pPr>
            <w:r w:rsidRPr="0019790A">
              <w:rPr>
                <w:rFonts w:cs="Arial"/>
                <w:szCs w:val="22"/>
                <w:lang w:eastAsia="it-IT"/>
              </w:rPr>
              <w:t xml:space="preserve">Територія </w:t>
            </w:r>
            <w:r w:rsidR="00E202E5" w:rsidRPr="0019790A">
              <w:rPr>
                <w:rFonts w:cs="Arial"/>
                <w:szCs w:val="22"/>
                <w:lang w:eastAsia="it-IT"/>
              </w:rPr>
              <w:t>Жмеринської</w:t>
            </w:r>
            <w:r w:rsidRPr="0019790A">
              <w:rPr>
                <w:rFonts w:cs="Arial"/>
                <w:szCs w:val="22"/>
                <w:lang w:eastAsia="it-IT"/>
              </w:rPr>
              <w:t xml:space="preserve"> </w:t>
            </w:r>
            <w:r w:rsidR="00E202E5" w:rsidRPr="0019790A">
              <w:rPr>
                <w:rFonts w:cs="Arial"/>
                <w:szCs w:val="22"/>
                <w:lang w:eastAsia="it-IT"/>
              </w:rPr>
              <w:t>міської</w:t>
            </w:r>
            <w:r w:rsidRPr="0019790A">
              <w:rPr>
                <w:rFonts w:cs="Arial"/>
                <w:szCs w:val="22"/>
                <w:lang w:eastAsia="it-IT"/>
              </w:rPr>
              <w:t xml:space="preserve"> </w:t>
            </w:r>
            <w:r w:rsidR="00E202E5" w:rsidRPr="0019790A">
              <w:rPr>
                <w:rFonts w:cs="Arial"/>
                <w:szCs w:val="22"/>
                <w:lang w:eastAsia="it-IT"/>
              </w:rPr>
              <w:t>територіальної</w:t>
            </w:r>
            <w:r w:rsidRPr="0019790A">
              <w:rPr>
                <w:rFonts w:cs="Arial"/>
                <w:szCs w:val="22"/>
                <w:lang w:eastAsia="it-IT"/>
              </w:rPr>
              <w:t xml:space="preserve"> громади площею 530,5 кв.км.</w:t>
            </w:r>
          </w:p>
        </w:tc>
      </w:tr>
      <w:tr w:rsidR="001002EC" w:rsidRPr="0019790A" w14:paraId="0B1051E4" w14:textId="77777777" w:rsidTr="00E202E5">
        <w:trPr>
          <w:jc w:val="right"/>
        </w:trPr>
        <w:tc>
          <w:tcPr>
            <w:tcW w:w="3424" w:type="dxa"/>
            <w:vAlign w:val="center"/>
          </w:tcPr>
          <w:p w14:paraId="3B0A7CCD" w14:textId="77777777" w:rsidR="001002EC" w:rsidRPr="0019790A" w:rsidRDefault="001002EC" w:rsidP="0019790A">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5" w:type="dxa"/>
            <w:gridSpan w:val="5"/>
          </w:tcPr>
          <w:p w14:paraId="1C628836" w14:textId="77777777" w:rsidR="001002EC" w:rsidRPr="0019790A" w:rsidRDefault="001002EC" w:rsidP="00E202E5">
            <w:pPr>
              <w:jc w:val="both"/>
              <w:rPr>
                <w:rFonts w:cs="Arial"/>
                <w:szCs w:val="22"/>
                <w:lang w:eastAsia="it-IT"/>
              </w:rPr>
            </w:pPr>
            <w:r w:rsidRPr="0019790A">
              <w:rPr>
                <w:rFonts w:cs="Arial"/>
                <w:szCs w:val="22"/>
                <w:lang w:eastAsia="it-IT"/>
              </w:rPr>
              <w:t>170 тис.осіб дорослого та дитячого населення</w:t>
            </w:r>
          </w:p>
        </w:tc>
      </w:tr>
      <w:tr w:rsidR="001002EC" w:rsidRPr="0019790A" w14:paraId="3DB5BE68" w14:textId="77777777" w:rsidTr="00E202E5">
        <w:trPr>
          <w:jc w:val="right"/>
        </w:trPr>
        <w:tc>
          <w:tcPr>
            <w:tcW w:w="3424" w:type="dxa"/>
            <w:shd w:val="clear" w:color="auto" w:fill="FFFFFF"/>
            <w:vAlign w:val="center"/>
          </w:tcPr>
          <w:p w14:paraId="0C225C3E" w14:textId="0DC62E39" w:rsidR="001002EC" w:rsidRPr="0019790A" w:rsidRDefault="001002EC" w:rsidP="0019790A">
            <w:pPr>
              <w:rPr>
                <w:rFonts w:cs="Arial"/>
                <w:b/>
                <w:bCs/>
                <w:color w:val="000000"/>
                <w:szCs w:val="22"/>
              </w:rPr>
            </w:pPr>
            <w:r w:rsidRPr="0019790A">
              <w:rPr>
                <w:rFonts w:cs="Arial"/>
                <w:b/>
                <w:bCs/>
                <w:color w:val="000000"/>
                <w:szCs w:val="22"/>
              </w:rPr>
              <w:t xml:space="preserve">Стислий опис </w:t>
            </w:r>
            <w:r w:rsidR="00314B9D">
              <w:rPr>
                <w:rFonts w:cs="Arial"/>
                <w:b/>
                <w:bCs/>
                <w:color w:val="000000"/>
                <w:szCs w:val="22"/>
              </w:rPr>
              <w:t>проєкту</w:t>
            </w:r>
            <w:r w:rsidRPr="0019790A">
              <w:rPr>
                <w:rFonts w:cs="Arial"/>
                <w:b/>
                <w:bCs/>
                <w:color w:val="000000"/>
                <w:szCs w:val="22"/>
              </w:rPr>
              <w:t>:</w:t>
            </w:r>
          </w:p>
        </w:tc>
        <w:tc>
          <w:tcPr>
            <w:tcW w:w="6795" w:type="dxa"/>
            <w:gridSpan w:val="5"/>
          </w:tcPr>
          <w:p w14:paraId="1D3963C8" w14:textId="77777777" w:rsidR="001002EC" w:rsidRPr="0019790A" w:rsidRDefault="001002EC" w:rsidP="00E202E5">
            <w:pPr>
              <w:jc w:val="both"/>
              <w:rPr>
                <w:rFonts w:cs="Arial"/>
                <w:szCs w:val="22"/>
                <w:lang w:eastAsia="it-IT"/>
              </w:rPr>
            </w:pPr>
            <w:r w:rsidRPr="0019790A">
              <w:rPr>
                <w:rFonts w:cs="Arial"/>
                <w:szCs w:val="22"/>
                <w:lang w:eastAsia="it-IT"/>
              </w:rPr>
              <w:t>Капітальний ремонт харчоблоку</w:t>
            </w:r>
          </w:p>
        </w:tc>
      </w:tr>
      <w:tr w:rsidR="001002EC" w:rsidRPr="0019790A" w14:paraId="28729A8F" w14:textId="77777777" w:rsidTr="00E202E5">
        <w:trPr>
          <w:trHeight w:val="538"/>
          <w:jc w:val="right"/>
        </w:trPr>
        <w:tc>
          <w:tcPr>
            <w:tcW w:w="3424" w:type="dxa"/>
            <w:shd w:val="clear" w:color="auto" w:fill="FFFFFF"/>
            <w:vAlign w:val="center"/>
          </w:tcPr>
          <w:p w14:paraId="005671F4" w14:textId="77777777" w:rsidR="001002EC" w:rsidRPr="0019790A" w:rsidRDefault="001002EC" w:rsidP="0019790A">
            <w:pPr>
              <w:rPr>
                <w:rFonts w:cs="Arial"/>
                <w:b/>
                <w:bCs/>
                <w:color w:val="000000"/>
                <w:szCs w:val="22"/>
              </w:rPr>
            </w:pPr>
            <w:r w:rsidRPr="0019790A">
              <w:rPr>
                <w:rFonts w:cs="Arial"/>
                <w:b/>
                <w:bCs/>
                <w:color w:val="000000"/>
                <w:szCs w:val="22"/>
              </w:rPr>
              <w:t>Основні заходи проєкту</w:t>
            </w:r>
          </w:p>
        </w:tc>
        <w:tc>
          <w:tcPr>
            <w:tcW w:w="6795" w:type="dxa"/>
            <w:gridSpan w:val="5"/>
            <w:shd w:val="clear" w:color="auto" w:fill="FFFFFF"/>
          </w:tcPr>
          <w:p w14:paraId="0F5E4CC6" w14:textId="77777777" w:rsidR="001002EC" w:rsidRPr="0019790A" w:rsidRDefault="001002EC" w:rsidP="00E202E5">
            <w:pPr>
              <w:jc w:val="both"/>
              <w:rPr>
                <w:rFonts w:cs="Arial"/>
                <w:szCs w:val="22"/>
                <w:lang w:eastAsia="it-IT"/>
              </w:rPr>
            </w:pPr>
            <w:r w:rsidRPr="0019790A">
              <w:rPr>
                <w:rFonts w:cs="Arial"/>
                <w:szCs w:val="22"/>
                <w:lang w:eastAsia="it-IT"/>
              </w:rPr>
              <w:t>-створення робочої групи проєкту;</w:t>
            </w:r>
          </w:p>
          <w:p w14:paraId="2FB40513" w14:textId="77777777" w:rsidR="001002EC" w:rsidRPr="0019790A" w:rsidRDefault="001002EC" w:rsidP="00E202E5">
            <w:pPr>
              <w:jc w:val="both"/>
              <w:rPr>
                <w:rFonts w:cs="Arial"/>
                <w:szCs w:val="22"/>
                <w:lang w:eastAsia="it-IT"/>
              </w:rPr>
            </w:pPr>
            <w:r w:rsidRPr="0019790A">
              <w:rPr>
                <w:rFonts w:cs="Arial"/>
                <w:szCs w:val="22"/>
                <w:lang w:eastAsia="it-IT"/>
              </w:rPr>
              <w:t xml:space="preserve">- організація капітального ремонту </w:t>
            </w:r>
            <w:r w:rsidRPr="0019790A">
              <w:rPr>
                <w:rFonts w:cs="Arial"/>
                <w:szCs w:val="22"/>
              </w:rPr>
              <w:t>харчоблоку</w:t>
            </w:r>
          </w:p>
          <w:p w14:paraId="28337424" w14:textId="77777777" w:rsidR="001002EC" w:rsidRPr="0019790A" w:rsidRDefault="001002EC" w:rsidP="00E202E5">
            <w:pPr>
              <w:jc w:val="both"/>
              <w:rPr>
                <w:rFonts w:cs="Arial"/>
                <w:szCs w:val="22"/>
                <w:lang w:eastAsia="it-IT"/>
              </w:rPr>
            </w:pPr>
            <w:r w:rsidRPr="0019790A">
              <w:rPr>
                <w:rFonts w:cs="Arial"/>
                <w:szCs w:val="22"/>
                <w:lang w:eastAsia="it-IT"/>
              </w:rPr>
              <w:t>- здійснення капітального ремонту харчоблоку</w:t>
            </w:r>
          </w:p>
          <w:p w14:paraId="58FB44A5" w14:textId="77777777" w:rsidR="001002EC" w:rsidRPr="0019790A" w:rsidRDefault="001002EC" w:rsidP="00E202E5">
            <w:pPr>
              <w:jc w:val="both"/>
              <w:rPr>
                <w:rFonts w:cs="Arial"/>
                <w:szCs w:val="22"/>
                <w:lang w:eastAsia="it-IT"/>
              </w:rPr>
            </w:pPr>
            <w:r w:rsidRPr="0019790A">
              <w:rPr>
                <w:rFonts w:cs="Arial"/>
                <w:szCs w:val="22"/>
                <w:lang w:eastAsia="it-IT"/>
              </w:rPr>
              <w:t xml:space="preserve">- завершення виконання проєкту </w:t>
            </w:r>
          </w:p>
          <w:p w14:paraId="3A85574B" w14:textId="77777777" w:rsidR="001002EC" w:rsidRPr="0019790A" w:rsidRDefault="001002EC" w:rsidP="00E202E5">
            <w:pPr>
              <w:jc w:val="both"/>
              <w:rPr>
                <w:rFonts w:cs="Arial"/>
                <w:szCs w:val="22"/>
                <w:lang w:eastAsia="it-IT"/>
              </w:rPr>
            </w:pPr>
          </w:p>
        </w:tc>
      </w:tr>
      <w:tr w:rsidR="001002EC" w:rsidRPr="0019790A" w14:paraId="0013865E" w14:textId="77777777" w:rsidTr="00E202E5">
        <w:trPr>
          <w:jc w:val="right"/>
        </w:trPr>
        <w:tc>
          <w:tcPr>
            <w:tcW w:w="3424" w:type="dxa"/>
            <w:shd w:val="clear" w:color="auto" w:fill="FFFFFF"/>
            <w:vAlign w:val="center"/>
          </w:tcPr>
          <w:p w14:paraId="4FA03046" w14:textId="77777777" w:rsidR="001002EC" w:rsidRPr="0019790A" w:rsidRDefault="001002EC"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795" w:type="dxa"/>
            <w:gridSpan w:val="5"/>
          </w:tcPr>
          <w:p w14:paraId="4F68BC7A" w14:textId="77777777" w:rsidR="001002EC" w:rsidRPr="0019790A" w:rsidRDefault="001002EC" w:rsidP="00E202E5">
            <w:pPr>
              <w:jc w:val="both"/>
              <w:rPr>
                <w:rFonts w:cs="Arial"/>
                <w:szCs w:val="22"/>
                <w:lang w:eastAsia="it-IT"/>
              </w:rPr>
            </w:pPr>
            <w:r w:rsidRPr="0019790A">
              <w:rPr>
                <w:rFonts w:cs="Arial"/>
                <w:szCs w:val="22"/>
                <w:lang w:eastAsia="it-IT"/>
              </w:rPr>
              <w:t>Створення умов для більш комфортного перебування персоналу на кухні щонайменше для 10 осіб, покращення умов праці, збільшення простору для розміщення необхідної кухонної техніки, покращення умов для приготування їжі.</w:t>
            </w:r>
          </w:p>
        </w:tc>
      </w:tr>
      <w:tr w:rsidR="001002EC" w:rsidRPr="0019790A" w14:paraId="65B2A98C" w14:textId="77777777" w:rsidTr="00E202E5">
        <w:trPr>
          <w:jc w:val="right"/>
        </w:trPr>
        <w:tc>
          <w:tcPr>
            <w:tcW w:w="3424" w:type="dxa"/>
            <w:shd w:val="clear" w:color="auto" w:fill="FFFFFF"/>
            <w:vAlign w:val="center"/>
          </w:tcPr>
          <w:p w14:paraId="081662CC" w14:textId="77777777" w:rsidR="001002EC" w:rsidRPr="0019790A" w:rsidRDefault="001002EC" w:rsidP="0019790A">
            <w:pPr>
              <w:rPr>
                <w:rFonts w:cs="Arial"/>
                <w:b/>
                <w:color w:val="000000"/>
                <w:szCs w:val="22"/>
              </w:rPr>
            </w:pPr>
            <w:r w:rsidRPr="0019790A">
              <w:rPr>
                <w:rFonts w:cs="Arial"/>
                <w:b/>
                <w:color w:val="000000"/>
                <w:szCs w:val="22"/>
              </w:rPr>
              <w:t xml:space="preserve">Період здійснення: </w:t>
            </w:r>
          </w:p>
        </w:tc>
        <w:tc>
          <w:tcPr>
            <w:tcW w:w="6795" w:type="dxa"/>
            <w:gridSpan w:val="5"/>
            <w:vAlign w:val="center"/>
          </w:tcPr>
          <w:p w14:paraId="5DD8EAC0" w14:textId="77777777" w:rsidR="001002EC" w:rsidRPr="0019790A" w:rsidRDefault="001002EC" w:rsidP="0019790A">
            <w:pPr>
              <w:rPr>
                <w:rFonts w:cs="Arial"/>
                <w:color w:val="000000"/>
                <w:szCs w:val="22"/>
                <w:lang w:eastAsia="it-IT"/>
              </w:rPr>
            </w:pPr>
            <w:r w:rsidRPr="0019790A">
              <w:rPr>
                <w:rFonts w:cs="Arial"/>
                <w:b/>
                <w:color w:val="000000"/>
                <w:szCs w:val="22"/>
              </w:rPr>
              <w:t>2025 – 2028 роки:</w:t>
            </w:r>
          </w:p>
        </w:tc>
      </w:tr>
      <w:tr w:rsidR="001002EC" w:rsidRPr="0019790A" w14:paraId="34715CD6" w14:textId="77777777" w:rsidTr="00E202E5">
        <w:trPr>
          <w:jc w:val="right"/>
        </w:trPr>
        <w:tc>
          <w:tcPr>
            <w:tcW w:w="3424" w:type="dxa"/>
            <w:vMerge w:val="restart"/>
            <w:shd w:val="clear" w:color="auto" w:fill="FFFFFF"/>
            <w:vAlign w:val="center"/>
          </w:tcPr>
          <w:p w14:paraId="121F59C5" w14:textId="0CB7936E" w:rsidR="001002EC" w:rsidRPr="0019790A" w:rsidRDefault="001002EC" w:rsidP="0019790A">
            <w:pPr>
              <w:rPr>
                <w:rFonts w:cs="Arial"/>
                <w:b/>
                <w:bCs/>
                <w:color w:val="000000"/>
                <w:szCs w:val="22"/>
              </w:rPr>
            </w:pPr>
            <w:r w:rsidRPr="0019790A">
              <w:rPr>
                <w:rFonts w:cs="Arial"/>
                <w:b/>
                <w:bCs/>
                <w:color w:val="000000"/>
                <w:szCs w:val="22"/>
              </w:rPr>
              <w:t xml:space="preserve">Орієнтовна вартість </w:t>
            </w:r>
            <w:r w:rsidR="00314B9D">
              <w:rPr>
                <w:rFonts w:cs="Arial"/>
                <w:b/>
                <w:bCs/>
                <w:color w:val="000000"/>
                <w:szCs w:val="22"/>
              </w:rPr>
              <w:t>проєкту</w:t>
            </w:r>
            <w:r w:rsidRPr="0019790A">
              <w:rPr>
                <w:rFonts w:cs="Arial"/>
                <w:b/>
                <w:bCs/>
                <w:color w:val="000000"/>
                <w:szCs w:val="22"/>
              </w:rPr>
              <w:t>, тис. грн. в тому числі:</w:t>
            </w:r>
          </w:p>
        </w:tc>
        <w:tc>
          <w:tcPr>
            <w:tcW w:w="1254" w:type="dxa"/>
            <w:shd w:val="clear" w:color="auto" w:fill="E6E6E6"/>
            <w:vAlign w:val="center"/>
          </w:tcPr>
          <w:p w14:paraId="57C3A259"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2025</w:t>
            </w:r>
          </w:p>
        </w:tc>
        <w:tc>
          <w:tcPr>
            <w:tcW w:w="1416" w:type="dxa"/>
            <w:shd w:val="clear" w:color="auto" w:fill="E6E6E6"/>
            <w:vAlign w:val="center"/>
          </w:tcPr>
          <w:p w14:paraId="07380AA0"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2026</w:t>
            </w:r>
          </w:p>
        </w:tc>
        <w:tc>
          <w:tcPr>
            <w:tcW w:w="1417" w:type="dxa"/>
            <w:tcBorders>
              <w:bottom w:val="single" w:sz="4" w:space="0" w:color="auto"/>
            </w:tcBorders>
            <w:shd w:val="clear" w:color="auto" w:fill="E6E6E6"/>
            <w:vAlign w:val="center"/>
          </w:tcPr>
          <w:p w14:paraId="0BFC4AE2"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2027</w:t>
            </w:r>
          </w:p>
        </w:tc>
        <w:tc>
          <w:tcPr>
            <w:tcW w:w="1274" w:type="dxa"/>
            <w:shd w:val="clear" w:color="auto" w:fill="E6E6E6"/>
            <w:vAlign w:val="center"/>
          </w:tcPr>
          <w:p w14:paraId="68D180C3"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2028</w:t>
            </w:r>
          </w:p>
        </w:tc>
        <w:tc>
          <w:tcPr>
            <w:tcW w:w="1434" w:type="dxa"/>
            <w:shd w:val="clear" w:color="auto" w:fill="E6E6E6"/>
            <w:vAlign w:val="center"/>
          </w:tcPr>
          <w:p w14:paraId="4845AFAD"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Разом</w:t>
            </w:r>
          </w:p>
        </w:tc>
      </w:tr>
      <w:tr w:rsidR="001002EC" w:rsidRPr="0019790A" w14:paraId="011D0EFD" w14:textId="77777777" w:rsidTr="00E202E5">
        <w:trPr>
          <w:jc w:val="right"/>
        </w:trPr>
        <w:tc>
          <w:tcPr>
            <w:tcW w:w="3424" w:type="dxa"/>
            <w:vMerge/>
            <w:shd w:val="clear" w:color="auto" w:fill="FFFFFF"/>
            <w:vAlign w:val="center"/>
          </w:tcPr>
          <w:p w14:paraId="7C03412D" w14:textId="77777777" w:rsidR="001002EC" w:rsidRPr="0019790A" w:rsidRDefault="001002EC" w:rsidP="0019790A">
            <w:pPr>
              <w:rPr>
                <w:rFonts w:cs="Arial"/>
                <w:b/>
                <w:bCs/>
                <w:color w:val="000000"/>
                <w:szCs w:val="22"/>
              </w:rPr>
            </w:pPr>
          </w:p>
        </w:tc>
        <w:tc>
          <w:tcPr>
            <w:tcW w:w="1254" w:type="dxa"/>
            <w:vAlign w:val="center"/>
          </w:tcPr>
          <w:p w14:paraId="23E84779" w14:textId="77777777" w:rsidR="001002EC" w:rsidRPr="0019790A" w:rsidRDefault="001002EC" w:rsidP="0019790A">
            <w:pPr>
              <w:jc w:val="center"/>
              <w:rPr>
                <w:rFonts w:cs="Arial"/>
                <w:b/>
                <w:color w:val="000000"/>
                <w:szCs w:val="22"/>
                <w:lang w:eastAsia="it-IT"/>
              </w:rPr>
            </w:pPr>
          </w:p>
        </w:tc>
        <w:tc>
          <w:tcPr>
            <w:tcW w:w="1416" w:type="dxa"/>
            <w:shd w:val="clear" w:color="auto" w:fill="FFFFFF"/>
            <w:vAlign w:val="center"/>
          </w:tcPr>
          <w:p w14:paraId="210AA4A2" w14:textId="77777777" w:rsidR="001002EC" w:rsidRPr="0019790A" w:rsidRDefault="001002EC" w:rsidP="0019790A">
            <w:pPr>
              <w:jc w:val="center"/>
              <w:rPr>
                <w:rFonts w:cs="Arial"/>
                <w:b/>
                <w:color w:val="000000"/>
                <w:szCs w:val="22"/>
                <w:lang w:eastAsia="it-IT"/>
              </w:rPr>
            </w:pPr>
          </w:p>
        </w:tc>
        <w:tc>
          <w:tcPr>
            <w:tcW w:w="1417" w:type="dxa"/>
            <w:shd w:val="clear" w:color="auto" w:fill="auto"/>
            <w:vAlign w:val="center"/>
          </w:tcPr>
          <w:p w14:paraId="305A8CC1" w14:textId="77777777" w:rsidR="001002EC" w:rsidRPr="0019790A" w:rsidRDefault="001002EC" w:rsidP="0019790A">
            <w:pPr>
              <w:jc w:val="center"/>
              <w:rPr>
                <w:rFonts w:cs="Arial"/>
                <w:b/>
                <w:color w:val="000000"/>
                <w:szCs w:val="22"/>
                <w:lang w:eastAsia="it-IT"/>
              </w:rPr>
            </w:pPr>
          </w:p>
        </w:tc>
        <w:tc>
          <w:tcPr>
            <w:tcW w:w="1274" w:type="dxa"/>
            <w:shd w:val="clear" w:color="auto" w:fill="FFFFFF"/>
            <w:vAlign w:val="center"/>
          </w:tcPr>
          <w:p w14:paraId="1CD6A0E8"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11211,696</w:t>
            </w:r>
          </w:p>
        </w:tc>
        <w:tc>
          <w:tcPr>
            <w:tcW w:w="1434" w:type="dxa"/>
            <w:shd w:val="clear" w:color="auto" w:fill="FFFFFF"/>
            <w:vAlign w:val="center"/>
          </w:tcPr>
          <w:p w14:paraId="70E7A11F"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11211,696</w:t>
            </w:r>
          </w:p>
        </w:tc>
      </w:tr>
      <w:tr w:rsidR="001002EC" w:rsidRPr="0019790A" w14:paraId="55606E23" w14:textId="77777777" w:rsidTr="00E202E5">
        <w:trPr>
          <w:trHeight w:val="470"/>
          <w:jc w:val="right"/>
        </w:trPr>
        <w:tc>
          <w:tcPr>
            <w:tcW w:w="3424" w:type="dxa"/>
            <w:shd w:val="clear" w:color="auto" w:fill="FFFFFF"/>
            <w:vAlign w:val="center"/>
          </w:tcPr>
          <w:p w14:paraId="52D4A29A" w14:textId="77777777" w:rsidR="001002EC" w:rsidRPr="0019790A" w:rsidRDefault="001002EC" w:rsidP="0019790A">
            <w:pPr>
              <w:rPr>
                <w:rFonts w:cs="Arial"/>
                <w:b/>
                <w:bCs/>
                <w:color w:val="000000"/>
                <w:szCs w:val="22"/>
              </w:rPr>
            </w:pPr>
            <w:r w:rsidRPr="0019790A">
              <w:rPr>
                <w:rFonts w:cs="Arial"/>
                <w:b/>
                <w:bCs/>
                <w:color w:val="000000"/>
                <w:szCs w:val="22"/>
              </w:rPr>
              <w:t xml:space="preserve"> по джерелах фінансування:</w:t>
            </w:r>
          </w:p>
          <w:p w14:paraId="426ECB9B" w14:textId="77777777" w:rsidR="001002EC" w:rsidRPr="0019790A" w:rsidRDefault="001002EC" w:rsidP="0019790A">
            <w:pPr>
              <w:rPr>
                <w:rFonts w:cs="Arial"/>
                <w:b/>
                <w:bCs/>
                <w:color w:val="000000"/>
                <w:szCs w:val="22"/>
              </w:rPr>
            </w:pPr>
            <w:r w:rsidRPr="0019790A">
              <w:rPr>
                <w:rFonts w:cs="Arial"/>
                <w:color w:val="000000"/>
                <w:szCs w:val="22"/>
              </w:rPr>
              <w:t>-державний бюджет;</w:t>
            </w:r>
          </w:p>
        </w:tc>
        <w:tc>
          <w:tcPr>
            <w:tcW w:w="6795" w:type="dxa"/>
            <w:gridSpan w:val="5"/>
            <w:vAlign w:val="center"/>
          </w:tcPr>
          <w:p w14:paraId="3E04B354" w14:textId="77777777" w:rsidR="001002EC" w:rsidRPr="0019790A" w:rsidRDefault="001002EC" w:rsidP="0019790A">
            <w:pPr>
              <w:jc w:val="both"/>
              <w:rPr>
                <w:rFonts w:cs="Arial"/>
                <w:color w:val="000000"/>
                <w:szCs w:val="22"/>
                <w:lang w:eastAsia="it-IT"/>
              </w:rPr>
            </w:pPr>
          </w:p>
        </w:tc>
      </w:tr>
      <w:tr w:rsidR="00E202E5" w:rsidRPr="0019790A" w14:paraId="6CA51F96" w14:textId="2367F7D1" w:rsidTr="00E202E5">
        <w:trPr>
          <w:trHeight w:val="225"/>
          <w:jc w:val="right"/>
        </w:trPr>
        <w:tc>
          <w:tcPr>
            <w:tcW w:w="3424" w:type="dxa"/>
            <w:shd w:val="clear" w:color="auto" w:fill="FFFFFF"/>
            <w:vAlign w:val="center"/>
          </w:tcPr>
          <w:p w14:paraId="6F6E1FA3" w14:textId="77777777" w:rsidR="00E202E5" w:rsidRPr="0019790A" w:rsidRDefault="00E202E5" w:rsidP="0019790A">
            <w:pPr>
              <w:rPr>
                <w:rFonts w:cs="Arial"/>
                <w:b/>
                <w:bCs/>
                <w:color w:val="000000"/>
                <w:szCs w:val="22"/>
              </w:rPr>
            </w:pPr>
            <w:r w:rsidRPr="0019790A">
              <w:rPr>
                <w:rFonts w:cs="Arial"/>
                <w:color w:val="000000"/>
                <w:szCs w:val="22"/>
              </w:rPr>
              <w:t>-обласний бюджет;</w:t>
            </w:r>
          </w:p>
        </w:tc>
        <w:tc>
          <w:tcPr>
            <w:tcW w:w="4082" w:type="dxa"/>
            <w:gridSpan w:val="3"/>
            <w:vAlign w:val="center"/>
          </w:tcPr>
          <w:p w14:paraId="6EC091C5" w14:textId="77777777" w:rsidR="00E202E5" w:rsidRPr="0019790A" w:rsidRDefault="00E202E5" w:rsidP="0019790A">
            <w:pPr>
              <w:jc w:val="both"/>
              <w:rPr>
                <w:rFonts w:cs="Arial"/>
                <w:color w:val="000000"/>
                <w:szCs w:val="22"/>
                <w:lang w:eastAsia="it-IT"/>
              </w:rPr>
            </w:pPr>
          </w:p>
        </w:tc>
        <w:tc>
          <w:tcPr>
            <w:tcW w:w="1279" w:type="dxa"/>
            <w:vAlign w:val="center"/>
          </w:tcPr>
          <w:p w14:paraId="6D3C6AD3" w14:textId="77777777" w:rsidR="00E202E5" w:rsidRPr="0019790A" w:rsidRDefault="00E202E5" w:rsidP="0019790A">
            <w:pPr>
              <w:jc w:val="both"/>
              <w:rPr>
                <w:rFonts w:cs="Arial"/>
                <w:color w:val="000000"/>
                <w:szCs w:val="22"/>
                <w:lang w:eastAsia="it-IT"/>
              </w:rPr>
            </w:pPr>
          </w:p>
        </w:tc>
        <w:tc>
          <w:tcPr>
            <w:tcW w:w="1434" w:type="dxa"/>
            <w:vAlign w:val="center"/>
          </w:tcPr>
          <w:p w14:paraId="669AC1F9" w14:textId="4645578C" w:rsidR="00E202E5" w:rsidRPr="0019790A" w:rsidRDefault="00E202E5" w:rsidP="0019790A">
            <w:pPr>
              <w:jc w:val="both"/>
              <w:rPr>
                <w:rFonts w:cs="Arial"/>
                <w:color w:val="000000"/>
                <w:szCs w:val="22"/>
                <w:lang w:eastAsia="it-IT"/>
              </w:rPr>
            </w:pPr>
          </w:p>
        </w:tc>
      </w:tr>
      <w:tr w:rsidR="00E202E5" w:rsidRPr="0019790A" w14:paraId="3B69374D" w14:textId="43845834" w:rsidTr="00E202E5">
        <w:trPr>
          <w:trHeight w:val="165"/>
          <w:jc w:val="right"/>
        </w:trPr>
        <w:tc>
          <w:tcPr>
            <w:tcW w:w="3424" w:type="dxa"/>
            <w:shd w:val="clear" w:color="auto" w:fill="FFFFFF"/>
            <w:vAlign w:val="center"/>
          </w:tcPr>
          <w:p w14:paraId="15B9A26C" w14:textId="77777777" w:rsidR="00E202E5" w:rsidRPr="0019790A" w:rsidRDefault="00E202E5" w:rsidP="0019790A">
            <w:pPr>
              <w:rPr>
                <w:rFonts w:cs="Arial"/>
                <w:color w:val="000000"/>
                <w:szCs w:val="22"/>
              </w:rPr>
            </w:pPr>
            <w:r w:rsidRPr="0019790A">
              <w:rPr>
                <w:rFonts w:cs="Arial"/>
                <w:color w:val="000000"/>
                <w:szCs w:val="22"/>
              </w:rPr>
              <w:t>-бюджет Жмеринської МТГ;</w:t>
            </w:r>
          </w:p>
        </w:tc>
        <w:tc>
          <w:tcPr>
            <w:tcW w:w="4082" w:type="dxa"/>
            <w:gridSpan w:val="3"/>
            <w:vAlign w:val="center"/>
          </w:tcPr>
          <w:p w14:paraId="0D98D67D" w14:textId="02018458" w:rsidR="00E202E5" w:rsidRPr="0019790A" w:rsidRDefault="00E202E5" w:rsidP="0019790A">
            <w:pPr>
              <w:jc w:val="both"/>
              <w:rPr>
                <w:rFonts w:cs="Arial"/>
                <w:color w:val="000000"/>
                <w:szCs w:val="22"/>
                <w:lang w:eastAsia="it-IT"/>
              </w:rPr>
            </w:pPr>
          </w:p>
        </w:tc>
        <w:tc>
          <w:tcPr>
            <w:tcW w:w="1279" w:type="dxa"/>
            <w:vAlign w:val="center"/>
          </w:tcPr>
          <w:p w14:paraId="01B52A5E" w14:textId="0F3EDAF8" w:rsidR="00E202E5" w:rsidRPr="0019790A" w:rsidRDefault="00E202E5" w:rsidP="00E202E5">
            <w:pPr>
              <w:jc w:val="center"/>
              <w:rPr>
                <w:rFonts w:cs="Arial"/>
                <w:color w:val="000000"/>
                <w:szCs w:val="22"/>
                <w:lang w:eastAsia="it-IT"/>
              </w:rPr>
            </w:pPr>
            <w:r w:rsidRPr="0019790A">
              <w:rPr>
                <w:rFonts w:cs="Arial"/>
                <w:color w:val="000000"/>
                <w:szCs w:val="22"/>
                <w:lang w:eastAsia="it-IT"/>
              </w:rPr>
              <w:t>11211,696</w:t>
            </w:r>
          </w:p>
        </w:tc>
        <w:tc>
          <w:tcPr>
            <w:tcW w:w="1434" w:type="dxa"/>
            <w:vAlign w:val="center"/>
          </w:tcPr>
          <w:p w14:paraId="4738AD37" w14:textId="6B03893F" w:rsidR="00E202E5" w:rsidRPr="00E202E5" w:rsidRDefault="00E202E5" w:rsidP="00E202E5">
            <w:pPr>
              <w:jc w:val="center"/>
              <w:rPr>
                <w:rFonts w:cs="Arial"/>
                <w:b/>
                <w:color w:val="000000"/>
                <w:szCs w:val="22"/>
                <w:lang w:eastAsia="it-IT"/>
              </w:rPr>
            </w:pPr>
            <w:r w:rsidRPr="00E202E5">
              <w:rPr>
                <w:rFonts w:cs="Arial"/>
                <w:b/>
                <w:color w:val="000000"/>
                <w:szCs w:val="22"/>
                <w:lang w:eastAsia="it-IT"/>
              </w:rPr>
              <w:t>11211,696</w:t>
            </w:r>
          </w:p>
        </w:tc>
      </w:tr>
      <w:tr w:rsidR="00E202E5" w:rsidRPr="0019790A" w14:paraId="17D50039" w14:textId="772621AF" w:rsidTr="00E202E5">
        <w:trPr>
          <w:trHeight w:val="330"/>
          <w:jc w:val="right"/>
        </w:trPr>
        <w:tc>
          <w:tcPr>
            <w:tcW w:w="3424" w:type="dxa"/>
            <w:shd w:val="clear" w:color="auto" w:fill="FFFFFF"/>
            <w:vAlign w:val="center"/>
          </w:tcPr>
          <w:p w14:paraId="4E7B6029" w14:textId="77777777" w:rsidR="00E202E5" w:rsidRPr="0019790A" w:rsidRDefault="00E202E5" w:rsidP="0019790A">
            <w:pPr>
              <w:rPr>
                <w:rFonts w:cs="Arial"/>
                <w:color w:val="000000"/>
                <w:szCs w:val="22"/>
              </w:rPr>
            </w:pPr>
            <w:r w:rsidRPr="0019790A">
              <w:rPr>
                <w:rFonts w:cs="Arial"/>
                <w:color w:val="000000"/>
                <w:szCs w:val="22"/>
              </w:rPr>
              <w:t>-інші джерела фінансування.</w:t>
            </w:r>
          </w:p>
        </w:tc>
        <w:tc>
          <w:tcPr>
            <w:tcW w:w="4082" w:type="dxa"/>
            <w:gridSpan w:val="3"/>
            <w:vAlign w:val="center"/>
          </w:tcPr>
          <w:p w14:paraId="6E24E0E7" w14:textId="77777777" w:rsidR="00E202E5" w:rsidRPr="0019790A" w:rsidRDefault="00E202E5" w:rsidP="0019790A">
            <w:pPr>
              <w:jc w:val="both"/>
              <w:rPr>
                <w:rFonts w:cs="Arial"/>
                <w:color w:val="000000"/>
                <w:szCs w:val="22"/>
                <w:lang w:eastAsia="it-IT"/>
              </w:rPr>
            </w:pPr>
          </w:p>
        </w:tc>
        <w:tc>
          <w:tcPr>
            <w:tcW w:w="1279" w:type="dxa"/>
            <w:vAlign w:val="center"/>
          </w:tcPr>
          <w:p w14:paraId="4B97C532" w14:textId="77777777" w:rsidR="00E202E5" w:rsidRPr="0019790A" w:rsidRDefault="00E202E5" w:rsidP="0019790A">
            <w:pPr>
              <w:jc w:val="both"/>
              <w:rPr>
                <w:rFonts w:cs="Arial"/>
                <w:color w:val="000000"/>
                <w:szCs w:val="22"/>
                <w:lang w:eastAsia="it-IT"/>
              </w:rPr>
            </w:pPr>
          </w:p>
        </w:tc>
        <w:tc>
          <w:tcPr>
            <w:tcW w:w="1434" w:type="dxa"/>
            <w:vAlign w:val="center"/>
          </w:tcPr>
          <w:p w14:paraId="0CE73CD9" w14:textId="3F30BB8C" w:rsidR="00E202E5" w:rsidRPr="0019790A" w:rsidRDefault="00E202E5" w:rsidP="0019790A">
            <w:pPr>
              <w:jc w:val="both"/>
              <w:rPr>
                <w:rFonts w:cs="Arial"/>
                <w:color w:val="000000"/>
                <w:szCs w:val="22"/>
                <w:lang w:eastAsia="it-IT"/>
              </w:rPr>
            </w:pPr>
          </w:p>
        </w:tc>
      </w:tr>
      <w:tr w:rsidR="001002EC" w:rsidRPr="0019790A" w14:paraId="402040F3" w14:textId="77777777" w:rsidTr="00E202E5">
        <w:trPr>
          <w:jc w:val="right"/>
        </w:trPr>
        <w:tc>
          <w:tcPr>
            <w:tcW w:w="3424" w:type="dxa"/>
            <w:shd w:val="clear" w:color="auto" w:fill="FFFFFF"/>
            <w:vAlign w:val="center"/>
          </w:tcPr>
          <w:p w14:paraId="61763963" w14:textId="79EAFD66" w:rsidR="001002EC" w:rsidRPr="0019790A" w:rsidRDefault="001002EC" w:rsidP="0019790A">
            <w:pPr>
              <w:rPr>
                <w:rFonts w:cs="Arial"/>
                <w:b/>
                <w:bCs/>
                <w:color w:val="000000"/>
                <w:szCs w:val="22"/>
              </w:rPr>
            </w:pPr>
            <w:r w:rsidRPr="0019790A">
              <w:rPr>
                <w:rFonts w:cs="Arial"/>
                <w:b/>
                <w:color w:val="000000"/>
                <w:szCs w:val="22"/>
              </w:rPr>
              <w:t xml:space="preserve">Ключові потенційні учасники реалізації </w:t>
            </w:r>
            <w:r w:rsidR="00314B9D">
              <w:rPr>
                <w:rFonts w:cs="Arial"/>
                <w:b/>
                <w:color w:val="000000"/>
                <w:szCs w:val="22"/>
              </w:rPr>
              <w:t>проєкту</w:t>
            </w:r>
            <w:r w:rsidRPr="0019790A">
              <w:rPr>
                <w:rFonts w:cs="Arial"/>
                <w:b/>
                <w:color w:val="000000"/>
                <w:szCs w:val="22"/>
              </w:rPr>
              <w:t>:</w:t>
            </w:r>
          </w:p>
        </w:tc>
        <w:tc>
          <w:tcPr>
            <w:tcW w:w="6795" w:type="dxa"/>
            <w:gridSpan w:val="5"/>
            <w:vAlign w:val="center"/>
          </w:tcPr>
          <w:p w14:paraId="06DF5082" w14:textId="178023A6" w:rsidR="001002EC" w:rsidRPr="0019790A" w:rsidRDefault="001002EC" w:rsidP="00E202E5">
            <w:pPr>
              <w:jc w:val="both"/>
              <w:rPr>
                <w:rFonts w:cs="Arial"/>
                <w:color w:val="000000"/>
                <w:szCs w:val="22"/>
                <w:lang w:eastAsia="it-IT"/>
              </w:rPr>
            </w:pPr>
            <w:r w:rsidRPr="0019790A">
              <w:rPr>
                <w:rFonts w:cs="Arial"/>
                <w:color w:val="000000"/>
                <w:szCs w:val="22"/>
                <w:lang w:eastAsia="it-IT"/>
              </w:rPr>
              <w:t>КНП «Жмеринська ЦРЛ», Управління соціального захисту населення та охорони здоров’я</w:t>
            </w:r>
          </w:p>
        </w:tc>
      </w:tr>
      <w:tr w:rsidR="001002EC" w:rsidRPr="0019790A" w14:paraId="4B3B28B8" w14:textId="77777777" w:rsidTr="00E202E5">
        <w:trPr>
          <w:jc w:val="right"/>
        </w:trPr>
        <w:tc>
          <w:tcPr>
            <w:tcW w:w="3424" w:type="dxa"/>
            <w:shd w:val="clear" w:color="auto" w:fill="FFFFFF"/>
            <w:vAlign w:val="center"/>
          </w:tcPr>
          <w:p w14:paraId="30688D2F" w14:textId="77777777" w:rsidR="001002EC" w:rsidRPr="0019790A" w:rsidRDefault="001002EC" w:rsidP="0019790A">
            <w:pPr>
              <w:rPr>
                <w:rFonts w:cs="Arial"/>
                <w:b/>
                <w:bCs/>
                <w:color w:val="000000"/>
                <w:szCs w:val="22"/>
              </w:rPr>
            </w:pPr>
            <w:r w:rsidRPr="0019790A">
              <w:rPr>
                <w:rFonts w:cs="Arial"/>
                <w:b/>
                <w:bCs/>
                <w:color w:val="000000"/>
                <w:szCs w:val="22"/>
              </w:rPr>
              <w:t>Інше:</w:t>
            </w:r>
          </w:p>
        </w:tc>
        <w:tc>
          <w:tcPr>
            <w:tcW w:w="6795" w:type="dxa"/>
            <w:gridSpan w:val="5"/>
            <w:vAlign w:val="center"/>
          </w:tcPr>
          <w:p w14:paraId="49187B33" w14:textId="77777777" w:rsidR="001002EC" w:rsidRPr="0019790A" w:rsidRDefault="001002EC" w:rsidP="0019790A">
            <w:pPr>
              <w:rPr>
                <w:rFonts w:cs="Arial"/>
                <w:color w:val="000000"/>
                <w:szCs w:val="22"/>
                <w:lang w:eastAsia="it-IT"/>
              </w:rPr>
            </w:pPr>
          </w:p>
        </w:tc>
      </w:tr>
    </w:tbl>
    <w:p w14:paraId="2395C8D5" w14:textId="77777777" w:rsidR="001002EC" w:rsidRPr="0019790A" w:rsidRDefault="001002EC" w:rsidP="0019790A">
      <w:pPr>
        <w:rPr>
          <w:rFonts w:cs="Arial"/>
          <w:szCs w:val="22"/>
        </w:rPr>
      </w:pPr>
    </w:p>
    <w:p w14:paraId="44464CD9" w14:textId="77777777" w:rsidR="001002EC" w:rsidRPr="0019790A" w:rsidRDefault="001002EC" w:rsidP="0019790A">
      <w:pPr>
        <w:rPr>
          <w:rFonts w:cs="Arial"/>
          <w:szCs w:val="22"/>
        </w:rPr>
      </w:pPr>
    </w:p>
    <w:p w14:paraId="57FF06E2" w14:textId="5B451CE8" w:rsidR="001002EC" w:rsidRPr="0019790A" w:rsidRDefault="001002EC" w:rsidP="0019790A">
      <w:pPr>
        <w:jc w:val="center"/>
        <w:rPr>
          <w:rFonts w:cs="Arial"/>
          <w:b/>
          <w:color w:val="000000"/>
          <w:szCs w:val="22"/>
        </w:rPr>
      </w:pPr>
      <w:r w:rsidRPr="0019790A">
        <w:rPr>
          <w:rFonts w:cs="Arial"/>
          <w:b/>
          <w:color w:val="000000"/>
          <w:szCs w:val="22"/>
        </w:rPr>
        <w:t xml:space="preserve">Форма технічного завдання на </w:t>
      </w:r>
      <w:r w:rsidR="00314B9D">
        <w:rPr>
          <w:rFonts w:cs="Arial"/>
          <w:b/>
          <w:color w:val="000000"/>
          <w:szCs w:val="22"/>
        </w:rPr>
        <w:t>проєкт</w:t>
      </w:r>
      <w:r w:rsidRPr="0019790A">
        <w:rPr>
          <w:rFonts w:cs="Arial"/>
          <w:b/>
          <w:color w:val="000000"/>
          <w:szCs w:val="22"/>
        </w:rPr>
        <w:t xml:space="preserve"> місцевого розвитку </w:t>
      </w:r>
    </w:p>
    <w:p w14:paraId="6DB7F513" w14:textId="77777777" w:rsidR="001002EC" w:rsidRPr="0019790A" w:rsidRDefault="001002EC" w:rsidP="0019790A">
      <w:pPr>
        <w:jc w:val="center"/>
        <w:rPr>
          <w:rFonts w:cs="Arial"/>
          <w:b/>
          <w:color w:val="000000"/>
          <w:szCs w:val="22"/>
        </w:rPr>
      </w:pPr>
      <w:r w:rsidRPr="0019790A">
        <w:rPr>
          <w:rFonts w:cs="Arial"/>
          <w:b/>
          <w:color w:val="000000"/>
          <w:szCs w:val="22"/>
        </w:rPr>
        <w:t>до Плану заходів з реалізації Стратегії</w:t>
      </w:r>
    </w:p>
    <w:p w14:paraId="4541C619" w14:textId="77777777" w:rsidR="001002EC" w:rsidRPr="0019790A" w:rsidRDefault="001002EC" w:rsidP="0019790A">
      <w:pPr>
        <w:rPr>
          <w:rFonts w:cs="Arial"/>
          <w:szCs w:val="22"/>
        </w:rPr>
      </w:pPr>
    </w:p>
    <w:tbl>
      <w:tblPr>
        <w:tblW w:w="1021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4"/>
        <w:gridCol w:w="1254"/>
        <w:gridCol w:w="36"/>
        <w:gridCol w:w="1377"/>
        <w:gridCol w:w="1250"/>
        <w:gridCol w:w="22"/>
        <w:gridCol w:w="1405"/>
        <w:gridCol w:w="17"/>
        <w:gridCol w:w="33"/>
        <w:gridCol w:w="1383"/>
        <w:gridCol w:w="13"/>
      </w:tblGrid>
      <w:tr w:rsidR="001002EC" w:rsidRPr="0019790A" w14:paraId="3A84EFFD" w14:textId="77777777" w:rsidTr="00E202E5">
        <w:trPr>
          <w:trHeight w:val="465"/>
          <w:jc w:val="right"/>
        </w:trPr>
        <w:tc>
          <w:tcPr>
            <w:tcW w:w="3424" w:type="dxa"/>
            <w:vAlign w:val="center"/>
          </w:tcPr>
          <w:p w14:paraId="07599204" w14:textId="218553D4" w:rsidR="001002EC" w:rsidRPr="0019790A" w:rsidRDefault="001002EC" w:rsidP="00E202E5">
            <w:pPr>
              <w:rPr>
                <w:rFonts w:cs="Arial"/>
                <w:b/>
                <w:szCs w:val="22"/>
              </w:rPr>
            </w:pPr>
            <w:r w:rsidRPr="0019790A">
              <w:rPr>
                <w:rFonts w:cs="Arial"/>
                <w:b/>
                <w:szCs w:val="22"/>
              </w:rPr>
              <w:t xml:space="preserve">Назва </w:t>
            </w:r>
            <w:r w:rsidR="00314B9D">
              <w:rPr>
                <w:rFonts w:cs="Arial"/>
                <w:b/>
                <w:szCs w:val="22"/>
              </w:rPr>
              <w:t>проєкту</w:t>
            </w:r>
            <w:r w:rsidRPr="0019790A">
              <w:rPr>
                <w:rFonts w:cs="Arial"/>
                <w:b/>
                <w:szCs w:val="22"/>
              </w:rPr>
              <w:t>:</w:t>
            </w:r>
          </w:p>
        </w:tc>
        <w:tc>
          <w:tcPr>
            <w:tcW w:w="6790" w:type="dxa"/>
            <w:gridSpan w:val="10"/>
            <w:vAlign w:val="center"/>
          </w:tcPr>
          <w:p w14:paraId="12434A45" w14:textId="77777777" w:rsidR="001002EC" w:rsidRPr="0019790A" w:rsidRDefault="001002EC" w:rsidP="00E202E5">
            <w:pPr>
              <w:rPr>
                <w:rFonts w:cs="Arial"/>
                <w:b/>
                <w:szCs w:val="22"/>
              </w:rPr>
            </w:pPr>
            <w:r w:rsidRPr="0019790A">
              <w:rPr>
                <w:rFonts w:cs="Arial"/>
                <w:b/>
                <w:szCs w:val="22"/>
              </w:rPr>
              <w:t>Придбання наркозно-дихального апарату</w:t>
            </w:r>
          </w:p>
        </w:tc>
      </w:tr>
      <w:tr w:rsidR="001002EC" w:rsidRPr="0019790A" w14:paraId="71CC0C4D" w14:textId="77777777" w:rsidTr="00E202E5">
        <w:trPr>
          <w:jc w:val="right"/>
        </w:trPr>
        <w:tc>
          <w:tcPr>
            <w:tcW w:w="3424" w:type="dxa"/>
          </w:tcPr>
          <w:p w14:paraId="18F79C39" w14:textId="77777777" w:rsidR="001002EC" w:rsidRPr="0019790A" w:rsidRDefault="001002EC"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6E30EBFB" w14:textId="77777777" w:rsidR="001002EC" w:rsidRPr="0019790A" w:rsidRDefault="001002EC" w:rsidP="0019790A">
            <w:pPr>
              <w:rPr>
                <w:rFonts w:cs="Arial"/>
                <w:b/>
                <w:bCs/>
                <w:szCs w:val="22"/>
              </w:rPr>
            </w:pPr>
            <w:r w:rsidRPr="0019790A">
              <w:rPr>
                <w:rFonts w:cs="Arial"/>
                <w:szCs w:val="22"/>
                <w:lang w:eastAsia="it-IT"/>
              </w:rPr>
              <w:t>Назва установи, організації, підприємства</w:t>
            </w:r>
          </w:p>
        </w:tc>
        <w:tc>
          <w:tcPr>
            <w:tcW w:w="6790" w:type="dxa"/>
            <w:gridSpan w:val="10"/>
          </w:tcPr>
          <w:p w14:paraId="65D9DBA4" w14:textId="77777777" w:rsidR="001002EC" w:rsidRPr="0019790A" w:rsidRDefault="001002EC" w:rsidP="00E202E5">
            <w:pPr>
              <w:jc w:val="both"/>
              <w:rPr>
                <w:rFonts w:cs="Arial"/>
                <w:szCs w:val="22"/>
                <w:lang w:eastAsia="it-IT"/>
              </w:rPr>
            </w:pPr>
            <w:r w:rsidRPr="0019790A">
              <w:rPr>
                <w:rFonts w:cs="Arial"/>
                <w:szCs w:val="22"/>
                <w:lang w:eastAsia="it-IT"/>
              </w:rPr>
              <w:t>Комунальне некомерційне підприємство «Жмеринська центральна районна лікарня» Жмеринської міської ради</w:t>
            </w:r>
          </w:p>
        </w:tc>
      </w:tr>
      <w:tr w:rsidR="001002EC" w:rsidRPr="0019790A" w14:paraId="37C5EC6B" w14:textId="77777777" w:rsidTr="00E202E5">
        <w:trPr>
          <w:jc w:val="right"/>
        </w:trPr>
        <w:tc>
          <w:tcPr>
            <w:tcW w:w="3424" w:type="dxa"/>
          </w:tcPr>
          <w:p w14:paraId="3C00CB20" w14:textId="77777777" w:rsidR="001002EC" w:rsidRPr="0019790A" w:rsidRDefault="001002EC" w:rsidP="0019790A">
            <w:pPr>
              <w:rPr>
                <w:rFonts w:cs="Arial"/>
                <w:b/>
                <w:bCs/>
                <w:szCs w:val="22"/>
              </w:rPr>
            </w:pPr>
            <w:r w:rsidRPr="0019790A">
              <w:rPr>
                <w:rFonts w:cs="Arial"/>
                <w:szCs w:val="22"/>
                <w:lang w:eastAsia="it-IT"/>
              </w:rPr>
              <w:t>Прізвище Ім’я По-батькові:</w:t>
            </w:r>
          </w:p>
        </w:tc>
        <w:tc>
          <w:tcPr>
            <w:tcW w:w="6790" w:type="dxa"/>
            <w:gridSpan w:val="10"/>
          </w:tcPr>
          <w:p w14:paraId="057D6CDC" w14:textId="77777777" w:rsidR="001002EC" w:rsidRPr="0019790A" w:rsidRDefault="001002EC" w:rsidP="00E202E5">
            <w:pPr>
              <w:jc w:val="both"/>
              <w:rPr>
                <w:rFonts w:cs="Arial"/>
                <w:szCs w:val="22"/>
                <w:lang w:eastAsia="it-IT"/>
              </w:rPr>
            </w:pPr>
            <w:r w:rsidRPr="0019790A">
              <w:rPr>
                <w:rFonts w:cs="Arial"/>
                <w:szCs w:val="22"/>
                <w:lang w:eastAsia="it-IT"/>
              </w:rPr>
              <w:t>Боровський Ростислав Васильович</w:t>
            </w:r>
          </w:p>
        </w:tc>
      </w:tr>
      <w:tr w:rsidR="001002EC" w:rsidRPr="0019790A" w14:paraId="67DD6E2D" w14:textId="77777777" w:rsidTr="00E202E5">
        <w:trPr>
          <w:jc w:val="right"/>
        </w:trPr>
        <w:tc>
          <w:tcPr>
            <w:tcW w:w="3424" w:type="dxa"/>
          </w:tcPr>
          <w:p w14:paraId="3F0B9D10" w14:textId="77777777" w:rsidR="001002EC" w:rsidRPr="0019790A" w:rsidRDefault="001002EC" w:rsidP="0019790A">
            <w:pPr>
              <w:rPr>
                <w:rFonts w:cs="Arial"/>
                <w:b/>
                <w:bCs/>
                <w:szCs w:val="22"/>
              </w:rPr>
            </w:pPr>
            <w:r w:rsidRPr="0019790A">
              <w:rPr>
                <w:rFonts w:cs="Arial"/>
                <w:szCs w:val="22"/>
                <w:lang w:eastAsia="it-IT"/>
              </w:rPr>
              <w:t>Телефон (мобільний):</w:t>
            </w:r>
          </w:p>
        </w:tc>
        <w:tc>
          <w:tcPr>
            <w:tcW w:w="6790" w:type="dxa"/>
            <w:gridSpan w:val="10"/>
          </w:tcPr>
          <w:p w14:paraId="3B9540A3" w14:textId="77777777" w:rsidR="001002EC" w:rsidRPr="0019790A" w:rsidRDefault="001002EC" w:rsidP="00E202E5">
            <w:pPr>
              <w:jc w:val="both"/>
              <w:rPr>
                <w:rFonts w:cs="Arial"/>
                <w:szCs w:val="22"/>
                <w:lang w:eastAsia="it-IT"/>
              </w:rPr>
            </w:pPr>
            <w:r w:rsidRPr="0019790A">
              <w:rPr>
                <w:rFonts w:cs="Arial"/>
                <w:szCs w:val="22"/>
                <w:lang w:eastAsia="it-IT"/>
              </w:rPr>
              <w:t>0978652320</w:t>
            </w:r>
          </w:p>
        </w:tc>
      </w:tr>
      <w:tr w:rsidR="001002EC" w:rsidRPr="0019790A" w14:paraId="2095CB8F" w14:textId="77777777" w:rsidTr="00E202E5">
        <w:trPr>
          <w:jc w:val="right"/>
        </w:trPr>
        <w:tc>
          <w:tcPr>
            <w:tcW w:w="3424" w:type="dxa"/>
          </w:tcPr>
          <w:p w14:paraId="34D8A0B2" w14:textId="77777777" w:rsidR="001002EC" w:rsidRPr="0019790A" w:rsidRDefault="001002EC" w:rsidP="0019790A">
            <w:pPr>
              <w:rPr>
                <w:rFonts w:cs="Arial"/>
                <w:b/>
                <w:bCs/>
                <w:szCs w:val="22"/>
              </w:rPr>
            </w:pPr>
            <w:r w:rsidRPr="0019790A">
              <w:rPr>
                <w:rFonts w:cs="Arial"/>
                <w:szCs w:val="22"/>
                <w:lang w:eastAsia="it-IT"/>
              </w:rPr>
              <w:t>Електронна адреса:</w:t>
            </w:r>
          </w:p>
        </w:tc>
        <w:tc>
          <w:tcPr>
            <w:tcW w:w="6790" w:type="dxa"/>
            <w:gridSpan w:val="10"/>
          </w:tcPr>
          <w:p w14:paraId="7599992A" w14:textId="717ABEA6" w:rsidR="001002EC" w:rsidRPr="0019790A" w:rsidRDefault="00D85FFD" w:rsidP="00E202E5">
            <w:pPr>
              <w:jc w:val="both"/>
              <w:rPr>
                <w:rFonts w:cs="Arial"/>
                <w:szCs w:val="22"/>
                <w:lang w:eastAsia="it-IT"/>
              </w:rPr>
            </w:pPr>
            <w:hyperlink r:id="rId123" w:history="1">
              <w:r w:rsidR="00E202E5" w:rsidRPr="00BF0394">
                <w:rPr>
                  <w:rStyle w:val="af0"/>
                  <w:rFonts w:cs="Arial"/>
                  <w:noProof w:val="0"/>
                  <w:sz w:val="22"/>
                  <w:szCs w:val="22"/>
                  <w:lang w:eastAsia="it-IT"/>
                </w:rPr>
                <w:t>zhcrl@ukr.net</w:t>
              </w:r>
            </w:hyperlink>
            <w:r w:rsidR="00E202E5">
              <w:rPr>
                <w:rFonts w:cs="Arial"/>
                <w:szCs w:val="22"/>
                <w:lang w:eastAsia="it-IT"/>
              </w:rPr>
              <w:t xml:space="preserve"> </w:t>
            </w:r>
          </w:p>
        </w:tc>
      </w:tr>
      <w:tr w:rsidR="001002EC" w:rsidRPr="0019790A" w14:paraId="28755116" w14:textId="77777777" w:rsidTr="00E202E5">
        <w:trPr>
          <w:jc w:val="right"/>
        </w:trPr>
        <w:tc>
          <w:tcPr>
            <w:tcW w:w="3424" w:type="dxa"/>
            <w:vAlign w:val="center"/>
          </w:tcPr>
          <w:p w14:paraId="2DAEE49F" w14:textId="1EF4C21E" w:rsidR="001002EC" w:rsidRPr="0019790A" w:rsidRDefault="001002EC" w:rsidP="0019790A">
            <w:pPr>
              <w:pStyle w:val="6"/>
              <w:spacing w:before="0" w:after="0"/>
              <w:rPr>
                <w:rFonts w:ascii="Arial" w:hAnsi="Arial" w:cs="Arial"/>
                <w:color w:val="000000"/>
                <w:lang w:val="uk-UA"/>
              </w:rPr>
            </w:pPr>
            <w:r w:rsidRPr="0019790A">
              <w:rPr>
                <w:rFonts w:ascii="Arial" w:hAnsi="Arial" w:cs="Arial"/>
                <w:color w:val="000000"/>
                <w:lang w:val="uk-UA"/>
              </w:rPr>
              <w:t>Номер і назва завдання з Стратегії</w:t>
            </w:r>
            <w:r w:rsidRPr="0019790A">
              <w:rPr>
                <w:rFonts w:ascii="Arial" w:hAnsi="Arial" w:cs="Arial"/>
                <w:lang w:val="uk-UA" w:eastAsia="it-IT"/>
              </w:rPr>
              <w:t xml:space="preserve"> </w:t>
            </w:r>
            <w:r w:rsidRPr="0019790A">
              <w:rPr>
                <w:rFonts w:ascii="Arial" w:hAnsi="Arial" w:cs="Arial"/>
                <w:color w:val="000000"/>
                <w:lang w:val="uk-UA"/>
              </w:rPr>
              <w:t xml:space="preserve">розвитку Жмеринської міської територіальної громади,  якому відповідає </w:t>
            </w:r>
            <w:r w:rsidR="00314B9D">
              <w:rPr>
                <w:rFonts w:ascii="Arial" w:hAnsi="Arial" w:cs="Arial"/>
                <w:color w:val="000000"/>
                <w:lang w:val="uk-UA"/>
              </w:rPr>
              <w:t>проєкт</w:t>
            </w:r>
            <w:r w:rsidRPr="0019790A">
              <w:rPr>
                <w:rFonts w:ascii="Arial" w:hAnsi="Arial" w:cs="Arial"/>
                <w:color w:val="000000"/>
                <w:lang w:val="uk-UA"/>
              </w:rPr>
              <w:t>:</w:t>
            </w:r>
          </w:p>
        </w:tc>
        <w:tc>
          <w:tcPr>
            <w:tcW w:w="6790" w:type="dxa"/>
            <w:gridSpan w:val="10"/>
          </w:tcPr>
          <w:p w14:paraId="29858007" w14:textId="77777777" w:rsidR="001002EC" w:rsidRPr="0019790A" w:rsidRDefault="001002EC" w:rsidP="00E202E5">
            <w:pPr>
              <w:pBdr>
                <w:left w:val="single" w:sz="18" w:space="4" w:color="auto"/>
              </w:pBdr>
              <w:jc w:val="both"/>
              <w:rPr>
                <w:rFonts w:cs="Arial"/>
                <w:iCs/>
                <w:szCs w:val="22"/>
                <w:lang w:eastAsia="it-IT"/>
              </w:rPr>
            </w:pPr>
            <w:r w:rsidRPr="0019790A">
              <w:rPr>
                <w:rFonts w:cs="Arial"/>
                <w:iCs/>
                <w:szCs w:val="22"/>
                <w:lang w:eastAsia="it-IT"/>
              </w:rPr>
              <w:t>С.2.Забезпечення доступу до якісної системи охорони здоров’я</w:t>
            </w:r>
          </w:p>
          <w:p w14:paraId="018D6556" w14:textId="77777777" w:rsidR="001002EC" w:rsidRPr="0019790A" w:rsidRDefault="001002EC" w:rsidP="00E202E5">
            <w:pPr>
              <w:pBdr>
                <w:left w:val="single" w:sz="18" w:space="4" w:color="auto"/>
              </w:pBdr>
              <w:jc w:val="both"/>
              <w:rPr>
                <w:rFonts w:cs="Arial"/>
                <w:szCs w:val="22"/>
                <w:lang w:eastAsia="it-IT"/>
              </w:rPr>
            </w:pPr>
          </w:p>
        </w:tc>
      </w:tr>
      <w:tr w:rsidR="001002EC" w:rsidRPr="0019790A" w14:paraId="1B23C7A7" w14:textId="77777777" w:rsidTr="00E202E5">
        <w:trPr>
          <w:trHeight w:val="501"/>
          <w:jc w:val="right"/>
        </w:trPr>
        <w:tc>
          <w:tcPr>
            <w:tcW w:w="3424" w:type="dxa"/>
            <w:vAlign w:val="center"/>
          </w:tcPr>
          <w:p w14:paraId="37B47F5A" w14:textId="42B3036F" w:rsidR="001002EC" w:rsidRPr="0019790A" w:rsidRDefault="001002EC" w:rsidP="0019790A">
            <w:pPr>
              <w:rPr>
                <w:rFonts w:cs="Arial"/>
                <w:b/>
                <w:bCs/>
                <w:color w:val="000000"/>
                <w:szCs w:val="22"/>
              </w:rPr>
            </w:pPr>
            <w:r w:rsidRPr="0019790A">
              <w:rPr>
                <w:rFonts w:cs="Arial"/>
                <w:b/>
                <w:bCs/>
                <w:color w:val="000000"/>
                <w:szCs w:val="22"/>
              </w:rPr>
              <w:t xml:space="preserve">Мета </w:t>
            </w:r>
            <w:r w:rsidR="00314B9D">
              <w:rPr>
                <w:rFonts w:cs="Arial"/>
                <w:b/>
                <w:bCs/>
                <w:color w:val="000000"/>
                <w:szCs w:val="22"/>
              </w:rPr>
              <w:t>проєкту</w:t>
            </w:r>
            <w:r w:rsidRPr="0019790A">
              <w:rPr>
                <w:rFonts w:cs="Arial"/>
                <w:b/>
                <w:bCs/>
                <w:color w:val="000000"/>
                <w:szCs w:val="22"/>
              </w:rPr>
              <w:t>:</w:t>
            </w:r>
          </w:p>
        </w:tc>
        <w:tc>
          <w:tcPr>
            <w:tcW w:w="6790" w:type="dxa"/>
            <w:gridSpan w:val="10"/>
          </w:tcPr>
          <w:p w14:paraId="2286742E" w14:textId="77777777" w:rsidR="001002EC" w:rsidRPr="0019790A" w:rsidRDefault="001002EC" w:rsidP="00E202E5">
            <w:pPr>
              <w:jc w:val="both"/>
              <w:rPr>
                <w:rFonts w:cs="Arial"/>
                <w:szCs w:val="22"/>
                <w:lang w:eastAsia="it-IT"/>
              </w:rPr>
            </w:pPr>
            <w:r w:rsidRPr="0019790A">
              <w:rPr>
                <w:rFonts w:cs="Arial"/>
                <w:szCs w:val="22"/>
                <w:lang w:eastAsia="it-IT"/>
              </w:rPr>
              <w:t>Підвищити якість надання медичного обслуговування у закладі</w:t>
            </w:r>
          </w:p>
        </w:tc>
      </w:tr>
      <w:tr w:rsidR="001002EC" w:rsidRPr="0019790A" w14:paraId="1D115790" w14:textId="77777777" w:rsidTr="00E202E5">
        <w:trPr>
          <w:jc w:val="right"/>
        </w:trPr>
        <w:tc>
          <w:tcPr>
            <w:tcW w:w="3424" w:type="dxa"/>
            <w:vAlign w:val="center"/>
          </w:tcPr>
          <w:p w14:paraId="46AF1B53" w14:textId="1B17D6DF" w:rsidR="001002EC" w:rsidRPr="0019790A" w:rsidRDefault="001002EC" w:rsidP="0019790A">
            <w:pPr>
              <w:rPr>
                <w:rFonts w:cs="Arial"/>
                <w:b/>
                <w:bCs/>
                <w:color w:val="000000"/>
                <w:szCs w:val="22"/>
              </w:rPr>
            </w:pPr>
            <w:r w:rsidRPr="0019790A">
              <w:rPr>
                <w:rFonts w:cs="Arial"/>
                <w:b/>
                <w:bCs/>
                <w:color w:val="000000"/>
                <w:szCs w:val="22"/>
              </w:rPr>
              <w:t xml:space="preserve">Цілі </w:t>
            </w:r>
            <w:r w:rsidR="00314B9D">
              <w:rPr>
                <w:rFonts w:cs="Arial"/>
                <w:b/>
                <w:bCs/>
                <w:color w:val="000000"/>
                <w:szCs w:val="22"/>
              </w:rPr>
              <w:t>проєкту</w:t>
            </w:r>
            <w:r w:rsidRPr="0019790A">
              <w:rPr>
                <w:rFonts w:cs="Arial"/>
                <w:b/>
                <w:bCs/>
                <w:color w:val="000000"/>
                <w:szCs w:val="22"/>
              </w:rPr>
              <w:t>:</w:t>
            </w:r>
          </w:p>
        </w:tc>
        <w:tc>
          <w:tcPr>
            <w:tcW w:w="6790" w:type="dxa"/>
            <w:gridSpan w:val="10"/>
          </w:tcPr>
          <w:p w14:paraId="46B807D5" w14:textId="77777777" w:rsidR="001002EC" w:rsidRPr="0019790A" w:rsidRDefault="001002EC" w:rsidP="00E202E5">
            <w:pPr>
              <w:jc w:val="both"/>
              <w:rPr>
                <w:rFonts w:cs="Arial"/>
                <w:szCs w:val="22"/>
                <w:lang w:eastAsia="it-IT"/>
              </w:rPr>
            </w:pPr>
            <w:r w:rsidRPr="0019790A">
              <w:rPr>
                <w:rFonts w:cs="Arial"/>
                <w:szCs w:val="22"/>
                <w:lang w:eastAsia="it-IT"/>
              </w:rPr>
              <w:t>Якісне надання медичної допомоги</w:t>
            </w:r>
          </w:p>
        </w:tc>
      </w:tr>
      <w:tr w:rsidR="001002EC" w:rsidRPr="0019790A" w14:paraId="6F8E4090" w14:textId="77777777" w:rsidTr="00E202E5">
        <w:trPr>
          <w:jc w:val="right"/>
        </w:trPr>
        <w:tc>
          <w:tcPr>
            <w:tcW w:w="3424" w:type="dxa"/>
            <w:vAlign w:val="center"/>
          </w:tcPr>
          <w:p w14:paraId="3D58F958" w14:textId="40B627CF" w:rsidR="001002EC" w:rsidRPr="0019790A" w:rsidRDefault="001002EC" w:rsidP="0019790A">
            <w:pPr>
              <w:autoSpaceDE w:val="0"/>
              <w:autoSpaceDN w:val="0"/>
              <w:adjustRightInd w:val="0"/>
              <w:rPr>
                <w:rFonts w:cs="Arial"/>
                <w:b/>
                <w:color w:val="000000"/>
                <w:szCs w:val="22"/>
              </w:rPr>
            </w:pPr>
            <w:r w:rsidRPr="0019790A">
              <w:rPr>
                <w:rFonts w:cs="Arial"/>
                <w:b/>
                <w:color w:val="000000"/>
                <w:szCs w:val="22"/>
              </w:rPr>
              <w:t xml:space="preserve">Територія на яку </w:t>
            </w:r>
            <w:r w:rsidR="00314B9D">
              <w:rPr>
                <w:rFonts w:cs="Arial"/>
                <w:b/>
                <w:color w:val="000000"/>
                <w:szCs w:val="22"/>
              </w:rPr>
              <w:t>проєкт</w:t>
            </w:r>
            <w:r w:rsidRPr="0019790A">
              <w:rPr>
                <w:rFonts w:cs="Arial"/>
                <w:b/>
                <w:color w:val="000000"/>
                <w:szCs w:val="22"/>
              </w:rPr>
              <w:t xml:space="preserve"> матиме вплив:</w:t>
            </w:r>
          </w:p>
        </w:tc>
        <w:tc>
          <w:tcPr>
            <w:tcW w:w="6790" w:type="dxa"/>
            <w:gridSpan w:val="10"/>
          </w:tcPr>
          <w:p w14:paraId="19626A21" w14:textId="692769C6" w:rsidR="001002EC" w:rsidRPr="0019790A" w:rsidRDefault="00E202E5" w:rsidP="00E202E5">
            <w:pPr>
              <w:jc w:val="both"/>
              <w:rPr>
                <w:rFonts w:cs="Arial"/>
                <w:szCs w:val="22"/>
                <w:lang w:eastAsia="it-IT"/>
              </w:rPr>
            </w:pPr>
            <w:r>
              <w:rPr>
                <w:rFonts w:cs="Arial"/>
                <w:szCs w:val="22"/>
                <w:lang w:eastAsia="it-IT"/>
              </w:rPr>
              <w:t xml:space="preserve">Територія Жмеринської </w:t>
            </w:r>
            <w:r w:rsidR="001002EC" w:rsidRPr="0019790A">
              <w:rPr>
                <w:rFonts w:cs="Arial"/>
                <w:szCs w:val="22"/>
                <w:lang w:eastAsia="it-IT"/>
              </w:rPr>
              <w:t xml:space="preserve">міської </w:t>
            </w:r>
            <w:r w:rsidRPr="0019790A">
              <w:rPr>
                <w:rFonts w:cs="Arial"/>
                <w:szCs w:val="22"/>
                <w:lang w:eastAsia="it-IT"/>
              </w:rPr>
              <w:t>територіальної</w:t>
            </w:r>
            <w:r w:rsidR="001002EC" w:rsidRPr="0019790A">
              <w:rPr>
                <w:rFonts w:cs="Arial"/>
                <w:szCs w:val="22"/>
                <w:lang w:eastAsia="it-IT"/>
              </w:rPr>
              <w:t xml:space="preserve"> громади площею 530,5 кв.км.</w:t>
            </w:r>
          </w:p>
        </w:tc>
      </w:tr>
      <w:tr w:rsidR="001002EC" w:rsidRPr="0019790A" w14:paraId="7EBDCCB8" w14:textId="77777777" w:rsidTr="00E202E5">
        <w:trPr>
          <w:jc w:val="right"/>
        </w:trPr>
        <w:tc>
          <w:tcPr>
            <w:tcW w:w="3424" w:type="dxa"/>
            <w:vAlign w:val="center"/>
          </w:tcPr>
          <w:p w14:paraId="3F4FC694" w14:textId="77777777" w:rsidR="001002EC" w:rsidRPr="0019790A" w:rsidRDefault="001002EC" w:rsidP="0019790A">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0" w:type="dxa"/>
            <w:gridSpan w:val="10"/>
          </w:tcPr>
          <w:p w14:paraId="7281F5C0" w14:textId="77777777" w:rsidR="001002EC" w:rsidRPr="0019790A" w:rsidRDefault="001002EC" w:rsidP="00E202E5">
            <w:pPr>
              <w:jc w:val="both"/>
              <w:rPr>
                <w:rFonts w:cs="Arial"/>
                <w:szCs w:val="22"/>
                <w:lang w:eastAsia="it-IT"/>
              </w:rPr>
            </w:pPr>
            <w:r w:rsidRPr="0019790A">
              <w:rPr>
                <w:rFonts w:cs="Arial"/>
                <w:szCs w:val="22"/>
                <w:lang w:eastAsia="it-IT"/>
              </w:rPr>
              <w:t>170 тис.осіб дорослого та дитячого населення</w:t>
            </w:r>
          </w:p>
        </w:tc>
      </w:tr>
      <w:tr w:rsidR="001002EC" w:rsidRPr="0019790A" w14:paraId="7C63BDD9" w14:textId="77777777" w:rsidTr="00E202E5">
        <w:trPr>
          <w:jc w:val="right"/>
        </w:trPr>
        <w:tc>
          <w:tcPr>
            <w:tcW w:w="3424" w:type="dxa"/>
            <w:shd w:val="clear" w:color="auto" w:fill="FFFFFF"/>
            <w:vAlign w:val="center"/>
          </w:tcPr>
          <w:p w14:paraId="5263A65B" w14:textId="5CD58FE6" w:rsidR="001002EC" w:rsidRPr="0019790A" w:rsidRDefault="001002EC" w:rsidP="0019790A">
            <w:pPr>
              <w:rPr>
                <w:rFonts w:cs="Arial"/>
                <w:b/>
                <w:bCs/>
                <w:color w:val="000000"/>
                <w:szCs w:val="22"/>
              </w:rPr>
            </w:pPr>
            <w:r w:rsidRPr="0019790A">
              <w:rPr>
                <w:rFonts w:cs="Arial"/>
                <w:b/>
                <w:bCs/>
                <w:color w:val="000000"/>
                <w:szCs w:val="22"/>
              </w:rPr>
              <w:t xml:space="preserve">Стислий опис </w:t>
            </w:r>
            <w:r w:rsidR="00314B9D">
              <w:rPr>
                <w:rFonts w:cs="Arial"/>
                <w:b/>
                <w:bCs/>
                <w:color w:val="000000"/>
                <w:szCs w:val="22"/>
              </w:rPr>
              <w:t>проєкту</w:t>
            </w:r>
            <w:r w:rsidRPr="0019790A">
              <w:rPr>
                <w:rFonts w:cs="Arial"/>
                <w:b/>
                <w:bCs/>
                <w:color w:val="000000"/>
                <w:szCs w:val="22"/>
              </w:rPr>
              <w:t>:</w:t>
            </w:r>
          </w:p>
        </w:tc>
        <w:tc>
          <w:tcPr>
            <w:tcW w:w="6790" w:type="dxa"/>
            <w:gridSpan w:val="10"/>
          </w:tcPr>
          <w:p w14:paraId="53F1C01B" w14:textId="77777777" w:rsidR="001002EC" w:rsidRPr="0019790A" w:rsidRDefault="001002EC" w:rsidP="00E202E5">
            <w:pPr>
              <w:jc w:val="both"/>
              <w:rPr>
                <w:rFonts w:cs="Arial"/>
                <w:szCs w:val="22"/>
                <w:lang w:eastAsia="it-IT"/>
              </w:rPr>
            </w:pPr>
            <w:r w:rsidRPr="0019790A">
              <w:rPr>
                <w:rFonts w:cs="Arial"/>
                <w:szCs w:val="22"/>
                <w:lang w:eastAsia="it-IT"/>
              </w:rPr>
              <w:t>Придбання наркозно-дихального апарат</w:t>
            </w:r>
          </w:p>
        </w:tc>
      </w:tr>
      <w:tr w:rsidR="001002EC" w:rsidRPr="0019790A" w14:paraId="4C68F2AB" w14:textId="77777777" w:rsidTr="00E202E5">
        <w:trPr>
          <w:trHeight w:val="538"/>
          <w:jc w:val="right"/>
        </w:trPr>
        <w:tc>
          <w:tcPr>
            <w:tcW w:w="3424" w:type="dxa"/>
            <w:shd w:val="clear" w:color="auto" w:fill="FFFFFF"/>
            <w:vAlign w:val="center"/>
          </w:tcPr>
          <w:p w14:paraId="19771935" w14:textId="77777777" w:rsidR="001002EC" w:rsidRPr="0019790A" w:rsidRDefault="001002EC" w:rsidP="0019790A">
            <w:pPr>
              <w:rPr>
                <w:rFonts w:cs="Arial"/>
                <w:b/>
                <w:bCs/>
                <w:color w:val="000000"/>
                <w:szCs w:val="22"/>
              </w:rPr>
            </w:pPr>
            <w:r w:rsidRPr="0019790A">
              <w:rPr>
                <w:rFonts w:cs="Arial"/>
                <w:b/>
                <w:bCs/>
                <w:color w:val="000000"/>
                <w:szCs w:val="22"/>
              </w:rPr>
              <w:t>Основні заходи проєкту</w:t>
            </w:r>
          </w:p>
        </w:tc>
        <w:tc>
          <w:tcPr>
            <w:tcW w:w="6790" w:type="dxa"/>
            <w:gridSpan w:val="10"/>
            <w:shd w:val="clear" w:color="auto" w:fill="FFFFFF"/>
          </w:tcPr>
          <w:p w14:paraId="090EC4F9" w14:textId="77777777" w:rsidR="001002EC" w:rsidRPr="0019790A" w:rsidRDefault="001002EC" w:rsidP="00E202E5">
            <w:pPr>
              <w:jc w:val="both"/>
              <w:rPr>
                <w:rFonts w:cs="Arial"/>
                <w:szCs w:val="22"/>
                <w:lang w:eastAsia="it-IT"/>
              </w:rPr>
            </w:pPr>
          </w:p>
          <w:p w14:paraId="16A73936" w14:textId="77777777" w:rsidR="001002EC" w:rsidRPr="0019790A" w:rsidRDefault="001002EC" w:rsidP="00E202E5">
            <w:pPr>
              <w:jc w:val="both"/>
              <w:rPr>
                <w:rFonts w:cs="Arial"/>
                <w:szCs w:val="22"/>
                <w:lang w:eastAsia="it-IT"/>
              </w:rPr>
            </w:pPr>
            <w:r w:rsidRPr="0019790A">
              <w:rPr>
                <w:rFonts w:cs="Arial"/>
                <w:szCs w:val="22"/>
                <w:lang w:eastAsia="it-IT"/>
              </w:rPr>
              <w:t xml:space="preserve">- придбання наркозно-дихального апарату </w:t>
            </w:r>
          </w:p>
          <w:p w14:paraId="284A7B4D" w14:textId="77777777" w:rsidR="001002EC" w:rsidRPr="0019790A" w:rsidRDefault="001002EC" w:rsidP="00E202E5">
            <w:pPr>
              <w:jc w:val="both"/>
              <w:rPr>
                <w:rFonts w:cs="Arial"/>
                <w:szCs w:val="22"/>
                <w:lang w:eastAsia="it-IT"/>
              </w:rPr>
            </w:pPr>
          </w:p>
        </w:tc>
      </w:tr>
      <w:tr w:rsidR="001002EC" w:rsidRPr="0019790A" w14:paraId="257AB2AE" w14:textId="77777777" w:rsidTr="00E202E5">
        <w:trPr>
          <w:jc w:val="right"/>
        </w:trPr>
        <w:tc>
          <w:tcPr>
            <w:tcW w:w="3424" w:type="dxa"/>
            <w:shd w:val="clear" w:color="auto" w:fill="FFFFFF"/>
            <w:vAlign w:val="center"/>
          </w:tcPr>
          <w:p w14:paraId="71325EB6" w14:textId="77777777" w:rsidR="001002EC" w:rsidRPr="0019790A" w:rsidRDefault="001002EC"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790" w:type="dxa"/>
            <w:gridSpan w:val="10"/>
          </w:tcPr>
          <w:p w14:paraId="34686F18" w14:textId="77777777" w:rsidR="001002EC" w:rsidRPr="0019790A" w:rsidRDefault="001002EC" w:rsidP="00E202E5">
            <w:pPr>
              <w:jc w:val="both"/>
              <w:rPr>
                <w:rFonts w:cs="Arial"/>
                <w:szCs w:val="22"/>
                <w:lang w:eastAsia="it-IT"/>
              </w:rPr>
            </w:pPr>
            <w:r w:rsidRPr="0019790A">
              <w:rPr>
                <w:rFonts w:cs="Arial"/>
                <w:szCs w:val="22"/>
                <w:lang w:eastAsia="it-IT"/>
              </w:rPr>
              <w:t>Удосконалення надання медичної допомоги під час проведення операцій у хірургічному відділенні щонайменше для 1 тис. осіб на рік</w:t>
            </w:r>
          </w:p>
        </w:tc>
      </w:tr>
      <w:tr w:rsidR="001002EC" w:rsidRPr="0019790A" w14:paraId="45A8DC5F" w14:textId="77777777" w:rsidTr="00E202E5">
        <w:trPr>
          <w:jc w:val="right"/>
        </w:trPr>
        <w:tc>
          <w:tcPr>
            <w:tcW w:w="3424" w:type="dxa"/>
            <w:shd w:val="clear" w:color="auto" w:fill="FFFFFF"/>
            <w:vAlign w:val="center"/>
          </w:tcPr>
          <w:p w14:paraId="6F257135" w14:textId="77777777" w:rsidR="001002EC" w:rsidRPr="0019790A" w:rsidRDefault="001002EC" w:rsidP="0019790A">
            <w:pPr>
              <w:rPr>
                <w:rFonts w:cs="Arial"/>
                <w:b/>
                <w:color w:val="000000"/>
                <w:szCs w:val="22"/>
              </w:rPr>
            </w:pPr>
            <w:r w:rsidRPr="0019790A">
              <w:rPr>
                <w:rFonts w:cs="Arial"/>
                <w:b/>
                <w:color w:val="000000"/>
                <w:szCs w:val="22"/>
              </w:rPr>
              <w:t xml:space="preserve">Період здійснення: </w:t>
            </w:r>
          </w:p>
        </w:tc>
        <w:tc>
          <w:tcPr>
            <w:tcW w:w="6790" w:type="dxa"/>
            <w:gridSpan w:val="10"/>
            <w:vAlign w:val="center"/>
          </w:tcPr>
          <w:p w14:paraId="0A7500B5" w14:textId="77777777" w:rsidR="001002EC" w:rsidRPr="0019790A" w:rsidRDefault="001002EC" w:rsidP="0019790A">
            <w:pPr>
              <w:rPr>
                <w:rFonts w:cs="Arial"/>
                <w:color w:val="000000"/>
                <w:szCs w:val="22"/>
                <w:lang w:eastAsia="it-IT"/>
              </w:rPr>
            </w:pPr>
            <w:r w:rsidRPr="0019790A">
              <w:rPr>
                <w:rFonts w:cs="Arial"/>
                <w:b/>
                <w:color w:val="000000"/>
                <w:szCs w:val="22"/>
              </w:rPr>
              <w:t>2025 – 2028 роки:</w:t>
            </w:r>
          </w:p>
        </w:tc>
      </w:tr>
      <w:tr w:rsidR="001002EC" w:rsidRPr="0019790A" w14:paraId="09DE4671" w14:textId="77777777" w:rsidTr="00E202E5">
        <w:trPr>
          <w:jc w:val="right"/>
        </w:trPr>
        <w:tc>
          <w:tcPr>
            <w:tcW w:w="3424" w:type="dxa"/>
            <w:vMerge w:val="restart"/>
            <w:shd w:val="clear" w:color="auto" w:fill="FFFFFF"/>
            <w:vAlign w:val="center"/>
          </w:tcPr>
          <w:p w14:paraId="7A1B0053" w14:textId="42A9504F" w:rsidR="001002EC" w:rsidRPr="0019790A" w:rsidRDefault="001002EC" w:rsidP="0019790A">
            <w:pPr>
              <w:rPr>
                <w:rFonts w:cs="Arial"/>
                <w:b/>
                <w:bCs/>
                <w:color w:val="000000"/>
                <w:szCs w:val="22"/>
              </w:rPr>
            </w:pPr>
            <w:r w:rsidRPr="0019790A">
              <w:rPr>
                <w:rFonts w:cs="Arial"/>
                <w:b/>
                <w:bCs/>
                <w:color w:val="000000"/>
                <w:szCs w:val="22"/>
              </w:rPr>
              <w:t xml:space="preserve">Орієнтовна вартість </w:t>
            </w:r>
            <w:r w:rsidR="00314B9D">
              <w:rPr>
                <w:rFonts w:cs="Arial"/>
                <w:b/>
                <w:bCs/>
                <w:color w:val="000000"/>
                <w:szCs w:val="22"/>
              </w:rPr>
              <w:t>проєкту</w:t>
            </w:r>
            <w:r w:rsidRPr="0019790A">
              <w:rPr>
                <w:rFonts w:cs="Arial"/>
                <w:b/>
                <w:bCs/>
                <w:color w:val="000000"/>
                <w:szCs w:val="22"/>
              </w:rPr>
              <w:t>, тис. грн. в тому числі:</w:t>
            </w:r>
          </w:p>
        </w:tc>
        <w:tc>
          <w:tcPr>
            <w:tcW w:w="1254" w:type="dxa"/>
            <w:shd w:val="clear" w:color="auto" w:fill="E6E6E6"/>
            <w:vAlign w:val="center"/>
          </w:tcPr>
          <w:p w14:paraId="78E86BDB"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2025</w:t>
            </w:r>
          </w:p>
        </w:tc>
        <w:tc>
          <w:tcPr>
            <w:tcW w:w="1413" w:type="dxa"/>
            <w:gridSpan w:val="2"/>
            <w:shd w:val="clear" w:color="auto" w:fill="E6E6E6"/>
            <w:vAlign w:val="center"/>
          </w:tcPr>
          <w:p w14:paraId="077EAC92"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2026</w:t>
            </w:r>
          </w:p>
        </w:tc>
        <w:tc>
          <w:tcPr>
            <w:tcW w:w="1272" w:type="dxa"/>
            <w:gridSpan w:val="2"/>
            <w:tcBorders>
              <w:bottom w:val="single" w:sz="4" w:space="0" w:color="auto"/>
            </w:tcBorders>
            <w:shd w:val="clear" w:color="auto" w:fill="E6E6E6"/>
            <w:vAlign w:val="center"/>
          </w:tcPr>
          <w:p w14:paraId="21AF01D5"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2027</w:t>
            </w:r>
          </w:p>
        </w:tc>
        <w:tc>
          <w:tcPr>
            <w:tcW w:w="1422" w:type="dxa"/>
            <w:gridSpan w:val="2"/>
            <w:shd w:val="clear" w:color="auto" w:fill="E6E6E6"/>
            <w:vAlign w:val="center"/>
          </w:tcPr>
          <w:p w14:paraId="51E602F9"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2028</w:t>
            </w:r>
          </w:p>
        </w:tc>
        <w:tc>
          <w:tcPr>
            <w:tcW w:w="1429" w:type="dxa"/>
            <w:gridSpan w:val="3"/>
            <w:shd w:val="clear" w:color="auto" w:fill="E6E6E6"/>
            <w:vAlign w:val="center"/>
          </w:tcPr>
          <w:p w14:paraId="000CE5F3"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Разом</w:t>
            </w:r>
          </w:p>
        </w:tc>
      </w:tr>
      <w:tr w:rsidR="001002EC" w:rsidRPr="0019790A" w14:paraId="10EBC40A" w14:textId="77777777" w:rsidTr="00E202E5">
        <w:trPr>
          <w:jc w:val="right"/>
        </w:trPr>
        <w:tc>
          <w:tcPr>
            <w:tcW w:w="3424" w:type="dxa"/>
            <w:vMerge/>
            <w:shd w:val="clear" w:color="auto" w:fill="FFFFFF"/>
            <w:vAlign w:val="center"/>
          </w:tcPr>
          <w:p w14:paraId="2F410225" w14:textId="77777777" w:rsidR="001002EC" w:rsidRPr="0019790A" w:rsidRDefault="001002EC" w:rsidP="0019790A">
            <w:pPr>
              <w:rPr>
                <w:rFonts w:cs="Arial"/>
                <w:b/>
                <w:bCs/>
                <w:color w:val="000000"/>
                <w:szCs w:val="22"/>
              </w:rPr>
            </w:pPr>
          </w:p>
        </w:tc>
        <w:tc>
          <w:tcPr>
            <w:tcW w:w="1254" w:type="dxa"/>
            <w:vAlign w:val="center"/>
          </w:tcPr>
          <w:p w14:paraId="6BFC0333"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2600,000</w:t>
            </w:r>
          </w:p>
        </w:tc>
        <w:tc>
          <w:tcPr>
            <w:tcW w:w="1413" w:type="dxa"/>
            <w:gridSpan w:val="2"/>
            <w:shd w:val="clear" w:color="auto" w:fill="FFFFFF"/>
            <w:vAlign w:val="center"/>
          </w:tcPr>
          <w:p w14:paraId="3E13A746" w14:textId="77777777" w:rsidR="001002EC" w:rsidRPr="0019790A" w:rsidRDefault="001002EC" w:rsidP="0019790A">
            <w:pPr>
              <w:jc w:val="center"/>
              <w:rPr>
                <w:rFonts w:cs="Arial"/>
                <w:b/>
                <w:color w:val="000000"/>
                <w:szCs w:val="22"/>
                <w:lang w:eastAsia="it-IT"/>
              </w:rPr>
            </w:pPr>
          </w:p>
        </w:tc>
        <w:tc>
          <w:tcPr>
            <w:tcW w:w="1272" w:type="dxa"/>
            <w:gridSpan w:val="2"/>
            <w:shd w:val="clear" w:color="auto" w:fill="auto"/>
            <w:vAlign w:val="center"/>
          </w:tcPr>
          <w:p w14:paraId="13050A10" w14:textId="77777777" w:rsidR="001002EC" w:rsidRPr="0019790A" w:rsidRDefault="001002EC" w:rsidP="0019790A">
            <w:pPr>
              <w:jc w:val="center"/>
              <w:rPr>
                <w:rFonts w:cs="Arial"/>
                <w:b/>
                <w:color w:val="000000"/>
                <w:szCs w:val="22"/>
                <w:lang w:eastAsia="it-IT"/>
              </w:rPr>
            </w:pPr>
          </w:p>
        </w:tc>
        <w:tc>
          <w:tcPr>
            <w:tcW w:w="1422" w:type="dxa"/>
            <w:gridSpan w:val="2"/>
            <w:shd w:val="clear" w:color="auto" w:fill="FFFFFF"/>
            <w:vAlign w:val="center"/>
          </w:tcPr>
          <w:p w14:paraId="435FD54A" w14:textId="77777777" w:rsidR="001002EC" w:rsidRPr="0019790A" w:rsidRDefault="001002EC" w:rsidP="0019790A">
            <w:pPr>
              <w:jc w:val="center"/>
              <w:rPr>
                <w:rFonts w:cs="Arial"/>
                <w:b/>
                <w:color w:val="000000"/>
                <w:szCs w:val="22"/>
                <w:lang w:eastAsia="it-IT"/>
              </w:rPr>
            </w:pPr>
          </w:p>
        </w:tc>
        <w:tc>
          <w:tcPr>
            <w:tcW w:w="1429" w:type="dxa"/>
            <w:gridSpan w:val="3"/>
            <w:shd w:val="clear" w:color="auto" w:fill="FFFFFF"/>
            <w:vAlign w:val="center"/>
          </w:tcPr>
          <w:p w14:paraId="4E864AAE"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2600,000</w:t>
            </w:r>
          </w:p>
        </w:tc>
      </w:tr>
      <w:tr w:rsidR="00E202E5" w:rsidRPr="0019790A" w14:paraId="28D5C4CB" w14:textId="77777777" w:rsidTr="00E202E5">
        <w:trPr>
          <w:trHeight w:val="250"/>
          <w:jc w:val="right"/>
        </w:trPr>
        <w:tc>
          <w:tcPr>
            <w:tcW w:w="3424" w:type="dxa"/>
            <w:shd w:val="clear" w:color="auto" w:fill="FFFFFF"/>
            <w:vAlign w:val="center"/>
          </w:tcPr>
          <w:p w14:paraId="201AE928" w14:textId="280CA994" w:rsidR="00E202E5" w:rsidRPr="0019790A" w:rsidRDefault="00E202E5" w:rsidP="0019790A">
            <w:pPr>
              <w:rPr>
                <w:rFonts w:cs="Arial"/>
                <w:b/>
                <w:bCs/>
                <w:color w:val="000000"/>
                <w:szCs w:val="22"/>
              </w:rPr>
            </w:pPr>
            <w:r>
              <w:rPr>
                <w:rFonts w:cs="Arial"/>
                <w:b/>
                <w:bCs/>
                <w:color w:val="000000"/>
                <w:szCs w:val="22"/>
              </w:rPr>
              <w:t xml:space="preserve"> по джерелах фінансування:</w:t>
            </w:r>
          </w:p>
        </w:tc>
        <w:tc>
          <w:tcPr>
            <w:tcW w:w="6790" w:type="dxa"/>
            <w:gridSpan w:val="10"/>
            <w:vAlign w:val="center"/>
          </w:tcPr>
          <w:p w14:paraId="22EAE812" w14:textId="77777777" w:rsidR="00E202E5" w:rsidRPr="0019790A" w:rsidRDefault="00E202E5" w:rsidP="0019790A">
            <w:pPr>
              <w:jc w:val="both"/>
              <w:rPr>
                <w:rFonts w:cs="Arial"/>
                <w:color w:val="000000"/>
                <w:szCs w:val="22"/>
                <w:lang w:eastAsia="it-IT"/>
              </w:rPr>
            </w:pPr>
          </w:p>
        </w:tc>
      </w:tr>
      <w:tr w:rsidR="00E202E5" w:rsidRPr="0019790A" w14:paraId="36B7D9C5" w14:textId="241186A1" w:rsidTr="00E202E5">
        <w:trPr>
          <w:trHeight w:val="243"/>
          <w:jc w:val="right"/>
        </w:trPr>
        <w:tc>
          <w:tcPr>
            <w:tcW w:w="3424" w:type="dxa"/>
            <w:shd w:val="clear" w:color="auto" w:fill="FFFFFF"/>
            <w:vAlign w:val="center"/>
          </w:tcPr>
          <w:p w14:paraId="0FB116AF" w14:textId="61F87870" w:rsidR="00E202E5" w:rsidRPr="0019790A" w:rsidRDefault="00E202E5" w:rsidP="0019790A">
            <w:pPr>
              <w:rPr>
                <w:rFonts w:cs="Arial"/>
                <w:b/>
                <w:bCs/>
                <w:color w:val="000000"/>
                <w:szCs w:val="22"/>
              </w:rPr>
            </w:pPr>
            <w:r w:rsidRPr="0019790A">
              <w:rPr>
                <w:rFonts w:cs="Arial"/>
                <w:color w:val="000000"/>
                <w:szCs w:val="22"/>
              </w:rPr>
              <w:t>-державний бюджет;</w:t>
            </w:r>
          </w:p>
        </w:tc>
        <w:tc>
          <w:tcPr>
            <w:tcW w:w="1290" w:type="dxa"/>
            <w:gridSpan w:val="2"/>
            <w:vAlign w:val="center"/>
          </w:tcPr>
          <w:p w14:paraId="17BFDE17" w14:textId="77777777" w:rsidR="00E202E5" w:rsidRPr="0019790A" w:rsidRDefault="00E202E5" w:rsidP="0019790A">
            <w:pPr>
              <w:jc w:val="both"/>
              <w:rPr>
                <w:rFonts w:cs="Arial"/>
                <w:color w:val="000000"/>
                <w:szCs w:val="22"/>
                <w:lang w:eastAsia="it-IT"/>
              </w:rPr>
            </w:pPr>
          </w:p>
        </w:tc>
        <w:tc>
          <w:tcPr>
            <w:tcW w:w="1377" w:type="dxa"/>
            <w:vAlign w:val="center"/>
          </w:tcPr>
          <w:p w14:paraId="647F959D" w14:textId="77777777" w:rsidR="00E202E5" w:rsidRPr="0019790A" w:rsidRDefault="00E202E5" w:rsidP="0019790A">
            <w:pPr>
              <w:jc w:val="both"/>
              <w:rPr>
                <w:rFonts w:cs="Arial"/>
                <w:color w:val="000000"/>
                <w:szCs w:val="22"/>
                <w:lang w:eastAsia="it-IT"/>
              </w:rPr>
            </w:pPr>
          </w:p>
        </w:tc>
        <w:tc>
          <w:tcPr>
            <w:tcW w:w="1272" w:type="dxa"/>
            <w:gridSpan w:val="2"/>
            <w:vAlign w:val="center"/>
          </w:tcPr>
          <w:p w14:paraId="411BB876" w14:textId="77777777" w:rsidR="00E202E5" w:rsidRPr="0019790A" w:rsidRDefault="00E202E5" w:rsidP="0019790A">
            <w:pPr>
              <w:jc w:val="both"/>
              <w:rPr>
                <w:rFonts w:cs="Arial"/>
                <w:color w:val="000000"/>
                <w:szCs w:val="22"/>
                <w:lang w:eastAsia="it-IT"/>
              </w:rPr>
            </w:pPr>
          </w:p>
        </w:tc>
        <w:tc>
          <w:tcPr>
            <w:tcW w:w="1405" w:type="dxa"/>
            <w:vAlign w:val="center"/>
          </w:tcPr>
          <w:p w14:paraId="6DABD421" w14:textId="77777777" w:rsidR="00E202E5" w:rsidRPr="0019790A" w:rsidRDefault="00E202E5" w:rsidP="0019790A">
            <w:pPr>
              <w:jc w:val="both"/>
              <w:rPr>
                <w:rFonts w:cs="Arial"/>
                <w:color w:val="000000"/>
                <w:szCs w:val="22"/>
                <w:lang w:eastAsia="it-IT"/>
              </w:rPr>
            </w:pPr>
          </w:p>
        </w:tc>
        <w:tc>
          <w:tcPr>
            <w:tcW w:w="1446" w:type="dxa"/>
            <w:gridSpan w:val="4"/>
            <w:vAlign w:val="center"/>
          </w:tcPr>
          <w:p w14:paraId="4F6692E6" w14:textId="162D94A2" w:rsidR="00E202E5" w:rsidRPr="0019790A" w:rsidRDefault="00E202E5" w:rsidP="0019790A">
            <w:pPr>
              <w:jc w:val="both"/>
              <w:rPr>
                <w:rFonts w:cs="Arial"/>
                <w:color w:val="000000"/>
                <w:szCs w:val="22"/>
                <w:lang w:eastAsia="it-IT"/>
              </w:rPr>
            </w:pPr>
          </w:p>
        </w:tc>
      </w:tr>
      <w:tr w:rsidR="00E202E5" w:rsidRPr="0019790A" w14:paraId="1A37FF52" w14:textId="4BBB23D7" w:rsidTr="00E202E5">
        <w:trPr>
          <w:gridAfter w:val="1"/>
          <w:wAfter w:w="13" w:type="dxa"/>
          <w:trHeight w:val="225"/>
          <w:jc w:val="right"/>
        </w:trPr>
        <w:tc>
          <w:tcPr>
            <w:tcW w:w="3424" w:type="dxa"/>
            <w:shd w:val="clear" w:color="auto" w:fill="FFFFFF"/>
            <w:vAlign w:val="center"/>
          </w:tcPr>
          <w:p w14:paraId="2BEB79D0" w14:textId="77777777" w:rsidR="00E202E5" w:rsidRPr="0019790A" w:rsidRDefault="00E202E5" w:rsidP="0019790A">
            <w:pPr>
              <w:rPr>
                <w:rFonts w:cs="Arial"/>
                <w:b/>
                <w:bCs/>
                <w:color w:val="000000"/>
                <w:szCs w:val="22"/>
              </w:rPr>
            </w:pPr>
            <w:r w:rsidRPr="0019790A">
              <w:rPr>
                <w:rFonts w:cs="Arial"/>
                <w:color w:val="000000"/>
                <w:szCs w:val="22"/>
              </w:rPr>
              <w:t>-обласний бюджет;</w:t>
            </w:r>
          </w:p>
        </w:tc>
        <w:tc>
          <w:tcPr>
            <w:tcW w:w="1290" w:type="dxa"/>
            <w:gridSpan w:val="2"/>
            <w:vAlign w:val="center"/>
          </w:tcPr>
          <w:p w14:paraId="03ACE0C8" w14:textId="77777777" w:rsidR="00E202E5" w:rsidRPr="0019790A" w:rsidRDefault="00E202E5" w:rsidP="0019790A">
            <w:pPr>
              <w:jc w:val="both"/>
              <w:rPr>
                <w:rFonts w:cs="Arial"/>
                <w:color w:val="000000"/>
                <w:szCs w:val="22"/>
                <w:lang w:eastAsia="it-IT"/>
              </w:rPr>
            </w:pPr>
          </w:p>
        </w:tc>
        <w:tc>
          <w:tcPr>
            <w:tcW w:w="1377" w:type="dxa"/>
            <w:vAlign w:val="center"/>
          </w:tcPr>
          <w:p w14:paraId="4758C060" w14:textId="77777777" w:rsidR="00E202E5" w:rsidRPr="0019790A" w:rsidRDefault="00E202E5" w:rsidP="0019790A">
            <w:pPr>
              <w:jc w:val="both"/>
              <w:rPr>
                <w:rFonts w:cs="Arial"/>
                <w:color w:val="000000"/>
                <w:szCs w:val="22"/>
                <w:lang w:eastAsia="it-IT"/>
              </w:rPr>
            </w:pPr>
          </w:p>
        </w:tc>
        <w:tc>
          <w:tcPr>
            <w:tcW w:w="1250" w:type="dxa"/>
            <w:vAlign w:val="center"/>
          </w:tcPr>
          <w:p w14:paraId="0373F79E" w14:textId="77777777" w:rsidR="00E202E5" w:rsidRPr="0019790A" w:rsidRDefault="00E202E5" w:rsidP="0019790A">
            <w:pPr>
              <w:jc w:val="both"/>
              <w:rPr>
                <w:rFonts w:cs="Arial"/>
                <w:color w:val="000000"/>
                <w:szCs w:val="22"/>
                <w:lang w:eastAsia="it-IT"/>
              </w:rPr>
            </w:pPr>
          </w:p>
        </w:tc>
        <w:tc>
          <w:tcPr>
            <w:tcW w:w="1444" w:type="dxa"/>
            <w:gridSpan w:val="3"/>
            <w:vAlign w:val="center"/>
          </w:tcPr>
          <w:p w14:paraId="2C9A5644" w14:textId="77777777" w:rsidR="00E202E5" w:rsidRPr="0019790A" w:rsidRDefault="00E202E5" w:rsidP="0019790A">
            <w:pPr>
              <w:jc w:val="both"/>
              <w:rPr>
                <w:rFonts w:cs="Arial"/>
                <w:color w:val="000000"/>
                <w:szCs w:val="22"/>
                <w:lang w:eastAsia="it-IT"/>
              </w:rPr>
            </w:pPr>
          </w:p>
        </w:tc>
        <w:tc>
          <w:tcPr>
            <w:tcW w:w="1416" w:type="dxa"/>
            <w:gridSpan w:val="2"/>
            <w:vAlign w:val="center"/>
          </w:tcPr>
          <w:p w14:paraId="655AC2F3" w14:textId="31B94BB6" w:rsidR="00E202E5" w:rsidRPr="0019790A" w:rsidRDefault="00E202E5" w:rsidP="0019790A">
            <w:pPr>
              <w:jc w:val="both"/>
              <w:rPr>
                <w:rFonts w:cs="Arial"/>
                <w:color w:val="000000"/>
                <w:szCs w:val="22"/>
                <w:lang w:eastAsia="it-IT"/>
              </w:rPr>
            </w:pPr>
          </w:p>
        </w:tc>
      </w:tr>
      <w:tr w:rsidR="00E202E5" w:rsidRPr="0019790A" w14:paraId="06CC75BF" w14:textId="48D628D5" w:rsidTr="00E202E5">
        <w:trPr>
          <w:trHeight w:val="165"/>
          <w:jc w:val="right"/>
        </w:trPr>
        <w:tc>
          <w:tcPr>
            <w:tcW w:w="3424" w:type="dxa"/>
            <w:shd w:val="clear" w:color="auto" w:fill="FFFFFF"/>
            <w:vAlign w:val="center"/>
          </w:tcPr>
          <w:p w14:paraId="714ABC23" w14:textId="77777777" w:rsidR="00E202E5" w:rsidRPr="0019790A" w:rsidRDefault="00E202E5" w:rsidP="0019790A">
            <w:pPr>
              <w:rPr>
                <w:rFonts w:cs="Arial"/>
                <w:color w:val="000000"/>
                <w:szCs w:val="22"/>
              </w:rPr>
            </w:pPr>
            <w:r w:rsidRPr="0019790A">
              <w:rPr>
                <w:rFonts w:cs="Arial"/>
                <w:color w:val="000000"/>
                <w:szCs w:val="22"/>
              </w:rPr>
              <w:t>-бюджет Жмеринської МТГ;</w:t>
            </w:r>
          </w:p>
        </w:tc>
        <w:tc>
          <w:tcPr>
            <w:tcW w:w="1290" w:type="dxa"/>
            <w:gridSpan w:val="2"/>
            <w:vAlign w:val="center"/>
          </w:tcPr>
          <w:p w14:paraId="5B207244" w14:textId="125A596C" w:rsidR="00E202E5" w:rsidRPr="0019790A" w:rsidRDefault="00E202E5" w:rsidP="00E202E5">
            <w:pPr>
              <w:jc w:val="center"/>
              <w:rPr>
                <w:rFonts w:cs="Arial"/>
                <w:color w:val="000000"/>
                <w:szCs w:val="22"/>
                <w:lang w:eastAsia="it-IT"/>
              </w:rPr>
            </w:pPr>
            <w:r w:rsidRPr="0019790A">
              <w:rPr>
                <w:rFonts w:cs="Arial"/>
                <w:color w:val="000000"/>
                <w:szCs w:val="22"/>
                <w:lang w:eastAsia="it-IT"/>
              </w:rPr>
              <w:t>2600,000</w:t>
            </w:r>
          </w:p>
        </w:tc>
        <w:tc>
          <w:tcPr>
            <w:tcW w:w="1377" w:type="dxa"/>
            <w:vAlign w:val="center"/>
          </w:tcPr>
          <w:p w14:paraId="04C0AED9" w14:textId="755716A3" w:rsidR="00E202E5" w:rsidRPr="0019790A" w:rsidRDefault="00E202E5" w:rsidP="00E202E5">
            <w:pPr>
              <w:jc w:val="center"/>
              <w:rPr>
                <w:rFonts w:cs="Arial"/>
                <w:color w:val="000000"/>
                <w:szCs w:val="22"/>
                <w:lang w:eastAsia="it-IT"/>
              </w:rPr>
            </w:pPr>
          </w:p>
        </w:tc>
        <w:tc>
          <w:tcPr>
            <w:tcW w:w="1250" w:type="dxa"/>
            <w:vAlign w:val="center"/>
          </w:tcPr>
          <w:p w14:paraId="4D0CB1BC" w14:textId="77777777" w:rsidR="00E202E5" w:rsidRPr="0019790A" w:rsidRDefault="00E202E5" w:rsidP="00E202E5">
            <w:pPr>
              <w:jc w:val="center"/>
              <w:rPr>
                <w:rFonts w:cs="Arial"/>
                <w:color w:val="000000"/>
                <w:szCs w:val="22"/>
                <w:lang w:eastAsia="it-IT"/>
              </w:rPr>
            </w:pPr>
          </w:p>
        </w:tc>
        <w:tc>
          <w:tcPr>
            <w:tcW w:w="1477" w:type="dxa"/>
            <w:gridSpan w:val="4"/>
            <w:vAlign w:val="center"/>
          </w:tcPr>
          <w:p w14:paraId="1703625A" w14:textId="77777777" w:rsidR="00E202E5" w:rsidRPr="0019790A" w:rsidRDefault="00E202E5" w:rsidP="00E202E5">
            <w:pPr>
              <w:jc w:val="center"/>
              <w:rPr>
                <w:rFonts w:cs="Arial"/>
                <w:color w:val="000000"/>
                <w:szCs w:val="22"/>
                <w:lang w:eastAsia="it-IT"/>
              </w:rPr>
            </w:pPr>
          </w:p>
        </w:tc>
        <w:tc>
          <w:tcPr>
            <w:tcW w:w="1396" w:type="dxa"/>
            <w:gridSpan w:val="2"/>
            <w:vAlign w:val="center"/>
          </w:tcPr>
          <w:p w14:paraId="5AE95AB4" w14:textId="4C19DB6A" w:rsidR="00E202E5" w:rsidRPr="0019790A" w:rsidRDefault="00E202E5" w:rsidP="00E202E5">
            <w:pPr>
              <w:ind w:left="205"/>
              <w:jc w:val="center"/>
              <w:rPr>
                <w:rFonts w:cs="Arial"/>
                <w:color w:val="000000"/>
                <w:szCs w:val="22"/>
                <w:lang w:eastAsia="it-IT"/>
              </w:rPr>
            </w:pPr>
            <w:r w:rsidRPr="0019790A">
              <w:rPr>
                <w:rFonts w:cs="Arial"/>
                <w:color w:val="000000"/>
                <w:szCs w:val="22"/>
                <w:lang w:eastAsia="it-IT"/>
              </w:rPr>
              <w:t>2600,000</w:t>
            </w:r>
          </w:p>
        </w:tc>
      </w:tr>
      <w:tr w:rsidR="00E202E5" w:rsidRPr="0019790A" w14:paraId="7A8E1DA2" w14:textId="59403F5D" w:rsidTr="00E202E5">
        <w:trPr>
          <w:trHeight w:val="330"/>
          <w:jc w:val="right"/>
        </w:trPr>
        <w:tc>
          <w:tcPr>
            <w:tcW w:w="3424" w:type="dxa"/>
            <w:shd w:val="clear" w:color="auto" w:fill="FFFFFF"/>
            <w:vAlign w:val="center"/>
          </w:tcPr>
          <w:p w14:paraId="6CCDC819" w14:textId="77777777" w:rsidR="00E202E5" w:rsidRPr="0019790A" w:rsidRDefault="00E202E5" w:rsidP="0019790A">
            <w:pPr>
              <w:rPr>
                <w:rFonts w:cs="Arial"/>
                <w:color w:val="000000"/>
                <w:szCs w:val="22"/>
              </w:rPr>
            </w:pPr>
            <w:r w:rsidRPr="0019790A">
              <w:rPr>
                <w:rFonts w:cs="Arial"/>
                <w:color w:val="000000"/>
                <w:szCs w:val="22"/>
              </w:rPr>
              <w:t>-інші джерела фінансування.</w:t>
            </w:r>
          </w:p>
        </w:tc>
        <w:tc>
          <w:tcPr>
            <w:tcW w:w="1290" w:type="dxa"/>
            <w:gridSpan w:val="2"/>
            <w:vAlign w:val="center"/>
          </w:tcPr>
          <w:p w14:paraId="2D824B43" w14:textId="77777777" w:rsidR="00E202E5" w:rsidRPr="0019790A" w:rsidRDefault="00E202E5" w:rsidP="00E202E5">
            <w:pPr>
              <w:jc w:val="center"/>
              <w:rPr>
                <w:rFonts w:cs="Arial"/>
                <w:color w:val="000000"/>
                <w:szCs w:val="22"/>
                <w:lang w:eastAsia="it-IT"/>
              </w:rPr>
            </w:pPr>
          </w:p>
        </w:tc>
        <w:tc>
          <w:tcPr>
            <w:tcW w:w="1377" w:type="dxa"/>
            <w:vAlign w:val="center"/>
          </w:tcPr>
          <w:p w14:paraId="4262F5D3" w14:textId="77777777" w:rsidR="00E202E5" w:rsidRPr="0019790A" w:rsidRDefault="00E202E5" w:rsidP="00E202E5">
            <w:pPr>
              <w:jc w:val="center"/>
              <w:rPr>
                <w:rFonts w:cs="Arial"/>
                <w:color w:val="000000"/>
                <w:szCs w:val="22"/>
                <w:lang w:eastAsia="it-IT"/>
              </w:rPr>
            </w:pPr>
          </w:p>
        </w:tc>
        <w:tc>
          <w:tcPr>
            <w:tcW w:w="1250" w:type="dxa"/>
            <w:vAlign w:val="center"/>
          </w:tcPr>
          <w:p w14:paraId="7FCA1216" w14:textId="77777777" w:rsidR="00E202E5" w:rsidRPr="0019790A" w:rsidRDefault="00E202E5" w:rsidP="00E202E5">
            <w:pPr>
              <w:jc w:val="center"/>
              <w:rPr>
                <w:rFonts w:cs="Arial"/>
                <w:color w:val="000000"/>
                <w:szCs w:val="22"/>
                <w:lang w:eastAsia="it-IT"/>
              </w:rPr>
            </w:pPr>
          </w:p>
        </w:tc>
        <w:tc>
          <w:tcPr>
            <w:tcW w:w="1477" w:type="dxa"/>
            <w:gridSpan w:val="4"/>
            <w:vAlign w:val="center"/>
          </w:tcPr>
          <w:p w14:paraId="14D7BD61" w14:textId="77777777" w:rsidR="00E202E5" w:rsidRPr="0019790A" w:rsidRDefault="00E202E5" w:rsidP="00E202E5">
            <w:pPr>
              <w:jc w:val="center"/>
              <w:rPr>
                <w:rFonts w:cs="Arial"/>
                <w:color w:val="000000"/>
                <w:szCs w:val="22"/>
                <w:lang w:eastAsia="it-IT"/>
              </w:rPr>
            </w:pPr>
          </w:p>
        </w:tc>
        <w:tc>
          <w:tcPr>
            <w:tcW w:w="1396" w:type="dxa"/>
            <w:gridSpan w:val="2"/>
            <w:vAlign w:val="center"/>
          </w:tcPr>
          <w:p w14:paraId="10CBBA90" w14:textId="10868CE4" w:rsidR="00E202E5" w:rsidRPr="0019790A" w:rsidRDefault="00E202E5" w:rsidP="00E202E5">
            <w:pPr>
              <w:jc w:val="center"/>
              <w:rPr>
                <w:rFonts w:cs="Arial"/>
                <w:color w:val="000000"/>
                <w:szCs w:val="22"/>
                <w:lang w:eastAsia="it-IT"/>
              </w:rPr>
            </w:pPr>
          </w:p>
        </w:tc>
      </w:tr>
      <w:tr w:rsidR="001002EC" w:rsidRPr="0019790A" w14:paraId="7532AFC2" w14:textId="77777777" w:rsidTr="00E202E5">
        <w:trPr>
          <w:jc w:val="right"/>
        </w:trPr>
        <w:tc>
          <w:tcPr>
            <w:tcW w:w="3424" w:type="dxa"/>
            <w:shd w:val="clear" w:color="auto" w:fill="FFFFFF"/>
            <w:vAlign w:val="center"/>
          </w:tcPr>
          <w:p w14:paraId="3913B6F4" w14:textId="2444BF4A" w:rsidR="001002EC" w:rsidRPr="0019790A" w:rsidRDefault="001002EC" w:rsidP="0019790A">
            <w:pPr>
              <w:rPr>
                <w:rFonts w:cs="Arial"/>
                <w:b/>
                <w:bCs/>
                <w:color w:val="000000"/>
                <w:szCs w:val="22"/>
              </w:rPr>
            </w:pPr>
            <w:r w:rsidRPr="0019790A">
              <w:rPr>
                <w:rFonts w:cs="Arial"/>
                <w:b/>
                <w:color w:val="000000"/>
                <w:szCs w:val="22"/>
              </w:rPr>
              <w:t xml:space="preserve">Ключові потенційні учасники реалізації </w:t>
            </w:r>
            <w:r w:rsidR="00314B9D">
              <w:rPr>
                <w:rFonts w:cs="Arial"/>
                <w:b/>
                <w:color w:val="000000"/>
                <w:szCs w:val="22"/>
              </w:rPr>
              <w:t>проєкту</w:t>
            </w:r>
            <w:r w:rsidRPr="0019790A">
              <w:rPr>
                <w:rFonts w:cs="Arial"/>
                <w:b/>
                <w:color w:val="000000"/>
                <w:szCs w:val="22"/>
              </w:rPr>
              <w:t>:</w:t>
            </w:r>
          </w:p>
        </w:tc>
        <w:tc>
          <w:tcPr>
            <w:tcW w:w="6790" w:type="dxa"/>
            <w:gridSpan w:val="10"/>
            <w:vAlign w:val="center"/>
          </w:tcPr>
          <w:p w14:paraId="7B332C2D" w14:textId="205FED91" w:rsidR="001002EC" w:rsidRPr="0019790A" w:rsidRDefault="001002EC" w:rsidP="00E202E5">
            <w:pPr>
              <w:jc w:val="both"/>
              <w:rPr>
                <w:rFonts w:cs="Arial"/>
                <w:color w:val="000000"/>
                <w:szCs w:val="22"/>
                <w:lang w:eastAsia="it-IT"/>
              </w:rPr>
            </w:pPr>
            <w:r w:rsidRPr="0019790A">
              <w:rPr>
                <w:rFonts w:cs="Arial"/>
                <w:color w:val="000000"/>
                <w:szCs w:val="22"/>
                <w:lang w:eastAsia="it-IT"/>
              </w:rPr>
              <w:t>КНП «Жмеринська ЦРЛ», Управління соціального захисту населення та охорони здоров’я</w:t>
            </w:r>
          </w:p>
        </w:tc>
      </w:tr>
      <w:tr w:rsidR="001002EC" w:rsidRPr="0019790A" w14:paraId="3F06EBC5" w14:textId="77777777" w:rsidTr="00E202E5">
        <w:trPr>
          <w:jc w:val="right"/>
        </w:trPr>
        <w:tc>
          <w:tcPr>
            <w:tcW w:w="3424" w:type="dxa"/>
            <w:shd w:val="clear" w:color="auto" w:fill="FFFFFF"/>
            <w:vAlign w:val="center"/>
          </w:tcPr>
          <w:p w14:paraId="348D9798" w14:textId="77777777" w:rsidR="001002EC" w:rsidRPr="0019790A" w:rsidRDefault="001002EC" w:rsidP="0019790A">
            <w:pPr>
              <w:rPr>
                <w:rFonts w:cs="Arial"/>
                <w:b/>
                <w:bCs/>
                <w:color w:val="000000"/>
                <w:szCs w:val="22"/>
              </w:rPr>
            </w:pPr>
            <w:r w:rsidRPr="0019790A">
              <w:rPr>
                <w:rFonts w:cs="Arial"/>
                <w:b/>
                <w:bCs/>
                <w:color w:val="000000"/>
                <w:szCs w:val="22"/>
              </w:rPr>
              <w:t>Інше:</w:t>
            </w:r>
          </w:p>
        </w:tc>
        <w:tc>
          <w:tcPr>
            <w:tcW w:w="6790" w:type="dxa"/>
            <w:gridSpan w:val="10"/>
            <w:vAlign w:val="center"/>
          </w:tcPr>
          <w:p w14:paraId="36FD6E46" w14:textId="77777777" w:rsidR="001002EC" w:rsidRPr="0019790A" w:rsidRDefault="001002EC" w:rsidP="0019790A">
            <w:pPr>
              <w:rPr>
                <w:rFonts w:cs="Arial"/>
                <w:color w:val="000000"/>
                <w:szCs w:val="22"/>
                <w:lang w:eastAsia="it-IT"/>
              </w:rPr>
            </w:pPr>
          </w:p>
          <w:p w14:paraId="337C34EB" w14:textId="77777777" w:rsidR="001002EC" w:rsidRPr="0019790A" w:rsidRDefault="001002EC" w:rsidP="0019790A">
            <w:pPr>
              <w:rPr>
                <w:rFonts w:cs="Arial"/>
                <w:color w:val="000000"/>
                <w:szCs w:val="22"/>
                <w:lang w:eastAsia="it-IT"/>
              </w:rPr>
            </w:pPr>
          </w:p>
        </w:tc>
      </w:tr>
    </w:tbl>
    <w:p w14:paraId="078FBA96" w14:textId="77777777" w:rsidR="001002EC" w:rsidRPr="0019790A" w:rsidRDefault="001002EC" w:rsidP="0019790A">
      <w:pPr>
        <w:rPr>
          <w:rFonts w:cs="Arial"/>
          <w:szCs w:val="22"/>
        </w:rPr>
      </w:pPr>
    </w:p>
    <w:p w14:paraId="6D20CA11" w14:textId="77777777" w:rsidR="001002EC" w:rsidRPr="0019790A" w:rsidRDefault="001002EC" w:rsidP="0019790A">
      <w:pPr>
        <w:jc w:val="center"/>
        <w:rPr>
          <w:rFonts w:cs="Arial"/>
          <w:b/>
          <w:color w:val="000000"/>
          <w:szCs w:val="22"/>
        </w:rPr>
      </w:pPr>
    </w:p>
    <w:p w14:paraId="1DF4ED68" w14:textId="60C54958" w:rsidR="001002EC" w:rsidRPr="0019790A" w:rsidRDefault="001002EC" w:rsidP="0019790A">
      <w:pPr>
        <w:jc w:val="center"/>
        <w:rPr>
          <w:rFonts w:cs="Arial"/>
          <w:b/>
          <w:color w:val="000000"/>
          <w:szCs w:val="22"/>
        </w:rPr>
      </w:pPr>
      <w:r w:rsidRPr="0019790A">
        <w:rPr>
          <w:rFonts w:cs="Arial"/>
          <w:b/>
          <w:color w:val="000000"/>
          <w:szCs w:val="22"/>
        </w:rPr>
        <w:t xml:space="preserve">Форма технічного завдання на </w:t>
      </w:r>
      <w:r w:rsidR="00314B9D">
        <w:rPr>
          <w:rFonts w:cs="Arial"/>
          <w:b/>
          <w:color w:val="000000"/>
          <w:szCs w:val="22"/>
        </w:rPr>
        <w:t>проєкт</w:t>
      </w:r>
      <w:r w:rsidRPr="0019790A">
        <w:rPr>
          <w:rFonts w:cs="Arial"/>
          <w:b/>
          <w:color w:val="000000"/>
          <w:szCs w:val="22"/>
        </w:rPr>
        <w:t xml:space="preserve"> місцевого розвитку </w:t>
      </w:r>
    </w:p>
    <w:p w14:paraId="584472BD" w14:textId="77777777" w:rsidR="001002EC" w:rsidRPr="0019790A" w:rsidRDefault="001002EC" w:rsidP="0019790A">
      <w:pPr>
        <w:jc w:val="center"/>
        <w:rPr>
          <w:rFonts w:cs="Arial"/>
          <w:b/>
          <w:color w:val="000000"/>
          <w:szCs w:val="22"/>
        </w:rPr>
      </w:pPr>
      <w:r w:rsidRPr="0019790A">
        <w:rPr>
          <w:rFonts w:cs="Arial"/>
          <w:b/>
          <w:color w:val="000000"/>
          <w:szCs w:val="22"/>
        </w:rPr>
        <w:t>до Плану заходів з реалізації Стратегії</w:t>
      </w:r>
    </w:p>
    <w:p w14:paraId="54F2B332" w14:textId="77777777" w:rsidR="001002EC" w:rsidRPr="0019790A" w:rsidRDefault="001002EC"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3"/>
        <w:gridCol w:w="1254"/>
        <w:gridCol w:w="23"/>
        <w:gridCol w:w="1391"/>
        <w:gridCol w:w="1412"/>
        <w:gridCol w:w="7"/>
        <w:gridCol w:w="1275"/>
        <w:gridCol w:w="125"/>
        <w:gridCol w:w="8"/>
        <w:gridCol w:w="1301"/>
      </w:tblGrid>
      <w:tr w:rsidR="001002EC" w:rsidRPr="0019790A" w14:paraId="7F2A29C2" w14:textId="77777777" w:rsidTr="00E202E5">
        <w:trPr>
          <w:trHeight w:val="422"/>
          <w:jc w:val="right"/>
        </w:trPr>
        <w:tc>
          <w:tcPr>
            <w:tcW w:w="3423" w:type="dxa"/>
            <w:vAlign w:val="center"/>
          </w:tcPr>
          <w:p w14:paraId="7DD16CA3" w14:textId="39F3CED9" w:rsidR="001002EC" w:rsidRPr="0019790A" w:rsidRDefault="001002EC" w:rsidP="00E202E5">
            <w:pPr>
              <w:rPr>
                <w:rFonts w:cs="Arial"/>
                <w:b/>
                <w:szCs w:val="22"/>
              </w:rPr>
            </w:pPr>
            <w:r w:rsidRPr="0019790A">
              <w:rPr>
                <w:rFonts w:cs="Arial"/>
                <w:b/>
                <w:szCs w:val="22"/>
              </w:rPr>
              <w:t xml:space="preserve">Назва </w:t>
            </w:r>
            <w:r w:rsidR="00314B9D">
              <w:rPr>
                <w:rFonts w:cs="Arial"/>
                <w:b/>
                <w:szCs w:val="22"/>
              </w:rPr>
              <w:t>проєкту</w:t>
            </w:r>
            <w:r w:rsidRPr="0019790A">
              <w:rPr>
                <w:rFonts w:cs="Arial"/>
                <w:b/>
                <w:szCs w:val="22"/>
              </w:rPr>
              <w:t>:</w:t>
            </w:r>
          </w:p>
        </w:tc>
        <w:tc>
          <w:tcPr>
            <w:tcW w:w="6796" w:type="dxa"/>
            <w:gridSpan w:val="9"/>
            <w:vAlign w:val="center"/>
          </w:tcPr>
          <w:p w14:paraId="6641A37F" w14:textId="77777777" w:rsidR="001002EC" w:rsidRPr="0019790A" w:rsidRDefault="001002EC" w:rsidP="00E202E5">
            <w:pPr>
              <w:rPr>
                <w:rFonts w:cs="Arial"/>
                <w:b/>
                <w:szCs w:val="22"/>
              </w:rPr>
            </w:pPr>
            <w:r w:rsidRPr="0019790A">
              <w:rPr>
                <w:rFonts w:cs="Arial"/>
                <w:b/>
                <w:szCs w:val="22"/>
              </w:rPr>
              <w:t>Придбання лапароскопічного обладнання</w:t>
            </w:r>
          </w:p>
        </w:tc>
      </w:tr>
      <w:tr w:rsidR="001002EC" w:rsidRPr="0019790A" w14:paraId="17488F3D" w14:textId="77777777" w:rsidTr="00E202E5">
        <w:trPr>
          <w:jc w:val="right"/>
        </w:trPr>
        <w:tc>
          <w:tcPr>
            <w:tcW w:w="3423" w:type="dxa"/>
            <w:tcBorders>
              <w:bottom w:val="nil"/>
            </w:tcBorders>
          </w:tcPr>
          <w:p w14:paraId="0F90E387" w14:textId="77777777" w:rsidR="001002EC" w:rsidRPr="0019790A" w:rsidRDefault="001002EC"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447562D2" w14:textId="77777777" w:rsidR="001002EC" w:rsidRPr="0019790A" w:rsidRDefault="001002EC" w:rsidP="0019790A">
            <w:pPr>
              <w:rPr>
                <w:rFonts w:cs="Arial"/>
                <w:b/>
                <w:bCs/>
                <w:szCs w:val="22"/>
              </w:rPr>
            </w:pPr>
            <w:r w:rsidRPr="0019790A">
              <w:rPr>
                <w:rFonts w:cs="Arial"/>
                <w:szCs w:val="22"/>
                <w:lang w:eastAsia="it-IT"/>
              </w:rPr>
              <w:t>Назва установи, організації, підприємства</w:t>
            </w:r>
          </w:p>
        </w:tc>
        <w:tc>
          <w:tcPr>
            <w:tcW w:w="6796" w:type="dxa"/>
            <w:gridSpan w:val="9"/>
          </w:tcPr>
          <w:p w14:paraId="665CF5A4" w14:textId="77777777" w:rsidR="001002EC" w:rsidRPr="0019790A" w:rsidRDefault="001002EC" w:rsidP="00E202E5">
            <w:pPr>
              <w:jc w:val="both"/>
              <w:rPr>
                <w:rFonts w:cs="Arial"/>
                <w:szCs w:val="22"/>
                <w:lang w:eastAsia="it-IT"/>
              </w:rPr>
            </w:pPr>
            <w:r w:rsidRPr="0019790A">
              <w:rPr>
                <w:rFonts w:cs="Arial"/>
                <w:szCs w:val="22"/>
                <w:lang w:eastAsia="it-IT"/>
              </w:rPr>
              <w:t>Комунальне некомерційне підприємство «Жмеринська центральна районна лікарня» Жмеринської міської ради</w:t>
            </w:r>
          </w:p>
        </w:tc>
      </w:tr>
      <w:tr w:rsidR="001002EC" w:rsidRPr="0019790A" w14:paraId="0B9D3481" w14:textId="77777777" w:rsidTr="00E202E5">
        <w:trPr>
          <w:jc w:val="right"/>
        </w:trPr>
        <w:tc>
          <w:tcPr>
            <w:tcW w:w="3423" w:type="dxa"/>
            <w:tcBorders>
              <w:top w:val="nil"/>
            </w:tcBorders>
          </w:tcPr>
          <w:p w14:paraId="55ABD7E6" w14:textId="77777777" w:rsidR="001002EC" w:rsidRPr="0019790A" w:rsidRDefault="001002EC" w:rsidP="0019790A">
            <w:pPr>
              <w:rPr>
                <w:rFonts w:cs="Arial"/>
                <w:b/>
                <w:bCs/>
                <w:szCs w:val="22"/>
              </w:rPr>
            </w:pPr>
            <w:r w:rsidRPr="0019790A">
              <w:rPr>
                <w:rFonts w:cs="Arial"/>
                <w:szCs w:val="22"/>
                <w:lang w:eastAsia="it-IT"/>
              </w:rPr>
              <w:t>Прізвище Ім’я По-батькові:</w:t>
            </w:r>
          </w:p>
        </w:tc>
        <w:tc>
          <w:tcPr>
            <w:tcW w:w="6796" w:type="dxa"/>
            <w:gridSpan w:val="9"/>
          </w:tcPr>
          <w:p w14:paraId="3C8669FF" w14:textId="77777777" w:rsidR="001002EC" w:rsidRPr="0019790A" w:rsidRDefault="001002EC" w:rsidP="00E202E5">
            <w:pPr>
              <w:jc w:val="both"/>
              <w:rPr>
                <w:rFonts w:cs="Arial"/>
                <w:szCs w:val="22"/>
                <w:lang w:eastAsia="it-IT"/>
              </w:rPr>
            </w:pPr>
            <w:r w:rsidRPr="0019790A">
              <w:rPr>
                <w:rFonts w:cs="Arial"/>
                <w:szCs w:val="22"/>
                <w:lang w:eastAsia="it-IT"/>
              </w:rPr>
              <w:t>Боровський Ростислав Васильович</w:t>
            </w:r>
          </w:p>
        </w:tc>
      </w:tr>
      <w:tr w:rsidR="001002EC" w:rsidRPr="0019790A" w14:paraId="02B4845A" w14:textId="77777777" w:rsidTr="00E202E5">
        <w:trPr>
          <w:jc w:val="right"/>
        </w:trPr>
        <w:tc>
          <w:tcPr>
            <w:tcW w:w="3423" w:type="dxa"/>
          </w:tcPr>
          <w:p w14:paraId="28F3FCAD" w14:textId="77777777" w:rsidR="001002EC" w:rsidRPr="0019790A" w:rsidRDefault="001002EC" w:rsidP="0019790A">
            <w:pPr>
              <w:rPr>
                <w:rFonts w:cs="Arial"/>
                <w:b/>
                <w:bCs/>
                <w:szCs w:val="22"/>
              </w:rPr>
            </w:pPr>
            <w:r w:rsidRPr="0019790A">
              <w:rPr>
                <w:rFonts w:cs="Arial"/>
                <w:szCs w:val="22"/>
                <w:lang w:eastAsia="it-IT"/>
              </w:rPr>
              <w:t>Телефон (мобільний):</w:t>
            </w:r>
          </w:p>
        </w:tc>
        <w:tc>
          <w:tcPr>
            <w:tcW w:w="6796" w:type="dxa"/>
            <w:gridSpan w:val="9"/>
          </w:tcPr>
          <w:p w14:paraId="33313B16" w14:textId="77777777" w:rsidR="001002EC" w:rsidRPr="0019790A" w:rsidRDefault="001002EC" w:rsidP="00E202E5">
            <w:pPr>
              <w:jc w:val="both"/>
              <w:rPr>
                <w:rFonts w:cs="Arial"/>
                <w:szCs w:val="22"/>
                <w:lang w:eastAsia="it-IT"/>
              </w:rPr>
            </w:pPr>
            <w:r w:rsidRPr="0019790A">
              <w:rPr>
                <w:rFonts w:cs="Arial"/>
                <w:szCs w:val="22"/>
                <w:lang w:eastAsia="it-IT"/>
              </w:rPr>
              <w:t>0978652320</w:t>
            </w:r>
          </w:p>
        </w:tc>
      </w:tr>
      <w:tr w:rsidR="001002EC" w:rsidRPr="0019790A" w14:paraId="49F4B628" w14:textId="77777777" w:rsidTr="00E202E5">
        <w:trPr>
          <w:jc w:val="right"/>
        </w:trPr>
        <w:tc>
          <w:tcPr>
            <w:tcW w:w="3423" w:type="dxa"/>
          </w:tcPr>
          <w:p w14:paraId="62461D80" w14:textId="77777777" w:rsidR="001002EC" w:rsidRPr="0019790A" w:rsidRDefault="001002EC" w:rsidP="0019790A">
            <w:pPr>
              <w:rPr>
                <w:rFonts w:cs="Arial"/>
                <w:b/>
                <w:bCs/>
                <w:szCs w:val="22"/>
              </w:rPr>
            </w:pPr>
            <w:r w:rsidRPr="0019790A">
              <w:rPr>
                <w:rFonts w:cs="Arial"/>
                <w:szCs w:val="22"/>
                <w:lang w:eastAsia="it-IT"/>
              </w:rPr>
              <w:t>Електронна адреса:</w:t>
            </w:r>
          </w:p>
        </w:tc>
        <w:tc>
          <w:tcPr>
            <w:tcW w:w="6796" w:type="dxa"/>
            <w:gridSpan w:val="9"/>
          </w:tcPr>
          <w:p w14:paraId="36E6A92B" w14:textId="65B52FAB" w:rsidR="001002EC" w:rsidRPr="0019790A" w:rsidRDefault="00D85FFD" w:rsidP="00E202E5">
            <w:pPr>
              <w:jc w:val="both"/>
              <w:rPr>
                <w:rFonts w:cs="Arial"/>
                <w:szCs w:val="22"/>
                <w:lang w:eastAsia="it-IT"/>
              </w:rPr>
            </w:pPr>
            <w:hyperlink r:id="rId124" w:history="1">
              <w:r w:rsidR="00E202E5" w:rsidRPr="00BF0394">
                <w:rPr>
                  <w:rStyle w:val="af0"/>
                  <w:rFonts w:cs="Arial"/>
                  <w:noProof w:val="0"/>
                  <w:sz w:val="22"/>
                  <w:szCs w:val="22"/>
                  <w:lang w:eastAsia="it-IT"/>
                </w:rPr>
                <w:t>zhcrl@ukr.net</w:t>
              </w:r>
            </w:hyperlink>
            <w:r w:rsidR="00E202E5">
              <w:rPr>
                <w:rFonts w:cs="Arial"/>
                <w:szCs w:val="22"/>
                <w:lang w:eastAsia="it-IT"/>
              </w:rPr>
              <w:t xml:space="preserve"> </w:t>
            </w:r>
          </w:p>
        </w:tc>
      </w:tr>
      <w:tr w:rsidR="001002EC" w:rsidRPr="0019790A" w14:paraId="4597C914" w14:textId="77777777" w:rsidTr="00E202E5">
        <w:trPr>
          <w:jc w:val="right"/>
        </w:trPr>
        <w:tc>
          <w:tcPr>
            <w:tcW w:w="3423" w:type="dxa"/>
            <w:vAlign w:val="center"/>
          </w:tcPr>
          <w:p w14:paraId="4BFCE6B6" w14:textId="6DE15D68" w:rsidR="001002EC" w:rsidRPr="0019790A" w:rsidRDefault="001002EC" w:rsidP="0019790A">
            <w:pPr>
              <w:pStyle w:val="6"/>
              <w:spacing w:before="0" w:after="0"/>
              <w:rPr>
                <w:rFonts w:ascii="Arial" w:hAnsi="Arial" w:cs="Arial"/>
                <w:color w:val="000000"/>
                <w:lang w:val="uk-UA"/>
              </w:rPr>
            </w:pPr>
            <w:r w:rsidRPr="0019790A">
              <w:rPr>
                <w:rFonts w:ascii="Arial" w:hAnsi="Arial" w:cs="Arial"/>
                <w:color w:val="000000"/>
                <w:lang w:val="uk-UA"/>
              </w:rPr>
              <w:t>Номер і назва завдання з Стратегії</w:t>
            </w:r>
            <w:r w:rsidRPr="0019790A">
              <w:rPr>
                <w:rFonts w:ascii="Arial" w:hAnsi="Arial" w:cs="Arial"/>
                <w:lang w:val="uk-UA" w:eastAsia="it-IT"/>
              </w:rPr>
              <w:t xml:space="preserve"> </w:t>
            </w:r>
            <w:r w:rsidRPr="0019790A">
              <w:rPr>
                <w:rFonts w:ascii="Arial" w:hAnsi="Arial" w:cs="Arial"/>
                <w:color w:val="000000"/>
                <w:lang w:val="uk-UA"/>
              </w:rPr>
              <w:t xml:space="preserve">розвитку Жмеринської міської територіальної громади,  якому відповідає </w:t>
            </w:r>
            <w:r w:rsidR="00314B9D">
              <w:rPr>
                <w:rFonts w:ascii="Arial" w:hAnsi="Arial" w:cs="Arial"/>
                <w:color w:val="000000"/>
                <w:lang w:val="uk-UA"/>
              </w:rPr>
              <w:t>проєкт</w:t>
            </w:r>
            <w:r w:rsidRPr="0019790A">
              <w:rPr>
                <w:rFonts w:ascii="Arial" w:hAnsi="Arial" w:cs="Arial"/>
                <w:color w:val="000000"/>
                <w:lang w:val="uk-UA"/>
              </w:rPr>
              <w:t>:</w:t>
            </w:r>
          </w:p>
        </w:tc>
        <w:tc>
          <w:tcPr>
            <w:tcW w:w="6796" w:type="dxa"/>
            <w:gridSpan w:val="9"/>
          </w:tcPr>
          <w:p w14:paraId="402BA737" w14:textId="77777777" w:rsidR="001002EC" w:rsidRPr="0019790A" w:rsidRDefault="001002EC" w:rsidP="00E202E5">
            <w:pPr>
              <w:pBdr>
                <w:left w:val="single" w:sz="18" w:space="4" w:color="auto"/>
              </w:pBdr>
              <w:jc w:val="both"/>
              <w:rPr>
                <w:rFonts w:cs="Arial"/>
                <w:iCs/>
                <w:szCs w:val="22"/>
                <w:lang w:eastAsia="it-IT"/>
              </w:rPr>
            </w:pPr>
            <w:r w:rsidRPr="0019790A">
              <w:rPr>
                <w:rFonts w:cs="Arial"/>
                <w:iCs/>
                <w:szCs w:val="22"/>
                <w:lang w:eastAsia="it-IT"/>
              </w:rPr>
              <w:t>С.2.Забезпечення доступу до якісної системи охорони здоров’я</w:t>
            </w:r>
          </w:p>
          <w:p w14:paraId="65BAAD50" w14:textId="77777777" w:rsidR="001002EC" w:rsidRPr="0019790A" w:rsidRDefault="001002EC" w:rsidP="00E202E5">
            <w:pPr>
              <w:pBdr>
                <w:left w:val="single" w:sz="18" w:space="4" w:color="auto"/>
              </w:pBdr>
              <w:jc w:val="both"/>
              <w:rPr>
                <w:rFonts w:cs="Arial"/>
                <w:szCs w:val="22"/>
                <w:lang w:eastAsia="it-IT"/>
              </w:rPr>
            </w:pPr>
          </w:p>
        </w:tc>
      </w:tr>
      <w:tr w:rsidR="001002EC" w:rsidRPr="0019790A" w14:paraId="571E6751" w14:textId="77777777" w:rsidTr="00E202E5">
        <w:trPr>
          <w:trHeight w:val="501"/>
          <w:jc w:val="right"/>
        </w:trPr>
        <w:tc>
          <w:tcPr>
            <w:tcW w:w="3423" w:type="dxa"/>
            <w:vAlign w:val="center"/>
          </w:tcPr>
          <w:p w14:paraId="6B09D722" w14:textId="6868F888" w:rsidR="001002EC" w:rsidRPr="0019790A" w:rsidRDefault="001002EC" w:rsidP="0019790A">
            <w:pPr>
              <w:rPr>
                <w:rFonts w:cs="Arial"/>
                <w:b/>
                <w:bCs/>
                <w:color w:val="000000"/>
                <w:szCs w:val="22"/>
              </w:rPr>
            </w:pPr>
            <w:r w:rsidRPr="0019790A">
              <w:rPr>
                <w:rFonts w:cs="Arial"/>
                <w:b/>
                <w:bCs/>
                <w:color w:val="000000"/>
                <w:szCs w:val="22"/>
              </w:rPr>
              <w:t xml:space="preserve">Мета </w:t>
            </w:r>
            <w:r w:rsidR="00314B9D">
              <w:rPr>
                <w:rFonts w:cs="Arial"/>
                <w:b/>
                <w:bCs/>
                <w:color w:val="000000"/>
                <w:szCs w:val="22"/>
              </w:rPr>
              <w:t>проєкту</w:t>
            </w:r>
            <w:r w:rsidRPr="0019790A">
              <w:rPr>
                <w:rFonts w:cs="Arial"/>
                <w:b/>
                <w:bCs/>
                <w:color w:val="000000"/>
                <w:szCs w:val="22"/>
              </w:rPr>
              <w:t>:</w:t>
            </w:r>
          </w:p>
        </w:tc>
        <w:tc>
          <w:tcPr>
            <w:tcW w:w="6796" w:type="dxa"/>
            <w:gridSpan w:val="9"/>
          </w:tcPr>
          <w:p w14:paraId="738F2F81" w14:textId="77777777" w:rsidR="001002EC" w:rsidRPr="0019790A" w:rsidRDefault="001002EC" w:rsidP="00E202E5">
            <w:pPr>
              <w:jc w:val="both"/>
              <w:rPr>
                <w:rFonts w:cs="Arial"/>
                <w:szCs w:val="22"/>
                <w:lang w:eastAsia="it-IT"/>
              </w:rPr>
            </w:pPr>
            <w:r w:rsidRPr="0019790A">
              <w:rPr>
                <w:rFonts w:cs="Arial"/>
                <w:szCs w:val="22"/>
                <w:lang w:eastAsia="it-IT"/>
              </w:rPr>
              <w:t>Підвищити якість надання медичного обслуговування у закладі</w:t>
            </w:r>
          </w:p>
        </w:tc>
      </w:tr>
      <w:tr w:rsidR="001002EC" w:rsidRPr="0019790A" w14:paraId="2A60D3CC" w14:textId="77777777" w:rsidTr="00E202E5">
        <w:trPr>
          <w:jc w:val="right"/>
        </w:trPr>
        <w:tc>
          <w:tcPr>
            <w:tcW w:w="3423" w:type="dxa"/>
            <w:vAlign w:val="center"/>
          </w:tcPr>
          <w:p w14:paraId="446E6737" w14:textId="6C1068A2" w:rsidR="001002EC" w:rsidRPr="0019790A" w:rsidRDefault="001002EC" w:rsidP="0019790A">
            <w:pPr>
              <w:rPr>
                <w:rFonts w:cs="Arial"/>
                <w:b/>
                <w:bCs/>
                <w:color w:val="000000"/>
                <w:szCs w:val="22"/>
              </w:rPr>
            </w:pPr>
            <w:r w:rsidRPr="0019790A">
              <w:rPr>
                <w:rFonts w:cs="Arial"/>
                <w:b/>
                <w:bCs/>
                <w:color w:val="000000"/>
                <w:szCs w:val="22"/>
              </w:rPr>
              <w:t xml:space="preserve">Цілі </w:t>
            </w:r>
            <w:r w:rsidR="00314B9D">
              <w:rPr>
                <w:rFonts w:cs="Arial"/>
                <w:b/>
                <w:bCs/>
                <w:color w:val="000000"/>
                <w:szCs w:val="22"/>
              </w:rPr>
              <w:t>проєкту</w:t>
            </w:r>
            <w:r w:rsidRPr="0019790A">
              <w:rPr>
                <w:rFonts w:cs="Arial"/>
                <w:b/>
                <w:bCs/>
                <w:color w:val="000000"/>
                <w:szCs w:val="22"/>
              </w:rPr>
              <w:t>:</w:t>
            </w:r>
          </w:p>
        </w:tc>
        <w:tc>
          <w:tcPr>
            <w:tcW w:w="6796" w:type="dxa"/>
            <w:gridSpan w:val="9"/>
          </w:tcPr>
          <w:p w14:paraId="5A7A8C2F" w14:textId="77777777" w:rsidR="001002EC" w:rsidRPr="0019790A" w:rsidRDefault="001002EC" w:rsidP="00E202E5">
            <w:pPr>
              <w:jc w:val="both"/>
              <w:rPr>
                <w:rFonts w:cs="Arial"/>
                <w:szCs w:val="22"/>
                <w:lang w:eastAsia="it-IT"/>
              </w:rPr>
            </w:pPr>
            <w:r w:rsidRPr="0019790A">
              <w:rPr>
                <w:rFonts w:cs="Arial"/>
                <w:szCs w:val="22"/>
                <w:lang w:eastAsia="it-IT"/>
              </w:rPr>
              <w:t>Якісне надання медичної допомоги</w:t>
            </w:r>
          </w:p>
        </w:tc>
      </w:tr>
      <w:tr w:rsidR="001002EC" w:rsidRPr="0019790A" w14:paraId="78C4C344" w14:textId="77777777" w:rsidTr="00E202E5">
        <w:trPr>
          <w:jc w:val="right"/>
        </w:trPr>
        <w:tc>
          <w:tcPr>
            <w:tcW w:w="3423" w:type="dxa"/>
            <w:vAlign w:val="center"/>
          </w:tcPr>
          <w:p w14:paraId="5FAA0217" w14:textId="3ACCB80F" w:rsidR="001002EC" w:rsidRPr="0019790A" w:rsidRDefault="001002EC" w:rsidP="0019790A">
            <w:pPr>
              <w:autoSpaceDE w:val="0"/>
              <w:autoSpaceDN w:val="0"/>
              <w:adjustRightInd w:val="0"/>
              <w:rPr>
                <w:rFonts w:cs="Arial"/>
                <w:b/>
                <w:color w:val="000000"/>
                <w:szCs w:val="22"/>
              </w:rPr>
            </w:pPr>
            <w:r w:rsidRPr="0019790A">
              <w:rPr>
                <w:rFonts w:cs="Arial"/>
                <w:b/>
                <w:color w:val="000000"/>
                <w:szCs w:val="22"/>
              </w:rPr>
              <w:t xml:space="preserve">Територія на яку </w:t>
            </w:r>
            <w:r w:rsidR="00314B9D">
              <w:rPr>
                <w:rFonts w:cs="Arial"/>
                <w:b/>
                <w:color w:val="000000"/>
                <w:szCs w:val="22"/>
              </w:rPr>
              <w:t>проєкт</w:t>
            </w:r>
            <w:r w:rsidRPr="0019790A">
              <w:rPr>
                <w:rFonts w:cs="Arial"/>
                <w:b/>
                <w:color w:val="000000"/>
                <w:szCs w:val="22"/>
              </w:rPr>
              <w:t xml:space="preserve"> матиме вплив:</w:t>
            </w:r>
          </w:p>
        </w:tc>
        <w:tc>
          <w:tcPr>
            <w:tcW w:w="6796" w:type="dxa"/>
            <w:gridSpan w:val="9"/>
          </w:tcPr>
          <w:p w14:paraId="181F030D" w14:textId="7E4C53F1" w:rsidR="001002EC" w:rsidRPr="0019790A" w:rsidRDefault="001002EC" w:rsidP="00E202E5">
            <w:pPr>
              <w:jc w:val="both"/>
              <w:rPr>
                <w:rFonts w:cs="Arial"/>
                <w:szCs w:val="22"/>
                <w:lang w:eastAsia="it-IT"/>
              </w:rPr>
            </w:pPr>
            <w:r w:rsidRPr="0019790A">
              <w:rPr>
                <w:rFonts w:cs="Arial"/>
                <w:szCs w:val="22"/>
                <w:lang w:eastAsia="it-IT"/>
              </w:rPr>
              <w:t xml:space="preserve">Територія </w:t>
            </w:r>
            <w:r w:rsidR="00E202E5" w:rsidRPr="0019790A">
              <w:rPr>
                <w:rFonts w:cs="Arial"/>
                <w:szCs w:val="22"/>
                <w:lang w:eastAsia="it-IT"/>
              </w:rPr>
              <w:t>Жмеринської</w:t>
            </w:r>
            <w:r w:rsidRPr="0019790A">
              <w:rPr>
                <w:rFonts w:cs="Arial"/>
                <w:szCs w:val="22"/>
                <w:lang w:eastAsia="it-IT"/>
              </w:rPr>
              <w:t xml:space="preserve"> </w:t>
            </w:r>
            <w:r w:rsidR="00E202E5" w:rsidRPr="0019790A">
              <w:rPr>
                <w:rFonts w:cs="Arial"/>
                <w:szCs w:val="22"/>
                <w:lang w:eastAsia="it-IT"/>
              </w:rPr>
              <w:t>міської</w:t>
            </w:r>
            <w:r w:rsidRPr="0019790A">
              <w:rPr>
                <w:rFonts w:cs="Arial"/>
                <w:szCs w:val="22"/>
                <w:lang w:eastAsia="it-IT"/>
              </w:rPr>
              <w:t xml:space="preserve"> </w:t>
            </w:r>
            <w:r w:rsidR="00E202E5" w:rsidRPr="0019790A">
              <w:rPr>
                <w:rFonts w:cs="Arial"/>
                <w:szCs w:val="22"/>
                <w:lang w:eastAsia="it-IT"/>
              </w:rPr>
              <w:t>територіальної</w:t>
            </w:r>
            <w:r w:rsidRPr="0019790A">
              <w:rPr>
                <w:rFonts w:cs="Arial"/>
                <w:szCs w:val="22"/>
                <w:lang w:eastAsia="it-IT"/>
              </w:rPr>
              <w:t xml:space="preserve"> громади площею 530,5 кв.км.</w:t>
            </w:r>
          </w:p>
        </w:tc>
      </w:tr>
      <w:tr w:rsidR="001002EC" w:rsidRPr="0019790A" w14:paraId="460605E4" w14:textId="77777777" w:rsidTr="00E202E5">
        <w:trPr>
          <w:jc w:val="right"/>
        </w:trPr>
        <w:tc>
          <w:tcPr>
            <w:tcW w:w="3423" w:type="dxa"/>
            <w:vAlign w:val="center"/>
          </w:tcPr>
          <w:p w14:paraId="2F83F4BA" w14:textId="77777777" w:rsidR="001002EC" w:rsidRPr="0019790A" w:rsidRDefault="001002EC" w:rsidP="0019790A">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6" w:type="dxa"/>
            <w:gridSpan w:val="9"/>
          </w:tcPr>
          <w:p w14:paraId="74504222" w14:textId="77777777" w:rsidR="001002EC" w:rsidRPr="0019790A" w:rsidRDefault="001002EC" w:rsidP="00E202E5">
            <w:pPr>
              <w:jc w:val="both"/>
              <w:rPr>
                <w:rFonts w:cs="Arial"/>
                <w:szCs w:val="22"/>
                <w:lang w:eastAsia="it-IT"/>
              </w:rPr>
            </w:pPr>
            <w:r w:rsidRPr="0019790A">
              <w:rPr>
                <w:rFonts w:cs="Arial"/>
                <w:szCs w:val="22"/>
                <w:lang w:eastAsia="it-IT"/>
              </w:rPr>
              <w:t>170 тис.осіб дорослого та дитячого населення</w:t>
            </w:r>
          </w:p>
        </w:tc>
      </w:tr>
      <w:tr w:rsidR="001002EC" w:rsidRPr="0019790A" w14:paraId="15006A0A" w14:textId="77777777" w:rsidTr="00E202E5">
        <w:trPr>
          <w:jc w:val="right"/>
        </w:trPr>
        <w:tc>
          <w:tcPr>
            <w:tcW w:w="3423" w:type="dxa"/>
            <w:shd w:val="clear" w:color="auto" w:fill="FFFFFF"/>
            <w:vAlign w:val="center"/>
          </w:tcPr>
          <w:p w14:paraId="701CD943" w14:textId="0E2959B3" w:rsidR="001002EC" w:rsidRPr="0019790A" w:rsidRDefault="001002EC" w:rsidP="0019790A">
            <w:pPr>
              <w:rPr>
                <w:rFonts w:cs="Arial"/>
                <w:b/>
                <w:bCs/>
                <w:color w:val="000000"/>
                <w:szCs w:val="22"/>
              </w:rPr>
            </w:pPr>
            <w:r w:rsidRPr="0019790A">
              <w:rPr>
                <w:rFonts w:cs="Arial"/>
                <w:b/>
                <w:bCs/>
                <w:color w:val="000000"/>
                <w:szCs w:val="22"/>
              </w:rPr>
              <w:t xml:space="preserve">Стислий опис </w:t>
            </w:r>
            <w:r w:rsidR="00314B9D">
              <w:rPr>
                <w:rFonts w:cs="Arial"/>
                <w:b/>
                <w:bCs/>
                <w:color w:val="000000"/>
                <w:szCs w:val="22"/>
              </w:rPr>
              <w:t>проєкту</w:t>
            </w:r>
            <w:r w:rsidRPr="0019790A">
              <w:rPr>
                <w:rFonts w:cs="Arial"/>
                <w:b/>
                <w:bCs/>
                <w:color w:val="000000"/>
                <w:szCs w:val="22"/>
              </w:rPr>
              <w:t>:</w:t>
            </w:r>
          </w:p>
        </w:tc>
        <w:tc>
          <w:tcPr>
            <w:tcW w:w="6796" w:type="dxa"/>
            <w:gridSpan w:val="9"/>
          </w:tcPr>
          <w:p w14:paraId="1DC7CC96" w14:textId="77777777" w:rsidR="001002EC" w:rsidRPr="0019790A" w:rsidRDefault="001002EC" w:rsidP="00E202E5">
            <w:pPr>
              <w:jc w:val="both"/>
              <w:rPr>
                <w:rFonts w:cs="Arial"/>
                <w:szCs w:val="22"/>
                <w:lang w:eastAsia="it-IT"/>
              </w:rPr>
            </w:pPr>
            <w:r w:rsidRPr="0019790A">
              <w:rPr>
                <w:rFonts w:cs="Arial"/>
                <w:szCs w:val="22"/>
                <w:lang w:eastAsia="it-IT"/>
              </w:rPr>
              <w:t>Придбання  лапароскопічного обладнання</w:t>
            </w:r>
          </w:p>
        </w:tc>
      </w:tr>
      <w:tr w:rsidR="001002EC" w:rsidRPr="0019790A" w14:paraId="497D03B9" w14:textId="77777777" w:rsidTr="00E202E5">
        <w:trPr>
          <w:trHeight w:val="538"/>
          <w:jc w:val="right"/>
        </w:trPr>
        <w:tc>
          <w:tcPr>
            <w:tcW w:w="3423" w:type="dxa"/>
            <w:shd w:val="clear" w:color="auto" w:fill="FFFFFF"/>
            <w:vAlign w:val="center"/>
          </w:tcPr>
          <w:p w14:paraId="4BF0C96A" w14:textId="77777777" w:rsidR="001002EC" w:rsidRPr="0019790A" w:rsidRDefault="001002EC" w:rsidP="0019790A">
            <w:pPr>
              <w:rPr>
                <w:rFonts w:cs="Arial"/>
                <w:b/>
                <w:bCs/>
                <w:color w:val="000000"/>
                <w:szCs w:val="22"/>
              </w:rPr>
            </w:pPr>
            <w:r w:rsidRPr="0019790A">
              <w:rPr>
                <w:rFonts w:cs="Arial"/>
                <w:b/>
                <w:bCs/>
                <w:color w:val="000000"/>
                <w:szCs w:val="22"/>
              </w:rPr>
              <w:t>Основні заходи проєкту</w:t>
            </w:r>
          </w:p>
        </w:tc>
        <w:tc>
          <w:tcPr>
            <w:tcW w:w="6796" w:type="dxa"/>
            <w:gridSpan w:val="9"/>
            <w:shd w:val="clear" w:color="auto" w:fill="FFFFFF"/>
          </w:tcPr>
          <w:p w14:paraId="6F6BC1CB" w14:textId="77777777" w:rsidR="001002EC" w:rsidRPr="0019790A" w:rsidRDefault="001002EC" w:rsidP="00E202E5">
            <w:pPr>
              <w:jc w:val="both"/>
              <w:rPr>
                <w:rFonts w:cs="Arial"/>
                <w:szCs w:val="22"/>
                <w:lang w:eastAsia="it-IT"/>
              </w:rPr>
            </w:pPr>
            <w:r w:rsidRPr="0019790A">
              <w:rPr>
                <w:rFonts w:cs="Arial"/>
                <w:szCs w:val="22"/>
                <w:lang w:eastAsia="it-IT"/>
              </w:rPr>
              <w:t>- придбання лапароскопічного обладнання</w:t>
            </w:r>
          </w:p>
          <w:p w14:paraId="13F6843B" w14:textId="77777777" w:rsidR="001002EC" w:rsidRPr="0019790A" w:rsidRDefault="001002EC" w:rsidP="00E202E5">
            <w:pPr>
              <w:jc w:val="both"/>
              <w:rPr>
                <w:rFonts w:cs="Arial"/>
                <w:szCs w:val="22"/>
                <w:lang w:eastAsia="it-IT"/>
              </w:rPr>
            </w:pPr>
          </w:p>
          <w:p w14:paraId="733B8C18" w14:textId="77777777" w:rsidR="001002EC" w:rsidRPr="0019790A" w:rsidRDefault="001002EC" w:rsidP="00E202E5">
            <w:pPr>
              <w:jc w:val="both"/>
              <w:rPr>
                <w:rFonts w:cs="Arial"/>
                <w:szCs w:val="22"/>
                <w:lang w:eastAsia="it-IT"/>
              </w:rPr>
            </w:pPr>
          </w:p>
          <w:p w14:paraId="4E7A6B8E" w14:textId="77777777" w:rsidR="001002EC" w:rsidRPr="0019790A" w:rsidRDefault="001002EC" w:rsidP="00E202E5">
            <w:pPr>
              <w:jc w:val="both"/>
              <w:rPr>
                <w:rFonts w:cs="Arial"/>
                <w:szCs w:val="22"/>
                <w:lang w:eastAsia="it-IT"/>
              </w:rPr>
            </w:pPr>
          </w:p>
        </w:tc>
      </w:tr>
      <w:tr w:rsidR="001002EC" w:rsidRPr="0019790A" w14:paraId="74E82EA6" w14:textId="77777777" w:rsidTr="00E202E5">
        <w:trPr>
          <w:jc w:val="right"/>
        </w:trPr>
        <w:tc>
          <w:tcPr>
            <w:tcW w:w="3423" w:type="dxa"/>
            <w:shd w:val="clear" w:color="auto" w:fill="FFFFFF"/>
            <w:vAlign w:val="center"/>
          </w:tcPr>
          <w:p w14:paraId="5C04A194" w14:textId="77777777" w:rsidR="001002EC" w:rsidRPr="0019790A" w:rsidRDefault="001002EC"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796" w:type="dxa"/>
            <w:gridSpan w:val="9"/>
          </w:tcPr>
          <w:p w14:paraId="38B78EA5" w14:textId="77777777" w:rsidR="001002EC" w:rsidRPr="0019790A" w:rsidRDefault="001002EC" w:rsidP="00E202E5">
            <w:pPr>
              <w:jc w:val="both"/>
              <w:rPr>
                <w:rFonts w:cs="Arial"/>
                <w:szCs w:val="22"/>
                <w:lang w:eastAsia="it-IT"/>
              </w:rPr>
            </w:pPr>
            <w:r w:rsidRPr="0019790A">
              <w:rPr>
                <w:rFonts w:cs="Arial"/>
                <w:szCs w:val="22"/>
                <w:lang w:eastAsia="it-IT"/>
              </w:rPr>
              <w:t>Покращення проведення обстежень та оперативних втручань у відділенні малоінвазизної та лапароскопічної хірургії, можливість своєчасного діагностування та лікування хвороб щонайменше для 1 тис. пацієнтів на рік</w:t>
            </w:r>
          </w:p>
        </w:tc>
      </w:tr>
      <w:tr w:rsidR="001002EC" w:rsidRPr="0019790A" w14:paraId="2595898F" w14:textId="77777777" w:rsidTr="00E202E5">
        <w:trPr>
          <w:jc w:val="right"/>
        </w:trPr>
        <w:tc>
          <w:tcPr>
            <w:tcW w:w="3423" w:type="dxa"/>
            <w:shd w:val="clear" w:color="auto" w:fill="FFFFFF"/>
            <w:vAlign w:val="center"/>
          </w:tcPr>
          <w:p w14:paraId="0A5286ED" w14:textId="77777777" w:rsidR="001002EC" w:rsidRPr="0019790A" w:rsidRDefault="001002EC" w:rsidP="0019790A">
            <w:pPr>
              <w:rPr>
                <w:rFonts w:cs="Arial"/>
                <w:b/>
                <w:color w:val="000000"/>
                <w:szCs w:val="22"/>
              </w:rPr>
            </w:pPr>
            <w:r w:rsidRPr="0019790A">
              <w:rPr>
                <w:rFonts w:cs="Arial"/>
                <w:b/>
                <w:color w:val="000000"/>
                <w:szCs w:val="22"/>
              </w:rPr>
              <w:t xml:space="preserve">Період здійснення: </w:t>
            </w:r>
          </w:p>
        </w:tc>
        <w:tc>
          <w:tcPr>
            <w:tcW w:w="6796" w:type="dxa"/>
            <w:gridSpan w:val="9"/>
            <w:vAlign w:val="center"/>
          </w:tcPr>
          <w:p w14:paraId="1B0EE5E0" w14:textId="77777777" w:rsidR="001002EC" w:rsidRPr="0019790A" w:rsidRDefault="001002EC" w:rsidP="0019790A">
            <w:pPr>
              <w:rPr>
                <w:rFonts w:cs="Arial"/>
                <w:color w:val="000000"/>
                <w:szCs w:val="22"/>
                <w:lang w:eastAsia="it-IT"/>
              </w:rPr>
            </w:pPr>
            <w:r w:rsidRPr="0019790A">
              <w:rPr>
                <w:rFonts w:cs="Arial"/>
                <w:b/>
                <w:color w:val="000000"/>
                <w:szCs w:val="22"/>
              </w:rPr>
              <w:t>2025 – 2028 роки:</w:t>
            </w:r>
          </w:p>
        </w:tc>
      </w:tr>
      <w:tr w:rsidR="001002EC" w:rsidRPr="0019790A" w14:paraId="02ABC512" w14:textId="77777777" w:rsidTr="00E202E5">
        <w:trPr>
          <w:jc w:val="right"/>
        </w:trPr>
        <w:tc>
          <w:tcPr>
            <w:tcW w:w="3423" w:type="dxa"/>
            <w:vMerge w:val="restart"/>
            <w:shd w:val="clear" w:color="auto" w:fill="FFFFFF"/>
            <w:vAlign w:val="center"/>
          </w:tcPr>
          <w:p w14:paraId="74CAFBDA" w14:textId="6101E740" w:rsidR="001002EC" w:rsidRPr="0019790A" w:rsidRDefault="001002EC" w:rsidP="0019790A">
            <w:pPr>
              <w:rPr>
                <w:rFonts w:cs="Arial"/>
                <w:b/>
                <w:bCs/>
                <w:color w:val="000000"/>
                <w:szCs w:val="22"/>
              </w:rPr>
            </w:pPr>
            <w:r w:rsidRPr="0019790A">
              <w:rPr>
                <w:rFonts w:cs="Arial"/>
                <w:b/>
                <w:bCs/>
                <w:color w:val="000000"/>
                <w:szCs w:val="22"/>
              </w:rPr>
              <w:t xml:space="preserve">Орієнтовна вартість </w:t>
            </w:r>
            <w:r w:rsidR="00314B9D">
              <w:rPr>
                <w:rFonts w:cs="Arial"/>
                <w:b/>
                <w:bCs/>
                <w:color w:val="000000"/>
                <w:szCs w:val="22"/>
              </w:rPr>
              <w:t>проєкту</w:t>
            </w:r>
            <w:r w:rsidRPr="0019790A">
              <w:rPr>
                <w:rFonts w:cs="Arial"/>
                <w:b/>
                <w:bCs/>
                <w:color w:val="000000"/>
                <w:szCs w:val="22"/>
              </w:rPr>
              <w:t>, тис. грн. в тому числі:</w:t>
            </w:r>
          </w:p>
        </w:tc>
        <w:tc>
          <w:tcPr>
            <w:tcW w:w="1254" w:type="dxa"/>
            <w:shd w:val="clear" w:color="auto" w:fill="E6E6E6"/>
            <w:vAlign w:val="center"/>
          </w:tcPr>
          <w:p w14:paraId="2A2CD049"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2025</w:t>
            </w:r>
          </w:p>
        </w:tc>
        <w:tc>
          <w:tcPr>
            <w:tcW w:w="1414" w:type="dxa"/>
            <w:gridSpan w:val="2"/>
            <w:shd w:val="clear" w:color="auto" w:fill="E6E6E6"/>
            <w:vAlign w:val="center"/>
          </w:tcPr>
          <w:p w14:paraId="143F3E30"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2026</w:t>
            </w:r>
          </w:p>
        </w:tc>
        <w:tc>
          <w:tcPr>
            <w:tcW w:w="1419" w:type="dxa"/>
            <w:gridSpan w:val="2"/>
            <w:tcBorders>
              <w:bottom w:val="single" w:sz="4" w:space="0" w:color="auto"/>
            </w:tcBorders>
            <w:shd w:val="clear" w:color="auto" w:fill="E6E6E6"/>
            <w:vAlign w:val="center"/>
          </w:tcPr>
          <w:p w14:paraId="59417DB8"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2027</w:t>
            </w:r>
          </w:p>
        </w:tc>
        <w:tc>
          <w:tcPr>
            <w:tcW w:w="1275" w:type="dxa"/>
            <w:shd w:val="clear" w:color="auto" w:fill="E6E6E6"/>
            <w:vAlign w:val="center"/>
          </w:tcPr>
          <w:p w14:paraId="4080E438"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2028</w:t>
            </w:r>
          </w:p>
        </w:tc>
        <w:tc>
          <w:tcPr>
            <w:tcW w:w="1434" w:type="dxa"/>
            <w:gridSpan w:val="3"/>
            <w:shd w:val="clear" w:color="auto" w:fill="E6E6E6"/>
            <w:vAlign w:val="center"/>
          </w:tcPr>
          <w:p w14:paraId="2BC01329"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Разом</w:t>
            </w:r>
          </w:p>
        </w:tc>
      </w:tr>
      <w:tr w:rsidR="001002EC" w:rsidRPr="0019790A" w14:paraId="341ECDA3" w14:textId="77777777" w:rsidTr="00E202E5">
        <w:trPr>
          <w:jc w:val="right"/>
        </w:trPr>
        <w:tc>
          <w:tcPr>
            <w:tcW w:w="3423" w:type="dxa"/>
            <w:vMerge/>
            <w:shd w:val="clear" w:color="auto" w:fill="FFFFFF"/>
            <w:vAlign w:val="center"/>
          </w:tcPr>
          <w:p w14:paraId="12B3E75C" w14:textId="77777777" w:rsidR="001002EC" w:rsidRPr="0019790A" w:rsidRDefault="001002EC" w:rsidP="0019790A">
            <w:pPr>
              <w:rPr>
                <w:rFonts w:cs="Arial"/>
                <w:b/>
                <w:bCs/>
                <w:color w:val="000000"/>
                <w:szCs w:val="22"/>
              </w:rPr>
            </w:pPr>
          </w:p>
        </w:tc>
        <w:tc>
          <w:tcPr>
            <w:tcW w:w="1254" w:type="dxa"/>
            <w:vAlign w:val="center"/>
          </w:tcPr>
          <w:p w14:paraId="1ABF6129" w14:textId="77777777" w:rsidR="001002EC" w:rsidRPr="0019790A" w:rsidRDefault="001002EC" w:rsidP="0019790A">
            <w:pPr>
              <w:jc w:val="center"/>
              <w:rPr>
                <w:rFonts w:cs="Arial"/>
                <w:b/>
                <w:color w:val="000000"/>
                <w:szCs w:val="22"/>
                <w:lang w:eastAsia="it-IT"/>
              </w:rPr>
            </w:pPr>
          </w:p>
        </w:tc>
        <w:tc>
          <w:tcPr>
            <w:tcW w:w="1414" w:type="dxa"/>
            <w:gridSpan w:val="2"/>
            <w:shd w:val="clear" w:color="auto" w:fill="FFFFFF"/>
            <w:vAlign w:val="center"/>
          </w:tcPr>
          <w:p w14:paraId="3AFF16DF"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11825,924</w:t>
            </w:r>
          </w:p>
        </w:tc>
        <w:tc>
          <w:tcPr>
            <w:tcW w:w="1419" w:type="dxa"/>
            <w:gridSpan w:val="2"/>
            <w:shd w:val="clear" w:color="auto" w:fill="auto"/>
            <w:vAlign w:val="center"/>
          </w:tcPr>
          <w:p w14:paraId="671D2C98" w14:textId="77777777" w:rsidR="001002EC" w:rsidRPr="0019790A" w:rsidRDefault="001002EC" w:rsidP="0019790A">
            <w:pPr>
              <w:jc w:val="center"/>
              <w:rPr>
                <w:rFonts w:cs="Arial"/>
                <w:b/>
                <w:color w:val="000000"/>
                <w:szCs w:val="22"/>
                <w:lang w:eastAsia="it-IT"/>
              </w:rPr>
            </w:pPr>
          </w:p>
        </w:tc>
        <w:tc>
          <w:tcPr>
            <w:tcW w:w="1275" w:type="dxa"/>
            <w:shd w:val="clear" w:color="auto" w:fill="FFFFFF"/>
            <w:vAlign w:val="center"/>
          </w:tcPr>
          <w:p w14:paraId="6544BD46" w14:textId="77777777" w:rsidR="001002EC" w:rsidRPr="0019790A" w:rsidRDefault="001002EC" w:rsidP="0019790A">
            <w:pPr>
              <w:jc w:val="center"/>
              <w:rPr>
                <w:rFonts w:cs="Arial"/>
                <w:b/>
                <w:color w:val="000000"/>
                <w:szCs w:val="22"/>
                <w:lang w:eastAsia="it-IT"/>
              </w:rPr>
            </w:pPr>
          </w:p>
        </w:tc>
        <w:tc>
          <w:tcPr>
            <w:tcW w:w="1434" w:type="dxa"/>
            <w:gridSpan w:val="3"/>
            <w:shd w:val="clear" w:color="auto" w:fill="FFFFFF"/>
            <w:vAlign w:val="center"/>
          </w:tcPr>
          <w:p w14:paraId="191E2283"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11825,924</w:t>
            </w:r>
          </w:p>
        </w:tc>
      </w:tr>
      <w:tr w:rsidR="001002EC" w:rsidRPr="0019790A" w14:paraId="57DD2592" w14:textId="77777777" w:rsidTr="00E202E5">
        <w:trPr>
          <w:trHeight w:val="275"/>
          <w:jc w:val="right"/>
        </w:trPr>
        <w:tc>
          <w:tcPr>
            <w:tcW w:w="3423" w:type="dxa"/>
            <w:shd w:val="clear" w:color="auto" w:fill="FFFFFF"/>
            <w:vAlign w:val="center"/>
          </w:tcPr>
          <w:p w14:paraId="1C13519D" w14:textId="181636B7" w:rsidR="001002EC" w:rsidRPr="0019790A" w:rsidRDefault="001002EC" w:rsidP="00E202E5">
            <w:pPr>
              <w:rPr>
                <w:rFonts w:cs="Arial"/>
                <w:b/>
                <w:bCs/>
                <w:color w:val="000000"/>
                <w:szCs w:val="22"/>
              </w:rPr>
            </w:pPr>
            <w:r w:rsidRPr="0019790A">
              <w:rPr>
                <w:rFonts w:cs="Arial"/>
                <w:b/>
                <w:bCs/>
                <w:color w:val="000000"/>
                <w:szCs w:val="22"/>
              </w:rPr>
              <w:t xml:space="preserve"> по джерелах фінансування:</w:t>
            </w:r>
          </w:p>
        </w:tc>
        <w:tc>
          <w:tcPr>
            <w:tcW w:w="6796" w:type="dxa"/>
            <w:gridSpan w:val="9"/>
            <w:vAlign w:val="center"/>
          </w:tcPr>
          <w:p w14:paraId="18C85121" w14:textId="77777777" w:rsidR="001002EC" w:rsidRPr="0019790A" w:rsidRDefault="001002EC" w:rsidP="0019790A">
            <w:pPr>
              <w:jc w:val="both"/>
              <w:rPr>
                <w:rFonts w:cs="Arial"/>
                <w:color w:val="000000"/>
                <w:szCs w:val="22"/>
                <w:lang w:eastAsia="it-IT"/>
              </w:rPr>
            </w:pPr>
          </w:p>
        </w:tc>
      </w:tr>
      <w:tr w:rsidR="00E202E5" w:rsidRPr="0019790A" w14:paraId="0E96D5F0" w14:textId="64BAD819" w:rsidTr="00E202E5">
        <w:trPr>
          <w:trHeight w:val="225"/>
          <w:jc w:val="right"/>
        </w:trPr>
        <w:tc>
          <w:tcPr>
            <w:tcW w:w="3423" w:type="dxa"/>
            <w:shd w:val="clear" w:color="auto" w:fill="FFFFFF"/>
            <w:vAlign w:val="center"/>
          </w:tcPr>
          <w:p w14:paraId="4E890F77" w14:textId="5CA91ED2" w:rsidR="00E202E5" w:rsidRPr="0019790A" w:rsidRDefault="00E202E5" w:rsidP="0019790A">
            <w:pPr>
              <w:rPr>
                <w:rFonts w:cs="Arial"/>
                <w:b/>
                <w:bCs/>
                <w:color w:val="000000"/>
                <w:szCs w:val="22"/>
              </w:rPr>
            </w:pPr>
            <w:r w:rsidRPr="0019790A">
              <w:rPr>
                <w:rFonts w:cs="Arial"/>
                <w:color w:val="000000"/>
                <w:szCs w:val="22"/>
              </w:rPr>
              <w:t>-державний бюджет;</w:t>
            </w:r>
          </w:p>
        </w:tc>
        <w:tc>
          <w:tcPr>
            <w:tcW w:w="2668" w:type="dxa"/>
            <w:gridSpan w:val="3"/>
            <w:vAlign w:val="center"/>
          </w:tcPr>
          <w:p w14:paraId="7B2326DD" w14:textId="77777777" w:rsidR="00E202E5" w:rsidRPr="0019790A" w:rsidRDefault="00E202E5" w:rsidP="0019790A">
            <w:pPr>
              <w:jc w:val="both"/>
              <w:rPr>
                <w:rFonts w:cs="Arial"/>
                <w:color w:val="000000"/>
                <w:szCs w:val="22"/>
                <w:lang w:eastAsia="it-IT"/>
              </w:rPr>
            </w:pPr>
          </w:p>
        </w:tc>
        <w:tc>
          <w:tcPr>
            <w:tcW w:w="2819" w:type="dxa"/>
            <w:gridSpan w:val="4"/>
            <w:vAlign w:val="center"/>
          </w:tcPr>
          <w:p w14:paraId="055C6FFC" w14:textId="77777777" w:rsidR="00E202E5" w:rsidRPr="0019790A" w:rsidRDefault="00E202E5" w:rsidP="0019790A">
            <w:pPr>
              <w:jc w:val="both"/>
              <w:rPr>
                <w:rFonts w:cs="Arial"/>
                <w:color w:val="000000"/>
                <w:szCs w:val="22"/>
                <w:lang w:eastAsia="it-IT"/>
              </w:rPr>
            </w:pPr>
          </w:p>
        </w:tc>
        <w:tc>
          <w:tcPr>
            <w:tcW w:w="1309" w:type="dxa"/>
            <w:gridSpan w:val="2"/>
            <w:vAlign w:val="center"/>
          </w:tcPr>
          <w:p w14:paraId="6F011BEF" w14:textId="77777777" w:rsidR="00E202E5" w:rsidRPr="0019790A" w:rsidRDefault="00E202E5" w:rsidP="0019790A">
            <w:pPr>
              <w:jc w:val="both"/>
              <w:rPr>
                <w:rFonts w:cs="Arial"/>
                <w:color w:val="000000"/>
                <w:szCs w:val="22"/>
                <w:lang w:eastAsia="it-IT"/>
              </w:rPr>
            </w:pPr>
          </w:p>
        </w:tc>
      </w:tr>
      <w:tr w:rsidR="00E202E5" w:rsidRPr="0019790A" w14:paraId="590473A1" w14:textId="5796F47B" w:rsidTr="00E202E5">
        <w:trPr>
          <w:trHeight w:val="225"/>
          <w:jc w:val="right"/>
        </w:trPr>
        <w:tc>
          <w:tcPr>
            <w:tcW w:w="3423" w:type="dxa"/>
            <w:shd w:val="clear" w:color="auto" w:fill="FFFFFF"/>
            <w:vAlign w:val="center"/>
          </w:tcPr>
          <w:p w14:paraId="59F72FEC" w14:textId="77777777" w:rsidR="00E202E5" w:rsidRPr="0019790A" w:rsidRDefault="00E202E5" w:rsidP="0019790A">
            <w:pPr>
              <w:rPr>
                <w:rFonts w:cs="Arial"/>
                <w:b/>
                <w:bCs/>
                <w:color w:val="000000"/>
                <w:szCs w:val="22"/>
              </w:rPr>
            </w:pPr>
            <w:r w:rsidRPr="0019790A">
              <w:rPr>
                <w:rFonts w:cs="Arial"/>
                <w:color w:val="000000"/>
                <w:szCs w:val="22"/>
              </w:rPr>
              <w:t>-обласний бюджет;</w:t>
            </w:r>
          </w:p>
        </w:tc>
        <w:tc>
          <w:tcPr>
            <w:tcW w:w="1277" w:type="dxa"/>
            <w:gridSpan w:val="2"/>
            <w:vAlign w:val="center"/>
          </w:tcPr>
          <w:p w14:paraId="7AF6616C" w14:textId="77777777" w:rsidR="00E202E5" w:rsidRPr="0019790A" w:rsidRDefault="00E202E5" w:rsidP="0019790A">
            <w:pPr>
              <w:jc w:val="both"/>
              <w:rPr>
                <w:rFonts w:cs="Arial"/>
                <w:color w:val="000000"/>
                <w:szCs w:val="22"/>
                <w:lang w:eastAsia="it-IT"/>
              </w:rPr>
            </w:pPr>
          </w:p>
        </w:tc>
        <w:tc>
          <w:tcPr>
            <w:tcW w:w="1391" w:type="dxa"/>
            <w:vAlign w:val="center"/>
          </w:tcPr>
          <w:p w14:paraId="325461CC" w14:textId="77777777" w:rsidR="00E202E5" w:rsidRPr="0019790A" w:rsidRDefault="00E202E5" w:rsidP="0019790A">
            <w:pPr>
              <w:jc w:val="both"/>
              <w:rPr>
                <w:rFonts w:cs="Arial"/>
                <w:color w:val="000000"/>
                <w:szCs w:val="22"/>
                <w:lang w:eastAsia="it-IT"/>
              </w:rPr>
            </w:pPr>
          </w:p>
        </w:tc>
        <w:tc>
          <w:tcPr>
            <w:tcW w:w="1412" w:type="dxa"/>
            <w:vAlign w:val="center"/>
          </w:tcPr>
          <w:p w14:paraId="6DCDAE7C" w14:textId="77777777" w:rsidR="00E202E5" w:rsidRPr="0019790A" w:rsidRDefault="00E202E5" w:rsidP="0019790A">
            <w:pPr>
              <w:jc w:val="both"/>
              <w:rPr>
                <w:rFonts w:cs="Arial"/>
                <w:color w:val="000000"/>
                <w:szCs w:val="22"/>
                <w:lang w:eastAsia="it-IT"/>
              </w:rPr>
            </w:pPr>
          </w:p>
        </w:tc>
        <w:tc>
          <w:tcPr>
            <w:tcW w:w="1415" w:type="dxa"/>
            <w:gridSpan w:val="4"/>
            <w:vAlign w:val="center"/>
          </w:tcPr>
          <w:p w14:paraId="12DF5A13" w14:textId="77777777" w:rsidR="00E202E5" w:rsidRPr="0019790A" w:rsidRDefault="00E202E5" w:rsidP="0019790A">
            <w:pPr>
              <w:jc w:val="both"/>
              <w:rPr>
                <w:rFonts w:cs="Arial"/>
                <w:color w:val="000000"/>
                <w:szCs w:val="22"/>
                <w:lang w:eastAsia="it-IT"/>
              </w:rPr>
            </w:pPr>
          </w:p>
        </w:tc>
        <w:tc>
          <w:tcPr>
            <w:tcW w:w="1301" w:type="dxa"/>
            <w:vAlign w:val="center"/>
          </w:tcPr>
          <w:p w14:paraId="552DF30A" w14:textId="40C9A583" w:rsidR="00E202E5" w:rsidRPr="0019790A" w:rsidRDefault="00E202E5" w:rsidP="0019790A">
            <w:pPr>
              <w:jc w:val="both"/>
              <w:rPr>
                <w:rFonts w:cs="Arial"/>
                <w:color w:val="000000"/>
                <w:szCs w:val="22"/>
                <w:lang w:eastAsia="it-IT"/>
              </w:rPr>
            </w:pPr>
          </w:p>
        </w:tc>
      </w:tr>
      <w:tr w:rsidR="00E202E5" w:rsidRPr="0019790A" w14:paraId="532F5725" w14:textId="53382A45" w:rsidTr="00E202E5">
        <w:trPr>
          <w:trHeight w:val="165"/>
          <w:jc w:val="right"/>
        </w:trPr>
        <w:tc>
          <w:tcPr>
            <w:tcW w:w="3423" w:type="dxa"/>
            <w:shd w:val="clear" w:color="auto" w:fill="FFFFFF"/>
            <w:vAlign w:val="center"/>
          </w:tcPr>
          <w:p w14:paraId="1AD4CA06" w14:textId="77777777" w:rsidR="00E202E5" w:rsidRPr="0019790A" w:rsidRDefault="00E202E5" w:rsidP="0019790A">
            <w:pPr>
              <w:rPr>
                <w:rFonts w:cs="Arial"/>
                <w:color w:val="000000"/>
                <w:szCs w:val="22"/>
              </w:rPr>
            </w:pPr>
            <w:r w:rsidRPr="0019790A">
              <w:rPr>
                <w:rFonts w:cs="Arial"/>
                <w:color w:val="000000"/>
                <w:szCs w:val="22"/>
              </w:rPr>
              <w:t>-бюджет Жмеринської МТГ;</w:t>
            </w:r>
          </w:p>
        </w:tc>
        <w:tc>
          <w:tcPr>
            <w:tcW w:w="1277" w:type="dxa"/>
            <w:gridSpan w:val="2"/>
            <w:vAlign w:val="center"/>
          </w:tcPr>
          <w:p w14:paraId="7056F62F" w14:textId="760803A4" w:rsidR="00E202E5" w:rsidRPr="0019790A" w:rsidRDefault="00E202E5" w:rsidP="0019790A">
            <w:pPr>
              <w:jc w:val="both"/>
              <w:rPr>
                <w:rFonts w:cs="Arial"/>
                <w:color w:val="000000"/>
                <w:szCs w:val="22"/>
                <w:lang w:eastAsia="it-IT"/>
              </w:rPr>
            </w:pPr>
          </w:p>
        </w:tc>
        <w:tc>
          <w:tcPr>
            <w:tcW w:w="1391" w:type="dxa"/>
            <w:vAlign w:val="center"/>
          </w:tcPr>
          <w:p w14:paraId="7BBB5C7C" w14:textId="1C3512EA" w:rsidR="00E202E5" w:rsidRPr="0019790A" w:rsidRDefault="00E202E5" w:rsidP="00E202E5">
            <w:pPr>
              <w:ind w:left="118"/>
              <w:jc w:val="center"/>
              <w:rPr>
                <w:rFonts w:cs="Arial"/>
                <w:color w:val="000000"/>
                <w:szCs w:val="22"/>
                <w:lang w:eastAsia="it-IT"/>
              </w:rPr>
            </w:pPr>
            <w:r w:rsidRPr="0019790A">
              <w:rPr>
                <w:rFonts w:cs="Arial"/>
                <w:color w:val="000000"/>
                <w:szCs w:val="22"/>
                <w:lang w:eastAsia="it-IT"/>
              </w:rPr>
              <w:t>11825,924</w:t>
            </w:r>
          </w:p>
        </w:tc>
        <w:tc>
          <w:tcPr>
            <w:tcW w:w="1412" w:type="dxa"/>
            <w:vAlign w:val="center"/>
          </w:tcPr>
          <w:p w14:paraId="259E8EF8" w14:textId="7A964D16" w:rsidR="00E202E5" w:rsidRPr="0019790A" w:rsidRDefault="00E202E5" w:rsidP="00E202E5">
            <w:pPr>
              <w:jc w:val="center"/>
              <w:rPr>
                <w:rFonts w:cs="Arial"/>
                <w:color w:val="000000"/>
                <w:szCs w:val="22"/>
                <w:lang w:eastAsia="it-IT"/>
              </w:rPr>
            </w:pPr>
          </w:p>
        </w:tc>
        <w:tc>
          <w:tcPr>
            <w:tcW w:w="1415" w:type="dxa"/>
            <w:gridSpan w:val="4"/>
            <w:vAlign w:val="center"/>
          </w:tcPr>
          <w:p w14:paraId="43EC5C0B" w14:textId="77777777" w:rsidR="00E202E5" w:rsidRPr="0019790A" w:rsidRDefault="00E202E5" w:rsidP="00E202E5">
            <w:pPr>
              <w:jc w:val="center"/>
              <w:rPr>
                <w:rFonts w:cs="Arial"/>
                <w:color w:val="000000"/>
                <w:szCs w:val="22"/>
                <w:lang w:eastAsia="it-IT"/>
              </w:rPr>
            </w:pPr>
          </w:p>
        </w:tc>
        <w:tc>
          <w:tcPr>
            <w:tcW w:w="1301" w:type="dxa"/>
            <w:vAlign w:val="center"/>
          </w:tcPr>
          <w:p w14:paraId="2CBA8D48" w14:textId="4257F8B0" w:rsidR="00E202E5" w:rsidRPr="0019790A" w:rsidRDefault="00E202E5" w:rsidP="00E202E5">
            <w:pPr>
              <w:ind w:left="110"/>
              <w:jc w:val="center"/>
              <w:rPr>
                <w:rFonts w:cs="Arial"/>
                <w:color w:val="000000"/>
                <w:szCs w:val="22"/>
                <w:lang w:eastAsia="it-IT"/>
              </w:rPr>
            </w:pPr>
            <w:r w:rsidRPr="0019790A">
              <w:rPr>
                <w:rFonts w:cs="Arial"/>
                <w:color w:val="000000"/>
                <w:szCs w:val="22"/>
                <w:lang w:eastAsia="it-IT"/>
              </w:rPr>
              <w:t>11825,924</w:t>
            </w:r>
          </w:p>
        </w:tc>
      </w:tr>
      <w:tr w:rsidR="00E202E5" w:rsidRPr="0019790A" w14:paraId="6A015ACE" w14:textId="00158082" w:rsidTr="00E202E5">
        <w:trPr>
          <w:trHeight w:val="330"/>
          <w:jc w:val="right"/>
        </w:trPr>
        <w:tc>
          <w:tcPr>
            <w:tcW w:w="3423" w:type="dxa"/>
            <w:shd w:val="clear" w:color="auto" w:fill="FFFFFF"/>
            <w:vAlign w:val="center"/>
          </w:tcPr>
          <w:p w14:paraId="5A2EF9D6" w14:textId="77777777" w:rsidR="00E202E5" w:rsidRPr="0019790A" w:rsidRDefault="00E202E5" w:rsidP="0019790A">
            <w:pPr>
              <w:rPr>
                <w:rFonts w:cs="Arial"/>
                <w:color w:val="000000"/>
                <w:szCs w:val="22"/>
              </w:rPr>
            </w:pPr>
            <w:r w:rsidRPr="0019790A">
              <w:rPr>
                <w:rFonts w:cs="Arial"/>
                <w:color w:val="000000"/>
                <w:szCs w:val="22"/>
              </w:rPr>
              <w:t>-інші джерела фінансування.</w:t>
            </w:r>
          </w:p>
        </w:tc>
        <w:tc>
          <w:tcPr>
            <w:tcW w:w="1277" w:type="dxa"/>
            <w:gridSpan w:val="2"/>
            <w:vAlign w:val="center"/>
          </w:tcPr>
          <w:p w14:paraId="573366F3" w14:textId="77777777" w:rsidR="00E202E5" w:rsidRPr="0019790A" w:rsidRDefault="00E202E5" w:rsidP="0019790A">
            <w:pPr>
              <w:jc w:val="both"/>
              <w:rPr>
                <w:rFonts w:cs="Arial"/>
                <w:color w:val="000000"/>
                <w:szCs w:val="22"/>
                <w:lang w:eastAsia="it-IT"/>
              </w:rPr>
            </w:pPr>
          </w:p>
        </w:tc>
        <w:tc>
          <w:tcPr>
            <w:tcW w:w="1391" w:type="dxa"/>
            <w:vAlign w:val="center"/>
          </w:tcPr>
          <w:p w14:paraId="11EBB856" w14:textId="77777777" w:rsidR="00E202E5" w:rsidRPr="0019790A" w:rsidRDefault="00E202E5" w:rsidP="00E202E5">
            <w:pPr>
              <w:jc w:val="center"/>
              <w:rPr>
                <w:rFonts w:cs="Arial"/>
                <w:color w:val="000000"/>
                <w:szCs w:val="22"/>
                <w:lang w:eastAsia="it-IT"/>
              </w:rPr>
            </w:pPr>
          </w:p>
        </w:tc>
        <w:tc>
          <w:tcPr>
            <w:tcW w:w="1412" w:type="dxa"/>
            <w:vAlign w:val="center"/>
          </w:tcPr>
          <w:p w14:paraId="6D2DAD31" w14:textId="77777777" w:rsidR="00E202E5" w:rsidRPr="0019790A" w:rsidRDefault="00E202E5" w:rsidP="00E202E5">
            <w:pPr>
              <w:jc w:val="center"/>
              <w:rPr>
                <w:rFonts w:cs="Arial"/>
                <w:color w:val="000000"/>
                <w:szCs w:val="22"/>
                <w:lang w:eastAsia="it-IT"/>
              </w:rPr>
            </w:pPr>
          </w:p>
        </w:tc>
        <w:tc>
          <w:tcPr>
            <w:tcW w:w="1415" w:type="dxa"/>
            <w:gridSpan w:val="4"/>
            <w:vAlign w:val="center"/>
          </w:tcPr>
          <w:p w14:paraId="520004DD" w14:textId="77777777" w:rsidR="00E202E5" w:rsidRPr="0019790A" w:rsidRDefault="00E202E5" w:rsidP="00E202E5">
            <w:pPr>
              <w:jc w:val="center"/>
              <w:rPr>
                <w:rFonts w:cs="Arial"/>
                <w:color w:val="000000"/>
                <w:szCs w:val="22"/>
                <w:lang w:eastAsia="it-IT"/>
              </w:rPr>
            </w:pPr>
          </w:p>
        </w:tc>
        <w:tc>
          <w:tcPr>
            <w:tcW w:w="1301" w:type="dxa"/>
            <w:vAlign w:val="center"/>
          </w:tcPr>
          <w:p w14:paraId="53EFA3FD" w14:textId="49620FAC" w:rsidR="00E202E5" w:rsidRPr="0019790A" w:rsidRDefault="00E202E5" w:rsidP="00E202E5">
            <w:pPr>
              <w:jc w:val="center"/>
              <w:rPr>
                <w:rFonts w:cs="Arial"/>
                <w:color w:val="000000"/>
                <w:szCs w:val="22"/>
                <w:lang w:eastAsia="it-IT"/>
              </w:rPr>
            </w:pPr>
          </w:p>
        </w:tc>
      </w:tr>
      <w:tr w:rsidR="001002EC" w:rsidRPr="0019790A" w14:paraId="547D86F2" w14:textId="77777777" w:rsidTr="00E202E5">
        <w:trPr>
          <w:jc w:val="right"/>
        </w:trPr>
        <w:tc>
          <w:tcPr>
            <w:tcW w:w="3423" w:type="dxa"/>
            <w:shd w:val="clear" w:color="auto" w:fill="FFFFFF"/>
            <w:vAlign w:val="center"/>
          </w:tcPr>
          <w:p w14:paraId="51058B91" w14:textId="36146157" w:rsidR="001002EC" w:rsidRPr="0019790A" w:rsidRDefault="001002EC" w:rsidP="0019790A">
            <w:pPr>
              <w:rPr>
                <w:rFonts w:cs="Arial"/>
                <w:b/>
                <w:bCs/>
                <w:color w:val="000000"/>
                <w:szCs w:val="22"/>
              </w:rPr>
            </w:pPr>
            <w:r w:rsidRPr="0019790A">
              <w:rPr>
                <w:rFonts w:cs="Arial"/>
                <w:b/>
                <w:color w:val="000000"/>
                <w:szCs w:val="22"/>
              </w:rPr>
              <w:t xml:space="preserve">Ключові потенційні учасники реалізації </w:t>
            </w:r>
            <w:r w:rsidR="00314B9D">
              <w:rPr>
                <w:rFonts w:cs="Arial"/>
                <w:b/>
                <w:color w:val="000000"/>
                <w:szCs w:val="22"/>
              </w:rPr>
              <w:t>проєкту</w:t>
            </w:r>
            <w:r w:rsidRPr="0019790A">
              <w:rPr>
                <w:rFonts w:cs="Arial"/>
                <w:b/>
                <w:color w:val="000000"/>
                <w:szCs w:val="22"/>
              </w:rPr>
              <w:t>:</w:t>
            </w:r>
          </w:p>
        </w:tc>
        <w:tc>
          <w:tcPr>
            <w:tcW w:w="6796" w:type="dxa"/>
            <w:gridSpan w:val="9"/>
            <w:vAlign w:val="center"/>
          </w:tcPr>
          <w:p w14:paraId="5CC827BE" w14:textId="77777777" w:rsidR="001002EC" w:rsidRPr="0019790A" w:rsidRDefault="001002EC" w:rsidP="0019790A">
            <w:pPr>
              <w:jc w:val="both"/>
              <w:rPr>
                <w:rFonts w:cs="Arial"/>
                <w:color w:val="000000"/>
                <w:szCs w:val="22"/>
                <w:lang w:eastAsia="it-IT"/>
              </w:rPr>
            </w:pPr>
          </w:p>
          <w:p w14:paraId="05A99DB6" w14:textId="77777777" w:rsidR="001002EC" w:rsidRPr="0019790A" w:rsidRDefault="001002EC" w:rsidP="0019790A">
            <w:pPr>
              <w:jc w:val="both"/>
              <w:rPr>
                <w:rFonts w:cs="Arial"/>
                <w:color w:val="000000"/>
                <w:szCs w:val="22"/>
                <w:lang w:eastAsia="it-IT"/>
              </w:rPr>
            </w:pPr>
            <w:r w:rsidRPr="0019790A">
              <w:rPr>
                <w:rFonts w:cs="Arial"/>
                <w:color w:val="000000"/>
                <w:szCs w:val="22"/>
                <w:lang w:eastAsia="it-IT"/>
              </w:rPr>
              <w:t>КНП «Жмеринська ЦРЛ», Управління соціального захисту населення та охорони здоров’я</w:t>
            </w:r>
          </w:p>
          <w:p w14:paraId="571401FE" w14:textId="77777777" w:rsidR="001002EC" w:rsidRPr="0019790A" w:rsidRDefault="001002EC" w:rsidP="0019790A">
            <w:pPr>
              <w:jc w:val="both"/>
              <w:rPr>
                <w:rFonts w:cs="Arial"/>
                <w:color w:val="000000"/>
                <w:szCs w:val="22"/>
                <w:lang w:eastAsia="it-IT"/>
              </w:rPr>
            </w:pPr>
          </w:p>
          <w:p w14:paraId="359D53ED" w14:textId="77777777" w:rsidR="001002EC" w:rsidRPr="0019790A" w:rsidRDefault="001002EC" w:rsidP="0019790A">
            <w:pPr>
              <w:jc w:val="both"/>
              <w:rPr>
                <w:rFonts w:cs="Arial"/>
                <w:color w:val="000000"/>
                <w:szCs w:val="22"/>
                <w:lang w:eastAsia="it-IT"/>
              </w:rPr>
            </w:pPr>
          </w:p>
          <w:p w14:paraId="6FA97F17" w14:textId="77777777" w:rsidR="001002EC" w:rsidRPr="0019790A" w:rsidRDefault="001002EC" w:rsidP="0019790A">
            <w:pPr>
              <w:jc w:val="both"/>
              <w:rPr>
                <w:rFonts w:cs="Arial"/>
                <w:color w:val="000000"/>
                <w:szCs w:val="22"/>
                <w:lang w:eastAsia="it-IT"/>
              </w:rPr>
            </w:pPr>
          </w:p>
        </w:tc>
      </w:tr>
      <w:tr w:rsidR="001002EC" w:rsidRPr="0019790A" w14:paraId="76E9A43A" w14:textId="77777777" w:rsidTr="00E202E5">
        <w:trPr>
          <w:jc w:val="right"/>
        </w:trPr>
        <w:tc>
          <w:tcPr>
            <w:tcW w:w="3423" w:type="dxa"/>
            <w:shd w:val="clear" w:color="auto" w:fill="FFFFFF"/>
            <w:vAlign w:val="center"/>
          </w:tcPr>
          <w:p w14:paraId="6EAED9D6" w14:textId="77777777" w:rsidR="001002EC" w:rsidRPr="0019790A" w:rsidRDefault="001002EC" w:rsidP="0019790A">
            <w:pPr>
              <w:rPr>
                <w:rFonts w:cs="Arial"/>
                <w:b/>
                <w:bCs/>
                <w:color w:val="000000"/>
                <w:szCs w:val="22"/>
              </w:rPr>
            </w:pPr>
            <w:r w:rsidRPr="0019790A">
              <w:rPr>
                <w:rFonts w:cs="Arial"/>
                <w:b/>
                <w:bCs/>
                <w:color w:val="000000"/>
                <w:szCs w:val="22"/>
              </w:rPr>
              <w:t>Інше:</w:t>
            </w:r>
          </w:p>
        </w:tc>
        <w:tc>
          <w:tcPr>
            <w:tcW w:w="6796" w:type="dxa"/>
            <w:gridSpan w:val="9"/>
            <w:vAlign w:val="center"/>
          </w:tcPr>
          <w:p w14:paraId="0F34C802" w14:textId="77777777" w:rsidR="001002EC" w:rsidRPr="0019790A" w:rsidRDefault="001002EC" w:rsidP="0019790A">
            <w:pPr>
              <w:rPr>
                <w:rFonts w:cs="Arial"/>
                <w:color w:val="000000"/>
                <w:szCs w:val="22"/>
                <w:lang w:eastAsia="it-IT"/>
              </w:rPr>
            </w:pPr>
          </w:p>
        </w:tc>
      </w:tr>
    </w:tbl>
    <w:p w14:paraId="592B57C2" w14:textId="77777777" w:rsidR="001002EC" w:rsidRPr="0019790A" w:rsidRDefault="001002EC" w:rsidP="0019790A">
      <w:pPr>
        <w:rPr>
          <w:rFonts w:cs="Arial"/>
          <w:szCs w:val="22"/>
        </w:rPr>
      </w:pPr>
    </w:p>
    <w:p w14:paraId="6ED28836" w14:textId="438DF92D" w:rsidR="001002EC" w:rsidRPr="0019790A" w:rsidRDefault="001002EC" w:rsidP="0019790A">
      <w:pPr>
        <w:jc w:val="center"/>
        <w:rPr>
          <w:rFonts w:cs="Arial"/>
          <w:b/>
          <w:color w:val="000000"/>
          <w:szCs w:val="22"/>
        </w:rPr>
      </w:pPr>
      <w:r w:rsidRPr="0019790A">
        <w:rPr>
          <w:rFonts w:cs="Arial"/>
          <w:b/>
          <w:color w:val="000000"/>
          <w:szCs w:val="22"/>
        </w:rPr>
        <w:t xml:space="preserve">Форма технічного завдання на </w:t>
      </w:r>
      <w:r w:rsidR="00314B9D">
        <w:rPr>
          <w:rFonts w:cs="Arial"/>
          <w:b/>
          <w:color w:val="000000"/>
          <w:szCs w:val="22"/>
        </w:rPr>
        <w:t>проєкт</w:t>
      </w:r>
      <w:r w:rsidRPr="0019790A">
        <w:rPr>
          <w:rFonts w:cs="Arial"/>
          <w:b/>
          <w:color w:val="000000"/>
          <w:szCs w:val="22"/>
        </w:rPr>
        <w:t xml:space="preserve"> місцевого розвитку </w:t>
      </w:r>
    </w:p>
    <w:p w14:paraId="1DC07E8C" w14:textId="77777777" w:rsidR="001002EC" w:rsidRPr="0019790A" w:rsidRDefault="001002EC" w:rsidP="0019790A">
      <w:pPr>
        <w:jc w:val="center"/>
        <w:rPr>
          <w:rFonts w:cs="Arial"/>
          <w:b/>
          <w:color w:val="000000"/>
          <w:szCs w:val="22"/>
        </w:rPr>
      </w:pPr>
      <w:r w:rsidRPr="0019790A">
        <w:rPr>
          <w:rFonts w:cs="Arial"/>
          <w:b/>
          <w:color w:val="000000"/>
          <w:szCs w:val="22"/>
        </w:rPr>
        <w:t>до Плану заходів з реалізації Стратегії</w:t>
      </w:r>
    </w:p>
    <w:p w14:paraId="7CC38F4E" w14:textId="77777777" w:rsidR="001002EC" w:rsidRPr="0019790A" w:rsidRDefault="001002EC"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40"/>
        <w:gridCol w:w="14"/>
        <w:gridCol w:w="1417"/>
        <w:gridCol w:w="22"/>
        <w:gridCol w:w="1390"/>
        <w:gridCol w:w="6"/>
        <w:gridCol w:w="1275"/>
        <w:gridCol w:w="9"/>
        <w:gridCol w:w="1421"/>
      </w:tblGrid>
      <w:tr w:rsidR="001002EC" w:rsidRPr="0019790A" w14:paraId="071A3A19" w14:textId="77777777" w:rsidTr="00E202E5">
        <w:trPr>
          <w:trHeight w:val="378"/>
          <w:jc w:val="right"/>
        </w:trPr>
        <w:tc>
          <w:tcPr>
            <w:tcW w:w="3425" w:type="dxa"/>
            <w:vAlign w:val="center"/>
          </w:tcPr>
          <w:p w14:paraId="755DAA5B" w14:textId="2D081940" w:rsidR="001002EC" w:rsidRPr="0019790A" w:rsidRDefault="001002EC" w:rsidP="00E202E5">
            <w:pPr>
              <w:rPr>
                <w:rFonts w:cs="Arial"/>
                <w:b/>
                <w:szCs w:val="22"/>
              </w:rPr>
            </w:pPr>
            <w:r w:rsidRPr="0019790A">
              <w:rPr>
                <w:rFonts w:cs="Arial"/>
                <w:b/>
                <w:szCs w:val="22"/>
              </w:rPr>
              <w:t xml:space="preserve">Назва </w:t>
            </w:r>
            <w:r w:rsidR="00314B9D">
              <w:rPr>
                <w:rFonts w:cs="Arial"/>
                <w:b/>
                <w:szCs w:val="22"/>
              </w:rPr>
              <w:t>проєкту</w:t>
            </w:r>
            <w:r w:rsidRPr="0019790A">
              <w:rPr>
                <w:rFonts w:cs="Arial"/>
                <w:b/>
                <w:szCs w:val="22"/>
              </w:rPr>
              <w:t>:</w:t>
            </w:r>
          </w:p>
        </w:tc>
        <w:tc>
          <w:tcPr>
            <w:tcW w:w="6794" w:type="dxa"/>
            <w:gridSpan w:val="9"/>
            <w:vAlign w:val="center"/>
          </w:tcPr>
          <w:p w14:paraId="255D4B30" w14:textId="77777777" w:rsidR="001002EC" w:rsidRPr="0019790A" w:rsidRDefault="001002EC" w:rsidP="00E202E5">
            <w:pPr>
              <w:rPr>
                <w:rFonts w:cs="Arial"/>
                <w:b/>
                <w:szCs w:val="22"/>
              </w:rPr>
            </w:pPr>
            <w:r w:rsidRPr="0019790A">
              <w:rPr>
                <w:rFonts w:cs="Arial"/>
                <w:b/>
                <w:szCs w:val="22"/>
              </w:rPr>
              <w:t>Придбання цифрового флюорографічного комплексу</w:t>
            </w:r>
          </w:p>
        </w:tc>
      </w:tr>
      <w:tr w:rsidR="001002EC" w:rsidRPr="0019790A" w14:paraId="7D57CBF5" w14:textId="77777777" w:rsidTr="00B8248C">
        <w:trPr>
          <w:jc w:val="right"/>
        </w:trPr>
        <w:tc>
          <w:tcPr>
            <w:tcW w:w="3425" w:type="dxa"/>
          </w:tcPr>
          <w:p w14:paraId="14337367" w14:textId="77777777" w:rsidR="001002EC" w:rsidRPr="0019790A" w:rsidRDefault="001002EC"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14DEF13D" w14:textId="77777777" w:rsidR="001002EC" w:rsidRPr="0019790A" w:rsidRDefault="001002EC"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9"/>
          </w:tcPr>
          <w:p w14:paraId="47D97B30" w14:textId="77777777" w:rsidR="001002EC" w:rsidRPr="0019790A" w:rsidRDefault="001002EC" w:rsidP="00E202E5">
            <w:pPr>
              <w:jc w:val="both"/>
              <w:rPr>
                <w:rFonts w:cs="Arial"/>
                <w:szCs w:val="22"/>
                <w:lang w:eastAsia="it-IT"/>
              </w:rPr>
            </w:pPr>
            <w:r w:rsidRPr="0019790A">
              <w:rPr>
                <w:rFonts w:cs="Arial"/>
                <w:szCs w:val="22"/>
                <w:lang w:eastAsia="it-IT"/>
              </w:rPr>
              <w:t>Комунальне некомерційне підприємство «Жмеринська центральна районна лікарня» Жмеринської міської ради</w:t>
            </w:r>
          </w:p>
        </w:tc>
      </w:tr>
      <w:tr w:rsidR="001002EC" w:rsidRPr="0019790A" w14:paraId="39500695" w14:textId="77777777" w:rsidTr="00B8248C">
        <w:trPr>
          <w:jc w:val="right"/>
        </w:trPr>
        <w:tc>
          <w:tcPr>
            <w:tcW w:w="3425" w:type="dxa"/>
          </w:tcPr>
          <w:p w14:paraId="2C3868F2" w14:textId="77777777" w:rsidR="001002EC" w:rsidRPr="0019790A" w:rsidRDefault="001002EC" w:rsidP="0019790A">
            <w:pPr>
              <w:rPr>
                <w:rFonts w:cs="Arial"/>
                <w:b/>
                <w:bCs/>
                <w:szCs w:val="22"/>
              </w:rPr>
            </w:pPr>
            <w:r w:rsidRPr="0019790A">
              <w:rPr>
                <w:rFonts w:cs="Arial"/>
                <w:szCs w:val="22"/>
                <w:lang w:eastAsia="it-IT"/>
              </w:rPr>
              <w:t>Прізвище Ім’я По-батькові:</w:t>
            </w:r>
          </w:p>
        </w:tc>
        <w:tc>
          <w:tcPr>
            <w:tcW w:w="6794" w:type="dxa"/>
            <w:gridSpan w:val="9"/>
          </w:tcPr>
          <w:p w14:paraId="0B1ED7F8" w14:textId="77777777" w:rsidR="001002EC" w:rsidRPr="0019790A" w:rsidRDefault="001002EC" w:rsidP="00E202E5">
            <w:pPr>
              <w:jc w:val="both"/>
              <w:rPr>
                <w:rFonts w:cs="Arial"/>
                <w:szCs w:val="22"/>
                <w:lang w:eastAsia="it-IT"/>
              </w:rPr>
            </w:pPr>
            <w:r w:rsidRPr="0019790A">
              <w:rPr>
                <w:rFonts w:cs="Arial"/>
                <w:szCs w:val="22"/>
                <w:lang w:eastAsia="it-IT"/>
              </w:rPr>
              <w:t>Боровський Ростислав Васильович</w:t>
            </w:r>
          </w:p>
        </w:tc>
      </w:tr>
      <w:tr w:rsidR="001002EC" w:rsidRPr="0019790A" w14:paraId="1003BC5F" w14:textId="77777777" w:rsidTr="00B8248C">
        <w:trPr>
          <w:jc w:val="right"/>
        </w:trPr>
        <w:tc>
          <w:tcPr>
            <w:tcW w:w="3425" w:type="dxa"/>
          </w:tcPr>
          <w:p w14:paraId="4E195287" w14:textId="77777777" w:rsidR="001002EC" w:rsidRPr="0019790A" w:rsidRDefault="001002EC" w:rsidP="0019790A">
            <w:pPr>
              <w:rPr>
                <w:rFonts w:cs="Arial"/>
                <w:b/>
                <w:bCs/>
                <w:szCs w:val="22"/>
              </w:rPr>
            </w:pPr>
            <w:r w:rsidRPr="0019790A">
              <w:rPr>
                <w:rFonts w:cs="Arial"/>
                <w:szCs w:val="22"/>
                <w:lang w:eastAsia="it-IT"/>
              </w:rPr>
              <w:t>Телефон (мобільний):</w:t>
            </w:r>
          </w:p>
        </w:tc>
        <w:tc>
          <w:tcPr>
            <w:tcW w:w="6794" w:type="dxa"/>
            <w:gridSpan w:val="9"/>
          </w:tcPr>
          <w:p w14:paraId="3C7FDB10" w14:textId="77777777" w:rsidR="001002EC" w:rsidRPr="0019790A" w:rsidRDefault="001002EC" w:rsidP="00E202E5">
            <w:pPr>
              <w:jc w:val="both"/>
              <w:rPr>
                <w:rFonts w:cs="Arial"/>
                <w:szCs w:val="22"/>
                <w:lang w:eastAsia="it-IT"/>
              </w:rPr>
            </w:pPr>
            <w:r w:rsidRPr="0019790A">
              <w:rPr>
                <w:rFonts w:cs="Arial"/>
                <w:szCs w:val="22"/>
                <w:lang w:eastAsia="it-IT"/>
              </w:rPr>
              <w:t>0978652320</w:t>
            </w:r>
          </w:p>
        </w:tc>
      </w:tr>
      <w:tr w:rsidR="001002EC" w:rsidRPr="0019790A" w14:paraId="229B4B77" w14:textId="77777777" w:rsidTr="00B8248C">
        <w:trPr>
          <w:jc w:val="right"/>
        </w:trPr>
        <w:tc>
          <w:tcPr>
            <w:tcW w:w="3425" w:type="dxa"/>
          </w:tcPr>
          <w:p w14:paraId="7A5E4DE4" w14:textId="77777777" w:rsidR="001002EC" w:rsidRPr="0019790A" w:rsidRDefault="001002EC" w:rsidP="0019790A">
            <w:pPr>
              <w:rPr>
                <w:rFonts w:cs="Arial"/>
                <w:b/>
                <w:bCs/>
                <w:szCs w:val="22"/>
              </w:rPr>
            </w:pPr>
            <w:r w:rsidRPr="0019790A">
              <w:rPr>
                <w:rFonts w:cs="Arial"/>
                <w:szCs w:val="22"/>
                <w:lang w:eastAsia="it-IT"/>
              </w:rPr>
              <w:t>Електронна адреса:</w:t>
            </w:r>
          </w:p>
        </w:tc>
        <w:tc>
          <w:tcPr>
            <w:tcW w:w="6794" w:type="dxa"/>
            <w:gridSpan w:val="9"/>
          </w:tcPr>
          <w:p w14:paraId="0EDF2BAD" w14:textId="31592095" w:rsidR="001002EC" w:rsidRPr="0019790A" w:rsidRDefault="00D85FFD" w:rsidP="00E202E5">
            <w:pPr>
              <w:jc w:val="both"/>
              <w:rPr>
                <w:rFonts w:cs="Arial"/>
                <w:szCs w:val="22"/>
                <w:lang w:eastAsia="it-IT"/>
              </w:rPr>
            </w:pPr>
            <w:hyperlink r:id="rId125" w:history="1">
              <w:r w:rsidR="00E202E5" w:rsidRPr="00BF0394">
                <w:rPr>
                  <w:rStyle w:val="af0"/>
                  <w:rFonts w:cs="Arial"/>
                  <w:noProof w:val="0"/>
                  <w:sz w:val="22"/>
                  <w:szCs w:val="22"/>
                  <w:lang w:eastAsia="it-IT"/>
                </w:rPr>
                <w:t>zhcrl@ukr.net</w:t>
              </w:r>
            </w:hyperlink>
            <w:r w:rsidR="00E202E5">
              <w:rPr>
                <w:rFonts w:cs="Arial"/>
                <w:szCs w:val="22"/>
                <w:lang w:eastAsia="it-IT"/>
              </w:rPr>
              <w:t xml:space="preserve"> </w:t>
            </w:r>
          </w:p>
        </w:tc>
      </w:tr>
      <w:tr w:rsidR="001002EC" w:rsidRPr="0019790A" w14:paraId="6535B03C" w14:textId="77777777" w:rsidTr="00B8248C">
        <w:trPr>
          <w:jc w:val="right"/>
        </w:trPr>
        <w:tc>
          <w:tcPr>
            <w:tcW w:w="3425" w:type="dxa"/>
            <w:vAlign w:val="center"/>
          </w:tcPr>
          <w:p w14:paraId="3AAACFE0" w14:textId="7C09FC5D" w:rsidR="001002EC" w:rsidRPr="0019790A" w:rsidRDefault="001002EC" w:rsidP="0019790A">
            <w:pPr>
              <w:pStyle w:val="6"/>
              <w:spacing w:before="0" w:after="0"/>
              <w:rPr>
                <w:rFonts w:ascii="Arial" w:hAnsi="Arial" w:cs="Arial"/>
                <w:color w:val="000000"/>
                <w:lang w:val="uk-UA"/>
              </w:rPr>
            </w:pPr>
            <w:r w:rsidRPr="0019790A">
              <w:rPr>
                <w:rFonts w:ascii="Arial" w:hAnsi="Arial" w:cs="Arial"/>
                <w:color w:val="000000"/>
                <w:lang w:val="uk-UA"/>
              </w:rPr>
              <w:t>Номер і назва завдання з Стратегії</w:t>
            </w:r>
            <w:r w:rsidRPr="0019790A">
              <w:rPr>
                <w:rFonts w:ascii="Arial" w:hAnsi="Arial" w:cs="Arial"/>
                <w:lang w:val="uk-UA" w:eastAsia="it-IT"/>
              </w:rPr>
              <w:t xml:space="preserve"> </w:t>
            </w:r>
            <w:r w:rsidRPr="0019790A">
              <w:rPr>
                <w:rFonts w:ascii="Arial" w:hAnsi="Arial" w:cs="Arial"/>
                <w:color w:val="000000"/>
                <w:lang w:val="uk-UA"/>
              </w:rPr>
              <w:t xml:space="preserve">розвитку Жмеринської міської територіальної громади,  якому відповідає </w:t>
            </w:r>
            <w:r w:rsidR="00314B9D">
              <w:rPr>
                <w:rFonts w:ascii="Arial" w:hAnsi="Arial" w:cs="Arial"/>
                <w:color w:val="000000"/>
                <w:lang w:val="uk-UA"/>
              </w:rPr>
              <w:t>проєкт</w:t>
            </w:r>
            <w:r w:rsidRPr="0019790A">
              <w:rPr>
                <w:rFonts w:ascii="Arial" w:hAnsi="Arial" w:cs="Arial"/>
                <w:color w:val="000000"/>
                <w:lang w:val="uk-UA"/>
              </w:rPr>
              <w:t>:</w:t>
            </w:r>
          </w:p>
        </w:tc>
        <w:tc>
          <w:tcPr>
            <w:tcW w:w="6794" w:type="dxa"/>
            <w:gridSpan w:val="9"/>
          </w:tcPr>
          <w:p w14:paraId="45F58E54" w14:textId="77777777" w:rsidR="001002EC" w:rsidRPr="0019790A" w:rsidRDefault="001002EC" w:rsidP="00E202E5">
            <w:pPr>
              <w:pBdr>
                <w:left w:val="single" w:sz="18" w:space="4" w:color="auto"/>
              </w:pBdr>
              <w:jc w:val="both"/>
              <w:rPr>
                <w:rFonts w:cs="Arial"/>
                <w:iCs/>
                <w:szCs w:val="22"/>
                <w:lang w:eastAsia="it-IT"/>
              </w:rPr>
            </w:pPr>
            <w:r w:rsidRPr="0019790A">
              <w:rPr>
                <w:rFonts w:cs="Arial"/>
                <w:iCs/>
                <w:szCs w:val="22"/>
                <w:lang w:eastAsia="it-IT"/>
              </w:rPr>
              <w:t>С.2.Забезпечення доступу до якісної системи охорони здоров’я</w:t>
            </w:r>
          </w:p>
          <w:p w14:paraId="78621111" w14:textId="77777777" w:rsidR="001002EC" w:rsidRPr="0019790A" w:rsidRDefault="001002EC" w:rsidP="00E202E5">
            <w:pPr>
              <w:pBdr>
                <w:left w:val="single" w:sz="18" w:space="4" w:color="auto"/>
              </w:pBdr>
              <w:jc w:val="both"/>
              <w:rPr>
                <w:rFonts w:cs="Arial"/>
                <w:szCs w:val="22"/>
                <w:lang w:eastAsia="it-IT"/>
              </w:rPr>
            </w:pPr>
          </w:p>
        </w:tc>
      </w:tr>
      <w:tr w:rsidR="001002EC" w:rsidRPr="0019790A" w14:paraId="7BE8D3A5" w14:textId="77777777" w:rsidTr="00B8248C">
        <w:trPr>
          <w:trHeight w:val="501"/>
          <w:jc w:val="right"/>
        </w:trPr>
        <w:tc>
          <w:tcPr>
            <w:tcW w:w="3425" w:type="dxa"/>
            <w:vAlign w:val="center"/>
          </w:tcPr>
          <w:p w14:paraId="57B6DFC3" w14:textId="40E57386" w:rsidR="001002EC" w:rsidRPr="0019790A" w:rsidRDefault="001002EC" w:rsidP="0019790A">
            <w:pPr>
              <w:rPr>
                <w:rFonts w:cs="Arial"/>
                <w:b/>
                <w:bCs/>
                <w:color w:val="000000"/>
                <w:szCs w:val="22"/>
              </w:rPr>
            </w:pPr>
            <w:r w:rsidRPr="0019790A">
              <w:rPr>
                <w:rFonts w:cs="Arial"/>
                <w:b/>
                <w:bCs/>
                <w:color w:val="000000"/>
                <w:szCs w:val="22"/>
              </w:rPr>
              <w:t xml:space="preserve">Мета </w:t>
            </w:r>
            <w:r w:rsidR="00314B9D">
              <w:rPr>
                <w:rFonts w:cs="Arial"/>
                <w:b/>
                <w:bCs/>
                <w:color w:val="000000"/>
                <w:szCs w:val="22"/>
              </w:rPr>
              <w:t>проєкту</w:t>
            </w:r>
            <w:r w:rsidRPr="0019790A">
              <w:rPr>
                <w:rFonts w:cs="Arial"/>
                <w:b/>
                <w:bCs/>
                <w:color w:val="000000"/>
                <w:szCs w:val="22"/>
              </w:rPr>
              <w:t>:</w:t>
            </w:r>
          </w:p>
        </w:tc>
        <w:tc>
          <w:tcPr>
            <w:tcW w:w="6794" w:type="dxa"/>
            <w:gridSpan w:val="9"/>
          </w:tcPr>
          <w:p w14:paraId="1DB3203F" w14:textId="77777777" w:rsidR="001002EC" w:rsidRPr="0019790A" w:rsidRDefault="001002EC" w:rsidP="00E202E5">
            <w:pPr>
              <w:jc w:val="both"/>
              <w:rPr>
                <w:rFonts w:cs="Arial"/>
                <w:szCs w:val="22"/>
                <w:lang w:eastAsia="it-IT"/>
              </w:rPr>
            </w:pPr>
            <w:r w:rsidRPr="0019790A">
              <w:rPr>
                <w:rFonts w:cs="Arial"/>
                <w:szCs w:val="22"/>
                <w:lang w:eastAsia="it-IT"/>
              </w:rPr>
              <w:t>Підвищити якість надання медичного обслуговування у закладі</w:t>
            </w:r>
          </w:p>
        </w:tc>
      </w:tr>
      <w:tr w:rsidR="001002EC" w:rsidRPr="0019790A" w14:paraId="709E6285" w14:textId="77777777" w:rsidTr="00B8248C">
        <w:trPr>
          <w:jc w:val="right"/>
        </w:trPr>
        <w:tc>
          <w:tcPr>
            <w:tcW w:w="3425" w:type="dxa"/>
            <w:vAlign w:val="center"/>
          </w:tcPr>
          <w:p w14:paraId="2E0C5B13" w14:textId="7F62AD88" w:rsidR="001002EC" w:rsidRPr="0019790A" w:rsidRDefault="001002EC" w:rsidP="0019790A">
            <w:pPr>
              <w:rPr>
                <w:rFonts w:cs="Arial"/>
                <w:b/>
                <w:bCs/>
                <w:color w:val="000000"/>
                <w:szCs w:val="22"/>
              </w:rPr>
            </w:pPr>
            <w:r w:rsidRPr="0019790A">
              <w:rPr>
                <w:rFonts w:cs="Arial"/>
                <w:b/>
                <w:bCs/>
                <w:color w:val="000000"/>
                <w:szCs w:val="22"/>
              </w:rPr>
              <w:t xml:space="preserve">Цілі </w:t>
            </w:r>
            <w:r w:rsidR="00314B9D">
              <w:rPr>
                <w:rFonts w:cs="Arial"/>
                <w:b/>
                <w:bCs/>
                <w:color w:val="000000"/>
                <w:szCs w:val="22"/>
              </w:rPr>
              <w:t>проєкту</w:t>
            </w:r>
            <w:r w:rsidRPr="0019790A">
              <w:rPr>
                <w:rFonts w:cs="Arial"/>
                <w:b/>
                <w:bCs/>
                <w:color w:val="000000"/>
                <w:szCs w:val="22"/>
              </w:rPr>
              <w:t>:</w:t>
            </w:r>
          </w:p>
        </w:tc>
        <w:tc>
          <w:tcPr>
            <w:tcW w:w="6794" w:type="dxa"/>
            <w:gridSpan w:val="9"/>
          </w:tcPr>
          <w:p w14:paraId="2B0EC4BD" w14:textId="77777777" w:rsidR="001002EC" w:rsidRPr="0019790A" w:rsidRDefault="001002EC" w:rsidP="00E202E5">
            <w:pPr>
              <w:jc w:val="both"/>
              <w:rPr>
                <w:rFonts w:cs="Arial"/>
                <w:szCs w:val="22"/>
                <w:lang w:eastAsia="it-IT"/>
              </w:rPr>
            </w:pPr>
            <w:r w:rsidRPr="0019790A">
              <w:rPr>
                <w:rFonts w:cs="Arial"/>
                <w:szCs w:val="22"/>
                <w:lang w:eastAsia="it-IT"/>
              </w:rPr>
              <w:t>Якісне надання медичної допомоги</w:t>
            </w:r>
          </w:p>
        </w:tc>
      </w:tr>
      <w:tr w:rsidR="001002EC" w:rsidRPr="0019790A" w14:paraId="27387373" w14:textId="77777777" w:rsidTr="00B8248C">
        <w:trPr>
          <w:jc w:val="right"/>
        </w:trPr>
        <w:tc>
          <w:tcPr>
            <w:tcW w:w="3425" w:type="dxa"/>
            <w:vAlign w:val="center"/>
          </w:tcPr>
          <w:p w14:paraId="07367CAF" w14:textId="3B835D35" w:rsidR="001002EC" w:rsidRPr="0019790A" w:rsidRDefault="001002EC" w:rsidP="0019790A">
            <w:pPr>
              <w:autoSpaceDE w:val="0"/>
              <w:autoSpaceDN w:val="0"/>
              <w:adjustRightInd w:val="0"/>
              <w:rPr>
                <w:rFonts w:cs="Arial"/>
                <w:b/>
                <w:color w:val="000000"/>
                <w:szCs w:val="22"/>
              </w:rPr>
            </w:pPr>
            <w:r w:rsidRPr="0019790A">
              <w:rPr>
                <w:rFonts w:cs="Arial"/>
                <w:b/>
                <w:color w:val="000000"/>
                <w:szCs w:val="22"/>
              </w:rPr>
              <w:t xml:space="preserve">Територія на яку </w:t>
            </w:r>
            <w:r w:rsidR="00314B9D">
              <w:rPr>
                <w:rFonts w:cs="Arial"/>
                <w:b/>
                <w:color w:val="000000"/>
                <w:szCs w:val="22"/>
              </w:rPr>
              <w:t>проєкт</w:t>
            </w:r>
            <w:r w:rsidRPr="0019790A">
              <w:rPr>
                <w:rFonts w:cs="Arial"/>
                <w:b/>
                <w:color w:val="000000"/>
                <w:szCs w:val="22"/>
              </w:rPr>
              <w:t xml:space="preserve"> матиме вплив:</w:t>
            </w:r>
          </w:p>
        </w:tc>
        <w:tc>
          <w:tcPr>
            <w:tcW w:w="6794" w:type="dxa"/>
            <w:gridSpan w:val="9"/>
          </w:tcPr>
          <w:p w14:paraId="5059FC7F" w14:textId="0832556B" w:rsidR="001002EC" w:rsidRPr="0019790A" w:rsidRDefault="001002EC" w:rsidP="00E202E5">
            <w:pPr>
              <w:jc w:val="both"/>
              <w:rPr>
                <w:rFonts w:cs="Arial"/>
                <w:szCs w:val="22"/>
                <w:lang w:eastAsia="it-IT"/>
              </w:rPr>
            </w:pPr>
            <w:r w:rsidRPr="0019790A">
              <w:rPr>
                <w:rFonts w:cs="Arial"/>
                <w:szCs w:val="22"/>
                <w:lang w:eastAsia="it-IT"/>
              </w:rPr>
              <w:t xml:space="preserve">Територія </w:t>
            </w:r>
            <w:r w:rsidR="00E202E5" w:rsidRPr="0019790A">
              <w:rPr>
                <w:rFonts w:cs="Arial"/>
                <w:szCs w:val="22"/>
                <w:lang w:eastAsia="it-IT"/>
              </w:rPr>
              <w:t>Жмеринської</w:t>
            </w:r>
            <w:r w:rsidRPr="0019790A">
              <w:rPr>
                <w:rFonts w:cs="Arial"/>
                <w:szCs w:val="22"/>
                <w:lang w:eastAsia="it-IT"/>
              </w:rPr>
              <w:t xml:space="preserve"> </w:t>
            </w:r>
            <w:r w:rsidR="00E202E5" w:rsidRPr="0019790A">
              <w:rPr>
                <w:rFonts w:cs="Arial"/>
                <w:szCs w:val="22"/>
                <w:lang w:eastAsia="it-IT"/>
              </w:rPr>
              <w:t>міської</w:t>
            </w:r>
            <w:r w:rsidRPr="0019790A">
              <w:rPr>
                <w:rFonts w:cs="Arial"/>
                <w:szCs w:val="22"/>
                <w:lang w:eastAsia="it-IT"/>
              </w:rPr>
              <w:t xml:space="preserve"> </w:t>
            </w:r>
            <w:r w:rsidR="00E202E5" w:rsidRPr="0019790A">
              <w:rPr>
                <w:rFonts w:cs="Arial"/>
                <w:szCs w:val="22"/>
                <w:lang w:eastAsia="it-IT"/>
              </w:rPr>
              <w:t>територіальної</w:t>
            </w:r>
            <w:r w:rsidRPr="0019790A">
              <w:rPr>
                <w:rFonts w:cs="Arial"/>
                <w:szCs w:val="22"/>
                <w:lang w:eastAsia="it-IT"/>
              </w:rPr>
              <w:t xml:space="preserve"> громади площею 530,5 кв.км.</w:t>
            </w:r>
          </w:p>
        </w:tc>
      </w:tr>
      <w:tr w:rsidR="001002EC" w:rsidRPr="0019790A" w14:paraId="7E039048" w14:textId="77777777" w:rsidTr="00B8248C">
        <w:trPr>
          <w:jc w:val="right"/>
        </w:trPr>
        <w:tc>
          <w:tcPr>
            <w:tcW w:w="3425" w:type="dxa"/>
            <w:vAlign w:val="center"/>
          </w:tcPr>
          <w:p w14:paraId="3BB1B80D" w14:textId="77777777" w:rsidR="001002EC" w:rsidRPr="0019790A" w:rsidRDefault="001002EC" w:rsidP="0019790A">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4" w:type="dxa"/>
            <w:gridSpan w:val="9"/>
          </w:tcPr>
          <w:p w14:paraId="2BEEAA2F" w14:textId="77777777" w:rsidR="001002EC" w:rsidRPr="0019790A" w:rsidRDefault="001002EC" w:rsidP="00E202E5">
            <w:pPr>
              <w:jc w:val="both"/>
              <w:rPr>
                <w:rFonts w:cs="Arial"/>
                <w:szCs w:val="22"/>
                <w:lang w:eastAsia="it-IT"/>
              </w:rPr>
            </w:pPr>
            <w:r w:rsidRPr="0019790A">
              <w:rPr>
                <w:rFonts w:cs="Arial"/>
                <w:szCs w:val="22"/>
                <w:lang w:eastAsia="it-IT"/>
              </w:rPr>
              <w:t>170 тис.осіб дорослого та дитячого населення</w:t>
            </w:r>
          </w:p>
        </w:tc>
      </w:tr>
      <w:tr w:rsidR="001002EC" w:rsidRPr="0019790A" w14:paraId="4D7DB0EF" w14:textId="77777777" w:rsidTr="00B8248C">
        <w:trPr>
          <w:jc w:val="right"/>
        </w:trPr>
        <w:tc>
          <w:tcPr>
            <w:tcW w:w="3425" w:type="dxa"/>
            <w:shd w:val="clear" w:color="auto" w:fill="FFFFFF"/>
            <w:vAlign w:val="center"/>
          </w:tcPr>
          <w:p w14:paraId="69C317BC" w14:textId="58764B87" w:rsidR="001002EC" w:rsidRPr="0019790A" w:rsidRDefault="001002EC" w:rsidP="0019790A">
            <w:pPr>
              <w:rPr>
                <w:rFonts w:cs="Arial"/>
                <w:b/>
                <w:bCs/>
                <w:color w:val="000000"/>
                <w:szCs w:val="22"/>
              </w:rPr>
            </w:pPr>
            <w:r w:rsidRPr="0019790A">
              <w:rPr>
                <w:rFonts w:cs="Arial"/>
                <w:b/>
                <w:bCs/>
                <w:color w:val="000000"/>
                <w:szCs w:val="22"/>
              </w:rPr>
              <w:t xml:space="preserve">Стислий опис </w:t>
            </w:r>
            <w:r w:rsidR="00314B9D">
              <w:rPr>
                <w:rFonts w:cs="Arial"/>
                <w:b/>
                <w:bCs/>
                <w:color w:val="000000"/>
                <w:szCs w:val="22"/>
              </w:rPr>
              <w:t>проєкту</w:t>
            </w:r>
            <w:r w:rsidRPr="0019790A">
              <w:rPr>
                <w:rFonts w:cs="Arial"/>
                <w:b/>
                <w:bCs/>
                <w:color w:val="000000"/>
                <w:szCs w:val="22"/>
              </w:rPr>
              <w:t>:</w:t>
            </w:r>
          </w:p>
        </w:tc>
        <w:tc>
          <w:tcPr>
            <w:tcW w:w="6794" w:type="dxa"/>
            <w:gridSpan w:val="9"/>
          </w:tcPr>
          <w:p w14:paraId="7C72719E" w14:textId="77777777" w:rsidR="001002EC" w:rsidRPr="0019790A" w:rsidRDefault="001002EC" w:rsidP="00E202E5">
            <w:pPr>
              <w:jc w:val="both"/>
              <w:rPr>
                <w:rFonts w:cs="Arial"/>
                <w:szCs w:val="22"/>
                <w:lang w:eastAsia="it-IT"/>
              </w:rPr>
            </w:pPr>
            <w:r w:rsidRPr="0019790A">
              <w:rPr>
                <w:rFonts w:cs="Arial"/>
                <w:szCs w:val="22"/>
                <w:lang w:eastAsia="it-IT"/>
              </w:rPr>
              <w:t>Придбання цифрового флюорографічного комплексу</w:t>
            </w:r>
          </w:p>
        </w:tc>
      </w:tr>
      <w:tr w:rsidR="001002EC" w:rsidRPr="0019790A" w14:paraId="7030C561" w14:textId="77777777" w:rsidTr="00B8248C">
        <w:trPr>
          <w:trHeight w:val="538"/>
          <w:jc w:val="right"/>
        </w:trPr>
        <w:tc>
          <w:tcPr>
            <w:tcW w:w="3425" w:type="dxa"/>
            <w:shd w:val="clear" w:color="auto" w:fill="FFFFFF"/>
            <w:vAlign w:val="center"/>
          </w:tcPr>
          <w:p w14:paraId="69F9A873" w14:textId="77777777" w:rsidR="001002EC" w:rsidRPr="0019790A" w:rsidRDefault="001002EC" w:rsidP="0019790A">
            <w:pPr>
              <w:rPr>
                <w:rFonts w:cs="Arial"/>
                <w:b/>
                <w:bCs/>
                <w:color w:val="000000"/>
                <w:szCs w:val="22"/>
              </w:rPr>
            </w:pPr>
            <w:r w:rsidRPr="0019790A">
              <w:rPr>
                <w:rFonts w:cs="Arial"/>
                <w:b/>
                <w:bCs/>
                <w:color w:val="000000"/>
                <w:szCs w:val="22"/>
              </w:rPr>
              <w:t>Основні заходи проєкту</w:t>
            </w:r>
          </w:p>
        </w:tc>
        <w:tc>
          <w:tcPr>
            <w:tcW w:w="6794" w:type="dxa"/>
            <w:gridSpan w:val="9"/>
            <w:shd w:val="clear" w:color="auto" w:fill="FFFFFF"/>
          </w:tcPr>
          <w:p w14:paraId="29C025A3" w14:textId="77777777" w:rsidR="001002EC" w:rsidRPr="0019790A" w:rsidRDefault="001002EC" w:rsidP="00E202E5">
            <w:pPr>
              <w:jc w:val="both"/>
              <w:rPr>
                <w:rFonts w:cs="Arial"/>
                <w:szCs w:val="22"/>
                <w:lang w:eastAsia="it-IT"/>
              </w:rPr>
            </w:pPr>
            <w:r w:rsidRPr="0019790A">
              <w:rPr>
                <w:rFonts w:cs="Arial"/>
                <w:szCs w:val="22"/>
                <w:lang w:eastAsia="it-IT"/>
              </w:rPr>
              <w:t xml:space="preserve">- придбання цифрового флюорографічного комплексу </w:t>
            </w:r>
          </w:p>
          <w:p w14:paraId="4B709A3B" w14:textId="77777777" w:rsidR="001002EC" w:rsidRPr="0019790A" w:rsidRDefault="001002EC" w:rsidP="00E202E5">
            <w:pPr>
              <w:jc w:val="both"/>
              <w:rPr>
                <w:rFonts w:cs="Arial"/>
                <w:szCs w:val="22"/>
                <w:lang w:eastAsia="it-IT"/>
              </w:rPr>
            </w:pPr>
          </w:p>
          <w:p w14:paraId="39D9B63B" w14:textId="77777777" w:rsidR="001002EC" w:rsidRPr="0019790A" w:rsidRDefault="001002EC" w:rsidP="00E202E5">
            <w:pPr>
              <w:jc w:val="both"/>
              <w:rPr>
                <w:rFonts w:cs="Arial"/>
                <w:szCs w:val="22"/>
                <w:lang w:eastAsia="it-IT"/>
              </w:rPr>
            </w:pPr>
          </w:p>
        </w:tc>
      </w:tr>
      <w:tr w:rsidR="001002EC" w:rsidRPr="0019790A" w14:paraId="146E5CF2" w14:textId="77777777" w:rsidTr="00B8248C">
        <w:trPr>
          <w:jc w:val="right"/>
        </w:trPr>
        <w:tc>
          <w:tcPr>
            <w:tcW w:w="3425" w:type="dxa"/>
            <w:shd w:val="clear" w:color="auto" w:fill="FFFFFF"/>
            <w:vAlign w:val="center"/>
          </w:tcPr>
          <w:p w14:paraId="1A11132D" w14:textId="77777777" w:rsidR="001002EC" w:rsidRPr="0019790A" w:rsidRDefault="001002EC"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794" w:type="dxa"/>
            <w:gridSpan w:val="9"/>
          </w:tcPr>
          <w:p w14:paraId="1C195F6B" w14:textId="1AEA789D" w:rsidR="001002EC" w:rsidRPr="0019790A" w:rsidRDefault="001002EC" w:rsidP="00E202E5">
            <w:pPr>
              <w:jc w:val="both"/>
              <w:rPr>
                <w:rFonts w:cs="Arial"/>
                <w:szCs w:val="22"/>
                <w:lang w:eastAsia="it-IT"/>
              </w:rPr>
            </w:pPr>
            <w:r w:rsidRPr="0019790A">
              <w:rPr>
                <w:rFonts w:cs="Arial"/>
                <w:szCs w:val="22"/>
                <w:lang w:eastAsia="it-IT"/>
              </w:rPr>
              <w:t xml:space="preserve">Підвищення якості проведення </w:t>
            </w:r>
            <w:r w:rsidR="00E202E5" w:rsidRPr="0019790A">
              <w:rPr>
                <w:rFonts w:cs="Arial"/>
                <w:szCs w:val="22"/>
                <w:lang w:eastAsia="it-IT"/>
              </w:rPr>
              <w:t>флюорографічних</w:t>
            </w:r>
            <w:r w:rsidRPr="0019790A">
              <w:rPr>
                <w:rFonts w:cs="Arial"/>
                <w:szCs w:val="22"/>
                <w:lang w:eastAsia="it-IT"/>
              </w:rPr>
              <w:t xml:space="preserve"> обстежень, що дасть можливість вчасно діагностувати та лікувати туберкульозні та онкологічні захворювання, щонайменше для 10 тис. пацієнтів на рік.</w:t>
            </w:r>
          </w:p>
        </w:tc>
      </w:tr>
      <w:tr w:rsidR="001002EC" w:rsidRPr="0019790A" w14:paraId="56ECC06E" w14:textId="77777777" w:rsidTr="00B8248C">
        <w:trPr>
          <w:jc w:val="right"/>
        </w:trPr>
        <w:tc>
          <w:tcPr>
            <w:tcW w:w="3425" w:type="dxa"/>
            <w:shd w:val="clear" w:color="auto" w:fill="FFFFFF"/>
            <w:vAlign w:val="center"/>
          </w:tcPr>
          <w:p w14:paraId="68F077EB" w14:textId="77777777" w:rsidR="001002EC" w:rsidRPr="0019790A" w:rsidRDefault="001002EC" w:rsidP="0019790A">
            <w:pPr>
              <w:rPr>
                <w:rFonts w:cs="Arial"/>
                <w:b/>
                <w:color w:val="000000"/>
                <w:szCs w:val="22"/>
              </w:rPr>
            </w:pPr>
            <w:r w:rsidRPr="0019790A">
              <w:rPr>
                <w:rFonts w:cs="Arial"/>
                <w:b/>
                <w:color w:val="000000"/>
                <w:szCs w:val="22"/>
              </w:rPr>
              <w:t xml:space="preserve">Період здійснення: </w:t>
            </w:r>
          </w:p>
        </w:tc>
        <w:tc>
          <w:tcPr>
            <w:tcW w:w="6794" w:type="dxa"/>
            <w:gridSpan w:val="9"/>
            <w:vAlign w:val="center"/>
          </w:tcPr>
          <w:p w14:paraId="6C356190" w14:textId="77777777" w:rsidR="001002EC" w:rsidRPr="0019790A" w:rsidRDefault="001002EC" w:rsidP="0019790A">
            <w:pPr>
              <w:rPr>
                <w:rFonts w:cs="Arial"/>
                <w:color w:val="000000"/>
                <w:szCs w:val="22"/>
                <w:lang w:eastAsia="it-IT"/>
              </w:rPr>
            </w:pPr>
            <w:r w:rsidRPr="0019790A">
              <w:rPr>
                <w:rFonts w:cs="Arial"/>
                <w:b/>
                <w:color w:val="000000"/>
                <w:szCs w:val="22"/>
              </w:rPr>
              <w:t>2025 – 2028 роки:</w:t>
            </w:r>
          </w:p>
        </w:tc>
      </w:tr>
      <w:tr w:rsidR="001002EC" w:rsidRPr="0019790A" w14:paraId="1723D6EC" w14:textId="77777777" w:rsidTr="00B8248C">
        <w:trPr>
          <w:jc w:val="right"/>
        </w:trPr>
        <w:tc>
          <w:tcPr>
            <w:tcW w:w="3425" w:type="dxa"/>
            <w:vMerge w:val="restart"/>
            <w:shd w:val="clear" w:color="auto" w:fill="FFFFFF"/>
            <w:vAlign w:val="center"/>
          </w:tcPr>
          <w:p w14:paraId="539F242F" w14:textId="21815336" w:rsidR="001002EC" w:rsidRPr="0019790A" w:rsidRDefault="001002EC" w:rsidP="0019790A">
            <w:pPr>
              <w:rPr>
                <w:rFonts w:cs="Arial"/>
                <w:b/>
                <w:bCs/>
                <w:color w:val="000000"/>
                <w:szCs w:val="22"/>
              </w:rPr>
            </w:pPr>
            <w:r w:rsidRPr="0019790A">
              <w:rPr>
                <w:rFonts w:cs="Arial"/>
                <w:b/>
                <w:bCs/>
                <w:color w:val="000000"/>
                <w:szCs w:val="22"/>
              </w:rPr>
              <w:t xml:space="preserve">Орієнтовна вартість </w:t>
            </w:r>
            <w:r w:rsidR="00314B9D">
              <w:rPr>
                <w:rFonts w:cs="Arial"/>
                <w:b/>
                <w:bCs/>
                <w:color w:val="000000"/>
                <w:szCs w:val="22"/>
              </w:rPr>
              <w:t>проєкту</w:t>
            </w:r>
            <w:r w:rsidRPr="0019790A">
              <w:rPr>
                <w:rFonts w:cs="Arial"/>
                <w:b/>
                <w:bCs/>
                <w:color w:val="000000"/>
                <w:szCs w:val="22"/>
              </w:rPr>
              <w:t>, тис. грн. в тому числі:</w:t>
            </w:r>
          </w:p>
        </w:tc>
        <w:tc>
          <w:tcPr>
            <w:tcW w:w="1254" w:type="dxa"/>
            <w:gridSpan w:val="2"/>
            <w:shd w:val="clear" w:color="auto" w:fill="E6E6E6"/>
            <w:vAlign w:val="center"/>
          </w:tcPr>
          <w:p w14:paraId="1B3C1251"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2025</w:t>
            </w:r>
          </w:p>
        </w:tc>
        <w:tc>
          <w:tcPr>
            <w:tcW w:w="1417" w:type="dxa"/>
            <w:shd w:val="clear" w:color="auto" w:fill="E6E6E6"/>
            <w:vAlign w:val="center"/>
          </w:tcPr>
          <w:p w14:paraId="6A976ED6"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2026</w:t>
            </w:r>
          </w:p>
        </w:tc>
        <w:tc>
          <w:tcPr>
            <w:tcW w:w="1418" w:type="dxa"/>
            <w:gridSpan w:val="3"/>
            <w:tcBorders>
              <w:bottom w:val="single" w:sz="4" w:space="0" w:color="auto"/>
            </w:tcBorders>
            <w:shd w:val="clear" w:color="auto" w:fill="E6E6E6"/>
            <w:vAlign w:val="center"/>
          </w:tcPr>
          <w:p w14:paraId="4E83F789"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2027</w:t>
            </w:r>
          </w:p>
        </w:tc>
        <w:tc>
          <w:tcPr>
            <w:tcW w:w="1275" w:type="dxa"/>
            <w:shd w:val="clear" w:color="auto" w:fill="E6E6E6"/>
            <w:vAlign w:val="center"/>
          </w:tcPr>
          <w:p w14:paraId="37BC1CE9"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2028</w:t>
            </w:r>
          </w:p>
        </w:tc>
        <w:tc>
          <w:tcPr>
            <w:tcW w:w="1430" w:type="dxa"/>
            <w:gridSpan w:val="2"/>
            <w:shd w:val="clear" w:color="auto" w:fill="E6E6E6"/>
            <w:vAlign w:val="center"/>
          </w:tcPr>
          <w:p w14:paraId="46ADDDD4"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Разом</w:t>
            </w:r>
          </w:p>
        </w:tc>
      </w:tr>
      <w:tr w:rsidR="001002EC" w:rsidRPr="0019790A" w14:paraId="17B0BF3C" w14:textId="77777777" w:rsidTr="00B8248C">
        <w:trPr>
          <w:jc w:val="right"/>
        </w:trPr>
        <w:tc>
          <w:tcPr>
            <w:tcW w:w="3425" w:type="dxa"/>
            <w:vMerge/>
            <w:shd w:val="clear" w:color="auto" w:fill="FFFFFF"/>
            <w:vAlign w:val="center"/>
          </w:tcPr>
          <w:p w14:paraId="54F8EB75" w14:textId="77777777" w:rsidR="001002EC" w:rsidRPr="0019790A" w:rsidRDefault="001002EC" w:rsidP="0019790A">
            <w:pPr>
              <w:rPr>
                <w:rFonts w:cs="Arial"/>
                <w:b/>
                <w:bCs/>
                <w:color w:val="000000"/>
                <w:szCs w:val="22"/>
              </w:rPr>
            </w:pPr>
          </w:p>
        </w:tc>
        <w:tc>
          <w:tcPr>
            <w:tcW w:w="1254" w:type="dxa"/>
            <w:gridSpan w:val="2"/>
            <w:vAlign w:val="center"/>
          </w:tcPr>
          <w:p w14:paraId="6C6DCB88" w14:textId="77777777" w:rsidR="001002EC" w:rsidRPr="0019790A" w:rsidRDefault="001002EC" w:rsidP="0019790A">
            <w:pPr>
              <w:jc w:val="center"/>
              <w:rPr>
                <w:rFonts w:cs="Arial"/>
                <w:b/>
                <w:color w:val="000000"/>
                <w:szCs w:val="22"/>
                <w:lang w:eastAsia="it-IT"/>
              </w:rPr>
            </w:pPr>
          </w:p>
        </w:tc>
        <w:tc>
          <w:tcPr>
            <w:tcW w:w="1417" w:type="dxa"/>
            <w:shd w:val="clear" w:color="auto" w:fill="FFFFFF"/>
            <w:vAlign w:val="center"/>
          </w:tcPr>
          <w:p w14:paraId="4B260D0D" w14:textId="77777777" w:rsidR="001002EC" w:rsidRPr="0019790A" w:rsidRDefault="001002EC" w:rsidP="0019790A">
            <w:pPr>
              <w:jc w:val="center"/>
              <w:rPr>
                <w:rFonts w:cs="Arial"/>
                <w:b/>
                <w:color w:val="000000"/>
                <w:szCs w:val="22"/>
                <w:lang w:eastAsia="it-IT"/>
              </w:rPr>
            </w:pPr>
          </w:p>
        </w:tc>
        <w:tc>
          <w:tcPr>
            <w:tcW w:w="1418" w:type="dxa"/>
            <w:gridSpan w:val="3"/>
            <w:shd w:val="clear" w:color="auto" w:fill="auto"/>
            <w:vAlign w:val="center"/>
          </w:tcPr>
          <w:p w14:paraId="0DCF9440"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3900,000</w:t>
            </w:r>
          </w:p>
        </w:tc>
        <w:tc>
          <w:tcPr>
            <w:tcW w:w="1275" w:type="dxa"/>
            <w:shd w:val="clear" w:color="auto" w:fill="FFFFFF"/>
            <w:vAlign w:val="center"/>
          </w:tcPr>
          <w:p w14:paraId="6F771DA2" w14:textId="77777777" w:rsidR="001002EC" w:rsidRPr="0019790A" w:rsidRDefault="001002EC" w:rsidP="0019790A">
            <w:pPr>
              <w:jc w:val="center"/>
              <w:rPr>
                <w:rFonts w:cs="Arial"/>
                <w:b/>
                <w:color w:val="000000"/>
                <w:szCs w:val="22"/>
                <w:lang w:eastAsia="it-IT"/>
              </w:rPr>
            </w:pPr>
          </w:p>
        </w:tc>
        <w:tc>
          <w:tcPr>
            <w:tcW w:w="1430" w:type="dxa"/>
            <w:gridSpan w:val="2"/>
            <w:shd w:val="clear" w:color="auto" w:fill="FFFFFF"/>
            <w:vAlign w:val="center"/>
          </w:tcPr>
          <w:p w14:paraId="47B8CD82"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3900,000</w:t>
            </w:r>
          </w:p>
        </w:tc>
      </w:tr>
      <w:tr w:rsidR="001002EC" w:rsidRPr="0019790A" w14:paraId="731BE128" w14:textId="77777777" w:rsidTr="00E202E5">
        <w:trPr>
          <w:trHeight w:val="250"/>
          <w:jc w:val="right"/>
        </w:trPr>
        <w:tc>
          <w:tcPr>
            <w:tcW w:w="3425" w:type="dxa"/>
            <w:shd w:val="clear" w:color="auto" w:fill="FFFFFF"/>
            <w:vAlign w:val="center"/>
          </w:tcPr>
          <w:p w14:paraId="4101FEDF" w14:textId="526E4A2B" w:rsidR="001002EC" w:rsidRPr="0019790A" w:rsidRDefault="001002EC" w:rsidP="00E202E5">
            <w:pPr>
              <w:rPr>
                <w:rFonts w:cs="Arial"/>
                <w:b/>
                <w:bCs/>
                <w:color w:val="000000"/>
                <w:szCs w:val="22"/>
              </w:rPr>
            </w:pPr>
            <w:r w:rsidRPr="0019790A">
              <w:rPr>
                <w:rFonts w:cs="Arial"/>
                <w:b/>
                <w:bCs/>
                <w:color w:val="000000"/>
                <w:szCs w:val="22"/>
              </w:rPr>
              <w:t xml:space="preserve"> по джерелах фінансування:</w:t>
            </w:r>
          </w:p>
        </w:tc>
        <w:tc>
          <w:tcPr>
            <w:tcW w:w="6794" w:type="dxa"/>
            <w:gridSpan w:val="9"/>
            <w:vAlign w:val="center"/>
          </w:tcPr>
          <w:p w14:paraId="5CD1AE63" w14:textId="77777777" w:rsidR="001002EC" w:rsidRPr="0019790A" w:rsidRDefault="001002EC" w:rsidP="0019790A">
            <w:pPr>
              <w:jc w:val="both"/>
              <w:rPr>
                <w:rFonts w:cs="Arial"/>
                <w:color w:val="000000"/>
                <w:szCs w:val="22"/>
                <w:lang w:eastAsia="it-IT"/>
              </w:rPr>
            </w:pPr>
          </w:p>
        </w:tc>
      </w:tr>
      <w:tr w:rsidR="00E202E5" w:rsidRPr="0019790A" w14:paraId="7326F199" w14:textId="7367DA92" w:rsidTr="00E202E5">
        <w:trPr>
          <w:trHeight w:val="250"/>
          <w:jc w:val="right"/>
        </w:trPr>
        <w:tc>
          <w:tcPr>
            <w:tcW w:w="3425" w:type="dxa"/>
            <w:shd w:val="clear" w:color="auto" w:fill="FFFFFF"/>
            <w:vAlign w:val="center"/>
          </w:tcPr>
          <w:p w14:paraId="46B0EADB" w14:textId="190F44FC" w:rsidR="00E202E5" w:rsidRPr="0019790A" w:rsidRDefault="00E202E5" w:rsidP="0019790A">
            <w:pPr>
              <w:rPr>
                <w:rFonts w:cs="Arial"/>
                <w:b/>
                <w:bCs/>
                <w:color w:val="000000"/>
                <w:szCs w:val="22"/>
              </w:rPr>
            </w:pPr>
            <w:r w:rsidRPr="0019790A">
              <w:rPr>
                <w:rFonts w:cs="Arial"/>
                <w:color w:val="000000"/>
                <w:szCs w:val="22"/>
              </w:rPr>
              <w:t>-державний бюджет;</w:t>
            </w:r>
          </w:p>
        </w:tc>
        <w:tc>
          <w:tcPr>
            <w:tcW w:w="1240" w:type="dxa"/>
            <w:vAlign w:val="center"/>
          </w:tcPr>
          <w:p w14:paraId="0C2E9C18" w14:textId="77777777" w:rsidR="00E202E5" w:rsidRPr="0019790A" w:rsidRDefault="00E202E5" w:rsidP="00E202E5">
            <w:pPr>
              <w:jc w:val="center"/>
              <w:rPr>
                <w:rFonts w:cs="Arial"/>
                <w:color w:val="000000"/>
                <w:szCs w:val="22"/>
                <w:lang w:eastAsia="it-IT"/>
              </w:rPr>
            </w:pPr>
          </w:p>
        </w:tc>
        <w:tc>
          <w:tcPr>
            <w:tcW w:w="1453" w:type="dxa"/>
            <w:gridSpan w:val="3"/>
            <w:vAlign w:val="center"/>
          </w:tcPr>
          <w:p w14:paraId="27673AF6" w14:textId="77777777" w:rsidR="00E202E5" w:rsidRPr="0019790A" w:rsidRDefault="00E202E5" w:rsidP="00E202E5">
            <w:pPr>
              <w:jc w:val="center"/>
              <w:rPr>
                <w:rFonts w:cs="Arial"/>
                <w:color w:val="000000"/>
                <w:szCs w:val="22"/>
                <w:lang w:eastAsia="it-IT"/>
              </w:rPr>
            </w:pPr>
          </w:p>
        </w:tc>
        <w:tc>
          <w:tcPr>
            <w:tcW w:w="1390" w:type="dxa"/>
            <w:vAlign w:val="center"/>
          </w:tcPr>
          <w:p w14:paraId="43AF0DE8" w14:textId="77777777" w:rsidR="00E202E5" w:rsidRPr="0019790A" w:rsidRDefault="00E202E5" w:rsidP="00E202E5">
            <w:pPr>
              <w:jc w:val="center"/>
              <w:rPr>
                <w:rFonts w:cs="Arial"/>
                <w:color w:val="000000"/>
                <w:szCs w:val="22"/>
                <w:lang w:eastAsia="it-IT"/>
              </w:rPr>
            </w:pPr>
          </w:p>
        </w:tc>
        <w:tc>
          <w:tcPr>
            <w:tcW w:w="1290" w:type="dxa"/>
            <w:gridSpan w:val="3"/>
            <w:vAlign w:val="center"/>
          </w:tcPr>
          <w:p w14:paraId="3750A298" w14:textId="77777777" w:rsidR="00E202E5" w:rsidRPr="0019790A" w:rsidRDefault="00E202E5" w:rsidP="00E202E5">
            <w:pPr>
              <w:jc w:val="center"/>
              <w:rPr>
                <w:rFonts w:cs="Arial"/>
                <w:color w:val="000000"/>
                <w:szCs w:val="22"/>
                <w:lang w:eastAsia="it-IT"/>
              </w:rPr>
            </w:pPr>
          </w:p>
        </w:tc>
        <w:tc>
          <w:tcPr>
            <w:tcW w:w="1421" w:type="dxa"/>
            <w:vAlign w:val="center"/>
          </w:tcPr>
          <w:p w14:paraId="72390514" w14:textId="77777777" w:rsidR="00E202E5" w:rsidRPr="0019790A" w:rsidRDefault="00E202E5" w:rsidP="00E202E5">
            <w:pPr>
              <w:jc w:val="center"/>
              <w:rPr>
                <w:rFonts w:cs="Arial"/>
                <w:color w:val="000000"/>
                <w:szCs w:val="22"/>
                <w:lang w:eastAsia="it-IT"/>
              </w:rPr>
            </w:pPr>
          </w:p>
        </w:tc>
      </w:tr>
      <w:tr w:rsidR="00E202E5" w:rsidRPr="0019790A" w14:paraId="25903C0E" w14:textId="585D7681" w:rsidTr="00E202E5">
        <w:trPr>
          <w:trHeight w:val="225"/>
          <w:jc w:val="right"/>
        </w:trPr>
        <w:tc>
          <w:tcPr>
            <w:tcW w:w="3425" w:type="dxa"/>
            <w:shd w:val="clear" w:color="auto" w:fill="FFFFFF"/>
            <w:vAlign w:val="center"/>
          </w:tcPr>
          <w:p w14:paraId="0F99A987" w14:textId="77777777" w:rsidR="00E202E5" w:rsidRPr="0019790A" w:rsidRDefault="00E202E5" w:rsidP="0019790A">
            <w:pPr>
              <w:rPr>
                <w:rFonts w:cs="Arial"/>
                <w:b/>
                <w:bCs/>
                <w:color w:val="000000"/>
                <w:szCs w:val="22"/>
              </w:rPr>
            </w:pPr>
            <w:r w:rsidRPr="0019790A">
              <w:rPr>
                <w:rFonts w:cs="Arial"/>
                <w:color w:val="000000"/>
                <w:szCs w:val="22"/>
              </w:rPr>
              <w:t>-обласний бюджет;</w:t>
            </w:r>
          </w:p>
        </w:tc>
        <w:tc>
          <w:tcPr>
            <w:tcW w:w="1240" w:type="dxa"/>
            <w:vAlign w:val="center"/>
          </w:tcPr>
          <w:p w14:paraId="15096C66" w14:textId="77777777" w:rsidR="00E202E5" w:rsidRPr="0019790A" w:rsidRDefault="00E202E5" w:rsidP="00E202E5">
            <w:pPr>
              <w:jc w:val="center"/>
              <w:rPr>
                <w:rFonts w:cs="Arial"/>
                <w:color w:val="000000"/>
                <w:szCs w:val="22"/>
                <w:lang w:eastAsia="it-IT"/>
              </w:rPr>
            </w:pPr>
          </w:p>
        </w:tc>
        <w:tc>
          <w:tcPr>
            <w:tcW w:w="1453" w:type="dxa"/>
            <w:gridSpan w:val="3"/>
            <w:vAlign w:val="center"/>
          </w:tcPr>
          <w:p w14:paraId="71BD6B12" w14:textId="77777777" w:rsidR="00E202E5" w:rsidRPr="0019790A" w:rsidRDefault="00E202E5" w:rsidP="00E202E5">
            <w:pPr>
              <w:jc w:val="center"/>
              <w:rPr>
                <w:rFonts w:cs="Arial"/>
                <w:color w:val="000000"/>
                <w:szCs w:val="22"/>
                <w:lang w:eastAsia="it-IT"/>
              </w:rPr>
            </w:pPr>
          </w:p>
        </w:tc>
        <w:tc>
          <w:tcPr>
            <w:tcW w:w="1390" w:type="dxa"/>
            <w:vAlign w:val="center"/>
          </w:tcPr>
          <w:p w14:paraId="091AE303" w14:textId="77777777" w:rsidR="00E202E5" w:rsidRPr="0019790A" w:rsidRDefault="00E202E5" w:rsidP="00E202E5">
            <w:pPr>
              <w:jc w:val="center"/>
              <w:rPr>
                <w:rFonts w:cs="Arial"/>
                <w:color w:val="000000"/>
                <w:szCs w:val="22"/>
                <w:lang w:eastAsia="it-IT"/>
              </w:rPr>
            </w:pPr>
          </w:p>
        </w:tc>
        <w:tc>
          <w:tcPr>
            <w:tcW w:w="1290" w:type="dxa"/>
            <w:gridSpan w:val="3"/>
            <w:vAlign w:val="center"/>
          </w:tcPr>
          <w:p w14:paraId="16EF3494" w14:textId="77777777" w:rsidR="00E202E5" w:rsidRPr="0019790A" w:rsidRDefault="00E202E5" w:rsidP="00E202E5">
            <w:pPr>
              <w:jc w:val="center"/>
              <w:rPr>
                <w:rFonts w:cs="Arial"/>
                <w:color w:val="000000"/>
                <w:szCs w:val="22"/>
                <w:lang w:eastAsia="it-IT"/>
              </w:rPr>
            </w:pPr>
          </w:p>
        </w:tc>
        <w:tc>
          <w:tcPr>
            <w:tcW w:w="1421" w:type="dxa"/>
            <w:vAlign w:val="center"/>
          </w:tcPr>
          <w:p w14:paraId="1498220F" w14:textId="77777777" w:rsidR="00E202E5" w:rsidRPr="0019790A" w:rsidRDefault="00E202E5" w:rsidP="00E202E5">
            <w:pPr>
              <w:jc w:val="center"/>
              <w:rPr>
                <w:rFonts w:cs="Arial"/>
                <w:color w:val="000000"/>
                <w:szCs w:val="22"/>
                <w:lang w:eastAsia="it-IT"/>
              </w:rPr>
            </w:pPr>
          </w:p>
        </w:tc>
      </w:tr>
      <w:tr w:rsidR="00E202E5" w:rsidRPr="0019790A" w14:paraId="51434FC9" w14:textId="16560C10" w:rsidTr="00E202E5">
        <w:trPr>
          <w:trHeight w:val="165"/>
          <w:jc w:val="right"/>
        </w:trPr>
        <w:tc>
          <w:tcPr>
            <w:tcW w:w="3425" w:type="dxa"/>
            <w:shd w:val="clear" w:color="auto" w:fill="FFFFFF"/>
            <w:vAlign w:val="center"/>
          </w:tcPr>
          <w:p w14:paraId="295CA500" w14:textId="77777777" w:rsidR="00E202E5" w:rsidRPr="0019790A" w:rsidRDefault="00E202E5" w:rsidP="0019790A">
            <w:pPr>
              <w:rPr>
                <w:rFonts w:cs="Arial"/>
                <w:color w:val="000000"/>
                <w:szCs w:val="22"/>
              </w:rPr>
            </w:pPr>
            <w:r w:rsidRPr="0019790A">
              <w:rPr>
                <w:rFonts w:cs="Arial"/>
                <w:color w:val="000000"/>
                <w:szCs w:val="22"/>
              </w:rPr>
              <w:t>-бюджет Жмеринської МТГ;</w:t>
            </w:r>
          </w:p>
        </w:tc>
        <w:tc>
          <w:tcPr>
            <w:tcW w:w="1240" w:type="dxa"/>
            <w:vAlign w:val="center"/>
          </w:tcPr>
          <w:p w14:paraId="6232C884" w14:textId="095708A0" w:rsidR="00E202E5" w:rsidRPr="0019790A" w:rsidRDefault="00E202E5" w:rsidP="00E202E5">
            <w:pPr>
              <w:jc w:val="center"/>
              <w:rPr>
                <w:rFonts w:cs="Arial"/>
                <w:color w:val="000000"/>
                <w:szCs w:val="22"/>
                <w:lang w:eastAsia="it-IT"/>
              </w:rPr>
            </w:pPr>
          </w:p>
        </w:tc>
        <w:tc>
          <w:tcPr>
            <w:tcW w:w="1453" w:type="dxa"/>
            <w:gridSpan w:val="3"/>
            <w:vAlign w:val="center"/>
          </w:tcPr>
          <w:p w14:paraId="38FE61B1" w14:textId="743CBE57" w:rsidR="00E202E5" w:rsidRPr="0019790A" w:rsidRDefault="00E202E5" w:rsidP="00E202E5">
            <w:pPr>
              <w:jc w:val="center"/>
              <w:rPr>
                <w:rFonts w:cs="Arial"/>
                <w:color w:val="000000"/>
                <w:szCs w:val="22"/>
                <w:lang w:eastAsia="it-IT"/>
              </w:rPr>
            </w:pPr>
          </w:p>
        </w:tc>
        <w:tc>
          <w:tcPr>
            <w:tcW w:w="1390" w:type="dxa"/>
            <w:vAlign w:val="center"/>
          </w:tcPr>
          <w:p w14:paraId="5D9C06BF" w14:textId="6CD27952" w:rsidR="00E202E5" w:rsidRPr="0019790A" w:rsidRDefault="00E202E5" w:rsidP="00C456A0">
            <w:pPr>
              <w:jc w:val="center"/>
              <w:rPr>
                <w:rFonts w:cs="Arial"/>
                <w:color w:val="000000"/>
                <w:szCs w:val="22"/>
                <w:lang w:eastAsia="it-IT"/>
              </w:rPr>
            </w:pPr>
            <w:r w:rsidRPr="0019790A">
              <w:rPr>
                <w:rFonts w:cs="Arial"/>
                <w:color w:val="000000"/>
                <w:szCs w:val="22"/>
                <w:lang w:eastAsia="it-IT"/>
              </w:rPr>
              <w:t>3900,000</w:t>
            </w:r>
          </w:p>
        </w:tc>
        <w:tc>
          <w:tcPr>
            <w:tcW w:w="1290" w:type="dxa"/>
            <w:gridSpan w:val="3"/>
            <w:vAlign w:val="center"/>
          </w:tcPr>
          <w:p w14:paraId="38BF46A4" w14:textId="3DDD21CF" w:rsidR="00E202E5" w:rsidRPr="0019790A" w:rsidRDefault="00E202E5" w:rsidP="00C456A0">
            <w:pPr>
              <w:jc w:val="center"/>
              <w:rPr>
                <w:rFonts w:cs="Arial"/>
                <w:color w:val="000000"/>
                <w:szCs w:val="22"/>
                <w:lang w:eastAsia="it-IT"/>
              </w:rPr>
            </w:pPr>
          </w:p>
        </w:tc>
        <w:tc>
          <w:tcPr>
            <w:tcW w:w="1421" w:type="dxa"/>
            <w:vAlign w:val="center"/>
          </w:tcPr>
          <w:p w14:paraId="7E19736A" w14:textId="72A4F879" w:rsidR="00E202E5" w:rsidRPr="0019790A" w:rsidRDefault="00E202E5" w:rsidP="00C456A0">
            <w:pPr>
              <w:jc w:val="center"/>
              <w:rPr>
                <w:rFonts w:cs="Arial"/>
                <w:color w:val="000000"/>
                <w:szCs w:val="22"/>
                <w:lang w:eastAsia="it-IT"/>
              </w:rPr>
            </w:pPr>
            <w:r w:rsidRPr="0019790A">
              <w:rPr>
                <w:rFonts w:cs="Arial"/>
                <w:color w:val="000000"/>
                <w:szCs w:val="22"/>
                <w:lang w:eastAsia="it-IT"/>
              </w:rPr>
              <w:t>3900,000</w:t>
            </w:r>
          </w:p>
        </w:tc>
      </w:tr>
      <w:tr w:rsidR="00E202E5" w:rsidRPr="0019790A" w14:paraId="5C4E54C9" w14:textId="0A20A0E2" w:rsidTr="00E202E5">
        <w:trPr>
          <w:trHeight w:val="330"/>
          <w:jc w:val="right"/>
        </w:trPr>
        <w:tc>
          <w:tcPr>
            <w:tcW w:w="3425" w:type="dxa"/>
            <w:shd w:val="clear" w:color="auto" w:fill="FFFFFF"/>
            <w:vAlign w:val="center"/>
          </w:tcPr>
          <w:p w14:paraId="1E58B813" w14:textId="77777777" w:rsidR="00E202E5" w:rsidRPr="0019790A" w:rsidRDefault="00E202E5" w:rsidP="0019790A">
            <w:pPr>
              <w:rPr>
                <w:rFonts w:cs="Arial"/>
                <w:color w:val="000000"/>
                <w:szCs w:val="22"/>
              </w:rPr>
            </w:pPr>
            <w:r w:rsidRPr="0019790A">
              <w:rPr>
                <w:rFonts w:cs="Arial"/>
                <w:color w:val="000000"/>
                <w:szCs w:val="22"/>
              </w:rPr>
              <w:t>-інші джерела фінансування.</w:t>
            </w:r>
          </w:p>
        </w:tc>
        <w:tc>
          <w:tcPr>
            <w:tcW w:w="1240" w:type="dxa"/>
            <w:vAlign w:val="center"/>
          </w:tcPr>
          <w:p w14:paraId="4C9A7383" w14:textId="77777777" w:rsidR="00E202E5" w:rsidRPr="0019790A" w:rsidRDefault="00E202E5" w:rsidP="00E202E5">
            <w:pPr>
              <w:jc w:val="center"/>
              <w:rPr>
                <w:rFonts w:cs="Arial"/>
                <w:color w:val="000000"/>
                <w:szCs w:val="22"/>
                <w:lang w:eastAsia="it-IT"/>
              </w:rPr>
            </w:pPr>
          </w:p>
        </w:tc>
        <w:tc>
          <w:tcPr>
            <w:tcW w:w="1453" w:type="dxa"/>
            <w:gridSpan w:val="3"/>
            <w:vAlign w:val="center"/>
          </w:tcPr>
          <w:p w14:paraId="3494E9DA" w14:textId="77777777" w:rsidR="00E202E5" w:rsidRPr="0019790A" w:rsidRDefault="00E202E5" w:rsidP="00E202E5">
            <w:pPr>
              <w:jc w:val="center"/>
              <w:rPr>
                <w:rFonts w:cs="Arial"/>
                <w:color w:val="000000"/>
                <w:szCs w:val="22"/>
                <w:lang w:eastAsia="it-IT"/>
              </w:rPr>
            </w:pPr>
          </w:p>
        </w:tc>
        <w:tc>
          <w:tcPr>
            <w:tcW w:w="1390" w:type="dxa"/>
            <w:vAlign w:val="center"/>
          </w:tcPr>
          <w:p w14:paraId="31209D9F" w14:textId="77777777" w:rsidR="00E202E5" w:rsidRPr="0019790A" w:rsidRDefault="00E202E5" w:rsidP="00E202E5">
            <w:pPr>
              <w:jc w:val="center"/>
              <w:rPr>
                <w:rFonts w:cs="Arial"/>
                <w:color w:val="000000"/>
                <w:szCs w:val="22"/>
                <w:lang w:eastAsia="it-IT"/>
              </w:rPr>
            </w:pPr>
          </w:p>
        </w:tc>
        <w:tc>
          <w:tcPr>
            <w:tcW w:w="1290" w:type="dxa"/>
            <w:gridSpan w:val="3"/>
            <w:vAlign w:val="center"/>
          </w:tcPr>
          <w:p w14:paraId="7D5A6BD0" w14:textId="77777777" w:rsidR="00E202E5" w:rsidRPr="0019790A" w:rsidRDefault="00E202E5" w:rsidP="00E202E5">
            <w:pPr>
              <w:jc w:val="center"/>
              <w:rPr>
                <w:rFonts w:cs="Arial"/>
                <w:color w:val="000000"/>
                <w:szCs w:val="22"/>
                <w:lang w:eastAsia="it-IT"/>
              </w:rPr>
            </w:pPr>
          </w:p>
        </w:tc>
        <w:tc>
          <w:tcPr>
            <w:tcW w:w="1421" w:type="dxa"/>
            <w:vAlign w:val="center"/>
          </w:tcPr>
          <w:p w14:paraId="20C8A8BD" w14:textId="77777777" w:rsidR="00E202E5" w:rsidRPr="0019790A" w:rsidRDefault="00E202E5" w:rsidP="00E202E5">
            <w:pPr>
              <w:jc w:val="center"/>
              <w:rPr>
                <w:rFonts w:cs="Arial"/>
                <w:color w:val="000000"/>
                <w:szCs w:val="22"/>
                <w:lang w:eastAsia="it-IT"/>
              </w:rPr>
            </w:pPr>
          </w:p>
        </w:tc>
      </w:tr>
      <w:tr w:rsidR="001002EC" w:rsidRPr="0019790A" w14:paraId="3DDC1097" w14:textId="77777777" w:rsidTr="00B8248C">
        <w:trPr>
          <w:jc w:val="right"/>
        </w:trPr>
        <w:tc>
          <w:tcPr>
            <w:tcW w:w="3425" w:type="dxa"/>
            <w:shd w:val="clear" w:color="auto" w:fill="FFFFFF"/>
            <w:vAlign w:val="center"/>
          </w:tcPr>
          <w:p w14:paraId="441787F3" w14:textId="402396C6" w:rsidR="001002EC" w:rsidRPr="0019790A" w:rsidRDefault="001002EC" w:rsidP="0019790A">
            <w:pPr>
              <w:rPr>
                <w:rFonts w:cs="Arial"/>
                <w:b/>
                <w:bCs/>
                <w:color w:val="000000"/>
                <w:szCs w:val="22"/>
              </w:rPr>
            </w:pPr>
            <w:r w:rsidRPr="0019790A">
              <w:rPr>
                <w:rFonts w:cs="Arial"/>
                <w:b/>
                <w:color w:val="000000"/>
                <w:szCs w:val="22"/>
              </w:rPr>
              <w:t xml:space="preserve">Ключові потенційні учасники реалізації </w:t>
            </w:r>
            <w:r w:rsidR="00314B9D">
              <w:rPr>
                <w:rFonts w:cs="Arial"/>
                <w:b/>
                <w:color w:val="000000"/>
                <w:szCs w:val="22"/>
              </w:rPr>
              <w:t>проєкту</w:t>
            </w:r>
            <w:r w:rsidRPr="0019790A">
              <w:rPr>
                <w:rFonts w:cs="Arial"/>
                <w:b/>
                <w:color w:val="000000"/>
                <w:szCs w:val="22"/>
              </w:rPr>
              <w:t>:</w:t>
            </w:r>
          </w:p>
        </w:tc>
        <w:tc>
          <w:tcPr>
            <w:tcW w:w="6794" w:type="dxa"/>
            <w:gridSpan w:val="9"/>
            <w:vAlign w:val="center"/>
          </w:tcPr>
          <w:p w14:paraId="3B72CAD5" w14:textId="1E0178CC" w:rsidR="001002EC" w:rsidRPr="0019790A" w:rsidRDefault="001002EC" w:rsidP="00C456A0">
            <w:pPr>
              <w:jc w:val="both"/>
              <w:rPr>
                <w:rFonts w:cs="Arial"/>
                <w:color w:val="000000"/>
                <w:szCs w:val="22"/>
                <w:lang w:eastAsia="it-IT"/>
              </w:rPr>
            </w:pPr>
            <w:r w:rsidRPr="0019790A">
              <w:rPr>
                <w:rFonts w:cs="Arial"/>
                <w:color w:val="000000"/>
                <w:szCs w:val="22"/>
                <w:lang w:eastAsia="it-IT"/>
              </w:rPr>
              <w:t>КНП «Жмеринська ЦРЛ», Управління соціального захисту населення та охорони здоров’я</w:t>
            </w:r>
          </w:p>
        </w:tc>
      </w:tr>
      <w:tr w:rsidR="001002EC" w:rsidRPr="0019790A" w14:paraId="2619C9FB" w14:textId="77777777" w:rsidTr="00B8248C">
        <w:trPr>
          <w:jc w:val="right"/>
        </w:trPr>
        <w:tc>
          <w:tcPr>
            <w:tcW w:w="3425" w:type="dxa"/>
            <w:shd w:val="clear" w:color="auto" w:fill="FFFFFF"/>
            <w:vAlign w:val="center"/>
          </w:tcPr>
          <w:p w14:paraId="3E754813" w14:textId="77777777" w:rsidR="001002EC" w:rsidRPr="0019790A" w:rsidRDefault="001002EC" w:rsidP="0019790A">
            <w:pPr>
              <w:rPr>
                <w:rFonts w:cs="Arial"/>
                <w:b/>
                <w:bCs/>
                <w:color w:val="000000"/>
                <w:szCs w:val="22"/>
              </w:rPr>
            </w:pPr>
            <w:r w:rsidRPr="0019790A">
              <w:rPr>
                <w:rFonts w:cs="Arial"/>
                <w:b/>
                <w:bCs/>
                <w:color w:val="000000"/>
                <w:szCs w:val="22"/>
              </w:rPr>
              <w:t>Інше:</w:t>
            </w:r>
          </w:p>
        </w:tc>
        <w:tc>
          <w:tcPr>
            <w:tcW w:w="6794" w:type="dxa"/>
            <w:gridSpan w:val="9"/>
            <w:vAlign w:val="center"/>
          </w:tcPr>
          <w:p w14:paraId="193F2276" w14:textId="77777777" w:rsidR="001002EC" w:rsidRPr="0019790A" w:rsidRDefault="001002EC" w:rsidP="0019790A">
            <w:pPr>
              <w:rPr>
                <w:rFonts w:cs="Arial"/>
                <w:color w:val="000000"/>
                <w:szCs w:val="22"/>
                <w:lang w:eastAsia="it-IT"/>
              </w:rPr>
            </w:pPr>
          </w:p>
        </w:tc>
      </w:tr>
    </w:tbl>
    <w:p w14:paraId="4666761A" w14:textId="77777777" w:rsidR="001002EC" w:rsidRPr="0019790A" w:rsidRDefault="001002EC" w:rsidP="0019790A">
      <w:pPr>
        <w:rPr>
          <w:rFonts w:cs="Arial"/>
          <w:szCs w:val="22"/>
        </w:rPr>
      </w:pPr>
    </w:p>
    <w:p w14:paraId="63CDAE11" w14:textId="77777777" w:rsidR="001002EC" w:rsidRPr="0019790A" w:rsidRDefault="001002EC" w:rsidP="0019790A">
      <w:pPr>
        <w:rPr>
          <w:rFonts w:cs="Arial"/>
          <w:szCs w:val="22"/>
        </w:rPr>
      </w:pPr>
    </w:p>
    <w:p w14:paraId="578B05A6" w14:textId="77777777" w:rsidR="001002EC" w:rsidRPr="0019790A" w:rsidRDefault="001002EC" w:rsidP="0019790A">
      <w:pPr>
        <w:jc w:val="center"/>
        <w:rPr>
          <w:rFonts w:cs="Arial"/>
          <w:b/>
          <w:color w:val="000000"/>
          <w:szCs w:val="22"/>
        </w:rPr>
      </w:pPr>
    </w:p>
    <w:p w14:paraId="0B649F27" w14:textId="208A4E86" w:rsidR="001002EC" w:rsidRPr="0019790A" w:rsidRDefault="001002EC" w:rsidP="0019790A">
      <w:pPr>
        <w:jc w:val="center"/>
        <w:rPr>
          <w:rFonts w:cs="Arial"/>
          <w:b/>
          <w:color w:val="000000"/>
          <w:szCs w:val="22"/>
        </w:rPr>
      </w:pPr>
      <w:r w:rsidRPr="0019790A">
        <w:rPr>
          <w:rFonts w:cs="Arial"/>
          <w:b/>
          <w:color w:val="000000"/>
          <w:szCs w:val="22"/>
        </w:rPr>
        <w:t xml:space="preserve">Форма технічного завдання на </w:t>
      </w:r>
      <w:r w:rsidR="00314B9D">
        <w:rPr>
          <w:rFonts w:cs="Arial"/>
          <w:b/>
          <w:color w:val="000000"/>
          <w:szCs w:val="22"/>
        </w:rPr>
        <w:t>проєкт</w:t>
      </w:r>
      <w:r w:rsidRPr="0019790A">
        <w:rPr>
          <w:rFonts w:cs="Arial"/>
          <w:b/>
          <w:color w:val="000000"/>
          <w:szCs w:val="22"/>
        </w:rPr>
        <w:t xml:space="preserve"> місцевого розвитку </w:t>
      </w:r>
    </w:p>
    <w:p w14:paraId="2E3A5996" w14:textId="77777777" w:rsidR="001002EC" w:rsidRPr="0019790A" w:rsidRDefault="001002EC" w:rsidP="0019790A">
      <w:pPr>
        <w:jc w:val="center"/>
        <w:rPr>
          <w:rFonts w:cs="Arial"/>
          <w:b/>
          <w:color w:val="000000"/>
          <w:szCs w:val="22"/>
        </w:rPr>
      </w:pPr>
      <w:r w:rsidRPr="0019790A">
        <w:rPr>
          <w:rFonts w:cs="Arial"/>
          <w:b/>
          <w:color w:val="000000"/>
          <w:szCs w:val="22"/>
        </w:rPr>
        <w:t>до Плану заходів з реалізації Стратегії</w:t>
      </w:r>
    </w:p>
    <w:p w14:paraId="0F8B8EBC" w14:textId="77777777" w:rsidR="001002EC" w:rsidRPr="0019790A" w:rsidRDefault="001002EC"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36"/>
        <w:gridCol w:w="1365"/>
        <w:gridCol w:w="16"/>
        <w:gridCol w:w="1399"/>
        <w:gridCol w:w="19"/>
        <w:gridCol w:w="1246"/>
        <w:gridCol w:w="29"/>
        <w:gridCol w:w="1430"/>
      </w:tblGrid>
      <w:tr w:rsidR="001002EC" w:rsidRPr="0019790A" w14:paraId="3A6DBA6E" w14:textId="77777777" w:rsidTr="00C456A0">
        <w:trPr>
          <w:trHeight w:val="435"/>
          <w:jc w:val="right"/>
        </w:trPr>
        <w:tc>
          <w:tcPr>
            <w:tcW w:w="3425" w:type="dxa"/>
            <w:vAlign w:val="center"/>
          </w:tcPr>
          <w:p w14:paraId="77EF8175" w14:textId="5748545F" w:rsidR="001002EC" w:rsidRPr="0019790A" w:rsidRDefault="001002EC" w:rsidP="00C456A0">
            <w:pPr>
              <w:rPr>
                <w:rFonts w:cs="Arial"/>
                <w:b/>
                <w:szCs w:val="22"/>
              </w:rPr>
            </w:pPr>
            <w:r w:rsidRPr="0019790A">
              <w:rPr>
                <w:rFonts w:cs="Arial"/>
                <w:b/>
                <w:szCs w:val="22"/>
              </w:rPr>
              <w:t xml:space="preserve">Назва </w:t>
            </w:r>
            <w:r w:rsidR="00314B9D">
              <w:rPr>
                <w:rFonts w:cs="Arial"/>
                <w:b/>
                <w:szCs w:val="22"/>
              </w:rPr>
              <w:t>проєкту</w:t>
            </w:r>
            <w:r w:rsidRPr="0019790A">
              <w:rPr>
                <w:rFonts w:cs="Arial"/>
                <w:b/>
                <w:szCs w:val="22"/>
              </w:rPr>
              <w:t>:</w:t>
            </w:r>
          </w:p>
        </w:tc>
        <w:tc>
          <w:tcPr>
            <w:tcW w:w="6794" w:type="dxa"/>
            <w:gridSpan w:val="9"/>
            <w:vAlign w:val="center"/>
          </w:tcPr>
          <w:p w14:paraId="3A466A6D" w14:textId="77777777" w:rsidR="001002EC" w:rsidRPr="0019790A" w:rsidRDefault="001002EC" w:rsidP="00C456A0">
            <w:pPr>
              <w:rPr>
                <w:rFonts w:cs="Arial"/>
                <w:b/>
                <w:szCs w:val="22"/>
              </w:rPr>
            </w:pPr>
            <w:r w:rsidRPr="0019790A">
              <w:rPr>
                <w:rFonts w:cs="Arial"/>
                <w:b/>
                <w:szCs w:val="22"/>
              </w:rPr>
              <w:t>Придбання автомобіля швидкої медичної допомоги</w:t>
            </w:r>
          </w:p>
        </w:tc>
      </w:tr>
      <w:tr w:rsidR="001002EC" w:rsidRPr="0019790A" w14:paraId="77AB2F69" w14:textId="77777777" w:rsidTr="00C456A0">
        <w:trPr>
          <w:jc w:val="right"/>
        </w:trPr>
        <w:tc>
          <w:tcPr>
            <w:tcW w:w="3425" w:type="dxa"/>
          </w:tcPr>
          <w:p w14:paraId="1E95D7D8" w14:textId="77777777" w:rsidR="001002EC" w:rsidRPr="0019790A" w:rsidRDefault="001002EC"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758630B0" w14:textId="77777777" w:rsidR="001002EC" w:rsidRPr="0019790A" w:rsidRDefault="001002EC"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9"/>
            <w:vAlign w:val="center"/>
          </w:tcPr>
          <w:p w14:paraId="3806CB1F" w14:textId="77777777" w:rsidR="001002EC" w:rsidRPr="0019790A" w:rsidRDefault="001002EC" w:rsidP="00C456A0">
            <w:pPr>
              <w:rPr>
                <w:rFonts w:cs="Arial"/>
                <w:szCs w:val="22"/>
                <w:lang w:eastAsia="it-IT"/>
              </w:rPr>
            </w:pPr>
            <w:r w:rsidRPr="0019790A">
              <w:rPr>
                <w:rFonts w:cs="Arial"/>
                <w:szCs w:val="22"/>
                <w:lang w:eastAsia="it-IT"/>
              </w:rPr>
              <w:t>Комунальне некомерційне підприємство «Жмеринська центральна районна лікарня» Жмеринської міської ради</w:t>
            </w:r>
          </w:p>
        </w:tc>
      </w:tr>
      <w:tr w:rsidR="001002EC" w:rsidRPr="0019790A" w14:paraId="56101A2E" w14:textId="77777777" w:rsidTr="00C456A0">
        <w:trPr>
          <w:jc w:val="right"/>
        </w:trPr>
        <w:tc>
          <w:tcPr>
            <w:tcW w:w="3425" w:type="dxa"/>
          </w:tcPr>
          <w:p w14:paraId="7D46D676" w14:textId="77777777" w:rsidR="001002EC" w:rsidRPr="0019790A" w:rsidRDefault="001002EC" w:rsidP="0019790A">
            <w:pPr>
              <w:rPr>
                <w:rFonts w:cs="Arial"/>
                <w:b/>
                <w:bCs/>
                <w:szCs w:val="22"/>
              </w:rPr>
            </w:pPr>
            <w:r w:rsidRPr="0019790A">
              <w:rPr>
                <w:rFonts w:cs="Arial"/>
                <w:szCs w:val="22"/>
                <w:lang w:eastAsia="it-IT"/>
              </w:rPr>
              <w:t>Прізвище Ім’я По-батькові:</w:t>
            </w:r>
          </w:p>
        </w:tc>
        <w:tc>
          <w:tcPr>
            <w:tcW w:w="6794" w:type="dxa"/>
            <w:gridSpan w:val="9"/>
            <w:vAlign w:val="center"/>
          </w:tcPr>
          <w:p w14:paraId="219E6EDF" w14:textId="77777777" w:rsidR="001002EC" w:rsidRPr="0019790A" w:rsidRDefault="001002EC" w:rsidP="00C456A0">
            <w:pPr>
              <w:rPr>
                <w:rFonts w:cs="Arial"/>
                <w:szCs w:val="22"/>
                <w:lang w:eastAsia="it-IT"/>
              </w:rPr>
            </w:pPr>
            <w:r w:rsidRPr="0019790A">
              <w:rPr>
                <w:rFonts w:cs="Arial"/>
                <w:szCs w:val="22"/>
                <w:lang w:eastAsia="it-IT"/>
              </w:rPr>
              <w:t>Боровський Ростислав Васильович</w:t>
            </w:r>
          </w:p>
        </w:tc>
      </w:tr>
      <w:tr w:rsidR="001002EC" w:rsidRPr="0019790A" w14:paraId="4E2E1974" w14:textId="77777777" w:rsidTr="00C456A0">
        <w:trPr>
          <w:jc w:val="right"/>
        </w:trPr>
        <w:tc>
          <w:tcPr>
            <w:tcW w:w="3425" w:type="dxa"/>
          </w:tcPr>
          <w:p w14:paraId="42C94741" w14:textId="77777777" w:rsidR="001002EC" w:rsidRPr="0019790A" w:rsidRDefault="001002EC" w:rsidP="0019790A">
            <w:pPr>
              <w:rPr>
                <w:rFonts w:cs="Arial"/>
                <w:b/>
                <w:bCs/>
                <w:szCs w:val="22"/>
              </w:rPr>
            </w:pPr>
            <w:r w:rsidRPr="0019790A">
              <w:rPr>
                <w:rFonts w:cs="Arial"/>
                <w:szCs w:val="22"/>
                <w:lang w:eastAsia="it-IT"/>
              </w:rPr>
              <w:t>Телефон (мобільний):</w:t>
            </w:r>
          </w:p>
        </w:tc>
        <w:tc>
          <w:tcPr>
            <w:tcW w:w="6794" w:type="dxa"/>
            <w:gridSpan w:val="9"/>
            <w:vAlign w:val="center"/>
          </w:tcPr>
          <w:p w14:paraId="3EBF5BB6" w14:textId="77777777" w:rsidR="001002EC" w:rsidRPr="0019790A" w:rsidRDefault="001002EC" w:rsidP="00C456A0">
            <w:pPr>
              <w:rPr>
                <w:rFonts w:cs="Arial"/>
                <w:szCs w:val="22"/>
                <w:lang w:eastAsia="it-IT"/>
              </w:rPr>
            </w:pPr>
            <w:r w:rsidRPr="0019790A">
              <w:rPr>
                <w:rFonts w:cs="Arial"/>
                <w:szCs w:val="22"/>
                <w:lang w:eastAsia="it-IT"/>
              </w:rPr>
              <w:t>0978652320</w:t>
            </w:r>
          </w:p>
        </w:tc>
      </w:tr>
      <w:tr w:rsidR="001002EC" w:rsidRPr="0019790A" w14:paraId="6F24A430" w14:textId="77777777" w:rsidTr="00C456A0">
        <w:trPr>
          <w:jc w:val="right"/>
        </w:trPr>
        <w:tc>
          <w:tcPr>
            <w:tcW w:w="3425" w:type="dxa"/>
          </w:tcPr>
          <w:p w14:paraId="599343CB" w14:textId="77777777" w:rsidR="001002EC" w:rsidRPr="0019790A" w:rsidRDefault="001002EC" w:rsidP="0019790A">
            <w:pPr>
              <w:rPr>
                <w:rFonts w:cs="Arial"/>
                <w:b/>
                <w:bCs/>
                <w:szCs w:val="22"/>
              </w:rPr>
            </w:pPr>
            <w:r w:rsidRPr="0019790A">
              <w:rPr>
                <w:rFonts w:cs="Arial"/>
                <w:szCs w:val="22"/>
                <w:lang w:eastAsia="it-IT"/>
              </w:rPr>
              <w:t>Електронна адреса:</w:t>
            </w:r>
          </w:p>
        </w:tc>
        <w:tc>
          <w:tcPr>
            <w:tcW w:w="6794" w:type="dxa"/>
            <w:gridSpan w:val="9"/>
            <w:vAlign w:val="center"/>
          </w:tcPr>
          <w:p w14:paraId="019C959F" w14:textId="77777777" w:rsidR="001002EC" w:rsidRPr="0019790A" w:rsidRDefault="001002EC" w:rsidP="00C456A0">
            <w:pPr>
              <w:rPr>
                <w:rFonts w:cs="Arial"/>
                <w:szCs w:val="22"/>
                <w:lang w:eastAsia="it-IT"/>
              </w:rPr>
            </w:pPr>
            <w:r w:rsidRPr="0019790A">
              <w:rPr>
                <w:rFonts w:cs="Arial"/>
                <w:szCs w:val="22"/>
                <w:lang w:eastAsia="it-IT"/>
              </w:rPr>
              <w:t>zhcrl@ukr.net</w:t>
            </w:r>
          </w:p>
        </w:tc>
      </w:tr>
      <w:tr w:rsidR="001002EC" w:rsidRPr="0019790A" w14:paraId="6B83589A" w14:textId="77777777" w:rsidTr="00C456A0">
        <w:trPr>
          <w:jc w:val="right"/>
        </w:trPr>
        <w:tc>
          <w:tcPr>
            <w:tcW w:w="3425" w:type="dxa"/>
            <w:vAlign w:val="center"/>
          </w:tcPr>
          <w:p w14:paraId="6BBBC4D0" w14:textId="2E658FDE" w:rsidR="001002EC" w:rsidRPr="0019790A" w:rsidRDefault="001002EC" w:rsidP="0019790A">
            <w:pPr>
              <w:pStyle w:val="6"/>
              <w:spacing w:before="0" w:after="0"/>
              <w:rPr>
                <w:rFonts w:ascii="Arial" w:hAnsi="Arial" w:cs="Arial"/>
                <w:color w:val="000000"/>
                <w:lang w:val="uk-UA"/>
              </w:rPr>
            </w:pPr>
            <w:r w:rsidRPr="0019790A">
              <w:rPr>
                <w:rFonts w:ascii="Arial" w:hAnsi="Arial" w:cs="Arial"/>
                <w:color w:val="000000"/>
                <w:lang w:val="uk-UA"/>
              </w:rPr>
              <w:t>Номер і назва завдання з Стратегії</w:t>
            </w:r>
            <w:r w:rsidRPr="0019790A">
              <w:rPr>
                <w:rFonts w:ascii="Arial" w:hAnsi="Arial" w:cs="Arial"/>
                <w:lang w:val="uk-UA" w:eastAsia="it-IT"/>
              </w:rPr>
              <w:t xml:space="preserve"> </w:t>
            </w:r>
            <w:r w:rsidRPr="0019790A">
              <w:rPr>
                <w:rFonts w:ascii="Arial" w:hAnsi="Arial" w:cs="Arial"/>
                <w:color w:val="000000"/>
                <w:lang w:val="uk-UA"/>
              </w:rPr>
              <w:t xml:space="preserve">розвитку Жмеринської міської територіальної громади,  якому відповідає </w:t>
            </w:r>
            <w:r w:rsidR="00314B9D">
              <w:rPr>
                <w:rFonts w:ascii="Arial" w:hAnsi="Arial" w:cs="Arial"/>
                <w:color w:val="000000"/>
                <w:lang w:val="uk-UA"/>
              </w:rPr>
              <w:t>проєкт</w:t>
            </w:r>
            <w:r w:rsidRPr="0019790A">
              <w:rPr>
                <w:rFonts w:ascii="Arial" w:hAnsi="Arial" w:cs="Arial"/>
                <w:color w:val="000000"/>
                <w:lang w:val="uk-UA"/>
              </w:rPr>
              <w:t>:</w:t>
            </w:r>
          </w:p>
        </w:tc>
        <w:tc>
          <w:tcPr>
            <w:tcW w:w="6794" w:type="dxa"/>
            <w:gridSpan w:val="9"/>
            <w:vAlign w:val="center"/>
          </w:tcPr>
          <w:p w14:paraId="1D7A6337" w14:textId="77777777" w:rsidR="001002EC" w:rsidRPr="0019790A" w:rsidRDefault="001002EC" w:rsidP="00C456A0">
            <w:pPr>
              <w:pBdr>
                <w:left w:val="single" w:sz="18" w:space="4" w:color="auto"/>
              </w:pBdr>
              <w:rPr>
                <w:rFonts w:cs="Arial"/>
                <w:iCs/>
                <w:szCs w:val="22"/>
                <w:lang w:eastAsia="it-IT"/>
              </w:rPr>
            </w:pPr>
            <w:r w:rsidRPr="0019790A">
              <w:rPr>
                <w:rFonts w:cs="Arial"/>
                <w:iCs/>
                <w:szCs w:val="22"/>
                <w:lang w:eastAsia="it-IT"/>
              </w:rPr>
              <w:t>С.2.Забезпечення доступу до якісної системи охорони здоров’я</w:t>
            </w:r>
          </w:p>
          <w:p w14:paraId="7B3CEDFF" w14:textId="77777777" w:rsidR="001002EC" w:rsidRPr="0019790A" w:rsidRDefault="001002EC" w:rsidP="00C456A0">
            <w:pPr>
              <w:pBdr>
                <w:left w:val="single" w:sz="18" w:space="4" w:color="auto"/>
              </w:pBdr>
              <w:rPr>
                <w:rFonts w:cs="Arial"/>
                <w:szCs w:val="22"/>
                <w:lang w:eastAsia="it-IT"/>
              </w:rPr>
            </w:pPr>
          </w:p>
        </w:tc>
      </w:tr>
      <w:tr w:rsidR="001002EC" w:rsidRPr="0019790A" w14:paraId="6A364A64" w14:textId="77777777" w:rsidTr="00C456A0">
        <w:trPr>
          <w:trHeight w:val="501"/>
          <w:jc w:val="right"/>
        </w:trPr>
        <w:tc>
          <w:tcPr>
            <w:tcW w:w="3425" w:type="dxa"/>
            <w:vAlign w:val="center"/>
          </w:tcPr>
          <w:p w14:paraId="28EB0DA6" w14:textId="15E8DF01" w:rsidR="001002EC" w:rsidRPr="0019790A" w:rsidRDefault="001002EC" w:rsidP="0019790A">
            <w:pPr>
              <w:rPr>
                <w:rFonts w:cs="Arial"/>
                <w:b/>
                <w:bCs/>
                <w:color w:val="000000"/>
                <w:szCs w:val="22"/>
              </w:rPr>
            </w:pPr>
            <w:r w:rsidRPr="0019790A">
              <w:rPr>
                <w:rFonts w:cs="Arial"/>
                <w:b/>
                <w:bCs/>
                <w:color w:val="000000"/>
                <w:szCs w:val="22"/>
              </w:rPr>
              <w:t xml:space="preserve">Мета </w:t>
            </w:r>
            <w:r w:rsidR="00314B9D">
              <w:rPr>
                <w:rFonts w:cs="Arial"/>
                <w:b/>
                <w:bCs/>
                <w:color w:val="000000"/>
                <w:szCs w:val="22"/>
              </w:rPr>
              <w:t>проєкту</w:t>
            </w:r>
            <w:r w:rsidRPr="0019790A">
              <w:rPr>
                <w:rFonts w:cs="Arial"/>
                <w:b/>
                <w:bCs/>
                <w:color w:val="000000"/>
                <w:szCs w:val="22"/>
              </w:rPr>
              <w:t>:</w:t>
            </w:r>
          </w:p>
        </w:tc>
        <w:tc>
          <w:tcPr>
            <w:tcW w:w="6794" w:type="dxa"/>
            <w:gridSpan w:val="9"/>
            <w:vAlign w:val="center"/>
          </w:tcPr>
          <w:p w14:paraId="5C775CF7" w14:textId="77777777" w:rsidR="001002EC" w:rsidRPr="0019790A" w:rsidRDefault="001002EC" w:rsidP="00C456A0">
            <w:pPr>
              <w:jc w:val="both"/>
              <w:rPr>
                <w:rFonts w:cs="Arial"/>
                <w:szCs w:val="22"/>
                <w:lang w:eastAsia="it-IT"/>
              </w:rPr>
            </w:pPr>
            <w:r w:rsidRPr="0019790A">
              <w:rPr>
                <w:rFonts w:cs="Arial"/>
                <w:szCs w:val="22"/>
                <w:lang w:eastAsia="it-IT"/>
              </w:rPr>
              <w:t>Забезпечити швидке та комфортне перевезення пацієнтів різного ступеню тяжкості, здійснювати медичний нагляд за пацієнтом під час транспортування</w:t>
            </w:r>
          </w:p>
        </w:tc>
      </w:tr>
      <w:tr w:rsidR="001002EC" w:rsidRPr="0019790A" w14:paraId="72542DAE" w14:textId="77777777" w:rsidTr="00C456A0">
        <w:trPr>
          <w:trHeight w:val="379"/>
          <w:jc w:val="right"/>
        </w:trPr>
        <w:tc>
          <w:tcPr>
            <w:tcW w:w="3425" w:type="dxa"/>
            <w:vAlign w:val="center"/>
          </w:tcPr>
          <w:p w14:paraId="3FD0D64A" w14:textId="5A1A63AC" w:rsidR="001002EC" w:rsidRPr="0019790A" w:rsidRDefault="001002EC" w:rsidP="0019790A">
            <w:pPr>
              <w:rPr>
                <w:rFonts w:cs="Arial"/>
                <w:b/>
                <w:bCs/>
                <w:color w:val="000000"/>
                <w:szCs w:val="22"/>
              </w:rPr>
            </w:pPr>
            <w:r w:rsidRPr="0019790A">
              <w:rPr>
                <w:rFonts w:cs="Arial"/>
                <w:b/>
                <w:bCs/>
                <w:color w:val="000000"/>
                <w:szCs w:val="22"/>
              </w:rPr>
              <w:t xml:space="preserve">Цілі </w:t>
            </w:r>
            <w:r w:rsidR="00314B9D">
              <w:rPr>
                <w:rFonts w:cs="Arial"/>
                <w:b/>
                <w:bCs/>
                <w:color w:val="000000"/>
                <w:szCs w:val="22"/>
              </w:rPr>
              <w:t>проєкту</w:t>
            </w:r>
            <w:r w:rsidRPr="0019790A">
              <w:rPr>
                <w:rFonts w:cs="Arial"/>
                <w:b/>
                <w:bCs/>
                <w:color w:val="000000"/>
                <w:szCs w:val="22"/>
              </w:rPr>
              <w:t>:</w:t>
            </w:r>
          </w:p>
        </w:tc>
        <w:tc>
          <w:tcPr>
            <w:tcW w:w="6794" w:type="dxa"/>
            <w:gridSpan w:val="9"/>
            <w:vAlign w:val="center"/>
          </w:tcPr>
          <w:p w14:paraId="49B9A74E" w14:textId="77777777" w:rsidR="001002EC" w:rsidRPr="0019790A" w:rsidRDefault="001002EC" w:rsidP="00C456A0">
            <w:pPr>
              <w:jc w:val="both"/>
              <w:rPr>
                <w:rFonts w:cs="Arial"/>
                <w:szCs w:val="22"/>
                <w:lang w:eastAsia="it-IT"/>
              </w:rPr>
            </w:pPr>
            <w:r w:rsidRPr="0019790A">
              <w:rPr>
                <w:rFonts w:cs="Arial"/>
                <w:szCs w:val="22"/>
                <w:lang w:eastAsia="it-IT"/>
              </w:rPr>
              <w:t>Якісне надання медичної допомоги</w:t>
            </w:r>
          </w:p>
        </w:tc>
      </w:tr>
      <w:tr w:rsidR="001002EC" w:rsidRPr="0019790A" w14:paraId="01AAD8F3" w14:textId="77777777" w:rsidTr="00C456A0">
        <w:trPr>
          <w:trHeight w:val="697"/>
          <w:jc w:val="right"/>
        </w:trPr>
        <w:tc>
          <w:tcPr>
            <w:tcW w:w="3425" w:type="dxa"/>
            <w:vAlign w:val="center"/>
          </w:tcPr>
          <w:p w14:paraId="22695DF4" w14:textId="6B124C2F" w:rsidR="001002EC" w:rsidRPr="0019790A" w:rsidRDefault="001002EC" w:rsidP="0019790A">
            <w:pPr>
              <w:autoSpaceDE w:val="0"/>
              <w:autoSpaceDN w:val="0"/>
              <w:adjustRightInd w:val="0"/>
              <w:rPr>
                <w:rFonts w:cs="Arial"/>
                <w:b/>
                <w:color w:val="000000"/>
                <w:szCs w:val="22"/>
              </w:rPr>
            </w:pPr>
            <w:r w:rsidRPr="0019790A">
              <w:rPr>
                <w:rFonts w:cs="Arial"/>
                <w:b/>
                <w:color w:val="000000"/>
                <w:szCs w:val="22"/>
              </w:rPr>
              <w:t xml:space="preserve">Територія на яку </w:t>
            </w:r>
            <w:r w:rsidR="00314B9D">
              <w:rPr>
                <w:rFonts w:cs="Arial"/>
                <w:b/>
                <w:color w:val="000000"/>
                <w:szCs w:val="22"/>
              </w:rPr>
              <w:t>проєкт</w:t>
            </w:r>
            <w:r w:rsidRPr="0019790A">
              <w:rPr>
                <w:rFonts w:cs="Arial"/>
                <w:b/>
                <w:color w:val="000000"/>
                <w:szCs w:val="22"/>
              </w:rPr>
              <w:t xml:space="preserve"> матиме вплив:</w:t>
            </w:r>
          </w:p>
        </w:tc>
        <w:tc>
          <w:tcPr>
            <w:tcW w:w="6794" w:type="dxa"/>
            <w:gridSpan w:val="9"/>
            <w:vAlign w:val="center"/>
          </w:tcPr>
          <w:p w14:paraId="3F46294A" w14:textId="7B041A63" w:rsidR="001002EC" w:rsidRPr="0019790A" w:rsidRDefault="001002EC" w:rsidP="00C456A0">
            <w:pPr>
              <w:jc w:val="both"/>
              <w:rPr>
                <w:rFonts w:cs="Arial"/>
                <w:szCs w:val="22"/>
                <w:lang w:eastAsia="it-IT"/>
              </w:rPr>
            </w:pPr>
            <w:r w:rsidRPr="0019790A">
              <w:rPr>
                <w:rFonts w:cs="Arial"/>
                <w:szCs w:val="22"/>
                <w:lang w:eastAsia="it-IT"/>
              </w:rPr>
              <w:t xml:space="preserve">Територія </w:t>
            </w:r>
            <w:r w:rsidR="00C456A0" w:rsidRPr="0019790A">
              <w:rPr>
                <w:rFonts w:cs="Arial"/>
                <w:szCs w:val="22"/>
                <w:lang w:eastAsia="it-IT"/>
              </w:rPr>
              <w:t>Жмеринської</w:t>
            </w:r>
            <w:r w:rsidRPr="0019790A">
              <w:rPr>
                <w:rFonts w:cs="Arial"/>
                <w:szCs w:val="22"/>
                <w:lang w:eastAsia="it-IT"/>
              </w:rPr>
              <w:t xml:space="preserve"> </w:t>
            </w:r>
            <w:r w:rsidR="00C456A0" w:rsidRPr="0019790A">
              <w:rPr>
                <w:rFonts w:cs="Arial"/>
                <w:szCs w:val="22"/>
                <w:lang w:eastAsia="it-IT"/>
              </w:rPr>
              <w:t>міської</w:t>
            </w:r>
            <w:r w:rsidRPr="0019790A">
              <w:rPr>
                <w:rFonts w:cs="Arial"/>
                <w:szCs w:val="22"/>
                <w:lang w:eastAsia="it-IT"/>
              </w:rPr>
              <w:t xml:space="preserve"> </w:t>
            </w:r>
            <w:r w:rsidR="00C456A0" w:rsidRPr="0019790A">
              <w:rPr>
                <w:rFonts w:cs="Arial"/>
                <w:szCs w:val="22"/>
                <w:lang w:eastAsia="it-IT"/>
              </w:rPr>
              <w:t>територіальної</w:t>
            </w:r>
            <w:r w:rsidRPr="0019790A">
              <w:rPr>
                <w:rFonts w:cs="Arial"/>
                <w:szCs w:val="22"/>
                <w:lang w:eastAsia="it-IT"/>
              </w:rPr>
              <w:t xml:space="preserve"> громади площею 530,5 кв.км.</w:t>
            </w:r>
          </w:p>
        </w:tc>
      </w:tr>
      <w:tr w:rsidR="001002EC" w:rsidRPr="0019790A" w14:paraId="36C87FF0" w14:textId="77777777" w:rsidTr="00C456A0">
        <w:trPr>
          <w:trHeight w:val="692"/>
          <w:jc w:val="right"/>
        </w:trPr>
        <w:tc>
          <w:tcPr>
            <w:tcW w:w="3425" w:type="dxa"/>
            <w:vAlign w:val="center"/>
          </w:tcPr>
          <w:p w14:paraId="12518652" w14:textId="77777777" w:rsidR="001002EC" w:rsidRPr="0019790A" w:rsidRDefault="001002EC" w:rsidP="0019790A">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4" w:type="dxa"/>
            <w:gridSpan w:val="9"/>
            <w:vAlign w:val="center"/>
          </w:tcPr>
          <w:p w14:paraId="5C9AB96D" w14:textId="77777777" w:rsidR="001002EC" w:rsidRPr="0019790A" w:rsidRDefault="001002EC" w:rsidP="00C456A0">
            <w:pPr>
              <w:jc w:val="both"/>
              <w:rPr>
                <w:rFonts w:cs="Arial"/>
                <w:szCs w:val="22"/>
                <w:lang w:eastAsia="it-IT"/>
              </w:rPr>
            </w:pPr>
            <w:r w:rsidRPr="0019790A">
              <w:rPr>
                <w:rFonts w:cs="Arial"/>
                <w:szCs w:val="22"/>
                <w:lang w:eastAsia="it-IT"/>
              </w:rPr>
              <w:t>170 тис.осіб дорослого та дитячого населення</w:t>
            </w:r>
          </w:p>
        </w:tc>
      </w:tr>
      <w:tr w:rsidR="001002EC" w:rsidRPr="0019790A" w14:paraId="3945AC34" w14:textId="77777777" w:rsidTr="00C456A0">
        <w:trPr>
          <w:jc w:val="right"/>
        </w:trPr>
        <w:tc>
          <w:tcPr>
            <w:tcW w:w="3425" w:type="dxa"/>
            <w:shd w:val="clear" w:color="auto" w:fill="FFFFFF"/>
            <w:vAlign w:val="center"/>
          </w:tcPr>
          <w:p w14:paraId="44E0DEE6" w14:textId="4A656030" w:rsidR="001002EC" w:rsidRPr="0019790A" w:rsidRDefault="001002EC" w:rsidP="0019790A">
            <w:pPr>
              <w:rPr>
                <w:rFonts w:cs="Arial"/>
                <w:b/>
                <w:bCs/>
                <w:color w:val="000000"/>
                <w:szCs w:val="22"/>
              </w:rPr>
            </w:pPr>
            <w:r w:rsidRPr="0019790A">
              <w:rPr>
                <w:rFonts w:cs="Arial"/>
                <w:b/>
                <w:bCs/>
                <w:color w:val="000000"/>
                <w:szCs w:val="22"/>
              </w:rPr>
              <w:t xml:space="preserve">Стислий опис </w:t>
            </w:r>
            <w:r w:rsidR="00314B9D">
              <w:rPr>
                <w:rFonts w:cs="Arial"/>
                <w:b/>
                <w:bCs/>
                <w:color w:val="000000"/>
                <w:szCs w:val="22"/>
              </w:rPr>
              <w:t>проєкту</w:t>
            </w:r>
            <w:r w:rsidRPr="0019790A">
              <w:rPr>
                <w:rFonts w:cs="Arial"/>
                <w:b/>
                <w:bCs/>
                <w:color w:val="000000"/>
                <w:szCs w:val="22"/>
              </w:rPr>
              <w:t>:</w:t>
            </w:r>
          </w:p>
        </w:tc>
        <w:tc>
          <w:tcPr>
            <w:tcW w:w="6794" w:type="dxa"/>
            <w:gridSpan w:val="9"/>
            <w:vAlign w:val="center"/>
          </w:tcPr>
          <w:p w14:paraId="01D3E6B0" w14:textId="77777777" w:rsidR="001002EC" w:rsidRPr="0019790A" w:rsidRDefault="001002EC" w:rsidP="00C456A0">
            <w:pPr>
              <w:jc w:val="both"/>
              <w:rPr>
                <w:rFonts w:cs="Arial"/>
                <w:szCs w:val="22"/>
                <w:lang w:eastAsia="it-IT"/>
              </w:rPr>
            </w:pPr>
            <w:r w:rsidRPr="0019790A">
              <w:rPr>
                <w:rFonts w:cs="Arial"/>
                <w:szCs w:val="22"/>
                <w:lang w:eastAsia="it-IT"/>
              </w:rPr>
              <w:t>Придбання автомобіля швидкої медичної допомоги для транспортування пацієнтів  та медичного персоналу</w:t>
            </w:r>
          </w:p>
        </w:tc>
      </w:tr>
      <w:tr w:rsidR="001002EC" w:rsidRPr="0019790A" w14:paraId="3148DDCF" w14:textId="77777777" w:rsidTr="00C456A0">
        <w:trPr>
          <w:trHeight w:val="538"/>
          <w:jc w:val="right"/>
        </w:trPr>
        <w:tc>
          <w:tcPr>
            <w:tcW w:w="3425" w:type="dxa"/>
            <w:shd w:val="clear" w:color="auto" w:fill="FFFFFF"/>
            <w:vAlign w:val="center"/>
          </w:tcPr>
          <w:p w14:paraId="40EC1E8F" w14:textId="77777777" w:rsidR="001002EC" w:rsidRPr="0019790A" w:rsidRDefault="001002EC" w:rsidP="0019790A">
            <w:pPr>
              <w:rPr>
                <w:rFonts w:cs="Arial"/>
                <w:b/>
                <w:bCs/>
                <w:color w:val="000000"/>
                <w:szCs w:val="22"/>
              </w:rPr>
            </w:pPr>
            <w:r w:rsidRPr="0019790A">
              <w:rPr>
                <w:rFonts w:cs="Arial"/>
                <w:b/>
                <w:bCs/>
                <w:color w:val="000000"/>
                <w:szCs w:val="22"/>
              </w:rPr>
              <w:t>Основні заходи проєкту</w:t>
            </w:r>
          </w:p>
        </w:tc>
        <w:tc>
          <w:tcPr>
            <w:tcW w:w="6794" w:type="dxa"/>
            <w:gridSpan w:val="9"/>
            <w:shd w:val="clear" w:color="auto" w:fill="FFFFFF"/>
            <w:vAlign w:val="center"/>
          </w:tcPr>
          <w:p w14:paraId="3B61C82B" w14:textId="77777777" w:rsidR="001002EC" w:rsidRPr="0019790A" w:rsidRDefault="001002EC" w:rsidP="00C456A0">
            <w:pPr>
              <w:jc w:val="both"/>
              <w:rPr>
                <w:rFonts w:cs="Arial"/>
                <w:szCs w:val="22"/>
                <w:lang w:eastAsia="it-IT"/>
              </w:rPr>
            </w:pPr>
            <w:r w:rsidRPr="0019790A">
              <w:rPr>
                <w:rFonts w:cs="Arial"/>
                <w:szCs w:val="22"/>
                <w:lang w:eastAsia="it-IT"/>
              </w:rPr>
              <w:t>Придбання автомобіля швидкої допомоги</w:t>
            </w:r>
          </w:p>
        </w:tc>
      </w:tr>
      <w:tr w:rsidR="001002EC" w:rsidRPr="0019790A" w14:paraId="43E9A24E" w14:textId="77777777" w:rsidTr="00C456A0">
        <w:trPr>
          <w:trHeight w:val="688"/>
          <w:jc w:val="right"/>
        </w:trPr>
        <w:tc>
          <w:tcPr>
            <w:tcW w:w="3425" w:type="dxa"/>
            <w:shd w:val="clear" w:color="auto" w:fill="FFFFFF"/>
            <w:vAlign w:val="center"/>
          </w:tcPr>
          <w:p w14:paraId="53720CEA" w14:textId="77777777" w:rsidR="001002EC" w:rsidRPr="0019790A" w:rsidRDefault="001002EC"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794" w:type="dxa"/>
            <w:gridSpan w:val="9"/>
            <w:vAlign w:val="center"/>
          </w:tcPr>
          <w:p w14:paraId="5966481F" w14:textId="77777777" w:rsidR="001002EC" w:rsidRPr="0019790A" w:rsidRDefault="001002EC" w:rsidP="00C456A0">
            <w:pPr>
              <w:jc w:val="both"/>
              <w:rPr>
                <w:rFonts w:cs="Arial"/>
                <w:szCs w:val="22"/>
                <w:lang w:eastAsia="it-IT"/>
              </w:rPr>
            </w:pPr>
            <w:r w:rsidRPr="0019790A">
              <w:rPr>
                <w:rFonts w:cs="Arial"/>
                <w:szCs w:val="22"/>
                <w:lang w:eastAsia="it-IT"/>
              </w:rPr>
              <w:t>Проведення транспортування важкохворих пацієнтів у заклади третинного рівня щонайменше 1 тис.осіб на рік</w:t>
            </w:r>
          </w:p>
        </w:tc>
      </w:tr>
      <w:tr w:rsidR="001002EC" w:rsidRPr="0019790A" w14:paraId="53A3C234" w14:textId="77777777" w:rsidTr="00B8248C">
        <w:trPr>
          <w:trHeight w:val="429"/>
          <w:jc w:val="right"/>
        </w:trPr>
        <w:tc>
          <w:tcPr>
            <w:tcW w:w="3425" w:type="dxa"/>
            <w:shd w:val="clear" w:color="auto" w:fill="FFFFFF"/>
            <w:vAlign w:val="center"/>
          </w:tcPr>
          <w:p w14:paraId="75046A64" w14:textId="77777777" w:rsidR="001002EC" w:rsidRPr="0019790A" w:rsidRDefault="001002EC" w:rsidP="0019790A">
            <w:pPr>
              <w:rPr>
                <w:rFonts w:cs="Arial"/>
                <w:b/>
                <w:color w:val="000000"/>
                <w:szCs w:val="22"/>
              </w:rPr>
            </w:pPr>
            <w:r w:rsidRPr="0019790A">
              <w:rPr>
                <w:rFonts w:cs="Arial"/>
                <w:b/>
                <w:color w:val="000000"/>
                <w:szCs w:val="22"/>
              </w:rPr>
              <w:t xml:space="preserve">Період здійснення: </w:t>
            </w:r>
          </w:p>
        </w:tc>
        <w:tc>
          <w:tcPr>
            <w:tcW w:w="6794" w:type="dxa"/>
            <w:gridSpan w:val="9"/>
            <w:vAlign w:val="center"/>
          </w:tcPr>
          <w:p w14:paraId="45727949" w14:textId="77777777" w:rsidR="001002EC" w:rsidRPr="0019790A" w:rsidRDefault="001002EC" w:rsidP="0019790A">
            <w:pPr>
              <w:rPr>
                <w:rFonts w:cs="Arial"/>
                <w:color w:val="000000"/>
                <w:szCs w:val="22"/>
                <w:lang w:eastAsia="it-IT"/>
              </w:rPr>
            </w:pPr>
            <w:r w:rsidRPr="0019790A">
              <w:rPr>
                <w:rFonts w:cs="Arial"/>
                <w:b/>
                <w:color w:val="000000"/>
                <w:szCs w:val="22"/>
              </w:rPr>
              <w:t>2025 – 2028 роки:</w:t>
            </w:r>
          </w:p>
        </w:tc>
      </w:tr>
      <w:tr w:rsidR="001002EC" w:rsidRPr="0019790A" w14:paraId="3B06674F" w14:textId="77777777" w:rsidTr="00B8248C">
        <w:trPr>
          <w:jc w:val="right"/>
        </w:trPr>
        <w:tc>
          <w:tcPr>
            <w:tcW w:w="3425" w:type="dxa"/>
            <w:vMerge w:val="restart"/>
            <w:shd w:val="clear" w:color="auto" w:fill="FFFFFF"/>
            <w:vAlign w:val="center"/>
          </w:tcPr>
          <w:p w14:paraId="4C5E392E" w14:textId="4B37E2F3" w:rsidR="001002EC" w:rsidRPr="0019790A" w:rsidRDefault="001002EC" w:rsidP="0019790A">
            <w:pPr>
              <w:rPr>
                <w:rFonts w:cs="Arial"/>
                <w:b/>
                <w:bCs/>
                <w:color w:val="000000"/>
                <w:szCs w:val="22"/>
              </w:rPr>
            </w:pPr>
            <w:r w:rsidRPr="0019790A">
              <w:rPr>
                <w:rFonts w:cs="Arial"/>
                <w:b/>
                <w:bCs/>
                <w:color w:val="000000"/>
                <w:szCs w:val="22"/>
              </w:rPr>
              <w:t xml:space="preserve">Орієнтовна вартість </w:t>
            </w:r>
            <w:r w:rsidR="00314B9D">
              <w:rPr>
                <w:rFonts w:cs="Arial"/>
                <w:b/>
                <w:bCs/>
                <w:color w:val="000000"/>
                <w:szCs w:val="22"/>
              </w:rPr>
              <w:t>проєкту</w:t>
            </w:r>
            <w:r w:rsidRPr="0019790A">
              <w:rPr>
                <w:rFonts w:cs="Arial"/>
                <w:b/>
                <w:bCs/>
                <w:color w:val="000000"/>
                <w:szCs w:val="22"/>
              </w:rPr>
              <w:t>, тис. грн. в тому числі:</w:t>
            </w:r>
          </w:p>
        </w:tc>
        <w:tc>
          <w:tcPr>
            <w:tcW w:w="1254" w:type="dxa"/>
            <w:shd w:val="clear" w:color="auto" w:fill="E6E6E6"/>
            <w:vAlign w:val="center"/>
          </w:tcPr>
          <w:p w14:paraId="55C46FF4"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2025</w:t>
            </w:r>
          </w:p>
        </w:tc>
        <w:tc>
          <w:tcPr>
            <w:tcW w:w="1417" w:type="dxa"/>
            <w:gridSpan w:val="3"/>
            <w:shd w:val="clear" w:color="auto" w:fill="E6E6E6"/>
            <w:vAlign w:val="center"/>
          </w:tcPr>
          <w:p w14:paraId="6C07C01A"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2026</w:t>
            </w:r>
          </w:p>
        </w:tc>
        <w:tc>
          <w:tcPr>
            <w:tcW w:w="1418" w:type="dxa"/>
            <w:gridSpan w:val="2"/>
            <w:tcBorders>
              <w:bottom w:val="single" w:sz="4" w:space="0" w:color="auto"/>
            </w:tcBorders>
            <w:shd w:val="clear" w:color="auto" w:fill="E6E6E6"/>
            <w:vAlign w:val="center"/>
          </w:tcPr>
          <w:p w14:paraId="006184D5"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2027</w:t>
            </w:r>
          </w:p>
        </w:tc>
        <w:tc>
          <w:tcPr>
            <w:tcW w:w="1275" w:type="dxa"/>
            <w:gridSpan w:val="2"/>
            <w:shd w:val="clear" w:color="auto" w:fill="E6E6E6"/>
            <w:vAlign w:val="center"/>
          </w:tcPr>
          <w:p w14:paraId="38319BB2"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2028</w:t>
            </w:r>
          </w:p>
        </w:tc>
        <w:tc>
          <w:tcPr>
            <w:tcW w:w="1430" w:type="dxa"/>
            <w:shd w:val="clear" w:color="auto" w:fill="E6E6E6"/>
            <w:vAlign w:val="center"/>
          </w:tcPr>
          <w:p w14:paraId="622EDDF8"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Разом</w:t>
            </w:r>
          </w:p>
        </w:tc>
      </w:tr>
      <w:tr w:rsidR="001002EC" w:rsidRPr="0019790A" w14:paraId="1DE3BA30" w14:textId="77777777" w:rsidTr="00B8248C">
        <w:trPr>
          <w:jc w:val="right"/>
        </w:trPr>
        <w:tc>
          <w:tcPr>
            <w:tcW w:w="3425" w:type="dxa"/>
            <w:vMerge/>
            <w:shd w:val="clear" w:color="auto" w:fill="FFFFFF"/>
            <w:vAlign w:val="center"/>
          </w:tcPr>
          <w:p w14:paraId="7FB610F8" w14:textId="77777777" w:rsidR="001002EC" w:rsidRPr="0019790A" w:rsidRDefault="001002EC" w:rsidP="0019790A">
            <w:pPr>
              <w:rPr>
                <w:rFonts w:cs="Arial"/>
                <w:b/>
                <w:bCs/>
                <w:color w:val="000000"/>
                <w:szCs w:val="22"/>
              </w:rPr>
            </w:pPr>
          </w:p>
        </w:tc>
        <w:tc>
          <w:tcPr>
            <w:tcW w:w="1254" w:type="dxa"/>
            <w:vAlign w:val="center"/>
          </w:tcPr>
          <w:p w14:paraId="06B6010B" w14:textId="77777777" w:rsidR="001002EC" w:rsidRPr="0019790A" w:rsidRDefault="001002EC" w:rsidP="0019790A">
            <w:pPr>
              <w:jc w:val="center"/>
              <w:rPr>
                <w:rFonts w:cs="Arial"/>
                <w:b/>
                <w:color w:val="000000"/>
                <w:szCs w:val="22"/>
                <w:lang w:eastAsia="it-IT"/>
              </w:rPr>
            </w:pPr>
          </w:p>
        </w:tc>
        <w:tc>
          <w:tcPr>
            <w:tcW w:w="1417" w:type="dxa"/>
            <w:gridSpan w:val="3"/>
            <w:shd w:val="clear" w:color="auto" w:fill="FFFFFF"/>
            <w:vAlign w:val="center"/>
          </w:tcPr>
          <w:p w14:paraId="0F52BBB8" w14:textId="77777777" w:rsidR="001002EC" w:rsidRPr="0019790A" w:rsidRDefault="001002EC" w:rsidP="0019790A">
            <w:pPr>
              <w:jc w:val="center"/>
              <w:rPr>
                <w:rFonts w:cs="Arial"/>
                <w:b/>
                <w:color w:val="000000"/>
                <w:szCs w:val="22"/>
                <w:lang w:eastAsia="it-IT"/>
              </w:rPr>
            </w:pPr>
          </w:p>
        </w:tc>
        <w:tc>
          <w:tcPr>
            <w:tcW w:w="1418" w:type="dxa"/>
            <w:gridSpan w:val="2"/>
            <w:shd w:val="clear" w:color="auto" w:fill="auto"/>
            <w:vAlign w:val="center"/>
          </w:tcPr>
          <w:p w14:paraId="73F84893" w14:textId="77777777" w:rsidR="001002EC" w:rsidRPr="0019790A" w:rsidRDefault="001002EC" w:rsidP="0019790A">
            <w:pPr>
              <w:jc w:val="center"/>
              <w:rPr>
                <w:rFonts w:cs="Arial"/>
                <w:b/>
                <w:color w:val="000000"/>
                <w:szCs w:val="22"/>
                <w:lang w:eastAsia="it-IT"/>
              </w:rPr>
            </w:pPr>
          </w:p>
        </w:tc>
        <w:tc>
          <w:tcPr>
            <w:tcW w:w="1275" w:type="dxa"/>
            <w:gridSpan w:val="2"/>
            <w:shd w:val="clear" w:color="auto" w:fill="FFFFFF"/>
            <w:vAlign w:val="center"/>
          </w:tcPr>
          <w:p w14:paraId="17051B3A"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3280,000</w:t>
            </w:r>
          </w:p>
        </w:tc>
        <w:tc>
          <w:tcPr>
            <w:tcW w:w="1430" w:type="dxa"/>
            <w:shd w:val="clear" w:color="auto" w:fill="FFFFFF"/>
            <w:vAlign w:val="center"/>
          </w:tcPr>
          <w:p w14:paraId="39F2423C"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3280,000</w:t>
            </w:r>
          </w:p>
        </w:tc>
      </w:tr>
      <w:tr w:rsidR="001002EC" w:rsidRPr="0019790A" w14:paraId="31FAEF31" w14:textId="77777777" w:rsidTr="00C456A0">
        <w:trPr>
          <w:trHeight w:val="375"/>
          <w:jc w:val="right"/>
        </w:trPr>
        <w:tc>
          <w:tcPr>
            <w:tcW w:w="3425" w:type="dxa"/>
            <w:shd w:val="clear" w:color="auto" w:fill="FFFFFF"/>
            <w:vAlign w:val="center"/>
          </w:tcPr>
          <w:p w14:paraId="42FF0514" w14:textId="799AC5FD" w:rsidR="001002EC" w:rsidRPr="0019790A" w:rsidRDefault="001002EC" w:rsidP="00C456A0">
            <w:pPr>
              <w:rPr>
                <w:rFonts w:cs="Arial"/>
                <w:b/>
                <w:bCs/>
                <w:color w:val="000000"/>
                <w:szCs w:val="22"/>
              </w:rPr>
            </w:pPr>
            <w:r w:rsidRPr="0019790A">
              <w:rPr>
                <w:rFonts w:cs="Arial"/>
                <w:b/>
                <w:bCs/>
                <w:color w:val="000000"/>
                <w:szCs w:val="22"/>
              </w:rPr>
              <w:t xml:space="preserve"> по джерелах фінансування:</w:t>
            </w:r>
          </w:p>
        </w:tc>
        <w:tc>
          <w:tcPr>
            <w:tcW w:w="6794" w:type="dxa"/>
            <w:gridSpan w:val="9"/>
            <w:vAlign w:val="center"/>
          </w:tcPr>
          <w:p w14:paraId="63E3B746" w14:textId="77777777" w:rsidR="001002EC" w:rsidRPr="0019790A" w:rsidRDefault="001002EC" w:rsidP="0019790A">
            <w:pPr>
              <w:jc w:val="both"/>
              <w:rPr>
                <w:rFonts w:cs="Arial"/>
                <w:color w:val="000000"/>
                <w:szCs w:val="22"/>
                <w:lang w:eastAsia="it-IT"/>
              </w:rPr>
            </w:pPr>
          </w:p>
        </w:tc>
      </w:tr>
      <w:tr w:rsidR="00C456A0" w:rsidRPr="0019790A" w14:paraId="75A43CC9" w14:textId="719810E4" w:rsidTr="00C456A0">
        <w:trPr>
          <w:trHeight w:val="338"/>
          <w:jc w:val="right"/>
        </w:trPr>
        <w:tc>
          <w:tcPr>
            <w:tcW w:w="3425" w:type="dxa"/>
            <w:shd w:val="clear" w:color="auto" w:fill="FFFFFF"/>
            <w:vAlign w:val="center"/>
          </w:tcPr>
          <w:p w14:paraId="421A3D68" w14:textId="47D42849" w:rsidR="00C456A0" w:rsidRPr="0019790A" w:rsidRDefault="00C456A0" w:rsidP="0019790A">
            <w:pPr>
              <w:rPr>
                <w:rFonts w:cs="Arial"/>
                <w:b/>
                <w:bCs/>
                <w:color w:val="000000"/>
                <w:szCs w:val="22"/>
              </w:rPr>
            </w:pPr>
            <w:r w:rsidRPr="0019790A">
              <w:rPr>
                <w:rFonts w:cs="Arial"/>
                <w:color w:val="000000"/>
                <w:szCs w:val="22"/>
              </w:rPr>
              <w:t>-державний бюджет;</w:t>
            </w:r>
          </w:p>
        </w:tc>
        <w:tc>
          <w:tcPr>
            <w:tcW w:w="1290" w:type="dxa"/>
            <w:gridSpan w:val="2"/>
            <w:vAlign w:val="center"/>
          </w:tcPr>
          <w:p w14:paraId="03B29900" w14:textId="77777777" w:rsidR="00C456A0" w:rsidRPr="0019790A" w:rsidRDefault="00C456A0" w:rsidP="0019790A">
            <w:pPr>
              <w:jc w:val="both"/>
              <w:rPr>
                <w:rFonts w:cs="Arial"/>
                <w:color w:val="000000"/>
                <w:szCs w:val="22"/>
                <w:lang w:eastAsia="it-IT"/>
              </w:rPr>
            </w:pPr>
          </w:p>
        </w:tc>
        <w:tc>
          <w:tcPr>
            <w:tcW w:w="1365" w:type="dxa"/>
            <w:vAlign w:val="center"/>
          </w:tcPr>
          <w:p w14:paraId="3C2E5BFB" w14:textId="77777777" w:rsidR="00C456A0" w:rsidRPr="0019790A" w:rsidRDefault="00C456A0" w:rsidP="0019790A">
            <w:pPr>
              <w:jc w:val="both"/>
              <w:rPr>
                <w:rFonts w:cs="Arial"/>
                <w:color w:val="000000"/>
                <w:szCs w:val="22"/>
                <w:lang w:eastAsia="it-IT"/>
              </w:rPr>
            </w:pPr>
          </w:p>
        </w:tc>
        <w:tc>
          <w:tcPr>
            <w:tcW w:w="1415" w:type="dxa"/>
            <w:gridSpan w:val="2"/>
            <w:vAlign w:val="center"/>
          </w:tcPr>
          <w:p w14:paraId="41E3CC2C" w14:textId="77777777" w:rsidR="00C456A0" w:rsidRPr="0019790A" w:rsidRDefault="00C456A0" w:rsidP="0019790A">
            <w:pPr>
              <w:jc w:val="both"/>
              <w:rPr>
                <w:rFonts w:cs="Arial"/>
                <w:color w:val="000000"/>
                <w:szCs w:val="22"/>
                <w:lang w:eastAsia="it-IT"/>
              </w:rPr>
            </w:pPr>
          </w:p>
        </w:tc>
        <w:tc>
          <w:tcPr>
            <w:tcW w:w="1265" w:type="dxa"/>
            <w:gridSpan w:val="2"/>
            <w:vAlign w:val="center"/>
          </w:tcPr>
          <w:p w14:paraId="635BC9C8" w14:textId="77E25BAC" w:rsidR="00C456A0" w:rsidRPr="0019790A" w:rsidRDefault="00C456A0" w:rsidP="0019790A">
            <w:pPr>
              <w:jc w:val="both"/>
              <w:rPr>
                <w:rFonts w:cs="Arial"/>
                <w:color w:val="000000"/>
                <w:szCs w:val="22"/>
                <w:lang w:eastAsia="it-IT"/>
              </w:rPr>
            </w:pPr>
          </w:p>
        </w:tc>
        <w:tc>
          <w:tcPr>
            <w:tcW w:w="1459" w:type="dxa"/>
            <w:gridSpan w:val="2"/>
            <w:vAlign w:val="center"/>
          </w:tcPr>
          <w:p w14:paraId="71CCF27C" w14:textId="77777777" w:rsidR="00C456A0" w:rsidRPr="0019790A" w:rsidRDefault="00C456A0" w:rsidP="0019790A">
            <w:pPr>
              <w:jc w:val="both"/>
              <w:rPr>
                <w:rFonts w:cs="Arial"/>
                <w:color w:val="000000"/>
                <w:szCs w:val="22"/>
                <w:lang w:eastAsia="it-IT"/>
              </w:rPr>
            </w:pPr>
          </w:p>
        </w:tc>
      </w:tr>
      <w:tr w:rsidR="00C456A0" w:rsidRPr="0019790A" w14:paraId="48492D38" w14:textId="3DC6037A" w:rsidTr="00C456A0">
        <w:trPr>
          <w:trHeight w:val="242"/>
          <w:jc w:val="right"/>
        </w:trPr>
        <w:tc>
          <w:tcPr>
            <w:tcW w:w="3425" w:type="dxa"/>
            <w:shd w:val="clear" w:color="auto" w:fill="FFFFFF"/>
            <w:vAlign w:val="center"/>
          </w:tcPr>
          <w:p w14:paraId="02B700D3" w14:textId="77777777" w:rsidR="00C456A0" w:rsidRPr="0019790A" w:rsidRDefault="00C456A0" w:rsidP="0019790A">
            <w:pPr>
              <w:rPr>
                <w:rFonts w:cs="Arial"/>
                <w:b/>
                <w:bCs/>
                <w:color w:val="000000"/>
                <w:szCs w:val="22"/>
              </w:rPr>
            </w:pPr>
            <w:r w:rsidRPr="0019790A">
              <w:rPr>
                <w:rFonts w:cs="Arial"/>
                <w:color w:val="000000"/>
                <w:szCs w:val="22"/>
              </w:rPr>
              <w:t>-обласний бюджет;</w:t>
            </w:r>
          </w:p>
        </w:tc>
        <w:tc>
          <w:tcPr>
            <w:tcW w:w="1290" w:type="dxa"/>
            <w:gridSpan w:val="2"/>
            <w:vAlign w:val="center"/>
          </w:tcPr>
          <w:p w14:paraId="41A73FD9" w14:textId="77777777" w:rsidR="00C456A0" w:rsidRPr="0019790A" w:rsidRDefault="00C456A0" w:rsidP="0019790A">
            <w:pPr>
              <w:jc w:val="both"/>
              <w:rPr>
                <w:rFonts w:cs="Arial"/>
                <w:color w:val="000000"/>
                <w:szCs w:val="22"/>
                <w:lang w:eastAsia="it-IT"/>
              </w:rPr>
            </w:pPr>
          </w:p>
        </w:tc>
        <w:tc>
          <w:tcPr>
            <w:tcW w:w="1365" w:type="dxa"/>
            <w:vAlign w:val="center"/>
          </w:tcPr>
          <w:p w14:paraId="6FE97192" w14:textId="77777777" w:rsidR="00C456A0" w:rsidRPr="0019790A" w:rsidRDefault="00C456A0" w:rsidP="0019790A">
            <w:pPr>
              <w:jc w:val="both"/>
              <w:rPr>
                <w:rFonts w:cs="Arial"/>
                <w:color w:val="000000"/>
                <w:szCs w:val="22"/>
                <w:lang w:eastAsia="it-IT"/>
              </w:rPr>
            </w:pPr>
          </w:p>
        </w:tc>
        <w:tc>
          <w:tcPr>
            <w:tcW w:w="1415" w:type="dxa"/>
            <w:gridSpan w:val="2"/>
            <w:vAlign w:val="center"/>
          </w:tcPr>
          <w:p w14:paraId="60079866" w14:textId="77777777" w:rsidR="00C456A0" w:rsidRPr="0019790A" w:rsidRDefault="00C456A0" w:rsidP="0019790A">
            <w:pPr>
              <w:jc w:val="both"/>
              <w:rPr>
                <w:rFonts w:cs="Arial"/>
                <w:color w:val="000000"/>
                <w:szCs w:val="22"/>
                <w:lang w:eastAsia="it-IT"/>
              </w:rPr>
            </w:pPr>
          </w:p>
        </w:tc>
        <w:tc>
          <w:tcPr>
            <w:tcW w:w="1265" w:type="dxa"/>
            <w:gridSpan w:val="2"/>
            <w:vAlign w:val="center"/>
          </w:tcPr>
          <w:p w14:paraId="52CDED28" w14:textId="4229FE25" w:rsidR="00C456A0" w:rsidRPr="0019790A" w:rsidRDefault="00C456A0" w:rsidP="0019790A">
            <w:pPr>
              <w:jc w:val="both"/>
              <w:rPr>
                <w:rFonts w:cs="Arial"/>
                <w:color w:val="000000"/>
                <w:szCs w:val="22"/>
                <w:lang w:eastAsia="it-IT"/>
              </w:rPr>
            </w:pPr>
          </w:p>
        </w:tc>
        <w:tc>
          <w:tcPr>
            <w:tcW w:w="1459" w:type="dxa"/>
            <w:gridSpan w:val="2"/>
            <w:vAlign w:val="center"/>
          </w:tcPr>
          <w:p w14:paraId="70804299" w14:textId="77777777" w:rsidR="00C456A0" w:rsidRPr="0019790A" w:rsidRDefault="00C456A0" w:rsidP="0019790A">
            <w:pPr>
              <w:jc w:val="both"/>
              <w:rPr>
                <w:rFonts w:cs="Arial"/>
                <w:color w:val="000000"/>
                <w:szCs w:val="22"/>
                <w:lang w:eastAsia="it-IT"/>
              </w:rPr>
            </w:pPr>
          </w:p>
        </w:tc>
      </w:tr>
      <w:tr w:rsidR="00C456A0" w:rsidRPr="0019790A" w14:paraId="65BD5909" w14:textId="595C3999" w:rsidTr="00C456A0">
        <w:trPr>
          <w:trHeight w:val="260"/>
          <w:jc w:val="right"/>
        </w:trPr>
        <w:tc>
          <w:tcPr>
            <w:tcW w:w="3425" w:type="dxa"/>
            <w:shd w:val="clear" w:color="auto" w:fill="FFFFFF"/>
            <w:vAlign w:val="center"/>
          </w:tcPr>
          <w:p w14:paraId="3A588F77" w14:textId="77777777" w:rsidR="00C456A0" w:rsidRPr="0019790A" w:rsidRDefault="00C456A0" w:rsidP="0019790A">
            <w:pPr>
              <w:rPr>
                <w:rFonts w:cs="Arial"/>
                <w:color w:val="000000"/>
                <w:szCs w:val="22"/>
              </w:rPr>
            </w:pPr>
            <w:r w:rsidRPr="0019790A">
              <w:rPr>
                <w:rFonts w:cs="Arial"/>
                <w:color w:val="000000"/>
                <w:szCs w:val="22"/>
              </w:rPr>
              <w:t>-бюджет Жмеринської МТГ;</w:t>
            </w:r>
          </w:p>
        </w:tc>
        <w:tc>
          <w:tcPr>
            <w:tcW w:w="1290" w:type="dxa"/>
            <w:gridSpan w:val="2"/>
            <w:vAlign w:val="center"/>
          </w:tcPr>
          <w:p w14:paraId="7284A510" w14:textId="4C289BBE" w:rsidR="00C456A0" w:rsidRPr="0019790A" w:rsidRDefault="00C456A0" w:rsidP="0019790A">
            <w:pPr>
              <w:jc w:val="both"/>
              <w:rPr>
                <w:rFonts w:cs="Arial"/>
                <w:color w:val="000000"/>
                <w:szCs w:val="22"/>
                <w:lang w:eastAsia="it-IT"/>
              </w:rPr>
            </w:pPr>
          </w:p>
        </w:tc>
        <w:tc>
          <w:tcPr>
            <w:tcW w:w="1365" w:type="dxa"/>
            <w:vAlign w:val="center"/>
          </w:tcPr>
          <w:p w14:paraId="7758E034" w14:textId="75FCEA44" w:rsidR="00C456A0" w:rsidRPr="0019790A" w:rsidRDefault="00C456A0" w:rsidP="00C456A0">
            <w:pPr>
              <w:jc w:val="both"/>
              <w:rPr>
                <w:rFonts w:cs="Arial"/>
                <w:color w:val="000000"/>
                <w:szCs w:val="22"/>
                <w:lang w:eastAsia="it-IT"/>
              </w:rPr>
            </w:pPr>
          </w:p>
        </w:tc>
        <w:tc>
          <w:tcPr>
            <w:tcW w:w="1415" w:type="dxa"/>
            <w:gridSpan w:val="2"/>
            <w:vAlign w:val="center"/>
          </w:tcPr>
          <w:p w14:paraId="7FF9672A" w14:textId="77777777" w:rsidR="00C456A0" w:rsidRPr="0019790A" w:rsidRDefault="00C456A0" w:rsidP="00C456A0">
            <w:pPr>
              <w:jc w:val="both"/>
              <w:rPr>
                <w:rFonts w:cs="Arial"/>
                <w:color w:val="000000"/>
                <w:szCs w:val="22"/>
                <w:lang w:eastAsia="it-IT"/>
              </w:rPr>
            </w:pPr>
          </w:p>
        </w:tc>
        <w:tc>
          <w:tcPr>
            <w:tcW w:w="1265" w:type="dxa"/>
            <w:gridSpan w:val="2"/>
            <w:vAlign w:val="center"/>
          </w:tcPr>
          <w:p w14:paraId="05B62061" w14:textId="25E93DED" w:rsidR="00C456A0" w:rsidRPr="00C456A0" w:rsidRDefault="00C456A0" w:rsidP="00C456A0">
            <w:pPr>
              <w:jc w:val="center"/>
              <w:rPr>
                <w:rFonts w:cs="Arial"/>
                <w:b/>
                <w:color w:val="000000"/>
                <w:szCs w:val="22"/>
                <w:lang w:eastAsia="it-IT"/>
              </w:rPr>
            </w:pPr>
            <w:r w:rsidRPr="00C456A0">
              <w:rPr>
                <w:rFonts w:cs="Arial"/>
                <w:b/>
                <w:color w:val="000000"/>
                <w:szCs w:val="22"/>
                <w:lang w:eastAsia="it-IT"/>
              </w:rPr>
              <w:t>3280,000</w:t>
            </w:r>
          </w:p>
        </w:tc>
        <w:tc>
          <w:tcPr>
            <w:tcW w:w="1459" w:type="dxa"/>
            <w:gridSpan w:val="2"/>
            <w:vAlign w:val="center"/>
          </w:tcPr>
          <w:p w14:paraId="421A766D" w14:textId="7F9BAC6A" w:rsidR="00C456A0" w:rsidRPr="00C456A0" w:rsidRDefault="00C456A0" w:rsidP="00C456A0">
            <w:pPr>
              <w:jc w:val="center"/>
              <w:rPr>
                <w:rFonts w:cs="Arial"/>
                <w:b/>
                <w:color w:val="000000"/>
                <w:szCs w:val="22"/>
                <w:lang w:eastAsia="it-IT"/>
              </w:rPr>
            </w:pPr>
            <w:r w:rsidRPr="00C456A0">
              <w:rPr>
                <w:rFonts w:cs="Arial"/>
                <w:b/>
                <w:color w:val="000000"/>
                <w:szCs w:val="22"/>
                <w:lang w:eastAsia="it-IT"/>
              </w:rPr>
              <w:t>3280,000</w:t>
            </w:r>
          </w:p>
        </w:tc>
      </w:tr>
      <w:tr w:rsidR="00C456A0" w:rsidRPr="0019790A" w14:paraId="5CC057EF" w14:textId="21791411" w:rsidTr="00C456A0">
        <w:trPr>
          <w:trHeight w:val="278"/>
          <w:jc w:val="right"/>
        </w:trPr>
        <w:tc>
          <w:tcPr>
            <w:tcW w:w="3425" w:type="dxa"/>
            <w:shd w:val="clear" w:color="auto" w:fill="FFFFFF"/>
            <w:vAlign w:val="center"/>
          </w:tcPr>
          <w:p w14:paraId="2C0DA2C9" w14:textId="77777777" w:rsidR="00C456A0" w:rsidRPr="0019790A" w:rsidRDefault="00C456A0" w:rsidP="0019790A">
            <w:pPr>
              <w:rPr>
                <w:rFonts w:cs="Arial"/>
                <w:color w:val="000000"/>
                <w:szCs w:val="22"/>
              </w:rPr>
            </w:pPr>
            <w:r w:rsidRPr="0019790A">
              <w:rPr>
                <w:rFonts w:cs="Arial"/>
                <w:color w:val="000000"/>
                <w:szCs w:val="22"/>
              </w:rPr>
              <w:t>-інші джерела фінансування.</w:t>
            </w:r>
          </w:p>
        </w:tc>
        <w:tc>
          <w:tcPr>
            <w:tcW w:w="1290" w:type="dxa"/>
            <w:gridSpan w:val="2"/>
            <w:vAlign w:val="center"/>
          </w:tcPr>
          <w:p w14:paraId="222ABDCE" w14:textId="77777777" w:rsidR="00C456A0" w:rsidRPr="0019790A" w:rsidRDefault="00C456A0" w:rsidP="0019790A">
            <w:pPr>
              <w:jc w:val="both"/>
              <w:rPr>
                <w:rFonts w:cs="Arial"/>
                <w:color w:val="000000"/>
                <w:szCs w:val="22"/>
                <w:lang w:eastAsia="it-IT"/>
              </w:rPr>
            </w:pPr>
          </w:p>
        </w:tc>
        <w:tc>
          <w:tcPr>
            <w:tcW w:w="1365" w:type="dxa"/>
            <w:vAlign w:val="center"/>
          </w:tcPr>
          <w:p w14:paraId="22D7B5A7" w14:textId="77777777" w:rsidR="00C456A0" w:rsidRPr="0019790A" w:rsidRDefault="00C456A0" w:rsidP="0019790A">
            <w:pPr>
              <w:jc w:val="both"/>
              <w:rPr>
                <w:rFonts w:cs="Arial"/>
                <w:color w:val="000000"/>
                <w:szCs w:val="22"/>
                <w:lang w:eastAsia="it-IT"/>
              </w:rPr>
            </w:pPr>
          </w:p>
        </w:tc>
        <w:tc>
          <w:tcPr>
            <w:tcW w:w="1415" w:type="dxa"/>
            <w:gridSpan w:val="2"/>
            <w:vAlign w:val="center"/>
          </w:tcPr>
          <w:p w14:paraId="03CCB38D" w14:textId="77777777" w:rsidR="00C456A0" w:rsidRPr="0019790A" w:rsidRDefault="00C456A0" w:rsidP="0019790A">
            <w:pPr>
              <w:jc w:val="both"/>
              <w:rPr>
                <w:rFonts w:cs="Arial"/>
                <w:color w:val="000000"/>
                <w:szCs w:val="22"/>
                <w:lang w:eastAsia="it-IT"/>
              </w:rPr>
            </w:pPr>
          </w:p>
        </w:tc>
        <w:tc>
          <w:tcPr>
            <w:tcW w:w="1265" w:type="dxa"/>
            <w:gridSpan w:val="2"/>
            <w:vAlign w:val="center"/>
          </w:tcPr>
          <w:p w14:paraId="7CBEEE71" w14:textId="757E27E0" w:rsidR="00C456A0" w:rsidRPr="0019790A" w:rsidRDefault="00C456A0" w:rsidP="0019790A">
            <w:pPr>
              <w:jc w:val="both"/>
              <w:rPr>
                <w:rFonts w:cs="Arial"/>
                <w:color w:val="000000"/>
                <w:szCs w:val="22"/>
                <w:lang w:eastAsia="it-IT"/>
              </w:rPr>
            </w:pPr>
          </w:p>
        </w:tc>
        <w:tc>
          <w:tcPr>
            <w:tcW w:w="1459" w:type="dxa"/>
            <w:gridSpan w:val="2"/>
            <w:vAlign w:val="center"/>
          </w:tcPr>
          <w:p w14:paraId="3D039124" w14:textId="77777777" w:rsidR="00C456A0" w:rsidRPr="0019790A" w:rsidRDefault="00C456A0" w:rsidP="0019790A">
            <w:pPr>
              <w:jc w:val="both"/>
              <w:rPr>
                <w:rFonts w:cs="Arial"/>
                <w:color w:val="000000"/>
                <w:szCs w:val="22"/>
                <w:lang w:eastAsia="it-IT"/>
              </w:rPr>
            </w:pPr>
          </w:p>
        </w:tc>
      </w:tr>
      <w:tr w:rsidR="001002EC" w:rsidRPr="0019790A" w14:paraId="47FF6400" w14:textId="77777777" w:rsidTr="00B8248C">
        <w:trPr>
          <w:jc w:val="right"/>
        </w:trPr>
        <w:tc>
          <w:tcPr>
            <w:tcW w:w="3425" w:type="dxa"/>
            <w:shd w:val="clear" w:color="auto" w:fill="FFFFFF"/>
            <w:vAlign w:val="center"/>
          </w:tcPr>
          <w:p w14:paraId="59FA4C55" w14:textId="3AE63547" w:rsidR="001002EC" w:rsidRPr="0019790A" w:rsidRDefault="001002EC" w:rsidP="0019790A">
            <w:pPr>
              <w:rPr>
                <w:rFonts w:cs="Arial"/>
                <w:b/>
                <w:bCs/>
                <w:color w:val="000000"/>
                <w:szCs w:val="22"/>
              </w:rPr>
            </w:pPr>
            <w:r w:rsidRPr="0019790A">
              <w:rPr>
                <w:rFonts w:cs="Arial"/>
                <w:b/>
                <w:color w:val="000000"/>
                <w:szCs w:val="22"/>
              </w:rPr>
              <w:t xml:space="preserve">Ключові потенційні учасники реалізації </w:t>
            </w:r>
            <w:r w:rsidR="00314B9D">
              <w:rPr>
                <w:rFonts w:cs="Arial"/>
                <w:b/>
                <w:color w:val="000000"/>
                <w:szCs w:val="22"/>
              </w:rPr>
              <w:t>проєкту</w:t>
            </w:r>
            <w:r w:rsidRPr="0019790A">
              <w:rPr>
                <w:rFonts w:cs="Arial"/>
                <w:b/>
                <w:color w:val="000000"/>
                <w:szCs w:val="22"/>
              </w:rPr>
              <w:t>:</w:t>
            </w:r>
          </w:p>
        </w:tc>
        <w:tc>
          <w:tcPr>
            <w:tcW w:w="6794" w:type="dxa"/>
            <w:gridSpan w:val="9"/>
            <w:vAlign w:val="center"/>
          </w:tcPr>
          <w:p w14:paraId="00DD61D9" w14:textId="158C2FD5" w:rsidR="001002EC" w:rsidRPr="0019790A" w:rsidRDefault="001002EC" w:rsidP="00C456A0">
            <w:pPr>
              <w:jc w:val="both"/>
              <w:rPr>
                <w:rFonts w:cs="Arial"/>
                <w:color w:val="000000"/>
                <w:szCs w:val="22"/>
                <w:lang w:eastAsia="it-IT"/>
              </w:rPr>
            </w:pPr>
            <w:r w:rsidRPr="0019790A">
              <w:rPr>
                <w:rFonts w:cs="Arial"/>
                <w:color w:val="000000"/>
                <w:szCs w:val="22"/>
                <w:lang w:eastAsia="it-IT"/>
              </w:rPr>
              <w:t>КНП «Жмеринська ЦРЛ», Управління ЖКГ, Управління соціального захисту населення та охорони здоров’я</w:t>
            </w:r>
          </w:p>
        </w:tc>
      </w:tr>
      <w:tr w:rsidR="001002EC" w:rsidRPr="0019790A" w14:paraId="5668D03A" w14:textId="77777777" w:rsidTr="00B8248C">
        <w:trPr>
          <w:jc w:val="right"/>
        </w:trPr>
        <w:tc>
          <w:tcPr>
            <w:tcW w:w="3425" w:type="dxa"/>
            <w:shd w:val="clear" w:color="auto" w:fill="FFFFFF"/>
            <w:vAlign w:val="center"/>
          </w:tcPr>
          <w:p w14:paraId="2BAC2740" w14:textId="77777777" w:rsidR="001002EC" w:rsidRPr="0019790A" w:rsidRDefault="001002EC" w:rsidP="0019790A">
            <w:pPr>
              <w:rPr>
                <w:rFonts w:cs="Arial"/>
                <w:b/>
                <w:bCs/>
                <w:color w:val="000000"/>
                <w:szCs w:val="22"/>
              </w:rPr>
            </w:pPr>
            <w:r w:rsidRPr="0019790A">
              <w:rPr>
                <w:rFonts w:cs="Arial"/>
                <w:b/>
                <w:bCs/>
                <w:color w:val="000000"/>
                <w:szCs w:val="22"/>
              </w:rPr>
              <w:t>Інше:</w:t>
            </w:r>
          </w:p>
        </w:tc>
        <w:tc>
          <w:tcPr>
            <w:tcW w:w="6794" w:type="dxa"/>
            <w:gridSpan w:val="9"/>
            <w:vAlign w:val="center"/>
          </w:tcPr>
          <w:p w14:paraId="3DC8AB85" w14:textId="77777777" w:rsidR="001002EC" w:rsidRPr="0019790A" w:rsidRDefault="001002EC" w:rsidP="0019790A">
            <w:pPr>
              <w:rPr>
                <w:rFonts w:cs="Arial"/>
                <w:color w:val="000000"/>
                <w:szCs w:val="22"/>
                <w:lang w:eastAsia="it-IT"/>
              </w:rPr>
            </w:pPr>
          </w:p>
        </w:tc>
      </w:tr>
    </w:tbl>
    <w:p w14:paraId="0E0922C8" w14:textId="77777777" w:rsidR="001002EC" w:rsidRPr="0019790A" w:rsidRDefault="001002EC" w:rsidP="0019790A">
      <w:pPr>
        <w:rPr>
          <w:rFonts w:cs="Arial"/>
          <w:szCs w:val="22"/>
        </w:rPr>
      </w:pPr>
    </w:p>
    <w:p w14:paraId="623786A5" w14:textId="32A35EBB" w:rsidR="001002EC" w:rsidRPr="0019790A" w:rsidRDefault="001002EC" w:rsidP="0019790A">
      <w:pPr>
        <w:jc w:val="center"/>
        <w:rPr>
          <w:rFonts w:cs="Arial"/>
          <w:b/>
          <w:color w:val="000000"/>
          <w:szCs w:val="22"/>
        </w:rPr>
      </w:pPr>
      <w:r w:rsidRPr="0019790A">
        <w:rPr>
          <w:rFonts w:cs="Arial"/>
          <w:b/>
          <w:color w:val="000000"/>
          <w:szCs w:val="22"/>
        </w:rPr>
        <w:t xml:space="preserve">Форма технічного завдання на </w:t>
      </w:r>
      <w:r w:rsidR="00314B9D">
        <w:rPr>
          <w:rFonts w:cs="Arial"/>
          <w:b/>
          <w:color w:val="000000"/>
          <w:szCs w:val="22"/>
        </w:rPr>
        <w:t>проєкт</w:t>
      </w:r>
      <w:r w:rsidRPr="0019790A">
        <w:rPr>
          <w:rFonts w:cs="Arial"/>
          <w:b/>
          <w:color w:val="000000"/>
          <w:szCs w:val="22"/>
        </w:rPr>
        <w:t xml:space="preserve"> місцевого розвитку </w:t>
      </w:r>
    </w:p>
    <w:p w14:paraId="0735611B" w14:textId="77777777" w:rsidR="001002EC" w:rsidRPr="0019790A" w:rsidRDefault="001002EC" w:rsidP="0019790A">
      <w:pPr>
        <w:jc w:val="center"/>
        <w:rPr>
          <w:rFonts w:cs="Arial"/>
          <w:b/>
          <w:color w:val="000000"/>
          <w:szCs w:val="22"/>
        </w:rPr>
      </w:pPr>
      <w:r w:rsidRPr="0019790A">
        <w:rPr>
          <w:rFonts w:cs="Arial"/>
          <w:b/>
          <w:color w:val="000000"/>
          <w:szCs w:val="22"/>
        </w:rPr>
        <w:t>до Плану заходів з реалізації Стратегії</w:t>
      </w:r>
    </w:p>
    <w:p w14:paraId="25DAFCBC" w14:textId="77777777" w:rsidR="001002EC" w:rsidRPr="0019790A" w:rsidRDefault="001002EC"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23"/>
        <w:gridCol w:w="1377"/>
        <w:gridCol w:w="17"/>
        <w:gridCol w:w="1418"/>
        <w:gridCol w:w="18"/>
        <w:gridCol w:w="1257"/>
        <w:gridCol w:w="45"/>
        <w:gridCol w:w="1385"/>
      </w:tblGrid>
      <w:tr w:rsidR="001002EC" w:rsidRPr="0019790A" w14:paraId="1882123F" w14:textId="77777777" w:rsidTr="00C456A0">
        <w:trPr>
          <w:trHeight w:val="435"/>
          <w:jc w:val="right"/>
        </w:trPr>
        <w:tc>
          <w:tcPr>
            <w:tcW w:w="3425" w:type="dxa"/>
          </w:tcPr>
          <w:p w14:paraId="5D1E8D6A" w14:textId="2D9DA437" w:rsidR="001002EC" w:rsidRPr="0019790A" w:rsidRDefault="001002EC" w:rsidP="0019790A">
            <w:pPr>
              <w:rPr>
                <w:rFonts w:cs="Arial"/>
                <w:b/>
                <w:szCs w:val="22"/>
              </w:rPr>
            </w:pPr>
            <w:r w:rsidRPr="0019790A">
              <w:rPr>
                <w:rFonts w:cs="Arial"/>
                <w:b/>
                <w:szCs w:val="22"/>
              </w:rPr>
              <w:t xml:space="preserve">Назва </w:t>
            </w:r>
            <w:r w:rsidR="00314B9D">
              <w:rPr>
                <w:rFonts w:cs="Arial"/>
                <w:b/>
                <w:szCs w:val="22"/>
              </w:rPr>
              <w:t>проєкту</w:t>
            </w:r>
            <w:r w:rsidRPr="0019790A">
              <w:rPr>
                <w:rFonts w:cs="Arial"/>
                <w:b/>
                <w:szCs w:val="22"/>
              </w:rPr>
              <w:t>:</w:t>
            </w:r>
          </w:p>
        </w:tc>
        <w:tc>
          <w:tcPr>
            <w:tcW w:w="6794" w:type="dxa"/>
            <w:gridSpan w:val="9"/>
            <w:vAlign w:val="center"/>
          </w:tcPr>
          <w:p w14:paraId="78240288" w14:textId="77777777" w:rsidR="001002EC" w:rsidRPr="0019790A" w:rsidRDefault="001002EC" w:rsidP="00C456A0">
            <w:pPr>
              <w:jc w:val="both"/>
              <w:rPr>
                <w:rFonts w:cs="Arial"/>
                <w:b/>
                <w:szCs w:val="22"/>
              </w:rPr>
            </w:pPr>
            <w:r w:rsidRPr="0019790A">
              <w:rPr>
                <w:rFonts w:cs="Arial"/>
                <w:b/>
                <w:szCs w:val="22"/>
              </w:rPr>
              <w:t>Капітальний ремонт приміщення поліклініки</w:t>
            </w:r>
          </w:p>
        </w:tc>
      </w:tr>
      <w:tr w:rsidR="001002EC" w:rsidRPr="0019790A" w14:paraId="2738146A" w14:textId="77777777" w:rsidTr="00C456A0">
        <w:trPr>
          <w:jc w:val="right"/>
        </w:trPr>
        <w:tc>
          <w:tcPr>
            <w:tcW w:w="3425" w:type="dxa"/>
          </w:tcPr>
          <w:p w14:paraId="5102B1A9" w14:textId="77777777" w:rsidR="001002EC" w:rsidRPr="0019790A" w:rsidRDefault="001002EC"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6F6671C4" w14:textId="77777777" w:rsidR="001002EC" w:rsidRPr="0019790A" w:rsidRDefault="001002EC"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9"/>
            <w:vAlign w:val="center"/>
          </w:tcPr>
          <w:p w14:paraId="48275015" w14:textId="77777777" w:rsidR="001002EC" w:rsidRPr="0019790A" w:rsidRDefault="001002EC" w:rsidP="00C456A0">
            <w:pPr>
              <w:jc w:val="both"/>
              <w:rPr>
                <w:rFonts w:cs="Arial"/>
                <w:szCs w:val="22"/>
                <w:lang w:eastAsia="it-IT"/>
              </w:rPr>
            </w:pPr>
            <w:r w:rsidRPr="0019790A">
              <w:rPr>
                <w:rFonts w:cs="Arial"/>
                <w:szCs w:val="22"/>
                <w:lang w:eastAsia="it-IT"/>
              </w:rPr>
              <w:t>Комунальне некомерційне підприємство «Жмеринська центральна районна лікарня» Жмеринської міської ради</w:t>
            </w:r>
          </w:p>
        </w:tc>
      </w:tr>
      <w:tr w:rsidR="001002EC" w:rsidRPr="0019790A" w14:paraId="1FEFF654" w14:textId="77777777" w:rsidTr="00C456A0">
        <w:trPr>
          <w:jc w:val="right"/>
        </w:trPr>
        <w:tc>
          <w:tcPr>
            <w:tcW w:w="3425" w:type="dxa"/>
          </w:tcPr>
          <w:p w14:paraId="2D73F7BB" w14:textId="77777777" w:rsidR="001002EC" w:rsidRPr="0019790A" w:rsidRDefault="001002EC" w:rsidP="0019790A">
            <w:pPr>
              <w:rPr>
                <w:rFonts w:cs="Arial"/>
                <w:b/>
                <w:bCs/>
                <w:szCs w:val="22"/>
              </w:rPr>
            </w:pPr>
            <w:r w:rsidRPr="0019790A">
              <w:rPr>
                <w:rFonts w:cs="Arial"/>
                <w:szCs w:val="22"/>
                <w:lang w:eastAsia="it-IT"/>
              </w:rPr>
              <w:t>Прізвище Ім’я По-батькові:</w:t>
            </w:r>
          </w:p>
        </w:tc>
        <w:tc>
          <w:tcPr>
            <w:tcW w:w="6794" w:type="dxa"/>
            <w:gridSpan w:val="9"/>
            <w:vAlign w:val="center"/>
          </w:tcPr>
          <w:p w14:paraId="54F396E0" w14:textId="77777777" w:rsidR="001002EC" w:rsidRPr="0019790A" w:rsidRDefault="001002EC" w:rsidP="00C456A0">
            <w:pPr>
              <w:jc w:val="both"/>
              <w:rPr>
                <w:rFonts w:cs="Arial"/>
                <w:szCs w:val="22"/>
                <w:lang w:eastAsia="it-IT"/>
              </w:rPr>
            </w:pPr>
            <w:r w:rsidRPr="0019790A">
              <w:rPr>
                <w:rFonts w:cs="Arial"/>
                <w:szCs w:val="22"/>
                <w:lang w:eastAsia="it-IT"/>
              </w:rPr>
              <w:t>Боровський Ростислав Васильович</w:t>
            </w:r>
          </w:p>
        </w:tc>
      </w:tr>
      <w:tr w:rsidR="001002EC" w:rsidRPr="0019790A" w14:paraId="718F9528" w14:textId="77777777" w:rsidTr="00C456A0">
        <w:trPr>
          <w:jc w:val="right"/>
        </w:trPr>
        <w:tc>
          <w:tcPr>
            <w:tcW w:w="3425" w:type="dxa"/>
          </w:tcPr>
          <w:p w14:paraId="53C9BE05" w14:textId="77777777" w:rsidR="001002EC" w:rsidRPr="0019790A" w:rsidRDefault="001002EC" w:rsidP="0019790A">
            <w:pPr>
              <w:rPr>
                <w:rFonts w:cs="Arial"/>
                <w:b/>
                <w:bCs/>
                <w:szCs w:val="22"/>
              </w:rPr>
            </w:pPr>
            <w:r w:rsidRPr="0019790A">
              <w:rPr>
                <w:rFonts w:cs="Arial"/>
                <w:szCs w:val="22"/>
                <w:lang w:eastAsia="it-IT"/>
              </w:rPr>
              <w:t>Телефон (мобільний):</w:t>
            </w:r>
          </w:p>
        </w:tc>
        <w:tc>
          <w:tcPr>
            <w:tcW w:w="6794" w:type="dxa"/>
            <w:gridSpan w:val="9"/>
            <w:vAlign w:val="center"/>
          </w:tcPr>
          <w:p w14:paraId="7D8BA6EC" w14:textId="77777777" w:rsidR="001002EC" w:rsidRPr="0019790A" w:rsidRDefault="001002EC" w:rsidP="00C456A0">
            <w:pPr>
              <w:jc w:val="both"/>
              <w:rPr>
                <w:rFonts w:cs="Arial"/>
                <w:szCs w:val="22"/>
                <w:lang w:eastAsia="it-IT"/>
              </w:rPr>
            </w:pPr>
            <w:r w:rsidRPr="0019790A">
              <w:rPr>
                <w:rFonts w:cs="Arial"/>
                <w:szCs w:val="22"/>
                <w:lang w:eastAsia="it-IT"/>
              </w:rPr>
              <w:t>0978652320</w:t>
            </w:r>
          </w:p>
        </w:tc>
      </w:tr>
      <w:tr w:rsidR="001002EC" w:rsidRPr="0019790A" w14:paraId="46C92368" w14:textId="77777777" w:rsidTr="00C456A0">
        <w:trPr>
          <w:jc w:val="right"/>
        </w:trPr>
        <w:tc>
          <w:tcPr>
            <w:tcW w:w="3425" w:type="dxa"/>
          </w:tcPr>
          <w:p w14:paraId="2C5A0F40" w14:textId="77777777" w:rsidR="001002EC" w:rsidRPr="0019790A" w:rsidRDefault="001002EC" w:rsidP="0019790A">
            <w:pPr>
              <w:rPr>
                <w:rFonts w:cs="Arial"/>
                <w:b/>
                <w:bCs/>
                <w:szCs w:val="22"/>
              </w:rPr>
            </w:pPr>
            <w:r w:rsidRPr="0019790A">
              <w:rPr>
                <w:rFonts w:cs="Arial"/>
                <w:szCs w:val="22"/>
                <w:lang w:eastAsia="it-IT"/>
              </w:rPr>
              <w:t>Електронна адреса:</w:t>
            </w:r>
          </w:p>
        </w:tc>
        <w:tc>
          <w:tcPr>
            <w:tcW w:w="6794" w:type="dxa"/>
            <w:gridSpan w:val="9"/>
            <w:vAlign w:val="center"/>
          </w:tcPr>
          <w:p w14:paraId="1607DD80" w14:textId="45A6C44C" w:rsidR="001002EC" w:rsidRPr="0019790A" w:rsidRDefault="00D85FFD" w:rsidP="00C456A0">
            <w:pPr>
              <w:jc w:val="both"/>
              <w:rPr>
                <w:rFonts w:cs="Arial"/>
                <w:szCs w:val="22"/>
                <w:lang w:eastAsia="it-IT"/>
              </w:rPr>
            </w:pPr>
            <w:hyperlink r:id="rId126" w:history="1">
              <w:r w:rsidR="00C456A0" w:rsidRPr="00BF0394">
                <w:rPr>
                  <w:rStyle w:val="af0"/>
                  <w:rFonts w:cs="Arial"/>
                  <w:noProof w:val="0"/>
                  <w:sz w:val="22"/>
                  <w:szCs w:val="22"/>
                  <w:lang w:eastAsia="it-IT"/>
                </w:rPr>
                <w:t>zhcrl@ukr.net</w:t>
              </w:r>
            </w:hyperlink>
            <w:r w:rsidR="00C456A0">
              <w:rPr>
                <w:rFonts w:cs="Arial"/>
                <w:szCs w:val="22"/>
                <w:lang w:eastAsia="it-IT"/>
              </w:rPr>
              <w:t xml:space="preserve"> </w:t>
            </w:r>
          </w:p>
        </w:tc>
      </w:tr>
      <w:tr w:rsidR="001002EC" w:rsidRPr="0019790A" w14:paraId="09A60289" w14:textId="77777777" w:rsidTr="00C456A0">
        <w:trPr>
          <w:jc w:val="right"/>
        </w:trPr>
        <w:tc>
          <w:tcPr>
            <w:tcW w:w="3425" w:type="dxa"/>
            <w:vAlign w:val="center"/>
          </w:tcPr>
          <w:p w14:paraId="2D60378E" w14:textId="08DCC4B8" w:rsidR="001002EC" w:rsidRPr="0019790A" w:rsidRDefault="001002EC" w:rsidP="0019790A">
            <w:pPr>
              <w:pStyle w:val="6"/>
              <w:spacing w:before="0" w:after="0"/>
              <w:rPr>
                <w:rFonts w:ascii="Arial" w:hAnsi="Arial" w:cs="Arial"/>
                <w:color w:val="000000"/>
                <w:lang w:val="uk-UA"/>
              </w:rPr>
            </w:pPr>
            <w:r w:rsidRPr="0019790A">
              <w:rPr>
                <w:rFonts w:ascii="Arial" w:hAnsi="Arial" w:cs="Arial"/>
                <w:color w:val="000000"/>
                <w:lang w:val="uk-UA"/>
              </w:rPr>
              <w:t>Номер і назва завдання з Стратегії</w:t>
            </w:r>
            <w:r w:rsidRPr="0019790A">
              <w:rPr>
                <w:rFonts w:ascii="Arial" w:hAnsi="Arial" w:cs="Arial"/>
                <w:lang w:val="uk-UA" w:eastAsia="it-IT"/>
              </w:rPr>
              <w:t xml:space="preserve"> </w:t>
            </w:r>
            <w:r w:rsidRPr="0019790A">
              <w:rPr>
                <w:rFonts w:ascii="Arial" w:hAnsi="Arial" w:cs="Arial"/>
                <w:color w:val="000000"/>
                <w:lang w:val="uk-UA"/>
              </w:rPr>
              <w:t xml:space="preserve">розвитку Жмеринської міської територіальної громади,  якому відповідає </w:t>
            </w:r>
            <w:r w:rsidR="00314B9D">
              <w:rPr>
                <w:rFonts w:ascii="Arial" w:hAnsi="Arial" w:cs="Arial"/>
                <w:color w:val="000000"/>
                <w:lang w:val="uk-UA"/>
              </w:rPr>
              <w:t>проєкт</w:t>
            </w:r>
            <w:r w:rsidRPr="0019790A">
              <w:rPr>
                <w:rFonts w:ascii="Arial" w:hAnsi="Arial" w:cs="Arial"/>
                <w:color w:val="000000"/>
                <w:lang w:val="uk-UA"/>
              </w:rPr>
              <w:t>:</w:t>
            </w:r>
          </w:p>
        </w:tc>
        <w:tc>
          <w:tcPr>
            <w:tcW w:w="6794" w:type="dxa"/>
            <w:gridSpan w:val="9"/>
            <w:vAlign w:val="center"/>
          </w:tcPr>
          <w:p w14:paraId="38A0BE01" w14:textId="1CCAE0E9" w:rsidR="001002EC" w:rsidRPr="00C456A0" w:rsidRDefault="001002EC" w:rsidP="00C456A0">
            <w:pPr>
              <w:pBdr>
                <w:left w:val="single" w:sz="18" w:space="4" w:color="auto"/>
              </w:pBdr>
              <w:jc w:val="both"/>
              <w:rPr>
                <w:rFonts w:cs="Arial"/>
                <w:iCs/>
                <w:szCs w:val="22"/>
                <w:lang w:eastAsia="it-IT"/>
              </w:rPr>
            </w:pPr>
            <w:r w:rsidRPr="0019790A">
              <w:rPr>
                <w:rFonts w:cs="Arial"/>
                <w:iCs/>
                <w:szCs w:val="22"/>
                <w:lang w:eastAsia="it-IT"/>
              </w:rPr>
              <w:t>С.2.Забезпечення доступу до якісної системи охорони здоров’я</w:t>
            </w:r>
          </w:p>
        </w:tc>
      </w:tr>
      <w:tr w:rsidR="001002EC" w:rsidRPr="0019790A" w14:paraId="2684A0AF" w14:textId="77777777" w:rsidTr="00C456A0">
        <w:trPr>
          <w:trHeight w:val="501"/>
          <w:jc w:val="right"/>
        </w:trPr>
        <w:tc>
          <w:tcPr>
            <w:tcW w:w="3425" w:type="dxa"/>
            <w:vAlign w:val="center"/>
          </w:tcPr>
          <w:p w14:paraId="40BBF0E6" w14:textId="2075BBD8" w:rsidR="001002EC" w:rsidRPr="0019790A" w:rsidRDefault="001002EC" w:rsidP="0019790A">
            <w:pPr>
              <w:rPr>
                <w:rFonts w:cs="Arial"/>
                <w:b/>
                <w:bCs/>
                <w:color w:val="000000"/>
                <w:szCs w:val="22"/>
              </w:rPr>
            </w:pPr>
            <w:r w:rsidRPr="0019790A">
              <w:rPr>
                <w:rFonts w:cs="Arial"/>
                <w:b/>
                <w:bCs/>
                <w:color w:val="000000"/>
                <w:szCs w:val="22"/>
              </w:rPr>
              <w:t xml:space="preserve">Мета </w:t>
            </w:r>
            <w:r w:rsidR="00314B9D">
              <w:rPr>
                <w:rFonts w:cs="Arial"/>
                <w:b/>
                <w:bCs/>
                <w:color w:val="000000"/>
                <w:szCs w:val="22"/>
              </w:rPr>
              <w:t>проєкту</w:t>
            </w:r>
            <w:r w:rsidRPr="0019790A">
              <w:rPr>
                <w:rFonts w:cs="Arial"/>
                <w:b/>
                <w:bCs/>
                <w:color w:val="000000"/>
                <w:szCs w:val="22"/>
              </w:rPr>
              <w:t>:</w:t>
            </w:r>
          </w:p>
        </w:tc>
        <w:tc>
          <w:tcPr>
            <w:tcW w:w="6794" w:type="dxa"/>
            <w:gridSpan w:val="9"/>
            <w:vAlign w:val="center"/>
          </w:tcPr>
          <w:p w14:paraId="05158B10" w14:textId="77777777" w:rsidR="001002EC" w:rsidRPr="0019790A" w:rsidRDefault="001002EC" w:rsidP="00C456A0">
            <w:pPr>
              <w:jc w:val="both"/>
              <w:rPr>
                <w:rFonts w:cs="Arial"/>
                <w:szCs w:val="22"/>
                <w:lang w:eastAsia="it-IT"/>
              </w:rPr>
            </w:pPr>
            <w:r w:rsidRPr="0019790A">
              <w:rPr>
                <w:rFonts w:cs="Arial"/>
                <w:szCs w:val="22"/>
                <w:lang w:eastAsia="it-IT"/>
              </w:rPr>
              <w:t>Створити сприятливі  умови  для перебування  пацієнтів в лікувальному закладі та роботи  персоналу</w:t>
            </w:r>
          </w:p>
        </w:tc>
      </w:tr>
      <w:tr w:rsidR="001002EC" w:rsidRPr="0019790A" w14:paraId="1C1F1BC2" w14:textId="77777777" w:rsidTr="00C456A0">
        <w:trPr>
          <w:trHeight w:val="379"/>
          <w:jc w:val="right"/>
        </w:trPr>
        <w:tc>
          <w:tcPr>
            <w:tcW w:w="3425" w:type="dxa"/>
            <w:vAlign w:val="center"/>
          </w:tcPr>
          <w:p w14:paraId="49151212" w14:textId="1B71E91A" w:rsidR="001002EC" w:rsidRPr="0019790A" w:rsidRDefault="001002EC" w:rsidP="0019790A">
            <w:pPr>
              <w:rPr>
                <w:rFonts w:cs="Arial"/>
                <w:b/>
                <w:bCs/>
                <w:color w:val="000000"/>
                <w:szCs w:val="22"/>
              </w:rPr>
            </w:pPr>
            <w:r w:rsidRPr="0019790A">
              <w:rPr>
                <w:rFonts w:cs="Arial"/>
                <w:b/>
                <w:bCs/>
                <w:color w:val="000000"/>
                <w:szCs w:val="22"/>
              </w:rPr>
              <w:t xml:space="preserve">Цілі </w:t>
            </w:r>
            <w:r w:rsidR="00314B9D">
              <w:rPr>
                <w:rFonts w:cs="Arial"/>
                <w:b/>
                <w:bCs/>
                <w:color w:val="000000"/>
                <w:szCs w:val="22"/>
              </w:rPr>
              <w:t>проєкту</w:t>
            </w:r>
            <w:r w:rsidRPr="0019790A">
              <w:rPr>
                <w:rFonts w:cs="Arial"/>
                <w:b/>
                <w:bCs/>
                <w:color w:val="000000"/>
                <w:szCs w:val="22"/>
              </w:rPr>
              <w:t>:</w:t>
            </w:r>
          </w:p>
        </w:tc>
        <w:tc>
          <w:tcPr>
            <w:tcW w:w="6794" w:type="dxa"/>
            <w:gridSpan w:val="9"/>
            <w:vAlign w:val="center"/>
          </w:tcPr>
          <w:p w14:paraId="486314BB" w14:textId="77777777" w:rsidR="001002EC" w:rsidRPr="0019790A" w:rsidRDefault="001002EC" w:rsidP="00C456A0">
            <w:pPr>
              <w:jc w:val="both"/>
              <w:rPr>
                <w:rFonts w:cs="Arial"/>
                <w:szCs w:val="22"/>
                <w:lang w:eastAsia="it-IT"/>
              </w:rPr>
            </w:pPr>
            <w:r w:rsidRPr="0019790A">
              <w:rPr>
                <w:rFonts w:cs="Arial"/>
                <w:szCs w:val="22"/>
                <w:lang w:eastAsia="it-IT"/>
              </w:rPr>
              <w:t>Комфортне перебування  пацієнтів в лікувальному закладі, покращення умов праці персоналу</w:t>
            </w:r>
          </w:p>
        </w:tc>
      </w:tr>
      <w:tr w:rsidR="001002EC" w:rsidRPr="0019790A" w14:paraId="1A0818EC" w14:textId="77777777" w:rsidTr="00C456A0">
        <w:trPr>
          <w:trHeight w:val="697"/>
          <w:jc w:val="right"/>
        </w:trPr>
        <w:tc>
          <w:tcPr>
            <w:tcW w:w="3425" w:type="dxa"/>
            <w:vAlign w:val="center"/>
          </w:tcPr>
          <w:p w14:paraId="7078A270" w14:textId="233675CC" w:rsidR="001002EC" w:rsidRPr="0019790A" w:rsidRDefault="001002EC" w:rsidP="0019790A">
            <w:pPr>
              <w:autoSpaceDE w:val="0"/>
              <w:autoSpaceDN w:val="0"/>
              <w:adjustRightInd w:val="0"/>
              <w:rPr>
                <w:rFonts w:cs="Arial"/>
                <w:b/>
                <w:color w:val="000000"/>
                <w:szCs w:val="22"/>
              </w:rPr>
            </w:pPr>
            <w:r w:rsidRPr="0019790A">
              <w:rPr>
                <w:rFonts w:cs="Arial"/>
                <w:b/>
                <w:color w:val="000000"/>
                <w:szCs w:val="22"/>
              </w:rPr>
              <w:t xml:space="preserve">Територія на яку </w:t>
            </w:r>
            <w:r w:rsidR="00314B9D">
              <w:rPr>
                <w:rFonts w:cs="Arial"/>
                <w:b/>
                <w:color w:val="000000"/>
                <w:szCs w:val="22"/>
              </w:rPr>
              <w:t>проєкт</w:t>
            </w:r>
            <w:r w:rsidRPr="0019790A">
              <w:rPr>
                <w:rFonts w:cs="Arial"/>
                <w:b/>
                <w:color w:val="000000"/>
                <w:szCs w:val="22"/>
              </w:rPr>
              <w:t xml:space="preserve"> матиме вплив:</w:t>
            </w:r>
          </w:p>
        </w:tc>
        <w:tc>
          <w:tcPr>
            <w:tcW w:w="6794" w:type="dxa"/>
            <w:gridSpan w:val="9"/>
            <w:vAlign w:val="center"/>
          </w:tcPr>
          <w:p w14:paraId="5EFC8F08" w14:textId="3C6F52AD" w:rsidR="001002EC" w:rsidRPr="0019790A" w:rsidRDefault="001002EC" w:rsidP="00C456A0">
            <w:pPr>
              <w:jc w:val="both"/>
              <w:rPr>
                <w:rFonts w:cs="Arial"/>
                <w:szCs w:val="22"/>
                <w:lang w:eastAsia="it-IT"/>
              </w:rPr>
            </w:pPr>
            <w:r w:rsidRPr="0019790A">
              <w:rPr>
                <w:rFonts w:cs="Arial"/>
                <w:szCs w:val="22"/>
                <w:lang w:eastAsia="it-IT"/>
              </w:rPr>
              <w:t xml:space="preserve">Територія </w:t>
            </w:r>
            <w:r w:rsidR="00C456A0" w:rsidRPr="0019790A">
              <w:rPr>
                <w:rFonts w:cs="Arial"/>
                <w:szCs w:val="22"/>
                <w:lang w:eastAsia="it-IT"/>
              </w:rPr>
              <w:t>Жмеринської</w:t>
            </w:r>
            <w:r w:rsidRPr="0019790A">
              <w:rPr>
                <w:rFonts w:cs="Arial"/>
                <w:szCs w:val="22"/>
                <w:lang w:eastAsia="it-IT"/>
              </w:rPr>
              <w:t xml:space="preserve"> </w:t>
            </w:r>
            <w:r w:rsidR="00C456A0" w:rsidRPr="0019790A">
              <w:rPr>
                <w:rFonts w:cs="Arial"/>
                <w:szCs w:val="22"/>
                <w:lang w:eastAsia="it-IT"/>
              </w:rPr>
              <w:t>міської</w:t>
            </w:r>
            <w:r w:rsidRPr="0019790A">
              <w:rPr>
                <w:rFonts w:cs="Arial"/>
                <w:szCs w:val="22"/>
                <w:lang w:eastAsia="it-IT"/>
              </w:rPr>
              <w:t xml:space="preserve"> </w:t>
            </w:r>
            <w:r w:rsidR="00C456A0" w:rsidRPr="0019790A">
              <w:rPr>
                <w:rFonts w:cs="Arial"/>
                <w:szCs w:val="22"/>
                <w:lang w:eastAsia="it-IT"/>
              </w:rPr>
              <w:t>територіальної</w:t>
            </w:r>
            <w:r w:rsidRPr="0019790A">
              <w:rPr>
                <w:rFonts w:cs="Arial"/>
                <w:szCs w:val="22"/>
                <w:lang w:eastAsia="it-IT"/>
              </w:rPr>
              <w:t xml:space="preserve"> громади площею 530,5 кв.км.</w:t>
            </w:r>
          </w:p>
        </w:tc>
      </w:tr>
      <w:tr w:rsidR="001002EC" w:rsidRPr="0019790A" w14:paraId="2AB8B676" w14:textId="77777777" w:rsidTr="00C456A0">
        <w:trPr>
          <w:trHeight w:val="692"/>
          <w:jc w:val="right"/>
        </w:trPr>
        <w:tc>
          <w:tcPr>
            <w:tcW w:w="3425" w:type="dxa"/>
            <w:vAlign w:val="center"/>
          </w:tcPr>
          <w:p w14:paraId="43B0E89B" w14:textId="77777777" w:rsidR="001002EC" w:rsidRPr="0019790A" w:rsidRDefault="001002EC" w:rsidP="0019790A">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4" w:type="dxa"/>
            <w:gridSpan w:val="9"/>
            <w:vAlign w:val="center"/>
          </w:tcPr>
          <w:p w14:paraId="74D85819" w14:textId="77777777" w:rsidR="001002EC" w:rsidRPr="0019790A" w:rsidRDefault="001002EC" w:rsidP="00C456A0">
            <w:pPr>
              <w:jc w:val="both"/>
              <w:rPr>
                <w:rFonts w:cs="Arial"/>
                <w:szCs w:val="22"/>
                <w:lang w:eastAsia="it-IT"/>
              </w:rPr>
            </w:pPr>
            <w:r w:rsidRPr="0019790A">
              <w:rPr>
                <w:rFonts w:cs="Arial"/>
                <w:szCs w:val="22"/>
                <w:lang w:eastAsia="it-IT"/>
              </w:rPr>
              <w:t>170 тис.осіб дорослого та дитячого населення</w:t>
            </w:r>
          </w:p>
        </w:tc>
      </w:tr>
      <w:tr w:rsidR="001002EC" w:rsidRPr="0019790A" w14:paraId="53DD65CB" w14:textId="77777777" w:rsidTr="00C456A0">
        <w:trPr>
          <w:jc w:val="right"/>
        </w:trPr>
        <w:tc>
          <w:tcPr>
            <w:tcW w:w="3425" w:type="dxa"/>
            <w:shd w:val="clear" w:color="auto" w:fill="FFFFFF"/>
            <w:vAlign w:val="center"/>
          </w:tcPr>
          <w:p w14:paraId="0B3C9E9E" w14:textId="63701614" w:rsidR="001002EC" w:rsidRPr="0019790A" w:rsidRDefault="001002EC" w:rsidP="0019790A">
            <w:pPr>
              <w:rPr>
                <w:rFonts w:cs="Arial"/>
                <w:b/>
                <w:bCs/>
                <w:color w:val="000000"/>
                <w:szCs w:val="22"/>
              </w:rPr>
            </w:pPr>
            <w:r w:rsidRPr="0019790A">
              <w:rPr>
                <w:rFonts w:cs="Arial"/>
                <w:b/>
                <w:bCs/>
                <w:color w:val="000000"/>
                <w:szCs w:val="22"/>
              </w:rPr>
              <w:t xml:space="preserve">Стислий опис </w:t>
            </w:r>
            <w:r w:rsidR="00314B9D">
              <w:rPr>
                <w:rFonts w:cs="Arial"/>
                <w:b/>
                <w:bCs/>
                <w:color w:val="000000"/>
                <w:szCs w:val="22"/>
              </w:rPr>
              <w:t>проєкту</w:t>
            </w:r>
            <w:r w:rsidRPr="0019790A">
              <w:rPr>
                <w:rFonts w:cs="Arial"/>
                <w:b/>
                <w:bCs/>
                <w:color w:val="000000"/>
                <w:szCs w:val="22"/>
              </w:rPr>
              <w:t>:</w:t>
            </w:r>
          </w:p>
        </w:tc>
        <w:tc>
          <w:tcPr>
            <w:tcW w:w="6794" w:type="dxa"/>
            <w:gridSpan w:val="9"/>
            <w:vAlign w:val="center"/>
          </w:tcPr>
          <w:p w14:paraId="2F9DCD65" w14:textId="3A243BA6" w:rsidR="001002EC" w:rsidRPr="0019790A" w:rsidRDefault="00C456A0" w:rsidP="00C456A0">
            <w:pPr>
              <w:jc w:val="both"/>
              <w:rPr>
                <w:rFonts w:cs="Arial"/>
                <w:szCs w:val="22"/>
                <w:lang w:eastAsia="it-IT"/>
              </w:rPr>
            </w:pPr>
            <w:r w:rsidRPr="0019790A">
              <w:rPr>
                <w:rFonts w:cs="Arial"/>
                <w:szCs w:val="22"/>
                <w:lang w:eastAsia="it-IT"/>
              </w:rPr>
              <w:t>Капітальний</w:t>
            </w:r>
            <w:r w:rsidR="001002EC" w:rsidRPr="0019790A">
              <w:rPr>
                <w:rFonts w:cs="Arial"/>
                <w:szCs w:val="22"/>
                <w:lang w:eastAsia="it-IT"/>
              </w:rPr>
              <w:t xml:space="preserve"> ремонт приміщення поліклініки</w:t>
            </w:r>
          </w:p>
        </w:tc>
      </w:tr>
      <w:tr w:rsidR="001002EC" w:rsidRPr="0019790A" w14:paraId="47E0B25E" w14:textId="77777777" w:rsidTr="00C456A0">
        <w:trPr>
          <w:trHeight w:val="538"/>
          <w:jc w:val="right"/>
        </w:trPr>
        <w:tc>
          <w:tcPr>
            <w:tcW w:w="3425" w:type="dxa"/>
            <w:shd w:val="clear" w:color="auto" w:fill="FFFFFF"/>
            <w:vAlign w:val="center"/>
          </w:tcPr>
          <w:p w14:paraId="6F970F3C" w14:textId="77777777" w:rsidR="001002EC" w:rsidRPr="0019790A" w:rsidRDefault="001002EC" w:rsidP="0019790A">
            <w:pPr>
              <w:rPr>
                <w:rFonts w:cs="Arial"/>
                <w:b/>
                <w:bCs/>
                <w:color w:val="000000"/>
                <w:szCs w:val="22"/>
              </w:rPr>
            </w:pPr>
            <w:r w:rsidRPr="0019790A">
              <w:rPr>
                <w:rFonts w:cs="Arial"/>
                <w:b/>
                <w:bCs/>
                <w:color w:val="000000"/>
                <w:szCs w:val="22"/>
              </w:rPr>
              <w:t>Основні заходи проєкту</w:t>
            </w:r>
          </w:p>
        </w:tc>
        <w:tc>
          <w:tcPr>
            <w:tcW w:w="6794" w:type="dxa"/>
            <w:gridSpan w:val="9"/>
            <w:shd w:val="clear" w:color="auto" w:fill="FFFFFF"/>
            <w:vAlign w:val="center"/>
          </w:tcPr>
          <w:p w14:paraId="11305F9E" w14:textId="77777777" w:rsidR="001002EC" w:rsidRPr="0019790A" w:rsidRDefault="001002EC" w:rsidP="00C456A0">
            <w:pPr>
              <w:jc w:val="both"/>
              <w:rPr>
                <w:rFonts w:cs="Arial"/>
                <w:szCs w:val="22"/>
                <w:lang w:eastAsia="it-IT"/>
              </w:rPr>
            </w:pPr>
            <w:r w:rsidRPr="0019790A">
              <w:rPr>
                <w:rFonts w:cs="Arial"/>
                <w:szCs w:val="22"/>
                <w:lang w:eastAsia="it-IT"/>
              </w:rPr>
              <w:t>- створення робочої групи проєкту;</w:t>
            </w:r>
          </w:p>
          <w:p w14:paraId="07D0FCC1" w14:textId="77777777" w:rsidR="001002EC" w:rsidRPr="0019790A" w:rsidRDefault="001002EC" w:rsidP="00C456A0">
            <w:pPr>
              <w:jc w:val="both"/>
              <w:rPr>
                <w:rFonts w:cs="Arial"/>
                <w:szCs w:val="22"/>
                <w:lang w:eastAsia="it-IT"/>
              </w:rPr>
            </w:pPr>
            <w:r w:rsidRPr="0019790A">
              <w:rPr>
                <w:rFonts w:cs="Arial"/>
                <w:szCs w:val="22"/>
                <w:lang w:eastAsia="it-IT"/>
              </w:rPr>
              <w:t xml:space="preserve">- організація капітального ремонту </w:t>
            </w:r>
            <w:r w:rsidRPr="0019790A">
              <w:rPr>
                <w:rFonts w:cs="Arial"/>
                <w:szCs w:val="22"/>
              </w:rPr>
              <w:t xml:space="preserve"> приміщення поліклініки</w:t>
            </w:r>
            <w:r w:rsidRPr="0019790A">
              <w:rPr>
                <w:rFonts w:cs="Arial"/>
                <w:szCs w:val="22"/>
                <w:lang w:eastAsia="it-IT"/>
              </w:rPr>
              <w:t xml:space="preserve"> </w:t>
            </w:r>
          </w:p>
          <w:p w14:paraId="777D2F1C" w14:textId="77777777" w:rsidR="001002EC" w:rsidRPr="0019790A" w:rsidRDefault="001002EC" w:rsidP="00C456A0">
            <w:pPr>
              <w:jc w:val="both"/>
              <w:rPr>
                <w:rFonts w:cs="Arial"/>
                <w:szCs w:val="22"/>
                <w:lang w:eastAsia="it-IT"/>
              </w:rPr>
            </w:pPr>
            <w:r w:rsidRPr="0019790A">
              <w:rPr>
                <w:rFonts w:cs="Arial"/>
                <w:szCs w:val="22"/>
                <w:lang w:eastAsia="it-IT"/>
              </w:rPr>
              <w:t>- здійснення капітального ремонту приміщення поліклініки</w:t>
            </w:r>
          </w:p>
          <w:p w14:paraId="18852B74" w14:textId="77777777" w:rsidR="001002EC" w:rsidRPr="0019790A" w:rsidRDefault="001002EC" w:rsidP="00C456A0">
            <w:pPr>
              <w:jc w:val="both"/>
              <w:rPr>
                <w:rFonts w:cs="Arial"/>
                <w:szCs w:val="22"/>
                <w:lang w:eastAsia="it-IT"/>
              </w:rPr>
            </w:pPr>
            <w:r w:rsidRPr="0019790A">
              <w:rPr>
                <w:rFonts w:cs="Arial"/>
                <w:szCs w:val="22"/>
                <w:lang w:eastAsia="it-IT"/>
              </w:rPr>
              <w:t>- завершення виконання робіт по проєкту</w:t>
            </w:r>
          </w:p>
        </w:tc>
      </w:tr>
      <w:tr w:rsidR="001002EC" w:rsidRPr="0019790A" w14:paraId="2DF4CC9B" w14:textId="77777777" w:rsidTr="00C456A0">
        <w:trPr>
          <w:trHeight w:val="688"/>
          <w:jc w:val="right"/>
        </w:trPr>
        <w:tc>
          <w:tcPr>
            <w:tcW w:w="3425" w:type="dxa"/>
            <w:shd w:val="clear" w:color="auto" w:fill="FFFFFF"/>
            <w:vAlign w:val="center"/>
          </w:tcPr>
          <w:p w14:paraId="1227A6F4" w14:textId="77777777" w:rsidR="001002EC" w:rsidRPr="0019790A" w:rsidRDefault="001002EC"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794" w:type="dxa"/>
            <w:gridSpan w:val="9"/>
            <w:vAlign w:val="center"/>
          </w:tcPr>
          <w:p w14:paraId="163C9A36" w14:textId="77777777" w:rsidR="001002EC" w:rsidRPr="0019790A" w:rsidRDefault="001002EC" w:rsidP="00C456A0">
            <w:pPr>
              <w:jc w:val="both"/>
              <w:rPr>
                <w:rFonts w:cs="Arial"/>
                <w:szCs w:val="22"/>
                <w:lang w:eastAsia="it-IT"/>
              </w:rPr>
            </w:pPr>
            <w:r w:rsidRPr="0019790A">
              <w:rPr>
                <w:rFonts w:cs="Arial"/>
                <w:szCs w:val="22"/>
                <w:lang w:eastAsia="it-IT"/>
              </w:rPr>
              <w:t>Покращення умов перебування пацієнтів, відвідувачів та працівників поліклініки у кількості щонайменше 80 тис.осіб на рік, підвищення якості надання медичної допомоги</w:t>
            </w:r>
          </w:p>
        </w:tc>
      </w:tr>
      <w:tr w:rsidR="001002EC" w:rsidRPr="0019790A" w14:paraId="152C870B" w14:textId="77777777" w:rsidTr="00C456A0">
        <w:trPr>
          <w:trHeight w:val="429"/>
          <w:jc w:val="right"/>
        </w:trPr>
        <w:tc>
          <w:tcPr>
            <w:tcW w:w="3425" w:type="dxa"/>
            <w:shd w:val="clear" w:color="auto" w:fill="FFFFFF"/>
            <w:vAlign w:val="center"/>
          </w:tcPr>
          <w:p w14:paraId="235A189F" w14:textId="77777777" w:rsidR="001002EC" w:rsidRPr="0019790A" w:rsidRDefault="001002EC" w:rsidP="0019790A">
            <w:pPr>
              <w:rPr>
                <w:rFonts w:cs="Arial"/>
                <w:b/>
                <w:color w:val="000000"/>
                <w:szCs w:val="22"/>
              </w:rPr>
            </w:pPr>
            <w:r w:rsidRPr="0019790A">
              <w:rPr>
                <w:rFonts w:cs="Arial"/>
                <w:b/>
                <w:color w:val="000000"/>
                <w:szCs w:val="22"/>
              </w:rPr>
              <w:t xml:space="preserve">Період здійснення: </w:t>
            </w:r>
          </w:p>
        </w:tc>
        <w:tc>
          <w:tcPr>
            <w:tcW w:w="6794" w:type="dxa"/>
            <w:gridSpan w:val="9"/>
            <w:vAlign w:val="center"/>
          </w:tcPr>
          <w:p w14:paraId="526F5C16" w14:textId="77777777" w:rsidR="001002EC" w:rsidRPr="0019790A" w:rsidRDefault="001002EC" w:rsidP="00C456A0">
            <w:pPr>
              <w:jc w:val="both"/>
              <w:rPr>
                <w:rFonts w:cs="Arial"/>
                <w:color w:val="000000"/>
                <w:szCs w:val="22"/>
                <w:lang w:eastAsia="it-IT"/>
              </w:rPr>
            </w:pPr>
            <w:r w:rsidRPr="0019790A">
              <w:rPr>
                <w:rFonts w:cs="Arial"/>
                <w:b/>
                <w:color w:val="000000"/>
                <w:szCs w:val="22"/>
              </w:rPr>
              <w:t>2025 – 2028 роки:</w:t>
            </w:r>
          </w:p>
        </w:tc>
      </w:tr>
      <w:tr w:rsidR="001002EC" w:rsidRPr="0019790A" w14:paraId="264799F4" w14:textId="77777777" w:rsidTr="00B8248C">
        <w:trPr>
          <w:jc w:val="right"/>
        </w:trPr>
        <w:tc>
          <w:tcPr>
            <w:tcW w:w="3425" w:type="dxa"/>
            <w:vMerge w:val="restart"/>
            <w:shd w:val="clear" w:color="auto" w:fill="FFFFFF"/>
            <w:vAlign w:val="center"/>
          </w:tcPr>
          <w:p w14:paraId="68457CAC" w14:textId="079874DD" w:rsidR="001002EC" w:rsidRPr="0019790A" w:rsidRDefault="001002EC" w:rsidP="0019790A">
            <w:pPr>
              <w:rPr>
                <w:rFonts w:cs="Arial"/>
                <w:b/>
                <w:bCs/>
                <w:color w:val="000000"/>
                <w:szCs w:val="22"/>
              </w:rPr>
            </w:pPr>
            <w:r w:rsidRPr="0019790A">
              <w:rPr>
                <w:rFonts w:cs="Arial"/>
                <w:b/>
                <w:bCs/>
                <w:color w:val="000000"/>
                <w:szCs w:val="22"/>
              </w:rPr>
              <w:t xml:space="preserve">Орієнтовна вартість </w:t>
            </w:r>
            <w:r w:rsidR="00314B9D">
              <w:rPr>
                <w:rFonts w:cs="Arial"/>
                <w:b/>
                <w:bCs/>
                <w:color w:val="000000"/>
                <w:szCs w:val="22"/>
              </w:rPr>
              <w:t>проєкту</w:t>
            </w:r>
            <w:r w:rsidRPr="0019790A">
              <w:rPr>
                <w:rFonts w:cs="Arial"/>
                <w:b/>
                <w:bCs/>
                <w:color w:val="000000"/>
                <w:szCs w:val="22"/>
              </w:rPr>
              <w:t>, тис. грн. в тому числі:</w:t>
            </w:r>
          </w:p>
        </w:tc>
        <w:tc>
          <w:tcPr>
            <w:tcW w:w="1254" w:type="dxa"/>
            <w:shd w:val="clear" w:color="auto" w:fill="E6E6E6"/>
            <w:vAlign w:val="center"/>
          </w:tcPr>
          <w:p w14:paraId="4CCCBDDB"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2025</w:t>
            </w:r>
          </w:p>
        </w:tc>
        <w:tc>
          <w:tcPr>
            <w:tcW w:w="1417" w:type="dxa"/>
            <w:gridSpan w:val="3"/>
            <w:shd w:val="clear" w:color="auto" w:fill="E6E6E6"/>
            <w:vAlign w:val="center"/>
          </w:tcPr>
          <w:p w14:paraId="659C5F8F"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2026</w:t>
            </w:r>
          </w:p>
        </w:tc>
        <w:tc>
          <w:tcPr>
            <w:tcW w:w="1418" w:type="dxa"/>
            <w:tcBorders>
              <w:bottom w:val="single" w:sz="4" w:space="0" w:color="auto"/>
            </w:tcBorders>
            <w:shd w:val="clear" w:color="auto" w:fill="E6E6E6"/>
            <w:vAlign w:val="center"/>
          </w:tcPr>
          <w:p w14:paraId="3B0AEB75"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2027</w:t>
            </w:r>
          </w:p>
        </w:tc>
        <w:tc>
          <w:tcPr>
            <w:tcW w:w="1275" w:type="dxa"/>
            <w:gridSpan w:val="2"/>
            <w:shd w:val="clear" w:color="auto" w:fill="E6E6E6"/>
            <w:vAlign w:val="center"/>
          </w:tcPr>
          <w:p w14:paraId="2CF7C0AC"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2028</w:t>
            </w:r>
          </w:p>
        </w:tc>
        <w:tc>
          <w:tcPr>
            <w:tcW w:w="1430" w:type="dxa"/>
            <w:gridSpan w:val="2"/>
            <w:shd w:val="clear" w:color="auto" w:fill="E6E6E6"/>
            <w:vAlign w:val="center"/>
          </w:tcPr>
          <w:p w14:paraId="37A73FCE"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Разом</w:t>
            </w:r>
          </w:p>
        </w:tc>
      </w:tr>
      <w:tr w:rsidR="001002EC" w:rsidRPr="0019790A" w14:paraId="63F1CC5D" w14:textId="77777777" w:rsidTr="00B8248C">
        <w:trPr>
          <w:jc w:val="right"/>
        </w:trPr>
        <w:tc>
          <w:tcPr>
            <w:tcW w:w="3425" w:type="dxa"/>
            <w:vMerge/>
            <w:shd w:val="clear" w:color="auto" w:fill="FFFFFF"/>
            <w:vAlign w:val="center"/>
          </w:tcPr>
          <w:p w14:paraId="23E9F07F" w14:textId="77777777" w:rsidR="001002EC" w:rsidRPr="0019790A" w:rsidRDefault="001002EC" w:rsidP="0019790A">
            <w:pPr>
              <w:rPr>
                <w:rFonts w:cs="Arial"/>
                <w:b/>
                <w:bCs/>
                <w:color w:val="000000"/>
                <w:szCs w:val="22"/>
              </w:rPr>
            </w:pPr>
          </w:p>
        </w:tc>
        <w:tc>
          <w:tcPr>
            <w:tcW w:w="1254" w:type="dxa"/>
            <w:vAlign w:val="center"/>
          </w:tcPr>
          <w:p w14:paraId="60BBFD38" w14:textId="77777777" w:rsidR="001002EC" w:rsidRPr="0019790A" w:rsidRDefault="001002EC" w:rsidP="0019790A">
            <w:pPr>
              <w:jc w:val="center"/>
              <w:rPr>
                <w:rFonts w:cs="Arial"/>
                <w:b/>
                <w:color w:val="000000"/>
                <w:szCs w:val="22"/>
                <w:lang w:eastAsia="it-IT"/>
              </w:rPr>
            </w:pPr>
          </w:p>
        </w:tc>
        <w:tc>
          <w:tcPr>
            <w:tcW w:w="1417" w:type="dxa"/>
            <w:gridSpan w:val="3"/>
            <w:shd w:val="clear" w:color="auto" w:fill="FFFFFF"/>
            <w:vAlign w:val="center"/>
          </w:tcPr>
          <w:p w14:paraId="26EE3951" w14:textId="77777777" w:rsidR="001002EC" w:rsidRPr="0019790A" w:rsidRDefault="001002EC" w:rsidP="0019790A">
            <w:pPr>
              <w:jc w:val="center"/>
              <w:rPr>
                <w:rFonts w:cs="Arial"/>
                <w:b/>
                <w:color w:val="000000"/>
                <w:szCs w:val="22"/>
                <w:lang w:eastAsia="it-IT"/>
              </w:rPr>
            </w:pPr>
          </w:p>
        </w:tc>
        <w:tc>
          <w:tcPr>
            <w:tcW w:w="1418" w:type="dxa"/>
            <w:shd w:val="clear" w:color="auto" w:fill="auto"/>
            <w:vAlign w:val="center"/>
          </w:tcPr>
          <w:p w14:paraId="1C19A874"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10 000,000</w:t>
            </w:r>
          </w:p>
        </w:tc>
        <w:tc>
          <w:tcPr>
            <w:tcW w:w="1275" w:type="dxa"/>
            <w:gridSpan w:val="2"/>
            <w:shd w:val="clear" w:color="auto" w:fill="FFFFFF"/>
            <w:vAlign w:val="center"/>
          </w:tcPr>
          <w:p w14:paraId="1F601D52"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10 000,000</w:t>
            </w:r>
          </w:p>
        </w:tc>
        <w:tc>
          <w:tcPr>
            <w:tcW w:w="1430" w:type="dxa"/>
            <w:gridSpan w:val="2"/>
            <w:shd w:val="clear" w:color="auto" w:fill="FFFFFF"/>
            <w:vAlign w:val="center"/>
          </w:tcPr>
          <w:p w14:paraId="45518896" w14:textId="77777777" w:rsidR="001002EC" w:rsidRPr="0019790A" w:rsidRDefault="001002EC" w:rsidP="0019790A">
            <w:pPr>
              <w:jc w:val="center"/>
              <w:rPr>
                <w:rFonts w:cs="Arial"/>
                <w:b/>
                <w:color w:val="000000"/>
                <w:szCs w:val="22"/>
                <w:lang w:eastAsia="it-IT"/>
              </w:rPr>
            </w:pPr>
            <w:r w:rsidRPr="0019790A">
              <w:rPr>
                <w:rFonts w:cs="Arial"/>
                <w:b/>
                <w:color w:val="000000"/>
                <w:szCs w:val="22"/>
                <w:lang w:eastAsia="it-IT"/>
              </w:rPr>
              <w:t>20 000,000</w:t>
            </w:r>
          </w:p>
        </w:tc>
      </w:tr>
      <w:tr w:rsidR="001002EC" w:rsidRPr="0019790A" w14:paraId="06B7A9AE" w14:textId="77777777" w:rsidTr="00C456A0">
        <w:trPr>
          <w:trHeight w:val="375"/>
          <w:jc w:val="right"/>
        </w:trPr>
        <w:tc>
          <w:tcPr>
            <w:tcW w:w="3425" w:type="dxa"/>
            <w:shd w:val="clear" w:color="auto" w:fill="FFFFFF"/>
            <w:vAlign w:val="center"/>
          </w:tcPr>
          <w:p w14:paraId="21F3B137" w14:textId="7F9F8BDE" w:rsidR="001002EC" w:rsidRPr="0019790A" w:rsidRDefault="001002EC" w:rsidP="0019790A">
            <w:pPr>
              <w:rPr>
                <w:rFonts w:cs="Arial"/>
                <w:b/>
                <w:bCs/>
                <w:color w:val="000000"/>
                <w:szCs w:val="22"/>
              </w:rPr>
            </w:pPr>
            <w:r w:rsidRPr="0019790A">
              <w:rPr>
                <w:rFonts w:cs="Arial"/>
                <w:b/>
                <w:bCs/>
                <w:color w:val="000000"/>
                <w:szCs w:val="22"/>
              </w:rPr>
              <w:t xml:space="preserve"> по джерелах фінансування</w:t>
            </w:r>
          </w:p>
        </w:tc>
        <w:tc>
          <w:tcPr>
            <w:tcW w:w="6794" w:type="dxa"/>
            <w:gridSpan w:val="9"/>
            <w:vAlign w:val="center"/>
          </w:tcPr>
          <w:p w14:paraId="33094C0F" w14:textId="77777777" w:rsidR="001002EC" w:rsidRPr="0019790A" w:rsidRDefault="001002EC" w:rsidP="0019790A">
            <w:pPr>
              <w:jc w:val="both"/>
              <w:rPr>
                <w:rFonts w:cs="Arial"/>
                <w:color w:val="000000"/>
                <w:szCs w:val="22"/>
                <w:lang w:eastAsia="it-IT"/>
              </w:rPr>
            </w:pPr>
          </w:p>
        </w:tc>
      </w:tr>
      <w:tr w:rsidR="00C456A0" w:rsidRPr="0019790A" w14:paraId="17D49377" w14:textId="178F2385" w:rsidTr="00C456A0">
        <w:trPr>
          <w:trHeight w:val="338"/>
          <w:jc w:val="right"/>
        </w:trPr>
        <w:tc>
          <w:tcPr>
            <w:tcW w:w="3425" w:type="dxa"/>
            <w:shd w:val="clear" w:color="auto" w:fill="FFFFFF"/>
            <w:vAlign w:val="center"/>
          </w:tcPr>
          <w:p w14:paraId="76DFF7EB" w14:textId="0B9A77D4" w:rsidR="00C456A0" w:rsidRPr="0019790A" w:rsidRDefault="00C456A0" w:rsidP="0019790A">
            <w:pPr>
              <w:rPr>
                <w:rFonts w:cs="Arial"/>
                <w:b/>
                <w:bCs/>
                <w:color w:val="000000"/>
                <w:szCs w:val="22"/>
              </w:rPr>
            </w:pPr>
            <w:r w:rsidRPr="0019790A">
              <w:rPr>
                <w:rFonts w:cs="Arial"/>
                <w:color w:val="000000"/>
                <w:szCs w:val="22"/>
              </w:rPr>
              <w:t>-державний бюджет;</w:t>
            </w:r>
          </w:p>
        </w:tc>
        <w:tc>
          <w:tcPr>
            <w:tcW w:w="1277" w:type="dxa"/>
            <w:gridSpan w:val="2"/>
            <w:vAlign w:val="center"/>
          </w:tcPr>
          <w:p w14:paraId="0936D6A1" w14:textId="77777777" w:rsidR="00C456A0" w:rsidRPr="0019790A" w:rsidRDefault="00C456A0" w:rsidP="00C456A0">
            <w:pPr>
              <w:jc w:val="center"/>
              <w:rPr>
                <w:rFonts w:cs="Arial"/>
                <w:color w:val="000000"/>
                <w:szCs w:val="22"/>
                <w:lang w:eastAsia="it-IT"/>
              </w:rPr>
            </w:pPr>
          </w:p>
        </w:tc>
        <w:tc>
          <w:tcPr>
            <w:tcW w:w="1377" w:type="dxa"/>
            <w:vAlign w:val="center"/>
          </w:tcPr>
          <w:p w14:paraId="4482EAF1" w14:textId="77777777" w:rsidR="00C456A0" w:rsidRPr="0019790A" w:rsidRDefault="00C456A0" w:rsidP="00C456A0">
            <w:pPr>
              <w:jc w:val="center"/>
              <w:rPr>
                <w:rFonts w:cs="Arial"/>
                <w:color w:val="000000"/>
                <w:szCs w:val="22"/>
                <w:lang w:eastAsia="it-IT"/>
              </w:rPr>
            </w:pPr>
          </w:p>
        </w:tc>
        <w:tc>
          <w:tcPr>
            <w:tcW w:w="1453" w:type="dxa"/>
            <w:gridSpan w:val="3"/>
            <w:vAlign w:val="center"/>
          </w:tcPr>
          <w:p w14:paraId="32EC4A57" w14:textId="77777777" w:rsidR="00C456A0" w:rsidRPr="0019790A" w:rsidRDefault="00C456A0" w:rsidP="00C456A0">
            <w:pPr>
              <w:jc w:val="center"/>
              <w:rPr>
                <w:rFonts w:cs="Arial"/>
                <w:color w:val="000000"/>
                <w:szCs w:val="22"/>
                <w:lang w:eastAsia="it-IT"/>
              </w:rPr>
            </w:pPr>
          </w:p>
        </w:tc>
        <w:tc>
          <w:tcPr>
            <w:tcW w:w="1302" w:type="dxa"/>
            <w:gridSpan w:val="2"/>
            <w:vAlign w:val="center"/>
          </w:tcPr>
          <w:p w14:paraId="16289F5C" w14:textId="77777777" w:rsidR="00C456A0" w:rsidRPr="0019790A" w:rsidRDefault="00C456A0" w:rsidP="00C456A0">
            <w:pPr>
              <w:jc w:val="center"/>
              <w:rPr>
                <w:rFonts w:cs="Arial"/>
                <w:color w:val="000000"/>
                <w:szCs w:val="22"/>
                <w:lang w:eastAsia="it-IT"/>
              </w:rPr>
            </w:pPr>
          </w:p>
        </w:tc>
        <w:tc>
          <w:tcPr>
            <w:tcW w:w="1385" w:type="dxa"/>
            <w:vAlign w:val="center"/>
          </w:tcPr>
          <w:p w14:paraId="695265AD" w14:textId="77777777" w:rsidR="00C456A0" w:rsidRPr="0019790A" w:rsidRDefault="00C456A0" w:rsidP="00C456A0">
            <w:pPr>
              <w:jc w:val="center"/>
              <w:rPr>
                <w:rFonts w:cs="Arial"/>
                <w:color w:val="000000"/>
                <w:szCs w:val="22"/>
                <w:lang w:eastAsia="it-IT"/>
              </w:rPr>
            </w:pPr>
          </w:p>
        </w:tc>
      </w:tr>
      <w:tr w:rsidR="00C456A0" w:rsidRPr="0019790A" w14:paraId="622F069D" w14:textId="05F84861" w:rsidTr="00C456A0">
        <w:trPr>
          <w:trHeight w:val="290"/>
          <w:jc w:val="right"/>
        </w:trPr>
        <w:tc>
          <w:tcPr>
            <w:tcW w:w="3425" w:type="dxa"/>
            <w:shd w:val="clear" w:color="auto" w:fill="FFFFFF"/>
            <w:vAlign w:val="center"/>
          </w:tcPr>
          <w:p w14:paraId="4EF51D99" w14:textId="77777777" w:rsidR="00C456A0" w:rsidRPr="0019790A" w:rsidRDefault="00C456A0" w:rsidP="0019790A">
            <w:pPr>
              <w:rPr>
                <w:rFonts w:cs="Arial"/>
                <w:b/>
                <w:bCs/>
                <w:color w:val="000000"/>
                <w:szCs w:val="22"/>
              </w:rPr>
            </w:pPr>
            <w:r w:rsidRPr="0019790A">
              <w:rPr>
                <w:rFonts w:cs="Arial"/>
                <w:color w:val="000000"/>
                <w:szCs w:val="22"/>
              </w:rPr>
              <w:t>Обласний бюджет;</w:t>
            </w:r>
          </w:p>
        </w:tc>
        <w:tc>
          <w:tcPr>
            <w:tcW w:w="1277" w:type="dxa"/>
            <w:gridSpan w:val="2"/>
            <w:vAlign w:val="center"/>
          </w:tcPr>
          <w:p w14:paraId="2C7D68ED" w14:textId="77777777" w:rsidR="00C456A0" w:rsidRPr="0019790A" w:rsidRDefault="00C456A0" w:rsidP="00C456A0">
            <w:pPr>
              <w:jc w:val="center"/>
              <w:rPr>
                <w:rFonts w:cs="Arial"/>
                <w:color w:val="000000"/>
                <w:szCs w:val="22"/>
                <w:lang w:eastAsia="it-IT"/>
              </w:rPr>
            </w:pPr>
          </w:p>
        </w:tc>
        <w:tc>
          <w:tcPr>
            <w:tcW w:w="1377" w:type="dxa"/>
            <w:vAlign w:val="center"/>
          </w:tcPr>
          <w:p w14:paraId="6548BD79" w14:textId="77777777" w:rsidR="00C456A0" w:rsidRPr="0019790A" w:rsidRDefault="00C456A0" w:rsidP="00C456A0">
            <w:pPr>
              <w:jc w:val="center"/>
              <w:rPr>
                <w:rFonts w:cs="Arial"/>
                <w:color w:val="000000"/>
                <w:szCs w:val="22"/>
                <w:lang w:eastAsia="it-IT"/>
              </w:rPr>
            </w:pPr>
          </w:p>
        </w:tc>
        <w:tc>
          <w:tcPr>
            <w:tcW w:w="1453" w:type="dxa"/>
            <w:gridSpan w:val="3"/>
            <w:vAlign w:val="center"/>
          </w:tcPr>
          <w:p w14:paraId="07A06BFF" w14:textId="77777777" w:rsidR="00C456A0" w:rsidRPr="0019790A" w:rsidRDefault="00C456A0" w:rsidP="00C456A0">
            <w:pPr>
              <w:jc w:val="center"/>
              <w:rPr>
                <w:rFonts w:cs="Arial"/>
                <w:color w:val="000000"/>
                <w:szCs w:val="22"/>
                <w:lang w:eastAsia="it-IT"/>
              </w:rPr>
            </w:pPr>
          </w:p>
        </w:tc>
        <w:tc>
          <w:tcPr>
            <w:tcW w:w="1302" w:type="dxa"/>
            <w:gridSpan w:val="2"/>
            <w:vAlign w:val="center"/>
          </w:tcPr>
          <w:p w14:paraId="45C937F9" w14:textId="77777777" w:rsidR="00C456A0" w:rsidRPr="0019790A" w:rsidRDefault="00C456A0" w:rsidP="00C456A0">
            <w:pPr>
              <w:jc w:val="center"/>
              <w:rPr>
                <w:rFonts w:cs="Arial"/>
                <w:color w:val="000000"/>
                <w:szCs w:val="22"/>
                <w:lang w:eastAsia="it-IT"/>
              </w:rPr>
            </w:pPr>
          </w:p>
        </w:tc>
        <w:tc>
          <w:tcPr>
            <w:tcW w:w="1385" w:type="dxa"/>
            <w:vAlign w:val="center"/>
          </w:tcPr>
          <w:p w14:paraId="20FD749A" w14:textId="77777777" w:rsidR="00C456A0" w:rsidRPr="0019790A" w:rsidRDefault="00C456A0" w:rsidP="00C456A0">
            <w:pPr>
              <w:jc w:val="center"/>
              <w:rPr>
                <w:rFonts w:cs="Arial"/>
                <w:color w:val="000000"/>
                <w:szCs w:val="22"/>
                <w:lang w:eastAsia="it-IT"/>
              </w:rPr>
            </w:pPr>
          </w:p>
        </w:tc>
      </w:tr>
      <w:tr w:rsidR="00C456A0" w:rsidRPr="0019790A" w14:paraId="38F18488" w14:textId="6FAC264E" w:rsidTr="00C456A0">
        <w:trPr>
          <w:trHeight w:val="266"/>
          <w:jc w:val="right"/>
        </w:trPr>
        <w:tc>
          <w:tcPr>
            <w:tcW w:w="3425" w:type="dxa"/>
            <w:shd w:val="clear" w:color="auto" w:fill="FFFFFF"/>
            <w:vAlign w:val="center"/>
          </w:tcPr>
          <w:p w14:paraId="411DAFEB" w14:textId="77777777" w:rsidR="00C456A0" w:rsidRPr="0019790A" w:rsidRDefault="00C456A0" w:rsidP="00C456A0">
            <w:pPr>
              <w:rPr>
                <w:rFonts w:cs="Arial"/>
                <w:color w:val="000000"/>
                <w:szCs w:val="22"/>
              </w:rPr>
            </w:pPr>
            <w:r w:rsidRPr="0019790A">
              <w:rPr>
                <w:rFonts w:cs="Arial"/>
                <w:color w:val="000000"/>
                <w:szCs w:val="22"/>
              </w:rPr>
              <w:t>Бюджет Жмеринської МТГ;</w:t>
            </w:r>
          </w:p>
        </w:tc>
        <w:tc>
          <w:tcPr>
            <w:tcW w:w="1277" w:type="dxa"/>
            <w:gridSpan w:val="2"/>
            <w:vAlign w:val="center"/>
          </w:tcPr>
          <w:p w14:paraId="2AF2A004" w14:textId="37B6F5E5" w:rsidR="00C456A0" w:rsidRPr="0019790A" w:rsidRDefault="00C456A0" w:rsidP="00C456A0">
            <w:pPr>
              <w:jc w:val="center"/>
              <w:rPr>
                <w:rFonts w:cs="Arial"/>
                <w:color w:val="000000"/>
                <w:szCs w:val="22"/>
                <w:lang w:eastAsia="it-IT"/>
              </w:rPr>
            </w:pPr>
          </w:p>
        </w:tc>
        <w:tc>
          <w:tcPr>
            <w:tcW w:w="1377" w:type="dxa"/>
            <w:vAlign w:val="center"/>
          </w:tcPr>
          <w:p w14:paraId="2FB77978" w14:textId="77777777" w:rsidR="00C456A0" w:rsidRPr="0019790A" w:rsidRDefault="00C456A0" w:rsidP="00C456A0">
            <w:pPr>
              <w:jc w:val="center"/>
              <w:rPr>
                <w:rFonts w:cs="Arial"/>
                <w:color w:val="000000"/>
                <w:szCs w:val="22"/>
                <w:lang w:eastAsia="it-IT"/>
              </w:rPr>
            </w:pPr>
          </w:p>
        </w:tc>
        <w:tc>
          <w:tcPr>
            <w:tcW w:w="1453" w:type="dxa"/>
            <w:gridSpan w:val="3"/>
            <w:vAlign w:val="center"/>
          </w:tcPr>
          <w:p w14:paraId="2072AF10" w14:textId="762D393C" w:rsidR="00C456A0" w:rsidRPr="0019790A" w:rsidRDefault="00C456A0" w:rsidP="00C456A0">
            <w:pPr>
              <w:jc w:val="center"/>
              <w:rPr>
                <w:rFonts w:cs="Arial"/>
                <w:color w:val="000000"/>
                <w:szCs w:val="22"/>
                <w:lang w:eastAsia="it-IT"/>
              </w:rPr>
            </w:pPr>
            <w:r w:rsidRPr="0019790A">
              <w:rPr>
                <w:rFonts w:cs="Arial"/>
                <w:b/>
                <w:color w:val="000000"/>
                <w:szCs w:val="22"/>
                <w:lang w:eastAsia="it-IT"/>
              </w:rPr>
              <w:t>10 000,000</w:t>
            </w:r>
          </w:p>
        </w:tc>
        <w:tc>
          <w:tcPr>
            <w:tcW w:w="1302" w:type="dxa"/>
            <w:gridSpan w:val="2"/>
            <w:vAlign w:val="center"/>
          </w:tcPr>
          <w:p w14:paraId="0DF5164A" w14:textId="3FF9BAF1" w:rsidR="00C456A0" w:rsidRPr="0019790A" w:rsidRDefault="00C456A0" w:rsidP="00C456A0">
            <w:pPr>
              <w:jc w:val="center"/>
              <w:rPr>
                <w:rFonts w:cs="Arial"/>
                <w:color w:val="000000"/>
                <w:szCs w:val="22"/>
                <w:lang w:eastAsia="it-IT"/>
              </w:rPr>
            </w:pPr>
            <w:r w:rsidRPr="0019790A">
              <w:rPr>
                <w:rFonts w:cs="Arial"/>
                <w:b/>
                <w:color w:val="000000"/>
                <w:szCs w:val="22"/>
                <w:lang w:eastAsia="it-IT"/>
              </w:rPr>
              <w:t>10 000,000</w:t>
            </w:r>
          </w:p>
        </w:tc>
        <w:tc>
          <w:tcPr>
            <w:tcW w:w="1385" w:type="dxa"/>
            <w:vAlign w:val="center"/>
          </w:tcPr>
          <w:p w14:paraId="3A46807D" w14:textId="6A858B09" w:rsidR="00C456A0" w:rsidRPr="0019790A" w:rsidRDefault="00C456A0" w:rsidP="00C456A0">
            <w:pPr>
              <w:jc w:val="center"/>
              <w:rPr>
                <w:rFonts w:cs="Arial"/>
                <w:color w:val="000000"/>
                <w:szCs w:val="22"/>
                <w:lang w:eastAsia="it-IT"/>
              </w:rPr>
            </w:pPr>
            <w:r w:rsidRPr="0019790A">
              <w:rPr>
                <w:rFonts w:cs="Arial"/>
                <w:b/>
                <w:color w:val="000000"/>
                <w:szCs w:val="22"/>
                <w:lang w:eastAsia="it-IT"/>
              </w:rPr>
              <w:t>20 000,000</w:t>
            </w:r>
          </w:p>
        </w:tc>
      </w:tr>
      <w:tr w:rsidR="00C456A0" w:rsidRPr="0019790A" w14:paraId="0F0EFC20" w14:textId="25070FAE" w:rsidTr="00C456A0">
        <w:trPr>
          <w:trHeight w:val="270"/>
          <w:jc w:val="right"/>
        </w:trPr>
        <w:tc>
          <w:tcPr>
            <w:tcW w:w="3425" w:type="dxa"/>
            <w:shd w:val="clear" w:color="auto" w:fill="FFFFFF"/>
            <w:vAlign w:val="center"/>
          </w:tcPr>
          <w:p w14:paraId="24762F66" w14:textId="77777777" w:rsidR="00C456A0" w:rsidRPr="0019790A" w:rsidRDefault="00C456A0" w:rsidP="00C456A0">
            <w:pPr>
              <w:rPr>
                <w:rFonts w:cs="Arial"/>
                <w:color w:val="000000"/>
                <w:szCs w:val="22"/>
              </w:rPr>
            </w:pPr>
            <w:r w:rsidRPr="0019790A">
              <w:rPr>
                <w:rFonts w:cs="Arial"/>
                <w:color w:val="000000"/>
                <w:szCs w:val="22"/>
              </w:rPr>
              <w:t>Інші джерела фінансування.</w:t>
            </w:r>
          </w:p>
        </w:tc>
        <w:tc>
          <w:tcPr>
            <w:tcW w:w="1277" w:type="dxa"/>
            <w:gridSpan w:val="2"/>
            <w:vAlign w:val="center"/>
          </w:tcPr>
          <w:p w14:paraId="6505154C" w14:textId="77777777" w:rsidR="00C456A0" w:rsidRPr="0019790A" w:rsidRDefault="00C456A0" w:rsidP="00C456A0">
            <w:pPr>
              <w:jc w:val="center"/>
              <w:rPr>
                <w:rFonts w:cs="Arial"/>
                <w:color w:val="000000"/>
                <w:szCs w:val="22"/>
                <w:lang w:eastAsia="it-IT"/>
              </w:rPr>
            </w:pPr>
          </w:p>
        </w:tc>
        <w:tc>
          <w:tcPr>
            <w:tcW w:w="1377" w:type="dxa"/>
            <w:vAlign w:val="center"/>
          </w:tcPr>
          <w:p w14:paraId="377D3B5A" w14:textId="77777777" w:rsidR="00C456A0" w:rsidRPr="0019790A" w:rsidRDefault="00C456A0" w:rsidP="00C456A0">
            <w:pPr>
              <w:jc w:val="center"/>
              <w:rPr>
                <w:rFonts w:cs="Arial"/>
                <w:color w:val="000000"/>
                <w:szCs w:val="22"/>
                <w:lang w:eastAsia="it-IT"/>
              </w:rPr>
            </w:pPr>
          </w:p>
        </w:tc>
        <w:tc>
          <w:tcPr>
            <w:tcW w:w="1453" w:type="dxa"/>
            <w:gridSpan w:val="3"/>
            <w:vAlign w:val="center"/>
          </w:tcPr>
          <w:p w14:paraId="784BEBD9" w14:textId="77777777" w:rsidR="00C456A0" w:rsidRPr="0019790A" w:rsidRDefault="00C456A0" w:rsidP="00C456A0">
            <w:pPr>
              <w:jc w:val="center"/>
              <w:rPr>
                <w:rFonts w:cs="Arial"/>
                <w:color w:val="000000"/>
                <w:szCs w:val="22"/>
                <w:lang w:eastAsia="it-IT"/>
              </w:rPr>
            </w:pPr>
          </w:p>
        </w:tc>
        <w:tc>
          <w:tcPr>
            <w:tcW w:w="1302" w:type="dxa"/>
            <w:gridSpan w:val="2"/>
            <w:vAlign w:val="center"/>
          </w:tcPr>
          <w:p w14:paraId="1A11E4B0" w14:textId="77777777" w:rsidR="00C456A0" w:rsidRPr="0019790A" w:rsidRDefault="00C456A0" w:rsidP="00C456A0">
            <w:pPr>
              <w:jc w:val="center"/>
              <w:rPr>
                <w:rFonts w:cs="Arial"/>
                <w:color w:val="000000"/>
                <w:szCs w:val="22"/>
                <w:lang w:eastAsia="it-IT"/>
              </w:rPr>
            </w:pPr>
          </w:p>
        </w:tc>
        <w:tc>
          <w:tcPr>
            <w:tcW w:w="1385" w:type="dxa"/>
            <w:vAlign w:val="center"/>
          </w:tcPr>
          <w:p w14:paraId="1AF13C29" w14:textId="77777777" w:rsidR="00C456A0" w:rsidRPr="0019790A" w:rsidRDefault="00C456A0" w:rsidP="00C456A0">
            <w:pPr>
              <w:jc w:val="center"/>
              <w:rPr>
                <w:rFonts w:cs="Arial"/>
                <w:color w:val="000000"/>
                <w:szCs w:val="22"/>
                <w:lang w:eastAsia="it-IT"/>
              </w:rPr>
            </w:pPr>
          </w:p>
        </w:tc>
      </w:tr>
      <w:tr w:rsidR="00C456A0" w:rsidRPr="0019790A" w14:paraId="6D932721" w14:textId="03059164" w:rsidTr="00A62F09">
        <w:trPr>
          <w:jc w:val="right"/>
        </w:trPr>
        <w:tc>
          <w:tcPr>
            <w:tcW w:w="3425" w:type="dxa"/>
            <w:shd w:val="clear" w:color="auto" w:fill="FFFFFF"/>
            <w:vAlign w:val="center"/>
          </w:tcPr>
          <w:p w14:paraId="4CEB003C" w14:textId="580F4CCE" w:rsidR="00C456A0" w:rsidRPr="0019790A" w:rsidRDefault="00C456A0" w:rsidP="00C456A0">
            <w:pPr>
              <w:rPr>
                <w:rFonts w:cs="Arial"/>
                <w:b/>
                <w:bCs/>
                <w:color w:val="000000"/>
                <w:szCs w:val="22"/>
              </w:rPr>
            </w:pPr>
            <w:r w:rsidRPr="0019790A">
              <w:rPr>
                <w:rFonts w:cs="Arial"/>
                <w:b/>
                <w:color w:val="000000"/>
                <w:szCs w:val="22"/>
              </w:rPr>
              <w:t xml:space="preserve">Ключові потенційні учасники реалізації </w:t>
            </w:r>
            <w:r w:rsidR="00314B9D">
              <w:rPr>
                <w:rFonts w:cs="Arial"/>
                <w:b/>
                <w:color w:val="000000"/>
                <w:szCs w:val="22"/>
              </w:rPr>
              <w:t>проєкту</w:t>
            </w:r>
            <w:r w:rsidRPr="0019790A">
              <w:rPr>
                <w:rFonts w:cs="Arial"/>
                <w:b/>
                <w:color w:val="000000"/>
                <w:szCs w:val="22"/>
              </w:rPr>
              <w:t>:</w:t>
            </w:r>
          </w:p>
        </w:tc>
        <w:tc>
          <w:tcPr>
            <w:tcW w:w="6794" w:type="dxa"/>
            <w:gridSpan w:val="9"/>
            <w:vAlign w:val="center"/>
          </w:tcPr>
          <w:p w14:paraId="07A756E3" w14:textId="6563F8FA" w:rsidR="00C456A0" w:rsidRPr="0019790A" w:rsidRDefault="00C456A0" w:rsidP="00C456A0">
            <w:pPr>
              <w:jc w:val="both"/>
              <w:rPr>
                <w:rFonts w:cs="Arial"/>
                <w:color w:val="000000"/>
                <w:szCs w:val="22"/>
                <w:lang w:eastAsia="it-IT"/>
              </w:rPr>
            </w:pPr>
            <w:r w:rsidRPr="0019790A">
              <w:rPr>
                <w:rFonts w:cs="Arial"/>
                <w:color w:val="000000"/>
                <w:szCs w:val="22"/>
                <w:lang w:eastAsia="it-IT"/>
              </w:rPr>
              <w:t>КНП «Жмеринська ЦРЛ», Управління ЖКГ, Управління соціального захисту населення та охорони здоров’я</w:t>
            </w:r>
          </w:p>
        </w:tc>
      </w:tr>
      <w:tr w:rsidR="00C456A0" w:rsidRPr="0019790A" w14:paraId="7D020C4F" w14:textId="77777777" w:rsidTr="00B8248C">
        <w:trPr>
          <w:jc w:val="right"/>
        </w:trPr>
        <w:tc>
          <w:tcPr>
            <w:tcW w:w="3425" w:type="dxa"/>
            <w:shd w:val="clear" w:color="auto" w:fill="FFFFFF"/>
            <w:vAlign w:val="center"/>
          </w:tcPr>
          <w:p w14:paraId="4150FE78" w14:textId="77777777" w:rsidR="00C456A0" w:rsidRPr="0019790A" w:rsidRDefault="00C456A0" w:rsidP="00C456A0">
            <w:pPr>
              <w:rPr>
                <w:rFonts w:cs="Arial"/>
                <w:b/>
                <w:bCs/>
                <w:color w:val="000000"/>
                <w:szCs w:val="22"/>
              </w:rPr>
            </w:pPr>
            <w:r w:rsidRPr="0019790A">
              <w:rPr>
                <w:rFonts w:cs="Arial"/>
                <w:b/>
                <w:bCs/>
                <w:color w:val="000000"/>
                <w:szCs w:val="22"/>
              </w:rPr>
              <w:t>Інше:</w:t>
            </w:r>
          </w:p>
        </w:tc>
        <w:tc>
          <w:tcPr>
            <w:tcW w:w="6794" w:type="dxa"/>
            <w:gridSpan w:val="9"/>
            <w:vAlign w:val="center"/>
          </w:tcPr>
          <w:p w14:paraId="20DDEE0C" w14:textId="77777777" w:rsidR="00C456A0" w:rsidRPr="0019790A" w:rsidRDefault="00C456A0" w:rsidP="00C456A0">
            <w:pPr>
              <w:rPr>
                <w:rFonts w:cs="Arial"/>
                <w:color w:val="000000"/>
                <w:szCs w:val="22"/>
                <w:lang w:eastAsia="it-IT"/>
              </w:rPr>
            </w:pPr>
          </w:p>
        </w:tc>
      </w:tr>
    </w:tbl>
    <w:p w14:paraId="529F3D9E" w14:textId="77777777" w:rsidR="001002EC" w:rsidRPr="0019790A" w:rsidRDefault="001002EC" w:rsidP="0019790A">
      <w:pPr>
        <w:rPr>
          <w:rFonts w:cs="Arial"/>
          <w:szCs w:val="22"/>
        </w:rPr>
      </w:pPr>
    </w:p>
    <w:p w14:paraId="1798936D" w14:textId="46D69A59" w:rsidR="009F1012" w:rsidRPr="0019790A" w:rsidRDefault="009F1012" w:rsidP="0019790A">
      <w:pPr>
        <w:rPr>
          <w:rFonts w:cs="Arial"/>
          <w:b/>
          <w:szCs w:val="22"/>
          <w:lang w:eastAsia="uk-UA"/>
        </w:rPr>
      </w:pPr>
    </w:p>
    <w:p w14:paraId="5777F29E" w14:textId="36312D03" w:rsidR="00C04247" w:rsidRPr="0019790A" w:rsidRDefault="00C04247" w:rsidP="0019790A">
      <w:pPr>
        <w:jc w:val="center"/>
        <w:rPr>
          <w:rFonts w:cs="Arial"/>
          <w:b/>
          <w:szCs w:val="22"/>
          <w:u w:val="single"/>
          <w:lang w:eastAsia="uk-UA"/>
        </w:rPr>
      </w:pPr>
      <w:r w:rsidRPr="0019790A">
        <w:rPr>
          <w:rFonts w:cs="Arial"/>
          <w:b/>
          <w:szCs w:val="22"/>
          <w:u w:val="single"/>
          <w:lang w:eastAsia="uk-UA"/>
        </w:rPr>
        <w:t>Стратегічна  ціль: С.3. Забезпечення можливостей  для активного відпочинку, змістовного дозвілля мешканців громади та популяризація здорового способу життя</w:t>
      </w:r>
    </w:p>
    <w:p w14:paraId="64E6E95B" w14:textId="77777777" w:rsidR="00B8248C" w:rsidRPr="0019790A" w:rsidRDefault="00B8248C" w:rsidP="0019790A">
      <w:pPr>
        <w:jc w:val="center"/>
        <w:rPr>
          <w:rFonts w:cs="Arial"/>
          <w:b/>
          <w:color w:val="000000"/>
          <w:szCs w:val="22"/>
        </w:rPr>
      </w:pPr>
    </w:p>
    <w:p w14:paraId="00A3EA39" w14:textId="77777777" w:rsidR="00B8248C" w:rsidRPr="0019790A" w:rsidRDefault="00B8248C" w:rsidP="0019790A">
      <w:pPr>
        <w:jc w:val="center"/>
        <w:rPr>
          <w:rFonts w:cs="Arial"/>
          <w:b/>
          <w:color w:val="000000"/>
          <w:szCs w:val="22"/>
        </w:rPr>
      </w:pPr>
      <w:r w:rsidRPr="0019790A">
        <w:rPr>
          <w:rFonts w:cs="Arial"/>
          <w:b/>
          <w:color w:val="000000"/>
          <w:szCs w:val="22"/>
        </w:rPr>
        <w:t xml:space="preserve">Форма технічного завдання на проєкт місцевого розвитку </w:t>
      </w:r>
    </w:p>
    <w:p w14:paraId="2B5D4BCC" w14:textId="77777777" w:rsidR="00B8248C" w:rsidRPr="0019790A" w:rsidRDefault="00B8248C" w:rsidP="0019790A">
      <w:pPr>
        <w:jc w:val="center"/>
        <w:rPr>
          <w:rFonts w:cs="Arial"/>
          <w:b/>
          <w:color w:val="000000"/>
          <w:szCs w:val="22"/>
        </w:rPr>
      </w:pPr>
      <w:r w:rsidRPr="0019790A">
        <w:rPr>
          <w:rFonts w:cs="Arial"/>
          <w:b/>
          <w:color w:val="000000"/>
          <w:szCs w:val="22"/>
        </w:rPr>
        <w:t>до Плану заходів з реалізації Стратегії</w:t>
      </w:r>
    </w:p>
    <w:p w14:paraId="3531A8B4" w14:textId="77777777" w:rsidR="00B8248C" w:rsidRPr="0019790A" w:rsidRDefault="00B8248C"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27"/>
        <w:gridCol w:w="27"/>
        <w:gridCol w:w="1263"/>
        <w:gridCol w:w="12"/>
        <w:gridCol w:w="1418"/>
        <w:gridCol w:w="10"/>
        <w:gridCol w:w="1266"/>
        <w:gridCol w:w="24"/>
        <w:gridCol w:w="1547"/>
      </w:tblGrid>
      <w:tr w:rsidR="00B8248C" w:rsidRPr="0019790A" w14:paraId="34438285" w14:textId="77777777" w:rsidTr="00084174">
        <w:trPr>
          <w:jc w:val="right"/>
        </w:trPr>
        <w:tc>
          <w:tcPr>
            <w:tcW w:w="3425" w:type="dxa"/>
            <w:vAlign w:val="center"/>
          </w:tcPr>
          <w:p w14:paraId="4D21CD54" w14:textId="77777777" w:rsidR="00B8248C" w:rsidRPr="0019790A" w:rsidRDefault="00B8248C" w:rsidP="0019790A">
            <w:pPr>
              <w:rPr>
                <w:rFonts w:cs="Arial"/>
                <w:b/>
                <w:bCs/>
                <w:color w:val="000000"/>
                <w:szCs w:val="22"/>
              </w:rPr>
            </w:pPr>
            <w:r w:rsidRPr="0019790A">
              <w:rPr>
                <w:rFonts w:cs="Arial"/>
                <w:b/>
                <w:bCs/>
                <w:color w:val="000000"/>
                <w:szCs w:val="22"/>
              </w:rPr>
              <w:t>Назва проєкту:</w:t>
            </w:r>
          </w:p>
        </w:tc>
        <w:tc>
          <w:tcPr>
            <w:tcW w:w="6794" w:type="dxa"/>
            <w:gridSpan w:val="9"/>
            <w:vAlign w:val="center"/>
          </w:tcPr>
          <w:p w14:paraId="24CF0019" w14:textId="77777777" w:rsidR="00B8248C" w:rsidRPr="0019790A" w:rsidRDefault="00B8248C" w:rsidP="00084174">
            <w:pPr>
              <w:jc w:val="both"/>
              <w:rPr>
                <w:rFonts w:cs="Arial"/>
                <w:b/>
                <w:szCs w:val="22"/>
                <w:lang w:eastAsia="it-IT"/>
              </w:rPr>
            </w:pPr>
            <w:r w:rsidRPr="0019790A">
              <w:rPr>
                <w:rFonts w:cs="Arial"/>
                <w:b/>
                <w:szCs w:val="22"/>
                <w:lang w:eastAsia="it-IT"/>
              </w:rPr>
              <w:t>«Модернізація музейної мережі Жмеринської громади: спадщина у новому форматі»</w:t>
            </w:r>
          </w:p>
        </w:tc>
      </w:tr>
      <w:tr w:rsidR="00B8248C" w:rsidRPr="0019790A" w14:paraId="73AF900A" w14:textId="77777777" w:rsidTr="00084174">
        <w:trPr>
          <w:jc w:val="right"/>
        </w:trPr>
        <w:tc>
          <w:tcPr>
            <w:tcW w:w="3425" w:type="dxa"/>
          </w:tcPr>
          <w:p w14:paraId="1CF2EE14" w14:textId="77777777" w:rsidR="00B8248C" w:rsidRPr="0019790A" w:rsidRDefault="00B8248C"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2EA42CDD" w14:textId="77777777" w:rsidR="00B8248C" w:rsidRPr="0019790A" w:rsidRDefault="00B8248C"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9"/>
            <w:vAlign w:val="center"/>
          </w:tcPr>
          <w:p w14:paraId="6B59EB94" w14:textId="77777777" w:rsidR="00B8248C" w:rsidRPr="00C27BF0" w:rsidRDefault="00B8248C" w:rsidP="00084174">
            <w:pPr>
              <w:jc w:val="both"/>
              <w:rPr>
                <w:rFonts w:cs="Arial"/>
                <w:szCs w:val="22"/>
                <w:lang w:eastAsia="it-IT"/>
              </w:rPr>
            </w:pPr>
            <w:r w:rsidRPr="00C27BF0">
              <w:rPr>
                <w:rFonts w:cs="Arial"/>
                <w:szCs w:val="22"/>
                <w:lang w:eastAsia="it-IT"/>
              </w:rPr>
              <w:t>Управління культури і туризму Жмеринської міської ради</w:t>
            </w:r>
          </w:p>
        </w:tc>
      </w:tr>
      <w:tr w:rsidR="00B8248C" w:rsidRPr="0019790A" w14:paraId="166074A2" w14:textId="77777777" w:rsidTr="00084174">
        <w:trPr>
          <w:jc w:val="right"/>
        </w:trPr>
        <w:tc>
          <w:tcPr>
            <w:tcW w:w="3425" w:type="dxa"/>
          </w:tcPr>
          <w:p w14:paraId="3135B277" w14:textId="77777777" w:rsidR="00B8248C" w:rsidRPr="0019790A" w:rsidRDefault="00B8248C" w:rsidP="0019790A">
            <w:pPr>
              <w:rPr>
                <w:rFonts w:cs="Arial"/>
                <w:b/>
                <w:bCs/>
                <w:szCs w:val="22"/>
              </w:rPr>
            </w:pPr>
            <w:r w:rsidRPr="0019790A">
              <w:rPr>
                <w:rFonts w:cs="Arial"/>
                <w:szCs w:val="22"/>
                <w:lang w:eastAsia="it-IT"/>
              </w:rPr>
              <w:t>Прізвище Ім’я По-батькові:</w:t>
            </w:r>
          </w:p>
        </w:tc>
        <w:tc>
          <w:tcPr>
            <w:tcW w:w="6794" w:type="dxa"/>
            <w:gridSpan w:val="9"/>
            <w:vAlign w:val="center"/>
          </w:tcPr>
          <w:p w14:paraId="740C492F" w14:textId="77777777" w:rsidR="00B8248C" w:rsidRPr="00C27BF0" w:rsidRDefault="00B8248C" w:rsidP="00084174">
            <w:pPr>
              <w:jc w:val="both"/>
              <w:rPr>
                <w:rFonts w:cs="Arial"/>
                <w:szCs w:val="22"/>
                <w:lang w:eastAsia="it-IT"/>
              </w:rPr>
            </w:pPr>
            <w:r w:rsidRPr="00C27BF0">
              <w:rPr>
                <w:rFonts w:cs="Arial"/>
                <w:szCs w:val="22"/>
                <w:lang w:eastAsia="it-IT"/>
              </w:rPr>
              <w:t>Дудік Володимир Валентинович</w:t>
            </w:r>
          </w:p>
        </w:tc>
      </w:tr>
      <w:tr w:rsidR="00B8248C" w:rsidRPr="0019790A" w14:paraId="10D9BDF3" w14:textId="77777777" w:rsidTr="00084174">
        <w:trPr>
          <w:jc w:val="right"/>
        </w:trPr>
        <w:tc>
          <w:tcPr>
            <w:tcW w:w="3425" w:type="dxa"/>
          </w:tcPr>
          <w:p w14:paraId="0D671557" w14:textId="77777777" w:rsidR="00B8248C" w:rsidRPr="0019790A" w:rsidRDefault="00B8248C" w:rsidP="0019790A">
            <w:pPr>
              <w:rPr>
                <w:rFonts w:cs="Arial"/>
                <w:b/>
                <w:bCs/>
                <w:szCs w:val="22"/>
              </w:rPr>
            </w:pPr>
            <w:r w:rsidRPr="0019790A">
              <w:rPr>
                <w:rFonts w:cs="Arial"/>
                <w:szCs w:val="22"/>
                <w:lang w:eastAsia="it-IT"/>
              </w:rPr>
              <w:t>Телефон (мобільний):</w:t>
            </w:r>
          </w:p>
        </w:tc>
        <w:tc>
          <w:tcPr>
            <w:tcW w:w="6794" w:type="dxa"/>
            <w:gridSpan w:val="9"/>
            <w:vAlign w:val="center"/>
          </w:tcPr>
          <w:p w14:paraId="46AA5DB5" w14:textId="77777777" w:rsidR="00B8248C" w:rsidRPr="00C27BF0" w:rsidRDefault="00B8248C" w:rsidP="00084174">
            <w:pPr>
              <w:jc w:val="both"/>
              <w:rPr>
                <w:rFonts w:cs="Arial"/>
                <w:szCs w:val="22"/>
                <w:lang w:eastAsia="it-IT"/>
              </w:rPr>
            </w:pPr>
            <w:r w:rsidRPr="00C27BF0">
              <w:rPr>
                <w:rFonts w:cs="Arial"/>
                <w:szCs w:val="22"/>
                <w:lang w:eastAsia="it-IT"/>
              </w:rPr>
              <w:t>0674303746</w:t>
            </w:r>
          </w:p>
        </w:tc>
      </w:tr>
      <w:tr w:rsidR="00B8248C" w:rsidRPr="0019790A" w14:paraId="01415C00" w14:textId="77777777" w:rsidTr="00084174">
        <w:trPr>
          <w:jc w:val="right"/>
        </w:trPr>
        <w:tc>
          <w:tcPr>
            <w:tcW w:w="3425" w:type="dxa"/>
          </w:tcPr>
          <w:p w14:paraId="0C58DAEA" w14:textId="77777777" w:rsidR="00B8248C" w:rsidRPr="0019790A" w:rsidRDefault="00B8248C" w:rsidP="0019790A">
            <w:pPr>
              <w:rPr>
                <w:rFonts w:cs="Arial"/>
                <w:b/>
                <w:bCs/>
                <w:szCs w:val="22"/>
              </w:rPr>
            </w:pPr>
            <w:r w:rsidRPr="0019790A">
              <w:rPr>
                <w:rFonts w:cs="Arial"/>
                <w:szCs w:val="22"/>
                <w:lang w:eastAsia="it-IT"/>
              </w:rPr>
              <w:t>Електронна адреса:</w:t>
            </w:r>
          </w:p>
        </w:tc>
        <w:tc>
          <w:tcPr>
            <w:tcW w:w="6794" w:type="dxa"/>
            <w:gridSpan w:val="9"/>
            <w:vAlign w:val="center"/>
          </w:tcPr>
          <w:p w14:paraId="47D2E8FF" w14:textId="0574F5A5" w:rsidR="00B8248C" w:rsidRPr="00C27BF0" w:rsidRDefault="00D85FFD" w:rsidP="00084174">
            <w:pPr>
              <w:jc w:val="both"/>
              <w:rPr>
                <w:rFonts w:cs="Arial"/>
                <w:szCs w:val="22"/>
                <w:lang w:eastAsia="it-IT"/>
              </w:rPr>
            </w:pPr>
            <w:hyperlink r:id="rId127" w:history="1">
              <w:r w:rsidR="00C27BF0" w:rsidRPr="00BF0394">
                <w:rPr>
                  <w:rStyle w:val="af0"/>
                  <w:rFonts w:cs="Arial"/>
                  <w:noProof w:val="0"/>
                  <w:sz w:val="22"/>
                  <w:szCs w:val="22"/>
                  <w:lang w:eastAsia="it-IT"/>
                </w:rPr>
                <w:t>kult@zhmr.gov.ua</w:t>
              </w:r>
            </w:hyperlink>
            <w:r w:rsidR="00C27BF0">
              <w:rPr>
                <w:rFonts w:cs="Arial"/>
                <w:szCs w:val="22"/>
                <w:lang w:eastAsia="it-IT"/>
              </w:rPr>
              <w:t xml:space="preserve"> </w:t>
            </w:r>
          </w:p>
        </w:tc>
      </w:tr>
      <w:tr w:rsidR="00B8248C" w:rsidRPr="0019790A" w14:paraId="29240AFB" w14:textId="77777777" w:rsidTr="00084174">
        <w:trPr>
          <w:jc w:val="right"/>
        </w:trPr>
        <w:tc>
          <w:tcPr>
            <w:tcW w:w="3425" w:type="dxa"/>
            <w:vAlign w:val="center"/>
          </w:tcPr>
          <w:p w14:paraId="43732BEA" w14:textId="77777777" w:rsidR="00B8248C" w:rsidRPr="0019790A" w:rsidRDefault="00B8248C" w:rsidP="0019790A">
            <w:pPr>
              <w:outlineLvl w:val="5"/>
              <w:rPr>
                <w:rFonts w:cs="Arial"/>
                <w:b/>
                <w:bCs/>
                <w:color w:val="000000"/>
                <w:szCs w:val="22"/>
              </w:rPr>
            </w:pPr>
            <w:r w:rsidRPr="0019790A">
              <w:rPr>
                <w:rFonts w:cs="Arial"/>
                <w:b/>
                <w:bCs/>
                <w:color w:val="000000"/>
                <w:szCs w:val="22"/>
              </w:rPr>
              <w:t>Номер і назва завдання з Стратегії</w:t>
            </w:r>
            <w:r w:rsidRPr="0019790A">
              <w:rPr>
                <w:rFonts w:cs="Arial"/>
                <w:b/>
                <w:bCs/>
                <w:szCs w:val="22"/>
                <w:lang w:eastAsia="it-IT"/>
              </w:rPr>
              <w:t xml:space="preserve"> </w:t>
            </w:r>
            <w:r w:rsidRPr="0019790A">
              <w:rPr>
                <w:rFonts w:cs="Arial"/>
                <w:b/>
                <w:bCs/>
                <w:color w:val="000000"/>
                <w:szCs w:val="22"/>
              </w:rPr>
              <w:t>розвитку Жмеринської міської територіальної громади,  якому відповідає проєкт:</w:t>
            </w:r>
          </w:p>
        </w:tc>
        <w:tc>
          <w:tcPr>
            <w:tcW w:w="6794" w:type="dxa"/>
            <w:gridSpan w:val="9"/>
            <w:vAlign w:val="center"/>
          </w:tcPr>
          <w:p w14:paraId="34688787" w14:textId="77777777" w:rsidR="00B8248C" w:rsidRPr="00C27BF0" w:rsidRDefault="00B8248C" w:rsidP="00084174">
            <w:pPr>
              <w:pBdr>
                <w:left w:val="single" w:sz="18" w:space="4" w:color="auto"/>
              </w:pBdr>
              <w:jc w:val="both"/>
              <w:rPr>
                <w:rFonts w:cs="Arial"/>
                <w:szCs w:val="22"/>
                <w:lang w:eastAsia="it-IT"/>
              </w:rPr>
            </w:pPr>
            <w:r w:rsidRPr="00C27BF0">
              <w:rPr>
                <w:rFonts w:cs="Arial"/>
                <w:szCs w:val="22"/>
                <w:lang w:eastAsia="it-IT"/>
              </w:rPr>
              <w:t>С.3.1. Впровадження сучасної моделі культурно-мистецького обслуговування населення громади. Збереження та розвиток мережі музейних закладів.</w:t>
            </w:r>
          </w:p>
        </w:tc>
      </w:tr>
      <w:tr w:rsidR="00B8248C" w:rsidRPr="0019790A" w14:paraId="23E50272" w14:textId="77777777" w:rsidTr="00084174">
        <w:trPr>
          <w:jc w:val="right"/>
        </w:trPr>
        <w:tc>
          <w:tcPr>
            <w:tcW w:w="3425" w:type="dxa"/>
            <w:vAlign w:val="center"/>
          </w:tcPr>
          <w:p w14:paraId="66C5F6DA" w14:textId="77777777" w:rsidR="00B8248C" w:rsidRPr="0019790A" w:rsidRDefault="00B8248C" w:rsidP="0019790A">
            <w:pPr>
              <w:rPr>
                <w:rFonts w:cs="Arial"/>
                <w:b/>
                <w:bCs/>
                <w:color w:val="000000"/>
                <w:szCs w:val="22"/>
              </w:rPr>
            </w:pPr>
            <w:r w:rsidRPr="0019790A">
              <w:rPr>
                <w:rFonts w:cs="Arial"/>
                <w:b/>
                <w:bCs/>
                <w:color w:val="000000"/>
                <w:szCs w:val="22"/>
              </w:rPr>
              <w:t>Мета проєкту:</w:t>
            </w:r>
          </w:p>
        </w:tc>
        <w:tc>
          <w:tcPr>
            <w:tcW w:w="6794" w:type="dxa"/>
            <w:gridSpan w:val="9"/>
            <w:vAlign w:val="center"/>
          </w:tcPr>
          <w:p w14:paraId="539C07D3" w14:textId="77777777" w:rsidR="00B8248C" w:rsidRPr="0019790A" w:rsidRDefault="00B8248C" w:rsidP="00084174">
            <w:pPr>
              <w:jc w:val="both"/>
              <w:rPr>
                <w:rFonts w:cs="Arial"/>
                <w:szCs w:val="22"/>
                <w:lang w:eastAsia="it-IT"/>
              </w:rPr>
            </w:pPr>
            <w:r w:rsidRPr="0019790A">
              <w:rPr>
                <w:rFonts w:cs="Arial"/>
                <w:szCs w:val="22"/>
                <w:lang w:eastAsia="it-IT"/>
              </w:rPr>
              <w:t>Покращити інфраструктуру та матеріально-технічну базу музеїв Жмеринської громади з метою збереження історико-культурної спадщини, підвищення туристичної привабливості та залучення молоді до краєзнавства.</w:t>
            </w:r>
          </w:p>
        </w:tc>
      </w:tr>
      <w:tr w:rsidR="00B8248C" w:rsidRPr="0019790A" w14:paraId="3D5A3D63" w14:textId="77777777" w:rsidTr="00084174">
        <w:trPr>
          <w:jc w:val="right"/>
        </w:trPr>
        <w:tc>
          <w:tcPr>
            <w:tcW w:w="3425" w:type="dxa"/>
            <w:vAlign w:val="center"/>
          </w:tcPr>
          <w:p w14:paraId="239B8C42" w14:textId="77777777" w:rsidR="00B8248C" w:rsidRPr="0019790A" w:rsidRDefault="00B8248C" w:rsidP="0019790A">
            <w:pPr>
              <w:rPr>
                <w:rFonts w:cs="Arial"/>
                <w:b/>
                <w:bCs/>
                <w:color w:val="000000"/>
                <w:szCs w:val="22"/>
              </w:rPr>
            </w:pPr>
            <w:r w:rsidRPr="0019790A">
              <w:rPr>
                <w:rFonts w:cs="Arial"/>
                <w:b/>
                <w:bCs/>
                <w:color w:val="000000"/>
                <w:szCs w:val="22"/>
              </w:rPr>
              <w:t>Цілі проєкту:</w:t>
            </w:r>
          </w:p>
        </w:tc>
        <w:tc>
          <w:tcPr>
            <w:tcW w:w="6794" w:type="dxa"/>
            <w:gridSpan w:val="9"/>
            <w:vAlign w:val="center"/>
          </w:tcPr>
          <w:p w14:paraId="21608656" w14:textId="77777777" w:rsidR="00B8248C" w:rsidRPr="0019790A" w:rsidRDefault="00B8248C" w:rsidP="00C27BF0">
            <w:pPr>
              <w:tabs>
                <w:tab w:val="left" w:pos="323"/>
              </w:tabs>
              <w:jc w:val="both"/>
              <w:rPr>
                <w:rFonts w:cs="Arial"/>
                <w:szCs w:val="22"/>
                <w:lang w:eastAsia="it-IT"/>
              </w:rPr>
            </w:pPr>
            <w:r w:rsidRPr="0019790A">
              <w:rPr>
                <w:rFonts w:cs="Arial"/>
                <w:szCs w:val="22"/>
                <w:lang w:eastAsia="it-IT"/>
              </w:rPr>
              <w:t>  Забезпечити сучасне технічне обладнання для презентації експозицій</w:t>
            </w:r>
          </w:p>
          <w:p w14:paraId="0F0E5A3A" w14:textId="77777777" w:rsidR="00B8248C" w:rsidRPr="0019790A" w:rsidRDefault="00B8248C" w:rsidP="00C27BF0">
            <w:pPr>
              <w:tabs>
                <w:tab w:val="left" w:pos="323"/>
              </w:tabs>
              <w:jc w:val="both"/>
              <w:rPr>
                <w:rFonts w:cs="Arial"/>
                <w:szCs w:val="22"/>
                <w:lang w:eastAsia="it-IT"/>
              </w:rPr>
            </w:pPr>
            <w:r w:rsidRPr="0019790A">
              <w:rPr>
                <w:rFonts w:cs="Arial"/>
                <w:szCs w:val="22"/>
                <w:lang w:eastAsia="it-IT"/>
              </w:rPr>
              <w:t>  Встановити систему відеонагляду, охоронну та пожежну сигналізацію для збереження експонатів та безпеки відвідувачів</w:t>
            </w:r>
          </w:p>
          <w:p w14:paraId="34A81366" w14:textId="77777777" w:rsidR="00B8248C" w:rsidRPr="0019790A" w:rsidRDefault="00B8248C" w:rsidP="00C27BF0">
            <w:pPr>
              <w:tabs>
                <w:tab w:val="left" w:pos="323"/>
              </w:tabs>
              <w:jc w:val="both"/>
              <w:rPr>
                <w:rFonts w:cs="Arial"/>
                <w:szCs w:val="22"/>
                <w:lang w:eastAsia="it-IT"/>
              </w:rPr>
            </w:pPr>
            <w:r w:rsidRPr="0019790A">
              <w:rPr>
                <w:rFonts w:cs="Arial"/>
                <w:szCs w:val="22"/>
                <w:lang w:eastAsia="it-IT"/>
              </w:rPr>
              <w:t>  Створити комфортні умови для освітніх заходів та екскурсій</w:t>
            </w:r>
          </w:p>
          <w:p w14:paraId="2EFD0FF7" w14:textId="77777777" w:rsidR="00B8248C" w:rsidRPr="0019790A" w:rsidRDefault="00B8248C" w:rsidP="00C27BF0">
            <w:pPr>
              <w:tabs>
                <w:tab w:val="left" w:pos="323"/>
              </w:tabs>
              <w:jc w:val="both"/>
              <w:rPr>
                <w:rFonts w:cs="Arial"/>
                <w:szCs w:val="22"/>
                <w:lang w:eastAsia="it-IT"/>
              </w:rPr>
            </w:pPr>
            <w:r w:rsidRPr="0019790A">
              <w:rPr>
                <w:rFonts w:cs="Arial"/>
                <w:szCs w:val="22"/>
                <w:lang w:eastAsia="it-IT"/>
              </w:rPr>
              <w:t>  Підвищити зацікавленість мешканців і гостей громади до музеїв</w:t>
            </w:r>
          </w:p>
        </w:tc>
      </w:tr>
      <w:tr w:rsidR="00B8248C" w:rsidRPr="0019790A" w14:paraId="0BE8AA8C" w14:textId="77777777" w:rsidTr="00084174">
        <w:trPr>
          <w:jc w:val="right"/>
        </w:trPr>
        <w:tc>
          <w:tcPr>
            <w:tcW w:w="3425" w:type="dxa"/>
            <w:vAlign w:val="center"/>
          </w:tcPr>
          <w:p w14:paraId="49F1E3D1" w14:textId="77777777" w:rsidR="00B8248C" w:rsidRPr="0019790A" w:rsidRDefault="00B8248C" w:rsidP="0019790A">
            <w:pPr>
              <w:autoSpaceDE w:val="0"/>
              <w:autoSpaceDN w:val="0"/>
              <w:adjustRightInd w:val="0"/>
              <w:rPr>
                <w:rFonts w:cs="Arial"/>
                <w:b/>
                <w:color w:val="000000"/>
                <w:szCs w:val="22"/>
              </w:rPr>
            </w:pPr>
            <w:r w:rsidRPr="0019790A">
              <w:rPr>
                <w:rFonts w:cs="Arial"/>
                <w:b/>
                <w:color w:val="000000"/>
                <w:szCs w:val="22"/>
              </w:rPr>
              <w:t>Територія на яку проєкт матиме вплив:</w:t>
            </w:r>
          </w:p>
        </w:tc>
        <w:tc>
          <w:tcPr>
            <w:tcW w:w="6794" w:type="dxa"/>
            <w:gridSpan w:val="9"/>
            <w:vAlign w:val="center"/>
          </w:tcPr>
          <w:p w14:paraId="5FBDB57F" w14:textId="77777777" w:rsidR="00B8248C" w:rsidRPr="0019790A" w:rsidRDefault="00B8248C" w:rsidP="00084174">
            <w:pPr>
              <w:jc w:val="both"/>
              <w:rPr>
                <w:rFonts w:cs="Arial"/>
                <w:szCs w:val="22"/>
                <w:lang w:eastAsia="it-IT"/>
              </w:rPr>
            </w:pPr>
            <w:r w:rsidRPr="0019790A">
              <w:rPr>
                <w:rFonts w:cs="Arial"/>
                <w:szCs w:val="22"/>
                <w:lang w:eastAsia="it-IT"/>
              </w:rPr>
              <w:t>Жмеринська міська територіальна громада</w:t>
            </w:r>
          </w:p>
        </w:tc>
      </w:tr>
      <w:tr w:rsidR="00B8248C" w:rsidRPr="0019790A" w14:paraId="41E6EC8E" w14:textId="77777777" w:rsidTr="00084174">
        <w:trPr>
          <w:jc w:val="right"/>
        </w:trPr>
        <w:tc>
          <w:tcPr>
            <w:tcW w:w="3425" w:type="dxa"/>
            <w:vAlign w:val="center"/>
          </w:tcPr>
          <w:p w14:paraId="77E3756D" w14:textId="77777777" w:rsidR="00B8248C" w:rsidRPr="0019790A" w:rsidRDefault="00B8248C" w:rsidP="0019790A">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4" w:type="dxa"/>
            <w:gridSpan w:val="9"/>
            <w:vAlign w:val="center"/>
          </w:tcPr>
          <w:p w14:paraId="6C1CDC1E" w14:textId="77777777" w:rsidR="00B8248C" w:rsidRPr="0019790A" w:rsidRDefault="00B8248C" w:rsidP="00084174">
            <w:pPr>
              <w:jc w:val="both"/>
              <w:rPr>
                <w:rFonts w:cs="Arial"/>
                <w:szCs w:val="22"/>
                <w:lang w:eastAsia="it-IT"/>
              </w:rPr>
            </w:pPr>
            <w:r w:rsidRPr="0019790A">
              <w:rPr>
                <w:rFonts w:cs="Arial"/>
                <w:szCs w:val="22"/>
                <w:lang w:eastAsia="it-IT"/>
              </w:rPr>
              <w:t>  Відвідувачі музеїв – понад 3000 осіб на рік</w:t>
            </w:r>
          </w:p>
          <w:p w14:paraId="2A355F1D" w14:textId="77777777" w:rsidR="00B8248C" w:rsidRPr="0019790A" w:rsidRDefault="00B8248C" w:rsidP="00084174">
            <w:pPr>
              <w:jc w:val="both"/>
              <w:rPr>
                <w:rFonts w:cs="Arial"/>
                <w:szCs w:val="22"/>
                <w:lang w:eastAsia="it-IT"/>
              </w:rPr>
            </w:pPr>
            <w:r w:rsidRPr="0019790A">
              <w:rPr>
                <w:rFonts w:cs="Arial"/>
                <w:szCs w:val="22"/>
                <w:lang w:eastAsia="it-IT"/>
              </w:rPr>
              <w:t>  Школярі, студенти, освітяни – понад 1500 осіб</w:t>
            </w:r>
          </w:p>
          <w:p w14:paraId="5C8EAAE2" w14:textId="77777777" w:rsidR="00B8248C" w:rsidRPr="0019790A" w:rsidRDefault="00B8248C" w:rsidP="00084174">
            <w:pPr>
              <w:jc w:val="both"/>
              <w:rPr>
                <w:rFonts w:cs="Arial"/>
                <w:szCs w:val="22"/>
                <w:lang w:eastAsia="it-IT"/>
              </w:rPr>
            </w:pPr>
            <w:r w:rsidRPr="0019790A">
              <w:rPr>
                <w:rFonts w:cs="Arial"/>
                <w:szCs w:val="22"/>
                <w:lang w:eastAsia="it-IT"/>
              </w:rPr>
              <w:t>  Мешканці громади, туристи, краєзнавці</w:t>
            </w:r>
          </w:p>
          <w:p w14:paraId="683E87A6" w14:textId="77777777" w:rsidR="00B8248C" w:rsidRPr="0019790A" w:rsidRDefault="00B8248C" w:rsidP="00084174">
            <w:pPr>
              <w:jc w:val="both"/>
              <w:rPr>
                <w:rFonts w:cs="Arial"/>
                <w:szCs w:val="22"/>
                <w:lang w:eastAsia="it-IT"/>
              </w:rPr>
            </w:pPr>
            <w:r w:rsidRPr="0019790A">
              <w:rPr>
                <w:rFonts w:cs="Arial"/>
                <w:szCs w:val="22"/>
                <w:lang w:eastAsia="it-IT"/>
              </w:rPr>
              <w:t>  Працівники музеїв – 3 осіб</w:t>
            </w:r>
          </w:p>
        </w:tc>
      </w:tr>
      <w:tr w:rsidR="00B8248C" w:rsidRPr="0019790A" w14:paraId="68662A1A" w14:textId="77777777" w:rsidTr="00084174">
        <w:trPr>
          <w:jc w:val="right"/>
        </w:trPr>
        <w:tc>
          <w:tcPr>
            <w:tcW w:w="3425" w:type="dxa"/>
            <w:shd w:val="clear" w:color="auto" w:fill="FFFFFF"/>
            <w:vAlign w:val="center"/>
          </w:tcPr>
          <w:p w14:paraId="530DEA16" w14:textId="77777777" w:rsidR="00B8248C" w:rsidRPr="0019790A" w:rsidRDefault="00B8248C" w:rsidP="0019790A">
            <w:pPr>
              <w:rPr>
                <w:rFonts w:cs="Arial"/>
                <w:b/>
                <w:bCs/>
                <w:color w:val="000000"/>
                <w:szCs w:val="22"/>
              </w:rPr>
            </w:pPr>
            <w:r w:rsidRPr="0019790A">
              <w:rPr>
                <w:rFonts w:cs="Arial"/>
                <w:b/>
                <w:bCs/>
                <w:color w:val="000000"/>
                <w:szCs w:val="22"/>
              </w:rPr>
              <w:t>Стислий опис проєкту:</w:t>
            </w:r>
          </w:p>
        </w:tc>
        <w:tc>
          <w:tcPr>
            <w:tcW w:w="6794" w:type="dxa"/>
            <w:gridSpan w:val="9"/>
            <w:vAlign w:val="center"/>
          </w:tcPr>
          <w:p w14:paraId="57DA3A6A" w14:textId="77777777" w:rsidR="00B8248C" w:rsidRPr="0019790A" w:rsidRDefault="00B8248C" w:rsidP="00C27BF0">
            <w:pPr>
              <w:tabs>
                <w:tab w:val="left" w:pos="290"/>
              </w:tabs>
              <w:jc w:val="both"/>
              <w:rPr>
                <w:rFonts w:cs="Arial"/>
                <w:szCs w:val="22"/>
                <w:lang w:eastAsia="it-IT"/>
              </w:rPr>
            </w:pPr>
            <w:r w:rsidRPr="0019790A">
              <w:rPr>
                <w:rFonts w:cs="Arial"/>
                <w:szCs w:val="22"/>
                <w:lang w:eastAsia="it-IT"/>
              </w:rPr>
              <w:t>Проєкт передбачає проведення модернізаційних заходів у двох закладах культури:</w:t>
            </w:r>
          </w:p>
          <w:p w14:paraId="69FFC7FA" w14:textId="77777777" w:rsidR="00B8248C" w:rsidRPr="0019790A" w:rsidRDefault="00B8248C" w:rsidP="00C27BF0">
            <w:pPr>
              <w:numPr>
                <w:ilvl w:val="0"/>
                <w:numId w:val="34"/>
              </w:numPr>
              <w:tabs>
                <w:tab w:val="left" w:pos="290"/>
              </w:tabs>
              <w:ind w:left="0" w:firstLine="0"/>
              <w:jc w:val="both"/>
              <w:rPr>
                <w:rFonts w:cs="Arial"/>
                <w:szCs w:val="22"/>
                <w:lang w:eastAsia="it-IT"/>
              </w:rPr>
            </w:pPr>
            <w:r w:rsidRPr="0019790A">
              <w:rPr>
                <w:rFonts w:cs="Arial"/>
                <w:szCs w:val="22"/>
                <w:lang w:eastAsia="it-IT"/>
              </w:rPr>
              <w:t>КЗ «Музей історії села Кармалюкове»: облаштування вхідної зони, оновлення інтер'єру, експозиційного освітлення, встановлення відео нагляду.</w:t>
            </w:r>
          </w:p>
          <w:p w14:paraId="14A7A900" w14:textId="77777777" w:rsidR="00B8248C" w:rsidRPr="0019790A" w:rsidRDefault="00B8248C" w:rsidP="00C27BF0">
            <w:pPr>
              <w:numPr>
                <w:ilvl w:val="0"/>
                <w:numId w:val="34"/>
              </w:numPr>
              <w:tabs>
                <w:tab w:val="left" w:pos="290"/>
              </w:tabs>
              <w:ind w:left="0" w:firstLine="0"/>
              <w:jc w:val="both"/>
              <w:rPr>
                <w:rFonts w:cs="Arial"/>
                <w:szCs w:val="22"/>
                <w:lang w:eastAsia="it-IT"/>
              </w:rPr>
            </w:pPr>
            <w:r w:rsidRPr="0019790A">
              <w:rPr>
                <w:rFonts w:cs="Arial"/>
                <w:szCs w:val="22"/>
                <w:lang w:eastAsia="it-IT"/>
              </w:rPr>
              <w:t>КЗ «Літературний музей імені В. О. Забаштанського»: встановлення системи відеонагляду, модернізація виставкових площ, оновлення експозиційного обладнання, ремонт приміщення.</w:t>
            </w:r>
          </w:p>
          <w:p w14:paraId="7F0B1D0B" w14:textId="77777777" w:rsidR="00B8248C" w:rsidRPr="0019790A" w:rsidRDefault="00B8248C" w:rsidP="00C27BF0">
            <w:pPr>
              <w:tabs>
                <w:tab w:val="left" w:pos="290"/>
              </w:tabs>
              <w:jc w:val="both"/>
              <w:rPr>
                <w:rFonts w:cs="Arial"/>
                <w:szCs w:val="22"/>
                <w:lang w:eastAsia="it-IT"/>
              </w:rPr>
            </w:pPr>
            <w:r w:rsidRPr="0019790A">
              <w:rPr>
                <w:rFonts w:cs="Arial"/>
                <w:szCs w:val="22"/>
                <w:lang w:eastAsia="it-IT"/>
              </w:rPr>
              <w:t>Проєкт сприятиме осучасненню музеїв, підвищенню безпеки експонатів, залученню нових категорій відвідувачів.</w:t>
            </w:r>
          </w:p>
        </w:tc>
      </w:tr>
      <w:tr w:rsidR="00B8248C" w:rsidRPr="0019790A" w14:paraId="24894CA2" w14:textId="77777777" w:rsidTr="00084174">
        <w:trPr>
          <w:jc w:val="right"/>
        </w:trPr>
        <w:tc>
          <w:tcPr>
            <w:tcW w:w="3425" w:type="dxa"/>
            <w:shd w:val="clear" w:color="auto" w:fill="FFFFFF"/>
            <w:vAlign w:val="center"/>
          </w:tcPr>
          <w:p w14:paraId="326A1212" w14:textId="77777777" w:rsidR="00B8248C" w:rsidRPr="0019790A" w:rsidRDefault="00B8248C" w:rsidP="0019790A">
            <w:pPr>
              <w:rPr>
                <w:rFonts w:cs="Arial"/>
                <w:b/>
                <w:bCs/>
                <w:color w:val="000000"/>
                <w:szCs w:val="22"/>
              </w:rPr>
            </w:pPr>
            <w:r w:rsidRPr="0019790A">
              <w:rPr>
                <w:rFonts w:cs="Arial"/>
                <w:b/>
                <w:bCs/>
                <w:color w:val="000000"/>
                <w:szCs w:val="22"/>
              </w:rPr>
              <w:t>Основні заходи проєкту:</w:t>
            </w:r>
          </w:p>
        </w:tc>
        <w:tc>
          <w:tcPr>
            <w:tcW w:w="6794" w:type="dxa"/>
            <w:gridSpan w:val="9"/>
            <w:vAlign w:val="center"/>
          </w:tcPr>
          <w:p w14:paraId="2A440239" w14:textId="77777777" w:rsidR="00B8248C" w:rsidRPr="0019790A" w:rsidRDefault="00B8248C" w:rsidP="00084174">
            <w:pPr>
              <w:jc w:val="both"/>
              <w:rPr>
                <w:rFonts w:cs="Arial"/>
                <w:szCs w:val="22"/>
                <w:lang w:eastAsia="it-IT"/>
              </w:rPr>
            </w:pPr>
            <w:r w:rsidRPr="0019790A">
              <w:rPr>
                <w:rFonts w:cs="Arial"/>
                <w:szCs w:val="22"/>
                <w:lang w:eastAsia="it-IT"/>
              </w:rPr>
              <w:t>  Придбання обладнання: вітрини, стенди, системи освітлення</w:t>
            </w:r>
          </w:p>
          <w:p w14:paraId="0E161BB4" w14:textId="2E2828C5" w:rsidR="00B8248C" w:rsidRPr="0019790A" w:rsidRDefault="00B8248C" w:rsidP="00084174">
            <w:pPr>
              <w:jc w:val="both"/>
              <w:rPr>
                <w:rFonts w:cs="Arial"/>
                <w:szCs w:val="22"/>
                <w:lang w:eastAsia="it-IT"/>
              </w:rPr>
            </w:pPr>
            <w:r w:rsidRPr="0019790A">
              <w:rPr>
                <w:rFonts w:cs="Arial"/>
                <w:szCs w:val="22"/>
                <w:lang w:eastAsia="it-IT"/>
              </w:rPr>
              <w:t xml:space="preserve">  Встановлення відеоспостереження , охоронної та пожежної </w:t>
            </w:r>
            <w:r w:rsidR="00C27BF0" w:rsidRPr="0019790A">
              <w:rPr>
                <w:rFonts w:cs="Arial"/>
                <w:szCs w:val="22"/>
                <w:lang w:eastAsia="it-IT"/>
              </w:rPr>
              <w:t>сигналізації</w:t>
            </w:r>
            <w:r w:rsidRPr="0019790A">
              <w:rPr>
                <w:rFonts w:cs="Arial"/>
                <w:szCs w:val="22"/>
                <w:lang w:eastAsia="it-IT"/>
              </w:rPr>
              <w:t xml:space="preserve"> у КЗ «Літературний музей імені В. О. Забаштанського» та КЗ «Музей історії села Кармалюкове»</w:t>
            </w:r>
          </w:p>
          <w:p w14:paraId="01317773" w14:textId="77777777" w:rsidR="00B8248C" w:rsidRPr="0019790A" w:rsidRDefault="00B8248C" w:rsidP="00084174">
            <w:pPr>
              <w:jc w:val="both"/>
              <w:rPr>
                <w:rFonts w:cs="Arial"/>
                <w:szCs w:val="22"/>
                <w:lang w:eastAsia="it-IT"/>
              </w:rPr>
            </w:pPr>
            <w:r w:rsidRPr="0019790A">
              <w:rPr>
                <w:rFonts w:cs="Arial"/>
                <w:szCs w:val="22"/>
                <w:lang w:eastAsia="it-IT"/>
              </w:rPr>
              <w:t>  Покращення умов для роботи з групами: стільці, техніка</w:t>
            </w:r>
          </w:p>
          <w:p w14:paraId="61C02CF3" w14:textId="77777777" w:rsidR="00B8248C" w:rsidRPr="0019790A" w:rsidRDefault="00B8248C" w:rsidP="00084174">
            <w:pPr>
              <w:jc w:val="both"/>
              <w:rPr>
                <w:rFonts w:cs="Arial"/>
                <w:szCs w:val="22"/>
                <w:lang w:eastAsia="it-IT"/>
              </w:rPr>
            </w:pPr>
            <w:r w:rsidRPr="0019790A">
              <w:rPr>
                <w:rFonts w:cs="Arial"/>
                <w:szCs w:val="22"/>
                <w:lang w:eastAsia="it-IT"/>
              </w:rPr>
              <w:t>  Проведення інформування про оновлення через ЗМІ, соціальні мережі, друковану продукцію</w:t>
            </w:r>
          </w:p>
        </w:tc>
      </w:tr>
      <w:tr w:rsidR="00B8248C" w:rsidRPr="0019790A" w14:paraId="179C57A9" w14:textId="77777777" w:rsidTr="00084174">
        <w:trPr>
          <w:jc w:val="right"/>
        </w:trPr>
        <w:tc>
          <w:tcPr>
            <w:tcW w:w="3425" w:type="dxa"/>
            <w:shd w:val="clear" w:color="auto" w:fill="FFFFFF"/>
            <w:vAlign w:val="center"/>
          </w:tcPr>
          <w:p w14:paraId="424DA670" w14:textId="77777777" w:rsidR="00B8248C" w:rsidRPr="0019790A" w:rsidRDefault="00B8248C"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794" w:type="dxa"/>
            <w:gridSpan w:val="9"/>
            <w:vAlign w:val="center"/>
          </w:tcPr>
          <w:p w14:paraId="37F6EA62" w14:textId="59E37BC5" w:rsidR="00B8248C" w:rsidRPr="0019790A" w:rsidRDefault="00B8248C" w:rsidP="00084174">
            <w:pPr>
              <w:jc w:val="both"/>
              <w:rPr>
                <w:rFonts w:cs="Arial"/>
                <w:szCs w:val="22"/>
                <w:lang w:eastAsia="it-IT"/>
              </w:rPr>
            </w:pPr>
            <w:r w:rsidRPr="0019790A">
              <w:rPr>
                <w:rFonts w:cs="Arial"/>
                <w:szCs w:val="22"/>
                <w:lang w:eastAsia="it-IT"/>
              </w:rPr>
              <w:t xml:space="preserve">  Встановлено 2 системи відеонагляду, охоронної та пожежної </w:t>
            </w:r>
            <w:r w:rsidR="00C27BF0" w:rsidRPr="0019790A">
              <w:rPr>
                <w:rFonts w:cs="Arial"/>
                <w:szCs w:val="22"/>
                <w:lang w:eastAsia="it-IT"/>
              </w:rPr>
              <w:t>сигналізації</w:t>
            </w:r>
          </w:p>
          <w:p w14:paraId="168A8753" w14:textId="77777777" w:rsidR="00B8248C" w:rsidRPr="0019790A" w:rsidRDefault="00B8248C" w:rsidP="00084174">
            <w:pPr>
              <w:jc w:val="both"/>
              <w:rPr>
                <w:rFonts w:cs="Arial"/>
                <w:szCs w:val="22"/>
                <w:lang w:eastAsia="it-IT"/>
              </w:rPr>
            </w:pPr>
            <w:r w:rsidRPr="0019790A">
              <w:rPr>
                <w:rFonts w:cs="Arial"/>
                <w:szCs w:val="22"/>
                <w:lang w:eastAsia="it-IT"/>
              </w:rPr>
              <w:t>  Придбано не менше 8 одиниць нового обладнання</w:t>
            </w:r>
          </w:p>
          <w:p w14:paraId="5B7626D6" w14:textId="77777777" w:rsidR="00B8248C" w:rsidRPr="0019790A" w:rsidRDefault="00B8248C" w:rsidP="00084174">
            <w:pPr>
              <w:jc w:val="both"/>
              <w:rPr>
                <w:rFonts w:cs="Arial"/>
                <w:szCs w:val="22"/>
                <w:lang w:eastAsia="it-IT"/>
              </w:rPr>
            </w:pPr>
            <w:r w:rsidRPr="0019790A">
              <w:rPr>
                <w:rFonts w:cs="Arial"/>
                <w:szCs w:val="22"/>
                <w:lang w:eastAsia="it-IT"/>
              </w:rPr>
              <w:t>  Кількість відвідувачів зросте на 30%</w:t>
            </w:r>
          </w:p>
          <w:p w14:paraId="5EBCB59C" w14:textId="77777777" w:rsidR="00B8248C" w:rsidRPr="0019790A" w:rsidRDefault="00B8248C" w:rsidP="00084174">
            <w:pPr>
              <w:jc w:val="both"/>
              <w:rPr>
                <w:rFonts w:cs="Arial"/>
                <w:szCs w:val="22"/>
                <w:lang w:eastAsia="it-IT"/>
              </w:rPr>
            </w:pPr>
            <w:r w:rsidRPr="0019790A">
              <w:rPr>
                <w:rFonts w:cs="Arial"/>
                <w:szCs w:val="22"/>
                <w:lang w:eastAsia="it-IT"/>
              </w:rPr>
              <w:t>  Проведено не менше 15 культурно-освітніх заходів на рік</w:t>
            </w:r>
          </w:p>
          <w:p w14:paraId="089001A9" w14:textId="77777777" w:rsidR="00B8248C" w:rsidRPr="0019790A" w:rsidRDefault="00B8248C" w:rsidP="00084174">
            <w:pPr>
              <w:jc w:val="both"/>
              <w:rPr>
                <w:rFonts w:cs="Arial"/>
                <w:szCs w:val="22"/>
                <w:lang w:eastAsia="it-IT"/>
              </w:rPr>
            </w:pPr>
            <w:r w:rsidRPr="0019790A">
              <w:rPr>
                <w:rFonts w:cs="Arial"/>
                <w:szCs w:val="22"/>
                <w:lang w:eastAsia="it-IT"/>
              </w:rPr>
              <w:t>  Залучення молоді через тематичні екскурсії та інтерактивні заняття</w:t>
            </w:r>
          </w:p>
        </w:tc>
      </w:tr>
      <w:tr w:rsidR="00B8248C" w:rsidRPr="0019790A" w14:paraId="257755E8" w14:textId="77777777" w:rsidTr="00B8248C">
        <w:trPr>
          <w:jc w:val="right"/>
        </w:trPr>
        <w:tc>
          <w:tcPr>
            <w:tcW w:w="3425" w:type="dxa"/>
            <w:shd w:val="clear" w:color="auto" w:fill="FFFFFF"/>
            <w:vAlign w:val="center"/>
          </w:tcPr>
          <w:p w14:paraId="63DBA8C3" w14:textId="77777777" w:rsidR="00B8248C" w:rsidRPr="0019790A" w:rsidRDefault="00B8248C" w:rsidP="0019790A">
            <w:pPr>
              <w:rPr>
                <w:rFonts w:cs="Arial"/>
                <w:b/>
                <w:color w:val="000000"/>
                <w:szCs w:val="22"/>
              </w:rPr>
            </w:pPr>
            <w:r w:rsidRPr="0019790A">
              <w:rPr>
                <w:rFonts w:cs="Arial"/>
                <w:b/>
                <w:color w:val="000000"/>
                <w:szCs w:val="22"/>
              </w:rPr>
              <w:t xml:space="preserve">Період здійснення: </w:t>
            </w:r>
          </w:p>
        </w:tc>
        <w:tc>
          <w:tcPr>
            <w:tcW w:w="6794" w:type="dxa"/>
            <w:gridSpan w:val="9"/>
            <w:vAlign w:val="center"/>
          </w:tcPr>
          <w:p w14:paraId="7CE62DC8" w14:textId="77777777" w:rsidR="00B8248C" w:rsidRPr="0019790A" w:rsidRDefault="00B8248C" w:rsidP="0019790A">
            <w:pPr>
              <w:rPr>
                <w:rFonts w:cs="Arial"/>
                <w:color w:val="000000"/>
                <w:szCs w:val="22"/>
                <w:lang w:eastAsia="it-IT"/>
              </w:rPr>
            </w:pPr>
            <w:r w:rsidRPr="0019790A">
              <w:rPr>
                <w:rFonts w:cs="Arial"/>
                <w:b/>
                <w:color w:val="000000"/>
                <w:szCs w:val="22"/>
              </w:rPr>
              <w:t>2025 – 2028 роки:</w:t>
            </w:r>
          </w:p>
        </w:tc>
      </w:tr>
      <w:tr w:rsidR="00B8248C" w:rsidRPr="0019790A" w14:paraId="3CB21279" w14:textId="77777777" w:rsidTr="00B8248C">
        <w:trPr>
          <w:jc w:val="right"/>
        </w:trPr>
        <w:tc>
          <w:tcPr>
            <w:tcW w:w="3425" w:type="dxa"/>
            <w:vMerge w:val="restart"/>
            <w:shd w:val="clear" w:color="auto" w:fill="FFFFFF"/>
            <w:vAlign w:val="center"/>
          </w:tcPr>
          <w:p w14:paraId="6E276FAF" w14:textId="77777777" w:rsidR="00B8248C" w:rsidRPr="0019790A" w:rsidRDefault="00B8248C" w:rsidP="0019790A">
            <w:pPr>
              <w:rPr>
                <w:rFonts w:cs="Arial"/>
                <w:b/>
                <w:bCs/>
                <w:color w:val="000000"/>
                <w:szCs w:val="22"/>
              </w:rPr>
            </w:pPr>
            <w:r w:rsidRPr="0019790A">
              <w:rPr>
                <w:rFonts w:cs="Arial"/>
                <w:b/>
                <w:bCs/>
                <w:color w:val="000000"/>
                <w:szCs w:val="22"/>
              </w:rPr>
              <w:t>Орієнтовна вартість проєкту, тис. грн., в тому числі:</w:t>
            </w:r>
          </w:p>
        </w:tc>
        <w:tc>
          <w:tcPr>
            <w:tcW w:w="1254" w:type="dxa"/>
            <w:gridSpan w:val="2"/>
            <w:shd w:val="clear" w:color="auto" w:fill="E6E6E6"/>
            <w:vAlign w:val="center"/>
          </w:tcPr>
          <w:p w14:paraId="79F47492"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2025</w:t>
            </w:r>
          </w:p>
        </w:tc>
        <w:tc>
          <w:tcPr>
            <w:tcW w:w="1275" w:type="dxa"/>
            <w:gridSpan w:val="2"/>
            <w:shd w:val="clear" w:color="auto" w:fill="E6E6E6"/>
            <w:vAlign w:val="center"/>
          </w:tcPr>
          <w:p w14:paraId="322909BD"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2026</w:t>
            </w:r>
          </w:p>
        </w:tc>
        <w:tc>
          <w:tcPr>
            <w:tcW w:w="1418" w:type="dxa"/>
            <w:tcBorders>
              <w:bottom w:val="single" w:sz="4" w:space="0" w:color="auto"/>
            </w:tcBorders>
            <w:shd w:val="clear" w:color="auto" w:fill="E6E6E6"/>
            <w:vAlign w:val="center"/>
          </w:tcPr>
          <w:p w14:paraId="6B676582"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2027</w:t>
            </w:r>
          </w:p>
        </w:tc>
        <w:tc>
          <w:tcPr>
            <w:tcW w:w="1276" w:type="dxa"/>
            <w:gridSpan w:val="2"/>
            <w:shd w:val="clear" w:color="auto" w:fill="E6E6E6"/>
            <w:vAlign w:val="center"/>
          </w:tcPr>
          <w:p w14:paraId="78AE21DC"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2028</w:t>
            </w:r>
          </w:p>
        </w:tc>
        <w:tc>
          <w:tcPr>
            <w:tcW w:w="1571" w:type="dxa"/>
            <w:gridSpan w:val="2"/>
            <w:shd w:val="clear" w:color="auto" w:fill="E6E6E6"/>
            <w:vAlign w:val="center"/>
          </w:tcPr>
          <w:p w14:paraId="4B55FC04"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РАЗОМ</w:t>
            </w:r>
          </w:p>
        </w:tc>
      </w:tr>
      <w:tr w:rsidR="00B8248C" w:rsidRPr="0019790A" w14:paraId="7A7F46DF" w14:textId="77777777" w:rsidTr="00C27BF0">
        <w:trPr>
          <w:jc w:val="right"/>
        </w:trPr>
        <w:tc>
          <w:tcPr>
            <w:tcW w:w="3425" w:type="dxa"/>
            <w:vMerge/>
            <w:shd w:val="clear" w:color="auto" w:fill="FFFFFF"/>
            <w:vAlign w:val="center"/>
          </w:tcPr>
          <w:p w14:paraId="167B90D0" w14:textId="77777777" w:rsidR="00B8248C" w:rsidRPr="0019790A" w:rsidRDefault="00B8248C" w:rsidP="0019790A">
            <w:pPr>
              <w:rPr>
                <w:rFonts w:cs="Arial"/>
                <w:b/>
                <w:bCs/>
                <w:color w:val="000000"/>
                <w:szCs w:val="22"/>
              </w:rPr>
            </w:pPr>
          </w:p>
        </w:tc>
        <w:tc>
          <w:tcPr>
            <w:tcW w:w="1254" w:type="dxa"/>
            <w:gridSpan w:val="2"/>
            <w:vAlign w:val="center"/>
          </w:tcPr>
          <w:p w14:paraId="1D6F41C6"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100,0</w:t>
            </w:r>
          </w:p>
        </w:tc>
        <w:tc>
          <w:tcPr>
            <w:tcW w:w="1275" w:type="dxa"/>
            <w:gridSpan w:val="2"/>
            <w:shd w:val="clear" w:color="auto" w:fill="FFFFFF"/>
            <w:vAlign w:val="center"/>
          </w:tcPr>
          <w:p w14:paraId="503B03F9"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300,0</w:t>
            </w:r>
          </w:p>
        </w:tc>
        <w:tc>
          <w:tcPr>
            <w:tcW w:w="1418" w:type="dxa"/>
            <w:shd w:val="clear" w:color="auto" w:fill="auto"/>
            <w:vAlign w:val="center"/>
          </w:tcPr>
          <w:p w14:paraId="03144665"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300,0</w:t>
            </w:r>
          </w:p>
        </w:tc>
        <w:tc>
          <w:tcPr>
            <w:tcW w:w="1276" w:type="dxa"/>
            <w:gridSpan w:val="2"/>
            <w:shd w:val="clear" w:color="auto" w:fill="FFFFFF"/>
            <w:vAlign w:val="center"/>
          </w:tcPr>
          <w:p w14:paraId="3BDD497D"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300,0</w:t>
            </w:r>
          </w:p>
        </w:tc>
        <w:tc>
          <w:tcPr>
            <w:tcW w:w="1571" w:type="dxa"/>
            <w:gridSpan w:val="2"/>
            <w:shd w:val="clear" w:color="auto" w:fill="FFFFFF"/>
            <w:vAlign w:val="center"/>
          </w:tcPr>
          <w:p w14:paraId="33590E1D" w14:textId="77777777" w:rsidR="00B8248C" w:rsidRPr="00C27BF0" w:rsidRDefault="00B8248C" w:rsidP="00C27BF0">
            <w:pPr>
              <w:jc w:val="center"/>
              <w:rPr>
                <w:rFonts w:cs="Arial"/>
                <w:b/>
                <w:color w:val="000000"/>
                <w:szCs w:val="22"/>
                <w:lang w:eastAsia="it-IT"/>
              </w:rPr>
            </w:pPr>
            <w:r w:rsidRPr="00C27BF0">
              <w:rPr>
                <w:rFonts w:cs="Arial"/>
                <w:b/>
                <w:color w:val="000000"/>
                <w:szCs w:val="22"/>
                <w:lang w:eastAsia="it-IT"/>
              </w:rPr>
              <w:t>1000,0</w:t>
            </w:r>
          </w:p>
        </w:tc>
      </w:tr>
      <w:tr w:rsidR="00B8248C" w:rsidRPr="0019790A" w14:paraId="1064213D" w14:textId="77777777" w:rsidTr="00C27BF0">
        <w:trPr>
          <w:trHeight w:val="276"/>
          <w:jc w:val="right"/>
        </w:trPr>
        <w:tc>
          <w:tcPr>
            <w:tcW w:w="3425" w:type="dxa"/>
            <w:shd w:val="clear" w:color="auto" w:fill="FFFFFF"/>
            <w:vAlign w:val="center"/>
          </w:tcPr>
          <w:p w14:paraId="7FCEDF21" w14:textId="77777777" w:rsidR="00B8248C" w:rsidRPr="0019790A" w:rsidRDefault="00B8248C" w:rsidP="0019790A">
            <w:pPr>
              <w:rPr>
                <w:rFonts w:cs="Arial"/>
                <w:b/>
                <w:bCs/>
                <w:color w:val="000000"/>
                <w:szCs w:val="22"/>
              </w:rPr>
            </w:pPr>
            <w:r w:rsidRPr="0019790A">
              <w:rPr>
                <w:rFonts w:cs="Arial"/>
                <w:b/>
                <w:bCs/>
                <w:color w:val="000000"/>
                <w:szCs w:val="22"/>
              </w:rPr>
              <w:t>по джерелах фінансування:</w:t>
            </w:r>
          </w:p>
        </w:tc>
        <w:tc>
          <w:tcPr>
            <w:tcW w:w="6794" w:type="dxa"/>
            <w:gridSpan w:val="9"/>
            <w:vAlign w:val="center"/>
          </w:tcPr>
          <w:p w14:paraId="3E52FA96" w14:textId="77777777" w:rsidR="00B8248C" w:rsidRPr="00C27BF0" w:rsidRDefault="00B8248C" w:rsidP="00C27BF0">
            <w:pPr>
              <w:jc w:val="center"/>
              <w:rPr>
                <w:rFonts w:cs="Arial"/>
                <w:b/>
                <w:color w:val="000000"/>
                <w:szCs w:val="22"/>
                <w:lang w:eastAsia="it-IT"/>
              </w:rPr>
            </w:pPr>
          </w:p>
        </w:tc>
      </w:tr>
      <w:tr w:rsidR="00C27BF0" w:rsidRPr="0019790A" w14:paraId="19DE158D" w14:textId="24FF825F" w:rsidTr="00C27BF0">
        <w:trPr>
          <w:trHeight w:val="240"/>
          <w:jc w:val="right"/>
        </w:trPr>
        <w:tc>
          <w:tcPr>
            <w:tcW w:w="3425" w:type="dxa"/>
            <w:shd w:val="clear" w:color="auto" w:fill="FFFFFF"/>
            <w:vAlign w:val="center"/>
          </w:tcPr>
          <w:p w14:paraId="6C5BE558" w14:textId="77777777" w:rsidR="00C27BF0" w:rsidRPr="0019790A" w:rsidRDefault="00C27BF0" w:rsidP="0019790A">
            <w:pPr>
              <w:rPr>
                <w:rFonts w:cs="Arial"/>
                <w:b/>
                <w:bCs/>
                <w:color w:val="000000"/>
                <w:szCs w:val="22"/>
              </w:rPr>
            </w:pPr>
            <w:r w:rsidRPr="0019790A">
              <w:rPr>
                <w:rFonts w:cs="Arial"/>
                <w:color w:val="000000"/>
                <w:szCs w:val="22"/>
              </w:rPr>
              <w:t>- державний бюджет</w:t>
            </w:r>
          </w:p>
        </w:tc>
        <w:tc>
          <w:tcPr>
            <w:tcW w:w="1227" w:type="dxa"/>
            <w:vAlign w:val="center"/>
          </w:tcPr>
          <w:p w14:paraId="1C7A460D" w14:textId="77777777" w:rsidR="00C27BF0" w:rsidRPr="0019790A" w:rsidRDefault="00C27BF0" w:rsidP="00C27BF0">
            <w:pPr>
              <w:jc w:val="center"/>
              <w:rPr>
                <w:rFonts w:cs="Arial"/>
                <w:color w:val="000000"/>
                <w:szCs w:val="22"/>
                <w:lang w:eastAsia="it-IT"/>
              </w:rPr>
            </w:pPr>
          </w:p>
        </w:tc>
        <w:tc>
          <w:tcPr>
            <w:tcW w:w="1290" w:type="dxa"/>
            <w:gridSpan w:val="2"/>
            <w:vAlign w:val="center"/>
          </w:tcPr>
          <w:p w14:paraId="2AA4057E" w14:textId="77777777" w:rsidR="00C27BF0" w:rsidRPr="0019790A" w:rsidRDefault="00C27BF0" w:rsidP="00C27BF0">
            <w:pPr>
              <w:jc w:val="center"/>
              <w:rPr>
                <w:rFonts w:cs="Arial"/>
                <w:color w:val="000000"/>
                <w:szCs w:val="22"/>
                <w:lang w:eastAsia="it-IT"/>
              </w:rPr>
            </w:pPr>
          </w:p>
        </w:tc>
        <w:tc>
          <w:tcPr>
            <w:tcW w:w="1440" w:type="dxa"/>
            <w:gridSpan w:val="3"/>
            <w:vAlign w:val="center"/>
          </w:tcPr>
          <w:p w14:paraId="6208493F" w14:textId="77777777" w:rsidR="00C27BF0" w:rsidRPr="0019790A" w:rsidRDefault="00C27BF0" w:rsidP="00C27BF0">
            <w:pPr>
              <w:jc w:val="center"/>
              <w:rPr>
                <w:rFonts w:cs="Arial"/>
                <w:color w:val="000000"/>
                <w:szCs w:val="22"/>
                <w:lang w:eastAsia="it-IT"/>
              </w:rPr>
            </w:pPr>
          </w:p>
        </w:tc>
        <w:tc>
          <w:tcPr>
            <w:tcW w:w="1290" w:type="dxa"/>
            <w:gridSpan w:val="2"/>
            <w:vAlign w:val="center"/>
          </w:tcPr>
          <w:p w14:paraId="4C542DE7" w14:textId="77777777" w:rsidR="00C27BF0" w:rsidRPr="0019790A" w:rsidRDefault="00C27BF0" w:rsidP="00C27BF0">
            <w:pPr>
              <w:jc w:val="center"/>
              <w:rPr>
                <w:rFonts w:cs="Arial"/>
                <w:color w:val="000000"/>
                <w:szCs w:val="22"/>
                <w:lang w:eastAsia="it-IT"/>
              </w:rPr>
            </w:pPr>
          </w:p>
        </w:tc>
        <w:tc>
          <w:tcPr>
            <w:tcW w:w="1547" w:type="dxa"/>
            <w:vAlign w:val="center"/>
          </w:tcPr>
          <w:p w14:paraId="79394376" w14:textId="77777777" w:rsidR="00C27BF0" w:rsidRPr="00C27BF0" w:rsidRDefault="00C27BF0" w:rsidP="00C27BF0">
            <w:pPr>
              <w:jc w:val="center"/>
              <w:rPr>
                <w:rFonts w:cs="Arial"/>
                <w:b/>
                <w:color w:val="000000"/>
                <w:szCs w:val="22"/>
                <w:lang w:eastAsia="it-IT"/>
              </w:rPr>
            </w:pPr>
          </w:p>
        </w:tc>
      </w:tr>
      <w:tr w:rsidR="00C27BF0" w:rsidRPr="0019790A" w14:paraId="1CB21C53" w14:textId="2E9D8C71" w:rsidTr="00C27BF0">
        <w:trPr>
          <w:trHeight w:val="254"/>
          <w:jc w:val="right"/>
        </w:trPr>
        <w:tc>
          <w:tcPr>
            <w:tcW w:w="3425" w:type="dxa"/>
            <w:shd w:val="clear" w:color="auto" w:fill="FFFFFF"/>
            <w:vAlign w:val="center"/>
          </w:tcPr>
          <w:p w14:paraId="77ED77DE" w14:textId="77777777" w:rsidR="00C27BF0" w:rsidRPr="0019790A" w:rsidRDefault="00C27BF0" w:rsidP="0019790A">
            <w:pPr>
              <w:rPr>
                <w:rFonts w:cs="Arial"/>
                <w:color w:val="000000"/>
                <w:szCs w:val="22"/>
              </w:rPr>
            </w:pPr>
            <w:r w:rsidRPr="0019790A">
              <w:rPr>
                <w:rFonts w:cs="Arial"/>
                <w:color w:val="000000"/>
                <w:szCs w:val="22"/>
              </w:rPr>
              <w:t>- обласний бюджет</w:t>
            </w:r>
          </w:p>
        </w:tc>
        <w:tc>
          <w:tcPr>
            <w:tcW w:w="1227" w:type="dxa"/>
            <w:vAlign w:val="center"/>
          </w:tcPr>
          <w:p w14:paraId="6C1C81F2" w14:textId="77777777" w:rsidR="00C27BF0" w:rsidRPr="0019790A" w:rsidRDefault="00C27BF0" w:rsidP="00C27BF0">
            <w:pPr>
              <w:jc w:val="center"/>
              <w:rPr>
                <w:rFonts w:cs="Arial"/>
                <w:color w:val="000000"/>
                <w:szCs w:val="22"/>
                <w:lang w:eastAsia="it-IT"/>
              </w:rPr>
            </w:pPr>
          </w:p>
        </w:tc>
        <w:tc>
          <w:tcPr>
            <w:tcW w:w="1290" w:type="dxa"/>
            <w:gridSpan w:val="2"/>
            <w:vAlign w:val="center"/>
          </w:tcPr>
          <w:p w14:paraId="67C8FB77" w14:textId="77777777" w:rsidR="00C27BF0" w:rsidRPr="0019790A" w:rsidRDefault="00C27BF0" w:rsidP="00C27BF0">
            <w:pPr>
              <w:jc w:val="center"/>
              <w:rPr>
                <w:rFonts w:cs="Arial"/>
                <w:color w:val="000000"/>
                <w:szCs w:val="22"/>
                <w:lang w:eastAsia="it-IT"/>
              </w:rPr>
            </w:pPr>
          </w:p>
        </w:tc>
        <w:tc>
          <w:tcPr>
            <w:tcW w:w="1440" w:type="dxa"/>
            <w:gridSpan w:val="3"/>
            <w:vAlign w:val="center"/>
          </w:tcPr>
          <w:p w14:paraId="3CF5C826" w14:textId="77777777" w:rsidR="00C27BF0" w:rsidRPr="0019790A" w:rsidRDefault="00C27BF0" w:rsidP="00C27BF0">
            <w:pPr>
              <w:jc w:val="center"/>
              <w:rPr>
                <w:rFonts w:cs="Arial"/>
                <w:color w:val="000000"/>
                <w:szCs w:val="22"/>
                <w:lang w:eastAsia="it-IT"/>
              </w:rPr>
            </w:pPr>
          </w:p>
        </w:tc>
        <w:tc>
          <w:tcPr>
            <w:tcW w:w="1290" w:type="dxa"/>
            <w:gridSpan w:val="2"/>
            <w:vAlign w:val="center"/>
          </w:tcPr>
          <w:p w14:paraId="21105C3A" w14:textId="77777777" w:rsidR="00C27BF0" w:rsidRPr="0019790A" w:rsidRDefault="00C27BF0" w:rsidP="00C27BF0">
            <w:pPr>
              <w:jc w:val="center"/>
              <w:rPr>
                <w:rFonts w:cs="Arial"/>
                <w:color w:val="000000"/>
                <w:szCs w:val="22"/>
                <w:lang w:eastAsia="it-IT"/>
              </w:rPr>
            </w:pPr>
          </w:p>
        </w:tc>
        <w:tc>
          <w:tcPr>
            <w:tcW w:w="1547" w:type="dxa"/>
            <w:vAlign w:val="center"/>
          </w:tcPr>
          <w:p w14:paraId="6D21880A" w14:textId="77777777" w:rsidR="00C27BF0" w:rsidRPr="00C27BF0" w:rsidRDefault="00C27BF0" w:rsidP="00C27BF0">
            <w:pPr>
              <w:jc w:val="center"/>
              <w:rPr>
                <w:rFonts w:cs="Arial"/>
                <w:b/>
                <w:color w:val="000000"/>
                <w:szCs w:val="22"/>
                <w:lang w:eastAsia="it-IT"/>
              </w:rPr>
            </w:pPr>
          </w:p>
        </w:tc>
      </w:tr>
      <w:tr w:rsidR="00C27BF0" w:rsidRPr="0019790A" w14:paraId="5E73AE3F" w14:textId="263A85DA" w:rsidTr="00C27BF0">
        <w:trPr>
          <w:trHeight w:val="275"/>
          <w:jc w:val="right"/>
        </w:trPr>
        <w:tc>
          <w:tcPr>
            <w:tcW w:w="3425" w:type="dxa"/>
            <w:shd w:val="clear" w:color="auto" w:fill="FFFFFF"/>
            <w:vAlign w:val="center"/>
          </w:tcPr>
          <w:p w14:paraId="77F555EB" w14:textId="77777777" w:rsidR="00C27BF0" w:rsidRPr="0019790A" w:rsidRDefault="00C27BF0" w:rsidP="00C27BF0">
            <w:pPr>
              <w:rPr>
                <w:rFonts w:cs="Arial"/>
                <w:color w:val="000000"/>
                <w:szCs w:val="22"/>
              </w:rPr>
            </w:pPr>
            <w:r w:rsidRPr="0019790A">
              <w:rPr>
                <w:rFonts w:cs="Arial"/>
                <w:color w:val="000000"/>
                <w:szCs w:val="22"/>
              </w:rPr>
              <w:t>- бюджет Жмеринської МТГ</w:t>
            </w:r>
          </w:p>
        </w:tc>
        <w:tc>
          <w:tcPr>
            <w:tcW w:w="1227" w:type="dxa"/>
            <w:vAlign w:val="center"/>
          </w:tcPr>
          <w:p w14:paraId="19EE1A4D" w14:textId="55C4EE1E" w:rsidR="00C27BF0" w:rsidRPr="0019790A" w:rsidRDefault="00C27BF0" w:rsidP="00C27BF0">
            <w:pPr>
              <w:jc w:val="center"/>
              <w:rPr>
                <w:rFonts w:cs="Arial"/>
                <w:color w:val="000000"/>
                <w:szCs w:val="22"/>
                <w:lang w:eastAsia="it-IT"/>
              </w:rPr>
            </w:pPr>
          </w:p>
        </w:tc>
        <w:tc>
          <w:tcPr>
            <w:tcW w:w="1290" w:type="dxa"/>
            <w:gridSpan w:val="2"/>
            <w:vAlign w:val="center"/>
          </w:tcPr>
          <w:p w14:paraId="07BACA55" w14:textId="1E58D728" w:rsidR="00C27BF0" w:rsidRPr="00C27BF0" w:rsidRDefault="00C27BF0" w:rsidP="00C27BF0">
            <w:pPr>
              <w:jc w:val="center"/>
              <w:rPr>
                <w:rFonts w:cs="Arial"/>
                <w:color w:val="000000"/>
                <w:szCs w:val="22"/>
                <w:lang w:eastAsia="it-IT"/>
              </w:rPr>
            </w:pPr>
            <w:r w:rsidRPr="00C27BF0">
              <w:rPr>
                <w:rFonts w:cs="Arial"/>
                <w:color w:val="000000"/>
                <w:szCs w:val="22"/>
                <w:lang w:eastAsia="it-IT"/>
              </w:rPr>
              <w:t>300,0</w:t>
            </w:r>
          </w:p>
        </w:tc>
        <w:tc>
          <w:tcPr>
            <w:tcW w:w="1440" w:type="dxa"/>
            <w:gridSpan w:val="3"/>
            <w:vAlign w:val="center"/>
          </w:tcPr>
          <w:p w14:paraId="0D8FDF3D" w14:textId="5142EBBA" w:rsidR="00C27BF0" w:rsidRPr="00C27BF0" w:rsidRDefault="00C27BF0" w:rsidP="00C27BF0">
            <w:pPr>
              <w:jc w:val="center"/>
              <w:rPr>
                <w:rFonts w:cs="Arial"/>
                <w:color w:val="000000"/>
                <w:szCs w:val="22"/>
                <w:lang w:eastAsia="it-IT"/>
              </w:rPr>
            </w:pPr>
            <w:r w:rsidRPr="00C27BF0">
              <w:rPr>
                <w:rFonts w:cs="Arial"/>
                <w:color w:val="000000"/>
                <w:szCs w:val="22"/>
                <w:lang w:eastAsia="it-IT"/>
              </w:rPr>
              <w:t>300,0</w:t>
            </w:r>
          </w:p>
        </w:tc>
        <w:tc>
          <w:tcPr>
            <w:tcW w:w="1290" w:type="dxa"/>
            <w:gridSpan w:val="2"/>
            <w:vAlign w:val="center"/>
          </w:tcPr>
          <w:p w14:paraId="4AC5E80D" w14:textId="0F5A2261" w:rsidR="00C27BF0" w:rsidRPr="00C27BF0" w:rsidRDefault="00C27BF0" w:rsidP="00C27BF0">
            <w:pPr>
              <w:jc w:val="center"/>
              <w:rPr>
                <w:rFonts w:cs="Arial"/>
                <w:color w:val="000000"/>
                <w:szCs w:val="22"/>
                <w:lang w:eastAsia="it-IT"/>
              </w:rPr>
            </w:pPr>
            <w:r w:rsidRPr="00C27BF0">
              <w:rPr>
                <w:rFonts w:cs="Arial"/>
                <w:color w:val="000000"/>
                <w:szCs w:val="22"/>
                <w:lang w:eastAsia="it-IT"/>
              </w:rPr>
              <w:t>300,0</w:t>
            </w:r>
          </w:p>
        </w:tc>
        <w:tc>
          <w:tcPr>
            <w:tcW w:w="1547" w:type="dxa"/>
            <w:vAlign w:val="center"/>
          </w:tcPr>
          <w:p w14:paraId="2E2DCA59" w14:textId="75AFAE0E" w:rsidR="00C27BF0" w:rsidRPr="00C27BF0" w:rsidRDefault="00C27BF0" w:rsidP="00C27BF0">
            <w:pPr>
              <w:jc w:val="center"/>
              <w:rPr>
                <w:rFonts w:cs="Arial"/>
                <w:b/>
                <w:color w:val="000000"/>
                <w:szCs w:val="22"/>
                <w:lang w:eastAsia="it-IT"/>
              </w:rPr>
            </w:pPr>
            <w:r w:rsidRPr="00C27BF0">
              <w:rPr>
                <w:rFonts w:cs="Arial"/>
                <w:b/>
                <w:color w:val="000000"/>
                <w:szCs w:val="22"/>
                <w:lang w:eastAsia="it-IT"/>
              </w:rPr>
              <w:t>900,0</w:t>
            </w:r>
          </w:p>
        </w:tc>
      </w:tr>
      <w:tr w:rsidR="00C27BF0" w:rsidRPr="0019790A" w14:paraId="5A857D9A" w14:textId="598A7A6E" w:rsidTr="00C27BF0">
        <w:trPr>
          <w:trHeight w:val="226"/>
          <w:jc w:val="right"/>
        </w:trPr>
        <w:tc>
          <w:tcPr>
            <w:tcW w:w="3425" w:type="dxa"/>
            <w:shd w:val="clear" w:color="auto" w:fill="FFFFFF"/>
            <w:vAlign w:val="center"/>
          </w:tcPr>
          <w:p w14:paraId="16F0A285" w14:textId="77777777" w:rsidR="00C27BF0" w:rsidRPr="0019790A" w:rsidRDefault="00C27BF0" w:rsidP="00C27BF0">
            <w:pPr>
              <w:rPr>
                <w:rFonts w:cs="Arial"/>
                <w:color w:val="000000"/>
                <w:szCs w:val="22"/>
              </w:rPr>
            </w:pPr>
            <w:r w:rsidRPr="0019790A">
              <w:rPr>
                <w:rFonts w:cs="Arial"/>
                <w:color w:val="000000"/>
                <w:szCs w:val="22"/>
              </w:rPr>
              <w:t>- інші джерела фінансування</w:t>
            </w:r>
          </w:p>
        </w:tc>
        <w:tc>
          <w:tcPr>
            <w:tcW w:w="1227" w:type="dxa"/>
            <w:vAlign w:val="center"/>
          </w:tcPr>
          <w:p w14:paraId="289796EB" w14:textId="42764FC9" w:rsidR="00C27BF0" w:rsidRPr="0019790A" w:rsidRDefault="00C27BF0" w:rsidP="00C27BF0">
            <w:pPr>
              <w:jc w:val="center"/>
              <w:rPr>
                <w:rFonts w:cs="Arial"/>
                <w:szCs w:val="22"/>
              </w:rPr>
            </w:pPr>
            <w:r w:rsidRPr="0019790A">
              <w:rPr>
                <w:rFonts w:cs="Arial"/>
                <w:szCs w:val="22"/>
              </w:rPr>
              <w:t>100</w:t>
            </w:r>
            <w:r>
              <w:rPr>
                <w:rFonts w:cs="Arial"/>
                <w:szCs w:val="22"/>
              </w:rPr>
              <w:t>,0</w:t>
            </w:r>
          </w:p>
        </w:tc>
        <w:tc>
          <w:tcPr>
            <w:tcW w:w="1290" w:type="dxa"/>
            <w:gridSpan w:val="2"/>
            <w:vAlign w:val="center"/>
          </w:tcPr>
          <w:p w14:paraId="1E1A1846" w14:textId="77777777" w:rsidR="00C27BF0" w:rsidRPr="0019790A" w:rsidRDefault="00C27BF0" w:rsidP="00C27BF0">
            <w:pPr>
              <w:jc w:val="center"/>
              <w:rPr>
                <w:rFonts w:cs="Arial"/>
                <w:szCs w:val="22"/>
              </w:rPr>
            </w:pPr>
          </w:p>
        </w:tc>
        <w:tc>
          <w:tcPr>
            <w:tcW w:w="1440" w:type="dxa"/>
            <w:gridSpan w:val="3"/>
            <w:vAlign w:val="center"/>
          </w:tcPr>
          <w:p w14:paraId="5059B96A" w14:textId="77777777" w:rsidR="00C27BF0" w:rsidRPr="0019790A" w:rsidRDefault="00C27BF0" w:rsidP="00C27BF0">
            <w:pPr>
              <w:jc w:val="center"/>
              <w:rPr>
                <w:rFonts w:cs="Arial"/>
                <w:szCs w:val="22"/>
              </w:rPr>
            </w:pPr>
          </w:p>
        </w:tc>
        <w:tc>
          <w:tcPr>
            <w:tcW w:w="1290" w:type="dxa"/>
            <w:gridSpan w:val="2"/>
            <w:vAlign w:val="center"/>
          </w:tcPr>
          <w:p w14:paraId="3CBBEB56" w14:textId="77777777" w:rsidR="00C27BF0" w:rsidRPr="0019790A" w:rsidRDefault="00C27BF0" w:rsidP="00C27BF0">
            <w:pPr>
              <w:jc w:val="center"/>
              <w:rPr>
                <w:rFonts w:cs="Arial"/>
                <w:szCs w:val="22"/>
              </w:rPr>
            </w:pPr>
          </w:p>
        </w:tc>
        <w:tc>
          <w:tcPr>
            <w:tcW w:w="1547" w:type="dxa"/>
            <w:vAlign w:val="center"/>
          </w:tcPr>
          <w:p w14:paraId="3087BD9B" w14:textId="0F93929E" w:rsidR="00C27BF0" w:rsidRPr="00C27BF0" w:rsidRDefault="00C27BF0" w:rsidP="00C27BF0">
            <w:pPr>
              <w:jc w:val="center"/>
              <w:rPr>
                <w:rFonts w:cs="Arial"/>
                <w:b/>
                <w:szCs w:val="22"/>
              </w:rPr>
            </w:pPr>
            <w:r w:rsidRPr="00C27BF0">
              <w:rPr>
                <w:rFonts w:cs="Arial"/>
                <w:b/>
                <w:szCs w:val="22"/>
              </w:rPr>
              <w:t>100,0</w:t>
            </w:r>
          </w:p>
        </w:tc>
      </w:tr>
      <w:tr w:rsidR="00C27BF0" w:rsidRPr="0019790A" w14:paraId="7D1F9800" w14:textId="77777777" w:rsidTr="00B8248C">
        <w:trPr>
          <w:jc w:val="right"/>
        </w:trPr>
        <w:tc>
          <w:tcPr>
            <w:tcW w:w="3425" w:type="dxa"/>
            <w:shd w:val="clear" w:color="auto" w:fill="FFFFFF"/>
            <w:vAlign w:val="center"/>
          </w:tcPr>
          <w:p w14:paraId="4E305AAE" w14:textId="77777777" w:rsidR="00C27BF0" w:rsidRPr="0019790A" w:rsidRDefault="00C27BF0" w:rsidP="00C27BF0">
            <w:pPr>
              <w:rPr>
                <w:rFonts w:cs="Arial"/>
                <w:b/>
                <w:bCs/>
                <w:color w:val="000000"/>
                <w:szCs w:val="22"/>
              </w:rPr>
            </w:pPr>
            <w:r w:rsidRPr="0019790A">
              <w:rPr>
                <w:rFonts w:cs="Arial"/>
                <w:b/>
                <w:color w:val="000000"/>
                <w:szCs w:val="22"/>
              </w:rPr>
              <w:t>Відповідальний виконавець проєкту:</w:t>
            </w:r>
          </w:p>
        </w:tc>
        <w:tc>
          <w:tcPr>
            <w:tcW w:w="6794" w:type="dxa"/>
            <w:gridSpan w:val="9"/>
            <w:vAlign w:val="center"/>
          </w:tcPr>
          <w:p w14:paraId="3013A7F8" w14:textId="77777777" w:rsidR="00C27BF0" w:rsidRPr="00C27BF0" w:rsidRDefault="00C27BF0" w:rsidP="00C27BF0">
            <w:pPr>
              <w:jc w:val="both"/>
              <w:rPr>
                <w:rFonts w:cs="Arial"/>
                <w:color w:val="000000"/>
                <w:szCs w:val="22"/>
                <w:lang w:eastAsia="it-IT"/>
              </w:rPr>
            </w:pPr>
            <w:r w:rsidRPr="00C27BF0">
              <w:rPr>
                <w:rFonts w:cs="Arial"/>
                <w:color w:val="000000"/>
                <w:szCs w:val="22"/>
                <w:lang w:eastAsia="it-IT"/>
              </w:rPr>
              <w:t>Управління культури і туризму Жмеринської міської ради</w:t>
            </w:r>
          </w:p>
        </w:tc>
      </w:tr>
      <w:tr w:rsidR="00C27BF0" w:rsidRPr="0019790A" w14:paraId="7A3B8038" w14:textId="77777777" w:rsidTr="00B8248C">
        <w:trPr>
          <w:jc w:val="right"/>
        </w:trPr>
        <w:tc>
          <w:tcPr>
            <w:tcW w:w="3425" w:type="dxa"/>
            <w:shd w:val="clear" w:color="auto" w:fill="FFFFFF"/>
            <w:vAlign w:val="center"/>
          </w:tcPr>
          <w:p w14:paraId="40174012" w14:textId="77777777" w:rsidR="00C27BF0" w:rsidRPr="0019790A" w:rsidRDefault="00C27BF0" w:rsidP="00C27BF0">
            <w:pPr>
              <w:rPr>
                <w:rFonts w:cs="Arial"/>
                <w:b/>
                <w:bCs/>
                <w:color w:val="000000"/>
                <w:szCs w:val="22"/>
              </w:rPr>
            </w:pPr>
            <w:r w:rsidRPr="0019790A">
              <w:rPr>
                <w:rFonts w:cs="Arial"/>
                <w:b/>
                <w:bCs/>
                <w:color w:val="000000"/>
                <w:szCs w:val="22"/>
              </w:rPr>
              <w:t>Інше:</w:t>
            </w:r>
          </w:p>
        </w:tc>
        <w:tc>
          <w:tcPr>
            <w:tcW w:w="6794" w:type="dxa"/>
            <w:gridSpan w:val="9"/>
            <w:vAlign w:val="center"/>
          </w:tcPr>
          <w:p w14:paraId="5701C6FB" w14:textId="77777777" w:rsidR="00C27BF0" w:rsidRPr="0019790A" w:rsidRDefault="00C27BF0" w:rsidP="00C27BF0">
            <w:pPr>
              <w:jc w:val="both"/>
              <w:rPr>
                <w:rFonts w:cs="Arial"/>
                <w:color w:val="000000"/>
                <w:szCs w:val="22"/>
                <w:lang w:eastAsia="it-IT"/>
              </w:rPr>
            </w:pPr>
            <w:r w:rsidRPr="0019790A">
              <w:rPr>
                <w:rFonts w:cs="Arial"/>
                <w:color w:val="000000"/>
                <w:szCs w:val="22"/>
                <w:lang w:eastAsia="it-IT"/>
              </w:rPr>
              <w:t>Музеї громади отримають нове дихання, стануть відкритим освітнім і туристичним простором. Це проєкт про гідне збереження нашого минулого заради майбутнього.</w:t>
            </w:r>
          </w:p>
        </w:tc>
      </w:tr>
    </w:tbl>
    <w:p w14:paraId="57B2D9E8" w14:textId="77777777" w:rsidR="00B8248C" w:rsidRPr="0019790A" w:rsidRDefault="00B8248C" w:rsidP="0019790A">
      <w:pPr>
        <w:rPr>
          <w:rFonts w:cs="Arial"/>
          <w:szCs w:val="22"/>
        </w:rPr>
      </w:pPr>
    </w:p>
    <w:p w14:paraId="55239F49" w14:textId="77777777" w:rsidR="00B8248C" w:rsidRPr="0019790A" w:rsidRDefault="00B8248C" w:rsidP="0019790A">
      <w:pPr>
        <w:jc w:val="right"/>
        <w:rPr>
          <w:rFonts w:cs="Arial"/>
          <w:b/>
          <w:szCs w:val="22"/>
          <w:highlight w:val="lightGray"/>
        </w:rPr>
      </w:pPr>
    </w:p>
    <w:p w14:paraId="566E3016" w14:textId="77777777" w:rsidR="00820A36" w:rsidRDefault="00820A36" w:rsidP="0019790A">
      <w:pPr>
        <w:jc w:val="center"/>
        <w:rPr>
          <w:rFonts w:cs="Arial"/>
          <w:b/>
          <w:color w:val="000000"/>
          <w:szCs w:val="22"/>
        </w:rPr>
      </w:pPr>
    </w:p>
    <w:p w14:paraId="5C37ACC2" w14:textId="77777777" w:rsidR="00820A36" w:rsidRDefault="00820A36" w:rsidP="0019790A">
      <w:pPr>
        <w:jc w:val="center"/>
        <w:rPr>
          <w:rFonts w:cs="Arial"/>
          <w:b/>
          <w:color w:val="000000"/>
          <w:szCs w:val="22"/>
        </w:rPr>
      </w:pPr>
    </w:p>
    <w:p w14:paraId="5EEB767A" w14:textId="77777777" w:rsidR="00820A36" w:rsidRDefault="00820A36" w:rsidP="0019790A">
      <w:pPr>
        <w:jc w:val="center"/>
        <w:rPr>
          <w:rFonts w:cs="Arial"/>
          <w:b/>
          <w:color w:val="000000"/>
          <w:szCs w:val="22"/>
        </w:rPr>
      </w:pPr>
    </w:p>
    <w:p w14:paraId="0A2D04A9" w14:textId="77777777" w:rsidR="00820A36" w:rsidRDefault="00820A36" w:rsidP="0019790A">
      <w:pPr>
        <w:jc w:val="center"/>
        <w:rPr>
          <w:rFonts w:cs="Arial"/>
          <w:b/>
          <w:color w:val="000000"/>
          <w:szCs w:val="22"/>
        </w:rPr>
      </w:pPr>
    </w:p>
    <w:p w14:paraId="437ABA20" w14:textId="77777777" w:rsidR="00B8248C" w:rsidRPr="0019790A" w:rsidRDefault="00B8248C" w:rsidP="0019790A">
      <w:pPr>
        <w:jc w:val="center"/>
        <w:rPr>
          <w:rFonts w:cs="Arial"/>
          <w:b/>
          <w:color w:val="000000"/>
          <w:szCs w:val="22"/>
        </w:rPr>
      </w:pPr>
      <w:r w:rsidRPr="0019790A">
        <w:rPr>
          <w:rFonts w:cs="Arial"/>
          <w:b/>
          <w:color w:val="000000"/>
          <w:szCs w:val="22"/>
        </w:rPr>
        <w:t xml:space="preserve">Форма технічного завдання на проєкт місцевого розвитку </w:t>
      </w:r>
    </w:p>
    <w:p w14:paraId="56433CEF" w14:textId="77777777" w:rsidR="00B8248C" w:rsidRPr="0019790A" w:rsidRDefault="00B8248C" w:rsidP="0019790A">
      <w:pPr>
        <w:jc w:val="center"/>
        <w:rPr>
          <w:rFonts w:cs="Arial"/>
          <w:b/>
          <w:color w:val="000000"/>
          <w:szCs w:val="22"/>
        </w:rPr>
      </w:pPr>
      <w:r w:rsidRPr="0019790A">
        <w:rPr>
          <w:rFonts w:cs="Arial"/>
          <w:b/>
          <w:color w:val="000000"/>
          <w:szCs w:val="22"/>
        </w:rPr>
        <w:t>до Плану заходів з реалізації Стратегії</w:t>
      </w:r>
    </w:p>
    <w:p w14:paraId="6C857876" w14:textId="77777777" w:rsidR="00B8248C" w:rsidRPr="0019790A" w:rsidRDefault="00B8248C"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3"/>
        <w:gridCol w:w="1254"/>
        <w:gridCol w:w="1275"/>
        <w:gridCol w:w="40"/>
        <w:gridCol w:w="1378"/>
        <w:gridCol w:w="12"/>
        <w:gridCol w:w="1264"/>
        <w:gridCol w:w="38"/>
        <w:gridCol w:w="1535"/>
      </w:tblGrid>
      <w:tr w:rsidR="00B8248C" w:rsidRPr="0019790A" w14:paraId="4EC8A187" w14:textId="77777777" w:rsidTr="00C27BF0">
        <w:trPr>
          <w:jc w:val="right"/>
        </w:trPr>
        <w:tc>
          <w:tcPr>
            <w:tcW w:w="3425" w:type="dxa"/>
            <w:vAlign w:val="center"/>
          </w:tcPr>
          <w:p w14:paraId="576B2653" w14:textId="77777777" w:rsidR="00B8248C" w:rsidRPr="0019790A" w:rsidRDefault="00B8248C" w:rsidP="0019790A">
            <w:pPr>
              <w:rPr>
                <w:rFonts w:cs="Arial"/>
                <w:b/>
                <w:bCs/>
                <w:color w:val="000000"/>
                <w:szCs w:val="22"/>
              </w:rPr>
            </w:pPr>
            <w:r w:rsidRPr="0019790A">
              <w:rPr>
                <w:rFonts w:cs="Arial"/>
                <w:b/>
                <w:bCs/>
                <w:color w:val="000000"/>
                <w:szCs w:val="22"/>
              </w:rPr>
              <w:t>Назва проєкту:</w:t>
            </w:r>
          </w:p>
        </w:tc>
        <w:tc>
          <w:tcPr>
            <w:tcW w:w="6794" w:type="dxa"/>
            <w:gridSpan w:val="8"/>
            <w:vAlign w:val="center"/>
          </w:tcPr>
          <w:p w14:paraId="44AA27E0" w14:textId="77777777" w:rsidR="00B8248C" w:rsidRPr="0019790A" w:rsidRDefault="00B8248C" w:rsidP="00C27BF0">
            <w:pPr>
              <w:jc w:val="both"/>
              <w:rPr>
                <w:rFonts w:cs="Arial"/>
                <w:b/>
                <w:szCs w:val="22"/>
                <w:lang w:eastAsia="it-IT"/>
              </w:rPr>
            </w:pPr>
            <w:r w:rsidRPr="0019790A">
              <w:rPr>
                <w:rFonts w:cs="Arial"/>
                <w:b/>
                <w:szCs w:val="22"/>
                <w:lang w:eastAsia="it-IT"/>
              </w:rPr>
              <w:t>«Реконструкція системи опалення Центру культури і дозвілля із встановленням модульної котельні»</w:t>
            </w:r>
          </w:p>
        </w:tc>
      </w:tr>
      <w:tr w:rsidR="00B8248C" w:rsidRPr="0019790A" w14:paraId="19C63253" w14:textId="77777777" w:rsidTr="00C27BF0">
        <w:trPr>
          <w:jc w:val="right"/>
        </w:trPr>
        <w:tc>
          <w:tcPr>
            <w:tcW w:w="3425" w:type="dxa"/>
          </w:tcPr>
          <w:p w14:paraId="01E99A21" w14:textId="77777777" w:rsidR="00B8248C" w:rsidRPr="0019790A" w:rsidRDefault="00B8248C"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79CA8E8B" w14:textId="77777777" w:rsidR="00B8248C" w:rsidRPr="0019790A" w:rsidRDefault="00B8248C"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8"/>
            <w:vAlign w:val="center"/>
          </w:tcPr>
          <w:p w14:paraId="6ACB714B" w14:textId="77777777" w:rsidR="00B8248C" w:rsidRPr="00C27BF0" w:rsidRDefault="00B8248C" w:rsidP="00C27BF0">
            <w:pPr>
              <w:jc w:val="both"/>
              <w:rPr>
                <w:rFonts w:cs="Arial"/>
                <w:szCs w:val="22"/>
                <w:lang w:eastAsia="it-IT"/>
              </w:rPr>
            </w:pPr>
            <w:r w:rsidRPr="00C27BF0">
              <w:rPr>
                <w:rFonts w:cs="Arial"/>
                <w:szCs w:val="22"/>
                <w:lang w:eastAsia="it-IT"/>
              </w:rPr>
              <w:t>Комунальний заклад «Центр культури і дозвілля» Жмеринської міської ТГ</w:t>
            </w:r>
          </w:p>
        </w:tc>
      </w:tr>
      <w:tr w:rsidR="00B8248C" w:rsidRPr="0019790A" w14:paraId="4A491072" w14:textId="77777777" w:rsidTr="00C27BF0">
        <w:trPr>
          <w:jc w:val="right"/>
        </w:trPr>
        <w:tc>
          <w:tcPr>
            <w:tcW w:w="3425" w:type="dxa"/>
          </w:tcPr>
          <w:p w14:paraId="6385592A" w14:textId="77777777" w:rsidR="00B8248C" w:rsidRPr="0019790A" w:rsidRDefault="00B8248C" w:rsidP="0019790A">
            <w:pPr>
              <w:rPr>
                <w:rFonts w:cs="Arial"/>
                <w:b/>
                <w:bCs/>
                <w:szCs w:val="22"/>
              </w:rPr>
            </w:pPr>
            <w:r w:rsidRPr="0019790A">
              <w:rPr>
                <w:rFonts w:cs="Arial"/>
                <w:szCs w:val="22"/>
                <w:lang w:eastAsia="it-IT"/>
              </w:rPr>
              <w:t>Прізвище Ім’я По-батькові:</w:t>
            </w:r>
          </w:p>
        </w:tc>
        <w:tc>
          <w:tcPr>
            <w:tcW w:w="6794" w:type="dxa"/>
            <w:gridSpan w:val="8"/>
            <w:vAlign w:val="center"/>
          </w:tcPr>
          <w:p w14:paraId="0DBA973F" w14:textId="77777777" w:rsidR="00B8248C" w:rsidRPr="00C27BF0" w:rsidRDefault="00B8248C" w:rsidP="00C27BF0">
            <w:pPr>
              <w:jc w:val="both"/>
              <w:rPr>
                <w:rFonts w:cs="Arial"/>
                <w:szCs w:val="22"/>
                <w:lang w:eastAsia="it-IT"/>
              </w:rPr>
            </w:pPr>
            <w:r w:rsidRPr="00C27BF0">
              <w:rPr>
                <w:rFonts w:cs="Arial"/>
                <w:szCs w:val="22"/>
                <w:lang w:eastAsia="it-IT"/>
              </w:rPr>
              <w:t>Доноаге Людмила Іванівна</w:t>
            </w:r>
          </w:p>
        </w:tc>
      </w:tr>
      <w:tr w:rsidR="00B8248C" w:rsidRPr="0019790A" w14:paraId="16B94EBA" w14:textId="77777777" w:rsidTr="00C27BF0">
        <w:trPr>
          <w:jc w:val="right"/>
        </w:trPr>
        <w:tc>
          <w:tcPr>
            <w:tcW w:w="3425" w:type="dxa"/>
          </w:tcPr>
          <w:p w14:paraId="7008C6F8" w14:textId="77777777" w:rsidR="00B8248C" w:rsidRPr="0019790A" w:rsidRDefault="00B8248C" w:rsidP="0019790A">
            <w:pPr>
              <w:rPr>
                <w:rFonts w:cs="Arial"/>
                <w:b/>
                <w:bCs/>
                <w:szCs w:val="22"/>
              </w:rPr>
            </w:pPr>
            <w:r w:rsidRPr="0019790A">
              <w:rPr>
                <w:rFonts w:cs="Arial"/>
                <w:szCs w:val="22"/>
                <w:lang w:eastAsia="it-IT"/>
              </w:rPr>
              <w:t>Телефон (мобільний):</w:t>
            </w:r>
          </w:p>
        </w:tc>
        <w:tc>
          <w:tcPr>
            <w:tcW w:w="6794" w:type="dxa"/>
            <w:gridSpan w:val="8"/>
            <w:vAlign w:val="center"/>
          </w:tcPr>
          <w:p w14:paraId="1BC604F8" w14:textId="77777777" w:rsidR="00B8248C" w:rsidRPr="00C27BF0" w:rsidRDefault="00B8248C" w:rsidP="00C27BF0">
            <w:pPr>
              <w:jc w:val="both"/>
              <w:rPr>
                <w:rFonts w:cs="Arial"/>
                <w:szCs w:val="22"/>
                <w:lang w:eastAsia="it-IT"/>
              </w:rPr>
            </w:pPr>
            <w:r w:rsidRPr="00C27BF0">
              <w:rPr>
                <w:rFonts w:cs="Arial"/>
                <w:szCs w:val="22"/>
                <w:lang w:eastAsia="it-IT"/>
              </w:rPr>
              <w:t>+380687992816</w:t>
            </w:r>
          </w:p>
        </w:tc>
      </w:tr>
      <w:tr w:rsidR="00B8248C" w:rsidRPr="0019790A" w14:paraId="2587FBC0" w14:textId="77777777" w:rsidTr="00C27BF0">
        <w:trPr>
          <w:jc w:val="right"/>
        </w:trPr>
        <w:tc>
          <w:tcPr>
            <w:tcW w:w="3425" w:type="dxa"/>
          </w:tcPr>
          <w:p w14:paraId="5E0DE4A0" w14:textId="77777777" w:rsidR="00B8248C" w:rsidRPr="0019790A" w:rsidRDefault="00B8248C" w:rsidP="0019790A">
            <w:pPr>
              <w:rPr>
                <w:rFonts w:cs="Arial"/>
                <w:b/>
                <w:bCs/>
                <w:szCs w:val="22"/>
              </w:rPr>
            </w:pPr>
            <w:r w:rsidRPr="0019790A">
              <w:rPr>
                <w:rFonts w:cs="Arial"/>
                <w:szCs w:val="22"/>
                <w:lang w:eastAsia="it-IT"/>
              </w:rPr>
              <w:t>Електронна адреса:</w:t>
            </w:r>
          </w:p>
        </w:tc>
        <w:tc>
          <w:tcPr>
            <w:tcW w:w="6794" w:type="dxa"/>
            <w:gridSpan w:val="8"/>
            <w:vAlign w:val="center"/>
          </w:tcPr>
          <w:p w14:paraId="5608AAA9" w14:textId="26BEDBD0" w:rsidR="00B8248C" w:rsidRPr="00C27BF0" w:rsidRDefault="00D85FFD" w:rsidP="00C27BF0">
            <w:pPr>
              <w:jc w:val="both"/>
              <w:rPr>
                <w:rFonts w:cs="Arial"/>
                <w:szCs w:val="22"/>
                <w:lang w:eastAsia="it-IT"/>
              </w:rPr>
            </w:pPr>
            <w:hyperlink r:id="rId128" w:history="1">
              <w:r w:rsidR="00C27BF0" w:rsidRPr="00BF0394">
                <w:rPr>
                  <w:rStyle w:val="af0"/>
                  <w:rFonts w:cs="Arial"/>
                  <w:noProof w:val="0"/>
                  <w:sz w:val="22"/>
                  <w:szCs w:val="22"/>
                  <w:lang w:eastAsia="it-IT"/>
                </w:rPr>
                <w:t>domkulturi23@ukr.net</w:t>
              </w:r>
            </w:hyperlink>
            <w:r w:rsidR="00C27BF0">
              <w:rPr>
                <w:rFonts w:cs="Arial"/>
                <w:szCs w:val="22"/>
                <w:lang w:eastAsia="it-IT"/>
              </w:rPr>
              <w:t xml:space="preserve"> </w:t>
            </w:r>
          </w:p>
        </w:tc>
      </w:tr>
      <w:tr w:rsidR="00B8248C" w:rsidRPr="0019790A" w14:paraId="2D2F7EFA" w14:textId="77777777" w:rsidTr="00C27BF0">
        <w:trPr>
          <w:jc w:val="right"/>
        </w:trPr>
        <w:tc>
          <w:tcPr>
            <w:tcW w:w="3425" w:type="dxa"/>
            <w:vAlign w:val="center"/>
          </w:tcPr>
          <w:p w14:paraId="6CD1ACDE" w14:textId="77777777" w:rsidR="00B8248C" w:rsidRPr="0019790A" w:rsidRDefault="00B8248C" w:rsidP="0019790A">
            <w:pPr>
              <w:outlineLvl w:val="5"/>
              <w:rPr>
                <w:rFonts w:cs="Arial"/>
                <w:b/>
                <w:bCs/>
                <w:color w:val="000000"/>
                <w:szCs w:val="22"/>
              </w:rPr>
            </w:pPr>
            <w:r w:rsidRPr="0019790A">
              <w:rPr>
                <w:rFonts w:cs="Arial"/>
                <w:b/>
                <w:bCs/>
                <w:color w:val="000000"/>
                <w:szCs w:val="22"/>
              </w:rPr>
              <w:t>Номер і назва завдання з Стратегії</w:t>
            </w:r>
            <w:r w:rsidRPr="0019790A">
              <w:rPr>
                <w:rFonts w:cs="Arial"/>
                <w:b/>
                <w:bCs/>
                <w:szCs w:val="22"/>
                <w:lang w:eastAsia="it-IT"/>
              </w:rPr>
              <w:t xml:space="preserve"> </w:t>
            </w:r>
            <w:r w:rsidRPr="0019790A">
              <w:rPr>
                <w:rFonts w:cs="Arial"/>
                <w:b/>
                <w:bCs/>
                <w:color w:val="000000"/>
                <w:szCs w:val="22"/>
              </w:rPr>
              <w:t>розвитку Жмеринської міської територіальної громади,  якому відповідає проєкт:</w:t>
            </w:r>
          </w:p>
        </w:tc>
        <w:tc>
          <w:tcPr>
            <w:tcW w:w="6794" w:type="dxa"/>
            <w:gridSpan w:val="8"/>
            <w:vAlign w:val="center"/>
          </w:tcPr>
          <w:p w14:paraId="42E1C2B9" w14:textId="77777777" w:rsidR="00B8248C" w:rsidRPr="0019790A" w:rsidRDefault="00B8248C" w:rsidP="00C27BF0">
            <w:pPr>
              <w:pBdr>
                <w:left w:val="single" w:sz="18" w:space="4" w:color="auto"/>
              </w:pBdr>
              <w:jc w:val="both"/>
              <w:rPr>
                <w:rFonts w:cs="Arial"/>
                <w:iCs/>
                <w:szCs w:val="22"/>
                <w:lang w:eastAsia="it-IT"/>
              </w:rPr>
            </w:pPr>
            <w:r w:rsidRPr="0019790A">
              <w:rPr>
                <w:rFonts w:cs="Arial"/>
                <w:iCs/>
                <w:szCs w:val="22"/>
                <w:lang w:eastAsia="it-IT"/>
              </w:rPr>
              <w:t>С.3.1. Впровадження сучасної моделі культурно-мистецького  обслуговування населення громади.</w:t>
            </w:r>
          </w:p>
          <w:p w14:paraId="016224EE" w14:textId="30D5DE71" w:rsidR="00B8248C" w:rsidRPr="0019790A" w:rsidRDefault="00B8248C" w:rsidP="00C27BF0">
            <w:pPr>
              <w:pBdr>
                <w:left w:val="single" w:sz="18" w:space="4" w:color="auto"/>
              </w:pBdr>
              <w:jc w:val="both"/>
              <w:rPr>
                <w:rFonts w:cs="Arial"/>
                <w:szCs w:val="22"/>
                <w:lang w:eastAsia="it-IT"/>
              </w:rPr>
            </w:pPr>
            <w:r w:rsidRPr="0019790A">
              <w:rPr>
                <w:rFonts w:cs="Arial"/>
                <w:iCs/>
                <w:szCs w:val="22"/>
                <w:lang w:eastAsia="it-IT"/>
              </w:rPr>
              <w:t>Зміцнення матеріально-технічної бази закладів культури, оновлення їх технічного ресурсу.</w:t>
            </w:r>
          </w:p>
        </w:tc>
      </w:tr>
      <w:tr w:rsidR="00B8248C" w:rsidRPr="0019790A" w14:paraId="3185B4B8" w14:textId="77777777" w:rsidTr="00C27BF0">
        <w:trPr>
          <w:jc w:val="right"/>
        </w:trPr>
        <w:tc>
          <w:tcPr>
            <w:tcW w:w="3425" w:type="dxa"/>
            <w:vAlign w:val="center"/>
          </w:tcPr>
          <w:p w14:paraId="1226FF5C" w14:textId="77777777" w:rsidR="00B8248C" w:rsidRPr="0019790A" w:rsidRDefault="00B8248C" w:rsidP="0019790A">
            <w:pPr>
              <w:rPr>
                <w:rFonts w:cs="Arial"/>
                <w:b/>
                <w:bCs/>
                <w:color w:val="000000"/>
                <w:szCs w:val="22"/>
              </w:rPr>
            </w:pPr>
            <w:r w:rsidRPr="0019790A">
              <w:rPr>
                <w:rFonts w:cs="Arial"/>
                <w:b/>
                <w:bCs/>
                <w:color w:val="000000"/>
                <w:szCs w:val="22"/>
              </w:rPr>
              <w:t>Мета проєкту:</w:t>
            </w:r>
          </w:p>
        </w:tc>
        <w:tc>
          <w:tcPr>
            <w:tcW w:w="6794" w:type="dxa"/>
            <w:gridSpan w:val="8"/>
            <w:vAlign w:val="center"/>
          </w:tcPr>
          <w:p w14:paraId="7D1F36C9" w14:textId="77777777" w:rsidR="00B8248C" w:rsidRPr="0019790A" w:rsidRDefault="00B8248C" w:rsidP="00C27BF0">
            <w:pPr>
              <w:jc w:val="both"/>
              <w:rPr>
                <w:rFonts w:cs="Arial"/>
                <w:szCs w:val="22"/>
                <w:lang w:eastAsia="it-IT"/>
              </w:rPr>
            </w:pPr>
            <w:r w:rsidRPr="0019790A">
              <w:rPr>
                <w:rFonts w:cs="Arial"/>
                <w:szCs w:val="22"/>
                <w:lang w:eastAsia="it-IT"/>
              </w:rPr>
              <w:t>Забезпечення сталої роботи Центру культури і дозвілля шляхом впровадження ефективної системи теплопостачання на альтернативних видах палива</w:t>
            </w:r>
          </w:p>
        </w:tc>
      </w:tr>
      <w:tr w:rsidR="00B8248C" w:rsidRPr="0019790A" w14:paraId="0CB301E9" w14:textId="77777777" w:rsidTr="00C27BF0">
        <w:trPr>
          <w:jc w:val="right"/>
        </w:trPr>
        <w:tc>
          <w:tcPr>
            <w:tcW w:w="3425" w:type="dxa"/>
            <w:vAlign w:val="center"/>
          </w:tcPr>
          <w:p w14:paraId="7172C418" w14:textId="77777777" w:rsidR="00B8248C" w:rsidRPr="0019790A" w:rsidRDefault="00B8248C" w:rsidP="0019790A">
            <w:pPr>
              <w:rPr>
                <w:rFonts w:cs="Arial"/>
                <w:b/>
                <w:bCs/>
                <w:color w:val="000000"/>
                <w:szCs w:val="22"/>
              </w:rPr>
            </w:pPr>
            <w:r w:rsidRPr="0019790A">
              <w:rPr>
                <w:rFonts w:cs="Arial"/>
                <w:b/>
                <w:bCs/>
                <w:color w:val="000000"/>
                <w:szCs w:val="22"/>
              </w:rPr>
              <w:t>Цілі проєкту:</w:t>
            </w:r>
          </w:p>
        </w:tc>
        <w:tc>
          <w:tcPr>
            <w:tcW w:w="6794" w:type="dxa"/>
            <w:gridSpan w:val="8"/>
            <w:vAlign w:val="center"/>
          </w:tcPr>
          <w:p w14:paraId="5AD9B0F9" w14:textId="77777777" w:rsidR="00B8248C" w:rsidRPr="0019790A" w:rsidRDefault="00B8248C" w:rsidP="00C27BF0">
            <w:pPr>
              <w:jc w:val="both"/>
              <w:rPr>
                <w:rFonts w:cs="Arial"/>
                <w:szCs w:val="22"/>
                <w:lang w:eastAsia="it-IT"/>
              </w:rPr>
            </w:pPr>
            <w:r w:rsidRPr="0019790A">
              <w:rPr>
                <w:rFonts w:cs="Arial"/>
                <w:szCs w:val="22"/>
                <w:lang w:eastAsia="it-IT"/>
              </w:rPr>
              <w:t>  Демонтаж аварійної, застарілої системи опалення</w:t>
            </w:r>
          </w:p>
          <w:p w14:paraId="6C671BCB" w14:textId="0E380635" w:rsidR="00B8248C" w:rsidRPr="0019790A" w:rsidRDefault="00C27BF0" w:rsidP="00C27BF0">
            <w:pPr>
              <w:jc w:val="both"/>
              <w:rPr>
                <w:rFonts w:cs="Arial"/>
                <w:szCs w:val="22"/>
                <w:lang w:eastAsia="it-IT"/>
              </w:rPr>
            </w:pPr>
            <w:r>
              <w:rPr>
                <w:rFonts w:cs="Arial"/>
                <w:szCs w:val="22"/>
                <w:lang w:eastAsia="it-IT"/>
              </w:rPr>
              <w:t xml:space="preserve"> </w:t>
            </w:r>
            <w:r w:rsidR="00B8248C" w:rsidRPr="0019790A">
              <w:rPr>
                <w:rFonts w:cs="Arial"/>
                <w:szCs w:val="22"/>
                <w:lang w:eastAsia="it-IT"/>
              </w:rPr>
              <w:t>Встановлення нової модульної котельні поза межами підвального приміщення</w:t>
            </w:r>
          </w:p>
          <w:p w14:paraId="4AA224B2" w14:textId="3AA88637" w:rsidR="00B8248C" w:rsidRPr="0019790A" w:rsidRDefault="00C27BF0" w:rsidP="00C27BF0">
            <w:pPr>
              <w:jc w:val="both"/>
              <w:rPr>
                <w:rFonts w:cs="Arial"/>
                <w:szCs w:val="22"/>
                <w:lang w:eastAsia="it-IT"/>
              </w:rPr>
            </w:pPr>
            <w:r>
              <w:rPr>
                <w:rFonts w:cs="Arial"/>
                <w:szCs w:val="22"/>
                <w:lang w:eastAsia="it-IT"/>
              </w:rPr>
              <w:t xml:space="preserve"> </w:t>
            </w:r>
            <w:r w:rsidR="00B8248C" w:rsidRPr="0019790A">
              <w:rPr>
                <w:rFonts w:cs="Arial"/>
                <w:szCs w:val="22"/>
                <w:lang w:eastAsia="it-IT"/>
              </w:rPr>
              <w:t>Забезпечення енергоефективного, безпечного та безперебійного опалення</w:t>
            </w:r>
          </w:p>
          <w:p w14:paraId="7F5C22E1" w14:textId="16B7710E" w:rsidR="00B8248C" w:rsidRPr="0019790A" w:rsidRDefault="00C27BF0" w:rsidP="00C27BF0">
            <w:pPr>
              <w:jc w:val="both"/>
              <w:rPr>
                <w:rFonts w:cs="Arial"/>
                <w:szCs w:val="22"/>
                <w:lang w:eastAsia="it-IT"/>
              </w:rPr>
            </w:pPr>
            <w:r>
              <w:rPr>
                <w:rFonts w:cs="Arial"/>
                <w:szCs w:val="22"/>
                <w:lang w:eastAsia="it-IT"/>
              </w:rPr>
              <w:t></w:t>
            </w:r>
            <w:r w:rsidR="00B8248C" w:rsidRPr="0019790A">
              <w:rPr>
                <w:rFonts w:cs="Arial"/>
                <w:szCs w:val="22"/>
                <w:lang w:eastAsia="it-IT"/>
              </w:rPr>
              <w:t xml:space="preserve"> Підготовка Центру до опалювального сезону 2025–2026 років</w:t>
            </w:r>
          </w:p>
        </w:tc>
      </w:tr>
      <w:tr w:rsidR="00B8248C" w:rsidRPr="0019790A" w14:paraId="3DCF3BCE" w14:textId="77777777" w:rsidTr="00C27BF0">
        <w:trPr>
          <w:jc w:val="right"/>
        </w:trPr>
        <w:tc>
          <w:tcPr>
            <w:tcW w:w="3425" w:type="dxa"/>
            <w:vAlign w:val="center"/>
          </w:tcPr>
          <w:p w14:paraId="4A5CF7F9" w14:textId="77777777" w:rsidR="00B8248C" w:rsidRPr="0019790A" w:rsidRDefault="00B8248C" w:rsidP="0019790A">
            <w:pPr>
              <w:autoSpaceDE w:val="0"/>
              <w:autoSpaceDN w:val="0"/>
              <w:adjustRightInd w:val="0"/>
              <w:rPr>
                <w:rFonts w:cs="Arial"/>
                <w:b/>
                <w:color w:val="000000"/>
                <w:szCs w:val="22"/>
              </w:rPr>
            </w:pPr>
            <w:r w:rsidRPr="0019790A">
              <w:rPr>
                <w:rFonts w:cs="Arial"/>
                <w:b/>
                <w:color w:val="000000"/>
                <w:szCs w:val="22"/>
              </w:rPr>
              <w:t>Територія на яку проєкт матиме вплив:</w:t>
            </w:r>
          </w:p>
        </w:tc>
        <w:tc>
          <w:tcPr>
            <w:tcW w:w="6794" w:type="dxa"/>
            <w:gridSpan w:val="8"/>
            <w:vAlign w:val="center"/>
          </w:tcPr>
          <w:p w14:paraId="6BA1EB5D" w14:textId="77777777" w:rsidR="00B8248C" w:rsidRPr="0019790A" w:rsidRDefault="00B8248C" w:rsidP="00C27BF0">
            <w:pPr>
              <w:jc w:val="both"/>
              <w:rPr>
                <w:rFonts w:cs="Arial"/>
                <w:szCs w:val="22"/>
                <w:lang w:eastAsia="it-IT"/>
              </w:rPr>
            </w:pPr>
            <w:r w:rsidRPr="0019790A">
              <w:rPr>
                <w:rFonts w:cs="Arial"/>
                <w:szCs w:val="22"/>
                <w:lang w:eastAsia="it-IT"/>
              </w:rPr>
              <w:t>м. Жмеринка, вул. М. Грушевського, 23 — Центр культури і дозвілля</w:t>
            </w:r>
          </w:p>
        </w:tc>
      </w:tr>
      <w:tr w:rsidR="00B8248C" w:rsidRPr="0019790A" w14:paraId="543C6EDF" w14:textId="77777777" w:rsidTr="00C27BF0">
        <w:trPr>
          <w:jc w:val="right"/>
        </w:trPr>
        <w:tc>
          <w:tcPr>
            <w:tcW w:w="3425" w:type="dxa"/>
            <w:vAlign w:val="center"/>
          </w:tcPr>
          <w:p w14:paraId="523632C3" w14:textId="77777777" w:rsidR="00B8248C" w:rsidRPr="0019790A" w:rsidRDefault="00B8248C" w:rsidP="0019790A">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4" w:type="dxa"/>
            <w:gridSpan w:val="8"/>
            <w:vAlign w:val="center"/>
          </w:tcPr>
          <w:p w14:paraId="04465662" w14:textId="77777777" w:rsidR="00B8248C" w:rsidRPr="0019790A" w:rsidRDefault="00B8248C" w:rsidP="00C27BF0">
            <w:pPr>
              <w:jc w:val="both"/>
              <w:rPr>
                <w:rFonts w:cs="Arial"/>
                <w:szCs w:val="22"/>
                <w:lang w:eastAsia="it-IT"/>
              </w:rPr>
            </w:pPr>
            <w:r w:rsidRPr="0019790A">
              <w:rPr>
                <w:rFonts w:cs="Arial"/>
                <w:szCs w:val="22"/>
                <w:lang w:eastAsia="it-IT"/>
              </w:rPr>
              <w:t>  Працівники закладу — 25 осіб</w:t>
            </w:r>
          </w:p>
          <w:p w14:paraId="196CA487" w14:textId="77777777" w:rsidR="00B8248C" w:rsidRPr="0019790A" w:rsidRDefault="00B8248C" w:rsidP="00C27BF0">
            <w:pPr>
              <w:jc w:val="both"/>
              <w:rPr>
                <w:rFonts w:cs="Arial"/>
                <w:szCs w:val="22"/>
                <w:lang w:eastAsia="it-IT"/>
              </w:rPr>
            </w:pPr>
            <w:r w:rsidRPr="0019790A">
              <w:rPr>
                <w:rFonts w:cs="Arial"/>
                <w:szCs w:val="22"/>
                <w:lang w:eastAsia="it-IT"/>
              </w:rPr>
              <w:t>  Учасники мистецьких колективів — понад 400</w:t>
            </w:r>
          </w:p>
          <w:p w14:paraId="77F087FC" w14:textId="77777777" w:rsidR="00B8248C" w:rsidRPr="0019790A" w:rsidRDefault="00B8248C" w:rsidP="00C27BF0">
            <w:pPr>
              <w:jc w:val="both"/>
              <w:rPr>
                <w:rFonts w:cs="Arial"/>
                <w:szCs w:val="22"/>
                <w:lang w:eastAsia="it-IT"/>
              </w:rPr>
            </w:pPr>
            <w:r w:rsidRPr="0019790A">
              <w:rPr>
                <w:rFonts w:cs="Arial"/>
                <w:szCs w:val="22"/>
                <w:lang w:eastAsia="it-IT"/>
              </w:rPr>
              <w:t>  Відвідувачі культурних заходів — близько 15 000 осіб щорічно</w:t>
            </w:r>
          </w:p>
          <w:p w14:paraId="7E566A64" w14:textId="4FCD9C6C" w:rsidR="00B8248C" w:rsidRPr="0019790A" w:rsidRDefault="00B8248C" w:rsidP="00C27BF0">
            <w:pPr>
              <w:jc w:val="both"/>
              <w:rPr>
                <w:rFonts w:cs="Arial"/>
                <w:szCs w:val="22"/>
                <w:lang w:eastAsia="it-IT"/>
              </w:rPr>
            </w:pPr>
            <w:r w:rsidRPr="0019790A">
              <w:rPr>
                <w:rFonts w:cs="Arial"/>
                <w:szCs w:val="22"/>
                <w:lang w:eastAsia="it-IT"/>
              </w:rPr>
              <w:t>  Мешканці громади, які користуються пунктом незламності — орієнтовно 5000 осіб</w:t>
            </w:r>
            <w:r w:rsidR="00C27BF0">
              <w:rPr>
                <w:rFonts w:cs="Arial"/>
                <w:szCs w:val="22"/>
                <w:lang w:eastAsia="it-IT"/>
              </w:rPr>
              <w:t>.</w:t>
            </w:r>
          </w:p>
        </w:tc>
      </w:tr>
      <w:tr w:rsidR="00B8248C" w:rsidRPr="0019790A" w14:paraId="138D4DAA" w14:textId="77777777" w:rsidTr="00C27BF0">
        <w:trPr>
          <w:jc w:val="right"/>
        </w:trPr>
        <w:tc>
          <w:tcPr>
            <w:tcW w:w="3425" w:type="dxa"/>
            <w:shd w:val="clear" w:color="auto" w:fill="FFFFFF"/>
            <w:vAlign w:val="center"/>
          </w:tcPr>
          <w:p w14:paraId="2D763442" w14:textId="77777777" w:rsidR="00B8248C" w:rsidRPr="0019790A" w:rsidRDefault="00B8248C" w:rsidP="0019790A">
            <w:pPr>
              <w:rPr>
                <w:rFonts w:cs="Arial"/>
                <w:b/>
                <w:bCs/>
                <w:color w:val="000000"/>
                <w:szCs w:val="22"/>
              </w:rPr>
            </w:pPr>
            <w:r w:rsidRPr="0019790A">
              <w:rPr>
                <w:rFonts w:cs="Arial"/>
                <w:b/>
                <w:bCs/>
                <w:color w:val="000000"/>
                <w:szCs w:val="22"/>
              </w:rPr>
              <w:t>Стислий опис проєкту:</w:t>
            </w:r>
          </w:p>
        </w:tc>
        <w:tc>
          <w:tcPr>
            <w:tcW w:w="6794" w:type="dxa"/>
            <w:gridSpan w:val="8"/>
            <w:vAlign w:val="center"/>
          </w:tcPr>
          <w:p w14:paraId="2ABF9A40" w14:textId="77777777" w:rsidR="00B8248C" w:rsidRPr="0019790A" w:rsidRDefault="00B8248C" w:rsidP="00C27BF0">
            <w:pPr>
              <w:jc w:val="both"/>
              <w:rPr>
                <w:rFonts w:cs="Arial"/>
                <w:szCs w:val="22"/>
                <w:lang w:eastAsia="it-IT"/>
              </w:rPr>
            </w:pPr>
            <w:r w:rsidRPr="0019790A">
              <w:rPr>
                <w:rFonts w:cs="Arial"/>
                <w:szCs w:val="22"/>
                <w:lang w:eastAsia="it-IT"/>
              </w:rPr>
              <w:t>Система опалення Центру культури і дозвілля, змонтована у 1980-х роках, вийшла з ладу та не підлягає ремонту. Котельня розташована в підвалі, що суперечить будівельним нормам. Запропоновано встановити окрему модульну котельню на альтернативному паливі (біопаливо/пелети), яка відповідатиме вимогам ДБН та дозволить повноцінно опалювати приміщення площею понад 1200 м². Проєкт критично важливий для забезпечення сталого функціонування культурної інфраструктури та пункту незламності.</w:t>
            </w:r>
          </w:p>
        </w:tc>
      </w:tr>
      <w:tr w:rsidR="00B8248C" w:rsidRPr="0019790A" w14:paraId="09C7C3B7" w14:textId="77777777" w:rsidTr="00C27BF0">
        <w:trPr>
          <w:jc w:val="right"/>
        </w:trPr>
        <w:tc>
          <w:tcPr>
            <w:tcW w:w="3425" w:type="dxa"/>
            <w:shd w:val="clear" w:color="auto" w:fill="FFFFFF"/>
            <w:vAlign w:val="center"/>
          </w:tcPr>
          <w:p w14:paraId="2EE92004" w14:textId="77777777" w:rsidR="00B8248C" w:rsidRPr="0019790A" w:rsidRDefault="00B8248C" w:rsidP="0019790A">
            <w:pPr>
              <w:rPr>
                <w:rFonts w:cs="Arial"/>
                <w:b/>
                <w:bCs/>
                <w:color w:val="000000"/>
                <w:szCs w:val="22"/>
              </w:rPr>
            </w:pPr>
            <w:r w:rsidRPr="0019790A">
              <w:rPr>
                <w:rFonts w:cs="Arial"/>
                <w:b/>
                <w:bCs/>
                <w:color w:val="000000"/>
                <w:szCs w:val="22"/>
              </w:rPr>
              <w:t>Основні заходи проєкту:</w:t>
            </w:r>
          </w:p>
        </w:tc>
        <w:tc>
          <w:tcPr>
            <w:tcW w:w="6794" w:type="dxa"/>
            <w:gridSpan w:val="8"/>
            <w:vAlign w:val="center"/>
          </w:tcPr>
          <w:p w14:paraId="407E0834" w14:textId="77777777" w:rsidR="00B8248C" w:rsidRPr="0019790A" w:rsidRDefault="00B8248C" w:rsidP="00C27BF0">
            <w:pPr>
              <w:jc w:val="both"/>
              <w:rPr>
                <w:rFonts w:cs="Arial"/>
                <w:szCs w:val="22"/>
                <w:lang w:eastAsia="it-IT"/>
              </w:rPr>
            </w:pPr>
            <w:r w:rsidRPr="0019790A">
              <w:rPr>
                <w:rFonts w:cs="Arial"/>
                <w:szCs w:val="22"/>
                <w:lang w:eastAsia="it-IT"/>
              </w:rPr>
              <w:t>  Демонтаж старого котла та частини внутрішньої системи</w:t>
            </w:r>
          </w:p>
          <w:p w14:paraId="3E0D890F" w14:textId="6D7FD1C5" w:rsidR="00B8248C" w:rsidRPr="0019790A" w:rsidRDefault="00C27BF0" w:rsidP="00C27BF0">
            <w:pPr>
              <w:jc w:val="both"/>
              <w:rPr>
                <w:rFonts w:cs="Arial"/>
                <w:szCs w:val="22"/>
                <w:lang w:eastAsia="it-IT"/>
              </w:rPr>
            </w:pPr>
            <w:r>
              <w:rPr>
                <w:rFonts w:cs="Arial"/>
                <w:szCs w:val="22"/>
                <w:lang w:eastAsia="it-IT"/>
              </w:rPr>
              <w:t xml:space="preserve"> </w:t>
            </w:r>
            <w:r w:rsidR="00B8248C" w:rsidRPr="0019790A">
              <w:rPr>
                <w:rFonts w:cs="Arial"/>
                <w:szCs w:val="22"/>
                <w:lang w:eastAsia="it-IT"/>
              </w:rPr>
              <w:t>Проєктування і встановлення зовнішньої модульної котельні</w:t>
            </w:r>
          </w:p>
          <w:p w14:paraId="284FD9F2" w14:textId="77777777" w:rsidR="00B8248C" w:rsidRPr="0019790A" w:rsidRDefault="00B8248C" w:rsidP="00C27BF0">
            <w:pPr>
              <w:jc w:val="both"/>
              <w:rPr>
                <w:rFonts w:cs="Arial"/>
                <w:szCs w:val="22"/>
                <w:lang w:eastAsia="it-IT"/>
              </w:rPr>
            </w:pPr>
            <w:r w:rsidRPr="0019790A">
              <w:rPr>
                <w:rFonts w:cs="Arial"/>
                <w:szCs w:val="22"/>
                <w:lang w:eastAsia="it-IT"/>
              </w:rPr>
              <w:t>  Монтаж нових трубопроводів, насосів, автоматики</w:t>
            </w:r>
          </w:p>
          <w:p w14:paraId="1A68D60F" w14:textId="77777777" w:rsidR="00B8248C" w:rsidRPr="0019790A" w:rsidRDefault="00B8248C" w:rsidP="00C27BF0">
            <w:pPr>
              <w:jc w:val="both"/>
              <w:rPr>
                <w:rFonts w:cs="Arial"/>
                <w:szCs w:val="22"/>
                <w:lang w:eastAsia="it-IT"/>
              </w:rPr>
            </w:pPr>
            <w:r w:rsidRPr="0019790A">
              <w:rPr>
                <w:rFonts w:cs="Arial"/>
                <w:szCs w:val="22"/>
                <w:lang w:eastAsia="it-IT"/>
              </w:rPr>
              <w:t>  Улаштування платформи та захисної конструкції для котельні</w:t>
            </w:r>
          </w:p>
          <w:p w14:paraId="42E8B951" w14:textId="63156415" w:rsidR="00B8248C" w:rsidRPr="0019790A" w:rsidRDefault="00C27BF0" w:rsidP="00C27BF0">
            <w:pPr>
              <w:jc w:val="both"/>
              <w:rPr>
                <w:rFonts w:cs="Arial"/>
                <w:szCs w:val="22"/>
                <w:lang w:eastAsia="it-IT"/>
              </w:rPr>
            </w:pPr>
            <w:r>
              <w:rPr>
                <w:rFonts w:cs="Arial"/>
                <w:szCs w:val="22"/>
                <w:lang w:eastAsia="it-IT"/>
              </w:rPr>
              <w:t xml:space="preserve"> </w:t>
            </w:r>
            <w:r w:rsidR="00B8248C" w:rsidRPr="0019790A">
              <w:rPr>
                <w:rFonts w:cs="Arial"/>
                <w:szCs w:val="22"/>
                <w:lang w:eastAsia="it-IT"/>
              </w:rPr>
              <w:t>Підключення до джерела альтернативного палива</w:t>
            </w:r>
          </w:p>
          <w:p w14:paraId="751A3748" w14:textId="08CB0CB9" w:rsidR="00B8248C" w:rsidRPr="0019790A" w:rsidRDefault="00C27BF0" w:rsidP="00C27BF0">
            <w:pPr>
              <w:jc w:val="both"/>
              <w:rPr>
                <w:rFonts w:cs="Arial"/>
                <w:szCs w:val="22"/>
                <w:lang w:eastAsia="it-IT"/>
              </w:rPr>
            </w:pPr>
            <w:r>
              <w:rPr>
                <w:rFonts w:cs="Arial"/>
                <w:szCs w:val="22"/>
                <w:lang w:eastAsia="it-IT"/>
              </w:rPr>
              <w:t xml:space="preserve"> </w:t>
            </w:r>
            <w:r w:rsidR="00B8248C" w:rsidRPr="0019790A">
              <w:rPr>
                <w:rFonts w:cs="Arial"/>
                <w:szCs w:val="22"/>
                <w:lang w:eastAsia="it-IT"/>
              </w:rPr>
              <w:t>Проведення випробувань і підготовка до опалювального сезону</w:t>
            </w:r>
          </w:p>
        </w:tc>
      </w:tr>
      <w:tr w:rsidR="00B8248C" w:rsidRPr="0019790A" w14:paraId="174370BB" w14:textId="77777777" w:rsidTr="00C27BF0">
        <w:trPr>
          <w:jc w:val="right"/>
        </w:trPr>
        <w:tc>
          <w:tcPr>
            <w:tcW w:w="3425" w:type="dxa"/>
            <w:shd w:val="clear" w:color="auto" w:fill="FFFFFF"/>
            <w:vAlign w:val="center"/>
          </w:tcPr>
          <w:p w14:paraId="4FABEF03" w14:textId="77777777" w:rsidR="00B8248C" w:rsidRPr="0019790A" w:rsidRDefault="00B8248C"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794" w:type="dxa"/>
            <w:gridSpan w:val="8"/>
            <w:vAlign w:val="center"/>
          </w:tcPr>
          <w:p w14:paraId="11FD3463" w14:textId="77777777" w:rsidR="00B8248C" w:rsidRPr="0019790A" w:rsidRDefault="00B8248C" w:rsidP="00C27BF0">
            <w:pPr>
              <w:jc w:val="both"/>
              <w:rPr>
                <w:rFonts w:cs="Arial"/>
                <w:szCs w:val="22"/>
                <w:lang w:eastAsia="it-IT"/>
              </w:rPr>
            </w:pPr>
            <w:r w:rsidRPr="0019790A">
              <w:rPr>
                <w:rFonts w:cs="Arial"/>
                <w:szCs w:val="22"/>
                <w:lang w:eastAsia="it-IT"/>
              </w:rPr>
              <w:t>  Завершено реконструкцію опалення до жовтня 2025 року</w:t>
            </w:r>
          </w:p>
          <w:p w14:paraId="39CF7BD4" w14:textId="2EA3EE39" w:rsidR="00B8248C" w:rsidRPr="0019790A" w:rsidRDefault="00C27BF0" w:rsidP="00C27BF0">
            <w:pPr>
              <w:jc w:val="both"/>
              <w:rPr>
                <w:rFonts w:cs="Arial"/>
                <w:szCs w:val="22"/>
                <w:lang w:eastAsia="it-IT"/>
              </w:rPr>
            </w:pPr>
            <w:r>
              <w:rPr>
                <w:rFonts w:cs="Arial"/>
                <w:szCs w:val="22"/>
                <w:lang w:eastAsia="it-IT"/>
              </w:rPr>
              <w:t xml:space="preserve"> </w:t>
            </w:r>
            <w:r w:rsidR="00B8248C" w:rsidRPr="0019790A">
              <w:rPr>
                <w:rFonts w:cs="Arial"/>
                <w:szCs w:val="22"/>
                <w:lang w:eastAsia="it-IT"/>
              </w:rPr>
              <w:t>Забезпечено сталу температуру в приміщеннях згідно з санітарними нормами</w:t>
            </w:r>
          </w:p>
          <w:p w14:paraId="67CE40E4" w14:textId="77777777" w:rsidR="00B8248C" w:rsidRPr="0019790A" w:rsidRDefault="00B8248C" w:rsidP="00C27BF0">
            <w:pPr>
              <w:jc w:val="both"/>
              <w:rPr>
                <w:rFonts w:cs="Arial"/>
                <w:szCs w:val="22"/>
                <w:lang w:eastAsia="it-IT"/>
              </w:rPr>
            </w:pPr>
            <w:r w:rsidRPr="0019790A">
              <w:rPr>
                <w:rFonts w:cs="Arial"/>
                <w:szCs w:val="22"/>
                <w:lang w:eastAsia="it-IT"/>
              </w:rPr>
              <w:t>  Центр культури повністю функціонує в опалювальний сезон</w:t>
            </w:r>
          </w:p>
          <w:p w14:paraId="6E9C529A" w14:textId="4587B791" w:rsidR="00B8248C" w:rsidRPr="0019790A" w:rsidRDefault="00C27BF0" w:rsidP="00C27BF0">
            <w:pPr>
              <w:jc w:val="both"/>
              <w:rPr>
                <w:rFonts w:cs="Arial"/>
                <w:szCs w:val="22"/>
                <w:lang w:eastAsia="it-IT"/>
              </w:rPr>
            </w:pPr>
            <w:r>
              <w:rPr>
                <w:rFonts w:cs="Arial"/>
                <w:szCs w:val="22"/>
                <w:lang w:eastAsia="it-IT"/>
              </w:rPr>
              <w:t xml:space="preserve"> </w:t>
            </w:r>
            <w:r w:rsidR="00B8248C" w:rsidRPr="0019790A">
              <w:rPr>
                <w:rFonts w:cs="Arial"/>
                <w:szCs w:val="22"/>
                <w:lang w:eastAsia="it-IT"/>
              </w:rPr>
              <w:t>Економія витрат на теплоенергію до 30% у порівнянні з попередніми періодами</w:t>
            </w:r>
          </w:p>
          <w:p w14:paraId="3EF6A5CD" w14:textId="725505DC" w:rsidR="00B8248C" w:rsidRPr="0019790A" w:rsidRDefault="00C27BF0" w:rsidP="00C27BF0">
            <w:pPr>
              <w:jc w:val="both"/>
              <w:rPr>
                <w:rFonts w:cs="Arial"/>
                <w:szCs w:val="22"/>
                <w:lang w:eastAsia="it-IT"/>
              </w:rPr>
            </w:pPr>
            <w:r>
              <w:rPr>
                <w:rFonts w:cs="Arial"/>
                <w:szCs w:val="22"/>
                <w:lang w:eastAsia="it-IT"/>
              </w:rPr>
              <w:t xml:space="preserve"> </w:t>
            </w:r>
            <w:r w:rsidR="00B8248C" w:rsidRPr="0019790A">
              <w:rPr>
                <w:rFonts w:cs="Arial"/>
                <w:szCs w:val="22"/>
                <w:lang w:eastAsia="it-IT"/>
              </w:rPr>
              <w:t>Пункт незламності забезпечено теплом на випадок надзвичайної ситуації</w:t>
            </w:r>
          </w:p>
        </w:tc>
      </w:tr>
      <w:tr w:rsidR="00B8248C" w:rsidRPr="0019790A" w14:paraId="521799E0" w14:textId="77777777" w:rsidTr="00B8248C">
        <w:trPr>
          <w:jc w:val="right"/>
        </w:trPr>
        <w:tc>
          <w:tcPr>
            <w:tcW w:w="3425" w:type="dxa"/>
            <w:shd w:val="clear" w:color="auto" w:fill="FFFFFF"/>
            <w:vAlign w:val="center"/>
          </w:tcPr>
          <w:p w14:paraId="114885CF" w14:textId="77777777" w:rsidR="00B8248C" w:rsidRPr="0019790A" w:rsidRDefault="00B8248C" w:rsidP="0019790A">
            <w:pPr>
              <w:rPr>
                <w:rFonts w:cs="Arial"/>
                <w:b/>
                <w:color w:val="000000"/>
                <w:szCs w:val="22"/>
              </w:rPr>
            </w:pPr>
            <w:r w:rsidRPr="0019790A">
              <w:rPr>
                <w:rFonts w:cs="Arial"/>
                <w:b/>
                <w:color w:val="000000"/>
                <w:szCs w:val="22"/>
              </w:rPr>
              <w:t xml:space="preserve">Період здійснення: </w:t>
            </w:r>
          </w:p>
        </w:tc>
        <w:tc>
          <w:tcPr>
            <w:tcW w:w="6794" w:type="dxa"/>
            <w:gridSpan w:val="8"/>
            <w:vAlign w:val="center"/>
          </w:tcPr>
          <w:p w14:paraId="264221CE" w14:textId="77777777" w:rsidR="00B8248C" w:rsidRPr="0019790A" w:rsidRDefault="00B8248C" w:rsidP="0019790A">
            <w:pPr>
              <w:rPr>
                <w:rFonts w:cs="Arial"/>
                <w:color w:val="000000"/>
                <w:szCs w:val="22"/>
                <w:lang w:eastAsia="it-IT"/>
              </w:rPr>
            </w:pPr>
            <w:r w:rsidRPr="0019790A">
              <w:rPr>
                <w:rFonts w:cs="Arial"/>
                <w:b/>
                <w:color w:val="000000"/>
                <w:szCs w:val="22"/>
              </w:rPr>
              <w:t>2025 – 2028 роки:</w:t>
            </w:r>
          </w:p>
        </w:tc>
      </w:tr>
      <w:tr w:rsidR="00B8248C" w:rsidRPr="0019790A" w14:paraId="37FC8BDD" w14:textId="77777777" w:rsidTr="00B8248C">
        <w:trPr>
          <w:jc w:val="right"/>
        </w:trPr>
        <w:tc>
          <w:tcPr>
            <w:tcW w:w="3425" w:type="dxa"/>
            <w:vMerge w:val="restart"/>
            <w:shd w:val="clear" w:color="auto" w:fill="FFFFFF"/>
            <w:vAlign w:val="center"/>
          </w:tcPr>
          <w:p w14:paraId="6E770F7F" w14:textId="77777777" w:rsidR="00B8248C" w:rsidRPr="0019790A" w:rsidRDefault="00B8248C" w:rsidP="0019790A">
            <w:pPr>
              <w:rPr>
                <w:rFonts w:cs="Arial"/>
                <w:b/>
                <w:bCs/>
                <w:color w:val="000000"/>
                <w:szCs w:val="22"/>
              </w:rPr>
            </w:pPr>
            <w:r w:rsidRPr="0019790A">
              <w:rPr>
                <w:rFonts w:cs="Arial"/>
                <w:b/>
                <w:bCs/>
                <w:color w:val="000000"/>
                <w:szCs w:val="22"/>
              </w:rPr>
              <w:t>Орієнтовна вартість проєкту, тис. грн., в тому числі:</w:t>
            </w:r>
          </w:p>
        </w:tc>
        <w:tc>
          <w:tcPr>
            <w:tcW w:w="1254" w:type="dxa"/>
            <w:shd w:val="clear" w:color="auto" w:fill="E6E6E6"/>
            <w:vAlign w:val="center"/>
          </w:tcPr>
          <w:p w14:paraId="689A7545"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2025</w:t>
            </w:r>
          </w:p>
        </w:tc>
        <w:tc>
          <w:tcPr>
            <w:tcW w:w="1275" w:type="dxa"/>
            <w:shd w:val="clear" w:color="auto" w:fill="E6E6E6"/>
            <w:vAlign w:val="center"/>
          </w:tcPr>
          <w:p w14:paraId="0891B4E8"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2026</w:t>
            </w:r>
          </w:p>
        </w:tc>
        <w:tc>
          <w:tcPr>
            <w:tcW w:w="1418" w:type="dxa"/>
            <w:gridSpan w:val="2"/>
            <w:tcBorders>
              <w:bottom w:val="single" w:sz="4" w:space="0" w:color="auto"/>
            </w:tcBorders>
            <w:shd w:val="clear" w:color="auto" w:fill="E6E6E6"/>
            <w:vAlign w:val="center"/>
          </w:tcPr>
          <w:p w14:paraId="58D5DDC7"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2027</w:t>
            </w:r>
          </w:p>
        </w:tc>
        <w:tc>
          <w:tcPr>
            <w:tcW w:w="1276" w:type="dxa"/>
            <w:gridSpan w:val="2"/>
            <w:shd w:val="clear" w:color="auto" w:fill="E6E6E6"/>
            <w:vAlign w:val="center"/>
          </w:tcPr>
          <w:p w14:paraId="1FAA0FA9"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2028</w:t>
            </w:r>
          </w:p>
        </w:tc>
        <w:tc>
          <w:tcPr>
            <w:tcW w:w="1571" w:type="dxa"/>
            <w:gridSpan w:val="2"/>
            <w:shd w:val="clear" w:color="auto" w:fill="E6E6E6"/>
            <w:vAlign w:val="center"/>
          </w:tcPr>
          <w:p w14:paraId="5A277D3E"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РАЗОМ</w:t>
            </w:r>
          </w:p>
        </w:tc>
      </w:tr>
      <w:tr w:rsidR="00B8248C" w:rsidRPr="0019790A" w14:paraId="217B1E26" w14:textId="77777777" w:rsidTr="00B8248C">
        <w:trPr>
          <w:jc w:val="right"/>
        </w:trPr>
        <w:tc>
          <w:tcPr>
            <w:tcW w:w="3425" w:type="dxa"/>
            <w:vMerge/>
            <w:shd w:val="clear" w:color="auto" w:fill="FFFFFF"/>
            <w:vAlign w:val="center"/>
          </w:tcPr>
          <w:p w14:paraId="6E8E7D0A" w14:textId="77777777" w:rsidR="00B8248C" w:rsidRPr="0019790A" w:rsidRDefault="00B8248C" w:rsidP="0019790A">
            <w:pPr>
              <w:rPr>
                <w:rFonts w:cs="Arial"/>
                <w:b/>
                <w:bCs/>
                <w:color w:val="000000"/>
                <w:szCs w:val="22"/>
              </w:rPr>
            </w:pPr>
          </w:p>
        </w:tc>
        <w:tc>
          <w:tcPr>
            <w:tcW w:w="1254" w:type="dxa"/>
            <w:vAlign w:val="center"/>
          </w:tcPr>
          <w:p w14:paraId="6B5FEE14"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3000,0</w:t>
            </w:r>
          </w:p>
        </w:tc>
        <w:tc>
          <w:tcPr>
            <w:tcW w:w="1275" w:type="dxa"/>
            <w:shd w:val="clear" w:color="auto" w:fill="FFFFFF"/>
            <w:vAlign w:val="center"/>
          </w:tcPr>
          <w:p w14:paraId="5A3D626F"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w:t>
            </w:r>
          </w:p>
        </w:tc>
        <w:tc>
          <w:tcPr>
            <w:tcW w:w="1418" w:type="dxa"/>
            <w:gridSpan w:val="2"/>
            <w:shd w:val="clear" w:color="auto" w:fill="auto"/>
            <w:vAlign w:val="center"/>
          </w:tcPr>
          <w:p w14:paraId="7FF62F30"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w:t>
            </w:r>
          </w:p>
        </w:tc>
        <w:tc>
          <w:tcPr>
            <w:tcW w:w="1276" w:type="dxa"/>
            <w:gridSpan w:val="2"/>
            <w:shd w:val="clear" w:color="auto" w:fill="FFFFFF"/>
            <w:vAlign w:val="center"/>
          </w:tcPr>
          <w:p w14:paraId="227D2FBD"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w:t>
            </w:r>
          </w:p>
        </w:tc>
        <w:tc>
          <w:tcPr>
            <w:tcW w:w="1571" w:type="dxa"/>
            <w:gridSpan w:val="2"/>
            <w:shd w:val="clear" w:color="auto" w:fill="FFFFFF"/>
            <w:vAlign w:val="center"/>
          </w:tcPr>
          <w:p w14:paraId="379D1D55"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3000,0</w:t>
            </w:r>
          </w:p>
        </w:tc>
      </w:tr>
      <w:tr w:rsidR="00B8248C" w:rsidRPr="0019790A" w14:paraId="2DC205F0" w14:textId="77777777" w:rsidTr="00B8248C">
        <w:trPr>
          <w:trHeight w:val="276"/>
          <w:jc w:val="right"/>
        </w:trPr>
        <w:tc>
          <w:tcPr>
            <w:tcW w:w="3425" w:type="dxa"/>
            <w:shd w:val="clear" w:color="auto" w:fill="FFFFFF"/>
            <w:vAlign w:val="center"/>
          </w:tcPr>
          <w:p w14:paraId="0B404A3C" w14:textId="77777777" w:rsidR="00B8248C" w:rsidRPr="0019790A" w:rsidRDefault="00B8248C" w:rsidP="0019790A">
            <w:pPr>
              <w:rPr>
                <w:rFonts w:cs="Arial"/>
                <w:b/>
                <w:bCs/>
                <w:color w:val="000000"/>
                <w:szCs w:val="22"/>
              </w:rPr>
            </w:pPr>
            <w:r w:rsidRPr="0019790A">
              <w:rPr>
                <w:rFonts w:cs="Arial"/>
                <w:b/>
                <w:bCs/>
                <w:color w:val="000000"/>
                <w:szCs w:val="22"/>
              </w:rPr>
              <w:t>по джерелах фінансування:</w:t>
            </w:r>
          </w:p>
        </w:tc>
        <w:tc>
          <w:tcPr>
            <w:tcW w:w="6794" w:type="dxa"/>
            <w:gridSpan w:val="8"/>
            <w:vAlign w:val="center"/>
          </w:tcPr>
          <w:p w14:paraId="3C6C9CA4" w14:textId="77777777" w:rsidR="00B8248C" w:rsidRPr="0019790A" w:rsidRDefault="00B8248C" w:rsidP="0019790A">
            <w:pPr>
              <w:jc w:val="both"/>
              <w:rPr>
                <w:rFonts w:cs="Arial"/>
                <w:color w:val="000000"/>
                <w:szCs w:val="22"/>
                <w:lang w:eastAsia="it-IT"/>
              </w:rPr>
            </w:pPr>
          </w:p>
        </w:tc>
      </w:tr>
      <w:tr w:rsidR="00C27BF0" w:rsidRPr="0019790A" w14:paraId="7C82DDF8" w14:textId="5B41DBEC" w:rsidTr="00C27BF0">
        <w:trPr>
          <w:trHeight w:val="240"/>
          <w:jc w:val="right"/>
        </w:trPr>
        <w:tc>
          <w:tcPr>
            <w:tcW w:w="3425" w:type="dxa"/>
            <w:shd w:val="clear" w:color="auto" w:fill="FFFFFF"/>
            <w:vAlign w:val="center"/>
          </w:tcPr>
          <w:p w14:paraId="076A912C" w14:textId="77777777" w:rsidR="00C27BF0" w:rsidRPr="0019790A" w:rsidRDefault="00C27BF0" w:rsidP="0019790A">
            <w:pPr>
              <w:rPr>
                <w:rFonts w:cs="Arial"/>
                <w:b/>
                <w:bCs/>
                <w:color w:val="000000"/>
                <w:szCs w:val="22"/>
              </w:rPr>
            </w:pPr>
            <w:r w:rsidRPr="0019790A">
              <w:rPr>
                <w:rFonts w:cs="Arial"/>
                <w:color w:val="000000"/>
                <w:szCs w:val="22"/>
              </w:rPr>
              <w:t>- державний бюджет</w:t>
            </w:r>
          </w:p>
        </w:tc>
        <w:tc>
          <w:tcPr>
            <w:tcW w:w="1252" w:type="dxa"/>
            <w:vAlign w:val="center"/>
          </w:tcPr>
          <w:p w14:paraId="1E4FF551" w14:textId="77777777" w:rsidR="00C27BF0" w:rsidRPr="0019790A" w:rsidRDefault="00C27BF0" w:rsidP="00C27BF0">
            <w:pPr>
              <w:jc w:val="center"/>
              <w:rPr>
                <w:rFonts w:cs="Arial"/>
                <w:color w:val="000000"/>
                <w:szCs w:val="22"/>
                <w:lang w:eastAsia="it-IT"/>
              </w:rPr>
            </w:pPr>
          </w:p>
        </w:tc>
        <w:tc>
          <w:tcPr>
            <w:tcW w:w="1315" w:type="dxa"/>
            <w:gridSpan w:val="2"/>
            <w:vAlign w:val="center"/>
          </w:tcPr>
          <w:p w14:paraId="4ECB149B" w14:textId="77777777" w:rsidR="00C27BF0" w:rsidRPr="0019790A" w:rsidRDefault="00C27BF0" w:rsidP="00C27BF0">
            <w:pPr>
              <w:jc w:val="center"/>
              <w:rPr>
                <w:rFonts w:cs="Arial"/>
                <w:color w:val="000000"/>
                <w:szCs w:val="22"/>
                <w:lang w:eastAsia="it-IT"/>
              </w:rPr>
            </w:pPr>
          </w:p>
        </w:tc>
        <w:tc>
          <w:tcPr>
            <w:tcW w:w="1390" w:type="dxa"/>
            <w:gridSpan w:val="2"/>
            <w:vAlign w:val="center"/>
          </w:tcPr>
          <w:p w14:paraId="48881D3D" w14:textId="77777777" w:rsidR="00C27BF0" w:rsidRPr="0019790A" w:rsidRDefault="00C27BF0" w:rsidP="00C27BF0">
            <w:pPr>
              <w:jc w:val="center"/>
              <w:rPr>
                <w:rFonts w:cs="Arial"/>
                <w:color w:val="000000"/>
                <w:szCs w:val="22"/>
                <w:lang w:eastAsia="it-IT"/>
              </w:rPr>
            </w:pPr>
          </w:p>
        </w:tc>
        <w:tc>
          <w:tcPr>
            <w:tcW w:w="1302" w:type="dxa"/>
            <w:gridSpan w:val="2"/>
            <w:vAlign w:val="center"/>
          </w:tcPr>
          <w:p w14:paraId="4ACD0529" w14:textId="77777777" w:rsidR="00C27BF0" w:rsidRPr="0019790A" w:rsidRDefault="00C27BF0" w:rsidP="00C27BF0">
            <w:pPr>
              <w:jc w:val="center"/>
              <w:rPr>
                <w:rFonts w:cs="Arial"/>
                <w:color w:val="000000"/>
                <w:szCs w:val="22"/>
                <w:lang w:eastAsia="it-IT"/>
              </w:rPr>
            </w:pPr>
          </w:p>
        </w:tc>
        <w:tc>
          <w:tcPr>
            <w:tcW w:w="1535" w:type="dxa"/>
            <w:vAlign w:val="center"/>
          </w:tcPr>
          <w:p w14:paraId="089EE140" w14:textId="77777777" w:rsidR="00C27BF0" w:rsidRPr="0019790A" w:rsidRDefault="00C27BF0" w:rsidP="00C27BF0">
            <w:pPr>
              <w:jc w:val="center"/>
              <w:rPr>
                <w:rFonts w:cs="Arial"/>
                <w:color w:val="000000"/>
                <w:szCs w:val="22"/>
                <w:lang w:eastAsia="it-IT"/>
              </w:rPr>
            </w:pPr>
          </w:p>
        </w:tc>
      </w:tr>
      <w:tr w:rsidR="00C27BF0" w:rsidRPr="0019790A" w14:paraId="4FF52B68" w14:textId="623BEB68" w:rsidTr="00C27BF0">
        <w:trPr>
          <w:trHeight w:val="254"/>
          <w:jc w:val="right"/>
        </w:trPr>
        <w:tc>
          <w:tcPr>
            <w:tcW w:w="3425" w:type="dxa"/>
            <w:shd w:val="clear" w:color="auto" w:fill="FFFFFF"/>
            <w:vAlign w:val="center"/>
          </w:tcPr>
          <w:p w14:paraId="438A601D" w14:textId="77777777" w:rsidR="00C27BF0" w:rsidRPr="0019790A" w:rsidRDefault="00C27BF0" w:rsidP="0019790A">
            <w:pPr>
              <w:rPr>
                <w:rFonts w:cs="Arial"/>
                <w:color w:val="000000"/>
                <w:szCs w:val="22"/>
              </w:rPr>
            </w:pPr>
            <w:r w:rsidRPr="0019790A">
              <w:rPr>
                <w:rFonts w:cs="Arial"/>
                <w:color w:val="000000"/>
                <w:szCs w:val="22"/>
              </w:rPr>
              <w:t>- обласний бюджет</w:t>
            </w:r>
          </w:p>
        </w:tc>
        <w:tc>
          <w:tcPr>
            <w:tcW w:w="1252" w:type="dxa"/>
            <w:vAlign w:val="center"/>
          </w:tcPr>
          <w:p w14:paraId="2E961D77" w14:textId="77777777" w:rsidR="00C27BF0" w:rsidRPr="0019790A" w:rsidRDefault="00C27BF0" w:rsidP="00C27BF0">
            <w:pPr>
              <w:jc w:val="center"/>
              <w:rPr>
                <w:rFonts w:cs="Arial"/>
                <w:color w:val="000000"/>
                <w:szCs w:val="22"/>
                <w:lang w:eastAsia="it-IT"/>
              </w:rPr>
            </w:pPr>
          </w:p>
        </w:tc>
        <w:tc>
          <w:tcPr>
            <w:tcW w:w="1315" w:type="dxa"/>
            <w:gridSpan w:val="2"/>
            <w:vAlign w:val="center"/>
          </w:tcPr>
          <w:p w14:paraId="043E868B" w14:textId="77777777" w:rsidR="00C27BF0" w:rsidRPr="0019790A" w:rsidRDefault="00C27BF0" w:rsidP="00C27BF0">
            <w:pPr>
              <w:jc w:val="center"/>
              <w:rPr>
                <w:rFonts w:cs="Arial"/>
                <w:color w:val="000000"/>
                <w:szCs w:val="22"/>
                <w:lang w:eastAsia="it-IT"/>
              </w:rPr>
            </w:pPr>
          </w:p>
        </w:tc>
        <w:tc>
          <w:tcPr>
            <w:tcW w:w="1390" w:type="dxa"/>
            <w:gridSpan w:val="2"/>
            <w:vAlign w:val="center"/>
          </w:tcPr>
          <w:p w14:paraId="4DFC063F" w14:textId="77777777" w:rsidR="00C27BF0" w:rsidRPr="0019790A" w:rsidRDefault="00C27BF0" w:rsidP="00C27BF0">
            <w:pPr>
              <w:jc w:val="center"/>
              <w:rPr>
                <w:rFonts w:cs="Arial"/>
                <w:color w:val="000000"/>
                <w:szCs w:val="22"/>
                <w:lang w:eastAsia="it-IT"/>
              </w:rPr>
            </w:pPr>
          </w:p>
        </w:tc>
        <w:tc>
          <w:tcPr>
            <w:tcW w:w="1302" w:type="dxa"/>
            <w:gridSpan w:val="2"/>
            <w:vAlign w:val="center"/>
          </w:tcPr>
          <w:p w14:paraId="52C6B1F2" w14:textId="77777777" w:rsidR="00C27BF0" w:rsidRPr="0019790A" w:rsidRDefault="00C27BF0" w:rsidP="00C27BF0">
            <w:pPr>
              <w:jc w:val="center"/>
              <w:rPr>
                <w:rFonts w:cs="Arial"/>
                <w:color w:val="000000"/>
                <w:szCs w:val="22"/>
                <w:lang w:eastAsia="it-IT"/>
              </w:rPr>
            </w:pPr>
          </w:p>
        </w:tc>
        <w:tc>
          <w:tcPr>
            <w:tcW w:w="1535" w:type="dxa"/>
            <w:vAlign w:val="center"/>
          </w:tcPr>
          <w:p w14:paraId="2FC2F19D" w14:textId="77777777" w:rsidR="00C27BF0" w:rsidRPr="0019790A" w:rsidRDefault="00C27BF0" w:rsidP="00C27BF0">
            <w:pPr>
              <w:jc w:val="center"/>
              <w:rPr>
                <w:rFonts w:cs="Arial"/>
                <w:color w:val="000000"/>
                <w:szCs w:val="22"/>
                <w:lang w:eastAsia="it-IT"/>
              </w:rPr>
            </w:pPr>
          </w:p>
        </w:tc>
      </w:tr>
      <w:tr w:rsidR="00C27BF0" w:rsidRPr="0019790A" w14:paraId="5B3A71AF" w14:textId="5B473372" w:rsidTr="00C27BF0">
        <w:trPr>
          <w:trHeight w:val="275"/>
          <w:jc w:val="right"/>
        </w:trPr>
        <w:tc>
          <w:tcPr>
            <w:tcW w:w="3425" w:type="dxa"/>
            <w:shd w:val="clear" w:color="auto" w:fill="FFFFFF"/>
            <w:vAlign w:val="center"/>
          </w:tcPr>
          <w:p w14:paraId="0B8F1212" w14:textId="77777777" w:rsidR="00C27BF0" w:rsidRPr="0019790A" w:rsidRDefault="00C27BF0" w:rsidP="0019790A">
            <w:pPr>
              <w:rPr>
                <w:rFonts w:cs="Arial"/>
                <w:color w:val="000000"/>
                <w:szCs w:val="22"/>
              </w:rPr>
            </w:pPr>
            <w:r w:rsidRPr="0019790A">
              <w:rPr>
                <w:rFonts w:cs="Arial"/>
                <w:color w:val="000000"/>
                <w:szCs w:val="22"/>
              </w:rPr>
              <w:t>- бюджет Жмеринської МТГ</w:t>
            </w:r>
          </w:p>
        </w:tc>
        <w:tc>
          <w:tcPr>
            <w:tcW w:w="1252" w:type="dxa"/>
            <w:vAlign w:val="center"/>
          </w:tcPr>
          <w:p w14:paraId="0AB4F57D" w14:textId="57BDCC6F" w:rsidR="00C27BF0" w:rsidRPr="0019790A" w:rsidRDefault="00C27BF0" w:rsidP="00C27BF0">
            <w:pPr>
              <w:jc w:val="center"/>
              <w:rPr>
                <w:rFonts w:cs="Arial"/>
                <w:color w:val="000000"/>
                <w:szCs w:val="22"/>
                <w:lang w:eastAsia="it-IT"/>
              </w:rPr>
            </w:pPr>
            <w:r>
              <w:rPr>
                <w:rFonts w:cs="Arial"/>
                <w:color w:val="000000"/>
                <w:szCs w:val="22"/>
                <w:lang w:eastAsia="it-IT"/>
              </w:rPr>
              <w:t>3000,0</w:t>
            </w:r>
          </w:p>
        </w:tc>
        <w:tc>
          <w:tcPr>
            <w:tcW w:w="1315" w:type="dxa"/>
            <w:gridSpan w:val="2"/>
            <w:vAlign w:val="center"/>
          </w:tcPr>
          <w:p w14:paraId="3545834F" w14:textId="77777777" w:rsidR="00C27BF0" w:rsidRPr="0019790A" w:rsidRDefault="00C27BF0" w:rsidP="00C27BF0">
            <w:pPr>
              <w:jc w:val="center"/>
              <w:rPr>
                <w:rFonts w:cs="Arial"/>
                <w:color w:val="000000"/>
                <w:szCs w:val="22"/>
                <w:lang w:eastAsia="it-IT"/>
              </w:rPr>
            </w:pPr>
          </w:p>
        </w:tc>
        <w:tc>
          <w:tcPr>
            <w:tcW w:w="1390" w:type="dxa"/>
            <w:gridSpan w:val="2"/>
            <w:vAlign w:val="center"/>
          </w:tcPr>
          <w:p w14:paraId="287579A4" w14:textId="77777777" w:rsidR="00C27BF0" w:rsidRPr="0019790A" w:rsidRDefault="00C27BF0" w:rsidP="00C27BF0">
            <w:pPr>
              <w:jc w:val="center"/>
              <w:rPr>
                <w:rFonts w:cs="Arial"/>
                <w:color w:val="000000"/>
                <w:szCs w:val="22"/>
                <w:lang w:eastAsia="it-IT"/>
              </w:rPr>
            </w:pPr>
          </w:p>
        </w:tc>
        <w:tc>
          <w:tcPr>
            <w:tcW w:w="1302" w:type="dxa"/>
            <w:gridSpan w:val="2"/>
            <w:vAlign w:val="center"/>
          </w:tcPr>
          <w:p w14:paraId="30EF0DBC" w14:textId="77777777" w:rsidR="00C27BF0" w:rsidRPr="0019790A" w:rsidRDefault="00C27BF0" w:rsidP="00C27BF0">
            <w:pPr>
              <w:jc w:val="center"/>
              <w:rPr>
                <w:rFonts w:cs="Arial"/>
                <w:color w:val="000000"/>
                <w:szCs w:val="22"/>
                <w:lang w:eastAsia="it-IT"/>
              </w:rPr>
            </w:pPr>
          </w:p>
        </w:tc>
        <w:tc>
          <w:tcPr>
            <w:tcW w:w="1535" w:type="dxa"/>
            <w:vAlign w:val="center"/>
          </w:tcPr>
          <w:p w14:paraId="558D9067" w14:textId="24B525F5" w:rsidR="00C27BF0" w:rsidRPr="0019790A" w:rsidRDefault="00C27BF0" w:rsidP="00C27BF0">
            <w:pPr>
              <w:jc w:val="center"/>
              <w:rPr>
                <w:rFonts w:cs="Arial"/>
                <w:color w:val="000000"/>
                <w:szCs w:val="22"/>
                <w:lang w:eastAsia="it-IT"/>
              </w:rPr>
            </w:pPr>
            <w:r w:rsidRPr="0019790A">
              <w:rPr>
                <w:rFonts w:cs="Arial"/>
                <w:color w:val="000000"/>
                <w:szCs w:val="22"/>
                <w:lang w:eastAsia="it-IT"/>
              </w:rPr>
              <w:t>3000</w:t>
            </w:r>
            <w:r>
              <w:rPr>
                <w:rFonts w:cs="Arial"/>
                <w:color w:val="000000"/>
                <w:szCs w:val="22"/>
                <w:lang w:eastAsia="it-IT"/>
              </w:rPr>
              <w:t>,0</w:t>
            </w:r>
          </w:p>
        </w:tc>
      </w:tr>
      <w:tr w:rsidR="00C27BF0" w:rsidRPr="0019790A" w14:paraId="70FB47F9" w14:textId="10178B79" w:rsidTr="00C27BF0">
        <w:trPr>
          <w:trHeight w:val="226"/>
          <w:jc w:val="right"/>
        </w:trPr>
        <w:tc>
          <w:tcPr>
            <w:tcW w:w="3425" w:type="dxa"/>
            <w:shd w:val="clear" w:color="auto" w:fill="FFFFFF"/>
            <w:vAlign w:val="center"/>
          </w:tcPr>
          <w:p w14:paraId="6C282608" w14:textId="77777777" w:rsidR="00C27BF0" w:rsidRPr="0019790A" w:rsidRDefault="00C27BF0" w:rsidP="0019790A">
            <w:pPr>
              <w:rPr>
                <w:rFonts w:cs="Arial"/>
                <w:color w:val="000000"/>
                <w:szCs w:val="22"/>
              </w:rPr>
            </w:pPr>
            <w:r w:rsidRPr="0019790A">
              <w:rPr>
                <w:rFonts w:cs="Arial"/>
                <w:color w:val="000000"/>
                <w:szCs w:val="22"/>
              </w:rPr>
              <w:t>- інші джерела фінансування</w:t>
            </w:r>
          </w:p>
        </w:tc>
        <w:tc>
          <w:tcPr>
            <w:tcW w:w="1252" w:type="dxa"/>
            <w:vAlign w:val="center"/>
          </w:tcPr>
          <w:p w14:paraId="5B47EA7B" w14:textId="77777777" w:rsidR="00C27BF0" w:rsidRPr="0019790A" w:rsidRDefault="00C27BF0" w:rsidP="00C27BF0">
            <w:pPr>
              <w:jc w:val="center"/>
              <w:rPr>
                <w:rFonts w:cs="Arial"/>
                <w:color w:val="000000"/>
                <w:szCs w:val="22"/>
                <w:lang w:eastAsia="it-IT"/>
              </w:rPr>
            </w:pPr>
          </w:p>
        </w:tc>
        <w:tc>
          <w:tcPr>
            <w:tcW w:w="1315" w:type="dxa"/>
            <w:gridSpan w:val="2"/>
            <w:vAlign w:val="center"/>
          </w:tcPr>
          <w:p w14:paraId="0DA11F8C" w14:textId="77777777" w:rsidR="00C27BF0" w:rsidRPr="0019790A" w:rsidRDefault="00C27BF0" w:rsidP="00C27BF0">
            <w:pPr>
              <w:jc w:val="center"/>
              <w:rPr>
                <w:rFonts w:cs="Arial"/>
                <w:color w:val="000000"/>
                <w:szCs w:val="22"/>
                <w:lang w:eastAsia="it-IT"/>
              </w:rPr>
            </w:pPr>
          </w:p>
        </w:tc>
        <w:tc>
          <w:tcPr>
            <w:tcW w:w="1390" w:type="dxa"/>
            <w:gridSpan w:val="2"/>
            <w:vAlign w:val="center"/>
          </w:tcPr>
          <w:p w14:paraId="3115BE62" w14:textId="77777777" w:rsidR="00C27BF0" w:rsidRPr="0019790A" w:rsidRDefault="00C27BF0" w:rsidP="00C27BF0">
            <w:pPr>
              <w:jc w:val="center"/>
              <w:rPr>
                <w:rFonts w:cs="Arial"/>
                <w:color w:val="000000"/>
                <w:szCs w:val="22"/>
                <w:lang w:eastAsia="it-IT"/>
              </w:rPr>
            </w:pPr>
          </w:p>
        </w:tc>
        <w:tc>
          <w:tcPr>
            <w:tcW w:w="1302" w:type="dxa"/>
            <w:gridSpan w:val="2"/>
            <w:vAlign w:val="center"/>
          </w:tcPr>
          <w:p w14:paraId="4F274EB0" w14:textId="77777777" w:rsidR="00C27BF0" w:rsidRPr="0019790A" w:rsidRDefault="00C27BF0" w:rsidP="00C27BF0">
            <w:pPr>
              <w:jc w:val="center"/>
              <w:rPr>
                <w:rFonts w:cs="Arial"/>
                <w:color w:val="000000"/>
                <w:szCs w:val="22"/>
                <w:lang w:eastAsia="it-IT"/>
              </w:rPr>
            </w:pPr>
          </w:p>
        </w:tc>
        <w:tc>
          <w:tcPr>
            <w:tcW w:w="1535" w:type="dxa"/>
            <w:vAlign w:val="center"/>
          </w:tcPr>
          <w:p w14:paraId="724E6703" w14:textId="77777777" w:rsidR="00C27BF0" w:rsidRPr="0019790A" w:rsidRDefault="00C27BF0" w:rsidP="00C27BF0">
            <w:pPr>
              <w:jc w:val="center"/>
              <w:rPr>
                <w:rFonts w:cs="Arial"/>
                <w:color w:val="000000"/>
                <w:szCs w:val="22"/>
                <w:lang w:eastAsia="it-IT"/>
              </w:rPr>
            </w:pPr>
          </w:p>
        </w:tc>
      </w:tr>
      <w:tr w:rsidR="00B8248C" w:rsidRPr="0019790A" w14:paraId="219DB966" w14:textId="77777777" w:rsidTr="00B8248C">
        <w:trPr>
          <w:jc w:val="right"/>
        </w:trPr>
        <w:tc>
          <w:tcPr>
            <w:tcW w:w="3425" w:type="dxa"/>
            <w:shd w:val="clear" w:color="auto" w:fill="FFFFFF"/>
            <w:vAlign w:val="center"/>
          </w:tcPr>
          <w:p w14:paraId="73050CBF" w14:textId="77777777" w:rsidR="00B8248C" w:rsidRPr="0019790A" w:rsidRDefault="00B8248C" w:rsidP="0019790A">
            <w:pPr>
              <w:rPr>
                <w:rFonts w:cs="Arial"/>
                <w:b/>
                <w:bCs/>
                <w:color w:val="000000"/>
                <w:szCs w:val="22"/>
              </w:rPr>
            </w:pPr>
            <w:r w:rsidRPr="0019790A">
              <w:rPr>
                <w:rFonts w:cs="Arial"/>
                <w:b/>
                <w:color w:val="000000"/>
                <w:szCs w:val="22"/>
              </w:rPr>
              <w:t>Відповідальний виконавець проєкту:</w:t>
            </w:r>
          </w:p>
        </w:tc>
        <w:tc>
          <w:tcPr>
            <w:tcW w:w="6794" w:type="dxa"/>
            <w:gridSpan w:val="8"/>
            <w:vAlign w:val="center"/>
          </w:tcPr>
          <w:p w14:paraId="23C6EDCE" w14:textId="77777777" w:rsidR="00B8248C" w:rsidRPr="0019790A" w:rsidRDefault="00B8248C" w:rsidP="0019790A">
            <w:pPr>
              <w:jc w:val="both"/>
              <w:rPr>
                <w:rFonts w:cs="Arial"/>
                <w:color w:val="000000"/>
                <w:szCs w:val="22"/>
                <w:lang w:eastAsia="it-IT"/>
              </w:rPr>
            </w:pPr>
            <w:r w:rsidRPr="0019790A">
              <w:rPr>
                <w:rFonts w:cs="Arial"/>
                <w:color w:val="000000"/>
                <w:szCs w:val="22"/>
                <w:lang w:eastAsia="it-IT"/>
              </w:rPr>
              <w:t xml:space="preserve">Управління культури і туризму. КЗ «Центр культури і дозвілля» Жмеринської міської ТГ. </w:t>
            </w:r>
          </w:p>
        </w:tc>
      </w:tr>
      <w:tr w:rsidR="00B8248C" w:rsidRPr="0019790A" w14:paraId="0B12FA49" w14:textId="77777777" w:rsidTr="00B8248C">
        <w:trPr>
          <w:jc w:val="right"/>
        </w:trPr>
        <w:tc>
          <w:tcPr>
            <w:tcW w:w="3425" w:type="dxa"/>
            <w:shd w:val="clear" w:color="auto" w:fill="FFFFFF"/>
            <w:vAlign w:val="center"/>
          </w:tcPr>
          <w:p w14:paraId="3ADE556C" w14:textId="77777777" w:rsidR="00B8248C" w:rsidRPr="0019790A" w:rsidRDefault="00B8248C" w:rsidP="0019790A">
            <w:pPr>
              <w:rPr>
                <w:rFonts w:cs="Arial"/>
                <w:b/>
                <w:bCs/>
                <w:color w:val="000000"/>
                <w:szCs w:val="22"/>
              </w:rPr>
            </w:pPr>
            <w:r w:rsidRPr="0019790A">
              <w:rPr>
                <w:rFonts w:cs="Arial"/>
                <w:b/>
                <w:bCs/>
                <w:color w:val="000000"/>
                <w:szCs w:val="22"/>
              </w:rPr>
              <w:t>Інше:</w:t>
            </w:r>
          </w:p>
        </w:tc>
        <w:tc>
          <w:tcPr>
            <w:tcW w:w="6794" w:type="dxa"/>
            <w:gridSpan w:val="8"/>
            <w:vAlign w:val="center"/>
          </w:tcPr>
          <w:p w14:paraId="7E7FE221" w14:textId="77777777" w:rsidR="00B8248C" w:rsidRPr="0019790A" w:rsidRDefault="00B8248C" w:rsidP="00C27BF0">
            <w:pPr>
              <w:jc w:val="both"/>
              <w:rPr>
                <w:rFonts w:cs="Arial"/>
                <w:color w:val="000000"/>
                <w:szCs w:val="22"/>
                <w:lang w:eastAsia="it-IT"/>
              </w:rPr>
            </w:pPr>
            <w:r w:rsidRPr="0019790A">
              <w:rPr>
                <w:rFonts w:cs="Arial"/>
                <w:color w:val="000000"/>
                <w:szCs w:val="22"/>
                <w:lang w:eastAsia="it-IT"/>
              </w:rPr>
              <w:t>Проєкт терміновий. Встановлення модульної котельні дозволить уникнути перебоїв в роботі закладу в осінньо-зимовий період та забезпечити належну роботу пункту незламності.</w:t>
            </w:r>
          </w:p>
        </w:tc>
      </w:tr>
    </w:tbl>
    <w:p w14:paraId="72188461" w14:textId="77777777" w:rsidR="00B8248C" w:rsidRPr="0019790A" w:rsidRDefault="00B8248C" w:rsidP="0019790A">
      <w:pPr>
        <w:rPr>
          <w:rFonts w:cs="Arial"/>
          <w:szCs w:val="22"/>
        </w:rPr>
      </w:pPr>
    </w:p>
    <w:p w14:paraId="1FB88ABE" w14:textId="333CE0FF" w:rsidR="00B8248C" w:rsidRPr="0019790A" w:rsidRDefault="00B8248C" w:rsidP="0019790A">
      <w:pPr>
        <w:jc w:val="right"/>
        <w:rPr>
          <w:rFonts w:cs="Arial"/>
          <w:b/>
          <w:szCs w:val="22"/>
        </w:rPr>
      </w:pPr>
    </w:p>
    <w:p w14:paraId="05AF6069" w14:textId="77777777" w:rsidR="00B8248C" w:rsidRPr="0019790A" w:rsidRDefault="00B8248C" w:rsidP="0019790A">
      <w:pPr>
        <w:jc w:val="center"/>
        <w:rPr>
          <w:rFonts w:cs="Arial"/>
          <w:b/>
          <w:color w:val="000000"/>
          <w:szCs w:val="22"/>
        </w:rPr>
      </w:pPr>
      <w:r w:rsidRPr="0019790A">
        <w:rPr>
          <w:rFonts w:cs="Arial"/>
          <w:b/>
          <w:color w:val="000000"/>
          <w:szCs w:val="22"/>
        </w:rPr>
        <w:t xml:space="preserve">Форма технічного завдання на проєкт місцевого розвитку </w:t>
      </w:r>
    </w:p>
    <w:p w14:paraId="34125744" w14:textId="77777777" w:rsidR="00B8248C" w:rsidRPr="0019790A" w:rsidRDefault="00B8248C" w:rsidP="0019790A">
      <w:pPr>
        <w:jc w:val="center"/>
        <w:rPr>
          <w:rFonts w:cs="Arial"/>
          <w:b/>
          <w:color w:val="000000"/>
          <w:szCs w:val="22"/>
        </w:rPr>
      </w:pPr>
      <w:r w:rsidRPr="0019790A">
        <w:rPr>
          <w:rFonts w:cs="Arial"/>
          <w:b/>
          <w:color w:val="000000"/>
          <w:szCs w:val="22"/>
        </w:rPr>
        <w:t>до Плану заходів з реалізації Стратегії</w:t>
      </w:r>
    </w:p>
    <w:p w14:paraId="3EAA8B3E" w14:textId="77777777" w:rsidR="00B8248C" w:rsidRPr="0019790A" w:rsidRDefault="00B8248C"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40"/>
        <w:gridCol w:w="14"/>
        <w:gridCol w:w="1275"/>
        <w:gridCol w:w="26"/>
        <w:gridCol w:w="1352"/>
        <w:gridCol w:w="40"/>
        <w:gridCol w:w="1276"/>
        <w:gridCol w:w="24"/>
        <w:gridCol w:w="1547"/>
      </w:tblGrid>
      <w:tr w:rsidR="00B8248C" w:rsidRPr="0019790A" w14:paraId="50C61825" w14:textId="77777777" w:rsidTr="00B8248C">
        <w:trPr>
          <w:jc w:val="right"/>
        </w:trPr>
        <w:tc>
          <w:tcPr>
            <w:tcW w:w="3425" w:type="dxa"/>
            <w:vAlign w:val="center"/>
          </w:tcPr>
          <w:p w14:paraId="2FACA490" w14:textId="77777777" w:rsidR="00B8248C" w:rsidRPr="0019790A" w:rsidRDefault="00B8248C" w:rsidP="0019790A">
            <w:pPr>
              <w:rPr>
                <w:rFonts w:cs="Arial"/>
                <w:b/>
                <w:bCs/>
                <w:color w:val="000000"/>
                <w:szCs w:val="22"/>
              </w:rPr>
            </w:pPr>
            <w:r w:rsidRPr="0019790A">
              <w:rPr>
                <w:rFonts w:cs="Arial"/>
                <w:b/>
                <w:bCs/>
                <w:color w:val="000000"/>
                <w:szCs w:val="22"/>
              </w:rPr>
              <w:t>Назва проєкту:</w:t>
            </w:r>
          </w:p>
        </w:tc>
        <w:tc>
          <w:tcPr>
            <w:tcW w:w="6794" w:type="dxa"/>
            <w:gridSpan w:val="9"/>
          </w:tcPr>
          <w:p w14:paraId="0D31F664" w14:textId="77777777" w:rsidR="00B8248C" w:rsidRPr="0019790A" w:rsidRDefault="00B8248C" w:rsidP="00C27BF0">
            <w:pPr>
              <w:jc w:val="both"/>
              <w:rPr>
                <w:rFonts w:cs="Arial"/>
                <w:b/>
                <w:szCs w:val="22"/>
                <w:lang w:eastAsia="it-IT"/>
              </w:rPr>
            </w:pPr>
            <w:r w:rsidRPr="0019790A">
              <w:rPr>
                <w:rFonts w:cs="Arial"/>
                <w:b/>
                <w:szCs w:val="22"/>
                <w:lang w:eastAsia="it-IT"/>
              </w:rPr>
              <w:t xml:space="preserve">«Творчим колективам нове обличчя»: оновлення концертного вбрання та технічного оснащення для учнів Жмеринської дитячої музичної школи </w:t>
            </w:r>
          </w:p>
        </w:tc>
      </w:tr>
      <w:tr w:rsidR="00B8248C" w:rsidRPr="0019790A" w14:paraId="45078ECD" w14:textId="77777777" w:rsidTr="00B8248C">
        <w:trPr>
          <w:jc w:val="right"/>
        </w:trPr>
        <w:tc>
          <w:tcPr>
            <w:tcW w:w="3425" w:type="dxa"/>
          </w:tcPr>
          <w:p w14:paraId="5A9917A9" w14:textId="77777777" w:rsidR="00B8248C" w:rsidRPr="0019790A" w:rsidRDefault="00B8248C"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3E2D8E87" w14:textId="77777777" w:rsidR="00B8248C" w:rsidRPr="0019790A" w:rsidRDefault="00B8248C"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9"/>
          </w:tcPr>
          <w:p w14:paraId="74C1AC9A" w14:textId="77777777" w:rsidR="00B8248C" w:rsidRPr="00C27BF0" w:rsidRDefault="00B8248C" w:rsidP="0019790A">
            <w:pPr>
              <w:rPr>
                <w:rFonts w:cs="Arial"/>
                <w:szCs w:val="22"/>
                <w:lang w:eastAsia="it-IT"/>
              </w:rPr>
            </w:pPr>
            <w:r w:rsidRPr="00C27BF0">
              <w:rPr>
                <w:rFonts w:cs="Arial"/>
                <w:szCs w:val="22"/>
                <w:lang w:eastAsia="it-IT"/>
              </w:rPr>
              <w:t>Жмеринська дитяча музична школа</w:t>
            </w:r>
          </w:p>
        </w:tc>
      </w:tr>
      <w:tr w:rsidR="00B8248C" w:rsidRPr="0019790A" w14:paraId="622B8295" w14:textId="77777777" w:rsidTr="00B8248C">
        <w:trPr>
          <w:jc w:val="right"/>
        </w:trPr>
        <w:tc>
          <w:tcPr>
            <w:tcW w:w="3425" w:type="dxa"/>
          </w:tcPr>
          <w:p w14:paraId="4DFE15E1" w14:textId="77777777" w:rsidR="00B8248C" w:rsidRPr="0019790A" w:rsidRDefault="00B8248C" w:rsidP="0019790A">
            <w:pPr>
              <w:rPr>
                <w:rFonts w:cs="Arial"/>
                <w:b/>
                <w:bCs/>
                <w:szCs w:val="22"/>
              </w:rPr>
            </w:pPr>
            <w:r w:rsidRPr="0019790A">
              <w:rPr>
                <w:rFonts w:cs="Arial"/>
                <w:szCs w:val="22"/>
                <w:lang w:eastAsia="it-IT"/>
              </w:rPr>
              <w:t>Прізвище Ім’я По-батькові:</w:t>
            </w:r>
          </w:p>
        </w:tc>
        <w:tc>
          <w:tcPr>
            <w:tcW w:w="6794" w:type="dxa"/>
            <w:gridSpan w:val="9"/>
          </w:tcPr>
          <w:p w14:paraId="279A368D" w14:textId="77777777" w:rsidR="00B8248C" w:rsidRPr="00C27BF0" w:rsidRDefault="00B8248C" w:rsidP="0019790A">
            <w:pPr>
              <w:rPr>
                <w:rFonts w:cs="Arial"/>
                <w:szCs w:val="22"/>
                <w:lang w:eastAsia="it-IT"/>
              </w:rPr>
            </w:pPr>
            <w:r w:rsidRPr="00C27BF0">
              <w:rPr>
                <w:rFonts w:cs="Arial"/>
                <w:szCs w:val="22"/>
                <w:lang w:eastAsia="it-IT"/>
              </w:rPr>
              <w:t>Гресик Наталя Алімівна</w:t>
            </w:r>
          </w:p>
        </w:tc>
      </w:tr>
      <w:tr w:rsidR="00B8248C" w:rsidRPr="0019790A" w14:paraId="5B5DBC15" w14:textId="77777777" w:rsidTr="00B8248C">
        <w:trPr>
          <w:jc w:val="right"/>
        </w:trPr>
        <w:tc>
          <w:tcPr>
            <w:tcW w:w="3425" w:type="dxa"/>
          </w:tcPr>
          <w:p w14:paraId="3A3D7348" w14:textId="77777777" w:rsidR="00B8248C" w:rsidRPr="0019790A" w:rsidRDefault="00B8248C" w:rsidP="0019790A">
            <w:pPr>
              <w:rPr>
                <w:rFonts w:cs="Arial"/>
                <w:b/>
                <w:bCs/>
                <w:szCs w:val="22"/>
              </w:rPr>
            </w:pPr>
            <w:r w:rsidRPr="0019790A">
              <w:rPr>
                <w:rFonts w:cs="Arial"/>
                <w:szCs w:val="22"/>
                <w:lang w:eastAsia="it-IT"/>
              </w:rPr>
              <w:t>Телефон (мобільний):</w:t>
            </w:r>
          </w:p>
        </w:tc>
        <w:tc>
          <w:tcPr>
            <w:tcW w:w="6794" w:type="dxa"/>
            <w:gridSpan w:val="9"/>
          </w:tcPr>
          <w:p w14:paraId="627C733C" w14:textId="77777777" w:rsidR="00B8248C" w:rsidRPr="00C27BF0" w:rsidRDefault="00B8248C" w:rsidP="0019790A">
            <w:pPr>
              <w:rPr>
                <w:rFonts w:cs="Arial"/>
                <w:szCs w:val="22"/>
                <w:lang w:eastAsia="it-IT"/>
              </w:rPr>
            </w:pPr>
            <w:r w:rsidRPr="00C27BF0">
              <w:rPr>
                <w:rFonts w:cs="Arial"/>
                <w:szCs w:val="22"/>
                <w:lang w:eastAsia="it-IT"/>
              </w:rPr>
              <w:t>+380976115594</w:t>
            </w:r>
          </w:p>
        </w:tc>
      </w:tr>
      <w:tr w:rsidR="00B8248C" w:rsidRPr="0019790A" w14:paraId="3770CC79" w14:textId="77777777" w:rsidTr="00B8248C">
        <w:trPr>
          <w:jc w:val="right"/>
        </w:trPr>
        <w:tc>
          <w:tcPr>
            <w:tcW w:w="3425" w:type="dxa"/>
          </w:tcPr>
          <w:p w14:paraId="36055210" w14:textId="77777777" w:rsidR="00B8248C" w:rsidRPr="0019790A" w:rsidRDefault="00B8248C" w:rsidP="0019790A">
            <w:pPr>
              <w:rPr>
                <w:rFonts w:cs="Arial"/>
                <w:b/>
                <w:bCs/>
                <w:szCs w:val="22"/>
              </w:rPr>
            </w:pPr>
            <w:r w:rsidRPr="0019790A">
              <w:rPr>
                <w:rFonts w:cs="Arial"/>
                <w:szCs w:val="22"/>
                <w:lang w:eastAsia="it-IT"/>
              </w:rPr>
              <w:t>Електронна адреса:</w:t>
            </w:r>
          </w:p>
        </w:tc>
        <w:tc>
          <w:tcPr>
            <w:tcW w:w="6794" w:type="dxa"/>
            <w:gridSpan w:val="9"/>
          </w:tcPr>
          <w:p w14:paraId="052A00E4" w14:textId="136A340F" w:rsidR="00B8248C" w:rsidRPr="00C27BF0" w:rsidRDefault="00D85FFD" w:rsidP="0019790A">
            <w:pPr>
              <w:rPr>
                <w:rFonts w:cs="Arial"/>
                <w:szCs w:val="22"/>
                <w:lang w:eastAsia="it-IT"/>
              </w:rPr>
            </w:pPr>
            <w:hyperlink r:id="rId129" w:history="1">
              <w:r w:rsidR="00C27BF0" w:rsidRPr="00BF0394">
                <w:rPr>
                  <w:rStyle w:val="af0"/>
                  <w:rFonts w:cs="Arial"/>
                  <w:noProof w:val="0"/>
                  <w:sz w:val="22"/>
                  <w:szCs w:val="22"/>
                  <w:lang w:eastAsia="it-IT"/>
                </w:rPr>
                <w:t>Supermusic.school.1973@gmail.com</w:t>
              </w:r>
            </w:hyperlink>
            <w:r w:rsidR="00C27BF0">
              <w:rPr>
                <w:rFonts w:cs="Arial"/>
                <w:szCs w:val="22"/>
                <w:lang w:eastAsia="it-IT"/>
              </w:rPr>
              <w:t xml:space="preserve"> </w:t>
            </w:r>
          </w:p>
        </w:tc>
      </w:tr>
      <w:tr w:rsidR="00B8248C" w:rsidRPr="0019790A" w14:paraId="1A534160" w14:textId="77777777" w:rsidTr="00B8248C">
        <w:trPr>
          <w:jc w:val="right"/>
        </w:trPr>
        <w:tc>
          <w:tcPr>
            <w:tcW w:w="3425" w:type="dxa"/>
            <w:vAlign w:val="center"/>
          </w:tcPr>
          <w:p w14:paraId="7D6106C9" w14:textId="77777777" w:rsidR="00B8248C" w:rsidRPr="0019790A" w:rsidRDefault="00B8248C" w:rsidP="0019790A">
            <w:pPr>
              <w:outlineLvl w:val="5"/>
              <w:rPr>
                <w:rFonts w:cs="Arial"/>
                <w:b/>
                <w:bCs/>
                <w:color w:val="000000"/>
                <w:szCs w:val="22"/>
              </w:rPr>
            </w:pPr>
            <w:r w:rsidRPr="0019790A">
              <w:rPr>
                <w:rFonts w:cs="Arial"/>
                <w:b/>
                <w:bCs/>
                <w:color w:val="000000"/>
                <w:szCs w:val="22"/>
              </w:rPr>
              <w:t>Номер і назва завдання з Стратегії</w:t>
            </w:r>
            <w:r w:rsidRPr="0019790A">
              <w:rPr>
                <w:rFonts w:cs="Arial"/>
                <w:b/>
                <w:bCs/>
                <w:szCs w:val="22"/>
                <w:lang w:eastAsia="it-IT"/>
              </w:rPr>
              <w:t xml:space="preserve"> </w:t>
            </w:r>
            <w:r w:rsidRPr="0019790A">
              <w:rPr>
                <w:rFonts w:cs="Arial"/>
                <w:b/>
                <w:bCs/>
                <w:color w:val="000000"/>
                <w:szCs w:val="22"/>
              </w:rPr>
              <w:t>розвитку Жмеринської міської територіальної громади,  якому відповідає проєкт:</w:t>
            </w:r>
          </w:p>
        </w:tc>
        <w:tc>
          <w:tcPr>
            <w:tcW w:w="6794" w:type="dxa"/>
            <w:gridSpan w:val="9"/>
          </w:tcPr>
          <w:p w14:paraId="6425D46D" w14:textId="61EFA07C" w:rsidR="00B8248C" w:rsidRPr="00C27BF0" w:rsidRDefault="00B8248C" w:rsidP="00C27BF0">
            <w:pPr>
              <w:pBdr>
                <w:left w:val="single" w:sz="18" w:space="4" w:color="auto"/>
              </w:pBdr>
              <w:jc w:val="both"/>
              <w:rPr>
                <w:rFonts w:cs="Arial"/>
                <w:szCs w:val="22"/>
                <w:lang w:eastAsia="it-IT"/>
              </w:rPr>
            </w:pPr>
            <w:r w:rsidRPr="00C27BF0">
              <w:rPr>
                <w:rFonts w:cs="Arial"/>
                <w:szCs w:val="22"/>
                <w:lang w:eastAsia="it-IT"/>
              </w:rPr>
              <w:t xml:space="preserve"> C 3.1 Впровадження сучасної моделі культурно-мистецького обслуговування населення громади. Розвиток дитячої музичної школи.</w:t>
            </w:r>
          </w:p>
        </w:tc>
      </w:tr>
      <w:tr w:rsidR="00B8248C" w:rsidRPr="0019790A" w14:paraId="64BF0280" w14:textId="77777777" w:rsidTr="00B8248C">
        <w:trPr>
          <w:jc w:val="right"/>
        </w:trPr>
        <w:tc>
          <w:tcPr>
            <w:tcW w:w="3425" w:type="dxa"/>
            <w:vAlign w:val="center"/>
          </w:tcPr>
          <w:p w14:paraId="06FFC94F" w14:textId="77777777" w:rsidR="00B8248C" w:rsidRPr="0019790A" w:rsidRDefault="00B8248C" w:rsidP="0019790A">
            <w:pPr>
              <w:rPr>
                <w:rFonts w:cs="Arial"/>
                <w:b/>
                <w:bCs/>
                <w:color w:val="000000"/>
                <w:szCs w:val="22"/>
              </w:rPr>
            </w:pPr>
            <w:r w:rsidRPr="0019790A">
              <w:rPr>
                <w:rFonts w:cs="Arial"/>
                <w:b/>
                <w:bCs/>
                <w:color w:val="000000"/>
                <w:szCs w:val="22"/>
              </w:rPr>
              <w:t>Мета проєкту:</w:t>
            </w:r>
          </w:p>
        </w:tc>
        <w:tc>
          <w:tcPr>
            <w:tcW w:w="6794" w:type="dxa"/>
            <w:gridSpan w:val="9"/>
          </w:tcPr>
          <w:p w14:paraId="1DDA8F7A" w14:textId="77777777" w:rsidR="00B8248C" w:rsidRPr="0019790A" w:rsidRDefault="00B8248C" w:rsidP="00C27BF0">
            <w:pPr>
              <w:jc w:val="both"/>
              <w:rPr>
                <w:rFonts w:cs="Arial"/>
                <w:szCs w:val="22"/>
                <w:lang w:eastAsia="it-IT"/>
              </w:rPr>
            </w:pPr>
            <w:r w:rsidRPr="0019790A">
              <w:rPr>
                <w:rFonts w:cs="Arial"/>
                <w:szCs w:val="22"/>
                <w:lang w:eastAsia="it-IT"/>
              </w:rPr>
              <w:t>Підвищення естетичного рівня сценічних виступів та підтримка мистецької освіти шляхом оновлення сценічних костюмів творчих колективів  та придбання технічного оснащення для вчителів Жмеринської дитячої музичної школи.</w:t>
            </w:r>
          </w:p>
        </w:tc>
      </w:tr>
      <w:tr w:rsidR="00B8248C" w:rsidRPr="0019790A" w14:paraId="36CB82CA" w14:textId="77777777" w:rsidTr="00B8248C">
        <w:trPr>
          <w:jc w:val="right"/>
        </w:trPr>
        <w:tc>
          <w:tcPr>
            <w:tcW w:w="3425" w:type="dxa"/>
            <w:vAlign w:val="center"/>
          </w:tcPr>
          <w:p w14:paraId="0ECFD7C6" w14:textId="77777777" w:rsidR="00B8248C" w:rsidRPr="0019790A" w:rsidRDefault="00B8248C" w:rsidP="0019790A">
            <w:pPr>
              <w:rPr>
                <w:rFonts w:cs="Arial"/>
                <w:b/>
                <w:bCs/>
                <w:color w:val="000000"/>
                <w:szCs w:val="22"/>
              </w:rPr>
            </w:pPr>
            <w:r w:rsidRPr="0019790A">
              <w:rPr>
                <w:rFonts w:cs="Arial"/>
                <w:b/>
                <w:bCs/>
                <w:color w:val="000000"/>
                <w:szCs w:val="22"/>
              </w:rPr>
              <w:t>Цілі проєкту:</w:t>
            </w:r>
          </w:p>
        </w:tc>
        <w:tc>
          <w:tcPr>
            <w:tcW w:w="6794" w:type="dxa"/>
            <w:gridSpan w:val="9"/>
          </w:tcPr>
          <w:p w14:paraId="5695704A" w14:textId="77777777" w:rsidR="00B8248C" w:rsidRPr="0019790A" w:rsidRDefault="00B8248C" w:rsidP="00C27BF0">
            <w:pPr>
              <w:jc w:val="both"/>
              <w:rPr>
                <w:rFonts w:cs="Arial"/>
                <w:szCs w:val="22"/>
                <w:lang w:eastAsia="it-IT"/>
              </w:rPr>
            </w:pPr>
            <w:r w:rsidRPr="0019790A">
              <w:rPr>
                <w:rFonts w:cs="Arial"/>
                <w:szCs w:val="22"/>
                <w:lang w:eastAsia="it-IT"/>
              </w:rPr>
              <w:t>  Забезпечення учнів якісним сучасним концертним одягом</w:t>
            </w:r>
          </w:p>
          <w:p w14:paraId="3E01AAEA" w14:textId="77777777" w:rsidR="00B8248C" w:rsidRPr="0019790A" w:rsidRDefault="00B8248C" w:rsidP="00C27BF0">
            <w:pPr>
              <w:jc w:val="both"/>
              <w:rPr>
                <w:rFonts w:cs="Arial"/>
                <w:szCs w:val="22"/>
                <w:lang w:eastAsia="it-IT"/>
              </w:rPr>
            </w:pPr>
            <w:r w:rsidRPr="0019790A">
              <w:rPr>
                <w:rFonts w:cs="Arial"/>
                <w:szCs w:val="22"/>
                <w:lang w:eastAsia="it-IT"/>
              </w:rPr>
              <w:t>  Формування позитивного іміджу музичної школи та громади на культурному рівні</w:t>
            </w:r>
          </w:p>
          <w:p w14:paraId="6106994A" w14:textId="77777777" w:rsidR="00B8248C" w:rsidRPr="0019790A" w:rsidRDefault="00B8248C" w:rsidP="00C27BF0">
            <w:pPr>
              <w:jc w:val="both"/>
              <w:rPr>
                <w:rFonts w:cs="Arial"/>
                <w:szCs w:val="22"/>
                <w:lang w:eastAsia="it-IT"/>
              </w:rPr>
            </w:pPr>
            <w:r w:rsidRPr="0019790A">
              <w:rPr>
                <w:rFonts w:cs="Arial"/>
                <w:szCs w:val="22"/>
                <w:lang w:eastAsia="it-IT"/>
              </w:rPr>
              <w:t>  Створення комфортних умов для участі у конкурсах, фестивалях, мистецьких заходах, проведення занять</w:t>
            </w:r>
          </w:p>
          <w:p w14:paraId="55339442" w14:textId="77777777" w:rsidR="00B8248C" w:rsidRPr="0019790A" w:rsidRDefault="00B8248C" w:rsidP="00C27BF0">
            <w:pPr>
              <w:jc w:val="both"/>
              <w:rPr>
                <w:rFonts w:cs="Arial"/>
                <w:szCs w:val="22"/>
                <w:lang w:eastAsia="it-IT"/>
              </w:rPr>
            </w:pPr>
            <w:r w:rsidRPr="0019790A">
              <w:rPr>
                <w:rFonts w:cs="Arial"/>
                <w:szCs w:val="22"/>
                <w:lang w:eastAsia="it-IT"/>
              </w:rPr>
              <w:t>  Розкриття творчого потенціалу дітей та підвищення мотивації до навчання</w:t>
            </w:r>
          </w:p>
        </w:tc>
      </w:tr>
      <w:tr w:rsidR="00B8248C" w:rsidRPr="0019790A" w14:paraId="5BB51F51" w14:textId="77777777" w:rsidTr="00B8248C">
        <w:trPr>
          <w:jc w:val="right"/>
        </w:trPr>
        <w:tc>
          <w:tcPr>
            <w:tcW w:w="3425" w:type="dxa"/>
            <w:vAlign w:val="center"/>
          </w:tcPr>
          <w:p w14:paraId="38655EEB" w14:textId="77777777" w:rsidR="00B8248C" w:rsidRPr="0019790A" w:rsidRDefault="00B8248C" w:rsidP="0019790A">
            <w:pPr>
              <w:autoSpaceDE w:val="0"/>
              <w:autoSpaceDN w:val="0"/>
              <w:adjustRightInd w:val="0"/>
              <w:rPr>
                <w:rFonts w:cs="Arial"/>
                <w:b/>
                <w:color w:val="000000"/>
                <w:szCs w:val="22"/>
              </w:rPr>
            </w:pPr>
            <w:r w:rsidRPr="0019790A">
              <w:rPr>
                <w:rFonts w:cs="Arial"/>
                <w:b/>
                <w:color w:val="000000"/>
                <w:szCs w:val="22"/>
              </w:rPr>
              <w:t>Територія на яку проєкт матиме вплив:</w:t>
            </w:r>
          </w:p>
        </w:tc>
        <w:tc>
          <w:tcPr>
            <w:tcW w:w="6794" w:type="dxa"/>
            <w:gridSpan w:val="9"/>
          </w:tcPr>
          <w:p w14:paraId="23F7278D" w14:textId="77777777" w:rsidR="00B8248C" w:rsidRPr="0019790A" w:rsidRDefault="00B8248C" w:rsidP="00C27BF0">
            <w:pPr>
              <w:jc w:val="both"/>
              <w:rPr>
                <w:rFonts w:cs="Arial"/>
                <w:szCs w:val="22"/>
                <w:lang w:eastAsia="it-IT"/>
              </w:rPr>
            </w:pPr>
            <w:r w:rsidRPr="0019790A">
              <w:rPr>
                <w:rFonts w:cs="Arial"/>
                <w:szCs w:val="22"/>
                <w:lang w:eastAsia="it-IT"/>
              </w:rPr>
              <w:t>Жмеринська міська територіальна громада</w:t>
            </w:r>
          </w:p>
        </w:tc>
      </w:tr>
      <w:tr w:rsidR="00B8248C" w:rsidRPr="0019790A" w14:paraId="46F06C3D" w14:textId="77777777" w:rsidTr="00B8248C">
        <w:trPr>
          <w:jc w:val="right"/>
        </w:trPr>
        <w:tc>
          <w:tcPr>
            <w:tcW w:w="3425" w:type="dxa"/>
            <w:vAlign w:val="center"/>
          </w:tcPr>
          <w:p w14:paraId="4E7F5120" w14:textId="77777777" w:rsidR="00B8248C" w:rsidRPr="0019790A" w:rsidRDefault="00B8248C" w:rsidP="0019790A">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4" w:type="dxa"/>
            <w:gridSpan w:val="9"/>
          </w:tcPr>
          <w:p w14:paraId="05580548" w14:textId="77777777" w:rsidR="00B8248C" w:rsidRPr="0019790A" w:rsidRDefault="00B8248C" w:rsidP="00C27BF0">
            <w:pPr>
              <w:jc w:val="both"/>
              <w:rPr>
                <w:rFonts w:cs="Arial"/>
                <w:szCs w:val="22"/>
                <w:lang w:eastAsia="it-IT"/>
              </w:rPr>
            </w:pPr>
            <w:r w:rsidRPr="0019790A">
              <w:rPr>
                <w:rFonts w:cs="Arial"/>
                <w:szCs w:val="22"/>
                <w:lang w:eastAsia="it-IT"/>
              </w:rPr>
              <w:t>  Учні музичної школи – 382 особи</w:t>
            </w:r>
          </w:p>
          <w:p w14:paraId="1CCF47AB" w14:textId="77777777" w:rsidR="00B8248C" w:rsidRPr="0019790A" w:rsidRDefault="00B8248C" w:rsidP="00C27BF0">
            <w:pPr>
              <w:jc w:val="both"/>
              <w:rPr>
                <w:rFonts w:cs="Arial"/>
                <w:szCs w:val="22"/>
                <w:lang w:eastAsia="it-IT"/>
              </w:rPr>
            </w:pPr>
            <w:r w:rsidRPr="0019790A">
              <w:rPr>
                <w:rFonts w:cs="Arial"/>
                <w:szCs w:val="22"/>
                <w:lang w:eastAsia="it-IT"/>
              </w:rPr>
              <w:t>  Викладачі закладу – понад 30 осіб</w:t>
            </w:r>
          </w:p>
          <w:p w14:paraId="56FD1A8D" w14:textId="77777777" w:rsidR="00B8248C" w:rsidRPr="0019790A" w:rsidRDefault="00B8248C" w:rsidP="00C27BF0">
            <w:pPr>
              <w:jc w:val="both"/>
              <w:rPr>
                <w:rFonts w:cs="Arial"/>
                <w:szCs w:val="22"/>
                <w:lang w:eastAsia="it-IT"/>
              </w:rPr>
            </w:pPr>
            <w:r w:rsidRPr="0019790A">
              <w:rPr>
                <w:rFonts w:cs="Arial"/>
                <w:szCs w:val="22"/>
                <w:lang w:eastAsia="it-IT"/>
              </w:rPr>
              <w:t>  Глядачі концертів, фестивалів, мешканці громади – понад 3 000 осіб щороку</w:t>
            </w:r>
          </w:p>
        </w:tc>
      </w:tr>
      <w:tr w:rsidR="00B8248C" w:rsidRPr="0019790A" w14:paraId="0DFC6AB0" w14:textId="77777777" w:rsidTr="00B8248C">
        <w:trPr>
          <w:jc w:val="right"/>
        </w:trPr>
        <w:tc>
          <w:tcPr>
            <w:tcW w:w="3425" w:type="dxa"/>
            <w:shd w:val="clear" w:color="auto" w:fill="FFFFFF"/>
            <w:vAlign w:val="center"/>
          </w:tcPr>
          <w:p w14:paraId="107531E9" w14:textId="77777777" w:rsidR="00B8248C" w:rsidRPr="0019790A" w:rsidRDefault="00B8248C" w:rsidP="0019790A">
            <w:pPr>
              <w:rPr>
                <w:rFonts w:cs="Arial"/>
                <w:b/>
                <w:bCs/>
                <w:color w:val="000000"/>
                <w:szCs w:val="22"/>
              </w:rPr>
            </w:pPr>
            <w:r w:rsidRPr="0019790A">
              <w:rPr>
                <w:rFonts w:cs="Arial"/>
                <w:b/>
                <w:bCs/>
                <w:color w:val="000000"/>
                <w:szCs w:val="22"/>
              </w:rPr>
              <w:t>Стислий опис проєкту:</w:t>
            </w:r>
          </w:p>
        </w:tc>
        <w:tc>
          <w:tcPr>
            <w:tcW w:w="6794" w:type="dxa"/>
            <w:gridSpan w:val="9"/>
          </w:tcPr>
          <w:p w14:paraId="7B0871A3" w14:textId="0D220450" w:rsidR="00B8248C" w:rsidRPr="0019790A" w:rsidRDefault="00B8248C" w:rsidP="00C27BF0">
            <w:pPr>
              <w:jc w:val="both"/>
              <w:rPr>
                <w:rFonts w:cs="Arial"/>
                <w:szCs w:val="22"/>
                <w:lang w:eastAsia="it-IT"/>
              </w:rPr>
            </w:pPr>
            <w:r w:rsidRPr="0019790A">
              <w:rPr>
                <w:rFonts w:cs="Arial"/>
                <w:szCs w:val="22"/>
                <w:lang w:eastAsia="it-IT"/>
              </w:rPr>
              <w:t xml:space="preserve">Жмеринська дитяча музична школа – осередок мистецької освіти громади. В ній функціонує 3 хорових колективи, 2 оркестри, 4 інструментальні ансамблі. Колективи активно беруть участь у культурному житті громади, представляючи її на регіональному й національному рівнях. Проте наявність застарілого або зношеного концертного одягу не відповідає сучасним вимогам до сценічної естетики, що негативно впливає на сприйняття виступів. Проєкт передбачає оновлення сценічного вбрання (класичні костюми, сукні, сорочки, аксесуари) для забезпечення гармонійного візуального образу колективів. А також </w:t>
            </w:r>
            <w:r w:rsidR="00314B9D">
              <w:rPr>
                <w:rFonts w:cs="Arial"/>
                <w:szCs w:val="22"/>
                <w:lang w:eastAsia="it-IT"/>
              </w:rPr>
              <w:t>проєкт</w:t>
            </w:r>
            <w:r w:rsidRPr="0019790A">
              <w:rPr>
                <w:rFonts w:cs="Arial"/>
                <w:szCs w:val="22"/>
                <w:lang w:eastAsia="it-IT"/>
              </w:rPr>
              <w:t>ом передбачено придбання нових музичних інструментів, технічних засобів навчання (ноутбуки, мультимедійні дошки, лазерні указки) і розкладних стільців.</w:t>
            </w:r>
          </w:p>
        </w:tc>
      </w:tr>
      <w:tr w:rsidR="00B8248C" w:rsidRPr="0019790A" w14:paraId="7A7660B8" w14:textId="77777777" w:rsidTr="00B8248C">
        <w:trPr>
          <w:jc w:val="right"/>
        </w:trPr>
        <w:tc>
          <w:tcPr>
            <w:tcW w:w="3425" w:type="dxa"/>
            <w:shd w:val="clear" w:color="auto" w:fill="FFFFFF"/>
            <w:vAlign w:val="center"/>
          </w:tcPr>
          <w:p w14:paraId="279587C7" w14:textId="77777777" w:rsidR="00B8248C" w:rsidRPr="0019790A" w:rsidRDefault="00B8248C" w:rsidP="0019790A">
            <w:pPr>
              <w:rPr>
                <w:rFonts w:cs="Arial"/>
                <w:b/>
                <w:bCs/>
                <w:color w:val="000000"/>
                <w:szCs w:val="22"/>
              </w:rPr>
            </w:pPr>
            <w:r w:rsidRPr="0019790A">
              <w:rPr>
                <w:rFonts w:cs="Arial"/>
                <w:b/>
                <w:bCs/>
                <w:color w:val="000000"/>
                <w:szCs w:val="22"/>
              </w:rPr>
              <w:t>Основні заходи проєкту:</w:t>
            </w:r>
          </w:p>
        </w:tc>
        <w:tc>
          <w:tcPr>
            <w:tcW w:w="6794" w:type="dxa"/>
            <w:gridSpan w:val="9"/>
          </w:tcPr>
          <w:p w14:paraId="2E86ACB8" w14:textId="77777777" w:rsidR="00B8248C" w:rsidRPr="0019790A" w:rsidRDefault="00B8248C" w:rsidP="00C27BF0">
            <w:pPr>
              <w:jc w:val="both"/>
              <w:rPr>
                <w:rFonts w:cs="Arial"/>
                <w:szCs w:val="22"/>
                <w:lang w:eastAsia="it-IT"/>
              </w:rPr>
            </w:pPr>
            <w:r w:rsidRPr="0019790A">
              <w:rPr>
                <w:rFonts w:cs="Arial"/>
                <w:szCs w:val="22"/>
                <w:lang w:eastAsia="it-IT"/>
              </w:rPr>
              <w:t>  Аналіз потреб кожного колективу</w:t>
            </w:r>
          </w:p>
          <w:p w14:paraId="7F9CD6FF" w14:textId="77777777" w:rsidR="00B8248C" w:rsidRPr="0019790A" w:rsidRDefault="00B8248C" w:rsidP="00C27BF0">
            <w:pPr>
              <w:jc w:val="both"/>
              <w:rPr>
                <w:rFonts w:cs="Arial"/>
                <w:szCs w:val="22"/>
                <w:lang w:eastAsia="it-IT"/>
              </w:rPr>
            </w:pPr>
            <w:r w:rsidRPr="0019790A">
              <w:rPr>
                <w:rFonts w:cs="Arial"/>
                <w:szCs w:val="22"/>
                <w:lang w:eastAsia="it-IT"/>
              </w:rPr>
              <w:t>  Розробка ескізів і замовлення костюмів відповідно до стилю ансамблів</w:t>
            </w:r>
          </w:p>
          <w:p w14:paraId="3EF0F1C4" w14:textId="77777777" w:rsidR="00B8248C" w:rsidRPr="0019790A" w:rsidRDefault="00B8248C" w:rsidP="00C27BF0">
            <w:pPr>
              <w:jc w:val="both"/>
              <w:rPr>
                <w:rFonts w:cs="Arial"/>
                <w:szCs w:val="22"/>
                <w:lang w:eastAsia="it-IT"/>
              </w:rPr>
            </w:pPr>
            <w:r w:rsidRPr="0019790A">
              <w:rPr>
                <w:rFonts w:cs="Arial"/>
                <w:szCs w:val="22"/>
                <w:lang w:eastAsia="it-IT"/>
              </w:rPr>
              <w:t>  Закупівля та примірка концертного одягу</w:t>
            </w:r>
          </w:p>
          <w:p w14:paraId="3C77D33B" w14:textId="77777777" w:rsidR="00B8248C" w:rsidRPr="0019790A" w:rsidRDefault="00B8248C" w:rsidP="00C27BF0">
            <w:pPr>
              <w:jc w:val="both"/>
              <w:rPr>
                <w:rFonts w:cs="Arial"/>
                <w:szCs w:val="22"/>
                <w:lang w:eastAsia="it-IT"/>
              </w:rPr>
            </w:pPr>
            <w:r w:rsidRPr="0019790A">
              <w:rPr>
                <w:rFonts w:cs="Arial"/>
                <w:szCs w:val="22"/>
                <w:lang w:eastAsia="it-IT"/>
              </w:rPr>
              <w:t>  Презентація нового сценічного образу на культурному заході</w:t>
            </w:r>
          </w:p>
          <w:p w14:paraId="5BEF4EE8" w14:textId="77777777" w:rsidR="00B8248C" w:rsidRPr="0019790A" w:rsidRDefault="00B8248C" w:rsidP="00C27BF0">
            <w:pPr>
              <w:jc w:val="both"/>
              <w:rPr>
                <w:rFonts w:cs="Arial"/>
                <w:szCs w:val="22"/>
                <w:lang w:eastAsia="it-IT"/>
              </w:rPr>
            </w:pPr>
            <w:r w:rsidRPr="0019790A">
              <w:rPr>
                <w:rFonts w:cs="Arial"/>
                <w:szCs w:val="22"/>
                <w:lang w:eastAsia="it-IT"/>
              </w:rPr>
              <w:t>  Подальше використання костюмів у фестивалях, конкурсах, виїзних заходах</w:t>
            </w:r>
          </w:p>
          <w:p w14:paraId="06B2F745" w14:textId="45F0E054" w:rsidR="00B8248C" w:rsidRPr="0019790A" w:rsidRDefault="00B8248C" w:rsidP="00C27BF0">
            <w:pPr>
              <w:jc w:val="both"/>
              <w:rPr>
                <w:rFonts w:cs="Arial"/>
                <w:szCs w:val="22"/>
                <w:lang w:eastAsia="it-IT"/>
              </w:rPr>
            </w:pPr>
            <w:r w:rsidRPr="0019790A">
              <w:rPr>
                <w:rFonts w:cs="Arial"/>
                <w:szCs w:val="22"/>
                <w:lang w:eastAsia="it-IT"/>
              </w:rPr>
              <w:t xml:space="preserve">  Придбання 3 ноутбуків, 3 </w:t>
            </w:r>
            <w:r w:rsidR="00C27BF0" w:rsidRPr="0019790A">
              <w:rPr>
                <w:rFonts w:cs="Arial"/>
                <w:szCs w:val="22"/>
                <w:lang w:eastAsia="it-IT"/>
              </w:rPr>
              <w:t>мультимедійних</w:t>
            </w:r>
            <w:r w:rsidRPr="0019790A">
              <w:rPr>
                <w:rFonts w:cs="Arial"/>
                <w:szCs w:val="22"/>
                <w:lang w:eastAsia="it-IT"/>
              </w:rPr>
              <w:t xml:space="preserve"> дошок, 3 вказівників</w:t>
            </w:r>
          </w:p>
          <w:p w14:paraId="1AC4D581" w14:textId="709ECF3F" w:rsidR="00B8248C" w:rsidRPr="0019790A" w:rsidRDefault="00B8248C" w:rsidP="00C27BF0">
            <w:pPr>
              <w:jc w:val="both"/>
              <w:rPr>
                <w:rFonts w:cs="Arial"/>
                <w:szCs w:val="22"/>
                <w:lang w:eastAsia="it-IT"/>
              </w:rPr>
            </w:pPr>
            <w:r w:rsidRPr="0019790A">
              <w:rPr>
                <w:rFonts w:cs="Arial"/>
                <w:szCs w:val="22"/>
                <w:lang w:eastAsia="it-IT"/>
              </w:rPr>
              <w:t xml:space="preserve">  </w:t>
            </w:r>
            <w:r w:rsidR="00C27BF0" w:rsidRPr="0019790A">
              <w:rPr>
                <w:rFonts w:cs="Arial"/>
                <w:szCs w:val="22"/>
                <w:lang w:eastAsia="it-IT"/>
              </w:rPr>
              <w:t>Придбання</w:t>
            </w:r>
            <w:r w:rsidRPr="0019790A">
              <w:rPr>
                <w:rFonts w:cs="Arial"/>
                <w:szCs w:val="22"/>
                <w:lang w:eastAsia="it-IT"/>
              </w:rPr>
              <w:t xml:space="preserve"> музичних інструментів</w:t>
            </w:r>
          </w:p>
          <w:p w14:paraId="0C3F7BA0" w14:textId="77777777" w:rsidR="00B8248C" w:rsidRPr="0019790A" w:rsidRDefault="00B8248C" w:rsidP="00C27BF0">
            <w:pPr>
              <w:jc w:val="both"/>
              <w:rPr>
                <w:rFonts w:cs="Arial"/>
                <w:szCs w:val="22"/>
                <w:lang w:eastAsia="it-IT"/>
              </w:rPr>
            </w:pPr>
            <w:r w:rsidRPr="0019790A">
              <w:rPr>
                <w:rFonts w:cs="Arial"/>
                <w:szCs w:val="22"/>
                <w:lang w:eastAsia="it-IT"/>
              </w:rPr>
              <w:t>   Придбання 40 розкладних стільців</w:t>
            </w:r>
          </w:p>
        </w:tc>
      </w:tr>
      <w:tr w:rsidR="00B8248C" w:rsidRPr="0019790A" w14:paraId="7EEC6E4F" w14:textId="77777777" w:rsidTr="00B8248C">
        <w:trPr>
          <w:jc w:val="right"/>
        </w:trPr>
        <w:tc>
          <w:tcPr>
            <w:tcW w:w="3425" w:type="dxa"/>
            <w:shd w:val="clear" w:color="auto" w:fill="FFFFFF"/>
            <w:vAlign w:val="center"/>
          </w:tcPr>
          <w:p w14:paraId="2A696A82" w14:textId="77777777" w:rsidR="00B8248C" w:rsidRPr="0019790A" w:rsidRDefault="00B8248C"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794" w:type="dxa"/>
            <w:gridSpan w:val="9"/>
          </w:tcPr>
          <w:p w14:paraId="2927B3DA" w14:textId="77777777" w:rsidR="00B8248C" w:rsidRPr="0019790A" w:rsidRDefault="00B8248C" w:rsidP="00C27BF0">
            <w:pPr>
              <w:jc w:val="both"/>
              <w:rPr>
                <w:rFonts w:cs="Arial"/>
                <w:szCs w:val="22"/>
                <w:lang w:eastAsia="it-IT"/>
              </w:rPr>
            </w:pPr>
            <w:r w:rsidRPr="0019790A">
              <w:rPr>
                <w:rFonts w:cs="Arial"/>
                <w:szCs w:val="22"/>
                <w:lang w:eastAsia="it-IT"/>
              </w:rPr>
              <w:t>  Кількість оновлених колективів – не менше 7</w:t>
            </w:r>
          </w:p>
          <w:p w14:paraId="732B75A1" w14:textId="77777777" w:rsidR="00B8248C" w:rsidRPr="0019790A" w:rsidRDefault="00B8248C" w:rsidP="00C27BF0">
            <w:pPr>
              <w:jc w:val="both"/>
              <w:rPr>
                <w:rFonts w:cs="Arial"/>
                <w:szCs w:val="22"/>
                <w:lang w:eastAsia="it-IT"/>
              </w:rPr>
            </w:pPr>
            <w:r w:rsidRPr="0019790A">
              <w:rPr>
                <w:rFonts w:cs="Arial"/>
                <w:szCs w:val="22"/>
                <w:lang w:eastAsia="it-IT"/>
              </w:rPr>
              <w:t>  Кількість закуплених костюмів – понад 100 одиниць</w:t>
            </w:r>
          </w:p>
          <w:p w14:paraId="654C8D9C" w14:textId="77777777" w:rsidR="00B8248C" w:rsidRPr="0019790A" w:rsidRDefault="00B8248C" w:rsidP="00C27BF0">
            <w:pPr>
              <w:jc w:val="both"/>
              <w:rPr>
                <w:rFonts w:cs="Arial"/>
                <w:szCs w:val="22"/>
                <w:lang w:eastAsia="it-IT"/>
              </w:rPr>
            </w:pPr>
            <w:r w:rsidRPr="0019790A">
              <w:rPr>
                <w:rFonts w:cs="Arial"/>
                <w:szCs w:val="22"/>
                <w:lang w:eastAsia="it-IT"/>
              </w:rPr>
              <w:t>  Збільшення кількості участі у виїзних заходах – +10%</w:t>
            </w:r>
          </w:p>
          <w:p w14:paraId="44E177B5" w14:textId="77777777" w:rsidR="00B8248C" w:rsidRPr="0019790A" w:rsidRDefault="00B8248C" w:rsidP="00C27BF0">
            <w:pPr>
              <w:jc w:val="both"/>
              <w:rPr>
                <w:rFonts w:cs="Arial"/>
                <w:szCs w:val="22"/>
                <w:lang w:eastAsia="it-IT"/>
              </w:rPr>
            </w:pPr>
            <w:r w:rsidRPr="0019790A">
              <w:rPr>
                <w:rFonts w:cs="Arial"/>
                <w:szCs w:val="22"/>
                <w:lang w:eastAsia="it-IT"/>
              </w:rPr>
              <w:t>  Зростання естетичного рівня виступів за відгуками журі, глядачів, партнерів</w:t>
            </w:r>
          </w:p>
          <w:p w14:paraId="18BA3306" w14:textId="4DC04305" w:rsidR="00B8248C" w:rsidRPr="0019790A" w:rsidRDefault="00B8248C" w:rsidP="00C27BF0">
            <w:pPr>
              <w:jc w:val="both"/>
              <w:rPr>
                <w:rFonts w:cs="Arial"/>
                <w:szCs w:val="22"/>
                <w:lang w:eastAsia="it-IT"/>
              </w:rPr>
            </w:pPr>
            <w:r w:rsidRPr="0019790A">
              <w:rPr>
                <w:rFonts w:cs="Arial"/>
                <w:szCs w:val="22"/>
                <w:lang w:eastAsia="it-IT"/>
              </w:rPr>
              <w:t xml:space="preserve">  Покращені умови </w:t>
            </w:r>
            <w:r w:rsidR="00C27BF0" w:rsidRPr="0019790A">
              <w:rPr>
                <w:rFonts w:cs="Arial"/>
                <w:szCs w:val="22"/>
                <w:lang w:eastAsia="it-IT"/>
              </w:rPr>
              <w:t>навчання</w:t>
            </w:r>
          </w:p>
          <w:p w14:paraId="627D6083" w14:textId="47737847" w:rsidR="00B8248C" w:rsidRPr="0019790A" w:rsidRDefault="00B8248C" w:rsidP="00C27BF0">
            <w:pPr>
              <w:jc w:val="both"/>
              <w:rPr>
                <w:rFonts w:cs="Arial"/>
                <w:szCs w:val="22"/>
                <w:lang w:eastAsia="it-IT"/>
              </w:rPr>
            </w:pPr>
            <w:r w:rsidRPr="0019790A">
              <w:rPr>
                <w:rFonts w:cs="Arial"/>
                <w:szCs w:val="22"/>
                <w:lang w:eastAsia="it-IT"/>
              </w:rPr>
              <w:t>  Підвищення зацікавленості учнів у колективній сценічній діяльності</w:t>
            </w:r>
          </w:p>
        </w:tc>
      </w:tr>
      <w:tr w:rsidR="00B8248C" w:rsidRPr="0019790A" w14:paraId="3B07A796" w14:textId="77777777" w:rsidTr="00B8248C">
        <w:trPr>
          <w:jc w:val="right"/>
        </w:trPr>
        <w:tc>
          <w:tcPr>
            <w:tcW w:w="3425" w:type="dxa"/>
            <w:shd w:val="clear" w:color="auto" w:fill="FFFFFF"/>
            <w:vAlign w:val="center"/>
          </w:tcPr>
          <w:p w14:paraId="4F50BC0B" w14:textId="77777777" w:rsidR="00B8248C" w:rsidRPr="0019790A" w:rsidRDefault="00B8248C" w:rsidP="0019790A">
            <w:pPr>
              <w:rPr>
                <w:rFonts w:cs="Arial"/>
                <w:b/>
                <w:color w:val="000000"/>
                <w:szCs w:val="22"/>
              </w:rPr>
            </w:pPr>
            <w:r w:rsidRPr="0019790A">
              <w:rPr>
                <w:rFonts w:cs="Arial"/>
                <w:b/>
                <w:color w:val="000000"/>
                <w:szCs w:val="22"/>
              </w:rPr>
              <w:t xml:space="preserve">Період здійснення: </w:t>
            </w:r>
          </w:p>
        </w:tc>
        <w:tc>
          <w:tcPr>
            <w:tcW w:w="6794" w:type="dxa"/>
            <w:gridSpan w:val="9"/>
            <w:vAlign w:val="center"/>
          </w:tcPr>
          <w:p w14:paraId="674AC8D6" w14:textId="77777777" w:rsidR="00B8248C" w:rsidRPr="0019790A" w:rsidRDefault="00B8248C" w:rsidP="0019790A">
            <w:pPr>
              <w:rPr>
                <w:rFonts w:cs="Arial"/>
                <w:color w:val="000000"/>
                <w:szCs w:val="22"/>
                <w:lang w:eastAsia="it-IT"/>
              </w:rPr>
            </w:pPr>
            <w:r w:rsidRPr="0019790A">
              <w:rPr>
                <w:rFonts w:cs="Arial"/>
                <w:b/>
                <w:color w:val="000000"/>
                <w:szCs w:val="22"/>
              </w:rPr>
              <w:t>2025 – 2028 роки:</w:t>
            </w:r>
          </w:p>
        </w:tc>
      </w:tr>
      <w:tr w:rsidR="00B8248C" w:rsidRPr="0019790A" w14:paraId="558351C0" w14:textId="77777777" w:rsidTr="00B8248C">
        <w:trPr>
          <w:jc w:val="right"/>
        </w:trPr>
        <w:tc>
          <w:tcPr>
            <w:tcW w:w="3425" w:type="dxa"/>
            <w:vMerge w:val="restart"/>
            <w:shd w:val="clear" w:color="auto" w:fill="FFFFFF"/>
            <w:vAlign w:val="center"/>
          </w:tcPr>
          <w:p w14:paraId="2FB50A46" w14:textId="77777777" w:rsidR="00B8248C" w:rsidRPr="0019790A" w:rsidRDefault="00B8248C" w:rsidP="0019790A">
            <w:pPr>
              <w:rPr>
                <w:rFonts w:cs="Arial"/>
                <w:b/>
                <w:bCs/>
                <w:color w:val="000000"/>
                <w:szCs w:val="22"/>
              </w:rPr>
            </w:pPr>
            <w:r w:rsidRPr="0019790A">
              <w:rPr>
                <w:rFonts w:cs="Arial"/>
                <w:b/>
                <w:bCs/>
                <w:color w:val="000000"/>
                <w:szCs w:val="22"/>
              </w:rPr>
              <w:t>Орієнтовна вартість проєкту, тис. грн., в тому числі:</w:t>
            </w:r>
          </w:p>
        </w:tc>
        <w:tc>
          <w:tcPr>
            <w:tcW w:w="1254" w:type="dxa"/>
            <w:gridSpan w:val="2"/>
            <w:shd w:val="clear" w:color="auto" w:fill="E6E6E6"/>
            <w:vAlign w:val="center"/>
          </w:tcPr>
          <w:p w14:paraId="4F57DEAB"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2025</w:t>
            </w:r>
          </w:p>
        </w:tc>
        <w:tc>
          <w:tcPr>
            <w:tcW w:w="1275" w:type="dxa"/>
            <w:shd w:val="clear" w:color="auto" w:fill="E6E6E6"/>
            <w:vAlign w:val="center"/>
          </w:tcPr>
          <w:p w14:paraId="79062BA5"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2026</w:t>
            </w:r>
          </w:p>
        </w:tc>
        <w:tc>
          <w:tcPr>
            <w:tcW w:w="1418" w:type="dxa"/>
            <w:gridSpan w:val="3"/>
            <w:tcBorders>
              <w:bottom w:val="single" w:sz="4" w:space="0" w:color="auto"/>
            </w:tcBorders>
            <w:shd w:val="clear" w:color="auto" w:fill="E6E6E6"/>
            <w:vAlign w:val="center"/>
          </w:tcPr>
          <w:p w14:paraId="7CC55DDC"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2027</w:t>
            </w:r>
          </w:p>
        </w:tc>
        <w:tc>
          <w:tcPr>
            <w:tcW w:w="1276" w:type="dxa"/>
            <w:shd w:val="clear" w:color="auto" w:fill="E6E6E6"/>
            <w:vAlign w:val="center"/>
          </w:tcPr>
          <w:p w14:paraId="3AAECA1E"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2028</w:t>
            </w:r>
          </w:p>
        </w:tc>
        <w:tc>
          <w:tcPr>
            <w:tcW w:w="1571" w:type="dxa"/>
            <w:gridSpan w:val="2"/>
            <w:shd w:val="clear" w:color="auto" w:fill="E6E6E6"/>
            <w:vAlign w:val="center"/>
          </w:tcPr>
          <w:p w14:paraId="5E8CAADA"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РАЗОМ</w:t>
            </w:r>
          </w:p>
        </w:tc>
      </w:tr>
      <w:tr w:rsidR="00B8248C" w:rsidRPr="0019790A" w14:paraId="43E26026" w14:textId="77777777" w:rsidTr="00B8248C">
        <w:trPr>
          <w:jc w:val="right"/>
        </w:trPr>
        <w:tc>
          <w:tcPr>
            <w:tcW w:w="3425" w:type="dxa"/>
            <w:vMerge/>
            <w:shd w:val="clear" w:color="auto" w:fill="FFFFFF"/>
            <w:vAlign w:val="center"/>
          </w:tcPr>
          <w:p w14:paraId="29E40373" w14:textId="77777777" w:rsidR="00B8248C" w:rsidRPr="0019790A" w:rsidRDefault="00B8248C" w:rsidP="0019790A">
            <w:pPr>
              <w:rPr>
                <w:rFonts w:cs="Arial"/>
                <w:b/>
                <w:bCs/>
                <w:color w:val="000000"/>
                <w:szCs w:val="22"/>
              </w:rPr>
            </w:pPr>
          </w:p>
        </w:tc>
        <w:tc>
          <w:tcPr>
            <w:tcW w:w="1254" w:type="dxa"/>
            <w:gridSpan w:val="2"/>
            <w:vAlign w:val="center"/>
          </w:tcPr>
          <w:p w14:paraId="2B651E4F"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50,0</w:t>
            </w:r>
          </w:p>
        </w:tc>
        <w:tc>
          <w:tcPr>
            <w:tcW w:w="1275" w:type="dxa"/>
            <w:shd w:val="clear" w:color="auto" w:fill="FFFFFF"/>
            <w:vAlign w:val="center"/>
          </w:tcPr>
          <w:p w14:paraId="614873C5"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162,0</w:t>
            </w:r>
          </w:p>
        </w:tc>
        <w:tc>
          <w:tcPr>
            <w:tcW w:w="1418" w:type="dxa"/>
            <w:gridSpan w:val="3"/>
            <w:shd w:val="clear" w:color="auto" w:fill="auto"/>
            <w:vAlign w:val="center"/>
          </w:tcPr>
          <w:p w14:paraId="338E39D0"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162,0</w:t>
            </w:r>
          </w:p>
        </w:tc>
        <w:tc>
          <w:tcPr>
            <w:tcW w:w="1276" w:type="dxa"/>
            <w:shd w:val="clear" w:color="auto" w:fill="FFFFFF"/>
            <w:vAlign w:val="center"/>
          </w:tcPr>
          <w:p w14:paraId="724CB3F4"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162,0</w:t>
            </w:r>
          </w:p>
        </w:tc>
        <w:tc>
          <w:tcPr>
            <w:tcW w:w="1571" w:type="dxa"/>
            <w:gridSpan w:val="2"/>
            <w:shd w:val="clear" w:color="auto" w:fill="FFFFFF"/>
            <w:vAlign w:val="center"/>
          </w:tcPr>
          <w:p w14:paraId="03A09E37"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536,0</w:t>
            </w:r>
          </w:p>
        </w:tc>
      </w:tr>
      <w:tr w:rsidR="00B8248C" w:rsidRPr="0019790A" w14:paraId="0DEFB069" w14:textId="77777777" w:rsidTr="00B8248C">
        <w:trPr>
          <w:trHeight w:val="276"/>
          <w:jc w:val="right"/>
        </w:trPr>
        <w:tc>
          <w:tcPr>
            <w:tcW w:w="3425" w:type="dxa"/>
            <w:shd w:val="clear" w:color="auto" w:fill="FFFFFF"/>
            <w:vAlign w:val="center"/>
          </w:tcPr>
          <w:p w14:paraId="5E8F662C" w14:textId="77777777" w:rsidR="00B8248C" w:rsidRPr="0019790A" w:rsidRDefault="00B8248C" w:rsidP="0019790A">
            <w:pPr>
              <w:rPr>
                <w:rFonts w:cs="Arial"/>
                <w:b/>
                <w:bCs/>
                <w:color w:val="000000"/>
                <w:szCs w:val="22"/>
              </w:rPr>
            </w:pPr>
            <w:r w:rsidRPr="0019790A">
              <w:rPr>
                <w:rFonts w:cs="Arial"/>
                <w:b/>
                <w:bCs/>
                <w:color w:val="000000"/>
                <w:szCs w:val="22"/>
              </w:rPr>
              <w:t>по джерелах фінансування:</w:t>
            </w:r>
          </w:p>
        </w:tc>
        <w:tc>
          <w:tcPr>
            <w:tcW w:w="6794" w:type="dxa"/>
            <w:gridSpan w:val="9"/>
            <w:vAlign w:val="center"/>
          </w:tcPr>
          <w:p w14:paraId="3E4F940E" w14:textId="77777777" w:rsidR="00B8248C" w:rsidRPr="0019790A" w:rsidRDefault="00B8248C" w:rsidP="0019790A">
            <w:pPr>
              <w:jc w:val="both"/>
              <w:rPr>
                <w:rFonts w:cs="Arial"/>
                <w:color w:val="000000"/>
                <w:szCs w:val="22"/>
                <w:lang w:eastAsia="it-IT"/>
              </w:rPr>
            </w:pPr>
          </w:p>
        </w:tc>
      </w:tr>
      <w:tr w:rsidR="00C27BF0" w:rsidRPr="0019790A" w14:paraId="252CB497" w14:textId="6FD7AEF3" w:rsidTr="00C27BF0">
        <w:trPr>
          <w:trHeight w:val="240"/>
          <w:jc w:val="right"/>
        </w:trPr>
        <w:tc>
          <w:tcPr>
            <w:tcW w:w="3425" w:type="dxa"/>
            <w:shd w:val="clear" w:color="auto" w:fill="FFFFFF"/>
            <w:vAlign w:val="center"/>
          </w:tcPr>
          <w:p w14:paraId="3F4F5F05" w14:textId="77777777" w:rsidR="00C27BF0" w:rsidRPr="0019790A" w:rsidRDefault="00C27BF0" w:rsidP="0019790A">
            <w:pPr>
              <w:rPr>
                <w:rFonts w:cs="Arial"/>
                <w:b/>
                <w:bCs/>
                <w:color w:val="000000"/>
                <w:szCs w:val="22"/>
              </w:rPr>
            </w:pPr>
            <w:r w:rsidRPr="0019790A">
              <w:rPr>
                <w:rFonts w:cs="Arial"/>
                <w:color w:val="000000"/>
                <w:szCs w:val="22"/>
              </w:rPr>
              <w:t>- державний бюджет</w:t>
            </w:r>
          </w:p>
        </w:tc>
        <w:tc>
          <w:tcPr>
            <w:tcW w:w="1240" w:type="dxa"/>
            <w:vAlign w:val="center"/>
          </w:tcPr>
          <w:p w14:paraId="62FD2977" w14:textId="77777777" w:rsidR="00C27BF0" w:rsidRPr="0019790A" w:rsidRDefault="00C27BF0" w:rsidP="00C27BF0">
            <w:pPr>
              <w:jc w:val="center"/>
              <w:rPr>
                <w:rFonts w:cs="Arial"/>
                <w:color w:val="000000"/>
                <w:szCs w:val="22"/>
                <w:lang w:eastAsia="it-IT"/>
              </w:rPr>
            </w:pPr>
          </w:p>
        </w:tc>
        <w:tc>
          <w:tcPr>
            <w:tcW w:w="1315" w:type="dxa"/>
            <w:gridSpan w:val="3"/>
            <w:vAlign w:val="center"/>
          </w:tcPr>
          <w:p w14:paraId="181BCE83" w14:textId="77777777" w:rsidR="00C27BF0" w:rsidRPr="0019790A" w:rsidRDefault="00C27BF0" w:rsidP="00C27BF0">
            <w:pPr>
              <w:jc w:val="center"/>
              <w:rPr>
                <w:rFonts w:cs="Arial"/>
                <w:color w:val="000000"/>
                <w:szCs w:val="22"/>
                <w:lang w:eastAsia="it-IT"/>
              </w:rPr>
            </w:pPr>
          </w:p>
        </w:tc>
        <w:tc>
          <w:tcPr>
            <w:tcW w:w="1352" w:type="dxa"/>
            <w:vAlign w:val="center"/>
          </w:tcPr>
          <w:p w14:paraId="30356398" w14:textId="77777777" w:rsidR="00C27BF0" w:rsidRPr="0019790A" w:rsidRDefault="00C27BF0" w:rsidP="00C27BF0">
            <w:pPr>
              <w:jc w:val="center"/>
              <w:rPr>
                <w:rFonts w:cs="Arial"/>
                <w:color w:val="000000"/>
                <w:szCs w:val="22"/>
                <w:lang w:eastAsia="it-IT"/>
              </w:rPr>
            </w:pPr>
          </w:p>
        </w:tc>
        <w:tc>
          <w:tcPr>
            <w:tcW w:w="1340" w:type="dxa"/>
            <w:gridSpan w:val="3"/>
            <w:vAlign w:val="center"/>
          </w:tcPr>
          <w:p w14:paraId="452C3BE7" w14:textId="77777777" w:rsidR="00C27BF0" w:rsidRPr="0019790A" w:rsidRDefault="00C27BF0" w:rsidP="00C27BF0">
            <w:pPr>
              <w:jc w:val="center"/>
              <w:rPr>
                <w:rFonts w:cs="Arial"/>
                <w:color w:val="000000"/>
                <w:szCs w:val="22"/>
                <w:lang w:eastAsia="it-IT"/>
              </w:rPr>
            </w:pPr>
          </w:p>
        </w:tc>
        <w:tc>
          <w:tcPr>
            <w:tcW w:w="1547" w:type="dxa"/>
            <w:vAlign w:val="center"/>
          </w:tcPr>
          <w:p w14:paraId="405F9072" w14:textId="77777777" w:rsidR="00C27BF0" w:rsidRPr="0019790A" w:rsidRDefault="00C27BF0" w:rsidP="00C27BF0">
            <w:pPr>
              <w:jc w:val="center"/>
              <w:rPr>
                <w:rFonts w:cs="Arial"/>
                <w:color w:val="000000"/>
                <w:szCs w:val="22"/>
                <w:lang w:eastAsia="it-IT"/>
              </w:rPr>
            </w:pPr>
          </w:p>
        </w:tc>
      </w:tr>
      <w:tr w:rsidR="00C27BF0" w:rsidRPr="0019790A" w14:paraId="5DF027F3" w14:textId="2CD3B932" w:rsidTr="00C27BF0">
        <w:trPr>
          <w:trHeight w:val="254"/>
          <w:jc w:val="right"/>
        </w:trPr>
        <w:tc>
          <w:tcPr>
            <w:tcW w:w="3425" w:type="dxa"/>
            <w:shd w:val="clear" w:color="auto" w:fill="FFFFFF"/>
            <w:vAlign w:val="center"/>
          </w:tcPr>
          <w:p w14:paraId="3F18D015" w14:textId="77777777" w:rsidR="00C27BF0" w:rsidRPr="0019790A" w:rsidRDefault="00C27BF0" w:rsidP="0019790A">
            <w:pPr>
              <w:rPr>
                <w:rFonts w:cs="Arial"/>
                <w:color w:val="000000"/>
                <w:szCs w:val="22"/>
              </w:rPr>
            </w:pPr>
            <w:r w:rsidRPr="0019790A">
              <w:rPr>
                <w:rFonts w:cs="Arial"/>
                <w:color w:val="000000"/>
                <w:szCs w:val="22"/>
              </w:rPr>
              <w:t>- обласний бюджет</w:t>
            </w:r>
          </w:p>
        </w:tc>
        <w:tc>
          <w:tcPr>
            <w:tcW w:w="1240" w:type="dxa"/>
            <w:vAlign w:val="center"/>
          </w:tcPr>
          <w:p w14:paraId="35F39D8E" w14:textId="77777777" w:rsidR="00C27BF0" w:rsidRPr="0019790A" w:rsidRDefault="00C27BF0" w:rsidP="00C27BF0">
            <w:pPr>
              <w:jc w:val="center"/>
              <w:rPr>
                <w:rFonts w:cs="Arial"/>
                <w:color w:val="000000"/>
                <w:szCs w:val="22"/>
                <w:lang w:eastAsia="it-IT"/>
              </w:rPr>
            </w:pPr>
          </w:p>
        </w:tc>
        <w:tc>
          <w:tcPr>
            <w:tcW w:w="1315" w:type="dxa"/>
            <w:gridSpan w:val="3"/>
            <w:vAlign w:val="center"/>
          </w:tcPr>
          <w:p w14:paraId="0585574F" w14:textId="77777777" w:rsidR="00C27BF0" w:rsidRPr="0019790A" w:rsidRDefault="00C27BF0" w:rsidP="00C27BF0">
            <w:pPr>
              <w:jc w:val="center"/>
              <w:rPr>
                <w:rFonts w:cs="Arial"/>
                <w:color w:val="000000"/>
                <w:szCs w:val="22"/>
                <w:lang w:eastAsia="it-IT"/>
              </w:rPr>
            </w:pPr>
          </w:p>
        </w:tc>
        <w:tc>
          <w:tcPr>
            <w:tcW w:w="1352" w:type="dxa"/>
            <w:vAlign w:val="center"/>
          </w:tcPr>
          <w:p w14:paraId="753D53E5" w14:textId="77777777" w:rsidR="00C27BF0" w:rsidRPr="0019790A" w:rsidRDefault="00C27BF0" w:rsidP="00C27BF0">
            <w:pPr>
              <w:jc w:val="center"/>
              <w:rPr>
                <w:rFonts w:cs="Arial"/>
                <w:color w:val="000000"/>
                <w:szCs w:val="22"/>
                <w:lang w:eastAsia="it-IT"/>
              </w:rPr>
            </w:pPr>
          </w:p>
        </w:tc>
        <w:tc>
          <w:tcPr>
            <w:tcW w:w="1340" w:type="dxa"/>
            <w:gridSpan w:val="3"/>
            <w:vAlign w:val="center"/>
          </w:tcPr>
          <w:p w14:paraId="6B8CE389" w14:textId="77777777" w:rsidR="00C27BF0" w:rsidRPr="0019790A" w:rsidRDefault="00C27BF0" w:rsidP="00C27BF0">
            <w:pPr>
              <w:jc w:val="center"/>
              <w:rPr>
                <w:rFonts w:cs="Arial"/>
                <w:color w:val="000000"/>
                <w:szCs w:val="22"/>
                <w:lang w:eastAsia="it-IT"/>
              </w:rPr>
            </w:pPr>
          </w:p>
        </w:tc>
        <w:tc>
          <w:tcPr>
            <w:tcW w:w="1547" w:type="dxa"/>
            <w:vAlign w:val="center"/>
          </w:tcPr>
          <w:p w14:paraId="517478D9" w14:textId="77777777" w:rsidR="00C27BF0" w:rsidRPr="0019790A" w:rsidRDefault="00C27BF0" w:rsidP="00C27BF0">
            <w:pPr>
              <w:jc w:val="center"/>
              <w:rPr>
                <w:rFonts w:cs="Arial"/>
                <w:color w:val="000000"/>
                <w:szCs w:val="22"/>
                <w:lang w:eastAsia="it-IT"/>
              </w:rPr>
            </w:pPr>
          </w:p>
        </w:tc>
      </w:tr>
      <w:tr w:rsidR="00C27BF0" w:rsidRPr="0019790A" w14:paraId="7403E109" w14:textId="479772E9" w:rsidTr="00C27BF0">
        <w:trPr>
          <w:trHeight w:val="275"/>
          <w:jc w:val="right"/>
        </w:trPr>
        <w:tc>
          <w:tcPr>
            <w:tcW w:w="3425" w:type="dxa"/>
            <w:shd w:val="clear" w:color="auto" w:fill="FFFFFF"/>
            <w:vAlign w:val="center"/>
          </w:tcPr>
          <w:p w14:paraId="61398D89" w14:textId="77777777" w:rsidR="00C27BF0" w:rsidRPr="0019790A" w:rsidRDefault="00C27BF0" w:rsidP="00C27BF0">
            <w:pPr>
              <w:rPr>
                <w:rFonts w:cs="Arial"/>
                <w:color w:val="000000"/>
                <w:szCs w:val="22"/>
              </w:rPr>
            </w:pPr>
            <w:r w:rsidRPr="0019790A">
              <w:rPr>
                <w:rFonts w:cs="Arial"/>
                <w:color w:val="000000"/>
                <w:szCs w:val="22"/>
              </w:rPr>
              <w:t>- бюджет Жмеринської МТГ</w:t>
            </w:r>
          </w:p>
        </w:tc>
        <w:tc>
          <w:tcPr>
            <w:tcW w:w="1240" w:type="dxa"/>
            <w:vAlign w:val="center"/>
          </w:tcPr>
          <w:p w14:paraId="77F7AF10" w14:textId="217BFDE3" w:rsidR="00C27BF0" w:rsidRPr="0019790A" w:rsidRDefault="00C27BF0" w:rsidP="00C27BF0">
            <w:pPr>
              <w:jc w:val="center"/>
              <w:rPr>
                <w:rFonts w:cs="Arial"/>
                <w:color w:val="000000"/>
                <w:szCs w:val="22"/>
                <w:lang w:eastAsia="it-IT"/>
              </w:rPr>
            </w:pPr>
            <w:r w:rsidRPr="0019790A">
              <w:rPr>
                <w:rFonts w:cs="Arial"/>
                <w:b/>
                <w:color w:val="000000"/>
                <w:szCs w:val="22"/>
                <w:lang w:eastAsia="it-IT"/>
              </w:rPr>
              <w:t>50,0</w:t>
            </w:r>
          </w:p>
        </w:tc>
        <w:tc>
          <w:tcPr>
            <w:tcW w:w="1315" w:type="dxa"/>
            <w:gridSpan w:val="3"/>
            <w:vAlign w:val="center"/>
          </w:tcPr>
          <w:p w14:paraId="65914851" w14:textId="2CC7C0B6" w:rsidR="00C27BF0" w:rsidRPr="0019790A" w:rsidRDefault="00C27BF0" w:rsidP="00C27BF0">
            <w:pPr>
              <w:jc w:val="center"/>
              <w:rPr>
                <w:rFonts w:cs="Arial"/>
                <w:color w:val="000000"/>
                <w:szCs w:val="22"/>
                <w:lang w:eastAsia="it-IT"/>
              </w:rPr>
            </w:pPr>
            <w:r w:rsidRPr="0019790A">
              <w:rPr>
                <w:rFonts w:cs="Arial"/>
                <w:b/>
                <w:color w:val="000000"/>
                <w:szCs w:val="22"/>
                <w:lang w:eastAsia="it-IT"/>
              </w:rPr>
              <w:t>162,0</w:t>
            </w:r>
          </w:p>
        </w:tc>
        <w:tc>
          <w:tcPr>
            <w:tcW w:w="1352" w:type="dxa"/>
            <w:vAlign w:val="center"/>
          </w:tcPr>
          <w:p w14:paraId="7ED91A25" w14:textId="0638D864" w:rsidR="00C27BF0" w:rsidRPr="0019790A" w:rsidRDefault="00C27BF0" w:rsidP="00C27BF0">
            <w:pPr>
              <w:jc w:val="center"/>
              <w:rPr>
                <w:rFonts w:cs="Arial"/>
                <w:color w:val="000000"/>
                <w:szCs w:val="22"/>
                <w:lang w:eastAsia="it-IT"/>
              </w:rPr>
            </w:pPr>
            <w:r w:rsidRPr="0019790A">
              <w:rPr>
                <w:rFonts w:cs="Arial"/>
                <w:b/>
                <w:color w:val="000000"/>
                <w:szCs w:val="22"/>
                <w:lang w:eastAsia="it-IT"/>
              </w:rPr>
              <w:t>162,0</w:t>
            </w:r>
          </w:p>
        </w:tc>
        <w:tc>
          <w:tcPr>
            <w:tcW w:w="1340" w:type="dxa"/>
            <w:gridSpan w:val="3"/>
            <w:vAlign w:val="center"/>
          </w:tcPr>
          <w:p w14:paraId="787E3DB1" w14:textId="4DD238BD" w:rsidR="00C27BF0" w:rsidRPr="0019790A" w:rsidRDefault="00C27BF0" w:rsidP="00C27BF0">
            <w:pPr>
              <w:jc w:val="center"/>
              <w:rPr>
                <w:rFonts w:cs="Arial"/>
                <w:color w:val="000000"/>
                <w:szCs w:val="22"/>
                <w:lang w:eastAsia="it-IT"/>
              </w:rPr>
            </w:pPr>
            <w:r w:rsidRPr="0019790A">
              <w:rPr>
                <w:rFonts w:cs="Arial"/>
                <w:b/>
                <w:color w:val="000000"/>
                <w:szCs w:val="22"/>
                <w:lang w:eastAsia="it-IT"/>
              </w:rPr>
              <w:t>162,0</w:t>
            </w:r>
          </w:p>
        </w:tc>
        <w:tc>
          <w:tcPr>
            <w:tcW w:w="1547" w:type="dxa"/>
            <w:vAlign w:val="center"/>
          </w:tcPr>
          <w:p w14:paraId="1820208D" w14:textId="14D77E48" w:rsidR="00C27BF0" w:rsidRPr="0019790A" w:rsidRDefault="00C27BF0" w:rsidP="00C27BF0">
            <w:pPr>
              <w:jc w:val="center"/>
              <w:rPr>
                <w:rFonts w:cs="Arial"/>
                <w:color w:val="000000"/>
                <w:szCs w:val="22"/>
                <w:lang w:eastAsia="it-IT"/>
              </w:rPr>
            </w:pPr>
            <w:r w:rsidRPr="0019790A">
              <w:rPr>
                <w:rFonts w:cs="Arial"/>
                <w:b/>
                <w:color w:val="000000"/>
                <w:szCs w:val="22"/>
                <w:lang w:eastAsia="it-IT"/>
              </w:rPr>
              <w:t>536,0</w:t>
            </w:r>
          </w:p>
        </w:tc>
      </w:tr>
      <w:tr w:rsidR="00C27BF0" w:rsidRPr="0019790A" w14:paraId="71FD418D" w14:textId="7CA9F907" w:rsidTr="00C27BF0">
        <w:trPr>
          <w:trHeight w:val="226"/>
          <w:jc w:val="right"/>
        </w:trPr>
        <w:tc>
          <w:tcPr>
            <w:tcW w:w="3425" w:type="dxa"/>
            <w:shd w:val="clear" w:color="auto" w:fill="FFFFFF"/>
            <w:vAlign w:val="center"/>
          </w:tcPr>
          <w:p w14:paraId="53DD0995" w14:textId="77777777" w:rsidR="00C27BF0" w:rsidRPr="0019790A" w:rsidRDefault="00C27BF0" w:rsidP="00C27BF0">
            <w:pPr>
              <w:rPr>
                <w:rFonts w:cs="Arial"/>
                <w:color w:val="000000"/>
                <w:szCs w:val="22"/>
              </w:rPr>
            </w:pPr>
            <w:r w:rsidRPr="0019790A">
              <w:rPr>
                <w:rFonts w:cs="Arial"/>
                <w:color w:val="000000"/>
                <w:szCs w:val="22"/>
              </w:rPr>
              <w:t>- інші джерела фінансування</w:t>
            </w:r>
          </w:p>
        </w:tc>
        <w:tc>
          <w:tcPr>
            <w:tcW w:w="1240" w:type="dxa"/>
            <w:vAlign w:val="center"/>
          </w:tcPr>
          <w:p w14:paraId="61C587F2" w14:textId="77777777" w:rsidR="00C27BF0" w:rsidRPr="0019790A" w:rsidRDefault="00C27BF0" w:rsidP="00C27BF0">
            <w:pPr>
              <w:jc w:val="center"/>
              <w:rPr>
                <w:rFonts w:cs="Arial"/>
                <w:szCs w:val="22"/>
              </w:rPr>
            </w:pPr>
          </w:p>
        </w:tc>
        <w:tc>
          <w:tcPr>
            <w:tcW w:w="1315" w:type="dxa"/>
            <w:gridSpan w:val="3"/>
            <w:vAlign w:val="center"/>
          </w:tcPr>
          <w:p w14:paraId="6E255A08" w14:textId="77777777" w:rsidR="00C27BF0" w:rsidRPr="0019790A" w:rsidRDefault="00C27BF0" w:rsidP="00C27BF0">
            <w:pPr>
              <w:jc w:val="center"/>
              <w:rPr>
                <w:rFonts w:cs="Arial"/>
                <w:szCs w:val="22"/>
              </w:rPr>
            </w:pPr>
          </w:p>
        </w:tc>
        <w:tc>
          <w:tcPr>
            <w:tcW w:w="1352" w:type="dxa"/>
            <w:vAlign w:val="center"/>
          </w:tcPr>
          <w:p w14:paraId="6A1FF313" w14:textId="77777777" w:rsidR="00C27BF0" w:rsidRPr="0019790A" w:rsidRDefault="00C27BF0" w:rsidP="00C27BF0">
            <w:pPr>
              <w:jc w:val="center"/>
              <w:rPr>
                <w:rFonts w:cs="Arial"/>
                <w:szCs w:val="22"/>
              </w:rPr>
            </w:pPr>
          </w:p>
        </w:tc>
        <w:tc>
          <w:tcPr>
            <w:tcW w:w="1340" w:type="dxa"/>
            <w:gridSpan w:val="3"/>
            <w:vAlign w:val="center"/>
          </w:tcPr>
          <w:p w14:paraId="544075ED" w14:textId="77777777" w:rsidR="00C27BF0" w:rsidRPr="0019790A" w:rsidRDefault="00C27BF0" w:rsidP="00C27BF0">
            <w:pPr>
              <w:jc w:val="center"/>
              <w:rPr>
                <w:rFonts w:cs="Arial"/>
                <w:szCs w:val="22"/>
              </w:rPr>
            </w:pPr>
          </w:p>
        </w:tc>
        <w:tc>
          <w:tcPr>
            <w:tcW w:w="1547" w:type="dxa"/>
            <w:vAlign w:val="center"/>
          </w:tcPr>
          <w:p w14:paraId="1FC379BB" w14:textId="77777777" w:rsidR="00C27BF0" w:rsidRPr="0019790A" w:rsidRDefault="00C27BF0" w:rsidP="00C27BF0">
            <w:pPr>
              <w:jc w:val="center"/>
              <w:rPr>
                <w:rFonts w:cs="Arial"/>
                <w:szCs w:val="22"/>
              </w:rPr>
            </w:pPr>
          </w:p>
        </w:tc>
      </w:tr>
      <w:tr w:rsidR="00C27BF0" w:rsidRPr="0019790A" w14:paraId="3EB7625B" w14:textId="77777777" w:rsidTr="00B8248C">
        <w:trPr>
          <w:jc w:val="right"/>
        </w:trPr>
        <w:tc>
          <w:tcPr>
            <w:tcW w:w="3425" w:type="dxa"/>
            <w:shd w:val="clear" w:color="auto" w:fill="FFFFFF"/>
            <w:vAlign w:val="center"/>
          </w:tcPr>
          <w:p w14:paraId="1BC8BAFB" w14:textId="77777777" w:rsidR="00C27BF0" w:rsidRPr="0019790A" w:rsidRDefault="00C27BF0" w:rsidP="00C27BF0">
            <w:pPr>
              <w:rPr>
                <w:rFonts w:cs="Arial"/>
                <w:b/>
                <w:bCs/>
                <w:color w:val="000000"/>
                <w:szCs w:val="22"/>
              </w:rPr>
            </w:pPr>
            <w:r w:rsidRPr="0019790A">
              <w:rPr>
                <w:rFonts w:cs="Arial"/>
                <w:b/>
                <w:color w:val="000000"/>
                <w:szCs w:val="22"/>
              </w:rPr>
              <w:t>Відповідальний виконавець проєкту:</w:t>
            </w:r>
          </w:p>
        </w:tc>
        <w:tc>
          <w:tcPr>
            <w:tcW w:w="6794" w:type="dxa"/>
            <w:gridSpan w:val="9"/>
            <w:vAlign w:val="center"/>
          </w:tcPr>
          <w:p w14:paraId="7EB9F34A" w14:textId="77777777" w:rsidR="00C27BF0" w:rsidRPr="0019790A" w:rsidRDefault="00C27BF0" w:rsidP="00C27BF0">
            <w:pPr>
              <w:jc w:val="both"/>
              <w:rPr>
                <w:rFonts w:cs="Arial"/>
                <w:color w:val="000000"/>
                <w:szCs w:val="22"/>
                <w:lang w:eastAsia="it-IT"/>
              </w:rPr>
            </w:pPr>
            <w:r w:rsidRPr="0019790A">
              <w:rPr>
                <w:rFonts w:cs="Arial"/>
                <w:color w:val="000000"/>
                <w:szCs w:val="22"/>
                <w:lang w:eastAsia="it-IT"/>
              </w:rPr>
              <w:t>Жмеринська дитяча музична школа</w:t>
            </w:r>
          </w:p>
        </w:tc>
      </w:tr>
      <w:tr w:rsidR="00C27BF0" w:rsidRPr="0019790A" w14:paraId="21631D97" w14:textId="77777777" w:rsidTr="00B8248C">
        <w:trPr>
          <w:jc w:val="right"/>
        </w:trPr>
        <w:tc>
          <w:tcPr>
            <w:tcW w:w="3425" w:type="dxa"/>
            <w:shd w:val="clear" w:color="auto" w:fill="FFFFFF"/>
            <w:vAlign w:val="center"/>
          </w:tcPr>
          <w:p w14:paraId="1C451C4C" w14:textId="77777777" w:rsidR="00C27BF0" w:rsidRPr="0019790A" w:rsidRDefault="00C27BF0" w:rsidP="00C27BF0">
            <w:pPr>
              <w:rPr>
                <w:rFonts w:cs="Arial"/>
                <w:b/>
                <w:bCs/>
                <w:color w:val="000000"/>
                <w:szCs w:val="22"/>
              </w:rPr>
            </w:pPr>
            <w:r w:rsidRPr="0019790A">
              <w:rPr>
                <w:rFonts w:cs="Arial"/>
                <w:b/>
                <w:bCs/>
                <w:color w:val="000000"/>
                <w:szCs w:val="22"/>
              </w:rPr>
              <w:t>Інше:</w:t>
            </w:r>
          </w:p>
        </w:tc>
        <w:tc>
          <w:tcPr>
            <w:tcW w:w="6794" w:type="dxa"/>
            <w:gridSpan w:val="9"/>
            <w:vAlign w:val="center"/>
          </w:tcPr>
          <w:p w14:paraId="225B3DEB" w14:textId="77777777" w:rsidR="00C27BF0" w:rsidRPr="0019790A" w:rsidRDefault="00C27BF0" w:rsidP="00C27BF0">
            <w:pPr>
              <w:jc w:val="both"/>
              <w:rPr>
                <w:rFonts w:cs="Arial"/>
                <w:color w:val="000000"/>
                <w:szCs w:val="22"/>
                <w:lang w:eastAsia="it-IT"/>
              </w:rPr>
            </w:pPr>
            <w:r w:rsidRPr="0019790A">
              <w:rPr>
                <w:rFonts w:cs="Arial"/>
                <w:color w:val="000000"/>
                <w:szCs w:val="22"/>
                <w:lang w:eastAsia="it-IT"/>
              </w:rPr>
              <w:t>Оновлення сценічного вбрання стане важливим кроком у презентації громади як території творчості, естетики та високого мистецького рівня, а також сприятиме збереженню інтересу до навчання у мистецькій школі.</w:t>
            </w:r>
          </w:p>
        </w:tc>
      </w:tr>
    </w:tbl>
    <w:p w14:paraId="7272ECB0" w14:textId="77777777" w:rsidR="00B8248C" w:rsidRPr="0019790A" w:rsidRDefault="00B8248C" w:rsidP="0019790A">
      <w:pPr>
        <w:rPr>
          <w:rFonts w:cs="Arial"/>
          <w:szCs w:val="22"/>
        </w:rPr>
      </w:pPr>
    </w:p>
    <w:p w14:paraId="3DEF1D0A" w14:textId="77777777" w:rsidR="00B8248C" w:rsidRPr="0019790A" w:rsidRDefault="00B8248C" w:rsidP="0019790A">
      <w:pPr>
        <w:jc w:val="right"/>
        <w:rPr>
          <w:rFonts w:cs="Arial"/>
          <w:b/>
          <w:szCs w:val="22"/>
          <w:highlight w:val="lightGray"/>
        </w:rPr>
      </w:pPr>
    </w:p>
    <w:p w14:paraId="790D2AF0" w14:textId="77777777" w:rsidR="00B8248C" w:rsidRPr="0019790A" w:rsidRDefault="00B8248C" w:rsidP="0019790A">
      <w:pPr>
        <w:jc w:val="center"/>
        <w:rPr>
          <w:rFonts w:cs="Arial"/>
          <w:b/>
          <w:color w:val="000000"/>
          <w:szCs w:val="22"/>
        </w:rPr>
      </w:pPr>
      <w:r w:rsidRPr="0019790A">
        <w:rPr>
          <w:rFonts w:cs="Arial"/>
          <w:b/>
          <w:color w:val="000000"/>
          <w:szCs w:val="22"/>
        </w:rPr>
        <w:t xml:space="preserve">Форма технічного завдання на проєкт місцевого розвитку </w:t>
      </w:r>
    </w:p>
    <w:p w14:paraId="093530A0" w14:textId="77777777" w:rsidR="00B8248C" w:rsidRPr="0019790A" w:rsidRDefault="00B8248C" w:rsidP="0019790A">
      <w:pPr>
        <w:jc w:val="center"/>
        <w:rPr>
          <w:rFonts w:cs="Arial"/>
          <w:b/>
          <w:color w:val="000000"/>
          <w:szCs w:val="22"/>
        </w:rPr>
      </w:pPr>
      <w:r w:rsidRPr="0019790A">
        <w:rPr>
          <w:rFonts w:cs="Arial"/>
          <w:b/>
          <w:color w:val="000000"/>
          <w:szCs w:val="22"/>
        </w:rPr>
        <w:t>до Плану заходів з реалізації Стратегії</w:t>
      </w:r>
    </w:p>
    <w:p w14:paraId="58973248" w14:textId="77777777" w:rsidR="00B8248C" w:rsidRPr="0019790A" w:rsidRDefault="00B8248C"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4"/>
        <w:gridCol w:w="1254"/>
        <w:gridCol w:w="36"/>
        <w:gridCol w:w="1240"/>
        <w:gridCol w:w="1418"/>
        <w:gridCol w:w="35"/>
        <w:gridCol w:w="1241"/>
        <w:gridCol w:w="24"/>
        <w:gridCol w:w="1547"/>
      </w:tblGrid>
      <w:tr w:rsidR="00B8248C" w:rsidRPr="0019790A" w14:paraId="4C759792" w14:textId="77777777" w:rsidTr="00B8248C">
        <w:trPr>
          <w:jc w:val="right"/>
        </w:trPr>
        <w:tc>
          <w:tcPr>
            <w:tcW w:w="3425" w:type="dxa"/>
            <w:vAlign w:val="center"/>
          </w:tcPr>
          <w:p w14:paraId="3B70CAEC" w14:textId="77777777" w:rsidR="00B8248C" w:rsidRPr="0019790A" w:rsidRDefault="00B8248C" w:rsidP="0019790A">
            <w:pPr>
              <w:rPr>
                <w:rFonts w:cs="Arial"/>
                <w:b/>
                <w:bCs/>
                <w:color w:val="000000"/>
                <w:szCs w:val="22"/>
              </w:rPr>
            </w:pPr>
            <w:r w:rsidRPr="0019790A">
              <w:rPr>
                <w:rFonts w:cs="Arial"/>
                <w:b/>
                <w:bCs/>
                <w:color w:val="000000"/>
                <w:szCs w:val="22"/>
              </w:rPr>
              <w:t>Назва проєкту:</w:t>
            </w:r>
          </w:p>
        </w:tc>
        <w:tc>
          <w:tcPr>
            <w:tcW w:w="6794" w:type="dxa"/>
            <w:gridSpan w:val="8"/>
          </w:tcPr>
          <w:p w14:paraId="7125A69C" w14:textId="77777777" w:rsidR="00B8248C" w:rsidRPr="0019790A" w:rsidRDefault="00B8248C" w:rsidP="00C27BF0">
            <w:pPr>
              <w:jc w:val="both"/>
              <w:rPr>
                <w:rFonts w:cs="Arial"/>
                <w:b/>
                <w:szCs w:val="22"/>
                <w:lang w:eastAsia="it-IT"/>
              </w:rPr>
            </w:pPr>
            <w:r w:rsidRPr="0019790A">
              <w:rPr>
                <w:rFonts w:cs="Arial"/>
                <w:b/>
                <w:szCs w:val="22"/>
                <w:lang w:eastAsia="it-IT"/>
              </w:rPr>
              <w:t>«В ногу з часом»: тепло модернізація Жмеринської дитячої музичної школи</w:t>
            </w:r>
          </w:p>
        </w:tc>
      </w:tr>
      <w:tr w:rsidR="00B8248C" w:rsidRPr="0019790A" w14:paraId="245E8FD1" w14:textId="77777777" w:rsidTr="00B8248C">
        <w:trPr>
          <w:jc w:val="right"/>
        </w:trPr>
        <w:tc>
          <w:tcPr>
            <w:tcW w:w="3425" w:type="dxa"/>
          </w:tcPr>
          <w:p w14:paraId="5644A144" w14:textId="77777777" w:rsidR="00B8248C" w:rsidRPr="0019790A" w:rsidRDefault="00B8248C"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21EB96C1" w14:textId="77777777" w:rsidR="00B8248C" w:rsidRPr="0019790A" w:rsidRDefault="00B8248C"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8"/>
          </w:tcPr>
          <w:p w14:paraId="660336EA" w14:textId="77777777" w:rsidR="00B8248C" w:rsidRPr="00C27BF0" w:rsidRDefault="00B8248C" w:rsidP="00C27BF0">
            <w:pPr>
              <w:jc w:val="both"/>
              <w:rPr>
                <w:rFonts w:cs="Arial"/>
                <w:szCs w:val="22"/>
                <w:lang w:eastAsia="it-IT"/>
              </w:rPr>
            </w:pPr>
            <w:r w:rsidRPr="00C27BF0">
              <w:rPr>
                <w:rFonts w:cs="Arial"/>
                <w:szCs w:val="22"/>
                <w:lang w:eastAsia="it-IT"/>
              </w:rPr>
              <w:t>Жмеринська дитяча музична школа</w:t>
            </w:r>
          </w:p>
        </w:tc>
      </w:tr>
      <w:tr w:rsidR="00B8248C" w:rsidRPr="0019790A" w14:paraId="108392B3" w14:textId="77777777" w:rsidTr="00B8248C">
        <w:trPr>
          <w:jc w:val="right"/>
        </w:trPr>
        <w:tc>
          <w:tcPr>
            <w:tcW w:w="3425" w:type="dxa"/>
          </w:tcPr>
          <w:p w14:paraId="5AC0127A" w14:textId="77777777" w:rsidR="00B8248C" w:rsidRPr="0019790A" w:rsidRDefault="00B8248C" w:rsidP="0019790A">
            <w:pPr>
              <w:rPr>
                <w:rFonts w:cs="Arial"/>
                <w:b/>
                <w:bCs/>
                <w:szCs w:val="22"/>
              </w:rPr>
            </w:pPr>
            <w:r w:rsidRPr="0019790A">
              <w:rPr>
                <w:rFonts w:cs="Arial"/>
                <w:szCs w:val="22"/>
                <w:lang w:eastAsia="it-IT"/>
              </w:rPr>
              <w:t>Прізвище Ім’я По-батькові:</w:t>
            </w:r>
          </w:p>
        </w:tc>
        <w:tc>
          <w:tcPr>
            <w:tcW w:w="6794" w:type="dxa"/>
            <w:gridSpan w:val="8"/>
          </w:tcPr>
          <w:p w14:paraId="1591AC16" w14:textId="77777777" w:rsidR="00B8248C" w:rsidRPr="00C27BF0" w:rsidRDefault="00B8248C" w:rsidP="00C27BF0">
            <w:pPr>
              <w:jc w:val="both"/>
              <w:rPr>
                <w:rFonts w:cs="Arial"/>
                <w:szCs w:val="22"/>
                <w:lang w:eastAsia="it-IT"/>
              </w:rPr>
            </w:pPr>
            <w:r w:rsidRPr="00C27BF0">
              <w:rPr>
                <w:rFonts w:cs="Arial"/>
                <w:szCs w:val="22"/>
                <w:lang w:eastAsia="it-IT"/>
              </w:rPr>
              <w:t>Гресик Наталя Алімівна</w:t>
            </w:r>
          </w:p>
        </w:tc>
      </w:tr>
      <w:tr w:rsidR="00B8248C" w:rsidRPr="0019790A" w14:paraId="438583CD" w14:textId="77777777" w:rsidTr="00B8248C">
        <w:trPr>
          <w:jc w:val="right"/>
        </w:trPr>
        <w:tc>
          <w:tcPr>
            <w:tcW w:w="3425" w:type="dxa"/>
          </w:tcPr>
          <w:p w14:paraId="229F942D" w14:textId="77777777" w:rsidR="00B8248C" w:rsidRPr="0019790A" w:rsidRDefault="00B8248C" w:rsidP="0019790A">
            <w:pPr>
              <w:rPr>
                <w:rFonts w:cs="Arial"/>
                <w:b/>
                <w:bCs/>
                <w:szCs w:val="22"/>
              </w:rPr>
            </w:pPr>
            <w:r w:rsidRPr="0019790A">
              <w:rPr>
                <w:rFonts w:cs="Arial"/>
                <w:szCs w:val="22"/>
                <w:lang w:eastAsia="it-IT"/>
              </w:rPr>
              <w:t>Телефон (мобільний):</w:t>
            </w:r>
          </w:p>
        </w:tc>
        <w:tc>
          <w:tcPr>
            <w:tcW w:w="6794" w:type="dxa"/>
            <w:gridSpan w:val="8"/>
          </w:tcPr>
          <w:p w14:paraId="5F045032" w14:textId="77777777" w:rsidR="00B8248C" w:rsidRPr="00C27BF0" w:rsidRDefault="00B8248C" w:rsidP="00C27BF0">
            <w:pPr>
              <w:jc w:val="both"/>
              <w:rPr>
                <w:rFonts w:cs="Arial"/>
                <w:szCs w:val="22"/>
                <w:lang w:eastAsia="it-IT"/>
              </w:rPr>
            </w:pPr>
            <w:r w:rsidRPr="00C27BF0">
              <w:rPr>
                <w:rFonts w:cs="Arial"/>
                <w:szCs w:val="22"/>
                <w:lang w:eastAsia="it-IT"/>
              </w:rPr>
              <w:t>+380976115594</w:t>
            </w:r>
          </w:p>
        </w:tc>
      </w:tr>
      <w:tr w:rsidR="00B8248C" w:rsidRPr="0019790A" w14:paraId="6D7446D8" w14:textId="77777777" w:rsidTr="00B8248C">
        <w:trPr>
          <w:jc w:val="right"/>
        </w:trPr>
        <w:tc>
          <w:tcPr>
            <w:tcW w:w="3425" w:type="dxa"/>
          </w:tcPr>
          <w:p w14:paraId="741E300D" w14:textId="77777777" w:rsidR="00B8248C" w:rsidRPr="0019790A" w:rsidRDefault="00B8248C" w:rsidP="0019790A">
            <w:pPr>
              <w:rPr>
                <w:rFonts w:cs="Arial"/>
                <w:b/>
                <w:bCs/>
                <w:szCs w:val="22"/>
              </w:rPr>
            </w:pPr>
            <w:r w:rsidRPr="0019790A">
              <w:rPr>
                <w:rFonts w:cs="Arial"/>
                <w:szCs w:val="22"/>
                <w:lang w:eastAsia="it-IT"/>
              </w:rPr>
              <w:t>Електронна адреса:</w:t>
            </w:r>
          </w:p>
        </w:tc>
        <w:tc>
          <w:tcPr>
            <w:tcW w:w="6794" w:type="dxa"/>
            <w:gridSpan w:val="8"/>
          </w:tcPr>
          <w:p w14:paraId="45266818" w14:textId="1DAA749C" w:rsidR="00B8248C" w:rsidRPr="00C27BF0" w:rsidRDefault="00D85FFD" w:rsidP="00C27BF0">
            <w:pPr>
              <w:jc w:val="both"/>
              <w:rPr>
                <w:rFonts w:cs="Arial"/>
                <w:szCs w:val="22"/>
                <w:lang w:eastAsia="it-IT"/>
              </w:rPr>
            </w:pPr>
            <w:hyperlink r:id="rId130" w:history="1">
              <w:r w:rsidR="00C27BF0" w:rsidRPr="00BF0394">
                <w:rPr>
                  <w:rStyle w:val="af0"/>
                  <w:rFonts w:cs="Arial"/>
                  <w:noProof w:val="0"/>
                  <w:sz w:val="22"/>
                  <w:szCs w:val="22"/>
                  <w:lang w:eastAsia="it-IT"/>
                </w:rPr>
                <w:t>Supermusic.school.1973@gmail.com</w:t>
              </w:r>
            </w:hyperlink>
            <w:r w:rsidR="00C27BF0">
              <w:rPr>
                <w:rFonts w:cs="Arial"/>
                <w:szCs w:val="22"/>
                <w:lang w:eastAsia="it-IT"/>
              </w:rPr>
              <w:t xml:space="preserve"> </w:t>
            </w:r>
          </w:p>
        </w:tc>
      </w:tr>
      <w:tr w:rsidR="00B8248C" w:rsidRPr="0019790A" w14:paraId="1144AC75" w14:textId="77777777" w:rsidTr="00B8248C">
        <w:trPr>
          <w:jc w:val="right"/>
        </w:trPr>
        <w:tc>
          <w:tcPr>
            <w:tcW w:w="3425" w:type="dxa"/>
            <w:vAlign w:val="center"/>
          </w:tcPr>
          <w:p w14:paraId="20CEBC6A" w14:textId="77777777" w:rsidR="00B8248C" w:rsidRPr="0019790A" w:rsidRDefault="00B8248C" w:rsidP="0019790A">
            <w:pPr>
              <w:outlineLvl w:val="5"/>
              <w:rPr>
                <w:rFonts w:cs="Arial"/>
                <w:b/>
                <w:bCs/>
                <w:color w:val="000000"/>
                <w:szCs w:val="22"/>
              </w:rPr>
            </w:pPr>
            <w:r w:rsidRPr="0019790A">
              <w:rPr>
                <w:rFonts w:cs="Arial"/>
                <w:b/>
                <w:bCs/>
                <w:color w:val="000000"/>
                <w:szCs w:val="22"/>
              </w:rPr>
              <w:t>Номер і назва завдання з Стратегії</w:t>
            </w:r>
            <w:r w:rsidRPr="0019790A">
              <w:rPr>
                <w:rFonts w:cs="Arial"/>
                <w:b/>
                <w:bCs/>
                <w:szCs w:val="22"/>
                <w:lang w:eastAsia="it-IT"/>
              </w:rPr>
              <w:t xml:space="preserve"> </w:t>
            </w:r>
            <w:r w:rsidRPr="0019790A">
              <w:rPr>
                <w:rFonts w:cs="Arial"/>
                <w:b/>
                <w:bCs/>
                <w:color w:val="000000"/>
                <w:szCs w:val="22"/>
              </w:rPr>
              <w:t>розвитку Жмеринської міської територіальної громади,  якому відповідає проєкт:</w:t>
            </w:r>
          </w:p>
        </w:tc>
        <w:tc>
          <w:tcPr>
            <w:tcW w:w="6794" w:type="dxa"/>
            <w:gridSpan w:val="8"/>
          </w:tcPr>
          <w:p w14:paraId="5CBE72BD" w14:textId="3FC78DE5" w:rsidR="00B8248C" w:rsidRPr="00C27BF0" w:rsidRDefault="00B8248C" w:rsidP="00C27BF0">
            <w:pPr>
              <w:pBdr>
                <w:left w:val="single" w:sz="18" w:space="4" w:color="auto"/>
              </w:pBdr>
              <w:jc w:val="both"/>
              <w:rPr>
                <w:rFonts w:cs="Arial"/>
                <w:szCs w:val="22"/>
                <w:lang w:eastAsia="it-IT"/>
              </w:rPr>
            </w:pPr>
            <w:r w:rsidRPr="00C27BF0">
              <w:rPr>
                <w:rFonts w:cs="Arial"/>
                <w:szCs w:val="22"/>
                <w:lang w:eastAsia="it-IT"/>
              </w:rPr>
              <w:t xml:space="preserve"> C 3.1 Впровадження сучасної моделі культурно-мистецького обслуговування населення громади. Розвиток дитячої музичної школи.</w:t>
            </w:r>
          </w:p>
        </w:tc>
      </w:tr>
      <w:tr w:rsidR="00B8248C" w:rsidRPr="0019790A" w14:paraId="13EFF784" w14:textId="77777777" w:rsidTr="00C27BF0">
        <w:trPr>
          <w:jc w:val="right"/>
        </w:trPr>
        <w:tc>
          <w:tcPr>
            <w:tcW w:w="3425" w:type="dxa"/>
            <w:vAlign w:val="center"/>
          </w:tcPr>
          <w:p w14:paraId="1298B848" w14:textId="77777777" w:rsidR="00B8248C" w:rsidRPr="0019790A" w:rsidRDefault="00B8248C" w:rsidP="0019790A">
            <w:pPr>
              <w:rPr>
                <w:rFonts w:cs="Arial"/>
                <w:b/>
                <w:bCs/>
                <w:color w:val="000000"/>
                <w:szCs w:val="22"/>
              </w:rPr>
            </w:pPr>
            <w:r w:rsidRPr="0019790A">
              <w:rPr>
                <w:rFonts w:cs="Arial"/>
                <w:b/>
                <w:bCs/>
                <w:color w:val="000000"/>
                <w:szCs w:val="22"/>
              </w:rPr>
              <w:t>Мета проєкту:</w:t>
            </w:r>
          </w:p>
        </w:tc>
        <w:tc>
          <w:tcPr>
            <w:tcW w:w="6794" w:type="dxa"/>
            <w:gridSpan w:val="8"/>
            <w:vAlign w:val="center"/>
          </w:tcPr>
          <w:p w14:paraId="07E26958" w14:textId="77777777" w:rsidR="00B8248C" w:rsidRPr="0019790A" w:rsidRDefault="00B8248C" w:rsidP="00C27BF0">
            <w:pPr>
              <w:rPr>
                <w:rFonts w:cs="Arial"/>
                <w:szCs w:val="22"/>
                <w:lang w:eastAsia="it-IT"/>
              </w:rPr>
            </w:pPr>
            <w:r w:rsidRPr="0019790A">
              <w:rPr>
                <w:rFonts w:cs="Arial"/>
                <w:szCs w:val="22"/>
                <w:lang w:eastAsia="it-IT"/>
              </w:rPr>
              <w:t>Підвищення якості надання мистецької освіти дітям та створення сучасного, безпечного і доступного освітнього простору на базі Жмеринської дитячої музичної школи.</w:t>
            </w:r>
          </w:p>
        </w:tc>
      </w:tr>
      <w:tr w:rsidR="00B8248C" w:rsidRPr="0019790A" w14:paraId="3B5528AD" w14:textId="77777777" w:rsidTr="00C27BF0">
        <w:trPr>
          <w:jc w:val="right"/>
        </w:trPr>
        <w:tc>
          <w:tcPr>
            <w:tcW w:w="3425" w:type="dxa"/>
            <w:vAlign w:val="center"/>
          </w:tcPr>
          <w:p w14:paraId="77F72C4F" w14:textId="77777777" w:rsidR="00B8248C" w:rsidRPr="0019790A" w:rsidRDefault="00B8248C" w:rsidP="0019790A">
            <w:pPr>
              <w:rPr>
                <w:rFonts w:cs="Arial"/>
                <w:b/>
                <w:bCs/>
                <w:color w:val="000000"/>
                <w:szCs w:val="22"/>
              </w:rPr>
            </w:pPr>
            <w:r w:rsidRPr="0019790A">
              <w:rPr>
                <w:rFonts w:cs="Arial"/>
                <w:b/>
                <w:bCs/>
                <w:color w:val="000000"/>
                <w:szCs w:val="22"/>
              </w:rPr>
              <w:t>Цілі проєкту:</w:t>
            </w:r>
          </w:p>
        </w:tc>
        <w:tc>
          <w:tcPr>
            <w:tcW w:w="6794" w:type="dxa"/>
            <w:gridSpan w:val="8"/>
            <w:vAlign w:val="center"/>
          </w:tcPr>
          <w:p w14:paraId="606BDD17" w14:textId="77777777" w:rsidR="00B8248C" w:rsidRPr="0019790A" w:rsidRDefault="00B8248C" w:rsidP="00C27BF0">
            <w:pPr>
              <w:rPr>
                <w:rFonts w:cs="Arial"/>
                <w:szCs w:val="22"/>
                <w:lang w:eastAsia="it-IT"/>
              </w:rPr>
            </w:pPr>
            <w:r w:rsidRPr="0019790A">
              <w:rPr>
                <w:rFonts w:cs="Arial"/>
                <w:szCs w:val="22"/>
                <w:lang w:eastAsia="it-IT"/>
              </w:rPr>
              <w:t>  Поліпшення умов навчання та перебування учнів</w:t>
            </w:r>
          </w:p>
          <w:p w14:paraId="250DA814" w14:textId="77777777" w:rsidR="00B8248C" w:rsidRPr="0019790A" w:rsidRDefault="00B8248C" w:rsidP="00C27BF0">
            <w:pPr>
              <w:rPr>
                <w:rFonts w:cs="Arial"/>
                <w:szCs w:val="22"/>
                <w:lang w:eastAsia="it-IT"/>
              </w:rPr>
            </w:pPr>
            <w:r w:rsidRPr="0019790A">
              <w:rPr>
                <w:rFonts w:cs="Arial"/>
                <w:szCs w:val="22"/>
                <w:lang w:eastAsia="it-IT"/>
              </w:rPr>
              <w:t>  Забезпечення інклюзивного простору</w:t>
            </w:r>
          </w:p>
          <w:p w14:paraId="17F5D040" w14:textId="77777777" w:rsidR="00B8248C" w:rsidRPr="0019790A" w:rsidRDefault="00B8248C" w:rsidP="00C27BF0">
            <w:pPr>
              <w:rPr>
                <w:rFonts w:cs="Arial"/>
                <w:szCs w:val="22"/>
                <w:lang w:eastAsia="it-IT"/>
              </w:rPr>
            </w:pPr>
            <w:r w:rsidRPr="0019790A">
              <w:rPr>
                <w:rFonts w:cs="Arial"/>
                <w:szCs w:val="22"/>
                <w:lang w:eastAsia="it-IT"/>
              </w:rPr>
              <w:t>  Підвищення якості освітнього процесу</w:t>
            </w:r>
          </w:p>
          <w:p w14:paraId="4C42D794" w14:textId="77777777" w:rsidR="00B8248C" w:rsidRPr="0019790A" w:rsidRDefault="00B8248C" w:rsidP="00C27BF0">
            <w:pPr>
              <w:rPr>
                <w:rFonts w:cs="Arial"/>
                <w:szCs w:val="22"/>
                <w:lang w:eastAsia="it-IT"/>
              </w:rPr>
            </w:pPr>
            <w:r w:rsidRPr="0019790A">
              <w:rPr>
                <w:rFonts w:cs="Arial"/>
                <w:szCs w:val="22"/>
                <w:lang w:eastAsia="it-IT"/>
              </w:rPr>
              <w:t>  Збереження та розвиток мистецької освіти в Жмеринській громаді</w:t>
            </w:r>
          </w:p>
        </w:tc>
      </w:tr>
      <w:tr w:rsidR="00B8248C" w:rsidRPr="0019790A" w14:paraId="56C6610D" w14:textId="77777777" w:rsidTr="00C27BF0">
        <w:trPr>
          <w:jc w:val="right"/>
        </w:trPr>
        <w:tc>
          <w:tcPr>
            <w:tcW w:w="3425" w:type="dxa"/>
            <w:vAlign w:val="center"/>
          </w:tcPr>
          <w:p w14:paraId="4D063B81" w14:textId="77777777" w:rsidR="00B8248C" w:rsidRPr="0019790A" w:rsidRDefault="00B8248C" w:rsidP="0019790A">
            <w:pPr>
              <w:autoSpaceDE w:val="0"/>
              <w:autoSpaceDN w:val="0"/>
              <w:adjustRightInd w:val="0"/>
              <w:rPr>
                <w:rFonts w:cs="Arial"/>
                <w:b/>
                <w:color w:val="000000"/>
                <w:szCs w:val="22"/>
              </w:rPr>
            </w:pPr>
            <w:r w:rsidRPr="0019790A">
              <w:rPr>
                <w:rFonts w:cs="Arial"/>
                <w:b/>
                <w:color w:val="000000"/>
                <w:szCs w:val="22"/>
              </w:rPr>
              <w:t>Територія на яку проєкт матиме вплив:</w:t>
            </w:r>
          </w:p>
        </w:tc>
        <w:tc>
          <w:tcPr>
            <w:tcW w:w="6794" w:type="dxa"/>
            <w:gridSpan w:val="8"/>
            <w:vAlign w:val="center"/>
          </w:tcPr>
          <w:p w14:paraId="0325A8B9" w14:textId="77777777" w:rsidR="00B8248C" w:rsidRPr="0019790A" w:rsidRDefault="00B8248C" w:rsidP="00C27BF0">
            <w:pPr>
              <w:rPr>
                <w:rFonts w:cs="Arial"/>
                <w:szCs w:val="22"/>
                <w:lang w:eastAsia="it-IT"/>
              </w:rPr>
            </w:pPr>
            <w:r w:rsidRPr="0019790A">
              <w:rPr>
                <w:rFonts w:cs="Arial"/>
                <w:szCs w:val="22"/>
                <w:lang w:eastAsia="it-IT"/>
              </w:rPr>
              <w:t>Жмеринська міська територіальна громада</w:t>
            </w:r>
          </w:p>
        </w:tc>
      </w:tr>
      <w:tr w:rsidR="00B8248C" w:rsidRPr="0019790A" w14:paraId="72933B26" w14:textId="77777777" w:rsidTr="00C27BF0">
        <w:trPr>
          <w:jc w:val="right"/>
        </w:trPr>
        <w:tc>
          <w:tcPr>
            <w:tcW w:w="3425" w:type="dxa"/>
            <w:vAlign w:val="center"/>
          </w:tcPr>
          <w:p w14:paraId="13861123" w14:textId="77777777" w:rsidR="00B8248C" w:rsidRPr="0019790A" w:rsidRDefault="00B8248C" w:rsidP="0019790A">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4" w:type="dxa"/>
            <w:gridSpan w:val="8"/>
            <w:vAlign w:val="center"/>
          </w:tcPr>
          <w:p w14:paraId="194C14EE" w14:textId="77777777" w:rsidR="00B8248C" w:rsidRPr="0019790A" w:rsidRDefault="00B8248C" w:rsidP="00C27BF0">
            <w:pPr>
              <w:rPr>
                <w:rFonts w:cs="Arial"/>
                <w:szCs w:val="22"/>
                <w:lang w:eastAsia="it-IT"/>
              </w:rPr>
            </w:pPr>
            <w:r w:rsidRPr="0019790A">
              <w:rPr>
                <w:rFonts w:cs="Arial"/>
                <w:szCs w:val="22"/>
                <w:lang w:eastAsia="it-IT"/>
              </w:rPr>
              <w:t>  Учні школи – 382 особи</w:t>
            </w:r>
          </w:p>
          <w:p w14:paraId="16CB9E31" w14:textId="77777777" w:rsidR="00B8248C" w:rsidRPr="0019790A" w:rsidRDefault="00B8248C" w:rsidP="00C27BF0">
            <w:pPr>
              <w:rPr>
                <w:rFonts w:cs="Arial"/>
                <w:szCs w:val="22"/>
                <w:lang w:eastAsia="it-IT"/>
              </w:rPr>
            </w:pPr>
            <w:r w:rsidRPr="0019790A">
              <w:rPr>
                <w:rFonts w:cs="Arial"/>
                <w:szCs w:val="22"/>
                <w:lang w:eastAsia="it-IT"/>
              </w:rPr>
              <w:t>  Викладачі – понад 30 осіб</w:t>
            </w:r>
          </w:p>
          <w:p w14:paraId="1C808C54" w14:textId="77777777" w:rsidR="00B8248C" w:rsidRPr="0019790A" w:rsidRDefault="00B8248C" w:rsidP="00C27BF0">
            <w:pPr>
              <w:rPr>
                <w:rFonts w:cs="Arial"/>
                <w:szCs w:val="22"/>
                <w:lang w:eastAsia="it-IT"/>
              </w:rPr>
            </w:pPr>
            <w:r w:rsidRPr="0019790A">
              <w:rPr>
                <w:rFonts w:cs="Arial"/>
                <w:szCs w:val="22"/>
                <w:lang w:eastAsia="it-IT"/>
              </w:rPr>
              <w:t>  Глядачі та учасники мистецьких заходів – понад 3000 осіб щороку</w:t>
            </w:r>
          </w:p>
          <w:p w14:paraId="0A9433C8" w14:textId="77777777" w:rsidR="00B8248C" w:rsidRPr="0019790A" w:rsidRDefault="00B8248C" w:rsidP="00C27BF0">
            <w:pPr>
              <w:rPr>
                <w:rFonts w:cs="Arial"/>
                <w:szCs w:val="22"/>
                <w:lang w:eastAsia="it-IT"/>
              </w:rPr>
            </w:pPr>
            <w:r w:rsidRPr="0019790A">
              <w:rPr>
                <w:rFonts w:cs="Arial"/>
                <w:szCs w:val="22"/>
                <w:lang w:eastAsia="it-IT"/>
              </w:rPr>
              <w:t>  Особи з інвалідністю, діти з особливими освітніми потребами – не менше 15 осіб</w:t>
            </w:r>
          </w:p>
        </w:tc>
      </w:tr>
      <w:tr w:rsidR="00B8248C" w:rsidRPr="0019790A" w14:paraId="3CD429D4" w14:textId="77777777" w:rsidTr="00C27BF0">
        <w:trPr>
          <w:jc w:val="right"/>
        </w:trPr>
        <w:tc>
          <w:tcPr>
            <w:tcW w:w="3425" w:type="dxa"/>
            <w:shd w:val="clear" w:color="auto" w:fill="FFFFFF"/>
            <w:vAlign w:val="center"/>
          </w:tcPr>
          <w:p w14:paraId="15510330" w14:textId="77777777" w:rsidR="00B8248C" w:rsidRPr="0019790A" w:rsidRDefault="00B8248C" w:rsidP="0019790A">
            <w:pPr>
              <w:rPr>
                <w:rFonts w:cs="Arial"/>
                <w:b/>
                <w:bCs/>
                <w:color w:val="000000"/>
                <w:szCs w:val="22"/>
              </w:rPr>
            </w:pPr>
            <w:r w:rsidRPr="0019790A">
              <w:rPr>
                <w:rFonts w:cs="Arial"/>
                <w:b/>
                <w:bCs/>
                <w:color w:val="000000"/>
                <w:szCs w:val="22"/>
              </w:rPr>
              <w:t>Стислий опис проєкту:</w:t>
            </w:r>
          </w:p>
        </w:tc>
        <w:tc>
          <w:tcPr>
            <w:tcW w:w="6794" w:type="dxa"/>
            <w:gridSpan w:val="8"/>
            <w:vAlign w:val="center"/>
          </w:tcPr>
          <w:p w14:paraId="5FF40EF2" w14:textId="77777777" w:rsidR="00B8248C" w:rsidRPr="0019790A" w:rsidRDefault="00B8248C" w:rsidP="00C27BF0">
            <w:pPr>
              <w:rPr>
                <w:rFonts w:cs="Arial"/>
                <w:szCs w:val="22"/>
                <w:lang w:eastAsia="it-IT"/>
              </w:rPr>
            </w:pPr>
            <w:r w:rsidRPr="0019790A">
              <w:rPr>
                <w:rFonts w:cs="Arial"/>
                <w:szCs w:val="22"/>
                <w:lang w:eastAsia="it-IT"/>
              </w:rPr>
              <w:t xml:space="preserve">Жмеринська дитяча музична школа є ключовим закладом мистецької освіти громади. Для підвищення її функціональності та відповідності сучасним вимогам передбачається комплексна модернізація. </w:t>
            </w:r>
          </w:p>
          <w:p w14:paraId="30EE30D5" w14:textId="77777777" w:rsidR="00B8248C" w:rsidRPr="0019790A" w:rsidRDefault="00B8248C" w:rsidP="00C27BF0">
            <w:pPr>
              <w:rPr>
                <w:rFonts w:cs="Arial"/>
                <w:szCs w:val="22"/>
                <w:lang w:eastAsia="it-IT"/>
              </w:rPr>
            </w:pPr>
          </w:p>
        </w:tc>
      </w:tr>
      <w:tr w:rsidR="00B8248C" w:rsidRPr="0019790A" w14:paraId="7AC8BB96" w14:textId="77777777" w:rsidTr="00C27BF0">
        <w:trPr>
          <w:jc w:val="right"/>
        </w:trPr>
        <w:tc>
          <w:tcPr>
            <w:tcW w:w="3425" w:type="dxa"/>
            <w:shd w:val="clear" w:color="auto" w:fill="FFFFFF"/>
            <w:vAlign w:val="center"/>
          </w:tcPr>
          <w:p w14:paraId="32558AAD" w14:textId="77777777" w:rsidR="00B8248C" w:rsidRPr="0019790A" w:rsidRDefault="00B8248C" w:rsidP="0019790A">
            <w:pPr>
              <w:rPr>
                <w:rFonts w:cs="Arial"/>
                <w:b/>
                <w:bCs/>
                <w:color w:val="000000"/>
                <w:szCs w:val="22"/>
              </w:rPr>
            </w:pPr>
            <w:r w:rsidRPr="0019790A">
              <w:rPr>
                <w:rFonts w:cs="Arial"/>
                <w:b/>
                <w:bCs/>
                <w:color w:val="000000"/>
                <w:szCs w:val="22"/>
              </w:rPr>
              <w:t>Основні заходи проєкту:</w:t>
            </w:r>
          </w:p>
        </w:tc>
        <w:tc>
          <w:tcPr>
            <w:tcW w:w="6794" w:type="dxa"/>
            <w:gridSpan w:val="8"/>
            <w:vAlign w:val="center"/>
          </w:tcPr>
          <w:p w14:paraId="2DE79175" w14:textId="77777777" w:rsidR="00C27BF0" w:rsidRDefault="00B8248C" w:rsidP="00C27BF0">
            <w:pPr>
              <w:rPr>
                <w:rFonts w:cs="Arial"/>
                <w:szCs w:val="22"/>
                <w:lang w:eastAsia="it-IT"/>
              </w:rPr>
            </w:pPr>
            <w:r w:rsidRPr="0019790A">
              <w:rPr>
                <w:rFonts w:cs="Arial"/>
                <w:szCs w:val="22"/>
                <w:lang w:eastAsia="it-IT"/>
              </w:rPr>
              <w:t>Утеплення приміщення</w:t>
            </w:r>
          </w:p>
          <w:p w14:paraId="16B5CE77" w14:textId="24E630B7" w:rsidR="00B8248C" w:rsidRPr="0019790A" w:rsidRDefault="00B8248C" w:rsidP="00C27BF0">
            <w:pPr>
              <w:rPr>
                <w:rFonts w:cs="Arial"/>
                <w:szCs w:val="22"/>
                <w:lang w:eastAsia="it-IT"/>
              </w:rPr>
            </w:pPr>
            <w:r w:rsidRPr="0019790A">
              <w:rPr>
                <w:rFonts w:cs="Arial"/>
                <w:szCs w:val="22"/>
                <w:lang w:eastAsia="it-IT"/>
              </w:rPr>
              <w:t>Зовнішнє упорядження</w:t>
            </w:r>
          </w:p>
          <w:p w14:paraId="57BE66DF" w14:textId="77777777" w:rsidR="00B8248C" w:rsidRPr="0019790A" w:rsidRDefault="00B8248C" w:rsidP="00C27BF0">
            <w:pPr>
              <w:rPr>
                <w:rFonts w:cs="Arial"/>
                <w:szCs w:val="22"/>
                <w:lang w:eastAsia="it-IT"/>
              </w:rPr>
            </w:pPr>
            <w:r w:rsidRPr="0019790A">
              <w:rPr>
                <w:rFonts w:cs="Arial"/>
                <w:szCs w:val="22"/>
                <w:lang w:eastAsia="it-IT"/>
              </w:rPr>
              <w:t>Заміна вікон та дверей</w:t>
            </w:r>
          </w:p>
          <w:p w14:paraId="3E7D6954" w14:textId="77777777" w:rsidR="00B8248C" w:rsidRPr="0019790A" w:rsidRDefault="00B8248C" w:rsidP="00C27BF0">
            <w:pPr>
              <w:rPr>
                <w:rFonts w:cs="Arial"/>
                <w:szCs w:val="22"/>
                <w:lang w:eastAsia="it-IT"/>
              </w:rPr>
            </w:pPr>
            <w:r w:rsidRPr="0019790A">
              <w:rPr>
                <w:rFonts w:cs="Arial"/>
                <w:szCs w:val="22"/>
                <w:lang w:eastAsia="it-IT"/>
              </w:rPr>
              <w:t>Внутрішнє упорядження</w:t>
            </w:r>
          </w:p>
          <w:p w14:paraId="6C3EA011" w14:textId="77777777" w:rsidR="00B8248C" w:rsidRPr="0019790A" w:rsidRDefault="00B8248C" w:rsidP="00C27BF0">
            <w:pPr>
              <w:rPr>
                <w:rFonts w:cs="Arial"/>
                <w:szCs w:val="22"/>
                <w:lang w:eastAsia="it-IT"/>
              </w:rPr>
            </w:pPr>
            <w:r w:rsidRPr="0019790A">
              <w:rPr>
                <w:rFonts w:cs="Arial"/>
                <w:szCs w:val="22"/>
                <w:lang w:eastAsia="it-IT"/>
              </w:rPr>
              <w:t>Ремонт системи водопостачання та водовідведення</w:t>
            </w:r>
          </w:p>
          <w:p w14:paraId="398FA33D" w14:textId="77777777" w:rsidR="00B8248C" w:rsidRPr="0019790A" w:rsidRDefault="00B8248C" w:rsidP="00C27BF0">
            <w:pPr>
              <w:rPr>
                <w:rFonts w:cs="Arial"/>
                <w:szCs w:val="22"/>
                <w:lang w:eastAsia="it-IT"/>
              </w:rPr>
            </w:pPr>
            <w:r w:rsidRPr="0019790A">
              <w:rPr>
                <w:rFonts w:cs="Arial"/>
                <w:szCs w:val="22"/>
                <w:lang w:eastAsia="it-IT"/>
              </w:rPr>
              <w:t>Ремонт системи електропостачання</w:t>
            </w:r>
          </w:p>
          <w:p w14:paraId="567626C3" w14:textId="77777777" w:rsidR="00B8248C" w:rsidRPr="0019790A" w:rsidRDefault="00B8248C" w:rsidP="00C27BF0">
            <w:pPr>
              <w:rPr>
                <w:rFonts w:cs="Arial"/>
                <w:szCs w:val="22"/>
                <w:lang w:eastAsia="it-IT"/>
              </w:rPr>
            </w:pPr>
            <w:r w:rsidRPr="0019790A">
              <w:rPr>
                <w:rFonts w:cs="Arial"/>
                <w:szCs w:val="22"/>
                <w:lang w:eastAsia="it-IT"/>
              </w:rPr>
              <w:t>Встановлення системи рекуперації повітря</w:t>
            </w:r>
          </w:p>
          <w:p w14:paraId="0DB9EB3F" w14:textId="77777777" w:rsidR="00B8248C" w:rsidRPr="0019790A" w:rsidRDefault="00B8248C" w:rsidP="00C27BF0">
            <w:pPr>
              <w:rPr>
                <w:rFonts w:cs="Arial"/>
                <w:szCs w:val="22"/>
                <w:lang w:eastAsia="it-IT"/>
              </w:rPr>
            </w:pPr>
            <w:r w:rsidRPr="0019790A">
              <w:rPr>
                <w:rFonts w:cs="Arial"/>
                <w:szCs w:val="22"/>
                <w:lang w:eastAsia="it-IT"/>
              </w:rPr>
              <w:t>Ремонт вхідних груп</w:t>
            </w:r>
          </w:p>
          <w:p w14:paraId="308292A6" w14:textId="77777777" w:rsidR="00B8248C" w:rsidRPr="0019790A" w:rsidRDefault="00B8248C" w:rsidP="00C27BF0">
            <w:pPr>
              <w:rPr>
                <w:rFonts w:cs="Arial"/>
                <w:szCs w:val="22"/>
                <w:lang w:eastAsia="it-IT"/>
              </w:rPr>
            </w:pPr>
            <w:r w:rsidRPr="0019790A">
              <w:rPr>
                <w:rFonts w:cs="Arial"/>
                <w:szCs w:val="22"/>
                <w:lang w:eastAsia="it-IT"/>
              </w:rPr>
              <w:t>Облаштування інклюзивних умов</w:t>
            </w:r>
          </w:p>
          <w:p w14:paraId="1C40BE14" w14:textId="77777777" w:rsidR="00B8248C" w:rsidRPr="0019790A" w:rsidRDefault="00B8248C" w:rsidP="00C27BF0">
            <w:pPr>
              <w:rPr>
                <w:rFonts w:cs="Arial"/>
                <w:szCs w:val="22"/>
                <w:lang w:eastAsia="it-IT"/>
              </w:rPr>
            </w:pPr>
            <w:r w:rsidRPr="0019790A">
              <w:rPr>
                <w:rFonts w:cs="Arial"/>
                <w:szCs w:val="22"/>
                <w:lang w:eastAsia="it-IT"/>
              </w:rPr>
              <w:t>Гідроізоляція фундаменту</w:t>
            </w:r>
          </w:p>
        </w:tc>
      </w:tr>
      <w:tr w:rsidR="00B8248C" w:rsidRPr="0019790A" w14:paraId="029EEBA6" w14:textId="77777777" w:rsidTr="00C27BF0">
        <w:trPr>
          <w:jc w:val="right"/>
        </w:trPr>
        <w:tc>
          <w:tcPr>
            <w:tcW w:w="3425" w:type="dxa"/>
            <w:shd w:val="clear" w:color="auto" w:fill="FFFFFF"/>
            <w:vAlign w:val="center"/>
          </w:tcPr>
          <w:p w14:paraId="01D15DC9" w14:textId="77777777" w:rsidR="00B8248C" w:rsidRPr="0019790A" w:rsidRDefault="00B8248C"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794" w:type="dxa"/>
            <w:gridSpan w:val="8"/>
            <w:vAlign w:val="center"/>
          </w:tcPr>
          <w:p w14:paraId="580797E6" w14:textId="77777777" w:rsidR="00B8248C" w:rsidRPr="0019790A" w:rsidRDefault="00B8248C" w:rsidP="00C27BF0">
            <w:pPr>
              <w:rPr>
                <w:rFonts w:cs="Arial"/>
                <w:szCs w:val="22"/>
                <w:lang w:eastAsia="it-IT"/>
              </w:rPr>
            </w:pPr>
            <w:r w:rsidRPr="0019790A">
              <w:rPr>
                <w:rFonts w:cs="Arial"/>
                <w:szCs w:val="22"/>
                <w:lang w:eastAsia="it-IT"/>
              </w:rPr>
              <w:t>  Здійснено капітальний ремонт 1 музичної школи</w:t>
            </w:r>
          </w:p>
          <w:p w14:paraId="365B2F05" w14:textId="77777777" w:rsidR="00B8248C" w:rsidRPr="0019790A" w:rsidRDefault="00B8248C" w:rsidP="00C27BF0">
            <w:pPr>
              <w:rPr>
                <w:rFonts w:cs="Arial"/>
                <w:szCs w:val="22"/>
                <w:lang w:eastAsia="it-IT"/>
              </w:rPr>
            </w:pPr>
            <w:r w:rsidRPr="0019790A">
              <w:rPr>
                <w:rFonts w:cs="Arial"/>
                <w:szCs w:val="22"/>
                <w:lang w:eastAsia="it-IT"/>
              </w:rPr>
              <w:t>  Облаштовано безбар’єрний доступ</w:t>
            </w:r>
          </w:p>
          <w:p w14:paraId="6327A2D7" w14:textId="77777777" w:rsidR="00B8248C" w:rsidRPr="0019790A" w:rsidRDefault="00B8248C" w:rsidP="00C27BF0">
            <w:pPr>
              <w:rPr>
                <w:rFonts w:cs="Arial"/>
                <w:szCs w:val="22"/>
                <w:lang w:eastAsia="it-IT"/>
              </w:rPr>
            </w:pPr>
            <w:r w:rsidRPr="0019790A">
              <w:rPr>
                <w:rFonts w:cs="Arial"/>
                <w:szCs w:val="22"/>
                <w:lang w:eastAsia="it-IT"/>
              </w:rPr>
              <w:t>  Позитивні відгуки батьків і партнерів школи – не менше 90%</w:t>
            </w:r>
          </w:p>
        </w:tc>
      </w:tr>
      <w:tr w:rsidR="00B8248C" w:rsidRPr="0019790A" w14:paraId="4EE1BD85" w14:textId="77777777" w:rsidTr="00B8248C">
        <w:trPr>
          <w:jc w:val="right"/>
        </w:trPr>
        <w:tc>
          <w:tcPr>
            <w:tcW w:w="3425" w:type="dxa"/>
            <w:shd w:val="clear" w:color="auto" w:fill="FFFFFF"/>
            <w:vAlign w:val="center"/>
          </w:tcPr>
          <w:p w14:paraId="25C2F51B" w14:textId="77777777" w:rsidR="00B8248C" w:rsidRPr="0019790A" w:rsidRDefault="00B8248C" w:rsidP="0019790A">
            <w:pPr>
              <w:rPr>
                <w:rFonts w:cs="Arial"/>
                <w:b/>
                <w:color w:val="000000"/>
                <w:szCs w:val="22"/>
              </w:rPr>
            </w:pPr>
            <w:r w:rsidRPr="0019790A">
              <w:rPr>
                <w:rFonts w:cs="Arial"/>
                <w:b/>
                <w:color w:val="000000"/>
                <w:szCs w:val="22"/>
              </w:rPr>
              <w:t xml:space="preserve">Період здійснення: </w:t>
            </w:r>
          </w:p>
        </w:tc>
        <w:tc>
          <w:tcPr>
            <w:tcW w:w="6794" w:type="dxa"/>
            <w:gridSpan w:val="8"/>
            <w:vAlign w:val="center"/>
          </w:tcPr>
          <w:p w14:paraId="4341D052" w14:textId="77777777" w:rsidR="00B8248C" w:rsidRPr="0019790A" w:rsidRDefault="00B8248C" w:rsidP="0019790A">
            <w:pPr>
              <w:rPr>
                <w:rFonts w:cs="Arial"/>
                <w:color w:val="000000"/>
                <w:szCs w:val="22"/>
                <w:lang w:eastAsia="it-IT"/>
              </w:rPr>
            </w:pPr>
            <w:r w:rsidRPr="0019790A">
              <w:rPr>
                <w:rFonts w:cs="Arial"/>
                <w:b/>
                <w:color w:val="000000"/>
                <w:szCs w:val="22"/>
              </w:rPr>
              <w:t>2025 – 2028 роки:</w:t>
            </w:r>
          </w:p>
        </w:tc>
      </w:tr>
      <w:tr w:rsidR="00B8248C" w:rsidRPr="0019790A" w14:paraId="49EA3AC2" w14:textId="77777777" w:rsidTr="00B8248C">
        <w:trPr>
          <w:jc w:val="right"/>
        </w:trPr>
        <w:tc>
          <w:tcPr>
            <w:tcW w:w="3425" w:type="dxa"/>
            <w:vMerge w:val="restart"/>
            <w:shd w:val="clear" w:color="auto" w:fill="FFFFFF"/>
            <w:vAlign w:val="center"/>
          </w:tcPr>
          <w:p w14:paraId="45306817" w14:textId="77777777" w:rsidR="00B8248C" w:rsidRPr="0019790A" w:rsidRDefault="00B8248C" w:rsidP="0019790A">
            <w:pPr>
              <w:rPr>
                <w:rFonts w:cs="Arial"/>
                <w:b/>
                <w:bCs/>
                <w:color w:val="000000"/>
                <w:szCs w:val="22"/>
              </w:rPr>
            </w:pPr>
            <w:r w:rsidRPr="0019790A">
              <w:rPr>
                <w:rFonts w:cs="Arial"/>
                <w:b/>
                <w:bCs/>
                <w:color w:val="000000"/>
                <w:szCs w:val="22"/>
              </w:rPr>
              <w:t>Орієнтовна вартість проєкту, тис. грн., в тому числі:</w:t>
            </w:r>
          </w:p>
        </w:tc>
        <w:tc>
          <w:tcPr>
            <w:tcW w:w="1254" w:type="dxa"/>
            <w:shd w:val="clear" w:color="auto" w:fill="E6E6E6"/>
            <w:vAlign w:val="center"/>
          </w:tcPr>
          <w:p w14:paraId="6D160CD9"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2025</w:t>
            </w:r>
          </w:p>
        </w:tc>
        <w:tc>
          <w:tcPr>
            <w:tcW w:w="1275" w:type="dxa"/>
            <w:gridSpan w:val="2"/>
            <w:shd w:val="clear" w:color="auto" w:fill="E6E6E6"/>
            <w:vAlign w:val="center"/>
          </w:tcPr>
          <w:p w14:paraId="01F7E084"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2026</w:t>
            </w:r>
          </w:p>
        </w:tc>
        <w:tc>
          <w:tcPr>
            <w:tcW w:w="1418" w:type="dxa"/>
            <w:tcBorders>
              <w:bottom w:val="single" w:sz="4" w:space="0" w:color="auto"/>
            </w:tcBorders>
            <w:shd w:val="clear" w:color="auto" w:fill="E6E6E6"/>
            <w:vAlign w:val="center"/>
          </w:tcPr>
          <w:p w14:paraId="1D6CC8D9"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2027</w:t>
            </w:r>
          </w:p>
        </w:tc>
        <w:tc>
          <w:tcPr>
            <w:tcW w:w="1276" w:type="dxa"/>
            <w:gridSpan w:val="2"/>
            <w:shd w:val="clear" w:color="auto" w:fill="E6E6E6"/>
            <w:vAlign w:val="center"/>
          </w:tcPr>
          <w:p w14:paraId="7161FCB5"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2028</w:t>
            </w:r>
          </w:p>
        </w:tc>
        <w:tc>
          <w:tcPr>
            <w:tcW w:w="1571" w:type="dxa"/>
            <w:gridSpan w:val="2"/>
            <w:shd w:val="clear" w:color="auto" w:fill="E6E6E6"/>
            <w:vAlign w:val="center"/>
          </w:tcPr>
          <w:p w14:paraId="57288E5C"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РАЗОМ</w:t>
            </w:r>
          </w:p>
        </w:tc>
      </w:tr>
      <w:tr w:rsidR="00B8248C" w:rsidRPr="0019790A" w14:paraId="6B8C0F5D" w14:textId="77777777" w:rsidTr="00C27BF0">
        <w:trPr>
          <w:jc w:val="right"/>
        </w:trPr>
        <w:tc>
          <w:tcPr>
            <w:tcW w:w="3425" w:type="dxa"/>
            <w:vMerge/>
            <w:shd w:val="clear" w:color="auto" w:fill="FFFFFF"/>
            <w:vAlign w:val="center"/>
          </w:tcPr>
          <w:p w14:paraId="39DD0E6D" w14:textId="77777777" w:rsidR="00B8248C" w:rsidRPr="0019790A" w:rsidRDefault="00B8248C" w:rsidP="0019790A">
            <w:pPr>
              <w:rPr>
                <w:rFonts w:cs="Arial"/>
                <w:b/>
                <w:bCs/>
                <w:color w:val="000000"/>
                <w:szCs w:val="22"/>
              </w:rPr>
            </w:pPr>
          </w:p>
        </w:tc>
        <w:tc>
          <w:tcPr>
            <w:tcW w:w="1254" w:type="dxa"/>
            <w:vAlign w:val="center"/>
          </w:tcPr>
          <w:p w14:paraId="707F3F4A" w14:textId="77777777" w:rsidR="00B8248C" w:rsidRPr="0019790A" w:rsidRDefault="00B8248C" w:rsidP="00C27BF0">
            <w:pPr>
              <w:ind w:left="720"/>
              <w:jc w:val="center"/>
              <w:rPr>
                <w:rFonts w:cs="Arial"/>
                <w:b/>
                <w:color w:val="000000"/>
                <w:szCs w:val="22"/>
                <w:lang w:eastAsia="it-IT"/>
              </w:rPr>
            </w:pPr>
          </w:p>
        </w:tc>
        <w:tc>
          <w:tcPr>
            <w:tcW w:w="1275" w:type="dxa"/>
            <w:gridSpan w:val="2"/>
            <w:shd w:val="clear" w:color="auto" w:fill="FFFFFF"/>
            <w:vAlign w:val="center"/>
          </w:tcPr>
          <w:p w14:paraId="5CABF5F6" w14:textId="77777777" w:rsidR="00B8248C" w:rsidRPr="0019790A" w:rsidRDefault="00B8248C" w:rsidP="00C27BF0">
            <w:pPr>
              <w:jc w:val="center"/>
              <w:rPr>
                <w:rFonts w:cs="Arial"/>
                <w:b/>
                <w:color w:val="000000"/>
                <w:szCs w:val="22"/>
                <w:lang w:eastAsia="it-IT"/>
              </w:rPr>
            </w:pPr>
            <w:r w:rsidRPr="0019790A">
              <w:rPr>
                <w:rFonts w:cs="Arial"/>
                <w:b/>
                <w:color w:val="000000"/>
                <w:szCs w:val="22"/>
                <w:lang w:eastAsia="it-IT"/>
              </w:rPr>
              <w:t>50000,0</w:t>
            </w:r>
          </w:p>
        </w:tc>
        <w:tc>
          <w:tcPr>
            <w:tcW w:w="1418" w:type="dxa"/>
            <w:shd w:val="clear" w:color="auto" w:fill="auto"/>
            <w:vAlign w:val="center"/>
          </w:tcPr>
          <w:p w14:paraId="4C07D6C7" w14:textId="77777777" w:rsidR="00B8248C" w:rsidRPr="0019790A" w:rsidRDefault="00B8248C" w:rsidP="00C27BF0">
            <w:pPr>
              <w:jc w:val="center"/>
              <w:rPr>
                <w:rFonts w:cs="Arial"/>
                <w:b/>
                <w:color w:val="000000"/>
                <w:szCs w:val="22"/>
                <w:lang w:eastAsia="it-IT"/>
              </w:rPr>
            </w:pPr>
            <w:r w:rsidRPr="0019790A">
              <w:rPr>
                <w:rFonts w:cs="Arial"/>
                <w:b/>
                <w:color w:val="000000"/>
                <w:szCs w:val="22"/>
                <w:lang w:eastAsia="it-IT"/>
              </w:rPr>
              <w:t>-</w:t>
            </w:r>
          </w:p>
        </w:tc>
        <w:tc>
          <w:tcPr>
            <w:tcW w:w="1276" w:type="dxa"/>
            <w:gridSpan w:val="2"/>
            <w:shd w:val="clear" w:color="auto" w:fill="FFFFFF"/>
            <w:vAlign w:val="center"/>
          </w:tcPr>
          <w:p w14:paraId="63C76629" w14:textId="77777777" w:rsidR="00B8248C" w:rsidRPr="0019790A" w:rsidRDefault="00B8248C" w:rsidP="00C27BF0">
            <w:pPr>
              <w:jc w:val="center"/>
              <w:rPr>
                <w:rFonts w:cs="Arial"/>
                <w:b/>
                <w:color w:val="000000"/>
                <w:szCs w:val="22"/>
                <w:lang w:eastAsia="it-IT"/>
              </w:rPr>
            </w:pPr>
            <w:r w:rsidRPr="0019790A">
              <w:rPr>
                <w:rFonts w:cs="Arial"/>
                <w:b/>
                <w:color w:val="000000"/>
                <w:szCs w:val="22"/>
                <w:lang w:eastAsia="it-IT"/>
              </w:rPr>
              <w:t>-</w:t>
            </w:r>
          </w:p>
        </w:tc>
        <w:tc>
          <w:tcPr>
            <w:tcW w:w="1571" w:type="dxa"/>
            <w:gridSpan w:val="2"/>
            <w:shd w:val="clear" w:color="auto" w:fill="FFFFFF"/>
            <w:vAlign w:val="center"/>
          </w:tcPr>
          <w:p w14:paraId="73A712E0" w14:textId="77777777" w:rsidR="00B8248C" w:rsidRPr="0019790A" w:rsidRDefault="00B8248C" w:rsidP="00C27BF0">
            <w:pPr>
              <w:jc w:val="center"/>
              <w:rPr>
                <w:rFonts w:cs="Arial"/>
                <w:b/>
                <w:color w:val="000000"/>
                <w:szCs w:val="22"/>
                <w:lang w:eastAsia="it-IT"/>
              </w:rPr>
            </w:pPr>
            <w:r w:rsidRPr="0019790A">
              <w:rPr>
                <w:rFonts w:cs="Arial"/>
                <w:b/>
                <w:color w:val="000000"/>
                <w:szCs w:val="22"/>
                <w:lang w:eastAsia="it-IT"/>
              </w:rPr>
              <w:t>50000,0</w:t>
            </w:r>
          </w:p>
        </w:tc>
      </w:tr>
      <w:tr w:rsidR="00B8248C" w:rsidRPr="0019790A" w14:paraId="76DD3462" w14:textId="77777777" w:rsidTr="00C27BF0">
        <w:trPr>
          <w:trHeight w:val="276"/>
          <w:jc w:val="right"/>
        </w:trPr>
        <w:tc>
          <w:tcPr>
            <w:tcW w:w="3425" w:type="dxa"/>
            <w:shd w:val="clear" w:color="auto" w:fill="FFFFFF"/>
            <w:vAlign w:val="center"/>
          </w:tcPr>
          <w:p w14:paraId="77364384" w14:textId="77777777" w:rsidR="00B8248C" w:rsidRPr="0019790A" w:rsidRDefault="00B8248C" w:rsidP="0019790A">
            <w:pPr>
              <w:rPr>
                <w:rFonts w:cs="Arial"/>
                <w:b/>
                <w:bCs/>
                <w:color w:val="000000"/>
                <w:szCs w:val="22"/>
              </w:rPr>
            </w:pPr>
            <w:r w:rsidRPr="0019790A">
              <w:rPr>
                <w:rFonts w:cs="Arial"/>
                <w:b/>
                <w:bCs/>
                <w:color w:val="000000"/>
                <w:szCs w:val="22"/>
              </w:rPr>
              <w:t>по джерелах фінансування:</w:t>
            </w:r>
          </w:p>
        </w:tc>
        <w:tc>
          <w:tcPr>
            <w:tcW w:w="6794" w:type="dxa"/>
            <w:gridSpan w:val="8"/>
            <w:vAlign w:val="center"/>
          </w:tcPr>
          <w:p w14:paraId="77C90BF9" w14:textId="77777777" w:rsidR="00B8248C" w:rsidRPr="0019790A" w:rsidRDefault="00B8248C" w:rsidP="00C27BF0">
            <w:pPr>
              <w:jc w:val="center"/>
              <w:rPr>
                <w:rFonts w:cs="Arial"/>
                <w:color w:val="000000"/>
                <w:szCs w:val="22"/>
                <w:lang w:eastAsia="it-IT"/>
              </w:rPr>
            </w:pPr>
          </w:p>
        </w:tc>
      </w:tr>
      <w:tr w:rsidR="00C27BF0" w:rsidRPr="0019790A" w14:paraId="60CE11DB" w14:textId="337452A2" w:rsidTr="00C27BF0">
        <w:trPr>
          <w:trHeight w:val="240"/>
          <w:jc w:val="right"/>
        </w:trPr>
        <w:tc>
          <w:tcPr>
            <w:tcW w:w="3425" w:type="dxa"/>
            <w:shd w:val="clear" w:color="auto" w:fill="FFFFFF"/>
            <w:vAlign w:val="center"/>
          </w:tcPr>
          <w:p w14:paraId="1F2F8738" w14:textId="77777777" w:rsidR="00C27BF0" w:rsidRPr="0019790A" w:rsidRDefault="00C27BF0" w:rsidP="0019790A">
            <w:pPr>
              <w:rPr>
                <w:rFonts w:cs="Arial"/>
                <w:b/>
                <w:bCs/>
                <w:color w:val="000000"/>
                <w:szCs w:val="22"/>
              </w:rPr>
            </w:pPr>
            <w:r w:rsidRPr="0019790A">
              <w:rPr>
                <w:rFonts w:cs="Arial"/>
                <w:color w:val="000000"/>
                <w:szCs w:val="22"/>
              </w:rPr>
              <w:t>- державний бюджет</w:t>
            </w:r>
          </w:p>
        </w:tc>
        <w:tc>
          <w:tcPr>
            <w:tcW w:w="1290" w:type="dxa"/>
            <w:gridSpan w:val="2"/>
            <w:vAlign w:val="center"/>
          </w:tcPr>
          <w:p w14:paraId="7D632D4E" w14:textId="77777777" w:rsidR="00C27BF0" w:rsidRPr="0019790A" w:rsidRDefault="00C27BF0" w:rsidP="00C27BF0">
            <w:pPr>
              <w:jc w:val="center"/>
              <w:rPr>
                <w:rFonts w:cs="Arial"/>
                <w:color w:val="000000"/>
                <w:szCs w:val="22"/>
                <w:lang w:eastAsia="it-IT"/>
              </w:rPr>
            </w:pPr>
          </w:p>
        </w:tc>
        <w:tc>
          <w:tcPr>
            <w:tcW w:w="1240" w:type="dxa"/>
            <w:vAlign w:val="center"/>
          </w:tcPr>
          <w:p w14:paraId="194FD187" w14:textId="77777777" w:rsidR="00C27BF0" w:rsidRPr="0019790A" w:rsidRDefault="00C27BF0" w:rsidP="00C27BF0">
            <w:pPr>
              <w:jc w:val="center"/>
              <w:rPr>
                <w:rFonts w:cs="Arial"/>
                <w:color w:val="000000"/>
                <w:szCs w:val="22"/>
                <w:lang w:eastAsia="it-IT"/>
              </w:rPr>
            </w:pPr>
          </w:p>
        </w:tc>
        <w:tc>
          <w:tcPr>
            <w:tcW w:w="1453" w:type="dxa"/>
            <w:gridSpan w:val="2"/>
            <w:vAlign w:val="center"/>
          </w:tcPr>
          <w:p w14:paraId="2F3FF678" w14:textId="77777777" w:rsidR="00C27BF0" w:rsidRPr="0019790A" w:rsidRDefault="00C27BF0" w:rsidP="00C27BF0">
            <w:pPr>
              <w:jc w:val="center"/>
              <w:rPr>
                <w:rFonts w:cs="Arial"/>
                <w:color w:val="000000"/>
                <w:szCs w:val="22"/>
                <w:lang w:eastAsia="it-IT"/>
              </w:rPr>
            </w:pPr>
          </w:p>
        </w:tc>
        <w:tc>
          <w:tcPr>
            <w:tcW w:w="1265" w:type="dxa"/>
            <w:gridSpan w:val="2"/>
            <w:vAlign w:val="center"/>
          </w:tcPr>
          <w:p w14:paraId="20B0AEE6" w14:textId="77777777" w:rsidR="00C27BF0" w:rsidRPr="0019790A" w:rsidRDefault="00C27BF0" w:rsidP="00C27BF0">
            <w:pPr>
              <w:jc w:val="center"/>
              <w:rPr>
                <w:rFonts w:cs="Arial"/>
                <w:color w:val="000000"/>
                <w:szCs w:val="22"/>
                <w:lang w:eastAsia="it-IT"/>
              </w:rPr>
            </w:pPr>
          </w:p>
        </w:tc>
        <w:tc>
          <w:tcPr>
            <w:tcW w:w="1546" w:type="dxa"/>
            <w:vAlign w:val="center"/>
          </w:tcPr>
          <w:p w14:paraId="1092EAB2" w14:textId="77777777" w:rsidR="00C27BF0" w:rsidRPr="0019790A" w:rsidRDefault="00C27BF0" w:rsidP="00C27BF0">
            <w:pPr>
              <w:jc w:val="center"/>
              <w:rPr>
                <w:rFonts w:cs="Arial"/>
                <w:color w:val="000000"/>
                <w:szCs w:val="22"/>
                <w:lang w:eastAsia="it-IT"/>
              </w:rPr>
            </w:pPr>
          </w:p>
        </w:tc>
      </w:tr>
      <w:tr w:rsidR="00C27BF0" w:rsidRPr="0019790A" w14:paraId="5108D595" w14:textId="0FD88EE6" w:rsidTr="00C27BF0">
        <w:trPr>
          <w:trHeight w:val="254"/>
          <w:jc w:val="right"/>
        </w:trPr>
        <w:tc>
          <w:tcPr>
            <w:tcW w:w="3425" w:type="dxa"/>
            <w:shd w:val="clear" w:color="auto" w:fill="FFFFFF"/>
            <w:vAlign w:val="center"/>
          </w:tcPr>
          <w:p w14:paraId="5C8FD699" w14:textId="77777777" w:rsidR="00C27BF0" w:rsidRPr="0019790A" w:rsidRDefault="00C27BF0" w:rsidP="0019790A">
            <w:pPr>
              <w:rPr>
                <w:rFonts w:cs="Arial"/>
                <w:color w:val="000000"/>
                <w:szCs w:val="22"/>
              </w:rPr>
            </w:pPr>
            <w:r w:rsidRPr="0019790A">
              <w:rPr>
                <w:rFonts w:cs="Arial"/>
                <w:color w:val="000000"/>
                <w:szCs w:val="22"/>
              </w:rPr>
              <w:t>- обласний бюджет</w:t>
            </w:r>
          </w:p>
        </w:tc>
        <w:tc>
          <w:tcPr>
            <w:tcW w:w="1290" w:type="dxa"/>
            <w:gridSpan w:val="2"/>
            <w:vAlign w:val="center"/>
          </w:tcPr>
          <w:p w14:paraId="152895D5" w14:textId="77777777" w:rsidR="00C27BF0" w:rsidRPr="0019790A" w:rsidRDefault="00C27BF0" w:rsidP="00C27BF0">
            <w:pPr>
              <w:jc w:val="center"/>
              <w:rPr>
                <w:rFonts w:cs="Arial"/>
                <w:color w:val="000000"/>
                <w:szCs w:val="22"/>
                <w:lang w:eastAsia="it-IT"/>
              </w:rPr>
            </w:pPr>
          </w:p>
        </w:tc>
        <w:tc>
          <w:tcPr>
            <w:tcW w:w="1240" w:type="dxa"/>
            <w:vAlign w:val="center"/>
          </w:tcPr>
          <w:p w14:paraId="401CDF60" w14:textId="77777777" w:rsidR="00C27BF0" w:rsidRPr="0019790A" w:rsidRDefault="00C27BF0" w:rsidP="00C27BF0">
            <w:pPr>
              <w:jc w:val="center"/>
              <w:rPr>
                <w:rFonts w:cs="Arial"/>
                <w:color w:val="000000"/>
                <w:szCs w:val="22"/>
                <w:lang w:eastAsia="it-IT"/>
              </w:rPr>
            </w:pPr>
          </w:p>
        </w:tc>
        <w:tc>
          <w:tcPr>
            <w:tcW w:w="1453" w:type="dxa"/>
            <w:gridSpan w:val="2"/>
            <w:vAlign w:val="center"/>
          </w:tcPr>
          <w:p w14:paraId="2F74FB6D" w14:textId="77777777" w:rsidR="00C27BF0" w:rsidRPr="0019790A" w:rsidRDefault="00C27BF0" w:rsidP="00C27BF0">
            <w:pPr>
              <w:jc w:val="center"/>
              <w:rPr>
                <w:rFonts w:cs="Arial"/>
                <w:color w:val="000000"/>
                <w:szCs w:val="22"/>
                <w:lang w:eastAsia="it-IT"/>
              </w:rPr>
            </w:pPr>
          </w:p>
        </w:tc>
        <w:tc>
          <w:tcPr>
            <w:tcW w:w="1265" w:type="dxa"/>
            <w:gridSpan w:val="2"/>
            <w:vAlign w:val="center"/>
          </w:tcPr>
          <w:p w14:paraId="21185344" w14:textId="77777777" w:rsidR="00C27BF0" w:rsidRPr="0019790A" w:rsidRDefault="00C27BF0" w:rsidP="00C27BF0">
            <w:pPr>
              <w:jc w:val="center"/>
              <w:rPr>
                <w:rFonts w:cs="Arial"/>
                <w:color w:val="000000"/>
                <w:szCs w:val="22"/>
                <w:lang w:eastAsia="it-IT"/>
              </w:rPr>
            </w:pPr>
          </w:p>
        </w:tc>
        <w:tc>
          <w:tcPr>
            <w:tcW w:w="1546" w:type="dxa"/>
            <w:vAlign w:val="center"/>
          </w:tcPr>
          <w:p w14:paraId="01EED2F1" w14:textId="77777777" w:rsidR="00C27BF0" w:rsidRPr="0019790A" w:rsidRDefault="00C27BF0" w:rsidP="00C27BF0">
            <w:pPr>
              <w:jc w:val="center"/>
              <w:rPr>
                <w:rFonts w:cs="Arial"/>
                <w:color w:val="000000"/>
                <w:szCs w:val="22"/>
                <w:lang w:eastAsia="it-IT"/>
              </w:rPr>
            </w:pPr>
          </w:p>
        </w:tc>
      </w:tr>
      <w:tr w:rsidR="00C27BF0" w:rsidRPr="0019790A" w14:paraId="632FEDAE" w14:textId="27512469" w:rsidTr="00C27BF0">
        <w:trPr>
          <w:trHeight w:val="275"/>
          <w:jc w:val="right"/>
        </w:trPr>
        <w:tc>
          <w:tcPr>
            <w:tcW w:w="3425" w:type="dxa"/>
            <w:shd w:val="clear" w:color="auto" w:fill="FFFFFF"/>
            <w:vAlign w:val="center"/>
          </w:tcPr>
          <w:p w14:paraId="5AF6A0BA" w14:textId="77777777" w:rsidR="00C27BF0" w:rsidRPr="0019790A" w:rsidRDefault="00C27BF0" w:rsidP="00C27BF0">
            <w:pPr>
              <w:rPr>
                <w:rFonts w:cs="Arial"/>
                <w:color w:val="000000"/>
                <w:szCs w:val="22"/>
              </w:rPr>
            </w:pPr>
            <w:r w:rsidRPr="0019790A">
              <w:rPr>
                <w:rFonts w:cs="Arial"/>
                <w:color w:val="000000"/>
                <w:szCs w:val="22"/>
              </w:rPr>
              <w:t>- бюджет Жмеринської МТГ</w:t>
            </w:r>
          </w:p>
        </w:tc>
        <w:tc>
          <w:tcPr>
            <w:tcW w:w="1290" w:type="dxa"/>
            <w:gridSpan w:val="2"/>
            <w:vAlign w:val="center"/>
          </w:tcPr>
          <w:p w14:paraId="4280D31E" w14:textId="126B7B9E" w:rsidR="00C27BF0" w:rsidRPr="0019790A" w:rsidRDefault="00C27BF0" w:rsidP="00C27BF0">
            <w:pPr>
              <w:jc w:val="center"/>
              <w:rPr>
                <w:rFonts w:cs="Arial"/>
                <w:color w:val="000000"/>
                <w:szCs w:val="22"/>
                <w:lang w:eastAsia="it-IT"/>
              </w:rPr>
            </w:pPr>
          </w:p>
        </w:tc>
        <w:tc>
          <w:tcPr>
            <w:tcW w:w="1240" w:type="dxa"/>
            <w:vAlign w:val="center"/>
          </w:tcPr>
          <w:p w14:paraId="58D5DE4D" w14:textId="117D896F" w:rsidR="00C27BF0" w:rsidRPr="0019790A" w:rsidRDefault="00C27BF0" w:rsidP="00C27BF0">
            <w:pPr>
              <w:jc w:val="center"/>
              <w:rPr>
                <w:rFonts w:cs="Arial"/>
                <w:color w:val="000000"/>
                <w:szCs w:val="22"/>
                <w:lang w:eastAsia="it-IT"/>
              </w:rPr>
            </w:pPr>
            <w:r w:rsidRPr="0019790A">
              <w:rPr>
                <w:rFonts w:cs="Arial"/>
                <w:b/>
                <w:color w:val="000000"/>
                <w:szCs w:val="22"/>
                <w:lang w:eastAsia="it-IT"/>
              </w:rPr>
              <w:t>50000,0</w:t>
            </w:r>
          </w:p>
        </w:tc>
        <w:tc>
          <w:tcPr>
            <w:tcW w:w="1453" w:type="dxa"/>
            <w:gridSpan w:val="2"/>
            <w:vAlign w:val="center"/>
          </w:tcPr>
          <w:p w14:paraId="4D6CABBA" w14:textId="180E2751" w:rsidR="00C27BF0" w:rsidRPr="0019790A" w:rsidRDefault="00C27BF0" w:rsidP="00C27BF0">
            <w:pPr>
              <w:jc w:val="center"/>
              <w:rPr>
                <w:rFonts w:cs="Arial"/>
                <w:color w:val="000000"/>
                <w:szCs w:val="22"/>
                <w:lang w:eastAsia="it-IT"/>
              </w:rPr>
            </w:pPr>
            <w:r w:rsidRPr="0019790A">
              <w:rPr>
                <w:rFonts w:cs="Arial"/>
                <w:b/>
                <w:color w:val="000000"/>
                <w:szCs w:val="22"/>
                <w:lang w:eastAsia="it-IT"/>
              </w:rPr>
              <w:t>-</w:t>
            </w:r>
          </w:p>
        </w:tc>
        <w:tc>
          <w:tcPr>
            <w:tcW w:w="1265" w:type="dxa"/>
            <w:gridSpan w:val="2"/>
            <w:vAlign w:val="center"/>
          </w:tcPr>
          <w:p w14:paraId="4A9A4F50" w14:textId="7207068B" w:rsidR="00C27BF0" w:rsidRPr="0019790A" w:rsidRDefault="00C27BF0" w:rsidP="00C27BF0">
            <w:pPr>
              <w:jc w:val="center"/>
              <w:rPr>
                <w:rFonts w:cs="Arial"/>
                <w:color w:val="000000"/>
                <w:szCs w:val="22"/>
                <w:lang w:eastAsia="it-IT"/>
              </w:rPr>
            </w:pPr>
            <w:r w:rsidRPr="0019790A">
              <w:rPr>
                <w:rFonts w:cs="Arial"/>
                <w:b/>
                <w:color w:val="000000"/>
                <w:szCs w:val="22"/>
                <w:lang w:eastAsia="it-IT"/>
              </w:rPr>
              <w:t>-</w:t>
            </w:r>
          </w:p>
        </w:tc>
        <w:tc>
          <w:tcPr>
            <w:tcW w:w="1546" w:type="dxa"/>
            <w:vAlign w:val="center"/>
          </w:tcPr>
          <w:p w14:paraId="6EEEA722" w14:textId="12930493" w:rsidR="00C27BF0" w:rsidRPr="0019790A" w:rsidRDefault="00C27BF0" w:rsidP="00C27BF0">
            <w:pPr>
              <w:jc w:val="center"/>
              <w:rPr>
                <w:rFonts w:cs="Arial"/>
                <w:color w:val="000000"/>
                <w:szCs w:val="22"/>
                <w:lang w:eastAsia="it-IT"/>
              </w:rPr>
            </w:pPr>
            <w:r w:rsidRPr="0019790A">
              <w:rPr>
                <w:rFonts w:cs="Arial"/>
                <w:b/>
                <w:color w:val="000000"/>
                <w:szCs w:val="22"/>
                <w:lang w:eastAsia="it-IT"/>
              </w:rPr>
              <w:t>50000,0</w:t>
            </w:r>
          </w:p>
        </w:tc>
      </w:tr>
      <w:tr w:rsidR="00C27BF0" w:rsidRPr="0019790A" w14:paraId="4FD8616D" w14:textId="576E99A8" w:rsidTr="00C27BF0">
        <w:trPr>
          <w:trHeight w:val="226"/>
          <w:jc w:val="right"/>
        </w:trPr>
        <w:tc>
          <w:tcPr>
            <w:tcW w:w="3425" w:type="dxa"/>
            <w:shd w:val="clear" w:color="auto" w:fill="FFFFFF"/>
            <w:vAlign w:val="center"/>
          </w:tcPr>
          <w:p w14:paraId="40BE0680" w14:textId="77777777" w:rsidR="00C27BF0" w:rsidRPr="0019790A" w:rsidRDefault="00C27BF0" w:rsidP="00C27BF0">
            <w:pPr>
              <w:rPr>
                <w:rFonts w:cs="Arial"/>
                <w:color w:val="000000"/>
                <w:szCs w:val="22"/>
              </w:rPr>
            </w:pPr>
            <w:r w:rsidRPr="0019790A">
              <w:rPr>
                <w:rFonts w:cs="Arial"/>
                <w:color w:val="000000"/>
                <w:szCs w:val="22"/>
              </w:rPr>
              <w:t>- інші джерела фінансування</w:t>
            </w:r>
          </w:p>
        </w:tc>
        <w:tc>
          <w:tcPr>
            <w:tcW w:w="1290" w:type="dxa"/>
            <w:gridSpan w:val="2"/>
            <w:vAlign w:val="center"/>
          </w:tcPr>
          <w:p w14:paraId="550C319E" w14:textId="77777777" w:rsidR="00C27BF0" w:rsidRPr="0019790A" w:rsidRDefault="00C27BF0" w:rsidP="00C27BF0">
            <w:pPr>
              <w:jc w:val="center"/>
              <w:rPr>
                <w:rFonts w:cs="Arial"/>
                <w:szCs w:val="22"/>
              </w:rPr>
            </w:pPr>
          </w:p>
        </w:tc>
        <w:tc>
          <w:tcPr>
            <w:tcW w:w="1240" w:type="dxa"/>
            <w:vAlign w:val="center"/>
          </w:tcPr>
          <w:p w14:paraId="604D77B6" w14:textId="77777777" w:rsidR="00C27BF0" w:rsidRPr="0019790A" w:rsidRDefault="00C27BF0" w:rsidP="00C27BF0">
            <w:pPr>
              <w:jc w:val="center"/>
              <w:rPr>
                <w:rFonts w:cs="Arial"/>
                <w:szCs w:val="22"/>
              </w:rPr>
            </w:pPr>
          </w:p>
        </w:tc>
        <w:tc>
          <w:tcPr>
            <w:tcW w:w="1453" w:type="dxa"/>
            <w:gridSpan w:val="2"/>
            <w:vAlign w:val="center"/>
          </w:tcPr>
          <w:p w14:paraId="2724EF2C" w14:textId="77777777" w:rsidR="00C27BF0" w:rsidRPr="0019790A" w:rsidRDefault="00C27BF0" w:rsidP="00C27BF0">
            <w:pPr>
              <w:jc w:val="center"/>
              <w:rPr>
                <w:rFonts w:cs="Arial"/>
                <w:szCs w:val="22"/>
              </w:rPr>
            </w:pPr>
          </w:p>
        </w:tc>
        <w:tc>
          <w:tcPr>
            <w:tcW w:w="1265" w:type="dxa"/>
            <w:gridSpan w:val="2"/>
            <w:vAlign w:val="center"/>
          </w:tcPr>
          <w:p w14:paraId="60342B42" w14:textId="77777777" w:rsidR="00C27BF0" w:rsidRPr="0019790A" w:rsidRDefault="00C27BF0" w:rsidP="00C27BF0">
            <w:pPr>
              <w:jc w:val="center"/>
              <w:rPr>
                <w:rFonts w:cs="Arial"/>
                <w:szCs w:val="22"/>
              </w:rPr>
            </w:pPr>
          </w:p>
        </w:tc>
        <w:tc>
          <w:tcPr>
            <w:tcW w:w="1546" w:type="dxa"/>
            <w:vAlign w:val="center"/>
          </w:tcPr>
          <w:p w14:paraId="4909B173" w14:textId="77777777" w:rsidR="00C27BF0" w:rsidRPr="0019790A" w:rsidRDefault="00C27BF0" w:rsidP="00C27BF0">
            <w:pPr>
              <w:jc w:val="center"/>
              <w:rPr>
                <w:rFonts w:cs="Arial"/>
                <w:szCs w:val="22"/>
              </w:rPr>
            </w:pPr>
          </w:p>
        </w:tc>
      </w:tr>
      <w:tr w:rsidR="00C27BF0" w:rsidRPr="0019790A" w14:paraId="75F4AC7A" w14:textId="77777777" w:rsidTr="00B8248C">
        <w:trPr>
          <w:jc w:val="right"/>
        </w:trPr>
        <w:tc>
          <w:tcPr>
            <w:tcW w:w="3425" w:type="dxa"/>
            <w:shd w:val="clear" w:color="auto" w:fill="FFFFFF"/>
            <w:vAlign w:val="center"/>
          </w:tcPr>
          <w:p w14:paraId="3B1E6312" w14:textId="77777777" w:rsidR="00C27BF0" w:rsidRPr="0019790A" w:rsidRDefault="00C27BF0" w:rsidP="00C27BF0">
            <w:pPr>
              <w:rPr>
                <w:rFonts w:cs="Arial"/>
                <w:b/>
                <w:bCs/>
                <w:color w:val="000000"/>
                <w:szCs w:val="22"/>
              </w:rPr>
            </w:pPr>
            <w:r w:rsidRPr="0019790A">
              <w:rPr>
                <w:rFonts w:cs="Arial"/>
                <w:b/>
                <w:color w:val="000000"/>
                <w:szCs w:val="22"/>
              </w:rPr>
              <w:t>Відповідальний виконавець проєкту:</w:t>
            </w:r>
          </w:p>
        </w:tc>
        <w:tc>
          <w:tcPr>
            <w:tcW w:w="6794" w:type="dxa"/>
            <w:gridSpan w:val="8"/>
            <w:vAlign w:val="center"/>
          </w:tcPr>
          <w:p w14:paraId="17CB8687" w14:textId="77777777" w:rsidR="00C27BF0" w:rsidRPr="0019790A" w:rsidRDefault="00C27BF0" w:rsidP="00C27BF0">
            <w:pPr>
              <w:jc w:val="both"/>
              <w:rPr>
                <w:rFonts w:cs="Arial"/>
                <w:color w:val="000000"/>
                <w:szCs w:val="22"/>
                <w:lang w:eastAsia="it-IT"/>
              </w:rPr>
            </w:pPr>
            <w:r w:rsidRPr="0019790A">
              <w:rPr>
                <w:rFonts w:cs="Arial"/>
                <w:color w:val="000000"/>
                <w:szCs w:val="22"/>
                <w:lang w:eastAsia="it-IT"/>
              </w:rPr>
              <w:t>Жмеринська дитяча музична школа за підтримки Управління культури і туризму Жмеринської міської ради</w:t>
            </w:r>
          </w:p>
        </w:tc>
      </w:tr>
      <w:tr w:rsidR="00C27BF0" w:rsidRPr="0019790A" w14:paraId="3A5CCD42" w14:textId="77777777" w:rsidTr="00B8248C">
        <w:trPr>
          <w:jc w:val="right"/>
        </w:trPr>
        <w:tc>
          <w:tcPr>
            <w:tcW w:w="3425" w:type="dxa"/>
            <w:shd w:val="clear" w:color="auto" w:fill="FFFFFF"/>
            <w:vAlign w:val="center"/>
          </w:tcPr>
          <w:p w14:paraId="4689B071" w14:textId="77777777" w:rsidR="00C27BF0" w:rsidRPr="0019790A" w:rsidRDefault="00C27BF0" w:rsidP="00C27BF0">
            <w:pPr>
              <w:rPr>
                <w:rFonts w:cs="Arial"/>
                <w:b/>
                <w:bCs/>
                <w:color w:val="000000"/>
                <w:szCs w:val="22"/>
              </w:rPr>
            </w:pPr>
            <w:r w:rsidRPr="0019790A">
              <w:rPr>
                <w:rFonts w:cs="Arial"/>
                <w:b/>
                <w:bCs/>
                <w:color w:val="000000"/>
                <w:szCs w:val="22"/>
              </w:rPr>
              <w:t>Інше:</w:t>
            </w:r>
          </w:p>
        </w:tc>
        <w:tc>
          <w:tcPr>
            <w:tcW w:w="6794" w:type="dxa"/>
            <w:gridSpan w:val="8"/>
            <w:vAlign w:val="center"/>
          </w:tcPr>
          <w:p w14:paraId="2B42BD16" w14:textId="77777777" w:rsidR="00C27BF0" w:rsidRPr="0019790A" w:rsidRDefault="00C27BF0" w:rsidP="00C27BF0">
            <w:pPr>
              <w:jc w:val="both"/>
              <w:rPr>
                <w:rFonts w:cs="Arial"/>
                <w:color w:val="000000"/>
                <w:szCs w:val="22"/>
                <w:lang w:eastAsia="it-IT"/>
              </w:rPr>
            </w:pPr>
            <w:r w:rsidRPr="0019790A">
              <w:rPr>
                <w:rFonts w:cs="Arial"/>
                <w:color w:val="000000"/>
                <w:szCs w:val="22"/>
                <w:lang w:eastAsia="it-IT"/>
              </w:rPr>
              <w:t>Проєкт сприятиме сталому розвитку мистецької освіти громади, забезпечить сучасні умови для навчання та підвищить імідж Жмеринської музичної школи як культурного центру регіону.</w:t>
            </w:r>
          </w:p>
        </w:tc>
      </w:tr>
    </w:tbl>
    <w:p w14:paraId="1B8A8369" w14:textId="77777777" w:rsidR="00B8248C" w:rsidRPr="0019790A" w:rsidRDefault="00B8248C" w:rsidP="0019790A">
      <w:pPr>
        <w:rPr>
          <w:rFonts w:cs="Arial"/>
          <w:szCs w:val="22"/>
        </w:rPr>
      </w:pPr>
    </w:p>
    <w:p w14:paraId="4C6858EB" w14:textId="77777777" w:rsidR="00B8248C" w:rsidRPr="0019790A" w:rsidRDefault="00B8248C" w:rsidP="0019790A">
      <w:pPr>
        <w:jc w:val="center"/>
        <w:rPr>
          <w:rFonts w:cs="Arial"/>
          <w:b/>
          <w:color w:val="000000"/>
          <w:szCs w:val="22"/>
        </w:rPr>
      </w:pPr>
      <w:r w:rsidRPr="0019790A">
        <w:rPr>
          <w:rFonts w:cs="Arial"/>
          <w:b/>
          <w:color w:val="000000"/>
          <w:szCs w:val="22"/>
        </w:rPr>
        <w:t xml:space="preserve">Форма технічного завдання на проєкт місцевого розвитку </w:t>
      </w:r>
    </w:p>
    <w:p w14:paraId="5A27FD25" w14:textId="77777777" w:rsidR="00B8248C" w:rsidRPr="0019790A" w:rsidRDefault="00B8248C" w:rsidP="0019790A">
      <w:pPr>
        <w:jc w:val="center"/>
        <w:rPr>
          <w:rFonts w:cs="Arial"/>
          <w:b/>
          <w:color w:val="000000"/>
          <w:szCs w:val="22"/>
        </w:rPr>
      </w:pPr>
      <w:r w:rsidRPr="0019790A">
        <w:rPr>
          <w:rFonts w:cs="Arial"/>
          <w:b/>
          <w:color w:val="000000"/>
          <w:szCs w:val="22"/>
        </w:rPr>
        <w:t>до Плану заходів з реалізації Стратегії</w:t>
      </w:r>
    </w:p>
    <w:p w14:paraId="4B27631C" w14:textId="77777777" w:rsidR="00B8248C" w:rsidRPr="0019790A" w:rsidRDefault="00B8248C"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27"/>
        <w:gridCol w:w="27"/>
        <w:gridCol w:w="1263"/>
        <w:gridCol w:w="12"/>
        <w:gridCol w:w="1418"/>
        <w:gridCol w:w="35"/>
        <w:gridCol w:w="1241"/>
        <w:gridCol w:w="36"/>
        <w:gridCol w:w="1535"/>
      </w:tblGrid>
      <w:tr w:rsidR="00B8248C" w:rsidRPr="0019790A" w14:paraId="7D511B5F" w14:textId="77777777" w:rsidTr="009D2443">
        <w:trPr>
          <w:jc w:val="right"/>
        </w:trPr>
        <w:tc>
          <w:tcPr>
            <w:tcW w:w="3425" w:type="dxa"/>
            <w:vAlign w:val="center"/>
          </w:tcPr>
          <w:p w14:paraId="41120DE0" w14:textId="77777777" w:rsidR="00B8248C" w:rsidRPr="0019790A" w:rsidRDefault="00B8248C" w:rsidP="0019790A">
            <w:pPr>
              <w:rPr>
                <w:rFonts w:cs="Arial"/>
                <w:b/>
                <w:bCs/>
                <w:color w:val="000000"/>
                <w:szCs w:val="22"/>
              </w:rPr>
            </w:pPr>
            <w:r w:rsidRPr="0019790A">
              <w:rPr>
                <w:rFonts w:cs="Arial"/>
                <w:b/>
                <w:bCs/>
                <w:color w:val="000000"/>
                <w:szCs w:val="22"/>
              </w:rPr>
              <w:t>Назва проєкту:</w:t>
            </w:r>
          </w:p>
        </w:tc>
        <w:tc>
          <w:tcPr>
            <w:tcW w:w="6794" w:type="dxa"/>
            <w:gridSpan w:val="9"/>
            <w:vAlign w:val="center"/>
          </w:tcPr>
          <w:p w14:paraId="6CAB2902" w14:textId="77777777" w:rsidR="00B8248C" w:rsidRPr="0019790A" w:rsidRDefault="00B8248C" w:rsidP="009D2443">
            <w:pPr>
              <w:rPr>
                <w:rFonts w:cs="Arial"/>
                <w:b/>
                <w:szCs w:val="22"/>
                <w:lang w:eastAsia="it-IT"/>
              </w:rPr>
            </w:pPr>
            <w:r w:rsidRPr="0019790A">
              <w:rPr>
                <w:rFonts w:cs="Arial"/>
                <w:b/>
                <w:szCs w:val="22"/>
                <w:lang w:eastAsia="it-IT"/>
              </w:rPr>
              <w:t>«Сучасний клуб — сучасна громада»</w:t>
            </w:r>
          </w:p>
        </w:tc>
      </w:tr>
      <w:tr w:rsidR="00B8248C" w:rsidRPr="0019790A" w14:paraId="4936A43B" w14:textId="77777777" w:rsidTr="009D2443">
        <w:trPr>
          <w:jc w:val="right"/>
        </w:trPr>
        <w:tc>
          <w:tcPr>
            <w:tcW w:w="3425" w:type="dxa"/>
          </w:tcPr>
          <w:p w14:paraId="2B941036" w14:textId="77777777" w:rsidR="00B8248C" w:rsidRPr="0019790A" w:rsidRDefault="00B8248C"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6A3EB577" w14:textId="77777777" w:rsidR="00B8248C" w:rsidRPr="0019790A" w:rsidRDefault="00B8248C"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9"/>
            <w:vAlign w:val="center"/>
          </w:tcPr>
          <w:p w14:paraId="02C48BDF" w14:textId="77777777" w:rsidR="00B8248C" w:rsidRPr="009D2443" w:rsidRDefault="00B8248C" w:rsidP="009D2443">
            <w:pPr>
              <w:rPr>
                <w:rFonts w:cs="Arial"/>
                <w:szCs w:val="22"/>
                <w:lang w:eastAsia="it-IT"/>
              </w:rPr>
            </w:pPr>
            <w:r w:rsidRPr="009D2443">
              <w:rPr>
                <w:rFonts w:cs="Arial"/>
                <w:szCs w:val="22"/>
                <w:lang w:eastAsia="it-IT"/>
              </w:rPr>
              <w:t>Комунальний заклад «Центр культури і дозвілля» Жмеринської міської ТГ</w:t>
            </w:r>
          </w:p>
        </w:tc>
      </w:tr>
      <w:tr w:rsidR="00B8248C" w:rsidRPr="0019790A" w14:paraId="4595A196" w14:textId="77777777" w:rsidTr="009D2443">
        <w:trPr>
          <w:jc w:val="right"/>
        </w:trPr>
        <w:tc>
          <w:tcPr>
            <w:tcW w:w="3425" w:type="dxa"/>
          </w:tcPr>
          <w:p w14:paraId="50474A72" w14:textId="77777777" w:rsidR="00B8248C" w:rsidRPr="0019790A" w:rsidRDefault="00B8248C" w:rsidP="0019790A">
            <w:pPr>
              <w:rPr>
                <w:rFonts w:cs="Arial"/>
                <w:b/>
                <w:bCs/>
                <w:szCs w:val="22"/>
              </w:rPr>
            </w:pPr>
            <w:r w:rsidRPr="0019790A">
              <w:rPr>
                <w:rFonts w:cs="Arial"/>
                <w:szCs w:val="22"/>
                <w:lang w:eastAsia="it-IT"/>
              </w:rPr>
              <w:t>Прізвище Ім’я По-батькові:</w:t>
            </w:r>
          </w:p>
        </w:tc>
        <w:tc>
          <w:tcPr>
            <w:tcW w:w="6794" w:type="dxa"/>
            <w:gridSpan w:val="9"/>
            <w:vAlign w:val="center"/>
          </w:tcPr>
          <w:p w14:paraId="59FFCE2E" w14:textId="77777777" w:rsidR="00B8248C" w:rsidRPr="009D2443" w:rsidRDefault="00B8248C" w:rsidP="009D2443">
            <w:pPr>
              <w:rPr>
                <w:rFonts w:cs="Arial"/>
                <w:szCs w:val="22"/>
                <w:lang w:eastAsia="it-IT"/>
              </w:rPr>
            </w:pPr>
            <w:r w:rsidRPr="009D2443">
              <w:rPr>
                <w:rFonts w:cs="Arial"/>
                <w:szCs w:val="22"/>
                <w:lang w:eastAsia="it-IT"/>
              </w:rPr>
              <w:t>Доноаге Людмила Іванівна</w:t>
            </w:r>
          </w:p>
        </w:tc>
      </w:tr>
      <w:tr w:rsidR="00B8248C" w:rsidRPr="0019790A" w14:paraId="583CCDA2" w14:textId="77777777" w:rsidTr="009D2443">
        <w:trPr>
          <w:jc w:val="right"/>
        </w:trPr>
        <w:tc>
          <w:tcPr>
            <w:tcW w:w="3425" w:type="dxa"/>
          </w:tcPr>
          <w:p w14:paraId="1864E065" w14:textId="77777777" w:rsidR="00B8248C" w:rsidRPr="0019790A" w:rsidRDefault="00B8248C" w:rsidP="0019790A">
            <w:pPr>
              <w:rPr>
                <w:rFonts w:cs="Arial"/>
                <w:b/>
                <w:bCs/>
                <w:szCs w:val="22"/>
              </w:rPr>
            </w:pPr>
            <w:r w:rsidRPr="0019790A">
              <w:rPr>
                <w:rFonts w:cs="Arial"/>
                <w:szCs w:val="22"/>
                <w:lang w:eastAsia="it-IT"/>
              </w:rPr>
              <w:t>Телефон (мобільний):</w:t>
            </w:r>
          </w:p>
        </w:tc>
        <w:tc>
          <w:tcPr>
            <w:tcW w:w="6794" w:type="dxa"/>
            <w:gridSpan w:val="9"/>
            <w:vAlign w:val="center"/>
          </w:tcPr>
          <w:p w14:paraId="7101418E" w14:textId="77777777" w:rsidR="00B8248C" w:rsidRPr="009D2443" w:rsidRDefault="00B8248C" w:rsidP="009D2443">
            <w:pPr>
              <w:rPr>
                <w:rFonts w:cs="Arial"/>
                <w:szCs w:val="22"/>
                <w:lang w:eastAsia="it-IT"/>
              </w:rPr>
            </w:pPr>
            <w:r w:rsidRPr="009D2443">
              <w:rPr>
                <w:rFonts w:cs="Arial"/>
                <w:szCs w:val="22"/>
                <w:lang w:eastAsia="it-IT"/>
              </w:rPr>
              <w:t>+380687992816</w:t>
            </w:r>
          </w:p>
        </w:tc>
      </w:tr>
      <w:tr w:rsidR="00B8248C" w:rsidRPr="0019790A" w14:paraId="0E0988AD" w14:textId="77777777" w:rsidTr="009D2443">
        <w:trPr>
          <w:jc w:val="right"/>
        </w:trPr>
        <w:tc>
          <w:tcPr>
            <w:tcW w:w="3425" w:type="dxa"/>
          </w:tcPr>
          <w:p w14:paraId="2FA9B32B" w14:textId="77777777" w:rsidR="00B8248C" w:rsidRPr="0019790A" w:rsidRDefault="00B8248C" w:rsidP="0019790A">
            <w:pPr>
              <w:rPr>
                <w:rFonts w:cs="Arial"/>
                <w:b/>
                <w:bCs/>
                <w:szCs w:val="22"/>
              </w:rPr>
            </w:pPr>
            <w:r w:rsidRPr="0019790A">
              <w:rPr>
                <w:rFonts w:cs="Arial"/>
                <w:szCs w:val="22"/>
                <w:lang w:eastAsia="it-IT"/>
              </w:rPr>
              <w:t>Електронна адреса:</w:t>
            </w:r>
          </w:p>
        </w:tc>
        <w:tc>
          <w:tcPr>
            <w:tcW w:w="6794" w:type="dxa"/>
            <w:gridSpan w:val="9"/>
            <w:vAlign w:val="center"/>
          </w:tcPr>
          <w:p w14:paraId="1C4B4101" w14:textId="29A6106E" w:rsidR="00B8248C" w:rsidRPr="009D2443" w:rsidRDefault="00D85FFD" w:rsidP="009D2443">
            <w:pPr>
              <w:rPr>
                <w:rFonts w:cs="Arial"/>
                <w:szCs w:val="22"/>
                <w:lang w:eastAsia="it-IT"/>
              </w:rPr>
            </w:pPr>
            <w:hyperlink r:id="rId131" w:history="1">
              <w:r w:rsidR="009D2443" w:rsidRPr="00BF0394">
                <w:rPr>
                  <w:rStyle w:val="af0"/>
                  <w:rFonts w:cs="Arial"/>
                  <w:noProof w:val="0"/>
                  <w:sz w:val="22"/>
                  <w:szCs w:val="22"/>
                  <w:lang w:eastAsia="it-IT"/>
                </w:rPr>
                <w:t>domkulturi23@ukr.net</w:t>
              </w:r>
            </w:hyperlink>
            <w:r w:rsidR="009D2443">
              <w:rPr>
                <w:rFonts w:cs="Arial"/>
                <w:szCs w:val="22"/>
                <w:lang w:eastAsia="it-IT"/>
              </w:rPr>
              <w:t xml:space="preserve"> </w:t>
            </w:r>
          </w:p>
        </w:tc>
      </w:tr>
      <w:tr w:rsidR="00B8248C" w:rsidRPr="0019790A" w14:paraId="3A4BF801" w14:textId="77777777" w:rsidTr="009D2443">
        <w:trPr>
          <w:jc w:val="right"/>
        </w:trPr>
        <w:tc>
          <w:tcPr>
            <w:tcW w:w="3425" w:type="dxa"/>
            <w:vAlign w:val="center"/>
          </w:tcPr>
          <w:p w14:paraId="1ECD0900" w14:textId="77777777" w:rsidR="00B8248C" w:rsidRPr="0019790A" w:rsidRDefault="00B8248C" w:rsidP="0019790A">
            <w:pPr>
              <w:outlineLvl w:val="5"/>
              <w:rPr>
                <w:rFonts w:cs="Arial"/>
                <w:b/>
                <w:bCs/>
                <w:color w:val="000000"/>
                <w:szCs w:val="22"/>
              </w:rPr>
            </w:pPr>
            <w:r w:rsidRPr="0019790A">
              <w:rPr>
                <w:rFonts w:cs="Arial"/>
                <w:b/>
                <w:bCs/>
                <w:color w:val="000000"/>
                <w:szCs w:val="22"/>
              </w:rPr>
              <w:t>Номер і назва завдання з Стратегії</w:t>
            </w:r>
            <w:r w:rsidRPr="0019790A">
              <w:rPr>
                <w:rFonts w:cs="Arial"/>
                <w:b/>
                <w:bCs/>
                <w:szCs w:val="22"/>
                <w:lang w:eastAsia="it-IT"/>
              </w:rPr>
              <w:t xml:space="preserve"> </w:t>
            </w:r>
            <w:r w:rsidRPr="0019790A">
              <w:rPr>
                <w:rFonts w:cs="Arial"/>
                <w:b/>
                <w:bCs/>
                <w:color w:val="000000"/>
                <w:szCs w:val="22"/>
              </w:rPr>
              <w:t>розвитку Жмеринської міської територіальної громади,  якому відповідає проєкт:</w:t>
            </w:r>
          </w:p>
        </w:tc>
        <w:tc>
          <w:tcPr>
            <w:tcW w:w="6794" w:type="dxa"/>
            <w:gridSpan w:val="9"/>
            <w:vAlign w:val="center"/>
          </w:tcPr>
          <w:p w14:paraId="3ADF08A9" w14:textId="77777777" w:rsidR="00B8248C" w:rsidRPr="0019790A" w:rsidRDefault="00B8248C" w:rsidP="009D2443">
            <w:pPr>
              <w:pBdr>
                <w:left w:val="single" w:sz="18" w:space="4" w:color="auto"/>
              </w:pBdr>
              <w:rPr>
                <w:rFonts w:cs="Arial"/>
                <w:iCs/>
                <w:szCs w:val="22"/>
                <w:lang w:eastAsia="it-IT"/>
              </w:rPr>
            </w:pPr>
            <w:r w:rsidRPr="0019790A">
              <w:rPr>
                <w:rFonts w:cs="Arial"/>
                <w:iCs/>
                <w:szCs w:val="22"/>
                <w:lang w:eastAsia="it-IT"/>
              </w:rPr>
              <w:t>С.3.1. Впровадження сучасної моделі культурно-мистецького  обслуговування населення громади.</w:t>
            </w:r>
          </w:p>
          <w:p w14:paraId="7B9911C7" w14:textId="3BC1BF24" w:rsidR="00B8248C" w:rsidRPr="0019790A" w:rsidRDefault="00B8248C" w:rsidP="009D2443">
            <w:pPr>
              <w:pBdr>
                <w:left w:val="single" w:sz="18" w:space="4" w:color="auto"/>
              </w:pBdr>
              <w:rPr>
                <w:rFonts w:cs="Arial"/>
                <w:szCs w:val="22"/>
                <w:lang w:eastAsia="it-IT"/>
              </w:rPr>
            </w:pPr>
            <w:r w:rsidRPr="0019790A">
              <w:rPr>
                <w:rFonts w:cs="Arial"/>
                <w:iCs/>
                <w:szCs w:val="22"/>
                <w:lang w:eastAsia="it-IT"/>
              </w:rPr>
              <w:t>Зміцнення матеріально-технічної бази закладів культури, оновлення їх технічного ресурсу.</w:t>
            </w:r>
          </w:p>
        </w:tc>
      </w:tr>
      <w:tr w:rsidR="00B8248C" w:rsidRPr="0019790A" w14:paraId="076886B3" w14:textId="77777777" w:rsidTr="009D2443">
        <w:trPr>
          <w:jc w:val="right"/>
        </w:trPr>
        <w:tc>
          <w:tcPr>
            <w:tcW w:w="3425" w:type="dxa"/>
            <w:vAlign w:val="center"/>
          </w:tcPr>
          <w:p w14:paraId="0F7609D2" w14:textId="77777777" w:rsidR="00B8248C" w:rsidRPr="0019790A" w:rsidRDefault="00B8248C" w:rsidP="0019790A">
            <w:pPr>
              <w:rPr>
                <w:rFonts w:cs="Arial"/>
                <w:b/>
                <w:bCs/>
                <w:color w:val="000000"/>
                <w:szCs w:val="22"/>
              </w:rPr>
            </w:pPr>
            <w:r w:rsidRPr="0019790A">
              <w:rPr>
                <w:rFonts w:cs="Arial"/>
                <w:b/>
                <w:bCs/>
                <w:color w:val="000000"/>
                <w:szCs w:val="22"/>
              </w:rPr>
              <w:t>Мета проєкту:</w:t>
            </w:r>
          </w:p>
        </w:tc>
        <w:tc>
          <w:tcPr>
            <w:tcW w:w="6794" w:type="dxa"/>
            <w:gridSpan w:val="9"/>
            <w:vAlign w:val="center"/>
          </w:tcPr>
          <w:p w14:paraId="3E636D65" w14:textId="77777777" w:rsidR="00B8248C" w:rsidRPr="0019790A" w:rsidRDefault="00B8248C" w:rsidP="009D2443">
            <w:pPr>
              <w:rPr>
                <w:rFonts w:cs="Arial"/>
                <w:szCs w:val="22"/>
                <w:lang w:eastAsia="it-IT"/>
              </w:rPr>
            </w:pPr>
            <w:r w:rsidRPr="0019790A">
              <w:rPr>
                <w:rFonts w:cs="Arial"/>
                <w:szCs w:val="22"/>
                <w:lang w:eastAsia="it-IT"/>
              </w:rPr>
              <w:t>.</w:t>
            </w:r>
            <w:r w:rsidRPr="0019790A">
              <w:rPr>
                <w:rFonts w:cs="Arial"/>
                <w:szCs w:val="22"/>
              </w:rPr>
              <w:t xml:space="preserve"> </w:t>
            </w:r>
            <w:r w:rsidRPr="0019790A">
              <w:rPr>
                <w:rFonts w:cs="Arial"/>
                <w:szCs w:val="22"/>
                <w:lang w:eastAsia="it-IT"/>
              </w:rPr>
              <w:t>Підвищення якості культурних послуг шляхом модернізації технічного оснащення клубних установ громади</w:t>
            </w:r>
          </w:p>
        </w:tc>
      </w:tr>
      <w:tr w:rsidR="00B8248C" w:rsidRPr="0019790A" w14:paraId="7169D2FC" w14:textId="77777777" w:rsidTr="009D2443">
        <w:trPr>
          <w:jc w:val="right"/>
        </w:trPr>
        <w:tc>
          <w:tcPr>
            <w:tcW w:w="3425" w:type="dxa"/>
            <w:vAlign w:val="center"/>
          </w:tcPr>
          <w:p w14:paraId="50042DAF" w14:textId="77777777" w:rsidR="00B8248C" w:rsidRPr="0019790A" w:rsidRDefault="00B8248C" w:rsidP="0019790A">
            <w:pPr>
              <w:rPr>
                <w:rFonts w:cs="Arial"/>
                <w:b/>
                <w:bCs/>
                <w:color w:val="000000"/>
                <w:szCs w:val="22"/>
              </w:rPr>
            </w:pPr>
            <w:r w:rsidRPr="0019790A">
              <w:rPr>
                <w:rFonts w:cs="Arial"/>
                <w:b/>
                <w:bCs/>
                <w:color w:val="000000"/>
                <w:szCs w:val="22"/>
              </w:rPr>
              <w:t>Цілі проєкту:</w:t>
            </w:r>
          </w:p>
        </w:tc>
        <w:tc>
          <w:tcPr>
            <w:tcW w:w="6794" w:type="dxa"/>
            <w:gridSpan w:val="9"/>
            <w:vAlign w:val="center"/>
          </w:tcPr>
          <w:p w14:paraId="4B59764E" w14:textId="77777777" w:rsidR="00B8248C" w:rsidRPr="0019790A" w:rsidRDefault="00B8248C" w:rsidP="009D2443">
            <w:pPr>
              <w:rPr>
                <w:rFonts w:cs="Arial"/>
                <w:szCs w:val="22"/>
                <w:lang w:eastAsia="it-IT"/>
              </w:rPr>
            </w:pPr>
            <w:r w:rsidRPr="0019790A">
              <w:rPr>
                <w:rFonts w:cs="Arial"/>
                <w:szCs w:val="22"/>
                <w:lang w:eastAsia="it-IT"/>
              </w:rPr>
              <w:t>  Проведення ремонтних робіт в основному та господарському приміщеннях Центру культури і дозвілля</w:t>
            </w:r>
          </w:p>
          <w:p w14:paraId="421C5F1C" w14:textId="77777777" w:rsidR="00B8248C" w:rsidRPr="0019790A" w:rsidRDefault="00B8248C" w:rsidP="009D2443">
            <w:pPr>
              <w:rPr>
                <w:rFonts w:cs="Arial"/>
                <w:szCs w:val="22"/>
                <w:lang w:eastAsia="it-IT"/>
              </w:rPr>
            </w:pPr>
            <w:r w:rsidRPr="0019790A">
              <w:rPr>
                <w:rFonts w:cs="Arial"/>
                <w:szCs w:val="22"/>
                <w:lang w:eastAsia="it-IT"/>
              </w:rPr>
              <w:t>  Проведення ремонтних робіт прилеглої території ЦКіД</w:t>
            </w:r>
          </w:p>
          <w:p w14:paraId="557987AB" w14:textId="77777777" w:rsidR="00B8248C" w:rsidRPr="0019790A" w:rsidRDefault="00B8248C" w:rsidP="009D2443">
            <w:pPr>
              <w:rPr>
                <w:rFonts w:cs="Arial"/>
                <w:szCs w:val="22"/>
                <w:lang w:eastAsia="it-IT"/>
              </w:rPr>
            </w:pPr>
            <w:r w:rsidRPr="0019790A">
              <w:rPr>
                <w:rFonts w:cs="Arial"/>
                <w:szCs w:val="22"/>
                <w:lang w:eastAsia="it-IT"/>
              </w:rPr>
              <w:t>  Покращення умов для творчого розвитку мешканців громади</w:t>
            </w:r>
          </w:p>
          <w:p w14:paraId="32568470" w14:textId="77777777" w:rsidR="00B8248C" w:rsidRPr="0019790A" w:rsidRDefault="00B8248C" w:rsidP="009D2443">
            <w:pPr>
              <w:rPr>
                <w:rFonts w:cs="Arial"/>
                <w:szCs w:val="22"/>
                <w:lang w:eastAsia="it-IT"/>
              </w:rPr>
            </w:pPr>
            <w:r w:rsidRPr="0019790A">
              <w:rPr>
                <w:rFonts w:cs="Arial"/>
                <w:szCs w:val="22"/>
                <w:lang w:eastAsia="it-IT"/>
              </w:rPr>
              <w:t xml:space="preserve">  Підвищення енергоефективності та функціональності </w:t>
            </w:r>
          </w:p>
          <w:p w14:paraId="3C2383F2" w14:textId="77777777" w:rsidR="00B8248C" w:rsidRPr="0019790A" w:rsidRDefault="00B8248C" w:rsidP="009D2443">
            <w:pPr>
              <w:rPr>
                <w:rFonts w:cs="Arial"/>
                <w:szCs w:val="22"/>
                <w:lang w:eastAsia="it-IT"/>
              </w:rPr>
            </w:pPr>
            <w:r w:rsidRPr="0019790A">
              <w:rPr>
                <w:rFonts w:cs="Arial"/>
                <w:szCs w:val="22"/>
                <w:lang w:eastAsia="it-IT"/>
              </w:rPr>
              <w:t>  Забезпечення технічної спроможності для проведення сучасних культурних заходів</w:t>
            </w:r>
          </w:p>
          <w:p w14:paraId="3989AACA" w14:textId="77777777" w:rsidR="00B8248C" w:rsidRPr="0019790A" w:rsidRDefault="00B8248C" w:rsidP="009D2443">
            <w:pPr>
              <w:rPr>
                <w:rFonts w:cs="Arial"/>
                <w:szCs w:val="22"/>
                <w:lang w:eastAsia="it-IT"/>
              </w:rPr>
            </w:pPr>
            <w:r w:rsidRPr="0019790A">
              <w:rPr>
                <w:rFonts w:cs="Arial"/>
                <w:szCs w:val="22"/>
                <w:lang w:eastAsia="it-IT"/>
              </w:rPr>
              <w:t>  Збільшення кількості учасників культурного життя</w:t>
            </w:r>
          </w:p>
        </w:tc>
      </w:tr>
      <w:tr w:rsidR="00B8248C" w:rsidRPr="0019790A" w14:paraId="208AA331" w14:textId="77777777" w:rsidTr="009D2443">
        <w:trPr>
          <w:jc w:val="right"/>
        </w:trPr>
        <w:tc>
          <w:tcPr>
            <w:tcW w:w="3425" w:type="dxa"/>
            <w:vAlign w:val="center"/>
          </w:tcPr>
          <w:p w14:paraId="03CFF1F4" w14:textId="77777777" w:rsidR="00B8248C" w:rsidRPr="0019790A" w:rsidRDefault="00B8248C" w:rsidP="0019790A">
            <w:pPr>
              <w:autoSpaceDE w:val="0"/>
              <w:autoSpaceDN w:val="0"/>
              <w:adjustRightInd w:val="0"/>
              <w:rPr>
                <w:rFonts w:cs="Arial"/>
                <w:b/>
                <w:color w:val="000000"/>
                <w:szCs w:val="22"/>
              </w:rPr>
            </w:pPr>
            <w:r w:rsidRPr="0019790A">
              <w:rPr>
                <w:rFonts w:cs="Arial"/>
                <w:b/>
                <w:color w:val="000000"/>
                <w:szCs w:val="22"/>
              </w:rPr>
              <w:t>Територія на яку проєкт матиме вплив:</w:t>
            </w:r>
          </w:p>
        </w:tc>
        <w:tc>
          <w:tcPr>
            <w:tcW w:w="6794" w:type="dxa"/>
            <w:gridSpan w:val="9"/>
            <w:vAlign w:val="center"/>
          </w:tcPr>
          <w:p w14:paraId="5B81E066" w14:textId="77777777" w:rsidR="00B8248C" w:rsidRPr="0019790A" w:rsidRDefault="00B8248C" w:rsidP="009D2443">
            <w:pPr>
              <w:rPr>
                <w:rFonts w:cs="Arial"/>
                <w:szCs w:val="22"/>
                <w:lang w:eastAsia="it-IT"/>
              </w:rPr>
            </w:pPr>
            <w:r w:rsidRPr="0019790A">
              <w:rPr>
                <w:rFonts w:cs="Arial"/>
                <w:szCs w:val="22"/>
                <w:lang w:eastAsia="it-IT"/>
              </w:rPr>
              <w:t xml:space="preserve">Центр культури і дозвілля </w:t>
            </w:r>
          </w:p>
        </w:tc>
      </w:tr>
      <w:tr w:rsidR="00B8248C" w:rsidRPr="0019790A" w14:paraId="5D3E803B" w14:textId="77777777" w:rsidTr="009D2443">
        <w:trPr>
          <w:jc w:val="right"/>
        </w:trPr>
        <w:tc>
          <w:tcPr>
            <w:tcW w:w="3425" w:type="dxa"/>
            <w:vAlign w:val="center"/>
          </w:tcPr>
          <w:p w14:paraId="01A34521" w14:textId="77777777" w:rsidR="00B8248C" w:rsidRPr="0019790A" w:rsidRDefault="00B8248C" w:rsidP="0019790A">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4" w:type="dxa"/>
            <w:gridSpan w:val="9"/>
            <w:vAlign w:val="center"/>
          </w:tcPr>
          <w:p w14:paraId="6F9FAA8C" w14:textId="77777777" w:rsidR="00B8248C" w:rsidRPr="0019790A" w:rsidRDefault="00B8248C" w:rsidP="009D2443">
            <w:pPr>
              <w:rPr>
                <w:rFonts w:cs="Arial"/>
                <w:szCs w:val="22"/>
                <w:lang w:eastAsia="it-IT"/>
              </w:rPr>
            </w:pPr>
            <w:r w:rsidRPr="0019790A">
              <w:rPr>
                <w:rFonts w:cs="Arial"/>
                <w:szCs w:val="22"/>
                <w:lang w:eastAsia="it-IT"/>
              </w:rPr>
              <w:t>  Учасники творчих колективів – понад 800 осіб</w:t>
            </w:r>
          </w:p>
          <w:p w14:paraId="5B5EB977" w14:textId="77777777" w:rsidR="00B8248C" w:rsidRPr="0019790A" w:rsidRDefault="00B8248C" w:rsidP="009D2443">
            <w:pPr>
              <w:rPr>
                <w:rFonts w:cs="Arial"/>
                <w:szCs w:val="22"/>
                <w:lang w:eastAsia="it-IT"/>
              </w:rPr>
            </w:pPr>
            <w:r w:rsidRPr="0019790A">
              <w:rPr>
                <w:rFonts w:cs="Arial"/>
                <w:szCs w:val="22"/>
                <w:lang w:eastAsia="it-IT"/>
              </w:rPr>
              <w:t>  Культурні працівники – близько 35 осіб</w:t>
            </w:r>
          </w:p>
          <w:p w14:paraId="5BFDF24E" w14:textId="77777777" w:rsidR="00B8248C" w:rsidRPr="0019790A" w:rsidRDefault="00B8248C" w:rsidP="009D2443">
            <w:pPr>
              <w:rPr>
                <w:rFonts w:cs="Arial"/>
                <w:szCs w:val="22"/>
                <w:lang w:eastAsia="it-IT"/>
              </w:rPr>
            </w:pPr>
            <w:r w:rsidRPr="0019790A">
              <w:rPr>
                <w:rFonts w:cs="Arial"/>
                <w:szCs w:val="22"/>
                <w:lang w:eastAsia="it-IT"/>
              </w:rPr>
              <w:t>  Відвідувачі культурних заходів – понад 8000 осіб на рік</w:t>
            </w:r>
          </w:p>
          <w:p w14:paraId="38457FA4" w14:textId="77777777" w:rsidR="00B8248C" w:rsidRPr="0019790A" w:rsidRDefault="00B8248C" w:rsidP="009D2443">
            <w:pPr>
              <w:rPr>
                <w:rFonts w:cs="Arial"/>
                <w:szCs w:val="22"/>
                <w:lang w:eastAsia="it-IT"/>
              </w:rPr>
            </w:pPr>
            <w:r w:rsidRPr="0019790A">
              <w:rPr>
                <w:rFonts w:cs="Arial"/>
                <w:szCs w:val="22"/>
                <w:lang w:eastAsia="it-IT"/>
              </w:rPr>
              <w:t>  Школярі та молодь – близько 2000 осіб</w:t>
            </w:r>
          </w:p>
        </w:tc>
      </w:tr>
      <w:tr w:rsidR="00B8248C" w:rsidRPr="0019790A" w14:paraId="4D06F9E4" w14:textId="77777777" w:rsidTr="009D2443">
        <w:trPr>
          <w:jc w:val="right"/>
        </w:trPr>
        <w:tc>
          <w:tcPr>
            <w:tcW w:w="3425" w:type="dxa"/>
            <w:shd w:val="clear" w:color="auto" w:fill="FFFFFF"/>
            <w:vAlign w:val="center"/>
          </w:tcPr>
          <w:p w14:paraId="41CA467A" w14:textId="77777777" w:rsidR="00B8248C" w:rsidRPr="0019790A" w:rsidRDefault="00B8248C" w:rsidP="0019790A">
            <w:pPr>
              <w:rPr>
                <w:rFonts w:cs="Arial"/>
                <w:b/>
                <w:bCs/>
                <w:color w:val="000000"/>
                <w:szCs w:val="22"/>
              </w:rPr>
            </w:pPr>
            <w:r w:rsidRPr="0019790A">
              <w:rPr>
                <w:rFonts w:cs="Arial"/>
                <w:b/>
                <w:bCs/>
                <w:color w:val="000000"/>
                <w:szCs w:val="22"/>
              </w:rPr>
              <w:t>Стислий опис проєкту:</w:t>
            </w:r>
          </w:p>
        </w:tc>
        <w:tc>
          <w:tcPr>
            <w:tcW w:w="6794" w:type="dxa"/>
            <w:gridSpan w:val="9"/>
            <w:vAlign w:val="center"/>
          </w:tcPr>
          <w:p w14:paraId="07FE9782" w14:textId="77777777" w:rsidR="00B8248C" w:rsidRPr="0019790A" w:rsidRDefault="00B8248C" w:rsidP="009D2443">
            <w:pPr>
              <w:rPr>
                <w:rFonts w:cs="Arial"/>
                <w:szCs w:val="22"/>
                <w:lang w:eastAsia="it-IT"/>
              </w:rPr>
            </w:pPr>
            <w:r w:rsidRPr="0019790A">
              <w:rPr>
                <w:rFonts w:cs="Arial"/>
                <w:szCs w:val="22"/>
                <w:lang w:eastAsia="it-IT"/>
              </w:rPr>
              <w:t>Проєкт спрямований на зміцнення матеріально-технічної бази Центру культури і дозвілля шляхом проведення ремонтних робіт приміщень та прилеглої території, оновлення звукового, освітлювального, мультимедійного обладнання, меблів, костюмів, сцени, музичних інструментів. Це забезпечить якісне проведення концертів, майстер-класів, кіносеансів, виставок та інших культурних подій. Очікується зростання інтересу до культурного дозвілля та розширення можливостей для молоді та аматорських колективів.</w:t>
            </w:r>
          </w:p>
        </w:tc>
      </w:tr>
      <w:tr w:rsidR="00B8248C" w:rsidRPr="0019790A" w14:paraId="33B38F5D" w14:textId="77777777" w:rsidTr="009D2443">
        <w:trPr>
          <w:jc w:val="right"/>
        </w:trPr>
        <w:tc>
          <w:tcPr>
            <w:tcW w:w="3425" w:type="dxa"/>
            <w:shd w:val="clear" w:color="auto" w:fill="FFFFFF"/>
            <w:vAlign w:val="center"/>
          </w:tcPr>
          <w:p w14:paraId="1FAD8B5A" w14:textId="77777777" w:rsidR="00B8248C" w:rsidRPr="0019790A" w:rsidRDefault="00B8248C" w:rsidP="0019790A">
            <w:pPr>
              <w:rPr>
                <w:rFonts w:cs="Arial"/>
                <w:b/>
                <w:bCs/>
                <w:color w:val="000000"/>
                <w:szCs w:val="22"/>
              </w:rPr>
            </w:pPr>
            <w:r w:rsidRPr="0019790A">
              <w:rPr>
                <w:rFonts w:cs="Arial"/>
                <w:b/>
                <w:bCs/>
                <w:color w:val="000000"/>
                <w:szCs w:val="22"/>
              </w:rPr>
              <w:t>Основні заходи проєкту:</w:t>
            </w:r>
          </w:p>
        </w:tc>
        <w:tc>
          <w:tcPr>
            <w:tcW w:w="6794" w:type="dxa"/>
            <w:gridSpan w:val="9"/>
            <w:vAlign w:val="center"/>
          </w:tcPr>
          <w:p w14:paraId="5FC7C845" w14:textId="77777777" w:rsidR="00B8248C" w:rsidRPr="0019790A" w:rsidRDefault="00B8248C" w:rsidP="009D2443">
            <w:pPr>
              <w:rPr>
                <w:rFonts w:cs="Arial"/>
                <w:szCs w:val="22"/>
                <w:lang w:eastAsia="it-IT"/>
              </w:rPr>
            </w:pPr>
            <w:r w:rsidRPr="0019790A">
              <w:rPr>
                <w:rFonts w:cs="Arial"/>
                <w:szCs w:val="22"/>
                <w:lang w:eastAsia="it-IT"/>
              </w:rPr>
              <w:t>  Проведення ремонтних робіт приміщень та прилеглої території ЦКіД</w:t>
            </w:r>
          </w:p>
          <w:p w14:paraId="0E5AF156" w14:textId="77777777" w:rsidR="00B8248C" w:rsidRPr="0019790A" w:rsidRDefault="00B8248C" w:rsidP="009D2443">
            <w:pPr>
              <w:rPr>
                <w:rFonts w:cs="Arial"/>
                <w:szCs w:val="22"/>
                <w:lang w:eastAsia="it-IT"/>
              </w:rPr>
            </w:pPr>
            <w:r w:rsidRPr="0019790A">
              <w:rPr>
                <w:rFonts w:cs="Arial"/>
                <w:szCs w:val="22"/>
                <w:lang w:eastAsia="it-IT"/>
              </w:rPr>
              <w:t>  Заміна дверей господарського приміщення ЦКіД</w:t>
            </w:r>
          </w:p>
          <w:p w14:paraId="51E923CB" w14:textId="77777777" w:rsidR="00B8248C" w:rsidRPr="0019790A" w:rsidRDefault="00B8248C" w:rsidP="009D2443">
            <w:pPr>
              <w:rPr>
                <w:rFonts w:cs="Arial"/>
                <w:szCs w:val="22"/>
                <w:lang w:eastAsia="it-IT"/>
              </w:rPr>
            </w:pPr>
            <w:r w:rsidRPr="0019790A">
              <w:rPr>
                <w:rFonts w:cs="Arial"/>
                <w:szCs w:val="22"/>
                <w:lang w:eastAsia="it-IT"/>
              </w:rPr>
              <w:t>  Проведення інвентаризації технічного стану закладу</w:t>
            </w:r>
          </w:p>
          <w:p w14:paraId="780EFB62" w14:textId="410B1D40" w:rsidR="00B8248C" w:rsidRPr="0019790A" w:rsidRDefault="00B8248C" w:rsidP="009D2443">
            <w:pPr>
              <w:rPr>
                <w:rFonts w:cs="Arial"/>
                <w:szCs w:val="22"/>
                <w:lang w:eastAsia="it-IT"/>
              </w:rPr>
            </w:pPr>
            <w:r w:rsidRPr="0019790A">
              <w:rPr>
                <w:rFonts w:cs="Arial"/>
                <w:szCs w:val="22"/>
                <w:lang w:eastAsia="it-IT"/>
              </w:rPr>
              <w:t xml:space="preserve">  Закупівля звукового, освітлювального, </w:t>
            </w:r>
            <w:r w:rsidR="009D2443" w:rsidRPr="0019790A">
              <w:rPr>
                <w:rFonts w:cs="Arial"/>
                <w:szCs w:val="22"/>
                <w:lang w:eastAsia="it-IT"/>
              </w:rPr>
              <w:t>відео обладнання</w:t>
            </w:r>
          </w:p>
          <w:p w14:paraId="71CEDA3B" w14:textId="77777777" w:rsidR="00B8248C" w:rsidRPr="0019790A" w:rsidRDefault="00B8248C" w:rsidP="009D2443">
            <w:pPr>
              <w:rPr>
                <w:rFonts w:cs="Arial"/>
                <w:szCs w:val="22"/>
                <w:lang w:eastAsia="it-IT"/>
              </w:rPr>
            </w:pPr>
            <w:r w:rsidRPr="0019790A">
              <w:rPr>
                <w:rFonts w:cs="Arial"/>
                <w:szCs w:val="22"/>
                <w:lang w:eastAsia="it-IT"/>
              </w:rPr>
              <w:t>  Придбання сценічних костюмів, декорацій, музичних інструментів</w:t>
            </w:r>
          </w:p>
          <w:p w14:paraId="2796FE8C" w14:textId="77777777" w:rsidR="00B8248C" w:rsidRPr="0019790A" w:rsidRDefault="00B8248C" w:rsidP="009D2443">
            <w:pPr>
              <w:rPr>
                <w:rFonts w:cs="Arial"/>
                <w:szCs w:val="22"/>
                <w:lang w:eastAsia="it-IT"/>
              </w:rPr>
            </w:pPr>
            <w:r w:rsidRPr="0019790A">
              <w:rPr>
                <w:rFonts w:cs="Arial"/>
                <w:szCs w:val="22"/>
                <w:lang w:eastAsia="it-IT"/>
              </w:rPr>
              <w:t>  Установка технічного обладнання в ЦКіД</w:t>
            </w:r>
          </w:p>
          <w:p w14:paraId="66B0171A" w14:textId="77777777" w:rsidR="00B8248C" w:rsidRPr="0019790A" w:rsidRDefault="00B8248C" w:rsidP="009D2443">
            <w:pPr>
              <w:rPr>
                <w:rFonts w:cs="Arial"/>
                <w:szCs w:val="22"/>
                <w:lang w:eastAsia="it-IT"/>
              </w:rPr>
            </w:pPr>
            <w:r w:rsidRPr="0019790A">
              <w:rPr>
                <w:rFonts w:cs="Arial"/>
                <w:szCs w:val="22"/>
                <w:lang w:eastAsia="it-IT"/>
              </w:rPr>
              <w:t>  Проведення тренінгів для працівників культури щодо використання обладнання</w:t>
            </w:r>
          </w:p>
          <w:p w14:paraId="0C731CE9" w14:textId="77777777" w:rsidR="00B8248C" w:rsidRPr="0019790A" w:rsidRDefault="00B8248C" w:rsidP="009D2443">
            <w:pPr>
              <w:rPr>
                <w:rFonts w:cs="Arial"/>
                <w:szCs w:val="22"/>
                <w:lang w:eastAsia="it-IT"/>
              </w:rPr>
            </w:pPr>
            <w:r w:rsidRPr="0019790A">
              <w:rPr>
                <w:rFonts w:cs="Arial"/>
                <w:szCs w:val="22"/>
                <w:lang w:eastAsia="it-IT"/>
              </w:rPr>
              <w:t>  Організація культурних подій з оновленим ресурсом</w:t>
            </w:r>
          </w:p>
          <w:p w14:paraId="3728CFAA" w14:textId="77777777" w:rsidR="00B8248C" w:rsidRPr="0019790A" w:rsidRDefault="00B8248C" w:rsidP="009D2443">
            <w:pPr>
              <w:rPr>
                <w:rFonts w:cs="Arial"/>
                <w:szCs w:val="22"/>
                <w:lang w:eastAsia="it-IT"/>
              </w:rPr>
            </w:pPr>
            <w:r w:rsidRPr="0019790A">
              <w:rPr>
                <w:rFonts w:cs="Arial"/>
                <w:szCs w:val="22"/>
                <w:lang w:eastAsia="it-IT"/>
              </w:rPr>
              <w:t>  Заміна в’їзних воріт та асфальтне покриття прибудинкової території ЦКіД</w:t>
            </w:r>
          </w:p>
        </w:tc>
      </w:tr>
      <w:tr w:rsidR="00B8248C" w:rsidRPr="0019790A" w14:paraId="2FB04F43" w14:textId="77777777" w:rsidTr="009D2443">
        <w:trPr>
          <w:jc w:val="right"/>
        </w:trPr>
        <w:tc>
          <w:tcPr>
            <w:tcW w:w="3425" w:type="dxa"/>
            <w:shd w:val="clear" w:color="auto" w:fill="FFFFFF"/>
            <w:vAlign w:val="center"/>
          </w:tcPr>
          <w:p w14:paraId="0A8FBE20" w14:textId="77777777" w:rsidR="00B8248C" w:rsidRPr="0019790A" w:rsidRDefault="00B8248C"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794" w:type="dxa"/>
            <w:gridSpan w:val="9"/>
            <w:vAlign w:val="center"/>
          </w:tcPr>
          <w:p w14:paraId="477D9536" w14:textId="77777777" w:rsidR="00B8248C" w:rsidRPr="0019790A" w:rsidRDefault="00B8248C" w:rsidP="009D2443">
            <w:pPr>
              <w:rPr>
                <w:rFonts w:cs="Arial"/>
                <w:szCs w:val="22"/>
                <w:lang w:eastAsia="it-IT"/>
              </w:rPr>
            </w:pPr>
            <w:r w:rsidRPr="0019790A">
              <w:rPr>
                <w:rFonts w:cs="Arial"/>
                <w:szCs w:val="22"/>
                <w:lang w:eastAsia="it-IT"/>
              </w:rPr>
              <w:t>  Оснащення сучасним технічним обладнанням</w:t>
            </w:r>
          </w:p>
          <w:p w14:paraId="37D20C50" w14:textId="77777777" w:rsidR="00B8248C" w:rsidRPr="0019790A" w:rsidRDefault="00B8248C" w:rsidP="009D2443">
            <w:pPr>
              <w:rPr>
                <w:rFonts w:cs="Arial"/>
                <w:szCs w:val="22"/>
                <w:lang w:eastAsia="it-IT"/>
              </w:rPr>
            </w:pPr>
            <w:r w:rsidRPr="0019790A">
              <w:rPr>
                <w:rFonts w:cs="Arial"/>
                <w:szCs w:val="22"/>
                <w:lang w:eastAsia="it-IT"/>
              </w:rPr>
              <w:t>  Проведення не менше 50 культурних заходів із використанням оновленої техніки</w:t>
            </w:r>
          </w:p>
          <w:p w14:paraId="102F2EC9" w14:textId="77777777" w:rsidR="00B8248C" w:rsidRPr="0019790A" w:rsidRDefault="00B8248C" w:rsidP="009D2443">
            <w:pPr>
              <w:rPr>
                <w:rFonts w:cs="Arial"/>
                <w:szCs w:val="22"/>
                <w:lang w:eastAsia="it-IT"/>
              </w:rPr>
            </w:pPr>
            <w:r w:rsidRPr="0019790A">
              <w:rPr>
                <w:rFonts w:cs="Arial"/>
                <w:szCs w:val="22"/>
                <w:lang w:eastAsia="it-IT"/>
              </w:rPr>
              <w:t>  Підвищення відвідуваності культурних заходів на 15%</w:t>
            </w:r>
          </w:p>
          <w:p w14:paraId="7D2280B3" w14:textId="77777777" w:rsidR="00B8248C" w:rsidRPr="0019790A" w:rsidRDefault="00B8248C" w:rsidP="009D2443">
            <w:pPr>
              <w:rPr>
                <w:rFonts w:cs="Arial"/>
                <w:szCs w:val="22"/>
                <w:lang w:eastAsia="it-IT"/>
              </w:rPr>
            </w:pPr>
            <w:r w:rsidRPr="0019790A">
              <w:rPr>
                <w:rFonts w:cs="Arial"/>
                <w:szCs w:val="22"/>
                <w:lang w:eastAsia="it-IT"/>
              </w:rPr>
              <w:t>  Підвищення рівня задоволеності населення культурними послугами</w:t>
            </w:r>
          </w:p>
        </w:tc>
      </w:tr>
      <w:tr w:rsidR="00B8248C" w:rsidRPr="0019790A" w14:paraId="11062CCA" w14:textId="77777777" w:rsidTr="00B8248C">
        <w:trPr>
          <w:jc w:val="right"/>
        </w:trPr>
        <w:tc>
          <w:tcPr>
            <w:tcW w:w="3425" w:type="dxa"/>
            <w:shd w:val="clear" w:color="auto" w:fill="FFFFFF"/>
            <w:vAlign w:val="center"/>
          </w:tcPr>
          <w:p w14:paraId="19DD771D" w14:textId="77777777" w:rsidR="00B8248C" w:rsidRPr="0019790A" w:rsidRDefault="00B8248C" w:rsidP="0019790A">
            <w:pPr>
              <w:rPr>
                <w:rFonts w:cs="Arial"/>
                <w:b/>
                <w:color w:val="000000"/>
                <w:szCs w:val="22"/>
              </w:rPr>
            </w:pPr>
            <w:r w:rsidRPr="0019790A">
              <w:rPr>
                <w:rFonts w:cs="Arial"/>
                <w:b/>
                <w:color w:val="000000"/>
                <w:szCs w:val="22"/>
              </w:rPr>
              <w:t xml:space="preserve">Період здійснення: </w:t>
            </w:r>
          </w:p>
        </w:tc>
        <w:tc>
          <w:tcPr>
            <w:tcW w:w="6794" w:type="dxa"/>
            <w:gridSpan w:val="9"/>
            <w:vAlign w:val="center"/>
          </w:tcPr>
          <w:p w14:paraId="602F48BC" w14:textId="77777777" w:rsidR="00B8248C" w:rsidRPr="0019790A" w:rsidRDefault="00B8248C" w:rsidP="0019790A">
            <w:pPr>
              <w:rPr>
                <w:rFonts w:cs="Arial"/>
                <w:color w:val="000000"/>
                <w:szCs w:val="22"/>
                <w:lang w:eastAsia="it-IT"/>
              </w:rPr>
            </w:pPr>
            <w:r w:rsidRPr="0019790A">
              <w:rPr>
                <w:rFonts w:cs="Arial"/>
                <w:b/>
                <w:color w:val="000000"/>
                <w:szCs w:val="22"/>
              </w:rPr>
              <w:t>2025 – 2028 роки:</w:t>
            </w:r>
          </w:p>
        </w:tc>
      </w:tr>
      <w:tr w:rsidR="00B8248C" w:rsidRPr="0019790A" w14:paraId="7B5B048C" w14:textId="77777777" w:rsidTr="00B8248C">
        <w:trPr>
          <w:jc w:val="right"/>
        </w:trPr>
        <w:tc>
          <w:tcPr>
            <w:tcW w:w="3425" w:type="dxa"/>
            <w:vMerge w:val="restart"/>
            <w:shd w:val="clear" w:color="auto" w:fill="FFFFFF"/>
            <w:vAlign w:val="center"/>
          </w:tcPr>
          <w:p w14:paraId="34F108B7" w14:textId="77777777" w:rsidR="00B8248C" w:rsidRPr="0019790A" w:rsidRDefault="00B8248C" w:rsidP="0019790A">
            <w:pPr>
              <w:rPr>
                <w:rFonts w:cs="Arial"/>
                <w:b/>
                <w:bCs/>
                <w:color w:val="000000"/>
                <w:szCs w:val="22"/>
              </w:rPr>
            </w:pPr>
            <w:r w:rsidRPr="0019790A">
              <w:rPr>
                <w:rFonts w:cs="Arial"/>
                <w:b/>
                <w:bCs/>
                <w:color w:val="000000"/>
                <w:szCs w:val="22"/>
              </w:rPr>
              <w:t>Орієнтовна вартість проєкту, тис. грн., в тому числі:</w:t>
            </w:r>
          </w:p>
        </w:tc>
        <w:tc>
          <w:tcPr>
            <w:tcW w:w="1254" w:type="dxa"/>
            <w:gridSpan w:val="2"/>
            <w:shd w:val="clear" w:color="auto" w:fill="E6E6E6"/>
            <w:vAlign w:val="center"/>
          </w:tcPr>
          <w:p w14:paraId="1DE82B53"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2025</w:t>
            </w:r>
          </w:p>
        </w:tc>
        <w:tc>
          <w:tcPr>
            <w:tcW w:w="1275" w:type="dxa"/>
            <w:gridSpan w:val="2"/>
            <w:shd w:val="clear" w:color="auto" w:fill="E6E6E6"/>
            <w:vAlign w:val="center"/>
          </w:tcPr>
          <w:p w14:paraId="6ED2D6A2"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2026</w:t>
            </w:r>
          </w:p>
        </w:tc>
        <w:tc>
          <w:tcPr>
            <w:tcW w:w="1418" w:type="dxa"/>
            <w:tcBorders>
              <w:bottom w:val="single" w:sz="4" w:space="0" w:color="auto"/>
            </w:tcBorders>
            <w:shd w:val="clear" w:color="auto" w:fill="E6E6E6"/>
            <w:vAlign w:val="center"/>
          </w:tcPr>
          <w:p w14:paraId="2980E9A2"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2027</w:t>
            </w:r>
          </w:p>
        </w:tc>
        <w:tc>
          <w:tcPr>
            <w:tcW w:w="1276" w:type="dxa"/>
            <w:gridSpan w:val="2"/>
            <w:shd w:val="clear" w:color="auto" w:fill="E6E6E6"/>
            <w:vAlign w:val="center"/>
          </w:tcPr>
          <w:p w14:paraId="518FAB2A"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2028</w:t>
            </w:r>
          </w:p>
        </w:tc>
        <w:tc>
          <w:tcPr>
            <w:tcW w:w="1571" w:type="dxa"/>
            <w:gridSpan w:val="2"/>
            <w:shd w:val="clear" w:color="auto" w:fill="E6E6E6"/>
            <w:vAlign w:val="center"/>
          </w:tcPr>
          <w:p w14:paraId="0FA656C2"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РАЗОМ</w:t>
            </w:r>
          </w:p>
        </w:tc>
      </w:tr>
      <w:tr w:rsidR="00B8248C" w:rsidRPr="0019790A" w14:paraId="0C8A90FE" w14:textId="77777777" w:rsidTr="00B8248C">
        <w:trPr>
          <w:jc w:val="right"/>
        </w:trPr>
        <w:tc>
          <w:tcPr>
            <w:tcW w:w="3425" w:type="dxa"/>
            <w:vMerge/>
            <w:shd w:val="clear" w:color="auto" w:fill="FFFFFF"/>
            <w:vAlign w:val="center"/>
          </w:tcPr>
          <w:p w14:paraId="6DCA7847" w14:textId="77777777" w:rsidR="00B8248C" w:rsidRPr="0019790A" w:rsidRDefault="00B8248C" w:rsidP="0019790A">
            <w:pPr>
              <w:rPr>
                <w:rFonts w:cs="Arial"/>
                <w:b/>
                <w:bCs/>
                <w:color w:val="000000"/>
                <w:szCs w:val="22"/>
              </w:rPr>
            </w:pPr>
          </w:p>
        </w:tc>
        <w:tc>
          <w:tcPr>
            <w:tcW w:w="1254" w:type="dxa"/>
            <w:gridSpan w:val="2"/>
            <w:vAlign w:val="center"/>
          </w:tcPr>
          <w:p w14:paraId="0B751ABB"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40,0</w:t>
            </w:r>
          </w:p>
        </w:tc>
        <w:tc>
          <w:tcPr>
            <w:tcW w:w="1275" w:type="dxa"/>
            <w:gridSpan w:val="2"/>
            <w:shd w:val="clear" w:color="auto" w:fill="FFFFFF"/>
            <w:vAlign w:val="center"/>
          </w:tcPr>
          <w:p w14:paraId="268F30CE"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260,0</w:t>
            </w:r>
          </w:p>
        </w:tc>
        <w:tc>
          <w:tcPr>
            <w:tcW w:w="1418" w:type="dxa"/>
            <w:shd w:val="clear" w:color="auto" w:fill="auto"/>
            <w:vAlign w:val="center"/>
          </w:tcPr>
          <w:p w14:paraId="5E502381"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40000,0</w:t>
            </w:r>
          </w:p>
        </w:tc>
        <w:tc>
          <w:tcPr>
            <w:tcW w:w="1276" w:type="dxa"/>
            <w:gridSpan w:val="2"/>
            <w:shd w:val="clear" w:color="auto" w:fill="FFFFFF"/>
            <w:vAlign w:val="center"/>
          </w:tcPr>
          <w:p w14:paraId="436EEF71"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1000,0</w:t>
            </w:r>
          </w:p>
        </w:tc>
        <w:tc>
          <w:tcPr>
            <w:tcW w:w="1571" w:type="dxa"/>
            <w:gridSpan w:val="2"/>
            <w:shd w:val="clear" w:color="auto" w:fill="FFFFFF"/>
            <w:vAlign w:val="center"/>
          </w:tcPr>
          <w:p w14:paraId="11E4AB41"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41300,0</w:t>
            </w:r>
          </w:p>
        </w:tc>
      </w:tr>
      <w:tr w:rsidR="00B8248C" w:rsidRPr="0019790A" w14:paraId="53FCC67B" w14:textId="77777777" w:rsidTr="00B8248C">
        <w:trPr>
          <w:trHeight w:val="276"/>
          <w:jc w:val="right"/>
        </w:trPr>
        <w:tc>
          <w:tcPr>
            <w:tcW w:w="3425" w:type="dxa"/>
            <w:shd w:val="clear" w:color="auto" w:fill="FFFFFF"/>
            <w:vAlign w:val="center"/>
          </w:tcPr>
          <w:p w14:paraId="3AE9127A" w14:textId="77777777" w:rsidR="00B8248C" w:rsidRPr="0019790A" w:rsidRDefault="00B8248C" w:rsidP="0019790A">
            <w:pPr>
              <w:rPr>
                <w:rFonts w:cs="Arial"/>
                <w:b/>
                <w:bCs/>
                <w:color w:val="000000"/>
                <w:szCs w:val="22"/>
              </w:rPr>
            </w:pPr>
            <w:r w:rsidRPr="0019790A">
              <w:rPr>
                <w:rFonts w:cs="Arial"/>
                <w:b/>
                <w:bCs/>
                <w:color w:val="000000"/>
                <w:szCs w:val="22"/>
              </w:rPr>
              <w:t>по джерелах фінансування:</w:t>
            </w:r>
          </w:p>
        </w:tc>
        <w:tc>
          <w:tcPr>
            <w:tcW w:w="6794" w:type="dxa"/>
            <w:gridSpan w:val="9"/>
            <w:vAlign w:val="center"/>
          </w:tcPr>
          <w:p w14:paraId="1A76A09F" w14:textId="77777777" w:rsidR="00B8248C" w:rsidRPr="0019790A" w:rsidRDefault="00B8248C" w:rsidP="0019790A">
            <w:pPr>
              <w:jc w:val="both"/>
              <w:rPr>
                <w:rFonts w:cs="Arial"/>
                <w:color w:val="000000"/>
                <w:szCs w:val="22"/>
                <w:lang w:eastAsia="it-IT"/>
              </w:rPr>
            </w:pPr>
          </w:p>
        </w:tc>
      </w:tr>
      <w:tr w:rsidR="009D2443" w:rsidRPr="0019790A" w14:paraId="6F59CC58" w14:textId="0D80BB90" w:rsidTr="009D2443">
        <w:trPr>
          <w:trHeight w:val="240"/>
          <w:jc w:val="right"/>
        </w:trPr>
        <w:tc>
          <w:tcPr>
            <w:tcW w:w="3425" w:type="dxa"/>
            <w:shd w:val="clear" w:color="auto" w:fill="FFFFFF"/>
            <w:vAlign w:val="center"/>
          </w:tcPr>
          <w:p w14:paraId="23574AE8" w14:textId="77777777" w:rsidR="009D2443" w:rsidRPr="0019790A" w:rsidRDefault="009D2443" w:rsidP="0019790A">
            <w:pPr>
              <w:rPr>
                <w:rFonts w:cs="Arial"/>
                <w:b/>
                <w:bCs/>
                <w:color w:val="000000"/>
                <w:szCs w:val="22"/>
              </w:rPr>
            </w:pPr>
            <w:r w:rsidRPr="0019790A">
              <w:rPr>
                <w:rFonts w:cs="Arial"/>
                <w:color w:val="000000"/>
                <w:szCs w:val="22"/>
              </w:rPr>
              <w:t>- державний бюджет</w:t>
            </w:r>
          </w:p>
        </w:tc>
        <w:tc>
          <w:tcPr>
            <w:tcW w:w="1227" w:type="dxa"/>
            <w:vAlign w:val="center"/>
          </w:tcPr>
          <w:p w14:paraId="66E1612C" w14:textId="77777777" w:rsidR="009D2443" w:rsidRPr="0019790A" w:rsidRDefault="009D2443" w:rsidP="0019790A">
            <w:pPr>
              <w:jc w:val="both"/>
              <w:rPr>
                <w:rFonts w:cs="Arial"/>
                <w:color w:val="000000"/>
                <w:szCs w:val="22"/>
                <w:lang w:eastAsia="it-IT"/>
              </w:rPr>
            </w:pPr>
          </w:p>
        </w:tc>
        <w:tc>
          <w:tcPr>
            <w:tcW w:w="1290" w:type="dxa"/>
            <w:gridSpan w:val="2"/>
            <w:vAlign w:val="center"/>
          </w:tcPr>
          <w:p w14:paraId="52C5C3DA" w14:textId="77777777" w:rsidR="009D2443" w:rsidRPr="0019790A" w:rsidRDefault="009D2443" w:rsidP="0019790A">
            <w:pPr>
              <w:jc w:val="both"/>
              <w:rPr>
                <w:rFonts w:cs="Arial"/>
                <w:color w:val="000000"/>
                <w:szCs w:val="22"/>
                <w:lang w:eastAsia="it-IT"/>
              </w:rPr>
            </w:pPr>
          </w:p>
        </w:tc>
        <w:tc>
          <w:tcPr>
            <w:tcW w:w="1465" w:type="dxa"/>
            <w:gridSpan w:val="3"/>
            <w:vAlign w:val="center"/>
          </w:tcPr>
          <w:p w14:paraId="581EE82E" w14:textId="77777777" w:rsidR="009D2443" w:rsidRPr="0019790A" w:rsidRDefault="009D2443" w:rsidP="0019790A">
            <w:pPr>
              <w:jc w:val="both"/>
              <w:rPr>
                <w:rFonts w:cs="Arial"/>
                <w:color w:val="000000"/>
                <w:szCs w:val="22"/>
                <w:lang w:eastAsia="it-IT"/>
              </w:rPr>
            </w:pPr>
          </w:p>
        </w:tc>
        <w:tc>
          <w:tcPr>
            <w:tcW w:w="1277" w:type="dxa"/>
            <w:gridSpan w:val="2"/>
            <w:vAlign w:val="center"/>
          </w:tcPr>
          <w:p w14:paraId="45738F5F" w14:textId="77777777" w:rsidR="009D2443" w:rsidRPr="0019790A" w:rsidRDefault="009D2443" w:rsidP="0019790A">
            <w:pPr>
              <w:jc w:val="both"/>
              <w:rPr>
                <w:rFonts w:cs="Arial"/>
                <w:color w:val="000000"/>
                <w:szCs w:val="22"/>
                <w:lang w:eastAsia="it-IT"/>
              </w:rPr>
            </w:pPr>
          </w:p>
        </w:tc>
        <w:tc>
          <w:tcPr>
            <w:tcW w:w="1535" w:type="dxa"/>
            <w:vAlign w:val="center"/>
          </w:tcPr>
          <w:p w14:paraId="1EA8299A" w14:textId="77777777" w:rsidR="009D2443" w:rsidRPr="0019790A" w:rsidRDefault="009D2443" w:rsidP="0019790A">
            <w:pPr>
              <w:jc w:val="both"/>
              <w:rPr>
                <w:rFonts w:cs="Arial"/>
                <w:color w:val="000000"/>
                <w:szCs w:val="22"/>
                <w:lang w:eastAsia="it-IT"/>
              </w:rPr>
            </w:pPr>
          </w:p>
        </w:tc>
      </w:tr>
      <w:tr w:rsidR="009D2443" w:rsidRPr="0019790A" w14:paraId="22DEED9D" w14:textId="2BCB97C3" w:rsidTr="009D2443">
        <w:trPr>
          <w:trHeight w:val="254"/>
          <w:jc w:val="right"/>
        </w:trPr>
        <w:tc>
          <w:tcPr>
            <w:tcW w:w="3425" w:type="dxa"/>
            <w:shd w:val="clear" w:color="auto" w:fill="FFFFFF"/>
            <w:vAlign w:val="center"/>
          </w:tcPr>
          <w:p w14:paraId="6301335E" w14:textId="77777777" w:rsidR="009D2443" w:rsidRPr="0019790A" w:rsidRDefault="009D2443" w:rsidP="0019790A">
            <w:pPr>
              <w:rPr>
                <w:rFonts w:cs="Arial"/>
                <w:color w:val="000000"/>
                <w:szCs w:val="22"/>
              </w:rPr>
            </w:pPr>
            <w:r w:rsidRPr="0019790A">
              <w:rPr>
                <w:rFonts w:cs="Arial"/>
                <w:color w:val="000000"/>
                <w:szCs w:val="22"/>
              </w:rPr>
              <w:t>- обласний бюджет</w:t>
            </w:r>
          </w:p>
        </w:tc>
        <w:tc>
          <w:tcPr>
            <w:tcW w:w="1227" w:type="dxa"/>
            <w:vAlign w:val="center"/>
          </w:tcPr>
          <w:p w14:paraId="401C9077" w14:textId="77777777" w:rsidR="009D2443" w:rsidRPr="0019790A" w:rsidRDefault="009D2443" w:rsidP="0019790A">
            <w:pPr>
              <w:jc w:val="both"/>
              <w:rPr>
                <w:rFonts w:cs="Arial"/>
                <w:color w:val="000000"/>
                <w:szCs w:val="22"/>
                <w:lang w:eastAsia="it-IT"/>
              </w:rPr>
            </w:pPr>
          </w:p>
        </w:tc>
        <w:tc>
          <w:tcPr>
            <w:tcW w:w="1290" w:type="dxa"/>
            <w:gridSpan w:val="2"/>
            <w:vAlign w:val="center"/>
          </w:tcPr>
          <w:p w14:paraId="5950C536" w14:textId="77777777" w:rsidR="009D2443" w:rsidRPr="0019790A" w:rsidRDefault="009D2443" w:rsidP="0019790A">
            <w:pPr>
              <w:jc w:val="both"/>
              <w:rPr>
                <w:rFonts w:cs="Arial"/>
                <w:color w:val="000000"/>
                <w:szCs w:val="22"/>
                <w:lang w:eastAsia="it-IT"/>
              </w:rPr>
            </w:pPr>
          </w:p>
        </w:tc>
        <w:tc>
          <w:tcPr>
            <w:tcW w:w="1465" w:type="dxa"/>
            <w:gridSpan w:val="3"/>
            <w:vAlign w:val="center"/>
          </w:tcPr>
          <w:p w14:paraId="779E9ADC" w14:textId="77777777" w:rsidR="009D2443" w:rsidRPr="0019790A" w:rsidRDefault="009D2443" w:rsidP="0019790A">
            <w:pPr>
              <w:jc w:val="both"/>
              <w:rPr>
                <w:rFonts w:cs="Arial"/>
                <w:color w:val="000000"/>
                <w:szCs w:val="22"/>
                <w:lang w:eastAsia="it-IT"/>
              </w:rPr>
            </w:pPr>
          </w:p>
        </w:tc>
        <w:tc>
          <w:tcPr>
            <w:tcW w:w="1277" w:type="dxa"/>
            <w:gridSpan w:val="2"/>
            <w:vAlign w:val="center"/>
          </w:tcPr>
          <w:p w14:paraId="5D2DB285" w14:textId="77777777" w:rsidR="009D2443" w:rsidRPr="0019790A" w:rsidRDefault="009D2443" w:rsidP="0019790A">
            <w:pPr>
              <w:jc w:val="both"/>
              <w:rPr>
                <w:rFonts w:cs="Arial"/>
                <w:color w:val="000000"/>
                <w:szCs w:val="22"/>
                <w:lang w:eastAsia="it-IT"/>
              </w:rPr>
            </w:pPr>
          </w:p>
        </w:tc>
        <w:tc>
          <w:tcPr>
            <w:tcW w:w="1535" w:type="dxa"/>
            <w:vAlign w:val="center"/>
          </w:tcPr>
          <w:p w14:paraId="3C89EBA8" w14:textId="77777777" w:rsidR="009D2443" w:rsidRPr="0019790A" w:rsidRDefault="009D2443" w:rsidP="0019790A">
            <w:pPr>
              <w:jc w:val="both"/>
              <w:rPr>
                <w:rFonts w:cs="Arial"/>
                <w:color w:val="000000"/>
                <w:szCs w:val="22"/>
                <w:lang w:eastAsia="it-IT"/>
              </w:rPr>
            </w:pPr>
          </w:p>
        </w:tc>
      </w:tr>
      <w:tr w:rsidR="009D2443" w:rsidRPr="0019790A" w14:paraId="4F2F47B5" w14:textId="13093127" w:rsidTr="009D2443">
        <w:trPr>
          <w:trHeight w:val="275"/>
          <w:jc w:val="right"/>
        </w:trPr>
        <w:tc>
          <w:tcPr>
            <w:tcW w:w="3425" w:type="dxa"/>
            <w:shd w:val="clear" w:color="auto" w:fill="FFFFFF"/>
            <w:vAlign w:val="center"/>
          </w:tcPr>
          <w:p w14:paraId="5D4E6558" w14:textId="77777777" w:rsidR="009D2443" w:rsidRPr="0019790A" w:rsidRDefault="009D2443" w:rsidP="009D2443">
            <w:pPr>
              <w:rPr>
                <w:rFonts w:cs="Arial"/>
                <w:color w:val="000000"/>
                <w:szCs w:val="22"/>
              </w:rPr>
            </w:pPr>
            <w:r w:rsidRPr="0019790A">
              <w:rPr>
                <w:rFonts w:cs="Arial"/>
                <w:color w:val="000000"/>
                <w:szCs w:val="22"/>
              </w:rPr>
              <w:t>- бюджет Жмеринської МТГ</w:t>
            </w:r>
          </w:p>
        </w:tc>
        <w:tc>
          <w:tcPr>
            <w:tcW w:w="1227" w:type="dxa"/>
            <w:vAlign w:val="center"/>
          </w:tcPr>
          <w:p w14:paraId="2392BB7C" w14:textId="4C997AD8" w:rsidR="009D2443" w:rsidRPr="0019790A" w:rsidRDefault="009D2443" w:rsidP="009D2443">
            <w:pPr>
              <w:jc w:val="center"/>
              <w:rPr>
                <w:rFonts w:cs="Arial"/>
                <w:color w:val="000000"/>
                <w:szCs w:val="22"/>
                <w:lang w:eastAsia="it-IT"/>
              </w:rPr>
            </w:pPr>
            <w:r w:rsidRPr="0019790A">
              <w:rPr>
                <w:rFonts w:cs="Arial"/>
                <w:b/>
                <w:color w:val="000000"/>
                <w:szCs w:val="22"/>
                <w:lang w:eastAsia="it-IT"/>
              </w:rPr>
              <w:t>40,0</w:t>
            </w:r>
          </w:p>
        </w:tc>
        <w:tc>
          <w:tcPr>
            <w:tcW w:w="1290" w:type="dxa"/>
            <w:gridSpan w:val="2"/>
            <w:vAlign w:val="center"/>
          </w:tcPr>
          <w:p w14:paraId="46F01B35" w14:textId="370A9F4A" w:rsidR="009D2443" w:rsidRPr="0019790A" w:rsidRDefault="009D2443" w:rsidP="009D2443">
            <w:pPr>
              <w:jc w:val="center"/>
              <w:rPr>
                <w:rFonts w:cs="Arial"/>
                <w:color w:val="000000"/>
                <w:szCs w:val="22"/>
                <w:lang w:eastAsia="it-IT"/>
              </w:rPr>
            </w:pPr>
            <w:r w:rsidRPr="0019790A">
              <w:rPr>
                <w:rFonts w:cs="Arial"/>
                <w:b/>
                <w:color w:val="000000"/>
                <w:szCs w:val="22"/>
                <w:lang w:eastAsia="it-IT"/>
              </w:rPr>
              <w:t>260,0</w:t>
            </w:r>
          </w:p>
        </w:tc>
        <w:tc>
          <w:tcPr>
            <w:tcW w:w="1465" w:type="dxa"/>
            <w:gridSpan w:val="3"/>
            <w:vAlign w:val="center"/>
          </w:tcPr>
          <w:p w14:paraId="0C7E8D31" w14:textId="2D8DA629" w:rsidR="009D2443" w:rsidRPr="0019790A" w:rsidRDefault="009D2443" w:rsidP="009D2443">
            <w:pPr>
              <w:jc w:val="center"/>
              <w:rPr>
                <w:rFonts w:cs="Arial"/>
                <w:color w:val="000000"/>
                <w:szCs w:val="22"/>
                <w:lang w:eastAsia="it-IT"/>
              </w:rPr>
            </w:pPr>
            <w:r w:rsidRPr="0019790A">
              <w:rPr>
                <w:rFonts w:cs="Arial"/>
                <w:b/>
                <w:color w:val="000000"/>
                <w:szCs w:val="22"/>
                <w:lang w:eastAsia="it-IT"/>
              </w:rPr>
              <w:t>40000,0</w:t>
            </w:r>
          </w:p>
        </w:tc>
        <w:tc>
          <w:tcPr>
            <w:tcW w:w="1277" w:type="dxa"/>
            <w:gridSpan w:val="2"/>
            <w:vAlign w:val="center"/>
          </w:tcPr>
          <w:p w14:paraId="1A723269" w14:textId="2E2C494A" w:rsidR="009D2443" w:rsidRPr="0019790A" w:rsidRDefault="009D2443" w:rsidP="009D2443">
            <w:pPr>
              <w:jc w:val="center"/>
              <w:rPr>
                <w:rFonts w:cs="Arial"/>
                <w:color w:val="000000"/>
                <w:szCs w:val="22"/>
                <w:lang w:eastAsia="it-IT"/>
              </w:rPr>
            </w:pPr>
            <w:r w:rsidRPr="0019790A">
              <w:rPr>
                <w:rFonts w:cs="Arial"/>
                <w:b/>
                <w:color w:val="000000"/>
                <w:szCs w:val="22"/>
                <w:lang w:eastAsia="it-IT"/>
              </w:rPr>
              <w:t>1000,0</w:t>
            </w:r>
          </w:p>
        </w:tc>
        <w:tc>
          <w:tcPr>
            <w:tcW w:w="1535" w:type="dxa"/>
            <w:vAlign w:val="center"/>
          </w:tcPr>
          <w:p w14:paraId="62AF6022" w14:textId="74045FEA" w:rsidR="009D2443" w:rsidRPr="0019790A" w:rsidRDefault="009D2443" w:rsidP="009D2443">
            <w:pPr>
              <w:jc w:val="center"/>
              <w:rPr>
                <w:rFonts w:cs="Arial"/>
                <w:color w:val="000000"/>
                <w:szCs w:val="22"/>
                <w:lang w:eastAsia="it-IT"/>
              </w:rPr>
            </w:pPr>
            <w:r w:rsidRPr="0019790A">
              <w:rPr>
                <w:rFonts w:cs="Arial"/>
                <w:b/>
                <w:color w:val="000000"/>
                <w:szCs w:val="22"/>
                <w:lang w:eastAsia="it-IT"/>
              </w:rPr>
              <w:t>41300,0</w:t>
            </w:r>
          </w:p>
        </w:tc>
      </w:tr>
      <w:tr w:rsidR="009D2443" w:rsidRPr="0019790A" w14:paraId="194FAD04" w14:textId="77777777" w:rsidTr="00B8248C">
        <w:trPr>
          <w:trHeight w:val="226"/>
          <w:jc w:val="right"/>
        </w:trPr>
        <w:tc>
          <w:tcPr>
            <w:tcW w:w="3425" w:type="dxa"/>
            <w:shd w:val="clear" w:color="auto" w:fill="FFFFFF"/>
            <w:vAlign w:val="center"/>
          </w:tcPr>
          <w:p w14:paraId="63DEC56A" w14:textId="77777777" w:rsidR="009D2443" w:rsidRPr="0019790A" w:rsidRDefault="009D2443" w:rsidP="009D2443">
            <w:pPr>
              <w:rPr>
                <w:rFonts w:cs="Arial"/>
                <w:color w:val="000000"/>
                <w:szCs w:val="22"/>
              </w:rPr>
            </w:pPr>
            <w:r w:rsidRPr="0019790A">
              <w:rPr>
                <w:rFonts w:cs="Arial"/>
                <w:color w:val="000000"/>
                <w:szCs w:val="22"/>
              </w:rPr>
              <w:t>- інші джерела фінансування</w:t>
            </w:r>
          </w:p>
        </w:tc>
        <w:tc>
          <w:tcPr>
            <w:tcW w:w="6794" w:type="dxa"/>
            <w:gridSpan w:val="9"/>
            <w:vAlign w:val="center"/>
          </w:tcPr>
          <w:p w14:paraId="74486B77" w14:textId="77777777" w:rsidR="009D2443" w:rsidRPr="0019790A" w:rsidRDefault="009D2443" w:rsidP="009D2443">
            <w:pPr>
              <w:jc w:val="both"/>
              <w:rPr>
                <w:rFonts w:cs="Arial"/>
                <w:color w:val="000000"/>
                <w:szCs w:val="22"/>
                <w:lang w:eastAsia="it-IT"/>
              </w:rPr>
            </w:pPr>
          </w:p>
        </w:tc>
      </w:tr>
      <w:tr w:rsidR="009D2443" w:rsidRPr="0019790A" w14:paraId="3EAC75B2" w14:textId="77777777" w:rsidTr="00B8248C">
        <w:trPr>
          <w:jc w:val="right"/>
        </w:trPr>
        <w:tc>
          <w:tcPr>
            <w:tcW w:w="3425" w:type="dxa"/>
            <w:shd w:val="clear" w:color="auto" w:fill="FFFFFF"/>
            <w:vAlign w:val="center"/>
          </w:tcPr>
          <w:p w14:paraId="20AD44CD" w14:textId="77777777" w:rsidR="009D2443" w:rsidRPr="0019790A" w:rsidRDefault="009D2443" w:rsidP="009D2443">
            <w:pPr>
              <w:rPr>
                <w:rFonts w:cs="Arial"/>
                <w:b/>
                <w:bCs/>
                <w:color w:val="000000"/>
                <w:szCs w:val="22"/>
              </w:rPr>
            </w:pPr>
            <w:r w:rsidRPr="0019790A">
              <w:rPr>
                <w:rFonts w:cs="Arial"/>
                <w:b/>
                <w:color w:val="000000"/>
                <w:szCs w:val="22"/>
              </w:rPr>
              <w:t>Відповідальний виконавець проєкту:</w:t>
            </w:r>
          </w:p>
        </w:tc>
        <w:tc>
          <w:tcPr>
            <w:tcW w:w="6794" w:type="dxa"/>
            <w:gridSpan w:val="9"/>
            <w:vAlign w:val="center"/>
          </w:tcPr>
          <w:p w14:paraId="323537DA" w14:textId="77777777" w:rsidR="009D2443" w:rsidRPr="0019790A" w:rsidRDefault="009D2443" w:rsidP="009D2443">
            <w:pPr>
              <w:jc w:val="both"/>
              <w:rPr>
                <w:rFonts w:cs="Arial"/>
                <w:color w:val="000000"/>
                <w:szCs w:val="22"/>
                <w:lang w:eastAsia="it-IT"/>
              </w:rPr>
            </w:pPr>
            <w:r w:rsidRPr="0019790A">
              <w:rPr>
                <w:rFonts w:cs="Arial"/>
                <w:color w:val="000000"/>
                <w:szCs w:val="22"/>
                <w:lang w:eastAsia="it-IT"/>
              </w:rPr>
              <w:t xml:space="preserve">Управління культури і туризму. КЗ «Центр культури і дозвілля» Жмеринської міської ТГ. </w:t>
            </w:r>
          </w:p>
        </w:tc>
      </w:tr>
      <w:tr w:rsidR="009D2443" w:rsidRPr="0019790A" w14:paraId="7D9B3BFE" w14:textId="77777777" w:rsidTr="00B8248C">
        <w:trPr>
          <w:jc w:val="right"/>
        </w:trPr>
        <w:tc>
          <w:tcPr>
            <w:tcW w:w="3425" w:type="dxa"/>
            <w:shd w:val="clear" w:color="auto" w:fill="FFFFFF"/>
            <w:vAlign w:val="center"/>
          </w:tcPr>
          <w:p w14:paraId="792BFCC9" w14:textId="77777777" w:rsidR="009D2443" w:rsidRPr="0019790A" w:rsidRDefault="009D2443" w:rsidP="009D2443">
            <w:pPr>
              <w:rPr>
                <w:rFonts w:cs="Arial"/>
                <w:b/>
                <w:bCs/>
                <w:color w:val="000000"/>
                <w:szCs w:val="22"/>
              </w:rPr>
            </w:pPr>
            <w:r w:rsidRPr="0019790A">
              <w:rPr>
                <w:rFonts w:cs="Arial"/>
                <w:b/>
                <w:bCs/>
                <w:color w:val="000000"/>
                <w:szCs w:val="22"/>
              </w:rPr>
              <w:t>Інше:</w:t>
            </w:r>
          </w:p>
        </w:tc>
        <w:tc>
          <w:tcPr>
            <w:tcW w:w="6794" w:type="dxa"/>
            <w:gridSpan w:val="9"/>
            <w:vAlign w:val="center"/>
          </w:tcPr>
          <w:p w14:paraId="7FDA87DE" w14:textId="5EA26991" w:rsidR="009D2443" w:rsidRPr="0019790A" w:rsidRDefault="009D2443" w:rsidP="009D2443">
            <w:pPr>
              <w:jc w:val="both"/>
              <w:rPr>
                <w:rFonts w:cs="Arial"/>
                <w:color w:val="000000"/>
                <w:szCs w:val="22"/>
                <w:lang w:eastAsia="it-IT"/>
              </w:rPr>
            </w:pPr>
            <w:r w:rsidRPr="0019790A">
              <w:rPr>
                <w:rFonts w:cs="Arial"/>
                <w:color w:val="000000"/>
                <w:szCs w:val="22"/>
                <w:lang w:eastAsia="it-IT"/>
              </w:rPr>
              <w:t>Проєкт дозволить розширити спектр послуг та зробити культуру доступнішою для всіх категорій населення, зокрема для сільських мешканців</w:t>
            </w:r>
          </w:p>
        </w:tc>
      </w:tr>
    </w:tbl>
    <w:p w14:paraId="4759724A" w14:textId="77777777" w:rsidR="00B8248C" w:rsidRPr="0019790A" w:rsidRDefault="00B8248C" w:rsidP="0019790A">
      <w:pPr>
        <w:rPr>
          <w:rFonts w:cs="Arial"/>
          <w:szCs w:val="22"/>
        </w:rPr>
      </w:pPr>
    </w:p>
    <w:p w14:paraId="27D0D99B" w14:textId="77777777" w:rsidR="00B8248C" w:rsidRPr="0019790A" w:rsidRDefault="00B8248C" w:rsidP="0019790A">
      <w:pPr>
        <w:jc w:val="center"/>
        <w:rPr>
          <w:rFonts w:cs="Arial"/>
          <w:b/>
          <w:color w:val="000000"/>
          <w:szCs w:val="22"/>
        </w:rPr>
      </w:pPr>
      <w:r w:rsidRPr="0019790A">
        <w:rPr>
          <w:rFonts w:cs="Arial"/>
          <w:b/>
          <w:color w:val="000000"/>
          <w:szCs w:val="22"/>
        </w:rPr>
        <w:t xml:space="preserve">Форма технічного завдання на проєкт місцевого розвитку </w:t>
      </w:r>
    </w:p>
    <w:p w14:paraId="1238C748" w14:textId="77777777" w:rsidR="00B8248C" w:rsidRPr="0019790A" w:rsidRDefault="00B8248C" w:rsidP="0019790A">
      <w:pPr>
        <w:jc w:val="center"/>
        <w:rPr>
          <w:rFonts w:cs="Arial"/>
          <w:b/>
          <w:color w:val="000000"/>
          <w:szCs w:val="22"/>
        </w:rPr>
      </w:pPr>
      <w:r w:rsidRPr="0019790A">
        <w:rPr>
          <w:rFonts w:cs="Arial"/>
          <w:b/>
          <w:color w:val="000000"/>
          <w:szCs w:val="22"/>
        </w:rPr>
        <w:t>до Плану заходів з реалізації Стратегії</w:t>
      </w:r>
    </w:p>
    <w:p w14:paraId="2741E2EF" w14:textId="77777777" w:rsidR="00B8248C" w:rsidRPr="0019790A" w:rsidRDefault="00B8248C"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40"/>
        <w:gridCol w:w="14"/>
        <w:gridCol w:w="1263"/>
        <w:gridCol w:w="12"/>
        <w:gridCol w:w="1418"/>
        <w:gridCol w:w="35"/>
        <w:gridCol w:w="1241"/>
        <w:gridCol w:w="74"/>
        <w:gridCol w:w="1497"/>
      </w:tblGrid>
      <w:tr w:rsidR="00B8248C" w:rsidRPr="0019790A" w14:paraId="7A5CADEF" w14:textId="77777777" w:rsidTr="009D2443">
        <w:trPr>
          <w:jc w:val="right"/>
        </w:trPr>
        <w:tc>
          <w:tcPr>
            <w:tcW w:w="3425" w:type="dxa"/>
            <w:vAlign w:val="center"/>
          </w:tcPr>
          <w:p w14:paraId="25ABB322" w14:textId="77777777" w:rsidR="00B8248C" w:rsidRPr="0019790A" w:rsidRDefault="00B8248C" w:rsidP="0019790A">
            <w:pPr>
              <w:rPr>
                <w:rFonts w:cs="Arial"/>
                <w:b/>
                <w:bCs/>
                <w:color w:val="000000"/>
                <w:szCs w:val="22"/>
              </w:rPr>
            </w:pPr>
            <w:r w:rsidRPr="0019790A">
              <w:rPr>
                <w:rFonts w:cs="Arial"/>
                <w:b/>
                <w:bCs/>
                <w:color w:val="000000"/>
                <w:szCs w:val="22"/>
              </w:rPr>
              <w:t>Назва проєкту:</w:t>
            </w:r>
          </w:p>
        </w:tc>
        <w:tc>
          <w:tcPr>
            <w:tcW w:w="6794" w:type="dxa"/>
            <w:gridSpan w:val="9"/>
            <w:vAlign w:val="center"/>
          </w:tcPr>
          <w:p w14:paraId="4703DDB1" w14:textId="77777777" w:rsidR="00B8248C" w:rsidRPr="0019790A" w:rsidRDefault="00B8248C" w:rsidP="009D2443">
            <w:pPr>
              <w:jc w:val="both"/>
              <w:rPr>
                <w:rFonts w:cs="Arial"/>
                <w:b/>
                <w:szCs w:val="22"/>
                <w:lang w:eastAsia="it-IT"/>
              </w:rPr>
            </w:pPr>
            <w:r w:rsidRPr="0019790A">
              <w:rPr>
                <w:rFonts w:cs="Arial"/>
                <w:b/>
                <w:szCs w:val="22"/>
                <w:lang w:eastAsia="it-IT"/>
              </w:rPr>
              <w:t>«Модернізація Жмеринського міського історичного музею: спадщина у новому форматі»</w:t>
            </w:r>
          </w:p>
        </w:tc>
      </w:tr>
      <w:tr w:rsidR="00B8248C" w:rsidRPr="0019790A" w14:paraId="694A8C7C" w14:textId="77777777" w:rsidTr="009D2443">
        <w:trPr>
          <w:jc w:val="right"/>
        </w:trPr>
        <w:tc>
          <w:tcPr>
            <w:tcW w:w="3425" w:type="dxa"/>
          </w:tcPr>
          <w:p w14:paraId="50899379" w14:textId="77777777" w:rsidR="00B8248C" w:rsidRPr="0019790A" w:rsidRDefault="00B8248C"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48EB674B" w14:textId="77777777" w:rsidR="00B8248C" w:rsidRPr="0019790A" w:rsidRDefault="00B8248C"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9"/>
            <w:vAlign w:val="center"/>
          </w:tcPr>
          <w:p w14:paraId="09E67606" w14:textId="77777777" w:rsidR="00B8248C" w:rsidRPr="009D2443" w:rsidRDefault="00B8248C" w:rsidP="009D2443">
            <w:pPr>
              <w:jc w:val="both"/>
              <w:rPr>
                <w:rFonts w:cs="Arial"/>
                <w:szCs w:val="22"/>
                <w:lang w:eastAsia="it-IT"/>
              </w:rPr>
            </w:pPr>
            <w:r w:rsidRPr="009D2443">
              <w:rPr>
                <w:rFonts w:cs="Arial"/>
                <w:szCs w:val="22"/>
                <w:lang w:eastAsia="it-IT"/>
              </w:rPr>
              <w:t>Управління культури і туризму Жмеринської міської ради</w:t>
            </w:r>
          </w:p>
        </w:tc>
      </w:tr>
      <w:tr w:rsidR="00B8248C" w:rsidRPr="0019790A" w14:paraId="2673EA54" w14:textId="77777777" w:rsidTr="009D2443">
        <w:trPr>
          <w:jc w:val="right"/>
        </w:trPr>
        <w:tc>
          <w:tcPr>
            <w:tcW w:w="3425" w:type="dxa"/>
          </w:tcPr>
          <w:p w14:paraId="6BFC55C0" w14:textId="77777777" w:rsidR="00B8248C" w:rsidRPr="0019790A" w:rsidRDefault="00B8248C" w:rsidP="0019790A">
            <w:pPr>
              <w:rPr>
                <w:rFonts w:cs="Arial"/>
                <w:b/>
                <w:bCs/>
                <w:szCs w:val="22"/>
              </w:rPr>
            </w:pPr>
            <w:r w:rsidRPr="0019790A">
              <w:rPr>
                <w:rFonts w:cs="Arial"/>
                <w:szCs w:val="22"/>
                <w:lang w:eastAsia="it-IT"/>
              </w:rPr>
              <w:t>Прізвище Ім’я По-батькові:</w:t>
            </w:r>
          </w:p>
        </w:tc>
        <w:tc>
          <w:tcPr>
            <w:tcW w:w="6794" w:type="dxa"/>
            <w:gridSpan w:val="9"/>
            <w:vAlign w:val="center"/>
          </w:tcPr>
          <w:p w14:paraId="4A728562" w14:textId="77777777" w:rsidR="00B8248C" w:rsidRPr="009D2443" w:rsidRDefault="00B8248C" w:rsidP="009D2443">
            <w:pPr>
              <w:jc w:val="both"/>
              <w:rPr>
                <w:rFonts w:cs="Arial"/>
                <w:szCs w:val="22"/>
                <w:lang w:eastAsia="it-IT"/>
              </w:rPr>
            </w:pPr>
            <w:r w:rsidRPr="009D2443">
              <w:rPr>
                <w:rFonts w:cs="Arial"/>
                <w:szCs w:val="22"/>
                <w:lang w:eastAsia="it-IT"/>
              </w:rPr>
              <w:t>Дудік Володимир Валентинович</w:t>
            </w:r>
          </w:p>
        </w:tc>
      </w:tr>
      <w:tr w:rsidR="00B8248C" w:rsidRPr="0019790A" w14:paraId="2B6E32CC" w14:textId="77777777" w:rsidTr="009D2443">
        <w:trPr>
          <w:jc w:val="right"/>
        </w:trPr>
        <w:tc>
          <w:tcPr>
            <w:tcW w:w="3425" w:type="dxa"/>
          </w:tcPr>
          <w:p w14:paraId="47F1574E" w14:textId="77777777" w:rsidR="00B8248C" w:rsidRPr="0019790A" w:rsidRDefault="00B8248C" w:rsidP="0019790A">
            <w:pPr>
              <w:rPr>
                <w:rFonts w:cs="Arial"/>
                <w:b/>
                <w:bCs/>
                <w:szCs w:val="22"/>
              </w:rPr>
            </w:pPr>
            <w:r w:rsidRPr="0019790A">
              <w:rPr>
                <w:rFonts w:cs="Arial"/>
                <w:szCs w:val="22"/>
                <w:lang w:eastAsia="it-IT"/>
              </w:rPr>
              <w:t>Телефон (мобільний):</w:t>
            </w:r>
          </w:p>
        </w:tc>
        <w:tc>
          <w:tcPr>
            <w:tcW w:w="6794" w:type="dxa"/>
            <w:gridSpan w:val="9"/>
            <w:vAlign w:val="center"/>
          </w:tcPr>
          <w:p w14:paraId="10AF2D6C" w14:textId="77777777" w:rsidR="00B8248C" w:rsidRPr="009D2443" w:rsidRDefault="00B8248C" w:rsidP="009D2443">
            <w:pPr>
              <w:jc w:val="both"/>
              <w:rPr>
                <w:rFonts w:cs="Arial"/>
                <w:szCs w:val="22"/>
                <w:lang w:eastAsia="it-IT"/>
              </w:rPr>
            </w:pPr>
            <w:r w:rsidRPr="009D2443">
              <w:rPr>
                <w:rFonts w:cs="Arial"/>
                <w:szCs w:val="22"/>
                <w:lang w:eastAsia="it-IT"/>
              </w:rPr>
              <w:t>0674303746</w:t>
            </w:r>
          </w:p>
        </w:tc>
      </w:tr>
      <w:tr w:rsidR="00B8248C" w:rsidRPr="0019790A" w14:paraId="04834E08" w14:textId="77777777" w:rsidTr="009D2443">
        <w:trPr>
          <w:jc w:val="right"/>
        </w:trPr>
        <w:tc>
          <w:tcPr>
            <w:tcW w:w="3425" w:type="dxa"/>
          </w:tcPr>
          <w:p w14:paraId="3D9F762E" w14:textId="77777777" w:rsidR="00B8248C" w:rsidRPr="0019790A" w:rsidRDefault="00B8248C" w:rsidP="0019790A">
            <w:pPr>
              <w:rPr>
                <w:rFonts w:cs="Arial"/>
                <w:b/>
                <w:bCs/>
                <w:szCs w:val="22"/>
              </w:rPr>
            </w:pPr>
            <w:r w:rsidRPr="0019790A">
              <w:rPr>
                <w:rFonts w:cs="Arial"/>
                <w:szCs w:val="22"/>
                <w:lang w:eastAsia="it-IT"/>
              </w:rPr>
              <w:t>Електронна адреса:</w:t>
            </w:r>
          </w:p>
        </w:tc>
        <w:tc>
          <w:tcPr>
            <w:tcW w:w="6794" w:type="dxa"/>
            <w:gridSpan w:val="9"/>
            <w:vAlign w:val="center"/>
          </w:tcPr>
          <w:p w14:paraId="298593C9" w14:textId="66BD3CA3" w:rsidR="00B8248C" w:rsidRPr="009D2443" w:rsidRDefault="00D85FFD" w:rsidP="009D2443">
            <w:pPr>
              <w:jc w:val="both"/>
              <w:rPr>
                <w:rFonts w:cs="Arial"/>
                <w:szCs w:val="22"/>
                <w:lang w:eastAsia="it-IT"/>
              </w:rPr>
            </w:pPr>
            <w:hyperlink r:id="rId132" w:history="1">
              <w:r w:rsidR="009D2443" w:rsidRPr="00BF0394">
                <w:rPr>
                  <w:rStyle w:val="af0"/>
                  <w:rFonts w:cs="Arial"/>
                  <w:noProof w:val="0"/>
                  <w:sz w:val="22"/>
                  <w:szCs w:val="22"/>
                  <w:lang w:eastAsia="it-IT"/>
                </w:rPr>
                <w:t>kult@zhmr.gov.ua</w:t>
              </w:r>
            </w:hyperlink>
            <w:r w:rsidR="009D2443">
              <w:rPr>
                <w:rFonts w:cs="Arial"/>
                <w:szCs w:val="22"/>
                <w:lang w:eastAsia="it-IT"/>
              </w:rPr>
              <w:t xml:space="preserve"> </w:t>
            </w:r>
          </w:p>
        </w:tc>
      </w:tr>
      <w:tr w:rsidR="00B8248C" w:rsidRPr="0019790A" w14:paraId="51036AA3" w14:textId="77777777" w:rsidTr="009D2443">
        <w:trPr>
          <w:jc w:val="right"/>
        </w:trPr>
        <w:tc>
          <w:tcPr>
            <w:tcW w:w="3425" w:type="dxa"/>
            <w:vAlign w:val="center"/>
          </w:tcPr>
          <w:p w14:paraId="3C552B60" w14:textId="77777777" w:rsidR="00B8248C" w:rsidRPr="0019790A" w:rsidRDefault="00B8248C" w:rsidP="0019790A">
            <w:pPr>
              <w:outlineLvl w:val="5"/>
              <w:rPr>
                <w:rFonts w:cs="Arial"/>
                <w:b/>
                <w:bCs/>
                <w:color w:val="000000"/>
                <w:szCs w:val="22"/>
              </w:rPr>
            </w:pPr>
            <w:r w:rsidRPr="0019790A">
              <w:rPr>
                <w:rFonts w:cs="Arial"/>
                <w:b/>
                <w:bCs/>
                <w:color w:val="000000"/>
                <w:szCs w:val="22"/>
              </w:rPr>
              <w:t>Номер і назва завдання з Стратегії</w:t>
            </w:r>
            <w:r w:rsidRPr="0019790A">
              <w:rPr>
                <w:rFonts w:cs="Arial"/>
                <w:b/>
                <w:bCs/>
                <w:szCs w:val="22"/>
                <w:lang w:eastAsia="it-IT"/>
              </w:rPr>
              <w:t xml:space="preserve"> </w:t>
            </w:r>
            <w:r w:rsidRPr="0019790A">
              <w:rPr>
                <w:rFonts w:cs="Arial"/>
                <w:b/>
                <w:bCs/>
                <w:color w:val="000000"/>
                <w:szCs w:val="22"/>
              </w:rPr>
              <w:t>розвитку Жмеринської міської територіальної громади,  якому відповідає проєкт:</w:t>
            </w:r>
          </w:p>
        </w:tc>
        <w:tc>
          <w:tcPr>
            <w:tcW w:w="6794" w:type="dxa"/>
            <w:gridSpan w:val="9"/>
            <w:vAlign w:val="center"/>
          </w:tcPr>
          <w:p w14:paraId="2A6DCAA2" w14:textId="77777777" w:rsidR="00B8248C" w:rsidRPr="009D2443" w:rsidRDefault="00B8248C" w:rsidP="009D2443">
            <w:pPr>
              <w:pBdr>
                <w:left w:val="single" w:sz="18" w:space="4" w:color="auto"/>
              </w:pBdr>
              <w:jc w:val="both"/>
              <w:rPr>
                <w:rFonts w:cs="Arial"/>
                <w:szCs w:val="22"/>
                <w:lang w:eastAsia="it-IT"/>
              </w:rPr>
            </w:pPr>
            <w:r w:rsidRPr="009D2443">
              <w:rPr>
                <w:rFonts w:cs="Arial"/>
                <w:szCs w:val="22"/>
                <w:lang w:eastAsia="it-IT"/>
              </w:rPr>
              <w:t>С.3.1. Впровадження сучасної моделі культурно-мистецького обслуговування населення громади. Збереження та розвиток мережі музейних закладів.</w:t>
            </w:r>
          </w:p>
        </w:tc>
      </w:tr>
      <w:tr w:rsidR="00B8248C" w:rsidRPr="0019790A" w14:paraId="0A8B7FF9" w14:textId="77777777" w:rsidTr="009D2443">
        <w:trPr>
          <w:jc w:val="right"/>
        </w:trPr>
        <w:tc>
          <w:tcPr>
            <w:tcW w:w="3425" w:type="dxa"/>
            <w:vAlign w:val="center"/>
          </w:tcPr>
          <w:p w14:paraId="0B1EDB7D" w14:textId="77777777" w:rsidR="00B8248C" w:rsidRPr="0019790A" w:rsidRDefault="00B8248C" w:rsidP="0019790A">
            <w:pPr>
              <w:rPr>
                <w:rFonts w:cs="Arial"/>
                <w:b/>
                <w:bCs/>
                <w:color w:val="000000"/>
                <w:szCs w:val="22"/>
              </w:rPr>
            </w:pPr>
            <w:r w:rsidRPr="0019790A">
              <w:rPr>
                <w:rFonts w:cs="Arial"/>
                <w:b/>
                <w:bCs/>
                <w:color w:val="000000"/>
                <w:szCs w:val="22"/>
              </w:rPr>
              <w:t>Мета проєкту:</w:t>
            </w:r>
          </w:p>
        </w:tc>
        <w:tc>
          <w:tcPr>
            <w:tcW w:w="6794" w:type="dxa"/>
            <w:gridSpan w:val="9"/>
            <w:vAlign w:val="center"/>
          </w:tcPr>
          <w:p w14:paraId="39D70FF2" w14:textId="77777777" w:rsidR="00B8248C" w:rsidRPr="0019790A" w:rsidRDefault="00B8248C" w:rsidP="009D2443">
            <w:pPr>
              <w:jc w:val="both"/>
              <w:rPr>
                <w:rFonts w:cs="Arial"/>
                <w:szCs w:val="22"/>
                <w:lang w:eastAsia="it-IT"/>
              </w:rPr>
            </w:pPr>
            <w:r w:rsidRPr="0019790A">
              <w:rPr>
                <w:rFonts w:cs="Arial"/>
                <w:szCs w:val="22"/>
                <w:lang w:eastAsia="it-IT"/>
              </w:rPr>
              <w:t>Покращити інфраструктуру та матеріально-технічну базу музеїв Жмеринської громади з метою збереження історико-культурної спадщини, підвищення туристичної привабливості та залучення молоді до краєзнавства.</w:t>
            </w:r>
          </w:p>
        </w:tc>
      </w:tr>
      <w:tr w:rsidR="00B8248C" w:rsidRPr="0019790A" w14:paraId="64D74D76" w14:textId="77777777" w:rsidTr="009D2443">
        <w:trPr>
          <w:jc w:val="right"/>
        </w:trPr>
        <w:tc>
          <w:tcPr>
            <w:tcW w:w="3425" w:type="dxa"/>
            <w:vAlign w:val="center"/>
          </w:tcPr>
          <w:p w14:paraId="24B92AC2" w14:textId="77777777" w:rsidR="00B8248C" w:rsidRPr="0019790A" w:rsidRDefault="00B8248C" w:rsidP="0019790A">
            <w:pPr>
              <w:rPr>
                <w:rFonts w:cs="Arial"/>
                <w:b/>
                <w:bCs/>
                <w:color w:val="000000"/>
                <w:szCs w:val="22"/>
              </w:rPr>
            </w:pPr>
            <w:r w:rsidRPr="0019790A">
              <w:rPr>
                <w:rFonts w:cs="Arial"/>
                <w:b/>
                <w:bCs/>
                <w:color w:val="000000"/>
                <w:szCs w:val="22"/>
              </w:rPr>
              <w:t>Цілі проєкту:</w:t>
            </w:r>
          </w:p>
        </w:tc>
        <w:tc>
          <w:tcPr>
            <w:tcW w:w="6794" w:type="dxa"/>
            <w:gridSpan w:val="9"/>
            <w:vAlign w:val="center"/>
          </w:tcPr>
          <w:p w14:paraId="6EAA09E6" w14:textId="77777777" w:rsidR="00B8248C" w:rsidRPr="0019790A" w:rsidRDefault="00B8248C" w:rsidP="009D2443">
            <w:pPr>
              <w:jc w:val="both"/>
              <w:rPr>
                <w:rFonts w:cs="Arial"/>
                <w:szCs w:val="22"/>
                <w:lang w:eastAsia="it-IT"/>
              </w:rPr>
            </w:pPr>
            <w:r w:rsidRPr="0019790A">
              <w:rPr>
                <w:rFonts w:cs="Arial"/>
                <w:szCs w:val="22"/>
                <w:lang w:eastAsia="it-IT"/>
              </w:rPr>
              <w:t>  Провести капітальні ремонтні роботи всередині приміщень та на фасаді музейної установи</w:t>
            </w:r>
          </w:p>
          <w:p w14:paraId="0C4AA9F4" w14:textId="77777777" w:rsidR="00B8248C" w:rsidRPr="0019790A" w:rsidRDefault="00B8248C" w:rsidP="009D2443">
            <w:pPr>
              <w:jc w:val="both"/>
              <w:rPr>
                <w:rFonts w:cs="Arial"/>
                <w:szCs w:val="22"/>
                <w:lang w:eastAsia="it-IT"/>
              </w:rPr>
            </w:pPr>
            <w:r w:rsidRPr="0019790A">
              <w:rPr>
                <w:rFonts w:cs="Arial"/>
                <w:szCs w:val="22"/>
                <w:lang w:eastAsia="it-IT"/>
              </w:rPr>
              <w:t>  Забезпечити сучасне технічне обладнання для презентації експозицій</w:t>
            </w:r>
          </w:p>
          <w:p w14:paraId="2766B09C" w14:textId="77777777" w:rsidR="00B8248C" w:rsidRPr="0019790A" w:rsidRDefault="00B8248C" w:rsidP="009D2443">
            <w:pPr>
              <w:jc w:val="both"/>
              <w:rPr>
                <w:rFonts w:cs="Arial"/>
                <w:szCs w:val="22"/>
                <w:lang w:eastAsia="it-IT"/>
              </w:rPr>
            </w:pPr>
            <w:r w:rsidRPr="0019790A">
              <w:rPr>
                <w:rFonts w:cs="Arial"/>
                <w:szCs w:val="22"/>
                <w:lang w:eastAsia="it-IT"/>
              </w:rPr>
              <w:t>  Встановити систему відеонагляду для збереження експонатів та безпеки відвідувачів</w:t>
            </w:r>
          </w:p>
          <w:p w14:paraId="299228A4" w14:textId="77777777" w:rsidR="00B8248C" w:rsidRPr="0019790A" w:rsidRDefault="00B8248C" w:rsidP="009D2443">
            <w:pPr>
              <w:jc w:val="both"/>
              <w:rPr>
                <w:rFonts w:cs="Arial"/>
                <w:szCs w:val="22"/>
                <w:lang w:eastAsia="it-IT"/>
              </w:rPr>
            </w:pPr>
            <w:r w:rsidRPr="0019790A">
              <w:rPr>
                <w:rFonts w:cs="Arial"/>
                <w:szCs w:val="22"/>
                <w:lang w:eastAsia="it-IT"/>
              </w:rPr>
              <w:t>  Створити комфортні умови для освітніх заходів та екскурсій</w:t>
            </w:r>
          </w:p>
          <w:p w14:paraId="672DD87E" w14:textId="77777777" w:rsidR="00B8248C" w:rsidRPr="0019790A" w:rsidRDefault="00B8248C" w:rsidP="009D2443">
            <w:pPr>
              <w:jc w:val="both"/>
              <w:rPr>
                <w:rFonts w:cs="Arial"/>
                <w:szCs w:val="22"/>
                <w:lang w:eastAsia="it-IT"/>
              </w:rPr>
            </w:pPr>
            <w:r w:rsidRPr="0019790A">
              <w:rPr>
                <w:rFonts w:cs="Arial"/>
                <w:szCs w:val="22"/>
                <w:lang w:eastAsia="it-IT"/>
              </w:rPr>
              <w:t>  Підвищити зацікавленість мешканців і гостей громади до музеїв</w:t>
            </w:r>
          </w:p>
        </w:tc>
      </w:tr>
      <w:tr w:rsidR="00B8248C" w:rsidRPr="0019790A" w14:paraId="46F2FB9F" w14:textId="77777777" w:rsidTr="009D2443">
        <w:trPr>
          <w:jc w:val="right"/>
        </w:trPr>
        <w:tc>
          <w:tcPr>
            <w:tcW w:w="3425" w:type="dxa"/>
            <w:vAlign w:val="center"/>
          </w:tcPr>
          <w:p w14:paraId="32C39317" w14:textId="77777777" w:rsidR="00B8248C" w:rsidRPr="0019790A" w:rsidRDefault="00B8248C" w:rsidP="0019790A">
            <w:pPr>
              <w:autoSpaceDE w:val="0"/>
              <w:autoSpaceDN w:val="0"/>
              <w:adjustRightInd w:val="0"/>
              <w:rPr>
                <w:rFonts w:cs="Arial"/>
                <w:b/>
                <w:color w:val="000000"/>
                <w:szCs w:val="22"/>
              </w:rPr>
            </w:pPr>
            <w:r w:rsidRPr="0019790A">
              <w:rPr>
                <w:rFonts w:cs="Arial"/>
                <w:b/>
                <w:color w:val="000000"/>
                <w:szCs w:val="22"/>
              </w:rPr>
              <w:t>Територія на яку проєкт матиме вплив:</w:t>
            </w:r>
          </w:p>
        </w:tc>
        <w:tc>
          <w:tcPr>
            <w:tcW w:w="6794" w:type="dxa"/>
            <w:gridSpan w:val="9"/>
            <w:vAlign w:val="center"/>
          </w:tcPr>
          <w:p w14:paraId="13EEB06D" w14:textId="77777777" w:rsidR="00B8248C" w:rsidRPr="0019790A" w:rsidRDefault="00B8248C" w:rsidP="009D2443">
            <w:pPr>
              <w:jc w:val="both"/>
              <w:rPr>
                <w:rFonts w:cs="Arial"/>
                <w:szCs w:val="22"/>
                <w:lang w:eastAsia="it-IT"/>
              </w:rPr>
            </w:pPr>
            <w:r w:rsidRPr="0019790A">
              <w:rPr>
                <w:rFonts w:cs="Arial"/>
                <w:szCs w:val="22"/>
                <w:lang w:eastAsia="it-IT"/>
              </w:rPr>
              <w:t>Жмеринська міська територіальна громада</w:t>
            </w:r>
          </w:p>
        </w:tc>
      </w:tr>
      <w:tr w:rsidR="00B8248C" w:rsidRPr="0019790A" w14:paraId="6AD9A08E" w14:textId="77777777" w:rsidTr="009D2443">
        <w:trPr>
          <w:jc w:val="right"/>
        </w:trPr>
        <w:tc>
          <w:tcPr>
            <w:tcW w:w="3425" w:type="dxa"/>
            <w:vAlign w:val="center"/>
          </w:tcPr>
          <w:p w14:paraId="72ABDB2D" w14:textId="77777777" w:rsidR="00B8248C" w:rsidRPr="0019790A" w:rsidRDefault="00B8248C" w:rsidP="0019790A">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4" w:type="dxa"/>
            <w:gridSpan w:val="9"/>
            <w:vAlign w:val="center"/>
          </w:tcPr>
          <w:p w14:paraId="46043413" w14:textId="77777777" w:rsidR="00B8248C" w:rsidRPr="0019790A" w:rsidRDefault="00B8248C" w:rsidP="009D2443">
            <w:pPr>
              <w:jc w:val="both"/>
              <w:rPr>
                <w:rFonts w:cs="Arial"/>
                <w:szCs w:val="22"/>
                <w:lang w:eastAsia="it-IT"/>
              </w:rPr>
            </w:pPr>
            <w:r w:rsidRPr="0019790A">
              <w:rPr>
                <w:rFonts w:cs="Arial"/>
                <w:szCs w:val="22"/>
                <w:lang w:eastAsia="it-IT"/>
              </w:rPr>
              <w:t>  Відвідувачі музеїв – понад 5000 осіб на рік</w:t>
            </w:r>
          </w:p>
          <w:p w14:paraId="2A4E97F1" w14:textId="77777777" w:rsidR="00B8248C" w:rsidRPr="0019790A" w:rsidRDefault="00B8248C" w:rsidP="009D2443">
            <w:pPr>
              <w:jc w:val="both"/>
              <w:rPr>
                <w:rFonts w:cs="Arial"/>
                <w:szCs w:val="22"/>
                <w:lang w:eastAsia="it-IT"/>
              </w:rPr>
            </w:pPr>
            <w:r w:rsidRPr="0019790A">
              <w:rPr>
                <w:rFonts w:cs="Arial"/>
                <w:szCs w:val="22"/>
                <w:lang w:eastAsia="it-IT"/>
              </w:rPr>
              <w:t>  Школярі, студенти, освітяни – понад 2000 осіб</w:t>
            </w:r>
          </w:p>
          <w:p w14:paraId="2427C6A1" w14:textId="77777777" w:rsidR="00B8248C" w:rsidRPr="0019790A" w:rsidRDefault="00B8248C" w:rsidP="009D2443">
            <w:pPr>
              <w:jc w:val="both"/>
              <w:rPr>
                <w:rFonts w:cs="Arial"/>
                <w:szCs w:val="22"/>
                <w:lang w:eastAsia="it-IT"/>
              </w:rPr>
            </w:pPr>
            <w:r w:rsidRPr="0019790A">
              <w:rPr>
                <w:rFonts w:cs="Arial"/>
                <w:szCs w:val="22"/>
                <w:lang w:eastAsia="it-IT"/>
              </w:rPr>
              <w:t>  Мешканці громади, туристи, краєзнавці</w:t>
            </w:r>
          </w:p>
          <w:p w14:paraId="24FBCC4E" w14:textId="77777777" w:rsidR="00B8248C" w:rsidRPr="0019790A" w:rsidRDefault="00B8248C" w:rsidP="009D2443">
            <w:pPr>
              <w:jc w:val="both"/>
              <w:rPr>
                <w:rFonts w:cs="Arial"/>
                <w:szCs w:val="22"/>
                <w:lang w:eastAsia="it-IT"/>
              </w:rPr>
            </w:pPr>
            <w:r w:rsidRPr="0019790A">
              <w:rPr>
                <w:rFonts w:cs="Arial"/>
                <w:szCs w:val="22"/>
                <w:lang w:eastAsia="it-IT"/>
              </w:rPr>
              <w:t>  Працівники музеїв – 7 осіб</w:t>
            </w:r>
          </w:p>
        </w:tc>
      </w:tr>
      <w:tr w:rsidR="00B8248C" w:rsidRPr="0019790A" w14:paraId="4BD64EA0" w14:textId="77777777" w:rsidTr="009D2443">
        <w:trPr>
          <w:jc w:val="right"/>
        </w:trPr>
        <w:tc>
          <w:tcPr>
            <w:tcW w:w="3425" w:type="dxa"/>
            <w:shd w:val="clear" w:color="auto" w:fill="FFFFFF"/>
            <w:vAlign w:val="center"/>
          </w:tcPr>
          <w:p w14:paraId="39F147B8" w14:textId="77777777" w:rsidR="00B8248C" w:rsidRPr="0019790A" w:rsidRDefault="00B8248C" w:rsidP="0019790A">
            <w:pPr>
              <w:rPr>
                <w:rFonts w:cs="Arial"/>
                <w:b/>
                <w:bCs/>
                <w:color w:val="000000"/>
                <w:szCs w:val="22"/>
              </w:rPr>
            </w:pPr>
            <w:r w:rsidRPr="0019790A">
              <w:rPr>
                <w:rFonts w:cs="Arial"/>
                <w:b/>
                <w:bCs/>
                <w:color w:val="000000"/>
                <w:szCs w:val="22"/>
              </w:rPr>
              <w:t>Стислий опис проєкту:</w:t>
            </w:r>
          </w:p>
        </w:tc>
        <w:tc>
          <w:tcPr>
            <w:tcW w:w="6794" w:type="dxa"/>
            <w:gridSpan w:val="9"/>
            <w:vAlign w:val="center"/>
          </w:tcPr>
          <w:p w14:paraId="7859397A" w14:textId="77777777" w:rsidR="00B8248C" w:rsidRPr="0019790A" w:rsidRDefault="00B8248C" w:rsidP="009D2443">
            <w:pPr>
              <w:tabs>
                <w:tab w:val="left" w:pos="327"/>
              </w:tabs>
              <w:jc w:val="both"/>
              <w:rPr>
                <w:rFonts w:cs="Arial"/>
                <w:szCs w:val="22"/>
                <w:lang w:eastAsia="it-IT"/>
              </w:rPr>
            </w:pPr>
            <w:r w:rsidRPr="0019790A">
              <w:rPr>
                <w:rFonts w:cs="Arial"/>
                <w:szCs w:val="22"/>
                <w:lang w:eastAsia="it-IT"/>
              </w:rPr>
              <w:t>Проєкт передбачає проведення модернізаційних заходів в</w:t>
            </w:r>
          </w:p>
          <w:p w14:paraId="11FF0325" w14:textId="77777777" w:rsidR="00B8248C" w:rsidRPr="0019790A" w:rsidRDefault="00B8248C" w:rsidP="009D2443">
            <w:pPr>
              <w:numPr>
                <w:ilvl w:val="0"/>
                <w:numId w:val="34"/>
              </w:numPr>
              <w:tabs>
                <w:tab w:val="left" w:pos="327"/>
              </w:tabs>
              <w:ind w:left="0" w:firstLine="0"/>
              <w:jc w:val="both"/>
              <w:rPr>
                <w:rFonts w:cs="Arial"/>
                <w:szCs w:val="22"/>
                <w:lang w:eastAsia="it-IT"/>
              </w:rPr>
            </w:pPr>
            <w:r w:rsidRPr="0019790A">
              <w:rPr>
                <w:rFonts w:cs="Arial"/>
                <w:szCs w:val="22"/>
                <w:lang w:eastAsia="it-IT"/>
              </w:rPr>
              <w:t>КЗ «Міський історичний музей» (м. Жмеринка): капітальний ремонт приміщень, оновлення виставкових площ, оновлення фасаду.</w:t>
            </w:r>
          </w:p>
          <w:p w14:paraId="7F2865CC" w14:textId="77777777" w:rsidR="00B8248C" w:rsidRPr="0019790A" w:rsidRDefault="00B8248C" w:rsidP="009D2443">
            <w:pPr>
              <w:tabs>
                <w:tab w:val="left" w:pos="327"/>
              </w:tabs>
              <w:jc w:val="both"/>
              <w:rPr>
                <w:rFonts w:cs="Arial"/>
                <w:szCs w:val="22"/>
                <w:lang w:eastAsia="it-IT"/>
              </w:rPr>
            </w:pPr>
            <w:r w:rsidRPr="0019790A">
              <w:rPr>
                <w:rFonts w:cs="Arial"/>
                <w:szCs w:val="22"/>
                <w:lang w:eastAsia="it-IT"/>
              </w:rPr>
              <w:t>Проєкт сприятиме осучасненню музея, підвищенню безпеки експонатів, залученню нових категорій відвідувачів.</w:t>
            </w:r>
          </w:p>
        </w:tc>
      </w:tr>
      <w:tr w:rsidR="00B8248C" w:rsidRPr="0019790A" w14:paraId="44EC1589" w14:textId="77777777" w:rsidTr="009D2443">
        <w:trPr>
          <w:jc w:val="right"/>
        </w:trPr>
        <w:tc>
          <w:tcPr>
            <w:tcW w:w="3425" w:type="dxa"/>
            <w:shd w:val="clear" w:color="auto" w:fill="FFFFFF"/>
            <w:vAlign w:val="center"/>
          </w:tcPr>
          <w:p w14:paraId="7793325A" w14:textId="77777777" w:rsidR="00B8248C" w:rsidRPr="0019790A" w:rsidRDefault="00B8248C" w:rsidP="0019790A">
            <w:pPr>
              <w:rPr>
                <w:rFonts w:cs="Arial"/>
                <w:b/>
                <w:bCs/>
                <w:color w:val="000000"/>
                <w:szCs w:val="22"/>
              </w:rPr>
            </w:pPr>
            <w:r w:rsidRPr="0019790A">
              <w:rPr>
                <w:rFonts w:cs="Arial"/>
                <w:b/>
                <w:bCs/>
                <w:color w:val="000000"/>
                <w:szCs w:val="22"/>
              </w:rPr>
              <w:t>Основні заходи проєкту:</w:t>
            </w:r>
          </w:p>
        </w:tc>
        <w:tc>
          <w:tcPr>
            <w:tcW w:w="6794" w:type="dxa"/>
            <w:gridSpan w:val="9"/>
            <w:vAlign w:val="center"/>
          </w:tcPr>
          <w:p w14:paraId="64FFABEA" w14:textId="77777777" w:rsidR="00B8248C" w:rsidRPr="0019790A" w:rsidRDefault="00B8248C" w:rsidP="009D2443">
            <w:pPr>
              <w:jc w:val="both"/>
              <w:rPr>
                <w:rFonts w:cs="Arial"/>
                <w:szCs w:val="22"/>
                <w:lang w:eastAsia="it-IT"/>
              </w:rPr>
            </w:pPr>
            <w:r w:rsidRPr="0019790A">
              <w:rPr>
                <w:rFonts w:cs="Arial"/>
                <w:szCs w:val="22"/>
                <w:lang w:eastAsia="it-IT"/>
              </w:rPr>
              <w:t>Утеплення приміщення</w:t>
            </w:r>
            <w:r w:rsidRPr="0019790A">
              <w:rPr>
                <w:rFonts w:cs="Arial"/>
                <w:szCs w:val="22"/>
                <w:lang w:eastAsia="it-IT"/>
              </w:rPr>
              <w:br/>
              <w:t>Зовнішнє упорядження</w:t>
            </w:r>
          </w:p>
          <w:p w14:paraId="3F732EB6" w14:textId="77777777" w:rsidR="00B8248C" w:rsidRPr="0019790A" w:rsidRDefault="00B8248C" w:rsidP="009D2443">
            <w:pPr>
              <w:jc w:val="both"/>
              <w:rPr>
                <w:rFonts w:cs="Arial"/>
                <w:szCs w:val="22"/>
                <w:lang w:eastAsia="it-IT"/>
              </w:rPr>
            </w:pPr>
            <w:r w:rsidRPr="0019790A">
              <w:rPr>
                <w:rFonts w:cs="Arial"/>
                <w:szCs w:val="22"/>
                <w:lang w:eastAsia="it-IT"/>
              </w:rPr>
              <w:t>Заміна вікон і дверей</w:t>
            </w:r>
          </w:p>
          <w:p w14:paraId="40D3DBE0" w14:textId="77777777" w:rsidR="00B8248C" w:rsidRPr="0019790A" w:rsidRDefault="00B8248C" w:rsidP="009D2443">
            <w:pPr>
              <w:jc w:val="both"/>
              <w:rPr>
                <w:rFonts w:cs="Arial"/>
                <w:szCs w:val="22"/>
                <w:lang w:eastAsia="it-IT"/>
              </w:rPr>
            </w:pPr>
            <w:r w:rsidRPr="0019790A">
              <w:rPr>
                <w:rFonts w:cs="Arial"/>
                <w:szCs w:val="22"/>
                <w:lang w:eastAsia="it-IT"/>
              </w:rPr>
              <w:t>Внутрішнє упорядження</w:t>
            </w:r>
          </w:p>
          <w:p w14:paraId="1AA6FF76" w14:textId="77777777" w:rsidR="00B8248C" w:rsidRPr="0019790A" w:rsidRDefault="00B8248C" w:rsidP="009D2443">
            <w:pPr>
              <w:jc w:val="both"/>
              <w:rPr>
                <w:rFonts w:cs="Arial"/>
                <w:szCs w:val="22"/>
                <w:lang w:eastAsia="it-IT"/>
              </w:rPr>
            </w:pPr>
            <w:r w:rsidRPr="0019790A">
              <w:rPr>
                <w:rFonts w:cs="Arial"/>
                <w:szCs w:val="22"/>
                <w:lang w:eastAsia="it-IT"/>
              </w:rPr>
              <w:t>Ремонт системи опалення</w:t>
            </w:r>
          </w:p>
          <w:p w14:paraId="13A3189A" w14:textId="77777777" w:rsidR="00B8248C" w:rsidRPr="0019790A" w:rsidRDefault="00B8248C" w:rsidP="009D2443">
            <w:pPr>
              <w:jc w:val="both"/>
              <w:rPr>
                <w:rFonts w:cs="Arial"/>
                <w:szCs w:val="22"/>
                <w:lang w:eastAsia="it-IT"/>
              </w:rPr>
            </w:pPr>
            <w:r w:rsidRPr="0019790A">
              <w:rPr>
                <w:rFonts w:cs="Arial"/>
                <w:szCs w:val="22"/>
                <w:lang w:eastAsia="it-IT"/>
              </w:rPr>
              <w:t>Ремонт системи водопостачання та водовідведення</w:t>
            </w:r>
          </w:p>
          <w:p w14:paraId="72F39167" w14:textId="77777777" w:rsidR="00B8248C" w:rsidRPr="0019790A" w:rsidRDefault="00B8248C" w:rsidP="009D2443">
            <w:pPr>
              <w:jc w:val="both"/>
              <w:rPr>
                <w:rFonts w:cs="Arial"/>
                <w:szCs w:val="22"/>
                <w:lang w:eastAsia="it-IT"/>
              </w:rPr>
            </w:pPr>
            <w:r w:rsidRPr="0019790A">
              <w:rPr>
                <w:rFonts w:cs="Arial"/>
                <w:szCs w:val="22"/>
                <w:lang w:eastAsia="it-IT"/>
              </w:rPr>
              <w:t>Ремонт системи електропостачання</w:t>
            </w:r>
          </w:p>
          <w:p w14:paraId="051E04DF" w14:textId="77777777" w:rsidR="00B8248C" w:rsidRPr="0019790A" w:rsidRDefault="00B8248C" w:rsidP="009D2443">
            <w:pPr>
              <w:jc w:val="both"/>
              <w:rPr>
                <w:rFonts w:cs="Arial"/>
                <w:szCs w:val="22"/>
                <w:lang w:eastAsia="it-IT"/>
              </w:rPr>
            </w:pPr>
            <w:r w:rsidRPr="0019790A">
              <w:rPr>
                <w:rFonts w:cs="Arial"/>
                <w:szCs w:val="22"/>
                <w:lang w:eastAsia="it-IT"/>
              </w:rPr>
              <w:t>Встановлення системи рекуперації повітря</w:t>
            </w:r>
          </w:p>
          <w:p w14:paraId="6BAD9A94" w14:textId="77777777" w:rsidR="00B8248C" w:rsidRPr="0019790A" w:rsidRDefault="00B8248C" w:rsidP="009D2443">
            <w:pPr>
              <w:jc w:val="both"/>
              <w:rPr>
                <w:rFonts w:cs="Arial"/>
                <w:szCs w:val="22"/>
                <w:lang w:eastAsia="it-IT"/>
              </w:rPr>
            </w:pPr>
            <w:r w:rsidRPr="0019790A">
              <w:rPr>
                <w:rFonts w:cs="Arial"/>
                <w:szCs w:val="22"/>
                <w:lang w:eastAsia="it-IT"/>
              </w:rPr>
              <w:t>Ремонт вхідних груп</w:t>
            </w:r>
          </w:p>
          <w:p w14:paraId="7E10091D" w14:textId="77777777" w:rsidR="00B8248C" w:rsidRPr="0019790A" w:rsidRDefault="00B8248C" w:rsidP="009D2443">
            <w:pPr>
              <w:jc w:val="both"/>
              <w:rPr>
                <w:rFonts w:cs="Arial"/>
                <w:szCs w:val="22"/>
                <w:lang w:eastAsia="it-IT"/>
              </w:rPr>
            </w:pPr>
            <w:r w:rsidRPr="0019790A">
              <w:rPr>
                <w:rFonts w:cs="Arial"/>
                <w:szCs w:val="22"/>
                <w:lang w:eastAsia="it-IT"/>
              </w:rPr>
              <w:t>Облаштування інклюзивних умов</w:t>
            </w:r>
          </w:p>
          <w:p w14:paraId="483A865C" w14:textId="77777777" w:rsidR="00B8248C" w:rsidRPr="0019790A" w:rsidRDefault="00B8248C" w:rsidP="009D2443">
            <w:pPr>
              <w:jc w:val="both"/>
              <w:rPr>
                <w:rFonts w:cs="Arial"/>
                <w:szCs w:val="22"/>
                <w:lang w:eastAsia="it-IT"/>
              </w:rPr>
            </w:pPr>
            <w:r w:rsidRPr="0019790A">
              <w:rPr>
                <w:rFonts w:cs="Arial"/>
                <w:szCs w:val="22"/>
                <w:lang w:eastAsia="it-IT"/>
              </w:rPr>
              <w:t>Гідроізоляція фундаменту</w:t>
            </w:r>
          </w:p>
          <w:p w14:paraId="084155C3" w14:textId="77777777" w:rsidR="00B8248C" w:rsidRPr="0019790A" w:rsidRDefault="00B8248C" w:rsidP="009D2443">
            <w:pPr>
              <w:jc w:val="both"/>
              <w:rPr>
                <w:rFonts w:cs="Arial"/>
                <w:szCs w:val="22"/>
                <w:lang w:eastAsia="it-IT"/>
              </w:rPr>
            </w:pPr>
            <w:r w:rsidRPr="0019790A">
              <w:rPr>
                <w:rFonts w:cs="Arial"/>
                <w:szCs w:val="22"/>
                <w:lang w:eastAsia="it-IT"/>
              </w:rPr>
              <w:t>Придбання обладнання: вітрини, стенди, системи освітлення</w:t>
            </w:r>
          </w:p>
          <w:p w14:paraId="4D83C140" w14:textId="77777777" w:rsidR="00B8248C" w:rsidRPr="0019790A" w:rsidRDefault="00B8248C" w:rsidP="009D2443">
            <w:pPr>
              <w:jc w:val="both"/>
              <w:rPr>
                <w:rFonts w:cs="Arial"/>
                <w:szCs w:val="22"/>
                <w:lang w:eastAsia="it-IT"/>
              </w:rPr>
            </w:pPr>
            <w:r w:rsidRPr="0019790A">
              <w:rPr>
                <w:rFonts w:cs="Arial"/>
                <w:szCs w:val="22"/>
                <w:lang w:eastAsia="it-IT"/>
              </w:rPr>
              <w:t xml:space="preserve">Встановлення відеоспостереження </w:t>
            </w:r>
          </w:p>
          <w:p w14:paraId="5299A2EB" w14:textId="77777777" w:rsidR="00B8248C" w:rsidRPr="0019790A" w:rsidRDefault="00B8248C" w:rsidP="009D2443">
            <w:pPr>
              <w:jc w:val="both"/>
              <w:rPr>
                <w:rFonts w:cs="Arial"/>
                <w:szCs w:val="22"/>
                <w:lang w:eastAsia="it-IT"/>
              </w:rPr>
            </w:pPr>
            <w:r w:rsidRPr="0019790A">
              <w:rPr>
                <w:rFonts w:cs="Arial"/>
                <w:szCs w:val="22"/>
                <w:lang w:eastAsia="it-IT"/>
              </w:rPr>
              <w:t>Покращення умов для роботи з групами: стільці, техніка</w:t>
            </w:r>
          </w:p>
          <w:p w14:paraId="6B0BF613" w14:textId="77777777" w:rsidR="00B8248C" w:rsidRPr="0019790A" w:rsidRDefault="00B8248C" w:rsidP="009D2443">
            <w:pPr>
              <w:jc w:val="both"/>
              <w:rPr>
                <w:rFonts w:cs="Arial"/>
                <w:szCs w:val="22"/>
                <w:lang w:eastAsia="it-IT"/>
              </w:rPr>
            </w:pPr>
            <w:r w:rsidRPr="0019790A">
              <w:rPr>
                <w:rFonts w:cs="Arial"/>
                <w:szCs w:val="22"/>
                <w:lang w:eastAsia="it-IT"/>
              </w:rPr>
              <w:t>Проведення інформування про оновлення через ЗМІ, соціальні мережі, друковану продукцію</w:t>
            </w:r>
          </w:p>
        </w:tc>
      </w:tr>
      <w:tr w:rsidR="00B8248C" w:rsidRPr="0019790A" w14:paraId="1C5E07F9" w14:textId="77777777" w:rsidTr="009D2443">
        <w:trPr>
          <w:jc w:val="right"/>
        </w:trPr>
        <w:tc>
          <w:tcPr>
            <w:tcW w:w="3425" w:type="dxa"/>
            <w:shd w:val="clear" w:color="auto" w:fill="FFFFFF"/>
            <w:vAlign w:val="center"/>
          </w:tcPr>
          <w:p w14:paraId="3003127F" w14:textId="77777777" w:rsidR="00B8248C" w:rsidRPr="0019790A" w:rsidRDefault="00B8248C"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794" w:type="dxa"/>
            <w:gridSpan w:val="9"/>
            <w:vAlign w:val="center"/>
          </w:tcPr>
          <w:p w14:paraId="00E950EE" w14:textId="77777777" w:rsidR="00B8248C" w:rsidRPr="0019790A" w:rsidRDefault="00B8248C" w:rsidP="009D2443">
            <w:pPr>
              <w:jc w:val="both"/>
              <w:rPr>
                <w:rFonts w:cs="Arial"/>
                <w:szCs w:val="22"/>
                <w:lang w:eastAsia="it-IT"/>
              </w:rPr>
            </w:pPr>
            <w:r w:rsidRPr="0019790A">
              <w:rPr>
                <w:rFonts w:cs="Arial"/>
                <w:szCs w:val="22"/>
                <w:lang w:eastAsia="it-IT"/>
              </w:rPr>
              <w:t>  Відремонтовано 1 музей</w:t>
            </w:r>
          </w:p>
          <w:p w14:paraId="11D2762F" w14:textId="77777777" w:rsidR="00B8248C" w:rsidRPr="0019790A" w:rsidRDefault="00B8248C" w:rsidP="009D2443">
            <w:pPr>
              <w:jc w:val="both"/>
              <w:rPr>
                <w:rFonts w:cs="Arial"/>
                <w:szCs w:val="22"/>
                <w:lang w:eastAsia="it-IT"/>
              </w:rPr>
            </w:pPr>
            <w:r w:rsidRPr="0019790A">
              <w:rPr>
                <w:rFonts w:cs="Arial"/>
                <w:szCs w:val="22"/>
                <w:lang w:eastAsia="it-IT"/>
              </w:rPr>
              <w:t>  Встановлено 1 систему відеонагляду</w:t>
            </w:r>
          </w:p>
          <w:p w14:paraId="520C93A2" w14:textId="77777777" w:rsidR="00B8248C" w:rsidRPr="0019790A" w:rsidRDefault="00B8248C" w:rsidP="009D2443">
            <w:pPr>
              <w:jc w:val="both"/>
              <w:rPr>
                <w:rFonts w:cs="Arial"/>
                <w:szCs w:val="22"/>
                <w:lang w:eastAsia="it-IT"/>
              </w:rPr>
            </w:pPr>
            <w:r w:rsidRPr="0019790A">
              <w:rPr>
                <w:rFonts w:cs="Arial"/>
                <w:szCs w:val="22"/>
                <w:lang w:eastAsia="it-IT"/>
              </w:rPr>
              <w:t>  Придбано не менше 10 одиниць нового обладнання</w:t>
            </w:r>
          </w:p>
          <w:p w14:paraId="478899C9" w14:textId="77777777" w:rsidR="00B8248C" w:rsidRPr="0019790A" w:rsidRDefault="00B8248C" w:rsidP="009D2443">
            <w:pPr>
              <w:jc w:val="both"/>
              <w:rPr>
                <w:rFonts w:cs="Arial"/>
                <w:szCs w:val="22"/>
                <w:lang w:eastAsia="it-IT"/>
              </w:rPr>
            </w:pPr>
            <w:r w:rsidRPr="0019790A">
              <w:rPr>
                <w:rFonts w:cs="Arial"/>
                <w:szCs w:val="22"/>
                <w:lang w:eastAsia="it-IT"/>
              </w:rPr>
              <w:t>  Кількість відвідувачів зросте на 30%</w:t>
            </w:r>
          </w:p>
          <w:p w14:paraId="5E8093C7" w14:textId="77777777" w:rsidR="00B8248C" w:rsidRPr="0019790A" w:rsidRDefault="00B8248C" w:rsidP="009D2443">
            <w:pPr>
              <w:jc w:val="both"/>
              <w:rPr>
                <w:rFonts w:cs="Arial"/>
                <w:szCs w:val="22"/>
                <w:lang w:eastAsia="it-IT"/>
              </w:rPr>
            </w:pPr>
            <w:r w:rsidRPr="0019790A">
              <w:rPr>
                <w:rFonts w:cs="Arial"/>
                <w:szCs w:val="22"/>
                <w:lang w:eastAsia="it-IT"/>
              </w:rPr>
              <w:t>  Проведено не менше 15 культурно-освітніх заходів на рік</w:t>
            </w:r>
          </w:p>
          <w:p w14:paraId="05B21861" w14:textId="77777777" w:rsidR="00B8248C" w:rsidRPr="0019790A" w:rsidRDefault="00B8248C" w:rsidP="009D2443">
            <w:pPr>
              <w:jc w:val="both"/>
              <w:rPr>
                <w:rFonts w:cs="Arial"/>
                <w:szCs w:val="22"/>
                <w:lang w:eastAsia="it-IT"/>
              </w:rPr>
            </w:pPr>
            <w:r w:rsidRPr="0019790A">
              <w:rPr>
                <w:rFonts w:cs="Arial"/>
                <w:szCs w:val="22"/>
                <w:lang w:eastAsia="it-IT"/>
              </w:rPr>
              <w:t>  Залучення молоді через тематичні екскурсії та інтерактивні заняття</w:t>
            </w:r>
          </w:p>
        </w:tc>
      </w:tr>
      <w:tr w:rsidR="00B8248C" w:rsidRPr="0019790A" w14:paraId="61A37F49" w14:textId="77777777" w:rsidTr="00B8248C">
        <w:trPr>
          <w:jc w:val="right"/>
        </w:trPr>
        <w:tc>
          <w:tcPr>
            <w:tcW w:w="3425" w:type="dxa"/>
            <w:shd w:val="clear" w:color="auto" w:fill="FFFFFF"/>
            <w:vAlign w:val="center"/>
          </w:tcPr>
          <w:p w14:paraId="5E64A0EA" w14:textId="77777777" w:rsidR="00B8248C" w:rsidRPr="0019790A" w:rsidRDefault="00B8248C" w:rsidP="0019790A">
            <w:pPr>
              <w:rPr>
                <w:rFonts w:cs="Arial"/>
                <w:b/>
                <w:color w:val="000000"/>
                <w:szCs w:val="22"/>
              </w:rPr>
            </w:pPr>
            <w:r w:rsidRPr="0019790A">
              <w:rPr>
                <w:rFonts w:cs="Arial"/>
                <w:b/>
                <w:color w:val="000000"/>
                <w:szCs w:val="22"/>
              </w:rPr>
              <w:t xml:space="preserve">Період здійснення: </w:t>
            </w:r>
          </w:p>
        </w:tc>
        <w:tc>
          <w:tcPr>
            <w:tcW w:w="6794" w:type="dxa"/>
            <w:gridSpan w:val="9"/>
            <w:vAlign w:val="center"/>
          </w:tcPr>
          <w:p w14:paraId="557E1975" w14:textId="77777777" w:rsidR="00B8248C" w:rsidRPr="0019790A" w:rsidRDefault="00B8248C" w:rsidP="0019790A">
            <w:pPr>
              <w:rPr>
                <w:rFonts w:cs="Arial"/>
                <w:color w:val="000000"/>
                <w:szCs w:val="22"/>
                <w:lang w:eastAsia="it-IT"/>
              </w:rPr>
            </w:pPr>
            <w:r w:rsidRPr="0019790A">
              <w:rPr>
                <w:rFonts w:cs="Arial"/>
                <w:b/>
                <w:color w:val="000000"/>
                <w:szCs w:val="22"/>
              </w:rPr>
              <w:t>2025 – 2028 роки:</w:t>
            </w:r>
          </w:p>
        </w:tc>
      </w:tr>
      <w:tr w:rsidR="00B8248C" w:rsidRPr="0019790A" w14:paraId="26AAB97A" w14:textId="77777777" w:rsidTr="00B8248C">
        <w:trPr>
          <w:jc w:val="right"/>
        </w:trPr>
        <w:tc>
          <w:tcPr>
            <w:tcW w:w="3425" w:type="dxa"/>
            <w:vMerge w:val="restart"/>
            <w:shd w:val="clear" w:color="auto" w:fill="FFFFFF"/>
            <w:vAlign w:val="center"/>
          </w:tcPr>
          <w:p w14:paraId="5856EEEE" w14:textId="77777777" w:rsidR="00B8248C" w:rsidRPr="0019790A" w:rsidRDefault="00B8248C" w:rsidP="0019790A">
            <w:pPr>
              <w:rPr>
                <w:rFonts w:cs="Arial"/>
                <w:b/>
                <w:bCs/>
                <w:color w:val="000000"/>
                <w:szCs w:val="22"/>
              </w:rPr>
            </w:pPr>
            <w:r w:rsidRPr="0019790A">
              <w:rPr>
                <w:rFonts w:cs="Arial"/>
                <w:b/>
                <w:bCs/>
                <w:color w:val="000000"/>
                <w:szCs w:val="22"/>
              </w:rPr>
              <w:t>Орієнтовна вартість проєкту, тис. грн., в тому числі:</w:t>
            </w:r>
          </w:p>
        </w:tc>
        <w:tc>
          <w:tcPr>
            <w:tcW w:w="1254" w:type="dxa"/>
            <w:gridSpan w:val="2"/>
            <w:shd w:val="clear" w:color="auto" w:fill="E6E6E6"/>
            <w:vAlign w:val="center"/>
          </w:tcPr>
          <w:p w14:paraId="1A191161"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2025</w:t>
            </w:r>
          </w:p>
        </w:tc>
        <w:tc>
          <w:tcPr>
            <w:tcW w:w="1275" w:type="dxa"/>
            <w:gridSpan w:val="2"/>
            <w:shd w:val="clear" w:color="auto" w:fill="E6E6E6"/>
            <w:vAlign w:val="center"/>
          </w:tcPr>
          <w:p w14:paraId="4EBC85D0"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2026</w:t>
            </w:r>
          </w:p>
        </w:tc>
        <w:tc>
          <w:tcPr>
            <w:tcW w:w="1418" w:type="dxa"/>
            <w:tcBorders>
              <w:bottom w:val="single" w:sz="4" w:space="0" w:color="auto"/>
            </w:tcBorders>
            <w:shd w:val="clear" w:color="auto" w:fill="E6E6E6"/>
            <w:vAlign w:val="center"/>
          </w:tcPr>
          <w:p w14:paraId="316652A8"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2027</w:t>
            </w:r>
          </w:p>
        </w:tc>
        <w:tc>
          <w:tcPr>
            <w:tcW w:w="1276" w:type="dxa"/>
            <w:gridSpan w:val="2"/>
            <w:shd w:val="clear" w:color="auto" w:fill="E6E6E6"/>
            <w:vAlign w:val="center"/>
          </w:tcPr>
          <w:p w14:paraId="3D7DC58E"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2028</w:t>
            </w:r>
          </w:p>
        </w:tc>
        <w:tc>
          <w:tcPr>
            <w:tcW w:w="1571" w:type="dxa"/>
            <w:gridSpan w:val="2"/>
            <w:shd w:val="clear" w:color="auto" w:fill="E6E6E6"/>
            <w:vAlign w:val="center"/>
          </w:tcPr>
          <w:p w14:paraId="1D10C037"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РАЗОМ</w:t>
            </w:r>
          </w:p>
        </w:tc>
      </w:tr>
      <w:tr w:rsidR="00B8248C" w:rsidRPr="0019790A" w14:paraId="0D0D6DFB" w14:textId="77777777" w:rsidTr="00B8248C">
        <w:trPr>
          <w:jc w:val="right"/>
        </w:trPr>
        <w:tc>
          <w:tcPr>
            <w:tcW w:w="3425" w:type="dxa"/>
            <w:vMerge/>
            <w:shd w:val="clear" w:color="auto" w:fill="FFFFFF"/>
            <w:vAlign w:val="center"/>
          </w:tcPr>
          <w:p w14:paraId="7E9A3956" w14:textId="77777777" w:rsidR="00B8248C" w:rsidRPr="0019790A" w:rsidRDefault="00B8248C" w:rsidP="0019790A">
            <w:pPr>
              <w:rPr>
                <w:rFonts w:cs="Arial"/>
                <w:b/>
                <w:bCs/>
                <w:color w:val="000000"/>
                <w:szCs w:val="22"/>
              </w:rPr>
            </w:pPr>
          </w:p>
        </w:tc>
        <w:tc>
          <w:tcPr>
            <w:tcW w:w="1254" w:type="dxa"/>
            <w:gridSpan w:val="2"/>
            <w:vAlign w:val="center"/>
          </w:tcPr>
          <w:p w14:paraId="7D968509"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50,0</w:t>
            </w:r>
          </w:p>
        </w:tc>
        <w:tc>
          <w:tcPr>
            <w:tcW w:w="1275" w:type="dxa"/>
            <w:gridSpan w:val="2"/>
            <w:shd w:val="clear" w:color="auto" w:fill="FFFFFF"/>
            <w:vAlign w:val="center"/>
          </w:tcPr>
          <w:p w14:paraId="127AA096"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100,0</w:t>
            </w:r>
          </w:p>
        </w:tc>
        <w:tc>
          <w:tcPr>
            <w:tcW w:w="1418" w:type="dxa"/>
            <w:shd w:val="clear" w:color="auto" w:fill="auto"/>
            <w:vAlign w:val="center"/>
          </w:tcPr>
          <w:p w14:paraId="056F46C7"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60000,0</w:t>
            </w:r>
          </w:p>
        </w:tc>
        <w:tc>
          <w:tcPr>
            <w:tcW w:w="1276" w:type="dxa"/>
            <w:gridSpan w:val="2"/>
            <w:shd w:val="clear" w:color="auto" w:fill="FFFFFF"/>
            <w:vAlign w:val="center"/>
          </w:tcPr>
          <w:p w14:paraId="18FB012F"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w:t>
            </w:r>
          </w:p>
        </w:tc>
        <w:tc>
          <w:tcPr>
            <w:tcW w:w="1571" w:type="dxa"/>
            <w:gridSpan w:val="2"/>
            <w:shd w:val="clear" w:color="auto" w:fill="FFFFFF"/>
            <w:vAlign w:val="center"/>
          </w:tcPr>
          <w:p w14:paraId="70692716"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60150,0</w:t>
            </w:r>
          </w:p>
        </w:tc>
      </w:tr>
      <w:tr w:rsidR="00B8248C" w:rsidRPr="0019790A" w14:paraId="1D1B16A4" w14:textId="77777777" w:rsidTr="00B8248C">
        <w:trPr>
          <w:trHeight w:val="276"/>
          <w:jc w:val="right"/>
        </w:trPr>
        <w:tc>
          <w:tcPr>
            <w:tcW w:w="3425" w:type="dxa"/>
            <w:shd w:val="clear" w:color="auto" w:fill="FFFFFF"/>
            <w:vAlign w:val="center"/>
          </w:tcPr>
          <w:p w14:paraId="5740FABE" w14:textId="77777777" w:rsidR="00B8248C" w:rsidRPr="0019790A" w:rsidRDefault="00B8248C" w:rsidP="0019790A">
            <w:pPr>
              <w:rPr>
                <w:rFonts w:cs="Arial"/>
                <w:b/>
                <w:bCs/>
                <w:color w:val="000000"/>
                <w:szCs w:val="22"/>
              </w:rPr>
            </w:pPr>
            <w:r w:rsidRPr="0019790A">
              <w:rPr>
                <w:rFonts w:cs="Arial"/>
                <w:b/>
                <w:bCs/>
                <w:color w:val="000000"/>
                <w:szCs w:val="22"/>
              </w:rPr>
              <w:t>по джерелах фінансування:</w:t>
            </w:r>
          </w:p>
        </w:tc>
        <w:tc>
          <w:tcPr>
            <w:tcW w:w="6794" w:type="dxa"/>
            <w:gridSpan w:val="9"/>
            <w:vAlign w:val="center"/>
          </w:tcPr>
          <w:p w14:paraId="72E02C94" w14:textId="77777777" w:rsidR="00B8248C" w:rsidRPr="0019790A" w:rsidRDefault="00B8248C" w:rsidP="0019790A">
            <w:pPr>
              <w:jc w:val="both"/>
              <w:rPr>
                <w:rFonts w:cs="Arial"/>
                <w:color w:val="000000"/>
                <w:szCs w:val="22"/>
                <w:lang w:eastAsia="it-IT"/>
              </w:rPr>
            </w:pPr>
          </w:p>
        </w:tc>
      </w:tr>
      <w:tr w:rsidR="00D80A13" w:rsidRPr="0019790A" w14:paraId="73446305" w14:textId="413DD376" w:rsidTr="00D80A13">
        <w:trPr>
          <w:trHeight w:val="240"/>
          <w:jc w:val="right"/>
        </w:trPr>
        <w:tc>
          <w:tcPr>
            <w:tcW w:w="3425" w:type="dxa"/>
            <w:shd w:val="clear" w:color="auto" w:fill="FFFFFF"/>
            <w:vAlign w:val="center"/>
          </w:tcPr>
          <w:p w14:paraId="33404235" w14:textId="77777777" w:rsidR="00D80A13" w:rsidRPr="0019790A" w:rsidRDefault="00D80A13" w:rsidP="0019790A">
            <w:pPr>
              <w:rPr>
                <w:rFonts w:cs="Arial"/>
                <w:b/>
                <w:bCs/>
                <w:color w:val="000000"/>
                <w:szCs w:val="22"/>
              </w:rPr>
            </w:pPr>
            <w:r w:rsidRPr="0019790A">
              <w:rPr>
                <w:rFonts w:cs="Arial"/>
                <w:color w:val="000000"/>
                <w:szCs w:val="22"/>
              </w:rPr>
              <w:t>- державний бюджет</w:t>
            </w:r>
          </w:p>
        </w:tc>
        <w:tc>
          <w:tcPr>
            <w:tcW w:w="1240" w:type="dxa"/>
            <w:vAlign w:val="center"/>
          </w:tcPr>
          <w:p w14:paraId="4338C0AC" w14:textId="77777777" w:rsidR="00D80A13" w:rsidRPr="0019790A" w:rsidRDefault="00D80A13" w:rsidP="0019790A">
            <w:pPr>
              <w:jc w:val="both"/>
              <w:rPr>
                <w:rFonts w:cs="Arial"/>
                <w:color w:val="000000"/>
                <w:szCs w:val="22"/>
                <w:lang w:eastAsia="it-IT"/>
              </w:rPr>
            </w:pPr>
          </w:p>
        </w:tc>
        <w:tc>
          <w:tcPr>
            <w:tcW w:w="1277" w:type="dxa"/>
            <w:gridSpan w:val="2"/>
            <w:vAlign w:val="center"/>
          </w:tcPr>
          <w:p w14:paraId="23E193D5" w14:textId="77777777" w:rsidR="00D80A13" w:rsidRPr="0019790A" w:rsidRDefault="00D80A13" w:rsidP="0019790A">
            <w:pPr>
              <w:jc w:val="both"/>
              <w:rPr>
                <w:rFonts w:cs="Arial"/>
                <w:color w:val="000000"/>
                <w:szCs w:val="22"/>
                <w:lang w:eastAsia="it-IT"/>
              </w:rPr>
            </w:pPr>
          </w:p>
        </w:tc>
        <w:tc>
          <w:tcPr>
            <w:tcW w:w="1465" w:type="dxa"/>
            <w:gridSpan w:val="3"/>
            <w:vAlign w:val="center"/>
          </w:tcPr>
          <w:p w14:paraId="7BD08E39" w14:textId="77777777" w:rsidR="00D80A13" w:rsidRPr="0019790A" w:rsidRDefault="00D80A13" w:rsidP="0019790A">
            <w:pPr>
              <w:jc w:val="both"/>
              <w:rPr>
                <w:rFonts w:cs="Arial"/>
                <w:color w:val="000000"/>
                <w:szCs w:val="22"/>
                <w:lang w:eastAsia="it-IT"/>
              </w:rPr>
            </w:pPr>
          </w:p>
        </w:tc>
        <w:tc>
          <w:tcPr>
            <w:tcW w:w="1315" w:type="dxa"/>
            <w:gridSpan w:val="2"/>
            <w:vAlign w:val="center"/>
          </w:tcPr>
          <w:p w14:paraId="707E028E" w14:textId="77777777" w:rsidR="00D80A13" w:rsidRPr="0019790A" w:rsidRDefault="00D80A13" w:rsidP="0019790A">
            <w:pPr>
              <w:jc w:val="both"/>
              <w:rPr>
                <w:rFonts w:cs="Arial"/>
                <w:color w:val="000000"/>
                <w:szCs w:val="22"/>
                <w:lang w:eastAsia="it-IT"/>
              </w:rPr>
            </w:pPr>
          </w:p>
        </w:tc>
        <w:tc>
          <w:tcPr>
            <w:tcW w:w="1497" w:type="dxa"/>
            <w:vAlign w:val="center"/>
          </w:tcPr>
          <w:p w14:paraId="7BE61D1F" w14:textId="77777777" w:rsidR="00D80A13" w:rsidRPr="0019790A" w:rsidRDefault="00D80A13" w:rsidP="0019790A">
            <w:pPr>
              <w:jc w:val="both"/>
              <w:rPr>
                <w:rFonts w:cs="Arial"/>
                <w:color w:val="000000"/>
                <w:szCs w:val="22"/>
                <w:lang w:eastAsia="it-IT"/>
              </w:rPr>
            </w:pPr>
          </w:p>
        </w:tc>
      </w:tr>
      <w:tr w:rsidR="00D80A13" w:rsidRPr="0019790A" w14:paraId="40EDFC43" w14:textId="0065E5F7" w:rsidTr="00D80A13">
        <w:trPr>
          <w:trHeight w:val="254"/>
          <w:jc w:val="right"/>
        </w:trPr>
        <w:tc>
          <w:tcPr>
            <w:tcW w:w="3425" w:type="dxa"/>
            <w:shd w:val="clear" w:color="auto" w:fill="FFFFFF"/>
            <w:vAlign w:val="center"/>
          </w:tcPr>
          <w:p w14:paraId="21979D2C" w14:textId="77777777" w:rsidR="00D80A13" w:rsidRPr="0019790A" w:rsidRDefault="00D80A13" w:rsidP="0019790A">
            <w:pPr>
              <w:rPr>
                <w:rFonts w:cs="Arial"/>
                <w:color w:val="000000"/>
                <w:szCs w:val="22"/>
              </w:rPr>
            </w:pPr>
            <w:r w:rsidRPr="0019790A">
              <w:rPr>
                <w:rFonts w:cs="Arial"/>
                <w:color w:val="000000"/>
                <w:szCs w:val="22"/>
              </w:rPr>
              <w:t>- обласний бюджет</w:t>
            </w:r>
          </w:p>
        </w:tc>
        <w:tc>
          <w:tcPr>
            <w:tcW w:w="1240" w:type="dxa"/>
            <w:vAlign w:val="center"/>
          </w:tcPr>
          <w:p w14:paraId="50755941" w14:textId="77777777" w:rsidR="00D80A13" w:rsidRPr="0019790A" w:rsidRDefault="00D80A13" w:rsidP="0019790A">
            <w:pPr>
              <w:jc w:val="both"/>
              <w:rPr>
                <w:rFonts w:cs="Arial"/>
                <w:color w:val="000000"/>
                <w:szCs w:val="22"/>
                <w:lang w:eastAsia="it-IT"/>
              </w:rPr>
            </w:pPr>
          </w:p>
        </w:tc>
        <w:tc>
          <w:tcPr>
            <w:tcW w:w="1277" w:type="dxa"/>
            <w:gridSpan w:val="2"/>
            <w:vAlign w:val="center"/>
          </w:tcPr>
          <w:p w14:paraId="1FBCCAF6" w14:textId="77777777" w:rsidR="00D80A13" w:rsidRPr="0019790A" w:rsidRDefault="00D80A13" w:rsidP="0019790A">
            <w:pPr>
              <w:jc w:val="both"/>
              <w:rPr>
                <w:rFonts w:cs="Arial"/>
                <w:color w:val="000000"/>
                <w:szCs w:val="22"/>
                <w:lang w:eastAsia="it-IT"/>
              </w:rPr>
            </w:pPr>
          </w:p>
        </w:tc>
        <w:tc>
          <w:tcPr>
            <w:tcW w:w="1465" w:type="dxa"/>
            <w:gridSpan w:val="3"/>
            <w:vAlign w:val="center"/>
          </w:tcPr>
          <w:p w14:paraId="3B53332C" w14:textId="77777777" w:rsidR="00D80A13" w:rsidRPr="0019790A" w:rsidRDefault="00D80A13" w:rsidP="0019790A">
            <w:pPr>
              <w:jc w:val="both"/>
              <w:rPr>
                <w:rFonts w:cs="Arial"/>
                <w:color w:val="000000"/>
                <w:szCs w:val="22"/>
                <w:lang w:eastAsia="it-IT"/>
              </w:rPr>
            </w:pPr>
          </w:p>
        </w:tc>
        <w:tc>
          <w:tcPr>
            <w:tcW w:w="1315" w:type="dxa"/>
            <w:gridSpan w:val="2"/>
            <w:vAlign w:val="center"/>
          </w:tcPr>
          <w:p w14:paraId="6A5BE987" w14:textId="77777777" w:rsidR="00D80A13" w:rsidRPr="0019790A" w:rsidRDefault="00D80A13" w:rsidP="0019790A">
            <w:pPr>
              <w:jc w:val="both"/>
              <w:rPr>
                <w:rFonts w:cs="Arial"/>
                <w:color w:val="000000"/>
                <w:szCs w:val="22"/>
                <w:lang w:eastAsia="it-IT"/>
              </w:rPr>
            </w:pPr>
          </w:p>
        </w:tc>
        <w:tc>
          <w:tcPr>
            <w:tcW w:w="1497" w:type="dxa"/>
            <w:vAlign w:val="center"/>
          </w:tcPr>
          <w:p w14:paraId="6033F817" w14:textId="77777777" w:rsidR="00D80A13" w:rsidRPr="0019790A" w:rsidRDefault="00D80A13" w:rsidP="0019790A">
            <w:pPr>
              <w:jc w:val="both"/>
              <w:rPr>
                <w:rFonts w:cs="Arial"/>
                <w:color w:val="000000"/>
                <w:szCs w:val="22"/>
                <w:lang w:eastAsia="it-IT"/>
              </w:rPr>
            </w:pPr>
          </w:p>
        </w:tc>
      </w:tr>
      <w:tr w:rsidR="00D80A13" w:rsidRPr="0019790A" w14:paraId="070F94A7" w14:textId="68793DF2" w:rsidTr="00D80A13">
        <w:trPr>
          <w:trHeight w:val="275"/>
          <w:jc w:val="right"/>
        </w:trPr>
        <w:tc>
          <w:tcPr>
            <w:tcW w:w="3425" w:type="dxa"/>
            <w:shd w:val="clear" w:color="auto" w:fill="FFFFFF"/>
            <w:vAlign w:val="center"/>
          </w:tcPr>
          <w:p w14:paraId="04F37487" w14:textId="77777777" w:rsidR="00D80A13" w:rsidRPr="0019790A" w:rsidRDefault="00D80A13" w:rsidP="00D80A13">
            <w:pPr>
              <w:rPr>
                <w:rFonts w:cs="Arial"/>
                <w:color w:val="000000"/>
                <w:szCs w:val="22"/>
              </w:rPr>
            </w:pPr>
            <w:r w:rsidRPr="0019790A">
              <w:rPr>
                <w:rFonts w:cs="Arial"/>
                <w:color w:val="000000"/>
                <w:szCs w:val="22"/>
              </w:rPr>
              <w:t>- бюджет Жмеринської МТГ</w:t>
            </w:r>
          </w:p>
        </w:tc>
        <w:tc>
          <w:tcPr>
            <w:tcW w:w="1240" w:type="dxa"/>
            <w:vAlign w:val="center"/>
          </w:tcPr>
          <w:p w14:paraId="0ACA1EE3" w14:textId="00D45B0E" w:rsidR="00D80A13" w:rsidRPr="00D80A13" w:rsidRDefault="00D80A13" w:rsidP="00D80A13">
            <w:pPr>
              <w:jc w:val="center"/>
              <w:rPr>
                <w:rFonts w:cs="Arial"/>
                <w:color w:val="000000"/>
                <w:szCs w:val="22"/>
                <w:lang w:eastAsia="it-IT"/>
              </w:rPr>
            </w:pPr>
            <w:r w:rsidRPr="00D80A13">
              <w:rPr>
                <w:rFonts w:cs="Arial"/>
                <w:color w:val="000000"/>
                <w:szCs w:val="22"/>
                <w:lang w:eastAsia="it-IT"/>
              </w:rPr>
              <w:t>50,0</w:t>
            </w:r>
          </w:p>
        </w:tc>
        <w:tc>
          <w:tcPr>
            <w:tcW w:w="1277" w:type="dxa"/>
            <w:gridSpan w:val="2"/>
            <w:vAlign w:val="center"/>
          </w:tcPr>
          <w:p w14:paraId="66EF23FF" w14:textId="6DB5CA2D" w:rsidR="00D80A13" w:rsidRPr="00D80A13" w:rsidRDefault="00D80A13" w:rsidP="00D80A13">
            <w:pPr>
              <w:jc w:val="center"/>
              <w:rPr>
                <w:rFonts w:cs="Arial"/>
                <w:color w:val="000000"/>
                <w:szCs w:val="22"/>
                <w:lang w:eastAsia="it-IT"/>
              </w:rPr>
            </w:pPr>
            <w:r w:rsidRPr="00D80A13">
              <w:rPr>
                <w:rFonts w:cs="Arial"/>
                <w:color w:val="000000"/>
                <w:szCs w:val="22"/>
                <w:lang w:eastAsia="it-IT"/>
              </w:rPr>
              <w:t>100,0</w:t>
            </w:r>
          </w:p>
        </w:tc>
        <w:tc>
          <w:tcPr>
            <w:tcW w:w="1465" w:type="dxa"/>
            <w:gridSpan w:val="3"/>
            <w:vAlign w:val="center"/>
          </w:tcPr>
          <w:p w14:paraId="65D3F94B" w14:textId="721A12FD" w:rsidR="00D80A13" w:rsidRPr="00D80A13" w:rsidRDefault="00D80A13" w:rsidP="00D80A13">
            <w:pPr>
              <w:jc w:val="center"/>
              <w:rPr>
                <w:rFonts w:cs="Arial"/>
                <w:color w:val="000000"/>
                <w:szCs w:val="22"/>
                <w:lang w:eastAsia="it-IT"/>
              </w:rPr>
            </w:pPr>
            <w:r w:rsidRPr="00D80A13">
              <w:rPr>
                <w:rFonts w:cs="Arial"/>
                <w:color w:val="000000"/>
                <w:szCs w:val="22"/>
                <w:lang w:eastAsia="it-IT"/>
              </w:rPr>
              <w:t>60000,0</w:t>
            </w:r>
          </w:p>
        </w:tc>
        <w:tc>
          <w:tcPr>
            <w:tcW w:w="1315" w:type="dxa"/>
            <w:gridSpan w:val="2"/>
            <w:vAlign w:val="center"/>
          </w:tcPr>
          <w:p w14:paraId="29A32B55" w14:textId="6D5755D7" w:rsidR="00D80A13" w:rsidRPr="00D80A13" w:rsidRDefault="00D80A13" w:rsidP="00D80A13">
            <w:pPr>
              <w:jc w:val="center"/>
              <w:rPr>
                <w:rFonts w:cs="Arial"/>
                <w:color w:val="000000"/>
                <w:szCs w:val="22"/>
                <w:lang w:eastAsia="it-IT"/>
              </w:rPr>
            </w:pPr>
            <w:r w:rsidRPr="00D80A13">
              <w:rPr>
                <w:rFonts w:cs="Arial"/>
                <w:color w:val="000000"/>
                <w:szCs w:val="22"/>
                <w:lang w:eastAsia="it-IT"/>
              </w:rPr>
              <w:t>-</w:t>
            </w:r>
          </w:p>
        </w:tc>
        <w:tc>
          <w:tcPr>
            <w:tcW w:w="1497" w:type="dxa"/>
            <w:vAlign w:val="center"/>
          </w:tcPr>
          <w:p w14:paraId="0E4A5930" w14:textId="4A850287" w:rsidR="00D80A13" w:rsidRPr="00D80A13" w:rsidRDefault="00D80A13" w:rsidP="00D80A13">
            <w:pPr>
              <w:jc w:val="center"/>
              <w:rPr>
                <w:rFonts w:cs="Arial"/>
                <w:color w:val="000000"/>
                <w:szCs w:val="22"/>
                <w:lang w:eastAsia="it-IT"/>
              </w:rPr>
            </w:pPr>
            <w:r w:rsidRPr="00D80A13">
              <w:rPr>
                <w:rFonts w:cs="Arial"/>
                <w:color w:val="000000"/>
                <w:szCs w:val="22"/>
                <w:lang w:eastAsia="it-IT"/>
              </w:rPr>
              <w:t>60150,0</w:t>
            </w:r>
          </w:p>
        </w:tc>
      </w:tr>
      <w:tr w:rsidR="00D80A13" w:rsidRPr="0019790A" w14:paraId="0D8BC03E" w14:textId="1A1BA129" w:rsidTr="00D80A13">
        <w:trPr>
          <w:trHeight w:val="226"/>
          <w:jc w:val="right"/>
        </w:trPr>
        <w:tc>
          <w:tcPr>
            <w:tcW w:w="3425" w:type="dxa"/>
            <w:shd w:val="clear" w:color="auto" w:fill="FFFFFF"/>
            <w:vAlign w:val="center"/>
          </w:tcPr>
          <w:p w14:paraId="7BC68841" w14:textId="77777777" w:rsidR="00D80A13" w:rsidRPr="0019790A" w:rsidRDefault="00D80A13" w:rsidP="00D80A13">
            <w:pPr>
              <w:rPr>
                <w:rFonts w:cs="Arial"/>
                <w:color w:val="000000"/>
                <w:szCs w:val="22"/>
              </w:rPr>
            </w:pPr>
            <w:r w:rsidRPr="0019790A">
              <w:rPr>
                <w:rFonts w:cs="Arial"/>
                <w:color w:val="000000"/>
                <w:szCs w:val="22"/>
              </w:rPr>
              <w:t>- інші джерела фінансування</w:t>
            </w:r>
          </w:p>
        </w:tc>
        <w:tc>
          <w:tcPr>
            <w:tcW w:w="1240" w:type="dxa"/>
          </w:tcPr>
          <w:p w14:paraId="0A6631A8" w14:textId="77777777" w:rsidR="00D80A13" w:rsidRPr="0019790A" w:rsidRDefault="00D80A13" w:rsidP="00D80A13">
            <w:pPr>
              <w:rPr>
                <w:rFonts w:cs="Arial"/>
                <w:szCs w:val="22"/>
              </w:rPr>
            </w:pPr>
          </w:p>
        </w:tc>
        <w:tc>
          <w:tcPr>
            <w:tcW w:w="1277" w:type="dxa"/>
            <w:gridSpan w:val="2"/>
          </w:tcPr>
          <w:p w14:paraId="4D61B218" w14:textId="77777777" w:rsidR="00D80A13" w:rsidRPr="0019790A" w:rsidRDefault="00D80A13" w:rsidP="00D80A13">
            <w:pPr>
              <w:rPr>
                <w:rFonts w:cs="Arial"/>
                <w:szCs w:val="22"/>
              </w:rPr>
            </w:pPr>
          </w:p>
        </w:tc>
        <w:tc>
          <w:tcPr>
            <w:tcW w:w="1465" w:type="dxa"/>
            <w:gridSpan w:val="3"/>
          </w:tcPr>
          <w:p w14:paraId="646F105F" w14:textId="77777777" w:rsidR="00D80A13" w:rsidRPr="0019790A" w:rsidRDefault="00D80A13" w:rsidP="00D80A13">
            <w:pPr>
              <w:rPr>
                <w:rFonts w:cs="Arial"/>
                <w:szCs w:val="22"/>
              </w:rPr>
            </w:pPr>
          </w:p>
        </w:tc>
        <w:tc>
          <w:tcPr>
            <w:tcW w:w="1315" w:type="dxa"/>
            <w:gridSpan w:val="2"/>
          </w:tcPr>
          <w:p w14:paraId="7302D087" w14:textId="77777777" w:rsidR="00D80A13" w:rsidRPr="0019790A" w:rsidRDefault="00D80A13" w:rsidP="00D80A13">
            <w:pPr>
              <w:rPr>
                <w:rFonts w:cs="Arial"/>
                <w:szCs w:val="22"/>
              </w:rPr>
            </w:pPr>
          </w:p>
        </w:tc>
        <w:tc>
          <w:tcPr>
            <w:tcW w:w="1497" w:type="dxa"/>
          </w:tcPr>
          <w:p w14:paraId="31026B1A" w14:textId="77777777" w:rsidR="00D80A13" w:rsidRPr="0019790A" w:rsidRDefault="00D80A13" w:rsidP="00D80A13">
            <w:pPr>
              <w:rPr>
                <w:rFonts w:cs="Arial"/>
                <w:szCs w:val="22"/>
              </w:rPr>
            </w:pPr>
          </w:p>
        </w:tc>
      </w:tr>
      <w:tr w:rsidR="00D80A13" w:rsidRPr="0019790A" w14:paraId="0C2181D6" w14:textId="77777777" w:rsidTr="00B8248C">
        <w:trPr>
          <w:jc w:val="right"/>
        </w:trPr>
        <w:tc>
          <w:tcPr>
            <w:tcW w:w="3425" w:type="dxa"/>
            <w:shd w:val="clear" w:color="auto" w:fill="FFFFFF"/>
            <w:vAlign w:val="center"/>
          </w:tcPr>
          <w:p w14:paraId="455AC591" w14:textId="77777777" w:rsidR="00D80A13" w:rsidRPr="0019790A" w:rsidRDefault="00D80A13" w:rsidP="00D80A13">
            <w:pPr>
              <w:rPr>
                <w:rFonts w:cs="Arial"/>
                <w:b/>
                <w:bCs/>
                <w:color w:val="000000"/>
                <w:szCs w:val="22"/>
              </w:rPr>
            </w:pPr>
            <w:r w:rsidRPr="0019790A">
              <w:rPr>
                <w:rFonts w:cs="Arial"/>
                <w:b/>
                <w:color w:val="000000"/>
                <w:szCs w:val="22"/>
              </w:rPr>
              <w:t>Відповідальний виконавець проєкту:</w:t>
            </w:r>
          </w:p>
        </w:tc>
        <w:tc>
          <w:tcPr>
            <w:tcW w:w="6794" w:type="dxa"/>
            <w:gridSpan w:val="9"/>
            <w:vAlign w:val="center"/>
          </w:tcPr>
          <w:p w14:paraId="465A2A9C" w14:textId="77777777" w:rsidR="00D80A13" w:rsidRPr="00D80A13" w:rsidRDefault="00D80A13" w:rsidP="00D80A13">
            <w:pPr>
              <w:jc w:val="both"/>
              <w:rPr>
                <w:rFonts w:cs="Arial"/>
                <w:color w:val="000000"/>
                <w:szCs w:val="22"/>
                <w:lang w:eastAsia="it-IT"/>
              </w:rPr>
            </w:pPr>
            <w:r w:rsidRPr="00D80A13">
              <w:rPr>
                <w:rFonts w:cs="Arial"/>
                <w:color w:val="000000"/>
                <w:szCs w:val="22"/>
                <w:lang w:eastAsia="it-IT"/>
              </w:rPr>
              <w:t>Управління культури і туризму Жмеринської міської ради</w:t>
            </w:r>
          </w:p>
        </w:tc>
      </w:tr>
      <w:tr w:rsidR="00D80A13" w:rsidRPr="0019790A" w14:paraId="6A3E408E" w14:textId="77777777" w:rsidTr="00B8248C">
        <w:trPr>
          <w:jc w:val="right"/>
        </w:trPr>
        <w:tc>
          <w:tcPr>
            <w:tcW w:w="3425" w:type="dxa"/>
            <w:shd w:val="clear" w:color="auto" w:fill="FFFFFF"/>
            <w:vAlign w:val="center"/>
          </w:tcPr>
          <w:p w14:paraId="7C7E9614" w14:textId="77777777" w:rsidR="00D80A13" w:rsidRPr="0019790A" w:rsidRDefault="00D80A13" w:rsidP="00D80A13">
            <w:pPr>
              <w:rPr>
                <w:rFonts w:cs="Arial"/>
                <w:b/>
                <w:bCs/>
                <w:color w:val="000000"/>
                <w:szCs w:val="22"/>
              </w:rPr>
            </w:pPr>
            <w:r w:rsidRPr="0019790A">
              <w:rPr>
                <w:rFonts w:cs="Arial"/>
                <w:b/>
                <w:bCs/>
                <w:color w:val="000000"/>
                <w:szCs w:val="22"/>
              </w:rPr>
              <w:t>Інше:</w:t>
            </w:r>
          </w:p>
        </w:tc>
        <w:tc>
          <w:tcPr>
            <w:tcW w:w="6794" w:type="dxa"/>
            <w:gridSpan w:val="9"/>
            <w:vAlign w:val="center"/>
          </w:tcPr>
          <w:p w14:paraId="1F5064F8" w14:textId="77777777" w:rsidR="00D80A13" w:rsidRPr="0019790A" w:rsidRDefault="00D80A13" w:rsidP="00D80A13">
            <w:pPr>
              <w:rPr>
                <w:rFonts w:cs="Arial"/>
                <w:color w:val="000000"/>
                <w:szCs w:val="22"/>
                <w:lang w:eastAsia="it-IT"/>
              </w:rPr>
            </w:pPr>
            <w:r w:rsidRPr="0019790A">
              <w:rPr>
                <w:rFonts w:cs="Arial"/>
                <w:color w:val="000000"/>
                <w:szCs w:val="22"/>
                <w:lang w:eastAsia="it-IT"/>
              </w:rPr>
              <w:t>Музей громади отримає нове дихання, стане відкритим освітнім і туристичним простором. Це проєкт про гідне збереження нашого минулого заради майбутнього.</w:t>
            </w:r>
          </w:p>
        </w:tc>
      </w:tr>
    </w:tbl>
    <w:p w14:paraId="713F65D8" w14:textId="77777777" w:rsidR="00B8248C" w:rsidRPr="0019790A" w:rsidRDefault="00B8248C" w:rsidP="0019790A">
      <w:pPr>
        <w:rPr>
          <w:rFonts w:cs="Arial"/>
          <w:szCs w:val="22"/>
        </w:rPr>
      </w:pPr>
    </w:p>
    <w:p w14:paraId="6BE23870" w14:textId="77777777" w:rsidR="00D80A13" w:rsidRDefault="00D80A13" w:rsidP="0019790A">
      <w:pPr>
        <w:jc w:val="center"/>
        <w:rPr>
          <w:rFonts w:cs="Arial"/>
          <w:b/>
          <w:color w:val="000000"/>
          <w:szCs w:val="22"/>
        </w:rPr>
      </w:pPr>
    </w:p>
    <w:p w14:paraId="7A243663" w14:textId="6FB0C77F" w:rsidR="00B8248C" w:rsidRPr="0019790A" w:rsidRDefault="00B8248C" w:rsidP="0019790A">
      <w:pPr>
        <w:jc w:val="center"/>
        <w:rPr>
          <w:rFonts w:cs="Arial"/>
          <w:b/>
          <w:color w:val="000000"/>
          <w:szCs w:val="22"/>
        </w:rPr>
      </w:pPr>
      <w:r w:rsidRPr="0019790A">
        <w:rPr>
          <w:rFonts w:cs="Arial"/>
          <w:b/>
          <w:color w:val="000000"/>
          <w:szCs w:val="22"/>
        </w:rPr>
        <w:t xml:space="preserve">Форма технічного завдання на проєкт місцевого розвитку </w:t>
      </w:r>
    </w:p>
    <w:p w14:paraId="5A476987" w14:textId="77777777" w:rsidR="00B8248C" w:rsidRPr="0019790A" w:rsidRDefault="00B8248C" w:rsidP="0019790A">
      <w:pPr>
        <w:jc w:val="center"/>
        <w:rPr>
          <w:rFonts w:cs="Arial"/>
          <w:b/>
          <w:color w:val="000000"/>
          <w:szCs w:val="22"/>
        </w:rPr>
      </w:pPr>
      <w:r w:rsidRPr="0019790A">
        <w:rPr>
          <w:rFonts w:cs="Arial"/>
          <w:b/>
          <w:color w:val="000000"/>
          <w:szCs w:val="22"/>
        </w:rPr>
        <w:t>до Плану заходів з реалізації Стратегії</w:t>
      </w:r>
    </w:p>
    <w:p w14:paraId="00A839BC" w14:textId="77777777" w:rsidR="00B8248C" w:rsidRPr="0019790A" w:rsidRDefault="00B8248C"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11"/>
        <w:gridCol w:w="1215"/>
        <w:gridCol w:w="49"/>
        <w:gridCol w:w="1378"/>
        <w:gridCol w:w="40"/>
        <w:gridCol w:w="1276"/>
        <w:gridCol w:w="36"/>
        <w:gridCol w:w="1535"/>
      </w:tblGrid>
      <w:tr w:rsidR="00B8248C" w:rsidRPr="0019790A" w14:paraId="0D5C5813" w14:textId="77777777" w:rsidTr="00D80A13">
        <w:trPr>
          <w:jc w:val="right"/>
        </w:trPr>
        <w:tc>
          <w:tcPr>
            <w:tcW w:w="3425" w:type="dxa"/>
            <w:vAlign w:val="center"/>
          </w:tcPr>
          <w:p w14:paraId="50BBA508" w14:textId="77777777" w:rsidR="00B8248C" w:rsidRPr="0019790A" w:rsidRDefault="00B8248C" w:rsidP="0019790A">
            <w:pPr>
              <w:rPr>
                <w:rFonts w:cs="Arial"/>
                <w:b/>
                <w:bCs/>
                <w:color w:val="000000"/>
                <w:szCs w:val="22"/>
              </w:rPr>
            </w:pPr>
            <w:r w:rsidRPr="0019790A">
              <w:rPr>
                <w:rFonts w:cs="Arial"/>
                <w:b/>
                <w:bCs/>
                <w:color w:val="000000"/>
                <w:szCs w:val="22"/>
              </w:rPr>
              <w:t>Назва проєкту:</w:t>
            </w:r>
          </w:p>
        </w:tc>
        <w:tc>
          <w:tcPr>
            <w:tcW w:w="6794" w:type="dxa"/>
            <w:gridSpan w:val="9"/>
            <w:vAlign w:val="center"/>
          </w:tcPr>
          <w:p w14:paraId="49B7058A" w14:textId="77777777" w:rsidR="00B8248C" w:rsidRPr="0019790A" w:rsidRDefault="00B8248C" w:rsidP="00D80A13">
            <w:pPr>
              <w:rPr>
                <w:rFonts w:cs="Arial"/>
                <w:b/>
                <w:szCs w:val="22"/>
                <w:lang w:eastAsia="it-IT"/>
              </w:rPr>
            </w:pPr>
            <w:r w:rsidRPr="0019790A">
              <w:rPr>
                <w:rFonts w:cs="Arial"/>
                <w:b/>
                <w:szCs w:val="22"/>
                <w:lang w:eastAsia="it-IT"/>
              </w:rPr>
              <w:t>«Живе мистецтво — жива громада: підтримка участі колективів громади у культурних конкурсах і фестивалях»</w:t>
            </w:r>
          </w:p>
        </w:tc>
      </w:tr>
      <w:tr w:rsidR="00B8248C" w:rsidRPr="0019790A" w14:paraId="549B088E" w14:textId="77777777" w:rsidTr="00D80A13">
        <w:trPr>
          <w:jc w:val="right"/>
        </w:trPr>
        <w:tc>
          <w:tcPr>
            <w:tcW w:w="3425" w:type="dxa"/>
          </w:tcPr>
          <w:p w14:paraId="2AAB9BAF" w14:textId="77777777" w:rsidR="00B8248C" w:rsidRPr="0019790A" w:rsidRDefault="00B8248C"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148046B1" w14:textId="77777777" w:rsidR="00B8248C" w:rsidRPr="0019790A" w:rsidRDefault="00B8248C"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9"/>
            <w:vAlign w:val="center"/>
          </w:tcPr>
          <w:p w14:paraId="1824BE08" w14:textId="77777777" w:rsidR="00B8248C" w:rsidRPr="00D80A13" w:rsidRDefault="00B8248C" w:rsidP="00D80A13">
            <w:pPr>
              <w:rPr>
                <w:rFonts w:cs="Arial"/>
                <w:szCs w:val="22"/>
                <w:lang w:eastAsia="it-IT"/>
              </w:rPr>
            </w:pPr>
            <w:r w:rsidRPr="00D80A13">
              <w:rPr>
                <w:rFonts w:cs="Arial"/>
                <w:szCs w:val="22"/>
                <w:lang w:eastAsia="it-IT"/>
              </w:rPr>
              <w:t>Управління культури і туризму Жмеринської міської ради</w:t>
            </w:r>
          </w:p>
        </w:tc>
      </w:tr>
      <w:tr w:rsidR="00B8248C" w:rsidRPr="0019790A" w14:paraId="4ABC35C1" w14:textId="77777777" w:rsidTr="00D80A13">
        <w:trPr>
          <w:jc w:val="right"/>
        </w:trPr>
        <w:tc>
          <w:tcPr>
            <w:tcW w:w="3425" w:type="dxa"/>
          </w:tcPr>
          <w:p w14:paraId="5AA40CA5" w14:textId="77777777" w:rsidR="00B8248C" w:rsidRPr="0019790A" w:rsidRDefault="00B8248C" w:rsidP="0019790A">
            <w:pPr>
              <w:rPr>
                <w:rFonts w:cs="Arial"/>
                <w:b/>
                <w:bCs/>
                <w:szCs w:val="22"/>
              </w:rPr>
            </w:pPr>
            <w:r w:rsidRPr="0019790A">
              <w:rPr>
                <w:rFonts w:cs="Arial"/>
                <w:szCs w:val="22"/>
                <w:lang w:eastAsia="it-IT"/>
              </w:rPr>
              <w:t>Прізвище Ім’я По-батькові:</w:t>
            </w:r>
          </w:p>
        </w:tc>
        <w:tc>
          <w:tcPr>
            <w:tcW w:w="6794" w:type="dxa"/>
            <w:gridSpan w:val="9"/>
            <w:vAlign w:val="center"/>
          </w:tcPr>
          <w:p w14:paraId="628606B5" w14:textId="77777777" w:rsidR="00B8248C" w:rsidRPr="00D80A13" w:rsidRDefault="00B8248C" w:rsidP="00D80A13">
            <w:pPr>
              <w:rPr>
                <w:rFonts w:cs="Arial"/>
                <w:szCs w:val="22"/>
                <w:lang w:eastAsia="it-IT"/>
              </w:rPr>
            </w:pPr>
            <w:r w:rsidRPr="00D80A13">
              <w:rPr>
                <w:rFonts w:cs="Arial"/>
                <w:szCs w:val="22"/>
                <w:lang w:eastAsia="it-IT"/>
              </w:rPr>
              <w:t>Дудік Володимир Валентинович</w:t>
            </w:r>
          </w:p>
        </w:tc>
      </w:tr>
      <w:tr w:rsidR="00B8248C" w:rsidRPr="0019790A" w14:paraId="7C67F7E3" w14:textId="77777777" w:rsidTr="00D80A13">
        <w:trPr>
          <w:jc w:val="right"/>
        </w:trPr>
        <w:tc>
          <w:tcPr>
            <w:tcW w:w="3425" w:type="dxa"/>
          </w:tcPr>
          <w:p w14:paraId="31670B73" w14:textId="77777777" w:rsidR="00B8248C" w:rsidRPr="0019790A" w:rsidRDefault="00B8248C" w:rsidP="0019790A">
            <w:pPr>
              <w:rPr>
                <w:rFonts w:cs="Arial"/>
                <w:b/>
                <w:bCs/>
                <w:szCs w:val="22"/>
              </w:rPr>
            </w:pPr>
            <w:r w:rsidRPr="0019790A">
              <w:rPr>
                <w:rFonts w:cs="Arial"/>
                <w:szCs w:val="22"/>
                <w:lang w:eastAsia="it-IT"/>
              </w:rPr>
              <w:t>Телефон (мобільний):</w:t>
            </w:r>
          </w:p>
        </w:tc>
        <w:tc>
          <w:tcPr>
            <w:tcW w:w="6794" w:type="dxa"/>
            <w:gridSpan w:val="9"/>
            <w:vAlign w:val="center"/>
          </w:tcPr>
          <w:p w14:paraId="592F088D" w14:textId="77777777" w:rsidR="00B8248C" w:rsidRPr="00D80A13" w:rsidRDefault="00B8248C" w:rsidP="00D80A13">
            <w:pPr>
              <w:rPr>
                <w:rFonts w:cs="Arial"/>
                <w:szCs w:val="22"/>
                <w:lang w:eastAsia="it-IT"/>
              </w:rPr>
            </w:pPr>
            <w:r w:rsidRPr="00D80A13">
              <w:rPr>
                <w:rFonts w:cs="Arial"/>
                <w:szCs w:val="22"/>
                <w:lang w:eastAsia="it-IT"/>
              </w:rPr>
              <w:t>0674303746</w:t>
            </w:r>
          </w:p>
        </w:tc>
      </w:tr>
      <w:tr w:rsidR="00B8248C" w:rsidRPr="0019790A" w14:paraId="68A84348" w14:textId="77777777" w:rsidTr="00D80A13">
        <w:trPr>
          <w:jc w:val="right"/>
        </w:trPr>
        <w:tc>
          <w:tcPr>
            <w:tcW w:w="3425" w:type="dxa"/>
          </w:tcPr>
          <w:p w14:paraId="3B9DCA88" w14:textId="77777777" w:rsidR="00B8248C" w:rsidRPr="0019790A" w:rsidRDefault="00B8248C" w:rsidP="0019790A">
            <w:pPr>
              <w:rPr>
                <w:rFonts w:cs="Arial"/>
                <w:b/>
                <w:bCs/>
                <w:szCs w:val="22"/>
              </w:rPr>
            </w:pPr>
            <w:r w:rsidRPr="0019790A">
              <w:rPr>
                <w:rFonts w:cs="Arial"/>
                <w:szCs w:val="22"/>
                <w:lang w:eastAsia="it-IT"/>
              </w:rPr>
              <w:t>Електронна адреса:</w:t>
            </w:r>
          </w:p>
        </w:tc>
        <w:tc>
          <w:tcPr>
            <w:tcW w:w="6794" w:type="dxa"/>
            <w:gridSpan w:val="9"/>
            <w:vAlign w:val="center"/>
          </w:tcPr>
          <w:p w14:paraId="2F6FA20B" w14:textId="3E0B9F98" w:rsidR="00B8248C" w:rsidRPr="00D80A13" w:rsidRDefault="00D85FFD" w:rsidP="00D80A13">
            <w:pPr>
              <w:rPr>
                <w:rFonts w:cs="Arial"/>
                <w:szCs w:val="22"/>
                <w:lang w:eastAsia="it-IT"/>
              </w:rPr>
            </w:pPr>
            <w:hyperlink r:id="rId133" w:history="1">
              <w:r w:rsidR="00D80A13" w:rsidRPr="00BF0394">
                <w:rPr>
                  <w:rStyle w:val="af0"/>
                  <w:rFonts w:cs="Arial"/>
                  <w:noProof w:val="0"/>
                  <w:sz w:val="22"/>
                  <w:szCs w:val="22"/>
                  <w:lang w:eastAsia="it-IT"/>
                </w:rPr>
                <w:t>kult@zhmr.gov.ua</w:t>
              </w:r>
            </w:hyperlink>
            <w:r w:rsidR="00D80A13">
              <w:rPr>
                <w:rFonts w:cs="Arial"/>
                <w:szCs w:val="22"/>
                <w:lang w:eastAsia="it-IT"/>
              </w:rPr>
              <w:t xml:space="preserve"> </w:t>
            </w:r>
          </w:p>
        </w:tc>
      </w:tr>
      <w:tr w:rsidR="00B8248C" w:rsidRPr="0019790A" w14:paraId="1A4DDFC0" w14:textId="77777777" w:rsidTr="00D80A13">
        <w:trPr>
          <w:jc w:val="right"/>
        </w:trPr>
        <w:tc>
          <w:tcPr>
            <w:tcW w:w="3425" w:type="dxa"/>
            <w:vAlign w:val="center"/>
          </w:tcPr>
          <w:p w14:paraId="1A29FF58" w14:textId="77777777" w:rsidR="00B8248C" w:rsidRPr="0019790A" w:rsidRDefault="00B8248C" w:rsidP="0019790A">
            <w:pPr>
              <w:outlineLvl w:val="5"/>
              <w:rPr>
                <w:rFonts w:cs="Arial"/>
                <w:b/>
                <w:bCs/>
                <w:color w:val="000000"/>
                <w:szCs w:val="22"/>
              </w:rPr>
            </w:pPr>
            <w:r w:rsidRPr="0019790A">
              <w:rPr>
                <w:rFonts w:cs="Arial"/>
                <w:b/>
                <w:bCs/>
                <w:color w:val="000000"/>
                <w:szCs w:val="22"/>
              </w:rPr>
              <w:t>Номер і назва завдання з Стратегії</w:t>
            </w:r>
            <w:r w:rsidRPr="0019790A">
              <w:rPr>
                <w:rFonts w:cs="Arial"/>
                <w:b/>
                <w:bCs/>
                <w:szCs w:val="22"/>
                <w:lang w:eastAsia="it-IT"/>
              </w:rPr>
              <w:t xml:space="preserve"> </w:t>
            </w:r>
            <w:r w:rsidRPr="0019790A">
              <w:rPr>
                <w:rFonts w:cs="Arial"/>
                <w:b/>
                <w:bCs/>
                <w:color w:val="000000"/>
                <w:szCs w:val="22"/>
              </w:rPr>
              <w:t>розвитку Жмеринської міської територіальної громади,  якому відповідає проєкт:</w:t>
            </w:r>
          </w:p>
        </w:tc>
        <w:tc>
          <w:tcPr>
            <w:tcW w:w="6794" w:type="dxa"/>
            <w:gridSpan w:val="9"/>
            <w:vAlign w:val="center"/>
          </w:tcPr>
          <w:p w14:paraId="583592CE" w14:textId="77777777" w:rsidR="00B8248C" w:rsidRPr="00D80A13" w:rsidRDefault="00B8248C" w:rsidP="00D80A13">
            <w:pPr>
              <w:pBdr>
                <w:left w:val="single" w:sz="18" w:space="4" w:color="auto"/>
              </w:pBdr>
              <w:rPr>
                <w:rFonts w:cs="Arial"/>
                <w:szCs w:val="22"/>
                <w:lang w:eastAsia="it-IT"/>
              </w:rPr>
            </w:pPr>
            <w:r w:rsidRPr="00D80A13">
              <w:rPr>
                <w:rFonts w:cs="Arial"/>
                <w:szCs w:val="22"/>
                <w:lang w:eastAsia="it-IT"/>
              </w:rPr>
              <w:t>С. 3.2. Розвиток народної та аматорської творчості. Участь аматорських колективів у обласних, Всеукраїнських та Міжнародних конкурсах і фестивалях.</w:t>
            </w:r>
          </w:p>
        </w:tc>
      </w:tr>
      <w:tr w:rsidR="00B8248C" w:rsidRPr="0019790A" w14:paraId="2A09BFA7" w14:textId="77777777" w:rsidTr="00D80A13">
        <w:trPr>
          <w:jc w:val="right"/>
        </w:trPr>
        <w:tc>
          <w:tcPr>
            <w:tcW w:w="3425" w:type="dxa"/>
            <w:vAlign w:val="center"/>
          </w:tcPr>
          <w:p w14:paraId="388D8658" w14:textId="77777777" w:rsidR="00B8248C" w:rsidRPr="0019790A" w:rsidRDefault="00B8248C" w:rsidP="0019790A">
            <w:pPr>
              <w:rPr>
                <w:rFonts w:cs="Arial"/>
                <w:b/>
                <w:bCs/>
                <w:color w:val="000000"/>
                <w:szCs w:val="22"/>
              </w:rPr>
            </w:pPr>
            <w:r w:rsidRPr="0019790A">
              <w:rPr>
                <w:rFonts w:cs="Arial"/>
                <w:b/>
                <w:bCs/>
                <w:color w:val="000000"/>
                <w:szCs w:val="22"/>
              </w:rPr>
              <w:t>Мета проєкту:</w:t>
            </w:r>
          </w:p>
        </w:tc>
        <w:tc>
          <w:tcPr>
            <w:tcW w:w="6794" w:type="dxa"/>
            <w:gridSpan w:val="9"/>
            <w:vAlign w:val="center"/>
          </w:tcPr>
          <w:p w14:paraId="28679D49" w14:textId="77777777" w:rsidR="00B8248C" w:rsidRPr="0019790A" w:rsidRDefault="00B8248C" w:rsidP="00D80A13">
            <w:pPr>
              <w:rPr>
                <w:rFonts w:cs="Arial"/>
                <w:szCs w:val="22"/>
                <w:lang w:eastAsia="it-IT"/>
              </w:rPr>
            </w:pPr>
            <w:r w:rsidRPr="0019790A">
              <w:rPr>
                <w:rFonts w:cs="Arial"/>
                <w:szCs w:val="22"/>
                <w:lang w:eastAsia="it-IT"/>
              </w:rPr>
              <w:t>Підтримати творчий розвиток аматорських колективів громади та забезпечити їх участь у культурних подіях регіонального, національного та міжнародного рівнів з метою популяризації культурної ідентичності Жмеринщини.</w:t>
            </w:r>
          </w:p>
        </w:tc>
      </w:tr>
      <w:tr w:rsidR="00B8248C" w:rsidRPr="0019790A" w14:paraId="21DD412E" w14:textId="77777777" w:rsidTr="00D80A13">
        <w:trPr>
          <w:jc w:val="right"/>
        </w:trPr>
        <w:tc>
          <w:tcPr>
            <w:tcW w:w="3425" w:type="dxa"/>
            <w:vAlign w:val="center"/>
          </w:tcPr>
          <w:p w14:paraId="530A441B" w14:textId="77777777" w:rsidR="00B8248C" w:rsidRPr="0019790A" w:rsidRDefault="00B8248C" w:rsidP="0019790A">
            <w:pPr>
              <w:rPr>
                <w:rFonts w:cs="Arial"/>
                <w:b/>
                <w:bCs/>
                <w:color w:val="000000"/>
                <w:szCs w:val="22"/>
              </w:rPr>
            </w:pPr>
            <w:r w:rsidRPr="0019790A">
              <w:rPr>
                <w:rFonts w:cs="Arial"/>
                <w:b/>
                <w:bCs/>
                <w:color w:val="000000"/>
                <w:szCs w:val="22"/>
              </w:rPr>
              <w:t>Цілі проєкту:</w:t>
            </w:r>
          </w:p>
        </w:tc>
        <w:tc>
          <w:tcPr>
            <w:tcW w:w="6794" w:type="dxa"/>
            <w:gridSpan w:val="9"/>
            <w:vAlign w:val="center"/>
          </w:tcPr>
          <w:p w14:paraId="4BE3A2DD" w14:textId="77777777" w:rsidR="00B8248C" w:rsidRPr="0019790A" w:rsidRDefault="00B8248C" w:rsidP="00D80A13">
            <w:pPr>
              <w:rPr>
                <w:rFonts w:cs="Arial"/>
                <w:szCs w:val="22"/>
                <w:lang w:eastAsia="it-IT"/>
              </w:rPr>
            </w:pPr>
            <w:r w:rsidRPr="0019790A">
              <w:rPr>
                <w:rFonts w:cs="Arial"/>
                <w:szCs w:val="22"/>
                <w:lang w:eastAsia="it-IT"/>
              </w:rPr>
              <w:t>  Розвиток творчого потенціалу народних і аматорських колективів</w:t>
            </w:r>
          </w:p>
          <w:p w14:paraId="76EBD711" w14:textId="77777777" w:rsidR="00B8248C" w:rsidRPr="0019790A" w:rsidRDefault="00B8248C" w:rsidP="00D80A13">
            <w:pPr>
              <w:rPr>
                <w:rFonts w:cs="Arial"/>
                <w:szCs w:val="22"/>
                <w:lang w:eastAsia="it-IT"/>
              </w:rPr>
            </w:pPr>
            <w:r w:rsidRPr="0019790A">
              <w:rPr>
                <w:rFonts w:cs="Arial"/>
                <w:szCs w:val="22"/>
                <w:lang w:eastAsia="it-IT"/>
              </w:rPr>
              <w:t>  Представлення культури громади на обласному, всеукраїнському та міжнародному рівнях</w:t>
            </w:r>
          </w:p>
          <w:p w14:paraId="50A69EC3" w14:textId="77777777" w:rsidR="00B8248C" w:rsidRPr="0019790A" w:rsidRDefault="00B8248C" w:rsidP="00D80A13">
            <w:pPr>
              <w:rPr>
                <w:rFonts w:cs="Arial"/>
                <w:szCs w:val="22"/>
                <w:lang w:eastAsia="it-IT"/>
              </w:rPr>
            </w:pPr>
            <w:r w:rsidRPr="0019790A">
              <w:rPr>
                <w:rFonts w:cs="Arial"/>
                <w:szCs w:val="22"/>
                <w:lang w:eastAsia="it-IT"/>
              </w:rPr>
              <w:t>  Підвищення престижу місцевих творчих колективів</w:t>
            </w:r>
          </w:p>
          <w:p w14:paraId="232574C9" w14:textId="77777777" w:rsidR="00B8248C" w:rsidRPr="0019790A" w:rsidRDefault="00B8248C" w:rsidP="00D80A13">
            <w:pPr>
              <w:rPr>
                <w:rFonts w:cs="Arial"/>
                <w:szCs w:val="22"/>
                <w:lang w:eastAsia="it-IT"/>
              </w:rPr>
            </w:pPr>
            <w:r w:rsidRPr="0019790A">
              <w:rPr>
                <w:rFonts w:cs="Arial"/>
                <w:szCs w:val="22"/>
                <w:lang w:eastAsia="it-IT"/>
              </w:rPr>
              <w:t>  Сприяння професійному зростанню керівників і учасників колективів</w:t>
            </w:r>
          </w:p>
          <w:p w14:paraId="6EFE039B" w14:textId="77777777" w:rsidR="00B8248C" w:rsidRPr="0019790A" w:rsidRDefault="00B8248C" w:rsidP="00D80A13">
            <w:pPr>
              <w:rPr>
                <w:rFonts w:cs="Arial"/>
                <w:szCs w:val="22"/>
                <w:lang w:eastAsia="it-IT"/>
              </w:rPr>
            </w:pPr>
            <w:r w:rsidRPr="0019790A">
              <w:rPr>
                <w:rFonts w:cs="Arial"/>
                <w:szCs w:val="22"/>
                <w:lang w:eastAsia="it-IT"/>
              </w:rPr>
              <w:t>  Зміцнення культурного іміджу Жмеринської громади</w:t>
            </w:r>
          </w:p>
        </w:tc>
      </w:tr>
      <w:tr w:rsidR="00B8248C" w:rsidRPr="0019790A" w14:paraId="597148D8" w14:textId="77777777" w:rsidTr="00D80A13">
        <w:trPr>
          <w:jc w:val="right"/>
        </w:trPr>
        <w:tc>
          <w:tcPr>
            <w:tcW w:w="3425" w:type="dxa"/>
            <w:vAlign w:val="center"/>
          </w:tcPr>
          <w:p w14:paraId="401A3C88" w14:textId="77777777" w:rsidR="00B8248C" w:rsidRPr="0019790A" w:rsidRDefault="00B8248C" w:rsidP="0019790A">
            <w:pPr>
              <w:autoSpaceDE w:val="0"/>
              <w:autoSpaceDN w:val="0"/>
              <w:adjustRightInd w:val="0"/>
              <w:rPr>
                <w:rFonts w:cs="Arial"/>
                <w:b/>
                <w:color w:val="000000"/>
                <w:szCs w:val="22"/>
              </w:rPr>
            </w:pPr>
            <w:r w:rsidRPr="0019790A">
              <w:rPr>
                <w:rFonts w:cs="Arial"/>
                <w:b/>
                <w:color w:val="000000"/>
                <w:szCs w:val="22"/>
              </w:rPr>
              <w:t>Територія на яку проєкт матиме вплив:</w:t>
            </w:r>
          </w:p>
        </w:tc>
        <w:tc>
          <w:tcPr>
            <w:tcW w:w="6794" w:type="dxa"/>
            <w:gridSpan w:val="9"/>
            <w:vAlign w:val="center"/>
          </w:tcPr>
          <w:p w14:paraId="4990F76F" w14:textId="77777777" w:rsidR="00B8248C" w:rsidRPr="0019790A" w:rsidRDefault="00B8248C" w:rsidP="00D80A13">
            <w:pPr>
              <w:rPr>
                <w:rFonts w:cs="Arial"/>
                <w:szCs w:val="22"/>
                <w:lang w:eastAsia="it-IT"/>
              </w:rPr>
            </w:pPr>
            <w:r w:rsidRPr="0019790A">
              <w:rPr>
                <w:rFonts w:cs="Arial"/>
                <w:szCs w:val="22"/>
                <w:lang w:eastAsia="it-IT"/>
              </w:rPr>
              <w:t>Жмеринська міська територіальна громада та вся територія України й закордон (у межах участі в заходах)</w:t>
            </w:r>
          </w:p>
        </w:tc>
      </w:tr>
      <w:tr w:rsidR="00B8248C" w:rsidRPr="0019790A" w14:paraId="7CA6C6CC" w14:textId="77777777" w:rsidTr="00D80A13">
        <w:trPr>
          <w:jc w:val="right"/>
        </w:trPr>
        <w:tc>
          <w:tcPr>
            <w:tcW w:w="3425" w:type="dxa"/>
            <w:vAlign w:val="center"/>
          </w:tcPr>
          <w:p w14:paraId="6A047968" w14:textId="77777777" w:rsidR="00B8248C" w:rsidRPr="0019790A" w:rsidRDefault="00B8248C" w:rsidP="0019790A">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4" w:type="dxa"/>
            <w:gridSpan w:val="9"/>
            <w:vAlign w:val="center"/>
          </w:tcPr>
          <w:p w14:paraId="48B27D0C" w14:textId="749C1DD1" w:rsidR="00B8248C" w:rsidRPr="0019790A" w:rsidRDefault="00B8248C" w:rsidP="00D80A13">
            <w:pPr>
              <w:jc w:val="both"/>
              <w:rPr>
                <w:rFonts w:cs="Arial"/>
                <w:szCs w:val="22"/>
                <w:lang w:eastAsia="it-IT"/>
              </w:rPr>
            </w:pPr>
            <w:r w:rsidRPr="0019790A">
              <w:rPr>
                <w:rFonts w:cs="Arial"/>
                <w:szCs w:val="22"/>
                <w:lang w:eastAsia="it-IT"/>
              </w:rPr>
              <w:t xml:space="preserve">  Аматорські та народні колективи громади – понад 52 </w:t>
            </w:r>
            <w:r w:rsidR="00D80A13" w:rsidRPr="0019790A">
              <w:rPr>
                <w:rFonts w:cs="Arial"/>
                <w:szCs w:val="22"/>
                <w:lang w:eastAsia="it-IT"/>
              </w:rPr>
              <w:t>колективу</w:t>
            </w:r>
            <w:r w:rsidRPr="0019790A">
              <w:rPr>
                <w:rFonts w:cs="Arial"/>
                <w:szCs w:val="22"/>
                <w:lang w:eastAsia="it-IT"/>
              </w:rPr>
              <w:t>, близько 800 учасників</w:t>
            </w:r>
          </w:p>
          <w:p w14:paraId="02740F47" w14:textId="77777777" w:rsidR="00B8248C" w:rsidRPr="0019790A" w:rsidRDefault="00B8248C" w:rsidP="00D80A13">
            <w:pPr>
              <w:jc w:val="both"/>
              <w:rPr>
                <w:rFonts w:cs="Arial"/>
                <w:szCs w:val="22"/>
                <w:lang w:eastAsia="it-IT"/>
              </w:rPr>
            </w:pPr>
            <w:r w:rsidRPr="0019790A">
              <w:rPr>
                <w:rFonts w:cs="Arial"/>
                <w:szCs w:val="22"/>
                <w:lang w:eastAsia="it-IT"/>
              </w:rPr>
              <w:t>  Глядачі концертів, фестивалів – тисячі осіб</w:t>
            </w:r>
          </w:p>
          <w:p w14:paraId="397AC912" w14:textId="77777777" w:rsidR="00B8248C" w:rsidRPr="0019790A" w:rsidRDefault="00B8248C" w:rsidP="00D80A13">
            <w:pPr>
              <w:jc w:val="both"/>
              <w:rPr>
                <w:rFonts w:cs="Arial"/>
                <w:szCs w:val="22"/>
                <w:lang w:eastAsia="it-IT"/>
              </w:rPr>
            </w:pPr>
            <w:r w:rsidRPr="0019790A">
              <w:rPr>
                <w:rFonts w:cs="Arial"/>
                <w:szCs w:val="22"/>
                <w:lang w:eastAsia="it-IT"/>
              </w:rPr>
              <w:t>  Жителі громади – як учасники, підтримка, мотивація</w:t>
            </w:r>
          </w:p>
          <w:p w14:paraId="36808CD0" w14:textId="77777777" w:rsidR="00B8248C" w:rsidRPr="0019790A" w:rsidRDefault="00B8248C" w:rsidP="00D80A13">
            <w:pPr>
              <w:jc w:val="both"/>
              <w:rPr>
                <w:rFonts w:cs="Arial"/>
                <w:szCs w:val="22"/>
                <w:lang w:eastAsia="it-IT"/>
              </w:rPr>
            </w:pPr>
            <w:r w:rsidRPr="0019790A">
              <w:rPr>
                <w:rFonts w:cs="Arial"/>
                <w:szCs w:val="22"/>
                <w:lang w:eastAsia="it-IT"/>
              </w:rPr>
              <w:t>  Молодь – як майбутні учасники, продовжувачі традицій</w:t>
            </w:r>
          </w:p>
        </w:tc>
      </w:tr>
      <w:tr w:rsidR="00B8248C" w:rsidRPr="0019790A" w14:paraId="2E9CC280" w14:textId="77777777" w:rsidTr="00D80A13">
        <w:trPr>
          <w:jc w:val="right"/>
        </w:trPr>
        <w:tc>
          <w:tcPr>
            <w:tcW w:w="3425" w:type="dxa"/>
            <w:shd w:val="clear" w:color="auto" w:fill="FFFFFF"/>
            <w:vAlign w:val="center"/>
          </w:tcPr>
          <w:p w14:paraId="25258C01" w14:textId="77777777" w:rsidR="00B8248C" w:rsidRPr="0019790A" w:rsidRDefault="00B8248C" w:rsidP="0019790A">
            <w:pPr>
              <w:rPr>
                <w:rFonts w:cs="Arial"/>
                <w:b/>
                <w:bCs/>
                <w:color w:val="000000"/>
                <w:szCs w:val="22"/>
              </w:rPr>
            </w:pPr>
            <w:r w:rsidRPr="0019790A">
              <w:rPr>
                <w:rFonts w:cs="Arial"/>
                <w:b/>
                <w:bCs/>
                <w:color w:val="000000"/>
                <w:szCs w:val="22"/>
              </w:rPr>
              <w:t>Стислий опис проєкту:</w:t>
            </w:r>
          </w:p>
        </w:tc>
        <w:tc>
          <w:tcPr>
            <w:tcW w:w="6794" w:type="dxa"/>
            <w:gridSpan w:val="9"/>
            <w:vAlign w:val="center"/>
          </w:tcPr>
          <w:p w14:paraId="2C78BAA3" w14:textId="77777777" w:rsidR="00B8248C" w:rsidRPr="0019790A" w:rsidRDefault="00B8248C" w:rsidP="00D80A13">
            <w:pPr>
              <w:jc w:val="both"/>
              <w:rPr>
                <w:rFonts w:cs="Arial"/>
                <w:szCs w:val="22"/>
                <w:lang w:eastAsia="it-IT"/>
              </w:rPr>
            </w:pPr>
            <w:r w:rsidRPr="0019790A">
              <w:rPr>
                <w:rFonts w:cs="Arial"/>
                <w:szCs w:val="22"/>
                <w:lang w:eastAsia="it-IT"/>
              </w:rPr>
              <w:t>Жмеринська громада має потужний аматорський мистецький потенціал – вокальні, хореографічні, театральні та фольклорні колективи. Їх активна участь у конкурсах і фестивалях сприяє збереженню культурної спадщини, формує позитивний імідж громади, мотивує молодь до творчості. Для підтримки цього напрямку потрібне фінансування витрат на поїздки, костюми, реквізит та проведення майстер-класів. Проєкт сприятиме підвищенню рівня підготовки колективів, розширенню мережі партнерств і презентації культури громади за її межами.</w:t>
            </w:r>
          </w:p>
        </w:tc>
      </w:tr>
      <w:tr w:rsidR="00B8248C" w:rsidRPr="0019790A" w14:paraId="0D55EF62" w14:textId="77777777" w:rsidTr="00D80A13">
        <w:trPr>
          <w:jc w:val="right"/>
        </w:trPr>
        <w:tc>
          <w:tcPr>
            <w:tcW w:w="3425" w:type="dxa"/>
            <w:shd w:val="clear" w:color="auto" w:fill="FFFFFF"/>
            <w:vAlign w:val="center"/>
          </w:tcPr>
          <w:p w14:paraId="4EDE86AF" w14:textId="77777777" w:rsidR="00B8248C" w:rsidRPr="0019790A" w:rsidRDefault="00B8248C" w:rsidP="0019790A">
            <w:pPr>
              <w:rPr>
                <w:rFonts w:cs="Arial"/>
                <w:b/>
                <w:bCs/>
                <w:color w:val="000000"/>
                <w:szCs w:val="22"/>
              </w:rPr>
            </w:pPr>
            <w:r w:rsidRPr="0019790A">
              <w:rPr>
                <w:rFonts w:cs="Arial"/>
                <w:b/>
                <w:bCs/>
                <w:color w:val="000000"/>
                <w:szCs w:val="22"/>
              </w:rPr>
              <w:t>Основні заходи проєкту:</w:t>
            </w:r>
          </w:p>
        </w:tc>
        <w:tc>
          <w:tcPr>
            <w:tcW w:w="6794" w:type="dxa"/>
            <w:gridSpan w:val="9"/>
            <w:vAlign w:val="center"/>
          </w:tcPr>
          <w:p w14:paraId="49E1CDC7" w14:textId="77777777" w:rsidR="00B8248C" w:rsidRPr="0019790A" w:rsidRDefault="00B8248C" w:rsidP="00D80A13">
            <w:pPr>
              <w:jc w:val="both"/>
              <w:rPr>
                <w:rFonts w:cs="Arial"/>
                <w:szCs w:val="22"/>
                <w:lang w:eastAsia="it-IT"/>
              </w:rPr>
            </w:pPr>
            <w:r w:rsidRPr="0019790A">
              <w:rPr>
                <w:rFonts w:cs="Arial"/>
                <w:szCs w:val="22"/>
                <w:lang w:eastAsia="it-IT"/>
              </w:rPr>
              <w:t>  Забезпечення участі творчих колективів у щонайменше 10 конкурсах, фестивалях на рік</w:t>
            </w:r>
          </w:p>
          <w:p w14:paraId="76A01BD6" w14:textId="77777777" w:rsidR="00B8248C" w:rsidRPr="0019790A" w:rsidRDefault="00B8248C" w:rsidP="00D80A13">
            <w:pPr>
              <w:jc w:val="both"/>
              <w:rPr>
                <w:rFonts w:cs="Arial"/>
                <w:szCs w:val="22"/>
                <w:lang w:eastAsia="it-IT"/>
              </w:rPr>
            </w:pPr>
            <w:r w:rsidRPr="0019790A">
              <w:rPr>
                <w:rFonts w:cs="Arial"/>
                <w:szCs w:val="22"/>
                <w:lang w:eastAsia="it-IT"/>
              </w:rPr>
              <w:t>  Оплата транспорту</w:t>
            </w:r>
          </w:p>
          <w:p w14:paraId="7758EB0F" w14:textId="77777777" w:rsidR="00B8248C" w:rsidRPr="0019790A" w:rsidRDefault="00B8248C" w:rsidP="00D80A13">
            <w:pPr>
              <w:jc w:val="both"/>
              <w:rPr>
                <w:rFonts w:cs="Arial"/>
                <w:szCs w:val="22"/>
                <w:lang w:eastAsia="it-IT"/>
              </w:rPr>
            </w:pPr>
            <w:r w:rsidRPr="0019790A">
              <w:rPr>
                <w:rFonts w:cs="Arial"/>
                <w:szCs w:val="22"/>
                <w:lang w:eastAsia="it-IT"/>
              </w:rPr>
              <w:t>  Закупівля сценічного реквізиту, костюмів, взуття</w:t>
            </w:r>
          </w:p>
          <w:p w14:paraId="293E8447" w14:textId="77777777" w:rsidR="00B8248C" w:rsidRPr="0019790A" w:rsidRDefault="00B8248C" w:rsidP="00D80A13">
            <w:pPr>
              <w:jc w:val="both"/>
              <w:rPr>
                <w:rFonts w:cs="Arial"/>
                <w:szCs w:val="22"/>
                <w:lang w:eastAsia="it-IT"/>
              </w:rPr>
            </w:pPr>
            <w:r w:rsidRPr="0019790A">
              <w:rPr>
                <w:rFonts w:cs="Arial"/>
                <w:szCs w:val="22"/>
                <w:lang w:eastAsia="it-IT"/>
              </w:rPr>
              <w:t>  Проведення підготовчих репетицій, тренінгів, майстер-класів</w:t>
            </w:r>
          </w:p>
          <w:p w14:paraId="5E656BF0" w14:textId="77777777" w:rsidR="00B8248C" w:rsidRPr="0019790A" w:rsidRDefault="00B8248C" w:rsidP="00D80A13">
            <w:pPr>
              <w:jc w:val="both"/>
              <w:rPr>
                <w:rFonts w:cs="Arial"/>
                <w:szCs w:val="22"/>
                <w:lang w:eastAsia="it-IT"/>
              </w:rPr>
            </w:pPr>
            <w:r w:rsidRPr="0019790A">
              <w:rPr>
                <w:rFonts w:cs="Arial"/>
                <w:szCs w:val="22"/>
                <w:lang w:eastAsia="it-IT"/>
              </w:rPr>
              <w:t>  Популяризація досягнень колективів у ЗМІ, соцмережах, через виставки і відео</w:t>
            </w:r>
          </w:p>
          <w:p w14:paraId="73EAAF59" w14:textId="77777777" w:rsidR="00B8248C" w:rsidRPr="0019790A" w:rsidRDefault="00B8248C" w:rsidP="00D80A13">
            <w:pPr>
              <w:jc w:val="both"/>
              <w:rPr>
                <w:rFonts w:cs="Arial"/>
                <w:szCs w:val="22"/>
                <w:lang w:eastAsia="it-IT"/>
              </w:rPr>
            </w:pPr>
            <w:r w:rsidRPr="0019790A">
              <w:rPr>
                <w:rFonts w:cs="Arial"/>
                <w:szCs w:val="22"/>
                <w:lang w:eastAsia="it-IT"/>
              </w:rPr>
              <w:t>  Підготовка презентаційних матеріалів про культуру громади</w:t>
            </w:r>
          </w:p>
        </w:tc>
      </w:tr>
      <w:tr w:rsidR="00B8248C" w:rsidRPr="0019790A" w14:paraId="69B2E773" w14:textId="77777777" w:rsidTr="00D80A13">
        <w:trPr>
          <w:jc w:val="right"/>
        </w:trPr>
        <w:tc>
          <w:tcPr>
            <w:tcW w:w="3425" w:type="dxa"/>
            <w:shd w:val="clear" w:color="auto" w:fill="FFFFFF"/>
            <w:vAlign w:val="center"/>
          </w:tcPr>
          <w:p w14:paraId="34CD346E" w14:textId="77777777" w:rsidR="00B8248C" w:rsidRPr="0019790A" w:rsidRDefault="00B8248C"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794" w:type="dxa"/>
            <w:gridSpan w:val="9"/>
            <w:vAlign w:val="center"/>
          </w:tcPr>
          <w:p w14:paraId="3F6131C8" w14:textId="77777777" w:rsidR="00B8248C" w:rsidRPr="0019790A" w:rsidRDefault="00B8248C" w:rsidP="00D80A13">
            <w:pPr>
              <w:jc w:val="both"/>
              <w:rPr>
                <w:rFonts w:cs="Arial"/>
                <w:szCs w:val="22"/>
                <w:lang w:eastAsia="it-IT"/>
              </w:rPr>
            </w:pPr>
            <w:r w:rsidRPr="0019790A">
              <w:rPr>
                <w:rFonts w:cs="Arial"/>
                <w:szCs w:val="22"/>
                <w:lang w:eastAsia="it-IT"/>
              </w:rPr>
              <w:t>  Кількість конкурсів і фестивалів з участю колективів – не менше 10/рік</w:t>
            </w:r>
          </w:p>
          <w:p w14:paraId="0EBFACFC" w14:textId="77777777" w:rsidR="00B8248C" w:rsidRPr="0019790A" w:rsidRDefault="00B8248C" w:rsidP="00D80A13">
            <w:pPr>
              <w:jc w:val="both"/>
              <w:rPr>
                <w:rFonts w:cs="Arial"/>
                <w:szCs w:val="22"/>
                <w:lang w:eastAsia="it-IT"/>
              </w:rPr>
            </w:pPr>
            <w:r w:rsidRPr="0019790A">
              <w:rPr>
                <w:rFonts w:cs="Arial"/>
                <w:szCs w:val="22"/>
                <w:lang w:eastAsia="it-IT"/>
              </w:rPr>
              <w:t>  Кількість творчих колективів, які залучено – понад 15</w:t>
            </w:r>
          </w:p>
          <w:p w14:paraId="6A5C0587" w14:textId="77777777" w:rsidR="00B8248C" w:rsidRPr="0019790A" w:rsidRDefault="00B8248C" w:rsidP="00D80A13">
            <w:pPr>
              <w:jc w:val="both"/>
              <w:rPr>
                <w:rFonts w:cs="Arial"/>
                <w:szCs w:val="22"/>
                <w:lang w:eastAsia="it-IT"/>
              </w:rPr>
            </w:pPr>
            <w:r w:rsidRPr="0019790A">
              <w:rPr>
                <w:rFonts w:cs="Arial"/>
                <w:szCs w:val="22"/>
                <w:lang w:eastAsia="it-IT"/>
              </w:rPr>
              <w:t>  Кількість нагород, дипломів – не менше 15 щорічно</w:t>
            </w:r>
          </w:p>
          <w:p w14:paraId="674CFEE8" w14:textId="77777777" w:rsidR="00B8248C" w:rsidRPr="0019790A" w:rsidRDefault="00B8248C" w:rsidP="00D80A13">
            <w:pPr>
              <w:jc w:val="both"/>
              <w:rPr>
                <w:rFonts w:cs="Arial"/>
                <w:szCs w:val="22"/>
                <w:lang w:eastAsia="it-IT"/>
              </w:rPr>
            </w:pPr>
            <w:r w:rsidRPr="0019790A">
              <w:rPr>
                <w:rFonts w:cs="Arial"/>
                <w:szCs w:val="22"/>
                <w:lang w:eastAsia="it-IT"/>
              </w:rPr>
              <w:t>  Кількість майстер-класів і тренінгів – не менше 6/рік</w:t>
            </w:r>
          </w:p>
          <w:p w14:paraId="0FDBF595" w14:textId="77777777" w:rsidR="00B8248C" w:rsidRPr="0019790A" w:rsidRDefault="00B8248C" w:rsidP="00D80A13">
            <w:pPr>
              <w:jc w:val="both"/>
              <w:rPr>
                <w:rFonts w:cs="Arial"/>
                <w:szCs w:val="22"/>
                <w:lang w:eastAsia="it-IT"/>
              </w:rPr>
            </w:pPr>
            <w:r w:rsidRPr="0019790A">
              <w:rPr>
                <w:rFonts w:cs="Arial"/>
                <w:szCs w:val="22"/>
                <w:lang w:eastAsia="it-IT"/>
              </w:rPr>
              <w:t>  Залучено нових учасників до аматорських колективів – +15% щорічно</w:t>
            </w:r>
          </w:p>
          <w:p w14:paraId="04690CCE" w14:textId="77777777" w:rsidR="00B8248C" w:rsidRPr="0019790A" w:rsidRDefault="00B8248C" w:rsidP="00D80A13">
            <w:pPr>
              <w:jc w:val="both"/>
              <w:rPr>
                <w:rFonts w:cs="Arial"/>
                <w:szCs w:val="22"/>
                <w:lang w:eastAsia="it-IT"/>
              </w:rPr>
            </w:pPr>
            <w:r w:rsidRPr="0019790A">
              <w:rPr>
                <w:rFonts w:cs="Arial"/>
                <w:szCs w:val="22"/>
                <w:lang w:eastAsia="it-IT"/>
              </w:rPr>
              <w:t>  Охоплення аудиторії через висвітлення – понад 50000 осіб</w:t>
            </w:r>
          </w:p>
          <w:p w14:paraId="4D1CECBD" w14:textId="77777777" w:rsidR="00B8248C" w:rsidRPr="0019790A" w:rsidRDefault="00B8248C" w:rsidP="00D80A13">
            <w:pPr>
              <w:jc w:val="both"/>
              <w:rPr>
                <w:rFonts w:cs="Arial"/>
                <w:szCs w:val="22"/>
                <w:lang w:eastAsia="it-IT"/>
              </w:rPr>
            </w:pPr>
          </w:p>
        </w:tc>
      </w:tr>
      <w:tr w:rsidR="00B8248C" w:rsidRPr="0019790A" w14:paraId="1FA36344" w14:textId="77777777" w:rsidTr="00B8248C">
        <w:trPr>
          <w:jc w:val="right"/>
        </w:trPr>
        <w:tc>
          <w:tcPr>
            <w:tcW w:w="3425" w:type="dxa"/>
            <w:shd w:val="clear" w:color="auto" w:fill="FFFFFF"/>
            <w:vAlign w:val="center"/>
          </w:tcPr>
          <w:p w14:paraId="0F6609FC" w14:textId="77777777" w:rsidR="00B8248C" w:rsidRPr="0019790A" w:rsidRDefault="00B8248C" w:rsidP="0019790A">
            <w:pPr>
              <w:rPr>
                <w:rFonts w:cs="Arial"/>
                <w:b/>
                <w:color w:val="000000"/>
                <w:szCs w:val="22"/>
              </w:rPr>
            </w:pPr>
            <w:r w:rsidRPr="0019790A">
              <w:rPr>
                <w:rFonts w:cs="Arial"/>
                <w:b/>
                <w:color w:val="000000"/>
                <w:szCs w:val="22"/>
              </w:rPr>
              <w:t xml:space="preserve">Період здійснення: </w:t>
            </w:r>
          </w:p>
        </w:tc>
        <w:tc>
          <w:tcPr>
            <w:tcW w:w="6794" w:type="dxa"/>
            <w:gridSpan w:val="9"/>
            <w:vAlign w:val="center"/>
          </w:tcPr>
          <w:p w14:paraId="5899CEE7" w14:textId="77777777" w:rsidR="00B8248C" w:rsidRPr="0019790A" w:rsidRDefault="00B8248C" w:rsidP="0019790A">
            <w:pPr>
              <w:rPr>
                <w:rFonts w:cs="Arial"/>
                <w:color w:val="000000"/>
                <w:szCs w:val="22"/>
                <w:lang w:eastAsia="it-IT"/>
              </w:rPr>
            </w:pPr>
            <w:r w:rsidRPr="0019790A">
              <w:rPr>
                <w:rFonts w:cs="Arial"/>
                <w:b/>
                <w:color w:val="000000"/>
                <w:szCs w:val="22"/>
              </w:rPr>
              <w:t>2025 – 2028 роки:</w:t>
            </w:r>
          </w:p>
        </w:tc>
      </w:tr>
      <w:tr w:rsidR="00B8248C" w:rsidRPr="0019790A" w14:paraId="70E7493F" w14:textId="77777777" w:rsidTr="00B8248C">
        <w:trPr>
          <w:jc w:val="right"/>
        </w:trPr>
        <w:tc>
          <w:tcPr>
            <w:tcW w:w="3425" w:type="dxa"/>
            <w:vMerge w:val="restart"/>
            <w:shd w:val="clear" w:color="auto" w:fill="FFFFFF"/>
            <w:vAlign w:val="center"/>
          </w:tcPr>
          <w:p w14:paraId="5A23D808" w14:textId="77777777" w:rsidR="00B8248C" w:rsidRPr="0019790A" w:rsidRDefault="00B8248C" w:rsidP="0019790A">
            <w:pPr>
              <w:rPr>
                <w:rFonts w:cs="Arial"/>
                <w:b/>
                <w:bCs/>
                <w:color w:val="000000"/>
                <w:szCs w:val="22"/>
              </w:rPr>
            </w:pPr>
            <w:r w:rsidRPr="0019790A">
              <w:rPr>
                <w:rFonts w:cs="Arial"/>
                <w:b/>
                <w:bCs/>
                <w:color w:val="000000"/>
                <w:szCs w:val="22"/>
              </w:rPr>
              <w:t>Орієнтовна вартість проєкту, тис. грн., в тому числі:</w:t>
            </w:r>
          </w:p>
        </w:tc>
        <w:tc>
          <w:tcPr>
            <w:tcW w:w="1254" w:type="dxa"/>
            <w:shd w:val="clear" w:color="auto" w:fill="E6E6E6"/>
            <w:vAlign w:val="center"/>
          </w:tcPr>
          <w:p w14:paraId="2C238AD1"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2025</w:t>
            </w:r>
          </w:p>
        </w:tc>
        <w:tc>
          <w:tcPr>
            <w:tcW w:w="1275" w:type="dxa"/>
            <w:gridSpan w:val="3"/>
            <w:shd w:val="clear" w:color="auto" w:fill="E6E6E6"/>
            <w:vAlign w:val="center"/>
          </w:tcPr>
          <w:p w14:paraId="6A913A95"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2026</w:t>
            </w:r>
          </w:p>
        </w:tc>
        <w:tc>
          <w:tcPr>
            <w:tcW w:w="1418" w:type="dxa"/>
            <w:gridSpan w:val="2"/>
            <w:tcBorders>
              <w:bottom w:val="single" w:sz="4" w:space="0" w:color="auto"/>
            </w:tcBorders>
            <w:shd w:val="clear" w:color="auto" w:fill="E6E6E6"/>
            <w:vAlign w:val="center"/>
          </w:tcPr>
          <w:p w14:paraId="60814AFB"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2027</w:t>
            </w:r>
          </w:p>
        </w:tc>
        <w:tc>
          <w:tcPr>
            <w:tcW w:w="1276" w:type="dxa"/>
            <w:shd w:val="clear" w:color="auto" w:fill="E6E6E6"/>
            <w:vAlign w:val="center"/>
          </w:tcPr>
          <w:p w14:paraId="5B266BC1"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2028</w:t>
            </w:r>
          </w:p>
        </w:tc>
        <w:tc>
          <w:tcPr>
            <w:tcW w:w="1571" w:type="dxa"/>
            <w:gridSpan w:val="2"/>
            <w:shd w:val="clear" w:color="auto" w:fill="E6E6E6"/>
            <w:vAlign w:val="center"/>
          </w:tcPr>
          <w:p w14:paraId="6C00AC85"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РАЗОМ</w:t>
            </w:r>
          </w:p>
        </w:tc>
      </w:tr>
      <w:tr w:rsidR="00B8248C" w:rsidRPr="0019790A" w14:paraId="3136E5E4" w14:textId="77777777" w:rsidTr="00B8248C">
        <w:trPr>
          <w:jc w:val="right"/>
        </w:trPr>
        <w:tc>
          <w:tcPr>
            <w:tcW w:w="3425" w:type="dxa"/>
            <w:vMerge/>
            <w:shd w:val="clear" w:color="auto" w:fill="FFFFFF"/>
            <w:vAlign w:val="center"/>
          </w:tcPr>
          <w:p w14:paraId="73F1FB7B" w14:textId="77777777" w:rsidR="00B8248C" w:rsidRPr="0019790A" w:rsidRDefault="00B8248C" w:rsidP="0019790A">
            <w:pPr>
              <w:rPr>
                <w:rFonts w:cs="Arial"/>
                <w:b/>
                <w:bCs/>
                <w:color w:val="000000"/>
                <w:szCs w:val="22"/>
              </w:rPr>
            </w:pPr>
          </w:p>
        </w:tc>
        <w:tc>
          <w:tcPr>
            <w:tcW w:w="1254" w:type="dxa"/>
            <w:vAlign w:val="center"/>
          </w:tcPr>
          <w:p w14:paraId="254998CB"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64,0</w:t>
            </w:r>
          </w:p>
        </w:tc>
        <w:tc>
          <w:tcPr>
            <w:tcW w:w="1275" w:type="dxa"/>
            <w:gridSpan w:val="3"/>
            <w:shd w:val="clear" w:color="auto" w:fill="FFFFFF"/>
            <w:vAlign w:val="center"/>
          </w:tcPr>
          <w:p w14:paraId="13776802"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64,0</w:t>
            </w:r>
          </w:p>
        </w:tc>
        <w:tc>
          <w:tcPr>
            <w:tcW w:w="1418" w:type="dxa"/>
            <w:gridSpan w:val="2"/>
            <w:shd w:val="clear" w:color="auto" w:fill="auto"/>
            <w:vAlign w:val="center"/>
          </w:tcPr>
          <w:p w14:paraId="66DDDA68"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64,0</w:t>
            </w:r>
          </w:p>
        </w:tc>
        <w:tc>
          <w:tcPr>
            <w:tcW w:w="1276" w:type="dxa"/>
            <w:shd w:val="clear" w:color="auto" w:fill="FFFFFF"/>
            <w:vAlign w:val="center"/>
          </w:tcPr>
          <w:p w14:paraId="6810C522"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100,0</w:t>
            </w:r>
          </w:p>
        </w:tc>
        <w:tc>
          <w:tcPr>
            <w:tcW w:w="1571" w:type="dxa"/>
            <w:gridSpan w:val="2"/>
            <w:shd w:val="clear" w:color="auto" w:fill="FFFFFF"/>
            <w:vAlign w:val="center"/>
          </w:tcPr>
          <w:p w14:paraId="6667A522"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292,0</w:t>
            </w:r>
          </w:p>
        </w:tc>
      </w:tr>
      <w:tr w:rsidR="00B8248C" w:rsidRPr="0019790A" w14:paraId="31DC3ADC" w14:textId="77777777" w:rsidTr="00B8248C">
        <w:trPr>
          <w:trHeight w:val="276"/>
          <w:jc w:val="right"/>
        </w:trPr>
        <w:tc>
          <w:tcPr>
            <w:tcW w:w="3425" w:type="dxa"/>
            <w:shd w:val="clear" w:color="auto" w:fill="FFFFFF"/>
            <w:vAlign w:val="center"/>
          </w:tcPr>
          <w:p w14:paraId="221E1BD2" w14:textId="77777777" w:rsidR="00B8248C" w:rsidRPr="0019790A" w:rsidRDefault="00B8248C" w:rsidP="0019790A">
            <w:pPr>
              <w:rPr>
                <w:rFonts w:cs="Arial"/>
                <w:b/>
                <w:bCs/>
                <w:color w:val="000000"/>
                <w:szCs w:val="22"/>
              </w:rPr>
            </w:pPr>
            <w:r w:rsidRPr="0019790A">
              <w:rPr>
                <w:rFonts w:cs="Arial"/>
                <w:b/>
                <w:bCs/>
                <w:color w:val="000000"/>
                <w:szCs w:val="22"/>
              </w:rPr>
              <w:t>по джерелах фінансування:</w:t>
            </w:r>
          </w:p>
        </w:tc>
        <w:tc>
          <w:tcPr>
            <w:tcW w:w="6794" w:type="dxa"/>
            <w:gridSpan w:val="9"/>
            <w:vAlign w:val="center"/>
          </w:tcPr>
          <w:p w14:paraId="781DFF68" w14:textId="77777777" w:rsidR="00B8248C" w:rsidRPr="0019790A" w:rsidRDefault="00B8248C" w:rsidP="0019790A">
            <w:pPr>
              <w:jc w:val="both"/>
              <w:rPr>
                <w:rFonts w:cs="Arial"/>
                <w:color w:val="000000"/>
                <w:szCs w:val="22"/>
                <w:lang w:eastAsia="it-IT"/>
              </w:rPr>
            </w:pPr>
          </w:p>
        </w:tc>
      </w:tr>
      <w:tr w:rsidR="00A62F09" w:rsidRPr="0019790A" w14:paraId="76270D97" w14:textId="4EFF3401" w:rsidTr="00A62F09">
        <w:trPr>
          <w:trHeight w:val="240"/>
          <w:jc w:val="right"/>
        </w:trPr>
        <w:tc>
          <w:tcPr>
            <w:tcW w:w="3425" w:type="dxa"/>
            <w:shd w:val="clear" w:color="auto" w:fill="FFFFFF"/>
            <w:vAlign w:val="center"/>
          </w:tcPr>
          <w:p w14:paraId="68CAC9FC" w14:textId="77777777" w:rsidR="00A62F09" w:rsidRPr="0019790A" w:rsidRDefault="00A62F09" w:rsidP="0019790A">
            <w:pPr>
              <w:rPr>
                <w:rFonts w:cs="Arial"/>
                <w:b/>
                <w:bCs/>
                <w:color w:val="000000"/>
                <w:szCs w:val="22"/>
              </w:rPr>
            </w:pPr>
            <w:r w:rsidRPr="0019790A">
              <w:rPr>
                <w:rFonts w:cs="Arial"/>
                <w:color w:val="000000"/>
                <w:szCs w:val="22"/>
              </w:rPr>
              <w:t>- державний бюджет</w:t>
            </w:r>
          </w:p>
        </w:tc>
        <w:tc>
          <w:tcPr>
            <w:tcW w:w="1265" w:type="dxa"/>
            <w:gridSpan w:val="2"/>
            <w:vAlign w:val="center"/>
          </w:tcPr>
          <w:p w14:paraId="46B3AE00" w14:textId="77777777" w:rsidR="00A62F09" w:rsidRPr="00A62F09" w:rsidRDefault="00A62F09" w:rsidP="00A62F09">
            <w:pPr>
              <w:jc w:val="center"/>
              <w:rPr>
                <w:rFonts w:cs="Arial"/>
                <w:color w:val="000000"/>
                <w:szCs w:val="22"/>
                <w:lang w:eastAsia="it-IT"/>
              </w:rPr>
            </w:pPr>
          </w:p>
        </w:tc>
        <w:tc>
          <w:tcPr>
            <w:tcW w:w="1215" w:type="dxa"/>
            <w:vAlign w:val="center"/>
          </w:tcPr>
          <w:p w14:paraId="62C54676" w14:textId="77777777" w:rsidR="00A62F09" w:rsidRPr="00A62F09" w:rsidRDefault="00A62F09" w:rsidP="00A62F09">
            <w:pPr>
              <w:jc w:val="center"/>
              <w:rPr>
                <w:rFonts w:cs="Arial"/>
                <w:color w:val="000000"/>
                <w:szCs w:val="22"/>
                <w:lang w:eastAsia="it-IT"/>
              </w:rPr>
            </w:pPr>
          </w:p>
        </w:tc>
        <w:tc>
          <w:tcPr>
            <w:tcW w:w="1427" w:type="dxa"/>
            <w:gridSpan w:val="2"/>
            <w:vAlign w:val="center"/>
          </w:tcPr>
          <w:p w14:paraId="7D87466F" w14:textId="77777777" w:rsidR="00A62F09" w:rsidRPr="00A62F09" w:rsidRDefault="00A62F09" w:rsidP="00A62F09">
            <w:pPr>
              <w:jc w:val="center"/>
              <w:rPr>
                <w:rFonts w:cs="Arial"/>
                <w:color w:val="000000"/>
                <w:szCs w:val="22"/>
                <w:lang w:eastAsia="it-IT"/>
              </w:rPr>
            </w:pPr>
          </w:p>
        </w:tc>
        <w:tc>
          <w:tcPr>
            <w:tcW w:w="1352" w:type="dxa"/>
            <w:gridSpan w:val="3"/>
            <w:vAlign w:val="center"/>
          </w:tcPr>
          <w:p w14:paraId="3AD20989" w14:textId="77777777" w:rsidR="00A62F09" w:rsidRPr="00A62F09" w:rsidRDefault="00A62F09" w:rsidP="00A62F09">
            <w:pPr>
              <w:jc w:val="center"/>
              <w:rPr>
                <w:rFonts w:cs="Arial"/>
                <w:color w:val="000000"/>
                <w:szCs w:val="22"/>
                <w:lang w:eastAsia="it-IT"/>
              </w:rPr>
            </w:pPr>
          </w:p>
        </w:tc>
        <w:tc>
          <w:tcPr>
            <w:tcW w:w="1535" w:type="dxa"/>
            <w:vAlign w:val="center"/>
          </w:tcPr>
          <w:p w14:paraId="2F7AF6A3" w14:textId="77777777" w:rsidR="00A62F09" w:rsidRPr="00A62F09" w:rsidRDefault="00A62F09" w:rsidP="00A62F09">
            <w:pPr>
              <w:jc w:val="center"/>
              <w:rPr>
                <w:rFonts w:cs="Arial"/>
                <w:color w:val="000000"/>
                <w:szCs w:val="22"/>
                <w:lang w:eastAsia="it-IT"/>
              </w:rPr>
            </w:pPr>
          </w:p>
        </w:tc>
      </w:tr>
      <w:tr w:rsidR="00A62F09" w:rsidRPr="0019790A" w14:paraId="68941CB7" w14:textId="5CB33AE2" w:rsidTr="00A62F09">
        <w:trPr>
          <w:trHeight w:val="254"/>
          <w:jc w:val="right"/>
        </w:trPr>
        <w:tc>
          <w:tcPr>
            <w:tcW w:w="3425" w:type="dxa"/>
            <w:shd w:val="clear" w:color="auto" w:fill="FFFFFF"/>
            <w:vAlign w:val="center"/>
          </w:tcPr>
          <w:p w14:paraId="534140A8" w14:textId="77777777" w:rsidR="00A62F09" w:rsidRPr="0019790A" w:rsidRDefault="00A62F09" w:rsidP="0019790A">
            <w:pPr>
              <w:rPr>
                <w:rFonts w:cs="Arial"/>
                <w:color w:val="000000"/>
                <w:szCs w:val="22"/>
              </w:rPr>
            </w:pPr>
            <w:r w:rsidRPr="0019790A">
              <w:rPr>
                <w:rFonts w:cs="Arial"/>
                <w:color w:val="000000"/>
                <w:szCs w:val="22"/>
              </w:rPr>
              <w:t>- обласний бюджет</w:t>
            </w:r>
          </w:p>
        </w:tc>
        <w:tc>
          <w:tcPr>
            <w:tcW w:w="1265" w:type="dxa"/>
            <w:gridSpan w:val="2"/>
            <w:vAlign w:val="center"/>
          </w:tcPr>
          <w:p w14:paraId="095A4EF7" w14:textId="77777777" w:rsidR="00A62F09" w:rsidRPr="00A62F09" w:rsidRDefault="00A62F09" w:rsidP="00A62F09">
            <w:pPr>
              <w:jc w:val="center"/>
              <w:rPr>
                <w:rFonts w:cs="Arial"/>
                <w:color w:val="000000"/>
                <w:szCs w:val="22"/>
                <w:lang w:eastAsia="it-IT"/>
              </w:rPr>
            </w:pPr>
          </w:p>
        </w:tc>
        <w:tc>
          <w:tcPr>
            <w:tcW w:w="1215" w:type="dxa"/>
            <w:vAlign w:val="center"/>
          </w:tcPr>
          <w:p w14:paraId="0E7406A7" w14:textId="77777777" w:rsidR="00A62F09" w:rsidRPr="00A62F09" w:rsidRDefault="00A62F09" w:rsidP="00A62F09">
            <w:pPr>
              <w:jc w:val="center"/>
              <w:rPr>
                <w:rFonts w:cs="Arial"/>
                <w:color w:val="000000"/>
                <w:szCs w:val="22"/>
                <w:lang w:eastAsia="it-IT"/>
              </w:rPr>
            </w:pPr>
          </w:p>
        </w:tc>
        <w:tc>
          <w:tcPr>
            <w:tcW w:w="1427" w:type="dxa"/>
            <w:gridSpan w:val="2"/>
            <w:vAlign w:val="center"/>
          </w:tcPr>
          <w:p w14:paraId="2F6FF79A" w14:textId="77777777" w:rsidR="00A62F09" w:rsidRPr="00A62F09" w:rsidRDefault="00A62F09" w:rsidP="00A62F09">
            <w:pPr>
              <w:jc w:val="center"/>
              <w:rPr>
                <w:rFonts w:cs="Arial"/>
                <w:color w:val="000000"/>
                <w:szCs w:val="22"/>
                <w:lang w:eastAsia="it-IT"/>
              </w:rPr>
            </w:pPr>
          </w:p>
        </w:tc>
        <w:tc>
          <w:tcPr>
            <w:tcW w:w="1352" w:type="dxa"/>
            <w:gridSpan w:val="3"/>
            <w:vAlign w:val="center"/>
          </w:tcPr>
          <w:p w14:paraId="4D875668" w14:textId="77777777" w:rsidR="00A62F09" w:rsidRPr="00A62F09" w:rsidRDefault="00A62F09" w:rsidP="00A62F09">
            <w:pPr>
              <w:jc w:val="center"/>
              <w:rPr>
                <w:rFonts w:cs="Arial"/>
                <w:color w:val="000000"/>
                <w:szCs w:val="22"/>
                <w:lang w:eastAsia="it-IT"/>
              </w:rPr>
            </w:pPr>
          </w:p>
        </w:tc>
        <w:tc>
          <w:tcPr>
            <w:tcW w:w="1535" w:type="dxa"/>
            <w:vAlign w:val="center"/>
          </w:tcPr>
          <w:p w14:paraId="62E6E909" w14:textId="77777777" w:rsidR="00A62F09" w:rsidRPr="00A62F09" w:rsidRDefault="00A62F09" w:rsidP="00A62F09">
            <w:pPr>
              <w:jc w:val="center"/>
              <w:rPr>
                <w:rFonts w:cs="Arial"/>
                <w:color w:val="000000"/>
                <w:szCs w:val="22"/>
                <w:lang w:eastAsia="it-IT"/>
              </w:rPr>
            </w:pPr>
          </w:p>
        </w:tc>
      </w:tr>
      <w:tr w:rsidR="00A62F09" w:rsidRPr="0019790A" w14:paraId="14C6BF9C" w14:textId="6C2B707D" w:rsidTr="00A62F09">
        <w:trPr>
          <w:trHeight w:val="275"/>
          <w:jc w:val="right"/>
        </w:trPr>
        <w:tc>
          <w:tcPr>
            <w:tcW w:w="3425" w:type="dxa"/>
            <w:shd w:val="clear" w:color="auto" w:fill="FFFFFF"/>
            <w:vAlign w:val="center"/>
          </w:tcPr>
          <w:p w14:paraId="151E8129" w14:textId="77777777" w:rsidR="00A62F09" w:rsidRPr="0019790A" w:rsidRDefault="00A62F09" w:rsidP="00A62F09">
            <w:pPr>
              <w:rPr>
                <w:rFonts w:cs="Arial"/>
                <w:color w:val="000000"/>
                <w:szCs w:val="22"/>
              </w:rPr>
            </w:pPr>
            <w:r w:rsidRPr="0019790A">
              <w:rPr>
                <w:rFonts w:cs="Arial"/>
                <w:color w:val="000000"/>
                <w:szCs w:val="22"/>
              </w:rPr>
              <w:t>- бюджет Жмеринської МТГ</w:t>
            </w:r>
          </w:p>
        </w:tc>
        <w:tc>
          <w:tcPr>
            <w:tcW w:w="1265" w:type="dxa"/>
            <w:gridSpan w:val="2"/>
            <w:vAlign w:val="center"/>
          </w:tcPr>
          <w:p w14:paraId="4E4DABDB" w14:textId="6672D274" w:rsidR="00A62F09" w:rsidRPr="00A62F09" w:rsidRDefault="00A62F09" w:rsidP="00A62F09">
            <w:pPr>
              <w:jc w:val="center"/>
              <w:rPr>
                <w:rFonts w:cs="Arial"/>
                <w:color w:val="000000"/>
                <w:szCs w:val="22"/>
                <w:lang w:eastAsia="it-IT"/>
              </w:rPr>
            </w:pPr>
            <w:r w:rsidRPr="00A62F09">
              <w:rPr>
                <w:rFonts w:cs="Arial"/>
                <w:color w:val="000000"/>
                <w:szCs w:val="22"/>
                <w:lang w:eastAsia="it-IT"/>
              </w:rPr>
              <w:t>64,0</w:t>
            </w:r>
          </w:p>
        </w:tc>
        <w:tc>
          <w:tcPr>
            <w:tcW w:w="1215" w:type="dxa"/>
            <w:vAlign w:val="center"/>
          </w:tcPr>
          <w:p w14:paraId="1EC83D50" w14:textId="5E00A9DE" w:rsidR="00A62F09" w:rsidRPr="00A62F09" w:rsidRDefault="00A62F09" w:rsidP="00A62F09">
            <w:pPr>
              <w:jc w:val="center"/>
              <w:rPr>
                <w:rFonts w:cs="Arial"/>
                <w:color w:val="000000"/>
                <w:szCs w:val="22"/>
                <w:lang w:eastAsia="it-IT"/>
              </w:rPr>
            </w:pPr>
            <w:r w:rsidRPr="00A62F09">
              <w:rPr>
                <w:rFonts w:cs="Arial"/>
                <w:color w:val="000000"/>
                <w:szCs w:val="22"/>
                <w:lang w:eastAsia="it-IT"/>
              </w:rPr>
              <w:t>64,0</w:t>
            </w:r>
          </w:p>
        </w:tc>
        <w:tc>
          <w:tcPr>
            <w:tcW w:w="1427" w:type="dxa"/>
            <w:gridSpan w:val="2"/>
            <w:vAlign w:val="center"/>
          </w:tcPr>
          <w:p w14:paraId="72FFD67F" w14:textId="5A81A1E8" w:rsidR="00A62F09" w:rsidRPr="00A62F09" w:rsidRDefault="00A62F09" w:rsidP="00A62F09">
            <w:pPr>
              <w:jc w:val="center"/>
              <w:rPr>
                <w:rFonts w:cs="Arial"/>
                <w:color w:val="000000"/>
                <w:szCs w:val="22"/>
                <w:lang w:eastAsia="it-IT"/>
              </w:rPr>
            </w:pPr>
            <w:r w:rsidRPr="00A62F09">
              <w:rPr>
                <w:rFonts w:cs="Arial"/>
                <w:color w:val="000000"/>
                <w:szCs w:val="22"/>
                <w:lang w:eastAsia="it-IT"/>
              </w:rPr>
              <w:t>64,0</w:t>
            </w:r>
          </w:p>
        </w:tc>
        <w:tc>
          <w:tcPr>
            <w:tcW w:w="1352" w:type="dxa"/>
            <w:gridSpan w:val="3"/>
            <w:vAlign w:val="center"/>
          </w:tcPr>
          <w:p w14:paraId="06BD0636" w14:textId="3A2D2F94" w:rsidR="00A62F09" w:rsidRPr="00A62F09" w:rsidRDefault="00A62F09" w:rsidP="00A62F09">
            <w:pPr>
              <w:jc w:val="center"/>
              <w:rPr>
                <w:rFonts w:cs="Arial"/>
                <w:color w:val="000000"/>
                <w:szCs w:val="22"/>
                <w:lang w:eastAsia="it-IT"/>
              </w:rPr>
            </w:pPr>
            <w:r w:rsidRPr="00A62F09">
              <w:rPr>
                <w:rFonts w:cs="Arial"/>
                <w:color w:val="000000"/>
                <w:szCs w:val="22"/>
                <w:lang w:eastAsia="it-IT"/>
              </w:rPr>
              <w:t>100,0</w:t>
            </w:r>
          </w:p>
        </w:tc>
        <w:tc>
          <w:tcPr>
            <w:tcW w:w="1535" w:type="dxa"/>
            <w:vAlign w:val="center"/>
          </w:tcPr>
          <w:p w14:paraId="598765B1" w14:textId="728702A0" w:rsidR="00A62F09" w:rsidRPr="00A62F09" w:rsidRDefault="00A62F09" w:rsidP="00A62F09">
            <w:pPr>
              <w:jc w:val="center"/>
              <w:rPr>
                <w:rFonts w:cs="Arial"/>
                <w:color w:val="000000"/>
                <w:szCs w:val="22"/>
                <w:lang w:eastAsia="it-IT"/>
              </w:rPr>
            </w:pPr>
            <w:r w:rsidRPr="00A62F09">
              <w:rPr>
                <w:rFonts w:cs="Arial"/>
                <w:color w:val="000000"/>
                <w:szCs w:val="22"/>
                <w:lang w:eastAsia="it-IT"/>
              </w:rPr>
              <w:t>292,0</w:t>
            </w:r>
          </w:p>
        </w:tc>
      </w:tr>
      <w:tr w:rsidR="00A62F09" w:rsidRPr="0019790A" w14:paraId="4B53C265" w14:textId="1A9B182C" w:rsidTr="00A62F09">
        <w:trPr>
          <w:trHeight w:val="226"/>
          <w:jc w:val="right"/>
        </w:trPr>
        <w:tc>
          <w:tcPr>
            <w:tcW w:w="3425" w:type="dxa"/>
            <w:shd w:val="clear" w:color="auto" w:fill="FFFFFF"/>
            <w:vAlign w:val="center"/>
          </w:tcPr>
          <w:p w14:paraId="27B18F5A" w14:textId="77777777" w:rsidR="00A62F09" w:rsidRPr="0019790A" w:rsidRDefault="00A62F09" w:rsidP="00A62F09">
            <w:pPr>
              <w:rPr>
                <w:rFonts w:cs="Arial"/>
                <w:color w:val="000000"/>
                <w:szCs w:val="22"/>
              </w:rPr>
            </w:pPr>
            <w:r w:rsidRPr="0019790A">
              <w:rPr>
                <w:rFonts w:cs="Arial"/>
                <w:color w:val="000000"/>
                <w:szCs w:val="22"/>
              </w:rPr>
              <w:t>- інші джерела фінансування</w:t>
            </w:r>
          </w:p>
        </w:tc>
        <w:tc>
          <w:tcPr>
            <w:tcW w:w="1265" w:type="dxa"/>
            <w:gridSpan w:val="2"/>
            <w:vAlign w:val="center"/>
          </w:tcPr>
          <w:p w14:paraId="61D534B4" w14:textId="77777777" w:rsidR="00A62F09" w:rsidRPr="00A62F09" w:rsidRDefault="00A62F09" w:rsidP="00A62F09">
            <w:pPr>
              <w:jc w:val="center"/>
              <w:rPr>
                <w:rFonts w:cs="Arial"/>
                <w:szCs w:val="22"/>
              </w:rPr>
            </w:pPr>
          </w:p>
        </w:tc>
        <w:tc>
          <w:tcPr>
            <w:tcW w:w="1215" w:type="dxa"/>
            <w:vAlign w:val="center"/>
          </w:tcPr>
          <w:p w14:paraId="21A640A1" w14:textId="77777777" w:rsidR="00A62F09" w:rsidRPr="00A62F09" w:rsidRDefault="00A62F09" w:rsidP="00A62F09">
            <w:pPr>
              <w:jc w:val="center"/>
              <w:rPr>
                <w:rFonts w:cs="Arial"/>
                <w:szCs w:val="22"/>
              </w:rPr>
            </w:pPr>
          </w:p>
        </w:tc>
        <w:tc>
          <w:tcPr>
            <w:tcW w:w="1427" w:type="dxa"/>
            <w:gridSpan w:val="2"/>
            <w:vAlign w:val="center"/>
          </w:tcPr>
          <w:p w14:paraId="15E66BEC" w14:textId="77777777" w:rsidR="00A62F09" w:rsidRPr="00A62F09" w:rsidRDefault="00A62F09" w:rsidP="00A62F09">
            <w:pPr>
              <w:jc w:val="center"/>
              <w:rPr>
                <w:rFonts w:cs="Arial"/>
                <w:szCs w:val="22"/>
              </w:rPr>
            </w:pPr>
          </w:p>
        </w:tc>
        <w:tc>
          <w:tcPr>
            <w:tcW w:w="1352" w:type="dxa"/>
            <w:gridSpan w:val="3"/>
            <w:vAlign w:val="center"/>
          </w:tcPr>
          <w:p w14:paraId="55F893A7" w14:textId="77777777" w:rsidR="00A62F09" w:rsidRPr="00A62F09" w:rsidRDefault="00A62F09" w:rsidP="00A62F09">
            <w:pPr>
              <w:jc w:val="center"/>
              <w:rPr>
                <w:rFonts w:cs="Arial"/>
                <w:szCs w:val="22"/>
              </w:rPr>
            </w:pPr>
          </w:p>
        </w:tc>
        <w:tc>
          <w:tcPr>
            <w:tcW w:w="1535" w:type="dxa"/>
            <w:vAlign w:val="center"/>
          </w:tcPr>
          <w:p w14:paraId="4AFB0D80" w14:textId="77777777" w:rsidR="00A62F09" w:rsidRPr="00A62F09" w:rsidRDefault="00A62F09" w:rsidP="00A62F09">
            <w:pPr>
              <w:jc w:val="center"/>
              <w:rPr>
                <w:rFonts w:cs="Arial"/>
                <w:szCs w:val="22"/>
              </w:rPr>
            </w:pPr>
          </w:p>
        </w:tc>
      </w:tr>
      <w:tr w:rsidR="00A62F09" w:rsidRPr="0019790A" w14:paraId="6B0195F6" w14:textId="77777777" w:rsidTr="00B8248C">
        <w:trPr>
          <w:jc w:val="right"/>
        </w:trPr>
        <w:tc>
          <w:tcPr>
            <w:tcW w:w="3425" w:type="dxa"/>
            <w:shd w:val="clear" w:color="auto" w:fill="FFFFFF"/>
            <w:vAlign w:val="center"/>
          </w:tcPr>
          <w:p w14:paraId="675570D5" w14:textId="77777777" w:rsidR="00A62F09" w:rsidRPr="0019790A" w:rsidRDefault="00A62F09" w:rsidP="00A62F09">
            <w:pPr>
              <w:rPr>
                <w:rFonts w:cs="Arial"/>
                <w:b/>
                <w:bCs/>
                <w:color w:val="000000"/>
                <w:szCs w:val="22"/>
              </w:rPr>
            </w:pPr>
            <w:r w:rsidRPr="0019790A">
              <w:rPr>
                <w:rFonts w:cs="Arial"/>
                <w:b/>
                <w:color w:val="000000"/>
                <w:szCs w:val="22"/>
              </w:rPr>
              <w:t>Відповідальний виконавець проєкту:</w:t>
            </w:r>
          </w:p>
        </w:tc>
        <w:tc>
          <w:tcPr>
            <w:tcW w:w="6794" w:type="dxa"/>
            <w:gridSpan w:val="9"/>
            <w:vAlign w:val="center"/>
          </w:tcPr>
          <w:p w14:paraId="53D69AE8" w14:textId="77777777" w:rsidR="00A62F09" w:rsidRPr="0019790A" w:rsidRDefault="00A62F09" w:rsidP="00A62F09">
            <w:pPr>
              <w:jc w:val="both"/>
              <w:rPr>
                <w:rFonts w:cs="Arial"/>
                <w:color w:val="000000"/>
                <w:szCs w:val="22"/>
                <w:lang w:eastAsia="it-IT"/>
              </w:rPr>
            </w:pPr>
            <w:r w:rsidRPr="0019790A">
              <w:rPr>
                <w:rFonts w:cs="Arial"/>
                <w:color w:val="000000"/>
                <w:szCs w:val="22"/>
                <w:lang w:eastAsia="it-IT"/>
              </w:rPr>
              <w:t>Управління культури і туризму Жмеринської міської ради спільно з закладами культури</w:t>
            </w:r>
          </w:p>
        </w:tc>
      </w:tr>
      <w:tr w:rsidR="00A62F09" w:rsidRPr="0019790A" w14:paraId="649AB405" w14:textId="77777777" w:rsidTr="00B8248C">
        <w:trPr>
          <w:jc w:val="right"/>
        </w:trPr>
        <w:tc>
          <w:tcPr>
            <w:tcW w:w="3425" w:type="dxa"/>
            <w:shd w:val="clear" w:color="auto" w:fill="FFFFFF"/>
            <w:vAlign w:val="center"/>
          </w:tcPr>
          <w:p w14:paraId="36E2FCD9" w14:textId="77777777" w:rsidR="00A62F09" w:rsidRPr="0019790A" w:rsidRDefault="00A62F09" w:rsidP="00A62F09">
            <w:pPr>
              <w:rPr>
                <w:rFonts w:cs="Arial"/>
                <w:b/>
                <w:bCs/>
                <w:color w:val="000000"/>
                <w:szCs w:val="22"/>
              </w:rPr>
            </w:pPr>
            <w:r w:rsidRPr="0019790A">
              <w:rPr>
                <w:rFonts w:cs="Arial"/>
                <w:b/>
                <w:bCs/>
                <w:color w:val="000000"/>
                <w:szCs w:val="22"/>
              </w:rPr>
              <w:t>Інше:</w:t>
            </w:r>
          </w:p>
        </w:tc>
        <w:tc>
          <w:tcPr>
            <w:tcW w:w="6794" w:type="dxa"/>
            <w:gridSpan w:val="9"/>
            <w:vAlign w:val="center"/>
          </w:tcPr>
          <w:p w14:paraId="3D0ADBB0" w14:textId="77777777" w:rsidR="00A62F09" w:rsidRPr="0019790A" w:rsidRDefault="00A62F09" w:rsidP="00A62F09">
            <w:pPr>
              <w:jc w:val="both"/>
              <w:rPr>
                <w:rFonts w:cs="Arial"/>
                <w:color w:val="000000"/>
                <w:szCs w:val="22"/>
                <w:lang w:eastAsia="it-IT"/>
              </w:rPr>
            </w:pPr>
            <w:r w:rsidRPr="0019790A">
              <w:rPr>
                <w:rFonts w:cs="Arial"/>
                <w:color w:val="000000"/>
                <w:szCs w:val="22"/>
                <w:lang w:eastAsia="it-IT"/>
              </w:rPr>
              <w:t>Цей проєкт — інвестиція в живу культурну традицію громади, в обличчя наших талантів, які формують позитивний образ Жмеринщини в Україні та світі.</w:t>
            </w:r>
          </w:p>
        </w:tc>
      </w:tr>
    </w:tbl>
    <w:p w14:paraId="1DF90FCA" w14:textId="77777777" w:rsidR="00B8248C" w:rsidRPr="0019790A" w:rsidRDefault="00B8248C" w:rsidP="0019790A">
      <w:pPr>
        <w:rPr>
          <w:rFonts w:cs="Arial"/>
          <w:szCs w:val="22"/>
        </w:rPr>
      </w:pPr>
    </w:p>
    <w:p w14:paraId="76DF8867" w14:textId="77777777" w:rsidR="00B8248C" w:rsidRPr="0019790A" w:rsidRDefault="00B8248C" w:rsidP="0019790A">
      <w:pPr>
        <w:jc w:val="right"/>
        <w:rPr>
          <w:rFonts w:cs="Arial"/>
          <w:b/>
          <w:szCs w:val="22"/>
          <w:highlight w:val="lightGray"/>
        </w:rPr>
      </w:pPr>
    </w:p>
    <w:p w14:paraId="210CEDBE" w14:textId="77777777" w:rsidR="00B8248C" w:rsidRPr="0019790A" w:rsidRDefault="00B8248C" w:rsidP="0019790A">
      <w:pPr>
        <w:jc w:val="center"/>
        <w:rPr>
          <w:rFonts w:cs="Arial"/>
          <w:b/>
          <w:color w:val="000000"/>
          <w:szCs w:val="22"/>
        </w:rPr>
      </w:pPr>
      <w:r w:rsidRPr="0019790A">
        <w:rPr>
          <w:rFonts w:cs="Arial"/>
          <w:b/>
          <w:color w:val="000000"/>
          <w:szCs w:val="22"/>
        </w:rPr>
        <w:t xml:space="preserve">Форма технічного завдання на проєкт місцевого розвитку </w:t>
      </w:r>
    </w:p>
    <w:p w14:paraId="0809644C" w14:textId="77777777" w:rsidR="00B8248C" w:rsidRPr="0019790A" w:rsidRDefault="00B8248C" w:rsidP="0019790A">
      <w:pPr>
        <w:jc w:val="center"/>
        <w:rPr>
          <w:rFonts w:cs="Arial"/>
          <w:b/>
          <w:color w:val="000000"/>
          <w:szCs w:val="22"/>
        </w:rPr>
      </w:pPr>
      <w:r w:rsidRPr="0019790A">
        <w:rPr>
          <w:rFonts w:cs="Arial"/>
          <w:b/>
          <w:color w:val="000000"/>
          <w:szCs w:val="22"/>
        </w:rPr>
        <w:t>до Плану заходів з реалізації Стратегії</w:t>
      </w:r>
    </w:p>
    <w:p w14:paraId="6B597C04" w14:textId="77777777" w:rsidR="00B8248C" w:rsidRPr="0019790A" w:rsidRDefault="00B8248C"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3"/>
        <w:gridCol w:w="1240"/>
        <w:gridCol w:w="14"/>
        <w:gridCol w:w="1276"/>
        <w:gridCol w:w="1418"/>
        <w:gridCol w:w="9"/>
        <w:gridCol w:w="1267"/>
        <w:gridCol w:w="1572"/>
      </w:tblGrid>
      <w:tr w:rsidR="00B8248C" w:rsidRPr="0019790A" w14:paraId="7F1650DA" w14:textId="77777777" w:rsidTr="00A62F09">
        <w:trPr>
          <w:trHeight w:val="423"/>
          <w:jc w:val="right"/>
        </w:trPr>
        <w:tc>
          <w:tcPr>
            <w:tcW w:w="3425" w:type="dxa"/>
            <w:vAlign w:val="center"/>
          </w:tcPr>
          <w:p w14:paraId="62F79F6F" w14:textId="77777777" w:rsidR="00B8248C" w:rsidRPr="0019790A" w:rsidRDefault="00B8248C" w:rsidP="0019790A">
            <w:pPr>
              <w:rPr>
                <w:rFonts w:cs="Arial"/>
                <w:b/>
                <w:bCs/>
                <w:color w:val="000000"/>
                <w:szCs w:val="22"/>
              </w:rPr>
            </w:pPr>
            <w:r w:rsidRPr="0019790A">
              <w:rPr>
                <w:rFonts w:cs="Arial"/>
                <w:b/>
                <w:bCs/>
                <w:color w:val="000000"/>
                <w:szCs w:val="22"/>
              </w:rPr>
              <w:t>Назва проєкту:</w:t>
            </w:r>
          </w:p>
        </w:tc>
        <w:tc>
          <w:tcPr>
            <w:tcW w:w="6794" w:type="dxa"/>
            <w:gridSpan w:val="7"/>
            <w:vAlign w:val="center"/>
          </w:tcPr>
          <w:p w14:paraId="50AC5A70" w14:textId="77777777" w:rsidR="00B8248C" w:rsidRPr="0019790A" w:rsidRDefault="00B8248C" w:rsidP="00A62F09">
            <w:pPr>
              <w:jc w:val="both"/>
              <w:rPr>
                <w:rFonts w:cs="Arial"/>
                <w:b/>
                <w:szCs w:val="22"/>
                <w:lang w:eastAsia="it-IT"/>
              </w:rPr>
            </w:pPr>
            <w:r w:rsidRPr="0019790A">
              <w:rPr>
                <w:rFonts w:cs="Arial"/>
                <w:b/>
                <w:szCs w:val="22"/>
                <w:lang w:eastAsia="it-IT"/>
              </w:rPr>
              <w:t>«Відкрита бібліотека: простір знань, ідей і зустрічей»</w:t>
            </w:r>
          </w:p>
        </w:tc>
      </w:tr>
      <w:tr w:rsidR="00B8248C" w:rsidRPr="0019790A" w14:paraId="036ED2BA" w14:textId="77777777" w:rsidTr="00A62F09">
        <w:trPr>
          <w:jc w:val="right"/>
        </w:trPr>
        <w:tc>
          <w:tcPr>
            <w:tcW w:w="3425" w:type="dxa"/>
          </w:tcPr>
          <w:p w14:paraId="1628B70E" w14:textId="77777777" w:rsidR="00B8248C" w:rsidRPr="0019790A" w:rsidRDefault="00B8248C"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3303514E" w14:textId="77777777" w:rsidR="00B8248C" w:rsidRPr="0019790A" w:rsidRDefault="00B8248C"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7"/>
            <w:vAlign w:val="center"/>
          </w:tcPr>
          <w:p w14:paraId="2152E02D" w14:textId="77777777" w:rsidR="00B8248C" w:rsidRPr="00A62F09" w:rsidRDefault="00B8248C" w:rsidP="00A62F09">
            <w:pPr>
              <w:rPr>
                <w:rFonts w:cs="Arial"/>
                <w:szCs w:val="22"/>
                <w:lang w:eastAsia="it-IT"/>
              </w:rPr>
            </w:pPr>
            <w:r w:rsidRPr="00A62F09">
              <w:rPr>
                <w:rFonts w:cs="Arial"/>
                <w:szCs w:val="22"/>
                <w:lang w:eastAsia="it-IT"/>
              </w:rPr>
              <w:t>КЗ Публічна бібліотека Жмеринської міської ТГ</w:t>
            </w:r>
          </w:p>
        </w:tc>
      </w:tr>
      <w:tr w:rsidR="00B8248C" w:rsidRPr="0019790A" w14:paraId="77C0EF27" w14:textId="77777777" w:rsidTr="00A62F09">
        <w:trPr>
          <w:jc w:val="right"/>
        </w:trPr>
        <w:tc>
          <w:tcPr>
            <w:tcW w:w="3425" w:type="dxa"/>
          </w:tcPr>
          <w:p w14:paraId="4D96DBC6" w14:textId="77777777" w:rsidR="00B8248C" w:rsidRPr="0019790A" w:rsidRDefault="00B8248C" w:rsidP="0019790A">
            <w:pPr>
              <w:rPr>
                <w:rFonts w:cs="Arial"/>
                <w:b/>
                <w:bCs/>
                <w:szCs w:val="22"/>
              </w:rPr>
            </w:pPr>
            <w:r w:rsidRPr="0019790A">
              <w:rPr>
                <w:rFonts w:cs="Arial"/>
                <w:szCs w:val="22"/>
                <w:lang w:eastAsia="it-IT"/>
              </w:rPr>
              <w:t>Прізвище Ім’я По-батькові:</w:t>
            </w:r>
          </w:p>
        </w:tc>
        <w:tc>
          <w:tcPr>
            <w:tcW w:w="6794" w:type="dxa"/>
            <w:gridSpan w:val="7"/>
            <w:vAlign w:val="center"/>
          </w:tcPr>
          <w:p w14:paraId="2F7A093B" w14:textId="77777777" w:rsidR="00B8248C" w:rsidRPr="00A62F09" w:rsidRDefault="00B8248C" w:rsidP="00A62F09">
            <w:pPr>
              <w:rPr>
                <w:rFonts w:cs="Arial"/>
                <w:szCs w:val="22"/>
                <w:lang w:eastAsia="it-IT"/>
              </w:rPr>
            </w:pPr>
            <w:r w:rsidRPr="00A62F09">
              <w:rPr>
                <w:rFonts w:cs="Arial"/>
                <w:szCs w:val="22"/>
                <w:lang w:eastAsia="it-IT"/>
              </w:rPr>
              <w:t>Будз Галина Іванівна</w:t>
            </w:r>
          </w:p>
        </w:tc>
      </w:tr>
      <w:tr w:rsidR="00B8248C" w:rsidRPr="0019790A" w14:paraId="77BBD792" w14:textId="77777777" w:rsidTr="00CA3FE6">
        <w:trPr>
          <w:trHeight w:val="351"/>
          <w:jc w:val="right"/>
        </w:trPr>
        <w:tc>
          <w:tcPr>
            <w:tcW w:w="3425" w:type="dxa"/>
            <w:vAlign w:val="center"/>
          </w:tcPr>
          <w:p w14:paraId="3FA39963" w14:textId="77777777" w:rsidR="00B8248C" w:rsidRPr="0019790A" w:rsidRDefault="00B8248C" w:rsidP="00CA3FE6">
            <w:pPr>
              <w:rPr>
                <w:rFonts w:cs="Arial"/>
                <w:b/>
                <w:bCs/>
                <w:szCs w:val="22"/>
              </w:rPr>
            </w:pPr>
            <w:r w:rsidRPr="0019790A">
              <w:rPr>
                <w:rFonts w:cs="Arial"/>
                <w:szCs w:val="22"/>
                <w:lang w:eastAsia="it-IT"/>
              </w:rPr>
              <w:t>Телефон (мобільний):</w:t>
            </w:r>
          </w:p>
        </w:tc>
        <w:tc>
          <w:tcPr>
            <w:tcW w:w="6794" w:type="dxa"/>
            <w:gridSpan w:val="7"/>
            <w:vAlign w:val="center"/>
          </w:tcPr>
          <w:p w14:paraId="02404C4D" w14:textId="77777777" w:rsidR="00B8248C" w:rsidRPr="00A62F09" w:rsidRDefault="00B8248C" w:rsidP="00A62F09">
            <w:pPr>
              <w:rPr>
                <w:rFonts w:cs="Arial"/>
                <w:szCs w:val="22"/>
                <w:lang w:eastAsia="it-IT"/>
              </w:rPr>
            </w:pPr>
            <w:r w:rsidRPr="00A62F09">
              <w:rPr>
                <w:rFonts w:cs="Arial"/>
                <w:szCs w:val="22"/>
                <w:lang w:eastAsia="it-IT"/>
              </w:rPr>
              <w:t>0973199260</w:t>
            </w:r>
          </w:p>
        </w:tc>
      </w:tr>
      <w:tr w:rsidR="00B8248C" w:rsidRPr="0019790A" w14:paraId="3D81F626" w14:textId="77777777" w:rsidTr="00CA3FE6">
        <w:trPr>
          <w:trHeight w:val="383"/>
          <w:jc w:val="right"/>
        </w:trPr>
        <w:tc>
          <w:tcPr>
            <w:tcW w:w="3425" w:type="dxa"/>
            <w:vAlign w:val="center"/>
          </w:tcPr>
          <w:p w14:paraId="7C4A05AE" w14:textId="77777777" w:rsidR="00B8248C" w:rsidRPr="0019790A" w:rsidRDefault="00B8248C" w:rsidP="00CA3FE6">
            <w:pPr>
              <w:rPr>
                <w:rFonts w:cs="Arial"/>
                <w:b/>
                <w:bCs/>
                <w:szCs w:val="22"/>
              </w:rPr>
            </w:pPr>
            <w:r w:rsidRPr="0019790A">
              <w:rPr>
                <w:rFonts w:cs="Arial"/>
                <w:szCs w:val="22"/>
                <w:lang w:eastAsia="it-IT"/>
              </w:rPr>
              <w:t>Електронна адреса:</w:t>
            </w:r>
          </w:p>
        </w:tc>
        <w:tc>
          <w:tcPr>
            <w:tcW w:w="6794" w:type="dxa"/>
            <w:gridSpan w:val="7"/>
            <w:vAlign w:val="center"/>
          </w:tcPr>
          <w:p w14:paraId="3EC8EEE7" w14:textId="1ECA9E1C" w:rsidR="00B8248C" w:rsidRPr="00A62F09" w:rsidRDefault="00D85FFD" w:rsidP="00A62F09">
            <w:pPr>
              <w:rPr>
                <w:rFonts w:cs="Arial"/>
                <w:szCs w:val="22"/>
                <w:lang w:eastAsia="it-IT"/>
              </w:rPr>
            </w:pPr>
            <w:hyperlink r:id="rId134" w:history="1">
              <w:r w:rsidR="00A62F09" w:rsidRPr="00BF0394">
                <w:rPr>
                  <w:rStyle w:val="af0"/>
                  <w:rFonts w:cs="Arial"/>
                  <w:noProof w:val="0"/>
                  <w:sz w:val="22"/>
                  <w:szCs w:val="22"/>
                  <w:lang w:eastAsia="it-IT"/>
                </w:rPr>
                <w:t>biblzhmer09@gmail.com</w:t>
              </w:r>
            </w:hyperlink>
            <w:r w:rsidR="00A62F09">
              <w:rPr>
                <w:rFonts w:cs="Arial"/>
                <w:szCs w:val="22"/>
                <w:lang w:eastAsia="it-IT"/>
              </w:rPr>
              <w:t xml:space="preserve"> </w:t>
            </w:r>
          </w:p>
        </w:tc>
      </w:tr>
      <w:tr w:rsidR="00B8248C" w:rsidRPr="0019790A" w14:paraId="4DAEB168" w14:textId="77777777" w:rsidTr="00A62F09">
        <w:trPr>
          <w:jc w:val="right"/>
        </w:trPr>
        <w:tc>
          <w:tcPr>
            <w:tcW w:w="3425" w:type="dxa"/>
            <w:vAlign w:val="center"/>
          </w:tcPr>
          <w:p w14:paraId="3DCCEEAA" w14:textId="77777777" w:rsidR="00B8248C" w:rsidRPr="0019790A" w:rsidRDefault="00B8248C" w:rsidP="0019790A">
            <w:pPr>
              <w:outlineLvl w:val="5"/>
              <w:rPr>
                <w:rFonts w:cs="Arial"/>
                <w:b/>
                <w:bCs/>
                <w:color w:val="000000"/>
                <w:szCs w:val="22"/>
              </w:rPr>
            </w:pPr>
            <w:r w:rsidRPr="0019790A">
              <w:rPr>
                <w:rFonts w:cs="Arial"/>
                <w:b/>
                <w:bCs/>
                <w:color w:val="000000"/>
                <w:szCs w:val="22"/>
              </w:rPr>
              <w:t>Номер і назва завдання з Стратегії</w:t>
            </w:r>
            <w:r w:rsidRPr="0019790A">
              <w:rPr>
                <w:rFonts w:cs="Arial"/>
                <w:b/>
                <w:bCs/>
                <w:szCs w:val="22"/>
                <w:lang w:eastAsia="it-IT"/>
              </w:rPr>
              <w:t xml:space="preserve"> </w:t>
            </w:r>
            <w:r w:rsidRPr="0019790A">
              <w:rPr>
                <w:rFonts w:cs="Arial"/>
                <w:b/>
                <w:bCs/>
                <w:color w:val="000000"/>
                <w:szCs w:val="22"/>
              </w:rPr>
              <w:t>розвитку Жмеринської міської територіальної громади,  якому відповідає проєкт:</w:t>
            </w:r>
          </w:p>
        </w:tc>
        <w:tc>
          <w:tcPr>
            <w:tcW w:w="6794" w:type="dxa"/>
            <w:gridSpan w:val="7"/>
            <w:vAlign w:val="center"/>
          </w:tcPr>
          <w:p w14:paraId="0BBF871A" w14:textId="0F9612A3" w:rsidR="00B8248C" w:rsidRPr="00A62F09" w:rsidRDefault="00B8248C" w:rsidP="00A62F09">
            <w:pPr>
              <w:pBdr>
                <w:left w:val="single" w:sz="18" w:space="4" w:color="auto"/>
              </w:pBdr>
              <w:jc w:val="both"/>
              <w:rPr>
                <w:rFonts w:cs="Arial"/>
                <w:szCs w:val="22"/>
                <w:lang w:eastAsia="it-IT"/>
              </w:rPr>
            </w:pPr>
            <w:r w:rsidRPr="00A62F09">
              <w:rPr>
                <w:rFonts w:cs="Arial"/>
                <w:iCs/>
                <w:szCs w:val="22"/>
                <w:lang w:eastAsia="it-IT"/>
              </w:rPr>
              <w:t>С.3.3. Новітня бібліотека. Бібліотека, як громадський центр. Облаштування бібліотек, як сучасного, креативного та комфортного простору для жителів громади.</w:t>
            </w:r>
          </w:p>
        </w:tc>
      </w:tr>
      <w:tr w:rsidR="00B8248C" w:rsidRPr="0019790A" w14:paraId="47D333B5" w14:textId="77777777" w:rsidTr="00A62F09">
        <w:trPr>
          <w:jc w:val="right"/>
        </w:trPr>
        <w:tc>
          <w:tcPr>
            <w:tcW w:w="3425" w:type="dxa"/>
            <w:vAlign w:val="center"/>
          </w:tcPr>
          <w:p w14:paraId="41D8CF21" w14:textId="77777777" w:rsidR="00B8248C" w:rsidRPr="0019790A" w:rsidRDefault="00B8248C" w:rsidP="0019790A">
            <w:pPr>
              <w:rPr>
                <w:rFonts w:cs="Arial"/>
                <w:b/>
                <w:bCs/>
                <w:color w:val="000000"/>
                <w:szCs w:val="22"/>
              </w:rPr>
            </w:pPr>
            <w:r w:rsidRPr="0019790A">
              <w:rPr>
                <w:rFonts w:cs="Arial"/>
                <w:b/>
                <w:bCs/>
                <w:color w:val="000000"/>
                <w:szCs w:val="22"/>
              </w:rPr>
              <w:t>Мета проєкту:</w:t>
            </w:r>
          </w:p>
        </w:tc>
        <w:tc>
          <w:tcPr>
            <w:tcW w:w="6794" w:type="dxa"/>
            <w:gridSpan w:val="7"/>
            <w:vAlign w:val="center"/>
          </w:tcPr>
          <w:p w14:paraId="358EF17E" w14:textId="77777777" w:rsidR="00B8248C" w:rsidRPr="0019790A" w:rsidRDefault="00B8248C" w:rsidP="00A62F09">
            <w:pPr>
              <w:jc w:val="both"/>
              <w:rPr>
                <w:rFonts w:cs="Arial"/>
                <w:szCs w:val="22"/>
                <w:lang w:eastAsia="it-IT"/>
              </w:rPr>
            </w:pPr>
            <w:r w:rsidRPr="0019790A">
              <w:rPr>
                <w:rFonts w:cs="Arial"/>
                <w:szCs w:val="22"/>
                <w:lang w:eastAsia="it-IT"/>
              </w:rPr>
              <w:t>Створення відкритого, доступного, комфортного середовища для навчання, творчості, відпочинку і спілкування на базі оновленої бібліотеки нового покоління</w:t>
            </w:r>
          </w:p>
        </w:tc>
      </w:tr>
      <w:tr w:rsidR="00B8248C" w:rsidRPr="0019790A" w14:paraId="0C68447D" w14:textId="77777777" w:rsidTr="00A62F09">
        <w:trPr>
          <w:jc w:val="right"/>
        </w:trPr>
        <w:tc>
          <w:tcPr>
            <w:tcW w:w="3425" w:type="dxa"/>
            <w:vAlign w:val="center"/>
          </w:tcPr>
          <w:p w14:paraId="0C7384CB" w14:textId="77777777" w:rsidR="00B8248C" w:rsidRPr="0019790A" w:rsidRDefault="00B8248C" w:rsidP="0019790A">
            <w:pPr>
              <w:rPr>
                <w:rFonts w:cs="Arial"/>
                <w:b/>
                <w:bCs/>
                <w:color w:val="000000"/>
                <w:szCs w:val="22"/>
              </w:rPr>
            </w:pPr>
            <w:r w:rsidRPr="0019790A">
              <w:rPr>
                <w:rFonts w:cs="Arial"/>
                <w:b/>
                <w:bCs/>
                <w:color w:val="000000"/>
                <w:szCs w:val="22"/>
              </w:rPr>
              <w:t>Цілі проєкту:</w:t>
            </w:r>
          </w:p>
        </w:tc>
        <w:tc>
          <w:tcPr>
            <w:tcW w:w="6794" w:type="dxa"/>
            <w:gridSpan w:val="7"/>
            <w:vAlign w:val="center"/>
          </w:tcPr>
          <w:p w14:paraId="46BA11A6" w14:textId="347B2CD6" w:rsidR="00B8248C" w:rsidRPr="0019790A" w:rsidRDefault="00B8248C" w:rsidP="00A62F09">
            <w:pPr>
              <w:jc w:val="both"/>
              <w:rPr>
                <w:rFonts w:cs="Arial"/>
                <w:szCs w:val="22"/>
                <w:lang w:eastAsia="it-IT"/>
              </w:rPr>
            </w:pPr>
            <w:r w:rsidRPr="0019790A">
              <w:rPr>
                <w:rFonts w:cs="Arial"/>
                <w:szCs w:val="22"/>
                <w:lang w:eastAsia="it-IT"/>
              </w:rPr>
              <w:t xml:space="preserve">  Розширити функціональність бібліотеки — від книги до </w:t>
            </w:r>
            <w:r w:rsidR="00CA3FE6" w:rsidRPr="0019790A">
              <w:rPr>
                <w:rFonts w:cs="Arial"/>
                <w:szCs w:val="22"/>
                <w:lang w:eastAsia="it-IT"/>
              </w:rPr>
              <w:t>ХАБу</w:t>
            </w:r>
            <w:r w:rsidRPr="0019790A">
              <w:rPr>
                <w:rFonts w:cs="Arial"/>
                <w:szCs w:val="22"/>
                <w:lang w:eastAsia="it-IT"/>
              </w:rPr>
              <w:t xml:space="preserve"> знань і можливостей</w:t>
            </w:r>
          </w:p>
          <w:p w14:paraId="6B43E618" w14:textId="77777777" w:rsidR="00B8248C" w:rsidRPr="0019790A" w:rsidRDefault="00B8248C" w:rsidP="00A62F09">
            <w:pPr>
              <w:jc w:val="both"/>
              <w:rPr>
                <w:rFonts w:cs="Arial"/>
                <w:szCs w:val="22"/>
                <w:lang w:eastAsia="it-IT"/>
              </w:rPr>
            </w:pPr>
            <w:r w:rsidRPr="0019790A">
              <w:rPr>
                <w:rFonts w:cs="Arial"/>
                <w:szCs w:val="22"/>
                <w:lang w:eastAsia="it-IT"/>
              </w:rPr>
              <w:t>  Забезпечити доступ до цифрових ресурсів та сучасної техніки</w:t>
            </w:r>
          </w:p>
          <w:p w14:paraId="26DF09ED" w14:textId="3303173B" w:rsidR="00B8248C" w:rsidRPr="0019790A" w:rsidRDefault="00CA3FE6" w:rsidP="00A62F09">
            <w:pPr>
              <w:jc w:val="both"/>
              <w:rPr>
                <w:rFonts w:cs="Arial"/>
                <w:szCs w:val="22"/>
                <w:lang w:eastAsia="it-IT"/>
              </w:rPr>
            </w:pPr>
            <w:r>
              <w:rPr>
                <w:rFonts w:cs="Arial"/>
                <w:szCs w:val="22"/>
                <w:lang w:eastAsia="it-IT"/>
              </w:rPr>
              <w:t xml:space="preserve"> </w:t>
            </w:r>
            <w:r w:rsidR="00B8248C" w:rsidRPr="0019790A">
              <w:rPr>
                <w:rFonts w:cs="Arial"/>
                <w:szCs w:val="22"/>
                <w:lang w:eastAsia="it-IT"/>
              </w:rPr>
              <w:t>Створити безпечний простір для спілкування, дозвілля і саморозвитку</w:t>
            </w:r>
          </w:p>
          <w:p w14:paraId="558C8F74" w14:textId="77777777" w:rsidR="00B8248C" w:rsidRPr="0019790A" w:rsidRDefault="00B8248C" w:rsidP="00A62F09">
            <w:pPr>
              <w:jc w:val="both"/>
              <w:rPr>
                <w:rFonts w:cs="Arial"/>
                <w:szCs w:val="22"/>
                <w:lang w:eastAsia="it-IT"/>
              </w:rPr>
            </w:pPr>
            <w:r w:rsidRPr="0019790A">
              <w:rPr>
                <w:rFonts w:cs="Arial"/>
                <w:szCs w:val="22"/>
                <w:lang w:eastAsia="it-IT"/>
              </w:rPr>
              <w:t>  Залучити нових користувачів: молодь, дітей, людей поважного віку, внутрішньо переміщених осіб</w:t>
            </w:r>
          </w:p>
        </w:tc>
      </w:tr>
      <w:tr w:rsidR="00B8248C" w:rsidRPr="0019790A" w14:paraId="285928B3" w14:textId="77777777" w:rsidTr="00A62F09">
        <w:trPr>
          <w:jc w:val="right"/>
        </w:trPr>
        <w:tc>
          <w:tcPr>
            <w:tcW w:w="3425" w:type="dxa"/>
            <w:vAlign w:val="center"/>
          </w:tcPr>
          <w:p w14:paraId="17181FBE" w14:textId="77777777" w:rsidR="00B8248C" w:rsidRPr="0019790A" w:rsidRDefault="00B8248C" w:rsidP="0019790A">
            <w:pPr>
              <w:autoSpaceDE w:val="0"/>
              <w:autoSpaceDN w:val="0"/>
              <w:adjustRightInd w:val="0"/>
              <w:rPr>
                <w:rFonts w:cs="Arial"/>
                <w:b/>
                <w:color w:val="000000"/>
                <w:szCs w:val="22"/>
              </w:rPr>
            </w:pPr>
            <w:r w:rsidRPr="0019790A">
              <w:rPr>
                <w:rFonts w:cs="Arial"/>
                <w:b/>
                <w:color w:val="000000"/>
                <w:szCs w:val="22"/>
              </w:rPr>
              <w:t>Територія на яку проєкт матиме вплив:</w:t>
            </w:r>
          </w:p>
        </w:tc>
        <w:tc>
          <w:tcPr>
            <w:tcW w:w="6794" w:type="dxa"/>
            <w:gridSpan w:val="7"/>
            <w:vAlign w:val="center"/>
          </w:tcPr>
          <w:p w14:paraId="13867592" w14:textId="77777777" w:rsidR="00B8248C" w:rsidRPr="0019790A" w:rsidRDefault="00B8248C" w:rsidP="00A62F09">
            <w:pPr>
              <w:jc w:val="both"/>
              <w:rPr>
                <w:rFonts w:cs="Arial"/>
                <w:szCs w:val="22"/>
                <w:lang w:eastAsia="it-IT"/>
              </w:rPr>
            </w:pPr>
            <w:r w:rsidRPr="0019790A">
              <w:rPr>
                <w:rFonts w:cs="Arial"/>
                <w:szCs w:val="22"/>
                <w:lang w:eastAsia="it-IT"/>
              </w:rPr>
              <w:t>Жмеринська територіальна громада</w:t>
            </w:r>
          </w:p>
        </w:tc>
      </w:tr>
      <w:tr w:rsidR="00B8248C" w:rsidRPr="0019790A" w14:paraId="73A1D9E1" w14:textId="77777777" w:rsidTr="00A62F09">
        <w:trPr>
          <w:jc w:val="right"/>
        </w:trPr>
        <w:tc>
          <w:tcPr>
            <w:tcW w:w="3425" w:type="dxa"/>
            <w:vAlign w:val="center"/>
          </w:tcPr>
          <w:p w14:paraId="7F7B1984" w14:textId="77777777" w:rsidR="00B8248C" w:rsidRPr="0019790A" w:rsidRDefault="00B8248C" w:rsidP="0019790A">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4" w:type="dxa"/>
            <w:gridSpan w:val="7"/>
            <w:vAlign w:val="center"/>
          </w:tcPr>
          <w:p w14:paraId="308EC987" w14:textId="77777777" w:rsidR="00B8248C" w:rsidRPr="0019790A" w:rsidRDefault="00B8248C" w:rsidP="00A62F09">
            <w:pPr>
              <w:jc w:val="both"/>
              <w:rPr>
                <w:rFonts w:cs="Arial"/>
                <w:szCs w:val="22"/>
                <w:lang w:eastAsia="it-IT"/>
              </w:rPr>
            </w:pPr>
            <w:r w:rsidRPr="0019790A">
              <w:rPr>
                <w:rFonts w:cs="Arial"/>
                <w:szCs w:val="22"/>
                <w:lang w:eastAsia="it-IT"/>
              </w:rPr>
              <w:t>  Діти, підлітки, молодь — понад 2000 осіб</w:t>
            </w:r>
          </w:p>
          <w:p w14:paraId="70D5FB29" w14:textId="77777777" w:rsidR="00B8248C" w:rsidRPr="0019790A" w:rsidRDefault="00B8248C" w:rsidP="00A62F09">
            <w:pPr>
              <w:jc w:val="both"/>
              <w:rPr>
                <w:rFonts w:cs="Arial"/>
                <w:szCs w:val="22"/>
                <w:lang w:eastAsia="it-IT"/>
              </w:rPr>
            </w:pPr>
            <w:r w:rsidRPr="0019790A">
              <w:rPr>
                <w:rFonts w:cs="Arial"/>
                <w:szCs w:val="22"/>
                <w:lang w:eastAsia="it-IT"/>
              </w:rPr>
              <w:t>  Люди старшого віку — 200+</w:t>
            </w:r>
          </w:p>
          <w:p w14:paraId="5C1139CC" w14:textId="77777777" w:rsidR="00B8248C" w:rsidRPr="0019790A" w:rsidRDefault="00B8248C" w:rsidP="00A62F09">
            <w:pPr>
              <w:jc w:val="both"/>
              <w:rPr>
                <w:rFonts w:cs="Arial"/>
                <w:szCs w:val="22"/>
                <w:lang w:eastAsia="it-IT"/>
              </w:rPr>
            </w:pPr>
            <w:r w:rsidRPr="0019790A">
              <w:rPr>
                <w:rFonts w:cs="Arial"/>
                <w:szCs w:val="22"/>
                <w:lang w:eastAsia="it-IT"/>
              </w:rPr>
              <w:t>  Освітяни, митці, активна громада — 200+</w:t>
            </w:r>
          </w:p>
          <w:p w14:paraId="1BE32226" w14:textId="77777777" w:rsidR="00B8248C" w:rsidRPr="0019790A" w:rsidRDefault="00B8248C" w:rsidP="00A62F09">
            <w:pPr>
              <w:jc w:val="both"/>
              <w:rPr>
                <w:rFonts w:cs="Arial"/>
                <w:szCs w:val="22"/>
                <w:lang w:eastAsia="it-IT"/>
              </w:rPr>
            </w:pPr>
            <w:r w:rsidRPr="0019790A">
              <w:rPr>
                <w:rFonts w:cs="Arial"/>
                <w:szCs w:val="22"/>
                <w:lang w:eastAsia="it-IT"/>
              </w:rPr>
              <w:t>  ВПО та вразливі категорії — до 100 осіб</w:t>
            </w:r>
          </w:p>
        </w:tc>
      </w:tr>
      <w:tr w:rsidR="00B8248C" w:rsidRPr="0019790A" w14:paraId="10F44FDD" w14:textId="77777777" w:rsidTr="00A62F09">
        <w:trPr>
          <w:jc w:val="right"/>
        </w:trPr>
        <w:tc>
          <w:tcPr>
            <w:tcW w:w="3425" w:type="dxa"/>
            <w:shd w:val="clear" w:color="auto" w:fill="FFFFFF"/>
            <w:vAlign w:val="center"/>
          </w:tcPr>
          <w:p w14:paraId="233070EB" w14:textId="77777777" w:rsidR="00B8248C" w:rsidRPr="0019790A" w:rsidRDefault="00B8248C" w:rsidP="0019790A">
            <w:pPr>
              <w:rPr>
                <w:rFonts w:cs="Arial"/>
                <w:b/>
                <w:bCs/>
                <w:color w:val="000000"/>
                <w:szCs w:val="22"/>
              </w:rPr>
            </w:pPr>
            <w:r w:rsidRPr="0019790A">
              <w:rPr>
                <w:rFonts w:cs="Arial"/>
                <w:b/>
                <w:bCs/>
                <w:color w:val="000000"/>
                <w:szCs w:val="22"/>
              </w:rPr>
              <w:t>Стислий опис проєкту:</w:t>
            </w:r>
          </w:p>
        </w:tc>
        <w:tc>
          <w:tcPr>
            <w:tcW w:w="6794" w:type="dxa"/>
            <w:gridSpan w:val="7"/>
            <w:vAlign w:val="center"/>
          </w:tcPr>
          <w:p w14:paraId="1468BBAB" w14:textId="77777777" w:rsidR="00B8248C" w:rsidRPr="0019790A" w:rsidRDefault="00B8248C" w:rsidP="00A62F09">
            <w:pPr>
              <w:jc w:val="both"/>
              <w:rPr>
                <w:rFonts w:cs="Arial"/>
                <w:szCs w:val="22"/>
                <w:lang w:eastAsia="it-IT"/>
              </w:rPr>
            </w:pPr>
            <w:r w:rsidRPr="0019790A">
              <w:rPr>
                <w:rFonts w:cs="Arial"/>
                <w:szCs w:val="22"/>
                <w:lang w:eastAsia="it-IT"/>
              </w:rPr>
              <w:t>Проєкт спрямований на трансформацію Публічної бібліотеки Жмеринської міської ТГ та Бібліотеку-філію ім. В. П. Вовкодава у сучасні інтелектуально-культурні простори. Завдяки ремонту, зонуванню, придбанню меблів, техніки, створенню творчих та освітніх зон (читальна, медіа, ігротека, коворкінг, тиха зона тощо), бібліотеки стануть привабливою платформою для різних вікових та соціальних груп. Простори будуть використовуватись для тренінгів, лекцій, кінопереглядів, клубів інтересів.</w:t>
            </w:r>
          </w:p>
        </w:tc>
      </w:tr>
      <w:tr w:rsidR="00B8248C" w:rsidRPr="0019790A" w14:paraId="3645A0DD" w14:textId="77777777" w:rsidTr="00A62F09">
        <w:trPr>
          <w:jc w:val="right"/>
        </w:trPr>
        <w:tc>
          <w:tcPr>
            <w:tcW w:w="3425" w:type="dxa"/>
            <w:shd w:val="clear" w:color="auto" w:fill="FFFFFF"/>
            <w:vAlign w:val="center"/>
          </w:tcPr>
          <w:p w14:paraId="07A8825E" w14:textId="77777777" w:rsidR="00B8248C" w:rsidRPr="0019790A" w:rsidRDefault="00B8248C" w:rsidP="0019790A">
            <w:pPr>
              <w:rPr>
                <w:rFonts w:cs="Arial"/>
                <w:b/>
                <w:bCs/>
                <w:color w:val="000000"/>
                <w:szCs w:val="22"/>
              </w:rPr>
            </w:pPr>
            <w:r w:rsidRPr="0019790A">
              <w:rPr>
                <w:rFonts w:cs="Arial"/>
                <w:b/>
                <w:bCs/>
                <w:color w:val="000000"/>
                <w:szCs w:val="22"/>
              </w:rPr>
              <w:t>Основні заходи проєкту:</w:t>
            </w:r>
          </w:p>
        </w:tc>
        <w:tc>
          <w:tcPr>
            <w:tcW w:w="6794" w:type="dxa"/>
            <w:gridSpan w:val="7"/>
            <w:vAlign w:val="center"/>
          </w:tcPr>
          <w:p w14:paraId="669E02A6" w14:textId="77777777" w:rsidR="00B8248C" w:rsidRPr="0019790A" w:rsidRDefault="00B8248C" w:rsidP="00A62F09">
            <w:pPr>
              <w:jc w:val="both"/>
              <w:rPr>
                <w:rFonts w:cs="Arial"/>
                <w:szCs w:val="22"/>
                <w:lang w:eastAsia="it-IT"/>
              </w:rPr>
            </w:pPr>
            <w:r w:rsidRPr="0019790A">
              <w:rPr>
                <w:rFonts w:cs="Arial"/>
                <w:szCs w:val="22"/>
                <w:lang w:eastAsia="it-IT"/>
              </w:rPr>
              <w:t>  Проведення ремонтних робіт та зонування приміщень</w:t>
            </w:r>
          </w:p>
          <w:p w14:paraId="56D8847A" w14:textId="0184820E" w:rsidR="00B8248C" w:rsidRPr="0019790A" w:rsidRDefault="00A62F09" w:rsidP="00A62F09">
            <w:pPr>
              <w:jc w:val="both"/>
              <w:rPr>
                <w:rFonts w:cs="Arial"/>
                <w:szCs w:val="22"/>
                <w:lang w:eastAsia="it-IT"/>
              </w:rPr>
            </w:pPr>
            <w:r>
              <w:rPr>
                <w:rFonts w:cs="Arial"/>
                <w:szCs w:val="22"/>
                <w:lang w:eastAsia="it-IT"/>
              </w:rPr>
              <w:t xml:space="preserve"> </w:t>
            </w:r>
            <w:r w:rsidR="00B8248C" w:rsidRPr="0019790A">
              <w:rPr>
                <w:rFonts w:cs="Arial"/>
                <w:szCs w:val="22"/>
                <w:lang w:eastAsia="it-IT"/>
              </w:rPr>
              <w:t>Придбання меблів, мультимедійного обладнання, комп’ютерної техніки</w:t>
            </w:r>
          </w:p>
          <w:p w14:paraId="4B5F24EB" w14:textId="77777777" w:rsidR="00B8248C" w:rsidRPr="0019790A" w:rsidRDefault="00B8248C" w:rsidP="00A62F09">
            <w:pPr>
              <w:jc w:val="both"/>
              <w:rPr>
                <w:rFonts w:cs="Arial"/>
                <w:szCs w:val="22"/>
                <w:lang w:eastAsia="it-IT"/>
              </w:rPr>
            </w:pPr>
            <w:r w:rsidRPr="0019790A">
              <w:rPr>
                <w:rFonts w:cs="Arial"/>
                <w:szCs w:val="22"/>
                <w:lang w:eastAsia="it-IT"/>
              </w:rPr>
              <w:t>  Створення окремих функціональних зон (дитяча, молодіжна, клубна, тиха, коворкінг)</w:t>
            </w:r>
          </w:p>
          <w:p w14:paraId="1C183B17" w14:textId="77777777" w:rsidR="00B8248C" w:rsidRPr="0019790A" w:rsidRDefault="00B8248C" w:rsidP="00A62F09">
            <w:pPr>
              <w:jc w:val="both"/>
              <w:rPr>
                <w:rFonts w:cs="Arial"/>
                <w:szCs w:val="22"/>
                <w:lang w:eastAsia="it-IT"/>
              </w:rPr>
            </w:pPr>
            <w:r w:rsidRPr="0019790A">
              <w:rPr>
                <w:rFonts w:cs="Arial"/>
                <w:szCs w:val="22"/>
                <w:lang w:eastAsia="it-IT"/>
              </w:rPr>
              <w:t>  Проведення заходів для популяризації нового формату бібліотек</w:t>
            </w:r>
          </w:p>
          <w:p w14:paraId="51DD6A58" w14:textId="7B85DE4D" w:rsidR="00B8248C" w:rsidRPr="0019790A" w:rsidRDefault="00B8248C" w:rsidP="00A62F09">
            <w:pPr>
              <w:jc w:val="both"/>
              <w:rPr>
                <w:rFonts w:cs="Arial"/>
                <w:szCs w:val="22"/>
                <w:lang w:eastAsia="it-IT"/>
              </w:rPr>
            </w:pPr>
            <w:r w:rsidRPr="0019790A">
              <w:rPr>
                <w:rFonts w:cs="Arial"/>
                <w:szCs w:val="22"/>
                <w:lang w:eastAsia="it-IT"/>
              </w:rPr>
              <w:t>  Навчання персоналу роботі в новому форматі</w:t>
            </w:r>
          </w:p>
        </w:tc>
      </w:tr>
      <w:tr w:rsidR="00B8248C" w:rsidRPr="0019790A" w14:paraId="15F400B1" w14:textId="77777777" w:rsidTr="00A62F09">
        <w:trPr>
          <w:jc w:val="right"/>
        </w:trPr>
        <w:tc>
          <w:tcPr>
            <w:tcW w:w="3425" w:type="dxa"/>
            <w:shd w:val="clear" w:color="auto" w:fill="FFFFFF"/>
            <w:vAlign w:val="center"/>
          </w:tcPr>
          <w:p w14:paraId="28391188" w14:textId="77777777" w:rsidR="00B8248C" w:rsidRPr="0019790A" w:rsidRDefault="00B8248C"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794" w:type="dxa"/>
            <w:gridSpan w:val="7"/>
            <w:vAlign w:val="center"/>
          </w:tcPr>
          <w:p w14:paraId="306260AE" w14:textId="77777777" w:rsidR="00B8248C" w:rsidRPr="0019790A" w:rsidRDefault="00B8248C" w:rsidP="00A62F09">
            <w:pPr>
              <w:jc w:val="both"/>
              <w:rPr>
                <w:rFonts w:cs="Arial"/>
                <w:szCs w:val="22"/>
                <w:lang w:eastAsia="it-IT"/>
              </w:rPr>
            </w:pPr>
            <w:r w:rsidRPr="0019790A">
              <w:rPr>
                <w:rFonts w:cs="Arial"/>
                <w:szCs w:val="22"/>
                <w:lang w:eastAsia="it-IT"/>
              </w:rPr>
              <w:t>  Відремонтовано та модернізовано 2 бібліотеки</w:t>
            </w:r>
          </w:p>
          <w:p w14:paraId="4923B79F" w14:textId="77777777" w:rsidR="00B8248C" w:rsidRPr="0019790A" w:rsidRDefault="00B8248C" w:rsidP="00A62F09">
            <w:pPr>
              <w:jc w:val="both"/>
              <w:rPr>
                <w:rFonts w:cs="Arial"/>
                <w:szCs w:val="22"/>
                <w:lang w:eastAsia="it-IT"/>
              </w:rPr>
            </w:pPr>
            <w:r w:rsidRPr="0019790A">
              <w:rPr>
                <w:rFonts w:cs="Arial"/>
                <w:szCs w:val="22"/>
                <w:lang w:eastAsia="it-IT"/>
              </w:rPr>
              <w:t>  Придбано щонайменше 20 одиниць техніки та меблів</w:t>
            </w:r>
          </w:p>
          <w:p w14:paraId="7A482261" w14:textId="77777777" w:rsidR="00B8248C" w:rsidRPr="0019790A" w:rsidRDefault="00B8248C" w:rsidP="00A62F09">
            <w:pPr>
              <w:jc w:val="both"/>
              <w:rPr>
                <w:rFonts w:cs="Arial"/>
                <w:szCs w:val="22"/>
                <w:lang w:eastAsia="it-IT"/>
              </w:rPr>
            </w:pPr>
            <w:r w:rsidRPr="0019790A">
              <w:rPr>
                <w:rFonts w:cs="Arial"/>
                <w:szCs w:val="22"/>
                <w:lang w:eastAsia="it-IT"/>
              </w:rPr>
              <w:t>  Кількість відвідувачів зросла на 10% протягом першого року</w:t>
            </w:r>
          </w:p>
          <w:p w14:paraId="3C5BD85A" w14:textId="77777777" w:rsidR="00B8248C" w:rsidRPr="0019790A" w:rsidRDefault="00B8248C" w:rsidP="00A62F09">
            <w:pPr>
              <w:jc w:val="both"/>
              <w:rPr>
                <w:rFonts w:cs="Arial"/>
                <w:szCs w:val="22"/>
                <w:lang w:eastAsia="it-IT"/>
              </w:rPr>
            </w:pPr>
            <w:r w:rsidRPr="0019790A">
              <w:rPr>
                <w:rFonts w:cs="Arial"/>
                <w:szCs w:val="22"/>
                <w:lang w:eastAsia="it-IT"/>
              </w:rPr>
              <w:t>  Проведено понад 50 заходів у нових просторах</w:t>
            </w:r>
          </w:p>
          <w:p w14:paraId="368135A6" w14:textId="2811AFAF" w:rsidR="00B8248C" w:rsidRPr="0019790A" w:rsidRDefault="00B8248C" w:rsidP="00A62F09">
            <w:pPr>
              <w:jc w:val="both"/>
              <w:rPr>
                <w:rFonts w:cs="Arial"/>
                <w:szCs w:val="22"/>
                <w:lang w:eastAsia="it-IT"/>
              </w:rPr>
            </w:pPr>
            <w:r w:rsidRPr="0019790A">
              <w:rPr>
                <w:rFonts w:cs="Arial"/>
                <w:szCs w:val="22"/>
                <w:lang w:eastAsia="it-IT"/>
              </w:rPr>
              <w:t>  Не менше 100 нових активних користувачів за рік</w:t>
            </w:r>
          </w:p>
        </w:tc>
      </w:tr>
      <w:tr w:rsidR="00B8248C" w:rsidRPr="0019790A" w14:paraId="0FB43A55" w14:textId="77777777" w:rsidTr="00A62F09">
        <w:trPr>
          <w:jc w:val="right"/>
        </w:trPr>
        <w:tc>
          <w:tcPr>
            <w:tcW w:w="3425" w:type="dxa"/>
            <w:shd w:val="clear" w:color="auto" w:fill="FFFFFF"/>
            <w:vAlign w:val="center"/>
          </w:tcPr>
          <w:p w14:paraId="4CCB428B" w14:textId="77777777" w:rsidR="00B8248C" w:rsidRPr="0019790A" w:rsidRDefault="00B8248C" w:rsidP="0019790A">
            <w:pPr>
              <w:rPr>
                <w:rFonts w:cs="Arial"/>
                <w:b/>
                <w:color w:val="000000"/>
                <w:szCs w:val="22"/>
              </w:rPr>
            </w:pPr>
            <w:r w:rsidRPr="0019790A">
              <w:rPr>
                <w:rFonts w:cs="Arial"/>
                <w:b/>
                <w:color w:val="000000"/>
                <w:szCs w:val="22"/>
              </w:rPr>
              <w:t xml:space="preserve">Період здійснення: </w:t>
            </w:r>
          </w:p>
        </w:tc>
        <w:tc>
          <w:tcPr>
            <w:tcW w:w="6794" w:type="dxa"/>
            <w:gridSpan w:val="7"/>
            <w:vAlign w:val="center"/>
          </w:tcPr>
          <w:p w14:paraId="2CC4A9D6" w14:textId="77777777" w:rsidR="00B8248C" w:rsidRPr="0019790A" w:rsidRDefault="00B8248C" w:rsidP="00A62F09">
            <w:pPr>
              <w:rPr>
                <w:rFonts w:cs="Arial"/>
                <w:color w:val="000000"/>
                <w:szCs w:val="22"/>
                <w:lang w:eastAsia="it-IT"/>
              </w:rPr>
            </w:pPr>
            <w:r w:rsidRPr="0019790A">
              <w:rPr>
                <w:rFonts w:cs="Arial"/>
                <w:b/>
                <w:color w:val="000000"/>
                <w:szCs w:val="22"/>
              </w:rPr>
              <w:t>2025 – 2028 роки:</w:t>
            </w:r>
          </w:p>
        </w:tc>
      </w:tr>
      <w:tr w:rsidR="00B8248C" w:rsidRPr="0019790A" w14:paraId="5AE92677" w14:textId="77777777" w:rsidTr="00A62F09">
        <w:trPr>
          <w:jc w:val="right"/>
        </w:trPr>
        <w:tc>
          <w:tcPr>
            <w:tcW w:w="3425" w:type="dxa"/>
            <w:vMerge w:val="restart"/>
            <w:shd w:val="clear" w:color="auto" w:fill="FFFFFF"/>
            <w:vAlign w:val="center"/>
          </w:tcPr>
          <w:p w14:paraId="102E7C37" w14:textId="77777777" w:rsidR="00B8248C" w:rsidRPr="0019790A" w:rsidRDefault="00B8248C" w:rsidP="0019790A">
            <w:pPr>
              <w:rPr>
                <w:rFonts w:cs="Arial"/>
                <w:b/>
                <w:bCs/>
                <w:color w:val="000000"/>
                <w:szCs w:val="22"/>
              </w:rPr>
            </w:pPr>
            <w:r w:rsidRPr="0019790A">
              <w:rPr>
                <w:rFonts w:cs="Arial"/>
                <w:b/>
                <w:bCs/>
                <w:color w:val="000000"/>
                <w:szCs w:val="22"/>
              </w:rPr>
              <w:t>Орієнтовна вартість проєкту, тис. грн., в тому числі:</w:t>
            </w:r>
          </w:p>
        </w:tc>
        <w:tc>
          <w:tcPr>
            <w:tcW w:w="1254" w:type="dxa"/>
            <w:gridSpan w:val="2"/>
            <w:shd w:val="clear" w:color="auto" w:fill="E6E6E6"/>
            <w:vAlign w:val="center"/>
          </w:tcPr>
          <w:p w14:paraId="625FF955" w14:textId="77777777" w:rsidR="00B8248C" w:rsidRPr="0019790A" w:rsidRDefault="00B8248C" w:rsidP="00A62F09">
            <w:pPr>
              <w:jc w:val="center"/>
              <w:rPr>
                <w:rFonts w:cs="Arial"/>
                <w:b/>
                <w:color w:val="000000"/>
                <w:szCs w:val="22"/>
                <w:lang w:eastAsia="it-IT"/>
              </w:rPr>
            </w:pPr>
            <w:r w:rsidRPr="0019790A">
              <w:rPr>
                <w:rFonts w:cs="Arial"/>
                <w:b/>
                <w:color w:val="000000"/>
                <w:szCs w:val="22"/>
                <w:lang w:eastAsia="it-IT"/>
              </w:rPr>
              <w:t>2025</w:t>
            </w:r>
          </w:p>
        </w:tc>
        <w:tc>
          <w:tcPr>
            <w:tcW w:w="1275" w:type="dxa"/>
            <w:shd w:val="clear" w:color="auto" w:fill="E6E6E6"/>
            <w:vAlign w:val="center"/>
          </w:tcPr>
          <w:p w14:paraId="16ED2A4B" w14:textId="77777777" w:rsidR="00B8248C" w:rsidRPr="0019790A" w:rsidRDefault="00B8248C" w:rsidP="00A62F09">
            <w:pPr>
              <w:jc w:val="center"/>
              <w:rPr>
                <w:rFonts w:cs="Arial"/>
                <w:b/>
                <w:color w:val="000000"/>
                <w:szCs w:val="22"/>
                <w:lang w:eastAsia="it-IT"/>
              </w:rPr>
            </w:pPr>
            <w:r w:rsidRPr="0019790A">
              <w:rPr>
                <w:rFonts w:cs="Arial"/>
                <w:b/>
                <w:color w:val="000000"/>
                <w:szCs w:val="22"/>
                <w:lang w:eastAsia="it-IT"/>
              </w:rPr>
              <w:t>2026</w:t>
            </w:r>
          </w:p>
        </w:tc>
        <w:tc>
          <w:tcPr>
            <w:tcW w:w="1418" w:type="dxa"/>
            <w:tcBorders>
              <w:bottom w:val="single" w:sz="4" w:space="0" w:color="auto"/>
            </w:tcBorders>
            <w:shd w:val="clear" w:color="auto" w:fill="E6E6E6"/>
            <w:vAlign w:val="center"/>
          </w:tcPr>
          <w:p w14:paraId="237C2EC1" w14:textId="77777777" w:rsidR="00B8248C" w:rsidRPr="0019790A" w:rsidRDefault="00B8248C" w:rsidP="00A62F09">
            <w:pPr>
              <w:jc w:val="center"/>
              <w:rPr>
                <w:rFonts w:cs="Arial"/>
                <w:b/>
                <w:color w:val="000000"/>
                <w:szCs w:val="22"/>
                <w:lang w:eastAsia="it-IT"/>
              </w:rPr>
            </w:pPr>
            <w:r w:rsidRPr="0019790A">
              <w:rPr>
                <w:rFonts w:cs="Arial"/>
                <w:b/>
                <w:color w:val="000000"/>
                <w:szCs w:val="22"/>
                <w:lang w:eastAsia="it-IT"/>
              </w:rPr>
              <w:t>2027</w:t>
            </w:r>
          </w:p>
        </w:tc>
        <w:tc>
          <w:tcPr>
            <w:tcW w:w="1276" w:type="dxa"/>
            <w:gridSpan w:val="2"/>
            <w:shd w:val="clear" w:color="auto" w:fill="E6E6E6"/>
            <w:vAlign w:val="center"/>
          </w:tcPr>
          <w:p w14:paraId="6E1A5BBB" w14:textId="77777777" w:rsidR="00B8248C" w:rsidRPr="0019790A" w:rsidRDefault="00B8248C" w:rsidP="00A62F09">
            <w:pPr>
              <w:jc w:val="center"/>
              <w:rPr>
                <w:rFonts w:cs="Arial"/>
                <w:b/>
                <w:color w:val="000000"/>
                <w:szCs w:val="22"/>
                <w:lang w:eastAsia="it-IT"/>
              </w:rPr>
            </w:pPr>
            <w:r w:rsidRPr="0019790A">
              <w:rPr>
                <w:rFonts w:cs="Arial"/>
                <w:b/>
                <w:color w:val="000000"/>
                <w:szCs w:val="22"/>
                <w:lang w:eastAsia="it-IT"/>
              </w:rPr>
              <w:t>2028</w:t>
            </w:r>
          </w:p>
        </w:tc>
        <w:tc>
          <w:tcPr>
            <w:tcW w:w="1571" w:type="dxa"/>
            <w:shd w:val="clear" w:color="auto" w:fill="E6E6E6"/>
            <w:vAlign w:val="center"/>
          </w:tcPr>
          <w:p w14:paraId="043E08ED" w14:textId="77777777" w:rsidR="00B8248C" w:rsidRPr="0019790A" w:rsidRDefault="00B8248C" w:rsidP="00A62F09">
            <w:pPr>
              <w:jc w:val="center"/>
              <w:rPr>
                <w:rFonts w:cs="Arial"/>
                <w:b/>
                <w:color w:val="000000"/>
                <w:szCs w:val="22"/>
                <w:lang w:eastAsia="it-IT"/>
              </w:rPr>
            </w:pPr>
            <w:r w:rsidRPr="0019790A">
              <w:rPr>
                <w:rFonts w:cs="Arial"/>
                <w:b/>
                <w:color w:val="000000"/>
                <w:szCs w:val="22"/>
                <w:lang w:eastAsia="it-IT"/>
              </w:rPr>
              <w:t>РАЗОМ</w:t>
            </w:r>
          </w:p>
        </w:tc>
      </w:tr>
      <w:tr w:rsidR="00B8248C" w:rsidRPr="0019790A" w14:paraId="0DF04665" w14:textId="77777777" w:rsidTr="00A62F09">
        <w:trPr>
          <w:jc w:val="right"/>
        </w:trPr>
        <w:tc>
          <w:tcPr>
            <w:tcW w:w="3425" w:type="dxa"/>
            <w:vMerge/>
            <w:shd w:val="clear" w:color="auto" w:fill="FFFFFF"/>
            <w:vAlign w:val="center"/>
          </w:tcPr>
          <w:p w14:paraId="3D75902D" w14:textId="77777777" w:rsidR="00B8248C" w:rsidRPr="0019790A" w:rsidRDefault="00B8248C" w:rsidP="0019790A">
            <w:pPr>
              <w:rPr>
                <w:rFonts w:cs="Arial"/>
                <w:b/>
                <w:bCs/>
                <w:color w:val="000000"/>
                <w:szCs w:val="22"/>
              </w:rPr>
            </w:pPr>
          </w:p>
        </w:tc>
        <w:tc>
          <w:tcPr>
            <w:tcW w:w="1254" w:type="dxa"/>
            <w:gridSpan w:val="2"/>
            <w:vAlign w:val="center"/>
          </w:tcPr>
          <w:p w14:paraId="6228EC3B" w14:textId="77777777" w:rsidR="00B8248C" w:rsidRPr="0019790A" w:rsidRDefault="00B8248C" w:rsidP="00A62F09">
            <w:pPr>
              <w:jc w:val="center"/>
              <w:rPr>
                <w:rFonts w:cs="Arial"/>
                <w:b/>
                <w:color w:val="000000"/>
                <w:szCs w:val="22"/>
                <w:lang w:eastAsia="it-IT"/>
              </w:rPr>
            </w:pPr>
            <w:r w:rsidRPr="0019790A">
              <w:rPr>
                <w:rFonts w:cs="Arial"/>
                <w:b/>
                <w:color w:val="000000"/>
                <w:szCs w:val="22"/>
                <w:lang w:eastAsia="it-IT"/>
              </w:rPr>
              <w:t>50,0</w:t>
            </w:r>
          </w:p>
        </w:tc>
        <w:tc>
          <w:tcPr>
            <w:tcW w:w="1275" w:type="dxa"/>
            <w:shd w:val="clear" w:color="auto" w:fill="FFFFFF"/>
            <w:vAlign w:val="center"/>
          </w:tcPr>
          <w:p w14:paraId="56FB8420" w14:textId="77777777" w:rsidR="00B8248C" w:rsidRPr="0019790A" w:rsidRDefault="00B8248C" w:rsidP="00A62F09">
            <w:pPr>
              <w:jc w:val="center"/>
              <w:rPr>
                <w:rFonts w:cs="Arial"/>
                <w:b/>
                <w:color w:val="000000"/>
                <w:szCs w:val="22"/>
                <w:lang w:eastAsia="it-IT"/>
              </w:rPr>
            </w:pPr>
            <w:r w:rsidRPr="0019790A">
              <w:rPr>
                <w:rFonts w:cs="Arial"/>
                <w:b/>
                <w:color w:val="000000"/>
                <w:szCs w:val="22"/>
                <w:lang w:eastAsia="it-IT"/>
              </w:rPr>
              <w:t>300,0</w:t>
            </w:r>
          </w:p>
        </w:tc>
        <w:tc>
          <w:tcPr>
            <w:tcW w:w="1418" w:type="dxa"/>
            <w:shd w:val="clear" w:color="auto" w:fill="auto"/>
            <w:vAlign w:val="center"/>
          </w:tcPr>
          <w:p w14:paraId="0A08A0A9" w14:textId="77777777" w:rsidR="00B8248C" w:rsidRPr="0019790A" w:rsidRDefault="00B8248C" w:rsidP="00A62F09">
            <w:pPr>
              <w:jc w:val="center"/>
              <w:rPr>
                <w:rFonts w:cs="Arial"/>
                <w:b/>
                <w:color w:val="000000"/>
                <w:szCs w:val="22"/>
                <w:lang w:eastAsia="it-IT"/>
              </w:rPr>
            </w:pPr>
            <w:r w:rsidRPr="0019790A">
              <w:rPr>
                <w:rFonts w:cs="Arial"/>
                <w:b/>
                <w:color w:val="000000"/>
                <w:szCs w:val="22"/>
                <w:lang w:eastAsia="it-IT"/>
              </w:rPr>
              <w:t>200,0</w:t>
            </w:r>
          </w:p>
        </w:tc>
        <w:tc>
          <w:tcPr>
            <w:tcW w:w="1276" w:type="dxa"/>
            <w:gridSpan w:val="2"/>
            <w:shd w:val="clear" w:color="auto" w:fill="FFFFFF"/>
            <w:vAlign w:val="center"/>
          </w:tcPr>
          <w:p w14:paraId="08082F7E" w14:textId="77777777" w:rsidR="00B8248C" w:rsidRPr="0019790A" w:rsidRDefault="00B8248C" w:rsidP="00A62F09">
            <w:pPr>
              <w:jc w:val="center"/>
              <w:rPr>
                <w:rFonts w:cs="Arial"/>
                <w:b/>
                <w:color w:val="000000"/>
                <w:szCs w:val="22"/>
                <w:lang w:eastAsia="it-IT"/>
              </w:rPr>
            </w:pPr>
            <w:r w:rsidRPr="0019790A">
              <w:rPr>
                <w:rFonts w:cs="Arial"/>
                <w:b/>
                <w:color w:val="000000"/>
                <w:szCs w:val="22"/>
                <w:lang w:eastAsia="it-IT"/>
              </w:rPr>
              <w:t>200,0</w:t>
            </w:r>
          </w:p>
        </w:tc>
        <w:tc>
          <w:tcPr>
            <w:tcW w:w="1571" w:type="dxa"/>
            <w:shd w:val="clear" w:color="auto" w:fill="FFFFFF"/>
            <w:vAlign w:val="center"/>
          </w:tcPr>
          <w:p w14:paraId="3D129BD0" w14:textId="77777777" w:rsidR="00B8248C" w:rsidRPr="0019790A" w:rsidRDefault="00B8248C" w:rsidP="00A62F09">
            <w:pPr>
              <w:jc w:val="center"/>
              <w:rPr>
                <w:rFonts w:cs="Arial"/>
                <w:b/>
                <w:color w:val="000000"/>
                <w:szCs w:val="22"/>
                <w:lang w:eastAsia="it-IT"/>
              </w:rPr>
            </w:pPr>
            <w:r w:rsidRPr="0019790A">
              <w:rPr>
                <w:rFonts w:cs="Arial"/>
                <w:b/>
                <w:color w:val="000000"/>
                <w:szCs w:val="22"/>
                <w:lang w:eastAsia="it-IT"/>
              </w:rPr>
              <w:t>750,0</w:t>
            </w:r>
          </w:p>
        </w:tc>
      </w:tr>
      <w:tr w:rsidR="00B8248C" w:rsidRPr="0019790A" w14:paraId="59F5C3B1" w14:textId="77777777" w:rsidTr="00A62F09">
        <w:trPr>
          <w:trHeight w:val="276"/>
          <w:jc w:val="right"/>
        </w:trPr>
        <w:tc>
          <w:tcPr>
            <w:tcW w:w="3425" w:type="dxa"/>
            <w:shd w:val="clear" w:color="auto" w:fill="FFFFFF"/>
            <w:vAlign w:val="center"/>
          </w:tcPr>
          <w:p w14:paraId="55C93D46" w14:textId="77777777" w:rsidR="00B8248C" w:rsidRPr="0019790A" w:rsidRDefault="00B8248C" w:rsidP="0019790A">
            <w:pPr>
              <w:rPr>
                <w:rFonts w:cs="Arial"/>
                <w:b/>
                <w:bCs/>
                <w:color w:val="000000"/>
                <w:szCs w:val="22"/>
              </w:rPr>
            </w:pPr>
            <w:r w:rsidRPr="0019790A">
              <w:rPr>
                <w:rFonts w:cs="Arial"/>
                <w:b/>
                <w:bCs/>
                <w:color w:val="000000"/>
                <w:szCs w:val="22"/>
              </w:rPr>
              <w:t>по джерелах фінансування:</w:t>
            </w:r>
          </w:p>
        </w:tc>
        <w:tc>
          <w:tcPr>
            <w:tcW w:w="6794" w:type="dxa"/>
            <w:gridSpan w:val="7"/>
            <w:vAlign w:val="center"/>
          </w:tcPr>
          <w:p w14:paraId="24408331" w14:textId="77777777" w:rsidR="00B8248C" w:rsidRPr="0019790A" w:rsidRDefault="00B8248C" w:rsidP="00A62F09">
            <w:pPr>
              <w:rPr>
                <w:rFonts w:cs="Arial"/>
                <w:color w:val="000000"/>
                <w:szCs w:val="22"/>
                <w:lang w:eastAsia="it-IT"/>
              </w:rPr>
            </w:pPr>
          </w:p>
        </w:tc>
      </w:tr>
      <w:tr w:rsidR="00CA3FE6" w:rsidRPr="0019790A" w14:paraId="5239996B" w14:textId="579B66E7" w:rsidTr="00CA3FE6">
        <w:trPr>
          <w:trHeight w:val="240"/>
          <w:jc w:val="right"/>
        </w:trPr>
        <w:tc>
          <w:tcPr>
            <w:tcW w:w="3425" w:type="dxa"/>
            <w:shd w:val="clear" w:color="auto" w:fill="FFFFFF"/>
            <w:vAlign w:val="center"/>
          </w:tcPr>
          <w:p w14:paraId="446155C9" w14:textId="77777777" w:rsidR="00CA3FE6" w:rsidRPr="0019790A" w:rsidRDefault="00CA3FE6" w:rsidP="0019790A">
            <w:pPr>
              <w:rPr>
                <w:rFonts w:cs="Arial"/>
                <w:b/>
                <w:bCs/>
                <w:color w:val="000000"/>
                <w:szCs w:val="22"/>
              </w:rPr>
            </w:pPr>
            <w:r w:rsidRPr="0019790A">
              <w:rPr>
                <w:rFonts w:cs="Arial"/>
                <w:color w:val="000000"/>
                <w:szCs w:val="22"/>
              </w:rPr>
              <w:t>- державний бюджет</w:t>
            </w:r>
          </w:p>
        </w:tc>
        <w:tc>
          <w:tcPr>
            <w:tcW w:w="1240" w:type="dxa"/>
            <w:vAlign w:val="center"/>
          </w:tcPr>
          <w:p w14:paraId="6524DCDB" w14:textId="77777777" w:rsidR="00CA3FE6" w:rsidRPr="0019790A" w:rsidRDefault="00CA3FE6" w:rsidP="00CA3FE6">
            <w:pPr>
              <w:jc w:val="center"/>
              <w:rPr>
                <w:rFonts w:cs="Arial"/>
                <w:color w:val="000000"/>
                <w:szCs w:val="22"/>
                <w:lang w:eastAsia="it-IT"/>
              </w:rPr>
            </w:pPr>
          </w:p>
        </w:tc>
        <w:tc>
          <w:tcPr>
            <w:tcW w:w="1290" w:type="dxa"/>
            <w:gridSpan w:val="2"/>
            <w:vAlign w:val="center"/>
          </w:tcPr>
          <w:p w14:paraId="6549F3C1" w14:textId="77777777" w:rsidR="00CA3FE6" w:rsidRPr="0019790A" w:rsidRDefault="00CA3FE6" w:rsidP="00CA3FE6">
            <w:pPr>
              <w:jc w:val="center"/>
              <w:rPr>
                <w:rFonts w:cs="Arial"/>
                <w:color w:val="000000"/>
                <w:szCs w:val="22"/>
                <w:lang w:eastAsia="it-IT"/>
              </w:rPr>
            </w:pPr>
          </w:p>
        </w:tc>
        <w:tc>
          <w:tcPr>
            <w:tcW w:w="1427" w:type="dxa"/>
            <w:gridSpan w:val="2"/>
            <w:vAlign w:val="center"/>
          </w:tcPr>
          <w:p w14:paraId="2A122879" w14:textId="77777777" w:rsidR="00CA3FE6" w:rsidRPr="0019790A" w:rsidRDefault="00CA3FE6" w:rsidP="00CA3FE6">
            <w:pPr>
              <w:jc w:val="center"/>
              <w:rPr>
                <w:rFonts w:cs="Arial"/>
                <w:color w:val="000000"/>
                <w:szCs w:val="22"/>
                <w:lang w:eastAsia="it-IT"/>
              </w:rPr>
            </w:pPr>
          </w:p>
        </w:tc>
        <w:tc>
          <w:tcPr>
            <w:tcW w:w="1265" w:type="dxa"/>
            <w:vAlign w:val="center"/>
          </w:tcPr>
          <w:p w14:paraId="2A474C1E" w14:textId="77777777" w:rsidR="00CA3FE6" w:rsidRPr="0019790A" w:rsidRDefault="00CA3FE6" w:rsidP="00CA3FE6">
            <w:pPr>
              <w:jc w:val="center"/>
              <w:rPr>
                <w:rFonts w:cs="Arial"/>
                <w:color w:val="000000"/>
                <w:szCs w:val="22"/>
                <w:lang w:eastAsia="it-IT"/>
              </w:rPr>
            </w:pPr>
          </w:p>
        </w:tc>
        <w:tc>
          <w:tcPr>
            <w:tcW w:w="1572" w:type="dxa"/>
            <w:vAlign w:val="center"/>
          </w:tcPr>
          <w:p w14:paraId="7FC78C46" w14:textId="77777777" w:rsidR="00CA3FE6" w:rsidRPr="0019790A" w:rsidRDefault="00CA3FE6" w:rsidP="00CA3FE6">
            <w:pPr>
              <w:jc w:val="center"/>
              <w:rPr>
                <w:rFonts w:cs="Arial"/>
                <w:color w:val="000000"/>
                <w:szCs w:val="22"/>
                <w:lang w:eastAsia="it-IT"/>
              </w:rPr>
            </w:pPr>
          </w:p>
        </w:tc>
      </w:tr>
      <w:tr w:rsidR="00CA3FE6" w:rsidRPr="0019790A" w14:paraId="59B35611" w14:textId="7F6E6F5B" w:rsidTr="00CA3FE6">
        <w:trPr>
          <w:trHeight w:val="254"/>
          <w:jc w:val="right"/>
        </w:trPr>
        <w:tc>
          <w:tcPr>
            <w:tcW w:w="3425" w:type="dxa"/>
            <w:shd w:val="clear" w:color="auto" w:fill="FFFFFF"/>
            <w:vAlign w:val="center"/>
          </w:tcPr>
          <w:p w14:paraId="06BF923D" w14:textId="77777777" w:rsidR="00CA3FE6" w:rsidRPr="0019790A" w:rsidRDefault="00CA3FE6" w:rsidP="0019790A">
            <w:pPr>
              <w:rPr>
                <w:rFonts w:cs="Arial"/>
                <w:color w:val="000000"/>
                <w:szCs w:val="22"/>
              </w:rPr>
            </w:pPr>
            <w:r w:rsidRPr="0019790A">
              <w:rPr>
                <w:rFonts w:cs="Arial"/>
                <w:color w:val="000000"/>
                <w:szCs w:val="22"/>
              </w:rPr>
              <w:t>- обласний бюджет</w:t>
            </w:r>
          </w:p>
        </w:tc>
        <w:tc>
          <w:tcPr>
            <w:tcW w:w="1240" w:type="dxa"/>
            <w:vAlign w:val="center"/>
          </w:tcPr>
          <w:p w14:paraId="7E59E501" w14:textId="77777777" w:rsidR="00CA3FE6" w:rsidRPr="0019790A" w:rsidRDefault="00CA3FE6" w:rsidP="00CA3FE6">
            <w:pPr>
              <w:jc w:val="center"/>
              <w:rPr>
                <w:rFonts w:cs="Arial"/>
                <w:color w:val="000000"/>
                <w:szCs w:val="22"/>
                <w:lang w:eastAsia="it-IT"/>
              </w:rPr>
            </w:pPr>
          </w:p>
        </w:tc>
        <w:tc>
          <w:tcPr>
            <w:tcW w:w="1290" w:type="dxa"/>
            <w:gridSpan w:val="2"/>
            <w:vAlign w:val="center"/>
          </w:tcPr>
          <w:p w14:paraId="102626F7" w14:textId="77777777" w:rsidR="00CA3FE6" w:rsidRPr="0019790A" w:rsidRDefault="00CA3FE6" w:rsidP="00CA3FE6">
            <w:pPr>
              <w:jc w:val="center"/>
              <w:rPr>
                <w:rFonts w:cs="Arial"/>
                <w:color w:val="000000"/>
                <w:szCs w:val="22"/>
                <w:lang w:eastAsia="it-IT"/>
              </w:rPr>
            </w:pPr>
          </w:p>
        </w:tc>
        <w:tc>
          <w:tcPr>
            <w:tcW w:w="1427" w:type="dxa"/>
            <w:gridSpan w:val="2"/>
            <w:vAlign w:val="center"/>
          </w:tcPr>
          <w:p w14:paraId="10BDCBEF" w14:textId="77777777" w:rsidR="00CA3FE6" w:rsidRPr="0019790A" w:rsidRDefault="00CA3FE6" w:rsidP="00CA3FE6">
            <w:pPr>
              <w:jc w:val="center"/>
              <w:rPr>
                <w:rFonts w:cs="Arial"/>
                <w:color w:val="000000"/>
                <w:szCs w:val="22"/>
                <w:lang w:eastAsia="it-IT"/>
              </w:rPr>
            </w:pPr>
          </w:p>
        </w:tc>
        <w:tc>
          <w:tcPr>
            <w:tcW w:w="1265" w:type="dxa"/>
            <w:vAlign w:val="center"/>
          </w:tcPr>
          <w:p w14:paraId="4B86D674" w14:textId="77777777" w:rsidR="00CA3FE6" w:rsidRPr="0019790A" w:rsidRDefault="00CA3FE6" w:rsidP="00CA3FE6">
            <w:pPr>
              <w:jc w:val="center"/>
              <w:rPr>
                <w:rFonts w:cs="Arial"/>
                <w:color w:val="000000"/>
                <w:szCs w:val="22"/>
                <w:lang w:eastAsia="it-IT"/>
              </w:rPr>
            </w:pPr>
          </w:p>
        </w:tc>
        <w:tc>
          <w:tcPr>
            <w:tcW w:w="1572" w:type="dxa"/>
            <w:vAlign w:val="center"/>
          </w:tcPr>
          <w:p w14:paraId="4AB2FBE1" w14:textId="77777777" w:rsidR="00CA3FE6" w:rsidRPr="0019790A" w:rsidRDefault="00CA3FE6" w:rsidP="00CA3FE6">
            <w:pPr>
              <w:jc w:val="center"/>
              <w:rPr>
                <w:rFonts w:cs="Arial"/>
                <w:color w:val="000000"/>
                <w:szCs w:val="22"/>
                <w:lang w:eastAsia="it-IT"/>
              </w:rPr>
            </w:pPr>
          </w:p>
        </w:tc>
      </w:tr>
      <w:tr w:rsidR="00CA3FE6" w:rsidRPr="0019790A" w14:paraId="57EA5F44" w14:textId="1D8607E5" w:rsidTr="00CA3FE6">
        <w:trPr>
          <w:trHeight w:val="275"/>
          <w:jc w:val="right"/>
        </w:trPr>
        <w:tc>
          <w:tcPr>
            <w:tcW w:w="3425" w:type="dxa"/>
            <w:shd w:val="clear" w:color="auto" w:fill="FFFFFF"/>
            <w:vAlign w:val="center"/>
          </w:tcPr>
          <w:p w14:paraId="4FF9AA02" w14:textId="77777777" w:rsidR="00CA3FE6" w:rsidRPr="0019790A" w:rsidRDefault="00CA3FE6" w:rsidP="00CA3FE6">
            <w:pPr>
              <w:rPr>
                <w:rFonts w:cs="Arial"/>
                <w:color w:val="000000"/>
                <w:szCs w:val="22"/>
              </w:rPr>
            </w:pPr>
            <w:r w:rsidRPr="0019790A">
              <w:rPr>
                <w:rFonts w:cs="Arial"/>
                <w:color w:val="000000"/>
                <w:szCs w:val="22"/>
              </w:rPr>
              <w:t>- бюджет Жмеринської МТГ</w:t>
            </w:r>
          </w:p>
        </w:tc>
        <w:tc>
          <w:tcPr>
            <w:tcW w:w="1240" w:type="dxa"/>
            <w:vAlign w:val="center"/>
          </w:tcPr>
          <w:p w14:paraId="37FBF4C8" w14:textId="3BB7B30B" w:rsidR="00CA3FE6" w:rsidRPr="00CA3FE6" w:rsidRDefault="00CA3FE6" w:rsidP="00CA3FE6">
            <w:pPr>
              <w:jc w:val="center"/>
              <w:rPr>
                <w:rFonts w:cs="Arial"/>
                <w:color w:val="000000"/>
                <w:szCs w:val="22"/>
                <w:lang w:eastAsia="it-IT"/>
              </w:rPr>
            </w:pPr>
            <w:r w:rsidRPr="00CA3FE6">
              <w:rPr>
                <w:rFonts w:cs="Arial"/>
                <w:color w:val="000000"/>
                <w:szCs w:val="22"/>
                <w:lang w:eastAsia="it-IT"/>
              </w:rPr>
              <w:t>50,0</w:t>
            </w:r>
          </w:p>
        </w:tc>
        <w:tc>
          <w:tcPr>
            <w:tcW w:w="1290" w:type="dxa"/>
            <w:gridSpan w:val="2"/>
            <w:vAlign w:val="center"/>
          </w:tcPr>
          <w:p w14:paraId="0A5FFA46" w14:textId="115C6F29" w:rsidR="00CA3FE6" w:rsidRPr="00CA3FE6" w:rsidRDefault="00CA3FE6" w:rsidP="00CA3FE6">
            <w:pPr>
              <w:jc w:val="center"/>
              <w:rPr>
                <w:rFonts w:cs="Arial"/>
                <w:color w:val="000000"/>
                <w:szCs w:val="22"/>
                <w:lang w:eastAsia="it-IT"/>
              </w:rPr>
            </w:pPr>
            <w:r w:rsidRPr="00CA3FE6">
              <w:rPr>
                <w:rFonts w:cs="Arial"/>
                <w:color w:val="000000"/>
                <w:szCs w:val="22"/>
                <w:lang w:eastAsia="it-IT"/>
              </w:rPr>
              <w:t>300,0</w:t>
            </w:r>
          </w:p>
        </w:tc>
        <w:tc>
          <w:tcPr>
            <w:tcW w:w="1427" w:type="dxa"/>
            <w:gridSpan w:val="2"/>
            <w:vAlign w:val="center"/>
          </w:tcPr>
          <w:p w14:paraId="78E0B3EB" w14:textId="5966C50E" w:rsidR="00CA3FE6" w:rsidRPr="00CA3FE6" w:rsidRDefault="00CA3FE6" w:rsidP="00CA3FE6">
            <w:pPr>
              <w:jc w:val="center"/>
              <w:rPr>
                <w:rFonts w:cs="Arial"/>
                <w:color w:val="000000"/>
                <w:szCs w:val="22"/>
                <w:lang w:eastAsia="it-IT"/>
              </w:rPr>
            </w:pPr>
            <w:r w:rsidRPr="00CA3FE6">
              <w:rPr>
                <w:rFonts w:cs="Arial"/>
                <w:color w:val="000000"/>
                <w:szCs w:val="22"/>
                <w:lang w:eastAsia="it-IT"/>
              </w:rPr>
              <w:t>100,0</w:t>
            </w:r>
          </w:p>
        </w:tc>
        <w:tc>
          <w:tcPr>
            <w:tcW w:w="1265" w:type="dxa"/>
            <w:vAlign w:val="center"/>
          </w:tcPr>
          <w:p w14:paraId="483EFFD9" w14:textId="0AD59B4A" w:rsidR="00CA3FE6" w:rsidRPr="00CA3FE6" w:rsidRDefault="00CA3FE6" w:rsidP="00CA3FE6">
            <w:pPr>
              <w:jc w:val="center"/>
              <w:rPr>
                <w:rFonts w:cs="Arial"/>
                <w:color w:val="000000"/>
                <w:szCs w:val="22"/>
                <w:lang w:eastAsia="it-IT"/>
              </w:rPr>
            </w:pPr>
            <w:r w:rsidRPr="00CA3FE6">
              <w:rPr>
                <w:rFonts w:cs="Arial"/>
                <w:color w:val="000000"/>
                <w:szCs w:val="22"/>
                <w:lang w:eastAsia="it-IT"/>
              </w:rPr>
              <w:t>100,0</w:t>
            </w:r>
          </w:p>
        </w:tc>
        <w:tc>
          <w:tcPr>
            <w:tcW w:w="1572" w:type="dxa"/>
            <w:vAlign w:val="center"/>
          </w:tcPr>
          <w:p w14:paraId="39E9AE8A" w14:textId="4830F04D" w:rsidR="00CA3FE6" w:rsidRPr="00CA3FE6" w:rsidRDefault="00CA3FE6" w:rsidP="00CA3FE6">
            <w:pPr>
              <w:jc w:val="center"/>
              <w:rPr>
                <w:rFonts w:cs="Arial"/>
                <w:color w:val="000000"/>
                <w:szCs w:val="22"/>
                <w:lang w:eastAsia="it-IT"/>
              </w:rPr>
            </w:pPr>
            <w:r w:rsidRPr="00CA3FE6">
              <w:rPr>
                <w:rFonts w:cs="Arial"/>
                <w:color w:val="000000"/>
                <w:szCs w:val="22"/>
                <w:lang w:eastAsia="it-IT"/>
              </w:rPr>
              <w:t>550,0</w:t>
            </w:r>
          </w:p>
        </w:tc>
      </w:tr>
      <w:tr w:rsidR="00CA3FE6" w:rsidRPr="0019790A" w14:paraId="5A98A539" w14:textId="567EDD77" w:rsidTr="00CA3FE6">
        <w:trPr>
          <w:trHeight w:val="226"/>
          <w:jc w:val="right"/>
        </w:trPr>
        <w:tc>
          <w:tcPr>
            <w:tcW w:w="3425" w:type="dxa"/>
            <w:shd w:val="clear" w:color="auto" w:fill="FFFFFF"/>
            <w:vAlign w:val="center"/>
          </w:tcPr>
          <w:p w14:paraId="55559FE6" w14:textId="77777777" w:rsidR="00CA3FE6" w:rsidRPr="0019790A" w:rsidRDefault="00CA3FE6" w:rsidP="00CA3FE6">
            <w:pPr>
              <w:rPr>
                <w:rFonts w:cs="Arial"/>
                <w:color w:val="000000"/>
                <w:szCs w:val="22"/>
              </w:rPr>
            </w:pPr>
            <w:r w:rsidRPr="0019790A">
              <w:rPr>
                <w:rFonts w:cs="Arial"/>
                <w:color w:val="000000"/>
                <w:szCs w:val="22"/>
              </w:rPr>
              <w:t>- інші джерела фінансування</w:t>
            </w:r>
          </w:p>
        </w:tc>
        <w:tc>
          <w:tcPr>
            <w:tcW w:w="1240" w:type="dxa"/>
            <w:vAlign w:val="center"/>
          </w:tcPr>
          <w:p w14:paraId="50E41F7B" w14:textId="56C3F40E" w:rsidR="00CA3FE6" w:rsidRPr="00CA3FE6" w:rsidRDefault="00CA3FE6" w:rsidP="00CA3FE6">
            <w:pPr>
              <w:jc w:val="center"/>
              <w:rPr>
                <w:rFonts w:cs="Arial"/>
                <w:color w:val="000000"/>
                <w:szCs w:val="22"/>
                <w:lang w:eastAsia="it-IT"/>
              </w:rPr>
            </w:pPr>
          </w:p>
        </w:tc>
        <w:tc>
          <w:tcPr>
            <w:tcW w:w="1290" w:type="dxa"/>
            <w:gridSpan w:val="2"/>
            <w:vAlign w:val="center"/>
          </w:tcPr>
          <w:p w14:paraId="51BEAA8E" w14:textId="77777777" w:rsidR="00CA3FE6" w:rsidRPr="00CA3FE6" w:rsidRDefault="00CA3FE6" w:rsidP="00CA3FE6">
            <w:pPr>
              <w:jc w:val="center"/>
              <w:rPr>
                <w:rFonts w:cs="Arial"/>
                <w:color w:val="000000"/>
                <w:szCs w:val="22"/>
                <w:lang w:eastAsia="it-IT"/>
              </w:rPr>
            </w:pPr>
          </w:p>
        </w:tc>
        <w:tc>
          <w:tcPr>
            <w:tcW w:w="1427" w:type="dxa"/>
            <w:gridSpan w:val="2"/>
            <w:vAlign w:val="center"/>
          </w:tcPr>
          <w:p w14:paraId="12846D86" w14:textId="39419F62" w:rsidR="00CA3FE6" w:rsidRPr="00CA3FE6" w:rsidRDefault="00CA3FE6" w:rsidP="00CA3FE6">
            <w:pPr>
              <w:jc w:val="center"/>
              <w:rPr>
                <w:rFonts w:cs="Arial"/>
                <w:color w:val="000000"/>
                <w:szCs w:val="22"/>
                <w:lang w:eastAsia="it-IT"/>
              </w:rPr>
            </w:pPr>
            <w:r w:rsidRPr="00CA3FE6">
              <w:rPr>
                <w:rFonts w:cs="Arial"/>
                <w:color w:val="000000"/>
                <w:szCs w:val="22"/>
                <w:lang w:eastAsia="it-IT"/>
              </w:rPr>
              <w:t>100,0</w:t>
            </w:r>
          </w:p>
        </w:tc>
        <w:tc>
          <w:tcPr>
            <w:tcW w:w="1265" w:type="dxa"/>
            <w:vAlign w:val="center"/>
          </w:tcPr>
          <w:p w14:paraId="5F97988A" w14:textId="258C3238" w:rsidR="00CA3FE6" w:rsidRPr="00CA3FE6" w:rsidRDefault="00CA3FE6" w:rsidP="00CA3FE6">
            <w:pPr>
              <w:jc w:val="center"/>
              <w:rPr>
                <w:rFonts w:cs="Arial"/>
                <w:color w:val="000000"/>
                <w:szCs w:val="22"/>
                <w:lang w:eastAsia="it-IT"/>
              </w:rPr>
            </w:pPr>
            <w:r w:rsidRPr="00CA3FE6">
              <w:rPr>
                <w:rFonts w:cs="Arial"/>
                <w:color w:val="000000"/>
                <w:szCs w:val="22"/>
                <w:lang w:eastAsia="it-IT"/>
              </w:rPr>
              <w:t>100,0</w:t>
            </w:r>
          </w:p>
        </w:tc>
        <w:tc>
          <w:tcPr>
            <w:tcW w:w="1572" w:type="dxa"/>
            <w:vAlign w:val="center"/>
          </w:tcPr>
          <w:p w14:paraId="5C030435" w14:textId="4DE069C6" w:rsidR="00CA3FE6" w:rsidRPr="00CA3FE6" w:rsidRDefault="00CA3FE6" w:rsidP="00CA3FE6">
            <w:pPr>
              <w:jc w:val="center"/>
              <w:rPr>
                <w:rFonts w:cs="Arial"/>
                <w:color w:val="000000"/>
                <w:szCs w:val="22"/>
                <w:lang w:eastAsia="it-IT"/>
              </w:rPr>
            </w:pPr>
            <w:r w:rsidRPr="00CA3FE6">
              <w:rPr>
                <w:rFonts w:cs="Arial"/>
                <w:color w:val="000000"/>
                <w:szCs w:val="22"/>
                <w:lang w:eastAsia="it-IT"/>
              </w:rPr>
              <w:t>200,0</w:t>
            </w:r>
          </w:p>
        </w:tc>
      </w:tr>
      <w:tr w:rsidR="00CA3FE6" w:rsidRPr="0019790A" w14:paraId="7ADA1AC3" w14:textId="77777777" w:rsidTr="00B8248C">
        <w:trPr>
          <w:jc w:val="right"/>
        </w:trPr>
        <w:tc>
          <w:tcPr>
            <w:tcW w:w="3425" w:type="dxa"/>
            <w:shd w:val="clear" w:color="auto" w:fill="FFFFFF"/>
            <w:vAlign w:val="center"/>
          </w:tcPr>
          <w:p w14:paraId="2D0758FF" w14:textId="77777777" w:rsidR="00CA3FE6" w:rsidRPr="0019790A" w:rsidRDefault="00CA3FE6" w:rsidP="00CA3FE6">
            <w:pPr>
              <w:rPr>
                <w:rFonts w:cs="Arial"/>
                <w:b/>
                <w:bCs/>
                <w:color w:val="000000"/>
                <w:szCs w:val="22"/>
              </w:rPr>
            </w:pPr>
            <w:r w:rsidRPr="0019790A">
              <w:rPr>
                <w:rFonts w:cs="Arial"/>
                <w:b/>
                <w:color w:val="000000"/>
                <w:szCs w:val="22"/>
              </w:rPr>
              <w:t>Відповідальний виконавець проєкту:</w:t>
            </w:r>
          </w:p>
        </w:tc>
        <w:tc>
          <w:tcPr>
            <w:tcW w:w="6794" w:type="dxa"/>
            <w:gridSpan w:val="7"/>
            <w:vAlign w:val="center"/>
          </w:tcPr>
          <w:p w14:paraId="0DEDE796" w14:textId="77777777" w:rsidR="00CA3FE6" w:rsidRPr="0019790A" w:rsidRDefault="00CA3FE6" w:rsidP="00CA3FE6">
            <w:pPr>
              <w:jc w:val="both"/>
              <w:rPr>
                <w:rFonts w:cs="Arial"/>
                <w:color w:val="000000"/>
                <w:szCs w:val="22"/>
                <w:lang w:eastAsia="it-IT"/>
              </w:rPr>
            </w:pPr>
            <w:r w:rsidRPr="0019790A">
              <w:rPr>
                <w:rFonts w:cs="Arial"/>
                <w:b/>
                <w:color w:val="000000"/>
                <w:szCs w:val="22"/>
                <w:lang w:eastAsia="it-IT"/>
              </w:rPr>
              <w:t>КЗ Публічна бібліотека Жмеринської міської ТГ</w:t>
            </w:r>
          </w:p>
        </w:tc>
      </w:tr>
      <w:tr w:rsidR="00CA3FE6" w:rsidRPr="0019790A" w14:paraId="2386BD0E" w14:textId="77777777" w:rsidTr="00B8248C">
        <w:trPr>
          <w:jc w:val="right"/>
        </w:trPr>
        <w:tc>
          <w:tcPr>
            <w:tcW w:w="3425" w:type="dxa"/>
            <w:shd w:val="clear" w:color="auto" w:fill="FFFFFF"/>
            <w:vAlign w:val="center"/>
          </w:tcPr>
          <w:p w14:paraId="1C41B0AA" w14:textId="77777777" w:rsidR="00CA3FE6" w:rsidRPr="0019790A" w:rsidRDefault="00CA3FE6" w:rsidP="00CA3FE6">
            <w:pPr>
              <w:rPr>
                <w:rFonts w:cs="Arial"/>
                <w:b/>
                <w:bCs/>
                <w:color w:val="000000"/>
                <w:szCs w:val="22"/>
              </w:rPr>
            </w:pPr>
            <w:r w:rsidRPr="0019790A">
              <w:rPr>
                <w:rFonts w:cs="Arial"/>
                <w:b/>
                <w:bCs/>
                <w:color w:val="000000"/>
                <w:szCs w:val="22"/>
              </w:rPr>
              <w:t>Інше:</w:t>
            </w:r>
          </w:p>
        </w:tc>
        <w:tc>
          <w:tcPr>
            <w:tcW w:w="6794" w:type="dxa"/>
            <w:gridSpan w:val="7"/>
            <w:vAlign w:val="center"/>
          </w:tcPr>
          <w:p w14:paraId="1F232D1F" w14:textId="77777777" w:rsidR="00CA3FE6" w:rsidRPr="0019790A" w:rsidRDefault="00CA3FE6" w:rsidP="00CA3FE6">
            <w:pPr>
              <w:rPr>
                <w:rFonts w:cs="Arial"/>
                <w:color w:val="000000"/>
                <w:szCs w:val="22"/>
                <w:lang w:eastAsia="it-IT"/>
              </w:rPr>
            </w:pPr>
          </w:p>
        </w:tc>
      </w:tr>
    </w:tbl>
    <w:p w14:paraId="030F7DCF" w14:textId="55A6A8FA" w:rsidR="00B8248C" w:rsidRDefault="00B8248C" w:rsidP="0019790A">
      <w:pPr>
        <w:rPr>
          <w:rFonts w:cs="Arial"/>
          <w:szCs w:val="22"/>
        </w:rPr>
      </w:pPr>
    </w:p>
    <w:p w14:paraId="75AD5369" w14:textId="77777777" w:rsidR="00CA3FE6" w:rsidRPr="0019790A" w:rsidRDefault="00CA3FE6" w:rsidP="0019790A">
      <w:pPr>
        <w:rPr>
          <w:rFonts w:cs="Arial"/>
          <w:szCs w:val="22"/>
        </w:rPr>
      </w:pPr>
    </w:p>
    <w:p w14:paraId="0A41D4F3" w14:textId="77777777" w:rsidR="00B8248C" w:rsidRPr="0019790A" w:rsidRDefault="00B8248C" w:rsidP="0019790A">
      <w:pPr>
        <w:jc w:val="center"/>
        <w:rPr>
          <w:rFonts w:cs="Arial"/>
          <w:b/>
          <w:color w:val="000000"/>
          <w:szCs w:val="22"/>
        </w:rPr>
      </w:pPr>
      <w:r w:rsidRPr="0019790A">
        <w:rPr>
          <w:rFonts w:cs="Arial"/>
          <w:b/>
          <w:color w:val="000000"/>
          <w:szCs w:val="22"/>
        </w:rPr>
        <w:t xml:space="preserve">Форма технічного завдання на проєкт місцевого розвитку </w:t>
      </w:r>
    </w:p>
    <w:p w14:paraId="1A93340A" w14:textId="77777777" w:rsidR="00B8248C" w:rsidRPr="0019790A" w:rsidRDefault="00B8248C" w:rsidP="0019790A">
      <w:pPr>
        <w:jc w:val="center"/>
        <w:rPr>
          <w:rFonts w:cs="Arial"/>
          <w:b/>
          <w:color w:val="000000"/>
          <w:szCs w:val="22"/>
        </w:rPr>
      </w:pPr>
      <w:r w:rsidRPr="0019790A">
        <w:rPr>
          <w:rFonts w:cs="Arial"/>
          <w:b/>
          <w:color w:val="000000"/>
          <w:szCs w:val="22"/>
        </w:rPr>
        <w:t>до Плану заходів з реалізації Стратегії</w:t>
      </w:r>
    </w:p>
    <w:p w14:paraId="1C401B3B" w14:textId="77777777" w:rsidR="00B8248C" w:rsidRPr="0019790A" w:rsidRDefault="00B8248C"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40"/>
        <w:gridCol w:w="14"/>
        <w:gridCol w:w="1275"/>
        <w:gridCol w:w="13"/>
        <w:gridCol w:w="1405"/>
        <w:gridCol w:w="22"/>
        <w:gridCol w:w="1254"/>
        <w:gridCol w:w="36"/>
        <w:gridCol w:w="1535"/>
      </w:tblGrid>
      <w:tr w:rsidR="00B8248C" w:rsidRPr="0019790A" w14:paraId="06F4CA4E" w14:textId="77777777" w:rsidTr="00CA3FE6">
        <w:trPr>
          <w:trHeight w:val="336"/>
          <w:jc w:val="right"/>
        </w:trPr>
        <w:tc>
          <w:tcPr>
            <w:tcW w:w="3425" w:type="dxa"/>
            <w:vAlign w:val="center"/>
          </w:tcPr>
          <w:p w14:paraId="626177BB" w14:textId="77777777" w:rsidR="00B8248C" w:rsidRPr="0019790A" w:rsidRDefault="00B8248C" w:rsidP="0019790A">
            <w:pPr>
              <w:rPr>
                <w:rFonts w:cs="Arial"/>
                <w:b/>
                <w:bCs/>
                <w:color w:val="000000"/>
                <w:szCs w:val="22"/>
              </w:rPr>
            </w:pPr>
            <w:r w:rsidRPr="0019790A">
              <w:rPr>
                <w:rFonts w:cs="Arial"/>
                <w:b/>
                <w:bCs/>
                <w:color w:val="000000"/>
                <w:szCs w:val="22"/>
              </w:rPr>
              <w:t>Назва проєкту:</w:t>
            </w:r>
          </w:p>
        </w:tc>
        <w:tc>
          <w:tcPr>
            <w:tcW w:w="6794" w:type="dxa"/>
            <w:gridSpan w:val="9"/>
            <w:vAlign w:val="center"/>
          </w:tcPr>
          <w:p w14:paraId="503B1DD8" w14:textId="77777777" w:rsidR="00B8248C" w:rsidRPr="0019790A" w:rsidRDefault="00B8248C" w:rsidP="00CA3FE6">
            <w:pPr>
              <w:rPr>
                <w:rFonts w:cs="Arial"/>
                <w:b/>
                <w:szCs w:val="22"/>
                <w:lang w:eastAsia="it-IT"/>
              </w:rPr>
            </w:pPr>
            <w:r w:rsidRPr="0019790A">
              <w:rPr>
                <w:rFonts w:cs="Arial"/>
                <w:b/>
                <w:szCs w:val="22"/>
                <w:lang w:eastAsia="it-IT"/>
              </w:rPr>
              <w:t>«Територія дитинства: розвиток, творчість, пізнання»</w:t>
            </w:r>
          </w:p>
        </w:tc>
      </w:tr>
      <w:tr w:rsidR="00B8248C" w:rsidRPr="0019790A" w14:paraId="1CB4BD6C" w14:textId="77777777" w:rsidTr="00CA3FE6">
        <w:trPr>
          <w:jc w:val="right"/>
        </w:trPr>
        <w:tc>
          <w:tcPr>
            <w:tcW w:w="3425" w:type="dxa"/>
          </w:tcPr>
          <w:p w14:paraId="7801B5D9" w14:textId="77777777" w:rsidR="00B8248C" w:rsidRPr="0019790A" w:rsidRDefault="00B8248C"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74AA49C7" w14:textId="77777777" w:rsidR="00B8248C" w:rsidRPr="0019790A" w:rsidRDefault="00B8248C"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9"/>
            <w:vAlign w:val="center"/>
          </w:tcPr>
          <w:p w14:paraId="43DD528D" w14:textId="77777777" w:rsidR="00B8248C" w:rsidRPr="00CA3FE6" w:rsidRDefault="00B8248C" w:rsidP="00CA3FE6">
            <w:pPr>
              <w:rPr>
                <w:rFonts w:cs="Arial"/>
                <w:szCs w:val="22"/>
                <w:lang w:eastAsia="it-IT"/>
              </w:rPr>
            </w:pPr>
            <w:r w:rsidRPr="00CA3FE6">
              <w:rPr>
                <w:rFonts w:cs="Arial"/>
                <w:szCs w:val="22"/>
                <w:lang w:eastAsia="it-IT"/>
              </w:rPr>
              <w:t>Управління культури і туризму Жмеринської міської ТГ</w:t>
            </w:r>
          </w:p>
        </w:tc>
      </w:tr>
      <w:tr w:rsidR="00B8248C" w:rsidRPr="0019790A" w14:paraId="7B71A03A" w14:textId="77777777" w:rsidTr="00CA3FE6">
        <w:trPr>
          <w:jc w:val="right"/>
        </w:trPr>
        <w:tc>
          <w:tcPr>
            <w:tcW w:w="3425" w:type="dxa"/>
          </w:tcPr>
          <w:p w14:paraId="5CD395AD" w14:textId="77777777" w:rsidR="00B8248C" w:rsidRPr="0019790A" w:rsidRDefault="00B8248C" w:rsidP="0019790A">
            <w:pPr>
              <w:rPr>
                <w:rFonts w:cs="Arial"/>
                <w:b/>
                <w:bCs/>
                <w:szCs w:val="22"/>
              </w:rPr>
            </w:pPr>
            <w:r w:rsidRPr="0019790A">
              <w:rPr>
                <w:rFonts w:cs="Arial"/>
                <w:szCs w:val="22"/>
                <w:lang w:eastAsia="it-IT"/>
              </w:rPr>
              <w:t>Прізвище Ім’я По-батькові:</w:t>
            </w:r>
          </w:p>
        </w:tc>
        <w:tc>
          <w:tcPr>
            <w:tcW w:w="6794" w:type="dxa"/>
            <w:gridSpan w:val="9"/>
            <w:vAlign w:val="center"/>
          </w:tcPr>
          <w:p w14:paraId="3C21E597" w14:textId="77777777" w:rsidR="00B8248C" w:rsidRPr="00CA3FE6" w:rsidRDefault="00B8248C" w:rsidP="00CA3FE6">
            <w:pPr>
              <w:rPr>
                <w:rFonts w:cs="Arial"/>
                <w:szCs w:val="22"/>
                <w:lang w:eastAsia="it-IT"/>
              </w:rPr>
            </w:pPr>
            <w:r w:rsidRPr="00CA3FE6">
              <w:rPr>
                <w:rFonts w:cs="Arial"/>
                <w:szCs w:val="22"/>
                <w:lang w:eastAsia="it-IT"/>
              </w:rPr>
              <w:t>Дудік Володимир Валентинович</w:t>
            </w:r>
          </w:p>
        </w:tc>
      </w:tr>
      <w:tr w:rsidR="00B8248C" w:rsidRPr="0019790A" w14:paraId="70A596EC" w14:textId="77777777" w:rsidTr="00CA3FE6">
        <w:trPr>
          <w:jc w:val="right"/>
        </w:trPr>
        <w:tc>
          <w:tcPr>
            <w:tcW w:w="3425" w:type="dxa"/>
          </w:tcPr>
          <w:p w14:paraId="511CD11F" w14:textId="77777777" w:rsidR="00B8248C" w:rsidRPr="0019790A" w:rsidRDefault="00B8248C" w:rsidP="0019790A">
            <w:pPr>
              <w:rPr>
                <w:rFonts w:cs="Arial"/>
                <w:b/>
                <w:bCs/>
                <w:szCs w:val="22"/>
              </w:rPr>
            </w:pPr>
            <w:r w:rsidRPr="0019790A">
              <w:rPr>
                <w:rFonts w:cs="Arial"/>
                <w:szCs w:val="22"/>
                <w:lang w:eastAsia="it-IT"/>
              </w:rPr>
              <w:t>Телефон (мобільний):</w:t>
            </w:r>
          </w:p>
        </w:tc>
        <w:tc>
          <w:tcPr>
            <w:tcW w:w="6794" w:type="dxa"/>
            <w:gridSpan w:val="9"/>
            <w:vAlign w:val="center"/>
          </w:tcPr>
          <w:p w14:paraId="598F7C6F" w14:textId="77777777" w:rsidR="00B8248C" w:rsidRPr="00CA3FE6" w:rsidRDefault="00B8248C" w:rsidP="00CA3FE6">
            <w:pPr>
              <w:rPr>
                <w:rFonts w:cs="Arial"/>
                <w:szCs w:val="22"/>
                <w:lang w:eastAsia="it-IT"/>
              </w:rPr>
            </w:pPr>
            <w:r w:rsidRPr="00CA3FE6">
              <w:rPr>
                <w:rFonts w:cs="Arial"/>
                <w:szCs w:val="22"/>
                <w:lang w:eastAsia="it-IT"/>
              </w:rPr>
              <w:t>0674303746</w:t>
            </w:r>
          </w:p>
        </w:tc>
      </w:tr>
      <w:tr w:rsidR="00B8248C" w:rsidRPr="0019790A" w14:paraId="18244C3D" w14:textId="77777777" w:rsidTr="00CA3FE6">
        <w:trPr>
          <w:jc w:val="right"/>
        </w:trPr>
        <w:tc>
          <w:tcPr>
            <w:tcW w:w="3425" w:type="dxa"/>
          </w:tcPr>
          <w:p w14:paraId="1B9BCB74" w14:textId="77777777" w:rsidR="00B8248C" w:rsidRPr="0019790A" w:rsidRDefault="00B8248C" w:rsidP="0019790A">
            <w:pPr>
              <w:rPr>
                <w:rFonts w:cs="Arial"/>
                <w:b/>
                <w:bCs/>
                <w:szCs w:val="22"/>
              </w:rPr>
            </w:pPr>
            <w:r w:rsidRPr="0019790A">
              <w:rPr>
                <w:rFonts w:cs="Arial"/>
                <w:szCs w:val="22"/>
                <w:lang w:eastAsia="it-IT"/>
              </w:rPr>
              <w:t>Електронна адреса:</w:t>
            </w:r>
          </w:p>
        </w:tc>
        <w:tc>
          <w:tcPr>
            <w:tcW w:w="6794" w:type="dxa"/>
            <w:gridSpan w:val="9"/>
            <w:vAlign w:val="center"/>
          </w:tcPr>
          <w:p w14:paraId="42D8F463" w14:textId="71FF99D3" w:rsidR="00B8248C" w:rsidRPr="00CA3FE6" w:rsidRDefault="00D85FFD" w:rsidP="00CA3FE6">
            <w:pPr>
              <w:rPr>
                <w:rFonts w:cs="Arial"/>
                <w:szCs w:val="22"/>
                <w:lang w:eastAsia="it-IT"/>
              </w:rPr>
            </w:pPr>
            <w:hyperlink r:id="rId135" w:history="1">
              <w:r w:rsidR="00CA3FE6" w:rsidRPr="00BF0394">
                <w:rPr>
                  <w:rStyle w:val="af0"/>
                  <w:rFonts w:cs="Arial"/>
                  <w:noProof w:val="0"/>
                  <w:sz w:val="22"/>
                  <w:szCs w:val="22"/>
                  <w:lang w:eastAsia="it-IT"/>
                </w:rPr>
                <w:t>kult@zhmr.gov.ua</w:t>
              </w:r>
            </w:hyperlink>
            <w:r w:rsidR="00CA3FE6">
              <w:rPr>
                <w:rFonts w:cs="Arial"/>
                <w:szCs w:val="22"/>
                <w:lang w:eastAsia="it-IT"/>
              </w:rPr>
              <w:t xml:space="preserve"> </w:t>
            </w:r>
          </w:p>
        </w:tc>
      </w:tr>
      <w:tr w:rsidR="00B8248C" w:rsidRPr="0019790A" w14:paraId="06FFA39D" w14:textId="77777777" w:rsidTr="00CA3FE6">
        <w:trPr>
          <w:jc w:val="right"/>
        </w:trPr>
        <w:tc>
          <w:tcPr>
            <w:tcW w:w="3425" w:type="dxa"/>
            <w:vAlign w:val="center"/>
          </w:tcPr>
          <w:p w14:paraId="438D8492" w14:textId="77777777" w:rsidR="00B8248C" w:rsidRPr="0019790A" w:rsidRDefault="00B8248C" w:rsidP="0019790A">
            <w:pPr>
              <w:outlineLvl w:val="5"/>
              <w:rPr>
                <w:rFonts w:cs="Arial"/>
                <w:b/>
                <w:bCs/>
                <w:color w:val="000000"/>
                <w:szCs w:val="22"/>
              </w:rPr>
            </w:pPr>
            <w:r w:rsidRPr="0019790A">
              <w:rPr>
                <w:rFonts w:cs="Arial"/>
                <w:b/>
                <w:bCs/>
                <w:color w:val="000000"/>
                <w:szCs w:val="22"/>
              </w:rPr>
              <w:t>Номер і назва завдання з Стратегії</w:t>
            </w:r>
            <w:r w:rsidRPr="0019790A">
              <w:rPr>
                <w:rFonts w:cs="Arial"/>
                <w:b/>
                <w:bCs/>
                <w:szCs w:val="22"/>
                <w:lang w:eastAsia="it-IT"/>
              </w:rPr>
              <w:t xml:space="preserve"> </w:t>
            </w:r>
            <w:r w:rsidRPr="0019790A">
              <w:rPr>
                <w:rFonts w:cs="Arial"/>
                <w:b/>
                <w:bCs/>
                <w:color w:val="000000"/>
                <w:szCs w:val="22"/>
              </w:rPr>
              <w:t>розвитку Жмеринської міської територіальної громади,  якому відповідає проєкт:</w:t>
            </w:r>
          </w:p>
        </w:tc>
        <w:tc>
          <w:tcPr>
            <w:tcW w:w="6794" w:type="dxa"/>
            <w:gridSpan w:val="9"/>
            <w:vAlign w:val="center"/>
          </w:tcPr>
          <w:p w14:paraId="2723A8A9" w14:textId="77777777" w:rsidR="00B8248C" w:rsidRPr="00CA3FE6" w:rsidRDefault="00B8248C" w:rsidP="00CA3FE6">
            <w:pPr>
              <w:pBdr>
                <w:left w:val="single" w:sz="18" w:space="4" w:color="auto"/>
              </w:pBdr>
              <w:rPr>
                <w:rFonts w:cs="Arial"/>
                <w:iCs/>
                <w:szCs w:val="22"/>
                <w:lang w:eastAsia="it-IT"/>
              </w:rPr>
            </w:pPr>
            <w:r w:rsidRPr="00CA3FE6">
              <w:rPr>
                <w:rFonts w:cs="Arial"/>
                <w:iCs/>
                <w:szCs w:val="22"/>
                <w:lang w:eastAsia="it-IT"/>
              </w:rPr>
              <w:t>С.3.3. Новітня бібліотека. Пошук нових форм роботи.</w:t>
            </w:r>
          </w:p>
          <w:p w14:paraId="1E0A2A26" w14:textId="77777777" w:rsidR="00B8248C" w:rsidRPr="00CA3FE6" w:rsidRDefault="00B8248C" w:rsidP="00CA3FE6">
            <w:pPr>
              <w:pBdr>
                <w:left w:val="single" w:sz="18" w:space="4" w:color="auto"/>
              </w:pBdr>
              <w:rPr>
                <w:rFonts w:cs="Arial"/>
                <w:szCs w:val="22"/>
                <w:lang w:eastAsia="it-IT"/>
              </w:rPr>
            </w:pPr>
          </w:p>
        </w:tc>
      </w:tr>
      <w:tr w:rsidR="00B8248C" w:rsidRPr="0019790A" w14:paraId="52986612" w14:textId="77777777" w:rsidTr="00CA3FE6">
        <w:trPr>
          <w:jc w:val="right"/>
        </w:trPr>
        <w:tc>
          <w:tcPr>
            <w:tcW w:w="3425" w:type="dxa"/>
            <w:vAlign w:val="center"/>
          </w:tcPr>
          <w:p w14:paraId="18346D2B" w14:textId="77777777" w:rsidR="00B8248C" w:rsidRPr="0019790A" w:rsidRDefault="00B8248C" w:rsidP="0019790A">
            <w:pPr>
              <w:rPr>
                <w:rFonts w:cs="Arial"/>
                <w:b/>
                <w:bCs/>
                <w:color w:val="000000"/>
                <w:szCs w:val="22"/>
              </w:rPr>
            </w:pPr>
            <w:r w:rsidRPr="0019790A">
              <w:rPr>
                <w:rFonts w:cs="Arial"/>
                <w:b/>
                <w:bCs/>
                <w:color w:val="000000"/>
                <w:szCs w:val="22"/>
              </w:rPr>
              <w:t>Мета проєкту:</w:t>
            </w:r>
          </w:p>
        </w:tc>
        <w:tc>
          <w:tcPr>
            <w:tcW w:w="6794" w:type="dxa"/>
            <w:gridSpan w:val="9"/>
            <w:vAlign w:val="center"/>
          </w:tcPr>
          <w:p w14:paraId="2E4CC7C4" w14:textId="77777777" w:rsidR="00B8248C" w:rsidRPr="0019790A" w:rsidRDefault="00B8248C" w:rsidP="00CA3FE6">
            <w:pPr>
              <w:jc w:val="both"/>
              <w:rPr>
                <w:rFonts w:cs="Arial"/>
                <w:szCs w:val="22"/>
                <w:lang w:eastAsia="it-IT"/>
              </w:rPr>
            </w:pPr>
            <w:r w:rsidRPr="0019790A">
              <w:rPr>
                <w:rFonts w:cs="Arial"/>
                <w:szCs w:val="22"/>
                <w:lang w:eastAsia="it-IT"/>
              </w:rPr>
              <w:t>Формування креативного культурного простору для дітей і молоді Жмеринської громади, що поєднує розвиток творчих здібностей, краєзнавче пізнання та туристичну привабливість через активну діяльність закладів культури.</w:t>
            </w:r>
          </w:p>
        </w:tc>
      </w:tr>
      <w:tr w:rsidR="00B8248C" w:rsidRPr="0019790A" w14:paraId="5084FB08" w14:textId="77777777" w:rsidTr="00CA3FE6">
        <w:trPr>
          <w:jc w:val="right"/>
        </w:trPr>
        <w:tc>
          <w:tcPr>
            <w:tcW w:w="3425" w:type="dxa"/>
            <w:vAlign w:val="center"/>
          </w:tcPr>
          <w:p w14:paraId="3B909F66" w14:textId="77777777" w:rsidR="00B8248C" w:rsidRPr="0019790A" w:rsidRDefault="00B8248C" w:rsidP="0019790A">
            <w:pPr>
              <w:rPr>
                <w:rFonts w:cs="Arial"/>
                <w:b/>
                <w:bCs/>
                <w:color w:val="000000"/>
                <w:szCs w:val="22"/>
              </w:rPr>
            </w:pPr>
            <w:r w:rsidRPr="0019790A">
              <w:rPr>
                <w:rFonts w:cs="Arial"/>
                <w:b/>
                <w:bCs/>
                <w:color w:val="000000"/>
                <w:szCs w:val="22"/>
              </w:rPr>
              <w:t>Цілі проєкту:</w:t>
            </w:r>
          </w:p>
        </w:tc>
        <w:tc>
          <w:tcPr>
            <w:tcW w:w="6794" w:type="dxa"/>
            <w:gridSpan w:val="9"/>
            <w:vAlign w:val="center"/>
          </w:tcPr>
          <w:p w14:paraId="363FE43F" w14:textId="77777777" w:rsidR="00B8248C" w:rsidRPr="0019790A" w:rsidRDefault="00B8248C" w:rsidP="00CA3FE6">
            <w:pPr>
              <w:jc w:val="both"/>
              <w:rPr>
                <w:rFonts w:cs="Arial"/>
                <w:szCs w:val="22"/>
                <w:lang w:eastAsia="it-IT"/>
              </w:rPr>
            </w:pPr>
            <w:r w:rsidRPr="0019790A">
              <w:rPr>
                <w:rFonts w:cs="Arial"/>
                <w:szCs w:val="22"/>
                <w:lang w:eastAsia="it-IT"/>
              </w:rPr>
              <w:t>  Підтримка творчих ініціатив дітей та молоді громади</w:t>
            </w:r>
          </w:p>
          <w:p w14:paraId="4C2416B5" w14:textId="77777777" w:rsidR="00B8248C" w:rsidRPr="0019790A" w:rsidRDefault="00B8248C" w:rsidP="00CA3FE6">
            <w:pPr>
              <w:jc w:val="both"/>
              <w:rPr>
                <w:rFonts w:cs="Arial"/>
                <w:szCs w:val="22"/>
                <w:lang w:eastAsia="it-IT"/>
              </w:rPr>
            </w:pPr>
            <w:r w:rsidRPr="0019790A">
              <w:rPr>
                <w:rFonts w:cs="Arial"/>
                <w:szCs w:val="22"/>
                <w:lang w:eastAsia="it-IT"/>
              </w:rPr>
              <w:t>  Популяризація культурної спадщини та видатних особистостей Жмеринщини</w:t>
            </w:r>
          </w:p>
          <w:p w14:paraId="1F880515" w14:textId="77777777" w:rsidR="00B8248C" w:rsidRPr="0019790A" w:rsidRDefault="00B8248C" w:rsidP="00CA3FE6">
            <w:pPr>
              <w:jc w:val="both"/>
              <w:rPr>
                <w:rFonts w:cs="Arial"/>
                <w:szCs w:val="22"/>
                <w:lang w:eastAsia="it-IT"/>
              </w:rPr>
            </w:pPr>
            <w:r w:rsidRPr="0019790A">
              <w:rPr>
                <w:rFonts w:cs="Arial"/>
                <w:szCs w:val="22"/>
                <w:lang w:eastAsia="it-IT"/>
              </w:rPr>
              <w:t>  Створення інтерактивної туристичної локації «Казкова вулиця»</w:t>
            </w:r>
          </w:p>
          <w:p w14:paraId="4037BC9D" w14:textId="77777777" w:rsidR="00B8248C" w:rsidRPr="0019790A" w:rsidRDefault="00B8248C" w:rsidP="00CA3FE6">
            <w:pPr>
              <w:jc w:val="both"/>
              <w:rPr>
                <w:rFonts w:cs="Arial"/>
                <w:szCs w:val="22"/>
                <w:lang w:eastAsia="it-IT"/>
              </w:rPr>
            </w:pPr>
            <w:r w:rsidRPr="0019790A">
              <w:rPr>
                <w:rFonts w:cs="Arial"/>
                <w:szCs w:val="22"/>
                <w:lang w:eastAsia="it-IT"/>
              </w:rPr>
              <w:t>  Забезпечення умов для мобільних презентацій дитячої творчості та театральних постановок</w:t>
            </w:r>
          </w:p>
          <w:p w14:paraId="354B9F8A" w14:textId="77777777" w:rsidR="00B8248C" w:rsidRPr="0019790A" w:rsidRDefault="00B8248C" w:rsidP="00CA3FE6">
            <w:pPr>
              <w:jc w:val="both"/>
              <w:rPr>
                <w:rFonts w:cs="Arial"/>
                <w:szCs w:val="22"/>
                <w:lang w:eastAsia="it-IT"/>
              </w:rPr>
            </w:pPr>
            <w:r w:rsidRPr="0019790A">
              <w:rPr>
                <w:rFonts w:cs="Arial"/>
                <w:szCs w:val="22"/>
                <w:lang w:eastAsia="it-IT"/>
              </w:rPr>
              <w:t>  Популяризація літературного та мистецького краєзнавства серед молоді.</w:t>
            </w:r>
          </w:p>
          <w:p w14:paraId="31343611" w14:textId="77777777" w:rsidR="00B8248C" w:rsidRPr="0019790A" w:rsidRDefault="00B8248C" w:rsidP="00CA3FE6">
            <w:pPr>
              <w:jc w:val="both"/>
              <w:rPr>
                <w:rFonts w:cs="Arial"/>
                <w:szCs w:val="22"/>
                <w:lang w:eastAsia="it-IT"/>
              </w:rPr>
            </w:pPr>
            <w:r w:rsidRPr="0019790A">
              <w:rPr>
                <w:rFonts w:cs="Arial"/>
                <w:szCs w:val="22"/>
                <w:lang w:eastAsia="it-IT"/>
              </w:rPr>
              <w:t>  Виявлення та підтримка творчо обдарованих дітей та підлітків.</w:t>
            </w:r>
          </w:p>
          <w:p w14:paraId="3B0B0836" w14:textId="77777777" w:rsidR="00B8248C" w:rsidRPr="0019790A" w:rsidRDefault="00B8248C" w:rsidP="00CA3FE6">
            <w:pPr>
              <w:jc w:val="both"/>
              <w:rPr>
                <w:rFonts w:cs="Arial"/>
                <w:szCs w:val="22"/>
                <w:lang w:eastAsia="it-IT"/>
              </w:rPr>
            </w:pPr>
            <w:r w:rsidRPr="0019790A">
              <w:rPr>
                <w:rFonts w:cs="Arial"/>
                <w:szCs w:val="22"/>
                <w:lang w:eastAsia="it-IT"/>
              </w:rPr>
              <w:t>  Підвищення рівня культурної освіченості шляхом театральних постановок та конкурсів.</w:t>
            </w:r>
          </w:p>
          <w:p w14:paraId="05D4D1E5" w14:textId="0A2C17A6" w:rsidR="00B8248C" w:rsidRPr="0019790A" w:rsidRDefault="00B8248C" w:rsidP="00CA3FE6">
            <w:pPr>
              <w:jc w:val="both"/>
              <w:rPr>
                <w:rFonts w:cs="Arial"/>
                <w:szCs w:val="22"/>
                <w:lang w:eastAsia="it-IT"/>
              </w:rPr>
            </w:pPr>
            <w:r w:rsidRPr="0019790A">
              <w:rPr>
                <w:rFonts w:cs="Arial"/>
                <w:szCs w:val="22"/>
                <w:lang w:eastAsia="it-IT"/>
              </w:rPr>
              <w:t>  Розвиток партнерства між бібліотекою та культурними установами громади.</w:t>
            </w:r>
          </w:p>
        </w:tc>
      </w:tr>
      <w:tr w:rsidR="00B8248C" w:rsidRPr="0019790A" w14:paraId="15C7B54A" w14:textId="77777777" w:rsidTr="00CA3FE6">
        <w:trPr>
          <w:jc w:val="right"/>
        </w:trPr>
        <w:tc>
          <w:tcPr>
            <w:tcW w:w="3425" w:type="dxa"/>
            <w:vAlign w:val="center"/>
          </w:tcPr>
          <w:p w14:paraId="189F4EA1" w14:textId="77777777" w:rsidR="00B8248C" w:rsidRPr="0019790A" w:rsidRDefault="00B8248C" w:rsidP="0019790A">
            <w:pPr>
              <w:autoSpaceDE w:val="0"/>
              <w:autoSpaceDN w:val="0"/>
              <w:adjustRightInd w:val="0"/>
              <w:rPr>
                <w:rFonts w:cs="Arial"/>
                <w:b/>
                <w:color w:val="000000"/>
                <w:szCs w:val="22"/>
              </w:rPr>
            </w:pPr>
            <w:r w:rsidRPr="0019790A">
              <w:rPr>
                <w:rFonts w:cs="Arial"/>
                <w:b/>
                <w:color w:val="000000"/>
                <w:szCs w:val="22"/>
              </w:rPr>
              <w:t>Територія на яку проєкт матиме вплив:</w:t>
            </w:r>
          </w:p>
        </w:tc>
        <w:tc>
          <w:tcPr>
            <w:tcW w:w="6794" w:type="dxa"/>
            <w:gridSpan w:val="9"/>
            <w:vAlign w:val="center"/>
          </w:tcPr>
          <w:p w14:paraId="32983F78" w14:textId="77777777" w:rsidR="00B8248C" w:rsidRPr="0019790A" w:rsidRDefault="00B8248C" w:rsidP="00CA3FE6">
            <w:pPr>
              <w:jc w:val="both"/>
              <w:rPr>
                <w:rFonts w:cs="Arial"/>
                <w:szCs w:val="22"/>
                <w:lang w:eastAsia="it-IT"/>
              </w:rPr>
            </w:pPr>
            <w:r w:rsidRPr="0019790A">
              <w:rPr>
                <w:rFonts w:cs="Arial"/>
                <w:szCs w:val="22"/>
                <w:lang w:eastAsia="it-IT"/>
              </w:rPr>
              <w:t>Жмеринська міська територіальна громада</w:t>
            </w:r>
          </w:p>
        </w:tc>
      </w:tr>
      <w:tr w:rsidR="00B8248C" w:rsidRPr="0019790A" w14:paraId="26749479" w14:textId="77777777" w:rsidTr="00CA3FE6">
        <w:trPr>
          <w:jc w:val="right"/>
        </w:trPr>
        <w:tc>
          <w:tcPr>
            <w:tcW w:w="3425" w:type="dxa"/>
            <w:vAlign w:val="center"/>
          </w:tcPr>
          <w:p w14:paraId="2982916E" w14:textId="77777777" w:rsidR="00B8248C" w:rsidRPr="0019790A" w:rsidRDefault="00B8248C" w:rsidP="0019790A">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4" w:type="dxa"/>
            <w:gridSpan w:val="9"/>
            <w:vAlign w:val="center"/>
          </w:tcPr>
          <w:p w14:paraId="1111EF9F" w14:textId="77777777" w:rsidR="00B8248C" w:rsidRPr="0019790A" w:rsidRDefault="00B8248C" w:rsidP="00CA3FE6">
            <w:pPr>
              <w:jc w:val="both"/>
              <w:rPr>
                <w:rFonts w:cs="Arial"/>
                <w:szCs w:val="22"/>
                <w:lang w:eastAsia="it-IT"/>
              </w:rPr>
            </w:pPr>
            <w:r w:rsidRPr="0019790A">
              <w:rPr>
                <w:rFonts w:cs="Arial"/>
                <w:szCs w:val="22"/>
                <w:lang w:eastAsia="it-IT"/>
              </w:rPr>
              <w:t>  Діти та підлітки (6–25 років) – понад 300 осіб щороку</w:t>
            </w:r>
          </w:p>
          <w:p w14:paraId="78226540" w14:textId="77777777" w:rsidR="00B8248C" w:rsidRPr="0019790A" w:rsidRDefault="00B8248C" w:rsidP="00CA3FE6">
            <w:pPr>
              <w:jc w:val="both"/>
              <w:rPr>
                <w:rFonts w:cs="Arial"/>
                <w:szCs w:val="22"/>
                <w:lang w:eastAsia="it-IT"/>
              </w:rPr>
            </w:pPr>
            <w:r w:rsidRPr="0019790A">
              <w:rPr>
                <w:rFonts w:cs="Arial"/>
                <w:szCs w:val="22"/>
                <w:lang w:eastAsia="it-IT"/>
              </w:rPr>
              <w:t>  Вчителі, батьки, працівники культури – близько 200 осіб</w:t>
            </w:r>
          </w:p>
          <w:p w14:paraId="5C5E3DC5" w14:textId="51B39659" w:rsidR="00B8248C" w:rsidRPr="0019790A" w:rsidRDefault="00B8248C" w:rsidP="00CA3FE6">
            <w:pPr>
              <w:jc w:val="both"/>
              <w:rPr>
                <w:rFonts w:cs="Arial"/>
                <w:szCs w:val="22"/>
                <w:lang w:eastAsia="it-IT"/>
              </w:rPr>
            </w:pPr>
            <w:r w:rsidRPr="0019790A">
              <w:rPr>
                <w:rFonts w:cs="Arial"/>
                <w:szCs w:val="22"/>
                <w:lang w:eastAsia="it-IT"/>
              </w:rPr>
              <w:t>  Широке коло відвідувачів бібліотеки – понад 1000 осіб щорічно</w:t>
            </w:r>
          </w:p>
        </w:tc>
      </w:tr>
      <w:tr w:rsidR="00B8248C" w:rsidRPr="0019790A" w14:paraId="421DCA46" w14:textId="77777777" w:rsidTr="00CA3FE6">
        <w:trPr>
          <w:jc w:val="right"/>
        </w:trPr>
        <w:tc>
          <w:tcPr>
            <w:tcW w:w="3425" w:type="dxa"/>
            <w:shd w:val="clear" w:color="auto" w:fill="FFFFFF"/>
            <w:vAlign w:val="center"/>
          </w:tcPr>
          <w:p w14:paraId="61709AA1" w14:textId="77777777" w:rsidR="00B8248C" w:rsidRPr="0019790A" w:rsidRDefault="00B8248C" w:rsidP="0019790A">
            <w:pPr>
              <w:rPr>
                <w:rFonts w:cs="Arial"/>
                <w:b/>
                <w:bCs/>
                <w:color w:val="000000"/>
                <w:szCs w:val="22"/>
              </w:rPr>
            </w:pPr>
            <w:r w:rsidRPr="0019790A">
              <w:rPr>
                <w:rFonts w:cs="Arial"/>
                <w:b/>
                <w:bCs/>
                <w:color w:val="000000"/>
                <w:szCs w:val="22"/>
              </w:rPr>
              <w:t>Стислий опис проєкту:</w:t>
            </w:r>
          </w:p>
        </w:tc>
        <w:tc>
          <w:tcPr>
            <w:tcW w:w="6794" w:type="dxa"/>
            <w:gridSpan w:val="9"/>
            <w:vAlign w:val="center"/>
          </w:tcPr>
          <w:p w14:paraId="37E906ED" w14:textId="77777777" w:rsidR="00B8248C" w:rsidRPr="0019790A" w:rsidRDefault="00B8248C" w:rsidP="00CA3FE6">
            <w:pPr>
              <w:jc w:val="both"/>
              <w:rPr>
                <w:rFonts w:cs="Arial"/>
                <w:szCs w:val="22"/>
                <w:lang w:eastAsia="it-IT"/>
              </w:rPr>
            </w:pPr>
            <w:r w:rsidRPr="0019790A">
              <w:rPr>
                <w:rFonts w:cs="Arial"/>
                <w:szCs w:val="22"/>
                <w:lang w:eastAsia="it-IT"/>
              </w:rPr>
              <w:t xml:space="preserve">Робота над спільним проєктом з Публічною бібліотекою «Культурна спадщина та видатні постаті краю» стала основою для розвитку нових підходів до роботи з дітьми: літературні та художні конкурси, театральні постановки на основі казок. В результаті було виявлено значну кількість талановитих дітей, яких необхідно підтримати. Для цього заплановано видання серії дитячих книг, постановка лялькових і театральних вистав, закупівля костюмів та оновлення обладнання для мобільного театру. У рамках проєкту передбачено об'єднання зусиль бібліотек, будинків культури, музеїв для реалізації ініціативи «Територія дитинства». </w:t>
            </w:r>
          </w:p>
          <w:p w14:paraId="01BB9648" w14:textId="77777777" w:rsidR="00B8248C" w:rsidRPr="0019790A" w:rsidRDefault="00B8248C" w:rsidP="00CA3FE6">
            <w:pPr>
              <w:jc w:val="both"/>
              <w:rPr>
                <w:rFonts w:cs="Arial"/>
                <w:szCs w:val="22"/>
                <w:lang w:eastAsia="it-IT"/>
              </w:rPr>
            </w:pPr>
            <w:r w:rsidRPr="0019790A">
              <w:rPr>
                <w:rFonts w:cs="Arial"/>
                <w:szCs w:val="22"/>
                <w:lang w:eastAsia="it-IT"/>
              </w:rPr>
              <w:t>В основі – підтримка дитячої творчості (малюнки, літературні твори, театральні виступи), формування експозиційних локацій для демонстрації робіт, проведення презентацій, постановок та виїзних подій.</w:t>
            </w:r>
          </w:p>
          <w:p w14:paraId="326AB13A" w14:textId="67E7C317" w:rsidR="00B8248C" w:rsidRPr="0019790A" w:rsidRDefault="00B8248C" w:rsidP="00CA3FE6">
            <w:pPr>
              <w:jc w:val="both"/>
              <w:rPr>
                <w:rFonts w:cs="Arial"/>
                <w:szCs w:val="22"/>
                <w:lang w:eastAsia="it-IT"/>
              </w:rPr>
            </w:pPr>
            <w:r w:rsidRPr="0019790A">
              <w:rPr>
                <w:rFonts w:cs="Arial"/>
                <w:szCs w:val="22"/>
                <w:lang w:eastAsia="it-IT"/>
              </w:rPr>
              <w:t>Особливу родзинку проєкту складатиме створення туристичного маршруту «Казкова вулиця» на основі казок Яна Бжехви, що проходитиме вулицею, де розташована бібліотека – з інформаційними табличками, QR-кодами, арт-об'єктами за мотивами творів. Це перетворить звичайну міську вулицю на простір дитячої фантазії, туризму та мистецтва.</w:t>
            </w:r>
          </w:p>
        </w:tc>
      </w:tr>
      <w:tr w:rsidR="00B8248C" w:rsidRPr="0019790A" w14:paraId="52E43370" w14:textId="77777777" w:rsidTr="00CA3FE6">
        <w:trPr>
          <w:jc w:val="right"/>
        </w:trPr>
        <w:tc>
          <w:tcPr>
            <w:tcW w:w="3425" w:type="dxa"/>
            <w:shd w:val="clear" w:color="auto" w:fill="FFFFFF"/>
            <w:vAlign w:val="center"/>
          </w:tcPr>
          <w:p w14:paraId="0BE5AEDB" w14:textId="77777777" w:rsidR="00B8248C" w:rsidRPr="0019790A" w:rsidRDefault="00B8248C" w:rsidP="0019790A">
            <w:pPr>
              <w:rPr>
                <w:rFonts w:cs="Arial"/>
                <w:b/>
                <w:bCs/>
                <w:color w:val="000000"/>
                <w:szCs w:val="22"/>
              </w:rPr>
            </w:pPr>
            <w:r w:rsidRPr="0019790A">
              <w:rPr>
                <w:rFonts w:cs="Arial"/>
                <w:b/>
                <w:bCs/>
                <w:color w:val="000000"/>
                <w:szCs w:val="22"/>
              </w:rPr>
              <w:t>Основні заходи проєкту:</w:t>
            </w:r>
          </w:p>
        </w:tc>
        <w:tc>
          <w:tcPr>
            <w:tcW w:w="6794" w:type="dxa"/>
            <w:gridSpan w:val="9"/>
            <w:vAlign w:val="center"/>
          </w:tcPr>
          <w:p w14:paraId="0571CFB8" w14:textId="77777777" w:rsidR="00B8248C" w:rsidRPr="0019790A" w:rsidRDefault="00B8248C" w:rsidP="00CA3FE6">
            <w:pPr>
              <w:jc w:val="both"/>
              <w:rPr>
                <w:rFonts w:cs="Arial"/>
                <w:szCs w:val="22"/>
                <w:lang w:eastAsia="it-IT"/>
              </w:rPr>
            </w:pPr>
            <w:r w:rsidRPr="0019790A">
              <w:rPr>
                <w:rFonts w:cs="Arial"/>
                <w:szCs w:val="22"/>
                <w:lang w:eastAsia="it-IT"/>
              </w:rPr>
              <w:t>  Створення виставкової зони в бібліотеці</w:t>
            </w:r>
          </w:p>
          <w:p w14:paraId="7A3A763F" w14:textId="77777777" w:rsidR="00B8248C" w:rsidRPr="0019790A" w:rsidRDefault="00B8248C" w:rsidP="00CA3FE6">
            <w:pPr>
              <w:jc w:val="both"/>
              <w:rPr>
                <w:rFonts w:cs="Arial"/>
                <w:szCs w:val="22"/>
                <w:lang w:eastAsia="it-IT"/>
              </w:rPr>
            </w:pPr>
            <w:r w:rsidRPr="0019790A">
              <w:rPr>
                <w:rFonts w:cs="Arial"/>
                <w:szCs w:val="22"/>
                <w:lang w:eastAsia="it-IT"/>
              </w:rPr>
              <w:t>  Проведення щорічних творчих конкурсів серед дітей та молоді</w:t>
            </w:r>
          </w:p>
          <w:p w14:paraId="2FD735C4" w14:textId="77777777" w:rsidR="00B8248C" w:rsidRPr="0019790A" w:rsidRDefault="00B8248C" w:rsidP="00CA3FE6">
            <w:pPr>
              <w:jc w:val="both"/>
              <w:rPr>
                <w:rFonts w:cs="Arial"/>
                <w:szCs w:val="22"/>
                <w:lang w:eastAsia="it-IT"/>
              </w:rPr>
            </w:pPr>
            <w:r w:rsidRPr="0019790A">
              <w:rPr>
                <w:rFonts w:cs="Arial"/>
                <w:szCs w:val="22"/>
                <w:lang w:eastAsia="it-IT"/>
              </w:rPr>
              <w:t>  Випуск друкованих збірок за підсумками конкурсів</w:t>
            </w:r>
          </w:p>
          <w:p w14:paraId="6E3662D0" w14:textId="77777777" w:rsidR="00B8248C" w:rsidRPr="0019790A" w:rsidRDefault="00B8248C" w:rsidP="00CA3FE6">
            <w:pPr>
              <w:jc w:val="both"/>
              <w:rPr>
                <w:rFonts w:cs="Arial"/>
                <w:szCs w:val="22"/>
                <w:lang w:eastAsia="it-IT"/>
              </w:rPr>
            </w:pPr>
            <w:r w:rsidRPr="0019790A">
              <w:rPr>
                <w:rFonts w:cs="Arial"/>
                <w:szCs w:val="22"/>
                <w:lang w:eastAsia="it-IT"/>
              </w:rPr>
              <w:t>  Проведення театральних та лялькових постановок</w:t>
            </w:r>
          </w:p>
          <w:p w14:paraId="3779B1C3" w14:textId="77777777" w:rsidR="00B8248C" w:rsidRPr="0019790A" w:rsidRDefault="00B8248C" w:rsidP="00CA3FE6">
            <w:pPr>
              <w:jc w:val="both"/>
              <w:rPr>
                <w:rFonts w:cs="Arial"/>
                <w:szCs w:val="22"/>
                <w:lang w:eastAsia="it-IT"/>
              </w:rPr>
            </w:pPr>
            <w:r w:rsidRPr="0019790A">
              <w:rPr>
                <w:rFonts w:cs="Arial"/>
                <w:szCs w:val="22"/>
                <w:lang w:eastAsia="it-IT"/>
              </w:rPr>
              <w:t>  Закупівля театрального обладнання та костюмів</w:t>
            </w:r>
          </w:p>
          <w:p w14:paraId="52A54467" w14:textId="77777777" w:rsidR="00B8248C" w:rsidRPr="0019790A" w:rsidRDefault="00B8248C" w:rsidP="00CA3FE6">
            <w:pPr>
              <w:jc w:val="both"/>
              <w:rPr>
                <w:rFonts w:cs="Arial"/>
                <w:szCs w:val="22"/>
                <w:lang w:eastAsia="it-IT"/>
              </w:rPr>
            </w:pPr>
            <w:r w:rsidRPr="0019790A">
              <w:rPr>
                <w:rFonts w:cs="Arial"/>
                <w:szCs w:val="22"/>
                <w:lang w:eastAsia="it-IT"/>
              </w:rPr>
              <w:t>  Виїзні вистави та презентації дитячої творчості в населених пунктах ТГ</w:t>
            </w:r>
          </w:p>
          <w:p w14:paraId="293E16F6" w14:textId="77777777" w:rsidR="00B8248C" w:rsidRPr="0019790A" w:rsidRDefault="00B8248C" w:rsidP="00CA3FE6">
            <w:pPr>
              <w:jc w:val="both"/>
              <w:rPr>
                <w:rFonts w:cs="Arial"/>
                <w:szCs w:val="22"/>
                <w:lang w:eastAsia="it-IT"/>
              </w:rPr>
            </w:pPr>
            <w:r w:rsidRPr="0019790A">
              <w:rPr>
                <w:rFonts w:cs="Arial"/>
                <w:szCs w:val="22"/>
                <w:lang w:eastAsia="it-IT"/>
              </w:rPr>
              <w:t>  Розробка туристичного маршруту «Казкова вулиця»</w:t>
            </w:r>
          </w:p>
          <w:p w14:paraId="7A100030" w14:textId="6F099871" w:rsidR="00B8248C" w:rsidRPr="0019790A" w:rsidRDefault="00B8248C" w:rsidP="00CA3FE6">
            <w:pPr>
              <w:jc w:val="both"/>
              <w:rPr>
                <w:rFonts w:cs="Arial"/>
                <w:szCs w:val="22"/>
                <w:lang w:eastAsia="it-IT"/>
              </w:rPr>
            </w:pPr>
            <w:r w:rsidRPr="0019790A">
              <w:rPr>
                <w:rFonts w:cs="Arial"/>
                <w:szCs w:val="22"/>
                <w:lang w:eastAsia="it-IT"/>
              </w:rPr>
              <w:t>  Організація екскурсій, свят на основі творчості дітей</w:t>
            </w:r>
          </w:p>
        </w:tc>
      </w:tr>
      <w:tr w:rsidR="00B8248C" w:rsidRPr="0019790A" w14:paraId="787B37E0" w14:textId="77777777" w:rsidTr="00CA3FE6">
        <w:trPr>
          <w:jc w:val="right"/>
        </w:trPr>
        <w:tc>
          <w:tcPr>
            <w:tcW w:w="3425" w:type="dxa"/>
            <w:shd w:val="clear" w:color="auto" w:fill="FFFFFF"/>
            <w:vAlign w:val="center"/>
          </w:tcPr>
          <w:p w14:paraId="17962F39" w14:textId="77777777" w:rsidR="00B8248C" w:rsidRPr="0019790A" w:rsidRDefault="00B8248C"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794" w:type="dxa"/>
            <w:gridSpan w:val="9"/>
            <w:vAlign w:val="center"/>
          </w:tcPr>
          <w:p w14:paraId="779E67E2" w14:textId="77777777" w:rsidR="00B8248C" w:rsidRPr="0019790A" w:rsidRDefault="00B8248C" w:rsidP="00CA3FE6">
            <w:pPr>
              <w:jc w:val="both"/>
              <w:rPr>
                <w:rFonts w:cs="Arial"/>
                <w:szCs w:val="22"/>
                <w:lang w:eastAsia="it-IT"/>
              </w:rPr>
            </w:pPr>
            <w:r w:rsidRPr="0019790A">
              <w:rPr>
                <w:rFonts w:cs="Arial"/>
                <w:szCs w:val="22"/>
                <w:lang w:eastAsia="it-IT"/>
              </w:rPr>
              <w:t>  Проведено щорічно не менше 3 конкурсів</w:t>
            </w:r>
          </w:p>
          <w:p w14:paraId="13044290" w14:textId="77777777" w:rsidR="00B8248C" w:rsidRPr="0019790A" w:rsidRDefault="00B8248C" w:rsidP="00CA3FE6">
            <w:pPr>
              <w:jc w:val="both"/>
              <w:rPr>
                <w:rFonts w:cs="Arial"/>
                <w:szCs w:val="22"/>
                <w:lang w:eastAsia="it-IT"/>
              </w:rPr>
            </w:pPr>
            <w:r w:rsidRPr="0019790A">
              <w:rPr>
                <w:rFonts w:cs="Arial"/>
                <w:szCs w:val="22"/>
                <w:lang w:eastAsia="it-IT"/>
              </w:rPr>
              <w:t>  Створено 1–2 театральні постановки щороку</w:t>
            </w:r>
          </w:p>
          <w:p w14:paraId="257A52B9" w14:textId="77777777" w:rsidR="00B8248C" w:rsidRPr="0019790A" w:rsidRDefault="00B8248C" w:rsidP="00CA3FE6">
            <w:pPr>
              <w:jc w:val="both"/>
              <w:rPr>
                <w:rFonts w:cs="Arial"/>
                <w:szCs w:val="22"/>
                <w:lang w:eastAsia="it-IT"/>
              </w:rPr>
            </w:pPr>
            <w:r w:rsidRPr="0019790A">
              <w:rPr>
                <w:rFonts w:cs="Arial"/>
                <w:szCs w:val="22"/>
                <w:lang w:eastAsia="it-IT"/>
              </w:rPr>
              <w:t>  Надруковано не менше 2 збірок за 4 роки</w:t>
            </w:r>
          </w:p>
          <w:p w14:paraId="60C456D3" w14:textId="77777777" w:rsidR="00B8248C" w:rsidRPr="0019790A" w:rsidRDefault="00B8248C" w:rsidP="00CA3FE6">
            <w:pPr>
              <w:jc w:val="both"/>
              <w:rPr>
                <w:rFonts w:cs="Arial"/>
                <w:szCs w:val="22"/>
                <w:lang w:eastAsia="it-IT"/>
              </w:rPr>
            </w:pPr>
            <w:r w:rsidRPr="0019790A">
              <w:rPr>
                <w:rFonts w:cs="Arial"/>
                <w:szCs w:val="22"/>
                <w:lang w:eastAsia="it-IT"/>
              </w:rPr>
              <w:t>  Облаштовано 1 туристичний маршрут</w:t>
            </w:r>
          </w:p>
          <w:p w14:paraId="6743D1C3" w14:textId="77777777" w:rsidR="00B8248C" w:rsidRPr="0019790A" w:rsidRDefault="00B8248C" w:rsidP="00CA3FE6">
            <w:pPr>
              <w:jc w:val="both"/>
              <w:rPr>
                <w:rFonts w:cs="Arial"/>
                <w:szCs w:val="22"/>
                <w:lang w:eastAsia="it-IT"/>
              </w:rPr>
            </w:pPr>
            <w:r w:rsidRPr="0019790A">
              <w:rPr>
                <w:rFonts w:cs="Arial"/>
                <w:szCs w:val="22"/>
                <w:lang w:eastAsia="it-IT"/>
              </w:rPr>
              <w:t>  Створено експозицію в бібліотеці</w:t>
            </w:r>
          </w:p>
          <w:p w14:paraId="2FD3225F" w14:textId="77777777" w:rsidR="00B8248C" w:rsidRPr="0019790A" w:rsidRDefault="00B8248C" w:rsidP="00CA3FE6">
            <w:pPr>
              <w:jc w:val="both"/>
              <w:rPr>
                <w:rFonts w:cs="Arial"/>
                <w:szCs w:val="22"/>
                <w:lang w:eastAsia="it-IT"/>
              </w:rPr>
            </w:pPr>
            <w:r w:rsidRPr="0019790A">
              <w:rPr>
                <w:rFonts w:cs="Arial"/>
                <w:szCs w:val="22"/>
                <w:lang w:eastAsia="it-IT"/>
              </w:rPr>
              <w:t>  Охоплення учасників проєкту – понад 300 дітей щороку</w:t>
            </w:r>
          </w:p>
          <w:p w14:paraId="436E45DE" w14:textId="40AD14EC" w:rsidR="00B8248C" w:rsidRPr="0019790A" w:rsidRDefault="00B8248C" w:rsidP="00CA3FE6">
            <w:pPr>
              <w:jc w:val="both"/>
              <w:rPr>
                <w:rFonts w:cs="Arial"/>
                <w:szCs w:val="22"/>
                <w:lang w:eastAsia="it-IT"/>
              </w:rPr>
            </w:pPr>
            <w:r w:rsidRPr="0019790A">
              <w:rPr>
                <w:rFonts w:cs="Arial"/>
                <w:szCs w:val="22"/>
                <w:lang w:eastAsia="it-IT"/>
              </w:rPr>
              <w:t>  Проведено не менше 2 виїзних заходів щороку</w:t>
            </w:r>
          </w:p>
        </w:tc>
      </w:tr>
      <w:tr w:rsidR="00B8248C" w:rsidRPr="0019790A" w14:paraId="5F1EA77E" w14:textId="77777777" w:rsidTr="00B8248C">
        <w:trPr>
          <w:jc w:val="right"/>
        </w:trPr>
        <w:tc>
          <w:tcPr>
            <w:tcW w:w="3425" w:type="dxa"/>
            <w:shd w:val="clear" w:color="auto" w:fill="FFFFFF"/>
            <w:vAlign w:val="center"/>
          </w:tcPr>
          <w:p w14:paraId="2A1B9199" w14:textId="77777777" w:rsidR="00B8248C" w:rsidRPr="0019790A" w:rsidRDefault="00B8248C" w:rsidP="0019790A">
            <w:pPr>
              <w:rPr>
                <w:rFonts w:cs="Arial"/>
                <w:b/>
                <w:color w:val="000000"/>
                <w:szCs w:val="22"/>
              </w:rPr>
            </w:pPr>
            <w:r w:rsidRPr="0019790A">
              <w:rPr>
                <w:rFonts w:cs="Arial"/>
                <w:b/>
                <w:color w:val="000000"/>
                <w:szCs w:val="22"/>
              </w:rPr>
              <w:t xml:space="preserve">Період здійснення: </w:t>
            </w:r>
          </w:p>
        </w:tc>
        <w:tc>
          <w:tcPr>
            <w:tcW w:w="6794" w:type="dxa"/>
            <w:gridSpan w:val="9"/>
            <w:vAlign w:val="center"/>
          </w:tcPr>
          <w:p w14:paraId="7EAD72EB" w14:textId="77777777" w:rsidR="00B8248C" w:rsidRPr="0019790A" w:rsidRDefault="00B8248C" w:rsidP="0019790A">
            <w:pPr>
              <w:rPr>
                <w:rFonts w:cs="Arial"/>
                <w:color w:val="000000"/>
                <w:szCs w:val="22"/>
                <w:lang w:eastAsia="it-IT"/>
              </w:rPr>
            </w:pPr>
            <w:r w:rsidRPr="0019790A">
              <w:rPr>
                <w:rFonts w:cs="Arial"/>
                <w:b/>
                <w:color w:val="000000"/>
                <w:szCs w:val="22"/>
              </w:rPr>
              <w:t>2025 – 2028 роки:</w:t>
            </w:r>
          </w:p>
        </w:tc>
      </w:tr>
      <w:tr w:rsidR="00B8248C" w:rsidRPr="0019790A" w14:paraId="0FD288A6" w14:textId="77777777" w:rsidTr="00B8248C">
        <w:trPr>
          <w:jc w:val="right"/>
        </w:trPr>
        <w:tc>
          <w:tcPr>
            <w:tcW w:w="3425" w:type="dxa"/>
            <w:vMerge w:val="restart"/>
            <w:shd w:val="clear" w:color="auto" w:fill="FFFFFF"/>
            <w:vAlign w:val="center"/>
          </w:tcPr>
          <w:p w14:paraId="360C6C02" w14:textId="77777777" w:rsidR="00B8248C" w:rsidRPr="0019790A" w:rsidRDefault="00B8248C" w:rsidP="0019790A">
            <w:pPr>
              <w:rPr>
                <w:rFonts w:cs="Arial"/>
                <w:b/>
                <w:bCs/>
                <w:color w:val="000000"/>
                <w:szCs w:val="22"/>
              </w:rPr>
            </w:pPr>
            <w:r w:rsidRPr="0019790A">
              <w:rPr>
                <w:rFonts w:cs="Arial"/>
                <w:b/>
                <w:bCs/>
                <w:color w:val="000000"/>
                <w:szCs w:val="22"/>
              </w:rPr>
              <w:t>Орієнтовна вартість проєкту, тис. грн., в тому числі:</w:t>
            </w:r>
          </w:p>
        </w:tc>
        <w:tc>
          <w:tcPr>
            <w:tcW w:w="1254" w:type="dxa"/>
            <w:gridSpan w:val="2"/>
            <w:shd w:val="clear" w:color="auto" w:fill="E6E6E6"/>
            <w:vAlign w:val="center"/>
          </w:tcPr>
          <w:p w14:paraId="15985D66"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2025</w:t>
            </w:r>
          </w:p>
        </w:tc>
        <w:tc>
          <w:tcPr>
            <w:tcW w:w="1275" w:type="dxa"/>
            <w:shd w:val="clear" w:color="auto" w:fill="E6E6E6"/>
            <w:vAlign w:val="center"/>
          </w:tcPr>
          <w:p w14:paraId="1143CF46"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2026</w:t>
            </w:r>
          </w:p>
        </w:tc>
        <w:tc>
          <w:tcPr>
            <w:tcW w:w="1418" w:type="dxa"/>
            <w:gridSpan w:val="2"/>
            <w:tcBorders>
              <w:bottom w:val="single" w:sz="4" w:space="0" w:color="auto"/>
            </w:tcBorders>
            <w:shd w:val="clear" w:color="auto" w:fill="E6E6E6"/>
            <w:vAlign w:val="center"/>
          </w:tcPr>
          <w:p w14:paraId="71737343"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2027</w:t>
            </w:r>
          </w:p>
        </w:tc>
        <w:tc>
          <w:tcPr>
            <w:tcW w:w="1276" w:type="dxa"/>
            <w:gridSpan w:val="2"/>
            <w:shd w:val="clear" w:color="auto" w:fill="E6E6E6"/>
            <w:vAlign w:val="center"/>
          </w:tcPr>
          <w:p w14:paraId="7519D270"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2028</w:t>
            </w:r>
          </w:p>
        </w:tc>
        <w:tc>
          <w:tcPr>
            <w:tcW w:w="1571" w:type="dxa"/>
            <w:gridSpan w:val="2"/>
            <w:shd w:val="clear" w:color="auto" w:fill="E6E6E6"/>
            <w:vAlign w:val="center"/>
          </w:tcPr>
          <w:p w14:paraId="7AAB11B0"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РАЗОМ</w:t>
            </w:r>
          </w:p>
        </w:tc>
      </w:tr>
      <w:tr w:rsidR="00B8248C" w:rsidRPr="0019790A" w14:paraId="592C1620" w14:textId="77777777" w:rsidTr="00B8248C">
        <w:trPr>
          <w:jc w:val="right"/>
        </w:trPr>
        <w:tc>
          <w:tcPr>
            <w:tcW w:w="3425" w:type="dxa"/>
            <w:vMerge/>
            <w:shd w:val="clear" w:color="auto" w:fill="FFFFFF"/>
            <w:vAlign w:val="center"/>
          </w:tcPr>
          <w:p w14:paraId="1AD0F796" w14:textId="77777777" w:rsidR="00B8248C" w:rsidRPr="0019790A" w:rsidRDefault="00B8248C" w:rsidP="0019790A">
            <w:pPr>
              <w:rPr>
                <w:rFonts w:cs="Arial"/>
                <w:b/>
                <w:bCs/>
                <w:color w:val="000000"/>
                <w:szCs w:val="22"/>
              </w:rPr>
            </w:pPr>
          </w:p>
        </w:tc>
        <w:tc>
          <w:tcPr>
            <w:tcW w:w="1254" w:type="dxa"/>
            <w:gridSpan w:val="2"/>
            <w:vAlign w:val="center"/>
          </w:tcPr>
          <w:p w14:paraId="5DB70092"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120,0</w:t>
            </w:r>
          </w:p>
        </w:tc>
        <w:tc>
          <w:tcPr>
            <w:tcW w:w="1275" w:type="dxa"/>
            <w:shd w:val="clear" w:color="auto" w:fill="FFFFFF"/>
            <w:vAlign w:val="center"/>
          </w:tcPr>
          <w:p w14:paraId="509DBB07"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220,0</w:t>
            </w:r>
          </w:p>
        </w:tc>
        <w:tc>
          <w:tcPr>
            <w:tcW w:w="1418" w:type="dxa"/>
            <w:gridSpan w:val="2"/>
            <w:shd w:val="clear" w:color="auto" w:fill="auto"/>
            <w:vAlign w:val="center"/>
          </w:tcPr>
          <w:p w14:paraId="4E1CDB27"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220,0</w:t>
            </w:r>
          </w:p>
        </w:tc>
        <w:tc>
          <w:tcPr>
            <w:tcW w:w="1276" w:type="dxa"/>
            <w:gridSpan w:val="2"/>
            <w:shd w:val="clear" w:color="auto" w:fill="FFFFFF"/>
            <w:vAlign w:val="center"/>
          </w:tcPr>
          <w:p w14:paraId="44103851"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120,0</w:t>
            </w:r>
          </w:p>
        </w:tc>
        <w:tc>
          <w:tcPr>
            <w:tcW w:w="1571" w:type="dxa"/>
            <w:gridSpan w:val="2"/>
            <w:shd w:val="clear" w:color="auto" w:fill="FFFFFF"/>
            <w:vAlign w:val="center"/>
          </w:tcPr>
          <w:p w14:paraId="3D4D4A67"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680,0</w:t>
            </w:r>
          </w:p>
        </w:tc>
      </w:tr>
      <w:tr w:rsidR="00B8248C" w:rsidRPr="0019790A" w14:paraId="332B4AB6" w14:textId="77777777" w:rsidTr="00B8248C">
        <w:trPr>
          <w:trHeight w:val="276"/>
          <w:jc w:val="right"/>
        </w:trPr>
        <w:tc>
          <w:tcPr>
            <w:tcW w:w="3425" w:type="dxa"/>
            <w:shd w:val="clear" w:color="auto" w:fill="FFFFFF"/>
            <w:vAlign w:val="center"/>
          </w:tcPr>
          <w:p w14:paraId="0B59B91F" w14:textId="77777777" w:rsidR="00B8248C" w:rsidRPr="0019790A" w:rsidRDefault="00B8248C" w:rsidP="0019790A">
            <w:pPr>
              <w:rPr>
                <w:rFonts w:cs="Arial"/>
                <w:b/>
                <w:bCs/>
                <w:color w:val="000000"/>
                <w:szCs w:val="22"/>
              </w:rPr>
            </w:pPr>
            <w:r w:rsidRPr="0019790A">
              <w:rPr>
                <w:rFonts w:cs="Arial"/>
                <w:b/>
                <w:bCs/>
                <w:color w:val="000000"/>
                <w:szCs w:val="22"/>
              </w:rPr>
              <w:t>по джерелах фінансування:</w:t>
            </w:r>
          </w:p>
        </w:tc>
        <w:tc>
          <w:tcPr>
            <w:tcW w:w="6794" w:type="dxa"/>
            <w:gridSpan w:val="9"/>
            <w:vAlign w:val="center"/>
          </w:tcPr>
          <w:p w14:paraId="0C1F9888" w14:textId="77777777" w:rsidR="00B8248C" w:rsidRPr="0019790A" w:rsidRDefault="00B8248C" w:rsidP="00CA3FE6">
            <w:pPr>
              <w:jc w:val="center"/>
              <w:rPr>
                <w:rFonts w:cs="Arial"/>
                <w:color w:val="000000"/>
                <w:szCs w:val="22"/>
                <w:lang w:eastAsia="it-IT"/>
              </w:rPr>
            </w:pPr>
          </w:p>
        </w:tc>
      </w:tr>
      <w:tr w:rsidR="00CA3FE6" w:rsidRPr="0019790A" w14:paraId="40B73622" w14:textId="557A5D69" w:rsidTr="00CA3FE6">
        <w:trPr>
          <w:trHeight w:val="240"/>
          <w:jc w:val="right"/>
        </w:trPr>
        <w:tc>
          <w:tcPr>
            <w:tcW w:w="3425" w:type="dxa"/>
            <w:shd w:val="clear" w:color="auto" w:fill="FFFFFF"/>
            <w:vAlign w:val="center"/>
          </w:tcPr>
          <w:p w14:paraId="1EDDEF87" w14:textId="77777777" w:rsidR="00CA3FE6" w:rsidRPr="0019790A" w:rsidRDefault="00CA3FE6" w:rsidP="0019790A">
            <w:pPr>
              <w:rPr>
                <w:rFonts w:cs="Arial"/>
                <w:b/>
                <w:bCs/>
                <w:color w:val="000000"/>
                <w:szCs w:val="22"/>
              </w:rPr>
            </w:pPr>
            <w:r w:rsidRPr="0019790A">
              <w:rPr>
                <w:rFonts w:cs="Arial"/>
                <w:color w:val="000000"/>
                <w:szCs w:val="22"/>
              </w:rPr>
              <w:t>- державний бюджет</w:t>
            </w:r>
          </w:p>
        </w:tc>
        <w:tc>
          <w:tcPr>
            <w:tcW w:w="1240" w:type="dxa"/>
            <w:vAlign w:val="center"/>
          </w:tcPr>
          <w:p w14:paraId="433AC57D" w14:textId="77777777" w:rsidR="00CA3FE6" w:rsidRPr="00CA3FE6" w:rsidRDefault="00CA3FE6" w:rsidP="00CA3FE6">
            <w:pPr>
              <w:jc w:val="center"/>
              <w:rPr>
                <w:rFonts w:cs="Arial"/>
                <w:color w:val="000000"/>
                <w:szCs w:val="22"/>
                <w:lang w:eastAsia="it-IT"/>
              </w:rPr>
            </w:pPr>
          </w:p>
        </w:tc>
        <w:tc>
          <w:tcPr>
            <w:tcW w:w="1302" w:type="dxa"/>
            <w:gridSpan w:val="3"/>
            <w:vAlign w:val="center"/>
          </w:tcPr>
          <w:p w14:paraId="1B5E041A" w14:textId="77777777" w:rsidR="00CA3FE6" w:rsidRPr="00CA3FE6" w:rsidRDefault="00CA3FE6" w:rsidP="00CA3FE6">
            <w:pPr>
              <w:jc w:val="center"/>
              <w:rPr>
                <w:rFonts w:cs="Arial"/>
                <w:color w:val="000000"/>
                <w:szCs w:val="22"/>
                <w:lang w:eastAsia="it-IT"/>
              </w:rPr>
            </w:pPr>
          </w:p>
        </w:tc>
        <w:tc>
          <w:tcPr>
            <w:tcW w:w="1427" w:type="dxa"/>
            <w:gridSpan w:val="2"/>
            <w:vAlign w:val="center"/>
          </w:tcPr>
          <w:p w14:paraId="19DC8EDF" w14:textId="77777777" w:rsidR="00CA3FE6" w:rsidRPr="00CA3FE6" w:rsidRDefault="00CA3FE6" w:rsidP="00CA3FE6">
            <w:pPr>
              <w:jc w:val="center"/>
              <w:rPr>
                <w:rFonts w:cs="Arial"/>
                <w:color w:val="000000"/>
                <w:szCs w:val="22"/>
                <w:lang w:eastAsia="it-IT"/>
              </w:rPr>
            </w:pPr>
          </w:p>
        </w:tc>
        <w:tc>
          <w:tcPr>
            <w:tcW w:w="1290" w:type="dxa"/>
            <w:gridSpan w:val="2"/>
            <w:vAlign w:val="center"/>
          </w:tcPr>
          <w:p w14:paraId="4BA681DF" w14:textId="77777777" w:rsidR="00CA3FE6" w:rsidRPr="00CA3FE6" w:rsidRDefault="00CA3FE6" w:rsidP="00CA3FE6">
            <w:pPr>
              <w:jc w:val="center"/>
              <w:rPr>
                <w:rFonts w:cs="Arial"/>
                <w:color w:val="000000"/>
                <w:szCs w:val="22"/>
                <w:lang w:eastAsia="it-IT"/>
              </w:rPr>
            </w:pPr>
          </w:p>
        </w:tc>
        <w:tc>
          <w:tcPr>
            <w:tcW w:w="1535" w:type="dxa"/>
            <w:vAlign w:val="center"/>
          </w:tcPr>
          <w:p w14:paraId="525E740A" w14:textId="77777777" w:rsidR="00CA3FE6" w:rsidRPr="00CA3FE6" w:rsidRDefault="00CA3FE6" w:rsidP="00CA3FE6">
            <w:pPr>
              <w:jc w:val="center"/>
              <w:rPr>
                <w:rFonts w:cs="Arial"/>
                <w:color w:val="000000"/>
                <w:szCs w:val="22"/>
                <w:lang w:eastAsia="it-IT"/>
              </w:rPr>
            </w:pPr>
          </w:p>
        </w:tc>
      </w:tr>
      <w:tr w:rsidR="00CA3FE6" w:rsidRPr="0019790A" w14:paraId="719565D5" w14:textId="0280CFC7" w:rsidTr="00CA3FE6">
        <w:trPr>
          <w:trHeight w:val="254"/>
          <w:jc w:val="right"/>
        </w:trPr>
        <w:tc>
          <w:tcPr>
            <w:tcW w:w="3425" w:type="dxa"/>
            <w:shd w:val="clear" w:color="auto" w:fill="FFFFFF"/>
            <w:vAlign w:val="center"/>
          </w:tcPr>
          <w:p w14:paraId="4FA49B81" w14:textId="77777777" w:rsidR="00CA3FE6" w:rsidRPr="0019790A" w:rsidRDefault="00CA3FE6" w:rsidP="0019790A">
            <w:pPr>
              <w:rPr>
                <w:rFonts w:cs="Arial"/>
                <w:color w:val="000000"/>
                <w:szCs w:val="22"/>
              </w:rPr>
            </w:pPr>
            <w:r w:rsidRPr="0019790A">
              <w:rPr>
                <w:rFonts w:cs="Arial"/>
                <w:color w:val="000000"/>
                <w:szCs w:val="22"/>
              </w:rPr>
              <w:t>- обласний бюджет</w:t>
            </w:r>
          </w:p>
        </w:tc>
        <w:tc>
          <w:tcPr>
            <w:tcW w:w="1240" w:type="dxa"/>
            <w:vAlign w:val="center"/>
          </w:tcPr>
          <w:p w14:paraId="78EE85F1" w14:textId="77777777" w:rsidR="00CA3FE6" w:rsidRPr="00CA3FE6" w:rsidRDefault="00CA3FE6" w:rsidP="00CA3FE6">
            <w:pPr>
              <w:jc w:val="center"/>
              <w:rPr>
                <w:rFonts w:cs="Arial"/>
                <w:color w:val="000000"/>
                <w:szCs w:val="22"/>
                <w:lang w:eastAsia="it-IT"/>
              </w:rPr>
            </w:pPr>
          </w:p>
        </w:tc>
        <w:tc>
          <w:tcPr>
            <w:tcW w:w="1302" w:type="dxa"/>
            <w:gridSpan w:val="3"/>
            <w:vAlign w:val="center"/>
          </w:tcPr>
          <w:p w14:paraId="6063DFFE" w14:textId="77777777" w:rsidR="00CA3FE6" w:rsidRPr="00CA3FE6" w:rsidRDefault="00CA3FE6" w:rsidP="00CA3FE6">
            <w:pPr>
              <w:jc w:val="center"/>
              <w:rPr>
                <w:rFonts w:cs="Arial"/>
                <w:color w:val="000000"/>
                <w:szCs w:val="22"/>
                <w:lang w:eastAsia="it-IT"/>
              </w:rPr>
            </w:pPr>
          </w:p>
        </w:tc>
        <w:tc>
          <w:tcPr>
            <w:tcW w:w="1427" w:type="dxa"/>
            <w:gridSpan w:val="2"/>
            <w:vAlign w:val="center"/>
          </w:tcPr>
          <w:p w14:paraId="7E6A131D" w14:textId="77777777" w:rsidR="00CA3FE6" w:rsidRPr="00CA3FE6" w:rsidRDefault="00CA3FE6" w:rsidP="00CA3FE6">
            <w:pPr>
              <w:jc w:val="center"/>
              <w:rPr>
                <w:rFonts w:cs="Arial"/>
                <w:color w:val="000000"/>
                <w:szCs w:val="22"/>
                <w:lang w:eastAsia="it-IT"/>
              </w:rPr>
            </w:pPr>
          </w:p>
        </w:tc>
        <w:tc>
          <w:tcPr>
            <w:tcW w:w="1290" w:type="dxa"/>
            <w:gridSpan w:val="2"/>
            <w:vAlign w:val="center"/>
          </w:tcPr>
          <w:p w14:paraId="73C16E31" w14:textId="77777777" w:rsidR="00CA3FE6" w:rsidRPr="00CA3FE6" w:rsidRDefault="00CA3FE6" w:rsidP="00CA3FE6">
            <w:pPr>
              <w:jc w:val="center"/>
              <w:rPr>
                <w:rFonts w:cs="Arial"/>
                <w:color w:val="000000"/>
                <w:szCs w:val="22"/>
                <w:lang w:eastAsia="it-IT"/>
              </w:rPr>
            </w:pPr>
          </w:p>
        </w:tc>
        <w:tc>
          <w:tcPr>
            <w:tcW w:w="1535" w:type="dxa"/>
            <w:vAlign w:val="center"/>
          </w:tcPr>
          <w:p w14:paraId="22AFB579" w14:textId="77777777" w:rsidR="00CA3FE6" w:rsidRPr="00CA3FE6" w:rsidRDefault="00CA3FE6" w:rsidP="00CA3FE6">
            <w:pPr>
              <w:jc w:val="center"/>
              <w:rPr>
                <w:rFonts w:cs="Arial"/>
                <w:color w:val="000000"/>
                <w:szCs w:val="22"/>
                <w:lang w:eastAsia="it-IT"/>
              </w:rPr>
            </w:pPr>
          </w:p>
        </w:tc>
      </w:tr>
      <w:tr w:rsidR="00CA3FE6" w:rsidRPr="0019790A" w14:paraId="193BC51D" w14:textId="5F762361" w:rsidTr="00CA3FE6">
        <w:trPr>
          <w:trHeight w:val="275"/>
          <w:jc w:val="right"/>
        </w:trPr>
        <w:tc>
          <w:tcPr>
            <w:tcW w:w="3425" w:type="dxa"/>
            <w:shd w:val="clear" w:color="auto" w:fill="FFFFFF"/>
            <w:vAlign w:val="center"/>
          </w:tcPr>
          <w:p w14:paraId="0B70A32E" w14:textId="77777777" w:rsidR="00CA3FE6" w:rsidRPr="0019790A" w:rsidRDefault="00CA3FE6" w:rsidP="0019790A">
            <w:pPr>
              <w:rPr>
                <w:rFonts w:cs="Arial"/>
                <w:color w:val="000000"/>
                <w:szCs w:val="22"/>
              </w:rPr>
            </w:pPr>
            <w:r w:rsidRPr="0019790A">
              <w:rPr>
                <w:rFonts w:cs="Arial"/>
                <w:color w:val="000000"/>
                <w:szCs w:val="22"/>
              </w:rPr>
              <w:t>- бюджет Жмеринської МТГ</w:t>
            </w:r>
          </w:p>
        </w:tc>
        <w:tc>
          <w:tcPr>
            <w:tcW w:w="1240" w:type="dxa"/>
            <w:vAlign w:val="center"/>
          </w:tcPr>
          <w:p w14:paraId="7B30C67E" w14:textId="2848B32F" w:rsidR="00CA3FE6" w:rsidRPr="00CA3FE6" w:rsidRDefault="00CA3FE6" w:rsidP="00CA3FE6">
            <w:pPr>
              <w:jc w:val="center"/>
              <w:rPr>
                <w:rFonts w:cs="Arial"/>
                <w:color w:val="000000"/>
                <w:szCs w:val="22"/>
                <w:lang w:eastAsia="it-IT"/>
              </w:rPr>
            </w:pPr>
          </w:p>
        </w:tc>
        <w:tc>
          <w:tcPr>
            <w:tcW w:w="1302" w:type="dxa"/>
            <w:gridSpan w:val="3"/>
            <w:vAlign w:val="center"/>
          </w:tcPr>
          <w:p w14:paraId="46CD5A38" w14:textId="6CE40BD4" w:rsidR="00CA3FE6" w:rsidRPr="00CA3FE6" w:rsidRDefault="00CA3FE6" w:rsidP="00CA3FE6">
            <w:pPr>
              <w:jc w:val="center"/>
              <w:rPr>
                <w:rFonts w:cs="Arial"/>
                <w:color w:val="000000"/>
                <w:szCs w:val="22"/>
                <w:lang w:eastAsia="it-IT"/>
              </w:rPr>
            </w:pPr>
            <w:r w:rsidRPr="00CA3FE6">
              <w:rPr>
                <w:rFonts w:cs="Arial"/>
                <w:color w:val="000000"/>
                <w:szCs w:val="22"/>
                <w:lang w:eastAsia="it-IT"/>
              </w:rPr>
              <w:t>200,0</w:t>
            </w:r>
          </w:p>
        </w:tc>
        <w:tc>
          <w:tcPr>
            <w:tcW w:w="1427" w:type="dxa"/>
            <w:gridSpan w:val="2"/>
            <w:vAlign w:val="center"/>
          </w:tcPr>
          <w:p w14:paraId="2E06E2B4" w14:textId="1331CED9" w:rsidR="00CA3FE6" w:rsidRPr="00CA3FE6" w:rsidRDefault="00CA3FE6" w:rsidP="00CA3FE6">
            <w:pPr>
              <w:jc w:val="center"/>
              <w:rPr>
                <w:rFonts w:cs="Arial"/>
                <w:color w:val="000000"/>
                <w:szCs w:val="22"/>
                <w:lang w:eastAsia="it-IT"/>
              </w:rPr>
            </w:pPr>
            <w:r w:rsidRPr="00CA3FE6">
              <w:rPr>
                <w:rFonts w:cs="Arial"/>
                <w:color w:val="000000"/>
                <w:szCs w:val="22"/>
                <w:lang w:eastAsia="it-IT"/>
              </w:rPr>
              <w:t>200,0</w:t>
            </w:r>
          </w:p>
        </w:tc>
        <w:tc>
          <w:tcPr>
            <w:tcW w:w="1290" w:type="dxa"/>
            <w:gridSpan w:val="2"/>
            <w:vAlign w:val="center"/>
          </w:tcPr>
          <w:p w14:paraId="6FCB1329" w14:textId="21BBB7E7" w:rsidR="00CA3FE6" w:rsidRPr="00CA3FE6" w:rsidRDefault="00CA3FE6" w:rsidP="00CA3FE6">
            <w:pPr>
              <w:jc w:val="center"/>
              <w:rPr>
                <w:rFonts w:cs="Arial"/>
                <w:color w:val="000000"/>
                <w:szCs w:val="22"/>
                <w:lang w:eastAsia="it-IT"/>
              </w:rPr>
            </w:pPr>
          </w:p>
        </w:tc>
        <w:tc>
          <w:tcPr>
            <w:tcW w:w="1535" w:type="dxa"/>
            <w:vAlign w:val="center"/>
          </w:tcPr>
          <w:p w14:paraId="5238228B" w14:textId="6E96E9F2" w:rsidR="00CA3FE6" w:rsidRPr="00CA3FE6" w:rsidRDefault="00CA3FE6" w:rsidP="00CA3FE6">
            <w:pPr>
              <w:jc w:val="center"/>
              <w:rPr>
                <w:rFonts w:cs="Arial"/>
                <w:b/>
                <w:color w:val="000000"/>
                <w:szCs w:val="22"/>
                <w:lang w:eastAsia="it-IT"/>
              </w:rPr>
            </w:pPr>
            <w:r w:rsidRPr="00CA3FE6">
              <w:rPr>
                <w:rFonts w:cs="Arial"/>
                <w:b/>
                <w:color w:val="000000"/>
                <w:szCs w:val="22"/>
                <w:lang w:eastAsia="it-IT"/>
              </w:rPr>
              <w:t>400</w:t>
            </w:r>
            <w:r>
              <w:rPr>
                <w:rFonts w:cs="Arial"/>
                <w:b/>
                <w:color w:val="000000"/>
                <w:szCs w:val="22"/>
                <w:lang w:eastAsia="it-IT"/>
              </w:rPr>
              <w:t>,0</w:t>
            </w:r>
          </w:p>
        </w:tc>
      </w:tr>
      <w:tr w:rsidR="00CA3FE6" w:rsidRPr="0019790A" w14:paraId="303501DD" w14:textId="0A2590DA" w:rsidTr="00CA3FE6">
        <w:trPr>
          <w:trHeight w:val="226"/>
          <w:jc w:val="right"/>
        </w:trPr>
        <w:tc>
          <w:tcPr>
            <w:tcW w:w="3425" w:type="dxa"/>
            <w:shd w:val="clear" w:color="auto" w:fill="FFFFFF"/>
            <w:vAlign w:val="center"/>
          </w:tcPr>
          <w:p w14:paraId="2505AE65" w14:textId="77777777" w:rsidR="00CA3FE6" w:rsidRPr="0019790A" w:rsidRDefault="00CA3FE6" w:rsidP="0019790A">
            <w:pPr>
              <w:rPr>
                <w:rFonts w:cs="Arial"/>
                <w:color w:val="000000"/>
                <w:szCs w:val="22"/>
              </w:rPr>
            </w:pPr>
            <w:r w:rsidRPr="0019790A">
              <w:rPr>
                <w:rFonts w:cs="Arial"/>
                <w:color w:val="000000"/>
                <w:szCs w:val="22"/>
              </w:rPr>
              <w:t>- інші джерела фінансування</w:t>
            </w:r>
          </w:p>
        </w:tc>
        <w:tc>
          <w:tcPr>
            <w:tcW w:w="1240" w:type="dxa"/>
            <w:vAlign w:val="center"/>
          </w:tcPr>
          <w:p w14:paraId="66002FC2" w14:textId="1BBC5807" w:rsidR="00CA3FE6" w:rsidRPr="00CA3FE6" w:rsidRDefault="00CA3FE6" w:rsidP="00CA3FE6">
            <w:pPr>
              <w:jc w:val="center"/>
              <w:rPr>
                <w:rFonts w:cs="Arial"/>
                <w:color w:val="000000"/>
                <w:szCs w:val="22"/>
                <w:lang w:eastAsia="it-IT"/>
              </w:rPr>
            </w:pPr>
            <w:r w:rsidRPr="00CA3FE6">
              <w:rPr>
                <w:rFonts w:cs="Arial"/>
                <w:color w:val="000000"/>
                <w:szCs w:val="22"/>
                <w:lang w:eastAsia="it-IT"/>
              </w:rPr>
              <w:t>120,0</w:t>
            </w:r>
          </w:p>
        </w:tc>
        <w:tc>
          <w:tcPr>
            <w:tcW w:w="1302" w:type="dxa"/>
            <w:gridSpan w:val="3"/>
            <w:vAlign w:val="center"/>
          </w:tcPr>
          <w:p w14:paraId="39C29E2A" w14:textId="64D668D8" w:rsidR="00CA3FE6" w:rsidRPr="00CA3FE6" w:rsidRDefault="00CA3FE6" w:rsidP="00CA3FE6">
            <w:pPr>
              <w:jc w:val="center"/>
              <w:rPr>
                <w:rFonts w:cs="Arial"/>
                <w:color w:val="000000"/>
                <w:szCs w:val="22"/>
                <w:lang w:eastAsia="it-IT"/>
              </w:rPr>
            </w:pPr>
            <w:r w:rsidRPr="00CA3FE6">
              <w:rPr>
                <w:rFonts w:cs="Arial"/>
                <w:color w:val="000000"/>
                <w:szCs w:val="22"/>
                <w:lang w:eastAsia="it-IT"/>
              </w:rPr>
              <w:t>20,0</w:t>
            </w:r>
          </w:p>
        </w:tc>
        <w:tc>
          <w:tcPr>
            <w:tcW w:w="1427" w:type="dxa"/>
            <w:gridSpan w:val="2"/>
            <w:vAlign w:val="center"/>
          </w:tcPr>
          <w:p w14:paraId="6E8AFF95" w14:textId="1E28DC79" w:rsidR="00CA3FE6" w:rsidRPr="00CA3FE6" w:rsidRDefault="00CA3FE6" w:rsidP="00CA3FE6">
            <w:pPr>
              <w:jc w:val="center"/>
              <w:rPr>
                <w:rFonts w:cs="Arial"/>
                <w:color w:val="000000"/>
                <w:szCs w:val="22"/>
                <w:lang w:eastAsia="it-IT"/>
              </w:rPr>
            </w:pPr>
            <w:r w:rsidRPr="00CA3FE6">
              <w:rPr>
                <w:rFonts w:cs="Arial"/>
                <w:color w:val="000000"/>
                <w:szCs w:val="22"/>
                <w:lang w:eastAsia="it-IT"/>
              </w:rPr>
              <w:t>20,0</w:t>
            </w:r>
          </w:p>
        </w:tc>
        <w:tc>
          <w:tcPr>
            <w:tcW w:w="1290" w:type="dxa"/>
            <w:gridSpan w:val="2"/>
            <w:vAlign w:val="center"/>
          </w:tcPr>
          <w:p w14:paraId="7CD4A009" w14:textId="60D5FACF" w:rsidR="00CA3FE6" w:rsidRPr="00CA3FE6" w:rsidRDefault="00CA3FE6" w:rsidP="00CA3FE6">
            <w:pPr>
              <w:jc w:val="center"/>
              <w:rPr>
                <w:rFonts w:cs="Arial"/>
                <w:color w:val="000000"/>
                <w:szCs w:val="22"/>
                <w:lang w:eastAsia="it-IT"/>
              </w:rPr>
            </w:pPr>
            <w:r w:rsidRPr="00CA3FE6">
              <w:rPr>
                <w:rFonts w:cs="Arial"/>
                <w:color w:val="000000"/>
                <w:szCs w:val="22"/>
                <w:lang w:eastAsia="it-IT"/>
              </w:rPr>
              <w:t>120,0</w:t>
            </w:r>
          </w:p>
        </w:tc>
        <w:tc>
          <w:tcPr>
            <w:tcW w:w="1535" w:type="dxa"/>
            <w:vAlign w:val="center"/>
          </w:tcPr>
          <w:p w14:paraId="5E32C0CD" w14:textId="64A78B6A" w:rsidR="00CA3FE6" w:rsidRPr="00CA3FE6" w:rsidRDefault="00CA3FE6" w:rsidP="00CA3FE6">
            <w:pPr>
              <w:jc w:val="center"/>
              <w:rPr>
                <w:rFonts w:cs="Arial"/>
                <w:b/>
                <w:color w:val="000000"/>
                <w:szCs w:val="22"/>
                <w:lang w:eastAsia="it-IT"/>
              </w:rPr>
            </w:pPr>
            <w:r w:rsidRPr="00CA3FE6">
              <w:rPr>
                <w:rFonts w:cs="Arial"/>
                <w:b/>
                <w:color w:val="000000"/>
                <w:szCs w:val="22"/>
                <w:lang w:eastAsia="it-IT"/>
              </w:rPr>
              <w:t>280</w:t>
            </w:r>
            <w:r>
              <w:rPr>
                <w:rFonts w:cs="Arial"/>
                <w:b/>
                <w:color w:val="000000"/>
                <w:szCs w:val="22"/>
                <w:lang w:eastAsia="it-IT"/>
              </w:rPr>
              <w:t>,0</w:t>
            </w:r>
          </w:p>
        </w:tc>
      </w:tr>
      <w:tr w:rsidR="00B8248C" w:rsidRPr="0019790A" w14:paraId="5A932726" w14:textId="77777777" w:rsidTr="00B8248C">
        <w:trPr>
          <w:jc w:val="right"/>
        </w:trPr>
        <w:tc>
          <w:tcPr>
            <w:tcW w:w="3425" w:type="dxa"/>
            <w:shd w:val="clear" w:color="auto" w:fill="FFFFFF"/>
            <w:vAlign w:val="center"/>
          </w:tcPr>
          <w:p w14:paraId="7C9553B2" w14:textId="77777777" w:rsidR="00B8248C" w:rsidRPr="0019790A" w:rsidRDefault="00B8248C" w:rsidP="0019790A">
            <w:pPr>
              <w:rPr>
                <w:rFonts w:cs="Arial"/>
                <w:b/>
                <w:bCs/>
                <w:color w:val="000000"/>
                <w:szCs w:val="22"/>
              </w:rPr>
            </w:pPr>
            <w:r w:rsidRPr="0019790A">
              <w:rPr>
                <w:rFonts w:cs="Arial"/>
                <w:b/>
                <w:color w:val="000000"/>
                <w:szCs w:val="22"/>
              </w:rPr>
              <w:t>Відповідальний виконавець проєкту:</w:t>
            </w:r>
          </w:p>
        </w:tc>
        <w:tc>
          <w:tcPr>
            <w:tcW w:w="6794" w:type="dxa"/>
            <w:gridSpan w:val="9"/>
            <w:vAlign w:val="center"/>
          </w:tcPr>
          <w:p w14:paraId="07B8E0C2" w14:textId="77777777" w:rsidR="00B8248C" w:rsidRPr="0019790A" w:rsidRDefault="00B8248C" w:rsidP="00CA3FE6">
            <w:pPr>
              <w:jc w:val="both"/>
              <w:rPr>
                <w:rFonts w:cs="Arial"/>
                <w:color w:val="000000"/>
                <w:szCs w:val="22"/>
                <w:lang w:eastAsia="it-IT"/>
              </w:rPr>
            </w:pPr>
            <w:r w:rsidRPr="0019790A">
              <w:rPr>
                <w:rFonts w:cs="Arial"/>
                <w:color w:val="000000"/>
                <w:szCs w:val="22"/>
                <w:lang w:eastAsia="it-IT"/>
              </w:rPr>
              <w:t>Управління культури і туризму Жмеринської міської ради, КЗ Публічна бібліотека Жмеринської міської ТГ (у партнерстві із закладами культури громади)</w:t>
            </w:r>
          </w:p>
        </w:tc>
      </w:tr>
      <w:tr w:rsidR="00B8248C" w:rsidRPr="0019790A" w14:paraId="7D949C9B" w14:textId="77777777" w:rsidTr="00B8248C">
        <w:trPr>
          <w:jc w:val="right"/>
        </w:trPr>
        <w:tc>
          <w:tcPr>
            <w:tcW w:w="3425" w:type="dxa"/>
            <w:shd w:val="clear" w:color="auto" w:fill="FFFFFF"/>
            <w:vAlign w:val="center"/>
          </w:tcPr>
          <w:p w14:paraId="5A51D13E" w14:textId="77777777" w:rsidR="00B8248C" w:rsidRPr="0019790A" w:rsidRDefault="00B8248C" w:rsidP="0019790A">
            <w:pPr>
              <w:rPr>
                <w:rFonts w:cs="Arial"/>
                <w:b/>
                <w:bCs/>
                <w:color w:val="000000"/>
                <w:szCs w:val="22"/>
              </w:rPr>
            </w:pPr>
            <w:r w:rsidRPr="0019790A">
              <w:rPr>
                <w:rFonts w:cs="Arial"/>
                <w:b/>
                <w:bCs/>
                <w:color w:val="000000"/>
                <w:szCs w:val="22"/>
              </w:rPr>
              <w:t>Інше:</w:t>
            </w:r>
          </w:p>
        </w:tc>
        <w:tc>
          <w:tcPr>
            <w:tcW w:w="6794" w:type="dxa"/>
            <w:gridSpan w:val="9"/>
            <w:vAlign w:val="center"/>
          </w:tcPr>
          <w:p w14:paraId="0FD51BB5" w14:textId="77777777" w:rsidR="00B8248C" w:rsidRPr="0019790A" w:rsidRDefault="00B8248C" w:rsidP="00CA3FE6">
            <w:pPr>
              <w:jc w:val="both"/>
              <w:rPr>
                <w:rFonts w:cs="Arial"/>
                <w:color w:val="000000"/>
                <w:szCs w:val="22"/>
                <w:lang w:eastAsia="it-IT"/>
              </w:rPr>
            </w:pPr>
            <w:r w:rsidRPr="0019790A">
              <w:rPr>
                <w:rFonts w:cs="Arial"/>
                <w:color w:val="000000"/>
                <w:szCs w:val="22"/>
                <w:lang w:eastAsia="it-IT"/>
              </w:rPr>
              <w:t>Проєкт сприятиме сталому розвитку культурного простору громади, активізує туристичну привабливість, розширить коло зацікавлених учасників і підсилить соціальну єдність через творчу діяльність дітей.</w:t>
            </w:r>
          </w:p>
        </w:tc>
      </w:tr>
    </w:tbl>
    <w:p w14:paraId="4948ECCE" w14:textId="77777777" w:rsidR="00B8248C" w:rsidRPr="0019790A" w:rsidRDefault="00B8248C" w:rsidP="0019790A">
      <w:pPr>
        <w:rPr>
          <w:rFonts w:cs="Arial"/>
          <w:szCs w:val="22"/>
        </w:rPr>
      </w:pPr>
    </w:p>
    <w:p w14:paraId="24F32864" w14:textId="77777777" w:rsidR="00B8248C" w:rsidRPr="0019790A" w:rsidRDefault="00B8248C" w:rsidP="0019790A">
      <w:pPr>
        <w:jc w:val="center"/>
        <w:rPr>
          <w:rFonts w:cs="Arial"/>
          <w:b/>
          <w:color w:val="000000"/>
          <w:szCs w:val="22"/>
        </w:rPr>
      </w:pPr>
      <w:r w:rsidRPr="0019790A">
        <w:rPr>
          <w:rFonts w:cs="Arial"/>
          <w:b/>
          <w:color w:val="000000"/>
          <w:szCs w:val="22"/>
        </w:rPr>
        <w:t xml:space="preserve">Форма технічного завдання на проєкт місцевого розвитку </w:t>
      </w:r>
    </w:p>
    <w:p w14:paraId="1F61448B" w14:textId="77777777" w:rsidR="00B8248C" w:rsidRPr="0019790A" w:rsidRDefault="00B8248C" w:rsidP="0019790A">
      <w:pPr>
        <w:jc w:val="center"/>
        <w:rPr>
          <w:rFonts w:cs="Arial"/>
          <w:b/>
          <w:color w:val="000000"/>
          <w:szCs w:val="22"/>
        </w:rPr>
      </w:pPr>
      <w:r w:rsidRPr="0019790A">
        <w:rPr>
          <w:rFonts w:cs="Arial"/>
          <w:b/>
          <w:color w:val="000000"/>
          <w:szCs w:val="22"/>
        </w:rPr>
        <w:t>до Плану заходів з реалізації Стратегії</w:t>
      </w:r>
    </w:p>
    <w:p w14:paraId="718F5585" w14:textId="77777777" w:rsidR="00B8248C" w:rsidRPr="0019790A" w:rsidRDefault="00B8248C"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40"/>
        <w:gridCol w:w="14"/>
        <w:gridCol w:w="1275"/>
        <w:gridCol w:w="26"/>
        <w:gridCol w:w="1377"/>
        <w:gridCol w:w="15"/>
        <w:gridCol w:w="1276"/>
        <w:gridCol w:w="24"/>
        <w:gridCol w:w="1547"/>
      </w:tblGrid>
      <w:tr w:rsidR="00B8248C" w:rsidRPr="0019790A" w14:paraId="73B8A47A" w14:textId="77777777" w:rsidTr="00574F77">
        <w:trPr>
          <w:trHeight w:val="476"/>
          <w:jc w:val="right"/>
        </w:trPr>
        <w:tc>
          <w:tcPr>
            <w:tcW w:w="3425" w:type="dxa"/>
            <w:vAlign w:val="center"/>
          </w:tcPr>
          <w:p w14:paraId="22D0C508" w14:textId="77777777" w:rsidR="00B8248C" w:rsidRPr="0019790A" w:rsidRDefault="00B8248C" w:rsidP="0019790A">
            <w:pPr>
              <w:rPr>
                <w:rFonts w:cs="Arial"/>
                <w:b/>
                <w:bCs/>
                <w:color w:val="000000"/>
                <w:szCs w:val="22"/>
              </w:rPr>
            </w:pPr>
            <w:r w:rsidRPr="0019790A">
              <w:rPr>
                <w:rFonts w:cs="Arial"/>
                <w:b/>
                <w:bCs/>
                <w:color w:val="000000"/>
                <w:szCs w:val="22"/>
              </w:rPr>
              <w:t>Назва проєкту:</w:t>
            </w:r>
          </w:p>
        </w:tc>
        <w:tc>
          <w:tcPr>
            <w:tcW w:w="6794" w:type="dxa"/>
            <w:gridSpan w:val="9"/>
            <w:vAlign w:val="center"/>
          </w:tcPr>
          <w:p w14:paraId="3E23852B" w14:textId="77777777" w:rsidR="00B8248C" w:rsidRPr="0019790A" w:rsidRDefault="00B8248C" w:rsidP="00574F77">
            <w:pPr>
              <w:jc w:val="both"/>
              <w:rPr>
                <w:rFonts w:cs="Arial"/>
                <w:b/>
                <w:szCs w:val="22"/>
                <w:lang w:eastAsia="it-IT"/>
              </w:rPr>
            </w:pPr>
            <w:r w:rsidRPr="0019790A">
              <w:rPr>
                <w:rFonts w:cs="Arial"/>
                <w:b/>
                <w:szCs w:val="22"/>
                <w:lang w:eastAsia="it-IT"/>
              </w:rPr>
              <w:t>«Бібліотека-інформаційна підтримка громади»</w:t>
            </w:r>
          </w:p>
        </w:tc>
      </w:tr>
      <w:tr w:rsidR="00B8248C" w:rsidRPr="0019790A" w14:paraId="6E3FF368" w14:textId="77777777" w:rsidTr="00574F77">
        <w:trPr>
          <w:jc w:val="right"/>
        </w:trPr>
        <w:tc>
          <w:tcPr>
            <w:tcW w:w="3425" w:type="dxa"/>
          </w:tcPr>
          <w:p w14:paraId="0D8ABEB4" w14:textId="77777777" w:rsidR="00B8248C" w:rsidRPr="0019790A" w:rsidRDefault="00B8248C"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1EC2C5E7" w14:textId="77777777" w:rsidR="00B8248C" w:rsidRPr="0019790A" w:rsidRDefault="00B8248C"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9"/>
            <w:vAlign w:val="center"/>
          </w:tcPr>
          <w:p w14:paraId="312EDF79" w14:textId="77777777" w:rsidR="00B8248C" w:rsidRPr="00574F77" w:rsidRDefault="00B8248C" w:rsidP="00574F77">
            <w:pPr>
              <w:jc w:val="both"/>
              <w:rPr>
                <w:rFonts w:cs="Arial"/>
                <w:szCs w:val="22"/>
                <w:lang w:eastAsia="it-IT"/>
              </w:rPr>
            </w:pPr>
            <w:r w:rsidRPr="00574F77">
              <w:rPr>
                <w:rFonts w:cs="Arial"/>
                <w:szCs w:val="22"/>
                <w:lang w:eastAsia="it-IT"/>
              </w:rPr>
              <w:t>КЗ Публічна бібліотека Жмеринської міської ТГ</w:t>
            </w:r>
          </w:p>
        </w:tc>
      </w:tr>
      <w:tr w:rsidR="00B8248C" w:rsidRPr="0019790A" w14:paraId="1956B682" w14:textId="77777777" w:rsidTr="00574F77">
        <w:trPr>
          <w:jc w:val="right"/>
        </w:trPr>
        <w:tc>
          <w:tcPr>
            <w:tcW w:w="3425" w:type="dxa"/>
          </w:tcPr>
          <w:p w14:paraId="2669BD71" w14:textId="77777777" w:rsidR="00B8248C" w:rsidRPr="0019790A" w:rsidRDefault="00B8248C" w:rsidP="0019790A">
            <w:pPr>
              <w:rPr>
                <w:rFonts w:cs="Arial"/>
                <w:b/>
                <w:bCs/>
                <w:szCs w:val="22"/>
              </w:rPr>
            </w:pPr>
            <w:r w:rsidRPr="0019790A">
              <w:rPr>
                <w:rFonts w:cs="Arial"/>
                <w:szCs w:val="22"/>
                <w:lang w:eastAsia="it-IT"/>
              </w:rPr>
              <w:t>Прізвище Ім’я По-батькові:</w:t>
            </w:r>
          </w:p>
        </w:tc>
        <w:tc>
          <w:tcPr>
            <w:tcW w:w="6794" w:type="dxa"/>
            <w:gridSpan w:val="9"/>
            <w:vAlign w:val="center"/>
          </w:tcPr>
          <w:p w14:paraId="419557D1" w14:textId="77777777" w:rsidR="00B8248C" w:rsidRPr="00574F77" w:rsidRDefault="00B8248C" w:rsidP="00574F77">
            <w:pPr>
              <w:jc w:val="both"/>
              <w:rPr>
                <w:rFonts w:cs="Arial"/>
                <w:szCs w:val="22"/>
                <w:lang w:eastAsia="it-IT"/>
              </w:rPr>
            </w:pPr>
            <w:r w:rsidRPr="00574F77">
              <w:rPr>
                <w:rFonts w:cs="Arial"/>
                <w:szCs w:val="22"/>
                <w:lang w:eastAsia="it-IT"/>
              </w:rPr>
              <w:t>Будз Галина Іванівна</w:t>
            </w:r>
          </w:p>
        </w:tc>
      </w:tr>
      <w:tr w:rsidR="00B8248C" w:rsidRPr="0019790A" w14:paraId="5804416D" w14:textId="77777777" w:rsidTr="00574F77">
        <w:trPr>
          <w:jc w:val="right"/>
        </w:trPr>
        <w:tc>
          <w:tcPr>
            <w:tcW w:w="3425" w:type="dxa"/>
          </w:tcPr>
          <w:p w14:paraId="2EA45AF1" w14:textId="77777777" w:rsidR="00B8248C" w:rsidRPr="0019790A" w:rsidRDefault="00B8248C" w:rsidP="0019790A">
            <w:pPr>
              <w:rPr>
                <w:rFonts w:cs="Arial"/>
                <w:b/>
                <w:bCs/>
                <w:szCs w:val="22"/>
              </w:rPr>
            </w:pPr>
            <w:r w:rsidRPr="0019790A">
              <w:rPr>
                <w:rFonts w:cs="Arial"/>
                <w:szCs w:val="22"/>
                <w:lang w:eastAsia="it-IT"/>
              </w:rPr>
              <w:t>Телефон (мобільний):</w:t>
            </w:r>
          </w:p>
        </w:tc>
        <w:tc>
          <w:tcPr>
            <w:tcW w:w="6794" w:type="dxa"/>
            <w:gridSpan w:val="9"/>
            <w:vAlign w:val="center"/>
          </w:tcPr>
          <w:p w14:paraId="72418E7D" w14:textId="77777777" w:rsidR="00B8248C" w:rsidRPr="00574F77" w:rsidRDefault="00B8248C" w:rsidP="00574F77">
            <w:pPr>
              <w:jc w:val="both"/>
              <w:rPr>
                <w:rFonts w:cs="Arial"/>
                <w:szCs w:val="22"/>
                <w:lang w:eastAsia="it-IT"/>
              </w:rPr>
            </w:pPr>
            <w:r w:rsidRPr="00574F77">
              <w:rPr>
                <w:rFonts w:cs="Arial"/>
                <w:szCs w:val="22"/>
                <w:lang w:eastAsia="it-IT"/>
              </w:rPr>
              <w:t>0973199260</w:t>
            </w:r>
          </w:p>
        </w:tc>
      </w:tr>
      <w:tr w:rsidR="00B8248C" w:rsidRPr="0019790A" w14:paraId="344F39C3" w14:textId="77777777" w:rsidTr="00574F77">
        <w:trPr>
          <w:jc w:val="right"/>
        </w:trPr>
        <w:tc>
          <w:tcPr>
            <w:tcW w:w="3425" w:type="dxa"/>
          </w:tcPr>
          <w:p w14:paraId="364EE1B8" w14:textId="77777777" w:rsidR="00B8248C" w:rsidRPr="0019790A" w:rsidRDefault="00B8248C" w:rsidP="0019790A">
            <w:pPr>
              <w:rPr>
                <w:rFonts w:cs="Arial"/>
                <w:b/>
                <w:bCs/>
                <w:szCs w:val="22"/>
              </w:rPr>
            </w:pPr>
            <w:r w:rsidRPr="0019790A">
              <w:rPr>
                <w:rFonts w:cs="Arial"/>
                <w:szCs w:val="22"/>
                <w:lang w:eastAsia="it-IT"/>
              </w:rPr>
              <w:t>Електронна адреса:</w:t>
            </w:r>
          </w:p>
        </w:tc>
        <w:tc>
          <w:tcPr>
            <w:tcW w:w="6794" w:type="dxa"/>
            <w:gridSpan w:val="9"/>
            <w:vAlign w:val="center"/>
          </w:tcPr>
          <w:p w14:paraId="0B3611A2" w14:textId="3B34CDBC" w:rsidR="00B8248C" w:rsidRPr="00574F77" w:rsidRDefault="00D85FFD" w:rsidP="00574F77">
            <w:pPr>
              <w:jc w:val="both"/>
              <w:rPr>
                <w:rFonts w:cs="Arial"/>
                <w:szCs w:val="22"/>
                <w:lang w:eastAsia="it-IT"/>
              </w:rPr>
            </w:pPr>
            <w:hyperlink r:id="rId136" w:history="1">
              <w:r w:rsidR="00574F77" w:rsidRPr="00574F77">
                <w:rPr>
                  <w:rStyle w:val="af0"/>
                  <w:rFonts w:cs="Arial"/>
                  <w:noProof w:val="0"/>
                  <w:sz w:val="22"/>
                  <w:szCs w:val="22"/>
                  <w:lang w:eastAsia="it-IT"/>
                </w:rPr>
                <w:t>biblzhmer09@gmail.com</w:t>
              </w:r>
            </w:hyperlink>
            <w:r w:rsidR="00574F77" w:rsidRPr="00574F77">
              <w:rPr>
                <w:rFonts w:cs="Arial"/>
                <w:szCs w:val="22"/>
                <w:lang w:eastAsia="it-IT"/>
              </w:rPr>
              <w:t xml:space="preserve"> </w:t>
            </w:r>
          </w:p>
        </w:tc>
      </w:tr>
      <w:tr w:rsidR="00B8248C" w:rsidRPr="0019790A" w14:paraId="00D52B0E" w14:textId="77777777" w:rsidTr="00574F77">
        <w:trPr>
          <w:jc w:val="right"/>
        </w:trPr>
        <w:tc>
          <w:tcPr>
            <w:tcW w:w="3425" w:type="dxa"/>
            <w:vAlign w:val="center"/>
          </w:tcPr>
          <w:p w14:paraId="5E67B35F" w14:textId="77777777" w:rsidR="00B8248C" w:rsidRPr="0019790A" w:rsidRDefault="00B8248C" w:rsidP="0019790A">
            <w:pPr>
              <w:outlineLvl w:val="5"/>
              <w:rPr>
                <w:rFonts w:cs="Arial"/>
                <w:b/>
                <w:bCs/>
                <w:color w:val="000000"/>
                <w:szCs w:val="22"/>
              </w:rPr>
            </w:pPr>
            <w:r w:rsidRPr="0019790A">
              <w:rPr>
                <w:rFonts w:cs="Arial"/>
                <w:b/>
                <w:bCs/>
                <w:color w:val="000000"/>
                <w:szCs w:val="22"/>
              </w:rPr>
              <w:t>Номер і назва завдання з Стратегії</w:t>
            </w:r>
            <w:r w:rsidRPr="0019790A">
              <w:rPr>
                <w:rFonts w:cs="Arial"/>
                <w:b/>
                <w:bCs/>
                <w:szCs w:val="22"/>
                <w:lang w:eastAsia="it-IT"/>
              </w:rPr>
              <w:t xml:space="preserve"> </w:t>
            </w:r>
            <w:r w:rsidRPr="0019790A">
              <w:rPr>
                <w:rFonts w:cs="Arial"/>
                <w:b/>
                <w:bCs/>
                <w:color w:val="000000"/>
                <w:szCs w:val="22"/>
              </w:rPr>
              <w:t>розвитку Жмеринської міської територіальної громади,  якому відповідає проєкт:</w:t>
            </w:r>
          </w:p>
        </w:tc>
        <w:tc>
          <w:tcPr>
            <w:tcW w:w="6794" w:type="dxa"/>
            <w:gridSpan w:val="9"/>
            <w:vAlign w:val="center"/>
          </w:tcPr>
          <w:p w14:paraId="3803B21F" w14:textId="748DA7F8" w:rsidR="00B8248C" w:rsidRPr="00574F77" w:rsidRDefault="00B8248C" w:rsidP="00574F77">
            <w:pPr>
              <w:pBdr>
                <w:left w:val="single" w:sz="18" w:space="4" w:color="auto"/>
              </w:pBdr>
              <w:jc w:val="both"/>
              <w:rPr>
                <w:rFonts w:cs="Arial"/>
                <w:szCs w:val="22"/>
                <w:lang w:eastAsia="it-IT"/>
              </w:rPr>
            </w:pPr>
            <w:r w:rsidRPr="00574F77">
              <w:rPr>
                <w:rFonts w:cs="Arial"/>
                <w:iCs/>
                <w:szCs w:val="22"/>
                <w:lang w:eastAsia="it-IT"/>
              </w:rPr>
              <w:t>С.3.3. Новітня бібліотека. Бібліотека, як громадський центр. Облаштування бібліотек, як сучасного, креативного та комфортного простору для жителів громади.</w:t>
            </w:r>
          </w:p>
        </w:tc>
      </w:tr>
      <w:tr w:rsidR="00B8248C" w:rsidRPr="0019790A" w14:paraId="50A189E1" w14:textId="77777777" w:rsidTr="00574F77">
        <w:trPr>
          <w:jc w:val="right"/>
        </w:trPr>
        <w:tc>
          <w:tcPr>
            <w:tcW w:w="3425" w:type="dxa"/>
            <w:vAlign w:val="center"/>
          </w:tcPr>
          <w:p w14:paraId="0CE158C2" w14:textId="77777777" w:rsidR="00B8248C" w:rsidRPr="0019790A" w:rsidRDefault="00B8248C" w:rsidP="0019790A">
            <w:pPr>
              <w:rPr>
                <w:rFonts w:cs="Arial"/>
                <w:b/>
                <w:bCs/>
                <w:color w:val="000000"/>
                <w:szCs w:val="22"/>
              </w:rPr>
            </w:pPr>
            <w:r w:rsidRPr="0019790A">
              <w:rPr>
                <w:rFonts w:cs="Arial"/>
                <w:b/>
                <w:bCs/>
                <w:color w:val="000000"/>
                <w:szCs w:val="22"/>
              </w:rPr>
              <w:t>Мета проєкту:</w:t>
            </w:r>
          </w:p>
        </w:tc>
        <w:tc>
          <w:tcPr>
            <w:tcW w:w="6794" w:type="dxa"/>
            <w:gridSpan w:val="9"/>
            <w:vAlign w:val="center"/>
          </w:tcPr>
          <w:p w14:paraId="3C16C572" w14:textId="77777777" w:rsidR="00B8248C" w:rsidRPr="0019790A" w:rsidRDefault="00B8248C" w:rsidP="00574F77">
            <w:pPr>
              <w:jc w:val="both"/>
              <w:rPr>
                <w:rFonts w:cs="Arial"/>
                <w:szCs w:val="22"/>
                <w:lang w:eastAsia="it-IT"/>
              </w:rPr>
            </w:pPr>
            <w:r w:rsidRPr="0019790A">
              <w:rPr>
                <w:rFonts w:cs="Arial"/>
                <w:szCs w:val="22"/>
                <w:lang w:eastAsia="it-IT"/>
              </w:rPr>
              <w:t>Розширення функцій бібліотек громади як центрів інформаційної підтримки, освітньої та цифрової допомоги мешканцям громади</w:t>
            </w:r>
          </w:p>
        </w:tc>
      </w:tr>
      <w:tr w:rsidR="00B8248C" w:rsidRPr="0019790A" w14:paraId="3285C7DD" w14:textId="77777777" w:rsidTr="00574F77">
        <w:trPr>
          <w:jc w:val="right"/>
        </w:trPr>
        <w:tc>
          <w:tcPr>
            <w:tcW w:w="3425" w:type="dxa"/>
            <w:vAlign w:val="center"/>
          </w:tcPr>
          <w:p w14:paraId="60336EA1" w14:textId="77777777" w:rsidR="00B8248C" w:rsidRPr="0019790A" w:rsidRDefault="00B8248C" w:rsidP="0019790A">
            <w:pPr>
              <w:rPr>
                <w:rFonts w:cs="Arial"/>
                <w:b/>
                <w:bCs/>
                <w:color w:val="000000"/>
                <w:szCs w:val="22"/>
              </w:rPr>
            </w:pPr>
            <w:r w:rsidRPr="0019790A">
              <w:rPr>
                <w:rFonts w:cs="Arial"/>
                <w:b/>
                <w:bCs/>
                <w:color w:val="000000"/>
                <w:szCs w:val="22"/>
              </w:rPr>
              <w:t>Цілі проєкту:</w:t>
            </w:r>
          </w:p>
        </w:tc>
        <w:tc>
          <w:tcPr>
            <w:tcW w:w="6794" w:type="dxa"/>
            <w:gridSpan w:val="9"/>
            <w:vAlign w:val="center"/>
          </w:tcPr>
          <w:p w14:paraId="3027F3ED" w14:textId="77777777" w:rsidR="00B8248C" w:rsidRPr="0019790A" w:rsidRDefault="00B8248C" w:rsidP="00574F77">
            <w:pPr>
              <w:numPr>
                <w:ilvl w:val="0"/>
                <w:numId w:val="36"/>
              </w:numPr>
              <w:tabs>
                <w:tab w:val="left" w:pos="252"/>
              </w:tabs>
              <w:ind w:left="0" w:firstLine="0"/>
              <w:jc w:val="both"/>
              <w:rPr>
                <w:rFonts w:cs="Arial"/>
                <w:szCs w:val="22"/>
                <w:lang w:eastAsia="it-IT"/>
              </w:rPr>
            </w:pPr>
            <w:r w:rsidRPr="0019790A">
              <w:rPr>
                <w:rFonts w:cs="Arial"/>
                <w:szCs w:val="22"/>
                <w:lang w:eastAsia="it-IT"/>
              </w:rPr>
              <w:t>Проведення інтернету в сільські бібліотечні заклади Жмеринської ТГ.</w:t>
            </w:r>
          </w:p>
          <w:p w14:paraId="07C591FC" w14:textId="77777777" w:rsidR="00B8248C" w:rsidRPr="0019790A" w:rsidRDefault="00B8248C" w:rsidP="00574F77">
            <w:pPr>
              <w:numPr>
                <w:ilvl w:val="0"/>
                <w:numId w:val="36"/>
              </w:numPr>
              <w:tabs>
                <w:tab w:val="left" w:pos="252"/>
              </w:tabs>
              <w:ind w:left="0" w:firstLine="0"/>
              <w:jc w:val="both"/>
              <w:rPr>
                <w:rFonts w:cs="Arial"/>
                <w:szCs w:val="22"/>
                <w:lang w:eastAsia="it-IT"/>
              </w:rPr>
            </w:pPr>
            <w:r w:rsidRPr="0019790A">
              <w:rPr>
                <w:rFonts w:cs="Arial"/>
                <w:szCs w:val="22"/>
                <w:lang w:eastAsia="it-IT"/>
              </w:rPr>
              <w:t xml:space="preserve">Придбання комп’ютерів, їх комплектуючих та спеціальних меблів для Публічної бібліотеки Жмеринської ТГ та її філій </w:t>
            </w:r>
          </w:p>
          <w:p w14:paraId="417E1D94" w14:textId="77777777" w:rsidR="00B8248C" w:rsidRPr="0019790A" w:rsidRDefault="00B8248C" w:rsidP="00574F77">
            <w:pPr>
              <w:numPr>
                <w:ilvl w:val="0"/>
                <w:numId w:val="36"/>
              </w:numPr>
              <w:tabs>
                <w:tab w:val="left" w:pos="252"/>
              </w:tabs>
              <w:ind w:left="0" w:firstLine="0"/>
              <w:jc w:val="both"/>
              <w:rPr>
                <w:rFonts w:cs="Arial"/>
                <w:szCs w:val="22"/>
                <w:lang w:eastAsia="it-IT"/>
              </w:rPr>
            </w:pPr>
            <w:r w:rsidRPr="0019790A">
              <w:rPr>
                <w:rFonts w:cs="Arial"/>
                <w:szCs w:val="22"/>
                <w:lang w:eastAsia="it-IT"/>
              </w:rPr>
              <w:t>Випуск інформаційних буклетів та брошур</w:t>
            </w:r>
          </w:p>
          <w:p w14:paraId="1E4196FA" w14:textId="77777777" w:rsidR="00B8248C" w:rsidRPr="0019790A" w:rsidRDefault="00B8248C" w:rsidP="00574F77">
            <w:pPr>
              <w:numPr>
                <w:ilvl w:val="0"/>
                <w:numId w:val="36"/>
              </w:numPr>
              <w:tabs>
                <w:tab w:val="left" w:pos="252"/>
              </w:tabs>
              <w:ind w:left="0" w:firstLine="0"/>
              <w:jc w:val="both"/>
              <w:rPr>
                <w:rFonts w:cs="Arial"/>
                <w:szCs w:val="22"/>
                <w:lang w:eastAsia="it-IT"/>
              </w:rPr>
            </w:pPr>
            <w:r w:rsidRPr="0019790A">
              <w:rPr>
                <w:rFonts w:cs="Arial"/>
                <w:szCs w:val="22"/>
                <w:lang w:eastAsia="it-IT"/>
              </w:rPr>
              <w:t>Проведення тренінгів мешканцям громади з використання ІТ, зменшення черг біля приміщень банків, пошти, пенсійного фонду та управління праці шляхом запровадження допомоги у створенні особистих кабінетів, здійснення різних видів платежів на базі бібліотек громади через вдосконалення послуги е-урядування, а також надання можливості безоплатного користування ІТ учням та студентам з малозабезпечених сімей під час дистанційного навчання.</w:t>
            </w:r>
          </w:p>
          <w:p w14:paraId="0717AE49" w14:textId="1B74B7DB" w:rsidR="00B8248C" w:rsidRPr="0019790A" w:rsidRDefault="00B8248C" w:rsidP="00574F77">
            <w:pPr>
              <w:numPr>
                <w:ilvl w:val="0"/>
                <w:numId w:val="36"/>
              </w:numPr>
              <w:tabs>
                <w:tab w:val="left" w:pos="252"/>
              </w:tabs>
              <w:ind w:left="0" w:firstLine="0"/>
              <w:jc w:val="both"/>
              <w:rPr>
                <w:rFonts w:cs="Arial"/>
                <w:szCs w:val="22"/>
                <w:lang w:eastAsia="it-IT"/>
              </w:rPr>
            </w:pPr>
            <w:r w:rsidRPr="0019790A">
              <w:rPr>
                <w:rFonts w:cs="Arial"/>
                <w:szCs w:val="22"/>
                <w:lang w:eastAsia="it-IT"/>
              </w:rPr>
              <w:t>Збільшення відвідування бібліотечних закладів громади.</w:t>
            </w:r>
          </w:p>
        </w:tc>
      </w:tr>
      <w:tr w:rsidR="00B8248C" w:rsidRPr="0019790A" w14:paraId="6822E482" w14:textId="77777777" w:rsidTr="00574F77">
        <w:trPr>
          <w:jc w:val="right"/>
        </w:trPr>
        <w:tc>
          <w:tcPr>
            <w:tcW w:w="3425" w:type="dxa"/>
            <w:vAlign w:val="center"/>
          </w:tcPr>
          <w:p w14:paraId="51513C9B" w14:textId="77777777" w:rsidR="00B8248C" w:rsidRPr="0019790A" w:rsidRDefault="00B8248C" w:rsidP="0019790A">
            <w:pPr>
              <w:autoSpaceDE w:val="0"/>
              <w:autoSpaceDN w:val="0"/>
              <w:adjustRightInd w:val="0"/>
              <w:rPr>
                <w:rFonts w:cs="Arial"/>
                <w:b/>
                <w:color w:val="000000"/>
                <w:szCs w:val="22"/>
              </w:rPr>
            </w:pPr>
            <w:r w:rsidRPr="0019790A">
              <w:rPr>
                <w:rFonts w:cs="Arial"/>
                <w:b/>
                <w:color w:val="000000"/>
                <w:szCs w:val="22"/>
              </w:rPr>
              <w:t>Територія на яку проєкт матиме вплив:</w:t>
            </w:r>
          </w:p>
        </w:tc>
        <w:tc>
          <w:tcPr>
            <w:tcW w:w="6794" w:type="dxa"/>
            <w:gridSpan w:val="9"/>
            <w:vAlign w:val="center"/>
          </w:tcPr>
          <w:p w14:paraId="348EDF8D" w14:textId="77777777" w:rsidR="00B8248C" w:rsidRPr="0019790A" w:rsidRDefault="00B8248C" w:rsidP="00574F77">
            <w:pPr>
              <w:jc w:val="both"/>
              <w:rPr>
                <w:rFonts w:cs="Arial"/>
                <w:szCs w:val="22"/>
                <w:lang w:eastAsia="it-IT"/>
              </w:rPr>
            </w:pPr>
            <w:r w:rsidRPr="0019790A">
              <w:rPr>
                <w:rFonts w:cs="Arial"/>
                <w:szCs w:val="22"/>
                <w:lang w:eastAsia="it-IT"/>
              </w:rPr>
              <w:t>м. Жмеринка, бібліотеки-філії у селах Жмеринської громади</w:t>
            </w:r>
          </w:p>
        </w:tc>
      </w:tr>
      <w:tr w:rsidR="00B8248C" w:rsidRPr="0019790A" w14:paraId="115CA2E2" w14:textId="77777777" w:rsidTr="00574F77">
        <w:trPr>
          <w:jc w:val="right"/>
        </w:trPr>
        <w:tc>
          <w:tcPr>
            <w:tcW w:w="3425" w:type="dxa"/>
            <w:vAlign w:val="center"/>
          </w:tcPr>
          <w:p w14:paraId="1DA54996" w14:textId="77777777" w:rsidR="00B8248C" w:rsidRPr="0019790A" w:rsidRDefault="00B8248C" w:rsidP="0019790A">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4" w:type="dxa"/>
            <w:gridSpan w:val="9"/>
            <w:vAlign w:val="center"/>
          </w:tcPr>
          <w:p w14:paraId="6904CAB8" w14:textId="77777777" w:rsidR="00B8248C" w:rsidRPr="0019790A" w:rsidRDefault="00B8248C" w:rsidP="00574F77">
            <w:pPr>
              <w:jc w:val="both"/>
              <w:rPr>
                <w:rFonts w:cs="Arial"/>
                <w:szCs w:val="22"/>
                <w:lang w:eastAsia="it-IT"/>
              </w:rPr>
            </w:pPr>
            <w:r w:rsidRPr="0019790A">
              <w:rPr>
                <w:rFonts w:cs="Arial"/>
                <w:szCs w:val="22"/>
                <w:lang w:eastAsia="it-IT"/>
              </w:rPr>
              <w:t>  Люди поважного віку – близько 100 осіб</w:t>
            </w:r>
          </w:p>
          <w:p w14:paraId="77E1DCC4" w14:textId="77777777" w:rsidR="00B8248C" w:rsidRPr="0019790A" w:rsidRDefault="00B8248C" w:rsidP="00574F77">
            <w:pPr>
              <w:jc w:val="both"/>
              <w:rPr>
                <w:rFonts w:cs="Arial"/>
                <w:szCs w:val="22"/>
                <w:lang w:eastAsia="it-IT"/>
              </w:rPr>
            </w:pPr>
            <w:r w:rsidRPr="0019790A">
              <w:rPr>
                <w:rFonts w:cs="Arial"/>
                <w:szCs w:val="22"/>
                <w:lang w:eastAsia="it-IT"/>
              </w:rPr>
              <w:t>  ВПО – до 30 осіб</w:t>
            </w:r>
          </w:p>
          <w:p w14:paraId="2EDF48EF" w14:textId="77777777" w:rsidR="00B8248C" w:rsidRPr="0019790A" w:rsidRDefault="00B8248C" w:rsidP="00574F77">
            <w:pPr>
              <w:jc w:val="both"/>
              <w:rPr>
                <w:rFonts w:cs="Arial"/>
                <w:szCs w:val="22"/>
                <w:lang w:eastAsia="it-IT"/>
              </w:rPr>
            </w:pPr>
            <w:r w:rsidRPr="0019790A">
              <w:rPr>
                <w:rFonts w:cs="Arial"/>
                <w:szCs w:val="22"/>
                <w:lang w:eastAsia="it-IT"/>
              </w:rPr>
              <w:t>  Молодь, старшокласники, студенти – понад 1500 осіб</w:t>
            </w:r>
          </w:p>
          <w:p w14:paraId="46FDCADF" w14:textId="77777777" w:rsidR="00B8248C" w:rsidRPr="0019790A" w:rsidRDefault="00B8248C" w:rsidP="00574F77">
            <w:pPr>
              <w:jc w:val="both"/>
              <w:rPr>
                <w:rFonts w:cs="Arial"/>
                <w:szCs w:val="22"/>
                <w:lang w:eastAsia="it-IT"/>
              </w:rPr>
            </w:pPr>
            <w:r w:rsidRPr="0019790A">
              <w:rPr>
                <w:rFonts w:cs="Arial"/>
                <w:szCs w:val="22"/>
                <w:lang w:eastAsia="it-IT"/>
              </w:rPr>
              <w:t>  Активні мешканці, батьки, підприємці – 30+</w:t>
            </w:r>
          </w:p>
        </w:tc>
      </w:tr>
      <w:tr w:rsidR="00B8248C" w:rsidRPr="0019790A" w14:paraId="1E38331D" w14:textId="77777777" w:rsidTr="00574F77">
        <w:trPr>
          <w:jc w:val="right"/>
        </w:trPr>
        <w:tc>
          <w:tcPr>
            <w:tcW w:w="3425" w:type="dxa"/>
            <w:shd w:val="clear" w:color="auto" w:fill="FFFFFF"/>
            <w:vAlign w:val="center"/>
          </w:tcPr>
          <w:p w14:paraId="29E171B9" w14:textId="77777777" w:rsidR="00B8248C" w:rsidRPr="0019790A" w:rsidRDefault="00B8248C" w:rsidP="0019790A">
            <w:pPr>
              <w:rPr>
                <w:rFonts w:cs="Arial"/>
                <w:b/>
                <w:bCs/>
                <w:color w:val="000000"/>
                <w:szCs w:val="22"/>
              </w:rPr>
            </w:pPr>
            <w:r w:rsidRPr="0019790A">
              <w:rPr>
                <w:rFonts w:cs="Arial"/>
                <w:b/>
                <w:bCs/>
                <w:color w:val="000000"/>
                <w:szCs w:val="22"/>
              </w:rPr>
              <w:t>Стислий опис проєкту:</w:t>
            </w:r>
          </w:p>
        </w:tc>
        <w:tc>
          <w:tcPr>
            <w:tcW w:w="6794" w:type="dxa"/>
            <w:gridSpan w:val="9"/>
            <w:vAlign w:val="center"/>
          </w:tcPr>
          <w:p w14:paraId="48D493D5" w14:textId="77777777" w:rsidR="00B8248C" w:rsidRPr="0019790A" w:rsidRDefault="00B8248C" w:rsidP="00574F77">
            <w:pPr>
              <w:jc w:val="both"/>
              <w:rPr>
                <w:rFonts w:cs="Arial"/>
                <w:szCs w:val="22"/>
                <w:lang w:eastAsia="it-IT"/>
              </w:rPr>
            </w:pPr>
            <w:r w:rsidRPr="0019790A">
              <w:rPr>
                <w:rFonts w:cs="Arial"/>
                <w:szCs w:val="22"/>
                <w:lang w:eastAsia="it-IT"/>
              </w:rPr>
              <w:t>Проєкт передбачає розгортання на базі Публічної бібліотеки та філій інфоцентрів, де кожен охочий зможе отримати доступ до правової, соціальної, освітньої інформації, допомогу в користуванні онлайн-сервісами (Дія, Пенсійний фонд, єДопомога тощо), оформленні документів. Бібліотекарі пройдуть навчання, а приміщення буде оснащене комп’ютерами, принтерами, доступом до інтернету та інформаційними стендами.</w:t>
            </w:r>
          </w:p>
        </w:tc>
      </w:tr>
      <w:tr w:rsidR="00B8248C" w:rsidRPr="0019790A" w14:paraId="304767EA" w14:textId="77777777" w:rsidTr="00574F77">
        <w:trPr>
          <w:jc w:val="right"/>
        </w:trPr>
        <w:tc>
          <w:tcPr>
            <w:tcW w:w="3425" w:type="dxa"/>
            <w:shd w:val="clear" w:color="auto" w:fill="FFFFFF"/>
            <w:vAlign w:val="center"/>
          </w:tcPr>
          <w:p w14:paraId="6D0DA61D" w14:textId="77777777" w:rsidR="00B8248C" w:rsidRPr="0019790A" w:rsidRDefault="00B8248C" w:rsidP="0019790A">
            <w:pPr>
              <w:rPr>
                <w:rFonts w:cs="Arial"/>
                <w:b/>
                <w:bCs/>
                <w:color w:val="000000"/>
                <w:szCs w:val="22"/>
              </w:rPr>
            </w:pPr>
            <w:r w:rsidRPr="0019790A">
              <w:rPr>
                <w:rFonts w:cs="Arial"/>
                <w:b/>
                <w:bCs/>
                <w:color w:val="000000"/>
                <w:szCs w:val="22"/>
              </w:rPr>
              <w:t>Основні заходи проєкту:</w:t>
            </w:r>
          </w:p>
        </w:tc>
        <w:tc>
          <w:tcPr>
            <w:tcW w:w="6794" w:type="dxa"/>
            <w:gridSpan w:val="9"/>
            <w:vAlign w:val="center"/>
          </w:tcPr>
          <w:p w14:paraId="3FAAAAC9" w14:textId="77777777" w:rsidR="00B8248C" w:rsidRPr="0019790A" w:rsidRDefault="00B8248C" w:rsidP="00574F77">
            <w:pPr>
              <w:jc w:val="both"/>
              <w:rPr>
                <w:rFonts w:cs="Arial"/>
                <w:szCs w:val="22"/>
                <w:lang w:eastAsia="it-IT"/>
              </w:rPr>
            </w:pPr>
            <w:r w:rsidRPr="0019790A">
              <w:rPr>
                <w:rFonts w:cs="Arial"/>
                <w:szCs w:val="22"/>
                <w:lang w:eastAsia="it-IT"/>
              </w:rPr>
              <w:t>1. Проведення інтернету в 4 сільські бібліотечні заклади Жмеринської ТГ.</w:t>
            </w:r>
          </w:p>
          <w:p w14:paraId="1166AB6D" w14:textId="77777777" w:rsidR="00B8248C" w:rsidRPr="0019790A" w:rsidRDefault="00B8248C" w:rsidP="00574F77">
            <w:pPr>
              <w:jc w:val="both"/>
              <w:rPr>
                <w:rFonts w:cs="Arial"/>
                <w:szCs w:val="22"/>
                <w:lang w:eastAsia="it-IT"/>
              </w:rPr>
            </w:pPr>
            <w:r w:rsidRPr="0019790A">
              <w:rPr>
                <w:rFonts w:cs="Arial"/>
                <w:szCs w:val="22"/>
                <w:lang w:eastAsia="it-IT"/>
              </w:rPr>
              <w:t xml:space="preserve">2. Придбання комп’ютерів (30 шт), їх комплектуючих та спеціальних меблів для Публічної бібліотеки Жмеринської ТГ та її філій </w:t>
            </w:r>
          </w:p>
          <w:p w14:paraId="2ACB363D" w14:textId="77777777" w:rsidR="00B8248C" w:rsidRPr="0019790A" w:rsidRDefault="00B8248C" w:rsidP="00574F77">
            <w:pPr>
              <w:jc w:val="both"/>
              <w:rPr>
                <w:rFonts w:cs="Arial"/>
                <w:szCs w:val="22"/>
                <w:lang w:eastAsia="it-IT"/>
              </w:rPr>
            </w:pPr>
            <w:r w:rsidRPr="0019790A">
              <w:rPr>
                <w:rFonts w:cs="Arial"/>
                <w:szCs w:val="22"/>
                <w:lang w:eastAsia="it-IT"/>
              </w:rPr>
              <w:t>3. Підготовка та випуск інформаційних буклетів та брошур</w:t>
            </w:r>
          </w:p>
          <w:p w14:paraId="50EC7A22" w14:textId="77777777" w:rsidR="00B8248C" w:rsidRPr="0019790A" w:rsidRDefault="00B8248C" w:rsidP="00574F77">
            <w:pPr>
              <w:jc w:val="both"/>
              <w:rPr>
                <w:rFonts w:cs="Arial"/>
                <w:szCs w:val="22"/>
                <w:lang w:eastAsia="it-IT"/>
              </w:rPr>
            </w:pPr>
            <w:r w:rsidRPr="0019790A">
              <w:rPr>
                <w:rFonts w:cs="Arial"/>
                <w:szCs w:val="22"/>
                <w:lang w:eastAsia="it-IT"/>
              </w:rPr>
              <w:t>4.Оформлення та розміщення реклами про послуги, які надаватимуться.</w:t>
            </w:r>
          </w:p>
          <w:p w14:paraId="1B163821" w14:textId="77777777" w:rsidR="00B8248C" w:rsidRPr="0019790A" w:rsidRDefault="00B8248C" w:rsidP="00574F77">
            <w:pPr>
              <w:jc w:val="both"/>
              <w:rPr>
                <w:rFonts w:cs="Arial"/>
                <w:szCs w:val="22"/>
                <w:lang w:eastAsia="it-IT"/>
              </w:rPr>
            </w:pPr>
            <w:r w:rsidRPr="0019790A">
              <w:rPr>
                <w:rFonts w:cs="Arial"/>
                <w:szCs w:val="22"/>
                <w:lang w:eastAsia="it-IT"/>
              </w:rPr>
              <w:t>5. Налагодження співпраці з спеціалістами поліклініки, Пенсійного фонду, управляння праці, Приватбанку.</w:t>
            </w:r>
            <w:r w:rsidRPr="0019790A">
              <w:rPr>
                <w:rFonts w:cs="Arial"/>
                <w:szCs w:val="22"/>
                <w:lang w:eastAsia="it-IT"/>
              </w:rPr>
              <w:tab/>
            </w:r>
          </w:p>
          <w:p w14:paraId="3E74124B" w14:textId="77777777" w:rsidR="00B8248C" w:rsidRPr="0019790A" w:rsidRDefault="00B8248C" w:rsidP="00574F77">
            <w:pPr>
              <w:jc w:val="both"/>
              <w:rPr>
                <w:rFonts w:cs="Arial"/>
                <w:szCs w:val="22"/>
                <w:lang w:eastAsia="it-IT"/>
              </w:rPr>
            </w:pPr>
            <w:r w:rsidRPr="0019790A">
              <w:rPr>
                <w:rFonts w:cs="Arial"/>
                <w:szCs w:val="22"/>
                <w:lang w:eastAsia="it-IT"/>
              </w:rPr>
              <w:t>6. Проведення тренінгів мешканцям громади з використання ІТ, запровадження допомоги у створенні особистих кабінетів, здійснення різних видів платежів на базі бібліотек громади через вдосконалення послуги е-урядування, а також надання можливості безоплатного користування ІТ учням та студентам з малозабезпечених сімей під час дистанційного навчання.</w:t>
            </w:r>
          </w:p>
          <w:p w14:paraId="05EEABF4" w14:textId="77777777" w:rsidR="00B8248C" w:rsidRPr="0019790A" w:rsidRDefault="00B8248C" w:rsidP="00574F77">
            <w:pPr>
              <w:jc w:val="both"/>
              <w:rPr>
                <w:rFonts w:cs="Arial"/>
                <w:szCs w:val="22"/>
                <w:lang w:eastAsia="it-IT"/>
              </w:rPr>
            </w:pPr>
            <w:r w:rsidRPr="0019790A">
              <w:rPr>
                <w:rFonts w:cs="Arial"/>
                <w:szCs w:val="22"/>
                <w:lang w:eastAsia="it-IT"/>
              </w:rPr>
              <w:t>7. Вдосконалення бібліотечної послуги е-урядування в усіх бібліотеках громади.</w:t>
            </w:r>
          </w:p>
        </w:tc>
      </w:tr>
      <w:tr w:rsidR="00B8248C" w:rsidRPr="0019790A" w14:paraId="669335D6" w14:textId="77777777" w:rsidTr="00574F77">
        <w:trPr>
          <w:jc w:val="right"/>
        </w:trPr>
        <w:tc>
          <w:tcPr>
            <w:tcW w:w="3425" w:type="dxa"/>
            <w:shd w:val="clear" w:color="auto" w:fill="FFFFFF"/>
            <w:vAlign w:val="center"/>
          </w:tcPr>
          <w:p w14:paraId="3E6A3F4B" w14:textId="77777777" w:rsidR="00B8248C" w:rsidRPr="0019790A" w:rsidRDefault="00B8248C"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794" w:type="dxa"/>
            <w:gridSpan w:val="9"/>
            <w:vAlign w:val="center"/>
          </w:tcPr>
          <w:p w14:paraId="0D0AFE6F" w14:textId="11407AE5" w:rsidR="00B8248C" w:rsidRPr="0019790A" w:rsidRDefault="00B8248C" w:rsidP="00574F77">
            <w:pPr>
              <w:jc w:val="both"/>
              <w:rPr>
                <w:rFonts w:cs="Arial"/>
                <w:szCs w:val="22"/>
                <w:lang w:eastAsia="it-IT"/>
              </w:rPr>
            </w:pPr>
            <w:r w:rsidRPr="0019790A">
              <w:rPr>
                <w:rFonts w:cs="Arial"/>
                <w:szCs w:val="22"/>
                <w:lang w:eastAsia="it-IT"/>
              </w:rPr>
              <w:t xml:space="preserve">  </w:t>
            </w:r>
            <w:r w:rsidR="00574F77" w:rsidRPr="0019790A">
              <w:rPr>
                <w:rFonts w:cs="Arial"/>
                <w:szCs w:val="22"/>
                <w:lang w:eastAsia="it-IT"/>
              </w:rPr>
              <w:t>Оснащена</w:t>
            </w:r>
            <w:r w:rsidRPr="0019790A">
              <w:rPr>
                <w:rFonts w:cs="Arial"/>
                <w:szCs w:val="22"/>
                <w:lang w:eastAsia="it-IT"/>
              </w:rPr>
              <w:t xml:space="preserve"> 20 бібліотек інфо</w:t>
            </w:r>
            <w:r w:rsidR="00574F77">
              <w:rPr>
                <w:rFonts w:cs="Arial"/>
                <w:szCs w:val="22"/>
                <w:lang w:eastAsia="it-IT"/>
              </w:rPr>
              <w:t xml:space="preserve">рмаційним </w:t>
            </w:r>
            <w:r w:rsidRPr="0019790A">
              <w:rPr>
                <w:rFonts w:cs="Arial"/>
                <w:szCs w:val="22"/>
                <w:lang w:eastAsia="it-IT"/>
              </w:rPr>
              <w:t>ресурсом</w:t>
            </w:r>
          </w:p>
          <w:p w14:paraId="79CFA829" w14:textId="77777777" w:rsidR="00B8248C" w:rsidRPr="0019790A" w:rsidRDefault="00B8248C" w:rsidP="00574F77">
            <w:pPr>
              <w:jc w:val="both"/>
              <w:rPr>
                <w:rFonts w:cs="Arial"/>
                <w:szCs w:val="22"/>
                <w:lang w:eastAsia="it-IT"/>
              </w:rPr>
            </w:pPr>
            <w:r w:rsidRPr="0019790A">
              <w:rPr>
                <w:rFonts w:cs="Arial"/>
                <w:szCs w:val="22"/>
                <w:lang w:eastAsia="it-IT"/>
              </w:rPr>
              <w:t>  Проведено понад 100 інформаційних консультацій щомісяця</w:t>
            </w:r>
          </w:p>
          <w:p w14:paraId="2E7323CF" w14:textId="77777777" w:rsidR="00B8248C" w:rsidRPr="0019790A" w:rsidRDefault="00B8248C" w:rsidP="00574F77">
            <w:pPr>
              <w:jc w:val="both"/>
              <w:rPr>
                <w:rFonts w:cs="Arial"/>
                <w:szCs w:val="22"/>
                <w:lang w:eastAsia="it-IT"/>
              </w:rPr>
            </w:pPr>
            <w:r w:rsidRPr="0019790A">
              <w:rPr>
                <w:rFonts w:cs="Arial"/>
                <w:szCs w:val="22"/>
                <w:lang w:eastAsia="it-IT"/>
              </w:rPr>
              <w:t>  Надано допомогу не менше як 200 мешканцям громади</w:t>
            </w:r>
          </w:p>
          <w:p w14:paraId="123179DE" w14:textId="3961C49E" w:rsidR="00B8248C" w:rsidRPr="0019790A" w:rsidRDefault="00B8248C" w:rsidP="00574F77">
            <w:pPr>
              <w:jc w:val="both"/>
              <w:rPr>
                <w:rFonts w:cs="Arial"/>
                <w:szCs w:val="22"/>
                <w:lang w:eastAsia="it-IT"/>
              </w:rPr>
            </w:pPr>
            <w:r w:rsidRPr="0019790A">
              <w:rPr>
                <w:rFonts w:cs="Arial"/>
                <w:szCs w:val="22"/>
                <w:lang w:eastAsia="it-IT"/>
              </w:rPr>
              <w:t xml:space="preserve">  </w:t>
            </w:r>
            <w:r w:rsidR="00574F77" w:rsidRPr="0019790A">
              <w:rPr>
                <w:rFonts w:cs="Arial"/>
                <w:szCs w:val="22"/>
                <w:lang w:eastAsia="it-IT"/>
              </w:rPr>
              <w:t>Бібліотекари</w:t>
            </w:r>
            <w:r w:rsidRPr="0019790A">
              <w:rPr>
                <w:rFonts w:cs="Arial"/>
                <w:szCs w:val="22"/>
                <w:lang w:eastAsia="it-IT"/>
              </w:rPr>
              <w:t xml:space="preserve"> пройшли щонайменше 2 тренінги</w:t>
            </w:r>
          </w:p>
          <w:p w14:paraId="0F1CFFEF" w14:textId="77777777" w:rsidR="00B8248C" w:rsidRPr="0019790A" w:rsidRDefault="00B8248C" w:rsidP="00574F77">
            <w:pPr>
              <w:jc w:val="both"/>
              <w:rPr>
                <w:rFonts w:cs="Arial"/>
                <w:szCs w:val="22"/>
                <w:lang w:eastAsia="it-IT"/>
              </w:rPr>
            </w:pPr>
            <w:r w:rsidRPr="0019790A">
              <w:rPr>
                <w:rFonts w:cs="Arial"/>
                <w:szCs w:val="22"/>
                <w:lang w:eastAsia="it-IT"/>
              </w:rPr>
              <w:t>  Підвищено рівень цифрової обізнаності серед людей віком 50+</w:t>
            </w:r>
          </w:p>
        </w:tc>
      </w:tr>
      <w:tr w:rsidR="00B8248C" w:rsidRPr="0019790A" w14:paraId="4E0CEF71" w14:textId="77777777" w:rsidTr="00B8248C">
        <w:trPr>
          <w:jc w:val="right"/>
        </w:trPr>
        <w:tc>
          <w:tcPr>
            <w:tcW w:w="3425" w:type="dxa"/>
            <w:shd w:val="clear" w:color="auto" w:fill="FFFFFF"/>
            <w:vAlign w:val="center"/>
          </w:tcPr>
          <w:p w14:paraId="38852D8E" w14:textId="77777777" w:rsidR="00B8248C" w:rsidRPr="0019790A" w:rsidRDefault="00B8248C" w:rsidP="0019790A">
            <w:pPr>
              <w:rPr>
                <w:rFonts w:cs="Arial"/>
                <w:b/>
                <w:color w:val="000000"/>
                <w:szCs w:val="22"/>
              </w:rPr>
            </w:pPr>
            <w:r w:rsidRPr="0019790A">
              <w:rPr>
                <w:rFonts w:cs="Arial"/>
                <w:b/>
                <w:color w:val="000000"/>
                <w:szCs w:val="22"/>
              </w:rPr>
              <w:t xml:space="preserve">Період здійснення: </w:t>
            </w:r>
          </w:p>
        </w:tc>
        <w:tc>
          <w:tcPr>
            <w:tcW w:w="6794" w:type="dxa"/>
            <w:gridSpan w:val="9"/>
            <w:vAlign w:val="center"/>
          </w:tcPr>
          <w:p w14:paraId="6831801E" w14:textId="77777777" w:rsidR="00B8248C" w:rsidRPr="0019790A" w:rsidRDefault="00B8248C" w:rsidP="0019790A">
            <w:pPr>
              <w:rPr>
                <w:rFonts w:cs="Arial"/>
                <w:color w:val="000000"/>
                <w:szCs w:val="22"/>
                <w:lang w:eastAsia="it-IT"/>
              </w:rPr>
            </w:pPr>
            <w:r w:rsidRPr="0019790A">
              <w:rPr>
                <w:rFonts w:cs="Arial"/>
                <w:b/>
                <w:color w:val="000000"/>
                <w:szCs w:val="22"/>
              </w:rPr>
              <w:t>2025 – 2028 роки:</w:t>
            </w:r>
          </w:p>
        </w:tc>
      </w:tr>
      <w:tr w:rsidR="00B8248C" w:rsidRPr="0019790A" w14:paraId="32EDF39C" w14:textId="77777777" w:rsidTr="00B8248C">
        <w:trPr>
          <w:jc w:val="right"/>
        </w:trPr>
        <w:tc>
          <w:tcPr>
            <w:tcW w:w="3425" w:type="dxa"/>
            <w:vMerge w:val="restart"/>
            <w:shd w:val="clear" w:color="auto" w:fill="FFFFFF"/>
            <w:vAlign w:val="center"/>
          </w:tcPr>
          <w:p w14:paraId="614A9525" w14:textId="77777777" w:rsidR="00B8248C" w:rsidRPr="0019790A" w:rsidRDefault="00B8248C" w:rsidP="0019790A">
            <w:pPr>
              <w:rPr>
                <w:rFonts w:cs="Arial"/>
                <w:b/>
                <w:bCs/>
                <w:color w:val="000000"/>
                <w:szCs w:val="22"/>
              </w:rPr>
            </w:pPr>
            <w:r w:rsidRPr="0019790A">
              <w:rPr>
                <w:rFonts w:cs="Arial"/>
                <w:b/>
                <w:bCs/>
                <w:color w:val="000000"/>
                <w:szCs w:val="22"/>
              </w:rPr>
              <w:t>Орієнтовна вартість проєкту, тис. грн., в тому числі:</w:t>
            </w:r>
          </w:p>
        </w:tc>
        <w:tc>
          <w:tcPr>
            <w:tcW w:w="1254" w:type="dxa"/>
            <w:gridSpan w:val="2"/>
            <w:shd w:val="clear" w:color="auto" w:fill="E6E6E6"/>
            <w:vAlign w:val="center"/>
          </w:tcPr>
          <w:p w14:paraId="05489725"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2025</w:t>
            </w:r>
          </w:p>
        </w:tc>
        <w:tc>
          <w:tcPr>
            <w:tcW w:w="1275" w:type="dxa"/>
            <w:shd w:val="clear" w:color="auto" w:fill="E6E6E6"/>
            <w:vAlign w:val="center"/>
          </w:tcPr>
          <w:p w14:paraId="4CDB0CBB"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2026</w:t>
            </w:r>
          </w:p>
        </w:tc>
        <w:tc>
          <w:tcPr>
            <w:tcW w:w="1418" w:type="dxa"/>
            <w:gridSpan w:val="3"/>
            <w:tcBorders>
              <w:bottom w:val="single" w:sz="4" w:space="0" w:color="auto"/>
            </w:tcBorders>
            <w:shd w:val="clear" w:color="auto" w:fill="E6E6E6"/>
            <w:vAlign w:val="center"/>
          </w:tcPr>
          <w:p w14:paraId="0A8434CF"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2027</w:t>
            </w:r>
          </w:p>
        </w:tc>
        <w:tc>
          <w:tcPr>
            <w:tcW w:w="1276" w:type="dxa"/>
            <w:shd w:val="clear" w:color="auto" w:fill="E6E6E6"/>
            <w:vAlign w:val="center"/>
          </w:tcPr>
          <w:p w14:paraId="0CEA98A2"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2028</w:t>
            </w:r>
          </w:p>
        </w:tc>
        <w:tc>
          <w:tcPr>
            <w:tcW w:w="1571" w:type="dxa"/>
            <w:gridSpan w:val="2"/>
            <w:shd w:val="clear" w:color="auto" w:fill="E6E6E6"/>
            <w:vAlign w:val="center"/>
          </w:tcPr>
          <w:p w14:paraId="1EEE3181"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РАЗОМ</w:t>
            </w:r>
          </w:p>
        </w:tc>
      </w:tr>
      <w:tr w:rsidR="00B8248C" w:rsidRPr="0019790A" w14:paraId="02264300" w14:textId="77777777" w:rsidTr="00B8248C">
        <w:trPr>
          <w:jc w:val="right"/>
        </w:trPr>
        <w:tc>
          <w:tcPr>
            <w:tcW w:w="3425" w:type="dxa"/>
            <w:vMerge/>
            <w:shd w:val="clear" w:color="auto" w:fill="FFFFFF"/>
            <w:vAlign w:val="center"/>
          </w:tcPr>
          <w:p w14:paraId="6DA78807" w14:textId="77777777" w:rsidR="00B8248C" w:rsidRPr="0019790A" w:rsidRDefault="00B8248C" w:rsidP="0019790A">
            <w:pPr>
              <w:rPr>
                <w:rFonts w:cs="Arial"/>
                <w:b/>
                <w:bCs/>
                <w:color w:val="000000"/>
                <w:szCs w:val="22"/>
              </w:rPr>
            </w:pPr>
          </w:p>
        </w:tc>
        <w:tc>
          <w:tcPr>
            <w:tcW w:w="1254" w:type="dxa"/>
            <w:gridSpan w:val="2"/>
            <w:vAlign w:val="center"/>
          </w:tcPr>
          <w:p w14:paraId="4F1A6502"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50,0</w:t>
            </w:r>
          </w:p>
        </w:tc>
        <w:tc>
          <w:tcPr>
            <w:tcW w:w="1275" w:type="dxa"/>
            <w:shd w:val="clear" w:color="auto" w:fill="FFFFFF"/>
            <w:vAlign w:val="center"/>
          </w:tcPr>
          <w:p w14:paraId="42A1F04B"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450,0</w:t>
            </w:r>
          </w:p>
        </w:tc>
        <w:tc>
          <w:tcPr>
            <w:tcW w:w="1418" w:type="dxa"/>
            <w:gridSpan w:val="3"/>
            <w:shd w:val="clear" w:color="auto" w:fill="auto"/>
            <w:vAlign w:val="center"/>
          </w:tcPr>
          <w:p w14:paraId="598C3CAB"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450,0</w:t>
            </w:r>
          </w:p>
        </w:tc>
        <w:tc>
          <w:tcPr>
            <w:tcW w:w="1276" w:type="dxa"/>
            <w:shd w:val="clear" w:color="auto" w:fill="FFFFFF"/>
            <w:vAlign w:val="center"/>
          </w:tcPr>
          <w:p w14:paraId="74005AA3"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450,0</w:t>
            </w:r>
          </w:p>
        </w:tc>
        <w:tc>
          <w:tcPr>
            <w:tcW w:w="1571" w:type="dxa"/>
            <w:gridSpan w:val="2"/>
            <w:shd w:val="clear" w:color="auto" w:fill="FFFFFF"/>
            <w:vAlign w:val="center"/>
          </w:tcPr>
          <w:p w14:paraId="4CA21C58"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1400,0</w:t>
            </w:r>
          </w:p>
        </w:tc>
      </w:tr>
      <w:tr w:rsidR="00B8248C" w:rsidRPr="0019790A" w14:paraId="0D0A3B56" w14:textId="77777777" w:rsidTr="00B8248C">
        <w:trPr>
          <w:trHeight w:val="276"/>
          <w:jc w:val="right"/>
        </w:trPr>
        <w:tc>
          <w:tcPr>
            <w:tcW w:w="3425" w:type="dxa"/>
            <w:shd w:val="clear" w:color="auto" w:fill="FFFFFF"/>
            <w:vAlign w:val="center"/>
          </w:tcPr>
          <w:p w14:paraId="10E5011D" w14:textId="77777777" w:rsidR="00B8248C" w:rsidRPr="0019790A" w:rsidRDefault="00B8248C" w:rsidP="0019790A">
            <w:pPr>
              <w:rPr>
                <w:rFonts w:cs="Arial"/>
                <w:b/>
                <w:bCs/>
                <w:color w:val="000000"/>
                <w:szCs w:val="22"/>
              </w:rPr>
            </w:pPr>
            <w:r w:rsidRPr="0019790A">
              <w:rPr>
                <w:rFonts w:cs="Arial"/>
                <w:b/>
                <w:bCs/>
                <w:color w:val="000000"/>
                <w:szCs w:val="22"/>
              </w:rPr>
              <w:t>по джерелах фінансування:</w:t>
            </w:r>
          </w:p>
        </w:tc>
        <w:tc>
          <w:tcPr>
            <w:tcW w:w="6794" w:type="dxa"/>
            <w:gridSpan w:val="9"/>
            <w:vAlign w:val="center"/>
          </w:tcPr>
          <w:p w14:paraId="3C686C29" w14:textId="77777777" w:rsidR="00B8248C" w:rsidRPr="0019790A" w:rsidRDefault="00B8248C" w:rsidP="0019790A">
            <w:pPr>
              <w:jc w:val="both"/>
              <w:rPr>
                <w:rFonts w:cs="Arial"/>
                <w:color w:val="000000"/>
                <w:szCs w:val="22"/>
                <w:lang w:eastAsia="it-IT"/>
              </w:rPr>
            </w:pPr>
          </w:p>
        </w:tc>
      </w:tr>
      <w:tr w:rsidR="00574F77" w:rsidRPr="0019790A" w14:paraId="6899C2E4" w14:textId="0CA2ADC3" w:rsidTr="00574F77">
        <w:trPr>
          <w:trHeight w:val="240"/>
          <w:jc w:val="right"/>
        </w:trPr>
        <w:tc>
          <w:tcPr>
            <w:tcW w:w="3425" w:type="dxa"/>
            <w:shd w:val="clear" w:color="auto" w:fill="FFFFFF"/>
            <w:vAlign w:val="center"/>
          </w:tcPr>
          <w:p w14:paraId="5C930EEF" w14:textId="77777777" w:rsidR="00574F77" w:rsidRPr="0019790A" w:rsidRDefault="00574F77" w:rsidP="0019790A">
            <w:pPr>
              <w:rPr>
                <w:rFonts w:cs="Arial"/>
                <w:b/>
                <w:bCs/>
                <w:color w:val="000000"/>
                <w:szCs w:val="22"/>
              </w:rPr>
            </w:pPr>
            <w:r w:rsidRPr="0019790A">
              <w:rPr>
                <w:rFonts w:cs="Arial"/>
                <w:color w:val="000000"/>
                <w:szCs w:val="22"/>
              </w:rPr>
              <w:t>- державний бюджет</w:t>
            </w:r>
          </w:p>
        </w:tc>
        <w:tc>
          <w:tcPr>
            <w:tcW w:w="1240" w:type="dxa"/>
            <w:vAlign w:val="center"/>
          </w:tcPr>
          <w:p w14:paraId="10B0C59D" w14:textId="77777777" w:rsidR="00574F77" w:rsidRPr="0019790A" w:rsidRDefault="00574F77" w:rsidP="0019790A">
            <w:pPr>
              <w:jc w:val="both"/>
              <w:rPr>
                <w:rFonts w:cs="Arial"/>
                <w:color w:val="000000"/>
                <w:szCs w:val="22"/>
                <w:lang w:eastAsia="it-IT"/>
              </w:rPr>
            </w:pPr>
          </w:p>
        </w:tc>
        <w:tc>
          <w:tcPr>
            <w:tcW w:w="1315" w:type="dxa"/>
            <w:gridSpan w:val="3"/>
            <w:vAlign w:val="center"/>
          </w:tcPr>
          <w:p w14:paraId="05B96205" w14:textId="77777777" w:rsidR="00574F77" w:rsidRPr="0019790A" w:rsidRDefault="00574F77" w:rsidP="0019790A">
            <w:pPr>
              <w:jc w:val="both"/>
              <w:rPr>
                <w:rFonts w:cs="Arial"/>
                <w:color w:val="000000"/>
                <w:szCs w:val="22"/>
                <w:lang w:eastAsia="it-IT"/>
              </w:rPr>
            </w:pPr>
          </w:p>
        </w:tc>
        <w:tc>
          <w:tcPr>
            <w:tcW w:w="1377" w:type="dxa"/>
            <w:vAlign w:val="center"/>
          </w:tcPr>
          <w:p w14:paraId="59964F53" w14:textId="77777777" w:rsidR="00574F77" w:rsidRPr="0019790A" w:rsidRDefault="00574F77" w:rsidP="0019790A">
            <w:pPr>
              <w:jc w:val="both"/>
              <w:rPr>
                <w:rFonts w:cs="Arial"/>
                <w:color w:val="000000"/>
                <w:szCs w:val="22"/>
                <w:lang w:eastAsia="it-IT"/>
              </w:rPr>
            </w:pPr>
          </w:p>
        </w:tc>
        <w:tc>
          <w:tcPr>
            <w:tcW w:w="1315" w:type="dxa"/>
            <w:gridSpan w:val="3"/>
            <w:vAlign w:val="center"/>
          </w:tcPr>
          <w:p w14:paraId="070268F0" w14:textId="77777777" w:rsidR="00574F77" w:rsidRPr="0019790A" w:rsidRDefault="00574F77" w:rsidP="0019790A">
            <w:pPr>
              <w:jc w:val="both"/>
              <w:rPr>
                <w:rFonts w:cs="Arial"/>
                <w:color w:val="000000"/>
                <w:szCs w:val="22"/>
                <w:lang w:eastAsia="it-IT"/>
              </w:rPr>
            </w:pPr>
          </w:p>
        </w:tc>
        <w:tc>
          <w:tcPr>
            <w:tcW w:w="1547" w:type="dxa"/>
            <w:vAlign w:val="center"/>
          </w:tcPr>
          <w:p w14:paraId="57F0D49A" w14:textId="77777777" w:rsidR="00574F77" w:rsidRPr="0019790A" w:rsidRDefault="00574F77" w:rsidP="0019790A">
            <w:pPr>
              <w:jc w:val="both"/>
              <w:rPr>
                <w:rFonts w:cs="Arial"/>
                <w:color w:val="000000"/>
                <w:szCs w:val="22"/>
                <w:lang w:eastAsia="it-IT"/>
              </w:rPr>
            </w:pPr>
          </w:p>
        </w:tc>
      </w:tr>
      <w:tr w:rsidR="00574F77" w:rsidRPr="0019790A" w14:paraId="6DDD85FD" w14:textId="241AF528" w:rsidTr="00574F77">
        <w:trPr>
          <w:trHeight w:val="254"/>
          <w:jc w:val="right"/>
        </w:trPr>
        <w:tc>
          <w:tcPr>
            <w:tcW w:w="3425" w:type="dxa"/>
            <w:shd w:val="clear" w:color="auto" w:fill="FFFFFF"/>
            <w:vAlign w:val="center"/>
          </w:tcPr>
          <w:p w14:paraId="6DD6A122" w14:textId="77777777" w:rsidR="00574F77" w:rsidRPr="0019790A" w:rsidRDefault="00574F77" w:rsidP="0019790A">
            <w:pPr>
              <w:rPr>
                <w:rFonts w:cs="Arial"/>
                <w:color w:val="000000"/>
                <w:szCs w:val="22"/>
              </w:rPr>
            </w:pPr>
            <w:r w:rsidRPr="0019790A">
              <w:rPr>
                <w:rFonts w:cs="Arial"/>
                <w:color w:val="000000"/>
                <w:szCs w:val="22"/>
              </w:rPr>
              <w:t>- обласний бюджет</w:t>
            </w:r>
          </w:p>
        </w:tc>
        <w:tc>
          <w:tcPr>
            <w:tcW w:w="1240" w:type="dxa"/>
            <w:vAlign w:val="center"/>
          </w:tcPr>
          <w:p w14:paraId="5DF07C4D" w14:textId="77777777" w:rsidR="00574F77" w:rsidRPr="0019790A" w:rsidRDefault="00574F77" w:rsidP="0019790A">
            <w:pPr>
              <w:jc w:val="both"/>
              <w:rPr>
                <w:rFonts w:cs="Arial"/>
                <w:color w:val="000000"/>
                <w:szCs w:val="22"/>
                <w:lang w:eastAsia="it-IT"/>
              </w:rPr>
            </w:pPr>
          </w:p>
        </w:tc>
        <w:tc>
          <w:tcPr>
            <w:tcW w:w="1315" w:type="dxa"/>
            <w:gridSpan w:val="3"/>
            <w:vAlign w:val="center"/>
          </w:tcPr>
          <w:p w14:paraId="082A320C" w14:textId="77777777" w:rsidR="00574F77" w:rsidRPr="0019790A" w:rsidRDefault="00574F77" w:rsidP="0019790A">
            <w:pPr>
              <w:jc w:val="both"/>
              <w:rPr>
                <w:rFonts w:cs="Arial"/>
                <w:color w:val="000000"/>
                <w:szCs w:val="22"/>
                <w:lang w:eastAsia="it-IT"/>
              </w:rPr>
            </w:pPr>
          </w:p>
        </w:tc>
        <w:tc>
          <w:tcPr>
            <w:tcW w:w="1377" w:type="dxa"/>
            <w:vAlign w:val="center"/>
          </w:tcPr>
          <w:p w14:paraId="2678D837" w14:textId="77777777" w:rsidR="00574F77" w:rsidRPr="0019790A" w:rsidRDefault="00574F77" w:rsidP="0019790A">
            <w:pPr>
              <w:jc w:val="both"/>
              <w:rPr>
                <w:rFonts w:cs="Arial"/>
                <w:color w:val="000000"/>
                <w:szCs w:val="22"/>
                <w:lang w:eastAsia="it-IT"/>
              </w:rPr>
            </w:pPr>
          </w:p>
        </w:tc>
        <w:tc>
          <w:tcPr>
            <w:tcW w:w="1315" w:type="dxa"/>
            <w:gridSpan w:val="3"/>
            <w:vAlign w:val="center"/>
          </w:tcPr>
          <w:p w14:paraId="531B8C83" w14:textId="77777777" w:rsidR="00574F77" w:rsidRPr="0019790A" w:rsidRDefault="00574F77" w:rsidP="0019790A">
            <w:pPr>
              <w:jc w:val="both"/>
              <w:rPr>
                <w:rFonts w:cs="Arial"/>
                <w:color w:val="000000"/>
                <w:szCs w:val="22"/>
                <w:lang w:eastAsia="it-IT"/>
              </w:rPr>
            </w:pPr>
          </w:p>
        </w:tc>
        <w:tc>
          <w:tcPr>
            <w:tcW w:w="1547" w:type="dxa"/>
            <w:vAlign w:val="center"/>
          </w:tcPr>
          <w:p w14:paraId="393BB40F" w14:textId="77777777" w:rsidR="00574F77" w:rsidRPr="0019790A" w:rsidRDefault="00574F77" w:rsidP="0019790A">
            <w:pPr>
              <w:jc w:val="both"/>
              <w:rPr>
                <w:rFonts w:cs="Arial"/>
                <w:color w:val="000000"/>
                <w:szCs w:val="22"/>
                <w:lang w:eastAsia="it-IT"/>
              </w:rPr>
            </w:pPr>
          </w:p>
        </w:tc>
      </w:tr>
      <w:tr w:rsidR="00574F77" w:rsidRPr="0019790A" w14:paraId="338D666D" w14:textId="154EF7E8" w:rsidTr="00574F77">
        <w:trPr>
          <w:trHeight w:val="275"/>
          <w:jc w:val="right"/>
        </w:trPr>
        <w:tc>
          <w:tcPr>
            <w:tcW w:w="3425" w:type="dxa"/>
            <w:shd w:val="clear" w:color="auto" w:fill="FFFFFF"/>
            <w:vAlign w:val="center"/>
          </w:tcPr>
          <w:p w14:paraId="666A29F4" w14:textId="77777777" w:rsidR="00574F77" w:rsidRPr="0019790A" w:rsidRDefault="00574F77" w:rsidP="00574F77">
            <w:pPr>
              <w:rPr>
                <w:rFonts w:cs="Arial"/>
                <w:color w:val="000000"/>
                <w:szCs w:val="22"/>
              </w:rPr>
            </w:pPr>
            <w:r w:rsidRPr="0019790A">
              <w:rPr>
                <w:rFonts w:cs="Arial"/>
                <w:color w:val="000000"/>
                <w:szCs w:val="22"/>
              </w:rPr>
              <w:t>- бюджет Жмеринської МТГ</w:t>
            </w:r>
          </w:p>
        </w:tc>
        <w:tc>
          <w:tcPr>
            <w:tcW w:w="1240" w:type="dxa"/>
            <w:vAlign w:val="center"/>
          </w:tcPr>
          <w:p w14:paraId="11D856FA" w14:textId="78607C6E" w:rsidR="00574F77" w:rsidRPr="0019790A" w:rsidRDefault="00574F77" w:rsidP="00574F77">
            <w:pPr>
              <w:jc w:val="center"/>
              <w:rPr>
                <w:rFonts w:cs="Arial"/>
                <w:color w:val="000000"/>
                <w:szCs w:val="22"/>
                <w:lang w:eastAsia="it-IT"/>
              </w:rPr>
            </w:pPr>
            <w:r w:rsidRPr="0019790A">
              <w:rPr>
                <w:rFonts w:cs="Arial"/>
                <w:b/>
                <w:color w:val="000000"/>
                <w:szCs w:val="22"/>
                <w:lang w:eastAsia="it-IT"/>
              </w:rPr>
              <w:t>50,0</w:t>
            </w:r>
          </w:p>
        </w:tc>
        <w:tc>
          <w:tcPr>
            <w:tcW w:w="1315" w:type="dxa"/>
            <w:gridSpan w:val="3"/>
            <w:vAlign w:val="center"/>
          </w:tcPr>
          <w:p w14:paraId="491D50CC" w14:textId="2892731C" w:rsidR="00574F77" w:rsidRPr="0019790A" w:rsidRDefault="00574F77" w:rsidP="00574F77">
            <w:pPr>
              <w:jc w:val="center"/>
              <w:rPr>
                <w:rFonts w:cs="Arial"/>
                <w:color w:val="000000"/>
                <w:szCs w:val="22"/>
                <w:lang w:eastAsia="it-IT"/>
              </w:rPr>
            </w:pPr>
            <w:r w:rsidRPr="0019790A">
              <w:rPr>
                <w:rFonts w:cs="Arial"/>
                <w:b/>
                <w:color w:val="000000"/>
                <w:szCs w:val="22"/>
                <w:lang w:eastAsia="it-IT"/>
              </w:rPr>
              <w:t>450,0</w:t>
            </w:r>
          </w:p>
        </w:tc>
        <w:tc>
          <w:tcPr>
            <w:tcW w:w="1377" w:type="dxa"/>
            <w:vAlign w:val="center"/>
          </w:tcPr>
          <w:p w14:paraId="6EDD14CC" w14:textId="1556C96C" w:rsidR="00574F77" w:rsidRPr="0019790A" w:rsidRDefault="00574F77" w:rsidP="00574F77">
            <w:pPr>
              <w:jc w:val="center"/>
              <w:rPr>
                <w:rFonts w:cs="Arial"/>
                <w:color w:val="000000"/>
                <w:szCs w:val="22"/>
                <w:lang w:eastAsia="it-IT"/>
              </w:rPr>
            </w:pPr>
            <w:r w:rsidRPr="0019790A">
              <w:rPr>
                <w:rFonts w:cs="Arial"/>
                <w:b/>
                <w:color w:val="000000"/>
                <w:szCs w:val="22"/>
                <w:lang w:eastAsia="it-IT"/>
              </w:rPr>
              <w:t>450,0</w:t>
            </w:r>
          </w:p>
        </w:tc>
        <w:tc>
          <w:tcPr>
            <w:tcW w:w="1315" w:type="dxa"/>
            <w:gridSpan w:val="3"/>
            <w:vAlign w:val="center"/>
          </w:tcPr>
          <w:p w14:paraId="74387212" w14:textId="3D79FC51" w:rsidR="00574F77" w:rsidRPr="0019790A" w:rsidRDefault="00574F77" w:rsidP="00574F77">
            <w:pPr>
              <w:jc w:val="center"/>
              <w:rPr>
                <w:rFonts w:cs="Arial"/>
                <w:color w:val="000000"/>
                <w:szCs w:val="22"/>
                <w:lang w:eastAsia="it-IT"/>
              </w:rPr>
            </w:pPr>
            <w:r w:rsidRPr="0019790A">
              <w:rPr>
                <w:rFonts w:cs="Arial"/>
                <w:b/>
                <w:color w:val="000000"/>
                <w:szCs w:val="22"/>
                <w:lang w:eastAsia="it-IT"/>
              </w:rPr>
              <w:t>450,0</w:t>
            </w:r>
          </w:p>
        </w:tc>
        <w:tc>
          <w:tcPr>
            <w:tcW w:w="1547" w:type="dxa"/>
            <w:vAlign w:val="center"/>
          </w:tcPr>
          <w:p w14:paraId="11894BC9" w14:textId="0BD17F3A" w:rsidR="00574F77" w:rsidRPr="0019790A" w:rsidRDefault="00574F77" w:rsidP="00574F77">
            <w:pPr>
              <w:jc w:val="center"/>
              <w:rPr>
                <w:rFonts w:cs="Arial"/>
                <w:color w:val="000000"/>
                <w:szCs w:val="22"/>
                <w:lang w:eastAsia="it-IT"/>
              </w:rPr>
            </w:pPr>
            <w:r w:rsidRPr="0019790A">
              <w:rPr>
                <w:rFonts w:cs="Arial"/>
                <w:b/>
                <w:color w:val="000000"/>
                <w:szCs w:val="22"/>
                <w:lang w:eastAsia="it-IT"/>
              </w:rPr>
              <w:t>1400,0</w:t>
            </w:r>
          </w:p>
        </w:tc>
      </w:tr>
      <w:tr w:rsidR="00574F77" w:rsidRPr="0019790A" w14:paraId="059BD005" w14:textId="7B3FB1AA" w:rsidTr="00574F77">
        <w:trPr>
          <w:trHeight w:val="226"/>
          <w:jc w:val="right"/>
        </w:trPr>
        <w:tc>
          <w:tcPr>
            <w:tcW w:w="3425" w:type="dxa"/>
            <w:shd w:val="clear" w:color="auto" w:fill="FFFFFF"/>
            <w:vAlign w:val="center"/>
          </w:tcPr>
          <w:p w14:paraId="529F2083" w14:textId="77777777" w:rsidR="00574F77" w:rsidRPr="0019790A" w:rsidRDefault="00574F77" w:rsidP="00574F77">
            <w:pPr>
              <w:rPr>
                <w:rFonts w:cs="Arial"/>
                <w:color w:val="000000"/>
                <w:szCs w:val="22"/>
              </w:rPr>
            </w:pPr>
            <w:r w:rsidRPr="0019790A">
              <w:rPr>
                <w:rFonts w:cs="Arial"/>
                <w:color w:val="000000"/>
                <w:szCs w:val="22"/>
              </w:rPr>
              <w:t>- інші джерела фінансування</w:t>
            </w:r>
          </w:p>
        </w:tc>
        <w:tc>
          <w:tcPr>
            <w:tcW w:w="1240" w:type="dxa"/>
            <w:vAlign w:val="center"/>
          </w:tcPr>
          <w:p w14:paraId="3DAF3548" w14:textId="77777777" w:rsidR="00574F77" w:rsidRPr="0019790A" w:rsidRDefault="00574F77" w:rsidP="00574F77">
            <w:pPr>
              <w:jc w:val="center"/>
              <w:rPr>
                <w:rFonts w:cs="Arial"/>
                <w:color w:val="000000"/>
                <w:szCs w:val="22"/>
                <w:lang w:eastAsia="it-IT"/>
              </w:rPr>
            </w:pPr>
          </w:p>
        </w:tc>
        <w:tc>
          <w:tcPr>
            <w:tcW w:w="1315" w:type="dxa"/>
            <w:gridSpan w:val="3"/>
            <w:vAlign w:val="center"/>
          </w:tcPr>
          <w:p w14:paraId="1F46BF88" w14:textId="77777777" w:rsidR="00574F77" w:rsidRPr="0019790A" w:rsidRDefault="00574F77" w:rsidP="00574F77">
            <w:pPr>
              <w:jc w:val="center"/>
              <w:rPr>
                <w:rFonts w:cs="Arial"/>
                <w:color w:val="000000"/>
                <w:szCs w:val="22"/>
                <w:lang w:eastAsia="it-IT"/>
              </w:rPr>
            </w:pPr>
          </w:p>
        </w:tc>
        <w:tc>
          <w:tcPr>
            <w:tcW w:w="1377" w:type="dxa"/>
            <w:vAlign w:val="center"/>
          </w:tcPr>
          <w:p w14:paraId="450C66B8" w14:textId="77777777" w:rsidR="00574F77" w:rsidRPr="0019790A" w:rsidRDefault="00574F77" w:rsidP="00574F77">
            <w:pPr>
              <w:jc w:val="center"/>
              <w:rPr>
                <w:rFonts w:cs="Arial"/>
                <w:color w:val="000000"/>
                <w:szCs w:val="22"/>
                <w:lang w:eastAsia="it-IT"/>
              </w:rPr>
            </w:pPr>
          </w:p>
        </w:tc>
        <w:tc>
          <w:tcPr>
            <w:tcW w:w="1315" w:type="dxa"/>
            <w:gridSpan w:val="3"/>
            <w:vAlign w:val="center"/>
          </w:tcPr>
          <w:p w14:paraId="6682EA64" w14:textId="77777777" w:rsidR="00574F77" w:rsidRPr="0019790A" w:rsidRDefault="00574F77" w:rsidP="00574F77">
            <w:pPr>
              <w:jc w:val="center"/>
              <w:rPr>
                <w:rFonts w:cs="Arial"/>
                <w:color w:val="000000"/>
                <w:szCs w:val="22"/>
                <w:lang w:eastAsia="it-IT"/>
              </w:rPr>
            </w:pPr>
          </w:p>
        </w:tc>
        <w:tc>
          <w:tcPr>
            <w:tcW w:w="1547" w:type="dxa"/>
            <w:vAlign w:val="center"/>
          </w:tcPr>
          <w:p w14:paraId="558FB9B2" w14:textId="77777777" w:rsidR="00574F77" w:rsidRPr="0019790A" w:rsidRDefault="00574F77" w:rsidP="00574F77">
            <w:pPr>
              <w:jc w:val="center"/>
              <w:rPr>
                <w:rFonts w:cs="Arial"/>
                <w:color w:val="000000"/>
                <w:szCs w:val="22"/>
                <w:lang w:eastAsia="it-IT"/>
              </w:rPr>
            </w:pPr>
          </w:p>
        </w:tc>
      </w:tr>
      <w:tr w:rsidR="00574F77" w:rsidRPr="0019790A" w14:paraId="53D533CE" w14:textId="77777777" w:rsidTr="00B8248C">
        <w:trPr>
          <w:jc w:val="right"/>
        </w:trPr>
        <w:tc>
          <w:tcPr>
            <w:tcW w:w="3425" w:type="dxa"/>
            <w:shd w:val="clear" w:color="auto" w:fill="FFFFFF"/>
            <w:vAlign w:val="center"/>
          </w:tcPr>
          <w:p w14:paraId="45880085" w14:textId="77777777" w:rsidR="00574F77" w:rsidRPr="0019790A" w:rsidRDefault="00574F77" w:rsidP="00574F77">
            <w:pPr>
              <w:rPr>
                <w:rFonts w:cs="Arial"/>
                <w:b/>
                <w:bCs/>
                <w:color w:val="000000"/>
                <w:szCs w:val="22"/>
              </w:rPr>
            </w:pPr>
            <w:r w:rsidRPr="0019790A">
              <w:rPr>
                <w:rFonts w:cs="Arial"/>
                <w:b/>
                <w:color w:val="000000"/>
                <w:szCs w:val="22"/>
              </w:rPr>
              <w:t>Відповідальний виконавець проєкту:</w:t>
            </w:r>
          </w:p>
        </w:tc>
        <w:tc>
          <w:tcPr>
            <w:tcW w:w="6794" w:type="dxa"/>
            <w:gridSpan w:val="9"/>
            <w:vAlign w:val="center"/>
          </w:tcPr>
          <w:p w14:paraId="0D88CAB5" w14:textId="77777777" w:rsidR="00574F77" w:rsidRPr="00574F77" w:rsidRDefault="00574F77" w:rsidP="00574F77">
            <w:pPr>
              <w:jc w:val="both"/>
              <w:rPr>
                <w:rFonts w:cs="Arial"/>
                <w:color w:val="000000"/>
                <w:szCs w:val="22"/>
                <w:lang w:eastAsia="it-IT"/>
              </w:rPr>
            </w:pPr>
            <w:r w:rsidRPr="00574F77">
              <w:rPr>
                <w:rFonts w:cs="Arial"/>
                <w:color w:val="000000"/>
                <w:szCs w:val="22"/>
                <w:lang w:eastAsia="it-IT"/>
              </w:rPr>
              <w:t>КЗ Публічна бібліотека Жмеринської міської ТГ</w:t>
            </w:r>
          </w:p>
        </w:tc>
      </w:tr>
      <w:tr w:rsidR="00574F77" w:rsidRPr="0019790A" w14:paraId="6FE469E6" w14:textId="77777777" w:rsidTr="00B8248C">
        <w:trPr>
          <w:jc w:val="right"/>
        </w:trPr>
        <w:tc>
          <w:tcPr>
            <w:tcW w:w="3425" w:type="dxa"/>
            <w:shd w:val="clear" w:color="auto" w:fill="FFFFFF"/>
            <w:vAlign w:val="center"/>
          </w:tcPr>
          <w:p w14:paraId="35314C90" w14:textId="77777777" w:rsidR="00574F77" w:rsidRPr="0019790A" w:rsidRDefault="00574F77" w:rsidP="00574F77">
            <w:pPr>
              <w:rPr>
                <w:rFonts w:cs="Arial"/>
                <w:b/>
                <w:bCs/>
                <w:color w:val="000000"/>
                <w:szCs w:val="22"/>
              </w:rPr>
            </w:pPr>
            <w:r w:rsidRPr="0019790A">
              <w:rPr>
                <w:rFonts w:cs="Arial"/>
                <w:b/>
                <w:bCs/>
                <w:color w:val="000000"/>
                <w:szCs w:val="22"/>
              </w:rPr>
              <w:t>Інше:</w:t>
            </w:r>
          </w:p>
        </w:tc>
        <w:tc>
          <w:tcPr>
            <w:tcW w:w="6794" w:type="dxa"/>
            <w:gridSpan w:val="9"/>
            <w:vAlign w:val="center"/>
          </w:tcPr>
          <w:p w14:paraId="3F530B47" w14:textId="77777777" w:rsidR="00574F77" w:rsidRPr="0019790A" w:rsidRDefault="00574F77" w:rsidP="00574F77">
            <w:pPr>
              <w:rPr>
                <w:rFonts w:cs="Arial"/>
                <w:color w:val="000000"/>
                <w:szCs w:val="22"/>
                <w:lang w:eastAsia="it-IT"/>
              </w:rPr>
            </w:pPr>
            <w:r w:rsidRPr="0019790A">
              <w:rPr>
                <w:rFonts w:cs="Arial"/>
                <w:color w:val="000000"/>
                <w:szCs w:val="22"/>
                <w:lang w:eastAsia="it-IT"/>
              </w:rPr>
              <w:t>Проєкт дозволяє розширити роль бібліотеки в громаді — від книгозбірні до повноцінного центру комунікації, підтримки, порад і технологій.</w:t>
            </w:r>
          </w:p>
        </w:tc>
      </w:tr>
    </w:tbl>
    <w:p w14:paraId="28BF84DB" w14:textId="77777777" w:rsidR="00B8248C" w:rsidRPr="0019790A" w:rsidRDefault="00B8248C" w:rsidP="0019790A">
      <w:pPr>
        <w:rPr>
          <w:rFonts w:cs="Arial"/>
          <w:szCs w:val="22"/>
        </w:rPr>
      </w:pPr>
    </w:p>
    <w:p w14:paraId="70EBF214" w14:textId="77777777" w:rsidR="00B8248C" w:rsidRPr="0019790A" w:rsidRDefault="00B8248C" w:rsidP="0019790A">
      <w:pPr>
        <w:jc w:val="center"/>
        <w:rPr>
          <w:rFonts w:cs="Arial"/>
          <w:b/>
          <w:color w:val="000000"/>
          <w:szCs w:val="22"/>
        </w:rPr>
      </w:pPr>
      <w:r w:rsidRPr="0019790A">
        <w:rPr>
          <w:rFonts w:cs="Arial"/>
          <w:b/>
          <w:color w:val="000000"/>
          <w:szCs w:val="22"/>
        </w:rPr>
        <w:t xml:space="preserve">Форма технічного завдання на проєкт місцевого розвитку </w:t>
      </w:r>
    </w:p>
    <w:p w14:paraId="26B2DD55" w14:textId="77777777" w:rsidR="00B8248C" w:rsidRPr="0019790A" w:rsidRDefault="00B8248C" w:rsidP="0019790A">
      <w:pPr>
        <w:jc w:val="center"/>
        <w:rPr>
          <w:rFonts w:cs="Arial"/>
          <w:b/>
          <w:color w:val="000000"/>
          <w:szCs w:val="22"/>
        </w:rPr>
      </w:pPr>
      <w:r w:rsidRPr="0019790A">
        <w:rPr>
          <w:rFonts w:cs="Arial"/>
          <w:b/>
          <w:color w:val="000000"/>
          <w:szCs w:val="22"/>
        </w:rPr>
        <w:t>до Плану заходів з реалізації Стратегії</w:t>
      </w:r>
    </w:p>
    <w:p w14:paraId="36E1C74B" w14:textId="77777777" w:rsidR="00B8248C" w:rsidRPr="0019790A" w:rsidRDefault="00B8248C"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27"/>
        <w:gridCol w:w="27"/>
        <w:gridCol w:w="1275"/>
        <w:gridCol w:w="1418"/>
        <w:gridCol w:w="22"/>
        <w:gridCol w:w="1254"/>
        <w:gridCol w:w="48"/>
        <w:gridCol w:w="1523"/>
      </w:tblGrid>
      <w:tr w:rsidR="00B8248C" w:rsidRPr="0019790A" w14:paraId="30D83818" w14:textId="77777777" w:rsidTr="00B8248C">
        <w:trPr>
          <w:jc w:val="right"/>
        </w:trPr>
        <w:tc>
          <w:tcPr>
            <w:tcW w:w="3425" w:type="dxa"/>
            <w:vAlign w:val="center"/>
          </w:tcPr>
          <w:p w14:paraId="0EA751AE" w14:textId="77777777" w:rsidR="00B8248C" w:rsidRPr="0019790A" w:rsidRDefault="00B8248C" w:rsidP="0019790A">
            <w:pPr>
              <w:rPr>
                <w:rFonts w:cs="Arial"/>
                <w:b/>
                <w:bCs/>
                <w:color w:val="000000"/>
                <w:szCs w:val="22"/>
              </w:rPr>
            </w:pPr>
            <w:r w:rsidRPr="0019790A">
              <w:rPr>
                <w:rFonts w:cs="Arial"/>
                <w:b/>
                <w:bCs/>
                <w:color w:val="000000"/>
                <w:szCs w:val="22"/>
              </w:rPr>
              <w:t>Назва проєкту:</w:t>
            </w:r>
          </w:p>
        </w:tc>
        <w:tc>
          <w:tcPr>
            <w:tcW w:w="6794" w:type="dxa"/>
            <w:gridSpan w:val="8"/>
          </w:tcPr>
          <w:p w14:paraId="43F533FD" w14:textId="77777777" w:rsidR="00B8248C" w:rsidRPr="0019790A" w:rsidRDefault="00B8248C" w:rsidP="00574F77">
            <w:pPr>
              <w:jc w:val="both"/>
              <w:rPr>
                <w:rFonts w:cs="Arial"/>
                <w:b/>
                <w:szCs w:val="22"/>
                <w:lang w:eastAsia="it-IT"/>
              </w:rPr>
            </w:pPr>
            <w:r w:rsidRPr="0019790A">
              <w:rPr>
                <w:rFonts w:cs="Arial"/>
                <w:b/>
                <w:szCs w:val="22"/>
                <w:lang w:eastAsia="it-IT"/>
              </w:rPr>
              <w:t>«Культура без обмежень: створення безбар’єрного простору у закладах культури Жмеринської громади»</w:t>
            </w:r>
          </w:p>
        </w:tc>
      </w:tr>
      <w:tr w:rsidR="00B8248C" w:rsidRPr="0019790A" w14:paraId="4C8B1A91" w14:textId="77777777" w:rsidTr="00574F77">
        <w:trPr>
          <w:jc w:val="right"/>
        </w:trPr>
        <w:tc>
          <w:tcPr>
            <w:tcW w:w="3425" w:type="dxa"/>
          </w:tcPr>
          <w:p w14:paraId="71ECB99F" w14:textId="77777777" w:rsidR="00B8248C" w:rsidRPr="0019790A" w:rsidRDefault="00B8248C"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2199FEDA" w14:textId="77777777" w:rsidR="00B8248C" w:rsidRPr="0019790A" w:rsidRDefault="00B8248C"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8"/>
            <w:vAlign w:val="center"/>
          </w:tcPr>
          <w:p w14:paraId="2BD2AEDD" w14:textId="77777777" w:rsidR="00B8248C" w:rsidRPr="00574F77" w:rsidRDefault="00B8248C" w:rsidP="00574F77">
            <w:pPr>
              <w:rPr>
                <w:rFonts w:cs="Arial"/>
                <w:szCs w:val="22"/>
                <w:lang w:eastAsia="it-IT"/>
              </w:rPr>
            </w:pPr>
            <w:r w:rsidRPr="00574F77">
              <w:rPr>
                <w:rFonts w:cs="Arial"/>
                <w:szCs w:val="22"/>
                <w:lang w:eastAsia="it-IT"/>
              </w:rPr>
              <w:t>Управління культури і туризму Жмеринської міської ради</w:t>
            </w:r>
          </w:p>
        </w:tc>
      </w:tr>
      <w:tr w:rsidR="00B8248C" w:rsidRPr="0019790A" w14:paraId="38805D4E" w14:textId="77777777" w:rsidTr="00574F77">
        <w:trPr>
          <w:jc w:val="right"/>
        </w:trPr>
        <w:tc>
          <w:tcPr>
            <w:tcW w:w="3425" w:type="dxa"/>
          </w:tcPr>
          <w:p w14:paraId="0F87150E" w14:textId="77777777" w:rsidR="00B8248C" w:rsidRPr="0019790A" w:rsidRDefault="00B8248C" w:rsidP="0019790A">
            <w:pPr>
              <w:rPr>
                <w:rFonts w:cs="Arial"/>
                <w:b/>
                <w:bCs/>
                <w:szCs w:val="22"/>
              </w:rPr>
            </w:pPr>
            <w:r w:rsidRPr="0019790A">
              <w:rPr>
                <w:rFonts w:cs="Arial"/>
                <w:szCs w:val="22"/>
                <w:lang w:eastAsia="it-IT"/>
              </w:rPr>
              <w:t>Прізвище Ім’я По-батькові:</w:t>
            </w:r>
          </w:p>
        </w:tc>
        <w:tc>
          <w:tcPr>
            <w:tcW w:w="6794" w:type="dxa"/>
            <w:gridSpan w:val="8"/>
            <w:vAlign w:val="center"/>
          </w:tcPr>
          <w:p w14:paraId="4C3F6E89" w14:textId="77777777" w:rsidR="00B8248C" w:rsidRPr="00574F77" w:rsidRDefault="00B8248C" w:rsidP="00574F77">
            <w:pPr>
              <w:rPr>
                <w:rFonts w:cs="Arial"/>
                <w:szCs w:val="22"/>
                <w:lang w:eastAsia="it-IT"/>
              </w:rPr>
            </w:pPr>
            <w:r w:rsidRPr="00574F77">
              <w:rPr>
                <w:rFonts w:cs="Arial"/>
                <w:szCs w:val="22"/>
                <w:lang w:eastAsia="it-IT"/>
              </w:rPr>
              <w:t>Дудік Володимир Валентинович</w:t>
            </w:r>
          </w:p>
        </w:tc>
      </w:tr>
      <w:tr w:rsidR="00B8248C" w:rsidRPr="0019790A" w14:paraId="355CA10F" w14:textId="77777777" w:rsidTr="00574F77">
        <w:trPr>
          <w:jc w:val="right"/>
        </w:trPr>
        <w:tc>
          <w:tcPr>
            <w:tcW w:w="3425" w:type="dxa"/>
          </w:tcPr>
          <w:p w14:paraId="2F884384" w14:textId="77777777" w:rsidR="00B8248C" w:rsidRPr="0019790A" w:rsidRDefault="00B8248C" w:rsidP="0019790A">
            <w:pPr>
              <w:rPr>
                <w:rFonts w:cs="Arial"/>
                <w:b/>
                <w:bCs/>
                <w:szCs w:val="22"/>
              </w:rPr>
            </w:pPr>
            <w:r w:rsidRPr="0019790A">
              <w:rPr>
                <w:rFonts w:cs="Arial"/>
                <w:szCs w:val="22"/>
                <w:lang w:eastAsia="it-IT"/>
              </w:rPr>
              <w:t>Телефон (мобільний):</w:t>
            </w:r>
          </w:p>
        </w:tc>
        <w:tc>
          <w:tcPr>
            <w:tcW w:w="6794" w:type="dxa"/>
            <w:gridSpan w:val="8"/>
            <w:vAlign w:val="center"/>
          </w:tcPr>
          <w:p w14:paraId="1992F20D" w14:textId="77777777" w:rsidR="00B8248C" w:rsidRPr="00574F77" w:rsidRDefault="00B8248C" w:rsidP="00574F77">
            <w:pPr>
              <w:rPr>
                <w:rFonts w:cs="Arial"/>
                <w:szCs w:val="22"/>
                <w:lang w:eastAsia="it-IT"/>
              </w:rPr>
            </w:pPr>
            <w:r w:rsidRPr="00574F77">
              <w:rPr>
                <w:rFonts w:cs="Arial"/>
                <w:szCs w:val="22"/>
                <w:lang w:eastAsia="it-IT"/>
              </w:rPr>
              <w:t>0674303746</w:t>
            </w:r>
          </w:p>
        </w:tc>
      </w:tr>
      <w:tr w:rsidR="00B8248C" w:rsidRPr="0019790A" w14:paraId="55BF6238" w14:textId="77777777" w:rsidTr="00574F77">
        <w:trPr>
          <w:jc w:val="right"/>
        </w:trPr>
        <w:tc>
          <w:tcPr>
            <w:tcW w:w="3425" w:type="dxa"/>
          </w:tcPr>
          <w:p w14:paraId="3D9B891A" w14:textId="77777777" w:rsidR="00B8248C" w:rsidRPr="0019790A" w:rsidRDefault="00B8248C" w:rsidP="0019790A">
            <w:pPr>
              <w:rPr>
                <w:rFonts w:cs="Arial"/>
                <w:b/>
                <w:bCs/>
                <w:szCs w:val="22"/>
              </w:rPr>
            </w:pPr>
            <w:r w:rsidRPr="0019790A">
              <w:rPr>
                <w:rFonts w:cs="Arial"/>
                <w:szCs w:val="22"/>
                <w:lang w:eastAsia="it-IT"/>
              </w:rPr>
              <w:t>Електронна адреса:</w:t>
            </w:r>
          </w:p>
        </w:tc>
        <w:tc>
          <w:tcPr>
            <w:tcW w:w="6794" w:type="dxa"/>
            <w:gridSpan w:val="8"/>
            <w:vAlign w:val="center"/>
          </w:tcPr>
          <w:p w14:paraId="12E77D52" w14:textId="3FCCE525" w:rsidR="00B8248C" w:rsidRPr="00574F77" w:rsidRDefault="00D85FFD" w:rsidP="00574F77">
            <w:pPr>
              <w:rPr>
                <w:rFonts w:cs="Arial"/>
                <w:szCs w:val="22"/>
                <w:lang w:eastAsia="it-IT"/>
              </w:rPr>
            </w:pPr>
            <w:hyperlink r:id="rId137" w:history="1">
              <w:r w:rsidR="00574F77" w:rsidRPr="00BF0394">
                <w:rPr>
                  <w:rStyle w:val="af0"/>
                  <w:rFonts w:cs="Arial"/>
                  <w:noProof w:val="0"/>
                  <w:sz w:val="22"/>
                  <w:szCs w:val="22"/>
                  <w:lang w:eastAsia="it-IT"/>
                </w:rPr>
                <w:t>kult@zhmr.gov.ua</w:t>
              </w:r>
            </w:hyperlink>
            <w:r w:rsidR="00574F77">
              <w:rPr>
                <w:rFonts w:cs="Arial"/>
                <w:szCs w:val="22"/>
                <w:lang w:eastAsia="it-IT"/>
              </w:rPr>
              <w:t xml:space="preserve"> </w:t>
            </w:r>
          </w:p>
        </w:tc>
      </w:tr>
      <w:tr w:rsidR="00B8248C" w:rsidRPr="0019790A" w14:paraId="52C26FFA" w14:textId="77777777" w:rsidTr="00574F77">
        <w:trPr>
          <w:jc w:val="right"/>
        </w:trPr>
        <w:tc>
          <w:tcPr>
            <w:tcW w:w="3425" w:type="dxa"/>
            <w:vAlign w:val="center"/>
          </w:tcPr>
          <w:p w14:paraId="2A27D75C" w14:textId="77777777" w:rsidR="00B8248C" w:rsidRPr="0019790A" w:rsidRDefault="00B8248C" w:rsidP="0019790A">
            <w:pPr>
              <w:outlineLvl w:val="5"/>
              <w:rPr>
                <w:rFonts w:cs="Arial"/>
                <w:b/>
                <w:bCs/>
                <w:color w:val="000000"/>
                <w:szCs w:val="22"/>
              </w:rPr>
            </w:pPr>
            <w:r w:rsidRPr="0019790A">
              <w:rPr>
                <w:rFonts w:cs="Arial"/>
                <w:b/>
                <w:bCs/>
                <w:color w:val="000000"/>
                <w:szCs w:val="22"/>
              </w:rPr>
              <w:t>Номер і назва завдання з Стратегії</w:t>
            </w:r>
            <w:r w:rsidRPr="0019790A">
              <w:rPr>
                <w:rFonts w:cs="Arial"/>
                <w:b/>
                <w:bCs/>
                <w:szCs w:val="22"/>
                <w:lang w:eastAsia="it-IT"/>
              </w:rPr>
              <w:t xml:space="preserve"> </w:t>
            </w:r>
            <w:r w:rsidRPr="0019790A">
              <w:rPr>
                <w:rFonts w:cs="Arial"/>
                <w:b/>
                <w:bCs/>
                <w:color w:val="000000"/>
                <w:szCs w:val="22"/>
              </w:rPr>
              <w:t>розвитку Жмеринської міської територіальної громади,  якому відповідає проєкт:</w:t>
            </w:r>
          </w:p>
        </w:tc>
        <w:tc>
          <w:tcPr>
            <w:tcW w:w="6794" w:type="dxa"/>
            <w:gridSpan w:val="8"/>
            <w:vAlign w:val="center"/>
          </w:tcPr>
          <w:p w14:paraId="557DB62B" w14:textId="77777777" w:rsidR="00B8248C" w:rsidRPr="00574F77" w:rsidRDefault="00B8248C" w:rsidP="00574F77">
            <w:pPr>
              <w:pBdr>
                <w:left w:val="single" w:sz="18" w:space="4" w:color="auto"/>
              </w:pBdr>
              <w:rPr>
                <w:rFonts w:cs="Arial"/>
                <w:szCs w:val="22"/>
                <w:lang w:eastAsia="it-IT"/>
              </w:rPr>
            </w:pPr>
            <w:r w:rsidRPr="00574F77">
              <w:rPr>
                <w:rFonts w:cs="Arial"/>
                <w:szCs w:val="22"/>
                <w:lang w:eastAsia="it-IT"/>
              </w:rPr>
              <w:t xml:space="preserve">С 4.3. Формування території громади, сприятливої для мало мобільних груп населення. </w:t>
            </w:r>
          </w:p>
        </w:tc>
      </w:tr>
      <w:tr w:rsidR="00B8248C" w:rsidRPr="0019790A" w14:paraId="698EBC8B" w14:textId="77777777" w:rsidTr="00574F77">
        <w:trPr>
          <w:jc w:val="right"/>
        </w:trPr>
        <w:tc>
          <w:tcPr>
            <w:tcW w:w="3425" w:type="dxa"/>
            <w:vAlign w:val="center"/>
          </w:tcPr>
          <w:p w14:paraId="084EBA4B" w14:textId="77777777" w:rsidR="00B8248C" w:rsidRPr="0019790A" w:rsidRDefault="00B8248C" w:rsidP="0019790A">
            <w:pPr>
              <w:rPr>
                <w:rFonts w:cs="Arial"/>
                <w:b/>
                <w:bCs/>
                <w:color w:val="000000"/>
                <w:szCs w:val="22"/>
              </w:rPr>
            </w:pPr>
            <w:r w:rsidRPr="0019790A">
              <w:rPr>
                <w:rFonts w:cs="Arial"/>
                <w:b/>
                <w:bCs/>
                <w:color w:val="000000"/>
                <w:szCs w:val="22"/>
              </w:rPr>
              <w:t>Мета проєкту:</w:t>
            </w:r>
          </w:p>
        </w:tc>
        <w:tc>
          <w:tcPr>
            <w:tcW w:w="6794" w:type="dxa"/>
            <w:gridSpan w:val="8"/>
            <w:vAlign w:val="center"/>
          </w:tcPr>
          <w:p w14:paraId="4F4D7502" w14:textId="77777777" w:rsidR="00B8248C" w:rsidRPr="0019790A" w:rsidRDefault="00B8248C" w:rsidP="00574F77">
            <w:pPr>
              <w:jc w:val="both"/>
              <w:rPr>
                <w:rFonts w:cs="Arial"/>
                <w:szCs w:val="22"/>
                <w:lang w:eastAsia="it-IT"/>
              </w:rPr>
            </w:pPr>
            <w:r w:rsidRPr="0019790A">
              <w:rPr>
                <w:rFonts w:cs="Arial"/>
                <w:szCs w:val="22"/>
                <w:lang w:eastAsia="it-IT"/>
              </w:rPr>
              <w:t>Створення фізично доступного, безпечного та інклюзивного середовища у будівлях закладів культури громади для людей з інвалідністю, осіб старшого віку, батьків із дітьми та інших маломобільних груп.</w:t>
            </w:r>
          </w:p>
        </w:tc>
      </w:tr>
      <w:tr w:rsidR="00B8248C" w:rsidRPr="0019790A" w14:paraId="1BEE60A8" w14:textId="77777777" w:rsidTr="00574F77">
        <w:trPr>
          <w:jc w:val="right"/>
        </w:trPr>
        <w:tc>
          <w:tcPr>
            <w:tcW w:w="3425" w:type="dxa"/>
            <w:vAlign w:val="center"/>
          </w:tcPr>
          <w:p w14:paraId="23E41323" w14:textId="77777777" w:rsidR="00B8248C" w:rsidRPr="0019790A" w:rsidRDefault="00B8248C" w:rsidP="0019790A">
            <w:pPr>
              <w:rPr>
                <w:rFonts w:cs="Arial"/>
                <w:b/>
                <w:bCs/>
                <w:color w:val="000000"/>
                <w:szCs w:val="22"/>
              </w:rPr>
            </w:pPr>
            <w:r w:rsidRPr="0019790A">
              <w:rPr>
                <w:rFonts w:cs="Arial"/>
                <w:b/>
                <w:bCs/>
                <w:color w:val="000000"/>
                <w:szCs w:val="22"/>
              </w:rPr>
              <w:t>Цілі проєкту:</w:t>
            </w:r>
          </w:p>
        </w:tc>
        <w:tc>
          <w:tcPr>
            <w:tcW w:w="6794" w:type="dxa"/>
            <w:gridSpan w:val="8"/>
            <w:vAlign w:val="center"/>
          </w:tcPr>
          <w:p w14:paraId="7FBEFC1B" w14:textId="77777777" w:rsidR="00B8248C" w:rsidRPr="0019790A" w:rsidRDefault="00B8248C" w:rsidP="00574F77">
            <w:pPr>
              <w:jc w:val="both"/>
              <w:rPr>
                <w:rFonts w:cs="Arial"/>
                <w:szCs w:val="22"/>
                <w:lang w:eastAsia="it-IT"/>
              </w:rPr>
            </w:pPr>
            <w:r w:rsidRPr="0019790A">
              <w:rPr>
                <w:rFonts w:cs="Arial"/>
                <w:szCs w:val="22"/>
                <w:lang w:eastAsia="it-IT"/>
              </w:rPr>
              <w:t>  Усунути архітектурні бар’єри у закладах культури</w:t>
            </w:r>
          </w:p>
          <w:p w14:paraId="5CDA8235" w14:textId="77777777" w:rsidR="00B8248C" w:rsidRPr="0019790A" w:rsidRDefault="00B8248C" w:rsidP="00574F77">
            <w:pPr>
              <w:jc w:val="both"/>
              <w:rPr>
                <w:rFonts w:cs="Arial"/>
                <w:szCs w:val="22"/>
                <w:lang w:eastAsia="it-IT"/>
              </w:rPr>
            </w:pPr>
            <w:r w:rsidRPr="0019790A">
              <w:rPr>
                <w:rFonts w:cs="Arial"/>
                <w:szCs w:val="22"/>
                <w:lang w:eastAsia="it-IT"/>
              </w:rPr>
              <w:t>  Забезпечити відповідність будівель культурної сфери ДБН В.2.2-40:2018</w:t>
            </w:r>
          </w:p>
          <w:p w14:paraId="45C20265" w14:textId="77777777" w:rsidR="00B8248C" w:rsidRPr="0019790A" w:rsidRDefault="00B8248C" w:rsidP="00574F77">
            <w:pPr>
              <w:jc w:val="both"/>
              <w:rPr>
                <w:rFonts w:cs="Arial"/>
                <w:szCs w:val="22"/>
                <w:lang w:eastAsia="it-IT"/>
              </w:rPr>
            </w:pPr>
            <w:r w:rsidRPr="0019790A">
              <w:rPr>
                <w:rFonts w:cs="Arial"/>
                <w:szCs w:val="22"/>
                <w:lang w:eastAsia="it-IT"/>
              </w:rPr>
              <w:t>  Сприяти інклюзивності культурного простору</w:t>
            </w:r>
          </w:p>
          <w:p w14:paraId="3EE2C00C" w14:textId="77777777" w:rsidR="00B8248C" w:rsidRPr="0019790A" w:rsidRDefault="00B8248C" w:rsidP="00574F77">
            <w:pPr>
              <w:jc w:val="both"/>
              <w:rPr>
                <w:rFonts w:cs="Arial"/>
                <w:szCs w:val="22"/>
                <w:lang w:eastAsia="it-IT"/>
              </w:rPr>
            </w:pPr>
            <w:r w:rsidRPr="0019790A">
              <w:rPr>
                <w:rFonts w:cs="Arial"/>
                <w:szCs w:val="22"/>
                <w:lang w:eastAsia="it-IT"/>
              </w:rPr>
              <w:t>  Підвищити рівень комфортності для всіх відвідувачів</w:t>
            </w:r>
          </w:p>
        </w:tc>
      </w:tr>
      <w:tr w:rsidR="00B8248C" w:rsidRPr="0019790A" w14:paraId="4DA6E397" w14:textId="77777777" w:rsidTr="00574F77">
        <w:trPr>
          <w:jc w:val="right"/>
        </w:trPr>
        <w:tc>
          <w:tcPr>
            <w:tcW w:w="3425" w:type="dxa"/>
            <w:vAlign w:val="center"/>
          </w:tcPr>
          <w:p w14:paraId="22FECDC5" w14:textId="77777777" w:rsidR="00B8248C" w:rsidRPr="0019790A" w:rsidRDefault="00B8248C" w:rsidP="0019790A">
            <w:pPr>
              <w:autoSpaceDE w:val="0"/>
              <w:autoSpaceDN w:val="0"/>
              <w:adjustRightInd w:val="0"/>
              <w:rPr>
                <w:rFonts w:cs="Arial"/>
                <w:b/>
                <w:color w:val="000000"/>
                <w:szCs w:val="22"/>
              </w:rPr>
            </w:pPr>
            <w:r w:rsidRPr="0019790A">
              <w:rPr>
                <w:rFonts w:cs="Arial"/>
                <w:b/>
                <w:color w:val="000000"/>
                <w:szCs w:val="22"/>
              </w:rPr>
              <w:t>Територія на яку проєкт матиме вплив:</w:t>
            </w:r>
          </w:p>
        </w:tc>
        <w:tc>
          <w:tcPr>
            <w:tcW w:w="6794" w:type="dxa"/>
            <w:gridSpan w:val="8"/>
            <w:vAlign w:val="center"/>
          </w:tcPr>
          <w:p w14:paraId="2428D602" w14:textId="77777777" w:rsidR="00B8248C" w:rsidRPr="0019790A" w:rsidRDefault="00B8248C" w:rsidP="00574F77">
            <w:pPr>
              <w:jc w:val="both"/>
              <w:rPr>
                <w:rFonts w:cs="Arial"/>
                <w:szCs w:val="22"/>
                <w:lang w:eastAsia="it-IT"/>
              </w:rPr>
            </w:pPr>
            <w:r w:rsidRPr="0019790A">
              <w:rPr>
                <w:rFonts w:cs="Arial"/>
                <w:szCs w:val="22"/>
                <w:lang w:eastAsia="it-IT"/>
              </w:rPr>
              <w:t>Жмеринська міська територіальна громада</w:t>
            </w:r>
          </w:p>
        </w:tc>
      </w:tr>
      <w:tr w:rsidR="00B8248C" w:rsidRPr="0019790A" w14:paraId="661C6865" w14:textId="77777777" w:rsidTr="00574F77">
        <w:trPr>
          <w:jc w:val="right"/>
        </w:trPr>
        <w:tc>
          <w:tcPr>
            <w:tcW w:w="3425" w:type="dxa"/>
            <w:vAlign w:val="center"/>
          </w:tcPr>
          <w:p w14:paraId="16760208" w14:textId="77777777" w:rsidR="00B8248C" w:rsidRPr="0019790A" w:rsidRDefault="00B8248C" w:rsidP="0019790A">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4" w:type="dxa"/>
            <w:gridSpan w:val="8"/>
            <w:vAlign w:val="center"/>
          </w:tcPr>
          <w:p w14:paraId="4838AF25" w14:textId="77777777" w:rsidR="00B8248C" w:rsidRPr="0019790A" w:rsidRDefault="00B8248C" w:rsidP="00574F77">
            <w:pPr>
              <w:jc w:val="both"/>
              <w:rPr>
                <w:rFonts w:cs="Arial"/>
                <w:szCs w:val="22"/>
                <w:lang w:eastAsia="it-IT"/>
              </w:rPr>
            </w:pPr>
            <w:r w:rsidRPr="0019790A">
              <w:rPr>
                <w:rFonts w:cs="Arial"/>
                <w:szCs w:val="22"/>
                <w:lang w:eastAsia="it-IT"/>
              </w:rPr>
              <w:t>  Особи з інвалідністю – понад 100 осіб громади</w:t>
            </w:r>
          </w:p>
          <w:p w14:paraId="41A3E7CC" w14:textId="77777777" w:rsidR="00B8248C" w:rsidRPr="0019790A" w:rsidRDefault="00B8248C" w:rsidP="00574F77">
            <w:pPr>
              <w:jc w:val="both"/>
              <w:rPr>
                <w:rFonts w:cs="Arial"/>
                <w:szCs w:val="22"/>
                <w:lang w:eastAsia="it-IT"/>
              </w:rPr>
            </w:pPr>
            <w:r w:rsidRPr="0019790A">
              <w:rPr>
                <w:rFonts w:cs="Arial"/>
                <w:szCs w:val="22"/>
                <w:lang w:eastAsia="it-IT"/>
              </w:rPr>
              <w:t>  Особи похилого віку – близько 2000 осіб</w:t>
            </w:r>
          </w:p>
          <w:p w14:paraId="48005048" w14:textId="77777777" w:rsidR="00B8248C" w:rsidRPr="0019790A" w:rsidRDefault="00B8248C" w:rsidP="00574F77">
            <w:pPr>
              <w:jc w:val="both"/>
              <w:rPr>
                <w:rFonts w:cs="Arial"/>
                <w:szCs w:val="22"/>
                <w:lang w:eastAsia="it-IT"/>
              </w:rPr>
            </w:pPr>
            <w:r w:rsidRPr="0019790A">
              <w:rPr>
                <w:rFonts w:cs="Arial"/>
                <w:szCs w:val="22"/>
                <w:lang w:eastAsia="it-IT"/>
              </w:rPr>
              <w:t>  Батьки з дітьми – понад 2500 осіб</w:t>
            </w:r>
          </w:p>
          <w:p w14:paraId="4F14A575" w14:textId="77777777" w:rsidR="00B8248C" w:rsidRPr="0019790A" w:rsidRDefault="00B8248C" w:rsidP="00574F77">
            <w:pPr>
              <w:jc w:val="both"/>
              <w:rPr>
                <w:rFonts w:cs="Arial"/>
                <w:szCs w:val="22"/>
                <w:lang w:eastAsia="it-IT"/>
              </w:rPr>
            </w:pPr>
            <w:r w:rsidRPr="0019790A">
              <w:rPr>
                <w:rFonts w:cs="Arial"/>
                <w:szCs w:val="22"/>
                <w:lang w:eastAsia="it-IT"/>
              </w:rPr>
              <w:t>  Широке коло відвідувачів закладів культури – понад 10 000 осіб щороку</w:t>
            </w:r>
          </w:p>
        </w:tc>
      </w:tr>
      <w:tr w:rsidR="00B8248C" w:rsidRPr="0019790A" w14:paraId="6623A572" w14:textId="77777777" w:rsidTr="00574F77">
        <w:trPr>
          <w:jc w:val="right"/>
        </w:trPr>
        <w:tc>
          <w:tcPr>
            <w:tcW w:w="3425" w:type="dxa"/>
            <w:shd w:val="clear" w:color="auto" w:fill="FFFFFF"/>
            <w:vAlign w:val="center"/>
          </w:tcPr>
          <w:p w14:paraId="6ADDE44C" w14:textId="77777777" w:rsidR="00B8248C" w:rsidRPr="0019790A" w:rsidRDefault="00B8248C" w:rsidP="0019790A">
            <w:pPr>
              <w:rPr>
                <w:rFonts w:cs="Arial"/>
                <w:b/>
                <w:bCs/>
                <w:color w:val="000000"/>
                <w:szCs w:val="22"/>
              </w:rPr>
            </w:pPr>
            <w:r w:rsidRPr="0019790A">
              <w:rPr>
                <w:rFonts w:cs="Arial"/>
                <w:b/>
                <w:bCs/>
                <w:color w:val="000000"/>
                <w:szCs w:val="22"/>
              </w:rPr>
              <w:t>Стислий опис проєкту:</w:t>
            </w:r>
          </w:p>
        </w:tc>
        <w:tc>
          <w:tcPr>
            <w:tcW w:w="6794" w:type="dxa"/>
            <w:gridSpan w:val="8"/>
            <w:vAlign w:val="center"/>
          </w:tcPr>
          <w:p w14:paraId="5D8C303E" w14:textId="77777777" w:rsidR="00B8248C" w:rsidRPr="0019790A" w:rsidRDefault="00B8248C" w:rsidP="00574F77">
            <w:pPr>
              <w:jc w:val="both"/>
              <w:rPr>
                <w:rFonts w:cs="Arial"/>
                <w:szCs w:val="22"/>
                <w:lang w:eastAsia="it-IT"/>
              </w:rPr>
            </w:pPr>
            <w:r w:rsidRPr="0019790A">
              <w:rPr>
                <w:rFonts w:cs="Arial"/>
                <w:szCs w:val="22"/>
                <w:lang w:eastAsia="it-IT"/>
              </w:rPr>
              <w:t>Більшість закладів культури громади були збудовані без урахування потреб людей з інвалідністю. Проєкт передбачає поетапне усунення архітектурних бар’єрів у культурних установах, зокрема встановлення пандусів, понижених порогів, тактильних смуг, поручнів, інформаційних табличок шрифтом Брайля, кнопок виклику, а також пристосування санвузлів до стандартів безбар’єрності.</w:t>
            </w:r>
          </w:p>
        </w:tc>
      </w:tr>
      <w:tr w:rsidR="00B8248C" w:rsidRPr="0019790A" w14:paraId="6D3C6180" w14:textId="77777777" w:rsidTr="00574F77">
        <w:trPr>
          <w:jc w:val="right"/>
        </w:trPr>
        <w:tc>
          <w:tcPr>
            <w:tcW w:w="3425" w:type="dxa"/>
            <w:shd w:val="clear" w:color="auto" w:fill="FFFFFF"/>
            <w:vAlign w:val="center"/>
          </w:tcPr>
          <w:p w14:paraId="008EE7FA" w14:textId="77777777" w:rsidR="00B8248C" w:rsidRPr="0019790A" w:rsidRDefault="00B8248C" w:rsidP="0019790A">
            <w:pPr>
              <w:rPr>
                <w:rFonts w:cs="Arial"/>
                <w:b/>
                <w:bCs/>
                <w:color w:val="000000"/>
                <w:szCs w:val="22"/>
              </w:rPr>
            </w:pPr>
            <w:r w:rsidRPr="0019790A">
              <w:rPr>
                <w:rFonts w:cs="Arial"/>
                <w:b/>
                <w:bCs/>
                <w:color w:val="000000"/>
                <w:szCs w:val="22"/>
              </w:rPr>
              <w:t>Основні заходи проєкту:</w:t>
            </w:r>
          </w:p>
        </w:tc>
        <w:tc>
          <w:tcPr>
            <w:tcW w:w="6794" w:type="dxa"/>
            <w:gridSpan w:val="8"/>
            <w:vAlign w:val="center"/>
          </w:tcPr>
          <w:p w14:paraId="056601F8" w14:textId="77777777" w:rsidR="00B8248C" w:rsidRPr="0019790A" w:rsidRDefault="00B8248C" w:rsidP="00574F77">
            <w:pPr>
              <w:jc w:val="both"/>
              <w:rPr>
                <w:rFonts w:cs="Arial"/>
                <w:szCs w:val="22"/>
                <w:lang w:eastAsia="it-IT"/>
              </w:rPr>
            </w:pPr>
            <w:r w:rsidRPr="0019790A">
              <w:rPr>
                <w:rFonts w:cs="Arial"/>
                <w:szCs w:val="22"/>
                <w:lang w:eastAsia="it-IT"/>
              </w:rPr>
              <w:t>  Обстеження технічного стану будівель та розробка дизайн-рішень</w:t>
            </w:r>
          </w:p>
          <w:p w14:paraId="356637A6" w14:textId="77777777" w:rsidR="00B8248C" w:rsidRPr="0019790A" w:rsidRDefault="00B8248C" w:rsidP="00574F77">
            <w:pPr>
              <w:jc w:val="both"/>
              <w:rPr>
                <w:rFonts w:cs="Arial"/>
                <w:szCs w:val="22"/>
                <w:lang w:eastAsia="it-IT"/>
              </w:rPr>
            </w:pPr>
            <w:r w:rsidRPr="0019790A">
              <w:rPr>
                <w:rFonts w:cs="Arial"/>
                <w:szCs w:val="22"/>
                <w:lang w:eastAsia="it-IT"/>
              </w:rPr>
              <w:t>  Встановлення пандусів з дотриманням стандартів (кут нахилу до 8%)</w:t>
            </w:r>
          </w:p>
          <w:p w14:paraId="2D71B541" w14:textId="77777777" w:rsidR="00B8248C" w:rsidRPr="0019790A" w:rsidRDefault="00B8248C" w:rsidP="00574F77">
            <w:pPr>
              <w:jc w:val="both"/>
              <w:rPr>
                <w:rFonts w:cs="Arial"/>
                <w:szCs w:val="22"/>
                <w:lang w:eastAsia="it-IT"/>
              </w:rPr>
            </w:pPr>
            <w:r w:rsidRPr="0019790A">
              <w:rPr>
                <w:rFonts w:cs="Arial"/>
                <w:szCs w:val="22"/>
                <w:lang w:eastAsia="it-IT"/>
              </w:rPr>
              <w:t>  Монтаж перил, облаштування пологих входів, розширення дверних прорізів</w:t>
            </w:r>
          </w:p>
          <w:p w14:paraId="7E433FF3" w14:textId="77777777" w:rsidR="00B8248C" w:rsidRPr="0019790A" w:rsidRDefault="00B8248C" w:rsidP="00574F77">
            <w:pPr>
              <w:jc w:val="both"/>
              <w:rPr>
                <w:rFonts w:cs="Arial"/>
                <w:szCs w:val="22"/>
                <w:lang w:eastAsia="it-IT"/>
              </w:rPr>
            </w:pPr>
            <w:r w:rsidRPr="0019790A">
              <w:rPr>
                <w:rFonts w:cs="Arial"/>
                <w:szCs w:val="22"/>
                <w:lang w:eastAsia="it-IT"/>
              </w:rPr>
              <w:t>  Улаштування кнопок виклику, тактильних елементів навігації</w:t>
            </w:r>
          </w:p>
          <w:p w14:paraId="74F93619" w14:textId="77777777" w:rsidR="00B8248C" w:rsidRPr="0019790A" w:rsidRDefault="00B8248C" w:rsidP="00574F77">
            <w:pPr>
              <w:jc w:val="both"/>
              <w:rPr>
                <w:rFonts w:cs="Arial"/>
                <w:szCs w:val="22"/>
                <w:lang w:eastAsia="it-IT"/>
              </w:rPr>
            </w:pPr>
            <w:r w:rsidRPr="0019790A">
              <w:rPr>
                <w:rFonts w:cs="Arial"/>
                <w:szCs w:val="22"/>
                <w:lang w:eastAsia="it-IT"/>
              </w:rPr>
              <w:t>  Облаштування безбар’єрних туалетів у приміщеннях</w:t>
            </w:r>
          </w:p>
          <w:p w14:paraId="179D61C8" w14:textId="77777777" w:rsidR="00B8248C" w:rsidRPr="0019790A" w:rsidRDefault="00B8248C" w:rsidP="00574F77">
            <w:pPr>
              <w:jc w:val="both"/>
              <w:rPr>
                <w:rFonts w:cs="Arial"/>
                <w:szCs w:val="22"/>
                <w:lang w:eastAsia="it-IT"/>
              </w:rPr>
            </w:pPr>
            <w:r w:rsidRPr="0019790A">
              <w:rPr>
                <w:rFonts w:cs="Arial"/>
                <w:szCs w:val="22"/>
                <w:lang w:eastAsia="it-IT"/>
              </w:rPr>
              <w:t>  Встановлення інформаційних табличок зі шрифтом Брайля</w:t>
            </w:r>
          </w:p>
          <w:p w14:paraId="0BBD0383" w14:textId="77777777" w:rsidR="00B8248C" w:rsidRPr="0019790A" w:rsidRDefault="00B8248C" w:rsidP="00574F77">
            <w:pPr>
              <w:jc w:val="both"/>
              <w:rPr>
                <w:rFonts w:cs="Arial"/>
                <w:szCs w:val="22"/>
                <w:lang w:eastAsia="it-IT"/>
              </w:rPr>
            </w:pPr>
            <w:r w:rsidRPr="0019790A">
              <w:rPr>
                <w:rFonts w:cs="Arial"/>
                <w:szCs w:val="22"/>
                <w:lang w:eastAsia="it-IT"/>
              </w:rPr>
              <w:t>  Розміщення інструкцій доступності на сайтах закладів</w:t>
            </w:r>
          </w:p>
        </w:tc>
      </w:tr>
      <w:tr w:rsidR="00B8248C" w:rsidRPr="0019790A" w14:paraId="6A443EDD" w14:textId="77777777" w:rsidTr="00574F77">
        <w:trPr>
          <w:jc w:val="right"/>
        </w:trPr>
        <w:tc>
          <w:tcPr>
            <w:tcW w:w="3425" w:type="dxa"/>
            <w:shd w:val="clear" w:color="auto" w:fill="FFFFFF"/>
            <w:vAlign w:val="center"/>
          </w:tcPr>
          <w:p w14:paraId="40754C15" w14:textId="77777777" w:rsidR="00B8248C" w:rsidRPr="0019790A" w:rsidRDefault="00B8248C"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794" w:type="dxa"/>
            <w:gridSpan w:val="8"/>
            <w:vAlign w:val="center"/>
          </w:tcPr>
          <w:p w14:paraId="6EF4A0B6" w14:textId="77777777" w:rsidR="00B8248C" w:rsidRPr="0019790A" w:rsidRDefault="00B8248C" w:rsidP="00574F77">
            <w:pPr>
              <w:jc w:val="both"/>
              <w:rPr>
                <w:rFonts w:cs="Arial"/>
                <w:szCs w:val="22"/>
                <w:lang w:eastAsia="it-IT"/>
              </w:rPr>
            </w:pPr>
            <w:r w:rsidRPr="0019790A">
              <w:rPr>
                <w:rFonts w:cs="Arial"/>
                <w:szCs w:val="22"/>
                <w:lang w:eastAsia="it-IT"/>
              </w:rPr>
              <w:t xml:space="preserve">  Кількість адаптованих будівель – 10 </w:t>
            </w:r>
          </w:p>
          <w:p w14:paraId="39C65337" w14:textId="77777777" w:rsidR="00B8248C" w:rsidRPr="0019790A" w:rsidRDefault="00B8248C" w:rsidP="00574F77">
            <w:pPr>
              <w:jc w:val="both"/>
              <w:rPr>
                <w:rFonts w:cs="Arial"/>
                <w:szCs w:val="22"/>
                <w:lang w:eastAsia="it-IT"/>
              </w:rPr>
            </w:pPr>
            <w:r w:rsidRPr="0019790A">
              <w:rPr>
                <w:rFonts w:cs="Arial"/>
                <w:szCs w:val="22"/>
                <w:lang w:eastAsia="it-IT"/>
              </w:rPr>
              <w:t>  Встановлено пандусів – 10</w:t>
            </w:r>
          </w:p>
          <w:p w14:paraId="08732A71" w14:textId="77777777" w:rsidR="00B8248C" w:rsidRPr="0019790A" w:rsidRDefault="00B8248C" w:rsidP="00574F77">
            <w:pPr>
              <w:jc w:val="both"/>
              <w:rPr>
                <w:rFonts w:cs="Arial"/>
                <w:szCs w:val="22"/>
                <w:lang w:eastAsia="it-IT"/>
              </w:rPr>
            </w:pPr>
            <w:r w:rsidRPr="0019790A">
              <w:rPr>
                <w:rFonts w:cs="Arial"/>
                <w:szCs w:val="22"/>
                <w:lang w:eastAsia="it-IT"/>
              </w:rPr>
              <w:t>  Облаштовано санітарні приміщення – 2</w:t>
            </w:r>
          </w:p>
          <w:p w14:paraId="452FF323" w14:textId="77777777" w:rsidR="00B8248C" w:rsidRPr="0019790A" w:rsidRDefault="00B8248C" w:rsidP="00574F77">
            <w:pPr>
              <w:jc w:val="both"/>
              <w:rPr>
                <w:rFonts w:cs="Arial"/>
                <w:szCs w:val="22"/>
                <w:lang w:eastAsia="it-IT"/>
              </w:rPr>
            </w:pPr>
            <w:r w:rsidRPr="0019790A">
              <w:rPr>
                <w:rFonts w:cs="Arial"/>
                <w:szCs w:val="22"/>
                <w:lang w:eastAsia="it-IT"/>
              </w:rPr>
              <w:t>  Встановлено 12 інформаційних табличок шрифтом Брайля</w:t>
            </w:r>
          </w:p>
          <w:p w14:paraId="5B8F677F" w14:textId="77777777" w:rsidR="00B8248C" w:rsidRPr="0019790A" w:rsidRDefault="00B8248C" w:rsidP="00574F77">
            <w:pPr>
              <w:jc w:val="both"/>
              <w:rPr>
                <w:rFonts w:cs="Arial"/>
                <w:szCs w:val="22"/>
                <w:lang w:eastAsia="it-IT"/>
              </w:rPr>
            </w:pPr>
            <w:r w:rsidRPr="0019790A">
              <w:rPr>
                <w:rFonts w:cs="Arial"/>
                <w:szCs w:val="22"/>
                <w:lang w:eastAsia="it-IT"/>
              </w:rPr>
              <w:t>  Створено 6 онлайн-паспортів доступності</w:t>
            </w:r>
          </w:p>
          <w:p w14:paraId="27824E8D" w14:textId="77777777" w:rsidR="00B8248C" w:rsidRPr="0019790A" w:rsidRDefault="00B8248C" w:rsidP="00574F77">
            <w:pPr>
              <w:jc w:val="both"/>
              <w:rPr>
                <w:rFonts w:cs="Arial"/>
                <w:szCs w:val="22"/>
                <w:lang w:eastAsia="it-IT"/>
              </w:rPr>
            </w:pPr>
            <w:r w:rsidRPr="0019790A">
              <w:rPr>
                <w:rFonts w:cs="Arial"/>
                <w:szCs w:val="22"/>
                <w:lang w:eastAsia="it-IT"/>
              </w:rPr>
              <w:t>  Підвищено рівень задоволеності умовами доступу – до 50%</w:t>
            </w:r>
          </w:p>
          <w:p w14:paraId="4D0C41C7" w14:textId="77777777" w:rsidR="00B8248C" w:rsidRPr="0019790A" w:rsidRDefault="00B8248C" w:rsidP="00574F77">
            <w:pPr>
              <w:jc w:val="both"/>
              <w:rPr>
                <w:rFonts w:cs="Arial"/>
                <w:szCs w:val="22"/>
                <w:lang w:eastAsia="it-IT"/>
              </w:rPr>
            </w:pPr>
            <w:r w:rsidRPr="0019790A">
              <w:rPr>
                <w:rFonts w:cs="Arial"/>
                <w:szCs w:val="22"/>
                <w:lang w:eastAsia="it-IT"/>
              </w:rPr>
              <w:t>  Проведено щонайменше 3 тренінги для персоналу щодо безбар’єрного спілкування</w:t>
            </w:r>
          </w:p>
        </w:tc>
      </w:tr>
      <w:tr w:rsidR="00B8248C" w:rsidRPr="0019790A" w14:paraId="5DD44D7C" w14:textId="77777777" w:rsidTr="00B8248C">
        <w:trPr>
          <w:jc w:val="right"/>
        </w:trPr>
        <w:tc>
          <w:tcPr>
            <w:tcW w:w="3425" w:type="dxa"/>
            <w:shd w:val="clear" w:color="auto" w:fill="FFFFFF"/>
            <w:vAlign w:val="center"/>
          </w:tcPr>
          <w:p w14:paraId="572CA0BD" w14:textId="77777777" w:rsidR="00B8248C" w:rsidRPr="0019790A" w:rsidRDefault="00B8248C" w:rsidP="0019790A">
            <w:pPr>
              <w:rPr>
                <w:rFonts w:cs="Arial"/>
                <w:b/>
                <w:color w:val="000000"/>
                <w:szCs w:val="22"/>
              </w:rPr>
            </w:pPr>
            <w:r w:rsidRPr="0019790A">
              <w:rPr>
                <w:rFonts w:cs="Arial"/>
                <w:b/>
                <w:color w:val="000000"/>
                <w:szCs w:val="22"/>
              </w:rPr>
              <w:t xml:space="preserve">Період здійснення: </w:t>
            </w:r>
          </w:p>
        </w:tc>
        <w:tc>
          <w:tcPr>
            <w:tcW w:w="6794" w:type="dxa"/>
            <w:gridSpan w:val="8"/>
            <w:vAlign w:val="center"/>
          </w:tcPr>
          <w:p w14:paraId="661F678C" w14:textId="77777777" w:rsidR="00B8248C" w:rsidRPr="0019790A" w:rsidRDefault="00B8248C" w:rsidP="0019790A">
            <w:pPr>
              <w:rPr>
                <w:rFonts w:cs="Arial"/>
                <w:color w:val="000000"/>
                <w:szCs w:val="22"/>
                <w:lang w:eastAsia="it-IT"/>
              </w:rPr>
            </w:pPr>
            <w:r w:rsidRPr="0019790A">
              <w:rPr>
                <w:rFonts w:cs="Arial"/>
                <w:b/>
                <w:color w:val="000000"/>
                <w:szCs w:val="22"/>
              </w:rPr>
              <w:t>2025 – 2028 роки:</w:t>
            </w:r>
          </w:p>
        </w:tc>
      </w:tr>
      <w:tr w:rsidR="00B8248C" w:rsidRPr="0019790A" w14:paraId="03CBADB0" w14:textId="77777777" w:rsidTr="00B8248C">
        <w:trPr>
          <w:jc w:val="right"/>
        </w:trPr>
        <w:tc>
          <w:tcPr>
            <w:tcW w:w="3425" w:type="dxa"/>
            <w:vMerge w:val="restart"/>
            <w:shd w:val="clear" w:color="auto" w:fill="FFFFFF"/>
            <w:vAlign w:val="center"/>
          </w:tcPr>
          <w:p w14:paraId="34AD6FE7" w14:textId="77777777" w:rsidR="00B8248C" w:rsidRPr="0019790A" w:rsidRDefault="00B8248C" w:rsidP="0019790A">
            <w:pPr>
              <w:rPr>
                <w:rFonts w:cs="Arial"/>
                <w:b/>
                <w:bCs/>
                <w:color w:val="000000"/>
                <w:szCs w:val="22"/>
              </w:rPr>
            </w:pPr>
            <w:r w:rsidRPr="0019790A">
              <w:rPr>
                <w:rFonts w:cs="Arial"/>
                <w:b/>
                <w:bCs/>
                <w:color w:val="000000"/>
                <w:szCs w:val="22"/>
              </w:rPr>
              <w:t>Орієнтовна вартість проєкту, тис. грн., в тому числі:</w:t>
            </w:r>
          </w:p>
        </w:tc>
        <w:tc>
          <w:tcPr>
            <w:tcW w:w="1254" w:type="dxa"/>
            <w:gridSpan w:val="2"/>
            <w:shd w:val="clear" w:color="auto" w:fill="E6E6E6"/>
            <w:vAlign w:val="center"/>
          </w:tcPr>
          <w:p w14:paraId="7CAAD34C"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2025</w:t>
            </w:r>
          </w:p>
        </w:tc>
        <w:tc>
          <w:tcPr>
            <w:tcW w:w="1275" w:type="dxa"/>
            <w:shd w:val="clear" w:color="auto" w:fill="E6E6E6"/>
            <w:vAlign w:val="center"/>
          </w:tcPr>
          <w:p w14:paraId="4078F768"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2026</w:t>
            </w:r>
          </w:p>
        </w:tc>
        <w:tc>
          <w:tcPr>
            <w:tcW w:w="1418" w:type="dxa"/>
            <w:tcBorders>
              <w:bottom w:val="single" w:sz="4" w:space="0" w:color="auto"/>
            </w:tcBorders>
            <w:shd w:val="clear" w:color="auto" w:fill="E6E6E6"/>
            <w:vAlign w:val="center"/>
          </w:tcPr>
          <w:p w14:paraId="7BB820BA"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2027</w:t>
            </w:r>
          </w:p>
        </w:tc>
        <w:tc>
          <w:tcPr>
            <w:tcW w:w="1276" w:type="dxa"/>
            <w:gridSpan w:val="2"/>
            <w:shd w:val="clear" w:color="auto" w:fill="E6E6E6"/>
            <w:vAlign w:val="center"/>
          </w:tcPr>
          <w:p w14:paraId="61CC7881"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2028</w:t>
            </w:r>
          </w:p>
        </w:tc>
        <w:tc>
          <w:tcPr>
            <w:tcW w:w="1571" w:type="dxa"/>
            <w:gridSpan w:val="2"/>
            <w:shd w:val="clear" w:color="auto" w:fill="E6E6E6"/>
            <w:vAlign w:val="center"/>
          </w:tcPr>
          <w:p w14:paraId="7C37CD4B"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РАЗОМ</w:t>
            </w:r>
          </w:p>
        </w:tc>
      </w:tr>
      <w:tr w:rsidR="00B8248C" w:rsidRPr="0019790A" w14:paraId="5375FA04" w14:textId="77777777" w:rsidTr="00B8248C">
        <w:trPr>
          <w:jc w:val="right"/>
        </w:trPr>
        <w:tc>
          <w:tcPr>
            <w:tcW w:w="3425" w:type="dxa"/>
            <w:vMerge/>
            <w:shd w:val="clear" w:color="auto" w:fill="FFFFFF"/>
            <w:vAlign w:val="center"/>
          </w:tcPr>
          <w:p w14:paraId="37D2DABB" w14:textId="77777777" w:rsidR="00B8248C" w:rsidRPr="0019790A" w:rsidRDefault="00B8248C" w:rsidP="0019790A">
            <w:pPr>
              <w:rPr>
                <w:rFonts w:cs="Arial"/>
                <w:b/>
                <w:bCs/>
                <w:color w:val="000000"/>
                <w:szCs w:val="22"/>
              </w:rPr>
            </w:pPr>
          </w:p>
        </w:tc>
        <w:tc>
          <w:tcPr>
            <w:tcW w:w="1254" w:type="dxa"/>
            <w:gridSpan w:val="2"/>
            <w:vAlign w:val="center"/>
          </w:tcPr>
          <w:p w14:paraId="2F1E0EB4"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50,0</w:t>
            </w:r>
          </w:p>
        </w:tc>
        <w:tc>
          <w:tcPr>
            <w:tcW w:w="1275" w:type="dxa"/>
            <w:shd w:val="clear" w:color="auto" w:fill="FFFFFF"/>
            <w:vAlign w:val="center"/>
          </w:tcPr>
          <w:p w14:paraId="2F26CFE8"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300,0</w:t>
            </w:r>
          </w:p>
        </w:tc>
        <w:tc>
          <w:tcPr>
            <w:tcW w:w="1418" w:type="dxa"/>
            <w:shd w:val="clear" w:color="auto" w:fill="auto"/>
            <w:vAlign w:val="center"/>
          </w:tcPr>
          <w:p w14:paraId="7F02B9D0"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250,0</w:t>
            </w:r>
          </w:p>
        </w:tc>
        <w:tc>
          <w:tcPr>
            <w:tcW w:w="1276" w:type="dxa"/>
            <w:gridSpan w:val="2"/>
            <w:shd w:val="clear" w:color="auto" w:fill="FFFFFF"/>
            <w:vAlign w:val="center"/>
          </w:tcPr>
          <w:p w14:paraId="269F6C28"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200,0</w:t>
            </w:r>
          </w:p>
        </w:tc>
        <w:tc>
          <w:tcPr>
            <w:tcW w:w="1571" w:type="dxa"/>
            <w:gridSpan w:val="2"/>
            <w:shd w:val="clear" w:color="auto" w:fill="FFFFFF"/>
            <w:vAlign w:val="center"/>
          </w:tcPr>
          <w:p w14:paraId="4D04FD4B" w14:textId="77777777" w:rsidR="00B8248C" w:rsidRPr="0019790A" w:rsidRDefault="00B8248C" w:rsidP="0019790A">
            <w:pPr>
              <w:jc w:val="center"/>
              <w:rPr>
                <w:rFonts w:cs="Arial"/>
                <w:b/>
                <w:color w:val="000000"/>
                <w:szCs w:val="22"/>
                <w:lang w:eastAsia="it-IT"/>
              </w:rPr>
            </w:pPr>
            <w:r w:rsidRPr="0019790A">
              <w:rPr>
                <w:rFonts w:cs="Arial"/>
                <w:b/>
                <w:color w:val="000000"/>
                <w:szCs w:val="22"/>
                <w:lang w:eastAsia="it-IT"/>
              </w:rPr>
              <w:t>800,0</w:t>
            </w:r>
          </w:p>
        </w:tc>
      </w:tr>
      <w:tr w:rsidR="00B8248C" w:rsidRPr="0019790A" w14:paraId="36890B9B" w14:textId="77777777" w:rsidTr="00B8248C">
        <w:trPr>
          <w:trHeight w:val="276"/>
          <w:jc w:val="right"/>
        </w:trPr>
        <w:tc>
          <w:tcPr>
            <w:tcW w:w="3425" w:type="dxa"/>
            <w:shd w:val="clear" w:color="auto" w:fill="FFFFFF"/>
            <w:vAlign w:val="center"/>
          </w:tcPr>
          <w:p w14:paraId="70054823" w14:textId="77777777" w:rsidR="00B8248C" w:rsidRPr="0019790A" w:rsidRDefault="00B8248C" w:rsidP="0019790A">
            <w:pPr>
              <w:rPr>
                <w:rFonts w:cs="Arial"/>
                <w:b/>
                <w:bCs/>
                <w:color w:val="000000"/>
                <w:szCs w:val="22"/>
              </w:rPr>
            </w:pPr>
            <w:r w:rsidRPr="0019790A">
              <w:rPr>
                <w:rFonts w:cs="Arial"/>
                <w:b/>
                <w:bCs/>
                <w:color w:val="000000"/>
                <w:szCs w:val="22"/>
              </w:rPr>
              <w:t>по джерелах фінансування:</w:t>
            </w:r>
          </w:p>
        </w:tc>
        <w:tc>
          <w:tcPr>
            <w:tcW w:w="6794" w:type="dxa"/>
            <w:gridSpan w:val="8"/>
            <w:vAlign w:val="center"/>
          </w:tcPr>
          <w:p w14:paraId="15AD5B02" w14:textId="77777777" w:rsidR="00B8248C" w:rsidRPr="0019790A" w:rsidRDefault="00B8248C" w:rsidP="0019790A">
            <w:pPr>
              <w:jc w:val="both"/>
              <w:rPr>
                <w:rFonts w:cs="Arial"/>
                <w:color w:val="000000"/>
                <w:szCs w:val="22"/>
                <w:lang w:eastAsia="it-IT"/>
              </w:rPr>
            </w:pPr>
          </w:p>
        </w:tc>
      </w:tr>
      <w:tr w:rsidR="00574F77" w:rsidRPr="0019790A" w14:paraId="54481DE2" w14:textId="3C9274A6" w:rsidTr="00574F77">
        <w:trPr>
          <w:trHeight w:val="240"/>
          <w:jc w:val="right"/>
        </w:trPr>
        <w:tc>
          <w:tcPr>
            <w:tcW w:w="3425" w:type="dxa"/>
            <w:shd w:val="clear" w:color="auto" w:fill="FFFFFF"/>
            <w:vAlign w:val="center"/>
          </w:tcPr>
          <w:p w14:paraId="428F15C5" w14:textId="77777777" w:rsidR="00574F77" w:rsidRPr="0019790A" w:rsidRDefault="00574F77" w:rsidP="0019790A">
            <w:pPr>
              <w:rPr>
                <w:rFonts w:cs="Arial"/>
                <w:b/>
                <w:bCs/>
                <w:color w:val="000000"/>
                <w:szCs w:val="22"/>
              </w:rPr>
            </w:pPr>
            <w:r w:rsidRPr="0019790A">
              <w:rPr>
                <w:rFonts w:cs="Arial"/>
                <w:color w:val="000000"/>
                <w:szCs w:val="22"/>
              </w:rPr>
              <w:t>- державний бюджет</w:t>
            </w:r>
          </w:p>
        </w:tc>
        <w:tc>
          <w:tcPr>
            <w:tcW w:w="1227" w:type="dxa"/>
            <w:vAlign w:val="center"/>
          </w:tcPr>
          <w:p w14:paraId="064305F4" w14:textId="77777777" w:rsidR="00574F77" w:rsidRPr="0019790A" w:rsidRDefault="00574F77" w:rsidP="00574F77">
            <w:pPr>
              <w:jc w:val="center"/>
              <w:rPr>
                <w:rFonts w:cs="Arial"/>
                <w:color w:val="000000"/>
                <w:szCs w:val="22"/>
                <w:lang w:eastAsia="it-IT"/>
              </w:rPr>
            </w:pPr>
          </w:p>
        </w:tc>
        <w:tc>
          <w:tcPr>
            <w:tcW w:w="1302" w:type="dxa"/>
            <w:gridSpan w:val="2"/>
            <w:vAlign w:val="center"/>
          </w:tcPr>
          <w:p w14:paraId="25686C6A" w14:textId="77777777" w:rsidR="00574F77" w:rsidRPr="0019790A" w:rsidRDefault="00574F77" w:rsidP="00574F77">
            <w:pPr>
              <w:jc w:val="center"/>
              <w:rPr>
                <w:rFonts w:cs="Arial"/>
                <w:color w:val="000000"/>
                <w:szCs w:val="22"/>
                <w:lang w:eastAsia="it-IT"/>
              </w:rPr>
            </w:pPr>
          </w:p>
        </w:tc>
        <w:tc>
          <w:tcPr>
            <w:tcW w:w="1440" w:type="dxa"/>
            <w:gridSpan w:val="2"/>
            <w:vAlign w:val="center"/>
          </w:tcPr>
          <w:p w14:paraId="56E22A75" w14:textId="77777777" w:rsidR="00574F77" w:rsidRPr="0019790A" w:rsidRDefault="00574F77" w:rsidP="00574F77">
            <w:pPr>
              <w:jc w:val="center"/>
              <w:rPr>
                <w:rFonts w:cs="Arial"/>
                <w:color w:val="000000"/>
                <w:szCs w:val="22"/>
                <w:lang w:eastAsia="it-IT"/>
              </w:rPr>
            </w:pPr>
          </w:p>
        </w:tc>
        <w:tc>
          <w:tcPr>
            <w:tcW w:w="1302" w:type="dxa"/>
            <w:gridSpan w:val="2"/>
            <w:vAlign w:val="center"/>
          </w:tcPr>
          <w:p w14:paraId="7E3F0C42" w14:textId="77777777" w:rsidR="00574F77" w:rsidRPr="0019790A" w:rsidRDefault="00574F77" w:rsidP="00574F77">
            <w:pPr>
              <w:jc w:val="center"/>
              <w:rPr>
                <w:rFonts w:cs="Arial"/>
                <w:color w:val="000000"/>
                <w:szCs w:val="22"/>
                <w:lang w:eastAsia="it-IT"/>
              </w:rPr>
            </w:pPr>
          </w:p>
        </w:tc>
        <w:tc>
          <w:tcPr>
            <w:tcW w:w="1523" w:type="dxa"/>
            <w:vAlign w:val="center"/>
          </w:tcPr>
          <w:p w14:paraId="5991D394" w14:textId="77777777" w:rsidR="00574F77" w:rsidRPr="0019790A" w:rsidRDefault="00574F77" w:rsidP="00574F77">
            <w:pPr>
              <w:jc w:val="center"/>
              <w:rPr>
                <w:rFonts w:cs="Arial"/>
                <w:color w:val="000000"/>
                <w:szCs w:val="22"/>
                <w:lang w:eastAsia="it-IT"/>
              </w:rPr>
            </w:pPr>
          </w:p>
        </w:tc>
      </w:tr>
      <w:tr w:rsidR="00574F77" w:rsidRPr="0019790A" w14:paraId="1DAFBD10" w14:textId="24E42AB9" w:rsidTr="00574F77">
        <w:trPr>
          <w:trHeight w:val="254"/>
          <w:jc w:val="right"/>
        </w:trPr>
        <w:tc>
          <w:tcPr>
            <w:tcW w:w="3425" w:type="dxa"/>
            <w:shd w:val="clear" w:color="auto" w:fill="FFFFFF"/>
            <w:vAlign w:val="center"/>
          </w:tcPr>
          <w:p w14:paraId="6DAF4270" w14:textId="77777777" w:rsidR="00574F77" w:rsidRPr="0019790A" w:rsidRDefault="00574F77" w:rsidP="0019790A">
            <w:pPr>
              <w:rPr>
                <w:rFonts w:cs="Arial"/>
                <w:color w:val="000000"/>
                <w:szCs w:val="22"/>
              </w:rPr>
            </w:pPr>
            <w:r w:rsidRPr="0019790A">
              <w:rPr>
                <w:rFonts w:cs="Arial"/>
                <w:color w:val="000000"/>
                <w:szCs w:val="22"/>
              </w:rPr>
              <w:t>- обласний бюджет</w:t>
            </w:r>
          </w:p>
        </w:tc>
        <w:tc>
          <w:tcPr>
            <w:tcW w:w="1227" w:type="dxa"/>
            <w:vAlign w:val="center"/>
          </w:tcPr>
          <w:p w14:paraId="7794ACA2" w14:textId="77777777" w:rsidR="00574F77" w:rsidRPr="0019790A" w:rsidRDefault="00574F77" w:rsidP="00574F77">
            <w:pPr>
              <w:jc w:val="center"/>
              <w:rPr>
                <w:rFonts w:cs="Arial"/>
                <w:color w:val="000000"/>
                <w:szCs w:val="22"/>
                <w:lang w:eastAsia="it-IT"/>
              </w:rPr>
            </w:pPr>
          </w:p>
        </w:tc>
        <w:tc>
          <w:tcPr>
            <w:tcW w:w="1302" w:type="dxa"/>
            <w:gridSpan w:val="2"/>
            <w:vAlign w:val="center"/>
          </w:tcPr>
          <w:p w14:paraId="5EFA9192" w14:textId="77777777" w:rsidR="00574F77" w:rsidRPr="0019790A" w:rsidRDefault="00574F77" w:rsidP="00574F77">
            <w:pPr>
              <w:jc w:val="center"/>
              <w:rPr>
                <w:rFonts w:cs="Arial"/>
                <w:color w:val="000000"/>
                <w:szCs w:val="22"/>
                <w:lang w:eastAsia="it-IT"/>
              </w:rPr>
            </w:pPr>
          </w:p>
        </w:tc>
        <w:tc>
          <w:tcPr>
            <w:tcW w:w="1440" w:type="dxa"/>
            <w:gridSpan w:val="2"/>
            <w:vAlign w:val="center"/>
          </w:tcPr>
          <w:p w14:paraId="3B4AB18E" w14:textId="77777777" w:rsidR="00574F77" w:rsidRPr="0019790A" w:rsidRDefault="00574F77" w:rsidP="00574F77">
            <w:pPr>
              <w:jc w:val="center"/>
              <w:rPr>
                <w:rFonts w:cs="Arial"/>
                <w:color w:val="000000"/>
                <w:szCs w:val="22"/>
                <w:lang w:eastAsia="it-IT"/>
              </w:rPr>
            </w:pPr>
          </w:p>
        </w:tc>
        <w:tc>
          <w:tcPr>
            <w:tcW w:w="1302" w:type="dxa"/>
            <w:gridSpan w:val="2"/>
            <w:vAlign w:val="center"/>
          </w:tcPr>
          <w:p w14:paraId="502284B5" w14:textId="77777777" w:rsidR="00574F77" w:rsidRPr="0019790A" w:rsidRDefault="00574F77" w:rsidP="00574F77">
            <w:pPr>
              <w:jc w:val="center"/>
              <w:rPr>
                <w:rFonts w:cs="Arial"/>
                <w:color w:val="000000"/>
                <w:szCs w:val="22"/>
                <w:lang w:eastAsia="it-IT"/>
              </w:rPr>
            </w:pPr>
          </w:p>
        </w:tc>
        <w:tc>
          <w:tcPr>
            <w:tcW w:w="1523" w:type="dxa"/>
            <w:vAlign w:val="center"/>
          </w:tcPr>
          <w:p w14:paraId="6047AE75" w14:textId="77777777" w:rsidR="00574F77" w:rsidRPr="0019790A" w:rsidRDefault="00574F77" w:rsidP="00574F77">
            <w:pPr>
              <w:jc w:val="center"/>
              <w:rPr>
                <w:rFonts w:cs="Arial"/>
                <w:color w:val="000000"/>
                <w:szCs w:val="22"/>
                <w:lang w:eastAsia="it-IT"/>
              </w:rPr>
            </w:pPr>
          </w:p>
        </w:tc>
      </w:tr>
      <w:tr w:rsidR="00574F77" w:rsidRPr="0019790A" w14:paraId="0DF654B2" w14:textId="5521808C" w:rsidTr="00574F77">
        <w:trPr>
          <w:trHeight w:val="275"/>
          <w:jc w:val="right"/>
        </w:trPr>
        <w:tc>
          <w:tcPr>
            <w:tcW w:w="3425" w:type="dxa"/>
            <w:shd w:val="clear" w:color="auto" w:fill="FFFFFF"/>
            <w:vAlign w:val="center"/>
          </w:tcPr>
          <w:p w14:paraId="79F4CC2D" w14:textId="77777777" w:rsidR="00574F77" w:rsidRPr="0019790A" w:rsidRDefault="00574F77" w:rsidP="00574F77">
            <w:pPr>
              <w:rPr>
                <w:rFonts w:cs="Arial"/>
                <w:color w:val="000000"/>
                <w:szCs w:val="22"/>
              </w:rPr>
            </w:pPr>
            <w:r w:rsidRPr="0019790A">
              <w:rPr>
                <w:rFonts w:cs="Arial"/>
                <w:color w:val="000000"/>
                <w:szCs w:val="22"/>
              </w:rPr>
              <w:t>- бюджет Жмеринської МТГ</w:t>
            </w:r>
          </w:p>
        </w:tc>
        <w:tc>
          <w:tcPr>
            <w:tcW w:w="1227" w:type="dxa"/>
            <w:vAlign w:val="center"/>
          </w:tcPr>
          <w:p w14:paraId="3F49D17C" w14:textId="29D31207" w:rsidR="00574F77" w:rsidRPr="00574F77" w:rsidRDefault="00574F77" w:rsidP="00574F77">
            <w:pPr>
              <w:jc w:val="center"/>
              <w:rPr>
                <w:rFonts w:cs="Arial"/>
                <w:color w:val="000000"/>
                <w:szCs w:val="22"/>
                <w:lang w:eastAsia="it-IT"/>
              </w:rPr>
            </w:pPr>
          </w:p>
        </w:tc>
        <w:tc>
          <w:tcPr>
            <w:tcW w:w="1302" w:type="dxa"/>
            <w:gridSpan w:val="2"/>
            <w:vAlign w:val="center"/>
          </w:tcPr>
          <w:p w14:paraId="548FDF6B" w14:textId="0C15D81D" w:rsidR="00574F77" w:rsidRPr="00574F77" w:rsidRDefault="00574F77" w:rsidP="00574F77">
            <w:pPr>
              <w:jc w:val="center"/>
              <w:rPr>
                <w:rFonts w:cs="Arial"/>
                <w:color w:val="000000"/>
                <w:szCs w:val="22"/>
                <w:lang w:eastAsia="it-IT"/>
              </w:rPr>
            </w:pPr>
            <w:r w:rsidRPr="00574F77">
              <w:rPr>
                <w:rFonts w:cs="Arial"/>
                <w:color w:val="000000"/>
                <w:szCs w:val="22"/>
                <w:lang w:eastAsia="it-IT"/>
              </w:rPr>
              <w:t>300,0</w:t>
            </w:r>
          </w:p>
        </w:tc>
        <w:tc>
          <w:tcPr>
            <w:tcW w:w="1440" w:type="dxa"/>
            <w:gridSpan w:val="2"/>
            <w:vAlign w:val="center"/>
          </w:tcPr>
          <w:p w14:paraId="34B8F088" w14:textId="73627173" w:rsidR="00574F77" w:rsidRPr="00574F77" w:rsidRDefault="00574F77" w:rsidP="00574F77">
            <w:pPr>
              <w:jc w:val="center"/>
              <w:rPr>
                <w:rFonts w:cs="Arial"/>
                <w:color w:val="000000"/>
                <w:szCs w:val="22"/>
                <w:lang w:eastAsia="it-IT"/>
              </w:rPr>
            </w:pPr>
            <w:r w:rsidRPr="00574F77">
              <w:rPr>
                <w:rFonts w:cs="Arial"/>
                <w:color w:val="000000"/>
                <w:szCs w:val="22"/>
                <w:lang w:eastAsia="it-IT"/>
              </w:rPr>
              <w:t>200,0</w:t>
            </w:r>
          </w:p>
        </w:tc>
        <w:tc>
          <w:tcPr>
            <w:tcW w:w="1302" w:type="dxa"/>
            <w:gridSpan w:val="2"/>
            <w:vAlign w:val="center"/>
          </w:tcPr>
          <w:p w14:paraId="0912E4CF" w14:textId="3F02790D" w:rsidR="00574F77" w:rsidRPr="00574F77" w:rsidRDefault="00574F77" w:rsidP="00574F77">
            <w:pPr>
              <w:jc w:val="center"/>
              <w:rPr>
                <w:rFonts w:cs="Arial"/>
                <w:color w:val="000000"/>
                <w:szCs w:val="22"/>
                <w:lang w:eastAsia="it-IT"/>
              </w:rPr>
            </w:pPr>
            <w:r w:rsidRPr="00574F77">
              <w:rPr>
                <w:rFonts w:cs="Arial"/>
                <w:color w:val="000000"/>
                <w:szCs w:val="22"/>
                <w:lang w:eastAsia="it-IT"/>
              </w:rPr>
              <w:t>200,0</w:t>
            </w:r>
          </w:p>
        </w:tc>
        <w:tc>
          <w:tcPr>
            <w:tcW w:w="1523" w:type="dxa"/>
            <w:vAlign w:val="center"/>
          </w:tcPr>
          <w:p w14:paraId="014D4D96" w14:textId="3355BB3F" w:rsidR="00574F77" w:rsidRPr="00574F77" w:rsidRDefault="00574F77" w:rsidP="00574F77">
            <w:pPr>
              <w:jc w:val="center"/>
              <w:rPr>
                <w:rFonts w:cs="Arial"/>
                <w:b/>
                <w:color w:val="000000"/>
                <w:szCs w:val="22"/>
                <w:lang w:eastAsia="it-IT"/>
              </w:rPr>
            </w:pPr>
            <w:r w:rsidRPr="00574F77">
              <w:rPr>
                <w:rFonts w:cs="Arial"/>
                <w:b/>
                <w:color w:val="000000"/>
                <w:szCs w:val="22"/>
                <w:lang w:eastAsia="it-IT"/>
              </w:rPr>
              <w:t>700,0</w:t>
            </w:r>
          </w:p>
        </w:tc>
      </w:tr>
      <w:tr w:rsidR="00574F77" w:rsidRPr="0019790A" w14:paraId="37414B92" w14:textId="62393CCE" w:rsidTr="00574F77">
        <w:trPr>
          <w:trHeight w:val="226"/>
          <w:jc w:val="right"/>
        </w:trPr>
        <w:tc>
          <w:tcPr>
            <w:tcW w:w="3425" w:type="dxa"/>
            <w:shd w:val="clear" w:color="auto" w:fill="FFFFFF"/>
            <w:vAlign w:val="center"/>
          </w:tcPr>
          <w:p w14:paraId="3E1BF18D" w14:textId="77777777" w:rsidR="00574F77" w:rsidRPr="0019790A" w:rsidRDefault="00574F77" w:rsidP="00574F77">
            <w:pPr>
              <w:rPr>
                <w:rFonts w:cs="Arial"/>
                <w:color w:val="000000"/>
                <w:szCs w:val="22"/>
              </w:rPr>
            </w:pPr>
            <w:r w:rsidRPr="0019790A">
              <w:rPr>
                <w:rFonts w:cs="Arial"/>
                <w:color w:val="000000"/>
                <w:szCs w:val="22"/>
              </w:rPr>
              <w:t>- інші джерела фінансування</w:t>
            </w:r>
          </w:p>
        </w:tc>
        <w:tc>
          <w:tcPr>
            <w:tcW w:w="1227" w:type="dxa"/>
            <w:vAlign w:val="center"/>
          </w:tcPr>
          <w:p w14:paraId="510E939A" w14:textId="216768E4" w:rsidR="00574F77" w:rsidRPr="00574F77" w:rsidRDefault="00574F77" w:rsidP="00574F77">
            <w:pPr>
              <w:jc w:val="center"/>
              <w:rPr>
                <w:rFonts w:cs="Arial"/>
                <w:szCs w:val="22"/>
              </w:rPr>
            </w:pPr>
            <w:r w:rsidRPr="00574F77">
              <w:rPr>
                <w:rFonts w:cs="Arial"/>
                <w:color w:val="000000"/>
                <w:szCs w:val="22"/>
                <w:lang w:eastAsia="it-IT"/>
              </w:rPr>
              <w:t>50,0</w:t>
            </w:r>
          </w:p>
        </w:tc>
        <w:tc>
          <w:tcPr>
            <w:tcW w:w="1302" w:type="dxa"/>
            <w:gridSpan w:val="2"/>
            <w:vAlign w:val="center"/>
          </w:tcPr>
          <w:p w14:paraId="7D17DF9C" w14:textId="438C238B" w:rsidR="00574F77" w:rsidRPr="00574F77" w:rsidRDefault="00574F77" w:rsidP="00574F77">
            <w:pPr>
              <w:jc w:val="center"/>
              <w:rPr>
                <w:rFonts w:cs="Arial"/>
                <w:szCs w:val="22"/>
              </w:rPr>
            </w:pPr>
          </w:p>
        </w:tc>
        <w:tc>
          <w:tcPr>
            <w:tcW w:w="1440" w:type="dxa"/>
            <w:gridSpan w:val="2"/>
            <w:vAlign w:val="center"/>
          </w:tcPr>
          <w:p w14:paraId="3654E696" w14:textId="0125EB78" w:rsidR="00574F77" w:rsidRPr="00574F77" w:rsidRDefault="00574F77" w:rsidP="00574F77">
            <w:pPr>
              <w:jc w:val="center"/>
              <w:rPr>
                <w:rFonts w:cs="Arial"/>
                <w:szCs w:val="22"/>
              </w:rPr>
            </w:pPr>
            <w:r w:rsidRPr="00574F77">
              <w:rPr>
                <w:rFonts w:cs="Arial"/>
                <w:szCs w:val="22"/>
              </w:rPr>
              <w:t>50,0</w:t>
            </w:r>
          </w:p>
        </w:tc>
        <w:tc>
          <w:tcPr>
            <w:tcW w:w="1302" w:type="dxa"/>
            <w:gridSpan w:val="2"/>
            <w:vAlign w:val="center"/>
          </w:tcPr>
          <w:p w14:paraId="677AE6CC" w14:textId="17199A70" w:rsidR="00574F77" w:rsidRPr="00574F77" w:rsidRDefault="00574F77" w:rsidP="00574F77">
            <w:pPr>
              <w:jc w:val="center"/>
              <w:rPr>
                <w:rFonts w:cs="Arial"/>
                <w:szCs w:val="22"/>
              </w:rPr>
            </w:pPr>
          </w:p>
        </w:tc>
        <w:tc>
          <w:tcPr>
            <w:tcW w:w="1523" w:type="dxa"/>
            <w:vAlign w:val="center"/>
          </w:tcPr>
          <w:p w14:paraId="48DE953C" w14:textId="63C36F69" w:rsidR="00574F77" w:rsidRPr="00574F77" w:rsidRDefault="00574F77" w:rsidP="00574F77">
            <w:pPr>
              <w:jc w:val="center"/>
              <w:rPr>
                <w:rFonts w:cs="Arial"/>
                <w:b/>
                <w:szCs w:val="22"/>
              </w:rPr>
            </w:pPr>
            <w:r w:rsidRPr="00574F77">
              <w:rPr>
                <w:rFonts w:cs="Arial"/>
                <w:b/>
                <w:szCs w:val="22"/>
              </w:rPr>
              <w:t>100,0</w:t>
            </w:r>
          </w:p>
        </w:tc>
      </w:tr>
      <w:tr w:rsidR="00574F77" w:rsidRPr="0019790A" w14:paraId="2CB16296" w14:textId="77777777" w:rsidTr="00B8248C">
        <w:trPr>
          <w:jc w:val="right"/>
        </w:trPr>
        <w:tc>
          <w:tcPr>
            <w:tcW w:w="3425" w:type="dxa"/>
            <w:shd w:val="clear" w:color="auto" w:fill="FFFFFF"/>
            <w:vAlign w:val="center"/>
          </w:tcPr>
          <w:p w14:paraId="5EFCE499" w14:textId="77777777" w:rsidR="00574F77" w:rsidRPr="0019790A" w:rsidRDefault="00574F77" w:rsidP="00574F77">
            <w:pPr>
              <w:rPr>
                <w:rFonts w:cs="Arial"/>
                <w:b/>
                <w:bCs/>
                <w:color w:val="000000"/>
                <w:szCs w:val="22"/>
              </w:rPr>
            </w:pPr>
            <w:r w:rsidRPr="0019790A">
              <w:rPr>
                <w:rFonts w:cs="Arial"/>
                <w:b/>
                <w:color w:val="000000"/>
                <w:szCs w:val="22"/>
              </w:rPr>
              <w:t>Відповідальний виконавець проєкту:</w:t>
            </w:r>
          </w:p>
        </w:tc>
        <w:tc>
          <w:tcPr>
            <w:tcW w:w="6794" w:type="dxa"/>
            <w:gridSpan w:val="8"/>
            <w:vAlign w:val="center"/>
          </w:tcPr>
          <w:p w14:paraId="26DAA324" w14:textId="77777777" w:rsidR="00574F77" w:rsidRPr="0019790A" w:rsidRDefault="00574F77" w:rsidP="00574F77">
            <w:pPr>
              <w:jc w:val="both"/>
              <w:rPr>
                <w:rFonts w:cs="Arial"/>
                <w:color w:val="000000"/>
                <w:szCs w:val="22"/>
                <w:lang w:eastAsia="it-IT"/>
              </w:rPr>
            </w:pPr>
            <w:r w:rsidRPr="0019790A">
              <w:rPr>
                <w:rFonts w:cs="Arial"/>
                <w:color w:val="000000"/>
                <w:szCs w:val="22"/>
                <w:lang w:eastAsia="it-IT"/>
              </w:rPr>
              <w:t>Управління культури і туризму Жмеринської міської ради у співпраці з підпорядкованими закладами</w:t>
            </w:r>
          </w:p>
        </w:tc>
      </w:tr>
      <w:tr w:rsidR="00574F77" w:rsidRPr="0019790A" w14:paraId="3B8C4CE0" w14:textId="77777777" w:rsidTr="00B8248C">
        <w:trPr>
          <w:jc w:val="right"/>
        </w:trPr>
        <w:tc>
          <w:tcPr>
            <w:tcW w:w="3425" w:type="dxa"/>
            <w:shd w:val="clear" w:color="auto" w:fill="FFFFFF"/>
            <w:vAlign w:val="center"/>
          </w:tcPr>
          <w:p w14:paraId="2C1FEB69" w14:textId="77777777" w:rsidR="00574F77" w:rsidRPr="0019790A" w:rsidRDefault="00574F77" w:rsidP="00574F77">
            <w:pPr>
              <w:rPr>
                <w:rFonts w:cs="Arial"/>
                <w:b/>
                <w:bCs/>
                <w:color w:val="000000"/>
                <w:szCs w:val="22"/>
              </w:rPr>
            </w:pPr>
            <w:r w:rsidRPr="0019790A">
              <w:rPr>
                <w:rFonts w:cs="Arial"/>
                <w:b/>
                <w:bCs/>
                <w:color w:val="000000"/>
                <w:szCs w:val="22"/>
              </w:rPr>
              <w:t>Інше:</w:t>
            </w:r>
          </w:p>
        </w:tc>
        <w:tc>
          <w:tcPr>
            <w:tcW w:w="6794" w:type="dxa"/>
            <w:gridSpan w:val="8"/>
            <w:vAlign w:val="center"/>
          </w:tcPr>
          <w:p w14:paraId="5F96E998" w14:textId="77777777" w:rsidR="00574F77" w:rsidRPr="0019790A" w:rsidRDefault="00574F77" w:rsidP="00574F77">
            <w:pPr>
              <w:jc w:val="both"/>
              <w:rPr>
                <w:rFonts w:cs="Arial"/>
                <w:color w:val="000000"/>
                <w:szCs w:val="22"/>
                <w:lang w:eastAsia="it-IT"/>
              </w:rPr>
            </w:pPr>
            <w:r w:rsidRPr="0019790A">
              <w:rPr>
                <w:rFonts w:cs="Arial"/>
                <w:color w:val="000000"/>
                <w:szCs w:val="22"/>
                <w:lang w:eastAsia="it-IT"/>
              </w:rPr>
              <w:t>Проєкт відповідає положенням Національної стратегії безбар’єрності, сприяє реалізації прав людей з інвалідністю та формуванню рівних можливостей у доступі до культурного життя громади.</w:t>
            </w:r>
          </w:p>
        </w:tc>
      </w:tr>
    </w:tbl>
    <w:p w14:paraId="106E135B" w14:textId="77777777" w:rsidR="00B8248C" w:rsidRPr="0019790A" w:rsidRDefault="00B8248C" w:rsidP="0019790A">
      <w:pPr>
        <w:rPr>
          <w:rFonts w:cs="Arial"/>
          <w:szCs w:val="22"/>
        </w:rPr>
      </w:pPr>
    </w:p>
    <w:p w14:paraId="7E9EECD8" w14:textId="77777777" w:rsidR="00265D4A" w:rsidRPr="0019790A" w:rsidRDefault="00265D4A" w:rsidP="0019790A">
      <w:pPr>
        <w:jc w:val="center"/>
        <w:rPr>
          <w:rFonts w:cs="Arial"/>
          <w:b/>
          <w:color w:val="000000"/>
          <w:szCs w:val="22"/>
        </w:rPr>
      </w:pPr>
      <w:r w:rsidRPr="0019790A">
        <w:rPr>
          <w:rFonts w:cs="Arial"/>
          <w:b/>
          <w:color w:val="000000"/>
          <w:szCs w:val="22"/>
        </w:rPr>
        <w:t xml:space="preserve">Форма технічного завдання на проєкт місцевого розвитку </w:t>
      </w:r>
    </w:p>
    <w:p w14:paraId="31F11F2B" w14:textId="77777777" w:rsidR="00265D4A" w:rsidRPr="0019790A" w:rsidRDefault="00265D4A" w:rsidP="0019790A">
      <w:pPr>
        <w:jc w:val="center"/>
        <w:rPr>
          <w:rFonts w:cs="Arial"/>
          <w:b/>
          <w:color w:val="000000"/>
          <w:szCs w:val="22"/>
        </w:rPr>
      </w:pPr>
      <w:r w:rsidRPr="0019790A">
        <w:rPr>
          <w:rFonts w:cs="Arial"/>
          <w:b/>
          <w:color w:val="000000"/>
          <w:szCs w:val="22"/>
        </w:rPr>
        <w:t>до Плану заходів з реалізації Стратегії</w:t>
      </w:r>
    </w:p>
    <w:p w14:paraId="0A45827A" w14:textId="77777777" w:rsidR="00265D4A" w:rsidRPr="0019790A" w:rsidRDefault="00265D4A"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40"/>
        <w:gridCol w:w="14"/>
        <w:gridCol w:w="1251"/>
        <w:gridCol w:w="24"/>
        <w:gridCol w:w="1418"/>
        <w:gridCol w:w="11"/>
        <w:gridCol w:w="1265"/>
        <w:gridCol w:w="1571"/>
      </w:tblGrid>
      <w:tr w:rsidR="00265D4A" w:rsidRPr="0019790A" w14:paraId="44651376" w14:textId="77777777" w:rsidTr="00CF3AAE">
        <w:trPr>
          <w:jc w:val="right"/>
        </w:trPr>
        <w:tc>
          <w:tcPr>
            <w:tcW w:w="3425" w:type="dxa"/>
            <w:vAlign w:val="center"/>
          </w:tcPr>
          <w:p w14:paraId="27AB2B3C" w14:textId="77777777" w:rsidR="00265D4A" w:rsidRPr="0019790A" w:rsidRDefault="00265D4A" w:rsidP="0019790A">
            <w:pPr>
              <w:rPr>
                <w:rFonts w:cs="Arial"/>
                <w:b/>
                <w:bCs/>
                <w:color w:val="000000"/>
                <w:szCs w:val="22"/>
              </w:rPr>
            </w:pPr>
            <w:r w:rsidRPr="0019790A">
              <w:rPr>
                <w:rFonts w:cs="Arial"/>
                <w:b/>
                <w:bCs/>
                <w:color w:val="000000"/>
                <w:szCs w:val="22"/>
              </w:rPr>
              <w:t>Назва проєкту:</w:t>
            </w:r>
          </w:p>
        </w:tc>
        <w:tc>
          <w:tcPr>
            <w:tcW w:w="6794" w:type="dxa"/>
            <w:gridSpan w:val="8"/>
          </w:tcPr>
          <w:p w14:paraId="6CA65704" w14:textId="77777777" w:rsidR="00265D4A" w:rsidRPr="0019790A" w:rsidRDefault="00265D4A" w:rsidP="00574F77">
            <w:pPr>
              <w:jc w:val="both"/>
              <w:rPr>
                <w:rFonts w:cs="Arial"/>
                <w:b/>
                <w:szCs w:val="22"/>
                <w:lang w:eastAsia="it-IT"/>
              </w:rPr>
            </w:pPr>
            <w:r w:rsidRPr="0019790A">
              <w:rPr>
                <w:rFonts w:cs="Arial"/>
                <w:b/>
                <w:szCs w:val="22"/>
                <w:lang w:eastAsia="it-IT"/>
              </w:rPr>
              <w:t>«Сучасна книга – сучасному читачу»: поповнення та оновлення бібліотечних фондів Жмеринської ТГ</w:t>
            </w:r>
          </w:p>
        </w:tc>
      </w:tr>
      <w:tr w:rsidR="00265D4A" w:rsidRPr="0019790A" w14:paraId="5FD4F334" w14:textId="77777777" w:rsidTr="00CF3AAE">
        <w:trPr>
          <w:jc w:val="right"/>
        </w:trPr>
        <w:tc>
          <w:tcPr>
            <w:tcW w:w="3425" w:type="dxa"/>
          </w:tcPr>
          <w:p w14:paraId="74A87BFE" w14:textId="77777777" w:rsidR="00265D4A" w:rsidRPr="0019790A" w:rsidRDefault="00265D4A"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7EA9AF36" w14:textId="77777777" w:rsidR="00265D4A" w:rsidRPr="0019790A" w:rsidRDefault="00265D4A"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8"/>
          </w:tcPr>
          <w:p w14:paraId="4EB3B935" w14:textId="77777777" w:rsidR="00265D4A" w:rsidRPr="00574F77" w:rsidRDefault="00265D4A" w:rsidP="0019790A">
            <w:pPr>
              <w:rPr>
                <w:rFonts w:cs="Arial"/>
                <w:szCs w:val="22"/>
                <w:lang w:eastAsia="it-IT"/>
              </w:rPr>
            </w:pPr>
            <w:r w:rsidRPr="00574F77">
              <w:rPr>
                <w:rFonts w:cs="Arial"/>
                <w:szCs w:val="22"/>
                <w:lang w:eastAsia="it-IT"/>
              </w:rPr>
              <w:t>КЗ Публічна бібліотека Жмеринської міської територіальної громади</w:t>
            </w:r>
          </w:p>
        </w:tc>
      </w:tr>
      <w:tr w:rsidR="00265D4A" w:rsidRPr="0019790A" w14:paraId="19EB1932" w14:textId="77777777" w:rsidTr="00CF3AAE">
        <w:trPr>
          <w:jc w:val="right"/>
        </w:trPr>
        <w:tc>
          <w:tcPr>
            <w:tcW w:w="3425" w:type="dxa"/>
          </w:tcPr>
          <w:p w14:paraId="078300A3" w14:textId="77777777" w:rsidR="00265D4A" w:rsidRPr="0019790A" w:rsidRDefault="00265D4A" w:rsidP="0019790A">
            <w:pPr>
              <w:rPr>
                <w:rFonts w:cs="Arial"/>
                <w:b/>
                <w:bCs/>
                <w:szCs w:val="22"/>
              </w:rPr>
            </w:pPr>
            <w:r w:rsidRPr="0019790A">
              <w:rPr>
                <w:rFonts w:cs="Arial"/>
                <w:szCs w:val="22"/>
                <w:lang w:eastAsia="it-IT"/>
              </w:rPr>
              <w:t>Прізвище Ім’я По-батькові:</w:t>
            </w:r>
          </w:p>
        </w:tc>
        <w:tc>
          <w:tcPr>
            <w:tcW w:w="6794" w:type="dxa"/>
            <w:gridSpan w:val="8"/>
          </w:tcPr>
          <w:p w14:paraId="47BC3286" w14:textId="77777777" w:rsidR="00265D4A" w:rsidRPr="00574F77" w:rsidRDefault="00265D4A" w:rsidP="0019790A">
            <w:pPr>
              <w:rPr>
                <w:rFonts w:cs="Arial"/>
                <w:szCs w:val="22"/>
                <w:lang w:eastAsia="it-IT"/>
              </w:rPr>
            </w:pPr>
            <w:r w:rsidRPr="00574F77">
              <w:rPr>
                <w:rFonts w:cs="Arial"/>
                <w:szCs w:val="22"/>
                <w:lang w:eastAsia="it-IT"/>
              </w:rPr>
              <w:t>Будз Галина Іванівна</w:t>
            </w:r>
          </w:p>
        </w:tc>
      </w:tr>
      <w:tr w:rsidR="00265D4A" w:rsidRPr="0019790A" w14:paraId="123A702D" w14:textId="77777777" w:rsidTr="00CF3AAE">
        <w:trPr>
          <w:jc w:val="right"/>
        </w:trPr>
        <w:tc>
          <w:tcPr>
            <w:tcW w:w="3425" w:type="dxa"/>
          </w:tcPr>
          <w:p w14:paraId="6B3256D2" w14:textId="77777777" w:rsidR="00265D4A" w:rsidRPr="0019790A" w:rsidRDefault="00265D4A" w:rsidP="0019790A">
            <w:pPr>
              <w:rPr>
                <w:rFonts w:cs="Arial"/>
                <w:b/>
                <w:bCs/>
                <w:szCs w:val="22"/>
              </w:rPr>
            </w:pPr>
            <w:r w:rsidRPr="0019790A">
              <w:rPr>
                <w:rFonts w:cs="Arial"/>
                <w:szCs w:val="22"/>
                <w:lang w:eastAsia="it-IT"/>
              </w:rPr>
              <w:t>Телефон (мобільний):</w:t>
            </w:r>
          </w:p>
        </w:tc>
        <w:tc>
          <w:tcPr>
            <w:tcW w:w="6794" w:type="dxa"/>
            <w:gridSpan w:val="8"/>
          </w:tcPr>
          <w:p w14:paraId="0539B752" w14:textId="77777777" w:rsidR="00265D4A" w:rsidRPr="00574F77" w:rsidRDefault="00265D4A" w:rsidP="0019790A">
            <w:pPr>
              <w:rPr>
                <w:rFonts w:cs="Arial"/>
                <w:szCs w:val="22"/>
                <w:lang w:eastAsia="it-IT"/>
              </w:rPr>
            </w:pPr>
            <w:r w:rsidRPr="00574F77">
              <w:rPr>
                <w:rFonts w:cs="Arial"/>
                <w:szCs w:val="22"/>
                <w:lang w:eastAsia="it-IT"/>
              </w:rPr>
              <w:t>0973199260</w:t>
            </w:r>
          </w:p>
        </w:tc>
      </w:tr>
      <w:tr w:rsidR="00265D4A" w:rsidRPr="0019790A" w14:paraId="4B20DF07" w14:textId="77777777" w:rsidTr="00CF3AAE">
        <w:trPr>
          <w:jc w:val="right"/>
        </w:trPr>
        <w:tc>
          <w:tcPr>
            <w:tcW w:w="3425" w:type="dxa"/>
          </w:tcPr>
          <w:p w14:paraId="66EE2857" w14:textId="77777777" w:rsidR="00265D4A" w:rsidRPr="0019790A" w:rsidRDefault="00265D4A" w:rsidP="0019790A">
            <w:pPr>
              <w:rPr>
                <w:rFonts w:cs="Arial"/>
                <w:b/>
                <w:bCs/>
                <w:szCs w:val="22"/>
              </w:rPr>
            </w:pPr>
            <w:r w:rsidRPr="0019790A">
              <w:rPr>
                <w:rFonts w:cs="Arial"/>
                <w:szCs w:val="22"/>
                <w:lang w:eastAsia="it-IT"/>
              </w:rPr>
              <w:t>Електронна адреса:</w:t>
            </w:r>
          </w:p>
        </w:tc>
        <w:tc>
          <w:tcPr>
            <w:tcW w:w="6794" w:type="dxa"/>
            <w:gridSpan w:val="8"/>
          </w:tcPr>
          <w:p w14:paraId="598E8212" w14:textId="12AEC6CD" w:rsidR="00265D4A" w:rsidRPr="00574F77" w:rsidRDefault="00D85FFD" w:rsidP="0019790A">
            <w:pPr>
              <w:rPr>
                <w:rFonts w:cs="Arial"/>
                <w:szCs w:val="22"/>
                <w:lang w:eastAsia="it-IT"/>
              </w:rPr>
            </w:pPr>
            <w:hyperlink r:id="rId138" w:history="1">
              <w:r w:rsidR="00574F77" w:rsidRPr="00BF0394">
                <w:rPr>
                  <w:rStyle w:val="af0"/>
                  <w:rFonts w:cs="Arial"/>
                  <w:noProof w:val="0"/>
                  <w:sz w:val="22"/>
                  <w:szCs w:val="22"/>
                  <w:lang w:eastAsia="it-IT"/>
                </w:rPr>
                <w:t>biblzhmer09@gmail.com</w:t>
              </w:r>
            </w:hyperlink>
            <w:r w:rsidR="00574F77">
              <w:rPr>
                <w:rFonts w:cs="Arial"/>
                <w:szCs w:val="22"/>
                <w:lang w:eastAsia="it-IT"/>
              </w:rPr>
              <w:t xml:space="preserve"> </w:t>
            </w:r>
          </w:p>
        </w:tc>
      </w:tr>
      <w:tr w:rsidR="00265D4A" w:rsidRPr="0019790A" w14:paraId="3F3C134A" w14:textId="77777777" w:rsidTr="00CF3AAE">
        <w:trPr>
          <w:jc w:val="right"/>
        </w:trPr>
        <w:tc>
          <w:tcPr>
            <w:tcW w:w="3425" w:type="dxa"/>
            <w:vAlign w:val="center"/>
          </w:tcPr>
          <w:p w14:paraId="4718FE5D" w14:textId="77777777" w:rsidR="00265D4A" w:rsidRPr="0019790A" w:rsidRDefault="00265D4A" w:rsidP="0019790A">
            <w:pPr>
              <w:outlineLvl w:val="5"/>
              <w:rPr>
                <w:rFonts w:cs="Arial"/>
                <w:b/>
                <w:bCs/>
                <w:color w:val="000000"/>
                <w:szCs w:val="22"/>
              </w:rPr>
            </w:pPr>
            <w:r w:rsidRPr="0019790A">
              <w:rPr>
                <w:rFonts w:cs="Arial"/>
                <w:b/>
                <w:bCs/>
                <w:color w:val="000000"/>
                <w:szCs w:val="22"/>
              </w:rPr>
              <w:t>Номер і назва завдання з Стратегії</w:t>
            </w:r>
            <w:r w:rsidRPr="0019790A">
              <w:rPr>
                <w:rFonts w:cs="Arial"/>
                <w:b/>
                <w:bCs/>
                <w:szCs w:val="22"/>
                <w:lang w:eastAsia="it-IT"/>
              </w:rPr>
              <w:t xml:space="preserve"> </w:t>
            </w:r>
            <w:r w:rsidRPr="0019790A">
              <w:rPr>
                <w:rFonts w:cs="Arial"/>
                <w:b/>
                <w:bCs/>
                <w:color w:val="000000"/>
                <w:szCs w:val="22"/>
              </w:rPr>
              <w:t>розвитку Жмеринської міської територіальної громади,  якому відповідає проєкт:</w:t>
            </w:r>
          </w:p>
        </w:tc>
        <w:tc>
          <w:tcPr>
            <w:tcW w:w="6794" w:type="dxa"/>
            <w:gridSpan w:val="8"/>
          </w:tcPr>
          <w:p w14:paraId="24E30210" w14:textId="77777777" w:rsidR="00265D4A" w:rsidRPr="00574F77" w:rsidRDefault="00265D4A" w:rsidP="0019790A">
            <w:pPr>
              <w:pBdr>
                <w:left w:val="single" w:sz="18" w:space="4" w:color="auto"/>
              </w:pBdr>
              <w:rPr>
                <w:rFonts w:cs="Arial"/>
                <w:iCs/>
                <w:szCs w:val="22"/>
                <w:lang w:eastAsia="it-IT"/>
              </w:rPr>
            </w:pPr>
            <w:r w:rsidRPr="00574F77">
              <w:rPr>
                <w:rFonts w:cs="Arial"/>
                <w:iCs/>
                <w:szCs w:val="22"/>
                <w:lang w:eastAsia="it-IT"/>
              </w:rPr>
              <w:t>С.3.3. Новітня бібліотека. Підтримка та збереження фонду знань та інформаційного потенціалу для нинішніх і майбутніх поколінь.</w:t>
            </w:r>
          </w:p>
          <w:p w14:paraId="33D2F635" w14:textId="77777777" w:rsidR="00265D4A" w:rsidRPr="00574F77" w:rsidRDefault="00265D4A" w:rsidP="0019790A">
            <w:pPr>
              <w:pBdr>
                <w:left w:val="single" w:sz="18" w:space="4" w:color="auto"/>
              </w:pBdr>
              <w:rPr>
                <w:rFonts w:cs="Arial"/>
                <w:szCs w:val="22"/>
                <w:lang w:eastAsia="it-IT"/>
              </w:rPr>
            </w:pPr>
          </w:p>
        </w:tc>
      </w:tr>
      <w:tr w:rsidR="00265D4A" w:rsidRPr="0019790A" w14:paraId="517D9E37" w14:textId="77777777" w:rsidTr="00574F77">
        <w:trPr>
          <w:jc w:val="right"/>
        </w:trPr>
        <w:tc>
          <w:tcPr>
            <w:tcW w:w="3425" w:type="dxa"/>
            <w:vAlign w:val="center"/>
          </w:tcPr>
          <w:p w14:paraId="7EBCD505" w14:textId="77777777" w:rsidR="00265D4A" w:rsidRPr="0019790A" w:rsidRDefault="00265D4A" w:rsidP="0019790A">
            <w:pPr>
              <w:rPr>
                <w:rFonts w:cs="Arial"/>
                <w:b/>
                <w:bCs/>
                <w:color w:val="000000"/>
                <w:szCs w:val="22"/>
              </w:rPr>
            </w:pPr>
            <w:r w:rsidRPr="0019790A">
              <w:rPr>
                <w:rFonts w:cs="Arial"/>
                <w:b/>
                <w:bCs/>
                <w:color w:val="000000"/>
                <w:szCs w:val="22"/>
              </w:rPr>
              <w:t>Мета проєкту:</w:t>
            </w:r>
          </w:p>
        </w:tc>
        <w:tc>
          <w:tcPr>
            <w:tcW w:w="6794" w:type="dxa"/>
            <w:gridSpan w:val="8"/>
            <w:vAlign w:val="center"/>
          </w:tcPr>
          <w:p w14:paraId="2D452A89" w14:textId="77777777" w:rsidR="00265D4A" w:rsidRPr="0019790A" w:rsidRDefault="00265D4A" w:rsidP="00574F77">
            <w:pPr>
              <w:rPr>
                <w:rFonts w:cs="Arial"/>
                <w:szCs w:val="22"/>
                <w:lang w:eastAsia="it-IT"/>
              </w:rPr>
            </w:pPr>
            <w:r w:rsidRPr="0019790A">
              <w:rPr>
                <w:rFonts w:cs="Arial"/>
                <w:szCs w:val="22"/>
                <w:lang w:eastAsia="it-IT"/>
              </w:rPr>
              <w:t>Забезпечення якісного доступу жителів громади до сучасної, актуальної, пізнавальної та художньої літератури через оновлення та поповнення бібліотечних фондів публічних бібліотек громади.</w:t>
            </w:r>
          </w:p>
        </w:tc>
      </w:tr>
      <w:tr w:rsidR="00265D4A" w:rsidRPr="0019790A" w14:paraId="683CB75B" w14:textId="77777777" w:rsidTr="00574F77">
        <w:trPr>
          <w:jc w:val="right"/>
        </w:trPr>
        <w:tc>
          <w:tcPr>
            <w:tcW w:w="3425" w:type="dxa"/>
            <w:vAlign w:val="center"/>
          </w:tcPr>
          <w:p w14:paraId="5B2B72A7" w14:textId="77777777" w:rsidR="00265D4A" w:rsidRPr="0019790A" w:rsidRDefault="00265D4A" w:rsidP="0019790A">
            <w:pPr>
              <w:rPr>
                <w:rFonts w:cs="Arial"/>
                <w:b/>
                <w:bCs/>
                <w:color w:val="000000"/>
                <w:szCs w:val="22"/>
              </w:rPr>
            </w:pPr>
            <w:r w:rsidRPr="0019790A">
              <w:rPr>
                <w:rFonts w:cs="Arial"/>
                <w:b/>
                <w:bCs/>
                <w:color w:val="000000"/>
                <w:szCs w:val="22"/>
              </w:rPr>
              <w:t>Цілі проєкту:</w:t>
            </w:r>
          </w:p>
        </w:tc>
        <w:tc>
          <w:tcPr>
            <w:tcW w:w="6794" w:type="dxa"/>
            <w:gridSpan w:val="8"/>
            <w:vAlign w:val="center"/>
          </w:tcPr>
          <w:p w14:paraId="2CDA663B" w14:textId="77777777" w:rsidR="00265D4A" w:rsidRPr="0019790A" w:rsidRDefault="00265D4A" w:rsidP="00574F77">
            <w:pPr>
              <w:rPr>
                <w:rFonts w:cs="Arial"/>
                <w:szCs w:val="22"/>
                <w:lang w:eastAsia="it-IT"/>
              </w:rPr>
            </w:pPr>
            <w:r w:rsidRPr="0019790A">
              <w:rPr>
                <w:rFonts w:cs="Arial"/>
                <w:szCs w:val="22"/>
                <w:lang w:eastAsia="it-IT"/>
              </w:rPr>
              <w:t>  Оновлення бібліотечних фондів відповідно до читацьких запитів та згідно постанови Кабміну Міністрів України від 06 лютого 2019 р. № 72 щодо соціальних нормативів забезпечення населення публічними бібліотеками, в якій зазначено, що публічні бібліотеки мають оновлювати свої фонди не менше ніж на 5% щорічно</w:t>
            </w:r>
          </w:p>
          <w:p w14:paraId="5190BF0C" w14:textId="77777777" w:rsidR="00265D4A" w:rsidRPr="0019790A" w:rsidRDefault="00265D4A" w:rsidP="00574F77">
            <w:pPr>
              <w:rPr>
                <w:rFonts w:cs="Arial"/>
                <w:szCs w:val="22"/>
                <w:lang w:eastAsia="it-IT"/>
              </w:rPr>
            </w:pPr>
            <w:r w:rsidRPr="0019790A">
              <w:rPr>
                <w:rFonts w:cs="Arial"/>
                <w:szCs w:val="22"/>
                <w:lang w:eastAsia="it-IT"/>
              </w:rPr>
              <w:t>  Підвищення інтересу до читання серед дітей, молоді та дорослого населення</w:t>
            </w:r>
          </w:p>
          <w:p w14:paraId="38FE127E" w14:textId="77777777" w:rsidR="00265D4A" w:rsidRPr="0019790A" w:rsidRDefault="00265D4A" w:rsidP="00574F77">
            <w:pPr>
              <w:rPr>
                <w:rFonts w:cs="Arial"/>
                <w:szCs w:val="22"/>
                <w:lang w:eastAsia="it-IT"/>
              </w:rPr>
            </w:pPr>
            <w:r w:rsidRPr="0019790A">
              <w:rPr>
                <w:rFonts w:cs="Arial"/>
                <w:szCs w:val="22"/>
                <w:lang w:eastAsia="it-IT"/>
              </w:rPr>
              <w:t>  Забезпечення доступу до нових видань українських авторів, класичної, галузевої та краєзнавчої літератури</w:t>
            </w:r>
          </w:p>
          <w:p w14:paraId="06182B2B" w14:textId="77777777" w:rsidR="00265D4A" w:rsidRPr="0019790A" w:rsidRDefault="00265D4A" w:rsidP="00574F77">
            <w:pPr>
              <w:rPr>
                <w:rFonts w:cs="Arial"/>
                <w:szCs w:val="22"/>
                <w:lang w:eastAsia="it-IT"/>
              </w:rPr>
            </w:pPr>
            <w:r w:rsidRPr="0019790A">
              <w:rPr>
                <w:rFonts w:cs="Arial"/>
                <w:szCs w:val="22"/>
                <w:lang w:eastAsia="it-IT"/>
              </w:rPr>
              <w:t>  Створення комфортного інформаційного середовища в бібліотеках</w:t>
            </w:r>
          </w:p>
        </w:tc>
      </w:tr>
      <w:tr w:rsidR="00265D4A" w:rsidRPr="0019790A" w14:paraId="747E55B1" w14:textId="77777777" w:rsidTr="00574F77">
        <w:trPr>
          <w:jc w:val="right"/>
        </w:trPr>
        <w:tc>
          <w:tcPr>
            <w:tcW w:w="3425" w:type="dxa"/>
            <w:vAlign w:val="center"/>
          </w:tcPr>
          <w:p w14:paraId="7C531ABC" w14:textId="77777777" w:rsidR="00265D4A" w:rsidRPr="0019790A" w:rsidRDefault="00265D4A" w:rsidP="0019790A">
            <w:pPr>
              <w:autoSpaceDE w:val="0"/>
              <w:autoSpaceDN w:val="0"/>
              <w:adjustRightInd w:val="0"/>
              <w:rPr>
                <w:rFonts w:cs="Arial"/>
                <w:b/>
                <w:color w:val="000000"/>
                <w:szCs w:val="22"/>
              </w:rPr>
            </w:pPr>
            <w:r w:rsidRPr="0019790A">
              <w:rPr>
                <w:rFonts w:cs="Arial"/>
                <w:b/>
                <w:color w:val="000000"/>
                <w:szCs w:val="22"/>
              </w:rPr>
              <w:t>Територія на яку проєкт матиме вплив:</w:t>
            </w:r>
          </w:p>
        </w:tc>
        <w:tc>
          <w:tcPr>
            <w:tcW w:w="6794" w:type="dxa"/>
            <w:gridSpan w:val="8"/>
            <w:vAlign w:val="center"/>
          </w:tcPr>
          <w:p w14:paraId="1B35A818" w14:textId="77777777" w:rsidR="00265D4A" w:rsidRPr="0019790A" w:rsidRDefault="00265D4A" w:rsidP="00574F77">
            <w:pPr>
              <w:rPr>
                <w:rFonts w:cs="Arial"/>
                <w:szCs w:val="22"/>
                <w:lang w:eastAsia="it-IT"/>
              </w:rPr>
            </w:pPr>
            <w:r w:rsidRPr="0019790A">
              <w:rPr>
                <w:rFonts w:cs="Arial"/>
                <w:szCs w:val="22"/>
                <w:lang w:eastAsia="it-IT"/>
              </w:rPr>
              <w:t>Населені пункти Жмеринської міської територіальної громади, де функціонують бібліотечні заклади</w:t>
            </w:r>
          </w:p>
        </w:tc>
      </w:tr>
      <w:tr w:rsidR="00265D4A" w:rsidRPr="0019790A" w14:paraId="16BC3992" w14:textId="77777777" w:rsidTr="00574F77">
        <w:trPr>
          <w:jc w:val="right"/>
        </w:trPr>
        <w:tc>
          <w:tcPr>
            <w:tcW w:w="3425" w:type="dxa"/>
            <w:vAlign w:val="center"/>
          </w:tcPr>
          <w:p w14:paraId="2DAA5140" w14:textId="77777777" w:rsidR="00265D4A" w:rsidRPr="0019790A" w:rsidRDefault="00265D4A" w:rsidP="0019790A">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4" w:type="dxa"/>
            <w:gridSpan w:val="8"/>
            <w:vAlign w:val="center"/>
          </w:tcPr>
          <w:p w14:paraId="79FBD817" w14:textId="77777777" w:rsidR="00265D4A" w:rsidRPr="0019790A" w:rsidRDefault="00265D4A" w:rsidP="00574F77">
            <w:pPr>
              <w:rPr>
                <w:rFonts w:cs="Arial"/>
                <w:szCs w:val="22"/>
                <w:lang w:eastAsia="it-IT"/>
              </w:rPr>
            </w:pPr>
            <w:r w:rsidRPr="0019790A">
              <w:rPr>
                <w:rFonts w:cs="Arial"/>
                <w:szCs w:val="22"/>
                <w:lang w:eastAsia="it-IT"/>
              </w:rPr>
              <w:t>  Читачі бібліотек усіх вікових категорій – понад 10 000 осіб</w:t>
            </w:r>
          </w:p>
          <w:p w14:paraId="4D9DF45F" w14:textId="77777777" w:rsidR="00265D4A" w:rsidRPr="0019790A" w:rsidRDefault="00265D4A" w:rsidP="00574F77">
            <w:pPr>
              <w:rPr>
                <w:rFonts w:cs="Arial"/>
                <w:szCs w:val="22"/>
                <w:lang w:eastAsia="it-IT"/>
              </w:rPr>
            </w:pPr>
            <w:r w:rsidRPr="0019790A">
              <w:rPr>
                <w:rFonts w:cs="Arial"/>
                <w:szCs w:val="22"/>
                <w:lang w:eastAsia="it-IT"/>
              </w:rPr>
              <w:t>  Освітяни, учні, студенти – понад 2 000 осіб</w:t>
            </w:r>
          </w:p>
          <w:p w14:paraId="3FB4D0D4" w14:textId="77777777" w:rsidR="00265D4A" w:rsidRPr="0019790A" w:rsidRDefault="00265D4A" w:rsidP="00574F77">
            <w:pPr>
              <w:rPr>
                <w:rFonts w:cs="Arial"/>
                <w:szCs w:val="22"/>
                <w:lang w:eastAsia="it-IT"/>
              </w:rPr>
            </w:pPr>
            <w:r w:rsidRPr="0019790A">
              <w:rPr>
                <w:rFonts w:cs="Arial"/>
                <w:szCs w:val="22"/>
                <w:lang w:eastAsia="it-IT"/>
              </w:rPr>
              <w:t>  Працівники бібліотек – 25 осіб</w:t>
            </w:r>
          </w:p>
        </w:tc>
      </w:tr>
      <w:tr w:rsidR="00265D4A" w:rsidRPr="0019790A" w14:paraId="06970AE0" w14:textId="77777777" w:rsidTr="00574F77">
        <w:trPr>
          <w:jc w:val="right"/>
        </w:trPr>
        <w:tc>
          <w:tcPr>
            <w:tcW w:w="3425" w:type="dxa"/>
            <w:shd w:val="clear" w:color="auto" w:fill="FFFFFF"/>
            <w:vAlign w:val="center"/>
          </w:tcPr>
          <w:p w14:paraId="4DF966BC" w14:textId="77777777" w:rsidR="00265D4A" w:rsidRPr="0019790A" w:rsidRDefault="00265D4A" w:rsidP="0019790A">
            <w:pPr>
              <w:rPr>
                <w:rFonts w:cs="Arial"/>
                <w:b/>
                <w:bCs/>
                <w:color w:val="000000"/>
                <w:szCs w:val="22"/>
              </w:rPr>
            </w:pPr>
            <w:r w:rsidRPr="0019790A">
              <w:rPr>
                <w:rFonts w:cs="Arial"/>
                <w:b/>
                <w:bCs/>
                <w:color w:val="000000"/>
                <w:szCs w:val="22"/>
              </w:rPr>
              <w:t>Стислий опис проєкту:</w:t>
            </w:r>
          </w:p>
        </w:tc>
        <w:tc>
          <w:tcPr>
            <w:tcW w:w="6794" w:type="dxa"/>
            <w:gridSpan w:val="8"/>
            <w:vAlign w:val="center"/>
          </w:tcPr>
          <w:p w14:paraId="73E72C2F" w14:textId="77777777" w:rsidR="00265D4A" w:rsidRPr="0019790A" w:rsidRDefault="00265D4A" w:rsidP="00574F77">
            <w:pPr>
              <w:rPr>
                <w:rFonts w:cs="Arial"/>
                <w:szCs w:val="22"/>
                <w:lang w:eastAsia="it-IT"/>
              </w:rPr>
            </w:pPr>
            <w:r w:rsidRPr="0019790A">
              <w:rPr>
                <w:rFonts w:cs="Arial"/>
                <w:szCs w:val="22"/>
                <w:lang w:eastAsia="it-IT"/>
              </w:rPr>
              <w:t>Проєкт передбачає придбання нових книг до бібліотек громади для задоволення читацьких потреб мешканців: сучасна художня література, література для дітей і молоді, пізнавальні та краєзнавчі видання, книги українських та іноземних авторів. Враховано запити користувачів, бібліотекарів та педагогів. Проєкт передбачає закупівлю літератури, її розподіл між філіями, організацію тематичних виставок і читацьких заходів на основі нових надходжень.</w:t>
            </w:r>
          </w:p>
        </w:tc>
      </w:tr>
      <w:tr w:rsidR="00265D4A" w:rsidRPr="0019790A" w14:paraId="056ED3B5" w14:textId="77777777" w:rsidTr="00574F77">
        <w:trPr>
          <w:jc w:val="right"/>
        </w:trPr>
        <w:tc>
          <w:tcPr>
            <w:tcW w:w="3425" w:type="dxa"/>
            <w:shd w:val="clear" w:color="auto" w:fill="FFFFFF"/>
            <w:vAlign w:val="center"/>
          </w:tcPr>
          <w:p w14:paraId="6B88FA54" w14:textId="77777777" w:rsidR="00265D4A" w:rsidRPr="0019790A" w:rsidRDefault="00265D4A" w:rsidP="0019790A">
            <w:pPr>
              <w:rPr>
                <w:rFonts w:cs="Arial"/>
                <w:b/>
                <w:bCs/>
                <w:color w:val="000000"/>
                <w:szCs w:val="22"/>
              </w:rPr>
            </w:pPr>
            <w:r w:rsidRPr="0019790A">
              <w:rPr>
                <w:rFonts w:cs="Arial"/>
                <w:b/>
                <w:bCs/>
                <w:color w:val="000000"/>
                <w:szCs w:val="22"/>
              </w:rPr>
              <w:t>Основні заходи проєкту:</w:t>
            </w:r>
          </w:p>
        </w:tc>
        <w:tc>
          <w:tcPr>
            <w:tcW w:w="6794" w:type="dxa"/>
            <w:gridSpan w:val="8"/>
            <w:vAlign w:val="center"/>
          </w:tcPr>
          <w:p w14:paraId="00F8693F" w14:textId="77777777" w:rsidR="00265D4A" w:rsidRPr="0019790A" w:rsidRDefault="00265D4A" w:rsidP="00574F77">
            <w:pPr>
              <w:rPr>
                <w:rFonts w:cs="Arial"/>
                <w:szCs w:val="22"/>
                <w:lang w:eastAsia="it-IT"/>
              </w:rPr>
            </w:pPr>
            <w:r w:rsidRPr="0019790A">
              <w:rPr>
                <w:rFonts w:cs="Arial"/>
                <w:szCs w:val="22"/>
                <w:lang w:eastAsia="it-IT"/>
              </w:rPr>
              <w:t>  Аналіз читацьких запитів і формування переліку потрібної літератури</w:t>
            </w:r>
          </w:p>
          <w:p w14:paraId="54EA4BC2" w14:textId="77777777" w:rsidR="00265D4A" w:rsidRPr="0019790A" w:rsidRDefault="00265D4A" w:rsidP="00574F77">
            <w:pPr>
              <w:rPr>
                <w:rFonts w:cs="Arial"/>
                <w:szCs w:val="22"/>
                <w:lang w:eastAsia="it-IT"/>
              </w:rPr>
            </w:pPr>
            <w:r w:rsidRPr="0019790A">
              <w:rPr>
                <w:rFonts w:cs="Arial"/>
                <w:szCs w:val="22"/>
                <w:lang w:eastAsia="it-IT"/>
              </w:rPr>
              <w:t>  Закупівля нових книг</w:t>
            </w:r>
          </w:p>
          <w:p w14:paraId="3B694252" w14:textId="77777777" w:rsidR="00265D4A" w:rsidRPr="0019790A" w:rsidRDefault="00265D4A" w:rsidP="00574F77">
            <w:pPr>
              <w:rPr>
                <w:rFonts w:cs="Arial"/>
                <w:szCs w:val="22"/>
                <w:lang w:eastAsia="it-IT"/>
              </w:rPr>
            </w:pPr>
            <w:r w:rsidRPr="0019790A">
              <w:rPr>
                <w:rFonts w:cs="Arial"/>
                <w:szCs w:val="22"/>
                <w:lang w:eastAsia="it-IT"/>
              </w:rPr>
              <w:t>  Розподіл книжкової продукції між філіями</w:t>
            </w:r>
          </w:p>
          <w:p w14:paraId="502217DC" w14:textId="77777777" w:rsidR="00265D4A" w:rsidRPr="0019790A" w:rsidRDefault="00265D4A" w:rsidP="00574F77">
            <w:pPr>
              <w:rPr>
                <w:rFonts w:cs="Arial"/>
                <w:szCs w:val="22"/>
                <w:lang w:eastAsia="it-IT"/>
              </w:rPr>
            </w:pPr>
            <w:r w:rsidRPr="0019790A">
              <w:rPr>
                <w:rFonts w:cs="Arial"/>
                <w:szCs w:val="22"/>
                <w:lang w:eastAsia="it-IT"/>
              </w:rPr>
              <w:t>  Організація заходів із популяризації нових надходжень</w:t>
            </w:r>
          </w:p>
          <w:p w14:paraId="46FA251E" w14:textId="77777777" w:rsidR="00265D4A" w:rsidRPr="0019790A" w:rsidRDefault="00265D4A" w:rsidP="00574F77">
            <w:pPr>
              <w:rPr>
                <w:rFonts w:cs="Arial"/>
                <w:szCs w:val="22"/>
                <w:lang w:eastAsia="it-IT"/>
              </w:rPr>
            </w:pPr>
            <w:r w:rsidRPr="0019790A">
              <w:rPr>
                <w:rFonts w:cs="Arial"/>
                <w:szCs w:val="22"/>
                <w:lang w:eastAsia="it-IT"/>
              </w:rPr>
              <w:t>  Проведення рекламних кампаній, виставок, оглядів літератури</w:t>
            </w:r>
          </w:p>
        </w:tc>
      </w:tr>
      <w:tr w:rsidR="00265D4A" w:rsidRPr="0019790A" w14:paraId="1EECE3D6" w14:textId="77777777" w:rsidTr="00574F77">
        <w:trPr>
          <w:jc w:val="right"/>
        </w:trPr>
        <w:tc>
          <w:tcPr>
            <w:tcW w:w="3425" w:type="dxa"/>
            <w:shd w:val="clear" w:color="auto" w:fill="FFFFFF"/>
            <w:vAlign w:val="center"/>
          </w:tcPr>
          <w:p w14:paraId="07BC7823" w14:textId="77777777" w:rsidR="00265D4A" w:rsidRPr="0019790A" w:rsidRDefault="00265D4A"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794" w:type="dxa"/>
            <w:gridSpan w:val="8"/>
            <w:vAlign w:val="center"/>
          </w:tcPr>
          <w:p w14:paraId="64597EBA" w14:textId="77777777" w:rsidR="00265D4A" w:rsidRPr="0019790A" w:rsidRDefault="00265D4A" w:rsidP="00574F77">
            <w:pPr>
              <w:rPr>
                <w:rFonts w:cs="Arial"/>
                <w:szCs w:val="22"/>
                <w:lang w:eastAsia="it-IT"/>
              </w:rPr>
            </w:pPr>
            <w:r w:rsidRPr="0019790A">
              <w:rPr>
                <w:rFonts w:cs="Arial"/>
                <w:szCs w:val="22"/>
                <w:lang w:eastAsia="it-IT"/>
              </w:rPr>
              <w:t>  Кількість закуплених книг – не менше 12 000 примірників</w:t>
            </w:r>
          </w:p>
          <w:p w14:paraId="585F7F42" w14:textId="77777777" w:rsidR="00265D4A" w:rsidRPr="0019790A" w:rsidRDefault="00265D4A" w:rsidP="00574F77">
            <w:pPr>
              <w:rPr>
                <w:rFonts w:cs="Arial"/>
                <w:szCs w:val="22"/>
                <w:lang w:eastAsia="it-IT"/>
              </w:rPr>
            </w:pPr>
            <w:r w:rsidRPr="0019790A">
              <w:rPr>
                <w:rFonts w:cs="Arial"/>
                <w:szCs w:val="22"/>
                <w:lang w:eastAsia="it-IT"/>
              </w:rPr>
              <w:t>  Кількість оновлених бібліотек – 20</w:t>
            </w:r>
          </w:p>
          <w:p w14:paraId="62A1F113" w14:textId="77777777" w:rsidR="00265D4A" w:rsidRPr="0019790A" w:rsidRDefault="00265D4A" w:rsidP="00574F77">
            <w:pPr>
              <w:rPr>
                <w:rFonts w:cs="Arial"/>
                <w:szCs w:val="22"/>
                <w:lang w:eastAsia="it-IT"/>
              </w:rPr>
            </w:pPr>
            <w:r w:rsidRPr="0019790A">
              <w:rPr>
                <w:rFonts w:cs="Arial"/>
                <w:szCs w:val="22"/>
                <w:lang w:eastAsia="it-IT"/>
              </w:rPr>
              <w:t>  Кількість тематичних заходів, оглядів – понад 30</w:t>
            </w:r>
          </w:p>
          <w:p w14:paraId="79AA4788" w14:textId="77777777" w:rsidR="00265D4A" w:rsidRPr="0019790A" w:rsidRDefault="00265D4A" w:rsidP="00574F77">
            <w:pPr>
              <w:rPr>
                <w:rFonts w:cs="Arial"/>
                <w:szCs w:val="22"/>
                <w:lang w:eastAsia="it-IT"/>
              </w:rPr>
            </w:pPr>
            <w:r w:rsidRPr="0019790A">
              <w:rPr>
                <w:rFonts w:cs="Arial"/>
                <w:szCs w:val="22"/>
                <w:lang w:eastAsia="it-IT"/>
              </w:rPr>
              <w:t>  Зростання кількості користувачів бібліотек – +20% щороку</w:t>
            </w:r>
          </w:p>
          <w:p w14:paraId="14872040" w14:textId="77777777" w:rsidR="00265D4A" w:rsidRPr="0019790A" w:rsidRDefault="00265D4A" w:rsidP="00574F77">
            <w:pPr>
              <w:rPr>
                <w:rFonts w:cs="Arial"/>
                <w:szCs w:val="22"/>
                <w:lang w:eastAsia="it-IT"/>
              </w:rPr>
            </w:pPr>
            <w:r w:rsidRPr="0019790A">
              <w:rPr>
                <w:rFonts w:cs="Arial"/>
                <w:szCs w:val="22"/>
                <w:lang w:eastAsia="it-IT"/>
              </w:rPr>
              <w:t>  Збільшення кількості прочитаних книг – на 20% щороку</w:t>
            </w:r>
          </w:p>
        </w:tc>
      </w:tr>
      <w:tr w:rsidR="00265D4A" w:rsidRPr="0019790A" w14:paraId="08104E95" w14:textId="77777777" w:rsidTr="00CF3AAE">
        <w:trPr>
          <w:jc w:val="right"/>
        </w:trPr>
        <w:tc>
          <w:tcPr>
            <w:tcW w:w="3425" w:type="dxa"/>
            <w:shd w:val="clear" w:color="auto" w:fill="FFFFFF"/>
            <w:vAlign w:val="center"/>
          </w:tcPr>
          <w:p w14:paraId="00ED3F25" w14:textId="77777777" w:rsidR="00265D4A" w:rsidRPr="0019790A" w:rsidRDefault="00265D4A" w:rsidP="0019790A">
            <w:pPr>
              <w:rPr>
                <w:rFonts w:cs="Arial"/>
                <w:b/>
                <w:color w:val="000000"/>
                <w:szCs w:val="22"/>
              </w:rPr>
            </w:pPr>
            <w:r w:rsidRPr="0019790A">
              <w:rPr>
                <w:rFonts w:cs="Arial"/>
                <w:b/>
                <w:color w:val="000000"/>
                <w:szCs w:val="22"/>
              </w:rPr>
              <w:t xml:space="preserve">Період здійснення: </w:t>
            </w:r>
          </w:p>
        </w:tc>
        <w:tc>
          <w:tcPr>
            <w:tcW w:w="6794" w:type="dxa"/>
            <w:gridSpan w:val="8"/>
            <w:vAlign w:val="center"/>
          </w:tcPr>
          <w:p w14:paraId="289C1CF9" w14:textId="77777777" w:rsidR="00265D4A" w:rsidRPr="0019790A" w:rsidRDefault="00265D4A" w:rsidP="0019790A">
            <w:pPr>
              <w:rPr>
                <w:rFonts w:cs="Arial"/>
                <w:color w:val="000000"/>
                <w:szCs w:val="22"/>
                <w:lang w:eastAsia="it-IT"/>
              </w:rPr>
            </w:pPr>
            <w:r w:rsidRPr="0019790A">
              <w:rPr>
                <w:rFonts w:cs="Arial"/>
                <w:b/>
                <w:color w:val="000000"/>
                <w:szCs w:val="22"/>
              </w:rPr>
              <w:t>2025 – 2028 роки:</w:t>
            </w:r>
          </w:p>
        </w:tc>
      </w:tr>
      <w:tr w:rsidR="00265D4A" w:rsidRPr="0019790A" w14:paraId="7CDBC5F3" w14:textId="77777777" w:rsidTr="00574F77">
        <w:trPr>
          <w:trHeight w:val="398"/>
          <w:jc w:val="right"/>
        </w:trPr>
        <w:tc>
          <w:tcPr>
            <w:tcW w:w="3425" w:type="dxa"/>
            <w:vMerge w:val="restart"/>
            <w:shd w:val="clear" w:color="auto" w:fill="FFFFFF"/>
            <w:vAlign w:val="center"/>
          </w:tcPr>
          <w:p w14:paraId="74A36C1A" w14:textId="77777777" w:rsidR="00265D4A" w:rsidRPr="0019790A" w:rsidRDefault="00265D4A" w:rsidP="0019790A">
            <w:pPr>
              <w:rPr>
                <w:rFonts w:cs="Arial"/>
                <w:b/>
                <w:bCs/>
                <w:color w:val="000000"/>
                <w:szCs w:val="22"/>
              </w:rPr>
            </w:pPr>
            <w:r w:rsidRPr="0019790A">
              <w:rPr>
                <w:rFonts w:cs="Arial"/>
                <w:b/>
                <w:bCs/>
                <w:color w:val="000000"/>
                <w:szCs w:val="22"/>
              </w:rPr>
              <w:t>Орієнтовна вартість проєкту, тис. грн., в тому числі:</w:t>
            </w:r>
          </w:p>
        </w:tc>
        <w:tc>
          <w:tcPr>
            <w:tcW w:w="1254" w:type="dxa"/>
            <w:gridSpan w:val="2"/>
            <w:shd w:val="clear" w:color="auto" w:fill="E6E6E6"/>
            <w:vAlign w:val="center"/>
          </w:tcPr>
          <w:p w14:paraId="3C770BF5" w14:textId="77777777" w:rsidR="00265D4A" w:rsidRPr="0019790A" w:rsidRDefault="00265D4A" w:rsidP="0019790A">
            <w:pPr>
              <w:jc w:val="center"/>
              <w:rPr>
                <w:rFonts w:cs="Arial"/>
                <w:b/>
                <w:color w:val="000000"/>
                <w:szCs w:val="22"/>
                <w:lang w:eastAsia="it-IT"/>
              </w:rPr>
            </w:pPr>
            <w:r w:rsidRPr="0019790A">
              <w:rPr>
                <w:rFonts w:cs="Arial"/>
                <w:b/>
                <w:color w:val="000000"/>
                <w:szCs w:val="22"/>
                <w:lang w:eastAsia="it-IT"/>
              </w:rPr>
              <w:t>2025</w:t>
            </w:r>
          </w:p>
        </w:tc>
        <w:tc>
          <w:tcPr>
            <w:tcW w:w="1275" w:type="dxa"/>
            <w:gridSpan w:val="2"/>
            <w:shd w:val="clear" w:color="auto" w:fill="E6E6E6"/>
            <w:vAlign w:val="center"/>
          </w:tcPr>
          <w:p w14:paraId="3E128474" w14:textId="77777777" w:rsidR="00265D4A" w:rsidRPr="0019790A" w:rsidRDefault="00265D4A" w:rsidP="0019790A">
            <w:pPr>
              <w:jc w:val="center"/>
              <w:rPr>
                <w:rFonts w:cs="Arial"/>
                <w:b/>
                <w:color w:val="000000"/>
                <w:szCs w:val="22"/>
                <w:lang w:eastAsia="it-IT"/>
              </w:rPr>
            </w:pPr>
            <w:r w:rsidRPr="0019790A">
              <w:rPr>
                <w:rFonts w:cs="Arial"/>
                <w:b/>
                <w:color w:val="000000"/>
                <w:szCs w:val="22"/>
                <w:lang w:eastAsia="it-IT"/>
              </w:rPr>
              <w:t>2026</w:t>
            </w:r>
          </w:p>
        </w:tc>
        <w:tc>
          <w:tcPr>
            <w:tcW w:w="1418" w:type="dxa"/>
            <w:tcBorders>
              <w:bottom w:val="single" w:sz="4" w:space="0" w:color="auto"/>
            </w:tcBorders>
            <w:shd w:val="clear" w:color="auto" w:fill="E6E6E6"/>
            <w:vAlign w:val="center"/>
          </w:tcPr>
          <w:p w14:paraId="677036CC" w14:textId="77777777" w:rsidR="00265D4A" w:rsidRPr="0019790A" w:rsidRDefault="00265D4A" w:rsidP="0019790A">
            <w:pPr>
              <w:jc w:val="center"/>
              <w:rPr>
                <w:rFonts w:cs="Arial"/>
                <w:b/>
                <w:color w:val="000000"/>
                <w:szCs w:val="22"/>
                <w:lang w:eastAsia="it-IT"/>
              </w:rPr>
            </w:pPr>
            <w:r w:rsidRPr="0019790A">
              <w:rPr>
                <w:rFonts w:cs="Arial"/>
                <w:b/>
                <w:color w:val="000000"/>
                <w:szCs w:val="22"/>
                <w:lang w:eastAsia="it-IT"/>
              </w:rPr>
              <w:t>2027</w:t>
            </w:r>
          </w:p>
        </w:tc>
        <w:tc>
          <w:tcPr>
            <w:tcW w:w="1276" w:type="dxa"/>
            <w:gridSpan w:val="2"/>
            <w:shd w:val="clear" w:color="auto" w:fill="E6E6E6"/>
            <w:vAlign w:val="center"/>
          </w:tcPr>
          <w:p w14:paraId="56F31616" w14:textId="77777777" w:rsidR="00265D4A" w:rsidRPr="0019790A" w:rsidRDefault="00265D4A" w:rsidP="0019790A">
            <w:pPr>
              <w:jc w:val="center"/>
              <w:rPr>
                <w:rFonts w:cs="Arial"/>
                <w:b/>
                <w:color w:val="000000"/>
                <w:szCs w:val="22"/>
                <w:lang w:eastAsia="it-IT"/>
              </w:rPr>
            </w:pPr>
            <w:r w:rsidRPr="0019790A">
              <w:rPr>
                <w:rFonts w:cs="Arial"/>
                <w:b/>
                <w:color w:val="000000"/>
                <w:szCs w:val="22"/>
                <w:lang w:eastAsia="it-IT"/>
              </w:rPr>
              <w:t>2028</w:t>
            </w:r>
          </w:p>
        </w:tc>
        <w:tc>
          <w:tcPr>
            <w:tcW w:w="1571" w:type="dxa"/>
            <w:shd w:val="clear" w:color="auto" w:fill="E6E6E6"/>
            <w:vAlign w:val="center"/>
          </w:tcPr>
          <w:p w14:paraId="46A32C00" w14:textId="77777777" w:rsidR="00265D4A" w:rsidRPr="0019790A" w:rsidRDefault="00265D4A" w:rsidP="0019790A">
            <w:pPr>
              <w:jc w:val="center"/>
              <w:rPr>
                <w:rFonts w:cs="Arial"/>
                <w:b/>
                <w:color w:val="000000"/>
                <w:szCs w:val="22"/>
                <w:lang w:eastAsia="it-IT"/>
              </w:rPr>
            </w:pPr>
            <w:r w:rsidRPr="0019790A">
              <w:rPr>
                <w:rFonts w:cs="Arial"/>
                <w:b/>
                <w:color w:val="000000"/>
                <w:szCs w:val="22"/>
                <w:lang w:eastAsia="it-IT"/>
              </w:rPr>
              <w:t>РАЗОМ</w:t>
            </w:r>
          </w:p>
        </w:tc>
      </w:tr>
      <w:tr w:rsidR="00265D4A" w:rsidRPr="0019790A" w14:paraId="31476329" w14:textId="77777777" w:rsidTr="00CF3AAE">
        <w:trPr>
          <w:jc w:val="right"/>
        </w:trPr>
        <w:tc>
          <w:tcPr>
            <w:tcW w:w="3425" w:type="dxa"/>
            <w:vMerge/>
            <w:shd w:val="clear" w:color="auto" w:fill="FFFFFF"/>
            <w:vAlign w:val="center"/>
          </w:tcPr>
          <w:p w14:paraId="16460633" w14:textId="77777777" w:rsidR="00265D4A" w:rsidRPr="0019790A" w:rsidRDefault="00265D4A" w:rsidP="0019790A">
            <w:pPr>
              <w:rPr>
                <w:rFonts w:cs="Arial"/>
                <w:b/>
                <w:bCs/>
                <w:color w:val="000000"/>
                <w:szCs w:val="22"/>
              </w:rPr>
            </w:pPr>
          </w:p>
        </w:tc>
        <w:tc>
          <w:tcPr>
            <w:tcW w:w="1254" w:type="dxa"/>
            <w:gridSpan w:val="2"/>
            <w:vAlign w:val="center"/>
          </w:tcPr>
          <w:p w14:paraId="17687D04" w14:textId="77777777" w:rsidR="00265D4A" w:rsidRPr="0019790A" w:rsidRDefault="00265D4A" w:rsidP="0019790A">
            <w:pPr>
              <w:jc w:val="center"/>
              <w:rPr>
                <w:rFonts w:cs="Arial"/>
                <w:b/>
                <w:color w:val="000000"/>
                <w:szCs w:val="22"/>
                <w:lang w:eastAsia="it-IT"/>
              </w:rPr>
            </w:pPr>
            <w:r w:rsidRPr="0019790A">
              <w:rPr>
                <w:rFonts w:cs="Arial"/>
                <w:b/>
                <w:color w:val="000000"/>
                <w:szCs w:val="22"/>
                <w:lang w:eastAsia="it-IT"/>
              </w:rPr>
              <w:t>100,0</w:t>
            </w:r>
          </w:p>
        </w:tc>
        <w:tc>
          <w:tcPr>
            <w:tcW w:w="1275" w:type="dxa"/>
            <w:gridSpan w:val="2"/>
            <w:shd w:val="clear" w:color="auto" w:fill="FFFFFF"/>
            <w:vAlign w:val="center"/>
          </w:tcPr>
          <w:p w14:paraId="1E90B58E" w14:textId="77777777" w:rsidR="00265D4A" w:rsidRPr="0019790A" w:rsidRDefault="00265D4A" w:rsidP="0019790A">
            <w:pPr>
              <w:jc w:val="center"/>
              <w:rPr>
                <w:rFonts w:cs="Arial"/>
                <w:b/>
                <w:color w:val="000000"/>
                <w:szCs w:val="22"/>
                <w:lang w:eastAsia="it-IT"/>
              </w:rPr>
            </w:pPr>
            <w:r w:rsidRPr="0019790A">
              <w:rPr>
                <w:rFonts w:cs="Arial"/>
                <w:b/>
                <w:color w:val="000000"/>
                <w:szCs w:val="22"/>
                <w:lang w:eastAsia="it-IT"/>
              </w:rPr>
              <w:t>1600,0</w:t>
            </w:r>
          </w:p>
        </w:tc>
        <w:tc>
          <w:tcPr>
            <w:tcW w:w="1418" w:type="dxa"/>
            <w:shd w:val="clear" w:color="auto" w:fill="auto"/>
            <w:vAlign w:val="center"/>
          </w:tcPr>
          <w:p w14:paraId="3091DDC8" w14:textId="77777777" w:rsidR="00265D4A" w:rsidRPr="0019790A" w:rsidRDefault="00265D4A" w:rsidP="0019790A">
            <w:pPr>
              <w:jc w:val="center"/>
              <w:rPr>
                <w:rFonts w:cs="Arial"/>
                <w:b/>
                <w:color w:val="000000"/>
                <w:szCs w:val="22"/>
                <w:lang w:eastAsia="it-IT"/>
              </w:rPr>
            </w:pPr>
            <w:r w:rsidRPr="0019790A">
              <w:rPr>
                <w:rFonts w:cs="Arial"/>
                <w:b/>
                <w:color w:val="000000"/>
                <w:szCs w:val="22"/>
                <w:lang w:eastAsia="it-IT"/>
              </w:rPr>
              <w:t>1600,0</w:t>
            </w:r>
          </w:p>
        </w:tc>
        <w:tc>
          <w:tcPr>
            <w:tcW w:w="1276" w:type="dxa"/>
            <w:gridSpan w:val="2"/>
            <w:shd w:val="clear" w:color="auto" w:fill="FFFFFF"/>
            <w:vAlign w:val="center"/>
          </w:tcPr>
          <w:p w14:paraId="66F60949" w14:textId="77777777" w:rsidR="00265D4A" w:rsidRPr="0019790A" w:rsidRDefault="00265D4A" w:rsidP="0019790A">
            <w:pPr>
              <w:jc w:val="center"/>
              <w:rPr>
                <w:rFonts w:cs="Arial"/>
                <w:b/>
                <w:color w:val="000000"/>
                <w:szCs w:val="22"/>
                <w:lang w:eastAsia="it-IT"/>
              </w:rPr>
            </w:pPr>
            <w:r w:rsidRPr="0019790A">
              <w:rPr>
                <w:rFonts w:cs="Arial"/>
                <w:b/>
                <w:color w:val="000000"/>
                <w:szCs w:val="22"/>
                <w:lang w:eastAsia="it-IT"/>
              </w:rPr>
              <w:t>1600,0</w:t>
            </w:r>
          </w:p>
        </w:tc>
        <w:tc>
          <w:tcPr>
            <w:tcW w:w="1571" w:type="dxa"/>
            <w:shd w:val="clear" w:color="auto" w:fill="FFFFFF"/>
            <w:vAlign w:val="center"/>
          </w:tcPr>
          <w:p w14:paraId="07CF283D" w14:textId="77777777" w:rsidR="00265D4A" w:rsidRPr="0019790A" w:rsidRDefault="00265D4A" w:rsidP="0019790A">
            <w:pPr>
              <w:jc w:val="center"/>
              <w:rPr>
                <w:rFonts w:cs="Arial"/>
                <w:b/>
                <w:color w:val="000000"/>
                <w:szCs w:val="22"/>
                <w:lang w:eastAsia="it-IT"/>
              </w:rPr>
            </w:pPr>
            <w:r w:rsidRPr="0019790A">
              <w:rPr>
                <w:rFonts w:cs="Arial"/>
                <w:b/>
                <w:color w:val="000000"/>
                <w:szCs w:val="22"/>
                <w:lang w:eastAsia="it-IT"/>
              </w:rPr>
              <w:t>4900,0</w:t>
            </w:r>
          </w:p>
        </w:tc>
      </w:tr>
      <w:tr w:rsidR="00265D4A" w:rsidRPr="0019790A" w14:paraId="21A52B51" w14:textId="77777777" w:rsidTr="00CF3AAE">
        <w:trPr>
          <w:trHeight w:val="276"/>
          <w:jc w:val="right"/>
        </w:trPr>
        <w:tc>
          <w:tcPr>
            <w:tcW w:w="3425" w:type="dxa"/>
            <w:shd w:val="clear" w:color="auto" w:fill="FFFFFF"/>
            <w:vAlign w:val="center"/>
          </w:tcPr>
          <w:p w14:paraId="1AB3DBD0" w14:textId="77777777" w:rsidR="00265D4A" w:rsidRPr="0019790A" w:rsidRDefault="00265D4A" w:rsidP="0019790A">
            <w:pPr>
              <w:rPr>
                <w:rFonts w:cs="Arial"/>
                <w:b/>
                <w:bCs/>
                <w:color w:val="000000"/>
                <w:szCs w:val="22"/>
              </w:rPr>
            </w:pPr>
            <w:r w:rsidRPr="0019790A">
              <w:rPr>
                <w:rFonts w:cs="Arial"/>
                <w:b/>
                <w:bCs/>
                <w:color w:val="000000"/>
                <w:szCs w:val="22"/>
              </w:rPr>
              <w:t>по джерелах фінансування:</w:t>
            </w:r>
          </w:p>
        </w:tc>
        <w:tc>
          <w:tcPr>
            <w:tcW w:w="6794" w:type="dxa"/>
            <w:gridSpan w:val="8"/>
            <w:vAlign w:val="center"/>
          </w:tcPr>
          <w:p w14:paraId="01046BB8" w14:textId="77777777" w:rsidR="00265D4A" w:rsidRPr="0019790A" w:rsidRDefault="00265D4A" w:rsidP="0019790A">
            <w:pPr>
              <w:jc w:val="both"/>
              <w:rPr>
                <w:rFonts w:cs="Arial"/>
                <w:color w:val="000000"/>
                <w:szCs w:val="22"/>
                <w:lang w:eastAsia="it-IT"/>
              </w:rPr>
            </w:pPr>
          </w:p>
        </w:tc>
      </w:tr>
      <w:tr w:rsidR="00574F77" w:rsidRPr="0019790A" w14:paraId="27B7529C" w14:textId="1E781C91" w:rsidTr="00574F77">
        <w:trPr>
          <w:trHeight w:val="240"/>
          <w:jc w:val="right"/>
        </w:trPr>
        <w:tc>
          <w:tcPr>
            <w:tcW w:w="3425" w:type="dxa"/>
            <w:shd w:val="clear" w:color="auto" w:fill="FFFFFF"/>
            <w:vAlign w:val="center"/>
          </w:tcPr>
          <w:p w14:paraId="587B821D" w14:textId="77777777" w:rsidR="00574F77" w:rsidRPr="0019790A" w:rsidRDefault="00574F77" w:rsidP="00574F77">
            <w:pPr>
              <w:rPr>
                <w:rFonts w:cs="Arial"/>
                <w:b/>
                <w:bCs/>
                <w:color w:val="000000"/>
                <w:szCs w:val="22"/>
              </w:rPr>
            </w:pPr>
            <w:r w:rsidRPr="0019790A">
              <w:rPr>
                <w:rFonts w:cs="Arial"/>
                <w:color w:val="000000"/>
                <w:szCs w:val="22"/>
              </w:rPr>
              <w:t>- державний бюджет</w:t>
            </w:r>
          </w:p>
        </w:tc>
        <w:tc>
          <w:tcPr>
            <w:tcW w:w="1240" w:type="dxa"/>
            <w:vAlign w:val="center"/>
          </w:tcPr>
          <w:p w14:paraId="153B8704" w14:textId="5894A0D9" w:rsidR="00574F77" w:rsidRPr="00574F77" w:rsidRDefault="00574F77" w:rsidP="00574F77">
            <w:pPr>
              <w:jc w:val="center"/>
              <w:rPr>
                <w:rFonts w:cs="Arial"/>
                <w:color w:val="000000"/>
                <w:szCs w:val="22"/>
                <w:lang w:eastAsia="it-IT"/>
              </w:rPr>
            </w:pPr>
          </w:p>
        </w:tc>
        <w:tc>
          <w:tcPr>
            <w:tcW w:w="1265" w:type="dxa"/>
            <w:gridSpan w:val="2"/>
            <w:vAlign w:val="center"/>
          </w:tcPr>
          <w:p w14:paraId="600254C5" w14:textId="4A1A6BFB" w:rsidR="00574F77" w:rsidRPr="00574F77" w:rsidRDefault="00574F77" w:rsidP="00574F77">
            <w:pPr>
              <w:jc w:val="center"/>
              <w:rPr>
                <w:rFonts w:cs="Arial"/>
                <w:color w:val="000000"/>
                <w:szCs w:val="22"/>
                <w:lang w:eastAsia="it-IT"/>
              </w:rPr>
            </w:pPr>
            <w:r w:rsidRPr="00574F77">
              <w:rPr>
                <w:rFonts w:cs="Arial"/>
                <w:color w:val="000000"/>
                <w:szCs w:val="22"/>
                <w:lang w:eastAsia="it-IT"/>
              </w:rPr>
              <w:t>1600,0</w:t>
            </w:r>
          </w:p>
        </w:tc>
        <w:tc>
          <w:tcPr>
            <w:tcW w:w="1453" w:type="dxa"/>
            <w:gridSpan w:val="3"/>
            <w:vAlign w:val="center"/>
          </w:tcPr>
          <w:p w14:paraId="05555C4F" w14:textId="72AD45C3" w:rsidR="00574F77" w:rsidRPr="00574F77" w:rsidRDefault="00574F77" w:rsidP="00574F77">
            <w:pPr>
              <w:jc w:val="center"/>
              <w:rPr>
                <w:rFonts w:cs="Arial"/>
                <w:color w:val="000000"/>
                <w:szCs w:val="22"/>
                <w:lang w:eastAsia="it-IT"/>
              </w:rPr>
            </w:pPr>
            <w:r w:rsidRPr="00574F77">
              <w:rPr>
                <w:rFonts w:cs="Arial"/>
                <w:color w:val="000000"/>
                <w:szCs w:val="22"/>
                <w:lang w:eastAsia="it-IT"/>
              </w:rPr>
              <w:t>1600,0</w:t>
            </w:r>
          </w:p>
        </w:tc>
        <w:tc>
          <w:tcPr>
            <w:tcW w:w="1265" w:type="dxa"/>
            <w:vAlign w:val="center"/>
          </w:tcPr>
          <w:p w14:paraId="75067F17" w14:textId="7C5A31E9" w:rsidR="00574F77" w:rsidRPr="00574F77" w:rsidRDefault="00574F77" w:rsidP="00574F77">
            <w:pPr>
              <w:jc w:val="center"/>
              <w:rPr>
                <w:rFonts w:cs="Arial"/>
                <w:color w:val="000000"/>
                <w:szCs w:val="22"/>
                <w:lang w:eastAsia="it-IT"/>
              </w:rPr>
            </w:pPr>
            <w:r w:rsidRPr="00574F77">
              <w:rPr>
                <w:rFonts w:cs="Arial"/>
                <w:color w:val="000000"/>
                <w:szCs w:val="22"/>
                <w:lang w:eastAsia="it-IT"/>
              </w:rPr>
              <w:t>1600,0</w:t>
            </w:r>
          </w:p>
        </w:tc>
        <w:tc>
          <w:tcPr>
            <w:tcW w:w="1571" w:type="dxa"/>
            <w:vAlign w:val="center"/>
          </w:tcPr>
          <w:p w14:paraId="00ECB235" w14:textId="51431E78" w:rsidR="00574F77" w:rsidRPr="00574F77" w:rsidRDefault="00574F77" w:rsidP="00574F77">
            <w:pPr>
              <w:jc w:val="center"/>
              <w:rPr>
                <w:rFonts w:cs="Arial"/>
                <w:color w:val="000000"/>
                <w:szCs w:val="22"/>
                <w:lang w:eastAsia="it-IT"/>
              </w:rPr>
            </w:pPr>
            <w:r w:rsidRPr="00574F77">
              <w:rPr>
                <w:rFonts w:cs="Arial"/>
                <w:szCs w:val="22"/>
              </w:rPr>
              <w:t>4800,0</w:t>
            </w:r>
          </w:p>
        </w:tc>
      </w:tr>
      <w:tr w:rsidR="00574F77" w:rsidRPr="0019790A" w14:paraId="1073A4DB" w14:textId="43F1B96E" w:rsidTr="00574F77">
        <w:trPr>
          <w:trHeight w:val="254"/>
          <w:jc w:val="right"/>
        </w:trPr>
        <w:tc>
          <w:tcPr>
            <w:tcW w:w="3425" w:type="dxa"/>
            <w:shd w:val="clear" w:color="auto" w:fill="FFFFFF"/>
            <w:vAlign w:val="center"/>
          </w:tcPr>
          <w:p w14:paraId="3EE90051" w14:textId="77777777" w:rsidR="00574F77" w:rsidRPr="0019790A" w:rsidRDefault="00574F77" w:rsidP="00574F77">
            <w:pPr>
              <w:rPr>
                <w:rFonts w:cs="Arial"/>
                <w:color w:val="000000"/>
                <w:szCs w:val="22"/>
              </w:rPr>
            </w:pPr>
            <w:r w:rsidRPr="0019790A">
              <w:rPr>
                <w:rFonts w:cs="Arial"/>
                <w:color w:val="000000"/>
                <w:szCs w:val="22"/>
              </w:rPr>
              <w:t>- обласний бюджет</w:t>
            </w:r>
          </w:p>
        </w:tc>
        <w:tc>
          <w:tcPr>
            <w:tcW w:w="1240" w:type="dxa"/>
            <w:vAlign w:val="center"/>
          </w:tcPr>
          <w:p w14:paraId="0BBDEE82" w14:textId="77777777" w:rsidR="00574F77" w:rsidRPr="00574F77" w:rsidRDefault="00574F77" w:rsidP="00574F77">
            <w:pPr>
              <w:jc w:val="center"/>
              <w:rPr>
                <w:rFonts w:cs="Arial"/>
                <w:color w:val="000000"/>
                <w:szCs w:val="22"/>
                <w:lang w:eastAsia="it-IT"/>
              </w:rPr>
            </w:pPr>
          </w:p>
        </w:tc>
        <w:tc>
          <w:tcPr>
            <w:tcW w:w="1265" w:type="dxa"/>
            <w:gridSpan w:val="2"/>
            <w:vAlign w:val="center"/>
          </w:tcPr>
          <w:p w14:paraId="146AAA5F" w14:textId="77777777" w:rsidR="00574F77" w:rsidRPr="00574F77" w:rsidRDefault="00574F77" w:rsidP="00574F77">
            <w:pPr>
              <w:jc w:val="center"/>
              <w:rPr>
                <w:rFonts w:cs="Arial"/>
                <w:color w:val="000000"/>
                <w:szCs w:val="22"/>
                <w:lang w:eastAsia="it-IT"/>
              </w:rPr>
            </w:pPr>
          </w:p>
        </w:tc>
        <w:tc>
          <w:tcPr>
            <w:tcW w:w="1453" w:type="dxa"/>
            <w:gridSpan w:val="3"/>
            <w:vAlign w:val="center"/>
          </w:tcPr>
          <w:p w14:paraId="22838A7C" w14:textId="77777777" w:rsidR="00574F77" w:rsidRPr="00574F77" w:rsidRDefault="00574F77" w:rsidP="00574F77">
            <w:pPr>
              <w:jc w:val="center"/>
              <w:rPr>
                <w:rFonts w:cs="Arial"/>
                <w:color w:val="000000"/>
                <w:szCs w:val="22"/>
                <w:lang w:eastAsia="it-IT"/>
              </w:rPr>
            </w:pPr>
          </w:p>
        </w:tc>
        <w:tc>
          <w:tcPr>
            <w:tcW w:w="1265" w:type="dxa"/>
            <w:vAlign w:val="center"/>
          </w:tcPr>
          <w:p w14:paraId="5B1D5479" w14:textId="77777777" w:rsidR="00574F77" w:rsidRPr="00574F77" w:rsidRDefault="00574F77" w:rsidP="00574F77">
            <w:pPr>
              <w:jc w:val="center"/>
              <w:rPr>
                <w:rFonts w:cs="Arial"/>
                <w:color w:val="000000"/>
                <w:szCs w:val="22"/>
                <w:lang w:eastAsia="it-IT"/>
              </w:rPr>
            </w:pPr>
          </w:p>
        </w:tc>
        <w:tc>
          <w:tcPr>
            <w:tcW w:w="1571" w:type="dxa"/>
            <w:vAlign w:val="center"/>
          </w:tcPr>
          <w:p w14:paraId="2B638B67" w14:textId="77777777" w:rsidR="00574F77" w:rsidRPr="00574F77" w:rsidRDefault="00574F77" w:rsidP="00574F77">
            <w:pPr>
              <w:jc w:val="center"/>
              <w:rPr>
                <w:rFonts w:cs="Arial"/>
                <w:color w:val="000000"/>
                <w:szCs w:val="22"/>
                <w:lang w:eastAsia="it-IT"/>
              </w:rPr>
            </w:pPr>
          </w:p>
        </w:tc>
      </w:tr>
      <w:tr w:rsidR="00574F77" w:rsidRPr="0019790A" w14:paraId="3810B386" w14:textId="33C38ABA" w:rsidTr="00574F77">
        <w:trPr>
          <w:trHeight w:val="275"/>
          <w:jc w:val="right"/>
        </w:trPr>
        <w:tc>
          <w:tcPr>
            <w:tcW w:w="3425" w:type="dxa"/>
            <w:shd w:val="clear" w:color="auto" w:fill="FFFFFF"/>
            <w:vAlign w:val="center"/>
          </w:tcPr>
          <w:p w14:paraId="3F881ECE" w14:textId="77777777" w:rsidR="00574F77" w:rsidRPr="0019790A" w:rsidRDefault="00574F77" w:rsidP="00574F77">
            <w:pPr>
              <w:rPr>
                <w:rFonts w:cs="Arial"/>
                <w:color w:val="000000"/>
                <w:szCs w:val="22"/>
              </w:rPr>
            </w:pPr>
            <w:r w:rsidRPr="0019790A">
              <w:rPr>
                <w:rFonts w:cs="Arial"/>
                <w:color w:val="000000"/>
                <w:szCs w:val="22"/>
              </w:rPr>
              <w:t>- бюджет Жмеринської МТГ</w:t>
            </w:r>
          </w:p>
        </w:tc>
        <w:tc>
          <w:tcPr>
            <w:tcW w:w="1240" w:type="dxa"/>
            <w:vAlign w:val="center"/>
          </w:tcPr>
          <w:p w14:paraId="641295FB" w14:textId="58EB8B42" w:rsidR="00574F77" w:rsidRPr="00574F77" w:rsidRDefault="00574F77" w:rsidP="00574F77">
            <w:pPr>
              <w:jc w:val="center"/>
              <w:rPr>
                <w:rFonts w:cs="Arial"/>
                <w:color w:val="000000"/>
                <w:szCs w:val="22"/>
                <w:lang w:eastAsia="it-IT"/>
              </w:rPr>
            </w:pPr>
            <w:r w:rsidRPr="00574F77">
              <w:rPr>
                <w:rFonts w:cs="Arial"/>
                <w:color w:val="000000"/>
                <w:szCs w:val="22"/>
                <w:lang w:eastAsia="it-IT"/>
              </w:rPr>
              <w:t>100,0</w:t>
            </w:r>
          </w:p>
        </w:tc>
        <w:tc>
          <w:tcPr>
            <w:tcW w:w="1265" w:type="dxa"/>
            <w:gridSpan w:val="2"/>
            <w:vAlign w:val="center"/>
          </w:tcPr>
          <w:p w14:paraId="2C0EFE4C" w14:textId="100A15BF" w:rsidR="00574F77" w:rsidRPr="00574F77" w:rsidRDefault="00574F77" w:rsidP="00574F77">
            <w:pPr>
              <w:jc w:val="center"/>
              <w:rPr>
                <w:rFonts w:cs="Arial"/>
                <w:color w:val="000000"/>
                <w:szCs w:val="22"/>
                <w:lang w:eastAsia="it-IT"/>
              </w:rPr>
            </w:pPr>
          </w:p>
        </w:tc>
        <w:tc>
          <w:tcPr>
            <w:tcW w:w="1453" w:type="dxa"/>
            <w:gridSpan w:val="3"/>
            <w:vAlign w:val="center"/>
          </w:tcPr>
          <w:p w14:paraId="57A47BFB" w14:textId="252264E9" w:rsidR="00574F77" w:rsidRPr="00574F77" w:rsidRDefault="00574F77" w:rsidP="00574F77">
            <w:pPr>
              <w:jc w:val="center"/>
              <w:rPr>
                <w:rFonts w:cs="Arial"/>
                <w:color w:val="000000"/>
                <w:szCs w:val="22"/>
                <w:lang w:eastAsia="it-IT"/>
              </w:rPr>
            </w:pPr>
          </w:p>
        </w:tc>
        <w:tc>
          <w:tcPr>
            <w:tcW w:w="1265" w:type="dxa"/>
            <w:vAlign w:val="center"/>
          </w:tcPr>
          <w:p w14:paraId="0DF360B9" w14:textId="0F7588AD" w:rsidR="00574F77" w:rsidRPr="00574F77" w:rsidRDefault="00574F77" w:rsidP="00574F77">
            <w:pPr>
              <w:jc w:val="center"/>
              <w:rPr>
                <w:rFonts w:cs="Arial"/>
                <w:color w:val="000000"/>
                <w:szCs w:val="22"/>
                <w:lang w:eastAsia="it-IT"/>
              </w:rPr>
            </w:pPr>
          </w:p>
        </w:tc>
        <w:tc>
          <w:tcPr>
            <w:tcW w:w="1571" w:type="dxa"/>
            <w:vAlign w:val="center"/>
          </w:tcPr>
          <w:p w14:paraId="6FADC23B" w14:textId="0FF39A5D" w:rsidR="00574F77" w:rsidRPr="00574F77" w:rsidRDefault="00574F77" w:rsidP="00574F77">
            <w:pPr>
              <w:jc w:val="center"/>
              <w:rPr>
                <w:rFonts w:cs="Arial"/>
                <w:color w:val="000000"/>
                <w:szCs w:val="22"/>
                <w:lang w:eastAsia="it-IT"/>
              </w:rPr>
            </w:pPr>
            <w:r w:rsidRPr="00574F77">
              <w:rPr>
                <w:rFonts w:cs="Arial"/>
                <w:color w:val="000000"/>
                <w:szCs w:val="22"/>
                <w:lang w:eastAsia="it-IT"/>
              </w:rPr>
              <w:t>100,0</w:t>
            </w:r>
          </w:p>
        </w:tc>
      </w:tr>
      <w:tr w:rsidR="00574F77" w:rsidRPr="0019790A" w14:paraId="349DDE22" w14:textId="2CD1C985" w:rsidTr="00574F77">
        <w:trPr>
          <w:trHeight w:val="226"/>
          <w:jc w:val="right"/>
        </w:trPr>
        <w:tc>
          <w:tcPr>
            <w:tcW w:w="3425" w:type="dxa"/>
            <w:shd w:val="clear" w:color="auto" w:fill="FFFFFF"/>
            <w:vAlign w:val="center"/>
          </w:tcPr>
          <w:p w14:paraId="73C3E063" w14:textId="77777777" w:rsidR="00574F77" w:rsidRPr="0019790A" w:rsidRDefault="00574F77" w:rsidP="00574F77">
            <w:pPr>
              <w:rPr>
                <w:rFonts w:cs="Arial"/>
                <w:color w:val="000000"/>
                <w:szCs w:val="22"/>
              </w:rPr>
            </w:pPr>
            <w:r w:rsidRPr="0019790A">
              <w:rPr>
                <w:rFonts w:cs="Arial"/>
                <w:color w:val="000000"/>
                <w:szCs w:val="22"/>
              </w:rPr>
              <w:t>- інші джерела фінансування</w:t>
            </w:r>
          </w:p>
        </w:tc>
        <w:tc>
          <w:tcPr>
            <w:tcW w:w="1240" w:type="dxa"/>
            <w:vAlign w:val="center"/>
          </w:tcPr>
          <w:p w14:paraId="3C842575" w14:textId="77777777" w:rsidR="00574F77" w:rsidRPr="00574F77" w:rsidRDefault="00574F77" w:rsidP="00574F77">
            <w:pPr>
              <w:jc w:val="center"/>
              <w:rPr>
                <w:rFonts w:cs="Arial"/>
                <w:szCs w:val="22"/>
              </w:rPr>
            </w:pPr>
          </w:p>
        </w:tc>
        <w:tc>
          <w:tcPr>
            <w:tcW w:w="1265" w:type="dxa"/>
            <w:gridSpan w:val="2"/>
            <w:vAlign w:val="center"/>
          </w:tcPr>
          <w:p w14:paraId="465D38FA" w14:textId="77777777" w:rsidR="00574F77" w:rsidRPr="00574F77" w:rsidRDefault="00574F77" w:rsidP="00574F77">
            <w:pPr>
              <w:jc w:val="center"/>
              <w:rPr>
                <w:rFonts w:cs="Arial"/>
                <w:szCs w:val="22"/>
              </w:rPr>
            </w:pPr>
          </w:p>
        </w:tc>
        <w:tc>
          <w:tcPr>
            <w:tcW w:w="1453" w:type="dxa"/>
            <w:gridSpan w:val="3"/>
            <w:vAlign w:val="center"/>
          </w:tcPr>
          <w:p w14:paraId="0C310244" w14:textId="77777777" w:rsidR="00574F77" w:rsidRPr="00574F77" w:rsidRDefault="00574F77" w:rsidP="00574F77">
            <w:pPr>
              <w:jc w:val="center"/>
              <w:rPr>
                <w:rFonts w:cs="Arial"/>
                <w:szCs w:val="22"/>
              </w:rPr>
            </w:pPr>
          </w:p>
        </w:tc>
        <w:tc>
          <w:tcPr>
            <w:tcW w:w="1265" w:type="dxa"/>
            <w:vAlign w:val="center"/>
          </w:tcPr>
          <w:p w14:paraId="4326C52D" w14:textId="77777777" w:rsidR="00574F77" w:rsidRPr="00574F77" w:rsidRDefault="00574F77" w:rsidP="00574F77">
            <w:pPr>
              <w:jc w:val="center"/>
              <w:rPr>
                <w:rFonts w:cs="Arial"/>
                <w:szCs w:val="22"/>
              </w:rPr>
            </w:pPr>
          </w:p>
        </w:tc>
        <w:tc>
          <w:tcPr>
            <w:tcW w:w="1571" w:type="dxa"/>
            <w:vAlign w:val="center"/>
          </w:tcPr>
          <w:p w14:paraId="072CB4BC" w14:textId="77777777" w:rsidR="00574F77" w:rsidRPr="00574F77" w:rsidRDefault="00574F77" w:rsidP="00574F77">
            <w:pPr>
              <w:jc w:val="center"/>
              <w:rPr>
                <w:rFonts w:cs="Arial"/>
                <w:szCs w:val="22"/>
              </w:rPr>
            </w:pPr>
          </w:p>
        </w:tc>
      </w:tr>
      <w:tr w:rsidR="00574F77" w:rsidRPr="0019790A" w14:paraId="56D43984" w14:textId="77777777" w:rsidTr="00CF3AAE">
        <w:trPr>
          <w:jc w:val="right"/>
        </w:trPr>
        <w:tc>
          <w:tcPr>
            <w:tcW w:w="3425" w:type="dxa"/>
            <w:shd w:val="clear" w:color="auto" w:fill="FFFFFF"/>
            <w:vAlign w:val="center"/>
          </w:tcPr>
          <w:p w14:paraId="275F9605" w14:textId="77777777" w:rsidR="00574F77" w:rsidRPr="0019790A" w:rsidRDefault="00574F77" w:rsidP="00574F77">
            <w:pPr>
              <w:rPr>
                <w:rFonts w:cs="Arial"/>
                <w:b/>
                <w:bCs/>
                <w:color w:val="000000"/>
                <w:szCs w:val="22"/>
              </w:rPr>
            </w:pPr>
            <w:r w:rsidRPr="0019790A">
              <w:rPr>
                <w:rFonts w:cs="Arial"/>
                <w:b/>
                <w:color w:val="000000"/>
                <w:szCs w:val="22"/>
              </w:rPr>
              <w:t>Відповідальний виконавець проєкту:</w:t>
            </w:r>
          </w:p>
        </w:tc>
        <w:tc>
          <w:tcPr>
            <w:tcW w:w="6794" w:type="dxa"/>
            <w:gridSpan w:val="8"/>
            <w:vAlign w:val="center"/>
          </w:tcPr>
          <w:p w14:paraId="190B053A" w14:textId="77777777" w:rsidR="00574F77" w:rsidRPr="0019790A" w:rsidRDefault="00574F77" w:rsidP="00574F77">
            <w:pPr>
              <w:jc w:val="both"/>
              <w:rPr>
                <w:rFonts w:cs="Arial"/>
                <w:color w:val="000000"/>
                <w:szCs w:val="22"/>
                <w:lang w:eastAsia="it-IT"/>
              </w:rPr>
            </w:pPr>
            <w:r w:rsidRPr="0019790A">
              <w:rPr>
                <w:rFonts w:cs="Arial"/>
                <w:color w:val="000000"/>
                <w:szCs w:val="22"/>
                <w:lang w:eastAsia="it-IT"/>
              </w:rPr>
              <w:t>КЗ «Публічна бібліотека» Жмеринської МТГ за сприяння Управління культури і туризму та Жмеринської міської ради</w:t>
            </w:r>
          </w:p>
        </w:tc>
      </w:tr>
      <w:tr w:rsidR="00574F77" w:rsidRPr="0019790A" w14:paraId="33584215" w14:textId="77777777" w:rsidTr="00CF3AAE">
        <w:trPr>
          <w:jc w:val="right"/>
        </w:trPr>
        <w:tc>
          <w:tcPr>
            <w:tcW w:w="3425" w:type="dxa"/>
            <w:shd w:val="clear" w:color="auto" w:fill="FFFFFF"/>
            <w:vAlign w:val="center"/>
          </w:tcPr>
          <w:p w14:paraId="26AF66AE" w14:textId="77777777" w:rsidR="00574F77" w:rsidRPr="0019790A" w:rsidRDefault="00574F77" w:rsidP="00574F77">
            <w:pPr>
              <w:rPr>
                <w:rFonts w:cs="Arial"/>
                <w:b/>
                <w:bCs/>
                <w:color w:val="000000"/>
                <w:szCs w:val="22"/>
              </w:rPr>
            </w:pPr>
            <w:r w:rsidRPr="0019790A">
              <w:rPr>
                <w:rFonts w:cs="Arial"/>
                <w:b/>
                <w:bCs/>
                <w:color w:val="000000"/>
                <w:szCs w:val="22"/>
              </w:rPr>
              <w:t>Інше:</w:t>
            </w:r>
          </w:p>
        </w:tc>
        <w:tc>
          <w:tcPr>
            <w:tcW w:w="6794" w:type="dxa"/>
            <w:gridSpan w:val="8"/>
            <w:vAlign w:val="center"/>
          </w:tcPr>
          <w:p w14:paraId="3202E001" w14:textId="77777777" w:rsidR="00574F77" w:rsidRPr="0019790A" w:rsidRDefault="00574F77" w:rsidP="00574F77">
            <w:pPr>
              <w:jc w:val="both"/>
              <w:rPr>
                <w:rFonts w:cs="Arial"/>
                <w:color w:val="000000"/>
                <w:szCs w:val="22"/>
                <w:lang w:eastAsia="it-IT"/>
              </w:rPr>
            </w:pPr>
            <w:r w:rsidRPr="0019790A">
              <w:rPr>
                <w:rFonts w:cs="Arial"/>
                <w:color w:val="000000"/>
                <w:szCs w:val="22"/>
                <w:lang w:eastAsia="it-IT"/>
              </w:rPr>
              <w:t>Проєкт дозволить не лише покращити бібліотечне обслуговування, а й створити умови для інтеграції українськомовної книги в повсякденне життя громади, розвитку читацької культури, активного дозвілля дітей і дорослих.</w:t>
            </w:r>
          </w:p>
        </w:tc>
      </w:tr>
    </w:tbl>
    <w:p w14:paraId="69E945B3" w14:textId="77777777" w:rsidR="00B8248C" w:rsidRPr="0019790A" w:rsidRDefault="00B8248C" w:rsidP="0019790A">
      <w:pPr>
        <w:rPr>
          <w:rFonts w:cs="Arial"/>
          <w:szCs w:val="22"/>
        </w:rPr>
      </w:pPr>
    </w:p>
    <w:p w14:paraId="3523D459" w14:textId="77777777" w:rsidR="00B8248C" w:rsidRPr="0019790A" w:rsidRDefault="00B8248C" w:rsidP="0019790A">
      <w:pPr>
        <w:rPr>
          <w:rFonts w:cs="Arial"/>
          <w:szCs w:val="22"/>
        </w:rPr>
      </w:pPr>
    </w:p>
    <w:p w14:paraId="6E29A124" w14:textId="77777777" w:rsidR="005342D5" w:rsidRPr="0019790A" w:rsidRDefault="005342D5" w:rsidP="0019790A">
      <w:pPr>
        <w:jc w:val="center"/>
        <w:rPr>
          <w:rFonts w:cs="Arial"/>
          <w:b/>
          <w:color w:val="000000"/>
          <w:szCs w:val="22"/>
        </w:rPr>
      </w:pPr>
      <w:r w:rsidRPr="0019790A">
        <w:rPr>
          <w:rFonts w:cs="Arial"/>
          <w:b/>
          <w:color w:val="000000"/>
          <w:szCs w:val="22"/>
        </w:rPr>
        <w:t xml:space="preserve">Форма технічного завдання на проєкт місцевого розвитку </w:t>
      </w:r>
    </w:p>
    <w:p w14:paraId="4E17DDC9" w14:textId="77777777" w:rsidR="005342D5" w:rsidRPr="0019790A" w:rsidRDefault="005342D5" w:rsidP="0019790A">
      <w:pPr>
        <w:jc w:val="center"/>
        <w:rPr>
          <w:rFonts w:cs="Arial"/>
          <w:b/>
          <w:color w:val="000000"/>
          <w:szCs w:val="22"/>
        </w:rPr>
      </w:pPr>
      <w:r w:rsidRPr="0019790A">
        <w:rPr>
          <w:rFonts w:cs="Arial"/>
          <w:b/>
          <w:color w:val="000000"/>
          <w:szCs w:val="22"/>
        </w:rPr>
        <w:t>до Плану заходів з реалізації Стратегії</w:t>
      </w:r>
    </w:p>
    <w:p w14:paraId="04A43DAB" w14:textId="77777777" w:rsidR="005342D5" w:rsidRPr="0019790A" w:rsidRDefault="005342D5"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40"/>
        <w:gridCol w:w="14"/>
        <w:gridCol w:w="1275"/>
        <w:gridCol w:w="13"/>
        <w:gridCol w:w="1377"/>
        <w:gridCol w:w="28"/>
        <w:gridCol w:w="1276"/>
        <w:gridCol w:w="36"/>
        <w:gridCol w:w="1535"/>
      </w:tblGrid>
      <w:tr w:rsidR="005342D5" w:rsidRPr="0019790A" w14:paraId="2078D98B" w14:textId="77777777" w:rsidTr="00CF3AAE">
        <w:trPr>
          <w:trHeight w:val="307"/>
          <w:jc w:val="right"/>
        </w:trPr>
        <w:tc>
          <w:tcPr>
            <w:tcW w:w="3425" w:type="dxa"/>
            <w:vAlign w:val="center"/>
          </w:tcPr>
          <w:p w14:paraId="2BDE6DD6" w14:textId="77777777" w:rsidR="005342D5" w:rsidRPr="0019790A" w:rsidRDefault="005342D5" w:rsidP="0019790A">
            <w:pPr>
              <w:rPr>
                <w:rFonts w:cs="Arial"/>
                <w:b/>
                <w:bCs/>
                <w:color w:val="000000"/>
                <w:szCs w:val="22"/>
              </w:rPr>
            </w:pPr>
            <w:r w:rsidRPr="0019790A">
              <w:rPr>
                <w:rFonts w:cs="Arial"/>
                <w:b/>
                <w:bCs/>
                <w:color w:val="000000"/>
                <w:szCs w:val="22"/>
              </w:rPr>
              <w:t>Назва проєкту:</w:t>
            </w:r>
          </w:p>
        </w:tc>
        <w:tc>
          <w:tcPr>
            <w:tcW w:w="6794" w:type="dxa"/>
            <w:gridSpan w:val="9"/>
          </w:tcPr>
          <w:p w14:paraId="0F2884BC" w14:textId="77777777" w:rsidR="005342D5" w:rsidRPr="0019790A" w:rsidRDefault="005342D5" w:rsidP="0019790A">
            <w:pPr>
              <w:rPr>
                <w:rFonts w:cs="Arial"/>
                <w:szCs w:val="22"/>
                <w:lang w:eastAsia="it-IT"/>
              </w:rPr>
            </w:pPr>
            <w:r w:rsidRPr="0019790A">
              <w:rPr>
                <w:rFonts w:cs="Arial"/>
                <w:szCs w:val="22"/>
                <w:lang w:eastAsia="it-IT"/>
              </w:rPr>
              <w:t>Капітальний ремонт запасного футбольного поля на території КП «Парковий культурно-спортивний комплекс»</w:t>
            </w:r>
          </w:p>
        </w:tc>
      </w:tr>
      <w:tr w:rsidR="005342D5" w:rsidRPr="0019790A" w14:paraId="2A4EA4C3" w14:textId="77777777" w:rsidTr="00CF3AAE">
        <w:trPr>
          <w:jc w:val="right"/>
        </w:trPr>
        <w:tc>
          <w:tcPr>
            <w:tcW w:w="3425" w:type="dxa"/>
          </w:tcPr>
          <w:p w14:paraId="573E7AA4" w14:textId="77777777" w:rsidR="005342D5" w:rsidRPr="0019790A" w:rsidRDefault="005342D5"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12F3DAEB" w14:textId="77777777" w:rsidR="005342D5" w:rsidRPr="0019790A" w:rsidRDefault="005342D5"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9"/>
          </w:tcPr>
          <w:p w14:paraId="30222E15" w14:textId="77777777" w:rsidR="005342D5" w:rsidRPr="0019790A" w:rsidRDefault="005342D5" w:rsidP="0019790A">
            <w:pPr>
              <w:rPr>
                <w:rFonts w:cs="Arial"/>
                <w:szCs w:val="22"/>
                <w:lang w:eastAsia="it-IT"/>
              </w:rPr>
            </w:pPr>
            <w:r w:rsidRPr="0019790A">
              <w:rPr>
                <w:rFonts w:cs="Arial"/>
                <w:szCs w:val="22"/>
                <w:lang w:eastAsia="it-IT"/>
              </w:rPr>
              <w:t>Відділ молоді та спорту Жмеринської міської ради</w:t>
            </w:r>
          </w:p>
        </w:tc>
      </w:tr>
      <w:tr w:rsidR="005342D5" w:rsidRPr="0019790A" w14:paraId="79EAA9B9" w14:textId="77777777" w:rsidTr="00CF3AAE">
        <w:trPr>
          <w:jc w:val="right"/>
        </w:trPr>
        <w:tc>
          <w:tcPr>
            <w:tcW w:w="3425" w:type="dxa"/>
          </w:tcPr>
          <w:p w14:paraId="26138B1B" w14:textId="77777777" w:rsidR="005342D5" w:rsidRPr="0019790A" w:rsidRDefault="005342D5" w:rsidP="0019790A">
            <w:pPr>
              <w:rPr>
                <w:rFonts w:cs="Arial"/>
                <w:b/>
                <w:bCs/>
                <w:szCs w:val="22"/>
              </w:rPr>
            </w:pPr>
            <w:r w:rsidRPr="0019790A">
              <w:rPr>
                <w:rFonts w:cs="Arial"/>
                <w:szCs w:val="22"/>
                <w:lang w:eastAsia="it-IT"/>
              </w:rPr>
              <w:t>Прізвище Ім’я По-батькові:</w:t>
            </w:r>
          </w:p>
        </w:tc>
        <w:tc>
          <w:tcPr>
            <w:tcW w:w="6794" w:type="dxa"/>
            <w:gridSpan w:val="9"/>
          </w:tcPr>
          <w:p w14:paraId="56CC6279" w14:textId="77777777" w:rsidR="005342D5" w:rsidRPr="0019790A" w:rsidRDefault="005342D5" w:rsidP="0019790A">
            <w:pPr>
              <w:rPr>
                <w:rFonts w:cs="Arial"/>
                <w:szCs w:val="22"/>
                <w:lang w:eastAsia="it-IT"/>
              </w:rPr>
            </w:pPr>
            <w:r w:rsidRPr="0019790A">
              <w:rPr>
                <w:rFonts w:cs="Arial"/>
                <w:szCs w:val="22"/>
                <w:lang w:eastAsia="it-IT"/>
              </w:rPr>
              <w:t>Ковальська Олена Віталіївна</w:t>
            </w:r>
          </w:p>
        </w:tc>
      </w:tr>
      <w:tr w:rsidR="005342D5" w:rsidRPr="0019790A" w14:paraId="7138DE85" w14:textId="77777777" w:rsidTr="00CF3AAE">
        <w:trPr>
          <w:jc w:val="right"/>
        </w:trPr>
        <w:tc>
          <w:tcPr>
            <w:tcW w:w="3425" w:type="dxa"/>
          </w:tcPr>
          <w:p w14:paraId="3A7E2262" w14:textId="77777777" w:rsidR="005342D5" w:rsidRPr="0019790A" w:rsidRDefault="005342D5" w:rsidP="0019790A">
            <w:pPr>
              <w:rPr>
                <w:rFonts w:cs="Arial"/>
                <w:b/>
                <w:bCs/>
                <w:szCs w:val="22"/>
              </w:rPr>
            </w:pPr>
            <w:r w:rsidRPr="0019790A">
              <w:rPr>
                <w:rFonts w:cs="Arial"/>
                <w:szCs w:val="22"/>
                <w:lang w:eastAsia="it-IT"/>
              </w:rPr>
              <w:t>Телефон (мобільний):</w:t>
            </w:r>
          </w:p>
        </w:tc>
        <w:tc>
          <w:tcPr>
            <w:tcW w:w="6794" w:type="dxa"/>
            <w:gridSpan w:val="9"/>
          </w:tcPr>
          <w:p w14:paraId="13F9CCF7" w14:textId="77777777" w:rsidR="005342D5" w:rsidRPr="0019790A" w:rsidRDefault="005342D5" w:rsidP="0019790A">
            <w:pPr>
              <w:rPr>
                <w:rFonts w:cs="Arial"/>
                <w:szCs w:val="22"/>
                <w:lang w:eastAsia="it-IT"/>
              </w:rPr>
            </w:pPr>
            <w:r w:rsidRPr="0019790A">
              <w:rPr>
                <w:rFonts w:cs="Arial"/>
                <w:szCs w:val="22"/>
                <w:lang w:eastAsia="it-IT"/>
              </w:rPr>
              <w:t>096-068-94-79</w:t>
            </w:r>
          </w:p>
        </w:tc>
      </w:tr>
      <w:tr w:rsidR="005342D5" w:rsidRPr="0019790A" w14:paraId="73FFF21F" w14:textId="77777777" w:rsidTr="00CF3AAE">
        <w:trPr>
          <w:jc w:val="right"/>
        </w:trPr>
        <w:tc>
          <w:tcPr>
            <w:tcW w:w="3425" w:type="dxa"/>
          </w:tcPr>
          <w:p w14:paraId="2DBD7666" w14:textId="77777777" w:rsidR="005342D5" w:rsidRPr="0019790A" w:rsidRDefault="005342D5" w:rsidP="0019790A">
            <w:pPr>
              <w:rPr>
                <w:rFonts w:cs="Arial"/>
                <w:b/>
                <w:bCs/>
                <w:szCs w:val="22"/>
              </w:rPr>
            </w:pPr>
            <w:r w:rsidRPr="0019790A">
              <w:rPr>
                <w:rFonts w:cs="Arial"/>
                <w:szCs w:val="22"/>
                <w:lang w:eastAsia="it-IT"/>
              </w:rPr>
              <w:t>Електронна адреса:</w:t>
            </w:r>
          </w:p>
        </w:tc>
        <w:tc>
          <w:tcPr>
            <w:tcW w:w="6794" w:type="dxa"/>
            <w:gridSpan w:val="9"/>
          </w:tcPr>
          <w:p w14:paraId="5873F80D" w14:textId="77777777" w:rsidR="005342D5" w:rsidRPr="00574F77" w:rsidRDefault="00D85FFD" w:rsidP="0019790A">
            <w:pPr>
              <w:rPr>
                <w:rFonts w:cs="Arial"/>
                <w:szCs w:val="22"/>
                <w:lang w:eastAsia="it-IT"/>
              </w:rPr>
            </w:pPr>
            <w:hyperlink r:id="rId139" w:history="1">
              <w:r w:rsidR="005342D5" w:rsidRPr="00574F77">
                <w:rPr>
                  <w:rStyle w:val="af0"/>
                  <w:rFonts w:cs="Arial"/>
                  <w:bCs/>
                  <w:noProof w:val="0"/>
                  <w:sz w:val="22"/>
                  <w:szCs w:val="22"/>
                  <w:lang w:eastAsia="it-IT"/>
                </w:rPr>
                <w:t>ms@zhmr.gov.ua</w:t>
              </w:r>
            </w:hyperlink>
          </w:p>
        </w:tc>
      </w:tr>
      <w:tr w:rsidR="005342D5" w:rsidRPr="0019790A" w14:paraId="4A95ECA9" w14:textId="77777777" w:rsidTr="00574F77">
        <w:trPr>
          <w:jc w:val="right"/>
        </w:trPr>
        <w:tc>
          <w:tcPr>
            <w:tcW w:w="3425" w:type="dxa"/>
            <w:vAlign w:val="center"/>
          </w:tcPr>
          <w:p w14:paraId="3CF88294" w14:textId="77777777" w:rsidR="005342D5" w:rsidRPr="0019790A" w:rsidRDefault="005342D5" w:rsidP="0019790A">
            <w:pPr>
              <w:pStyle w:val="6"/>
              <w:spacing w:before="0" w:after="0"/>
              <w:rPr>
                <w:rFonts w:ascii="Arial" w:hAnsi="Arial" w:cs="Arial"/>
                <w:color w:val="000000"/>
                <w:lang w:val="uk-UA"/>
              </w:rPr>
            </w:pPr>
            <w:r w:rsidRPr="0019790A">
              <w:rPr>
                <w:rFonts w:ascii="Arial" w:hAnsi="Arial" w:cs="Arial"/>
                <w:color w:val="000000"/>
                <w:lang w:val="uk-UA"/>
              </w:rPr>
              <w:t>Номер і назва завдання з Стратегії</w:t>
            </w:r>
            <w:r w:rsidRPr="0019790A">
              <w:rPr>
                <w:rFonts w:ascii="Arial" w:hAnsi="Arial" w:cs="Arial"/>
                <w:lang w:val="uk-UA" w:eastAsia="it-IT"/>
              </w:rPr>
              <w:t xml:space="preserve"> </w:t>
            </w:r>
            <w:r w:rsidRPr="0019790A">
              <w:rPr>
                <w:rFonts w:ascii="Arial" w:hAnsi="Arial" w:cs="Arial"/>
                <w:color w:val="000000"/>
                <w:lang w:val="uk-UA"/>
              </w:rPr>
              <w:t>розвитку Жмеринської міської територіальної громади,  якому відповідає проєкт:</w:t>
            </w:r>
          </w:p>
        </w:tc>
        <w:tc>
          <w:tcPr>
            <w:tcW w:w="6794" w:type="dxa"/>
            <w:gridSpan w:val="9"/>
            <w:vAlign w:val="center"/>
          </w:tcPr>
          <w:p w14:paraId="413287F1" w14:textId="0066A3EC" w:rsidR="005342D5" w:rsidRPr="00574F77" w:rsidRDefault="005342D5" w:rsidP="00574F77">
            <w:pPr>
              <w:pBdr>
                <w:left w:val="single" w:sz="18" w:space="4" w:color="auto"/>
              </w:pBdr>
              <w:rPr>
                <w:rFonts w:cs="Arial"/>
                <w:szCs w:val="22"/>
                <w:lang w:eastAsia="it-IT"/>
              </w:rPr>
            </w:pPr>
            <w:r w:rsidRPr="00574F77">
              <w:rPr>
                <w:rFonts w:cs="Arial"/>
                <w:bCs/>
                <w:szCs w:val="22"/>
                <w:lang w:eastAsia="it-IT"/>
              </w:rPr>
              <w:t>С.3.4.2. Будівництво, реконструкція інфраструктури спорту з урахуванням гендерного аспекту</w:t>
            </w:r>
          </w:p>
        </w:tc>
      </w:tr>
      <w:tr w:rsidR="005342D5" w:rsidRPr="0019790A" w14:paraId="68F28CD3" w14:textId="77777777" w:rsidTr="00574F77">
        <w:trPr>
          <w:jc w:val="right"/>
        </w:trPr>
        <w:tc>
          <w:tcPr>
            <w:tcW w:w="3425" w:type="dxa"/>
            <w:vAlign w:val="center"/>
          </w:tcPr>
          <w:p w14:paraId="74A4ED80" w14:textId="77777777" w:rsidR="005342D5" w:rsidRPr="0019790A" w:rsidRDefault="005342D5" w:rsidP="0019790A">
            <w:pPr>
              <w:rPr>
                <w:rFonts w:cs="Arial"/>
                <w:b/>
                <w:bCs/>
                <w:color w:val="000000"/>
                <w:szCs w:val="22"/>
              </w:rPr>
            </w:pPr>
            <w:r w:rsidRPr="0019790A">
              <w:rPr>
                <w:rFonts w:cs="Arial"/>
                <w:b/>
                <w:bCs/>
                <w:color w:val="000000"/>
                <w:szCs w:val="22"/>
              </w:rPr>
              <w:t>Мета проєкту:</w:t>
            </w:r>
          </w:p>
        </w:tc>
        <w:tc>
          <w:tcPr>
            <w:tcW w:w="6794" w:type="dxa"/>
            <w:gridSpan w:val="9"/>
            <w:vAlign w:val="center"/>
          </w:tcPr>
          <w:p w14:paraId="76384D18" w14:textId="77777777" w:rsidR="005342D5" w:rsidRPr="0019790A" w:rsidRDefault="005342D5" w:rsidP="00574F77">
            <w:pPr>
              <w:rPr>
                <w:rFonts w:cs="Arial"/>
                <w:szCs w:val="22"/>
                <w:lang w:eastAsia="it-IT"/>
              </w:rPr>
            </w:pPr>
            <w:r w:rsidRPr="0019790A">
              <w:rPr>
                <w:rFonts w:cs="Arial"/>
                <w:szCs w:val="22"/>
                <w:lang w:eastAsia="it-IT"/>
              </w:rPr>
              <w:t>Забезпечення належних умов для тренувань, змагань і спортивного дозвілля через капітальний ремонт футбольного поля.</w:t>
            </w:r>
          </w:p>
        </w:tc>
      </w:tr>
      <w:tr w:rsidR="005342D5" w:rsidRPr="0019790A" w14:paraId="7C04B924" w14:textId="77777777" w:rsidTr="00574F77">
        <w:trPr>
          <w:jc w:val="right"/>
        </w:trPr>
        <w:tc>
          <w:tcPr>
            <w:tcW w:w="3425" w:type="dxa"/>
            <w:vAlign w:val="center"/>
          </w:tcPr>
          <w:p w14:paraId="3C116547" w14:textId="77777777" w:rsidR="005342D5" w:rsidRPr="0019790A" w:rsidRDefault="005342D5" w:rsidP="0019790A">
            <w:pPr>
              <w:rPr>
                <w:rFonts w:cs="Arial"/>
                <w:b/>
                <w:bCs/>
                <w:color w:val="000000"/>
                <w:szCs w:val="22"/>
              </w:rPr>
            </w:pPr>
            <w:r w:rsidRPr="0019790A">
              <w:rPr>
                <w:rFonts w:cs="Arial"/>
                <w:b/>
                <w:bCs/>
                <w:color w:val="000000"/>
                <w:szCs w:val="22"/>
              </w:rPr>
              <w:t>Цілі проєкту:</w:t>
            </w:r>
          </w:p>
        </w:tc>
        <w:tc>
          <w:tcPr>
            <w:tcW w:w="6794" w:type="dxa"/>
            <w:gridSpan w:val="9"/>
            <w:vAlign w:val="center"/>
          </w:tcPr>
          <w:p w14:paraId="02671A7B" w14:textId="77777777" w:rsidR="005342D5" w:rsidRPr="0019790A" w:rsidRDefault="005342D5" w:rsidP="00574F77">
            <w:pPr>
              <w:numPr>
                <w:ilvl w:val="0"/>
                <w:numId w:val="163"/>
              </w:numPr>
              <w:ind w:left="328" w:hanging="250"/>
              <w:rPr>
                <w:rFonts w:cs="Arial"/>
                <w:szCs w:val="22"/>
                <w:lang w:eastAsia="it-IT"/>
              </w:rPr>
            </w:pPr>
            <w:r w:rsidRPr="0019790A">
              <w:rPr>
                <w:rFonts w:cs="Arial"/>
                <w:szCs w:val="22"/>
                <w:lang w:eastAsia="it-IT"/>
              </w:rPr>
              <w:t>Відновити спортивну інфраструктуру шляхом модернізації поля.</w:t>
            </w:r>
          </w:p>
          <w:p w14:paraId="486F9150" w14:textId="77777777" w:rsidR="005342D5" w:rsidRPr="0019790A" w:rsidRDefault="005342D5" w:rsidP="00574F77">
            <w:pPr>
              <w:numPr>
                <w:ilvl w:val="0"/>
                <w:numId w:val="163"/>
              </w:numPr>
              <w:ind w:left="328" w:hanging="250"/>
              <w:rPr>
                <w:rFonts w:cs="Arial"/>
                <w:szCs w:val="22"/>
                <w:lang w:eastAsia="it-IT"/>
              </w:rPr>
            </w:pPr>
            <w:r w:rsidRPr="0019790A">
              <w:rPr>
                <w:rFonts w:cs="Arial"/>
                <w:szCs w:val="22"/>
                <w:lang w:eastAsia="it-IT"/>
              </w:rPr>
              <w:t>Підвищити рівень безпеки та комфорту для гравців.</w:t>
            </w:r>
          </w:p>
          <w:p w14:paraId="7B267F7B" w14:textId="77777777" w:rsidR="005342D5" w:rsidRPr="0019790A" w:rsidRDefault="005342D5" w:rsidP="00574F77">
            <w:pPr>
              <w:numPr>
                <w:ilvl w:val="0"/>
                <w:numId w:val="163"/>
              </w:numPr>
              <w:ind w:left="328" w:hanging="250"/>
              <w:rPr>
                <w:rFonts w:cs="Arial"/>
                <w:szCs w:val="22"/>
                <w:lang w:eastAsia="it-IT"/>
              </w:rPr>
            </w:pPr>
            <w:r w:rsidRPr="0019790A">
              <w:rPr>
                <w:rFonts w:cs="Arial"/>
                <w:szCs w:val="22"/>
                <w:lang w:eastAsia="it-IT"/>
              </w:rPr>
              <w:t>Розширити можливості для проведення змагань місцевого та регіонального рівня.</w:t>
            </w:r>
          </w:p>
          <w:p w14:paraId="0EF5853A" w14:textId="77777777" w:rsidR="005342D5" w:rsidRPr="0019790A" w:rsidRDefault="005342D5" w:rsidP="00574F77">
            <w:pPr>
              <w:numPr>
                <w:ilvl w:val="0"/>
                <w:numId w:val="163"/>
              </w:numPr>
              <w:ind w:left="328" w:hanging="250"/>
              <w:rPr>
                <w:rFonts w:cs="Arial"/>
                <w:szCs w:val="22"/>
                <w:lang w:eastAsia="it-IT"/>
              </w:rPr>
            </w:pPr>
            <w:r w:rsidRPr="0019790A">
              <w:rPr>
                <w:rFonts w:cs="Arial"/>
                <w:szCs w:val="22"/>
                <w:lang w:eastAsia="it-IT"/>
              </w:rPr>
              <w:t>Створити умови для залучення молоді до занять спортом.</w:t>
            </w:r>
          </w:p>
        </w:tc>
      </w:tr>
      <w:tr w:rsidR="005342D5" w:rsidRPr="0019790A" w14:paraId="40D2F0CF" w14:textId="77777777" w:rsidTr="00574F77">
        <w:trPr>
          <w:jc w:val="right"/>
        </w:trPr>
        <w:tc>
          <w:tcPr>
            <w:tcW w:w="3425" w:type="dxa"/>
            <w:vAlign w:val="center"/>
          </w:tcPr>
          <w:p w14:paraId="5C3F8752" w14:textId="77777777" w:rsidR="005342D5" w:rsidRPr="0019790A" w:rsidRDefault="005342D5" w:rsidP="0019790A">
            <w:pPr>
              <w:autoSpaceDE w:val="0"/>
              <w:autoSpaceDN w:val="0"/>
              <w:adjustRightInd w:val="0"/>
              <w:rPr>
                <w:rFonts w:cs="Arial"/>
                <w:b/>
                <w:color w:val="000000"/>
                <w:szCs w:val="22"/>
              </w:rPr>
            </w:pPr>
            <w:r w:rsidRPr="0019790A">
              <w:rPr>
                <w:rFonts w:cs="Arial"/>
                <w:b/>
                <w:color w:val="000000"/>
                <w:szCs w:val="22"/>
              </w:rPr>
              <w:t>Територія на яку проєкт матиме вплив:</w:t>
            </w:r>
          </w:p>
        </w:tc>
        <w:tc>
          <w:tcPr>
            <w:tcW w:w="6794" w:type="dxa"/>
            <w:gridSpan w:val="9"/>
            <w:vAlign w:val="center"/>
          </w:tcPr>
          <w:p w14:paraId="0C374EB3" w14:textId="77777777" w:rsidR="005342D5" w:rsidRPr="0019790A" w:rsidRDefault="005342D5" w:rsidP="00574F77">
            <w:pPr>
              <w:rPr>
                <w:rFonts w:cs="Arial"/>
                <w:szCs w:val="22"/>
                <w:lang w:eastAsia="it-IT"/>
              </w:rPr>
            </w:pPr>
            <w:r w:rsidRPr="0019790A">
              <w:rPr>
                <w:rFonts w:cs="Arial"/>
                <w:szCs w:val="22"/>
                <w:lang w:eastAsia="it-IT"/>
              </w:rPr>
              <w:t>Жмеринська міська територіальна громада</w:t>
            </w:r>
          </w:p>
        </w:tc>
      </w:tr>
      <w:tr w:rsidR="005342D5" w:rsidRPr="0019790A" w14:paraId="1C602127" w14:textId="77777777" w:rsidTr="00574F77">
        <w:trPr>
          <w:jc w:val="right"/>
        </w:trPr>
        <w:tc>
          <w:tcPr>
            <w:tcW w:w="3425" w:type="dxa"/>
            <w:vAlign w:val="center"/>
          </w:tcPr>
          <w:p w14:paraId="776D0F7C" w14:textId="77777777" w:rsidR="005342D5" w:rsidRPr="0019790A" w:rsidRDefault="005342D5" w:rsidP="0019790A">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4" w:type="dxa"/>
            <w:gridSpan w:val="9"/>
            <w:vAlign w:val="center"/>
          </w:tcPr>
          <w:p w14:paraId="2DF80388" w14:textId="77777777" w:rsidR="005342D5" w:rsidRPr="0019790A" w:rsidRDefault="005342D5" w:rsidP="00574F77">
            <w:pPr>
              <w:numPr>
                <w:ilvl w:val="0"/>
                <w:numId w:val="164"/>
              </w:numPr>
              <w:ind w:left="328" w:hanging="283"/>
              <w:rPr>
                <w:rFonts w:cs="Arial"/>
                <w:szCs w:val="22"/>
                <w:lang w:eastAsia="it-IT"/>
              </w:rPr>
            </w:pPr>
            <w:r w:rsidRPr="0019790A">
              <w:rPr>
                <w:rFonts w:cs="Arial"/>
                <w:szCs w:val="22"/>
                <w:lang w:eastAsia="it-IT"/>
              </w:rPr>
              <w:t>Діти та молодь (віком 6–18 років).</w:t>
            </w:r>
          </w:p>
          <w:p w14:paraId="1EAC3912" w14:textId="77777777" w:rsidR="005342D5" w:rsidRPr="0019790A" w:rsidRDefault="005342D5" w:rsidP="00574F77">
            <w:pPr>
              <w:numPr>
                <w:ilvl w:val="0"/>
                <w:numId w:val="164"/>
              </w:numPr>
              <w:ind w:left="328" w:hanging="283"/>
              <w:rPr>
                <w:rFonts w:cs="Arial"/>
                <w:szCs w:val="22"/>
                <w:lang w:eastAsia="it-IT"/>
              </w:rPr>
            </w:pPr>
            <w:r w:rsidRPr="0019790A">
              <w:rPr>
                <w:rFonts w:cs="Arial"/>
                <w:szCs w:val="22"/>
                <w:lang w:eastAsia="it-IT"/>
              </w:rPr>
              <w:t>Місцеві спортивні клуби та секції.</w:t>
            </w:r>
          </w:p>
          <w:p w14:paraId="50163803" w14:textId="77777777" w:rsidR="005342D5" w:rsidRPr="0019790A" w:rsidRDefault="005342D5" w:rsidP="00574F77">
            <w:pPr>
              <w:numPr>
                <w:ilvl w:val="0"/>
                <w:numId w:val="164"/>
              </w:numPr>
              <w:ind w:left="328" w:hanging="283"/>
              <w:rPr>
                <w:rFonts w:cs="Arial"/>
                <w:szCs w:val="22"/>
                <w:lang w:eastAsia="it-IT"/>
              </w:rPr>
            </w:pPr>
            <w:r w:rsidRPr="0019790A">
              <w:rPr>
                <w:rFonts w:cs="Arial"/>
                <w:szCs w:val="22"/>
                <w:lang w:eastAsia="it-IT"/>
              </w:rPr>
              <w:t>Вчителі фізкультури та тренери.</w:t>
            </w:r>
          </w:p>
          <w:p w14:paraId="7F6FA813" w14:textId="77777777" w:rsidR="005342D5" w:rsidRPr="0019790A" w:rsidRDefault="005342D5" w:rsidP="00574F77">
            <w:pPr>
              <w:numPr>
                <w:ilvl w:val="0"/>
                <w:numId w:val="164"/>
              </w:numPr>
              <w:ind w:left="328" w:hanging="283"/>
              <w:rPr>
                <w:rFonts w:cs="Arial"/>
                <w:szCs w:val="22"/>
                <w:lang w:eastAsia="it-IT"/>
              </w:rPr>
            </w:pPr>
            <w:r w:rsidRPr="0019790A">
              <w:rPr>
                <w:rFonts w:cs="Arial"/>
                <w:szCs w:val="22"/>
                <w:lang w:eastAsia="it-IT"/>
              </w:rPr>
              <w:t>Мешканці громади, які займаються спортом аматорськи.</w:t>
            </w:r>
          </w:p>
          <w:p w14:paraId="798FCAB3" w14:textId="77777777" w:rsidR="005342D5" w:rsidRPr="0019790A" w:rsidRDefault="005342D5" w:rsidP="00574F77">
            <w:pPr>
              <w:rPr>
                <w:rFonts w:cs="Arial"/>
                <w:szCs w:val="22"/>
                <w:lang w:eastAsia="it-IT"/>
              </w:rPr>
            </w:pPr>
            <w:r w:rsidRPr="0019790A">
              <w:rPr>
                <w:rFonts w:cs="Arial"/>
                <w:b/>
                <w:szCs w:val="22"/>
                <w:lang w:eastAsia="it-IT"/>
              </w:rPr>
              <w:t>Кількість отримувачів вигоди</w:t>
            </w:r>
            <w:r w:rsidRPr="0019790A">
              <w:rPr>
                <w:rFonts w:cs="Arial"/>
                <w:szCs w:val="22"/>
                <w:lang w:eastAsia="it-IT"/>
              </w:rPr>
              <w:t xml:space="preserve"> </w:t>
            </w:r>
            <w:r w:rsidRPr="0019790A">
              <w:rPr>
                <w:rFonts w:cs="Arial"/>
                <w:b/>
                <w:szCs w:val="22"/>
                <w:lang w:eastAsia="it-IT"/>
              </w:rPr>
              <w:t>1500 осіб.</w:t>
            </w:r>
          </w:p>
        </w:tc>
      </w:tr>
      <w:tr w:rsidR="005342D5" w:rsidRPr="0019790A" w14:paraId="2BA7D14E" w14:textId="77777777" w:rsidTr="00574F77">
        <w:trPr>
          <w:jc w:val="right"/>
        </w:trPr>
        <w:tc>
          <w:tcPr>
            <w:tcW w:w="3425" w:type="dxa"/>
            <w:shd w:val="clear" w:color="auto" w:fill="FFFFFF"/>
            <w:vAlign w:val="center"/>
          </w:tcPr>
          <w:p w14:paraId="2EE48CD7" w14:textId="77777777" w:rsidR="005342D5" w:rsidRPr="0019790A" w:rsidRDefault="005342D5" w:rsidP="0019790A">
            <w:pPr>
              <w:rPr>
                <w:rFonts w:cs="Arial"/>
                <w:b/>
                <w:bCs/>
                <w:color w:val="000000"/>
                <w:szCs w:val="22"/>
              </w:rPr>
            </w:pPr>
            <w:r w:rsidRPr="0019790A">
              <w:rPr>
                <w:rFonts w:cs="Arial"/>
                <w:b/>
                <w:bCs/>
                <w:color w:val="000000"/>
                <w:szCs w:val="22"/>
              </w:rPr>
              <w:t>Стислий опис проєкту:</w:t>
            </w:r>
          </w:p>
        </w:tc>
        <w:tc>
          <w:tcPr>
            <w:tcW w:w="6794" w:type="dxa"/>
            <w:gridSpan w:val="9"/>
            <w:vAlign w:val="center"/>
          </w:tcPr>
          <w:p w14:paraId="10FBEC60" w14:textId="398EAF89" w:rsidR="005342D5" w:rsidRPr="0019790A" w:rsidRDefault="005342D5" w:rsidP="00574F77">
            <w:pPr>
              <w:rPr>
                <w:rFonts w:cs="Arial"/>
                <w:szCs w:val="22"/>
                <w:lang w:eastAsia="it-IT"/>
              </w:rPr>
            </w:pPr>
            <w:r w:rsidRPr="0019790A">
              <w:rPr>
                <w:rFonts w:cs="Arial"/>
                <w:szCs w:val="22"/>
                <w:lang w:eastAsia="it-IT"/>
              </w:rPr>
              <w:t xml:space="preserve">Проєкт передбачає капітальний ремонт запасного футбольного поля, включаючи заміну покриття (на штучну/природну траву), установку нових воріт, облаштування дренажної системи, монтаж системи освітлення, встановлення огорожі, лавок для запасних гравців, а також оновлення </w:t>
            </w:r>
            <w:r w:rsidR="00574F77" w:rsidRPr="0019790A">
              <w:rPr>
                <w:rFonts w:cs="Arial"/>
                <w:szCs w:val="22"/>
                <w:lang w:eastAsia="it-IT"/>
              </w:rPr>
              <w:t>роздягальнь</w:t>
            </w:r>
            <w:r w:rsidRPr="0019790A">
              <w:rPr>
                <w:rFonts w:cs="Arial"/>
                <w:szCs w:val="22"/>
                <w:lang w:eastAsia="it-IT"/>
              </w:rPr>
              <w:t>. У результаті буде створено безпечне, функціональне поле для занять футболом, тренувань, аматорських турнірів та фізичного виховання.</w:t>
            </w:r>
          </w:p>
        </w:tc>
      </w:tr>
      <w:tr w:rsidR="005342D5" w:rsidRPr="0019790A" w14:paraId="054E4BF8" w14:textId="77777777" w:rsidTr="00574F77">
        <w:trPr>
          <w:jc w:val="right"/>
        </w:trPr>
        <w:tc>
          <w:tcPr>
            <w:tcW w:w="3425" w:type="dxa"/>
            <w:shd w:val="clear" w:color="auto" w:fill="FFFFFF"/>
            <w:vAlign w:val="center"/>
          </w:tcPr>
          <w:p w14:paraId="60155A2D" w14:textId="77777777" w:rsidR="005342D5" w:rsidRPr="0019790A" w:rsidRDefault="005342D5" w:rsidP="0019790A">
            <w:pPr>
              <w:rPr>
                <w:rFonts w:cs="Arial"/>
                <w:b/>
                <w:bCs/>
                <w:color w:val="000000"/>
                <w:szCs w:val="22"/>
              </w:rPr>
            </w:pPr>
            <w:r w:rsidRPr="0019790A">
              <w:rPr>
                <w:rFonts w:cs="Arial"/>
                <w:b/>
                <w:bCs/>
                <w:color w:val="000000"/>
                <w:szCs w:val="22"/>
              </w:rPr>
              <w:t>Основні заходи проєкту:</w:t>
            </w:r>
          </w:p>
        </w:tc>
        <w:tc>
          <w:tcPr>
            <w:tcW w:w="6794" w:type="dxa"/>
            <w:gridSpan w:val="9"/>
            <w:vAlign w:val="center"/>
          </w:tcPr>
          <w:p w14:paraId="2E315D12" w14:textId="77777777" w:rsidR="005342D5" w:rsidRPr="0019790A" w:rsidRDefault="005342D5" w:rsidP="00574F77">
            <w:pPr>
              <w:numPr>
                <w:ilvl w:val="0"/>
                <w:numId w:val="165"/>
              </w:numPr>
              <w:ind w:left="186" w:hanging="141"/>
              <w:rPr>
                <w:rFonts w:cs="Arial"/>
                <w:szCs w:val="22"/>
                <w:lang w:eastAsia="it-IT"/>
              </w:rPr>
            </w:pPr>
            <w:r w:rsidRPr="0019790A">
              <w:rPr>
                <w:rFonts w:cs="Arial"/>
                <w:szCs w:val="22"/>
                <w:lang w:eastAsia="it-IT"/>
              </w:rPr>
              <w:t>Проведення обстеження та розробка ПКД.</w:t>
            </w:r>
          </w:p>
          <w:p w14:paraId="36CC4485" w14:textId="77777777" w:rsidR="005342D5" w:rsidRPr="0019790A" w:rsidRDefault="005342D5" w:rsidP="00574F77">
            <w:pPr>
              <w:numPr>
                <w:ilvl w:val="0"/>
                <w:numId w:val="165"/>
              </w:numPr>
              <w:ind w:left="186" w:hanging="141"/>
              <w:rPr>
                <w:rFonts w:cs="Arial"/>
                <w:szCs w:val="22"/>
                <w:lang w:eastAsia="it-IT"/>
              </w:rPr>
            </w:pPr>
            <w:r w:rsidRPr="0019790A">
              <w:rPr>
                <w:rFonts w:cs="Arial"/>
                <w:szCs w:val="22"/>
                <w:lang w:eastAsia="it-IT"/>
              </w:rPr>
              <w:t>Демонтаж старого покриття та підготовка основи.</w:t>
            </w:r>
          </w:p>
          <w:p w14:paraId="556D7902" w14:textId="77777777" w:rsidR="005342D5" w:rsidRPr="0019790A" w:rsidRDefault="005342D5" w:rsidP="00574F77">
            <w:pPr>
              <w:numPr>
                <w:ilvl w:val="0"/>
                <w:numId w:val="165"/>
              </w:numPr>
              <w:ind w:left="186" w:hanging="141"/>
              <w:rPr>
                <w:rFonts w:cs="Arial"/>
                <w:szCs w:val="22"/>
                <w:lang w:eastAsia="it-IT"/>
              </w:rPr>
            </w:pPr>
            <w:r w:rsidRPr="0019790A">
              <w:rPr>
                <w:rFonts w:cs="Arial"/>
                <w:szCs w:val="22"/>
                <w:lang w:eastAsia="it-IT"/>
              </w:rPr>
              <w:t>Влаштування нового покриття (штучна/натуральна трава).</w:t>
            </w:r>
          </w:p>
          <w:p w14:paraId="63C821A2" w14:textId="77777777" w:rsidR="005342D5" w:rsidRPr="0019790A" w:rsidRDefault="005342D5" w:rsidP="00574F77">
            <w:pPr>
              <w:numPr>
                <w:ilvl w:val="0"/>
                <w:numId w:val="165"/>
              </w:numPr>
              <w:ind w:left="186" w:hanging="141"/>
              <w:rPr>
                <w:rFonts w:cs="Arial"/>
                <w:szCs w:val="22"/>
                <w:lang w:eastAsia="it-IT"/>
              </w:rPr>
            </w:pPr>
            <w:r w:rsidRPr="0019790A">
              <w:rPr>
                <w:rFonts w:cs="Arial"/>
                <w:szCs w:val="22"/>
                <w:lang w:eastAsia="it-IT"/>
              </w:rPr>
              <w:t>Установлення спортивного обладнання.</w:t>
            </w:r>
          </w:p>
          <w:p w14:paraId="0FBF30E0" w14:textId="77777777" w:rsidR="005342D5" w:rsidRPr="0019790A" w:rsidRDefault="005342D5" w:rsidP="00574F77">
            <w:pPr>
              <w:numPr>
                <w:ilvl w:val="0"/>
                <w:numId w:val="165"/>
              </w:numPr>
              <w:ind w:left="186" w:hanging="141"/>
              <w:rPr>
                <w:rFonts w:cs="Arial"/>
                <w:szCs w:val="22"/>
                <w:lang w:eastAsia="it-IT"/>
              </w:rPr>
            </w:pPr>
            <w:r w:rsidRPr="0019790A">
              <w:rPr>
                <w:rFonts w:cs="Arial"/>
                <w:szCs w:val="22"/>
                <w:lang w:eastAsia="it-IT"/>
              </w:rPr>
              <w:t>Монтаж освітлення, дренажу та огорожі.</w:t>
            </w:r>
          </w:p>
          <w:p w14:paraId="34C2BFDE" w14:textId="77777777" w:rsidR="005342D5" w:rsidRPr="0019790A" w:rsidRDefault="005342D5" w:rsidP="00574F77">
            <w:pPr>
              <w:numPr>
                <w:ilvl w:val="0"/>
                <w:numId w:val="165"/>
              </w:numPr>
              <w:ind w:left="186" w:hanging="141"/>
              <w:rPr>
                <w:rFonts w:cs="Arial"/>
                <w:szCs w:val="22"/>
                <w:lang w:eastAsia="it-IT"/>
              </w:rPr>
            </w:pPr>
            <w:r w:rsidRPr="0019790A">
              <w:rPr>
                <w:rFonts w:cs="Arial"/>
                <w:szCs w:val="22"/>
                <w:lang w:eastAsia="it-IT"/>
              </w:rPr>
              <w:t>Тестування якості робіт та здача в експлуатацію.</w:t>
            </w:r>
          </w:p>
          <w:p w14:paraId="2E476DDC" w14:textId="77777777" w:rsidR="005342D5" w:rsidRPr="0019790A" w:rsidRDefault="005342D5" w:rsidP="00574F77">
            <w:pPr>
              <w:numPr>
                <w:ilvl w:val="0"/>
                <w:numId w:val="165"/>
              </w:numPr>
              <w:ind w:left="186" w:hanging="141"/>
              <w:rPr>
                <w:rFonts w:cs="Arial"/>
                <w:szCs w:val="22"/>
                <w:lang w:eastAsia="it-IT"/>
              </w:rPr>
            </w:pPr>
            <w:r w:rsidRPr="0019790A">
              <w:rPr>
                <w:rFonts w:cs="Arial"/>
                <w:szCs w:val="22"/>
                <w:lang w:eastAsia="it-IT"/>
              </w:rPr>
              <w:t>Проведення відкритого спортивного заходу з нагоди відкриття.</w:t>
            </w:r>
          </w:p>
        </w:tc>
      </w:tr>
      <w:tr w:rsidR="005342D5" w:rsidRPr="0019790A" w14:paraId="283865CF" w14:textId="77777777" w:rsidTr="00574F77">
        <w:trPr>
          <w:jc w:val="right"/>
        </w:trPr>
        <w:tc>
          <w:tcPr>
            <w:tcW w:w="3425" w:type="dxa"/>
            <w:shd w:val="clear" w:color="auto" w:fill="FFFFFF"/>
            <w:vAlign w:val="center"/>
          </w:tcPr>
          <w:p w14:paraId="27C521AB" w14:textId="77777777" w:rsidR="005342D5" w:rsidRPr="0019790A" w:rsidRDefault="005342D5"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794" w:type="dxa"/>
            <w:gridSpan w:val="9"/>
            <w:vAlign w:val="center"/>
          </w:tcPr>
          <w:p w14:paraId="50A955EB" w14:textId="77777777" w:rsidR="005342D5" w:rsidRPr="0019790A" w:rsidRDefault="005342D5" w:rsidP="00574F77">
            <w:pPr>
              <w:numPr>
                <w:ilvl w:val="0"/>
                <w:numId w:val="166"/>
              </w:numPr>
              <w:ind w:left="186" w:hanging="141"/>
              <w:rPr>
                <w:rFonts w:cs="Arial"/>
                <w:szCs w:val="22"/>
                <w:lang w:eastAsia="it-IT"/>
              </w:rPr>
            </w:pPr>
            <w:r w:rsidRPr="0019790A">
              <w:rPr>
                <w:rFonts w:cs="Arial"/>
                <w:szCs w:val="22"/>
                <w:lang w:eastAsia="it-IT"/>
              </w:rPr>
              <w:t>Повністю відремонтоване футбольне поле.</w:t>
            </w:r>
          </w:p>
          <w:p w14:paraId="0B51E613" w14:textId="77777777" w:rsidR="005342D5" w:rsidRPr="0019790A" w:rsidRDefault="005342D5" w:rsidP="00574F77">
            <w:pPr>
              <w:numPr>
                <w:ilvl w:val="0"/>
                <w:numId w:val="166"/>
              </w:numPr>
              <w:ind w:left="186" w:hanging="141"/>
              <w:rPr>
                <w:rFonts w:cs="Arial"/>
                <w:szCs w:val="22"/>
                <w:lang w:eastAsia="it-IT"/>
              </w:rPr>
            </w:pPr>
            <w:r w:rsidRPr="0019790A">
              <w:rPr>
                <w:rFonts w:cs="Arial"/>
                <w:szCs w:val="22"/>
                <w:lang w:eastAsia="it-IT"/>
              </w:rPr>
              <w:t>Кількість заходів, що проводяться на полі після ремонту: не менше 50 на рік.</w:t>
            </w:r>
          </w:p>
          <w:p w14:paraId="5FF4283D" w14:textId="77777777" w:rsidR="005342D5" w:rsidRPr="0019790A" w:rsidRDefault="005342D5" w:rsidP="00574F77">
            <w:pPr>
              <w:numPr>
                <w:ilvl w:val="0"/>
                <w:numId w:val="166"/>
              </w:numPr>
              <w:ind w:left="186" w:hanging="141"/>
              <w:rPr>
                <w:rFonts w:cs="Arial"/>
                <w:szCs w:val="22"/>
                <w:lang w:eastAsia="it-IT"/>
              </w:rPr>
            </w:pPr>
            <w:r w:rsidRPr="0019790A">
              <w:rPr>
                <w:rFonts w:cs="Arial"/>
                <w:szCs w:val="22"/>
                <w:lang w:eastAsia="it-IT"/>
              </w:rPr>
              <w:t>Кількість активних користувачів поля: понад 1500 осіб щороку.</w:t>
            </w:r>
          </w:p>
          <w:p w14:paraId="34B894FC" w14:textId="77777777" w:rsidR="005342D5" w:rsidRPr="0019790A" w:rsidRDefault="005342D5" w:rsidP="00574F77">
            <w:pPr>
              <w:numPr>
                <w:ilvl w:val="0"/>
                <w:numId w:val="166"/>
              </w:numPr>
              <w:ind w:left="186" w:hanging="141"/>
              <w:rPr>
                <w:rFonts w:cs="Arial"/>
                <w:szCs w:val="22"/>
                <w:lang w:eastAsia="it-IT"/>
              </w:rPr>
            </w:pPr>
            <w:r w:rsidRPr="0019790A">
              <w:rPr>
                <w:rFonts w:cs="Arial"/>
                <w:szCs w:val="22"/>
                <w:lang w:eastAsia="it-IT"/>
              </w:rPr>
              <w:t>Збільшення кількості дитячих і молодіжних команд на 30% протягом 2 років.</w:t>
            </w:r>
          </w:p>
        </w:tc>
      </w:tr>
      <w:tr w:rsidR="005342D5" w:rsidRPr="0019790A" w14:paraId="568BF67F" w14:textId="77777777" w:rsidTr="00CF3AAE">
        <w:trPr>
          <w:jc w:val="right"/>
        </w:trPr>
        <w:tc>
          <w:tcPr>
            <w:tcW w:w="3425" w:type="dxa"/>
            <w:shd w:val="clear" w:color="auto" w:fill="FFFFFF"/>
            <w:vAlign w:val="center"/>
          </w:tcPr>
          <w:p w14:paraId="16A67D02" w14:textId="77777777" w:rsidR="005342D5" w:rsidRPr="0019790A" w:rsidRDefault="005342D5" w:rsidP="0019790A">
            <w:pPr>
              <w:rPr>
                <w:rFonts w:cs="Arial"/>
                <w:b/>
                <w:color w:val="000000"/>
                <w:szCs w:val="22"/>
              </w:rPr>
            </w:pPr>
            <w:r w:rsidRPr="0019790A">
              <w:rPr>
                <w:rFonts w:cs="Arial"/>
                <w:b/>
                <w:color w:val="000000"/>
                <w:szCs w:val="22"/>
              </w:rPr>
              <w:t xml:space="preserve">Період здійснення: </w:t>
            </w:r>
          </w:p>
        </w:tc>
        <w:tc>
          <w:tcPr>
            <w:tcW w:w="6794" w:type="dxa"/>
            <w:gridSpan w:val="9"/>
            <w:vAlign w:val="center"/>
          </w:tcPr>
          <w:p w14:paraId="0C168228" w14:textId="77777777" w:rsidR="005342D5" w:rsidRPr="0019790A" w:rsidRDefault="005342D5" w:rsidP="0019790A">
            <w:pPr>
              <w:rPr>
                <w:rFonts w:cs="Arial"/>
                <w:color w:val="000000"/>
                <w:szCs w:val="22"/>
                <w:lang w:eastAsia="it-IT"/>
              </w:rPr>
            </w:pPr>
            <w:r w:rsidRPr="0019790A">
              <w:rPr>
                <w:rFonts w:cs="Arial"/>
                <w:b/>
                <w:color w:val="000000"/>
                <w:szCs w:val="22"/>
              </w:rPr>
              <w:t>2025 – 2028 роки:</w:t>
            </w:r>
          </w:p>
        </w:tc>
      </w:tr>
      <w:tr w:rsidR="005342D5" w:rsidRPr="0019790A" w14:paraId="00D1B8CF" w14:textId="77777777" w:rsidTr="00CF3AAE">
        <w:trPr>
          <w:jc w:val="right"/>
        </w:trPr>
        <w:tc>
          <w:tcPr>
            <w:tcW w:w="3425" w:type="dxa"/>
            <w:vMerge w:val="restart"/>
            <w:shd w:val="clear" w:color="auto" w:fill="FFFFFF"/>
            <w:vAlign w:val="center"/>
          </w:tcPr>
          <w:p w14:paraId="527C484B" w14:textId="77777777" w:rsidR="005342D5" w:rsidRPr="0019790A" w:rsidRDefault="005342D5" w:rsidP="0019790A">
            <w:pPr>
              <w:rPr>
                <w:rFonts w:cs="Arial"/>
                <w:b/>
                <w:bCs/>
                <w:color w:val="000000"/>
                <w:szCs w:val="22"/>
              </w:rPr>
            </w:pPr>
            <w:r w:rsidRPr="0019790A">
              <w:rPr>
                <w:rFonts w:cs="Arial"/>
                <w:b/>
                <w:bCs/>
                <w:color w:val="000000"/>
                <w:szCs w:val="22"/>
              </w:rPr>
              <w:t>Орієнтовна вартість проєкту, тис. грн., в тому числі:</w:t>
            </w:r>
          </w:p>
        </w:tc>
        <w:tc>
          <w:tcPr>
            <w:tcW w:w="1254" w:type="dxa"/>
            <w:gridSpan w:val="2"/>
            <w:shd w:val="clear" w:color="auto" w:fill="E6E6E6"/>
            <w:vAlign w:val="center"/>
          </w:tcPr>
          <w:p w14:paraId="04EE3D24"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2025</w:t>
            </w:r>
          </w:p>
        </w:tc>
        <w:tc>
          <w:tcPr>
            <w:tcW w:w="1275" w:type="dxa"/>
            <w:shd w:val="clear" w:color="auto" w:fill="E6E6E6"/>
            <w:vAlign w:val="center"/>
          </w:tcPr>
          <w:p w14:paraId="42AC4407"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2026</w:t>
            </w:r>
          </w:p>
        </w:tc>
        <w:tc>
          <w:tcPr>
            <w:tcW w:w="1418" w:type="dxa"/>
            <w:gridSpan w:val="3"/>
            <w:tcBorders>
              <w:bottom w:val="single" w:sz="4" w:space="0" w:color="auto"/>
            </w:tcBorders>
            <w:shd w:val="clear" w:color="auto" w:fill="E6E6E6"/>
            <w:vAlign w:val="center"/>
          </w:tcPr>
          <w:p w14:paraId="65BA91FD"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2027</w:t>
            </w:r>
          </w:p>
        </w:tc>
        <w:tc>
          <w:tcPr>
            <w:tcW w:w="1276" w:type="dxa"/>
            <w:shd w:val="clear" w:color="auto" w:fill="E6E6E6"/>
            <w:vAlign w:val="center"/>
          </w:tcPr>
          <w:p w14:paraId="417F81C2"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2028</w:t>
            </w:r>
          </w:p>
        </w:tc>
        <w:tc>
          <w:tcPr>
            <w:tcW w:w="1571" w:type="dxa"/>
            <w:gridSpan w:val="2"/>
            <w:shd w:val="clear" w:color="auto" w:fill="E6E6E6"/>
            <w:vAlign w:val="center"/>
          </w:tcPr>
          <w:p w14:paraId="53A1CA10"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РАЗОМ</w:t>
            </w:r>
          </w:p>
        </w:tc>
      </w:tr>
      <w:tr w:rsidR="005342D5" w:rsidRPr="0019790A" w14:paraId="0387FD97" w14:textId="77777777" w:rsidTr="00CF3AAE">
        <w:trPr>
          <w:jc w:val="right"/>
        </w:trPr>
        <w:tc>
          <w:tcPr>
            <w:tcW w:w="3425" w:type="dxa"/>
            <w:vMerge/>
            <w:shd w:val="clear" w:color="auto" w:fill="FFFFFF"/>
            <w:vAlign w:val="center"/>
          </w:tcPr>
          <w:p w14:paraId="08AB8D62" w14:textId="77777777" w:rsidR="005342D5" w:rsidRPr="0019790A" w:rsidRDefault="005342D5" w:rsidP="0019790A">
            <w:pPr>
              <w:rPr>
                <w:rFonts w:cs="Arial"/>
                <w:b/>
                <w:bCs/>
                <w:color w:val="000000"/>
                <w:szCs w:val="22"/>
              </w:rPr>
            </w:pPr>
          </w:p>
        </w:tc>
        <w:tc>
          <w:tcPr>
            <w:tcW w:w="1254" w:type="dxa"/>
            <w:gridSpan w:val="2"/>
            <w:vAlign w:val="center"/>
          </w:tcPr>
          <w:p w14:paraId="385B9436" w14:textId="77777777" w:rsidR="005342D5" w:rsidRPr="0019790A" w:rsidRDefault="005342D5" w:rsidP="0019790A">
            <w:pPr>
              <w:jc w:val="center"/>
              <w:rPr>
                <w:rFonts w:cs="Arial"/>
                <w:b/>
                <w:color w:val="000000"/>
                <w:szCs w:val="22"/>
                <w:lang w:eastAsia="it-IT"/>
              </w:rPr>
            </w:pPr>
          </w:p>
        </w:tc>
        <w:tc>
          <w:tcPr>
            <w:tcW w:w="1275" w:type="dxa"/>
            <w:shd w:val="clear" w:color="auto" w:fill="FFFFFF"/>
            <w:vAlign w:val="center"/>
          </w:tcPr>
          <w:p w14:paraId="2C51B605" w14:textId="77777777" w:rsidR="005342D5" w:rsidRPr="0019790A" w:rsidRDefault="005342D5" w:rsidP="0019790A">
            <w:pPr>
              <w:jc w:val="center"/>
              <w:rPr>
                <w:rFonts w:cs="Arial"/>
                <w:b/>
                <w:color w:val="000000"/>
                <w:szCs w:val="22"/>
                <w:lang w:eastAsia="it-IT"/>
              </w:rPr>
            </w:pPr>
          </w:p>
        </w:tc>
        <w:tc>
          <w:tcPr>
            <w:tcW w:w="1418" w:type="dxa"/>
            <w:gridSpan w:val="3"/>
            <w:shd w:val="clear" w:color="auto" w:fill="auto"/>
            <w:vAlign w:val="center"/>
          </w:tcPr>
          <w:p w14:paraId="55C0AA3E"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3600,0</w:t>
            </w:r>
          </w:p>
        </w:tc>
        <w:tc>
          <w:tcPr>
            <w:tcW w:w="1276" w:type="dxa"/>
            <w:shd w:val="clear" w:color="auto" w:fill="FFFFFF"/>
            <w:vAlign w:val="center"/>
          </w:tcPr>
          <w:p w14:paraId="5B4FF0DA" w14:textId="77777777" w:rsidR="005342D5" w:rsidRPr="0019790A" w:rsidRDefault="005342D5" w:rsidP="0019790A">
            <w:pPr>
              <w:jc w:val="center"/>
              <w:rPr>
                <w:rFonts w:cs="Arial"/>
                <w:b/>
                <w:color w:val="000000"/>
                <w:szCs w:val="22"/>
                <w:lang w:eastAsia="it-IT"/>
              </w:rPr>
            </w:pPr>
          </w:p>
        </w:tc>
        <w:tc>
          <w:tcPr>
            <w:tcW w:w="1571" w:type="dxa"/>
            <w:gridSpan w:val="2"/>
            <w:shd w:val="clear" w:color="auto" w:fill="FFFFFF"/>
            <w:vAlign w:val="center"/>
          </w:tcPr>
          <w:p w14:paraId="24D7BD5A"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3600,0</w:t>
            </w:r>
          </w:p>
        </w:tc>
      </w:tr>
      <w:tr w:rsidR="005342D5" w:rsidRPr="0019790A" w14:paraId="5BA31C01" w14:textId="77777777" w:rsidTr="00CF3AAE">
        <w:trPr>
          <w:trHeight w:val="276"/>
          <w:jc w:val="right"/>
        </w:trPr>
        <w:tc>
          <w:tcPr>
            <w:tcW w:w="3425" w:type="dxa"/>
            <w:shd w:val="clear" w:color="auto" w:fill="FFFFFF"/>
            <w:vAlign w:val="center"/>
          </w:tcPr>
          <w:p w14:paraId="13183FCF" w14:textId="77777777" w:rsidR="005342D5" w:rsidRPr="0019790A" w:rsidRDefault="005342D5" w:rsidP="0019790A">
            <w:pPr>
              <w:rPr>
                <w:rFonts w:cs="Arial"/>
                <w:b/>
                <w:bCs/>
                <w:color w:val="000000"/>
                <w:szCs w:val="22"/>
              </w:rPr>
            </w:pPr>
            <w:r w:rsidRPr="0019790A">
              <w:rPr>
                <w:rFonts w:cs="Arial"/>
                <w:b/>
                <w:bCs/>
                <w:color w:val="000000"/>
                <w:szCs w:val="22"/>
              </w:rPr>
              <w:t>по джерелах фінансування:</w:t>
            </w:r>
          </w:p>
        </w:tc>
        <w:tc>
          <w:tcPr>
            <w:tcW w:w="6794" w:type="dxa"/>
            <w:gridSpan w:val="9"/>
            <w:vAlign w:val="center"/>
          </w:tcPr>
          <w:p w14:paraId="24549349" w14:textId="77777777" w:rsidR="005342D5" w:rsidRPr="0019790A" w:rsidRDefault="005342D5" w:rsidP="0019790A">
            <w:pPr>
              <w:jc w:val="both"/>
              <w:rPr>
                <w:rFonts w:cs="Arial"/>
                <w:color w:val="000000"/>
                <w:szCs w:val="22"/>
                <w:lang w:eastAsia="it-IT"/>
              </w:rPr>
            </w:pPr>
          </w:p>
        </w:tc>
      </w:tr>
      <w:tr w:rsidR="00574F77" w:rsidRPr="0019790A" w14:paraId="71CBC89B" w14:textId="211490F1" w:rsidTr="00574F77">
        <w:trPr>
          <w:trHeight w:val="240"/>
          <w:jc w:val="right"/>
        </w:trPr>
        <w:tc>
          <w:tcPr>
            <w:tcW w:w="3425" w:type="dxa"/>
            <w:shd w:val="clear" w:color="auto" w:fill="FFFFFF"/>
            <w:vAlign w:val="center"/>
          </w:tcPr>
          <w:p w14:paraId="1B762CF4" w14:textId="77777777" w:rsidR="00574F77" w:rsidRPr="0019790A" w:rsidRDefault="00574F77" w:rsidP="0019790A">
            <w:pPr>
              <w:rPr>
                <w:rFonts w:cs="Arial"/>
                <w:b/>
                <w:bCs/>
                <w:color w:val="000000"/>
                <w:szCs w:val="22"/>
              </w:rPr>
            </w:pPr>
            <w:r w:rsidRPr="0019790A">
              <w:rPr>
                <w:rFonts w:cs="Arial"/>
                <w:color w:val="000000"/>
                <w:szCs w:val="22"/>
              </w:rPr>
              <w:t>- державний бюджет</w:t>
            </w:r>
          </w:p>
        </w:tc>
        <w:tc>
          <w:tcPr>
            <w:tcW w:w="1240" w:type="dxa"/>
            <w:vAlign w:val="center"/>
          </w:tcPr>
          <w:p w14:paraId="1FA75746" w14:textId="77777777" w:rsidR="00574F77" w:rsidRPr="0019790A" w:rsidRDefault="00574F77" w:rsidP="0019790A">
            <w:pPr>
              <w:jc w:val="both"/>
              <w:rPr>
                <w:rFonts w:cs="Arial"/>
                <w:color w:val="000000"/>
                <w:szCs w:val="22"/>
                <w:lang w:eastAsia="it-IT"/>
              </w:rPr>
            </w:pPr>
          </w:p>
        </w:tc>
        <w:tc>
          <w:tcPr>
            <w:tcW w:w="1302" w:type="dxa"/>
            <w:gridSpan w:val="3"/>
            <w:vAlign w:val="center"/>
          </w:tcPr>
          <w:p w14:paraId="599CEF76" w14:textId="77777777" w:rsidR="00574F77" w:rsidRPr="0019790A" w:rsidRDefault="00574F77" w:rsidP="0019790A">
            <w:pPr>
              <w:jc w:val="both"/>
              <w:rPr>
                <w:rFonts w:cs="Arial"/>
                <w:color w:val="000000"/>
                <w:szCs w:val="22"/>
                <w:lang w:eastAsia="it-IT"/>
              </w:rPr>
            </w:pPr>
          </w:p>
        </w:tc>
        <w:tc>
          <w:tcPr>
            <w:tcW w:w="1377" w:type="dxa"/>
            <w:vAlign w:val="center"/>
          </w:tcPr>
          <w:p w14:paraId="12414EAD" w14:textId="77777777" w:rsidR="00574F77" w:rsidRPr="0019790A" w:rsidRDefault="00574F77" w:rsidP="0019790A">
            <w:pPr>
              <w:jc w:val="both"/>
              <w:rPr>
                <w:rFonts w:cs="Arial"/>
                <w:color w:val="000000"/>
                <w:szCs w:val="22"/>
                <w:lang w:eastAsia="it-IT"/>
              </w:rPr>
            </w:pPr>
          </w:p>
        </w:tc>
        <w:tc>
          <w:tcPr>
            <w:tcW w:w="1340" w:type="dxa"/>
            <w:gridSpan w:val="3"/>
            <w:vAlign w:val="center"/>
          </w:tcPr>
          <w:p w14:paraId="66EF902A" w14:textId="77777777" w:rsidR="00574F77" w:rsidRPr="0019790A" w:rsidRDefault="00574F77" w:rsidP="0019790A">
            <w:pPr>
              <w:jc w:val="both"/>
              <w:rPr>
                <w:rFonts w:cs="Arial"/>
                <w:color w:val="000000"/>
                <w:szCs w:val="22"/>
                <w:lang w:eastAsia="it-IT"/>
              </w:rPr>
            </w:pPr>
          </w:p>
        </w:tc>
        <w:tc>
          <w:tcPr>
            <w:tcW w:w="1535" w:type="dxa"/>
            <w:vAlign w:val="center"/>
          </w:tcPr>
          <w:p w14:paraId="2D0926CD" w14:textId="77777777" w:rsidR="00574F77" w:rsidRPr="0019790A" w:rsidRDefault="00574F77" w:rsidP="0019790A">
            <w:pPr>
              <w:jc w:val="both"/>
              <w:rPr>
                <w:rFonts w:cs="Arial"/>
                <w:color w:val="000000"/>
                <w:szCs w:val="22"/>
                <w:lang w:eastAsia="it-IT"/>
              </w:rPr>
            </w:pPr>
          </w:p>
        </w:tc>
      </w:tr>
      <w:tr w:rsidR="00574F77" w:rsidRPr="0019790A" w14:paraId="25956DF4" w14:textId="1FEB219C" w:rsidTr="00574F77">
        <w:trPr>
          <w:trHeight w:val="254"/>
          <w:jc w:val="right"/>
        </w:trPr>
        <w:tc>
          <w:tcPr>
            <w:tcW w:w="3425" w:type="dxa"/>
            <w:shd w:val="clear" w:color="auto" w:fill="FFFFFF"/>
            <w:vAlign w:val="center"/>
          </w:tcPr>
          <w:p w14:paraId="31DBDAA5" w14:textId="77777777" w:rsidR="00574F77" w:rsidRPr="0019790A" w:rsidRDefault="00574F77" w:rsidP="0019790A">
            <w:pPr>
              <w:rPr>
                <w:rFonts w:cs="Arial"/>
                <w:color w:val="000000"/>
                <w:szCs w:val="22"/>
              </w:rPr>
            </w:pPr>
            <w:r w:rsidRPr="0019790A">
              <w:rPr>
                <w:rFonts w:cs="Arial"/>
                <w:color w:val="000000"/>
                <w:szCs w:val="22"/>
              </w:rPr>
              <w:t>- обласний бюджет</w:t>
            </w:r>
          </w:p>
        </w:tc>
        <w:tc>
          <w:tcPr>
            <w:tcW w:w="1240" w:type="dxa"/>
            <w:vAlign w:val="center"/>
          </w:tcPr>
          <w:p w14:paraId="5A5FBAFD" w14:textId="77777777" w:rsidR="00574F77" w:rsidRPr="0019790A" w:rsidRDefault="00574F77" w:rsidP="0019790A">
            <w:pPr>
              <w:jc w:val="both"/>
              <w:rPr>
                <w:rFonts w:cs="Arial"/>
                <w:color w:val="000000"/>
                <w:szCs w:val="22"/>
                <w:lang w:eastAsia="it-IT"/>
              </w:rPr>
            </w:pPr>
          </w:p>
        </w:tc>
        <w:tc>
          <w:tcPr>
            <w:tcW w:w="1302" w:type="dxa"/>
            <w:gridSpan w:val="3"/>
            <w:vAlign w:val="center"/>
          </w:tcPr>
          <w:p w14:paraId="0AEF1825" w14:textId="77777777" w:rsidR="00574F77" w:rsidRPr="0019790A" w:rsidRDefault="00574F77" w:rsidP="0019790A">
            <w:pPr>
              <w:jc w:val="both"/>
              <w:rPr>
                <w:rFonts w:cs="Arial"/>
                <w:color w:val="000000"/>
                <w:szCs w:val="22"/>
                <w:lang w:eastAsia="it-IT"/>
              </w:rPr>
            </w:pPr>
          </w:p>
        </w:tc>
        <w:tc>
          <w:tcPr>
            <w:tcW w:w="1377" w:type="dxa"/>
            <w:vAlign w:val="center"/>
          </w:tcPr>
          <w:p w14:paraId="63A0B520" w14:textId="77777777" w:rsidR="00574F77" w:rsidRPr="0019790A" w:rsidRDefault="00574F77" w:rsidP="0019790A">
            <w:pPr>
              <w:jc w:val="both"/>
              <w:rPr>
                <w:rFonts w:cs="Arial"/>
                <w:color w:val="000000"/>
                <w:szCs w:val="22"/>
                <w:lang w:eastAsia="it-IT"/>
              </w:rPr>
            </w:pPr>
          </w:p>
        </w:tc>
        <w:tc>
          <w:tcPr>
            <w:tcW w:w="1340" w:type="dxa"/>
            <w:gridSpan w:val="3"/>
            <w:vAlign w:val="center"/>
          </w:tcPr>
          <w:p w14:paraId="6835378C" w14:textId="77777777" w:rsidR="00574F77" w:rsidRPr="0019790A" w:rsidRDefault="00574F77" w:rsidP="0019790A">
            <w:pPr>
              <w:jc w:val="both"/>
              <w:rPr>
                <w:rFonts w:cs="Arial"/>
                <w:color w:val="000000"/>
                <w:szCs w:val="22"/>
                <w:lang w:eastAsia="it-IT"/>
              </w:rPr>
            </w:pPr>
          </w:p>
        </w:tc>
        <w:tc>
          <w:tcPr>
            <w:tcW w:w="1535" w:type="dxa"/>
            <w:vAlign w:val="center"/>
          </w:tcPr>
          <w:p w14:paraId="1A7513B3" w14:textId="77777777" w:rsidR="00574F77" w:rsidRPr="0019790A" w:rsidRDefault="00574F77" w:rsidP="0019790A">
            <w:pPr>
              <w:jc w:val="both"/>
              <w:rPr>
                <w:rFonts w:cs="Arial"/>
                <w:color w:val="000000"/>
                <w:szCs w:val="22"/>
                <w:lang w:eastAsia="it-IT"/>
              </w:rPr>
            </w:pPr>
          </w:p>
        </w:tc>
      </w:tr>
      <w:tr w:rsidR="00574F77" w:rsidRPr="0019790A" w14:paraId="139F19D9" w14:textId="31B33DB7" w:rsidTr="00574F77">
        <w:trPr>
          <w:trHeight w:val="275"/>
          <w:jc w:val="right"/>
        </w:trPr>
        <w:tc>
          <w:tcPr>
            <w:tcW w:w="3425" w:type="dxa"/>
            <w:shd w:val="clear" w:color="auto" w:fill="FFFFFF"/>
            <w:vAlign w:val="center"/>
          </w:tcPr>
          <w:p w14:paraId="70A7EEA6" w14:textId="77777777" w:rsidR="00574F77" w:rsidRPr="0019790A" w:rsidRDefault="00574F77" w:rsidP="00574F77">
            <w:pPr>
              <w:rPr>
                <w:rFonts w:cs="Arial"/>
                <w:color w:val="000000"/>
                <w:szCs w:val="22"/>
              </w:rPr>
            </w:pPr>
            <w:r w:rsidRPr="0019790A">
              <w:rPr>
                <w:rFonts w:cs="Arial"/>
                <w:color w:val="000000"/>
                <w:szCs w:val="22"/>
              </w:rPr>
              <w:t>- бюджет Жмеринської МТГ</w:t>
            </w:r>
          </w:p>
        </w:tc>
        <w:tc>
          <w:tcPr>
            <w:tcW w:w="1240" w:type="dxa"/>
            <w:vAlign w:val="center"/>
          </w:tcPr>
          <w:p w14:paraId="757B3B4E" w14:textId="02E49280" w:rsidR="00574F77" w:rsidRPr="0019790A" w:rsidRDefault="00574F77" w:rsidP="00574F77">
            <w:pPr>
              <w:jc w:val="both"/>
              <w:rPr>
                <w:rFonts w:cs="Arial"/>
                <w:color w:val="000000"/>
                <w:szCs w:val="22"/>
                <w:lang w:eastAsia="it-IT"/>
              </w:rPr>
            </w:pPr>
          </w:p>
        </w:tc>
        <w:tc>
          <w:tcPr>
            <w:tcW w:w="1302" w:type="dxa"/>
            <w:gridSpan w:val="3"/>
            <w:vAlign w:val="center"/>
          </w:tcPr>
          <w:p w14:paraId="78426E0A" w14:textId="77777777" w:rsidR="00574F77" w:rsidRPr="0019790A" w:rsidRDefault="00574F77" w:rsidP="00574F77">
            <w:pPr>
              <w:jc w:val="both"/>
              <w:rPr>
                <w:rFonts w:cs="Arial"/>
                <w:color w:val="000000"/>
                <w:szCs w:val="22"/>
                <w:lang w:eastAsia="it-IT"/>
              </w:rPr>
            </w:pPr>
          </w:p>
        </w:tc>
        <w:tc>
          <w:tcPr>
            <w:tcW w:w="1377" w:type="dxa"/>
            <w:vAlign w:val="center"/>
          </w:tcPr>
          <w:p w14:paraId="7EF7B12E" w14:textId="72E66203" w:rsidR="00574F77" w:rsidRPr="00574F77" w:rsidRDefault="00574F77" w:rsidP="00574F77">
            <w:pPr>
              <w:jc w:val="center"/>
              <w:rPr>
                <w:rFonts w:cs="Arial"/>
                <w:color w:val="000000"/>
                <w:szCs w:val="22"/>
                <w:lang w:eastAsia="it-IT"/>
              </w:rPr>
            </w:pPr>
            <w:r w:rsidRPr="00574F77">
              <w:rPr>
                <w:rFonts w:cs="Arial"/>
                <w:color w:val="000000"/>
                <w:szCs w:val="22"/>
                <w:lang w:eastAsia="it-IT"/>
              </w:rPr>
              <w:t>3600,0</w:t>
            </w:r>
          </w:p>
        </w:tc>
        <w:tc>
          <w:tcPr>
            <w:tcW w:w="1340" w:type="dxa"/>
            <w:gridSpan w:val="3"/>
            <w:vAlign w:val="center"/>
          </w:tcPr>
          <w:p w14:paraId="44C51C27" w14:textId="77777777" w:rsidR="00574F77" w:rsidRPr="00574F77" w:rsidRDefault="00574F77" w:rsidP="00574F77">
            <w:pPr>
              <w:jc w:val="center"/>
              <w:rPr>
                <w:rFonts w:cs="Arial"/>
                <w:color w:val="000000"/>
                <w:szCs w:val="22"/>
                <w:lang w:eastAsia="it-IT"/>
              </w:rPr>
            </w:pPr>
          </w:p>
        </w:tc>
        <w:tc>
          <w:tcPr>
            <w:tcW w:w="1535" w:type="dxa"/>
            <w:vAlign w:val="center"/>
          </w:tcPr>
          <w:p w14:paraId="44536581" w14:textId="0B4B0521" w:rsidR="00574F77" w:rsidRPr="00574F77" w:rsidRDefault="00574F77" w:rsidP="00574F77">
            <w:pPr>
              <w:jc w:val="center"/>
              <w:rPr>
                <w:rFonts w:cs="Arial"/>
                <w:color w:val="000000"/>
                <w:szCs w:val="22"/>
                <w:lang w:eastAsia="it-IT"/>
              </w:rPr>
            </w:pPr>
            <w:r w:rsidRPr="00574F77">
              <w:rPr>
                <w:rFonts w:cs="Arial"/>
                <w:color w:val="000000"/>
                <w:szCs w:val="22"/>
                <w:lang w:eastAsia="it-IT"/>
              </w:rPr>
              <w:t>3600,0</w:t>
            </w:r>
          </w:p>
        </w:tc>
      </w:tr>
      <w:tr w:rsidR="00574F77" w:rsidRPr="0019790A" w14:paraId="734943C6" w14:textId="774B87ED" w:rsidTr="00574F77">
        <w:trPr>
          <w:trHeight w:val="226"/>
          <w:jc w:val="right"/>
        </w:trPr>
        <w:tc>
          <w:tcPr>
            <w:tcW w:w="3425" w:type="dxa"/>
            <w:shd w:val="clear" w:color="auto" w:fill="FFFFFF"/>
            <w:vAlign w:val="center"/>
          </w:tcPr>
          <w:p w14:paraId="59AF4CB5" w14:textId="77777777" w:rsidR="00574F77" w:rsidRPr="0019790A" w:rsidRDefault="00574F77" w:rsidP="00574F77">
            <w:pPr>
              <w:rPr>
                <w:rFonts w:cs="Arial"/>
                <w:color w:val="000000"/>
                <w:szCs w:val="22"/>
              </w:rPr>
            </w:pPr>
            <w:r w:rsidRPr="0019790A">
              <w:rPr>
                <w:rFonts w:cs="Arial"/>
                <w:color w:val="000000"/>
                <w:szCs w:val="22"/>
              </w:rPr>
              <w:t>- інші джерела фінансування</w:t>
            </w:r>
          </w:p>
        </w:tc>
        <w:tc>
          <w:tcPr>
            <w:tcW w:w="1240" w:type="dxa"/>
            <w:vAlign w:val="center"/>
          </w:tcPr>
          <w:p w14:paraId="351EA268" w14:textId="77777777" w:rsidR="00574F77" w:rsidRPr="0019790A" w:rsidRDefault="00574F77" w:rsidP="00574F77">
            <w:pPr>
              <w:jc w:val="both"/>
              <w:rPr>
                <w:rFonts w:cs="Arial"/>
                <w:color w:val="000000"/>
                <w:szCs w:val="22"/>
                <w:lang w:eastAsia="it-IT"/>
              </w:rPr>
            </w:pPr>
          </w:p>
        </w:tc>
        <w:tc>
          <w:tcPr>
            <w:tcW w:w="1302" w:type="dxa"/>
            <w:gridSpan w:val="3"/>
            <w:vAlign w:val="center"/>
          </w:tcPr>
          <w:p w14:paraId="18E4B695" w14:textId="77777777" w:rsidR="00574F77" w:rsidRPr="0019790A" w:rsidRDefault="00574F77" w:rsidP="00574F77">
            <w:pPr>
              <w:jc w:val="both"/>
              <w:rPr>
                <w:rFonts w:cs="Arial"/>
                <w:color w:val="000000"/>
                <w:szCs w:val="22"/>
                <w:lang w:eastAsia="it-IT"/>
              </w:rPr>
            </w:pPr>
          </w:p>
        </w:tc>
        <w:tc>
          <w:tcPr>
            <w:tcW w:w="1377" w:type="dxa"/>
            <w:vAlign w:val="center"/>
          </w:tcPr>
          <w:p w14:paraId="58B00D45" w14:textId="77777777" w:rsidR="00574F77" w:rsidRPr="0019790A" w:rsidRDefault="00574F77" w:rsidP="00574F77">
            <w:pPr>
              <w:jc w:val="both"/>
              <w:rPr>
                <w:rFonts w:cs="Arial"/>
                <w:color w:val="000000"/>
                <w:szCs w:val="22"/>
                <w:lang w:eastAsia="it-IT"/>
              </w:rPr>
            </w:pPr>
          </w:p>
        </w:tc>
        <w:tc>
          <w:tcPr>
            <w:tcW w:w="1340" w:type="dxa"/>
            <w:gridSpan w:val="3"/>
            <w:vAlign w:val="center"/>
          </w:tcPr>
          <w:p w14:paraId="338DB7BC" w14:textId="77777777" w:rsidR="00574F77" w:rsidRPr="0019790A" w:rsidRDefault="00574F77" w:rsidP="00574F77">
            <w:pPr>
              <w:jc w:val="both"/>
              <w:rPr>
                <w:rFonts w:cs="Arial"/>
                <w:color w:val="000000"/>
                <w:szCs w:val="22"/>
                <w:lang w:eastAsia="it-IT"/>
              </w:rPr>
            </w:pPr>
          </w:p>
        </w:tc>
        <w:tc>
          <w:tcPr>
            <w:tcW w:w="1535" w:type="dxa"/>
            <w:vAlign w:val="center"/>
          </w:tcPr>
          <w:p w14:paraId="27AA7D05" w14:textId="77777777" w:rsidR="00574F77" w:rsidRPr="0019790A" w:rsidRDefault="00574F77" w:rsidP="00574F77">
            <w:pPr>
              <w:jc w:val="both"/>
              <w:rPr>
                <w:rFonts w:cs="Arial"/>
                <w:color w:val="000000"/>
                <w:szCs w:val="22"/>
                <w:lang w:eastAsia="it-IT"/>
              </w:rPr>
            </w:pPr>
          </w:p>
        </w:tc>
      </w:tr>
      <w:tr w:rsidR="00574F77" w:rsidRPr="0019790A" w14:paraId="42AB0256" w14:textId="26E6DB9F" w:rsidTr="009873B2">
        <w:trPr>
          <w:jc w:val="right"/>
        </w:trPr>
        <w:tc>
          <w:tcPr>
            <w:tcW w:w="3425" w:type="dxa"/>
            <w:shd w:val="clear" w:color="auto" w:fill="FFFFFF"/>
            <w:vAlign w:val="center"/>
          </w:tcPr>
          <w:p w14:paraId="5CB9F485" w14:textId="77777777" w:rsidR="00574F77" w:rsidRPr="0019790A" w:rsidRDefault="00574F77" w:rsidP="00574F77">
            <w:pPr>
              <w:rPr>
                <w:rFonts w:cs="Arial"/>
                <w:b/>
                <w:bCs/>
                <w:color w:val="000000"/>
                <w:szCs w:val="22"/>
              </w:rPr>
            </w:pPr>
            <w:r w:rsidRPr="0019790A">
              <w:rPr>
                <w:rFonts w:cs="Arial"/>
                <w:b/>
                <w:color w:val="000000"/>
                <w:szCs w:val="22"/>
              </w:rPr>
              <w:t>Відповідальний виконавець проєкту:</w:t>
            </w:r>
          </w:p>
        </w:tc>
        <w:tc>
          <w:tcPr>
            <w:tcW w:w="6794" w:type="dxa"/>
            <w:gridSpan w:val="9"/>
            <w:vAlign w:val="center"/>
          </w:tcPr>
          <w:p w14:paraId="01842D78" w14:textId="6A57B036" w:rsidR="00574F77" w:rsidRPr="0019790A" w:rsidRDefault="00574F77" w:rsidP="00574F77">
            <w:pPr>
              <w:jc w:val="both"/>
              <w:rPr>
                <w:rFonts w:cs="Arial"/>
                <w:color w:val="000000"/>
                <w:szCs w:val="22"/>
                <w:lang w:eastAsia="it-IT"/>
              </w:rPr>
            </w:pPr>
            <w:r w:rsidRPr="0019790A">
              <w:rPr>
                <w:rFonts w:cs="Arial"/>
                <w:color w:val="000000"/>
                <w:szCs w:val="22"/>
                <w:lang w:eastAsia="it-IT"/>
              </w:rPr>
              <w:t>Управління житлово-комунального господ</w:t>
            </w:r>
            <w:r>
              <w:rPr>
                <w:rFonts w:cs="Arial"/>
                <w:color w:val="000000"/>
                <w:szCs w:val="22"/>
                <w:lang w:eastAsia="it-IT"/>
              </w:rPr>
              <w:t>арства Жмеринської міської ради</w:t>
            </w:r>
          </w:p>
        </w:tc>
      </w:tr>
      <w:tr w:rsidR="00574F77" w:rsidRPr="0019790A" w14:paraId="425C1DF1" w14:textId="77777777" w:rsidTr="00CF3AAE">
        <w:trPr>
          <w:jc w:val="right"/>
        </w:trPr>
        <w:tc>
          <w:tcPr>
            <w:tcW w:w="3425" w:type="dxa"/>
            <w:shd w:val="clear" w:color="auto" w:fill="FFFFFF"/>
            <w:vAlign w:val="center"/>
          </w:tcPr>
          <w:p w14:paraId="35858578" w14:textId="77777777" w:rsidR="00574F77" w:rsidRPr="0019790A" w:rsidRDefault="00574F77" w:rsidP="00574F77">
            <w:pPr>
              <w:rPr>
                <w:rFonts w:cs="Arial"/>
                <w:b/>
                <w:bCs/>
                <w:color w:val="000000"/>
                <w:szCs w:val="22"/>
              </w:rPr>
            </w:pPr>
            <w:r w:rsidRPr="0019790A">
              <w:rPr>
                <w:rFonts w:cs="Arial"/>
                <w:b/>
                <w:bCs/>
                <w:color w:val="000000"/>
                <w:szCs w:val="22"/>
              </w:rPr>
              <w:t>Інше:</w:t>
            </w:r>
          </w:p>
        </w:tc>
        <w:tc>
          <w:tcPr>
            <w:tcW w:w="6794" w:type="dxa"/>
            <w:gridSpan w:val="9"/>
            <w:vAlign w:val="center"/>
          </w:tcPr>
          <w:p w14:paraId="5B03F85E" w14:textId="77777777" w:rsidR="00574F77" w:rsidRPr="0019790A" w:rsidRDefault="00574F77" w:rsidP="00574F77">
            <w:pPr>
              <w:rPr>
                <w:rFonts w:cs="Arial"/>
                <w:color w:val="000000"/>
                <w:szCs w:val="22"/>
                <w:lang w:eastAsia="it-IT"/>
              </w:rPr>
            </w:pPr>
          </w:p>
        </w:tc>
      </w:tr>
    </w:tbl>
    <w:p w14:paraId="62F580B0" w14:textId="77777777" w:rsidR="005342D5" w:rsidRPr="0019790A" w:rsidRDefault="005342D5" w:rsidP="0019790A">
      <w:pPr>
        <w:rPr>
          <w:rFonts w:cs="Arial"/>
          <w:b/>
          <w:szCs w:val="22"/>
          <w:highlight w:val="lightGray"/>
        </w:rPr>
      </w:pPr>
    </w:p>
    <w:p w14:paraId="4015D6F4" w14:textId="77777777" w:rsidR="005342D5" w:rsidRPr="0019790A" w:rsidRDefault="005342D5" w:rsidP="0019790A">
      <w:pPr>
        <w:jc w:val="center"/>
        <w:rPr>
          <w:rFonts w:cs="Arial"/>
          <w:b/>
          <w:color w:val="000000"/>
          <w:szCs w:val="22"/>
        </w:rPr>
      </w:pPr>
      <w:r w:rsidRPr="0019790A">
        <w:rPr>
          <w:rFonts w:cs="Arial"/>
          <w:b/>
          <w:color w:val="000000"/>
          <w:szCs w:val="22"/>
        </w:rPr>
        <w:t xml:space="preserve">Форма технічного завдання на проєкт місцевого розвитку </w:t>
      </w:r>
    </w:p>
    <w:p w14:paraId="20E41E71" w14:textId="77777777" w:rsidR="005342D5" w:rsidRPr="0019790A" w:rsidRDefault="005342D5" w:rsidP="0019790A">
      <w:pPr>
        <w:jc w:val="center"/>
        <w:rPr>
          <w:rFonts w:cs="Arial"/>
          <w:b/>
          <w:color w:val="000000"/>
          <w:szCs w:val="22"/>
        </w:rPr>
      </w:pPr>
      <w:r w:rsidRPr="0019790A">
        <w:rPr>
          <w:rFonts w:cs="Arial"/>
          <w:b/>
          <w:color w:val="000000"/>
          <w:szCs w:val="22"/>
        </w:rPr>
        <w:t>до Плану заходів з реалізації Стратегії</w:t>
      </w:r>
    </w:p>
    <w:p w14:paraId="6A7099AF" w14:textId="77777777" w:rsidR="005342D5" w:rsidRPr="0019790A" w:rsidRDefault="005342D5"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3"/>
        <w:gridCol w:w="1253"/>
        <w:gridCol w:w="11"/>
        <w:gridCol w:w="1265"/>
        <w:gridCol w:w="1418"/>
        <w:gridCol w:w="1276"/>
        <w:gridCol w:w="26"/>
        <w:gridCol w:w="1547"/>
      </w:tblGrid>
      <w:tr w:rsidR="005342D5" w:rsidRPr="0019790A" w14:paraId="23921CD3" w14:textId="77777777" w:rsidTr="00CF3AAE">
        <w:trPr>
          <w:trHeight w:val="307"/>
          <w:jc w:val="right"/>
        </w:trPr>
        <w:tc>
          <w:tcPr>
            <w:tcW w:w="3425" w:type="dxa"/>
            <w:vAlign w:val="center"/>
          </w:tcPr>
          <w:p w14:paraId="7CC4B719" w14:textId="77777777" w:rsidR="005342D5" w:rsidRPr="0019790A" w:rsidRDefault="005342D5" w:rsidP="0019790A">
            <w:pPr>
              <w:rPr>
                <w:rFonts w:cs="Arial"/>
                <w:b/>
                <w:bCs/>
                <w:color w:val="000000"/>
                <w:szCs w:val="22"/>
              </w:rPr>
            </w:pPr>
            <w:r w:rsidRPr="0019790A">
              <w:rPr>
                <w:rFonts w:cs="Arial"/>
                <w:b/>
                <w:bCs/>
                <w:color w:val="000000"/>
                <w:szCs w:val="22"/>
              </w:rPr>
              <w:t>Назва проєкту:</w:t>
            </w:r>
          </w:p>
        </w:tc>
        <w:tc>
          <w:tcPr>
            <w:tcW w:w="6794" w:type="dxa"/>
            <w:gridSpan w:val="7"/>
          </w:tcPr>
          <w:p w14:paraId="21B122D5" w14:textId="77777777" w:rsidR="005342D5" w:rsidRPr="0019790A" w:rsidRDefault="005342D5" w:rsidP="009873B2">
            <w:pPr>
              <w:jc w:val="both"/>
              <w:rPr>
                <w:rFonts w:cs="Arial"/>
                <w:szCs w:val="22"/>
                <w:lang w:eastAsia="it-IT"/>
              </w:rPr>
            </w:pPr>
            <w:r w:rsidRPr="0019790A">
              <w:rPr>
                <w:rFonts w:cs="Arial"/>
                <w:b/>
                <w:bCs/>
                <w:szCs w:val="22"/>
                <w:lang w:eastAsia="it-IT"/>
              </w:rPr>
              <w:t>Вуличний багатофункціональний спортивно-оздоровчий простір з гумовим або штучним покриттям по вул. Шекінська</w:t>
            </w:r>
          </w:p>
        </w:tc>
      </w:tr>
      <w:tr w:rsidR="005342D5" w:rsidRPr="0019790A" w14:paraId="6414679B" w14:textId="77777777" w:rsidTr="00CF3AAE">
        <w:trPr>
          <w:jc w:val="right"/>
        </w:trPr>
        <w:tc>
          <w:tcPr>
            <w:tcW w:w="3425" w:type="dxa"/>
          </w:tcPr>
          <w:p w14:paraId="37687D28" w14:textId="77777777" w:rsidR="005342D5" w:rsidRPr="0019790A" w:rsidRDefault="005342D5"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3E962B57" w14:textId="77777777" w:rsidR="005342D5" w:rsidRPr="0019790A" w:rsidRDefault="005342D5"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7"/>
          </w:tcPr>
          <w:p w14:paraId="22099135" w14:textId="77777777" w:rsidR="005342D5" w:rsidRPr="0019790A" w:rsidRDefault="005342D5" w:rsidP="0019790A">
            <w:pPr>
              <w:rPr>
                <w:rFonts w:cs="Arial"/>
                <w:szCs w:val="22"/>
                <w:lang w:eastAsia="it-IT"/>
              </w:rPr>
            </w:pPr>
            <w:r w:rsidRPr="0019790A">
              <w:rPr>
                <w:rFonts w:cs="Arial"/>
                <w:szCs w:val="22"/>
                <w:lang w:eastAsia="it-IT"/>
              </w:rPr>
              <w:t>Відділ молоді та спорту Жмеринської міської ради</w:t>
            </w:r>
          </w:p>
        </w:tc>
      </w:tr>
      <w:tr w:rsidR="005342D5" w:rsidRPr="0019790A" w14:paraId="0E99678A" w14:textId="77777777" w:rsidTr="00CF3AAE">
        <w:trPr>
          <w:jc w:val="right"/>
        </w:trPr>
        <w:tc>
          <w:tcPr>
            <w:tcW w:w="3425" w:type="dxa"/>
          </w:tcPr>
          <w:p w14:paraId="7DD79ED7" w14:textId="77777777" w:rsidR="005342D5" w:rsidRPr="0019790A" w:rsidRDefault="005342D5" w:rsidP="0019790A">
            <w:pPr>
              <w:rPr>
                <w:rFonts w:cs="Arial"/>
                <w:b/>
                <w:bCs/>
                <w:szCs w:val="22"/>
              </w:rPr>
            </w:pPr>
            <w:r w:rsidRPr="0019790A">
              <w:rPr>
                <w:rFonts w:cs="Arial"/>
                <w:szCs w:val="22"/>
                <w:lang w:eastAsia="it-IT"/>
              </w:rPr>
              <w:t>Прізвище Ім’я По-батькові:</w:t>
            </w:r>
          </w:p>
        </w:tc>
        <w:tc>
          <w:tcPr>
            <w:tcW w:w="6794" w:type="dxa"/>
            <w:gridSpan w:val="7"/>
          </w:tcPr>
          <w:p w14:paraId="53F58FC5" w14:textId="77777777" w:rsidR="005342D5" w:rsidRPr="0019790A" w:rsidRDefault="005342D5" w:rsidP="0019790A">
            <w:pPr>
              <w:rPr>
                <w:rFonts w:cs="Arial"/>
                <w:szCs w:val="22"/>
                <w:lang w:eastAsia="it-IT"/>
              </w:rPr>
            </w:pPr>
            <w:r w:rsidRPr="0019790A">
              <w:rPr>
                <w:rFonts w:cs="Arial"/>
                <w:szCs w:val="22"/>
                <w:lang w:eastAsia="it-IT"/>
              </w:rPr>
              <w:t>Ковальська Олена Віталіївна</w:t>
            </w:r>
          </w:p>
        </w:tc>
      </w:tr>
      <w:tr w:rsidR="005342D5" w:rsidRPr="0019790A" w14:paraId="555570D0" w14:textId="77777777" w:rsidTr="00CF3AAE">
        <w:trPr>
          <w:jc w:val="right"/>
        </w:trPr>
        <w:tc>
          <w:tcPr>
            <w:tcW w:w="3425" w:type="dxa"/>
          </w:tcPr>
          <w:p w14:paraId="2E25CCFC" w14:textId="77777777" w:rsidR="005342D5" w:rsidRPr="0019790A" w:rsidRDefault="005342D5" w:rsidP="0019790A">
            <w:pPr>
              <w:rPr>
                <w:rFonts w:cs="Arial"/>
                <w:b/>
                <w:bCs/>
                <w:szCs w:val="22"/>
              </w:rPr>
            </w:pPr>
            <w:r w:rsidRPr="0019790A">
              <w:rPr>
                <w:rFonts w:cs="Arial"/>
                <w:szCs w:val="22"/>
                <w:lang w:eastAsia="it-IT"/>
              </w:rPr>
              <w:t>Телефон (мобільний):</w:t>
            </w:r>
          </w:p>
        </w:tc>
        <w:tc>
          <w:tcPr>
            <w:tcW w:w="6794" w:type="dxa"/>
            <w:gridSpan w:val="7"/>
          </w:tcPr>
          <w:p w14:paraId="7B35ADB2" w14:textId="77777777" w:rsidR="005342D5" w:rsidRPr="0019790A" w:rsidRDefault="005342D5" w:rsidP="0019790A">
            <w:pPr>
              <w:rPr>
                <w:rFonts w:cs="Arial"/>
                <w:szCs w:val="22"/>
                <w:lang w:eastAsia="it-IT"/>
              </w:rPr>
            </w:pPr>
            <w:r w:rsidRPr="0019790A">
              <w:rPr>
                <w:rFonts w:cs="Arial"/>
                <w:szCs w:val="22"/>
                <w:lang w:eastAsia="it-IT"/>
              </w:rPr>
              <w:t>096-068-94-79</w:t>
            </w:r>
          </w:p>
        </w:tc>
      </w:tr>
      <w:tr w:rsidR="005342D5" w:rsidRPr="0019790A" w14:paraId="4D3113BD" w14:textId="77777777" w:rsidTr="00CF3AAE">
        <w:trPr>
          <w:jc w:val="right"/>
        </w:trPr>
        <w:tc>
          <w:tcPr>
            <w:tcW w:w="3425" w:type="dxa"/>
          </w:tcPr>
          <w:p w14:paraId="49D5ABCF" w14:textId="77777777" w:rsidR="005342D5" w:rsidRPr="0019790A" w:rsidRDefault="005342D5" w:rsidP="0019790A">
            <w:pPr>
              <w:rPr>
                <w:rFonts w:cs="Arial"/>
                <w:b/>
                <w:bCs/>
                <w:szCs w:val="22"/>
              </w:rPr>
            </w:pPr>
            <w:r w:rsidRPr="0019790A">
              <w:rPr>
                <w:rFonts w:cs="Arial"/>
                <w:szCs w:val="22"/>
                <w:lang w:eastAsia="it-IT"/>
              </w:rPr>
              <w:t>Електронна адреса:</w:t>
            </w:r>
          </w:p>
        </w:tc>
        <w:tc>
          <w:tcPr>
            <w:tcW w:w="6794" w:type="dxa"/>
            <w:gridSpan w:val="7"/>
          </w:tcPr>
          <w:p w14:paraId="252D12A5" w14:textId="77777777" w:rsidR="005342D5" w:rsidRPr="0019790A" w:rsidRDefault="00D85FFD" w:rsidP="0019790A">
            <w:pPr>
              <w:rPr>
                <w:rFonts w:cs="Arial"/>
                <w:szCs w:val="22"/>
                <w:lang w:eastAsia="it-IT"/>
              </w:rPr>
            </w:pPr>
            <w:hyperlink r:id="rId140" w:history="1">
              <w:r w:rsidR="005342D5" w:rsidRPr="0019790A">
                <w:rPr>
                  <w:rStyle w:val="af0"/>
                  <w:rFonts w:cs="Arial"/>
                  <w:b/>
                  <w:bCs/>
                  <w:noProof w:val="0"/>
                  <w:sz w:val="22"/>
                  <w:szCs w:val="22"/>
                  <w:lang w:eastAsia="it-IT"/>
                </w:rPr>
                <w:t>ms@zhmr.gov.ua</w:t>
              </w:r>
            </w:hyperlink>
          </w:p>
        </w:tc>
      </w:tr>
      <w:tr w:rsidR="005342D5" w:rsidRPr="0019790A" w14:paraId="7462CB96" w14:textId="77777777" w:rsidTr="00CF3AAE">
        <w:trPr>
          <w:jc w:val="right"/>
        </w:trPr>
        <w:tc>
          <w:tcPr>
            <w:tcW w:w="3425" w:type="dxa"/>
            <w:vAlign w:val="center"/>
          </w:tcPr>
          <w:p w14:paraId="6ECF24A8" w14:textId="77777777" w:rsidR="005342D5" w:rsidRPr="0019790A" w:rsidRDefault="005342D5" w:rsidP="0019790A">
            <w:pPr>
              <w:pStyle w:val="6"/>
              <w:spacing w:before="0" w:after="0"/>
              <w:rPr>
                <w:rFonts w:ascii="Arial" w:hAnsi="Arial" w:cs="Arial"/>
                <w:color w:val="000000"/>
                <w:lang w:val="uk-UA"/>
              </w:rPr>
            </w:pPr>
            <w:r w:rsidRPr="0019790A">
              <w:rPr>
                <w:rFonts w:ascii="Arial" w:hAnsi="Arial" w:cs="Arial"/>
                <w:color w:val="000000"/>
                <w:lang w:val="uk-UA"/>
              </w:rPr>
              <w:t>Номер і назва завдання з Стратегії</w:t>
            </w:r>
            <w:r w:rsidRPr="0019790A">
              <w:rPr>
                <w:rFonts w:ascii="Arial" w:hAnsi="Arial" w:cs="Arial"/>
                <w:lang w:val="uk-UA" w:eastAsia="it-IT"/>
              </w:rPr>
              <w:t xml:space="preserve"> </w:t>
            </w:r>
            <w:r w:rsidRPr="0019790A">
              <w:rPr>
                <w:rFonts w:ascii="Arial" w:hAnsi="Arial" w:cs="Arial"/>
                <w:color w:val="000000"/>
                <w:lang w:val="uk-UA"/>
              </w:rPr>
              <w:t>розвитку Жмеринської міської територіальної громади,  якому відповідає проєкт:</w:t>
            </w:r>
          </w:p>
        </w:tc>
        <w:tc>
          <w:tcPr>
            <w:tcW w:w="6794" w:type="dxa"/>
            <w:gridSpan w:val="7"/>
          </w:tcPr>
          <w:p w14:paraId="4D3B3B67" w14:textId="6AB01C5D" w:rsidR="005342D5" w:rsidRPr="00574F77" w:rsidRDefault="005342D5" w:rsidP="00574F77">
            <w:pPr>
              <w:pBdr>
                <w:left w:val="single" w:sz="18" w:space="4" w:color="auto"/>
              </w:pBdr>
              <w:rPr>
                <w:rFonts w:cs="Arial"/>
                <w:szCs w:val="22"/>
                <w:lang w:eastAsia="it-IT"/>
              </w:rPr>
            </w:pPr>
            <w:r w:rsidRPr="00574F77">
              <w:rPr>
                <w:rFonts w:cs="Arial"/>
                <w:bCs/>
                <w:szCs w:val="22"/>
                <w:lang w:eastAsia="it-IT"/>
              </w:rPr>
              <w:t>С.3.4.2. Будівництво, реконструкція інфраструктури спорту з урахуванням гендерного аспекту</w:t>
            </w:r>
          </w:p>
        </w:tc>
      </w:tr>
      <w:tr w:rsidR="005342D5" w:rsidRPr="0019790A" w14:paraId="055D3935" w14:textId="77777777" w:rsidTr="00CF3AAE">
        <w:trPr>
          <w:jc w:val="right"/>
        </w:trPr>
        <w:tc>
          <w:tcPr>
            <w:tcW w:w="3425" w:type="dxa"/>
            <w:vAlign w:val="center"/>
          </w:tcPr>
          <w:p w14:paraId="0D292C49" w14:textId="77777777" w:rsidR="005342D5" w:rsidRPr="0019790A" w:rsidRDefault="005342D5" w:rsidP="0019790A">
            <w:pPr>
              <w:rPr>
                <w:rFonts w:cs="Arial"/>
                <w:b/>
                <w:bCs/>
                <w:color w:val="000000"/>
                <w:szCs w:val="22"/>
              </w:rPr>
            </w:pPr>
            <w:r w:rsidRPr="0019790A">
              <w:rPr>
                <w:rFonts w:cs="Arial"/>
                <w:b/>
                <w:bCs/>
                <w:color w:val="000000"/>
                <w:szCs w:val="22"/>
              </w:rPr>
              <w:t>Мета проєкту:</w:t>
            </w:r>
          </w:p>
        </w:tc>
        <w:tc>
          <w:tcPr>
            <w:tcW w:w="6794" w:type="dxa"/>
            <w:gridSpan w:val="7"/>
          </w:tcPr>
          <w:p w14:paraId="7F94AA7B" w14:textId="77777777" w:rsidR="005342D5" w:rsidRPr="0019790A" w:rsidRDefault="005342D5" w:rsidP="0019790A">
            <w:pPr>
              <w:rPr>
                <w:rFonts w:cs="Arial"/>
                <w:szCs w:val="22"/>
                <w:lang w:eastAsia="it-IT"/>
              </w:rPr>
            </w:pPr>
            <w:r w:rsidRPr="0019790A">
              <w:rPr>
                <w:rFonts w:cs="Arial"/>
                <w:szCs w:val="22"/>
                <w:lang w:eastAsia="it-IT"/>
              </w:rPr>
              <w:t>Створення інклюзивного, безпечного та багатофункціонального спортивного середовища, яке сприятиме підвищенню рівня фізичної активності та самореалізації мешканців різного віку через доступ до якісної спортивної інфраструктури</w:t>
            </w:r>
          </w:p>
        </w:tc>
      </w:tr>
      <w:tr w:rsidR="005342D5" w:rsidRPr="0019790A" w14:paraId="5B20B7CD" w14:textId="77777777" w:rsidTr="00CF3AAE">
        <w:trPr>
          <w:jc w:val="right"/>
        </w:trPr>
        <w:tc>
          <w:tcPr>
            <w:tcW w:w="3425" w:type="dxa"/>
            <w:vAlign w:val="center"/>
          </w:tcPr>
          <w:p w14:paraId="646857EE" w14:textId="77777777" w:rsidR="005342D5" w:rsidRPr="0019790A" w:rsidRDefault="005342D5" w:rsidP="0019790A">
            <w:pPr>
              <w:rPr>
                <w:rFonts w:cs="Arial"/>
                <w:b/>
                <w:bCs/>
                <w:color w:val="000000"/>
                <w:szCs w:val="22"/>
              </w:rPr>
            </w:pPr>
            <w:r w:rsidRPr="0019790A">
              <w:rPr>
                <w:rFonts w:cs="Arial"/>
                <w:b/>
                <w:bCs/>
                <w:color w:val="000000"/>
                <w:szCs w:val="22"/>
              </w:rPr>
              <w:t>Цілі проєкту:</w:t>
            </w:r>
          </w:p>
        </w:tc>
        <w:tc>
          <w:tcPr>
            <w:tcW w:w="6794" w:type="dxa"/>
            <w:gridSpan w:val="7"/>
          </w:tcPr>
          <w:p w14:paraId="12022FB6" w14:textId="77777777" w:rsidR="005342D5" w:rsidRPr="0019790A" w:rsidRDefault="005342D5" w:rsidP="0019790A">
            <w:pPr>
              <w:jc w:val="both"/>
              <w:rPr>
                <w:rFonts w:cs="Arial"/>
                <w:szCs w:val="22"/>
                <w:lang w:eastAsia="it-IT"/>
              </w:rPr>
            </w:pPr>
            <w:r w:rsidRPr="0019790A">
              <w:rPr>
                <w:rFonts w:cs="Arial"/>
                <w:szCs w:val="22"/>
                <w:lang w:eastAsia="it-IT"/>
              </w:rPr>
              <w:t xml:space="preserve">1. </w:t>
            </w:r>
            <w:r w:rsidRPr="0019790A">
              <w:rPr>
                <w:rFonts w:cs="Arial"/>
                <w:bCs/>
                <w:szCs w:val="22"/>
                <w:lang w:eastAsia="it-IT"/>
              </w:rPr>
              <w:t>Забезпечення рівного доступу до якісної спортивної інфраструктури</w:t>
            </w:r>
            <w:r w:rsidRPr="0019790A">
              <w:rPr>
                <w:rFonts w:cs="Arial"/>
                <w:szCs w:val="22"/>
                <w:lang w:eastAsia="it-IT"/>
              </w:rPr>
              <w:t xml:space="preserve"> для мешканців громади незалежно від віку, фізичних можливостей та соціального статусу.</w:t>
            </w:r>
          </w:p>
          <w:p w14:paraId="78ED2252" w14:textId="77777777" w:rsidR="005342D5" w:rsidRPr="0019790A" w:rsidRDefault="005342D5" w:rsidP="0019790A">
            <w:pPr>
              <w:jc w:val="both"/>
              <w:rPr>
                <w:rFonts w:cs="Arial"/>
                <w:szCs w:val="22"/>
                <w:lang w:eastAsia="it-IT"/>
              </w:rPr>
            </w:pPr>
            <w:r w:rsidRPr="0019790A">
              <w:rPr>
                <w:rFonts w:cs="Arial"/>
                <w:szCs w:val="22"/>
                <w:lang w:eastAsia="it-IT"/>
              </w:rPr>
              <w:t xml:space="preserve">2. </w:t>
            </w:r>
            <w:r w:rsidRPr="0019790A">
              <w:rPr>
                <w:rFonts w:cs="Arial"/>
                <w:bCs/>
                <w:szCs w:val="22"/>
                <w:lang w:eastAsia="it-IT"/>
              </w:rPr>
              <w:t>Формування безпечного, інклюзивного спортивного середовища</w:t>
            </w:r>
            <w:r w:rsidRPr="0019790A">
              <w:rPr>
                <w:rFonts w:cs="Arial"/>
                <w:szCs w:val="22"/>
                <w:lang w:eastAsia="it-IT"/>
              </w:rPr>
              <w:t>, придатного для занять як ігровими, так і силовими видами спорту (футбол, баскетбол, волейбол, тренажери).</w:t>
            </w:r>
          </w:p>
          <w:p w14:paraId="3C4A8F63" w14:textId="77777777" w:rsidR="005342D5" w:rsidRPr="0019790A" w:rsidRDefault="005342D5" w:rsidP="0019790A">
            <w:pPr>
              <w:jc w:val="both"/>
              <w:rPr>
                <w:rFonts w:cs="Arial"/>
                <w:szCs w:val="22"/>
                <w:lang w:eastAsia="it-IT"/>
              </w:rPr>
            </w:pPr>
            <w:r w:rsidRPr="0019790A">
              <w:rPr>
                <w:rFonts w:cs="Arial"/>
                <w:szCs w:val="22"/>
                <w:lang w:eastAsia="it-IT"/>
              </w:rPr>
              <w:t xml:space="preserve">3. </w:t>
            </w:r>
            <w:r w:rsidRPr="0019790A">
              <w:rPr>
                <w:rFonts w:cs="Arial"/>
                <w:bCs/>
                <w:szCs w:val="22"/>
                <w:lang w:eastAsia="it-IT"/>
              </w:rPr>
              <w:t>Сприяння підвищенню рівня фізичної активності та здоров’я населення</w:t>
            </w:r>
            <w:r w:rsidRPr="0019790A">
              <w:rPr>
                <w:rFonts w:cs="Arial"/>
                <w:szCs w:val="22"/>
                <w:lang w:eastAsia="it-IT"/>
              </w:rPr>
              <w:t xml:space="preserve"> шляхом створення умов для регулярних занять спортом на відкритому повітрі.</w:t>
            </w:r>
          </w:p>
          <w:p w14:paraId="136B9C83" w14:textId="77777777" w:rsidR="005342D5" w:rsidRPr="0019790A" w:rsidRDefault="005342D5" w:rsidP="0019790A">
            <w:pPr>
              <w:jc w:val="both"/>
              <w:rPr>
                <w:rFonts w:cs="Arial"/>
                <w:szCs w:val="22"/>
                <w:lang w:eastAsia="it-IT"/>
              </w:rPr>
            </w:pPr>
            <w:r w:rsidRPr="0019790A">
              <w:rPr>
                <w:rFonts w:cs="Arial"/>
                <w:szCs w:val="22"/>
                <w:lang w:eastAsia="it-IT"/>
              </w:rPr>
              <w:t xml:space="preserve">4.  </w:t>
            </w:r>
            <w:r w:rsidRPr="0019790A">
              <w:rPr>
                <w:rFonts w:cs="Arial"/>
                <w:bCs/>
                <w:szCs w:val="22"/>
                <w:lang w:eastAsia="it-IT"/>
              </w:rPr>
              <w:t>Розширення можливостей самореалізації та соціальної взаємодії мешканців</w:t>
            </w:r>
            <w:r w:rsidRPr="0019790A">
              <w:rPr>
                <w:rFonts w:cs="Arial"/>
                <w:szCs w:val="22"/>
                <w:lang w:eastAsia="it-IT"/>
              </w:rPr>
              <w:t>, зокрема молоді, людей з інвалідністю та літніх осіб, через заняття спортом, участь у змаганнях і громадських ініціативах.</w:t>
            </w:r>
          </w:p>
          <w:p w14:paraId="22601560" w14:textId="77777777" w:rsidR="005342D5" w:rsidRPr="0019790A" w:rsidRDefault="005342D5" w:rsidP="0019790A">
            <w:pPr>
              <w:jc w:val="both"/>
              <w:rPr>
                <w:rFonts w:cs="Arial"/>
                <w:szCs w:val="22"/>
                <w:lang w:eastAsia="it-IT"/>
              </w:rPr>
            </w:pPr>
            <w:r w:rsidRPr="0019790A">
              <w:rPr>
                <w:rFonts w:cs="Arial"/>
                <w:szCs w:val="22"/>
                <w:lang w:eastAsia="it-IT"/>
              </w:rPr>
              <w:t xml:space="preserve">5  </w:t>
            </w:r>
            <w:r w:rsidRPr="0019790A">
              <w:rPr>
                <w:rFonts w:cs="Arial"/>
                <w:bCs/>
                <w:szCs w:val="22"/>
                <w:lang w:eastAsia="it-IT"/>
              </w:rPr>
              <w:t>Забезпечення інтеграції спортивного майданчика у громадський простір</w:t>
            </w:r>
            <w:r w:rsidRPr="0019790A">
              <w:rPr>
                <w:rFonts w:cs="Arial"/>
                <w:szCs w:val="22"/>
                <w:lang w:eastAsia="it-IT"/>
              </w:rPr>
              <w:t xml:space="preserve"> як осередку здорового дозвілля, освітньої та виховної діяльності.</w:t>
            </w:r>
          </w:p>
        </w:tc>
      </w:tr>
      <w:tr w:rsidR="005342D5" w:rsidRPr="0019790A" w14:paraId="18070194" w14:textId="77777777" w:rsidTr="00CF3AAE">
        <w:trPr>
          <w:jc w:val="right"/>
        </w:trPr>
        <w:tc>
          <w:tcPr>
            <w:tcW w:w="3425" w:type="dxa"/>
            <w:vAlign w:val="center"/>
          </w:tcPr>
          <w:p w14:paraId="11380898" w14:textId="77777777" w:rsidR="005342D5" w:rsidRPr="0019790A" w:rsidRDefault="005342D5" w:rsidP="0019790A">
            <w:pPr>
              <w:autoSpaceDE w:val="0"/>
              <w:autoSpaceDN w:val="0"/>
              <w:adjustRightInd w:val="0"/>
              <w:rPr>
                <w:rFonts w:cs="Arial"/>
                <w:b/>
                <w:color w:val="000000"/>
                <w:szCs w:val="22"/>
              </w:rPr>
            </w:pPr>
            <w:r w:rsidRPr="0019790A">
              <w:rPr>
                <w:rFonts w:cs="Arial"/>
                <w:b/>
                <w:color w:val="000000"/>
                <w:szCs w:val="22"/>
              </w:rPr>
              <w:t>Територія на яку проєкт матиме вплив:</w:t>
            </w:r>
          </w:p>
        </w:tc>
        <w:tc>
          <w:tcPr>
            <w:tcW w:w="6794" w:type="dxa"/>
            <w:gridSpan w:val="7"/>
          </w:tcPr>
          <w:p w14:paraId="2DAE6FE2" w14:textId="77777777" w:rsidR="005342D5" w:rsidRPr="0019790A" w:rsidRDefault="005342D5" w:rsidP="0019790A">
            <w:pPr>
              <w:rPr>
                <w:rFonts w:cs="Arial"/>
                <w:szCs w:val="22"/>
                <w:lang w:eastAsia="it-IT"/>
              </w:rPr>
            </w:pPr>
            <w:r w:rsidRPr="0019790A">
              <w:rPr>
                <w:rFonts w:cs="Arial"/>
                <w:szCs w:val="22"/>
                <w:lang w:eastAsia="it-IT"/>
              </w:rPr>
              <w:t>Жмеринська міська територіальна громада</w:t>
            </w:r>
          </w:p>
        </w:tc>
      </w:tr>
      <w:tr w:rsidR="005342D5" w:rsidRPr="0019790A" w14:paraId="76EBDB17" w14:textId="77777777" w:rsidTr="00CF3AAE">
        <w:trPr>
          <w:jc w:val="right"/>
        </w:trPr>
        <w:tc>
          <w:tcPr>
            <w:tcW w:w="3425" w:type="dxa"/>
            <w:vAlign w:val="center"/>
          </w:tcPr>
          <w:p w14:paraId="5FD44163" w14:textId="77777777" w:rsidR="005342D5" w:rsidRPr="0019790A" w:rsidRDefault="005342D5" w:rsidP="0019790A">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4" w:type="dxa"/>
            <w:gridSpan w:val="7"/>
          </w:tcPr>
          <w:p w14:paraId="6CDD5CC3" w14:textId="28688530" w:rsidR="005342D5" w:rsidRPr="0019790A" w:rsidRDefault="005342D5" w:rsidP="0019790A">
            <w:pPr>
              <w:jc w:val="both"/>
              <w:rPr>
                <w:rFonts w:cs="Arial"/>
                <w:szCs w:val="22"/>
                <w:lang w:eastAsia="it-IT"/>
              </w:rPr>
            </w:pPr>
            <w:r w:rsidRPr="0019790A">
              <w:rPr>
                <w:rFonts w:cs="Arial"/>
                <w:szCs w:val="22"/>
                <w:lang w:eastAsia="it-IT"/>
              </w:rPr>
              <w:t>Діти та підлітки (6–17 років)</w:t>
            </w:r>
            <w:r w:rsidRPr="0019790A">
              <w:rPr>
                <w:rFonts w:cs="Arial"/>
                <w:szCs w:val="22"/>
                <w:lang w:eastAsia="it-IT"/>
              </w:rPr>
              <w:tab/>
              <w:t xml:space="preserve">- </w:t>
            </w:r>
            <w:r w:rsidR="00574F77" w:rsidRPr="0019790A">
              <w:rPr>
                <w:rFonts w:cs="Arial"/>
                <w:szCs w:val="22"/>
                <w:lang w:eastAsia="it-IT"/>
              </w:rPr>
              <w:t>фізичний</w:t>
            </w:r>
            <w:r w:rsidRPr="0019790A">
              <w:rPr>
                <w:rFonts w:cs="Arial"/>
                <w:szCs w:val="22"/>
                <w:lang w:eastAsia="it-IT"/>
              </w:rPr>
              <w:t xml:space="preserve"> розвиток, ігри, секції, командна взаємодія.</w:t>
            </w:r>
          </w:p>
          <w:p w14:paraId="033C90F7" w14:textId="77777777" w:rsidR="005342D5" w:rsidRPr="0019790A" w:rsidRDefault="005342D5" w:rsidP="0019790A">
            <w:pPr>
              <w:jc w:val="both"/>
              <w:rPr>
                <w:rFonts w:cs="Arial"/>
                <w:szCs w:val="22"/>
                <w:lang w:eastAsia="it-IT"/>
              </w:rPr>
            </w:pPr>
            <w:r w:rsidRPr="0019790A">
              <w:rPr>
                <w:rFonts w:cs="Arial"/>
                <w:szCs w:val="22"/>
                <w:lang w:eastAsia="it-IT"/>
              </w:rPr>
              <w:t>Молодь (18–25 років) - активний спосіб життя, аматорський спорт, турніри.</w:t>
            </w:r>
          </w:p>
          <w:p w14:paraId="45920B67" w14:textId="77777777" w:rsidR="005342D5" w:rsidRPr="0019790A" w:rsidRDefault="005342D5" w:rsidP="0019790A">
            <w:pPr>
              <w:jc w:val="both"/>
              <w:rPr>
                <w:rFonts w:cs="Arial"/>
                <w:szCs w:val="22"/>
                <w:lang w:eastAsia="it-IT"/>
              </w:rPr>
            </w:pPr>
            <w:r w:rsidRPr="0019790A">
              <w:rPr>
                <w:rFonts w:cs="Arial"/>
                <w:szCs w:val="22"/>
                <w:lang w:eastAsia="it-IT"/>
              </w:rPr>
              <w:t>Дорослі (25–60 років) - здоров’я, дозвілля, корпоративні змагання.</w:t>
            </w:r>
          </w:p>
          <w:p w14:paraId="0ECC46B0" w14:textId="77777777" w:rsidR="005342D5" w:rsidRPr="0019790A" w:rsidRDefault="005342D5" w:rsidP="0019790A">
            <w:pPr>
              <w:jc w:val="both"/>
              <w:rPr>
                <w:rFonts w:cs="Arial"/>
                <w:szCs w:val="22"/>
                <w:lang w:eastAsia="it-IT"/>
              </w:rPr>
            </w:pPr>
            <w:r w:rsidRPr="0019790A">
              <w:rPr>
                <w:rFonts w:cs="Arial"/>
                <w:szCs w:val="22"/>
                <w:lang w:eastAsia="it-IT"/>
              </w:rPr>
              <w:t>Літні люди (60+) - помірна фізична активність, спілкування.</w:t>
            </w:r>
          </w:p>
          <w:p w14:paraId="4DC0975E" w14:textId="77777777" w:rsidR="005342D5" w:rsidRPr="0019790A" w:rsidRDefault="005342D5" w:rsidP="0019790A">
            <w:pPr>
              <w:jc w:val="both"/>
              <w:rPr>
                <w:rFonts w:cs="Arial"/>
                <w:szCs w:val="22"/>
                <w:lang w:eastAsia="it-IT"/>
              </w:rPr>
            </w:pPr>
            <w:r w:rsidRPr="0019790A">
              <w:rPr>
                <w:rFonts w:cs="Arial"/>
                <w:szCs w:val="22"/>
                <w:lang w:eastAsia="it-IT"/>
              </w:rPr>
              <w:t>Люди з інвалідністю - безбар’єрний доступ, рівні умови для участі.</w:t>
            </w:r>
          </w:p>
          <w:p w14:paraId="707BCB49" w14:textId="096760B5" w:rsidR="005342D5" w:rsidRPr="0019790A" w:rsidRDefault="005342D5" w:rsidP="0019790A">
            <w:pPr>
              <w:jc w:val="both"/>
              <w:rPr>
                <w:rFonts w:cs="Arial"/>
                <w:szCs w:val="22"/>
                <w:lang w:eastAsia="it-IT"/>
              </w:rPr>
            </w:pPr>
            <w:r w:rsidRPr="0019790A">
              <w:rPr>
                <w:rFonts w:cs="Arial"/>
                <w:szCs w:val="22"/>
                <w:lang w:eastAsia="it-IT"/>
              </w:rPr>
              <w:t xml:space="preserve">Тренери, педагоги, </w:t>
            </w:r>
            <w:r w:rsidR="00574F77" w:rsidRPr="0019790A">
              <w:rPr>
                <w:rFonts w:cs="Arial"/>
                <w:szCs w:val="22"/>
                <w:lang w:eastAsia="it-IT"/>
              </w:rPr>
              <w:t>спорт інструктори</w:t>
            </w:r>
            <w:r w:rsidRPr="0019790A">
              <w:rPr>
                <w:rFonts w:cs="Arial"/>
                <w:szCs w:val="22"/>
                <w:lang w:eastAsia="it-IT"/>
              </w:rPr>
              <w:t xml:space="preserve"> - професійне проведення занять.</w:t>
            </w:r>
          </w:p>
          <w:p w14:paraId="58329D10" w14:textId="77777777" w:rsidR="005342D5" w:rsidRPr="0019790A" w:rsidRDefault="005342D5" w:rsidP="0019790A">
            <w:pPr>
              <w:jc w:val="both"/>
              <w:rPr>
                <w:rFonts w:cs="Arial"/>
                <w:szCs w:val="22"/>
                <w:lang w:eastAsia="it-IT"/>
              </w:rPr>
            </w:pPr>
            <w:r w:rsidRPr="0019790A">
              <w:rPr>
                <w:rFonts w:cs="Arial"/>
                <w:szCs w:val="22"/>
                <w:lang w:eastAsia="it-IT"/>
              </w:rPr>
              <w:t>Громадські ініціативи, ОМС</w:t>
            </w:r>
            <w:r w:rsidRPr="0019790A">
              <w:rPr>
                <w:rFonts w:cs="Arial"/>
                <w:szCs w:val="22"/>
                <w:lang w:eastAsia="it-IT"/>
              </w:rPr>
              <w:tab/>
              <w:t>- проведення подій, згуртування громади.</w:t>
            </w:r>
          </w:p>
          <w:p w14:paraId="28C05E3C" w14:textId="77777777" w:rsidR="005342D5" w:rsidRPr="0019790A" w:rsidRDefault="005342D5" w:rsidP="0019790A">
            <w:pPr>
              <w:jc w:val="both"/>
              <w:rPr>
                <w:rFonts w:cs="Arial"/>
                <w:szCs w:val="22"/>
                <w:lang w:eastAsia="it-IT"/>
              </w:rPr>
            </w:pPr>
            <w:r w:rsidRPr="0019790A">
              <w:rPr>
                <w:rFonts w:cs="Arial"/>
                <w:b/>
                <w:szCs w:val="22"/>
                <w:lang w:eastAsia="it-IT"/>
              </w:rPr>
              <w:t>Кількість отримувачів вигоди</w:t>
            </w:r>
            <w:r w:rsidRPr="0019790A">
              <w:rPr>
                <w:rFonts w:cs="Arial"/>
                <w:szCs w:val="22"/>
                <w:lang w:eastAsia="it-IT"/>
              </w:rPr>
              <w:t xml:space="preserve"> </w:t>
            </w:r>
            <w:r w:rsidRPr="0019790A">
              <w:rPr>
                <w:rFonts w:cs="Arial"/>
                <w:b/>
                <w:szCs w:val="22"/>
                <w:lang w:eastAsia="it-IT"/>
              </w:rPr>
              <w:t>1500 осіб.</w:t>
            </w:r>
          </w:p>
        </w:tc>
      </w:tr>
      <w:tr w:rsidR="005342D5" w:rsidRPr="0019790A" w14:paraId="60B1202C" w14:textId="77777777" w:rsidTr="00CF3AAE">
        <w:trPr>
          <w:jc w:val="right"/>
        </w:trPr>
        <w:tc>
          <w:tcPr>
            <w:tcW w:w="3425" w:type="dxa"/>
            <w:shd w:val="clear" w:color="auto" w:fill="FFFFFF"/>
            <w:vAlign w:val="center"/>
          </w:tcPr>
          <w:p w14:paraId="51410381" w14:textId="77777777" w:rsidR="005342D5" w:rsidRPr="0019790A" w:rsidRDefault="005342D5" w:rsidP="0019790A">
            <w:pPr>
              <w:rPr>
                <w:rFonts w:cs="Arial"/>
                <w:b/>
                <w:bCs/>
                <w:color w:val="000000"/>
                <w:szCs w:val="22"/>
              </w:rPr>
            </w:pPr>
            <w:r w:rsidRPr="0019790A">
              <w:rPr>
                <w:rFonts w:cs="Arial"/>
                <w:b/>
                <w:bCs/>
                <w:color w:val="000000"/>
                <w:szCs w:val="22"/>
              </w:rPr>
              <w:t>Стислий опис проєкту:</w:t>
            </w:r>
          </w:p>
        </w:tc>
        <w:tc>
          <w:tcPr>
            <w:tcW w:w="6794" w:type="dxa"/>
            <w:gridSpan w:val="7"/>
          </w:tcPr>
          <w:p w14:paraId="46305955" w14:textId="6D583E0C" w:rsidR="005342D5" w:rsidRPr="0019790A" w:rsidRDefault="005342D5" w:rsidP="0019790A">
            <w:pPr>
              <w:jc w:val="both"/>
              <w:rPr>
                <w:rFonts w:cs="Arial"/>
                <w:szCs w:val="22"/>
                <w:lang w:eastAsia="it-IT"/>
              </w:rPr>
            </w:pPr>
            <w:r w:rsidRPr="0019790A">
              <w:rPr>
                <w:rFonts w:cs="Arial"/>
                <w:szCs w:val="22"/>
                <w:lang w:eastAsia="it-IT"/>
              </w:rPr>
              <w:t>Проєкт передбачає будівництво багатофункціонального спортивного майданчика з гумовим або штучним покриттям. Майданчик буде обладнаний для гри у футбол, баскетбол, волейбол, а також забезпечений освітленням, огорожею, лавками,</w:t>
            </w:r>
            <w:r w:rsidRPr="0019790A">
              <w:rPr>
                <w:rFonts w:cs="Arial"/>
                <w:szCs w:val="22"/>
              </w:rPr>
              <w:t xml:space="preserve"> </w:t>
            </w:r>
            <w:r w:rsidRPr="0019790A">
              <w:rPr>
                <w:rFonts w:cs="Arial"/>
                <w:szCs w:val="22"/>
                <w:lang w:eastAsia="it-IT"/>
              </w:rPr>
              <w:t>інвентарною коморою та санітарною зоною,</w:t>
            </w:r>
            <w:r w:rsidR="00574F77">
              <w:rPr>
                <w:rFonts w:cs="Arial"/>
                <w:szCs w:val="22"/>
                <w:lang w:eastAsia="it-IT"/>
              </w:rPr>
              <w:t xml:space="preserve"> </w:t>
            </w:r>
            <w:r w:rsidRPr="0019790A">
              <w:rPr>
                <w:rFonts w:cs="Arial"/>
                <w:szCs w:val="22"/>
                <w:lang w:eastAsia="it-IT"/>
              </w:rPr>
              <w:t xml:space="preserve">тренажерною зоною та умовами для людей з інвалідністю. </w:t>
            </w:r>
          </w:p>
          <w:p w14:paraId="47DFFA2E" w14:textId="77777777" w:rsidR="005342D5" w:rsidRPr="0019790A" w:rsidRDefault="005342D5" w:rsidP="0019790A">
            <w:pPr>
              <w:jc w:val="both"/>
              <w:rPr>
                <w:rFonts w:cs="Arial"/>
                <w:szCs w:val="22"/>
                <w:lang w:eastAsia="it-IT"/>
              </w:rPr>
            </w:pPr>
            <w:r w:rsidRPr="0019790A">
              <w:rPr>
                <w:rFonts w:cs="Arial"/>
                <w:szCs w:val="22"/>
                <w:lang w:eastAsia="it-IT"/>
              </w:rPr>
              <w:t>Проєкт включатиме:</w:t>
            </w:r>
          </w:p>
          <w:p w14:paraId="768D8A8D" w14:textId="77777777" w:rsidR="005342D5" w:rsidRPr="0019790A" w:rsidRDefault="005342D5" w:rsidP="0019790A">
            <w:pPr>
              <w:jc w:val="both"/>
              <w:rPr>
                <w:rFonts w:cs="Arial"/>
                <w:b/>
                <w:bCs/>
                <w:szCs w:val="22"/>
                <w:lang w:eastAsia="it-IT"/>
              </w:rPr>
            </w:pPr>
            <w:r w:rsidRPr="0019790A">
              <w:rPr>
                <w:rFonts w:cs="Arial"/>
                <w:b/>
                <w:bCs/>
                <w:szCs w:val="22"/>
                <w:lang w:eastAsia="it-IT"/>
              </w:rPr>
              <w:t>1. Зона активного спорту</w:t>
            </w:r>
          </w:p>
          <w:p w14:paraId="2F094D3E" w14:textId="77777777" w:rsidR="005342D5" w:rsidRPr="0019790A" w:rsidRDefault="005342D5" w:rsidP="0019790A">
            <w:pPr>
              <w:numPr>
                <w:ilvl w:val="0"/>
                <w:numId w:val="37"/>
              </w:numPr>
              <w:jc w:val="both"/>
              <w:rPr>
                <w:rFonts w:cs="Arial"/>
                <w:szCs w:val="22"/>
                <w:lang w:eastAsia="it-IT"/>
              </w:rPr>
            </w:pPr>
            <w:r w:rsidRPr="0019790A">
              <w:rPr>
                <w:rFonts w:cs="Arial"/>
                <w:szCs w:val="22"/>
                <w:lang w:eastAsia="it-IT"/>
              </w:rPr>
              <w:t>Багатофункціональний ігровий майданчик (міні-футбол, волейбол, баскетбол)</w:t>
            </w:r>
          </w:p>
          <w:p w14:paraId="12E50D7B" w14:textId="77777777" w:rsidR="005342D5" w:rsidRPr="0019790A" w:rsidRDefault="005342D5" w:rsidP="0019790A">
            <w:pPr>
              <w:numPr>
                <w:ilvl w:val="0"/>
                <w:numId w:val="37"/>
              </w:numPr>
              <w:jc w:val="both"/>
              <w:rPr>
                <w:rFonts w:cs="Arial"/>
                <w:szCs w:val="22"/>
                <w:lang w:eastAsia="it-IT"/>
              </w:rPr>
            </w:pPr>
            <w:r w:rsidRPr="0019790A">
              <w:rPr>
                <w:rFonts w:cs="Arial"/>
                <w:szCs w:val="22"/>
                <w:lang w:eastAsia="it-IT"/>
              </w:rPr>
              <w:t>Стадіон з біговими доріжками (міні-формат 100-200 м)</w:t>
            </w:r>
          </w:p>
          <w:p w14:paraId="7842E5DF" w14:textId="77777777" w:rsidR="005342D5" w:rsidRPr="0019790A" w:rsidRDefault="005342D5" w:rsidP="0019790A">
            <w:pPr>
              <w:numPr>
                <w:ilvl w:val="0"/>
                <w:numId w:val="37"/>
              </w:numPr>
              <w:jc w:val="both"/>
              <w:rPr>
                <w:rFonts w:cs="Arial"/>
                <w:szCs w:val="22"/>
                <w:lang w:eastAsia="it-IT"/>
              </w:rPr>
            </w:pPr>
            <w:r w:rsidRPr="0019790A">
              <w:rPr>
                <w:rFonts w:cs="Arial"/>
                <w:szCs w:val="22"/>
                <w:lang w:eastAsia="it-IT"/>
              </w:rPr>
              <w:t>Зона для воркауту (турніки, бруси, лавки для пресу)</w:t>
            </w:r>
          </w:p>
          <w:p w14:paraId="39799313" w14:textId="77777777" w:rsidR="005342D5" w:rsidRPr="0019790A" w:rsidRDefault="005342D5" w:rsidP="0019790A">
            <w:pPr>
              <w:numPr>
                <w:ilvl w:val="0"/>
                <w:numId w:val="37"/>
              </w:numPr>
              <w:jc w:val="both"/>
              <w:rPr>
                <w:rFonts w:cs="Arial"/>
                <w:szCs w:val="22"/>
                <w:lang w:eastAsia="it-IT"/>
              </w:rPr>
            </w:pPr>
            <w:r w:rsidRPr="0019790A">
              <w:rPr>
                <w:rFonts w:cs="Arial"/>
                <w:szCs w:val="22"/>
                <w:lang w:eastAsia="it-IT"/>
              </w:rPr>
              <w:t>Стінка для скелелазіння (невисока, для дітей та молоді)</w:t>
            </w:r>
          </w:p>
          <w:p w14:paraId="080C0B82" w14:textId="77777777" w:rsidR="005342D5" w:rsidRPr="0019790A" w:rsidRDefault="005342D5" w:rsidP="0019790A">
            <w:pPr>
              <w:jc w:val="both"/>
              <w:rPr>
                <w:rFonts w:cs="Arial"/>
                <w:b/>
                <w:bCs/>
                <w:szCs w:val="22"/>
                <w:lang w:eastAsia="it-IT"/>
              </w:rPr>
            </w:pPr>
            <w:r w:rsidRPr="0019790A">
              <w:rPr>
                <w:rFonts w:cs="Arial"/>
                <w:b/>
                <w:bCs/>
                <w:szCs w:val="22"/>
                <w:lang w:eastAsia="it-IT"/>
              </w:rPr>
              <w:t>2. Фітнес-зона</w:t>
            </w:r>
          </w:p>
          <w:p w14:paraId="51223844" w14:textId="77777777" w:rsidR="005342D5" w:rsidRPr="0019790A" w:rsidRDefault="005342D5" w:rsidP="0019790A">
            <w:pPr>
              <w:numPr>
                <w:ilvl w:val="0"/>
                <w:numId w:val="38"/>
              </w:numPr>
              <w:jc w:val="both"/>
              <w:rPr>
                <w:rFonts w:cs="Arial"/>
                <w:szCs w:val="22"/>
                <w:lang w:eastAsia="it-IT"/>
              </w:rPr>
            </w:pPr>
            <w:r w:rsidRPr="0019790A">
              <w:rPr>
                <w:rFonts w:cs="Arial"/>
                <w:szCs w:val="22"/>
                <w:lang w:eastAsia="it-IT"/>
              </w:rPr>
              <w:t>Вуличні тренажери (для різних груп м'язів, з інструкціями)</w:t>
            </w:r>
          </w:p>
          <w:p w14:paraId="28D571D4" w14:textId="77777777" w:rsidR="005342D5" w:rsidRPr="0019790A" w:rsidRDefault="005342D5" w:rsidP="0019790A">
            <w:pPr>
              <w:numPr>
                <w:ilvl w:val="0"/>
                <w:numId w:val="38"/>
              </w:numPr>
              <w:jc w:val="both"/>
              <w:rPr>
                <w:rFonts w:cs="Arial"/>
                <w:szCs w:val="22"/>
                <w:lang w:eastAsia="it-IT"/>
              </w:rPr>
            </w:pPr>
            <w:r w:rsidRPr="0019790A">
              <w:rPr>
                <w:rFonts w:cs="Arial"/>
                <w:szCs w:val="22"/>
                <w:lang w:eastAsia="it-IT"/>
              </w:rPr>
              <w:t>Простір для групових занять (йога, танці, фітнес)</w:t>
            </w:r>
          </w:p>
          <w:p w14:paraId="1F7CA5CA" w14:textId="77777777" w:rsidR="005342D5" w:rsidRPr="0019790A" w:rsidRDefault="005342D5" w:rsidP="0019790A">
            <w:pPr>
              <w:jc w:val="both"/>
              <w:rPr>
                <w:rFonts w:cs="Arial"/>
                <w:b/>
                <w:bCs/>
                <w:szCs w:val="22"/>
                <w:lang w:eastAsia="it-IT"/>
              </w:rPr>
            </w:pPr>
            <w:r w:rsidRPr="0019790A">
              <w:rPr>
                <w:rFonts w:cs="Arial"/>
                <w:b/>
                <w:bCs/>
                <w:szCs w:val="22"/>
                <w:lang w:eastAsia="it-IT"/>
              </w:rPr>
              <w:t>3. Оздоровча та реабілітаційна зона</w:t>
            </w:r>
          </w:p>
          <w:p w14:paraId="0BF0ECB6" w14:textId="77777777" w:rsidR="005342D5" w:rsidRPr="0019790A" w:rsidRDefault="005342D5" w:rsidP="0019790A">
            <w:pPr>
              <w:numPr>
                <w:ilvl w:val="0"/>
                <w:numId w:val="39"/>
              </w:numPr>
              <w:jc w:val="both"/>
              <w:rPr>
                <w:rFonts w:cs="Arial"/>
                <w:szCs w:val="22"/>
                <w:lang w:eastAsia="it-IT"/>
              </w:rPr>
            </w:pPr>
            <w:r w:rsidRPr="0019790A">
              <w:rPr>
                <w:rFonts w:cs="Arial"/>
                <w:szCs w:val="22"/>
                <w:lang w:eastAsia="it-IT"/>
              </w:rPr>
              <w:t>Зона спокійної активності (лавки, тінь, настільні ігри)</w:t>
            </w:r>
          </w:p>
          <w:p w14:paraId="34B5A9AE" w14:textId="77777777" w:rsidR="005342D5" w:rsidRPr="0019790A" w:rsidRDefault="005342D5" w:rsidP="0019790A">
            <w:pPr>
              <w:numPr>
                <w:ilvl w:val="0"/>
                <w:numId w:val="39"/>
              </w:numPr>
              <w:jc w:val="both"/>
              <w:rPr>
                <w:rFonts w:cs="Arial"/>
                <w:szCs w:val="22"/>
                <w:lang w:eastAsia="it-IT"/>
              </w:rPr>
            </w:pPr>
            <w:r w:rsidRPr="0019790A">
              <w:rPr>
                <w:rFonts w:cs="Arial"/>
                <w:szCs w:val="22"/>
                <w:lang w:eastAsia="it-IT"/>
              </w:rPr>
              <w:t>Доріжка здоров’я (щадне навантаження для людей похилого віку)</w:t>
            </w:r>
          </w:p>
          <w:p w14:paraId="383B4E74" w14:textId="77777777" w:rsidR="005342D5" w:rsidRPr="0019790A" w:rsidRDefault="005342D5" w:rsidP="0019790A">
            <w:pPr>
              <w:jc w:val="both"/>
              <w:rPr>
                <w:rFonts w:cs="Arial"/>
                <w:b/>
                <w:bCs/>
                <w:szCs w:val="22"/>
                <w:lang w:eastAsia="it-IT"/>
              </w:rPr>
            </w:pPr>
            <w:r w:rsidRPr="0019790A">
              <w:rPr>
                <w:rFonts w:cs="Arial"/>
                <w:b/>
                <w:bCs/>
                <w:szCs w:val="22"/>
                <w:lang w:eastAsia="it-IT"/>
              </w:rPr>
              <w:t>4. Дитяча спортивна зона</w:t>
            </w:r>
          </w:p>
          <w:p w14:paraId="563D949A" w14:textId="77777777" w:rsidR="005342D5" w:rsidRPr="0019790A" w:rsidRDefault="005342D5" w:rsidP="0019790A">
            <w:pPr>
              <w:numPr>
                <w:ilvl w:val="0"/>
                <w:numId w:val="40"/>
              </w:numPr>
              <w:jc w:val="both"/>
              <w:rPr>
                <w:rFonts w:cs="Arial"/>
                <w:szCs w:val="22"/>
                <w:lang w:eastAsia="it-IT"/>
              </w:rPr>
            </w:pPr>
            <w:r w:rsidRPr="0019790A">
              <w:rPr>
                <w:rFonts w:cs="Arial"/>
                <w:szCs w:val="22"/>
                <w:lang w:eastAsia="it-IT"/>
              </w:rPr>
              <w:t>Інклюзивний ігровий майданчик</w:t>
            </w:r>
          </w:p>
          <w:p w14:paraId="137AB755" w14:textId="77777777" w:rsidR="005342D5" w:rsidRPr="0019790A" w:rsidRDefault="005342D5" w:rsidP="0019790A">
            <w:pPr>
              <w:numPr>
                <w:ilvl w:val="0"/>
                <w:numId w:val="40"/>
              </w:numPr>
              <w:jc w:val="both"/>
              <w:rPr>
                <w:rFonts w:cs="Arial"/>
                <w:szCs w:val="22"/>
                <w:lang w:eastAsia="it-IT"/>
              </w:rPr>
            </w:pPr>
            <w:r w:rsidRPr="0019790A">
              <w:rPr>
                <w:rFonts w:cs="Arial"/>
                <w:szCs w:val="22"/>
                <w:lang w:eastAsia="it-IT"/>
              </w:rPr>
              <w:t>Міні-смуги перешкод, балансири, гірки з фізичною активністю</w:t>
            </w:r>
          </w:p>
          <w:p w14:paraId="65D7F41F" w14:textId="77777777" w:rsidR="005342D5" w:rsidRPr="0019790A" w:rsidRDefault="005342D5" w:rsidP="0019790A">
            <w:pPr>
              <w:numPr>
                <w:ilvl w:val="0"/>
                <w:numId w:val="40"/>
              </w:numPr>
              <w:jc w:val="both"/>
              <w:rPr>
                <w:rFonts w:cs="Arial"/>
                <w:szCs w:val="22"/>
                <w:lang w:eastAsia="it-IT"/>
              </w:rPr>
            </w:pPr>
            <w:r w:rsidRPr="0019790A">
              <w:rPr>
                <w:rFonts w:cs="Arial"/>
                <w:szCs w:val="22"/>
                <w:lang w:eastAsia="it-IT"/>
              </w:rPr>
              <w:t>Безпечне покриття</w:t>
            </w:r>
          </w:p>
          <w:p w14:paraId="28BD249A" w14:textId="77777777" w:rsidR="005342D5" w:rsidRPr="0019790A" w:rsidRDefault="005342D5" w:rsidP="0019790A">
            <w:pPr>
              <w:jc w:val="both"/>
              <w:rPr>
                <w:rFonts w:cs="Arial"/>
                <w:b/>
                <w:bCs/>
                <w:szCs w:val="22"/>
                <w:lang w:eastAsia="it-IT"/>
              </w:rPr>
            </w:pPr>
            <w:r w:rsidRPr="0019790A">
              <w:rPr>
                <w:rFonts w:cs="Arial"/>
                <w:b/>
                <w:bCs/>
                <w:szCs w:val="22"/>
                <w:lang w:eastAsia="it-IT"/>
              </w:rPr>
              <w:t>5. Інклюзивність та доступність</w:t>
            </w:r>
          </w:p>
          <w:p w14:paraId="7B31EB87" w14:textId="77777777" w:rsidR="005342D5" w:rsidRPr="0019790A" w:rsidRDefault="005342D5" w:rsidP="0019790A">
            <w:pPr>
              <w:numPr>
                <w:ilvl w:val="0"/>
                <w:numId w:val="41"/>
              </w:numPr>
              <w:jc w:val="both"/>
              <w:rPr>
                <w:rFonts w:cs="Arial"/>
                <w:szCs w:val="22"/>
                <w:lang w:eastAsia="it-IT"/>
              </w:rPr>
            </w:pPr>
            <w:r w:rsidRPr="0019790A">
              <w:rPr>
                <w:rFonts w:cs="Arial"/>
                <w:szCs w:val="22"/>
                <w:lang w:eastAsia="it-IT"/>
              </w:rPr>
              <w:t>Пандуси, широкі доріжки, поручні</w:t>
            </w:r>
          </w:p>
          <w:p w14:paraId="4525941A" w14:textId="77777777" w:rsidR="005342D5" w:rsidRPr="0019790A" w:rsidRDefault="005342D5" w:rsidP="0019790A">
            <w:pPr>
              <w:numPr>
                <w:ilvl w:val="0"/>
                <w:numId w:val="41"/>
              </w:numPr>
              <w:jc w:val="both"/>
              <w:rPr>
                <w:rFonts w:cs="Arial"/>
                <w:szCs w:val="22"/>
                <w:lang w:eastAsia="it-IT"/>
              </w:rPr>
            </w:pPr>
            <w:r w:rsidRPr="0019790A">
              <w:rPr>
                <w:rFonts w:cs="Arial"/>
                <w:szCs w:val="22"/>
                <w:lang w:eastAsia="it-IT"/>
              </w:rPr>
              <w:t>Тренажери, придатні для користувачів на візках</w:t>
            </w:r>
          </w:p>
          <w:p w14:paraId="4DAF7F3D" w14:textId="77777777" w:rsidR="005342D5" w:rsidRPr="0019790A" w:rsidRDefault="005342D5" w:rsidP="0019790A">
            <w:pPr>
              <w:numPr>
                <w:ilvl w:val="0"/>
                <w:numId w:val="41"/>
              </w:numPr>
              <w:jc w:val="both"/>
              <w:rPr>
                <w:rFonts w:cs="Arial"/>
                <w:szCs w:val="22"/>
                <w:lang w:eastAsia="it-IT"/>
              </w:rPr>
            </w:pPr>
            <w:r w:rsidRPr="0019790A">
              <w:rPr>
                <w:rFonts w:cs="Arial"/>
                <w:szCs w:val="22"/>
                <w:lang w:eastAsia="it-IT"/>
              </w:rPr>
              <w:t>Інформація шрифтом Брайля та графічними символами</w:t>
            </w:r>
          </w:p>
        </w:tc>
      </w:tr>
      <w:tr w:rsidR="005342D5" w:rsidRPr="0019790A" w14:paraId="2823F692" w14:textId="77777777" w:rsidTr="00CF3AAE">
        <w:trPr>
          <w:jc w:val="right"/>
        </w:trPr>
        <w:tc>
          <w:tcPr>
            <w:tcW w:w="3425" w:type="dxa"/>
            <w:shd w:val="clear" w:color="auto" w:fill="FFFFFF"/>
            <w:vAlign w:val="center"/>
          </w:tcPr>
          <w:p w14:paraId="062C3019" w14:textId="77777777" w:rsidR="005342D5" w:rsidRPr="0019790A" w:rsidRDefault="005342D5" w:rsidP="0019790A">
            <w:pPr>
              <w:rPr>
                <w:rFonts w:cs="Arial"/>
                <w:b/>
                <w:bCs/>
                <w:color w:val="000000"/>
                <w:szCs w:val="22"/>
              </w:rPr>
            </w:pPr>
            <w:r w:rsidRPr="0019790A">
              <w:rPr>
                <w:rFonts w:cs="Arial"/>
                <w:b/>
                <w:bCs/>
                <w:color w:val="000000"/>
                <w:szCs w:val="22"/>
              </w:rPr>
              <w:t>Основні заходи проєкту:</w:t>
            </w:r>
          </w:p>
        </w:tc>
        <w:tc>
          <w:tcPr>
            <w:tcW w:w="6794" w:type="dxa"/>
            <w:gridSpan w:val="7"/>
          </w:tcPr>
          <w:p w14:paraId="683DE913" w14:textId="77777777" w:rsidR="005342D5" w:rsidRPr="0019790A" w:rsidRDefault="005342D5" w:rsidP="0019790A">
            <w:pPr>
              <w:rPr>
                <w:rFonts w:cs="Arial"/>
                <w:szCs w:val="22"/>
                <w:lang w:eastAsia="it-IT"/>
              </w:rPr>
            </w:pPr>
            <w:r w:rsidRPr="0019790A">
              <w:rPr>
                <w:rFonts w:cs="Arial"/>
                <w:szCs w:val="22"/>
                <w:lang w:eastAsia="it-IT"/>
              </w:rPr>
              <w:t xml:space="preserve">1. </w:t>
            </w:r>
            <w:r w:rsidRPr="0019790A">
              <w:rPr>
                <w:rFonts w:cs="Arial"/>
                <w:b/>
                <w:bCs/>
                <w:szCs w:val="22"/>
                <w:lang w:eastAsia="it-IT"/>
              </w:rPr>
              <w:t>Проведення аналізу потреб громади:</w:t>
            </w:r>
          </w:p>
          <w:p w14:paraId="2A236E5F" w14:textId="77777777" w:rsidR="005342D5" w:rsidRPr="0019790A" w:rsidRDefault="005342D5" w:rsidP="0019790A">
            <w:pPr>
              <w:numPr>
                <w:ilvl w:val="0"/>
                <w:numId w:val="42"/>
              </w:numPr>
              <w:rPr>
                <w:rFonts w:cs="Arial"/>
                <w:szCs w:val="22"/>
                <w:lang w:eastAsia="it-IT"/>
              </w:rPr>
            </w:pPr>
            <w:r w:rsidRPr="0019790A">
              <w:rPr>
                <w:rFonts w:cs="Arial"/>
                <w:szCs w:val="22"/>
                <w:lang w:eastAsia="it-IT"/>
              </w:rPr>
              <w:t>Оцінка наявної спортивної інфраструктури та визначення потреб різних вікових груп населення.</w:t>
            </w:r>
          </w:p>
          <w:p w14:paraId="2C4DFEA4" w14:textId="77777777" w:rsidR="005342D5" w:rsidRPr="0019790A" w:rsidRDefault="005342D5" w:rsidP="0019790A">
            <w:pPr>
              <w:numPr>
                <w:ilvl w:val="0"/>
                <w:numId w:val="42"/>
              </w:numPr>
              <w:rPr>
                <w:rFonts w:cs="Arial"/>
                <w:szCs w:val="22"/>
                <w:lang w:eastAsia="it-IT"/>
              </w:rPr>
            </w:pPr>
            <w:r w:rsidRPr="0019790A">
              <w:rPr>
                <w:rFonts w:cs="Arial"/>
                <w:szCs w:val="22"/>
                <w:lang w:eastAsia="it-IT"/>
              </w:rPr>
              <w:t>Збір пропозицій від мешканців щодо бажаних функцій та обладнання майбутнього спортивного об'єкта.</w:t>
            </w:r>
          </w:p>
          <w:p w14:paraId="472EA209" w14:textId="77777777" w:rsidR="005342D5" w:rsidRPr="0019790A" w:rsidRDefault="005342D5" w:rsidP="0019790A">
            <w:pPr>
              <w:rPr>
                <w:rFonts w:cs="Arial"/>
                <w:szCs w:val="22"/>
                <w:lang w:eastAsia="it-IT"/>
              </w:rPr>
            </w:pPr>
            <w:r w:rsidRPr="0019790A">
              <w:rPr>
                <w:rFonts w:cs="Arial"/>
                <w:szCs w:val="22"/>
                <w:lang w:eastAsia="it-IT"/>
              </w:rPr>
              <w:t xml:space="preserve">2.  </w:t>
            </w:r>
            <w:r w:rsidRPr="0019790A">
              <w:rPr>
                <w:rFonts w:cs="Arial"/>
                <w:b/>
                <w:bCs/>
                <w:szCs w:val="22"/>
                <w:lang w:eastAsia="it-IT"/>
              </w:rPr>
              <w:t>Розробка проєктно-кошторисної документації:</w:t>
            </w:r>
          </w:p>
          <w:p w14:paraId="630AFF8B" w14:textId="77777777" w:rsidR="005342D5" w:rsidRPr="0019790A" w:rsidRDefault="005342D5" w:rsidP="0019790A">
            <w:pPr>
              <w:numPr>
                <w:ilvl w:val="0"/>
                <w:numId w:val="43"/>
              </w:numPr>
              <w:rPr>
                <w:rFonts w:cs="Arial"/>
                <w:szCs w:val="22"/>
                <w:lang w:eastAsia="it-IT"/>
              </w:rPr>
            </w:pPr>
            <w:r w:rsidRPr="0019790A">
              <w:rPr>
                <w:rFonts w:cs="Arial"/>
                <w:szCs w:val="22"/>
                <w:lang w:eastAsia="it-IT"/>
              </w:rPr>
              <w:t>Залучення фахівців для створення архітектурного проєкту, що враховує інклюзивність, енергоефективність та багатофункціональність.</w:t>
            </w:r>
          </w:p>
          <w:p w14:paraId="37FA7441" w14:textId="77777777" w:rsidR="005342D5" w:rsidRPr="0019790A" w:rsidRDefault="005342D5" w:rsidP="0019790A">
            <w:pPr>
              <w:numPr>
                <w:ilvl w:val="0"/>
                <w:numId w:val="43"/>
              </w:numPr>
              <w:rPr>
                <w:rFonts w:cs="Arial"/>
                <w:szCs w:val="22"/>
                <w:lang w:eastAsia="it-IT"/>
              </w:rPr>
            </w:pPr>
            <w:r w:rsidRPr="0019790A">
              <w:rPr>
                <w:rFonts w:cs="Arial"/>
                <w:szCs w:val="22"/>
                <w:lang w:eastAsia="it-IT"/>
              </w:rPr>
              <w:t>Погодження документації з відповідними органами.</w:t>
            </w:r>
          </w:p>
          <w:p w14:paraId="1E4AA5A7" w14:textId="77777777" w:rsidR="005342D5" w:rsidRPr="0019790A" w:rsidRDefault="005342D5" w:rsidP="0019790A">
            <w:pPr>
              <w:rPr>
                <w:rFonts w:cs="Arial"/>
                <w:szCs w:val="22"/>
                <w:lang w:eastAsia="it-IT"/>
              </w:rPr>
            </w:pPr>
            <w:r w:rsidRPr="0019790A">
              <w:rPr>
                <w:rFonts w:cs="Arial"/>
                <w:szCs w:val="22"/>
                <w:lang w:eastAsia="it-IT"/>
              </w:rPr>
              <w:t xml:space="preserve">3.  </w:t>
            </w:r>
            <w:r w:rsidRPr="0019790A">
              <w:rPr>
                <w:rFonts w:cs="Arial"/>
                <w:b/>
                <w:bCs/>
                <w:szCs w:val="22"/>
                <w:lang w:eastAsia="it-IT"/>
              </w:rPr>
              <w:t>Підготовка території для будівництва:</w:t>
            </w:r>
          </w:p>
          <w:p w14:paraId="30C1A873" w14:textId="77777777" w:rsidR="005342D5" w:rsidRPr="0019790A" w:rsidRDefault="005342D5" w:rsidP="0019790A">
            <w:pPr>
              <w:numPr>
                <w:ilvl w:val="0"/>
                <w:numId w:val="44"/>
              </w:numPr>
              <w:rPr>
                <w:rFonts w:cs="Arial"/>
                <w:szCs w:val="22"/>
                <w:lang w:eastAsia="it-IT"/>
              </w:rPr>
            </w:pPr>
            <w:r w:rsidRPr="0019790A">
              <w:rPr>
                <w:rFonts w:cs="Arial"/>
                <w:szCs w:val="22"/>
                <w:lang w:eastAsia="it-IT"/>
              </w:rPr>
              <w:t>Очищення та вирівнювання ділянки.</w:t>
            </w:r>
          </w:p>
          <w:p w14:paraId="106800C6" w14:textId="77777777" w:rsidR="005342D5" w:rsidRPr="0019790A" w:rsidRDefault="005342D5" w:rsidP="0019790A">
            <w:pPr>
              <w:numPr>
                <w:ilvl w:val="0"/>
                <w:numId w:val="44"/>
              </w:numPr>
              <w:rPr>
                <w:rFonts w:cs="Arial"/>
                <w:szCs w:val="22"/>
                <w:lang w:eastAsia="it-IT"/>
              </w:rPr>
            </w:pPr>
            <w:r w:rsidRPr="0019790A">
              <w:rPr>
                <w:rFonts w:cs="Arial"/>
                <w:szCs w:val="22"/>
                <w:lang w:eastAsia="it-IT"/>
              </w:rPr>
              <w:t>Підведення необхідних комунікацій (електропостачання, водопостачання тощо).</w:t>
            </w:r>
          </w:p>
          <w:p w14:paraId="00F259DD" w14:textId="77777777" w:rsidR="005342D5" w:rsidRPr="0019790A" w:rsidRDefault="005342D5" w:rsidP="0019790A">
            <w:pPr>
              <w:rPr>
                <w:rFonts w:cs="Arial"/>
                <w:szCs w:val="22"/>
                <w:lang w:eastAsia="it-IT"/>
              </w:rPr>
            </w:pPr>
            <w:r w:rsidRPr="0019790A">
              <w:rPr>
                <w:rFonts w:cs="Arial"/>
                <w:szCs w:val="22"/>
                <w:lang w:eastAsia="it-IT"/>
              </w:rPr>
              <w:t xml:space="preserve">4.  </w:t>
            </w:r>
            <w:r w:rsidRPr="0019790A">
              <w:rPr>
                <w:rFonts w:cs="Arial"/>
                <w:b/>
                <w:bCs/>
                <w:szCs w:val="22"/>
                <w:lang w:eastAsia="it-IT"/>
              </w:rPr>
              <w:t>Будівництво спортивного об'єкта:</w:t>
            </w:r>
          </w:p>
          <w:p w14:paraId="6C6E3405" w14:textId="77777777" w:rsidR="005342D5" w:rsidRPr="0019790A" w:rsidRDefault="005342D5" w:rsidP="0019790A">
            <w:pPr>
              <w:numPr>
                <w:ilvl w:val="0"/>
                <w:numId w:val="45"/>
              </w:numPr>
              <w:rPr>
                <w:rFonts w:cs="Arial"/>
                <w:szCs w:val="22"/>
                <w:lang w:eastAsia="it-IT"/>
              </w:rPr>
            </w:pPr>
            <w:r w:rsidRPr="0019790A">
              <w:rPr>
                <w:rFonts w:cs="Arial"/>
                <w:szCs w:val="22"/>
                <w:lang w:eastAsia="it-IT"/>
              </w:rPr>
              <w:t>Зведення спортивного майданчика з покриттям, відповідним до обраних видів спорту (футбол, баскетбол, волейбол тощо).</w:t>
            </w:r>
          </w:p>
          <w:p w14:paraId="5ACEA19F" w14:textId="77777777" w:rsidR="005342D5" w:rsidRPr="0019790A" w:rsidRDefault="005342D5" w:rsidP="0019790A">
            <w:pPr>
              <w:numPr>
                <w:ilvl w:val="0"/>
                <w:numId w:val="45"/>
              </w:numPr>
              <w:rPr>
                <w:rFonts w:cs="Arial"/>
                <w:szCs w:val="22"/>
                <w:lang w:eastAsia="it-IT"/>
              </w:rPr>
            </w:pPr>
            <w:r w:rsidRPr="0019790A">
              <w:rPr>
                <w:rFonts w:cs="Arial"/>
                <w:szCs w:val="22"/>
                <w:lang w:eastAsia="it-IT"/>
              </w:rPr>
              <w:t>Встановлення освітлення, огорожі, лавок та інших необхідних елементів інфраструктури.</w:t>
            </w:r>
          </w:p>
          <w:p w14:paraId="441B353E" w14:textId="77777777" w:rsidR="005342D5" w:rsidRPr="0019790A" w:rsidRDefault="005342D5" w:rsidP="0019790A">
            <w:pPr>
              <w:rPr>
                <w:rFonts w:cs="Arial"/>
                <w:szCs w:val="22"/>
                <w:lang w:eastAsia="it-IT"/>
              </w:rPr>
            </w:pPr>
            <w:r w:rsidRPr="0019790A">
              <w:rPr>
                <w:rFonts w:cs="Arial"/>
                <w:szCs w:val="22"/>
                <w:lang w:eastAsia="it-IT"/>
              </w:rPr>
              <w:t xml:space="preserve">5.  </w:t>
            </w:r>
            <w:r w:rsidRPr="0019790A">
              <w:rPr>
                <w:rFonts w:cs="Arial"/>
                <w:b/>
                <w:bCs/>
                <w:szCs w:val="22"/>
                <w:lang w:eastAsia="it-IT"/>
              </w:rPr>
              <w:t>Обладнання об'єкта необхідним інвентарем:</w:t>
            </w:r>
          </w:p>
          <w:p w14:paraId="62D65540" w14:textId="77777777" w:rsidR="005342D5" w:rsidRPr="0019790A" w:rsidRDefault="005342D5" w:rsidP="0019790A">
            <w:pPr>
              <w:numPr>
                <w:ilvl w:val="0"/>
                <w:numId w:val="46"/>
              </w:numPr>
              <w:rPr>
                <w:rFonts w:cs="Arial"/>
                <w:szCs w:val="22"/>
                <w:lang w:eastAsia="it-IT"/>
              </w:rPr>
            </w:pPr>
            <w:r w:rsidRPr="0019790A">
              <w:rPr>
                <w:rFonts w:cs="Arial"/>
                <w:szCs w:val="22"/>
                <w:lang w:eastAsia="it-IT"/>
              </w:rPr>
              <w:t>Придбання та встановлення спортивного обладнання та інвентарю для різних вікових груп.</w:t>
            </w:r>
          </w:p>
          <w:p w14:paraId="53916E43" w14:textId="77777777" w:rsidR="005342D5" w:rsidRPr="0019790A" w:rsidRDefault="005342D5" w:rsidP="0019790A">
            <w:pPr>
              <w:numPr>
                <w:ilvl w:val="0"/>
                <w:numId w:val="46"/>
              </w:numPr>
              <w:rPr>
                <w:rFonts w:cs="Arial"/>
                <w:szCs w:val="22"/>
                <w:lang w:eastAsia="it-IT"/>
              </w:rPr>
            </w:pPr>
            <w:r w:rsidRPr="0019790A">
              <w:rPr>
                <w:rFonts w:cs="Arial"/>
                <w:szCs w:val="22"/>
                <w:lang w:eastAsia="it-IT"/>
              </w:rPr>
              <w:t>Забезпечення доступності для осіб з інвалідністю.</w:t>
            </w:r>
          </w:p>
          <w:p w14:paraId="0D3FDD67" w14:textId="77777777" w:rsidR="005342D5" w:rsidRPr="0019790A" w:rsidRDefault="005342D5" w:rsidP="0019790A">
            <w:pPr>
              <w:rPr>
                <w:rFonts w:cs="Arial"/>
                <w:szCs w:val="22"/>
                <w:lang w:eastAsia="it-IT"/>
              </w:rPr>
            </w:pPr>
            <w:r w:rsidRPr="0019790A">
              <w:rPr>
                <w:rFonts w:cs="Arial"/>
                <w:szCs w:val="22"/>
                <w:lang w:eastAsia="it-IT"/>
              </w:rPr>
              <w:t xml:space="preserve">6.  </w:t>
            </w:r>
            <w:r w:rsidRPr="0019790A">
              <w:rPr>
                <w:rFonts w:cs="Arial"/>
                <w:b/>
                <w:bCs/>
                <w:szCs w:val="22"/>
                <w:lang w:eastAsia="it-IT"/>
              </w:rPr>
              <w:t>Проведення інформаційної кампанії:</w:t>
            </w:r>
          </w:p>
          <w:p w14:paraId="661D82D2" w14:textId="77777777" w:rsidR="005342D5" w:rsidRPr="0019790A" w:rsidRDefault="005342D5" w:rsidP="0019790A">
            <w:pPr>
              <w:numPr>
                <w:ilvl w:val="0"/>
                <w:numId w:val="47"/>
              </w:numPr>
              <w:rPr>
                <w:rFonts w:cs="Arial"/>
                <w:szCs w:val="22"/>
                <w:lang w:eastAsia="it-IT"/>
              </w:rPr>
            </w:pPr>
            <w:r w:rsidRPr="0019790A">
              <w:rPr>
                <w:rFonts w:cs="Arial"/>
                <w:szCs w:val="22"/>
                <w:lang w:eastAsia="it-IT"/>
              </w:rPr>
              <w:t>Інформування населення про відкриття нового спортивного об'єкта та можливості для занять.</w:t>
            </w:r>
          </w:p>
          <w:p w14:paraId="15309A4B" w14:textId="77777777" w:rsidR="005342D5" w:rsidRPr="0019790A" w:rsidRDefault="005342D5" w:rsidP="0019790A">
            <w:pPr>
              <w:numPr>
                <w:ilvl w:val="0"/>
                <w:numId w:val="47"/>
              </w:numPr>
              <w:rPr>
                <w:rFonts w:cs="Arial"/>
                <w:szCs w:val="22"/>
                <w:lang w:eastAsia="it-IT"/>
              </w:rPr>
            </w:pPr>
            <w:r w:rsidRPr="0019790A">
              <w:rPr>
                <w:rFonts w:cs="Arial"/>
                <w:szCs w:val="22"/>
                <w:lang w:eastAsia="it-IT"/>
              </w:rPr>
              <w:t>Поширення інформації через місцеві ЗМІ, соціальні мережі та інші канали комунікації.</w:t>
            </w:r>
          </w:p>
          <w:p w14:paraId="049BE739" w14:textId="77777777" w:rsidR="005342D5" w:rsidRPr="0019790A" w:rsidRDefault="005342D5" w:rsidP="0019790A">
            <w:pPr>
              <w:rPr>
                <w:rFonts w:cs="Arial"/>
                <w:szCs w:val="22"/>
                <w:lang w:eastAsia="it-IT"/>
              </w:rPr>
            </w:pPr>
            <w:r w:rsidRPr="0019790A">
              <w:rPr>
                <w:rFonts w:cs="Arial"/>
                <w:szCs w:val="22"/>
                <w:lang w:eastAsia="it-IT"/>
              </w:rPr>
              <w:t xml:space="preserve">7.  </w:t>
            </w:r>
            <w:r w:rsidRPr="0019790A">
              <w:rPr>
                <w:rFonts w:cs="Arial"/>
                <w:b/>
                <w:bCs/>
                <w:szCs w:val="22"/>
                <w:lang w:eastAsia="it-IT"/>
              </w:rPr>
              <w:t>Моніторинг та оцінка ефективності проєкту:</w:t>
            </w:r>
          </w:p>
          <w:p w14:paraId="6C021D1E" w14:textId="77777777" w:rsidR="005342D5" w:rsidRPr="0019790A" w:rsidRDefault="005342D5" w:rsidP="0019790A">
            <w:pPr>
              <w:numPr>
                <w:ilvl w:val="0"/>
                <w:numId w:val="48"/>
              </w:numPr>
              <w:rPr>
                <w:rFonts w:cs="Arial"/>
                <w:szCs w:val="22"/>
                <w:lang w:eastAsia="it-IT"/>
              </w:rPr>
            </w:pPr>
            <w:r w:rsidRPr="0019790A">
              <w:rPr>
                <w:rFonts w:cs="Arial"/>
                <w:szCs w:val="22"/>
                <w:lang w:eastAsia="it-IT"/>
              </w:rPr>
              <w:t>Відстеження кількості відвідувачів та учасників спортивних заходів..</w:t>
            </w:r>
          </w:p>
        </w:tc>
      </w:tr>
      <w:tr w:rsidR="005342D5" w:rsidRPr="0019790A" w14:paraId="3B77BC8A" w14:textId="77777777" w:rsidTr="00CF3AAE">
        <w:trPr>
          <w:jc w:val="right"/>
        </w:trPr>
        <w:tc>
          <w:tcPr>
            <w:tcW w:w="3425" w:type="dxa"/>
            <w:shd w:val="clear" w:color="auto" w:fill="FFFFFF"/>
            <w:vAlign w:val="center"/>
          </w:tcPr>
          <w:p w14:paraId="06B6FD75" w14:textId="77777777" w:rsidR="005342D5" w:rsidRPr="0019790A" w:rsidRDefault="005342D5"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794" w:type="dxa"/>
            <w:gridSpan w:val="7"/>
          </w:tcPr>
          <w:p w14:paraId="352630BF" w14:textId="77777777" w:rsidR="005342D5" w:rsidRPr="0019790A" w:rsidRDefault="005342D5" w:rsidP="0019790A">
            <w:pPr>
              <w:rPr>
                <w:rFonts w:cs="Arial"/>
                <w:szCs w:val="22"/>
                <w:lang w:eastAsia="it-IT"/>
              </w:rPr>
            </w:pPr>
            <w:r w:rsidRPr="0019790A">
              <w:rPr>
                <w:rFonts w:cs="Arial"/>
                <w:szCs w:val="22"/>
                <w:lang w:eastAsia="it-IT"/>
              </w:rPr>
              <w:t>1.  Побудова багатофункціонального спортивного майданчику з гумовим або штучним покриттям</w:t>
            </w:r>
          </w:p>
          <w:p w14:paraId="1528CE8E" w14:textId="77777777" w:rsidR="005342D5" w:rsidRPr="0019790A" w:rsidRDefault="005342D5" w:rsidP="0019790A">
            <w:pPr>
              <w:rPr>
                <w:rFonts w:cs="Arial"/>
                <w:szCs w:val="22"/>
                <w:lang w:eastAsia="it-IT"/>
              </w:rPr>
            </w:pPr>
            <w:r w:rsidRPr="0019790A">
              <w:rPr>
                <w:rFonts w:cs="Arial"/>
                <w:szCs w:val="22"/>
                <w:lang w:eastAsia="it-IT"/>
              </w:rPr>
              <w:t>2.  Залучення щонайменше 500 мешканців громади до занять спортом щомісяця.</w:t>
            </w:r>
          </w:p>
          <w:p w14:paraId="5988D5C8" w14:textId="77777777" w:rsidR="005342D5" w:rsidRPr="0019790A" w:rsidRDefault="005342D5" w:rsidP="0019790A">
            <w:pPr>
              <w:rPr>
                <w:rFonts w:cs="Arial"/>
                <w:szCs w:val="22"/>
                <w:lang w:eastAsia="it-IT"/>
              </w:rPr>
            </w:pPr>
            <w:r w:rsidRPr="0019790A">
              <w:rPr>
                <w:rFonts w:cs="Arial"/>
                <w:szCs w:val="22"/>
                <w:lang w:eastAsia="it-IT"/>
              </w:rPr>
              <w:t>3.  Проведення регулярних спортивних змагань, тренувань та дозвіллєвих заходів.</w:t>
            </w:r>
          </w:p>
          <w:p w14:paraId="717E3C56" w14:textId="77777777" w:rsidR="005342D5" w:rsidRPr="0019790A" w:rsidRDefault="005342D5" w:rsidP="0019790A">
            <w:pPr>
              <w:rPr>
                <w:rFonts w:cs="Arial"/>
                <w:szCs w:val="22"/>
                <w:lang w:eastAsia="it-IT"/>
              </w:rPr>
            </w:pPr>
            <w:r w:rsidRPr="0019790A">
              <w:rPr>
                <w:rFonts w:cs="Arial"/>
                <w:szCs w:val="22"/>
                <w:lang w:eastAsia="it-IT"/>
              </w:rPr>
              <w:t xml:space="preserve">4.  Підвищення рівня фізичної активності серед дітей, молоді, населення середнього та пенсійного віку, людей з інвалідністю. </w:t>
            </w:r>
          </w:p>
          <w:p w14:paraId="12DD918D" w14:textId="77777777" w:rsidR="005342D5" w:rsidRPr="0019790A" w:rsidRDefault="005342D5" w:rsidP="0019790A">
            <w:pPr>
              <w:rPr>
                <w:rFonts w:cs="Arial"/>
                <w:szCs w:val="22"/>
                <w:lang w:eastAsia="it-IT"/>
              </w:rPr>
            </w:pPr>
            <w:r w:rsidRPr="0019790A">
              <w:rPr>
                <w:rFonts w:cs="Arial"/>
                <w:szCs w:val="22"/>
                <w:lang w:eastAsia="it-IT"/>
              </w:rPr>
              <w:t>5.  Залучення до спорту понад 60% місцевого населення.</w:t>
            </w:r>
          </w:p>
          <w:p w14:paraId="59258DB0" w14:textId="77777777" w:rsidR="005342D5" w:rsidRPr="0019790A" w:rsidRDefault="005342D5" w:rsidP="0019790A">
            <w:pPr>
              <w:rPr>
                <w:rFonts w:cs="Arial"/>
                <w:szCs w:val="22"/>
                <w:lang w:eastAsia="it-IT"/>
              </w:rPr>
            </w:pPr>
            <w:r w:rsidRPr="0019790A">
              <w:rPr>
                <w:rFonts w:cs="Arial"/>
                <w:szCs w:val="22"/>
                <w:lang w:eastAsia="it-IT"/>
              </w:rPr>
              <w:t>6.  Зниження рівня захворюваності та гіподинамії.</w:t>
            </w:r>
          </w:p>
          <w:p w14:paraId="10B96D03" w14:textId="77777777" w:rsidR="005342D5" w:rsidRPr="0019790A" w:rsidRDefault="005342D5" w:rsidP="0019790A">
            <w:pPr>
              <w:rPr>
                <w:rFonts w:cs="Arial"/>
                <w:szCs w:val="22"/>
                <w:lang w:eastAsia="it-IT"/>
              </w:rPr>
            </w:pPr>
            <w:r w:rsidRPr="0019790A">
              <w:rPr>
                <w:rFonts w:cs="Arial"/>
                <w:szCs w:val="22"/>
                <w:lang w:eastAsia="it-IT"/>
              </w:rPr>
              <w:t>7.  Підвищення соціальної інтеграції та міжпоколіннєвої взаємодії.</w:t>
            </w:r>
          </w:p>
          <w:p w14:paraId="3497B7ED" w14:textId="77777777" w:rsidR="005342D5" w:rsidRPr="0019790A" w:rsidRDefault="005342D5" w:rsidP="0019790A">
            <w:pPr>
              <w:rPr>
                <w:rFonts w:cs="Arial"/>
                <w:szCs w:val="22"/>
                <w:lang w:eastAsia="it-IT"/>
              </w:rPr>
            </w:pPr>
            <w:r w:rsidRPr="0019790A">
              <w:rPr>
                <w:rFonts w:cs="Arial"/>
                <w:szCs w:val="22"/>
                <w:lang w:eastAsia="it-IT"/>
              </w:rPr>
              <w:t>8.  Поява нового простору для самореалізації та дозвілля.</w:t>
            </w:r>
          </w:p>
        </w:tc>
      </w:tr>
      <w:tr w:rsidR="005342D5" w:rsidRPr="0019790A" w14:paraId="4CD53B97" w14:textId="77777777" w:rsidTr="00CF3AAE">
        <w:trPr>
          <w:jc w:val="right"/>
        </w:trPr>
        <w:tc>
          <w:tcPr>
            <w:tcW w:w="3425" w:type="dxa"/>
            <w:shd w:val="clear" w:color="auto" w:fill="FFFFFF"/>
            <w:vAlign w:val="center"/>
          </w:tcPr>
          <w:p w14:paraId="7B88D1DF" w14:textId="77777777" w:rsidR="005342D5" w:rsidRPr="0019790A" w:rsidRDefault="005342D5" w:rsidP="0019790A">
            <w:pPr>
              <w:rPr>
                <w:rFonts w:cs="Arial"/>
                <w:b/>
                <w:color w:val="000000"/>
                <w:szCs w:val="22"/>
              </w:rPr>
            </w:pPr>
            <w:r w:rsidRPr="0019790A">
              <w:rPr>
                <w:rFonts w:cs="Arial"/>
                <w:b/>
                <w:color w:val="000000"/>
                <w:szCs w:val="22"/>
              </w:rPr>
              <w:t xml:space="preserve">Період здійснення: </w:t>
            </w:r>
          </w:p>
        </w:tc>
        <w:tc>
          <w:tcPr>
            <w:tcW w:w="6794" w:type="dxa"/>
            <w:gridSpan w:val="7"/>
            <w:vAlign w:val="center"/>
          </w:tcPr>
          <w:p w14:paraId="4AE84CC0" w14:textId="77777777" w:rsidR="005342D5" w:rsidRPr="0019790A" w:rsidRDefault="005342D5" w:rsidP="0019790A">
            <w:pPr>
              <w:rPr>
                <w:rFonts w:cs="Arial"/>
                <w:color w:val="000000"/>
                <w:szCs w:val="22"/>
                <w:lang w:eastAsia="it-IT"/>
              </w:rPr>
            </w:pPr>
            <w:r w:rsidRPr="0019790A">
              <w:rPr>
                <w:rFonts w:cs="Arial"/>
                <w:b/>
                <w:color w:val="000000"/>
                <w:szCs w:val="22"/>
              </w:rPr>
              <w:t>2025 – 2028 роки:</w:t>
            </w:r>
          </w:p>
        </w:tc>
      </w:tr>
      <w:tr w:rsidR="005342D5" w:rsidRPr="0019790A" w14:paraId="6F51A9DD" w14:textId="77777777" w:rsidTr="00CF3AAE">
        <w:trPr>
          <w:jc w:val="right"/>
        </w:trPr>
        <w:tc>
          <w:tcPr>
            <w:tcW w:w="3425" w:type="dxa"/>
            <w:vMerge w:val="restart"/>
            <w:shd w:val="clear" w:color="auto" w:fill="FFFFFF"/>
            <w:vAlign w:val="center"/>
          </w:tcPr>
          <w:p w14:paraId="2B5BE187" w14:textId="77777777" w:rsidR="005342D5" w:rsidRPr="0019790A" w:rsidRDefault="005342D5" w:rsidP="0019790A">
            <w:pPr>
              <w:rPr>
                <w:rFonts w:cs="Arial"/>
                <w:b/>
                <w:bCs/>
                <w:color w:val="000000"/>
                <w:szCs w:val="22"/>
              </w:rPr>
            </w:pPr>
            <w:r w:rsidRPr="0019790A">
              <w:rPr>
                <w:rFonts w:cs="Arial"/>
                <w:b/>
                <w:bCs/>
                <w:color w:val="000000"/>
                <w:szCs w:val="22"/>
              </w:rPr>
              <w:t>Орієнтовна вартість проєкту, тис. грн., в тому числі:</w:t>
            </w:r>
          </w:p>
        </w:tc>
        <w:tc>
          <w:tcPr>
            <w:tcW w:w="1254" w:type="dxa"/>
            <w:shd w:val="clear" w:color="auto" w:fill="E6E6E6"/>
            <w:vAlign w:val="center"/>
          </w:tcPr>
          <w:p w14:paraId="7EE7D16E"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2025</w:t>
            </w:r>
          </w:p>
        </w:tc>
        <w:tc>
          <w:tcPr>
            <w:tcW w:w="1275" w:type="dxa"/>
            <w:gridSpan w:val="2"/>
            <w:shd w:val="clear" w:color="auto" w:fill="E6E6E6"/>
            <w:vAlign w:val="center"/>
          </w:tcPr>
          <w:p w14:paraId="1E5A5D8D"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2026</w:t>
            </w:r>
          </w:p>
        </w:tc>
        <w:tc>
          <w:tcPr>
            <w:tcW w:w="1418" w:type="dxa"/>
            <w:tcBorders>
              <w:bottom w:val="single" w:sz="4" w:space="0" w:color="auto"/>
            </w:tcBorders>
            <w:shd w:val="clear" w:color="auto" w:fill="E6E6E6"/>
            <w:vAlign w:val="center"/>
          </w:tcPr>
          <w:p w14:paraId="0BC3B5FB"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2027</w:t>
            </w:r>
          </w:p>
        </w:tc>
        <w:tc>
          <w:tcPr>
            <w:tcW w:w="1276" w:type="dxa"/>
            <w:shd w:val="clear" w:color="auto" w:fill="E6E6E6"/>
            <w:vAlign w:val="center"/>
          </w:tcPr>
          <w:p w14:paraId="6E2903CC"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2028</w:t>
            </w:r>
          </w:p>
        </w:tc>
        <w:tc>
          <w:tcPr>
            <w:tcW w:w="1571" w:type="dxa"/>
            <w:gridSpan w:val="2"/>
            <w:shd w:val="clear" w:color="auto" w:fill="E6E6E6"/>
            <w:vAlign w:val="center"/>
          </w:tcPr>
          <w:p w14:paraId="368389FE"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РАЗОМ</w:t>
            </w:r>
          </w:p>
        </w:tc>
      </w:tr>
      <w:tr w:rsidR="005342D5" w:rsidRPr="0019790A" w14:paraId="5DE4353E" w14:textId="77777777" w:rsidTr="009873B2">
        <w:trPr>
          <w:jc w:val="right"/>
        </w:trPr>
        <w:tc>
          <w:tcPr>
            <w:tcW w:w="3425" w:type="dxa"/>
            <w:vMerge/>
            <w:shd w:val="clear" w:color="auto" w:fill="FFFFFF"/>
            <w:vAlign w:val="center"/>
          </w:tcPr>
          <w:p w14:paraId="2AEE8643" w14:textId="77777777" w:rsidR="005342D5" w:rsidRPr="0019790A" w:rsidRDefault="005342D5" w:rsidP="0019790A">
            <w:pPr>
              <w:rPr>
                <w:rFonts w:cs="Arial"/>
                <w:b/>
                <w:bCs/>
                <w:color w:val="000000"/>
                <w:szCs w:val="22"/>
              </w:rPr>
            </w:pPr>
          </w:p>
        </w:tc>
        <w:tc>
          <w:tcPr>
            <w:tcW w:w="1254" w:type="dxa"/>
            <w:vAlign w:val="center"/>
          </w:tcPr>
          <w:p w14:paraId="1BA17F4D" w14:textId="77777777" w:rsidR="005342D5" w:rsidRPr="0019790A" w:rsidRDefault="005342D5" w:rsidP="0019790A">
            <w:pPr>
              <w:jc w:val="center"/>
              <w:rPr>
                <w:rFonts w:cs="Arial"/>
                <w:b/>
                <w:color w:val="000000"/>
                <w:szCs w:val="22"/>
                <w:lang w:eastAsia="it-IT"/>
              </w:rPr>
            </w:pPr>
          </w:p>
        </w:tc>
        <w:tc>
          <w:tcPr>
            <w:tcW w:w="1275" w:type="dxa"/>
            <w:gridSpan w:val="2"/>
            <w:shd w:val="clear" w:color="auto" w:fill="FFFFFF"/>
            <w:vAlign w:val="center"/>
          </w:tcPr>
          <w:p w14:paraId="1D9D60FA" w14:textId="77777777" w:rsidR="005342D5" w:rsidRPr="0019790A" w:rsidRDefault="005342D5" w:rsidP="0019790A">
            <w:pPr>
              <w:jc w:val="center"/>
              <w:rPr>
                <w:rFonts w:cs="Arial"/>
                <w:b/>
                <w:color w:val="000000"/>
                <w:szCs w:val="22"/>
                <w:lang w:eastAsia="it-IT"/>
              </w:rPr>
            </w:pPr>
          </w:p>
        </w:tc>
        <w:tc>
          <w:tcPr>
            <w:tcW w:w="1418" w:type="dxa"/>
            <w:shd w:val="clear" w:color="auto" w:fill="auto"/>
            <w:vAlign w:val="center"/>
          </w:tcPr>
          <w:p w14:paraId="399E0C8B" w14:textId="77777777" w:rsidR="005342D5" w:rsidRPr="0019790A" w:rsidRDefault="005342D5" w:rsidP="009873B2">
            <w:pPr>
              <w:jc w:val="center"/>
              <w:rPr>
                <w:rFonts w:cs="Arial"/>
                <w:b/>
                <w:color w:val="000000"/>
                <w:szCs w:val="22"/>
                <w:lang w:eastAsia="it-IT"/>
              </w:rPr>
            </w:pPr>
            <w:r w:rsidRPr="0019790A">
              <w:rPr>
                <w:rFonts w:cs="Arial"/>
                <w:b/>
                <w:color w:val="000000"/>
                <w:szCs w:val="22"/>
                <w:lang w:eastAsia="it-IT"/>
              </w:rPr>
              <w:t>5500,0</w:t>
            </w:r>
          </w:p>
        </w:tc>
        <w:tc>
          <w:tcPr>
            <w:tcW w:w="1276" w:type="dxa"/>
            <w:shd w:val="clear" w:color="auto" w:fill="FFFFFF"/>
            <w:vAlign w:val="center"/>
          </w:tcPr>
          <w:p w14:paraId="7F541366" w14:textId="77777777" w:rsidR="005342D5" w:rsidRPr="0019790A" w:rsidRDefault="005342D5" w:rsidP="009873B2">
            <w:pPr>
              <w:jc w:val="center"/>
              <w:rPr>
                <w:rFonts w:cs="Arial"/>
                <w:b/>
                <w:color w:val="000000"/>
                <w:szCs w:val="22"/>
                <w:lang w:eastAsia="it-IT"/>
              </w:rPr>
            </w:pPr>
          </w:p>
        </w:tc>
        <w:tc>
          <w:tcPr>
            <w:tcW w:w="1571" w:type="dxa"/>
            <w:gridSpan w:val="2"/>
            <w:shd w:val="clear" w:color="auto" w:fill="FFFFFF"/>
            <w:vAlign w:val="center"/>
          </w:tcPr>
          <w:p w14:paraId="57792744" w14:textId="77777777" w:rsidR="005342D5" w:rsidRPr="0019790A" w:rsidRDefault="005342D5" w:rsidP="009873B2">
            <w:pPr>
              <w:jc w:val="center"/>
              <w:rPr>
                <w:rFonts w:cs="Arial"/>
                <w:b/>
                <w:color w:val="000000"/>
                <w:szCs w:val="22"/>
                <w:lang w:eastAsia="it-IT"/>
              </w:rPr>
            </w:pPr>
            <w:r w:rsidRPr="0019790A">
              <w:rPr>
                <w:rFonts w:cs="Arial"/>
                <w:b/>
                <w:color w:val="000000"/>
                <w:szCs w:val="22"/>
                <w:lang w:eastAsia="it-IT"/>
              </w:rPr>
              <w:t>5500,0</w:t>
            </w:r>
          </w:p>
        </w:tc>
      </w:tr>
      <w:tr w:rsidR="005342D5" w:rsidRPr="0019790A" w14:paraId="0DD69E82" w14:textId="77777777" w:rsidTr="009873B2">
        <w:trPr>
          <w:trHeight w:val="276"/>
          <w:jc w:val="right"/>
        </w:trPr>
        <w:tc>
          <w:tcPr>
            <w:tcW w:w="3425" w:type="dxa"/>
            <w:shd w:val="clear" w:color="auto" w:fill="FFFFFF"/>
            <w:vAlign w:val="center"/>
          </w:tcPr>
          <w:p w14:paraId="16DB67B0" w14:textId="77777777" w:rsidR="005342D5" w:rsidRPr="0019790A" w:rsidRDefault="005342D5" w:rsidP="0019790A">
            <w:pPr>
              <w:rPr>
                <w:rFonts w:cs="Arial"/>
                <w:b/>
                <w:bCs/>
                <w:color w:val="000000"/>
                <w:szCs w:val="22"/>
              </w:rPr>
            </w:pPr>
            <w:r w:rsidRPr="0019790A">
              <w:rPr>
                <w:rFonts w:cs="Arial"/>
                <w:b/>
                <w:bCs/>
                <w:color w:val="000000"/>
                <w:szCs w:val="22"/>
              </w:rPr>
              <w:t>по джерелах фінансування:</w:t>
            </w:r>
          </w:p>
        </w:tc>
        <w:tc>
          <w:tcPr>
            <w:tcW w:w="6794" w:type="dxa"/>
            <w:gridSpan w:val="7"/>
            <w:vAlign w:val="center"/>
          </w:tcPr>
          <w:p w14:paraId="7A258E72" w14:textId="77777777" w:rsidR="005342D5" w:rsidRPr="0019790A" w:rsidRDefault="005342D5" w:rsidP="009873B2">
            <w:pPr>
              <w:jc w:val="center"/>
              <w:rPr>
                <w:rFonts w:cs="Arial"/>
                <w:color w:val="000000"/>
                <w:szCs w:val="22"/>
                <w:lang w:eastAsia="it-IT"/>
              </w:rPr>
            </w:pPr>
          </w:p>
        </w:tc>
      </w:tr>
      <w:tr w:rsidR="009873B2" w:rsidRPr="0019790A" w14:paraId="6B813259" w14:textId="259AEEC5" w:rsidTr="009873B2">
        <w:trPr>
          <w:trHeight w:val="240"/>
          <w:jc w:val="right"/>
        </w:trPr>
        <w:tc>
          <w:tcPr>
            <w:tcW w:w="3425" w:type="dxa"/>
            <w:shd w:val="clear" w:color="auto" w:fill="FFFFFF"/>
            <w:vAlign w:val="center"/>
          </w:tcPr>
          <w:p w14:paraId="7D8B94B3" w14:textId="77777777" w:rsidR="009873B2" w:rsidRPr="0019790A" w:rsidRDefault="009873B2" w:rsidP="0019790A">
            <w:pPr>
              <w:rPr>
                <w:rFonts w:cs="Arial"/>
                <w:b/>
                <w:bCs/>
                <w:color w:val="000000"/>
                <w:szCs w:val="22"/>
              </w:rPr>
            </w:pPr>
            <w:r w:rsidRPr="0019790A">
              <w:rPr>
                <w:rFonts w:cs="Arial"/>
                <w:color w:val="000000"/>
                <w:szCs w:val="22"/>
              </w:rPr>
              <w:t>- державний бюджет</w:t>
            </w:r>
          </w:p>
        </w:tc>
        <w:tc>
          <w:tcPr>
            <w:tcW w:w="1265" w:type="dxa"/>
            <w:gridSpan w:val="2"/>
            <w:vAlign w:val="center"/>
          </w:tcPr>
          <w:p w14:paraId="6ED48F0F" w14:textId="77777777" w:rsidR="009873B2" w:rsidRPr="0019790A" w:rsidRDefault="009873B2" w:rsidP="0019790A">
            <w:pPr>
              <w:jc w:val="both"/>
              <w:rPr>
                <w:rFonts w:cs="Arial"/>
                <w:color w:val="000000"/>
                <w:szCs w:val="22"/>
                <w:lang w:eastAsia="it-IT"/>
              </w:rPr>
            </w:pPr>
          </w:p>
        </w:tc>
        <w:tc>
          <w:tcPr>
            <w:tcW w:w="1265" w:type="dxa"/>
            <w:vAlign w:val="center"/>
          </w:tcPr>
          <w:p w14:paraId="75B451CB" w14:textId="77777777" w:rsidR="009873B2" w:rsidRPr="0019790A" w:rsidRDefault="009873B2" w:rsidP="0019790A">
            <w:pPr>
              <w:jc w:val="both"/>
              <w:rPr>
                <w:rFonts w:cs="Arial"/>
                <w:color w:val="000000"/>
                <w:szCs w:val="22"/>
                <w:lang w:eastAsia="it-IT"/>
              </w:rPr>
            </w:pPr>
          </w:p>
        </w:tc>
        <w:tc>
          <w:tcPr>
            <w:tcW w:w="1415" w:type="dxa"/>
            <w:vAlign w:val="center"/>
          </w:tcPr>
          <w:p w14:paraId="2802BDF4" w14:textId="77777777" w:rsidR="009873B2" w:rsidRPr="0019790A" w:rsidRDefault="009873B2" w:rsidP="009873B2">
            <w:pPr>
              <w:jc w:val="center"/>
              <w:rPr>
                <w:rFonts w:cs="Arial"/>
                <w:color w:val="000000"/>
                <w:szCs w:val="22"/>
                <w:lang w:eastAsia="it-IT"/>
              </w:rPr>
            </w:pPr>
          </w:p>
        </w:tc>
        <w:tc>
          <w:tcPr>
            <w:tcW w:w="1302" w:type="dxa"/>
            <w:gridSpan w:val="2"/>
            <w:vAlign w:val="center"/>
          </w:tcPr>
          <w:p w14:paraId="68F79711" w14:textId="77777777" w:rsidR="009873B2" w:rsidRPr="0019790A" w:rsidRDefault="009873B2" w:rsidP="009873B2">
            <w:pPr>
              <w:jc w:val="center"/>
              <w:rPr>
                <w:rFonts w:cs="Arial"/>
                <w:color w:val="000000"/>
                <w:szCs w:val="22"/>
                <w:lang w:eastAsia="it-IT"/>
              </w:rPr>
            </w:pPr>
          </w:p>
        </w:tc>
        <w:tc>
          <w:tcPr>
            <w:tcW w:w="1547" w:type="dxa"/>
            <w:vAlign w:val="center"/>
          </w:tcPr>
          <w:p w14:paraId="43C6C6CC" w14:textId="77777777" w:rsidR="009873B2" w:rsidRPr="0019790A" w:rsidRDefault="009873B2" w:rsidP="009873B2">
            <w:pPr>
              <w:jc w:val="center"/>
              <w:rPr>
                <w:rFonts w:cs="Arial"/>
                <w:color w:val="000000"/>
                <w:szCs w:val="22"/>
                <w:lang w:eastAsia="it-IT"/>
              </w:rPr>
            </w:pPr>
          </w:p>
        </w:tc>
      </w:tr>
      <w:tr w:rsidR="009873B2" w:rsidRPr="0019790A" w14:paraId="5402B9D0" w14:textId="392A2320" w:rsidTr="009873B2">
        <w:trPr>
          <w:trHeight w:val="254"/>
          <w:jc w:val="right"/>
        </w:trPr>
        <w:tc>
          <w:tcPr>
            <w:tcW w:w="3425" w:type="dxa"/>
            <w:shd w:val="clear" w:color="auto" w:fill="FFFFFF"/>
            <w:vAlign w:val="center"/>
          </w:tcPr>
          <w:p w14:paraId="567582EE" w14:textId="77777777" w:rsidR="009873B2" w:rsidRPr="0019790A" w:rsidRDefault="009873B2" w:rsidP="0019790A">
            <w:pPr>
              <w:rPr>
                <w:rFonts w:cs="Arial"/>
                <w:color w:val="000000"/>
                <w:szCs w:val="22"/>
              </w:rPr>
            </w:pPr>
            <w:r w:rsidRPr="0019790A">
              <w:rPr>
                <w:rFonts w:cs="Arial"/>
                <w:color w:val="000000"/>
                <w:szCs w:val="22"/>
              </w:rPr>
              <w:t>- обласний бюджет</w:t>
            </w:r>
          </w:p>
        </w:tc>
        <w:tc>
          <w:tcPr>
            <w:tcW w:w="1265" w:type="dxa"/>
            <w:gridSpan w:val="2"/>
            <w:vAlign w:val="center"/>
          </w:tcPr>
          <w:p w14:paraId="752CD560" w14:textId="77777777" w:rsidR="009873B2" w:rsidRPr="0019790A" w:rsidRDefault="009873B2" w:rsidP="0019790A">
            <w:pPr>
              <w:jc w:val="both"/>
              <w:rPr>
                <w:rFonts w:cs="Arial"/>
                <w:color w:val="000000"/>
                <w:szCs w:val="22"/>
                <w:lang w:eastAsia="it-IT"/>
              </w:rPr>
            </w:pPr>
          </w:p>
        </w:tc>
        <w:tc>
          <w:tcPr>
            <w:tcW w:w="1265" w:type="dxa"/>
            <w:vAlign w:val="center"/>
          </w:tcPr>
          <w:p w14:paraId="7BFC0983" w14:textId="77777777" w:rsidR="009873B2" w:rsidRPr="0019790A" w:rsidRDefault="009873B2" w:rsidP="0019790A">
            <w:pPr>
              <w:jc w:val="both"/>
              <w:rPr>
                <w:rFonts w:cs="Arial"/>
                <w:color w:val="000000"/>
                <w:szCs w:val="22"/>
                <w:lang w:eastAsia="it-IT"/>
              </w:rPr>
            </w:pPr>
          </w:p>
        </w:tc>
        <w:tc>
          <w:tcPr>
            <w:tcW w:w="1415" w:type="dxa"/>
            <w:vAlign w:val="center"/>
          </w:tcPr>
          <w:p w14:paraId="687A4B88" w14:textId="77777777" w:rsidR="009873B2" w:rsidRPr="009873B2" w:rsidRDefault="009873B2" w:rsidP="009873B2">
            <w:pPr>
              <w:jc w:val="center"/>
              <w:rPr>
                <w:rFonts w:cs="Arial"/>
                <w:color w:val="000000"/>
                <w:szCs w:val="22"/>
                <w:lang w:eastAsia="it-IT"/>
              </w:rPr>
            </w:pPr>
          </w:p>
        </w:tc>
        <w:tc>
          <w:tcPr>
            <w:tcW w:w="1302" w:type="dxa"/>
            <w:gridSpan w:val="2"/>
            <w:vAlign w:val="center"/>
          </w:tcPr>
          <w:p w14:paraId="4256D706" w14:textId="77777777" w:rsidR="009873B2" w:rsidRPr="009873B2" w:rsidRDefault="009873B2" w:rsidP="009873B2">
            <w:pPr>
              <w:jc w:val="center"/>
              <w:rPr>
                <w:rFonts w:cs="Arial"/>
                <w:color w:val="000000"/>
                <w:szCs w:val="22"/>
                <w:lang w:eastAsia="it-IT"/>
              </w:rPr>
            </w:pPr>
          </w:p>
        </w:tc>
        <w:tc>
          <w:tcPr>
            <w:tcW w:w="1547" w:type="dxa"/>
            <w:vAlign w:val="center"/>
          </w:tcPr>
          <w:p w14:paraId="20925A12" w14:textId="77777777" w:rsidR="009873B2" w:rsidRPr="009873B2" w:rsidRDefault="009873B2" w:rsidP="009873B2">
            <w:pPr>
              <w:jc w:val="center"/>
              <w:rPr>
                <w:rFonts w:cs="Arial"/>
                <w:color w:val="000000"/>
                <w:szCs w:val="22"/>
                <w:lang w:eastAsia="it-IT"/>
              </w:rPr>
            </w:pPr>
          </w:p>
        </w:tc>
      </w:tr>
      <w:tr w:rsidR="009873B2" w:rsidRPr="0019790A" w14:paraId="489C97FE" w14:textId="46A0888E" w:rsidTr="009873B2">
        <w:trPr>
          <w:trHeight w:val="275"/>
          <w:jc w:val="right"/>
        </w:trPr>
        <w:tc>
          <w:tcPr>
            <w:tcW w:w="3425" w:type="dxa"/>
            <w:shd w:val="clear" w:color="auto" w:fill="FFFFFF"/>
            <w:vAlign w:val="center"/>
          </w:tcPr>
          <w:p w14:paraId="079F36CF" w14:textId="77777777" w:rsidR="009873B2" w:rsidRPr="0019790A" w:rsidRDefault="009873B2" w:rsidP="009873B2">
            <w:pPr>
              <w:rPr>
                <w:rFonts w:cs="Arial"/>
                <w:color w:val="000000"/>
                <w:szCs w:val="22"/>
              </w:rPr>
            </w:pPr>
            <w:r w:rsidRPr="0019790A">
              <w:rPr>
                <w:rFonts w:cs="Arial"/>
                <w:color w:val="000000"/>
                <w:szCs w:val="22"/>
              </w:rPr>
              <w:t>- бюджет Жмеринської МТГ</w:t>
            </w:r>
          </w:p>
        </w:tc>
        <w:tc>
          <w:tcPr>
            <w:tcW w:w="1265" w:type="dxa"/>
            <w:gridSpan w:val="2"/>
            <w:vAlign w:val="center"/>
          </w:tcPr>
          <w:p w14:paraId="0206594D" w14:textId="324755D7" w:rsidR="009873B2" w:rsidRPr="0019790A" w:rsidRDefault="009873B2" w:rsidP="009873B2">
            <w:pPr>
              <w:jc w:val="both"/>
              <w:rPr>
                <w:rFonts w:cs="Arial"/>
                <w:color w:val="000000"/>
                <w:szCs w:val="22"/>
                <w:lang w:eastAsia="it-IT"/>
              </w:rPr>
            </w:pPr>
          </w:p>
        </w:tc>
        <w:tc>
          <w:tcPr>
            <w:tcW w:w="1265" w:type="dxa"/>
            <w:vAlign w:val="center"/>
          </w:tcPr>
          <w:p w14:paraId="65439979" w14:textId="77777777" w:rsidR="009873B2" w:rsidRPr="0019790A" w:rsidRDefault="009873B2" w:rsidP="009873B2">
            <w:pPr>
              <w:jc w:val="both"/>
              <w:rPr>
                <w:rFonts w:cs="Arial"/>
                <w:color w:val="000000"/>
                <w:szCs w:val="22"/>
                <w:lang w:eastAsia="it-IT"/>
              </w:rPr>
            </w:pPr>
          </w:p>
        </w:tc>
        <w:tc>
          <w:tcPr>
            <w:tcW w:w="1415" w:type="dxa"/>
            <w:vAlign w:val="center"/>
          </w:tcPr>
          <w:p w14:paraId="3F5BBA97" w14:textId="6D7EF7E9" w:rsidR="009873B2" w:rsidRPr="009873B2" w:rsidRDefault="009873B2" w:rsidP="009873B2">
            <w:pPr>
              <w:jc w:val="center"/>
              <w:rPr>
                <w:rFonts w:cs="Arial"/>
                <w:color w:val="000000"/>
                <w:szCs w:val="22"/>
                <w:lang w:eastAsia="it-IT"/>
              </w:rPr>
            </w:pPr>
            <w:r w:rsidRPr="009873B2">
              <w:rPr>
                <w:rFonts w:cs="Arial"/>
                <w:color w:val="000000"/>
                <w:szCs w:val="22"/>
                <w:lang w:eastAsia="it-IT"/>
              </w:rPr>
              <w:t>5500,0</w:t>
            </w:r>
          </w:p>
        </w:tc>
        <w:tc>
          <w:tcPr>
            <w:tcW w:w="1302" w:type="dxa"/>
            <w:gridSpan w:val="2"/>
            <w:vAlign w:val="center"/>
          </w:tcPr>
          <w:p w14:paraId="0AB8F57E" w14:textId="77777777" w:rsidR="009873B2" w:rsidRPr="009873B2" w:rsidRDefault="009873B2" w:rsidP="009873B2">
            <w:pPr>
              <w:jc w:val="center"/>
              <w:rPr>
                <w:rFonts w:cs="Arial"/>
                <w:color w:val="000000"/>
                <w:szCs w:val="22"/>
                <w:lang w:eastAsia="it-IT"/>
              </w:rPr>
            </w:pPr>
          </w:p>
        </w:tc>
        <w:tc>
          <w:tcPr>
            <w:tcW w:w="1547" w:type="dxa"/>
            <w:vAlign w:val="center"/>
          </w:tcPr>
          <w:p w14:paraId="17A381B6" w14:textId="3AF9924B" w:rsidR="009873B2" w:rsidRPr="009873B2" w:rsidRDefault="009873B2" w:rsidP="009873B2">
            <w:pPr>
              <w:jc w:val="center"/>
              <w:rPr>
                <w:rFonts w:cs="Arial"/>
                <w:color w:val="000000"/>
                <w:szCs w:val="22"/>
                <w:lang w:eastAsia="it-IT"/>
              </w:rPr>
            </w:pPr>
            <w:r w:rsidRPr="009873B2">
              <w:rPr>
                <w:rFonts w:cs="Arial"/>
                <w:color w:val="000000"/>
                <w:szCs w:val="22"/>
                <w:lang w:eastAsia="it-IT"/>
              </w:rPr>
              <w:t>5500,0</w:t>
            </w:r>
          </w:p>
        </w:tc>
      </w:tr>
      <w:tr w:rsidR="009873B2" w:rsidRPr="0019790A" w14:paraId="23F09726" w14:textId="475A30B3" w:rsidTr="009873B2">
        <w:trPr>
          <w:trHeight w:val="226"/>
          <w:jc w:val="right"/>
        </w:trPr>
        <w:tc>
          <w:tcPr>
            <w:tcW w:w="3425" w:type="dxa"/>
            <w:shd w:val="clear" w:color="auto" w:fill="FFFFFF"/>
            <w:vAlign w:val="center"/>
          </w:tcPr>
          <w:p w14:paraId="3A7FCDE2" w14:textId="77777777" w:rsidR="009873B2" w:rsidRPr="0019790A" w:rsidRDefault="009873B2" w:rsidP="009873B2">
            <w:pPr>
              <w:rPr>
                <w:rFonts w:cs="Arial"/>
                <w:color w:val="000000"/>
                <w:szCs w:val="22"/>
              </w:rPr>
            </w:pPr>
            <w:r w:rsidRPr="0019790A">
              <w:rPr>
                <w:rFonts w:cs="Arial"/>
                <w:color w:val="000000"/>
                <w:szCs w:val="22"/>
              </w:rPr>
              <w:t>- інші джерела фінансування</w:t>
            </w:r>
          </w:p>
        </w:tc>
        <w:tc>
          <w:tcPr>
            <w:tcW w:w="1265" w:type="dxa"/>
            <w:gridSpan w:val="2"/>
            <w:vAlign w:val="center"/>
          </w:tcPr>
          <w:p w14:paraId="540A2314" w14:textId="77777777" w:rsidR="009873B2" w:rsidRPr="0019790A" w:rsidRDefault="009873B2" w:rsidP="009873B2">
            <w:pPr>
              <w:jc w:val="both"/>
              <w:rPr>
                <w:rFonts w:cs="Arial"/>
                <w:color w:val="000000"/>
                <w:szCs w:val="22"/>
                <w:lang w:eastAsia="it-IT"/>
              </w:rPr>
            </w:pPr>
          </w:p>
        </w:tc>
        <w:tc>
          <w:tcPr>
            <w:tcW w:w="1265" w:type="dxa"/>
            <w:vAlign w:val="center"/>
          </w:tcPr>
          <w:p w14:paraId="796C173A" w14:textId="77777777" w:rsidR="009873B2" w:rsidRPr="0019790A" w:rsidRDefault="009873B2" w:rsidP="009873B2">
            <w:pPr>
              <w:jc w:val="both"/>
              <w:rPr>
                <w:rFonts w:cs="Arial"/>
                <w:color w:val="000000"/>
                <w:szCs w:val="22"/>
                <w:lang w:eastAsia="it-IT"/>
              </w:rPr>
            </w:pPr>
          </w:p>
        </w:tc>
        <w:tc>
          <w:tcPr>
            <w:tcW w:w="1415" w:type="dxa"/>
            <w:vAlign w:val="center"/>
          </w:tcPr>
          <w:p w14:paraId="3054882F" w14:textId="77777777" w:rsidR="009873B2" w:rsidRPr="0019790A" w:rsidRDefault="009873B2" w:rsidP="009873B2">
            <w:pPr>
              <w:jc w:val="both"/>
              <w:rPr>
                <w:rFonts w:cs="Arial"/>
                <w:color w:val="000000"/>
                <w:szCs w:val="22"/>
                <w:lang w:eastAsia="it-IT"/>
              </w:rPr>
            </w:pPr>
          </w:p>
        </w:tc>
        <w:tc>
          <w:tcPr>
            <w:tcW w:w="1302" w:type="dxa"/>
            <w:gridSpan w:val="2"/>
            <w:vAlign w:val="center"/>
          </w:tcPr>
          <w:p w14:paraId="4D61456B" w14:textId="77777777" w:rsidR="009873B2" w:rsidRPr="0019790A" w:rsidRDefault="009873B2" w:rsidP="009873B2">
            <w:pPr>
              <w:jc w:val="both"/>
              <w:rPr>
                <w:rFonts w:cs="Arial"/>
                <w:color w:val="000000"/>
                <w:szCs w:val="22"/>
                <w:lang w:eastAsia="it-IT"/>
              </w:rPr>
            </w:pPr>
          </w:p>
        </w:tc>
        <w:tc>
          <w:tcPr>
            <w:tcW w:w="1547" w:type="dxa"/>
            <w:vAlign w:val="center"/>
          </w:tcPr>
          <w:p w14:paraId="6A0B1153" w14:textId="77777777" w:rsidR="009873B2" w:rsidRPr="0019790A" w:rsidRDefault="009873B2" w:rsidP="009873B2">
            <w:pPr>
              <w:jc w:val="both"/>
              <w:rPr>
                <w:rFonts w:cs="Arial"/>
                <w:color w:val="000000"/>
                <w:szCs w:val="22"/>
                <w:lang w:eastAsia="it-IT"/>
              </w:rPr>
            </w:pPr>
          </w:p>
        </w:tc>
      </w:tr>
      <w:tr w:rsidR="009873B2" w:rsidRPr="0019790A" w14:paraId="7965D364" w14:textId="77777777" w:rsidTr="00CF3AAE">
        <w:trPr>
          <w:jc w:val="right"/>
        </w:trPr>
        <w:tc>
          <w:tcPr>
            <w:tcW w:w="3425" w:type="dxa"/>
            <w:shd w:val="clear" w:color="auto" w:fill="FFFFFF"/>
            <w:vAlign w:val="center"/>
          </w:tcPr>
          <w:p w14:paraId="5FE36152" w14:textId="77777777" w:rsidR="009873B2" w:rsidRPr="0019790A" w:rsidRDefault="009873B2" w:rsidP="009873B2">
            <w:pPr>
              <w:rPr>
                <w:rFonts w:cs="Arial"/>
                <w:b/>
                <w:bCs/>
                <w:color w:val="000000"/>
                <w:szCs w:val="22"/>
              </w:rPr>
            </w:pPr>
            <w:r w:rsidRPr="0019790A">
              <w:rPr>
                <w:rFonts w:cs="Arial"/>
                <w:b/>
                <w:color w:val="000000"/>
                <w:szCs w:val="22"/>
              </w:rPr>
              <w:t>Відповідальний виконавець проєкту:</w:t>
            </w:r>
          </w:p>
        </w:tc>
        <w:tc>
          <w:tcPr>
            <w:tcW w:w="6794" w:type="dxa"/>
            <w:gridSpan w:val="7"/>
            <w:vAlign w:val="center"/>
          </w:tcPr>
          <w:p w14:paraId="370C9967" w14:textId="226D66EF" w:rsidR="009873B2" w:rsidRPr="0019790A" w:rsidRDefault="009873B2" w:rsidP="009873B2">
            <w:pPr>
              <w:jc w:val="both"/>
              <w:rPr>
                <w:rFonts w:cs="Arial"/>
                <w:color w:val="000000"/>
                <w:szCs w:val="22"/>
                <w:lang w:eastAsia="it-IT"/>
              </w:rPr>
            </w:pPr>
            <w:r w:rsidRPr="0019790A">
              <w:rPr>
                <w:rFonts w:cs="Arial"/>
                <w:color w:val="000000"/>
                <w:szCs w:val="22"/>
                <w:lang w:eastAsia="it-IT"/>
              </w:rPr>
              <w:t>Управління житлово-комунального господарства Жмеринської міської ради</w:t>
            </w:r>
          </w:p>
        </w:tc>
      </w:tr>
      <w:tr w:rsidR="009873B2" w:rsidRPr="0019790A" w14:paraId="7F57BDF7" w14:textId="77777777" w:rsidTr="00CF3AAE">
        <w:trPr>
          <w:jc w:val="right"/>
        </w:trPr>
        <w:tc>
          <w:tcPr>
            <w:tcW w:w="3425" w:type="dxa"/>
            <w:shd w:val="clear" w:color="auto" w:fill="FFFFFF"/>
            <w:vAlign w:val="center"/>
          </w:tcPr>
          <w:p w14:paraId="526B8E66" w14:textId="77777777" w:rsidR="009873B2" w:rsidRPr="0019790A" w:rsidRDefault="009873B2" w:rsidP="009873B2">
            <w:pPr>
              <w:rPr>
                <w:rFonts w:cs="Arial"/>
                <w:b/>
                <w:bCs/>
                <w:color w:val="000000"/>
                <w:szCs w:val="22"/>
              </w:rPr>
            </w:pPr>
            <w:r w:rsidRPr="0019790A">
              <w:rPr>
                <w:rFonts w:cs="Arial"/>
                <w:b/>
                <w:bCs/>
                <w:color w:val="000000"/>
                <w:szCs w:val="22"/>
              </w:rPr>
              <w:t>Інше:</w:t>
            </w:r>
          </w:p>
        </w:tc>
        <w:tc>
          <w:tcPr>
            <w:tcW w:w="6794" w:type="dxa"/>
            <w:gridSpan w:val="7"/>
            <w:vAlign w:val="center"/>
          </w:tcPr>
          <w:p w14:paraId="34FD955C" w14:textId="77777777" w:rsidR="009873B2" w:rsidRPr="0019790A" w:rsidRDefault="009873B2" w:rsidP="009873B2">
            <w:pPr>
              <w:rPr>
                <w:rFonts w:cs="Arial"/>
                <w:color w:val="000000"/>
                <w:szCs w:val="22"/>
                <w:lang w:eastAsia="it-IT"/>
              </w:rPr>
            </w:pPr>
          </w:p>
        </w:tc>
      </w:tr>
    </w:tbl>
    <w:p w14:paraId="2EF7D609" w14:textId="77777777" w:rsidR="005342D5" w:rsidRPr="0019790A" w:rsidRDefault="005342D5" w:rsidP="0019790A">
      <w:pPr>
        <w:rPr>
          <w:rFonts w:cs="Arial"/>
          <w:szCs w:val="22"/>
        </w:rPr>
      </w:pPr>
    </w:p>
    <w:p w14:paraId="3FE074C5" w14:textId="77777777" w:rsidR="005342D5" w:rsidRPr="0019790A" w:rsidRDefault="005342D5" w:rsidP="0019790A">
      <w:pPr>
        <w:rPr>
          <w:rFonts w:cs="Arial"/>
          <w:szCs w:val="22"/>
        </w:rPr>
      </w:pPr>
    </w:p>
    <w:p w14:paraId="20EC85A8" w14:textId="77777777" w:rsidR="005342D5" w:rsidRPr="0019790A" w:rsidRDefault="005342D5" w:rsidP="0019790A">
      <w:pPr>
        <w:jc w:val="center"/>
        <w:rPr>
          <w:rFonts w:cs="Arial"/>
          <w:b/>
          <w:color w:val="000000"/>
          <w:szCs w:val="22"/>
        </w:rPr>
      </w:pPr>
      <w:r w:rsidRPr="0019790A">
        <w:rPr>
          <w:rFonts w:cs="Arial"/>
          <w:b/>
          <w:color w:val="000000"/>
          <w:szCs w:val="22"/>
        </w:rPr>
        <w:t xml:space="preserve">Форма технічного завдання на проєкт місцевого розвитку </w:t>
      </w:r>
    </w:p>
    <w:p w14:paraId="2CD03A93" w14:textId="77777777" w:rsidR="005342D5" w:rsidRPr="0019790A" w:rsidRDefault="005342D5" w:rsidP="0019790A">
      <w:pPr>
        <w:jc w:val="center"/>
        <w:rPr>
          <w:rFonts w:cs="Arial"/>
          <w:b/>
          <w:color w:val="000000"/>
          <w:szCs w:val="22"/>
        </w:rPr>
      </w:pPr>
      <w:r w:rsidRPr="0019790A">
        <w:rPr>
          <w:rFonts w:cs="Arial"/>
          <w:b/>
          <w:color w:val="000000"/>
          <w:szCs w:val="22"/>
        </w:rPr>
        <w:t>до Плану заходів з реалізації Стратегії</w:t>
      </w:r>
    </w:p>
    <w:p w14:paraId="4B63EA40" w14:textId="77777777" w:rsidR="005342D5" w:rsidRPr="0019790A" w:rsidRDefault="005342D5"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4"/>
        <w:gridCol w:w="1254"/>
        <w:gridCol w:w="11"/>
        <w:gridCol w:w="1265"/>
        <w:gridCol w:w="1418"/>
        <w:gridCol w:w="85"/>
        <w:gridCol w:w="1191"/>
        <w:gridCol w:w="74"/>
        <w:gridCol w:w="1497"/>
      </w:tblGrid>
      <w:tr w:rsidR="005342D5" w:rsidRPr="0019790A" w14:paraId="3D7DD37B" w14:textId="77777777" w:rsidTr="009873B2">
        <w:trPr>
          <w:trHeight w:val="307"/>
          <w:jc w:val="right"/>
        </w:trPr>
        <w:tc>
          <w:tcPr>
            <w:tcW w:w="3424" w:type="dxa"/>
            <w:vAlign w:val="center"/>
          </w:tcPr>
          <w:p w14:paraId="531E72B7" w14:textId="77777777" w:rsidR="005342D5" w:rsidRPr="0019790A" w:rsidRDefault="005342D5" w:rsidP="0019790A">
            <w:pPr>
              <w:rPr>
                <w:rFonts w:cs="Arial"/>
                <w:b/>
                <w:bCs/>
                <w:color w:val="000000"/>
                <w:szCs w:val="22"/>
              </w:rPr>
            </w:pPr>
            <w:r w:rsidRPr="0019790A">
              <w:rPr>
                <w:rFonts w:cs="Arial"/>
                <w:b/>
                <w:bCs/>
                <w:color w:val="000000"/>
                <w:szCs w:val="22"/>
              </w:rPr>
              <w:t>Назва проєкту:</w:t>
            </w:r>
          </w:p>
        </w:tc>
        <w:tc>
          <w:tcPr>
            <w:tcW w:w="6795" w:type="dxa"/>
            <w:gridSpan w:val="8"/>
          </w:tcPr>
          <w:p w14:paraId="5223ABAC" w14:textId="77777777" w:rsidR="005342D5" w:rsidRPr="0019790A" w:rsidRDefault="005342D5" w:rsidP="0019790A">
            <w:pPr>
              <w:rPr>
                <w:rFonts w:cs="Arial"/>
                <w:szCs w:val="22"/>
                <w:lang w:eastAsia="it-IT"/>
              </w:rPr>
            </w:pPr>
            <w:r w:rsidRPr="0019790A">
              <w:rPr>
                <w:rFonts w:cs="Arial"/>
                <w:b/>
                <w:bCs/>
                <w:szCs w:val="22"/>
                <w:lang w:eastAsia="it-IT"/>
              </w:rPr>
              <w:t>Капітальний ремонт залу «Олімп» КП «Парковий культурно-спортивний комплекс»</w:t>
            </w:r>
          </w:p>
        </w:tc>
      </w:tr>
      <w:tr w:rsidR="005342D5" w:rsidRPr="0019790A" w14:paraId="3EDA34B8" w14:textId="77777777" w:rsidTr="009873B2">
        <w:trPr>
          <w:jc w:val="right"/>
        </w:trPr>
        <w:tc>
          <w:tcPr>
            <w:tcW w:w="3424" w:type="dxa"/>
          </w:tcPr>
          <w:p w14:paraId="1F26E20A" w14:textId="77777777" w:rsidR="005342D5" w:rsidRPr="0019790A" w:rsidRDefault="005342D5"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31BA50A2" w14:textId="77777777" w:rsidR="005342D5" w:rsidRPr="0019790A" w:rsidRDefault="005342D5" w:rsidP="0019790A">
            <w:pPr>
              <w:rPr>
                <w:rFonts w:cs="Arial"/>
                <w:b/>
                <w:bCs/>
                <w:szCs w:val="22"/>
              </w:rPr>
            </w:pPr>
            <w:r w:rsidRPr="0019790A">
              <w:rPr>
                <w:rFonts w:cs="Arial"/>
                <w:szCs w:val="22"/>
                <w:lang w:eastAsia="it-IT"/>
              </w:rPr>
              <w:t>Назва установи, організації, підприємства</w:t>
            </w:r>
          </w:p>
        </w:tc>
        <w:tc>
          <w:tcPr>
            <w:tcW w:w="6795" w:type="dxa"/>
            <w:gridSpan w:val="8"/>
          </w:tcPr>
          <w:p w14:paraId="53B416C4" w14:textId="77777777" w:rsidR="005342D5" w:rsidRPr="0019790A" w:rsidRDefault="005342D5" w:rsidP="0019790A">
            <w:pPr>
              <w:rPr>
                <w:rFonts w:cs="Arial"/>
                <w:szCs w:val="22"/>
                <w:lang w:eastAsia="it-IT"/>
              </w:rPr>
            </w:pPr>
            <w:r w:rsidRPr="0019790A">
              <w:rPr>
                <w:rFonts w:cs="Arial"/>
                <w:szCs w:val="22"/>
                <w:lang w:eastAsia="it-IT"/>
              </w:rPr>
              <w:t>Відділ молоді та спорту Жмеринської міської ради</w:t>
            </w:r>
          </w:p>
        </w:tc>
      </w:tr>
      <w:tr w:rsidR="005342D5" w:rsidRPr="0019790A" w14:paraId="07443088" w14:textId="77777777" w:rsidTr="009873B2">
        <w:trPr>
          <w:jc w:val="right"/>
        </w:trPr>
        <w:tc>
          <w:tcPr>
            <w:tcW w:w="3424" w:type="dxa"/>
          </w:tcPr>
          <w:p w14:paraId="542556AD" w14:textId="77777777" w:rsidR="005342D5" w:rsidRPr="0019790A" w:rsidRDefault="005342D5" w:rsidP="0019790A">
            <w:pPr>
              <w:rPr>
                <w:rFonts w:cs="Arial"/>
                <w:b/>
                <w:bCs/>
                <w:szCs w:val="22"/>
              </w:rPr>
            </w:pPr>
            <w:r w:rsidRPr="0019790A">
              <w:rPr>
                <w:rFonts w:cs="Arial"/>
                <w:szCs w:val="22"/>
                <w:lang w:eastAsia="it-IT"/>
              </w:rPr>
              <w:t>Прізвище Ім’я По-батькові:</w:t>
            </w:r>
          </w:p>
        </w:tc>
        <w:tc>
          <w:tcPr>
            <w:tcW w:w="6795" w:type="dxa"/>
            <w:gridSpan w:val="8"/>
          </w:tcPr>
          <w:p w14:paraId="377B10E7" w14:textId="77777777" w:rsidR="005342D5" w:rsidRPr="0019790A" w:rsidRDefault="005342D5" w:rsidP="0019790A">
            <w:pPr>
              <w:rPr>
                <w:rFonts w:cs="Arial"/>
                <w:szCs w:val="22"/>
                <w:lang w:eastAsia="it-IT"/>
              </w:rPr>
            </w:pPr>
            <w:r w:rsidRPr="0019790A">
              <w:rPr>
                <w:rFonts w:cs="Arial"/>
                <w:szCs w:val="22"/>
                <w:lang w:eastAsia="it-IT"/>
              </w:rPr>
              <w:t>Ковальська Олена Віталіївна</w:t>
            </w:r>
          </w:p>
        </w:tc>
      </w:tr>
      <w:tr w:rsidR="005342D5" w:rsidRPr="0019790A" w14:paraId="110F1389" w14:textId="77777777" w:rsidTr="009873B2">
        <w:trPr>
          <w:jc w:val="right"/>
        </w:trPr>
        <w:tc>
          <w:tcPr>
            <w:tcW w:w="3424" w:type="dxa"/>
          </w:tcPr>
          <w:p w14:paraId="5E06973D" w14:textId="77777777" w:rsidR="005342D5" w:rsidRPr="0019790A" w:rsidRDefault="005342D5" w:rsidP="0019790A">
            <w:pPr>
              <w:rPr>
                <w:rFonts w:cs="Arial"/>
                <w:b/>
                <w:bCs/>
                <w:szCs w:val="22"/>
              </w:rPr>
            </w:pPr>
            <w:r w:rsidRPr="0019790A">
              <w:rPr>
                <w:rFonts w:cs="Arial"/>
                <w:szCs w:val="22"/>
                <w:lang w:eastAsia="it-IT"/>
              </w:rPr>
              <w:t>Телефон (мобільний):</w:t>
            </w:r>
          </w:p>
        </w:tc>
        <w:tc>
          <w:tcPr>
            <w:tcW w:w="6795" w:type="dxa"/>
            <w:gridSpan w:val="8"/>
          </w:tcPr>
          <w:p w14:paraId="3DE4E417" w14:textId="77777777" w:rsidR="005342D5" w:rsidRPr="0019790A" w:rsidRDefault="005342D5" w:rsidP="0019790A">
            <w:pPr>
              <w:rPr>
                <w:rFonts w:cs="Arial"/>
                <w:szCs w:val="22"/>
                <w:lang w:eastAsia="it-IT"/>
              </w:rPr>
            </w:pPr>
            <w:r w:rsidRPr="0019790A">
              <w:rPr>
                <w:rFonts w:cs="Arial"/>
                <w:szCs w:val="22"/>
                <w:lang w:eastAsia="it-IT"/>
              </w:rPr>
              <w:t>096-068-94-79</w:t>
            </w:r>
          </w:p>
        </w:tc>
      </w:tr>
      <w:tr w:rsidR="005342D5" w:rsidRPr="0019790A" w14:paraId="3074FA4F" w14:textId="77777777" w:rsidTr="009873B2">
        <w:trPr>
          <w:jc w:val="right"/>
        </w:trPr>
        <w:tc>
          <w:tcPr>
            <w:tcW w:w="3424" w:type="dxa"/>
          </w:tcPr>
          <w:p w14:paraId="0A6D25B2" w14:textId="77777777" w:rsidR="005342D5" w:rsidRPr="0019790A" w:rsidRDefault="005342D5" w:rsidP="0019790A">
            <w:pPr>
              <w:rPr>
                <w:rFonts w:cs="Arial"/>
                <w:b/>
                <w:bCs/>
                <w:szCs w:val="22"/>
              </w:rPr>
            </w:pPr>
            <w:r w:rsidRPr="0019790A">
              <w:rPr>
                <w:rFonts w:cs="Arial"/>
                <w:szCs w:val="22"/>
                <w:lang w:eastAsia="it-IT"/>
              </w:rPr>
              <w:t>Електронна адреса:</w:t>
            </w:r>
          </w:p>
        </w:tc>
        <w:tc>
          <w:tcPr>
            <w:tcW w:w="6795" w:type="dxa"/>
            <w:gridSpan w:val="8"/>
          </w:tcPr>
          <w:p w14:paraId="184BD69D" w14:textId="77777777" w:rsidR="005342D5" w:rsidRPr="0019790A" w:rsidRDefault="00D85FFD" w:rsidP="0019790A">
            <w:pPr>
              <w:rPr>
                <w:rFonts w:cs="Arial"/>
                <w:szCs w:val="22"/>
                <w:lang w:eastAsia="it-IT"/>
              </w:rPr>
            </w:pPr>
            <w:hyperlink r:id="rId141" w:history="1">
              <w:r w:rsidR="005342D5" w:rsidRPr="0019790A">
                <w:rPr>
                  <w:rFonts w:cs="Arial"/>
                  <w:b/>
                  <w:bCs/>
                  <w:color w:val="0000FF"/>
                  <w:szCs w:val="22"/>
                  <w:u w:val="single"/>
                  <w:lang w:eastAsia="it-IT"/>
                </w:rPr>
                <w:t>ms@zhmr.gov.ua</w:t>
              </w:r>
            </w:hyperlink>
          </w:p>
        </w:tc>
      </w:tr>
      <w:tr w:rsidR="005342D5" w:rsidRPr="0019790A" w14:paraId="15C6801D" w14:textId="77777777" w:rsidTr="009873B2">
        <w:trPr>
          <w:jc w:val="right"/>
        </w:trPr>
        <w:tc>
          <w:tcPr>
            <w:tcW w:w="3424" w:type="dxa"/>
            <w:vAlign w:val="center"/>
          </w:tcPr>
          <w:p w14:paraId="12B38829" w14:textId="77777777" w:rsidR="005342D5" w:rsidRPr="0019790A" w:rsidRDefault="005342D5" w:rsidP="0019790A">
            <w:pPr>
              <w:outlineLvl w:val="5"/>
              <w:rPr>
                <w:rFonts w:cs="Arial"/>
                <w:b/>
                <w:bCs/>
                <w:color w:val="000000"/>
                <w:szCs w:val="22"/>
                <w:lang w:eastAsia="en-US"/>
              </w:rPr>
            </w:pPr>
            <w:r w:rsidRPr="0019790A">
              <w:rPr>
                <w:rFonts w:cs="Arial"/>
                <w:b/>
                <w:bCs/>
                <w:color w:val="000000"/>
                <w:szCs w:val="22"/>
                <w:lang w:eastAsia="en-US"/>
              </w:rPr>
              <w:t>Номер і назва завдання з Стратегії</w:t>
            </w:r>
            <w:r w:rsidRPr="0019790A">
              <w:rPr>
                <w:rFonts w:cs="Arial"/>
                <w:b/>
                <w:bCs/>
                <w:szCs w:val="22"/>
                <w:lang w:eastAsia="it-IT"/>
              </w:rPr>
              <w:t xml:space="preserve"> </w:t>
            </w:r>
            <w:r w:rsidRPr="0019790A">
              <w:rPr>
                <w:rFonts w:cs="Arial"/>
                <w:b/>
                <w:bCs/>
                <w:color w:val="000000"/>
                <w:szCs w:val="22"/>
                <w:lang w:eastAsia="en-US"/>
              </w:rPr>
              <w:t>розвитку Жмеринської міської територіальної громади,  якому відповідає проєкт:</w:t>
            </w:r>
          </w:p>
        </w:tc>
        <w:tc>
          <w:tcPr>
            <w:tcW w:w="6795" w:type="dxa"/>
            <w:gridSpan w:val="8"/>
          </w:tcPr>
          <w:p w14:paraId="78C41780" w14:textId="014F5095" w:rsidR="005342D5" w:rsidRPr="0019790A" w:rsidRDefault="005342D5" w:rsidP="009873B2">
            <w:pPr>
              <w:pBdr>
                <w:left w:val="single" w:sz="18" w:space="4" w:color="auto"/>
              </w:pBdr>
              <w:rPr>
                <w:rFonts w:cs="Arial"/>
                <w:szCs w:val="22"/>
                <w:lang w:eastAsia="it-IT"/>
              </w:rPr>
            </w:pPr>
            <w:r w:rsidRPr="0019790A">
              <w:rPr>
                <w:rFonts w:cs="Arial"/>
                <w:b/>
                <w:bCs/>
                <w:szCs w:val="22"/>
                <w:lang w:eastAsia="it-IT"/>
              </w:rPr>
              <w:t>С.3.4.2. Будівництво, реконструкція інфраструктури спорту з урахуванням гендерного аспекту</w:t>
            </w:r>
          </w:p>
        </w:tc>
      </w:tr>
      <w:tr w:rsidR="005342D5" w:rsidRPr="0019790A" w14:paraId="161CDC34" w14:textId="77777777" w:rsidTr="009873B2">
        <w:trPr>
          <w:jc w:val="right"/>
        </w:trPr>
        <w:tc>
          <w:tcPr>
            <w:tcW w:w="3424" w:type="dxa"/>
            <w:vAlign w:val="center"/>
          </w:tcPr>
          <w:p w14:paraId="7B2DA0B0" w14:textId="77777777" w:rsidR="005342D5" w:rsidRPr="0019790A" w:rsidRDefault="005342D5" w:rsidP="0019790A">
            <w:pPr>
              <w:rPr>
                <w:rFonts w:cs="Arial"/>
                <w:b/>
                <w:bCs/>
                <w:color w:val="000000"/>
                <w:szCs w:val="22"/>
              </w:rPr>
            </w:pPr>
            <w:r w:rsidRPr="0019790A">
              <w:rPr>
                <w:rFonts w:cs="Arial"/>
                <w:b/>
                <w:bCs/>
                <w:color w:val="000000"/>
                <w:szCs w:val="22"/>
              </w:rPr>
              <w:t>Мета проєкту:</w:t>
            </w:r>
          </w:p>
        </w:tc>
        <w:tc>
          <w:tcPr>
            <w:tcW w:w="6795" w:type="dxa"/>
            <w:gridSpan w:val="8"/>
          </w:tcPr>
          <w:p w14:paraId="207A7D12" w14:textId="77777777" w:rsidR="005342D5" w:rsidRPr="0019790A" w:rsidRDefault="005342D5" w:rsidP="0019790A">
            <w:pPr>
              <w:rPr>
                <w:rFonts w:cs="Arial"/>
                <w:szCs w:val="22"/>
                <w:lang w:eastAsia="it-IT"/>
              </w:rPr>
            </w:pPr>
            <w:r w:rsidRPr="0019790A">
              <w:rPr>
                <w:rFonts w:cs="Arial"/>
                <w:szCs w:val="22"/>
                <w:lang w:eastAsia="it-IT"/>
              </w:rPr>
              <w:t>Створення безпечного, енергоефективного та комфортного простору для занять з видів спорту шляхом проведення капітального ремонту спортивного залу із впровадженням заходів термомодернізації.</w:t>
            </w:r>
          </w:p>
        </w:tc>
      </w:tr>
      <w:tr w:rsidR="005342D5" w:rsidRPr="0019790A" w14:paraId="1B7AEB07" w14:textId="77777777" w:rsidTr="009873B2">
        <w:trPr>
          <w:jc w:val="right"/>
        </w:trPr>
        <w:tc>
          <w:tcPr>
            <w:tcW w:w="3424" w:type="dxa"/>
            <w:vAlign w:val="center"/>
          </w:tcPr>
          <w:p w14:paraId="6C38875C" w14:textId="77777777" w:rsidR="005342D5" w:rsidRPr="0019790A" w:rsidRDefault="005342D5" w:rsidP="0019790A">
            <w:pPr>
              <w:rPr>
                <w:rFonts w:cs="Arial"/>
                <w:b/>
                <w:bCs/>
                <w:color w:val="000000"/>
                <w:szCs w:val="22"/>
              </w:rPr>
            </w:pPr>
            <w:r w:rsidRPr="0019790A">
              <w:rPr>
                <w:rFonts w:cs="Arial"/>
                <w:b/>
                <w:bCs/>
                <w:color w:val="000000"/>
                <w:szCs w:val="22"/>
              </w:rPr>
              <w:t>Цілі проєкту:</w:t>
            </w:r>
          </w:p>
        </w:tc>
        <w:tc>
          <w:tcPr>
            <w:tcW w:w="6795" w:type="dxa"/>
            <w:gridSpan w:val="8"/>
          </w:tcPr>
          <w:p w14:paraId="4FADD7C5" w14:textId="77777777" w:rsidR="005342D5" w:rsidRPr="0019790A" w:rsidRDefault="005342D5" w:rsidP="0019790A">
            <w:pPr>
              <w:numPr>
                <w:ilvl w:val="0"/>
                <w:numId w:val="138"/>
              </w:numPr>
              <w:ind w:left="328" w:hanging="283"/>
              <w:jc w:val="both"/>
              <w:rPr>
                <w:rFonts w:cs="Arial"/>
                <w:szCs w:val="22"/>
                <w:lang w:eastAsia="it-IT"/>
              </w:rPr>
            </w:pPr>
            <w:r w:rsidRPr="0019790A">
              <w:rPr>
                <w:rFonts w:cs="Arial"/>
                <w:szCs w:val="22"/>
                <w:lang w:eastAsia="it-IT"/>
              </w:rPr>
              <w:t>Підвищити енергоефективність будівлі спортивного залу.</w:t>
            </w:r>
          </w:p>
          <w:p w14:paraId="5B3B8A70" w14:textId="77777777" w:rsidR="005342D5" w:rsidRPr="0019790A" w:rsidRDefault="005342D5" w:rsidP="0019790A">
            <w:pPr>
              <w:numPr>
                <w:ilvl w:val="0"/>
                <w:numId w:val="138"/>
              </w:numPr>
              <w:ind w:left="328" w:hanging="283"/>
              <w:jc w:val="both"/>
              <w:rPr>
                <w:rFonts w:cs="Arial"/>
                <w:szCs w:val="22"/>
                <w:lang w:eastAsia="it-IT"/>
              </w:rPr>
            </w:pPr>
            <w:r w:rsidRPr="0019790A">
              <w:rPr>
                <w:rFonts w:cs="Arial"/>
                <w:szCs w:val="22"/>
                <w:lang w:eastAsia="it-IT"/>
              </w:rPr>
              <w:t>Поліпшити умови для тренувального процесу та змагань.</w:t>
            </w:r>
          </w:p>
          <w:p w14:paraId="163ADDC8" w14:textId="77777777" w:rsidR="005342D5" w:rsidRPr="0019790A" w:rsidRDefault="005342D5" w:rsidP="0019790A">
            <w:pPr>
              <w:numPr>
                <w:ilvl w:val="0"/>
                <w:numId w:val="138"/>
              </w:numPr>
              <w:ind w:left="328" w:hanging="283"/>
              <w:jc w:val="both"/>
              <w:rPr>
                <w:rFonts w:cs="Arial"/>
                <w:szCs w:val="22"/>
                <w:lang w:eastAsia="it-IT"/>
              </w:rPr>
            </w:pPr>
            <w:r w:rsidRPr="0019790A">
              <w:rPr>
                <w:rFonts w:cs="Arial"/>
                <w:szCs w:val="22"/>
                <w:lang w:eastAsia="it-IT"/>
              </w:rPr>
              <w:t>Зменшити витрати на опалення та обслуговування будівлі.</w:t>
            </w:r>
          </w:p>
          <w:p w14:paraId="6B5AF521" w14:textId="77777777" w:rsidR="005342D5" w:rsidRPr="0019790A" w:rsidRDefault="005342D5" w:rsidP="0019790A">
            <w:pPr>
              <w:numPr>
                <w:ilvl w:val="0"/>
                <w:numId w:val="138"/>
              </w:numPr>
              <w:ind w:left="328" w:hanging="283"/>
              <w:jc w:val="both"/>
              <w:rPr>
                <w:rFonts w:cs="Arial"/>
                <w:szCs w:val="22"/>
                <w:lang w:eastAsia="it-IT"/>
              </w:rPr>
            </w:pPr>
            <w:r w:rsidRPr="0019790A">
              <w:rPr>
                <w:rFonts w:cs="Arial"/>
                <w:szCs w:val="22"/>
                <w:lang w:eastAsia="it-IT"/>
              </w:rPr>
              <w:t>Сприяти залученню молоді до спорту та здорового способу життя.</w:t>
            </w:r>
          </w:p>
        </w:tc>
      </w:tr>
      <w:tr w:rsidR="005342D5" w:rsidRPr="0019790A" w14:paraId="2003F13D" w14:textId="77777777" w:rsidTr="009873B2">
        <w:trPr>
          <w:jc w:val="right"/>
        </w:trPr>
        <w:tc>
          <w:tcPr>
            <w:tcW w:w="3424" w:type="dxa"/>
            <w:vAlign w:val="center"/>
          </w:tcPr>
          <w:p w14:paraId="55971EB8" w14:textId="77777777" w:rsidR="005342D5" w:rsidRPr="0019790A" w:rsidRDefault="005342D5" w:rsidP="0019790A">
            <w:pPr>
              <w:autoSpaceDE w:val="0"/>
              <w:autoSpaceDN w:val="0"/>
              <w:adjustRightInd w:val="0"/>
              <w:rPr>
                <w:rFonts w:cs="Arial"/>
                <w:b/>
                <w:color w:val="000000"/>
                <w:szCs w:val="22"/>
              </w:rPr>
            </w:pPr>
            <w:r w:rsidRPr="0019790A">
              <w:rPr>
                <w:rFonts w:cs="Arial"/>
                <w:b/>
                <w:color w:val="000000"/>
                <w:szCs w:val="22"/>
              </w:rPr>
              <w:t>Територія на яку проєкт матиме вплив:</w:t>
            </w:r>
          </w:p>
        </w:tc>
        <w:tc>
          <w:tcPr>
            <w:tcW w:w="6795" w:type="dxa"/>
            <w:gridSpan w:val="8"/>
          </w:tcPr>
          <w:p w14:paraId="21825502" w14:textId="77777777" w:rsidR="005342D5" w:rsidRPr="0019790A" w:rsidRDefault="005342D5" w:rsidP="0019790A">
            <w:pPr>
              <w:rPr>
                <w:rFonts w:cs="Arial"/>
                <w:szCs w:val="22"/>
                <w:lang w:eastAsia="it-IT"/>
              </w:rPr>
            </w:pPr>
            <w:r w:rsidRPr="0019790A">
              <w:rPr>
                <w:rFonts w:cs="Arial"/>
                <w:szCs w:val="22"/>
                <w:lang w:eastAsia="it-IT"/>
              </w:rPr>
              <w:t>Жмеринська міська територіальна громада</w:t>
            </w:r>
          </w:p>
        </w:tc>
      </w:tr>
      <w:tr w:rsidR="005342D5" w:rsidRPr="0019790A" w14:paraId="54CB6C7A" w14:textId="77777777" w:rsidTr="009873B2">
        <w:trPr>
          <w:jc w:val="right"/>
        </w:trPr>
        <w:tc>
          <w:tcPr>
            <w:tcW w:w="3424" w:type="dxa"/>
            <w:vAlign w:val="center"/>
          </w:tcPr>
          <w:p w14:paraId="524A7DE3" w14:textId="77777777" w:rsidR="005342D5" w:rsidRPr="0019790A" w:rsidRDefault="005342D5" w:rsidP="0019790A">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5" w:type="dxa"/>
            <w:gridSpan w:val="8"/>
          </w:tcPr>
          <w:p w14:paraId="0ECC474F" w14:textId="40F96B49" w:rsidR="005342D5" w:rsidRPr="0019790A" w:rsidRDefault="005342D5" w:rsidP="0019790A">
            <w:pPr>
              <w:jc w:val="both"/>
              <w:rPr>
                <w:rFonts w:cs="Arial"/>
                <w:szCs w:val="22"/>
                <w:lang w:eastAsia="it-IT"/>
              </w:rPr>
            </w:pPr>
            <w:r w:rsidRPr="0019790A">
              <w:rPr>
                <w:rFonts w:cs="Arial"/>
                <w:szCs w:val="22"/>
                <w:lang w:eastAsia="it-IT"/>
              </w:rPr>
              <w:t>Діти та підлітки (6–17 років)</w:t>
            </w:r>
            <w:r w:rsidRPr="0019790A">
              <w:rPr>
                <w:rFonts w:cs="Arial"/>
                <w:szCs w:val="22"/>
                <w:lang w:eastAsia="it-IT"/>
              </w:rPr>
              <w:tab/>
              <w:t xml:space="preserve">- </w:t>
            </w:r>
            <w:r w:rsidR="009873B2" w:rsidRPr="0019790A">
              <w:rPr>
                <w:rFonts w:cs="Arial"/>
                <w:szCs w:val="22"/>
                <w:lang w:eastAsia="it-IT"/>
              </w:rPr>
              <w:t>фізичний</w:t>
            </w:r>
            <w:r w:rsidRPr="0019790A">
              <w:rPr>
                <w:rFonts w:cs="Arial"/>
                <w:szCs w:val="22"/>
                <w:lang w:eastAsia="it-IT"/>
              </w:rPr>
              <w:t xml:space="preserve"> розвиток, ігри, секції, командна взаємодія.</w:t>
            </w:r>
          </w:p>
          <w:p w14:paraId="4DD84D02" w14:textId="77777777" w:rsidR="005342D5" w:rsidRPr="0019790A" w:rsidRDefault="005342D5" w:rsidP="0019790A">
            <w:pPr>
              <w:jc w:val="both"/>
              <w:rPr>
                <w:rFonts w:cs="Arial"/>
                <w:szCs w:val="22"/>
                <w:lang w:eastAsia="it-IT"/>
              </w:rPr>
            </w:pPr>
            <w:r w:rsidRPr="0019790A">
              <w:rPr>
                <w:rFonts w:cs="Arial"/>
                <w:szCs w:val="22"/>
                <w:lang w:eastAsia="it-IT"/>
              </w:rPr>
              <w:t>Молодь (18–25 років) - активний спосіб життя, аматорський спорт, турніри.</w:t>
            </w:r>
          </w:p>
          <w:p w14:paraId="7E0F1F1D" w14:textId="77777777" w:rsidR="005342D5" w:rsidRPr="0019790A" w:rsidRDefault="005342D5" w:rsidP="0019790A">
            <w:pPr>
              <w:jc w:val="both"/>
              <w:rPr>
                <w:rFonts w:cs="Arial"/>
                <w:szCs w:val="22"/>
                <w:lang w:eastAsia="it-IT"/>
              </w:rPr>
            </w:pPr>
            <w:r w:rsidRPr="0019790A">
              <w:rPr>
                <w:rFonts w:cs="Arial"/>
                <w:szCs w:val="22"/>
                <w:lang w:eastAsia="it-IT"/>
              </w:rPr>
              <w:t>Дорослі (25–60 років) - здоров’я, дозвілля, корпоративні змагання.</w:t>
            </w:r>
          </w:p>
          <w:p w14:paraId="25299020" w14:textId="77777777" w:rsidR="005342D5" w:rsidRPr="0019790A" w:rsidRDefault="005342D5" w:rsidP="0019790A">
            <w:pPr>
              <w:jc w:val="both"/>
              <w:rPr>
                <w:rFonts w:cs="Arial"/>
                <w:szCs w:val="22"/>
                <w:lang w:eastAsia="it-IT"/>
              </w:rPr>
            </w:pPr>
            <w:r w:rsidRPr="0019790A">
              <w:rPr>
                <w:rFonts w:cs="Arial"/>
                <w:szCs w:val="22"/>
                <w:lang w:eastAsia="it-IT"/>
              </w:rPr>
              <w:t>Літні люди (60+) - помірна фізична активність, спілкування.</w:t>
            </w:r>
          </w:p>
          <w:p w14:paraId="468AE761" w14:textId="77777777" w:rsidR="005342D5" w:rsidRPr="0019790A" w:rsidRDefault="005342D5" w:rsidP="0019790A">
            <w:pPr>
              <w:jc w:val="both"/>
              <w:rPr>
                <w:rFonts w:cs="Arial"/>
                <w:szCs w:val="22"/>
                <w:lang w:eastAsia="it-IT"/>
              </w:rPr>
            </w:pPr>
            <w:r w:rsidRPr="0019790A">
              <w:rPr>
                <w:rFonts w:cs="Arial"/>
                <w:szCs w:val="22"/>
                <w:lang w:eastAsia="it-IT"/>
              </w:rPr>
              <w:t>Люди з інвалідністю - безбар’єрний доступ, рівні умови для участі.</w:t>
            </w:r>
          </w:p>
          <w:p w14:paraId="59DB4037" w14:textId="77777777" w:rsidR="005342D5" w:rsidRPr="0019790A" w:rsidRDefault="005342D5" w:rsidP="0019790A">
            <w:pPr>
              <w:jc w:val="both"/>
              <w:rPr>
                <w:rFonts w:cs="Arial"/>
                <w:szCs w:val="22"/>
                <w:lang w:eastAsia="it-IT"/>
              </w:rPr>
            </w:pPr>
            <w:r w:rsidRPr="0019790A">
              <w:rPr>
                <w:rFonts w:cs="Arial"/>
                <w:szCs w:val="22"/>
                <w:lang w:eastAsia="it-IT"/>
              </w:rPr>
              <w:t>Тренери, педагоги, спортінструктори - професійне проведення занять.</w:t>
            </w:r>
          </w:p>
          <w:p w14:paraId="4B3B5EDD" w14:textId="77777777" w:rsidR="005342D5" w:rsidRPr="0019790A" w:rsidRDefault="005342D5" w:rsidP="0019790A">
            <w:pPr>
              <w:jc w:val="both"/>
              <w:rPr>
                <w:rFonts w:cs="Arial"/>
                <w:szCs w:val="22"/>
                <w:lang w:eastAsia="it-IT"/>
              </w:rPr>
            </w:pPr>
            <w:r w:rsidRPr="0019790A">
              <w:rPr>
                <w:rFonts w:cs="Arial"/>
                <w:szCs w:val="22"/>
                <w:lang w:eastAsia="it-IT"/>
              </w:rPr>
              <w:t>Громадські ініціативи, ОМС</w:t>
            </w:r>
            <w:r w:rsidRPr="0019790A">
              <w:rPr>
                <w:rFonts w:cs="Arial"/>
                <w:szCs w:val="22"/>
                <w:lang w:eastAsia="it-IT"/>
              </w:rPr>
              <w:tab/>
              <w:t>- проведення подій, згуртування громади.</w:t>
            </w:r>
          </w:p>
          <w:p w14:paraId="3FB318CE" w14:textId="77777777" w:rsidR="005342D5" w:rsidRPr="0019790A" w:rsidRDefault="005342D5" w:rsidP="0019790A">
            <w:pPr>
              <w:jc w:val="both"/>
              <w:rPr>
                <w:rFonts w:cs="Arial"/>
                <w:szCs w:val="22"/>
                <w:lang w:eastAsia="it-IT"/>
              </w:rPr>
            </w:pPr>
            <w:r w:rsidRPr="0019790A">
              <w:rPr>
                <w:rFonts w:cs="Arial"/>
                <w:b/>
                <w:szCs w:val="22"/>
                <w:lang w:eastAsia="it-IT"/>
              </w:rPr>
              <w:t>Кількість отримувачів вигоди</w:t>
            </w:r>
            <w:r w:rsidRPr="0019790A">
              <w:rPr>
                <w:rFonts w:cs="Arial"/>
                <w:szCs w:val="22"/>
                <w:lang w:eastAsia="it-IT"/>
              </w:rPr>
              <w:t xml:space="preserve"> </w:t>
            </w:r>
            <w:r w:rsidRPr="0019790A">
              <w:rPr>
                <w:rFonts w:cs="Arial"/>
                <w:b/>
                <w:szCs w:val="22"/>
                <w:lang w:eastAsia="it-IT"/>
              </w:rPr>
              <w:t>1500 осіб.</w:t>
            </w:r>
          </w:p>
        </w:tc>
      </w:tr>
      <w:tr w:rsidR="005342D5" w:rsidRPr="0019790A" w14:paraId="30130BA0" w14:textId="77777777" w:rsidTr="009873B2">
        <w:trPr>
          <w:jc w:val="right"/>
        </w:trPr>
        <w:tc>
          <w:tcPr>
            <w:tcW w:w="3424" w:type="dxa"/>
            <w:shd w:val="clear" w:color="auto" w:fill="FFFFFF"/>
            <w:vAlign w:val="center"/>
          </w:tcPr>
          <w:p w14:paraId="1B0D75C4" w14:textId="77777777" w:rsidR="005342D5" w:rsidRPr="0019790A" w:rsidRDefault="005342D5" w:rsidP="0019790A">
            <w:pPr>
              <w:rPr>
                <w:rFonts w:cs="Arial"/>
                <w:b/>
                <w:bCs/>
                <w:color w:val="000000"/>
                <w:szCs w:val="22"/>
              </w:rPr>
            </w:pPr>
            <w:r w:rsidRPr="0019790A">
              <w:rPr>
                <w:rFonts w:cs="Arial"/>
                <w:b/>
                <w:bCs/>
                <w:color w:val="000000"/>
                <w:szCs w:val="22"/>
              </w:rPr>
              <w:t>Стислий опис проєкту:</w:t>
            </w:r>
          </w:p>
        </w:tc>
        <w:tc>
          <w:tcPr>
            <w:tcW w:w="6795" w:type="dxa"/>
            <w:gridSpan w:val="8"/>
          </w:tcPr>
          <w:p w14:paraId="6E6B93D4" w14:textId="77777777" w:rsidR="005342D5" w:rsidRPr="0019790A" w:rsidRDefault="005342D5" w:rsidP="0019790A">
            <w:pPr>
              <w:ind w:left="45"/>
              <w:jc w:val="both"/>
              <w:rPr>
                <w:rFonts w:cs="Arial"/>
                <w:szCs w:val="22"/>
                <w:lang w:eastAsia="it-IT"/>
              </w:rPr>
            </w:pPr>
            <w:r w:rsidRPr="0019790A">
              <w:rPr>
                <w:rFonts w:cs="Arial"/>
                <w:szCs w:val="22"/>
                <w:lang w:eastAsia="it-IT"/>
              </w:rPr>
              <w:t>Проєкт передбачає проведення капітального ремонту спортивного залу «Олімп», що включає утеплення фасаду, заміну вікон і дверей, ремонт покрівлі, оновлення системи опалення та вентиляції. Також планується оновлення внутрішнього оздоблення залу з урахуванням потреб спортсменів. Проєкт відповідає сучасним нормам енергоефективності та безбар’єрності.</w:t>
            </w:r>
          </w:p>
        </w:tc>
      </w:tr>
      <w:tr w:rsidR="005342D5" w:rsidRPr="0019790A" w14:paraId="6F8E1849" w14:textId="77777777" w:rsidTr="009873B2">
        <w:trPr>
          <w:jc w:val="right"/>
        </w:trPr>
        <w:tc>
          <w:tcPr>
            <w:tcW w:w="3424" w:type="dxa"/>
            <w:shd w:val="clear" w:color="auto" w:fill="FFFFFF"/>
            <w:vAlign w:val="center"/>
          </w:tcPr>
          <w:p w14:paraId="65B1CA45" w14:textId="77777777" w:rsidR="005342D5" w:rsidRPr="0019790A" w:rsidRDefault="005342D5" w:rsidP="0019790A">
            <w:pPr>
              <w:rPr>
                <w:rFonts w:cs="Arial"/>
                <w:b/>
                <w:bCs/>
                <w:color w:val="000000"/>
                <w:szCs w:val="22"/>
              </w:rPr>
            </w:pPr>
            <w:r w:rsidRPr="0019790A">
              <w:rPr>
                <w:rFonts w:cs="Arial"/>
                <w:b/>
                <w:bCs/>
                <w:color w:val="000000"/>
                <w:szCs w:val="22"/>
              </w:rPr>
              <w:t>Основні заходи проєкту:</w:t>
            </w:r>
          </w:p>
        </w:tc>
        <w:tc>
          <w:tcPr>
            <w:tcW w:w="6795" w:type="dxa"/>
            <w:gridSpan w:val="8"/>
          </w:tcPr>
          <w:p w14:paraId="70A9AE67" w14:textId="77777777" w:rsidR="005342D5" w:rsidRPr="0019790A" w:rsidRDefault="005342D5" w:rsidP="0019790A">
            <w:pPr>
              <w:numPr>
                <w:ilvl w:val="0"/>
                <w:numId w:val="139"/>
              </w:numPr>
              <w:tabs>
                <w:tab w:val="left" w:pos="186"/>
              </w:tabs>
              <w:ind w:left="45" w:hanging="45"/>
              <w:rPr>
                <w:rFonts w:cs="Arial"/>
                <w:szCs w:val="22"/>
                <w:lang w:eastAsia="it-IT"/>
              </w:rPr>
            </w:pPr>
            <w:r w:rsidRPr="0019790A">
              <w:rPr>
                <w:rFonts w:cs="Arial"/>
                <w:szCs w:val="22"/>
                <w:lang w:eastAsia="it-IT"/>
              </w:rPr>
              <w:t>Енергоаудит будівлі (за потреби).</w:t>
            </w:r>
          </w:p>
          <w:p w14:paraId="3894907E" w14:textId="77777777" w:rsidR="005342D5" w:rsidRPr="0019790A" w:rsidRDefault="005342D5" w:rsidP="0019790A">
            <w:pPr>
              <w:numPr>
                <w:ilvl w:val="0"/>
                <w:numId w:val="139"/>
              </w:numPr>
              <w:tabs>
                <w:tab w:val="left" w:pos="186"/>
              </w:tabs>
              <w:ind w:left="45" w:hanging="45"/>
              <w:rPr>
                <w:rFonts w:cs="Arial"/>
                <w:szCs w:val="22"/>
                <w:lang w:eastAsia="it-IT"/>
              </w:rPr>
            </w:pPr>
            <w:r w:rsidRPr="0019790A">
              <w:rPr>
                <w:rFonts w:cs="Arial"/>
                <w:szCs w:val="22"/>
                <w:lang w:eastAsia="it-IT"/>
              </w:rPr>
              <w:t>Утеплення фасаду та даху.</w:t>
            </w:r>
          </w:p>
          <w:p w14:paraId="3677FAFB" w14:textId="77777777" w:rsidR="005342D5" w:rsidRPr="0019790A" w:rsidRDefault="005342D5" w:rsidP="0019790A">
            <w:pPr>
              <w:numPr>
                <w:ilvl w:val="0"/>
                <w:numId w:val="139"/>
              </w:numPr>
              <w:tabs>
                <w:tab w:val="left" w:pos="186"/>
              </w:tabs>
              <w:ind w:left="45" w:hanging="45"/>
              <w:rPr>
                <w:rFonts w:cs="Arial"/>
                <w:szCs w:val="22"/>
                <w:lang w:eastAsia="it-IT"/>
              </w:rPr>
            </w:pPr>
            <w:r w:rsidRPr="0019790A">
              <w:rPr>
                <w:rFonts w:cs="Arial"/>
                <w:szCs w:val="22"/>
                <w:lang w:eastAsia="it-IT"/>
              </w:rPr>
              <w:t>Заміна вікон та дверей на енергоефективні.</w:t>
            </w:r>
          </w:p>
          <w:p w14:paraId="33E4346B" w14:textId="77777777" w:rsidR="005342D5" w:rsidRPr="0019790A" w:rsidRDefault="005342D5" w:rsidP="0019790A">
            <w:pPr>
              <w:numPr>
                <w:ilvl w:val="0"/>
                <w:numId w:val="139"/>
              </w:numPr>
              <w:tabs>
                <w:tab w:val="left" w:pos="186"/>
              </w:tabs>
              <w:ind w:left="45" w:hanging="45"/>
              <w:rPr>
                <w:rFonts w:cs="Arial"/>
                <w:szCs w:val="22"/>
                <w:lang w:eastAsia="it-IT"/>
              </w:rPr>
            </w:pPr>
            <w:r w:rsidRPr="0019790A">
              <w:rPr>
                <w:rFonts w:cs="Arial"/>
                <w:szCs w:val="22"/>
                <w:lang w:eastAsia="it-IT"/>
              </w:rPr>
              <w:t>Модернізація систем опалення та вентиляції.</w:t>
            </w:r>
          </w:p>
          <w:p w14:paraId="54BBC06A" w14:textId="77777777" w:rsidR="005342D5" w:rsidRPr="0019790A" w:rsidRDefault="005342D5" w:rsidP="0019790A">
            <w:pPr>
              <w:numPr>
                <w:ilvl w:val="0"/>
                <w:numId w:val="139"/>
              </w:numPr>
              <w:tabs>
                <w:tab w:val="left" w:pos="186"/>
              </w:tabs>
              <w:ind w:left="45" w:hanging="45"/>
              <w:rPr>
                <w:rFonts w:cs="Arial"/>
                <w:szCs w:val="22"/>
                <w:lang w:eastAsia="it-IT"/>
              </w:rPr>
            </w:pPr>
            <w:r w:rsidRPr="0019790A">
              <w:rPr>
                <w:rFonts w:cs="Arial"/>
                <w:szCs w:val="22"/>
                <w:lang w:eastAsia="it-IT"/>
              </w:rPr>
              <w:t>Внутрішні ремонтні роботи (підлога, стіни, освітлення тощо).</w:t>
            </w:r>
          </w:p>
          <w:p w14:paraId="41D190A7" w14:textId="77777777" w:rsidR="005342D5" w:rsidRPr="0019790A" w:rsidRDefault="005342D5" w:rsidP="0019790A">
            <w:pPr>
              <w:numPr>
                <w:ilvl w:val="0"/>
                <w:numId w:val="139"/>
              </w:numPr>
              <w:tabs>
                <w:tab w:val="left" w:pos="186"/>
              </w:tabs>
              <w:ind w:left="45" w:hanging="45"/>
              <w:rPr>
                <w:rFonts w:cs="Arial"/>
                <w:szCs w:val="22"/>
                <w:lang w:eastAsia="it-IT"/>
              </w:rPr>
            </w:pPr>
            <w:r w:rsidRPr="0019790A">
              <w:rPr>
                <w:rFonts w:cs="Arial"/>
                <w:szCs w:val="22"/>
                <w:lang w:eastAsia="it-IT"/>
              </w:rPr>
              <w:t>Облаштування тренувальних зон згідно зі спортивними стандартами.</w:t>
            </w:r>
          </w:p>
          <w:p w14:paraId="1FA730F5" w14:textId="77777777" w:rsidR="005342D5" w:rsidRPr="0019790A" w:rsidRDefault="005342D5" w:rsidP="0019790A">
            <w:pPr>
              <w:numPr>
                <w:ilvl w:val="0"/>
                <w:numId w:val="139"/>
              </w:numPr>
              <w:tabs>
                <w:tab w:val="left" w:pos="186"/>
              </w:tabs>
              <w:ind w:left="45" w:hanging="45"/>
              <w:rPr>
                <w:rFonts w:cs="Arial"/>
                <w:szCs w:val="22"/>
                <w:lang w:eastAsia="it-IT"/>
              </w:rPr>
            </w:pPr>
            <w:r w:rsidRPr="0019790A">
              <w:rPr>
                <w:rFonts w:cs="Arial"/>
                <w:szCs w:val="22"/>
                <w:lang w:eastAsia="it-IT"/>
              </w:rPr>
              <w:t>Закупівля необхідного спортивного обладнання (за потреби).</w:t>
            </w:r>
          </w:p>
          <w:p w14:paraId="6C0DFC1F" w14:textId="77777777" w:rsidR="005342D5" w:rsidRPr="0019790A" w:rsidRDefault="005342D5" w:rsidP="0019790A">
            <w:pPr>
              <w:numPr>
                <w:ilvl w:val="0"/>
                <w:numId w:val="139"/>
              </w:numPr>
              <w:tabs>
                <w:tab w:val="left" w:pos="186"/>
              </w:tabs>
              <w:ind w:left="45" w:hanging="45"/>
              <w:rPr>
                <w:rFonts w:cs="Arial"/>
                <w:szCs w:val="22"/>
                <w:lang w:eastAsia="it-IT"/>
              </w:rPr>
            </w:pPr>
            <w:r w:rsidRPr="0019790A">
              <w:rPr>
                <w:rFonts w:cs="Arial"/>
                <w:szCs w:val="22"/>
                <w:lang w:eastAsia="it-IT"/>
              </w:rPr>
              <w:t>Технічний нагляд та приймання виконаних робіт.</w:t>
            </w:r>
          </w:p>
        </w:tc>
      </w:tr>
      <w:tr w:rsidR="005342D5" w:rsidRPr="0019790A" w14:paraId="6384733E" w14:textId="77777777" w:rsidTr="009873B2">
        <w:trPr>
          <w:jc w:val="right"/>
        </w:trPr>
        <w:tc>
          <w:tcPr>
            <w:tcW w:w="3424" w:type="dxa"/>
            <w:shd w:val="clear" w:color="auto" w:fill="FFFFFF"/>
            <w:vAlign w:val="center"/>
          </w:tcPr>
          <w:p w14:paraId="39469F6E" w14:textId="77777777" w:rsidR="005342D5" w:rsidRPr="0019790A" w:rsidRDefault="005342D5"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795" w:type="dxa"/>
            <w:gridSpan w:val="8"/>
          </w:tcPr>
          <w:p w14:paraId="655F22FD" w14:textId="77777777" w:rsidR="005342D5" w:rsidRPr="0019790A" w:rsidRDefault="005342D5" w:rsidP="0019790A">
            <w:pPr>
              <w:numPr>
                <w:ilvl w:val="0"/>
                <w:numId w:val="140"/>
              </w:numPr>
              <w:ind w:left="186" w:hanging="186"/>
              <w:rPr>
                <w:rFonts w:cs="Arial"/>
                <w:szCs w:val="22"/>
                <w:lang w:eastAsia="it-IT"/>
              </w:rPr>
            </w:pPr>
            <w:r w:rsidRPr="0019790A">
              <w:rPr>
                <w:rFonts w:cs="Arial"/>
                <w:szCs w:val="22"/>
                <w:lang w:eastAsia="it-IT"/>
              </w:rPr>
              <w:t>Зниження витрат на енергоносії не менше ніж на 30%.</w:t>
            </w:r>
          </w:p>
          <w:p w14:paraId="0DCE308F" w14:textId="77777777" w:rsidR="005342D5" w:rsidRPr="0019790A" w:rsidRDefault="005342D5" w:rsidP="0019790A">
            <w:pPr>
              <w:numPr>
                <w:ilvl w:val="0"/>
                <w:numId w:val="140"/>
              </w:numPr>
              <w:ind w:left="186" w:hanging="186"/>
              <w:rPr>
                <w:rFonts w:cs="Arial"/>
                <w:szCs w:val="22"/>
                <w:lang w:eastAsia="it-IT"/>
              </w:rPr>
            </w:pPr>
            <w:r w:rsidRPr="0019790A">
              <w:rPr>
                <w:rFonts w:cs="Arial"/>
                <w:szCs w:val="22"/>
                <w:lang w:eastAsia="it-IT"/>
              </w:rPr>
              <w:t>Підвищення температурного комфорту у залі до нормативного рівня.</w:t>
            </w:r>
          </w:p>
          <w:p w14:paraId="3A299FF6" w14:textId="77777777" w:rsidR="005342D5" w:rsidRPr="0019790A" w:rsidRDefault="005342D5" w:rsidP="0019790A">
            <w:pPr>
              <w:numPr>
                <w:ilvl w:val="0"/>
                <w:numId w:val="140"/>
              </w:numPr>
              <w:ind w:left="186" w:hanging="186"/>
              <w:rPr>
                <w:rFonts w:cs="Arial"/>
                <w:szCs w:val="22"/>
                <w:lang w:eastAsia="it-IT"/>
              </w:rPr>
            </w:pPr>
            <w:r w:rsidRPr="0019790A">
              <w:rPr>
                <w:rFonts w:cs="Arial"/>
                <w:szCs w:val="22"/>
                <w:lang w:eastAsia="it-IT"/>
              </w:rPr>
              <w:t>Кількість осіб, які користуються оновленим залом — не менше 150 на місяць.</w:t>
            </w:r>
          </w:p>
          <w:p w14:paraId="69EA7B2E" w14:textId="77777777" w:rsidR="005342D5" w:rsidRPr="0019790A" w:rsidRDefault="005342D5" w:rsidP="0019790A">
            <w:pPr>
              <w:numPr>
                <w:ilvl w:val="0"/>
                <w:numId w:val="140"/>
              </w:numPr>
              <w:ind w:left="186" w:hanging="186"/>
              <w:rPr>
                <w:rFonts w:cs="Arial"/>
                <w:szCs w:val="22"/>
                <w:lang w:eastAsia="it-IT"/>
              </w:rPr>
            </w:pPr>
            <w:r w:rsidRPr="0019790A">
              <w:rPr>
                <w:rFonts w:cs="Arial"/>
                <w:szCs w:val="22"/>
                <w:lang w:eastAsia="it-IT"/>
              </w:rPr>
              <w:t>Позитивні відгуки користувачів після ремонту (не менше 80% задоволеності).</w:t>
            </w:r>
          </w:p>
        </w:tc>
      </w:tr>
      <w:tr w:rsidR="005342D5" w:rsidRPr="0019790A" w14:paraId="1F3856D7" w14:textId="77777777" w:rsidTr="009873B2">
        <w:trPr>
          <w:jc w:val="right"/>
        </w:trPr>
        <w:tc>
          <w:tcPr>
            <w:tcW w:w="3424" w:type="dxa"/>
            <w:shd w:val="clear" w:color="auto" w:fill="FFFFFF"/>
            <w:vAlign w:val="center"/>
          </w:tcPr>
          <w:p w14:paraId="6B460210" w14:textId="77777777" w:rsidR="005342D5" w:rsidRPr="0019790A" w:rsidRDefault="005342D5" w:rsidP="0019790A">
            <w:pPr>
              <w:rPr>
                <w:rFonts w:cs="Arial"/>
                <w:b/>
                <w:color w:val="000000"/>
                <w:szCs w:val="22"/>
              </w:rPr>
            </w:pPr>
            <w:r w:rsidRPr="0019790A">
              <w:rPr>
                <w:rFonts w:cs="Arial"/>
                <w:b/>
                <w:color w:val="000000"/>
                <w:szCs w:val="22"/>
              </w:rPr>
              <w:t xml:space="preserve">Період здійснення: </w:t>
            </w:r>
          </w:p>
        </w:tc>
        <w:tc>
          <w:tcPr>
            <w:tcW w:w="6795" w:type="dxa"/>
            <w:gridSpan w:val="8"/>
            <w:vAlign w:val="center"/>
          </w:tcPr>
          <w:p w14:paraId="77CA1945" w14:textId="77777777" w:rsidR="005342D5" w:rsidRPr="0019790A" w:rsidRDefault="005342D5" w:rsidP="0019790A">
            <w:pPr>
              <w:rPr>
                <w:rFonts w:cs="Arial"/>
                <w:color w:val="000000"/>
                <w:szCs w:val="22"/>
                <w:lang w:eastAsia="it-IT"/>
              </w:rPr>
            </w:pPr>
            <w:r w:rsidRPr="0019790A">
              <w:rPr>
                <w:rFonts w:cs="Arial"/>
                <w:b/>
                <w:color w:val="000000"/>
                <w:szCs w:val="22"/>
              </w:rPr>
              <w:t>2025 – 2028 роки:</w:t>
            </w:r>
          </w:p>
        </w:tc>
      </w:tr>
      <w:tr w:rsidR="005342D5" w:rsidRPr="0019790A" w14:paraId="25583A7E" w14:textId="77777777" w:rsidTr="009873B2">
        <w:trPr>
          <w:jc w:val="right"/>
        </w:trPr>
        <w:tc>
          <w:tcPr>
            <w:tcW w:w="3424" w:type="dxa"/>
            <w:vMerge w:val="restart"/>
            <w:shd w:val="clear" w:color="auto" w:fill="FFFFFF"/>
            <w:vAlign w:val="center"/>
          </w:tcPr>
          <w:p w14:paraId="4F6849CD" w14:textId="77777777" w:rsidR="005342D5" w:rsidRPr="0019790A" w:rsidRDefault="005342D5" w:rsidP="0019790A">
            <w:pPr>
              <w:rPr>
                <w:rFonts w:cs="Arial"/>
                <w:b/>
                <w:bCs/>
                <w:color w:val="000000"/>
                <w:szCs w:val="22"/>
              </w:rPr>
            </w:pPr>
            <w:r w:rsidRPr="0019790A">
              <w:rPr>
                <w:rFonts w:cs="Arial"/>
                <w:b/>
                <w:bCs/>
                <w:color w:val="000000"/>
                <w:szCs w:val="22"/>
              </w:rPr>
              <w:t>Орієнтовна вартість проєкту, тис. грн., в тому числі:</w:t>
            </w:r>
          </w:p>
        </w:tc>
        <w:tc>
          <w:tcPr>
            <w:tcW w:w="1254" w:type="dxa"/>
            <w:shd w:val="clear" w:color="auto" w:fill="E6E6E6"/>
            <w:vAlign w:val="center"/>
          </w:tcPr>
          <w:p w14:paraId="6EE41330"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2025</w:t>
            </w:r>
          </w:p>
        </w:tc>
        <w:tc>
          <w:tcPr>
            <w:tcW w:w="1276" w:type="dxa"/>
            <w:gridSpan w:val="2"/>
            <w:shd w:val="clear" w:color="auto" w:fill="E6E6E6"/>
            <w:vAlign w:val="center"/>
          </w:tcPr>
          <w:p w14:paraId="3EC110D9"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2026</w:t>
            </w:r>
          </w:p>
        </w:tc>
        <w:tc>
          <w:tcPr>
            <w:tcW w:w="1418" w:type="dxa"/>
            <w:tcBorders>
              <w:bottom w:val="single" w:sz="4" w:space="0" w:color="auto"/>
            </w:tcBorders>
            <w:shd w:val="clear" w:color="auto" w:fill="E6E6E6"/>
            <w:vAlign w:val="center"/>
          </w:tcPr>
          <w:p w14:paraId="0FB02AC7"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2027</w:t>
            </w:r>
          </w:p>
        </w:tc>
        <w:tc>
          <w:tcPr>
            <w:tcW w:w="1276" w:type="dxa"/>
            <w:gridSpan w:val="2"/>
            <w:shd w:val="clear" w:color="auto" w:fill="E6E6E6"/>
            <w:vAlign w:val="center"/>
          </w:tcPr>
          <w:p w14:paraId="7465D4E1"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2028</w:t>
            </w:r>
          </w:p>
        </w:tc>
        <w:tc>
          <w:tcPr>
            <w:tcW w:w="1571" w:type="dxa"/>
            <w:gridSpan w:val="2"/>
            <w:shd w:val="clear" w:color="auto" w:fill="E6E6E6"/>
            <w:vAlign w:val="center"/>
          </w:tcPr>
          <w:p w14:paraId="01A4AB9C"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РАЗОМ</w:t>
            </w:r>
          </w:p>
        </w:tc>
      </w:tr>
      <w:tr w:rsidR="005342D5" w:rsidRPr="0019790A" w14:paraId="7396D5CF" w14:textId="77777777" w:rsidTr="009873B2">
        <w:trPr>
          <w:jc w:val="right"/>
        </w:trPr>
        <w:tc>
          <w:tcPr>
            <w:tcW w:w="3424" w:type="dxa"/>
            <w:vMerge/>
            <w:shd w:val="clear" w:color="auto" w:fill="FFFFFF"/>
            <w:vAlign w:val="center"/>
          </w:tcPr>
          <w:p w14:paraId="44C8BDCE" w14:textId="77777777" w:rsidR="005342D5" w:rsidRPr="0019790A" w:rsidRDefault="005342D5" w:rsidP="0019790A">
            <w:pPr>
              <w:rPr>
                <w:rFonts w:cs="Arial"/>
                <w:b/>
                <w:bCs/>
                <w:color w:val="000000"/>
                <w:szCs w:val="22"/>
              </w:rPr>
            </w:pPr>
          </w:p>
        </w:tc>
        <w:tc>
          <w:tcPr>
            <w:tcW w:w="1254" w:type="dxa"/>
            <w:vAlign w:val="center"/>
          </w:tcPr>
          <w:p w14:paraId="6426587F" w14:textId="77777777" w:rsidR="005342D5" w:rsidRPr="0019790A" w:rsidRDefault="005342D5" w:rsidP="0019790A">
            <w:pPr>
              <w:jc w:val="center"/>
              <w:rPr>
                <w:rFonts w:cs="Arial"/>
                <w:b/>
                <w:color w:val="000000"/>
                <w:szCs w:val="22"/>
                <w:lang w:eastAsia="it-IT"/>
              </w:rPr>
            </w:pPr>
          </w:p>
        </w:tc>
        <w:tc>
          <w:tcPr>
            <w:tcW w:w="1276" w:type="dxa"/>
            <w:gridSpan w:val="2"/>
            <w:shd w:val="clear" w:color="auto" w:fill="FFFFFF"/>
            <w:vAlign w:val="center"/>
          </w:tcPr>
          <w:p w14:paraId="2E1DDB67"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15000,0</w:t>
            </w:r>
          </w:p>
        </w:tc>
        <w:tc>
          <w:tcPr>
            <w:tcW w:w="1418" w:type="dxa"/>
            <w:shd w:val="clear" w:color="auto" w:fill="auto"/>
            <w:vAlign w:val="center"/>
          </w:tcPr>
          <w:p w14:paraId="4A76BB09"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15000,0</w:t>
            </w:r>
          </w:p>
        </w:tc>
        <w:tc>
          <w:tcPr>
            <w:tcW w:w="1276" w:type="dxa"/>
            <w:gridSpan w:val="2"/>
            <w:shd w:val="clear" w:color="auto" w:fill="FFFFFF"/>
            <w:vAlign w:val="center"/>
          </w:tcPr>
          <w:p w14:paraId="47F22016" w14:textId="77777777" w:rsidR="005342D5" w:rsidRPr="0019790A" w:rsidRDefault="005342D5" w:rsidP="0019790A">
            <w:pPr>
              <w:jc w:val="center"/>
              <w:rPr>
                <w:rFonts w:cs="Arial"/>
                <w:b/>
                <w:color w:val="000000"/>
                <w:szCs w:val="22"/>
                <w:lang w:eastAsia="it-IT"/>
              </w:rPr>
            </w:pPr>
          </w:p>
        </w:tc>
        <w:tc>
          <w:tcPr>
            <w:tcW w:w="1571" w:type="dxa"/>
            <w:gridSpan w:val="2"/>
            <w:shd w:val="clear" w:color="auto" w:fill="FFFFFF"/>
            <w:vAlign w:val="center"/>
          </w:tcPr>
          <w:p w14:paraId="2EC5C156"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30000,0</w:t>
            </w:r>
          </w:p>
        </w:tc>
      </w:tr>
      <w:tr w:rsidR="005342D5" w:rsidRPr="0019790A" w14:paraId="71D3EA65" w14:textId="77777777" w:rsidTr="009873B2">
        <w:trPr>
          <w:trHeight w:val="276"/>
          <w:jc w:val="right"/>
        </w:trPr>
        <w:tc>
          <w:tcPr>
            <w:tcW w:w="3424" w:type="dxa"/>
            <w:shd w:val="clear" w:color="auto" w:fill="FFFFFF"/>
            <w:vAlign w:val="center"/>
          </w:tcPr>
          <w:p w14:paraId="7C9550AB" w14:textId="77777777" w:rsidR="005342D5" w:rsidRPr="0019790A" w:rsidRDefault="005342D5" w:rsidP="0019790A">
            <w:pPr>
              <w:rPr>
                <w:rFonts w:cs="Arial"/>
                <w:b/>
                <w:bCs/>
                <w:color w:val="000000"/>
                <w:szCs w:val="22"/>
              </w:rPr>
            </w:pPr>
            <w:r w:rsidRPr="0019790A">
              <w:rPr>
                <w:rFonts w:cs="Arial"/>
                <w:b/>
                <w:bCs/>
                <w:color w:val="000000"/>
                <w:szCs w:val="22"/>
              </w:rPr>
              <w:t>по джерелах фінансування:</w:t>
            </w:r>
          </w:p>
        </w:tc>
        <w:tc>
          <w:tcPr>
            <w:tcW w:w="6795" w:type="dxa"/>
            <w:gridSpan w:val="8"/>
            <w:vAlign w:val="center"/>
          </w:tcPr>
          <w:p w14:paraId="0744B4AC" w14:textId="77777777" w:rsidR="005342D5" w:rsidRPr="0019790A" w:rsidRDefault="005342D5" w:rsidP="0019790A">
            <w:pPr>
              <w:jc w:val="both"/>
              <w:rPr>
                <w:rFonts w:cs="Arial"/>
                <w:color w:val="000000"/>
                <w:szCs w:val="22"/>
                <w:lang w:eastAsia="it-IT"/>
              </w:rPr>
            </w:pPr>
          </w:p>
        </w:tc>
      </w:tr>
      <w:tr w:rsidR="009873B2" w:rsidRPr="0019790A" w14:paraId="31F6C311" w14:textId="746D9C88" w:rsidTr="009873B2">
        <w:trPr>
          <w:trHeight w:val="240"/>
          <w:jc w:val="right"/>
        </w:trPr>
        <w:tc>
          <w:tcPr>
            <w:tcW w:w="3424" w:type="dxa"/>
            <w:shd w:val="clear" w:color="auto" w:fill="FFFFFF"/>
            <w:vAlign w:val="center"/>
          </w:tcPr>
          <w:p w14:paraId="69D42292" w14:textId="77777777" w:rsidR="009873B2" w:rsidRPr="0019790A" w:rsidRDefault="009873B2" w:rsidP="0019790A">
            <w:pPr>
              <w:rPr>
                <w:rFonts w:cs="Arial"/>
                <w:b/>
                <w:bCs/>
                <w:color w:val="000000"/>
                <w:szCs w:val="22"/>
              </w:rPr>
            </w:pPr>
            <w:r w:rsidRPr="0019790A">
              <w:rPr>
                <w:rFonts w:cs="Arial"/>
                <w:color w:val="000000"/>
                <w:szCs w:val="22"/>
              </w:rPr>
              <w:t>- державний бюджет</w:t>
            </w:r>
          </w:p>
        </w:tc>
        <w:tc>
          <w:tcPr>
            <w:tcW w:w="1265" w:type="dxa"/>
            <w:gridSpan w:val="2"/>
            <w:vAlign w:val="center"/>
          </w:tcPr>
          <w:p w14:paraId="0A3F1AE0" w14:textId="77777777" w:rsidR="009873B2" w:rsidRPr="0019790A" w:rsidRDefault="009873B2" w:rsidP="0019790A">
            <w:pPr>
              <w:jc w:val="both"/>
              <w:rPr>
                <w:rFonts w:cs="Arial"/>
                <w:color w:val="000000"/>
                <w:szCs w:val="22"/>
                <w:lang w:eastAsia="it-IT"/>
              </w:rPr>
            </w:pPr>
          </w:p>
        </w:tc>
        <w:tc>
          <w:tcPr>
            <w:tcW w:w="1265" w:type="dxa"/>
            <w:vAlign w:val="center"/>
          </w:tcPr>
          <w:p w14:paraId="06FD0D69" w14:textId="77777777" w:rsidR="009873B2" w:rsidRPr="0019790A" w:rsidRDefault="009873B2" w:rsidP="0019790A">
            <w:pPr>
              <w:jc w:val="both"/>
              <w:rPr>
                <w:rFonts w:cs="Arial"/>
                <w:color w:val="000000"/>
                <w:szCs w:val="22"/>
                <w:lang w:eastAsia="it-IT"/>
              </w:rPr>
            </w:pPr>
          </w:p>
        </w:tc>
        <w:tc>
          <w:tcPr>
            <w:tcW w:w="4265" w:type="dxa"/>
            <w:gridSpan w:val="5"/>
            <w:vAlign w:val="center"/>
          </w:tcPr>
          <w:p w14:paraId="2C1AF0B0" w14:textId="77777777" w:rsidR="009873B2" w:rsidRPr="0019790A" w:rsidRDefault="009873B2" w:rsidP="0019790A">
            <w:pPr>
              <w:jc w:val="both"/>
              <w:rPr>
                <w:rFonts w:cs="Arial"/>
                <w:color w:val="000000"/>
                <w:szCs w:val="22"/>
                <w:lang w:eastAsia="it-IT"/>
              </w:rPr>
            </w:pPr>
          </w:p>
        </w:tc>
      </w:tr>
      <w:tr w:rsidR="009873B2" w:rsidRPr="0019790A" w14:paraId="161E2EE9" w14:textId="5BBB276D" w:rsidTr="009873B2">
        <w:trPr>
          <w:trHeight w:val="112"/>
          <w:jc w:val="right"/>
        </w:trPr>
        <w:tc>
          <w:tcPr>
            <w:tcW w:w="3424" w:type="dxa"/>
            <w:shd w:val="clear" w:color="auto" w:fill="FFFFFF"/>
            <w:vAlign w:val="center"/>
          </w:tcPr>
          <w:p w14:paraId="62A625C9" w14:textId="77777777" w:rsidR="009873B2" w:rsidRPr="0019790A" w:rsidRDefault="009873B2" w:rsidP="0019790A">
            <w:pPr>
              <w:rPr>
                <w:rFonts w:cs="Arial"/>
                <w:color w:val="000000"/>
                <w:szCs w:val="22"/>
              </w:rPr>
            </w:pPr>
            <w:r w:rsidRPr="0019790A">
              <w:rPr>
                <w:rFonts w:cs="Arial"/>
                <w:color w:val="000000"/>
                <w:szCs w:val="22"/>
              </w:rPr>
              <w:t>- обласний бюджет</w:t>
            </w:r>
          </w:p>
        </w:tc>
        <w:tc>
          <w:tcPr>
            <w:tcW w:w="1265" w:type="dxa"/>
            <w:gridSpan w:val="2"/>
            <w:vAlign w:val="center"/>
          </w:tcPr>
          <w:p w14:paraId="1B047C38" w14:textId="01B5B625" w:rsidR="009873B2" w:rsidRPr="0019790A" w:rsidRDefault="009873B2" w:rsidP="009873B2">
            <w:pPr>
              <w:jc w:val="center"/>
              <w:rPr>
                <w:rFonts w:cs="Arial"/>
                <w:color w:val="000000"/>
                <w:szCs w:val="22"/>
                <w:lang w:eastAsia="it-IT"/>
              </w:rPr>
            </w:pPr>
          </w:p>
        </w:tc>
        <w:tc>
          <w:tcPr>
            <w:tcW w:w="1265" w:type="dxa"/>
            <w:vAlign w:val="center"/>
          </w:tcPr>
          <w:p w14:paraId="68D20C2C" w14:textId="2FFFDF89" w:rsidR="009873B2" w:rsidRPr="0019790A" w:rsidRDefault="009873B2" w:rsidP="009873B2">
            <w:pPr>
              <w:ind w:left="62"/>
              <w:jc w:val="center"/>
              <w:rPr>
                <w:rFonts w:cs="Arial"/>
                <w:color w:val="000000"/>
                <w:szCs w:val="22"/>
                <w:lang w:eastAsia="it-IT"/>
              </w:rPr>
            </w:pPr>
            <w:r w:rsidRPr="0019790A">
              <w:rPr>
                <w:rFonts w:cs="Arial"/>
                <w:color w:val="000000"/>
                <w:szCs w:val="22"/>
                <w:lang w:eastAsia="it-IT"/>
              </w:rPr>
              <w:t>11250,0</w:t>
            </w:r>
          </w:p>
        </w:tc>
        <w:tc>
          <w:tcPr>
            <w:tcW w:w="1503" w:type="dxa"/>
            <w:gridSpan w:val="2"/>
            <w:vAlign w:val="center"/>
          </w:tcPr>
          <w:p w14:paraId="5B5687F9" w14:textId="31A08489" w:rsidR="009873B2" w:rsidRPr="0019790A" w:rsidRDefault="009873B2" w:rsidP="009873B2">
            <w:pPr>
              <w:ind w:left="62"/>
              <w:jc w:val="center"/>
              <w:rPr>
                <w:rFonts w:cs="Arial"/>
                <w:color w:val="000000"/>
                <w:szCs w:val="22"/>
                <w:lang w:eastAsia="it-IT"/>
              </w:rPr>
            </w:pPr>
            <w:r w:rsidRPr="0019790A">
              <w:rPr>
                <w:rFonts w:cs="Arial"/>
                <w:color w:val="000000"/>
                <w:szCs w:val="22"/>
                <w:lang w:eastAsia="it-IT"/>
              </w:rPr>
              <w:t>11250,0</w:t>
            </w:r>
          </w:p>
        </w:tc>
        <w:tc>
          <w:tcPr>
            <w:tcW w:w="1265" w:type="dxa"/>
            <w:gridSpan w:val="2"/>
            <w:vAlign w:val="center"/>
          </w:tcPr>
          <w:p w14:paraId="4A77651C" w14:textId="013EE223" w:rsidR="009873B2" w:rsidRPr="0019790A" w:rsidRDefault="009873B2" w:rsidP="009873B2">
            <w:pPr>
              <w:ind w:left="62"/>
              <w:jc w:val="center"/>
              <w:rPr>
                <w:rFonts w:cs="Arial"/>
                <w:color w:val="000000"/>
                <w:szCs w:val="22"/>
                <w:lang w:eastAsia="it-IT"/>
              </w:rPr>
            </w:pPr>
          </w:p>
        </w:tc>
        <w:tc>
          <w:tcPr>
            <w:tcW w:w="1497" w:type="dxa"/>
            <w:vAlign w:val="center"/>
          </w:tcPr>
          <w:p w14:paraId="35E46C7F" w14:textId="48F69CFC" w:rsidR="009873B2" w:rsidRPr="009873B2" w:rsidRDefault="009873B2" w:rsidP="009873B2">
            <w:pPr>
              <w:ind w:left="62"/>
              <w:jc w:val="center"/>
              <w:rPr>
                <w:rFonts w:cs="Arial"/>
                <w:b/>
                <w:color w:val="000000"/>
                <w:szCs w:val="22"/>
                <w:lang w:eastAsia="it-IT"/>
              </w:rPr>
            </w:pPr>
            <w:r w:rsidRPr="009873B2">
              <w:rPr>
                <w:rFonts w:cs="Arial"/>
                <w:b/>
                <w:color w:val="000000"/>
                <w:szCs w:val="22"/>
                <w:lang w:eastAsia="it-IT"/>
              </w:rPr>
              <w:t>22500,0</w:t>
            </w:r>
          </w:p>
        </w:tc>
      </w:tr>
      <w:tr w:rsidR="009873B2" w:rsidRPr="0019790A" w14:paraId="16F45CB7" w14:textId="71FF492F" w:rsidTr="009873B2">
        <w:trPr>
          <w:trHeight w:val="275"/>
          <w:jc w:val="right"/>
        </w:trPr>
        <w:tc>
          <w:tcPr>
            <w:tcW w:w="3424" w:type="dxa"/>
            <w:shd w:val="clear" w:color="auto" w:fill="FFFFFF"/>
            <w:vAlign w:val="center"/>
          </w:tcPr>
          <w:p w14:paraId="1EFA6DD3" w14:textId="77777777" w:rsidR="009873B2" w:rsidRPr="0019790A" w:rsidRDefault="009873B2" w:rsidP="0019790A">
            <w:pPr>
              <w:rPr>
                <w:rFonts w:cs="Arial"/>
                <w:color w:val="000000"/>
                <w:szCs w:val="22"/>
              </w:rPr>
            </w:pPr>
            <w:r w:rsidRPr="0019790A">
              <w:rPr>
                <w:rFonts w:cs="Arial"/>
                <w:color w:val="000000"/>
                <w:szCs w:val="22"/>
              </w:rPr>
              <w:t>- бюджет Жмеринської МТГ</w:t>
            </w:r>
          </w:p>
        </w:tc>
        <w:tc>
          <w:tcPr>
            <w:tcW w:w="1265" w:type="dxa"/>
            <w:gridSpan w:val="2"/>
            <w:vAlign w:val="center"/>
          </w:tcPr>
          <w:p w14:paraId="0853EE94" w14:textId="030DFCE1" w:rsidR="009873B2" w:rsidRPr="0019790A" w:rsidRDefault="009873B2" w:rsidP="009873B2">
            <w:pPr>
              <w:jc w:val="center"/>
              <w:rPr>
                <w:rFonts w:cs="Arial"/>
                <w:color w:val="000000"/>
                <w:szCs w:val="22"/>
                <w:lang w:eastAsia="it-IT"/>
              </w:rPr>
            </w:pPr>
          </w:p>
        </w:tc>
        <w:tc>
          <w:tcPr>
            <w:tcW w:w="1265" w:type="dxa"/>
            <w:vAlign w:val="center"/>
          </w:tcPr>
          <w:p w14:paraId="056B96B2" w14:textId="620F30E6" w:rsidR="009873B2" w:rsidRPr="0019790A" w:rsidRDefault="009873B2" w:rsidP="009873B2">
            <w:pPr>
              <w:ind w:left="62"/>
              <w:jc w:val="center"/>
              <w:rPr>
                <w:rFonts w:cs="Arial"/>
                <w:color w:val="000000"/>
                <w:szCs w:val="22"/>
                <w:lang w:eastAsia="it-IT"/>
              </w:rPr>
            </w:pPr>
            <w:r w:rsidRPr="0019790A">
              <w:rPr>
                <w:rFonts w:cs="Arial"/>
                <w:color w:val="000000"/>
                <w:szCs w:val="22"/>
                <w:lang w:eastAsia="it-IT"/>
              </w:rPr>
              <w:t>3750,0</w:t>
            </w:r>
          </w:p>
        </w:tc>
        <w:tc>
          <w:tcPr>
            <w:tcW w:w="1503" w:type="dxa"/>
            <w:gridSpan w:val="2"/>
            <w:vAlign w:val="center"/>
          </w:tcPr>
          <w:p w14:paraId="724ED07E" w14:textId="5FEDE29C" w:rsidR="009873B2" w:rsidRPr="0019790A" w:rsidRDefault="009873B2" w:rsidP="009873B2">
            <w:pPr>
              <w:ind w:left="62"/>
              <w:jc w:val="center"/>
              <w:rPr>
                <w:rFonts w:cs="Arial"/>
                <w:color w:val="000000"/>
                <w:szCs w:val="22"/>
                <w:lang w:eastAsia="it-IT"/>
              </w:rPr>
            </w:pPr>
            <w:r w:rsidRPr="0019790A">
              <w:rPr>
                <w:rFonts w:cs="Arial"/>
                <w:color w:val="000000"/>
                <w:szCs w:val="22"/>
                <w:lang w:eastAsia="it-IT"/>
              </w:rPr>
              <w:t>3750,0</w:t>
            </w:r>
          </w:p>
        </w:tc>
        <w:tc>
          <w:tcPr>
            <w:tcW w:w="1265" w:type="dxa"/>
            <w:gridSpan w:val="2"/>
            <w:vAlign w:val="center"/>
          </w:tcPr>
          <w:p w14:paraId="6711C39D" w14:textId="23BE0B96" w:rsidR="009873B2" w:rsidRPr="0019790A" w:rsidRDefault="009873B2" w:rsidP="009873B2">
            <w:pPr>
              <w:ind w:left="62"/>
              <w:jc w:val="center"/>
              <w:rPr>
                <w:rFonts w:cs="Arial"/>
                <w:color w:val="000000"/>
                <w:szCs w:val="22"/>
                <w:lang w:eastAsia="it-IT"/>
              </w:rPr>
            </w:pPr>
          </w:p>
        </w:tc>
        <w:tc>
          <w:tcPr>
            <w:tcW w:w="1497" w:type="dxa"/>
            <w:vAlign w:val="center"/>
          </w:tcPr>
          <w:p w14:paraId="69A77C0B" w14:textId="4D31665B" w:rsidR="009873B2" w:rsidRPr="009873B2" w:rsidRDefault="009873B2" w:rsidP="009873B2">
            <w:pPr>
              <w:ind w:left="62"/>
              <w:jc w:val="center"/>
              <w:rPr>
                <w:rFonts w:cs="Arial"/>
                <w:b/>
                <w:color w:val="000000"/>
                <w:szCs w:val="22"/>
                <w:lang w:eastAsia="it-IT"/>
              </w:rPr>
            </w:pPr>
            <w:r w:rsidRPr="009873B2">
              <w:rPr>
                <w:rFonts w:cs="Arial"/>
                <w:b/>
                <w:color w:val="000000"/>
                <w:szCs w:val="22"/>
                <w:lang w:eastAsia="it-IT"/>
              </w:rPr>
              <w:t>7500,0</w:t>
            </w:r>
          </w:p>
        </w:tc>
      </w:tr>
      <w:tr w:rsidR="009873B2" w:rsidRPr="0019790A" w14:paraId="6DF83E9C" w14:textId="1ECEF55F" w:rsidTr="009873B2">
        <w:trPr>
          <w:trHeight w:val="226"/>
          <w:jc w:val="right"/>
        </w:trPr>
        <w:tc>
          <w:tcPr>
            <w:tcW w:w="3424" w:type="dxa"/>
            <w:shd w:val="clear" w:color="auto" w:fill="FFFFFF"/>
            <w:vAlign w:val="center"/>
          </w:tcPr>
          <w:p w14:paraId="37958DC1" w14:textId="77777777" w:rsidR="009873B2" w:rsidRPr="0019790A" w:rsidRDefault="009873B2" w:rsidP="0019790A">
            <w:pPr>
              <w:rPr>
                <w:rFonts w:cs="Arial"/>
                <w:color w:val="000000"/>
                <w:szCs w:val="22"/>
              </w:rPr>
            </w:pPr>
            <w:r w:rsidRPr="0019790A">
              <w:rPr>
                <w:rFonts w:cs="Arial"/>
                <w:color w:val="000000"/>
                <w:szCs w:val="22"/>
              </w:rPr>
              <w:t>- інші джерела фінансування</w:t>
            </w:r>
          </w:p>
        </w:tc>
        <w:tc>
          <w:tcPr>
            <w:tcW w:w="1265" w:type="dxa"/>
            <w:gridSpan w:val="2"/>
            <w:vAlign w:val="center"/>
          </w:tcPr>
          <w:p w14:paraId="7F6C0492" w14:textId="77777777" w:rsidR="009873B2" w:rsidRPr="0019790A" w:rsidRDefault="009873B2" w:rsidP="009873B2">
            <w:pPr>
              <w:jc w:val="center"/>
              <w:rPr>
                <w:rFonts w:cs="Arial"/>
                <w:color w:val="000000"/>
                <w:szCs w:val="22"/>
                <w:lang w:eastAsia="it-IT"/>
              </w:rPr>
            </w:pPr>
          </w:p>
        </w:tc>
        <w:tc>
          <w:tcPr>
            <w:tcW w:w="1265" w:type="dxa"/>
            <w:vAlign w:val="center"/>
          </w:tcPr>
          <w:p w14:paraId="5A13426A" w14:textId="77777777" w:rsidR="009873B2" w:rsidRPr="0019790A" w:rsidRDefault="009873B2" w:rsidP="009873B2">
            <w:pPr>
              <w:jc w:val="center"/>
              <w:rPr>
                <w:rFonts w:cs="Arial"/>
                <w:color w:val="000000"/>
                <w:szCs w:val="22"/>
                <w:lang w:eastAsia="it-IT"/>
              </w:rPr>
            </w:pPr>
          </w:p>
        </w:tc>
        <w:tc>
          <w:tcPr>
            <w:tcW w:w="1503" w:type="dxa"/>
            <w:gridSpan w:val="2"/>
            <w:vAlign w:val="center"/>
          </w:tcPr>
          <w:p w14:paraId="2AC39565" w14:textId="77777777" w:rsidR="009873B2" w:rsidRPr="0019790A" w:rsidRDefault="009873B2" w:rsidP="009873B2">
            <w:pPr>
              <w:jc w:val="center"/>
              <w:rPr>
                <w:rFonts w:cs="Arial"/>
                <w:color w:val="000000"/>
                <w:szCs w:val="22"/>
                <w:lang w:eastAsia="it-IT"/>
              </w:rPr>
            </w:pPr>
          </w:p>
        </w:tc>
        <w:tc>
          <w:tcPr>
            <w:tcW w:w="1265" w:type="dxa"/>
            <w:gridSpan w:val="2"/>
            <w:vAlign w:val="center"/>
          </w:tcPr>
          <w:p w14:paraId="6764A3F8" w14:textId="77777777" w:rsidR="009873B2" w:rsidRPr="0019790A" w:rsidRDefault="009873B2" w:rsidP="009873B2">
            <w:pPr>
              <w:jc w:val="center"/>
              <w:rPr>
                <w:rFonts w:cs="Arial"/>
                <w:color w:val="000000"/>
                <w:szCs w:val="22"/>
                <w:lang w:eastAsia="it-IT"/>
              </w:rPr>
            </w:pPr>
          </w:p>
        </w:tc>
        <w:tc>
          <w:tcPr>
            <w:tcW w:w="1497" w:type="dxa"/>
            <w:vAlign w:val="center"/>
          </w:tcPr>
          <w:p w14:paraId="04A80A21" w14:textId="77777777" w:rsidR="009873B2" w:rsidRPr="0019790A" w:rsidRDefault="009873B2" w:rsidP="009873B2">
            <w:pPr>
              <w:jc w:val="center"/>
              <w:rPr>
                <w:rFonts w:cs="Arial"/>
                <w:color w:val="000000"/>
                <w:szCs w:val="22"/>
                <w:lang w:eastAsia="it-IT"/>
              </w:rPr>
            </w:pPr>
          </w:p>
        </w:tc>
      </w:tr>
      <w:tr w:rsidR="005342D5" w:rsidRPr="0019790A" w14:paraId="08F280FA" w14:textId="77777777" w:rsidTr="009873B2">
        <w:trPr>
          <w:jc w:val="right"/>
        </w:trPr>
        <w:tc>
          <w:tcPr>
            <w:tcW w:w="3424" w:type="dxa"/>
            <w:shd w:val="clear" w:color="auto" w:fill="FFFFFF"/>
            <w:vAlign w:val="center"/>
          </w:tcPr>
          <w:p w14:paraId="6786E453" w14:textId="77777777" w:rsidR="005342D5" w:rsidRPr="0019790A" w:rsidRDefault="005342D5" w:rsidP="0019790A">
            <w:pPr>
              <w:rPr>
                <w:rFonts w:cs="Arial"/>
                <w:b/>
                <w:bCs/>
                <w:color w:val="000000"/>
                <w:szCs w:val="22"/>
              </w:rPr>
            </w:pPr>
            <w:r w:rsidRPr="0019790A">
              <w:rPr>
                <w:rFonts w:cs="Arial"/>
                <w:b/>
                <w:color w:val="000000"/>
                <w:szCs w:val="22"/>
              </w:rPr>
              <w:t>Відповідальний виконавець проєкту:</w:t>
            </w:r>
          </w:p>
        </w:tc>
        <w:tc>
          <w:tcPr>
            <w:tcW w:w="6795" w:type="dxa"/>
            <w:gridSpan w:val="8"/>
            <w:vAlign w:val="center"/>
          </w:tcPr>
          <w:p w14:paraId="32FC0257" w14:textId="7A6FB18D" w:rsidR="005342D5" w:rsidRPr="0019790A" w:rsidRDefault="005342D5" w:rsidP="009873B2">
            <w:pPr>
              <w:jc w:val="both"/>
              <w:rPr>
                <w:rFonts w:cs="Arial"/>
                <w:color w:val="000000"/>
                <w:szCs w:val="22"/>
                <w:lang w:eastAsia="it-IT"/>
              </w:rPr>
            </w:pPr>
            <w:r w:rsidRPr="0019790A">
              <w:rPr>
                <w:rFonts w:cs="Arial"/>
                <w:color w:val="000000"/>
                <w:szCs w:val="22"/>
                <w:lang w:eastAsia="it-IT"/>
              </w:rPr>
              <w:t>Управління житлово-комунального господарства Жмеринської міської ради</w:t>
            </w:r>
          </w:p>
        </w:tc>
      </w:tr>
      <w:tr w:rsidR="005342D5" w:rsidRPr="0019790A" w14:paraId="459A51C7" w14:textId="77777777" w:rsidTr="009873B2">
        <w:trPr>
          <w:jc w:val="right"/>
        </w:trPr>
        <w:tc>
          <w:tcPr>
            <w:tcW w:w="3424" w:type="dxa"/>
            <w:shd w:val="clear" w:color="auto" w:fill="FFFFFF"/>
            <w:vAlign w:val="center"/>
          </w:tcPr>
          <w:p w14:paraId="5A4AA13A" w14:textId="77777777" w:rsidR="005342D5" w:rsidRPr="0019790A" w:rsidRDefault="005342D5" w:rsidP="0019790A">
            <w:pPr>
              <w:rPr>
                <w:rFonts w:cs="Arial"/>
                <w:b/>
                <w:bCs/>
                <w:color w:val="000000"/>
                <w:szCs w:val="22"/>
              </w:rPr>
            </w:pPr>
            <w:r w:rsidRPr="0019790A">
              <w:rPr>
                <w:rFonts w:cs="Arial"/>
                <w:b/>
                <w:bCs/>
                <w:color w:val="000000"/>
                <w:szCs w:val="22"/>
              </w:rPr>
              <w:t>Інше:</w:t>
            </w:r>
          </w:p>
        </w:tc>
        <w:tc>
          <w:tcPr>
            <w:tcW w:w="6795" w:type="dxa"/>
            <w:gridSpan w:val="8"/>
            <w:vAlign w:val="center"/>
          </w:tcPr>
          <w:p w14:paraId="7C1826ED" w14:textId="77777777" w:rsidR="005342D5" w:rsidRPr="0019790A" w:rsidRDefault="005342D5" w:rsidP="0019790A">
            <w:pPr>
              <w:rPr>
                <w:rFonts w:cs="Arial"/>
                <w:color w:val="000000"/>
                <w:szCs w:val="22"/>
                <w:lang w:eastAsia="it-IT"/>
              </w:rPr>
            </w:pPr>
          </w:p>
        </w:tc>
      </w:tr>
    </w:tbl>
    <w:p w14:paraId="4F481F18" w14:textId="77777777" w:rsidR="005342D5" w:rsidRPr="0019790A" w:rsidRDefault="005342D5" w:rsidP="0019790A">
      <w:pPr>
        <w:rPr>
          <w:rFonts w:cs="Arial"/>
          <w:szCs w:val="22"/>
        </w:rPr>
      </w:pPr>
    </w:p>
    <w:p w14:paraId="1CDDCDB0" w14:textId="77777777" w:rsidR="005342D5" w:rsidRPr="0019790A" w:rsidRDefault="005342D5" w:rsidP="0019790A">
      <w:pPr>
        <w:jc w:val="center"/>
        <w:rPr>
          <w:rFonts w:cs="Arial"/>
          <w:b/>
          <w:color w:val="000000"/>
          <w:szCs w:val="22"/>
        </w:rPr>
      </w:pPr>
      <w:r w:rsidRPr="0019790A">
        <w:rPr>
          <w:rFonts w:cs="Arial"/>
          <w:b/>
          <w:color w:val="000000"/>
          <w:szCs w:val="22"/>
        </w:rPr>
        <w:t xml:space="preserve">Форма технічного завдання на проєкт місцевого розвитку </w:t>
      </w:r>
    </w:p>
    <w:p w14:paraId="042896FB" w14:textId="77777777" w:rsidR="005342D5" w:rsidRPr="0019790A" w:rsidRDefault="005342D5" w:rsidP="0019790A">
      <w:pPr>
        <w:jc w:val="center"/>
        <w:rPr>
          <w:rFonts w:cs="Arial"/>
          <w:b/>
          <w:color w:val="000000"/>
          <w:szCs w:val="22"/>
        </w:rPr>
      </w:pPr>
      <w:r w:rsidRPr="0019790A">
        <w:rPr>
          <w:rFonts w:cs="Arial"/>
          <w:b/>
          <w:color w:val="000000"/>
          <w:szCs w:val="22"/>
        </w:rPr>
        <w:t>до Плану заходів з реалізації Стратегії</w:t>
      </w:r>
    </w:p>
    <w:p w14:paraId="2434DDF2" w14:textId="77777777" w:rsidR="005342D5" w:rsidRPr="0019790A" w:rsidRDefault="005342D5"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15"/>
        <w:gridCol w:w="39"/>
        <w:gridCol w:w="1250"/>
        <w:gridCol w:w="25"/>
        <w:gridCol w:w="1390"/>
        <w:gridCol w:w="28"/>
        <w:gridCol w:w="1250"/>
        <w:gridCol w:w="26"/>
        <w:gridCol w:w="1571"/>
      </w:tblGrid>
      <w:tr w:rsidR="005342D5" w:rsidRPr="0019790A" w14:paraId="2EC43644" w14:textId="77777777" w:rsidTr="00CF3AAE">
        <w:trPr>
          <w:trHeight w:val="307"/>
          <w:jc w:val="right"/>
        </w:trPr>
        <w:tc>
          <w:tcPr>
            <w:tcW w:w="3425" w:type="dxa"/>
            <w:vAlign w:val="center"/>
          </w:tcPr>
          <w:p w14:paraId="1B3360B0" w14:textId="77777777" w:rsidR="005342D5" w:rsidRPr="0019790A" w:rsidRDefault="005342D5" w:rsidP="0019790A">
            <w:pPr>
              <w:rPr>
                <w:rFonts w:cs="Arial"/>
                <w:b/>
                <w:bCs/>
                <w:color w:val="000000"/>
                <w:szCs w:val="22"/>
              </w:rPr>
            </w:pPr>
            <w:r w:rsidRPr="0019790A">
              <w:rPr>
                <w:rFonts w:cs="Arial"/>
                <w:b/>
                <w:bCs/>
                <w:color w:val="000000"/>
                <w:szCs w:val="22"/>
              </w:rPr>
              <w:t>Назва проєкту:</w:t>
            </w:r>
          </w:p>
        </w:tc>
        <w:tc>
          <w:tcPr>
            <w:tcW w:w="6794" w:type="dxa"/>
            <w:gridSpan w:val="9"/>
          </w:tcPr>
          <w:p w14:paraId="1D10F643" w14:textId="77777777" w:rsidR="005342D5" w:rsidRPr="0019790A" w:rsidRDefault="005342D5" w:rsidP="009873B2">
            <w:pPr>
              <w:jc w:val="both"/>
              <w:rPr>
                <w:rFonts w:cs="Arial"/>
                <w:szCs w:val="22"/>
                <w:lang w:eastAsia="it-IT"/>
              </w:rPr>
            </w:pPr>
            <w:r w:rsidRPr="0019790A">
              <w:rPr>
                <w:rFonts w:cs="Arial"/>
                <w:b/>
                <w:bCs/>
                <w:szCs w:val="22"/>
                <w:lang w:eastAsia="it-IT"/>
              </w:rPr>
              <w:t>Капітальний ремонт трибуни стадіону КП «Парковий культурно-спортивний комплекс»</w:t>
            </w:r>
          </w:p>
        </w:tc>
      </w:tr>
      <w:tr w:rsidR="005342D5" w:rsidRPr="0019790A" w14:paraId="54091495" w14:textId="77777777" w:rsidTr="00CF3AAE">
        <w:trPr>
          <w:jc w:val="right"/>
        </w:trPr>
        <w:tc>
          <w:tcPr>
            <w:tcW w:w="3425" w:type="dxa"/>
          </w:tcPr>
          <w:p w14:paraId="3862A4F2" w14:textId="77777777" w:rsidR="005342D5" w:rsidRPr="0019790A" w:rsidRDefault="005342D5"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3B5EB460" w14:textId="77777777" w:rsidR="005342D5" w:rsidRPr="0019790A" w:rsidRDefault="005342D5"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9"/>
          </w:tcPr>
          <w:p w14:paraId="3B3AA642" w14:textId="77777777" w:rsidR="005342D5" w:rsidRPr="0019790A" w:rsidRDefault="005342D5" w:rsidP="0019790A">
            <w:pPr>
              <w:rPr>
                <w:rFonts w:cs="Arial"/>
                <w:szCs w:val="22"/>
                <w:lang w:eastAsia="it-IT"/>
              </w:rPr>
            </w:pPr>
            <w:r w:rsidRPr="0019790A">
              <w:rPr>
                <w:rFonts w:cs="Arial"/>
                <w:szCs w:val="22"/>
                <w:lang w:eastAsia="it-IT"/>
              </w:rPr>
              <w:t>Відділ молоді та спорту Жмеринської міської ради</w:t>
            </w:r>
          </w:p>
        </w:tc>
      </w:tr>
      <w:tr w:rsidR="005342D5" w:rsidRPr="0019790A" w14:paraId="16B9668F" w14:textId="77777777" w:rsidTr="00CF3AAE">
        <w:trPr>
          <w:jc w:val="right"/>
        </w:trPr>
        <w:tc>
          <w:tcPr>
            <w:tcW w:w="3425" w:type="dxa"/>
          </w:tcPr>
          <w:p w14:paraId="7B677377" w14:textId="77777777" w:rsidR="005342D5" w:rsidRPr="0019790A" w:rsidRDefault="005342D5" w:rsidP="0019790A">
            <w:pPr>
              <w:rPr>
                <w:rFonts w:cs="Arial"/>
                <w:b/>
                <w:bCs/>
                <w:szCs w:val="22"/>
              </w:rPr>
            </w:pPr>
            <w:r w:rsidRPr="0019790A">
              <w:rPr>
                <w:rFonts w:cs="Arial"/>
                <w:szCs w:val="22"/>
                <w:lang w:eastAsia="it-IT"/>
              </w:rPr>
              <w:t>Прізвище Ім’я По-батькові:</w:t>
            </w:r>
          </w:p>
        </w:tc>
        <w:tc>
          <w:tcPr>
            <w:tcW w:w="6794" w:type="dxa"/>
            <w:gridSpan w:val="9"/>
          </w:tcPr>
          <w:p w14:paraId="4AC5862E" w14:textId="77777777" w:rsidR="005342D5" w:rsidRPr="0019790A" w:rsidRDefault="005342D5" w:rsidP="0019790A">
            <w:pPr>
              <w:rPr>
                <w:rFonts w:cs="Arial"/>
                <w:szCs w:val="22"/>
                <w:lang w:eastAsia="it-IT"/>
              </w:rPr>
            </w:pPr>
            <w:r w:rsidRPr="0019790A">
              <w:rPr>
                <w:rFonts w:cs="Arial"/>
                <w:szCs w:val="22"/>
                <w:lang w:eastAsia="it-IT"/>
              </w:rPr>
              <w:t>Ковальська Олена Віталіївна</w:t>
            </w:r>
          </w:p>
        </w:tc>
      </w:tr>
      <w:tr w:rsidR="005342D5" w:rsidRPr="0019790A" w14:paraId="30F87222" w14:textId="77777777" w:rsidTr="00CF3AAE">
        <w:trPr>
          <w:jc w:val="right"/>
        </w:trPr>
        <w:tc>
          <w:tcPr>
            <w:tcW w:w="3425" w:type="dxa"/>
          </w:tcPr>
          <w:p w14:paraId="61A0393D" w14:textId="77777777" w:rsidR="005342D5" w:rsidRPr="0019790A" w:rsidRDefault="005342D5" w:rsidP="0019790A">
            <w:pPr>
              <w:rPr>
                <w:rFonts w:cs="Arial"/>
                <w:b/>
                <w:bCs/>
                <w:szCs w:val="22"/>
              </w:rPr>
            </w:pPr>
            <w:r w:rsidRPr="0019790A">
              <w:rPr>
                <w:rFonts w:cs="Arial"/>
                <w:szCs w:val="22"/>
                <w:lang w:eastAsia="it-IT"/>
              </w:rPr>
              <w:t>Телефон (мобільний):</w:t>
            </w:r>
          </w:p>
        </w:tc>
        <w:tc>
          <w:tcPr>
            <w:tcW w:w="6794" w:type="dxa"/>
            <w:gridSpan w:val="9"/>
          </w:tcPr>
          <w:p w14:paraId="5AC0C954" w14:textId="77777777" w:rsidR="005342D5" w:rsidRPr="0019790A" w:rsidRDefault="005342D5" w:rsidP="0019790A">
            <w:pPr>
              <w:rPr>
                <w:rFonts w:cs="Arial"/>
                <w:szCs w:val="22"/>
                <w:lang w:eastAsia="it-IT"/>
              </w:rPr>
            </w:pPr>
            <w:r w:rsidRPr="0019790A">
              <w:rPr>
                <w:rFonts w:cs="Arial"/>
                <w:szCs w:val="22"/>
                <w:lang w:eastAsia="it-IT"/>
              </w:rPr>
              <w:t>096-068-94-79</w:t>
            </w:r>
          </w:p>
        </w:tc>
      </w:tr>
      <w:tr w:rsidR="005342D5" w:rsidRPr="0019790A" w14:paraId="56E625A8" w14:textId="77777777" w:rsidTr="00CF3AAE">
        <w:trPr>
          <w:jc w:val="right"/>
        </w:trPr>
        <w:tc>
          <w:tcPr>
            <w:tcW w:w="3425" w:type="dxa"/>
          </w:tcPr>
          <w:p w14:paraId="463F5B4B" w14:textId="77777777" w:rsidR="005342D5" w:rsidRPr="0019790A" w:rsidRDefault="005342D5" w:rsidP="0019790A">
            <w:pPr>
              <w:rPr>
                <w:rFonts w:cs="Arial"/>
                <w:b/>
                <w:bCs/>
                <w:szCs w:val="22"/>
              </w:rPr>
            </w:pPr>
            <w:r w:rsidRPr="0019790A">
              <w:rPr>
                <w:rFonts w:cs="Arial"/>
                <w:szCs w:val="22"/>
                <w:lang w:eastAsia="it-IT"/>
              </w:rPr>
              <w:t>Електронна адреса:</w:t>
            </w:r>
          </w:p>
        </w:tc>
        <w:tc>
          <w:tcPr>
            <w:tcW w:w="6794" w:type="dxa"/>
            <w:gridSpan w:val="9"/>
          </w:tcPr>
          <w:p w14:paraId="079E1707" w14:textId="77777777" w:rsidR="005342D5" w:rsidRPr="0019790A" w:rsidRDefault="00D85FFD" w:rsidP="0019790A">
            <w:pPr>
              <w:rPr>
                <w:rFonts w:cs="Arial"/>
                <w:szCs w:val="22"/>
                <w:lang w:eastAsia="it-IT"/>
              </w:rPr>
            </w:pPr>
            <w:hyperlink r:id="rId142" w:history="1">
              <w:r w:rsidR="005342D5" w:rsidRPr="0019790A">
                <w:rPr>
                  <w:rFonts w:cs="Arial"/>
                  <w:b/>
                  <w:bCs/>
                  <w:color w:val="0000FF"/>
                  <w:szCs w:val="22"/>
                  <w:u w:val="single"/>
                  <w:lang w:eastAsia="it-IT"/>
                </w:rPr>
                <w:t>ms@zhmr.gov.ua</w:t>
              </w:r>
            </w:hyperlink>
          </w:p>
        </w:tc>
      </w:tr>
      <w:tr w:rsidR="005342D5" w:rsidRPr="0019790A" w14:paraId="1759C15A" w14:textId="77777777" w:rsidTr="00CF3AAE">
        <w:trPr>
          <w:jc w:val="right"/>
        </w:trPr>
        <w:tc>
          <w:tcPr>
            <w:tcW w:w="3425" w:type="dxa"/>
            <w:vAlign w:val="center"/>
          </w:tcPr>
          <w:p w14:paraId="563F8E1F" w14:textId="77777777" w:rsidR="005342D5" w:rsidRPr="0019790A" w:rsidRDefault="005342D5" w:rsidP="0019790A">
            <w:pPr>
              <w:outlineLvl w:val="5"/>
              <w:rPr>
                <w:rFonts w:cs="Arial"/>
                <w:b/>
                <w:bCs/>
                <w:color w:val="000000"/>
                <w:szCs w:val="22"/>
                <w:lang w:eastAsia="en-US"/>
              </w:rPr>
            </w:pPr>
            <w:r w:rsidRPr="0019790A">
              <w:rPr>
                <w:rFonts w:cs="Arial"/>
                <w:b/>
                <w:bCs/>
                <w:color w:val="000000"/>
                <w:szCs w:val="22"/>
                <w:lang w:eastAsia="en-US"/>
              </w:rPr>
              <w:t>Номер і назва завдання з Стратегії</w:t>
            </w:r>
            <w:r w:rsidRPr="0019790A">
              <w:rPr>
                <w:rFonts w:cs="Arial"/>
                <w:b/>
                <w:bCs/>
                <w:szCs w:val="22"/>
                <w:lang w:eastAsia="it-IT"/>
              </w:rPr>
              <w:t xml:space="preserve"> </w:t>
            </w:r>
            <w:r w:rsidRPr="0019790A">
              <w:rPr>
                <w:rFonts w:cs="Arial"/>
                <w:b/>
                <w:bCs/>
                <w:color w:val="000000"/>
                <w:szCs w:val="22"/>
                <w:lang w:eastAsia="en-US"/>
              </w:rPr>
              <w:t>розвитку Жмеринської міської територіальної громади,  якому відповідає проєкт:</w:t>
            </w:r>
          </w:p>
        </w:tc>
        <w:tc>
          <w:tcPr>
            <w:tcW w:w="6794" w:type="dxa"/>
            <w:gridSpan w:val="9"/>
          </w:tcPr>
          <w:p w14:paraId="2F66D72E" w14:textId="342DE6FB" w:rsidR="005342D5" w:rsidRPr="0019790A" w:rsidRDefault="005342D5" w:rsidP="009873B2">
            <w:pPr>
              <w:pBdr>
                <w:left w:val="single" w:sz="18" w:space="4" w:color="auto"/>
              </w:pBdr>
              <w:jc w:val="both"/>
              <w:rPr>
                <w:rFonts w:cs="Arial"/>
                <w:szCs w:val="22"/>
                <w:lang w:eastAsia="it-IT"/>
              </w:rPr>
            </w:pPr>
            <w:r w:rsidRPr="009873B2">
              <w:rPr>
                <w:rFonts w:cs="Arial"/>
                <w:bCs/>
                <w:szCs w:val="22"/>
                <w:lang w:eastAsia="it-IT"/>
              </w:rPr>
              <w:t>С.3.4.2. Будівництво, реконструкція інфраструктури спорту з урахуванням гендерного аспекту</w:t>
            </w:r>
          </w:p>
        </w:tc>
      </w:tr>
      <w:tr w:rsidR="005342D5" w:rsidRPr="0019790A" w14:paraId="3ED271DC" w14:textId="77777777" w:rsidTr="00CF3AAE">
        <w:trPr>
          <w:jc w:val="right"/>
        </w:trPr>
        <w:tc>
          <w:tcPr>
            <w:tcW w:w="3425" w:type="dxa"/>
            <w:vAlign w:val="center"/>
          </w:tcPr>
          <w:p w14:paraId="695B51AA" w14:textId="77777777" w:rsidR="005342D5" w:rsidRPr="0019790A" w:rsidRDefault="005342D5" w:rsidP="0019790A">
            <w:pPr>
              <w:rPr>
                <w:rFonts w:cs="Arial"/>
                <w:b/>
                <w:bCs/>
                <w:color w:val="000000"/>
                <w:szCs w:val="22"/>
              </w:rPr>
            </w:pPr>
            <w:r w:rsidRPr="0019790A">
              <w:rPr>
                <w:rFonts w:cs="Arial"/>
                <w:b/>
                <w:bCs/>
                <w:color w:val="000000"/>
                <w:szCs w:val="22"/>
              </w:rPr>
              <w:t>Мета проєкту:</w:t>
            </w:r>
          </w:p>
        </w:tc>
        <w:tc>
          <w:tcPr>
            <w:tcW w:w="6794" w:type="dxa"/>
            <w:gridSpan w:val="9"/>
          </w:tcPr>
          <w:p w14:paraId="6F58DAE5" w14:textId="77777777" w:rsidR="005342D5" w:rsidRPr="0019790A" w:rsidRDefault="005342D5" w:rsidP="0019790A">
            <w:pPr>
              <w:rPr>
                <w:rFonts w:cs="Arial"/>
                <w:szCs w:val="22"/>
                <w:lang w:eastAsia="it-IT"/>
              </w:rPr>
            </w:pPr>
            <w:r w:rsidRPr="0019790A">
              <w:rPr>
                <w:rFonts w:cs="Arial"/>
                <w:szCs w:val="22"/>
                <w:lang w:eastAsia="it-IT"/>
              </w:rPr>
              <w:t>Покращення умов для глядачів та забезпечення безпечного функціонування інфраструктури стадіону шляхом капітального ремонту трибуни.</w:t>
            </w:r>
          </w:p>
        </w:tc>
      </w:tr>
      <w:tr w:rsidR="005342D5" w:rsidRPr="0019790A" w14:paraId="60114B9D" w14:textId="77777777" w:rsidTr="00CF3AAE">
        <w:trPr>
          <w:jc w:val="right"/>
        </w:trPr>
        <w:tc>
          <w:tcPr>
            <w:tcW w:w="3425" w:type="dxa"/>
            <w:vAlign w:val="center"/>
          </w:tcPr>
          <w:p w14:paraId="2A66E9B4" w14:textId="77777777" w:rsidR="005342D5" w:rsidRPr="0019790A" w:rsidRDefault="005342D5" w:rsidP="0019790A">
            <w:pPr>
              <w:rPr>
                <w:rFonts w:cs="Arial"/>
                <w:b/>
                <w:bCs/>
                <w:color w:val="000000"/>
                <w:szCs w:val="22"/>
              </w:rPr>
            </w:pPr>
            <w:r w:rsidRPr="0019790A">
              <w:rPr>
                <w:rFonts w:cs="Arial"/>
                <w:b/>
                <w:bCs/>
                <w:color w:val="000000"/>
                <w:szCs w:val="22"/>
              </w:rPr>
              <w:t>Цілі проєкту:</w:t>
            </w:r>
          </w:p>
        </w:tc>
        <w:tc>
          <w:tcPr>
            <w:tcW w:w="6794" w:type="dxa"/>
            <w:gridSpan w:val="9"/>
          </w:tcPr>
          <w:p w14:paraId="49205DA1" w14:textId="77777777" w:rsidR="005342D5" w:rsidRPr="0019790A" w:rsidRDefault="005342D5" w:rsidP="009873B2">
            <w:pPr>
              <w:numPr>
                <w:ilvl w:val="0"/>
                <w:numId w:val="141"/>
              </w:numPr>
              <w:tabs>
                <w:tab w:val="left" w:pos="440"/>
              </w:tabs>
              <w:ind w:left="39" w:hanging="39"/>
              <w:jc w:val="both"/>
              <w:rPr>
                <w:rFonts w:cs="Arial"/>
                <w:szCs w:val="22"/>
                <w:lang w:eastAsia="it-IT"/>
              </w:rPr>
            </w:pPr>
            <w:r w:rsidRPr="0019790A">
              <w:rPr>
                <w:rFonts w:cs="Arial"/>
                <w:szCs w:val="22"/>
                <w:lang w:eastAsia="it-IT"/>
              </w:rPr>
              <w:t>Забезпечити безпечні умови перебування глядачів на трибуні.</w:t>
            </w:r>
          </w:p>
          <w:p w14:paraId="79B4CF03" w14:textId="77777777" w:rsidR="005342D5" w:rsidRPr="0019790A" w:rsidRDefault="005342D5" w:rsidP="009873B2">
            <w:pPr>
              <w:numPr>
                <w:ilvl w:val="0"/>
                <w:numId w:val="141"/>
              </w:numPr>
              <w:tabs>
                <w:tab w:val="left" w:pos="415"/>
              </w:tabs>
              <w:ind w:left="39" w:hanging="39"/>
              <w:jc w:val="both"/>
              <w:rPr>
                <w:rFonts w:cs="Arial"/>
                <w:szCs w:val="22"/>
                <w:lang w:eastAsia="it-IT"/>
              </w:rPr>
            </w:pPr>
            <w:r w:rsidRPr="0019790A">
              <w:rPr>
                <w:rFonts w:cs="Arial"/>
                <w:szCs w:val="22"/>
                <w:lang w:eastAsia="it-IT"/>
              </w:rPr>
              <w:t>Поліпшити естетичний та функціональний вигляд спортивного об’єкта.</w:t>
            </w:r>
          </w:p>
          <w:p w14:paraId="2876AB04" w14:textId="77777777" w:rsidR="005342D5" w:rsidRPr="0019790A" w:rsidRDefault="005342D5" w:rsidP="009873B2">
            <w:pPr>
              <w:numPr>
                <w:ilvl w:val="0"/>
                <w:numId w:val="141"/>
              </w:numPr>
              <w:tabs>
                <w:tab w:val="left" w:pos="415"/>
              </w:tabs>
              <w:ind w:left="39" w:hanging="39"/>
              <w:jc w:val="both"/>
              <w:rPr>
                <w:rFonts w:cs="Arial"/>
                <w:szCs w:val="22"/>
                <w:lang w:eastAsia="it-IT"/>
              </w:rPr>
            </w:pPr>
            <w:r w:rsidRPr="0019790A">
              <w:rPr>
                <w:rFonts w:cs="Arial"/>
                <w:szCs w:val="22"/>
                <w:lang w:eastAsia="it-IT"/>
              </w:rPr>
              <w:t>Створити комфортні умови для проведення спортивних і масових заходів.</w:t>
            </w:r>
          </w:p>
          <w:p w14:paraId="6B8B74EB" w14:textId="77777777" w:rsidR="005342D5" w:rsidRPr="0019790A" w:rsidRDefault="005342D5" w:rsidP="009873B2">
            <w:pPr>
              <w:numPr>
                <w:ilvl w:val="0"/>
                <w:numId w:val="141"/>
              </w:numPr>
              <w:tabs>
                <w:tab w:val="left" w:pos="415"/>
              </w:tabs>
              <w:ind w:left="39" w:hanging="39"/>
              <w:jc w:val="both"/>
              <w:rPr>
                <w:rFonts w:cs="Arial"/>
                <w:szCs w:val="22"/>
                <w:lang w:eastAsia="it-IT"/>
              </w:rPr>
            </w:pPr>
            <w:r w:rsidRPr="0019790A">
              <w:rPr>
                <w:rFonts w:cs="Arial"/>
                <w:szCs w:val="22"/>
                <w:lang w:eastAsia="it-IT"/>
              </w:rPr>
              <w:t>Підвищити рівень привабливості стадіону для громадськості та організаторів змагань.</w:t>
            </w:r>
          </w:p>
        </w:tc>
      </w:tr>
      <w:tr w:rsidR="005342D5" w:rsidRPr="0019790A" w14:paraId="4245F610" w14:textId="77777777" w:rsidTr="00CF3AAE">
        <w:trPr>
          <w:jc w:val="right"/>
        </w:trPr>
        <w:tc>
          <w:tcPr>
            <w:tcW w:w="3425" w:type="dxa"/>
            <w:vAlign w:val="center"/>
          </w:tcPr>
          <w:p w14:paraId="128EA3C6" w14:textId="77777777" w:rsidR="005342D5" w:rsidRPr="0019790A" w:rsidRDefault="005342D5" w:rsidP="0019790A">
            <w:pPr>
              <w:autoSpaceDE w:val="0"/>
              <w:autoSpaceDN w:val="0"/>
              <w:adjustRightInd w:val="0"/>
              <w:rPr>
                <w:rFonts w:cs="Arial"/>
                <w:b/>
                <w:color w:val="000000"/>
                <w:szCs w:val="22"/>
              </w:rPr>
            </w:pPr>
            <w:r w:rsidRPr="0019790A">
              <w:rPr>
                <w:rFonts w:cs="Arial"/>
                <w:b/>
                <w:color w:val="000000"/>
                <w:szCs w:val="22"/>
              </w:rPr>
              <w:t>Територія на яку проєкт матиме вплив:</w:t>
            </w:r>
          </w:p>
        </w:tc>
        <w:tc>
          <w:tcPr>
            <w:tcW w:w="6794" w:type="dxa"/>
            <w:gridSpan w:val="9"/>
          </w:tcPr>
          <w:p w14:paraId="052D9F53" w14:textId="77777777" w:rsidR="005342D5" w:rsidRPr="0019790A" w:rsidRDefault="005342D5" w:rsidP="0019790A">
            <w:pPr>
              <w:rPr>
                <w:rFonts w:cs="Arial"/>
                <w:szCs w:val="22"/>
                <w:lang w:eastAsia="it-IT"/>
              </w:rPr>
            </w:pPr>
            <w:r w:rsidRPr="0019790A">
              <w:rPr>
                <w:rFonts w:cs="Arial"/>
                <w:szCs w:val="22"/>
                <w:lang w:eastAsia="it-IT"/>
              </w:rPr>
              <w:t>Жмеринська міська територіальна громада</w:t>
            </w:r>
          </w:p>
        </w:tc>
      </w:tr>
      <w:tr w:rsidR="005342D5" w:rsidRPr="0019790A" w14:paraId="62934DFE" w14:textId="77777777" w:rsidTr="00CF3AAE">
        <w:trPr>
          <w:jc w:val="right"/>
        </w:trPr>
        <w:tc>
          <w:tcPr>
            <w:tcW w:w="3425" w:type="dxa"/>
            <w:vAlign w:val="center"/>
          </w:tcPr>
          <w:p w14:paraId="10FDA586" w14:textId="77777777" w:rsidR="005342D5" w:rsidRPr="0019790A" w:rsidRDefault="005342D5" w:rsidP="0019790A">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4" w:type="dxa"/>
            <w:gridSpan w:val="9"/>
          </w:tcPr>
          <w:p w14:paraId="6DC3B3C2" w14:textId="77777777" w:rsidR="005342D5" w:rsidRPr="0019790A" w:rsidRDefault="005342D5" w:rsidP="0019790A">
            <w:pPr>
              <w:numPr>
                <w:ilvl w:val="0"/>
                <w:numId w:val="142"/>
              </w:numPr>
              <w:ind w:left="186" w:hanging="141"/>
              <w:jc w:val="both"/>
              <w:rPr>
                <w:rFonts w:cs="Arial"/>
                <w:szCs w:val="22"/>
                <w:lang w:eastAsia="it-IT"/>
              </w:rPr>
            </w:pPr>
            <w:r w:rsidRPr="0019790A">
              <w:rPr>
                <w:rFonts w:cs="Arial"/>
                <w:szCs w:val="22"/>
                <w:lang w:eastAsia="it-IT"/>
              </w:rPr>
              <w:t>Вболівальники, глядачі спортивних заходів.</w:t>
            </w:r>
          </w:p>
          <w:p w14:paraId="07D40E85" w14:textId="77777777" w:rsidR="005342D5" w:rsidRPr="0019790A" w:rsidRDefault="005342D5" w:rsidP="0019790A">
            <w:pPr>
              <w:numPr>
                <w:ilvl w:val="0"/>
                <w:numId w:val="142"/>
              </w:numPr>
              <w:ind w:left="186" w:hanging="141"/>
              <w:jc w:val="both"/>
              <w:rPr>
                <w:rFonts w:cs="Arial"/>
                <w:szCs w:val="22"/>
                <w:lang w:eastAsia="it-IT"/>
              </w:rPr>
            </w:pPr>
            <w:r w:rsidRPr="0019790A">
              <w:rPr>
                <w:rFonts w:cs="Arial"/>
                <w:szCs w:val="22"/>
                <w:lang w:eastAsia="it-IT"/>
              </w:rPr>
              <w:t>Учасники змагань та спортсмен(к)и.</w:t>
            </w:r>
          </w:p>
          <w:p w14:paraId="6D3DAD4D" w14:textId="77777777" w:rsidR="005342D5" w:rsidRPr="0019790A" w:rsidRDefault="005342D5" w:rsidP="0019790A">
            <w:pPr>
              <w:numPr>
                <w:ilvl w:val="0"/>
                <w:numId w:val="142"/>
              </w:numPr>
              <w:ind w:left="186" w:hanging="141"/>
              <w:jc w:val="both"/>
              <w:rPr>
                <w:rFonts w:cs="Arial"/>
                <w:szCs w:val="22"/>
                <w:lang w:eastAsia="it-IT"/>
              </w:rPr>
            </w:pPr>
            <w:r w:rsidRPr="0019790A">
              <w:rPr>
                <w:rFonts w:cs="Arial"/>
                <w:szCs w:val="22"/>
                <w:lang w:eastAsia="it-IT"/>
              </w:rPr>
              <w:t>Тренерський і технічний персонал.</w:t>
            </w:r>
          </w:p>
          <w:p w14:paraId="722E4A85" w14:textId="77777777" w:rsidR="005342D5" w:rsidRPr="0019790A" w:rsidRDefault="005342D5" w:rsidP="0019790A">
            <w:pPr>
              <w:numPr>
                <w:ilvl w:val="0"/>
                <w:numId w:val="142"/>
              </w:numPr>
              <w:ind w:left="186" w:hanging="141"/>
              <w:jc w:val="both"/>
              <w:rPr>
                <w:rFonts w:cs="Arial"/>
                <w:szCs w:val="22"/>
                <w:lang w:eastAsia="it-IT"/>
              </w:rPr>
            </w:pPr>
            <w:r w:rsidRPr="0019790A">
              <w:rPr>
                <w:rFonts w:cs="Arial"/>
                <w:szCs w:val="22"/>
                <w:lang w:eastAsia="it-IT"/>
              </w:rPr>
              <w:t>Жителі громади, які відвідують стадіон.</w:t>
            </w:r>
          </w:p>
          <w:p w14:paraId="74EDD1B7" w14:textId="77777777" w:rsidR="005342D5" w:rsidRPr="0019790A" w:rsidRDefault="005342D5" w:rsidP="0019790A">
            <w:pPr>
              <w:numPr>
                <w:ilvl w:val="0"/>
                <w:numId w:val="142"/>
              </w:numPr>
              <w:ind w:left="186" w:hanging="141"/>
              <w:jc w:val="both"/>
              <w:rPr>
                <w:rFonts w:cs="Arial"/>
                <w:szCs w:val="22"/>
                <w:lang w:eastAsia="it-IT"/>
              </w:rPr>
            </w:pPr>
            <w:r w:rsidRPr="0019790A">
              <w:rPr>
                <w:rFonts w:cs="Arial"/>
                <w:szCs w:val="22"/>
                <w:lang w:eastAsia="it-IT"/>
              </w:rPr>
              <w:t>Освітні заклади, які використовують стадіон у навчальному процесі.</w:t>
            </w:r>
          </w:p>
        </w:tc>
      </w:tr>
      <w:tr w:rsidR="005342D5" w:rsidRPr="0019790A" w14:paraId="6C213E46" w14:textId="77777777" w:rsidTr="00CF3AAE">
        <w:trPr>
          <w:jc w:val="right"/>
        </w:trPr>
        <w:tc>
          <w:tcPr>
            <w:tcW w:w="3425" w:type="dxa"/>
            <w:shd w:val="clear" w:color="auto" w:fill="FFFFFF"/>
            <w:vAlign w:val="center"/>
          </w:tcPr>
          <w:p w14:paraId="4823F47F" w14:textId="77777777" w:rsidR="005342D5" w:rsidRPr="0019790A" w:rsidRDefault="005342D5" w:rsidP="0019790A">
            <w:pPr>
              <w:rPr>
                <w:rFonts w:cs="Arial"/>
                <w:b/>
                <w:bCs/>
                <w:color w:val="000000"/>
                <w:szCs w:val="22"/>
              </w:rPr>
            </w:pPr>
            <w:r w:rsidRPr="0019790A">
              <w:rPr>
                <w:rFonts w:cs="Arial"/>
                <w:b/>
                <w:bCs/>
                <w:color w:val="000000"/>
                <w:szCs w:val="22"/>
              </w:rPr>
              <w:t>Стислий опис проєкту:</w:t>
            </w:r>
          </w:p>
        </w:tc>
        <w:tc>
          <w:tcPr>
            <w:tcW w:w="6794" w:type="dxa"/>
            <w:gridSpan w:val="9"/>
          </w:tcPr>
          <w:p w14:paraId="26678335" w14:textId="77777777" w:rsidR="005342D5" w:rsidRPr="0019790A" w:rsidRDefault="005342D5" w:rsidP="0019790A">
            <w:pPr>
              <w:ind w:left="45"/>
              <w:jc w:val="both"/>
              <w:rPr>
                <w:rFonts w:cs="Arial"/>
                <w:szCs w:val="22"/>
                <w:lang w:eastAsia="it-IT"/>
              </w:rPr>
            </w:pPr>
            <w:r w:rsidRPr="0019790A">
              <w:rPr>
                <w:rFonts w:cs="Arial"/>
                <w:szCs w:val="22"/>
                <w:lang w:eastAsia="it-IT"/>
              </w:rPr>
              <w:t>Проєкт передбачає капітальний ремонт трибуни на стадіоні, що включає відновлення конструкцій, заміну покриття сидінь, облаштування навісу (за наявності), гідроізоляцію, ремонт сходових маршів, установку перил та бар’єрів безпеки, облаштування доступності для маломобільних груп. Також передбачено встановлення або оновлення лавок, урн, інформаційних стендів.</w:t>
            </w:r>
          </w:p>
        </w:tc>
      </w:tr>
      <w:tr w:rsidR="005342D5" w:rsidRPr="0019790A" w14:paraId="636EF33D" w14:textId="77777777" w:rsidTr="00CF3AAE">
        <w:trPr>
          <w:jc w:val="right"/>
        </w:trPr>
        <w:tc>
          <w:tcPr>
            <w:tcW w:w="3425" w:type="dxa"/>
            <w:shd w:val="clear" w:color="auto" w:fill="FFFFFF"/>
            <w:vAlign w:val="center"/>
          </w:tcPr>
          <w:p w14:paraId="525F0235" w14:textId="77777777" w:rsidR="005342D5" w:rsidRPr="0019790A" w:rsidRDefault="005342D5" w:rsidP="0019790A">
            <w:pPr>
              <w:rPr>
                <w:rFonts w:cs="Arial"/>
                <w:b/>
                <w:bCs/>
                <w:color w:val="000000"/>
                <w:szCs w:val="22"/>
              </w:rPr>
            </w:pPr>
            <w:r w:rsidRPr="0019790A">
              <w:rPr>
                <w:rFonts w:cs="Arial"/>
                <w:b/>
                <w:bCs/>
                <w:color w:val="000000"/>
                <w:szCs w:val="22"/>
              </w:rPr>
              <w:t>Основні заходи проєкту:</w:t>
            </w:r>
          </w:p>
        </w:tc>
        <w:tc>
          <w:tcPr>
            <w:tcW w:w="6794" w:type="dxa"/>
            <w:gridSpan w:val="9"/>
          </w:tcPr>
          <w:p w14:paraId="21E491FC" w14:textId="77777777" w:rsidR="005342D5" w:rsidRPr="0019790A" w:rsidRDefault="005342D5" w:rsidP="0019790A">
            <w:pPr>
              <w:numPr>
                <w:ilvl w:val="0"/>
                <w:numId w:val="143"/>
              </w:numPr>
              <w:tabs>
                <w:tab w:val="left" w:pos="186"/>
              </w:tabs>
              <w:ind w:hanging="720"/>
              <w:rPr>
                <w:rFonts w:cs="Arial"/>
                <w:szCs w:val="22"/>
                <w:lang w:eastAsia="it-IT"/>
              </w:rPr>
            </w:pPr>
            <w:r w:rsidRPr="0019790A">
              <w:rPr>
                <w:rFonts w:cs="Arial"/>
                <w:szCs w:val="22"/>
                <w:lang w:eastAsia="it-IT"/>
              </w:rPr>
              <w:t>Обстеження технічного стану трибуни.</w:t>
            </w:r>
          </w:p>
          <w:p w14:paraId="58C12525" w14:textId="77777777" w:rsidR="005342D5" w:rsidRPr="0019790A" w:rsidRDefault="005342D5" w:rsidP="0019790A">
            <w:pPr>
              <w:numPr>
                <w:ilvl w:val="0"/>
                <w:numId w:val="143"/>
              </w:numPr>
              <w:tabs>
                <w:tab w:val="left" w:pos="186"/>
              </w:tabs>
              <w:ind w:hanging="720"/>
              <w:rPr>
                <w:rFonts w:cs="Arial"/>
                <w:szCs w:val="22"/>
                <w:lang w:eastAsia="it-IT"/>
              </w:rPr>
            </w:pPr>
            <w:r w:rsidRPr="0019790A">
              <w:rPr>
                <w:rFonts w:cs="Arial"/>
                <w:szCs w:val="22"/>
                <w:lang w:eastAsia="it-IT"/>
              </w:rPr>
              <w:t>Демонтаж зношених конструктивних елементів.</w:t>
            </w:r>
          </w:p>
          <w:p w14:paraId="04BAE9EA" w14:textId="77777777" w:rsidR="005342D5" w:rsidRPr="0019790A" w:rsidRDefault="005342D5" w:rsidP="0019790A">
            <w:pPr>
              <w:numPr>
                <w:ilvl w:val="0"/>
                <w:numId w:val="143"/>
              </w:numPr>
              <w:tabs>
                <w:tab w:val="left" w:pos="186"/>
              </w:tabs>
              <w:ind w:hanging="720"/>
              <w:rPr>
                <w:rFonts w:cs="Arial"/>
                <w:szCs w:val="22"/>
                <w:lang w:eastAsia="it-IT"/>
              </w:rPr>
            </w:pPr>
            <w:r w:rsidRPr="0019790A">
              <w:rPr>
                <w:rFonts w:cs="Arial"/>
                <w:szCs w:val="22"/>
                <w:lang w:eastAsia="it-IT"/>
              </w:rPr>
              <w:t>Відновлення несучих елементів трибуни.</w:t>
            </w:r>
          </w:p>
          <w:p w14:paraId="11AC77F3" w14:textId="77777777" w:rsidR="005342D5" w:rsidRPr="0019790A" w:rsidRDefault="005342D5" w:rsidP="0019790A">
            <w:pPr>
              <w:numPr>
                <w:ilvl w:val="0"/>
                <w:numId w:val="143"/>
              </w:numPr>
              <w:tabs>
                <w:tab w:val="left" w:pos="186"/>
              </w:tabs>
              <w:ind w:hanging="720"/>
              <w:rPr>
                <w:rFonts w:cs="Arial"/>
                <w:szCs w:val="22"/>
                <w:lang w:eastAsia="it-IT"/>
              </w:rPr>
            </w:pPr>
            <w:r w:rsidRPr="0019790A">
              <w:rPr>
                <w:rFonts w:cs="Arial"/>
                <w:szCs w:val="22"/>
                <w:lang w:eastAsia="it-IT"/>
              </w:rPr>
              <w:t>Влаштування або заміна сидінь.</w:t>
            </w:r>
          </w:p>
          <w:p w14:paraId="208252C3" w14:textId="77777777" w:rsidR="005342D5" w:rsidRPr="0019790A" w:rsidRDefault="005342D5" w:rsidP="0019790A">
            <w:pPr>
              <w:numPr>
                <w:ilvl w:val="0"/>
                <w:numId w:val="143"/>
              </w:numPr>
              <w:tabs>
                <w:tab w:val="left" w:pos="186"/>
              </w:tabs>
              <w:ind w:hanging="720"/>
              <w:rPr>
                <w:rFonts w:cs="Arial"/>
                <w:szCs w:val="22"/>
                <w:lang w:eastAsia="it-IT"/>
              </w:rPr>
            </w:pPr>
            <w:r w:rsidRPr="0019790A">
              <w:rPr>
                <w:rFonts w:cs="Arial"/>
                <w:szCs w:val="22"/>
                <w:lang w:eastAsia="it-IT"/>
              </w:rPr>
              <w:t>Ремонт або встановлення навісу (за проєктом).</w:t>
            </w:r>
          </w:p>
          <w:p w14:paraId="42ADC022" w14:textId="77777777" w:rsidR="005342D5" w:rsidRPr="0019790A" w:rsidRDefault="005342D5" w:rsidP="0019790A">
            <w:pPr>
              <w:numPr>
                <w:ilvl w:val="0"/>
                <w:numId w:val="143"/>
              </w:numPr>
              <w:tabs>
                <w:tab w:val="left" w:pos="186"/>
              </w:tabs>
              <w:ind w:hanging="720"/>
              <w:rPr>
                <w:rFonts w:cs="Arial"/>
                <w:szCs w:val="22"/>
                <w:lang w:eastAsia="it-IT"/>
              </w:rPr>
            </w:pPr>
            <w:r w:rsidRPr="0019790A">
              <w:rPr>
                <w:rFonts w:cs="Arial"/>
                <w:szCs w:val="22"/>
                <w:lang w:eastAsia="it-IT"/>
              </w:rPr>
              <w:t>Гідроізоляційні та дренажні роботи.</w:t>
            </w:r>
          </w:p>
          <w:p w14:paraId="1EB0A229" w14:textId="77777777" w:rsidR="005342D5" w:rsidRPr="0019790A" w:rsidRDefault="005342D5" w:rsidP="0019790A">
            <w:pPr>
              <w:numPr>
                <w:ilvl w:val="0"/>
                <w:numId w:val="143"/>
              </w:numPr>
              <w:tabs>
                <w:tab w:val="left" w:pos="186"/>
              </w:tabs>
              <w:ind w:hanging="720"/>
              <w:rPr>
                <w:rFonts w:cs="Arial"/>
                <w:szCs w:val="22"/>
                <w:lang w:eastAsia="it-IT"/>
              </w:rPr>
            </w:pPr>
            <w:r w:rsidRPr="0019790A">
              <w:rPr>
                <w:rFonts w:cs="Arial"/>
                <w:szCs w:val="22"/>
                <w:lang w:eastAsia="it-IT"/>
              </w:rPr>
              <w:t>Встановлення перил, поручнів, огорож.</w:t>
            </w:r>
          </w:p>
          <w:p w14:paraId="7949AF25" w14:textId="77777777" w:rsidR="005342D5" w:rsidRPr="0019790A" w:rsidRDefault="005342D5" w:rsidP="0019790A">
            <w:pPr>
              <w:numPr>
                <w:ilvl w:val="0"/>
                <w:numId w:val="143"/>
              </w:numPr>
              <w:tabs>
                <w:tab w:val="left" w:pos="186"/>
              </w:tabs>
              <w:ind w:hanging="720"/>
              <w:rPr>
                <w:rFonts w:cs="Arial"/>
                <w:szCs w:val="22"/>
                <w:lang w:eastAsia="it-IT"/>
              </w:rPr>
            </w:pPr>
            <w:r w:rsidRPr="0019790A">
              <w:rPr>
                <w:rFonts w:cs="Arial"/>
                <w:szCs w:val="22"/>
                <w:lang w:eastAsia="it-IT"/>
              </w:rPr>
              <w:t>Облаштування безбар’єрного доступу.</w:t>
            </w:r>
          </w:p>
          <w:p w14:paraId="1AD11DBF" w14:textId="77777777" w:rsidR="005342D5" w:rsidRPr="0019790A" w:rsidRDefault="005342D5" w:rsidP="0019790A">
            <w:pPr>
              <w:numPr>
                <w:ilvl w:val="0"/>
                <w:numId w:val="143"/>
              </w:numPr>
              <w:tabs>
                <w:tab w:val="left" w:pos="186"/>
              </w:tabs>
              <w:ind w:hanging="720"/>
              <w:rPr>
                <w:rFonts w:cs="Arial"/>
                <w:szCs w:val="22"/>
                <w:lang w:eastAsia="it-IT"/>
              </w:rPr>
            </w:pPr>
            <w:r w:rsidRPr="0019790A">
              <w:rPr>
                <w:rFonts w:cs="Arial"/>
                <w:szCs w:val="22"/>
                <w:lang w:eastAsia="it-IT"/>
              </w:rPr>
              <w:t>Благоустрій прилеглої території (за потреби).</w:t>
            </w:r>
          </w:p>
        </w:tc>
      </w:tr>
      <w:tr w:rsidR="005342D5" w:rsidRPr="0019790A" w14:paraId="4B1E4698" w14:textId="77777777" w:rsidTr="00CF3AAE">
        <w:trPr>
          <w:jc w:val="right"/>
        </w:trPr>
        <w:tc>
          <w:tcPr>
            <w:tcW w:w="3425" w:type="dxa"/>
            <w:shd w:val="clear" w:color="auto" w:fill="FFFFFF"/>
            <w:vAlign w:val="center"/>
          </w:tcPr>
          <w:p w14:paraId="3276569C" w14:textId="77777777" w:rsidR="005342D5" w:rsidRPr="0019790A" w:rsidRDefault="005342D5"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794" w:type="dxa"/>
            <w:gridSpan w:val="9"/>
          </w:tcPr>
          <w:p w14:paraId="00E56449" w14:textId="77777777" w:rsidR="005342D5" w:rsidRPr="0019790A" w:rsidRDefault="005342D5" w:rsidP="0019790A">
            <w:pPr>
              <w:numPr>
                <w:ilvl w:val="0"/>
                <w:numId w:val="144"/>
              </w:numPr>
              <w:ind w:left="328" w:hanging="250"/>
              <w:rPr>
                <w:rFonts w:cs="Arial"/>
                <w:szCs w:val="22"/>
                <w:lang w:eastAsia="it-IT"/>
              </w:rPr>
            </w:pPr>
            <w:r w:rsidRPr="0019790A">
              <w:rPr>
                <w:rFonts w:cs="Arial"/>
                <w:szCs w:val="22"/>
                <w:lang w:eastAsia="it-IT"/>
              </w:rPr>
              <w:t>Повне відновлення функціональності трибуни (100% сидінь у справному стані).</w:t>
            </w:r>
          </w:p>
          <w:p w14:paraId="7B44EE2D" w14:textId="77777777" w:rsidR="005342D5" w:rsidRPr="0019790A" w:rsidRDefault="005342D5" w:rsidP="0019790A">
            <w:pPr>
              <w:numPr>
                <w:ilvl w:val="0"/>
                <w:numId w:val="144"/>
              </w:numPr>
              <w:ind w:left="328" w:hanging="250"/>
              <w:rPr>
                <w:rFonts w:cs="Arial"/>
                <w:szCs w:val="22"/>
                <w:lang w:eastAsia="it-IT"/>
              </w:rPr>
            </w:pPr>
            <w:r w:rsidRPr="0019790A">
              <w:rPr>
                <w:rFonts w:cs="Arial"/>
                <w:szCs w:val="22"/>
                <w:lang w:eastAsia="it-IT"/>
              </w:rPr>
              <w:t>Забезпечення безпечного перебування не менше ніж 500 осіб одночасно.</w:t>
            </w:r>
          </w:p>
          <w:p w14:paraId="1E723441" w14:textId="77777777" w:rsidR="005342D5" w:rsidRPr="0019790A" w:rsidRDefault="005342D5" w:rsidP="0019790A">
            <w:pPr>
              <w:numPr>
                <w:ilvl w:val="0"/>
                <w:numId w:val="144"/>
              </w:numPr>
              <w:ind w:left="328" w:hanging="250"/>
              <w:rPr>
                <w:rFonts w:cs="Arial"/>
                <w:szCs w:val="22"/>
                <w:lang w:eastAsia="it-IT"/>
              </w:rPr>
            </w:pPr>
            <w:r w:rsidRPr="0019790A">
              <w:rPr>
                <w:rFonts w:cs="Arial"/>
                <w:szCs w:val="22"/>
                <w:lang w:eastAsia="it-IT"/>
              </w:rPr>
              <w:t>Наявність умов доступності для маломобільних груп.</w:t>
            </w:r>
          </w:p>
          <w:p w14:paraId="1E4B6307" w14:textId="77777777" w:rsidR="005342D5" w:rsidRPr="0019790A" w:rsidRDefault="005342D5" w:rsidP="0019790A">
            <w:pPr>
              <w:numPr>
                <w:ilvl w:val="0"/>
                <w:numId w:val="144"/>
              </w:numPr>
              <w:ind w:left="328" w:hanging="250"/>
              <w:rPr>
                <w:rFonts w:cs="Arial"/>
                <w:szCs w:val="22"/>
                <w:lang w:eastAsia="it-IT"/>
              </w:rPr>
            </w:pPr>
            <w:r w:rsidRPr="0019790A">
              <w:rPr>
                <w:rFonts w:cs="Arial"/>
                <w:szCs w:val="22"/>
                <w:lang w:eastAsia="it-IT"/>
              </w:rPr>
              <w:t>Проведення не менше 10 спортивних або культурних заходів на рік.</w:t>
            </w:r>
          </w:p>
          <w:p w14:paraId="4D22CCF9" w14:textId="77777777" w:rsidR="005342D5" w:rsidRPr="0019790A" w:rsidRDefault="005342D5" w:rsidP="0019790A">
            <w:pPr>
              <w:numPr>
                <w:ilvl w:val="0"/>
                <w:numId w:val="144"/>
              </w:numPr>
              <w:ind w:left="328" w:hanging="250"/>
              <w:rPr>
                <w:rFonts w:cs="Arial"/>
                <w:szCs w:val="22"/>
                <w:lang w:eastAsia="it-IT"/>
              </w:rPr>
            </w:pPr>
            <w:r w:rsidRPr="0019790A">
              <w:rPr>
                <w:rFonts w:cs="Arial"/>
                <w:szCs w:val="22"/>
                <w:lang w:eastAsia="it-IT"/>
              </w:rPr>
              <w:t>Позитивна оцінка з боку користувачів (не менше 85% задоволених відвідувачів).</w:t>
            </w:r>
          </w:p>
        </w:tc>
      </w:tr>
      <w:tr w:rsidR="005342D5" w:rsidRPr="0019790A" w14:paraId="02853BE6" w14:textId="77777777" w:rsidTr="00CF3AAE">
        <w:trPr>
          <w:jc w:val="right"/>
        </w:trPr>
        <w:tc>
          <w:tcPr>
            <w:tcW w:w="3425" w:type="dxa"/>
            <w:shd w:val="clear" w:color="auto" w:fill="FFFFFF"/>
            <w:vAlign w:val="center"/>
          </w:tcPr>
          <w:p w14:paraId="638722C3" w14:textId="77777777" w:rsidR="005342D5" w:rsidRPr="0019790A" w:rsidRDefault="005342D5" w:rsidP="0019790A">
            <w:pPr>
              <w:rPr>
                <w:rFonts w:cs="Arial"/>
                <w:b/>
                <w:color w:val="000000"/>
                <w:szCs w:val="22"/>
              </w:rPr>
            </w:pPr>
            <w:r w:rsidRPr="0019790A">
              <w:rPr>
                <w:rFonts w:cs="Arial"/>
                <w:b/>
                <w:color w:val="000000"/>
                <w:szCs w:val="22"/>
              </w:rPr>
              <w:t xml:space="preserve">Період здійснення: </w:t>
            </w:r>
          </w:p>
        </w:tc>
        <w:tc>
          <w:tcPr>
            <w:tcW w:w="6794" w:type="dxa"/>
            <w:gridSpan w:val="9"/>
            <w:vAlign w:val="center"/>
          </w:tcPr>
          <w:p w14:paraId="524D821C" w14:textId="77777777" w:rsidR="005342D5" w:rsidRPr="0019790A" w:rsidRDefault="005342D5" w:rsidP="0019790A">
            <w:pPr>
              <w:rPr>
                <w:rFonts w:cs="Arial"/>
                <w:color w:val="000000"/>
                <w:szCs w:val="22"/>
                <w:lang w:eastAsia="it-IT"/>
              </w:rPr>
            </w:pPr>
            <w:r w:rsidRPr="0019790A">
              <w:rPr>
                <w:rFonts w:cs="Arial"/>
                <w:b/>
                <w:color w:val="000000"/>
                <w:szCs w:val="22"/>
              </w:rPr>
              <w:t>2025 – 2028 роки:</w:t>
            </w:r>
          </w:p>
        </w:tc>
      </w:tr>
      <w:tr w:rsidR="005342D5" w:rsidRPr="0019790A" w14:paraId="0997EE65" w14:textId="77777777" w:rsidTr="00CF3AAE">
        <w:trPr>
          <w:jc w:val="right"/>
        </w:trPr>
        <w:tc>
          <w:tcPr>
            <w:tcW w:w="3425" w:type="dxa"/>
            <w:vMerge w:val="restart"/>
            <w:shd w:val="clear" w:color="auto" w:fill="FFFFFF"/>
            <w:vAlign w:val="center"/>
          </w:tcPr>
          <w:p w14:paraId="4C57A438" w14:textId="77777777" w:rsidR="005342D5" w:rsidRPr="0019790A" w:rsidRDefault="005342D5" w:rsidP="0019790A">
            <w:pPr>
              <w:rPr>
                <w:rFonts w:cs="Arial"/>
                <w:b/>
                <w:bCs/>
                <w:color w:val="000000"/>
                <w:szCs w:val="22"/>
              </w:rPr>
            </w:pPr>
            <w:r w:rsidRPr="0019790A">
              <w:rPr>
                <w:rFonts w:cs="Arial"/>
                <w:b/>
                <w:bCs/>
                <w:color w:val="000000"/>
                <w:szCs w:val="22"/>
              </w:rPr>
              <w:t>Орієнтовна вартість проєкту, тис. грн., в тому числі:</w:t>
            </w:r>
          </w:p>
        </w:tc>
        <w:tc>
          <w:tcPr>
            <w:tcW w:w="1254" w:type="dxa"/>
            <w:gridSpan w:val="2"/>
            <w:shd w:val="clear" w:color="auto" w:fill="E6E6E6"/>
            <w:vAlign w:val="center"/>
          </w:tcPr>
          <w:p w14:paraId="5943E4FE"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2025</w:t>
            </w:r>
          </w:p>
        </w:tc>
        <w:tc>
          <w:tcPr>
            <w:tcW w:w="1275" w:type="dxa"/>
            <w:gridSpan w:val="2"/>
            <w:shd w:val="clear" w:color="auto" w:fill="E6E6E6"/>
            <w:vAlign w:val="center"/>
          </w:tcPr>
          <w:p w14:paraId="1CB4BD4A"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2026</w:t>
            </w:r>
          </w:p>
        </w:tc>
        <w:tc>
          <w:tcPr>
            <w:tcW w:w="1418" w:type="dxa"/>
            <w:gridSpan w:val="2"/>
            <w:tcBorders>
              <w:bottom w:val="single" w:sz="4" w:space="0" w:color="auto"/>
            </w:tcBorders>
            <w:shd w:val="clear" w:color="auto" w:fill="E6E6E6"/>
            <w:vAlign w:val="center"/>
          </w:tcPr>
          <w:p w14:paraId="5CCE91A1"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2027</w:t>
            </w:r>
          </w:p>
        </w:tc>
        <w:tc>
          <w:tcPr>
            <w:tcW w:w="1276" w:type="dxa"/>
            <w:gridSpan w:val="2"/>
            <w:shd w:val="clear" w:color="auto" w:fill="E6E6E6"/>
            <w:vAlign w:val="center"/>
          </w:tcPr>
          <w:p w14:paraId="7BB5ADD8"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2028</w:t>
            </w:r>
          </w:p>
        </w:tc>
        <w:tc>
          <w:tcPr>
            <w:tcW w:w="1571" w:type="dxa"/>
            <w:shd w:val="clear" w:color="auto" w:fill="E6E6E6"/>
            <w:vAlign w:val="center"/>
          </w:tcPr>
          <w:p w14:paraId="03DB27F1"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РАЗОМ</w:t>
            </w:r>
          </w:p>
        </w:tc>
      </w:tr>
      <w:tr w:rsidR="005342D5" w:rsidRPr="0019790A" w14:paraId="3DCF7CDE" w14:textId="77777777" w:rsidTr="00CF3AAE">
        <w:trPr>
          <w:jc w:val="right"/>
        </w:trPr>
        <w:tc>
          <w:tcPr>
            <w:tcW w:w="3425" w:type="dxa"/>
            <w:vMerge/>
            <w:shd w:val="clear" w:color="auto" w:fill="FFFFFF"/>
            <w:vAlign w:val="center"/>
          </w:tcPr>
          <w:p w14:paraId="24A141C1" w14:textId="77777777" w:rsidR="005342D5" w:rsidRPr="0019790A" w:rsidRDefault="005342D5" w:rsidP="0019790A">
            <w:pPr>
              <w:rPr>
                <w:rFonts w:cs="Arial"/>
                <w:b/>
                <w:bCs/>
                <w:color w:val="000000"/>
                <w:szCs w:val="22"/>
              </w:rPr>
            </w:pPr>
          </w:p>
        </w:tc>
        <w:tc>
          <w:tcPr>
            <w:tcW w:w="1254" w:type="dxa"/>
            <w:gridSpan w:val="2"/>
            <w:vAlign w:val="center"/>
          </w:tcPr>
          <w:p w14:paraId="59645145" w14:textId="77777777" w:rsidR="005342D5" w:rsidRPr="0019790A" w:rsidRDefault="005342D5" w:rsidP="0019790A">
            <w:pPr>
              <w:jc w:val="center"/>
              <w:rPr>
                <w:rFonts w:cs="Arial"/>
                <w:b/>
                <w:color w:val="000000"/>
                <w:szCs w:val="22"/>
                <w:lang w:eastAsia="it-IT"/>
              </w:rPr>
            </w:pPr>
          </w:p>
        </w:tc>
        <w:tc>
          <w:tcPr>
            <w:tcW w:w="1275" w:type="dxa"/>
            <w:gridSpan w:val="2"/>
            <w:shd w:val="clear" w:color="auto" w:fill="FFFFFF"/>
            <w:vAlign w:val="center"/>
          </w:tcPr>
          <w:p w14:paraId="788E9AD5" w14:textId="77777777" w:rsidR="005342D5" w:rsidRPr="0019790A" w:rsidRDefault="005342D5" w:rsidP="0019790A">
            <w:pPr>
              <w:jc w:val="center"/>
              <w:rPr>
                <w:rFonts w:cs="Arial"/>
                <w:b/>
                <w:color w:val="000000"/>
                <w:szCs w:val="22"/>
                <w:lang w:eastAsia="it-IT"/>
              </w:rPr>
            </w:pPr>
          </w:p>
        </w:tc>
        <w:tc>
          <w:tcPr>
            <w:tcW w:w="1418" w:type="dxa"/>
            <w:gridSpan w:val="2"/>
            <w:shd w:val="clear" w:color="auto" w:fill="auto"/>
            <w:vAlign w:val="center"/>
          </w:tcPr>
          <w:p w14:paraId="11D6C442" w14:textId="77777777" w:rsidR="005342D5" w:rsidRPr="0019790A" w:rsidRDefault="005342D5" w:rsidP="0019790A">
            <w:pPr>
              <w:jc w:val="center"/>
              <w:rPr>
                <w:rFonts w:cs="Arial"/>
                <w:b/>
                <w:color w:val="000000"/>
                <w:szCs w:val="22"/>
                <w:lang w:eastAsia="it-IT"/>
              </w:rPr>
            </w:pPr>
          </w:p>
        </w:tc>
        <w:tc>
          <w:tcPr>
            <w:tcW w:w="1276" w:type="dxa"/>
            <w:gridSpan w:val="2"/>
            <w:shd w:val="clear" w:color="auto" w:fill="FFFFFF"/>
            <w:vAlign w:val="center"/>
          </w:tcPr>
          <w:p w14:paraId="7733DA96"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50000,0</w:t>
            </w:r>
          </w:p>
        </w:tc>
        <w:tc>
          <w:tcPr>
            <w:tcW w:w="1571" w:type="dxa"/>
            <w:shd w:val="clear" w:color="auto" w:fill="FFFFFF"/>
            <w:vAlign w:val="center"/>
          </w:tcPr>
          <w:p w14:paraId="1B5598B1"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50000,0</w:t>
            </w:r>
          </w:p>
        </w:tc>
      </w:tr>
      <w:tr w:rsidR="005342D5" w:rsidRPr="0019790A" w14:paraId="1F414A80" w14:textId="77777777" w:rsidTr="00CF3AAE">
        <w:trPr>
          <w:trHeight w:val="276"/>
          <w:jc w:val="right"/>
        </w:trPr>
        <w:tc>
          <w:tcPr>
            <w:tcW w:w="3425" w:type="dxa"/>
            <w:shd w:val="clear" w:color="auto" w:fill="FFFFFF"/>
            <w:vAlign w:val="center"/>
          </w:tcPr>
          <w:p w14:paraId="5BF61DD3" w14:textId="77777777" w:rsidR="005342D5" w:rsidRPr="0019790A" w:rsidRDefault="005342D5" w:rsidP="0019790A">
            <w:pPr>
              <w:rPr>
                <w:rFonts w:cs="Arial"/>
                <w:b/>
                <w:bCs/>
                <w:color w:val="000000"/>
                <w:szCs w:val="22"/>
              </w:rPr>
            </w:pPr>
            <w:r w:rsidRPr="0019790A">
              <w:rPr>
                <w:rFonts w:cs="Arial"/>
                <w:b/>
                <w:bCs/>
                <w:color w:val="000000"/>
                <w:szCs w:val="22"/>
              </w:rPr>
              <w:t>по джерелах фінансування:</w:t>
            </w:r>
          </w:p>
        </w:tc>
        <w:tc>
          <w:tcPr>
            <w:tcW w:w="6794" w:type="dxa"/>
            <w:gridSpan w:val="9"/>
            <w:vAlign w:val="center"/>
          </w:tcPr>
          <w:p w14:paraId="0BE304F1" w14:textId="77777777" w:rsidR="005342D5" w:rsidRPr="0019790A" w:rsidRDefault="005342D5" w:rsidP="0019790A">
            <w:pPr>
              <w:jc w:val="both"/>
              <w:rPr>
                <w:rFonts w:cs="Arial"/>
                <w:color w:val="000000"/>
                <w:szCs w:val="22"/>
                <w:lang w:eastAsia="it-IT"/>
              </w:rPr>
            </w:pPr>
          </w:p>
        </w:tc>
      </w:tr>
      <w:tr w:rsidR="009873B2" w:rsidRPr="0019790A" w14:paraId="19E8EB8B" w14:textId="77E27196" w:rsidTr="009873B2">
        <w:trPr>
          <w:trHeight w:val="240"/>
          <w:jc w:val="right"/>
        </w:trPr>
        <w:tc>
          <w:tcPr>
            <w:tcW w:w="3425" w:type="dxa"/>
            <w:shd w:val="clear" w:color="auto" w:fill="FFFFFF"/>
            <w:vAlign w:val="center"/>
          </w:tcPr>
          <w:p w14:paraId="26D3C5C7" w14:textId="77777777" w:rsidR="009873B2" w:rsidRPr="0019790A" w:rsidRDefault="009873B2" w:rsidP="0019790A">
            <w:pPr>
              <w:rPr>
                <w:rFonts w:cs="Arial"/>
                <w:b/>
                <w:bCs/>
                <w:color w:val="000000"/>
                <w:szCs w:val="22"/>
              </w:rPr>
            </w:pPr>
            <w:r w:rsidRPr="0019790A">
              <w:rPr>
                <w:rFonts w:cs="Arial"/>
                <w:color w:val="000000"/>
                <w:szCs w:val="22"/>
              </w:rPr>
              <w:t>- державний бюджет</w:t>
            </w:r>
          </w:p>
        </w:tc>
        <w:tc>
          <w:tcPr>
            <w:tcW w:w="1215" w:type="dxa"/>
            <w:vAlign w:val="center"/>
          </w:tcPr>
          <w:p w14:paraId="25571C64" w14:textId="0987DD76" w:rsidR="009873B2" w:rsidRPr="0019790A" w:rsidRDefault="009873B2" w:rsidP="009873B2">
            <w:pPr>
              <w:jc w:val="center"/>
              <w:rPr>
                <w:rFonts w:cs="Arial"/>
                <w:color w:val="000000"/>
                <w:szCs w:val="22"/>
                <w:lang w:eastAsia="it-IT"/>
              </w:rPr>
            </w:pPr>
          </w:p>
        </w:tc>
        <w:tc>
          <w:tcPr>
            <w:tcW w:w="1289" w:type="dxa"/>
            <w:gridSpan w:val="2"/>
            <w:vAlign w:val="center"/>
          </w:tcPr>
          <w:p w14:paraId="2E4D8341" w14:textId="77777777" w:rsidR="009873B2" w:rsidRPr="0019790A" w:rsidRDefault="009873B2" w:rsidP="009873B2">
            <w:pPr>
              <w:jc w:val="center"/>
              <w:rPr>
                <w:rFonts w:cs="Arial"/>
                <w:color w:val="000000"/>
                <w:szCs w:val="22"/>
                <w:lang w:eastAsia="it-IT"/>
              </w:rPr>
            </w:pPr>
          </w:p>
        </w:tc>
        <w:tc>
          <w:tcPr>
            <w:tcW w:w="1415" w:type="dxa"/>
            <w:gridSpan w:val="2"/>
            <w:vAlign w:val="center"/>
          </w:tcPr>
          <w:p w14:paraId="3B212447" w14:textId="7CB45C80" w:rsidR="009873B2" w:rsidRPr="0019790A" w:rsidRDefault="009873B2" w:rsidP="009873B2">
            <w:pPr>
              <w:jc w:val="center"/>
              <w:rPr>
                <w:rFonts w:cs="Arial"/>
                <w:color w:val="000000"/>
                <w:szCs w:val="22"/>
                <w:lang w:eastAsia="it-IT"/>
              </w:rPr>
            </w:pPr>
          </w:p>
        </w:tc>
        <w:tc>
          <w:tcPr>
            <w:tcW w:w="1278" w:type="dxa"/>
            <w:gridSpan w:val="2"/>
            <w:vAlign w:val="center"/>
          </w:tcPr>
          <w:p w14:paraId="09F83E14" w14:textId="500DC3E6" w:rsidR="009873B2" w:rsidRPr="0019790A" w:rsidRDefault="009873B2" w:rsidP="009873B2">
            <w:pPr>
              <w:ind w:left="230"/>
              <w:jc w:val="center"/>
              <w:rPr>
                <w:rFonts w:cs="Arial"/>
                <w:color w:val="000000"/>
                <w:szCs w:val="22"/>
                <w:lang w:eastAsia="it-IT"/>
              </w:rPr>
            </w:pPr>
            <w:r w:rsidRPr="0019790A">
              <w:rPr>
                <w:rFonts w:cs="Arial"/>
                <w:color w:val="000000"/>
                <w:szCs w:val="22"/>
                <w:lang w:eastAsia="it-IT"/>
              </w:rPr>
              <w:t>37500,0</w:t>
            </w:r>
          </w:p>
        </w:tc>
        <w:tc>
          <w:tcPr>
            <w:tcW w:w="1597" w:type="dxa"/>
            <w:gridSpan w:val="2"/>
            <w:vAlign w:val="center"/>
          </w:tcPr>
          <w:p w14:paraId="452C7929" w14:textId="4F9C470D" w:rsidR="009873B2" w:rsidRPr="0019790A" w:rsidRDefault="009873B2" w:rsidP="009873B2">
            <w:pPr>
              <w:ind w:left="356"/>
              <w:jc w:val="center"/>
              <w:rPr>
                <w:rFonts w:cs="Arial"/>
                <w:color w:val="000000"/>
                <w:szCs w:val="22"/>
                <w:lang w:eastAsia="it-IT"/>
              </w:rPr>
            </w:pPr>
            <w:r w:rsidRPr="0019790A">
              <w:rPr>
                <w:rFonts w:cs="Arial"/>
                <w:color w:val="000000"/>
                <w:szCs w:val="22"/>
                <w:lang w:eastAsia="it-IT"/>
              </w:rPr>
              <w:t>37500,0</w:t>
            </w:r>
          </w:p>
        </w:tc>
      </w:tr>
      <w:tr w:rsidR="009873B2" w:rsidRPr="0019790A" w14:paraId="4AD64134" w14:textId="17CF0BAC" w:rsidTr="009873B2">
        <w:trPr>
          <w:trHeight w:val="254"/>
          <w:jc w:val="right"/>
        </w:trPr>
        <w:tc>
          <w:tcPr>
            <w:tcW w:w="3425" w:type="dxa"/>
            <w:shd w:val="clear" w:color="auto" w:fill="FFFFFF"/>
            <w:vAlign w:val="center"/>
          </w:tcPr>
          <w:p w14:paraId="17A0E45A" w14:textId="77777777" w:rsidR="009873B2" w:rsidRPr="0019790A" w:rsidRDefault="009873B2" w:rsidP="0019790A">
            <w:pPr>
              <w:rPr>
                <w:rFonts w:cs="Arial"/>
                <w:color w:val="000000"/>
                <w:szCs w:val="22"/>
              </w:rPr>
            </w:pPr>
            <w:r w:rsidRPr="0019790A">
              <w:rPr>
                <w:rFonts w:cs="Arial"/>
                <w:color w:val="000000"/>
                <w:szCs w:val="22"/>
              </w:rPr>
              <w:t>- обласний бюджет</w:t>
            </w:r>
          </w:p>
        </w:tc>
        <w:tc>
          <w:tcPr>
            <w:tcW w:w="1215" w:type="dxa"/>
            <w:vAlign w:val="center"/>
          </w:tcPr>
          <w:p w14:paraId="126514A9" w14:textId="70DD8C1D" w:rsidR="009873B2" w:rsidRPr="0019790A" w:rsidRDefault="009873B2" w:rsidP="009873B2">
            <w:pPr>
              <w:jc w:val="center"/>
              <w:rPr>
                <w:rFonts w:cs="Arial"/>
                <w:color w:val="000000"/>
                <w:szCs w:val="22"/>
                <w:lang w:eastAsia="it-IT"/>
              </w:rPr>
            </w:pPr>
          </w:p>
        </w:tc>
        <w:tc>
          <w:tcPr>
            <w:tcW w:w="1289" w:type="dxa"/>
            <w:gridSpan w:val="2"/>
            <w:vAlign w:val="center"/>
          </w:tcPr>
          <w:p w14:paraId="7F68026E" w14:textId="77777777" w:rsidR="009873B2" w:rsidRPr="0019790A" w:rsidRDefault="009873B2" w:rsidP="009873B2">
            <w:pPr>
              <w:jc w:val="center"/>
              <w:rPr>
                <w:rFonts w:cs="Arial"/>
                <w:color w:val="000000"/>
                <w:szCs w:val="22"/>
                <w:lang w:eastAsia="it-IT"/>
              </w:rPr>
            </w:pPr>
          </w:p>
        </w:tc>
        <w:tc>
          <w:tcPr>
            <w:tcW w:w="1415" w:type="dxa"/>
            <w:gridSpan w:val="2"/>
            <w:vAlign w:val="center"/>
          </w:tcPr>
          <w:p w14:paraId="65DE1F23" w14:textId="6DE82F35" w:rsidR="009873B2" w:rsidRPr="0019790A" w:rsidRDefault="009873B2" w:rsidP="009873B2">
            <w:pPr>
              <w:jc w:val="center"/>
              <w:rPr>
                <w:rFonts w:cs="Arial"/>
                <w:color w:val="000000"/>
                <w:szCs w:val="22"/>
                <w:lang w:eastAsia="it-IT"/>
              </w:rPr>
            </w:pPr>
          </w:p>
        </w:tc>
        <w:tc>
          <w:tcPr>
            <w:tcW w:w="1278" w:type="dxa"/>
            <w:gridSpan w:val="2"/>
            <w:vAlign w:val="center"/>
          </w:tcPr>
          <w:p w14:paraId="357ED056" w14:textId="162007F6" w:rsidR="009873B2" w:rsidRPr="0019790A" w:rsidRDefault="009873B2" w:rsidP="009873B2">
            <w:pPr>
              <w:ind w:left="230"/>
              <w:jc w:val="center"/>
              <w:rPr>
                <w:rFonts w:cs="Arial"/>
                <w:color w:val="000000"/>
                <w:szCs w:val="22"/>
                <w:lang w:eastAsia="it-IT"/>
              </w:rPr>
            </w:pPr>
          </w:p>
        </w:tc>
        <w:tc>
          <w:tcPr>
            <w:tcW w:w="1597" w:type="dxa"/>
            <w:gridSpan w:val="2"/>
            <w:vAlign w:val="center"/>
          </w:tcPr>
          <w:p w14:paraId="7CFF737D" w14:textId="23C0C629" w:rsidR="009873B2" w:rsidRPr="0019790A" w:rsidRDefault="009873B2" w:rsidP="009873B2">
            <w:pPr>
              <w:jc w:val="center"/>
              <w:rPr>
                <w:rFonts w:cs="Arial"/>
                <w:color w:val="000000"/>
                <w:szCs w:val="22"/>
                <w:lang w:eastAsia="it-IT"/>
              </w:rPr>
            </w:pPr>
          </w:p>
        </w:tc>
      </w:tr>
      <w:tr w:rsidR="009873B2" w:rsidRPr="0019790A" w14:paraId="37337FCD" w14:textId="7DAFBF95" w:rsidTr="009873B2">
        <w:trPr>
          <w:trHeight w:val="275"/>
          <w:jc w:val="right"/>
        </w:trPr>
        <w:tc>
          <w:tcPr>
            <w:tcW w:w="3425" w:type="dxa"/>
            <w:shd w:val="clear" w:color="auto" w:fill="FFFFFF"/>
            <w:vAlign w:val="center"/>
          </w:tcPr>
          <w:p w14:paraId="18904F5F" w14:textId="77777777" w:rsidR="009873B2" w:rsidRPr="0019790A" w:rsidRDefault="009873B2" w:rsidP="0019790A">
            <w:pPr>
              <w:rPr>
                <w:rFonts w:cs="Arial"/>
                <w:color w:val="000000"/>
                <w:szCs w:val="22"/>
              </w:rPr>
            </w:pPr>
            <w:r w:rsidRPr="0019790A">
              <w:rPr>
                <w:rFonts w:cs="Arial"/>
                <w:color w:val="000000"/>
                <w:szCs w:val="22"/>
              </w:rPr>
              <w:t>- бюджет Жмеринської МТГ</w:t>
            </w:r>
          </w:p>
        </w:tc>
        <w:tc>
          <w:tcPr>
            <w:tcW w:w="1215" w:type="dxa"/>
            <w:vAlign w:val="center"/>
          </w:tcPr>
          <w:p w14:paraId="73419D11" w14:textId="744E770C" w:rsidR="009873B2" w:rsidRPr="0019790A" w:rsidRDefault="009873B2" w:rsidP="009873B2">
            <w:pPr>
              <w:jc w:val="center"/>
              <w:rPr>
                <w:rFonts w:cs="Arial"/>
                <w:color w:val="000000"/>
                <w:szCs w:val="22"/>
                <w:lang w:eastAsia="it-IT"/>
              </w:rPr>
            </w:pPr>
          </w:p>
        </w:tc>
        <w:tc>
          <w:tcPr>
            <w:tcW w:w="1289" w:type="dxa"/>
            <w:gridSpan w:val="2"/>
            <w:vAlign w:val="center"/>
          </w:tcPr>
          <w:p w14:paraId="38AE53A3" w14:textId="77777777" w:rsidR="009873B2" w:rsidRPr="0019790A" w:rsidRDefault="009873B2" w:rsidP="009873B2">
            <w:pPr>
              <w:jc w:val="center"/>
              <w:rPr>
                <w:rFonts w:cs="Arial"/>
                <w:color w:val="000000"/>
                <w:szCs w:val="22"/>
                <w:lang w:eastAsia="it-IT"/>
              </w:rPr>
            </w:pPr>
          </w:p>
        </w:tc>
        <w:tc>
          <w:tcPr>
            <w:tcW w:w="1415" w:type="dxa"/>
            <w:gridSpan w:val="2"/>
            <w:vAlign w:val="center"/>
          </w:tcPr>
          <w:p w14:paraId="7CB373DF" w14:textId="384E8E1A" w:rsidR="009873B2" w:rsidRPr="0019790A" w:rsidRDefault="009873B2" w:rsidP="009873B2">
            <w:pPr>
              <w:jc w:val="center"/>
              <w:rPr>
                <w:rFonts w:cs="Arial"/>
                <w:color w:val="000000"/>
                <w:szCs w:val="22"/>
                <w:lang w:eastAsia="it-IT"/>
              </w:rPr>
            </w:pPr>
          </w:p>
        </w:tc>
        <w:tc>
          <w:tcPr>
            <w:tcW w:w="1278" w:type="dxa"/>
            <w:gridSpan w:val="2"/>
            <w:vAlign w:val="center"/>
          </w:tcPr>
          <w:p w14:paraId="56A01C06" w14:textId="4284D385" w:rsidR="009873B2" w:rsidRPr="0019790A" w:rsidRDefault="009873B2" w:rsidP="009873B2">
            <w:pPr>
              <w:ind w:left="230"/>
              <w:jc w:val="center"/>
              <w:rPr>
                <w:rFonts w:cs="Arial"/>
                <w:color w:val="000000"/>
                <w:szCs w:val="22"/>
                <w:lang w:eastAsia="it-IT"/>
              </w:rPr>
            </w:pPr>
            <w:r w:rsidRPr="0019790A">
              <w:rPr>
                <w:rFonts w:cs="Arial"/>
                <w:color w:val="000000"/>
                <w:szCs w:val="22"/>
                <w:lang w:eastAsia="it-IT"/>
              </w:rPr>
              <w:t>12500,0</w:t>
            </w:r>
          </w:p>
        </w:tc>
        <w:tc>
          <w:tcPr>
            <w:tcW w:w="1597" w:type="dxa"/>
            <w:gridSpan w:val="2"/>
            <w:vAlign w:val="center"/>
          </w:tcPr>
          <w:p w14:paraId="5A55B981" w14:textId="395E90D2" w:rsidR="009873B2" w:rsidRPr="0019790A" w:rsidRDefault="009873B2" w:rsidP="009873B2">
            <w:pPr>
              <w:ind w:left="356"/>
              <w:jc w:val="center"/>
              <w:rPr>
                <w:rFonts w:cs="Arial"/>
                <w:color w:val="000000"/>
                <w:szCs w:val="22"/>
                <w:lang w:eastAsia="it-IT"/>
              </w:rPr>
            </w:pPr>
            <w:r w:rsidRPr="0019790A">
              <w:rPr>
                <w:rFonts w:cs="Arial"/>
                <w:color w:val="000000"/>
                <w:szCs w:val="22"/>
                <w:lang w:eastAsia="it-IT"/>
              </w:rPr>
              <w:t>12500,0</w:t>
            </w:r>
          </w:p>
        </w:tc>
      </w:tr>
      <w:tr w:rsidR="009873B2" w:rsidRPr="0019790A" w14:paraId="1A421DFE" w14:textId="0D5DF9F6" w:rsidTr="009873B2">
        <w:trPr>
          <w:trHeight w:val="226"/>
          <w:jc w:val="right"/>
        </w:trPr>
        <w:tc>
          <w:tcPr>
            <w:tcW w:w="3425" w:type="dxa"/>
            <w:shd w:val="clear" w:color="auto" w:fill="FFFFFF"/>
            <w:vAlign w:val="center"/>
          </w:tcPr>
          <w:p w14:paraId="4DBAA13B" w14:textId="77777777" w:rsidR="009873B2" w:rsidRPr="0019790A" w:rsidRDefault="009873B2" w:rsidP="0019790A">
            <w:pPr>
              <w:rPr>
                <w:rFonts w:cs="Arial"/>
                <w:color w:val="000000"/>
                <w:szCs w:val="22"/>
              </w:rPr>
            </w:pPr>
            <w:r w:rsidRPr="0019790A">
              <w:rPr>
                <w:rFonts w:cs="Arial"/>
                <w:color w:val="000000"/>
                <w:szCs w:val="22"/>
              </w:rPr>
              <w:t>- інші джерела фінансування</w:t>
            </w:r>
          </w:p>
        </w:tc>
        <w:tc>
          <w:tcPr>
            <w:tcW w:w="1215" w:type="dxa"/>
            <w:vAlign w:val="center"/>
          </w:tcPr>
          <w:p w14:paraId="0BC83266" w14:textId="77777777" w:rsidR="009873B2" w:rsidRPr="0019790A" w:rsidRDefault="009873B2" w:rsidP="009873B2">
            <w:pPr>
              <w:jc w:val="center"/>
              <w:rPr>
                <w:rFonts w:cs="Arial"/>
                <w:color w:val="000000"/>
                <w:szCs w:val="22"/>
                <w:lang w:eastAsia="it-IT"/>
              </w:rPr>
            </w:pPr>
          </w:p>
        </w:tc>
        <w:tc>
          <w:tcPr>
            <w:tcW w:w="1289" w:type="dxa"/>
            <w:gridSpan w:val="2"/>
            <w:vAlign w:val="center"/>
          </w:tcPr>
          <w:p w14:paraId="3EA2331D" w14:textId="77777777" w:rsidR="009873B2" w:rsidRPr="0019790A" w:rsidRDefault="009873B2" w:rsidP="009873B2">
            <w:pPr>
              <w:jc w:val="center"/>
              <w:rPr>
                <w:rFonts w:cs="Arial"/>
                <w:color w:val="000000"/>
                <w:szCs w:val="22"/>
                <w:lang w:eastAsia="it-IT"/>
              </w:rPr>
            </w:pPr>
          </w:p>
        </w:tc>
        <w:tc>
          <w:tcPr>
            <w:tcW w:w="1415" w:type="dxa"/>
            <w:gridSpan w:val="2"/>
            <w:vAlign w:val="center"/>
          </w:tcPr>
          <w:p w14:paraId="079037DC" w14:textId="5E034606" w:rsidR="009873B2" w:rsidRPr="0019790A" w:rsidRDefault="009873B2" w:rsidP="009873B2">
            <w:pPr>
              <w:jc w:val="center"/>
              <w:rPr>
                <w:rFonts w:cs="Arial"/>
                <w:color w:val="000000"/>
                <w:szCs w:val="22"/>
                <w:lang w:eastAsia="it-IT"/>
              </w:rPr>
            </w:pPr>
          </w:p>
        </w:tc>
        <w:tc>
          <w:tcPr>
            <w:tcW w:w="1278" w:type="dxa"/>
            <w:gridSpan w:val="2"/>
            <w:vAlign w:val="center"/>
          </w:tcPr>
          <w:p w14:paraId="25EB9A81" w14:textId="18E440A2" w:rsidR="009873B2" w:rsidRPr="0019790A" w:rsidRDefault="009873B2" w:rsidP="009873B2">
            <w:pPr>
              <w:jc w:val="center"/>
              <w:rPr>
                <w:rFonts w:cs="Arial"/>
                <w:color w:val="000000"/>
                <w:szCs w:val="22"/>
                <w:lang w:eastAsia="it-IT"/>
              </w:rPr>
            </w:pPr>
          </w:p>
        </w:tc>
        <w:tc>
          <w:tcPr>
            <w:tcW w:w="1597" w:type="dxa"/>
            <w:gridSpan w:val="2"/>
            <w:vAlign w:val="center"/>
          </w:tcPr>
          <w:p w14:paraId="694AFE63" w14:textId="3392E86E" w:rsidR="009873B2" w:rsidRPr="0019790A" w:rsidRDefault="009873B2" w:rsidP="009873B2">
            <w:pPr>
              <w:jc w:val="center"/>
              <w:rPr>
                <w:rFonts w:cs="Arial"/>
                <w:color w:val="000000"/>
                <w:szCs w:val="22"/>
                <w:lang w:eastAsia="it-IT"/>
              </w:rPr>
            </w:pPr>
          </w:p>
        </w:tc>
      </w:tr>
      <w:tr w:rsidR="005342D5" w:rsidRPr="0019790A" w14:paraId="0F39738A" w14:textId="77777777" w:rsidTr="00CF3AAE">
        <w:trPr>
          <w:jc w:val="right"/>
        </w:trPr>
        <w:tc>
          <w:tcPr>
            <w:tcW w:w="3425" w:type="dxa"/>
            <w:shd w:val="clear" w:color="auto" w:fill="FFFFFF"/>
            <w:vAlign w:val="center"/>
          </w:tcPr>
          <w:p w14:paraId="75854FD1" w14:textId="77777777" w:rsidR="005342D5" w:rsidRPr="0019790A" w:rsidRDefault="005342D5" w:rsidP="0019790A">
            <w:pPr>
              <w:rPr>
                <w:rFonts w:cs="Arial"/>
                <w:b/>
                <w:bCs/>
                <w:color w:val="000000"/>
                <w:szCs w:val="22"/>
              </w:rPr>
            </w:pPr>
            <w:r w:rsidRPr="0019790A">
              <w:rPr>
                <w:rFonts w:cs="Arial"/>
                <w:b/>
                <w:color w:val="000000"/>
                <w:szCs w:val="22"/>
              </w:rPr>
              <w:t>Відповідальний виконавець проєкту:</w:t>
            </w:r>
          </w:p>
        </w:tc>
        <w:tc>
          <w:tcPr>
            <w:tcW w:w="6794" w:type="dxa"/>
            <w:gridSpan w:val="9"/>
            <w:vAlign w:val="center"/>
          </w:tcPr>
          <w:p w14:paraId="31AE8538" w14:textId="675059C4" w:rsidR="005342D5" w:rsidRPr="0019790A" w:rsidRDefault="005342D5" w:rsidP="009873B2">
            <w:pPr>
              <w:jc w:val="both"/>
              <w:rPr>
                <w:rFonts w:cs="Arial"/>
                <w:color w:val="000000"/>
                <w:szCs w:val="22"/>
                <w:lang w:eastAsia="it-IT"/>
              </w:rPr>
            </w:pPr>
            <w:r w:rsidRPr="0019790A">
              <w:rPr>
                <w:rFonts w:cs="Arial"/>
                <w:color w:val="000000"/>
                <w:szCs w:val="22"/>
                <w:lang w:eastAsia="it-IT"/>
              </w:rPr>
              <w:t>Управління житлово-комунального господарства Жмеринської міської ради</w:t>
            </w:r>
          </w:p>
        </w:tc>
      </w:tr>
      <w:tr w:rsidR="005342D5" w:rsidRPr="0019790A" w14:paraId="10E724B3" w14:textId="77777777" w:rsidTr="00CF3AAE">
        <w:trPr>
          <w:jc w:val="right"/>
        </w:trPr>
        <w:tc>
          <w:tcPr>
            <w:tcW w:w="3425" w:type="dxa"/>
            <w:shd w:val="clear" w:color="auto" w:fill="FFFFFF"/>
            <w:vAlign w:val="center"/>
          </w:tcPr>
          <w:p w14:paraId="2A121F78" w14:textId="77777777" w:rsidR="005342D5" w:rsidRPr="0019790A" w:rsidRDefault="005342D5" w:rsidP="0019790A">
            <w:pPr>
              <w:rPr>
                <w:rFonts w:cs="Arial"/>
                <w:b/>
                <w:bCs/>
                <w:color w:val="000000"/>
                <w:szCs w:val="22"/>
              </w:rPr>
            </w:pPr>
            <w:r w:rsidRPr="0019790A">
              <w:rPr>
                <w:rFonts w:cs="Arial"/>
                <w:b/>
                <w:bCs/>
                <w:color w:val="000000"/>
                <w:szCs w:val="22"/>
              </w:rPr>
              <w:t>Інше:</w:t>
            </w:r>
          </w:p>
        </w:tc>
        <w:tc>
          <w:tcPr>
            <w:tcW w:w="6794" w:type="dxa"/>
            <w:gridSpan w:val="9"/>
            <w:vAlign w:val="center"/>
          </w:tcPr>
          <w:p w14:paraId="144E0A20" w14:textId="77777777" w:rsidR="005342D5" w:rsidRPr="0019790A" w:rsidRDefault="005342D5" w:rsidP="0019790A">
            <w:pPr>
              <w:rPr>
                <w:rFonts w:cs="Arial"/>
                <w:color w:val="000000"/>
                <w:szCs w:val="22"/>
                <w:lang w:eastAsia="it-IT"/>
              </w:rPr>
            </w:pPr>
          </w:p>
        </w:tc>
      </w:tr>
    </w:tbl>
    <w:p w14:paraId="0E77ADEA" w14:textId="77777777" w:rsidR="005342D5" w:rsidRPr="0019790A" w:rsidRDefault="005342D5" w:rsidP="0019790A">
      <w:pPr>
        <w:rPr>
          <w:rFonts w:cs="Arial"/>
          <w:szCs w:val="22"/>
        </w:rPr>
      </w:pPr>
    </w:p>
    <w:p w14:paraId="6DE83037" w14:textId="77777777" w:rsidR="009873B2" w:rsidRDefault="009873B2">
      <w:pPr>
        <w:rPr>
          <w:rFonts w:cs="Arial"/>
          <w:b/>
          <w:color w:val="000000"/>
          <w:szCs w:val="22"/>
        </w:rPr>
      </w:pPr>
      <w:r>
        <w:rPr>
          <w:rFonts w:cs="Arial"/>
          <w:b/>
          <w:color w:val="000000"/>
          <w:szCs w:val="22"/>
        </w:rPr>
        <w:br w:type="page"/>
      </w:r>
    </w:p>
    <w:p w14:paraId="1BB06B33" w14:textId="365B76C5" w:rsidR="005342D5" w:rsidRPr="0019790A" w:rsidRDefault="005342D5" w:rsidP="0019790A">
      <w:pPr>
        <w:jc w:val="center"/>
        <w:rPr>
          <w:rFonts w:cs="Arial"/>
          <w:b/>
          <w:color w:val="000000"/>
          <w:szCs w:val="22"/>
        </w:rPr>
      </w:pPr>
      <w:r w:rsidRPr="0019790A">
        <w:rPr>
          <w:rFonts w:cs="Arial"/>
          <w:b/>
          <w:color w:val="000000"/>
          <w:szCs w:val="22"/>
        </w:rPr>
        <w:t xml:space="preserve">Форма технічного завдання на проєкт місцевого розвитку </w:t>
      </w:r>
    </w:p>
    <w:p w14:paraId="5A0D56EC" w14:textId="77777777" w:rsidR="005342D5" w:rsidRPr="0019790A" w:rsidRDefault="005342D5" w:rsidP="0019790A">
      <w:pPr>
        <w:jc w:val="center"/>
        <w:rPr>
          <w:rFonts w:cs="Arial"/>
          <w:b/>
          <w:color w:val="000000"/>
          <w:szCs w:val="22"/>
        </w:rPr>
      </w:pPr>
      <w:r w:rsidRPr="0019790A">
        <w:rPr>
          <w:rFonts w:cs="Arial"/>
          <w:b/>
          <w:color w:val="000000"/>
          <w:szCs w:val="22"/>
        </w:rPr>
        <w:t>до Плану заходів з реалізації Стратегії</w:t>
      </w:r>
    </w:p>
    <w:p w14:paraId="4CCC7BF1" w14:textId="77777777" w:rsidR="005342D5" w:rsidRPr="0019790A" w:rsidRDefault="005342D5"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2"/>
        <w:gridCol w:w="1253"/>
        <w:gridCol w:w="1275"/>
        <w:gridCol w:w="40"/>
        <w:gridCol w:w="1378"/>
        <w:gridCol w:w="1279"/>
        <w:gridCol w:w="1572"/>
      </w:tblGrid>
      <w:tr w:rsidR="005342D5" w:rsidRPr="0019790A" w14:paraId="768600B4" w14:textId="77777777" w:rsidTr="009873B2">
        <w:trPr>
          <w:trHeight w:val="307"/>
          <w:jc w:val="right"/>
        </w:trPr>
        <w:tc>
          <w:tcPr>
            <w:tcW w:w="3424" w:type="dxa"/>
            <w:vAlign w:val="center"/>
          </w:tcPr>
          <w:p w14:paraId="5BBBAF15" w14:textId="77777777" w:rsidR="005342D5" w:rsidRPr="0019790A" w:rsidRDefault="005342D5" w:rsidP="0019790A">
            <w:pPr>
              <w:rPr>
                <w:rFonts w:cs="Arial"/>
                <w:b/>
                <w:bCs/>
                <w:color w:val="000000"/>
                <w:szCs w:val="22"/>
              </w:rPr>
            </w:pPr>
            <w:r w:rsidRPr="0019790A">
              <w:rPr>
                <w:rFonts w:cs="Arial"/>
                <w:b/>
                <w:bCs/>
                <w:color w:val="000000"/>
                <w:szCs w:val="22"/>
              </w:rPr>
              <w:t>Назва проєкту:</w:t>
            </w:r>
          </w:p>
        </w:tc>
        <w:tc>
          <w:tcPr>
            <w:tcW w:w="6795" w:type="dxa"/>
            <w:gridSpan w:val="6"/>
            <w:vAlign w:val="center"/>
          </w:tcPr>
          <w:p w14:paraId="4A388CFF" w14:textId="162DEC11" w:rsidR="005342D5" w:rsidRPr="0019790A" w:rsidRDefault="005342D5" w:rsidP="009873B2">
            <w:pPr>
              <w:jc w:val="both"/>
              <w:rPr>
                <w:rFonts w:cs="Arial"/>
                <w:szCs w:val="22"/>
                <w:lang w:eastAsia="it-IT"/>
              </w:rPr>
            </w:pPr>
            <w:r w:rsidRPr="0019790A">
              <w:rPr>
                <w:rFonts w:cs="Arial"/>
                <w:b/>
                <w:bCs/>
                <w:szCs w:val="22"/>
                <w:lang w:eastAsia="it-IT"/>
              </w:rPr>
              <w:t>Капітальний ремонт адміністративного приміщення (</w:t>
            </w:r>
            <w:r w:rsidR="009873B2" w:rsidRPr="0019790A">
              <w:rPr>
                <w:rFonts w:cs="Arial"/>
                <w:b/>
                <w:bCs/>
                <w:szCs w:val="22"/>
                <w:lang w:eastAsia="it-IT"/>
              </w:rPr>
              <w:t>трибуни</w:t>
            </w:r>
            <w:r w:rsidRPr="0019790A">
              <w:rPr>
                <w:rFonts w:cs="Arial"/>
                <w:b/>
                <w:bCs/>
                <w:szCs w:val="22"/>
                <w:lang w:eastAsia="it-IT"/>
              </w:rPr>
              <w:t xml:space="preserve"> стадіону) КП «Парковий культурно-спортивний комплекс»</w:t>
            </w:r>
          </w:p>
        </w:tc>
      </w:tr>
      <w:tr w:rsidR="005342D5" w:rsidRPr="0019790A" w14:paraId="7FB299ED" w14:textId="77777777" w:rsidTr="009873B2">
        <w:trPr>
          <w:jc w:val="right"/>
        </w:trPr>
        <w:tc>
          <w:tcPr>
            <w:tcW w:w="3424" w:type="dxa"/>
          </w:tcPr>
          <w:p w14:paraId="0DD5F314" w14:textId="77777777" w:rsidR="005342D5" w:rsidRPr="0019790A" w:rsidRDefault="005342D5"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63DAF924" w14:textId="77777777" w:rsidR="005342D5" w:rsidRPr="0019790A" w:rsidRDefault="005342D5" w:rsidP="0019790A">
            <w:pPr>
              <w:rPr>
                <w:rFonts w:cs="Arial"/>
                <w:b/>
                <w:bCs/>
                <w:szCs w:val="22"/>
              </w:rPr>
            </w:pPr>
            <w:r w:rsidRPr="0019790A">
              <w:rPr>
                <w:rFonts w:cs="Arial"/>
                <w:szCs w:val="22"/>
                <w:lang w:eastAsia="it-IT"/>
              </w:rPr>
              <w:t>Назва установи, організації, підприємства</w:t>
            </w:r>
          </w:p>
        </w:tc>
        <w:tc>
          <w:tcPr>
            <w:tcW w:w="6795" w:type="dxa"/>
            <w:gridSpan w:val="6"/>
            <w:vAlign w:val="center"/>
          </w:tcPr>
          <w:p w14:paraId="6294C0BA" w14:textId="77777777" w:rsidR="005342D5" w:rsidRPr="0019790A" w:rsidRDefault="005342D5" w:rsidP="009873B2">
            <w:pPr>
              <w:rPr>
                <w:rFonts w:cs="Arial"/>
                <w:szCs w:val="22"/>
                <w:lang w:eastAsia="it-IT"/>
              </w:rPr>
            </w:pPr>
            <w:r w:rsidRPr="0019790A">
              <w:rPr>
                <w:rFonts w:cs="Arial"/>
                <w:szCs w:val="22"/>
                <w:lang w:eastAsia="it-IT"/>
              </w:rPr>
              <w:t>Відділ молоді та спорту Жмеринської міської ради</w:t>
            </w:r>
          </w:p>
        </w:tc>
      </w:tr>
      <w:tr w:rsidR="005342D5" w:rsidRPr="0019790A" w14:paraId="586E9AA7" w14:textId="77777777" w:rsidTr="009873B2">
        <w:trPr>
          <w:jc w:val="right"/>
        </w:trPr>
        <w:tc>
          <w:tcPr>
            <w:tcW w:w="3424" w:type="dxa"/>
          </w:tcPr>
          <w:p w14:paraId="01C80AB1" w14:textId="77777777" w:rsidR="005342D5" w:rsidRPr="0019790A" w:rsidRDefault="005342D5" w:rsidP="0019790A">
            <w:pPr>
              <w:rPr>
                <w:rFonts w:cs="Arial"/>
                <w:b/>
                <w:bCs/>
                <w:szCs w:val="22"/>
              </w:rPr>
            </w:pPr>
            <w:r w:rsidRPr="0019790A">
              <w:rPr>
                <w:rFonts w:cs="Arial"/>
                <w:szCs w:val="22"/>
                <w:lang w:eastAsia="it-IT"/>
              </w:rPr>
              <w:t>Прізвище Ім’я По-батькові:</w:t>
            </w:r>
          </w:p>
        </w:tc>
        <w:tc>
          <w:tcPr>
            <w:tcW w:w="6795" w:type="dxa"/>
            <w:gridSpan w:val="6"/>
            <w:vAlign w:val="center"/>
          </w:tcPr>
          <w:p w14:paraId="724EE9DC" w14:textId="77777777" w:rsidR="005342D5" w:rsidRPr="0019790A" w:rsidRDefault="005342D5" w:rsidP="009873B2">
            <w:pPr>
              <w:rPr>
                <w:rFonts w:cs="Arial"/>
                <w:szCs w:val="22"/>
                <w:lang w:eastAsia="it-IT"/>
              </w:rPr>
            </w:pPr>
            <w:r w:rsidRPr="0019790A">
              <w:rPr>
                <w:rFonts w:cs="Arial"/>
                <w:szCs w:val="22"/>
                <w:lang w:eastAsia="it-IT"/>
              </w:rPr>
              <w:t>Ковальська Олена Віталіївна</w:t>
            </w:r>
          </w:p>
        </w:tc>
      </w:tr>
      <w:tr w:rsidR="005342D5" w:rsidRPr="0019790A" w14:paraId="3C585CDC" w14:textId="77777777" w:rsidTr="009873B2">
        <w:trPr>
          <w:jc w:val="right"/>
        </w:trPr>
        <w:tc>
          <w:tcPr>
            <w:tcW w:w="3424" w:type="dxa"/>
          </w:tcPr>
          <w:p w14:paraId="262FE1A5" w14:textId="77777777" w:rsidR="005342D5" w:rsidRPr="0019790A" w:rsidRDefault="005342D5" w:rsidP="0019790A">
            <w:pPr>
              <w:rPr>
                <w:rFonts w:cs="Arial"/>
                <w:b/>
                <w:bCs/>
                <w:szCs w:val="22"/>
              </w:rPr>
            </w:pPr>
            <w:r w:rsidRPr="0019790A">
              <w:rPr>
                <w:rFonts w:cs="Arial"/>
                <w:szCs w:val="22"/>
                <w:lang w:eastAsia="it-IT"/>
              </w:rPr>
              <w:t>Телефон (мобільний):</w:t>
            </w:r>
          </w:p>
        </w:tc>
        <w:tc>
          <w:tcPr>
            <w:tcW w:w="6795" w:type="dxa"/>
            <w:gridSpan w:val="6"/>
            <w:vAlign w:val="center"/>
          </w:tcPr>
          <w:p w14:paraId="15F03CC7" w14:textId="77777777" w:rsidR="005342D5" w:rsidRPr="0019790A" w:rsidRDefault="005342D5" w:rsidP="009873B2">
            <w:pPr>
              <w:rPr>
                <w:rFonts w:cs="Arial"/>
                <w:szCs w:val="22"/>
                <w:lang w:eastAsia="it-IT"/>
              </w:rPr>
            </w:pPr>
            <w:r w:rsidRPr="0019790A">
              <w:rPr>
                <w:rFonts w:cs="Arial"/>
                <w:szCs w:val="22"/>
                <w:lang w:eastAsia="it-IT"/>
              </w:rPr>
              <w:t>096-068-94-79</w:t>
            </w:r>
          </w:p>
        </w:tc>
      </w:tr>
      <w:tr w:rsidR="005342D5" w:rsidRPr="0019790A" w14:paraId="0D461A76" w14:textId="77777777" w:rsidTr="009873B2">
        <w:trPr>
          <w:jc w:val="right"/>
        </w:trPr>
        <w:tc>
          <w:tcPr>
            <w:tcW w:w="3424" w:type="dxa"/>
          </w:tcPr>
          <w:p w14:paraId="24EF311A" w14:textId="77777777" w:rsidR="005342D5" w:rsidRPr="0019790A" w:rsidRDefault="005342D5" w:rsidP="0019790A">
            <w:pPr>
              <w:rPr>
                <w:rFonts w:cs="Arial"/>
                <w:b/>
                <w:bCs/>
                <w:szCs w:val="22"/>
              </w:rPr>
            </w:pPr>
            <w:r w:rsidRPr="0019790A">
              <w:rPr>
                <w:rFonts w:cs="Arial"/>
                <w:szCs w:val="22"/>
                <w:lang w:eastAsia="it-IT"/>
              </w:rPr>
              <w:t>Електронна адреса:</w:t>
            </w:r>
          </w:p>
        </w:tc>
        <w:tc>
          <w:tcPr>
            <w:tcW w:w="6795" w:type="dxa"/>
            <w:gridSpan w:val="6"/>
            <w:vAlign w:val="center"/>
          </w:tcPr>
          <w:p w14:paraId="073B695F" w14:textId="77777777" w:rsidR="005342D5" w:rsidRPr="0019790A" w:rsidRDefault="00D85FFD" w:rsidP="009873B2">
            <w:pPr>
              <w:rPr>
                <w:rFonts w:cs="Arial"/>
                <w:szCs w:val="22"/>
                <w:lang w:eastAsia="it-IT"/>
              </w:rPr>
            </w:pPr>
            <w:hyperlink r:id="rId143" w:history="1">
              <w:r w:rsidR="005342D5" w:rsidRPr="0019790A">
                <w:rPr>
                  <w:rFonts w:cs="Arial"/>
                  <w:b/>
                  <w:bCs/>
                  <w:color w:val="0000FF"/>
                  <w:szCs w:val="22"/>
                  <w:u w:val="single"/>
                  <w:lang w:eastAsia="it-IT"/>
                </w:rPr>
                <w:t>ms@zhmr.gov.ua</w:t>
              </w:r>
            </w:hyperlink>
          </w:p>
        </w:tc>
      </w:tr>
      <w:tr w:rsidR="005342D5" w:rsidRPr="0019790A" w14:paraId="44C64366" w14:textId="77777777" w:rsidTr="009873B2">
        <w:trPr>
          <w:jc w:val="right"/>
        </w:trPr>
        <w:tc>
          <w:tcPr>
            <w:tcW w:w="3424" w:type="dxa"/>
            <w:vAlign w:val="center"/>
          </w:tcPr>
          <w:p w14:paraId="5571D624" w14:textId="77777777" w:rsidR="005342D5" w:rsidRPr="0019790A" w:rsidRDefault="005342D5" w:rsidP="0019790A">
            <w:pPr>
              <w:outlineLvl w:val="5"/>
              <w:rPr>
                <w:rFonts w:cs="Arial"/>
                <w:b/>
                <w:bCs/>
                <w:color w:val="000000"/>
                <w:szCs w:val="22"/>
                <w:lang w:eastAsia="en-US"/>
              </w:rPr>
            </w:pPr>
            <w:r w:rsidRPr="0019790A">
              <w:rPr>
                <w:rFonts w:cs="Arial"/>
                <w:b/>
                <w:bCs/>
                <w:color w:val="000000"/>
                <w:szCs w:val="22"/>
                <w:lang w:eastAsia="en-US"/>
              </w:rPr>
              <w:t>Номер і назва завдання з Стратегії</w:t>
            </w:r>
            <w:r w:rsidRPr="0019790A">
              <w:rPr>
                <w:rFonts w:cs="Arial"/>
                <w:b/>
                <w:bCs/>
                <w:szCs w:val="22"/>
                <w:lang w:eastAsia="it-IT"/>
              </w:rPr>
              <w:t xml:space="preserve"> </w:t>
            </w:r>
            <w:r w:rsidRPr="0019790A">
              <w:rPr>
                <w:rFonts w:cs="Arial"/>
                <w:b/>
                <w:bCs/>
                <w:color w:val="000000"/>
                <w:szCs w:val="22"/>
                <w:lang w:eastAsia="en-US"/>
              </w:rPr>
              <w:t>розвитку Жмеринської міської територіальної громади,  якому відповідає проєкт:</w:t>
            </w:r>
          </w:p>
        </w:tc>
        <w:tc>
          <w:tcPr>
            <w:tcW w:w="6795" w:type="dxa"/>
            <w:gridSpan w:val="6"/>
            <w:vAlign w:val="center"/>
          </w:tcPr>
          <w:p w14:paraId="62FAA62F" w14:textId="259382FF" w:rsidR="005342D5" w:rsidRPr="0019790A" w:rsidRDefault="005342D5" w:rsidP="009873B2">
            <w:pPr>
              <w:pBdr>
                <w:left w:val="single" w:sz="18" w:space="4" w:color="auto"/>
              </w:pBdr>
              <w:rPr>
                <w:rFonts w:cs="Arial"/>
                <w:szCs w:val="22"/>
                <w:lang w:eastAsia="it-IT"/>
              </w:rPr>
            </w:pPr>
            <w:r w:rsidRPr="009873B2">
              <w:rPr>
                <w:rFonts w:cs="Arial"/>
                <w:bCs/>
                <w:szCs w:val="22"/>
                <w:lang w:eastAsia="it-IT"/>
              </w:rPr>
              <w:t>С.3.4.2. Будівництво, реконструкція інфраструктури спорту з урахуванням гендерного аспекту</w:t>
            </w:r>
          </w:p>
        </w:tc>
      </w:tr>
      <w:tr w:rsidR="005342D5" w:rsidRPr="0019790A" w14:paraId="4A45F6C7" w14:textId="77777777" w:rsidTr="009873B2">
        <w:trPr>
          <w:jc w:val="right"/>
        </w:trPr>
        <w:tc>
          <w:tcPr>
            <w:tcW w:w="3424" w:type="dxa"/>
            <w:vAlign w:val="center"/>
          </w:tcPr>
          <w:p w14:paraId="0514703B" w14:textId="77777777" w:rsidR="005342D5" w:rsidRPr="0019790A" w:rsidRDefault="005342D5" w:rsidP="0019790A">
            <w:pPr>
              <w:rPr>
                <w:rFonts w:cs="Arial"/>
                <w:b/>
                <w:bCs/>
                <w:color w:val="000000"/>
                <w:szCs w:val="22"/>
              </w:rPr>
            </w:pPr>
            <w:r w:rsidRPr="0019790A">
              <w:rPr>
                <w:rFonts w:cs="Arial"/>
                <w:b/>
                <w:bCs/>
                <w:color w:val="000000"/>
                <w:szCs w:val="22"/>
              </w:rPr>
              <w:t>Мета проєкту:</w:t>
            </w:r>
          </w:p>
        </w:tc>
        <w:tc>
          <w:tcPr>
            <w:tcW w:w="6795" w:type="dxa"/>
            <w:gridSpan w:val="6"/>
            <w:vAlign w:val="center"/>
          </w:tcPr>
          <w:p w14:paraId="7C22488B" w14:textId="77777777" w:rsidR="005342D5" w:rsidRPr="0019790A" w:rsidRDefault="005342D5" w:rsidP="009873B2">
            <w:pPr>
              <w:rPr>
                <w:rFonts w:cs="Arial"/>
                <w:szCs w:val="22"/>
                <w:lang w:eastAsia="it-IT"/>
              </w:rPr>
            </w:pPr>
            <w:r w:rsidRPr="0019790A">
              <w:rPr>
                <w:rFonts w:cs="Arial"/>
                <w:szCs w:val="22"/>
                <w:lang w:eastAsia="it-IT"/>
              </w:rPr>
              <w:t>Забезпечення належного технічного стану адміністративного приміщення, підвищення енергоефективності та створення комфортних умов для персоналу і користувачів спортивного комплексу.</w:t>
            </w:r>
          </w:p>
        </w:tc>
      </w:tr>
      <w:tr w:rsidR="005342D5" w:rsidRPr="0019790A" w14:paraId="422A79EE" w14:textId="77777777" w:rsidTr="009873B2">
        <w:trPr>
          <w:jc w:val="right"/>
        </w:trPr>
        <w:tc>
          <w:tcPr>
            <w:tcW w:w="3424" w:type="dxa"/>
            <w:vAlign w:val="center"/>
          </w:tcPr>
          <w:p w14:paraId="79191AEA" w14:textId="77777777" w:rsidR="005342D5" w:rsidRPr="0019790A" w:rsidRDefault="005342D5" w:rsidP="0019790A">
            <w:pPr>
              <w:rPr>
                <w:rFonts w:cs="Arial"/>
                <w:b/>
                <w:bCs/>
                <w:color w:val="000000"/>
                <w:szCs w:val="22"/>
              </w:rPr>
            </w:pPr>
            <w:r w:rsidRPr="0019790A">
              <w:rPr>
                <w:rFonts w:cs="Arial"/>
                <w:b/>
                <w:bCs/>
                <w:color w:val="000000"/>
                <w:szCs w:val="22"/>
              </w:rPr>
              <w:t>Цілі проєкту:</w:t>
            </w:r>
          </w:p>
        </w:tc>
        <w:tc>
          <w:tcPr>
            <w:tcW w:w="6795" w:type="dxa"/>
            <w:gridSpan w:val="6"/>
            <w:vAlign w:val="center"/>
          </w:tcPr>
          <w:p w14:paraId="532A6F0E" w14:textId="77777777" w:rsidR="005342D5" w:rsidRPr="0019790A" w:rsidRDefault="005342D5" w:rsidP="009873B2">
            <w:pPr>
              <w:numPr>
                <w:ilvl w:val="0"/>
                <w:numId w:val="145"/>
              </w:numPr>
              <w:ind w:left="186" w:hanging="186"/>
              <w:rPr>
                <w:rFonts w:cs="Arial"/>
                <w:szCs w:val="22"/>
                <w:lang w:eastAsia="it-IT"/>
              </w:rPr>
            </w:pPr>
            <w:r w:rsidRPr="0019790A">
              <w:rPr>
                <w:rFonts w:cs="Arial"/>
                <w:szCs w:val="22"/>
                <w:lang w:eastAsia="it-IT"/>
              </w:rPr>
              <w:t>Відновлення конструктивних елементів адміністративного приміщення.</w:t>
            </w:r>
          </w:p>
          <w:p w14:paraId="1DF3433B" w14:textId="77777777" w:rsidR="005342D5" w:rsidRPr="0019790A" w:rsidRDefault="005342D5" w:rsidP="009873B2">
            <w:pPr>
              <w:numPr>
                <w:ilvl w:val="0"/>
                <w:numId w:val="145"/>
              </w:numPr>
              <w:ind w:left="186" w:hanging="186"/>
              <w:rPr>
                <w:rFonts w:cs="Arial"/>
                <w:szCs w:val="22"/>
                <w:lang w:eastAsia="it-IT"/>
              </w:rPr>
            </w:pPr>
            <w:r w:rsidRPr="0019790A">
              <w:rPr>
                <w:rFonts w:cs="Arial"/>
                <w:szCs w:val="22"/>
                <w:lang w:eastAsia="it-IT"/>
              </w:rPr>
              <w:t>Забезпечення відповідності будівлі сучасним санітарно-технічним і пожежним нормам.</w:t>
            </w:r>
          </w:p>
          <w:p w14:paraId="1866EB6E" w14:textId="77777777" w:rsidR="005342D5" w:rsidRPr="0019790A" w:rsidRDefault="005342D5" w:rsidP="009873B2">
            <w:pPr>
              <w:numPr>
                <w:ilvl w:val="0"/>
                <w:numId w:val="145"/>
              </w:numPr>
              <w:ind w:left="186" w:hanging="186"/>
              <w:rPr>
                <w:rFonts w:cs="Arial"/>
                <w:szCs w:val="22"/>
                <w:lang w:eastAsia="it-IT"/>
              </w:rPr>
            </w:pPr>
            <w:r w:rsidRPr="0019790A">
              <w:rPr>
                <w:rFonts w:cs="Arial"/>
                <w:szCs w:val="22"/>
                <w:lang w:eastAsia="it-IT"/>
              </w:rPr>
              <w:t>Підвищення енергоефективності об’єкта.</w:t>
            </w:r>
          </w:p>
          <w:p w14:paraId="3F6288E4" w14:textId="77777777" w:rsidR="005342D5" w:rsidRPr="0019790A" w:rsidRDefault="005342D5" w:rsidP="009873B2">
            <w:pPr>
              <w:numPr>
                <w:ilvl w:val="0"/>
                <w:numId w:val="145"/>
              </w:numPr>
              <w:ind w:left="186" w:hanging="186"/>
              <w:rPr>
                <w:rFonts w:cs="Arial"/>
                <w:szCs w:val="22"/>
                <w:lang w:eastAsia="it-IT"/>
              </w:rPr>
            </w:pPr>
            <w:r w:rsidRPr="0019790A">
              <w:rPr>
                <w:rFonts w:cs="Arial"/>
                <w:szCs w:val="22"/>
                <w:lang w:eastAsia="it-IT"/>
              </w:rPr>
              <w:t>Створення комфортних умов для праці адміністрації та обслуговування спортсменів/відвідувачів.</w:t>
            </w:r>
          </w:p>
        </w:tc>
      </w:tr>
      <w:tr w:rsidR="005342D5" w:rsidRPr="0019790A" w14:paraId="229B66FB" w14:textId="77777777" w:rsidTr="009873B2">
        <w:trPr>
          <w:jc w:val="right"/>
        </w:trPr>
        <w:tc>
          <w:tcPr>
            <w:tcW w:w="3424" w:type="dxa"/>
            <w:vAlign w:val="center"/>
          </w:tcPr>
          <w:p w14:paraId="729476E6" w14:textId="77777777" w:rsidR="005342D5" w:rsidRPr="0019790A" w:rsidRDefault="005342D5" w:rsidP="0019790A">
            <w:pPr>
              <w:autoSpaceDE w:val="0"/>
              <w:autoSpaceDN w:val="0"/>
              <w:adjustRightInd w:val="0"/>
              <w:rPr>
                <w:rFonts w:cs="Arial"/>
                <w:b/>
                <w:color w:val="000000"/>
                <w:szCs w:val="22"/>
              </w:rPr>
            </w:pPr>
            <w:r w:rsidRPr="0019790A">
              <w:rPr>
                <w:rFonts w:cs="Arial"/>
                <w:b/>
                <w:color w:val="000000"/>
                <w:szCs w:val="22"/>
              </w:rPr>
              <w:t>Територія на яку проєкт матиме вплив:</w:t>
            </w:r>
          </w:p>
        </w:tc>
        <w:tc>
          <w:tcPr>
            <w:tcW w:w="6795" w:type="dxa"/>
            <w:gridSpan w:val="6"/>
            <w:vAlign w:val="center"/>
          </w:tcPr>
          <w:p w14:paraId="44A254C8" w14:textId="77777777" w:rsidR="005342D5" w:rsidRPr="0019790A" w:rsidRDefault="005342D5" w:rsidP="009873B2">
            <w:pPr>
              <w:rPr>
                <w:rFonts w:cs="Arial"/>
                <w:szCs w:val="22"/>
                <w:lang w:eastAsia="it-IT"/>
              </w:rPr>
            </w:pPr>
            <w:r w:rsidRPr="0019790A">
              <w:rPr>
                <w:rFonts w:cs="Arial"/>
                <w:szCs w:val="22"/>
                <w:lang w:eastAsia="it-IT"/>
              </w:rPr>
              <w:t>Жмеринська міська територіальна громада</w:t>
            </w:r>
          </w:p>
        </w:tc>
      </w:tr>
      <w:tr w:rsidR="005342D5" w:rsidRPr="0019790A" w14:paraId="2D18AC80" w14:textId="77777777" w:rsidTr="009873B2">
        <w:trPr>
          <w:jc w:val="right"/>
        </w:trPr>
        <w:tc>
          <w:tcPr>
            <w:tcW w:w="3424" w:type="dxa"/>
            <w:vAlign w:val="center"/>
          </w:tcPr>
          <w:p w14:paraId="3ECA7B5B" w14:textId="77777777" w:rsidR="005342D5" w:rsidRPr="0019790A" w:rsidRDefault="005342D5" w:rsidP="0019790A">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5" w:type="dxa"/>
            <w:gridSpan w:val="6"/>
            <w:vAlign w:val="center"/>
          </w:tcPr>
          <w:p w14:paraId="78EB3988" w14:textId="77777777" w:rsidR="005342D5" w:rsidRPr="0019790A" w:rsidRDefault="005342D5" w:rsidP="009873B2">
            <w:pPr>
              <w:numPr>
                <w:ilvl w:val="0"/>
                <w:numId w:val="146"/>
              </w:numPr>
              <w:tabs>
                <w:tab w:val="left" w:pos="440"/>
              </w:tabs>
              <w:ind w:left="186" w:hanging="141"/>
              <w:rPr>
                <w:rFonts w:cs="Arial"/>
                <w:szCs w:val="22"/>
                <w:lang w:eastAsia="it-IT"/>
              </w:rPr>
            </w:pPr>
            <w:r w:rsidRPr="0019790A">
              <w:rPr>
                <w:rFonts w:cs="Arial"/>
                <w:szCs w:val="22"/>
                <w:lang w:eastAsia="it-IT"/>
              </w:rPr>
              <w:t>Адміністративний та технічний персонал КП.</w:t>
            </w:r>
          </w:p>
          <w:p w14:paraId="730B10B0" w14:textId="77777777" w:rsidR="005342D5" w:rsidRPr="0019790A" w:rsidRDefault="005342D5" w:rsidP="009873B2">
            <w:pPr>
              <w:numPr>
                <w:ilvl w:val="0"/>
                <w:numId w:val="146"/>
              </w:numPr>
              <w:tabs>
                <w:tab w:val="left" w:pos="440"/>
              </w:tabs>
              <w:ind w:left="186" w:hanging="141"/>
              <w:rPr>
                <w:rFonts w:cs="Arial"/>
                <w:szCs w:val="22"/>
                <w:lang w:eastAsia="it-IT"/>
              </w:rPr>
            </w:pPr>
            <w:r w:rsidRPr="0019790A">
              <w:rPr>
                <w:rFonts w:cs="Arial"/>
                <w:szCs w:val="22"/>
                <w:lang w:eastAsia="it-IT"/>
              </w:rPr>
              <w:t>Спортсмени, тренери, організатори заходів.</w:t>
            </w:r>
          </w:p>
          <w:p w14:paraId="0A8C1A90" w14:textId="77777777" w:rsidR="005342D5" w:rsidRPr="0019790A" w:rsidRDefault="005342D5" w:rsidP="009873B2">
            <w:pPr>
              <w:numPr>
                <w:ilvl w:val="0"/>
                <w:numId w:val="146"/>
              </w:numPr>
              <w:tabs>
                <w:tab w:val="left" w:pos="440"/>
              </w:tabs>
              <w:ind w:left="186" w:hanging="141"/>
              <w:rPr>
                <w:rFonts w:cs="Arial"/>
                <w:szCs w:val="22"/>
                <w:lang w:eastAsia="it-IT"/>
              </w:rPr>
            </w:pPr>
            <w:r w:rsidRPr="0019790A">
              <w:rPr>
                <w:rFonts w:cs="Arial"/>
                <w:szCs w:val="22"/>
                <w:lang w:eastAsia="it-IT"/>
              </w:rPr>
              <w:t>Відвідувачі стадіону та спортивних заходів.</w:t>
            </w:r>
          </w:p>
          <w:p w14:paraId="3BE3CC12" w14:textId="77777777" w:rsidR="005342D5" w:rsidRPr="0019790A" w:rsidRDefault="005342D5" w:rsidP="009873B2">
            <w:pPr>
              <w:numPr>
                <w:ilvl w:val="0"/>
                <w:numId w:val="146"/>
              </w:numPr>
              <w:tabs>
                <w:tab w:val="left" w:pos="440"/>
              </w:tabs>
              <w:ind w:left="186" w:hanging="141"/>
              <w:rPr>
                <w:rFonts w:cs="Arial"/>
                <w:szCs w:val="22"/>
                <w:lang w:eastAsia="it-IT"/>
              </w:rPr>
            </w:pPr>
            <w:r w:rsidRPr="0019790A">
              <w:rPr>
                <w:rFonts w:cs="Arial"/>
                <w:szCs w:val="22"/>
                <w:lang w:eastAsia="it-IT"/>
              </w:rPr>
              <w:t>Представники місцевої громади.</w:t>
            </w:r>
          </w:p>
        </w:tc>
      </w:tr>
      <w:tr w:rsidR="005342D5" w:rsidRPr="0019790A" w14:paraId="048C88A7" w14:textId="77777777" w:rsidTr="009873B2">
        <w:trPr>
          <w:jc w:val="right"/>
        </w:trPr>
        <w:tc>
          <w:tcPr>
            <w:tcW w:w="3424" w:type="dxa"/>
            <w:shd w:val="clear" w:color="auto" w:fill="FFFFFF"/>
            <w:vAlign w:val="center"/>
          </w:tcPr>
          <w:p w14:paraId="269E7BCD" w14:textId="77777777" w:rsidR="005342D5" w:rsidRPr="0019790A" w:rsidRDefault="005342D5" w:rsidP="0019790A">
            <w:pPr>
              <w:rPr>
                <w:rFonts w:cs="Arial"/>
                <w:b/>
                <w:bCs/>
                <w:color w:val="000000"/>
                <w:szCs w:val="22"/>
              </w:rPr>
            </w:pPr>
            <w:r w:rsidRPr="0019790A">
              <w:rPr>
                <w:rFonts w:cs="Arial"/>
                <w:b/>
                <w:bCs/>
                <w:color w:val="000000"/>
                <w:szCs w:val="22"/>
              </w:rPr>
              <w:t>Стислий опис проєкту:</w:t>
            </w:r>
          </w:p>
        </w:tc>
        <w:tc>
          <w:tcPr>
            <w:tcW w:w="6795" w:type="dxa"/>
            <w:gridSpan w:val="6"/>
            <w:vAlign w:val="center"/>
          </w:tcPr>
          <w:p w14:paraId="29001E06" w14:textId="77777777" w:rsidR="005342D5" w:rsidRPr="0019790A" w:rsidRDefault="005342D5" w:rsidP="009873B2">
            <w:pPr>
              <w:ind w:left="45"/>
              <w:rPr>
                <w:rFonts w:cs="Arial"/>
                <w:szCs w:val="22"/>
                <w:lang w:eastAsia="it-IT"/>
              </w:rPr>
            </w:pPr>
            <w:r w:rsidRPr="0019790A">
              <w:rPr>
                <w:rFonts w:cs="Arial"/>
                <w:szCs w:val="22"/>
                <w:lang w:eastAsia="it-IT"/>
              </w:rPr>
              <w:t>Проєкт передбачає капітальний ремонт адміністративної частини трибуни стадіону, що належить КП «Парковий культурно-спортивний комплекс». Заплановано ремонт даху, фасаду, утеплення будівлі, заміну вікон і дверей, оновлення внутрішніх приміщень, інженерних мереж (електрика, водопостачання, каналізація, опалення), встановлення вентиляції, облаштування санітарних вузлів, кімнат для персоналу та забезпечення доступності для осіб з інвалідністю.</w:t>
            </w:r>
          </w:p>
        </w:tc>
      </w:tr>
      <w:tr w:rsidR="005342D5" w:rsidRPr="0019790A" w14:paraId="3A4D714D" w14:textId="77777777" w:rsidTr="009873B2">
        <w:trPr>
          <w:jc w:val="right"/>
        </w:trPr>
        <w:tc>
          <w:tcPr>
            <w:tcW w:w="3424" w:type="dxa"/>
            <w:shd w:val="clear" w:color="auto" w:fill="FFFFFF"/>
            <w:vAlign w:val="center"/>
          </w:tcPr>
          <w:p w14:paraId="1E631230" w14:textId="77777777" w:rsidR="005342D5" w:rsidRPr="0019790A" w:rsidRDefault="005342D5" w:rsidP="0019790A">
            <w:pPr>
              <w:rPr>
                <w:rFonts w:cs="Arial"/>
                <w:b/>
                <w:bCs/>
                <w:color w:val="000000"/>
                <w:szCs w:val="22"/>
              </w:rPr>
            </w:pPr>
            <w:r w:rsidRPr="0019790A">
              <w:rPr>
                <w:rFonts w:cs="Arial"/>
                <w:b/>
                <w:bCs/>
                <w:color w:val="000000"/>
                <w:szCs w:val="22"/>
              </w:rPr>
              <w:t>Основні заходи проєкту:</w:t>
            </w:r>
          </w:p>
        </w:tc>
        <w:tc>
          <w:tcPr>
            <w:tcW w:w="6795" w:type="dxa"/>
            <w:gridSpan w:val="6"/>
            <w:vAlign w:val="center"/>
          </w:tcPr>
          <w:p w14:paraId="59BD72A9" w14:textId="77777777" w:rsidR="005342D5" w:rsidRPr="0019790A" w:rsidRDefault="005342D5" w:rsidP="009873B2">
            <w:pPr>
              <w:numPr>
                <w:ilvl w:val="0"/>
                <w:numId w:val="147"/>
              </w:numPr>
              <w:tabs>
                <w:tab w:val="left" w:pos="186"/>
                <w:tab w:val="left" w:pos="415"/>
              </w:tabs>
              <w:ind w:hanging="675"/>
              <w:rPr>
                <w:rFonts w:cs="Arial"/>
                <w:szCs w:val="22"/>
                <w:lang w:eastAsia="it-IT"/>
              </w:rPr>
            </w:pPr>
            <w:r w:rsidRPr="0019790A">
              <w:rPr>
                <w:rFonts w:cs="Arial"/>
                <w:szCs w:val="22"/>
                <w:lang w:eastAsia="it-IT"/>
              </w:rPr>
              <w:t>Проведення технічного обстеження будівлі.</w:t>
            </w:r>
          </w:p>
          <w:p w14:paraId="53E49236" w14:textId="77777777" w:rsidR="005342D5" w:rsidRPr="0019790A" w:rsidRDefault="005342D5" w:rsidP="009873B2">
            <w:pPr>
              <w:numPr>
                <w:ilvl w:val="0"/>
                <w:numId w:val="147"/>
              </w:numPr>
              <w:tabs>
                <w:tab w:val="left" w:pos="186"/>
                <w:tab w:val="left" w:pos="415"/>
              </w:tabs>
              <w:ind w:hanging="675"/>
              <w:rPr>
                <w:rFonts w:cs="Arial"/>
                <w:szCs w:val="22"/>
                <w:lang w:eastAsia="it-IT"/>
              </w:rPr>
            </w:pPr>
            <w:r w:rsidRPr="0019790A">
              <w:rPr>
                <w:rFonts w:cs="Arial"/>
                <w:szCs w:val="22"/>
                <w:lang w:eastAsia="it-IT"/>
              </w:rPr>
              <w:t>Демонтаж старих конструкцій та комунікацій.</w:t>
            </w:r>
          </w:p>
          <w:p w14:paraId="02CA1323" w14:textId="77777777" w:rsidR="005342D5" w:rsidRPr="0019790A" w:rsidRDefault="005342D5" w:rsidP="009873B2">
            <w:pPr>
              <w:numPr>
                <w:ilvl w:val="0"/>
                <w:numId w:val="147"/>
              </w:numPr>
              <w:tabs>
                <w:tab w:val="left" w:pos="186"/>
                <w:tab w:val="left" w:pos="415"/>
              </w:tabs>
              <w:ind w:hanging="675"/>
              <w:rPr>
                <w:rFonts w:cs="Arial"/>
                <w:szCs w:val="22"/>
                <w:lang w:eastAsia="it-IT"/>
              </w:rPr>
            </w:pPr>
            <w:r w:rsidRPr="0019790A">
              <w:rPr>
                <w:rFonts w:cs="Arial"/>
                <w:szCs w:val="22"/>
                <w:lang w:eastAsia="it-IT"/>
              </w:rPr>
              <w:t>Капітальний ремонт покрівлі та фасаду з утепленням.</w:t>
            </w:r>
          </w:p>
          <w:p w14:paraId="1D4CE050" w14:textId="77777777" w:rsidR="005342D5" w:rsidRPr="0019790A" w:rsidRDefault="005342D5" w:rsidP="009873B2">
            <w:pPr>
              <w:numPr>
                <w:ilvl w:val="0"/>
                <w:numId w:val="147"/>
              </w:numPr>
              <w:tabs>
                <w:tab w:val="left" w:pos="186"/>
                <w:tab w:val="left" w:pos="415"/>
              </w:tabs>
              <w:ind w:hanging="675"/>
              <w:rPr>
                <w:rFonts w:cs="Arial"/>
                <w:szCs w:val="22"/>
                <w:lang w:eastAsia="it-IT"/>
              </w:rPr>
            </w:pPr>
            <w:r w:rsidRPr="0019790A">
              <w:rPr>
                <w:rFonts w:cs="Arial"/>
                <w:szCs w:val="22"/>
                <w:lang w:eastAsia="it-IT"/>
              </w:rPr>
              <w:t>Заміна вікон, дверей, підлогових покриттів.</w:t>
            </w:r>
          </w:p>
          <w:p w14:paraId="29461231" w14:textId="77777777" w:rsidR="005342D5" w:rsidRPr="0019790A" w:rsidRDefault="005342D5" w:rsidP="009873B2">
            <w:pPr>
              <w:numPr>
                <w:ilvl w:val="0"/>
                <w:numId w:val="147"/>
              </w:numPr>
              <w:tabs>
                <w:tab w:val="left" w:pos="186"/>
                <w:tab w:val="left" w:pos="415"/>
              </w:tabs>
              <w:ind w:hanging="675"/>
              <w:rPr>
                <w:rFonts w:cs="Arial"/>
                <w:szCs w:val="22"/>
                <w:lang w:eastAsia="it-IT"/>
              </w:rPr>
            </w:pPr>
            <w:r w:rsidRPr="0019790A">
              <w:rPr>
                <w:rFonts w:cs="Arial"/>
                <w:szCs w:val="22"/>
                <w:lang w:eastAsia="it-IT"/>
              </w:rPr>
              <w:t>Модернізація систем електропостачання, опалення, водопостачання та каналізації.</w:t>
            </w:r>
          </w:p>
          <w:p w14:paraId="0034A3F7" w14:textId="77777777" w:rsidR="005342D5" w:rsidRPr="0019790A" w:rsidRDefault="005342D5" w:rsidP="009873B2">
            <w:pPr>
              <w:numPr>
                <w:ilvl w:val="0"/>
                <w:numId w:val="147"/>
              </w:numPr>
              <w:tabs>
                <w:tab w:val="left" w:pos="186"/>
                <w:tab w:val="left" w:pos="415"/>
              </w:tabs>
              <w:ind w:hanging="675"/>
              <w:rPr>
                <w:rFonts w:cs="Arial"/>
                <w:szCs w:val="22"/>
                <w:lang w:eastAsia="it-IT"/>
              </w:rPr>
            </w:pPr>
            <w:r w:rsidRPr="0019790A">
              <w:rPr>
                <w:rFonts w:cs="Arial"/>
                <w:szCs w:val="22"/>
                <w:lang w:eastAsia="it-IT"/>
              </w:rPr>
              <w:t>Встановлення вентиляції та кондиціювання (за потреби).</w:t>
            </w:r>
          </w:p>
          <w:p w14:paraId="7E82FD1D" w14:textId="77777777" w:rsidR="005342D5" w:rsidRPr="0019790A" w:rsidRDefault="005342D5" w:rsidP="009873B2">
            <w:pPr>
              <w:numPr>
                <w:ilvl w:val="0"/>
                <w:numId w:val="147"/>
              </w:numPr>
              <w:tabs>
                <w:tab w:val="left" w:pos="186"/>
                <w:tab w:val="left" w:pos="415"/>
              </w:tabs>
              <w:ind w:hanging="675"/>
              <w:rPr>
                <w:rFonts w:cs="Arial"/>
                <w:szCs w:val="22"/>
                <w:lang w:eastAsia="it-IT"/>
              </w:rPr>
            </w:pPr>
            <w:r w:rsidRPr="0019790A">
              <w:rPr>
                <w:rFonts w:cs="Arial"/>
                <w:szCs w:val="22"/>
                <w:lang w:eastAsia="it-IT"/>
              </w:rPr>
              <w:t>Облаштування кабінетів, санвузлів, кімнат для персоналу.</w:t>
            </w:r>
          </w:p>
          <w:p w14:paraId="02353F32" w14:textId="77777777" w:rsidR="005342D5" w:rsidRPr="0019790A" w:rsidRDefault="005342D5" w:rsidP="009873B2">
            <w:pPr>
              <w:numPr>
                <w:ilvl w:val="0"/>
                <w:numId w:val="147"/>
              </w:numPr>
              <w:tabs>
                <w:tab w:val="left" w:pos="186"/>
                <w:tab w:val="left" w:pos="415"/>
              </w:tabs>
              <w:ind w:hanging="675"/>
              <w:rPr>
                <w:rFonts w:cs="Arial"/>
                <w:szCs w:val="22"/>
                <w:lang w:eastAsia="it-IT"/>
              </w:rPr>
            </w:pPr>
            <w:r w:rsidRPr="0019790A">
              <w:rPr>
                <w:rFonts w:cs="Arial"/>
                <w:szCs w:val="22"/>
                <w:lang w:eastAsia="it-IT"/>
              </w:rPr>
              <w:t>Впровадження енергозберігаючих технологій.</w:t>
            </w:r>
          </w:p>
          <w:p w14:paraId="4FC61431" w14:textId="77777777" w:rsidR="005342D5" w:rsidRPr="0019790A" w:rsidRDefault="005342D5" w:rsidP="009873B2">
            <w:pPr>
              <w:numPr>
                <w:ilvl w:val="0"/>
                <w:numId w:val="147"/>
              </w:numPr>
              <w:tabs>
                <w:tab w:val="left" w:pos="186"/>
                <w:tab w:val="left" w:pos="415"/>
              </w:tabs>
              <w:ind w:hanging="675"/>
              <w:rPr>
                <w:rFonts w:cs="Arial"/>
                <w:szCs w:val="22"/>
                <w:lang w:eastAsia="it-IT"/>
              </w:rPr>
            </w:pPr>
            <w:r w:rsidRPr="0019790A">
              <w:rPr>
                <w:rFonts w:cs="Arial"/>
                <w:szCs w:val="22"/>
                <w:lang w:eastAsia="it-IT"/>
              </w:rPr>
              <w:t>Організація умов доступності для маломобільних груп населення.</w:t>
            </w:r>
          </w:p>
          <w:p w14:paraId="7D016A06" w14:textId="77777777" w:rsidR="005342D5" w:rsidRPr="0019790A" w:rsidRDefault="005342D5" w:rsidP="009873B2">
            <w:pPr>
              <w:tabs>
                <w:tab w:val="left" w:pos="186"/>
                <w:tab w:val="left" w:pos="415"/>
              </w:tabs>
              <w:ind w:left="45"/>
              <w:rPr>
                <w:rFonts w:cs="Arial"/>
                <w:szCs w:val="22"/>
                <w:lang w:eastAsia="it-IT"/>
              </w:rPr>
            </w:pPr>
            <w:r w:rsidRPr="0019790A">
              <w:rPr>
                <w:rFonts w:cs="Arial"/>
                <w:szCs w:val="22"/>
                <w:lang w:eastAsia="it-IT"/>
              </w:rPr>
              <w:t>10.Придбання та монтаж меблів і обладнання (за необхідністю).</w:t>
            </w:r>
          </w:p>
        </w:tc>
      </w:tr>
      <w:tr w:rsidR="005342D5" w:rsidRPr="0019790A" w14:paraId="42F2DD9A" w14:textId="77777777" w:rsidTr="009873B2">
        <w:trPr>
          <w:jc w:val="right"/>
        </w:trPr>
        <w:tc>
          <w:tcPr>
            <w:tcW w:w="3424" w:type="dxa"/>
            <w:shd w:val="clear" w:color="auto" w:fill="FFFFFF"/>
            <w:vAlign w:val="center"/>
          </w:tcPr>
          <w:p w14:paraId="48005A09" w14:textId="77777777" w:rsidR="005342D5" w:rsidRPr="0019790A" w:rsidRDefault="005342D5"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795" w:type="dxa"/>
            <w:gridSpan w:val="6"/>
            <w:vAlign w:val="center"/>
          </w:tcPr>
          <w:p w14:paraId="508AD48C" w14:textId="77777777" w:rsidR="005342D5" w:rsidRPr="0019790A" w:rsidRDefault="005342D5" w:rsidP="009873B2">
            <w:pPr>
              <w:numPr>
                <w:ilvl w:val="0"/>
                <w:numId w:val="148"/>
              </w:numPr>
              <w:ind w:left="186" w:hanging="141"/>
              <w:rPr>
                <w:rFonts w:cs="Arial"/>
                <w:szCs w:val="22"/>
                <w:lang w:eastAsia="it-IT"/>
              </w:rPr>
            </w:pPr>
            <w:r w:rsidRPr="0019790A">
              <w:rPr>
                <w:rFonts w:cs="Arial"/>
                <w:szCs w:val="22"/>
                <w:lang w:eastAsia="it-IT"/>
              </w:rPr>
              <w:t>Повна функціональність приміщення для адміністративної роботи (100% робочих площ у використанні).</w:t>
            </w:r>
          </w:p>
          <w:p w14:paraId="7908F16C" w14:textId="77777777" w:rsidR="005342D5" w:rsidRPr="0019790A" w:rsidRDefault="005342D5" w:rsidP="009873B2">
            <w:pPr>
              <w:numPr>
                <w:ilvl w:val="0"/>
                <w:numId w:val="148"/>
              </w:numPr>
              <w:tabs>
                <w:tab w:val="left" w:pos="402"/>
              </w:tabs>
              <w:ind w:left="186" w:hanging="141"/>
              <w:rPr>
                <w:rFonts w:cs="Arial"/>
                <w:szCs w:val="22"/>
                <w:lang w:eastAsia="it-IT"/>
              </w:rPr>
            </w:pPr>
            <w:r w:rsidRPr="0019790A">
              <w:rPr>
                <w:rFonts w:cs="Arial"/>
                <w:szCs w:val="22"/>
                <w:lang w:eastAsia="it-IT"/>
              </w:rPr>
              <w:t>Зниження витрат на комунальні послуги щонайменше на 25% після термомодернізації.</w:t>
            </w:r>
          </w:p>
          <w:p w14:paraId="6722B205" w14:textId="77777777" w:rsidR="005342D5" w:rsidRPr="0019790A" w:rsidRDefault="005342D5" w:rsidP="009873B2">
            <w:pPr>
              <w:numPr>
                <w:ilvl w:val="0"/>
                <w:numId w:val="148"/>
              </w:numPr>
              <w:tabs>
                <w:tab w:val="left" w:pos="402"/>
              </w:tabs>
              <w:ind w:left="186" w:hanging="141"/>
              <w:rPr>
                <w:rFonts w:cs="Arial"/>
                <w:szCs w:val="22"/>
                <w:lang w:eastAsia="it-IT"/>
              </w:rPr>
            </w:pPr>
            <w:r w:rsidRPr="0019790A">
              <w:rPr>
                <w:rFonts w:cs="Arial"/>
                <w:szCs w:val="22"/>
                <w:lang w:eastAsia="it-IT"/>
              </w:rPr>
              <w:t>Відповідність будівлі нормативам пожежної та санітарної безпеки.</w:t>
            </w:r>
          </w:p>
          <w:p w14:paraId="39145856" w14:textId="77777777" w:rsidR="005342D5" w:rsidRPr="0019790A" w:rsidRDefault="005342D5" w:rsidP="009873B2">
            <w:pPr>
              <w:numPr>
                <w:ilvl w:val="0"/>
                <w:numId w:val="148"/>
              </w:numPr>
              <w:tabs>
                <w:tab w:val="left" w:pos="402"/>
              </w:tabs>
              <w:ind w:left="186" w:hanging="141"/>
              <w:rPr>
                <w:rFonts w:cs="Arial"/>
                <w:szCs w:val="22"/>
                <w:lang w:eastAsia="it-IT"/>
              </w:rPr>
            </w:pPr>
            <w:r w:rsidRPr="0019790A">
              <w:rPr>
                <w:rFonts w:cs="Arial"/>
                <w:szCs w:val="22"/>
                <w:lang w:eastAsia="it-IT"/>
              </w:rPr>
              <w:t>Забезпечення доступності для осіб з інвалідністю (наявність пандусів, адаптованих санвузлів тощо).</w:t>
            </w:r>
          </w:p>
          <w:p w14:paraId="5C8DB202" w14:textId="77777777" w:rsidR="005342D5" w:rsidRPr="0019790A" w:rsidRDefault="005342D5" w:rsidP="009873B2">
            <w:pPr>
              <w:numPr>
                <w:ilvl w:val="0"/>
                <w:numId w:val="148"/>
              </w:numPr>
              <w:tabs>
                <w:tab w:val="left" w:pos="402"/>
              </w:tabs>
              <w:ind w:left="186" w:hanging="141"/>
              <w:rPr>
                <w:rFonts w:cs="Arial"/>
                <w:szCs w:val="22"/>
                <w:lang w:eastAsia="it-IT"/>
              </w:rPr>
            </w:pPr>
            <w:r w:rsidRPr="0019790A">
              <w:rPr>
                <w:rFonts w:cs="Arial"/>
                <w:szCs w:val="22"/>
                <w:lang w:eastAsia="it-IT"/>
              </w:rPr>
              <w:t>Позитивні відгуки персоналу та користувачів (не менше 80% задоволеності).</w:t>
            </w:r>
          </w:p>
        </w:tc>
      </w:tr>
      <w:tr w:rsidR="005342D5" w:rsidRPr="0019790A" w14:paraId="493E19CA" w14:textId="77777777" w:rsidTr="009873B2">
        <w:trPr>
          <w:jc w:val="right"/>
        </w:trPr>
        <w:tc>
          <w:tcPr>
            <w:tcW w:w="3424" w:type="dxa"/>
            <w:shd w:val="clear" w:color="auto" w:fill="FFFFFF"/>
            <w:vAlign w:val="center"/>
          </w:tcPr>
          <w:p w14:paraId="7A2C45D7" w14:textId="77777777" w:rsidR="005342D5" w:rsidRPr="0019790A" w:rsidRDefault="005342D5" w:rsidP="0019790A">
            <w:pPr>
              <w:rPr>
                <w:rFonts w:cs="Arial"/>
                <w:b/>
                <w:color w:val="000000"/>
                <w:szCs w:val="22"/>
              </w:rPr>
            </w:pPr>
            <w:r w:rsidRPr="0019790A">
              <w:rPr>
                <w:rFonts w:cs="Arial"/>
                <w:b/>
                <w:color w:val="000000"/>
                <w:szCs w:val="22"/>
              </w:rPr>
              <w:t xml:space="preserve">Період здійснення: </w:t>
            </w:r>
          </w:p>
        </w:tc>
        <w:tc>
          <w:tcPr>
            <w:tcW w:w="6795" w:type="dxa"/>
            <w:gridSpan w:val="6"/>
            <w:vAlign w:val="center"/>
          </w:tcPr>
          <w:p w14:paraId="0F8054B3" w14:textId="77777777" w:rsidR="005342D5" w:rsidRPr="0019790A" w:rsidRDefault="005342D5" w:rsidP="0019790A">
            <w:pPr>
              <w:rPr>
                <w:rFonts w:cs="Arial"/>
                <w:color w:val="000000"/>
                <w:szCs w:val="22"/>
                <w:lang w:eastAsia="it-IT"/>
              </w:rPr>
            </w:pPr>
            <w:r w:rsidRPr="0019790A">
              <w:rPr>
                <w:rFonts w:cs="Arial"/>
                <w:b/>
                <w:color w:val="000000"/>
                <w:szCs w:val="22"/>
              </w:rPr>
              <w:t>2025 – 2028 роки:</w:t>
            </w:r>
          </w:p>
        </w:tc>
      </w:tr>
      <w:tr w:rsidR="005342D5" w:rsidRPr="0019790A" w14:paraId="41E37CAC" w14:textId="77777777" w:rsidTr="009873B2">
        <w:trPr>
          <w:jc w:val="right"/>
        </w:trPr>
        <w:tc>
          <w:tcPr>
            <w:tcW w:w="3424" w:type="dxa"/>
            <w:vMerge w:val="restart"/>
            <w:shd w:val="clear" w:color="auto" w:fill="FFFFFF"/>
            <w:vAlign w:val="center"/>
          </w:tcPr>
          <w:p w14:paraId="6E702E26" w14:textId="77777777" w:rsidR="005342D5" w:rsidRPr="0019790A" w:rsidRDefault="005342D5" w:rsidP="0019790A">
            <w:pPr>
              <w:rPr>
                <w:rFonts w:cs="Arial"/>
                <w:b/>
                <w:bCs/>
                <w:color w:val="000000"/>
                <w:szCs w:val="22"/>
              </w:rPr>
            </w:pPr>
            <w:r w:rsidRPr="0019790A">
              <w:rPr>
                <w:rFonts w:cs="Arial"/>
                <w:b/>
                <w:bCs/>
                <w:color w:val="000000"/>
                <w:szCs w:val="22"/>
              </w:rPr>
              <w:t>Орієнтовна вартість проєкту, тис. грн., в тому числі:</w:t>
            </w:r>
          </w:p>
        </w:tc>
        <w:tc>
          <w:tcPr>
            <w:tcW w:w="1254" w:type="dxa"/>
            <w:shd w:val="clear" w:color="auto" w:fill="E6E6E6"/>
            <w:vAlign w:val="center"/>
          </w:tcPr>
          <w:p w14:paraId="60A76ADA"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2025</w:t>
            </w:r>
          </w:p>
        </w:tc>
        <w:tc>
          <w:tcPr>
            <w:tcW w:w="1275" w:type="dxa"/>
            <w:shd w:val="clear" w:color="auto" w:fill="E6E6E6"/>
            <w:vAlign w:val="center"/>
          </w:tcPr>
          <w:p w14:paraId="11BB2190"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2026</w:t>
            </w:r>
          </w:p>
        </w:tc>
        <w:tc>
          <w:tcPr>
            <w:tcW w:w="1418" w:type="dxa"/>
            <w:gridSpan w:val="2"/>
            <w:tcBorders>
              <w:bottom w:val="single" w:sz="4" w:space="0" w:color="auto"/>
            </w:tcBorders>
            <w:shd w:val="clear" w:color="auto" w:fill="E6E6E6"/>
            <w:vAlign w:val="center"/>
          </w:tcPr>
          <w:p w14:paraId="53034829"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2027</w:t>
            </w:r>
          </w:p>
        </w:tc>
        <w:tc>
          <w:tcPr>
            <w:tcW w:w="1276" w:type="dxa"/>
            <w:shd w:val="clear" w:color="auto" w:fill="E6E6E6"/>
            <w:vAlign w:val="center"/>
          </w:tcPr>
          <w:p w14:paraId="3FF4253C"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2028</w:t>
            </w:r>
          </w:p>
        </w:tc>
        <w:tc>
          <w:tcPr>
            <w:tcW w:w="1572" w:type="dxa"/>
            <w:shd w:val="clear" w:color="auto" w:fill="E6E6E6"/>
            <w:vAlign w:val="center"/>
          </w:tcPr>
          <w:p w14:paraId="14454E8F"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РАЗОМ</w:t>
            </w:r>
          </w:p>
        </w:tc>
      </w:tr>
      <w:tr w:rsidR="005342D5" w:rsidRPr="0019790A" w14:paraId="253CE4F7" w14:textId="77777777" w:rsidTr="009873B2">
        <w:trPr>
          <w:jc w:val="right"/>
        </w:trPr>
        <w:tc>
          <w:tcPr>
            <w:tcW w:w="3424" w:type="dxa"/>
            <w:vMerge/>
            <w:shd w:val="clear" w:color="auto" w:fill="FFFFFF"/>
            <w:vAlign w:val="center"/>
          </w:tcPr>
          <w:p w14:paraId="4F329937" w14:textId="77777777" w:rsidR="005342D5" w:rsidRPr="0019790A" w:rsidRDefault="005342D5" w:rsidP="0019790A">
            <w:pPr>
              <w:rPr>
                <w:rFonts w:cs="Arial"/>
                <w:b/>
                <w:bCs/>
                <w:color w:val="000000"/>
                <w:szCs w:val="22"/>
              </w:rPr>
            </w:pPr>
          </w:p>
        </w:tc>
        <w:tc>
          <w:tcPr>
            <w:tcW w:w="1254" w:type="dxa"/>
            <w:vAlign w:val="center"/>
          </w:tcPr>
          <w:p w14:paraId="632CBECD" w14:textId="77777777" w:rsidR="005342D5" w:rsidRPr="0019790A" w:rsidRDefault="005342D5" w:rsidP="0019790A">
            <w:pPr>
              <w:jc w:val="center"/>
              <w:rPr>
                <w:rFonts w:cs="Arial"/>
                <w:b/>
                <w:color w:val="000000"/>
                <w:szCs w:val="22"/>
                <w:lang w:eastAsia="it-IT"/>
              </w:rPr>
            </w:pPr>
          </w:p>
        </w:tc>
        <w:tc>
          <w:tcPr>
            <w:tcW w:w="1275" w:type="dxa"/>
            <w:shd w:val="clear" w:color="auto" w:fill="FFFFFF"/>
            <w:vAlign w:val="center"/>
          </w:tcPr>
          <w:p w14:paraId="46A0A6EC" w14:textId="77777777" w:rsidR="005342D5" w:rsidRPr="0019790A" w:rsidRDefault="005342D5" w:rsidP="0019790A">
            <w:pPr>
              <w:jc w:val="center"/>
              <w:rPr>
                <w:rFonts w:cs="Arial"/>
                <w:b/>
                <w:color w:val="000000"/>
                <w:szCs w:val="22"/>
                <w:lang w:eastAsia="it-IT"/>
              </w:rPr>
            </w:pPr>
          </w:p>
        </w:tc>
        <w:tc>
          <w:tcPr>
            <w:tcW w:w="1418" w:type="dxa"/>
            <w:gridSpan w:val="2"/>
            <w:shd w:val="clear" w:color="auto" w:fill="auto"/>
            <w:vAlign w:val="center"/>
          </w:tcPr>
          <w:p w14:paraId="1C308D85" w14:textId="77777777" w:rsidR="005342D5" w:rsidRPr="0019790A" w:rsidRDefault="005342D5" w:rsidP="0019790A">
            <w:pPr>
              <w:jc w:val="center"/>
              <w:rPr>
                <w:rFonts w:cs="Arial"/>
                <w:b/>
                <w:color w:val="000000"/>
                <w:szCs w:val="22"/>
                <w:lang w:eastAsia="it-IT"/>
              </w:rPr>
            </w:pPr>
          </w:p>
        </w:tc>
        <w:tc>
          <w:tcPr>
            <w:tcW w:w="1276" w:type="dxa"/>
            <w:shd w:val="clear" w:color="auto" w:fill="FFFFFF"/>
            <w:vAlign w:val="center"/>
          </w:tcPr>
          <w:p w14:paraId="0DB1DC5E" w14:textId="77777777" w:rsidR="005342D5" w:rsidRPr="0019790A" w:rsidRDefault="005342D5" w:rsidP="009873B2">
            <w:pPr>
              <w:jc w:val="center"/>
              <w:rPr>
                <w:rFonts w:cs="Arial"/>
                <w:b/>
                <w:color w:val="000000"/>
                <w:szCs w:val="22"/>
                <w:lang w:eastAsia="it-IT"/>
              </w:rPr>
            </w:pPr>
            <w:r w:rsidRPr="0019790A">
              <w:rPr>
                <w:rFonts w:cs="Arial"/>
                <w:b/>
                <w:color w:val="000000"/>
                <w:szCs w:val="22"/>
                <w:lang w:eastAsia="it-IT"/>
              </w:rPr>
              <w:t>50000,0</w:t>
            </w:r>
          </w:p>
        </w:tc>
        <w:tc>
          <w:tcPr>
            <w:tcW w:w="1572" w:type="dxa"/>
            <w:shd w:val="clear" w:color="auto" w:fill="FFFFFF"/>
            <w:vAlign w:val="center"/>
          </w:tcPr>
          <w:p w14:paraId="7B5FCCB3" w14:textId="77777777" w:rsidR="005342D5" w:rsidRPr="0019790A" w:rsidRDefault="005342D5" w:rsidP="009873B2">
            <w:pPr>
              <w:jc w:val="center"/>
              <w:rPr>
                <w:rFonts w:cs="Arial"/>
                <w:b/>
                <w:color w:val="000000"/>
                <w:szCs w:val="22"/>
                <w:lang w:eastAsia="it-IT"/>
              </w:rPr>
            </w:pPr>
            <w:r w:rsidRPr="0019790A">
              <w:rPr>
                <w:rFonts w:cs="Arial"/>
                <w:b/>
                <w:color w:val="000000"/>
                <w:szCs w:val="22"/>
                <w:lang w:eastAsia="it-IT"/>
              </w:rPr>
              <w:t>50000,0</w:t>
            </w:r>
          </w:p>
        </w:tc>
      </w:tr>
      <w:tr w:rsidR="005342D5" w:rsidRPr="0019790A" w14:paraId="359AE7C1" w14:textId="77777777" w:rsidTr="009873B2">
        <w:trPr>
          <w:trHeight w:val="276"/>
          <w:jc w:val="right"/>
        </w:trPr>
        <w:tc>
          <w:tcPr>
            <w:tcW w:w="3424" w:type="dxa"/>
            <w:shd w:val="clear" w:color="auto" w:fill="FFFFFF"/>
            <w:vAlign w:val="center"/>
          </w:tcPr>
          <w:p w14:paraId="2C28ADF9" w14:textId="77777777" w:rsidR="005342D5" w:rsidRPr="0019790A" w:rsidRDefault="005342D5" w:rsidP="0019790A">
            <w:pPr>
              <w:rPr>
                <w:rFonts w:cs="Arial"/>
                <w:b/>
                <w:bCs/>
                <w:color w:val="000000"/>
                <w:szCs w:val="22"/>
              </w:rPr>
            </w:pPr>
            <w:r w:rsidRPr="0019790A">
              <w:rPr>
                <w:rFonts w:cs="Arial"/>
                <w:b/>
                <w:bCs/>
                <w:color w:val="000000"/>
                <w:szCs w:val="22"/>
              </w:rPr>
              <w:t>по джерелах фінансування:</w:t>
            </w:r>
          </w:p>
        </w:tc>
        <w:tc>
          <w:tcPr>
            <w:tcW w:w="6795" w:type="dxa"/>
            <w:gridSpan w:val="6"/>
            <w:vAlign w:val="center"/>
          </w:tcPr>
          <w:p w14:paraId="2FA705EB" w14:textId="77777777" w:rsidR="005342D5" w:rsidRPr="0019790A" w:rsidRDefault="005342D5" w:rsidP="009873B2">
            <w:pPr>
              <w:jc w:val="both"/>
              <w:rPr>
                <w:rFonts w:cs="Arial"/>
                <w:color w:val="000000"/>
                <w:szCs w:val="22"/>
                <w:lang w:eastAsia="it-IT"/>
              </w:rPr>
            </w:pPr>
          </w:p>
        </w:tc>
      </w:tr>
      <w:tr w:rsidR="009873B2" w:rsidRPr="0019790A" w14:paraId="517F05A9" w14:textId="0960BFB4" w:rsidTr="009873B2">
        <w:trPr>
          <w:trHeight w:val="240"/>
          <w:jc w:val="right"/>
        </w:trPr>
        <w:tc>
          <w:tcPr>
            <w:tcW w:w="3424" w:type="dxa"/>
            <w:shd w:val="clear" w:color="auto" w:fill="FFFFFF"/>
            <w:vAlign w:val="center"/>
          </w:tcPr>
          <w:p w14:paraId="12B9B9B9" w14:textId="77777777" w:rsidR="009873B2" w:rsidRPr="0019790A" w:rsidRDefault="009873B2" w:rsidP="0019790A">
            <w:pPr>
              <w:rPr>
                <w:rFonts w:cs="Arial"/>
                <w:b/>
                <w:bCs/>
                <w:color w:val="000000"/>
                <w:szCs w:val="22"/>
              </w:rPr>
            </w:pPr>
            <w:r w:rsidRPr="0019790A">
              <w:rPr>
                <w:rFonts w:cs="Arial"/>
                <w:color w:val="000000"/>
                <w:szCs w:val="22"/>
              </w:rPr>
              <w:t>- державний бюджет</w:t>
            </w:r>
          </w:p>
        </w:tc>
        <w:tc>
          <w:tcPr>
            <w:tcW w:w="1252" w:type="dxa"/>
            <w:vAlign w:val="center"/>
          </w:tcPr>
          <w:p w14:paraId="7A16A32E" w14:textId="6E87D5E3" w:rsidR="009873B2" w:rsidRPr="0019790A" w:rsidRDefault="009873B2" w:rsidP="009873B2">
            <w:pPr>
              <w:jc w:val="center"/>
              <w:rPr>
                <w:rFonts w:cs="Arial"/>
                <w:color w:val="000000"/>
                <w:szCs w:val="22"/>
                <w:lang w:eastAsia="it-IT"/>
              </w:rPr>
            </w:pPr>
          </w:p>
        </w:tc>
        <w:tc>
          <w:tcPr>
            <w:tcW w:w="1315" w:type="dxa"/>
            <w:gridSpan w:val="2"/>
            <w:vAlign w:val="center"/>
          </w:tcPr>
          <w:p w14:paraId="105D8E26" w14:textId="77777777" w:rsidR="009873B2" w:rsidRPr="0019790A" w:rsidRDefault="009873B2" w:rsidP="009873B2">
            <w:pPr>
              <w:jc w:val="center"/>
              <w:rPr>
                <w:rFonts w:cs="Arial"/>
                <w:color w:val="000000"/>
                <w:szCs w:val="22"/>
                <w:lang w:eastAsia="it-IT"/>
              </w:rPr>
            </w:pPr>
          </w:p>
        </w:tc>
        <w:tc>
          <w:tcPr>
            <w:tcW w:w="1377" w:type="dxa"/>
            <w:vAlign w:val="center"/>
          </w:tcPr>
          <w:p w14:paraId="5C3C25C5" w14:textId="4DC16C1E" w:rsidR="009873B2" w:rsidRPr="0019790A" w:rsidRDefault="009873B2" w:rsidP="009873B2">
            <w:pPr>
              <w:jc w:val="center"/>
              <w:rPr>
                <w:rFonts w:cs="Arial"/>
                <w:color w:val="000000"/>
                <w:szCs w:val="22"/>
                <w:lang w:eastAsia="it-IT"/>
              </w:rPr>
            </w:pPr>
          </w:p>
        </w:tc>
        <w:tc>
          <w:tcPr>
            <w:tcW w:w="1279" w:type="dxa"/>
            <w:vAlign w:val="center"/>
          </w:tcPr>
          <w:p w14:paraId="084F122C" w14:textId="0A2F8634" w:rsidR="009873B2" w:rsidRPr="0019790A" w:rsidRDefault="009873B2" w:rsidP="009873B2">
            <w:pPr>
              <w:jc w:val="center"/>
              <w:rPr>
                <w:rFonts w:cs="Arial"/>
                <w:color w:val="000000"/>
                <w:szCs w:val="22"/>
                <w:lang w:eastAsia="it-IT"/>
              </w:rPr>
            </w:pPr>
            <w:r w:rsidRPr="0019790A">
              <w:rPr>
                <w:rFonts w:cs="Arial"/>
                <w:color w:val="000000"/>
                <w:szCs w:val="22"/>
                <w:lang w:eastAsia="it-IT"/>
              </w:rPr>
              <w:t>37500,0</w:t>
            </w:r>
          </w:p>
        </w:tc>
        <w:tc>
          <w:tcPr>
            <w:tcW w:w="1572" w:type="dxa"/>
            <w:vAlign w:val="center"/>
          </w:tcPr>
          <w:p w14:paraId="5FA722F9" w14:textId="7CE56B37" w:rsidR="009873B2" w:rsidRPr="0019790A" w:rsidRDefault="009873B2" w:rsidP="009873B2">
            <w:pPr>
              <w:jc w:val="center"/>
              <w:rPr>
                <w:rFonts w:cs="Arial"/>
                <w:color w:val="000000"/>
                <w:szCs w:val="22"/>
                <w:lang w:eastAsia="it-IT"/>
              </w:rPr>
            </w:pPr>
            <w:r w:rsidRPr="0019790A">
              <w:rPr>
                <w:rFonts w:cs="Arial"/>
                <w:color w:val="000000"/>
                <w:szCs w:val="22"/>
                <w:lang w:eastAsia="it-IT"/>
              </w:rPr>
              <w:t>37500,0</w:t>
            </w:r>
          </w:p>
        </w:tc>
      </w:tr>
      <w:tr w:rsidR="009873B2" w:rsidRPr="0019790A" w14:paraId="3E595EBB" w14:textId="1DFAC097" w:rsidTr="009873B2">
        <w:trPr>
          <w:trHeight w:val="254"/>
          <w:jc w:val="right"/>
        </w:trPr>
        <w:tc>
          <w:tcPr>
            <w:tcW w:w="3424" w:type="dxa"/>
            <w:shd w:val="clear" w:color="auto" w:fill="FFFFFF"/>
            <w:vAlign w:val="center"/>
          </w:tcPr>
          <w:p w14:paraId="1108F83E" w14:textId="77777777" w:rsidR="009873B2" w:rsidRPr="0019790A" w:rsidRDefault="009873B2" w:rsidP="0019790A">
            <w:pPr>
              <w:rPr>
                <w:rFonts w:cs="Arial"/>
                <w:color w:val="000000"/>
                <w:szCs w:val="22"/>
              </w:rPr>
            </w:pPr>
            <w:r w:rsidRPr="0019790A">
              <w:rPr>
                <w:rFonts w:cs="Arial"/>
                <w:color w:val="000000"/>
                <w:szCs w:val="22"/>
              </w:rPr>
              <w:t>- обласний бюджет</w:t>
            </w:r>
          </w:p>
        </w:tc>
        <w:tc>
          <w:tcPr>
            <w:tcW w:w="1252" w:type="dxa"/>
            <w:vAlign w:val="center"/>
          </w:tcPr>
          <w:p w14:paraId="20281FD1" w14:textId="5AE88893" w:rsidR="009873B2" w:rsidRPr="0019790A" w:rsidRDefault="009873B2" w:rsidP="009873B2">
            <w:pPr>
              <w:jc w:val="center"/>
              <w:rPr>
                <w:rFonts w:cs="Arial"/>
                <w:color w:val="000000"/>
                <w:szCs w:val="22"/>
                <w:lang w:eastAsia="it-IT"/>
              </w:rPr>
            </w:pPr>
          </w:p>
        </w:tc>
        <w:tc>
          <w:tcPr>
            <w:tcW w:w="1315" w:type="dxa"/>
            <w:gridSpan w:val="2"/>
            <w:vAlign w:val="center"/>
          </w:tcPr>
          <w:p w14:paraId="6909FB7B" w14:textId="77777777" w:rsidR="009873B2" w:rsidRPr="0019790A" w:rsidRDefault="009873B2" w:rsidP="009873B2">
            <w:pPr>
              <w:jc w:val="center"/>
              <w:rPr>
                <w:rFonts w:cs="Arial"/>
                <w:color w:val="000000"/>
                <w:szCs w:val="22"/>
                <w:lang w:eastAsia="it-IT"/>
              </w:rPr>
            </w:pPr>
          </w:p>
        </w:tc>
        <w:tc>
          <w:tcPr>
            <w:tcW w:w="1377" w:type="dxa"/>
            <w:vAlign w:val="center"/>
          </w:tcPr>
          <w:p w14:paraId="14AC8C20" w14:textId="580F9668" w:rsidR="009873B2" w:rsidRPr="0019790A" w:rsidRDefault="009873B2" w:rsidP="009873B2">
            <w:pPr>
              <w:jc w:val="center"/>
              <w:rPr>
                <w:rFonts w:cs="Arial"/>
                <w:color w:val="000000"/>
                <w:szCs w:val="22"/>
                <w:lang w:eastAsia="it-IT"/>
              </w:rPr>
            </w:pPr>
          </w:p>
        </w:tc>
        <w:tc>
          <w:tcPr>
            <w:tcW w:w="1279" w:type="dxa"/>
            <w:vAlign w:val="center"/>
          </w:tcPr>
          <w:p w14:paraId="3F978640" w14:textId="34113F0C" w:rsidR="009873B2" w:rsidRPr="0019790A" w:rsidRDefault="009873B2" w:rsidP="009873B2">
            <w:pPr>
              <w:jc w:val="center"/>
              <w:rPr>
                <w:rFonts w:cs="Arial"/>
                <w:color w:val="000000"/>
                <w:szCs w:val="22"/>
                <w:lang w:eastAsia="it-IT"/>
              </w:rPr>
            </w:pPr>
          </w:p>
        </w:tc>
        <w:tc>
          <w:tcPr>
            <w:tcW w:w="1572" w:type="dxa"/>
            <w:vAlign w:val="center"/>
          </w:tcPr>
          <w:p w14:paraId="37BB30A8" w14:textId="05022D7B" w:rsidR="009873B2" w:rsidRPr="0019790A" w:rsidRDefault="009873B2" w:rsidP="009873B2">
            <w:pPr>
              <w:jc w:val="center"/>
              <w:rPr>
                <w:rFonts w:cs="Arial"/>
                <w:color w:val="000000"/>
                <w:szCs w:val="22"/>
                <w:lang w:eastAsia="it-IT"/>
              </w:rPr>
            </w:pPr>
          </w:p>
        </w:tc>
      </w:tr>
      <w:tr w:rsidR="009873B2" w:rsidRPr="0019790A" w14:paraId="26367A0A" w14:textId="79DA49E8" w:rsidTr="009873B2">
        <w:trPr>
          <w:trHeight w:val="275"/>
          <w:jc w:val="right"/>
        </w:trPr>
        <w:tc>
          <w:tcPr>
            <w:tcW w:w="3424" w:type="dxa"/>
            <w:shd w:val="clear" w:color="auto" w:fill="FFFFFF"/>
            <w:vAlign w:val="center"/>
          </w:tcPr>
          <w:p w14:paraId="0594028E" w14:textId="77777777" w:rsidR="009873B2" w:rsidRPr="0019790A" w:rsidRDefault="009873B2" w:rsidP="0019790A">
            <w:pPr>
              <w:rPr>
                <w:rFonts w:cs="Arial"/>
                <w:color w:val="000000"/>
                <w:szCs w:val="22"/>
              </w:rPr>
            </w:pPr>
            <w:r w:rsidRPr="0019790A">
              <w:rPr>
                <w:rFonts w:cs="Arial"/>
                <w:color w:val="000000"/>
                <w:szCs w:val="22"/>
              </w:rPr>
              <w:t>- бюджет Жмеринської МТГ</w:t>
            </w:r>
          </w:p>
        </w:tc>
        <w:tc>
          <w:tcPr>
            <w:tcW w:w="1252" w:type="dxa"/>
            <w:vAlign w:val="center"/>
          </w:tcPr>
          <w:p w14:paraId="1A32B42A" w14:textId="53B93C5F" w:rsidR="009873B2" w:rsidRPr="0019790A" w:rsidRDefault="009873B2" w:rsidP="009873B2">
            <w:pPr>
              <w:jc w:val="center"/>
              <w:rPr>
                <w:rFonts w:cs="Arial"/>
                <w:color w:val="000000"/>
                <w:szCs w:val="22"/>
                <w:lang w:eastAsia="it-IT"/>
              </w:rPr>
            </w:pPr>
          </w:p>
        </w:tc>
        <w:tc>
          <w:tcPr>
            <w:tcW w:w="1315" w:type="dxa"/>
            <w:gridSpan w:val="2"/>
            <w:vAlign w:val="center"/>
          </w:tcPr>
          <w:p w14:paraId="1D27CD86" w14:textId="77777777" w:rsidR="009873B2" w:rsidRPr="0019790A" w:rsidRDefault="009873B2" w:rsidP="009873B2">
            <w:pPr>
              <w:jc w:val="center"/>
              <w:rPr>
                <w:rFonts w:cs="Arial"/>
                <w:color w:val="000000"/>
                <w:szCs w:val="22"/>
                <w:lang w:eastAsia="it-IT"/>
              </w:rPr>
            </w:pPr>
          </w:p>
        </w:tc>
        <w:tc>
          <w:tcPr>
            <w:tcW w:w="1377" w:type="dxa"/>
            <w:vAlign w:val="center"/>
          </w:tcPr>
          <w:p w14:paraId="2C53F04A" w14:textId="19062E38" w:rsidR="009873B2" w:rsidRPr="0019790A" w:rsidRDefault="009873B2" w:rsidP="009873B2">
            <w:pPr>
              <w:jc w:val="center"/>
              <w:rPr>
                <w:rFonts w:cs="Arial"/>
                <w:color w:val="000000"/>
                <w:szCs w:val="22"/>
                <w:lang w:eastAsia="it-IT"/>
              </w:rPr>
            </w:pPr>
          </w:p>
        </w:tc>
        <w:tc>
          <w:tcPr>
            <w:tcW w:w="1279" w:type="dxa"/>
            <w:vAlign w:val="center"/>
          </w:tcPr>
          <w:p w14:paraId="3DDD4D76" w14:textId="4898E347" w:rsidR="009873B2" w:rsidRPr="0019790A" w:rsidRDefault="009873B2" w:rsidP="009873B2">
            <w:pPr>
              <w:jc w:val="center"/>
              <w:rPr>
                <w:rFonts w:cs="Arial"/>
                <w:color w:val="000000"/>
                <w:szCs w:val="22"/>
                <w:lang w:eastAsia="it-IT"/>
              </w:rPr>
            </w:pPr>
            <w:r w:rsidRPr="0019790A">
              <w:rPr>
                <w:rFonts w:cs="Arial"/>
                <w:color w:val="000000"/>
                <w:szCs w:val="22"/>
                <w:lang w:eastAsia="it-IT"/>
              </w:rPr>
              <w:t>12500,0</w:t>
            </w:r>
          </w:p>
        </w:tc>
        <w:tc>
          <w:tcPr>
            <w:tcW w:w="1572" w:type="dxa"/>
            <w:vAlign w:val="center"/>
          </w:tcPr>
          <w:p w14:paraId="46524DC1" w14:textId="09E56B88" w:rsidR="009873B2" w:rsidRPr="0019790A" w:rsidRDefault="009873B2" w:rsidP="009873B2">
            <w:pPr>
              <w:jc w:val="center"/>
              <w:rPr>
                <w:rFonts w:cs="Arial"/>
                <w:color w:val="000000"/>
                <w:szCs w:val="22"/>
                <w:lang w:eastAsia="it-IT"/>
              </w:rPr>
            </w:pPr>
            <w:r w:rsidRPr="0019790A">
              <w:rPr>
                <w:rFonts w:cs="Arial"/>
                <w:color w:val="000000"/>
                <w:szCs w:val="22"/>
                <w:lang w:eastAsia="it-IT"/>
              </w:rPr>
              <w:t>12500,0</w:t>
            </w:r>
          </w:p>
        </w:tc>
      </w:tr>
      <w:tr w:rsidR="009873B2" w:rsidRPr="0019790A" w14:paraId="45097855" w14:textId="66A4E89A" w:rsidTr="009873B2">
        <w:trPr>
          <w:trHeight w:val="226"/>
          <w:jc w:val="right"/>
        </w:trPr>
        <w:tc>
          <w:tcPr>
            <w:tcW w:w="3424" w:type="dxa"/>
            <w:shd w:val="clear" w:color="auto" w:fill="FFFFFF"/>
            <w:vAlign w:val="center"/>
          </w:tcPr>
          <w:p w14:paraId="12F48FC0" w14:textId="77777777" w:rsidR="009873B2" w:rsidRPr="0019790A" w:rsidRDefault="009873B2" w:rsidP="0019790A">
            <w:pPr>
              <w:rPr>
                <w:rFonts w:cs="Arial"/>
                <w:color w:val="000000"/>
                <w:szCs w:val="22"/>
              </w:rPr>
            </w:pPr>
            <w:r w:rsidRPr="0019790A">
              <w:rPr>
                <w:rFonts w:cs="Arial"/>
                <w:color w:val="000000"/>
                <w:szCs w:val="22"/>
              </w:rPr>
              <w:t>- інші джерела фінансування</w:t>
            </w:r>
          </w:p>
        </w:tc>
        <w:tc>
          <w:tcPr>
            <w:tcW w:w="1252" w:type="dxa"/>
            <w:vAlign w:val="center"/>
          </w:tcPr>
          <w:p w14:paraId="4B3B827B" w14:textId="77777777" w:rsidR="009873B2" w:rsidRPr="0019790A" w:rsidRDefault="009873B2" w:rsidP="009873B2">
            <w:pPr>
              <w:jc w:val="center"/>
              <w:rPr>
                <w:rFonts w:cs="Arial"/>
                <w:color w:val="000000"/>
                <w:szCs w:val="22"/>
                <w:lang w:eastAsia="it-IT"/>
              </w:rPr>
            </w:pPr>
          </w:p>
        </w:tc>
        <w:tc>
          <w:tcPr>
            <w:tcW w:w="1315" w:type="dxa"/>
            <w:gridSpan w:val="2"/>
            <w:vAlign w:val="center"/>
          </w:tcPr>
          <w:p w14:paraId="67D58B3B" w14:textId="77777777" w:rsidR="009873B2" w:rsidRPr="0019790A" w:rsidRDefault="009873B2" w:rsidP="009873B2">
            <w:pPr>
              <w:jc w:val="center"/>
              <w:rPr>
                <w:rFonts w:cs="Arial"/>
                <w:color w:val="000000"/>
                <w:szCs w:val="22"/>
                <w:lang w:eastAsia="it-IT"/>
              </w:rPr>
            </w:pPr>
          </w:p>
        </w:tc>
        <w:tc>
          <w:tcPr>
            <w:tcW w:w="1377" w:type="dxa"/>
            <w:vAlign w:val="center"/>
          </w:tcPr>
          <w:p w14:paraId="650A15D6" w14:textId="0AC5F85C" w:rsidR="009873B2" w:rsidRPr="0019790A" w:rsidRDefault="009873B2" w:rsidP="009873B2">
            <w:pPr>
              <w:jc w:val="center"/>
              <w:rPr>
                <w:rFonts w:cs="Arial"/>
                <w:color w:val="000000"/>
                <w:szCs w:val="22"/>
                <w:lang w:eastAsia="it-IT"/>
              </w:rPr>
            </w:pPr>
          </w:p>
        </w:tc>
        <w:tc>
          <w:tcPr>
            <w:tcW w:w="1279" w:type="dxa"/>
            <w:vAlign w:val="center"/>
          </w:tcPr>
          <w:p w14:paraId="5B076CA6" w14:textId="352B9BF0" w:rsidR="009873B2" w:rsidRPr="0019790A" w:rsidRDefault="009873B2" w:rsidP="009873B2">
            <w:pPr>
              <w:jc w:val="center"/>
              <w:rPr>
                <w:rFonts w:cs="Arial"/>
                <w:color w:val="000000"/>
                <w:szCs w:val="22"/>
                <w:lang w:eastAsia="it-IT"/>
              </w:rPr>
            </w:pPr>
          </w:p>
        </w:tc>
        <w:tc>
          <w:tcPr>
            <w:tcW w:w="1572" w:type="dxa"/>
            <w:vAlign w:val="center"/>
          </w:tcPr>
          <w:p w14:paraId="5F7C4DD6" w14:textId="3A3D4185" w:rsidR="009873B2" w:rsidRPr="0019790A" w:rsidRDefault="009873B2" w:rsidP="009873B2">
            <w:pPr>
              <w:jc w:val="center"/>
              <w:rPr>
                <w:rFonts w:cs="Arial"/>
                <w:color w:val="000000"/>
                <w:szCs w:val="22"/>
                <w:lang w:eastAsia="it-IT"/>
              </w:rPr>
            </w:pPr>
          </w:p>
        </w:tc>
      </w:tr>
      <w:tr w:rsidR="005342D5" w:rsidRPr="0019790A" w14:paraId="393CDCA4" w14:textId="77777777" w:rsidTr="009873B2">
        <w:trPr>
          <w:jc w:val="right"/>
        </w:trPr>
        <w:tc>
          <w:tcPr>
            <w:tcW w:w="3424" w:type="dxa"/>
            <w:shd w:val="clear" w:color="auto" w:fill="FFFFFF"/>
            <w:vAlign w:val="center"/>
          </w:tcPr>
          <w:p w14:paraId="175A31F1" w14:textId="77777777" w:rsidR="005342D5" w:rsidRPr="0019790A" w:rsidRDefault="005342D5" w:rsidP="0019790A">
            <w:pPr>
              <w:rPr>
                <w:rFonts w:cs="Arial"/>
                <w:b/>
                <w:bCs/>
                <w:color w:val="000000"/>
                <w:szCs w:val="22"/>
              </w:rPr>
            </w:pPr>
            <w:r w:rsidRPr="0019790A">
              <w:rPr>
                <w:rFonts w:cs="Arial"/>
                <w:b/>
                <w:color w:val="000000"/>
                <w:szCs w:val="22"/>
              </w:rPr>
              <w:t>Відповідальний виконавець проєкту:</w:t>
            </w:r>
          </w:p>
        </w:tc>
        <w:tc>
          <w:tcPr>
            <w:tcW w:w="6795" w:type="dxa"/>
            <w:gridSpan w:val="6"/>
            <w:vAlign w:val="center"/>
          </w:tcPr>
          <w:p w14:paraId="7A3AB4F4" w14:textId="77777777" w:rsidR="005342D5" w:rsidRPr="0019790A" w:rsidRDefault="005342D5" w:rsidP="0019790A">
            <w:pPr>
              <w:jc w:val="both"/>
              <w:rPr>
                <w:rFonts w:cs="Arial"/>
                <w:color w:val="000000"/>
                <w:szCs w:val="22"/>
                <w:lang w:eastAsia="it-IT"/>
              </w:rPr>
            </w:pPr>
            <w:r w:rsidRPr="0019790A">
              <w:rPr>
                <w:rFonts w:cs="Arial"/>
                <w:color w:val="000000"/>
                <w:szCs w:val="22"/>
                <w:lang w:eastAsia="it-IT"/>
              </w:rPr>
              <w:t>Управління житлово-комунального господарства Жмеринської міської ради</w:t>
            </w:r>
          </w:p>
        </w:tc>
      </w:tr>
      <w:tr w:rsidR="005342D5" w:rsidRPr="0019790A" w14:paraId="58659279" w14:textId="77777777" w:rsidTr="009873B2">
        <w:trPr>
          <w:jc w:val="right"/>
        </w:trPr>
        <w:tc>
          <w:tcPr>
            <w:tcW w:w="3424" w:type="dxa"/>
            <w:shd w:val="clear" w:color="auto" w:fill="FFFFFF"/>
            <w:vAlign w:val="center"/>
          </w:tcPr>
          <w:p w14:paraId="6EE95DE9" w14:textId="77777777" w:rsidR="005342D5" w:rsidRPr="0019790A" w:rsidRDefault="005342D5" w:rsidP="0019790A">
            <w:pPr>
              <w:rPr>
                <w:rFonts w:cs="Arial"/>
                <w:b/>
                <w:bCs/>
                <w:color w:val="000000"/>
                <w:szCs w:val="22"/>
              </w:rPr>
            </w:pPr>
            <w:r w:rsidRPr="0019790A">
              <w:rPr>
                <w:rFonts w:cs="Arial"/>
                <w:b/>
                <w:bCs/>
                <w:color w:val="000000"/>
                <w:szCs w:val="22"/>
              </w:rPr>
              <w:t>Інше:</w:t>
            </w:r>
          </w:p>
        </w:tc>
        <w:tc>
          <w:tcPr>
            <w:tcW w:w="6795" w:type="dxa"/>
            <w:gridSpan w:val="6"/>
            <w:vAlign w:val="center"/>
          </w:tcPr>
          <w:p w14:paraId="09C4A7C9" w14:textId="77777777" w:rsidR="005342D5" w:rsidRPr="0019790A" w:rsidRDefault="005342D5" w:rsidP="0019790A">
            <w:pPr>
              <w:rPr>
                <w:rFonts w:cs="Arial"/>
                <w:color w:val="000000"/>
                <w:szCs w:val="22"/>
                <w:lang w:eastAsia="it-IT"/>
              </w:rPr>
            </w:pPr>
          </w:p>
        </w:tc>
      </w:tr>
    </w:tbl>
    <w:p w14:paraId="4BB11E99" w14:textId="77777777" w:rsidR="005342D5" w:rsidRPr="0019790A" w:rsidRDefault="005342D5" w:rsidP="0019790A">
      <w:pPr>
        <w:rPr>
          <w:rFonts w:cs="Arial"/>
          <w:szCs w:val="22"/>
        </w:rPr>
      </w:pPr>
    </w:p>
    <w:p w14:paraId="59589FDB" w14:textId="77777777" w:rsidR="005342D5" w:rsidRPr="0019790A" w:rsidRDefault="005342D5" w:rsidP="0019790A">
      <w:pPr>
        <w:rPr>
          <w:rFonts w:cs="Arial"/>
          <w:szCs w:val="22"/>
        </w:rPr>
      </w:pPr>
    </w:p>
    <w:p w14:paraId="37F96BB3" w14:textId="77777777" w:rsidR="005342D5" w:rsidRPr="0019790A" w:rsidRDefault="005342D5" w:rsidP="0019790A">
      <w:pPr>
        <w:jc w:val="center"/>
        <w:rPr>
          <w:rFonts w:cs="Arial"/>
          <w:b/>
          <w:color w:val="000000"/>
          <w:szCs w:val="22"/>
        </w:rPr>
      </w:pPr>
      <w:r w:rsidRPr="0019790A">
        <w:rPr>
          <w:rFonts w:cs="Arial"/>
          <w:b/>
          <w:color w:val="000000"/>
          <w:szCs w:val="22"/>
        </w:rPr>
        <w:t xml:space="preserve">Форма технічного завдання на проєкт місцевого розвитку </w:t>
      </w:r>
    </w:p>
    <w:p w14:paraId="76A59561" w14:textId="77777777" w:rsidR="005342D5" w:rsidRPr="0019790A" w:rsidRDefault="005342D5" w:rsidP="0019790A">
      <w:pPr>
        <w:jc w:val="center"/>
        <w:rPr>
          <w:rFonts w:cs="Arial"/>
          <w:b/>
          <w:color w:val="000000"/>
          <w:szCs w:val="22"/>
        </w:rPr>
      </w:pPr>
      <w:r w:rsidRPr="0019790A">
        <w:rPr>
          <w:rFonts w:cs="Arial"/>
          <w:b/>
          <w:color w:val="000000"/>
          <w:szCs w:val="22"/>
        </w:rPr>
        <w:t>до Плану заходів з реалізації Стратегії</w:t>
      </w:r>
    </w:p>
    <w:p w14:paraId="4960A4E5" w14:textId="77777777" w:rsidR="005342D5" w:rsidRPr="0019790A" w:rsidRDefault="005342D5"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3"/>
        <w:gridCol w:w="1254"/>
        <w:gridCol w:w="1265"/>
        <w:gridCol w:w="10"/>
        <w:gridCol w:w="1405"/>
        <w:gridCol w:w="13"/>
        <w:gridCol w:w="1264"/>
        <w:gridCol w:w="12"/>
        <w:gridCol w:w="1573"/>
      </w:tblGrid>
      <w:tr w:rsidR="005342D5" w:rsidRPr="0019790A" w14:paraId="0B9312B2" w14:textId="77777777" w:rsidTr="00CF3AAE">
        <w:trPr>
          <w:trHeight w:val="307"/>
          <w:jc w:val="right"/>
        </w:trPr>
        <w:tc>
          <w:tcPr>
            <w:tcW w:w="3425" w:type="dxa"/>
            <w:vAlign w:val="center"/>
          </w:tcPr>
          <w:p w14:paraId="1BA2CC5F" w14:textId="77777777" w:rsidR="005342D5" w:rsidRPr="0019790A" w:rsidRDefault="005342D5" w:rsidP="0019790A">
            <w:pPr>
              <w:rPr>
                <w:rFonts w:cs="Arial"/>
                <w:b/>
                <w:bCs/>
                <w:color w:val="000000"/>
                <w:szCs w:val="22"/>
              </w:rPr>
            </w:pPr>
            <w:r w:rsidRPr="0019790A">
              <w:rPr>
                <w:rFonts w:cs="Arial"/>
                <w:b/>
                <w:bCs/>
                <w:color w:val="000000"/>
                <w:szCs w:val="22"/>
              </w:rPr>
              <w:t>Назва проєкту:</w:t>
            </w:r>
          </w:p>
        </w:tc>
        <w:tc>
          <w:tcPr>
            <w:tcW w:w="6794" w:type="dxa"/>
            <w:gridSpan w:val="8"/>
          </w:tcPr>
          <w:p w14:paraId="4F87108F" w14:textId="77777777" w:rsidR="005342D5" w:rsidRPr="0019790A" w:rsidRDefault="005342D5" w:rsidP="0019790A">
            <w:pPr>
              <w:rPr>
                <w:rFonts w:cs="Arial"/>
                <w:szCs w:val="22"/>
                <w:lang w:eastAsia="it-IT"/>
              </w:rPr>
            </w:pPr>
            <w:r w:rsidRPr="0019790A">
              <w:rPr>
                <w:rFonts w:cs="Arial"/>
                <w:b/>
                <w:bCs/>
                <w:szCs w:val="22"/>
                <w:lang w:eastAsia="it-IT"/>
              </w:rPr>
              <w:t>Капітальний ремонт асфальтованих доріжок КП «Парковий культурно-спортивний комплекс»</w:t>
            </w:r>
          </w:p>
        </w:tc>
      </w:tr>
      <w:tr w:rsidR="005342D5" w:rsidRPr="0019790A" w14:paraId="4D83CB85" w14:textId="77777777" w:rsidTr="00CF3AAE">
        <w:trPr>
          <w:jc w:val="right"/>
        </w:trPr>
        <w:tc>
          <w:tcPr>
            <w:tcW w:w="3425" w:type="dxa"/>
          </w:tcPr>
          <w:p w14:paraId="2440FADA" w14:textId="77777777" w:rsidR="005342D5" w:rsidRPr="0019790A" w:rsidRDefault="005342D5"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6BE43BE8" w14:textId="77777777" w:rsidR="005342D5" w:rsidRPr="0019790A" w:rsidRDefault="005342D5"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8"/>
          </w:tcPr>
          <w:p w14:paraId="2DDB34C2" w14:textId="77777777" w:rsidR="005342D5" w:rsidRPr="0019790A" w:rsidRDefault="005342D5" w:rsidP="0019790A">
            <w:pPr>
              <w:rPr>
                <w:rFonts w:cs="Arial"/>
                <w:szCs w:val="22"/>
                <w:lang w:eastAsia="it-IT"/>
              </w:rPr>
            </w:pPr>
            <w:r w:rsidRPr="0019790A">
              <w:rPr>
                <w:rFonts w:cs="Arial"/>
                <w:szCs w:val="22"/>
                <w:lang w:eastAsia="it-IT"/>
              </w:rPr>
              <w:t>Відділ молоді та спорту Жмеринської міської ради</w:t>
            </w:r>
          </w:p>
        </w:tc>
      </w:tr>
      <w:tr w:rsidR="005342D5" w:rsidRPr="0019790A" w14:paraId="002E8836" w14:textId="77777777" w:rsidTr="00CF3AAE">
        <w:trPr>
          <w:jc w:val="right"/>
        </w:trPr>
        <w:tc>
          <w:tcPr>
            <w:tcW w:w="3425" w:type="dxa"/>
          </w:tcPr>
          <w:p w14:paraId="54238D60" w14:textId="77777777" w:rsidR="005342D5" w:rsidRPr="0019790A" w:rsidRDefault="005342D5" w:rsidP="0019790A">
            <w:pPr>
              <w:rPr>
                <w:rFonts w:cs="Arial"/>
                <w:b/>
                <w:bCs/>
                <w:szCs w:val="22"/>
              </w:rPr>
            </w:pPr>
            <w:r w:rsidRPr="0019790A">
              <w:rPr>
                <w:rFonts w:cs="Arial"/>
                <w:szCs w:val="22"/>
                <w:lang w:eastAsia="it-IT"/>
              </w:rPr>
              <w:t>Прізвище Ім’я По-батькові:</w:t>
            </w:r>
          </w:p>
        </w:tc>
        <w:tc>
          <w:tcPr>
            <w:tcW w:w="6794" w:type="dxa"/>
            <w:gridSpan w:val="8"/>
          </w:tcPr>
          <w:p w14:paraId="72F37077" w14:textId="77777777" w:rsidR="005342D5" w:rsidRPr="0019790A" w:rsidRDefault="005342D5" w:rsidP="0019790A">
            <w:pPr>
              <w:rPr>
                <w:rFonts w:cs="Arial"/>
                <w:szCs w:val="22"/>
                <w:lang w:eastAsia="it-IT"/>
              </w:rPr>
            </w:pPr>
            <w:r w:rsidRPr="0019790A">
              <w:rPr>
                <w:rFonts w:cs="Arial"/>
                <w:szCs w:val="22"/>
                <w:lang w:eastAsia="it-IT"/>
              </w:rPr>
              <w:t>Ковальська Олена Віталіївна</w:t>
            </w:r>
          </w:p>
        </w:tc>
      </w:tr>
      <w:tr w:rsidR="005342D5" w:rsidRPr="0019790A" w14:paraId="57D934A3" w14:textId="77777777" w:rsidTr="00CF3AAE">
        <w:trPr>
          <w:jc w:val="right"/>
        </w:trPr>
        <w:tc>
          <w:tcPr>
            <w:tcW w:w="3425" w:type="dxa"/>
          </w:tcPr>
          <w:p w14:paraId="142C2037" w14:textId="77777777" w:rsidR="005342D5" w:rsidRPr="0019790A" w:rsidRDefault="005342D5" w:rsidP="0019790A">
            <w:pPr>
              <w:rPr>
                <w:rFonts w:cs="Arial"/>
                <w:b/>
                <w:bCs/>
                <w:szCs w:val="22"/>
              </w:rPr>
            </w:pPr>
            <w:r w:rsidRPr="0019790A">
              <w:rPr>
                <w:rFonts w:cs="Arial"/>
                <w:szCs w:val="22"/>
                <w:lang w:eastAsia="it-IT"/>
              </w:rPr>
              <w:t>Телефон (мобільний):</w:t>
            </w:r>
          </w:p>
        </w:tc>
        <w:tc>
          <w:tcPr>
            <w:tcW w:w="6794" w:type="dxa"/>
            <w:gridSpan w:val="8"/>
          </w:tcPr>
          <w:p w14:paraId="7BDC91FB" w14:textId="77777777" w:rsidR="005342D5" w:rsidRPr="0019790A" w:rsidRDefault="005342D5" w:rsidP="0019790A">
            <w:pPr>
              <w:rPr>
                <w:rFonts w:cs="Arial"/>
                <w:szCs w:val="22"/>
                <w:lang w:eastAsia="it-IT"/>
              </w:rPr>
            </w:pPr>
            <w:r w:rsidRPr="0019790A">
              <w:rPr>
                <w:rFonts w:cs="Arial"/>
                <w:szCs w:val="22"/>
                <w:lang w:eastAsia="it-IT"/>
              </w:rPr>
              <w:t>096-068-94-79</w:t>
            </w:r>
          </w:p>
        </w:tc>
      </w:tr>
      <w:tr w:rsidR="005342D5" w:rsidRPr="0019790A" w14:paraId="016DB328" w14:textId="77777777" w:rsidTr="00CF3AAE">
        <w:trPr>
          <w:jc w:val="right"/>
        </w:trPr>
        <w:tc>
          <w:tcPr>
            <w:tcW w:w="3425" w:type="dxa"/>
          </w:tcPr>
          <w:p w14:paraId="42C53731" w14:textId="77777777" w:rsidR="005342D5" w:rsidRPr="0019790A" w:rsidRDefault="005342D5" w:rsidP="0019790A">
            <w:pPr>
              <w:rPr>
                <w:rFonts w:cs="Arial"/>
                <w:b/>
                <w:bCs/>
                <w:szCs w:val="22"/>
              </w:rPr>
            </w:pPr>
            <w:r w:rsidRPr="0019790A">
              <w:rPr>
                <w:rFonts w:cs="Arial"/>
                <w:szCs w:val="22"/>
                <w:lang w:eastAsia="it-IT"/>
              </w:rPr>
              <w:t>Електронна адреса:</w:t>
            </w:r>
          </w:p>
        </w:tc>
        <w:tc>
          <w:tcPr>
            <w:tcW w:w="6794" w:type="dxa"/>
            <w:gridSpan w:val="8"/>
          </w:tcPr>
          <w:p w14:paraId="22E334CF" w14:textId="77777777" w:rsidR="005342D5" w:rsidRPr="0019790A" w:rsidRDefault="00D85FFD" w:rsidP="0019790A">
            <w:pPr>
              <w:rPr>
                <w:rFonts w:cs="Arial"/>
                <w:szCs w:val="22"/>
                <w:lang w:eastAsia="it-IT"/>
              </w:rPr>
            </w:pPr>
            <w:hyperlink r:id="rId144" w:history="1">
              <w:r w:rsidR="005342D5" w:rsidRPr="0019790A">
                <w:rPr>
                  <w:rFonts w:cs="Arial"/>
                  <w:b/>
                  <w:bCs/>
                  <w:color w:val="0000FF"/>
                  <w:szCs w:val="22"/>
                  <w:u w:val="single"/>
                  <w:lang w:eastAsia="it-IT"/>
                </w:rPr>
                <w:t>ms@zhmr.gov.ua</w:t>
              </w:r>
            </w:hyperlink>
          </w:p>
        </w:tc>
      </w:tr>
      <w:tr w:rsidR="005342D5" w:rsidRPr="0019790A" w14:paraId="5966BE5E" w14:textId="77777777" w:rsidTr="009873B2">
        <w:trPr>
          <w:jc w:val="right"/>
        </w:trPr>
        <w:tc>
          <w:tcPr>
            <w:tcW w:w="3425" w:type="dxa"/>
            <w:vAlign w:val="center"/>
          </w:tcPr>
          <w:p w14:paraId="687EC3B8" w14:textId="77777777" w:rsidR="005342D5" w:rsidRPr="0019790A" w:rsidRDefault="005342D5" w:rsidP="0019790A">
            <w:pPr>
              <w:outlineLvl w:val="5"/>
              <w:rPr>
                <w:rFonts w:cs="Arial"/>
                <w:b/>
                <w:bCs/>
                <w:color w:val="000000"/>
                <w:szCs w:val="22"/>
                <w:lang w:eastAsia="en-US"/>
              </w:rPr>
            </w:pPr>
            <w:r w:rsidRPr="0019790A">
              <w:rPr>
                <w:rFonts w:cs="Arial"/>
                <w:b/>
                <w:bCs/>
                <w:color w:val="000000"/>
                <w:szCs w:val="22"/>
                <w:lang w:eastAsia="en-US"/>
              </w:rPr>
              <w:t>Номер і назва завдання з Стратегії</w:t>
            </w:r>
            <w:r w:rsidRPr="0019790A">
              <w:rPr>
                <w:rFonts w:cs="Arial"/>
                <w:b/>
                <w:bCs/>
                <w:szCs w:val="22"/>
                <w:lang w:eastAsia="it-IT"/>
              </w:rPr>
              <w:t xml:space="preserve"> </w:t>
            </w:r>
            <w:r w:rsidRPr="0019790A">
              <w:rPr>
                <w:rFonts w:cs="Arial"/>
                <w:b/>
                <w:bCs/>
                <w:color w:val="000000"/>
                <w:szCs w:val="22"/>
                <w:lang w:eastAsia="en-US"/>
              </w:rPr>
              <w:t>розвитку Жмеринської міської територіальної громади,  якому відповідає проєкт:</w:t>
            </w:r>
          </w:p>
        </w:tc>
        <w:tc>
          <w:tcPr>
            <w:tcW w:w="6794" w:type="dxa"/>
            <w:gridSpan w:val="8"/>
            <w:vAlign w:val="center"/>
          </w:tcPr>
          <w:p w14:paraId="4F2F01D9" w14:textId="4C6486BB" w:rsidR="005342D5" w:rsidRPr="0019790A" w:rsidRDefault="005342D5" w:rsidP="009873B2">
            <w:pPr>
              <w:pBdr>
                <w:left w:val="single" w:sz="18" w:space="4" w:color="auto"/>
              </w:pBdr>
              <w:rPr>
                <w:rFonts w:cs="Arial"/>
                <w:szCs w:val="22"/>
                <w:lang w:eastAsia="it-IT"/>
              </w:rPr>
            </w:pPr>
            <w:r w:rsidRPr="0019790A">
              <w:rPr>
                <w:rFonts w:cs="Arial"/>
                <w:b/>
                <w:bCs/>
                <w:szCs w:val="22"/>
                <w:lang w:eastAsia="it-IT"/>
              </w:rPr>
              <w:t>С.3.4.2. Будівництво, реконструкція інфраструктури спорту з урахуванням гендерного аспекту</w:t>
            </w:r>
          </w:p>
        </w:tc>
      </w:tr>
      <w:tr w:rsidR="005342D5" w:rsidRPr="0019790A" w14:paraId="0D4C8D43" w14:textId="77777777" w:rsidTr="009873B2">
        <w:trPr>
          <w:jc w:val="right"/>
        </w:trPr>
        <w:tc>
          <w:tcPr>
            <w:tcW w:w="3425" w:type="dxa"/>
            <w:vAlign w:val="center"/>
          </w:tcPr>
          <w:p w14:paraId="55A20280" w14:textId="77777777" w:rsidR="005342D5" w:rsidRPr="0019790A" w:rsidRDefault="005342D5" w:rsidP="0019790A">
            <w:pPr>
              <w:rPr>
                <w:rFonts w:cs="Arial"/>
                <w:b/>
                <w:bCs/>
                <w:color w:val="000000"/>
                <w:szCs w:val="22"/>
              </w:rPr>
            </w:pPr>
            <w:r w:rsidRPr="0019790A">
              <w:rPr>
                <w:rFonts w:cs="Arial"/>
                <w:b/>
                <w:bCs/>
                <w:color w:val="000000"/>
                <w:szCs w:val="22"/>
              </w:rPr>
              <w:t>Мета проєкту:</w:t>
            </w:r>
          </w:p>
        </w:tc>
        <w:tc>
          <w:tcPr>
            <w:tcW w:w="6794" w:type="dxa"/>
            <w:gridSpan w:val="8"/>
            <w:vAlign w:val="center"/>
          </w:tcPr>
          <w:p w14:paraId="4346C6FC" w14:textId="77777777" w:rsidR="005342D5" w:rsidRPr="0019790A" w:rsidRDefault="005342D5" w:rsidP="009873B2">
            <w:pPr>
              <w:rPr>
                <w:rFonts w:cs="Arial"/>
                <w:szCs w:val="22"/>
                <w:lang w:eastAsia="it-IT"/>
              </w:rPr>
            </w:pPr>
            <w:r w:rsidRPr="0019790A">
              <w:rPr>
                <w:rFonts w:cs="Arial"/>
                <w:szCs w:val="22"/>
                <w:lang w:eastAsia="it-IT"/>
              </w:rPr>
              <w:t>Покращення стану пішохідної та транспортної інфраструктури на території спортивного комплексу шляхом капітального ремонту асфальтованих доріжок для безпечного та зручного пересування відвідувачів.</w:t>
            </w:r>
          </w:p>
        </w:tc>
      </w:tr>
      <w:tr w:rsidR="005342D5" w:rsidRPr="0019790A" w14:paraId="6B4942AA" w14:textId="77777777" w:rsidTr="009873B2">
        <w:trPr>
          <w:jc w:val="right"/>
        </w:trPr>
        <w:tc>
          <w:tcPr>
            <w:tcW w:w="3425" w:type="dxa"/>
            <w:vAlign w:val="center"/>
          </w:tcPr>
          <w:p w14:paraId="4CD40367" w14:textId="77777777" w:rsidR="005342D5" w:rsidRPr="0019790A" w:rsidRDefault="005342D5" w:rsidP="0019790A">
            <w:pPr>
              <w:rPr>
                <w:rFonts w:cs="Arial"/>
                <w:b/>
                <w:bCs/>
                <w:color w:val="000000"/>
                <w:szCs w:val="22"/>
              </w:rPr>
            </w:pPr>
            <w:r w:rsidRPr="0019790A">
              <w:rPr>
                <w:rFonts w:cs="Arial"/>
                <w:b/>
                <w:bCs/>
                <w:color w:val="000000"/>
                <w:szCs w:val="22"/>
              </w:rPr>
              <w:t>Цілі проєкту:</w:t>
            </w:r>
          </w:p>
        </w:tc>
        <w:tc>
          <w:tcPr>
            <w:tcW w:w="6794" w:type="dxa"/>
            <w:gridSpan w:val="8"/>
            <w:vAlign w:val="center"/>
          </w:tcPr>
          <w:p w14:paraId="7C936BDE" w14:textId="77777777" w:rsidR="005342D5" w:rsidRPr="0019790A" w:rsidRDefault="005342D5" w:rsidP="009873B2">
            <w:pPr>
              <w:numPr>
                <w:ilvl w:val="0"/>
                <w:numId w:val="149"/>
              </w:numPr>
              <w:ind w:left="186" w:hanging="186"/>
              <w:rPr>
                <w:rFonts w:cs="Arial"/>
                <w:szCs w:val="22"/>
                <w:lang w:eastAsia="it-IT"/>
              </w:rPr>
            </w:pPr>
            <w:r w:rsidRPr="0019790A">
              <w:rPr>
                <w:rFonts w:cs="Arial"/>
                <w:szCs w:val="22"/>
                <w:lang w:eastAsia="it-IT"/>
              </w:rPr>
              <w:t>Усунути аварійний стан дорожнього покриття.</w:t>
            </w:r>
          </w:p>
          <w:p w14:paraId="3E9E219A" w14:textId="77777777" w:rsidR="005342D5" w:rsidRPr="0019790A" w:rsidRDefault="005342D5" w:rsidP="009873B2">
            <w:pPr>
              <w:numPr>
                <w:ilvl w:val="0"/>
                <w:numId w:val="149"/>
              </w:numPr>
              <w:ind w:left="186" w:hanging="186"/>
              <w:rPr>
                <w:rFonts w:cs="Arial"/>
                <w:szCs w:val="22"/>
                <w:lang w:eastAsia="it-IT"/>
              </w:rPr>
            </w:pPr>
            <w:r w:rsidRPr="0019790A">
              <w:rPr>
                <w:rFonts w:cs="Arial"/>
                <w:szCs w:val="22"/>
                <w:lang w:eastAsia="it-IT"/>
              </w:rPr>
              <w:t>Забезпечити безпечне переміщення пішоходів і технічного транспорту.</w:t>
            </w:r>
          </w:p>
          <w:p w14:paraId="537BF7D2" w14:textId="77777777" w:rsidR="005342D5" w:rsidRPr="0019790A" w:rsidRDefault="005342D5" w:rsidP="009873B2">
            <w:pPr>
              <w:numPr>
                <w:ilvl w:val="0"/>
                <w:numId w:val="149"/>
              </w:numPr>
              <w:ind w:left="186" w:hanging="186"/>
              <w:rPr>
                <w:rFonts w:cs="Arial"/>
                <w:szCs w:val="22"/>
                <w:lang w:eastAsia="it-IT"/>
              </w:rPr>
            </w:pPr>
            <w:r w:rsidRPr="0019790A">
              <w:rPr>
                <w:rFonts w:cs="Arial"/>
                <w:szCs w:val="22"/>
                <w:lang w:eastAsia="it-IT"/>
              </w:rPr>
              <w:t>Підвищити естетичний вигляд та функціональність території комплексу.</w:t>
            </w:r>
          </w:p>
          <w:p w14:paraId="55DF1C30" w14:textId="77777777" w:rsidR="005342D5" w:rsidRPr="0019790A" w:rsidRDefault="005342D5" w:rsidP="009873B2">
            <w:pPr>
              <w:numPr>
                <w:ilvl w:val="0"/>
                <w:numId w:val="149"/>
              </w:numPr>
              <w:ind w:left="186" w:hanging="186"/>
              <w:rPr>
                <w:rFonts w:cs="Arial"/>
                <w:szCs w:val="22"/>
                <w:lang w:eastAsia="it-IT"/>
              </w:rPr>
            </w:pPr>
            <w:r w:rsidRPr="0019790A">
              <w:rPr>
                <w:rFonts w:cs="Arial"/>
                <w:szCs w:val="22"/>
                <w:lang w:eastAsia="it-IT"/>
              </w:rPr>
              <w:t>Забезпечити доступність для всіх груп користувачів, включно з маломобільними.</w:t>
            </w:r>
          </w:p>
        </w:tc>
      </w:tr>
      <w:tr w:rsidR="005342D5" w:rsidRPr="0019790A" w14:paraId="7AA5269F" w14:textId="77777777" w:rsidTr="009873B2">
        <w:trPr>
          <w:jc w:val="right"/>
        </w:trPr>
        <w:tc>
          <w:tcPr>
            <w:tcW w:w="3425" w:type="dxa"/>
            <w:vAlign w:val="center"/>
          </w:tcPr>
          <w:p w14:paraId="748F5CCE" w14:textId="77777777" w:rsidR="005342D5" w:rsidRPr="0019790A" w:rsidRDefault="005342D5" w:rsidP="0019790A">
            <w:pPr>
              <w:autoSpaceDE w:val="0"/>
              <w:autoSpaceDN w:val="0"/>
              <w:adjustRightInd w:val="0"/>
              <w:rPr>
                <w:rFonts w:cs="Arial"/>
                <w:b/>
                <w:color w:val="000000"/>
                <w:szCs w:val="22"/>
              </w:rPr>
            </w:pPr>
            <w:r w:rsidRPr="0019790A">
              <w:rPr>
                <w:rFonts w:cs="Arial"/>
                <w:b/>
                <w:color w:val="000000"/>
                <w:szCs w:val="22"/>
              </w:rPr>
              <w:t>Територія на яку проєкт матиме вплив:</w:t>
            </w:r>
          </w:p>
        </w:tc>
        <w:tc>
          <w:tcPr>
            <w:tcW w:w="6794" w:type="dxa"/>
            <w:gridSpan w:val="8"/>
            <w:vAlign w:val="center"/>
          </w:tcPr>
          <w:p w14:paraId="3AE83E27" w14:textId="77777777" w:rsidR="005342D5" w:rsidRPr="0019790A" w:rsidRDefault="005342D5" w:rsidP="009873B2">
            <w:pPr>
              <w:rPr>
                <w:rFonts w:cs="Arial"/>
                <w:szCs w:val="22"/>
                <w:lang w:eastAsia="it-IT"/>
              </w:rPr>
            </w:pPr>
            <w:r w:rsidRPr="0019790A">
              <w:rPr>
                <w:rFonts w:cs="Arial"/>
                <w:szCs w:val="22"/>
                <w:lang w:eastAsia="it-IT"/>
              </w:rPr>
              <w:t>Жмеринська міська територіальна громада</w:t>
            </w:r>
          </w:p>
        </w:tc>
      </w:tr>
      <w:tr w:rsidR="005342D5" w:rsidRPr="0019790A" w14:paraId="73817F20" w14:textId="77777777" w:rsidTr="009873B2">
        <w:trPr>
          <w:jc w:val="right"/>
        </w:trPr>
        <w:tc>
          <w:tcPr>
            <w:tcW w:w="3425" w:type="dxa"/>
            <w:vAlign w:val="center"/>
          </w:tcPr>
          <w:p w14:paraId="2CC79467" w14:textId="77777777" w:rsidR="005342D5" w:rsidRPr="0019790A" w:rsidRDefault="005342D5" w:rsidP="0019790A">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4" w:type="dxa"/>
            <w:gridSpan w:val="8"/>
            <w:vAlign w:val="center"/>
          </w:tcPr>
          <w:p w14:paraId="7F9509F5" w14:textId="77777777" w:rsidR="005342D5" w:rsidRPr="0019790A" w:rsidRDefault="005342D5" w:rsidP="009873B2">
            <w:pPr>
              <w:numPr>
                <w:ilvl w:val="0"/>
                <w:numId w:val="150"/>
              </w:numPr>
              <w:ind w:left="186" w:hanging="141"/>
              <w:rPr>
                <w:rFonts w:cs="Arial"/>
                <w:szCs w:val="22"/>
                <w:lang w:eastAsia="it-IT"/>
              </w:rPr>
            </w:pPr>
            <w:r w:rsidRPr="0019790A">
              <w:rPr>
                <w:rFonts w:cs="Arial"/>
                <w:szCs w:val="22"/>
                <w:lang w:eastAsia="it-IT"/>
              </w:rPr>
              <w:t>Відвідувачі парку та спортивного комплексу.</w:t>
            </w:r>
          </w:p>
          <w:p w14:paraId="13ABF457" w14:textId="77777777" w:rsidR="005342D5" w:rsidRPr="0019790A" w:rsidRDefault="005342D5" w:rsidP="009873B2">
            <w:pPr>
              <w:numPr>
                <w:ilvl w:val="0"/>
                <w:numId w:val="150"/>
              </w:numPr>
              <w:ind w:left="186" w:hanging="141"/>
              <w:rPr>
                <w:rFonts w:cs="Arial"/>
                <w:szCs w:val="22"/>
                <w:lang w:eastAsia="it-IT"/>
              </w:rPr>
            </w:pPr>
            <w:r w:rsidRPr="0019790A">
              <w:rPr>
                <w:rFonts w:cs="Arial"/>
                <w:szCs w:val="22"/>
                <w:lang w:eastAsia="it-IT"/>
              </w:rPr>
              <w:t>Спортсмени, учасники тренувань і змагань.</w:t>
            </w:r>
          </w:p>
          <w:p w14:paraId="46C97CA8" w14:textId="77777777" w:rsidR="005342D5" w:rsidRPr="0019790A" w:rsidRDefault="005342D5" w:rsidP="009873B2">
            <w:pPr>
              <w:numPr>
                <w:ilvl w:val="0"/>
                <w:numId w:val="150"/>
              </w:numPr>
              <w:ind w:left="186" w:hanging="141"/>
              <w:rPr>
                <w:rFonts w:cs="Arial"/>
                <w:szCs w:val="22"/>
                <w:lang w:eastAsia="it-IT"/>
              </w:rPr>
            </w:pPr>
            <w:r w:rsidRPr="0019790A">
              <w:rPr>
                <w:rFonts w:cs="Arial"/>
                <w:szCs w:val="22"/>
                <w:lang w:eastAsia="it-IT"/>
              </w:rPr>
              <w:t>Персонал КП.</w:t>
            </w:r>
          </w:p>
          <w:p w14:paraId="3AC004B6" w14:textId="77777777" w:rsidR="005342D5" w:rsidRPr="0019790A" w:rsidRDefault="005342D5" w:rsidP="009873B2">
            <w:pPr>
              <w:numPr>
                <w:ilvl w:val="0"/>
                <w:numId w:val="150"/>
              </w:numPr>
              <w:ind w:left="186" w:hanging="141"/>
              <w:rPr>
                <w:rFonts w:cs="Arial"/>
                <w:szCs w:val="22"/>
                <w:lang w:eastAsia="it-IT"/>
              </w:rPr>
            </w:pPr>
            <w:r w:rsidRPr="0019790A">
              <w:rPr>
                <w:rFonts w:cs="Arial"/>
                <w:szCs w:val="22"/>
                <w:lang w:eastAsia="it-IT"/>
              </w:rPr>
              <w:t>Жителі громади, що користуються інфраструктурою об'єкта.</w:t>
            </w:r>
          </w:p>
        </w:tc>
      </w:tr>
      <w:tr w:rsidR="005342D5" w:rsidRPr="0019790A" w14:paraId="2D5C6F05" w14:textId="77777777" w:rsidTr="009873B2">
        <w:trPr>
          <w:jc w:val="right"/>
        </w:trPr>
        <w:tc>
          <w:tcPr>
            <w:tcW w:w="3425" w:type="dxa"/>
            <w:shd w:val="clear" w:color="auto" w:fill="FFFFFF"/>
            <w:vAlign w:val="center"/>
          </w:tcPr>
          <w:p w14:paraId="49F6D3A1" w14:textId="77777777" w:rsidR="005342D5" w:rsidRPr="0019790A" w:rsidRDefault="005342D5" w:rsidP="0019790A">
            <w:pPr>
              <w:rPr>
                <w:rFonts w:cs="Arial"/>
                <w:b/>
                <w:bCs/>
                <w:color w:val="000000"/>
                <w:szCs w:val="22"/>
              </w:rPr>
            </w:pPr>
            <w:r w:rsidRPr="0019790A">
              <w:rPr>
                <w:rFonts w:cs="Arial"/>
                <w:b/>
                <w:bCs/>
                <w:color w:val="000000"/>
                <w:szCs w:val="22"/>
              </w:rPr>
              <w:t>Стислий опис проєкту:</w:t>
            </w:r>
          </w:p>
        </w:tc>
        <w:tc>
          <w:tcPr>
            <w:tcW w:w="6794" w:type="dxa"/>
            <w:gridSpan w:val="8"/>
            <w:vAlign w:val="center"/>
          </w:tcPr>
          <w:p w14:paraId="1D219BA3" w14:textId="77777777" w:rsidR="005342D5" w:rsidRPr="0019790A" w:rsidRDefault="005342D5" w:rsidP="009873B2">
            <w:pPr>
              <w:ind w:left="45"/>
              <w:rPr>
                <w:rFonts w:cs="Arial"/>
                <w:szCs w:val="22"/>
                <w:lang w:eastAsia="it-IT"/>
              </w:rPr>
            </w:pPr>
            <w:r w:rsidRPr="0019790A">
              <w:rPr>
                <w:rFonts w:cs="Arial"/>
                <w:szCs w:val="22"/>
                <w:lang w:eastAsia="it-IT"/>
              </w:rPr>
              <w:t>Проєкт передбачає повну реконструкцію існуючих асфальтованих доріжок на території КП «Парковий культурно-спортивний комплекс», включаючи демонтаж старого покриття, облаштування основи, укладання нового асфальтобетонного шару, облаштування бордюрів, зливової каналізації (за потреби), а також нанесення розмітки. Передбачено встановлення урн, лавок, елементів безбар’єрності.</w:t>
            </w:r>
          </w:p>
        </w:tc>
      </w:tr>
      <w:tr w:rsidR="005342D5" w:rsidRPr="0019790A" w14:paraId="1B226646" w14:textId="77777777" w:rsidTr="009873B2">
        <w:trPr>
          <w:jc w:val="right"/>
        </w:trPr>
        <w:tc>
          <w:tcPr>
            <w:tcW w:w="3425" w:type="dxa"/>
            <w:shd w:val="clear" w:color="auto" w:fill="FFFFFF"/>
            <w:vAlign w:val="center"/>
          </w:tcPr>
          <w:p w14:paraId="4E1BCC23" w14:textId="77777777" w:rsidR="005342D5" w:rsidRPr="0019790A" w:rsidRDefault="005342D5" w:rsidP="0019790A">
            <w:pPr>
              <w:rPr>
                <w:rFonts w:cs="Arial"/>
                <w:b/>
                <w:bCs/>
                <w:color w:val="000000"/>
                <w:szCs w:val="22"/>
              </w:rPr>
            </w:pPr>
            <w:r w:rsidRPr="0019790A">
              <w:rPr>
                <w:rFonts w:cs="Arial"/>
                <w:b/>
                <w:bCs/>
                <w:color w:val="000000"/>
                <w:szCs w:val="22"/>
              </w:rPr>
              <w:t>Основні заходи проєкту:</w:t>
            </w:r>
          </w:p>
        </w:tc>
        <w:tc>
          <w:tcPr>
            <w:tcW w:w="6794" w:type="dxa"/>
            <w:gridSpan w:val="8"/>
            <w:vAlign w:val="center"/>
          </w:tcPr>
          <w:p w14:paraId="1B7332D5" w14:textId="77777777" w:rsidR="005342D5" w:rsidRPr="0019790A" w:rsidRDefault="005342D5" w:rsidP="009873B2">
            <w:pPr>
              <w:numPr>
                <w:ilvl w:val="0"/>
                <w:numId w:val="151"/>
              </w:numPr>
              <w:tabs>
                <w:tab w:val="left" w:pos="186"/>
              </w:tabs>
              <w:ind w:hanging="720"/>
              <w:rPr>
                <w:rFonts w:cs="Arial"/>
                <w:szCs w:val="22"/>
                <w:lang w:eastAsia="it-IT"/>
              </w:rPr>
            </w:pPr>
            <w:r w:rsidRPr="0019790A">
              <w:rPr>
                <w:rFonts w:cs="Arial"/>
                <w:szCs w:val="22"/>
                <w:lang w:eastAsia="it-IT"/>
              </w:rPr>
              <w:t>Інженерно-геодезичні та технічні обстеження.</w:t>
            </w:r>
          </w:p>
          <w:p w14:paraId="2D71E03C" w14:textId="77777777" w:rsidR="005342D5" w:rsidRPr="0019790A" w:rsidRDefault="005342D5" w:rsidP="009873B2">
            <w:pPr>
              <w:numPr>
                <w:ilvl w:val="0"/>
                <w:numId w:val="151"/>
              </w:numPr>
              <w:tabs>
                <w:tab w:val="left" w:pos="186"/>
              </w:tabs>
              <w:ind w:hanging="720"/>
              <w:rPr>
                <w:rFonts w:cs="Arial"/>
                <w:szCs w:val="22"/>
                <w:lang w:eastAsia="it-IT"/>
              </w:rPr>
            </w:pPr>
            <w:r w:rsidRPr="0019790A">
              <w:rPr>
                <w:rFonts w:cs="Arial"/>
                <w:szCs w:val="22"/>
                <w:lang w:eastAsia="it-IT"/>
              </w:rPr>
              <w:t>Демонтаж старого асфальтного покриття.</w:t>
            </w:r>
          </w:p>
          <w:p w14:paraId="04B422E2" w14:textId="77777777" w:rsidR="005342D5" w:rsidRPr="0019790A" w:rsidRDefault="005342D5" w:rsidP="009873B2">
            <w:pPr>
              <w:numPr>
                <w:ilvl w:val="0"/>
                <w:numId w:val="151"/>
              </w:numPr>
              <w:tabs>
                <w:tab w:val="left" w:pos="186"/>
              </w:tabs>
              <w:ind w:hanging="720"/>
              <w:rPr>
                <w:rFonts w:cs="Arial"/>
                <w:szCs w:val="22"/>
                <w:lang w:eastAsia="it-IT"/>
              </w:rPr>
            </w:pPr>
            <w:r w:rsidRPr="0019790A">
              <w:rPr>
                <w:rFonts w:cs="Arial"/>
                <w:szCs w:val="22"/>
                <w:lang w:eastAsia="it-IT"/>
              </w:rPr>
              <w:t>Влаштування щебеневої основи та підготовчих шарів.</w:t>
            </w:r>
          </w:p>
          <w:p w14:paraId="0DAAFDB7" w14:textId="77777777" w:rsidR="005342D5" w:rsidRPr="0019790A" w:rsidRDefault="005342D5" w:rsidP="009873B2">
            <w:pPr>
              <w:numPr>
                <w:ilvl w:val="0"/>
                <w:numId w:val="151"/>
              </w:numPr>
              <w:tabs>
                <w:tab w:val="left" w:pos="186"/>
              </w:tabs>
              <w:ind w:hanging="720"/>
              <w:rPr>
                <w:rFonts w:cs="Arial"/>
                <w:szCs w:val="22"/>
                <w:lang w:eastAsia="it-IT"/>
              </w:rPr>
            </w:pPr>
            <w:r w:rsidRPr="0019790A">
              <w:rPr>
                <w:rFonts w:cs="Arial"/>
                <w:szCs w:val="22"/>
                <w:lang w:eastAsia="it-IT"/>
              </w:rPr>
              <w:t>Укладання нового асфальтобетонного покриття.</w:t>
            </w:r>
          </w:p>
          <w:p w14:paraId="73D3FF23" w14:textId="77777777" w:rsidR="005342D5" w:rsidRPr="0019790A" w:rsidRDefault="005342D5" w:rsidP="009873B2">
            <w:pPr>
              <w:numPr>
                <w:ilvl w:val="0"/>
                <w:numId w:val="151"/>
              </w:numPr>
              <w:tabs>
                <w:tab w:val="left" w:pos="186"/>
              </w:tabs>
              <w:ind w:hanging="720"/>
              <w:rPr>
                <w:rFonts w:cs="Arial"/>
                <w:szCs w:val="22"/>
                <w:lang w:eastAsia="it-IT"/>
              </w:rPr>
            </w:pPr>
            <w:r w:rsidRPr="0019790A">
              <w:rPr>
                <w:rFonts w:cs="Arial"/>
                <w:szCs w:val="22"/>
                <w:lang w:eastAsia="it-IT"/>
              </w:rPr>
              <w:t>Облаштування бордюрів, зливових решіток (за потреби).</w:t>
            </w:r>
          </w:p>
          <w:p w14:paraId="26EFE19F" w14:textId="77777777" w:rsidR="005342D5" w:rsidRPr="0019790A" w:rsidRDefault="005342D5" w:rsidP="009873B2">
            <w:pPr>
              <w:numPr>
                <w:ilvl w:val="0"/>
                <w:numId w:val="151"/>
              </w:numPr>
              <w:tabs>
                <w:tab w:val="left" w:pos="186"/>
              </w:tabs>
              <w:ind w:hanging="720"/>
              <w:rPr>
                <w:rFonts w:cs="Arial"/>
                <w:szCs w:val="22"/>
                <w:lang w:eastAsia="it-IT"/>
              </w:rPr>
            </w:pPr>
            <w:r w:rsidRPr="0019790A">
              <w:rPr>
                <w:rFonts w:cs="Arial"/>
                <w:szCs w:val="22"/>
                <w:lang w:eastAsia="it-IT"/>
              </w:rPr>
              <w:t>Встановлення елементів благоустрою: урн, лавок, інформаційних вказівників.</w:t>
            </w:r>
          </w:p>
          <w:p w14:paraId="5BAF46A2" w14:textId="77777777" w:rsidR="005342D5" w:rsidRPr="0019790A" w:rsidRDefault="005342D5" w:rsidP="009873B2">
            <w:pPr>
              <w:numPr>
                <w:ilvl w:val="0"/>
                <w:numId w:val="151"/>
              </w:numPr>
              <w:tabs>
                <w:tab w:val="left" w:pos="186"/>
              </w:tabs>
              <w:ind w:hanging="720"/>
              <w:rPr>
                <w:rFonts w:cs="Arial"/>
                <w:szCs w:val="22"/>
                <w:lang w:eastAsia="it-IT"/>
              </w:rPr>
            </w:pPr>
            <w:r w:rsidRPr="0019790A">
              <w:rPr>
                <w:rFonts w:cs="Arial"/>
                <w:szCs w:val="22"/>
                <w:lang w:eastAsia="it-IT"/>
              </w:rPr>
              <w:t>Облаштування пандусів та інших засобів доступності.</w:t>
            </w:r>
          </w:p>
          <w:p w14:paraId="6E35A5B1" w14:textId="77777777" w:rsidR="005342D5" w:rsidRPr="0019790A" w:rsidRDefault="005342D5" w:rsidP="009873B2">
            <w:pPr>
              <w:tabs>
                <w:tab w:val="left" w:pos="186"/>
              </w:tabs>
              <w:ind w:left="45"/>
              <w:rPr>
                <w:rFonts w:cs="Arial"/>
                <w:szCs w:val="22"/>
                <w:lang w:eastAsia="it-IT"/>
              </w:rPr>
            </w:pPr>
            <w:r w:rsidRPr="0019790A">
              <w:rPr>
                <w:rFonts w:cs="Arial"/>
                <w:szCs w:val="22"/>
                <w:lang w:eastAsia="it-IT"/>
              </w:rPr>
              <w:t>8. Нанесення дорожньої розмітки або маркування функціональних зон.</w:t>
            </w:r>
          </w:p>
        </w:tc>
      </w:tr>
      <w:tr w:rsidR="005342D5" w:rsidRPr="0019790A" w14:paraId="2B270DB3" w14:textId="77777777" w:rsidTr="009873B2">
        <w:trPr>
          <w:jc w:val="right"/>
        </w:trPr>
        <w:tc>
          <w:tcPr>
            <w:tcW w:w="3425" w:type="dxa"/>
            <w:shd w:val="clear" w:color="auto" w:fill="FFFFFF"/>
            <w:vAlign w:val="center"/>
          </w:tcPr>
          <w:p w14:paraId="11BA3F5C" w14:textId="77777777" w:rsidR="005342D5" w:rsidRPr="0019790A" w:rsidRDefault="005342D5"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794" w:type="dxa"/>
            <w:gridSpan w:val="8"/>
            <w:vAlign w:val="center"/>
          </w:tcPr>
          <w:p w14:paraId="311D5B2E" w14:textId="77777777" w:rsidR="005342D5" w:rsidRPr="0019790A" w:rsidRDefault="005342D5" w:rsidP="009873B2">
            <w:pPr>
              <w:numPr>
                <w:ilvl w:val="0"/>
                <w:numId w:val="152"/>
              </w:numPr>
              <w:ind w:left="186" w:hanging="141"/>
              <w:rPr>
                <w:rFonts w:cs="Arial"/>
                <w:szCs w:val="22"/>
                <w:lang w:eastAsia="it-IT"/>
              </w:rPr>
            </w:pPr>
            <w:r w:rsidRPr="0019790A">
              <w:rPr>
                <w:rFonts w:cs="Arial"/>
                <w:szCs w:val="22"/>
                <w:lang w:eastAsia="it-IT"/>
              </w:rPr>
              <w:t>Повне оновлення 100% запланованих доріжок у межах комплексу.</w:t>
            </w:r>
          </w:p>
          <w:p w14:paraId="4E3FB460" w14:textId="77777777" w:rsidR="005342D5" w:rsidRPr="0019790A" w:rsidRDefault="005342D5" w:rsidP="009873B2">
            <w:pPr>
              <w:numPr>
                <w:ilvl w:val="0"/>
                <w:numId w:val="152"/>
              </w:numPr>
              <w:ind w:left="186" w:hanging="141"/>
              <w:rPr>
                <w:rFonts w:cs="Arial"/>
                <w:szCs w:val="22"/>
                <w:lang w:eastAsia="it-IT"/>
              </w:rPr>
            </w:pPr>
            <w:r w:rsidRPr="0019790A">
              <w:rPr>
                <w:rFonts w:cs="Arial"/>
                <w:szCs w:val="22"/>
                <w:lang w:eastAsia="it-IT"/>
              </w:rPr>
              <w:t>Підвищення безпеки пересування (відсутність травмонебезпечних ділянок).</w:t>
            </w:r>
          </w:p>
          <w:p w14:paraId="7CF79758" w14:textId="77777777" w:rsidR="005342D5" w:rsidRPr="0019790A" w:rsidRDefault="005342D5" w:rsidP="009873B2">
            <w:pPr>
              <w:numPr>
                <w:ilvl w:val="0"/>
                <w:numId w:val="152"/>
              </w:numPr>
              <w:ind w:left="186" w:hanging="141"/>
              <w:rPr>
                <w:rFonts w:cs="Arial"/>
                <w:szCs w:val="22"/>
                <w:lang w:eastAsia="it-IT"/>
              </w:rPr>
            </w:pPr>
            <w:r w:rsidRPr="0019790A">
              <w:rPr>
                <w:rFonts w:cs="Arial"/>
                <w:szCs w:val="22"/>
                <w:lang w:eastAsia="it-IT"/>
              </w:rPr>
              <w:t>Створення безперешкодного доступу для маломобільних груп.</w:t>
            </w:r>
          </w:p>
          <w:p w14:paraId="41760E51" w14:textId="77777777" w:rsidR="005342D5" w:rsidRPr="0019790A" w:rsidRDefault="005342D5" w:rsidP="009873B2">
            <w:pPr>
              <w:numPr>
                <w:ilvl w:val="0"/>
                <w:numId w:val="152"/>
              </w:numPr>
              <w:ind w:left="186" w:hanging="141"/>
              <w:rPr>
                <w:rFonts w:cs="Arial"/>
                <w:szCs w:val="22"/>
                <w:lang w:eastAsia="it-IT"/>
              </w:rPr>
            </w:pPr>
            <w:r w:rsidRPr="0019790A">
              <w:rPr>
                <w:rFonts w:cs="Arial"/>
                <w:szCs w:val="22"/>
                <w:lang w:eastAsia="it-IT"/>
              </w:rPr>
              <w:t>Позитивна оцінка громадськості (не менше 85% задоволених користувачів).</w:t>
            </w:r>
          </w:p>
          <w:p w14:paraId="6910234C" w14:textId="77777777" w:rsidR="005342D5" w:rsidRPr="0019790A" w:rsidRDefault="005342D5" w:rsidP="009873B2">
            <w:pPr>
              <w:numPr>
                <w:ilvl w:val="0"/>
                <w:numId w:val="152"/>
              </w:numPr>
              <w:ind w:left="186" w:hanging="141"/>
              <w:rPr>
                <w:rFonts w:cs="Arial"/>
                <w:szCs w:val="22"/>
                <w:lang w:eastAsia="it-IT"/>
              </w:rPr>
            </w:pPr>
            <w:r w:rsidRPr="0019790A">
              <w:rPr>
                <w:rFonts w:cs="Arial"/>
                <w:szCs w:val="22"/>
                <w:lang w:eastAsia="it-IT"/>
              </w:rPr>
              <w:t>Введення оновленої інфраструктури в експлуатацію в межах запланованого терміну.</w:t>
            </w:r>
          </w:p>
        </w:tc>
      </w:tr>
      <w:tr w:rsidR="005342D5" w:rsidRPr="0019790A" w14:paraId="53286E2D" w14:textId="77777777" w:rsidTr="00CF3AAE">
        <w:trPr>
          <w:jc w:val="right"/>
        </w:trPr>
        <w:tc>
          <w:tcPr>
            <w:tcW w:w="3425" w:type="dxa"/>
            <w:shd w:val="clear" w:color="auto" w:fill="FFFFFF"/>
            <w:vAlign w:val="center"/>
          </w:tcPr>
          <w:p w14:paraId="144565DF" w14:textId="77777777" w:rsidR="005342D5" w:rsidRPr="0019790A" w:rsidRDefault="005342D5" w:rsidP="0019790A">
            <w:pPr>
              <w:rPr>
                <w:rFonts w:cs="Arial"/>
                <w:b/>
                <w:color w:val="000000"/>
                <w:szCs w:val="22"/>
              </w:rPr>
            </w:pPr>
            <w:r w:rsidRPr="0019790A">
              <w:rPr>
                <w:rFonts w:cs="Arial"/>
                <w:b/>
                <w:color w:val="000000"/>
                <w:szCs w:val="22"/>
              </w:rPr>
              <w:t xml:space="preserve">Період здійснення: </w:t>
            </w:r>
          </w:p>
        </w:tc>
        <w:tc>
          <w:tcPr>
            <w:tcW w:w="6794" w:type="dxa"/>
            <w:gridSpan w:val="8"/>
            <w:vAlign w:val="center"/>
          </w:tcPr>
          <w:p w14:paraId="4561C752" w14:textId="77777777" w:rsidR="005342D5" w:rsidRPr="0019790A" w:rsidRDefault="005342D5" w:rsidP="0019790A">
            <w:pPr>
              <w:rPr>
                <w:rFonts w:cs="Arial"/>
                <w:color w:val="000000"/>
                <w:szCs w:val="22"/>
                <w:lang w:eastAsia="it-IT"/>
              </w:rPr>
            </w:pPr>
            <w:r w:rsidRPr="0019790A">
              <w:rPr>
                <w:rFonts w:cs="Arial"/>
                <w:b/>
                <w:color w:val="000000"/>
                <w:szCs w:val="22"/>
              </w:rPr>
              <w:t>2025 – 2028 роки:</w:t>
            </w:r>
          </w:p>
        </w:tc>
      </w:tr>
      <w:tr w:rsidR="005342D5" w:rsidRPr="0019790A" w14:paraId="7D86E225" w14:textId="77777777" w:rsidTr="00CF3AAE">
        <w:trPr>
          <w:jc w:val="right"/>
        </w:trPr>
        <w:tc>
          <w:tcPr>
            <w:tcW w:w="3425" w:type="dxa"/>
            <w:vMerge w:val="restart"/>
            <w:shd w:val="clear" w:color="auto" w:fill="FFFFFF"/>
            <w:vAlign w:val="center"/>
          </w:tcPr>
          <w:p w14:paraId="5117A8EF" w14:textId="77777777" w:rsidR="005342D5" w:rsidRPr="0019790A" w:rsidRDefault="005342D5" w:rsidP="0019790A">
            <w:pPr>
              <w:rPr>
                <w:rFonts w:cs="Arial"/>
                <w:b/>
                <w:bCs/>
                <w:color w:val="000000"/>
                <w:szCs w:val="22"/>
              </w:rPr>
            </w:pPr>
            <w:r w:rsidRPr="0019790A">
              <w:rPr>
                <w:rFonts w:cs="Arial"/>
                <w:b/>
                <w:bCs/>
                <w:color w:val="000000"/>
                <w:szCs w:val="22"/>
              </w:rPr>
              <w:t>Орієнтовна вартість проєкту, тис. грн., в тому числі:</w:t>
            </w:r>
          </w:p>
        </w:tc>
        <w:tc>
          <w:tcPr>
            <w:tcW w:w="1254" w:type="dxa"/>
            <w:shd w:val="clear" w:color="auto" w:fill="E6E6E6"/>
            <w:vAlign w:val="center"/>
          </w:tcPr>
          <w:p w14:paraId="13B8CAF1"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2025</w:t>
            </w:r>
          </w:p>
        </w:tc>
        <w:tc>
          <w:tcPr>
            <w:tcW w:w="1275" w:type="dxa"/>
            <w:gridSpan w:val="2"/>
            <w:shd w:val="clear" w:color="auto" w:fill="E6E6E6"/>
            <w:vAlign w:val="center"/>
          </w:tcPr>
          <w:p w14:paraId="334E4B87"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2026</w:t>
            </w:r>
          </w:p>
        </w:tc>
        <w:tc>
          <w:tcPr>
            <w:tcW w:w="1418" w:type="dxa"/>
            <w:gridSpan w:val="2"/>
            <w:tcBorders>
              <w:bottom w:val="single" w:sz="4" w:space="0" w:color="auto"/>
            </w:tcBorders>
            <w:shd w:val="clear" w:color="auto" w:fill="E6E6E6"/>
            <w:vAlign w:val="center"/>
          </w:tcPr>
          <w:p w14:paraId="5DB45AEC"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2027</w:t>
            </w:r>
          </w:p>
        </w:tc>
        <w:tc>
          <w:tcPr>
            <w:tcW w:w="1276" w:type="dxa"/>
            <w:gridSpan w:val="2"/>
            <w:shd w:val="clear" w:color="auto" w:fill="E6E6E6"/>
            <w:vAlign w:val="center"/>
          </w:tcPr>
          <w:p w14:paraId="6B110A9D"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2028</w:t>
            </w:r>
          </w:p>
        </w:tc>
        <w:tc>
          <w:tcPr>
            <w:tcW w:w="1571" w:type="dxa"/>
            <w:shd w:val="clear" w:color="auto" w:fill="E6E6E6"/>
            <w:vAlign w:val="center"/>
          </w:tcPr>
          <w:p w14:paraId="07D1250C"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РАЗОМ</w:t>
            </w:r>
          </w:p>
        </w:tc>
      </w:tr>
      <w:tr w:rsidR="005342D5" w:rsidRPr="0019790A" w14:paraId="1AB8BA41" w14:textId="77777777" w:rsidTr="00CF3AAE">
        <w:trPr>
          <w:jc w:val="right"/>
        </w:trPr>
        <w:tc>
          <w:tcPr>
            <w:tcW w:w="3425" w:type="dxa"/>
            <w:vMerge/>
            <w:shd w:val="clear" w:color="auto" w:fill="FFFFFF"/>
            <w:vAlign w:val="center"/>
          </w:tcPr>
          <w:p w14:paraId="3A9EACC3" w14:textId="77777777" w:rsidR="005342D5" w:rsidRPr="0019790A" w:rsidRDefault="005342D5" w:rsidP="0019790A">
            <w:pPr>
              <w:rPr>
                <w:rFonts w:cs="Arial"/>
                <w:b/>
                <w:bCs/>
                <w:color w:val="000000"/>
                <w:szCs w:val="22"/>
              </w:rPr>
            </w:pPr>
          </w:p>
        </w:tc>
        <w:tc>
          <w:tcPr>
            <w:tcW w:w="1254" w:type="dxa"/>
            <w:vAlign w:val="center"/>
          </w:tcPr>
          <w:p w14:paraId="74569079" w14:textId="77777777" w:rsidR="005342D5" w:rsidRPr="0019790A" w:rsidRDefault="005342D5" w:rsidP="0019790A">
            <w:pPr>
              <w:jc w:val="center"/>
              <w:rPr>
                <w:rFonts w:cs="Arial"/>
                <w:b/>
                <w:color w:val="000000"/>
                <w:szCs w:val="22"/>
                <w:lang w:eastAsia="it-IT"/>
              </w:rPr>
            </w:pPr>
          </w:p>
        </w:tc>
        <w:tc>
          <w:tcPr>
            <w:tcW w:w="1275" w:type="dxa"/>
            <w:gridSpan w:val="2"/>
            <w:shd w:val="clear" w:color="auto" w:fill="FFFFFF"/>
            <w:vAlign w:val="center"/>
          </w:tcPr>
          <w:p w14:paraId="37F177C8" w14:textId="77777777" w:rsidR="005342D5" w:rsidRPr="0019790A" w:rsidRDefault="005342D5" w:rsidP="0019790A">
            <w:pPr>
              <w:jc w:val="center"/>
              <w:rPr>
                <w:rFonts w:cs="Arial"/>
                <w:b/>
                <w:color w:val="000000"/>
                <w:szCs w:val="22"/>
                <w:lang w:eastAsia="it-IT"/>
              </w:rPr>
            </w:pPr>
          </w:p>
        </w:tc>
        <w:tc>
          <w:tcPr>
            <w:tcW w:w="1418" w:type="dxa"/>
            <w:gridSpan w:val="2"/>
            <w:shd w:val="clear" w:color="auto" w:fill="auto"/>
            <w:vAlign w:val="center"/>
          </w:tcPr>
          <w:p w14:paraId="458CF704" w14:textId="77777777" w:rsidR="005342D5" w:rsidRPr="0019790A" w:rsidRDefault="005342D5" w:rsidP="0019790A">
            <w:pPr>
              <w:jc w:val="center"/>
              <w:rPr>
                <w:rFonts w:cs="Arial"/>
                <w:b/>
                <w:color w:val="000000"/>
                <w:szCs w:val="22"/>
                <w:lang w:eastAsia="it-IT"/>
              </w:rPr>
            </w:pPr>
          </w:p>
        </w:tc>
        <w:tc>
          <w:tcPr>
            <w:tcW w:w="1276" w:type="dxa"/>
            <w:gridSpan w:val="2"/>
            <w:shd w:val="clear" w:color="auto" w:fill="FFFFFF"/>
            <w:vAlign w:val="center"/>
          </w:tcPr>
          <w:p w14:paraId="4BED399B"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50000,0</w:t>
            </w:r>
          </w:p>
        </w:tc>
        <w:tc>
          <w:tcPr>
            <w:tcW w:w="1571" w:type="dxa"/>
            <w:shd w:val="clear" w:color="auto" w:fill="FFFFFF"/>
            <w:vAlign w:val="center"/>
          </w:tcPr>
          <w:p w14:paraId="66C7D163"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50000,0</w:t>
            </w:r>
          </w:p>
        </w:tc>
      </w:tr>
      <w:tr w:rsidR="005342D5" w:rsidRPr="0019790A" w14:paraId="0C3A5B50" w14:textId="77777777" w:rsidTr="00CF3AAE">
        <w:trPr>
          <w:trHeight w:val="276"/>
          <w:jc w:val="right"/>
        </w:trPr>
        <w:tc>
          <w:tcPr>
            <w:tcW w:w="3425" w:type="dxa"/>
            <w:shd w:val="clear" w:color="auto" w:fill="FFFFFF"/>
            <w:vAlign w:val="center"/>
          </w:tcPr>
          <w:p w14:paraId="3BCE09AF" w14:textId="77777777" w:rsidR="005342D5" w:rsidRPr="0019790A" w:rsidRDefault="005342D5" w:rsidP="0019790A">
            <w:pPr>
              <w:rPr>
                <w:rFonts w:cs="Arial"/>
                <w:b/>
                <w:bCs/>
                <w:color w:val="000000"/>
                <w:szCs w:val="22"/>
              </w:rPr>
            </w:pPr>
            <w:r w:rsidRPr="0019790A">
              <w:rPr>
                <w:rFonts w:cs="Arial"/>
                <w:b/>
                <w:bCs/>
                <w:color w:val="000000"/>
                <w:szCs w:val="22"/>
              </w:rPr>
              <w:t>по джерелах фінансування:</w:t>
            </w:r>
          </w:p>
        </w:tc>
        <w:tc>
          <w:tcPr>
            <w:tcW w:w="6794" w:type="dxa"/>
            <w:gridSpan w:val="8"/>
            <w:vAlign w:val="center"/>
          </w:tcPr>
          <w:p w14:paraId="6A564FA5" w14:textId="77777777" w:rsidR="005342D5" w:rsidRPr="0019790A" w:rsidRDefault="005342D5" w:rsidP="0019790A">
            <w:pPr>
              <w:jc w:val="both"/>
              <w:rPr>
                <w:rFonts w:cs="Arial"/>
                <w:color w:val="000000"/>
                <w:szCs w:val="22"/>
                <w:lang w:eastAsia="it-IT"/>
              </w:rPr>
            </w:pPr>
          </w:p>
        </w:tc>
      </w:tr>
      <w:tr w:rsidR="009873B2" w:rsidRPr="0019790A" w14:paraId="5922B510" w14:textId="72FAFC05" w:rsidTr="009873B2">
        <w:trPr>
          <w:trHeight w:val="240"/>
          <w:jc w:val="right"/>
        </w:trPr>
        <w:tc>
          <w:tcPr>
            <w:tcW w:w="3425" w:type="dxa"/>
            <w:shd w:val="clear" w:color="auto" w:fill="FFFFFF"/>
            <w:vAlign w:val="center"/>
          </w:tcPr>
          <w:p w14:paraId="35CDD4E5" w14:textId="77777777" w:rsidR="009873B2" w:rsidRPr="0019790A" w:rsidRDefault="009873B2" w:rsidP="0019790A">
            <w:pPr>
              <w:rPr>
                <w:rFonts w:cs="Arial"/>
                <w:b/>
                <w:bCs/>
                <w:color w:val="000000"/>
                <w:szCs w:val="22"/>
              </w:rPr>
            </w:pPr>
            <w:r w:rsidRPr="0019790A">
              <w:rPr>
                <w:rFonts w:cs="Arial"/>
                <w:color w:val="000000"/>
                <w:szCs w:val="22"/>
              </w:rPr>
              <w:t>- державний бюджет</w:t>
            </w:r>
          </w:p>
        </w:tc>
        <w:tc>
          <w:tcPr>
            <w:tcW w:w="1252" w:type="dxa"/>
            <w:vAlign w:val="center"/>
          </w:tcPr>
          <w:p w14:paraId="346D1DF3" w14:textId="656AB1A5" w:rsidR="009873B2" w:rsidRPr="0019790A" w:rsidRDefault="009873B2" w:rsidP="009873B2">
            <w:pPr>
              <w:jc w:val="center"/>
              <w:rPr>
                <w:rFonts w:cs="Arial"/>
                <w:color w:val="000000"/>
                <w:szCs w:val="22"/>
                <w:lang w:eastAsia="it-IT"/>
              </w:rPr>
            </w:pPr>
          </w:p>
        </w:tc>
        <w:tc>
          <w:tcPr>
            <w:tcW w:w="1265" w:type="dxa"/>
            <w:vAlign w:val="center"/>
          </w:tcPr>
          <w:p w14:paraId="7C8730FE" w14:textId="77777777" w:rsidR="009873B2" w:rsidRPr="0019790A" w:rsidRDefault="009873B2" w:rsidP="009873B2">
            <w:pPr>
              <w:jc w:val="center"/>
              <w:rPr>
                <w:rFonts w:cs="Arial"/>
                <w:color w:val="000000"/>
                <w:szCs w:val="22"/>
                <w:lang w:eastAsia="it-IT"/>
              </w:rPr>
            </w:pPr>
          </w:p>
        </w:tc>
        <w:tc>
          <w:tcPr>
            <w:tcW w:w="1415" w:type="dxa"/>
            <w:gridSpan w:val="2"/>
            <w:vAlign w:val="center"/>
          </w:tcPr>
          <w:p w14:paraId="65516945" w14:textId="5FE558A9" w:rsidR="009873B2" w:rsidRPr="0019790A" w:rsidRDefault="009873B2" w:rsidP="009873B2">
            <w:pPr>
              <w:jc w:val="center"/>
              <w:rPr>
                <w:rFonts w:cs="Arial"/>
                <w:color w:val="000000"/>
                <w:szCs w:val="22"/>
                <w:lang w:eastAsia="it-IT"/>
              </w:rPr>
            </w:pPr>
          </w:p>
        </w:tc>
        <w:tc>
          <w:tcPr>
            <w:tcW w:w="1277" w:type="dxa"/>
            <w:gridSpan w:val="2"/>
            <w:vAlign w:val="center"/>
          </w:tcPr>
          <w:p w14:paraId="0E3B9AAE" w14:textId="6A65FABF" w:rsidR="009873B2" w:rsidRPr="0019790A" w:rsidRDefault="009873B2" w:rsidP="009873B2">
            <w:pPr>
              <w:ind w:left="76"/>
              <w:jc w:val="center"/>
              <w:rPr>
                <w:rFonts w:cs="Arial"/>
                <w:color w:val="000000"/>
                <w:szCs w:val="22"/>
                <w:lang w:eastAsia="it-IT"/>
              </w:rPr>
            </w:pPr>
            <w:r w:rsidRPr="0019790A">
              <w:rPr>
                <w:rFonts w:cs="Arial"/>
                <w:color w:val="000000"/>
                <w:szCs w:val="22"/>
                <w:lang w:eastAsia="it-IT"/>
              </w:rPr>
              <w:t>37500,0</w:t>
            </w:r>
          </w:p>
        </w:tc>
        <w:tc>
          <w:tcPr>
            <w:tcW w:w="1585" w:type="dxa"/>
            <w:gridSpan w:val="2"/>
            <w:vAlign w:val="center"/>
          </w:tcPr>
          <w:p w14:paraId="21A32FFF" w14:textId="79D4097F" w:rsidR="009873B2" w:rsidRPr="0019790A" w:rsidRDefault="009873B2" w:rsidP="009873B2">
            <w:pPr>
              <w:ind w:left="75"/>
              <w:jc w:val="center"/>
              <w:rPr>
                <w:rFonts w:cs="Arial"/>
                <w:color w:val="000000"/>
                <w:szCs w:val="22"/>
                <w:lang w:eastAsia="it-IT"/>
              </w:rPr>
            </w:pPr>
            <w:r w:rsidRPr="0019790A">
              <w:rPr>
                <w:rFonts w:cs="Arial"/>
                <w:color w:val="000000"/>
                <w:szCs w:val="22"/>
                <w:lang w:eastAsia="it-IT"/>
              </w:rPr>
              <w:t>37500,0</w:t>
            </w:r>
          </w:p>
        </w:tc>
      </w:tr>
      <w:tr w:rsidR="009873B2" w:rsidRPr="0019790A" w14:paraId="19241C1A" w14:textId="3AA53BEF" w:rsidTr="009873B2">
        <w:trPr>
          <w:trHeight w:val="254"/>
          <w:jc w:val="right"/>
        </w:trPr>
        <w:tc>
          <w:tcPr>
            <w:tcW w:w="3425" w:type="dxa"/>
            <w:shd w:val="clear" w:color="auto" w:fill="FFFFFF"/>
            <w:vAlign w:val="center"/>
          </w:tcPr>
          <w:p w14:paraId="23891316" w14:textId="77777777" w:rsidR="009873B2" w:rsidRPr="0019790A" w:rsidRDefault="009873B2" w:rsidP="0019790A">
            <w:pPr>
              <w:rPr>
                <w:rFonts w:cs="Arial"/>
                <w:color w:val="000000"/>
                <w:szCs w:val="22"/>
              </w:rPr>
            </w:pPr>
            <w:r w:rsidRPr="0019790A">
              <w:rPr>
                <w:rFonts w:cs="Arial"/>
                <w:color w:val="000000"/>
                <w:szCs w:val="22"/>
              </w:rPr>
              <w:t>- обласний бюджет</w:t>
            </w:r>
          </w:p>
        </w:tc>
        <w:tc>
          <w:tcPr>
            <w:tcW w:w="1252" w:type="dxa"/>
            <w:vAlign w:val="center"/>
          </w:tcPr>
          <w:p w14:paraId="5CADF886" w14:textId="654CEE7B" w:rsidR="009873B2" w:rsidRPr="0019790A" w:rsidRDefault="009873B2" w:rsidP="009873B2">
            <w:pPr>
              <w:jc w:val="center"/>
              <w:rPr>
                <w:rFonts w:cs="Arial"/>
                <w:color w:val="000000"/>
                <w:szCs w:val="22"/>
                <w:lang w:eastAsia="it-IT"/>
              </w:rPr>
            </w:pPr>
          </w:p>
        </w:tc>
        <w:tc>
          <w:tcPr>
            <w:tcW w:w="1265" w:type="dxa"/>
            <w:vAlign w:val="center"/>
          </w:tcPr>
          <w:p w14:paraId="486C84E4" w14:textId="77777777" w:rsidR="009873B2" w:rsidRPr="0019790A" w:rsidRDefault="009873B2" w:rsidP="009873B2">
            <w:pPr>
              <w:jc w:val="center"/>
              <w:rPr>
                <w:rFonts w:cs="Arial"/>
                <w:color w:val="000000"/>
                <w:szCs w:val="22"/>
                <w:lang w:eastAsia="it-IT"/>
              </w:rPr>
            </w:pPr>
          </w:p>
        </w:tc>
        <w:tc>
          <w:tcPr>
            <w:tcW w:w="1415" w:type="dxa"/>
            <w:gridSpan w:val="2"/>
            <w:vAlign w:val="center"/>
          </w:tcPr>
          <w:p w14:paraId="35E9C547" w14:textId="5E1E388E" w:rsidR="009873B2" w:rsidRPr="0019790A" w:rsidRDefault="009873B2" w:rsidP="009873B2">
            <w:pPr>
              <w:jc w:val="center"/>
              <w:rPr>
                <w:rFonts w:cs="Arial"/>
                <w:color w:val="000000"/>
                <w:szCs w:val="22"/>
                <w:lang w:eastAsia="it-IT"/>
              </w:rPr>
            </w:pPr>
          </w:p>
        </w:tc>
        <w:tc>
          <w:tcPr>
            <w:tcW w:w="1277" w:type="dxa"/>
            <w:gridSpan w:val="2"/>
            <w:vAlign w:val="center"/>
          </w:tcPr>
          <w:p w14:paraId="39223435" w14:textId="1ABF3F3D" w:rsidR="009873B2" w:rsidRPr="0019790A" w:rsidRDefault="009873B2" w:rsidP="009873B2">
            <w:pPr>
              <w:ind w:left="76"/>
              <w:jc w:val="center"/>
              <w:rPr>
                <w:rFonts w:cs="Arial"/>
                <w:color w:val="000000"/>
                <w:szCs w:val="22"/>
                <w:lang w:eastAsia="it-IT"/>
              </w:rPr>
            </w:pPr>
          </w:p>
        </w:tc>
        <w:tc>
          <w:tcPr>
            <w:tcW w:w="1585" w:type="dxa"/>
            <w:gridSpan w:val="2"/>
            <w:vAlign w:val="center"/>
          </w:tcPr>
          <w:p w14:paraId="6FF90641" w14:textId="77777777" w:rsidR="009873B2" w:rsidRPr="0019790A" w:rsidRDefault="009873B2" w:rsidP="009873B2">
            <w:pPr>
              <w:ind w:left="75"/>
              <w:jc w:val="center"/>
              <w:rPr>
                <w:rFonts w:cs="Arial"/>
                <w:color w:val="000000"/>
                <w:szCs w:val="22"/>
                <w:lang w:eastAsia="it-IT"/>
              </w:rPr>
            </w:pPr>
          </w:p>
        </w:tc>
      </w:tr>
      <w:tr w:rsidR="009873B2" w:rsidRPr="0019790A" w14:paraId="4A727E98" w14:textId="107B836F" w:rsidTr="009873B2">
        <w:trPr>
          <w:trHeight w:val="275"/>
          <w:jc w:val="right"/>
        </w:trPr>
        <w:tc>
          <w:tcPr>
            <w:tcW w:w="3425" w:type="dxa"/>
            <w:shd w:val="clear" w:color="auto" w:fill="FFFFFF"/>
            <w:vAlign w:val="center"/>
          </w:tcPr>
          <w:p w14:paraId="1956C8BF" w14:textId="77777777" w:rsidR="009873B2" w:rsidRPr="0019790A" w:rsidRDefault="009873B2" w:rsidP="0019790A">
            <w:pPr>
              <w:rPr>
                <w:rFonts w:cs="Arial"/>
                <w:color w:val="000000"/>
                <w:szCs w:val="22"/>
              </w:rPr>
            </w:pPr>
            <w:r w:rsidRPr="0019790A">
              <w:rPr>
                <w:rFonts w:cs="Arial"/>
                <w:color w:val="000000"/>
                <w:szCs w:val="22"/>
              </w:rPr>
              <w:t>- бюджет Жмеринської МТГ</w:t>
            </w:r>
          </w:p>
        </w:tc>
        <w:tc>
          <w:tcPr>
            <w:tcW w:w="1252" w:type="dxa"/>
            <w:vAlign w:val="center"/>
          </w:tcPr>
          <w:p w14:paraId="315FFCD0" w14:textId="78EFB9BC" w:rsidR="009873B2" w:rsidRPr="0019790A" w:rsidRDefault="009873B2" w:rsidP="009873B2">
            <w:pPr>
              <w:jc w:val="center"/>
              <w:rPr>
                <w:rFonts w:cs="Arial"/>
                <w:color w:val="000000"/>
                <w:szCs w:val="22"/>
                <w:lang w:eastAsia="it-IT"/>
              </w:rPr>
            </w:pPr>
          </w:p>
        </w:tc>
        <w:tc>
          <w:tcPr>
            <w:tcW w:w="1265" w:type="dxa"/>
            <w:vAlign w:val="center"/>
          </w:tcPr>
          <w:p w14:paraId="6546E410" w14:textId="77777777" w:rsidR="009873B2" w:rsidRPr="0019790A" w:rsidRDefault="009873B2" w:rsidP="009873B2">
            <w:pPr>
              <w:jc w:val="center"/>
              <w:rPr>
                <w:rFonts w:cs="Arial"/>
                <w:color w:val="000000"/>
                <w:szCs w:val="22"/>
                <w:lang w:eastAsia="it-IT"/>
              </w:rPr>
            </w:pPr>
          </w:p>
        </w:tc>
        <w:tc>
          <w:tcPr>
            <w:tcW w:w="1415" w:type="dxa"/>
            <w:gridSpan w:val="2"/>
            <w:vAlign w:val="center"/>
          </w:tcPr>
          <w:p w14:paraId="49A9EA26" w14:textId="6A1C932C" w:rsidR="009873B2" w:rsidRPr="0019790A" w:rsidRDefault="009873B2" w:rsidP="009873B2">
            <w:pPr>
              <w:jc w:val="center"/>
              <w:rPr>
                <w:rFonts w:cs="Arial"/>
                <w:color w:val="000000"/>
                <w:szCs w:val="22"/>
                <w:lang w:eastAsia="it-IT"/>
              </w:rPr>
            </w:pPr>
          </w:p>
        </w:tc>
        <w:tc>
          <w:tcPr>
            <w:tcW w:w="1277" w:type="dxa"/>
            <w:gridSpan w:val="2"/>
            <w:vAlign w:val="center"/>
          </w:tcPr>
          <w:p w14:paraId="45B9D669" w14:textId="33EDED00" w:rsidR="009873B2" w:rsidRPr="0019790A" w:rsidRDefault="009873B2" w:rsidP="009873B2">
            <w:pPr>
              <w:ind w:left="76"/>
              <w:jc w:val="center"/>
              <w:rPr>
                <w:rFonts w:cs="Arial"/>
                <w:color w:val="000000"/>
                <w:szCs w:val="22"/>
                <w:lang w:eastAsia="it-IT"/>
              </w:rPr>
            </w:pPr>
            <w:r w:rsidRPr="0019790A">
              <w:rPr>
                <w:rFonts w:cs="Arial"/>
                <w:color w:val="000000"/>
                <w:szCs w:val="22"/>
                <w:lang w:eastAsia="it-IT"/>
              </w:rPr>
              <w:t>12500,0</w:t>
            </w:r>
          </w:p>
        </w:tc>
        <w:tc>
          <w:tcPr>
            <w:tcW w:w="1585" w:type="dxa"/>
            <w:gridSpan w:val="2"/>
            <w:vAlign w:val="center"/>
          </w:tcPr>
          <w:p w14:paraId="6D6DE2E8" w14:textId="19A0D7E5" w:rsidR="009873B2" w:rsidRPr="0019790A" w:rsidRDefault="009873B2" w:rsidP="009873B2">
            <w:pPr>
              <w:ind w:left="75"/>
              <w:jc w:val="center"/>
              <w:rPr>
                <w:rFonts w:cs="Arial"/>
                <w:color w:val="000000"/>
                <w:szCs w:val="22"/>
                <w:lang w:eastAsia="it-IT"/>
              </w:rPr>
            </w:pPr>
            <w:r w:rsidRPr="0019790A">
              <w:rPr>
                <w:rFonts w:cs="Arial"/>
                <w:color w:val="000000"/>
                <w:szCs w:val="22"/>
                <w:lang w:eastAsia="it-IT"/>
              </w:rPr>
              <w:t>12500,0</w:t>
            </w:r>
          </w:p>
        </w:tc>
      </w:tr>
      <w:tr w:rsidR="009873B2" w:rsidRPr="0019790A" w14:paraId="3C14E7B8" w14:textId="6B552685" w:rsidTr="009873B2">
        <w:trPr>
          <w:trHeight w:val="226"/>
          <w:jc w:val="right"/>
        </w:trPr>
        <w:tc>
          <w:tcPr>
            <w:tcW w:w="3425" w:type="dxa"/>
            <w:shd w:val="clear" w:color="auto" w:fill="FFFFFF"/>
            <w:vAlign w:val="center"/>
          </w:tcPr>
          <w:p w14:paraId="256F6E8D" w14:textId="77777777" w:rsidR="009873B2" w:rsidRPr="0019790A" w:rsidRDefault="009873B2" w:rsidP="0019790A">
            <w:pPr>
              <w:rPr>
                <w:rFonts w:cs="Arial"/>
                <w:color w:val="000000"/>
                <w:szCs w:val="22"/>
              </w:rPr>
            </w:pPr>
            <w:r w:rsidRPr="0019790A">
              <w:rPr>
                <w:rFonts w:cs="Arial"/>
                <w:color w:val="000000"/>
                <w:szCs w:val="22"/>
              </w:rPr>
              <w:t>- інші джерела фінансування</w:t>
            </w:r>
          </w:p>
        </w:tc>
        <w:tc>
          <w:tcPr>
            <w:tcW w:w="1252" w:type="dxa"/>
            <w:vAlign w:val="center"/>
          </w:tcPr>
          <w:p w14:paraId="3EF0EF30" w14:textId="77777777" w:rsidR="009873B2" w:rsidRPr="0019790A" w:rsidRDefault="009873B2" w:rsidP="009873B2">
            <w:pPr>
              <w:jc w:val="center"/>
              <w:rPr>
                <w:rFonts w:cs="Arial"/>
                <w:color w:val="000000"/>
                <w:szCs w:val="22"/>
                <w:lang w:eastAsia="it-IT"/>
              </w:rPr>
            </w:pPr>
          </w:p>
        </w:tc>
        <w:tc>
          <w:tcPr>
            <w:tcW w:w="1265" w:type="dxa"/>
            <w:vAlign w:val="center"/>
          </w:tcPr>
          <w:p w14:paraId="39E9811B" w14:textId="77777777" w:rsidR="009873B2" w:rsidRPr="0019790A" w:rsidRDefault="009873B2" w:rsidP="009873B2">
            <w:pPr>
              <w:jc w:val="center"/>
              <w:rPr>
                <w:rFonts w:cs="Arial"/>
                <w:color w:val="000000"/>
                <w:szCs w:val="22"/>
                <w:lang w:eastAsia="it-IT"/>
              </w:rPr>
            </w:pPr>
          </w:p>
        </w:tc>
        <w:tc>
          <w:tcPr>
            <w:tcW w:w="1415" w:type="dxa"/>
            <w:gridSpan w:val="2"/>
            <w:vAlign w:val="center"/>
          </w:tcPr>
          <w:p w14:paraId="4E67B586" w14:textId="594EAA56" w:rsidR="009873B2" w:rsidRPr="0019790A" w:rsidRDefault="009873B2" w:rsidP="009873B2">
            <w:pPr>
              <w:jc w:val="center"/>
              <w:rPr>
                <w:rFonts w:cs="Arial"/>
                <w:color w:val="000000"/>
                <w:szCs w:val="22"/>
                <w:lang w:eastAsia="it-IT"/>
              </w:rPr>
            </w:pPr>
          </w:p>
        </w:tc>
        <w:tc>
          <w:tcPr>
            <w:tcW w:w="1277" w:type="dxa"/>
            <w:gridSpan w:val="2"/>
            <w:vAlign w:val="center"/>
          </w:tcPr>
          <w:p w14:paraId="73D8E9EA" w14:textId="04E132D5" w:rsidR="009873B2" w:rsidRPr="0019790A" w:rsidRDefault="009873B2" w:rsidP="009873B2">
            <w:pPr>
              <w:ind w:left="76"/>
              <w:jc w:val="center"/>
              <w:rPr>
                <w:rFonts w:cs="Arial"/>
                <w:color w:val="000000"/>
                <w:szCs w:val="22"/>
                <w:lang w:eastAsia="it-IT"/>
              </w:rPr>
            </w:pPr>
          </w:p>
        </w:tc>
        <w:tc>
          <w:tcPr>
            <w:tcW w:w="1585" w:type="dxa"/>
            <w:gridSpan w:val="2"/>
            <w:vAlign w:val="center"/>
          </w:tcPr>
          <w:p w14:paraId="3CB3BED8" w14:textId="77777777" w:rsidR="009873B2" w:rsidRPr="0019790A" w:rsidRDefault="009873B2" w:rsidP="009873B2">
            <w:pPr>
              <w:ind w:left="75"/>
              <w:jc w:val="center"/>
              <w:rPr>
                <w:rFonts w:cs="Arial"/>
                <w:color w:val="000000"/>
                <w:szCs w:val="22"/>
                <w:lang w:eastAsia="it-IT"/>
              </w:rPr>
            </w:pPr>
          </w:p>
        </w:tc>
      </w:tr>
      <w:tr w:rsidR="005342D5" w:rsidRPr="0019790A" w14:paraId="78518488" w14:textId="77777777" w:rsidTr="00CF3AAE">
        <w:trPr>
          <w:jc w:val="right"/>
        </w:trPr>
        <w:tc>
          <w:tcPr>
            <w:tcW w:w="3425" w:type="dxa"/>
            <w:shd w:val="clear" w:color="auto" w:fill="FFFFFF"/>
            <w:vAlign w:val="center"/>
          </w:tcPr>
          <w:p w14:paraId="090A4B2C" w14:textId="77777777" w:rsidR="005342D5" w:rsidRPr="0019790A" w:rsidRDefault="005342D5" w:rsidP="0019790A">
            <w:pPr>
              <w:rPr>
                <w:rFonts w:cs="Arial"/>
                <w:b/>
                <w:bCs/>
                <w:color w:val="000000"/>
                <w:szCs w:val="22"/>
              </w:rPr>
            </w:pPr>
            <w:r w:rsidRPr="0019790A">
              <w:rPr>
                <w:rFonts w:cs="Arial"/>
                <w:b/>
                <w:color w:val="000000"/>
                <w:szCs w:val="22"/>
              </w:rPr>
              <w:t>Відповідальний виконавець проєкту:</w:t>
            </w:r>
          </w:p>
        </w:tc>
        <w:tc>
          <w:tcPr>
            <w:tcW w:w="6794" w:type="dxa"/>
            <w:gridSpan w:val="8"/>
            <w:vAlign w:val="center"/>
          </w:tcPr>
          <w:p w14:paraId="6AF29BD7" w14:textId="77777777" w:rsidR="005342D5" w:rsidRPr="0019790A" w:rsidRDefault="005342D5" w:rsidP="0019790A">
            <w:pPr>
              <w:jc w:val="both"/>
              <w:rPr>
                <w:rFonts w:cs="Arial"/>
                <w:color w:val="000000"/>
                <w:szCs w:val="22"/>
                <w:lang w:eastAsia="it-IT"/>
              </w:rPr>
            </w:pPr>
            <w:r w:rsidRPr="0019790A">
              <w:rPr>
                <w:rFonts w:cs="Arial"/>
                <w:color w:val="000000"/>
                <w:szCs w:val="22"/>
                <w:lang w:eastAsia="it-IT"/>
              </w:rPr>
              <w:t>Управління житлово-комунального господарства Жмеринської міської ради</w:t>
            </w:r>
          </w:p>
        </w:tc>
      </w:tr>
      <w:tr w:rsidR="005342D5" w:rsidRPr="0019790A" w14:paraId="7E1FB44A" w14:textId="77777777" w:rsidTr="00CF3AAE">
        <w:trPr>
          <w:jc w:val="right"/>
        </w:trPr>
        <w:tc>
          <w:tcPr>
            <w:tcW w:w="3425" w:type="dxa"/>
            <w:shd w:val="clear" w:color="auto" w:fill="FFFFFF"/>
            <w:vAlign w:val="center"/>
          </w:tcPr>
          <w:p w14:paraId="6A56584E" w14:textId="77777777" w:rsidR="005342D5" w:rsidRPr="0019790A" w:rsidRDefault="005342D5" w:rsidP="0019790A">
            <w:pPr>
              <w:rPr>
                <w:rFonts w:cs="Arial"/>
                <w:b/>
                <w:bCs/>
                <w:color w:val="000000"/>
                <w:szCs w:val="22"/>
              </w:rPr>
            </w:pPr>
            <w:r w:rsidRPr="0019790A">
              <w:rPr>
                <w:rFonts w:cs="Arial"/>
                <w:b/>
                <w:bCs/>
                <w:color w:val="000000"/>
                <w:szCs w:val="22"/>
              </w:rPr>
              <w:t>Інше:</w:t>
            </w:r>
          </w:p>
        </w:tc>
        <w:tc>
          <w:tcPr>
            <w:tcW w:w="6794" w:type="dxa"/>
            <w:gridSpan w:val="8"/>
            <w:vAlign w:val="center"/>
          </w:tcPr>
          <w:p w14:paraId="0D868EC4" w14:textId="77777777" w:rsidR="005342D5" w:rsidRPr="0019790A" w:rsidRDefault="005342D5" w:rsidP="0019790A">
            <w:pPr>
              <w:rPr>
                <w:rFonts w:cs="Arial"/>
                <w:color w:val="000000"/>
                <w:szCs w:val="22"/>
                <w:lang w:eastAsia="it-IT"/>
              </w:rPr>
            </w:pPr>
          </w:p>
        </w:tc>
      </w:tr>
    </w:tbl>
    <w:p w14:paraId="215478D7" w14:textId="77777777" w:rsidR="005342D5" w:rsidRPr="0019790A" w:rsidRDefault="005342D5" w:rsidP="0019790A">
      <w:pPr>
        <w:rPr>
          <w:rFonts w:cs="Arial"/>
          <w:szCs w:val="22"/>
        </w:rPr>
      </w:pPr>
    </w:p>
    <w:p w14:paraId="0C8F108D" w14:textId="77777777" w:rsidR="005342D5" w:rsidRPr="0019790A" w:rsidRDefault="005342D5" w:rsidP="0019790A">
      <w:pPr>
        <w:rPr>
          <w:rFonts w:cs="Arial"/>
          <w:szCs w:val="22"/>
        </w:rPr>
      </w:pPr>
    </w:p>
    <w:p w14:paraId="677AABAA" w14:textId="77777777" w:rsidR="005342D5" w:rsidRPr="0019790A" w:rsidRDefault="005342D5" w:rsidP="0019790A">
      <w:pPr>
        <w:jc w:val="center"/>
        <w:rPr>
          <w:rFonts w:cs="Arial"/>
          <w:b/>
          <w:color w:val="000000"/>
          <w:szCs w:val="22"/>
        </w:rPr>
      </w:pPr>
      <w:r w:rsidRPr="0019790A">
        <w:rPr>
          <w:rFonts w:cs="Arial"/>
          <w:b/>
          <w:color w:val="000000"/>
          <w:szCs w:val="22"/>
        </w:rPr>
        <w:t xml:space="preserve">Форма технічного завдання на проєкт місцевого розвитку </w:t>
      </w:r>
    </w:p>
    <w:p w14:paraId="68188CAB" w14:textId="77777777" w:rsidR="005342D5" w:rsidRPr="0019790A" w:rsidRDefault="005342D5" w:rsidP="0019790A">
      <w:pPr>
        <w:jc w:val="center"/>
        <w:rPr>
          <w:rFonts w:cs="Arial"/>
          <w:b/>
          <w:color w:val="000000"/>
          <w:szCs w:val="22"/>
        </w:rPr>
      </w:pPr>
      <w:r w:rsidRPr="0019790A">
        <w:rPr>
          <w:rFonts w:cs="Arial"/>
          <w:b/>
          <w:color w:val="000000"/>
          <w:szCs w:val="22"/>
        </w:rPr>
        <w:t>до Плану заходів з реалізації Стратегії</w:t>
      </w:r>
    </w:p>
    <w:p w14:paraId="10D97C40" w14:textId="77777777" w:rsidR="005342D5" w:rsidRPr="0019790A" w:rsidRDefault="005342D5"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3"/>
        <w:gridCol w:w="1254"/>
        <w:gridCol w:w="1277"/>
        <w:gridCol w:w="1402"/>
        <w:gridCol w:w="16"/>
        <w:gridCol w:w="1276"/>
        <w:gridCol w:w="73"/>
        <w:gridCol w:w="1498"/>
      </w:tblGrid>
      <w:tr w:rsidR="005342D5" w:rsidRPr="0019790A" w14:paraId="6CAA3105" w14:textId="77777777" w:rsidTr="00CF3AAE">
        <w:trPr>
          <w:trHeight w:val="307"/>
          <w:jc w:val="right"/>
        </w:trPr>
        <w:tc>
          <w:tcPr>
            <w:tcW w:w="3425" w:type="dxa"/>
            <w:vAlign w:val="center"/>
          </w:tcPr>
          <w:p w14:paraId="02806DF5" w14:textId="77777777" w:rsidR="005342D5" w:rsidRPr="0019790A" w:rsidRDefault="005342D5" w:rsidP="0019790A">
            <w:pPr>
              <w:rPr>
                <w:rFonts w:cs="Arial"/>
                <w:b/>
                <w:bCs/>
                <w:color w:val="000000"/>
                <w:szCs w:val="22"/>
              </w:rPr>
            </w:pPr>
            <w:r w:rsidRPr="0019790A">
              <w:rPr>
                <w:rFonts w:cs="Arial"/>
                <w:b/>
                <w:bCs/>
                <w:color w:val="000000"/>
                <w:szCs w:val="22"/>
              </w:rPr>
              <w:t>Назва проєкту:</w:t>
            </w:r>
          </w:p>
        </w:tc>
        <w:tc>
          <w:tcPr>
            <w:tcW w:w="6794" w:type="dxa"/>
            <w:gridSpan w:val="7"/>
          </w:tcPr>
          <w:p w14:paraId="14070727" w14:textId="77777777" w:rsidR="005342D5" w:rsidRPr="0019790A" w:rsidRDefault="005342D5" w:rsidP="0019790A">
            <w:pPr>
              <w:rPr>
                <w:rFonts w:cs="Arial"/>
                <w:szCs w:val="22"/>
                <w:lang w:eastAsia="it-IT"/>
              </w:rPr>
            </w:pPr>
            <w:r w:rsidRPr="0019790A">
              <w:rPr>
                <w:rFonts w:cs="Arial"/>
                <w:b/>
                <w:bCs/>
                <w:szCs w:val="22"/>
                <w:lang w:eastAsia="it-IT"/>
              </w:rPr>
              <w:t>Капітальний ремонт освітлення території КП «Парковий культурно-спортивний комплекс»</w:t>
            </w:r>
          </w:p>
        </w:tc>
      </w:tr>
      <w:tr w:rsidR="005342D5" w:rsidRPr="0019790A" w14:paraId="655FE86E" w14:textId="77777777" w:rsidTr="009873B2">
        <w:trPr>
          <w:jc w:val="right"/>
        </w:trPr>
        <w:tc>
          <w:tcPr>
            <w:tcW w:w="3425" w:type="dxa"/>
          </w:tcPr>
          <w:p w14:paraId="58277318" w14:textId="77777777" w:rsidR="005342D5" w:rsidRPr="0019790A" w:rsidRDefault="005342D5"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7C77374E" w14:textId="77777777" w:rsidR="005342D5" w:rsidRPr="0019790A" w:rsidRDefault="005342D5" w:rsidP="0019790A">
            <w:pPr>
              <w:rPr>
                <w:rFonts w:cs="Arial"/>
                <w:b/>
                <w:bCs/>
                <w:szCs w:val="22"/>
              </w:rPr>
            </w:pPr>
            <w:r w:rsidRPr="0019790A">
              <w:rPr>
                <w:rFonts w:cs="Arial"/>
                <w:szCs w:val="22"/>
                <w:lang w:eastAsia="it-IT"/>
              </w:rPr>
              <w:t>Назва установи, організації, підприємства</w:t>
            </w:r>
          </w:p>
        </w:tc>
        <w:tc>
          <w:tcPr>
            <w:tcW w:w="6794" w:type="dxa"/>
            <w:gridSpan w:val="7"/>
            <w:vAlign w:val="center"/>
          </w:tcPr>
          <w:p w14:paraId="0491B881" w14:textId="77777777" w:rsidR="005342D5" w:rsidRPr="0019790A" w:rsidRDefault="005342D5" w:rsidP="009873B2">
            <w:pPr>
              <w:rPr>
                <w:rFonts w:cs="Arial"/>
                <w:szCs w:val="22"/>
                <w:lang w:eastAsia="it-IT"/>
              </w:rPr>
            </w:pPr>
            <w:r w:rsidRPr="0019790A">
              <w:rPr>
                <w:rFonts w:cs="Arial"/>
                <w:szCs w:val="22"/>
                <w:lang w:eastAsia="it-IT"/>
              </w:rPr>
              <w:t>Відділ молоді та спорту Жмеринської міської ради</w:t>
            </w:r>
          </w:p>
        </w:tc>
      </w:tr>
      <w:tr w:rsidR="005342D5" w:rsidRPr="0019790A" w14:paraId="18376B33" w14:textId="77777777" w:rsidTr="009873B2">
        <w:trPr>
          <w:jc w:val="right"/>
        </w:trPr>
        <w:tc>
          <w:tcPr>
            <w:tcW w:w="3425" w:type="dxa"/>
          </w:tcPr>
          <w:p w14:paraId="2B64AD50" w14:textId="77777777" w:rsidR="005342D5" w:rsidRPr="0019790A" w:rsidRDefault="005342D5" w:rsidP="0019790A">
            <w:pPr>
              <w:rPr>
                <w:rFonts w:cs="Arial"/>
                <w:b/>
                <w:bCs/>
                <w:szCs w:val="22"/>
              </w:rPr>
            </w:pPr>
            <w:r w:rsidRPr="0019790A">
              <w:rPr>
                <w:rFonts w:cs="Arial"/>
                <w:szCs w:val="22"/>
                <w:lang w:eastAsia="it-IT"/>
              </w:rPr>
              <w:t>Прізвище Ім’я По-батькові:</w:t>
            </w:r>
          </w:p>
        </w:tc>
        <w:tc>
          <w:tcPr>
            <w:tcW w:w="6794" w:type="dxa"/>
            <w:gridSpan w:val="7"/>
            <w:vAlign w:val="center"/>
          </w:tcPr>
          <w:p w14:paraId="50599860" w14:textId="77777777" w:rsidR="005342D5" w:rsidRPr="0019790A" w:rsidRDefault="005342D5" w:rsidP="009873B2">
            <w:pPr>
              <w:rPr>
                <w:rFonts w:cs="Arial"/>
                <w:szCs w:val="22"/>
                <w:lang w:eastAsia="it-IT"/>
              </w:rPr>
            </w:pPr>
            <w:r w:rsidRPr="0019790A">
              <w:rPr>
                <w:rFonts w:cs="Arial"/>
                <w:szCs w:val="22"/>
                <w:lang w:eastAsia="it-IT"/>
              </w:rPr>
              <w:t>Ковальська Олена Віталіївна</w:t>
            </w:r>
          </w:p>
        </w:tc>
      </w:tr>
      <w:tr w:rsidR="005342D5" w:rsidRPr="0019790A" w14:paraId="466AB16C" w14:textId="77777777" w:rsidTr="009873B2">
        <w:trPr>
          <w:jc w:val="right"/>
        </w:trPr>
        <w:tc>
          <w:tcPr>
            <w:tcW w:w="3425" w:type="dxa"/>
          </w:tcPr>
          <w:p w14:paraId="21185294" w14:textId="77777777" w:rsidR="005342D5" w:rsidRPr="0019790A" w:rsidRDefault="005342D5" w:rsidP="0019790A">
            <w:pPr>
              <w:rPr>
                <w:rFonts w:cs="Arial"/>
                <w:b/>
                <w:bCs/>
                <w:szCs w:val="22"/>
              </w:rPr>
            </w:pPr>
            <w:r w:rsidRPr="0019790A">
              <w:rPr>
                <w:rFonts w:cs="Arial"/>
                <w:szCs w:val="22"/>
                <w:lang w:eastAsia="it-IT"/>
              </w:rPr>
              <w:t>Телефон (мобільний):</w:t>
            </w:r>
          </w:p>
        </w:tc>
        <w:tc>
          <w:tcPr>
            <w:tcW w:w="6794" w:type="dxa"/>
            <w:gridSpan w:val="7"/>
            <w:vAlign w:val="center"/>
          </w:tcPr>
          <w:p w14:paraId="3D24C372" w14:textId="77777777" w:rsidR="005342D5" w:rsidRPr="0019790A" w:rsidRDefault="005342D5" w:rsidP="009873B2">
            <w:pPr>
              <w:rPr>
                <w:rFonts w:cs="Arial"/>
                <w:szCs w:val="22"/>
                <w:lang w:eastAsia="it-IT"/>
              </w:rPr>
            </w:pPr>
            <w:r w:rsidRPr="0019790A">
              <w:rPr>
                <w:rFonts w:cs="Arial"/>
                <w:szCs w:val="22"/>
                <w:lang w:eastAsia="it-IT"/>
              </w:rPr>
              <w:t>096-068-94-79</w:t>
            </w:r>
          </w:p>
        </w:tc>
      </w:tr>
      <w:tr w:rsidR="005342D5" w:rsidRPr="0019790A" w14:paraId="7FD9CA7F" w14:textId="77777777" w:rsidTr="009873B2">
        <w:trPr>
          <w:jc w:val="right"/>
        </w:trPr>
        <w:tc>
          <w:tcPr>
            <w:tcW w:w="3425" w:type="dxa"/>
          </w:tcPr>
          <w:p w14:paraId="0625613E" w14:textId="77777777" w:rsidR="005342D5" w:rsidRPr="0019790A" w:rsidRDefault="005342D5" w:rsidP="0019790A">
            <w:pPr>
              <w:rPr>
                <w:rFonts w:cs="Arial"/>
                <w:b/>
                <w:bCs/>
                <w:szCs w:val="22"/>
              </w:rPr>
            </w:pPr>
            <w:r w:rsidRPr="0019790A">
              <w:rPr>
                <w:rFonts w:cs="Arial"/>
                <w:szCs w:val="22"/>
                <w:lang w:eastAsia="it-IT"/>
              </w:rPr>
              <w:t>Електронна адреса:</w:t>
            </w:r>
          </w:p>
        </w:tc>
        <w:tc>
          <w:tcPr>
            <w:tcW w:w="6794" w:type="dxa"/>
            <w:gridSpan w:val="7"/>
            <w:vAlign w:val="center"/>
          </w:tcPr>
          <w:p w14:paraId="6310354E" w14:textId="77777777" w:rsidR="005342D5" w:rsidRPr="0019790A" w:rsidRDefault="00D85FFD" w:rsidP="009873B2">
            <w:pPr>
              <w:rPr>
                <w:rFonts w:cs="Arial"/>
                <w:szCs w:val="22"/>
                <w:lang w:eastAsia="it-IT"/>
              </w:rPr>
            </w:pPr>
            <w:hyperlink r:id="rId145" w:history="1">
              <w:r w:rsidR="005342D5" w:rsidRPr="0019790A">
                <w:rPr>
                  <w:rFonts w:cs="Arial"/>
                  <w:b/>
                  <w:bCs/>
                  <w:color w:val="0000FF"/>
                  <w:szCs w:val="22"/>
                  <w:u w:val="single"/>
                  <w:lang w:eastAsia="it-IT"/>
                </w:rPr>
                <w:t>ms@zhmr.gov.ua</w:t>
              </w:r>
            </w:hyperlink>
          </w:p>
        </w:tc>
      </w:tr>
      <w:tr w:rsidR="005342D5" w:rsidRPr="0019790A" w14:paraId="287C0FC9" w14:textId="77777777" w:rsidTr="009873B2">
        <w:trPr>
          <w:jc w:val="right"/>
        </w:trPr>
        <w:tc>
          <w:tcPr>
            <w:tcW w:w="3425" w:type="dxa"/>
            <w:vAlign w:val="center"/>
          </w:tcPr>
          <w:p w14:paraId="613A702F" w14:textId="77777777" w:rsidR="005342D5" w:rsidRPr="0019790A" w:rsidRDefault="005342D5" w:rsidP="0019790A">
            <w:pPr>
              <w:outlineLvl w:val="5"/>
              <w:rPr>
                <w:rFonts w:cs="Arial"/>
                <w:b/>
                <w:bCs/>
                <w:color w:val="000000"/>
                <w:szCs w:val="22"/>
                <w:lang w:eastAsia="en-US"/>
              </w:rPr>
            </w:pPr>
            <w:r w:rsidRPr="0019790A">
              <w:rPr>
                <w:rFonts w:cs="Arial"/>
                <w:b/>
                <w:bCs/>
                <w:color w:val="000000"/>
                <w:szCs w:val="22"/>
                <w:lang w:eastAsia="en-US"/>
              </w:rPr>
              <w:t>Номер і назва завдання з Стратегії</w:t>
            </w:r>
            <w:r w:rsidRPr="0019790A">
              <w:rPr>
                <w:rFonts w:cs="Arial"/>
                <w:b/>
                <w:bCs/>
                <w:szCs w:val="22"/>
                <w:lang w:eastAsia="it-IT"/>
              </w:rPr>
              <w:t xml:space="preserve"> </w:t>
            </w:r>
            <w:r w:rsidRPr="0019790A">
              <w:rPr>
                <w:rFonts w:cs="Arial"/>
                <w:b/>
                <w:bCs/>
                <w:color w:val="000000"/>
                <w:szCs w:val="22"/>
                <w:lang w:eastAsia="en-US"/>
              </w:rPr>
              <w:t>розвитку Жмеринської міської територіальної громади,  якому відповідає проєкт:</w:t>
            </w:r>
          </w:p>
        </w:tc>
        <w:tc>
          <w:tcPr>
            <w:tcW w:w="6794" w:type="dxa"/>
            <w:gridSpan w:val="7"/>
            <w:vAlign w:val="center"/>
          </w:tcPr>
          <w:p w14:paraId="08A12102" w14:textId="06CF3C56" w:rsidR="005342D5" w:rsidRPr="0019790A" w:rsidRDefault="005342D5" w:rsidP="009873B2">
            <w:pPr>
              <w:pBdr>
                <w:left w:val="single" w:sz="18" w:space="4" w:color="auto"/>
              </w:pBdr>
              <w:rPr>
                <w:rFonts w:cs="Arial"/>
                <w:szCs w:val="22"/>
                <w:lang w:eastAsia="it-IT"/>
              </w:rPr>
            </w:pPr>
            <w:r w:rsidRPr="009873B2">
              <w:rPr>
                <w:rFonts w:cs="Arial"/>
                <w:bCs/>
                <w:szCs w:val="22"/>
                <w:lang w:eastAsia="it-IT"/>
              </w:rPr>
              <w:t>С.3.4.2. Будівництво, реконструкція інфраструктури спорту з урахуванням гендерного аспекту</w:t>
            </w:r>
          </w:p>
        </w:tc>
      </w:tr>
      <w:tr w:rsidR="005342D5" w:rsidRPr="0019790A" w14:paraId="52337FE7" w14:textId="77777777" w:rsidTr="009873B2">
        <w:trPr>
          <w:jc w:val="right"/>
        </w:trPr>
        <w:tc>
          <w:tcPr>
            <w:tcW w:w="3425" w:type="dxa"/>
            <w:vAlign w:val="center"/>
          </w:tcPr>
          <w:p w14:paraId="3A76657E" w14:textId="77777777" w:rsidR="005342D5" w:rsidRPr="0019790A" w:rsidRDefault="005342D5" w:rsidP="0019790A">
            <w:pPr>
              <w:rPr>
                <w:rFonts w:cs="Arial"/>
                <w:b/>
                <w:bCs/>
                <w:color w:val="000000"/>
                <w:szCs w:val="22"/>
              </w:rPr>
            </w:pPr>
            <w:r w:rsidRPr="0019790A">
              <w:rPr>
                <w:rFonts w:cs="Arial"/>
                <w:b/>
                <w:bCs/>
                <w:color w:val="000000"/>
                <w:szCs w:val="22"/>
              </w:rPr>
              <w:t>Мета проєкту:</w:t>
            </w:r>
          </w:p>
        </w:tc>
        <w:tc>
          <w:tcPr>
            <w:tcW w:w="6794" w:type="dxa"/>
            <w:gridSpan w:val="7"/>
            <w:vAlign w:val="center"/>
          </w:tcPr>
          <w:p w14:paraId="6B205396" w14:textId="77777777" w:rsidR="005342D5" w:rsidRPr="0019790A" w:rsidRDefault="005342D5" w:rsidP="009873B2">
            <w:pPr>
              <w:rPr>
                <w:rFonts w:cs="Arial"/>
                <w:szCs w:val="22"/>
                <w:lang w:eastAsia="it-IT"/>
              </w:rPr>
            </w:pPr>
            <w:r w:rsidRPr="0019790A">
              <w:rPr>
                <w:rFonts w:cs="Arial"/>
                <w:szCs w:val="22"/>
                <w:lang w:eastAsia="it-IT"/>
              </w:rPr>
              <w:t>Забезпечення якісного та енергоефективного освітлення території спортивного комплексу для підвищення безпеки, зручності пересування та проведення заходів у вечірній і нічний час.</w:t>
            </w:r>
          </w:p>
        </w:tc>
      </w:tr>
      <w:tr w:rsidR="005342D5" w:rsidRPr="0019790A" w14:paraId="2A29ECF8" w14:textId="77777777" w:rsidTr="009873B2">
        <w:trPr>
          <w:jc w:val="right"/>
        </w:trPr>
        <w:tc>
          <w:tcPr>
            <w:tcW w:w="3425" w:type="dxa"/>
            <w:vAlign w:val="center"/>
          </w:tcPr>
          <w:p w14:paraId="1CBE95AA" w14:textId="77777777" w:rsidR="005342D5" w:rsidRPr="0019790A" w:rsidRDefault="005342D5" w:rsidP="0019790A">
            <w:pPr>
              <w:rPr>
                <w:rFonts w:cs="Arial"/>
                <w:b/>
                <w:bCs/>
                <w:color w:val="000000"/>
                <w:szCs w:val="22"/>
              </w:rPr>
            </w:pPr>
            <w:r w:rsidRPr="0019790A">
              <w:rPr>
                <w:rFonts w:cs="Arial"/>
                <w:b/>
                <w:bCs/>
                <w:color w:val="000000"/>
                <w:szCs w:val="22"/>
              </w:rPr>
              <w:t>Цілі проєкту:</w:t>
            </w:r>
          </w:p>
        </w:tc>
        <w:tc>
          <w:tcPr>
            <w:tcW w:w="6794" w:type="dxa"/>
            <w:gridSpan w:val="7"/>
            <w:vAlign w:val="center"/>
          </w:tcPr>
          <w:p w14:paraId="56805EF1" w14:textId="77777777" w:rsidR="005342D5" w:rsidRPr="0019790A" w:rsidRDefault="005342D5" w:rsidP="009873B2">
            <w:pPr>
              <w:numPr>
                <w:ilvl w:val="0"/>
                <w:numId w:val="153"/>
              </w:numPr>
              <w:ind w:left="186" w:hanging="141"/>
              <w:rPr>
                <w:rFonts w:cs="Arial"/>
                <w:szCs w:val="22"/>
                <w:lang w:eastAsia="it-IT"/>
              </w:rPr>
            </w:pPr>
            <w:r w:rsidRPr="0019790A">
              <w:rPr>
                <w:rFonts w:cs="Arial"/>
                <w:szCs w:val="22"/>
                <w:lang w:eastAsia="it-IT"/>
              </w:rPr>
              <w:t>Заміна зношених або застарілих освітлювальних систем.</w:t>
            </w:r>
          </w:p>
          <w:p w14:paraId="15C728A2" w14:textId="77777777" w:rsidR="005342D5" w:rsidRPr="0019790A" w:rsidRDefault="005342D5" w:rsidP="009873B2">
            <w:pPr>
              <w:numPr>
                <w:ilvl w:val="0"/>
                <w:numId w:val="153"/>
              </w:numPr>
              <w:ind w:left="186" w:hanging="141"/>
              <w:rPr>
                <w:rFonts w:cs="Arial"/>
                <w:szCs w:val="22"/>
                <w:lang w:eastAsia="it-IT"/>
              </w:rPr>
            </w:pPr>
            <w:r w:rsidRPr="0019790A">
              <w:rPr>
                <w:rFonts w:cs="Arial"/>
                <w:szCs w:val="22"/>
                <w:lang w:eastAsia="it-IT"/>
              </w:rPr>
              <w:t>Впровадження сучасного, енергоощадного LED-освітлення.</w:t>
            </w:r>
          </w:p>
          <w:p w14:paraId="146E839B" w14:textId="77777777" w:rsidR="005342D5" w:rsidRPr="0019790A" w:rsidRDefault="005342D5" w:rsidP="009873B2">
            <w:pPr>
              <w:numPr>
                <w:ilvl w:val="0"/>
                <w:numId w:val="153"/>
              </w:numPr>
              <w:ind w:left="186" w:hanging="141"/>
              <w:rPr>
                <w:rFonts w:cs="Arial"/>
                <w:szCs w:val="22"/>
                <w:lang w:eastAsia="it-IT"/>
              </w:rPr>
            </w:pPr>
            <w:r w:rsidRPr="0019790A">
              <w:rPr>
                <w:rFonts w:cs="Arial"/>
                <w:szCs w:val="22"/>
                <w:lang w:eastAsia="it-IT"/>
              </w:rPr>
              <w:t>Забезпечення нормативного рівня освітлення всіх функціональних зон.</w:t>
            </w:r>
          </w:p>
          <w:p w14:paraId="6EBB7FFD" w14:textId="77777777" w:rsidR="005342D5" w:rsidRPr="0019790A" w:rsidRDefault="005342D5" w:rsidP="009873B2">
            <w:pPr>
              <w:numPr>
                <w:ilvl w:val="0"/>
                <w:numId w:val="153"/>
              </w:numPr>
              <w:ind w:left="186" w:hanging="141"/>
              <w:rPr>
                <w:rFonts w:cs="Arial"/>
                <w:szCs w:val="22"/>
                <w:lang w:eastAsia="it-IT"/>
              </w:rPr>
            </w:pPr>
            <w:r w:rsidRPr="0019790A">
              <w:rPr>
                <w:rFonts w:cs="Arial"/>
                <w:szCs w:val="22"/>
                <w:lang w:eastAsia="it-IT"/>
              </w:rPr>
              <w:t>Підвищення рівня безпеки перебування на території комплексу у темний час доби.</w:t>
            </w:r>
          </w:p>
        </w:tc>
      </w:tr>
      <w:tr w:rsidR="005342D5" w:rsidRPr="0019790A" w14:paraId="03CF91F7" w14:textId="77777777" w:rsidTr="009873B2">
        <w:trPr>
          <w:jc w:val="right"/>
        </w:trPr>
        <w:tc>
          <w:tcPr>
            <w:tcW w:w="3425" w:type="dxa"/>
            <w:vAlign w:val="center"/>
          </w:tcPr>
          <w:p w14:paraId="2574BAD7" w14:textId="77777777" w:rsidR="005342D5" w:rsidRPr="0019790A" w:rsidRDefault="005342D5" w:rsidP="0019790A">
            <w:pPr>
              <w:autoSpaceDE w:val="0"/>
              <w:autoSpaceDN w:val="0"/>
              <w:adjustRightInd w:val="0"/>
              <w:rPr>
                <w:rFonts w:cs="Arial"/>
                <w:b/>
                <w:color w:val="000000"/>
                <w:szCs w:val="22"/>
              </w:rPr>
            </w:pPr>
            <w:r w:rsidRPr="0019790A">
              <w:rPr>
                <w:rFonts w:cs="Arial"/>
                <w:b/>
                <w:color w:val="000000"/>
                <w:szCs w:val="22"/>
              </w:rPr>
              <w:t>Територія на яку проєкт матиме вплив:</w:t>
            </w:r>
          </w:p>
        </w:tc>
        <w:tc>
          <w:tcPr>
            <w:tcW w:w="6794" w:type="dxa"/>
            <w:gridSpan w:val="7"/>
            <w:vAlign w:val="center"/>
          </w:tcPr>
          <w:p w14:paraId="0A308E4B" w14:textId="77777777" w:rsidR="005342D5" w:rsidRPr="0019790A" w:rsidRDefault="005342D5" w:rsidP="009873B2">
            <w:pPr>
              <w:rPr>
                <w:rFonts w:cs="Arial"/>
                <w:szCs w:val="22"/>
                <w:lang w:eastAsia="it-IT"/>
              </w:rPr>
            </w:pPr>
            <w:r w:rsidRPr="0019790A">
              <w:rPr>
                <w:rFonts w:cs="Arial"/>
                <w:szCs w:val="22"/>
                <w:lang w:eastAsia="it-IT"/>
              </w:rPr>
              <w:t>Жмеринська міська територіальна громада</w:t>
            </w:r>
          </w:p>
        </w:tc>
      </w:tr>
      <w:tr w:rsidR="005342D5" w:rsidRPr="0019790A" w14:paraId="30D3177B" w14:textId="77777777" w:rsidTr="009873B2">
        <w:trPr>
          <w:jc w:val="right"/>
        </w:trPr>
        <w:tc>
          <w:tcPr>
            <w:tcW w:w="3425" w:type="dxa"/>
            <w:vAlign w:val="center"/>
          </w:tcPr>
          <w:p w14:paraId="4D1F657B" w14:textId="77777777" w:rsidR="005342D5" w:rsidRPr="0019790A" w:rsidRDefault="005342D5" w:rsidP="0019790A">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4" w:type="dxa"/>
            <w:gridSpan w:val="7"/>
            <w:vAlign w:val="center"/>
          </w:tcPr>
          <w:p w14:paraId="4884F4BA" w14:textId="77777777" w:rsidR="005342D5" w:rsidRPr="0019790A" w:rsidRDefault="005342D5" w:rsidP="009873B2">
            <w:pPr>
              <w:numPr>
                <w:ilvl w:val="0"/>
                <w:numId w:val="154"/>
              </w:numPr>
              <w:ind w:left="186" w:hanging="153"/>
              <w:rPr>
                <w:rFonts w:cs="Arial"/>
                <w:szCs w:val="22"/>
                <w:lang w:eastAsia="it-IT"/>
              </w:rPr>
            </w:pPr>
            <w:r w:rsidRPr="0019790A">
              <w:rPr>
                <w:rFonts w:cs="Arial"/>
                <w:szCs w:val="22"/>
                <w:lang w:eastAsia="it-IT"/>
              </w:rPr>
              <w:t>Відвідувачі парку та спортивного комплексу.</w:t>
            </w:r>
          </w:p>
          <w:p w14:paraId="2FAD63A1" w14:textId="77777777" w:rsidR="005342D5" w:rsidRPr="0019790A" w:rsidRDefault="005342D5" w:rsidP="009873B2">
            <w:pPr>
              <w:numPr>
                <w:ilvl w:val="0"/>
                <w:numId w:val="154"/>
              </w:numPr>
              <w:ind w:left="186" w:hanging="153"/>
              <w:rPr>
                <w:rFonts w:cs="Arial"/>
                <w:szCs w:val="22"/>
                <w:lang w:eastAsia="it-IT"/>
              </w:rPr>
            </w:pPr>
            <w:r w:rsidRPr="0019790A">
              <w:rPr>
                <w:rFonts w:cs="Arial"/>
                <w:szCs w:val="22"/>
                <w:lang w:eastAsia="it-IT"/>
              </w:rPr>
              <w:t>Спортсмени, тренери, персонал КП.</w:t>
            </w:r>
          </w:p>
          <w:p w14:paraId="29D3EC16" w14:textId="77777777" w:rsidR="005342D5" w:rsidRPr="0019790A" w:rsidRDefault="005342D5" w:rsidP="009873B2">
            <w:pPr>
              <w:numPr>
                <w:ilvl w:val="0"/>
                <w:numId w:val="154"/>
              </w:numPr>
              <w:ind w:left="186" w:hanging="153"/>
              <w:rPr>
                <w:rFonts w:cs="Arial"/>
                <w:szCs w:val="22"/>
                <w:lang w:eastAsia="it-IT"/>
              </w:rPr>
            </w:pPr>
            <w:r w:rsidRPr="0019790A">
              <w:rPr>
                <w:rFonts w:cs="Arial"/>
                <w:szCs w:val="22"/>
                <w:lang w:eastAsia="it-IT"/>
              </w:rPr>
              <w:t>Гості культурно-масових заходів.</w:t>
            </w:r>
          </w:p>
          <w:p w14:paraId="4214BE3E" w14:textId="1B38984D" w:rsidR="005342D5" w:rsidRPr="0019790A" w:rsidRDefault="009873B2" w:rsidP="009873B2">
            <w:pPr>
              <w:numPr>
                <w:ilvl w:val="0"/>
                <w:numId w:val="154"/>
              </w:numPr>
              <w:ind w:left="186" w:hanging="153"/>
              <w:rPr>
                <w:rFonts w:cs="Arial"/>
                <w:szCs w:val="22"/>
                <w:lang w:eastAsia="it-IT"/>
              </w:rPr>
            </w:pPr>
            <w:r w:rsidRPr="0019790A">
              <w:rPr>
                <w:rFonts w:cs="Arial"/>
                <w:szCs w:val="22"/>
                <w:lang w:eastAsia="it-IT"/>
              </w:rPr>
              <w:t>Малом</w:t>
            </w:r>
            <w:r>
              <w:rPr>
                <w:rFonts w:cs="Arial"/>
                <w:szCs w:val="22"/>
                <w:lang w:eastAsia="it-IT"/>
              </w:rPr>
              <w:t>обільні</w:t>
            </w:r>
            <w:r w:rsidR="005342D5" w:rsidRPr="0019790A">
              <w:rPr>
                <w:rFonts w:cs="Arial"/>
                <w:szCs w:val="22"/>
                <w:lang w:eastAsia="it-IT"/>
              </w:rPr>
              <w:t xml:space="preserve"> групи населення та жителі громади.</w:t>
            </w:r>
          </w:p>
        </w:tc>
      </w:tr>
      <w:tr w:rsidR="005342D5" w:rsidRPr="0019790A" w14:paraId="4AEDC452" w14:textId="77777777" w:rsidTr="009873B2">
        <w:trPr>
          <w:jc w:val="right"/>
        </w:trPr>
        <w:tc>
          <w:tcPr>
            <w:tcW w:w="3425" w:type="dxa"/>
            <w:shd w:val="clear" w:color="auto" w:fill="FFFFFF"/>
            <w:vAlign w:val="center"/>
          </w:tcPr>
          <w:p w14:paraId="2D38A40C" w14:textId="77777777" w:rsidR="005342D5" w:rsidRPr="0019790A" w:rsidRDefault="005342D5" w:rsidP="0019790A">
            <w:pPr>
              <w:rPr>
                <w:rFonts w:cs="Arial"/>
                <w:b/>
                <w:bCs/>
                <w:color w:val="000000"/>
                <w:szCs w:val="22"/>
              </w:rPr>
            </w:pPr>
            <w:r w:rsidRPr="0019790A">
              <w:rPr>
                <w:rFonts w:cs="Arial"/>
                <w:b/>
                <w:bCs/>
                <w:color w:val="000000"/>
                <w:szCs w:val="22"/>
              </w:rPr>
              <w:t>Стислий опис проєкту:</w:t>
            </w:r>
          </w:p>
        </w:tc>
        <w:tc>
          <w:tcPr>
            <w:tcW w:w="6794" w:type="dxa"/>
            <w:gridSpan w:val="7"/>
            <w:vAlign w:val="center"/>
          </w:tcPr>
          <w:p w14:paraId="70FA3C72" w14:textId="77777777" w:rsidR="005342D5" w:rsidRPr="0019790A" w:rsidRDefault="005342D5" w:rsidP="009873B2">
            <w:pPr>
              <w:ind w:left="45"/>
              <w:rPr>
                <w:rFonts w:cs="Arial"/>
                <w:szCs w:val="22"/>
                <w:lang w:eastAsia="it-IT"/>
              </w:rPr>
            </w:pPr>
            <w:r w:rsidRPr="0019790A">
              <w:rPr>
                <w:rFonts w:cs="Arial"/>
                <w:szCs w:val="22"/>
                <w:lang w:eastAsia="it-IT"/>
              </w:rPr>
              <w:t>Проєкт передбачає капітальний ремонт системи зовнішнього освітлення на території КП «Парковий культурно-спортивний комплекс». Роботи включають демонтаж старих світильників, опор та кабельних мереж, монтаж нових LED-світильників, встановлення сучасних металевих опор, укладання електричних мереж у ґрунті або кабель-каналах, установку автоматичних систем керування освітленням (таймери, датчики освітленості або руху).</w:t>
            </w:r>
          </w:p>
        </w:tc>
      </w:tr>
      <w:tr w:rsidR="005342D5" w:rsidRPr="0019790A" w14:paraId="6DC0DD3D" w14:textId="77777777" w:rsidTr="009873B2">
        <w:trPr>
          <w:jc w:val="right"/>
        </w:trPr>
        <w:tc>
          <w:tcPr>
            <w:tcW w:w="3425" w:type="dxa"/>
            <w:shd w:val="clear" w:color="auto" w:fill="FFFFFF"/>
            <w:vAlign w:val="center"/>
          </w:tcPr>
          <w:p w14:paraId="1E914EA4" w14:textId="77777777" w:rsidR="005342D5" w:rsidRPr="0019790A" w:rsidRDefault="005342D5" w:rsidP="0019790A">
            <w:pPr>
              <w:rPr>
                <w:rFonts w:cs="Arial"/>
                <w:b/>
                <w:bCs/>
                <w:color w:val="000000"/>
                <w:szCs w:val="22"/>
              </w:rPr>
            </w:pPr>
            <w:r w:rsidRPr="0019790A">
              <w:rPr>
                <w:rFonts w:cs="Arial"/>
                <w:b/>
                <w:bCs/>
                <w:color w:val="000000"/>
                <w:szCs w:val="22"/>
              </w:rPr>
              <w:t>Основні заходи проєкту:</w:t>
            </w:r>
          </w:p>
        </w:tc>
        <w:tc>
          <w:tcPr>
            <w:tcW w:w="6794" w:type="dxa"/>
            <w:gridSpan w:val="7"/>
            <w:vAlign w:val="center"/>
          </w:tcPr>
          <w:p w14:paraId="47829CAE" w14:textId="77777777" w:rsidR="005342D5" w:rsidRPr="0019790A" w:rsidRDefault="005342D5" w:rsidP="009873B2">
            <w:pPr>
              <w:numPr>
                <w:ilvl w:val="0"/>
                <w:numId w:val="155"/>
              </w:numPr>
              <w:tabs>
                <w:tab w:val="left" w:pos="186"/>
              </w:tabs>
              <w:ind w:hanging="675"/>
              <w:rPr>
                <w:rFonts w:cs="Arial"/>
                <w:szCs w:val="22"/>
                <w:lang w:eastAsia="it-IT"/>
              </w:rPr>
            </w:pPr>
            <w:r w:rsidRPr="0019790A">
              <w:rPr>
                <w:rFonts w:cs="Arial"/>
                <w:szCs w:val="22"/>
                <w:lang w:eastAsia="it-IT"/>
              </w:rPr>
              <w:t>Технічне обстеження існуючої системи освітлення.</w:t>
            </w:r>
          </w:p>
          <w:p w14:paraId="78C19467" w14:textId="77777777" w:rsidR="005342D5" w:rsidRPr="0019790A" w:rsidRDefault="005342D5" w:rsidP="009873B2">
            <w:pPr>
              <w:numPr>
                <w:ilvl w:val="0"/>
                <w:numId w:val="155"/>
              </w:numPr>
              <w:tabs>
                <w:tab w:val="left" w:pos="186"/>
              </w:tabs>
              <w:ind w:hanging="675"/>
              <w:rPr>
                <w:rFonts w:cs="Arial"/>
                <w:szCs w:val="22"/>
                <w:lang w:eastAsia="it-IT"/>
              </w:rPr>
            </w:pPr>
            <w:r w:rsidRPr="0019790A">
              <w:rPr>
                <w:rFonts w:cs="Arial"/>
                <w:szCs w:val="22"/>
                <w:lang w:eastAsia="it-IT"/>
              </w:rPr>
              <w:t>Демонтаж застарілих або несправних елементів (опори, світильники, кабелі).</w:t>
            </w:r>
          </w:p>
          <w:p w14:paraId="3567216A" w14:textId="0C9D09E9" w:rsidR="005342D5" w:rsidRPr="0019790A" w:rsidRDefault="005342D5" w:rsidP="009873B2">
            <w:pPr>
              <w:numPr>
                <w:ilvl w:val="0"/>
                <w:numId w:val="155"/>
              </w:numPr>
              <w:tabs>
                <w:tab w:val="left" w:pos="186"/>
              </w:tabs>
              <w:ind w:left="45" w:firstLine="0"/>
              <w:rPr>
                <w:rFonts w:cs="Arial"/>
                <w:szCs w:val="22"/>
                <w:lang w:eastAsia="it-IT"/>
              </w:rPr>
            </w:pPr>
            <w:r w:rsidRPr="0019790A">
              <w:rPr>
                <w:rFonts w:cs="Arial"/>
                <w:szCs w:val="22"/>
                <w:lang w:eastAsia="it-IT"/>
              </w:rPr>
              <w:t>Проєктування схеми освітлення з урахуванням зонального призначення (доріжки,</w:t>
            </w:r>
            <w:r w:rsidR="009873B2">
              <w:rPr>
                <w:rFonts w:cs="Arial"/>
                <w:szCs w:val="22"/>
                <w:lang w:eastAsia="it-IT"/>
              </w:rPr>
              <w:t xml:space="preserve"> </w:t>
            </w:r>
            <w:r w:rsidRPr="0019790A">
              <w:rPr>
                <w:rFonts w:cs="Arial"/>
                <w:szCs w:val="22"/>
                <w:lang w:eastAsia="it-IT"/>
              </w:rPr>
              <w:t>спортмайданчики, парковка тощо).</w:t>
            </w:r>
          </w:p>
          <w:p w14:paraId="5079ABDC" w14:textId="77777777" w:rsidR="005342D5" w:rsidRPr="0019790A" w:rsidRDefault="005342D5" w:rsidP="009873B2">
            <w:pPr>
              <w:numPr>
                <w:ilvl w:val="0"/>
                <w:numId w:val="155"/>
              </w:numPr>
              <w:tabs>
                <w:tab w:val="left" w:pos="186"/>
              </w:tabs>
              <w:ind w:hanging="675"/>
              <w:rPr>
                <w:rFonts w:cs="Arial"/>
                <w:szCs w:val="22"/>
                <w:lang w:eastAsia="it-IT"/>
              </w:rPr>
            </w:pPr>
            <w:r w:rsidRPr="0019790A">
              <w:rPr>
                <w:rFonts w:cs="Arial"/>
                <w:szCs w:val="22"/>
                <w:lang w:eastAsia="it-IT"/>
              </w:rPr>
              <w:t>Монтаж нових опор освітлення.</w:t>
            </w:r>
          </w:p>
          <w:p w14:paraId="66C2F448" w14:textId="77777777" w:rsidR="005342D5" w:rsidRPr="0019790A" w:rsidRDefault="005342D5" w:rsidP="009873B2">
            <w:pPr>
              <w:numPr>
                <w:ilvl w:val="0"/>
                <w:numId w:val="155"/>
              </w:numPr>
              <w:tabs>
                <w:tab w:val="left" w:pos="186"/>
              </w:tabs>
              <w:ind w:hanging="675"/>
              <w:rPr>
                <w:rFonts w:cs="Arial"/>
                <w:szCs w:val="22"/>
                <w:lang w:eastAsia="it-IT"/>
              </w:rPr>
            </w:pPr>
            <w:r w:rsidRPr="0019790A">
              <w:rPr>
                <w:rFonts w:cs="Arial"/>
                <w:szCs w:val="22"/>
                <w:lang w:eastAsia="it-IT"/>
              </w:rPr>
              <w:t>Установка LED-світильників відповідної потужності.</w:t>
            </w:r>
          </w:p>
          <w:p w14:paraId="6022546F" w14:textId="77777777" w:rsidR="005342D5" w:rsidRPr="0019790A" w:rsidRDefault="005342D5" w:rsidP="009873B2">
            <w:pPr>
              <w:numPr>
                <w:ilvl w:val="0"/>
                <w:numId w:val="155"/>
              </w:numPr>
              <w:tabs>
                <w:tab w:val="left" w:pos="186"/>
              </w:tabs>
              <w:ind w:hanging="675"/>
              <w:rPr>
                <w:rFonts w:cs="Arial"/>
                <w:szCs w:val="22"/>
                <w:lang w:eastAsia="it-IT"/>
              </w:rPr>
            </w:pPr>
            <w:r w:rsidRPr="0019790A">
              <w:rPr>
                <w:rFonts w:cs="Arial"/>
                <w:szCs w:val="22"/>
                <w:lang w:eastAsia="it-IT"/>
              </w:rPr>
              <w:t>Укладання нових електромереж.</w:t>
            </w:r>
          </w:p>
          <w:p w14:paraId="200DFDD8" w14:textId="77777777" w:rsidR="005342D5" w:rsidRPr="0019790A" w:rsidRDefault="005342D5" w:rsidP="009873B2">
            <w:pPr>
              <w:numPr>
                <w:ilvl w:val="0"/>
                <w:numId w:val="155"/>
              </w:numPr>
              <w:tabs>
                <w:tab w:val="left" w:pos="186"/>
              </w:tabs>
              <w:ind w:hanging="675"/>
              <w:rPr>
                <w:rFonts w:cs="Arial"/>
                <w:szCs w:val="22"/>
                <w:lang w:eastAsia="it-IT"/>
              </w:rPr>
            </w:pPr>
            <w:r w:rsidRPr="0019790A">
              <w:rPr>
                <w:rFonts w:cs="Arial"/>
                <w:szCs w:val="22"/>
                <w:lang w:eastAsia="it-IT"/>
              </w:rPr>
              <w:t>Підключення до електрощита з системою автоматизації (таймери, датчики).</w:t>
            </w:r>
          </w:p>
          <w:p w14:paraId="53D000F0" w14:textId="77777777" w:rsidR="005342D5" w:rsidRPr="0019790A" w:rsidRDefault="005342D5" w:rsidP="009873B2">
            <w:pPr>
              <w:numPr>
                <w:ilvl w:val="0"/>
                <w:numId w:val="155"/>
              </w:numPr>
              <w:tabs>
                <w:tab w:val="left" w:pos="186"/>
              </w:tabs>
              <w:ind w:hanging="675"/>
              <w:rPr>
                <w:rFonts w:cs="Arial"/>
                <w:szCs w:val="22"/>
                <w:lang w:eastAsia="it-IT"/>
              </w:rPr>
            </w:pPr>
            <w:r w:rsidRPr="0019790A">
              <w:rPr>
                <w:rFonts w:cs="Arial"/>
                <w:szCs w:val="22"/>
                <w:lang w:eastAsia="it-IT"/>
              </w:rPr>
              <w:t>Випробування і налаштування системи освітлення.</w:t>
            </w:r>
          </w:p>
        </w:tc>
      </w:tr>
      <w:tr w:rsidR="005342D5" w:rsidRPr="0019790A" w14:paraId="1123D95B" w14:textId="77777777" w:rsidTr="009873B2">
        <w:trPr>
          <w:jc w:val="right"/>
        </w:trPr>
        <w:tc>
          <w:tcPr>
            <w:tcW w:w="3425" w:type="dxa"/>
            <w:shd w:val="clear" w:color="auto" w:fill="FFFFFF"/>
            <w:vAlign w:val="center"/>
          </w:tcPr>
          <w:p w14:paraId="1AF45623" w14:textId="77777777" w:rsidR="005342D5" w:rsidRPr="0019790A" w:rsidRDefault="005342D5"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794" w:type="dxa"/>
            <w:gridSpan w:val="7"/>
            <w:vAlign w:val="center"/>
          </w:tcPr>
          <w:p w14:paraId="2A9942A0" w14:textId="77777777" w:rsidR="005342D5" w:rsidRPr="0019790A" w:rsidRDefault="005342D5" w:rsidP="009873B2">
            <w:pPr>
              <w:numPr>
                <w:ilvl w:val="0"/>
                <w:numId w:val="156"/>
              </w:numPr>
              <w:ind w:left="186" w:hanging="152"/>
              <w:rPr>
                <w:rFonts w:cs="Arial"/>
                <w:szCs w:val="22"/>
                <w:lang w:eastAsia="it-IT"/>
              </w:rPr>
            </w:pPr>
            <w:r w:rsidRPr="0019790A">
              <w:rPr>
                <w:rFonts w:cs="Arial"/>
                <w:szCs w:val="22"/>
                <w:lang w:eastAsia="it-IT"/>
              </w:rPr>
              <w:t>Повне оновлення 100% освітлювальної мережі території КП.</w:t>
            </w:r>
          </w:p>
          <w:p w14:paraId="549DB9A8" w14:textId="77777777" w:rsidR="005342D5" w:rsidRPr="0019790A" w:rsidRDefault="005342D5" w:rsidP="009873B2">
            <w:pPr>
              <w:numPr>
                <w:ilvl w:val="0"/>
                <w:numId w:val="156"/>
              </w:numPr>
              <w:ind w:left="186" w:hanging="152"/>
              <w:rPr>
                <w:rFonts w:cs="Arial"/>
                <w:szCs w:val="22"/>
                <w:lang w:eastAsia="it-IT"/>
              </w:rPr>
            </w:pPr>
            <w:r w:rsidRPr="0019790A">
              <w:rPr>
                <w:rFonts w:cs="Arial"/>
                <w:szCs w:val="22"/>
                <w:lang w:eastAsia="it-IT"/>
              </w:rPr>
              <w:t>Забезпечення нормативного рівня освітленості (20–50 лк у пішохідних зонах).</w:t>
            </w:r>
          </w:p>
          <w:p w14:paraId="41E85173" w14:textId="77777777" w:rsidR="005342D5" w:rsidRPr="0019790A" w:rsidRDefault="005342D5" w:rsidP="009873B2">
            <w:pPr>
              <w:numPr>
                <w:ilvl w:val="0"/>
                <w:numId w:val="156"/>
              </w:numPr>
              <w:ind w:left="186" w:hanging="152"/>
              <w:rPr>
                <w:rFonts w:cs="Arial"/>
                <w:szCs w:val="22"/>
                <w:lang w:eastAsia="it-IT"/>
              </w:rPr>
            </w:pPr>
            <w:r w:rsidRPr="0019790A">
              <w:rPr>
                <w:rFonts w:cs="Arial"/>
                <w:szCs w:val="22"/>
                <w:lang w:eastAsia="it-IT"/>
              </w:rPr>
              <w:t>Економія електроенергії щонайменше на 30–50% завдяки LED-технологіям.</w:t>
            </w:r>
          </w:p>
          <w:p w14:paraId="08898671" w14:textId="77777777" w:rsidR="005342D5" w:rsidRPr="0019790A" w:rsidRDefault="005342D5" w:rsidP="009873B2">
            <w:pPr>
              <w:numPr>
                <w:ilvl w:val="0"/>
                <w:numId w:val="156"/>
              </w:numPr>
              <w:ind w:left="186" w:hanging="152"/>
              <w:rPr>
                <w:rFonts w:cs="Arial"/>
                <w:szCs w:val="22"/>
                <w:lang w:eastAsia="it-IT"/>
              </w:rPr>
            </w:pPr>
            <w:r w:rsidRPr="0019790A">
              <w:rPr>
                <w:rFonts w:cs="Arial"/>
                <w:szCs w:val="22"/>
                <w:lang w:eastAsia="it-IT"/>
              </w:rPr>
              <w:t>Підвищення безпеки й комфорту пересування у вечірній і нічний час.</w:t>
            </w:r>
          </w:p>
          <w:p w14:paraId="1EF7527A" w14:textId="77777777" w:rsidR="005342D5" w:rsidRPr="0019790A" w:rsidRDefault="005342D5" w:rsidP="009873B2">
            <w:pPr>
              <w:numPr>
                <w:ilvl w:val="0"/>
                <w:numId w:val="156"/>
              </w:numPr>
              <w:ind w:left="186" w:hanging="152"/>
              <w:rPr>
                <w:rFonts w:cs="Arial"/>
                <w:szCs w:val="22"/>
                <w:lang w:eastAsia="it-IT"/>
              </w:rPr>
            </w:pPr>
            <w:r w:rsidRPr="0019790A">
              <w:rPr>
                <w:rFonts w:cs="Arial"/>
                <w:szCs w:val="22"/>
                <w:lang w:eastAsia="it-IT"/>
              </w:rPr>
              <w:t>Позитивна оцінка користувачів (не менше 90% задоволеності).</w:t>
            </w:r>
          </w:p>
        </w:tc>
      </w:tr>
      <w:tr w:rsidR="005342D5" w:rsidRPr="0019790A" w14:paraId="12593D82" w14:textId="77777777" w:rsidTr="00CF3AAE">
        <w:trPr>
          <w:jc w:val="right"/>
        </w:trPr>
        <w:tc>
          <w:tcPr>
            <w:tcW w:w="3425" w:type="dxa"/>
            <w:shd w:val="clear" w:color="auto" w:fill="FFFFFF"/>
            <w:vAlign w:val="center"/>
          </w:tcPr>
          <w:p w14:paraId="27563307" w14:textId="77777777" w:rsidR="005342D5" w:rsidRPr="0019790A" w:rsidRDefault="005342D5" w:rsidP="0019790A">
            <w:pPr>
              <w:rPr>
                <w:rFonts w:cs="Arial"/>
                <w:b/>
                <w:color w:val="000000"/>
                <w:szCs w:val="22"/>
              </w:rPr>
            </w:pPr>
            <w:r w:rsidRPr="0019790A">
              <w:rPr>
                <w:rFonts w:cs="Arial"/>
                <w:b/>
                <w:color w:val="000000"/>
                <w:szCs w:val="22"/>
              </w:rPr>
              <w:t xml:space="preserve">Період здійснення: </w:t>
            </w:r>
          </w:p>
        </w:tc>
        <w:tc>
          <w:tcPr>
            <w:tcW w:w="6794" w:type="dxa"/>
            <w:gridSpan w:val="7"/>
            <w:vAlign w:val="center"/>
          </w:tcPr>
          <w:p w14:paraId="30F06B83" w14:textId="77777777" w:rsidR="005342D5" w:rsidRPr="0019790A" w:rsidRDefault="005342D5" w:rsidP="0019790A">
            <w:pPr>
              <w:rPr>
                <w:rFonts w:cs="Arial"/>
                <w:color w:val="000000"/>
                <w:szCs w:val="22"/>
                <w:lang w:eastAsia="it-IT"/>
              </w:rPr>
            </w:pPr>
            <w:r w:rsidRPr="0019790A">
              <w:rPr>
                <w:rFonts w:cs="Arial"/>
                <w:b/>
                <w:color w:val="000000"/>
                <w:szCs w:val="22"/>
              </w:rPr>
              <w:t>2025 – 2028 роки:</w:t>
            </w:r>
          </w:p>
        </w:tc>
      </w:tr>
      <w:tr w:rsidR="005342D5" w:rsidRPr="0019790A" w14:paraId="1589CE1D" w14:textId="77777777" w:rsidTr="00CF3AAE">
        <w:trPr>
          <w:jc w:val="right"/>
        </w:trPr>
        <w:tc>
          <w:tcPr>
            <w:tcW w:w="3425" w:type="dxa"/>
            <w:vMerge w:val="restart"/>
            <w:shd w:val="clear" w:color="auto" w:fill="FFFFFF"/>
            <w:vAlign w:val="center"/>
          </w:tcPr>
          <w:p w14:paraId="0499718E" w14:textId="77777777" w:rsidR="005342D5" w:rsidRPr="0019790A" w:rsidRDefault="005342D5" w:rsidP="0019790A">
            <w:pPr>
              <w:rPr>
                <w:rFonts w:cs="Arial"/>
                <w:b/>
                <w:bCs/>
                <w:color w:val="000000"/>
                <w:szCs w:val="22"/>
              </w:rPr>
            </w:pPr>
            <w:r w:rsidRPr="0019790A">
              <w:rPr>
                <w:rFonts w:cs="Arial"/>
                <w:b/>
                <w:bCs/>
                <w:color w:val="000000"/>
                <w:szCs w:val="22"/>
              </w:rPr>
              <w:t>Орієнтовна вартість проєкту, тис. грн., в тому числі:</w:t>
            </w:r>
          </w:p>
        </w:tc>
        <w:tc>
          <w:tcPr>
            <w:tcW w:w="1254" w:type="dxa"/>
            <w:shd w:val="clear" w:color="auto" w:fill="E6E6E6"/>
            <w:vAlign w:val="center"/>
          </w:tcPr>
          <w:p w14:paraId="0DA61973"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2025</w:t>
            </w:r>
          </w:p>
        </w:tc>
        <w:tc>
          <w:tcPr>
            <w:tcW w:w="1275" w:type="dxa"/>
            <w:shd w:val="clear" w:color="auto" w:fill="E6E6E6"/>
            <w:vAlign w:val="center"/>
          </w:tcPr>
          <w:p w14:paraId="382B017B"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2026</w:t>
            </w:r>
          </w:p>
        </w:tc>
        <w:tc>
          <w:tcPr>
            <w:tcW w:w="1418" w:type="dxa"/>
            <w:gridSpan w:val="2"/>
            <w:tcBorders>
              <w:bottom w:val="single" w:sz="4" w:space="0" w:color="auto"/>
            </w:tcBorders>
            <w:shd w:val="clear" w:color="auto" w:fill="E6E6E6"/>
            <w:vAlign w:val="center"/>
          </w:tcPr>
          <w:p w14:paraId="64E4A811"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2027</w:t>
            </w:r>
          </w:p>
        </w:tc>
        <w:tc>
          <w:tcPr>
            <w:tcW w:w="1276" w:type="dxa"/>
            <w:shd w:val="clear" w:color="auto" w:fill="E6E6E6"/>
            <w:vAlign w:val="center"/>
          </w:tcPr>
          <w:p w14:paraId="331092F5"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2028</w:t>
            </w:r>
          </w:p>
        </w:tc>
        <w:tc>
          <w:tcPr>
            <w:tcW w:w="1571" w:type="dxa"/>
            <w:gridSpan w:val="2"/>
            <w:shd w:val="clear" w:color="auto" w:fill="E6E6E6"/>
            <w:vAlign w:val="center"/>
          </w:tcPr>
          <w:p w14:paraId="1DE2815F"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РАЗОМ</w:t>
            </w:r>
          </w:p>
        </w:tc>
      </w:tr>
      <w:tr w:rsidR="005342D5" w:rsidRPr="0019790A" w14:paraId="6A7806C9" w14:textId="77777777" w:rsidTr="00CF3AAE">
        <w:trPr>
          <w:jc w:val="right"/>
        </w:trPr>
        <w:tc>
          <w:tcPr>
            <w:tcW w:w="3425" w:type="dxa"/>
            <w:vMerge/>
            <w:shd w:val="clear" w:color="auto" w:fill="FFFFFF"/>
            <w:vAlign w:val="center"/>
          </w:tcPr>
          <w:p w14:paraId="62B4F5A4" w14:textId="77777777" w:rsidR="005342D5" w:rsidRPr="0019790A" w:rsidRDefault="005342D5" w:rsidP="0019790A">
            <w:pPr>
              <w:rPr>
                <w:rFonts w:cs="Arial"/>
                <w:b/>
                <w:bCs/>
                <w:color w:val="000000"/>
                <w:szCs w:val="22"/>
              </w:rPr>
            </w:pPr>
          </w:p>
        </w:tc>
        <w:tc>
          <w:tcPr>
            <w:tcW w:w="1254" w:type="dxa"/>
            <w:vAlign w:val="center"/>
          </w:tcPr>
          <w:p w14:paraId="53407CE1" w14:textId="77777777" w:rsidR="005342D5" w:rsidRPr="0019790A" w:rsidRDefault="005342D5" w:rsidP="0019790A">
            <w:pPr>
              <w:jc w:val="center"/>
              <w:rPr>
                <w:rFonts w:cs="Arial"/>
                <w:b/>
                <w:color w:val="000000"/>
                <w:szCs w:val="22"/>
                <w:lang w:eastAsia="it-IT"/>
              </w:rPr>
            </w:pPr>
          </w:p>
        </w:tc>
        <w:tc>
          <w:tcPr>
            <w:tcW w:w="1275" w:type="dxa"/>
            <w:shd w:val="clear" w:color="auto" w:fill="FFFFFF"/>
            <w:vAlign w:val="center"/>
          </w:tcPr>
          <w:p w14:paraId="6C039795" w14:textId="77777777" w:rsidR="005342D5" w:rsidRPr="0019790A" w:rsidRDefault="005342D5" w:rsidP="0019790A">
            <w:pPr>
              <w:jc w:val="center"/>
              <w:rPr>
                <w:rFonts w:cs="Arial"/>
                <w:b/>
                <w:color w:val="000000"/>
                <w:szCs w:val="22"/>
                <w:lang w:eastAsia="it-IT"/>
              </w:rPr>
            </w:pPr>
          </w:p>
        </w:tc>
        <w:tc>
          <w:tcPr>
            <w:tcW w:w="1418" w:type="dxa"/>
            <w:gridSpan w:val="2"/>
            <w:shd w:val="clear" w:color="auto" w:fill="auto"/>
            <w:vAlign w:val="center"/>
          </w:tcPr>
          <w:p w14:paraId="60DB12C8"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5000,0</w:t>
            </w:r>
          </w:p>
        </w:tc>
        <w:tc>
          <w:tcPr>
            <w:tcW w:w="1276" w:type="dxa"/>
            <w:shd w:val="clear" w:color="auto" w:fill="FFFFFF"/>
            <w:vAlign w:val="center"/>
          </w:tcPr>
          <w:p w14:paraId="4F6C72F9" w14:textId="77777777" w:rsidR="005342D5" w:rsidRPr="0019790A" w:rsidRDefault="005342D5" w:rsidP="0019790A">
            <w:pPr>
              <w:jc w:val="center"/>
              <w:rPr>
                <w:rFonts w:cs="Arial"/>
                <w:b/>
                <w:color w:val="000000"/>
                <w:szCs w:val="22"/>
                <w:lang w:eastAsia="it-IT"/>
              </w:rPr>
            </w:pPr>
          </w:p>
        </w:tc>
        <w:tc>
          <w:tcPr>
            <w:tcW w:w="1571" w:type="dxa"/>
            <w:gridSpan w:val="2"/>
            <w:shd w:val="clear" w:color="auto" w:fill="FFFFFF"/>
            <w:vAlign w:val="center"/>
          </w:tcPr>
          <w:p w14:paraId="0E839F04" w14:textId="77777777" w:rsidR="005342D5" w:rsidRPr="0019790A" w:rsidRDefault="005342D5" w:rsidP="0019790A">
            <w:pPr>
              <w:jc w:val="center"/>
              <w:rPr>
                <w:rFonts w:cs="Arial"/>
                <w:b/>
                <w:color w:val="000000"/>
                <w:szCs w:val="22"/>
                <w:lang w:eastAsia="it-IT"/>
              </w:rPr>
            </w:pPr>
            <w:r w:rsidRPr="0019790A">
              <w:rPr>
                <w:rFonts w:cs="Arial"/>
                <w:b/>
                <w:color w:val="000000"/>
                <w:szCs w:val="22"/>
                <w:lang w:eastAsia="it-IT"/>
              </w:rPr>
              <w:t>5000,0</w:t>
            </w:r>
          </w:p>
        </w:tc>
      </w:tr>
      <w:tr w:rsidR="005342D5" w:rsidRPr="0019790A" w14:paraId="6DC34282" w14:textId="77777777" w:rsidTr="00CF3AAE">
        <w:trPr>
          <w:trHeight w:val="276"/>
          <w:jc w:val="right"/>
        </w:trPr>
        <w:tc>
          <w:tcPr>
            <w:tcW w:w="3425" w:type="dxa"/>
            <w:shd w:val="clear" w:color="auto" w:fill="FFFFFF"/>
            <w:vAlign w:val="center"/>
          </w:tcPr>
          <w:p w14:paraId="19A93EEA" w14:textId="77777777" w:rsidR="005342D5" w:rsidRPr="0019790A" w:rsidRDefault="005342D5" w:rsidP="0019790A">
            <w:pPr>
              <w:rPr>
                <w:rFonts w:cs="Arial"/>
                <w:b/>
                <w:bCs/>
                <w:color w:val="000000"/>
                <w:szCs w:val="22"/>
              </w:rPr>
            </w:pPr>
            <w:r w:rsidRPr="0019790A">
              <w:rPr>
                <w:rFonts w:cs="Arial"/>
                <w:b/>
                <w:bCs/>
                <w:color w:val="000000"/>
                <w:szCs w:val="22"/>
              </w:rPr>
              <w:t>по джерелах фінансування:</w:t>
            </w:r>
          </w:p>
        </w:tc>
        <w:tc>
          <w:tcPr>
            <w:tcW w:w="6794" w:type="dxa"/>
            <w:gridSpan w:val="7"/>
            <w:vAlign w:val="center"/>
          </w:tcPr>
          <w:p w14:paraId="0CDF4E15" w14:textId="77777777" w:rsidR="005342D5" w:rsidRPr="0019790A" w:rsidRDefault="005342D5" w:rsidP="0019790A">
            <w:pPr>
              <w:jc w:val="both"/>
              <w:rPr>
                <w:rFonts w:cs="Arial"/>
                <w:color w:val="000000"/>
                <w:szCs w:val="22"/>
                <w:lang w:eastAsia="it-IT"/>
              </w:rPr>
            </w:pPr>
          </w:p>
        </w:tc>
      </w:tr>
      <w:tr w:rsidR="009873B2" w:rsidRPr="0019790A" w14:paraId="65434396" w14:textId="34B1E34D" w:rsidTr="009873B2">
        <w:trPr>
          <w:trHeight w:val="240"/>
          <w:jc w:val="right"/>
        </w:trPr>
        <w:tc>
          <w:tcPr>
            <w:tcW w:w="3425" w:type="dxa"/>
            <w:shd w:val="clear" w:color="auto" w:fill="FFFFFF"/>
            <w:vAlign w:val="center"/>
          </w:tcPr>
          <w:p w14:paraId="76DB6EFB" w14:textId="77777777" w:rsidR="009873B2" w:rsidRPr="0019790A" w:rsidRDefault="009873B2" w:rsidP="0019790A">
            <w:pPr>
              <w:rPr>
                <w:rFonts w:cs="Arial"/>
                <w:b/>
                <w:bCs/>
                <w:color w:val="000000"/>
                <w:szCs w:val="22"/>
              </w:rPr>
            </w:pPr>
            <w:r w:rsidRPr="0019790A">
              <w:rPr>
                <w:rFonts w:cs="Arial"/>
                <w:color w:val="000000"/>
                <w:szCs w:val="22"/>
              </w:rPr>
              <w:t>- державний бюджет</w:t>
            </w:r>
          </w:p>
        </w:tc>
        <w:tc>
          <w:tcPr>
            <w:tcW w:w="1252" w:type="dxa"/>
            <w:vAlign w:val="center"/>
          </w:tcPr>
          <w:p w14:paraId="5B3D99D4" w14:textId="06A00F0C" w:rsidR="009873B2" w:rsidRPr="0019790A" w:rsidRDefault="009873B2" w:rsidP="0019790A">
            <w:pPr>
              <w:jc w:val="both"/>
              <w:rPr>
                <w:rFonts w:cs="Arial"/>
                <w:color w:val="000000"/>
                <w:szCs w:val="22"/>
                <w:lang w:eastAsia="it-IT"/>
              </w:rPr>
            </w:pPr>
          </w:p>
        </w:tc>
        <w:tc>
          <w:tcPr>
            <w:tcW w:w="1277" w:type="dxa"/>
            <w:vAlign w:val="center"/>
          </w:tcPr>
          <w:p w14:paraId="7A4346CB" w14:textId="77777777" w:rsidR="009873B2" w:rsidRPr="0019790A" w:rsidRDefault="009873B2" w:rsidP="0019790A">
            <w:pPr>
              <w:jc w:val="both"/>
              <w:rPr>
                <w:rFonts w:cs="Arial"/>
                <w:color w:val="000000"/>
                <w:szCs w:val="22"/>
                <w:lang w:eastAsia="it-IT"/>
              </w:rPr>
            </w:pPr>
          </w:p>
        </w:tc>
        <w:tc>
          <w:tcPr>
            <w:tcW w:w="1402" w:type="dxa"/>
            <w:vAlign w:val="center"/>
          </w:tcPr>
          <w:p w14:paraId="76266858" w14:textId="77777777" w:rsidR="009873B2" w:rsidRPr="0019790A" w:rsidRDefault="009873B2" w:rsidP="0019790A">
            <w:pPr>
              <w:jc w:val="both"/>
              <w:rPr>
                <w:rFonts w:cs="Arial"/>
                <w:color w:val="000000"/>
                <w:szCs w:val="22"/>
                <w:lang w:eastAsia="it-IT"/>
              </w:rPr>
            </w:pPr>
          </w:p>
        </w:tc>
        <w:tc>
          <w:tcPr>
            <w:tcW w:w="1365" w:type="dxa"/>
            <w:gridSpan w:val="3"/>
            <w:vAlign w:val="center"/>
          </w:tcPr>
          <w:p w14:paraId="068363B0" w14:textId="77777777" w:rsidR="009873B2" w:rsidRPr="0019790A" w:rsidRDefault="009873B2" w:rsidP="0019790A">
            <w:pPr>
              <w:jc w:val="both"/>
              <w:rPr>
                <w:rFonts w:cs="Arial"/>
                <w:color w:val="000000"/>
                <w:szCs w:val="22"/>
                <w:lang w:eastAsia="it-IT"/>
              </w:rPr>
            </w:pPr>
          </w:p>
        </w:tc>
        <w:tc>
          <w:tcPr>
            <w:tcW w:w="1498" w:type="dxa"/>
            <w:vAlign w:val="center"/>
          </w:tcPr>
          <w:p w14:paraId="2769D51E" w14:textId="77777777" w:rsidR="009873B2" w:rsidRPr="0019790A" w:rsidRDefault="009873B2" w:rsidP="0019790A">
            <w:pPr>
              <w:jc w:val="both"/>
              <w:rPr>
                <w:rFonts w:cs="Arial"/>
                <w:color w:val="000000"/>
                <w:szCs w:val="22"/>
                <w:lang w:eastAsia="it-IT"/>
              </w:rPr>
            </w:pPr>
          </w:p>
        </w:tc>
      </w:tr>
      <w:tr w:rsidR="009873B2" w:rsidRPr="0019790A" w14:paraId="071B2176" w14:textId="1FC98FE5" w:rsidTr="009873B2">
        <w:trPr>
          <w:trHeight w:val="254"/>
          <w:jc w:val="right"/>
        </w:trPr>
        <w:tc>
          <w:tcPr>
            <w:tcW w:w="3425" w:type="dxa"/>
            <w:shd w:val="clear" w:color="auto" w:fill="FFFFFF"/>
            <w:vAlign w:val="center"/>
          </w:tcPr>
          <w:p w14:paraId="6084CF12" w14:textId="77777777" w:rsidR="009873B2" w:rsidRPr="0019790A" w:rsidRDefault="009873B2" w:rsidP="0019790A">
            <w:pPr>
              <w:rPr>
                <w:rFonts w:cs="Arial"/>
                <w:color w:val="000000"/>
                <w:szCs w:val="22"/>
              </w:rPr>
            </w:pPr>
            <w:r w:rsidRPr="0019790A">
              <w:rPr>
                <w:rFonts w:cs="Arial"/>
                <w:color w:val="000000"/>
                <w:szCs w:val="22"/>
              </w:rPr>
              <w:t>- обласний бюджет</w:t>
            </w:r>
          </w:p>
        </w:tc>
        <w:tc>
          <w:tcPr>
            <w:tcW w:w="1252" w:type="dxa"/>
            <w:vAlign w:val="center"/>
          </w:tcPr>
          <w:p w14:paraId="6208CFDC" w14:textId="456DE93F" w:rsidR="009873B2" w:rsidRPr="0019790A" w:rsidRDefault="009873B2" w:rsidP="0019790A">
            <w:pPr>
              <w:jc w:val="both"/>
              <w:rPr>
                <w:rFonts w:cs="Arial"/>
                <w:color w:val="000000"/>
                <w:szCs w:val="22"/>
                <w:lang w:eastAsia="it-IT"/>
              </w:rPr>
            </w:pPr>
          </w:p>
        </w:tc>
        <w:tc>
          <w:tcPr>
            <w:tcW w:w="1277" w:type="dxa"/>
            <w:vAlign w:val="center"/>
          </w:tcPr>
          <w:p w14:paraId="3AF9D407" w14:textId="77777777" w:rsidR="009873B2" w:rsidRPr="0019790A" w:rsidRDefault="009873B2" w:rsidP="0019790A">
            <w:pPr>
              <w:jc w:val="both"/>
              <w:rPr>
                <w:rFonts w:cs="Arial"/>
                <w:color w:val="000000"/>
                <w:szCs w:val="22"/>
                <w:lang w:eastAsia="it-IT"/>
              </w:rPr>
            </w:pPr>
          </w:p>
        </w:tc>
        <w:tc>
          <w:tcPr>
            <w:tcW w:w="1402" w:type="dxa"/>
            <w:vAlign w:val="center"/>
          </w:tcPr>
          <w:p w14:paraId="4D80652F" w14:textId="77777777" w:rsidR="009873B2" w:rsidRPr="0019790A" w:rsidRDefault="009873B2" w:rsidP="0019790A">
            <w:pPr>
              <w:jc w:val="both"/>
              <w:rPr>
                <w:rFonts w:cs="Arial"/>
                <w:color w:val="000000"/>
                <w:szCs w:val="22"/>
                <w:lang w:eastAsia="it-IT"/>
              </w:rPr>
            </w:pPr>
          </w:p>
        </w:tc>
        <w:tc>
          <w:tcPr>
            <w:tcW w:w="1365" w:type="dxa"/>
            <w:gridSpan w:val="3"/>
            <w:vAlign w:val="center"/>
          </w:tcPr>
          <w:p w14:paraId="098F6D32" w14:textId="77777777" w:rsidR="009873B2" w:rsidRPr="0019790A" w:rsidRDefault="009873B2" w:rsidP="0019790A">
            <w:pPr>
              <w:jc w:val="both"/>
              <w:rPr>
                <w:rFonts w:cs="Arial"/>
                <w:color w:val="000000"/>
                <w:szCs w:val="22"/>
                <w:lang w:eastAsia="it-IT"/>
              </w:rPr>
            </w:pPr>
          </w:p>
        </w:tc>
        <w:tc>
          <w:tcPr>
            <w:tcW w:w="1498" w:type="dxa"/>
            <w:vAlign w:val="center"/>
          </w:tcPr>
          <w:p w14:paraId="12A20814" w14:textId="77777777" w:rsidR="009873B2" w:rsidRPr="0019790A" w:rsidRDefault="009873B2" w:rsidP="0019790A">
            <w:pPr>
              <w:jc w:val="both"/>
              <w:rPr>
                <w:rFonts w:cs="Arial"/>
                <w:color w:val="000000"/>
                <w:szCs w:val="22"/>
                <w:lang w:eastAsia="it-IT"/>
              </w:rPr>
            </w:pPr>
          </w:p>
        </w:tc>
      </w:tr>
      <w:tr w:rsidR="009873B2" w:rsidRPr="0019790A" w14:paraId="1551A912" w14:textId="3387EF60" w:rsidTr="009873B2">
        <w:trPr>
          <w:trHeight w:val="275"/>
          <w:jc w:val="right"/>
        </w:trPr>
        <w:tc>
          <w:tcPr>
            <w:tcW w:w="3425" w:type="dxa"/>
            <w:shd w:val="clear" w:color="auto" w:fill="FFFFFF"/>
            <w:vAlign w:val="center"/>
          </w:tcPr>
          <w:p w14:paraId="36DF6CFB" w14:textId="77777777" w:rsidR="009873B2" w:rsidRPr="0019790A" w:rsidRDefault="009873B2" w:rsidP="009873B2">
            <w:pPr>
              <w:rPr>
                <w:rFonts w:cs="Arial"/>
                <w:color w:val="000000"/>
                <w:szCs w:val="22"/>
              </w:rPr>
            </w:pPr>
            <w:r w:rsidRPr="0019790A">
              <w:rPr>
                <w:rFonts w:cs="Arial"/>
                <w:color w:val="000000"/>
                <w:szCs w:val="22"/>
              </w:rPr>
              <w:t>- бюджет Жмеринської МТГ</w:t>
            </w:r>
          </w:p>
        </w:tc>
        <w:tc>
          <w:tcPr>
            <w:tcW w:w="1252" w:type="dxa"/>
            <w:vAlign w:val="center"/>
          </w:tcPr>
          <w:p w14:paraId="3464AD1B" w14:textId="2499DDF8" w:rsidR="009873B2" w:rsidRPr="0019790A" w:rsidRDefault="009873B2" w:rsidP="009873B2">
            <w:pPr>
              <w:jc w:val="both"/>
              <w:rPr>
                <w:rFonts w:cs="Arial"/>
                <w:color w:val="000000"/>
                <w:szCs w:val="22"/>
                <w:lang w:eastAsia="it-IT"/>
              </w:rPr>
            </w:pPr>
          </w:p>
        </w:tc>
        <w:tc>
          <w:tcPr>
            <w:tcW w:w="1277" w:type="dxa"/>
            <w:vAlign w:val="center"/>
          </w:tcPr>
          <w:p w14:paraId="12CE691B" w14:textId="77777777" w:rsidR="009873B2" w:rsidRPr="0019790A" w:rsidRDefault="009873B2" w:rsidP="009873B2">
            <w:pPr>
              <w:jc w:val="both"/>
              <w:rPr>
                <w:rFonts w:cs="Arial"/>
                <w:color w:val="000000"/>
                <w:szCs w:val="22"/>
                <w:lang w:eastAsia="it-IT"/>
              </w:rPr>
            </w:pPr>
          </w:p>
        </w:tc>
        <w:tc>
          <w:tcPr>
            <w:tcW w:w="1402" w:type="dxa"/>
            <w:vAlign w:val="center"/>
          </w:tcPr>
          <w:p w14:paraId="79D880AE" w14:textId="45330A25" w:rsidR="009873B2" w:rsidRPr="009873B2" w:rsidRDefault="009873B2" w:rsidP="009873B2">
            <w:pPr>
              <w:jc w:val="center"/>
              <w:rPr>
                <w:rFonts w:cs="Arial"/>
                <w:color w:val="000000"/>
                <w:szCs w:val="22"/>
                <w:lang w:eastAsia="it-IT"/>
              </w:rPr>
            </w:pPr>
            <w:r w:rsidRPr="009873B2">
              <w:rPr>
                <w:rFonts w:cs="Arial"/>
                <w:color w:val="000000"/>
                <w:szCs w:val="22"/>
                <w:lang w:eastAsia="it-IT"/>
              </w:rPr>
              <w:t>5000,0</w:t>
            </w:r>
          </w:p>
        </w:tc>
        <w:tc>
          <w:tcPr>
            <w:tcW w:w="1365" w:type="dxa"/>
            <w:gridSpan w:val="3"/>
            <w:vAlign w:val="center"/>
          </w:tcPr>
          <w:p w14:paraId="63590814" w14:textId="77777777" w:rsidR="009873B2" w:rsidRPr="009873B2" w:rsidRDefault="009873B2" w:rsidP="009873B2">
            <w:pPr>
              <w:jc w:val="center"/>
              <w:rPr>
                <w:rFonts w:cs="Arial"/>
                <w:color w:val="000000"/>
                <w:szCs w:val="22"/>
                <w:lang w:eastAsia="it-IT"/>
              </w:rPr>
            </w:pPr>
          </w:p>
        </w:tc>
        <w:tc>
          <w:tcPr>
            <w:tcW w:w="1498" w:type="dxa"/>
            <w:vAlign w:val="center"/>
          </w:tcPr>
          <w:p w14:paraId="00F7000F" w14:textId="5218F632" w:rsidR="009873B2" w:rsidRPr="009873B2" w:rsidRDefault="009873B2" w:rsidP="009873B2">
            <w:pPr>
              <w:jc w:val="center"/>
              <w:rPr>
                <w:rFonts w:cs="Arial"/>
                <w:color w:val="000000"/>
                <w:szCs w:val="22"/>
                <w:lang w:eastAsia="it-IT"/>
              </w:rPr>
            </w:pPr>
            <w:r w:rsidRPr="009873B2">
              <w:rPr>
                <w:rFonts w:cs="Arial"/>
                <w:color w:val="000000"/>
                <w:szCs w:val="22"/>
                <w:lang w:eastAsia="it-IT"/>
              </w:rPr>
              <w:t>5000,0</w:t>
            </w:r>
          </w:p>
        </w:tc>
      </w:tr>
      <w:tr w:rsidR="009873B2" w:rsidRPr="0019790A" w14:paraId="52AF6A85" w14:textId="43416218" w:rsidTr="009873B2">
        <w:trPr>
          <w:trHeight w:val="226"/>
          <w:jc w:val="right"/>
        </w:trPr>
        <w:tc>
          <w:tcPr>
            <w:tcW w:w="3425" w:type="dxa"/>
            <w:shd w:val="clear" w:color="auto" w:fill="FFFFFF"/>
            <w:vAlign w:val="center"/>
          </w:tcPr>
          <w:p w14:paraId="78CFDD38" w14:textId="77777777" w:rsidR="009873B2" w:rsidRPr="0019790A" w:rsidRDefault="009873B2" w:rsidP="009873B2">
            <w:pPr>
              <w:rPr>
                <w:rFonts w:cs="Arial"/>
                <w:color w:val="000000"/>
                <w:szCs w:val="22"/>
              </w:rPr>
            </w:pPr>
            <w:r w:rsidRPr="0019790A">
              <w:rPr>
                <w:rFonts w:cs="Arial"/>
                <w:color w:val="000000"/>
                <w:szCs w:val="22"/>
              </w:rPr>
              <w:t>- інші джерела фінансування</w:t>
            </w:r>
          </w:p>
        </w:tc>
        <w:tc>
          <w:tcPr>
            <w:tcW w:w="1252" w:type="dxa"/>
            <w:vAlign w:val="center"/>
          </w:tcPr>
          <w:p w14:paraId="5966AAB3" w14:textId="77777777" w:rsidR="009873B2" w:rsidRPr="0019790A" w:rsidRDefault="009873B2" w:rsidP="009873B2">
            <w:pPr>
              <w:jc w:val="both"/>
              <w:rPr>
                <w:rFonts w:cs="Arial"/>
                <w:color w:val="000000"/>
                <w:szCs w:val="22"/>
                <w:lang w:eastAsia="it-IT"/>
              </w:rPr>
            </w:pPr>
          </w:p>
        </w:tc>
        <w:tc>
          <w:tcPr>
            <w:tcW w:w="1277" w:type="dxa"/>
            <w:vAlign w:val="center"/>
          </w:tcPr>
          <w:p w14:paraId="79676FDD" w14:textId="77777777" w:rsidR="009873B2" w:rsidRPr="0019790A" w:rsidRDefault="009873B2" w:rsidP="009873B2">
            <w:pPr>
              <w:jc w:val="both"/>
              <w:rPr>
                <w:rFonts w:cs="Arial"/>
                <w:color w:val="000000"/>
                <w:szCs w:val="22"/>
                <w:lang w:eastAsia="it-IT"/>
              </w:rPr>
            </w:pPr>
          </w:p>
        </w:tc>
        <w:tc>
          <w:tcPr>
            <w:tcW w:w="1402" w:type="dxa"/>
            <w:vAlign w:val="center"/>
          </w:tcPr>
          <w:p w14:paraId="2FC57485" w14:textId="77777777" w:rsidR="009873B2" w:rsidRPr="0019790A" w:rsidRDefault="009873B2" w:rsidP="009873B2">
            <w:pPr>
              <w:jc w:val="both"/>
              <w:rPr>
                <w:rFonts w:cs="Arial"/>
                <w:color w:val="000000"/>
                <w:szCs w:val="22"/>
                <w:lang w:eastAsia="it-IT"/>
              </w:rPr>
            </w:pPr>
          </w:p>
        </w:tc>
        <w:tc>
          <w:tcPr>
            <w:tcW w:w="1365" w:type="dxa"/>
            <w:gridSpan w:val="3"/>
            <w:vAlign w:val="center"/>
          </w:tcPr>
          <w:p w14:paraId="5CEAF425" w14:textId="77777777" w:rsidR="009873B2" w:rsidRPr="0019790A" w:rsidRDefault="009873B2" w:rsidP="009873B2">
            <w:pPr>
              <w:jc w:val="both"/>
              <w:rPr>
                <w:rFonts w:cs="Arial"/>
                <w:color w:val="000000"/>
                <w:szCs w:val="22"/>
                <w:lang w:eastAsia="it-IT"/>
              </w:rPr>
            </w:pPr>
          </w:p>
        </w:tc>
        <w:tc>
          <w:tcPr>
            <w:tcW w:w="1498" w:type="dxa"/>
            <w:vAlign w:val="center"/>
          </w:tcPr>
          <w:p w14:paraId="3E5D079D" w14:textId="77777777" w:rsidR="009873B2" w:rsidRPr="0019790A" w:rsidRDefault="009873B2" w:rsidP="009873B2">
            <w:pPr>
              <w:jc w:val="both"/>
              <w:rPr>
                <w:rFonts w:cs="Arial"/>
                <w:color w:val="000000"/>
                <w:szCs w:val="22"/>
                <w:lang w:eastAsia="it-IT"/>
              </w:rPr>
            </w:pPr>
          </w:p>
        </w:tc>
      </w:tr>
      <w:tr w:rsidR="009873B2" w:rsidRPr="0019790A" w14:paraId="0BE7AA2E" w14:textId="77777777" w:rsidTr="00CF3AAE">
        <w:trPr>
          <w:jc w:val="right"/>
        </w:trPr>
        <w:tc>
          <w:tcPr>
            <w:tcW w:w="3425" w:type="dxa"/>
            <w:shd w:val="clear" w:color="auto" w:fill="FFFFFF"/>
            <w:vAlign w:val="center"/>
          </w:tcPr>
          <w:p w14:paraId="2E9653D3" w14:textId="77777777" w:rsidR="009873B2" w:rsidRPr="0019790A" w:rsidRDefault="009873B2" w:rsidP="009873B2">
            <w:pPr>
              <w:rPr>
                <w:rFonts w:cs="Arial"/>
                <w:b/>
                <w:bCs/>
                <w:color w:val="000000"/>
                <w:szCs w:val="22"/>
              </w:rPr>
            </w:pPr>
            <w:r w:rsidRPr="0019790A">
              <w:rPr>
                <w:rFonts w:cs="Arial"/>
                <w:b/>
                <w:color w:val="000000"/>
                <w:szCs w:val="22"/>
              </w:rPr>
              <w:t>Відповідальний виконавець проєкту:</w:t>
            </w:r>
          </w:p>
        </w:tc>
        <w:tc>
          <w:tcPr>
            <w:tcW w:w="6794" w:type="dxa"/>
            <w:gridSpan w:val="7"/>
            <w:vAlign w:val="center"/>
          </w:tcPr>
          <w:p w14:paraId="581A8185" w14:textId="77777777" w:rsidR="009873B2" w:rsidRPr="0019790A" w:rsidRDefault="009873B2" w:rsidP="009873B2">
            <w:pPr>
              <w:jc w:val="both"/>
              <w:rPr>
                <w:rFonts w:cs="Arial"/>
                <w:color w:val="000000"/>
                <w:szCs w:val="22"/>
                <w:lang w:eastAsia="it-IT"/>
              </w:rPr>
            </w:pPr>
            <w:r w:rsidRPr="0019790A">
              <w:rPr>
                <w:rFonts w:cs="Arial"/>
                <w:color w:val="000000"/>
                <w:szCs w:val="22"/>
                <w:lang w:eastAsia="it-IT"/>
              </w:rPr>
              <w:t>Управління житлово-комунального господарства Жмеринської міської ради</w:t>
            </w:r>
          </w:p>
        </w:tc>
      </w:tr>
      <w:tr w:rsidR="009873B2" w:rsidRPr="0019790A" w14:paraId="67ABB2F7" w14:textId="77777777" w:rsidTr="00CF3AAE">
        <w:trPr>
          <w:jc w:val="right"/>
        </w:trPr>
        <w:tc>
          <w:tcPr>
            <w:tcW w:w="3425" w:type="dxa"/>
            <w:shd w:val="clear" w:color="auto" w:fill="FFFFFF"/>
            <w:vAlign w:val="center"/>
          </w:tcPr>
          <w:p w14:paraId="5178588A" w14:textId="77777777" w:rsidR="009873B2" w:rsidRPr="0019790A" w:rsidRDefault="009873B2" w:rsidP="009873B2">
            <w:pPr>
              <w:rPr>
                <w:rFonts w:cs="Arial"/>
                <w:b/>
                <w:bCs/>
                <w:color w:val="000000"/>
                <w:szCs w:val="22"/>
              </w:rPr>
            </w:pPr>
            <w:r w:rsidRPr="0019790A">
              <w:rPr>
                <w:rFonts w:cs="Arial"/>
                <w:b/>
                <w:bCs/>
                <w:color w:val="000000"/>
                <w:szCs w:val="22"/>
              </w:rPr>
              <w:t>Інше:</w:t>
            </w:r>
          </w:p>
        </w:tc>
        <w:tc>
          <w:tcPr>
            <w:tcW w:w="6794" w:type="dxa"/>
            <w:gridSpan w:val="7"/>
            <w:vAlign w:val="center"/>
          </w:tcPr>
          <w:p w14:paraId="10E977F5" w14:textId="77777777" w:rsidR="009873B2" w:rsidRPr="0019790A" w:rsidRDefault="009873B2" w:rsidP="009873B2">
            <w:pPr>
              <w:rPr>
                <w:rFonts w:cs="Arial"/>
                <w:color w:val="000000"/>
                <w:szCs w:val="22"/>
                <w:lang w:eastAsia="it-IT"/>
              </w:rPr>
            </w:pPr>
          </w:p>
        </w:tc>
      </w:tr>
    </w:tbl>
    <w:p w14:paraId="40FD9A14" w14:textId="77777777" w:rsidR="005342D5" w:rsidRPr="0019790A" w:rsidRDefault="005342D5" w:rsidP="0019790A">
      <w:pPr>
        <w:rPr>
          <w:rFonts w:cs="Arial"/>
          <w:szCs w:val="22"/>
        </w:rPr>
      </w:pPr>
    </w:p>
    <w:p w14:paraId="6FD8F37F" w14:textId="77777777" w:rsidR="005342D5" w:rsidRPr="0019790A" w:rsidRDefault="005342D5" w:rsidP="0019790A">
      <w:pPr>
        <w:rPr>
          <w:rFonts w:cs="Arial"/>
          <w:szCs w:val="22"/>
        </w:rPr>
      </w:pPr>
    </w:p>
    <w:p w14:paraId="78E4956A" w14:textId="77777777" w:rsidR="005342D5" w:rsidRPr="0019790A" w:rsidRDefault="005342D5" w:rsidP="0019790A">
      <w:pPr>
        <w:jc w:val="center"/>
        <w:rPr>
          <w:rFonts w:cs="Arial"/>
          <w:b/>
          <w:szCs w:val="22"/>
        </w:rPr>
      </w:pPr>
      <w:r w:rsidRPr="0019790A">
        <w:rPr>
          <w:rFonts w:cs="Arial"/>
          <w:b/>
          <w:szCs w:val="22"/>
        </w:rPr>
        <w:t>Форма технічного завдання на проєкт місцевого розвитку</w:t>
      </w:r>
    </w:p>
    <w:p w14:paraId="7444F7F2" w14:textId="77777777" w:rsidR="005342D5" w:rsidRPr="0019790A" w:rsidRDefault="005342D5" w:rsidP="0019790A">
      <w:pPr>
        <w:jc w:val="center"/>
        <w:rPr>
          <w:rFonts w:cs="Arial"/>
          <w:b/>
          <w:szCs w:val="22"/>
        </w:rPr>
      </w:pPr>
      <w:r w:rsidRPr="0019790A">
        <w:rPr>
          <w:rFonts w:cs="Arial"/>
          <w:b/>
          <w:szCs w:val="22"/>
        </w:rPr>
        <w:t>до Плану заходів з реалізації Стратегії</w:t>
      </w:r>
    </w:p>
    <w:p w14:paraId="14E8E33F" w14:textId="77777777" w:rsidR="005342D5" w:rsidRPr="0019790A" w:rsidRDefault="005342D5"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27"/>
        <w:gridCol w:w="27"/>
        <w:gridCol w:w="1238"/>
        <w:gridCol w:w="37"/>
        <w:gridCol w:w="1390"/>
        <w:gridCol w:w="28"/>
        <w:gridCol w:w="1276"/>
        <w:gridCol w:w="11"/>
        <w:gridCol w:w="1560"/>
      </w:tblGrid>
      <w:tr w:rsidR="005342D5" w:rsidRPr="0019790A" w14:paraId="172585A7" w14:textId="77777777" w:rsidTr="00CF3AAE">
        <w:trPr>
          <w:jc w:val="right"/>
        </w:trPr>
        <w:tc>
          <w:tcPr>
            <w:tcW w:w="3425" w:type="dxa"/>
            <w:vAlign w:val="center"/>
          </w:tcPr>
          <w:p w14:paraId="4562A3C1" w14:textId="77777777" w:rsidR="005342D5" w:rsidRPr="0019790A" w:rsidRDefault="005342D5" w:rsidP="0019790A">
            <w:pPr>
              <w:rPr>
                <w:rFonts w:cs="Arial"/>
                <w:b/>
                <w:bCs/>
                <w:szCs w:val="22"/>
              </w:rPr>
            </w:pPr>
            <w:r w:rsidRPr="0019790A">
              <w:rPr>
                <w:rFonts w:cs="Arial"/>
                <w:b/>
                <w:bCs/>
                <w:szCs w:val="22"/>
              </w:rPr>
              <w:t>Назва проєкту:</w:t>
            </w:r>
          </w:p>
        </w:tc>
        <w:tc>
          <w:tcPr>
            <w:tcW w:w="6794" w:type="dxa"/>
            <w:gridSpan w:val="9"/>
          </w:tcPr>
          <w:p w14:paraId="743101F8" w14:textId="77777777" w:rsidR="005342D5" w:rsidRPr="0019790A" w:rsidRDefault="005342D5" w:rsidP="009873B2">
            <w:pPr>
              <w:jc w:val="both"/>
              <w:rPr>
                <w:rFonts w:cs="Arial"/>
                <w:szCs w:val="22"/>
              </w:rPr>
            </w:pPr>
            <w:r w:rsidRPr="0019790A">
              <w:rPr>
                <w:rFonts w:cs="Arial"/>
                <w:b/>
                <w:bCs/>
                <w:szCs w:val="22"/>
              </w:rPr>
              <w:t>Вуличний багатофункціональний спортивно-оздоровчий простір з гумовим або штучним покриттям у мікрорайоні «Сектор»</w:t>
            </w:r>
          </w:p>
        </w:tc>
      </w:tr>
      <w:tr w:rsidR="005342D5" w:rsidRPr="0019790A" w14:paraId="406125D4" w14:textId="77777777" w:rsidTr="009873B2">
        <w:trPr>
          <w:jc w:val="right"/>
        </w:trPr>
        <w:tc>
          <w:tcPr>
            <w:tcW w:w="3425" w:type="dxa"/>
          </w:tcPr>
          <w:p w14:paraId="15850334" w14:textId="77777777" w:rsidR="005342D5" w:rsidRPr="0019790A" w:rsidRDefault="005342D5" w:rsidP="0019790A">
            <w:pPr>
              <w:rPr>
                <w:rFonts w:cs="Arial"/>
                <w:szCs w:val="22"/>
              </w:rPr>
            </w:pPr>
            <w:r w:rsidRPr="0019790A">
              <w:rPr>
                <w:rFonts w:cs="Arial"/>
                <w:b/>
                <w:bCs/>
                <w:szCs w:val="22"/>
              </w:rPr>
              <w:t>Ваші контакти</w:t>
            </w:r>
            <w:r w:rsidRPr="0019790A">
              <w:rPr>
                <w:rFonts w:cs="Arial"/>
                <w:szCs w:val="22"/>
              </w:rPr>
              <w:t>:</w:t>
            </w:r>
          </w:p>
          <w:p w14:paraId="2AD8A9D3" w14:textId="77777777" w:rsidR="005342D5" w:rsidRPr="0019790A" w:rsidRDefault="005342D5" w:rsidP="0019790A">
            <w:pPr>
              <w:rPr>
                <w:rFonts w:cs="Arial"/>
                <w:b/>
                <w:bCs/>
                <w:szCs w:val="22"/>
              </w:rPr>
            </w:pPr>
            <w:r w:rsidRPr="0019790A">
              <w:rPr>
                <w:rFonts w:cs="Arial"/>
                <w:szCs w:val="22"/>
              </w:rPr>
              <w:t>Назва установи, організації, підприємства</w:t>
            </w:r>
          </w:p>
        </w:tc>
        <w:tc>
          <w:tcPr>
            <w:tcW w:w="6794" w:type="dxa"/>
            <w:gridSpan w:val="9"/>
            <w:vAlign w:val="center"/>
          </w:tcPr>
          <w:p w14:paraId="54F7C583" w14:textId="77777777" w:rsidR="005342D5" w:rsidRPr="0019790A" w:rsidRDefault="005342D5" w:rsidP="009873B2">
            <w:pPr>
              <w:rPr>
                <w:rFonts w:cs="Arial"/>
                <w:szCs w:val="22"/>
              </w:rPr>
            </w:pPr>
            <w:r w:rsidRPr="0019790A">
              <w:rPr>
                <w:rFonts w:cs="Arial"/>
                <w:szCs w:val="22"/>
              </w:rPr>
              <w:t>Відділ молоді та спорту Жмеринської міської ради</w:t>
            </w:r>
          </w:p>
        </w:tc>
      </w:tr>
      <w:tr w:rsidR="005342D5" w:rsidRPr="0019790A" w14:paraId="2E809E7D" w14:textId="77777777" w:rsidTr="00CF3AAE">
        <w:trPr>
          <w:jc w:val="right"/>
        </w:trPr>
        <w:tc>
          <w:tcPr>
            <w:tcW w:w="3425" w:type="dxa"/>
          </w:tcPr>
          <w:p w14:paraId="69F51DCA" w14:textId="77777777" w:rsidR="005342D5" w:rsidRPr="0019790A" w:rsidRDefault="005342D5" w:rsidP="0019790A">
            <w:pPr>
              <w:rPr>
                <w:rFonts w:cs="Arial"/>
                <w:b/>
                <w:bCs/>
                <w:szCs w:val="22"/>
              </w:rPr>
            </w:pPr>
            <w:r w:rsidRPr="0019790A">
              <w:rPr>
                <w:rFonts w:cs="Arial"/>
                <w:szCs w:val="22"/>
              </w:rPr>
              <w:t>Прізвище Ім’я По-батькові:</w:t>
            </w:r>
          </w:p>
        </w:tc>
        <w:tc>
          <w:tcPr>
            <w:tcW w:w="6794" w:type="dxa"/>
            <w:gridSpan w:val="9"/>
          </w:tcPr>
          <w:p w14:paraId="7B84BE2C" w14:textId="77777777" w:rsidR="005342D5" w:rsidRPr="0019790A" w:rsidRDefault="005342D5" w:rsidP="0019790A">
            <w:pPr>
              <w:rPr>
                <w:rFonts w:cs="Arial"/>
                <w:szCs w:val="22"/>
              </w:rPr>
            </w:pPr>
            <w:r w:rsidRPr="0019790A">
              <w:rPr>
                <w:rFonts w:cs="Arial"/>
                <w:szCs w:val="22"/>
              </w:rPr>
              <w:t>Ковальська Олена Віталіївна</w:t>
            </w:r>
          </w:p>
        </w:tc>
      </w:tr>
      <w:tr w:rsidR="005342D5" w:rsidRPr="0019790A" w14:paraId="574D7D3D" w14:textId="77777777" w:rsidTr="00CF3AAE">
        <w:trPr>
          <w:jc w:val="right"/>
        </w:trPr>
        <w:tc>
          <w:tcPr>
            <w:tcW w:w="3425" w:type="dxa"/>
          </w:tcPr>
          <w:p w14:paraId="174CE8AB" w14:textId="77777777" w:rsidR="005342D5" w:rsidRPr="0019790A" w:rsidRDefault="005342D5" w:rsidP="0019790A">
            <w:pPr>
              <w:rPr>
                <w:rFonts w:cs="Arial"/>
                <w:b/>
                <w:bCs/>
                <w:szCs w:val="22"/>
              </w:rPr>
            </w:pPr>
            <w:r w:rsidRPr="0019790A">
              <w:rPr>
                <w:rFonts w:cs="Arial"/>
                <w:szCs w:val="22"/>
              </w:rPr>
              <w:t>Телефон (мобільний):</w:t>
            </w:r>
          </w:p>
        </w:tc>
        <w:tc>
          <w:tcPr>
            <w:tcW w:w="6794" w:type="dxa"/>
            <w:gridSpan w:val="9"/>
          </w:tcPr>
          <w:p w14:paraId="7C86B7FE" w14:textId="77777777" w:rsidR="005342D5" w:rsidRPr="0019790A" w:rsidRDefault="005342D5" w:rsidP="0019790A">
            <w:pPr>
              <w:rPr>
                <w:rFonts w:cs="Arial"/>
                <w:szCs w:val="22"/>
              </w:rPr>
            </w:pPr>
            <w:r w:rsidRPr="0019790A">
              <w:rPr>
                <w:rFonts w:cs="Arial"/>
                <w:szCs w:val="22"/>
              </w:rPr>
              <w:t>096-068-94-79</w:t>
            </w:r>
          </w:p>
        </w:tc>
      </w:tr>
      <w:tr w:rsidR="005342D5" w:rsidRPr="0019790A" w14:paraId="48D92859" w14:textId="77777777" w:rsidTr="00CF3AAE">
        <w:trPr>
          <w:jc w:val="right"/>
        </w:trPr>
        <w:tc>
          <w:tcPr>
            <w:tcW w:w="3425" w:type="dxa"/>
          </w:tcPr>
          <w:p w14:paraId="52CA71A3" w14:textId="77777777" w:rsidR="005342D5" w:rsidRPr="0019790A" w:rsidRDefault="005342D5" w:rsidP="0019790A">
            <w:pPr>
              <w:rPr>
                <w:rFonts w:cs="Arial"/>
                <w:b/>
                <w:bCs/>
                <w:szCs w:val="22"/>
              </w:rPr>
            </w:pPr>
            <w:r w:rsidRPr="0019790A">
              <w:rPr>
                <w:rFonts w:cs="Arial"/>
                <w:szCs w:val="22"/>
              </w:rPr>
              <w:t>Електронна адреса:</w:t>
            </w:r>
          </w:p>
        </w:tc>
        <w:tc>
          <w:tcPr>
            <w:tcW w:w="6794" w:type="dxa"/>
            <w:gridSpan w:val="9"/>
          </w:tcPr>
          <w:p w14:paraId="3B766A4F" w14:textId="77777777" w:rsidR="005342D5" w:rsidRPr="0019790A" w:rsidRDefault="00D85FFD" w:rsidP="0019790A">
            <w:pPr>
              <w:rPr>
                <w:rFonts w:cs="Arial"/>
                <w:szCs w:val="22"/>
              </w:rPr>
            </w:pPr>
            <w:hyperlink r:id="rId146" w:history="1">
              <w:r w:rsidR="005342D5" w:rsidRPr="0019790A">
                <w:rPr>
                  <w:rStyle w:val="af0"/>
                  <w:rFonts w:cs="Arial"/>
                  <w:b/>
                  <w:bCs/>
                  <w:noProof w:val="0"/>
                  <w:sz w:val="22"/>
                  <w:szCs w:val="22"/>
                </w:rPr>
                <w:t>ms@zhmr.gov.ua</w:t>
              </w:r>
            </w:hyperlink>
          </w:p>
        </w:tc>
      </w:tr>
      <w:tr w:rsidR="005342D5" w:rsidRPr="0019790A" w14:paraId="3D058B7D" w14:textId="77777777" w:rsidTr="009873B2">
        <w:trPr>
          <w:jc w:val="right"/>
        </w:trPr>
        <w:tc>
          <w:tcPr>
            <w:tcW w:w="3425" w:type="dxa"/>
            <w:vAlign w:val="center"/>
          </w:tcPr>
          <w:p w14:paraId="4DEDBB64" w14:textId="77777777" w:rsidR="005342D5" w:rsidRPr="0019790A" w:rsidRDefault="005342D5" w:rsidP="0019790A">
            <w:pPr>
              <w:rPr>
                <w:rFonts w:cs="Arial"/>
                <w:b/>
                <w:bCs/>
                <w:szCs w:val="22"/>
              </w:rPr>
            </w:pPr>
            <w:r w:rsidRPr="0019790A">
              <w:rPr>
                <w:rFonts w:cs="Arial"/>
                <w:b/>
                <w:bCs/>
                <w:szCs w:val="22"/>
              </w:rPr>
              <w:t>Номер і назва завдання з Стратегії розвитку Жмеринської міської територіальної громади,  якому відповідає проєкт:</w:t>
            </w:r>
          </w:p>
        </w:tc>
        <w:tc>
          <w:tcPr>
            <w:tcW w:w="6794" w:type="dxa"/>
            <w:gridSpan w:val="9"/>
            <w:vAlign w:val="center"/>
          </w:tcPr>
          <w:p w14:paraId="7DC9AD2D" w14:textId="3D847212" w:rsidR="005342D5" w:rsidRPr="0019790A" w:rsidRDefault="005342D5" w:rsidP="009873B2">
            <w:pPr>
              <w:rPr>
                <w:rFonts w:cs="Arial"/>
                <w:szCs w:val="22"/>
              </w:rPr>
            </w:pPr>
            <w:r w:rsidRPr="009873B2">
              <w:rPr>
                <w:rFonts w:cs="Arial"/>
                <w:bCs/>
                <w:szCs w:val="22"/>
              </w:rPr>
              <w:t>С.3.4.2. Будівництво, реконструкція інфраструктури спорту з урахуванням гендерного аспекту</w:t>
            </w:r>
          </w:p>
        </w:tc>
      </w:tr>
      <w:tr w:rsidR="005342D5" w:rsidRPr="0019790A" w14:paraId="7D6FF1CE" w14:textId="77777777" w:rsidTr="009873B2">
        <w:trPr>
          <w:jc w:val="right"/>
        </w:trPr>
        <w:tc>
          <w:tcPr>
            <w:tcW w:w="3425" w:type="dxa"/>
            <w:vAlign w:val="center"/>
          </w:tcPr>
          <w:p w14:paraId="18C502DE" w14:textId="77777777" w:rsidR="005342D5" w:rsidRPr="0019790A" w:rsidRDefault="005342D5" w:rsidP="0019790A">
            <w:pPr>
              <w:rPr>
                <w:rFonts w:cs="Arial"/>
                <w:b/>
                <w:bCs/>
                <w:szCs w:val="22"/>
              </w:rPr>
            </w:pPr>
            <w:r w:rsidRPr="0019790A">
              <w:rPr>
                <w:rFonts w:cs="Arial"/>
                <w:b/>
                <w:bCs/>
                <w:szCs w:val="22"/>
              </w:rPr>
              <w:t>Мета проєкту:</w:t>
            </w:r>
          </w:p>
        </w:tc>
        <w:tc>
          <w:tcPr>
            <w:tcW w:w="6794" w:type="dxa"/>
            <w:gridSpan w:val="9"/>
            <w:vAlign w:val="center"/>
          </w:tcPr>
          <w:p w14:paraId="590BCAED" w14:textId="77777777" w:rsidR="005342D5" w:rsidRPr="0019790A" w:rsidRDefault="005342D5" w:rsidP="009873B2">
            <w:pPr>
              <w:rPr>
                <w:rFonts w:cs="Arial"/>
                <w:szCs w:val="22"/>
              </w:rPr>
            </w:pPr>
            <w:r w:rsidRPr="0019790A">
              <w:rPr>
                <w:rFonts w:cs="Arial"/>
                <w:szCs w:val="22"/>
              </w:rPr>
              <w:t>Створення інклюзивного, безпечного та багатофункціонального спортивного середовища, яке сприятиме підвищенню рівня фізичної активності та самореалізації мешканців різного віку через доступ до якісної спортивної інфраструктури</w:t>
            </w:r>
          </w:p>
          <w:p w14:paraId="3474BC7E" w14:textId="77777777" w:rsidR="005342D5" w:rsidRPr="0019790A" w:rsidRDefault="005342D5" w:rsidP="009873B2">
            <w:pPr>
              <w:rPr>
                <w:rFonts w:cs="Arial"/>
                <w:szCs w:val="22"/>
              </w:rPr>
            </w:pPr>
          </w:p>
        </w:tc>
      </w:tr>
      <w:tr w:rsidR="005342D5" w:rsidRPr="0019790A" w14:paraId="262D52B8" w14:textId="77777777" w:rsidTr="009873B2">
        <w:trPr>
          <w:jc w:val="right"/>
        </w:trPr>
        <w:tc>
          <w:tcPr>
            <w:tcW w:w="3425" w:type="dxa"/>
            <w:vAlign w:val="center"/>
          </w:tcPr>
          <w:p w14:paraId="4A9C6957" w14:textId="77777777" w:rsidR="005342D5" w:rsidRPr="0019790A" w:rsidRDefault="005342D5" w:rsidP="0019790A">
            <w:pPr>
              <w:rPr>
                <w:rFonts w:cs="Arial"/>
                <w:b/>
                <w:bCs/>
                <w:szCs w:val="22"/>
              </w:rPr>
            </w:pPr>
            <w:r w:rsidRPr="0019790A">
              <w:rPr>
                <w:rFonts w:cs="Arial"/>
                <w:b/>
                <w:bCs/>
                <w:szCs w:val="22"/>
              </w:rPr>
              <w:t>Цілі проєкту:</w:t>
            </w:r>
          </w:p>
        </w:tc>
        <w:tc>
          <w:tcPr>
            <w:tcW w:w="6794" w:type="dxa"/>
            <w:gridSpan w:val="9"/>
            <w:vAlign w:val="center"/>
          </w:tcPr>
          <w:p w14:paraId="6D821208" w14:textId="77777777" w:rsidR="005342D5" w:rsidRPr="0019790A" w:rsidRDefault="005342D5" w:rsidP="009873B2">
            <w:pPr>
              <w:rPr>
                <w:rFonts w:cs="Arial"/>
                <w:szCs w:val="22"/>
              </w:rPr>
            </w:pPr>
            <w:r w:rsidRPr="0019790A">
              <w:rPr>
                <w:rFonts w:cs="Arial"/>
                <w:szCs w:val="22"/>
              </w:rPr>
              <w:t>1. Забезпечення рівного доступу до якісної спортивної інфраструктури для мешканців громади незалежно від віку, фізичних можливостей та соціального статусу.</w:t>
            </w:r>
          </w:p>
          <w:p w14:paraId="31FABE89" w14:textId="77777777" w:rsidR="005342D5" w:rsidRPr="0019790A" w:rsidRDefault="005342D5" w:rsidP="009873B2">
            <w:pPr>
              <w:rPr>
                <w:rFonts w:cs="Arial"/>
                <w:szCs w:val="22"/>
              </w:rPr>
            </w:pPr>
            <w:r w:rsidRPr="0019790A">
              <w:rPr>
                <w:rFonts w:cs="Arial"/>
                <w:szCs w:val="22"/>
              </w:rPr>
              <w:t>2. Формування безпечного, інклюзивного спортивного середовища, придатного для занять як ігровими, так і силовими видами спорту (футбол, баскетбол, волейбол, тренажери).</w:t>
            </w:r>
          </w:p>
          <w:p w14:paraId="7B6C4A88" w14:textId="77777777" w:rsidR="005342D5" w:rsidRPr="0019790A" w:rsidRDefault="005342D5" w:rsidP="009873B2">
            <w:pPr>
              <w:rPr>
                <w:rFonts w:cs="Arial"/>
                <w:szCs w:val="22"/>
              </w:rPr>
            </w:pPr>
            <w:r w:rsidRPr="0019790A">
              <w:rPr>
                <w:rFonts w:cs="Arial"/>
                <w:szCs w:val="22"/>
              </w:rPr>
              <w:t>3. Сприяння підвищенню рівня фізичної активності та здоров’я населення шляхом створення умов для регулярних занять спортом на відкритому повітрі.</w:t>
            </w:r>
          </w:p>
          <w:p w14:paraId="04744F87" w14:textId="77777777" w:rsidR="005342D5" w:rsidRPr="0019790A" w:rsidRDefault="005342D5" w:rsidP="009873B2">
            <w:pPr>
              <w:rPr>
                <w:rFonts w:cs="Arial"/>
                <w:szCs w:val="22"/>
              </w:rPr>
            </w:pPr>
            <w:r w:rsidRPr="0019790A">
              <w:rPr>
                <w:rFonts w:cs="Arial"/>
                <w:szCs w:val="22"/>
              </w:rPr>
              <w:t>4.  Розширення можливостей самореалізації та соціальної взаємодії мешканців, зокрема молоді, людей з інвалідністю та літніх осіб, через заняття спортом, участь у змаганнях і громадських ініціативах.</w:t>
            </w:r>
          </w:p>
          <w:p w14:paraId="7D1B94ED" w14:textId="77777777" w:rsidR="005342D5" w:rsidRPr="0019790A" w:rsidRDefault="005342D5" w:rsidP="009873B2">
            <w:pPr>
              <w:rPr>
                <w:rFonts w:cs="Arial"/>
                <w:szCs w:val="22"/>
              </w:rPr>
            </w:pPr>
            <w:r w:rsidRPr="0019790A">
              <w:rPr>
                <w:rFonts w:cs="Arial"/>
                <w:szCs w:val="22"/>
              </w:rPr>
              <w:t>5  Забезпечення інтеграції спортивного майданчика у громадський простір як осередку здорового дозвілля, освітньої та виховної діяльності.</w:t>
            </w:r>
          </w:p>
        </w:tc>
      </w:tr>
      <w:tr w:rsidR="005342D5" w:rsidRPr="0019790A" w14:paraId="4FFF2D12" w14:textId="77777777" w:rsidTr="009873B2">
        <w:trPr>
          <w:jc w:val="right"/>
        </w:trPr>
        <w:tc>
          <w:tcPr>
            <w:tcW w:w="3425" w:type="dxa"/>
            <w:vAlign w:val="center"/>
          </w:tcPr>
          <w:p w14:paraId="33CB11D2" w14:textId="77777777" w:rsidR="005342D5" w:rsidRPr="0019790A" w:rsidRDefault="005342D5" w:rsidP="0019790A">
            <w:pPr>
              <w:rPr>
                <w:rFonts w:cs="Arial"/>
                <w:b/>
                <w:szCs w:val="22"/>
              </w:rPr>
            </w:pPr>
            <w:r w:rsidRPr="0019790A">
              <w:rPr>
                <w:rFonts w:cs="Arial"/>
                <w:b/>
                <w:szCs w:val="22"/>
              </w:rPr>
              <w:t>Територія на яку проєкт матиме вплив:</w:t>
            </w:r>
          </w:p>
        </w:tc>
        <w:tc>
          <w:tcPr>
            <w:tcW w:w="6794" w:type="dxa"/>
            <w:gridSpan w:val="9"/>
            <w:vAlign w:val="center"/>
          </w:tcPr>
          <w:p w14:paraId="107768E1" w14:textId="77777777" w:rsidR="005342D5" w:rsidRPr="0019790A" w:rsidRDefault="005342D5" w:rsidP="009873B2">
            <w:pPr>
              <w:rPr>
                <w:rFonts w:cs="Arial"/>
                <w:szCs w:val="22"/>
              </w:rPr>
            </w:pPr>
            <w:r w:rsidRPr="0019790A">
              <w:rPr>
                <w:rFonts w:cs="Arial"/>
                <w:szCs w:val="22"/>
              </w:rPr>
              <w:t>Жмеринська міська територіальна громада</w:t>
            </w:r>
          </w:p>
        </w:tc>
      </w:tr>
      <w:tr w:rsidR="005342D5" w:rsidRPr="0019790A" w14:paraId="0E9CE5A8" w14:textId="77777777" w:rsidTr="009873B2">
        <w:trPr>
          <w:jc w:val="right"/>
        </w:trPr>
        <w:tc>
          <w:tcPr>
            <w:tcW w:w="3425" w:type="dxa"/>
            <w:vAlign w:val="center"/>
          </w:tcPr>
          <w:p w14:paraId="0B70E143" w14:textId="77777777" w:rsidR="005342D5" w:rsidRPr="0019790A" w:rsidRDefault="005342D5" w:rsidP="0019790A">
            <w:pPr>
              <w:rPr>
                <w:rFonts w:cs="Arial"/>
                <w:b/>
                <w:szCs w:val="22"/>
              </w:rPr>
            </w:pPr>
            <w:r w:rsidRPr="0019790A">
              <w:rPr>
                <w:rFonts w:cs="Arial"/>
                <w:b/>
                <w:szCs w:val="22"/>
              </w:rPr>
              <w:t>Цільові групи проєкту та кількість отримувачів вигоди</w:t>
            </w:r>
          </w:p>
        </w:tc>
        <w:tc>
          <w:tcPr>
            <w:tcW w:w="6794" w:type="dxa"/>
            <w:gridSpan w:val="9"/>
            <w:vAlign w:val="center"/>
          </w:tcPr>
          <w:p w14:paraId="047E7307" w14:textId="0D5AA066" w:rsidR="005342D5" w:rsidRPr="0019790A" w:rsidRDefault="005342D5" w:rsidP="009873B2">
            <w:pPr>
              <w:rPr>
                <w:rFonts w:cs="Arial"/>
                <w:szCs w:val="22"/>
              </w:rPr>
            </w:pPr>
            <w:r w:rsidRPr="0019790A">
              <w:rPr>
                <w:rFonts w:cs="Arial"/>
                <w:szCs w:val="22"/>
              </w:rPr>
              <w:t>Діти та підлітки (6–17 років)</w:t>
            </w:r>
            <w:r w:rsidRPr="0019790A">
              <w:rPr>
                <w:rFonts w:cs="Arial"/>
                <w:szCs w:val="22"/>
              </w:rPr>
              <w:tab/>
              <w:t xml:space="preserve">- </w:t>
            </w:r>
            <w:r w:rsidR="009873B2" w:rsidRPr="0019790A">
              <w:rPr>
                <w:rFonts w:cs="Arial"/>
                <w:szCs w:val="22"/>
              </w:rPr>
              <w:t>фізичний</w:t>
            </w:r>
            <w:r w:rsidRPr="0019790A">
              <w:rPr>
                <w:rFonts w:cs="Arial"/>
                <w:szCs w:val="22"/>
              </w:rPr>
              <w:t xml:space="preserve"> розвиток, ігри, секції, командна взаємодія.</w:t>
            </w:r>
          </w:p>
          <w:p w14:paraId="020F830D" w14:textId="77777777" w:rsidR="005342D5" w:rsidRPr="0019790A" w:rsidRDefault="005342D5" w:rsidP="009873B2">
            <w:pPr>
              <w:rPr>
                <w:rFonts w:cs="Arial"/>
                <w:szCs w:val="22"/>
              </w:rPr>
            </w:pPr>
            <w:r w:rsidRPr="0019790A">
              <w:rPr>
                <w:rFonts w:cs="Arial"/>
                <w:szCs w:val="22"/>
              </w:rPr>
              <w:t>Молодь (18–25 років) - активний спосіб життя, аматорський спорт, турніри.</w:t>
            </w:r>
          </w:p>
          <w:p w14:paraId="28234358" w14:textId="77777777" w:rsidR="005342D5" w:rsidRPr="0019790A" w:rsidRDefault="005342D5" w:rsidP="009873B2">
            <w:pPr>
              <w:rPr>
                <w:rFonts w:cs="Arial"/>
                <w:szCs w:val="22"/>
              </w:rPr>
            </w:pPr>
            <w:r w:rsidRPr="0019790A">
              <w:rPr>
                <w:rFonts w:cs="Arial"/>
                <w:szCs w:val="22"/>
              </w:rPr>
              <w:t>Дорослі (25–60 років) - здоров’я, дозвілля, корпоративні змагання.</w:t>
            </w:r>
          </w:p>
          <w:p w14:paraId="6BDB5498" w14:textId="77777777" w:rsidR="005342D5" w:rsidRPr="0019790A" w:rsidRDefault="005342D5" w:rsidP="009873B2">
            <w:pPr>
              <w:rPr>
                <w:rFonts w:cs="Arial"/>
                <w:szCs w:val="22"/>
              </w:rPr>
            </w:pPr>
            <w:r w:rsidRPr="0019790A">
              <w:rPr>
                <w:rFonts w:cs="Arial"/>
                <w:szCs w:val="22"/>
              </w:rPr>
              <w:t>Літні люди (60+) - помірна фізична активність, спілкування.</w:t>
            </w:r>
          </w:p>
          <w:p w14:paraId="584942F4" w14:textId="77777777" w:rsidR="005342D5" w:rsidRPr="0019790A" w:rsidRDefault="005342D5" w:rsidP="009873B2">
            <w:pPr>
              <w:rPr>
                <w:rFonts w:cs="Arial"/>
                <w:szCs w:val="22"/>
              </w:rPr>
            </w:pPr>
            <w:r w:rsidRPr="0019790A">
              <w:rPr>
                <w:rFonts w:cs="Arial"/>
                <w:szCs w:val="22"/>
              </w:rPr>
              <w:t>Люди з інвалідністю - безбар’єрний доступ, рівні умови для участі.</w:t>
            </w:r>
          </w:p>
          <w:p w14:paraId="0D9A6EAC" w14:textId="76201C44" w:rsidR="005342D5" w:rsidRPr="0019790A" w:rsidRDefault="005342D5" w:rsidP="009873B2">
            <w:pPr>
              <w:rPr>
                <w:rFonts w:cs="Arial"/>
                <w:szCs w:val="22"/>
              </w:rPr>
            </w:pPr>
            <w:r w:rsidRPr="0019790A">
              <w:rPr>
                <w:rFonts w:cs="Arial"/>
                <w:szCs w:val="22"/>
              </w:rPr>
              <w:t xml:space="preserve">Тренери, педагоги, </w:t>
            </w:r>
            <w:r w:rsidR="009873B2" w:rsidRPr="0019790A">
              <w:rPr>
                <w:rFonts w:cs="Arial"/>
                <w:szCs w:val="22"/>
              </w:rPr>
              <w:t>спорт інструктори</w:t>
            </w:r>
            <w:r w:rsidRPr="0019790A">
              <w:rPr>
                <w:rFonts w:cs="Arial"/>
                <w:szCs w:val="22"/>
              </w:rPr>
              <w:t xml:space="preserve"> - професійне проведення занять.</w:t>
            </w:r>
          </w:p>
          <w:p w14:paraId="789482C4" w14:textId="77777777" w:rsidR="005342D5" w:rsidRPr="0019790A" w:rsidRDefault="005342D5" w:rsidP="009873B2">
            <w:pPr>
              <w:rPr>
                <w:rFonts w:cs="Arial"/>
                <w:szCs w:val="22"/>
              </w:rPr>
            </w:pPr>
            <w:r w:rsidRPr="0019790A">
              <w:rPr>
                <w:rFonts w:cs="Arial"/>
                <w:szCs w:val="22"/>
              </w:rPr>
              <w:t>Громадські ініціативи, ОМС</w:t>
            </w:r>
            <w:r w:rsidRPr="0019790A">
              <w:rPr>
                <w:rFonts w:cs="Arial"/>
                <w:szCs w:val="22"/>
              </w:rPr>
              <w:tab/>
              <w:t>- проведення подій, згуртування громади.</w:t>
            </w:r>
          </w:p>
          <w:p w14:paraId="74698193" w14:textId="77777777" w:rsidR="005342D5" w:rsidRPr="0019790A" w:rsidRDefault="005342D5" w:rsidP="009873B2">
            <w:pPr>
              <w:rPr>
                <w:rFonts w:cs="Arial"/>
                <w:szCs w:val="22"/>
              </w:rPr>
            </w:pPr>
            <w:r w:rsidRPr="0019790A">
              <w:rPr>
                <w:rFonts w:cs="Arial"/>
                <w:b/>
                <w:szCs w:val="22"/>
              </w:rPr>
              <w:t>Кількість отримувачів вигоди</w:t>
            </w:r>
            <w:r w:rsidRPr="0019790A">
              <w:rPr>
                <w:rFonts w:cs="Arial"/>
                <w:szCs w:val="22"/>
              </w:rPr>
              <w:t xml:space="preserve"> </w:t>
            </w:r>
            <w:r w:rsidRPr="0019790A">
              <w:rPr>
                <w:rFonts w:cs="Arial"/>
                <w:b/>
                <w:szCs w:val="22"/>
              </w:rPr>
              <w:t>1500 осіб.</w:t>
            </w:r>
          </w:p>
        </w:tc>
      </w:tr>
      <w:tr w:rsidR="005342D5" w:rsidRPr="0019790A" w14:paraId="3552C82E" w14:textId="77777777" w:rsidTr="009873B2">
        <w:trPr>
          <w:jc w:val="right"/>
        </w:trPr>
        <w:tc>
          <w:tcPr>
            <w:tcW w:w="3425" w:type="dxa"/>
            <w:shd w:val="clear" w:color="auto" w:fill="FFFFFF"/>
            <w:vAlign w:val="center"/>
          </w:tcPr>
          <w:p w14:paraId="34231E3F" w14:textId="77777777" w:rsidR="005342D5" w:rsidRPr="0019790A" w:rsidRDefault="005342D5" w:rsidP="0019790A">
            <w:pPr>
              <w:rPr>
                <w:rFonts w:cs="Arial"/>
                <w:b/>
                <w:bCs/>
                <w:szCs w:val="22"/>
              </w:rPr>
            </w:pPr>
            <w:r w:rsidRPr="0019790A">
              <w:rPr>
                <w:rFonts w:cs="Arial"/>
                <w:b/>
                <w:bCs/>
                <w:szCs w:val="22"/>
              </w:rPr>
              <w:t>Стислий опис проєкту:</w:t>
            </w:r>
          </w:p>
        </w:tc>
        <w:tc>
          <w:tcPr>
            <w:tcW w:w="6794" w:type="dxa"/>
            <w:gridSpan w:val="9"/>
            <w:vAlign w:val="center"/>
          </w:tcPr>
          <w:p w14:paraId="424C23EA" w14:textId="77777777" w:rsidR="005342D5" w:rsidRPr="0019790A" w:rsidRDefault="005342D5" w:rsidP="009873B2">
            <w:pPr>
              <w:rPr>
                <w:rFonts w:cs="Arial"/>
                <w:szCs w:val="22"/>
              </w:rPr>
            </w:pPr>
            <w:r w:rsidRPr="0019790A">
              <w:rPr>
                <w:rFonts w:cs="Arial"/>
                <w:szCs w:val="22"/>
              </w:rPr>
              <w:t xml:space="preserve">Проєкт передбачає будівництво багатофункціонального спортивного майданчика з гумовим або штучним покриттям. Майданчик буде обладнаний для гри у футбол, баскетбол, волейбол, а також забезпечений освітленням, огорожею, лавками, інвентарною коморою та санітарною зоною,тренажерною зоною та умовами для людей з інвалідністю. </w:t>
            </w:r>
          </w:p>
          <w:p w14:paraId="7E0A975A" w14:textId="77777777" w:rsidR="005342D5" w:rsidRPr="0019790A" w:rsidRDefault="005342D5" w:rsidP="009873B2">
            <w:pPr>
              <w:rPr>
                <w:rFonts w:cs="Arial"/>
                <w:szCs w:val="22"/>
              </w:rPr>
            </w:pPr>
            <w:r w:rsidRPr="0019790A">
              <w:rPr>
                <w:rFonts w:cs="Arial"/>
                <w:szCs w:val="22"/>
              </w:rPr>
              <w:t>Проєкт включатиме:</w:t>
            </w:r>
          </w:p>
          <w:p w14:paraId="775D659B" w14:textId="77777777" w:rsidR="005342D5" w:rsidRPr="0019790A" w:rsidRDefault="005342D5" w:rsidP="009873B2">
            <w:pPr>
              <w:rPr>
                <w:rFonts w:cs="Arial"/>
                <w:b/>
                <w:bCs/>
                <w:szCs w:val="22"/>
              </w:rPr>
            </w:pPr>
            <w:r w:rsidRPr="0019790A">
              <w:rPr>
                <w:rFonts w:cs="Arial"/>
                <w:b/>
                <w:bCs/>
                <w:szCs w:val="22"/>
              </w:rPr>
              <w:t>1. Зона активного спорту</w:t>
            </w:r>
          </w:p>
          <w:p w14:paraId="550FECB5" w14:textId="77777777" w:rsidR="005342D5" w:rsidRPr="0019790A" w:rsidRDefault="005342D5" w:rsidP="009873B2">
            <w:pPr>
              <w:numPr>
                <w:ilvl w:val="0"/>
                <w:numId w:val="37"/>
              </w:numPr>
              <w:rPr>
                <w:rFonts w:cs="Arial"/>
                <w:szCs w:val="22"/>
              </w:rPr>
            </w:pPr>
            <w:r w:rsidRPr="0019790A">
              <w:rPr>
                <w:rFonts w:cs="Arial"/>
                <w:szCs w:val="22"/>
              </w:rPr>
              <w:t>Багатофункціональний ігровий майданчик (міні-футбол, волейбол, баскетбол)</w:t>
            </w:r>
          </w:p>
          <w:p w14:paraId="5EF8D044" w14:textId="77777777" w:rsidR="005342D5" w:rsidRPr="0019790A" w:rsidRDefault="005342D5" w:rsidP="009873B2">
            <w:pPr>
              <w:numPr>
                <w:ilvl w:val="0"/>
                <w:numId w:val="37"/>
              </w:numPr>
              <w:rPr>
                <w:rFonts w:cs="Arial"/>
                <w:szCs w:val="22"/>
              </w:rPr>
            </w:pPr>
            <w:r w:rsidRPr="0019790A">
              <w:rPr>
                <w:rFonts w:cs="Arial"/>
                <w:szCs w:val="22"/>
              </w:rPr>
              <w:t>Стадіон з біговими доріжками (міні-формат 100-200 м)</w:t>
            </w:r>
          </w:p>
          <w:p w14:paraId="0A5AABDB" w14:textId="77777777" w:rsidR="005342D5" w:rsidRPr="0019790A" w:rsidRDefault="005342D5" w:rsidP="009873B2">
            <w:pPr>
              <w:numPr>
                <w:ilvl w:val="0"/>
                <w:numId w:val="37"/>
              </w:numPr>
              <w:rPr>
                <w:rFonts w:cs="Arial"/>
                <w:szCs w:val="22"/>
              </w:rPr>
            </w:pPr>
            <w:r w:rsidRPr="0019790A">
              <w:rPr>
                <w:rFonts w:cs="Arial"/>
                <w:szCs w:val="22"/>
              </w:rPr>
              <w:t>Зона для воркауту (турніки, бруси, лавки для пресу)</w:t>
            </w:r>
          </w:p>
          <w:p w14:paraId="537F9A4B" w14:textId="77777777" w:rsidR="005342D5" w:rsidRPr="0019790A" w:rsidRDefault="005342D5" w:rsidP="009873B2">
            <w:pPr>
              <w:numPr>
                <w:ilvl w:val="0"/>
                <w:numId w:val="37"/>
              </w:numPr>
              <w:rPr>
                <w:rFonts w:cs="Arial"/>
                <w:szCs w:val="22"/>
              </w:rPr>
            </w:pPr>
            <w:r w:rsidRPr="0019790A">
              <w:rPr>
                <w:rFonts w:cs="Arial"/>
                <w:szCs w:val="22"/>
              </w:rPr>
              <w:t>Стінка для скелелазіння (невисока, для дітей та молоді)</w:t>
            </w:r>
          </w:p>
          <w:p w14:paraId="614F0FC1" w14:textId="77777777" w:rsidR="005342D5" w:rsidRPr="0019790A" w:rsidRDefault="005342D5" w:rsidP="009873B2">
            <w:pPr>
              <w:rPr>
                <w:rFonts w:cs="Arial"/>
                <w:b/>
                <w:bCs/>
                <w:szCs w:val="22"/>
              </w:rPr>
            </w:pPr>
            <w:r w:rsidRPr="0019790A">
              <w:rPr>
                <w:rFonts w:cs="Arial"/>
                <w:b/>
                <w:bCs/>
                <w:szCs w:val="22"/>
              </w:rPr>
              <w:t>2. Фітнес-зона</w:t>
            </w:r>
          </w:p>
          <w:p w14:paraId="311C3728" w14:textId="77777777" w:rsidR="005342D5" w:rsidRPr="0019790A" w:rsidRDefault="005342D5" w:rsidP="009873B2">
            <w:pPr>
              <w:numPr>
                <w:ilvl w:val="0"/>
                <w:numId w:val="38"/>
              </w:numPr>
              <w:rPr>
                <w:rFonts w:cs="Arial"/>
                <w:szCs w:val="22"/>
              </w:rPr>
            </w:pPr>
            <w:r w:rsidRPr="0019790A">
              <w:rPr>
                <w:rFonts w:cs="Arial"/>
                <w:szCs w:val="22"/>
              </w:rPr>
              <w:t>Вуличні тренажери (для різних груп м'язів, з інструкціями)</w:t>
            </w:r>
          </w:p>
          <w:p w14:paraId="227CBD6B" w14:textId="77777777" w:rsidR="005342D5" w:rsidRPr="0019790A" w:rsidRDefault="005342D5" w:rsidP="009873B2">
            <w:pPr>
              <w:numPr>
                <w:ilvl w:val="0"/>
                <w:numId w:val="38"/>
              </w:numPr>
              <w:rPr>
                <w:rFonts w:cs="Arial"/>
                <w:szCs w:val="22"/>
              </w:rPr>
            </w:pPr>
            <w:r w:rsidRPr="0019790A">
              <w:rPr>
                <w:rFonts w:cs="Arial"/>
                <w:szCs w:val="22"/>
              </w:rPr>
              <w:t>Простір для групових занять (йога, танці, фітнес)</w:t>
            </w:r>
          </w:p>
          <w:p w14:paraId="267B7B14" w14:textId="77777777" w:rsidR="005342D5" w:rsidRPr="0019790A" w:rsidRDefault="005342D5" w:rsidP="009873B2">
            <w:pPr>
              <w:rPr>
                <w:rFonts w:cs="Arial"/>
                <w:b/>
                <w:bCs/>
                <w:szCs w:val="22"/>
              </w:rPr>
            </w:pPr>
            <w:r w:rsidRPr="0019790A">
              <w:rPr>
                <w:rFonts w:cs="Arial"/>
                <w:b/>
                <w:bCs/>
                <w:szCs w:val="22"/>
              </w:rPr>
              <w:t>3. Оздоровча та реабілітаційна зона</w:t>
            </w:r>
          </w:p>
          <w:p w14:paraId="6A2D737F" w14:textId="77777777" w:rsidR="005342D5" w:rsidRPr="0019790A" w:rsidRDefault="005342D5" w:rsidP="009873B2">
            <w:pPr>
              <w:numPr>
                <w:ilvl w:val="0"/>
                <w:numId w:val="39"/>
              </w:numPr>
              <w:rPr>
                <w:rFonts w:cs="Arial"/>
                <w:szCs w:val="22"/>
              </w:rPr>
            </w:pPr>
            <w:r w:rsidRPr="0019790A">
              <w:rPr>
                <w:rFonts w:cs="Arial"/>
                <w:szCs w:val="22"/>
              </w:rPr>
              <w:t>Зона спокійної активності (лавки, тінь, настільні ігри)</w:t>
            </w:r>
          </w:p>
          <w:p w14:paraId="6CB4C90B" w14:textId="77777777" w:rsidR="005342D5" w:rsidRPr="0019790A" w:rsidRDefault="005342D5" w:rsidP="009873B2">
            <w:pPr>
              <w:numPr>
                <w:ilvl w:val="0"/>
                <w:numId w:val="39"/>
              </w:numPr>
              <w:rPr>
                <w:rFonts w:cs="Arial"/>
                <w:szCs w:val="22"/>
              </w:rPr>
            </w:pPr>
            <w:r w:rsidRPr="0019790A">
              <w:rPr>
                <w:rFonts w:cs="Arial"/>
                <w:szCs w:val="22"/>
              </w:rPr>
              <w:t>Доріжка здоров’я (щадне навантаження для людей похилого віку)</w:t>
            </w:r>
          </w:p>
          <w:p w14:paraId="6E919923" w14:textId="77777777" w:rsidR="005342D5" w:rsidRPr="0019790A" w:rsidRDefault="005342D5" w:rsidP="009873B2">
            <w:pPr>
              <w:rPr>
                <w:rFonts w:cs="Arial"/>
                <w:b/>
                <w:bCs/>
                <w:szCs w:val="22"/>
              </w:rPr>
            </w:pPr>
            <w:r w:rsidRPr="0019790A">
              <w:rPr>
                <w:rFonts w:cs="Arial"/>
                <w:b/>
                <w:bCs/>
                <w:szCs w:val="22"/>
              </w:rPr>
              <w:t>4. Дитяча спортивна зона</w:t>
            </w:r>
          </w:p>
          <w:p w14:paraId="62ACD484" w14:textId="77777777" w:rsidR="005342D5" w:rsidRPr="0019790A" w:rsidRDefault="005342D5" w:rsidP="009873B2">
            <w:pPr>
              <w:numPr>
                <w:ilvl w:val="0"/>
                <w:numId w:val="40"/>
              </w:numPr>
              <w:rPr>
                <w:rFonts w:cs="Arial"/>
                <w:szCs w:val="22"/>
              </w:rPr>
            </w:pPr>
            <w:r w:rsidRPr="0019790A">
              <w:rPr>
                <w:rFonts w:cs="Arial"/>
                <w:szCs w:val="22"/>
              </w:rPr>
              <w:t>Інклюзивний ігровий майданчик</w:t>
            </w:r>
          </w:p>
          <w:p w14:paraId="1B61AF16" w14:textId="77777777" w:rsidR="005342D5" w:rsidRPr="0019790A" w:rsidRDefault="005342D5" w:rsidP="009873B2">
            <w:pPr>
              <w:numPr>
                <w:ilvl w:val="0"/>
                <w:numId w:val="40"/>
              </w:numPr>
              <w:rPr>
                <w:rFonts w:cs="Arial"/>
                <w:szCs w:val="22"/>
              </w:rPr>
            </w:pPr>
            <w:r w:rsidRPr="0019790A">
              <w:rPr>
                <w:rFonts w:cs="Arial"/>
                <w:szCs w:val="22"/>
              </w:rPr>
              <w:t>Міні-смуги перешкод, балансири, гірки з фізичною активністю</w:t>
            </w:r>
          </w:p>
          <w:p w14:paraId="0D869E63" w14:textId="77777777" w:rsidR="005342D5" w:rsidRPr="0019790A" w:rsidRDefault="005342D5" w:rsidP="009873B2">
            <w:pPr>
              <w:numPr>
                <w:ilvl w:val="0"/>
                <w:numId w:val="40"/>
              </w:numPr>
              <w:rPr>
                <w:rFonts w:cs="Arial"/>
                <w:szCs w:val="22"/>
              </w:rPr>
            </w:pPr>
            <w:r w:rsidRPr="0019790A">
              <w:rPr>
                <w:rFonts w:cs="Arial"/>
                <w:szCs w:val="22"/>
              </w:rPr>
              <w:t>Безпечне покриття</w:t>
            </w:r>
          </w:p>
          <w:p w14:paraId="0076E2B5" w14:textId="77777777" w:rsidR="005342D5" w:rsidRPr="0019790A" w:rsidRDefault="005342D5" w:rsidP="009873B2">
            <w:pPr>
              <w:rPr>
                <w:rFonts w:cs="Arial"/>
                <w:b/>
                <w:bCs/>
                <w:szCs w:val="22"/>
              </w:rPr>
            </w:pPr>
            <w:r w:rsidRPr="0019790A">
              <w:rPr>
                <w:rFonts w:cs="Arial"/>
                <w:b/>
                <w:bCs/>
                <w:szCs w:val="22"/>
              </w:rPr>
              <w:t>5. Інклюзивність та доступність</w:t>
            </w:r>
          </w:p>
          <w:p w14:paraId="6BE3E9B5" w14:textId="77777777" w:rsidR="005342D5" w:rsidRPr="0019790A" w:rsidRDefault="005342D5" w:rsidP="009873B2">
            <w:pPr>
              <w:numPr>
                <w:ilvl w:val="0"/>
                <w:numId w:val="41"/>
              </w:numPr>
              <w:rPr>
                <w:rFonts w:cs="Arial"/>
                <w:szCs w:val="22"/>
              </w:rPr>
            </w:pPr>
            <w:r w:rsidRPr="0019790A">
              <w:rPr>
                <w:rFonts w:cs="Arial"/>
                <w:szCs w:val="22"/>
              </w:rPr>
              <w:t>Пандуси, широкі доріжки, поручні</w:t>
            </w:r>
          </w:p>
          <w:p w14:paraId="2189A830" w14:textId="77777777" w:rsidR="005342D5" w:rsidRPr="0019790A" w:rsidRDefault="005342D5" w:rsidP="009873B2">
            <w:pPr>
              <w:numPr>
                <w:ilvl w:val="0"/>
                <w:numId w:val="41"/>
              </w:numPr>
              <w:rPr>
                <w:rFonts w:cs="Arial"/>
                <w:szCs w:val="22"/>
              </w:rPr>
            </w:pPr>
            <w:r w:rsidRPr="0019790A">
              <w:rPr>
                <w:rFonts w:cs="Arial"/>
                <w:szCs w:val="22"/>
              </w:rPr>
              <w:t>Тренажери, придатні для користувачів на візках</w:t>
            </w:r>
          </w:p>
          <w:p w14:paraId="3905F9F4" w14:textId="77777777" w:rsidR="005342D5" w:rsidRPr="0019790A" w:rsidRDefault="005342D5" w:rsidP="009873B2">
            <w:pPr>
              <w:numPr>
                <w:ilvl w:val="0"/>
                <w:numId w:val="41"/>
              </w:numPr>
              <w:rPr>
                <w:rFonts w:cs="Arial"/>
                <w:szCs w:val="22"/>
              </w:rPr>
            </w:pPr>
            <w:r w:rsidRPr="0019790A">
              <w:rPr>
                <w:rFonts w:cs="Arial"/>
                <w:szCs w:val="22"/>
              </w:rPr>
              <w:t>Інформація шрифтом Брайля та графічними символами</w:t>
            </w:r>
          </w:p>
        </w:tc>
      </w:tr>
      <w:tr w:rsidR="005342D5" w:rsidRPr="0019790A" w14:paraId="07414BFE" w14:textId="77777777" w:rsidTr="009873B2">
        <w:trPr>
          <w:jc w:val="right"/>
        </w:trPr>
        <w:tc>
          <w:tcPr>
            <w:tcW w:w="3425" w:type="dxa"/>
            <w:shd w:val="clear" w:color="auto" w:fill="FFFFFF"/>
            <w:vAlign w:val="center"/>
          </w:tcPr>
          <w:p w14:paraId="43D64B93" w14:textId="77777777" w:rsidR="005342D5" w:rsidRPr="0019790A" w:rsidRDefault="005342D5" w:rsidP="0019790A">
            <w:pPr>
              <w:rPr>
                <w:rFonts w:cs="Arial"/>
                <w:b/>
                <w:bCs/>
                <w:szCs w:val="22"/>
              </w:rPr>
            </w:pPr>
            <w:r w:rsidRPr="0019790A">
              <w:rPr>
                <w:rFonts w:cs="Arial"/>
                <w:b/>
                <w:bCs/>
                <w:szCs w:val="22"/>
              </w:rPr>
              <w:t>Основні заходи проєкту:</w:t>
            </w:r>
          </w:p>
        </w:tc>
        <w:tc>
          <w:tcPr>
            <w:tcW w:w="6794" w:type="dxa"/>
            <w:gridSpan w:val="9"/>
            <w:vAlign w:val="center"/>
          </w:tcPr>
          <w:p w14:paraId="0F1E2F75" w14:textId="77777777" w:rsidR="005342D5" w:rsidRPr="0019790A" w:rsidRDefault="005342D5" w:rsidP="009873B2">
            <w:pPr>
              <w:rPr>
                <w:rFonts w:cs="Arial"/>
                <w:szCs w:val="22"/>
              </w:rPr>
            </w:pPr>
            <w:r w:rsidRPr="0019790A">
              <w:rPr>
                <w:rFonts w:cs="Arial"/>
                <w:szCs w:val="22"/>
              </w:rPr>
              <w:t xml:space="preserve">1. </w:t>
            </w:r>
            <w:r w:rsidRPr="0019790A">
              <w:rPr>
                <w:rFonts w:cs="Arial"/>
                <w:b/>
                <w:bCs/>
                <w:szCs w:val="22"/>
              </w:rPr>
              <w:t>Проведення аналізу потреб громади:</w:t>
            </w:r>
          </w:p>
          <w:p w14:paraId="140F41F2" w14:textId="77777777" w:rsidR="005342D5" w:rsidRPr="0019790A" w:rsidRDefault="005342D5" w:rsidP="009873B2">
            <w:pPr>
              <w:numPr>
                <w:ilvl w:val="0"/>
                <w:numId w:val="42"/>
              </w:numPr>
              <w:rPr>
                <w:rFonts w:cs="Arial"/>
                <w:szCs w:val="22"/>
              </w:rPr>
            </w:pPr>
            <w:r w:rsidRPr="0019790A">
              <w:rPr>
                <w:rFonts w:cs="Arial"/>
                <w:szCs w:val="22"/>
              </w:rPr>
              <w:t>Оцінка наявної спортивної інфраструктури та визначення потреб різних вікових груп населення.</w:t>
            </w:r>
          </w:p>
          <w:p w14:paraId="28619B5C" w14:textId="77777777" w:rsidR="005342D5" w:rsidRPr="0019790A" w:rsidRDefault="005342D5" w:rsidP="009873B2">
            <w:pPr>
              <w:numPr>
                <w:ilvl w:val="0"/>
                <w:numId w:val="42"/>
              </w:numPr>
              <w:rPr>
                <w:rFonts w:cs="Arial"/>
                <w:szCs w:val="22"/>
              </w:rPr>
            </w:pPr>
            <w:r w:rsidRPr="0019790A">
              <w:rPr>
                <w:rFonts w:cs="Arial"/>
                <w:szCs w:val="22"/>
              </w:rPr>
              <w:t>Збір пропозицій від мешканців щодо бажаних функцій та обладнання майбутнього спортивного об'єкта.</w:t>
            </w:r>
          </w:p>
          <w:p w14:paraId="4391E5F9" w14:textId="77777777" w:rsidR="005342D5" w:rsidRPr="0019790A" w:rsidRDefault="005342D5" w:rsidP="009873B2">
            <w:pPr>
              <w:rPr>
                <w:rFonts w:cs="Arial"/>
                <w:szCs w:val="22"/>
              </w:rPr>
            </w:pPr>
            <w:r w:rsidRPr="0019790A">
              <w:rPr>
                <w:rFonts w:cs="Arial"/>
                <w:szCs w:val="22"/>
              </w:rPr>
              <w:t xml:space="preserve">2.  </w:t>
            </w:r>
            <w:r w:rsidRPr="0019790A">
              <w:rPr>
                <w:rFonts w:cs="Arial"/>
                <w:b/>
                <w:bCs/>
                <w:szCs w:val="22"/>
              </w:rPr>
              <w:t>Розробка проєктно-кошторисної документації:</w:t>
            </w:r>
          </w:p>
          <w:p w14:paraId="4F305B38" w14:textId="77777777" w:rsidR="005342D5" w:rsidRPr="0019790A" w:rsidRDefault="005342D5" w:rsidP="009873B2">
            <w:pPr>
              <w:numPr>
                <w:ilvl w:val="0"/>
                <w:numId w:val="43"/>
              </w:numPr>
              <w:rPr>
                <w:rFonts w:cs="Arial"/>
                <w:szCs w:val="22"/>
              </w:rPr>
            </w:pPr>
            <w:r w:rsidRPr="0019790A">
              <w:rPr>
                <w:rFonts w:cs="Arial"/>
                <w:szCs w:val="22"/>
              </w:rPr>
              <w:t>Залучення фахівців для створення архітектурного проєкту, що враховує інклюзивність, енергоефективність та багатофункціональність.</w:t>
            </w:r>
          </w:p>
          <w:p w14:paraId="0D28646A" w14:textId="77777777" w:rsidR="005342D5" w:rsidRPr="0019790A" w:rsidRDefault="005342D5" w:rsidP="009873B2">
            <w:pPr>
              <w:numPr>
                <w:ilvl w:val="0"/>
                <w:numId w:val="43"/>
              </w:numPr>
              <w:rPr>
                <w:rFonts w:cs="Arial"/>
                <w:szCs w:val="22"/>
              </w:rPr>
            </w:pPr>
            <w:r w:rsidRPr="0019790A">
              <w:rPr>
                <w:rFonts w:cs="Arial"/>
                <w:szCs w:val="22"/>
              </w:rPr>
              <w:t>Погодження документації з відповідними органами.</w:t>
            </w:r>
          </w:p>
          <w:p w14:paraId="61A0EDA7" w14:textId="77777777" w:rsidR="005342D5" w:rsidRPr="0019790A" w:rsidRDefault="005342D5" w:rsidP="009873B2">
            <w:pPr>
              <w:rPr>
                <w:rFonts w:cs="Arial"/>
                <w:szCs w:val="22"/>
              </w:rPr>
            </w:pPr>
            <w:r w:rsidRPr="0019790A">
              <w:rPr>
                <w:rFonts w:cs="Arial"/>
                <w:szCs w:val="22"/>
              </w:rPr>
              <w:t xml:space="preserve">3.  </w:t>
            </w:r>
            <w:r w:rsidRPr="0019790A">
              <w:rPr>
                <w:rFonts w:cs="Arial"/>
                <w:b/>
                <w:bCs/>
                <w:szCs w:val="22"/>
              </w:rPr>
              <w:t>Підготовка території для будівництва:</w:t>
            </w:r>
          </w:p>
          <w:p w14:paraId="75CA13E1" w14:textId="77777777" w:rsidR="005342D5" w:rsidRPr="0019790A" w:rsidRDefault="005342D5" w:rsidP="009873B2">
            <w:pPr>
              <w:numPr>
                <w:ilvl w:val="0"/>
                <w:numId w:val="44"/>
              </w:numPr>
              <w:rPr>
                <w:rFonts w:cs="Arial"/>
                <w:szCs w:val="22"/>
              </w:rPr>
            </w:pPr>
            <w:r w:rsidRPr="0019790A">
              <w:rPr>
                <w:rFonts w:cs="Arial"/>
                <w:szCs w:val="22"/>
              </w:rPr>
              <w:t>Очищення та вирівнювання ділянки.</w:t>
            </w:r>
          </w:p>
          <w:p w14:paraId="64699460" w14:textId="77777777" w:rsidR="005342D5" w:rsidRPr="0019790A" w:rsidRDefault="005342D5" w:rsidP="009873B2">
            <w:pPr>
              <w:numPr>
                <w:ilvl w:val="0"/>
                <w:numId w:val="44"/>
              </w:numPr>
              <w:rPr>
                <w:rFonts w:cs="Arial"/>
                <w:szCs w:val="22"/>
              </w:rPr>
            </w:pPr>
            <w:r w:rsidRPr="0019790A">
              <w:rPr>
                <w:rFonts w:cs="Arial"/>
                <w:szCs w:val="22"/>
              </w:rPr>
              <w:t>Підведення необхідних комунікацій (електропостачання, водопостачання тощо).</w:t>
            </w:r>
          </w:p>
          <w:p w14:paraId="416E079C" w14:textId="77777777" w:rsidR="005342D5" w:rsidRPr="0019790A" w:rsidRDefault="005342D5" w:rsidP="009873B2">
            <w:pPr>
              <w:rPr>
                <w:rFonts w:cs="Arial"/>
                <w:szCs w:val="22"/>
              </w:rPr>
            </w:pPr>
            <w:r w:rsidRPr="0019790A">
              <w:rPr>
                <w:rFonts w:cs="Arial"/>
                <w:szCs w:val="22"/>
              </w:rPr>
              <w:t xml:space="preserve">4.  </w:t>
            </w:r>
            <w:r w:rsidRPr="0019790A">
              <w:rPr>
                <w:rFonts w:cs="Arial"/>
                <w:b/>
                <w:bCs/>
                <w:szCs w:val="22"/>
              </w:rPr>
              <w:t>Будівництво спортивного об'єкта:</w:t>
            </w:r>
          </w:p>
          <w:p w14:paraId="3526B241" w14:textId="77777777" w:rsidR="005342D5" w:rsidRPr="0019790A" w:rsidRDefault="005342D5" w:rsidP="009873B2">
            <w:pPr>
              <w:numPr>
                <w:ilvl w:val="0"/>
                <w:numId w:val="45"/>
              </w:numPr>
              <w:rPr>
                <w:rFonts w:cs="Arial"/>
                <w:szCs w:val="22"/>
              </w:rPr>
            </w:pPr>
            <w:r w:rsidRPr="0019790A">
              <w:rPr>
                <w:rFonts w:cs="Arial"/>
                <w:szCs w:val="22"/>
              </w:rPr>
              <w:t>Зведення спортивного майданчика з покриттям, відповідним до обраних видів спорту (футбол, баскетбол, волейбол тощо).</w:t>
            </w:r>
          </w:p>
          <w:p w14:paraId="28914580" w14:textId="77777777" w:rsidR="005342D5" w:rsidRPr="0019790A" w:rsidRDefault="005342D5" w:rsidP="009873B2">
            <w:pPr>
              <w:numPr>
                <w:ilvl w:val="0"/>
                <w:numId w:val="45"/>
              </w:numPr>
              <w:rPr>
                <w:rFonts w:cs="Arial"/>
                <w:szCs w:val="22"/>
              </w:rPr>
            </w:pPr>
            <w:r w:rsidRPr="0019790A">
              <w:rPr>
                <w:rFonts w:cs="Arial"/>
                <w:szCs w:val="22"/>
              </w:rPr>
              <w:t>Встановлення освітлення, огорожі, лавок та інших необхідних елементів інфраструктури.</w:t>
            </w:r>
          </w:p>
          <w:p w14:paraId="682409D4" w14:textId="77777777" w:rsidR="005342D5" w:rsidRPr="0019790A" w:rsidRDefault="005342D5" w:rsidP="009873B2">
            <w:pPr>
              <w:rPr>
                <w:rFonts w:cs="Arial"/>
                <w:szCs w:val="22"/>
              </w:rPr>
            </w:pPr>
            <w:r w:rsidRPr="0019790A">
              <w:rPr>
                <w:rFonts w:cs="Arial"/>
                <w:szCs w:val="22"/>
              </w:rPr>
              <w:t xml:space="preserve">5.  </w:t>
            </w:r>
            <w:r w:rsidRPr="0019790A">
              <w:rPr>
                <w:rFonts w:cs="Arial"/>
                <w:b/>
                <w:bCs/>
                <w:szCs w:val="22"/>
              </w:rPr>
              <w:t>Обладнання об'єкта необхідним інвентарем:</w:t>
            </w:r>
          </w:p>
          <w:p w14:paraId="4999EB0C" w14:textId="77777777" w:rsidR="005342D5" w:rsidRPr="0019790A" w:rsidRDefault="005342D5" w:rsidP="009873B2">
            <w:pPr>
              <w:numPr>
                <w:ilvl w:val="0"/>
                <w:numId w:val="46"/>
              </w:numPr>
              <w:rPr>
                <w:rFonts w:cs="Arial"/>
                <w:szCs w:val="22"/>
              </w:rPr>
            </w:pPr>
            <w:r w:rsidRPr="0019790A">
              <w:rPr>
                <w:rFonts w:cs="Arial"/>
                <w:szCs w:val="22"/>
              </w:rPr>
              <w:t>Придбання та встановлення спортивного обладнання та інвентарю для різних вікових груп.</w:t>
            </w:r>
          </w:p>
          <w:p w14:paraId="30DB0DD1" w14:textId="77777777" w:rsidR="005342D5" w:rsidRPr="0019790A" w:rsidRDefault="005342D5" w:rsidP="009873B2">
            <w:pPr>
              <w:numPr>
                <w:ilvl w:val="0"/>
                <w:numId w:val="46"/>
              </w:numPr>
              <w:rPr>
                <w:rFonts w:cs="Arial"/>
                <w:szCs w:val="22"/>
              </w:rPr>
            </w:pPr>
            <w:r w:rsidRPr="0019790A">
              <w:rPr>
                <w:rFonts w:cs="Arial"/>
                <w:szCs w:val="22"/>
              </w:rPr>
              <w:t>Забезпечення доступності для осіб з інвалідністю.</w:t>
            </w:r>
          </w:p>
          <w:p w14:paraId="5EADD853" w14:textId="77777777" w:rsidR="005342D5" w:rsidRPr="0019790A" w:rsidRDefault="005342D5" w:rsidP="009873B2">
            <w:pPr>
              <w:rPr>
                <w:rFonts w:cs="Arial"/>
                <w:szCs w:val="22"/>
              </w:rPr>
            </w:pPr>
            <w:r w:rsidRPr="0019790A">
              <w:rPr>
                <w:rFonts w:cs="Arial"/>
                <w:szCs w:val="22"/>
              </w:rPr>
              <w:t xml:space="preserve">6.  </w:t>
            </w:r>
            <w:r w:rsidRPr="0019790A">
              <w:rPr>
                <w:rFonts w:cs="Arial"/>
                <w:b/>
                <w:bCs/>
                <w:szCs w:val="22"/>
              </w:rPr>
              <w:t>Проведення інформаційної кампанії:</w:t>
            </w:r>
          </w:p>
          <w:p w14:paraId="4E50DA58" w14:textId="77777777" w:rsidR="005342D5" w:rsidRPr="0019790A" w:rsidRDefault="005342D5" w:rsidP="009873B2">
            <w:pPr>
              <w:numPr>
                <w:ilvl w:val="0"/>
                <w:numId w:val="47"/>
              </w:numPr>
              <w:rPr>
                <w:rFonts w:cs="Arial"/>
                <w:szCs w:val="22"/>
              </w:rPr>
            </w:pPr>
            <w:r w:rsidRPr="0019790A">
              <w:rPr>
                <w:rFonts w:cs="Arial"/>
                <w:szCs w:val="22"/>
              </w:rPr>
              <w:t>Інформування населення про відкриття нового спортивного об'єкта та можливості для занять.</w:t>
            </w:r>
          </w:p>
          <w:p w14:paraId="0ED534EB" w14:textId="77777777" w:rsidR="005342D5" w:rsidRPr="0019790A" w:rsidRDefault="005342D5" w:rsidP="009873B2">
            <w:pPr>
              <w:numPr>
                <w:ilvl w:val="0"/>
                <w:numId w:val="47"/>
              </w:numPr>
              <w:rPr>
                <w:rFonts w:cs="Arial"/>
                <w:szCs w:val="22"/>
              </w:rPr>
            </w:pPr>
            <w:r w:rsidRPr="0019790A">
              <w:rPr>
                <w:rFonts w:cs="Arial"/>
                <w:szCs w:val="22"/>
              </w:rPr>
              <w:t>Поширення інформації через місцеві ЗМІ, соціальні мережі та інші канали комунікації.</w:t>
            </w:r>
          </w:p>
          <w:p w14:paraId="245BD1C5" w14:textId="77777777" w:rsidR="005342D5" w:rsidRPr="0019790A" w:rsidRDefault="005342D5" w:rsidP="009873B2">
            <w:pPr>
              <w:rPr>
                <w:rFonts w:cs="Arial"/>
                <w:szCs w:val="22"/>
              </w:rPr>
            </w:pPr>
            <w:r w:rsidRPr="0019790A">
              <w:rPr>
                <w:rFonts w:cs="Arial"/>
                <w:szCs w:val="22"/>
              </w:rPr>
              <w:t xml:space="preserve">7.  </w:t>
            </w:r>
            <w:r w:rsidRPr="0019790A">
              <w:rPr>
                <w:rFonts w:cs="Arial"/>
                <w:b/>
                <w:bCs/>
                <w:szCs w:val="22"/>
              </w:rPr>
              <w:t>Моніторинг та оцінка ефективності проєкту:</w:t>
            </w:r>
          </w:p>
          <w:p w14:paraId="718B4775" w14:textId="77777777" w:rsidR="005342D5" w:rsidRPr="0019790A" w:rsidRDefault="005342D5" w:rsidP="009873B2">
            <w:pPr>
              <w:numPr>
                <w:ilvl w:val="0"/>
                <w:numId w:val="48"/>
              </w:numPr>
              <w:rPr>
                <w:rFonts w:cs="Arial"/>
                <w:szCs w:val="22"/>
              </w:rPr>
            </w:pPr>
            <w:r w:rsidRPr="0019790A">
              <w:rPr>
                <w:rFonts w:cs="Arial"/>
                <w:szCs w:val="22"/>
              </w:rPr>
              <w:t>Відстеження кількості відвідувачів та учасників спортивних заходів..</w:t>
            </w:r>
          </w:p>
        </w:tc>
      </w:tr>
      <w:tr w:rsidR="005342D5" w:rsidRPr="0019790A" w14:paraId="4672D0A8" w14:textId="77777777" w:rsidTr="009873B2">
        <w:trPr>
          <w:jc w:val="right"/>
        </w:trPr>
        <w:tc>
          <w:tcPr>
            <w:tcW w:w="3425" w:type="dxa"/>
            <w:shd w:val="clear" w:color="auto" w:fill="FFFFFF"/>
            <w:vAlign w:val="center"/>
          </w:tcPr>
          <w:p w14:paraId="6F0D05BE" w14:textId="77777777" w:rsidR="005342D5" w:rsidRPr="0019790A" w:rsidRDefault="005342D5" w:rsidP="0019790A">
            <w:pPr>
              <w:rPr>
                <w:rFonts w:cs="Arial"/>
                <w:b/>
                <w:bCs/>
                <w:szCs w:val="22"/>
              </w:rPr>
            </w:pPr>
            <w:r w:rsidRPr="0019790A">
              <w:rPr>
                <w:rFonts w:cs="Arial"/>
                <w:b/>
                <w:bCs/>
                <w:szCs w:val="22"/>
              </w:rPr>
              <w:t>Індикатори (показники) результативності:</w:t>
            </w:r>
          </w:p>
        </w:tc>
        <w:tc>
          <w:tcPr>
            <w:tcW w:w="6794" w:type="dxa"/>
            <w:gridSpan w:val="9"/>
            <w:vAlign w:val="center"/>
          </w:tcPr>
          <w:p w14:paraId="61A24C3F" w14:textId="77777777" w:rsidR="005342D5" w:rsidRPr="0019790A" w:rsidRDefault="005342D5" w:rsidP="009873B2">
            <w:pPr>
              <w:rPr>
                <w:rFonts w:cs="Arial"/>
                <w:szCs w:val="22"/>
              </w:rPr>
            </w:pPr>
            <w:r w:rsidRPr="0019790A">
              <w:rPr>
                <w:rFonts w:cs="Arial"/>
                <w:szCs w:val="22"/>
              </w:rPr>
              <w:t>1.  Побудова багатофункціонального спортивного майданчику з гумовим або штучним покриттям</w:t>
            </w:r>
          </w:p>
          <w:p w14:paraId="2A540167" w14:textId="77777777" w:rsidR="005342D5" w:rsidRPr="0019790A" w:rsidRDefault="005342D5" w:rsidP="009873B2">
            <w:pPr>
              <w:rPr>
                <w:rFonts w:cs="Arial"/>
                <w:szCs w:val="22"/>
              </w:rPr>
            </w:pPr>
            <w:r w:rsidRPr="0019790A">
              <w:rPr>
                <w:rFonts w:cs="Arial"/>
                <w:szCs w:val="22"/>
              </w:rPr>
              <w:t>2.  Залучення щонайменше 500 мешканців громади до занять спортом щомісяця.</w:t>
            </w:r>
          </w:p>
          <w:p w14:paraId="73C69133" w14:textId="77777777" w:rsidR="005342D5" w:rsidRPr="0019790A" w:rsidRDefault="005342D5" w:rsidP="009873B2">
            <w:pPr>
              <w:rPr>
                <w:rFonts w:cs="Arial"/>
                <w:szCs w:val="22"/>
              </w:rPr>
            </w:pPr>
            <w:r w:rsidRPr="0019790A">
              <w:rPr>
                <w:rFonts w:cs="Arial"/>
                <w:szCs w:val="22"/>
              </w:rPr>
              <w:t>3.  Проведення регулярних спортивних змагань, тренувань та дозвіллєвих заходів.</w:t>
            </w:r>
          </w:p>
          <w:p w14:paraId="23BD47FE" w14:textId="77777777" w:rsidR="005342D5" w:rsidRPr="0019790A" w:rsidRDefault="005342D5" w:rsidP="009873B2">
            <w:pPr>
              <w:rPr>
                <w:rFonts w:cs="Arial"/>
                <w:szCs w:val="22"/>
              </w:rPr>
            </w:pPr>
            <w:r w:rsidRPr="0019790A">
              <w:rPr>
                <w:rFonts w:cs="Arial"/>
                <w:szCs w:val="22"/>
              </w:rPr>
              <w:t xml:space="preserve">4.  Підвищення рівня фізичної активності серед дітей, молоді, населення середнього та пенсійного віку, людей з інвалідністю. </w:t>
            </w:r>
          </w:p>
          <w:p w14:paraId="2F7F957E" w14:textId="77777777" w:rsidR="005342D5" w:rsidRPr="0019790A" w:rsidRDefault="005342D5" w:rsidP="009873B2">
            <w:pPr>
              <w:rPr>
                <w:rFonts w:cs="Arial"/>
                <w:szCs w:val="22"/>
              </w:rPr>
            </w:pPr>
            <w:r w:rsidRPr="0019790A">
              <w:rPr>
                <w:rFonts w:cs="Arial"/>
                <w:szCs w:val="22"/>
              </w:rPr>
              <w:t>5.  Залучення до спорту понад 60% місцевого населення.</w:t>
            </w:r>
          </w:p>
          <w:p w14:paraId="4C96E1C8" w14:textId="77777777" w:rsidR="005342D5" w:rsidRPr="0019790A" w:rsidRDefault="005342D5" w:rsidP="009873B2">
            <w:pPr>
              <w:rPr>
                <w:rFonts w:cs="Arial"/>
                <w:szCs w:val="22"/>
              </w:rPr>
            </w:pPr>
            <w:r w:rsidRPr="0019790A">
              <w:rPr>
                <w:rFonts w:cs="Arial"/>
                <w:szCs w:val="22"/>
              </w:rPr>
              <w:t>6.  Зниження рівня захворюваності та гіподинамії.</w:t>
            </w:r>
          </w:p>
          <w:p w14:paraId="53609BC8" w14:textId="77777777" w:rsidR="005342D5" w:rsidRPr="0019790A" w:rsidRDefault="005342D5" w:rsidP="009873B2">
            <w:pPr>
              <w:rPr>
                <w:rFonts w:cs="Arial"/>
                <w:szCs w:val="22"/>
              </w:rPr>
            </w:pPr>
            <w:r w:rsidRPr="0019790A">
              <w:rPr>
                <w:rFonts w:cs="Arial"/>
                <w:szCs w:val="22"/>
              </w:rPr>
              <w:t>7.  Підвищення соціальної інтеграції та міжпоколіннєвої взаємодії.</w:t>
            </w:r>
          </w:p>
          <w:p w14:paraId="3C45379A" w14:textId="77777777" w:rsidR="005342D5" w:rsidRPr="0019790A" w:rsidRDefault="005342D5" w:rsidP="009873B2">
            <w:pPr>
              <w:rPr>
                <w:rFonts w:cs="Arial"/>
                <w:szCs w:val="22"/>
              </w:rPr>
            </w:pPr>
            <w:r w:rsidRPr="0019790A">
              <w:rPr>
                <w:rFonts w:cs="Arial"/>
                <w:szCs w:val="22"/>
              </w:rPr>
              <w:t>8.  Поява нового простору для самореалізації та дозвілля.</w:t>
            </w:r>
          </w:p>
        </w:tc>
      </w:tr>
      <w:tr w:rsidR="005342D5" w:rsidRPr="0019790A" w14:paraId="1FF6EE3D" w14:textId="77777777" w:rsidTr="00CF3AAE">
        <w:trPr>
          <w:jc w:val="right"/>
        </w:trPr>
        <w:tc>
          <w:tcPr>
            <w:tcW w:w="3425" w:type="dxa"/>
            <w:shd w:val="clear" w:color="auto" w:fill="FFFFFF"/>
            <w:vAlign w:val="center"/>
          </w:tcPr>
          <w:p w14:paraId="3DBBA256" w14:textId="77777777" w:rsidR="005342D5" w:rsidRPr="0019790A" w:rsidRDefault="005342D5" w:rsidP="0019790A">
            <w:pPr>
              <w:rPr>
                <w:rFonts w:cs="Arial"/>
                <w:b/>
                <w:szCs w:val="22"/>
              </w:rPr>
            </w:pPr>
            <w:r w:rsidRPr="0019790A">
              <w:rPr>
                <w:rFonts w:cs="Arial"/>
                <w:b/>
                <w:szCs w:val="22"/>
              </w:rPr>
              <w:t xml:space="preserve">Період здійснення: </w:t>
            </w:r>
          </w:p>
        </w:tc>
        <w:tc>
          <w:tcPr>
            <w:tcW w:w="6794" w:type="dxa"/>
            <w:gridSpan w:val="9"/>
            <w:vAlign w:val="center"/>
          </w:tcPr>
          <w:p w14:paraId="624F86E5" w14:textId="77777777" w:rsidR="005342D5" w:rsidRPr="0019790A" w:rsidRDefault="005342D5" w:rsidP="0019790A">
            <w:pPr>
              <w:rPr>
                <w:rFonts w:cs="Arial"/>
                <w:szCs w:val="22"/>
              </w:rPr>
            </w:pPr>
            <w:r w:rsidRPr="0019790A">
              <w:rPr>
                <w:rFonts w:cs="Arial"/>
                <w:b/>
                <w:szCs w:val="22"/>
              </w:rPr>
              <w:t>2025 – 2028 роки:</w:t>
            </w:r>
          </w:p>
        </w:tc>
      </w:tr>
      <w:tr w:rsidR="005342D5" w:rsidRPr="0019790A" w14:paraId="6C7D9C4C" w14:textId="77777777" w:rsidTr="009873B2">
        <w:trPr>
          <w:jc w:val="right"/>
        </w:trPr>
        <w:tc>
          <w:tcPr>
            <w:tcW w:w="3425" w:type="dxa"/>
            <w:vMerge w:val="restart"/>
            <w:shd w:val="clear" w:color="auto" w:fill="FFFFFF"/>
            <w:vAlign w:val="center"/>
          </w:tcPr>
          <w:p w14:paraId="5F1E54FA" w14:textId="77777777" w:rsidR="005342D5" w:rsidRPr="0019790A" w:rsidRDefault="005342D5" w:rsidP="0019790A">
            <w:pPr>
              <w:rPr>
                <w:rFonts w:cs="Arial"/>
                <w:b/>
                <w:bCs/>
                <w:szCs w:val="22"/>
              </w:rPr>
            </w:pPr>
            <w:r w:rsidRPr="0019790A">
              <w:rPr>
                <w:rFonts w:cs="Arial"/>
                <w:b/>
                <w:bCs/>
                <w:szCs w:val="22"/>
              </w:rPr>
              <w:t>Орієнтовна вартість проєкту, тис. грн., в тому числі:</w:t>
            </w:r>
          </w:p>
        </w:tc>
        <w:tc>
          <w:tcPr>
            <w:tcW w:w="1254" w:type="dxa"/>
            <w:gridSpan w:val="2"/>
            <w:shd w:val="clear" w:color="auto" w:fill="E6E6E6"/>
            <w:vAlign w:val="center"/>
          </w:tcPr>
          <w:p w14:paraId="29AEEB37" w14:textId="77777777" w:rsidR="005342D5" w:rsidRPr="0019790A" w:rsidRDefault="005342D5" w:rsidP="009873B2">
            <w:pPr>
              <w:jc w:val="center"/>
              <w:rPr>
                <w:rFonts w:cs="Arial"/>
                <w:b/>
                <w:szCs w:val="22"/>
              </w:rPr>
            </w:pPr>
            <w:r w:rsidRPr="0019790A">
              <w:rPr>
                <w:rFonts w:cs="Arial"/>
                <w:b/>
                <w:szCs w:val="22"/>
              </w:rPr>
              <w:t>2025</w:t>
            </w:r>
          </w:p>
        </w:tc>
        <w:tc>
          <w:tcPr>
            <w:tcW w:w="1275" w:type="dxa"/>
            <w:gridSpan w:val="2"/>
            <w:shd w:val="clear" w:color="auto" w:fill="E6E6E6"/>
            <w:vAlign w:val="center"/>
          </w:tcPr>
          <w:p w14:paraId="36826224" w14:textId="77777777" w:rsidR="005342D5" w:rsidRPr="0019790A" w:rsidRDefault="005342D5" w:rsidP="009873B2">
            <w:pPr>
              <w:jc w:val="center"/>
              <w:rPr>
                <w:rFonts w:cs="Arial"/>
                <w:b/>
                <w:szCs w:val="22"/>
              </w:rPr>
            </w:pPr>
            <w:r w:rsidRPr="0019790A">
              <w:rPr>
                <w:rFonts w:cs="Arial"/>
                <w:b/>
                <w:szCs w:val="22"/>
              </w:rPr>
              <w:t>2026</w:t>
            </w:r>
          </w:p>
        </w:tc>
        <w:tc>
          <w:tcPr>
            <w:tcW w:w="1418" w:type="dxa"/>
            <w:gridSpan w:val="2"/>
            <w:tcBorders>
              <w:bottom w:val="single" w:sz="4" w:space="0" w:color="auto"/>
            </w:tcBorders>
            <w:shd w:val="clear" w:color="auto" w:fill="E6E6E6"/>
            <w:vAlign w:val="center"/>
          </w:tcPr>
          <w:p w14:paraId="42FBCBA8" w14:textId="77777777" w:rsidR="005342D5" w:rsidRPr="0019790A" w:rsidRDefault="005342D5" w:rsidP="009873B2">
            <w:pPr>
              <w:jc w:val="center"/>
              <w:rPr>
                <w:rFonts w:cs="Arial"/>
                <w:b/>
                <w:szCs w:val="22"/>
              </w:rPr>
            </w:pPr>
            <w:r w:rsidRPr="0019790A">
              <w:rPr>
                <w:rFonts w:cs="Arial"/>
                <w:b/>
                <w:szCs w:val="22"/>
              </w:rPr>
              <w:t>2027</w:t>
            </w:r>
          </w:p>
        </w:tc>
        <w:tc>
          <w:tcPr>
            <w:tcW w:w="1276" w:type="dxa"/>
            <w:shd w:val="clear" w:color="auto" w:fill="E6E6E6"/>
            <w:vAlign w:val="center"/>
          </w:tcPr>
          <w:p w14:paraId="50C0B7EF" w14:textId="77777777" w:rsidR="005342D5" w:rsidRPr="0019790A" w:rsidRDefault="005342D5" w:rsidP="009873B2">
            <w:pPr>
              <w:jc w:val="center"/>
              <w:rPr>
                <w:rFonts w:cs="Arial"/>
                <w:b/>
                <w:szCs w:val="22"/>
              </w:rPr>
            </w:pPr>
            <w:r w:rsidRPr="0019790A">
              <w:rPr>
                <w:rFonts w:cs="Arial"/>
                <w:b/>
                <w:szCs w:val="22"/>
              </w:rPr>
              <w:t>2028</w:t>
            </w:r>
          </w:p>
        </w:tc>
        <w:tc>
          <w:tcPr>
            <w:tcW w:w="1571" w:type="dxa"/>
            <w:gridSpan w:val="2"/>
            <w:shd w:val="clear" w:color="auto" w:fill="E6E6E6"/>
            <w:vAlign w:val="center"/>
          </w:tcPr>
          <w:p w14:paraId="0C5D25BE" w14:textId="77777777" w:rsidR="005342D5" w:rsidRPr="0019790A" w:rsidRDefault="005342D5" w:rsidP="009873B2">
            <w:pPr>
              <w:jc w:val="center"/>
              <w:rPr>
                <w:rFonts w:cs="Arial"/>
                <w:b/>
                <w:szCs w:val="22"/>
              </w:rPr>
            </w:pPr>
            <w:r w:rsidRPr="0019790A">
              <w:rPr>
                <w:rFonts w:cs="Arial"/>
                <w:b/>
                <w:szCs w:val="22"/>
              </w:rPr>
              <w:t>РАЗОМ</w:t>
            </w:r>
          </w:p>
        </w:tc>
      </w:tr>
      <w:tr w:rsidR="005342D5" w:rsidRPr="0019790A" w14:paraId="23AA4FF3" w14:textId="77777777" w:rsidTr="009873B2">
        <w:trPr>
          <w:jc w:val="right"/>
        </w:trPr>
        <w:tc>
          <w:tcPr>
            <w:tcW w:w="3425" w:type="dxa"/>
            <w:vMerge/>
            <w:shd w:val="clear" w:color="auto" w:fill="FFFFFF"/>
            <w:vAlign w:val="center"/>
          </w:tcPr>
          <w:p w14:paraId="29E20B3E" w14:textId="77777777" w:rsidR="005342D5" w:rsidRPr="0019790A" w:rsidRDefault="005342D5" w:rsidP="0019790A">
            <w:pPr>
              <w:rPr>
                <w:rFonts w:cs="Arial"/>
                <w:b/>
                <w:bCs/>
                <w:szCs w:val="22"/>
              </w:rPr>
            </w:pPr>
          </w:p>
        </w:tc>
        <w:tc>
          <w:tcPr>
            <w:tcW w:w="1254" w:type="dxa"/>
            <w:gridSpan w:val="2"/>
            <w:vAlign w:val="center"/>
          </w:tcPr>
          <w:p w14:paraId="5FD61845" w14:textId="77777777" w:rsidR="005342D5" w:rsidRPr="0019790A" w:rsidRDefault="005342D5" w:rsidP="0019790A">
            <w:pPr>
              <w:rPr>
                <w:rFonts w:cs="Arial"/>
                <w:b/>
                <w:szCs w:val="22"/>
              </w:rPr>
            </w:pPr>
          </w:p>
        </w:tc>
        <w:tc>
          <w:tcPr>
            <w:tcW w:w="1275" w:type="dxa"/>
            <w:gridSpan w:val="2"/>
            <w:shd w:val="clear" w:color="auto" w:fill="FFFFFF"/>
            <w:vAlign w:val="center"/>
          </w:tcPr>
          <w:p w14:paraId="336E0B99" w14:textId="77777777" w:rsidR="005342D5" w:rsidRPr="0019790A" w:rsidRDefault="005342D5" w:rsidP="009873B2">
            <w:pPr>
              <w:jc w:val="center"/>
              <w:rPr>
                <w:rFonts w:cs="Arial"/>
                <w:b/>
                <w:szCs w:val="22"/>
              </w:rPr>
            </w:pPr>
            <w:r w:rsidRPr="0019790A">
              <w:rPr>
                <w:rFonts w:cs="Arial"/>
                <w:b/>
                <w:szCs w:val="22"/>
              </w:rPr>
              <w:t>5500,0</w:t>
            </w:r>
          </w:p>
        </w:tc>
        <w:tc>
          <w:tcPr>
            <w:tcW w:w="1418" w:type="dxa"/>
            <w:gridSpan w:val="2"/>
            <w:shd w:val="clear" w:color="auto" w:fill="auto"/>
            <w:vAlign w:val="center"/>
          </w:tcPr>
          <w:p w14:paraId="1FBFC214" w14:textId="77777777" w:rsidR="005342D5" w:rsidRPr="0019790A" w:rsidRDefault="005342D5" w:rsidP="009873B2">
            <w:pPr>
              <w:jc w:val="center"/>
              <w:rPr>
                <w:rFonts w:cs="Arial"/>
                <w:b/>
                <w:szCs w:val="22"/>
              </w:rPr>
            </w:pPr>
          </w:p>
        </w:tc>
        <w:tc>
          <w:tcPr>
            <w:tcW w:w="1276" w:type="dxa"/>
            <w:shd w:val="clear" w:color="auto" w:fill="FFFFFF"/>
            <w:vAlign w:val="center"/>
          </w:tcPr>
          <w:p w14:paraId="1A853669" w14:textId="77777777" w:rsidR="005342D5" w:rsidRPr="0019790A" w:rsidRDefault="005342D5" w:rsidP="009873B2">
            <w:pPr>
              <w:jc w:val="center"/>
              <w:rPr>
                <w:rFonts w:cs="Arial"/>
                <w:b/>
                <w:szCs w:val="22"/>
              </w:rPr>
            </w:pPr>
          </w:p>
        </w:tc>
        <w:tc>
          <w:tcPr>
            <w:tcW w:w="1571" w:type="dxa"/>
            <w:gridSpan w:val="2"/>
            <w:shd w:val="clear" w:color="auto" w:fill="FFFFFF"/>
            <w:vAlign w:val="center"/>
          </w:tcPr>
          <w:p w14:paraId="03851604" w14:textId="77777777" w:rsidR="005342D5" w:rsidRPr="0019790A" w:rsidRDefault="005342D5" w:rsidP="009873B2">
            <w:pPr>
              <w:jc w:val="center"/>
              <w:rPr>
                <w:rFonts w:cs="Arial"/>
                <w:b/>
                <w:szCs w:val="22"/>
              </w:rPr>
            </w:pPr>
            <w:r w:rsidRPr="0019790A">
              <w:rPr>
                <w:rFonts w:cs="Arial"/>
                <w:b/>
                <w:szCs w:val="22"/>
              </w:rPr>
              <w:t>5500,0</w:t>
            </w:r>
          </w:p>
        </w:tc>
      </w:tr>
      <w:tr w:rsidR="005342D5" w:rsidRPr="0019790A" w14:paraId="5A2D9FD5" w14:textId="77777777" w:rsidTr="009873B2">
        <w:trPr>
          <w:trHeight w:val="276"/>
          <w:jc w:val="right"/>
        </w:trPr>
        <w:tc>
          <w:tcPr>
            <w:tcW w:w="3425" w:type="dxa"/>
            <w:shd w:val="clear" w:color="auto" w:fill="FFFFFF"/>
            <w:vAlign w:val="center"/>
          </w:tcPr>
          <w:p w14:paraId="57C9F578" w14:textId="77777777" w:rsidR="005342D5" w:rsidRPr="0019790A" w:rsidRDefault="005342D5" w:rsidP="0019790A">
            <w:pPr>
              <w:rPr>
                <w:rFonts w:cs="Arial"/>
                <w:b/>
                <w:bCs/>
                <w:szCs w:val="22"/>
              </w:rPr>
            </w:pPr>
            <w:r w:rsidRPr="0019790A">
              <w:rPr>
                <w:rFonts w:cs="Arial"/>
                <w:b/>
                <w:bCs/>
                <w:szCs w:val="22"/>
              </w:rPr>
              <w:t>по джерелах фінансування:</w:t>
            </w:r>
          </w:p>
        </w:tc>
        <w:tc>
          <w:tcPr>
            <w:tcW w:w="6794" w:type="dxa"/>
            <w:gridSpan w:val="9"/>
            <w:vAlign w:val="center"/>
          </w:tcPr>
          <w:p w14:paraId="79DACE6A" w14:textId="77777777" w:rsidR="005342D5" w:rsidRPr="0019790A" w:rsidRDefault="005342D5" w:rsidP="009873B2">
            <w:pPr>
              <w:jc w:val="center"/>
              <w:rPr>
                <w:rFonts w:cs="Arial"/>
                <w:szCs w:val="22"/>
              </w:rPr>
            </w:pPr>
          </w:p>
        </w:tc>
      </w:tr>
      <w:tr w:rsidR="009873B2" w:rsidRPr="0019790A" w14:paraId="3EB06DBA" w14:textId="2E1CCAD7" w:rsidTr="009873B2">
        <w:trPr>
          <w:trHeight w:val="240"/>
          <w:jc w:val="right"/>
        </w:trPr>
        <w:tc>
          <w:tcPr>
            <w:tcW w:w="3425" w:type="dxa"/>
            <w:shd w:val="clear" w:color="auto" w:fill="FFFFFF"/>
            <w:vAlign w:val="center"/>
          </w:tcPr>
          <w:p w14:paraId="23599ACD" w14:textId="77777777" w:rsidR="009873B2" w:rsidRPr="0019790A" w:rsidRDefault="009873B2" w:rsidP="0019790A">
            <w:pPr>
              <w:rPr>
                <w:rFonts w:cs="Arial"/>
                <w:b/>
                <w:bCs/>
                <w:szCs w:val="22"/>
              </w:rPr>
            </w:pPr>
            <w:r w:rsidRPr="0019790A">
              <w:rPr>
                <w:rFonts w:cs="Arial"/>
                <w:szCs w:val="22"/>
              </w:rPr>
              <w:t>- державний бюджет</w:t>
            </w:r>
          </w:p>
        </w:tc>
        <w:tc>
          <w:tcPr>
            <w:tcW w:w="1227" w:type="dxa"/>
            <w:vAlign w:val="center"/>
          </w:tcPr>
          <w:p w14:paraId="3F947DF1" w14:textId="77777777" w:rsidR="009873B2" w:rsidRPr="0019790A" w:rsidRDefault="009873B2" w:rsidP="0019790A">
            <w:pPr>
              <w:rPr>
                <w:rFonts w:cs="Arial"/>
                <w:szCs w:val="22"/>
              </w:rPr>
            </w:pPr>
          </w:p>
        </w:tc>
        <w:tc>
          <w:tcPr>
            <w:tcW w:w="1265" w:type="dxa"/>
            <w:gridSpan w:val="2"/>
            <w:vAlign w:val="center"/>
          </w:tcPr>
          <w:p w14:paraId="04B53028" w14:textId="77777777" w:rsidR="009873B2" w:rsidRPr="0019790A" w:rsidRDefault="009873B2" w:rsidP="009873B2">
            <w:pPr>
              <w:jc w:val="center"/>
              <w:rPr>
                <w:rFonts w:cs="Arial"/>
                <w:szCs w:val="22"/>
              </w:rPr>
            </w:pPr>
          </w:p>
        </w:tc>
        <w:tc>
          <w:tcPr>
            <w:tcW w:w="1427" w:type="dxa"/>
            <w:gridSpan w:val="2"/>
            <w:vAlign w:val="center"/>
          </w:tcPr>
          <w:p w14:paraId="3A83E397" w14:textId="77777777" w:rsidR="009873B2" w:rsidRPr="0019790A" w:rsidRDefault="009873B2" w:rsidP="009873B2">
            <w:pPr>
              <w:jc w:val="center"/>
              <w:rPr>
                <w:rFonts w:cs="Arial"/>
                <w:szCs w:val="22"/>
              </w:rPr>
            </w:pPr>
          </w:p>
        </w:tc>
        <w:tc>
          <w:tcPr>
            <w:tcW w:w="1315" w:type="dxa"/>
            <w:gridSpan w:val="3"/>
            <w:vAlign w:val="center"/>
          </w:tcPr>
          <w:p w14:paraId="2D6FD3E8" w14:textId="77777777" w:rsidR="009873B2" w:rsidRPr="0019790A" w:rsidRDefault="009873B2" w:rsidP="009873B2">
            <w:pPr>
              <w:jc w:val="center"/>
              <w:rPr>
                <w:rFonts w:cs="Arial"/>
                <w:szCs w:val="22"/>
              </w:rPr>
            </w:pPr>
          </w:p>
        </w:tc>
        <w:tc>
          <w:tcPr>
            <w:tcW w:w="1560" w:type="dxa"/>
            <w:vAlign w:val="center"/>
          </w:tcPr>
          <w:p w14:paraId="219E5CB8" w14:textId="77777777" w:rsidR="009873B2" w:rsidRPr="0019790A" w:rsidRDefault="009873B2" w:rsidP="009873B2">
            <w:pPr>
              <w:jc w:val="center"/>
              <w:rPr>
                <w:rFonts w:cs="Arial"/>
                <w:szCs w:val="22"/>
              </w:rPr>
            </w:pPr>
          </w:p>
        </w:tc>
      </w:tr>
      <w:tr w:rsidR="009873B2" w:rsidRPr="0019790A" w14:paraId="486901A5" w14:textId="643435B1" w:rsidTr="009873B2">
        <w:trPr>
          <w:trHeight w:val="254"/>
          <w:jc w:val="right"/>
        </w:trPr>
        <w:tc>
          <w:tcPr>
            <w:tcW w:w="3425" w:type="dxa"/>
            <w:shd w:val="clear" w:color="auto" w:fill="FFFFFF"/>
            <w:vAlign w:val="center"/>
          </w:tcPr>
          <w:p w14:paraId="116E56FC" w14:textId="77777777" w:rsidR="009873B2" w:rsidRPr="0019790A" w:rsidRDefault="009873B2" w:rsidP="0019790A">
            <w:pPr>
              <w:rPr>
                <w:rFonts w:cs="Arial"/>
                <w:szCs w:val="22"/>
              </w:rPr>
            </w:pPr>
            <w:r w:rsidRPr="0019790A">
              <w:rPr>
                <w:rFonts w:cs="Arial"/>
                <w:szCs w:val="22"/>
              </w:rPr>
              <w:t>- обласний бюджет</w:t>
            </w:r>
          </w:p>
        </w:tc>
        <w:tc>
          <w:tcPr>
            <w:tcW w:w="1227" w:type="dxa"/>
            <w:vAlign w:val="center"/>
          </w:tcPr>
          <w:p w14:paraId="510BAFED" w14:textId="77777777" w:rsidR="009873B2" w:rsidRPr="0019790A" w:rsidRDefault="009873B2" w:rsidP="0019790A">
            <w:pPr>
              <w:rPr>
                <w:rFonts w:cs="Arial"/>
                <w:szCs w:val="22"/>
              </w:rPr>
            </w:pPr>
          </w:p>
        </w:tc>
        <w:tc>
          <w:tcPr>
            <w:tcW w:w="1265" w:type="dxa"/>
            <w:gridSpan w:val="2"/>
            <w:vAlign w:val="center"/>
          </w:tcPr>
          <w:p w14:paraId="417D40B1" w14:textId="77777777" w:rsidR="009873B2" w:rsidRPr="0019790A" w:rsidRDefault="009873B2" w:rsidP="009873B2">
            <w:pPr>
              <w:jc w:val="center"/>
              <w:rPr>
                <w:rFonts w:cs="Arial"/>
                <w:szCs w:val="22"/>
              </w:rPr>
            </w:pPr>
          </w:p>
        </w:tc>
        <w:tc>
          <w:tcPr>
            <w:tcW w:w="1427" w:type="dxa"/>
            <w:gridSpan w:val="2"/>
            <w:vAlign w:val="center"/>
          </w:tcPr>
          <w:p w14:paraId="5EF2EDFD" w14:textId="77777777" w:rsidR="009873B2" w:rsidRPr="0019790A" w:rsidRDefault="009873B2" w:rsidP="009873B2">
            <w:pPr>
              <w:jc w:val="center"/>
              <w:rPr>
                <w:rFonts w:cs="Arial"/>
                <w:szCs w:val="22"/>
              </w:rPr>
            </w:pPr>
          </w:p>
        </w:tc>
        <w:tc>
          <w:tcPr>
            <w:tcW w:w="1315" w:type="dxa"/>
            <w:gridSpan w:val="3"/>
            <w:vAlign w:val="center"/>
          </w:tcPr>
          <w:p w14:paraId="42D35AB7" w14:textId="77777777" w:rsidR="009873B2" w:rsidRPr="0019790A" w:rsidRDefault="009873B2" w:rsidP="009873B2">
            <w:pPr>
              <w:jc w:val="center"/>
              <w:rPr>
                <w:rFonts w:cs="Arial"/>
                <w:szCs w:val="22"/>
              </w:rPr>
            </w:pPr>
          </w:p>
        </w:tc>
        <w:tc>
          <w:tcPr>
            <w:tcW w:w="1560" w:type="dxa"/>
            <w:vAlign w:val="center"/>
          </w:tcPr>
          <w:p w14:paraId="41FCC063" w14:textId="77777777" w:rsidR="009873B2" w:rsidRPr="0019790A" w:rsidRDefault="009873B2" w:rsidP="009873B2">
            <w:pPr>
              <w:jc w:val="center"/>
              <w:rPr>
                <w:rFonts w:cs="Arial"/>
                <w:szCs w:val="22"/>
              </w:rPr>
            </w:pPr>
          </w:p>
        </w:tc>
      </w:tr>
      <w:tr w:rsidR="009873B2" w:rsidRPr="0019790A" w14:paraId="71BF4D80" w14:textId="4FFB455D" w:rsidTr="009873B2">
        <w:trPr>
          <w:trHeight w:val="275"/>
          <w:jc w:val="right"/>
        </w:trPr>
        <w:tc>
          <w:tcPr>
            <w:tcW w:w="3425" w:type="dxa"/>
            <w:shd w:val="clear" w:color="auto" w:fill="FFFFFF"/>
            <w:vAlign w:val="center"/>
          </w:tcPr>
          <w:p w14:paraId="7F70FC04" w14:textId="77777777" w:rsidR="009873B2" w:rsidRPr="0019790A" w:rsidRDefault="009873B2" w:rsidP="009873B2">
            <w:pPr>
              <w:rPr>
                <w:rFonts w:cs="Arial"/>
                <w:szCs w:val="22"/>
              </w:rPr>
            </w:pPr>
            <w:r w:rsidRPr="0019790A">
              <w:rPr>
                <w:rFonts w:cs="Arial"/>
                <w:szCs w:val="22"/>
              </w:rPr>
              <w:t>- бюджет Жмеринської МТГ</w:t>
            </w:r>
          </w:p>
        </w:tc>
        <w:tc>
          <w:tcPr>
            <w:tcW w:w="1227" w:type="dxa"/>
            <w:vAlign w:val="center"/>
          </w:tcPr>
          <w:p w14:paraId="2C8126EE" w14:textId="6AB18F55" w:rsidR="009873B2" w:rsidRPr="0019790A" w:rsidRDefault="009873B2" w:rsidP="009873B2">
            <w:pPr>
              <w:rPr>
                <w:rFonts w:cs="Arial"/>
                <w:szCs w:val="22"/>
              </w:rPr>
            </w:pPr>
          </w:p>
        </w:tc>
        <w:tc>
          <w:tcPr>
            <w:tcW w:w="1265" w:type="dxa"/>
            <w:gridSpan w:val="2"/>
            <w:vAlign w:val="center"/>
          </w:tcPr>
          <w:p w14:paraId="1F807CCD" w14:textId="42A1B9A2" w:rsidR="009873B2" w:rsidRPr="0019790A" w:rsidRDefault="009873B2" w:rsidP="009873B2">
            <w:pPr>
              <w:jc w:val="center"/>
              <w:rPr>
                <w:rFonts w:cs="Arial"/>
                <w:szCs w:val="22"/>
              </w:rPr>
            </w:pPr>
            <w:r w:rsidRPr="0019790A">
              <w:rPr>
                <w:rFonts w:cs="Arial"/>
                <w:b/>
                <w:szCs w:val="22"/>
              </w:rPr>
              <w:t>5500,0</w:t>
            </w:r>
          </w:p>
        </w:tc>
        <w:tc>
          <w:tcPr>
            <w:tcW w:w="1427" w:type="dxa"/>
            <w:gridSpan w:val="2"/>
            <w:vAlign w:val="center"/>
          </w:tcPr>
          <w:p w14:paraId="53742751" w14:textId="77777777" w:rsidR="009873B2" w:rsidRPr="0019790A" w:rsidRDefault="009873B2" w:rsidP="009873B2">
            <w:pPr>
              <w:jc w:val="center"/>
              <w:rPr>
                <w:rFonts w:cs="Arial"/>
                <w:szCs w:val="22"/>
              </w:rPr>
            </w:pPr>
          </w:p>
        </w:tc>
        <w:tc>
          <w:tcPr>
            <w:tcW w:w="1315" w:type="dxa"/>
            <w:gridSpan w:val="3"/>
            <w:vAlign w:val="center"/>
          </w:tcPr>
          <w:p w14:paraId="491FF56C" w14:textId="77777777" w:rsidR="009873B2" w:rsidRPr="0019790A" w:rsidRDefault="009873B2" w:rsidP="009873B2">
            <w:pPr>
              <w:jc w:val="center"/>
              <w:rPr>
                <w:rFonts w:cs="Arial"/>
                <w:szCs w:val="22"/>
              </w:rPr>
            </w:pPr>
          </w:p>
        </w:tc>
        <w:tc>
          <w:tcPr>
            <w:tcW w:w="1560" w:type="dxa"/>
            <w:vAlign w:val="center"/>
          </w:tcPr>
          <w:p w14:paraId="75A0E629" w14:textId="515B5730" w:rsidR="009873B2" w:rsidRPr="0019790A" w:rsidRDefault="009873B2" w:rsidP="009873B2">
            <w:pPr>
              <w:jc w:val="center"/>
              <w:rPr>
                <w:rFonts w:cs="Arial"/>
                <w:szCs w:val="22"/>
              </w:rPr>
            </w:pPr>
            <w:r w:rsidRPr="0019790A">
              <w:rPr>
                <w:rFonts w:cs="Arial"/>
                <w:b/>
                <w:szCs w:val="22"/>
              </w:rPr>
              <w:t>5500,0</w:t>
            </w:r>
          </w:p>
        </w:tc>
      </w:tr>
      <w:tr w:rsidR="009873B2" w:rsidRPr="0019790A" w14:paraId="259EB1DF" w14:textId="2915D3E9" w:rsidTr="009873B2">
        <w:trPr>
          <w:trHeight w:val="226"/>
          <w:jc w:val="right"/>
        </w:trPr>
        <w:tc>
          <w:tcPr>
            <w:tcW w:w="3425" w:type="dxa"/>
            <w:shd w:val="clear" w:color="auto" w:fill="FFFFFF"/>
            <w:vAlign w:val="center"/>
          </w:tcPr>
          <w:p w14:paraId="530D2DEC" w14:textId="77777777" w:rsidR="009873B2" w:rsidRPr="0019790A" w:rsidRDefault="009873B2" w:rsidP="009873B2">
            <w:pPr>
              <w:rPr>
                <w:rFonts w:cs="Arial"/>
                <w:szCs w:val="22"/>
              </w:rPr>
            </w:pPr>
            <w:r w:rsidRPr="0019790A">
              <w:rPr>
                <w:rFonts w:cs="Arial"/>
                <w:szCs w:val="22"/>
              </w:rPr>
              <w:t>- інші джерела фінансування</w:t>
            </w:r>
          </w:p>
        </w:tc>
        <w:tc>
          <w:tcPr>
            <w:tcW w:w="1227" w:type="dxa"/>
            <w:vAlign w:val="center"/>
          </w:tcPr>
          <w:p w14:paraId="3BA78B7B" w14:textId="77777777" w:rsidR="009873B2" w:rsidRPr="0019790A" w:rsidRDefault="009873B2" w:rsidP="009873B2">
            <w:pPr>
              <w:rPr>
                <w:rFonts w:cs="Arial"/>
                <w:szCs w:val="22"/>
              </w:rPr>
            </w:pPr>
          </w:p>
        </w:tc>
        <w:tc>
          <w:tcPr>
            <w:tcW w:w="1265" w:type="dxa"/>
            <w:gridSpan w:val="2"/>
            <w:vAlign w:val="center"/>
          </w:tcPr>
          <w:p w14:paraId="177D4C33" w14:textId="77777777" w:rsidR="009873B2" w:rsidRPr="0019790A" w:rsidRDefault="009873B2" w:rsidP="009873B2">
            <w:pPr>
              <w:jc w:val="center"/>
              <w:rPr>
                <w:rFonts w:cs="Arial"/>
                <w:szCs w:val="22"/>
              </w:rPr>
            </w:pPr>
          </w:p>
        </w:tc>
        <w:tc>
          <w:tcPr>
            <w:tcW w:w="1427" w:type="dxa"/>
            <w:gridSpan w:val="2"/>
            <w:vAlign w:val="center"/>
          </w:tcPr>
          <w:p w14:paraId="5EC12598" w14:textId="77777777" w:rsidR="009873B2" w:rsidRPr="0019790A" w:rsidRDefault="009873B2" w:rsidP="009873B2">
            <w:pPr>
              <w:jc w:val="center"/>
              <w:rPr>
                <w:rFonts w:cs="Arial"/>
                <w:szCs w:val="22"/>
              </w:rPr>
            </w:pPr>
          </w:p>
        </w:tc>
        <w:tc>
          <w:tcPr>
            <w:tcW w:w="1315" w:type="dxa"/>
            <w:gridSpan w:val="3"/>
            <w:vAlign w:val="center"/>
          </w:tcPr>
          <w:p w14:paraId="1C2E55F9" w14:textId="77777777" w:rsidR="009873B2" w:rsidRPr="0019790A" w:rsidRDefault="009873B2" w:rsidP="009873B2">
            <w:pPr>
              <w:jc w:val="center"/>
              <w:rPr>
                <w:rFonts w:cs="Arial"/>
                <w:szCs w:val="22"/>
              </w:rPr>
            </w:pPr>
          </w:p>
        </w:tc>
        <w:tc>
          <w:tcPr>
            <w:tcW w:w="1560" w:type="dxa"/>
            <w:vAlign w:val="center"/>
          </w:tcPr>
          <w:p w14:paraId="456F5E25" w14:textId="77777777" w:rsidR="009873B2" w:rsidRPr="0019790A" w:rsidRDefault="009873B2" w:rsidP="009873B2">
            <w:pPr>
              <w:jc w:val="center"/>
              <w:rPr>
                <w:rFonts w:cs="Arial"/>
                <w:szCs w:val="22"/>
              </w:rPr>
            </w:pPr>
          </w:p>
        </w:tc>
      </w:tr>
      <w:tr w:rsidR="009873B2" w:rsidRPr="0019790A" w14:paraId="6BD6BA1F" w14:textId="77777777" w:rsidTr="00CF3AAE">
        <w:trPr>
          <w:jc w:val="right"/>
        </w:trPr>
        <w:tc>
          <w:tcPr>
            <w:tcW w:w="3425" w:type="dxa"/>
            <w:shd w:val="clear" w:color="auto" w:fill="FFFFFF"/>
            <w:vAlign w:val="center"/>
          </w:tcPr>
          <w:p w14:paraId="541A76BA" w14:textId="77777777" w:rsidR="009873B2" w:rsidRPr="0019790A" w:rsidRDefault="009873B2" w:rsidP="009873B2">
            <w:pPr>
              <w:rPr>
                <w:rFonts w:cs="Arial"/>
                <w:b/>
                <w:bCs/>
                <w:szCs w:val="22"/>
              </w:rPr>
            </w:pPr>
            <w:r w:rsidRPr="0019790A">
              <w:rPr>
                <w:rFonts w:cs="Arial"/>
                <w:b/>
                <w:szCs w:val="22"/>
              </w:rPr>
              <w:t>Відповідальний виконавець проєкту:</w:t>
            </w:r>
          </w:p>
        </w:tc>
        <w:tc>
          <w:tcPr>
            <w:tcW w:w="6794" w:type="dxa"/>
            <w:gridSpan w:val="9"/>
            <w:vAlign w:val="center"/>
          </w:tcPr>
          <w:p w14:paraId="58A277B2" w14:textId="52EAC759" w:rsidR="009873B2" w:rsidRPr="0019790A" w:rsidRDefault="009873B2" w:rsidP="009873B2">
            <w:pPr>
              <w:rPr>
                <w:rFonts w:cs="Arial"/>
                <w:szCs w:val="22"/>
              </w:rPr>
            </w:pPr>
            <w:r w:rsidRPr="0019790A">
              <w:rPr>
                <w:rFonts w:cs="Arial"/>
                <w:szCs w:val="22"/>
              </w:rPr>
              <w:t>Управління житлово-комунального господарства Жмеринської міської ради</w:t>
            </w:r>
          </w:p>
        </w:tc>
      </w:tr>
      <w:tr w:rsidR="009873B2" w:rsidRPr="0019790A" w14:paraId="2C734E0D" w14:textId="77777777" w:rsidTr="00CF3AAE">
        <w:trPr>
          <w:jc w:val="right"/>
        </w:trPr>
        <w:tc>
          <w:tcPr>
            <w:tcW w:w="3425" w:type="dxa"/>
            <w:shd w:val="clear" w:color="auto" w:fill="FFFFFF"/>
            <w:vAlign w:val="center"/>
          </w:tcPr>
          <w:p w14:paraId="27AF2050" w14:textId="77777777" w:rsidR="009873B2" w:rsidRPr="0019790A" w:rsidRDefault="009873B2" w:rsidP="009873B2">
            <w:pPr>
              <w:rPr>
                <w:rFonts w:cs="Arial"/>
                <w:b/>
                <w:bCs/>
                <w:szCs w:val="22"/>
              </w:rPr>
            </w:pPr>
            <w:r w:rsidRPr="0019790A">
              <w:rPr>
                <w:rFonts w:cs="Arial"/>
                <w:b/>
                <w:bCs/>
                <w:szCs w:val="22"/>
              </w:rPr>
              <w:t>Інше:</w:t>
            </w:r>
          </w:p>
        </w:tc>
        <w:tc>
          <w:tcPr>
            <w:tcW w:w="6794" w:type="dxa"/>
            <w:gridSpan w:val="9"/>
            <w:vAlign w:val="center"/>
          </w:tcPr>
          <w:p w14:paraId="742AE3D5" w14:textId="77777777" w:rsidR="009873B2" w:rsidRPr="0019790A" w:rsidRDefault="009873B2" w:rsidP="009873B2">
            <w:pPr>
              <w:rPr>
                <w:rFonts w:cs="Arial"/>
                <w:szCs w:val="22"/>
              </w:rPr>
            </w:pPr>
          </w:p>
        </w:tc>
      </w:tr>
    </w:tbl>
    <w:p w14:paraId="7CDA22D7" w14:textId="77777777" w:rsidR="005342D5" w:rsidRPr="0019790A" w:rsidRDefault="005342D5" w:rsidP="0019790A">
      <w:pPr>
        <w:rPr>
          <w:rFonts w:cs="Arial"/>
          <w:szCs w:val="22"/>
        </w:rPr>
      </w:pPr>
    </w:p>
    <w:p w14:paraId="7D0A1339" w14:textId="77777777" w:rsidR="005342D5" w:rsidRPr="0019790A" w:rsidRDefault="005342D5" w:rsidP="0019790A">
      <w:pPr>
        <w:jc w:val="center"/>
        <w:rPr>
          <w:rFonts w:cs="Arial"/>
          <w:b/>
          <w:szCs w:val="22"/>
        </w:rPr>
      </w:pPr>
      <w:r w:rsidRPr="0019790A">
        <w:rPr>
          <w:rFonts w:cs="Arial"/>
          <w:b/>
          <w:szCs w:val="22"/>
        </w:rPr>
        <w:t>Форма технічного завдання на проєкт місцевого розвитку</w:t>
      </w:r>
    </w:p>
    <w:p w14:paraId="06905DFB" w14:textId="77777777" w:rsidR="005342D5" w:rsidRPr="0019790A" w:rsidRDefault="005342D5" w:rsidP="0019790A">
      <w:pPr>
        <w:jc w:val="center"/>
        <w:rPr>
          <w:rFonts w:cs="Arial"/>
          <w:b/>
          <w:szCs w:val="22"/>
        </w:rPr>
      </w:pPr>
      <w:r w:rsidRPr="0019790A">
        <w:rPr>
          <w:rFonts w:cs="Arial"/>
          <w:b/>
          <w:szCs w:val="22"/>
        </w:rPr>
        <w:t>до Плану заходів з реалізації Стратегії</w:t>
      </w:r>
    </w:p>
    <w:p w14:paraId="6B722BCA" w14:textId="77777777" w:rsidR="005342D5" w:rsidRPr="0019790A" w:rsidRDefault="005342D5"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4"/>
        <w:gridCol w:w="1202"/>
        <w:gridCol w:w="52"/>
        <w:gridCol w:w="1275"/>
        <w:gridCol w:w="13"/>
        <w:gridCol w:w="1405"/>
        <w:gridCol w:w="10"/>
        <w:gridCol w:w="1266"/>
        <w:gridCol w:w="1572"/>
      </w:tblGrid>
      <w:tr w:rsidR="005342D5" w:rsidRPr="0019790A" w14:paraId="43E294F8" w14:textId="77777777" w:rsidTr="00CF3AAE">
        <w:trPr>
          <w:jc w:val="right"/>
        </w:trPr>
        <w:tc>
          <w:tcPr>
            <w:tcW w:w="3425" w:type="dxa"/>
            <w:vAlign w:val="center"/>
          </w:tcPr>
          <w:p w14:paraId="1606DAC6" w14:textId="77777777" w:rsidR="005342D5" w:rsidRPr="0019790A" w:rsidRDefault="005342D5" w:rsidP="0019790A">
            <w:pPr>
              <w:rPr>
                <w:rFonts w:cs="Arial"/>
                <w:b/>
                <w:bCs/>
                <w:szCs w:val="22"/>
              </w:rPr>
            </w:pPr>
            <w:r w:rsidRPr="0019790A">
              <w:rPr>
                <w:rFonts w:cs="Arial"/>
                <w:b/>
                <w:bCs/>
                <w:szCs w:val="22"/>
              </w:rPr>
              <w:t>Назва проєкту:</w:t>
            </w:r>
          </w:p>
        </w:tc>
        <w:tc>
          <w:tcPr>
            <w:tcW w:w="6794" w:type="dxa"/>
            <w:gridSpan w:val="8"/>
          </w:tcPr>
          <w:p w14:paraId="2003911C" w14:textId="77777777" w:rsidR="005342D5" w:rsidRPr="009873B2" w:rsidRDefault="005342D5" w:rsidP="009873B2">
            <w:pPr>
              <w:jc w:val="both"/>
              <w:rPr>
                <w:rFonts w:cs="Arial"/>
                <w:b/>
                <w:szCs w:val="22"/>
              </w:rPr>
            </w:pPr>
            <w:r w:rsidRPr="009873B2">
              <w:rPr>
                <w:rFonts w:cs="Arial"/>
                <w:b/>
                <w:szCs w:val="22"/>
              </w:rPr>
              <w:t>«Новий подих "Локомотива": реконструкція стадіону для активного життя громади»</w:t>
            </w:r>
          </w:p>
        </w:tc>
      </w:tr>
      <w:tr w:rsidR="005342D5" w:rsidRPr="0019790A" w14:paraId="3A88E6BC" w14:textId="77777777" w:rsidTr="009873B2">
        <w:trPr>
          <w:jc w:val="right"/>
        </w:trPr>
        <w:tc>
          <w:tcPr>
            <w:tcW w:w="3425" w:type="dxa"/>
          </w:tcPr>
          <w:p w14:paraId="6679D7F7" w14:textId="77777777" w:rsidR="005342D5" w:rsidRPr="0019790A" w:rsidRDefault="005342D5" w:rsidP="0019790A">
            <w:pPr>
              <w:rPr>
                <w:rFonts w:cs="Arial"/>
                <w:szCs w:val="22"/>
              </w:rPr>
            </w:pPr>
            <w:r w:rsidRPr="0019790A">
              <w:rPr>
                <w:rFonts w:cs="Arial"/>
                <w:b/>
                <w:bCs/>
                <w:szCs w:val="22"/>
              </w:rPr>
              <w:t>Ваші контакти</w:t>
            </w:r>
            <w:r w:rsidRPr="0019790A">
              <w:rPr>
                <w:rFonts w:cs="Arial"/>
                <w:szCs w:val="22"/>
              </w:rPr>
              <w:t>:</w:t>
            </w:r>
          </w:p>
          <w:p w14:paraId="6B5F11D1" w14:textId="77777777" w:rsidR="005342D5" w:rsidRPr="0019790A" w:rsidRDefault="005342D5" w:rsidP="0019790A">
            <w:pPr>
              <w:rPr>
                <w:rFonts w:cs="Arial"/>
                <w:b/>
                <w:bCs/>
                <w:szCs w:val="22"/>
              </w:rPr>
            </w:pPr>
            <w:r w:rsidRPr="0019790A">
              <w:rPr>
                <w:rFonts w:cs="Arial"/>
                <w:szCs w:val="22"/>
              </w:rPr>
              <w:t>Назва установи, організації, підприємства</w:t>
            </w:r>
          </w:p>
        </w:tc>
        <w:tc>
          <w:tcPr>
            <w:tcW w:w="6794" w:type="dxa"/>
            <w:gridSpan w:val="8"/>
            <w:vAlign w:val="center"/>
          </w:tcPr>
          <w:p w14:paraId="393B7F21" w14:textId="77777777" w:rsidR="005342D5" w:rsidRPr="0019790A" w:rsidRDefault="005342D5" w:rsidP="009873B2">
            <w:pPr>
              <w:rPr>
                <w:rFonts w:cs="Arial"/>
                <w:szCs w:val="22"/>
              </w:rPr>
            </w:pPr>
            <w:r w:rsidRPr="0019790A">
              <w:rPr>
                <w:rFonts w:cs="Arial"/>
                <w:szCs w:val="22"/>
              </w:rPr>
              <w:t>Відділ молоді та спорту Жмеринської міської ради</w:t>
            </w:r>
          </w:p>
        </w:tc>
      </w:tr>
      <w:tr w:rsidR="005342D5" w:rsidRPr="0019790A" w14:paraId="59F9AFD7" w14:textId="77777777" w:rsidTr="009873B2">
        <w:trPr>
          <w:jc w:val="right"/>
        </w:trPr>
        <w:tc>
          <w:tcPr>
            <w:tcW w:w="3425" w:type="dxa"/>
          </w:tcPr>
          <w:p w14:paraId="31089AA8" w14:textId="77777777" w:rsidR="005342D5" w:rsidRPr="0019790A" w:rsidRDefault="005342D5" w:rsidP="0019790A">
            <w:pPr>
              <w:rPr>
                <w:rFonts w:cs="Arial"/>
                <w:b/>
                <w:bCs/>
                <w:szCs w:val="22"/>
              </w:rPr>
            </w:pPr>
            <w:r w:rsidRPr="0019790A">
              <w:rPr>
                <w:rFonts w:cs="Arial"/>
                <w:szCs w:val="22"/>
              </w:rPr>
              <w:t>Прізвище Ім’я По-батькові:</w:t>
            </w:r>
          </w:p>
        </w:tc>
        <w:tc>
          <w:tcPr>
            <w:tcW w:w="6794" w:type="dxa"/>
            <w:gridSpan w:val="8"/>
            <w:vAlign w:val="center"/>
          </w:tcPr>
          <w:p w14:paraId="3221E923" w14:textId="77777777" w:rsidR="005342D5" w:rsidRPr="0019790A" w:rsidRDefault="005342D5" w:rsidP="009873B2">
            <w:pPr>
              <w:rPr>
                <w:rFonts w:cs="Arial"/>
                <w:szCs w:val="22"/>
              </w:rPr>
            </w:pPr>
            <w:r w:rsidRPr="0019790A">
              <w:rPr>
                <w:rFonts w:cs="Arial"/>
                <w:szCs w:val="22"/>
              </w:rPr>
              <w:t>Ковальська Олена Віталіївна</w:t>
            </w:r>
          </w:p>
        </w:tc>
      </w:tr>
      <w:tr w:rsidR="005342D5" w:rsidRPr="0019790A" w14:paraId="3CA18A45" w14:textId="77777777" w:rsidTr="009873B2">
        <w:trPr>
          <w:jc w:val="right"/>
        </w:trPr>
        <w:tc>
          <w:tcPr>
            <w:tcW w:w="3425" w:type="dxa"/>
          </w:tcPr>
          <w:p w14:paraId="5ADBB9EC" w14:textId="77777777" w:rsidR="005342D5" w:rsidRPr="0019790A" w:rsidRDefault="005342D5" w:rsidP="0019790A">
            <w:pPr>
              <w:rPr>
                <w:rFonts w:cs="Arial"/>
                <w:b/>
                <w:bCs/>
                <w:szCs w:val="22"/>
              </w:rPr>
            </w:pPr>
            <w:r w:rsidRPr="0019790A">
              <w:rPr>
                <w:rFonts w:cs="Arial"/>
                <w:szCs w:val="22"/>
              </w:rPr>
              <w:t>Телефон (мобільний):</w:t>
            </w:r>
          </w:p>
        </w:tc>
        <w:tc>
          <w:tcPr>
            <w:tcW w:w="6794" w:type="dxa"/>
            <w:gridSpan w:val="8"/>
            <w:vAlign w:val="center"/>
          </w:tcPr>
          <w:p w14:paraId="3A788560" w14:textId="77777777" w:rsidR="005342D5" w:rsidRPr="0019790A" w:rsidRDefault="005342D5" w:rsidP="009873B2">
            <w:pPr>
              <w:rPr>
                <w:rFonts w:cs="Arial"/>
                <w:szCs w:val="22"/>
              </w:rPr>
            </w:pPr>
            <w:r w:rsidRPr="0019790A">
              <w:rPr>
                <w:rFonts w:cs="Arial"/>
                <w:szCs w:val="22"/>
              </w:rPr>
              <w:t>096-068-94-79</w:t>
            </w:r>
          </w:p>
        </w:tc>
      </w:tr>
      <w:tr w:rsidR="005342D5" w:rsidRPr="0019790A" w14:paraId="062A8EDA" w14:textId="77777777" w:rsidTr="009873B2">
        <w:trPr>
          <w:jc w:val="right"/>
        </w:trPr>
        <w:tc>
          <w:tcPr>
            <w:tcW w:w="3425" w:type="dxa"/>
          </w:tcPr>
          <w:p w14:paraId="1C423D1B" w14:textId="77777777" w:rsidR="005342D5" w:rsidRPr="0019790A" w:rsidRDefault="005342D5" w:rsidP="0019790A">
            <w:pPr>
              <w:rPr>
                <w:rFonts w:cs="Arial"/>
                <w:b/>
                <w:bCs/>
                <w:szCs w:val="22"/>
              </w:rPr>
            </w:pPr>
            <w:r w:rsidRPr="0019790A">
              <w:rPr>
                <w:rFonts w:cs="Arial"/>
                <w:szCs w:val="22"/>
              </w:rPr>
              <w:t>Електронна адреса:</w:t>
            </w:r>
          </w:p>
        </w:tc>
        <w:tc>
          <w:tcPr>
            <w:tcW w:w="6794" w:type="dxa"/>
            <w:gridSpan w:val="8"/>
            <w:vAlign w:val="center"/>
          </w:tcPr>
          <w:p w14:paraId="342EE597" w14:textId="77777777" w:rsidR="005342D5" w:rsidRPr="0019790A" w:rsidRDefault="00D85FFD" w:rsidP="009873B2">
            <w:pPr>
              <w:rPr>
                <w:rFonts w:cs="Arial"/>
                <w:szCs w:val="22"/>
              </w:rPr>
            </w:pPr>
            <w:hyperlink r:id="rId147" w:history="1">
              <w:r w:rsidR="005342D5" w:rsidRPr="0019790A">
                <w:rPr>
                  <w:rStyle w:val="af0"/>
                  <w:rFonts w:cs="Arial"/>
                  <w:b/>
                  <w:bCs/>
                  <w:noProof w:val="0"/>
                  <w:sz w:val="22"/>
                  <w:szCs w:val="22"/>
                </w:rPr>
                <w:t>ms@zhmr.gov.ua</w:t>
              </w:r>
            </w:hyperlink>
          </w:p>
        </w:tc>
      </w:tr>
      <w:tr w:rsidR="005342D5" w:rsidRPr="0019790A" w14:paraId="62C37129" w14:textId="77777777" w:rsidTr="009873B2">
        <w:trPr>
          <w:jc w:val="right"/>
        </w:trPr>
        <w:tc>
          <w:tcPr>
            <w:tcW w:w="3425" w:type="dxa"/>
            <w:vAlign w:val="center"/>
          </w:tcPr>
          <w:p w14:paraId="29B6EF21" w14:textId="77777777" w:rsidR="005342D5" w:rsidRPr="0019790A" w:rsidRDefault="005342D5" w:rsidP="0019790A">
            <w:pPr>
              <w:rPr>
                <w:rFonts w:cs="Arial"/>
                <w:b/>
                <w:bCs/>
                <w:szCs w:val="22"/>
              </w:rPr>
            </w:pPr>
            <w:r w:rsidRPr="0019790A">
              <w:rPr>
                <w:rFonts w:cs="Arial"/>
                <w:b/>
                <w:bCs/>
                <w:szCs w:val="22"/>
              </w:rPr>
              <w:t>Номер і назва завдання з Стратегії розвитку Жмеринської міської територіальної громади,  якому відповідає проєкт:</w:t>
            </w:r>
          </w:p>
        </w:tc>
        <w:tc>
          <w:tcPr>
            <w:tcW w:w="6794" w:type="dxa"/>
            <w:gridSpan w:val="8"/>
            <w:vAlign w:val="center"/>
          </w:tcPr>
          <w:p w14:paraId="6A0085B9" w14:textId="77777777" w:rsidR="005342D5" w:rsidRPr="009873B2" w:rsidRDefault="005342D5" w:rsidP="009873B2">
            <w:pPr>
              <w:rPr>
                <w:rFonts w:cs="Arial"/>
                <w:bCs/>
                <w:szCs w:val="22"/>
              </w:rPr>
            </w:pPr>
            <w:r w:rsidRPr="009873B2">
              <w:rPr>
                <w:rFonts w:cs="Arial"/>
                <w:bCs/>
                <w:szCs w:val="22"/>
              </w:rPr>
              <w:t>С.3.4.2. Будівництво, реконструкція інфраструктури спорту з урахуванням гендерного аспекту</w:t>
            </w:r>
          </w:p>
          <w:p w14:paraId="6C2501D0" w14:textId="17B6772E" w:rsidR="005342D5" w:rsidRPr="009873B2" w:rsidRDefault="005342D5" w:rsidP="009873B2">
            <w:pPr>
              <w:rPr>
                <w:rFonts w:cs="Arial"/>
                <w:szCs w:val="22"/>
              </w:rPr>
            </w:pPr>
            <w:r w:rsidRPr="009873B2">
              <w:rPr>
                <w:rFonts w:cs="Arial"/>
                <w:bCs/>
                <w:szCs w:val="22"/>
              </w:rPr>
              <w:t>С.3.4.6. Створення футбольних полів із штучним покриттям.</w:t>
            </w:r>
          </w:p>
        </w:tc>
      </w:tr>
      <w:tr w:rsidR="005342D5" w:rsidRPr="0019790A" w14:paraId="617D57B4" w14:textId="77777777" w:rsidTr="009873B2">
        <w:trPr>
          <w:jc w:val="right"/>
        </w:trPr>
        <w:tc>
          <w:tcPr>
            <w:tcW w:w="3425" w:type="dxa"/>
            <w:vAlign w:val="center"/>
          </w:tcPr>
          <w:p w14:paraId="7ED9219C" w14:textId="77777777" w:rsidR="005342D5" w:rsidRPr="0019790A" w:rsidRDefault="005342D5" w:rsidP="0019790A">
            <w:pPr>
              <w:rPr>
                <w:rFonts w:cs="Arial"/>
                <w:b/>
                <w:bCs/>
                <w:szCs w:val="22"/>
              </w:rPr>
            </w:pPr>
            <w:r w:rsidRPr="0019790A">
              <w:rPr>
                <w:rFonts w:cs="Arial"/>
                <w:b/>
                <w:bCs/>
                <w:szCs w:val="22"/>
              </w:rPr>
              <w:t>Мета проєкту:</w:t>
            </w:r>
          </w:p>
        </w:tc>
        <w:tc>
          <w:tcPr>
            <w:tcW w:w="6794" w:type="dxa"/>
            <w:gridSpan w:val="8"/>
            <w:vAlign w:val="center"/>
          </w:tcPr>
          <w:p w14:paraId="6AEB5734" w14:textId="77777777" w:rsidR="005342D5" w:rsidRPr="0019790A" w:rsidRDefault="005342D5" w:rsidP="009873B2">
            <w:pPr>
              <w:rPr>
                <w:rFonts w:cs="Arial"/>
                <w:szCs w:val="22"/>
              </w:rPr>
            </w:pPr>
            <w:r w:rsidRPr="0019790A">
              <w:rPr>
                <w:rFonts w:cs="Arial"/>
                <w:szCs w:val="22"/>
              </w:rPr>
              <w:t>Створити сучасну, безпечну та інклюзивну спортивну інфраструктуру на базі стадіону "Локомотив" для залучення мешканців усіх вікових категорій до спорту, дозвілля, змагань та масових заходів.</w:t>
            </w:r>
          </w:p>
        </w:tc>
      </w:tr>
      <w:tr w:rsidR="005342D5" w:rsidRPr="0019790A" w14:paraId="3753A5D7" w14:textId="77777777" w:rsidTr="009873B2">
        <w:trPr>
          <w:jc w:val="right"/>
        </w:trPr>
        <w:tc>
          <w:tcPr>
            <w:tcW w:w="3425" w:type="dxa"/>
            <w:vAlign w:val="center"/>
          </w:tcPr>
          <w:p w14:paraId="209A914C" w14:textId="77777777" w:rsidR="005342D5" w:rsidRPr="0019790A" w:rsidRDefault="005342D5" w:rsidP="0019790A">
            <w:pPr>
              <w:rPr>
                <w:rFonts w:cs="Arial"/>
                <w:b/>
                <w:bCs/>
                <w:szCs w:val="22"/>
              </w:rPr>
            </w:pPr>
            <w:r w:rsidRPr="0019790A">
              <w:rPr>
                <w:rFonts w:cs="Arial"/>
                <w:b/>
                <w:bCs/>
                <w:szCs w:val="22"/>
              </w:rPr>
              <w:t>Цілі проєкту:</w:t>
            </w:r>
          </w:p>
        </w:tc>
        <w:tc>
          <w:tcPr>
            <w:tcW w:w="6794" w:type="dxa"/>
            <w:gridSpan w:val="8"/>
            <w:vAlign w:val="center"/>
          </w:tcPr>
          <w:p w14:paraId="64C4E294" w14:textId="77777777" w:rsidR="005342D5" w:rsidRPr="0019790A" w:rsidRDefault="005342D5" w:rsidP="009873B2">
            <w:pPr>
              <w:numPr>
                <w:ilvl w:val="0"/>
                <w:numId w:val="135"/>
              </w:numPr>
              <w:tabs>
                <w:tab w:val="left" w:pos="377"/>
              </w:tabs>
              <w:ind w:left="186" w:hanging="141"/>
              <w:rPr>
                <w:rFonts w:cs="Arial"/>
                <w:szCs w:val="22"/>
              </w:rPr>
            </w:pPr>
            <w:r w:rsidRPr="0019790A">
              <w:rPr>
                <w:rFonts w:cs="Arial"/>
                <w:szCs w:val="22"/>
              </w:rPr>
              <w:t>Забезпечити належні умови для занять спортом на відкритому повітрі.</w:t>
            </w:r>
          </w:p>
          <w:p w14:paraId="70353D07" w14:textId="77777777" w:rsidR="005342D5" w:rsidRPr="0019790A" w:rsidRDefault="005342D5" w:rsidP="009873B2">
            <w:pPr>
              <w:numPr>
                <w:ilvl w:val="0"/>
                <w:numId w:val="135"/>
              </w:numPr>
              <w:tabs>
                <w:tab w:val="left" w:pos="377"/>
              </w:tabs>
              <w:ind w:left="186" w:hanging="141"/>
              <w:rPr>
                <w:rFonts w:cs="Arial"/>
                <w:szCs w:val="22"/>
              </w:rPr>
            </w:pPr>
            <w:r w:rsidRPr="0019790A">
              <w:rPr>
                <w:rFonts w:cs="Arial"/>
                <w:szCs w:val="22"/>
              </w:rPr>
              <w:t>Підвищити рівень масової фізичної активності населення.</w:t>
            </w:r>
          </w:p>
          <w:p w14:paraId="457319A6" w14:textId="77777777" w:rsidR="005342D5" w:rsidRPr="0019790A" w:rsidRDefault="005342D5" w:rsidP="009873B2">
            <w:pPr>
              <w:numPr>
                <w:ilvl w:val="0"/>
                <w:numId w:val="135"/>
              </w:numPr>
              <w:tabs>
                <w:tab w:val="left" w:pos="377"/>
              </w:tabs>
              <w:ind w:left="186" w:hanging="141"/>
              <w:rPr>
                <w:rFonts w:cs="Arial"/>
                <w:szCs w:val="22"/>
              </w:rPr>
            </w:pPr>
            <w:r w:rsidRPr="0019790A">
              <w:rPr>
                <w:rFonts w:cs="Arial"/>
                <w:szCs w:val="22"/>
              </w:rPr>
              <w:t>Забезпечити можливість проведення офіційних змагань обласного та всеукраїнського рівнів.</w:t>
            </w:r>
          </w:p>
          <w:p w14:paraId="6BABC28E" w14:textId="77777777" w:rsidR="005342D5" w:rsidRPr="0019790A" w:rsidRDefault="005342D5" w:rsidP="009873B2">
            <w:pPr>
              <w:numPr>
                <w:ilvl w:val="0"/>
                <w:numId w:val="135"/>
              </w:numPr>
              <w:tabs>
                <w:tab w:val="left" w:pos="377"/>
              </w:tabs>
              <w:ind w:left="186" w:hanging="141"/>
              <w:rPr>
                <w:rFonts w:cs="Arial"/>
                <w:szCs w:val="22"/>
              </w:rPr>
            </w:pPr>
            <w:r w:rsidRPr="0019790A">
              <w:rPr>
                <w:rFonts w:cs="Arial"/>
                <w:szCs w:val="22"/>
              </w:rPr>
              <w:t>Створити безпечний, доступний та привабливий публічний простір для мешканців.</w:t>
            </w:r>
          </w:p>
        </w:tc>
      </w:tr>
      <w:tr w:rsidR="005342D5" w:rsidRPr="0019790A" w14:paraId="1A0FCCB3" w14:textId="77777777" w:rsidTr="009873B2">
        <w:trPr>
          <w:jc w:val="right"/>
        </w:trPr>
        <w:tc>
          <w:tcPr>
            <w:tcW w:w="3425" w:type="dxa"/>
            <w:vAlign w:val="center"/>
          </w:tcPr>
          <w:p w14:paraId="1F0E0472" w14:textId="77777777" w:rsidR="005342D5" w:rsidRPr="0019790A" w:rsidRDefault="005342D5" w:rsidP="0019790A">
            <w:pPr>
              <w:rPr>
                <w:rFonts w:cs="Arial"/>
                <w:b/>
                <w:szCs w:val="22"/>
              </w:rPr>
            </w:pPr>
            <w:r w:rsidRPr="0019790A">
              <w:rPr>
                <w:rFonts w:cs="Arial"/>
                <w:b/>
                <w:szCs w:val="22"/>
              </w:rPr>
              <w:t>Територія на яку проєкт матиме вплив:</w:t>
            </w:r>
          </w:p>
        </w:tc>
        <w:tc>
          <w:tcPr>
            <w:tcW w:w="6794" w:type="dxa"/>
            <w:gridSpan w:val="8"/>
            <w:vAlign w:val="center"/>
          </w:tcPr>
          <w:p w14:paraId="77CD4CFF" w14:textId="77777777" w:rsidR="005342D5" w:rsidRPr="0019790A" w:rsidRDefault="005342D5" w:rsidP="009873B2">
            <w:pPr>
              <w:rPr>
                <w:rFonts w:cs="Arial"/>
                <w:szCs w:val="22"/>
              </w:rPr>
            </w:pPr>
            <w:r w:rsidRPr="0019790A">
              <w:rPr>
                <w:rFonts w:cs="Arial"/>
                <w:szCs w:val="22"/>
              </w:rPr>
              <w:t>Жмеринська міська територіальна громада</w:t>
            </w:r>
          </w:p>
        </w:tc>
      </w:tr>
      <w:tr w:rsidR="005342D5" w:rsidRPr="0019790A" w14:paraId="05BC0536" w14:textId="77777777" w:rsidTr="009873B2">
        <w:trPr>
          <w:jc w:val="right"/>
        </w:trPr>
        <w:tc>
          <w:tcPr>
            <w:tcW w:w="3425" w:type="dxa"/>
            <w:vAlign w:val="center"/>
          </w:tcPr>
          <w:p w14:paraId="6B2C9E74" w14:textId="77777777" w:rsidR="005342D5" w:rsidRPr="0019790A" w:rsidRDefault="005342D5" w:rsidP="0019790A">
            <w:pPr>
              <w:rPr>
                <w:rFonts w:cs="Arial"/>
                <w:b/>
                <w:szCs w:val="22"/>
              </w:rPr>
            </w:pPr>
            <w:r w:rsidRPr="0019790A">
              <w:rPr>
                <w:rFonts w:cs="Arial"/>
                <w:b/>
                <w:szCs w:val="22"/>
              </w:rPr>
              <w:t>Цільові групи проєкту та кількість отримувачів вигоди</w:t>
            </w:r>
          </w:p>
        </w:tc>
        <w:tc>
          <w:tcPr>
            <w:tcW w:w="6794" w:type="dxa"/>
            <w:gridSpan w:val="8"/>
            <w:vAlign w:val="center"/>
          </w:tcPr>
          <w:p w14:paraId="29C7C785" w14:textId="77777777" w:rsidR="005342D5" w:rsidRPr="0019790A" w:rsidRDefault="005342D5" w:rsidP="009873B2">
            <w:pPr>
              <w:numPr>
                <w:ilvl w:val="0"/>
                <w:numId w:val="134"/>
              </w:numPr>
              <w:tabs>
                <w:tab w:val="left" w:pos="415"/>
              </w:tabs>
              <w:ind w:left="186" w:hanging="141"/>
              <w:rPr>
                <w:rFonts w:cs="Arial"/>
                <w:szCs w:val="22"/>
              </w:rPr>
            </w:pPr>
            <w:r w:rsidRPr="0019790A">
              <w:rPr>
                <w:rFonts w:cs="Arial"/>
                <w:szCs w:val="22"/>
              </w:rPr>
              <w:t>Діти та молодь</w:t>
            </w:r>
          </w:p>
          <w:p w14:paraId="703E0B10" w14:textId="77777777" w:rsidR="005342D5" w:rsidRPr="0019790A" w:rsidRDefault="005342D5" w:rsidP="009873B2">
            <w:pPr>
              <w:numPr>
                <w:ilvl w:val="0"/>
                <w:numId w:val="134"/>
              </w:numPr>
              <w:tabs>
                <w:tab w:val="left" w:pos="415"/>
              </w:tabs>
              <w:ind w:left="186" w:hanging="141"/>
              <w:rPr>
                <w:rFonts w:cs="Arial"/>
                <w:szCs w:val="22"/>
              </w:rPr>
            </w:pPr>
            <w:r w:rsidRPr="0019790A">
              <w:rPr>
                <w:rFonts w:cs="Arial"/>
                <w:szCs w:val="22"/>
              </w:rPr>
              <w:t>Спортсмени, учні спортивних шкіл</w:t>
            </w:r>
          </w:p>
          <w:p w14:paraId="173B452C" w14:textId="77777777" w:rsidR="005342D5" w:rsidRPr="0019790A" w:rsidRDefault="005342D5" w:rsidP="009873B2">
            <w:pPr>
              <w:numPr>
                <w:ilvl w:val="0"/>
                <w:numId w:val="134"/>
              </w:numPr>
              <w:tabs>
                <w:tab w:val="left" w:pos="415"/>
              </w:tabs>
              <w:ind w:left="186" w:hanging="141"/>
              <w:rPr>
                <w:rFonts w:cs="Arial"/>
                <w:szCs w:val="22"/>
              </w:rPr>
            </w:pPr>
            <w:r w:rsidRPr="0019790A">
              <w:rPr>
                <w:rFonts w:cs="Arial"/>
                <w:szCs w:val="22"/>
              </w:rPr>
              <w:t>Ветерани спорту, особи середнього та пенсійного віку</w:t>
            </w:r>
          </w:p>
          <w:p w14:paraId="57D9733D" w14:textId="77777777" w:rsidR="005342D5" w:rsidRPr="0019790A" w:rsidRDefault="005342D5" w:rsidP="009873B2">
            <w:pPr>
              <w:numPr>
                <w:ilvl w:val="0"/>
                <w:numId w:val="134"/>
              </w:numPr>
              <w:tabs>
                <w:tab w:val="left" w:pos="415"/>
              </w:tabs>
              <w:ind w:left="186" w:hanging="141"/>
              <w:rPr>
                <w:rFonts w:cs="Arial"/>
                <w:szCs w:val="22"/>
              </w:rPr>
            </w:pPr>
            <w:r w:rsidRPr="0019790A">
              <w:rPr>
                <w:rFonts w:cs="Arial"/>
                <w:szCs w:val="22"/>
              </w:rPr>
              <w:t>Особи з інвалідністю</w:t>
            </w:r>
          </w:p>
          <w:p w14:paraId="4C26C539" w14:textId="77777777" w:rsidR="005342D5" w:rsidRPr="0019790A" w:rsidRDefault="005342D5" w:rsidP="009873B2">
            <w:pPr>
              <w:numPr>
                <w:ilvl w:val="0"/>
                <w:numId w:val="134"/>
              </w:numPr>
              <w:tabs>
                <w:tab w:val="left" w:pos="415"/>
              </w:tabs>
              <w:ind w:left="186" w:hanging="141"/>
              <w:rPr>
                <w:rFonts w:cs="Arial"/>
                <w:szCs w:val="22"/>
              </w:rPr>
            </w:pPr>
            <w:r w:rsidRPr="0019790A">
              <w:rPr>
                <w:rFonts w:cs="Arial"/>
                <w:szCs w:val="22"/>
              </w:rPr>
              <w:t>Учасники змагань, вболівальники</w:t>
            </w:r>
          </w:p>
          <w:p w14:paraId="0669024A" w14:textId="77777777" w:rsidR="005342D5" w:rsidRPr="0019790A" w:rsidRDefault="005342D5" w:rsidP="009873B2">
            <w:pPr>
              <w:numPr>
                <w:ilvl w:val="0"/>
                <w:numId w:val="134"/>
              </w:numPr>
              <w:tabs>
                <w:tab w:val="left" w:pos="415"/>
              </w:tabs>
              <w:ind w:left="186" w:hanging="141"/>
              <w:rPr>
                <w:rFonts w:cs="Arial"/>
                <w:szCs w:val="22"/>
              </w:rPr>
            </w:pPr>
            <w:r w:rsidRPr="0019790A">
              <w:rPr>
                <w:rFonts w:cs="Arial"/>
                <w:szCs w:val="22"/>
              </w:rPr>
              <w:t>Школи, ПТУ, ВПО та громади, які потребують доступного стадіону</w:t>
            </w:r>
          </w:p>
          <w:p w14:paraId="0589778D" w14:textId="77777777" w:rsidR="005342D5" w:rsidRPr="0019790A" w:rsidRDefault="005342D5" w:rsidP="009873B2">
            <w:pPr>
              <w:rPr>
                <w:rFonts w:cs="Arial"/>
                <w:szCs w:val="22"/>
              </w:rPr>
            </w:pPr>
            <w:r w:rsidRPr="0019790A">
              <w:rPr>
                <w:rFonts w:cs="Arial"/>
                <w:b/>
                <w:szCs w:val="22"/>
              </w:rPr>
              <w:t>Кількість отримувачів вигоди</w:t>
            </w:r>
            <w:r w:rsidRPr="0019790A">
              <w:rPr>
                <w:rFonts w:cs="Arial"/>
                <w:szCs w:val="22"/>
              </w:rPr>
              <w:t xml:space="preserve"> </w:t>
            </w:r>
            <w:r w:rsidRPr="0019790A">
              <w:rPr>
                <w:rFonts w:cs="Arial"/>
                <w:b/>
                <w:szCs w:val="22"/>
              </w:rPr>
              <w:t>10000 осіб.</w:t>
            </w:r>
          </w:p>
        </w:tc>
      </w:tr>
      <w:tr w:rsidR="005342D5" w:rsidRPr="0019790A" w14:paraId="65EA85B5" w14:textId="77777777" w:rsidTr="009873B2">
        <w:trPr>
          <w:jc w:val="right"/>
        </w:trPr>
        <w:tc>
          <w:tcPr>
            <w:tcW w:w="3425" w:type="dxa"/>
            <w:shd w:val="clear" w:color="auto" w:fill="FFFFFF"/>
            <w:vAlign w:val="center"/>
          </w:tcPr>
          <w:p w14:paraId="1920A9CF" w14:textId="77777777" w:rsidR="005342D5" w:rsidRPr="0019790A" w:rsidRDefault="005342D5" w:rsidP="0019790A">
            <w:pPr>
              <w:rPr>
                <w:rFonts w:cs="Arial"/>
                <w:b/>
                <w:bCs/>
                <w:szCs w:val="22"/>
              </w:rPr>
            </w:pPr>
            <w:r w:rsidRPr="0019790A">
              <w:rPr>
                <w:rFonts w:cs="Arial"/>
                <w:b/>
                <w:bCs/>
                <w:szCs w:val="22"/>
              </w:rPr>
              <w:t>Стислий опис проєкту:</w:t>
            </w:r>
          </w:p>
        </w:tc>
        <w:tc>
          <w:tcPr>
            <w:tcW w:w="6794" w:type="dxa"/>
            <w:gridSpan w:val="8"/>
            <w:vAlign w:val="center"/>
          </w:tcPr>
          <w:p w14:paraId="151F1EBA" w14:textId="77777777" w:rsidR="005342D5" w:rsidRPr="0019790A" w:rsidRDefault="005342D5" w:rsidP="009873B2">
            <w:pPr>
              <w:rPr>
                <w:rFonts w:cs="Arial"/>
                <w:szCs w:val="22"/>
              </w:rPr>
            </w:pPr>
            <w:r w:rsidRPr="0019790A">
              <w:rPr>
                <w:rFonts w:cs="Arial"/>
                <w:szCs w:val="22"/>
              </w:rPr>
              <w:t>Проєкт передбачає капітальну реконструкцію стадіону "Локомотив" із заміною бігових доріжок, футбольного поля, встановленням сучасного освітлення, огорожі, трибун, облаштуванням легкоатлетичних зон, санітарних приміщень, зон безбар’єрного доступу та благоустроєм території. Стадіон стане сучасним центром для тренувань, змагань, фестивалів та дозвілля громади.</w:t>
            </w:r>
          </w:p>
        </w:tc>
      </w:tr>
      <w:tr w:rsidR="005342D5" w:rsidRPr="0019790A" w14:paraId="24DA70A5" w14:textId="77777777" w:rsidTr="009873B2">
        <w:trPr>
          <w:jc w:val="right"/>
        </w:trPr>
        <w:tc>
          <w:tcPr>
            <w:tcW w:w="3425" w:type="dxa"/>
            <w:shd w:val="clear" w:color="auto" w:fill="FFFFFF"/>
            <w:vAlign w:val="center"/>
          </w:tcPr>
          <w:p w14:paraId="71185D2C" w14:textId="77777777" w:rsidR="005342D5" w:rsidRPr="0019790A" w:rsidRDefault="005342D5" w:rsidP="0019790A">
            <w:pPr>
              <w:rPr>
                <w:rFonts w:cs="Arial"/>
                <w:b/>
                <w:bCs/>
                <w:szCs w:val="22"/>
              </w:rPr>
            </w:pPr>
            <w:r w:rsidRPr="0019790A">
              <w:rPr>
                <w:rFonts w:cs="Arial"/>
                <w:b/>
                <w:bCs/>
                <w:szCs w:val="22"/>
              </w:rPr>
              <w:t>Основні заходи проєкту:</w:t>
            </w:r>
          </w:p>
        </w:tc>
        <w:tc>
          <w:tcPr>
            <w:tcW w:w="6794" w:type="dxa"/>
            <w:gridSpan w:val="8"/>
            <w:vAlign w:val="center"/>
          </w:tcPr>
          <w:p w14:paraId="4EBB5AD1" w14:textId="77777777" w:rsidR="005342D5" w:rsidRPr="0019790A" w:rsidRDefault="005342D5" w:rsidP="009873B2">
            <w:pPr>
              <w:numPr>
                <w:ilvl w:val="0"/>
                <w:numId w:val="136"/>
              </w:numPr>
              <w:tabs>
                <w:tab w:val="left" w:pos="477"/>
              </w:tabs>
              <w:ind w:left="186" w:hanging="141"/>
              <w:rPr>
                <w:rFonts w:cs="Arial"/>
                <w:szCs w:val="22"/>
              </w:rPr>
            </w:pPr>
            <w:r w:rsidRPr="0019790A">
              <w:rPr>
                <w:rFonts w:cs="Arial"/>
                <w:szCs w:val="22"/>
              </w:rPr>
              <w:t>Обстеження технічного стану об'єкта та підготовка проєктно-кошторисної документації</w:t>
            </w:r>
          </w:p>
          <w:p w14:paraId="0497EB41" w14:textId="77777777" w:rsidR="005342D5" w:rsidRPr="0019790A" w:rsidRDefault="005342D5" w:rsidP="009873B2">
            <w:pPr>
              <w:numPr>
                <w:ilvl w:val="0"/>
                <w:numId w:val="136"/>
              </w:numPr>
              <w:tabs>
                <w:tab w:val="left" w:pos="477"/>
              </w:tabs>
              <w:ind w:left="186" w:hanging="141"/>
              <w:rPr>
                <w:rFonts w:cs="Arial"/>
                <w:szCs w:val="22"/>
              </w:rPr>
            </w:pPr>
            <w:r w:rsidRPr="0019790A">
              <w:rPr>
                <w:rFonts w:cs="Arial"/>
                <w:szCs w:val="22"/>
              </w:rPr>
              <w:t>Демонтаж старих конструкцій і покриття</w:t>
            </w:r>
          </w:p>
          <w:p w14:paraId="5328E298" w14:textId="77777777" w:rsidR="005342D5" w:rsidRPr="0019790A" w:rsidRDefault="005342D5" w:rsidP="009873B2">
            <w:pPr>
              <w:numPr>
                <w:ilvl w:val="0"/>
                <w:numId w:val="136"/>
              </w:numPr>
              <w:tabs>
                <w:tab w:val="left" w:pos="477"/>
              </w:tabs>
              <w:ind w:left="186" w:hanging="141"/>
              <w:rPr>
                <w:rFonts w:cs="Arial"/>
                <w:szCs w:val="22"/>
              </w:rPr>
            </w:pPr>
            <w:r w:rsidRPr="0019790A">
              <w:rPr>
                <w:rFonts w:cs="Arial"/>
                <w:szCs w:val="22"/>
              </w:rPr>
              <w:t>Встановлення нового штучного покриття футбольного поля</w:t>
            </w:r>
          </w:p>
          <w:p w14:paraId="6289D415" w14:textId="77777777" w:rsidR="005342D5" w:rsidRPr="0019790A" w:rsidRDefault="005342D5" w:rsidP="009873B2">
            <w:pPr>
              <w:numPr>
                <w:ilvl w:val="0"/>
                <w:numId w:val="136"/>
              </w:numPr>
              <w:tabs>
                <w:tab w:val="left" w:pos="477"/>
              </w:tabs>
              <w:ind w:left="186" w:hanging="141"/>
              <w:rPr>
                <w:rFonts w:cs="Arial"/>
                <w:szCs w:val="22"/>
              </w:rPr>
            </w:pPr>
            <w:r w:rsidRPr="0019790A">
              <w:rPr>
                <w:rFonts w:cs="Arial"/>
                <w:szCs w:val="22"/>
              </w:rPr>
              <w:t>Влаштування легкоатлетичних доріжок і секторів</w:t>
            </w:r>
          </w:p>
          <w:p w14:paraId="5C9A14ED" w14:textId="77777777" w:rsidR="005342D5" w:rsidRPr="0019790A" w:rsidRDefault="005342D5" w:rsidP="009873B2">
            <w:pPr>
              <w:numPr>
                <w:ilvl w:val="0"/>
                <w:numId w:val="136"/>
              </w:numPr>
              <w:tabs>
                <w:tab w:val="left" w:pos="477"/>
              </w:tabs>
              <w:ind w:left="186" w:hanging="141"/>
              <w:rPr>
                <w:rFonts w:cs="Arial"/>
                <w:szCs w:val="22"/>
              </w:rPr>
            </w:pPr>
            <w:r w:rsidRPr="0019790A">
              <w:rPr>
                <w:rFonts w:cs="Arial"/>
                <w:szCs w:val="22"/>
              </w:rPr>
              <w:t>Установка трибун, освітлення, огорожі</w:t>
            </w:r>
          </w:p>
          <w:p w14:paraId="1E21A623" w14:textId="77777777" w:rsidR="005342D5" w:rsidRPr="0019790A" w:rsidRDefault="005342D5" w:rsidP="009873B2">
            <w:pPr>
              <w:numPr>
                <w:ilvl w:val="0"/>
                <w:numId w:val="136"/>
              </w:numPr>
              <w:tabs>
                <w:tab w:val="left" w:pos="477"/>
              </w:tabs>
              <w:ind w:left="186" w:hanging="141"/>
              <w:rPr>
                <w:rFonts w:cs="Arial"/>
                <w:szCs w:val="22"/>
              </w:rPr>
            </w:pPr>
            <w:r w:rsidRPr="0019790A">
              <w:rPr>
                <w:rFonts w:cs="Arial"/>
                <w:szCs w:val="22"/>
              </w:rPr>
              <w:t>Благоустрій прилеглої території, озеленення</w:t>
            </w:r>
          </w:p>
          <w:p w14:paraId="0BEF3E9F" w14:textId="77777777" w:rsidR="005342D5" w:rsidRPr="0019790A" w:rsidRDefault="005342D5" w:rsidP="009873B2">
            <w:pPr>
              <w:numPr>
                <w:ilvl w:val="0"/>
                <w:numId w:val="136"/>
              </w:numPr>
              <w:tabs>
                <w:tab w:val="left" w:pos="477"/>
              </w:tabs>
              <w:ind w:left="186" w:hanging="141"/>
              <w:rPr>
                <w:rFonts w:cs="Arial"/>
                <w:szCs w:val="22"/>
              </w:rPr>
            </w:pPr>
            <w:r w:rsidRPr="0019790A">
              <w:rPr>
                <w:rFonts w:cs="Arial"/>
                <w:szCs w:val="22"/>
              </w:rPr>
              <w:t>Облаштування доступу для маломобільних груп</w:t>
            </w:r>
          </w:p>
          <w:p w14:paraId="74420C30" w14:textId="77777777" w:rsidR="005342D5" w:rsidRPr="0019790A" w:rsidRDefault="005342D5" w:rsidP="009873B2">
            <w:pPr>
              <w:numPr>
                <w:ilvl w:val="0"/>
                <w:numId w:val="136"/>
              </w:numPr>
              <w:tabs>
                <w:tab w:val="left" w:pos="477"/>
              </w:tabs>
              <w:ind w:left="186" w:hanging="141"/>
              <w:rPr>
                <w:rFonts w:cs="Arial"/>
                <w:szCs w:val="22"/>
              </w:rPr>
            </w:pPr>
            <w:r w:rsidRPr="0019790A">
              <w:rPr>
                <w:rFonts w:cs="Arial"/>
                <w:szCs w:val="22"/>
              </w:rPr>
              <w:t>Введення стадіону в експлуатацію</w:t>
            </w:r>
          </w:p>
        </w:tc>
      </w:tr>
      <w:tr w:rsidR="005342D5" w:rsidRPr="0019790A" w14:paraId="59615A9E" w14:textId="77777777" w:rsidTr="009873B2">
        <w:trPr>
          <w:jc w:val="right"/>
        </w:trPr>
        <w:tc>
          <w:tcPr>
            <w:tcW w:w="3425" w:type="dxa"/>
            <w:shd w:val="clear" w:color="auto" w:fill="FFFFFF"/>
            <w:vAlign w:val="center"/>
          </w:tcPr>
          <w:p w14:paraId="6B20304C" w14:textId="77777777" w:rsidR="005342D5" w:rsidRPr="0019790A" w:rsidRDefault="005342D5" w:rsidP="0019790A">
            <w:pPr>
              <w:rPr>
                <w:rFonts w:cs="Arial"/>
                <w:b/>
                <w:bCs/>
                <w:szCs w:val="22"/>
              </w:rPr>
            </w:pPr>
            <w:r w:rsidRPr="0019790A">
              <w:rPr>
                <w:rFonts w:cs="Arial"/>
                <w:b/>
                <w:bCs/>
                <w:szCs w:val="22"/>
              </w:rPr>
              <w:t>Індикатори (показники) результативності:</w:t>
            </w:r>
          </w:p>
        </w:tc>
        <w:tc>
          <w:tcPr>
            <w:tcW w:w="6794" w:type="dxa"/>
            <w:gridSpan w:val="8"/>
            <w:vAlign w:val="center"/>
          </w:tcPr>
          <w:p w14:paraId="4CE9C2F4" w14:textId="77777777" w:rsidR="005342D5" w:rsidRPr="0019790A" w:rsidRDefault="005342D5" w:rsidP="009873B2">
            <w:pPr>
              <w:numPr>
                <w:ilvl w:val="0"/>
                <w:numId w:val="137"/>
              </w:numPr>
              <w:tabs>
                <w:tab w:val="left" w:pos="477"/>
              </w:tabs>
              <w:ind w:left="186" w:hanging="141"/>
              <w:rPr>
                <w:rFonts w:cs="Arial"/>
                <w:szCs w:val="22"/>
              </w:rPr>
            </w:pPr>
            <w:r w:rsidRPr="0019790A">
              <w:rPr>
                <w:rFonts w:cs="Arial"/>
                <w:szCs w:val="22"/>
              </w:rPr>
              <w:t>Реконструйований стадіон загальною площею понад 1 га</w:t>
            </w:r>
          </w:p>
          <w:p w14:paraId="3EE8E17C" w14:textId="77777777" w:rsidR="005342D5" w:rsidRPr="0019790A" w:rsidRDefault="005342D5" w:rsidP="009873B2">
            <w:pPr>
              <w:numPr>
                <w:ilvl w:val="0"/>
                <w:numId w:val="137"/>
              </w:numPr>
              <w:tabs>
                <w:tab w:val="left" w:pos="477"/>
              </w:tabs>
              <w:ind w:left="186" w:hanging="141"/>
              <w:rPr>
                <w:rFonts w:cs="Arial"/>
                <w:szCs w:val="22"/>
              </w:rPr>
            </w:pPr>
            <w:r w:rsidRPr="0019790A">
              <w:rPr>
                <w:rFonts w:cs="Arial"/>
                <w:szCs w:val="22"/>
              </w:rPr>
              <w:t>Нове футбольне поле та бігові доріжки, сертифіковані для змагань</w:t>
            </w:r>
          </w:p>
          <w:p w14:paraId="071F1988" w14:textId="77777777" w:rsidR="005342D5" w:rsidRPr="0019790A" w:rsidRDefault="005342D5" w:rsidP="009873B2">
            <w:pPr>
              <w:numPr>
                <w:ilvl w:val="0"/>
                <w:numId w:val="137"/>
              </w:numPr>
              <w:tabs>
                <w:tab w:val="left" w:pos="477"/>
              </w:tabs>
              <w:ind w:left="186" w:hanging="141"/>
              <w:rPr>
                <w:rFonts w:cs="Arial"/>
                <w:szCs w:val="22"/>
              </w:rPr>
            </w:pPr>
            <w:r w:rsidRPr="0019790A">
              <w:rPr>
                <w:rFonts w:cs="Arial"/>
                <w:szCs w:val="22"/>
              </w:rPr>
              <w:t>Понад 3000 осіб на місяць зможуть користуватися стадіоном</w:t>
            </w:r>
          </w:p>
          <w:p w14:paraId="4F2334D2" w14:textId="77777777" w:rsidR="005342D5" w:rsidRPr="0019790A" w:rsidRDefault="005342D5" w:rsidP="009873B2">
            <w:pPr>
              <w:numPr>
                <w:ilvl w:val="0"/>
                <w:numId w:val="137"/>
              </w:numPr>
              <w:tabs>
                <w:tab w:val="left" w:pos="477"/>
              </w:tabs>
              <w:ind w:left="186" w:hanging="141"/>
              <w:rPr>
                <w:rFonts w:cs="Arial"/>
                <w:szCs w:val="22"/>
              </w:rPr>
            </w:pPr>
            <w:r w:rsidRPr="0019790A">
              <w:rPr>
                <w:rFonts w:cs="Arial"/>
                <w:szCs w:val="22"/>
              </w:rPr>
              <w:t>Проведено щонайменше 20 спортивних заходів на рік</w:t>
            </w:r>
          </w:p>
          <w:p w14:paraId="14AE41E5" w14:textId="77777777" w:rsidR="005342D5" w:rsidRPr="0019790A" w:rsidRDefault="005342D5" w:rsidP="009873B2">
            <w:pPr>
              <w:numPr>
                <w:ilvl w:val="0"/>
                <w:numId w:val="137"/>
              </w:numPr>
              <w:tabs>
                <w:tab w:val="left" w:pos="477"/>
              </w:tabs>
              <w:ind w:left="186" w:hanging="141"/>
              <w:rPr>
                <w:rFonts w:cs="Arial"/>
                <w:szCs w:val="22"/>
              </w:rPr>
            </w:pPr>
            <w:r w:rsidRPr="0019790A">
              <w:rPr>
                <w:rFonts w:cs="Arial"/>
                <w:szCs w:val="22"/>
              </w:rPr>
              <w:t>Залучення учнів 10+ навчальних закладів до тренувань</w:t>
            </w:r>
          </w:p>
          <w:p w14:paraId="7C22AD5A" w14:textId="77777777" w:rsidR="005342D5" w:rsidRPr="0019790A" w:rsidRDefault="005342D5" w:rsidP="009873B2">
            <w:pPr>
              <w:numPr>
                <w:ilvl w:val="0"/>
                <w:numId w:val="137"/>
              </w:numPr>
              <w:tabs>
                <w:tab w:val="left" w:pos="477"/>
              </w:tabs>
              <w:ind w:left="186" w:hanging="141"/>
              <w:rPr>
                <w:rFonts w:cs="Arial"/>
                <w:szCs w:val="22"/>
              </w:rPr>
            </w:pPr>
            <w:r w:rsidRPr="0019790A">
              <w:rPr>
                <w:rFonts w:cs="Arial"/>
                <w:szCs w:val="22"/>
              </w:rPr>
              <w:t>Створено безбар'єрне середовище для маломобільних відвідувачів</w:t>
            </w:r>
          </w:p>
        </w:tc>
      </w:tr>
      <w:tr w:rsidR="005342D5" w:rsidRPr="0019790A" w14:paraId="611629A5" w14:textId="77777777" w:rsidTr="00CF3AAE">
        <w:trPr>
          <w:jc w:val="right"/>
        </w:trPr>
        <w:tc>
          <w:tcPr>
            <w:tcW w:w="3425" w:type="dxa"/>
            <w:shd w:val="clear" w:color="auto" w:fill="FFFFFF"/>
            <w:vAlign w:val="center"/>
          </w:tcPr>
          <w:p w14:paraId="06DE423C" w14:textId="77777777" w:rsidR="005342D5" w:rsidRPr="0019790A" w:rsidRDefault="005342D5" w:rsidP="0019790A">
            <w:pPr>
              <w:rPr>
                <w:rFonts w:cs="Arial"/>
                <w:b/>
                <w:szCs w:val="22"/>
              </w:rPr>
            </w:pPr>
            <w:r w:rsidRPr="0019790A">
              <w:rPr>
                <w:rFonts w:cs="Arial"/>
                <w:b/>
                <w:szCs w:val="22"/>
              </w:rPr>
              <w:t xml:space="preserve">Період здійснення: </w:t>
            </w:r>
          </w:p>
        </w:tc>
        <w:tc>
          <w:tcPr>
            <w:tcW w:w="6794" w:type="dxa"/>
            <w:gridSpan w:val="8"/>
            <w:vAlign w:val="center"/>
          </w:tcPr>
          <w:p w14:paraId="179F9B51" w14:textId="77777777" w:rsidR="005342D5" w:rsidRPr="0019790A" w:rsidRDefault="005342D5" w:rsidP="0019790A">
            <w:pPr>
              <w:rPr>
                <w:rFonts w:cs="Arial"/>
                <w:szCs w:val="22"/>
              </w:rPr>
            </w:pPr>
            <w:r w:rsidRPr="0019790A">
              <w:rPr>
                <w:rFonts w:cs="Arial"/>
                <w:b/>
                <w:szCs w:val="22"/>
              </w:rPr>
              <w:t>2025 – 2028 роки:</w:t>
            </w:r>
          </w:p>
        </w:tc>
      </w:tr>
      <w:tr w:rsidR="005342D5" w:rsidRPr="0019790A" w14:paraId="42035883" w14:textId="77777777" w:rsidTr="0068624E">
        <w:trPr>
          <w:jc w:val="right"/>
        </w:trPr>
        <w:tc>
          <w:tcPr>
            <w:tcW w:w="3425" w:type="dxa"/>
            <w:vMerge w:val="restart"/>
            <w:shd w:val="clear" w:color="auto" w:fill="FFFFFF"/>
            <w:vAlign w:val="center"/>
          </w:tcPr>
          <w:p w14:paraId="2A489A20" w14:textId="77777777" w:rsidR="005342D5" w:rsidRPr="0019790A" w:rsidRDefault="005342D5" w:rsidP="0019790A">
            <w:pPr>
              <w:rPr>
                <w:rFonts w:cs="Arial"/>
                <w:b/>
                <w:bCs/>
                <w:szCs w:val="22"/>
              </w:rPr>
            </w:pPr>
            <w:r w:rsidRPr="0019790A">
              <w:rPr>
                <w:rFonts w:cs="Arial"/>
                <w:b/>
                <w:bCs/>
                <w:szCs w:val="22"/>
              </w:rPr>
              <w:t>Орієнтовна вартість проєкту, тис. грн., в тому числі:</w:t>
            </w:r>
          </w:p>
        </w:tc>
        <w:tc>
          <w:tcPr>
            <w:tcW w:w="1254" w:type="dxa"/>
            <w:gridSpan w:val="2"/>
            <w:shd w:val="clear" w:color="auto" w:fill="E6E6E6"/>
            <w:vAlign w:val="center"/>
          </w:tcPr>
          <w:p w14:paraId="3E4D88C7" w14:textId="77777777" w:rsidR="005342D5" w:rsidRPr="0019790A" w:rsidRDefault="005342D5" w:rsidP="0068624E">
            <w:pPr>
              <w:jc w:val="center"/>
              <w:rPr>
                <w:rFonts w:cs="Arial"/>
                <w:b/>
                <w:szCs w:val="22"/>
              </w:rPr>
            </w:pPr>
            <w:r w:rsidRPr="0019790A">
              <w:rPr>
                <w:rFonts w:cs="Arial"/>
                <w:b/>
                <w:szCs w:val="22"/>
              </w:rPr>
              <w:t>2025</w:t>
            </w:r>
          </w:p>
        </w:tc>
        <w:tc>
          <w:tcPr>
            <w:tcW w:w="1275" w:type="dxa"/>
            <w:shd w:val="clear" w:color="auto" w:fill="E6E6E6"/>
            <w:vAlign w:val="center"/>
          </w:tcPr>
          <w:p w14:paraId="3F851B40" w14:textId="77777777" w:rsidR="005342D5" w:rsidRPr="0019790A" w:rsidRDefault="005342D5" w:rsidP="0068624E">
            <w:pPr>
              <w:jc w:val="center"/>
              <w:rPr>
                <w:rFonts w:cs="Arial"/>
                <w:b/>
                <w:szCs w:val="22"/>
              </w:rPr>
            </w:pPr>
            <w:r w:rsidRPr="0019790A">
              <w:rPr>
                <w:rFonts w:cs="Arial"/>
                <w:b/>
                <w:szCs w:val="22"/>
              </w:rPr>
              <w:t>2026</w:t>
            </w:r>
          </w:p>
        </w:tc>
        <w:tc>
          <w:tcPr>
            <w:tcW w:w="1418" w:type="dxa"/>
            <w:gridSpan w:val="2"/>
            <w:tcBorders>
              <w:bottom w:val="single" w:sz="4" w:space="0" w:color="auto"/>
            </w:tcBorders>
            <w:shd w:val="clear" w:color="auto" w:fill="E6E6E6"/>
            <w:vAlign w:val="center"/>
          </w:tcPr>
          <w:p w14:paraId="707341BC" w14:textId="77777777" w:rsidR="005342D5" w:rsidRPr="0019790A" w:rsidRDefault="005342D5" w:rsidP="0068624E">
            <w:pPr>
              <w:jc w:val="center"/>
              <w:rPr>
                <w:rFonts w:cs="Arial"/>
                <w:b/>
                <w:szCs w:val="22"/>
              </w:rPr>
            </w:pPr>
            <w:r w:rsidRPr="0019790A">
              <w:rPr>
                <w:rFonts w:cs="Arial"/>
                <w:b/>
                <w:szCs w:val="22"/>
              </w:rPr>
              <w:t>2027</w:t>
            </w:r>
          </w:p>
        </w:tc>
        <w:tc>
          <w:tcPr>
            <w:tcW w:w="1276" w:type="dxa"/>
            <w:gridSpan w:val="2"/>
            <w:shd w:val="clear" w:color="auto" w:fill="E6E6E6"/>
            <w:vAlign w:val="center"/>
          </w:tcPr>
          <w:p w14:paraId="10ADC12F" w14:textId="77777777" w:rsidR="005342D5" w:rsidRPr="0019790A" w:rsidRDefault="005342D5" w:rsidP="0068624E">
            <w:pPr>
              <w:jc w:val="center"/>
              <w:rPr>
                <w:rFonts w:cs="Arial"/>
                <w:b/>
                <w:szCs w:val="22"/>
              </w:rPr>
            </w:pPr>
            <w:r w:rsidRPr="0019790A">
              <w:rPr>
                <w:rFonts w:cs="Arial"/>
                <w:b/>
                <w:szCs w:val="22"/>
              </w:rPr>
              <w:t>2028</w:t>
            </w:r>
          </w:p>
        </w:tc>
        <w:tc>
          <w:tcPr>
            <w:tcW w:w="1571" w:type="dxa"/>
            <w:shd w:val="clear" w:color="auto" w:fill="E6E6E6"/>
            <w:vAlign w:val="center"/>
          </w:tcPr>
          <w:p w14:paraId="74D8F386" w14:textId="77777777" w:rsidR="005342D5" w:rsidRPr="0019790A" w:rsidRDefault="005342D5" w:rsidP="0068624E">
            <w:pPr>
              <w:jc w:val="center"/>
              <w:rPr>
                <w:rFonts w:cs="Arial"/>
                <w:b/>
                <w:szCs w:val="22"/>
              </w:rPr>
            </w:pPr>
            <w:r w:rsidRPr="0019790A">
              <w:rPr>
                <w:rFonts w:cs="Arial"/>
                <w:b/>
                <w:szCs w:val="22"/>
              </w:rPr>
              <w:t>РАЗОМ</w:t>
            </w:r>
          </w:p>
        </w:tc>
      </w:tr>
      <w:tr w:rsidR="005342D5" w:rsidRPr="0019790A" w14:paraId="34F98FB7" w14:textId="77777777" w:rsidTr="0068624E">
        <w:trPr>
          <w:jc w:val="right"/>
        </w:trPr>
        <w:tc>
          <w:tcPr>
            <w:tcW w:w="3425" w:type="dxa"/>
            <w:vMerge/>
            <w:shd w:val="clear" w:color="auto" w:fill="FFFFFF"/>
            <w:vAlign w:val="center"/>
          </w:tcPr>
          <w:p w14:paraId="156764BF" w14:textId="77777777" w:rsidR="005342D5" w:rsidRPr="0019790A" w:rsidRDefault="005342D5" w:rsidP="0019790A">
            <w:pPr>
              <w:rPr>
                <w:rFonts w:cs="Arial"/>
                <w:b/>
                <w:bCs/>
                <w:szCs w:val="22"/>
              </w:rPr>
            </w:pPr>
          </w:p>
        </w:tc>
        <w:tc>
          <w:tcPr>
            <w:tcW w:w="1254" w:type="dxa"/>
            <w:gridSpan w:val="2"/>
            <w:vAlign w:val="center"/>
          </w:tcPr>
          <w:p w14:paraId="3A90ADFB" w14:textId="77777777" w:rsidR="005342D5" w:rsidRPr="0019790A" w:rsidRDefault="005342D5" w:rsidP="0068624E">
            <w:pPr>
              <w:jc w:val="center"/>
              <w:rPr>
                <w:rFonts w:cs="Arial"/>
                <w:b/>
                <w:szCs w:val="22"/>
              </w:rPr>
            </w:pPr>
          </w:p>
        </w:tc>
        <w:tc>
          <w:tcPr>
            <w:tcW w:w="1275" w:type="dxa"/>
            <w:shd w:val="clear" w:color="auto" w:fill="FFFFFF"/>
            <w:vAlign w:val="center"/>
          </w:tcPr>
          <w:p w14:paraId="5B6F51AB" w14:textId="77777777" w:rsidR="005342D5" w:rsidRPr="0019790A" w:rsidRDefault="005342D5" w:rsidP="0068624E">
            <w:pPr>
              <w:jc w:val="center"/>
              <w:rPr>
                <w:rFonts w:cs="Arial"/>
                <w:b/>
                <w:szCs w:val="22"/>
              </w:rPr>
            </w:pPr>
          </w:p>
        </w:tc>
        <w:tc>
          <w:tcPr>
            <w:tcW w:w="1418" w:type="dxa"/>
            <w:gridSpan w:val="2"/>
            <w:shd w:val="clear" w:color="auto" w:fill="auto"/>
            <w:vAlign w:val="center"/>
          </w:tcPr>
          <w:p w14:paraId="589D0501" w14:textId="77777777" w:rsidR="005342D5" w:rsidRPr="0019790A" w:rsidRDefault="005342D5" w:rsidP="0068624E">
            <w:pPr>
              <w:jc w:val="center"/>
              <w:rPr>
                <w:rFonts w:cs="Arial"/>
                <w:b/>
                <w:szCs w:val="22"/>
              </w:rPr>
            </w:pPr>
            <w:r w:rsidRPr="0019790A">
              <w:rPr>
                <w:rFonts w:cs="Arial"/>
                <w:b/>
                <w:szCs w:val="22"/>
              </w:rPr>
              <w:t>90000,0</w:t>
            </w:r>
          </w:p>
        </w:tc>
        <w:tc>
          <w:tcPr>
            <w:tcW w:w="1276" w:type="dxa"/>
            <w:gridSpan w:val="2"/>
            <w:shd w:val="clear" w:color="auto" w:fill="FFFFFF"/>
            <w:vAlign w:val="center"/>
          </w:tcPr>
          <w:p w14:paraId="1AD5E92F" w14:textId="77777777" w:rsidR="005342D5" w:rsidRPr="0019790A" w:rsidRDefault="005342D5" w:rsidP="0068624E">
            <w:pPr>
              <w:jc w:val="center"/>
              <w:rPr>
                <w:rFonts w:cs="Arial"/>
                <w:b/>
                <w:szCs w:val="22"/>
              </w:rPr>
            </w:pPr>
            <w:r w:rsidRPr="0019790A">
              <w:rPr>
                <w:rFonts w:cs="Arial"/>
                <w:b/>
                <w:szCs w:val="22"/>
              </w:rPr>
              <w:t>30000,0</w:t>
            </w:r>
          </w:p>
        </w:tc>
        <w:tc>
          <w:tcPr>
            <w:tcW w:w="1571" w:type="dxa"/>
            <w:shd w:val="clear" w:color="auto" w:fill="FFFFFF"/>
            <w:vAlign w:val="center"/>
          </w:tcPr>
          <w:p w14:paraId="1B5F602E" w14:textId="77777777" w:rsidR="005342D5" w:rsidRPr="0019790A" w:rsidRDefault="005342D5" w:rsidP="0068624E">
            <w:pPr>
              <w:jc w:val="center"/>
              <w:rPr>
                <w:rFonts w:cs="Arial"/>
                <w:b/>
                <w:szCs w:val="22"/>
              </w:rPr>
            </w:pPr>
            <w:r w:rsidRPr="0019790A">
              <w:rPr>
                <w:rFonts w:cs="Arial"/>
                <w:b/>
                <w:szCs w:val="22"/>
              </w:rPr>
              <w:t>120000,0</w:t>
            </w:r>
          </w:p>
        </w:tc>
      </w:tr>
      <w:tr w:rsidR="005342D5" w:rsidRPr="0019790A" w14:paraId="201C7435" w14:textId="77777777" w:rsidTr="00CF3AAE">
        <w:trPr>
          <w:trHeight w:val="276"/>
          <w:jc w:val="right"/>
        </w:trPr>
        <w:tc>
          <w:tcPr>
            <w:tcW w:w="3425" w:type="dxa"/>
            <w:shd w:val="clear" w:color="auto" w:fill="FFFFFF"/>
            <w:vAlign w:val="center"/>
          </w:tcPr>
          <w:p w14:paraId="650B3280" w14:textId="77777777" w:rsidR="005342D5" w:rsidRPr="0019790A" w:rsidRDefault="005342D5" w:rsidP="0019790A">
            <w:pPr>
              <w:rPr>
                <w:rFonts w:cs="Arial"/>
                <w:b/>
                <w:bCs/>
                <w:szCs w:val="22"/>
              </w:rPr>
            </w:pPr>
            <w:r w:rsidRPr="0019790A">
              <w:rPr>
                <w:rFonts w:cs="Arial"/>
                <w:b/>
                <w:bCs/>
                <w:szCs w:val="22"/>
              </w:rPr>
              <w:t>по джерелах фінансування:</w:t>
            </w:r>
          </w:p>
        </w:tc>
        <w:tc>
          <w:tcPr>
            <w:tcW w:w="6794" w:type="dxa"/>
            <w:gridSpan w:val="8"/>
            <w:vAlign w:val="center"/>
          </w:tcPr>
          <w:p w14:paraId="799D3C3A" w14:textId="77777777" w:rsidR="005342D5" w:rsidRPr="0019790A" w:rsidRDefault="005342D5" w:rsidP="0019790A">
            <w:pPr>
              <w:rPr>
                <w:rFonts w:cs="Arial"/>
                <w:szCs w:val="22"/>
              </w:rPr>
            </w:pPr>
          </w:p>
        </w:tc>
      </w:tr>
      <w:tr w:rsidR="0068624E" w:rsidRPr="0019790A" w14:paraId="0EC7495E" w14:textId="494D9872" w:rsidTr="0068624E">
        <w:trPr>
          <w:trHeight w:val="240"/>
          <w:jc w:val="right"/>
        </w:trPr>
        <w:tc>
          <w:tcPr>
            <w:tcW w:w="3425" w:type="dxa"/>
            <w:shd w:val="clear" w:color="auto" w:fill="FFFFFF"/>
            <w:vAlign w:val="center"/>
          </w:tcPr>
          <w:p w14:paraId="7EA2E7E5" w14:textId="77777777" w:rsidR="0068624E" w:rsidRPr="0019790A" w:rsidRDefault="0068624E" w:rsidP="0019790A">
            <w:pPr>
              <w:rPr>
                <w:rFonts w:cs="Arial"/>
                <w:b/>
                <w:bCs/>
                <w:szCs w:val="22"/>
              </w:rPr>
            </w:pPr>
            <w:r w:rsidRPr="0019790A">
              <w:rPr>
                <w:rFonts w:cs="Arial"/>
                <w:szCs w:val="22"/>
              </w:rPr>
              <w:t>- державний бюджет</w:t>
            </w:r>
          </w:p>
        </w:tc>
        <w:tc>
          <w:tcPr>
            <w:tcW w:w="1202" w:type="dxa"/>
            <w:vAlign w:val="center"/>
          </w:tcPr>
          <w:p w14:paraId="4AA749CE" w14:textId="5EEBC010" w:rsidR="0068624E" w:rsidRPr="0019790A" w:rsidRDefault="0068624E" w:rsidP="0068624E">
            <w:pPr>
              <w:jc w:val="center"/>
              <w:rPr>
                <w:rFonts w:cs="Arial"/>
                <w:szCs w:val="22"/>
              </w:rPr>
            </w:pPr>
          </w:p>
        </w:tc>
        <w:tc>
          <w:tcPr>
            <w:tcW w:w="1340" w:type="dxa"/>
            <w:gridSpan w:val="3"/>
            <w:vAlign w:val="center"/>
          </w:tcPr>
          <w:p w14:paraId="6019A89D" w14:textId="5095D68F" w:rsidR="0068624E" w:rsidRPr="0019790A" w:rsidRDefault="0068624E" w:rsidP="0068624E">
            <w:pPr>
              <w:jc w:val="center"/>
              <w:rPr>
                <w:rFonts w:cs="Arial"/>
                <w:szCs w:val="22"/>
              </w:rPr>
            </w:pPr>
          </w:p>
        </w:tc>
        <w:tc>
          <w:tcPr>
            <w:tcW w:w="1415" w:type="dxa"/>
            <w:gridSpan w:val="2"/>
            <w:vAlign w:val="center"/>
          </w:tcPr>
          <w:p w14:paraId="33D1F1EA" w14:textId="77810D4D" w:rsidR="0068624E" w:rsidRPr="0019790A" w:rsidRDefault="0068624E" w:rsidP="0068624E">
            <w:pPr>
              <w:jc w:val="center"/>
              <w:rPr>
                <w:rFonts w:cs="Arial"/>
                <w:szCs w:val="22"/>
              </w:rPr>
            </w:pPr>
            <w:r w:rsidRPr="0019790A">
              <w:rPr>
                <w:rFonts w:cs="Arial"/>
                <w:szCs w:val="22"/>
              </w:rPr>
              <w:t>25500,0</w:t>
            </w:r>
          </w:p>
        </w:tc>
        <w:tc>
          <w:tcPr>
            <w:tcW w:w="1265" w:type="dxa"/>
            <w:vAlign w:val="center"/>
          </w:tcPr>
          <w:p w14:paraId="34AE60AC" w14:textId="6A8D6AD6" w:rsidR="0068624E" w:rsidRPr="0019790A" w:rsidRDefault="0068624E" w:rsidP="0068624E">
            <w:pPr>
              <w:jc w:val="center"/>
              <w:rPr>
                <w:rFonts w:cs="Arial"/>
                <w:szCs w:val="22"/>
              </w:rPr>
            </w:pPr>
          </w:p>
        </w:tc>
        <w:tc>
          <w:tcPr>
            <w:tcW w:w="1572" w:type="dxa"/>
            <w:vAlign w:val="center"/>
          </w:tcPr>
          <w:p w14:paraId="40DE2AC6" w14:textId="7919B6F9" w:rsidR="0068624E" w:rsidRPr="0019790A" w:rsidRDefault="0068624E" w:rsidP="0068624E">
            <w:pPr>
              <w:jc w:val="center"/>
              <w:rPr>
                <w:rFonts w:cs="Arial"/>
                <w:szCs w:val="22"/>
              </w:rPr>
            </w:pPr>
            <w:r w:rsidRPr="0019790A">
              <w:rPr>
                <w:rFonts w:cs="Arial"/>
                <w:szCs w:val="22"/>
              </w:rPr>
              <w:t>25500,0</w:t>
            </w:r>
          </w:p>
        </w:tc>
      </w:tr>
      <w:tr w:rsidR="0068624E" w:rsidRPr="0019790A" w14:paraId="3C58779C" w14:textId="127C1F0D" w:rsidTr="0068624E">
        <w:trPr>
          <w:trHeight w:val="254"/>
          <w:jc w:val="right"/>
        </w:trPr>
        <w:tc>
          <w:tcPr>
            <w:tcW w:w="3425" w:type="dxa"/>
            <w:shd w:val="clear" w:color="auto" w:fill="FFFFFF"/>
            <w:vAlign w:val="center"/>
          </w:tcPr>
          <w:p w14:paraId="0E565359" w14:textId="77777777" w:rsidR="0068624E" w:rsidRPr="0019790A" w:rsidRDefault="0068624E" w:rsidP="0019790A">
            <w:pPr>
              <w:rPr>
                <w:rFonts w:cs="Arial"/>
                <w:szCs w:val="22"/>
              </w:rPr>
            </w:pPr>
            <w:r w:rsidRPr="0019790A">
              <w:rPr>
                <w:rFonts w:cs="Arial"/>
                <w:szCs w:val="22"/>
              </w:rPr>
              <w:t>- обласний бюджет</w:t>
            </w:r>
          </w:p>
        </w:tc>
        <w:tc>
          <w:tcPr>
            <w:tcW w:w="1202" w:type="dxa"/>
            <w:vAlign w:val="center"/>
          </w:tcPr>
          <w:p w14:paraId="20C839A7" w14:textId="61249050" w:rsidR="0068624E" w:rsidRPr="0019790A" w:rsidRDefault="0068624E" w:rsidP="0068624E">
            <w:pPr>
              <w:jc w:val="center"/>
              <w:rPr>
                <w:rFonts w:cs="Arial"/>
                <w:szCs w:val="22"/>
              </w:rPr>
            </w:pPr>
          </w:p>
        </w:tc>
        <w:tc>
          <w:tcPr>
            <w:tcW w:w="1340" w:type="dxa"/>
            <w:gridSpan w:val="3"/>
            <w:vAlign w:val="center"/>
          </w:tcPr>
          <w:p w14:paraId="757072C0" w14:textId="1C00F541" w:rsidR="0068624E" w:rsidRPr="0019790A" w:rsidRDefault="0068624E" w:rsidP="0068624E">
            <w:pPr>
              <w:jc w:val="center"/>
              <w:rPr>
                <w:rFonts w:cs="Arial"/>
                <w:szCs w:val="22"/>
              </w:rPr>
            </w:pPr>
          </w:p>
        </w:tc>
        <w:tc>
          <w:tcPr>
            <w:tcW w:w="1415" w:type="dxa"/>
            <w:gridSpan w:val="2"/>
            <w:vAlign w:val="center"/>
          </w:tcPr>
          <w:p w14:paraId="2A01B2F5" w14:textId="7822A34F" w:rsidR="0068624E" w:rsidRPr="0019790A" w:rsidRDefault="0068624E" w:rsidP="0068624E">
            <w:pPr>
              <w:jc w:val="center"/>
              <w:rPr>
                <w:rFonts w:cs="Arial"/>
                <w:szCs w:val="22"/>
              </w:rPr>
            </w:pPr>
            <w:r w:rsidRPr="0019790A">
              <w:rPr>
                <w:rFonts w:cs="Arial"/>
                <w:szCs w:val="22"/>
              </w:rPr>
              <w:t>60000,0</w:t>
            </w:r>
          </w:p>
        </w:tc>
        <w:tc>
          <w:tcPr>
            <w:tcW w:w="1265" w:type="dxa"/>
            <w:vAlign w:val="center"/>
          </w:tcPr>
          <w:p w14:paraId="2BFB3323" w14:textId="669433EA" w:rsidR="0068624E" w:rsidRPr="0019790A" w:rsidRDefault="0068624E" w:rsidP="0068624E">
            <w:pPr>
              <w:jc w:val="center"/>
              <w:rPr>
                <w:rFonts w:cs="Arial"/>
                <w:szCs w:val="22"/>
              </w:rPr>
            </w:pPr>
            <w:r w:rsidRPr="0019790A">
              <w:rPr>
                <w:rFonts w:cs="Arial"/>
                <w:szCs w:val="22"/>
              </w:rPr>
              <w:t>22500,0</w:t>
            </w:r>
          </w:p>
        </w:tc>
        <w:tc>
          <w:tcPr>
            <w:tcW w:w="1572" w:type="dxa"/>
            <w:vAlign w:val="center"/>
          </w:tcPr>
          <w:p w14:paraId="3EBFFBDB" w14:textId="6F35308B" w:rsidR="0068624E" w:rsidRPr="0019790A" w:rsidRDefault="0068624E" w:rsidP="0068624E">
            <w:pPr>
              <w:jc w:val="center"/>
              <w:rPr>
                <w:rFonts w:cs="Arial"/>
                <w:szCs w:val="22"/>
              </w:rPr>
            </w:pPr>
            <w:r w:rsidRPr="0019790A">
              <w:rPr>
                <w:rFonts w:cs="Arial"/>
                <w:szCs w:val="22"/>
              </w:rPr>
              <w:t>82500,0</w:t>
            </w:r>
          </w:p>
        </w:tc>
      </w:tr>
      <w:tr w:rsidR="0068624E" w:rsidRPr="0019790A" w14:paraId="66EAB63C" w14:textId="5E30BD69" w:rsidTr="0068624E">
        <w:trPr>
          <w:trHeight w:val="275"/>
          <w:jc w:val="right"/>
        </w:trPr>
        <w:tc>
          <w:tcPr>
            <w:tcW w:w="3425" w:type="dxa"/>
            <w:shd w:val="clear" w:color="auto" w:fill="FFFFFF"/>
            <w:vAlign w:val="center"/>
          </w:tcPr>
          <w:p w14:paraId="28F18180" w14:textId="77777777" w:rsidR="0068624E" w:rsidRPr="0019790A" w:rsidRDefault="0068624E" w:rsidP="0019790A">
            <w:pPr>
              <w:rPr>
                <w:rFonts w:cs="Arial"/>
                <w:szCs w:val="22"/>
              </w:rPr>
            </w:pPr>
            <w:r w:rsidRPr="0019790A">
              <w:rPr>
                <w:rFonts w:cs="Arial"/>
                <w:szCs w:val="22"/>
              </w:rPr>
              <w:t>- бюджет Жмеринської МТГ</w:t>
            </w:r>
          </w:p>
        </w:tc>
        <w:tc>
          <w:tcPr>
            <w:tcW w:w="1202" w:type="dxa"/>
            <w:vAlign w:val="center"/>
          </w:tcPr>
          <w:p w14:paraId="5401DF92" w14:textId="7E1BC2B5" w:rsidR="0068624E" w:rsidRPr="0019790A" w:rsidRDefault="0068624E" w:rsidP="0068624E">
            <w:pPr>
              <w:jc w:val="center"/>
              <w:rPr>
                <w:rFonts w:cs="Arial"/>
                <w:szCs w:val="22"/>
              </w:rPr>
            </w:pPr>
          </w:p>
        </w:tc>
        <w:tc>
          <w:tcPr>
            <w:tcW w:w="1340" w:type="dxa"/>
            <w:gridSpan w:val="3"/>
            <w:vAlign w:val="center"/>
          </w:tcPr>
          <w:p w14:paraId="1DA981FA" w14:textId="3DB59668" w:rsidR="0068624E" w:rsidRPr="0019790A" w:rsidRDefault="0068624E" w:rsidP="0068624E">
            <w:pPr>
              <w:jc w:val="center"/>
              <w:rPr>
                <w:rFonts w:cs="Arial"/>
                <w:szCs w:val="22"/>
              </w:rPr>
            </w:pPr>
          </w:p>
        </w:tc>
        <w:tc>
          <w:tcPr>
            <w:tcW w:w="1415" w:type="dxa"/>
            <w:gridSpan w:val="2"/>
            <w:vAlign w:val="center"/>
          </w:tcPr>
          <w:p w14:paraId="42B5EABE" w14:textId="43694089" w:rsidR="0068624E" w:rsidRPr="0019790A" w:rsidRDefault="0068624E" w:rsidP="0068624E">
            <w:pPr>
              <w:jc w:val="center"/>
              <w:rPr>
                <w:rFonts w:cs="Arial"/>
                <w:szCs w:val="22"/>
              </w:rPr>
            </w:pPr>
            <w:r w:rsidRPr="0019790A">
              <w:rPr>
                <w:rFonts w:cs="Arial"/>
                <w:szCs w:val="22"/>
              </w:rPr>
              <w:t>4500,0</w:t>
            </w:r>
          </w:p>
        </w:tc>
        <w:tc>
          <w:tcPr>
            <w:tcW w:w="1265" w:type="dxa"/>
            <w:vAlign w:val="center"/>
          </w:tcPr>
          <w:p w14:paraId="5129038D" w14:textId="29776E12" w:rsidR="0068624E" w:rsidRPr="0019790A" w:rsidRDefault="0068624E" w:rsidP="0068624E">
            <w:pPr>
              <w:jc w:val="center"/>
              <w:rPr>
                <w:rFonts w:cs="Arial"/>
                <w:szCs w:val="22"/>
              </w:rPr>
            </w:pPr>
            <w:r w:rsidRPr="0019790A">
              <w:rPr>
                <w:rFonts w:cs="Arial"/>
                <w:szCs w:val="22"/>
              </w:rPr>
              <w:t>7500,0</w:t>
            </w:r>
          </w:p>
        </w:tc>
        <w:tc>
          <w:tcPr>
            <w:tcW w:w="1572" w:type="dxa"/>
            <w:vAlign w:val="center"/>
          </w:tcPr>
          <w:p w14:paraId="0EDF505F" w14:textId="70C3FABF" w:rsidR="0068624E" w:rsidRPr="0019790A" w:rsidRDefault="0068624E" w:rsidP="0068624E">
            <w:pPr>
              <w:jc w:val="center"/>
              <w:rPr>
                <w:rFonts w:cs="Arial"/>
                <w:szCs w:val="22"/>
              </w:rPr>
            </w:pPr>
            <w:r w:rsidRPr="0019790A">
              <w:rPr>
                <w:rFonts w:cs="Arial"/>
                <w:szCs w:val="22"/>
              </w:rPr>
              <w:t>12000,0</w:t>
            </w:r>
          </w:p>
        </w:tc>
      </w:tr>
      <w:tr w:rsidR="0068624E" w:rsidRPr="0019790A" w14:paraId="7925C44F" w14:textId="63B230C8" w:rsidTr="0068624E">
        <w:trPr>
          <w:trHeight w:val="226"/>
          <w:jc w:val="right"/>
        </w:trPr>
        <w:tc>
          <w:tcPr>
            <w:tcW w:w="3425" w:type="dxa"/>
            <w:shd w:val="clear" w:color="auto" w:fill="FFFFFF"/>
            <w:vAlign w:val="center"/>
          </w:tcPr>
          <w:p w14:paraId="555DFF9A" w14:textId="77777777" w:rsidR="0068624E" w:rsidRPr="0019790A" w:rsidRDefault="0068624E" w:rsidP="0019790A">
            <w:pPr>
              <w:rPr>
                <w:rFonts w:cs="Arial"/>
                <w:szCs w:val="22"/>
              </w:rPr>
            </w:pPr>
            <w:r w:rsidRPr="0019790A">
              <w:rPr>
                <w:rFonts w:cs="Arial"/>
                <w:szCs w:val="22"/>
              </w:rPr>
              <w:t>- інші джерела фінансування</w:t>
            </w:r>
          </w:p>
        </w:tc>
        <w:tc>
          <w:tcPr>
            <w:tcW w:w="1202" w:type="dxa"/>
            <w:vAlign w:val="center"/>
          </w:tcPr>
          <w:p w14:paraId="12238EB1" w14:textId="77777777" w:rsidR="0068624E" w:rsidRPr="0019790A" w:rsidRDefault="0068624E" w:rsidP="0068624E">
            <w:pPr>
              <w:jc w:val="center"/>
              <w:rPr>
                <w:rFonts w:cs="Arial"/>
                <w:szCs w:val="22"/>
              </w:rPr>
            </w:pPr>
          </w:p>
        </w:tc>
        <w:tc>
          <w:tcPr>
            <w:tcW w:w="1340" w:type="dxa"/>
            <w:gridSpan w:val="3"/>
            <w:vAlign w:val="center"/>
          </w:tcPr>
          <w:p w14:paraId="3DA7557D" w14:textId="77777777" w:rsidR="0068624E" w:rsidRPr="0019790A" w:rsidRDefault="0068624E" w:rsidP="0068624E">
            <w:pPr>
              <w:jc w:val="center"/>
              <w:rPr>
                <w:rFonts w:cs="Arial"/>
                <w:szCs w:val="22"/>
              </w:rPr>
            </w:pPr>
          </w:p>
        </w:tc>
        <w:tc>
          <w:tcPr>
            <w:tcW w:w="1415" w:type="dxa"/>
            <w:gridSpan w:val="2"/>
            <w:vAlign w:val="center"/>
          </w:tcPr>
          <w:p w14:paraId="53B25F4C" w14:textId="77777777" w:rsidR="0068624E" w:rsidRPr="0019790A" w:rsidRDefault="0068624E" w:rsidP="0068624E">
            <w:pPr>
              <w:jc w:val="center"/>
              <w:rPr>
                <w:rFonts w:cs="Arial"/>
                <w:szCs w:val="22"/>
              </w:rPr>
            </w:pPr>
          </w:p>
        </w:tc>
        <w:tc>
          <w:tcPr>
            <w:tcW w:w="1265" w:type="dxa"/>
            <w:vAlign w:val="center"/>
          </w:tcPr>
          <w:p w14:paraId="531920A3" w14:textId="77777777" w:rsidR="0068624E" w:rsidRPr="0019790A" w:rsidRDefault="0068624E" w:rsidP="0068624E">
            <w:pPr>
              <w:jc w:val="center"/>
              <w:rPr>
                <w:rFonts w:cs="Arial"/>
                <w:szCs w:val="22"/>
              </w:rPr>
            </w:pPr>
          </w:p>
        </w:tc>
        <w:tc>
          <w:tcPr>
            <w:tcW w:w="1572" w:type="dxa"/>
            <w:vAlign w:val="center"/>
          </w:tcPr>
          <w:p w14:paraId="46066496" w14:textId="77777777" w:rsidR="0068624E" w:rsidRPr="0019790A" w:rsidRDefault="0068624E" w:rsidP="0068624E">
            <w:pPr>
              <w:jc w:val="center"/>
              <w:rPr>
                <w:rFonts w:cs="Arial"/>
                <w:szCs w:val="22"/>
              </w:rPr>
            </w:pPr>
          </w:p>
        </w:tc>
      </w:tr>
      <w:tr w:rsidR="005342D5" w:rsidRPr="0019790A" w14:paraId="3B51B399" w14:textId="77777777" w:rsidTr="00CF3AAE">
        <w:trPr>
          <w:jc w:val="right"/>
        </w:trPr>
        <w:tc>
          <w:tcPr>
            <w:tcW w:w="3425" w:type="dxa"/>
            <w:shd w:val="clear" w:color="auto" w:fill="FFFFFF"/>
            <w:vAlign w:val="center"/>
          </w:tcPr>
          <w:p w14:paraId="38E90AC1" w14:textId="77777777" w:rsidR="005342D5" w:rsidRPr="0019790A" w:rsidRDefault="005342D5" w:rsidP="0019790A">
            <w:pPr>
              <w:rPr>
                <w:rFonts w:cs="Arial"/>
                <w:b/>
                <w:bCs/>
                <w:szCs w:val="22"/>
              </w:rPr>
            </w:pPr>
            <w:r w:rsidRPr="0019790A">
              <w:rPr>
                <w:rFonts w:cs="Arial"/>
                <w:b/>
                <w:szCs w:val="22"/>
              </w:rPr>
              <w:t>Відповідальний виконавець проєкту:</w:t>
            </w:r>
          </w:p>
        </w:tc>
        <w:tc>
          <w:tcPr>
            <w:tcW w:w="6794" w:type="dxa"/>
            <w:gridSpan w:val="8"/>
            <w:vAlign w:val="center"/>
          </w:tcPr>
          <w:p w14:paraId="5AA9B355" w14:textId="77777777" w:rsidR="005342D5" w:rsidRPr="0019790A" w:rsidRDefault="005342D5" w:rsidP="0068624E">
            <w:pPr>
              <w:jc w:val="both"/>
              <w:rPr>
                <w:rFonts w:cs="Arial"/>
                <w:szCs w:val="22"/>
              </w:rPr>
            </w:pPr>
            <w:r w:rsidRPr="0019790A">
              <w:rPr>
                <w:rFonts w:cs="Arial"/>
                <w:szCs w:val="22"/>
              </w:rPr>
              <w:t>Управління житлово-комунального господарства Жмеринської міської ради</w:t>
            </w:r>
          </w:p>
        </w:tc>
      </w:tr>
      <w:tr w:rsidR="005342D5" w:rsidRPr="0019790A" w14:paraId="46E0C1AA" w14:textId="77777777" w:rsidTr="00CF3AAE">
        <w:trPr>
          <w:jc w:val="right"/>
        </w:trPr>
        <w:tc>
          <w:tcPr>
            <w:tcW w:w="3425" w:type="dxa"/>
            <w:shd w:val="clear" w:color="auto" w:fill="FFFFFF"/>
            <w:vAlign w:val="center"/>
          </w:tcPr>
          <w:p w14:paraId="4863C7C1" w14:textId="77777777" w:rsidR="005342D5" w:rsidRPr="0019790A" w:rsidRDefault="005342D5" w:rsidP="0019790A">
            <w:pPr>
              <w:rPr>
                <w:rFonts w:cs="Arial"/>
                <w:b/>
                <w:bCs/>
                <w:szCs w:val="22"/>
              </w:rPr>
            </w:pPr>
            <w:r w:rsidRPr="0019790A">
              <w:rPr>
                <w:rFonts w:cs="Arial"/>
                <w:b/>
                <w:bCs/>
                <w:szCs w:val="22"/>
              </w:rPr>
              <w:t>Інше:</w:t>
            </w:r>
          </w:p>
        </w:tc>
        <w:tc>
          <w:tcPr>
            <w:tcW w:w="6794" w:type="dxa"/>
            <w:gridSpan w:val="8"/>
            <w:vAlign w:val="center"/>
          </w:tcPr>
          <w:p w14:paraId="23B08B67" w14:textId="77777777" w:rsidR="005342D5" w:rsidRPr="0019790A" w:rsidRDefault="005342D5" w:rsidP="0019790A">
            <w:pPr>
              <w:rPr>
                <w:rFonts w:cs="Arial"/>
                <w:szCs w:val="22"/>
              </w:rPr>
            </w:pPr>
          </w:p>
        </w:tc>
      </w:tr>
    </w:tbl>
    <w:p w14:paraId="37726908" w14:textId="77777777" w:rsidR="005342D5" w:rsidRPr="0019790A" w:rsidRDefault="005342D5" w:rsidP="0019790A">
      <w:pPr>
        <w:rPr>
          <w:rFonts w:cs="Arial"/>
          <w:b/>
          <w:szCs w:val="22"/>
          <w:highlight w:val="lightGray"/>
        </w:rPr>
      </w:pPr>
    </w:p>
    <w:p w14:paraId="6A8A332D" w14:textId="77777777" w:rsidR="003A0B38" w:rsidRPr="0019790A" w:rsidRDefault="003A0B38" w:rsidP="0019790A">
      <w:pPr>
        <w:jc w:val="center"/>
        <w:rPr>
          <w:rFonts w:cs="Arial"/>
          <w:b/>
          <w:szCs w:val="22"/>
        </w:rPr>
      </w:pPr>
    </w:p>
    <w:p w14:paraId="0060521D" w14:textId="77777777" w:rsidR="005342D5" w:rsidRPr="0019790A" w:rsidRDefault="005342D5" w:rsidP="0019790A">
      <w:pPr>
        <w:jc w:val="center"/>
        <w:rPr>
          <w:rFonts w:cs="Arial"/>
          <w:b/>
          <w:szCs w:val="22"/>
        </w:rPr>
      </w:pPr>
      <w:r w:rsidRPr="0019790A">
        <w:rPr>
          <w:rFonts w:cs="Arial"/>
          <w:b/>
          <w:szCs w:val="22"/>
        </w:rPr>
        <w:t>Форма технічного завдання на проєкт місцевого розвитку</w:t>
      </w:r>
    </w:p>
    <w:p w14:paraId="0A3AD258" w14:textId="77777777" w:rsidR="005342D5" w:rsidRPr="0019790A" w:rsidRDefault="005342D5" w:rsidP="0019790A">
      <w:pPr>
        <w:jc w:val="center"/>
        <w:rPr>
          <w:rFonts w:cs="Arial"/>
          <w:b/>
          <w:szCs w:val="22"/>
        </w:rPr>
      </w:pPr>
      <w:r w:rsidRPr="0019790A">
        <w:rPr>
          <w:rFonts w:cs="Arial"/>
          <w:b/>
          <w:szCs w:val="22"/>
        </w:rPr>
        <w:t>до Плану заходів з реалізації Стратегії</w:t>
      </w:r>
    </w:p>
    <w:p w14:paraId="0DA4291A" w14:textId="77777777" w:rsidR="005342D5" w:rsidRPr="0019790A" w:rsidRDefault="005342D5"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11"/>
        <w:gridCol w:w="1264"/>
        <w:gridCol w:w="13"/>
        <w:gridCol w:w="1390"/>
        <w:gridCol w:w="15"/>
        <w:gridCol w:w="1276"/>
        <w:gridCol w:w="24"/>
        <w:gridCol w:w="1547"/>
      </w:tblGrid>
      <w:tr w:rsidR="005342D5" w:rsidRPr="0019790A" w14:paraId="1295FCDD" w14:textId="77777777" w:rsidTr="00CF3AAE">
        <w:trPr>
          <w:jc w:val="right"/>
        </w:trPr>
        <w:tc>
          <w:tcPr>
            <w:tcW w:w="3425" w:type="dxa"/>
            <w:vAlign w:val="center"/>
          </w:tcPr>
          <w:p w14:paraId="6DC995F6" w14:textId="77777777" w:rsidR="005342D5" w:rsidRPr="0019790A" w:rsidRDefault="005342D5" w:rsidP="0019790A">
            <w:pPr>
              <w:rPr>
                <w:rFonts w:cs="Arial"/>
                <w:b/>
                <w:bCs/>
                <w:szCs w:val="22"/>
              </w:rPr>
            </w:pPr>
            <w:r w:rsidRPr="0019790A">
              <w:rPr>
                <w:rFonts w:cs="Arial"/>
                <w:b/>
                <w:bCs/>
                <w:szCs w:val="22"/>
              </w:rPr>
              <w:t>Назва проєкту:</w:t>
            </w:r>
          </w:p>
        </w:tc>
        <w:tc>
          <w:tcPr>
            <w:tcW w:w="6794" w:type="dxa"/>
            <w:gridSpan w:val="9"/>
          </w:tcPr>
          <w:p w14:paraId="698AF2EA" w14:textId="77777777" w:rsidR="005342D5" w:rsidRPr="0019790A" w:rsidRDefault="005342D5" w:rsidP="0068624E">
            <w:pPr>
              <w:jc w:val="both"/>
              <w:rPr>
                <w:rFonts w:cs="Arial"/>
                <w:szCs w:val="22"/>
              </w:rPr>
            </w:pPr>
            <w:r w:rsidRPr="0019790A">
              <w:rPr>
                <w:rFonts w:cs="Arial"/>
                <w:b/>
                <w:bCs/>
                <w:szCs w:val="22"/>
              </w:rPr>
              <w:t>Вуличний багатофункціональний спортивно-оздоровчий простір з гумовим або штучним покриттям у мікрорайоні «Мала Жмеринка»</w:t>
            </w:r>
          </w:p>
        </w:tc>
      </w:tr>
      <w:tr w:rsidR="005342D5" w:rsidRPr="0019790A" w14:paraId="486BA1E7" w14:textId="77777777" w:rsidTr="0068624E">
        <w:trPr>
          <w:jc w:val="right"/>
        </w:trPr>
        <w:tc>
          <w:tcPr>
            <w:tcW w:w="3425" w:type="dxa"/>
          </w:tcPr>
          <w:p w14:paraId="1F125572" w14:textId="77777777" w:rsidR="005342D5" w:rsidRPr="0019790A" w:rsidRDefault="005342D5" w:rsidP="0019790A">
            <w:pPr>
              <w:rPr>
                <w:rFonts w:cs="Arial"/>
                <w:szCs w:val="22"/>
              </w:rPr>
            </w:pPr>
            <w:r w:rsidRPr="0019790A">
              <w:rPr>
                <w:rFonts w:cs="Arial"/>
                <w:b/>
                <w:bCs/>
                <w:szCs w:val="22"/>
              </w:rPr>
              <w:t>Ваші контакти</w:t>
            </w:r>
            <w:r w:rsidRPr="0019790A">
              <w:rPr>
                <w:rFonts w:cs="Arial"/>
                <w:szCs w:val="22"/>
              </w:rPr>
              <w:t>:</w:t>
            </w:r>
          </w:p>
          <w:p w14:paraId="1D64C1DF" w14:textId="77777777" w:rsidR="005342D5" w:rsidRPr="0019790A" w:rsidRDefault="005342D5" w:rsidP="0019790A">
            <w:pPr>
              <w:rPr>
                <w:rFonts w:cs="Arial"/>
                <w:b/>
                <w:bCs/>
                <w:szCs w:val="22"/>
              </w:rPr>
            </w:pPr>
            <w:r w:rsidRPr="0019790A">
              <w:rPr>
                <w:rFonts w:cs="Arial"/>
                <w:szCs w:val="22"/>
              </w:rPr>
              <w:t>Назва установи, організації, підприємства</w:t>
            </w:r>
          </w:p>
        </w:tc>
        <w:tc>
          <w:tcPr>
            <w:tcW w:w="6794" w:type="dxa"/>
            <w:gridSpan w:val="9"/>
            <w:vAlign w:val="center"/>
          </w:tcPr>
          <w:p w14:paraId="3D6E381E" w14:textId="77777777" w:rsidR="005342D5" w:rsidRPr="0019790A" w:rsidRDefault="005342D5" w:rsidP="0068624E">
            <w:pPr>
              <w:jc w:val="both"/>
              <w:rPr>
                <w:rFonts w:cs="Arial"/>
                <w:szCs w:val="22"/>
              </w:rPr>
            </w:pPr>
            <w:r w:rsidRPr="0019790A">
              <w:rPr>
                <w:rFonts w:cs="Arial"/>
                <w:szCs w:val="22"/>
              </w:rPr>
              <w:t>Відділ молоді та спорту Жмеринської міської ради</w:t>
            </w:r>
          </w:p>
        </w:tc>
      </w:tr>
      <w:tr w:rsidR="005342D5" w:rsidRPr="0019790A" w14:paraId="5D1C4F24" w14:textId="77777777" w:rsidTr="0068624E">
        <w:trPr>
          <w:jc w:val="right"/>
        </w:trPr>
        <w:tc>
          <w:tcPr>
            <w:tcW w:w="3425" w:type="dxa"/>
          </w:tcPr>
          <w:p w14:paraId="642EEDF0" w14:textId="77777777" w:rsidR="005342D5" w:rsidRPr="0019790A" w:rsidRDefault="005342D5" w:rsidP="0019790A">
            <w:pPr>
              <w:rPr>
                <w:rFonts w:cs="Arial"/>
                <w:b/>
                <w:bCs/>
                <w:szCs w:val="22"/>
              </w:rPr>
            </w:pPr>
            <w:r w:rsidRPr="0019790A">
              <w:rPr>
                <w:rFonts w:cs="Arial"/>
                <w:szCs w:val="22"/>
              </w:rPr>
              <w:t>Прізвище Ім’я По-батькові:</w:t>
            </w:r>
          </w:p>
        </w:tc>
        <w:tc>
          <w:tcPr>
            <w:tcW w:w="6794" w:type="dxa"/>
            <w:gridSpan w:val="9"/>
            <w:vAlign w:val="center"/>
          </w:tcPr>
          <w:p w14:paraId="776AF3EA" w14:textId="77777777" w:rsidR="005342D5" w:rsidRPr="0019790A" w:rsidRDefault="005342D5" w:rsidP="0068624E">
            <w:pPr>
              <w:jc w:val="both"/>
              <w:rPr>
                <w:rFonts w:cs="Arial"/>
                <w:szCs w:val="22"/>
              </w:rPr>
            </w:pPr>
            <w:r w:rsidRPr="0019790A">
              <w:rPr>
                <w:rFonts w:cs="Arial"/>
                <w:szCs w:val="22"/>
              </w:rPr>
              <w:t>Ковальська Олена Віталіївна</w:t>
            </w:r>
          </w:p>
        </w:tc>
      </w:tr>
      <w:tr w:rsidR="005342D5" w:rsidRPr="0019790A" w14:paraId="56A20FE6" w14:textId="77777777" w:rsidTr="0068624E">
        <w:trPr>
          <w:jc w:val="right"/>
        </w:trPr>
        <w:tc>
          <w:tcPr>
            <w:tcW w:w="3425" w:type="dxa"/>
          </w:tcPr>
          <w:p w14:paraId="22151117" w14:textId="77777777" w:rsidR="005342D5" w:rsidRPr="0019790A" w:rsidRDefault="005342D5" w:rsidP="0019790A">
            <w:pPr>
              <w:rPr>
                <w:rFonts w:cs="Arial"/>
                <w:b/>
                <w:bCs/>
                <w:szCs w:val="22"/>
              </w:rPr>
            </w:pPr>
            <w:r w:rsidRPr="0019790A">
              <w:rPr>
                <w:rFonts w:cs="Arial"/>
                <w:szCs w:val="22"/>
              </w:rPr>
              <w:t>Телефон (мобільний):</w:t>
            </w:r>
          </w:p>
        </w:tc>
        <w:tc>
          <w:tcPr>
            <w:tcW w:w="6794" w:type="dxa"/>
            <w:gridSpan w:val="9"/>
            <w:vAlign w:val="center"/>
          </w:tcPr>
          <w:p w14:paraId="1D3D603F" w14:textId="77777777" w:rsidR="005342D5" w:rsidRPr="0019790A" w:rsidRDefault="005342D5" w:rsidP="0068624E">
            <w:pPr>
              <w:jc w:val="both"/>
              <w:rPr>
                <w:rFonts w:cs="Arial"/>
                <w:szCs w:val="22"/>
              </w:rPr>
            </w:pPr>
            <w:r w:rsidRPr="0019790A">
              <w:rPr>
                <w:rFonts w:cs="Arial"/>
                <w:szCs w:val="22"/>
              </w:rPr>
              <w:t>096-068-94-79</w:t>
            </w:r>
          </w:p>
        </w:tc>
      </w:tr>
      <w:tr w:rsidR="005342D5" w:rsidRPr="0019790A" w14:paraId="0B4F38A5" w14:textId="77777777" w:rsidTr="0068624E">
        <w:trPr>
          <w:jc w:val="right"/>
        </w:trPr>
        <w:tc>
          <w:tcPr>
            <w:tcW w:w="3425" w:type="dxa"/>
          </w:tcPr>
          <w:p w14:paraId="2248E18B" w14:textId="77777777" w:rsidR="005342D5" w:rsidRPr="0019790A" w:rsidRDefault="005342D5" w:rsidP="0019790A">
            <w:pPr>
              <w:rPr>
                <w:rFonts w:cs="Arial"/>
                <w:b/>
                <w:bCs/>
                <w:szCs w:val="22"/>
              </w:rPr>
            </w:pPr>
            <w:r w:rsidRPr="0019790A">
              <w:rPr>
                <w:rFonts w:cs="Arial"/>
                <w:szCs w:val="22"/>
              </w:rPr>
              <w:t>Електронна адреса:</w:t>
            </w:r>
          </w:p>
        </w:tc>
        <w:tc>
          <w:tcPr>
            <w:tcW w:w="6794" w:type="dxa"/>
            <w:gridSpan w:val="9"/>
            <w:vAlign w:val="center"/>
          </w:tcPr>
          <w:p w14:paraId="6101560E" w14:textId="77777777" w:rsidR="005342D5" w:rsidRPr="0019790A" w:rsidRDefault="00D85FFD" w:rsidP="0068624E">
            <w:pPr>
              <w:jc w:val="both"/>
              <w:rPr>
                <w:rFonts w:cs="Arial"/>
                <w:szCs w:val="22"/>
              </w:rPr>
            </w:pPr>
            <w:hyperlink r:id="rId148" w:history="1">
              <w:r w:rsidR="005342D5" w:rsidRPr="0019790A">
                <w:rPr>
                  <w:rStyle w:val="af0"/>
                  <w:rFonts w:cs="Arial"/>
                  <w:b/>
                  <w:bCs/>
                  <w:noProof w:val="0"/>
                  <w:sz w:val="22"/>
                  <w:szCs w:val="22"/>
                </w:rPr>
                <w:t>ms@zhmr.gov.ua</w:t>
              </w:r>
            </w:hyperlink>
          </w:p>
        </w:tc>
      </w:tr>
      <w:tr w:rsidR="005342D5" w:rsidRPr="0019790A" w14:paraId="0CD537C8" w14:textId="77777777" w:rsidTr="0068624E">
        <w:trPr>
          <w:jc w:val="right"/>
        </w:trPr>
        <w:tc>
          <w:tcPr>
            <w:tcW w:w="3425" w:type="dxa"/>
            <w:vAlign w:val="center"/>
          </w:tcPr>
          <w:p w14:paraId="793CD872" w14:textId="77777777" w:rsidR="005342D5" w:rsidRPr="0019790A" w:rsidRDefault="005342D5" w:rsidP="0019790A">
            <w:pPr>
              <w:rPr>
                <w:rFonts w:cs="Arial"/>
                <w:b/>
                <w:bCs/>
                <w:szCs w:val="22"/>
              </w:rPr>
            </w:pPr>
            <w:r w:rsidRPr="0019790A">
              <w:rPr>
                <w:rFonts w:cs="Arial"/>
                <w:b/>
                <w:bCs/>
                <w:szCs w:val="22"/>
              </w:rPr>
              <w:t>Номер і назва завдання з Стратегії розвитку Жмеринської міської територіальної громади,  якому відповідає проєкт:</w:t>
            </w:r>
          </w:p>
        </w:tc>
        <w:tc>
          <w:tcPr>
            <w:tcW w:w="6794" w:type="dxa"/>
            <w:gridSpan w:val="9"/>
            <w:vAlign w:val="center"/>
          </w:tcPr>
          <w:p w14:paraId="2E488AB2" w14:textId="77777777" w:rsidR="005342D5" w:rsidRPr="0019790A" w:rsidRDefault="005342D5" w:rsidP="0068624E">
            <w:pPr>
              <w:jc w:val="both"/>
              <w:rPr>
                <w:rFonts w:cs="Arial"/>
                <w:b/>
                <w:bCs/>
                <w:szCs w:val="22"/>
              </w:rPr>
            </w:pPr>
            <w:r w:rsidRPr="0019790A">
              <w:rPr>
                <w:rFonts w:cs="Arial"/>
                <w:b/>
                <w:bCs/>
                <w:szCs w:val="22"/>
              </w:rPr>
              <w:t>С.3.4.2. Будівництво, реконструкція інфраструктури спорту з урахуванням гендерного аспекту</w:t>
            </w:r>
          </w:p>
          <w:p w14:paraId="2FFD9D1E" w14:textId="77777777" w:rsidR="005342D5" w:rsidRPr="0019790A" w:rsidRDefault="005342D5" w:rsidP="0068624E">
            <w:pPr>
              <w:jc w:val="both"/>
              <w:rPr>
                <w:rFonts w:cs="Arial"/>
                <w:b/>
                <w:bCs/>
                <w:i/>
                <w:szCs w:val="22"/>
              </w:rPr>
            </w:pPr>
          </w:p>
          <w:p w14:paraId="2F814232" w14:textId="77777777" w:rsidR="005342D5" w:rsidRPr="0019790A" w:rsidRDefault="005342D5" w:rsidP="0068624E">
            <w:pPr>
              <w:jc w:val="both"/>
              <w:rPr>
                <w:rFonts w:cs="Arial"/>
                <w:szCs w:val="22"/>
              </w:rPr>
            </w:pPr>
          </w:p>
        </w:tc>
      </w:tr>
      <w:tr w:rsidR="005342D5" w:rsidRPr="0019790A" w14:paraId="3737153D" w14:textId="77777777" w:rsidTr="0068624E">
        <w:trPr>
          <w:jc w:val="right"/>
        </w:trPr>
        <w:tc>
          <w:tcPr>
            <w:tcW w:w="3425" w:type="dxa"/>
            <w:vAlign w:val="center"/>
          </w:tcPr>
          <w:p w14:paraId="6AC9AF4C" w14:textId="77777777" w:rsidR="005342D5" w:rsidRPr="0019790A" w:rsidRDefault="005342D5" w:rsidP="0019790A">
            <w:pPr>
              <w:rPr>
                <w:rFonts w:cs="Arial"/>
                <w:b/>
                <w:bCs/>
                <w:szCs w:val="22"/>
              </w:rPr>
            </w:pPr>
            <w:r w:rsidRPr="0019790A">
              <w:rPr>
                <w:rFonts w:cs="Arial"/>
                <w:b/>
                <w:bCs/>
                <w:szCs w:val="22"/>
              </w:rPr>
              <w:t>Мета проєкту:</w:t>
            </w:r>
          </w:p>
        </w:tc>
        <w:tc>
          <w:tcPr>
            <w:tcW w:w="6794" w:type="dxa"/>
            <w:gridSpan w:val="9"/>
            <w:vAlign w:val="center"/>
          </w:tcPr>
          <w:p w14:paraId="5656E6ED" w14:textId="77777777" w:rsidR="005342D5" w:rsidRPr="0019790A" w:rsidRDefault="005342D5" w:rsidP="0068624E">
            <w:pPr>
              <w:jc w:val="both"/>
              <w:rPr>
                <w:rFonts w:cs="Arial"/>
                <w:szCs w:val="22"/>
              </w:rPr>
            </w:pPr>
            <w:r w:rsidRPr="0019790A">
              <w:rPr>
                <w:rFonts w:cs="Arial"/>
                <w:szCs w:val="22"/>
              </w:rPr>
              <w:t>Створення інклюзивного, безпечного та багатофункціонального спортивного середовища, яке сприятиме підвищенню рівня фізичної активності та самореалізації мешканців різного віку через доступ до якісної спортивної інфраструктури</w:t>
            </w:r>
          </w:p>
          <w:p w14:paraId="5EE5F6BA" w14:textId="77777777" w:rsidR="005342D5" w:rsidRPr="0019790A" w:rsidRDefault="005342D5" w:rsidP="0068624E">
            <w:pPr>
              <w:jc w:val="both"/>
              <w:rPr>
                <w:rFonts w:cs="Arial"/>
                <w:szCs w:val="22"/>
              </w:rPr>
            </w:pPr>
          </w:p>
        </w:tc>
      </w:tr>
      <w:tr w:rsidR="005342D5" w:rsidRPr="0019790A" w14:paraId="3B6C0D53" w14:textId="77777777" w:rsidTr="0068624E">
        <w:trPr>
          <w:jc w:val="right"/>
        </w:trPr>
        <w:tc>
          <w:tcPr>
            <w:tcW w:w="3425" w:type="dxa"/>
            <w:vAlign w:val="center"/>
          </w:tcPr>
          <w:p w14:paraId="57368C91" w14:textId="77777777" w:rsidR="005342D5" w:rsidRPr="0019790A" w:rsidRDefault="005342D5" w:rsidP="0019790A">
            <w:pPr>
              <w:rPr>
                <w:rFonts w:cs="Arial"/>
                <w:b/>
                <w:bCs/>
                <w:szCs w:val="22"/>
              </w:rPr>
            </w:pPr>
            <w:r w:rsidRPr="0019790A">
              <w:rPr>
                <w:rFonts w:cs="Arial"/>
                <w:b/>
                <w:bCs/>
                <w:szCs w:val="22"/>
              </w:rPr>
              <w:t>Цілі проєкту:</w:t>
            </w:r>
          </w:p>
        </w:tc>
        <w:tc>
          <w:tcPr>
            <w:tcW w:w="6794" w:type="dxa"/>
            <w:gridSpan w:val="9"/>
            <w:vAlign w:val="center"/>
          </w:tcPr>
          <w:p w14:paraId="62BB747C" w14:textId="77777777" w:rsidR="005342D5" w:rsidRPr="0019790A" w:rsidRDefault="005342D5" w:rsidP="0068624E">
            <w:pPr>
              <w:jc w:val="both"/>
              <w:rPr>
                <w:rFonts w:cs="Arial"/>
                <w:szCs w:val="22"/>
              </w:rPr>
            </w:pPr>
            <w:r w:rsidRPr="0019790A">
              <w:rPr>
                <w:rFonts w:cs="Arial"/>
                <w:szCs w:val="22"/>
              </w:rPr>
              <w:t xml:space="preserve">1. </w:t>
            </w:r>
            <w:r w:rsidRPr="0019790A">
              <w:rPr>
                <w:rFonts w:cs="Arial"/>
                <w:bCs/>
                <w:szCs w:val="22"/>
              </w:rPr>
              <w:t>Забезпечення рівного доступу до якісної спортивної інфраструктури</w:t>
            </w:r>
            <w:r w:rsidRPr="0019790A">
              <w:rPr>
                <w:rFonts w:cs="Arial"/>
                <w:szCs w:val="22"/>
              </w:rPr>
              <w:t xml:space="preserve"> для мешканців громади незалежно від віку, фізичних можливостей та соціального статусу.</w:t>
            </w:r>
          </w:p>
          <w:p w14:paraId="4C70A2C5" w14:textId="77777777" w:rsidR="005342D5" w:rsidRPr="0019790A" w:rsidRDefault="005342D5" w:rsidP="0068624E">
            <w:pPr>
              <w:jc w:val="both"/>
              <w:rPr>
                <w:rFonts w:cs="Arial"/>
                <w:szCs w:val="22"/>
              </w:rPr>
            </w:pPr>
            <w:r w:rsidRPr="0019790A">
              <w:rPr>
                <w:rFonts w:cs="Arial"/>
                <w:szCs w:val="22"/>
              </w:rPr>
              <w:t xml:space="preserve">2. </w:t>
            </w:r>
            <w:r w:rsidRPr="0019790A">
              <w:rPr>
                <w:rFonts w:cs="Arial"/>
                <w:bCs/>
                <w:szCs w:val="22"/>
              </w:rPr>
              <w:t>Формування безпечного, інклюзивного спортивного середовища</w:t>
            </w:r>
            <w:r w:rsidRPr="0019790A">
              <w:rPr>
                <w:rFonts w:cs="Arial"/>
                <w:szCs w:val="22"/>
              </w:rPr>
              <w:t>, придатного для занять як ігровими, так і силовими видами спорту (футбол, баскетбол, волейбол, тренажери).</w:t>
            </w:r>
          </w:p>
          <w:p w14:paraId="182144B9" w14:textId="77777777" w:rsidR="005342D5" w:rsidRPr="0019790A" w:rsidRDefault="005342D5" w:rsidP="0068624E">
            <w:pPr>
              <w:jc w:val="both"/>
              <w:rPr>
                <w:rFonts w:cs="Arial"/>
                <w:szCs w:val="22"/>
              </w:rPr>
            </w:pPr>
            <w:r w:rsidRPr="0019790A">
              <w:rPr>
                <w:rFonts w:cs="Arial"/>
                <w:szCs w:val="22"/>
              </w:rPr>
              <w:t xml:space="preserve">3. </w:t>
            </w:r>
            <w:r w:rsidRPr="0019790A">
              <w:rPr>
                <w:rFonts w:cs="Arial"/>
                <w:bCs/>
                <w:szCs w:val="22"/>
              </w:rPr>
              <w:t>Сприяння підвищенню рівня фізичної активності та здоров’я населення</w:t>
            </w:r>
            <w:r w:rsidRPr="0019790A">
              <w:rPr>
                <w:rFonts w:cs="Arial"/>
                <w:szCs w:val="22"/>
              </w:rPr>
              <w:t xml:space="preserve"> шляхом створення умов для регулярних занять спортом на відкритому повітрі.</w:t>
            </w:r>
          </w:p>
          <w:p w14:paraId="4F5628ED" w14:textId="77777777" w:rsidR="005342D5" w:rsidRPr="0019790A" w:rsidRDefault="005342D5" w:rsidP="0068624E">
            <w:pPr>
              <w:jc w:val="both"/>
              <w:rPr>
                <w:rFonts w:cs="Arial"/>
                <w:szCs w:val="22"/>
              </w:rPr>
            </w:pPr>
            <w:r w:rsidRPr="0019790A">
              <w:rPr>
                <w:rFonts w:cs="Arial"/>
                <w:szCs w:val="22"/>
              </w:rPr>
              <w:t xml:space="preserve">4.  </w:t>
            </w:r>
            <w:r w:rsidRPr="0019790A">
              <w:rPr>
                <w:rFonts w:cs="Arial"/>
                <w:bCs/>
                <w:szCs w:val="22"/>
              </w:rPr>
              <w:t>Розширення можливостей самореалізації та соціальної взаємодії мешканців</w:t>
            </w:r>
            <w:r w:rsidRPr="0019790A">
              <w:rPr>
                <w:rFonts w:cs="Arial"/>
                <w:szCs w:val="22"/>
              </w:rPr>
              <w:t>, зокрема молоді, людей з інвалідністю та літніх осіб, через заняття спортом, участь у змаганнях і громадських ініціативах.</w:t>
            </w:r>
          </w:p>
          <w:p w14:paraId="6667E93F" w14:textId="2E466F0C" w:rsidR="005342D5" w:rsidRPr="0019790A" w:rsidRDefault="005342D5" w:rsidP="0068624E">
            <w:pPr>
              <w:jc w:val="both"/>
              <w:rPr>
                <w:rFonts w:cs="Arial"/>
                <w:szCs w:val="22"/>
              </w:rPr>
            </w:pPr>
            <w:r w:rsidRPr="0019790A">
              <w:rPr>
                <w:rFonts w:cs="Arial"/>
                <w:szCs w:val="22"/>
              </w:rPr>
              <w:t xml:space="preserve">5  </w:t>
            </w:r>
            <w:r w:rsidRPr="0019790A">
              <w:rPr>
                <w:rFonts w:cs="Arial"/>
                <w:bCs/>
                <w:szCs w:val="22"/>
              </w:rPr>
              <w:t>Забезпечення інтеграції спортивного майданчика у громадський простір</w:t>
            </w:r>
            <w:r w:rsidRPr="0019790A">
              <w:rPr>
                <w:rFonts w:cs="Arial"/>
                <w:szCs w:val="22"/>
              </w:rPr>
              <w:t xml:space="preserve"> як осередку здорового дозвілля, освітньої та виховної діяльності.</w:t>
            </w:r>
          </w:p>
        </w:tc>
      </w:tr>
      <w:tr w:rsidR="005342D5" w:rsidRPr="0019790A" w14:paraId="379FFA54" w14:textId="77777777" w:rsidTr="0068624E">
        <w:trPr>
          <w:jc w:val="right"/>
        </w:trPr>
        <w:tc>
          <w:tcPr>
            <w:tcW w:w="3425" w:type="dxa"/>
            <w:vAlign w:val="center"/>
          </w:tcPr>
          <w:p w14:paraId="3B47F129" w14:textId="77777777" w:rsidR="005342D5" w:rsidRPr="0019790A" w:rsidRDefault="005342D5" w:rsidP="0019790A">
            <w:pPr>
              <w:rPr>
                <w:rFonts w:cs="Arial"/>
                <w:b/>
                <w:szCs w:val="22"/>
              </w:rPr>
            </w:pPr>
            <w:r w:rsidRPr="0019790A">
              <w:rPr>
                <w:rFonts w:cs="Arial"/>
                <w:b/>
                <w:szCs w:val="22"/>
              </w:rPr>
              <w:t>Територія на яку проєкт матиме вплив:</w:t>
            </w:r>
          </w:p>
        </w:tc>
        <w:tc>
          <w:tcPr>
            <w:tcW w:w="6794" w:type="dxa"/>
            <w:gridSpan w:val="9"/>
            <w:vAlign w:val="center"/>
          </w:tcPr>
          <w:p w14:paraId="51FB7AB9" w14:textId="77777777" w:rsidR="005342D5" w:rsidRPr="0019790A" w:rsidRDefault="005342D5" w:rsidP="0068624E">
            <w:pPr>
              <w:jc w:val="both"/>
              <w:rPr>
                <w:rFonts w:cs="Arial"/>
                <w:szCs w:val="22"/>
              </w:rPr>
            </w:pPr>
            <w:r w:rsidRPr="0019790A">
              <w:rPr>
                <w:rFonts w:cs="Arial"/>
                <w:szCs w:val="22"/>
              </w:rPr>
              <w:t>Жмеринська міська територіальна громада</w:t>
            </w:r>
          </w:p>
        </w:tc>
      </w:tr>
      <w:tr w:rsidR="005342D5" w:rsidRPr="0019790A" w14:paraId="7C554D99" w14:textId="77777777" w:rsidTr="0068624E">
        <w:trPr>
          <w:jc w:val="right"/>
        </w:trPr>
        <w:tc>
          <w:tcPr>
            <w:tcW w:w="3425" w:type="dxa"/>
            <w:vAlign w:val="center"/>
          </w:tcPr>
          <w:p w14:paraId="0F532A4E" w14:textId="77777777" w:rsidR="005342D5" w:rsidRPr="0019790A" w:rsidRDefault="005342D5" w:rsidP="0019790A">
            <w:pPr>
              <w:rPr>
                <w:rFonts w:cs="Arial"/>
                <w:b/>
                <w:szCs w:val="22"/>
              </w:rPr>
            </w:pPr>
            <w:r w:rsidRPr="0019790A">
              <w:rPr>
                <w:rFonts w:cs="Arial"/>
                <w:b/>
                <w:szCs w:val="22"/>
              </w:rPr>
              <w:t>Цільові групи проєкту та кількість отримувачів вигоди</w:t>
            </w:r>
          </w:p>
        </w:tc>
        <w:tc>
          <w:tcPr>
            <w:tcW w:w="6794" w:type="dxa"/>
            <w:gridSpan w:val="9"/>
            <w:vAlign w:val="center"/>
          </w:tcPr>
          <w:p w14:paraId="048AB83F" w14:textId="53D2E5D0" w:rsidR="005342D5" w:rsidRPr="0019790A" w:rsidRDefault="005342D5" w:rsidP="0068624E">
            <w:pPr>
              <w:jc w:val="both"/>
              <w:rPr>
                <w:rFonts w:cs="Arial"/>
                <w:szCs w:val="22"/>
              </w:rPr>
            </w:pPr>
            <w:r w:rsidRPr="0019790A">
              <w:rPr>
                <w:rFonts w:cs="Arial"/>
                <w:szCs w:val="22"/>
              </w:rPr>
              <w:t>Діти та підлітки (6–17 років)</w:t>
            </w:r>
            <w:r w:rsidRPr="0019790A">
              <w:rPr>
                <w:rFonts w:cs="Arial"/>
                <w:szCs w:val="22"/>
              </w:rPr>
              <w:tab/>
              <w:t xml:space="preserve">- </w:t>
            </w:r>
            <w:r w:rsidR="0068624E" w:rsidRPr="0019790A">
              <w:rPr>
                <w:rFonts w:cs="Arial"/>
                <w:szCs w:val="22"/>
              </w:rPr>
              <w:t>фізичний</w:t>
            </w:r>
            <w:r w:rsidRPr="0019790A">
              <w:rPr>
                <w:rFonts w:cs="Arial"/>
                <w:szCs w:val="22"/>
              </w:rPr>
              <w:t xml:space="preserve"> розвиток, ігри, секції, командна взаємодія.</w:t>
            </w:r>
          </w:p>
          <w:p w14:paraId="58CB0E6B" w14:textId="77777777" w:rsidR="005342D5" w:rsidRPr="0019790A" w:rsidRDefault="005342D5" w:rsidP="0068624E">
            <w:pPr>
              <w:jc w:val="both"/>
              <w:rPr>
                <w:rFonts w:cs="Arial"/>
                <w:szCs w:val="22"/>
              </w:rPr>
            </w:pPr>
            <w:r w:rsidRPr="0019790A">
              <w:rPr>
                <w:rFonts w:cs="Arial"/>
                <w:szCs w:val="22"/>
              </w:rPr>
              <w:t>Молодь (18–25 років) - активний спосіб життя, аматорський спорт, турніри.</w:t>
            </w:r>
          </w:p>
          <w:p w14:paraId="00F50E4B" w14:textId="77777777" w:rsidR="005342D5" w:rsidRPr="0019790A" w:rsidRDefault="005342D5" w:rsidP="0068624E">
            <w:pPr>
              <w:jc w:val="both"/>
              <w:rPr>
                <w:rFonts w:cs="Arial"/>
                <w:szCs w:val="22"/>
              </w:rPr>
            </w:pPr>
            <w:r w:rsidRPr="0019790A">
              <w:rPr>
                <w:rFonts w:cs="Arial"/>
                <w:szCs w:val="22"/>
              </w:rPr>
              <w:t>Дорослі (25–60 років) - здоров’я, дозвілля, корпоративні змагання.</w:t>
            </w:r>
          </w:p>
          <w:p w14:paraId="54320A8B" w14:textId="77777777" w:rsidR="005342D5" w:rsidRPr="0019790A" w:rsidRDefault="005342D5" w:rsidP="0068624E">
            <w:pPr>
              <w:jc w:val="both"/>
              <w:rPr>
                <w:rFonts w:cs="Arial"/>
                <w:szCs w:val="22"/>
              </w:rPr>
            </w:pPr>
            <w:r w:rsidRPr="0019790A">
              <w:rPr>
                <w:rFonts w:cs="Arial"/>
                <w:szCs w:val="22"/>
              </w:rPr>
              <w:t>Літні люди (60+) - помірна фізична активність, спілкування.</w:t>
            </w:r>
          </w:p>
          <w:p w14:paraId="1ECB5249" w14:textId="77777777" w:rsidR="005342D5" w:rsidRPr="0019790A" w:rsidRDefault="005342D5" w:rsidP="0068624E">
            <w:pPr>
              <w:jc w:val="both"/>
              <w:rPr>
                <w:rFonts w:cs="Arial"/>
                <w:szCs w:val="22"/>
              </w:rPr>
            </w:pPr>
            <w:r w:rsidRPr="0019790A">
              <w:rPr>
                <w:rFonts w:cs="Arial"/>
                <w:szCs w:val="22"/>
              </w:rPr>
              <w:t>Люди з інвалідністю - безбар’єрний доступ, рівні умови для участі.</w:t>
            </w:r>
          </w:p>
          <w:p w14:paraId="79208D03" w14:textId="29351EE6" w:rsidR="005342D5" w:rsidRPr="0019790A" w:rsidRDefault="005342D5" w:rsidP="0068624E">
            <w:pPr>
              <w:jc w:val="both"/>
              <w:rPr>
                <w:rFonts w:cs="Arial"/>
                <w:szCs w:val="22"/>
              </w:rPr>
            </w:pPr>
            <w:r w:rsidRPr="0019790A">
              <w:rPr>
                <w:rFonts w:cs="Arial"/>
                <w:szCs w:val="22"/>
              </w:rPr>
              <w:t xml:space="preserve">Тренери, педагоги, </w:t>
            </w:r>
            <w:r w:rsidR="0068624E" w:rsidRPr="0019790A">
              <w:rPr>
                <w:rFonts w:cs="Arial"/>
                <w:szCs w:val="22"/>
              </w:rPr>
              <w:t>спорт інструктори</w:t>
            </w:r>
            <w:r w:rsidRPr="0019790A">
              <w:rPr>
                <w:rFonts w:cs="Arial"/>
                <w:szCs w:val="22"/>
              </w:rPr>
              <w:t xml:space="preserve"> - професійне проведення занять.</w:t>
            </w:r>
          </w:p>
          <w:p w14:paraId="70CEABC4" w14:textId="77777777" w:rsidR="005342D5" w:rsidRPr="0019790A" w:rsidRDefault="005342D5" w:rsidP="0068624E">
            <w:pPr>
              <w:jc w:val="both"/>
              <w:rPr>
                <w:rFonts w:cs="Arial"/>
                <w:szCs w:val="22"/>
              </w:rPr>
            </w:pPr>
            <w:r w:rsidRPr="0019790A">
              <w:rPr>
                <w:rFonts w:cs="Arial"/>
                <w:szCs w:val="22"/>
              </w:rPr>
              <w:t>Громадські ініціативи, ОМС</w:t>
            </w:r>
            <w:r w:rsidRPr="0019790A">
              <w:rPr>
                <w:rFonts w:cs="Arial"/>
                <w:szCs w:val="22"/>
              </w:rPr>
              <w:tab/>
              <w:t>- проведення подій, згуртування громади.</w:t>
            </w:r>
          </w:p>
          <w:p w14:paraId="43A06BD3" w14:textId="77777777" w:rsidR="005342D5" w:rsidRPr="0019790A" w:rsidRDefault="005342D5" w:rsidP="0068624E">
            <w:pPr>
              <w:jc w:val="both"/>
              <w:rPr>
                <w:rFonts w:cs="Arial"/>
                <w:szCs w:val="22"/>
              </w:rPr>
            </w:pPr>
            <w:r w:rsidRPr="0019790A">
              <w:rPr>
                <w:rFonts w:cs="Arial"/>
                <w:b/>
                <w:szCs w:val="22"/>
              </w:rPr>
              <w:t>Кількість отримувачів вигоди</w:t>
            </w:r>
            <w:r w:rsidRPr="0019790A">
              <w:rPr>
                <w:rFonts w:cs="Arial"/>
                <w:szCs w:val="22"/>
              </w:rPr>
              <w:t xml:space="preserve"> </w:t>
            </w:r>
            <w:r w:rsidRPr="0019790A">
              <w:rPr>
                <w:rFonts w:cs="Arial"/>
                <w:b/>
                <w:szCs w:val="22"/>
              </w:rPr>
              <w:t>1500 осіб.</w:t>
            </w:r>
          </w:p>
        </w:tc>
      </w:tr>
      <w:tr w:rsidR="005342D5" w:rsidRPr="0019790A" w14:paraId="4A12E7CD" w14:textId="77777777" w:rsidTr="0068624E">
        <w:trPr>
          <w:jc w:val="right"/>
        </w:trPr>
        <w:tc>
          <w:tcPr>
            <w:tcW w:w="3425" w:type="dxa"/>
            <w:shd w:val="clear" w:color="auto" w:fill="FFFFFF"/>
            <w:vAlign w:val="center"/>
          </w:tcPr>
          <w:p w14:paraId="6F8EDF84" w14:textId="77777777" w:rsidR="005342D5" w:rsidRPr="0019790A" w:rsidRDefault="005342D5" w:rsidP="0019790A">
            <w:pPr>
              <w:rPr>
                <w:rFonts w:cs="Arial"/>
                <w:b/>
                <w:bCs/>
                <w:szCs w:val="22"/>
              </w:rPr>
            </w:pPr>
            <w:r w:rsidRPr="0019790A">
              <w:rPr>
                <w:rFonts w:cs="Arial"/>
                <w:b/>
                <w:bCs/>
                <w:szCs w:val="22"/>
              </w:rPr>
              <w:t>Стислий опис проєкту:</w:t>
            </w:r>
          </w:p>
        </w:tc>
        <w:tc>
          <w:tcPr>
            <w:tcW w:w="6794" w:type="dxa"/>
            <w:gridSpan w:val="9"/>
            <w:vAlign w:val="center"/>
          </w:tcPr>
          <w:p w14:paraId="5721AB62" w14:textId="36F28AB5" w:rsidR="005342D5" w:rsidRPr="0019790A" w:rsidRDefault="005342D5" w:rsidP="0068624E">
            <w:pPr>
              <w:jc w:val="both"/>
              <w:rPr>
                <w:rFonts w:cs="Arial"/>
                <w:szCs w:val="22"/>
              </w:rPr>
            </w:pPr>
            <w:r w:rsidRPr="0019790A">
              <w:rPr>
                <w:rFonts w:cs="Arial"/>
                <w:szCs w:val="22"/>
              </w:rPr>
              <w:t>Проєкт передбачає будівництво багатофункціонального спортивного майданчика з гумовим або штучним покриттям. Майданчик буде обладнаний для гри у футбол, баскетбол, волейбол, а також забезпечений освітленням, огорожею, лавками, інвентарною коморою та санітарною зоною,</w:t>
            </w:r>
            <w:r w:rsidR="0068624E">
              <w:rPr>
                <w:rFonts w:cs="Arial"/>
                <w:szCs w:val="22"/>
              </w:rPr>
              <w:t xml:space="preserve"> </w:t>
            </w:r>
            <w:r w:rsidRPr="0019790A">
              <w:rPr>
                <w:rFonts w:cs="Arial"/>
                <w:szCs w:val="22"/>
              </w:rPr>
              <w:t xml:space="preserve">тренажерною зоною та умовами для людей з інвалідністю. </w:t>
            </w:r>
          </w:p>
          <w:p w14:paraId="41B8C61D" w14:textId="77777777" w:rsidR="005342D5" w:rsidRPr="0019790A" w:rsidRDefault="005342D5" w:rsidP="0068624E">
            <w:pPr>
              <w:jc w:val="both"/>
              <w:rPr>
                <w:rFonts w:cs="Arial"/>
                <w:szCs w:val="22"/>
              </w:rPr>
            </w:pPr>
            <w:r w:rsidRPr="0019790A">
              <w:rPr>
                <w:rFonts w:cs="Arial"/>
                <w:szCs w:val="22"/>
              </w:rPr>
              <w:t>Проєкт включатиме:</w:t>
            </w:r>
          </w:p>
          <w:p w14:paraId="68951582" w14:textId="77777777" w:rsidR="005342D5" w:rsidRPr="0019790A" w:rsidRDefault="005342D5" w:rsidP="0068624E">
            <w:pPr>
              <w:jc w:val="both"/>
              <w:rPr>
                <w:rFonts w:cs="Arial"/>
                <w:b/>
                <w:bCs/>
                <w:szCs w:val="22"/>
              </w:rPr>
            </w:pPr>
            <w:r w:rsidRPr="0019790A">
              <w:rPr>
                <w:rFonts w:cs="Arial"/>
                <w:b/>
                <w:bCs/>
                <w:szCs w:val="22"/>
              </w:rPr>
              <w:t>1. Зона активного спорту</w:t>
            </w:r>
          </w:p>
          <w:p w14:paraId="3A67074D" w14:textId="77777777" w:rsidR="005342D5" w:rsidRPr="0019790A" w:rsidRDefault="005342D5" w:rsidP="0068624E">
            <w:pPr>
              <w:numPr>
                <w:ilvl w:val="0"/>
                <w:numId w:val="37"/>
              </w:numPr>
              <w:jc w:val="both"/>
              <w:rPr>
                <w:rFonts w:cs="Arial"/>
                <w:szCs w:val="22"/>
              </w:rPr>
            </w:pPr>
            <w:r w:rsidRPr="0019790A">
              <w:rPr>
                <w:rFonts w:cs="Arial"/>
                <w:szCs w:val="22"/>
              </w:rPr>
              <w:t>Багатофункціональний ігровий майданчик (міні-футбол, волейбол, баскетбол)</w:t>
            </w:r>
          </w:p>
          <w:p w14:paraId="1D8FDE1B" w14:textId="77777777" w:rsidR="005342D5" w:rsidRPr="0019790A" w:rsidRDefault="005342D5" w:rsidP="0068624E">
            <w:pPr>
              <w:numPr>
                <w:ilvl w:val="0"/>
                <w:numId w:val="37"/>
              </w:numPr>
              <w:jc w:val="both"/>
              <w:rPr>
                <w:rFonts w:cs="Arial"/>
                <w:szCs w:val="22"/>
              </w:rPr>
            </w:pPr>
            <w:r w:rsidRPr="0019790A">
              <w:rPr>
                <w:rFonts w:cs="Arial"/>
                <w:szCs w:val="22"/>
              </w:rPr>
              <w:t>Стадіон з біговими доріжками (міні-формат 100-200 м)</w:t>
            </w:r>
          </w:p>
          <w:p w14:paraId="33487013" w14:textId="77777777" w:rsidR="005342D5" w:rsidRPr="0019790A" w:rsidRDefault="005342D5" w:rsidP="0068624E">
            <w:pPr>
              <w:numPr>
                <w:ilvl w:val="0"/>
                <w:numId w:val="37"/>
              </w:numPr>
              <w:jc w:val="both"/>
              <w:rPr>
                <w:rFonts w:cs="Arial"/>
                <w:szCs w:val="22"/>
              </w:rPr>
            </w:pPr>
            <w:r w:rsidRPr="0019790A">
              <w:rPr>
                <w:rFonts w:cs="Arial"/>
                <w:szCs w:val="22"/>
              </w:rPr>
              <w:t>Зона для воркауту (турніки, бруси, лавки для пресу)</w:t>
            </w:r>
          </w:p>
          <w:p w14:paraId="7D006091" w14:textId="77777777" w:rsidR="005342D5" w:rsidRPr="0019790A" w:rsidRDefault="005342D5" w:rsidP="0068624E">
            <w:pPr>
              <w:numPr>
                <w:ilvl w:val="0"/>
                <w:numId w:val="37"/>
              </w:numPr>
              <w:jc w:val="both"/>
              <w:rPr>
                <w:rFonts w:cs="Arial"/>
                <w:szCs w:val="22"/>
              </w:rPr>
            </w:pPr>
            <w:r w:rsidRPr="0019790A">
              <w:rPr>
                <w:rFonts w:cs="Arial"/>
                <w:szCs w:val="22"/>
              </w:rPr>
              <w:t>Стінка для скелелазіння (невисока, для дітей та молоді)</w:t>
            </w:r>
          </w:p>
          <w:p w14:paraId="12858873" w14:textId="77777777" w:rsidR="005342D5" w:rsidRPr="0019790A" w:rsidRDefault="005342D5" w:rsidP="0068624E">
            <w:pPr>
              <w:jc w:val="both"/>
              <w:rPr>
                <w:rFonts w:cs="Arial"/>
                <w:b/>
                <w:bCs/>
                <w:szCs w:val="22"/>
              </w:rPr>
            </w:pPr>
            <w:r w:rsidRPr="0019790A">
              <w:rPr>
                <w:rFonts w:cs="Arial"/>
                <w:b/>
                <w:bCs/>
                <w:szCs w:val="22"/>
              </w:rPr>
              <w:t>2. Фітнес-зона</w:t>
            </w:r>
          </w:p>
          <w:p w14:paraId="27D05B4D" w14:textId="77777777" w:rsidR="005342D5" w:rsidRPr="0019790A" w:rsidRDefault="005342D5" w:rsidP="0068624E">
            <w:pPr>
              <w:numPr>
                <w:ilvl w:val="0"/>
                <w:numId w:val="38"/>
              </w:numPr>
              <w:jc w:val="both"/>
              <w:rPr>
                <w:rFonts w:cs="Arial"/>
                <w:szCs w:val="22"/>
              </w:rPr>
            </w:pPr>
            <w:r w:rsidRPr="0019790A">
              <w:rPr>
                <w:rFonts w:cs="Arial"/>
                <w:szCs w:val="22"/>
              </w:rPr>
              <w:t>Вуличні тренажери (для різних груп м'язів, з інструкціями)</w:t>
            </w:r>
          </w:p>
          <w:p w14:paraId="7F4B634C" w14:textId="77777777" w:rsidR="005342D5" w:rsidRPr="0019790A" w:rsidRDefault="005342D5" w:rsidP="0068624E">
            <w:pPr>
              <w:numPr>
                <w:ilvl w:val="0"/>
                <w:numId w:val="38"/>
              </w:numPr>
              <w:jc w:val="both"/>
              <w:rPr>
                <w:rFonts w:cs="Arial"/>
                <w:szCs w:val="22"/>
              </w:rPr>
            </w:pPr>
            <w:r w:rsidRPr="0019790A">
              <w:rPr>
                <w:rFonts w:cs="Arial"/>
                <w:szCs w:val="22"/>
              </w:rPr>
              <w:t>Простір для групових занять (йога, танці, фітнес)</w:t>
            </w:r>
          </w:p>
          <w:p w14:paraId="0A2D6202" w14:textId="77777777" w:rsidR="005342D5" w:rsidRPr="0019790A" w:rsidRDefault="005342D5" w:rsidP="0068624E">
            <w:pPr>
              <w:jc w:val="both"/>
              <w:rPr>
                <w:rFonts w:cs="Arial"/>
                <w:b/>
                <w:bCs/>
                <w:szCs w:val="22"/>
              </w:rPr>
            </w:pPr>
            <w:r w:rsidRPr="0019790A">
              <w:rPr>
                <w:rFonts w:cs="Arial"/>
                <w:b/>
                <w:bCs/>
                <w:szCs w:val="22"/>
              </w:rPr>
              <w:t>3. Оздоровча та реабілітаційна зона</w:t>
            </w:r>
          </w:p>
          <w:p w14:paraId="0A15A2E6" w14:textId="77777777" w:rsidR="005342D5" w:rsidRPr="0019790A" w:rsidRDefault="005342D5" w:rsidP="0068624E">
            <w:pPr>
              <w:numPr>
                <w:ilvl w:val="0"/>
                <w:numId w:val="39"/>
              </w:numPr>
              <w:jc w:val="both"/>
              <w:rPr>
                <w:rFonts w:cs="Arial"/>
                <w:szCs w:val="22"/>
              </w:rPr>
            </w:pPr>
            <w:r w:rsidRPr="0019790A">
              <w:rPr>
                <w:rFonts w:cs="Arial"/>
                <w:szCs w:val="22"/>
              </w:rPr>
              <w:t>Зона спокійної активності (лавки, тінь, настільні ігри)</w:t>
            </w:r>
          </w:p>
          <w:p w14:paraId="7B16FF8F" w14:textId="77777777" w:rsidR="005342D5" w:rsidRPr="0019790A" w:rsidRDefault="005342D5" w:rsidP="0068624E">
            <w:pPr>
              <w:numPr>
                <w:ilvl w:val="0"/>
                <w:numId w:val="39"/>
              </w:numPr>
              <w:jc w:val="both"/>
              <w:rPr>
                <w:rFonts w:cs="Arial"/>
                <w:szCs w:val="22"/>
              </w:rPr>
            </w:pPr>
            <w:r w:rsidRPr="0019790A">
              <w:rPr>
                <w:rFonts w:cs="Arial"/>
                <w:szCs w:val="22"/>
              </w:rPr>
              <w:t>Доріжка здоров’я (щадне навантаження для людей похилого віку)</w:t>
            </w:r>
          </w:p>
          <w:p w14:paraId="3C56FF05" w14:textId="77777777" w:rsidR="005342D5" w:rsidRPr="0019790A" w:rsidRDefault="005342D5" w:rsidP="0068624E">
            <w:pPr>
              <w:jc w:val="both"/>
              <w:rPr>
                <w:rFonts w:cs="Arial"/>
                <w:b/>
                <w:bCs/>
                <w:szCs w:val="22"/>
              </w:rPr>
            </w:pPr>
            <w:r w:rsidRPr="0019790A">
              <w:rPr>
                <w:rFonts w:cs="Arial"/>
                <w:b/>
                <w:bCs/>
                <w:szCs w:val="22"/>
              </w:rPr>
              <w:t>4. Дитяча спортивна зона</w:t>
            </w:r>
          </w:p>
          <w:p w14:paraId="70823635" w14:textId="77777777" w:rsidR="005342D5" w:rsidRPr="0019790A" w:rsidRDefault="005342D5" w:rsidP="0068624E">
            <w:pPr>
              <w:numPr>
                <w:ilvl w:val="0"/>
                <w:numId w:val="40"/>
              </w:numPr>
              <w:jc w:val="both"/>
              <w:rPr>
                <w:rFonts w:cs="Arial"/>
                <w:szCs w:val="22"/>
              </w:rPr>
            </w:pPr>
            <w:r w:rsidRPr="0019790A">
              <w:rPr>
                <w:rFonts w:cs="Arial"/>
                <w:szCs w:val="22"/>
              </w:rPr>
              <w:t>Інклюзивний ігровий майданчик</w:t>
            </w:r>
          </w:p>
          <w:p w14:paraId="4E6695D3" w14:textId="77777777" w:rsidR="005342D5" w:rsidRPr="0019790A" w:rsidRDefault="005342D5" w:rsidP="0068624E">
            <w:pPr>
              <w:numPr>
                <w:ilvl w:val="0"/>
                <w:numId w:val="40"/>
              </w:numPr>
              <w:jc w:val="both"/>
              <w:rPr>
                <w:rFonts w:cs="Arial"/>
                <w:szCs w:val="22"/>
              </w:rPr>
            </w:pPr>
            <w:r w:rsidRPr="0019790A">
              <w:rPr>
                <w:rFonts w:cs="Arial"/>
                <w:szCs w:val="22"/>
              </w:rPr>
              <w:t>Міні-смуги перешкод, балансири, гірки з фізичною активністю</w:t>
            </w:r>
          </w:p>
          <w:p w14:paraId="508EA22F" w14:textId="77777777" w:rsidR="005342D5" w:rsidRPr="0019790A" w:rsidRDefault="005342D5" w:rsidP="0068624E">
            <w:pPr>
              <w:numPr>
                <w:ilvl w:val="0"/>
                <w:numId w:val="40"/>
              </w:numPr>
              <w:jc w:val="both"/>
              <w:rPr>
                <w:rFonts w:cs="Arial"/>
                <w:szCs w:val="22"/>
              </w:rPr>
            </w:pPr>
            <w:r w:rsidRPr="0019790A">
              <w:rPr>
                <w:rFonts w:cs="Arial"/>
                <w:szCs w:val="22"/>
              </w:rPr>
              <w:t>Безпечне покриття</w:t>
            </w:r>
          </w:p>
          <w:p w14:paraId="0AF0B972" w14:textId="77777777" w:rsidR="005342D5" w:rsidRPr="0019790A" w:rsidRDefault="005342D5" w:rsidP="0068624E">
            <w:pPr>
              <w:jc w:val="both"/>
              <w:rPr>
                <w:rFonts w:cs="Arial"/>
                <w:b/>
                <w:bCs/>
                <w:szCs w:val="22"/>
              </w:rPr>
            </w:pPr>
            <w:r w:rsidRPr="0019790A">
              <w:rPr>
                <w:rFonts w:cs="Arial"/>
                <w:b/>
                <w:bCs/>
                <w:szCs w:val="22"/>
              </w:rPr>
              <w:t>5. Інклюзивність та доступність</w:t>
            </w:r>
          </w:p>
          <w:p w14:paraId="5007121F" w14:textId="77777777" w:rsidR="005342D5" w:rsidRPr="0019790A" w:rsidRDefault="005342D5" w:rsidP="0068624E">
            <w:pPr>
              <w:numPr>
                <w:ilvl w:val="0"/>
                <w:numId w:val="41"/>
              </w:numPr>
              <w:jc w:val="both"/>
              <w:rPr>
                <w:rFonts w:cs="Arial"/>
                <w:szCs w:val="22"/>
              </w:rPr>
            </w:pPr>
            <w:r w:rsidRPr="0019790A">
              <w:rPr>
                <w:rFonts w:cs="Arial"/>
                <w:szCs w:val="22"/>
              </w:rPr>
              <w:t>Пандуси, широкі доріжки, поручні</w:t>
            </w:r>
          </w:p>
          <w:p w14:paraId="3A4F0295" w14:textId="77777777" w:rsidR="005342D5" w:rsidRPr="0019790A" w:rsidRDefault="005342D5" w:rsidP="0068624E">
            <w:pPr>
              <w:numPr>
                <w:ilvl w:val="0"/>
                <w:numId w:val="41"/>
              </w:numPr>
              <w:jc w:val="both"/>
              <w:rPr>
                <w:rFonts w:cs="Arial"/>
                <w:szCs w:val="22"/>
              </w:rPr>
            </w:pPr>
            <w:r w:rsidRPr="0019790A">
              <w:rPr>
                <w:rFonts w:cs="Arial"/>
                <w:szCs w:val="22"/>
              </w:rPr>
              <w:t>Тренажери, придатні для користувачів на візках</w:t>
            </w:r>
          </w:p>
          <w:p w14:paraId="0422E75F" w14:textId="77777777" w:rsidR="005342D5" w:rsidRPr="0019790A" w:rsidRDefault="005342D5" w:rsidP="0068624E">
            <w:pPr>
              <w:numPr>
                <w:ilvl w:val="0"/>
                <w:numId w:val="41"/>
              </w:numPr>
              <w:jc w:val="both"/>
              <w:rPr>
                <w:rFonts w:cs="Arial"/>
                <w:szCs w:val="22"/>
              </w:rPr>
            </w:pPr>
            <w:r w:rsidRPr="0019790A">
              <w:rPr>
                <w:rFonts w:cs="Arial"/>
                <w:szCs w:val="22"/>
              </w:rPr>
              <w:t>Інформація шрифтом Брайля та графічними символами</w:t>
            </w:r>
          </w:p>
        </w:tc>
      </w:tr>
      <w:tr w:rsidR="005342D5" w:rsidRPr="0019790A" w14:paraId="1CCFE510" w14:textId="77777777" w:rsidTr="0068624E">
        <w:trPr>
          <w:jc w:val="right"/>
        </w:trPr>
        <w:tc>
          <w:tcPr>
            <w:tcW w:w="3425" w:type="dxa"/>
            <w:shd w:val="clear" w:color="auto" w:fill="FFFFFF"/>
            <w:vAlign w:val="center"/>
          </w:tcPr>
          <w:p w14:paraId="52537777" w14:textId="77777777" w:rsidR="005342D5" w:rsidRPr="0019790A" w:rsidRDefault="005342D5" w:rsidP="0019790A">
            <w:pPr>
              <w:rPr>
                <w:rFonts w:cs="Arial"/>
                <w:b/>
                <w:bCs/>
                <w:szCs w:val="22"/>
              </w:rPr>
            </w:pPr>
            <w:r w:rsidRPr="0019790A">
              <w:rPr>
                <w:rFonts w:cs="Arial"/>
                <w:b/>
                <w:bCs/>
                <w:szCs w:val="22"/>
              </w:rPr>
              <w:t>Основні заходи проєкту:</w:t>
            </w:r>
          </w:p>
        </w:tc>
        <w:tc>
          <w:tcPr>
            <w:tcW w:w="6794" w:type="dxa"/>
            <w:gridSpan w:val="9"/>
            <w:vAlign w:val="center"/>
          </w:tcPr>
          <w:p w14:paraId="671B01D2" w14:textId="77777777" w:rsidR="005342D5" w:rsidRPr="0019790A" w:rsidRDefault="005342D5" w:rsidP="0068624E">
            <w:pPr>
              <w:jc w:val="both"/>
              <w:rPr>
                <w:rFonts w:cs="Arial"/>
                <w:szCs w:val="22"/>
              </w:rPr>
            </w:pPr>
            <w:r w:rsidRPr="0019790A">
              <w:rPr>
                <w:rFonts w:cs="Arial"/>
                <w:szCs w:val="22"/>
              </w:rPr>
              <w:t xml:space="preserve">1. </w:t>
            </w:r>
            <w:r w:rsidRPr="0019790A">
              <w:rPr>
                <w:rFonts w:cs="Arial"/>
                <w:b/>
                <w:bCs/>
                <w:szCs w:val="22"/>
              </w:rPr>
              <w:t>Проведення аналізу потреб громади:</w:t>
            </w:r>
          </w:p>
          <w:p w14:paraId="1221BD38" w14:textId="77777777" w:rsidR="005342D5" w:rsidRPr="0019790A" w:rsidRDefault="005342D5" w:rsidP="0068624E">
            <w:pPr>
              <w:numPr>
                <w:ilvl w:val="0"/>
                <w:numId w:val="42"/>
              </w:numPr>
              <w:jc w:val="both"/>
              <w:rPr>
                <w:rFonts w:cs="Arial"/>
                <w:szCs w:val="22"/>
              </w:rPr>
            </w:pPr>
            <w:r w:rsidRPr="0019790A">
              <w:rPr>
                <w:rFonts w:cs="Arial"/>
                <w:szCs w:val="22"/>
              </w:rPr>
              <w:t>Оцінка наявної спортивної інфраструктури та визначення потреб різних вікових груп населення.</w:t>
            </w:r>
          </w:p>
          <w:p w14:paraId="3364BE59" w14:textId="77777777" w:rsidR="005342D5" w:rsidRPr="0019790A" w:rsidRDefault="005342D5" w:rsidP="0068624E">
            <w:pPr>
              <w:numPr>
                <w:ilvl w:val="0"/>
                <w:numId w:val="42"/>
              </w:numPr>
              <w:jc w:val="both"/>
              <w:rPr>
                <w:rFonts w:cs="Arial"/>
                <w:szCs w:val="22"/>
              </w:rPr>
            </w:pPr>
            <w:r w:rsidRPr="0019790A">
              <w:rPr>
                <w:rFonts w:cs="Arial"/>
                <w:szCs w:val="22"/>
              </w:rPr>
              <w:t>Збір пропозицій від мешканців щодо бажаних функцій та обладнання майбутнього спортивного об'єкта.</w:t>
            </w:r>
          </w:p>
          <w:p w14:paraId="3AE72E3B" w14:textId="77777777" w:rsidR="005342D5" w:rsidRPr="0019790A" w:rsidRDefault="005342D5" w:rsidP="0068624E">
            <w:pPr>
              <w:jc w:val="both"/>
              <w:rPr>
                <w:rFonts w:cs="Arial"/>
                <w:szCs w:val="22"/>
              </w:rPr>
            </w:pPr>
            <w:r w:rsidRPr="0019790A">
              <w:rPr>
                <w:rFonts w:cs="Arial"/>
                <w:szCs w:val="22"/>
              </w:rPr>
              <w:t xml:space="preserve">2.  </w:t>
            </w:r>
            <w:r w:rsidRPr="0019790A">
              <w:rPr>
                <w:rFonts w:cs="Arial"/>
                <w:b/>
                <w:bCs/>
                <w:szCs w:val="22"/>
              </w:rPr>
              <w:t>Розробка проєктно-кошторисної документації:</w:t>
            </w:r>
          </w:p>
          <w:p w14:paraId="51E5555D" w14:textId="77777777" w:rsidR="005342D5" w:rsidRPr="0019790A" w:rsidRDefault="005342D5" w:rsidP="0068624E">
            <w:pPr>
              <w:numPr>
                <w:ilvl w:val="0"/>
                <w:numId w:val="43"/>
              </w:numPr>
              <w:jc w:val="both"/>
              <w:rPr>
                <w:rFonts w:cs="Arial"/>
                <w:szCs w:val="22"/>
              </w:rPr>
            </w:pPr>
            <w:r w:rsidRPr="0019790A">
              <w:rPr>
                <w:rFonts w:cs="Arial"/>
                <w:szCs w:val="22"/>
              </w:rPr>
              <w:t>Залучення фахівців для створення архітектурного проєкту, що враховує інклюзивність, енергоефективність та багатофункціональність.</w:t>
            </w:r>
          </w:p>
          <w:p w14:paraId="6608B902" w14:textId="77777777" w:rsidR="005342D5" w:rsidRPr="0019790A" w:rsidRDefault="005342D5" w:rsidP="0068624E">
            <w:pPr>
              <w:numPr>
                <w:ilvl w:val="0"/>
                <w:numId w:val="43"/>
              </w:numPr>
              <w:jc w:val="both"/>
              <w:rPr>
                <w:rFonts w:cs="Arial"/>
                <w:szCs w:val="22"/>
              </w:rPr>
            </w:pPr>
            <w:r w:rsidRPr="0019790A">
              <w:rPr>
                <w:rFonts w:cs="Arial"/>
                <w:szCs w:val="22"/>
              </w:rPr>
              <w:t>Погодження документації з відповідними органами.</w:t>
            </w:r>
          </w:p>
          <w:p w14:paraId="77AE74F7" w14:textId="77777777" w:rsidR="005342D5" w:rsidRPr="0019790A" w:rsidRDefault="005342D5" w:rsidP="0068624E">
            <w:pPr>
              <w:jc w:val="both"/>
              <w:rPr>
                <w:rFonts w:cs="Arial"/>
                <w:szCs w:val="22"/>
              </w:rPr>
            </w:pPr>
            <w:r w:rsidRPr="0019790A">
              <w:rPr>
                <w:rFonts w:cs="Arial"/>
                <w:szCs w:val="22"/>
              </w:rPr>
              <w:t xml:space="preserve">3.  </w:t>
            </w:r>
            <w:r w:rsidRPr="0019790A">
              <w:rPr>
                <w:rFonts w:cs="Arial"/>
                <w:b/>
                <w:bCs/>
                <w:szCs w:val="22"/>
              </w:rPr>
              <w:t>Підготовка території для будівництва:</w:t>
            </w:r>
          </w:p>
          <w:p w14:paraId="7ACA0F81" w14:textId="77777777" w:rsidR="005342D5" w:rsidRPr="0019790A" w:rsidRDefault="005342D5" w:rsidP="0068624E">
            <w:pPr>
              <w:numPr>
                <w:ilvl w:val="0"/>
                <w:numId w:val="44"/>
              </w:numPr>
              <w:jc w:val="both"/>
              <w:rPr>
                <w:rFonts w:cs="Arial"/>
                <w:szCs w:val="22"/>
              </w:rPr>
            </w:pPr>
            <w:r w:rsidRPr="0019790A">
              <w:rPr>
                <w:rFonts w:cs="Arial"/>
                <w:szCs w:val="22"/>
              </w:rPr>
              <w:t>Очищення та вирівнювання ділянки.</w:t>
            </w:r>
          </w:p>
          <w:p w14:paraId="34C1B7BB" w14:textId="77777777" w:rsidR="005342D5" w:rsidRPr="0019790A" w:rsidRDefault="005342D5" w:rsidP="0068624E">
            <w:pPr>
              <w:numPr>
                <w:ilvl w:val="0"/>
                <w:numId w:val="44"/>
              </w:numPr>
              <w:jc w:val="both"/>
              <w:rPr>
                <w:rFonts w:cs="Arial"/>
                <w:szCs w:val="22"/>
              </w:rPr>
            </w:pPr>
            <w:r w:rsidRPr="0019790A">
              <w:rPr>
                <w:rFonts w:cs="Arial"/>
                <w:szCs w:val="22"/>
              </w:rPr>
              <w:t>Підведення необхідних комунікацій (електропостачання, водопостачання тощо).</w:t>
            </w:r>
          </w:p>
          <w:p w14:paraId="06B2621F" w14:textId="77777777" w:rsidR="005342D5" w:rsidRPr="0019790A" w:rsidRDefault="005342D5" w:rsidP="0068624E">
            <w:pPr>
              <w:jc w:val="both"/>
              <w:rPr>
                <w:rFonts w:cs="Arial"/>
                <w:szCs w:val="22"/>
              </w:rPr>
            </w:pPr>
            <w:r w:rsidRPr="0019790A">
              <w:rPr>
                <w:rFonts w:cs="Arial"/>
                <w:szCs w:val="22"/>
              </w:rPr>
              <w:t xml:space="preserve">4.  </w:t>
            </w:r>
            <w:r w:rsidRPr="0019790A">
              <w:rPr>
                <w:rFonts w:cs="Arial"/>
                <w:b/>
                <w:bCs/>
                <w:szCs w:val="22"/>
              </w:rPr>
              <w:t>Будівництво спортивного об'єкта:</w:t>
            </w:r>
          </w:p>
          <w:p w14:paraId="046AE2EE" w14:textId="77777777" w:rsidR="005342D5" w:rsidRPr="0019790A" w:rsidRDefault="005342D5" w:rsidP="0068624E">
            <w:pPr>
              <w:numPr>
                <w:ilvl w:val="0"/>
                <w:numId w:val="45"/>
              </w:numPr>
              <w:jc w:val="both"/>
              <w:rPr>
                <w:rFonts w:cs="Arial"/>
                <w:szCs w:val="22"/>
              </w:rPr>
            </w:pPr>
            <w:r w:rsidRPr="0019790A">
              <w:rPr>
                <w:rFonts w:cs="Arial"/>
                <w:szCs w:val="22"/>
              </w:rPr>
              <w:t>Зведення спортивного майданчика з покриттям, відповідним до обраних видів спорту (футбол, баскетбол, волейбол тощо).</w:t>
            </w:r>
          </w:p>
          <w:p w14:paraId="1390899F" w14:textId="77777777" w:rsidR="005342D5" w:rsidRPr="0019790A" w:rsidRDefault="005342D5" w:rsidP="0068624E">
            <w:pPr>
              <w:numPr>
                <w:ilvl w:val="0"/>
                <w:numId w:val="45"/>
              </w:numPr>
              <w:jc w:val="both"/>
              <w:rPr>
                <w:rFonts w:cs="Arial"/>
                <w:szCs w:val="22"/>
              </w:rPr>
            </w:pPr>
            <w:r w:rsidRPr="0019790A">
              <w:rPr>
                <w:rFonts w:cs="Arial"/>
                <w:szCs w:val="22"/>
              </w:rPr>
              <w:t>Встановлення освітлення, огорожі, лавок та інших необхідних елементів інфраструктури.</w:t>
            </w:r>
          </w:p>
          <w:p w14:paraId="2AFC6557" w14:textId="77777777" w:rsidR="005342D5" w:rsidRPr="0019790A" w:rsidRDefault="005342D5" w:rsidP="0068624E">
            <w:pPr>
              <w:jc w:val="both"/>
              <w:rPr>
                <w:rFonts w:cs="Arial"/>
                <w:szCs w:val="22"/>
              </w:rPr>
            </w:pPr>
            <w:r w:rsidRPr="0019790A">
              <w:rPr>
                <w:rFonts w:cs="Arial"/>
                <w:szCs w:val="22"/>
              </w:rPr>
              <w:t xml:space="preserve">5.  </w:t>
            </w:r>
            <w:r w:rsidRPr="0019790A">
              <w:rPr>
                <w:rFonts w:cs="Arial"/>
                <w:b/>
                <w:bCs/>
                <w:szCs w:val="22"/>
              </w:rPr>
              <w:t>Обладнання об'єкта необхідним інвентарем:</w:t>
            </w:r>
          </w:p>
          <w:p w14:paraId="2FC88682" w14:textId="77777777" w:rsidR="005342D5" w:rsidRPr="0019790A" w:rsidRDefault="005342D5" w:rsidP="0068624E">
            <w:pPr>
              <w:numPr>
                <w:ilvl w:val="0"/>
                <w:numId w:val="46"/>
              </w:numPr>
              <w:jc w:val="both"/>
              <w:rPr>
                <w:rFonts w:cs="Arial"/>
                <w:szCs w:val="22"/>
              </w:rPr>
            </w:pPr>
            <w:r w:rsidRPr="0019790A">
              <w:rPr>
                <w:rFonts w:cs="Arial"/>
                <w:szCs w:val="22"/>
              </w:rPr>
              <w:t>Придбання та встановлення спортивного обладнання та інвентарю для різних вікових груп.</w:t>
            </w:r>
          </w:p>
          <w:p w14:paraId="3ADD0324" w14:textId="77777777" w:rsidR="005342D5" w:rsidRPr="0019790A" w:rsidRDefault="005342D5" w:rsidP="0068624E">
            <w:pPr>
              <w:numPr>
                <w:ilvl w:val="0"/>
                <w:numId w:val="46"/>
              </w:numPr>
              <w:jc w:val="both"/>
              <w:rPr>
                <w:rFonts w:cs="Arial"/>
                <w:szCs w:val="22"/>
              </w:rPr>
            </w:pPr>
            <w:r w:rsidRPr="0019790A">
              <w:rPr>
                <w:rFonts w:cs="Arial"/>
                <w:szCs w:val="22"/>
              </w:rPr>
              <w:t>Забезпечення доступності для осіб з інвалідністю.</w:t>
            </w:r>
          </w:p>
          <w:p w14:paraId="4BCE54B8" w14:textId="77777777" w:rsidR="005342D5" w:rsidRPr="0019790A" w:rsidRDefault="005342D5" w:rsidP="0068624E">
            <w:pPr>
              <w:jc w:val="both"/>
              <w:rPr>
                <w:rFonts w:cs="Arial"/>
                <w:szCs w:val="22"/>
              </w:rPr>
            </w:pPr>
            <w:r w:rsidRPr="0019790A">
              <w:rPr>
                <w:rFonts w:cs="Arial"/>
                <w:szCs w:val="22"/>
              </w:rPr>
              <w:t xml:space="preserve">6.  </w:t>
            </w:r>
            <w:r w:rsidRPr="0019790A">
              <w:rPr>
                <w:rFonts w:cs="Arial"/>
                <w:b/>
                <w:bCs/>
                <w:szCs w:val="22"/>
              </w:rPr>
              <w:t>Проведення інформаційної кампанії:</w:t>
            </w:r>
          </w:p>
          <w:p w14:paraId="4594EC1D" w14:textId="77777777" w:rsidR="005342D5" w:rsidRPr="0019790A" w:rsidRDefault="005342D5" w:rsidP="0068624E">
            <w:pPr>
              <w:numPr>
                <w:ilvl w:val="0"/>
                <w:numId w:val="47"/>
              </w:numPr>
              <w:jc w:val="both"/>
              <w:rPr>
                <w:rFonts w:cs="Arial"/>
                <w:szCs w:val="22"/>
              </w:rPr>
            </w:pPr>
            <w:r w:rsidRPr="0019790A">
              <w:rPr>
                <w:rFonts w:cs="Arial"/>
                <w:szCs w:val="22"/>
              </w:rPr>
              <w:t>Інформування населення про відкриття нового спортивного об'єкта та можливості для занять.</w:t>
            </w:r>
          </w:p>
          <w:p w14:paraId="7D32E322" w14:textId="77777777" w:rsidR="005342D5" w:rsidRPr="0019790A" w:rsidRDefault="005342D5" w:rsidP="0068624E">
            <w:pPr>
              <w:numPr>
                <w:ilvl w:val="0"/>
                <w:numId w:val="47"/>
              </w:numPr>
              <w:jc w:val="both"/>
              <w:rPr>
                <w:rFonts w:cs="Arial"/>
                <w:szCs w:val="22"/>
              </w:rPr>
            </w:pPr>
            <w:r w:rsidRPr="0019790A">
              <w:rPr>
                <w:rFonts w:cs="Arial"/>
                <w:szCs w:val="22"/>
              </w:rPr>
              <w:t>Поширення інформації через місцеві ЗМІ, соціальні мережі та інші канали комунікації.</w:t>
            </w:r>
          </w:p>
          <w:p w14:paraId="24407DF3" w14:textId="77777777" w:rsidR="005342D5" w:rsidRPr="0019790A" w:rsidRDefault="005342D5" w:rsidP="0068624E">
            <w:pPr>
              <w:jc w:val="both"/>
              <w:rPr>
                <w:rFonts w:cs="Arial"/>
                <w:szCs w:val="22"/>
              </w:rPr>
            </w:pPr>
            <w:r w:rsidRPr="0019790A">
              <w:rPr>
                <w:rFonts w:cs="Arial"/>
                <w:szCs w:val="22"/>
              </w:rPr>
              <w:t xml:space="preserve">7.  </w:t>
            </w:r>
            <w:r w:rsidRPr="0019790A">
              <w:rPr>
                <w:rFonts w:cs="Arial"/>
                <w:b/>
                <w:bCs/>
                <w:szCs w:val="22"/>
              </w:rPr>
              <w:t>Моніторинг та оцінка ефективності проєкту:</w:t>
            </w:r>
          </w:p>
          <w:p w14:paraId="592C8AA6" w14:textId="77777777" w:rsidR="005342D5" w:rsidRPr="0019790A" w:rsidRDefault="005342D5" w:rsidP="0068624E">
            <w:pPr>
              <w:numPr>
                <w:ilvl w:val="0"/>
                <w:numId w:val="48"/>
              </w:numPr>
              <w:jc w:val="both"/>
              <w:rPr>
                <w:rFonts w:cs="Arial"/>
                <w:szCs w:val="22"/>
              </w:rPr>
            </w:pPr>
            <w:r w:rsidRPr="0019790A">
              <w:rPr>
                <w:rFonts w:cs="Arial"/>
                <w:szCs w:val="22"/>
              </w:rPr>
              <w:t>Відстеження кількості відвідувачів та учасників спортивних заходів..</w:t>
            </w:r>
          </w:p>
        </w:tc>
      </w:tr>
      <w:tr w:rsidR="005342D5" w:rsidRPr="0019790A" w14:paraId="3DA14EB8" w14:textId="77777777" w:rsidTr="0068624E">
        <w:trPr>
          <w:jc w:val="right"/>
        </w:trPr>
        <w:tc>
          <w:tcPr>
            <w:tcW w:w="3425" w:type="dxa"/>
            <w:shd w:val="clear" w:color="auto" w:fill="FFFFFF"/>
            <w:vAlign w:val="center"/>
          </w:tcPr>
          <w:p w14:paraId="6E9359B9" w14:textId="77777777" w:rsidR="005342D5" w:rsidRPr="0019790A" w:rsidRDefault="005342D5" w:rsidP="0019790A">
            <w:pPr>
              <w:rPr>
                <w:rFonts w:cs="Arial"/>
                <w:b/>
                <w:bCs/>
                <w:szCs w:val="22"/>
              </w:rPr>
            </w:pPr>
            <w:r w:rsidRPr="0019790A">
              <w:rPr>
                <w:rFonts w:cs="Arial"/>
                <w:b/>
                <w:bCs/>
                <w:szCs w:val="22"/>
              </w:rPr>
              <w:t>Індикатори (показники) результативності:</w:t>
            </w:r>
          </w:p>
        </w:tc>
        <w:tc>
          <w:tcPr>
            <w:tcW w:w="6794" w:type="dxa"/>
            <w:gridSpan w:val="9"/>
            <w:vAlign w:val="center"/>
          </w:tcPr>
          <w:p w14:paraId="25E5EFEA" w14:textId="77777777" w:rsidR="005342D5" w:rsidRPr="0019790A" w:rsidRDefault="005342D5" w:rsidP="0068624E">
            <w:pPr>
              <w:jc w:val="both"/>
              <w:rPr>
                <w:rFonts w:cs="Arial"/>
                <w:szCs w:val="22"/>
              </w:rPr>
            </w:pPr>
            <w:r w:rsidRPr="0019790A">
              <w:rPr>
                <w:rFonts w:cs="Arial"/>
                <w:szCs w:val="22"/>
              </w:rPr>
              <w:t>1.  Побудова багатофункціонального спортивного майданчику з гумовим або штучним покриттям</w:t>
            </w:r>
          </w:p>
          <w:p w14:paraId="0131B875" w14:textId="77777777" w:rsidR="005342D5" w:rsidRPr="0019790A" w:rsidRDefault="005342D5" w:rsidP="0068624E">
            <w:pPr>
              <w:jc w:val="both"/>
              <w:rPr>
                <w:rFonts w:cs="Arial"/>
                <w:szCs w:val="22"/>
              </w:rPr>
            </w:pPr>
            <w:r w:rsidRPr="0019790A">
              <w:rPr>
                <w:rFonts w:cs="Arial"/>
                <w:szCs w:val="22"/>
              </w:rPr>
              <w:t>2.  Залучення щонайменше 500 мешканців громади до занять спортом щомісяця.</w:t>
            </w:r>
          </w:p>
          <w:p w14:paraId="6B7E08D0" w14:textId="77777777" w:rsidR="005342D5" w:rsidRPr="0019790A" w:rsidRDefault="005342D5" w:rsidP="0068624E">
            <w:pPr>
              <w:jc w:val="both"/>
              <w:rPr>
                <w:rFonts w:cs="Arial"/>
                <w:szCs w:val="22"/>
              </w:rPr>
            </w:pPr>
            <w:r w:rsidRPr="0019790A">
              <w:rPr>
                <w:rFonts w:cs="Arial"/>
                <w:szCs w:val="22"/>
              </w:rPr>
              <w:t>3.  Проведення регулярних спортивних змагань, тренувань та дозвіллєвих заходів.</w:t>
            </w:r>
          </w:p>
          <w:p w14:paraId="5D250920" w14:textId="77777777" w:rsidR="005342D5" w:rsidRPr="0019790A" w:rsidRDefault="005342D5" w:rsidP="0068624E">
            <w:pPr>
              <w:jc w:val="both"/>
              <w:rPr>
                <w:rFonts w:cs="Arial"/>
                <w:szCs w:val="22"/>
              </w:rPr>
            </w:pPr>
            <w:r w:rsidRPr="0019790A">
              <w:rPr>
                <w:rFonts w:cs="Arial"/>
                <w:szCs w:val="22"/>
              </w:rPr>
              <w:t xml:space="preserve">4.  Підвищення рівня фізичної активності серед дітей, молоді, населення середнього та пенсійного віку, людей з інвалідністю. </w:t>
            </w:r>
          </w:p>
          <w:p w14:paraId="70DBF5DA" w14:textId="77777777" w:rsidR="005342D5" w:rsidRPr="0019790A" w:rsidRDefault="005342D5" w:rsidP="0068624E">
            <w:pPr>
              <w:jc w:val="both"/>
              <w:rPr>
                <w:rFonts w:cs="Arial"/>
                <w:szCs w:val="22"/>
              </w:rPr>
            </w:pPr>
            <w:r w:rsidRPr="0019790A">
              <w:rPr>
                <w:rFonts w:cs="Arial"/>
                <w:szCs w:val="22"/>
              </w:rPr>
              <w:t>5.  Залучення до спорту понад 60% місцевого населення.</w:t>
            </w:r>
          </w:p>
          <w:p w14:paraId="4173953F" w14:textId="77777777" w:rsidR="005342D5" w:rsidRPr="0019790A" w:rsidRDefault="005342D5" w:rsidP="0068624E">
            <w:pPr>
              <w:jc w:val="both"/>
              <w:rPr>
                <w:rFonts w:cs="Arial"/>
                <w:szCs w:val="22"/>
              </w:rPr>
            </w:pPr>
            <w:r w:rsidRPr="0019790A">
              <w:rPr>
                <w:rFonts w:cs="Arial"/>
                <w:szCs w:val="22"/>
              </w:rPr>
              <w:t>6.  Зниження рівня захворюваності та гіподинамії.</w:t>
            </w:r>
          </w:p>
          <w:p w14:paraId="0A315ED7" w14:textId="3DF4CA9A" w:rsidR="005342D5" w:rsidRPr="0019790A" w:rsidRDefault="0068624E" w:rsidP="0068624E">
            <w:pPr>
              <w:tabs>
                <w:tab w:val="left" w:pos="277"/>
                <w:tab w:val="left" w:pos="452"/>
              </w:tabs>
              <w:jc w:val="both"/>
              <w:rPr>
                <w:rFonts w:cs="Arial"/>
                <w:szCs w:val="22"/>
              </w:rPr>
            </w:pPr>
            <w:r>
              <w:rPr>
                <w:rFonts w:cs="Arial"/>
                <w:szCs w:val="22"/>
              </w:rPr>
              <w:t xml:space="preserve">7. </w:t>
            </w:r>
            <w:r w:rsidR="005342D5" w:rsidRPr="0019790A">
              <w:rPr>
                <w:rFonts w:cs="Arial"/>
                <w:szCs w:val="22"/>
              </w:rPr>
              <w:t>Підвищення соціальної інтеграції та міжпоколіннєвої взаємодії.</w:t>
            </w:r>
          </w:p>
          <w:p w14:paraId="2310267D" w14:textId="77777777" w:rsidR="005342D5" w:rsidRPr="0019790A" w:rsidRDefault="005342D5" w:rsidP="0068624E">
            <w:pPr>
              <w:jc w:val="both"/>
              <w:rPr>
                <w:rFonts w:cs="Arial"/>
                <w:szCs w:val="22"/>
              </w:rPr>
            </w:pPr>
            <w:r w:rsidRPr="0019790A">
              <w:rPr>
                <w:rFonts w:cs="Arial"/>
                <w:szCs w:val="22"/>
              </w:rPr>
              <w:t>8.  Поява нового простору для самореалізації та дозвілля.</w:t>
            </w:r>
          </w:p>
        </w:tc>
      </w:tr>
      <w:tr w:rsidR="005342D5" w:rsidRPr="0019790A" w14:paraId="65F0545D" w14:textId="77777777" w:rsidTr="00CF3AAE">
        <w:trPr>
          <w:jc w:val="right"/>
        </w:trPr>
        <w:tc>
          <w:tcPr>
            <w:tcW w:w="3425" w:type="dxa"/>
            <w:shd w:val="clear" w:color="auto" w:fill="FFFFFF"/>
            <w:vAlign w:val="center"/>
          </w:tcPr>
          <w:p w14:paraId="7055C35B" w14:textId="77777777" w:rsidR="005342D5" w:rsidRPr="0019790A" w:rsidRDefault="005342D5" w:rsidP="0019790A">
            <w:pPr>
              <w:rPr>
                <w:rFonts w:cs="Arial"/>
                <w:b/>
                <w:szCs w:val="22"/>
              </w:rPr>
            </w:pPr>
            <w:r w:rsidRPr="0019790A">
              <w:rPr>
                <w:rFonts w:cs="Arial"/>
                <w:b/>
                <w:szCs w:val="22"/>
              </w:rPr>
              <w:t xml:space="preserve">Період здійснення: </w:t>
            </w:r>
          </w:p>
        </w:tc>
        <w:tc>
          <w:tcPr>
            <w:tcW w:w="6794" w:type="dxa"/>
            <w:gridSpan w:val="9"/>
            <w:vAlign w:val="center"/>
          </w:tcPr>
          <w:p w14:paraId="25346416" w14:textId="77777777" w:rsidR="005342D5" w:rsidRPr="0019790A" w:rsidRDefault="005342D5" w:rsidP="0019790A">
            <w:pPr>
              <w:rPr>
                <w:rFonts w:cs="Arial"/>
                <w:szCs w:val="22"/>
              </w:rPr>
            </w:pPr>
            <w:r w:rsidRPr="0019790A">
              <w:rPr>
                <w:rFonts w:cs="Arial"/>
                <w:b/>
                <w:szCs w:val="22"/>
              </w:rPr>
              <w:t>2025 – 2028 роки:</w:t>
            </w:r>
          </w:p>
        </w:tc>
      </w:tr>
      <w:tr w:rsidR="005342D5" w:rsidRPr="0019790A" w14:paraId="59252953" w14:textId="77777777" w:rsidTr="0068624E">
        <w:trPr>
          <w:jc w:val="right"/>
        </w:trPr>
        <w:tc>
          <w:tcPr>
            <w:tcW w:w="3425" w:type="dxa"/>
            <w:vMerge w:val="restart"/>
            <w:shd w:val="clear" w:color="auto" w:fill="FFFFFF"/>
            <w:vAlign w:val="center"/>
          </w:tcPr>
          <w:p w14:paraId="4FE172B7" w14:textId="77777777" w:rsidR="005342D5" w:rsidRPr="0019790A" w:rsidRDefault="005342D5" w:rsidP="0019790A">
            <w:pPr>
              <w:rPr>
                <w:rFonts w:cs="Arial"/>
                <w:b/>
                <w:bCs/>
                <w:szCs w:val="22"/>
              </w:rPr>
            </w:pPr>
            <w:r w:rsidRPr="0019790A">
              <w:rPr>
                <w:rFonts w:cs="Arial"/>
                <w:b/>
                <w:bCs/>
                <w:szCs w:val="22"/>
              </w:rPr>
              <w:t>Орієнтовна вартість проєкту, тис. грн., в тому числі:</w:t>
            </w:r>
          </w:p>
        </w:tc>
        <w:tc>
          <w:tcPr>
            <w:tcW w:w="1254" w:type="dxa"/>
            <w:shd w:val="clear" w:color="auto" w:fill="E6E6E6"/>
            <w:vAlign w:val="center"/>
          </w:tcPr>
          <w:p w14:paraId="16FAA4C9" w14:textId="77777777" w:rsidR="005342D5" w:rsidRPr="0019790A" w:rsidRDefault="005342D5" w:rsidP="0068624E">
            <w:pPr>
              <w:jc w:val="center"/>
              <w:rPr>
                <w:rFonts w:cs="Arial"/>
                <w:b/>
                <w:szCs w:val="22"/>
              </w:rPr>
            </w:pPr>
            <w:r w:rsidRPr="0019790A">
              <w:rPr>
                <w:rFonts w:cs="Arial"/>
                <w:b/>
                <w:szCs w:val="22"/>
              </w:rPr>
              <w:t>2025</w:t>
            </w:r>
          </w:p>
        </w:tc>
        <w:tc>
          <w:tcPr>
            <w:tcW w:w="1275" w:type="dxa"/>
            <w:gridSpan w:val="2"/>
            <w:shd w:val="clear" w:color="auto" w:fill="E6E6E6"/>
            <w:vAlign w:val="center"/>
          </w:tcPr>
          <w:p w14:paraId="28905F61" w14:textId="77777777" w:rsidR="005342D5" w:rsidRPr="0019790A" w:rsidRDefault="005342D5" w:rsidP="0068624E">
            <w:pPr>
              <w:jc w:val="center"/>
              <w:rPr>
                <w:rFonts w:cs="Arial"/>
                <w:b/>
                <w:szCs w:val="22"/>
              </w:rPr>
            </w:pPr>
            <w:r w:rsidRPr="0019790A">
              <w:rPr>
                <w:rFonts w:cs="Arial"/>
                <w:b/>
                <w:szCs w:val="22"/>
              </w:rPr>
              <w:t>2026</w:t>
            </w:r>
          </w:p>
        </w:tc>
        <w:tc>
          <w:tcPr>
            <w:tcW w:w="1418" w:type="dxa"/>
            <w:gridSpan w:val="3"/>
            <w:tcBorders>
              <w:bottom w:val="single" w:sz="4" w:space="0" w:color="auto"/>
            </w:tcBorders>
            <w:shd w:val="clear" w:color="auto" w:fill="E6E6E6"/>
            <w:vAlign w:val="center"/>
          </w:tcPr>
          <w:p w14:paraId="45A7D418" w14:textId="77777777" w:rsidR="005342D5" w:rsidRPr="0019790A" w:rsidRDefault="005342D5" w:rsidP="0068624E">
            <w:pPr>
              <w:jc w:val="center"/>
              <w:rPr>
                <w:rFonts w:cs="Arial"/>
                <w:b/>
                <w:szCs w:val="22"/>
              </w:rPr>
            </w:pPr>
            <w:r w:rsidRPr="0019790A">
              <w:rPr>
                <w:rFonts w:cs="Arial"/>
                <w:b/>
                <w:szCs w:val="22"/>
              </w:rPr>
              <w:t>2027</w:t>
            </w:r>
          </w:p>
        </w:tc>
        <w:tc>
          <w:tcPr>
            <w:tcW w:w="1276" w:type="dxa"/>
            <w:shd w:val="clear" w:color="auto" w:fill="E6E6E6"/>
            <w:vAlign w:val="center"/>
          </w:tcPr>
          <w:p w14:paraId="52807DFA" w14:textId="77777777" w:rsidR="005342D5" w:rsidRPr="0019790A" w:rsidRDefault="005342D5" w:rsidP="0068624E">
            <w:pPr>
              <w:jc w:val="center"/>
              <w:rPr>
                <w:rFonts w:cs="Arial"/>
                <w:b/>
                <w:szCs w:val="22"/>
              </w:rPr>
            </w:pPr>
            <w:r w:rsidRPr="0019790A">
              <w:rPr>
                <w:rFonts w:cs="Arial"/>
                <w:b/>
                <w:szCs w:val="22"/>
              </w:rPr>
              <w:t>2028</w:t>
            </w:r>
          </w:p>
        </w:tc>
        <w:tc>
          <w:tcPr>
            <w:tcW w:w="1571" w:type="dxa"/>
            <w:gridSpan w:val="2"/>
            <w:shd w:val="clear" w:color="auto" w:fill="E6E6E6"/>
            <w:vAlign w:val="center"/>
          </w:tcPr>
          <w:p w14:paraId="266DB0D2" w14:textId="77777777" w:rsidR="005342D5" w:rsidRPr="0019790A" w:rsidRDefault="005342D5" w:rsidP="0068624E">
            <w:pPr>
              <w:jc w:val="center"/>
              <w:rPr>
                <w:rFonts w:cs="Arial"/>
                <w:b/>
                <w:szCs w:val="22"/>
              </w:rPr>
            </w:pPr>
            <w:r w:rsidRPr="0019790A">
              <w:rPr>
                <w:rFonts w:cs="Arial"/>
                <w:b/>
                <w:szCs w:val="22"/>
              </w:rPr>
              <w:t>РАЗОМ</w:t>
            </w:r>
          </w:p>
        </w:tc>
      </w:tr>
      <w:tr w:rsidR="005342D5" w:rsidRPr="0019790A" w14:paraId="586CCBDB" w14:textId="77777777" w:rsidTr="0068624E">
        <w:trPr>
          <w:jc w:val="right"/>
        </w:trPr>
        <w:tc>
          <w:tcPr>
            <w:tcW w:w="3425" w:type="dxa"/>
            <w:vMerge/>
            <w:shd w:val="clear" w:color="auto" w:fill="FFFFFF"/>
            <w:vAlign w:val="center"/>
          </w:tcPr>
          <w:p w14:paraId="01AF4879" w14:textId="77777777" w:rsidR="005342D5" w:rsidRPr="0019790A" w:rsidRDefault="005342D5" w:rsidP="0019790A">
            <w:pPr>
              <w:rPr>
                <w:rFonts w:cs="Arial"/>
                <w:b/>
                <w:bCs/>
                <w:szCs w:val="22"/>
              </w:rPr>
            </w:pPr>
          </w:p>
        </w:tc>
        <w:tc>
          <w:tcPr>
            <w:tcW w:w="1254" w:type="dxa"/>
            <w:vAlign w:val="center"/>
          </w:tcPr>
          <w:p w14:paraId="3C7BEBFA" w14:textId="77777777" w:rsidR="005342D5" w:rsidRPr="0019790A" w:rsidRDefault="005342D5" w:rsidP="0068624E">
            <w:pPr>
              <w:jc w:val="center"/>
              <w:rPr>
                <w:rFonts w:cs="Arial"/>
                <w:b/>
                <w:szCs w:val="22"/>
              </w:rPr>
            </w:pPr>
          </w:p>
        </w:tc>
        <w:tc>
          <w:tcPr>
            <w:tcW w:w="1275" w:type="dxa"/>
            <w:gridSpan w:val="2"/>
            <w:shd w:val="clear" w:color="auto" w:fill="FFFFFF"/>
            <w:vAlign w:val="center"/>
          </w:tcPr>
          <w:p w14:paraId="79189B21" w14:textId="77777777" w:rsidR="005342D5" w:rsidRPr="0019790A" w:rsidRDefault="005342D5" w:rsidP="0068624E">
            <w:pPr>
              <w:jc w:val="center"/>
              <w:rPr>
                <w:rFonts w:cs="Arial"/>
                <w:b/>
                <w:szCs w:val="22"/>
              </w:rPr>
            </w:pPr>
            <w:r w:rsidRPr="0019790A">
              <w:rPr>
                <w:rFonts w:cs="Arial"/>
                <w:b/>
                <w:szCs w:val="22"/>
              </w:rPr>
              <w:t>5500,0</w:t>
            </w:r>
          </w:p>
        </w:tc>
        <w:tc>
          <w:tcPr>
            <w:tcW w:w="1418" w:type="dxa"/>
            <w:gridSpan w:val="3"/>
            <w:shd w:val="clear" w:color="auto" w:fill="auto"/>
            <w:vAlign w:val="center"/>
          </w:tcPr>
          <w:p w14:paraId="40043281" w14:textId="77777777" w:rsidR="005342D5" w:rsidRPr="0019790A" w:rsidRDefault="005342D5" w:rsidP="0068624E">
            <w:pPr>
              <w:jc w:val="center"/>
              <w:rPr>
                <w:rFonts w:cs="Arial"/>
                <w:b/>
                <w:szCs w:val="22"/>
              </w:rPr>
            </w:pPr>
          </w:p>
        </w:tc>
        <w:tc>
          <w:tcPr>
            <w:tcW w:w="1276" w:type="dxa"/>
            <w:shd w:val="clear" w:color="auto" w:fill="FFFFFF"/>
            <w:vAlign w:val="center"/>
          </w:tcPr>
          <w:p w14:paraId="7C125FE4" w14:textId="77777777" w:rsidR="005342D5" w:rsidRPr="0019790A" w:rsidRDefault="005342D5" w:rsidP="0068624E">
            <w:pPr>
              <w:jc w:val="center"/>
              <w:rPr>
                <w:rFonts w:cs="Arial"/>
                <w:b/>
                <w:szCs w:val="22"/>
              </w:rPr>
            </w:pPr>
          </w:p>
        </w:tc>
        <w:tc>
          <w:tcPr>
            <w:tcW w:w="1571" w:type="dxa"/>
            <w:gridSpan w:val="2"/>
            <w:shd w:val="clear" w:color="auto" w:fill="FFFFFF"/>
            <w:vAlign w:val="center"/>
          </w:tcPr>
          <w:p w14:paraId="67F5B6A5" w14:textId="77777777" w:rsidR="005342D5" w:rsidRPr="0019790A" w:rsidRDefault="005342D5" w:rsidP="0068624E">
            <w:pPr>
              <w:jc w:val="center"/>
              <w:rPr>
                <w:rFonts w:cs="Arial"/>
                <w:b/>
                <w:szCs w:val="22"/>
              </w:rPr>
            </w:pPr>
            <w:r w:rsidRPr="0019790A">
              <w:rPr>
                <w:rFonts w:cs="Arial"/>
                <w:b/>
                <w:szCs w:val="22"/>
              </w:rPr>
              <w:t>5500,0</w:t>
            </w:r>
          </w:p>
        </w:tc>
      </w:tr>
      <w:tr w:rsidR="005342D5" w:rsidRPr="0019790A" w14:paraId="5EC5FB11" w14:textId="77777777" w:rsidTr="0068624E">
        <w:trPr>
          <w:trHeight w:val="276"/>
          <w:jc w:val="right"/>
        </w:trPr>
        <w:tc>
          <w:tcPr>
            <w:tcW w:w="3425" w:type="dxa"/>
            <w:shd w:val="clear" w:color="auto" w:fill="FFFFFF"/>
            <w:vAlign w:val="center"/>
          </w:tcPr>
          <w:p w14:paraId="60D56A52" w14:textId="77777777" w:rsidR="005342D5" w:rsidRPr="0019790A" w:rsidRDefault="005342D5" w:rsidP="0019790A">
            <w:pPr>
              <w:rPr>
                <w:rFonts w:cs="Arial"/>
                <w:b/>
                <w:bCs/>
                <w:szCs w:val="22"/>
              </w:rPr>
            </w:pPr>
            <w:r w:rsidRPr="0019790A">
              <w:rPr>
                <w:rFonts w:cs="Arial"/>
                <w:b/>
                <w:bCs/>
                <w:szCs w:val="22"/>
              </w:rPr>
              <w:t>по джерелах фінансування:</w:t>
            </w:r>
          </w:p>
        </w:tc>
        <w:tc>
          <w:tcPr>
            <w:tcW w:w="6794" w:type="dxa"/>
            <w:gridSpan w:val="9"/>
            <w:vAlign w:val="center"/>
          </w:tcPr>
          <w:p w14:paraId="765CBCDA" w14:textId="77777777" w:rsidR="005342D5" w:rsidRPr="0019790A" w:rsidRDefault="005342D5" w:rsidP="0068624E">
            <w:pPr>
              <w:jc w:val="center"/>
              <w:rPr>
                <w:rFonts w:cs="Arial"/>
                <w:szCs w:val="22"/>
              </w:rPr>
            </w:pPr>
          </w:p>
        </w:tc>
      </w:tr>
      <w:tr w:rsidR="0068624E" w:rsidRPr="0019790A" w14:paraId="2C001AAE" w14:textId="777F3623" w:rsidTr="0068624E">
        <w:trPr>
          <w:trHeight w:val="240"/>
          <w:jc w:val="right"/>
        </w:trPr>
        <w:tc>
          <w:tcPr>
            <w:tcW w:w="3425" w:type="dxa"/>
            <w:shd w:val="clear" w:color="auto" w:fill="FFFFFF"/>
            <w:vAlign w:val="center"/>
          </w:tcPr>
          <w:p w14:paraId="6C3DAF63" w14:textId="77777777" w:rsidR="0068624E" w:rsidRPr="0019790A" w:rsidRDefault="0068624E" w:rsidP="0019790A">
            <w:pPr>
              <w:rPr>
                <w:rFonts w:cs="Arial"/>
                <w:b/>
                <w:bCs/>
                <w:szCs w:val="22"/>
              </w:rPr>
            </w:pPr>
            <w:r w:rsidRPr="0019790A">
              <w:rPr>
                <w:rFonts w:cs="Arial"/>
                <w:szCs w:val="22"/>
              </w:rPr>
              <w:t>- державний бюджет</w:t>
            </w:r>
          </w:p>
        </w:tc>
        <w:tc>
          <w:tcPr>
            <w:tcW w:w="1265" w:type="dxa"/>
            <w:gridSpan w:val="2"/>
            <w:vAlign w:val="center"/>
          </w:tcPr>
          <w:p w14:paraId="157E5E9B" w14:textId="77777777" w:rsidR="0068624E" w:rsidRPr="0019790A" w:rsidRDefault="0068624E" w:rsidP="0068624E">
            <w:pPr>
              <w:jc w:val="center"/>
              <w:rPr>
                <w:rFonts w:cs="Arial"/>
                <w:szCs w:val="22"/>
              </w:rPr>
            </w:pPr>
          </w:p>
        </w:tc>
        <w:tc>
          <w:tcPr>
            <w:tcW w:w="1277" w:type="dxa"/>
            <w:gridSpan w:val="2"/>
            <w:vAlign w:val="center"/>
          </w:tcPr>
          <w:p w14:paraId="4FC9C3A9" w14:textId="77777777" w:rsidR="0068624E" w:rsidRPr="0019790A" w:rsidRDefault="0068624E" w:rsidP="0068624E">
            <w:pPr>
              <w:jc w:val="center"/>
              <w:rPr>
                <w:rFonts w:cs="Arial"/>
                <w:szCs w:val="22"/>
              </w:rPr>
            </w:pPr>
          </w:p>
        </w:tc>
        <w:tc>
          <w:tcPr>
            <w:tcW w:w="1390" w:type="dxa"/>
            <w:vAlign w:val="center"/>
          </w:tcPr>
          <w:p w14:paraId="36F96DA9" w14:textId="77777777" w:rsidR="0068624E" w:rsidRPr="0019790A" w:rsidRDefault="0068624E" w:rsidP="0068624E">
            <w:pPr>
              <w:jc w:val="center"/>
              <w:rPr>
                <w:rFonts w:cs="Arial"/>
                <w:szCs w:val="22"/>
              </w:rPr>
            </w:pPr>
          </w:p>
        </w:tc>
        <w:tc>
          <w:tcPr>
            <w:tcW w:w="1315" w:type="dxa"/>
            <w:gridSpan w:val="3"/>
            <w:vAlign w:val="center"/>
          </w:tcPr>
          <w:p w14:paraId="507AEF5D" w14:textId="77777777" w:rsidR="0068624E" w:rsidRPr="0019790A" w:rsidRDefault="0068624E" w:rsidP="0068624E">
            <w:pPr>
              <w:jc w:val="center"/>
              <w:rPr>
                <w:rFonts w:cs="Arial"/>
                <w:szCs w:val="22"/>
              </w:rPr>
            </w:pPr>
          </w:p>
        </w:tc>
        <w:tc>
          <w:tcPr>
            <w:tcW w:w="1547" w:type="dxa"/>
            <w:vAlign w:val="center"/>
          </w:tcPr>
          <w:p w14:paraId="664CD7F8" w14:textId="77777777" w:rsidR="0068624E" w:rsidRPr="0019790A" w:rsidRDefault="0068624E" w:rsidP="0068624E">
            <w:pPr>
              <w:jc w:val="center"/>
              <w:rPr>
                <w:rFonts w:cs="Arial"/>
                <w:szCs w:val="22"/>
              </w:rPr>
            </w:pPr>
          </w:p>
        </w:tc>
      </w:tr>
      <w:tr w:rsidR="0068624E" w:rsidRPr="0019790A" w14:paraId="2BBA792F" w14:textId="46C314E0" w:rsidTr="0068624E">
        <w:trPr>
          <w:trHeight w:val="254"/>
          <w:jc w:val="right"/>
        </w:trPr>
        <w:tc>
          <w:tcPr>
            <w:tcW w:w="3425" w:type="dxa"/>
            <w:shd w:val="clear" w:color="auto" w:fill="FFFFFF"/>
            <w:vAlign w:val="center"/>
          </w:tcPr>
          <w:p w14:paraId="1B0C4BCC" w14:textId="77777777" w:rsidR="0068624E" w:rsidRPr="0019790A" w:rsidRDefault="0068624E" w:rsidP="0019790A">
            <w:pPr>
              <w:rPr>
                <w:rFonts w:cs="Arial"/>
                <w:szCs w:val="22"/>
              </w:rPr>
            </w:pPr>
            <w:r w:rsidRPr="0019790A">
              <w:rPr>
                <w:rFonts w:cs="Arial"/>
                <w:szCs w:val="22"/>
              </w:rPr>
              <w:t>- обласний бюджет</w:t>
            </w:r>
          </w:p>
        </w:tc>
        <w:tc>
          <w:tcPr>
            <w:tcW w:w="1265" w:type="dxa"/>
            <w:gridSpan w:val="2"/>
            <w:vAlign w:val="center"/>
          </w:tcPr>
          <w:p w14:paraId="41C488A2" w14:textId="77777777" w:rsidR="0068624E" w:rsidRPr="0019790A" w:rsidRDefault="0068624E" w:rsidP="0068624E">
            <w:pPr>
              <w:jc w:val="center"/>
              <w:rPr>
                <w:rFonts w:cs="Arial"/>
                <w:szCs w:val="22"/>
              </w:rPr>
            </w:pPr>
          </w:p>
        </w:tc>
        <w:tc>
          <w:tcPr>
            <w:tcW w:w="1277" w:type="dxa"/>
            <w:gridSpan w:val="2"/>
            <w:vAlign w:val="center"/>
          </w:tcPr>
          <w:p w14:paraId="2BDC1A29" w14:textId="77777777" w:rsidR="0068624E" w:rsidRPr="0019790A" w:rsidRDefault="0068624E" w:rsidP="0068624E">
            <w:pPr>
              <w:jc w:val="center"/>
              <w:rPr>
                <w:rFonts w:cs="Arial"/>
                <w:szCs w:val="22"/>
              </w:rPr>
            </w:pPr>
          </w:p>
        </w:tc>
        <w:tc>
          <w:tcPr>
            <w:tcW w:w="1390" w:type="dxa"/>
            <w:vAlign w:val="center"/>
          </w:tcPr>
          <w:p w14:paraId="3CF44B92" w14:textId="77777777" w:rsidR="0068624E" w:rsidRPr="0019790A" w:rsidRDefault="0068624E" w:rsidP="0068624E">
            <w:pPr>
              <w:jc w:val="center"/>
              <w:rPr>
                <w:rFonts w:cs="Arial"/>
                <w:szCs w:val="22"/>
              </w:rPr>
            </w:pPr>
          </w:p>
        </w:tc>
        <w:tc>
          <w:tcPr>
            <w:tcW w:w="1315" w:type="dxa"/>
            <w:gridSpan w:val="3"/>
            <w:vAlign w:val="center"/>
          </w:tcPr>
          <w:p w14:paraId="792B7395" w14:textId="77777777" w:rsidR="0068624E" w:rsidRPr="0019790A" w:rsidRDefault="0068624E" w:rsidP="0068624E">
            <w:pPr>
              <w:jc w:val="center"/>
              <w:rPr>
                <w:rFonts w:cs="Arial"/>
                <w:szCs w:val="22"/>
              </w:rPr>
            </w:pPr>
          </w:p>
        </w:tc>
        <w:tc>
          <w:tcPr>
            <w:tcW w:w="1547" w:type="dxa"/>
            <w:vAlign w:val="center"/>
          </w:tcPr>
          <w:p w14:paraId="4504B8CF" w14:textId="77777777" w:rsidR="0068624E" w:rsidRPr="0019790A" w:rsidRDefault="0068624E" w:rsidP="0068624E">
            <w:pPr>
              <w:jc w:val="center"/>
              <w:rPr>
                <w:rFonts w:cs="Arial"/>
                <w:szCs w:val="22"/>
              </w:rPr>
            </w:pPr>
          </w:p>
        </w:tc>
      </w:tr>
      <w:tr w:rsidR="0068624E" w:rsidRPr="0019790A" w14:paraId="36CA5516" w14:textId="53353CF4" w:rsidTr="0068624E">
        <w:trPr>
          <w:trHeight w:val="275"/>
          <w:jc w:val="right"/>
        </w:trPr>
        <w:tc>
          <w:tcPr>
            <w:tcW w:w="3425" w:type="dxa"/>
            <w:shd w:val="clear" w:color="auto" w:fill="FFFFFF"/>
            <w:vAlign w:val="center"/>
          </w:tcPr>
          <w:p w14:paraId="2BC7BABF" w14:textId="77777777" w:rsidR="0068624E" w:rsidRPr="0019790A" w:rsidRDefault="0068624E" w:rsidP="0068624E">
            <w:pPr>
              <w:rPr>
                <w:rFonts w:cs="Arial"/>
                <w:szCs w:val="22"/>
              </w:rPr>
            </w:pPr>
            <w:r w:rsidRPr="0019790A">
              <w:rPr>
                <w:rFonts w:cs="Arial"/>
                <w:szCs w:val="22"/>
              </w:rPr>
              <w:t>- бюджет Жмеринської МТГ</w:t>
            </w:r>
          </w:p>
        </w:tc>
        <w:tc>
          <w:tcPr>
            <w:tcW w:w="1265" w:type="dxa"/>
            <w:gridSpan w:val="2"/>
            <w:vAlign w:val="center"/>
          </w:tcPr>
          <w:p w14:paraId="2853ED7B" w14:textId="3A583A2C" w:rsidR="0068624E" w:rsidRPr="0019790A" w:rsidRDefault="0068624E" w:rsidP="0068624E">
            <w:pPr>
              <w:jc w:val="center"/>
              <w:rPr>
                <w:rFonts w:cs="Arial"/>
                <w:szCs w:val="22"/>
              </w:rPr>
            </w:pPr>
          </w:p>
        </w:tc>
        <w:tc>
          <w:tcPr>
            <w:tcW w:w="1277" w:type="dxa"/>
            <w:gridSpan w:val="2"/>
            <w:vAlign w:val="center"/>
          </w:tcPr>
          <w:p w14:paraId="24760C1C" w14:textId="4C3C3867" w:rsidR="0068624E" w:rsidRPr="0019790A" w:rsidRDefault="0068624E" w:rsidP="0068624E">
            <w:pPr>
              <w:jc w:val="center"/>
              <w:rPr>
                <w:rFonts w:cs="Arial"/>
                <w:szCs w:val="22"/>
              </w:rPr>
            </w:pPr>
            <w:r w:rsidRPr="0019790A">
              <w:rPr>
                <w:rFonts w:cs="Arial"/>
                <w:b/>
                <w:szCs w:val="22"/>
              </w:rPr>
              <w:t>5500,0</w:t>
            </w:r>
          </w:p>
        </w:tc>
        <w:tc>
          <w:tcPr>
            <w:tcW w:w="1390" w:type="dxa"/>
            <w:vAlign w:val="center"/>
          </w:tcPr>
          <w:p w14:paraId="41AD16E7" w14:textId="77777777" w:rsidR="0068624E" w:rsidRPr="0019790A" w:rsidRDefault="0068624E" w:rsidP="0068624E">
            <w:pPr>
              <w:jc w:val="center"/>
              <w:rPr>
                <w:rFonts w:cs="Arial"/>
                <w:szCs w:val="22"/>
              </w:rPr>
            </w:pPr>
          </w:p>
        </w:tc>
        <w:tc>
          <w:tcPr>
            <w:tcW w:w="1315" w:type="dxa"/>
            <w:gridSpan w:val="3"/>
            <w:vAlign w:val="center"/>
          </w:tcPr>
          <w:p w14:paraId="1F2B10EC" w14:textId="77777777" w:rsidR="0068624E" w:rsidRPr="0019790A" w:rsidRDefault="0068624E" w:rsidP="0068624E">
            <w:pPr>
              <w:jc w:val="center"/>
              <w:rPr>
                <w:rFonts w:cs="Arial"/>
                <w:szCs w:val="22"/>
              </w:rPr>
            </w:pPr>
          </w:p>
        </w:tc>
        <w:tc>
          <w:tcPr>
            <w:tcW w:w="1547" w:type="dxa"/>
            <w:vAlign w:val="center"/>
          </w:tcPr>
          <w:p w14:paraId="3C7045D7" w14:textId="3D4CACF2" w:rsidR="0068624E" w:rsidRPr="0019790A" w:rsidRDefault="0068624E" w:rsidP="0068624E">
            <w:pPr>
              <w:jc w:val="center"/>
              <w:rPr>
                <w:rFonts w:cs="Arial"/>
                <w:szCs w:val="22"/>
              </w:rPr>
            </w:pPr>
            <w:r w:rsidRPr="0019790A">
              <w:rPr>
                <w:rFonts w:cs="Arial"/>
                <w:b/>
                <w:szCs w:val="22"/>
              </w:rPr>
              <w:t>5500,0</w:t>
            </w:r>
          </w:p>
        </w:tc>
      </w:tr>
      <w:tr w:rsidR="0068624E" w:rsidRPr="0019790A" w14:paraId="0A47D190" w14:textId="6D2E956E" w:rsidTr="0068624E">
        <w:trPr>
          <w:trHeight w:val="226"/>
          <w:jc w:val="right"/>
        </w:trPr>
        <w:tc>
          <w:tcPr>
            <w:tcW w:w="3425" w:type="dxa"/>
            <w:shd w:val="clear" w:color="auto" w:fill="FFFFFF"/>
            <w:vAlign w:val="center"/>
          </w:tcPr>
          <w:p w14:paraId="0B2EF8D3" w14:textId="77777777" w:rsidR="0068624E" w:rsidRPr="0019790A" w:rsidRDefault="0068624E" w:rsidP="0068624E">
            <w:pPr>
              <w:rPr>
                <w:rFonts w:cs="Arial"/>
                <w:szCs w:val="22"/>
              </w:rPr>
            </w:pPr>
            <w:r w:rsidRPr="0019790A">
              <w:rPr>
                <w:rFonts w:cs="Arial"/>
                <w:szCs w:val="22"/>
              </w:rPr>
              <w:t>- інші джерела фінансування</w:t>
            </w:r>
          </w:p>
        </w:tc>
        <w:tc>
          <w:tcPr>
            <w:tcW w:w="1265" w:type="dxa"/>
            <w:gridSpan w:val="2"/>
            <w:vAlign w:val="center"/>
          </w:tcPr>
          <w:p w14:paraId="240C633D" w14:textId="77777777" w:rsidR="0068624E" w:rsidRPr="0019790A" w:rsidRDefault="0068624E" w:rsidP="0068624E">
            <w:pPr>
              <w:jc w:val="center"/>
              <w:rPr>
                <w:rFonts w:cs="Arial"/>
                <w:szCs w:val="22"/>
              </w:rPr>
            </w:pPr>
          </w:p>
        </w:tc>
        <w:tc>
          <w:tcPr>
            <w:tcW w:w="1277" w:type="dxa"/>
            <w:gridSpan w:val="2"/>
            <w:vAlign w:val="center"/>
          </w:tcPr>
          <w:p w14:paraId="73642B6A" w14:textId="77777777" w:rsidR="0068624E" w:rsidRPr="0019790A" w:rsidRDefault="0068624E" w:rsidP="0068624E">
            <w:pPr>
              <w:jc w:val="center"/>
              <w:rPr>
                <w:rFonts w:cs="Arial"/>
                <w:szCs w:val="22"/>
              </w:rPr>
            </w:pPr>
          </w:p>
        </w:tc>
        <w:tc>
          <w:tcPr>
            <w:tcW w:w="1390" w:type="dxa"/>
            <w:vAlign w:val="center"/>
          </w:tcPr>
          <w:p w14:paraId="134E5BF4" w14:textId="77777777" w:rsidR="0068624E" w:rsidRPr="0019790A" w:rsidRDefault="0068624E" w:rsidP="0068624E">
            <w:pPr>
              <w:jc w:val="center"/>
              <w:rPr>
                <w:rFonts w:cs="Arial"/>
                <w:szCs w:val="22"/>
              </w:rPr>
            </w:pPr>
          </w:p>
        </w:tc>
        <w:tc>
          <w:tcPr>
            <w:tcW w:w="1315" w:type="dxa"/>
            <w:gridSpan w:val="3"/>
            <w:vAlign w:val="center"/>
          </w:tcPr>
          <w:p w14:paraId="7380CD50" w14:textId="77777777" w:rsidR="0068624E" w:rsidRPr="0019790A" w:rsidRDefault="0068624E" w:rsidP="0068624E">
            <w:pPr>
              <w:jc w:val="center"/>
              <w:rPr>
                <w:rFonts w:cs="Arial"/>
                <w:szCs w:val="22"/>
              </w:rPr>
            </w:pPr>
          </w:p>
        </w:tc>
        <w:tc>
          <w:tcPr>
            <w:tcW w:w="1547" w:type="dxa"/>
            <w:vAlign w:val="center"/>
          </w:tcPr>
          <w:p w14:paraId="2F279586" w14:textId="77777777" w:rsidR="0068624E" w:rsidRPr="0019790A" w:rsidRDefault="0068624E" w:rsidP="0068624E">
            <w:pPr>
              <w:jc w:val="center"/>
              <w:rPr>
                <w:rFonts w:cs="Arial"/>
                <w:szCs w:val="22"/>
              </w:rPr>
            </w:pPr>
          </w:p>
        </w:tc>
      </w:tr>
      <w:tr w:rsidR="0068624E" w:rsidRPr="0019790A" w14:paraId="0EE590C7" w14:textId="77777777" w:rsidTr="00CF3AAE">
        <w:trPr>
          <w:jc w:val="right"/>
        </w:trPr>
        <w:tc>
          <w:tcPr>
            <w:tcW w:w="3425" w:type="dxa"/>
            <w:shd w:val="clear" w:color="auto" w:fill="FFFFFF"/>
            <w:vAlign w:val="center"/>
          </w:tcPr>
          <w:p w14:paraId="003F2FD9" w14:textId="77777777" w:rsidR="0068624E" w:rsidRPr="0019790A" w:rsidRDefault="0068624E" w:rsidP="0068624E">
            <w:pPr>
              <w:rPr>
                <w:rFonts w:cs="Arial"/>
                <w:b/>
                <w:bCs/>
                <w:szCs w:val="22"/>
              </w:rPr>
            </w:pPr>
            <w:r w:rsidRPr="0019790A">
              <w:rPr>
                <w:rFonts w:cs="Arial"/>
                <w:b/>
                <w:szCs w:val="22"/>
              </w:rPr>
              <w:t>Відповідальний виконавець проєкту:</w:t>
            </w:r>
          </w:p>
        </w:tc>
        <w:tc>
          <w:tcPr>
            <w:tcW w:w="6794" w:type="dxa"/>
            <w:gridSpan w:val="9"/>
            <w:vAlign w:val="center"/>
          </w:tcPr>
          <w:p w14:paraId="1CD0BCBE" w14:textId="21648BF1" w:rsidR="0068624E" w:rsidRPr="0019790A" w:rsidRDefault="0068624E" w:rsidP="0068624E">
            <w:pPr>
              <w:rPr>
                <w:rFonts w:cs="Arial"/>
                <w:szCs w:val="22"/>
              </w:rPr>
            </w:pPr>
            <w:r w:rsidRPr="0019790A">
              <w:rPr>
                <w:rFonts w:cs="Arial"/>
                <w:szCs w:val="22"/>
              </w:rPr>
              <w:t>Управління житлово-комунального господарства Жмеринської міської ради</w:t>
            </w:r>
          </w:p>
        </w:tc>
      </w:tr>
      <w:tr w:rsidR="0068624E" w:rsidRPr="0019790A" w14:paraId="50B7C2C0" w14:textId="77777777" w:rsidTr="00CF3AAE">
        <w:trPr>
          <w:jc w:val="right"/>
        </w:trPr>
        <w:tc>
          <w:tcPr>
            <w:tcW w:w="3425" w:type="dxa"/>
            <w:shd w:val="clear" w:color="auto" w:fill="FFFFFF"/>
            <w:vAlign w:val="center"/>
          </w:tcPr>
          <w:p w14:paraId="17EFEE46" w14:textId="77777777" w:rsidR="0068624E" w:rsidRPr="0019790A" w:rsidRDefault="0068624E" w:rsidP="0068624E">
            <w:pPr>
              <w:rPr>
                <w:rFonts w:cs="Arial"/>
                <w:b/>
                <w:bCs/>
                <w:szCs w:val="22"/>
              </w:rPr>
            </w:pPr>
            <w:r w:rsidRPr="0019790A">
              <w:rPr>
                <w:rFonts w:cs="Arial"/>
                <w:b/>
                <w:bCs/>
                <w:szCs w:val="22"/>
              </w:rPr>
              <w:t>Інше:</w:t>
            </w:r>
          </w:p>
        </w:tc>
        <w:tc>
          <w:tcPr>
            <w:tcW w:w="6794" w:type="dxa"/>
            <w:gridSpan w:val="9"/>
            <w:vAlign w:val="center"/>
          </w:tcPr>
          <w:p w14:paraId="64E217CB" w14:textId="77777777" w:rsidR="0068624E" w:rsidRPr="0019790A" w:rsidRDefault="0068624E" w:rsidP="0068624E">
            <w:pPr>
              <w:rPr>
                <w:rFonts w:cs="Arial"/>
                <w:szCs w:val="22"/>
              </w:rPr>
            </w:pPr>
          </w:p>
        </w:tc>
      </w:tr>
    </w:tbl>
    <w:p w14:paraId="34B73131" w14:textId="77777777" w:rsidR="005342D5" w:rsidRPr="0019790A" w:rsidRDefault="005342D5" w:rsidP="0019790A">
      <w:pPr>
        <w:ind w:firstLine="708"/>
        <w:rPr>
          <w:rFonts w:cs="Arial"/>
          <w:szCs w:val="22"/>
        </w:rPr>
      </w:pPr>
    </w:p>
    <w:p w14:paraId="241A636C" w14:textId="77777777" w:rsidR="005342D5" w:rsidRPr="0019790A" w:rsidRDefault="005342D5" w:rsidP="0019790A">
      <w:pPr>
        <w:ind w:firstLine="708"/>
        <w:rPr>
          <w:rFonts w:cs="Arial"/>
          <w:szCs w:val="22"/>
        </w:rPr>
      </w:pPr>
    </w:p>
    <w:p w14:paraId="27DDA3B5" w14:textId="77777777" w:rsidR="005342D5" w:rsidRPr="0019790A" w:rsidRDefault="005342D5" w:rsidP="0019790A">
      <w:pPr>
        <w:jc w:val="center"/>
        <w:rPr>
          <w:rFonts w:cs="Arial"/>
          <w:b/>
          <w:szCs w:val="22"/>
        </w:rPr>
      </w:pPr>
      <w:r w:rsidRPr="0019790A">
        <w:rPr>
          <w:rFonts w:cs="Arial"/>
          <w:b/>
          <w:szCs w:val="22"/>
        </w:rPr>
        <w:t>Форма технічного завдання на проєкт місцевого розвитку</w:t>
      </w:r>
    </w:p>
    <w:p w14:paraId="7CDE1A1C" w14:textId="77777777" w:rsidR="005342D5" w:rsidRPr="0019790A" w:rsidRDefault="005342D5" w:rsidP="0019790A">
      <w:pPr>
        <w:jc w:val="center"/>
        <w:rPr>
          <w:rFonts w:cs="Arial"/>
          <w:b/>
          <w:szCs w:val="22"/>
        </w:rPr>
      </w:pPr>
      <w:r w:rsidRPr="0019790A">
        <w:rPr>
          <w:rFonts w:cs="Arial"/>
          <w:b/>
          <w:szCs w:val="22"/>
        </w:rPr>
        <w:t>до Плану заходів з реалізації Стратегії</w:t>
      </w:r>
    </w:p>
    <w:p w14:paraId="6F9CAFB0" w14:textId="77777777" w:rsidR="005342D5" w:rsidRPr="0019790A" w:rsidRDefault="005342D5"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40"/>
        <w:gridCol w:w="14"/>
        <w:gridCol w:w="1263"/>
        <w:gridCol w:w="12"/>
        <w:gridCol w:w="1418"/>
        <w:gridCol w:w="10"/>
        <w:gridCol w:w="1266"/>
        <w:gridCol w:w="24"/>
        <w:gridCol w:w="1547"/>
      </w:tblGrid>
      <w:tr w:rsidR="005342D5" w:rsidRPr="0019790A" w14:paraId="2E5A73BF" w14:textId="77777777" w:rsidTr="00CF3AAE">
        <w:trPr>
          <w:jc w:val="right"/>
        </w:trPr>
        <w:tc>
          <w:tcPr>
            <w:tcW w:w="3425" w:type="dxa"/>
            <w:vAlign w:val="center"/>
          </w:tcPr>
          <w:p w14:paraId="690CD52B" w14:textId="77777777" w:rsidR="005342D5" w:rsidRPr="0019790A" w:rsidRDefault="005342D5" w:rsidP="0019790A">
            <w:pPr>
              <w:rPr>
                <w:rFonts w:cs="Arial"/>
                <w:b/>
                <w:bCs/>
                <w:szCs w:val="22"/>
              </w:rPr>
            </w:pPr>
            <w:r w:rsidRPr="0019790A">
              <w:rPr>
                <w:rFonts w:cs="Arial"/>
                <w:b/>
                <w:bCs/>
                <w:szCs w:val="22"/>
              </w:rPr>
              <w:t>Назва проєкту:</w:t>
            </w:r>
          </w:p>
        </w:tc>
        <w:tc>
          <w:tcPr>
            <w:tcW w:w="6794" w:type="dxa"/>
            <w:gridSpan w:val="9"/>
          </w:tcPr>
          <w:p w14:paraId="2C5AB18F" w14:textId="77777777" w:rsidR="005342D5" w:rsidRPr="0068624E" w:rsidRDefault="005342D5" w:rsidP="0019790A">
            <w:pPr>
              <w:rPr>
                <w:rFonts w:cs="Arial"/>
                <w:b/>
                <w:szCs w:val="22"/>
              </w:rPr>
            </w:pPr>
            <w:r w:rsidRPr="0068624E">
              <w:rPr>
                <w:rFonts w:cs="Arial"/>
                <w:b/>
                <w:szCs w:val="22"/>
              </w:rPr>
              <w:t>Облаштування мультифункціонального майданчика зі штучним покриттям на території СК «Авангард»</w:t>
            </w:r>
            <w:r w:rsidRPr="0068624E">
              <w:rPr>
                <w:rFonts w:cs="Arial"/>
                <w:b/>
                <w:bCs/>
                <w:szCs w:val="22"/>
              </w:rPr>
              <w:t xml:space="preserve"> за адресою:</w:t>
            </w:r>
            <w:r w:rsidRPr="0068624E">
              <w:rPr>
                <w:rFonts w:cs="Arial"/>
                <w:b/>
                <w:szCs w:val="22"/>
              </w:rPr>
              <w:t xml:space="preserve"> смт Браїлів, вул. Козацька, 3</w:t>
            </w:r>
          </w:p>
        </w:tc>
      </w:tr>
      <w:tr w:rsidR="005342D5" w:rsidRPr="0019790A" w14:paraId="6D520BE2" w14:textId="77777777" w:rsidTr="0068624E">
        <w:trPr>
          <w:jc w:val="right"/>
        </w:trPr>
        <w:tc>
          <w:tcPr>
            <w:tcW w:w="3425" w:type="dxa"/>
          </w:tcPr>
          <w:p w14:paraId="5F173416" w14:textId="77777777" w:rsidR="005342D5" w:rsidRPr="0019790A" w:rsidRDefault="005342D5" w:rsidP="0019790A">
            <w:pPr>
              <w:rPr>
                <w:rFonts w:cs="Arial"/>
                <w:szCs w:val="22"/>
              </w:rPr>
            </w:pPr>
            <w:r w:rsidRPr="0019790A">
              <w:rPr>
                <w:rFonts w:cs="Arial"/>
                <w:b/>
                <w:bCs/>
                <w:szCs w:val="22"/>
              </w:rPr>
              <w:t>Ваші контакти</w:t>
            </w:r>
            <w:r w:rsidRPr="0019790A">
              <w:rPr>
                <w:rFonts w:cs="Arial"/>
                <w:szCs w:val="22"/>
              </w:rPr>
              <w:t>:</w:t>
            </w:r>
          </w:p>
          <w:p w14:paraId="183617B2" w14:textId="77777777" w:rsidR="005342D5" w:rsidRPr="0019790A" w:rsidRDefault="005342D5" w:rsidP="0019790A">
            <w:pPr>
              <w:rPr>
                <w:rFonts w:cs="Arial"/>
                <w:b/>
                <w:bCs/>
                <w:szCs w:val="22"/>
              </w:rPr>
            </w:pPr>
            <w:r w:rsidRPr="0019790A">
              <w:rPr>
                <w:rFonts w:cs="Arial"/>
                <w:szCs w:val="22"/>
              </w:rPr>
              <w:t>Назва установи, організації, підприємства</w:t>
            </w:r>
          </w:p>
        </w:tc>
        <w:tc>
          <w:tcPr>
            <w:tcW w:w="6794" w:type="dxa"/>
            <w:gridSpan w:val="9"/>
            <w:vAlign w:val="center"/>
          </w:tcPr>
          <w:p w14:paraId="6E37CA1F" w14:textId="77777777" w:rsidR="005342D5" w:rsidRPr="0019790A" w:rsidRDefault="005342D5" w:rsidP="0068624E">
            <w:pPr>
              <w:tabs>
                <w:tab w:val="left" w:pos="214"/>
              </w:tabs>
              <w:jc w:val="both"/>
              <w:rPr>
                <w:rFonts w:cs="Arial"/>
                <w:szCs w:val="22"/>
              </w:rPr>
            </w:pPr>
            <w:r w:rsidRPr="0019790A">
              <w:rPr>
                <w:rFonts w:cs="Arial"/>
                <w:szCs w:val="22"/>
              </w:rPr>
              <w:t>Відділ молоді та спорту Жмеринської міської ради</w:t>
            </w:r>
          </w:p>
        </w:tc>
      </w:tr>
      <w:tr w:rsidR="005342D5" w:rsidRPr="0019790A" w14:paraId="68D7889D" w14:textId="77777777" w:rsidTr="0068624E">
        <w:trPr>
          <w:jc w:val="right"/>
        </w:trPr>
        <w:tc>
          <w:tcPr>
            <w:tcW w:w="3425" w:type="dxa"/>
          </w:tcPr>
          <w:p w14:paraId="7F9ECA6B" w14:textId="77777777" w:rsidR="005342D5" w:rsidRPr="0019790A" w:rsidRDefault="005342D5" w:rsidP="0019790A">
            <w:pPr>
              <w:rPr>
                <w:rFonts w:cs="Arial"/>
                <w:b/>
                <w:bCs/>
                <w:szCs w:val="22"/>
              </w:rPr>
            </w:pPr>
            <w:r w:rsidRPr="0019790A">
              <w:rPr>
                <w:rFonts w:cs="Arial"/>
                <w:szCs w:val="22"/>
              </w:rPr>
              <w:t>Прізвище Ім’я По-батькові:</w:t>
            </w:r>
          </w:p>
        </w:tc>
        <w:tc>
          <w:tcPr>
            <w:tcW w:w="6794" w:type="dxa"/>
            <w:gridSpan w:val="9"/>
            <w:vAlign w:val="center"/>
          </w:tcPr>
          <w:p w14:paraId="09C86BAD" w14:textId="77777777" w:rsidR="005342D5" w:rsidRPr="0019790A" w:rsidRDefault="005342D5" w:rsidP="0068624E">
            <w:pPr>
              <w:tabs>
                <w:tab w:val="left" w:pos="214"/>
              </w:tabs>
              <w:jc w:val="both"/>
              <w:rPr>
                <w:rFonts w:cs="Arial"/>
                <w:szCs w:val="22"/>
              </w:rPr>
            </w:pPr>
            <w:r w:rsidRPr="0019790A">
              <w:rPr>
                <w:rFonts w:cs="Arial"/>
                <w:szCs w:val="22"/>
              </w:rPr>
              <w:t>Ковальська Олена Віталіївна</w:t>
            </w:r>
          </w:p>
        </w:tc>
      </w:tr>
      <w:tr w:rsidR="005342D5" w:rsidRPr="0019790A" w14:paraId="2C3B695E" w14:textId="77777777" w:rsidTr="0068624E">
        <w:trPr>
          <w:jc w:val="right"/>
        </w:trPr>
        <w:tc>
          <w:tcPr>
            <w:tcW w:w="3425" w:type="dxa"/>
          </w:tcPr>
          <w:p w14:paraId="2FA0D4CA" w14:textId="77777777" w:rsidR="005342D5" w:rsidRPr="0019790A" w:rsidRDefault="005342D5" w:rsidP="0019790A">
            <w:pPr>
              <w:rPr>
                <w:rFonts w:cs="Arial"/>
                <w:b/>
                <w:bCs/>
                <w:szCs w:val="22"/>
              </w:rPr>
            </w:pPr>
            <w:r w:rsidRPr="0019790A">
              <w:rPr>
                <w:rFonts w:cs="Arial"/>
                <w:szCs w:val="22"/>
              </w:rPr>
              <w:t>Телефон (мобільний):</w:t>
            </w:r>
          </w:p>
        </w:tc>
        <w:tc>
          <w:tcPr>
            <w:tcW w:w="6794" w:type="dxa"/>
            <w:gridSpan w:val="9"/>
            <w:vAlign w:val="center"/>
          </w:tcPr>
          <w:p w14:paraId="4810167C" w14:textId="77777777" w:rsidR="005342D5" w:rsidRPr="0019790A" w:rsidRDefault="005342D5" w:rsidP="0068624E">
            <w:pPr>
              <w:tabs>
                <w:tab w:val="left" w:pos="214"/>
              </w:tabs>
              <w:jc w:val="both"/>
              <w:rPr>
                <w:rFonts w:cs="Arial"/>
                <w:szCs w:val="22"/>
              </w:rPr>
            </w:pPr>
            <w:r w:rsidRPr="0019790A">
              <w:rPr>
                <w:rFonts w:cs="Arial"/>
                <w:szCs w:val="22"/>
              </w:rPr>
              <w:t>096-068-94-79</w:t>
            </w:r>
          </w:p>
        </w:tc>
      </w:tr>
      <w:tr w:rsidR="005342D5" w:rsidRPr="0019790A" w14:paraId="687DFAA7" w14:textId="77777777" w:rsidTr="0068624E">
        <w:trPr>
          <w:jc w:val="right"/>
        </w:trPr>
        <w:tc>
          <w:tcPr>
            <w:tcW w:w="3425" w:type="dxa"/>
          </w:tcPr>
          <w:p w14:paraId="7E45F836" w14:textId="77777777" w:rsidR="005342D5" w:rsidRPr="0019790A" w:rsidRDefault="005342D5" w:rsidP="0019790A">
            <w:pPr>
              <w:rPr>
                <w:rFonts w:cs="Arial"/>
                <w:b/>
                <w:bCs/>
                <w:szCs w:val="22"/>
              </w:rPr>
            </w:pPr>
            <w:r w:rsidRPr="0019790A">
              <w:rPr>
                <w:rFonts w:cs="Arial"/>
                <w:szCs w:val="22"/>
              </w:rPr>
              <w:t>Електронна адреса:</w:t>
            </w:r>
          </w:p>
        </w:tc>
        <w:tc>
          <w:tcPr>
            <w:tcW w:w="6794" w:type="dxa"/>
            <w:gridSpan w:val="9"/>
            <w:vAlign w:val="center"/>
          </w:tcPr>
          <w:p w14:paraId="5D50313E" w14:textId="77777777" w:rsidR="005342D5" w:rsidRPr="0068624E" w:rsidRDefault="00D85FFD" w:rsidP="0068624E">
            <w:pPr>
              <w:tabs>
                <w:tab w:val="left" w:pos="214"/>
              </w:tabs>
              <w:jc w:val="both"/>
              <w:rPr>
                <w:rFonts w:cs="Arial"/>
                <w:szCs w:val="22"/>
              </w:rPr>
            </w:pPr>
            <w:hyperlink r:id="rId149" w:history="1">
              <w:r w:rsidR="005342D5" w:rsidRPr="0068624E">
                <w:rPr>
                  <w:rStyle w:val="af0"/>
                  <w:rFonts w:cs="Arial"/>
                  <w:bCs/>
                  <w:noProof w:val="0"/>
                  <w:sz w:val="22"/>
                  <w:szCs w:val="22"/>
                </w:rPr>
                <w:t>ms@zhmr.gov.ua</w:t>
              </w:r>
            </w:hyperlink>
          </w:p>
        </w:tc>
      </w:tr>
      <w:tr w:rsidR="005342D5" w:rsidRPr="0019790A" w14:paraId="53993D7B" w14:textId="77777777" w:rsidTr="0068624E">
        <w:trPr>
          <w:jc w:val="right"/>
        </w:trPr>
        <w:tc>
          <w:tcPr>
            <w:tcW w:w="3425" w:type="dxa"/>
            <w:vAlign w:val="center"/>
          </w:tcPr>
          <w:p w14:paraId="4405BE6C" w14:textId="77777777" w:rsidR="005342D5" w:rsidRPr="0019790A" w:rsidRDefault="005342D5" w:rsidP="0019790A">
            <w:pPr>
              <w:rPr>
                <w:rFonts w:cs="Arial"/>
                <w:b/>
                <w:bCs/>
                <w:szCs w:val="22"/>
              </w:rPr>
            </w:pPr>
            <w:r w:rsidRPr="0019790A">
              <w:rPr>
                <w:rFonts w:cs="Arial"/>
                <w:b/>
                <w:bCs/>
                <w:szCs w:val="22"/>
              </w:rPr>
              <w:t>Номер і назва завдання з Стратегії розвитку Жмеринської міської територіальної громади,  якому відповідає проєкт:</w:t>
            </w:r>
          </w:p>
        </w:tc>
        <w:tc>
          <w:tcPr>
            <w:tcW w:w="6794" w:type="dxa"/>
            <w:gridSpan w:val="9"/>
            <w:vAlign w:val="center"/>
          </w:tcPr>
          <w:p w14:paraId="2B670256" w14:textId="77777777" w:rsidR="005342D5" w:rsidRPr="0068624E" w:rsidRDefault="005342D5" w:rsidP="0068624E">
            <w:pPr>
              <w:tabs>
                <w:tab w:val="left" w:pos="214"/>
              </w:tabs>
              <w:jc w:val="both"/>
              <w:rPr>
                <w:rFonts w:cs="Arial"/>
                <w:bCs/>
                <w:szCs w:val="22"/>
              </w:rPr>
            </w:pPr>
            <w:r w:rsidRPr="0068624E">
              <w:rPr>
                <w:rFonts w:cs="Arial"/>
                <w:bCs/>
                <w:szCs w:val="22"/>
              </w:rPr>
              <w:t>С.3.4.6. Створення футбольних полів із штучним покриттям.</w:t>
            </w:r>
          </w:p>
          <w:p w14:paraId="52F31C80" w14:textId="09110F20" w:rsidR="005342D5" w:rsidRPr="0019790A" w:rsidRDefault="005342D5" w:rsidP="0068624E">
            <w:pPr>
              <w:tabs>
                <w:tab w:val="left" w:pos="214"/>
              </w:tabs>
              <w:jc w:val="both"/>
              <w:rPr>
                <w:rFonts w:cs="Arial"/>
                <w:b/>
                <w:szCs w:val="22"/>
              </w:rPr>
            </w:pPr>
            <w:r w:rsidRPr="0068624E">
              <w:rPr>
                <w:rFonts w:cs="Arial"/>
                <w:bCs/>
                <w:szCs w:val="22"/>
              </w:rPr>
              <w:t>С.3.4.7. Облаштування сучасних спортивних закладів, відкриття спортивних секцій.</w:t>
            </w:r>
          </w:p>
        </w:tc>
      </w:tr>
      <w:tr w:rsidR="005342D5" w:rsidRPr="0019790A" w14:paraId="0B7DADBF" w14:textId="77777777" w:rsidTr="0068624E">
        <w:trPr>
          <w:jc w:val="right"/>
        </w:trPr>
        <w:tc>
          <w:tcPr>
            <w:tcW w:w="3425" w:type="dxa"/>
            <w:vAlign w:val="center"/>
          </w:tcPr>
          <w:p w14:paraId="38D86F80" w14:textId="77777777" w:rsidR="005342D5" w:rsidRPr="0019790A" w:rsidRDefault="005342D5" w:rsidP="0019790A">
            <w:pPr>
              <w:rPr>
                <w:rFonts w:cs="Arial"/>
                <w:b/>
                <w:bCs/>
                <w:szCs w:val="22"/>
              </w:rPr>
            </w:pPr>
            <w:r w:rsidRPr="0019790A">
              <w:rPr>
                <w:rFonts w:cs="Arial"/>
                <w:b/>
                <w:bCs/>
                <w:szCs w:val="22"/>
              </w:rPr>
              <w:t>Мета проєкту:</w:t>
            </w:r>
          </w:p>
        </w:tc>
        <w:tc>
          <w:tcPr>
            <w:tcW w:w="6794" w:type="dxa"/>
            <w:gridSpan w:val="9"/>
            <w:vAlign w:val="center"/>
          </w:tcPr>
          <w:p w14:paraId="623A56D7" w14:textId="77777777" w:rsidR="005342D5" w:rsidRPr="0019790A" w:rsidRDefault="005342D5" w:rsidP="0068624E">
            <w:pPr>
              <w:tabs>
                <w:tab w:val="left" w:pos="214"/>
              </w:tabs>
              <w:jc w:val="both"/>
              <w:rPr>
                <w:rFonts w:cs="Arial"/>
                <w:szCs w:val="22"/>
              </w:rPr>
            </w:pPr>
            <w:r w:rsidRPr="0019790A">
              <w:rPr>
                <w:rFonts w:cs="Arial"/>
                <w:szCs w:val="22"/>
              </w:rPr>
              <w:t>Покращення існуючої спортивної інфраструктури громади шляхом будівництва сучасного футбольного майданчику зі штучним покриттям, що дозволить розширити можливості для фізичного розвитку дітей, молоді та населення загалом, сприятиме популяризації масового спорту та ефективному використанню публічного простору.</w:t>
            </w:r>
          </w:p>
          <w:p w14:paraId="73227209" w14:textId="77777777" w:rsidR="005342D5" w:rsidRPr="0019790A" w:rsidRDefault="005342D5" w:rsidP="0068624E">
            <w:pPr>
              <w:tabs>
                <w:tab w:val="left" w:pos="214"/>
              </w:tabs>
              <w:jc w:val="both"/>
              <w:rPr>
                <w:rFonts w:cs="Arial"/>
                <w:szCs w:val="22"/>
              </w:rPr>
            </w:pPr>
            <w:r w:rsidRPr="0019790A">
              <w:rPr>
                <w:rFonts w:cs="Arial"/>
                <w:szCs w:val="22"/>
              </w:rPr>
              <w:t>Розвиток системи позашкільної спортивної освіти та активного дозвілля шляхом створення доступних сучасних спортивних закладів і секцій для населення всіх вікових категорій. Створення сучасного спортивного простору для занять різними видами спорту, популяризація здорового способу життя серед мешканців громади та розвиток масового спорту.</w:t>
            </w:r>
          </w:p>
        </w:tc>
      </w:tr>
      <w:tr w:rsidR="005342D5" w:rsidRPr="0019790A" w14:paraId="3CF56F11" w14:textId="77777777" w:rsidTr="0068624E">
        <w:trPr>
          <w:jc w:val="right"/>
        </w:trPr>
        <w:tc>
          <w:tcPr>
            <w:tcW w:w="3425" w:type="dxa"/>
            <w:vAlign w:val="center"/>
          </w:tcPr>
          <w:p w14:paraId="6F7F3035" w14:textId="77777777" w:rsidR="005342D5" w:rsidRPr="0019790A" w:rsidRDefault="005342D5" w:rsidP="0019790A">
            <w:pPr>
              <w:rPr>
                <w:rFonts w:cs="Arial"/>
                <w:b/>
                <w:bCs/>
                <w:szCs w:val="22"/>
              </w:rPr>
            </w:pPr>
            <w:r w:rsidRPr="0019790A">
              <w:rPr>
                <w:rFonts w:cs="Arial"/>
                <w:b/>
                <w:bCs/>
                <w:szCs w:val="22"/>
              </w:rPr>
              <w:t>Цілі проєкту:</w:t>
            </w:r>
          </w:p>
        </w:tc>
        <w:tc>
          <w:tcPr>
            <w:tcW w:w="6794" w:type="dxa"/>
            <w:gridSpan w:val="9"/>
            <w:vAlign w:val="center"/>
          </w:tcPr>
          <w:p w14:paraId="7D694774" w14:textId="77777777" w:rsidR="005342D5" w:rsidRPr="0019790A" w:rsidRDefault="005342D5" w:rsidP="0068624E">
            <w:pPr>
              <w:numPr>
                <w:ilvl w:val="0"/>
                <w:numId w:val="157"/>
              </w:numPr>
              <w:tabs>
                <w:tab w:val="left" w:pos="214"/>
              </w:tabs>
              <w:ind w:left="0" w:firstLine="0"/>
              <w:jc w:val="both"/>
              <w:rPr>
                <w:rFonts w:cs="Arial"/>
                <w:szCs w:val="22"/>
              </w:rPr>
            </w:pPr>
            <w:r w:rsidRPr="0019790A">
              <w:rPr>
                <w:rFonts w:cs="Arial"/>
                <w:szCs w:val="22"/>
              </w:rPr>
              <w:t>Облаштувати безпечний, багатофункціональний спортивний майданчик.</w:t>
            </w:r>
          </w:p>
          <w:p w14:paraId="4AE7240D" w14:textId="77777777" w:rsidR="005342D5" w:rsidRPr="0019790A" w:rsidRDefault="005342D5" w:rsidP="0068624E">
            <w:pPr>
              <w:numPr>
                <w:ilvl w:val="0"/>
                <w:numId w:val="157"/>
              </w:numPr>
              <w:tabs>
                <w:tab w:val="left" w:pos="214"/>
              </w:tabs>
              <w:ind w:left="0" w:firstLine="0"/>
              <w:jc w:val="both"/>
              <w:rPr>
                <w:rFonts w:cs="Arial"/>
                <w:szCs w:val="22"/>
              </w:rPr>
            </w:pPr>
            <w:r w:rsidRPr="0019790A">
              <w:rPr>
                <w:rFonts w:cs="Arial"/>
                <w:szCs w:val="22"/>
              </w:rPr>
              <w:t>Забезпечити умови для занять футболом, волейболом, баскетболом, тенісом тощо.</w:t>
            </w:r>
          </w:p>
          <w:p w14:paraId="205EEAC1" w14:textId="77777777" w:rsidR="005342D5" w:rsidRPr="0019790A" w:rsidRDefault="005342D5" w:rsidP="0068624E">
            <w:pPr>
              <w:numPr>
                <w:ilvl w:val="0"/>
                <w:numId w:val="157"/>
              </w:numPr>
              <w:tabs>
                <w:tab w:val="left" w:pos="214"/>
              </w:tabs>
              <w:ind w:left="0" w:firstLine="0"/>
              <w:jc w:val="both"/>
              <w:rPr>
                <w:rFonts w:cs="Arial"/>
                <w:szCs w:val="22"/>
              </w:rPr>
            </w:pPr>
            <w:r w:rsidRPr="0019790A">
              <w:rPr>
                <w:rFonts w:cs="Arial"/>
                <w:szCs w:val="22"/>
              </w:rPr>
              <w:t>Сприяти залученню дітей, молоді та дорослих до регулярної фізичної активності.</w:t>
            </w:r>
          </w:p>
          <w:p w14:paraId="7460B465" w14:textId="77777777" w:rsidR="005342D5" w:rsidRPr="0019790A" w:rsidRDefault="005342D5" w:rsidP="0068624E">
            <w:pPr>
              <w:numPr>
                <w:ilvl w:val="0"/>
                <w:numId w:val="157"/>
              </w:numPr>
              <w:tabs>
                <w:tab w:val="left" w:pos="214"/>
              </w:tabs>
              <w:ind w:left="0" w:firstLine="0"/>
              <w:jc w:val="both"/>
              <w:rPr>
                <w:rFonts w:cs="Arial"/>
                <w:szCs w:val="22"/>
              </w:rPr>
            </w:pPr>
            <w:r w:rsidRPr="0019790A">
              <w:rPr>
                <w:rFonts w:cs="Arial"/>
                <w:szCs w:val="22"/>
              </w:rPr>
              <w:t>Підвищити рівень доступності до якісної спортивної інфраструктури в громаді.</w:t>
            </w:r>
          </w:p>
        </w:tc>
      </w:tr>
      <w:tr w:rsidR="005342D5" w:rsidRPr="0019790A" w14:paraId="18958F7D" w14:textId="77777777" w:rsidTr="0068624E">
        <w:trPr>
          <w:jc w:val="right"/>
        </w:trPr>
        <w:tc>
          <w:tcPr>
            <w:tcW w:w="3425" w:type="dxa"/>
            <w:vAlign w:val="center"/>
          </w:tcPr>
          <w:p w14:paraId="2EB2BA11" w14:textId="77777777" w:rsidR="005342D5" w:rsidRPr="0019790A" w:rsidRDefault="005342D5" w:rsidP="0019790A">
            <w:pPr>
              <w:rPr>
                <w:rFonts w:cs="Arial"/>
                <w:b/>
                <w:szCs w:val="22"/>
              </w:rPr>
            </w:pPr>
            <w:r w:rsidRPr="0019790A">
              <w:rPr>
                <w:rFonts w:cs="Arial"/>
                <w:b/>
                <w:szCs w:val="22"/>
              </w:rPr>
              <w:t>Територія на яку проєкт матиме вплив:</w:t>
            </w:r>
          </w:p>
        </w:tc>
        <w:tc>
          <w:tcPr>
            <w:tcW w:w="6794" w:type="dxa"/>
            <w:gridSpan w:val="9"/>
            <w:vAlign w:val="center"/>
          </w:tcPr>
          <w:p w14:paraId="1998DE51" w14:textId="77777777" w:rsidR="005342D5" w:rsidRPr="0019790A" w:rsidRDefault="005342D5" w:rsidP="0068624E">
            <w:pPr>
              <w:tabs>
                <w:tab w:val="left" w:pos="214"/>
              </w:tabs>
              <w:jc w:val="both"/>
              <w:rPr>
                <w:rFonts w:cs="Arial"/>
                <w:szCs w:val="22"/>
              </w:rPr>
            </w:pPr>
            <w:r w:rsidRPr="0019790A">
              <w:rPr>
                <w:rFonts w:cs="Arial"/>
                <w:szCs w:val="22"/>
              </w:rPr>
              <w:t>Жмеринська міська територіальна громада</w:t>
            </w:r>
          </w:p>
        </w:tc>
      </w:tr>
      <w:tr w:rsidR="005342D5" w:rsidRPr="0019790A" w14:paraId="78C322F0" w14:textId="77777777" w:rsidTr="0068624E">
        <w:trPr>
          <w:jc w:val="right"/>
        </w:trPr>
        <w:tc>
          <w:tcPr>
            <w:tcW w:w="3425" w:type="dxa"/>
            <w:vAlign w:val="center"/>
          </w:tcPr>
          <w:p w14:paraId="3CAE5B84" w14:textId="77777777" w:rsidR="005342D5" w:rsidRPr="0019790A" w:rsidRDefault="005342D5" w:rsidP="0019790A">
            <w:pPr>
              <w:rPr>
                <w:rFonts w:cs="Arial"/>
                <w:b/>
                <w:szCs w:val="22"/>
              </w:rPr>
            </w:pPr>
            <w:r w:rsidRPr="0019790A">
              <w:rPr>
                <w:rFonts w:cs="Arial"/>
                <w:b/>
                <w:szCs w:val="22"/>
              </w:rPr>
              <w:t>Цільові групи проєкту та кількість отримувачів вигоди</w:t>
            </w:r>
          </w:p>
        </w:tc>
        <w:tc>
          <w:tcPr>
            <w:tcW w:w="6794" w:type="dxa"/>
            <w:gridSpan w:val="9"/>
            <w:vAlign w:val="center"/>
          </w:tcPr>
          <w:p w14:paraId="07F9BE22" w14:textId="77777777" w:rsidR="005342D5" w:rsidRPr="0019790A" w:rsidRDefault="005342D5" w:rsidP="0068624E">
            <w:pPr>
              <w:numPr>
                <w:ilvl w:val="0"/>
                <w:numId w:val="49"/>
              </w:numPr>
              <w:tabs>
                <w:tab w:val="clear" w:pos="720"/>
                <w:tab w:val="left" w:pos="214"/>
                <w:tab w:val="num" w:pos="328"/>
              </w:tabs>
              <w:ind w:left="0" w:firstLine="0"/>
              <w:jc w:val="both"/>
              <w:rPr>
                <w:rFonts w:cs="Arial"/>
                <w:szCs w:val="22"/>
              </w:rPr>
            </w:pPr>
            <w:r w:rsidRPr="0019790A">
              <w:rPr>
                <w:rFonts w:cs="Arial"/>
                <w:b/>
                <w:bCs/>
                <w:szCs w:val="22"/>
              </w:rPr>
              <w:t>Діти шкільного віку (6–17 років)</w:t>
            </w:r>
          </w:p>
          <w:p w14:paraId="12FFD667" w14:textId="77777777" w:rsidR="005342D5" w:rsidRPr="0019790A" w:rsidRDefault="005342D5" w:rsidP="0068624E">
            <w:pPr>
              <w:numPr>
                <w:ilvl w:val="1"/>
                <w:numId w:val="49"/>
              </w:numPr>
              <w:tabs>
                <w:tab w:val="clear" w:pos="1440"/>
                <w:tab w:val="left" w:pos="214"/>
                <w:tab w:val="num" w:pos="328"/>
              </w:tabs>
              <w:ind w:left="0" w:firstLine="0"/>
              <w:jc w:val="both"/>
              <w:rPr>
                <w:rFonts w:cs="Arial"/>
                <w:szCs w:val="22"/>
              </w:rPr>
            </w:pPr>
            <w:r w:rsidRPr="0019790A">
              <w:rPr>
                <w:rFonts w:cs="Arial"/>
                <w:szCs w:val="22"/>
              </w:rPr>
              <w:t>Учні закладів загальної середньої освіти громади</w:t>
            </w:r>
          </w:p>
          <w:p w14:paraId="7BD0DBCC" w14:textId="77777777" w:rsidR="005342D5" w:rsidRPr="0019790A" w:rsidRDefault="005342D5" w:rsidP="0068624E">
            <w:pPr>
              <w:numPr>
                <w:ilvl w:val="1"/>
                <w:numId w:val="49"/>
              </w:numPr>
              <w:tabs>
                <w:tab w:val="clear" w:pos="1440"/>
                <w:tab w:val="left" w:pos="214"/>
                <w:tab w:val="num" w:pos="328"/>
              </w:tabs>
              <w:ind w:left="0" w:firstLine="0"/>
              <w:jc w:val="both"/>
              <w:rPr>
                <w:rFonts w:cs="Arial"/>
                <w:szCs w:val="22"/>
              </w:rPr>
            </w:pPr>
            <w:r w:rsidRPr="0019790A">
              <w:rPr>
                <w:rFonts w:cs="Arial"/>
                <w:szCs w:val="22"/>
              </w:rPr>
              <w:t>Вихованці спортивних секцій і гуртків</w:t>
            </w:r>
          </w:p>
          <w:p w14:paraId="168D0BA9" w14:textId="77777777" w:rsidR="005342D5" w:rsidRPr="0019790A" w:rsidRDefault="005342D5" w:rsidP="0068624E">
            <w:pPr>
              <w:numPr>
                <w:ilvl w:val="1"/>
                <w:numId w:val="49"/>
              </w:numPr>
              <w:tabs>
                <w:tab w:val="clear" w:pos="1440"/>
                <w:tab w:val="left" w:pos="214"/>
                <w:tab w:val="num" w:pos="328"/>
              </w:tabs>
              <w:ind w:left="0" w:firstLine="0"/>
              <w:jc w:val="both"/>
              <w:rPr>
                <w:rFonts w:cs="Arial"/>
                <w:szCs w:val="22"/>
              </w:rPr>
            </w:pPr>
            <w:r w:rsidRPr="0019790A">
              <w:rPr>
                <w:rFonts w:cs="Arial"/>
                <w:szCs w:val="22"/>
              </w:rPr>
              <w:t>Учасники пришкільних та літніх таборів</w:t>
            </w:r>
          </w:p>
          <w:p w14:paraId="3C051143" w14:textId="77777777" w:rsidR="005342D5" w:rsidRPr="0019790A" w:rsidRDefault="005342D5" w:rsidP="0068624E">
            <w:pPr>
              <w:numPr>
                <w:ilvl w:val="0"/>
                <w:numId w:val="49"/>
              </w:numPr>
              <w:tabs>
                <w:tab w:val="clear" w:pos="720"/>
                <w:tab w:val="left" w:pos="214"/>
                <w:tab w:val="num" w:pos="328"/>
              </w:tabs>
              <w:ind w:left="0" w:firstLine="0"/>
              <w:jc w:val="both"/>
              <w:rPr>
                <w:rFonts w:cs="Arial"/>
                <w:szCs w:val="22"/>
              </w:rPr>
            </w:pPr>
            <w:r w:rsidRPr="0019790A">
              <w:rPr>
                <w:rFonts w:cs="Arial"/>
                <w:b/>
                <w:bCs/>
                <w:szCs w:val="22"/>
              </w:rPr>
              <w:t>Молодь (18–25 років)</w:t>
            </w:r>
          </w:p>
          <w:p w14:paraId="2973FA07" w14:textId="77777777" w:rsidR="005342D5" w:rsidRPr="0019790A" w:rsidRDefault="005342D5" w:rsidP="0068624E">
            <w:pPr>
              <w:numPr>
                <w:ilvl w:val="1"/>
                <w:numId w:val="49"/>
              </w:numPr>
              <w:tabs>
                <w:tab w:val="clear" w:pos="1440"/>
                <w:tab w:val="left" w:pos="214"/>
              </w:tabs>
              <w:ind w:left="0" w:firstLine="0"/>
              <w:jc w:val="both"/>
              <w:rPr>
                <w:rFonts w:cs="Arial"/>
                <w:szCs w:val="22"/>
              </w:rPr>
            </w:pPr>
            <w:r w:rsidRPr="0019790A">
              <w:rPr>
                <w:rFonts w:cs="Arial"/>
                <w:szCs w:val="22"/>
              </w:rPr>
              <w:t>Студенти, молодь громади, аматорські команди</w:t>
            </w:r>
          </w:p>
          <w:p w14:paraId="614BAB58" w14:textId="77777777" w:rsidR="005342D5" w:rsidRPr="0019790A" w:rsidRDefault="005342D5" w:rsidP="0068624E">
            <w:pPr>
              <w:numPr>
                <w:ilvl w:val="1"/>
                <w:numId w:val="49"/>
              </w:numPr>
              <w:tabs>
                <w:tab w:val="clear" w:pos="1440"/>
                <w:tab w:val="left" w:pos="214"/>
              </w:tabs>
              <w:ind w:left="0" w:firstLine="0"/>
              <w:jc w:val="both"/>
              <w:rPr>
                <w:rFonts w:cs="Arial"/>
                <w:szCs w:val="22"/>
              </w:rPr>
            </w:pPr>
            <w:r w:rsidRPr="0019790A">
              <w:rPr>
                <w:rFonts w:cs="Arial"/>
                <w:szCs w:val="22"/>
              </w:rPr>
              <w:t>Учасники молодіжних спортивних заходів і змагань</w:t>
            </w:r>
          </w:p>
          <w:p w14:paraId="2EF92FC7" w14:textId="77777777" w:rsidR="005342D5" w:rsidRPr="0019790A" w:rsidRDefault="005342D5" w:rsidP="0068624E">
            <w:pPr>
              <w:numPr>
                <w:ilvl w:val="1"/>
                <w:numId w:val="49"/>
              </w:numPr>
              <w:tabs>
                <w:tab w:val="clear" w:pos="1440"/>
                <w:tab w:val="left" w:pos="214"/>
              </w:tabs>
              <w:ind w:left="0" w:firstLine="0"/>
              <w:jc w:val="both"/>
              <w:rPr>
                <w:rFonts w:cs="Arial"/>
                <w:szCs w:val="22"/>
              </w:rPr>
            </w:pPr>
            <w:r w:rsidRPr="0019790A">
              <w:rPr>
                <w:rFonts w:cs="Arial"/>
                <w:szCs w:val="22"/>
              </w:rPr>
              <w:t>Волонтери й організатори молодіжних ініціатив у спорті</w:t>
            </w:r>
          </w:p>
          <w:p w14:paraId="28AAB2D8" w14:textId="77777777" w:rsidR="005342D5" w:rsidRPr="0019790A" w:rsidRDefault="005342D5" w:rsidP="0068624E">
            <w:pPr>
              <w:numPr>
                <w:ilvl w:val="0"/>
                <w:numId w:val="49"/>
              </w:numPr>
              <w:tabs>
                <w:tab w:val="clear" w:pos="720"/>
                <w:tab w:val="left" w:pos="214"/>
                <w:tab w:val="num" w:pos="328"/>
              </w:tabs>
              <w:ind w:left="0" w:firstLine="0"/>
              <w:jc w:val="both"/>
              <w:rPr>
                <w:rFonts w:cs="Arial"/>
                <w:szCs w:val="22"/>
              </w:rPr>
            </w:pPr>
            <w:r w:rsidRPr="0019790A">
              <w:rPr>
                <w:rFonts w:cs="Arial"/>
                <w:b/>
                <w:bCs/>
                <w:szCs w:val="22"/>
              </w:rPr>
              <w:t>Доросле населення громади (25–60 років)</w:t>
            </w:r>
          </w:p>
          <w:p w14:paraId="379BE23C" w14:textId="77777777" w:rsidR="005342D5" w:rsidRPr="0019790A" w:rsidRDefault="005342D5" w:rsidP="0068624E">
            <w:pPr>
              <w:numPr>
                <w:ilvl w:val="1"/>
                <w:numId w:val="49"/>
              </w:numPr>
              <w:tabs>
                <w:tab w:val="clear" w:pos="1440"/>
                <w:tab w:val="left" w:pos="214"/>
                <w:tab w:val="num" w:pos="328"/>
              </w:tabs>
              <w:ind w:left="0" w:firstLine="0"/>
              <w:jc w:val="both"/>
              <w:rPr>
                <w:rFonts w:cs="Arial"/>
                <w:szCs w:val="22"/>
              </w:rPr>
            </w:pPr>
            <w:r w:rsidRPr="0019790A">
              <w:rPr>
                <w:rFonts w:cs="Arial"/>
                <w:szCs w:val="22"/>
              </w:rPr>
              <w:t>Аматорські футбольні команди</w:t>
            </w:r>
          </w:p>
          <w:p w14:paraId="7242E27F" w14:textId="77777777" w:rsidR="005342D5" w:rsidRPr="0019790A" w:rsidRDefault="005342D5" w:rsidP="0068624E">
            <w:pPr>
              <w:numPr>
                <w:ilvl w:val="1"/>
                <w:numId w:val="49"/>
              </w:numPr>
              <w:tabs>
                <w:tab w:val="clear" w:pos="1440"/>
                <w:tab w:val="left" w:pos="214"/>
                <w:tab w:val="num" w:pos="328"/>
              </w:tabs>
              <w:ind w:left="0" w:firstLine="0"/>
              <w:jc w:val="both"/>
              <w:rPr>
                <w:rFonts w:cs="Arial"/>
                <w:szCs w:val="22"/>
              </w:rPr>
            </w:pPr>
            <w:r w:rsidRPr="0019790A">
              <w:rPr>
                <w:rFonts w:cs="Arial"/>
                <w:szCs w:val="22"/>
              </w:rPr>
              <w:t>Працівники місцевих підприємств (корпоративні команди)</w:t>
            </w:r>
          </w:p>
          <w:p w14:paraId="0AF82604" w14:textId="77777777" w:rsidR="005342D5" w:rsidRPr="0019790A" w:rsidRDefault="005342D5" w:rsidP="0068624E">
            <w:pPr>
              <w:numPr>
                <w:ilvl w:val="1"/>
                <w:numId w:val="49"/>
              </w:numPr>
              <w:tabs>
                <w:tab w:val="clear" w:pos="1440"/>
                <w:tab w:val="left" w:pos="214"/>
                <w:tab w:val="num" w:pos="328"/>
              </w:tabs>
              <w:ind w:left="0" w:firstLine="0"/>
              <w:jc w:val="both"/>
              <w:rPr>
                <w:rFonts w:cs="Arial"/>
                <w:szCs w:val="22"/>
              </w:rPr>
            </w:pPr>
            <w:r w:rsidRPr="0019790A">
              <w:rPr>
                <w:rFonts w:cs="Arial"/>
                <w:szCs w:val="22"/>
              </w:rPr>
              <w:t>Активні мешканці, зацікавлені в оздоровчій фізичній активності</w:t>
            </w:r>
          </w:p>
          <w:p w14:paraId="6CD70EF0" w14:textId="77777777" w:rsidR="005342D5" w:rsidRPr="0019790A" w:rsidRDefault="005342D5" w:rsidP="0068624E">
            <w:pPr>
              <w:numPr>
                <w:ilvl w:val="0"/>
                <w:numId w:val="49"/>
              </w:numPr>
              <w:tabs>
                <w:tab w:val="clear" w:pos="720"/>
                <w:tab w:val="left" w:pos="214"/>
                <w:tab w:val="num" w:pos="328"/>
              </w:tabs>
              <w:ind w:left="0" w:firstLine="0"/>
              <w:jc w:val="both"/>
              <w:rPr>
                <w:rFonts w:cs="Arial"/>
                <w:szCs w:val="22"/>
              </w:rPr>
            </w:pPr>
            <w:r w:rsidRPr="0019790A">
              <w:rPr>
                <w:rFonts w:cs="Arial"/>
                <w:b/>
                <w:bCs/>
                <w:szCs w:val="22"/>
              </w:rPr>
              <w:t>Особи старшого віку та пенсіонери</w:t>
            </w:r>
          </w:p>
          <w:p w14:paraId="116502D4" w14:textId="77777777" w:rsidR="005342D5" w:rsidRPr="0019790A" w:rsidRDefault="005342D5" w:rsidP="0068624E">
            <w:pPr>
              <w:numPr>
                <w:ilvl w:val="3"/>
                <w:numId w:val="50"/>
              </w:numPr>
              <w:tabs>
                <w:tab w:val="left" w:pos="214"/>
              </w:tabs>
              <w:ind w:left="0" w:firstLine="0"/>
              <w:jc w:val="both"/>
              <w:rPr>
                <w:rFonts w:cs="Arial"/>
                <w:szCs w:val="22"/>
              </w:rPr>
            </w:pPr>
            <w:r w:rsidRPr="0019790A">
              <w:rPr>
                <w:rFonts w:cs="Arial"/>
                <w:szCs w:val="22"/>
              </w:rPr>
              <w:t>Громадяни, які можуть використовувати поле для ранкової гімнастики, ходьби</w:t>
            </w:r>
          </w:p>
          <w:p w14:paraId="6B2A3962" w14:textId="77777777" w:rsidR="005342D5" w:rsidRPr="0019790A" w:rsidRDefault="005342D5" w:rsidP="0068624E">
            <w:pPr>
              <w:numPr>
                <w:ilvl w:val="0"/>
                <w:numId w:val="50"/>
              </w:numPr>
              <w:tabs>
                <w:tab w:val="left" w:pos="214"/>
              </w:tabs>
              <w:ind w:left="0" w:firstLine="0"/>
              <w:jc w:val="both"/>
              <w:rPr>
                <w:rFonts w:cs="Arial"/>
                <w:szCs w:val="22"/>
              </w:rPr>
            </w:pPr>
            <w:r w:rsidRPr="0019790A">
              <w:rPr>
                <w:rFonts w:cs="Arial"/>
                <w:szCs w:val="22"/>
              </w:rPr>
              <w:t>Учасники ветеранських спортивних об’єднань</w:t>
            </w:r>
          </w:p>
          <w:p w14:paraId="4DE8518C" w14:textId="77777777" w:rsidR="005342D5" w:rsidRPr="0019790A" w:rsidRDefault="005342D5" w:rsidP="0068624E">
            <w:pPr>
              <w:numPr>
                <w:ilvl w:val="0"/>
                <w:numId w:val="49"/>
              </w:numPr>
              <w:tabs>
                <w:tab w:val="clear" w:pos="720"/>
                <w:tab w:val="left" w:pos="214"/>
                <w:tab w:val="num" w:pos="328"/>
              </w:tabs>
              <w:ind w:left="0" w:firstLine="0"/>
              <w:jc w:val="both"/>
              <w:rPr>
                <w:rFonts w:cs="Arial"/>
                <w:szCs w:val="22"/>
              </w:rPr>
            </w:pPr>
            <w:r w:rsidRPr="0019790A">
              <w:rPr>
                <w:rFonts w:cs="Arial"/>
                <w:b/>
                <w:bCs/>
                <w:szCs w:val="22"/>
              </w:rPr>
              <w:t>Особи з інвалідністю</w:t>
            </w:r>
          </w:p>
          <w:p w14:paraId="648D45E4" w14:textId="77777777" w:rsidR="005342D5" w:rsidRPr="0019790A" w:rsidRDefault="005342D5" w:rsidP="0068624E">
            <w:pPr>
              <w:numPr>
                <w:ilvl w:val="0"/>
                <w:numId w:val="51"/>
              </w:numPr>
              <w:tabs>
                <w:tab w:val="left" w:pos="214"/>
              </w:tabs>
              <w:ind w:left="0" w:firstLine="0"/>
              <w:jc w:val="both"/>
              <w:rPr>
                <w:rFonts w:cs="Arial"/>
                <w:szCs w:val="22"/>
              </w:rPr>
            </w:pPr>
            <w:r w:rsidRPr="0019790A">
              <w:rPr>
                <w:rFonts w:cs="Arial"/>
                <w:szCs w:val="22"/>
              </w:rPr>
              <w:t>Діти та молодь з особливими освітніми потребами</w:t>
            </w:r>
          </w:p>
          <w:p w14:paraId="1ABF3A76" w14:textId="77777777" w:rsidR="005342D5" w:rsidRPr="0019790A" w:rsidRDefault="005342D5" w:rsidP="0068624E">
            <w:pPr>
              <w:numPr>
                <w:ilvl w:val="0"/>
                <w:numId w:val="51"/>
              </w:numPr>
              <w:tabs>
                <w:tab w:val="left" w:pos="214"/>
              </w:tabs>
              <w:ind w:left="0" w:firstLine="0"/>
              <w:jc w:val="both"/>
              <w:rPr>
                <w:rFonts w:cs="Arial"/>
                <w:szCs w:val="22"/>
              </w:rPr>
            </w:pPr>
            <w:r w:rsidRPr="0019790A">
              <w:rPr>
                <w:rFonts w:cs="Arial"/>
                <w:szCs w:val="22"/>
              </w:rPr>
              <w:t xml:space="preserve">Особи з порушеннями опорно-рухового апарату. </w:t>
            </w:r>
          </w:p>
          <w:p w14:paraId="3532734B" w14:textId="77777777" w:rsidR="005342D5" w:rsidRPr="0019790A" w:rsidRDefault="005342D5" w:rsidP="0068624E">
            <w:pPr>
              <w:numPr>
                <w:ilvl w:val="0"/>
                <w:numId w:val="49"/>
              </w:numPr>
              <w:tabs>
                <w:tab w:val="clear" w:pos="720"/>
                <w:tab w:val="left" w:pos="214"/>
                <w:tab w:val="num" w:pos="328"/>
              </w:tabs>
              <w:ind w:left="0" w:firstLine="0"/>
              <w:jc w:val="both"/>
              <w:rPr>
                <w:rFonts w:cs="Arial"/>
                <w:szCs w:val="22"/>
              </w:rPr>
            </w:pPr>
            <w:r w:rsidRPr="0019790A">
              <w:rPr>
                <w:rFonts w:cs="Arial"/>
                <w:b/>
                <w:bCs/>
                <w:szCs w:val="22"/>
              </w:rPr>
              <w:t>Тренери, вчителі фізичної культури, спортінструктори</w:t>
            </w:r>
          </w:p>
          <w:p w14:paraId="6B7DE773" w14:textId="77777777" w:rsidR="005342D5" w:rsidRPr="0019790A" w:rsidRDefault="005342D5" w:rsidP="0068624E">
            <w:pPr>
              <w:numPr>
                <w:ilvl w:val="0"/>
                <w:numId w:val="52"/>
              </w:numPr>
              <w:tabs>
                <w:tab w:val="left" w:pos="214"/>
              </w:tabs>
              <w:ind w:left="0" w:firstLine="0"/>
              <w:jc w:val="both"/>
              <w:rPr>
                <w:rFonts w:cs="Arial"/>
                <w:szCs w:val="22"/>
              </w:rPr>
            </w:pPr>
            <w:r w:rsidRPr="0019790A">
              <w:rPr>
                <w:rFonts w:cs="Arial"/>
                <w:szCs w:val="22"/>
              </w:rPr>
              <w:t>Педагогічні працівники закладів освіти</w:t>
            </w:r>
          </w:p>
          <w:p w14:paraId="5825137F" w14:textId="77777777" w:rsidR="005342D5" w:rsidRPr="0019790A" w:rsidRDefault="005342D5" w:rsidP="0068624E">
            <w:pPr>
              <w:numPr>
                <w:ilvl w:val="0"/>
                <w:numId w:val="52"/>
              </w:numPr>
              <w:tabs>
                <w:tab w:val="left" w:pos="214"/>
              </w:tabs>
              <w:ind w:left="0" w:firstLine="0"/>
              <w:jc w:val="both"/>
              <w:rPr>
                <w:rFonts w:cs="Arial"/>
                <w:szCs w:val="22"/>
              </w:rPr>
            </w:pPr>
            <w:r w:rsidRPr="0019790A">
              <w:rPr>
                <w:rFonts w:cs="Arial"/>
                <w:szCs w:val="22"/>
              </w:rPr>
              <w:t>Тренери секцій, які використовуватимуть поле для навчання і змагань</w:t>
            </w:r>
          </w:p>
          <w:p w14:paraId="2169DE8F" w14:textId="77777777" w:rsidR="005342D5" w:rsidRPr="0019790A" w:rsidRDefault="005342D5" w:rsidP="0068624E">
            <w:pPr>
              <w:numPr>
                <w:ilvl w:val="0"/>
                <w:numId w:val="49"/>
              </w:numPr>
              <w:tabs>
                <w:tab w:val="clear" w:pos="720"/>
                <w:tab w:val="left" w:pos="214"/>
                <w:tab w:val="num" w:pos="328"/>
              </w:tabs>
              <w:ind w:left="0" w:firstLine="0"/>
              <w:jc w:val="both"/>
              <w:rPr>
                <w:rFonts w:cs="Arial"/>
                <w:szCs w:val="22"/>
              </w:rPr>
            </w:pPr>
            <w:r w:rsidRPr="0019790A">
              <w:rPr>
                <w:rFonts w:cs="Arial"/>
                <w:b/>
                <w:bCs/>
                <w:szCs w:val="22"/>
              </w:rPr>
              <w:t>Місцева влада та громада</w:t>
            </w:r>
          </w:p>
          <w:p w14:paraId="758BCB3E" w14:textId="4520C8FC" w:rsidR="005342D5" w:rsidRPr="0019790A" w:rsidRDefault="005342D5" w:rsidP="0068624E">
            <w:pPr>
              <w:numPr>
                <w:ilvl w:val="0"/>
                <w:numId w:val="53"/>
              </w:numPr>
              <w:tabs>
                <w:tab w:val="left" w:pos="214"/>
              </w:tabs>
              <w:ind w:left="0" w:firstLine="0"/>
              <w:jc w:val="both"/>
              <w:rPr>
                <w:rFonts w:cs="Arial"/>
                <w:szCs w:val="22"/>
              </w:rPr>
            </w:pPr>
            <w:r w:rsidRPr="0019790A">
              <w:rPr>
                <w:rFonts w:cs="Arial"/>
                <w:szCs w:val="22"/>
              </w:rPr>
              <w:t xml:space="preserve">Органи місцевого самоврядування, зацікавлені у розвитку </w:t>
            </w:r>
            <w:r w:rsidR="0068624E" w:rsidRPr="0019790A">
              <w:rPr>
                <w:rFonts w:cs="Arial"/>
                <w:szCs w:val="22"/>
              </w:rPr>
              <w:t>інфраструктури</w:t>
            </w:r>
          </w:p>
          <w:p w14:paraId="0F010BAD" w14:textId="77777777" w:rsidR="005342D5" w:rsidRPr="0019790A" w:rsidRDefault="005342D5" w:rsidP="0068624E">
            <w:pPr>
              <w:numPr>
                <w:ilvl w:val="0"/>
                <w:numId w:val="53"/>
              </w:numPr>
              <w:tabs>
                <w:tab w:val="left" w:pos="214"/>
              </w:tabs>
              <w:ind w:left="0" w:firstLine="0"/>
              <w:jc w:val="both"/>
              <w:rPr>
                <w:rFonts w:cs="Arial"/>
                <w:szCs w:val="22"/>
              </w:rPr>
            </w:pPr>
            <w:r w:rsidRPr="0019790A">
              <w:rPr>
                <w:rFonts w:cs="Arial"/>
                <w:szCs w:val="22"/>
              </w:rPr>
              <w:t>Представники громадських організацій, ініціативних груп</w:t>
            </w:r>
          </w:p>
          <w:p w14:paraId="3629B2F5" w14:textId="77777777" w:rsidR="005342D5" w:rsidRPr="0019790A" w:rsidRDefault="005342D5" w:rsidP="0068624E">
            <w:pPr>
              <w:tabs>
                <w:tab w:val="left" w:pos="214"/>
              </w:tabs>
              <w:jc w:val="both"/>
              <w:rPr>
                <w:rFonts w:cs="Arial"/>
                <w:szCs w:val="22"/>
              </w:rPr>
            </w:pPr>
            <w:r w:rsidRPr="0019790A">
              <w:rPr>
                <w:rFonts w:cs="Arial"/>
                <w:b/>
                <w:szCs w:val="22"/>
              </w:rPr>
              <w:t>Кількість отримувачів вигоди</w:t>
            </w:r>
            <w:r w:rsidRPr="0019790A">
              <w:rPr>
                <w:rFonts w:cs="Arial"/>
                <w:szCs w:val="22"/>
              </w:rPr>
              <w:t xml:space="preserve"> </w:t>
            </w:r>
            <w:r w:rsidRPr="0019790A">
              <w:rPr>
                <w:rFonts w:cs="Arial"/>
                <w:b/>
                <w:szCs w:val="22"/>
              </w:rPr>
              <w:t>2000 осіб.</w:t>
            </w:r>
          </w:p>
        </w:tc>
      </w:tr>
      <w:tr w:rsidR="005342D5" w:rsidRPr="0019790A" w14:paraId="3BE91115" w14:textId="77777777" w:rsidTr="0068624E">
        <w:trPr>
          <w:jc w:val="right"/>
        </w:trPr>
        <w:tc>
          <w:tcPr>
            <w:tcW w:w="3425" w:type="dxa"/>
            <w:shd w:val="clear" w:color="auto" w:fill="FFFFFF"/>
            <w:vAlign w:val="center"/>
          </w:tcPr>
          <w:p w14:paraId="71204B65" w14:textId="77777777" w:rsidR="005342D5" w:rsidRPr="0019790A" w:rsidRDefault="005342D5" w:rsidP="0019790A">
            <w:pPr>
              <w:rPr>
                <w:rFonts w:cs="Arial"/>
                <w:b/>
                <w:bCs/>
                <w:szCs w:val="22"/>
              </w:rPr>
            </w:pPr>
            <w:r w:rsidRPr="0019790A">
              <w:rPr>
                <w:rFonts w:cs="Arial"/>
                <w:b/>
                <w:bCs/>
                <w:szCs w:val="22"/>
              </w:rPr>
              <w:t>Стислий опис проєкту:</w:t>
            </w:r>
          </w:p>
        </w:tc>
        <w:tc>
          <w:tcPr>
            <w:tcW w:w="6794" w:type="dxa"/>
            <w:gridSpan w:val="9"/>
            <w:vAlign w:val="center"/>
          </w:tcPr>
          <w:p w14:paraId="7EF9456B" w14:textId="77777777" w:rsidR="005342D5" w:rsidRPr="0019790A" w:rsidRDefault="005342D5" w:rsidP="0068624E">
            <w:pPr>
              <w:tabs>
                <w:tab w:val="left" w:pos="214"/>
              </w:tabs>
              <w:jc w:val="both"/>
              <w:rPr>
                <w:rFonts w:cs="Arial"/>
                <w:szCs w:val="22"/>
              </w:rPr>
            </w:pPr>
            <w:r w:rsidRPr="0019790A">
              <w:rPr>
                <w:rFonts w:cs="Arial"/>
                <w:szCs w:val="22"/>
              </w:rPr>
              <w:t>Проєкт передбачає облаштування мультифункціонального спортивного майданчика зі штучним покриттям, огорожею, спортивним обладнанням (ворота, сітки, щити), освітленням та водовідведенням. Майданчик буде придатний для міні-футболу, баскетболу, волейболу, тенісу та інших ігрових видів спорту. Враховуватимуться вимоги безпеки та доступності.</w:t>
            </w:r>
          </w:p>
        </w:tc>
      </w:tr>
      <w:tr w:rsidR="005342D5" w:rsidRPr="0019790A" w14:paraId="22DFAA42" w14:textId="77777777" w:rsidTr="0068624E">
        <w:trPr>
          <w:jc w:val="right"/>
        </w:trPr>
        <w:tc>
          <w:tcPr>
            <w:tcW w:w="3425" w:type="dxa"/>
            <w:shd w:val="clear" w:color="auto" w:fill="FFFFFF"/>
            <w:vAlign w:val="center"/>
          </w:tcPr>
          <w:p w14:paraId="77412C2A" w14:textId="77777777" w:rsidR="005342D5" w:rsidRPr="0019790A" w:rsidRDefault="005342D5" w:rsidP="0019790A">
            <w:pPr>
              <w:rPr>
                <w:rFonts w:cs="Arial"/>
                <w:b/>
                <w:bCs/>
                <w:szCs w:val="22"/>
              </w:rPr>
            </w:pPr>
            <w:r w:rsidRPr="0019790A">
              <w:rPr>
                <w:rFonts w:cs="Arial"/>
                <w:b/>
                <w:bCs/>
                <w:szCs w:val="22"/>
              </w:rPr>
              <w:t>Основні заходи проєкту:</w:t>
            </w:r>
          </w:p>
        </w:tc>
        <w:tc>
          <w:tcPr>
            <w:tcW w:w="6794" w:type="dxa"/>
            <w:gridSpan w:val="9"/>
            <w:vAlign w:val="center"/>
          </w:tcPr>
          <w:p w14:paraId="1A4849C9" w14:textId="77777777" w:rsidR="005342D5" w:rsidRPr="0019790A" w:rsidRDefault="005342D5" w:rsidP="0068624E">
            <w:pPr>
              <w:tabs>
                <w:tab w:val="left" w:pos="214"/>
              </w:tabs>
              <w:jc w:val="both"/>
              <w:rPr>
                <w:rFonts w:cs="Arial"/>
                <w:szCs w:val="22"/>
              </w:rPr>
            </w:pPr>
            <w:r w:rsidRPr="0019790A">
              <w:rPr>
                <w:rFonts w:cs="Arial"/>
                <w:szCs w:val="22"/>
              </w:rPr>
              <w:t xml:space="preserve">1.  </w:t>
            </w:r>
            <w:r w:rsidRPr="0019790A">
              <w:rPr>
                <w:rFonts w:cs="Arial"/>
                <w:b/>
                <w:bCs/>
                <w:szCs w:val="22"/>
              </w:rPr>
              <w:t>Розробка проєктно-кошторисної документації:</w:t>
            </w:r>
          </w:p>
          <w:p w14:paraId="624367AE" w14:textId="77777777" w:rsidR="005342D5" w:rsidRPr="0019790A" w:rsidRDefault="005342D5" w:rsidP="0068624E">
            <w:pPr>
              <w:numPr>
                <w:ilvl w:val="0"/>
                <w:numId w:val="43"/>
              </w:numPr>
              <w:tabs>
                <w:tab w:val="left" w:pos="214"/>
              </w:tabs>
              <w:ind w:left="0" w:firstLine="0"/>
              <w:jc w:val="both"/>
              <w:rPr>
                <w:rFonts w:cs="Arial"/>
                <w:szCs w:val="22"/>
              </w:rPr>
            </w:pPr>
            <w:r w:rsidRPr="0019790A">
              <w:rPr>
                <w:rFonts w:cs="Arial"/>
                <w:szCs w:val="22"/>
              </w:rPr>
              <w:t>Залучення фахівців для створення архітектурного проєкту, що враховує інклюзивність, енергоефективність та багатофункціональність.</w:t>
            </w:r>
          </w:p>
          <w:p w14:paraId="4EED58E0" w14:textId="77777777" w:rsidR="005342D5" w:rsidRPr="0019790A" w:rsidRDefault="005342D5" w:rsidP="0068624E">
            <w:pPr>
              <w:numPr>
                <w:ilvl w:val="0"/>
                <w:numId w:val="43"/>
              </w:numPr>
              <w:tabs>
                <w:tab w:val="left" w:pos="214"/>
              </w:tabs>
              <w:ind w:left="0" w:firstLine="0"/>
              <w:jc w:val="both"/>
              <w:rPr>
                <w:rFonts w:cs="Arial"/>
                <w:szCs w:val="22"/>
              </w:rPr>
            </w:pPr>
            <w:r w:rsidRPr="0019790A">
              <w:rPr>
                <w:rFonts w:cs="Arial"/>
                <w:szCs w:val="22"/>
              </w:rPr>
              <w:t>Погодження документації з відповідними органами.</w:t>
            </w:r>
          </w:p>
          <w:p w14:paraId="02775AFA" w14:textId="77777777" w:rsidR="005342D5" w:rsidRPr="0019790A" w:rsidRDefault="005342D5" w:rsidP="0068624E">
            <w:pPr>
              <w:tabs>
                <w:tab w:val="left" w:pos="214"/>
              </w:tabs>
              <w:jc w:val="both"/>
              <w:rPr>
                <w:rFonts w:cs="Arial"/>
                <w:szCs w:val="22"/>
              </w:rPr>
            </w:pPr>
            <w:r w:rsidRPr="0019790A">
              <w:rPr>
                <w:rFonts w:cs="Arial"/>
                <w:szCs w:val="22"/>
              </w:rPr>
              <w:t xml:space="preserve">3.  </w:t>
            </w:r>
            <w:r w:rsidRPr="0019790A">
              <w:rPr>
                <w:rFonts w:cs="Arial"/>
                <w:b/>
                <w:bCs/>
                <w:szCs w:val="22"/>
              </w:rPr>
              <w:t>Підготовка території для будівництва:</w:t>
            </w:r>
          </w:p>
          <w:p w14:paraId="37E9D4E1" w14:textId="77777777" w:rsidR="005342D5" w:rsidRPr="0019790A" w:rsidRDefault="005342D5" w:rsidP="0068624E">
            <w:pPr>
              <w:numPr>
                <w:ilvl w:val="0"/>
                <w:numId w:val="44"/>
              </w:numPr>
              <w:tabs>
                <w:tab w:val="left" w:pos="214"/>
              </w:tabs>
              <w:ind w:left="0" w:firstLine="0"/>
              <w:jc w:val="both"/>
              <w:rPr>
                <w:rFonts w:cs="Arial"/>
                <w:szCs w:val="22"/>
              </w:rPr>
            </w:pPr>
            <w:r w:rsidRPr="0019790A">
              <w:rPr>
                <w:rFonts w:cs="Arial"/>
                <w:szCs w:val="22"/>
              </w:rPr>
              <w:t>Очищення, вирівнювання та планування земельної ділянки</w:t>
            </w:r>
          </w:p>
          <w:p w14:paraId="20988E17" w14:textId="77777777" w:rsidR="005342D5" w:rsidRPr="0019790A" w:rsidRDefault="005342D5" w:rsidP="0068624E">
            <w:pPr>
              <w:numPr>
                <w:ilvl w:val="0"/>
                <w:numId w:val="44"/>
              </w:numPr>
              <w:tabs>
                <w:tab w:val="left" w:pos="214"/>
              </w:tabs>
              <w:ind w:left="0" w:firstLine="0"/>
              <w:jc w:val="both"/>
              <w:rPr>
                <w:rFonts w:cs="Arial"/>
                <w:szCs w:val="22"/>
              </w:rPr>
            </w:pPr>
            <w:r w:rsidRPr="0019790A">
              <w:rPr>
                <w:rFonts w:cs="Arial"/>
                <w:szCs w:val="22"/>
              </w:rPr>
              <w:t>Підведення необхідних комунікацій (електропостачання, водопостачання тощо).</w:t>
            </w:r>
          </w:p>
          <w:p w14:paraId="178FC460" w14:textId="77777777" w:rsidR="005342D5" w:rsidRPr="0019790A" w:rsidRDefault="005342D5" w:rsidP="0068624E">
            <w:pPr>
              <w:tabs>
                <w:tab w:val="left" w:pos="214"/>
              </w:tabs>
              <w:jc w:val="both"/>
              <w:rPr>
                <w:rFonts w:cs="Arial"/>
                <w:szCs w:val="22"/>
              </w:rPr>
            </w:pPr>
            <w:r w:rsidRPr="0019790A">
              <w:rPr>
                <w:rFonts w:cs="Arial"/>
                <w:szCs w:val="22"/>
              </w:rPr>
              <w:t xml:space="preserve">4.  </w:t>
            </w:r>
            <w:r w:rsidRPr="0019790A">
              <w:rPr>
                <w:rFonts w:cs="Arial"/>
                <w:b/>
                <w:bCs/>
                <w:szCs w:val="22"/>
              </w:rPr>
              <w:t>Будівництво спортивного об'єкта:</w:t>
            </w:r>
          </w:p>
          <w:p w14:paraId="016D5D50" w14:textId="77777777" w:rsidR="005342D5" w:rsidRPr="0019790A" w:rsidRDefault="005342D5" w:rsidP="0068624E">
            <w:pPr>
              <w:numPr>
                <w:ilvl w:val="0"/>
                <w:numId w:val="45"/>
              </w:numPr>
              <w:tabs>
                <w:tab w:val="left" w:pos="214"/>
              </w:tabs>
              <w:ind w:left="0" w:firstLine="0"/>
              <w:jc w:val="both"/>
              <w:rPr>
                <w:rFonts w:cs="Arial"/>
                <w:szCs w:val="22"/>
              </w:rPr>
            </w:pPr>
            <w:r w:rsidRPr="0019790A">
              <w:rPr>
                <w:rFonts w:cs="Arial"/>
                <w:szCs w:val="22"/>
              </w:rPr>
              <w:t>Укладання основи, дренажної системи та штучного (гумового) покриття</w:t>
            </w:r>
          </w:p>
          <w:p w14:paraId="5BA16FA5" w14:textId="77777777" w:rsidR="005342D5" w:rsidRPr="0019790A" w:rsidRDefault="005342D5" w:rsidP="0068624E">
            <w:pPr>
              <w:numPr>
                <w:ilvl w:val="0"/>
                <w:numId w:val="45"/>
              </w:numPr>
              <w:tabs>
                <w:tab w:val="left" w:pos="214"/>
              </w:tabs>
              <w:ind w:left="0" w:firstLine="0"/>
              <w:jc w:val="both"/>
              <w:rPr>
                <w:rFonts w:cs="Arial"/>
                <w:szCs w:val="22"/>
              </w:rPr>
            </w:pPr>
            <w:r w:rsidRPr="0019790A">
              <w:rPr>
                <w:rFonts w:cs="Arial"/>
                <w:szCs w:val="22"/>
              </w:rPr>
              <w:t>Монтаж огорожі по периметру</w:t>
            </w:r>
          </w:p>
          <w:p w14:paraId="5B4505E0" w14:textId="77777777" w:rsidR="005342D5" w:rsidRPr="0019790A" w:rsidRDefault="005342D5" w:rsidP="0068624E">
            <w:pPr>
              <w:numPr>
                <w:ilvl w:val="0"/>
                <w:numId w:val="45"/>
              </w:numPr>
              <w:tabs>
                <w:tab w:val="left" w:pos="214"/>
              </w:tabs>
              <w:ind w:left="0" w:firstLine="0"/>
              <w:jc w:val="both"/>
              <w:rPr>
                <w:rFonts w:cs="Arial"/>
                <w:szCs w:val="22"/>
              </w:rPr>
            </w:pPr>
            <w:r w:rsidRPr="0019790A">
              <w:rPr>
                <w:rFonts w:cs="Arial"/>
                <w:szCs w:val="22"/>
              </w:rPr>
              <w:t>Встановлення спортивного обладнання (ворота, стійки, сітки)</w:t>
            </w:r>
          </w:p>
          <w:p w14:paraId="01FF4E20" w14:textId="77777777" w:rsidR="005342D5" w:rsidRPr="0019790A" w:rsidRDefault="005342D5" w:rsidP="0068624E">
            <w:pPr>
              <w:numPr>
                <w:ilvl w:val="0"/>
                <w:numId w:val="45"/>
              </w:numPr>
              <w:tabs>
                <w:tab w:val="left" w:pos="214"/>
              </w:tabs>
              <w:ind w:left="0" w:firstLine="0"/>
              <w:jc w:val="both"/>
              <w:rPr>
                <w:rFonts w:cs="Arial"/>
                <w:szCs w:val="22"/>
              </w:rPr>
            </w:pPr>
            <w:r w:rsidRPr="0019790A">
              <w:rPr>
                <w:rFonts w:cs="Arial"/>
                <w:szCs w:val="22"/>
              </w:rPr>
              <w:t>Встановлення освітлення, огорожі, лавок та інших необхідних елементів інфраструктури.</w:t>
            </w:r>
          </w:p>
          <w:p w14:paraId="3A64DCBE" w14:textId="77777777" w:rsidR="005342D5" w:rsidRPr="0019790A" w:rsidRDefault="005342D5" w:rsidP="0068624E">
            <w:pPr>
              <w:tabs>
                <w:tab w:val="left" w:pos="214"/>
              </w:tabs>
              <w:jc w:val="both"/>
              <w:rPr>
                <w:rFonts w:cs="Arial"/>
                <w:szCs w:val="22"/>
              </w:rPr>
            </w:pPr>
            <w:r w:rsidRPr="0019790A">
              <w:rPr>
                <w:rFonts w:cs="Arial"/>
                <w:szCs w:val="22"/>
              </w:rPr>
              <w:t xml:space="preserve">5.  </w:t>
            </w:r>
            <w:r w:rsidRPr="0019790A">
              <w:rPr>
                <w:rFonts w:cs="Arial"/>
                <w:b/>
                <w:bCs/>
                <w:szCs w:val="22"/>
              </w:rPr>
              <w:t>Облаштування додаткової інфраструктури</w:t>
            </w:r>
          </w:p>
          <w:p w14:paraId="4A754AEE" w14:textId="77777777" w:rsidR="005342D5" w:rsidRPr="0019790A" w:rsidRDefault="005342D5" w:rsidP="0068624E">
            <w:pPr>
              <w:numPr>
                <w:ilvl w:val="0"/>
                <w:numId w:val="46"/>
              </w:numPr>
              <w:tabs>
                <w:tab w:val="left" w:pos="214"/>
              </w:tabs>
              <w:ind w:left="0" w:firstLine="0"/>
              <w:jc w:val="both"/>
              <w:rPr>
                <w:rFonts w:cs="Arial"/>
                <w:szCs w:val="22"/>
              </w:rPr>
            </w:pPr>
            <w:r w:rsidRPr="0019790A">
              <w:rPr>
                <w:rFonts w:cs="Arial"/>
                <w:szCs w:val="22"/>
              </w:rPr>
              <w:t>Встановлення лавок, урн, освітлення</w:t>
            </w:r>
          </w:p>
          <w:p w14:paraId="10C85824" w14:textId="77777777" w:rsidR="005342D5" w:rsidRPr="0019790A" w:rsidRDefault="005342D5" w:rsidP="0068624E">
            <w:pPr>
              <w:numPr>
                <w:ilvl w:val="0"/>
                <w:numId w:val="46"/>
              </w:numPr>
              <w:tabs>
                <w:tab w:val="left" w:pos="214"/>
              </w:tabs>
              <w:ind w:left="0" w:firstLine="0"/>
              <w:jc w:val="both"/>
              <w:rPr>
                <w:rFonts w:cs="Arial"/>
                <w:szCs w:val="22"/>
              </w:rPr>
            </w:pPr>
            <w:r w:rsidRPr="0019790A">
              <w:rPr>
                <w:rFonts w:cs="Arial"/>
                <w:szCs w:val="22"/>
              </w:rPr>
              <w:t>Встановлення тренажерної зони</w:t>
            </w:r>
          </w:p>
          <w:p w14:paraId="70EA2216" w14:textId="77777777" w:rsidR="005342D5" w:rsidRPr="0019790A" w:rsidRDefault="005342D5" w:rsidP="0068624E">
            <w:pPr>
              <w:numPr>
                <w:ilvl w:val="0"/>
                <w:numId w:val="46"/>
              </w:numPr>
              <w:tabs>
                <w:tab w:val="left" w:pos="214"/>
              </w:tabs>
              <w:ind w:left="0" w:firstLine="0"/>
              <w:jc w:val="both"/>
              <w:rPr>
                <w:rFonts w:cs="Arial"/>
                <w:szCs w:val="22"/>
              </w:rPr>
            </w:pPr>
            <w:r w:rsidRPr="0019790A">
              <w:rPr>
                <w:rFonts w:cs="Arial"/>
                <w:szCs w:val="22"/>
              </w:rPr>
              <w:t>Забезпечення доступності для людей з інвалідністю (пандуси, тактильні елементи тощо)</w:t>
            </w:r>
          </w:p>
          <w:p w14:paraId="612A8AFE" w14:textId="77777777" w:rsidR="005342D5" w:rsidRPr="0019790A" w:rsidRDefault="005342D5" w:rsidP="0068624E">
            <w:pPr>
              <w:tabs>
                <w:tab w:val="left" w:pos="214"/>
              </w:tabs>
              <w:jc w:val="both"/>
              <w:rPr>
                <w:rFonts w:cs="Arial"/>
                <w:szCs w:val="22"/>
              </w:rPr>
            </w:pPr>
            <w:r w:rsidRPr="0019790A">
              <w:rPr>
                <w:rFonts w:cs="Arial"/>
                <w:szCs w:val="22"/>
              </w:rPr>
              <w:t xml:space="preserve">6.  </w:t>
            </w:r>
            <w:r w:rsidRPr="0019790A">
              <w:rPr>
                <w:rFonts w:cs="Arial"/>
                <w:b/>
                <w:bCs/>
                <w:szCs w:val="22"/>
              </w:rPr>
              <w:t>Проведення інформаційної кампанії:</w:t>
            </w:r>
          </w:p>
          <w:p w14:paraId="38232CC8" w14:textId="77777777" w:rsidR="005342D5" w:rsidRPr="0019790A" w:rsidRDefault="005342D5" w:rsidP="0068624E">
            <w:pPr>
              <w:numPr>
                <w:ilvl w:val="0"/>
                <w:numId w:val="47"/>
              </w:numPr>
              <w:tabs>
                <w:tab w:val="left" w:pos="214"/>
              </w:tabs>
              <w:ind w:left="0" w:firstLine="0"/>
              <w:jc w:val="both"/>
              <w:rPr>
                <w:rFonts w:cs="Arial"/>
                <w:szCs w:val="22"/>
              </w:rPr>
            </w:pPr>
            <w:r w:rsidRPr="0019790A">
              <w:rPr>
                <w:rFonts w:cs="Arial"/>
                <w:szCs w:val="22"/>
              </w:rPr>
              <w:t>Інформування населення про відкриття нового спортивного об'єкта та можливості для занять.</w:t>
            </w:r>
          </w:p>
          <w:p w14:paraId="3879CDD2" w14:textId="77777777" w:rsidR="005342D5" w:rsidRPr="0019790A" w:rsidRDefault="005342D5" w:rsidP="0068624E">
            <w:pPr>
              <w:numPr>
                <w:ilvl w:val="0"/>
                <w:numId w:val="47"/>
              </w:numPr>
              <w:tabs>
                <w:tab w:val="left" w:pos="214"/>
              </w:tabs>
              <w:ind w:left="0" w:firstLine="0"/>
              <w:jc w:val="both"/>
              <w:rPr>
                <w:rFonts w:cs="Arial"/>
                <w:szCs w:val="22"/>
              </w:rPr>
            </w:pPr>
            <w:r w:rsidRPr="0019790A">
              <w:rPr>
                <w:rFonts w:cs="Arial"/>
                <w:szCs w:val="22"/>
              </w:rPr>
              <w:t>Поширення інформації через місцеві ЗМІ, соціальні мережі та інші канали комунікації.</w:t>
            </w:r>
          </w:p>
          <w:p w14:paraId="33D9D0F9" w14:textId="77777777" w:rsidR="005342D5" w:rsidRPr="0019790A" w:rsidRDefault="005342D5" w:rsidP="0068624E">
            <w:pPr>
              <w:tabs>
                <w:tab w:val="left" w:pos="214"/>
              </w:tabs>
              <w:jc w:val="both"/>
              <w:rPr>
                <w:rFonts w:cs="Arial"/>
                <w:szCs w:val="22"/>
              </w:rPr>
            </w:pPr>
            <w:r w:rsidRPr="0019790A">
              <w:rPr>
                <w:rFonts w:cs="Arial"/>
                <w:szCs w:val="22"/>
              </w:rPr>
              <w:t xml:space="preserve">7.  </w:t>
            </w:r>
            <w:r w:rsidRPr="0019790A">
              <w:rPr>
                <w:rFonts w:cs="Arial"/>
                <w:b/>
                <w:bCs/>
                <w:szCs w:val="22"/>
              </w:rPr>
              <w:t>Моніторинг та оцінка ефективності проєкту:</w:t>
            </w:r>
          </w:p>
          <w:p w14:paraId="4632B893" w14:textId="77777777" w:rsidR="005342D5" w:rsidRPr="0019790A" w:rsidRDefault="005342D5" w:rsidP="0068624E">
            <w:pPr>
              <w:numPr>
                <w:ilvl w:val="0"/>
                <w:numId w:val="48"/>
              </w:numPr>
              <w:tabs>
                <w:tab w:val="left" w:pos="214"/>
              </w:tabs>
              <w:ind w:left="0" w:firstLine="0"/>
              <w:jc w:val="both"/>
              <w:rPr>
                <w:rFonts w:cs="Arial"/>
                <w:szCs w:val="22"/>
              </w:rPr>
            </w:pPr>
            <w:r w:rsidRPr="0019790A">
              <w:rPr>
                <w:rFonts w:cs="Arial"/>
                <w:szCs w:val="22"/>
              </w:rPr>
              <w:t>Відстеження кількості відвідувачів та учасників спортивних заходів..</w:t>
            </w:r>
          </w:p>
        </w:tc>
      </w:tr>
      <w:tr w:rsidR="005342D5" w:rsidRPr="0019790A" w14:paraId="2FD64064" w14:textId="77777777" w:rsidTr="0068624E">
        <w:trPr>
          <w:jc w:val="right"/>
        </w:trPr>
        <w:tc>
          <w:tcPr>
            <w:tcW w:w="3425" w:type="dxa"/>
            <w:shd w:val="clear" w:color="auto" w:fill="FFFFFF"/>
            <w:vAlign w:val="center"/>
          </w:tcPr>
          <w:p w14:paraId="79936B0F" w14:textId="77777777" w:rsidR="005342D5" w:rsidRPr="0019790A" w:rsidRDefault="005342D5" w:rsidP="0019790A">
            <w:pPr>
              <w:rPr>
                <w:rFonts w:cs="Arial"/>
                <w:b/>
                <w:bCs/>
                <w:szCs w:val="22"/>
              </w:rPr>
            </w:pPr>
            <w:r w:rsidRPr="0019790A">
              <w:rPr>
                <w:rFonts w:cs="Arial"/>
                <w:b/>
                <w:bCs/>
                <w:szCs w:val="22"/>
              </w:rPr>
              <w:t>Індикатори (показники) результативності:</w:t>
            </w:r>
          </w:p>
        </w:tc>
        <w:tc>
          <w:tcPr>
            <w:tcW w:w="6794" w:type="dxa"/>
            <w:gridSpan w:val="9"/>
            <w:vAlign w:val="center"/>
          </w:tcPr>
          <w:p w14:paraId="277F0A6C" w14:textId="77777777" w:rsidR="005342D5" w:rsidRPr="0019790A" w:rsidRDefault="005342D5" w:rsidP="0068624E">
            <w:pPr>
              <w:numPr>
                <w:ilvl w:val="0"/>
                <w:numId w:val="158"/>
              </w:numPr>
              <w:tabs>
                <w:tab w:val="clear" w:pos="741"/>
                <w:tab w:val="num" w:pos="45"/>
                <w:tab w:val="left" w:pos="214"/>
                <w:tab w:val="left" w:pos="372"/>
              </w:tabs>
              <w:ind w:left="0" w:firstLine="0"/>
              <w:jc w:val="both"/>
              <w:rPr>
                <w:rFonts w:cs="Arial"/>
                <w:szCs w:val="22"/>
              </w:rPr>
            </w:pPr>
            <w:r w:rsidRPr="0019790A">
              <w:rPr>
                <w:rFonts w:cs="Arial"/>
                <w:szCs w:val="22"/>
              </w:rPr>
              <w:t>100% готовність і придатність майданчика для щоденної експлуатації.</w:t>
            </w:r>
          </w:p>
          <w:p w14:paraId="4FBFA155" w14:textId="77777777" w:rsidR="005342D5" w:rsidRPr="0019790A" w:rsidRDefault="005342D5" w:rsidP="0068624E">
            <w:pPr>
              <w:numPr>
                <w:ilvl w:val="0"/>
                <w:numId w:val="158"/>
              </w:numPr>
              <w:tabs>
                <w:tab w:val="clear" w:pos="741"/>
                <w:tab w:val="num" w:pos="45"/>
                <w:tab w:val="left" w:pos="214"/>
                <w:tab w:val="left" w:pos="372"/>
              </w:tabs>
              <w:ind w:left="0" w:firstLine="0"/>
              <w:jc w:val="both"/>
              <w:rPr>
                <w:rFonts w:cs="Arial"/>
                <w:szCs w:val="22"/>
              </w:rPr>
            </w:pPr>
            <w:r w:rsidRPr="0019790A">
              <w:rPr>
                <w:rFonts w:cs="Arial"/>
                <w:szCs w:val="22"/>
              </w:rPr>
              <w:t>Можливість одночасного використання 2–3 видів спорту.</w:t>
            </w:r>
          </w:p>
          <w:p w14:paraId="059D1A64" w14:textId="77777777" w:rsidR="005342D5" w:rsidRPr="0019790A" w:rsidRDefault="005342D5" w:rsidP="0068624E">
            <w:pPr>
              <w:numPr>
                <w:ilvl w:val="0"/>
                <w:numId w:val="158"/>
              </w:numPr>
              <w:tabs>
                <w:tab w:val="clear" w:pos="741"/>
                <w:tab w:val="num" w:pos="45"/>
                <w:tab w:val="left" w:pos="214"/>
                <w:tab w:val="left" w:pos="372"/>
              </w:tabs>
              <w:ind w:left="0" w:firstLine="0"/>
              <w:jc w:val="both"/>
              <w:rPr>
                <w:rFonts w:cs="Arial"/>
                <w:szCs w:val="22"/>
              </w:rPr>
            </w:pPr>
            <w:r w:rsidRPr="0019790A">
              <w:rPr>
                <w:rFonts w:cs="Arial"/>
                <w:szCs w:val="22"/>
              </w:rPr>
              <w:t>Щомісячне використання майданчика не менше ніж 300 особами.</w:t>
            </w:r>
          </w:p>
          <w:p w14:paraId="770A2001" w14:textId="77777777" w:rsidR="005342D5" w:rsidRPr="0019790A" w:rsidRDefault="005342D5" w:rsidP="0068624E">
            <w:pPr>
              <w:numPr>
                <w:ilvl w:val="0"/>
                <w:numId w:val="158"/>
              </w:numPr>
              <w:tabs>
                <w:tab w:val="clear" w:pos="741"/>
                <w:tab w:val="num" w:pos="45"/>
                <w:tab w:val="left" w:pos="214"/>
                <w:tab w:val="left" w:pos="372"/>
              </w:tabs>
              <w:ind w:left="0" w:firstLine="0"/>
              <w:jc w:val="both"/>
              <w:rPr>
                <w:rFonts w:cs="Arial"/>
                <w:szCs w:val="22"/>
              </w:rPr>
            </w:pPr>
            <w:r w:rsidRPr="0019790A">
              <w:rPr>
                <w:rFonts w:cs="Arial"/>
                <w:szCs w:val="22"/>
              </w:rPr>
              <w:t>Проведення щонайменше 10 спортивних заходів на рік.</w:t>
            </w:r>
          </w:p>
          <w:p w14:paraId="5A7AB09C" w14:textId="77777777" w:rsidR="005342D5" w:rsidRPr="0019790A" w:rsidRDefault="005342D5" w:rsidP="0068624E">
            <w:pPr>
              <w:numPr>
                <w:ilvl w:val="0"/>
                <w:numId w:val="158"/>
              </w:numPr>
              <w:tabs>
                <w:tab w:val="clear" w:pos="741"/>
                <w:tab w:val="num" w:pos="45"/>
                <w:tab w:val="left" w:pos="214"/>
                <w:tab w:val="left" w:pos="372"/>
              </w:tabs>
              <w:ind w:left="0" w:firstLine="0"/>
              <w:jc w:val="both"/>
              <w:rPr>
                <w:rFonts w:cs="Arial"/>
                <w:szCs w:val="22"/>
              </w:rPr>
            </w:pPr>
            <w:r w:rsidRPr="0019790A">
              <w:rPr>
                <w:rFonts w:cs="Arial"/>
                <w:szCs w:val="22"/>
              </w:rPr>
              <w:t>Позитивні відгуки користувачів (не менше 90% задоволеності умовами).</w:t>
            </w:r>
          </w:p>
        </w:tc>
      </w:tr>
      <w:tr w:rsidR="005342D5" w:rsidRPr="0019790A" w14:paraId="0796E35F" w14:textId="77777777" w:rsidTr="00CF3AAE">
        <w:trPr>
          <w:jc w:val="right"/>
        </w:trPr>
        <w:tc>
          <w:tcPr>
            <w:tcW w:w="3425" w:type="dxa"/>
            <w:shd w:val="clear" w:color="auto" w:fill="FFFFFF"/>
            <w:vAlign w:val="center"/>
          </w:tcPr>
          <w:p w14:paraId="49710F80" w14:textId="77777777" w:rsidR="005342D5" w:rsidRPr="0019790A" w:rsidRDefault="005342D5" w:rsidP="0019790A">
            <w:pPr>
              <w:rPr>
                <w:rFonts w:cs="Arial"/>
                <w:b/>
                <w:szCs w:val="22"/>
              </w:rPr>
            </w:pPr>
            <w:r w:rsidRPr="0019790A">
              <w:rPr>
                <w:rFonts w:cs="Arial"/>
                <w:b/>
                <w:szCs w:val="22"/>
              </w:rPr>
              <w:t xml:space="preserve">Період здійснення: </w:t>
            </w:r>
          </w:p>
        </w:tc>
        <w:tc>
          <w:tcPr>
            <w:tcW w:w="6794" w:type="dxa"/>
            <w:gridSpan w:val="9"/>
            <w:vAlign w:val="center"/>
          </w:tcPr>
          <w:p w14:paraId="116C6CCE" w14:textId="77777777" w:rsidR="005342D5" w:rsidRPr="0019790A" w:rsidRDefault="005342D5" w:rsidP="0019790A">
            <w:pPr>
              <w:rPr>
                <w:rFonts w:cs="Arial"/>
                <w:szCs w:val="22"/>
              </w:rPr>
            </w:pPr>
            <w:r w:rsidRPr="0019790A">
              <w:rPr>
                <w:rFonts w:cs="Arial"/>
                <w:b/>
                <w:szCs w:val="22"/>
              </w:rPr>
              <w:t>2025 – 2028 роки:</w:t>
            </w:r>
          </w:p>
        </w:tc>
      </w:tr>
      <w:tr w:rsidR="005342D5" w:rsidRPr="0019790A" w14:paraId="5F2E995C" w14:textId="77777777" w:rsidTr="0068624E">
        <w:trPr>
          <w:jc w:val="right"/>
        </w:trPr>
        <w:tc>
          <w:tcPr>
            <w:tcW w:w="3425" w:type="dxa"/>
            <w:vMerge w:val="restart"/>
            <w:shd w:val="clear" w:color="auto" w:fill="FFFFFF"/>
            <w:vAlign w:val="center"/>
          </w:tcPr>
          <w:p w14:paraId="429D6065" w14:textId="77777777" w:rsidR="005342D5" w:rsidRPr="0019790A" w:rsidRDefault="005342D5" w:rsidP="0019790A">
            <w:pPr>
              <w:rPr>
                <w:rFonts w:cs="Arial"/>
                <w:b/>
                <w:bCs/>
                <w:szCs w:val="22"/>
              </w:rPr>
            </w:pPr>
            <w:r w:rsidRPr="0019790A">
              <w:rPr>
                <w:rFonts w:cs="Arial"/>
                <w:b/>
                <w:bCs/>
                <w:szCs w:val="22"/>
              </w:rPr>
              <w:t>Орієнтовна вартість проєкту, тис. грн., в тому числі:</w:t>
            </w:r>
          </w:p>
        </w:tc>
        <w:tc>
          <w:tcPr>
            <w:tcW w:w="1254" w:type="dxa"/>
            <w:gridSpan w:val="2"/>
            <w:shd w:val="clear" w:color="auto" w:fill="E6E6E6"/>
            <w:vAlign w:val="center"/>
          </w:tcPr>
          <w:p w14:paraId="2A87D4F7" w14:textId="77777777" w:rsidR="005342D5" w:rsidRPr="0019790A" w:rsidRDefault="005342D5" w:rsidP="0068624E">
            <w:pPr>
              <w:jc w:val="center"/>
              <w:rPr>
                <w:rFonts w:cs="Arial"/>
                <w:b/>
                <w:szCs w:val="22"/>
              </w:rPr>
            </w:pPr>
            <w:r w:rsidRPr="0019790A">
              <w:rPr>
                <w:rFonts w:cs="Arial"/>
                <w:b/>
                <w:szCs w:val="22"/>
              </w:rPr>
              <w:t>2025</w:t>
            </w:r>
          </w:p>
        </w:tc>
        <w:tc>
          <w:tcPr>
            <w:tcW w:w="1275" w:type="dxa"/>
            <w:gridSpan w:val="2"/>
            <w:shd w:val="clear" w:color="auto" w:fill="E6E6E6"/>
            <w:vAlign w:val="center"/>
          </w:tcPr>
          <w:p w14:paraId="3801CC24" w14:textId="77777777" w:rsidR="005342D5" w:rsidRPr="0019790A" w:rsidRDefault="005342D5" w:rsidP="0068624E">
            <w:pPr>
              <w:jc w:val="center"/>
              <w:rPr>
                <w:rFonts w:cs="Arial"/>
                <w:b/>
                <w:szCs w:val="22"/>
              </w:rPr>
            </w:pPr>
            <w:r w:rsidRPr="0019790A">
              <w:rPr>
                <w:rFonts w:cs="Arial"/>
                <w:b/>
                <w:szCs w:val="22"/>
              </w:rPr>
              <w:t>2026</w:t>
            </w:r>
          </w:p>
        </w:tc>
        <w:tc>
          <w:tcPr>
            <w:tcW w:w="1418" w:type="dxa"/>
            <w:tcBorders>
              <w:bottom w:val="single" w:sz="4" w:space="0" w:color="auto"/>
            </w:tcBorders>
            <w:shd w:val="clear" w:color="auto" w:fill="E6E6E6"/>
            <w:vAlign w:val="center"/>
          </w:tcPr>
          <w:p w14:paraId="380154B3" w14:textId="77777777" w:rsidR="005342D5" w:rsidRPr="0019790A" w:rsidRDefault="005342D5" w:rsidP="0068624E">
            <w:pPr>
              <w:jc w:val="center"/>
              <w:rPr>
                <w:rFonts w:cs="Arial"/>
                <w:b/>
                <w:szCs w:val="22"/>
              </w:rPr>
            </w:pPr>
            <w:r w:rsidRPr="0019790A">
              <w:rPr>
                <w:rFonts w:cs="Arial"/>
                <w:b/>
                <w:szCs w:val="22"/>
              </w:rPr>
              <w:t>2027</w:t>
            </w:r>
          </w:p>
        </w:tc>
        <w:tc>
          <w:tcPr>
            <w:tcW w:w="1276" w:type="dxa"/>
            <w:gridSpan w:val="2"/>
            <w:shd w:val="clear" w:color="auto" w:fill="E6E6E6"/>
            <w:vAlign w:val="center"/>
          </w:tcPr>
          <w:p w14:paraId="261B25C7" w14:textId="77777777" w:rsidR="005342D5" w:rsidRPr="0019790A" w:rsidRDefault="005342D5" w:rsidP="0068624E">
            <w:pPr>
              <w:jc w:val="center"/>
              <w:rPr>
                <w:rFonts w:cs="Arial"/>
                <w:b/>
                <w:szCs w:val="22"/>
              </w:rPr>
            </w:pPr>
            <w:r w:rsidRPr="0019790A">
              <w:rPr>
                <w:rFonts w:cs="Arial"/>
                <w:b/>
                <w:szCs w:val="22"/>
              </w:rPr>
              <w:t>2028</w:t>
            </w:r>
          </w:p>
        </w:tc>
        <w:tc>
          <w:tcPr>
            <w:tcW w:w="1571" w:type="dxa"/>
            <w:gridSpan w:val="2"/>
            <w:shd w:val="clear" w:color="auto" w:fill="E6E6E6"/>
            <w:vAlign w:val="center"/>
          </w:tcPr>
          <w:p w14:paraId="7A851975" w14:textId="77777777" w:rsidR="005342D5" w:rsidRPr="0019790A" w:rsidRDefault="005342D5" w:rsidP="0068624E">
            <w:pPr>
              <w:jc w:val="center"/>
              <w:rPr>
                <w:rFonts w:cs="Arial"/>
                <w:b/>
                <w:szCs w:val="22"/>
              </w:rPr>
            </w:pPr>
            <w:r w:rsidRPr="0019790A">
              <w:rPr>
                <w:rFonts w:cs="Arial"/>
                <w:b/>
                <w:szCs w:val="22"/>
              </w:rPr>
              <w:t>РАЗОМ</w:t>
            </w:r>
          </w:p>
        </w:tc>
      </w:tr>
      <w:tr w:rsidR="005342D5" w:rsidRPr="0019790A" w14:paraId="5C758ADE" w14:textId="77777777" w:rsidTr="0068624E">
        <w:trPr>
          <w:jc w:val="right"/>
        </w:trPr>
        <w:tc>
          <w:tcPr>
            <w:tcW w:w="3425" w:type="dxa"/>
            <w:vMerge/>
            <w:shd w:val="clear" w:color="auto" w:fill="FFFFFF"/>
            <w:vAlign w:val="center"/>
          </w:tcPr>
          <w:p w14:paraId="19BE4201" w14:textId="77777777" w:rsidR="005342D5" w:rsidRPr="0019790A" w:rsidRDefault="005342D5" w:rsidP="0019790A">
            <w:pPr>
              <w:rPr>
                <w:rFonts w:cs="Arial"/>
                <w:b/>
                <w:bCs/>
                <w:szCs w:val="22"/>
              </w:rPr>
            </w:pPr>
          </w:p>
        </w:tc>
        <w:tc>
          <w:tcPr>
            <w:tcW w:w="1254" w:type="dxa"/>
            <w:gridSpan w:val="2"/>
            <w:vAlign w:val="center"/>
          </w:tcPr>
          <w:p w14:paraId="32F6E333" w14:textId="77777777" w:rsidR="005342D5" w:rsidRPr="0019790A" w:rsidRDefault="005342D5" w:rsidP="0068624E">
            <w:pPr>
              <w:jc w:val="center"/>
              <w:rPr>
                <w:rFonts w:cs="Arial"/>
                <w:b/>
                <w:szCs w:val="22"/>
              </w:rPr>
            </w:pPr>
          </w:p>
        </w:tc>
        <w:tc>
          <w:tcPr>
            <w:tcW w:w="1275" w:type="dxa"/>
            <w:gridSpan w:val="2"/>
            <w:shd w:val="clear" w:color="auto" w:fill="FFFFFF"/>
            <w:vAlign w:val="center"/>
          </w:tcPr>
          <w:p w14:paraId="4476F644" w14:textId="77777777" w:rsidR="005342D5" w:rsidRPr="0019790A" w:rsidRDefault="005342D5" w:rsidP="0068624E">
            <w:pPr>
              <w:jc w:val="center"/>
              <w:rPr>
                <w:rFonts w:cs="Arial"/>
                <w:b/>
                <w:szCs w:val="22"/>
              </w:rPr>
            </w:pPr>
          </w:p>
        </w:tc>
        <w:tc>
          <w:tcPr>
            <w:tcW w:w="1418" w:type="dxa"/>
            <w:shd w:val="clear" w:color="auto" w:fill="auto"/>
            <w:vAlign w:val="center"/>
          </w:tcPr>
          <w:p w14:paraId="22D26745" w14:textId="3A15E867" w:rsidR="005342D5" w:rsidRPr="0019790A" w:rsidRDefault="005342D5" w:rsidP="0068624E">
            <w:pPr>
              <w:jc w:val="center"/>
              <w:rPr>
                <w:rFonts w:cs="Arial"/>
                <w:b/>
                <w:szCs w:val="22"/>
              </w:rPr>
            </w:pPr>
            <w:r w:rsidRPr="0019790A">
              <w:rPr>
                <w:rFonts w:cs="Arial"/>
                <w:b/>
                <w:szCs w:val="22"/>
              </w:rPr>
              <w:t>5500,0</w:t>
            </w:r>
          </w:p>
        </w:tc>
        <w:tc>
          <w:tcPr>
            <w:tcW w:w="1276" w:type="dxa"/>
            <w:gridSpan w:val="2"/>
            <w:shd w:val="clear" w:color="auto" w:fill="FFFFFF"/>
            <w:vAlign w:val="center"/>
          </w:tcPr>
          <w:p w14:paraId="7CD0905D" w14:textId="77777777" w:rsidR="005342D5" w:rsidRPr="0019790A" w:rsidRDefault="005342D5" w:rsidP="0068624E">
            <w:pPr>
              <w:jc w:val="center"/>
              <w:rPr>
                <w:rFonts w:cs="Arial"/>
                <w:b/>
                <w:szCs w:val="22"/>
              </w:rPr>
            </w:pPr>
          </w:p>
        </w:tc>
        <w:tc>
          <w:tcPr>
            <w:tcW w:w="1571" w:type="dxa"/>
            <w:gridSpan w:val="2"/>
            <w:shd w:val="clear" w:color="auto" w:fill="FFFFFF"/>
            <w:vAlign w:val="center"/>
          </w:tcPr>
          <w:p w14:paraId="683F38DE" w14:textId="77777777" w:rsidR="005342D5" w:rsidRPr="0019790A" w:rsidRDefault="005342D5" w:rsidP="0068624E">
            <w:pPr>
              <w:jc w:val="center"/>
              <w:rPr>
                <w:rFonts w:cs="Arial"/>
                <w:b/>
                <w:szCs w:val="22"/>
              </w:rPr>
            </w:pPr>
            <w:r w:rsidRPr="0019790A">
              <w:rPr>
                <w:rFonts w:cs="Arial"/>
                <w:b/>
                <w:szCs w:val="22"/>
              </w:rPr>
              <w:t>5500,0</w:t>
            </w:r>
          </w:p>
        </w:tc>
      </w:tr>
      <w:tr w:rsidR="005342D5" w:rsidRPr="0019790A" w14:paraId="6F266B31" w14:textId="77777777" w:rsidTr="0068624E">
        <w:trPr>
          <w:trHeight w:val="276"/>
          <w:jc w:val="right"/>
        </w:trPr>
        <w:tc>
          <w:tcPr>
            <w:tcW w:w="3425" w:type="dxa"/>
            <w:shd w:val="clear" w:color="auto" w:fill="FFFFFF"/>
            <w:vAlign w:val="center"/>
          </w:tcPr>
          <w:p w14:paraId="245D47E8" w14:textId="77777777" w:rsidR="005342D5" w:rsidRPr="0019790A" w:rsidRDefault="005342D5" w:rsidP="0019790A">
            <w:pPr>
              <w:rPr>
                <w:rFonts w:cs="Arial"/>
                <w:b/>
                <w:bCs/>
                <w:szCs w:val="22"/>
              </w:rPr>
            </w:pPr>
            <w:r w:rsidRPr="0019790A">
              <w:rPr>
                <w:rFonts w:cs="Arial"/>
                <w:b/>
                <w:bCs/>
                <w:szCs w:val="22"/>
              </w:rPr>
              <w:t>по джерелах фінансування:</w:t>
            </w:r>
          </w:p>
        </w:tc>
        <w:tc>
          <w:tcPr>
            <w:tcW w:w="6794" w:type="dxa"/>
            <w:gridSpan w:val="9"/>
            <w:vAlign w:val="center"/>
          </w:tcPr>
          <w:p w14:paraId="299C6048" w14:textId="77777777" w:rsidR="005342D5" w:rsidRPr="0019790A" w:rsidRDefault="005342D5" w:rsidP="0068624E">
            <w:pPr>
              <w:jc w:val="center"/>
              <w:rPr>
                <w:rFonts w:cs="Arial"/>
                <w:szCs w:val="22"/>
              </w:rPr>
            </w:pPr>
          </w:p>
        </w:tc>
      </w:tr>
      <w:tr w:rsidR="0068624E" w:rsidRPr="0019790A" w14:paraId="14913457" w14:textId="601169D5" w:rsidTr="0068624E">
        <w:trPr>
          <w:trHeight w:val="240"/>
          <w:jc w:val="right"/>
        </w:trPr>
        <w:tc>
          <w:tcPr>
            <w:tcW w:w="3425" w:type="dxa"/>
            <w:shd w:val="clear" w:color="auto" w:fill="FFFFFF"/>
            <w:vAlign w:val="center"/>
          </w:tcPr>
          <w:p w14:paraId="2FEB2A1E" w14:textId="77777777" w:rsidR="0068624E" w:rsidRPr="0019790A" w:rsidRDefault="0068624E" w:rsidP="0019790A">
            <w:pPr>
              <w:rPr>
                <w:rFonts w:cs="Arial"/>
                <w:b/>
                <w:bCs/>
                <w:szCs w:val="22"/>
              </w:rPr>
            </w:pPr>
            <w:r w:rsidRPr="0019790A">
              <w:rPr>
                <w:rFonts w:cs="Arial"/>
                <w:szCs w:val="22"/>
              </w:rPr>
              <w:t>- державний бюджет</w:t>
            </w:r>
          </w:p>
        </w:tc>
        <w:tc>
          <w:tcPr>
            <w:tcW w:w="1240" w:type="dxa"/>
            <w:vAlign w:val="center"/>
          </w:tcPr>
          <w:p w14:paraId="6BBB895A" w14:textId="77777777" w:rsidR="0068624E" w:rsidRPr="0019790A" w:rsidRDefault="0068624E" w:rsidP="0068624E">
            <w:pPr>
              <w:jc w:val="center"/>
              <w:rPr>
                <w:rFonts w:cs="Arial"/>
                <w:szCs w:val="22"/>
              </w:rPr>
            </w:pPr>
          </w:p>
        </w:tc>
        <w:tc>
          <w:tcPr>
            <w:tcW w:w="1277" w:type="dxa"/>
            <w:gridSpan w:val="2"/>
            <w:vAlign w:val="center"/>
          </w:tcPr>
          <w:p w14:paraId="417B5CC5" w14:textId="77777777" w:rsidR="0068624E" w:rsidRPr="0019790A" w:rsidRDefault="0068624E" w:rsidP="0068624E">
            <w:pPr>
              <w:jc w:val="center"/>
              <w:rPr>
                <w:rFonts w:cs="Arial"/>
                <w:szCs w:val="22"/>
              </w:rPr>
            </w:pPr>
          </w:p>
        </w:tc>
        <w:tc>
          <w:tcPr>
            <w:tcW w:w="1440" w:type="dxa"/>
            <w:gridSpan w:val="3"/>
            <w:vAlign w:val="center"/>
          </w:tcPr>
          <w:p w14:paraId="29E5395E" w14:textId="77777777" w:rsidR="0068624E" w:rsidRPr="0019790A" w:rsidRDefault="0068624E" w:rsidP="0068624E">
            <w:pPr>
              <w:jc w:val="center"/>
              <w:rPr>
                <w:rFonts w:cs="Arial"/>
                <w:szCs w:val="22"/>
              </w:rPr>
            </w:pPr>
          </w:p>
        </w:tc>
        <w:tc>
          <w:tcPr>
            <w:tcW w:w="1290" w:type="dxa"/>
            <w:gridSpan w:val="2"/>
            <w:vAlign w:val="center"/>
          </w:tcPr>
          <w:p w14:paraId="1325FB76" w14:textId="77777777" w:rsidR="0068624E" w:rsidRPr="0019790A" w:rsidRDefault="0068624E" w:rsidP="0068624E">
            <w:pPr>
              <w:jc w:val="center"/>
              <w:rPr>
                <w:rFonts w:cs="Arial"/>
                <w:szCs w:val="22"/>
              </w:rPr>
            </w:pPr>
          </w:p>
        </w:tc>
        <w:tc>
          <w:tcPr>
            <w:tcW w:w="1547" w:type="dxa"/>
            <w:vAlign w:val="center"/>
          </w:tcPr>
          <w:p w14:paraId="1715EDF8" w14:textId="77777777" w:rsidR="0068624E" w:rsidRPr="0019790A" w:rsidRDefault="0068624E" w:rsidP="0068624E">
            <w:pPr>
              <w:jc w:val="center"/>
              <w:rPr>
                <w:rFonts w:cs="Arial"/>
                <w:szCs w:val="22"/>
              </w:rPr>
            </w:pPr>
          </w:p>
        </w:tc>
      </w:tr>
      <w:tr w:rsidR="0068624E" w:rsidRPr="0019790A" w14:paraId="58A9542C" w14:textId="1C26E7C2" w:rsidTr="0068624E">
        <w:trPr>
          <w:trHeight w:val="254"/>
          <w:jc w:val="right"/>
        </w:trPr>
        <w:tc>
          <w:tcPr>
            <w:tcW w:w="3425" w:type="dxa"/>
            <w:shd w:val="clear" w:color="auto" w:fill="FFFFFF"/>
            <w:vAlign w:val="center"/>
          </w:tcPr>
          <w:p w14:paraId="21919DC9" w14:textId="77777777" w:rsidR="0068624E" w:rsidRPr="0019790A" w:rsidRDefault="0068624E" w:rsidP="0019790A">
            <w:pPr>
              <w:rPr>
                <w:rFonts w:cs="Arial"/>
                <w:szCs w:val="22"/>
              </w:rPr>
            </w:pPr>
            <w:r w:rsidRPr="0019790A">
              <w:rPr>
                <w:rFonts w:cs="Arial"/>
                <w:szCs w:val="22"/>
              </w:rPr>
              <w:t>- обласний бюджет</w:t>
            </w:r>
          </w:p>
        </w:tc>
        <w:tc>
          <w:tcPr>
            <w:tcW w:w="1240" w:type="dxa"/>
            <w:vAlign w:val="center"/>
          </w:tcPr>
          <w:p w14:paraId="6A5EF9FD" w14:textId="77777777" w:rsidR="0068624E" w:rsidRPr="0068624E" w:rsidRDefault="0068624E" w:rsidP="0068624E">
            <w:pPr>
              <w:jc w:val="center"/>
              <w:rPr>
                <w:rFonts w:cs="Arial"/>
                <w:szCs w:val="22"/>
              </w:rPr>
            </w:pPr>
          </w:p>
        </w:tc>
        <w:tc>
          <w:tcPr>
            <w:tcW w:w="1277" w:type="dxa"/>
            <w:gridSpan w:val="2"/>
            <w:vAlign w:val="center"/>
          </w:tcPr>
          <w:p w14:paraId="5FE295C3" w14:textId="77777777" w:rsidR="0068624E" w:rsidRPr="0068624E" w:rsidRDefault="0068624E" w:rsidP="0068624E">
            <w:pPr>
              <w:jc w:val="center"/>
              <w:rPr>
                <w:rFonts w:cs="Arial"/>
                <w:szCs w:val="22"/>
              </w:rPr>
            </w:pPr>
          </w:p>
        </w:tc>
        <w:tc>
          <w:tcPr>
            <w:tcW w:w="1440" w:type="dxa"/>
            <w:gridSpan w:val="3"/>
            <w:vAlign w:val="center"/>
          </w:tcPr>
          <w:p w14:paraId="4EA44B32" w14:textId="77777777" w:rsidR="0068624E" w:rsidRPr="0068624E" w:rsidRDefault="0068624E" w:rsidP="0068624E">
            <w:pPr>
              <w:jc w:val="center"/>
              <w:rPr>
                <w:rFonts w:cs="Arial"/>
                <w:szCs w:val="22"/>
              </w:rPr>
            </w:pPr>
          </w:p>
        </w:tc>
        <w:tc>
          <w:tcPr>
            <w:tcW w:w="1290" w:type="dxa"/>
            <w:gridSpan w:val="2"/>
            <w:vAlign w:val="center"/>
          </w:tcPr>
          <w:p w14:paraId="1FB1F909" w14:textId="77777777" w:rsidR="0068624E" w:rsidRPr="0068624E" w:rsidRDefault="0068624E" w:rsidP="0068624E">
            <w:pPr>
              <w:jc w:val="center"/>
              <w:rPr>
                <w:rFonts w:cs="Arial"/>
                <w:szCs w:val="22"/>
              </w:rPr>
            </w:pPr>
          </w:p>
        </w:tc>
        <w:tc>
          <w:tcPr>
            <w:tcW w:w="1547" w:type="dxa"/>
            <w:vAlign w:val="center"/>
          </w:tcPr>
          <w:p w14:paraId="1B95C7E2" w14:textId="77777777" w:rsidR="0068624E" w:rsidRPr="0068624E" w:rsidRDefault="0068624E" w:rsidP="0068624E">
            <w:pPr>
              <w:jc w:val="center"/>
              <w:rPr>
                <w:rFonts w:cs="Arial"/>
                <w:szCs w:val="22"/>
              </w:rPr>
            </w:pPr>
          </w:p>
        </w:tc>
      </w:tr>
      <w:tr w:rsidR="0068624E" w:rsidRPr="0019790A" w14:paraId="432C01A3" w14:textId="6FB35FBA" w:rsidTr="0068624E">
        <w:trPr>
          <w:trHeight w:val="275"/>
          <w:jc w:val="right"/>
        </w:trPr>
        <w:tc>
          <w:tcPr>
            <w:tcW w:w="3425" w:type="dxa"/>
            <w:shd w:val="clear" w:color="auto" w:fill="FFFFFF"/>
            <w:vAlign w:val="center"/>
          </w:tcPr>
          <w:p w14:paraId="730F0016" w14:textId="77777777" w:rsidR="0068624E" w:rsidRPr="0019790A" w:rsidRDefault="0068624E" w:rsidP="0068624E">
            <w:pPr>
              <w:rPr>
                <w:rFonts w:cs="Arial"/>
                <w:szCs w:val="22"/>
              </w:rPr>
            </w:pPr>
            <w:r w:rsidRPr="0019790A">
              <w:rPr>
                <w:rFonts w:cs="Arial"/>
                <w:szCs w:val="22"/>
              </w:rPr>
              <w:t>- бюджет Жмеринської МТГ</w:t>
            </w:r>
          </w:p>
        </w:tc>
        <w:tc>
          <w:tcPr>
            <w:tcW w:w="1240" w:type="dxa"/>
            <w:vAlign w:val="center"/>
          </w:tcPr>
          <w:p w14:paraId="21833F9C" w14:textId="3BC336DF" w:rsidR="0068624E" w:rsidRPr="0068624E" w:rsidRDefault="0068624E" w:rsidP="0068624E">
            <w:pPr>
              <w:jc w:val="center"/>
              <w:rPr>
                <w:rFonts w:cs="Arial"/>
                <w:szCs w:val="22"/>
              </w:rPr>
            </w:pPr>
          </w:p>
        </w:tc>
        <w:tc>
          <w:tcPr>
            <w:tcW w:w="1277" w:type="dxa"/>
            <w:gridSpan w:val="2"/>
            <w:vAlign w:val="center"/>
          </w:tcPr>
          <w:p w14:paraId="0DBC773D" w14:textId="77777777" w:rsidR="0068624E" w:rsidRPr="0068624E" w:rsidRDefault="0068624E" w:rsidP="0068624E">
            <w:pPr>
              <w:jc w:val="center"/>
              <w:rPr>
                <w:rFonts w:cs="Arial"/>
                <w:szCs w:val="22"/>
              </w:rPr>
            </w:pPr>
          </w:p>
        </w:tc>
        <w:tc>
          <w:tcPr>
            <w:tcW w:w="1440" w:type="dxa"/>
            <w:gridSpan w:val="3"/>
            <w:vAlign w:val="center"/>
          </w:tcPr>
          <w:p w14:paraId="4BF26F3A" w14:textId="354F04A2" w:rsidR="0068624E" w:rsidRPr="0068624E" w:rsidRDefault="0068624E" w:rsidP="0068624E">
            <w:pPr>
              <w:jc w:val="center"/>
              <w:rPr>
                <w:rFonts w:cs="Arial"/>
                <w:szCs w:val="22"/>
              </w:rPr>
            </w:pPr>
            <w:r w:rsidRPr="0068624E">
              <w:rPr>
                <w:rFonts w:cs="Arial"/>
                <w:szCs w:val="22"/>
              </w:rPr>
              <w:t>5500,0</w:t>
            </w:r>
          </w:p>
        </w:tc>
        <w:tc>
          <w:tcPr>
            <w:tcW w:w="1290" w:type="dxa"/>
            <w:gridSpan w:val="2"/>
            <w:vAlign w:val="center"/>
          </w:tcPr>
          <w:p w14:paraId="2214D5FB" w14:textId="77777777" w:rsidR="0068624E" w:rsidRPr="0068624E" w:rsidRDefault="0068624E" w:rsidP="0068624E">
            <w:pPr>
              <w:jc w:val="center"/>
              <w:rPr>
                <w:rFonts w:cs="Arial"/>
                <w:szCs w:val="22"/>
              </w:rPr>
            </w:pPr>
          </w:p>
        </w:tc>
        <w:tc>
          <w:tcPr>
            <w:tcW w:w="1547" w:type="dxa"/>
            <w:vAlign w:val="center"/>
          </w:tcPr>
          <w:p w14:paraId="4F6C52D0" w14:textId="337196A4" w:rsidR="0068624E" w:rsidRPr="0068624E" w:rsidRDefault="0068624E" w:rsidP="0068624E">
            <w:pPr>
              <w:jc w:val="center"/>
              <w:rPr>
                <w:rFonts w:cs="Arial"/>
                <w:szCs w:val="22"/>
              </w:rPr>
            </w:pPr>
            <w:r w:rsidRPr="0068624E">
              <w:rPr>
                <w:rFonts w:cs="Arial"/>
                <w:szCs w:val="22"/>
              </w:rPr>
              <w:t>5500,0</w:t>
            </w:r>
          </w:p>
        </w:tc>
      </w:tr>
      <w:tr w:rsidR="0068624E" w:rsidRPr="0019790A" w14:paraId="492C9BBB" w14:textId="63C81B7C" w:rsidTr="0068624E">
        <w:trPr>
          <w:trHeight w:val="226"/>
          <w:jc w:val="right"/>
        </w:trPr>
        <w:tc>
          <w:tcPr>
            <w:tcW w:w="3425" w:type="dxa"/>
            <w:shd w:val="clear" w:color="auto" w:fill="FFFFFF"/>
            <w:vAlign w:val="center"/>
          </w:tcPr>
          <w:p w14:paraId="0A47AC60" w14:textId="77777777" w:rsidR="0068624E" w:rsidRPr="0019790A" w:rsidRDefault="0068624E" w:rsidP="0068624E">
            <w:pPr>
              <w:rPr>
                <w:rFonts w:cs="Arial"/>
                <w:szCs w:val="22"/>
              </w:rPr>
            </w:pPr>
            <w:r w:rsidRPr="0019790A">
              <w:rPr>
                <w:rFonts w:cs="Arial"/>
                <w:szCs w:val="22"/>
              </w:rPr>
              <w:t>- інші джерела фінансування</w:t>
            </w:r>
          </w:p>
        </w:tc>
        <w:tc>
          <w:tcPr>
            <w:tcW w:w="1240" w:type="dxa"/>
            <w:vAlign w:val="center"/>
          </w:tcPr>
          <w:p w14:paraId="7AAC9066" w14:textId="77777777" w:rsidR="0068624E" w:rsidRPr="0019790A" w:rsidRDefault="0068624E" w:rsidP="0068624E">
            <w:pPr>
              <w:rPr>
                <w:rFonts w:cs="Arial"/>
                <w:szCs w:val="22"/>
              </w:rPr>
            </w:pPr>
          </w:p>
        </w:tc>
        <w:tc>
          <w:tcPr>
            <w:tcW w:w="1277" w:type="dxa"/>
            <w:gridSpan w:val="2"/>
            <w:vAlign w:val="center"/>
          </w:tcPr>
          <w:p w14:paraId="3B2D1FF3" w14:textId="77777777" w:rsidR="0068624E" w:rsidRPr="0019790A" w:rsidRDefault="0068624E" w:rsidP="0068624E">
            <w:pPr>
              <w:rPr>
                <w:rFonts w:cs="Arial"/>
                <w:szCs w:val="22"/>
              </w:rPr>
            </w:pPr>
          </w:p>
        </w:tc>
        <w:tc>
          <w:tcPr>
            <w:tcW w:w="1440" w:type="dxa"/>
            <w:gridSpan w:val="3"/>
            <w:vAlign w:val="center"/>
          </w:tcPr>
          <w:p w14:paraId="6CC1CF76" w14:textId="77777777" w:rsidR="0068624E" w:rsidRPr="0019790A" w:rsidRDefault="0068624E" w:rsidP="0068624E">
            <w:pPr>
              <w:rPr>
                <w:rFonts w:cs="Arial"/>
                <w:szCs w:val="22"/>
              </w:rPr>
            </w:pPr>
          </w:p>
        </w:tc>
        <w:tc>
          <w:tcPr>
            <w:tcW w:w="1290" w:type="dxa"/>
            <w:gridSpan w:val="2"/>
            <w:vAlign w:val="center"/>
          </w:tcPr>
          <w:p w14:paraId="3388BE89" w14:textId="77777777" w:rsidR="0068624E" w:rsidRPr="0019790A" w:rsidRDefault="0068624E" w:rsidP="0068624E">
            <w:pPr>
              <w:rPr>
                <w:rFonts w:cs="Arial"/>
                <w:szCs w:val="22"/>
              </w:rPr>
            </w:pPr>
          </w:p>
        </w:tc>
        <w:tc>
          <w:tcPr>
            <w:tcW w:w="1547" w:type="dxa"/>
            <w:vAlign w:val="center"/>
          </w:tcPr>
          <w:p w14:paraId="0ED3550B" w14:textId="77777777" w:rsidR="0068624E" w:rsidRPr="0019790A" w:rsidRDefault="0068624E" w:rsidP="0068624E">
            <w:pPr>
              <w:rPr>
                <w:rFonts w:cs="Arial"/>
                <w:szCs w:val="22"/>
              </w:rPr>
            </w:pPr>
          </w:p>
        </w:tc>
      </w:tr>
      <w:tr w:rsidR="0068624E" w:rsidRPr="0019790A" w14:paraId="7E527642" w14:textId="77777777" w:rsidTr="00CF3AAE">
        <w:trPr>
          <w:jc w:val="right"/>
        </w:trPr>
        <w:tc>
          <w:tcPr>
            <w:tcW w:w="3425" w:type="dxa"/>
            <w:shd w:val="clear" w:color="auto" w:fill="FFFFFF"/>
            <w:vAlign w:val="center"/>
          </w:tcPr>
          <w:p w14:paraId="4F5F2661" w14:textId="77777777" w:rsidR="0068624E" w:rsidRPr="0019790A" w:rsidRDefault="0068624E" w:rsidP="0068624E">
            <w:pPr>
              <w:rPr>
                <w:rFonts w:cs="Arial"/>
                <w:b/>
                <w:bCs/>
                <w:szCs w:val="22"/>
              </w:rPr>
            </w:pPr>
            <w:r w:rsidRPr="0019790A">
              <w:rPr>
                <w:rFonts w:cs="Arial"/>
                <w:b/>
                <w:szCs w:val="22"/>
              </w:rPr>
              <w:t>Відповідальний виконавець проєкту:</w:t>
            </w:r>
          </w:p>
        </w:tc>
        <w:tc>
          <w:tcPr>
            <w:tcW w:w="6794" w:type="dxa"/>
            <w:gridSpan w:val="9"/>
            <w:vAlign w:val="center"/>
          </w:tcPr>
          <w:p w14:paraId="7DE96847" w14:textId="5153FAE0" w:rsidR="0068624E" w:rsidRPr="0019790A" w:rsidRDefault="0068624E" w:rsidP="0068624E">
            <w:pPr>
              <w:rPr>
                <w:rFonts w:cs="Arial"/>
                <w:szCs w:val="22"/>
              </w:rPr>
            </w:pPr>
            <w:r w:rsidRPr="0019790A">
              <w:rPr>
                <w:rFonts w:cs="Arial"/>
                <w:szCs w:val="22"/>
              </w:rPr>
              <w:t>Управління житлово-комунального господарства Жмеринської міської ради, КЗ «ЖДЮШ»</w:t>
            </w:r>
          </w:p>
        </w:tc>
      </w:tr>
      <w:tr w:rsidR="0068624E" w:rsidRPr="0019790A" w14:paraId="4CCBBE79" w14:textId="77777777" w:rsidTr="00CF3AAE">
        <w:trPr>
          <w:jc w:val="right"/>
        </w:trPr>
        <w:tc>
          <w:tcPr>
            <w:tcW w:w="3425" w:type="dxa"/>
            <w:shd w:val="clear" w:color="auto" w:fill="FFFFFF"/>
            <w:vAlign w:val="center"/>
          </w:tcPr>
          <w:p w14:paraId="3C8FB597" w14:textId="77777777" w:rsidR="0068624E" w:rsidRPr="0019790A" w:rsidRDefault="0068624E" w:rsidP="0068624E">
            <w:pPr>
              <w:rPr>
                <w:rFonts w:cs="Arial"/>
                <w:b/>
                <w:bCs/>
                <w:szCs w:val="22"/>
              </w:rPr>
            </w:pPr>
            <w:r w:rsidRPr="0019790A">
              <w:rPr>
                <w:rFonts w:cs="Arial"/>
                <w:b/>
                <w:bCs/>
                <w:szCs w:val="22"/>
              </w:rPr>
              <w:t>Інше:</w:t>
            </w:r>
          </w:p>
        </w:tc>
        <w:tc>
          <w:tcPr>
            <w:tcW w:w="6794" w:type="dxa"/>
            <w:gridSpan w:val="9"/>
            <w:vAlign w:val="center"/>
          </w:tcPr>
          <w:p w14:paraId="6D2F5B3A" w14:textId="77777777" w:rsidR="0068624E" w:rsidRPr="0019790A" w:rsidRDefault="0068624E" w:rsidP="0068624E">
            <w:pPr>
              <w:rPr>
                <w:rFonts w:cs="Arial"/>
                <w:szCs w:val="22"/>
              </w:rPr>
            </w:pPr>
          </w:p>
        </w:tc>
      </w:tr>
    </w:tbl>
    <w:p w14:paraId="3F571248" w14:textId="77777777" w:rsidR="005342D5" w:rsidRPr="0019790A" w:rsidRDefault="005342D5" w:rsidP="0019790A">
      <w:pPr>
        <w:ind w:firstLine="708"/>
        <w:rPr>
          <w:rFonts w:cs="Arial"/>
          <w:szCs w:val="22"/>
        </w:rPr>
      </w:pPr>
    </w:p>
    <w:p w14:paraId="0A652455" w14:textId="77777777" w:rsidR="005342D5" w:rsidRPr="0019790A" w:rsidRDefault="005342D5" w:rsidP="0019790A">
      <w:pPr>
        <w:ind w:firstLine="708"/>
        <w:rPr>
          <w:rFonts w:cs="Arial"/>
          <w:szCs w:val="22"/>
        </w:rPr>
      </w:pPr>
    </w:p>
    <w:p w14:paraId="5163DD43" w14:textId="77777777" w:rsidR="005342D5" w:rsidRPr="0019790A" w:rsidRDefault="005342D5" w:rsidP="0019790A">
      <w:pPr>
        <w:jc w:val="center"/>
        <w:rPr>
          <w:rFonts w:cs="Arial"/>
          <w:b/>
          <w:szCs w:val="22"/>
        </w:rPr>
      </w:pPr>
      <w:r w:rsidRPr="0019790A">
        <w:rPr>
          <w:rFonts w:cs="Arial"/>
          <w:b/>
          <w:szCs w:val="22"/>
        </w:rPr>
        <w:t>Форма технічного завдання на проєкт місцевого розвитку</w:t>
      </w:r>
    </w:p>
    <w:p w14:paraId="7F2C253C" w14:textId="77777777" w:rsidR="005342D5" w:rsidRPr="0019790A" w:rsidRDefault="005342D5" w:rsidP="0019790A">
      <w:pPr>
        <w:jc w:val="center"/>
        <w:rPr>
          <w:rFonts w:cs="Arial"/>
          <w:b/>
          <w:szCs w:val="22"/>
        </w:rPr>
      </w:pPr>
      <w:r w:rsidRPr="0019790A">
        <w:rPr>
          <w:rFonts w:cs="Arial"/>
          <w:b/>
          <w:szCs w:val="22"/>
        </w:rPr>
        <w:t>до Плану заходів з реалізації Стратегії</w:t>
      </w:r>
    </w:p>
    <w:p w14:paraId="5B9D5D17" w14:textId="77777777" w:rsidR="005342D5" w:rsidRPr="0019790A" w:rsidRDefault="005342D5"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3"/>
        <w:gridCol w:w="1254"/>
        <w:gridCol w:w="1275"/>
        <w:gridCol w:w="27"/>
        <w:gridCol w:w="1391"/>
        <w:gridCol w:w="36"/>
        <w:gridCol w:w="1240"/>
        <w:gridCol w:w="75"/>
        <w:gridCol w:w="1498"/>
      </w:tblGrid>
      <w:tr w:rsidR="005342D5" w:rsidRPr="0019790A" w14:paraId="735BDC81" w14:textId="77777777" w:rsidTr="0068624E">
        <w:trPr>
          <w:jc w:val="right"/>
        </w:trPr>
        <w:tc>
          <w:tcPr>
            <w:tcW w:w="3423" w:type="dxa"/>
            <w:vAlign w:val="center"/>
          </w:tcPr>
          <w:p w14:paraId="3F092395" w14:textId="77777777" w:rsidR="005342D5" w:rsidRPr="0019790A" w:rsidRDefault="005342D5" w:rsidP="0019790A">
            <w:pPr>
              <w:rPr>
                <w:rFonts w:cs="Arial"/>
                <w:b/>
                <w:bCs/>
                <w:szCs w:val="22"/>
              </w:rPr>
            </w:pPr>
            <w:r w:rsidRPr="0019790A">
              <w:rPr>
                <w:rFonts w:cs="Arial"/>
                <w:b/>
                <w:bCs/>
                <w:szCs w:val="22"/>
              </w:rPr>
              <w:t>Назва проєкту:</w:t>
            </w:r>
          </w:p>
        </w:tc>
        <w:tc>
          <w:tcPr>
            <w:tcW w:w="6796" w:type="dxa"/>
            <w:gridSpan w:val="8"/>
            <w:vAlign w:val="center"/>
          </w:tcPr>
          <w:p w14:paraId="07B98625" w14:textId="5099D02D" w:rsidR="005342D5" w:rsidRPr="0068624E" w:rsidRDefault="005342D5" w:rsidP="0068624E">
            <w:pPr>
              <w:tabs>
                <w:tab w:val="left" w:pos="327"/>
              </w:tabs>
              <w:jc w:val="both"/>
              <w:rPr>
                <w:rFonts w:cs="Arial"/>
                <w:b/>
                <w:szCs w:val="22"/>
              </w:rPr>
            </w:pPr>
            <w:r w:rsidRPr="0068624E">
              <w:rPr>
                <w:rFonts w:cs="Arial"/>
                <w:b/>
                <w:szCs w:val="22"/>
              </w:rPr>
              <w:t>Облаштування футбольних полів зі штучним покриттям на території старостинських округів Жмеринської міської територіальної громади</w:t>
            </w:r>
          </w:p>
        </w:tc>
      </w:tr>
      <w:tr w:rsidR="005342D5" w:rsidRPr="0019790A" w14:paraId="284173A3" w14:textId="77777777" w:rsidTr="0068624E">
        <w:trPr>
          <w:jc w:val="right"/>
        </w:trPr>
        <w:tc>
          <w:tcPr>
            <w:tcW w:w="3423" w:type="dxa"/>
          </w:tcPr>
          <w:p w14:paraId="2627415E" w14:textId="77777777" w:rsidR="005342D5" w:rsidRPr="0019790A" w:rsidRDefault="005342D5" w:rsidP="0019790A">
            <w:pPr>
              <w:rPr>
                <w:rFonts w:cs="Arial"/>
                <w:szCs w:val="22"/>
              </w:rPr>
            </w:pPr>
            <w:r w:rsidRPr="0019790A">
              <w:rPr>
                <w:rFonts w:cs="Arial"/>
                <w:b/>
                <w:bCs/>
                <w:szCs w:val="22"/>
              </w:rPr>
              <w:t>Ваші контакти</w:t>
            </w:r>
            <w:r w:rsidRPr="0019790A">
              <w:rPr>
                <w:rFonts w:cs="Arial"/>
                <w:szCs w:val="22"/>
              </w:rPr>
              <w:t>:</w:t>
            </w:r>
          </w:p>
          <w:p w14:paraId="4B037A68" w14:textId="77777777" w:rsidR="005342D5" w:rsidRPr="0019790A" w:rsidRDefault="005342D5" w:rsidP="0019790A">
            <w:pPr>
              <w:rPr>
                <w:rFonts w:cs="Arial"/>
                <w:b/>
                <w:bCs/>
                <w:szCs w:val="22"/>
              </w:rPr>
            </w:pPr>
            <w:r w:rsidRPr="0019790A">
              <w:rPr>
                <w:rFonts w:cs="Arial"/>
                <w:szCs w:val="22"/>
              </w:rPr>
              <w:t>Назва установи, організації, підприємства</w:t>
            </w:r>
          </w:p>
        </w:tc>
        <w:tc>
          <w:tcPr>
            <w:tcW w:w="6796" w:type="dxa"/>
            <w:gridSpan w:val="8"/>
            <w:vAlign w:val="center"/>
          </w:tcPr>
          <w:p w14:paraId="5F7BB7A7" w14:textId="77777777" w:rsidR="005342D5" w:rsidRPr="0019790A" w:rsidRDefault="005342D5" w:rsidP="0068624E">
            <w:pPr>
              <w:tabs>
                <w:tab w:val="left" w:pos="327"/>
              </w:tabs>
              <w:jc w:val="both"/>
              <w:rPr>
                <w:rFonts w:cs="Arial"/>
                <w:szCs w:val="22"/>
              </w:rPr>
            </w:pPr>
            <w:r w:rsidRPr="0019790A">
              <w:rPr>
                <w:rFonts w:cs="Arial"/>
                <w:szCs w:val="22"/>
              </w:rPr>
              <w:t>Відділ молоді та спорту Жмеринської міської ради</w:t>
            </w:r>
          </w:p>
        </w:tc>
      </w:tr>
      <w:tr w:rsidR="005342D5" w:rsidRPr="0019790A" w14:paraId="59147681" w14:textId="77777777" w:rsidTr="0068624E">
        <w:trPr>
          <w:jc w:val="right"/>
        </w:trPr>
        <w:tc>
          <w:tcPr>
            <w:tcW w:w="3423" w:type="dxa"/>
          </w:tcPr>
          <w:p w14:paraId="71FDF241" w14:textId="77777777" w:rsidR="005342D5" w:rsidRPr="0019790A" w:rsidRDefault="005342D5" w:rsidP="0019790A">
            <w:pPr>
              <w:rPr>
                <w:rFonts w:cs="Arial"/>
                <w:b/>
                <w:bCs/>
                <w:szCs w:val="22"/>
              </w:rPr>
            </w:pPr>
            <w:r w:rsidRPr="0019790A">
              <w:rPr>
                <w:rFonts w:cs="Arial"/>
                <w:szCs w:val="22"/>
              </w:rPr>
              <w:t>Прізвище Ім’я По-батькові:</w:t>
            </w:r>
          </w:p>
        </w:tc>
        <w:tc>
          <w:tcPr>
            <w:tcW w:w="6796" w:type="dxa"/>
            <w:gridSpan w:val="8"/>
            <w:vAlign w:val="center"/>
          </w:tcPr>
          <w:p w14:paraId="364390BD" w14:textId="77777777" w:rsidR="005342D5" w:rsidRPr="0019790A" w:rsidRDefault="005342D5" w:rsidP="0068624E">
            <w:pPr>
              <w:tabs>
                <w:tab w:val="left" w:pos="327"/>
              </w:tabs>
              <w:jc w:val="both"/>
              <w:rPr>
                <w:rFonts w:cs="Arial"/>
                <w:szCs w:val="22"/>
              </w:rPr>
            </w:pPr>
            <w:r w:rsidRPr="0019790A">
              <w:rPr>
                <w:rFonts w:cs="Arial"/>
                <w:szCs w:val="22"/>
              </w:rPr>
              <w:t>Ковальська Олена Віталіївна</w:t>
            </w:r>
          </w:p>
        </w:tc>
      </w:tr>
      <w:tr w:rsidR="005342D5" w:rsidRPr="0019790A" w14:paraId="2A7E99E2" w14:textId="77777777" w:rsidTr="0068624E">
        <w:trPr>
          <w:jc w:val="right"/>
        </w:trPr>
        <w:tc>
          <w:tcPr>
            <w:tcW w:w="3423" w:type="dxa"/>
          </w:tcPr>
          <w:p w14:paraId="01131686" w14:textId="77777777" w:rsidR="005342D5" w:rsidRPr="0019790A" w:rsidRDefault="005342D5" w:rsidP="0019790A">
            <w:pPr>
              <w:rPr>
                <w:rFonts w:cs="Arial"/>
                <w:b/>
                <w:bCs/>
                <w:szCs w:val="22"/>
              </w:rPr>
            </w:pPr>
            <w:r w:rsidRPr="0019790A">
              <w:rPr>
                <w:rFonts w:cs="Arial"/>
                <w:szCs w:val="22"/>
              </w:rPr>
              <w:t>Телефон (мобільний):</w:t>
            </w:r>
          </w:p>
        </w:tc>
        <w:tc>
          <w:tcPr>
            <w:tcW w:w="6796" w:type="dxa"/>
            <w:gridSpan w:val="8"/>
            <w:vAlign w:val="center"/>
          </w:tcPr>
          <w:p w14:paraId="5453B61F" w14:textId="77777777" w:rsidR="005342D5" w:rsidRPr="0019790A" w:rsidRDefault="005342D5" w:rsidP="0068624E">
            <w:pPr>
              <w:tabs>
                <w:tab w:val="left" w:pos="327"/>
              </w:tabs>
              <w:jc w:val="both"/>
              <w:rPr>
                <w:rFonts w:cs="Arial"/>
                <w:szCs w:val="22"/>
              </w:rPr>
            </w:pPr>
            <w:r w:rsidRPr="0019790A">
              <w:rPr>
                <w:rFonts w:cs="Arial"/>
                <w:szCs w:val="22"/>
              </w:rPr>
              <w:t>096-068-94-79</w:t>
            </w:r>
          </w:p>
        </w:tc>
      </w:tr>
      <w:tr w:rsidR="005342D5" w:rsidRPr="0019790A" w14:paraId="24146DAA" w14:textId="77777777" w:rsidTr="0068624E">
        <w:trPr>
          <w:jc w:val="right"/>
        </w:trPr>
        <w:tc>
          <w:tcPr>
            <w:tcW w:w="3423" w:type="dxa"/>
          </w:tcPr>
          <w:p w14:paraId="55E23124" w14:textId="77777777" w:rsidR="005342D5" w:rsidRPr="0019790A" w:rsidRDefault="005342D5" w:rsidP="0019790A">
            <w:pPr>
              <w:rPr>
                <w:rFonts w:cs="Arial"/>
                <w:b/>
                <w:bCs/>
                <w:szCs w:val="22"/>
              </w:rPr>
            </w:pPr>
            <w:r w:rsidRPr="0019790A">
              <w:rPr>
                <w:rFonts w:cs="Arial"/>
                <w:szCs w:val="22"/>
              </w:rPr>
              <w:t>Електронна адреса:</w:t>
            </w:r>
          </w:p>
        </w:tc>
        <w:tc>
          <w:tcPr>
            <w:tcW w:w="6796" w:type="dxa"/>
            <w:gridSpan w:val="8"/>
            <w:vAlign w:val="center"/>
          </w:tcPr>
          <w:p w14:paraId="61841B33" w14:textId="77777777" w:rsidR="005342D5" w:rsidRPr="0019790A" w:rsidRDefault="00D85FFD" w:rsidP="0068624E">
            <w:pPr>
              <w:tabs>
                <w:tab w:val="left" w:pos="327"/>
              </w:tabs>
              <w:jc w:val="both"/>
              <w:rPr>
                <w:rFonts w:cs="Arial"/>
                <w:szCs w:val="22"/>
              </w:rPr>
            </w:pPr>
            <w:hyperlink r:id="rId150" w:history="1">
              <w:r w:rsidR="005342D5" w:rsidRPr="0019790A">
                <w:rPr>
                  <w:rStyle w:val="af0"/>
                  <w:rFonts w:cs="Arial"/>
                  <w:b/>
                  <w:bCs/>
                  <w:noProof w:val="0"/>
                  <w:sz w:val="22"/>
                  <w:szCs w:val="22"/>
                </w:rPr>
                <w:t>ms@zhmr.gov.ua</w:t>
              </w:r>
            </w:hyperlink>
          </w:p>
        </w:tc>
      </w:tr>
      <w:tr w:rsidR="005342D5" w:rsidRPr="0019790A" w14:paraId="02707900" w14:textId="77777777" w:rsidTr="0068624E">
        <w:trPr>
          <w:jc w:val="right"/>
        </w:trPr>
        <w:tc>
          <w:tcPr>
            <w:tcW w:w="3423" w:type="dxa"/>
            <w:vAlign w:val="center"/>
          </w:tcPr>
          <w:p w14:paraId="3EBFC915" w14:textId="77777777" w:rsidR="005342D5" w:rsidRPr="0019790A" w:rsidRDefault="005342D5" w:rsidP="0019790A">
            <w:pPr>
              <w:rPr>
                <w:rFonts w:cs="Arial"/>
                <w:b/>
                <w:bCs/>
                <w:szCs w:val="22"/>
              </w:rPr>
            </w:pPr>
            <w:r w:rsidRPr="0019790A">
              <w:rPr>
                <w:rFonts w:cs="Arial"/>
                <w:b/>
                <w:bCs/>
                <w:szCs w:val="22"/>
              </w:rPr>
              <w:t>Номер і назва завдання з Стратегії розвитку Жмеринської міської територіальної громади,  якому відповідає проєкт:</w:t>
            </w:r>
          </w:p>
        </w:tc>
        <w:tc>
          <w:tcPr>
            <w:tcW w:w="6796" w:type="dxa"/>
            <w:gridSpan w:val="8"/>
            <w:vAlign w:val="center"/>
          </w:tcPr>
          <w:p w14:paraId="050741B5" w14:textId="223E67BE" w:rsidR="005342D5" w:rsidRPr="0068624E" w:rsidRDefault="005342D5" w:rsidP="0068624E">
            <w:pPr>
              <w:tabs>
                <w:tab w:val="left" w:pos="327"/>
              </w:tabs>
              <w:jc w:val="both"/>
              <w:rPr>
                <w:rFonts w:cs="Arial"/>
                <w:b/>
                <w:bCs/>
                <w:szCs w:val="22"/>
              </w:rPr>
            </w:pPr>
            <w:r w:rsidRPr="0019790A">
              <w:rPr>
                <w:rFonts w:cs="Arial"/>
                <w:b/>
                <w:bCs/>
                <w:szCs w:val="22"/>
              </w:rPr>
              <w:t>С.3.4.6. Створення футбольних полів із штучним покриттям.</w:t>
            </w:r>
          </w:p>
        </w:tc>
      </w:tr>
      <w:tr w:rsidR="005342D5" w:rsidRPr="0019790A" w14:paraId="008F437C" w14:textId="77777777" w:rsidTr="0068624E">
        <w:trPr>
          <w:jc w:val="right"/>
        </w:trPr>
        <w:tc>
          <w:tcPr>
            <w:tcW w:w="3423" w:type="dxa"/>
            <w:vAlign w:val="center"/>
          </w:tcPr>
          <w:p w14:paraId="2FDEA9FA" w14:textId="77777777" w:rsidR="005342D5" w:rsidRPr="0019790A" w:rsidRDefault="005342D5" w:rsidP="0019790A">
            <w:pPr>
              <w:rPr>
                <w:rFonts w:cs="Arial"/>
                <w:b/>
                <w:bCs/>
                <w:szCs w:val="22"/>
              </w:rPr>
            </w:pPr>
            <w:r w:rsidRPr="0019790A">
              <w:rPr>
                <w:rFonts w:cs="Arial"/>
                <w:b/>
                <w:bCs/>
                <w:szCs w:val="22"/>
              </w:rPr>
              <w:t>Мета проєкту:</w:t>
            </w:r>
          </w:p>
        </w:tc>
        <w:tc>
          <w:tcPr>
            <w:tcW w:w="6796" w:type="dxa"/>
            <w:gridSpan w:val="8"/>
            <w:vAlign w:val="center"/>
          </w:tcPr>
          <w:p w14:paraId="0C2B9F69" w14:textId="5F46FFF0" w:rsidR="005342D5" w:rsidRPr="0019790A" w:rsidRDefault="005342D5" w:rsidP="0068624E">
            <w:pPr>
              <w:tabs>
                <w:tab w:val="left" w:pos="327"/>
              </w:tabs>
              <w:jc w:val="both"/>
              <w:rPr>
                <w:rFonts w:cs="Arial"/>
                <w:szCs w:val="22"/>
              </w:rPr>
            </w:pPr>
            <w:r w:rsidRPr="0019790A">
              <w:rPr>
                <w:rFonts w:cs="Arial"/>
                <w:szCs w:val="22"/>
              </w:rPr>
              <w:t>Покращення існуючої спортивної інфраструктури громади шляхом будівництва сучасних футбольних майданчиків зі штучним покриттям, що дозволить розширити можливості для фізичного розвитку дітей, молоді та населення загалом, сприятиме популяризації масового спорту та ефективному використанню публічного простору на території с.</w:t>
            </w:r>
            <w:r w:rsidR="0068624E">
              <w:rPr>
                <w:rFonts w:cs="Arial"/>
                <w:szCs w:val="22"/>
              </w:rPr>
              <w:t xml:space="preserve"> </w:t>
            </w:r>
            <w:r w:rsidRPr="0019790A">
              <w:rPr>
                <w:rFonts w:cs="Arial"/>
                <w:szCs w:val="22"/>
              </w:rPr>
              <w:t xml:space="preserve">Рів, с. Коростівці, с. Жуківці, с. </w:t>
            </w:r>
            <w:r w:rsidR="0068624E" w:rsidRPr="0019790A">
              <w:rPr>
                <w:rFonts w:cs="Arial"/>
                <w:szCs w:val="22"/>
              </w:rPr>
              <w:t>Біликівці</w:t>
            </w:r>
            <w:r w:rsidRPr="0019790A">
              <w:rPr>
                <w:rFonts w:cs="Arial"/>
                <w:szCs w:val="22"/>
              </w:rPr>
              <w:t>, с. Леляки, с. Дубова, с. Кармалюки, с. Курилівці, с. Лисогірка, с. Людавка, с. Почапинці.</w:t>
            </w:r>
          </w:p>
        </w:tc>
      </w:tr>
      <w:tr w:rsidR="005342D5" w:rsidRPr="0019790A" w14:paraId="7A808470" w14:textId="77777777" w:rsidTr="0068624E">
        <w:trPr>
          <w:jc w:val="right"/>
        </w:trPr>
        <w:tc>
          <w:tcPr>
            <w:tcW w:w="3423" w:type="dxa"/>
            <w:vAlign w:val="center"/>
          </w:tcPr>
          <w:p w14:paraId="131C9257" w14:textId="77777777" w:rsidR="005342D5" w:rsidRPr="0019790A" w:rsidRDefault="005342D5" w:rsidP="0019790A">
            <w:pPr>
              <w:rPr>
                <w:rFonts w:cs="Arial"/>
                <w:b/>
                <w:bCs/>
                <w:szCs w:val="22"/>
              </w:rPr>
            </w:pPr>
            <w:r w:rsidRPr="0019790A">
              <w:rPr>
                <w:rFonts w:cs="Arial"/>
                <w:b/>
                <w:bCs/>
                <w:szCs w:val="22"/>
              </w:rPr>
              <w:t>Цілі проєкту:</w:t>
            </w:r>
          </w:p>
        </w:tc>
        <w:tc>
          <w:tcPr>
            <w:tcW w:w="6796" w:type="dxa"/>
            <w:gridSpan w:val="8"/>
            <w:vAlign w:val="center"/>
          </w:tcPr>
          <w:p w14:paraId="4A26C01D" w14:textId="77777777" w:rsidR="005342D5" w:rsidRPr="0019790A" w:rsidRDefault="005342D5" w:rsidP="0068624E">
            <w:pPr>
              <w:tabs>
                <w:tab w:val="left" w:pos="327"/>
              </w:tabs>
              <w:jc w:val="both"/>
              <w:rPr>
                <w:rFonts w:cs="Arial"/>
                <w:szCs w:val="22"/>
              </w:rPr>
            </w:pPr>
            <w:r w:rsidRPr="0019790A">
              <w:rPr>
                <w:rFonts w:cs="Arial"/>
                <w:szCs w:val="22"/>
              </w:rPr>
              <w:t xml:space="preserve">1. Забезпечення </w:t>
            </w:r>
            <w:r w:rsidRPr="0019790A">
              <w:rPr>
                <w:rFonts w:cs="Arial"/>
                <w:bCs/>
                <w:szCs w:val="22"/>
              </w:rPr>
              <w:t>доступу до якісного та безпечного футбольного майданчика</w:t>
            </w:r>
            <w:r w:rsidRPr="0019790A">
              <w:rPr>
                <w:rFonts w:cs="Arial"/>
                <w:szCs w:val="22"/>
              </w:rPr>
              <w:t xml:space="preserve"> для мешканців громади.</w:t>
            </w:r>
          </w:p>
          <w:p w14:paraId="4BA4F9D4" w14:textId="77777777" w:rsidR="005342D5" w:rsidRPr="0019790A" w:rsidRDefault="005342D5" w:rsidP="0068624E">
            <w:pPr>
              <w:tabs>
                <w:tab w:val="left" w:pos="327"/>
              </w:tabs>
              <w:jc w:val="both"/>
              <w:rPr>
                <w:rFonts w:cs="Arial"/>
                <w:szCs w:val="22"/>
              </w:rPr>
            </w:pPr>
            <w:r w:rsidRPr="0019790A">
              <w:rPr>
                <w:rFonts w:cs="Arial"/>
                <w:szCs w:val="22"/>
              </w:rPr>
              <w:t xml:space="preserve">2. Покращення </w:t>
            </w:r>
            <w:r w:rsidRPr="0019790A">
              <w:rPr>
                <w:rFonts w:cs="Arial"/>
                <w:bCs/>
                <w:szCs w:val="22"/>
              </w:rPr>
              <w:t>функціональності і привабливості</w:t>
            </w:r>
            <w:r w:rsidRPr="0019790A">
              <w:rPr>
                <w:rFonts w:cs="Arial"/>
                <w:szCs w:val="22"/>
              </w:rPr>
              <w:t xml:space="preserve"> наявної інфраструктури для занять фізичною культурою.</w:t>
            </w:r>
          </w:p>
          <w:p w14:paraId="131121B8" w14:textId="77777777" w:rsidR="005342D5" w:rsidRPr="0019790A" w:rsidRDefault="005342D5" w:rsidP="0068624E">
            <w:pPr>
              <w:tabs>
                <w:tab w:val="left" w:pos="327"/>
              </w:tabs>
              <w:jc w:val="both"/>
              <w:rPr>
                <w:rFonts w:cs="Arial"/>
                <w:szCs w:val="22"/>
              </w:rPr>
            </w:pPr>
            <w:r w:rsidRPr="0019790A">
              <w:rPr>
                <w:rFonts w:cs="Arial"/>
                <w:szCs w:val="22"/>
              </w:rPr>
              <w:t xml:space="preserve">3.  Стимулювання </w:t>
            </w:r>
            <w:r w:rsidRPr="0019790A">
              <w:rPr>
                <w:rFonts w:cs="Arial"/>
                <w:bCs/>
                <w:szCs w:val="22"/>
              </w:rPr>
              <w:t>масового залучення дітей та молоді до активного способу життя</w:t>
            </w:r>
            <w:r w:rsidRPr="0019790A">
              <w:rPr>
                <w:rFonts w:cs="Arial"/>
                <w:szCs w:val="22"/>
              </w:rPr>
              <w:t>.</w:t>
            </w:r>
          </w:p>
          <w:p w14:paraId="1347524F" w14:textId="77777777" w:rsidR="005342D5" w:rsidRPr="0019790A" w:rsidRDefault="005342D5" w:rsidP="0068624E">
            <w:pPr>
              <w:tabs>
                <w:tab w:val="left" w:pos="327"/>
              </w:tabs>
              <w:jc w:val="both"/>
              <w:rPr>
                <w:rFonts w:cs="Arial"/>
                <w:szCs w:val="22"/>
              </w:rPr>
            </w:pPr>
            <w:r w:rsidRPr="0019790A">
              <w:rPr>
                <w:rFonts w:cs="Arial"/>
                <w:szCs w:val="22"/>
              </w:rPr>
              <w:t xml:space="preserve">4. Надання можливості </w:t>
            </w:r>
            <w:r w:rsidRPr="0019790A">
              <w:rPr>
                <w:rFonts w:cs="Arial"/>
                <w:bCs/>
                <w:szCs w:val="22"/>
              </w:rPr>
              <w:t>проведення аматорських турнірів, змагань і заходів</w:t>
            </w:r>
            <w:r w:rsidRPr="0019790A">
              <w:rPr>
                <w:rFonts w:cs="Arial"/>
                <w:szCs w:val="22"/>
              </w:rPr>
              <w:t xml:space="preserve"> на відкритому повітрі.</w:t>
            </w:r>
          </w:p>
          <w:p w14:paraId="322D5899" w14:textId="77777777" w:rsidR="005342D5" w:rsidRPr="0019790A" w:rsidRDefault="005342D5" w:rsidP="0068624E">
            <w:pPr>
              <w:tabs>
                <w:tab w:val="left" w:pos="327"/>
              </w:tabs>
              <w:jc w:val="both"/>
              <w:rPr>
                <w:rFonts w:cs="Arial"/>
                <w:szCs w:val="22"/>
              </w:rPr>
            </w:pPr>
            <w:r w:rsidRPr="0019790A">
              <w:rPr>
                <w:rFonts w:cs="Arial"/>
                <w:szCs w:val="22"/>
              </w:rPr>
              <w:t xml:space="preserve">5. Забезпечення </w:t>
            </w:r>
            <w:r w:rsidRPr="0019790A">
              <w:rPr>
                <w:rFonts w:cs="Arial"/>
                <w:bCs/>
                <w:szCs w:val="22"/>
              </w:rPr>
              <w:t>інклюзивних умови</w:t>
            </w:r>
            <w:r w:rsidRPr="0019790A">
              <w:rPr>
                <w:rFonts w:cs="Arial"/>
                <w:szCs w:val="22"/>
              </w:rPr>
              <w:t xml:space="preserve"> для занять спортом, зокрема для дітей з особливими освітніми потребами.</w:t>
            </w:r>
          </w:p>
          <w:p w14:paraId="4B5E44C1" w14:textId="7EE5C426" w:rsidR="005342D5" w:rsidRPr="0019790A" w:rsidRDefault="005342D5" w:rsidP="0068624E">
            <w:pPr>
              <w:tabs>
                <w:tab w:val="left" w:pos="327"/>
              </w:tabs>
              <w:jc w:val="both"/>
              <w:rPr>
                <w:rFonts w:cs="Arial"/>
                <w:szCs w:val="22"/>
              </w:rPr>
            </w:pPr>
            <w:r w:rsidRPr="0019790A">
              <w:rPr>
                <w:rFonts w:cs="Arial"/>
                <w:szCs w:val="22"/>
              </w:rPr>
              <w:t>6.  Підвищити рівень соціальної згуртованості через спорт та командні активності.</w:t>
            </w:r>
          </w:p>
        </w:tc>
      </w:tr>
      <w:tr w:rsidR="005342D5" w:rsidRPr="0019790A" w14:paraId="5BD3D97E" w14:textId="77777777" w:rsidTr="0068624E">
        <w:trPr>
          <w:jc w:val="right"/>
        </w:trPr>
        <w:tc>
          <w:tcPr>
            <w:tcW w:w="3423" w:type="dxa"/>
            <w:vAlign w:val="center"/>
          </w:tcPr>
          <w:p w14:paraId="2F65C535" w14:textId="77777777" w:rsidR="005342D5" w:rsidRPr="0019790A" w:rsidRDefault="005342D5" w:rsidP="0019790A">
            <w:pPr>
              <w:rPr>
                <w:rFonts w:cs="Arial"/>
                <w:b/>
                <w:szCs w:val="22"/>
              </w:rPr>
            </w:pPr>
            <w:r w:rsidRPr="0019790A">
              <w:rPr>
                <w:rFonts w:cs="Arial"/>
                <w:b/>
                <w:szCs w:val="22"/>
              </w:rPr>
              <w:t>Територія на яку проєкт матиме вплив:</w:t>
            </w:r>
          </w:p>
        </w:tc>
        <w:tc>
          <w:tcPr>
            <w:tcW w:w="6796" w:type="dxa"/>
            <w:gridSpan w:val="8"/>
            <w:vAlign w:val="center"/>
          </w:tcPr>
          <w:p w14:paraId="6E4B5A4B" w14:textId="77777777" w:rsidR="005342D5" w:rsidRPr="0019790A" w:rsidRDefault="005342D5" w:rsidP="0068624E">
            <w:pPr>
              <w:tabs>
                <w:tab w:val="left" w:pos="327"/>
              </w:tabs>
              <w:jc w:val="both"/>
              <w:rPr>
                <w:rFonts w:cs="Arial"/>
                <w:szCs w:val="22"/>
              </w:rPr>
            </w:pPr>
            <w:r w:rsidRPr="0019790A">
              <w:rPr>
                <w:rFonts w:cs="Arial"/>
                <w:szCs w:val="22"/>
              </w:rPr>
              <w:t>Жмеринська міська територіальна громада</w:t>
            </w:r>
          </w:p>
        </w:tc>
      </w:tr>
      <w:tr w:rsidR="005342D5" w:rsidRPr="0019790A" w14:paraId="1D7D835F" w14:textId="77777777" w:rsidTr="0068624E">
        <w:trPr>
          <w:jc w:val="right"/>
        </w:trPr>
        <w:tc>
          <w:tcPr>
            <w:tcW w:w="3423" w:type="dxa"/>
            <w:vAlign w:val="center"/>
          </w:tcPr>
          <w:p w14:paraId="694BA67D" w14:textId="77777777" w:rsidR="005342D5" w:rsidRPr="0019790A" w:rsidRDefault="005342D5" w:rsidP="0019790A">
            <w:pPr>
              <w:rPr>
                <w:rFonts w:cs="Arial"/>
                <w:b/>
                <w:szCs w:val="22"/>
              </w:rPr>
            </w:pPr>
            <w:r w:rsidRPr="0019790A">
              <w:rPr>
                <w:rFonts w:cs="Arial"/>
                <w:b/>
                <w:szCs w:val="22"/>
              </w:rPr>
              <w:t>Цільові групи проєкту та кількість отримувачів вигоди</w:t>
            </w:r>
          </w:p>
        </w:tc>
        <w:tc>
          <w:tcPr>
            <w:tcW w:w="6796" w:type="dxa"/>
            <w:gridSpan w:val="8"/>
            <w:vAlign w:val="center"/>
          </w:tcPr>
          <w:p w14:paraId="163F02F2" w14:textId="77777777" w:rsidR="005342D5" w:rsidRPr="0019790A" w:rsidRDefault="005342D5" w:rsidP="0068624E">
            <w:pPr>
              <w:tabs>
                <w:tab w:val="left" w:pos="327"/>
              </w:tabs>
              <w:jc w:val="both"/>
              <w:rPr>
                <w:rFonts w:cs="Arial"/>
                <w:szCs w:val="22"/>
              </w:rPr>
            </w:pPr>
            <w:r w:rsidRPr="0019790A">
              <w:rPr>
                <w:rFonts w:cs="Arial"/>
                <w:b/>
                <w:bCs/>
                <w:szCs w:val="22"/>
              </w:rPr>
              <w:t>1.Діти шкільного віку (6–17 років)</w:t>
            </w:r>
          </w:p>
          <w:p w14:paraId="0A60C938" w14:textId="77777777" w:rsidR="005342D5" w:rsidRPr="0019790A" w:rsidRDefault="005342D5" w:rsidP="0068624E">
            <w:pPr>
              <w:numPr>
                <w:ilvl w:val="0"/>
                <w:numId w:val="54"/>
              </w:numPr>
              <w:tabs>
                <w:tab w:val="left" w:pos="327"/>
              </w:tabs>
              <w:ind w:left="0" w:firstLine="0"/>
              <w:jc w:val="both"/>
              <w:rPr>
                <w:rFonts w:cs="Arial"/>
                <w:szCs w:val="22"/>
              </w:rPr>
            </w:pPr>
            <w:r w:rsidRPr="0019790A">
              <w:rPr>
                <w:rFonts w:cs="Arial"/>
                <w:szCs w:val="22"/>
              </w:rPr>
              <w:t>Учні закладів загальної середньої освіти громади</w:t>
            </w:r>
          </w:p>
          <w:p w14:paraId="3E1431E0" w14:textId="77777777" w:rsidR="005342D5" w:rsidRPr="0019790A" w:rsidRDefault="005342D5" w:rsidP="0068624E">
            <w:pPr>
              <w:numPr>
                <w:ilvl w:val="0"/>
                <w:numId w:val="54"/>
              </w:numPr>
              <w:tabs>
                <w:tab w:val="left" w:pos="327"/>
              </w:tabs>
              <w:ind w:left="0" w:firstLine="0"/>
              <w:jc w:val="both"/>
              <w:rPr>
                <w:rFonts w:cs="Arial"/>
                <w:szCs w:val="22"/>
              </w:rPr>
            </w:pPr>
            <w:r w:rsidRPr="0019790A">
              <w:rPr>
                <w:rFonts w:cs="Arial"/>
                <w:szCs w:val="22"/>
              </w:rPr>
              <w:t>Вихованці спортивних секцій і гуртків</w:t>
            </w:r>
          </w:p>
          <w:p w14:paraId="27CA319F" w14:textId="77777777" w:rsidR="005342D5" w:rsidRPr="0019790A" w:rsidRDefault="005342D5" w:rsidP="0068624E">
            <w:pPr>
              <w:numPr>
                <w:ilvl w:val="0"/>
                <w:numId w:val="54"/>
              </w:numPr>
              <w:tabs>
                <w:tab w:val="left" w:pos="327"/>
              </w:tabs>
              <w:ind w:left="0" w:firstLine="0"/>
              <w:jc w:val="both"/>
              <w:rPr>
                <w:rFonts w:cs="Arial"/>
                <w:szCs w:val="22"/>
              </w:rPr>
            </w:pPr>
            <w:r w:rsidRPr="0019790A">
              <w:rPr>
                <w:rFonts w:cs="Arial"/>
                <w:szCs w:val="22"/>
              </w:rPr>
              <w:t>Учасники пришкільних та літніх таборів</w:t>
            </w:r>
          </w:p>
          <w:p w14:paraId="12DE7309" w14:textId="77777777" w:rsidR="005342D5" w:rsidRPr="0019790A" w:rsidRDefault="005342D5" w:rsidP="0068624E">
            <w:pPr>
              <w:tabs>
                <w:tab w:val="left" w:pos="327"/>
              </w:tabs>
              <w:jc w:val="both"/>
              <w:rPr>
                <w:rFonts w:cs="Arial"/>
                <w:szCs w:val="22"/>
              </w:rPr>
            </w:pPr>
            <w:r w:rsidRPr="0019790A">
              <w:rPr>
                <w:rFonts w:cs="Arial"/>
                <w:b/>
                <w:bCs/>
                <w:szCs w:val="22"/>
              </w:rPr>
              <w:t>2.Молодь (18–25 років)</w:t>
            </w:r>
          </w:p>
          <w:p w14:paraId="7AEFE4AD" w14:textId="77777777" w:rsidR="005342D5" w:rsidRPr="0019790A" w:rsidRDefault="005342D5" w:rsidP="0068624E">
            <w:pPr>
              <w:numPr>
                <w:ilvl w:val="0"/>
                <w:numId w:val="55"/>
              </w:numPr>
              <w:tabs>
                <w:tab w:val="left" w:pos="327"/>
                <w:tab w:val="left" w:pos="528"/>
              </w:tabs>
              <w:ind w:left="0" w:firstLine="0"/>
              <w:jc w:val="both"/>
              <w:rPr>
                <w:rFonts w:cs="Arial"/>
                <w:szCs w:val="22"/>
              </w:rPr>
            </w:pPr>
            <w:r w:rsidRPr="0019790A">
              <w:rPr>
                <w:rFonts w:cs="Arial"/>
                <w:szCs w:val="22"/>
              </w:rPr>
              <w:t>Студенти, молодь громади, аматорські команди</w:t>
            </w:r>
          </w:p>
          <w:p w14:paraId="6024BAD4" w14:textId="77777777" w:rsidR="005342D5" w:rsidRPr="0019790A" w:rsidRDefault="005342D5" w:rsidP="0068624E">
            <w:pPr>
              <w:numPr>
                <w:ilvl w:val="0"/>
                <w:numId w:val="55"/>
              </w:numPr>
              <w:tabs>
                <w:tab w:val="left" w:pos="327"/>
                <w:tab w:val="left" w:pos="528"/>
              </w:tabs>
              <w:ind w:left="0" w:firstLine="0"/>
              <w:jc w:val="both"/>
              <w:rPr>
                <w:rFonts w:cs="Arial"/>
                <w:szCs w:val="22"/>
              </w:rPr>
            </w:pPr>
            <w:r w:rsidRPr="0019790A">
              <w:rPr>
                <w:rFonts w:cs="Arial"/>
                <w:szCs w:val="22"/>
              </w:rPr>
              <w:t>Учасники молодіжних спортивних заходів і змагань</w:t>
            </w:r>
          </w:p>
          <w:p w14:paraId="7C204C20" w14:textId="77777777" w:rsidR="005342D5" w:rsidRPr="0019790A" w:rsidRDefault="005342D5" w:rsidP="0068624E">
            <w:pPr>
              <w:numPr>
                <w:ilvl w:val="0"/>
                <w:numId w:val="55"/>
              </w:numPr>
              <w:tabs>
                <w:tab w:val="left" w:pos="327"/>
                <w:tab w:val="left" w:pos="528"/>
              </w:tabs>
              <w:ind w:left="0" w:firstLine="0"/>
              <w:jc w:val="both"/>
              <w:rPr>
                <w:rFonts w:cs="Arial"/>
                <w:szCs w:val="22"/>
              </w:rPr>
            </w:pPr>
            <w:r w:rsidRPr="0019790A">
              <w:rPr>
                <w:rFonts w:cs="Arial"/>
                <w:szCs w:val="22"/>
              </w:rPr>
              <w:t>Волонтери й організатори молодіжних ініціатив у спорті</w:t>
            </w:r>
          </w:p>
          <w:p w14:paraId="7E156427" w14:textId="77777777" w:rsidR="005342D5" w:rsidRPr="0019790A" w:rsidRDefault="005342D5" w:rsidP="0068624E">
            <w:pPr>
              <w:tabs>
                <w:tab w:val="left" w:pos="327"/>
              </w:tabs>
              <w:jc w:val="both"/>
              <w:rPr>
                <w:rFonts w:cs="Arial"/>
                <w:szCs w:val="22"/>
              </w:rPr>
            </w:pPr>
            <w:r w:rsidRPr="0019790A">
              <w:rPr>
                <w:rFonts w:cs="Arial"/>
                <w:b/>
                <w:bCs/>
                <w:szCs w:val="22"/>
              </w:rPr>
              <w:t>3.Доросле населення громади (25–60 років)</w:t>
            </w:r>
          </w:p>
          <w:p w14:paraId="15B0282D" w14:textId="77777777" w:rsidR="005342D5" w:rsidRPr="0019790A" w:rsidRDefault="005342D5" w:rsidP="0068624E">
            <w:pPr>
              <w:numPr>
                <w:ilvl w:val="0"/>
                <w:numId w:val="56"/>
              </w:numPr>
              <w:tabs>
                <w:tab w:val="left" w:pos="327"/>
                <w:tab w:val="left" w:pos="528"/>
              </w:tabs>
              <w:ind w:left="0" w:firstLine="0"/>
              <w:jc w:val="both"/>
              <w:rPr>
                <w:rFonts w:cs="Arial"/>
                <w:szCs w:val="22"/>
              </w:rPr>
            </w:pPr>
            <w:r w:rsidRPr="0019790A">
              <w:rPr>
                <w:rFonts w:cs="Arial"/>
                <w:szCs w:val="22"/>
              </w:rPr>
              <w:t>Аматорські футбольні команди</w:t>
            </w:r>
          </w:p>
          <w:p w14:paraId="22021181" w14:textId="77777777" w:rsidR="005342D5" w:rsidRPr="0019790A" w:rsidRDefault="005342D5" w:rsidP="0068624E">
            <w:pPr>
              <w:numPr>
                <w:ilvl w:val="0"/>
                <w:numId w:val="56"/>
              </w:numPr>
              <w:tabs>
                <w:tab w:val="left" w:pos="327"/>
                <w:tab w:val="left" w:pos="528"/>
              </w:tabs>
              <w:ind w:left="0" w:firstLine="0"/>
              <w:jc w:val="both"/>
              <w:rPr>
                <w:rFonts w:cs="Arial"/>
                <w:szCs w:val="22"/>
              </w:rPr>
            </w:pPr>
            <w:r w:rsidRPr="0019790A">
              <w:rPr>
                <w:rFonts w:cs="Arial"/>
                <w:szCs w:val="22"/>
              </w:rPr>
              <w:t>Працівники місцевих підприємств (корпоративні команди)</w:t>
            </w:r>
          </w:p>
          <w:p w14:paraId="44663C75" w14:textId="77777777" w:rsidR="005342D5" w:rsidRPr="0019790A" w:rsidRDefault="005342D5" w:rsidP="0068624E">
            <w:pPr>
              <w:numPr>
                <w:ilvl w:val="0"/>
                <w:numId w:val="56"/>
              </w:numPr>
              <w:tabs>
                <w:tab w:val="left" w:pos="327"/>
                <w:tab w:val="left" w:pos="528"/>
              </w:tabs>
              <w:ind w:left="0" w:firstLine="0"/>
              <w:jc w:val="both"/>
              <w:rPr>
                <w:rFonts w:cs="Arial"/>
                <w:szCs w:val="22"/>
              </w:rPr>
            </w:pPr>
            <w:r w:rsidRPr="0019790A">
              <w:rPr>
                <w:rFonts w:cs="Arial"/>
                <w:szCs w:val="22"/>
              </w:rPr>
              <w:t>Активні мешканці, зацікавлені в оздоровчій фізичній активності</w:t>
            </w:r>
          </w:p>
          <w:p w14:paraId="212A2FFE" w14:textId="77777777" w:rsidR="005342D5" w:rsidRPr="0019790A" w:rsidRDefault="005342D5" w:rsidP="0068624E">
            <w:pPr>
              <w:tabs>
                <w:tab w:val="left" w:pos="327"/>
              </w:tabs>
              <w:jc w:val="both"/>
              <w:rPr>
                <w:rFonts w:cs="Arial"/>
                <w:szCs w:val="22"/>
              </w:rPr>
            </w:pPr>
            <w:r w:rsidRPr="0019790A">
              <w:rPr>
                <w:rFonts w:cs="Arial"/>
                <w:b/>
                <w:bCs/>
                <w:szCs w:val="22"/>
              </w:rPr>
              <w:t>4.Особи старшого віку та пенсіонери</w:t>
            </w:r>
          </w:p>
          <w:p w14:paraId="6A7FF4CB" w14:textId="77777777" w:rsidR="005342D5" w:rsidRPr="0019790A" w:rsidRDefault="005342D5" w:rsidP="0068624E">
            <w:pPr>
              <w:numPr>
                <w:ilvl w:val="0"/>
                <w:numId w:val="57"/>
              </w:numPr>
              <w:tabs>
                <w:tab w:val="left" w:pos="327"/>
                <w:tab w:val="left" w:pos="528"/>
              </w:tabs>
              <w:ind w:left="0" w:firstLine="0"/>
              <w:jc w:val="both"/>
              <w:rPr>
                <w:rFonts w:cs="Arial"/>
                <w:szCs w:val="22"/>
              </w:rPr>
            </w:pPr>
            <w:r w:rsidRPr="0019790A">
              <w:rPr>
                <w:rFonts w:cs="Arial"/>
                <w:szCs w:val="22"/>
              </w:rPr>
              <w:t>Громадяни, які можуть використовувати поле для ранкової гімнастики, ходьби</w:t>
            </w:r>
          </w:p>
          <w:p w14:paraId="49DF0190" w14:textId="77777777" w:rsidR="005342D5" w:rsidRPr="0019790A" w:rsidRDefault="005342D5" w:rsidP="0068624E">
            <w:pPr>
              <w:numPr>
                <w:ilvl w:val="0"/>
                <w:numId w:val="57"/>
              </w:numPr>
              <w:tabs>
                <w:tab w:val="left" w:pos="327"/>
                <w:tab w:val="left" w:pos="528"/>
              </w:tabs>
              <w:ind w:left="0" w:firstLine="0"/>
              <w:jc w:val="both"/>
              <w:rPr>
                <w:rFonts w:cs="Arial"/>
                <w:szCs w:val="22"/>
              </w:rPr>
            </w:pPr>
            <w:r w:rsidRPr="0019790A">
              <w:rPr>
                <w:rFonts w:cs="Arial"/>
                <w:szCs w:val="22"/>
              </w:rPr>
              <w:t>Учасники ветеранських спортивних об’єднань</w:t>
            </w:r>
          </w:p>
          <w:p w14:paraId="0B4BC7C9" w14:textId="77777777" w:rsidR="005342D5" w:rsidRPr="0019790A" w:rsidRDefault="005342D5" w:rsidP="0068624E">
            <w:pPr>
              <w:tabs>
                <w:tab w:val="left" w:pos="327"/>
                <w:tab w:val="left" w:pos="528"/>
              </w:tabs>
              <w:jc w:val="both"/>
              <w:rPr>
                <w:rFonts w:cs="Arial"/>
                <w:szCs w:val="22"/>
              </w:rPr>
            </w:pPr>
            <w:r w:rsidRPr="0019790A">
              <w:rPr>
                <w:rFonts w:cs="Arial"/>
                <w:b/>
                <w:bCs/>
                <w:szCs w:val="22"/>
              </w:rPr>
              <w:t>5.Особи з інвалідністю</w:t>
            </w:r>
          </w:p>
          <w:p w14:paraId="753C0EA8" w14:textId="77777777" w:rsidR="005342D5" w:rsidRPr="0019790A" w:rsidRDefault="005342D5" w:rsidP="0068624E">
            <w:pPr>
              <w:numPr>
                <w:ilvl w:val="0"/>
                <w:numId w:val="58"/>
              </w:numPr>
              <w:tabs>
                <w:tab w:val="left" w:pos="327"/>
                <w:tab w:val="left" w:pos="528"/>
              </w:tabs>
              <w:ind w:left="0" w:firstLine="0"/>
              <w:jc w:val="both"/>
              <w:rPr>
                <w:rFonts w:cs="Arial"/>
                <w:szCs w:val="22"/>
              </w:rPr>
            </w:pPr>
            <w:r w:rsidRPr="0019790A">
              <w:rPr>
                <w:rFonts w:cs="Arial"/>
                <w:szCs w:val="22"/>
              </w:rPr>
              <w:t>Діти та молодь з особливими освітніми потребами</w:t>
            </w:r>
          </w:p>
          <w:p w14:paraId="1C0B3C6B" w14:textId="61D3B15C" w:rsidR="005342D5" w:rsidRPr="0019790A" w:rsidRDefault="005342D5" w:rsidP="0068624E">
            <w:pPr>
              <w:numPr>
                <w:ilvl w:val="0"/>
                <w:numId w:val="58"/>
              </w:numPr>
              <w:tabs>
                <w:tab w:val="left" w:pos="327"/>
                <w:tab w:val="left" w:pos="528"/>
              </w:tabs>
              <w:ind w:left="0" w:firstLine="0"/>
              <w:jc w:val="both"/>
              <w:rPr>
                <w:rFonts w:cs="Arial"/>
                <w:szCs w:val="22"/>
              </w:rPr>
            </w:pPr>
            <w:r w:rsidRPr="0019790A">
              <w:rPr>
                <w:rFonts w:cs="Arial"/>
                <w:szCs w:val="22"/>
              </w:rPr>
              <w:t>Особи з порушеннями опорно-рухового апарату.</w:t>
            </w:r>
          </w:p>
          <w:p w14:paraId="7619923C" w14:textId="77777777" w:rsidR="005342D5" w:rsidRPr="0019790A" w:rsidRDefault="005342D5" w:rsidP="0068624E">
            <w:pPr>
              <w:tabs>
                <w:tab w:val="left" w:pos="327"/>
                <w:tab w:val="left" w:pos="528"/>
              </w:tabs>
              <w:jc w:val="both"/>
              <w:rPr>
                <w:rFonts w:cs="Arial"/>
                <w:szCs w:val="22"/>
              </w:rPr>
            </w:pPr>
            <w:r w:rsidRPr="0019790A">
              <w:rPr>
                <w:rFonts w:cs="Arial"/>
                <w:b/>
                <w:bCs/>
                <w:szCs w:val="22"/>
              </w:rPr>
              <w:t>6.Тренери, вчителі фізичної культури, спортінструктори</w:t>
            </w:r>
          </w:p>
          <w:p w14:paraId="4E0BFEEF" w14:textId="77777777" w:rsidR="005342D5" w:rsidRPr="0019790A" w:rsidRDefault="005342D5" w:rsidP="0068624E">
            <w:pPr>
              <w:numPr>
                <w:ilvl w:val="0"/>
                <w:numId w:val="59"/>
              </w:numPr>
              <w:tabs>
                <w:tab w:val="left" w:pos="327"/>
                <w:tab w:val="left" w:pos="528"/>
              </w:tabs>
              <w:ind w:left="0" w:firstLine="0"/>
              <w:jc w:val="both"/>
              <w:rPr>
                <w:rFonts w:cs="Arial"/>
                <w:szCs w:val="22"/>
              </w:rPr>
            </w:pPr>
            <w:r w:rsidRPr="0019790A">
              <w:rPr>
                <w:rFonts w:cs="Arial"/>
                <w:szCs w:val="22"/>
              </w:rPr>
              <w:t>Педагогічні працівники закладів освіти</w:t>
            </w:r>
          </w:p>
          <w:p w14:paraId="3D3FE978" w14:textId="77777777" w:rsidR="005342D5" w:rsidRPr="0019790A" w:rsidRDefault="005342D5" w:rsidP="0068624E">
            <w:pPr>
              <w:numPr>
                <w:ilvl w:val="0"/>
                <w:numId w:val="59"/>
              </w:numPr>
              <w:tabs>
                <w:tab w:val="left" w:pos="327"/>
                <w:tab w:val="left" w:pos="528"/>
              </w:tabs>
              <w:ind w:left="0" w:firstLine="0"/>
              <w:jc w:val="both"/>
              <w:rPr>
                <w:rFonts w:cs="Arial"/>
                <w:szCs w:val="22"/>
              </w:rPr>
            </w:pPr>
            <w:r w:rsidRPr="0019790A">
              <w:rPr>
                <w:rFonts w:cs="Arial"/>
                <w:szCs w:val="22"/>
              </w:rPr>
              <w:t>Тренери секцій, які використовуватимуть поле для навчання і змагань</w:t>
            </w:r>
          </w:p>
          <w:p w14:paraId="57EC87D8" w14:textId="77777777" w:rsidR="005342D5" w:rsidRPr="0019790A" w:rsidRDefault="005342D5" w:rsidP="0068624E">
            <w:pPr>
              <w:tabs>
                <w:tab w:val="left" w:pos="327"/>
                <w:tab w:val="left" w:pos="528"/>
              </w:tabs>
              <w:jc w:val="both"/>
              <w:rPr>
                <w:rFonts w:cs="Arial"/>
                <w:szCs w:val="22"/>
              </w:rPr>
            </w:pPr>
            <w:r w:rsidRPr="0019790A">
              <w:rPr>
                <w:rFonts w:cs="Arial"/>
                <w:b/>
                <w:bCs/>
                <w:szCs w:val="22"/>
              </w:rPr>
              <w:t>7.Місцева влада та громада</w:t>
            </w:r>
          </w:p>
          <w:p w14:paraId="28244ED9" w14:textId="14A1B4A1" w:rsidR="005342D5" w:rsidRPr="0019790A" w:rsidRDefault="005342D5" w:rsidP="0068624E">
            <w:pPr>
              <w:numPr>
                <w:ilvl w:val="0"/>
                <w:numId w:val="60"/>
              </w:numPr>
              <w:tabs>
                <w:tab w:val="left" w:pos="327"/>
              </w:tabs>
              <w:ind w:left="0" w:firstLine="0"/>
              <w:jc w:val="both"/>
              <w:rPr>
                <w:rFonts w:cs="Arial"/>
                <w:szCs w:val="22"/>
              </w:rPr>
            </w:pPr>
            <w:r w:rsidRPr="0019790A">
              <w:rPr>
                <w:rFonts w:cs="Arial"/>
                <w:szCs w:val="22"/>
              </w:rPr>
              <w:t xml:space="preserve">Органи місцевого самоврядування, зацікавлені у розвитку </w:t>
            </w:r>
            <w:r w:rsidR="0068624E" w:rsidRPr="0019790A">
              <w:rPr>
                <w:rFonts w:cs="Arial"/>
                <w:szCs w:val="22"/>
              </w:rPr>
              <w:t>інфраструктури</w:t>
            </w:r>
          </w:p>
          <w:p w14:paraId="13F1AB75" w14:textId="77777777" w:rsidR="005342D5" w:rsidRPr="0019790A" w:rsidRDefault="005342D5" w:rsidP="0068624E">
            <w:pPr>
              <w:numPr>
                <w:ilvl w:val="0"/>
                <w:numId w:val="60"/>
              </w:numPr>
              <w:tabs>
                <w:tab w:val="left" w:pos="327"/>
              </w:tabs>
              <w:ind w:left="0" w:firstLine="0"/>
              <w:jc w:val="both"/>
              <w:rPr>
                <w:rFonts w:cs="Arial"/>
                <w:szCs w:val="22"/>
              </w:rPr>
            </w:pPr>
            <w:r w:rsidRPr="0019790A">
              <w:rPr>
                <w:rFonts w:cs="Arial"/>
                <w:szCs w:val="22"/>
              </w:rPr>
              <w:t>Представники громадських організацій, ініціативних груп</w:t>
            </w:r>
          </w:p>
          <w:p w14:paraId="394B6C10" w14:textId="77777777" w:rsidR="005342D5" w:rsidRPr="0019790A" w:rsidRDefault="005342D5" w:rsidP="0068624E">
            <w:pPr>
              <w:tabs>
                <w:tab w:val="left" w:pos="327"/>
              </w:tabs>
              <w:jc w:val="both"/>
              <w:rPr>
                <w:rFonts w:cs="Arial"/>
                <w:szCs w:val="22"/>
              </w:rPr>
            </w:pPr>
            <w:r w:rsidRPr="0019790A">
              <w:rPr>
                <w:rFonts w:cs="Arial"/>
                <w:b/>
                <w:szCs w:val="22"/>
              </w:rPr>
              <w:t>Кількість отримувачів вигоди</w:t>
            </w:r>
            <w:r w:rsidRPr="0019790A">
              <w:rPr>
                <w:rFonts w:cs="Arial"/>
                <w:szCs w:val="22"/>
              </w:rPr>
              <w:t xml:space="preserve"> </w:t>
            </w:r>
            <w:r w:rsidRPr="0019790A">
              <w:rPr>
                <w:rFonts w:cs="Arial"/>
                <w:b/>
                <w:szCs w:val="22"/>
              </w:rPr>
              <w:t>15000 осіб.</w:t>
            </w:r>
          </w:p>
        </w:tc>
      </w:tr>
      <w:tr w:rsidR="005342D5" w:rsidRPr="0019790A" w14:paraId="049462C0" w14:textId="77777777" w:rsidTr="0068624E">
        <w:trPr>
          <w:jc w:val="right"/>
        </w:trPr>
        <w:tc>
          <w:tcPr>
            <w:tcW w:w="3423" w:type="dxa"/>
            <w:shd w:val="clear" w:color="auto" w:fill="FFFFFF"/>
            <w:vAlign w:val="center"/>
          </w:tcPr>
          <w:p w14:paraId="73259A04" w14:textId="77777777" w:rsidR="005342D5" w:rsidRPr="0019790A" w:rsidRDefault="005342D5" w:rsidP="0019790A">
            <w:pPr>
              <w:rPr>
                <w:rFonts w:cs="Arial"/>
                <w:b/>
                <w:bCs/>
                <w:szCs w:val="22"/>
              </w:rPr>
            </w:pPr>
            <w:r w:rsidRPr="0019790A">
              <w:rPr>
                <w:rFonts w:cs="Arial"/>
                <w:b/>
                <w:bCs/>
                <w:szCs w:val="22"/>
              </w:rPr>
              <w:t>Стислий опис проєкту:</w:t>
            </w:r>
          </w:p>
        </w:tc>
        <w:tc>
          <w:tcPr>
            <w:tcW w:w="6796" w:type="dxa"/>
            <w:gridSpan w:val="8"/>
            <w:vAlign w:val="center"/>
          </w:tcPr>
          <w:p w14:paraId="049288BD" w14:textId="04F11EAC" w:rsidR="005342D5" w:rsidRPr="0019790A" w:rsidRDefault="005342D5" w:rsidP="0068624E">
            <w:pPr>
              <w:tabs>
                <w:tab w:val="left" w:pos="327"/>
              </w:tabs>
              <w:jc w:val="both"/>
              <w:rPr>
                <w:rFonts w:cs="Arial"/>
                <w:szCs w:val="22"/>
              </w:rPr>
            </w:pPr>
            <w:r w:rsidRPr="0019790A">
              <w:rPr>
                <w:rFonts w:cs="Arial"/>
                <w:szCs w:val="22"/>
              </w:rPr>
              <w:t>Майданчики буде обладнано для гри у футбол. Інфраструктура включатиме зовнішнє освітлення, огорожу, лавки для глядачів, тренажерну зону, безбар’єрний доступ для людей з інвалідністю.</w:t>
            </w:r>
            <w:r w:rsidRPr="0019790A">
              <w:rPr>
                <w:rFonts w:cs="Arial"/>
                <w:szCs w:val="22"/>
                <w:lang w:eastAsia="it-IT"/>
              </w:rPr>
              <w:t xml:space="preserve"> </w:t>
            </w:r>
            <w:r w:rsidR="00314B9D">
              <w:rPr>
                <w:rFonts w:cs="Arial"/>
                <w:szCs w:val="22"/>
              </w:rPr>
              <w:t>Проєкт</w:t>
            </w:r>
            <w:r w:rsidRPr="0019790A">
              <w:rPr>
                <w:rFonts w:cs="Arial"/>
                <w:szCs w:val="22"/>
              </w:rPr>
              <w:t xml:space="preserve"> направлений на облаштування футбольних полів зі штучним покриттям на території с. Рів, с. Коростівці, с. Жуківці, с. Біликовці, с. Леляки, с. Дубова, с. Кармалюки, с. Курилівці, с. Лисогірка, с. Людавка, с. Почапинці.</w:t>
            </w:r>
          </w:p>
        </w:tc>
      </w:tr>
      <w:tr w:rsidR="005342D5" w:rsidRPr="0019790A" w14:paraId="6C07DC86" w14:textId="77777777" w:rsidTr="0068624E">
        <w:trPr>
          <w:jc w:val="right"/>
        </w:trPr>
        <w:tc>
          <w:tcPr>
            <w:tcW w:w="3423" w:type="dxa"/>
            <w:shd w:val="clear" w:color="auto" w:fill="FFFFFF"/>
            <w:vAlign w:val="center"/>
          </w:tcPr>
          <w:p w14:paraId="4B9D1A0B" w14:textId="77777777" w:rsidR="005342D5" w:rsidRPr="0019790A" w:rsidRDefault="005342D5" w:rsidP="0019790A">
            <w:pPr>
              <w:rPr>
                <w:rFonts w:cs="Arial"/>
                <w:b/>
                <w:bCs/>
                <w:szCs w:val="22"/>
              </w:rPr>
            </w:pPr>
            <w:r w:rsidRPr="0019790A">
              <w:rPr>
                <w:rFonts w:cs="Arial"/>
                <w:b/>
                <w:bCs/>
                <w:szCs w:val="22"/>
              </w:rPr>
              <w:t>Основні заходи проєкту:</w:t>
            </w:r>
          </w:p>
        </w:tc>
        <w:tc>
          <w:tcPr>
            <w:tcW w:w="6796" w:type="dxa"/>
            <w:gridSpan w:val="8"/>
            <w:vAlign w:val="center"/>
          </w:tcPr>
          <w:p w14:paraId="64FCFDF9" w14:textId="77777777" w:rsidR="005342D5" w:rsidRPr="0019790A" w:rsidRDefault="005342D5" w:rsidP="0068624E">
            <w:pPr>
              <w:tabs>
                <w:tab w:val="left" w:pos="327"/>
              </w:tabs>
              <w:jc w:val="both"/>
              <w:rPr>
                <w:rFonts w:cs="Arial"/>
                <w:szCs w:val="22"/>
              </w:rPr>
            </w:pPr>
            <w:r w:rsidRPr="0019790A">
              <w:rPr>
                <w:rFonts w:cs="Arial"/>
                <w:szCs w:val="22"/>
              </w:rPr>
              <w:t xml:space="preserve">1.  </w:t>
            </w:r>
            <w:r w:rsidRPr="0019790A">
              <w:rPr>
                <w:rFonts w:cs="Arial"/>
                <w:b/>
                <w:bCs/>
                <w:szCs w:val="22"/>
              </w:rPr>
              <w:t>Розробка проєктно-кошторисної документації:</w:t>
            </w:r>
          </w:p>
          <w:p w14:paraId="58A81B76" w14:textId="77777777" w:rsidR="005342D5" w:rsidRPr="0019790A" w:rsidRDefault="005342D5" w:rsidP="0068624E">
            <w:pPr>
              <w:numPr>
                <w:ilvl w:val="0"/>
                <w:numId w:val="43"/>
              </w:numPr>
              <w:tabs>
                <w:tab w:val="left" w:pos="327"/>
              </w:tabs>
              <w:ind w:left="0" w:firstLine="0"/>
              <w:jc w:val="both"/>
              <w:rPr>
                <w:rFonts w:cs="Arial"/>
                <w:szCs w:val="22"/>
              </w:rPr>
            </w:pPr>
            <w:r w:rsidRPr="0019790A">
              <w:rPr>
                <w:rFonts w:cs="Arial"/>
                <w:szCs w:val="22"/>
              </w:rPr>
              <w:t>Залучення фахівців для створення архітектурного проєкту, що враховує інклюзивність, енергоефективність та багатофункціональність.</w:t>
            </w:r>
          </w:p>
          <w:p w14:paraId="44326E2F" w14:textId="77777777" w:rsidR="005342D5" w:rsidRPr="0019790A" w:rsidRDefault="005342D5" w:rsidP="0068624E">
            <w:pPr>
              <w:numPr>
                <w:ilvl w:val="0"/>
                <w:numId w:val="43"/>
              </w:numPr>
              <w:tabs>
                <w:tab w:val="left" w:pos="327"/>
              </w:tabs>
              <w:ind w:left="0" w:firstLine="0"/>
              <w:jc w:val="both"/>
              <w:rPr>
                <w:rFonts w:cs="Arial"/>
                <w:szCs w:val="22"/>
              </w:rPr>
            </w:pPr>
            <w:r w:rsidRPr="0019790A">
              <w:rPr>
                <w:rFonts w:cs="Arial"/>
                <w:szCs w:val="22"/>
              </w:rPr>
              <w:t>Погодження документації з відповідними органами.</w:t>
            </w:r>
          </w:p>
          <w:p w14:paraId="5DB9E5A0" w14:textId="77777777" w:rsidR="005342D5" w:rsidRPr="0019790A" w:rsidRDefault="005342D5" w:rsidP="0068624E">
            <w:pPr>
              <w:tabs>
                <w:tab w:val="left" w:pos="327"/>
              </w:tabs>
              <w:jc w:val="both"/>
              <w:rPr>
                <w:rFonts w:cs="Arial"/>
                <w:szCs w:val="22"/>
              </w:rPr>
            </w:pPr>
            <w:r w:rsidRPr="0019790A">
              <w:rPr>
                <w:rFonts w:cs="Arial"/>
                <w:szCs w:val="22"/>
              </w:rPr>
              <w:t xml:space="preserve">3.  </w:t>
            </w:r>
            <w:r w:rsidRPr="0019790A">
              <w:rPr>
                <w:rFonts w:cs="Arial"/>
                <w:b/>
                <w:bCs/>
                <w:szCs w:val="22"/>
              </w:rPr>
              <w:t>Підготовка території для будівництва:</w:t>
            </w:r>
          </w:p>
          <w:p w14:paraId="3FAB2230" w14:textId="77777777" w:rsidR="005342D5" w:rsidRPr="0019790A" w:rsidRDefault="005342D5" w:rsidP="0068624E">
            <w:pPr>
              <w:numPr>
                <w:ilvl w:val="0"/>
                <w:numId w:val="44"/>
              </w:numPr>
              <w:tabs>
                <w:tab w:val="left" w:pos="327"/>
              </w:tabs>
              <w:ind w:left="0" w:firstLine="0"/>
              <w:jc w:val="both"/>
              <w:rPr>
                <w:rFonts w:cs="Arial"/>
                <w:szCs w:val="22"/>
              </w:rPr>
            </w:pPr>
            <w:r w:rsidRPr="0019790A">
              <w:rPr>
                <w:rFonts w:cs="Arial"/>
                <w:szCs w:val="22"/>
              </w:rPr>
              <w:t>Очищення, вирівнювання та планування земельної ділянки</w:t>
            </w:r>
          </w:p>
          <w:p w14:paraId="234B56F8" w14:textId="77777777" w:rsidR="005342D5" w:rsidRPr="0019790A" w:rsidRDefault="005342D5" w:rsidP="0068624E">
            <w:pPr>
              <w:numPr>
                <w:ilvl w:val="0"/>
                <w:numId w:val="44"/>
              </w:numPr>
              <w:tabs>
                <w:tab w:val="left" w:pos="327"/>
              </w:tabs>
              <w:ind w:left="0" w:firstLine="0"/>
              <w:jc w:val="both"/>
              <w:rPr>
                <w:rFonts w:cs="Arial"/>
                <w:szCs w:val="22"/>
              </w:rPr>
            </w:pPr>
            <w:r w:rsidRPr="0019790A">
              <w:rPr>
                <w:rFonts w:cs="Arial"/>
                <w:szCs w:val="22"/>
              </w:rPr>
              <w:t>Підведення необхідних комунікацій (електропостачання, водопостачання тощо).</w:t>
            </w:r>
          </w:p>
          <w:p w14:paraId="1C541F2B" w14:textId="77777777" w:rsidR="005342D5" w:rsidRPr="0019790A" w:rsidRDefault="005342D5" w:rsidP="0068624E">
            <w:pPr>
              <w:tabs>
                <w:tab w:val="left" w:pos="327"/>
              </w:tabs>
              <w:jc w:val="both"/>
              <w:rPr>
                <w:rFonts w:cs="Arial"/>
                <w:szCs w:val="22"/>
              </w:rPr>
            </w:pPr>
            <w:r w:rsidRPr="0019790A">
              <w:rPr>
                <w:rFonts w:cs="Arial"/>
                <w:szCs w:val="22"/>
              </w:rPr>
              <w:t xml:space="preserve">4.  </w:t>
            </w:r>
            <w:r w:rsidRPr="0019790A">
              <w:rPr>
                <w:rFonts w:cs="Arial"/>
                <w:b/>
                <w:bCs/>
                <w:szCs w:val="22"/>
              </w:rPr>
              <w:t>Будівництво спортивного об'єкта:</w:t>
            </w:r>
          </w:p>
          <w:p w14:paraId="623C7B80" w14:textId="77777777" w:rsidR="005342D5" w:rsidRPr="0019790A" w:rsidRDefault="005342D5" w:rsidP="0068624E">
            <w:pPr>
              <w:numPr>
                <w:ilvl w:val="0"/>
                <w:numId w:val="45"/>
              </w:numPr>
              <w:tabs>
                <w:tab w:val="left" w:pos="327"/>
              </w:tabs>
              <w:ind w:left="0" w:firstLine="0"/>
              <w:jc w:val="both"/>
              <w:rPr>
                <w:rFonts w:cs="Arial"/>
                <w:szCs w:val="22"/>
              </w:rPr>
            </w:pPr>
            <w:r w:rsidRPr="0019790A">
              <w:rPr>
                <w:rFonts w:cs="Arial"/>
                <w:szCs w:val="22"/>
              </w:rPr>
              <w:t>Укладання основи, дренажної системи та штучного (гумового) покриття</w:t>
            </w:r>
          </w:p>
          <w:p w14:paraId="455AD742" w14:textId="77777777" w:rsidR="005342D5" w:rsidRPr="0019790A" w:rsidRDefault="005342D5" w:rsidP="0068624E">
            <w:pPr>
              <w:numPr>
                <w:ilvl w:val="0"/>
                <w:numId w:val="45"/>
              </w:numPr>
              <w:tabs>
                <w:tab w:val="left" w:pos="327"/>
              </w:tabs>
              <w:ind w:left="0" w:firstLine="0"/>
              <w:jc w:val="both"/>
              <w:rPr>
                <w:rFonts w:cs="Arial"/>
                <w:szCs w:val="22"/>
              </w:rPr>
            </w:pPr>
            <w:r w:rsidRPr="0019790A">
              <w:rPr>
                <w:rFonts w:cs="Arial"/>
                <w:szCs w:val="22"/>
              </w:rPr>
              <w:t>Монтаж огорожі по периметру</w:t>
            </w:r>
          </w:p>
          <w:p w14:paraId="4900DF2F" w14:textId="77777777" w:rsidR="005342D5" w:rsidRPr="0019790A" w:rsidRDefault="005342D5" w:rsidP="0068624E">
            <w:pPr>
              <w:numPr>
                <w:ilvl w:val="0"/>
                <w:numId w:val="45"/>
              </w:numPr>
              <w:tabs>
                <w:tab w:val="left" w:pos="327"/>
              </w:tabs>
              <w:ind w:left="0" w:firstLine="0"/>
              <w:jc w:val="both"/>
              <w:rPr>
                <w:rFonts w:cs="Arial"/>
                <w:szCs w:val="22"/>
              </w:rPr>
            </w:pPr>
            <w:r w:rsidRPr="0019790A">
              <w:rPr>
                <w:rFonts w:cs="Arial"/>
                <w:szCs w:val="22"/>
              </w:rPr>
              <w:t>Встановлення спортивного обладнання (ворота, стійки, сітки)</w:t>
            </w:r>
          </w:p>
          <w:p w14:paraId="417EF09B" w14:textId="77777777" w:rsidR="005342D5" w:rsidRPr="0019790A" w:rsidRDefault="005342D5" w:rsidP="0068624E">
            <w:pPr>
              <w:numPr>
                <w:ilvl w:val="0"/>
                <w:numId w:val="45"/>
              </w:numPr>
              <w:tabs>
                <w:tab w:val="left" w:pos="327"/>
              </w:tabs>
              <w:ind w:left="0" w:firstLine="0"/>
              <w:jc w:val="both"/>
              <w:rPr>
                <w:rFonts w:cs="Arial"/>
                <w:szCs w:val="22"/>
              </w:rPr>
            </w:pPr>
            <w:r w:rsidRPr="0019790A">
              <w:rPr>
                <w:rFonts w:cs="Arial"/>
                <w:szCs w:val="22"/>
              </w:rPr>
              <w:t>Встановлення освітлення, огорожі, лавок та інших необхідних елементів інфраструктури.</w:t>
            </w:r>
          </w:p>
          <w:p w14:paraId="3DE13EAE" w14:textId="77777777" w:rsidR="005342D5" w:rsidRPr="0019790A" w:rsidRDefault="005342D5" w:rsidP="0068624E">
            <w:pPr>
              <w:tabs>
                <w:tab w:val="left" w:pos="327"/>
              </w:tabs>
              <w:jc w:val="both"/>
              <w:rPr>
                <w:rFonts w:cs="Arial"/>
                <w:szCs w:val="22"/>
              </w:rPr>
            </w:pPr>
            <w:r w:rsidRPr="0019790A">
              <w:rPr>
                <w:rFonts w:cs="Arial"/>
                <w:szCs w:val="22"/>
              </w:rPr>
              <w:t xml:space="preserve">5.  </w:t>
            </w:r>
            <w:r w:rsidRPr="0019790A">
              <w:rPr>
                <w:rFonts w:cs="Arial"/>
                <w:b/>
                <w:bCs/>
                <w:szCs w:val="22"/>
              </w:rPr>
              <w:t>Облаштування додаткової інфраструктури</w:t>
            </w:r>
          </w:p>
          <w:p w14:paraId="052E60EC" w14:textId="77777777" w:rsidR="005342D5" w:rsidRPr="0019790A" w:rsidRDefault="005342D5" w:rsidP="0068624E">
            <w:pPr>
              <w:numPr>
                <w:ilvl w:val="0"/>
                <w:numId w:val="46"/>
              </w:numPr>
              <w:tabs>
                <w:tab w:val="left" w:pos="327"/>
              </w:tabs>
              <w:ind w:left="0" w:firstLine="0"/>
              <w:jc w:val="both"/>
              <w:rPr>
                <w:rFonts w:cs="Arial"/>
                <w:szCs w:val="22"/>
              </w:rPr>
            </w:pPr>
            <w:r w:rsidRPr="0019790A">
              <w:rPr>
                <w:rFonts w:cs="Arial"/>
                <w:szCs w:val="22"/>
              </w:rPr>
              <w:t>Встановлення лавок, урн, освітлення</w:t>
            </w:r>
          </w:p>
          <w:p w14:paraId="5F48EAB1" w14:textId="77777777" w:rsidR="005342D5" w:rsidRPr="0019790A" w:rsidRDefault="005342D5" w:rsidP="0068624E">
            <w:pPr>
              <w:numPr>
                <w:ilvl w:val="0"/>
                <w:numId w:val="46"/>
              </w:numPr>
              <w:tabs>
                <w:tab w:val="left" w:pos="327"/>
              </w:tabs>
              <w:ind w:left="0" w:firstLine="0"/>
              <w:jc w:val="both"/>
              <w:rPr>
                <w:rFonts w:cs="Arial"/>
                <w:szCs w:val="22"/>
              </w:rPr>
            </w:pPr>
            <w:r w:rsidRPr="0019790A">
              <w:rPr>
                <w:rFonts w:cs="Arial"/>
                <w:szCs w:val="22"/>
              </w:rPr>
              <w:t>Встановлення тренажерної зони</w:t>
            </w:r>
          </w:p>
          <w:p w14:paraId="0B60618B" w14:textId="77777777" w:rsidR="005342D5" w:rsidRPr="0019790A" w:rsidRDefault="005342D5" w:rsidP="0068624E">
            <w:pPr>
              <w:numPr>
                <w:ilvl w:val="0"/>
                <w:numId w:val="46"/>
              </w:numPr>
              <w:tabs>
                <w:tab w:val="left" w:pos="327"/>
              </w:tabs>
              <w:ind w:left="0" w:firstLine="0"/>
              <w:jc w:val="both"/>
              <w:rPr>
                <w:rFonts w:cs="Arial"/>
                <w:szCs w:val="22"/>
              </w:rPr>
            </w:pPr>
            <w:r w:rsidRPr="0019790A">
              <w:rPr>
                <w:rFonts w:cs="Arial"/>
                <w:szCs w:val="22"/>
              </w:rPr>
              <w:t>Забезпечення доступності для людей з інвалідністю (пандуси, тактильні елементи тощо)</w:t>
            </w:r>
          </w:p>
          <w:p w14:paraId="0B8AD1CA" w14:textId="77777777" w:rsidR="005342D5" w:rsidRPr="0019790A" w:rsidRDefault="005342D5" w:rsidP="0068624E">
            <w:pPr>
              <w:tabs>
                <w:tab w:val="left" w:pos="327"/>
              </w:tabs>
              <w:jc w:val="both"/>
              <w:rPr>
                <w:rFonts w:cs="Arial"/>
                <w:szCs w:val="22"/>
              </w:rPr>
            </w:pPr>
            <w:r w:rsidRPr="0019790A">
              <w:rPr>
                <w:rFonts w:cs="Arial"/>
                <w:szCs w:val="22"/>
              </w:rPr>
              <w:t xml:space="preserve">6.  </w:t>
            </w:r>
            <w:r w:rsidRPr="0019790A">
              <w:rPr>
                <w:rFonts w:cs="Arial"/>
                <w:b/>
                <w:bCs/>
                <w:szCs w:val="22"/>
              </w:rPr>
              <w:t>Проведення інформаційної кампанії:</w:t>
            </w:r>
          </w:p>
          <w:p w14:paraId="679EE003" w14:textId="77777777" w:rsidR="005342D5" w:rsidRPr="0019790A" w:rsidRDefault="005342D5" w:rsidP="0068624E">
            <w:pPr>
              <w:numPr>
                <w:ilvl w:val="0"/>
                <w:numId w:val="47"/>
              </w:numPr>
              <w:tabs>
                <w:tab w:val="left" w:pos="327"/>
              </w:tabs>
              <w:ind w:left="0" w:firstLine="0"/>
              <w:jc w:val="both"/>
              <w:rPr>
                <w:rFonts w:cs="Arial"/>
                <w:szCs w:val="22"/>
              </w:rPr>
            </w:pPr>
            <w:r w:rsidRPr="0019790A">
              <w:rPr>
                <w:rFonts w:cs="Arial"/>
                <w:szCs w:val="22"/>
              </w:rPr>
              <w:t>Інформування населення про відкриття нового спортивного об'єкта та можливості для занять.</w:t>
            </w:r>
          </w:p>
          <w:p w14:paraId="5504C4AE" w14:textId="77777777" w:rsidR="005342D5" w:rsidRPr="0019790A" w:rsidRDefault="005342D5" w:rsidP="0068624E">
            <w:pPr>
              <w:numPr>
                <w:ilvl w:val="0"/>
                <w:numId w:val="47"/>
              </w:numPr>
              <w:tabs>
                <w:tab w:val="left" w:pos="327"/>
              </w:tabs>
              <w:ind w:left="0" w:firstLine="0"/>
              <w:jc w:val="both"/>
              <w:rPr>
                <w:rFonts w:cs="Arial"/>
                <w:szCs w:val="22"/>
              </w:rPr>
            </w:pPr>
            <w:r w:rsidRPr="0019790A">
              <w:rPr>
                <w:rFonts w:cs="Arial"/>
                <w:szCs w:val="22"/>
              </w:rPr>
              <w:t>Поширення інформації через місцеві ЗМІ, соціальні мережі та інші канали комунікації.</w:t>
            </w:r>
          </w:p>
          <w:p w14:paraId="32FA2F23" w14:textId="77777777" w:rsidR="005342D5" w:rsidRPr="0019790A" w:rsidRDefault="005342D5" w:rsidP="0068624E">
            <w:pPr>
              <w:tabs>
                <w:tab w:val="left" w:pos="327"/>
              </w:tabs>
              <w:jc w:val="both"/>
              <w:rPr>
                <w:rFonts w:cs="Arial"/>
                <w:szCs w:val="22"/>
              </w:rPr>
            </w:pPr>
            <w:r w:rsidRPr="0019790A">
              <w:rPr>
                <w:rFonts w:cs="Arial"/>
                <w:szCs w:val="22"/>
              </w:rPr>
              <w:t xml:space="preserve">7.  </w:t>
            </w:r>
            <w:r w:rsidRPr="0019790A">
              <w:rPr>
                <w:rFonts w:cs="Arial"/>
                <w:b/>
                <w:bCs/>
                <w:szCs w:val="22"/>
              </w:rPr>
              <w:t>Моніторинг та оцінка ефективності проєкту:</w:t>
            </w:r>
          </w:p>
          <w:p w14:paraId="42EF2915" w14:textId="77777777" w:rsidR="005342D5" w:rsidRPr="0019790A" w:rsidRDefault="005342D5" w:rsidP="0068624E">
            <w:pPr>
              <w:numPr>
                <w:ilvl w:val="0"/>
                <w:numId w:val="48"/>
              </w:numPr>
              <w:tabs>
                <w:tab w:val="left" w:pos="327"/>
              </w:tabs>
              <w:ind w:left="0" w:firstLine="0"/>
              <w:jc w:val="both"/>
              <w:rPr>
                <w:rFonts w:cs="Arial"/>
                <w:szCs w:val="22"/>
              </w:rPr>
            </w:pPr>
            <w:r w:rsidRPr="0019790A">
              <w:rPr>
                <w:rFonts w:cs="Arial"/>
                <w:szCs w:val="22"/>
              </w:rPr>
              <w:t>Відстеження кількості відвідувачів та учасників спортивних заходів..</w:t>
            </w:r>
          </w:p>
        </w:tc>
      </w:tr>
      <w:tr w:rsidR="005342D5" w:rsidRPr="0019790A" w14:paraId="670A6D44" w14:textId="77777777" w:rsidTr="0068624E">
        <w:trPr>
          <w:jc w:val="right"/>
        </w:trPr>
        <w:tc>
          <w:tcPr>
            <w:tcW w:w="3423" w:type="dxa"/>
            <w:shd w:val="clear" w:color="auto" w:fill="FFFFFF"/>
            <w:vAlign w:val="center"/>
          </w:tcPr>
          <w:p w14:paraId="04A3EEFA" w14:textId="77777777" w:rsidR="005342D5" w:rsidRPr="0019790A" w:rsidRDefault="005342D5" w:rsidP="0019790A">
            <w:pPr>
              <w:rPr>
                <w:rFonts w:cs="Arial"/>
                <w:b/>
                <w:bCs/>
                <w:szCs w:val="22"/>
              </w:rPr>
            </w:pPr>
            <w:r w:rsidRPr="0019790A">
              <w:rPr>
                <w:rFonts w:cs="Arial"/>
                <w:b/>
                <w:bCs/>
                <w:szCs w:val="22"/>
              </w:rPr>
              <w:t>Індикатори (показники) результативності:</w:t>
            </w:r>
          </w:p>
        </w:tc>
        <w:tc>
          <w:tcPr>
            <w:tcW w:w="6796" w:type="dxa"/>
            <w:gridSpan w:val="8"/>
            <w:vAlign w:val="center"/>
          </w:tcPr>
          <w:p w14:paraId="2013AEAF" w14:textId="77777777" w:rsidR="005342D5" w:rsidRPr="0019790A" w:rsidRDefault="005342D5" w:rsidP="0068624E">
            <w:pPr>
              <w:tabs>
                <w:tab w:val="left" w:pos="327"/>
              </w:tabs>
              <w:jc w:val="both"/>
              <w:rPr>
                <w:rFonts w:cs="Arial"/>
                <w:szCs w:val="22"/>
              </w:rPr>
            </w:pPr>
            <w:r w:rsidRPr="0019790A">
              <w:rPr>
                <w:rFonts w:cs="Arial"/>
                <w:szCs w:val="22"/>
              </w:rPr>
              <w:t>1.  Побудова футбольних майданчиків зі штучним покриттям</w:t>
            </w:r>
          </w:p>
          <w:p w14:paraId="2E213C74" w14:textId="77777777" w:rsidR="005342D5" w:rsidRPr="0019790A" w:rsidRDefault="005342D5" w:rsidP="0068624E">
            <w:pPr>
              <w:tabs>
                <w:tab w:val="left" w:pos="327"/>
              </w:tabs>
              <w:jc w:val="both"/>
              <w:rPr>
                <w:rFonts w:cs="Arial"/>
                <w:szCs w:val="22"/>
              </w:rPr>
            </w:pPr>
            <w:r w:rsidRPr="0019790A">
              <w:rPr>
                <w:rFonts w:cs="Arial"/>
                <w:szCs w:val="22"/>
              </w:rPr>
              <w:t>2.  Залучення щонайменше 15000 мешканців громади до занять спортом.</w:t>
            </w:r>
          </w:p>
          <w:p w14:paraId="4C18EF8D" w14:textId="77777777" w:rsidR="005342D5" w:rsidRPr="0019790A" w:rsidRDefault="005342D5" w:rsidP="0068624E">
            <w:pPr>
              <w:tabs>
                <w:tab w:val="left" w:pos="327"/>
              </w:tabs>
              <w:jc w:val="both"/>
              <w:rPr>
                <w:rFonts w:cs="Arial"/>
                <w:szCs w:val="22"/>
              </w:rPr>
            </w:pPr>
            <w:r w:rsidRPr="0019790A">
              <w:rPr>
                <w:rFonts w:cs="Arial"/>
                <w:szCs w:val="22"/>
              </w:rPr>
              <w:t>3.  Проведення регулярних спортивних змагань, тренувань та дозвіллєвих заходів.</w:t>
            </w:r>
          </w:p>
          <w:p w14:paraId="73AAE403" w14:textId="1147FAE7" w:rsidR="005342D5" w:rsidRPr="0019790A" w:rsidRDefault="005342D5" w:rsidP="0068624E">
            <w:pPr>
              <w:tabs>
                <w:tab w:val="left" w:pos="327"/>
              </w:tabs>
              <w:jc w:val="both"/>
              <w:rPr>
                <w:rFonts w:cs="Arial"/>
                <w:szCs w:val="22"/>
              </w:rPr>
            </w:pPr>
            <w:r w:rsidRPr="0019790A">
              <w:rPr>
                <w:rFonts w:cs="Arial"/>
                <w:szCs w:val="22"/>
              </w:rPr>
              <w:t>4.  Підвищення рівня фізичної активності серед дітей, молоді, населення середнього та пенсійного віку, людей з інвалідністю.</w:t>
            </w:r>
          </w:p>
          <w:p w14:paraId="7DFA4797" w14:textId="77777777" w:rsidR="005342D5" w:rsidRPr="0019790A" w:rsidRDefault="005342D5" w:rsidP="0068624E">
            <w:pPr>
              <w:tabs>
                <w:tab w:val="left" w:pos="327"/>
              </w:tabs>
              <w:jc w:val="both"/>
              <w:rPr>
                <w:rFonts w:cs="Arial"/>
                <w:szCs w:val="22"/>
              </w:rPr>
            </w:pPr>
            <w:r w:rsidRPr="0019790A">
              <w:rPr>
                <w:rFonts w:cs="Arial"/>
                <w:szCs w:val="22"/>
              </w:rPr>
              <w:t>5.  Залучення до спорту понад 60% місцевого населення.</w:t>
            </w:r>
          </w:p>
          <w:p w14:paraId="0599597B" w14:textId="77777777" w:rsidR="005342D5" w:rsidRPr="0019790A" w:rsidRDefault="005342D5" w:rsidP="0068624E">
            <w:pPr>
              <w:tabs>
                <w:tab w:val="left" w:pos="327"/>
              </w:tabs>
              <w:jc w:val="both"/>
              <w:rPr>
                <w:rFonts w:cs="Arial"/>
                <w:szCs w:val="22"/>
              </w:rPr>
            </w:pPr>
            <w:r w:rsidRPr="0019790A">
              <w:rPr>
                <w:rFonts w:cs="Arial"/>
                <w:szCs w:val="22"/>
              </w:rPr>
              <w:t>6.  Поява нового простору для самореалізації та дозвілля.</w:t>
            </w:r>
          </w:p>
        </w:tc>
      </w:tr>
      <w:tr w:rsidR="005342D5" w:rsidRPr="0019790A" w14:paraId="75EB3CA2" w14:textId="77777777" w:rsidTr="0068624E">
        <w:trPr>
          <w:jc w:val="right"/>
        </w:trPr>
        <w:tc>
          <w:tcPr>
            <w:tcW w:w="3423" w:type="dxa"/>
            <w:shd w:val="clear" w:color="auto" w:fill="FFFFFF"/>
            <w:vAlign w:val="center"/>
          </w:tcPr>
          <w:p w14:paraId="160EC2A4" w14:textId="77777777" w:rsidR="005342D5" w:rsidRPr="0019790A" w:rsidRDefault="005342D5" w:rsidP="0019790A">
            <w:pPr>
              <w:rPr>
                <w:rFonts w:cs="Arial"/>
                <w:b/>
                <w:szCs w:val="22"/>
              </w:rPr>
            </w:pPr>
            <w:r w:rsidRPr="0019790A">
              <w:rPr>
                <w:rFonts w:cs="Arial"/>
                <w:b/>
                <w:szCs w:val="22"/>
              </w:rPr>
              <w:t xml:space="preserve">Період здійснення: </w:t>
            </w:r>
          </w:p>
        </w:tc>
        <w:tc>
          <w:tcPr>
            <w:tcW w:w="6796" w:type="dxa"/>
            <w:gridSpan w:val="8"/>
            <w:vAlign w:val="center"/>
          </w:tcPr>
          <w:p w14:paraId="4F4DC77F" w14:textId="77777777" w:rsidR="005342D5" w:rsidRPr="0019790A" w:rsidRDefault="005342D5" w:rsidP="0019790A">
            <w:pPr>
              <w:rPr>
                <w:rFonts w:cs="Arial"/>
                <w:szCs w:val="22"/>
              </w:rPr>
            </w:pPr>
            <w:r w:rsidRPr="0019790A">
              <w:rPr>
                <w:rFonts w:cs="Arial"/>
                <w:b/>
                <w:szCs w:val="22"/>
              </w:rPr>
              <w:t>2025 – 2028 роки:</w:t>
            </w:r>
          </w:p>
        </w:tc>
      </w:tr>
      <w:tr w:rsidR="005342D5" w:rsidRPr="0019790A" w14:paraId="304E73C0" w14:textId="77777777" w:rsidTr="0068624E">
        <w:trPr>
          <w:jc w:val="right"/>
        </w:trPr>
        <w:tc>
          <w:tcPr>
            <w:tcW w:w="3423" w:type="dxa"/>
            <w:vMerge w:val="restart"/>
            <w:shd w:val="clear" w:color="auto" w:fill="FFFFFF"/>
            <w:vAlign w:val="center"/>
          </w:tcPr>
          <w:p w14:paraId="5C820976" w14:textId="77777777" w:rsidR="005342D5" w:rsidRPr="0019790A" w:rsidRDefault="005342D5" w:rsidP="0019790A">
            <w:pPr>
              <w:rPr>
                <w:rFonts w:cs="Arial"/>
                <w:b/>
                <w:bCs/>
                <w:szCs w:val="22"/>
              </w:rPr>
            </w:pPr>
            <w:r w:rsidRPr="0019790A">
              <w:rPr>
                <w:rFonts w:cs="Arial"/>
                <w:b/>
                <w:bCs/>
                <w:szCs w:val="22"/>
              </w:rPr>
              <w:t>Орієнтовна вартість проєкту, тис. грн., в тому числі:</w:t>
            </w:r>
          </w:p>
        </w:tc>
        <w:tc>
          <w:tcPr>
            <w:tcW w:w="1254" w:type="dxa"/>
            <w:shd w:val="clear" w:color="auto" w:fill="E6E6E6"/>
            <w:vAlign w:val="center"/>
          </w:tcPr>
          <w:p w14:paraId="03B1E264" w14:textId="77777777" w:rsidR="005342D5" w:rsidRPr="0019790A" w:rsidRDefault="005342D5" w:rsidP="0068624E">
            <w:pPr>
              <w:jc w:val="center"/>
              <w:rPr>
                <w:rFonts w:cs="Arial"/>
                <w:b/>
                <w:szCs w:val="22"/>
              </w:rPr>
            </w:pPr>
            <w:r w:rsidRPr="0019790A">
              <w:rPr>
                <w:rFonts w:cs="Arial"/>
                <w:b/>
                <w:szCs w:val="22"/>
              </w:rPr>
              <w:t>2025</w:t>
            </w:r>
          </w:p>
        </w:tc>
        <w:tc>
          <w:tcPr>
            <w:tcW w:w="1275" w:type="dxa"/>
            <w:shd w:val="clear" w:color="auto" w:fill="E6E6E6"/>
            <w:vAlign w:val="center"/>
          </w:tcPr>
          <w:p w14:paraId="5A46C6BB" w14:textId="77777777" w:rsidR="005342D5" w:rsidRPr="0019790A" w:rsidRDefault="005342D5" w:rsidP="0068624E">
            <w:pPr>
              <w:jc w:val="center"/>
              <w:rPr>
                <w:rFonts w:cs="Arial"/>
                <w:b/>
                <w:szCs w:val="22"/>
              </w:rPr>
            </w:pPr>
            <w:r w:rsidRPr="0019790A">
              <w:rPr>
                <w:rFonts w:cs="Arial"/>
                <w:b/>
                <w:szCs w:val="22"/>
              </w:rPr>
              <w:t>2026</w:t>
            </w:r>
          </w:p>
        </w:tc>
        <w:tc>
          <w:tcPr>
            <w:tcW w:w="1418" w:type="dxa"/>
            <w:gridSpan w:val="2"/>
            <w:tcBorders>
              <w:bottom w:val="single" w:sz="4" w:space="0" w:color="auto"/>
            </w:tcBorders>
            <w:shd w:val="clear" w:color="auto" w:fill="E6E6E6"/>
            <w:vAlign w:val="center"/>
          </w:tcPr>
          <w:p w14:paraId="6842DACF" w14:textId="77777777" w:rsidR="005342D5" w:rsidRPr="0019790A" w:rsidRDefault="005342D5" w:rsidP="0068624E">
            <w:pPr>
              <w:jc w:val="center"/>
              <w:rPr>
                <w:rFonts w:cs="Arial"/>
                <w:b/>
                <w:szCs w:val="22"/>
              </w:rPr>
            </w:pPr>
            <w:r w:rsidRPr="0019790A">
              <w:rPr>
                <w:rFonts w:cs="Arial"/>
                <w:b/>
                <w:szCs w:val="22"/>
              </w:rPr>
              <w:t>2027</w:t>
            </w:r>
          </w:p>
        </w:tc>
        <w:tc>
          <w:tcPr>
            <w:tcW w:w="1276" w:type="dxa"/>
            <w:gridSpan w:val="2"/>
            <w:shd w:val="clear" w:color="auto" w:fill="E6E6E6"/>
            <w:vAlign w:val="center"/>
          </w:tcPr>
          <w:p w14:paraId="67D12019" w14:textId="77777777" w:rsidR="005342D5" w:rsidRPr="0019790A" w:rsidRDefault="005342D5" w:rsidP="0068624E">
            <w:pPr>
              <w:jc w:val="center"/>
              <w:rPr>
                <w:rFonts w:cs="Arial"/>
                <w:b/>
                <w:szCs w:val="22"/>
              </w:rPr>
            </w:pPr>
            <w:r w:rsidRPr="0019790A">
              <w:rPr>
                <w:rFonts w:cs="Arial"/>
                <w:b/>
                <w:szCs w:val="22"/>
              </w:rPr>
              <w:t>2028</w:t>
            </w:r>
          </w:p>
        </w:tc>
        <w:tc>
          <w:tcPr>
            <w:tcW w:w="1573" w:type="dxa"/>
            <w:gridSpan w:val="2"/>
            <w:shd w:val="clear" w:color="auto" w:fill="E6E6E6"/>
            <w:vAlign w:val="center"/>
          </w:tcPr>
          <w:p w14:paraId="5CC9444F" w14:textId="77777777" w:rsidR="005342D5" w:rsidRPr="0019790A" w:rsidRDefault="005342D5" w:rsidP="0068624E">
            <w:pPr>
              <w:jc w:val="center"/>
              <w:rPr>
                <w:rFonts w:cs="Arial"/>
                <w:b/>
                <w:szCs w:val="22"/>
              </w:rPr>
            </w:pPr>
            <w:r w:rsidRPr="0019790A">
              <w:rPr>
                <w:rFonts w:cs="Arial"/>
                <w:b/>
                <w:szCs w:val="22"/>
              </w:rPr>
              <w:t>РАЗОМ</w:t>
            </w:r>
          </w:p>
        </w:tc>
      </w:tr>
      <w:tr w:rsidR="005342D5" w:rsidRPr="0019790A" w14:paraId="425FF60C" w14:textId="77777777" w:rsidTr="0068624E">
        <w:trPr>
          <w:jc w:val="right"/>
        </w:trPr>
        <w:tc>
          <w:tcPr>
            <w:tcW w:w="3423" w:type="dxa"/>
            <w:vMerge/>
            <w:shd w:val="clear" w:color="auto" w:fill="FFFFFF"/>
            <w:vAlign w:val="center"/>
          </w:tcPr>
          <w:p w14:paraId="4CBB598D" w14:textId="77777777" w:rsidR="005342D5" w:rsidRPr="0019790A" w:rsidRDefault="005342D5" w:rsidP="0019790A">
            <w:pPr>
              <w:rPr>
                <w:rFonts w:cs="Arial"/>
                <w:b/>
                <w:bCs/>
                <w:szCs w:val="22"/>
              </w:rPr>
            </w:pPr>
          </w:p>
        </w:tc>
        <w:tc>
          <w:tcPr>
            <w:tcW w:w="1254" w:type="dxa"/>
            <w:vAlign w:val="center"/>
          </w:tcPr>
          <w:p w14:paraId="4A675708" w14:textId="77777777" w:rsidR="005342D5" w:rsidRPr="0019790A" w:rsidRDefault="005342D5" w:rsidP="0068624E">
            <w:pPr>
              <w:jc w:val="center"/>
              <w:rPr>
                <w:rFonts w:cs="Arial"/>
                <w:b/>
                <w:szCs w:val="22"/>
              </w:rPr>
            </w:pPr>
          </w:p>
        </w:tc>
        <w:tc>
          <w:tcPr>
            <w:tcW w:w="1275" w:type="dxa"/>
            <w:shd w:val="clear" w:color="auto" w:fill="FFFFFF"/>
            <w:vAlign w:val="center"/>
          </w:tcPr>
          <w:p w14:paraId="79829B74" w14:textId="77777777" w:rsidR="005342D5" w:rsidRPr="0019790A" w:rsidRDefault="005342D5" w:rsidP="0068624E">
            <w:pPr>
              <w:jc w:val="center"/>
              <w:rPr>
                <w:rFonts w:cs="Arial"/>
                <w:b/>
                <w:szCs w:val="22"/>
              </w:rPr>
            </w:pPr>
            <w:r w:rsidRPr="0019790A">
              <w:rPr>
                <w:rFonts w:cs="Arial"/>
                <w:b/>
                <w:szCs w:val="22"/>
              </w:rPr>
              <w:t>12840,0</w:t>
            </w:r>
          </w:p>
        </w:tc>
        <w:tc>
          <w:tcPr>
            <w:tcW w:w="1418" w:type="dxa"/>
            <w:gridSpan w:val="2"/>
            <w:shd w:val="clear" w:color="auto" w:fill="auto"/>
            <w:vAlign w:val="center"/>
          </w:tcPr>
          <w:p w14:paraId="2292B145" w14:textId="77777777" w:rsidR="005342D5" w:rsidRPr="0019790A" w:rsidRDefault="005342D5" w:rsidP="0068624E">
            <w:pPr>
              <w:jc w:val="center"/>
              <w:rPr>
                <w:rFonts w:cs="Arial"/>
                <w:b/>
                <w:szCs w:val="22"/>
              </w:rPr>
            </w:pPr>
            <w:r w:rsidRPr="0019790A">
              <w:rPr>
                <w:rFonts w:cs="Arial"/>
                <w:b/>
                <w:szCs w:val="22"/>
              </w:rPr>
              <w:t>12840,0</w:t>
            </w:r>
          </w:p>
        </w:tc>
        <w:tc>
          <w:tcPr>
            <w:tcW w:w="1276" w:type="dxa"/>
            <w:gridSpan w:val="2"/>
            <w:shd w:val="clear" w:color="auto" w:fill="FFFFFF"/>
            <w:vAlign w:val="center"/>
          </w:tcPr>
          <w:p w14:paraId="70A76EEB" w14:textId="77777777" w:rsidR="005342D5" w:rsidRPr="0019790A" w:rsidRDefault="005342D5" w:rsidP="0068624E">
            <w:pPr>
              <w:jc w:val="center"/>
              <w:rPr>
                <w:rFonts w:cs="Arial"/>
                <w:b/>
                <w:szCs w:val="22"/>
              </w:rPr>
            </w:pPr>
            <w:r w:rsidRPr="0019790A">
              <w:rPr>
                <w:rFonts w:cs="Arial"/>
                <w:b/>
                <w:szCs w:val="22"/>
              </w:rPr>
              <w:t>12840,0</w:t>
            </w:r>
          </w:p>
        </w:tc>
        <w:tc>
          <w:tcPr>
            <w:tcW w:w="1573" w:type="dxa"/>
            <w:gridSpan w:val="2"/>
            <w:shd w:val="clear" w:color="auto" w:fill="FFFFFF"/>
            <w:vAlign w:val="center"/>
          </w:tcPr>
          <w:p w14:paraId="625718D1" w14:textId="77777777" w:rsidR="005342D5" w:rsidRPr="0019790A" w:rsidRDefault="005342D5" w:rsidP="0068624E">
            <w:pPr>
              <w:jc w:val="center"/>
              <w:rPr>
                <w:rFonts w:cs="Arial"/>
                <w:b/>
                <w:szCs w:val="22"/>
              </w:rPr>
            </w:pPr>
            <w:r w:rsidRPr="0019790A">
              <w:rPr>
                <w:rFonts w:cs="Arial"/>
                <w:b/>
                <w:szCs w:val="22"/>
              </w:rPr>
              <w:t>38520,0</w:t>
            </w:r>
          </w:p>
        </w:tc>
      </w:tr>
      <w:tr w:rsidR="005342D5" w:rsidRPr="0019790A" w14:paraId="1B463FFB" w14:textId="77777777" w:rsidTr="0068624E">
        <w:trPr>
          <w:trHeight w:val="276"/>
          <w:jc w:val="right"/>
        </w:trPr>
        <w:tc>
          <w:tcPr>
            <w:tcW w:w="3423" w:type="dxa"/>
            <w:shd w:val="clear" w:color="auto" w:fill="FFFFFF"/>
            <w:vAlign w:val="center"/>
          </w:tcPr>
          <w:p w14:paraId="766F0851" w14:textId="77777777" w:rsidR="005342D5" w:rsidRPr="0019790A" w:rsidRDefault="005342D5" w:rsidP="0019790A">
            <w:pPr>
              <w:rPr>
                <w:rFonts w:cs="Arial"/>
                <w:b/>
                <w:bCs/>
                <w:szCs w:val="22"/>
              </w:rPr>
            </w:pPr>
            <w:r w:rsidRPr="0019790A">
              <w:rPr>
                <w:rFonts w:cs="Arial"/>
                <w:b/>
                <w:bCs/>
                <w:szCs w:val="22"/>
              </w:rPr>
              <w:t>по джерелах фінансування:</w:t>
            </w:r>
          </w:p>
        </w:tc>
        <w:tc>
          <w:tcPr>
            <w:tcW w:w="6796" w:type="dxa"/>
            <w:gridSpan w:val="8"/>
            <w:vAlign w:val="center"/>
          </w:tcPr>
          <w:p w14:paraId="1C9F0317" w14:textId="77777777" w:rsidR="005342D5" w:rsidRPr="0019790A" w:rsidRDefault="005342D5" w:rsidP="0068624E">
            <w:pPr>
              <w:jc w:val="center"/>
              <w:rPr>
                <w:rFonts w:cs="Arial"/>
                <w:szCs w:val="22"/>
              </w:rPr>
            </w:pPr>
          </w:p>
        </w:tc>
      </w:tr>
      <w:tr w:rsidR="0068624E" w:rsidRPr="0019790A" w14:paraId="6826FC59" w14:textId="2CEA47F3" w:rsidTr="0068624E">
        <w:trPr>
          <w:trHeight w:val="240"/>
          <w:jc w:val="right"/>
        </w:trPr>
        <w:tc>
          <w:tcPr>
            <w:tcW w:w="3423" w:type="dxa"/>
            <w:shd w:val="clear" w:color="auto" w:fill="FFFFFF"/>
            <w:vAlign w:val="center"/>
          </w:tcPr>
          <w:p w14:paraId="7111439E" w14:textId="77777777" w:rsidR="0068624E" w:rsidRPr="0019790A" w:rsidRDefault="0068624E" w:rsidP="0019790A">
            <w:pPr>
              <w:rPr>
                <w:rFonts w:cs="Arial"/>
                <w:b/>
                <w:bCs/>
                <w:szCs w:val="22"/>
              </w:rPr>
            </w:pPr>
            <w:r w:rsidRPr="0019790A">
              <w:rPr>
                <w:rFonts w:cs="Arial"/>
                <w:szCs w:val="22"/>
              </w:rPr>
              <w:t>- державний бюджет</w:t>
            </w:r>
          </w:p>
        </w:tc>
        <w:tc>
          <w:tcPr>
            <w:tcW w:w="1254" w:type="dxa"/>
            <w:vAlign w:val="center"/>
          </w:tcPr>
          <w:p w14:paraId="3E5BF085" w14:textId="77777777" w:rsidR="0068624E" w:rsidRPr="0019790A" w:rsidRDefault="0068624E" w:rsidP="0068624E">
            <w:pPr>
              <w:jc w:val="center"/>
              <w:rPr>
                <w:rFonts w:cs="Arial"/>
                <w:szCs w:val="22"/>
              </w:rPr>
            </w:pPr>
          </w:p>
        </w:tc>
        <w:tc>
          <w:tcPr>
            <w:tcW w:w="1302" w:type="dxa"/>
            <w:gridSpan w:val="2"/>
            <w:vAlign w:val="center"/>
          </w:tcPr>
          <w:p w14:paraId="2E3A4E9E" w14:textId="77777777" w:rsidR="0068624E" w:rsidRPr="0019790A" w:rsidRDefault="0068624E" w:rsidP="0068624E">
            <w:pPr>
              <w:jc w:val="center"/>
              <w:rPr>
                <w:rFonts w:cs="Arial"/>
                <w:szCs w:val="22"/>
              </w:rPr>
            </w:pPr>
          </w:p>
        </w:tc>
        <w:tc>
          <w:tcPr>
            <w:tcW w:w="1427" w:type="dxa"/>
            <w:gridSpan w:val="2"/>
            <w:vAlign w:val="center"/>
          </w:tcPr>
          <w:p w14:paraId="349D9C3A" w14:textId="77777777" w:rsidR="0068624E" w:rsidRPr="0019790A" w:rsidRDefault="0068624E" w:rsidP="0068624E">
            <w:pPr>
              <w:jc w:val="center"/>
              <w:rPr>
                <w:rFonts w:cs="Arial"/>
                <w:szCs w:val="22"/>
              </w:rPr>
            </w:pPr>
          </w:p>
        </w:tc>
        <w:tc>
          <w:tcPr>
            <w:tcW w:w="1315" w:type="dxa"/>
            <w:gridSpan w:val="2"/>
            <w:vAlign w:val="center"/>
          </w:tcPr>
          <w:p w14:paraId="6C84B4AA" w14:textId="77777777" w:rsidR="0068624E" w:rsidRPr="0019790A" w:rsidRDefault="0068624E" w:rsidP="0068624E">
            <w:pPr>
              <w:jc w:val="center"/>
              <w:rPr>
                <w:rFonts w:cs="Arial"/>
                <w:szCs w:val="22"/>
              </w:rPr>
            </w:pPr>
          </w:p>
        </w:tc>
        <w:tc>
          <w:tcPr>
            <w:tcW w:w="1498" w:type="dxa"/>
            <w:vAlign w:val="center"/>
          </w:tcPr>
          <w:p w14:paraId="32D7054D" w14:textId="77777777" w:rsidR="0068624E" w:rsidRPr="0019790A" w:rsidRDefault="0068624E" w:rsidP="0068624E">
            <w:pPr>
              <w:jc w:val="center"/>
              <w:rPr>
                <w:rFonts w:cs="Arial"/>
                <w:szCs w:val="22"/>
              </w:rPr>
            </w:pPr>
          </w:p>
        </w:tc>
      </w:tr>
      <w:tr w:rsidR="0068624E" w:rsidRPr="0019790A" w14:paraId="7278DFBC" w14:textId="47A31390" w:rsidTr="0068624E">
        <w:trPr>
          <w:trHeight w:val="254"/>
          <w:jc w:val="right"/>
        </w:trPr>
        <w:tc>
          <w:tcPr>
            <w:tcW w:w="3423" w:type="dxa"/>
            <w:shd w:val="clear" w:color="auto" w:fill="FFFFFF"/>
            <w:vAlign w:val="center"/>
          </w:tcPr>
          <w:p w14:paraId="3AABE0F6" w14:textId="77777777" w:rsidR="0068624E" w:rsidRPr="0019790A" w:rsidRDefault="0068624E" w:rsidP="0019790A">
            <w:pPr>
              <w:rPr>
                <w:rFonts w:cs="Arial"/>
                <w:szCs w:val="22"/>
              </w:rPr>
            </w:pPr>
            <w:r w:rsidRPr="0019790A">
              <w:rPr>
                <w:rFonts w:cs="Arial"/>
                <w:szCs w:val="22"/>
              </w:rPr>
              <w:t>- обласний бюджет</w:t>
            </w:r>
          </w:p>
        </w:tc>
        <w:tc>
          <w:tcPr>
            <w:tcW w:w="1254" w:type="dxa"/>
            <w:vAlign w:val="center"/>
          </w:tcPr>
          <w:p w14:paraId="6EE21628" w14:textId="2BA4A4DD" w:rsidR="0068624E" w:rsidRPr="0019790A" w:rsidRDefault="0068624E" w:rsidP="0068624E">
            <w:pPr>
              <w:jc w:val="center"/>
              <w:rPr>
                <w:rFonts w:cs="Arial"/>
                <w:szCs w:val="22"/>
              </w:rPr>
            </w:pPr>
          </w:p>
        </w:tc>
        <w:tc>
          <w:tcPr>
            <w:tcW w:w="1302" w:type="dxa"/>
            <w:gridSpan w:val="2"/>
            <w:vAlign w:val="center"/>
          </w:tcPr>
          <w:p w14:paraId="2F6EBDA6" w14:textId="77777777" w:rsidR="0068624E" w:rsidRPr="0019790A" w:rsidRDefault="0068624E" w:rsidP="0068624E">
            <w:pPr>
              <w:jc w:val="center"/>
              <w:rPr>
                <w:rFonts w:cs="Arial"/>
                <w:szCs w:val="22"/>
              </w:rPr>
            </w:pPr>
          </w:p>
        </w:tc>
        <w:tc>
          <w:tcPr>
            <w:tcW w:w="1427" w:type="dxa"/>
            <w:gridSpan w:val="2"/>
            <w:vAlign w:val="center"/>
          </w:tcPr>
          <w:p w14:paraId="22544EB4" w14:textId="77777777" w:rsidR="0068624E" w:rsidRPr="0019790A" w:rsidRDefault="0068624E" w:rsidP="0068624E">
            <w:pPr>
              <w:jc w:val="center"/>
              <w:rPr>
                <w:rFonts w:cs="Arial"/>
                <w:szCs w:val="22"/>
              </w:rPr>
            </w:pPr>
          </w:p>
        </w:tc>
        <w:tc>
          <w:tcPr>
            <w:tcW w:w="1315" w:type="dxa"/>
            <w:gridSpan w:val="2"/>
            <w:vAlign w:val="center"/>
          </w:tcPr>
          <w:p w14:paraId="0538B98B" w14:textId="77777777" w:rsidR="0068624E" w:rsidRPr="0019790A" w:rsidRDefault="0068624E" w:rsidP="0068624E">
            <w:pPr>
              <w:jc w:val="center"/>
              <w:rPr>
                <w:rFonts w:cs="Arial"/>
                <w:szCs w:val="22"/>
              </w:rPr>
            </w:pPr>
          </w:p>
        </w:tc>
        <w:tc>
          <w:tcPr>
            <w:tcW w:w="1498" w:type="dxa"/>
            <w:vAlign w:val="center"/>
          </w:tcPr>
          <w:p w14:paraId="56324ACF" w14:textId="77777777" w:rsidR="0068624E" w:rsidRPr="0019790A" w:rsidRDefault="0068624E" w:rsidP="0068624E">
            <w:pPr>
              <w:jc w:val="center"/>
              <w:rPr>
                <w:rFonts w:cs="Arial"/>
                <w:szCs w:val="22"/>
              </w:rPr>
            </w:pPr>
          </w:p>
        </w:tc>
      </w:tr>
      <w:tr w:rsidR="0068624E" w:rsidRPr="0019790A" w14:paraId="3A96ACAC" w14:textId="4A8E29EC" w:rsidTr="0068624E">
        <w:trPr>
          <w:trHeight w:val="275"/>
          <w:jc w:val="right"/>
        </w:trPr>
        <w:tc>
          <w:tcPr>
            <w:tcW w:w="3423" w:type="dxa"/>
            <w:shd w:val="clear" w:color="auto" w:fill="FFFFFF"/>
            <w:vAlign w:val="center"/>
          </w:tcPr>
          <w:p w14:paraId="222C1C05" w14:textId="77777777" w:rsidR="0068624E" w:rsidRPr="0019790A" w:rsidRDefault="0068624E" w:rsidP="0068624E">
            <w:pPr>
              <w:rPr>
                <w:rFonts w:cs="Arial"/>
                <w:szCs w:val="22"/>
              </w:rPr>
            </w:pPr>
            <w:r w:rsidRPr="0019790A">
              <w:rPr>
                <w:rFonts w:cs="Arial"/>
                <w:szCs w:val="22"/>
              </w:rPr>
              <w:t>- бюджет Жмеринської МТГ</w:t>
            </w:r>
          </w:p>
        </w:tc>
        <w:tc>
          <w:tcPr>
            <w:tcW w:w="1254" w:type="dxa"/>
            <w:vAlign w:val="center"/>
          </w:tcPr>
          <w:p w14:paraId="113BB4E0" w14:textId="66558E4C" w:rsidR="0068624E" w:rsidRPr="0019790A" w:rsidRDefault="0068624E" w:rsidP="0068624E">
            <w:pPr>
              <w:jc w:val="center"/>
              <w:rPr>
                <w:rFonts w:cs="Arial"/>
                <w:szCs w:val="22"/>
              </w:rPr>
            </w:pPr>
          </w:p>
        </w:tc>
        <w:tc>
          <w:tcPr>
            <w:tcW w:w="1302" w:type="dxa"/>
            <w:gridSpan w:val="2"/>
            <w:vAlign w:val="center"/>
          </w:tcPr>
          <w:p w14:paraId="237D5C87" w14:textId="4F1F52B8" w:rsidR="0068624E" w:rsidRPr="0068624E" w:rsidRDefault="0068624E" w:rsidP="0068624E">
            <w:pPr>
              <w:jc w:val="center"/>
              <w:rPr>
                <w:rFonts w:cs="Arial"/>
                <w:szCs w:val="22"/>
              </w:rPr>
            </w:pPr>
            <w:r w:rsidRPr="0068624E">
              <w:rPr>
                <w:rFonts w:cs="Arial"/>
                <w:szCs w:val="22"/>
              </w:rPr>
              <w:t>12840,0</w:t>
            </w:r>
          </w:p>
        </w:tc>
        <w:tc>
          <w:tcPr>
            <w:tcW w:w="1427" w:type="dxa"/>
            <w:gridSpan w:val="2"/>
            <w:vAlign w:val="center"/>
          </w:tcPr>
          <w:p w14:paraId="50E490A1" w14:textId="7FB53807" w:rsidR="0068624E" w:rsidRPr="0068624E" w:rsidRDefault="0068624E" w:rsidP="0068624E">
            <w:pPr>
              <w:jc w:val="center"/>
              <w:rPr>
                <w:rFonts w:cs="Arial"/>
                <w:szCs w:val="22"/>
              </w:rPr>
            </w:pPr>
            <w:r w:rsidRPr="0068624E">
              <w:rPr>
                <w:rFonts w:cs="Arial"/>
                <w:szCs w:val="22"/>
              </w:rPr>
              <w:t>12840,0</w:t>
            </w:r>
          </w:p>
        </w:tc>
        <w:tc>
          <w:tcPr>
            <w:tcW w:w="1315" w:type="dxa"/>
            <w:gridSpan w:val="2"/>
            <w:vAlign w:val="center"/>
          </w:tcPr>
          <w:p w14:paraId="58355F1A" w14:textId="663366EB" w:rsidR="0068624E" w:rsidRPr="0068624E" w:rsidRDefault="0068624E" w:rsidP="0068624E">
            <w:pPr>
              <w:jc w:val="center"/>
              <w:rPr>
                <w:rFonts w:cs="Arial"/>
                <w:szCs w:val="22"/>
              </w:rPr>
            </w:pPr>
            <w:r w:rsidRPr="0068624E">
              <w:rPr>
                <w:rFonts w:cs="Arial"/>
                <w:szCs w:val="22"/>
              </w:rPr>
              <w:t>12840,0</w:t>
            </w:r>
          </w:p>
        </w:tc>
        <w:tc>
          <w:tcPr>
            <w:tcW w:w="1498" w:type="dxa"/>
            <w:vAlign w:val="center"/>
          </w:tcPr>
          <w:p w14:paraId="4AEB26D7" w14:textId="5D00214F" w:rsidR="0068624E" w:rsidRPr="0068624E" w:rsidRDefault="0068624E" w:rsidP="0068624E">
            <w:pPr>
              <w:jc w:val="center"/>
              <w:rPr>
                <w:rFonts w:cs="Arial"/>
                <w:szCs w:val="22"/>
              </w:rPr>
            </w:pPr>
            <w:r w:rsidRPr="0068624E">
              <w:rPr>
                <w:rFonts w:cs="Arial"/>
                <w:szCs w:val="22"/>
              </w:rPr>
              <w:t>38520,0</w:t>
            </w:r>
          </w:p>
        </w:tc>
      </w:tr>
      <w:tr w:rsidR="0068624E" w:rsidRPr="0019790A" w14:paraId="3AEAD233" w14:textId="6DA2EC51" w:rsidTr="0068624E">
        <w:trPr>
          <w:trHeight w:val="226"/>
          <w:jc w:val="right"/>
        </w:trPr>
        <w:tc>
          <w:tcPr>
            <w:tcW w:w="3423" w:type="dxa"/>
            <w:shd w:val="clear" w:color="auto" w:fill="FFFFFF"/>
            <w:vAlign w:val="center"/>
          </w:tcPr>
          <w:p w14:paraId="416B1E46" w14:textId="77777777" w:rsidR="0068624E" w:rsidRPr="0019790A" w:rsidRDefault="0068624E" w:rsidP="0068624E">
            <w:pPr>
              <w:rPr>
                <w:rFonts w:cs="Arial"/>
                <w:szCs w:val="22"/>
              </w:rPr>
            </w:pPr>
            <w:r w:rsidRPr="0019790A">
              <w:rPr>
                <w:rFonts w:cs="Arial"/>
                <w:szCs w:val="22"/>
              </w:rPr>
              <w:t>- інші джерела фінансування</w:t>
            </w:r>
          </w:p>
        </w:tc>
        <w:tc>
          <w:tcPr>
            <w:tcW w:w="1254" w:type="dxa"/>
            <w:vAlign w:val="center"/>
          </w:tcPr>
          <w:p w14:paraId="45752A76" w14:textId="77777777" w:rsidR="0068624E" w:rsidRPr="0019790A" w:rsidRDefault="0068624E" w:rsidP="0068624E">
            <w:pPr>
              <w:jc w:val="center"/>
              <w:rPr>
                <w:rFonts w:cs="Arial"/>
                <w:szCs w:val="22"/>
              </w:rPr>
            </w:pPr>
          </w:p>
        </w:tc>
        <w:tc>
          <w:tcPr>
            <w:tcW w:w="1302" w:type="dxa"/>
            <w:gridSpan w:val="2"/>
            <w:vAlign w:val="center"/>
          </w:tcPr>
          <w:p w14:paraId="35E04598" w14:textId="77777777" w:rsidR="0068624E" w:rsidRPr="0019790A" w:rsidRDefault="0068624E" w:rsidP="0068624E">
            <w:pPr>
              <w:jc w:val="center"/>
              <w:rPr>
                <w:rFonts w:cs="Arial"/>
                <w:szCs w:val="22"/>
              </w:rPr>
            </w:pPr>
          </w:p>
        </w:tc>
        <w:tc>
          <w:tcPr>
            <w:tcW w:w="1427" w:type="dxa"/>
            <w:gridSpan w:val="2"/>
            <w:vAlign w:val="center"/>
          </w:tcPr>
          <w:p w14:paraId="20602E21" w14:textId="77777777" w:rsidR="0068624E" w:rsidRPr="0019790A" w:rsidRDefault="0068624E" w:rsidP="0068624E">
            <w:pPr>
              <w:jc w:val="center"/>
              <w:rPr>
                <w:rFonts w:cs="Arial"/>
                <w:szCs w:val="22"/>
              </w:rPr>
            </w:pPr>
          </w:p>
        </w:tc>
        <w:tc>
          <w:tcPr>
            <w:tcW w:w="1315" w:type="dxa"/>
            <w:gridSpan w:val="2"/>
            <w:vAlign w:val="center"/>
          </w:tcPr>
          <w:p w14:paraId="48D04474" w14:textId="77777777" w:rsidR="0068624E" w:rsidRPr="0019790A" w:rsidRDefault="0068624E" w:rsidP="0068624E">
            <w:pPr>
              <w:jc w:val="center"/>
              <w:rPr>
                <w:rFonts w:cs="Arial"/>
                <w:szCs w:val="22"/>
              </w:rPr>
            </w:pPr>
          </w:p>
        </w:tc>
        <w:tc>
          <w:tcPr>
            <w:tcW w:w="1498" w:type="dxa"/>
            <w:vAlign w:val="center"/>
          </w:tcPr>
          <w:p w14:paraId="1E50D7FD" w14:textId="77777777" w:rsidR="0068624E" w:rsidRPr="0019790A" w:rsidRDefault="0068624E" w:rsidP="0068624E">
            <w:pPr>
              <w:jc w:val="center"/>
              <w:rPr>
                <w:rFonts w:cs="Arial"/>
                <w:szCs w:val="22"/>
              </w:rPr>
            </w:pPr>
          </w:p>
        </w:tc>
      </w:tr>
      <w:tr w:rsidR="0068624E" w:rsidRPr="0019790A" w14:paraId="4D65F54E" w14:textId="382CDDB1" w:rsidTr="0068624E">
        <w:trPr>
          <w:jc w:val="right"/>
        </w:trPr>
        <w:tc>
          <w:tcPr>
            <w:tcW w:w="3423" w:type="dxa"/>
            <w:shd w:val="clear" w:color="auto" w:fill="FFFFFF"/>
            <w:vAlign w:val="center"/>
          </w:tcPr>
          <w:p w14:paraId="5D8EC67E" w14:textId="77777777" w:rsidR="0068624E" w:rsidRPr="0019790A" w:rsidRDefault="0068624E" w:rsidP="0068624E">
            <w:pPr>
              <w:rPr>
                <w:rFonts w:cs="Arial"/>
                <w:b/>
                <w:bCs/>
                <w:szCs w:val="22"/>
              </w:rPr>
            </w:pPr>
            <w:r w:rsidRPr="0019790A">
              <w:rPr>
                <w:rFonts w:cs="Arial"/>
                <w:b/>
                <w:szCs w:val="22"/>
              </w:rPr>
              <w:t>Відповідальний виконавець проєкту:</w:t>
            </w:r>
          </w:p>
        </w:tc>
        <w:tc>
          <w:tcPr>
            <w:tcW w:w="6796" w:type="dxa"/>
            <w:gridSpan w:val="8"/>
            <w:vAlign w:val="center"/>
          </w:tcPr>
          <w:p w14:paraId="2C41A971" w14:textId="05A01AC8" w:rsidR="0068624E" w:rsidRPr="0019790A" w:rsidRDefault="0068624E" w:rsidP="0068624E">
            <w:pPr>
              <w:rPr>
                <w:rFonts w:cs="Arial"/>
                <w:szCs w:val="22"/>
              </w:rPr>
            </w:pPr>
            <w:r w:rsidRPr="0019790A">
              <w:rPr>
                <w:rFonts w:cs="Arial"/>
                <w:szCs w:val="22"/>
              </w:rPr>
              <w:t>Управління житлово-комунального господарства Жмеринської міської ради</w:t>
            </w:r>
          </w:p>
        </w:tc>
      </w:tr>
      <w:tr w:rsidR="0068624E" w:rsidRPr="0019790A" w14:paraId="2AFD8821" w14:textId="77777777" w:rsidTr="0068624E">
        <w:trPr>
          <w:jc w:val="right"/>
        </w:trPr>
        <w:tc>
          <w:tcPr>
            <w:tcW w:w="3423" w:type="dxa"/>
            <w:shd w:val="clear" w:color="auto" w:fill="FFFFFF"/>
            <w:vAlign w:val="center"/>
          </w:tcPr>
          <w:p w14:paraId="5B808FD2" w14:textId="77777777" w:rsidR="0068624E" w:rsidRPr="0019790A" w:rsidRDefault="0068624E" w:rsidP="0068624E">
            <w:pPr>
              <w:rPr>
                <w:rFonts w:cs="Arial"/>
                <w:b/>
                <w:bCs/>
                <w:szCs w:val="22"/>
              </w:rPr>
            </w:pPr>
            <w:r w:rsidRPr="0019790A">
              <w:rPr>
                <w:rFonts w:cs="Arial"/>
                <w:b/>
                <w:bCs/>
                <w:szCs w:val="22"/>
              </w:rPr>
              <w:t>Інше:</w:t>
            </w:r>
          </w:p>
        </w:tc>
        <w:tc>
          <w:tcPr>
            <w:tcW w:w="6796" w:type="dxa"/>
            <w:gridSpan w:val="8"/>
            <w:vAlign w:val="center"/>
          </w:tcPr>
          <w:p w14:paraId="0122B16E" w14:textId="77777777" w:rsidR="0068624E" w:rsidRPr="0019790A" w:rsidRDefault="0068624E" w:rsidP="0068624E">
            <w:pPr>
              <w:rPr>
                <w:rFonts w:cs="Arial"/>
                <w:szCs w:val="22"/>
              </w:rPr>
            </w:pPr>
          </w:p>
        </w:tc>
      </w:tr>
    </w:tbl>
    <w:p w14:paraId="5B5C122F" w14:textId="77777777" w:rsidR="005342D5" w:rsidRPr="0019790A" w:rsidRDefault="005342D5" w:rsidP="0019790A">
      <w:pPr>
        <w:ind w:firstLine="708"/>
        <w:rPr>
          <w:rFonts w:cs="Arial"/>
          <w:szCs w:val="22"/>
        </w:rPr>
      </w:pPr>
    </w:p>
    <w:p w14:paraId="76328341" w14:textId="77777777" w:rsidR="005342D5" w:rsidRPr="0019790A" w:rsidRDefault="005342D5" w:rsidP="0019790A">
      <w:pPr>
        <w:ind w:firstLine="708"/>
        <w:rPr>
          <w:rFonts w:cs="Arial"/>
          <w:szCs w:val="22"/>
        </w:rPr>
      </w:pPr>
    </w:p>
    <w:p w14:paraId="52E3FF50" w14:textId="77777777" w:rsidR="005342D5" w:rsidRPr="0019790A" w:rsidRDefault="005342D5" w:rsidP="0019790A">
      <w:pPr>
        <w:jc w:val="center"/>
        <w:rPr>
          <w:rFonts w:cs="Arial"/>
          <w:b/>
          <w:szCs w:val="22"/>
        </w:rPr>
      </w:pPr>
      <w:r w:rsidRPr="0019790A">
        <w:rPr>
          <w:rFonts w:cs="Arial"/>
          <w:b/>
          <w:szCs w:val="22"/>
        </w:rPr>
        <w:t>Форма технічного завдання на проєкт місцевого розвитку</w:t>
      </w:r>
    </w:p>
    <w:p w14:paraId="0FC67A81" w14:textId="77777777" w:rsidR="005342D5" w:rsidRPr="0019790A" w:rsidRDefault="005342D5" w:rsidP="0019790A">
      <w:pPr>
        <w:jc w:val="center"/>
        <w:rPr>
          <w:rFonts w:cs="Arial"/>
          <w:b/>
          <w:szCs w:val="22"/>
        </w:rPr>
      </w:pPr>
      <w:r w:rsidRPr="0019790A">
        <w:rPr>
          <w:rFonts w:cs="Arial"/>
          <w:b/>
          <w:szCs w:val="22"/>
        </w:rPr>
        <w:t>до Плану заходів з реалізації Стратегії</w:t>
      </w:r>
    </w:p>
    <w:p w14:paraId="4C56638E" w14:textId="77777777" w:rsidR="005342D5" w:rsidRPr="0019790A" w:rsidRDefault="005342D5"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27"/>
        <w:gridCol w:w="27"/>
        <w:gridCol w:w="1275"/>
        <w:gridCol w:w="1418"/>
        <w:gridCol w:w="22"/>
        <w:gridCol w:w="1254"/>
        <w:gridCol w:w="36"/>
        <w:gridCol w:w="1535"/>
      </w:tblGrid>
      <w:tr w:rsidR="005342D5" w:rsidRPr="0019790A" w14:paraId="7ED48B1C" w14:textId="77777777" w:rsidTr="0068624E">
        <w:trPr>
          <w:jc w:val="right"/>
        </w:trPr>
        <w:tc>
          <w:tcPr>
            <w:tcW w:w="3425" w:type="dxa"/>
            <w:vAlign w:val="center"/>
          </w:tcPr>
          <w:p w14:paraId="29361D5F" w14:textId="77777777" w:rsidR="005342D5" w:rsidRPr="0019790A" w:rsidRDefault="005342D5" w:rsidP="0019790A">
            <w:pPr>
              <w:rPr>
                <w:rFonts w:cs="Arial"/>
                <w:b/>
                <w:bCs/>
                <w:szCs w:val="22"/>
              </w:rPr>
            </w:pPr>
            <w:r w:rsidRPr="0019790A">
              <w:rPr>
                <w:rFonts w:cs="Arial"/>
                <w:b/>
                <w:bCs/>
                <w:szCs w:val="22"/>
              </w:rPr>
              <w:t>Назва проєкту:</w:t>
            </w:r>
          </w:p>
        </w:tc>
        <w:tc>
          <w:tcPr>
            <w:tcW w:w="6794" w:type="dxa"/>
            <w:gridSpan w:val="8"/>
            <w:vAlign w:val="center"/>
          </w:tcPr>
          <w:p w14:paraId="69D0803D" w14:textId="08A7996E" w:rsidR="005342D5" w:rsidRPr="0068624E" w:rsidRDefault="005342D5" w:rsidP="0068624E">
            <w:pPr>
              <w:tabs>
                <w:tab w:val="left" w:pos="252"/>
              </w:tabs>
              <w:jc w:val="both"/>
              <w:rPr>
                <w:rFonts w:cs="Arial"/>
                <w:b/>
                <w:szCs w:val="22"/>
              </w:rPr>
            </w:pPr>
            <w:r w:rsidRPr="0068624E">
              <w:rPr>
                <w:rFonts w:cs="Arial"/>
                <w:b/>
                <w:szCs w:val="22"/>
              </w:rPr>
              <w:t>Будівництво багатофункціонального критого спортивного комплексу на території Центрального міського парку</w:t>
            </w:r>
          </w:p>
        </w:tc>
      </w:tr>
      <w:tr w:rsidR="005342D5" w:rsidRPr="0019790A" w14:paraId="60BAD029" w14:textId="77777777" w:rsidTr="0068624E">
        <w:trPr>
          <w:jc w:val="right"/>
        </w:trPr>
        <w:tc>
          <w:tcPr>
            <w:tcW w:w="3425" w:type="dxa"/>
          </w:tcPr>
          <w:p w14:paraId="3AE9A10A" w14:textId="77777777" w:rsidR="005342D5" w:rsidRPr="0019790A" w:rsidRDefault="005342D5" w:rsidP="0019790A">
            <w:pPr>
              <w:rPr>
                <w:rFonts w:cs="Arial"/>
                <w:szCs w:val="22"/>
              </w:rPr>
            </w:pPr>
            <w:r w:rsidRPr="0019790A">
              <w:rPr>
                <w:rFonts w:cs="Arial"/>
                <w:b/>
                <w:bCs/>
                <w:szCs w:val="22"/>
              </w:rPr>
              <w:t>Ваші контакти</w:t>
            </w:r>
            <w:r w:rsidRPr="0019790A">
              <w:rPr>
                <w:rFonts w:cs="Arial"/>
                <w:szCs w:val="22"/>
              </w:rPr>
              <w:t>:</w:t>
            </w:r>
          </w:p>
          <w:p w14:paraId="2FD3DDD1" w14:textId="77777777" w:rsidR="005342D5" w:rsidRPr="0019790A" w:rsidRDefault="005342D5" w:rsidP="0019790A">
            <w:pPr>
              <w:rPr>
                <w:rFonts w:cs="Arial"/>
                <w:b/>
                <w:bCs/>
                <w:szCs w:val="22"/>
              </w:rPr>
            </w:pPr>
            <w:r w:rsidRPr="0019790A">
              <w:rPr>
                <w:rFonts w:cs="Arial"/>
                <w:szCs w:val="22"/>
              </w:rPr>
              <w:t>Назва установи, організації, підприємства</w:t>
            </w:r>
          </w:p>
        </w:tc>
        <w:tc>
          <w:tcPr>
            <w:tcW w:w="6794" w:type="dxa"/>
            <w:gridSpan w:val="8"/>
            <w:vAlign w:val="center"/>
          </w:tcPr>
          <w:p w14:paraId="6DF164F4" w14:textId="77777777" w:rsidR="005342D5" w:rsidRPr="0019790A" w:rsidRDefault="005342D5" w:rsidP="0068624E">
            <w:pPr>
              <w:tabs>
                <w:tab w:val="left" w:pos="252"/>
              </w:tabs>
              <w:jc w:val="both"/>
              <w:rPr>
                <w:rFonts w:cs="Arial"/>
                <w:szCs w:val="22"/>
              </w:rPr>
            </w:pPr>
            <w:r w:rsidRPr="0019790A">
              <w:rPr>
                <w:rFonts w:cs="Arial"/>
                <w:szCs w:val="22"/>
              </w:rPr>
              <w:t>Відділ молоді та спорту Жмеринської міської ради</w:t>
            </w:r>
          </w:p>
        </w:tc>
      </w:tr>
      <w:tr w:rsidR="005342D5" w:rsidRPr="0019790A" w14:paraId="5AA465E5" w14:textId="77777777" w:rsidTr="0068624E">
        <w:trPr>
          <w:jc w:val="right"/>
        </w:trPr>
        <w:tc>
          <w:tcPr>
            <w:tcW w:w="3425" w:type="dxa"/>
          </w:tcPr>
          <w:p w14:paraId="79D0A7E8" w14:textId="77777777" w:rsidR="005342D5" w:rsidRPr="0019790A" w:rsidRDefault="005342D5" w:rsidP="0019790A">
            <w:pPr>
              <w:rPr>
                <w:rFonts w:cs="Arial"/>
                <w:b/>
                <w:bCs/>
                <w:szCs w:val="22"/>
              </w:rPr>
            </w:pPr>
            <w:r w:rsidRPr="0019790A">
              <w:rPr>
                <w:rFonts w:cs="Arial"/>
                <w:szCs w:val="22"/>
              </w:rPr>
              <w:t>Прізвище Ім’я По-батькові:</w:t>
            </w:r>
          </w:p>
        </w:tc>
        <w:tc>
          <w:tcPr>
            <w:tcW w:w="6794" w:type="dxa"/>
            <w:gridSpan w:val="8"/>
            <w:vAlign w:val="center"/>
          </w:tcPr>
          <w:p w14:paraId="54C66884" w14:textId="77777777" w:rsidR="005342D5" w:rsidRPr="0019790A" w:rsidRDefault="005342D5" w:rsidP="0068624E">
            <w:pPr>
              <w:tabs>
                <w:tab w:val="left" w:pos="252"/>
              </w:tabs>
              <w:jc w:val="both"/>
              <w:rPr>
                <w:rFonts w:cs="Arial"/>
                <w:szCs w:val="22"/>
              </w:rPr>
            </w:pPr>
            <w:r w:rsidRPr="0019790A">
              <w:rPr>
                <w:rFonts w:cs="Arial"/>
                <w:szCs w:val="22"/>
              </w:rPr>
              <w:t>Ковальська Олена Віталіївна</w:t>
            </w:r>
          </w:p>
        </w:tc>
      </w:tr>
      <w:tr w:rsidR="005342D5" w:rsidRPr="0019790A" w14:paraId="18DA9A19" w14:textId="77777777" w:rsidTr="0068624E">
        <w:trPr>
          <w:jc w:val="right"/>
        </w:trPr>
        <w:tc>
          <w:tcPr>
            <w:tcW w:w="3425" w:type="dxa"/>
          </w:tcPr>
          <w:p w14:paraId="6FE5E924" w14:textId="77777777" w:rsidR="005342D5" w:rsidRPr="0019790A" w:rsidRDefault="005342D5" w:rsidP="0019790A">
            <w:pPr>
              <w:rPr>
                <w:rFonts w:cs="Arial"/>
                <w:b/>
                <w:bCs/>
                <w:szCs w:val="22"/>
              </w:rPr>
            </w:pPr>
            <w:r w:rsidRPr="0019790A">
              <w:rPr>
                <w:rFonts w:cs="Arial"/>
                <w:szCs w:val="22"/>
              </w:rPr>
              <w:t>Телефон (мобільний):</w:t>
            </w:r>
          </w:p>
        </w:tc>
        <w:tc>
          <w:tcPr>
            <w:tcW w:w="6794" w:type="dxa"/>
            <w:gridSpan w:val="8"/>
            <w:vAlign w:val="center"/>
          </w:tcPr>
          <w:p w14:paraId="622DF9F2" w14:textId="77777777" w:rsidR="005342D5" w:rsidRPr="0019790A" w:rsidRDefault="005342D5" w:rsidP="0068624E">
            <w:pPr>
              <w:tabs>
                <w:tab w:val="left" w:pos="252"/>
              </w:tabs>
              <w:jc w:val="both"/>
              <w:rPr>
                <w:rFonts w:cs="Arial"/>
                <w:szCs w:val="22"/>
              </w:rPr>
            </w:pPr>
            <w:r w:rsidRPr="0019790A">
              <w:rPr>
                <w:rFonts w:cs="Arial"/>
                <w:szCs w:val="22"/>
              </w:rPr>
              <w:t>096-068-94-79</w:t>
            </w:r>
          </w:p>
        </w:tc>
      </w:tr>
      <w:tr w:rsidR="005342D5" w:rsidRPr="0019790A" w14:paraId="5962953D" w14:textId="77777777" w:rsidTr="0068624E">
        <w:trPr>
          <w:jc w:val="right"/>
        </w:trPr>
        <w:tc>
          <w:tcPr>
            <w:tcW w:w="3425" w:type="dxa"/>
          </w:tcPr>
          <w:p w14:paraId="15567B1D" w14:textId="77777777" w:rsidR="005342D5" w:rsidRPr="0019790A" w:rsidRDefault="005342D5" w:rsidP="0019790A">
            <w:pPr>
              <w:rPr>
                <w:rFonts w:cs="Arial"/>
                <w:b/>
                <w:bCs/>
                <w:szCs w:val="22"/>
              </w:rPr>
            </w:pPr>
            <w:r w:rsidRPr="0019790A">
              <w:rPr>
                <w:rFonts w:cs="Arial"/>
                <w:szCs w:val="22"/>
              </w:rPr>
              <w:t>Електронна адреса:</w:t>
            </w:r>
          </w:p>
        </w:tc>
        <w:tc>
          <w:tcPr>
            <w:tcW w:w="6794" w:type="dxa"/>
            <w:gridSpan w:val="8"/>
            <w:vAlign w:val="center"/>
          </w:tcPr>
          <w:p w14:paraId="31BDCCB2" w14:textId="77777777" w:rsidR="005342D5" w:rsidRPr="0019790A" w:rsidRDefault="00D85FFD" w:rsidP="0068624E">
            <w:pPr>
              <w:tabs>
                <w:tab w:val="left" w:pos="252"/>
              </w:tabs>
              <w:jc w:val="both"/>
              <w:rPr>
                <w:rFonts w:cs="Arial"/>
                <w:szCs w:val="22"/>
              </w:rPr>
            </w:pPr>
            <w:hyperlink r:id="rId151" w:history="1">
              <w:r w:rsidR="005342D5" w:rsidRPr="0019790A">
                <w:rPr>
                  <w:rStyle w:val="af0"/>
                  <w:rFonts w:cs="Arial"/>
                  <w:b/>
                  <w:bCs/>
                  <w:noProof w:val="0"/>
                  <w:sz w:val="22"/>
                  <w:szCs w:val="22"/>
                </w:rPr>
                <w:t>ms@zhmr.gov.ua</w:t>
              </w:r>
            </w:hyperlink>
          </w:p>
        </w:tc>
      </w:tr>
      <w:tr w:rsidR="005342D5" w:rsidRPr="0019790A" w14:paraId="2A29DB82" w14:textId="77777777" w:rsidTr="0068624E">
        <w:trPr>
          <w:jc w:val="right"/>
        </w:trPr>
        <w:tc>
          <w:tcPr>
            <w:tcW w:w="3425" w:type="dxa"/>
            <w:vAlign w:val="center"/>
          </w:tcPr>
          <w:p w14:paraId="3604376D" w14:textId="77777777" w:rsidR="005342D5" w:rsidRPr="0019790A" w:rsidRDefault="005342D5" w:rsidP="0019790A">
            <w:pPr>
              <w:rPr>
                <w:rFonts w:cs="Arial"/>
                <w:b/>
                <w:bCs/>
                <w:szCs w:val="22"/>
              </w:rPr>
            </w:pPr>
            <w:r w:rsidRPr="0019790A">
              <w:rPr>
                <w:rFonts w:cs="Arial"/>
                <w:b/>
                <w:bCs/>
                <w:szCs w:val="22"/>
              </w:rPr>
              <w:t>Номер і назва завдання з Стратегії розвитку Жмеринської міської територіальної громади,  якому відповідає проєкт:</w:t>
            </w:r>
          </w:p>
        </w:tc>
        <w:tc>
          <w:tcPr>
            <w:tcW w:w="6794" w:type="dxa"/>
            <w:gridSpan w:val="8"/>
            <w:vAlign w:val="center"/>
          </w:tcPr>
          <w:p w14:paraId="5ACF2A83" w14:textId="77777777" w:rsidR="005342D5" w:rsidRPr="0068624E" w:rsidRDefault="005342D5" w:rsidP="0068624E">
            <w:pPr>
              <w:tabs>
                <w:tab w:val="left" w:pos="252"/>
              </w:tabs>
              <w:jc w:val="both"/>
              <w:rPr>
                <w:rFonts w:cs="Arial"/>
                <w:bCs/>
                <w:szCs w:val="22"/>
              </w:rPr>
            </w:pPr>
            <w:r w:rsidRPr="0068624E">
              <w:rPr>
                <w:rFonts w:cs="Arial"/>
                <w:bCs/>
                <w:szCs w:val="22"/>
              </w:rPr>
              <w:t>С.3.4.2. Будівництво, реконструкція інфраструктури спорту з урахуванням гендерного аспекту.</w:t>
            </w:r>
          </w:p>
          <w:p w14:paraId="589EBC3B" w14:textId="77777777" w:rsidR="005342D5" w:rsidRPr="0068624E" w:rsidRDefault="005342D5" w:rsidP="0068624E">
            <w:pPr>
              <w:tabs>
                <w:tab w:val="left" w:pos="252"/>
              </w:tabs>
              <w:jc w:val="both"/>
              <w:rPr>
                <w:rFonts w:cs="Arial"/>
                <w:bCs/>
                <w:szCs w:val="22"/>
              </w:rPr>
            </w:pPr>
            <w:r w:rsidRPr="0068624E">
              <w:rPr>
                <w:rFonts w:cs="Arial"/>
                <w:bCs/>
                <w:szCs w:val="22"/>
              </w:rPr>
              <w:t>С.3.4.4. Облаштування спортивних залів матеріально-технічною базою.</w:t>
            </w:r>
          </w:p>
          <w:p w14:paraId="5CA7F8B3" w14:textId="77777777" w:rsidR="005342D5" w:rsidRPr="0068624E" w:rsidRDefault="005342D5" w:rsidP="0068624E">
            <w:pPr>
              <w:tabs>
                <w:tab w:val="left" w:pos="252"/>
              </w:tabs>
              <w:jc w:val="both"/>
              <w:rPr>
                <w:rFonts w:cs="Arial"/>
                <w:bCs/>
                <w:szCs w:val="22"/>
              </w:rPr>
            </w:pPr>
            <w:r w:rsidRPr="0068624E">
              <w:rPr>
                <w:rFonts w:cs="Arial"/>
                <w:bCs/>
                <w:szCs w:val="22"/>
              </w:rPr>
              <w:t>С.3.4.7. Облаштування сучасних спортивних закладів, відкриття спортивних секцій.</w:t>
            </w:r>
          </w:p>
          <w:p w14:paraId="32FCDFFE" w14:textId="77777777" w:rsidR="005342D5" w:rsidRPr="0068624E" w:rsidRDefault="005342D5" w:rsidP="0068624E">
            <w:pPr>
              <w:tabs>
                <w:tab w:val="left" w:pos="252"/>
              </w:tabs>
              <w:jc w:val="both"/>
              <w:rPr>
                <w:rFonts w:cs="Arial"/>
                <w:szCs w:val="22"/>
              </w:rPr>
            </w:pPr>
          </w:p>
        </w:tc>
      </w:tr>
      <w:tr w:rsidR="005342D5" w:rsidRPr="0019790A" w14:paraId="7BFD5E49" w14:textId="77777777" w:rsidTr="0068624E">
        <w:trPr>
          <w:jc w:val="right"/>
        </w:trPr>
        <w:tc>
          <w:tcPr>
            <w:tcW w:w="3425" w:type="dxa"/>
            <w:vAlign w:val="center"/>
          </w:tcPr>
          <w:p w14:paraId="22D6C19A" w14:textId="77777777" w:rsidR="005342D5" w:rsidRPr="0019790A" w:rsidRDefault="005342D5" w:rsidP="0019790A">
            <w:pPr>
              <w:rPr>
                <w:rFonts w:cs="Arial"/>
                <w:b/>
                <w:bCs/>
                <w:szCs w:val="22"/>
              </w:rPr>
            </w:pPr>
            <w:r w:rsidRPr="0019790A">
              <w:rPr>
                <w:rFonts w:cs="Arial"/>
                <w:b/>
                <w:bCs/>
                <w:szCs w:val="22"/>
              </w:rPr>
              <w:t>Мета проєкту:</w:t>
            </w:r>
          </w:p>
        </w:tc>
        <w:tc>
          <w:tcPr>
            <w:tcW w:w="6794" w:type="dxa"/>
            <w:gridSpan w:val="8"/>
            <w:vAlign w:val="center"/>
          </w:tcPr>
          <w:p w14:paraId="23CDED57" w14:textId="1470528B" w:rsidR="005342D5" w:rsidRPr="0019790A" w:rsidRDefault="005342D5" w:rsidP="0068624E">
            <w:pPr>
              <w:tabs>
                <w:tab w:val="left" w:pos="252"/>
              </w:tabs>
              <w:jc w:val="both"/>
              <w:rPr>
                <w:rFonts w:cs="Arial"/>
                <w:szCs w:val="22"/>
              </w:rPr>
            </w:pPr>
            <w:r w:rsidRPr="0019790A">
              <w:rPr>
                <w:rFonts w:cs="Arial"/>
                <w:szCs w:val="22"/>
              </w:rPr>
              <w:t xml:space="preserve">Будівництво багатофункціонального критого спортивного комплексу на території Центрального міського парку, що включатиме спеціалізовані зали для занять </w:t>
            </w:r>
            <w:r w:rsidR="0068624E" w:rsidRPr="0019790A">
              <w:rPr>
                <w:rFonts w:cs="Arial"/>
                <w:szCs w:val="22"/>
              </w:rPr>
              <w:t>міні-футболом</w:t>
            </w:r>
            <w:r w:rsidRPr="0019790A">
              <w:rPr>
                <w:rFonts w:cs="Arial"/>
                <w:szCs w:val="22"/>
              </w:rPr>
              <w:t>, боксом, баскетболом та волейболом, з метою створення доступного, інклюзивного та всесезонного простору для фізичного розвитку, оздоровлення, спортивної підготовки та активного дозвілля мешканців усіх вікових категорій громади.</w:t>
            </w:r>
          </w:p>
          <w:p w14:paraId="2E16E585" w14:textId="77777777" w:rsidR="005342D5" w:rsidRPr="0019790A" w:rsidRDefault="005342D5" w:rsidP="0068624E">
            <w:pPr>
              <w:tabs>
                <w:tab w:val="left" w:pos="252"/>
              </w:tabs>
              <w:jc w:val="both"/>
              <w:rPr>
                <w:rFonts w:cs="Arial"/>
                <w:szCs w:val="22"/>
              </w:rPr>
            </w:pPr>
            <w:r w:rsidRPr="0019790A">
              <w:rPr>
                <w:rFonts w:cs="Arial"/>
                <w:b/>
                <w:bCs/>
                <w:szCs w:val="22"/>
              </w:rPr>
              <w:t>Комплекс сприятиме:</w:t>
            </w:r>
          </w:p>
          <w:p w14:paraId="3F6FDAA9" w14:textId="77777777" w:rsidR="005342D5" w:rsidRPr="0019790A" w:rsidRDefault="005342D5" w:rsidP="0068624E">
            <w:pPr>
              <w:numPr>
                <w:ilvl w:val="0"/>
                <w:numId w:val="61"/>
              </w:numPr>
              <w:tabs>
                <w:tab w:val="left" w:pos="252"/>
              </w:tabs>
              <w:ind w:left="0" w:firstLine="0"/>
              <w:jc w:val="both"/>
              <w:rPr>
                <w:rFonts w:cs="Arial"/>
                <w:szCs w:val="22"/>
              </w:rPr>
            </w:pPr>
            <w:r w:rsidRPr="0019790A">
              <w:rPr>
                <w:rFonts w:cs="Arial"/>
                <w:szCs w:val="22"/>
              </w:rPr>
              <w:t>розвитку масового спорту та секційної роботи з дітьми та молоддю;</w:t>
            </w:r>
          </w:p>
          <w:p w14:paraId="412459D7" w14:textId="77777777" w:rsidR="005342D5" w:rsidRPr="0019790A" w:rsidRDefault="005342D5" w:rsidP="0068624E">
            <w:pPr>
              <w:numPr>
                <w:ilvl w:val="0"/>
                <w:numId w:val="61"/>
              </w:numPr>
              <w:tabs>
                <w:tab w:val="left" w:pos="252"/>
              </w:tabs>
              <w:ind w:left="0" w:firstLine="0"/>
              <w:jc w:val="both"/>
              <w:rPr>
                <w:rFonts w:cs="Arial"/>
                <w:szCs w:val="22"/>
              </w:rPr>
            </w:pPr>
            <w:r w:rsidRPr="0019790A">
              <w:rPr>
                <w:rFonts w:cs="Arial"/>
                <w:szCs w:val="22"/>
              </w:rPr>
              <w:t>популяризації командних та індивідуальних видів спорту;</w:t>
            </w:r>
          </w:p>
          <w:p w14:paraId="2A975BC8" w14:textId="77777777" w:rsidR="005342D5" w:rsidRPr="0019790A" w:rsidRDefault="005342D5" w:rsidP="0068624E">
            <w:pPr>
              <w:numPr>
                <w:ilvl w:val="0"/>
                <w:numId w:val="61"/>
              </w:numPr>
              <w:tabs>
                <w:tab w:val="left" w:pos="252"/>
              </w:tabs>
              <w:ind w:left="0" w:firstLine="0"/>
              <w:jc w:val="both"/>
              <w:rPr>
                <w:rFonts w:cs="Arial"/>
                <w:szCs w:val="22"/>
              </w:rPr>
            </w:pPr>
            <w:r w:rsidRPr="0019790A">
              <w:rPr>
                <w:rFonts w:cs="Arial"/>
                <w:szCs w:val="22"/>
              </w:rPr>
              <w:t>організації змагань, турнірів, спортивно-освітніх заходів;</w:t>
            </w:r>
          </w:p>
          <w:p w14:paraId="0BA8D6DC" w14:textId="77777777" w:rsidR="005342D5" w:rsidRPr="0019790A" w:rsidRDefault="005342D5" w:rsidP="0068624E">
            <w:pPr>
              <w:numPr>
                <w:ilvl w:val="0"/>
                <w:numId w:val="61"/>
              </w:numPr>
              <w:tabs>
                <w:tab w:val="left" w:pos="252"/>
              </w:tabs>
              <w:ind w:left="0" w:firstLine="0"/>
              <w:jc w:val="both"/>
              <w:rPr>
                <w:rFonts w:cs="Arial"/>
                <w:szCs w:val="22"/>
              </w:rPr>
            </w:pPr>
            <w:r w:rsidRPr="0019790A">
              <w:rPr>
                <w:rFonts w:cs="Arial"/>
                <w:szCs w:val="22"/>
              </w:rPr>
              <w:t>соціальній інтеграції людей з інвалідністю;</w:t>
            </w:r>
          </w:p>
          <w:p w14:paraId="6747692C" w14:textId="77777777" w:rsidR="005342D5" w:rsidRPr="0019790A" w:rsidRDefault="005342D5" w:rsidP="0068624E">
            <w:pPr>
              <w:numPr>
                <w:ilvl w:val="0"/>
                <w:numId w:val="61"/>
              </w:numPr>
              <w:tabs>
                <w:tab w:val="left" w:pos="252"/>
              </w:tabs>
              <w:ind w:left="0" w:firstLine="0"/>
              <w:jc w:val="both"/>
              <w:rPr>
                <w:rFonts w:cs="Arial"/>
                <w:szCs w:val="22"/>
              </w:rPr>
            </w:pPr>
            <w:r w:rsidRPr="0019790A">
              <w:rPr>
                <w:rFonts w:cs="Arial"/>
                <w:szCs w:val="22"/>
              </w:rPr>
              <w:t>активному використанню простору Центрального міського парку у цілях спорту та оздоровлення.</w:t>
            </w:r>
          </w:p>
          <w:p w14:paraId="399AA01D" w14:textId="77777777" w:rsidR="005342D5" w:rsidRPr="0019790A" w:rsidRDefault="005342D5" w:rsidP="0068624E">
            <w:pPr>
              <w:tabs>
                <w:tab w:val="left" w:pos="252"/>
              </w:tabs>
              <w:jc w:val="both"/>
              <w:rPr>
                <w:rFonts w:cs="Arial"/>
                <w:szCs w:val="22"/>
              </w:rPr>
            </w:pPr>
          </w:p>
        </w:tc>
      </w:tr>
      <w:tr w:rsidR="005342D5" w:rsidRPr="0019790A" w14:paraId="646C3A10" w14:textId="77777777" w:rsidTr="0068624E">
        <w:trPr>
          <w:jc w:val="right"/>
        </w:trPr>
        <w:tc>
          <w:tcPr>
            <w:tcW w:w="3425" w:type="dxa"/>
            <w:vAlign w:val="center"/>
          </w:tcPr>
          <w:p w14:paraId="421709FC" w14:textId="77777777" w:rsidR="005342D5" w:rsidRPr="0019790A" w:rsidRDefault="005342D5" w:rsidP="0019790A">
            <w:pPr>
              <w:rPr>
                <w:rFonts w:cs="Arial"/>
                <w:b/>
                <w:bCs/>
                <w:szCs w:val="22"/>
              </w:rPr>
            </w:pPr>
            <w:r w:rsidRPr="0019790A">
              <w:rPr>
                <w:rFonts w:cs="Arial"/>
                <w:b/>
                <w:bCs/>
                <w:szCs w:val="22"/>
              </w:rPr>
              <w:t>Цілі проєкту:</w:t>
            </w:r>
          </w:p>
        </w:tc>
        <w:tc>
          <w:tcPr>
            <w:tcW w:w="6794" w:type="dxa"/>
            <w:gridSpan w:val="8"/>
            <w:vAlign w:val="center"/>
          </w:tcPr>
          <w:p w14:paraId="08E6DEF1" w14:textId="77777777" w:rsidR="005342D5" w:rsidRPr="0019790A" w:rsidRDefault="005342D5" w:rsidP="0068624E">
            <w:pPr>
              <w:numPr>
                <w:ilvl w:val="0"/>
                <w:numId w:val="62"/>
              </w:numPr>
              <w:tabs>
                <w:tab w:val="clear" w:pos="720"/>
                <w:tab w:val="left" w:pos="252"/>
                <w:tab w:val="num" w:pos="360"/>
              </w:tabs>
              <w:ind w:left="0" w:firstLine="0"/>
              <w:jc w:val="both"/>
              <w:rPr>
                <w:rFonts w:cs="Arial"/>
                <w:szCs w:val="22"/>
              </w:rPr>
            </w:pPr>
            <w:r w:rsidRPr="0019790A">
              <w:rPr>
                <w:rFonts w:cs="Arial"/>
                <w:bCs/>
                <w:szCs w:val="22"/>
              </w:rPr>
              <w:t>Розширити мережу сучасних спортивних закладів громади</w:t>
            </w:r>
            <w:r w:rsidRPr="0019790A">
              <w:rPr>
                <w:rFonts w:cs="Arial"/>
                <w:szCs w:val="22"/>
              </w:rPr>
              <w:t xml:space="preserve"> шляхом будівництва критого багатофункціонального спортивного комплексу.</w:t>
            </w:r>
          </w:p>
          <w:p w14:paraId="1C038797" w14:textId="77777777" w:rsidR="005342D5" w:rsidRPr="0019790A" w:rsidRDefault="005342D5" w:rsidP="0068624E">
            <w:pPr>
              <w:numPr>
                <w:ilvl w:val="0"/>
                <w:numId w:val="62"/>
              </w:numPr>
              <w:tabs>
                <w:tab w:val="clear" w:pos="720"/>
                <w:tab w:val="left" w:pos="252"/>
              </w:tabs>
              <w:ind w:left="0" w:firstLine="0"/>
              <w:jc w:val="both"/>
              <w:rPr>
                <w:rFonts w:cs="Arial"/>
                <w:szCs w:val="22"/>
              </w:rPr>
            </w:pPr>
            <w:r w:rsidRPr="0019790A">
              <w:rPr>
                <w:rFonts w:cs="Arial"/>
                <w:bCs/>
                <w:szCs w:val="22"/>
              </w:rPr>
              <w:t>Створити умови для систематичних занять спортом</w:t>
            </w:r>
            <w:r w:rsidRPr="0019790A">
              <w:rPr>
                <w:rFonts w:cs="Arial"/>
                <w:szCs w:val="22"/>
              </w:rPr>
              <w:t xml:space="preserve"> дітей, молоді, дорослих і людей похилого віку незалежно від погодних умов.</w:t>
            </w:r>
          </w:p>
          <w:p w14:paraId="4E755CA2" w14:textId="77777777" w:rsidR="005342D5" w:rsidRPr="0019790A" w:rsidRDefault="005342D5" w:rsidP="0068624E">
            <w:pPr>
              <w:numPr>
                <w:ilvl w:val="0"/>
                <w:numId w:val="62"/>
              </w:numPr>
              <w:tabs>
                <w:tab w:val="clear" w:pos="720"/>
                <w:tab w:val="left" w:pos="252"/>
              </w:tabs>
              <w:ind w:left="0" w:firstLine="0"/>
              <w:jc w:val="both"/>
              <w:rPr>
                <w:rFonts w:cs="Arial"/>
                <w:szCs w:val="22"/>
              </w:rPr>
            </w:pPr>
            <w:r w:rsidRPr="0019790A">
              <w:rPr>
                <w:rFonts w:cs="Arial"/>
                <w:bCs/>
                <w:szCs w:val="22"/>
              </w:rPr>
              <w:t>Забезпечити доступ до якісної спортивної інфраструктури для занять футболом, боксом, баскетболом і волейболом</w:t>
            </w:r>
            <w:r w:rsidRPr="0019790A">
              <w:rPr>
                <w:rFonts w:cs="Arial"/>
                <w:szCs w:val="22"/>
              </w:rPr>
              <w:t xml:space="preserve"> як на аматорському, так і на початково-професійному рівні.</w:t>
            </w:r>
          </w:p>
          <w:p w14:paraId="076F9636" w14:textId="77777777" w:rsidR="005342D5" w:rsidRPr="0019790A" w:rsidRDefault="005342D5" w:rsidP="0068624E">
            <w:pPr>
              <w:numPr>
                <w:ilvl w:val="0"/>
                <w:numId w:val="62"/>
              </w:numPr>
              <w:tabs>
                <w:tab w:val="clear" w:pos="720"/>
                <w:tab w:val="left" w:pos="252"/>
              </w:tabs>
              <w:ind w:left="0" w:firstLine="0"/>
              <w:jc w:val="both"/>
              <w:rPr>
                <w:rFonts w:cs="Arial"/>
                <w:szCs w:val="22"/>
              </w:rPr>
            </w:pPr>
            <w:r w:rsidRPr="0019790A">
              <w:rPr>
                <w:rFonts w:cs="Arial"/>
                <w:bCs/>
                <w:szCs w:val="22"/>
              </w:rPr>
              <w:t>Популяризувати здоровий спосіб життя</w:t>
            </w:r>
            <w:r w:rsidRPr="0019790A">
              <w:rPr>
                <w:rFonts w:cs="Arial"/>
                <w:szCs w:val="22"/>
              </w:rPr>
              <w:t xml:space="preserve"> та підвищити рівень фізичної активності серед населення громади.</w:t>
            </w:r>
          </w:p>
          <w:p w14:paraId="5EE2438C" w14:textId="77777777" w:rsidR="005342D5" w:rsidRPr="0019790A" w:rsidRDefault="005342D5" w:rsidP="0068624E">
            <w:pPr>
              <w:numPr>
                <w:ilvl w:val="0"/>
                <w:numId w:val="62"/>
              </w:numPr>
              <w:tabs>
                <w:tab w:val="clear" w:pos="720"/>
                <w:tab w:val="left" w:pos="252"/>
              </w:tabs>
              <w:ind w:left="0" w:firstLine="0"/>
              <w:jc w:val="both"/>
              <w:rPr>
                <w:rFonts w:cs="Arial"/>
                <w:szCs w:val="22"/>
              </w:rPr>
            </w:pPr>
            <w:r w:rsidRPr="0019790A">
              <w:rPr>
                <w:rFonts w:cs="Arial"/>
                <w:bCs/>
                <w:szCs w:val="22"/>
              </w:rPr>
              <w:t>Інтегрувати інклюзивний підхід у спортивний простір</w:t>
            </w:r>
            <w:r w:rsidRPr="0019790A">
              <w:rPr>
                <w:rFonts w:cs="Arial"/>
                <w:szCs w:val="22"/>
              </w:rPr>
              <w:t>, створивши умови для участі людей з інвалідністю.</w:t>
            </w:r>
          </w:p>
          <w:p w14:paraId="294638F6" w14:textId="77777777" w:rsidR="005342D5" w:rsidRPr="0019790A" w:rsidRDefault="005342D5" w:rsidP="0068624E">
            <w:pPr>
              <w:numPr>
                <w:ilvl w:val="0"/>
                <w:numId w:val="62"/>
              </w:numPr>
              <w:tabs>
                <w:tab w:val="clear" w:pos="720"/>
                <w:tab w:val="left" w:pos="252"/>
              </w:tabs>
              <w:ind w:left="0" w:firstLine="0"/>
              <w:jc w:val="both"/>
              <w:rPr>
                <w:rFonts w:cs="Arial"/>
                <w:szCs w:val="22"/>
              </w:rPr>
            </w:pPr>
            <w:r w:rsidRPr="0019790A">
              <w:rPr>
                <w:rFonts w:cs="Arial"/>
                <w:bCs/>
                <w:szCs w:val="22"/>
              </w:rPr>
              <w:t>Оптимізувати використання громадського простору міського парку</w:t>
            </w:r>
            <w:r w:rsidRPr="0019790A">
              <w:rPr>
                <w:rFonts w:cs="Arial"/>
                <w:szCs w:val="22"/>
              </w:rPr>
              <w:t xml:space="preserve"> для активного дозвілля, навчання та розвитку.</w:t>
            </w:r>
          </w:p>
          <w:p w14:paraId="06040CD0" w14:textId="77777777" w:rsidR="005342D5" w:rsidRPr="0019790A" w:rsidRDefault="005342D5" w:rsidP="0068624E">
            <w:pPr>
              <w:tabs>
                <w:tab w:val="left" w:pos="252"/>
              </w:tabs>
              <w:jc w:val="both"/>
              <w:rPr>
                <w:rFonts w:cs="Arial"/>
                <w:szCs w:val="22"/>
              </w:rPr>
            </w:pPr>
          </w:p>
        </w:tc>
      </w:tr>
      <w:tr w:rsidR="005342D5" w:rsidRPr="0019790A" w14:paraId="50C82029" w14:textId="77777777" w:rsidTr="0068624E">
        <w:trPr>
          <w:jc w:val="right"/>
        </w:trPr>
        <w:tc>
          <w:tcPr>
            <w:tcW w:w="3425" w:type="dxa"/>
            <w:vAlign w:val="center"/>
          </w:tcPr>
          <w:p w14:paraId="26FC61FD" w14:textId="77777777" w:rsidR="005342D5" w:rsidRPr="0019790A" w:rsidRDefault="005342D5" w:rsidP="0019790A">
            <w:pPr>
              <w:rPr>
                <w:rFonts w:cs="Arial"/>
                <w:b/>
                <w:szCs w:val="22"/>
              </w:rPr>
            </w:pPr>
            <w:r w:rsidRPr="0019790A">
              <w:rPr>
                <w:rFonts w:cs="Arial"/>
                <w:b/>
                <w:szCs w:val="22"/>
              </w:rPr>
              <w:t>Територія на яку проєкт матиме вплив:</w:t>
            </w:r>
          </w:p>
        </w:tc>
        <w:tc>
          <w:tcPr>
            <w:tcW w:w="6794" w:type="dxa"/>
            <w:gridSpan w:val="8"/>
            <w:vAlign w:val="center"/>
          </w:tcPr>
          <w:p w14:paraId="3B47E926" w14:textId="77777777" w:rsidR="005342D5" w:rsidRPr="0019790A" w:rsidRDefault="005342D5" w:rsidP="0068624E">
            <w:pPr>
              <w:tabs>
                <w:tab w:val="left" w:pos="252"/>
              </w:tabs>
              <w:jc w:val="both"/>
              <w:rPr>
                <w:rFonts w:cs="Arial"/>
                <w:szCs w:val="22"/>
              </w:rPr>
            </w:pPr>
            <w:r w:rsidRPr="0019790A">
              <w:rPr>
                <w:rFonts w:cs="Arial"/>
                <w:szCs w:val="22"/>
              </w:rPr>
              <w:t>Жмеринська міська територіальна громада</w:t>
            </w:r>
          </w:p>
        </w:tc>
      </w:tr>
      <w:tr w:rsidR="005342D5" w:rsidRPr="0019790A" w14:paraId="5F7EA16C" w14:textId="77777777" w:rsidTr="0068624E">
        <w:trPr>
          <w:jc w:val="right"/>
        </w:trPr>
        <w:tc>
          <w:tcPr>
            <w:tcW w:w="3425" w:type="dxa"/>
            <w:vAlign w:val="center"/>
          </w:tcPr>
          <w:p w14:paraId="28869811" w14:textId="77777777" w:rsidR="005342D5" w:rsidRPr="0019790A" w:rsidRDefault="005342D5" w:rsidP="0019790A">
            <w:pPr>
              <w:rPr>
                <w:rFonts w:cs="Arial"/>
                <w:b/>
                <w:szCs w:val="22"/>
              </w:rPr>
            </w:pPr>
            <w:r w:rsidRPr="0019790A">
              <w:rPr>
                <w:rFonts w:cs="Arial"/>
                <w:b/>
                <w:szCs w:val="22"/>
              </w:rPr>
              <w:t>Цільові групи проєкту та кількість отримувачів вигоди</w:t>
            </w:r>
          </w:p>
        </w:tc>
        <w:tc>
          <w:tcPr>
            <w:tcW w:w="6794" w:type="dxa"/>
            <w:gridSpan w:val="8"/>
            <w:vAlign w:val="center"/>
          </w:tcPr>
          <w:p w14:paraId="4E848F7A" w14:textId="77777777" w:rsidR="005342D5" w:rsidRPr="0019790A" w:rsidRDefault="005342D5" w:rsidP="0068624E">
            <w:pPr>
              <w:tabs>
                <w:tab w:val="left" w:pos="252"/>
              </w:tabs>
              <w:jc w:val="both"/>
              <w:rPr>
                <w:rFonts w:cs="Arial"/>
                <w:szCs w:val="22"/>
              </w:rPr>
            </w:pPr>
            <w:r w:rsidRPr="0019790A">
              <w:rPr>
                <w:rFonts w:cs="Arial"/>
                <w:b/>
                <w:bCs/>
                <w:szCs w:val="22"/>
              </w:rPr>
              <w:t>1.Діти шкільного віку (6–17 років)</w:t>
            </w:r>
          </w:p>
          <w:p w14:paraId="4E812A37" w14:textId="77777777" w:rsidR="005342D5" w:rsidRPr="0019790A" w:rsidRDefault="005342D5" w:rsidP="0068624E">
            <w:pPr>
              <w:numPr>
                <w:ilvl w:val="0"/>
                <w:numId w:val="54"/>
              </w:numPr>
              <w:tabs>
                <w:tab w:val="left" w:pos="252"/>
              </w:tabs>
              <w:ind w:left="0" w:firstLine="0"/>
              <w:jc w:val="both"/>
              <w:rPr>
                <w:rFonts w:cs="Arial"/>
                <w:szCs w:val="22"/>
              </w:rPr>
            </w:pPr>
            <w:r w:rsidRPr="0019790A">
              <w:rPr>
                <w:rFonts w:cs="Arial"/>
                <w:szCs w:val="22"/>
              </w:rPr>
              <w:t>Учні закладів загальної середньої освіти громади</w:t>
            </w:r>
          </w:p>
          <w:p w14:paraId="4C3D533A" w14:textId="77777777" w:rsidR="005342D5" w:rsidRPr="0019790A" w:rsidRDefault="005342D5" w:rsidP="0068624E">
            <w:pPr>
              <w:numPr>
                <w:ilvl w:val="0"/>
                <w:numId w:val="54"/>
              </w:numPr>
              <w:tabs>
                <w:tab w:val="left" w:pos="252"/>
              </w:tabs>
              <w:ind w:left="0" w:firstLine="0"/>
              <w:jc w:val="both"/>
              <w:rPr>
                <w:rFonts w:cs="Arial"/>
                <w:szCs w:val="22"/>
              </w:rPr>
            </w:pPr>
            <w:r w:rsidRPr="0019790A">
              <w:rPr>
                <w:rFonts w:cs="Arial"/>
                <w:szCs w:val="22"/>
              </w:rPr>
              <w:t>Вихованці спортивних секцій і гуртків</w:t>
            </w:r>
          </w:p>
          <w:p w14:paraId="67AEAA57" w14:textId="77777777" w:rsidR="005342D5" w:rsidRPr="0019790A" w:rsidRDefault="005342D5" w:rsidP="0068624E">
            <w:pPr>
              <w:tabs>
                <w:tab w:val="left" w:pos="252"/>
              </w:tabs>
              <w:jc w:val="both"/>
              <w:rPr>
                <w:rFonts w:cs="Arial"/>
                <w:szCs w:val="22"/>
              </w:rPr>
            </w:pPr>
            <w:r w:rsidRPr="0019790A">
              <w:rPr>
                <w:rFonts w:cs="Arial"/>
                <w:b/>
                <w:bCs/>
                <w:szCs w:val="22"/>
              </w:rPr>
              <w:t>2.Молодь (18–25 років)</w:t>
            </w:r>
          </w:p>
          <w:p w14:paraId="32C9B661" w14:textId="77777777" w:rsidR="005342D5" w:rsidRPr="0019790A" w:rsidRDefault="005342D5" w:rsidP="0068624E">
            <w:pPr>
              <w:numPr>
                <w:ilvl w:val="0"/>
                <w:numId w:val="55"/>
              </w:numPr>
              <w:tabs>
                <w:tab w:val="left" w:pos="252"/>
                <w:tab w:val="left" w:pos="528"/>
              </w:tabs>
              <w:ind w:left="0" w:firstLine="0"/>
              <w:jc w:val="both"/>
              <w:rPr>
                <w:rFonts w:cs="Arial"/>
                <w:szCs w:val="22"/>
              </w:rPr>
            </w:pPr>
            <w:r w:rsidRPr="0019790A">
              <w:rPr>
                <w:rFonts w:cs="Arial"/>
                <w:szCs w:val="22"/>
              </w:rPr>
              <w:t>Студенти, молодь громади, аматори та аматорські команди</w:t>
            </w:r>
          </w:p>
          <w:p w14:paraId="7F667ADB" w14:textId="77777777" w:rsidR="005342D5" w:rsidRPr="0019790A" w:rsidRDefault="005342D5" w:rsidP="0068624E">
            <w:pPr>
              <w:numPr>
                <w:ilvl w:val="0"/>
                <w:numId w:val="55"/>
              </w:numPr>
              <w:tabs>
                <w:tab w:val="left" w:pos="252"/>
                <w:tab w:val="left" w:pos="528"/>
              </w:tabs>
              <w:ind w:left="0" w:firstLine="0"/>
              <w:jc w:val="both"/>
              <w:rPr>
                <w:rFonts w:cs="Arial"/>
                <w:szCs w:val="22"/>
              </w:rPr>
            </w:pPr>
            <w:r w:rsidRPr="0019790A">
              <w:rPr>
                <w:rFonts w:cs="Arial"/>
                <w:szCs w:val="22"/>
              </w:rPr>
              <w:t>Учасники молодіжних спортивних заходів і змагань</w:t>
            </w:r>
          </w:p>
          <w:p w14:paraId="198418AD" w14:textId="77777777" w:rsidR="005342D5" w:rsidRPr="0019790A" w:rsidRDefault="005342D5" w:rsidP="0068624E">
            <w:pPr>
              <w:numPr>
                <w:ilvl w:val="0"/>
                <w:numId w:val="55"/>
              </w:numPr>
              <w:tabs>
                <w:tab w:val="left" w:pos="252"/>
                <w:tab w:val="left" w:pos="528"/>
              </w:tabs>
              <w:ind w:left="0" w:firstLine="0"/>
              <w:jc w:val="both"/>
              <w:rPr>
                <w:rFonts w:cs="Arial"/>
                <w:szCs w:val="22"/>
              </w:rPr>
            </w:pPr>
            <w:r w:rsidRPr="0019790A">
              <w:rPr>
                <w:rFonts w:cs="Arial"/>
                <w:szCs w:val="22"/>
              </w:rPr>
              <w:t>Волонтери й організатори молодіжних ініціатив у спорті</w:t>
            </w:r>
          </w:p>
          <w:p w14:paraId="7BB354B9" w14:textId="77777777" w:rsidR="005342D5" w:rsidRPr="0019790A" w:rsidRDefault="005342D5" w:rsidP="0068624E">
            <w:pPr>
              <w:tabs>
                <w:tab w:val="left" w:pos="252"/>
                <w:tab w:val="left" w:pos="328"/>
              </w:tabs>
              <w:jc w:val="both"/>
              <w:rPr>
                <w:rFonts w:cs="Arial"/>
                <w:szCs w:val="22"/>
              </w:rPr>
            </w:pPr>
            <w:r w:rsidRPr="0019790A">
              <w:rPr>
                <w:rFonts w:cs="Arial"/>
                <w:b/>
                <w:bCs/>
                <w:szCs w:val="22"/>
              </w:rPr>
              <w:t>3.Доросле населення громади (25–60 років)</w:t>
            </w:r>
          </w:p>
          <w:p w14:paraId="29C64009" w14:textId="77777777" w:rsidR="005342D5" w:rsidRPr="0019790A" w:rsidRDefault="005342D5" w:rsidP="0068624E">
            <w:pPr>
              <w:numPr>
                <w:ilvl w:val="0"/>
                <w:numId w:val="56"/>
              </w:numPr>
              <w:tabs>
                <w:tab w:val="left" w:pos="252"/>
                <w:tab w:val="left" w:pos="528"/>
              </w:tabs>
              <w:ind w:left="0" w:firstLine="0"/>
              <w:jc w:val="both"/>
              <w:rPr>
                <w:rFonts w:cs="Arial"/>
                <w:szCs w:val="22"/>
              </w:rPr>
            </w:pPr>
            <w:r w:rsidRPr="0019790A">
              <w:rPr>
                <w:rFonts w:cs="Arial"/>
                <w:szCs w:val="22"/>
              </w:rPr>
              <w:t>Аматорські команди</w:t>
            </w:r>
          </w:p>
          <w:p w14:paraId="35935271" w14:textId="77777777" w:rsidR="005342D5" w:rsidRPr="0019790A" w:rsidRDefault="005342D5" w:rsidP="0068624E">
            <w:pPr>
              <w:numPr>
                <w:ilvl w:val="0"/>
                <w:numId w:val="56"/>
              </w:numPr>
              <w:tabs>
                <w:tab w:val="left" w:pos="252"/>
                <w:tab w:val="left" w:pos="528"/>
              </w:tabs>
              <w:ind w:left="0" w:firstLine="0"/>
              <w:jc w:val="both"/>
              <w:rPr>
                <w:rFonts w:cs="Arial"/>
                <w:szCs w:val="22"/>
              </w:rPr>
            </w:pPr>
            <w:r w:rsidRPr="0019790A">
              <w:rPr>
                <w:rFonts w:cs="Arial"/>
                <w:szCs w:val="22"/>
              </w:rPr>
              <w:t>Працівники місцевих підприємств (корпоративні команди)</w:t>
            </w:r>
          </w:p>
          <w:p w14:paraId="6FCE833A" w14:textId="77777777" w:rsidR="005342D5" w:rsidRPr="0019790A" w:rsidRDefault="005342D5" w:rsidP="0068624E">
            <w:pPr>
              <w:numPr>
                <w:ilvl w:val="0"/>
                <w:numId w:val="56"/>
              </w:numPr>
              <w:tabs>
                <w:tab w:val="left" w:pos="252"/>
                <w:tab w:val="left" w:pos="528"/>
              </w:tabs>
              <w:ind w:left="0" w:firstLine="0"/>
              <w:jc w:val="both"/>
              <w:rPr>
                <w:rFonts w:cs="Arial"/>
                <w:szCs w:val="22"/>
              </w:rPr>
            </w:pPr>
            <w:r w:rsidRPr="0019790A">
              <w:rPr>
                <w:rFonts w:cs="Arial"/>
                <w:szCs w:val="22"/>
              </w:rPr>
              <w:t>Активні мешканці, зацікавлені в оздоровчій фізичній активності</w:t>
            </w:r>
          </w:p>
          <w:p w14:paraId="608D4187" w14:textId="77777777" w:rsidR="005342D5" w:rsidRPr="0019790A" w:rsidRDefault="005342D5" w:rsidP="0068624E">
            <w:pPr>
              <w:tabs>
                <w:tab w:val="left" w:pos="252"/>
              </w:tabs>
              <w:jc w:val="both"/>
              <w:rPr>
                <w:rFonts w:cs="Arial"/>
                <w:szCs w:val="22"/>
              </w:rPr>
            </w:pPr>
            <w:r w:rsidRPr="0019790A">
              <w:rPr>
                <w:rFonts w:cs="Arial"/>
                <w:b/>
                <w:bCs/>
                <w:szCs w:val="22"/>
              </w:rPr>
              <w:t>4.Особи старшого віку та пенсіонери</w:t>
            </w:r>
          </w:p>
          <w:p w14:paraId="2617C2D1" w14:textId="77777777" w:rsidR="005342D5" w:rsidRPr="0019790A" w:rsidRDefault="005342D5" w:rsidP="0068624E">
            <w:pPr>
              <w:numPr>
                <w:ilvl w:val="0"/>
                <w:numId w:val="57"/>
              </w:numPr>
              <w:tabs>
                <w:tab w:val="left" w:pos="252"/>
                <w:tab w:val="left" w:pos="528"/>
              </w:tabs>
              <w:ind w:left="0" w:firstLine="0"/>
              <w:jc w:val="both"/>
              <w:rPr>
                <w:rFonts w:cs="Arial"/>
                <w:szCs w:val="22"/>
              </w:rPr>
            </w:pPr>
            <w:r w:rsidRPr="0019790A">
              <w:rPr>
                <w:rFonts w:cs="Arial"/>
                <w:szCs w:val="22"/>
              </w:rPr>
              <w:t>Учасники ветеранських спортивних об’єднань</w:t>
            </w:r>
          </w:p>
          <w:p w14:paraId="78999F8B" w14:textId="77777777" w:rsidR="005342D5" w:rsidRPr="0019790A" w:rsidRDefault="005342D5" w:rsidP="0068624E">
            <w:pPr>
              <w:tabs>
                <w:tab w:val="left" w:pos="252"/>
                <w:tab w:val="left" w:pos="528"/>
              </w:tabs>
              <w:jc w:val="both"/>
              <w:rPr>
                <w:rFonts w:cs="Arial"/>
                <w:szCs w:val="22"/>
              </w:rPr>
            </w:pPr>
            <w:r w:rsidRPr="0019790A">
              <w:rPr>
                <w:rFonts w:cs="Arial"/>
                <w:b/>
                <w:bCs/>
                <w:szCs w:val="22"/>
              </w:rPr>
              <w:t>5.Особи з інвалідністю</w:t>
            </w:r>
          </w:p>
          <w:p w14:paraId="388A8C9C" w14:textId="77777777" w:rsidR="005342D5" w:rsidRPr="0019790A" w:rsidRDefault="005342D5" w:rsidP="0068624E">
            <w:pPr>
              <w:numPr>
                <w:ilvl w:val="0"/>
                <w:numId w:val="58"/>
              </w:numPr>
              <w:tabs>
                <w:tab w:val="left" w:pos="252"/>
                <w:tab w:val="left" w:pos="528"/>
              </w:tabs>
              <w:ind w:left="0" w:firstLine="0"/>
              <w:jc w:val="both"/>
              <w:rPr>
                <w:rFonts w:cs="Arial"/>
                <w:szCs w:val="22"/>
              </w:rPr>
            </w:pPr>
            <w:r w:rsidRPr="0019790A">
              <w:rPr>
                <w:rFonts w:cs="Arial"/>
                <w:szCs w:val="22"/>
              </w:rPr>
              <w:t>Діти та молодь з особливими освітніми потребами</w:t>
            </w:r>
          </w:p>
          <w:p w14:paraId="364112EA" w14:textId="77777777" w:rsidR="005342D5" w:rsidRPr="0019790A" w:rsidRDefault="005342D5" w:rsidP="0068624E">
            <w:pPr>
              <w:numPr>
                <w:ilvl w:val="0"/>
                <w:numId w:val="58"/>
              </w:numPr>
              <w:tabs>
                <w:tab w:val="left" w:pos="252"/>
                <w:tab w:val="left" w:pos="528"/>
              </w:tabs>
              <w:ind w:left="0" w:firstLine="0"/>
              <w:jc w:val="both"/>
              <w:rPr>
                <w:rFonts w:cs="Arial"/>
                <w:szCs w:val="22"/>
              </w:rPr>
            </w:pPr>
            <w:r w:rsidRPr="0019790A">
              <w:rPr>
                <w:rFonts w:cs="Arial"/>
                <w:szCs w:val="22"/>
              </w:rPr>
              <w:t xml:space="preserve">Особи з порушеннями опорно-рухового апарату. </w:t>
            </w:r>
          </w:p>
          <w:p w14:paraId="797F7777" w14:textId="77777777" w:rsidR="005342D5" w:rsidRPr="0019790A" w:rsidRDefault="005342D5" w:rsidP="0068624E">
            <w:pPr>
              <w:tabs>
                <w:tab w:val="left" w:pos="252"/>
                <w:tab w:val="left" w:pos="528"/>
              </w:tabs>
              <w:jc w:val="both"/>
              <w:rPr>
                <w:rFonts w:cs="Arial"/>
                <w:szCs w:val="22"/>
              </w:rPr>
            </w:pPr>
            <w:r w:rsidRPr="0019790A">
              <w:rPr>
                <w:rFonts w:cs="Arial"/>
                <w:b/>
                <w:bCs/>
                <w:szCs w:val="22"/>
              </w:rPr>
              <w:t>6.Тренери, вчителі фізичної культури, спортінструктори</w:t>
            </w:r>
          </w:p>
          <w:p w14:paraId="2A1715FB" w14:textId="77777777" w:rsidR="005342D5" w:rsidRPr="0019790A" w:rsidRDefault="005342D5" w:rsidP="0068624E">
            <w:pPr>
              <w:numPr>
                <w:ilvl w:val="0"/>
                <w:numId w:val="59"/>
              </w:numPr>
              <w:tabs>
                <w:tab w:val="left" w:pos="252"/>
                <w:tab w:val="left" w:pos="528"/>
              </w:tabs>
              <w:ind w:left="0" w:firstLine="0"/>
              <w:jc w:val="both"/>
              <w:rPr>
                <w:rFonts w:cs="Arial"/>
                <w:szCs w:val="22"/>
              </w:rPr>
            </w:pPr>
            <w:r w:rsidRPr="0019790A">
              <w:rPr>
                <w:rFonts w:cs="Arial"/>
                <w:szCs w:val="22"/>
              </w:rPr>
              <w:t>Педагогічні працівники закладів освіти</w:t>
            </w:r>
          </w:p>
          <w:p w14:paraId="52B2FA80" w14:textId="77777777" w:rsidR="005342D5" w:rsidRPr="0019790A" w:rsidRDefault="005342D5" w:rsidP="0068624E">
            <w:pPr>
              <w:numPr>
                <w:ilvl w:val="0"/>
                <w:numId w:val="59"/>
              </w:numPr>
              <w:tabs>
                <w:tab w:val="left" w:pos="252"/>
                <w:tab w:val="left" w:pos="528"/>
              </w:tabs>
              <w:ind w:left="0" w:firstLine="0"/>
              <w:jc w:val="both"/>
              <w:rPr>
                <w:rFonts w:cs="Arial"/>
                <w:szCs w:val="22"/>
              </w:rPr>
            </w:pPr>
            <w:r w:rsidRPr="0019790A">
              <w:rPr>
                <w:rFonts w:cs="Arial"/>
                <w:szCs w:val="22"/>
              </w:rPr>
              <w:t>Тренери секцій, які використовуватимуть спортивний комплекс для навчання і змагань</w:t>
            </w:r>
          </w:p>
          <w:p w14:paraId="3740E2CF" w14:textId="77777777" w:rsidR="005342D5" w:rsidRPr="0019790A" w:rsidRDefault="005342D5" w:rsidP="0068624E">
            <w:pPr>
              <w:tabs>
                <w:tab w:val="left" w:pos="252"/>
                <w:tab w:val="left" w:pos="528"/>
              </w:tabs>
              <w:jc w:val="both"/>
              <w:rPr>
                <w:rFonts w:cs="Arial"/>
                <w:szCs w:val="22"/>
              </w:rPr>
            </w:pPr>
            <w:r w:rsidRPr="0019790A">
              <w:rPr>
                <w:rFonts w:cs="Arial"/>
                <w:b/>
                <w:bCs/>
                <w:szCs w:val="22"/>
              </w:rPr>
              <w:t>7.Місцева влада та громада</w:t>
            </w:r>
          </w:p>
          <w:p w14:paraId="4F49DEAA" w14:textId="77777777" w:rsidR="005342D5" w:rsidRPr="0019790A" w:rsidRDefault="005342D5" w:rsidP="0068624E">
            <w:pPr>
              <w:numPr>
                <w:ilvl w:val="0"/>
                <w:numId w:val="60"/>
              </w:numPr>
              <w:tabs>
                <w:tab w:val="left" w:pos="252"/>
              </w:tabs>
              <w:ind w:left="0" w:firstLine="0"/>
              <w:jc w:val="both"/>
              <w:rPr>
                <w:rFonts w:cs="Arial"/>
                <w:szCs w:val="22"/>
              </w:rPr>
            </w:pPr>
            <w:r w:rsidRPr="0019790A">
              <w:rPr>
                <w:rFonts w:cs="Arial"/>
                <w:szCs w:val="22"/>
              </w:rPr>
              <w:t>Органи місцевого самоврядування, зацікавлені у розвитку інфраструктур</w:t>
            </w:r>
          </w:p>
          <w:p w14:paraId="5FEFF3D3" w14:textId="77777777" w:rsidR="005342D5" w:rsidRPr="0019790A" w:rsidRDefault="005342D5" w:rsidP="0068624E">
            <w:pPr>
              <w:numPr>
                <w:ilvl w:val="0"/>
                <w:numId w:val="60"/>
              </w:numPr>
              <w:tabs>
                <w:tab w:val="left" w:pos="252"/>
              </w:tabs>
              <w:ind w:left="0" w:firstLine="0"/>
              <w:jc w:val="both"/>
              <w:rPr>
                <w:rFonts w:cs="Arial"/>
                <w:szCs w:val="22"/>
              </w:rPr>
            </w:pPr>
            <w:r w:rsidRPr="0019790A">
              <w:rPr>
                <w:rFonts w:cs="Arial"/>
                <w:szCs w:val="22"/>
              </w:rPr>
              <w:t>Представники громадських організацій, ініціативних груп</w:t>
            </w:r>
          </w:p>
          <w:p w14:paraId="1369DE37" w14:textId="77777777" w:rsidR="005342D5" w:rsidRPr="0019790A" w:rsidRDefault="005342D5" w:rsidP="0068624E">
            <w:pPr>
              <w:tabs>
                <w:tab w:val="left" w:pos="252"/>
              </w:tabs>
              <w:jc w:val="both"/>
              <w:rPr>
                <w:rFonts w:cs="Arial"/>
                <w:szCs w:val="22"/>
              </w:rPr>
            </w:pPr>
            <w:r w:rsidRPr="0019790A">
              <w:rPr>
                <w:rFonts w:cs="Arial"/>
                <w:b/>
                <w:szCs w:val="22"/>
              </w:rPr>
              <w:t>Кількість отримувачів вигоди</w:t>
            </w:r>
            <w:r w:rsidRPr="0019790A">
              <w:rPr>
                <w:rFonts w:cs="Arial"/>
                <w:szCs w:val="22"/>
              </w:rPr>
              <w:t xml:space="preserve"> </w:t>
            </w:r>
            <w:r w:rsidRPr="0019790A">
              <w:rPr>
                <w:rFonts w:cs="Arial"/>
                <w:b/>
                <w:szCs w:val="22"/>
              </w:rPr>
              <w:t>2000 осіб.</w:t>
            </w:r>
          </w:p>
        </w:tc>
      </w:tr>
      <w:tr w:rsidR="005342D5" w:rsidRPr="0019790A" w14:paraId="220E43DB" w14:textId="77777777" w:rsidTr="0068624E">
        <w:trPr>
          <w:jc w:val="right"/>
        </w:trPr>
        <w:tc>
          <w:tcPr>
            <w:tcW w:w="3425" w:type="dxa"/>
            <w:shd w:val="clear" w:color="auto" w:fill="FFFFFF"/>
            <w:vAlign w:val="center"/>
          </w:tcPr>
          <w:p w14:paraId="180383FA" w14:textId="77777777" w:rsidR="005342D5" w:rsidRPr="0019790A" w:rsidRDefault="005342D5" w:rsidP="0019790A">
            <w:pPr>
              <w:rPr>
                <w:rFonts w:cs="Arial"/>
                <w:b/>
                <w:bCs/>
                <w:szCs w:val="22"/>
              </w:rPr>
            </w:pPr>
            <w:r w:rsidRPr="0019790A">
              <w:rPr>
                <w:rFonts w:cs="Arial"/>
                <w:b/>
                <w:bCs/>
                <w:szCs w:val="22"/>
              </w:rPr>
              <w:t>Стислий опис проєкту:</w:t>
            </w:r>
          </w:p>
        </w:tc>
        <w:tc>
          <w:tcPr>
            <w:tcW w:w="6794" w:type="dxa"/>
            <w:gridSpan w:val="8"/>
            <w:vAlign w:val="center"/>
          </w:tcPr>
          <w:p w14:paraId="59EADC32" w14:textId="035BB20E" w:rsidR="005342D5" w:rsidRPr="0019790A" w:rsidRDefault="005342D5" w:rsidP="0068624E">
            <w:pPr>
              <w:tabs>
                <w:tab w:val="left" w:pos="252"/>
              </w:tabs>
              <w:jc w:val="both"/>
              <w:rPr>
                <w:rFonts w:cs="Arial"/>
                <w:szCs w:val="22"/>
              </w:rPr>
            </w:pPr>
            <w:r w:rsidRPr="0019790A">
              <w:rPr>
                <w:rFonts w:cs="Arial"/>
                <w:szCs w:val="22"/>
              </w:rPr>
              <w:t xml:space="preserve">Проєкт передбачає будівництво </w:t>
            </w:r>
            <w:r w:rsidRPr="0019790A">
              <w:rPr>
                <w:rFonts w:cs="Arial"/>
                <w:bCs/>
                <w:szCs w:val="22"/>
              </w:rPr>
              <w:t>багатофункціонального критого спортивного комплексу</w:t>
            </w:r>
            <w:r w:rsidRPr="0019790A">
              <w:rPr>
                <w:rFonts w:cs="Arial"/>
                <w:szCs w:val="22"/>
              </w:rPr>
              <w:t xml:space="preserve"> на території Центрального міського парку. У складі комплексу — спеціалізовані зони для занять </w:t>
            </w:r>
            <w:r w:rsidR="0068624E" w:rsidRPr="0019790A">
              <w:rPr>
                <w:rFonts w:cs="Arial"/>
                <w:bCs/>
                <w:szCs w:val="22"/>
              </w:rPr>
              <w:t>міні-футболом</w:t>
            </w:r>
            <w:r w:rsidRPr="0019790A">
              <w:rPr>
                <w:rFonts w:cs="Arial"/>
                <w:bCs/>
                <w:szCs w:val="22"/>
              </w:rPr>
              <w:t>, боксом, баскетболом та волейболом</w:t>
            </w:r>
            <w:r w:rsidRPr="0019790A">
              <w:rPr>
                <w:rFonts w:cs="Arial"/>
                <w:szCs w:val="22"/>
              </w:rPr>
              <w:t xml:space="preserve">, облаштовані відповідно до сучасних стандартів. Споруда буде зведена з енергоефективних </w:t>
            </w:r>
            <w:r w:rsidR="0068624E" w:rsidRPr="0019790A">
              <w:rPr>
                <w:rFonts w:cs="Arial"/>
                <w:szCs w:val="22"/>
              </w:rPr>
              <w:t>швидко монтованих</w:t>
            </w:r>
            <w:r w:rsidRPr="0019790A">
              <w:rPr>
                <w:rFonts w:cs="Arial"/>
                <w:szCs w:val="22"/>
              </w:rPr>
              <w:t xml:space="preserve"> конструкцій, матиме роздягальні, санітарні приміщення, інвентарні кімнати та забезпечуватиме </w:t>
            </w:r>
            <w:r w:rsidRPr="0019790A">
              <w:rPr>
                <w:rFonts w:cs="Arial"/>
                <w:bCs/>
                <w:szCs w:val="22"/>
              </w:rPr>
              <w:t>інклюзивний доступ</w:t>
            </w:r>
            <w:r w:rsidRPr="0019790A">
              <w:rPr>
                <w:rFonts w:cs="Arial"/>
                <w:szCs w:val="22"/>
              </w:rPr>
              <w:t xml:space="preserve"> для всіх груп населення, включаючи людей з інвалідністю.</w:t>
            </w:r>
          </w:p>
        </w:tc>
      </w:tr>
      <w:tr w:rsidR="005342D5" w:rsidRPr="0019790A" w14:paraId="2FAE159F" w14:textId="77777777" w:rsidTr="0068624E">
        <w:trPr>
          <w:jc w:val="right"/>
        </w:trPr>
        <w:tc>
          <w:tcPr>
            <w:tcW w:w="3425" w:type="dxa"/>
            <w:shd w:val="clear" w:color="auto" w:fill="FFFFFF"/>
            <w:vAlign w:val="center"/>
          </w:tcPr>
          <w:p w14:paraId="184DEC4C" w14:textId="77777777" w:rsidR="005342D5" w:rsidRPr="0019790A" w:rsidRDefault="005342D5" w:rsidP="0019790A">
            <w:pPr>
              <w:rPr>
                <w:rFonts w:cs="Arial"/>
                <w:b/>
                <w:bCs/>
                <w:szCs w:val="22"/>
              </w:rPr>
            </w:pPr>
            <w:r w:rsidRPr="0019790A">
              <w:rPr>
                <w:rFonts w:cs="Arial"/>
                <w:b/>
                <w:bCs/>
                <w:szCs w:val="22"/>
              </w:rPr>
              <w:t>Основні заходи проєкту:</w:t>
            </w:r>
          </w:p>
        </w:tc>
        <w:tc>
          <w:tcPr>
            <w:tcW w:w="6794" w:type="dxa"/>
            <w:gridSpan w:val="8"/>
            <w:vAlign w:val="center"/>
          </w:tcPr>
          <w:p w14:paraId="006EDAE2" w14:textId="77777777" w:rsidR="005342D5" w:rsidRPr="0019790A" w:rsidRDefault="005342D5" w:rsidP="0068624E">
            <w:pPr>
              <w:tabs>
                <w:tab w:val="left" w:pos="252"/>
              </w:tabs>
              <w:jc w:val="both"/>
              <w:rPr>
                <w:rFonts w:cs="Arial"/>
                <w:szCs w:val="22"/>
              </w:rPr>
            </w:pPr>
            <w:r w:rsidRPr="0019790A">
              <w:rPr>
                <w:rFonts w:cs="Arial"/>
                <w:szCs w:val="22"/>
              </w:rPr>
              <w:t>1. Розробка проєктно-кошторисної документації та отримання дозвільної документації.</w:t>
            </w:r>
          </w:p>
          <w:p w14:paraId="37CFB737" w14:textId="77777777" w:rsidR="005342D5" w:rsidRPr="0019790A" w:rsidRDefault="005342D5" w:rsidP="0068624E">
            <w:pPr>
              <w:tabs>
                <w:tab w:val="left" w:pos="252"/>
              </w:tabs>
              <w:jc w:val="both"/>
              <w:rPr>
                <w:rFonts w:cs="Arial"/>
                <w:szCs w:val="22"/>
              </w:rPr>
            </w:pPr>
            <w:r w:rsidRPr="0019790A">
              <w:rPr>
                <w:rFonts w:cs="Arial"/>
                <w:szCs w:val="22"/>
              </w:rPr>
              <w:t>2.  Підготовка будівельного майданчика на території Центрального міського парку.</w:t>
            </w:r>
          </w:p>
          <w:p w14:paraId="36B48BC7" w14:textId="164BA3E3" w:rsidR="005342D5" w:rsidRPr="0019790A" w:rsidRDefault="005342D5" w:rsidP="0068624E">
            <w:pPr>
              <w:tabs>
                <w:tab w:val="left" w:pos="252"/>
              </w:tabs>
              <w:jc w:val="both"/>
              <w:rPr>
                <w:rFonts w:cs="Arial"/>
                <w:szCs w:val="22"/>
              </w:rPr>
            </w:pPr>
            <w:r w:rsidRPr="0019790A">
              <w:rPr>
                <w:rFonts w:cs="Arial"/>
                <w:szCs w:val="22"/>
              </w:rPr>
              <w:t xml:space="preserve">3.  Будівництво </w:t>
            </w:r>
            <w:r w:rsidR="0068624E" w:rsidRPr="0019790A">
              <w:rPr>
                <w:rFonts w:cs="Arial"/>
                <w:szCs w:val="22"/>
              </w:rPr>
              <w:t>швидко монтованої</w:t>
            </w:r>
            <w:r w:rsidRPr="0019790A">
              <w:rPr>
                <w:rFonts w:cs="Arial"/>
                <w:szCs w:val="22"/>
              </w:rPr>
              <w:t xml:space="preserve"> критої конструкції (ангарного типу або модульного типу) з енергоефективним утепленням.</w:t>
            </w:r>
          </w:p>
          <w:p w14:paraId="47632B95" w14:textId="77777777" w:rsidR="005342D5" w:rsidRPr="0019790A" w:rsidRDefault="005342D5" w:rsidP="0068624E">
            <w:pPr>
              <w:tabs>
                <w:tab w:val="left" w:pos="252"/>
              </w:tabs>
              <w:jc w:val="both"/>
              <w:rPr>
                <w:rFonts w:cs="Arial"/>
                <w:szCs w:val="22"/>
              </w:rPr>
            </w:pPr>
            <w:r w:rsidRPr="0019790A">
              <w:rPr>
                <w:rFonts w:cs="Arial"/>
                <w:szCs w:val="22"/>
              </w:rPr>
              <w:t>4.  Влаштування окремих спортивних зон:</w:t>
            </w:r>
          </w:p>
          <w:p w14:paraId="428BC83F" w14:textId="29928DE5" w:rsidR="005342D5" w:rsidRPr="0019790A" w:rsidRDefault="005342D5" w:rsidP="0068624E">
            <w:pPr>
              <w:numPr>
                <w:ilvl w:val="0"/>
                <w:numId w:val="63"/>
              </w:numPr>
              <w:tabs>
                <w:tab w:val="left" w:pos="252"/>
              </w:tabs>
              <w:ind w:left="0" w:firstLine="0"/>
              <w:jc w:val="both"/>
              <w:rPr>
                <w:rFonts w:cs="Arial"/>
                <w:szCs w:val="22"/>
              </w:rPr>
            </w:pPr>
            <w:r w:rsidRPr="0019790A">
              <w:rPr>
                <w:rFonts w:cs="Arial"/>
                <w:szCs w:val="22"/>
              </w:rPr>
              <w:t xml:space="preserve">Зал для </w:t>
            </w:r>
            <w:r w:rsidR="0068624E" w:rsidRPr="0019790A">
              <w:rPr>
                <w:rFonts w:cs="Arial"/>
                <w:szCs w:val="22"/>
              </w:rPr>
              <w:t>міні-футболу</w:t>
            </w:r>
            <w:r w:rsidRPr="0019790A">
              <w:rPr>
                <w:rFonts w:cs="Arial"/>
                <w:szCs w:val="22"/>
              </w:rPr>
              <w:t xml:space="preserve"> (40×20 м)</w:t>
            </w:r>
          </w:p>
          <w:p w14:paraId="078DFFEB" w14:textId="77777777" w:rsidR="005342D5" w:rsidRPr="0019790A" w:rsidRDefault="005342D5" w:rsidP="0068624E">
            <w:pPr>
              <w:numPr>
                <w:ilvl w:val="0"/>
                <w:numId w:val="63"/>
              </w:numPr>
              <w:tabs>
                <w:tab w:val="left" w:pos="252"/>
              </w:tabs>
              <w:ind w:left="0" w:firstLine="0"/>
              <w:jc w:val="both"/>
              <w:rPr>
                <w:rFonts w:cs="Arial"/>
                <w:szCs w:val="22"/>
              </w:rPr>
            </w:pPr>
            <w:r w:rsidRPr="0019790A">
              <w:rPr>
                <w:rFonts w:cs="Arial"/>
                <w:szCs w:val="22"/>
              </w:rPr>
              <w:t>Зал для боксу з рингами та тренувальною зоною</w:t>
            </w:r>
          </w:p>
          <w:p w14:paraId="6D9F847A" w14:textId="77777777" w:rsidR="005342D5" w:rsidRPr="0019790A" w:rsidRDefault="005342D5" w:rsidP="0068624E">
            <w:pPr>
              <w:numPr>
                <w:ilvl w:val="0"/>
                <w:numId w:val="63"/>
              </w:numPr>
              <w:tabs>
                <w:tab w:val="left" w:pos="252"/>
              </w:tabs>
              <w:ind w:left="0" w:firstLine="0"/>
              <w:jc w:val="both"/>
              <w:rPr>
                <w:rFonts w:cs="Arial"/>
                <w:szCs w:val="22"/>
              </w:rPr>
            </w:pPr>
            <w:r w:rsidRPr="0019790A">
              <w:rPr>
                <w:rFonts w:cs="Arial"/>
                <w:szCs w:val="22"/>
              </w:rPr>
              <w:t>Комбінований зал для волейболу та баскетболу з розміткою</w:t>
            </w:r>
          </w:p>
          <w:p w14:paraId="1BAA3FAC" w14:textId="77777777" w:rsidR="005342D5" w:rsidRPr="0019790A" w:rsidRDefault="005342D5" w:rsidP="0068624E">
            <w:pPr>
              <w:tabs>
                <w:tab w:val="left" w:pos="252"/>
              </w:tabs>
              <w:jc w:val="both"/>
              <w:rPr>
                <w:rFonts w:cs="Arial"/>
                <w:szCs w:val="22"/>
              </w:rPr>
            </w:pPr>
            <w:r w:rsidRPr="0019790A">
              <w:rPr>
                <w:rFonts w:cs="Arial"/>
                <w:szCs w:val="22"/>
              </w:rPr>
              <w:t>5.  Облаштування інженерних мереж: освітлення, опалення, вентиляція, водопостачання, каналізація.</w:t>
            </w:r>
          </w:p>
          <w:p w14:paraId="6D596CFE" w14:textId="589E5BD8" w:rsidR="005342D5" w:rsidRPr="0019790A" w:rsidRDefault="005342D5" w:rsidP="0068624E">
            <w:pPr>
              <w:tabs>
                <w:tab w:val="left" w:pos="252"/>
              </w:tabs>
              <w:jc w:val="both"/>
              <w:rPr>
                <w:rFonts w:cs="Arial"/>
                <w:szCs w:val="22"/>
              </w:rPr>
            </w:pPr>
            <w:r w:rsidRPr="0019790A">
              <w:rPr>
                <w:rFonts w:cs="Arial"/>
                <w:szCs w:val="22"/>
              </w:rPr>
              <w:t xml:space="preserve">6.  Облаштування </w:t>
            </w:r>
            <w:r w:rsidR="0068624E" w:rsidRPr="0019790A">
              <w:rPr>
                <w:rFonts w:cs="Arial"/>
                <w:szCs w:val="22"/>
              </w:rPr>
              <w:t>роздягальнь</w:t>
            </w:r>
            <w:r w:rsidRPr="0019790A">
              <w:rPr>
                <w:rFonts w:cs="Arial"/>
                <w:szCs w:val="22"/>
              </w:rPr>
              <w:t>, душових, санітарних зон, інвентарних приміщень.</w:t>
            </w:r>
          </w:p>
          <w:p w14:paraId="1AB73F5E" w14:textId="77777777" w:rsidR="005342D5" w:rsidRPr="0019790A" w:rsidRDefault="005342D5" w:rsidP="0068624E">
            <w:pPr>
              <w:tabs>
                <w:tab w:val="left" w:pos="252"/>
              </w:tabs>
              <w:jc w:val="both"/>
              <w:rPr>
                <w:rFonts w:cs="Arial"/>
                <w:szCs w:val="22"/>
              </w:rPr>
            </w:pPr>
            <w:r w:rsidRPr="0019790A">
              <w:rPr>
                <w:rFonts w:cs="Arial"/>
                <w:szCs w:val="22"/>
              </w:rPr>
              <w:t>7.  Забезпечення інклюзивності: пандуси, широкі проходи, доступні санвузли.</w:t>
            </w:r>
          </w:p>
          <w:p w14:paraId="0306ACA1" w14:textId="77777777" w:rsidR="005342D5" w:rsidRPr="0019790A" w:rsidRDefault="005342D5" w:rsidP="0068624E">
            <w:pPr>
              <w:tabs>
                <w:tab w:val="left" w:pos="252"/>
              </w:tabs>
              <w:jc w:val="both"/>
              <w:rPr>
                <w:rFonts w:cs="Arial"/>
                <w:szCs w:val="22"/>
              </w:rPr>
            </w:pPr>
            <w:r w:rsidRPr="0019790A">
              <w:rPr>
                <w:rFonts w:cs="Arial"/>
                <w:szCs w:val="22"/>
              </w:rPr>
              <w:t>8.  Придбання та встановлення спортивного інвентарю.</w:t>
            </w:r>
          </w:p>
          <w:p w14:paraId="321947CC" w14:textId="77777777" w:rsidR="005342D5" w:rsidRPr="0019790A" w:rsidRDefault="005342D5" w:rsidP="0068624E">
            <w:pPr>
              <w:tabs>
                <w:tab w:val="left" w:pos="252"/>
              </w:tabs>
              <w:jc w:val="both"/>
              <w:rPr>
                <w:rFonts w:cs="Arial"/>
                <w:szCs w:val="22"/>
              </w:rPr>
            </w:pPr>
            <w:r w:rsidRPr="0019790A">
              <w:rPr>
                <w:rFonts w:cs="Arial"/>
                <w:szCs w:val="22"/>
              </w:rPr>
              <w:t>9.  Проведення інформаційної кампанії та відкриття спортивних секцій.</w:t>
            </w:r>
          </w:p>
          <w:p w14:paraId="0EE43681" w14:textId="77777777" w:rsidR="005342D5" w:rsidRPr="0019790A" w:rsidRDefault="005342D5" w:rsidP="0068624E">
            <w:pPr>
              <w:tabs>
                <w:tab w:val="left" w:pos="252"/>
              </w:tabs>
              <w:jc w:val="both"/>
              <w:rPr>
                <w:rFonts w:cs="Arial"/>
                <w:szCs w:val="22"/>
              </w:rPr>
            </w:pPr>
            <w:r w:rsidRPr="0019790A">
              <w:rPr>
                <w:rFonts w:cs="Arial"/>
                <w:szCs w:val="22"/>
              </w:rPr>
              <w:t>10. Організація регулярних тренувань, турнірів, майстер-класів, дозвіллєвих подій.</w:t>
            </w:r>
          </w:p>
          <w:p w14:paraId="640BB1BA" w14:textId="77777777" w:rsidR="005342D5" w:rsidRPr="0019790A" w:rsidRDefault="005342D5" w:rsidP="0068624E">
            <w:pPr>
              <w:tabs>
                <w:tab w:val="left" w:pos="252"/>
              </w:tabs>
              <w:jc w:val="both"/>
              <w:rPr>
                <w:rFonts w:cs="Arial"/>
                <w:szCs w:val="22"/>
              </w:rPr>
            </w:pPr>
          </w:p>
        </w:tc>
      </w:tr>
      <w:tr w:rsidR="005342D5" w:rsidRPr="0019790A" w14:paraId="03109D6C" w14:textId="77777777" w:rsidTr="0068624E">
        <w:trPr>
          <w:jc w:val="right"/>
        </w:trPr>
        <w:tc>
          <w:tcPr>
            <w:tcW w:w="3425" w:type="dxa"/>
            <w:shd w:val="clear" w:color="auto" w:fill="FFFFFF"/>
            <w:vAlign w:val="center"/>
          </w:tcPr>
          <w:p w14:paraId="44804190" w14:textId="77777777" w:rsidR="005342D5" w:rsidRPr="0019790A" w:rsidRDefault="005342D5" w:rsidP="0019790A">
            <w:pPr>
              <w:rPr>
                <w:rFonts w:cs="Arial"/>
                <w:b/>
                <w:bCs/>
                <w:szCs w:val="22"/>
              </w:rPr>
            </w:pPr>
            <w:r w:rsidRPr="0019790A">
              <w:rPr>
                <w:rFonts w:cs="Arial"/>
                <w:b/>
                <w:bCs/>
                <w:szCs w:val="22"/>
              </w:rPr>
              <w:t>Індикатори (показники) результативності:</w:t>
            </w:r>
          </w:p>
        </w:tc>
        <w:tc>
          <w:tcPr>
            <w:tcW w:w="6794" w:type="dxa"/>
            <w:gridSpan w:val="8"/>
            <w:vAlign w:val="center"/>
          </w:tcPr>
          <w:p w14:paraId="07601220" w14:textId="77777777" w:rsidR="005342D5" w:rsidRPr="0019790A" w:rsidRDefault="005342D5" w:rsidP="0068624E">
            <w:pPr>
              <w:tabs>
                <w:tab w:val="left" w:pos="252"/>
              </w:tabs>
              <w:jc w:val="both"/>
              <w:rPr>
                <w:rFonts w:cs="Arial"/>
                <w:szCs w:val="22"/>
              </w:rPr>
            </w:pPr>
            <w:r w:rsidRPr="0019790A">
              <w:rPr>
                <w:rFonts w:cs="Arial"/>
                <w:szCs w:val="22"/>
              </w:rPr>
              <w:t>1.Побудовано багатофункціональний критий спортивний комплекс загальною площею ~1000–1500 м².</w:t>
            </w:r>
          </w:p>
          <w:p w14:paraId="0BA3FCD1" w14:textId="77777777" w:rsidR="005342D5" w:rsidRPr="0019790A" w:rsidRDefault="005342D5" w:rsidP="0068624E">
            <w:pPr>
              <w:tabs>
                <w:tab w:val="left" w:pos="252"/>
              </w:tabs>
              <w:jc w:val="both"/>
              <w:rPr>
                <w:rFonts w:cs="Arial"/>
                <w:szCs w:val="22"/>
              </w:rPr>
            </w:pPr>
            <w:r w:rsidRPr="0019790A">
              <w:rPr>
                <w:rFonts w:cs="Arial"/>
                <w:szCs w:val="22"/>
              </w:rPr>
              <w:t>2.Створено чотири окремі або комбіновані спортивні зони (бокс, футбол, волейбол, баскетбол).</w:t>
            </w:r>
          </w:p>
          <w:p w14:paraId="2D269154" w14:textId="77777777" w:rsidR="005342D5" w:rsidRPr="0019790A" w:rsidRDefault="005342D5" w:rsidP="0068624E">
            <w:pPr>
              <w:tabs>
                <w:tab w:val="left" w:pos="252"/>
              </w:tabs>
              <w:jc w:val="both"/>
              <w:rPr>
                <w:rFonts w:cs="Arial"/>
                <w:szCs w:val="22"/>
              </w:rPr>
            </w:pPr>
            <w:r w:rsidRPr="0019790A">
              <w:rPr>
                <w:rFonts w:cs="Arial"/>
                <w:szCs w:val="22"/>
              </w:rPr>
              <w:t>3.Щомісячне охоплення спортивними активностями — не менше 2000 мешканців громади.</w:t>
            </w:r>
          </w:p>
          <w:p w14:paraId="3BA20E38" w14:textId="77777777" w:rsidR="005342D5" w:rsidRPr="0019790A" w:rsidRDefault="005342D5" w:rsidP="0068624E">
            <w:pPr>
              <w:tabs>
                <w:tab w:val="left" w:pos="252"/>
              </w:tabs>
              <w:jc w:val="both"/>
              <w:rPr>
                <w:rFonts w:cs="Arial"/>
                <w:szCs w:val="22"/>
              </w:rPr>
            </w:pPr>
            <w:r w:rsidRPr="0019790A">
              <w:rPr>
                <w:rFonts w:cs="Arial"/>
                <w:szCs w:val="22"/>
              </w:rPr>
              <w:t>4.Відкриття спортивних секцій для різних вікових груп.</w:t>
            </w:r>
          </w:p>
          <w:p w14:paraId="530857DA" w14:textId="77777777" w:rsidR="005342D5" w:rsidRPr="0019790A" w:rsidRDefault="005342D5" w:rsidP="0068624E">
            <w:pPr>
              <w:tabs>
                <w:tab w:val="left" w:pos="252"/>
              </w:tabs>
              <w:jc w:val="both"/>
              <w:rPr>
                <w:rFonts w:cs="Arial"/>
                <w:szCs w:val="22"/>
              </w:rPr>
            </w:pPr>
            <w:r w:rsidRPr="0019790A">
              <w:rPr>
                <w:rFonts w:cs="Arial"/>
                <w:szCs w:val="22"/>
              </w:rPr>
              <w:t>5.Підвищено рівень фізичної активності серед дітей, молоді, людей середнього та старшого віку, а також осіб з інвалідністю.</w:t>
            </w:r>
          </w:p>
          <w:p w14:paraId="021F3A6A" w14:textId="77777777" w:rsidR="005342D5" w:rsidRPr="0019790A" w:rsidRDefault="005342D5" w:rsidP="0068624E">
            <w:pPr>
              <w:tabs>
                <w:tab w:val="left" w:pos="252"/>
              </w:tabs>
              <w:jc w:val="both"/>
              <w:rPr>
                <w:rFonts w:cs="Arial"/>
                <w:szCs w:val="22"/>
              </w:rPr>
            </w:pPr>
            <w:r w:rsidRPr="0019790A">
              <w:rPr>
                <w:rFonts w:cs="Arial"/>
                <w:szCs w:val="22"/>
              </w:rPr>
              <w:t>6.Підвищено якість дозвілля у міському парку, зменшено соціальну ізольованість серед молоді та пенсіонерів.</w:t>
            </w:r>
          </w:p>
        </w:tc>
      </w:tr>
      <w:tr w:rsidR="005342D5" w:rsidRPr="0019790A" w14:paraId="5FDB8139" w14:textId="77777777" w:rsidTr="00CF3AAE">
        <w:trPr>
          <w:jc w:val="right"/>
        </w:trPr>
        <w:tc>
          <w:tcPr>
            <w:tcW w:w="3425" w:type="dxa"/>
            <w:shd w:val="clear" w:color="auto" w:fill="FFFFFF"/>
            <w:vAlign w:val="center"/>
          </w:tcPr>
          <w:p w14:paraId="2F73F275" w14:textId="77777777" w:rsidR="005342D5" w:rsidRPr="0019790A" w:rsidRDefault="005342D5" w:rsidP="0019790A">
            <w:pPr>
              <w:rPr>
                <w:rFonts w:cs="Arial"/>
                <w:b/>
                <w:szCs w:val="22"/>
              </w:rPr>
            </w:pPr>
            <w:r w:rsidRPr="0019790A">
              <w:rPr>
                <w:rFonts w:cs="Arial"/>
                <w:b/>
                <w:szCs w:val="22"/>
              </w:rPr>
              <w:t xml:space="preserve">Період здійснення: </w:t>
            </w:r>
          </w:p>
        </w:tc>
        <w:tc>
          <w:tcPr>
            <w:tcW w:w="6794" w:type="dxa"/>
            <w:gridSpan w:val="8"/>
            <w:vAlign w:val="center"/>
          </w:tcPr>
          <w:p w14:paraId="0E294227" w14:textId="77777777" w:rsidR="005342D5" w:rsidRPr="0019790A" w:rsidRDefault="005342D5" w:rsidP="0019790A">
            <w:pPr>
              <w:rPr>
                <w:rFonts w:cs="Arial"/>
                <w:szCs w:val="22"/>
              </w:rPr>
            </w:pPr>
            <w:r w:rsidRPr="0019790A">
              <w:rPr>
                <w:rFonts w:cs="Arial"/>
                <w:b/>
                <w:szCs w:val="22"/>
              </w:rPr>
              <w:t>2025 – 2028 роки:</w:t>
            </w:r>
          </w:p>
        </w:tc>
      </w:tr>
      <w:tr w:rsidR="005342D5" w:rsidRPr="0019790A" w14:paraId="5C9762BA" w14:textId="77777777" w:rsidTr="0068624E">
        <w:trPr>
          <w:jc w:val="right"/>
        </w:trPr>
        <w:tc>
          <w:tcPr>
            <w:tcW w:w="3425" w:type="dxa"/>
            <w:vMerge w:val="restart"/>
            <w:shd w:val="clear" w:color="auto" w:fill="FFFFFF"/>
            <w:vAlign w:val="center"/>
          </w:tcPr>
          <w:p w14:paraId="02F9443F" w14:textId="77777777" w:rsidR="005342D5" w:rsidRPr="0019790A" w:rsidRDefault="005342D5" w:rsidP="0019790A">
            <w:pPr>
              <w:rPr>
                <w:rFonts w:cs="Arial"/>
                <w:b/>
                <w:bCs/>
                <w:szCs w:val="22"/>
              </w:rPr>
            </w:pPr>
            <w:r w:rsidRPr="0019790A">
              <w:rPr>
                <w:rFonts w:cs="Arial"/>
                <w:b/>
                <w:bCs/>
                <w:szCs w:val="22"/>
              </w:rPr>
              <w:t>Орієнтовна вартість проєкту, тис. грн., в тому числі:</w:t>
            </w:r>
          </w:p>
        </w:tc>
        <w:tc>
          <w:tcPr>
            <w:tcW w:w="1254" w:type="dxa"/>
            <w:gridSpan w:val="2"/>
            <w:shd w:val="clear" w:color="auto" w:fill="E6E6E6"/>
            <w:vAlign w:val="center"/>
          </w:tcPr>
          <w:p w14:paraId="2FBBE4E0" w14:textId="77777777" w:rsidR="005342D5" w:rsidRPr="0019790A" w:rsidRDefault="005342D5" w:rsidP="0068624E">
            <w:pPr>
              <w:jc w:val="center"/>
              <w:rPr>
                <w:rFonts w:cs="Arial"/>
                <w:b/>
                <w:szCs w:val="22"/>
              </w:rPr>
            </w:pPr>
            <w:r w:rsidRPr="0019790A">
              <w:rPr>
                <w:rFonts w:cs="Arial"/>
                <w:b/>
                <w:szCs w:val="22"/>
              </w:rPr>
              <w:t>2025</w:t>
            </w:r>
          </w:p>
        </w:tc>
        <w:tc>
          <w:tcPr>
            <w:tcW w:w="1275" w:type="dxa"/>
            <w:shd w:val="clear" w:color="auto" w:fill="E6E6E6"/>
            <w:vAlign w:val="center"/>
          </w:tcPr>
          <w:p w14:paraId="564843DC" w14:textId="77777777" w:rsidR="005342D5" w:rsidRPr="0019790A" w:rsidRDefault="005342D5" w:rsidP="0068624E">
            <w:pPr>
              <w:jc w:val="center"/>
              <w:rPr>
                <w:rFonts w:cs="Arial"/>
                <w:b/>
                <w:szCs w:val="22"/>
              </w:rPr>
            </w:pPr>
            <w:r w:rsidRPr="0019790A">
              <w:rPr>
                <w:rFonts w:cs="Arial"/>
                <w:b/>
                <w:szCs w:val="22"/>
              </w:rPr>
              <w:t>2026</w:t>
            </w:r>
          </w:p>
        </w:tc>
        <w:tc>
          <w:tcPr>
            <w:tcW w:w="1418" w:type="dxa"/>
            <w:tcBorders>
              <w:bottom w:val="single" w:sz="4" w:space="0" w:color="auto"/>
            </w:tcBorders>
            <w:shd w:val="clear" w:color="auto" w:fill="E6E6E6"/>
            <w:vAlign w:val="center"/>
          </w:tcPr>
          <w:p w14:paraId="2D6041A3" w14:textId="77777777" w:rsidR="005342D5" w:rsidRPr="0019790A" w:rsidRDefault="005342D5" w:rsidP="0068624E">
            <w:pPr>
              <w:jc w:val="center"/>
              <w:rPr>
                <w:rFonts w:cs="Arial"/>
                <w:b/>
                <w:szCs w:val="22"/>
              </w:rPr>
            </w:pPr>
            <w:r w:rsidRPr="0019790A">
              <w:rPr>
                <w:rFonts w:cs="Arial"/>
                <w:b/>
                <w:szCs w:val="22"/>
              </w:rPr>
              <w:t>2027</w:t>
            </w:r>
          </w:p>
        </w:tc>
        <w:tc>
          <w:tcPr>
            <w:tcW w:w="1276" w:type="dxa"/>
            <w:gridSpan w:val="2"/>
            <w:shd w:val="clear" w:color="auto" w:fill="E6E6E6"/>
            <w:vAlign w:val="center"/>
          </w:tcPr>
          <w:p w14:paraId="60C2E793" w14:textId="77777777" w:rsidR="005342D5" w:rsidRPr="0019790A" w:rsidRDefault="005342D5" w:rsidP="0068624E">
            <w:pPr>
              <w:jc w:val="center"/>
              <w:rPr>
                <w:rFonts w:cs="Arial"/>
                <w:b/>
                <w:szCs w:val="22"/>
              </w:rPr>
            </w:pPr>
            <w:r w:rsidRPr="0019790A">
              <w:rPr>
                <w:rFonts w:cs="Arial"/>
                <w:b/>
                <w:szCs w:val="22"/>
              </w:rPr>
              <w:t>2028</w:t>
            </w:r>
          </w:p>
        </w:tc>
        <w:tc>
          <w:tcPr>
            <w:tcW w:w="1571" w:type="dxa"/>
            <w:gridSpan w:val="2"/>
            <w:shd w:val="clear" w:color="auto" w:fill="E6E6E6"/>
            <w:vAlign w:val="center"/>
          </w:tcPr>
          <w:p w14:paraId="303AD8AE" w14:textId="77777777" w:rsidR="005342D5" w:rsidRPr="0019790A" w:rsidRDefault="005342D5" w:rsidP="0068624E">
            <w:pPr>
              <w:jc w:val="center"/>
              <w:rPr>
                <w:rFonts w:cs="Arial"/>
                <w:b/>
                <w:szCs w:val="22"/>
              </w:rPr>
            </w:pPr>
            <w:r w:rsidRPr="0019790A">
              <w:rPr>
                <w:rFonts w:cs="Arial"/>
                <w:b/>
                <w:szCs w:val="22"/>
              </w:rPr>
              <w:t>РАЗОМ</w:t>
            </w:r>
          </w:p>
        </w:tc>
      </w:tr>
      <w:tr w:rsidR="005342D5" w:rsidRPr="0019790A" w14:paraId="2F248A02" w14:textId="77777777" w:rsidTr="0068624E">
        <w:trPr>
          <w:jc w:val="right"/>
        </w:trPr>
        <w:tc>
          <w:tcPr>
            <w:tcW w:w="3425" w:type="dxa"/>
            <w:vMerge/>
            <w:shd w:val="clear" w:color="auto" w:fill="FFFFFF"/>
            <w:vAlign w:val="center"/>
          </w:tcPr>
          <w:p w14:paraId="36B35968" w14:textId="77777777" w:rsidR="005342D5" w:rsidRPr="0019790A" w:rsidRDefault="005342D5" w:rsidP="0019790A">
            <w:pPr>
              <w:rPr>
                <w:rFonts w:cs="Arial"/>
                <w:b/>
                <w:bCs/>
                <w:szCs w:val="22"/>
              </w:rPr>
            </w:pPr>
          </w:p>
        </w:tc>
        <w:tc>
          <w:tcPr>
            <w:tcW w:w="1254" w:type="dxa"/>
            <w:gridSpan w:val="2"/>
            <w:vAlign w:val="center"/>
          </w:tcPr>
          <w:p w14:paraId="1979AA79" w14:textId="77777777" w:rsidR="005342D5" w:rsidRPr="0019790A" w:rsidRDefault="005342D5" w:rsidP="0068624E">
            <w:pPr>
              <w:jc w:val="center"/>
              <w:rPr>
                <w:rFonts w:cs="Arial"/>
                <w:b/>
                <w:szCs w:val="22"/>
              </w:rPr>
            </w:pPr>
          </w:p>
        </w:tc>
        <w:tc>
          <w:tcPr>
            <w:tcW w:w="1275" w:type="dxa"/>
            <w:shd w:val="clear" w:color="auto" w:fill="FFFFFF"/>
            <w:vAlign w:val="center"/>
          </w:tcPr>
          <w:p w14:paraId="6B8DA691" w14:textId="77777777" w:rsidR="005342D5" w:rsidRPr="0019790A" w:rsidRDefault="005342D5" w:rsidP="0068624E">
            <w:pPr>
              <w:jc w:val="center"/>
              <w:rPr>
                <w:rFonts w:cs="Arial"/>
                <w:b/>
                <w:szCs w:val="22"/>
              </w:rPr>
            </w:pPr>
            <w:r w:rsidRPr="0019790A">
              <w:rPr>
                <w:rFonts w:cs="Arial"/>
                <w:b/>
                <w:szCs w:val="22"/>
              </w:rPr>
              <w:t>17500,0</w:t>
            </w:r>
          </w:p>
        </w:tc>
        <w:tc>
          <w:tcPr>
            <w:tcW w:w="1418" w:type="dxa"/>
            <w:shd w:val="clear" w:color="auto" w:fill="auto"/>
            <w:vAlign w:val="center"/>
          </w:tcPr>
          <w:p w14:paraId="343BF4E0" w14:textId="77777777" w:rsidR="005342D5" w:rsidRPr="0019790A" w:rsidRDefault="005342D5" w:rsidP="0068624E">
            <w:pPr>
              <w:jc w:val="center"/>
              <w:rPr>
                <w:rFonts w:cs="Arial"/>
                <w:b/>
                <w:szCs w:val="22"/>
              </w:rPr>
            </w:pPr>
            <w:r w:rsidRPr="0019790A">
              <w:rPr>
                <w:rFonts w:cs="Arial"/>
                <w:b/>
                <w:szCs w:val="22"/>
              </w:rPr>
              <w:t>17500,0</w:t>
            </w:r>
          </w:p>
        </w:tc>
        <w:tc>
          <w:tcPr>
            <w:tcW w:w="1276" w:type="dxa"/>
            <w:gridSpan w:val="2"/>
            <w:shd w:val="clear" w:color="auto" w:fill="FFFFFF"/>
            <w:vAlign w:val="center"/>
          </w:tcPr>
          <w:p w14:paraId="7B2DF3F0" w14:textId="77777777" w:rsidR="005342D5" w:rsidRPr="0019790A" w:rsidRDefault="005342D5" w:rsidP="0068624E">
            <w:pPr>
              <w:jc w:val="center"/>
              <w:rPr>
                <w:rFonts w:cs="Arial"/>
                <w:b/>
                <w:szCs w:val="22"/>
              </w:rPr>
            </w:pPr>
          </w:p>
        </w:tc>
        <w:tc>
          <w:tcPr>
            <w:tcW w:w="1571" w:type="dxa"/>
            <w:gridSpan w:val="2"/>
            <w:shd w:val="clear" w:color="auto" w:fill="FFFFFF"/>
            <w:vAlign w:val="center"/>
          </w:tcPr>
          <w:p w14:paraId="2CF431BA" w14:textId="77777777" w:rsidR="005342D5" w:rsidRPr="0019790A" w:rsidRDefault="005342D5" w:rsidP="0068624E">
            <w:pPr>
              <w:jc w:val="center"/>
              <w:rPr>
                <w:rFonts w:cs="Arial"/>
                <w:b/>
                <w:szCs w:val="22"/>
              </w:rPr>
            </w:pPr>
            <w:r w:rsidRPr="0019790A">
              <w:rPr>
                <w:rFonts w:cs="Arial"/>
                <w:b/>
                <w:szCs w:val="22"/>
              </w:rPr>
              <w:t>35000,0</w:t>
            </w:r>
          </w:p>
        </w:tc>
      </w:tr>
      <w:tr w:rsidR="005342D5" w:rsidRPr="0019790A" w14:paraId="1DBFED63" w14:textId="77777777" w:rsidTr="00CF3AAE">
        <w:trPr>
          <w:trHeight w:val="276"/>
          <w:jc w:val="right"/>
        </w:trPr>
        <w:tc>
          <w:tcPr>
            <w:tcW w:w="3425" w:type="dxa"/>
            <w:shd w:val="clear" w:color="auto" w:fill="FFFFFF"/>
            <w:vAlign w:val="center"/>
          </w:tcPr>
          <w:p w14:paraId="27CF359C" w14:textId="77777777" w:rsidR="005342D5" w:rsidRPr="0019790A" w:rsidRDefault="005342D5" w:rsidP="0019790A">
            <w:pPr>
              <w:rPr>
                <w:rFonts w:cs="Arial"/>
                <w:b/>
                <w:bCs/>
                <w:szCs w:val="22"/>
              </w:rPr>
            </w:pPr>
            <w:r w:rsidRPr="0019790A">
              <w:rPr>
                <w:rFonts w:cs="Arial"/>
                <w:b/>
                <w:bCs/>
                <w:szCs w:val="22"/>
              </w:rPr>
              <w:t>по джерелах фінансування:</w:t>
            </w:r>
          </w:p>
        </w:tc>
        <w:tc>
          <w:tcPr>
            <w:tcW w:w="6794" w:type="dxa"/>
            <w:gridSpan w:val="8"/>
            <w:vAlign w:val="center"/>
          </w:tcPr>
          <w:p w14:paraId="53487511" w14:textId="77777777" w:rsidR="005342D5" w:rsidRPr="0019790A" w:rsidRDefault="005342D5" w:rsidP="0019790A">
            <w:pPr>
              <w:rPr>
                <w:rFonts w:cs="Arial"/>
                <w:szCs w:val="22"/>
              </w:rPr>
            </w:pPr>
          </w:p>
        </w:tc>
      </w:tr>
      <w:tr w:rsidR="0068624E" w:rsidRPr="0019790A" w14:paraId="080A7FEB" w14:textId="64760CF6" w:rsidTr="0068624E">
        <w:trPr>
          <w:trHeight w:val="240"/>
          <w:jc w:val="right"/>
        </w:trPr>
        <w:tc>
          <w:tcPr>
            <w:tcW w:w="3425" w:type="dxa"/>
            <w:shd w:val="clear" w:color="auto" w:fill="FFFFFF"/>
            <w:vAlign w:val="center"/>
          </w:tcPr>
          <w:p w14:paraId="6702AB21" w14:textId="77777777" w:rsidR="0068624E" w:rsidRPr="0019790A" w:rsidRDefault="0068624E" w:rsidP="0019790A">
            <w:pPr>
              <w:rPr>
                <w:rFonts w:cs="Arial"/>
                <w:b/>
                <w:bCs/>
                <w:szCs w:val="22"/>
              </w:rPr>
            </w:pPr>
            <w:r w:rsidRPr="0019790A">
              <w:rPr>
                <w:rFonts w:cs="Arial"/>
                <w:szCs w:val="22"/>
              </w:rPr>
              <w:t>- державний бюджет</w:t>
            </w:r>
          </w:p>
        </w:tc>
        <w:tc>
          <w:tcPr>
            <w:tcW w:w="1227" w:type="dxa"/>
            <w:vAlign w:val="center"/>
          </w:tcPr>
          <w:p w14:paraId="6C6C0BB8" w14:textId="77777777" w:rsidR="0068624E" w:rsidRPr="0019790A" w:rsidRDefault="0068624E" w:rsidP="0019790A">
            <w:pPr>
              <w:rPr>
                <w:rFonts w:cs="Arial"/>
                <w:szCs w:val="22"/>
              </w:rPr>
            </w:pPr>
          </w:p>
        </w:tc>
        <w:tc>
          <w:tcPr>
            <w:tcW w:w="1302" w:type="dxa"/>
            <w:gridSpan w:val="2"/>
            <w:vAlign w:val="center"/>
          </w:tcPr>
          <w:p w14:paraId="2F5CFDCD" w14:textId="77777777" w:rsidR="0068624E" w:rsidRPr="0019790A" w:rsidRDefault="0068624E" w:rsidP="0019790A">
            <w:pPr>
              <w:rPr>
                <w:rFonts w:cs="Arial"/>
                <w:szCs w:val="22"/>
              </w:rPr>
            </w:pPr>
          </w:p>
        </w:tc>
        <w:tc>
          <w:tcPr>
            <w:tcW w:w="1440" w:type="dxa"/>
            <w:gridSpan w:val="2"/>
            <w:vAlign w:val="center"/>
          </w:tcPr>
          <w:p w14:paraId="0684EE2D" w14:textId="77777777" w:rsidR="0068624E" w:rsidRPr="0019790A" w:rsidRDefault="0068624E" w:rsidP="0019790A">
            <w:pPr>
              <w:rPr>
                <w:rFonts w:cs="Arial"/>
                <w:szCs w:val="22"/>
              </w:rPr>
            </w:pPr>
          </w:p>
        </w:tc>
        <w:tc>
          <w:tcPr>
            <w:tcW w:w="1290" w:type="dxa"/>
            <w:gridSpan w:val="2"/>
            <w:vAlign w:val="center"/>
          </w:tcPr>
          <w:p w14:paraId="7F7395F9" w14:textId="77777777" w:rsidR="0068624E" w:rsidRPr="0019790A" w:rsidRDefault="0068624E" w:rsidP="0019790A">
            <w:pPr>
              <w:rPr>
                <w:rFonts w:cs="Arial"/>
                <w:szCs w:val="22"/>
              </w:rPr>
            </w:pPr>
          </w:p>
        </w:tc>
        <w:tc>
          <w:tcPr>
            <w:tcW w:w="1535" w:type="dxa"/>
            <w:vAlign w:val="center"/>
          </w:tcPr>
          <w:p w14:paraId="1FDC20D8" w14:textId="77777777" w:rsidR="0068624E" w:rsidRPr="0019790A" w:rsidRDefault="0068624E" w:rsidP="0019790A">
            <w:pPr>
              <w:rPr>
                <w:rFonts w:cs="Arial"/>
                <w:szCs w:val="22"/>
              </w:rPr>
            </w:pPr>
          </w:p>
        </w:tc>
      </w:tr>
      <w:tr w:rsidR="0068624E" w:rsidRPr="0019790A" w14:paraId="00820EA9" w14:textId="6CB7B88E" w:rsidTr="0068624E">
        <w:trPr>
          <w:trHeight w:val="254"/>
          <w:jc w:val="right"/>
        </w:trPr>
        <w:tc>
          <w:tcPr>
            <w:tcW w:w="3425" w:type="dxa"/>
            <w:shd w:val="clear" w:color="auto" w:fill="FFFFFF"/>
            <w:vAlign w:val="center"/>
          </w:tcPr>
          <w:p w14:paraId="15DA0768" w14:textId="77777777" w:rsidR="0068624E" w:rsidRPr="0019790A" w:rsidRDefault="0068624E" w:rsidP="0019790A">
            <w:pPr>
              <w:rPr>
                <w:rFonts w:cs="Arial"/>
                <w:szCs w:val="22"/>
              </w:rPr>
            </w:pPr>
            <w:r w:rsidRPr="0019790A">
              <w:rPr>
                <w:rFonts w:cs="Arial"/>
                <w:szCs w:val="22"/>
              </w:rPr>
              <w:t>- обласний бюджет</w:t>
            </w:r>
          </w:p>
        </w:tc>
        <w:tc>
          <w:tcPr>
            <w:tcW w:w="1227" w:type="dxa"/>
            <w:vAlign w:val="center"/>
          </w:tcPr>
          <w:p w14:paraId="685ADAA0" w14:textId="2B4CBDF9" w:rsidR="0068624E" w:rsidRPr="0019790A" w:rsidRDefault="0068624E" w:rsidP="0068624E">
            <w:pPr>
              <w:jc w:val="center"/>
              <w:rPr>
                <w:rFonts w:cs="Arial"/>
                <w:szCs w:val="22"/>
              </w:rPr>
            </w:pPr>
          </w:p>
        </w:tc>
        <w:tc>
          <w:tcPr>
            <w:tcW w:w="1302" w:type="dxa"/>
            <w:gridSpan w:val="2"/>
            <w:vAlign w:val="center"/>
          </w:tcPr>
          <w:p w14:paraId="63602569" w14:textId="70F2337D" w:rsidR="0068624E" w:rsidRPr="0019790A" w:rsidRDefault="0068624E" w:rsidP="0068624E">
            <w:pPr>
              <w:ind w:left="-55"/>
              <w:jc w:val="center"/>
              <w:rPr>
                <w:rFonts w:cs="Arial"/>
                <w:szCs w:val="22"/>
              </w:rPr>
            </w:pPr>
            <w:r w:rsidRPr="0019790A">
              <w:rPr>
                <w:rFonts w:cs="Arial"/>
                <w:szCs w:val="22"/>
              </w:rPr>
              <w:t>13125,0</w:t>
            </w:r>
          </w:p>
        </w:tc>
        <w:tc>
          <w:tcPr>
            <w:tcW w:w="1440" w:type="dxa"/>
            <w:gridSpan w:val="2"/>
            <w:vAlign w:val="center"/>
          </w:tcPr>
          <w:p w14:paraId="3A4DC69F" w14:textId="311FC202" w:rsidR="0068624E" w:rsidRPr="0019790A" w:rsidRDefault="0068624E" w:rsidP="0068624E">
            <w:pPr>
              <w:ind w:left="-55"/>
              <w:jc w:val="center"/>
              <w:rPr>
                <w:rFonts w:cs="Arial"/>
                <w:szCs w:val="22"/>
              </w:rPr>
            </w:pPr>
            <w:r w:rsidRPr="0019790A">
              <w:rPr>
                <w:rFonts w:cs="Arial"/>
                <w:szCs w:val="22"/>
              </w:rPr>
              <w:t>13125,0</w:t>
            </w:r>
          </w:p>
        </w:tc>
        <w:tc>
          <w:tcPr>
            <w:tcW w:w="1290" w:type="dxa"/>
            <w:gridSpan w:val="2"/>
            <w:vAlign w:val="center"/>
          </w:tcPr>
          <w:p w14:paraId="27AFBB48" w14:textId="1A2C7741" w:rsidR="0068624E" w:rsidRPr="0019790A" w:rsidRDefault="0068624E" w:rsidP="0068624E">
            <w:pPr>
              <w:jc w:val="center"/>
              <w:rPr>
                <w:rFonts w:cs="Arial"/>
                <w:szCs w:val="22"/>
              </w:rPr>
            </w:pPr>
          </w:p>
        </w:tc>
        <w:tc>
          <w:tcPr>
            <w:tcW w:w="1535" w:type="dxa"/>
            <w:vAlign w:val="center"/>
          </w:tcPr>
          <w:p w14:paraId="5F2FFFCB" w14:textId="7F91DF32" w:rsidR="0068624E" w:rsidRPr="0019790A" w:rsidRDefault="0068624E" w:rsidP="0068624E">
            <w:pPr>
              <w:ind w:left="24"/>
              <w:jc w:val="center"/>
              <w:rPr>
                <w:rFonts w:cs="Arial"/>
                <w:szCs w:val="22"/>
              </w:rPr>
            </w:pPr>
            <w:r w:rsidRPr="0019790A">
              <w:rPr>
                <w:rFonts w:cs="Arial"/>
                <w:szCs w:val="22"/>
              </w:rPr>
              <w:t>26250,0</w:t>
            </w:r>
          </w:p>
        </w:tc>
      </w:tr>
      <w:tr w:rsidR="0068624E" w:rsidRPr="0019790A" w14:paraId="6A89B472" w14:textId="5C1B8BDE" w:rsidTr="0068624E">
        <w:trPr>
          <w:trHeight w:val="275"/>
          <w:jc w:val="right"/>
        </w:trPr>
        <w:tc>
          <w:tcPr>
            <w:tcW w:w="3425" w:type="dxa"/>
            <w:shd w:val="clear" w:color="auto" w:fill="FFFFFF"/>
            <w:vAlign w:val="center"/>
          </w:tcPr>
          <w:p w14:paraId="18791767" w14:textId="77777777" w:rsidR="0068624E" w:rsidRPr="0019790A" w:rsidRDefault="0068624E" w:rsidP="0019790A">
            <w:pPr>
              <w:rPr>
                <w:rFonts w:cs="Arial"/>
                <w:szCs w:val="22"/>
              </w:rPr>
            </w:pPr>
            <w:r w:rsidRPr="0019790A">
              <w:rPr>
                <w:rFonts w:cs="Arial"/>
                <w:szCs w:val="22"/>
              </w:rPr>
              <w:t>- бюджет Жмеринської МТГ</w:t>
            </w:r>
          </w:p>
        </w:tc>
        <w:tc>
          <w:tcPr>
            <w:tcW w:w="1227" w:type="dxa"/>
            <w:vAlign w:val="center"/>
          </w:tcPr>
          <w:p w14:paraId="7883921F" w14:textId="3F549BE0" w:rsidR="0068624E" w:rsidRPr="0019790A" w:rsidRDefault="0068624E" w:rsidP="0068624E">
            <w:pPr>
              <w:jc w:val="center"/>
              <w:rPr>
                <w:rFonts w:cs="Arial"/>
                <w:szCs w:val="22"/>
              </w:rPr>
            </w:pPr>
          </w:p>
        </w:tc>
        <w:tc>
          <w:tcPr>
            <w:tcW w:w="1302" w:type="dxa"/>
            <w:gridSpan w:val="2"/>
            <w:vAlign w:val="center"/>
          </w:tcPr>
          <w:p w14:paraId="24BC941D" w14:textId="3583E65D" w:rsidR="0068624E" w:rsidRPr="0019790A" w:rsidRDefault="0068624E" w:rsidP="0068624E">
            <w:pPr>
              <w:ind w:left="-55"/>
              <w:jc w:val="center"/>
              <w:rPr>
                <w:rFonts w:cs="Arial"/>
                <w:szCs w:val="22"/>
              </w:rPr>
            </w:pPr>
            <w:r w:rsidRPr="0019790A">
              <w:rPr>
                <w:rFonts w:cs="Arial"/>
                <w:szCs w:val="22"/>
              </w:rPr>
              <w:t>4375,0</w:t>
            </w:r>
          </w:p>
        </w:tc>
        <w:tc>
          <w:tcPr>
            <w:tcW w:w="1440" w:type="dxa"/>
            <w:gridSpan w:val="2"/>
            <w:vAlign w:val="center"/>
          </w:tcPr>
          <w:p w14:paraId="1349C538" w14:textId="6FC5E3EB" w:rsidR="0068624E" w:rsidRPr="0019790A" w:rsidRDefault="0068624E" w:rsidP="0068624E">
            <w:pPr>
              <w:ind w:left="-55"/>
              <w:jc w:val="center"/>
              <w:rPr>
                <w:rFonts w:cs="Arial"/>
                <w:szCs w:val="22"/>
              </w:rPr>
            </w:pPr>
            <w:r w:rsidRPr="0019790A">
              <w:rPr>
                <w:rFonts w:cs="Arial"/>
                <w:szCs w:val="22"/>
              </w:rPr>
              <w:t>4375,0</w:t>
            </w:r>
          </w:p>
        </w:tc>
        <w:tc>
          <w:tcPr>
            <w:tcW w:w="1290" w:type="dxa"/>
            <w:gridSpan w:val="2"/>
            <w:vAlign w:val="center"/>
          </w:tcPr>
          <w:p w14:paraId="29ED4520" w14:textId="3804DBEB" w:rsidR="0068624E" w:rsidRPr="0019790A" w:rsidRDefault="0068624E" w:rsidP="0068624E">
            <w:pPr>
              <w:jc w:val="center"/>
              <w:rPr>
                <w:rFonts w:cs="Arial"/>
                <w:szCs w:val="22"/>
              </w:rPr>
            </w:pPr>
          </w:p>
        </w:tc>
        <w:tc>
          <w:tcPr>
            <w:tcW w:w="1535" w:type="dxa"/>
            <w:vAlign w:val="center"/>
          </w:tcPr>
          <w:p w14:paraId="27D1AE93" w14:textId="30BC047C" w:rsidR="0068624E" w:rsidRPr="0019790A" w:rsidRDefault="0068624E" w:rsidP="0068624E">
            <w:pPr>
              <w:ind w:left="24"/>
              <w:jc w:val="center"/>
              <w:rPr>
                <w:rFonts w:cs="Arial"/>
                <w:szCs w:val="22"/>
              </w:rPr>
            </w:pPr>
            <w:r w:rsidRPr="0019790A">
              <w:rPr>
                <w:rFonts w:cs="Arial"/>
                <w:szCs w:val="22"/>
              </w:rPr>
              <w:t>8750,0</w:t>
            </w:r>
          </w:p>
        </w:tc>
      </w:tr>
      <w:tr w:rsidR="0068624E" w:rsidRPr="0019790A" w14:paraId="017DAB5C" w14:textId="3D9C69A2" w:rsidTr="0068624E">
        <w:trPr>
          <w:trHeight w:val="226"/>
          <w:jc w:val="right"/>
        </w:trPr>
        <w:tc>
          <w:tcPr>
            <w:tcW w:w="3425" w:type="dxa"/>
            <w:shd w:val="clear" w:color="auto" w:fill="FFFFFF"/>
            <w:vAlign w:val="center"/>
          </w:tcPr>
          <w:p w14:paraId="3FDC6157" w14:textId="77777777" w:rsidR="0068624E" w:rsidRPr="0019790A" w:rsidRDefault="0068624E" w:rsidP="0019790A">
            <w:pPr>
              <w:rPr>
                <w:rFonts w:cs="Arial"/>
                <w:szCs w:val="22"/>
              </w:rPr>
            </w:pPr>
            <w:r w:rsidRPr="0019790A">
              <w:rPr>
                <w:rFonts w:cs="Arial"/>
                <w:szCs w:val="22"/>
              </w:rPr>
              <w:t>- інші джерела фінансування</w:t>
            </w:r>
          </w:p>
        </w:tc>
        <w:tc>
          <w:tcPr>
            <w:tcW w:w="1227" w:type="dxa"/>
            <w:vAlign w:val="center"/>
          </w:tcPr>
          <w:p w14:paraId="048F1DFA" w14:textId="77777777" w:rsidR="0068624E" w:rsidRPr="0019790A" w:rsidRDefault="0068624E" w:rsidP="0068624E">
            <w:pPr>
              <w:jc w:val="center"/>
              <w:rPr>
                <w:rFonts w:cs="Arial"/>
                <w:szCs w:val="22"/>
              </w:rPr>
            </w:pPr>
          </w:p>
        </w:tc>
        <w:tc>
          <w:tcPr>
            <w:tcW w:w="1302" w:type="dxa"/>
            <w:gridSpan w:val="2"/>
            <w:vAlign w:val="center"/>
          </w:tcPr>
          <w:p w14:paraId="092014FF" w14:textId="77777777" w:rsidR="0068624E" w:rsidRPr="0019790A" w:rsidRDefault="0068624E" w:rsidP="0068624E">
            <w:pPr>
              <w:jc w:val="both"/>
              <w:rPr>
                <w:rFonts w:cs="Arial"/>
                <w:szCs w:val="22"/>
              </w:rPr>
            </w:pPr>
          </w:p>
        </w:tc>
        <w:tc>
          <w:tcPr>
            <w:tcW w:w="1440" w:type="dxa"/>
            <w:gridSpan w:val="2"/>
            <w:vAlign w:val="center"/>
          </w:tcPr>
          <w:p w14:paraId="46AD6B1F" w14:textId="77777777" w:rsidR="0068624E" w:rsidRPr="0019790A" w:rsidRDefault="0068624E" w:rsidP="0068624E">
            <w:pPr>
              <w:jc w:val="center"/>
              <w:rPr>
                <w:rFonts w:cs="Arial"/>
                <w:szCs w:val="22"/>
              </w:rPr>
            </w:pPr>
          </w:p>
        </w:tc>
        <w:tc>
          <w:tcPr>
            <w:tcW w:w="1290" w:type="dxa"/>
            <w:gridSpan w:val="2"/>
            <w:vAlign w:val="center"/>
          </w:tcPr>
          <w:p w14:paraId="069395C6" w14:textId="77777777" w:rsidR="0068624E" w:rsidRPr="0019790A" w:rsidRDefault="0068624E" w:rsidP="0068624E">
            <w:pPr>
              <w:jc w:val="center"/>
              <w:rPr>
                <w:rFonts w:cs="Arial"/>
                <w:szCs w:val="22"/>
              </w:rPr>
            </w:pPr>
          </w:p>
        </w:tc>
        <w:tc>
          <w:tcPr>
            <w:tcW w:w="1535" w:type="dxa"/>
            <w:vAlign w:val="center"/>
          </w:tcPr>
          <w:p w14:paraId="348D4C83" w14:textId="77777777" w:rsidR="0068624E" w:rsidRPr="0019790A" w:rsidRDefault="0068624E" w:rsidP="0068624E">
            <w:pPr>
              <w:ind w:left="24"/>
              <w:jc w:val="center"/>
              <w:rPr>
                <w:rFonts w:cs="Arial"/>
                <w:szCs w:val="22"/>
              </w:rPr>
            </w:pPr>
          </w:p>
        </w:tc>
      </w:tr>
      <w:tr w:rsidR="005342D5" w:rsidRPr="0019790A" w14:paraId="7737743F" w14:textId="77777777" w:rsidTr="00CF3AAE">
        <w:trPr>
          <w:jc w:val="right"/>
        </w:trPr>
        <w:tc>
          <w:tcPr>
            <w:tcW w:w="3425" w:type="dxa"/>
            <w:shd w:val="clear" w:color="auto" w:fill="FFFFFF"/>
            <w:vAlign w:val="center"/>
          </w:tcPr>
          <w:p w14:paraId="4D2389FD" w14:textId="77777777" w:rsidR="005342D5" w:rsidRPr="0019790A" w:rsidRDefault="005342D5" w:rsidP="0019790A">
            <w:pPr>
              <w:rPr>
                <w:rFonts w:cs="Arial"/>
                <w:b/>
                <w:bCs/>
                <w:szCs w:val="22"/>
              </w:rPr>
            </w:pPr>
            <w:r w:rsidRPr="0019790A">
              <w:rPr>
                <w:rFonts w:cs="Arial"/>
                <w:b/>
                <w:szCs w:val="22"/>
              </w:rPr>
              <w:t>Відповідальний виконавець проєкту:</w:t>
            </w:r>
          </w:p>
        </w:tc>
        <w:tc>
          <w:tcPr>
            <w:tcW w:w="6794" w:type="dxa"/>
            <w:gridSpan w:val="8"/>
            <w:vAlign w:val="center"/>
          </w:tcPr>
          <w:p w14:paraId="2B47A952" w14:textId="27F3185B" w:rsidR="005342D5" w:rsidRPr="0019790A" w:rsidRDefault="005342D5" w:rsidP="0068624E">
            <w:pPr>
              <w:jc w:val="both"/>
              <w:rPr>
                <w:rFonts w:cs="Arial"/>
                <w:szCs w:val="22"/>
              </w:rPr>
            </w:pPr>
            <w:r w:rsidRPr="0019790A">
              <w:rPr>
                <w:rFonts w:cs="Arial"/>
                <w:szCs w:val="22"/>
              </w:rPr>
              <w:t>Управління житлово-комунального господарства Жмеринської міської ради, комунальне підприємство «Парковий культурно-спортивний комплекс» Жмеринської міської ради Вінницької області</w:t>
            </w:r>
          </w:p>
        </w:tc>
      </w:tr>
      <w:tr w:rsidR="005342D5" w:rsidRPr="0019790A" w14:paraId="1AEBA08E" w14:textId="77777777" w:rsidTr="00CF3AAE">
        <w:trPr>
          <w:jc w:val="right"/>
        </w:trPr>
        <w:tc>
          <w:tcPr>
            <w:tcW w:w="3425" w:type="dxa"/>
            <w:shd w:val="clear" w:color="auto" w:fill="FFFFFF"/>
            <w:vAlign w:val="center"/>
          </w:tcPr>
          <w:p w14:paraId="25737D57" w14:textId="77777777" w:rsidR="005342D5" w:rsidRPr="0019790A" w:rsidRDefault="005342D5" w:rsidP="0019790A">
            <w:pPr>
              <w:rPr>
                <w:rFonts w:cs="Arial"/>
                <w:b/>
                <w:bCs/>
                <w:szCs w:val="22"/>
              </w:rPr>
            </w:pPr>
            <w:r w:rsidRPr="0019790A">
              <w:rPr>
                <w:rFonts w:cs="Arial"/>
                <w:b/>
                <w:bCs/>
                <w:szCs w:val="22"/>
              </w:rPr>
              <w:t>Інше:</w:t>
            </w:r>
          </w:p>
        </w:tc>
        <w:tc>
          <w:tcPr>
            <w:tcW w:w="6794" w:type="dxa"/>
            <w:gridSpan w:val="8"/>
            <w:vAlign w:val="center"/>
          </w:tcPr>
          <w:p w14:paraId="34A43756" w14:textId="77777777" w:rsidR="005342D5" w:rsidRPr="0019790A" w:rsidRDefault="005342D5" w:rsidP="0019790A">
            <w:pPr>
              <w:rPr>
                <w:rFonts w:cs="Arial"/>
                <w:szCs w:val="22"/>
              </w:rPr>
            </w:pPr>
          </w:p>
        </w:tc>
      </w:tr>
    </w:tbl>
    <w:p w14:paraId="7E1CB4B1" w14:textId="77777777" w:rsidR="005342D5" w:rsidRPr="0019790A" w:rsidRDefault="005342D5" w:rsidP="0019790A">
      <w:pPr>
        <w:ind w:firstLine="708"/>
        <w:rPr>
          <w:rFonts w:cs="Arial"/>
          <w:szCs w:val="22"/>
        </w:rPr>
      </w:pPr>
    </w:p>
    <w:p w14:paraId="55ADE120" w14:textId="77777777" w:rsidR="005342D5" w:rsidRPr="0019790A" w:rsidRDefault="005342D5" w:rsidP="0019790A">
      <w:pPr>
        <w:ind w:firstLine="708"/>
        <w:rPr>
          <w:rFonts w:cs="Arial"/>
          <w:szCs w:val="22"/>
        </w:rPr>
      </w:pPr>
    </w:p>
    <w:p w14:paraId="25B1E644" w14:textId="77777777" w:rsidR="005342D5" w:rsidRPr="0019790A" w:rsidRDefault="005342D5" w:rsidP="0019790A">
      <w:pPr>
        <w:jc w:val="center"/>
        <w:rPr>
          <w:rFonts w:cs="Arial"/>
          <w:b/>
          <w:szCs w:val="22"/>
        </w:rPr>
      </w:pPr>
      <w:r w:rsidRPr="0019790A">
        <w:rPr>
          <w:rFonts w:cs="Arial"/>
          <w:b/>
          <w:szCs w:val="22"/>
        </w:rPr>
        <w:t>Форма технічного завдання на проєкт місцевого розвитку</w:t>
      </w:r>
    </w:p>
    <w:p w14:paraId="34DB7FAB" w14:textId="77777777" w:rsidR="005342D5" w:rsidRPr="0019790A" w:rsidRDefault="005342D5" w:rsidP="0019790A">
      <w:pPr>
        <w:jc w:val="center"/>
        <w:rPr>
          <w:rFonts w:cs="Arial"/>
          <w:b/>
          <w:szCs w:val="22"/>
        </w:rPr>
      </w:pPr>
      <w:r w:rsidRPr="0019790A">
        <w:rPr>
          <w:rFonts w:cs="Arial"/>
          <w:b/>
          <w:szCs w:val="22"/>
        </w:rPr>
        <w:t>до Плану заходів з реалізації Стратегії</w:t>
      </w:r>
    </w:p>
    <w:p w14:paraId="63BD891A" w14:textId="77777777" w:rsidR="005342D5" w:rsidRPr="0019790A" w:rsidRDefault="005342D5"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27"/>
        <w:gridCol w:w="27"/>
        <w:gridCol w:w="1275"/>
        <w:gridCol w:w="25"/>
        <w:gridCol w:w="1393"/>
        <w:gridCol w:w="9"/>
        <w:gridCol w:w="1267"/>
        <w:gridCol w:w="35"/>
        <w:gridCol w:w="1536"/>
      </w:tblGrid>
      <w:tr w:rsidR="005342D5" w:rsidRPr="0019790A" w14:paraId="25897CC0" w14:textId="77777777" w:rsidTr="0068624E">
        <w:trPr>
          <w:jc w:val="right"/>
        </w:trPr>
        <w:tc>
          <w:tcPr>
            <w:tcW w:w="3425" w:type="dxa"/>
            <w:vAlign w:val="center"/>
          </w:tcPr>
          <w:p w14:paraId="79419D4F" w14:textId="77777777" w:rsidR="005342D5" w:rsidRPr="0019790A" w:rsidRDefault="005342D5" w:rsidP="0019790A">
            <w:pPr>
              <w:rPr>
                <w:rFonts w:cs="Arial"/>
                <w:b/>
                <w:bCs/>
                <w:szCs w:val="22"/>
              </w:rPr>
            </w:pPr>
            <w:r w:rsidRPr="0019790A">
              <w:rPr>
                <w:rFonts w:cs="Arial"/>
                <w:b/>
                <w:bCs/>
                <w:szCs w:val="22"/>
              </w:rPr>
              <w:t>Назва проєкту:</w:t>
            </w:r>
          </w:p>
        </w:tc>
        <w:tc>
          <w:tcPr>
            <w:tcW w:w="6794" w:type="dxa"/>
            <w:gridSpan w:val="9"/>
            <w:vAlign w:val="center"/>
          </w:tcPr>
          <w:p w14:paraId="684476AB" w14:textId="3D27BB98" w:rsidR="005342D5" w:rsidRPr="0068624E" w:rsidRDefault="005342D5" w:rsidP="0068624E">
            <w:pPr>
              <w:jc w:val="both"/>
              <w:rPr>
                <w:rFonts w:cs="Arial"/>
                <w:b/>
                <w:szCs w:val="22"/>
              </w:rPr>
            </w:pPr>
            <w:r w:rsidRPr="0068624E">
              <w:rPr>
                <w:rFonts w:cs="Arial"/>
                <w:b/>
                <w:bCs/>
                <w:szCs w:val="22"/>
              </w:rPr>
              <w:t>Облаштування скейт-парку</w:t>
            </w:r>
            <w:r w:rsidRPr="0068624E">
              <w:rPr>
                <w:rFonts w:cs="Arial"/>
                <w:b/>
                <w:szCs w:val="22"/>
              </w:rPr>
              <w:t xml:space="preserve"> на території Центрального міського парку</w:t>
            </w:r>
          </w:p>
        </w:tc>
      </w:tr>
      <w:tr w:rsidR="005342D5" w:rsidRPr="0019790A" w14:paraId="48162AB6" w14:textId="77777777" w:rsidTr="0068624E">
        <w:trPr>
          <w:jc w:val="right"/>
        </w:trPr>
        <w:tc>
          <w:tcPr>
            <w:tcW w:w="3425" w:type="dxa"/>
          </w:tcPr>
          <w:p w14:paraId="2683AA8B" w14:textId="77777777" w:rsidR="005342D5" w:rsidRPr="0019790A" w:rsidRDefault="005342D5" w:rsidP="0019790A">
            <w:pPr>
              <w:rPr>
                <w:rFonts w:cs="Arial"/>
                <w:szCs w:val="22"/>
              </w:rPr>
            </w:pPr>
            <w:r w:rsidRPr="0019790A">
              <w:rPr>
                <w:rFonts w:cs="Arial"/>
                <w:b/>
                <w:bCs/>
                <w:szCs w:val="22"/>
              </w:rPr>
              <w:t>Ваші контакти</w:t>
            </w:r>
            <w:r w:rsidRPr="0019790A">
              <w:rPr>
                <w:rFonts w:cs="Arial"/>
                <w:szCs w:val="22"/>
              </w:rPr>
              <w:t>:</w:t>
            </w:r>
          </w:p>
          <w:p w14:paraId="24325357" w14:textId="77777777" w:rsidR="005342D5" w:rsidRPr="0019790A" w:rsidRDefault="005342D5" w:rsidP="0019790A">
            <w:pPr>
              <w:rPr>
                <w:rFonts w:cs="Arial"/>
                <w:b/>
                <w:bCs/>
                <w:szCs w:val="22"/>
              </w:rPr>
            </w:pPr>
            <w:r w:rsidRPr="0019790A">
              <w:rPr>
                <w:rFonts w:cs="Arial"/>
                <w:szCs w:val="22"/>
              </w:rPr>
              <w:t>Назва установи, організації, підприємства</w:t>
            </w:r>
          </w:p>
        </w:tc>
        <w:tc>
          <w:tcPr>
            <w:tcW w:w="6794" w:type="dxa"/>
            <w:gridSpan w:val="9"/>
            <w:vAlign w:val="center"/>
          </w:tcPr>
          <w:p w14:paraId="39B3F6F7" w14:textId="77777777" w:rsidR="005342D5" w:rsidRPr="0019790A" w:rsidRDefault="005342D5" w:rsidP="0068624E">
            <w:pPr>
              <w:jc w:val="both"/>
              <w:rPr>
                <w:rFonts w:cs="Arial"/>
                <w:szCs w:val="22"/>
              </w:rPr>
            </w:pPr>
            <w:r w:rsidRPr="0019790A">
              <w:rPr>
                <w:rFonts w:cs="Arial"/>
                <w:szCs w:val="22"/>
              </w:rPr>
              <w:t>Відділ молоді та спорту Жмеринської міської ради</w:t>
            </w:r>
          </w:p>
        </w:tc>
      </w:tr>
      <w:tr w:rsidR="005342D5" w:rsidRPr="0019790A" w14:paraId="2869F7D5" w14:textId="77777777" w:rsidTr="0068624E">
        <w:trPr>
          <w:jc w:val="right"/>
        </w:trPr>
        <w:tc>
          <w:tcPr>
            <w:tcW w:w="3425" w:type="dxa"/>
          </w:tcPr>
          <w:p w14:paraId="15715ED0" w14:textId="77777777" w:rsidR="005342D5" w:rsidRPr="0019790A" w:rsidRDefault="005342D5" w:rsidP="0019790A">
            <w:pPr>
              <w:rPr>
                <w:rFonts w:cs="Arial"/>
                <w:b/>
                <w:bCs/>
                <w:szCs w:val="22"/>
              </w:rPr>
            </w:pPr>
            <w:r w:rsidRPr="0019790A">
              <w:rPr>
                <w:rFonts w:cs="Arial"/>
                <w:szCs w:val="22"/>
              </w:rPr>
              <w:t>Прізвище Ім’я По-батькові:</w:t>
            </w:r>
          </w:p>
        </w:tc>
        <w:tc>
          <w:tcPr>
            <w:tcW w:w="6794" w:type="dxa"/>
            <w:gridSpan w:val="9"/>
            <w:vAlign w:val="center"/>
          </w:tcPr>
          <w:p w14:paraId="394F0B1C" w14:textId="77777777" w:rsidR="005342D5" w:rsidRPr="0019790A" w:rsidRDefault="005342D5" w:rsidP="0068624E">
            <w:pPr>
              <w:jc w:val="both"/>
              <w:rPr>
                <w:rFonts w:cs="Arial"/>
                <w:szCs w:val="22"/>
              </w:rPr>
            </w:pPr>
            <w:r w:rsidRPr="0019790A">
              <w:rPr>
                <w:rFonts w:cs="Arial"/>
                <w:szCs w:val="22"/>
              </w:rPr>
              <w:t>Ковальська Олена Віталіївна</w:t>
            </w:r>
          </w:p>
        </w:tc>
      </w:tr>
      <w:tr w:rsidR="005342D5" w:rsidRPr="0019790A" w14:paraId="640296C0" w14:textId="77777777" w:rsidTr="0068624E">
        <w:trPr>
          <w:jc w:val="right"/>
        </w:trPr>
        <w:tc>
          <w:tcPr>
            <w:tcW w:w="3425" w:type="dxa"/>
          </w:tcPr>
          <w:p w14:paraId="045564E0" w14:textId="77777777" w:rsidR="005342D5" w:rsidRPr="0019790A" w:rsidRDefault="005342D5" w:rsidP="0019790A">
            <w:pPr>
              <w:rPr>
                <w:rFonts w:cs="Arial"/>
                <w:b/>
                <w:bCs/>
                <w:szCs w:val="22"/>
              </w:rPr>
            </w:pPr>
            <w:r w:rsidRPr="0019790A">
              <w:rPr>
                <w:rFonts w:cs="Arial"/>
                <w:szCs w:val="22"/>
              </w:rPr>
              <w:t>Телефон (мобільний):</w:t>
            </w:r>
          </w:p>
        </w:tc>
        <w:tc>
          <w:tcPr>
            <w:tcW w:w="6794" w:type="dxa"/>
            <w:gridSpan w:val="9"/>
            <w:vAlign w:val="center"/>
          </w:tcPr>
          <w:p w14:paraId="5B0B8538" w14:textId="77777777" w:rsidR="005342D5" w:rsidRPr="0019790A" w:rsidRDefault="005342D5" w:rsidP="0068624E">
            <w:pPr>
              <w:jc w:val="both"/>
              <w:rPr>
                <w:rFonts w:cs="Arial"/>
                <w:szCs w:val="22"/>
              </w:rPr>
            </w:pPr>
            <w:r w:rsidRPr="0019790A">
              <w:rPr>
                <w:rFonts w:cs="Arial"/>
                <w:szCs w:val="22"/>
              </w:rPr>
              <w:t>096-068-94-79</w:t>
            </w:r>
          </w:p>
        </w:tc>
      </w:tr>
      <w:tr w:rsidR="005342D5" w:rsidRPr="0019790A" w14:paraId="4EEF63FF" w14:textId="77777777" w:rsidTr="0068624E">
        <w:trPr>
          <w:jc w:val="right"/>
        </w:trPr>
        <w:tc>
          <w:tcPr>
            <w:tcW w:w="3425" w:type="dxa"/>
          </w:tcPr>
          <w:p w14:paraId="525E22AF" w14:textId="77777777" w:rsidR="005342D5" w:rsidRPr="0019790A" w:rsidRDefault="005342D5" w:rsidP="0019790A">
            <w:pPr>
              <w:rPr>
                <w:rFonts w:cs="Arial"/>
                <w:b/>
                <w:bCs/>
                <w:szCs w:val="22"/>
              </w:rPr>
            </w:pPr>
            <w:r w:rsidRPr="0019790A">
              <w:rPr>
                <w:rFonts w:cs="Arial"/>
                <w:szCs w:val="22"/>
              </w:rPr>
              <w:t>Електронна адреса:</w:t>
            </w:r>
          </w:p>
        </w:tc>
        <w:tc>
          <w:tcPr>
            <w:tcW w:w="6794" w:type="dxa"/>
            <w:gridSpan w:val="9"/>
            <w:vAlign w:val="center"/>
          </w:tcPr>
          <w:p w14:paraId="006572BD" w14:textId="77777777" w:rsidR="005342D5" w:rsidRPr="0019790A" w:rsidRDefault="00D85FFD" w:rsidP="0068624E">
            <w:pPr>
              <w:jc w:val="both"/>
              <w:rPr>
                <w:rFonts w:cs="Arial"/>
                <w:szCs w:val="22"/>
              </w:rPr>
            </w:pPr>
            <w:hyperlink r:id="rId152" w:history="1">
              <w:r w:rsidR="005342D5" w:rsidRPr="0019790A">
                <w:rPr>
                  <w:rStyle w:val="af0"/>
                  <w:rFonts w:cs="Arial"/>
                  <w:b/>
                  <w:bCs/>
                  <w:noProof w:val="0"/>
                  <w:sz w:val="22"/>
                  <w:szCs w:val="22"/>
                </w:rPr>
                <w:t>ms@zhmr.gov.ua</w:t>
              </w:r>
            </w:hyperlink>
          </w:p>
        </w:tc>
      </w:tr>
      <w:tr w:rsidR="005342D5" w:rsidRPr="0019790A" w14:paraId="2803395C" w14:textId="77777777" w:rsidTr="0068624E">
        <w:trPr>
          <w:jc w:val="right"/>
        </w:trPr>
        <w:tc>
          <w:tcPr>
            <w:tcW w:w="3425" w:type="dxa"/>
            <w:vAlign w:val="center"/>
          </w:tcPr>
          <w:p w14:paraId="50DC1557" w14:textId="77777777" w:rsidR="005342D5" w:rsidRPr="0019790A" w:rsidRDefault="005342D5" w:rsidP="0019790A">
            <w:pPr>
              <w:rPr>
                <w:rFonts w:cs="Arial"/>
                <w:b/>
                <w:bCs/>
                <w:szCs w:val="22"/>
              </w:rPr>
            </w:pPr>
            <w:r w:rsidRPr="0019790A">
              <w:rPr>
                <w:rFonts w:cs="Arial"/>
                <w:b/>
                <w:bCs/>
                <w:szCs w:val="22"/>
              </w:rPr>
              <w:t>Номер і назва завдання з Стратегії розвитку Жмеринської міської територіальної громади,  якому відповідає проєкт:</w:t>
            </w:r>
          </w:p>
        </w:tc>
        <w:tc>
          <w:tcPr>
            <w:tcW w:w="6794" w:type="dxa"/>
            <w:gridSpan w:val="9"/>
            <w:vAlign w:val="center"/>
          </w:tcPr>
          <w:p w14:paraId="262B7B74" w14:textId="77777777" w:rsidR="005342D5" w:rsidRPr="0019790A" w:rsidRDefault="005342D5" w:rsidP="0068624E">
            <w:pPr>
              <w:jc w:val="both"/>
              <w:rPr>
                <w:rFonts w:cs="Arial"/>
                <w:b/>
                <w:bCs/>
                <w:szCs w:val="22"/>
              </w:rPr>
            </w:pPr>
            <w:r w:rsidRPr="0019790A">
              <w:rPr>
                <w:rFonts w:cs="Arial"/>
                <w:b/>
                <w:bCs/>
                <w:szCs w:val="22"/>
              </w:rPr>
              <w:t>С.3.4.2. Будівництво, реконструкція інфраструктури спорту з урахуванням гендерного аспекту.</w:t>
            </w:r>
          </w:p>
          <w:p w14:paraId="6D2BEA9A" w14:textId="77777777" w:rsidR="005342D5" w:rsidRPr="0019790A" w:rsidRDefault="005342D5" w:rsidP="0068624E">
            <w:pPr>
              <w:jc w:val="both"/>
              <w:rPr>
                <w:rFonts w:cs="Arial"/>
                <w:b/>
                <w:bCs/>
                <w:szCs w:val="22"/>
              </w:rPr>
            </w:pPr>
            <w:r w:rsidRPr="0019790A">
              <w:rPr>
                <w:rFonts w:cs="Arial"/>
                <w:b/>
                <w:bCs/>
                <w:szCs w:val="22"/>
              </w:rPr>
              <w:t>С.3.4.4. Облаштування спортивних залів матеріально-технічною базою.</w:t>
            </w:r>
          </w:p>
          <w:p w14:paraId="48D41180" w14:textId="77777777" w:rsidR="005342D5" w:rsidRPr="0019790A" w:rsidRDefault="005342D5" w:rsidP="0068624E">
            <w:pPr>
              <w:jc w:val="both"/>
              <w:rPr>
                <w:rFonts w:cs="Arial"/>
                <w:b/>
                <w:bCs/>
                <w:szCs w:val="22"/>
              </w:rPr>
            </w:pPr>
            <w:r w:rsidRPr="0019790A">
              <w:rPr>
                <w:rFonts w:cs="Arial"/>
                <w:b/>
                <w:bCs/>
                <w:szCs w:val="22"/>
              </w:rPr>
              <w:t>С.3.4.7. Облаштування сучасних спортивних закладів, відкриття спортивних секцій.</w:t>
            </w:r>
          </w:p>
          <w:p w14:paraId="0AB04993" w14:textId="77777777" w:rsidR="005342D5" w:rsidRPr="0019790A" w:rsidRDefault="005342D5" w:rsidP="0068624E">
            <w:pPr>
              <w:jc w:val="both"/>
              <w:rPr>
                <w:rFonts w:cs="Arial"/>
                <w:b/>
                <w:szCs w:val="22"/>
              </w:rPr>
            </w:pPr>
          </w:p>
        </w:tc>
      </w:tr>
      <w:tr w:rsidR="005342D5" w:rsidRPr="0019790A" w14:paraId="3BA9015B" w14:textId="77777777" w:rsidTr="0068624E">
        <w:trPr>
          <w:trHeight w:val="673"/>
          <w:jc w:val="right"/>
        </w:trPr>
        <w:tc>
          <w:tcPr>
            <w:tcW w:w="3425" w:type="dxa"/>
            <w:vAlign w:val="center"/>
          </w:tcPr>
          <w:p w14:paraId="1EBC57AA" w14:textId="77777777" w:rsidR="005342D5" w:rsidRPr="0019790A" w:rsidRDefault="005342D5" w:rsidP="0019790A">
            <w:pPr>
              <w:rPr>
                <w:rFonts w:cs="Arial"/>
                <w:b/>
                <w:bCs/>
                <w:szCs w:val="22"/>
              </w:rPr>
            </w:pPr>
            <w:r w:rsidRPr="0019790A">
              <w:rPr>
                <w:rFonts w:cs="Arial"/>
                <w:b/>
                <w:bCs/>
                <w:szCs w:val="22"/>
              </w:rPr>
              <w:t>Мета проєкту:</w:t>
            </w:r>
          </w:p>
        </w:tc>
        <w:tc>
          <w:tcPr>
            <w:tcW w:w="6794" w:type="dxa"/>
            <w:gridSpan w:val="9"/>
            <w:vAlign w:val="center"/>
          </w:tcPr>
          <w:p w14:paraId="3A7BD50C" w14:textId="77777777" w:rsidR="005342D5" w:rsidRPr="0019790A" w:rsidRDefault="005342D5" w:rsidP="0068624E">
            <w:pPr>
              <w:jc w:val="both"/>
              <w:rPr>
                <w:rFonts w:cs="Arial"/>
                <w:szCs w:val="22"/>
              </w:rPr>
            </w:pPr>
            <w:r w:rsidRPr="0019790A">
              <w:rPr>
                <w:rFonts w:cs="Arial"/>
                <w:szCs w:val="22"/>
              </w:rPr>
              <w:t xml:space="preserve">Створення безпечного, інклюзивного та сучасного скейт-парку для популяризації активного способу життя серед молоді та підлітків, розвитку вуличної спортивної культури та ефективного використання публічного простору парку. </w:t>
            </w:r>
          </w:p>
        </w:tc>
      </w:tr>
      <w:tr w:rsidR="005342D5" w:rsidRPr="0019790A" w14:paraId="52D86645" w14:textId="77777777" w:rsidTr="0068624E">
        <w:trPr>
          <w:jc w:val="right"/>
        </w:trPr>
        <w:tc>
          <w:tcPr>
            <w:tcW w:w="3425" w:type="dxa"/>
            <w:vAlign w:val="center"/>
          </w:tcPr>
          <w:p w14:paraId="5DA5CB49" w14:textId="77777777" w:rsidR="005342D5" w:rsidRPr="0019790A" w:rsidRDefault="005342D5" w:rsidP="0019790A">
            <w:pPr>
              <w:rPr>
                <w:rFonts w:cs="Arial"/>
                <w:b/>
                <w:bCs/>
                <w:szCs w:val="22"/>
              </w:rPr>
            </w:pPr>
            <w:r w:rsidRPr="0019790A">
              <w:rPr>
                <w:rFonts w:cs="Arial"/>
                <w:b/>
                <w:bCs/>
                <w:szCs w:val="22"/>
              </w:rPr>
              <w:t>Цілі проєкту:</w:t>
            </w:r>
          </w:p>
        </w:tc>
        <w:tc>
          <w:tcPr>
            <w:tcW w:w="6794" w:type="dxa"/>
            <w:gridSpan w:val="9"/>
            <w:vAlign w:val="center"/>
          </w:tcPr>
          <w:p w14:paraId="3C749772" w14:textId="77777777" w:rsidR="005342D5" w:rsidRPr="0019790A" w:rsidRDefault="005342D5" w:rsidP="0068624E">
            <w:pPr>
              <w:jc w:val="both"/>
              <w:rPr>
                <w:rFonts w:cs="Arial"/>
                <w:szCs w:val="22"/>
              </w:rPr>
            </w:pPr>
            <w:r w:rsidRPr="0019790A">
              <w:rPr>
                <w:rFonts w:cs="Arial"/>
                <w:szCs w:val="22"/>
              </w:rPr>
              <w:t>1. Забезпечити громаду якісним простором для занять екстремальними та вуличними видами спорту.</w:t>
            </w:r>
          </w:p>
          <w:p w14:paraId="5FE2C7C7" w14:textId="77777777" w:rsidR="005342D5" w:rsidRPr="0019790A" w:rsidRDefault="005342D5" w:rsidP="0068624E">
            <w:pPr>
              <w:jc w:val="both"/>
              <w:rPr>
                <w:rFonts w:cs="Arial"/>
                <w:szCs w:val="22"/>
              </w:rPr>
            </w:pPr>
            <w:r w:rsidRPr="0019790A">
              <w:rPr>
                <w:rFonts w:cs="Arial"/>
                <w:szCs w:val="22"/>
              </w:rPr>
              <w:t>2.  Створити умови для фізичного розвитку та соціальної взаємодії молоді.</w:t>
            </w:r>
          </w:p>
          <w:p w14:paraId="1A17158E" w14:textId="77777777" w:rsidR="005342D5" w:rsidRPr="0019790A" w:rsidRDefault="005342D5" w:rsidP="0068624E">
            <w:pPr>
              <w:jc w:val="both"/>
              <w:rPr>
                <w:rFonts w:cs="Arial"/>
                <w:szCs w:val="22"/>
              </w:rPr>
            </w:pPr>
            <w:r w:rsidRPr="0019790A">
              <w:rPr>
                <w:rFonts w:cs="Arial"/>
                <w:szCs w:val="22"/>
              </w:rPr>
              <w:t>3.  Підвищити рівень безпечного дозвілля підлітків у міському середовищі.</w:t>
            </w:r>
          </w:p>
          <w:p w14:paraId="02A2B085" w14:textId="77777777" w:rsidR="005342D5" w:rsidRPr="0019790A" w:rsidRDefault="005342D5" w:rsidP="0068624E">
            <w:pPr>
              <w:jc w:val="both"/>
              <w:rPr>
                <w:rFonts w:cs="Arial"/>
                <w:szCs w:val="22"/>
              </w:rPr>
            </w:pPr>
            <w:r w:rsidRPr="0019790A">
              <w:rPr>
                <w:rFonts w:cs="Arial"/>
                <w:szCs w:val="22"/>
              </w:rPr>
              <w:t>4.  Розширити інфраструктуру парку та активізувати його використання мешканцями.</w:t>
            </w:r>
          </w:p>
          <w:p w14:paraId="4DBFD197" w14:textId="09B7BC0E" w:rsidR="005342D5" w:rsidRPr="0019790A" w:rsidRDefault="005342D5" w:rsidP="0068624E">
            <w:pPr>
              <w:jc w:val="both"/>
              <w:rPr>
                <w:rFonts w:cs="Arial"/>
                <w:szCs w:val="22"/>
              </w:rPr>
            </w:pPr>
            <w:r w:rsidRPr="0019790A">
              <w:rPr>
                <w:rFonts w:cs="Arial"/>
                <w:szCs w:val="22"/>
              </w:rPr>
              <w:t>5. Залучити молодь до здорової альтернативи пасивному проведенню часу.</w:t>
            </w:r>
          </w:p>
        </w:tc>
      </w:tr>
      <w:tr w:rsidR="005342D5" w:rsidRPr="0019790A" w14:paraId="16765E3A" w14:textId="77777777" w:rsidTr="0068624E">
        <w:trPr>
          <w:jc w:val="right"/>
        </w:trPr>
        <w:tc>
          <w:tcPr>
            <w:tcW w:w="3425" w:type="dxa"/>
            <w:vAlign w:val="center"/>
          </w:tcPr>
          <w:p w14:paraId="52D84BCB" w14:textId="77777777" w:rsidR="005342D5" w:rsidRPr="0019790A" w:rsidRDefault="005342D5" w:rsidP="0019790A">
            <w:pPr>
              <w:rPr>
                <w:rFonts w:cs="Arial"/>
                <w:b/>
                <w:szCs w:val="22"/>
              </w:rPr>
            </w:pPr>
            <w:r w:rsidRPr="0019790A">
              <w:rPr>
                <w:rFonts w:cs="Arial"/>
                <w:b/>
                <w:szCs w:val="22"/>
              </w:rPr>
              <w:t>Територія на яку проєкт матиме вплив:</w:t>
            </w:r>
          </w:p>
        </w:tc>
        <w:tc>
          <w:tcPr>
            <w:tcW w:w="6794" w:type="dxa"/>
            <w:gridSpan w:val="9"/>
            <w:vAlign w:val="center"/>
          </w:tcPr>
          <w:p w14:paraId="4EE085B5" w14:textId="77777777" w:rsidR="005342D5" w:rsidRPr="0019790A" w:rsidRDefault="005342D5" w:rsidP="0068624E">
            <w:pPr>
              <w:jc w:val="both"/>
              <w:rPr>
                <w:rFonts w:cs="Arial"/>
                <w:szCs w:val="22"/>
              </w:rPr>
            </w:pPr>
            <w:r w:rsidRPr="0019790A">
              <w:rPr>
                <w:rFonts w:cs="Arial"/>
                <w:szCs w:val="22"/>
              </w:rPr>
              <w:t>Жмеринська міська територіальна громада</w:t>
            </w:r>
          </w:p>
        </w:tc>
      </w:tr>
      <w:tr w:rsidR="005342D5" w:rsidRPr="0019790A" w14:paraId="700F92FD" w14:textId="77777777" w:rsidTr="0068624E">
        <w:trPr>
          <w:jc w:val="right"/>
        </w:trPr>
        <w:tc>
          <w:tcPr>
            <w:tcW w:w="3425" w:type="dxa"/>
            <w:vAlign w:val="center"/>
          </w:tcPr>
          <w:p w14:paraId="56099902" w14:textId="77777777" w:rsidR="005342D5" w:rsidRPr="0019790A" w:rsidRDefault="005342D5" w:rsidP="0019790A">
            <w:pPr>
              <w:rPr>
                <w:rFonts w:cs="Arial"/>
                <w:b/>
                <w:szCs w:val="22"/>
              </w:rPr>
            </w:pPr>
            <w:r w:rsidRPr="0019790A">
              <w:rPr>
                <w:rFonts w:cs="Arial"/>
                <w:b/>
                <w:szCs w:val="22"/>
              </w:rPr>
              <w:t>Цільові групи проєкту та кількість отримувачів вигоди</w:t>
            </w:r>
          </w:p>
        </w:tc>
        <w:tc>
          <w:tcPr>
            <w:tcW w:w="6794" w:type="dxa"/>
            <w:gridSpan w:val="9"/>
            <w:vAlign w:val="center"/>
          </w:tcPr>
          <w:p w14:paraId="493FB592" w14:textId="2C993B10" w:rsidR="005342D5" w:rsidRPr="0019790A" w:rsidRDefault="0068624E" w:rsidP="0068624E">
            <w:pPr>
              <w:jc w:val="both"/>
              <w:rPr>
                <w:rFonts w:cs="Arial"/>
                <w:bCs/>
                <w:szCs w:val="22"/>
              </w:rPr>
            </w:pPr>
            <w:r>
              <w:rPr>
                <w:rFonts w:cs="Arial"/>
                <w:b/>
                <w:bCs/>
                <w:szCs w:val="22"/>
              </w:rPr>
              <w:t>1.</w:t>
            </w:r>
            <w:r w:rsidR="005342D5" w:rsidRPr="0019790A">
              <w:rPr>
                <w:rFonts w:cs="Arial"/>
                <w:b/>
                <w:bCs/>
                <w:szCs w:val="22"/>
              </w:rPr>
              <w:t>Діти та підлітки віком 7–18 років</w:t>
            </w:r>
            <w:r w:rsidR="005342D5" w:rsidRPr="0019790A">
              <w:rPr>
                <w:rFonts w:cs="Arial"/>
                <w:bCs/>
                <w:szCs w:val="22"/>
              </w:rPr>
              <w:t>– основна аудиторія, яка активно зацікавлена у скейтбордингу, катанні на самокатах, BMX-велосипедах, роликах.</w:t>
            </w:r>
            <w:r>
              <w:rPr>
                <w:rFonts w:cs="Arial"/>
                <w:bCs/>
                <w:szCs w:val="22"/>
              </w:rPr>
              <w:t xml:space="preserve"> </w:t>
            </w:r>
            <w:r w:rsidR="005342D5" w:rsidRPr="0019790A">
              <w:rPr>
                <w:rFonts w:cs="Arial"/>
                <w:bCs/>
                <w:szCs w:val="22"/>
              </w:rPr>
              <w:t>– потребують безпечного та організованого простору для тренувань і спілкування.</w:t>
            </w:r>
          </w:p>
          <w:p w14:paraId="2C2585B2" w14:textId="6B282096" w:rsidR="005342D5" w:rsidRPr="0019790A" w:rsidRDefault="0068624E" w:rsidP="0068624E">
            <w:pPr>
              <w:jc w:val="both"/>
              <w:rPr>
                <w:rFonts w:cs="Arial"/>
                <w:bCs/>
                <w:szCs w:val="22"/>
              </w:rPr>
            </w:pPr>
            <w:r>
              <w:rPr>
                <w:rFonts w:cs="Arial"/>
                <w:b/>
                <w:bCs/>
                <w:szCs w:val="22"/>
              </w:rPr>
              <w:t>2.</w:t>
            </w:r>
            <w:r w:rsidR="005342D5" w:rsidRPr="0019790A">
              <w:rPr>
                <w:rFonts w:cs="Arial"/>
                <w:b/>
                <w:bCs/>
                <w:szCs w:val="22"/>
              </w:rPr>
              <w:t>Молодь віком 18–30 років</w:t>
            </w:r>
            <w:r>
              <w:rPr>
                <w:rFonts w:cs="Arial"/>
                <w:b/>
                <w:bCs/>
                <w:szCs w:val="22"/>
              </w:rPr>
              <w:t xml:space="preserve"> </w:t>
            </w:r>
            <w:r w:rsidR="005342D5" w:rsidRPr="0019790A">
              <w:rPr>
                <w:rFonts w:cs="Arial"/>
                <w:bCs/>
                <w:szCs w:val="22"/>
              </w:rPr>
              <w:t>– займаються вуличною культурою та екстремальними видами спорту на аматорському та напівпрофесійному рівні.</w:t>
            </w:r>
            <w:r>
              <w:rPr>
                <w:rFonts w:cs="Arial"/>
                <w:bCs/>
                <w:szCs w:val="22"/>
              </w:rPr>
              <w:t xml:space="preserve"> </w:t>
            </w:r>
            <w:r w:rsidR="005342D5" w:rsidRPr="0019790A">
              <w:rPr>
                <w:rFonts w:cs="Arial"/>
                <w:bCs/>
                <w:szCs w:val="22"/>
              </w:rPr>
              <w:t>є рушійною силою неформального спортивного середовища громади.</w:t>
            </w:r>
          </w:p>
          <w:p w14:paraId="3686C778" w14:textId="5ED0887E" w:rsidR="005342D5" w:rsidRPr="0019790A" w:rsidRDefault="0068624E" w:rsidP="0068624E">
            <w:pPr>
              <w:jc w:val="both"/>
              <w:rPr>
                <w:rFonts w:cs="Arial"/>
                <w:bCs/>
                <w:szCs w:val="22"/>
              </w:rPr>
            </w:pPr>
            <w:r>
              <w:rPr>
                <w:rFonts w:cs="Arial"/>
                <w:b/>
                <w:bCs/>
                <w:szCs w:val="22"/>
              </w:rPr>
              <w:t>3.</w:t>
            </w:r>
            <w:r w:rsidR="005342D5" w:rsidRPr="0019790A">
              <w:rPr>
                <w:rFonts w:cs="Arial"/>
                <w:b/>
                <w:bCs/>
                <w:szCs w:val="22"/>
              </w:rPr>
              <w:t>Батьки дітей та підлітків</w:t>
            </w:r>
            <w:r>
              <w:rPr>
                <w:rFonts w:cs="Arial"/>
                <w:b/>
                <w:bCs/>
                <w:szCs w:val="22"/>
              </w:rPr>
              <w:t xml:space="preserve"> </w:t>
            </w:r>
            <w:r w:rsidR="005342D5" w:rsidRPr="0019790A">
              <w:rPr>
                <w:rFonts w:cs="Arial"/>
                <w:bCs/>
                <w:szCs w:val="22"/>
              </w:rPr>
              <w:t>– зацікавлені у безпечному та цивілізованому середовищі для дозвілля своїх дітей.</w:t>
            </w:r>
          </w:p>
          <w:p w14:paraId="6B9F1D35" w14:textId="64887C3D" w:rsidR="005342D5" w:rsidRPr="0019790A" w:rsidRDefault="005342D5" w:rsidP="0068624E">
            <w:pPr>
              <w:jc w:val="both"/>
              <w:rPr>
                <w:rFonts w:cs="Arial"/>
                <w:bCs/>
                <w:szCs w:val="22"/>
              </w:rPr>
            </w:pPr>
            <w:r w:rsidRPr="0019790A">
              <w:rPr>
                <w:rFonts w:cs="Arial"/>
                <w:b/>
                <w:bCs/>
                <w:szCs w:val="22"/>
              </w:rPr>
              <w:t>4.  Громадські спортивні організації, неформальні ініціативи,</w:t>
            </w:r>
            <w:r w:rsidR="0068624E">
              <w:rPr>
                <w:rFonts w:cs="Arial"/>
                <w:b/>
                <w:bCs/>
                <w:szCs w:val="22"/>
              </w:rPr>
              <w:t xml:space="preserve"> </w:t>
            </w:r>
            <w:r w:rsidRPr="0019790A">
              <w:rPr>
                <w:rFonts w:cs="Arial"/>
                <w:b/>
                <w:bCs/>
                <w:szCs w:val="22"/>
              </w:rPr>
              <w:t>волонтери</w:t>
            </w:r>
            <w:r w:rsidRPr="0019790A">
              <w:rPr>
                <w:rFonts w:cs="Arial"/>
                <w:bCs/>
                <w:szCs w:val="22"/>
              </w:rPr>
              <w:t xml:space="preserve"> можуть долучатися до розвитку скейт-парку, організовувати події, навчання, змагання.</w:t>
            </w:r>
          </w:p>
          <w:p w14:paraId="5230798E" w14:textId="7392AFCE" w:rsidR="005342D5" w:rsidRPr="0019790A" w:rsidRDefault="0068624E" w:rsidP="0068624E">
            <w:pPr>
              <w:jc w:val="both"/>
              <w:rPr>
                <w:rFonts w:cs="Arial"/>
                <w:bCs/>
                <w:szCs w:val="22"/>
              </w:rPr>
            </w:pPr>
            <w:r>
              <w:rPr>
                <w:rFonts w:cs="Arial"/>
                <w:b/>
                <w:bCs/>
                <w:szCs w:val="22"/>
              </w:rPr>
              <w:t>5.</w:t>
            </w:r>
            <w:r w:rsidR="005342D5" w:rsidRPr="0019790A">
              <w:rPr>
                <w:rFonts w:cs="Arial"/>
                <w:b/>
                <w:bCs/>
                <w:szCs w:val="22"/>
              </w:rPr>
              <w:t>Люди з інвалідністю</w:t>
            </w:r>
            <w:r>
              <w:rPr>
                <w:rFonts w:cs="Arial"/>
                <w:b/>
                <w:bCs/>
                <w:szCs w:val="22"/>
              </w:rPr>
              <w:t xml:space="preserve"> </w:t>
            </w:r>
            <w:r w:rsidR="005342D5" w:rsidRPr="0019790A">
              <w:rPr>
                <w:rFonts w:cs="Arial"/>
                <w:bCs/>
                <w:szCs w:val="22"/>
              </w:rPr>
              <w:t>– завдяки інклюзивному дизайну частково зможуть користуватись інфраструктурою (огляд, доступна зона для тренувань тощо).</w:t>
            </w:r>
          </w:p>
          <w:p w14:paraId="234DFCEC" w14:textId="694C586F" w:rsidR="005342D5" w:rsidRPr="0019790A" w:rsidRDefault="005342D5" w:rsidP="0068624E">
            <w:pPr>
              <w:jc w:val="both"/>
              <w:rPr>
                <w:rFonts w:cs="Arial"/>
                <w:bCs/>
                <w:szCs w:val="22"/>
              </w:rPr>
            </w:pPr>
            <w:r w:rsidRPr="0019790A">
              <w:rPr>
                <w:rFonts w:cs="Arial"/>
                <w:b/>
                <w:bCs/>
                <w:szCs w:val="22"/>
              </w:rPr>
              <w:t>6.  Мешканці міста загалом</w:t>
            </w:r>
            <w:r w:rsidR="0068624E">
              <w:rPr>
                <w:rFonts w:cs="Arial"/>
                <w:b/>
                <w:bCs/>
                <w:szCs w:val="22"/>
              </w:rPr>
              <w:t xml:space="preserve"> </w:t>
            </w:r>
            <w:r w:rsidRPr="0019790A">
              <w:rPr>
                <w:rFonts w:cs="Arial"/>
                <w:bCs/>
                <w:szCs w:val="22"/>
              </w:rPr>
              <w:t>– як спостерігачі, учасники заходів, глядачі турнірів, користувачі парку.</w:t>
            </w:r>
          </w:p>
          <w:p w14:paraId="01ECAF59" w14:textId="77777777" w:rsidR="005342D5" w:rsidRPr="0019790A" w:rsidRDefault="005342D5" w:rsidP="0068624E">
            <w:pPr>
              <w:jc w:val="both"/>
              <w:rPr>
                <w:rFonts w:cs="Arial"/>
                <w:szCs w:val="22"/>
              </w:rPr>
            </w:pPr>
            <w:r w:rsidRPr="0019790A">
              <w:rPr>
                <w:rFonts w:cs="Arial"/>
                <w:b/>
                <w:szCs w:val="22"/>
              </w:rPr>
              <w:t>Кількість отримувачів вигоди</w:t>
            </w:r>
            <w:r w:rsidRPr="0019790A">
              <w:rPr>
                <w:rFonts w:cs="Arial"/>
                <w:szCs w:val="22"/>
              </w:rPr>
              <w:t xml:space="preserve"> </w:t>
            </w:r>
            <w:r w:rsidRPr="0019790A">
              <w:rPr>
                <w:rFonts w:cs="Arial"/>
                <w:b/>
                <w:szCs w:val="22"/>
              </w:rPr>
              <w:t>20000 осіб.</w:t>
            </w:r>
          </w:p>
        </w:tc>
      </w:tr>
      <w:tr w:rsidR="005342D5" w:rsidRPr="0019790A" w14:paraId="7EFF7160" w14:textId="77777777" w:rsidTr="0068624E">
        <w:trPr>
          <w:jc w:val="right"/>
        </w:trPr>
        <w:tc>
          <w:tcPr>
            <w:tcW w:w="3425" w:type="dxa"/>
            <w:shd w:val="clear" w:color="auto" w:fill="FFFFFF"/>
            <w:vAlign w:val="center"/>
          </w:tcPr>
          <w:p w14:paraId="2086F3D1" w14:textId="77777777" w:rsidR="005342D5" w:rsidRPr="0019790A" w:rsidRDefault="005342D5" w:rsidP="0019790A">
            <w:pPr>
              <w:rPr>
                <w:rFonts w:cs="Arial"/>
                <w:b/>
                <w:bCs/>
                <w:szCs w:val="22"/>
              </w:rPr>
            </w:pPr>
            <w:r w:rsidRPr="0019790A">
              <w:rPr>
                <w:rFonts w:cs="Arial"/>
                <w:b/>
                <w:bCs/>
                <w:szCs w:val="22"/>
              </w:rPr>
              <w:t>Стислий опис проєкту:</w:t>
            </w:r>
          </w:p>
        </w:tc>
        <w:tc>
          <w:tcPr>
            <w:tcW w:w="6794" w:type="dxa"/>
            <w:gridSpan w:val="9"/>
            <w:vAlign w:val="center"/>
          </w:tcPr>
          <w:p w14:paraId="744465B9" w14:textId="77777777" w:rsidR="005342D5" w:rsidRPr="0019790A" w:rsidRDefault="005342D5" w:rsidP="0068624E">
            <w:pPr>
              <w:jc w:val="both"/>
              <w:rPr>
                <w:rFonts w:cs="Arial"/>
                <w:szCs w:val="22"/>
              </w:rPr>
            </w:pPr>
            <w:r w:rsidRPr="0019790A">
              <w:rPr>
                <w:rFonts w:cs="Arial"/>
                <w:szCs w:val="22"/>
              </w:rPr>
              <w:t xml:space="preserve">Проєкт передбачає будівництво </w:t>
            </w:r>
            <w:r w:rsidRPr="0019790A">
              <w:rPr>
                <w:rFonts w:cs="Arial"/>
                <w:bCs/>
                <w:szCs w:val="22"/>
              </w:rPr>
              <w:t>сучасного скейт-парку</w:t>
            </w:r>
            <w:r w:rsidRPr="0019790A">
              <w:rPr>
                <w:rFonts w:cs="Arial"/>
                <w:szCs w:val="22"/>
              </w:rPr>
              <w:t xml:space="preserve"> на території Центрального міського парку для забезпечення умов активного відпочинку та занять вуличними видами спорту: скейтбордингом, BMX, роликами та самокатами. Простір буде безпечним, інклюзивним, відкритим для різних вікових груп, із використанням антивандальних матеріалів та професійного спортивного покриття. Скейт-парк стане місцем зустрічі молоді, сприятиме розвитку неформальної спортивної культури та розширить можливості активного дозвілля в місті.</w:t>
            </w:r>
          </w:p>
        </w:tc>
      </w:tr>
      <w:tr w:rsidR="005342D5" w:rsidRPr="0019790A" w14:paraId="0C000696" w14:textId="77777777" w:rsidTr="0068624E">
        <w:trPr>
          <w:jc w:val="right"/>
        </w:trPr>
        <w:tc>
          <w:tcPr>
            <w:tcW w:w="3425" w:type="dxa"/>
            <w:shd w:val="clear" w:color="auto" w:fill="FFFFFF"/>
            <w:vAlign w:val="center"/>
          </w:tcPr>
          <w:p w14:paraId="28AD63CA" w14:textId="77777777" w:rsidR="005342D5" w:rsidRPr="0019790A" w:rsidRDefault="005342D5" w:rsidP="0019790A">
            <w:pPr>
              <w:rPr>
                <w:rFonts w:cs="Arial"/>
                <w:b/>
                <w:bCs/>
                <w:szCs w:val="22"/>
              </w:rPr>
            </w:pPr>
            <w:r w:rsidRPr="0019790A">
              <w:rPr>
                <w:rFonts w:cs="Arial"/>
                <w:b/>
                <w:bCs/>
                <w:szCs w:val="22"/>
              </w:rPr>
              <w:t>Основні заходи проєкту:</w:t>
            </w:r>
          </w:p>
        </w:tc>
        <w:tc>
          <w:tcPr>
            <w:tcW w:w="6794" w:type="dxa"/>
            <w:gridSpan w:val="9"/>
            <w:vAlign w:val="center"/>
          </w:tcPr>
          <w:p w14:paraId="1EDA1639" w14:textId="77777777" w:rsidR="005342D5" w:rsidRPr="0019790A" w:rsidRDefault="005342D5" w:rsidP="0068624E">
            <w:pPr>
              <w:jc w:val="both"/>
              <w:rPr>
                <w:rFonts w:cs="Arial"/>
                <w:szCs w:val="22"/>
              </w:rPr>
            </w:pPr>
            <w:r w:rsidRPr="0019790A">
              <w:rPr>
                <w:rFonts w:cs="Arial"/>
                <w:szCs w:val="22"/>
              </w:rPr>
              <w:t>1.  Вибір та підготовка земельної ділянки в межах Центрального міського парку.</w:t>
            </w:r>
          </w:p>
          <w:p w14:paraId="2F935A61" w14:textId="77777777" w:rsidR="005342D5" w:rsidRPr="0019790A" w:rsidRDefault="005342D5" w:rsidP="0068624E">
            <w:pPr>
              <w:jc w:val="both"/>
              <w:rPr>
                <w:rFonts w:cs="Arial"/>
                <w:szCs w:val="22"/>
              </w:rPr>
            </w:pPr>
            <w:r w:rsidRPr="0019790A">
              <w:rPr>
                <w:rFonts w:cs="Arial"/>
                <w:szCs w:val="22"/>
              </w:rPr>
              <w:t>2.  Розробка проєктно-кошторисної документації відповідно до сучасних стандартів.</w:t>
            </w:r>
          </w:p>
          <w:p w14:paraId="42FF14A1" w14:textId="77777777" w:rsidR="005342D5" w:rsidRPr="0019790A" w:rsidRDefault="005342D5" w:rsidP="0068624E">
            <w:pPr>
              <w:jc w:val="both"/>
              <w:rPr>
                <w:rFonts w:cs="Arial"/>
                <w:szCs w:val="22"/>
              </w:rPr>
            </w:pPr>
            <w:r w:rsidRPr="0019790A">
              <w:rPr>
                <w:rFonts w:cs="Arial"/>
                <w:szCs w:val="22"/>
              </w:rPr>
              <w:t>3.  Проведення земляних та підготовчих робіт, влаштування бетонної основи.</w:t>
            </w:r>
          </w:p>
          <w:p w14:paraId="4EC732B6" w14:textId="77777777" w:rsidR="005342D5" w:rsidRPr="0019790A" w:rsidRDefault="005342D5" w:rsidP="0068624E">
            <w:pPr>
              <w:jc w:val="both"/>
              <w:rPr>
                <w:rFonts w:cs="Arial"/>
                <w:szCs w:val="22"/>
              </w:rPr>
            </w:pPr>
            <w:r w:rsidRPr="0019790A">
              <w:rPr>
                <w:rFonts w:cs="Arial"/>
                <w:szCs w:val="22"/>
              </w:rPr>
              <w:t>4.  Установлення фігур для катання (рампи, фанбокси, перила, піраміди тощо).</w:t>
            </w:r>
          </w:p>
          <w:p w14:paraId="4AF1623C" w14:textId="77777777" w:rsidR="005342D5" w:rsidRPr="0019790A" w:rsidRDefault="005342D5" w:rsidP="0068624E">
            <w:pPr>
              <w:jc w:val="both"/>
              <w:rPr>
                <w:rFonts w:cs="Arial"/>
                <w:szCs w:val="22"/>
              </w:rPr>
            </w:pPr>
            <w:r w:rsidRPr="0019790A">
              <w:rPr>
                <w:rFonts w:cs="Arial"/>
                <w:szCs w:val="22"/>
              </w:rPr>
              <w:t>5.  Облаштування освітлення, лавок, урн, огорожі (за потреби).</w:t>
            </w:r>
          </w:p>
          <w:p w14:paraId="295263C7" w14:textId="77777777" w:rsidR="005342D5" w:rsidRPr="0019790A" w:rsidRDefault="005342D5" w:rsidP="0068624E">
            <w:pPr>
              <w:jc w:val="both"/>
              <w:rPr>
                <w:rFonts w:cs="Arial"/>
                <w:szCs w:val="22"/>
              </w:rPr>
            </w:pPr>
            <w:r w:rsidRPr="0019790A">
              <w:rPr>
                <w:rFonts w:cs="Arial"/>
                <w:szCs w:val="22"/>
              </w:rPr>
              <w:t>6.  Забезпечення доступності для людей з інвалідністю.</w:t>
            </w:r>
          </w:p>
          <w:p w14:paraId="58CA83D0" w14:textId="77777777" w:rsidR="005342D5" w:rsidRPr="0019790A" w:rsidRDefault="005342D5" w:rsidP="0068624E">
            <w:pPr>
              <w:jc w:val="both"/>
              <w:rPr>
                <w:rFonts w:cs="Arial"/>
                <w:szCs w:val="22"/>
              </w:rPr>
            </w:pPr>
            <w:r w:rsidRPr="0019790A">
              <w:rPr>
                <w:rFonts w:cs="Arial"/>
                <w:szCs w:val="22"/>
              </w:rPr>
              <w:t>7.  Проведення інформаційної кампанії та відкриття скейт-парку для громади.</w:t>
            </w:r>
          </w:p>
          <w:p w14:paraId="78C3D645" w14:textId="6C14800B" w:rsidR="005342D5" w:rsidRPr="0019790A" w:rsidRDefault="005342D5" w:rsidP="0068624E">
            <w:pPr>
              <w:jc w:val="both"/>
              <w:rPr>
                <w:rFonts w:cs="Arial"/>
                <w:szCs w:val="22"/>
              </w:rPr>
            </w:pPr>
            <w:r w:rsidRPr="0019790A">
              <w:rPr>
                <w:rFonts w:cs="Arial"/>
                <w:szCs w:val="22"/>
              </w:rPr>
              <w:t>8.  Організація турнірів, майстер-класів та подій для молоді.</w:t>
            </w:r>
          </w:p>
        </w:tc>
      </w:tr>
      <w:tr w:rsidR="005342D5" w:rsidRPr="0019790A" w14:paraId="49923778" w14:textId="77777777" w:rsidTr="0068624E">
        <w:trPr>
          <w:jc w:val="right"/>
        </w:trPr>
        <w:tc>
          <w:tcPr>
            <w:tcW w:w="3425" w:type="dxa"/>
            <w:shd w:val="clear" w:color="auto" w:fill="FFFFFF"/>
            <w:vAlign w:val="center"/>
          </w:tcPr>
          <w:p w14:paraId="78096328" w14:textId="77777777" w:rsidR="005342D5" w:rsidRPr="0019790A" w:rsidRDefault="005342D5" w:rsidP="0019790A">
            <w:pPr>
              <w:rPr>
                <w:rFonts w:cs="Arial"/>
                <w:b/>
                <w:bCs/>
                <w:szCs w:val="22"/>
              </w:rPr>
            </w:pPr>
            <w:r w:rsidRPr="0019790A">
              <w:rPr>
                <w:rFonts w:cs="Arial"/>
                <w:b/>
                <w:bCs/>
                <w:szCs w:val="22"/>
              </w:rPr>
              <w:t>Індикатори (показники) результативності:</w:t>
            </w:r>
          </w:p>
        </w:tc>
        <w:tc>
          <w:tcPr>
            <w:tcW w:w="6794" w:type="dxa"/>
            <w:gridSpan w:val="9"/>
            <w:vAlign w:val="center"/>
          </w:tcPr>
          <w:p w14:paraId="1B2DFE5A" w14:textId="77777777" w:rsidR="005342D5" w:rsidRPr="0019790A" w:rsidRDefault="005342D5" w:rsidP="0068624E">
            <w:pPr>
              <w:tabs>
                <w:tab w:val="left" w:pos="290"/>
              </w:tabs>
              <w:jc w:val="both"/>
              <w:rPr>
                <w:rFonts w:cs="Arial"/>
                <w:szCs w:val="22"/>
              </w:rPr>
            </w:pPr>
            <w:r w:rsidRPr="0019790A">
              <w:rPr>
                <w:rFonts w:cs="Arial"/>
                <w:szCs w:val="22"/>
              </w:rPr>
              <w:t xml:space="preserve">1.  </w:t>
            </w:r>
            <w:r w:rsidRPr="0019790A">
              <w:rPr>
                <w:rFonts w:cs="Arial"/>
                <w:b/>
                <w:bCs/>
                <w:szCs w:val="22"/>
              </w:rPr>
              <w:t>Фізичне завершення об’єкта:</w:t>
            </w:r>
          </w:p>
          <w:p w14:paraId="4E83903F" w14:textId="77777777" w:rsidR="005342D5" w:rsidRPr="0019790A" w:rsidRDefault="005342D5" w:rsidP="0068624E">
            <w:pPr>
              <w:numPr>
                <w:ilvl w:val="0"/>
                <w:numId w:val="64"/>
              </w:numPr>
              <w:tabs>
                <w:tab w:val="left" w:pos="290"/>
              </w:tabs>
              <w:ind w:left="0" w:firstLine="0"/>
              <w:jc w:val="both"/>
              <w:rPr>
                <w:rFonts w:cs="Arial"/>
                <w:szCs w:val="22"/>
              </w:rPr>
            </w:pPr>
            <w:r w:rsidRPr="0019790A">
              <w:rPr>
                <w:rFonts w:cs="Arial"/>
                <w:szCs w:val="22"/>
              </w:rPr>
              <w:t>Побудовано скейт-парк площею 450 м² із відповідною інфраструктурою (фігурами для катання, освітленням, лавками, огорожею, інклюзивним доступом тощо).</w:t>
            </w:r>
          </w:p>
          <w:p w14:paraId="28419AA7" w14:textId="77777777" w:rsidR="005342D5" w:rsidRPr="0019790A" w:rsidRDefault="005342D5" w:rsidP="0068624E">
            <w:pPr>
              <w:tabs>
                <w:tab w:val="left" w:pos="290"/>
              </w:tabs>
              <w:jc w:val="both"/>
              <w:rPr>
                <w:rFonts w:cs="Arial"/>
                <w:szCs w:val="22"/>
              </w:rPr>
            </w:pPr>
            <w:r w:rsidRPr="0019790A">
              <w:rPr>
                <w:rFonts w:cs="Arial"/>
                <w:szCs w:val="22"/>
              </w:rPr>
              <w:t xml:space="preserve">2.  </w:t>
            </w:r>
            <w:r w:rsidRPr="0019790A">
              <w:rPr>
                <w:rFonts w:cs="Arial"/>
                <w:b/>
                <w:bCs/>
                <w:szCs w:val="22"/>
              </w:rPr>
              <w:t>Охоплення користувачів:</w:t>
            </w:r>
          </w:p>
          <w:p w14:paraId="77D6C35E" w14:textId="77777777" w:rsidR="005342D5" w:rsidRPr="0019790A" w:rsidRDefault="005342D5" w:rsidP="0068624E">
            <w:pPr>
              <w:numPr>
                <w:ilvl w:val="0"/>
                <w:numId w:val="65"/>
              </w:numPr>
              <w:tabs>
                <w:tab w:val="left" w:pos="290"/>
              </w:tabs>
              <w:ind w:left="0" w:firstLine="0"/>
              <w:jc w:val="both"/>
              <w:rPr>
                <w:rFonts w:cs="Arial"/>
                <w:szCs w:val="22"/>
              </w:rPr>
            </w:pPr>
            <w:r w:rsidRPr="0019790A">
              <w:rPr>
                <w:rFonts w:cs="Arial"/>
                <w:szCs w:val="22"/>
              </w:rPr>
              <w:t xml:space="preserve">Не менше </w:t>
            </w:r>
            <w:r w:rsidRPr="0019790A">
              <w:rPr>
                <w:rFonts w:cs="Arial"/>
                <w:bCs/>
                <w:szCs w:val="22"/>
              </w:rPr>
              <w:t>1 500 осіб щомісяця</w:t>
            </w:r>
            <w:r w:rsidRPr="0019790A">
              <w:rPr>
                <w:rFonts w:cs="Arial"/>
                <w:szCs w:val="22"/>
              </w:rPr>
              <w:t xml:space="preserve"> користуються скейт-парком.</w:t>
            </w:r>
          </w:p>
          <w:p w14:paraId="0511F107" w14:textId="77777777" w:rsidR="005342D5" w:rsidRPr="0019790A" w:rsidRDefault="005342D5" w:rsidP="0068624E">
            <w:pPr>
              <w:numPr>
                <w:ilvl w:val="0"/>
                <w:numId w:val="65"/>
              </w:numPr>
              <w:tabs>
                <w:tab w:val="left" w:pos="290"/>
              </w:tabs>
              <w:ind w:left="0" w:firstLine="0"/>
              <w:jc w:val="both"/>
              <w:rPr>
                <w:rFonts w:cs="Arial"/>
                <w:szCs w:val="22"/>
              </w:rPr>
            </w:pPr>
            <w:r w:rsidRPr="0019790A">
              <w:rPr>
                <w:rFonts w:cs="Arial"/>
                <w:szCs w:val="22"/>
              </w:rPr>
              <w:t xml:space="preserve">Залучено щонайменше </w:t>
            </w:r>
            <w:r w:rsidRPr="0019790A">
              <w:rPr>
                <w:rFonts w:cs="Arial"/>
                <w:bCs/>
                <w:szCs w:val="22"/>
              </w:rPr>
              <w:t>50% підлітків і молоді громади</w:t>
            </w:r>
            <w:r w:rsidRPr="0019790A">
              <w:rPr>
                <w:rFonts w:cs="Arial"/>
                <w:szCs w:val="22"/>
              </w:rPr>
              <w:t xml:space="preserve"> до активного дозвілля.</w:t>
            </w:r>
          </w:p>
          <w:p w14:paraId="1C584108" w14:textId="77777777" w:rsidR="005342D5" w:rsidRPr="0019790A" w:rsidRDefault="005342D5" w:rsidP="0068624E">
            <w:pPr>
              <w:tabs>
                <w:tab w:val="left" w:pos="290"/>
              </w:tabs>
              <w:jc w:val="both"/>
              <w:rPr>
                <w:rFonts w:cs="Arial"/>
                <w:szCs w:val="22"/>
              </w:rPr>
            </w:pPr>
            <w:r w:rsidRPr="0019790A">
              <w:rPr>
                <w:rFonts w:cs="Arial"/>
                <w:szCs w:val="22"/>
              </w:rPr>
              <w:t xml:space="preserve">3.  </w:t>
            </w:r>
            <w:r w:rsidRPr="0019790A">
              <w:rPr>
                <w:rFonts w:cs="Arial"/>
                <w:b/>
                <w:bCs/>
                <w:szCs w:val="22"/>
              </w:rPr>
              <w:t>Проведення подій:</w:t>
            </w:r>
          </w:p>
          <w:p w14:paraId="00C39F2F" w14:textId="77777777" w:rsidR="005342D5" w:rsidRPr="0019790A" w:rsidRDefault="005342D5" w:rsidP="0068624E">
            <w:pPr>
              <w:numPr>
                <w:ilvl w:val="0"/>
                <w:numId w:val="66"/>
              </w:numPr>
              <w:tabs>
                <w:tab w:val="left" w:pos="290"/>
              </w:tabs>
              <w:ind w:left="0" w:firstLine="0"/>
              <w:jc w:val="both"/>
              <w:rPr>
                <w:rFonts w:cs="Arial"/>
                <w:szCs w:val="22"/>
              </w:rPr>
            </w:pPr>
            <w:r w:rsidRPr="0019790A">
              <w:rPr>
                <w:rFonts w:cs="Arial"/>
                <w:szCs w:val="22"/>
              </w:rPr>
              <w:t xml:space="preserve">Проведено не менше </w:t>
            </w:r>
            <w:r w:rsidRPr="0019790A">
              <w:rPr>
                <w:rFonts w:cs="Arial"/>
                <w:bCs/>
                <w:szCs w:val="22"/>
              </w:rPr>
              <w:t>10 спортивно-молодіжних заходів</w:t>
            </w:r>
            <w:r w:rsidRPr="0019790A">
              <w:rPr>
                <w:rFonts w:cs="Arial"/>
                <w:szCs w:val="22"/>
              </w:rPr>
              <w:t xml:space="preserve"> на рік (турніри, фестивалі, майстер-класи, воркшопи).</w:t>
            </w:r>
          </w:p>
          <w:p w14:paraId="6BBE884B" w14:textId="77777777" w:rsidR="005342D5" w:rsidRPr="0019790A" w:rsidRDefault="005342D5" w:rsidP="0068624E">
            <w:pPr>
              <w:tabs>
                <w:tab w:val="left" w:pos="290"/>
              </w:tabs>
              <w:jc w:val="both"/>
              <w:rPr>
                <w:rFonts w:cs="Arial"/>
                <w:szCs w:val="22"/>
              </w:rPr>
            </w:pPr>
            <w:r w:rsidRPr="0019790A">
              <w:rPr>
                <w:rFonts w:cs="Arial"/>
                <w:szCs w:val="22"/>
              </w:rPr>
              <w:t xml:space="preserve">4.  </w:t>
            </w:r>
            <w:r w:rsidRPr="0019790A">
              <w:rPr>
                <w:rFonts w:cs="Arial"/>
                <w:b/>
                <w:bCs/>
                <w:szCs w:val="22"/>
              </w:rPr>
              <w:t>Інклюзивність:</w:t>
            </w:r>
          </w:p>
          <w:p w14:paraId="077F8443" w14:textId="77777777" w:rsidR="005342D5" w:rsidRPr="0019790A" w:rsidRDefault="005342D5" w:rsidP="0068624E">
            <w:pPr>
              <w:numPr>
                <w:ilvl w:val="0"/>
                <w:numId w:val="67"/>
              </w:numPr>
              <w:tabs>
                <w:tab w:val="left" w:pos="290"/>
              </w:tabs>
              <w:ind w:left="0" w:firstLine="0"/>
              <w:jc w:val="both"/>
              <w:rPr>
                <w:rFonts w:cs="Arial"/>
                <w:szCs w:val="22"/>
              </w:rPr>
            </w:pPr>
            <w:r w:rsidRPr="0019790A">
              <w:rPr>
                <w:rFonts w:cs="Arial"/>
                <w:szCs w:val="22"/>
              </w:rPr>
              <w:t xml:space="preserve">Забезпечено </w:t>
            </w:r>
            <w:r w:rsidRPr="0019790A">
              <w:rPr>
                <w:rFonts w:cs="Arial"/>
                <w:bCs/>
                <w:szCs w:val="22"/>
              </w:rPr>
              <w:t>доступ для людей з інвалідністю</w:t>
            </w:r>
            <w:r w:rsidRPr="0019790A">
              <w:rPr>
                <w:rFonts w:cs="Arial"/>
                <w:szCs w:val="22"/>
              </w:rPr>
              <w:t xml:space="preserve"> (спеціальний вхід, зона спостереження, інформаційні таблички).</w:t>
            </w:r>
          </w:p>
          <w:p w14:paraId="4201A348" w14:textId="77777777" w:rsidR="005342D5" w:rsidRPr="0019790A" w:rsidRDefault="005342D5" w:rsidP="0068624E">
            <w:pPr>
              <w:numPr>
                <w:ilvl w:val="0"/>
                <w:numId w:val="67"/>
              </w:numPr>
              <w:tabs>
                <w:tab w:val="left" w:pos="290"/>
              </w:tabs>
              <w:ind w:left="0" w:firstLine="0"/>
              <w:jc w:val="both"/>
              <w:rPr>
                <w:rFonts w:cs="Arial"/>
                <w:szCs w:val="22"/>
              </w:rPr>
            </w:pPr>
            <w:r w:rsidRPr="0019790A">
              <w:rPr>
                <w:rFonts w:cs="Arial"/>
                <w:szCs w:val="22"/>
              </w:rPr>
              <w:t xml:space="preserve">Користується не менше </w:t>
            </w:r>
            <w:r w:rsidRPr="0019790A">
              <w:rPr>
                <w:rFonts w:cs="Arial"/>
                <w:bCs/>
                <w:szCs w:val="22"/>
              </w:rPr>
              <w:t>50 людей з інвалідністю</w:t>
            </w:r>
            <w:r w:rsidRPr="0019790A">
              <w:rPr>
                <w:rFonts w:cs="Arial"/>
                <w:szCs w:val="22"/>
              </w:rPr>
              <w:t xml:space="preserve"> протягом року.</w:t>
            </w:r>
          </w:p>
          <w:p w14:paraId="53E1C9B0" w14:textId="77777777" w:rsidR="005342D5" w:rsidRPr="0019790A" w:rsidRDefault="005342D5" w:rsidP="0068624E">
            <w:pPr>
              <w:tabs>
                <w:tab w:val="left" w:pos="290"/>
              </w:tabs>
              <w:jc w:val="both"/>
              <w:rPr>
                <w:rFonts w:cs="Arial"/>
                <w:szCs w:val="22"/>
              </w:rPr>
            </w:pPr>
            <w:r w:rsidRPr="0019790A">
              <w:rPr>
                <w:rFonts w:cs="Arial"/>
                <w:szCs w:val="22"/>
              </w:rPr>
              <w:t xml:space="preserve">5.  </w:t>
            </w:r>
            <w:r w:rsidRPr="0019790A">
              <w:rPr>
                <w:rFonts w:cs="Arial"/>
                <w:b/>
                <w:bCs/>
                <w:szCs w:val="22"/>
              </w:rPr>
              <w:t>Соціальний ефект:</w:t>
            </w:r>
          </w:p>
          <w:p w14:paraId="18033830" w14:textId="77777777" w:rsidR="005342D5" w:rsidRPr="0019790A" w:rsidRDefault="005342D5" w:rsidP="0068624E">
            <w:pPr>
              <w:numPr>
                <w:ilvl w:val="0"/>
                <w:numId w:val="68"/>
              </w:numPr>
              <w:tabs>
                <w:tab w:val="left" w:pos="290"/>
              </w:tabs>
              <w:ind w:left="0" w:firstLine="0"/>
              <w:jc w:val="both"/>
              <w:rPr>
                <w:rFonts w:cs="Arial"/>
                <w:szCs w:val="22"/>
              </w:rPr>
            </w:pPr>
            <w:r w:rsidRPr="0019790A">
              <w:rPr>
                <w:rFonts w:cs="Arial"/>
                <w:bCs/>
                <w:szCs w:val="22"/>
              </w:rPr>
              <w:t>Зменшення випадків вандалізму та травматизму</w:t>
            </w:r>
            <w:r w:rsidRPr="0019790A">
              <w:rPr>
                <w:rFonts w:cs="Arial"/>
                <w:szCs w:val="22"/>
              </w:rPr>
              <w:t xml:space="preserve"> на неофіційних місцях катання.</w:t>
            </w:r>
          </w:p>
          <w:p w14:paraId="4E8F3558" w14:textId="77777777" w:rsidR="005342D5" w:rsidRPr="0019790A" w:rsidRDefault="005342D5" w:rsidP="0068624E">
            <w:pPr>
              <w:numPr>
                <w:ilvl w:val="0"/>
                <w:numId w:val="68"/>
              </w:numPr>
              <w:tabs>
                <w:tab w:val="left" w:pos="290"/>
              </w:tabs>
              <w:ind w:left="0" w:firstLine="0"/>
              <w:jc w:val="both"/>
              <w:rPr>
                <w:rFonts w:cs="Arial"/>
                <w:szCs w:val="22"/>
              </w:rPr>
            </w:pPr>
            <w:r w:rsidRPr="0019790A">
              <w:rPr>
                <w:rFonts w:cs="Arial"/>
                <w:bCs/>
                <w:szCs w:val="22"/>
              </w:rPr>
              <w:t>Підвищення рівня задоволеності</w:t>
            </w:r>
            <w:r w:rsidRPr="0019790A">
              <w:rPr>
                <w:rFonts w:cs="Arial"/>
                <w:b/>
                <w:bCs/>
                <w:szCs w:val="22"/>
              </w:rPr>
              <w:t xml:space="preserve"> </w:t>
            </w:r>
            <w:r w:rsidRPr="0019790A">
              <w:rPr>
                <w:rFonts w:cs="Arial"/>
                <w:bCs/>
                <w:szCs w:val="22"/>
              </w:rPr>
              <w:t>молоді</w:t>
            </w:r>
            <w:r w:rsidRPr="0019790A">
              <w:rPr>
                <w:rFonts w:cs="Arial"/>
                <w:szCs w:val="22"/>
              </w:rPr>
              <w:t xml:space="preserve"> міською інфраструктурою (за результатами опитування).</w:t>
            </w:r>
          </w:p>
          <w:p w14:paraId="66FE5BBD" w14:textId="77777777" w:rsidR="005342D5" w:rsidRPr="0019790A" w:rsidRDefault="005342D5" w:rsidP="0068624E">
            <w:pPr>
              <w:tabs>
                <w:tab w:val="left" w:pos="290"/>
              </w:tabs>
              <w:jc w:val="both"/>
              <w:rPr>
                <w:rFonts w:cs="Arial"/>
                <w:szCs w:val="22"/>
              </w:rPr>
            </w:pPr>
            <w:r w:rsidRPr="0019790A">
              <w:rPr>
                <w:rFonts w:cs="Arial"/>
                <w:szCs w:val="22"/>
              </w:rPr>
              <w:t xml:space="preserve">6.  </w:t>
            </w:r>
            <w:r w:rsidRPr="0019790A">
              <w:rPr>
                <w:rFonts w:cs="Arial"/>
                <w:b/>
                <w:bCs/>
                <w:szCs w:val="22"/>
              </w:rPr>
              <w:t>Інформаційне охоплення:</w:t>
            </w:r>
          </w:p>
          <w:p w14:paraId="265297B1" w14:textId="05BA475F" w:rsidR="005342D5" w:rsidRPr="0019790A" w:rsidRDefault="005342D5" w:rsidP="0068624E">
            <w:pPr>
              <w:numPr>
                <w:ilvl w:val="0"/>
                <w:numId w:val="69"/>
              </w:numPr>
              <w:tabs>
                <w:tab w:val="left" w:pos="290"/>
              </w:tabs>
              <w:ind w:left="0" w:firstLine="0"/>
              <w:jc w:val="both"/>
              <w:rPr>
                <w:rFonts w:cs="Arial"/>
                <w:szCs w:val="22"/>
              </w:rPr>
            </w:pPr>
            <w:r w:rsidRPr="0019790A">
              <w:rPr>
                <w:rFonts w:cs="Arial"/>
                <w:szCs w:val="22"/>
              </w:rPr>
              <w:t xml:space="preserve">Не менше </w:t>
            </w:r>
            <w:r w:rsidRPr="0019790A">
              <w:rPr>
                <w:rFonts w:cs="Arial"/>
                <w:bCs/>
                <w:szCs w:val="22"/>
              </w:rPr>
              <w:t>20 000 переглядів/охоплень</w:t>
            </w:r>
            <w:r w:rsidRPr="0019790A">
              <w:rPr>
                <w:rFonts w:cs="Arial"/>
                <w:szCs w:val="22"/>
              </w:rPr>
              <w:t xml:space="preserve"> у соціальних мережах та ЗМІ про відкриття та події у скейт-парку.</w:t>
            </w:r>
          </w:p>
        </w:tc>
      </w:tr>
      <w:tr w:rsidR="005342D5" w:rsidRPr="0019790A" w14:paraId="514D295E" w14:textId="77777777" w:rsidTr="00CF3AAE">
        <w:trPr>
          <w:jc w:val="right"/>
        </w:trPr>
        <w:tc>
          <w:tcPr>
            <w:tcW w:w="3425" w:type="dxa"/>
            <w:shd w:val="clear" w:color="auto" w:fill="FFFFFF"/>
            <w:vAlign w:val="center"/>
          </w:tcPr>
          <w:p w14:paraId="0966CC17" w14:textId="77777777" w:rsidR="005342D5" w:rsidRPr="0019790A" w:rsidRDefault="005342D5" w:rsidP="0019790A">
            <w:pPr>
              <w:rPr>
                <w:rFonts w:cs="Arial"/>
                <w:b/>
                <w:szCs w:val="22"/>
              </w:rPr>
            </w:pPr>
            <w:r w:rsidRPr="0019790A">
              <w:rPr>
                <w:rFonts w:cs="Arial"/>
                <w:b/>
                <w:szCs w:val="22"/>
              </w:rPr>
              <w:t xml:space="preserve">Період здійснення: </w:t>
            </w:r>
          </w:p>
        </w:tc>
        <w:tc>
          <w:tcPr>
            <w:tcW w:w="6794" w:type="dxa"/>
            <w:gridSpan w:val="9"/>
            <w:vAlign w:val="center"/>
          </w:tcPr>
          <w:p w14:paraId="47B04B7F" w14:textId="77777777" w:rsidR="005342D5" w:rsidRPr="0019790A" w:rsidRDefault="005342D5" w:rsidP="0019790A">
            <w:pPr>
              <w:rPr>
                <w:rFonts w:cs="Arial"/>
                <w:szCs w:val="22"/>
              </w:rPr>
            </w:pPr>
            <w:r w:rsidRPr="0019790A">
              <w:rPr>
                <w:rFonts w:cs="Arial"/>
                <w:b/>
                <w:szCs w:val="22"/>
              </w:rPr>
              <w:t>2025 – 2028 роки:</w:t>
            </w:r>
          </w:p>
        </w:tc>
      </w:tr>
      <w:tr w:rsidR="005342D5" w:rsidRPr="0019790A" w14:paraId="30526F0B" w14:textId="77777777" w:rsidTr="0068624E">
        <w:trPr>
          <w:jc w:val="right"/>
        </w:trPr>
        <w:tc>
          <w:tcPr>
            <w:tcW w:w="3425" w:type="dxa"/>
            <w:vMerge w:val="restart"/>
            <w:shd w:val="clear" w:color="auto" w:fill="FFFFFF"/>
            <w:vAlign w:val="center"/>
          </w:tcPr>
          <w:p w14:paraId="1838DA03" w14:textId="77777777" w:rsidR="005342D5" w:rsidRPr="0019790A" w:rsidRDefault="005342D5" w:rsidP="0019790A">
            <w:pPr>
              <w:rPr>
                <w:rFonts w:cs="Arial"/>
                <w:b/>
                <w:bCs/>
                <w:szCs w:val="22"/>
              </w:rPr>
            </w:pPr>
            <w:r w:rsidRPr="0019790A">
              <w:rPr>
                <w:rFonts w:cs="Arial"/>
                <w:b/>
                <w:bCs/>
                <w:szCs w:val="22"/>
              </w:rPr>
              <w:t>Орієнтовна вартість проєкту, тис. грн., в тому числі:</w:t>
            </w:r>
          </w:p>
        </w:tc>
        <w:tc>
          <w:tcPr>
            <w:tcW w:w="1254" w:type="dxa"/>
            <w:gridSpan w:val="2"/>
            <w:shd w:val="clear" w:color="auto" w:fill="E6E6E6"/>
            <w:vAlign w:val="center"/>
          </w:tcPr>
          <w:p w14:paraId="581056EB" w14:textId="77777777" w:rsidR="005342D5" w:rsidRPr="0019790A" w:rsidRDefault="005342D5" w:rsidP="0068624E">
            <w:pPr>
              <w:jc w:val="center"/>
              <w:rPr>
                <w:rFonts w:cs="Arial"/>
                <w:b/>
                <w:szCs w:val="22"/>
              </w:rPr>
            </w:pPr>
            <w:r w:rsidRPr="0019790A">
              <w:rPr>
                <w:rFonts w:cs="Arial"/>
                <w:b/>
                <w:szCs w:val="22"/>
              </w:rPr>
              <w:t>2025</w:t>
            </w:r>
          </w:p>
        </w:tc>
        <w:tc>
          <w:tcPr>
            <w:tcW w:w="1275" w:type="dxa"/>
            <w:shd w:val="clear" w:color="auto" w:fill="E6E6E6"/>
            <w:vAlign w:val="center"/>
          </w:tcPr>
          <w:p w14:paraId="05E34732" w14:textId="77777777" w:rsidR="005342D5" w:rsidRPr="0019790A" w:rsidRDefault="005342D5" w:rsidP="0068624E">
            <w:pPr>
              <w:jc w:val="center"/>
              <w:rPr>
                <w:rFonts w:cs="Arial"/>
                <w:b/>
                <w:szCs w:val="22"/>
              </w:rPr>
            </w:pPr>
            <w:r w:rsidRPr="0019790A">
              <w:rPr>
                <w:rFonts w:cs="Arial"/>
                <w:b/>
                <w:szCs w:val="22"/>
              </w:rPr>
              <w:t>2026</w:t>
            </w:r>
          </w:p>
        </w:tc>
        <w:tc>
          <w:tcPr>
            <w:tcW w:w="1418" w:type="dxa"/>
            <w:gridSpan w:val="2"/>
            <w:tcBorders>
              <w:bottom w:val="single" w:sz="4" w:space="0" w:color="auto"/>
            </w:tcBorders>
            <w:shd w:val="clear" w:color="auto" w:fill="E6E6E6"/>
            <w:vAlign w:val="center"/>
          </w:tcPr>
          <w:p w14:paraId="7B2F0A20" w14:textId="77777777" w:rsidR="005342D5" w:rsidRPr="0019790A" w:rsidRDefault="005342D5" w:rsidP="0068624E">
            <w:pPr>
              <w:jc w:val="center"/>
              <w:rPr>
                <w:rFonts w:cs="Arial"/>
                <w:b/>
                <w:szCs w:val="22"/>
              </w:rPr>
            </w:pPr>
            <w:r w:rsidRPr="0019790A">
              <w:rPr>
                <w:rFonts w:cs="Arial"/>
                <w:b/>
                <w:szCs w:val="22"/>
              </w:rPr>
              <w:t>2027</w:t>
            </w:r>
          </w:p>
        </w:tc>
        <w:tc>
          <w:tcPr>
            <w:tcW w:w="1276" w:type="dxa"/>
            <w:gridSpan w:val="2"/>
            <w:shd w:val="clear" w:color="auto" w:fill="E6E6E6"/>
            <w:vAlign w:val="center"/>
          </w:tcPr>
          <w:p w14:paraId="56A459F8" w14:textId="77777777" w:rsidR="005342D5" w:rsidRPr="0019790A" w:rsidRDefault="005342D5" w:rsidP="0068624E">
            <w:pPr>
              <w:jc w:val="center"/>
              <w:rPr>
                <w:rFonts w:cs="Arial"/>
                <w:b/>
                <w:szCs w:val="22"/>
              </w:rPr>
            </w:pPr>
            <w:r w:rsidRPr="0019790A">
              <w:rPr>
                <w:rFonts w:cs="Arial"/>
                <w:b/>
                <w:szCs w:val="22"/>
              </w:rPr>
              <w:t>2028</w:t>
            </w:r>
          </w:p>
        </w:tc>
        <w:tc>
          <w:tcPr>
            <w:tcW w:w="1571" w:type="dxa"/>
            <w:gridSpan w:val="2"/>
            <w:shd w:val="clear" w:color="auto" w:fill="E6E6E6"/>
            <w:vAlign w:val="center"/>
          </w:tcPr>
          <w:p w14:paraId="7A1C721B" w14:textId="77777777" w:rsidR="005342D5" w:rsidRPr="0019790A" w:rsidRDefault="005342D5" w:rsidP="0068624E">
            <w:pPr>
              <w:jc w:val="center"/>
              <w:rPr>
                <w:rFonts w:cs="Arial"/>
                <w:b/>
                <w:szCs w:val="22"/>
              </w:rPr>
            </w:pPr>
            <w:r w:rsidRPr="0019790A">
              <w:rPr>
                <w:rFonts w:cs="Arial"/>
                <w:b/>
                <w:szCs w:val="22"/>
              </w:rPr>
              <w:t>РАЗОМ</w:t>
            </w:r>
          </w:p>
        </w:tc>
      </w:tr>
      <w:tr w:rsidR="005342D5" w:rsidRPr="0019790A" w14:paraId="7116771C" w14:textId="77777777" w:rsidTr="0068624E">
        <w:trPr>
          <w:jc w:val="right"/>
        </w:trPr>
        <w:tc>
          <w:tcPr>
            <w:tcW w:w="3425" w:type="dxa"/>
            <w:vMerge/>
            <w:shd w:val="clear" w:color="auto" w:fill="FFFFFF"/>
            <w:vAlign w:val="center"/>
          </w:tcPr>
          <w:p w14:paraId="657ACEF0" w14:textId="77777777" w:rsidR="005342D5" w:rsidRPr="0019790A" w:rsidRDefault="005342D5" w:rsidP="0019790A">
            <w:pPr>
              <w:rPr>
                <w:rFonts w:cs="Arial"/>
                <w:b/>
                <w:bCs/>
                <w:szCs w:val="22"/>
              </w:rPr>
            </w:pPr>
          </w:p>
        </w:tc>
        <w:tc>
          <w:tcPr>
            <w:tcW w:w="1254" w:type="dxa"/>
            <w:gridSpan w:val="2"/>
            <w:vAlign w:val="center"/>
          </w:tcPr>
          <w:p w14:paraId="3361B424" w14:textId="77777777" w:rsidR="005342D5" w:rsidRPr="0019790A" w:rsidRDefault="005342D5" w:rsidP="0068624E">
            <w:pPr>
              <w:jc w:val="center"/>
              <w:rPr>
                <w:rFonts w:cs="Arial"/>
                <w:b/>
                <w:szCs w:val="22"/>
              </w:rPr>
            </w:pPr>
          </w:p>
        </w:tc>
        <w:tc>
          <w:tcPr>
            <w:tcW w:w="1275" w:type="dxa"/>
            <w:shd w:val="clear" w:color="auto" w:fill="FFFFFF"/>
            <w:vAlign w:val="center"/>
          </w:tcPr>
          <w:p w14:paraId="46489295" w14:textId="77777777" w:rsidR="005342D5" w:rsidRPr="0019790A" w:rsidRDefault="005342D5" w:rsidP="0068624E">
            <w:pPr>
              <w:jc w:val="center"/>
              <w:rPr>
                <w:rFonts w:cs="Arial"/>
                <w:b/>
                <w:szCs w:val="22"/>
              </w:rPr>
            </w:pPr>
            <w:r w:rsidRPr="0019790A">
              <w:rPr>
                <w:rFonts w:cs="Arial"/>
                <w:b/>
                <w:szCs w:val="22"/>
              </w:rPr>
              <w:t>2000,0</w:t>
            </w:r>
          </w:p>
        </w:tc>
        <w:tc>
          <w:tcPr>
            <w:tcW w:w="1418" w:type="dxa"/>
            <w:gridSpan w:val="2"/>
            <w:shd w:val="clear" w:color="auto" w:fill="auto"/>
            <w:vAlign w:val="center"/>
          </w:tcPr>
          <w:p w14:paraId="692C3F3C" w14:textId="77777777" w:rsidR="005342D5" w:rsidRPr="0019790A" w:rsidRDefault="005342D5" w:rsidP="0068624E">
            <w:pPr>
              <w:jc w:val="center"/>
              <w:rPr>
                <w:rFonts w:cs="Arial"/>
                <w:b/>
                <w:szCs w:val="22"/>
              </w:rPr>
            </w:pPr>
          </w:p>
        </w:tc>
        <w:tc>
          <w:tcPr>
            <w:tcW w:w="1276" w:type="dxa"/>
            <w:gridSpan w:val="2"/>
            <w:shd w:val="clear" w:color="auto" w:fill="FFFFFF"/>
            <w:vAlign w:val="center"/>
          </w:tcPr>
          <w:p w14:paraId="6182CA38" w14:textId="77777777" w:rsidR="005342D5" w:rsidRPr="0019790A" w:rsidRDefault="005342D5" w:rsidP="0068624E">
            <w:pPr>
              <w:jc w:val="center"/>
              <w:rPr>
                <w:rFonts w:cs="Arial"/>
                <w:b/>
                <w:szCs w:val="22"/>
              </w:rPr>
            </w:pPr>
          </w:p>
        </w:tc>
        <w:tc>
          <w:tcPr>
            <w:tcW w:w="1571" w:type="dxa"/>
            <w:gridSpan w:val="2"/>
            <w:shd w:val="clear" w:color="auto" w:fill="FFFFFF"/>
            <w:vAlign w:val="center"/>
          </w:tcPr>
          <w:p w14:paraId="7194B5FC" w14:textId="77777777" w:rsidR="005342D5" w:rsidRPr="0019790A" w:rsidRDefault="005342D5" w:rsidP="0068624E">
            <w:pPr>
              <w:jc w:val="center"/>
              <w:rPr>
                <w:rFonts w:cs="Arial"/>
                <w:b/>
                <w:szCs w:val="22"/>
              </w:rPr>
            </w:pPr>
            <w:r w:rsidRPr="0019790A">
              <w:rPr>
                <w:rFonts w:cs="Arial"/>
                <w:b/>
                <w:szCs w:val="22"/>
              </w:rPr>
              <w:t>2000,0</w:t>
            </w:r>
          </w:p>
        </w:tc>
      </w:tr>
      <w:tr w:rsidR="005342D5" w:rsidRPr="0019790A" w14:paraId="239C1836" w14:textId="77777777" w:rsidTr="0068624E">
        <w:trPr>
          <w:trHeight w:val="276"/>
          <w:jc w:val="right"/>
        </w:trPr>
        <w:tc>
          <w:tcPr>
            <w:tcW w:w="3425" w:type="dxa"/>
            <w:shd w:val="clear" w:color="auto" w:fill="FFFFFF"/>
            <w:vAlign w:val="center"/>
          </w:tcPr>
          <w:p w14:paraId="05E4630A" w14:textId="77777777" w:rsidR="005342D5" w:rsidRPr="0019790A" w:rsidRDefault="005342D5" w:rsidP="0019790A">
            <w:pPr>
              <w:rPr>
                <w:rFonts w:cs="Arial"/>
                <w:b/>
                <w:bCs/>
                <w:szCs w:val="22"/>
              </w:rPr>
            </w:pPr>
            <w:r w:rsidRPr="0019790A">
              <w:rPr>
                <w:rFonts w:cs="Arial"/>
                <w:b/>
                <w:bCs/>
                <w:szCs w:val="22"/>
              </w:rPr>
              <w:t>по джерелах фінансування:</w:t>
            </w:r>
          </w:p>
        </w:tc>
        <w:tc>
          <w:tcPr>
            <w:tcW w:w="6794" w:type="dxa"/>
            <w:gridSpan w:val="9"/>
            <w:vAlign w:val="center"/>
          </w:tcPr>
          <w:p w14:paraId="25B81F78" w14:textId="77777777" w:rsidR="005342D5" w:rsidRPr="0019790A" w:rsidRDefault="005342D5" w:rsidP="0068624E">
            <w:pPr>
              <w:jc w:val="center"/>
              <w:rPr>
                <w:rFonts w:cs="Arial"/>
                <w:szCs w:val="22"/>
              </w:rPr>
            </w:pPr>
          </w:p>
        </w:tc>
      </w:tr>
      <w:tr w:rsidR="0068624E" w:rsidRPr="0019790A" w14:paraId="48E87D29" w14:textId="44B2259D" w:rsidTr="0068624E">
        <w:trPr>
          <w:trHeight w:val="240"/>
          <w:jc w:val="right"/>
        </w:trPr>
        <w:tc>
          <w:tcPr>
            <w:tcW w:w="3425" w:type="dxa"/>
            <w:shd w:val="clear" w:color="auto" w:fill="FFFFFF"/>
            <w:vAlign w:val="center"/>
          </w:tcPr>
          <w:p w14:paraId="36598C63" w14:textId="77777777" w:rsidR="0068624E" w:rsidRPr="0019790A" w:rsidRDefault="0068624E" w:rsidP="0019790A">
            <w:pPr>
              <w:rPr>
                <w:rFonts w:cs="Arial"/>
                <w:b/>
                <w:bCs/>
                <w:szCs w:val="22"/>
              </w:rPr>
            </w:pPr>
            <w:r w:rsidRPr="0019790A">
              <w:rPr>
                <w:rFonts w:cs="Arial"/>
                <w:szCs w:val="22"/>
              </w:rPr>
              <w:t>- державний бюджет</w:t>
            </w:r>
          </w:p>
        </w:tc>
        <w:tc>
          <w:tcPr>
            <w:tcW w:w="1227" w:type="dxa"/>
            <w:vAlign w:val="center"/>
          </w:tcPr>
          <w:p w14:paraId="246B715B" w14:textId="77777777" w:rsidR="0068624E" w:rsidRPr="0019790A" w:rsidRDefault="0068624E" w:rsidP="0068624E">
            <w:pPr>
              <w:jc w:val="center"/>
              <w:rPr>
                <w:rFonts w:cs="Arial"/>
                <w:szCs w:val="22"/>
              </w:rPr>
            </w:pPr>
          </w:p>
        </w:tc>
        <w:tc>
          <w:tcPr>
            <w:tcW w:w="1327" w:type="dxa"/>
            <w:gridSpan w:val="3"/>
            <w:vAlign w:val="center"/>
          </w:tcPr>
          <w:p w14:paraId="2A5F4CB0" w14:textId="77777777" w:rsidR="0068624E" w:rsidRPr="0019790A" w:rsidRDefault="0068624E" w:rsidP="0068624E">
            <w:pPr>
              <w:jc w:val="center"/>
              <w:rPr>
                <w:rFonts w:cs="Arial"/>
                <w:szCs w:val="22"/>
              </w:rPr>
            </w:pPr>
          </w:p>
        </w:tc>
        <w:tc>
          <w:tcPr>
            <w:tcW w:w="1402" w:type="dxa"/>
            <w:gridSpan w:val="2"/>
            <w:vAlign w:val="center"/>
          </w:tcPr>
          <w:p w14:paraId="5FC3CA41" w14:textId="77777777" w:rsidR="0068624E" w:rsidRPr="0019790A" w:rsidRDefault="0068624E" w:rsidP="0068624E">
            <w:pPr>
              <w:jc w:val="center"/>
              <w:rPr>
                <w:rFonts w:cs="Arial"/>
                <w:szCs w:val="22"/>
              </w:rPr>
            </w:pPr>
          </w:p>
        </w:tc>
        <w:tc>
          <w:tcPr>
            <w:tcW w:w="1302" w:type="dxa"/>
            <w:gridSpan w:val="2"/>
            <w:vAlign w:val="center"/>
          </w:tcPr>
          <w:p w14:paraId="28A480C6" w14:textId="77777777" w:rsidR="0068624E" w:rsidRPr="0019790A" w:rsidRDefault="0068624E" w:rsidP="0068624E">
            <w:pPr>
              <w:jc w:val="center"/>
              <w:rPr>
                <w:rFonts w:cs="Arial"/>
                <w:szCs w:val="22"/>
              </w:rPr>
            </w:pPr>
          </w:p>
        </w:tc>
        <w:tc>
          <w:tcPr>
            <w:tcW w:w="1536" w:type="dxa"/>
            <w:vAlign w:val="center"/>
          </w:tcPr>
          <w:p w14:paraId="0159DF71" w14:textId="77777777" w:rsidR="0068624E" w:rsidRPr="0019790A" w:rsidRDefault="0068624E" w:rsidP="0068624E">
            <w:pPr>
              <w:jc w:val="center"/>
              <w:rPr>
                <w:rFonts w:cs="Arial"/>
                <w:szCs w:val="22"/>
              </w:rPr>
            </w:pPr>
          </w:p>
        </w:tc>
      </w:tr>
      <w:tr w:rsidR="0068624E" w:rsidRPr="0019790A" w14:paraId="2E585AA0" w14:textId="016A79E0" w:rsidTr="0068624E">
        <w:trPr>
          <w:trHeight w:val="254"/>
          <w:jc w:val="right"/>
        </w:trPr>
        <w:tc>
          <w:tcPr>
            <w:tcW w:w="3425" w:type="dxa"/>
            <w:shd w:val="clear" w:color="auto" w:fill="FFFFFF"/>
            <w:vAlign w:val="center"/>
          </w:tcPr>
          <w:p w14:paraId="1A166437" w14:textId="77777777" w:rsidR="0068624E" w:rsidRPr="0019790A" w:rsidRDefault="0068624E" w:rsidP="0019790A">
            <w:pPr>
              <w:rPr>
                <w:rFonts w:cs="Arial"/>
                <w:szCs w:val="22"/>
              </w:rPr>
            </w:pPr>
            <w:r w:rsidRPr="0019790A">
              <w:rPr>
                <w:rFonts w:cs="Arial"/>
                <w:szCs w:val="22"/>
              </w:rPr>
              <w:t>- обласний бюджет</w:t>
            </w:r>
          </w:p>
        </w:tc>
        <w:tc>
          <w:tcPr>
            <w:tcW w:w="1227" w:type="dxa"/>
            <w:vAlign w:val="center"/>
          </w:tcPr>
          <w:p w14:paraId="680F4F0B" w14:textId="77777777" w:rsidR="0068624E" w:rsidRPr="0019790A" w:rsidRDefault="0068624E" w:rsidP="0068624E">
            <w:pPr>
              <w:jc w:val="center"/>
              <w:rPr>
                <w:rFonts w:cs="Arial"/>
                <w:szCs w:val="22"/>
              </w:rPr>
            </w:pPr>
          </w:p>
        </w:tc>
        <w:tc>
          <w:tcPr>
            <w:tcW w:w="1327" w:type="dxa"/>
            <w:gridSpan w:val="3"/>
            <w:vAlign w:val="center"/>
          </w:tcPr>
          <w:p w14:paraId="27978956" w14:textId="77777777" w:rsidR="0068624E" w:rsidRPr="0019790A" w:rsidRDefault="0068624E" w:rsidP="0068624E">
            <w:pPr>
              <w:jc w:val="center"/>
              <w:rPr>
                <w:rFonts w:cs="Arial"/>
                <w:szCs w:val="22"/>
              </w:rPr>
            </w:pPr>
          </w:p>
        </w:tc>
        <w:tc>
          <w:tcPr>
            <w:tcW w:w="1402" w:type="dxa"/>
            <w:gridSpan w:val="2"/>
            <w:vAlign w:val="center"/>
          </w:tcPr>
          <w:p w14:paraId="01CED318" w14:textId="77777777" w:rsidR="0068624E" w:rsidRPr="0019790A" w:rsidRDefault="0068624E" w:rsidP="0068624E">
            <w:pPr>
              <w:jc w:val="center"/>
              <w:rPr>
                <w:rFonts w:cs="Arial"/>
                <w:szCs w:val="22"/>
              </w:rPr>
            </w:pPr>
          </w:p>
        </w:tc>
        <w:tc>
          <w:tcPr>
            <w:tcW w:w="1302" w:type="dxa"/>
            <w:gridSpan w:val="2"/>
            <w:vAlign w:val="center"/>
          </w:tcPr>
          <w:p w14:paraId="5F502C81" w14:textId="77777777" w:rsidR="0068624E" w:rsidRPr="0019790A" w:rsidRDefault="0068624E" w:rsidP="0068624E">
            <w:pPr>
              <w:jc w:val="center"/>
              <w:rPr>
                <w:rFonts w:cs="Arial"/>
                <w:szCs w:val="22"/>
              </w:rPr>
            </w:pPr>
          </w:p>
        </w:tc>
        <w:tc>
          <w:tcPr>
            <w:tcW w:w="1536" w:type="dxa"/>
            <w:vAlign w:val="center"/>
          </w:tcPr>
          <w:p w14:paraId="6CD247A3" w14:textId="77777777" w:rsidR="0068624E" w:rsidRPr="0019790A" w:rsidRDefault="0068624E" w:rsidP="0068624E">
            <w:pPr>
              <w:jc w:val="center"/>
              <w:rPr>
                <w:rFonts w:cs="Arial"/>
                <w:szCs w:val="22"/>
              </w:rPr>
            </w:pPr>
          </w:p>
        </w:tc>
      </w:tr>
      <w:tr w:rsidR="0068624E" w:rsidRPr="0019790A" w14:paraId="6B49C572" w14:textId="4F7E8DA7" w:rsidTr="0068624E">
        <w:trPr>
          <w:trHeight w:val="275"/>
          <w:jc w:val="right"/>
        </w:trPr>
        <w:tc>
          <w:tcPr>
            <w:tcW w:w="3425" w:type="dxa"/>
            <w:shd w:val="clear" w:color="auto" w:fill="FFFFFF"/>
            <w:vAlign w:val="center"/>
          </w:tcPr>
          <w:p w14:paraId="0E9968BF" w14:textId="77777777" w:rsidR="0068624E" w:rsidRPr="0019790A" w:rsidRDefault="0068624E" w:rsidP="0068624E">
            <w:pPr>
              <w:rPr>
                <w:rFonts w:cs="Arial"/>
                <w:szCs w:val="22"/>
              </w:rPr>
            </w:pPr>
            <w:r w:rsidRPr="0019790A">
              <w:rPr>
                <w:rFonts w:cs="Arial"/>
                <w:szCs w:val="22"/>
              </w:rPr>
              <w:t>- бюджет Жмеринської МТГ</w:t>
            </w:r>
          </w:p>
        </w:tc>
        <w:tc>
          <w:tcPr>
            <w:tcW w:w="1227" w:type="dxa"/>
            <w:vAlign w:val="center"/>
          </w:tcPr>
          <w:p w14:paraId="2E5418D7" w14:textId="3278B374" w:rsidR="0068624E" w:rsidRPr="0019790A" w:rsidRDefault="0068624E" w:rsidP="0068624E">
            <w:pPr>
              <w:jc w:val="center"/>
              <w:rPr>
                <w:rFonts w:cs="Arial"/>
                <w:b/>
                <w:szCs w:val="22"/>
              </w:rPr>
            </w:pPr>
          </w:p>
        </w:tc>
        <w:tc>
          <w:tcPr>
            <w:tcW w:w="1327" w:type="dxa"/>
            <w:gridSpan w:val="3"/>
            <w:vAlign w:val="center"/>
          </w:tcPr>
          <w:p w14:paraId="48D237CB" w14:textId="5E1416EC" w:rsidR="0068624E" w:rsidRPr="0019790A" w:rsidRDefault="0068624E" w:rsidP="0068624E">
            <w:pPr>
              <w:jc w:val="center"/>
              <w:rPr>
                <w:rFonts w:cs="Arial"/>
                <w:b/>
                <w:szCs w:val="22"/>
              </w:rPr>
            </w:pPr>
            <w:r w:rsidRPr="0019790A">
              <w:rPr>
                <w:rFonts w:cs="Arial"/>
                <w:b/>
                <w:szCs w:val="22"/>
              </w:rPr>
              <w:t>2000,0</w:t>
            </w:r>
          </w:p>
        </w:tc>
        <w:tc>
          <w:tcPr>
            <w:tcW w:w="1402" w:type="dxa"/>
            <w:gridSpan w:val="2"/>
            <w:vAlign w:val="center"/>
          </w:tcPr>
          <w:p w14:paraId="5534942B" w14:textId="77777777" w:rsidR="0068624E" w:rsidRPr="0019790A" w:rsidRDefault="0068624E" w:rsidP="0068624E">
            <w:pPr>
              <w:jc w:val="center"/>
              <w:rPr>
                <w:rFonts w:cs="Arial"/>
                <w:b/>
                <w:szCs w:val="22"/>
              </w:rPr>
            </w:pPr>
          </w:p>
        </w:tc>
        <w:tc>
          <w:tcPr>
            <w:tcW w:w="1302" w:type="dxa"/>
            <w:gridSpan w:val="2"/>
            <w:vAlign w:val="center"/>
          </w:tcPr>
          <w:p w14:paraId="39B36605" w14:textId="77777777" w:rsidR="0068624E" w:rsidRPr="0019790A" w:rsidRDefault="0068624E" w:rsidP="0068624E">
            <w:pPr>
              <w:jc w:val="center"/>
              <w:rPr>
                <w:rFonts w:cs="Arial"/>
                <w:b/>
                <w:szCs w:val="22"/>
              </w:rPr>
            </w:pPr>
          </w:p>
        </w:tc>
        <w:tc>
          <w:tcPr>
            <w:tcW w:w="1536" w:type="dxa"/>
            <w:vAlign w:val="center"/>
          </w:tcPr>
          <w:p w14:paraId="450D311C" w14:textId="43C051BF" w:rsidR="0068624E" w:rsidRPr="0019790A" w:rsidRDefault="0068624E" w:rsidP="0068624E">
            <w:pPr>
              <w:jc w:val="center"/>
              <w:rPr>
                <w:rFonts w:cs="Arial"/>
                <w:b/>
                <w:szCs w:val="22"/>
              </w:rPr>
            </w:pPr>
            <w:r w:rsidRPr="0019790A">
              <w:rPr>
                <w:rFonts w:cs="Arial"/>
                <w:b/>
                <w:szCs w:val="22"/>
              </w:rPr>
              <w:t>2000,0</w:t>
            </w:r>
          </w:p>
        </w:tc>
      </w:tr>
      <w:tr w:rsidR="0068624E" w:rsidRPr="0019790A" w14:paraId="18FC30E8" w14:textId="00A67D8A" w:rsidTr="0068624E">
        <w:trPr>
          <w:trHeight w:val="226"/>
          <w:jc w:val="right"/>
        </w:trPr>
        <w:tc>
          <w:tcPr>
            <w:tcW w:w="3425" w:type="dxa"/>
            <w:shd w:val="clear" w:color="auto" w:fill="FFFFFF"/>
            <w:vAlign w:val="center"/>
          </w:tcPr>
          <w:p w14:paraId="0828A259" w14:textId="77777777" w:rsidR="0068624E" w:rsidRPr="0019790A" w:rsidRDefault="0068624E" w:rsidP="0068624E">
            <w:pPr>
              <w:rPr>
                <w:rFonts w:cs="Arial"/>
                <w:szCs w:val="22"/>
              </w:rPr>
            </w:pPr>
            <w:r w:rsidRPr="0019790A">
              <w:rPr>
                <w:rFonts w:cs="Arial"/>
                <w:szCs w:val="22"/>
              </w:rPr>
              <w:t>- інші джерела фінансування</w:t>
            </w:r>
          </w:p>
        </w:tc>
        <w:tc>
          <w:tcPr>
            <w:tcW w:w="1227" w:type="dxa"/>
            <w:vAlign w:val="center"/>
          </w:tcPr>
          <w:p w14:paraId="19E8F498" w14:textId="77777777" w:rsidR="0068624E" w:rsidRPr="0019790A" w:rsidRDefault="0068624E" w:rsidP="0068624E">
            <w:pPr>
              <w:jc w:val="center"/>
              <w:rPr>
                <w:rFonts w:cs="Arial"/>
                <w:szCs w:val="22"/>
              </w:rPr>
            </w:pPr>
          </w:p>
        </w:tc>
        <w:tc>
          <w:tcPr>
            <w:tcW w:w="1327" w:type="dxa"/>
            <w:gridSpan w:val="3"/>
            <w:vAlign w:val="center"/>
          </w:tcPr>
          <w:p w14:paraId="1AC8AACB" w14:textId="77777777" w:rsidR="0068624E" w:rsidRPr="0019790A" w:rsidRDefault="0068624E" w:rsidP="0068624E">
            <w:pPr>
              <w:jc w:val="center"/>
              <w:rPr>
                <w:rFonts w:cs="Arial"/>
                <w:szCs w:val="22"/>
              </w:rPr>
            </w:pPr>
          </w:p>
        </w:tc>
        <w:tc>
          <w:tcPr>
            <w:tcW w:w="1402" w:type="dxa"/>
            <w:gridSpan w:val="2"/>
            <w:vAlign w:val="center"/>
          </w:tcPr>
          <w:p w14:paraId="2064C02D" w14:textId="77777777" w:rsidR="0068624E" w:rsidRPr="0019790A" w:rsidRDefault="0068624E" w:rsidP="0068624E">
            <w:pPr>
              <w:jc w:val="center"/>
              <w:rPr>
                <w:rFonts w:cs="Arial"/>
                <w:szCs w:val="22"/>
              </w:rPr>
            </w:pPr>
          </w:p>
        </w:tc>
        <w:tc>
          <w:tcPr>
            <w:tcW w:w="1302" w:type="dxa"/>
            <w:gridSpan w:val="2"/>
            <w:vAlign w:val="center"/>
          </w:tcPr>
          <w:p w14:paraId="167EEAFD" w14:textId="77777777" w:rsidR="0068624E" w:rsidRPr="0019790A" w:rsidRDefault="0068624E" w:rsidP="0068624E">
            <w:pPr>
              <w:jc w:val="center"/>
              <w:rPr>
                <w:rFonts w:cs="Arial"/>
                <w:szCs w:val="22"/>
              </w:rPr>
            </w:pPr>
          </w:p>
        </w:tc>
        <w:tc>
          <w:tcPr>
            <w:tcW w:w="1536" w:type="dxa"/>
            <w:vAlign w:val="center"/>
          </w:tcPr>
          <w:p w14:paraId="0E2ACCDC" w14:textId="77777777" w:rsidR="0068624E" w:rsidRPr="0019790A" w:rsidRDefault="0068624E" w:rsidP="0068624E">
            <w:pPr>
              <w:jc w:val="center"/>
              <w:rPr>
                <w:rFonts w:cs="Arial"/>
                <w:szCs w:val="22"/>
              </w:rPr>
            </w:pPr>
          </w:p>
        </w:tc>
      </w:tr>
      <w:tr w:rsidR="0068624E" w:rsidRPr="0019790A" w14:paraId="4EF8C452" w14:textId="77777777" w:rsidTr="00CF3AAE">
        <w:trPr>
          <w:jc w:val="right"/>
        </w:trPr>
        <w:tc>
          <w:tcPr>
            <w:tcW w:w="3425" w:type="dxa"/>
            <w:shd w:val="clear" w:color="auto" w:fill="FFFFFF"/>
            <w:vAlign w:val="center"/>
          </w:tcPr>
          <w:p w14:paraId="1DECE4EA" w14:textId="77777777" w:rsidR="0068624E" w:rsidRPr="0019790A" w:rsidRDefault="0068624E" w:rsidP="0068624E">
            <w:pPr>
              <w:rPr>
                <w:rFonts w:cs="Arial"/>
                <w:b/>
                <w:bCs/>
                <w:szCs w:val="22"/>
              </w:rPr>
            </w:pPr>
            <w:r w:rsidRPr="0019790A">
              <w:rPr>
                <w:rFonts w:cs="Arial"/>
                <w:b/>
                <w:szCs w:val="22"/>
              </w:rPr>
              <w:t>Відповідальний виконавець проєкту:</w:t>
            </w:r>
          </w:p>
        </w:tc>
        <w:tc>
          <w:tcPr>
            <w:tcW w:w="6794" w:type="dxa"/>
            <w:gridSpan w:val="9"/>
            <w:vAlign w:val="center"/>
          </w:tcPr>
          <w:p w14:paraId="148F0D2A" w14:textId="2F267CBB" w:rsidR="0068624E" w:rsidRPr="0019790A" w:rsidRDefault="0068624E" w:rsidP="0068624E">
            <w:pPr>
              <w:rPr>
                <w:rFonts w:cs="Arial"/>
                <w:szCs w:val="22"/>
              </w:rPr>
            </w:pPr>
            <w:r w:rsidRPr="0019790A">
              <w:rPr>
                <w:rFonts w:cs="Arial"/>
                <w:szCs w:val="22"/>
              </w:rPr>
              <w:t>Управління житлово-комунального господарства Жмеринської міської ради, комунальне підприємство «Парковий культурно-спортивний комплекс» Жмеринської міської ради Вінницької області</w:t>
            </w:r>
          </w:p>
        </w:tc>
      </w:tr>
      <w:tr w:rsidR="0068624E" w:rsidRPr="0019790A" w14:paraId="7A5C492C" w14:textId="77777777" w:rsidTr="00CF3AAE">
        <w:trPr>
          <w:jc w:val="right"/>
        </w:trPr>
        <w:tc>
          <w:tcPr>
            <w:tcW w:w="3425" w:type="dxa"/>
            <w:shd w:val="clear" w:color="auto" w:fill="FFFFFF"/>
            <w:vAlign w:val="center"/>
          </w:tcPr>
          <w:p w14:paraId="3890633E" w14:textId="77777777" w:rsidR="0068624E" w:rsidRPr="0019790A" w:rsidRDefault="0068624E" w:rsidP="0068624E">
            <w:pPr>
              <w:rPr>
                <w:rFonts w:cs="Arial"/>
                <w:b/>
                <w:bCs/>
                <w:szCs w:val="22"/>
              </w:rPr>
            </w:pPr>
            <w:r w:rsidRPr="0019790A">
              <w:rPr>
                <w:rFonts w:cs="Arial"/>
                <w:b/>
                <w:bCs/>
                <w:szCs w:val="22"/>
              </w:rPr>
              <w:t>Інше:</w:t>
            </w:r>
          </w:p>
        </w:tc>
        <w:tc>
          <w:tcPr>
            <w:tcW w:w="6794" w:type="dxa"/>
            <w:gridSpan w:val="9"/>
            <w:vAlign w:val="center"/>
          </w:tcPr>
          <w:p w14:paraId="1A9C5457" w14:textId="77777777" w:rsidR="0068624E" w:rsidRPr="0019790A" w:rsidRDefault="0068624E" w:rsidP="0068624E">
            <w:pPr>
              <w:rPr>
                <w:rFonts w:cs="Arial"/>
                <w:szCs w:val="22"/>
              </w:rPr>
            </w:pPr>
          </w:p>
        </w:tc>
      </w:tr>
    </w:tbl>
    <w:p w14:paraId="41700655" w14:textId="77777777" w:rsidR="005342D5" w:rsidRPr="0019790A" w:rsidRDefault="005342D5" w:rsidP="0019790A">
      <w:pPr>
        <w:ind w:firstLine="708"/>
        <w:rPr>
          <w:rFonts w:cs="Arial"/>
          <w:szCs w:val="22"/>
        </w:rPr>
      </w:pPr>
    </w:p>
    <w:p w14:paraId="0CB4F452" w14:textId="77777777" w:rsidR="0068624E" w:rsidRDefault="0068624E" w:rsidP="0019790A">
      <w:pPr>
        <w:jc w:val="center"/>
        <w:rPr>
          <w:rFonts w:cs="Arial"/>
          <w:b/>
          <w:szCs w:val="22"/>
        </w:rPr>
      </w:pPr>
    </w:p>
    <w:p w14:paraId="02DBB777" w14:textId="14B55CC7" w:rsidR="005342D5" w:rsidRPr="0019790A" w:rsidRDefault="005342D5" w:rsidP="0019790A">
      <w:pPr>
        <w:jc w:val="center"/>
        <w:rPr>
          <w:rFonts w:cs="Arial"/>
          <w:b/>
          <w:szCs w:val="22"/>
        </w:rPr>
      </w:pPr>
      <w:r w:rsidRPr="0019790A">
        <w:rPr>
          <w:rFonts w:cs="Arial"/>
          <w:b/>
          <w:szCs w:val="22"/>
        </w:rPr>
        <w:t>Форма технічного завдання на проєкт місцевого розвитку</w:t>
      </w:r>
    </w:p>
    <w:p w14:paraId="421A043B" w14:textId="77777777" w:rsidR="005342D5" w:rsidRPr="0019790A" w:rsidRDefault="005342D5" w:rsidP="0019790A">
      <w:pPr>
        <w:jc w:val="center"/>
        <w:rPr>
          <w:rFonts w:cs="Arial"/>
          <w:b/>
          <w:szCs w:val="22"/>
        </w:rPr>
      </w:pPr>
      <w:r w:rsidRPr="0019790A">
        <w:rPr>
          <w:rFonts w:cs="Arial"/>
          <w:b/>
          <w:szCs w:val="22"/>
        </w:rPr>
        <w:t>до Плану заходів з реалізації Стратегії</w:t>
      </w:r>
    </w:p>
    <w:p w14:paraId="7B212785" w14:textId="77777777" w:rsidR="005342D5" w:rsidRPr="0019790A" w:rsidRDefault="005342D5"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3"/>
        <w:gridCol w:w="1258"/>
        <w:gridCol w:w="1275"/>
        <w:gridCol w:w="11"/>
        <w:gridCol w:w="1406"/>
        <w:gridCol w:w="33"/>
        <w:gridCol w:w="1243"/>
        <w:gridCol w:w="15"/>
        <w:gridCol w:w="1555"/>
      </w:tblGrid>
      <w:tr w:rsidR="005342D5" w:rsidRPr="0019790A" w14:paraId="4508E85B" w14:textId="77777777" w:rsidTr="00CF3AAE">
        <w:trPr>
          <w:jc w:val="right"/>
        </w:trPr>
        <w:tc>
          <w:tcPr>
            <w:tcW w:w="3425" w:type="dxa"/>
            <w:vAlign w:val="center"/>
          </w:tcPr>
          <w:p w14:paraId="41F6133A" w14:textId="77777777" w:rsidR="005342D5" w:rsidRPr="0019790A" w:rsidRDefault="005342D5" w:rsidP="0019790A">
            <w:pPr>
              <w:rPr>
                <w:rFonts w:cs="Arial"/>
                <w:b/>
                <w:bCs/>
                <w:szCs w:val="22"/>
              </w:rPr>
            </w:pPr>
            <w:r w:rsidRPr="0019790A">
              <w:rPr>
                <w:rFonts w:cs="Arial"/>
                <w:b/>
                <w:bCs/>
                <w:szCs w:val="22"/>
              </w:rPr>
              <w:t>Назва проєкту:</w:t>
            </w:r>
          </w:p>
        </w:tc>
        <w:tc>
          <w:tcPr>
            <w:tcW w:w="6794" w:type="dxa"/>
            <w:gridSpan w:val="8"/>
          </w:tcPr>
          <w:p w14:paraId="184C5FEE" w14:textId="1976F35B" w:rsidR="005342D5" w:rsidRPr="0068624E" w:rsidRDefault="005342D5" w:rsidP="0068624E">
            <w:pPr>
              <w:jc w:val="both"/>
              <w:rPr>
                <w:rFonts w:cs="Arial"/>
                <w:b/>
                <w:szCs w:val="22"/>
              </w:rPr>
            </w:pPr>
            <w:r w:rsidRPr="0068624E">
              <w:rPr>
                <w:rFonts w:cs="Arial"/>
                <w:b/>
                <w:szCs w:val="22"/>
              </w:rPr>
              <w:t xml:space="preserve">Відкритий теніс для всіх: встановлення антивандальних тенісних столів у громадських просторах на території </w:t>
            </w:r>
            <w:r w:rsidR="0068624E" w:rsidRPr="0068624E">
              <w:rPr>
                <w:rFonts w:cs="Arial"/>
                <w:b/>
                <w:szCs w:val="22"/>
              </w:rPr>
              <w:t>мікрорайону</w:t>
            </w:r>
            <w:r w:rsidRPr="0068624E">
              <w:rPr>
                <w:rFonts w:cs="Arial"/>
                <w:b/>
                <w:szCs w:val="22"/>
              </w:rPr>
              <w:t xml:space="preserve"> </w:t>
            </w:r>
            <w:r w:rsidR="0068624E">
              <w:rPr>
                <w:rFonts w:cs="Arial"/>
                <w:b/>
                <w:szCs w:val="22"/>
              </w:rPr>
              <w:t>«ТЕЦ», «Петрівка», «Постройки»</w:t>
            </w:r>
          </w:p>
        </w:tc>
      </w:tr>
      <w:tr w:rsidR="005342D5" w:rsidRPr="0019790A" w14:paraId="3547E32B" w14:textId="77777777" w:rsidTr="0068624E">
        <w:trPr>
          <w:jc w:val="right"/>
        </w:trPr>
        <w:tc>
          <w:tcPr>
            <w:tcW w:w="3425" w:type="dxa"/>
          </w:tcPr>
          <w:p w14:paraId="01C6BC0F" w14:textId="77777777" w:rsidR="005342D5" w:rsidRPr="0019790A" w:rsidRDefault="005342D5" w:rsidP="0019790A">
            <w:pPr>
              <w:rPr>
                <w:rFonts w:cs="Arial"/>
                <w:szCs w:val="22"/>
              </w:rPr>
            </w:pPr>
            <w:r w:rsidRPr="0019790A">
              <w:rPr>
                <w:rFonts w:cs="Arial"/>
                <w:b/>
                <w:bCs/>
                <w:szCs w:val="22"/>
              </w:rPr>
              <w:t>Ваші контакти</w:t>
            </w:r>
            <w:r w:rsidRPr="0019790A">
              <w:rPr>
                <w:rFonts w:cs="Arial"/>
                <w:szCs w:val="22"/>
              </w:rPr>
              <w:t>:</w:t>
            </w:r>
          </w:p>
          <w:p w14:paraId="40294C7D" w14:textId="77777777" w:rsidR="005342D5" w:rsidRPr="0019790A" w:rsidRDefault="005342D5" w:rsidP="0019790A">
            <w:pPr>
              <w:rPr>
                <w:rFonts w:cs="Arial"/>
                <w:b/>
                <w:bCs/>
                <w:szCs w:val="22"/>
              </w:rPr>
            </w:pPr>
            <w:r w:rsidRPr="0019790A">
              <w:rPr>
                <w:rFonts w:cs="Arial"/>
                <w:szCs w:val="22"/>
              </w:rPr>
              <w:t>Назва установи, організації, підприємства</w:t>
            </w:r>
          </w:p>
        </w:tc>
        <w:tc>
          <w:tcPr>
            <w:tcW w:w="6794" w:type="dxa"/>
            <w:gridSpan w:val="8"/>
            <w:vAlign w:val="center"/>
          </w:tcPr>
          <w:p w14:paraId="0B68245E" w14:textId="77777777" w:rsidR="005342D5" w:rsidRPr="0019790A" w:rsidRDefault="005342D5" w:rsidP="0068624E">
            <w:pPr>
              <w:jc w:val="both"/>
              <w:rPr>
                <w:rFonts w:cs="Arial"/>
                <w:szCs w:val="22"/>
              </w:rPr>
            </w:pPr>
            <w:r w:rsidRPr="0019790A">
              <w:rPr>
                <w:rFonts w:cs="Arial"/>
                <w:szCs w:val="22"/>
              </w:rPr>
              <w:t>Відділ молоді та спорту Жмеринської міської ради</w:t>
            </w:r>
          </w:p>
        </w:tc>
      </w:tr>
      <w:tr w:rsidR="005342D5" w:rsidRPr="0019790A" w14:paraId="24A8BEBB" w14:textId="77777777" w:rsidTr="0068624E">
        <w:trPr>
          <w:jc w:val="right"/>
        </w:trPr>
        <w:tc>
          <w:tcPr>
            <w:tcW w:w="3425" w:type="dxa"/>
          </w:tcPr>
          <w:p w14:paraId="21E2CB3B" w14:textId="77777777" w:rsidR="005342D5" w:rsidRPr="0019790A" w:rsidRDefault="005342D5" w:rsidP="0019790A">
            <w:pPr>
              <w:rPr>
                <w:rFonts w:cs="Arial"/>
                <w:b/>
                <w:bCs/>
                <w:szCs w:val="22"/>
              </w:rPr>
            </w:pPr>
            <w:r w:rsidRPr="0019790A">
              <w:rPr>
                <w:rFonts w:cs="Arial"/>
                <w:szCs w:val="22"/>
              </w:rPr>
              <w:t>Прізвище Ім’я По-батькові:</w:t>
            </w:r>
          </w:p>
        </w:tc>
        <w:tc>
          <w:tcPr>
            <w:tcW w:w="6794" w:type="dxa"/>
            <w:gridSpan w:val="8"/>
            <w:vAlign w:val="center"/>
          </w:tcPr>
          <w:p w14:paraId="149B4B69" w14:textId="77777777" w:rsidR="005342D5" w:rsidRPr="0019790A" w:rsidRDefault="005342D5" w:rsidP="0068624E">
            <w:pPr>
              <w:jc w:val="both"/>
              <w:rPr>
                <w:rFonts w:cs="Arial"/>
                <w:szCs w:val="22"/>
              </w:rPr>
            </w:pPr>
            <w:r w:rsidRPr="0019790A">
              <w:rPr>
                <w:rFonts w:cs="Arial"/>
                <w:szCs w:val="22"/>
              </w:rPr>
              <w:t>Ковальська Олена Віталіївна</w:t>
            </w:r>
          </w:p>
        </w:tc>
      </w:tr>
      <w:tr w:rsidR="005342D5" w:rsidRPr="0019790A" w14:paraId="7C09384C" w14:textId="77777777" w:rsidTr="0068624E">
        <w:trPr>
          <w:jc w:val="right"/>
        </w:trPr>
        <w:tc>
          <w:tcPr>
            <w:tcW w:w="3425" w:type="dxa"/>
          </w:tcPr>
          <w:p w14:paraId="78A9DFA0" w14:textId="77777777" w:rsidR="005342D5" w:rsidRPr="0019790A" w:rsidRDefault="005342D5" w:rsidP="0019790A">
            <w:pPr>
              <w:rPr>
                <w:rFonts w:cs="Arial"/>
                <w:b/>
                <w:bCs/>
                <w:szCs w:val="22"/>
              </w:rPr>
            </w:pPr>
            <w:r w:rsidRPr="0019790A">
              <w:rPr>
                <w:rFonts w:cs="Arial"/>
                <w:szCs w:val="22"/>
              </w:rPr>
              <w:t>Телефон (мобільний):</w:t>
            </w:r>
          </w:p>
        </w:tc>
        <w:tc>
          <w:tcPr>
            <w:tcW w:w="6794" w:type="dxa"/>
            <w:gridSpan w:val="8"/>
            <w:vAlign w:val="center"/>
          </w:tcPr>
          <w:p w14:paraId="27F4F935" w14:textId="77777777" w:rsidR="005342D5" w:rsidRPr="0019790A" w:rsidRDefault="005342D5" w:rsidP="0068624E">
            <w:pPr>
              <w:jc w:val="both"/>
              <w:rPr>
                <w:rFonts w:cs="Arial"/>
                <w:szCs w:val="22"/>
              </w:rPr>
            </w:pPr>
            <w:r w:rsidRPr="0019790A">
              <w:rPr>
                <w:rFonts w:cs="Arial"/>
                <w:szCs w:val="22"/>
              </w:rPr>
              <w:t>096-068-94-79</w:t>
            </w:r>
          </w:p>
        </w:tc>
      </w:tr>
      <w:tr w:rsidR="005342D5" w:rsidRPr="0019790A" w14:paraId="193B66BA" w14:textId="77777777" w:rsidTr="0068624E">
        <w:trPr>
          <w:jc w:val="right"/>
        </w:trPr>
        <w:tc>
          <w:tcPr>
            <w:tcW w:w="3425" w:type="dxa"/>
          </w:tcPr>
          <w:p w14:paraId="08C1B7D8" w14:textId="77777777" w:rsidR="005342D5" w:rsidRPr="0019790A" w:rsidRDefault="005342D5" w:rsidP="0019790A">
            <w:pPr>
              <w:rPr>
                <w:rFonts w:cs="Arial"/>
                <w:b/>
                <w:bCs/>
                <w:szCs w:val="22"/>
              </w:rPr>
            </w:pPr>
            <w:r w:rsidRPr="0019790A">
              <w:rPr>
                <w:rFonts w:cs="Arial"/>
                <w:szCs w:val="22"/>
              </w:rPr>
              <w:t>Електронна адреса:</w:t>
            </w:r>
          </w:p>
        </w:tc>
        <w:tc>
          <w:tcPr>
            <w:tcW w:w="6794" w:type="dxa"/>
            <w:gridSpan w:val="8"/>
            <w:vAlign w:val="center"/>
          </w:tcPr>
          <w:p w14:paraId="0AB6933E" w14:textId="77777777" w:rsidR="005342D5" w:rsidRPr="0019790A" w:rsidRDefault="00D85FFD" w:rsidP="0068624E">
            <w:pPr>
              <w:jc w:val="both"/>
              <w:rPr>
                <w:rFonts w:cs="Arial"/>
                <w:szCs w:val="22"/>
              </w:rPr>
            </w:pPr>
            <w:hyperlink r:id="rId153" w:history="1">
              <w:r w:rsidR="005342D5" w:rsidRPr="0019790A">
                <w:rPr>
                  <w:rStyle w:val="af0"/>
                  <w:rFonts w:cs="Arial"/>
                  <w:b/>
                  <w:bCs/>
                  <w:noProof w:val="0"/>
                  <w:sz w:val="22"/>
                  <w:szCs w:val="22"/>
                </w:rPr>
                <w:t>ms@zhmr.gov.ua</w:t>
              </w:r>
            </w:hyperlink>
          </w:p>
        </w:tc>
      </w:tr>
      <w:tr w:rsidR="005342D5" w:rsidRPr="0019790A" w14:paraId="57E81D2F" w14:textId="77777777" w:rsidTr="0068624E">
        <w:trPr>
          <w:jc w:val="right"/>
        </w:trPr>
        <w:tc>
          <w:tcPr>
            <w:tcW w:w="3425" w:type="dxa"/>
            <w:vAlign w:val="center"/>
          </w:tcPr>
          <w:p w14:paraId="16E09FB3" w14:textId="77777777" w:rsidR="005342D5" w:rsidRPr="0019790A" w:rsidRDefault="005342D5" w:rsidP="0019790A">
            <w:pPr>
              <w:rPr>
                <w:rFonts w:cs="Arial"/>
                <w:b/>
                <w:bCs/>
                <w:szCs w:val="22"/>
              </w:rPr>
            </w:pPr>
            <w:r w:rsidRPr="0019790A">
              <w:rPr>
                <w:rFonts w:cs="Arial"/>
                <w:b/>
                <w:bCs/>
                <w:szCs w:val="22"/>
              </w:rPr>
              <w:t>Номер і назва завдання з Стратегії розвитку Жмеринської міської територіальної громади,  якому відповідає проєкт:</w:t>
            </w:r>
          </w:p>
        </w:tc>
        <w:tc>
          <w:tcPr>
            <w:tcW w:w="6794" w:type="dxa"/>
            <w:gridSpan w:val="8"/>
            <w:vAlign w:val="center"/>
          </w:tcPr>
          <w:p w14:paraId="46196944" w14:textId="62A576A0" w:rsidR="005342D5" w:rsidRPr="0068624E" w:rsidRDefault="005342D5" w:rsidP="0068624E">
            <w:pPr>
              <w:jc w:val="both"/>
              <w:rPr>
                <w:rFonts w:cs="Arial"/>
                <w:szCs w:val="22"/>
              </w:rPr>
            </w:pPr>
            <w:r w:rsidRPr="0068624E">
              <w:rPr>
                <w:rFonts w:cs="Arial"/>
                <w:bCs/>
                <w:szCs w:val="22"/>
              </w:rPr>
              <w:t>С.3.4.2. Будівництво, реконструкція інфраструктури спорту з урахуванням гендерного аспекту.</w:t>
            </w:r>
          </w:p>
        </w:tc>
      </w:tr>
      <w:tr w:rsidR="005342D5" w:rsidRPr="0019790A" w14:paraId="7E62FFA2" w14:textId="77777777" w:rsidTr="0068624E">
        <w:trPr>
          <w:trHeight w:val="673"/>
          <w:jc w:val="right"/>
        </w:trPr>
        <w:tc>
          <w:tcPr>
            <w:tcW w:w="3425" w:type="dxa"/>
            <w:vAlign w:val="center"/>
          </w:tcPr>
          <w:p w14:paraId="7EB478D9" w14:textId="77777777" w:rsidR="005342D5" w:rsidRPr="0019790A" w:rsidRDefault="005342D5" w:rsidP="0019790A">
            <w:pPr>
              <w:rPr>
                <w:rFonts w:cs="Arial"/>
                <w:b/>
                <w:bCs/>
                <w:szCs w:val="22"/>
              </w:rPr>
            </w:pPr>
            <w:r w:rsidRPr="0019790A">
              <w:rPr>
                <w:rFonts w:cs="Arial"/>
                <w:b/>
                <w:bCs/>
                <w:szCs w:val="22"/>
              </w:rPr>
              <w:t>Мета проєкту:</w:t>
            </w:r>
          </w:p>
        </w:tc>
        <w:tc>
          <w:tcPr>
            <w:tcW w:w="6794" w:type="dxa"/>
            <w:gridSpan w:val="8"/>
            <w:vAlign w:val="center"/>
          </w:tcPr>
          <w:p w14:paraId="6C8D28CC" w14:textId="77777777" w:rsidR="005342D5" w:rsidRPr="0019790A" w:rsidRDefault="005342D5" w:rsidP="0068624E">
            <w:pPr>
              <w:jc w:val="both"/>
              <w:rPr>
                <w:rFonts w:cs="Arial"/>
                <w:szCs w:val="22"/>
              </w:rPr>
            </w:pPr>
            <w:r w:rsidRPr="0019790A">
              <w:rPr>
                <w:rFonts w:cs="Arial"/>
                <w:szCs w:val="22"/>
              </w:rPr>
              <w:t>Сприяти розвитку масового спорту, активного дозвілля та соціальної взаємодії серед мешканців громади шляхом створення відкритої, доступної та безпечної інфраструктури для занять настільним тенісом.</w:t>
            </w:r>
          </w:p>
        </w:tc>
      </w:tr>
      <w:tr w:rsidR="005342D5" w:rsidRPr="0019790A" w14:paraId="2A5108B4" w14:textId="77777777" w:rsidTr="0068624E">
        <w:trPr>
          <w:jc w:val="right"/>
        </w:trPr>
        <w:tc>
          <w:tcPr>
            <w:tcW w:w="3425" w:type="dxa"/>
            <w:vAlign w:val="center"/>
          </w:tcPr>
          <w:p w14:paraId="36F5EEDA" w14:textId="77777777" w:rsidR="005342D5" w:rsidRPr="0019790A" w:rsidRDefault="005342D5" w:rsidP="0019790A">
            <w:pPr>
              <w:rPr>
                <w:rFonts w:cs="Arial"/>
                <w:b/>
                <w:bCs/>
                <w:szCs w:val="22"/>
              </w:rPr>
            </w:pPr>
            <w:r w:rsidRPr="0019790A">
              <w:rPr>
                <w:rFonts w:cs="Arial"/>
                <w:b/>
                <w:bCs/>
                <w:szCs w:val="22"/>
              </w:rPr>
              <w:t>Цілі проєкту:</w:t>
            </w:r>
          </w:p>
        </w:tc>
        <w:tc>
          <w:tcPr>
            <w:tcW w:w="6794" w:type="dxa"/>
            <w:gridSpan w:val="8"/>
            <w:vAlign w:val="center"/>
          </w:tcPr>
          <w:p w14:paraId="13D8E48F" w14:textId="77777777" w:rsidR="005342D5" w:rsidRPr="0019790A" w:rsidRDefault="005342D5" w:rsidP="0068624E">
            <w:pPr>
              <w:jc w:val="both"/>
              <w:rPr>
                <w:rFonts w:cs="Arial"/>
                <w:szCs w:val="22"/>
              </w:rPr>
            </w:pPr>
            <w:r w:rsidRPr="0019790A">
              <w:rPr>
                <w:rFonts w:cs="Arial"/>
                <w:szCs w:val="22"/>
              </w:rPr>
              <w:t>1. Забезпечити вільний та безкоштовний доступ до занять настільним тенісом у безпечному середовищі.</w:t>
            </w:r>
          </w:p>
          <w:p w14:paraId="02C500BE" w14:textId="77777777" w:rsidR="005342D5" w:rsidRPr="0019790A" w:rsidRDefault="005342D5" w:rsidP="0068624E">
            <w:pPr>
              <w:jc w:val="both"/>
              <w:rPr>
                <w:rFonts w:cs="Arial"/>
                <w:szCs w:val="22"/>
              </w:rPr>
            </w:pPr>
            <w:r w:rsidRPr="0019790A">
              <w:rPr>
                <w:rFonts w:cs="Arial"/>
                <w:szCs w:val="22"/>
              </w:rPr>
              <w:t>2.  Підвищити рівень фізичної активності серед різних вікових категорій населення.</w:t>
            </w:r>
          </w:p>
          <w:p w14:paraId="5ABA34BD" w14:textId="77777777" w:rsidR="005342D5" w:rsidRPr="0019790A" w:rsidRDefault="005342D5" w:rsidP="0068624E">
            <w:pPr>
              <w:jc w:val="both"/>
              <w:rPr>
                <w:rFonts w:cs="Arial"/>
                <w:szCs w:val="22"/>
              </w:rPr>
            </w:pPr>
            <w:r w:rsidRPr="0019790A">
              <w:rPr>
                <w:rFonts w:cs="Arial"/>
                <w:szCs w:val="22"/>
              </w:rPr>
              <w:t>3. Створити умови для неформального спілкування, інтеграції та активного дозвілля громади.</w:t>
            </w:r>
          </w:p>
          <w:p w14:paraId="34862DF3" w14:textId="77777777" w:rsidR="005342D5" w:rsidRPr="0019790A" w:rsidRDefault="005342D5" w:rsidP="0068624E">
            <w:pPr>
              <w:jc w:val="both"/>
              <w:rPr>
                <w:rFonts w:cs="Arial"/>
                <w:szCs w:val="22"/>
              </w:rPr>
            </w:pPr>
            <w:r w:rsidRPr="0019790A">
              <w:rPr>
                <w:rFonts w:cs="Arial"/>
                <w:szCs w:val="22"/>
              </w:rPr>
              <w:t>4.  Залучити дітей і молодь до здорового способу життя.</w:t>
            </w:r>
          </w:p>
          <w:p w14:paraId="1A9D945A" w14:textId="77777777" w:rsidR="005342D5" w:rsidRPr="0019790A" w:rsidRDefault="005342D5" w:rsidP="0068624E">
            <w:pPr>
              <w:jc w:val="both"/>
              <w:rPr>
                <w:rFonts w:cs="Arial"/>
                <w:szCs w:val="22"/>
              </w:rPr>
            </w:pPr>
            <w:r w:rsidRPr="0019790A">
              <w:rPr>
                <w:rFonts w:cs="Arial"/>
                <w:szCs w:val="22"/>
              </w:rPr>
              <w:t>5.  Підвищити функціональність і безпеку громадського простору.</w:t>
            </w:r>
          </w:p>
        </w:tc>
      </w:tr>
      <w:tr w:rsidR="005342D5" w:rsidRPr="0019790A" w14:paraId="40763805" w14:textId="77777777" w:rsidTr="0068624E">
        <w:trPr>
          <w:jc w:val="right"/>
        </w:trPr>
        <w:tc>
          <w:tcPr>
            <w:tcW w:w="3425" w:type="dxa"/>
            <w:vAlign w:val="center"/>
          </w:tcPr>
          <w:p w14:paraId="01C7AA3A" w14:textId="77777777" w:rsidR="005342D5" w:rsidRPr="0019790A" w:rsidRDefault="005342D5" w:rsidP="0019790A">
            <w:pPr>
              <w:rPr>
                <w:rFonts w:cs="Arial"/>
                <w:b/>
                <w:szCs w:val="22"/>
              </w:rPr>
            </w:pPr>
            <w:r w:rsidRPr="0019790A">
              <w:rPr>
                <w:rFonts w:cs="Arial"/>
                <w:b/>
                <w:szCs w:val="22"/>
              </w:rPr>
              <w:t>Територія на яку проєкт матиме вплив:</w:t>
            </w:r>
          </w:p>
        </w:tc>
        <w:tc>
          <w:tcPr>
            <w:tcW w:w="6794" w:type="dxa"/>
            <w:gridSpan w:val="8"/>
            <w:vAlign w:val="center"/>
          </w:tcPr>
          <w:p w14:paraId="63DA1576" w14:textId="77777777" w:rsidR="005342D5" w:rsidRPr="0019790A" w:rsidRDefault="005342D5" w:rsidP="0068624E">
            <w:pPr>
              <w:jc w:val="both"/>
              <w:rPr>
                <w:rFonts w:cs="Arial"/>
                <w:szCs w:val="22"/>
              </w:rPr>
            </w:pPr>
            <w:r w:rsidRPr="0019790A">
              <w:rPr>
                <w:rFonts w:cs="Arial"/>
                <w:szCs w:val="22"/>
              </w:rPr>
              <w:t>Жмеринська міська територіальна громада</w:t>
            </w:r>
          </w:p>
        </w:tc>
      </w:tr>
      <w:tr w:rsidR="005342D5" w:rsidRPr="0019790A" w14:paraId="2F212450" w14:textId="77777777" w:rsidTr="0068624E">
        <w:trPr>
          <w:jc w:val="right"/>
        </w:trPr>
        <w:tc>
          <w:tcPr>
            <w:tcW w:w="3425" w:type="dxa"/>
            <w:vAlign w:val="center"/>
          </w:tcPr>
          <w:p w14:paraId="124FF4BB" w14:textId="77777777" w:rsidR="005342D5" w:rsidRPr="0019790A" w:rsidRDefault="005342D5" w:rsidP="0019790A">
            <w:pPr>
              <w:rPr>
                <w:rFonts w:cs="Arial"/>
                <w:b/>
                <w:szCs w:val="22"/>
              </w:rPr>
            </w:pPr>
            <w:r w:rsidRPr="0019790A">
              <w:rPr>
                <w:rFonts w:cs="Arial"/>
                <w:b/>
                <w:szCs w:val="22"/>
              </w:rPr>
              <w:t>Цільові групи проєкту та кількість отримувачів вигоди</w:t>
            </w:r>
          </w:p>
        </w:tc>
        <w:tc>
          <w:tcPr>
            <w:tcW w:w="6794" w:type="dxa"/>
            <w:gridSpan w:val="8"/>
            <w:vAlign w:val="center"/>
          </w:tcPr>
          <w:p w14:paraId="206C6667" w14:textId="77777777" w:rsidR="005342D5" w:rsidRPr="0019790A" w:rsidRDefault="005342D5" w:rsidP="0068624E">
            <w:pPr>
              <w:jc w:val="both"/>
              <w:rPr>
                <w:rFonts w:cs="Arial"/>
                <w:bCs/>
                <w:szCs w:val="22"/>
              </w:rPr>
            </w:pPr>
            <w:r w:rsidRPr="0019790A">
              <w:rPr>
                <w:rFonts w:cs="Arial"/>
                <w:bCs/>
                <w:szCs w:val="22"/>
              </w:rPr>
              <w:t>1.  Діти та підлітки (7–18 років)</w:t>
            </w:r>
          </w:p>
          <w:p w14:paraId="79A1474B" w14:textId="77777777" w:rsidR="005342D5" w:rsidRPr="0019790A" w:rsidRDefault="005342D5" w:rsidP="0068624E">
            <w:pPr>
              <w:jc w:val="both"/>
              <w:rPr>
                <w:rFonts w:cs="Arial"/>
                <w:bCs/>
                <w:szCs w:val="22"/>
              </w:rPr>
            </w:pPr>
            <w:r w:rsidRPr="0019790A">
              <w:rPr>
                <w:rFonts w:cs="Arial"/>
                <w:bCs/>
                <w:szCs w:val="22"/>
              </w:rPr>
              <w:t>2.  Молодь (18–30 років)</w:t>
            </w:r>
          </w:p>
          <w:p w14:paraId="3B390C32" w14:textId="77777777" w:rsidR="005342D5" w:rsidRPr="0019790A" w:rsidRDefault="005342D5" w:rsidP="0068624E">
            <w:pPr>
              <w:jc w:val="both"/>
              <w:rPr>
                <w:rFonts w:cs="Arial"/>
                <w:bCs/>
                <w:szCs w:val="22"/>
              </w:rPr>
            </w:pPr>
            <w:r w:rsidRPr="0019790A">
              <w:rPr>
                <w:rFonts w:cs="Arial"/>
                <w:bCs/>
                <w:szCs w:val="22"/>
              </w:rPr>
              <w:t>3.  Дорослі (30–60 років)</w:t>
            </w:r>
          </w:p>
          <w:p w14:paraId="1695AF10" w14:textId="77777777" w:rsidR="005342D5" w:rsidRPr="0019790A" w:rsidRDefault="005342D5" w:rsidP="0068624E">
            <w:pPr>
              <w:jc w:val="both"/>
              <w:rPr>
                <w:rFonts w:cs="Arial"/>
                <w:bCs/>
                <w:szCs w:val="22"/>
              </w:rPr>
            </w:pPr>
            <w:r w:rsidRPr="0019790A">
              <w:rPr>
                <w:rFonts w:cs="Arial"/>
                <w:bCs/>
                <w:szCs w:val="22"/>
              </w:rPr>
              <w:t>4.  Люди літнього віку</w:t>
            </w:r>
          </w:p>
          <w:p w14:paraId="0769A493" w14:textId="77777777" w:rsidR="005342D5" w:rsidRPr="0019790A" w:rsidRDefault="005342D5" w:rsidP="0068624E">
            <w:pPr>
              <w:jc w:val="both"/>
              <w:rPr>
                <w:rFonts w:cs="Arial"/>
                <w:bCs/>
                <w:szCs w:val="22"/>
              </w:rPr>
            </w:pPr>
            <w:r w:rsidRPr="0019790A">
              <w:rPr>
                <w:rFonts w:cs="Arial"/>
                <w:bCs/>
                <w:szCs w:val="22"/>
              </w:rPr>
              <w:t>5.  Особи з інвалідністю</w:t>
            </w:r>
          </w:p>
          <w:p w14:paraId="7ADB51DF" w14:textId="77777777" w:rsidR="005342D5" w:rsidRPr="0019790A" w:rsidRDefault="005342D5" w:rsidP="0068624E">
            <w:pPr>
              <w:jc w:val="both"/>
              <w:rPr>
                <w:rFonts w:cs="Arial"/>
                <w:bCs/>
                <w:szCs w:val="22"/>
              </w:rPr>
            </w:pPr>
            <w:r w:rsidRPr="0019790A">
              <w:rPr>
                <w:rFonts w:cs="Arial"/>
                <w:bCs/>
                <w:szCs w:val="22"/>
              </w:rPr>
              <w:t>6.  Відвідувачі парків, скверів, навчальних закладів</w:t>
            </w:r>
          </w:p>
          <w:p w14:paraId="4AE0DA3D" w14:textId="77777777" w:rsidR="005342D5" w:rsidRPr="0019790A" w:rsidRDefault="005342D5" w:rsidP="0068624E">
            <w:pPr>
              <w:jc w:val="both"/>
              <w:rPr>
                <w:rFonts w:cs="Arial"/>
                <w:szCs w:val="22"/>
              </w:rPr>
            </w:pPr>
            <w:r w:rsidRPr="0019790A">
              <w:rPr>
                <w:rFonts w:cs="Arial"/>
                <w:b/>
                <w:szCs w:val="22"/>
              </w:rPr>
              <w:t>Кількість отримувачів вигоди</w:t>
            </w:r>
            <w:r w:rsidRPr="0019790A">
              <w:rPr>
                <w:rFonts w:cs="Arial"/>
                <w:szCs w:val="22"/>
              </w:rPr>
              <w:t xml:space="preserve"> </w:t>
            </w:r>
            <w:r w:rsidRPr="0019790A">
              <w:rPr>
                <w:rFonts w:cs="Arial"/>
                <w:b/>
                <w:szCs w:val="22"/>
              </w:rPr>
              <w:t>20 000 осіб.</w:t>
            </w:r>
          </w:p>
        </w:tc>
      </w:tr>
      <w:tr w:rsidR="005342D5" w:rsidRPr="0019790A" w14:paraId="3CD24BF8" w14:textId="77777777" w:rsidTr="0068624E">
        <w:trPr>
          <w:jc w:val="right"/>
        </w:trPr>
        <w:tc>
          <w:tcPr>
            <w:tcW w:w="3425" w:type="dxa"/>
            <w:shd w:val="clear" w:color="auto" w:fill="FFFFFF"/>
            <w:vAlign w:val="center"/>
          </w:tcPr>
          <w:p w14:paraId="257AD5D9" w14:textId="77777777" w:rsidR="005342D5" w:rsidRPr="0019790A" w:rsidRDefault="005342D5" w:rsidP="0019790A">
            <w:pPr>
              <w:rPr>
                <w:rFonts w:cs="Arial"/>
                <w:b/>
                <w:bCs/>
                <w:szCs w:val="22"/>
              </w:rPr>
            </w:pPr>
            <w:r w:rsidRPr="0019790A">
              <w:rPr>
                <w:rFonts w:cs="Arial"/>
                <w:b/>
                <w:bCs/>
                <w:szCs w:val="22"/>
              </w:rPr>
              <w:t>Стислий опис проєкту:</w:t>
            </w:r>
          </w:p>
        </w:tc>
        <w:tc>
          <w:tcPr>
            <w:tcW w:w="6794" w:type="dxa"/>
            <w:gridSpan w:val="8"/>
            <w:vAlign w:val="center"/>
          </w:tcPr>
          <w:p w14:paraId="746AB5ED" w14:textId="77777777" w:rsidR="005342D5" w:rsidRPr="0019790A" w:rsidRDefault="005342D5" w:rsidP="0068624E">
            <w:pPr>
              <w:jc w:val="both"/>
              <w:rPr>
                <w:rFonts w:cs="Arial"/>
                <w:szCs w:val="22"/>
              </w:rPr>
            </w:pPr>
            <w:r w:rsidRPr="0019790A">
              <w:rPr>
                <w:rFonts w:cs="Arial"/>
                <w:szCs w:val="22"/>
              </w:rPr>
              <w:t xml:space="preserve">У рамках проєкту буде встановлено </w:t>
            </w:r>
            <w:r w:rsidRPr="0019790A">
              <w:rPr>
                <w:rFonts w:cs="Arial"/>
                <w:bCs/>
                <w:szCs w:val="22"/>
              </w:rPr>
              <w:t>антивандальні тенісні столи</w:t>
            </w:r>
            <w:r w:rsidRPr="0019790A">
              <w:rPr>
                <w:rFonts w:cs="Arial"/>
                <w:szCs w:val="22"/>
              </w:rPr>
              <w:t xml:space="preserve"> у доступних публічних просторах на території мікрарайону «ТЕЦ». Територія буде облаштована лавками, смітниками та інформаційними табличками з правилами користування. Проєкт створює можливість для активного дозвілля, тренувань і проведення аматорських змагань. Передбачено інклюзивність, доступність для людей з інвалідністю та комфортне середовище для різних вікових груп.</w:t>
            </w:r>
          </w:p>
        </w:tc>
      </w:tr>
      <w:tr w:rsidR="005342D5" w:rsidRPr="0019790A" w14:paraId="7BD235DA" w14:textId="77777777" w:rsidTr="0068624E">
        <w:trPr>
          <w:jc w:val="right"/>
        </w:trPr>
        <w:tc>
          <w:tcPr>
            <w:tcW w:w="3425" w:type="dxa"/>
            <w:shd w:val="clear" w:color="auto" w:fill="FFFFFF"/>
            <w:vAlign w:val="center"/>
          </w:tcPr>
          <w:p w14:paraId="6AB94122" w14:textId="77777777" w:rsidR="005342D5" w:rsidRPr="0019790A" w:rsidRDefault="005342D5" w:rsidP="0019790A">
            <w:pPr>
              <w:rPr>
                <w:rFonts w:cs="Arial"/>
                <w:b/>
                <w:bCs/>
                <w:szCs w:val="22"/>
              </w:rPr>
            </w:pPr>
            <w:r w:rsidRPr="0019790A">
              <w:rPr>
                <w:rFonts w:cs="Arial"/>
                <w:b/>
                <w:bCs/>
                <w:szCs w:val="22"/>
              </w:rPr>
              <w:t>Основні заходи проєкту:</w:t>
            </w:r>
          </w:p>
        </w:tc>
        <w:tc>
          <w:tcPr>
            <w:tcW w:w="6794" w:type="dxa"/>
            <w:gridSpan w:val="8"/>
            <w:vAlign w:val="center"/>
          </w:tcPr>
          <w:p w14:paraId="60049F99" w14:textId="77777777" w:rsidR="005342D5" w:rsidRPr="0019790A" w:rsidRDefault="005342D5" w:rsidP="0068624E">
            <w:pPr>
              <w:jc w:val="both"/>
              <w:rPr>
                <w:rFonts w:cs="Arial"/>
                <w:szCs w:val="22"/>
              </w:rPr>
            </w:pPr>
            <w:r w:rsidRPr="0019790A">
              <w:rPr>
                <w:rFonts w:cs="Arial"/>
                <w:szCs w:val="22"/>
              </w:rPr>
              <w:t>1.  Вибір локацій для встановлення тенісних столів.</w:t>
            </w:r>
          </w:p>
          <w:p w14:paraId="2C6BA027" w14:textId="77777777" w:rsidR="005342D5" w:rsidRPr="0019790A" w:rsidRDefault="005342D5" w:rsidP="0068624E">
            <w:pPr>
              <w:jc w:val="both"/>
              <w:rPr>
                <w:rFonts w:cs="Arial"/>
                <w:szCs w:val="22"/>
              </w:rPr>
            </w:pPr>
            <w:r w:rsidRPr="0019790A">
              <w:rPr>
                <w:rFonts w:cs="Arial"/>
                <w:szCs w:val="22"/>
              </w:rPr>
              <w:t>2.  Закупівля та встановлення антивандальних тенісних столів (2-3 одиниці).</w:t>
            </w:r>
          </w:p>
          <w:p w14:paraId="37EBBD67" w14:textId="77777777" w:rsidR="005342D5" w:rsidRPr="0019790A" w:rsidRDefault="005342D5" w:rsidP="0068624E">
            <w:pPr>
              <w:jc w:val="both"/>
              <w:rPr>
                <w:rFonts w:cs="Arial"/>
                <w:szCs w:val="22"/>
              </w:rPr>
            </w:pPr>
            <w:r w:rsidRPr="0019790A">
              <w:rPr>
                <w:rFonts w:cs="Arial"/>
                <w:szCs w:val="22"/>
              </w:rPr>
              <w:t>3.  Облаштування прилеглої інфраструктури (лавки, смітники, таблички, покриття).</w:t>
            </w:r>
          </w:p>
          <w:p w14:paraId="69CDEBF6" w14:textId="77777777" w:rsidR="005342D5" w:rsidRPr="0019790A" w:rsidRDefault="005342D5" w:rsidP="0068624E">
            <w:pPr>
              <w:jc w:val="both"/>
              <w:rPr>
                <w:rFonts w:cs="Arial"/>
                <w:szCs w:val="22"/>
              </w:rPr>
            </w:pPr>
            <w:r w:rsidRPr="0019790A">
              <w:rPr>
                <w:rFonts w:cs="Arial"/>
                <w:szCs w:val="22"/>
              </w:rPr>
              <w:t>4.  Проведення інформаційної кампанії серед жителів громади.</w:t>
            </w:r>
          </w:p>
          <w:p w14:paraId="1BE22A84" w14:textId="77777777" w:rsidR="005342D5" w:rsidRPr="0019790A" w:rsidRDefault="005342D5" w:rsidP="0068624E">
            <w:pPr>
              <w:jc w:val="both"/>
              <w:rPr>
                <w:rFonts w:cs="Arial"/>
                <w:szCs w:val="22"/>
              </w:rPr>
            </w:pPr>
            <w:r w:rsidRPr="0019790A">
              <w:rPr>
                <w:rFonts w:cs="Arial"/>
                <w:szCs w:val="22"/>
              </w:rPr>
              <w:t>5.  Організація аматорських змагань, майстер-класів, днів спорту.</w:t>
            </w:r>
          </w:p>
          <w:p w14:paraId="4E85BDE1" w14:textId="77777777" w:rsidR="005342D5" w:rsidRPr="0019790A" w:rsidRDefault="005342D5" w:rsidP="0068624E">
            <w:pPr>
              <w:jc w:val="both"/>
              <w:rPr>
                <w:rFonts w:cs="Arial"/>
                <w:szCs w:val="22"/>
              </w:rPr>
            </w:pPr>
            <w:r w:rsidRPr="0019790A">
              <w:rPr>
                <w:rFonts w:cs="Arial"/>
                <w:szCs w:val="22"/>
              </w:rPr>
              <w:t>6.  Залучення волонтерів/громадських організацій до підтримки та популяризації.</w:t>
            </w:r>
          </w:p>
        </w:tc>
      </w:tr>
      <w:tr w:rsidR="005342D5" w:rsidRPr="0019790A" w14:paraId="3D5E1C3B" w14:textId="77777777" w:rsidTr="0068624E">
        <w:trPr>
          <w:jc w:val="right"/>
        </w:trPr>
        <w:tc>
          <w:tcPr>
            <w:tcW w:w="3425" w:type="dxa"/>
            <w:shd w:val="clear" w:color="auto" w:fill="FFFFFF"/>
            <w:vAlign w:val="center"/>
          </w:tcPr>
          <w:p w14:paraId="4A68F996" w14:textId="77777777" w:rsidR="005342D5" w:rsidRPr="0019790A" w:rsidRDefault="005342D5" w:rsidP="0019790A">
            <w:pPr>
              <w:rPr>
                <w:rFonts w:cs="Arial"/>
                <w:b/>
                <w:bCs/>
                <w:szCs w:val="22"/>
              </w:rPr>
            </w:pPr>
            <w:r w:rsidRPr="0019790A">
              <w:rPr>
                <w:rFonts w:cs="Arial"/>
                <w:b/>
                <w:bCs/>
                <w:szCs w:val="22"/>
              </w:rPr>
              <w:t>Індикатори (показники) результативності:</w:t>
            </w:r>
          </w:p>
        </w:tc>
        <w:tc>
          <w:tcPr>
            <w:tcW w:w="6794" w:type="dxa"/>
            <w:gridSpan w:val="8"/>
            <w:vAlign w:val="center"/>
          </w:tcPr>
          <w:p w14:paraId="383BC00A" w14:textId="77777777" w:rsidR="005342D5" w:rsidRPr="0019790A" w:rsidRDefault="005342D5" w:rsidP="0068624E">
            <w:pPr>
              <w:jc w:val="both"/>
              <w:rPr>
                <w:rFonts w:cs="Arial"/>
                <w:szCs w:val="22"/>
              </w:rPr>
            </w:pPr>
            <w:r w:rsidRPr="0019790A">
              <w:rPr>
                <w:rFonts w:cs="Arial"/>
                <w:szCs w:val="22"/>
              </w:rPr>
              <w:t xml:space="preserve">1.  Встановлено не менше </w:t>
            </w:r>
            <w:r w:rsidRPr="0019790A">
              <w:rPr>
                <w:rFonts w:cs="Arial"/>
                <w:bCs/>
                <w:szCs w:val="22"/>
              </w:rPr>
              <w:t>2-3 антивандальних тенісних столів</w:t>
            </w:r>
            <w:r w:rsidRPr="0019790A">
              <w:rPr>
                <w:rFonts w:cs="Arial"/>
                <w:szCs w:val="22"/>
              </w:rPr>
              <w:t>.</w:t>
            </w:r>
          </w:p>
          <w:p w14:paraId="67432396" w14:textId="77777777" w:rsidR="005342D5" w:rsidRPr="0019790A" w:rsidRDefault="005342D5" w:rsidP="0068624E">
            <w:pPr>
              <w:jc w:val="both"/>
              <w:rPr>
                <w:rFonts w:cs="Arial"/>
                <w:szCs w:val="22"/>
              </w:rPr>
            </w:pPr>
            <w:r w:rsidRPr="0019790A">
              <w:rPr>
                <w:rFonts w:cs="Arial"/>
                <w:szCs w:val="22"/>
              </w:rPr>
              <w:t xml:space="preserve">2.  </w:t>
            </w:r>
            <w:r w:rsidRPr="0019790A">
              <w:rPr>
                <w:rFonts w:cs="Arial"/>
                <w:bCs/>
                <w:szCs w:val="22"/>
              </w:rPr>
              <w:t>500+ мешканців</w:t>
            </w:r>
            <w:r w:rsidRPr="0019790A">
              <w:rPr>
                <w:rFonts w:cs="Arial"/>
                <w:szCs w:val="22"/>
              </w:rPr>
              <w:t xml:space="preserve"> щомісяця користуються інфраструктурою.</w:t>
            </w:r>
          </w:p>
          <w:p w14:paraId="15B9172C" w14:textId="77777777" w:rsidR="005342D5" w:rsidRPr="0019790A" w:rsidRDefault="005342D5" w:rsidP="0068624E">
            <w:pPr>
              <w:jc w:val="both"/>
              <w:rPr>
                <w:rFonts w:cs="Arial"/>
                <w:szCs w:val="22"/>
              </w:rPr>
            </w:pPr>
            <w:r w:rsidRPr="0019790A">
              <w:rPr>
                <w:rFonts w:cs="Arial"/>
                <w:szCs w:val="22"/>
              </w:rPr>
              <w:t xml:space="preserve">3.  Проведено щонайменше </w:t>
            </w:r>
            <w:r w:rsidRPr="0019790A">
              <w:rPr>
                <w:rFonts w:cs="Arial"/>
                <w:bCs/>
                <w:szCs w:val="22"/>
              </w:rPr>
              <w:t>6 спортивних заходів</w:t>
            </w:r>
            <w:r w:rsidRPr="0019790A">
              <w:rPr>
                <w:rFonts w:cs="Arial"/>
                <w:szCs w:val="22"/>
              </w:rPr>
              <w:t xml:space="preserve"> (турніри, тренування) на рік.</w:t>
            </w:r>
          </w:p>
          <w:p w14:paraId="78BAB91D" w14:textId="77777777" w:rsidR="005342D5" w:rsidRPr="0019790A" w:rsidRDefault="005342D5" w:rsidP="0068624E">
            <w:pPr>
              <w:jc w:val="both"/>
              <w:rPr>
                <w:rFonts w:cs="Arial"/>
                <w:szCs w:val="22"/>
              </w:rPr>
            </w:pPr>
            <w:r w:rsidRPr="0019790A">
              <w:rPr>
                <w:rFonts w:cs="Arial"/>
                <w:szCs w:val="22"/>
              </w:rPr>
              <w:t xml:space="preserve">4.  </w:t>
            </w:r>
            <w:r w:rsidRPr="0019790A">
              <w:rPr>
                <w:rFonts w:cs="Arial"/>
                <w:bCs/>
                <w:szCs w:val="22"/>
              </w:rPr>
              <w:t>30% учнів шкіл/молоді громади</w:t>
            </w:r>
            <w:r w:rsidRPr="0019790A">
              <w:rPr>
                <w:rFonts w:cs="Arial"/>
                <w:szCs w:val="22"/>
              </w:rPr>
              <w:t xml:space="preserve"> залучено до гри в теніс.</w:t>
            </w:r>
          </w:p>
          <w:p w14:paraId="2E5C8E57" w14:textId="77777777" w:rsidR="005342D5" w:rsidRPr="0019790A" w:rsidRDefault="005342D5" w:rsidP="0068624E">
            <w:pPr>
              <w:jc w:val="both"/>
              <w:rPr>
                <w:rFonts w:cs="Arial"/>
                <w:szCs w:val="22"/>
              </w:rPr>
            </w:pPr>
            <w:r w:rsidRPr="0019790A">
              <w:rPr>
                <w:rFonts w:cs="Arial"/>
                <w:szCs w:val="22"/>
              </w:rPr>
              <w:t xml:space="preserve">5.  Забезпечено </w:t>
            </w:r>
            <w:r w:rsidRPr="0019790A">
              <w:rPr>
                <w:rFonts w:cs="Arial"/>
                <w:bCs/>
                <w:szCs w:val="22"/>
              </w:rPr>
              <w:t>безбар’єрний доступ</w:t>
            </w:r>
            <w:r w:rsidRPr="0019790A">
              <w:rPr>
                <w:rFonts w:cs="Arial"/>
                <w:szCs w:val="22"/>
              </w:rPr>
              <w:t xml:space="preserve"> до зони гри для людей з інвалідністю.</w:t>
            </w:r>
          </w:p>
          <w:p w14:paraId="2FCD5C60" w14:textId="77777777" w:rsidR="005342D5" w:rsidRPr="0019790A" w:rsidRDefault="005342D5" w:rsidP="0068624E">
            <w:pPr>
              <w:jc w:val="both"/>
              <w:rPr>
                <w:rFonts w:cs="Arial"/>
                <w:szCs w:val="22"/>
              </w:rPr>
            </w:pPr>
            <w:r w:rsidRPr="0019790A">
              <w:rPr>
                <w:rFonts w:cs="Arial"/>
                <w:szCs w:val="22"/>
              </w:rPr>
              <w:t xml:space="preserve">6.  Протягом першого року — </w:t>
            </w:r>
            <w:r w:rsidRPr="0019790A">
              <w:rPr>
                <w:rFonts w:cs="Arial"/>
                <w:bCs/>
                <w:szCs w:val="22"/>
              </w:rPr>
              <w:t>відсутність випадків вандалізму</w:t>
            </w:r>
            <w:r w:rsidRPr="0019790A">
              <w:rPr>
                <w:rFonts w:cs="Arial"/>
                <w:szCs w:val="22"/>
              </w:rPr>
              <w:t>.</w:t>
            </w:r>
          </w:p>
          <w:p w14:paraId="745D8E43" w14:textId="77777777" w:rsidR="005342D5" w:rsidRPr="0019790A" w:rsidRDefault="005342D5" w:rsidP="0068624E">
            <w:pPr>
              <w:jc w:val="both"/>
              <w:rPr>
                <w:rFonts w:cs="Arial"/>
                <w:szCs w:val="22"/>
              </w:rPr>
            </w:pPr>
            <w:r w:rsidRPr="0019790A">
              <w:rPr>
                <w:rFonts w:cs="Arial"/>
                <w:szCs w:val="22"/>
              </w:rPr>
              <w:t xml:space="preserve">7.  Отримано </w:t>
            </w:r>
            <w:r w:rsidRPr="0019790A">
              <w:rPr>
                <w:rFonts w:cs="Arial"/>
                <w:bCs/>
                <w:szCs w:val="22"/>
              </w:rPr>
              <w:t>позитивні відгуки від мешканців</w:t>
            </w:r>
            <w:r w:rsidRPr="0019790A">
              <w:rPr>
                <w:rFonts w:cs="Arial"/>
                <w:szCs w:val="22"/>
              </w:rPr>
              <w:t xml:space="preserve"> (не менше 80% у межах опитування).</w:t>
            </w:r>
          </w:p>
          <w:p w14:paraId="442793CE" w14:textId="77777777" w:rsidR="005342D5" w:rsidRPr="0019790A" w:rsidRDefault="005342D5" w:rsidP="0068624E">
            <w:pPr>
              <w:jc w:val="both"/>
              <w:rPr>
                <w:rFonts w:cs="Arial"/>
                <w:szCs w:val="22"/>
              </w:rPr>
            </w:pPr>
            <w:r w:rsidRPr="0019790A">
              <w:rPr>
                <w:rFonts w:cs="Arial"/>
                <w:szCs w:val="22"/>
              </w:rPr>
              <w:t xml:space="preserve">8.  </w:t>
            </w:r>
            <w:r w:rsidRPr="0019790A">
              <w:rPr>
                <w:rFonts w:cs="Arial"/>
                <w:bCs/>
                <w:szCs w:val="22"/>
              </w:rPr>
              <w:t>Інформаційне охоплення</w:t>
            </w:r>
            <w:r w:rsidRPr="0019790A">
              <w:rPr>
                <w:rFonts w:cs="Arial"/>
                <w:szCs w:val="22"/>
              </w:rPr>
              <w:t xml:space="preserve"> — не менше </w:t>
            </w:r>
            <w:r w:rsidRPr="0019790A">
              <w:rPr>
                <w:rFonts w:cs="Arial"/>
                <w:bCs/>
                <w:szCs w:val="22"/>
              </w:rPr>
              <w:t>10 000 осіб</w:t>
            </w:r>
            <w:r w:rsidRPr="0019790A">
              <w:rPr>
                <w:rFonts w:cs="Arial"/>
                <w:szCs w:val="22"/>
              </w:rPr>
              <w:t xml:space="preserve"> через соцмережі, ЗМІ, школи.</w:t>
            </w:r>
          </w:p>
        </w:tc>
      </w:tr>
      <w:tr w:rsidR="005342D5" w:rsidRPr="0019790A" w14:paraId="31A398A7" w14:textId="77777777" w:rsidTr="0068624E">
        <w:trPr>
          <w:trHeight w:val="372"/>
          <w:jc w:val="right"/>
        </w:trPr>
        <w:tc>
          <w:tcPr>
            <w:tcW w:w="3425" w:type="dxa"/>
            <w:shd w:val="clear" w:color="auto" w:fill="FFFFFF"/>
            <w:vAlign w:val="center"/>
          </w:tcPr>
          <w:p w14:paraId="5E6DC778" w14:textId="77777777" w:rsidR="005342D5" w:rsidRPr="0019790A" w:rsidRDefault="005342D5" w:rsidP="0019790A">
            <w:pPr>
              <w:rPr>
                <w:rFonts w:cs="Arial"/>
                <w:b/>
                <w:szCs w:val="22"/>
              </w:rPr>
            </w:pPr>
            <w:r w:rsidRPr="0019790A">
              <w:rPr>
                <w:rFonts w:cs="Arial"/>
                <w:b/>
                <w:szCs w:val="22"/>
              </w:rPr>
              <w:t xml:space="preserve">Період здійснення: </w:t>
            </w:r>
          </w:p>
        </w:tc>
        <w:tc>
          <w:tcPr>
            <w:tcW w:w="6794" w:type="dxa"/>
            <w:gridSpan w:val="8"/>
            <w:vAlign w:val="center"/>
          </w:tcPr>
          <w:p w14:paraId="348A1DBD" w14:textId="77777777" w:rsidR="005342D5" w:rsidRPr="0019790A" w:rsidRDefault="005342D5" w:rsidP="0019790A">
            <w:pPr>
              <w:rPr>
                <w:rFonts w:cs="Arial"/>
                <w:szCs w:val="22"/>
              </w:rPr>
            </w:pPr>
            <w:r w:rsidRPr="0019790A">
              <w:rPr>
                <w:rFonts w:cs="Arial"/>
                <w:b/>
                <w:szCs w:val="22"/>
              </w:rPr>
              <w:t>2025 – 2028 роки:</w:t>
            </w:r>
          </w:p>
        </w:tc>
      </w:tr>
      <w:tr w:rsidR="005342D5" w:rsidRPr="0019790A" w14:paraId="4ED06162" w14:textId="77777777" w:rsidTr="0068624E">
        <w:trPr>
          <w:jc w:val="right"/>
        </w:trPr>
        <w:tc>
          <w:tcPr>
            <w:tcW w:w="3425" w:type="dxa"/>
            <w:vMerge w:val="restart"/>
            <w:shd w:val="clear" w:color="auto" w:fill="FFFFFF"/>
            <w:vAlign w:val="center"/>
          </w:tcPr>
          <w:p w14:paraId="6C2412F6" w14:textId="77777777" w:rsidR="005342D5" w:rsidRPr="0019790A" w:rsidRDefault="005342D5" w:rsidP="0019790A">
            <w:pPr>
              <w:rPr>
                <w:rFonts w:cs="Arial"/>
                <w:b/>
                <w:bCs/>
                <w:szCs w:val="22"/>
              </w:rPr>
            </w:pPr>
            <w:r w:rsidRPr="0019790A">
              <w:rPr>
                <w:rFonts w:cs="Arial"/>
                <w:b/>
                <w:bCs/>
                <w:szCs w:val="22"/>
              </w:rPr>
              <w:t>Орієнтовна вартість проєкту, тис. грн., в тому числі:</w:t>
            </w:r>
          </w:p>
        </w:tc>
        <w:tc>
          <w:tcPr>
            <w:tcW w:w="1254" w:type="dxa"/>
            <w:shd w:val="clear" w:color="auto" w:fill="E6E6E6"/>
            <w:vAlign w:val="center"/>
          </w:tcPr>
          <w:p w14:paraId="3EF84E78" w14:textId="77777777" w:rsidR="005342D5" w:rsidRPr="0019790A" w:rsidRDefault="005342D5" w:rsidP="0068624E">
            <w:pPr>
              <w:jc w:val="center"/>
              <w:rPr>
                <w:rFonts w:cs="Arial"/>
                <w:b/>
                <w:szCs w:val="22"/>
              </w:rPr>
            </w:pPr>
            <w:r w:rsidRPr="0019790A">
              <w:rPr>
                <w:rFonts w:cs="Arial"/>
                <w:b/>
                <w:szCs w:val="22"/>
              </w:rPr>
              <w:t>2025</w:t>
            </w:r>
          </w:p>
        </w:tc>
        <w:tc>
          <w:tcPr>
            <w:tcW w:w="1275" w:type="dxa"/>
            <w:shd w:val="clear" w:color="auto" w:fill="E6E6E6"/>
            <w:vAlign w:val="center"/>
          </w:tcPr>
          <w:p w14:paraId="56E72909" w14:textId="77777777" w:rsidR="005342D5" w:rsidRPr="0019790A" w:rsidRDefault="005342D5" w:rsidP="0068624E">
            <w:pPr>
              <w:jc w:val="center"/>
              <w:rPr>
                <w:rFonts w:cs="Arial"/>
                <w:b/>
                <w:szCs w:val="22"/>
              </w:rPr>
            </w:pPr>
            <w:r w:rsidRPr="0019790A">
              <w:rPr>
                <w:rFonts w:cs="Arial"/>
                <w:b/>
                <w:szCs w:val="22"/>
              </w:rPr>
              <w:t>2026</w:t>
            </w:r>
          </w:p>
        </w:tc>
        <w:tc>
          <w:tcPr>
            <w:tcW w:w="1418" w:type="dxa"/>
            <w:gridSpan w:val="2"/>
            <w:tcBorders>
              <w:bottom w:val="single" w:sz="4" w:space="0" w:color="auto"/>
            </w:tcBorders>
            <w:shd w:val="clear" w:color="auto" w:fill="E6E6E6"/>
            <w:vAlign w:val="center"/>
          </w:tcPr>
          <w:p w14:paraId="7D1E1722" w14:textId="77777777" w:rsidR="005342D5" w:rsidRPr="0019790A" w:rsidRDefault="005342D5" w:rsidP="0068624E">
            <w:pPr>
              <w:jc w:val="center"/>
              <w:rPr>
                <w:rFonts w:cs="Arial"/>
                <w:b/>
                <w:szCs w:val="22"/>
              </w:rPr>
            </w:pPr>
            <w:r w:rsidRPr="0019790A">
              <w:rPr>
                <w:rFonts w:cs="Arial"/>
                <w:b/>
                <w:szCs w:val="22"/>
              </w:rPr>
              <w:t>2027</w:t>
            </w:r>
          </w:p>
        </w:tc>
        <w:tc>
          <w:tcPr>
            <w:tcW w:w="1276" w:type="dxa"/>
            <w:gridSpan w:val="2"/>
            <w:shd w:val="clear" w:color="auto" w:fill="E6E6E6"/>
            <w:vAlign w:val="center"/>
          </w:tcPr>
          <w:p w14:paraId="066A5D87" w14:textId="77777777" w:rsidR="005342D5" w:rsidRPr="0019790A" w:rsidRDefault="005342D5" w:rsidP="0068624E">
            <w:pPr>
              <w:jc w:val="center"/>
              <w:rPr>
                <w:rFonts w:cs="Arial"/>
                <w:b/>
                <w:szCs w:val="22"/>
              </w:rPr>
            </w:pPr>
            <w:r w:rsidRPr="0019790A">
              <w:rPr>
                <w:rFonts w:cs="Arial"/>
                <w:b/>
                <w:szCs w:val="22"/>
              </w:rPr>
              <w:t>2028</w:t>
            </w:r>
          </w:p>
        </w:tc>
        <w:tc>
          <w:tcPr>
            <w:tcW w:w="1571" w:type="dxa"/>
            <w:gridSpan w:val="2"/>
            <w:shd w:val="clear" w:color="auto" w:fill="E6E6E6"/>
            <w:vAlign w:val="center"/>
          </w:tcPr>
          <w:p w14:paraId="3992C65B" w14:textId="77777777" w:rsidR="005342D5" w:rsidRPr="0019790A" w:rsidRDefault="005342D5" w:rsidP="0068624E">
            <w:pPr>
              <w:jc w:val="center"/>
              <w:rPr>
                <w:rFonts w:cs="Arial"/>
                <w:b/>
                <w:szCs w:val="22"/>
              </w:rPr>
            </w:pPr>
            <w:r w:rsidRPr="0019790A">
              <w:rPr>
                <w:rFonts w:cs="Arial"/>
                <w:b/>
                <w:szCs w:val="22"/>
              </w:rPr>
              <w:t>РАЗОМ</w:t>
            </w:r>
          </w:p>
        </w:tc>
      </w:tr>
      <w:tr w:rsidR="005342D5" w:rsidRPr="0019790A" w14:paraId="2E3F230A" w14:textId="77777777" w:rsidTr="0068624E">
        <w:trPr>
          <w:jc w:val="right"/>
        </w:trPr>
        <w:tc>
          <w:tcPr>
            <w:tcW w:w="3425" w:type="dxa"/>
            <w:vMerge/>
            <w:shd w:val="clear" w:color="auto" w:fill="FFFFFF"/>
            <w:vAlign w:val="center"/>
          </w:tcPr>
          <w:p w14:paraId="2B34BBA7" w14:textId="77777777" w:rsidR="005342D5" w:rsidRPr="0019790A" w:rsidRDefault="005342D5" w:rsidP="0019790A">
            <w:pPr>
              <w:rPr>
                <w:rFonts w:cs="Arial"/>
                <w:b/>
                <w:bCs/>
                <w:szCs w:val="22"/>
              </w:rPr>
            </w:pPr>
          </w:p>
        </w:tc>
        <w:tc>
          <w:tcPr>
            <w:tcW w:w="1254" w:type="dxa"/>
            <w:vAlign w:val="center"/>
          </w:tcPr>
          <w:p w14:paraId="210FC159" w14:textId="77777777" w:rsidR="005342D5" w:rsidRPr="0019790A" w:rsidRDefault="005342D5" w:rsidP="0068624E">
            <w:pPr>
              <w:jc w:val="center"/>
              <w:rPr>
                <w:rFonts w:cs="Arial"/>
                <w:b/>
                <w:szCs w:val="22"/>
              </w:rPr>
            </w:pPr>
          </w:p>
        </w:tc>
        <w:tc>
          <w:tcPr>
            <w:tcW w:w="1275" w:type="dxa"/>
            <w:shd w:val="clear" w:color="auto" w:fill="FFFFFF"/>
            <w:vAlign w:val="center"/>
          </w:tcPr>
          <w:p w14:paraId="74793857" w14:textId="77777777" w:rsidR="005342D5" w:rsidRPr="0019790A" w:rsidRDefault="005342D5" w:rsidP="0068624E">
            <w:pPr>
              <w:jc w:val="center"/>
              <w:rPr>
                <w:rFonts w:cs="Arial"/>
                <w:b/>
                <w:szCs w:val="22"/>
              </w:rPr>
            </w:pPr>
            <w:r w:rsidRPr="0019790A">
              <w:rPr>
                <w:rFonts w:cs="Arial"/>
                <w:b/>
                <w:szCs w:val="22"/>
              </w:rPr>
              <w:t>120,000</w:t>
            </w:r>
          </w:p>
        </w:tc>
        <w:tc>
          <w:tcPr>
            <w:tcW w:w="1418" w:type="dxa"/>
            <w:gridSpan w:val="2"/>
            <w:shd w:val="clear" w:color="auto" w:fill="auto"/>
            <w:vAlign w:val="center"/>
          </w:tcPr>
          <w:p w14:paraId="6973469B" w14:textId="47F32B09" w:rsidR="005342D5" w:rsidRPr="0019790A" w:rsidRDefault="005342D5" w:rsidP="0068624E">
            <w:pPr>
              <w:jc w:val="center"/>
              <w:rPr>
                <w:rFonts w:cs="Arial"/>
                <w:b/>
                <w:szCs w:val="22"/>
              </w:rPr>
            </w:pPr>
            <w:r w:rsidRPr="0019790A">
              <w:rPr>
                <w:rFonts w:cs="Arial"/>
                <w:b/>
                <w:szCs w:val="22"/>
              </w:rPr>
              <w:t>120,000</w:t>
            </w:r>
          </w:p>
        </w:tc>
        <w:tc>
          <w:tcPr>
            <w:tcW w:w="1276" w:type="dxa"/>
            <w:gridSpan w:val="2"/>
            <w:shd w:val="clear" w:color="auto" w:fill="FFFFFF"/>
            <w:vAlign w:val="center"/>
          </w:tcPr>
          <w:p w14:paraId="0668A2D2" w14:textId="77777777" w:rsidR="005342D5" w:rsidRPr="0019790A" w:rsidRDefault="005342D5" w:rsidP="0068624E">
            <w:pPr>
              <w:jc w:val="center"/>
              <w:rPr>
                <w:rFonts w:cs="Arial"/>
                <w:b/>
                <w:szCs w:val="22"/>
              </w:rPr>
            </w:pPr>
            <w:r w:rsidRPr="0019790A">
              <w:rPr>
                <w:rFonts w:cs="Arial"/>
                <w:b/>
                <w:szCs w:val="22"/>
              </w:rPr>
              <w:t>120,000</w:t>
            </w:r>
          </w:p>
        </w:tc>
        <w:tc>
          <w:tcPr>
            <w:tcW w:w="1571" w:type="dxa"/>
            <w:gridSpan w:val="2"/>
            <w:shd w:val="clear" w:color="auto" w:fill="FFFFFF"/>
            <w:vAlign w:val="center"/>
          </w:tcPr>
          <w:p w14:paraId="773B0516" w14:textId="77777777" w:rsidR="005342D5" w:rsidRPr="0019790A" w:rsidRDefault="005342D5" w:rsidP="0068624E">
            <w:pPr>
              <w:jc w:val="center"/>
              <w:rPr>
                <w:rFonts w:cs="Arial"/>
                <w:b/>
                <w:szCs w:val="22"/>
              </w:rPr>
            </w:pPr>
            <w:r w:rsidRPr="0019790A">
              <w:rPr>
                <w:rFonts w:cs="Arial"/>
                <w:b/>
                <w:szCs w:val="22"/>
              </w:rPr>
              <w:t>360,000</w:t>
            </w:r>
          </w:p>
        </w:tc>
      </w:tr>
      <w:tr w:rsidR="005342D5" w:rsidRPr="0019790A" w14:paraId="63F4B748" w14:textId="77777777" w:rsidTr="0068624E">
        <w:trPr>
          <w:trHeight w:val="276"/>
          <w:jc w:val="right"/>
        </w:trPr>
        <w:tc>
          <w:tcPr>
            <w:tcW w:w="3425" w:type="dxa"/>
            <w:shd w:val="clear" w:color="auto" w:fill="FFFFFF"/>
            <w:vAlign w:val="center"/>
          </w:tcPr>
          <w:p w14:paraId="47300ED3" w14:textId="77777777" w:rsidR="005342D5" w:rsidRPr="0019790A" w:rsidRDefault="005342D5" w:rsidP="0019790A">
            <w:pPr>
              <w:rPr>
                <w:rFonts w:cs="Arial"/>
                <w:b/>
                <w:bCs/>
                <w:szCs w:val="22"/>
              </w:rPr>
            </w:pPr>
            <w:r w:rsidRPr="0019790A">
              <w:rPr>
                <w:rFonts w:cs="Arial"/>
                <w:b/>
                <w:bCs/>
                <w:szCs w:val="22"/>
              </w:rPr>
              <w:t>по джерелах фінансування:</w:t>
            </w:r>
          </w:p>
        </w:tc>
        <w:tc>
          <w:tcPr>
            <w:tcW w:w="6794" w:type="dxa"/>
            <w:gridSpan w:val="8"/>
            <w:vAlign w:val="center"/>
          </w:tcPr>
          <w:p w14:paraId="19B5867A" w14:textId="77777777" w:rsidR="005342D5" w:rsidRPr="0019790A" w:rsidRDefault="005342D5" w:rsidP="0068624E">
            <w:pPr>
              <w:jc w:val="center"/>
              <w:rPr>
                <w:rFonts w:cs="Arial"/>
                <w:szCs w:val="22"/>
              </w:rPr>
            </w:pPr>
          </w:p>
        </w:tc>
      </w:tr>
      <w:tr w:rsidR="0068624E" w:rsidRPr="0019790A" w14:paraId="43685115" w14:textId="23FB696C" w:rsidTr="0068624E">
        <w:trPr>
          <w:trHeight w:val="240"/>
          <w:jc w:val="right"/>
        </w:trPr>
        <w:tc>
          <w:tcPr>
            <w:tcW w:w="3425" w:type="dxa"/>
            <w:shd w:val="clear" w:color="auto" w:fill="FFFFFF"/>
            <w:vAlign w:val="center"/>
          </w:tcPr>
          <w:p w14:paraId="3E283181" w14:textId="77777777" w:rsidR="0068624E" w:rsidRPr="0019790A" w:rsidRDefault="0068624E" w:rsidP="0019790A">
            <w:pPr>
              <w:rPr>
                <w:rFonts w:cs="Arial"/>
                <w:b/>
                <w:bCs/>
                <w:szCs w:val="22"/>
              </w:rPr>
            </w:pPr>
            <w:r w:rsidRPr="0019790A">
              <w:rPr>
                <w:rFonts w:cs="Arial"/>
                <w:szCs w:val="22"/>
              </w:rPr>
              <w:t>- державний бюджет</w:t>
            </w:r>
          </w:p>
        </w:tc>
        <w:tc>
          <w:tcPr>
            <w:tcW w:w="1258" w:type="dxa"/>
            <w:vAlign w:val="center"/>
          </w:tcPr>
          <w:p w14:paraId="26FFEE5E" w14:textId="77777777" w:rsidR="0068624E" w:rsidRPr="0019790A" w:rsidRDefault="0068624E" w:rsidP="0068624E">
            <w:pPr>
              <w:jc w:val="center"/>
              <w:rPr>
                <w:rFonts w:cs="Arial"/>
                <w:szCs w:val="22"/>
              </w:rPr>
            </w:pPr>
          </w:p>
        </w:tc>
        <w:tc>
          <w:tcPr>
            <w:tcW w:w="1286" w:type="dxa"/>
            <w:gridSpan w:val="2"/>
            <w:vAlign w:val="center"/>
          </w:tcPr>
          <w:p w14:paraId="10F1356A" w14:textId="77777777" w:rsidR="0068624E" w:rsidRPr="0019790A" w:rsidRDefault="0068624E" w:rsidP="0068624E">
            <w:pPr>
              <w:jc w:val="center"/>
              <w:rPr>
                <w:rFonts w:cs="Arial"/>
                <w:szCs w:val="22"/>
              </w:rPr>
            </w:pPr>
          </w:p>
        </w:tc>
        <w:tc>
          <w:tcPr>
            <w:tcW w:w="1440" w:type="dxa"/>
            <w:gridSpan w:val="2"/>
            <w:vAlign w:val="center"/>
          </w:tcPr>
          <w:p w14:paraId="0F98EA45" w14:textId="77777777" w:rsidR="0068624E" w:rsidRPr="0019790A" w:rsidRDefault="0068624E" w:rsidP="0068624E">
            <w:pPr>
              <w:jc w:val="center"/>
              <w:rPr>
                <w:rFonts w:cs="Arial"/>
                <w:szCs w:val="22"/>
              </w:rPr>
            </w:pPr>
          </w:p>
        </w:tc>
        <w:tc>
          <w:tcPr>
            <w:tcW w:w="1258" w:type="dxa"/>
            <w:gridSpan w:val="2"/>
            <w:vAlign w:val="center"/>
          </w:tcPr>
          <w:p w14:paraId="2A9CBB47" w14:textId="77777777" w:rsidR="0068624E" w:rsidRPr="0019790A" w:rsidRDefault="0068624E" w:rsidP="0068624E">
            <w:pPr>
              <w:jc w:val="center"/>
              <w:rPr>
                <w:rFonts w:cs="Arial"/>
                <w:szCs w:val="22"/>
              </w:rPr>
            </w:pPr>
          </w:p>
        </w:tc>
        <w:tc>
          <w:tcPr>
            <w:tcW w:w="1552" w:type="dxa"/>
            <w:vAlign w:val="center"/>
          </w:tcPr>
          <w:p w14:paraId="7F082BD2" w14:textId="77777777" w:rsidR="0068624E" w:rsidRPr="0019790A" w:rsidRDefault="0068624E" w:rsidP="0068624E">
            <w:pPr>
              <w:jc w:val="center"/>
              <w:rPr>
                <w:rFonts w:cs="Arial"/>
                <w:szCs w:val="22"/>
              </w:rPr>
            </w:pPr>
          </w:p>
        </w:tc>
      </w:tr>
      <w:tr w:rsidR="0068624E" w:rsidRPr="0019790A" w14:paraId="0A4078F9" w14:textId="271B915B" w:rsidTr="0068624E">
        <w:trPr>
          <w:trHeight w:val="254"/>
          <w:jc w:val="right"/>
        </w:trPr>
        <w:tc>
          <w:tcPr>
            <w:tcW w:w="3425" w:type="dxa"/>
            <w:shd w:val="clear" w:color="auto" w:fill="FFFFFF"/>
            <w:vAlign w:val="center"/>
          </w:tcPr>
          <w:p w14:paraId="13FB70AB" w14:textId="77777777" w:rsidR="0068624E" w:rsidRPr="0019790A" w:rsidRDefault="0068624E" w:rsidP="0019790A">
            <w:pPr>
              <w:rPr>
                <w:rFonts w:cs="Arial"/>
                <w:szCs w:val="22"/>
              </w:rPr>
            </w:pPr>
            <w:r w:rsidRPr="0019790A">
              <w:rPr>
                <w:rFonts w:cs="Arial"/>
                <w:szCs w:val="22"/>
              </w:rPr>
              <w:t>- обласний бюджет</w:t>
            </w:r>
          </w:p>
        </w:tc>
        <w:tc>
          <w:tcPr>
            <w:tcW w:w="1258" w:type="dxa"/>
            <w:vAlign w:val="center"/>
          </w:tcPr>
          <w:p w14:paraId="301E0206" w14:textId="77777777" w:rsidR="0068624E" w:rsidRPr="0019790A" w:rsidRDefault="0068624E" w:rsidP="0068624E">
            <w:pPr>
              <w:jc w:val="center"/>
              <w:rPr>
                <w:rFonts w:cs="Arial"/>
                <w:szCs w:val="22"/>
              </w:rPr>
            </w:pPr>
          </w:p>
        </w:tc>
        <w:tc>
          <w:tcPr>
            <w:tcW w:w="1286" w:type="dxa"/>
            <w:gridSpan w:val="2"/>
            <w:vAlign w:val="center"/>
          </w:tcPr>
          <w:p w14:paraId="053804A6" w14:textId="77777777" w:rsidR="0068624E" w:rsidRPr="0019790A" w:rsidRDefault="0068624E" w:rsidP="0068624E">
            <w:pPr>
              <w:jc w:val="center"/>
              <w:rPr>
                <w:rFonts w:cs="Arial"/>
                <w:szCs w:val="22"/>
              </w:rPr>
            </w:pPr>
          </w:p>
        </w:tc>
        <w:tc>
          <w:tcPr>
            <w:tcW w:w="1440" w:type="dxa"/>
            <w:gridSpan w:val="2"/>
            <w:vAlign w:val="center"/>
          </w:tcPr>
          <w:p w14:paraId="7F8C63AF" w14:textId="77777777" w:rsidR="0068624E" w:rsidRPr="0019790A" w:rsidRDefault="0068624E" w:rsidP="0068624E">
            <w:pPr>
              <w:jc w:val="center"/>
              <w:rPr>
                <w:rFonts w:cs="Arial"/>
                <w:szCs w:val="22"/>
              </w:rPr>
            </w:pPr>
          </w:p>
        </w:tc>
        <w:tc>
          <w:tcPr>
            <w:tcW w:w="1258" w:type="dxa"/>
            <w:gridSpan w:val="2"/>
            <w:vAlign w:val="center"/>
          </w:tcPr>
          <w:p w14:paraId="31A456E0" w14:textId="77777777" w:rsidR="0068624E" w:rsidRPr="0019790A" w:rsidRDefault="0068624E" w:rsidP="0068624E">
            <w:pPr>
              <w:jc w:val="center"/>
              <w:rPr>
                <w:rFonts w:cs="Arial"/>
                <w:szCs w:val="22"/>
              </w:rPr>
            </w:pPr>
          </w:p>
        </w:tc>
        <w:tc>
          <w:tcPr>
            <w:tcW w:w="1552" w:type="dxa"/>
            <w:vAlign w:val="center"/>
          </w:tcPr>
          <w:p w14:paraId="67A40F25" w14:textId="77777777" w:rsidR="0068624E" w:rsidRPr="0019790A" w:rsidRDefault="0068624E" w:rsidP="0068624E">
            <w:pPr>
              <w:jc w:val="center"/>
              <w:rPr>
                <w:rFonts w:cs="Arial"/>
                <w:szCs w:val="22"/>
              </w:rPr>
            </w:pPr>
          </w:p>
        </w:tc>
      </w:tr>
      <w:tr w:rsidR="0068624E" w:rsidRPr="0019790A" w14:paraId="08B622DD" w14:textId="54269818" w:rsidTr="0068624E">
        <w:trPr>
          <w:trHeight w:val="275"/>
          <w:jc w:val="right"/>
        </w:trPr>
        <w:tc>
          <w:tcPr>
            <w:tcW w:w="3425" w:type="dxa"/>
            <w:shd w:val="clear" w:color="auto" w:fill="FFFFFF"/>
            <w:vAlign w:val="center"/>
          </w:tcPr>
          <w:p w14:paraId="666DA54C" w14:textId="77777777" w:rsidR="0068624E" w:rsidRPr="0019790A" w:rsidRDefault="0068624E" w:rsidP="0068624E">
            <w:pPr>
              <w:rPr>
                <w:rFonts w:cs="Arial"/>
                <w:szCs w:val="22"/>
              </w:rPr>
            </w:pPr>
            <w:r w:rsidRPr="0019790A">
              <w:rPr>
                <w:rFonts w:cs="Arial"/>
                <w:szCs w:val="22"/>
              </w:rPr>
              <w:t>- бюджет Жмеринської МТГ</w:t>
            </w:r>
          </w:p>
        </w:tc>
        <w:tc>
          <w:tcPr>
            <w:tcW w:w="1258" w:type="dxa"/>
            <w:vAlign w:val="center"/>
          </w:tcPr>
          <w:p w14:paraId="176B4155" w14:textId="5650CF0D" w:rsidR="0068624E" w:rsidRPr="0019790A" w:rsidRDefault="0068624E" w:rsidP="0068624E">
            <w:pPr>
              <w:jc w:val="center"/>
              <w:rPr>
                <w:rFonts w:cs="Arial"/>
                <w:b/>
                <w:szCs w:val="22"/>
              </w:rPr>
            </w:pPr>
          </w:p>
        </w:tc>
        <w:tc>
          <w:tcPr>
            <w:tcW w:w="1286" w:type="dxa"/>
            <w:gridSpan w:val="2"/>
            <w:vAlign w:val="center"/>
          </w:tcPr>
          <w:p w14:paraId="5A26EE9E" w14:textId="5FE0C11E" w:rsidR="0068624E" w:rsidRPr="0019790A" w:rsidRDefault="0068624E" w:rsidP="0068624E">
            <w:pPr>
              <w:jc w:val="center"/>
              <w:rPr>
                <w:rFonts w:cs="Arial"/>
                <w:b/>
                <w:szCs w:val="22"/>
              </w:rPr>
            </w:pPr>
            <w:r w:rsidRPr="0019790A">
              <w:rPr>
                <w:rFonts w:cs="Arial"/>
                <w:b/>
                <w:szCs w:val="22"/>
              </w:rPr>
              <w:t>120,000</w:t>
            </w:r>
          </w:p>
        </w:tc>
        <w:tc>
          <w:tcPr>
            <w:tcW w:w="1440" w:type="dxa"/>
            <w:gridSpan w:val="2"/>
            <w:vAlign w:val="center"/>
          </w:tcPr>
          <w:p w14:paraId="26B157AD" w14:textId="56C6C179" w:rsidR="0068624E" w:rsidRPr="0019790A" w:rsidRDefault="0068624E" w:rsidP="0068624E">
            <w:pPr>
              <w:jc w:val="center"/>
              <w:rPr>
                <w:rFonts w:cs="Arial"/>
                <w:b/>
                <w:szCs w:val="22"/>
              </w:rPr>
            </w:pPr>
            <w:r w:rsidRPr="0019790A">
              <w:rPr>
                <w:rFonts w:cs="Arial"/>
                <w:b/>
                <w:szCs w:val="22"/>
              </w:rPr>
              <w:t>120,000</w:t>
            </w:r>
          </w:p>
        </w:tc>
        <w:tc>
          <w:tcPr>
            <w:tcW w:w="1258" w:type="dxa"/>
            <w:gridSpan w:val="2"/>
            <w:vAlign w:val="center"/>
          </w:tcPr>
          <w:p w14:paraId="21821A8E" w14:textId="39AE377F" w:rsidR="0068624E" w:rsidRPr="0019790A" w:rsidRDefault="0068624E" w:rsidP="0068624E">
            <w:pPr>
              <w:jc w:val="center"/>
              <w:rPr>
                <w:rFonts w:cs="Arial"/>
                <w:b/>
                <w:szCs w:val="22"/>
              </w:rPr>
            </w:pPr>
            <w:r w:rsidRPr="0019790A">
              <w:rPr>
                <w:rFonts w:cs="Arial"/>
                <w:b/>
                <w:szCs w:val="22"/>
              </w:rPr>
              <w:t>120,000</w:t>
            </w:r>
          </w:p>
        </w:tc>
        <w:tc>
          <w:tcPr>
            <w:tcW w:w="1552" w:type="dxa"/>
            <w:vAlign w:val="center"/>
          </w:tcPr>
          <w:p w14:paraId="67A5A0BD" w14:textId="6B93C991" w:rsidR="0068624E" w:rsidRPr="0019790A" w:rsidRDefault="0068624E" w:rsidP="0068624E">
            <w:pPr>
              <w:jc w:val="center"/>
              <w:rPr>
                <w:rFonts w:cs="Arial"/>
                <w:b/>
                <w:szCs w:val="22"/>
              </w:rPr>
            </w:pPr>
            <w:r w:rsidRPr="0019790A">
              <w:rPr>
                <w:rFonts w:cs="Arial"/>
                <w:b/>
                <w:szCs w:val="22"/>
              </w:rPr>
              <w:t>360,000</w:t>
            </w:r>
          </w:p>
        </w:tc>
      </w:tr>
      <w:tr w:rsidR="0068624E" w:rsidRPr="0019790A" w14:paraId="34B98093" w14:textId="27A88914" w:rsidTr="0068624E">
        <w:trPr>
          <w:trHeight w:val="226"/>
          <w:jc w:val="right"/>
        </w:trPr>
        <w:tc>
          <w:tcPr>
            <w:tcW w:w="3425" w:type="dxa"/>
            <w:shd w:val="clear" w:color="auto" w:fill="FFFFFF"/>
            <w:vAlign w:val="center"/>
          </w:tcPr>
          <w:p w14:paraId="4E64289D" w14:textId="77777777" w:rsidR="0068624E" w:rsidRPr="0019790A" w:rsidRDefault="0068624E" w:rsidP="0068624E">
            <w:pPr>
              <w:rPr>
                <w:rFonts w:cs="Arial"/>
                <w:szCs w:val="22"/>
              </w:rPr>
            </w:pPr>
            <w:r w:rsidRPr="0019790A">
              <w:rPr>
                <w:rFonts w:cs="Arial"/>
                <w:szCs w:val="22"/>
              </w:rPr>
              <w:t>- інші джерела фінансування</w:t>
            </w:r>
          </w:p>
        </w:tc>
        <w:tc>
          <w:tcPr>
            <w:tcW w:w="1258" w:type="dxa"/>
            <w:vAlign w:val="center"/>
          </w:tcPr>
          <w:p w14:paraId="7376EEF1" w14:textId="77777777" w:rsidR="0068624E" w:rsidRPr="0019790A" w:rsidRDefault="0068624E" w:rsidP="0068624E">
            <w:pPr>
              <w:jc w:val="center"/>
              <w:rPr>
                <w:rFonts w:cs="Arial"/>
                <w:szCs w:val="22"/>
              </w:rPr>
            </w:pPr>
          </w:p>
        </w:tc>
        <w:tc>
          <w:tcPr>
            <w:tcW w:w="1286" w:type="dxa"/>
            <w:gridSpan w:val="2"/>
            <w:vAlign w:val="center"/>
          </w:tcPr>
          <w:p w14:paraId="54F96056" w14:textId="77777777" w:rsidR="0068624E" w:rsidRPr="0019790A" w:rsidRDefault="0068624E" w:rsidP="0068624E">
            <w:pPr>
              <w:jc w:val="center"/>
              <w:rPr>
                <w:rFonts w:cs="Arial"/>
                <w:szCs w:val="22"/>
              </w:rPr>
            </w:pPr>
          </w:p>
        </w:tc>
        <w:tc>
          <w:tcPr>
            <w:tcW w:w="1440" w:type="dxa"/>
            <w:gridSpan w:val="2"/>
            <w:vAlign w:val="center"/>
          </w:tcPr>
          <w:p w14:paraId="48ECA1F5" w14:textId="77777777" w:rsidR="0068624E" w:rsidRPr="0019790A" w:rsidRDefault="0068624E" w:rsidP="0068624E">
            <w:pPr>
              <w:jc w:val="center"/>
              <w:rPr>
                <w:rFonts w:cs="Arial"/>
                <w:szCs w:val="22"/>
              </w:rPr>
            </w:pPr>
          </w:p>
        </w:tc>
        <w:tc>
          <w:tcPr>
            <w:tcW w:w="1258" w:type="dxa"/>
            <w:gridSpan w:val="2"/>
            <w:vAlign w:val="center"/>
          </w:tcPr>
          <w:p w14:paraId="3F3A8601" w14:textId="77777777" w:rsidR="0068624E" w:rsidRPr="0019790A" w:rsidRDefault="0068624E" w:rsidP="0068624E">
            <w:pPr>
              <w:jc w:val="center"/>
              <w:rPr>
                <w:rFonts w:cs="Arial"/>
                <w:szCs w:val="22"/>
              </w:rPr>
            </w:pPr>
          </w:p>
        </w:tc>
        <w:tc>
          <w:tcPr>
            <w:tcW w:w="1552" w:type="dxa"/>
            <w:vAlign w:val="center"/>
          </w:tcPr>
          <w:p w14:paraId="079F8E39" w14:textId="77777777" w:rsidR="0068624E" w:rsidRPr="0019790A" w:rsidRDefault="0068624E" w:rsidP="0068624E">
            <w:pPr>
              <w:jc w:val="center"/>
              <w:rPr>
                <w:rFonts w:cs="Arial"/>
                <w:szCs w:val="22"/>
              </w:rPr>
            </w:pPr>
          </w:p>
        </w:tc>
      </w:tr>
      <w:tr w:rsidR="0068624E" w:rsidRPr="0019790A" w14:paraId="295D8815" w14:textId="77777777" w:rsidTr="00CF3AAE">
        <w:trPr>
          <w:jc w:val="right"/>
        </w:trPr>
        <w:tc>
          <w:tcPr>
            <w:tcW w:w="3425" w:type="dxa"/>
            <w:shd w:val="clear" w:color="auto" w:fill="FFFFFF"/>
            <w:vAlign w:val="center"/>
          </w:tcPr>
          <w:p w14:paraId="4B8645F8" w14:textId="6ABF23ED" w:rsidR="0068624E" w:rsidRPr="0019790A" w:rsidRDefault="0068624E" w:rsidP="0068624E">
            <w:pPr>
              <w:rPr>
                <w:rFonts w:cs="Arial"/>
                <w:b/>
                <w:bCs/>
                <w:szCs w:val="22"/>
              </w:rPr>
            </w:pPr>
            <w:r w:rsidRPr="0019790A">
              <w:rPr>
                <w:rFonts w:cs="Arial"/>
                <w:b/>
                <w:szCs w:val="22"/>
              </w:rPr>
              <w:t>Відповідальний виконавець проєкту:</w:t>
            </w:r>
          </w:p>
        </w:tc>
        <w:tc>
          <w:tcPr>
            <w:tcW w:w="6794" w:type="dxa"/>
            <w:gridSpan w:val="8"/>
            <w:vAlign w:val="center"/>
          </w:tcPr>
          <w:p w14:paraId="4F451C5A" w14:textId="77777777" w:rsidR="0068624E" w:rsidRPr="0019790A" w:rsidRDefault="0068624E" w:rsidP="0068624E">
            <w:pPr>
              <w:rPr>
                <w:rFonts w:cs="Arial"/>
                <w:szCs w:val="22"/>
              </w:rPr>
            </w:pPr>
            <w:r w:rsidRPr="0019790A">
              <w:rPr>
                <w:rFonts w:cs="Arial"/>
                <w:szCs w:val="22"/>
              </w:rPr>
              <w:t>Управління житлово-комунального господарства Жмеринської міської ради</w:t>
            </w:r>
          </w:p>
        </w:tc>
      </w:tr>
      <w:tr w:rsidR="0068624E" w:rsidRPr="0019790A" w14:paraId="29F5FF48" w14:textId="77777777" w:rsidTr="00CF3AAE">
        <w:trPr>
          <w:jc w:val="right"/>
        </w:trPr>
        <w:tc>
          <w:tcPr>
            <w:tcW w:w="3425" w:type="dxa"/>
            <w:shd w:val="clear" w:color="auto" w:fill="FFFFFF"/>
            <w:vAlign w:val="center"/>
          </w:tcPr>
          <w:p w14:paraId="043A49E0" w14:textId="77777777" w:rsidR="0068624E" w:rsidRPr="0019790A" w:rsidRDefault="0068624E" w:rsidP="0068624E">
            <w:pPr>
              <w:rPr>
                <w:rFonts w:cs="Arial"/>
                <w:b/>
                <w:bCs/>
                <w:szCs w:val="22"/>
              </w:rPr>
            </w:pPr>
            <w:r w:rsidRPr="0019790A">
              <w:rPr>
                <w:rFonts w:cs="Arial"/>
                <w:b/>
                <w:bCs/>
                <w:szCs w:val="22"/>
              </w:rPr>
              <w:t>Інше:</w:t>
            </w:r>
          </w:p>
        </w:tc>
        <w:tc>
          <w:tcPr>
            <w:tcW w:w="6794" w:type="dxa"/>
            <w:gridSpan w:val="8"/>
            <w:vAlign w:val="center"/>
          </w:tcPr>
          <w:p w14:paraId="4B30CB59" w14:textId="77777777" w:rsidR="0068624E" w:rsidRPr="0019790A" w:rsidRDefault="0068624E" w:rsidP="0068624E">
            <w:pPr>
              <w:rPr>
                <w:rFonts w:cs="Arial"/>
                <w:szCs w:val="22"/>
              </w:rPr>
            </w:pPr>
          </w:p>
        </w:tc>
      </w:tr>
    </w:tbl>
    <w:p w14:paraId="5D4F40DA" w14:textId="77777777" w:rsidR="005342D5" w:rsidRPr="0019790A" w:rsidRDefault="005342D5" w:rsidP="0019790A">
      <w:pPr>
        <w:rPr>
          <w:rFonts w:cs="Arial"/>
          <w:szCs w:val="22"/>
        </w:rPr>
      </w:pPr>
    </w:p>
    <w:p w14:paraId="4130A30E" w14:textId="77777777" w:rsidR="005342D5" w:rsidRPr="0019790A" w:rsidRDefault="005342D5" w:rsidP="0019790A">
      <w:pPr>
        <w:jc w:val="center"/>
        <w:rPr>
          <w:rFonts w:cs="Arial"/>
          <w:b/>
          <w:szCs w:val="22"/>
        </w:rPr>
      </w:pPr>
      <w:r w:rsidRPr="0019790A">
        <w:rPr>
          <w:rFonts w:cs="Arial"/>
          <w:b/>
          <w:szCs w:val="22"/>
        </w:rPr>
        <w:t>Форма технічного завдання на проєкт місцевого розвитку</w:t>
      </w:r>
    </w:p>
    <w:p w14:paraId="01EC25F5" w14:textId="77777777" w:rsidR="005342D5" w:rsidRPr="0019790A" w:rsidRDefault="005342D5" w:rsidP="0019790A">
      <w:pPr>
        <w:jc w:val="center"/>
        <w:rPr>
          <w:rFonts w:cs="Arial"/>
          <w:b/>
          <w:szCs w:val="22"/>
        </w:rPr>
      </w:pPr>
      <w:r w:rsidRPr="0019790A">
        <w:rPr>
          <w:rFonts w:cs="Arial"/>
          <w:b/>
          <w:szCs w:val="22"/>
        </w:rPr>
        <w:t>до Плану заходів з реалізації Стратегії</w:t>
      </w:r>
    </w:p>
    <w:p w14:paraId="5B78E19F" w14:textId="77777777" w:rsidR="005342D5" w:rsidRPr="0019790A" w:rsidRDefault="005342D5"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48"/>
        <w:gridCol w:w="6"/>
        <w:gridCol w:w="1275"/>
        <w:gridCol w:w="15"/>
        <w:gridCol w:w="1403"/>
        <w:gridCol w:w="18"/>
        <w:gridCol w:w="1258"/>
        <w:gridCol w:w="9"/>
        <w:gridCol w:w="1562"/>
      </w:tblGrid>
      <w:tr w:rsidR="005342D5" w:rsidRPr="0019790A" w14:paraId="0123F3D0" w14:textId="77777777" w:rsidTr="00CF3AAE">
        <w:trPr>
          <w:jc w:val="right"/>
        </w:trPr>
        <w:tc>
          <w:tcPr>
            <w:tcW w:w="3425" w:type="dxa"/>
            <w:vAlign w:val="center"/>
          </w:tcPr>
          <w:p w14:paraId="477484C1" w14:textId="77777777" w:rsidR="005342D5" w:rsidRPr="0019790A" w:rsidRDefault="005342D5" w:rsidP="0019790A">
            <w:pPr>
              <w:rPr>
                <w:rFonts w:cs="Arial"/>
                <w:b/>
                <w:bCs/>
                <w:szCs w:val="22"/>
              </w:rPr>
            </w:pPr>
            <w:r w:rsidRPr="0019790A">
              <w:rPr>
                <w:rFonts w:cs="Arial"/>
                <w:b/>
                <w:bCs/>
                <w:szCs w:val="22"/>
              </w:rPr>
              <w:t>Назва проєкту:</w:t>
            </w:r>
          </w:p>
        </w:tc>
        <w:tc>
          <w:tcPr>
            <w:tcW w:w="6794" w:type="dxa"/>
            <w:gridSpan w:val="9"/>
          </w:tcPr>
          <w:p w14:paraId="4746C5ED" w14:textId="249775C8" w:rsidR="005342D5" w:rsidRPr="0068624E" w:rsidRDefault="005342D5" w:rsidP="0068624E">
            <w:pPr>
              <w:rPr>
                <w:rFonts w:cs="Arial"/>
                <w:b/>
                <w:szCs w:val="22"/>
              </w:rPr>
            </w:pPr>
            <w:r w:rsidRPr="0068624E">
              <w:rPr>
                <w:rFonts w:cs="Arial"/>
                <w:b/>
                <w:szCs w:val="22"/>
              </w:rPr>
              <w:t>Канатний парк пригод та розваг на території Центрального міського парку</w:t>
            </w:r>
          </w:p>
        </w:tc>
      </w:tr>
      <w:tr w:rsidR="005342D5" w:rsidRPr="0019790A" w14:paraId="0A5B6BD6" w14:textId="77777777" w:rsidTr="0068624E">
        <w:trPr>
          <w:jc w:val="right"/>
        </w:trPr>
        <w:tc>
          <w:tcPr>
            <w:tcW w:w="3425" w:type="dxa"/>
          </w:tcPr>
          <w:p w14:paraId="5B4D1674" w14:textId="77777777" w:rsidR="005342D5" w:rsidRPr="0019790A" w:rsidRDefault="005342D5" w:rsidP="0019790A">
            <w:pPr>
              <w:rPr>
                <w:rFonts w:cs="Arial"/>
                <w:szCs w:val="22"/>
              </w:rPr>
            </w:pPr>
            <w:r w:rsidRPr="0019790A">
              <w:rPr>
                <w:rFonts w:cs="Arial"/>
                <w:b/>
                <w:bCs/>
                <w:szCs w:val="22"/>
              </w:rPr>
              <w:t>Ваші контакти</w:t>
            </w:r>
            <w:r w:rsidRPr="0019790A">
              <w:rPr>
                <w:rFonts w:cs="Arial"/>
                <w:szCs w:val="22"/>
              </w:rPr>
              <w:t>:</w:t>
            </w:r>
          </w:p>
          <w:p w14:paraId="37633A35" w14:textId="77777777" w:rsidR="005342D5" w:rsidRPr="0019790A" w:rsidRDefault="005342D5" w:rsidP="0019790A">
            <w:pPr>
              <w:rPr>
                <w:rFonts w:cs="Arial"/>
                <w:b/>
                <w:bCs/>
                <w:szCs w:val="22"/>
              </w:rPr>
            </w:pPr>
            <w:r w:rsidRPr="0019790A">
              <w:rPr>
                <w:rFonts w:cs="Arial"/>
                <w:szCs w:val="22"/>
              </w:rPr>
              <w:t>Назва установи, організації, підприємства</w:t>
            </w:r>
          </w:p>
        </w:tc>
        <w:tc>
          <w:tcPr>
            <w:tcW w:w="6794" w:type="dxa"/>
            <w:gridSpan w:val="9"/>
            <w:vAlign w:val="center"/>
          </w:tcPr>
          <w:p w14:paraId="74BCCEEE" w14:textId="77777777" w:rsidR="005342D5" w:rsidRPr="0019790A" w:rsidRDefault="005342D5" w:rsidP="0068624E">
            <w:pPr>
              <w:jc w:val="both"/>
              <w:rPr>
                <w:rFonts w:cs="Arial"/>
                <w:szCs w:val="22"/>
              </w:rPr>
            </w:pPr>
            <w:r w:rsidRPr="0019790A">
              <w:rPr>
                <w:rFonts w:cs="Arial"/>
                <w:szCs w:val="22"/>
              </w:rPr>
              <w:t>Відділ молоді та спорту Жмеринської міської ради</w:t>
            </w:r>
          </w:p>
        </w:tc>
      </w:tr>
      <w:tr w:rsidR="005342D5" w:rsidRPr="0019790A" w14:paraId="6400E071" w14:textId="77777777" w:rsidTr="0068624E">
        <w:trPr>
          <w:jc w:val="right"/>
        </w:trPr>
        <w:tc>
          <w:tcPr>
            <w:tcW w:w="3425" w:type="dxa"/>
          </w:tcPr>
          <w:p w14:paraId="7044AF74" w14:textId="77777777" w:rsidR="005342D5" w:rsidRPr="0019790A" w:rsidRDefault="005342D5" w:rsidP="0019790A">
            <w:pPr>
              <w:rPr>
                <w:rFonts w:cs="Arial"/>
                <w:b/>
                <w:bCs/>
                <w:szCs w:val="22"/>
              </w:rPr>
            </w:pPr>
            <w:r w:rsidRPr="0019790A">
              <w:rPr>
                <w:rFonts w:cs="Arial"/>
                <w:szCs w:val="22"/>
              </w:rPr>
              <w:t>Прізвище Ім’я По-батькові:</w:t>
            </w:r>
          </w:p>
        </w:tc>
        <w:tc>
          <w:tcPr>
            <w:tcW w:w="6794" w:type="dxa"/>
            <w:gridSpan w:val="9"/>
            <w:vAlign w:val="center"/>
          </w:tcPr>
          <w:p w14:paraId="160BF69F" w14:textId="77777777" w:rsidR="005342D5" w:rsidRPr="0019790A" w:rsidRDefault="005342D5" w:rsidP="0068624E">
            <w:pPr>
              <w:jc w:val="both"/>
              <w:rPr>
                <w:rFonts w:cs="Arial"/>
                <w:szCs w:val="22"/>
              </w:rPr>
            </w:pPr>
            <w:r w:rsidRPr="0019790A">
              <w:rPr>
                <w:rFonts w:cs="Arial"/>
                <w:szCs w:val="22"/>
              </w:rPr>
              <w:t>Ковальська Олена Віталіївна</w:t>
            </w:r>
          </w:p>
        </w:tc>
      </w:tr>
      <w:tr w:rsidR="005342D5" w:rsidRPr="0019790A" w14:paraId="777C50D0" w14:textId="77777777" w:rsidTr="0068624E">
        <w:trPr>
          <w:jc w:val="right"/>
        </w:trPr>
        <w:tc>
          <w:tcPr>
            <w:tcW w:w="3425" w:type="dxa"/>
          </w:tcPr>
          <w:p w14:paraId="10AF2F1D" w14:textId="77777777" w:rsidR="005342D5" w:rsidRPr="0019790A" w:rsidRDefault="005342D5" w:rsidP="0019790A">
            <w:pPr>
              <w:rPr>
                <w:rFonts w:cs="Arial"/>
                <w:b/>
                <w:bCs/>
                <w:szCs w:val="22"/>
              </w:rPr>
            </w:pPr>
            <w:r w:rsidRPr="0019790A">
              <w:rPr>
                <w:rFonts w:cs="Arial"/>
                <w:szCs w:val="22"/>
              </w:rPr>
              <w:t>Телефон (мобільний):</w:t>
            </w:r>
          </w:p>
        </w:tc>
        <w:tc>
          <w:tcPr>
            <w:tcW w:w="6794" w:type="dxa"/>
            <w:gridSpan w:val="9"/>
            <w:vAlign w:val="center"/>
          </w:tcPr>
          <w:p w14:paraId="2BAF19C4" w14:textId="77777777" w:rsidR="005342D5" w:rsidRPr="0019790A" w:rsidRDefault="005342D5" w:rsidP="0068624E">
            <w:pPr>
              <w:jc w:val="both"/>
              <w:rPr>
                <w:rFonts w:cs="Arial"/>
                <w:szCs w:val="22"/>
              </w:rPr>
            </w:pPr>
            <w:r w:rsidRPr="0019790A">
              <w:rPr>
                <w:rFonts w:cs="Arial"/>
                <w:szCs w:val="22"/>
              </w:rPr>
              <w:t>096-068-94-79</w:t>
            </w:r>
          </w:p>
        </w:tc>
      </w:tr>
      <w:tr w:rsidR="005342D5" w:rsidRPr="0019790A" w14:paraId="19AED144" w14:textId="77777777" w:rsidTr="0068624E">
        <w:trPr>
          <w:jc w:val="right"/>
        </w:trPr>
        <w:tc>
          <w:tcPr>
            <w:tcW w:w="3425" w:type="dxa"/>
          </w:tcPr>
          <w:p w14:paraId="773528E1" w14:textId="77777777" w:rsidR="005342D5" w:rsidRPr="0019790A" w:rsidRDefault="005342D5" w:rsidP="0019790A">
            <w:pPr>
              <w:rPr>
                <w:rFonts w:cs="Arial"/>
                <w:b/>
                <w:bCs/>
                <w:szCs w:val="22"/>
              </w:rPr>
            </w:pPr>
            <w:r w:rsidRPr="0019790A">
              <w:rPr>
                <w:rFonts w:cs="Arial"/>
                <w:szCs w:val="22"/>
              </w:rPr>
              <w:t>Електронна адреса:</w:t>
            </w:r>
          </w:p>
        </w:tc>
        <w:tc>
          <w:tcPr>
            <w:tcW w:w="6794" w:type="dxa"/>
            <w:gridSpan w:val="9"/>
            <w:vAlign w:val="center"/>
          </w:tcPr>
          <w:p w14:paraId="4D6E408A" w14:textId="77777777" w:rsidR="005342D5" w:rsidRPr="0019790A" w:rsidRDefault="00D85FFD" w:rsidP="0068624E">
            <w:pPr>
              <w:jc w:val="both"/>
              <w:rPr>
                <w:rFonts w:cs="Arial"/>
                <w:szCs w:val="22"/>
              </w:rPr>
            </w:pPr>
            <w:hyperlink r:id="rId154" w:history="1">
              <w:r w:rsidR="005342D5" w:rsidRPr="0019790A">
                <w:rPr>
                  <w:rStyle w:val="af0"/>
                  <w:rFonts w:cs="Arial"/>
                  <w:b/>
                  <w:bCs/>
                  <w:noProof w:val="0"/>
                  <w:sz w:val="22"/>
                  <w:szCs w:val="22"/>
                </w:rPr>
                <w:t>ms@zhmr.gov.ua</w:t>
              </w:r>
            </w:hyperlink>
          </w:p>
        </w:tc>
      </w:tr>
      <w:tr w:rsidR="005342D5" w:rsidRPr="0019790A" w14:paraId="34CC5B00" w14:textId="77777777" w:rsidTr="0068624E">
        <w:trPr>
          <w:jc w:val="right"/>
        </w:trPr>
        <w:tc>
          <w:tcPr>
            <w:tcW w:w="3425" w:type="dxa"/>
            <w:vAlign w:val="center"/>
          </w:tcPr>
          <w:p w14:paraId="629EDD17" w14:textId="77777777" w:rsidR="005342D5" w:rsidRPr="0019790A" w:rsidRDefault="005342D5" w:rsidP="0019790A">
            <w:pPr>
              <w:rPr>
                <w:rFonts w:cs="Arial"/>
                <w:b/>
                <w:bCs/>
                <w:szCs w:val="22"/>
              </w:rPr>
            </w:pPr>
            <w:r w:rsidRPr="0019790A">
              <w:rPr>
                <w:rFonts w:cs="Arial"/>
                <w:b/>
                <w:bCs/>
                <w:szCs w:val="22"/>
              </w:rPr>
              <w:t>Номер і назва завдання з Стратегії розвитку Жмеринської міської територіальної громади,  якому відповідає проєкт:</w:t>
            </w:r>
          </w:p>
        </w:tc>
        <w:tc>
          <w:tcPr>
            <w:tcW w:w="6794" w:type="dxa"/>
            <w:gridSpan w:val="9"/>
            <w:vAlign w:val="center"/>
          </w:tcPr>
          <w:p w14:paraId="0394AED3" w14:textId="77777777" w:rsidR="005342D5" w:rsidRPr="0068624E" w:rsidRDefault="005342D5" w:rsidP="0068624E">
            <w:pPr>
              <w:jc w:val="both"/>
              <w:rPr>
                <w:rFonts w:cs="Arial"/>
                <w:bCs/>
                <w:szCs w:val="22"/>
              </w:rPr>
            </w:pPr>
            <w:r w:rsidRPr="0068624E">
              <w:rPr>
                <w:rFonts w:cs="Arial"/>
                <w:bCs/>
                <w:szCs w:val="22"/>
              </w:rPr>
              <w:t>С.3.4.1. Вдосконалення спортивного розвитку та самореалізації дітей, молоді, населення середнього та пенсійного віку.</w:t>
            </w:r>
          </w:p>
          <w:p w14:paraId="740311BC" w14:textId="6C00CB21" w:rsidR="005342D5" w:rsidRPr="0068624E" w:rsidRDefault="005342D5" w:rsidP="0068624E">
            <w:pPr>
              <w:jc w:val="both"/>
              <w:rPr>
                <w:rFonts w:cs="Arial"/>
                <w:szCs w:val="22"/>
              </w:rPr>
            </w:pPr>
            <w:r w:rsidRPr="0068624E">
              <w:rPr>
                <w:rFonts w:cs="Arial"/>
                <w:bCs/>
                <w:szCs w:val="22"/>
              </w:rPr>
              <w:t>С.3.4.2. Будівництво, реконструкція інфраструктури спорту з урахуванням гендерного аспекту.</w:t>
            </w:r>
          </w:p>
        </w:tc>
      </w:tr>
      <w:tr w:rsidR="005342D5" w:rsidRPr="0019790A" w14:paraId="78D3A90B" w14:textId="77777777" w:rsidTr="0068624E">
        <w:trPr>
          <w:trHeight w:val="673"/>
          <w:jc w:val="right"/>
        </w:trPr>
        <w:tc>
          <w:tcPr>
            <w:tcW w:w="3425" w:type="dxa"/>
            <w:vAlign w:val="center"/>
          </w:tcPr>
          <w:p w14:paraId="1ECBD2AA" w14:textId="77777777" w:rsidR="005342D5" w:rsidRPr="0019790A" w:rsidRDefault="005342D5" w:rsidP="0019790A">
            <w:pPr>
              <w:rPr>
                <w:rFonts w:cs="Arial"/>
                <w:b/>
                <w:bCs/>
                <w:szCs w:val="22"/>
              </w:rPr>
            </w:pPr>
            <w:r w:rsidRPr="0019790A">
              <w:rPr>
                <w:rFonts w:cs="Arial"/>
                <w:b/>
                <w:bCs/>
                <w:szCs w:val="22"/>
              </w:rPr>
              <w:t>Мета проєкту:</w:t>
            </w:r>
          </w:p>
        </w:tc>
        <w:tc>
          <w:tcPr>
            <w:tcW w:w="6794" w:type="dxa"/>
            <w:gridSpan w:val="9"/>
            <w:vAlign w:val="center"/>
          </w:tcPr>
          <w:p w14:paraId="0C5D7810" w14:textId="77777777" w:rsidR="005342D5" w:rsidRPr="0019790A" w:rsidRDefault="005342D5" w:rsidP="0068624E">
            <w:pPr>
              <w:jc w:val="both"/>
              <w:rPr>
                <w:rFonts w:cs="Arial"/>
                <w:szCs w:val="22"/>
              </w:rPr>
            </w:pPr>
            <w:r w:rsidRPr="0019790A">
              <w:rPr>
                <w:rFonts w:cs="Arial"/>
                <w:szCs w:val="22"/>
              </w:rPr>
              <w:t>Створити сучасний, безпечний та інтерактивний простір для активного дозвілля, спорту та соціалізації дітей, молоді та родин шляхом будівництва канатного парку пригод у Центральному міському парку.</w:t>
            </w:r>
          </w:p>
        </w:tc>
      </w:tr>
      <w:tr w:rsidR="005342D5" w:rsidRPr="0019790A" w14:paraId="71F9391B" w14:textId="77777777" w:rsidTr="0068624E">
        <w:trPr>
          <w:jc w:val="right"/>
        </w:trPr>
        <w:tc>
          <w:tcPr>
            <w:tcW w:w="3425" w:type="dxa"/>
            <w:vAlign w:val="center"/>
          </w:tcPr>
          <w:p w14:paraId="6B0903C7" w14:textId="77777777" w:rsidR="005342D5" w:rsidRPr="0019790A" w:rsidRDefault="005342D5" w:rsidP="0019790A">
            <w:pPr>
              <w:rPr>
                <w:rFonts w:cs="Arial"/>
                <w:b/>
                <w:bCs/>
                <w:szCs w:val="22"/>
              </w:rPr>
            </w:pPr>
            <w:r w:rsidRPr="0019790A">
              <w:rPr>
                <w:rFonts w:cs="Arial"/>
                <w:b/>
                <w:bCs/>
                <w:szCs w:val="22"/>
              </w:rPr>
              <w:t>Цілі проєкту:</w:t>
            </w:r>
          </w:p>
        </w:tc>
        <w:tc>
          <w:tcPr>
            <w:tcW w:w="6794" w:type="dxa"/>
            <w:gridSpan w:val="9"/>
            <w:vAlign w:val="center"/>
          </w:tcPr>
          <w:p w14:paraId="53E2E200" w14:textId="77777777" w:rsidR="005342D5" w:rsidRPr="0019790A" w:rsidRDefault="005342D5" w:rsidP="0068624E">
            <w:pPr>
              <w:numPr>
                <w:ilvl w:val="0"/>
                <w:numId w:val="70"/>
              </w:numPr>
              <w:tabs>
                <w:tab w:val="clear" w:pos="720"/>
                <w:tab w:val="num" w:pos="186"/>
              </w:tabs>
              <w:ind w:left="0" w:firstLine="0"/>
              <w:jc w:val="both"/>
              <w:rPr>
                <w:rFonts w:cs="Arial"/>
                <w:szCs w:val="22"/>
              </w:rPr>
            </w:pPr>
            <w:r w:rsidRPr="0019790A">
              <w:rPr>
                <w:rFonts w:cs="Arial"/>
                <w:szCs w:val="22"/>
              </w:rPr>
              <w:t>Забезпечити мешканців громади цікавим і безпечним простором для активного відпочинку.</w:t>
            </w:r>
          </w:p>
          <w:p w14:paraId="42050BD1" w14:textId="77777777" w:rsidR="005342D5" w:rsidRPr="0019790A" w:rsidRDefault="005342D5" w:rsidP="0068624E">
            <w:pPr>
              <w:numPr>
                <w:ilvl w:val="0"/>
                <w:numId w:val="70"/>
              </w:numPr>
              <w:tabs>
                <w:tab w:val="clear" w:pos="720"/>
                <w:tab w:val="num" w:pos="186"/>
              </w:tabs>
              <w:ind w:left="0" w:firstLine="0"/>
              <w:jc w:val="both"/>
              <w:rPr>
                <w:rFonts w:cs="Arial"/>
                <w:szCs w:val="22"/>
              </w:rPr>
            </w:pPr>
            <w:r w:rsidRPr="0019790A">
              <w:rPr>
                <w:rFonts w:cs="Arial"/>
                <w:szCs w:val="22"/>
              </w:rPr>
              <w:t>Розвивати фізичну активність, витривалість, командну роботу та впевненість у собі через пригодницький формат дозвілля.</w:t>
            </w:r>
          </w:p>
          <w:p w14:paraId="56A32764" w14:textId="77777777" w:rsidR="005342D5" w:rsidRPr="0019790A" w:rsidRDefault="005342D5" w:rsidP="0068624E">
            <w:pPr>
              <w:numPr>
                <w:ilvl w:val="0"/>
                <w:numId w:val="70"/>
              </w:numPr>
              <w:tabs>
                <w:tab w:val="clear" w:pos="720"/>
                <w:tab w:val="num" w:pos="186"/>
              </w:tabs>
              <w:ind w:left="0" w:firstLine="0"/>
              <w:jc w:val="both"/>
              <w:rPr>
                <w:rFonts w:cs="Arial"/>
                <w:szCs w:val="22"/>
              </w:rPr>
            </w:pPr>
            <w:r w:rsidRPr="0019790A">
              <w:rPr>
                <w:rFonts w:cs="Arial"/>
                <w:szCs w:val="22"/>
              </w:rPr>
              <w:t>Підвищити привабливість міського парку як місця сімейного та туристичного відпочинку.</w:t>
            </w:r>
          </w:p>
          <w:p w14:paraId="4C2B18B2" w14:textId="77777777" w:rsidR="005342D5" w:rsidRPr="0019790A" w:rsidRDefault="005342D5" w:rsidP="0068624E">
            <w:pPr>
              <w:numPr>
                <w:ilvl w:val="0"/>
                <w:numId w:val="70"/>
              </w:numPr>
              <w:tabs>
                <w:tab w:val="clear" w:pos="720"/>
                <w:tab w:val="num" w:pos="186"/>
              </w:tabs>
              <w:ind w:left="0" w:firstLine="0"/>
              <w:jc w:val="both"/>
              <w:rPr>
                <w:rFonts w:cs="Arial"/>
                <w:szCs w:val="22"/>
              </w:rPr>
            </w:pPr>
            <w:r w:rsidRPr="0019790A">
              <w:rPr>
                <w:rFonts w:cs="Arial"/>
                <w:szCs w:val="22"/>
              </w:rPr>
              <w:t>Сприяти розвитку малого підприємництва через додаткові послуги (прокат, харчування, анімація).</w:t>
            </w:r>
          </w:p>
          <w:p w14:paraId="2C5F37B0" w14:textId="77777777" w:rsidR="005342D5" w:rsidRPr="0019790A" w:rsidRDefault="005342D5" w:rsidP="0068624E">
            <w:pPr>
              <w:numPr>
                <w:ilvl w:val="0"/>
                <w:numId w:val="70"/>
              </w:numPr>
              <w:tabs>
                <w:tab w:val="clear" w:pos="720"/>
                <w:tab w:val="num" w:pos="186"/>
              </w:tabs>
              <w:ind w:left="0" w:firstLine="0"/>
              <w:jc w:val="both"/>
              <w:rPr>
                <w:rFonts w:cs="Arial"/>
                <w:szCs w:val="22"/>
              </w:rPr>
            </w:pPr>
            <w:r w:rsidRPr="0019790A">
              <w:rPr>
                <w:rFonts w:cs="Arial"/>
                <w:szCs w:val="22"/>
              </w:rPr>
              <w:t>Створити нові можливості для шкільних, спортивних та молодіжних програм на природі.</w:t>
            </w:r>
          </w:p>
          <w:p w14:paraId="5BE8184D" w14:textId="77777777" w:rsidR="005342D5" w:rsidRPr="0019790A" w:rsidRDefault="005342D5" w:rsidP="0068624E">
            <w:pPr>
              <w:jc w:val="both"/>
              <w:rPr>
                <w:rFonts w:cs="Arial"/>
                <w:szCs w:val="22"/>
              </w:rPr>
            </w:pPr>
          </w:p>
        </w:tc>
      </w:tr>
      <w:tr w:rsidR="005342D5" w:rsidRPr="0019790A" w14:paraId="63C6A5D0" w14:textId="77777777" w:rsidTr="0068624E">
        <w:trPr>
          <w:jc w:val="right"/>
        </w:trPr>
        <w:tc>
          <w:tcPr>
            <w:tcW w:w="3425" w:type="dxa"/>
            <w:vAlign w:val="center"/>
          </w:tcPr>
          <w:p w14:paraId="0110B9AC" w14:textId="77777777" w:rsidR="005342D5" w:rsidRPr="0019790A" w:rsidRDefault="005342D5" w:rsidP="0019790A">
            <w:pPr>
              <w:rPr>
                <w:rFonts w:cs="Arial"/>
                <w:b/>
                <w:szCs w:val="22"/>
              </w:rPr>
            </w:pPr>
            <w:r w:rsidRPr="0019790A">
              <w:rPr>
                <w:rFonts w:cs="Arial"/>
                <w:b/>
                <w:szCs w:val="22"/>
              </w:rPr>
              <w:t>Територія на яку проєкт матиме вплив:</w:t>
            </w:r>
          </w:p>
        </w:tc>
        <w:tc>
          <w:tcPr>
            <w:tcW w:w="6794" w:type="dxa"/>
            <w:gridSpan w:val="9"/>
            <w:vAlign w:val="center"/>
          </w:tcPr>
          <w:p w14:paraId="79AFAE82" w14:textId="77777777" w:rsidR="005342D5" w:rsidRPr="0019790A" w:rsidRDefault="005342D5" w:rsidP="0068624E">
            <w:pPr>
              <w:jc w:val="both"/>
              <w:rPr>
                <w:rFonts w:cs="Arial"/>
                <w:szCs w:val="22"/>
              </w:rPr>
            </w:pPr>
            <w:r w:rsidRPr="0019790A">
              <w:rPr>
                <w:rFonts w:cs="Arial"/>
                <w:szCs w:val="22"/>
              </w:rPr>
              <w:t>Жмеринська міська територіальна громада</w:t>
            </w:r>
          </w:p>
        </w:tc>
      </w:tr>
      <w:tr w:rsidR="005342D5" w:rsidRPr="0019790A" w14:paraId="0183B691" w14:textId="77777777" w:rsidTr="0068624E">
        <w:trPr>
          <w:jc w:val="right"/>
        </w:trPr>
        <w:tc>
          <w:tcPr>
            <w:tcW w:w="3425" w:type="dxa"/>
            <w:vAlign w:val="center"/>
          </w:tcPr>
          <w:p w14:paraId="56D41A37" w14:textId="77777777" w:rsidR="005342D5" w:rsidRPr="0019790A" w:rsidRDefault="005342D5" w:rsidP="0019790A">
            <w:pPr>
              <w:rPr>
                <w:rFonts w:cs="Arial"/>
                <w:b/>
                <w:szCs w:val="22"/>
              </w:rPr>
            </w:pPr>
            <w:r w:rsidRPr="0019790A">
              <w:rPr>
                <w:rFonts w:cs="Arial"/>
                <w:b/>
                <w:szCs w:val="22"/>
              </w:rPr>
              <w:t>Цільові групи проєкту та кількість отримувачів вигоди</w:t>
            </w:r>
          </w:p>
        </w:tc>
        <w:tc>
          <w:tcPr>
            <w:tcW w:w="6794" w:type="dxa"/>
            <w:gridSpan w:val="9"/>
            <w:vAlign w:val="center"/>
          </w:tcPr>
          <w:p w14:paraId="21FEA146" w14:textId="77777777" w:rsidR="005342D5" w:rsidRPr="0019790A" w:rsidRDefault="005342D5" w:rsidP="0068624E">
            <w:pPr>
              <w:numPr>
                <w:ilvl w:val="0"/>
                <w:numId w:val="71"/>
              </w:numPr>
              <w:tabs>
                <w:tab w:val="clear" w:pos="720"/>
                <w:tab w:val="num" w:pos="328"/>
              </w:tabs>
              <w:ind w:hanging="675"/>
              <w:jc w:val="both"/>
              <w:rPr>
                <w:rFonts w:cs="Arial"/>
                <w:bCs/>
                <w:szCs w:val="22"/>
              </w:rPr>
            </w:pPr>
            <w:r w:rsidRPr="0019790A">
              <w:rPr>
                <w:rFonts w:cs="Arial"/>
                <w:bCs/>
                <w:szCs w:val="22"/>
              </w:rPr>
              <w:t>Діти (від 5 років)</w:t>
            </w:r>
          </w:p>
          <w:p w14:paraId="407DC67B" w14:textId="77777777" w:rsidR="005342D5" w:rsidRPr="0019790A" w:rsidRDefault="005342D5" w:rsidP="0068624E">
            <w:pPr>
              <w:numPr>
                <w:ilvl w:val="0"/>
                <w:numId w:val="71"/>
              </w:numPr>
              <w:tabs>
                <w:tab w:val="clear" w:pos="720"/>
                <w:tab w:val="num" w:pos="328"/>
              </w:tabs>
              <w:ind w:hanging="675"/>
              <w:jc w:val="both"/>
              <w:rPr>
                <w:rFonts w:cs="Arial"/>
                <w:bCs/>
                <w:szCs w:val="22"/>
              </w:rPr>
            </w:pPr>
            <w:r w:rsidRPr="0019790A">
              <w:rPr>
                <w:rFonts w:cs="Arial"/>
                <w:bCs/>
                <w:szCs w:val="22"/>
              </w:rPr>
              <w:t>Підлітки та молодь</w:t>
            </w:r>
          </w:p>
          <w:p w14:paraId="34344489" w14:textId="77777777" w:rsidR="005342D5" w:rsidRPr="0019790A" w:rsidRDefault="005342D5" w:rsidP="0068624E">
            <w:pPr>
              <w:numPr>
                <w:ilvl w:val="0"/>
                <w:numId w:val="71"/>
              </w:numPr>
              <w:tabs>
                <w:tab w:val="clear" w:pos="720"/>
                <w:tab w:val="num" w:pos="328"/>
              </w:tabs>
              <w:ind w:hanging="675"/>
              <w:jc w:val="both"/>
              <w:rPr>
                <w:rFonts w:cs="Arial"/>
                <w:bCs/>
                <w:szCs w:val="22"/>
              </w:rPr>
            </w:pPr>
            <w:r w:rsidRPr="0019790A">
              <w:rPr>
                <w:rFonts w:cs="Arial"/>
                <w:bCs/>
                <w:szCs w:val="22"/>
              </w:rPr>
              <w:t>Родини з дітьми</w:t>
            </w:r>
          </w:p>
          <w:p w14:paraId="54360C2B" w14:textId="77777777" w:rsidR="005342D5" w:rsidRPr="0019790A" w:rsidRDefault="005342D5" w:rsidP="0068624E">
            <w:pPr>
              <w:numPr>
                <w:ilvl w:val="0"/>
                <w:numId w:val="71"/>
              </w:numPr>
              <w:tabs>
                <w:tab w:val="clear" w:pos="720"/>
                <w:tab w:val="num" w:pos="328"/>
              </w:tabs>
              <w:ind w:hanging="675"/>
              <w:jc w:val="both"/>
              <w:rPr>
                <w:rFonts w:cs="Arial"/>
                <w:bCs/>
                <w:szCs w:val="22"/>
              </w:rPr>
            </w:pPr>
            <w:r w:rsidRPr="0019790A">
              <w:rPr>
                <w:rFonts w:cs="Arial"/>
                <w:bCs/>
                <w:szCs w:val="22"/>
              </w:rPr>
              <w:t>Туристи та відвідувачі парку</w:t>
            </w:r>
          </w:p>
          <w:p w14:paraId="387DA3A4" w14:textId="77777777" w:rsidR="005342D5" w:rsidRPr="0019790A" w:rsidRDefault="005342D5" w:rsidP="0068624E">
            <w:pPr>
              <w:numPr>
                <w:ilvl w:val="0"/>
                <w:numId w:val="71"/>
              </w:numPr>
              <w:tabs>
                <w:tab w:val="clear" w:pos="720"/>
                <w:tab w:val="num" w:pos="328"/>
              </w:tabs>
              <w:ind w:hanging="675"/>
              <w:jc w:val="both"/>
              <w:rPr>
                <w:rFonts w:cs="Arial"/>
                <w:bCs/>
                <w:szCs w:val="22"/>
              </w:rPr>
            </w:pPr>
            <w:r w:rsidRPr="0019790A">
              <w:rPr>
                <w:rFonts w:cs="Arial"/>
                <w:bCs/>
                <w:szCs w:val="22"/>
              </w:rPr>
              <w:t>Освітні заклади (екскурсії, шкільні групи)</w:t>
            </w:r>
          </w:p>
          <w:p w14:paraId="46FB9222" w14:textId="77777777" w:rsidR="005342D5" w:rsidRPr="0019790A" w:rsidRDefault="005342D5" w:rsidP="0068624E">
            <w:pPr>
              <w:numPr>
                <w:ilvl w:val="0"/>
                <w:numId w:val="71"/>
              </w:numPr>
              <w:tabs>
                <w:tab w:val="clear" w:pos="720"/>
                <w:tab w:val="num" w:pos="328"/>
              </w:tabs>
              <w:ind w:hanging="675"/>
              <w:jc w:val="both"/>
              <w:rPr>
                <w:rFonts w:cs="Arial"/>
                <w:bCs/>
                <w:szCs w:val="22"/>
              </w:rPr>
            </w:pPr>
            <w:r w:rsidRPr="0019790A">
              <w:rPr>
                <w:rFonts w:cs="Arial"/>
                <w:bCs/>
                <w:szCs w:val="22"/>
              </w:rPr>
              <w:t>Люди, зацікавлені в активному дозвіллі</w:t>
            </w:r>
          </w:p>
          <w:p w14:paraId="3C220E19" w14:textId="77777777" w:rsidR="005342D5" w:rsidRPr="0019790A" w:rsidRDefault="005342D5" w:rsidP="0068624E">
            <w:pPr>
              <w:jc w:val="both"/>
              <w:rPr>
                <w:rFonts w:cs="Arial"/>
                <w:szCs w:val="22"/>
              </w:rPr>
            </w:pPr>
            <w:r w:rsidRPr="0019790A">
              <w:rPr>
                <w:rFonts w:cs="Arial"/>
                <w:b/>
                <w:szCs w:val="22"/>
              </w:rPr>
              <w:t>Кількість отримувачів вигоди</w:t>
            </w:r>
            <w:r w:rsidRPr="0019790A">
              <w:rPr>
                <w:rFonts w:cs="Arial"/>
                <w:szCs w:val="22"/>
              </w:rPr>
              <w:t xml:space="preserve"> </w:t>
            </w:r>
            <w:r w:rsidRPr="0019790A">
              <w:rPr>
                <w:rFonts w:cs="Arial"/>
                <w:b/>
                <w:szCs w:val="22"/>
              </w:rPr>
              <w:t>20 000 осіб.</w:t>
            </w:r>
          </w:p>
        </w:tc>
      </w:tr>
      <w:tr w:rsidR="005342D5" w:rsidRPr="0019790A" w14:paraId="71861D1E" w14:textId="77777777" w:rsidTr="0068624E">
        <w:trPr>
          <w:jc w:val="right"/>
        </w:trPr>
        <w:tc>
          <w:tcPr>
            <w:tcW w:w="3425" w:type="dxa"/>
            <w:shd w:val="clear" w:color="auto" w:fill="FFFFFF"/>
            <w:vAlign w:val="center"/>
          </w:tcPr>
          <w:p w14:paraId="34FF9837" w14:textId="77777777" w:rsidR="005342D5" w:rsidRPr="0019790A" w:rsidRDefault="005342D5" w:rsidP="0019790A">
            <w:pPr>
              <w:rPr>
                <w:rFonts w:cs="Arial"/>
                <w:b/>
                <w:bCs/>
                <w:szCs w:val="22"/>
              </w:rPr>
            </w:pPr>
            <w:r w:rsidRPr="0019790A">
              <w:rPr>
                <w:rFonts w:cs="Arial"/>
                <w:b/>
                <w:bCs/>
                <w:szCs w:val="22"/>
              </w:rPr>
              <w:t>Стислий опис проєкту:</w:t>
            </w:r>
          </w:p>
        </w:tc>
        <w:tc>
          <w:tcPr>
            <w:tcW w:w="6794" w:type="dxa"/>
            <w:gridSpan w:val="9"/>
            <w:vAlign w:val="center"/>
          </w:tcPr>
          <w:p w14:paraId="4C7F5105" w14:textId="77777777" w:rsidR="005342D5" w:rsidRPr="0019790A" w:rsidRDefault="005342D5" w:rsidP="0068624E">
            <w:pPr>
              <w:jc w:val="both"/>
              <w:rPr>
                <w:rFonts w:cs="Arial"/>
                <w:szCs w:val="22"/>
              </w:rPr>
            </w:pPr>
            <w:r w:rsidRPr="0019790A">
              <w:rPr>
                <w:rFonts w:cs="Arial"/>
                <w:szCs w:val="22"/>
              </w:rPr>
              <w:t xml:space="preserve">Проєкт передбачає створення </w:t>
            </w:r>
            <w:r w:rsidRPr="0019790A">
              <w:rPr>
                <w:rFonts w:cs="Arial"/>
                <w:bCs/>
                <w:szCs w:val="22"/>
              </w:rPr>
              <w:t>канатного парку пригод</w:t>
            </w:r>
            <w:r w:rsidRPr="0019790A">
              <w:rPr>
                <w:rFonts w:cs="Arial"/>
                <w:szCs w:val="22"/>
              </w:rPr>
              <w:t xml:space="preserve"> — конструкції з дерев’яними платформами, канатами, мостами, сітками та тролейними спусками, розміщеними на деревах або опорах на висоті від 1 до 8 метрів. Парк включатиме маршрути різної складності (дитячі, сімейні, екстремальні) та зону інструктажу. Усі елементи будуть сертифіковані, відповідатимуть вимогам безпеки. Окремо передбачено встановлення інформаційних табличок, лавок, місць для відпочинку.</w:t>
            </w:r>
          </w:p>
          <w:p w14:paraId="4B540665" w14:textId="77777777" w:rsidR="005342D5" w:rsidRPr="0019790A" w:rsidRDefault="005342D5" w:rsidP="0068624E">
            <w:pPr>
              <w:jc w:val="both"/>
              <w:rPr>
                <w:rFonts w:cs="Arial"/>
                <w:szCs w:val="22"/>
              </w:rPr>
            </w:pPr>
          </w:p>
        </w:tc>
      </w:tr>
      <w:tr w:rsidR="005342D5" w:rsidRPr="0019790A" w14:paraId="0A06B47B" w14:textId="77777777" w:rsidTr="0068624E">
        <w:trPr>
          <w:jc w:val="right"/>
        </w:trPr>
        <w:tc>
          <w:tcPr>
            <w:tcW w:w="3425" w:type="dxa"/>
            <w:shd w:val="clear" w:color="auto" w:fill="FFFFFF"/>
            <w:vAlign w:val="center"/>
          </w:tcPr>
          <w:p w14:paraId="4117EC3A" w14:textId="77777777" w:rsidR="005342D5" w:rsidRPr="0019790A" w:rsidRDefault="005342D5" w:rsidP="0019790A">
            <w:pPr>
              <w:rPr>
                <w:rFonts w:cs="Arial"/>
                <w:b/>
                <w:bCs/>
                <w:szCs w:val="22"/>
              </w:rPr>
            </w:pPr>
            <w:r w:rsidRPr="0019790A">
              <w:rPr>
                <w:rFonts w:cs="Arial"/>
                <w:b/>
                <w:bCs/>
                <w:szCs w:val="22"/>
              </w:rPr>
              <w:t>Основні заходи проєкту:</w:t>
            </w:r>
          </w:p>
        </w:tc>
        <w:tc>
          <w:tcPr>
            <w:tcW w:w="6794" w:type="dxa"/>
            <w:gridSpan w:val="9"/>
            <w:vAlign w:val="center"/>
          </w:tcPr>
          <w:p w14:paraId="4DCE4F4D" w14:textId="77777777" w:rsidR="005342D5" w:rsidRPr="0019790A" w:rsidRDefault="005342D5" w:rsidP="0068624E">
            <w:pPr>
              <w:jc w:val="both"/>
              <w:rPr>
                <w:rFonts w:cs="Arial"/>
                <w:szCs w:val="22"/>
              </w:rPr>
            </w:pPr>
            <w:r w:rsidRPr="0019790A">
              <w:rPr>
                <w:rFonts w:cs="Arial"/>
                <w:szCs w:val="22"/>
              </w:rPr>
              <w:t>1.  Розробка технічного проєкту та вибір безпечної зони в парку.</w:t>
            </w:r>
          </w:p>
          <w:p w14:paraId="7EC51BD4" w14:textId="77777777" w:rsidR="005342D5" w:rsidRPr="0019790A" w:rsidRDefault="005342D5" w:rsidP="0068624E">
            <w:pPr>
              <w:jc w:val="both"/>
              <w:rPr>
                <w:rFonts w:cs="Arial"/>
                <w:szCs w:val="22"/>
              </w:rPr>
            </w:pPr>
            <w:r w:rsidRPr="0019790A">
              <w:rPr>
                <w:rFonts w:cs="Arial"/>
                <w:szCs w:val="22"/>
              </w:rPr>
              <w:t>2.  Закупівля та монтаж канатних елементів, платформ, страховок.</w:t>
            </w:r>
          </w:p>
          <w:p w14:paraId="6AC99291" w14:textId="77777777" w:rsidR="005342D5" w:rsidRPr="0019790A" w:rsidRDefault="005342D5" w:rsidP="0068624E">
            <w:pPr>
              <w:jc w:val="both"/>
              <w:rPr>
                <w:rFonts w:cs="Arial"/>
                <w:szCs w:val="22"/>
              </w:rPr>
            </w:pPr>
            <w:r w:rsidRPr="0019790A">
              <w:rPr>
                <w:rFonts w:cs="Arial"/>
                <w:szCs w:val="22"/>
              </w:rPr>
              <w:t>3.  Встановлення зон безпеки, табличок, лавок, навісів.</w:t>
            </w:r>
          </w:p>
          <w:p w14:paraId="5208BCEF" w14:textId="77777777" w:rsidR="005342D5" w:rsidRPr="0019790A" w:rsidRDefault="005342D5" w:rsidP="0068624E">
            <w:pPr>
              <w:jc w:val="both"/>
              <w:rPr>
                <w:rFonts w:cs="Arial"/>
                <w:szCs w:val="22"/>
              </w:rPr>
            </w:pPr>
            <w:r w:rsidRPr="0019790A">
              <w:rPr>
                <w:rFonts w:cs="Arial"/>
                <w:szCs w:val="22"/>
              </w:rPr>
              <w:t>4.  Проведення навчання персоналу/інструкторів.</w:t>
            </w:r>
          </w:p>
          <w:p w14:paraId="34450B32" w14:textId="77777777" w:rsidR="005342D5" w:rsidRPr="0019790A" w:rsidRDefault="005342D5" w:rsidP="0068624E">
            <w:pPr>
              <w:jc w:val="both"/>
              <w:rPr>
                <w:rFonts w:cs="Arial"/>
                <w:szCs w:val="22"/>
              </w:rPr>
            </w:pPr>
            <w:r w:rsidRPr="0019790A">
              <w:rPr>
                <w:rFonts w:cs="Arial"/>
                <w:szCs w:val="22"/>
              </w:rPr>
              <w:t>5.  Організація відкриття парку та інформаційна кампанія.</w:t>
            </w:r>
          </w:p>
          <w:p w14:paraId="57CB45FE" w14:textId="77777777" w:rsidR="005342D5" w:rsidRPr="0019790A" w:rsidRDefault="005342D5" w:rsidP="0068624E">
            <w:pPr>
              <w:jc w:val="both"/>
              <w:rPr>
                <w:rFonts w:cs="Arial"/>
                <w:szCs w:val="22"/>
              </w:rPr>
            </w:pPr>
            <w:r w:rsidRPr="0019790A">
              <w:rPr>
                <w:rFonts w:cs="Arial"/>
                <w:szCs w:val="22"/>
              </w:rPr>
              <w:t>6.  Проведення регулярних заходів: шкільні програми, сімейні квести, турніри.</w:t>
            </w:r>
          </w:p>
          <w:p w14:paraId="2C491065" w14:textId="77777777" w:rsidR="005342D5" w:rsidRPr="0019790A" w:rsidRDefault="005342D5" w:rsidP="0068624E">
            <w:pPr>
              <w:jc w:val="both"/>
              <w:rPr>
                <w:rFonts w:cs="Arial"/>
                <w:szCs w:val="22"/>
              </w:rPr>
            </w:pPr>
          </w:p>
        </w:tc>
      </w:tr>
      <w:tr w:rsidR="005342D5" w:rsidRPr="0019790A" w14:paraId="7EEAD41B" w14:textId="77777777" w:rsidTr="0068624E">
        <w:trPr>
          <w:jc w:val="right"/>
        </w:trPr>
        <w:tc>
          <w:tcPr>
            <w:tcW w:w="3425" w:type="dxa"/>
            <w:shd w:val="clear" w:color="auto" w:fill="FFFFFF"/>
            <w:vAlign w:val="center"/>
          </w:tcPr>
          <w:p w14:paraId="3E469898" w14:textId="77777777" w:rsidR="005342D5" w:rsidRPr="0019790A" w:rsidRDefault="005342D5" w:rsidP="0019790A">
            <w:pPr>
              <w:rPr>
                <w:rFonts w:cs="Arial"/>
                <w:b/>
                <w:bCs/>
                <w:szCs w:val="22"/>
              </w:rPr>
            </w:pPr>
            <w:r w:rsidRPr="0019790A">
              <w:rPr>
                <w:rFonts w:cs="Arial"/>
                <w:b/>
                <w:bCs/>
                <w:szCs w:val="22"/>
              </w:rPr>
              <w:t>Індикатори (показники) результативності:</w:t>
            </w:r>
          </w:p>
        </w:tc>
        <w:tc>
          <w:tcPr>
            <w:tcW w:w="6794" w:type="dxa"/>
            <w:gridSpan w:val="9"/>
            <w:vAlign w:val="center"/>
          </w:tcPr>
          <w:p w14:paraId="3558C4C1" w14:textId="77777777" w:rsidR="005342D5" w:rsidRPr="0019790A" w:rsidRDefault="005342D5" w:rsidP="0068624E">
            <w:pPr>
              <w:jc w:val="both"/>
              <w:rPr>
                <w:rFonts w:cs="Arial"/>
                <w:szCs w:val="22"/>
              </w:rPr>
            </w:pPr>
            <w:r w:rsidRPr="0019790A">
              <w:rPr>
                <w:rFonts w:cs="Arial"/>
                <w:szCs w:val="22"/>
              </w:rPr>
              <w:t xml:space="preserve">1.  Побудовано </w:t>
            </w:r>
            <w:r w:rsidRPr="0019790A">
              <w:rPr>
                <w:rFonts w:cs="Arial"/>
                <w:bCs/>
                <w:szCs w:val="22"/>
              </w:rPr>
              <w:t>канатний парк із 3–5 маршрутами</w:t>
            </w:r>
            <w:r w:rsidRPr="0019790A">
              <w:rPr>
                <w:rFonts w:cs="Arial"/>
                <w:szCs w:val="22"/>
              </w:rPr>
              <w:t xml:space="preserve"> різного рівня складності.</w:t>
            </w:r>
          </w:p>
          <w:p w14:paraId="2980E92C" w14:textId="77777777" w:rsidR="005342D5" w:rsidRPr="0019790A" w:rsidRDefault="005342D5" w:rsidP="0068624E">
            <w:pPr>
              <w:jc w:val="both"/>
              <w:rPr>
                <w:rFonts w:cs="Arial"/>
                <w:szCs w:val="22"/>
              </w:rPr>
            </w:pPr>
            <w:r w:rsidRPr="0019790A">
              <w:rPr>
                <w:rFonts w:cs="Arial"/>
                <w:szCs w:val="22"/>
              </w:rPr>
              <w:t xml:space="preserve">2.  </w:t>
            </w:r>
            <w:r w:rsidRPr="0019790A">
              <w:rPr>
                <w:rFonts w:cs="Arial"/>
                <w:bCs/>
                <w:szCs w:val="22"/>
              </w:rPr>
              <w:t>Щонайменше 5000 осіб на рік</w:t>
            </w:r>
            <w:r w:rsidRPr="0019790A">
              <w:rPr>
                <w:rFonts w:cs="Arial"/>
                <w:szCs w:val="22"/>
              </w:rPr>
              <w:t xml:space="preserve"> користуються послугами парку.</w:t>
            </w:r>
          </w:p>
          <w:p w14:paraId="517DF448" w14:textId="77777777" w:rsidR="005342D5" w:rsidRPr="0019790A" w:rsidRDefault="005342D5" w:rsidP="0068624E">
            <w:pPr>
              <w:jc w:val="both"/>
              <w:rPr>
                <w:rFonts w:cs="Arial"/>
                <w:szCs w:val="22"/>
              </w:rPr>
            </w:pPr>
            <w:r w:rsidRPr="0019790A">
              <w:rPr>
                <w:rFonts w:cs="Arial"/>
                <w:szCs w:val="22"/>
              </w:rPr>
              <w:t xml:space="preserve">3.  Залучено не менше </w:t>
            </w:r>
            <w:r w:rsidRPr="0019790A">
              <w:rPr>
                <w:rFonts w:cs="Arial"/>
                <w:bCs/>
                <w:szCs w:val="22"/>
              </w:rPr>
              <w:t>20 освітніх та молодіжних груп</w:t>
            </w:r>
            <w:r w:rsidRPr="0019790A">
              <w:rPr>
                <w:rFonts w:cs="Arial"/>
                <w:szCs w:val="22"/>
              </w:rPr>
              <w:t xml:space="preserve"> на рік.</w:t>
            </w:r>
          </w:p>
          <w:p w14:paraId="681149F1" w14:textId="77777777" w:rsidR="005342D5" w:rsidRPr="0019790A" w:rsidRDefault="005342D5" w:rsidP="0068624E">
            <w:pPr>
              <w:jc w:val="both"/>
              <w:rPr>
                <w:rFonts w:cs="Arial"/>
                <w:szCs w:val="22"/>
              </w:rPr>
            </w:pPr>
            <w:r w:rsidRPr="0019790A">
              <w:rPr>
                <w:rFonts w:cs="Arial"/>
                <w:szCs w:val="22"/>
              </w:rPr>
              <w:t xml:space="preserve">4.  </w:t>
            </w:r>
            <w:r w:rsidRPr="0019790A">
              <w:rPr>
                <w:rFonts w:cs="Arial"/>
                <w:bCs/>
                <w:szCs w:val="22"/>
              </w:rPr>
              <w:t>0 випадків травмування</w:t>
            </w:r>
            <w:r w:rsidRPr="0019790A">
              <w:rPr>
                <w:rFonts w:cs="Arial"/>
                <w:szCs w:val="22"/>
              </w:rPr>
              <w:t xml:space="preserve"> завдяки якісному обладнанню та інструктажу.</w:t>
            </w:r>
          </w:p>
          <w:p w14:paraId="7A4E8FF1" w14:textId="77777777" w:rsidR="005342D5" w:rsidRPr="0019790A" w:rsidRDefault="005342D5" w:rsidP="0068624E">
            <w:pPr>
              <w:jc w:val="both"/>
              <w:rPr>
                <w:rFonts w:cs="Arial"/>
                <w:szCs w:val="22"/>
              </w:rPr>
            </w:pPr>
            <w:r w:rsidRPr="0019790A">
              <w:rPr>
                <w:rFonts w:cs="Arial"/>
                <w:szCs w:val="22"/>
              </w:rPr>
              <w:t xml:space="preserve">5.  Проведено </w:t>
            </w:r>
            <w:r w:rsidRPr="0019790A">
              <w:rPr>
                <w:rFonts w:cs="Arial"/>
                <w:bCs/>
                <w:szCs w:val="22"/>
              </w:rPr>
              <w:t>щонайменше 10 публічних заходів</w:t>
            </w:r>
            <w:r w:rsidRPr="0019790A">
              <w:rPr>
                <w:rFonts w:cs="Arial"/>
                <w:szCs w:val="22"/>
              </w:rPr>
              <w:t xml:space="preserve"> (відкриті дні, змагання, квести).</w:t>
            </w:r>
          </w:p>
          <w:p w14:paraId="32F5183F" w14:textId="77777777" w:rsidR="005342D5" w:rsidRPr="0019790A" w:rsidRDefault="005342D5" w:rsidP="0068624E">
            <w:pPr>
              <w:jc w:val="both"/>
              <w:rPr>
                <w:rFonts w:cs="Arial"/>
                <w:szCs w:val="22"/>
              </w:rPr>
            </w:pPr>
            <w:r w:rsidRPr="0019790A">
              <w:rPr>
                <w:rFonts w:cs="Arial"/>
                <w:szCs w:val="22"/>
              </w:rPr>
              <w:t xml:space="preserve">6. </w:t>
            </w:r>
            <w:r w:rsidRPr="0019790A">
              <w:rPr>
                <w:rFonts w:cs="Arial"/>
                <w:bCs/>
                <w:szCs w:val="22"/>
              </w:rPr>
              <w:t>Задоволення користувачів</w:t>
            </w:r>
            <w:r w:rsidRPr="0019790A">
              <w:rPr>
                <w:rFonts w:cs="Arial"/>
                <w:szCs w:val="22"/>
              </w:rPr>
              <w:t xml:space="preserve"> — 90% позитивних відгуків у результаті опитування.</w:t>
            </w:r>
          </w:p>
          <w:p w14:paraId="7FB000ED" w14:textId="77777777" w:rsidR="005342D5" w:rsidRPr="0019790A" w:rsidRDefault="005342D5" w:rsidP="0068624E">
            <w:pPr>
              <w:jc w:val="both"/>
              <w:rPr>
                <w:rFonts w:cs="Arial"/>
                <w:szCs w:val="22"/>
              </w:rPr>
            </w:pPr>
            <w:r w:rsidRPr="0019790A">
              <w:rPr>
                <w:rFonts w:cs="Arial"/>
                <w:szCs w:val="22"/>
              </w:rPr>
              <w:t xml:space="preserve">7.  </w:t>
            </w:r>
            <w:r w:rsidRPr="0019790A">
              <w:rPr>
                <w:rFonts w:cs="Arial"/>
                <w:bCs/>
                <w:szCs w:val="22"/>
              </w:rPr>
              <w:t>Підвищення відвідуваності парку</w:t>
            </w:r>
            <w:r w:rsidRPr="0019790A">
              <w:rPr>
                <w:rFonts w:cs="Arial"/>
                <w:szCs w:val="22"/>
              </w:rPr>
              <w:t xml:space="preserve"> на 30% протягом року.</w:t>
            </w:r>
          </w:p>
          <w:p w14:paraId="5D3615AF" w14:textId="1D7E4CB6" w:rsidR="005342D5" w:rsidRPr="0019790A" w:rsidRDefault="005342D5" w:rsidP="0068624E">
            <w:pPr>
              <w:jc w:val="both"/>
              <w:rPr>
                <w:rFonts w:cs="Arial"/>
                <w:szCs w:val="22"/>
              </w:rPr>
            </w:pPr>
            <w:r w:rsidRPr="0019790A">
              <w:rPr>
                <w:rFonts w:cs="Arial"/>
                <w:szCs w:val="22"/>
              </w:rPr>
              <w:t xml:space="preserve">8.  Поширення інформації про проєкт — охоплення не менше </w:t>
            </w:r>
            <w:r w:rsidRPr="0019790A">
              <w:rPr>
                <w:rFonts w:cs="Arial"/>
                <w:bCs/>
                <w:szCs w:val="22"/>
              </w:rPr>
              <w:t>20 000 осіб</w:t>
            </w:r>
            <w:r w:rsidRPr="0019790A">
              <w:rPr>
                <w:rFonts w:cs="Arial"/>
                <w:szCs w:val="22"/>
              </w:rPr>
              <w:t xml:space="preserve"> через соцмережі, ЗМІ, партнерів.</w:t>
            </w:r>
          </w:p>
        </w:tc>
      </w:tr>
      <w:tr w:rsidR="005342D5" w:rsidRPr="0019790A" w14:paraId="4C2EF750" w14:textId="77777777" w:rsidTr="00CF3AAE">
        <w:trPr>
          <w:jc w:val="right"/>
        </w:trPr>
        <w:tc>
          <w:tcPr>
            <w:tcW w:w="3425" w:type="dxa"/>
            <w:shd w:val="clear" w:color="auto" w:fill="FFFFFF"/>
            <w:vAlign w:val="center"/>
          </w:tcPr>
          <w:p w14:paraId="11D8017A" w14:textId="77777777" w:rsidR="005342D5" w:rsidRPr="0019790A" w:rsidRDefault="005342D5" w:rsidP="0019790A">
            <w:pPr>
              <w:rPr>
                <w:rFonts w:cs="Arial"/>
                <w:b/>
                <w:szCs w:val="22"/>
              </w:rPr>
            </w:pPr>
            <w:r w:rsidRPr="0019790A">
              <w:rPr>
                <w:rFonts w:cs="Arial"/>
                <w:b/>
                <w:szCs w:val="22"/>
              </w:rPr>
              <w:t xml:space="preserve">Період здійснення: </w:t>
            </w:r>
          </w:p>
        </w:tc>
        <w:tc>
          <w:tcPr>
            <w:tcW w:w="6794" w:type="dxa"/>
            <w:gridSpan w:val="9"/>
            <w:vAlign w:val="center"/>
          </w:tcPr>
          <w:p w14:paraId="26BD6DED" w14:textId="77777777" w:rsidR="005342D5" w:rsidRPr="0019790A" w:rsidRDefault="005342D5" w:rsidP="0019790A">
            <w:pPr>
              <w:rPr>
                <w:rFonts w:cs="Arial"/>
                <w:szCs w:val="22"/>
              </w:rPr>
            </w:pPr>
            <w:r w:rsidRPr="0019790A">
              <w:rPr>
                <w:rFonts w:cs="Arial"/>
                <w:b/>
                <w:szCs w:val="22"/>
              </w:rPr>
              <w:t>2025 – 2028 роки:</w:t>
            </w:r>
          </w:p>
        </w:tc>
      </w:tr>
      <w:tr w:rsidR="005342D5" w:rsidRPr="0019790A" w14:paraId="774CDFB5" w14:textId="77777777" w:rsidTr="0068624E">
        <w:trPr>
          <w:jc w:val="right"/>
        </w:trPr>
        <w:tc>
          <w:tcPr>
            <w:tcW w:w="3425" w:type="dxa"/>
            <w:vMerge w:val="restart"/>
            <w:shd w:val="clear" w:color="auto" w:fill="FFFFFF"/>
            <w:vAlign w:val="center"/>
          </w:tcPr>
          <w:p w14:paraId="40D28637" w14:textId="77777777" w:rsidR="005342D5" w:rsidRPr="0019790A" w:rsidRDefault="005342D5" w:rsidP="0019790A">
            <w:pPr>
              <w:rPr>
                <w:rFonts w:cs="Arial"/>
                <w:b/>
                <w:bCs/>
                <w:szCs w:val="22"/>
              </w:rPr>
            </w:pPr>
            <w:r w:rsidRPr="0019790A">
              <w:rPr>
                <w:rFonts w:cs="Arial"/>
                <w:b/>
                <w:bCs/>
                <w:szCs w:val="22"/>
              </w:rPr>
              <w:t>Орієнтовна вартість проєкту, тис. грн., в тому числі:</w:t>
            </w:r>
          </w:p>
        </w:tc>
        <w:tc>
          <w:tcPr>
            <w:tcW w:w="1254" w:type="dxa"/>
            <w:gridSpan w:val="2"/>
            <w:shd w:val="clear" w:color="auto" w:fill="E6E6E6"/>
            <w:vAlign w:val="center"/>
          </w:tcPr>
          <w:p w14:paraId="6773B0C3" w14:textId="77777777" w:rsidR="005342D5" w:rsidRPr="0019790A" w:rsidRDefault="005342D5" w:rsidP="0068624E">
            <w:pPr>
              <w:jc w:val="center"/>
              <w:rPr>
                <w:rFonts w:cs="Arial"/>
                <w:b/>
                <w:szCs w:val="22"/>
              </w:rPr>
            </w:pPr>
            <w:r w:rsidRPr="0019790A">
              <w:rPr>
                <w:rFonts w:cs="Arial"/>
                <w:b/>
                <w:szCs w:val="22"/>
              </w:rPr>
              <w:t>2025</w:t>
            </w:r>
          </w:p>
        </w:tc>
        <w:tc>
          <w:tcPr>
            <w:tcW w:w="1275" w:type="dxa"/>
            <w:shd w:val="clear" w:color="auto" w:fill="E6E6E6"/>
            <w:vAlign w:val="center"/>
          </w:tcPr>
          <w:p w14:paraId="5C511F4D" w14:textId="77777777" w:rsidR="005342D5" w:rsidRPr="0019790A" w:rsidRDefault="005342D5" w:rsidP="0068624E">
            <w:pPr>
              <w:jc w:val="center"/>
              <w:rPr>
                <w:rFonts w:cs="Arial"/>
                <w:b/>
                <w:szCs w:val="22"/>
              </w:rPr>
            </w:pPr>
            <w:r w:rsidRPr="0019790A">
              <w:rPr>
                <w:rFonts w:cs="Arial"/>
                <w:b/>
                <w:szCs w:val="22"/>
              </w:rPr>
              <w:t>2026</w:t>
            </w:r>
          </w:p>
        </w:tc>
        <w:tc>
          <w:tcPr>
            <w:tcW w:w="1418" w:type="dxa"/>
            <w:gridSpan w:val="2"/>
            <w:tcBorders>
              <w:bottom w:val="single" w:sz="4" w:space="0" w:color="auto"/>
            </w:tcBorders>
            <w:shd w:val="clear" w:color="auto" w:fill="E6E6E6"/>
            <w:vAlign w:val="center"/>
          </w:tcPr>
          <w:p w14:paraId="2F2AAD7B" w14:textId="77777777" w:rsidR="005342D5" w:rsidRPr="0019790A" w:rsidRDefault="005342D5" w:rsidP="0068624E">
            <w:pPr>
              <w:jc w:val="center"/>
              <w:rPr>
                <w:rFonts w:cs="Arial"/>
                <w:b/>
                <w:szCs w:val="22"/>
              </w:rPr>
            </w:pPr>
            <w:r w:rsidRPr="0019790A">
              <w:rPr>
                <w:rFonts w:cs="Arial"/>
                <w:b/>
                <w:szCs w:val="22"/>
              </w:rPr>
              <w:t>2027</w:t>
            </w:r>
          </w:p>
        </w:tc>
        <w:tc>
          <w:tcPr>
            <w:tcW w:w="1276" w:type="dxa"/>
            <w:gridSpan w:val="2"/>
            <w:shd w:val="clear" w:color="auto" w:fill="E6E6E6"/>
            <w:vAlign w:val="center"/>
          </w:tcPr>
          <w:p w14:paraId="134E1FBA" w14:textId="77777777" w:rsidR="005342D5" w:rsidRPr="0019790A" w:rsidRDefault="005342D5" w:rsidP="0068624E">
            <w:pPr>
              <w:jc w:val="center"/>
              <w:rPr>
                <w:rFonts w:cs="Arial"/>
                <w:b/>
                <w:szCs w:val="22"/>
              </w:rPr>
            </w:pPr>
            <w:r w:rsidRPr="0019790A">
              <w:rPr>
                <w:rFonts w:cs="Arial"/>
                <w:b/>
                <w:szCs w:val="22"/>
              </w:rPr>
              <w:t>2028</w:t>
            </w:r>
          </w:p>
        </w:tc>
        <w:tc>
          <w:tcPr>
            <w:tcW w:w="1571" w:type="dxa"/>
            <w:gridSpan w:val="2"/>
            <w:shd w:val="clear" w:color="auto" w:fill="E6E6E6"/>
            <w:vAlign w:val="center"/>
          </w:tcPr>
          <w:p w14:paraId="3723E675" w14:textId="77777777" w:rsidR="005342D5" w:rsidRPr="0019790A" w:rsidRDefault="005342D5" w:rsidP="0068624E">
            <w:pPr>
              <w:jc w:val="center"/>
              <w:rPr>
                <w:rFonts w:cs="Arial"/>
                <w:b/>
                <w:szCs w:val="22"/>
              </w:rPr>
            </w:pPr>
            <w:r w:rsidRPr="0019790A">
              <w:rPr>
                <w:rFonts w:cs="Arial"/>
                <w:b/>
                <w:szCs w:val="22"/>
              </w:rPr>
              <w:t>РАЗОМ</w:t>
            </w:r>
          </w:p>
        </w:tc>
      </w:tr>
      <w:tr w:rsidR="005342D5" w:rsidRPr="0019790A" w14:paraId="0DD317B3" w14:textId="77777777" w:rsidTr="0068624E">
        <w:trPr>
          <w:jc w:val="right"/>
        </w:trPr>
        <w:tc>
          <w:tcPr>
            <w:tcW w:w="3425" w:type="dxa"/>
            <w:vMerge/>
            <w:shd w:val="clear" w:color="auto" w:fill="FFFFFF"/>
            <w:vAlign w:val="center"/>
          </w:tcPr>
          <w:p w14:paraId="5B2F0E59" w14:textId="77777777" w:rsidR="005342D5" w:rsidRPr="0019790A" w:rsidRDefault="005342D5" w:rsidP="0019790A">
            <w:pPr>
              <w:rPr>
                <w:rFonts w:cs="Arial"/>
                <w:b/>
                <w:bCs/>
                <w:szCs w:val="22"/>
              </w:rPr>
            </w:pPr>
          </w:p>
        </w:tc>
        <w:tc>
          <w:tcPr>
            <w:tcW w:w="1254" w:type="dxa"/>
            <w:gridSpan w:val="2"/>
            <w:vAlign w:val="center"/>
          </w:tcPr>
          <w:p w14:paraId="3746663E" w14:textId="77777777" w:rsidR="005342D5" w:rsidRPr="0019790A" w:rsidRDefault="005342D5" w:rsidP="0068624E">
            <w:pPr>
              <w:jc w:val="center"/>
              <w:rPr>
                <w:rFonts w:cs="Arial"/>
                <w:b/>
                <w:szCs w:val="22"/>
              </w:rPr>
            </w:pPr>
          </w:p>
        </w:tc>
        <w:tc>
          <w:tcPr>
            <w:tcW w:w="1275" w:type="dxa"/>
            <w:shd w:val="clear" w:color="auto" w:fill="FFFFFF"/>
            <w:vAlign w:val="center"/>
          </w:tcPr>
          <w:p w14:paraId="22CD204F" w14:textId="77777777" w:rsidR="005342D5" w:rsidRPr="0019790A" w:rsidRDefault="005342D5" w:rsidP="0068624E">
            <w:pPr>
              <w:jc w:val="center"/>
              <w:rPr>
                <w:rFonts w:cs="Arial"/>
                <w:b/>
                <w:szCs w:val="22"/>
              </w:rPr>
            </w:pPr>
          </w:p>
        </w:tc>
        <w:tc>
          <w:tcPr>
            <w:tcW w:w="1418" w:type="dxa"/>
            <w:gridSpan w:val="2"/>
            <w:shd w:val="clear" w:color="auto" w:fill="auto"/>
            <w:vAlign w:val="center"/>
          </w:tcPr>
          <w:p w14:paraId="325D2AA0" w14:textId="77777777" w:rsidR="005342D5" w:rsidRPr="0019790A" w:rsidRDefault="005342D5" w:rsidP="0068624E">
            <w:pPr>
              <w:jc w:val="center"/>
              <w:rPr>
                <w:rFonts w:cs="Arial"/>
                <w:b/>
                <w:szCs w:val="22"/>
              </w:rPr>
            </w:pPr>
            <w:r w:rsidRPr="0019790A">
              <w:rPr>
                <w:rFonts w:cs="Arial"/>
                <w:b/>
                <w:szCs w:val="22"/>
              </w:rPr>
              <w:t>2500,0</w:t>
            </w:r>
          </w:p>
        </w:tc>
        <w:tc>
          <w:tcPr>
            <w:tcW w:w="1276" w:type="dxa"/>
            <w:gridSpan w:val="2"/>
            <w:shd w:val="clear" w:color="auto" w:fill="FFFFFF"/>
            <w:vAlign w:val="center"/>
          </w:tcPr>
          <w:p w14:paraId="3B39113F" w14:textId="77777777" w:rsidR="005342D5" w:rsidRPr="0019790A" w:rsidRDefault="005342D5" w:rsidP="0068624E">
            <w:pPr>
              <w:jc w:val="center"/>
              <w:rPr>
                <w:rFonts w:cs="Arial"/>
                <w:b/>
                <w:szCs w:val="22"/>
              </w:rPr>
            </w:pPr>
          </w:p>
        </w:tc>
        <w:tc>
          <w:tcPr>
            <w:tcW w:w="1571" w:type="dxa"/>
            <w:gridSpan w:val="2"/>
            <w:shd w:val="clear" w:color="auto" w:fill="FFFFFF"/>
            <w:vAlign w:val="center"/>
          </w:tcPr>
          <w:p w14:paraId="17575E8D" w14:textId="77777777" w:rsidR="005342D5" w:rsidRPr="0019790A" w:rsidRDefault="005342D5" w:rsidP="0068624E">
            <w:pPr>
              <w:jc w:val="center"/>
              <w:rPr>
                <w:rFonts w:cs="Arial"/>
                <w:b/>
                <w:szCs w:val="22"/>
              </w:rPr>
            </w:pPr>
            <w:r w:rsidRPr="0019790A">
              <w:rPr>
                <w:rFonts w:cs="Arial"/>
                <w:b/>
                <w:szCs w:val="22"/>
              </w:rPr>
              <w:t>2500,0</w:t>
            </w:r>
          </w:p>
        </w:tc>
      </w:tr>
      <w:tr w:rsidR="005342D5" w:rsidRPr="0019790A" w14:paraId="710E3790" w14:textId="77777777" w:rsidTr="0068624E">
        <w:trPr>
          <w:trHeight w:val="276"/>
          <w:jc w:val="right"/>
        </w:trPr>
        <w:tc>
          <w:tcPr>
            <w:tcW w:w="3425" w:type="dxa"/>
            <w:shd w:val="clear" w:color="auto" w:fill="FFFFFF"/>
            <w:vAlign w:val="center"/>
          </w:tcPr>
          <w:p w14:paraId="7640E4A6" w14:textId="77777777" w:rsidR="005342D5" w:rsidRPr="0019790A" w:rsidRDefault="005342D5" w:rsidP="0019790A">
            <w:pPr>
              <w:rPr>
                <w:rFonts w:cs="Arial"/>
                <w:b/>
                <w:bCs/>
                <w:szCs w:val="22"/>
              </w:rPr>
            </w:pPr>
            <w:r w:rsidRPr="0019790A">
              <w:rPr>
                <w:rFonts w:cs="Arial"/>
                <w:b/>
                <w:bCs/>
                <w:szCs w:val="22"/>
              </w:rPr>
              <w:t>по джерелах фінансування:</w:t>
            </w:r>
          </w:p>
        </w:tc>
        <w:tc>
          <w:tcPr>
            <w:tcW w:w="6794" w:type="dxa"/>
            <w:gridSpan w:val="9"/>
            <w:vAlign w:val="center"/>
          </w:tcPr>
          <w:p w14:paraId="32909E1B" w14:textId="77777777" w:rsidR="005342D5" w:rsidRPr="0019790A" w:rsidRDefault="005342D5" w:rsidP="0068624E">
            <w:pPr>
              <w:jc w:val="center"/>
              <w:rPr>
                <w:rFonts w:cs="Arial"/>
                <w:szCs w:val="22"/>
              </w:rPr>
            </w:pPr>
          </w:p>
        </w:tc>
      </w:tr>
      <w:tr w:rsidR="0068624E" w:rsidRPr="0019790A" w14:paraId="64822F3E" w14:textId="5B681B46" w:rsidTr="0068624E">
        <w:trPr>
          <w:trHeight w:val="240"/>
          <w:jc w:val="right"/>
        </w:trPr>
        <w:tc>
          <w:tcPr>
            <w:tcW w:w="3425" w:type="dxa"/>
            <w:shd w:val="clear" w:color="auto" w:fill="FFFFFF"/>
            <w:vAlign w:val="center"/>
          </w:tcPr>
          <w:p w14:paraId="497693A3" w14:textId="77777777" w:rsidR="0068624E" w:rsidRPr="0019790A" w:rsidRDefault="0068624E" w:rsidP="0019790A">
            <w:pPr>
              <w:rPr>
                <w:rFonts w:cs="Arial"/>
                <w:b/>
                <w:bCs/>
                <w:szCs w:val="22"/>
              </w:rPr>
            </w:pPr>
            <w:r w:rsidRPr="0019790A">
              <w:rPr>
                <w:rFonts w:cs="Arial"/>
                <w:szCs w:val="22"/>
              </w:rPr>
              <w:t>- державний бюджет</w:t>
            </w:r>
          </w:p>
        </w:tc>
        <w:tc>
          <w:tcPr>
            <w:tcW w:w="1248" w:type="dxa"/>
            <w:vAlign w:val="center"/>
          </w:tcPr>
          <w:p w14:paraId="650AA5A9" w14:textId="77777777" w:rsidR="0068624E" w:rsidRPr="0019790A" w:rsidRDefault="0068624E" w:rsidP="0068624E">
            <w:pPr>
              <w:jc w:val="center"/>
              <w:rPr>
                <w:rFonts w:cs="Arial"/>
                <w:szCs w:val="22"/>
              </w:rPr>
            </w:pPr>
          </w:p>
        </w:tc>
        <w:tc>
          <w:tcPr>
            <w:tcW w:w="1296" w:type="dxa"/>
            <w:gridSpan w:val="3"/>
            <w:vAlign w:val="center"/>
          </w:tcPr>
          <w:p w14:paraId="43DF4C20" w14:textId="77777777" w:rsidR="0068624E" w:rsidRPr="0019790A" w:rsidRDefault="0068624E" w:rsidP="0068624E">
            <w:pPr>
              <w:jc w:val="center"/>
              <w:rPr>
                <w:rFonts w:cs="Arial"/>
                <w:szCs w:val="22"/>
              </w:rPr>
            </w:pPr>
          </w:p>
        </w:tc>
        <w:tc>
          <w:tcPr>
            <w:tcW w:w="1421" w:type="dxa"/>
            <w:gridSpan w:val="2"/>
            <w:vAlign w:val="center"/>
          </w:tcPr>
          <w:p w14:paraId="200D59FA" w14:textId="77777777" w:rsidR="0068624E" w:rsidRPr="0019790A" w:rsidRDefault="0068624E" w:rsidP="0068624E">
            <w:pPr>
              <w:jc w:val="center"/>
              <w:rPr>
                <w:rFonts w:cs="Arial"/>
                <w:szCs w:val="22"/>
              </w:rPr>
            </w:pPr>
          </w:p>
        </w:tc>
        <w:tc>
          <w:tcPr>
            <w:tcW w:w="1267" w:type="dxa"/>
            <w:gridSpan w:val="2"/>
            <w:vAlign w:val="center"/>
          </w:tcPr>
          <w:p w14:paraId="3A5886C4" w14:textId="77777777" w:rsidR="0068624E" w:rsidRPr="0019790A" w:rsidRDefault="0068624E" w:rsidP="0068624E">
            <w:pPr>
              <w:jc w:val="center"/>
              <w:rPr>
                <w:rFonts w:cs="Arial"/>
                <w:szCs w:val="22"/>
              </w:rPr>
            </w:pPr>
          </w:p>
        </w:tc>
        <w:tc>
          <w:tcPr>
            <w:tcW w:w="1562" w:type="dxa"/>
            <w:vAlign w:val="center"/>
          </w:tcPr>
          <w:p w14:paraId="43EB28F7" w14:textId="77777777" w:rsidR="0068624E" w:rsidRPr="0019790A" w:rsidRDefault="0068624E" w:rsidP="0068624E">
            <w:pPr>
              <w:jc w:val="center"/>
              <w:rPr>
                <w:rFonts w:cs="Arial"/>
                <w:szCs w:val="22"/>
              </w:rPr>
            </w:pPr>
          </w:p>
        </w:tc>
      </w:tr>
      <w:tr w:rsidR="0068624E" w:rsidRPr="0019790A" w14:paraId="1C75D0CD" w14:textId="40994ED5" w:rsidTr="0068624E">
        <w:trPr>
          <w:trHeight w:val="254"/>
          <w:jc w:val="right"/>
        </w:trPr>
        <w:tc>
          <w:tcPr>
            <w:tcW w:w="3425" w:type="dxa"/>
            <w:shd w:val="clear" w:color="auto" w:fill="FFFFFF"/>
            <w:vAlign w:val="center"/>
          </w:tcPr>
          <w:p w14:paraId="715B381C" w14:textId="77777777" w:rsidR="0068624E" w:rsidRPr="0019790A" w:rsidRDefault="0068624E" w:rsidP="0019790A">
            <w:pPr>
              <w:rPr>
                <w:rFonts w:cs="Arial"/>
                <w:szCs w:val="22"/>
              </w:rPr>
            </w:pPr>
            <w:r w:rsidRPr="0019790A">
              <w:rPr>
                <w:rFonts w:cs="Arial"/>
                <w:szCs w:val="22"/>
              </w:rPr>
              <w:t>- обласний бюджет</w:t>
            </w:r>
          </w:p>
        </w:tc>
        <w:tc>
          <w:tcPr>
            <w:tcW w:w="1248" w:type="dxa"/>
            <w:vAlign w:val="center"/>
          </w:tcPr>
          <w:p w14:paraId="53847B2A" w14:textId="77777777" w:rsidR="0068624E" w:rsidRPr="0019790A" w:rsidRDefault="0068624E" w:rsidP="0068624E">
            <w:pPr>
              <w:jc w:val="center"/>
              <w:rPr>
                <w:rFonts w:cs="Arial"/>
                <w:szCs w:val="22"/>
              </w:rPr>
            </w:pPr>
          </w:p>
        </w:tc>
        <w:tc>
          <w:tcPr>
            <w:tcW w:w="1296" w:type="dxa"/>
            <w:gridSpan w:val="3"/>
            <w:vAlign w:val="center"/>
          </w:tcPr>
          <w:p w14:paraId="07C1E5B4" w14:textId="77777777" w:rsidR="0068624E" w:rsidRPr="0019790A" w:rsidRDefault="0068624E" w:rsidP="0068624E">
            <w:pPr>
              <w:jc w:val="center"/>
              <w:rPr>
                <w:rFonts w:cs="Arial"/>
                <w:szCs w:val="22"/>
              </w:rPr>
            </w:pPr>
          </w:p>
        </w:tc>
        <w:tc>
          <w:tcPr>
            <w:tcW w:w="1421" w:type="dxa"/>
            <w:gridSpan w:val="2"/>
            <w:vAlign w:val="center"/>
          </w:tcPr>
          <w:p w14:paraId="28451019" w14:textId="77777777" w:rsidR="0068624E" w:rsidRPr="0019790A" w:rsidRDefault="0068624E" w:rsidP="0068624E">
            <w:pPr>
              <w:jc w:val="center"/>
              <w:rPr>
                <w:rFonts w:cs="Arial"/>
                <w:szCs w:val="22"/>
              </w:rPr>
            </w:pPr>
          </w:p>
        </w:tc>
        <w:tc>
          <w:tcPr>
            <w:tcW w:w="1267" w:type="dxa"/>
            <w:gridSpan w:val="2"/>
            <w:vAlign w:val="center"/>
          </w:tcPr>
          <w:p w14:paraId="74E7794B" w14:textId="77777777" w:rsidR="0068624E" w:rsidRPr="0019790A" w:rsidRDefault="0068624E" w:rsidP="0068624E">
            <w:pPr>
              <w:jc w:val="center"/>
              <w:rPr>
                <w:rFonts w:cs="Arial"/>
                <w:szCs w:val="22"/>
              </w:rPr>
            </w:pPr>
          </w:p>
        </w:tc>
        <w:tc>
          <w:tcPr>
            <w:tcW w:w="1562" w:type="dxa"/>
            <w:vAlign w:val="center"/>
          </w:tcPr>
          <w:p w14:paraId="54722B2D" w14:textId="77777777" w:rsidR="0068624E" w:rsidRPr="0019790A" w:rsidRDefault="0068624E" w:rsidP="0068624E">
            <w:pPr>
              <w:jc w:val="center"/>
              <w:rPr>
                <w:rFonts w:cs="Arial"/>
                <w:szCs w:val="22"/>
              </w:rPr>
            </w:pPr>
          </w:p>
        </w:tc>
      </w:tr>
      <w:tr w:rsidR="0068624E" w:rsidRPr="0019790A" w14:paraId="5DAB1F3D" w14:textId="7E096AD7" w:rsidTr="0068624E">
        <w:trPr>
          <w:trHeight w:val="275"/>
          <w:jc w:val="right"/>
        </w:trPr>
        <w:tc>
          <w:tcPr>
            <w:tcW w:w="3425" w:type="dxa"/>
            <w:shd w:val="clear" w:color="auto" w:fill="FFFFFF"/>
            <w:vAlign w:val="center"/>
          </w:tcPr>
          <w:p w14:paraId="6ED81A71" w14:textId="77777777" w:rsidR="0068624E" w:rsidRPr="0019790A" w:rsidRDefault="0068624E" w:rsidP="0068624E">
            <w:pPr>
              <w:rPr>
                <w:rFonts w:cs="Arial"/>
                <w:szCs w:val="22"/>
              </w:rPr>
            </w:pPr>
            <w:r w:rsidRPr="0019790A">
              <w:rPr>
                <w:rFonts w:cs="Arial"/>
                <w:szCs w:val="22"/>
              </w:rPr>
              <w:t>- бюджет Жмеринської МТГ</w:t>
            </w:r>
          </w:p>
        </w:tc>
        <w:tc>
          <w:tcPr>
            <w:tcW w:w="1248" w:type="dxa"/>
            <w:vAlign w:val="center"/>
          </w:tcPr>
          <w:p w14:paraId="737B5650" w14:textId="0E7B868B" w:rsidR="0068624E" w:rsidRPr="0019790A" w:rsidRDefault="0068624E" w:rsidP="0068624E">
            <w:pPr>
              <w:jc w:val="center"/>
              <w:rPr>
                <w:rFonts w:cs="Arial"/>
                <w:b/>
                <w:szCs w:val="22"/>
              </w:rPr>
            </w:pPr>
          </w:p>
        </w:tc>
        <w:tc>
          <w:tcPr>
            <w:tcW w:w="1296" w:type="dxa"/>
            <w:gridSpan w:val="3"/>
            <w:vAlign w:val="center"/>
          </w:tcPr>
          <w:p w14:paraId="4035A974" w14:textId="77777777" w:rsidR="0068624E" w:rsidRPr="0019790A" w:rsidRDefault="0068624E" w:rsidP="0068624E">
            <w:pPr>
              <w:jc w:val="center"/>
              <w:rPr>
                <w:rFonts w:cs="Arial"/>
                <w:b/>
                <w:szCs w:val="22"/>
              </w:rPr>
            </w:pPr>
          </w:p>
        </w:tc>
        <w:tc>
          <w:tcPr>
            <w:tcW w:w="1421" w:type="dxa"/>
            <w:gridSpan w:val="2"/>
            <w:vAlign w:val="center"/>
          </w:tcPr>
          <w:p w14:paraId="18122A07" w14:textId="5217B488" w:rsidR="0068624E" w:rsidRPr="0019790A" w:rsidRDefault="0068624E" w:rsidP="0068624E">
            <w:pPr>
              <w:jc w:val="center"/>
              <w:rPr>
                <w:rFonts w:cs="Arial"/>
                <w:b/>
                <w:szCs w:val="22"/>
              </w:rPr>
            </w:pPr>
            <w:r w:rsidRPr="0019790A">
              <w:rPr>
                <w:rFonts w:cs="Arial"/>
                <w:b/>
                <w:szCs w:val="22"/>
              </w:rPr>
              <w:t>2500,0</w:t>
            </w:r>
          </w:p>
        </w:tc>
        <w:tc>
          <w:tcPr>
            <w:tcW w:w="1267" w:type="dxa"/>
            <w:gridSpan w:val="2"/>
            <w:vAlign w:val="center"/>
          </w:tcPr>
          <w:p w14:paraId="50FD3FB1" w14:textId="77777777" w:rsidR="0068624E" w:rsidRPr="0019790A" w:rsidRDefault="0068624E" w:rsidP="0068624E">
            <w:pPr>
              <w:jc w:val="center"/>
              <w:rPr>
                <w:rFonts w:cs="Arial"/>
                <w:b/>
                <w:szCs w:val="22"/>
              </w:rPr>
            </w:pPr>
          </w:p>
        </w:tc>
        <w:tc>
          <w:tcPr>
            <w:tcW w:w="1562" w:type="dxa"/>
            <w:vAlign w:val="center"/>
          </w:tcPr>
          <w:p w14:paraId="4A54B6F0" w14:textId="7275998C" w:rsidR="0068624E" w:rsidRPr="0019790A" w:rsidRDefault="0068624E" w:rsidP="0068624E">
            <w:pPr>
              <w:jc w:val="center"/>
              <w:rPr>
                <w:rFonts w:cs="Arial"/>
                <w:b/>
                <w:szCs w:val="22"/>
              </w:rPr>
            </w:pPr>
            <w:r w:rsidRPr="0019790A">
              <w:rPr>
                <w:rFonts w:cs="Arial"/>
                <w:b/>
                <w:szCs w:val="22"/>
              </w:rPr>
              <w:t>2500,0</w:t>
            </w:r>
          </w:p>
        </w:tc>
      </w:tr>
      <w:tr w:rsidR="0068624E" w:rsidRPr="0019790A" w14:paraId="16A7C1FD" w14:textId="348982C4" w:rsidTr="0068624E">
        <w:trPr>
          <w:trHeight w:val="226"/>
          <w:jc w:val="right"/>
        </w:trPr>
        <w:tc>
          <w:tcPr>
            <w:tcW w:w="3425" w:type="dxa"/>
            <w:shd w:val="clear" w:color="auto" w:fill="FFFFFF"/>
            <w:vAlign w:val="center"/>
          </w:tcPr>
          <w:p w14:paraId="08DA61D2" w14:textId="77777777" w:rsidR="0068624E" w:rsidRPr="0019790A" w:rsidRDefault="0068624E" w:rsidP="0068624E">
            <w:pPr>
              <w:rPr>
                <w:rFonts w:cs="Arial"/>
                <w:szCs w:val="22"/>
              </w:rPr>
            </w:pPr>
            <w:r w:rsidRPr="0019790A">
              <w:rPr>
                <w:rFonts w:cs="Arial"/>
                <w:szCs w:val="22"/>
              </w:rPr>
              <w:t>- інші джерела фінансування</w:t>
            </w:r>
          </w:p>
        </w:tc>
        <w:tc>
          <w:tcPr>
            <w:tcW w:w="1248" w:type="dxa"/>
            <w:vAlign w:val="center"/>
          </w:tcPr>
          <w:p w14:paraId="3CE77607" w14:textId="77777777" w:rsidR="0068624E" w:rsidRPr="0019790A" w:rsidRDefault="0068624E" w:rsidP="0068624E">
            <w:pPr>
              <w:jc w:val="center"/>
              <w:rPr>
                <w:rFonts w:cs="Arial"/>
                <w:szCs w:val="22"/>
              </w:rPr>
            </w:pPr>
          </w:p>
        </w:tc>
        <w:tc>
          <w:tcPr>
            <w:tcW w:w="1296" w:type="dxa"/>
            <w:gridSpan w:val="3"/>
            <w:vAlign w:val="center"/>
          </w:tcPr>
          <w:p w14:paraId="33F7BE83" w14:textId="77777777" w:rsidR="0068624E" w:rsidRPr="0019790A" w:rsidRDefault="0068624E" w:rsidP="0068624E">
            <w:pPr>
              <w:jc w:val="center"/>
              <w:rPr>
                <w:rFonts w:cs="Arial"/>
                <w:szCs w:val="22"/>
              </w:rPr>
            </w:pPr>
          </w:p>
        </w:tc>
        <w:tc>
          <w:tcPr>
            <w:tcW w:w="1421" w:type="dxa"/>
            <w:gridSpan w:val="2"/>
            <w:vAlign w:val="center"/>
          </w:tcPr>
          <w:p w14:paraId="5E2DA16B" w14:textId="77777777" w:rsidR="0068624E" w:rsidRPr="0019790A" w:rsidRDefault="0068624E" w:rsidP="0068624E">
            <w:pPr>
              <w:jc w:val="center"/>
              <w:rPr>
                <w:rFonts w:cs="Arial"/>
                <w:szCs w:val="22"/>
              </w:rPr>
            </w:pPr>
          </w:p>
        </w:tc>
        <w:tc>
          <w:tcPr>
            <w:tcW w:w="1267" w:type="dxa"/>
            <w:gridSpan w:val="2"/>
            <w:vAlign w:val="center"/>
          </w:tcPr>
          <w:p w14:paraId="79EA5390" w14:textId="77777777" w:rsidR="0068624E" w:rsidRPr="0019790A" w:rsidRDefault="0068624E" w:rsidP="0068624E">
            <w:pPr>
              <w:jc w:val="center"/>
              <w:rPr>
                <w:rFonts w:cs="Arial"/>
                <w:szCs w:val="22"/>
              </w:rPr>
            </w:pPr>
          </w:p>
        </w:tc>
        <w:tc>
          <w:tcPr>
            <w:tcW w:w="1562" w:type="dxa"/>
            <w:vAlign w:val="center"/>
          </w:tcPr>
          <w:p w14:paraId="1A6A6B54" w14:textId="77777777" w:rsidR="0068624E" w:rsidRPr="0019790A" w:rsidRDefault="0068624E" w:rsidP="0068624E">
            <w:pPr>
              <w:jc w:val="center"/>
              <w:rPr>
                <w:rFonts w:cs="Arial"/>
                <w:szCs w:val="22"/>
              </w:rPr>
            </w:pPr>
          </w:p>
        </w:tc>
      </w:tr>
      <w:tr w:rsidR="0068624E" w:rsidRPr="0019790A" w14:paraId="53B53C87" w14:textId="77777777" w:rsidTr="00CF3AAE">
        <w:trPr>
          <w:jc w:val="right"/>
        </w:trPr>
        <w:tc>
          <w:tcPr>
            <w:tcW w:w="3425" w:type="dxa"/>
            <w:shd w:val="clear" w:color="auto" w:fill="FFFFFF"/>
            <w:vAlign w:val="center"/>
          </w:tcPr>
          <w:p w14:paraId="3CC9B96A" w14:textId="77777777" w:rsidR="0068624E" w:rsidRPr="0019790A" w:rsidRDefault="0068624E" w:rsidP="0068624E">
            <w:pPr>
              <w:rPr>
                <w:rFonts w:cs="Arial"/>
                <w:b/>
                <w:bCs/>
                <w:szCs w:val="22"/>
              </w:rPr>
            </w:pPr>
            <w:r w:rsidRPr="0019790A">
              <w:rPr>
                <w:rFonts w:cs="Arial"/>
                <w:b/>
                <w:szCs w:val="22"/>
              </w:rPr>
              <w:t>Відповідальний виконавець проєкту:</w:t>
            </w:r>
          </w:p>
        </w:tc>
        <w:tc>
          <w:tcPr>
            <w:tcW w:w="6794" w:type="dxa"/>
            <w:gridSpan w:val="9"/>
            <w:vAlign w:val="center"/>
          </w:tcPr>
          <w:p w14:paraId="7C57E9E7" w14:textId="62DAFB39" w:rsidR="0068624E" w:rsidRPr="0019790A" w:rsidRDefault="0068624E" w:rsidP="0068624E">
            <w:pPr>
              <w:rPr>
                <w:rFonts w:cs="Arial"/>
                <w:szCs w:val="22"/>
              </w:rPr>
            </w:pPr>
            <w:r w:rsidRPr="0019790A">
              <w:rPr>
                <w:rFonts w:cs="Arial"/>
                <w:szCs w:val="22"/>
              </w:rPr>
              <w:t>Відділ молоді та спорту Жмеринської міської ради, управління житлово-комунального господарства Жмеринської міської ради, комунальне підприємство «Парковий культурно-спортивний комплекс» Жмеринської міської ради Вінницької області</w:t>
            </w:r>
          </w:p>
        </w:tc>
      </w:tr>
      <w:tr w:rsidR="0068624E" w:rsidRPr="0019790A" w14:paraId="7CB99B7A" w14:textId="77777777" w:rsidTr="00CF3AAE">
        <w:trPr>
          <w:jc w:val="right"/>
        </w:trPr>
        <w:tc>
          <w:tcPr>
            <w:tcW w:w="3425" w:type="dxa"/>
            <w:shd w:val="clear" w:color="auto" w:fill="FFFFFF"/>
            <w:vAlign w:val="center"/>
          </w:tcPr>
          <w:p w14:paraId="6ADFD963" w14:textId="77777777" w:rsidR="0068624E" w:rsidRPr="0019790A" w:rsidRDefault="0068624E" w:rsidP="0068624E">
            <w:pPr>
              <w:rPr>
                <w:rFonts w:cs="Arial"/>
                <w:b/>
                <w:bCs/>
                <w:szCs w:val="22"/>
              </w:rPr>
            </w:pPr>
            <w:r w:rsidRPr="0019790A">
              <w:rPr>
                <w:rFonts w:cs="Arial"/>
                <w:b/>
                <w:bCs/>
                <w:szCs w:val="22"/>
              </w:rPr>
              <w:t>Інше:</w:t>
            </w:r>
          </w:p>
        </w:tc>
        <w:tc>
          <w:tcPr>
            <w:tcW w:w="6794" w:type="dxa"/>
            <w:gridSpan w:val="9"/>
            <w:vAlign w:val="center"/>
          </w:tcPr>
          <w:p w14:paraId="27BF9B68" w14:textId="77777777" w:rsidR="0068624E" w:rsidRPr="0019790A" w:rsidRDefault="0068624E" w:rsidP="0068624E">
            <w:pPr>
              <w:rPr>
                <w:rFonts w:cs="Arial"/>
                <w:szCs w:val="22"/>
              </w:rPr>
            </w:pPr>
          </w:p>
        </w:tc>
      </w:tr>
    </w:tbl>
    <w:p w14:paraId="778E8816" w14:textId="77777777" w:rsidR="005342D5" w:rsidRPr="0019790A" w:rsidRDefault="005342D5" w:rsidP="0019790A">
      <w:pPr>
        <w:ind w:firstLine="708"/>
        <w:rPr>
          <w:rFonts w:cs="Arial"/>
          <w:szCs w:val="22"/>
        </w:rPr>
      </w:pPr>
    </w:p>
    <w:p w14:paraId="32079C12" w14:textId="77777777" w:rsidR="005342D5" w:rsidRPr="0019790A" w:rsidRDefault="005342D5" w:rsidP="0019790A">
      <w:pPr>
        <w:rPr>
          <w:rFonts w:cs="Arial"/>
          <w:szCs w:val="22"/>
        </w:rPr>
      </w:pPr>
    </w:p>
    <w:p w14:paraId="7987150B" w14:textId="77777777" w:rsidR="0068624E" w:rsidRDefault="0068624E">
      <w:pPr>
        <w:rPr>
          <w:rFonts w:cs="Arial"/>
          <w:b/>
          <w:szCs w:val="22"/>
        </w:rPr>
      </w:pPr>
      <w:r>
        <w:rPr>
          <w:rFonts w:cs="Arial"/>
          <w:b/>
          <w:szCs w:val="22"/>
        </w:rPr>
        <w:br w:type="page"/>
      </w:r>
    </w:p>
    <w:p w14:paraId="60F746B5" w14:textId="7E8CC5A4" w:rsidR="005342D5" w:rsidRPr="0019790A" w:rsidRDefault="005342D5" w:rsidP="0019790A">
      <w:pPr>
        <w:jc w:val="center"/>
        <w:rPr>
          <w:rFonts w:cs="Arial"/>
          <w:b/>
          <w:szCs w:val="22"/>
        </w:rPr>
      </w:pPr>
      <w:r w:rsidRPr="0019790A">
        <w:rPr>
          <w:rFonts w:cs="Arial"/>
          <w:b/>
          <w:szCs w:val="22"/>
        </w:rPr>
        <w:t>Форма технічного завдання на проєкт місцевого розвитку</w:t>
      </w:r>
    </w:p>
    <w:p w14:paraId="09606A85" w14:textId="77777777" w:rsidR="005342D5" w:rsidRPr="0019790A" w:rsidRDefault="005342D5" w:rsidP="0019790A">
      <w:pPr>
        <w:jc w:val="center"/>
        <w:rPr>
          <w:rFonts w:cs="Arial"/>
          <w:b/>
          <w:szCs w:val="22"/>
        </w:rPr>
      </w:pPr>
      <w:r w:rsidRPr="0019790A">
        <w:rPr>
          <w:rFonts w:cs="Arial"/>
          <w:b/>
          <w:szCs w:val="22"/>
        </w:rPr>
        <w:t>до Плану заходів з реалізації Стратегії</w:t>
      </w:r>
    </w:p>
    <w:p w14:paraId="52E31ED9" w14:textId="77777777" w:rsidR="005342D5" w:rsidRPr="0019790A" w:rsidRDefault="005342D5"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32"/>
        <w:gridCol w:w="1243"/>
        <w:gridCol w:w="24"/>
        <w:gridCol w:w="1394"/>
        <w:gridCol w:w="8"/>
        <w:gridCol w:w="1268"/>
        <w:gridCol w:w="28"/>
        <w:gridCol w:w="1543"/>
      </w:tblGrid>
      <w:tr w:rsidR="005342D5" w:rsidRPr="0019790A" w14:paraId="1337D943" w14:textId="77777777" w:rsidTr="00CF3AAE">
        <w:trPr>
          <w:jc w:val="right"/>
        </w:trPr>
        <w:tc>
          <w:tcPr>
            <w:tcW w:w="3425" w:type="dxa"/>
            <w:vAlign w:val="center"/>
          </w:tcPr>
          <w:p w14:paraId="6E233CF3" w14:textId="77777777" w:rsidR="005342D5" w:rsidRPr="0019790A" w:rsidRDefault="005342D5" w:rsidP="0019790A">
            <w:pPr>
              <w:rPr>
                <w:rFonts w:cs="Arial"/>
                <w:b/>
                <w:bCs/>
                <w:szCs w:val="22"/>
              </w:rPr>
            </w:pPr>
            <w:r w:rsidRPr="0019790A">
              <w:rPr>
                <w:rFonts w:cs="Arial"/>
                <w:b/>
                <w:bCs/>
                <w:szCs w:val="22"/>
              </w:rPr>
              <w:t>Назва проєкту:</w:t>
            </w:r>
          </w:p>
        </w:tc>
        <w:tc>
          <w:tcPr>
            <w:tcW w:w="6794" w:type="dxa"/>
            <w:gridSpan w:val="9"/>
          </w:tcPr>
          <w:p w14:paraId="58E6397A" w14:textId="77777777" w:rsidR="005342D5" w:rsidRPr="0068624E" w:rsidRDefault="005342D5" w:rsidP="0019790A">
            <w:pPr>
              <w:rPr>
                <w:rFonts w:cs="Arial"/>
                <w:b/>
                <w:szCs w:val="22"/>
              </w:rPr>
            </w:pPr>
            <w:r w:rsidRPr="0068624E">
              <w:rPr>
                <w:rFonts w:cs="Arial"/>
                <w:b/>
                <w:szCs w:val="22"/>
              </w:rPr>
              <w:t>"Pump-track — безпечний простір для активного руху дітей та молоді" на території Центрального міського парку</w:t>
            </w:r>
          </w:p>
        </w:tc>
      </w:tr>
      <w:tr w:rsidR="005342D5" w:rsidRPr="0019790A" w14:paraId="53B40480" w14:textId="77777777" w:rsidTr="0068624E">
        <w:trPr>
          <w:jc w:val="right"/>
        </w:trPr>
        <w:tc>
          <w:tcPr>
            <w:tcW w:w="3425" w:type="dxa"/>
          </w:tcPr>
          <w:p w14:paraId="60968DF2" w14:textId="77777777" w:rsidR="005342D5" w:rsidRPr="0019790A" w:rsidRDefault="005342D5" w:rsidP="0019790A">
            <w:pPr>
              <w:rPr>
                <w:rFonts w:cs="Arial"/>
                <w:szCs w:val="22"/>
              </w:rPr>
            </w:pPr>
            <w:r w:rsidRPr="0019790A">
              <w:rPr>
                <w:rFonts w:cs="Arial"/>
                <w:b/>
                <w:bCs/>
                <w:szCs w:val="22"/>
              </w:rPr>
              <w:t>Ваші контакти</w:t>
            </w:r>
            <w:r w:rsidRPr="0019790A">
              <w:rPr>
                <w:rFonts w:cs="Arial"/>
                <w:szCs w:val="22"/>
              </w:rPr>
              <w:t>:</w:t>
            </w:r>
          </w:p>
          <w:p w14:paraId="0AD05602" w14:textId="77777777" w:rsidR="005342D5" w:rsidRPr="0019790A" w:rsidRDefault="005342D5" w:rsidP="0019790A">
            <w:pPr>
              <w:rPr>
                <w:rFonts w:cs="Arial"/>
                <w:b/>
                <w:bCs/>
                <w:szCs w:val="22"/>
              </w:rPr>
            </w:pPr>
            <w:r w:rsidRPr="0019790A">
              <w:rPr>
                <w:rFonts w:cs="Arial"/>
                <w:szCs w:val="22"/>
              </w:rPr>
              <w:t>Назва установи, організації, підприємства</w:t>
            </w:r>
          </w:p>
        </w:tc>
        <w:tc>
          <w:tcPr>
            <w:tcW w:w="6794" w:type="dxa"/>
            <w:gridSpan w:val="9"/>
            <w:vAlign w:val="center"/>
          </w:tcPr>
          <w:p w14:paraId="75803D13" w14:textId="77777777" w:rsidR="005342D5" w:rsidRPr="0019790A" w:rsidRDefault="005342D5" w:rsidP="0068624E">
            <w:pPr>
              <w:tabs>
                <w:tab w:val="left" w:pos="191"/>
              </w:tabs>
              <w:jc w:val="both"/>
              <w:rPr>
                <w:rFonts w:cs="Arial"/>
                <w:szCs w:val="22"/>
              </w:rPr>
            </w:pPr>
            <w:r w:rsidRPr="0019790A">
              <w:rPr>
                <w:rFonts w:cs="Arial"/>
                <w:szCs w:val="22"/>
              </w:rPr>
              <w:t>Відділ молоді та спорту Жмеринської міської ради</w:t>
            </w:r>
          </w:p>
        </w:tc>
      </w:tr>
      <w:tr w:rsidR="005342D5" w:rsidRPr="0019790A" w14:paraId="7267CE81" w14:textId="77777777" w:rsidTr="0068624E">
        <w:trPr>
          <w:jc w:val="right"/>
        </w:trPr>
        <w:tc>
          <w:tcPr>
            <w:tcW w:w="3425" w:type="dxa"/>
          </w:tcPr>
          <w:p w14:paraId="3C1D936B" w14:textId="77777777" w:rsidR="005342D5" w:rsidRPr="0019790A" w:rsidRDefault="005342D5" w:rsidP="0019790A">
            <w:pPr>
              <w:rPr>
                <w:rFonts w:cs="Arial"/>
                <w:b/>
                <w:bCs/>
                <w:szCs w:val="22"/>
              </w:rPr>
            </w:pPr>
            <w:r w:rsidRPr="0019790A">
              <w:rPr>
                <w:rFonts w:cs="Arial"/>
                <w:szCs w:val="22"/>
              </w:rPr>
              <w:t>Прізвище Ім’я По-батькові:</w:t>
            </w:r>
          </w:p>
        </w:tc>
        <w:tc>
          <w:tcPr>
            <w:tcW w:w="6794" w:type="dxa"/>
            <w:gridSpan w:val="9"/>
            <w:vAlign w:val="center"/>
          </w:tcPr>
          <w:p w14:paraId="55AD3F72" w14:textId="77777777" w:rsidR="005342D5" w:rsidRPr="0019790A" w:rsidRDefault="005342D5" w:rsidP="0068624E">
            <w:pPr>
              <w:tabs>
                <w:tab w:val="left" w:pos="191"/>
              </w:tabs>
              <w:jc w:val="both"/>
              <w:rPr>
                <w:rFonts w:cs="Arial"/>
                <w:szCs w:val="22"/>
              </w:rPr>
            </w:pPr>
            <w:r w:rsidRPr="0019790A">
              <w:rPr>
                <w:rFonts w:cs="Arial"/>
                <w:szCs w:val="22"/>
              </w:rPr>
              <w:t>Ковальська Олена Віталіївна</w:t>
            </w:r>
          </w:p>
        </w:tc>
      </w:tr>
      <w:tr w:rsidR="005342D5" w:rsidRPr="0019790A" w14:paraId="612274BB" w14:textId="77777777" w:rsidTr="0068624E">
        <w:trPr>
          <w:jc w:val="right"/>
        </w:trPr>
        <w:tc>
          <w:tcPr>
            <w:tcW w:w="3425" w:type="dxa"/>
          </w:tcPr>
          <w:p w14:paraId="136A1FC1" w14:textId="77777777" w:rsidR="005342D5" w:rsidRPr="0019790A" w:rsidRDefault="005342D5" w:rsidP="0019790A">
            <w:pPr>
              <w:rPr>
                <w:rFonts w:cs="Arial"/>
                <w:b/>
                <w:bCs/>
                <w:szCs w:val="22"/>
              </w:rPr>
            </w:pPr>
            <w:r w:rsidRPr="0019790A">
              <w:rPr>
                <w:rFonts w:cs="Arial"/>
                <w:szCs w:val="22"/>
              </w:rPr>
              <w:t>Телефон (мобільний):</w:t>
            </w:r>
          </w:p>
        </w:tc>
        <w:tc>
          <w:tcPr>
            <w:tcW w:w="6794" w:type="dxa"/>
            <w:gridSpan w:val="9"/>
            <w:vAlign w:val="center"/>
          </w:tcPr>
          <w:p w14:paraId="6950F060" w14:textId="77777777" w:rsidR="005342D5" w:rsidRPr="0019790A" w:rsidRDefault="005342D5" w:rsidP="0068624E">
            <w:pPr>
              <w:tabs>
                <w:tab w:val="left" w:pos="191"/>
              </w:tabs>
              <w:jc w:val="both"/>
              <w:rPr>
                <w:rFonts w:cs="Arial"/>
                <w:szCs w:val="22"/>
              </w:rPr>
            </w:pPr>
            <w:r w:rsidRPr="0019790A">
              <w:rPr>
                <w:rFonts w:cs="Arial"/>
                <w:szCs w:val="22"/>
              </w:rPr>
              <w:t>096-068-94-79</w:t>
            </w:r>
          </w:p>
        </w:tc>
      </w:tr>
      <w:tr w:rsidR="005342D5" w:rsidRPr="0019790A" w14:paraId="3082D8E0" w14:textId="77777777" w:rsidTr="0068624E">
        <w:trPr>
          <w:jc w:val="right"/>
        </w:trPr>
        <w:tc>
          <w:tcPr>
            <w:tcW w:w="3425" w:type="dxa"/>
          </w:tcPr>
          <w:p w14:paraId="01E50C52" w14:textId="77777777" w:rsidR="005342D5" w:rsidRPr="0019790A" w:rsidRDefault="005342D5" w:rsidP="0019790A">
            <w:pPr>
              <w:rPr>
                <w:rFonts w:cs="Arial"/>
                <w:b/>
                <w:bCs/>
                <w:szCs w:val="22"/>
              </w:rPr>
            </w:pPr>
            <w:r w:rsidRPr="0019790A">
              <w:rPr>
                <w:rFonts w:cs="Arial"/>
                <w:szCs w:val="22"/>
              </w:rPr>
              <w:t>Електронна адреса:</w:t>
            </w:r>
          </w:p>
        </w:tc>
        <w:tc>
          <w:tcPr>
            <w:tcW w:w="6794" w:type="dxa"/>
            <w:gridSpan w:val="9"/>
            <w:vAlign w:val="center"/>
          </w:tcPr>
          <w:p w14:paraId="4B1645DC" w14:textId="77777777" w:rsidR="005342D5" w:rsidRPr="0019790A" w:rsidRDefault="00D85FFD" w:rsidP="0068624E">
            <w:pPr>
              <w:tabs>
                <w:tab w:val="left" w:pos="191"/>
              </w:tabs>
              <w:jc w:val="both"/>
              <w:rPr>
                <w:rFonts w:cs="Arial"/>
                <w:szCs w:val="22"/>
              </w:rPr>
            </w:pPr>
            <w:hyperlink r:id="rId155" w:history="1">
              <w:r w:rsidR="005342D5" w:rsidRPr="0019790A">
                <w:rPr>
                  <w:rStyle w:val="af0"/>
                  <w:rFonts w:cs="Arial"/>
                  <w:b/>
                  <w:bCs/>
                  <w:noProof w:val="0"/>
                  <w:sz w:val="22"/>
                  <w:szCs w:val="22"/>
                </w:rPr>
                <w:t>ms@zhmr.gov.ua</w:t>
              </w:r>
            </w:hyperlink>
          </w:p>
        </w:tc>
      </w:tr>
      <w:tr w:rsidR="005342D5" w:rsidRPr="0019790A" w14:paraId="26C0DE2A" w14:textId="77777777" w:rsidTr="0068624E">
        <w:trPr>
          <w:jc w:val="right"/>
        </w:trPr>
        <w:tc>
          <w:tcPr>
            <w:tcW w:w="3425" w:type="dxa"/>
            <w:vAlign w:val="center"/>
          </w:tcPr>
          <w:p w14:paraId="26C6CC96" w14:textId="77777777" w:rsidR="005342D5" w:rsidRPr="0019790A" w:rsidRDefault="005342D5" w:rsidP="0019790A">
            <w:pPr>
              <w:rPr>
                <w:rFonts w:cs="Arial"/>
                <w:b/>
                <w:bCs/>
                <w:szCs w:val="22"/>
              </w:rPr>
            </w:pPr>
            <w:r w:rsidRPr="0019790A">
              <w:rPr>
                <w:rFonts w:cs="Arial"/>
                <w:b/>
                <w:bCs/>
                <w:szCs w:val="22"/>
              </w:rPr>
              <w:t>Номер і назва завдання з Стратегії розвитку Жмеринської міської територіальної громади,  якому відповідає проєкт:</w:t>
            </w:r>
          </w:p>
        </w:tc>
        <w:tc>
          <w:tcPr>
            <w:tcW w:w="6794" w:type="dxa"/>
            <w:gridSpan w:val="9"/>
            <w:vAlign w:val="center"/>
          </w:tcPr>
          <w:p w14:paraId="33A36DB6" w14:textId="77777777" w:rsidR="005342D5" w:rsidRPr="0068624E" w:rsidRDefault="005342D5" w:rsidP="0068624E">
            <w:pPr>
              <w:tabs>
                <w:tab w:val="left" w:pos="191"/>
              </w:tabs>
              <w:jc w:val="both"/>
              <w:rPr>
                <w:rFonts w:cs="Arial"/>
                <w:bCs/>
                <w:szCs w:val="22"/>
              </w:rPr>
            </w:pPr>
            <w:r w:rsidRPr="0068624E">
              <w:rPr>
                <w:rFonts w:cs="Arial"/>
                <w:bCs/>
                <w:szCs w:val="22"/>
              </w:rPr>
              <w:t>С.3.4.1. Вдосконалення спортивного розвитку та самореалізації дітей, молоді, населення середнього та пенсійного віку.</w:t>
            </w:r>
          </w:p>
          <w:p w14:paraId="1FB4A314" w14:textId="77777777" w:rsidR="005342D5" w:rsidRPr="0068624E" w:rsidRDefault="005342D5" w:rsidP="0068624E">
            <w:pPr>
              <w:tabs>
                <w:tab w:val="left" w:pos="191"/>
              </w:tabs>
              <w:jc w:val="both"/>
              <w:rPr>
                <w:rFonts w:cs="Arial"/>
                <w:bCs/>
                <w:szCs w:val="22"/>
              </w:rPr>
            </w:pPr>
            <w:r w:rsidRPr="0068624E">
              <w:rPr>
                <w:rFonts w:cs="Arial"/>
                <w:bCs/>
                <w:szCs w:val="22"/>
              </w:rPr>
              <w:t>С.3.4.2. Будівництво, реконструкція інфраструктури спорту з урахуванням гендерного аспекту.</w:t>
            </w:r>
          </w:p>
          <w:p w14:paraId="6FE10670" w14:textId="77777777" w:rsidR="005342D5" w:rsidRPr="0019790A" w:rsidRDefault="005342D5" w:rsidP="0068624E">
            <w:pPr>
              <w:tabs>
                <w:tab w:val="left" w:pos="191"/>
              </w:tabs>
              <w:jc w:val="both"/>
              <w:rPr>
                <w:rFonts w:cs="Arial"/>
                <w:b/>
                <w:szCs w:val="22"/>
              </w:rPr>
            </w:pPr>
          </w:p>
        </w:tc>
      </w:tr>
      <w:tr w:rsidR="005342D5" w:rsidRPr="0019790A" w14:paraId="34A73508" w14:textId="77777777" w:rsidTr="0068624E">
        <w:trPr>
          <w:trHeight w:val="673"/>
          <w:jc w:val="right"/>
        </w:trPr>
        <w:tc>
          <w:tcPr>
            <w:tcW w:w="3425" w:type="dxa"/>
            <w:vAlign w:val="center"/>
          </w:tcPr>
          <w:p w14:paraId="5017C540" w14:textId="77777777" w:rsidR="005342D5" w:rsidRPr="0019790A" w:rsidRDefault="005342D5" w:rsidP="0019790A">
            <w:pPr>
              <w:rPr>
                <w:rFonts w:cs="Arial"/>
                <w:b/>
                <w:bCs/>
                <w:szCs w:val="22"/>
              </w:rPr>
            </w:pPr>
            <w:r w:rsidRPr="0019790A">
              <w:rPr>
                <w:rFonts w:cs="Arial"/>
                <w:b/>
                <w:bCs/>
                <w:szCs w:val="22"/>
              </w:rPr>
              <w:t>Мета проєкту:</w:t>
            </w:r>
          </w:p>
        </w:tc>
        <w:tc>
          <w:tcPr>
            <w:tcW w:w="6794" w:type="dxa"/>
            <w:gridSpan w:val="9"/>
            <w:vAlign w:val="center"/>
          </w:tcPr>
          <w:p w14:paraId="3AF719D8" w14:textId="77777777" w:rsidR="005342D5" w:rsidRPr="0019790A" w:rsidRDefault="005342D5" w:rsidP="0068624E">
            <w:pPr>
              <w:tabs>
                <w:tab w:val="left" w:pos="191"/>
              </w:tabs>
              <w:jc w:val="both"/>
              <w:rPr>
                <w:rFonts w:cs="Arial"/>
                <w:szCs w:val="22"/>
              </w:rPr>
            </w:pPr>
            <w:r w:rsidRPr="0019790A">
              <w:rPr>
                <w:rFonts w:cs="Arial"/>
                <w:szCs w:val="22"/>
              </w:rPr>
              <w:t>Створення сучасної та безпечної спортивної інфраструктури для розвитку навичок катання на велосипедах, самокатах, скейтах та роликах серед дітей та молоді, а також популяризація здорового способу життя.</w:t>
            </w:r>
          </w:p>
        </w:tc>
      </w:tr>
      <w:tr w:rsidR="005342D5" w:rsidRPr="0019790A" w14:paraId="16C192EB" w14:textId="77777777" w:rsidTr="0068624E">
        <w:trPr>
          <w:jc w:val="right"/>
        </w:trPr>
        <w:tc>
          <w:tcPr>
            <w:tcW w:w="3425" w:type="dxa"/>
            <w:vAlign w:val="center"/>
          </w:tcPr>
          <w:p w14:paraId="0DAA4B47" w14:textId="77777777" w:rsidR="005342D5" w:rsidRPr="0019790A" w:rsidRDefault="005342D5" w:rsidP="0019790A">
            <w:pPr>
              <w:rPr>
                <w:rFonts w:cs="Arial"/>
                <w:b/>
                <w:bCs/>
                <w:szCs w:val="22"/>
              </w:rPr>
            </w:pPr>
            <w:r w:rsidRPr="0019790A">
              <w:rPr>
                <w:rFonts w:cs="Arial"/>
                <w:b/>
                <w:bCs/>
                <w:szCs w:val="22"/>
              </w:rPr>
              <w:t>Цілі проєкту:</w:t>
            </w:r>
          </w:p>
        </w:tc>
        <w:tc>
          <w:tcPr>
            <w:tcW w:w="6794" w:type="dxa"/>
            <w:gridSpan w:val="9"/>
            <w:vAlign w:val="center"/>
          </w:tcPr>
          <w:p w14:paraId="59168E53" w14:textId="77777777" w:rsidR="005342D5" w:rsidRPr="0019790A" w:rsidRDefault="005342D5" w:rsidP="0068624E">
            <w:pPr>
              <w:tabs>
                <w:tab w:val="left" w:pos="191"/>
              </w:tabs>
              <w:jc w:val="both"/>
              <w:rPr>
                <w:rFonts w:cs="Arial"/>
                <w:szCs w:val="22"/>
              </w:rPr>
            </w:pPr>
            <w:r w:rsidRPr="0019790A">
              <w:rPr>
                <w:rFonts w:cs="Arial"/>
                <w:szCs w:val="22"/>
              </w:rPr>
              <w:t>1.Створити інфраструктуру для катання на дво- та чотириколісному обладнанні без необхідності використання доріг загального користування.</w:t>
            </w:r>
          </w:p>
          <w:p w14:paraId="515EF472" w14:textId="77777777" w:rsidR="005342D5" w:rsidRPr="0019790A" w:rsidRDefault="005342D5" w:rsidP="0068624E">
            <w:pPr>
              <w:tabs>
                <w:tab w:val="left" w:pos="191"/>
              </w:tabs>
              <w:jc w:val="both"/>
              <w:rPr>
                <w:rFonts w:cs="Arial"/>
                <w:szCs w:val="22"/>
              </w:rPr>
            </w:pPr>
            <w:r w:rsidRPr="0019790A">
              <w:rPr>
                <w:rFonts w:cs="Arial"/>
                <w:szCs w:val="22"/>
              </w:rPr>
              <w:t>2.Забезпечити вільний доступ до безпечної зони для активного дозвілля.</w:t>
            </w:r>
          </w:p>
          <w:p w14:paraId="42D4A1A4" w14:textId="77777777" w:rsidR="005342D5" w:rsidRPr="0019790A" w:rsidRDefault="005342D5" w:rsidP="0068624E">
            <w:pPr>
              <w:tabs>
                <w:tab w:val="left" w:pos="191"/>
              </w:tabs>
              <w:jc w:val="both"/>
              <w:rPr>
                <w:rFonts w:cs="Arial"/>
                <w:szCs w:val="22"/>
              </w:rPr>
            </w:pPr>
            <w:r w:rsidRPr="0019790A">
              <w:rPr>
                <w:rFonts w:cs="Arial"/>
                <w:szCs w:val="22"/>
              </w:rPr>
              <w:t>3.Залучити молодь до занять спортом у неформальному форматі.</w:t>
            </w:r>
          </w:p>
          <w:p w14:paraId="7249DD74" w14:textId="77777777" w:rsidR="005342D5" w:rsidRPr="0019790A" w:rsidRDefault="005342D5" w:rsidP="0068624E">
            <w:pPr>
              <w:tabs>
                <w:tab w:val="left" w:pos="191"/>
              </w:tabs>
              <w:jc w:val="both"/>
              <w:rPr>
                <w:rFonts w:cs="Arial"/>
                <w:szCs w:val="22"/>
              </w:rPr>
            </w:pPr>
            <w:r w:rsidRPr="0019790A">
              <w:rPr>
                <w:rFonts w:cs="Arial"/>
                <w:szCs w:val="22"/>
              </w:rPr>
              <w:t>4.Зменшити рівень підліткової вуличної зайнятості, покращити соціальну згуртованість.</w:t>
            </w:r>
          </w:p>
        </w:tc>
      </w:tr>
      <w:tr w:rsidR="005342D5" w:rsidRPr="0019790A" w14:paraId="2A729C1C" w14:textId="77777777" w:rsidTr="0068624E">
        <w:trPr>
          <w:jc w:val="right"/>
        </w:trPr>
        <w:tc>
          <w:tcPr>
            <w:tcW w:w="3425" w:type="dxa"/>
            <w:vAlign w:val="center"/>
          </w:tcPr>
          <w:p w14:paraId="1B2E0AE1" w14:textId="77777777" w:rsidR="005342D5" w:rsidRPr="0019790A" w:rsidRDefault="005342D5" w:rsidP="0019790A">
            <w:pPr>
              <w:rPr>
                <w:rFonts w:cs="Arial"/>
                <w:b/>
                <w:szCs w:val="22"/>
              </w:rPr>
            </w:pPr>
            <w:r w:rsidRPr="0019790A">
              <w:rPr>
                <w:rFonts w:cs="Arial"/>
                <w:b/>
                <w:szCs w:val="22"/>
              </w:rPr>
              <w:t>Територія на яку проєкт матиме вплив:</w:t>
            </w:r>
          </w:p>
        </w:tc>
        <w:tc>
          <w:tcPr>
            <w:tcW w:w="6794" w:type="dxa"/>
            <w:gridSpan w:val="9"/>
            <w:vAlign w:val="center"/>
          </w:tcPr>
          <w:p w14:paraId="5064147B" w14:textId="77777777" w:rsidR="005342D5" w:rsidRPr="0019790A" w:rsidRDefault="005342D5" w:rsidP="0068624E">
            <w:pPr>
              <w:tabs>
                <w:tab w:val="left" w:pos="191"/>
              </w:tabs>
              <w:jc w:val="both"/>
              <w:rPr>
                <w:rFonts w:cs="Arial"/>
                <w:szCs w:val="22"/>
              </w:rPr>
            </w:pPr>
            <w:r w:rsidRPr="0019790A">
              <w:rPr>
                <w:rFonts w:cs="Arial"/>
                <w:szCs w:val="22"/>
              </w:rPr>
              <w:t>Жмеринська міська територіальна громада</w:t>
            </w:r>
          </w:p>
        </w:tc>
      </w:tr>
      <w:tr w:rsidR="005342D5" w:rsidRPr="0019790A" w14:paraId="2A033ADA" w14:textId="77777777" w:rsidTr="0068624E">
        <w:trPr>
          <w:jc w:val="right"/>
        </w:trPr>
        <w:tc>
          <w:tcPr>
            <w:tcW w:w="3425" w:type="dxa"/>
            <w:vAlign w:val="center"/>
          </w:tcPr>
          <w:p w14:paraId="09DBA775" w14:textId="77777777" w:rsidR="005342D5" w:rsidRPr="0019790A" w:rsidRDefault="005342D5" w:rsidP="0019790A">
            <w:pPr>
              <w:rPr>
                <w:rFonts w:cs="Arial"/>
                <w:b/>
                <w:szCs w:val="22"/>
              </w:rPr>
            </w:pPr>
            <w:r w:rsidRPr="0019790A">
              <w:rPr>
                <w:rFonts w:cs="Arial"/>
                <w:b/>
                <w:szCs w:val="22"/>
              </w:rPr>
              <w:t>Цільові групи проєкту та кількість отримувачів вигоди</w:t>
            </w:r>
          </w:p>
        </w:tc>
        <w:tc>
          <w:tcPr>
            <w:tcW w:w="6794" w:type="dxa"/>
            <w:gridSpan w:val="9"/>
            <w:vAlign w:val="center"/>
          </w:tcPr>
          <w:p w14:paraId="4AB3D958" w14:textId="77777777" w:rsidR="005342D5" w:rsidRPr="0019790A" w:rsidRDefault="005342D5" w:rsidP="0068624E">
            <w:pPr>
              <w:tabs>
                <w:tab w:val="left" w:pos="191"/>
              </w:tabs>
              <w:jc w:val="both"/>
              <w:rPr>
                <w:rFonts w:cs="Arial"/>
                <w:bCs/>
                <w:szCs w:val="22"/>
              </w:rPr>
            </w:pPr>
            <w:r w:rsidRPr="0019790A">
              <w:rPr>
                <w:rFonts w:cs="Arial"/>
                <w:bCs/>
                <w:szCs w:val="22"/>
              </w:rPr>
              <w:t>1.  Діти (від 4 років)</w:t>
            </w:r>
          </w:p>
          <w:p w14:paraId="70A5D464" w14:textId="77777777" w:rsidR="005342D5" w:rsidRPr="0019790A" w:rsidRDefault="005342D5" w:rsidP="0068624E">
            <w:pPr>
              <w:tabs>
                <w:tab w:val="left" w:pos="191"/>
              </w:tabs>
              <w:jc w:val="both"/>
              <w:rPr>
                <w:rFonts w:cs="Arial"/>
                <w:bCs/>
                <w:szCs w:val="22"/>
              </w:rPr>
            </w:pPr>
            <w:r w:rsidRPr="0019790A">
              <w:rPr>
                <w:rFonts w:cs="Arial"/>
                <w:bCs/>
                <w:szCs w:val="22"/>
              </w:rPr>
              <w:t>2.  Підлітки та молодь (7–25 років)</w:t>
            </w:r>
          </w:p>
          <w:p w14:paraId="24D1EED9" w14:textId="77777777" w:rsidR="005342D5" w:rsidRPr="0019790A" w:rsidRDefault="005342D5" w:rsidP="0068624E">
            <w:pPr>
              <w:tabs>
                <w:tab w:val="left" w:pos="191"/>
              </w:tabs>
              <w:jc w:val="both"/>
              <w:rPr>
                <w:rFonts w:cs="Arial"/>
                <w:bCs/>
                <w:szCs w:val="22"/>
              </w:rPr>
            </w:pPr>
            <w:r w:rsidRPr="0019790A">
              <w:rPr>
                <w:rFonts w:cs="Arial"/>
                <w:bCs/>
                <w:szCs w:val="22"/>
              </w:rPr>
              <w:t>3.  Родини з дітьми</w:t>
            </w:r>
          </w:p>
          <w:p w14:paraId="24C4D1AD" w14:textId="77777777" w:rsidR="005342D5" w:rsidRPr="0019790A" w:rsidRDefault="005342D5" w:rsidP="0068624E">
            <w:pPr>
              <w:tabs>
                <w:tab w:val="left" w:pos="191"/>
              </w:tabs>
              <w:jc w:val="both"/>
              <w:rPr>
                <w:rFonts w:cs="Arial"/>
                <w:bCs/>
                <w:szCs w:val="22"/>
              </w:rPr>
            </w:pPr>
            <w:r w:rsidRPr="0019790A">
              <w:rPr>
                <w:rFonts w:cs="Arial"/>
                <w:bCs/>
                <w:szCs w:val="22"/>
              </w:rPr>
              <w:t>4. Аматори екстремального спорту</w:t>
            </w:r>
          </w:p>
          <w:p w14:paraId="2DACA155" w14:textId="77777777" w:rsidR="005342D5" w:rsidRPr="0019790A" w:rsidRDefault="005342D5" w:rsidP="0068624E">
            <w:pPr>
              <w:tabs>
                <w:tab w:val="left" w:pos="191"/>
              </w:tabs>
              <w:jc w:val="both"/>
              <w:rPr>
                <w:rFonts w:cs="Arial"/>
                <w:bCs/>
                <w:szCs w:val="22"/>
              </w:rPr>
            </w:pPr>
            <w:r w:rsidRPr="0019790A">
              <w:rPr>
                <w:rFonts w:cs="Arial"/>
                <w:bCs/>
                <w:szCs w:val="22"/>
              </w:rPr>
              <w:t>5.  Вихованці спортивних гуртків та секцій</w:t>
            </w:r>
          </w:p>
          <w:p w14:paraId="52B5F84B" w14:textId="77777777" w:rsidR="005342D5" w:rsidRPr="0019790A" w:rsidRDefault="005342D5" w:rsidP="0068624E">
            <w:pPr>
              <w:tabs>
                <w:tab w:val="left" w:pos="191"/>
              </w:tabs>
              <w:jc w:val="both"/>
              <w:rPr>
                <w:rFonts w:cs="Arial"/>
                <w:szCs w:val="22"/>
              </w:rPr>
            </w:pPr>
            <w:r w:rsidRPr="0019790A">
              <w:rPr>
                <w:rFonts w:cs="Arial"/>
                <w:b/>
                <w:szCs w:val="22"/>
              </w:rPr>
              <w:t>Кількість отримувачів вигоди</w:t>
            </w:r>
            <w:r w:rsidRPr="0019790A">
              <w:rPr>
                <w:rFonts w:cs="Arial"/>
                <w:szCs w:val="22"/>
              </w:rPr>
              <w:t xml:space="preserve"> </w:t>
            </w:r>
            <w:r w:rsidRPr="0019790A">
              <w:rPr>
                <w:rFonts w:cs="Arial"/>
                <w:b/>
                <w:szCs w:val="22"/>
              </w:rPr>
              <w:t>12 000 осіб.</w:t>
            </w:r>
          </w:p>
        </w:tc>
      </w:tr>
      <w:tr w:rsidR="005342D5" w:rsidRPr="0019790A" w14:paraId="01F586DE" w14:textId="77777777" w:rsidTr="0068624E">
        <w:trPr>
          <w:jc w:val="right"/>
        </w:trPr>
        <w:tc>
          <w:tcPr>
            <w:tcW w:w="3425" w:type="dxa"/>
            <w:shd w:val="clear" w:color="auto" w:fill="FFFFFF"/>
            <w:vAlign w:val="center"/>
          </w:tcPr>
          <w:p w14:paraId="58F57C5C" w14:textId="77777777" w:rsidR="005342D5" w:rsidRPr="0019790A" w:rsidRDefault="005342D5" w:rsidP="0019790A">
            <w:pPr>
              <w:rPr>
                <w:rFonts w:cs="Arial"/>
                <w:b/>
                <w:bCs/>
                <w:szCs w:val="22"/>
              </w:rPr>
            </w:pPr>
            <w:r w:rsidRPr="0019790A">
              <w:rPr>
                <w:rFonts w:cs="Arial"/>
                <w:b/>
                <w:bCs/>
                <w:szCs w:val="22"/>
              </w:rPr>
              <w:t>Стислий опис проєкту:</w:t>
            </w:r>
          </w:p>
        </w:tc>
        <w:tc>
          <w:tcPr>
            <w:tcW w:w="6794" w:type="dxa"/>
            <w:gridSpan w:val="9"/>
            <w:vAlign w:val="center"/>
          </w:tcPr>
          <w:p w14:paraId="5CB0B3FB" w14:textId="77777777" w:rsidR="005342D5" w:rsidRPr="0019790A" w:rsidRDefault="005342D5" w:rsidP="0068624E">
            <w:pPr>
              <w:tabs>
                <w:tab w:val="left" w:pos="191"/>
              </w:tabs>
              <w:jc w:val="both"/>
              <w:rPr>
                <w:rFonts w:cs="Arial"/>
                <w:szCs w:val="22"/>
              </w:rPr>
            </w:pPr>
            <w:r w:rsidRPr="0019790A">
              <w:rPr>
                <w:rFonts w:cs="Arial"/>
                <w:szCs w:val="22"/>
              </w:rPr>
              <w:t xml:space="preserve">Проєкт передбачає будівництво </w:t>
            </w:r>
            <w:r w:rsidRPr="0019790A">
              <w:rPr>
                <w:rFonts w:cs="Arial"/>
                <w:bCs/>
                <w:szCs w:val="22"/>
              </w:rPr>
              <w:t>асфальтованої або модульної pump-track траси</w:t>
            </w:r>
            <w:r w:rsidRPr="0019790A">
              <w:rPr>
                <w:rFonts w:cs="Arial"/>
                <w:szCs w:val="22"/>
              </w:rPr>
              <w:t xml:space="preserve"> — хвилястої кільцевої доріжки з підйомами та спусками, що дозволяє кататись без педалювання за рахунок інерції. Траса підходить для всіх типів колісних пристроїв: BMX, MTB, самокатів, скейтів, роликів. Об'єкт матиме </w:t>
            </w:r>
            <w:r w:rsidRPr="0019790A">
              <w:rPr>
                <w:rFonts w:cs="Arial"/>
                <w:bCs/>
                <w:szCs w:val="22"/>
              </w:rPr>
              <w:t>периметральне освітлення</w:t>
            </w:r>
            <w:r w:rsidRPr="0019790A">
              <w:rPr>
                <w:rFonts w:cs="Arial"/>
                <w:szCs w:val="22"/>
              </w:rPr>
              <w:t xml:space="preserve">, </w:t>
            </w:r>
            <w:r w:rsidRPr="0019790A">
              <w:rPr>
                <w:rFonts w:cs="Arial"/>
                <w:bCs/>
                <w:szCs w:val="22"/>
              </w:rPr>
              <w:t>лавки</w:t>
            </w:r>
            <w:r w:rsidRPr="0019790A">
              <w:rPr>
                <w:rFonts w:cs="Arial"/>
                <w:szCs w:val="22"/>
              </w:rPr>
              <w:t xml:space="preserve">, </w:t>
            </w:r>
            <w:r w:rsidRPr="0019790A">
              <w:rPr>
                <w:rFonts w:cs="Arial"/>
                <w:bCs/>
                <w:szCs w:val="22"/>
              </w:rPr>
              <w:t>велопарковки</w:t>
            </w:r>
            <w:r w:rsidRPr="0019790A">
              <w:rPr>
                <w:rFonts w:cs="Arial"/>
                <w:szCs w:val="22"/>
              </w:rPr>
              <w:t xml:space="preserve">, </w:t>
            </w:r>
            <w:r w:rsidRPr="0019790A">
              <w:rPr>
                <w:rFonts w:cs="Arial"/>
                <w:bCs/>
                <w:szCs w:val="22"/>
              </w:rPr>
              <w:t>зелений пояс</w:t>
            </w:r>
            <w:r w:rsidRPr="0019790A">
              <w:rPr>
                <w:rFonts w:cs="Arial"/>
                <w:szCs w:val="22"/>
              </w:rPr>
              <w:t xml:space="preserve">, а також </w:t>
            </w:r>
            <w:r w:rsidRPr="0019790A">
              <w:rPr>
                <w:rFonts w:cs="Arial"/>
                <w:bCs/>
                <w:szCs w:val="22"/>
              </w:rPr>
              <w:t>інформаційні таблички з правилами безпеки</w:t>
            </w:r>
            <w:r w:rsidRPr="0019790A">
              <w:rPr>
                <w:rFonts w:cs="Arial"/>
                <w:szCs w:val="22"/>
              </w:rPr>
              <w:t>.</w:t>
            </w:r>
          </w:p>
        </w:tc>
      </w:tr>
      <w:tr w:rsidR="005342D5" w:rsidRPr="0019790A" w14:paraId="4BC51D1F" w14:textId="77777777" w:rsidTr="0068624E">
        <w:trPr>
          <w:jc w:val="right"/>
        </w:trPr>
        <w:tc>
          <w:tcPr>
            <w:tcW w:w="3425" w:type="dxa"/>
            <w:shd w:val="clear" w:color="auto" w:fill="FFFFFF"/>
            <w:vAlign w:val="center"/>
          </w:tcPr>
          <w:p w14:paraId="4343AE97" w14:textId="77777777" w:rsidR="005342D5" w:rsidRPr="0019790A" w:rsidRDefault="005342D5" w:rsidP="0019790A">
            <w:pPr>
              <w:rPr>
                <w:rFonts w:cs="Arial"/>
                <w:b/>
                <w:bCs/>
                <w:szCs w:val="22"/>
              </w:rPr>
            </w:pPr>
            <w:r w:rsidRPr="0019790A">
              <w:rPr>
                <w:rFonts w:cs="Arial"/>
                <w:b/>
                <w:bCs/>
                <w:szCs w:val="22"/>
              </w:rPr>
              <w:t>Основні заходи проєкту:</w:t>
            </w:r>
          </w:p>
        </w:tc>
        <w:tc>
          <w:tcPr>
            <w:tcW w:w="6794" w:type="dxa"/>
            <w:gridSpan w:val="9"/>
            <w:vAlign w:val="center"/>
          </w:tcPr>
          <w:p w14:paraId="168DBCB0" w14:textId="77777777" w:rsidR="005342D5" w:rsidRPr="0019790A" w:rsidRDefault="005342D5" w:rsidP="0068624E">
            <w:pPr>
              <w:numPr>
                <w:ilvl w:val="0"/>
                <w:numId w:val="72"/>
              </w:numPr>
              <w:tabs>
                <w:tab w:val="left" w:pos="191"/>
              </w:tabs>
              <w:ind w:left="0" w:firstLine="0"/>
              <w:jc w:val="both"/>
              <w:rPr>
                <w:rFonts w:cs="Arial"/>
                <w:szCs w:val="22"/>
              </w:rPr>
            </w:pPr>
            <w:r w:rsidRPr="0019790A">
              <w:rPr>
                <w:rFonts w:cs="Arial"/>
                <w:szCs w:val="22"/>
              </w:rPr>
              <w:t>Вибір ділянки, розробка проєктно-кошторисної документації.</w:t>
            </w:r>
          </w:p>
          <w:p w14:paraId="568C70A5" w14:textId="77777777" w:rsidR="005342D5" w:rsidRPr="0019790A" w:rsidRDefault="005342D5" w:rsidP="0068624E">
            <w:pPr>
              <w:numPr>
                <w:ilvl w:val="0"/>
                <w:numId w:val="72"/>
              </w:numPr>
              <w:tabs>
                <w:tab w:val="left" w:pos="191"/>
              </w:tabs>
              <w:ind w:left="0" w:firstLine="0"/>
              <w:jc w:val="both"/>
              <w:rPr>
                <w:rFonts w:cs="Arial"/>
                <w:szCs w:val="22"/>
              </w:rPr>
            </w:pPr>
            <w:r w:rsidRPr="0019790A">
              <w:rPr>
                <w:rFonts w:cs="Arial"/>
                <w:szCs w:val="22"/>
              </w:rPr>
              <w:t>Проведення підготовчих земляних робіт, планування території.</w:t>
            </w:r>
          </w:p>
          <w:p w14:paraId="64CA596F" w14:textId="77777777" w:rsidR="005342D5" w:rsidRPr="0019790A" w:rsidRDefault="005342D5" w:rsidP="0068624E">
            <w:pPr>
              <w:numPr>
                <w:ilvl w:val="0"/>
                <w:numId w:val="72"/>
              </w:numPr>
              <w:tabs>
                <w:tab w:val="left" w:pos="191"/>
              </w:tabs>
              <w:ind w:left="0" w:firstLine="0"/>
              <w:jc w:val="both"/>
              <w:rPr>
                <w:rFonts w:cs="Arial"/>
                <w:szCs w:val="22"/>
              </w:rPr>
            </w:pPr>
            <w:r w:rsidRPr="0019790A">
              <w:rPr>
                <w:rFonts w:cs="Arial"/>
                <w:szCs w:val="22"/>
              </w:rPr>
              <w:t>Улаштування траси pump-track (асфальтове або модульне гумове покриття).</w:t>
            </w:r>
          </w:p>
          <w:p w14:paraId="41D5DBF4" w14:textId="77777777" w:rsidR="005342D5" w:rsidRPr="0019790A" w:rsidRDefault="005342D5" w:rsidP="0068624E">
            <w:pPr>
              <w:numPr>
                <w:ilvl w:val="0"/>
                <w:numId w:val="72"/>
              </w:numPr>
              <w:tabs>
                <w:tab w:val="left" w:pos="191"/>
              </w:tabs>
              <w:ind w:left="0" w:firstLine="0"/>
              <w:jc w:val="both"/>
              <w:rPr>
                <w:rFonts w:cs="Arial"/>
                <w:szCs w:val="22"/>
              </w:rPr>
            </w:pPr>
            <w:r w:rsidRPr="0019790A">
              <w:rPr>
                <w:rFonts w:cs="Arial"/>
                <w:szCs w:val="22"/>
              </w:rPr>
              <w:t>Встановлення лав, урн, освітлення, знаків безпеки.</w:t>
            </w:r>
          </w:p>
          <w:p w14:paraId="4463F74F" w14:textId="77777777" w:rsidR="005342D5" w:rsidRPr="0019790A" w:rsidRDefault="005342D5" w:rsidP="0068624E">
            <w:pPr>
              <w:numPr>
                <w:ilvl w:val="0"/>
                <w:numId w:val="72"/>
              </w:numPr>
              <w:tabs>
                <w:tab w:val="left" w:pos="191"/>
              </w:tabs>
              <w:ind w:left="0" w:firstLine="0"/>
              <w:jc w:val="both"/>
              <w:rPr>
                <w:rFonts w:cs="Arial"/>
                <w:szCs w:val="22"/>
              </w:rPr>
            </w:pPr>
            <w:r w:rsidRPr="0019790A">
              <w:rPr>
                <w:rFonts w:cs="Arial"/>
                <w:szCs w:val="22"/>
              </w:rPr>
              <w:t>Озеленення навколишньої території, забезпечення доступності.</w:t>
            </w:r>
          </w:p>
          <w:p w14:paraId="4A13591B" w14:textId="77777777" w:rsidR="005342D5" w:rsidRPr="0019790A" w:rsidRDefault="005342D5" w:rsidP="0068624E">
            <w:pPr>
              <w:numPr>
                <w:ilvl w:val="0"/>
                <w:numId w:val="72"/>
              </w:numPr>
              <w:tabs>
                <w:tab w:val="left" w:pos="191"/>
              </w:tabs>
              <w:ind w:left="0" w:firstLine="0"/>
              <w:jc w:val="both"/>
              <w:rPr>
                <w:rFonts w:cs="Arial"/>
                <w:szCs w:val="22"/>
              </w:rPr>
            </w:pPr>
            <w:r w:rsidRPr="0019790A">
              <w:rPr>
                <w:rFonts w:cs="Arial"/>
                <w:szCs w:val="22"/>
              </w:rPr>
              <w:t>Організація урочистого відкриття та перших змагань.</w:t>
            </w:r>
          </w:p>
          <w:p w14:paraId="634E3E9E" w14:textId="77777777" w:rsidR="005342D5" w:rsidRPr="0019790A" w:rsidRDefault="005342D5" w:rsidP="0068624E">
            <w:pPr>
              <w:numPr>
                <w:ilvl w:val="0"/>
                <w:numId w:val="72"/>
              </w:numPr>
              <w:tabs>
                <w:tab w:val="left" w:pos="191"/>
              </w:tabs>
              <w:ind w:left="0" w:firstLine="0"/>
              <w:jc w:val="both"/>
              <w:rPr>
                <w:rFonts w:cs="Arial"/>
                <w:szCs w:val="22"/>
              </w:rPr>
            </w:pPr>
            <w:r w:rsidRPr="0019790A">
              <w:rPr>
                <w:rFonts w:cs="Arial"/>
                <w:szCs w:val="22"/>
              </w:rPr>
              <w:t>Проведення інформаційної кампанії (афіші, соцмережі).</w:t>
            </w:r>
          </w:p>
        </w:tc>
      </w:tr>
      <w:tr w:rsidR="005342D5" w:rsidRPr="0019790A" w14:paraId="0246DCEE" w14:textId="77777777" w:rsidTr="0068624E">
        <w:trPr>
          <w:trHeight w:val="974"/>
          <w:jc w:val="right"/>
        </w:trPr>
        <w:tc>
          <w:tcPr>
            <w:tcW w:w="3425" w:type="dxa"/>
            <w:shd w:val="clear" w:color="auto" w:fill="FFFFFF"/>
            <w:vAlign w:val="center"/>
          </w:tcPr>
          <w:p w14:paraId="63FB136A" w14:textId="77777777" w:rsidR="005342D5" w:rsidRPr="0019790A" w:rsidRDefault="005342D5" w:rsidP="0019790A">
            <w:pPr>
              <w:rPr>
                <w:rFonts w:cs="Arial"/>
                <w:b/>
                <w:bCs/>
                <w:szCs w:val="22"/>
              </w:rPr>
            </w:pPr>
            <w:r w:rsidRPr="0019790A">
              <w:rPr>
                <w:rFonts w:cs="Arial"/>
                <w:b/>
                <w:bCs/>
                <w:szCs w:val="22"/>
              </w:rPr>
              <w:t>Індикатори (показники) результативності:</w:t>
            </w:r>
          </w:p>
        </w:tc>
        <w:tc>
          <w:tcPr>
            <w:tcW w:w="6794" w:type="dxa"/>
            <w:gridSpan w:val="9"/>
            <w:vAlign w:val="center"/>
          </w:tcPr>
          <w:p w14:paraId="3224AB97" w14:textId="77777777" w:rsidR="005342D5" w:rsidRPr="0019790A" w:rsidRDefault="005342D5" w:rsidP="0068624E">
            <w:pPr>
              <w:numPr>
                <w:ilvl w:val="0"/>
                <w:numId w:val="73"/>
              </w:numPr>
              <w:tabs>
                <w:tab w:val="clear" w:pos="720"/>
                <w:tab w:val="left" w:pos="191"/>
              </w:tabs>
              <w:ind w:left="0" w:firstLine="0"/>
              <w:jc w:val="both"/>
              <w:rPr>
                <w:rFonts w:cs="Arial"/>
                <w:szCs w:val="22"/>
              </w:rPr>
            </w:pPr>
            <w:r w:rsidRPr="0019790A">
              <w:rPr>
                <w:rFonts w:cs="Arial"/>
                <w:szCs w:val="22"/>
              </w:rPr>
              <w:t xml:space="preserve">Побудована </w:t>
            </w:r>
            <w:r w:rsidRPr="0019790A">
              <w:rPr>
                <w:rFonts w:cs="Arial"/>
                <w:bCs/>
                <w:szCs w:val="22"/>
              </w:rPr>
              <w:t>технічно безпечна pump-track траса</w:t>
            </w:r>
            <w:r w:rsidRPr="0019790A">
              <w:rPr>
                <w:rFonts w:cs="Arial"/>
                <w:szCs w:val="22"/>
              </w:rPr>
              <w:t xml:space="preserve"> площею до 800 м².</w:t>
            </w:r>
          </w:p>
          <w:p w14:paraId="43D790C7" w14:textId="77777777" w:rsidR="005342D5" w:rsidRPr="0019790A" w:rsidRDefault="005342D5" w:rsidP="0068624E">
            <w:pPr>
              <w:numPr>
                <w:ilvl w:val="0"/>
                <w:numId w:val="73"/>
              </w:numPr>
              <w:tabs>
                <w:tab w:val="clear" w:pos="720"/>
                <w:tab w:val="left" w:pos="191"/>
              </w:tabs>
              <w:ind w:left="0" w:firstLine="0"/>
              <w:jc w:val="both"/>
              <w:rPr>
                <w:rFonts w:cs="Arial"/>
                <w:szCs w:val="22"/>
              </w:rPr>
            </w:pPr>
            <w:r w:rsidRPr="0019790A">
              <w:rPr>
                <w:rFonts w:cs="Arial"/>
                <w:bCs/>
                <w:szCs w:val="22"/>
              </w:rPr>
              <w:t>Щоденне користування — щонайменше 100 відвідувачів у теплий період</w:t>
            </w:r>
            <w:r w:rsidRPr="0019790A">
              <w:rPr>
                <w:rFonts w:cs="Arial"/>
                <w:szCs w:val="22"/>
              </w:rPr>
              <w:t>.</w:t>
            </w:r>
          </w:p>
          <w:p w14:paraId="3FDA02BA" w14:textId="77777777" w:rsidR="005342D5" w:rsidRPr="0019790A" w:rsidRDefault="005342D5" w:rsidP="0068624E">
            <w:pPr>
              <w:numPr>
                <w:ilvl w:val="0"/>
                <w:numId w:val="73"/>
              </w:numPr>
              <w:tabs>
                <w:tab w:val="clear" w:pos="720"/>
                <w:tab w:val="left" w:pos="191"/>
              </w:tabs>
              <w:ind w:left="0" w:firstLine="0"/>
              <w:jc w:val="both"/>
              <w:rPr>
                <w:rFonts w:cs="Arial"/>
                <w:szCs w:val="22"/>
              </w:rPr>
            </w:pPr>
            <w:r w:rsidRPr="0019790A">
              <w:rPr>
                <w:rFonts w:cs="Arial"/>
                <w:szCs w:val="22"/>
              </w:rPr>
              <w:t xml:space="preserve">Проведення </w:t>
            </w:r>
            <w:r w:rsidRPr="0019790A">
              <w:rPr>
                <w:rFonts w:cs="Arial"/>
                <w:bCs/>
                <w:szCs w:val="22"/>
              </w:rPr>
              <w:t>не менше 6 спортивних заходів</w:t>
            </w:r>
            <w:r w:rsidRPr="0019790A">
              <w:rPr>
                <w:rFonts w:cs="Arial"/>
                <w:szCs w:val="22"/>
              </w:rPr>
              <w:t xml:space="preserve"> на рік.</w:t>
            </w:r>
          </w:p>
          <w:p w14:paraId="29A76AA5" w14:textId="77777777" w:rsidR="005342D5" w:rsidRPr="0019790A" w:rsidRDefault="005342D5" w:rsidP="0068624E">
            <w:pPr>
              <w:numPr>
                <w:ilvl w:val="0"/>
                <w:numId w:val="73"/>
              </w:numPr>
              <w:tabs>
                <w:tab w:val="clear" w:pos="720"/>
                <w:tab w:val="left" w:pos="191"/>
              </w:tabs>
              <w:ind w:left="0" w:firstLine="0"/>
              <w:jc w:val="both"/>
              <w:rPr>
                <w:rFonts w:cs="Arial"/>
                <w:szCs w:val="22"/>
              </w:rPr>
            </w:pPr>
            <w:r w:rsidRPr="0019790A">
              <w:rPr>
                <w:rFonts w:cs="Arial"/>
                <w:bCs/>
                <w:szCs w:val="22"/>
              </w:rPr>
              <w:t>Залучення понад 1000 дітей та підлітків на місяць</w:t>
            </w:r>
            <w:r w:rsidRPr="0019790A">
              <w:rPr>
                <w:rFonts w:cs="Arial"/>
                <w:szCs w:val="22"/>
              </w:rPr>
              <w:t>.</w:t>
            </w:r>
          </w:p>
          <w:p w14:paraId="16B303F3" w14:textId="77777777" w:rsidR="005342D5" w:rsidRPr="0019790A" w:rsidRDefault="005342D5" w:rsidP="0068624E">
            <w:pPr>
              <w:numPr>
                <w:ilvl w:val="0"/>
                <w:numId w:val="73"/>
              </w:numPr>
              <w:tabs>
                <w:tab w:val="clear" w:pos="720"/>
                <w:tab w:val="left" w:pos="191"/>
              </w:tabs>
              <w:ind w:left="0" w:firstLine="0"/>
              <w:jc w:val="both"/>
              <w:rPr>
                <w:rFonts w:cs="Arial"/>
                <w:szCs w:val="22"/>
              </w:rPr>
            </w:pPr>
            <w:r w:rsidRPr="0019790A">
              <w:rPr>
                <w:rFonts w:cs="Arial"/>
                <w:szCs w:val="22"/>
              </w:rPr>
              <w:t xml:space="preserve">Створено </w:t>
            </w:r>
            <w:r w:rsidRPr="0019790A">
              <w:rPr>
                <w:rFonts w:cs="Arial"/>
                <w:bCs/>
                <w:szCs w:val="22"/>
              </w:rPr>
              <w:t>нове місце дозвілля</w:t>
            </w:r>
            <w:r w:rsidRPr="0019790A">
              <w:rPr>
                <w:rFonts w:cs="Arial"/>
                <w:szCs w:val="22"/>
              </w:rPr>
              <w:t xml:space="preserve"> у парку громади або публічному просторі.</w:t>
            </w:r>
          </w:p>
          <w:p w14:paraId="6CAB4A1B" w14:textId="77777777" w:rsidR="005342D5" w:rsidRPr="0019790A" w:rsidRDefault="005342D5" w:rsidP="0068624E">
            <w:pPr>
              <w:numPr>
                <w:ilvl w:val="0"/>
                <w:numId w:val="73"/>
              </w:numPr>
              <w:tabs>
                <w:tab w:val="clear" w:pos="720"/>
                <w:tab w:val="left" w:pos="191"/>
              </w:tabs>
              <w:ind w:left="0" w:firstLine="0"/>
              <w:jc w:val="both"/>
              <w:rPr>
                <w:rFonts w:cs="Arial"/>
                <w:szCs w:val="22"/>
              </w:rPr>
            </w:pPr>
            <w:r w:rsidRPr="0019790A">
              <w:rPr>
                <w:rFonts w:cs="Arial"/>
                <w:szCs w:val="22"/>
              </w:rPr>
              <w:t>Поширення інформації про здоровий спосіб життя серед молоді.</w:t>
            </w:r>
          </w:p>
        </w:tc>
      </w:tr>
      <w:tr w:rsidR="005342D5" w:rsidRPr="0019790A" w14:paraId="1A4A4C66" w14:textId="77777777" w:rsidTr="00CF3AAE">
        <w:trPr>
          <w:jc w:val="right"/>
        </w:trPr>
        <w:tc>
          <w:tcPr>
            <w:tcW w:w="3425" w:type="dxa"/>
            <w:shd w:val="clear" w:color="auto" w:fill="FFFFFF"/>
            <w:vAlign w:val="center"/>
          </w:tcPr>
          <w:p w14:paraId="73965852" w14:textId="77777777" w:rsidR="005342D5" w:rsidRPr="0019790A" w:rsidRDefault="005342D5" w:rsidP="0019790A">
            <w:pPr>
              <w:rPr>
                <w:rFonts w:cs="Arial"/>
                <w:b/>
                <w:szCs w:val="22"/>
              </w:rPr>
            </w:pPr>
            <w:r w:rsidRPr="0019790A">
              <w:rPr>
                <w:rFonts w:cs="Arial"/>
                <w:b/>
                <w:szCs w:val="22"/>
              </w:rPr>
              <w:t xml:space="preserve">Період здійснення: </w:t>
            </w:r>
          </w:p>
        </w:tc>
        <w:tc>
          <w:tcPr>
            <w:tcW w:w="6794" w:type="dxa"/>
            <w:gridSpan w:val="9"/>
            <w:vAlign w:val="center"/>
          </w:tcPr>
          <w:p w14:paraId="69C73507" w14:textId="77777777" w:rsidR="005342D5" w:rsidRPr="0019790A" w:rsidRDefault="005342D5" w:rsidP="0019790A">
            <w:pPr>
              <w:rPr>
                <w:rFonts w:cs="Arial"/>
                <w:szCs w:val="22"/>
              </w:rPr>
            </w:pPr>
            <w:r w:rsidRPr="0019790A">
              <w:rPr>
                <w:rFonts w:cs="Arial"/>
                <w:b/>
                <w:szCs w:val="22"/>
              </w:rPr>
              <w:t>2025 – 2028 роки:</w:t>
            </w:r>
          </w:p>
        </w:tc>
      </w:tr>
      <w:tr w:rsidR="005342D5" w:rsidRPr="0019790A" w14:paraId="1F6C5676" w14:textId="77777777" w:rsidTr="00912F2C">
        <w:trPr>
          <w:jc w:val="right"/>
        </w:trPr>
        <w:tc>
          <w:tcPr>
            <w:tcW w:w="3425" w:type="dxa"/>
            <w:vMerge w:val="restart"/>
            <w:shd w:val="clear" w:color="auto" w:fill="FFFFFF"/>
            <w:vAlign w:val="center"/>
          </w:tcPr>
          <w:p w14:paraId="2F61AC63" w14:textId="77777777" w:rsidR="005342D5" w:rsidRPr="0019790A" w:rsidRDefault="005342D5" w:rsidP="0019790A">
            <w:pPr>
              <w:rPr>
                <w:rFonts w:cs="Arial"/>
                <w:b/>
                <w:bCs/>
                <w:szCs w:val="22"/>
              </w:rPr>
            </w:pPr>
            <w:r w:rsidRPr="0019790A">
              <w:rPr>
                <w:rFonts w:cs="Arial"/>
                <w:b/>
                <w:bCs/>
                <w:szCs w:val="22"/>
              </w:rPr>
              <w:t>Орієнтовна вартість проєкту, тис. грн., в тому числі:</w:t>
            </w:r>
          </w:p>
        </w:tc>
        <w:tc>
          <w:tcPr>
            <w:tcW w:w="1254" w:type="dxa"/>
            <w:shd w:val="clear" w:color="auto" w:fill="E6E6E6"/>
            <w:vAlign w:val="center"/>
          </w:tcPr>
          <w:p w14:paraId="511F28CE" w14:textId="77777777" w:rsidR="005342D5" w:rsidRPr="0019790A" w:rsidRDefault="005342D5" w:rsidP="00912F2C">
            <w:pPr>
              <w:jc w:val="center"/>
              <w:rPr>
                <w:rFonts w:cs="Arial"/>
                <w:b/>
                <w:szCs w:val="22"/>
              </w:rPr>
            </w:pPr>
            <w:r w:rsidRPr="0019790A">
              <w:rPr>
                <w:rFonts w:cs="Arial"/>
                <w:b/>
                <w:szCs w:val="22"/>
              </w:rPr>
              <w:t>2025</w:t>
            </w:r>
          </w:p>
        </w:tc>
        <w:tc>
          <w:tcPr>
            <w:tcW w:w="1275" w:type="dxa"/>
            <w:gridSpan w:val="2"/>
            <w:shd w:val="clear" w:color="auto" w:fill="E6E6E6"/>
            <w:vAlign w:val="center"/>
          </w:tcPr>
          <w:p w14:paraId="336D54AF" w14:textId="77777777" w:rsidR="005342D5" w:rsidRPr="0019790A" w:rsidRDefault="005342D5" w:rsidP="00912F2C">
            <w:pPr>
              <w:jc w:val="center"/>
              <w:rPr>
                <w:rFonts w:cs="Arial"/>
                <w:b/>
                <w:szCs w:val="22"/>
              </w:rPr>
            </w:pPr>
            <w:r w:rsidRPr="0019790A">
              <w:rPr>
                <w:rFonts w:cs="Arial"/>
                <w:b/>
                <w:szCs w:val="22"/>
              </w:rPr>
              <w:t>2026</w:t>
            </w:r>
          </w:p>
        </w:tc>
        <w:tc>
          <w:tcPr>
            <w:tcW w:w="1418" w:type="dxa"/>
            <w:gridSpan w:val="2"/>
            <w:tcBorders>
              <w:bottom w:val="single" w:sz="4" w:space="0" w:color="auto"/>
            </w:tcBorders>
            <w:shd w:val="clear" w:color="auto" w:fill="E6E6E6"/>
            <w:vAlign w:val="center"/>
          </w:tcPr>
          <w:p w14:paraId="04567BFE" w14:textId="77777777" w:rsidR="005342D5" w:rsidRPr="0019790A" w:rsidRDefault="005342D5" w:rsidP="00912F2C">
            <w:pPr>
              <w:jc w:val="center"/>
              <w:rPr>
                <w:rFonts w:cs="Arial"/>
                <w:b/>
                <w:szCs w:val="22"/>
              </w:rPr>
            </w:pPr>
            <w:r w:rsidRPr="0019790A">
              <w:rPr>
                <w:rFonts w:cs="Arial"/>
                <w:b/>
                <w:szCs w:val="22"/>
              </w:rPr>
              <w:t>2027</w:t>
            </w:r>
          </w:p>
        </w:tc>
        <w:tc>
          <w:tcPr>
            <w:tcW w:w="1276" w:type="dxa"/>
            <w:gridSpan w:val="2"/>
            <w:shd w:val="clear" w:color="auto" w:fill="E6E6E6"/>
            <w:vAlign w:val="center"/>
          </w:tcPr>
          <w:p w14:paraId="04DF7E84" w14:textId="77777777" w:rsidR="005342D5" w:rsidRPr="0019790A" w:rsidRDefault="005342D5" w:rsidP="00912F2C">
            <w:pPr>
              <w:jc w:val="center"/>
              <w:rPr>
                <w:rFonts w:cs="Arial"/>
                <w:b/>
                <w:szCs w:val="22"/>
              </w:rPr>
            </w:pPr>
            <w:r w:rsidRPr="0019790A">
              <w:rPr>
                <w:rFonts w:cs="Arial"/>
                <w:b/>
                <w:szCs w:val="22"/>
              </w:rPr>
              <w:t>2028</w:t>
            </w:r>
          </w:p>
        </w:tc>
        <w:tc>
          <w:tcPr>
            <w:tcW w:w="1571" w:type="dxa"/>
            <w:gridSpan w:val="2"/>
            <w:shd w:val="clear" w:color="auto" w:fill="E6E6E6"/>
            <w:vAlign w:val="center"/>
          </w:tcPr>
          <w:p w14:paraId="0D054D1F" w14:textId="77777777" w:rsidR="005342D5" w:rsidRPr="0019790A" w:rsidRDefault="005342D5" w:rsidP="00912F2C">
            <w:pPr>
              <w:jc w:val="center"/>
              <w:rPr>
                <w:rFonts w:cs="Arial"/>
                <w:b/>
                <w:szCs w:val="22"/>
              </w:rPr>
            </w:pPr>
            <w:r w:rsidRPr="0019790A">
              <w:rPr>
                <w:rFonts w:cs="Arial"/>
                <w:b/>
                <w:szCs w:val="22"/>
              </w:rPr>
              <w:t>РАЗОМ</w:t>
            </w:r>
          </w:p>
        </w:tc>
      </w:tr>
      <w:tr w:rsidR="005342D5" w:rsidRPr="0019790A" w14:paraId="7767C310" w14:textId="77777777" w:rsidTr="00912F2C">
        <w:trPr>
          <w:jc w:val="right"/>
        </w:trPr>
        <w:tc>
          <w:tcPr>
            <w:tcW w:w="3425" w:type="dxa"/>
            <w:vMerge/>
            <w:shd w:val="clear" w:color="auto" w:fill="FFFFFF"/>
            <w:vAlign w:val="center"/>
          </w:tcPr>
          <w:p w14:paraId="1A3DA930" w14:textId="77777777" w:rsidR="005342D5" w:rsidRPr="0019790A" w:rsidRDefault="005342D5" w:rsidP="0019790A">
            <w:pPr>
              <w:rPr>
                <w:rFonts w:cs="Arial"/>
                <w:b/>
                <w:bCs/>
                <w:szCs w:val="22"/>
              </w:rPr>
            </w:pPr>
          </w:p>
        </w:tc>
        <w:tc>
          <w:tcPr>
            <w:tcW w:w="1254" w:type="dxa"/>
            <w:vAlign w:val="center"/>
          </w:tcPr>
          <w:p w14:paraId="4A905261" w14:textId="77777777" w:rsidR="005342D5" w:rsidRPr="0019790A" w:rsidRDefault="005342D5" w:rsidP="00912F2C">
            <w:pPr>
              <w:jc w:val="center"/>
              <w:rPr>
                <w:rFonts w:cs="Arial"/>
                <w:b/>
                <w:szCs w:val="22"/>
              </w:rPr>
            </w:pPr>
          </w:p>
        </w:tc>
        <w:tc>
          <w:tcPr>
            <w:tcW w:w="1275" w:type="dxa"/>
            <w:gridSpan w:val="2"/>
            <w:shd w:val="clear" w:color="auto" w:fill="FFFFFF"/>
            <w:vAlign w:val="center"/>
          </w:tcPr>
          <w:p w14:paraId="1DB53911" w14:textId="77777777" w:rsidR="005342D5" w:rsidRPr="0019790A" w:rsidRDefault="005342D5" w:rsidP="00912F2C">
            <w:pPr>
              <w:jc w:val="center"/>
              <w:rPr>
                <w:rFonts w:cs="Arial"/>
                <w:b/>
                <w:szCs w:val="22"/>
              </w:rPr>
            </w:pPr>
          </w:p>
        </w:tc>
        <w:tc>
          <w:tcPr>
            <w:tcW w:w="1418" w:type="dxa"/>
            <w:gridSpan w:val="2"/>
            <w:shd w:val="clear" w:color="auto" w:fill="auto"/>
            <w:vAlign w:val="center"/>
          </w:tcPr>
          <w:p w14:paraId="4C5B153F" w14:textId="77777777" w:rsidR="005342D5" w:rsidRPr="0019790A" w:rsidRDefault="005342D5" w:rsidP="00912F2C">
            <w:pPr>
              <w:jc w:val="center"/>
              <w:rPr>
                <w:rFonts w:cs="Arial"/>
                <w:b/>
                <w:szCs w:val="22"/>
              </w:rPr>
            </w:pPr>
            <w:r w:rsidRPr="0019790A">
              <w:rPr>
                <w:rFonts w:cs="Arial"/>
                <w:b/>
                <w:szCs w:val="22"/>
              </w:rPr>
              <w:t>3000,0</w:t>
            </w:r>
          </w:p>
        </w:tc>
        <w:tc>
          <w:tcPr>
            <w:tcW w:w="1276" w:type="dxa"/>
            <w:gridSpan w:val="2"/>
            <w:shd w:val="clear" w:color="auto" w:fill="FFFFFF"/>
            <w:vAlign w:val="center"/>
          </w:tcPr>
          <w:p w14:paraId="5D4AE415" w14:textId="77777777" w:rsidR="005342D5" w:rsidRPr="0019790A" w:rsidRDefault="005342D5" w:rsidP="00912F2C">
            <w:pPr>
              <w:jc w:val="center"/>
              <w:rPr>
                <w:rFonts w:cs="Arial"/>
                <w:b/>
                <w:szCs w:val="22"/>
              </w:rPr>
            </w:pPr>
          </w:p>
        </w:tc>
        <w:tc>
          <w:tcPr>
            <w:tcW w:w="1571" w:type="dxa"/>
            <w:gridSpan w:val="2"/>
            <w:shd w:val="clear" w:color="auto" w:fill="FFFFFF"/>
            <w:vAlign w:val="center"/>
          </w:tcPr>
          <w:p w14:paraId="1D1CDD70" w14:textId="77777777" w:rsidR="005342D5" w:rsidRPr="0019790A" w:rsidRDefault="005342D5" w:rsidP="00912F2C">
            <w:pPr>
              <w:jc w:val="center"/>
              <w:rPr>
                <w:rFonts w:cs="Arial"/>
                <w:b/>
                <w:szCs w:val="22"/>
              </w:rPr>
            </w:pPr>
            <w:r w:rsidRPr="0019790A">
              <w:rPr>
                <w:rFonts w:cs="Arial"/>
                <w:b/>
                <w:szCs w:val="22"/>
              </w:rPr>
              <w:t>3000,0</w:t>
            </w:r>
          </w:p>
        </w:tc>
      </w:tr>
      <w:tr w:rsidR="005342D5" w:rsidRPr="0019790A" w14:paraId="5A87DF7C" w14:textId="77777777" w:rsidTr="00912F2C">
        <w:trPr>
          <w:trHeight w:val="276"/>
          <w:jc w:val="right"/>
        </w:trPr>
        <w:tc>
          <w:tcPr>
            <w:tcW w:w="3425" w:type="dxa"/>
            <w:shd w:val="clear" w:color="auto" w:fill="FFFFFF"/>
            <w:vAlign w:val="center"/>
          </w:tcPr>
          <w:p w14:paraId="62B3318D" w14:textId="77777777" w:rsidR="005342D5" w:rsidRPr="0019790A" w:rsidRDefault="005342D5" w:rsidP="0019790A">
            <w:pPr>
              <w:rPr>
                <w:rFonts w:cs="Arial"/>
                <w:b/>
                <w:bCs/>
                <w:szCs w:val="22"/>
              </w:rPr>
            </w:pPr>
            <w:r w:rsidRPr="0019790A">
              <w:rPr>
                <w:rFonts w:cs="Arial"/>
                <w:b/>
                <w:bCs/>
                <w:szCs w:val="22"/>
              </w:rPr>
              <w:t>по джерелах фінансування:</w:t>
            </w:r>
          </w:p>
        </w:tc>
        <w:tc>
          <w:tcPr>
            <w:tcW w:w="6794" w:type="dxa"/>
            <w:gridSpan w:val="9"/>
            <w:vAlign w:val="center"/>
          </w:tcPr>
          <w:p w14:paraId="0F80C811" w14:textId="77777777" w:rsidR="005342D5" w:rsidRPr="0019790A" w:rsidRDefault="005342D5" w:rsidP="00912F2C">
            <w:pPr>
              <w:jc w:val="center"/>
              <w:rPr>
                <w:rFonts w:cs="Arial"/>
                <w:szCs w:val="22"/>
              </w:rPr>
            </w:pPr>
          </w:p>
        </w:tc>
      </w:tr>
      <w:tr w:rsidR="00912F2C" w:rsidRPr="0019790A" w14:paraId="22F613C3" w14:textId="5457EBB1" w:rsidTr="00912F2C">
        <w:trPr>
          <w:trHeight w:val="240"/>
          <w:jc w:val="right"/>
        </w:trPr>
        <w:tc>
          <w:tcPr>
            <w:tcW w:w="3425" w:type="dxa"/>
            <w:shd w:val="clear" w:color="auto" w:fill="FFFFFF"/>
            <w:vAlign w:val="center"/>
          </w:tcPr>
          <w:p w14:paraId="29957170" w14:textId="77777777" w:rsidR="00912F2C" w:rsidRPr="0019790A" w:rsidRDefault="00912F2C" w:rsidP="0019790A">
            <w:pPr>
              <w:rPr>
                <w:rFonts w:cs="Arial"/>
                <w:b/>
                <w:bCs/>
                <w:szCs w:val="22"/>
              </w:rPr>
            </w:pPr>
            <w:r w:rsidRPr="0019790A">
              <w:rPr>
                <w:rFonts w:cs="Arial"/>
                <w:szCs w:val="22"/>
              </w:rPr>
              <w:t>- державний бюджет</w:t>
            </w:r>
          </w:p>
        </w:tc>
        <w:tc>
          <w:tcPr>
            <w:tcW w:w="1286" w:type="dxa"/>
            <w:gridSpan w:val="2"/>
            <w:vAlign w:val="center"/>
          </w:tcPr>
          <w:p w14:paraId="652DA3E9" w14:textId="77777777" w:rsidR="00912F2C" w:rsidRPr="0019790A" w:rsidRDefault="00912F2C" w:rsidP="00912F2C">
            <w:pPr>
              <w:jc w:val="center"/>
              <w:rPr>
                <w:rFonts w:cs="Arial"/>
                <w:szCs w:val="22"/>
              </w:rPr>
            </w:pPr>
          </w:p>
        </w:tc>
        <w:tc>
          <w:tcPr>
            <w:tcW w:w="1267" w:type="dxa"/>
            <w:gridSpan w:val="2"/>
            <w:vAlign w:val="center"/>
          </w:tcPr>
          <w:p w14:paraId="393B9C47" w14:textId="77777777" w:rsidR="00912F2C" w:rsidRPr="0019790A" w:rsidRDefault="00912F2C" w:rsidP="00912F2C">
            <w:pPr>
              <w:jc w:val="center"/>
              <w:rPr>
                <w:rFonts w:cs="Arial"/>
                <w:szCs w:val="22"/>
              </w:rPr>
            </w:pPr>
          </w:p>
        </w:tc>
        <w:tc>
          <w:tcPr>
            <w:tcW w:w="1402" w:type="dxa"/>
            <w:gridSpan w:val="2"/>
            <w:vAlign w:val="center"/>
          </w:tcPr>
          <w:p w14:paraId="126A4A60" w14:textId="77777777" w:rsidR="00912F2C" w:rsidRPr="0019790A" w:rsidRDefault="00912F2C" w:rsidP="00912F2C">
            <w:pPr>
              <w:jc w:val="center"/>
              <w:rPr>
                <w:rFonts w:cs="Arial"/>
                <w:szCs w:val="22"/>
              </w:rPr>
            </w:pPr>
          </w:p>
        </w:tc>
        <w:tc>
          <w:tcPr>
            <w:tcW w:w="1296" w:type="dxa"/>
            <w:gridSpan w:val="2"/>
            <w:vAlign w:val="center"/>
          </w:tcPr>
          <w:p w14:paraId="359B1486" w14:textId="77777777" w:rsidR="00912F2C" w:rsidRPr="0019790A" w:rsidRDefault="00912F2C" w:rsidP="00912F2C">
            <w:pPr>
              <w:jc w:val="center"/>
              <w:rPr>
                <w:rFonts w:cs="Arial"/>
                <w:szCs w:val="22"/>
              </w:rPr>
            </w:pPr>
          </w:p>
        </w:tc>
        <w:tc>
          <w:tcPr>
            <w:tcW w:w="1543" w:type="dxa"/>
            <w:vAlign w:val="center"/>
          </w:tcPr>
          <w:p w14:paraId="4BF9C38F" w14:textId="77777777" w:rsidR="00912F2C" w:rsidRPr="0019790A" w:rsidRDefault="00912F2C" w:rsidP="00912F2C">
            <w:pPr>
              <w:jc w:val="center"/>
              <w:rPr>
                <w:rFonts w:cs="Arial"/>
                <w:szCs w:val="22"/>
              </w:rPr>
            </w:pPr>
          </w:p>
        </w:tc>
      </w:tr>
      <w:tr w:rsidR="00912F2C" w:rsidRPr="0019790A" w14:paraId="753D86B7" w14:textId="36D0AAAC" w:rsidTr="00912F2C">
        <w:trPr>
          <w:trHeight w:val="254"/>
          <w:jc w:val="right"/>
        </w:trPr>
        <w:tc>
          <w:tcPr>
            <w:tcW w:w="3425" w:type="dxa"/>
            <w:shd w:val="clear" w:color="auto" w:fill="FFFFFF"/>
            <w:vAlign w:val="center"/>
          </w:tcPr>
          <w:p w14:paraId="5560EBD1" w14:textId="77777777" w:rsidR="00912F2C" w:rsidRPr="0019790A" w:rsidRDefault="00912F2C" w:rsidP="0019790A">
            <w:pPr>
              <w:rPr>
                <w:rFonts w:cs="Arial"/>
                <w:szCs w:val="22"/>
              </w:rPr>
            </w:pPr>
            <w:r w:rsidRPr="0019790A">
              <w:rPr>
                <w:rFonts w:cs="Arial"/>
                <w:szCs w:val="22"/>
              </w:rPr>
              <w:t>- обласний бюджет</w:t>
            </w:r>
          </w:p>
        </w:tc>
        <w:tc>
          <w:tcPr>
            <w:tcW w:w="1286" w:type="dxa"/>
            <w:gridSpan w:val="2"/>
            <w:vAlign w:val="center"/>
          </w:tcPr>
          <w:p w14:paraId="024391D0" w14:textId="77777777" w:rsidR="00912F2C" w:rsidRPr="0019790A" w:rsidRDefault="00912F2C" w:rsidP="00912F2C">
            <w:pPr>
              <w:jc w:val="center"/>
              <w:rPr>
                <w:rFonts w:cs="Arial"/>
                <w:szCs w:val="22"/>
              </w:rPr>
            </w:pPr>
          </w:p>
        </w:tc>
        <w:tc>
          <w:tcPr>
            <w:tcW w:w="1267" w:type="dxa"/>
            <w:gridSpan w:val="2"/>
            <w:vAlign w:val="center"/>
          </w:tcPr>
          <w:p w14:paraId="5DF8930F" w14:textId="77777777" w:rsidR="00912F2C" w:rsidRPr="0019790A" w:rsidRDefault="00912F2C" w:rsidP="00912F2C">
            <w:pPr>
              <w:jc w:val="center"/>
              <w:rPr>
                <w:rFonts w:cs="Arial"/>
                <w:szCs w:val="22"/>
              </w:rPr>
            </w:pPr>
          </w:p>
        </w:tc>
        <w:tc>
          <w:tcPr>
            <w:tcW w:w="1402" w:type="dxa"/>
            <w:gridSpan w:val="2"/>
            <w:vAlign w:val="center"/>
          </w:tcPr>
          <w:p w14:paraId="79A99332" w14:textId="77777777" w:rsidR="00912F2C" w:rsidRPr="0019790A" w:rsidRDefault="00912F2C" w:rsidP="00912F2C">
            <w:pPr>
              <w:jc w:val="center"/>
              <w:rPr>
                <w:rFonts w:cs="Arial"/>
                <w:szCs w:val="22"/>
              </w:rPr>
            </w:pPr>
          </w:p>
        </w:tc>
        <w:tc>
          <w:tcPr>
            <w:tcW w:w="1296" w:type="dxa"/>
            <w:gridSpan w:val="2"/>
            <w:vAlign w:val="center"/>
          </w:tcPr>
          <w:p w14:paraId="32CB97B9" w14:textId="77777777" w:rsidR="00912F2C" w:rsidRPr="0019790A" w:rsidRDefault="00912F2C" w:rsidP="00912F2C">
            <w:pPr>
              <w:jc w:val="center"/>
              <w:rPr>
                <w:rFonts w:cs="Arial"/>
                <w:szCs w:val="22"/>
              </w:rPr>
            </w:pPr>
          </w:p>
        </w:tc>
        <w:tc>
          <w:tcPr>
            <w:tcW w:w="1543" w:type="dxa"/>
            <w:vAlign w:val="center"/>
          </w:tcPr>
          <w:p w14:paraId="7E306312" w14:textId="77777777" w:rsidR="00912F2C" w:rsidRPr="0019790A" w:rsidRDefault="00912F2C" w:rsidP="00912F2C">
            <w:pPr>
              <w:jc w:val="center"/>
              <w:rPr>
                <w:rFonts w:cs="Arial"/>
                <w:szCs w:val="22"/>
              </w:rPr>
            </w:pPr>
          </w:p>
        </w:tc>
      </w:tr>
      <w:tr w:rsidR="00912F2C" w:rsidRPr="0019790A" w14:paraId="334F01B2" w14:textId="4AF4F9F3" w:rsidTr="00912F2C">
        <w:trPr>
          <w:trHeight w:val="275"/>
          <w:jc w:val="right"/>
        </w:trPr>
        <w:tc>
          <w:tcPr>
            <w:tcW w:w="3425" w:type="dxa"/>
            <w:shd w:val="clear" w:color="auto" w:fill="FFFFFF"/>
            <w:vAlign w:val="center"/>
          </w:tcPr>
          <w:p w14:paraId="5466167D" w14:textId="77777777" w:rsidR="00912F2C" w:rsidRPr="0019790A" w:rsidRDefault="00912F2C" w:rsidP="0019790A">
            <w:pPr>
              <w:rPr>
                <w:rFonts w:cs="Arial"/>
                <w:szCs w:val="22"/>
              </w:rPr>
            </w:pPr>
            <w:r w:rsidRPr="0019790A">
              <w:rPr>
                <w:rFonts w:cs="Arial"/>
                <w:szCs w:val="22"/>
              </w:rPr>
              <w:t>- бюджет Жмеринської МТГ</w:t>
            </w:r>
          </w:p>
        </w:tc>
        <w:tc>
          <w:tcPr>
            <w:tcW w:w="1286" w:type="dxa"/>
            <w:gridSpan w:val="2"/>
            <w:vAlign w:val="center"/>
          </w:tcPr>
          <w:p w14:paraId="6B799B7D" w14:textId="5CA6BC91" w:rsidR="00912F2C" w:rsidRPr="0019790A" w:rsidRDefault="00912F2C" w:rsidP="00912F2C">
            <w:pPr>
              <w:jc w:val="center"/>
              <w:rPr>
                <w:rFonts w:cs="Arial"/>
                <w:b/>
                <w:szCs w:val="22"/>
              </w:rPr>
            </w:pPr>
          </w:p>
        </w:tc>
        <w:tc>
          <w:tcPr>
            <w:tcW w:w="1267" w:type="dxa"/>
            <w:gridSpan w:val="2"/>
            <w:vAlign w:val="center"/>
          </w:tcPr>
          <w:p w14:paraId="223A6E35" w14:textId="3E908B59" w:rsidR="00912F2C" w:rsidRPr="0019790A" w:rsidRDefault="00912F2C" w:rsidP="00912F2C">
            <w:pPr>
              <w:jc w:val="center"/>
              <w:rPr>
                <w:rFonts w:cs="Arial"/>
                <w:b/>
                <w:szCs w:val="22"/>
              </w:rPr>
            </w:pPr>
          </w:p>
        </w:tc>
        <w:tc>
          <w:tcPr>
            <w:tcW w:w="1402" w:type="dxa"/>
            <w:gridSpan w:val="2"/>
            <w:vAlign w:val="center"/>
          </w:tcPr>
          <w:p w14:paraId="0EDCA47D" w14:textId="2C40E1C6" w:rsidR="00912F2C" w:rsidRPr="0019790A" w:rsidRDefault="00912F2C" w:rsidP="00912F2C">
            <w:pPr>
              <w:jc w:val="center"/>
              <w:rPr>
                <w:rFonts w:cs="Arial"/>
                <w:b/>
                <w:szCs w:val="22"/>
              </w:rPr>
            </w:pPr>
            <w:r w:rsidRPr="0019790A">
              <w:rPr>
                <w:rFonts w:cs="Arial"/>
                <w:b/>
                <w:szCs w:val="22"/>
              </w:rPr>
              <w:t>3000,0</w:t>
            </w:r>
          </w:p>
        </w:tc>
        <w:tc>
          <w:tcPr>
            <w:tcW w:w="1296" w:type="dxa"/>
            <w:gridSpan w:val="2"/>
            <w:vAlign w:val="center"/>
          </w:tcPr>
          <w:p w14:paraId="7F880A57" w14:textId="781387BB" w:rsidR="00912F2C" w:rsidRPr="0019790A" w:rsidRDefault="00912F2C" w:rsidP="00912F2C">
            <w:pPr>
              <w:jc w:val="center"/>
              <w:rPr>
                <w:rFonts w:cs="Arial"/>
                <w:b/>
                <w:szCs w:val="22"/>
              </w:rPr>
            </w:pPr>
          </w:p>
        </w:tc>
        <w:tc>
          <w:tcPr>
            <w:tcW w:w="1543" w:type="dxa"/>
            <w:vAlign w:val="center"/>
          </w:tcPr>
          <w:p w14:paraId="3325AFAD" w14:textId="678F1B34" w:rsidR="00912F2C" w:rsidRPr="0019790A" w:rsidRDefault="00912F2C" w:rsidP="00912F2C">
            <w:pPr>
              <w:ind w:left="103"/>
              <w:jc w:val="center"/>
              <w:rPr>
                <w:rFonts w:cs="Arial"/>
                <w:b/>
                <w:szCs w:val="22"/>
              </w:rPr>
            </w:pPr>
            <w:r w:rsidRPr="0019790A">
              <w:rPr>
                <w:rFonts w:cs="Arial"/>
                <w:b/>
                <w:szCs w:val="22"/>
              </w:rPr>
              <w:t>3000,0</w:t>
            </w:r>
          </w:p>
        </w:tc>
      </w:tr>
      <w:tr w:rsidR="00912F2C" w:rsidRPr="0019790A" w14:paraId="29F0D0B0" w14:textId="3C7B95CD" w:rsidTr="00912F2C">
        <w:trPr>
          <w:trHeight w:val="226"/>
          <w:jc w:val="right"/>
        </w:trPr>
        <w:tc>
          <w:tcPr>
            <w:tcW w:w="3425" w:type="dxa"/>
            <w:shd w:val="clear" w:color="auto" w:fill="FFFFFF"/>
            <w:vAlign w:val="center"/>
          </w:tcPr>
          <w:p w14:paraId="7900EA18" w14:textId="77777777" w:rsidR="00912F2C" w:rsidRPr="0019790A" w:rsidRDefault="00912F2C" w:rsidP="0019790A">
            <w:pPr>
              <w:rPr>
                <w:rFonts w:cs="Arial"/>
                <w:szCs w:val="22"/>
              </w:rPr>
            </w:pPr>
            <w:r w:rsidRPr="0019790A">
              <w:rPr>
                <w:rFonts w:cs="Arial"/>
                <w:szCs w:val="22"/>
              </w:rPr>
              <w:t>- інші джерела фінансування</w:t>
            </w:r>
          </w:p>
        </w:tc>
        <w:tc>
          <w:tcPr>
            <w:tcW w:w="1286" w:type="dxa"/>
            <w:gridSpan w:val="2"/>
            <w:vAlign w:val="center"/>
          </w:tcPr>
          <w:p w14:paraId="33219228" w14:textId="77777777" w:rsidR="00912F2C" w:rsidRPr="0019790A" w:rsidRDefault="00912F2C" w:rsidP="00912F2C">
            <w:pPr>
              <w:jc w:val="center"/>
              <w:rPr>
                <w:rFonts w:cs="Arial"/>
                <w:szCs w:val="22"/>
              </w:rPr>
            </w:pPr>
          </w:p>
        </w:tc>
        <w:tc>
          <w:tcPr>
            <w:tcW w:w="1267" w:type="dxa"/>
            <w:gridSpan w:val="2"/>
            <w:vAlign w:val="center"/>
          </w:tcPr>
          <w:p w14:paraId="16962445" w14:textId="77777777" w:rsidR="00912F2C" w:rsidRPr="0019790A" w:rsidRDefault="00912F2C" w:rsidP="00912F2C">
            <w:pPr>
              <w:jc w:val="center"/>
              <w:rPr>
                <w:rFonts w:cs="Arial"/>
                <w:szCs w:val="22"/>
              </w:rPr>
            </w:pPr>
          </w:p>
        </w:tc>
        <w:tc>
          <w:tcPr>
            <w:tcW w:w="1402" w:type="dxa"/>
            <w:gridSpan w:val="2"/>
            <w:vAlign w:val="center"/>
          </w:tcPr>
          <w:p w14:paraId="70486CB5" w14:textId="77777777" w:rsidR="00912F2C" w:rsidRPr="0019790A" w:rsidRDefault="00912F2C" w:rsidP="00912F2C">
            <w:pPr>
              <w:jc w:val="center"/>
              <w:rPr>
                <w:rFonts w:cs="Arial"/>
                <w:szCs w:val="22"/>
              </w:rPr>
            </w:pPr>
          </w:p>
        </w:tc>
        <w:tc>
          <w:tcPr>
            <w:tcW w:w="1296" w:type="dxa"/>
            <w:gridSpan w:val="2"/>
            <w:vAlign w:val="center"/>
          </w:tcPr>
          <w:p w14:paraId="7A5A3F79" w14:textId="77777777" w:rsidR="00912F2C" w:rsidRPr="0019790A" w:rsidRDefault="00912F2C" w:rsidP="00912F2C">
            <w:pPr>
              <w:jc w:val="center"/>
              <w:rPr>
                <w:rFonts w:cs="Arial"/>
                <w:szCs w:val="22"/>
              </w:rPr>
            </w:pPr>
          </w:p>
        </w:tc>
        <w:tc>
          <w:tcPr>
            <w:tcW w:w="1543" w:type="dxa"/>
            <w:vAlign w:val="center"/>
          </w:tcPr>
          <w:p w14:paraId="6C2EA79F" w14:textId="77777777" w:rsidR="00912F2C" w:rsidRPr="0019790A" w:rsidRDefault="00912F2C" w:rsidP="00912F2C">
            <w:pPr>
              <w:jc w:val="center"/>
              <w:rPr>
                <w:rFonts w:cs="Arial"/>
                <w:szCs w:val="22"/>
              </w:rPr>
            </w:pPr>
          </w:p>
        </w:tc>
      </w:tr>
      <w:tr w:rsidR="005342D5" w:rsidRPr="0019790A" w14:paraId="549AA658" w14:textId="77777777" w:rsidTr="00CF3AAE">
        <w:trPr>
          <w:jc w:val="right"/>
        </w:trPr>
        <w:tc>
          <w:tcPr>
            <w:tcW w:w="3425" w:type="dxa"/>
            <w:shd w:val="clear" w:color="auto" w:fill="FFFFFF"/>
            <w:vAlign w:val="center"/>
          </w:tcPr>
          <w:p w14:paraId="1682C6B5" w14:textId="77777777" w:rsidR="005342D5" w:rsidRPr="0019790A" w:rsidRDefault="005342D5" w:rsidP="0019790A">
            <w:pPr>
              <w:rPr>
                <w:rFonts w:cs="Arial"/>
                <w:b/>
                <w:bCs/>
                <w:szCs w:val="22"/>
              </w:rPr>
            </w:pPr>
            <w:r w:rsidRPr="0019790A">
              <w:rPr>
                <w:rFonts w:cs="Arial"/>
                <w:b/>
                <w:szCs w:val="22"/>
              </w:rPr>
              <w:t>Відповідальний виконавець проєкту:</w:t>
            </w:r>
          </w:p>
        </w:tc>
        <w:tc>
          <w:tcPr>
            <w:tcW w:w="6794" w:type="dxa"/>
            <w:gridSpan w:val="9"/>
            <w:vAlign w:val="center"/>
          </w:tcPr>
          <w:p w14:paraId="54802F12" w14:textId="05A16BC2" w:rsidR="005342D5" w:rsidRPr="0019790A" w:rsidRDefault="005342D5" w:rsidP="00912F2C">
            <w:pPr>
              <w:rPr>
                <w:rFonts w:cs="Arial"/>
                <w:szCs w:val="22"/>
              </w:rPr>
            </w:pPr>
            <w:r w:rsidRPr="0019790A">
              <w:rPr>
                <w:rFonts w:cs="Arial"/>
                <w:szCs w:val="22"/>
              </w:rPr>
              <w:t>Управління житлово-комунального господарства Жмеринської міської ради, комунальне підприємство «Парковий культурно-спортивний комплекс» Жмеринської міської ради Вінницької області</w:t>
            </w:r>
          </w:p>
        </w:tc>
      </w:tr>
      <w:tr w:rsidR="005342D5" w:rsidRPr="0019790A" w14:paraId="6562435A" w14:textId="77777777" w:rsidTr="00CF3AAE">
        <w:trPr>
          <w:jc w:val="right"/>
        </w:trPr>
        <w:tc>
          <w:tcPr>
            <w:tcW w:w="3425" w:type="dxa"/>
            <w:shd w:val="clear" w:color="auto" w:fill="FFFFFF"/>
            <w:vAlign w:val="center"/>
          </w:tcPr>
          <w:p w14:paraId="4BEC71E2" w14:textId="77777777" w:rsidR="005342D5" w:rsidRPr="0019790A" w:rsidRDefault="005342D5" w:rsidP="0019790A">
            <w:pPr>
              <w:rPr>
                <w:rFonts w:cs="Arial"/>
                <w:b/>
                <w:bCs/>
                <w:szCs w:val="22"/>
              </w:rPr>
            </w:pPr>
            <w:r w:rsidRPr="0019790A">
              <w:rPr>
                <w:rFonts w:cs="Arial"/>
                <w:b/>
                <w:bCs/>
                <w:szCs w:val="22"/>
              </w:rPr>
              <w:t>Інше:</w:t>
            </w:r>
          </w:p>
        </w:tc>
        <w:tc>
          <w:tcPr>
            <w:tcW w:w="6794" w:type="dxa"/>
            <w:gridSpan w:val="9"/>
            <w:vAlign w:val="center"/>
          </w:tcPr>
          <w:p w14:paraId="48D9C4DE" w14:textId="77777777" w:rsidR="005342D5" w:rsidRPr="0019790A" w:rsidRDefault="005342D5" w:rsidP="0019790A">
            <w:pPr>
              <w:rPr>
                <w:rFonts w:cs="Arial"/>
                <w:szCs w:val="22"/>
              </w:rPr>
            </w:pPr>
          </w:p>
        </w:tc>
      </w:tr>
    </w:tbl>
    <w:p w14:paraId="05BEB136" w14:textId="77777777" w:rsidR="005342D5" w:rsidRPr="0019790A" w:rsidRDefault="005342D5" w:rsidP="0019790A">
      <w:pPr>
        <w:rPr>
          <w:rFonts w:cs="Arial"/>
          <w:szCs w:val="22"/>
        </w:rPr>
      </w:pPr>
    </w:p>
    <w:p w14:paraId="605A3715" w14:textId="77777777" w:rsidR="005342D5" w:rsidRPr="0019790A" w:rsidRDefault="005342D5" w:rsidP="0019790A">
      <w:pPr>
        <w:jc w:val="center"/>
        <w:rPr>
          <w:rFonts w:cs="Arial"/>
          <w:b/>
          <w:szCs w:val="22"/>
        </w:rPr>
      </w:pPr>
      <w:r w:rsidRPr="0019790A">
        <w:rPr>
          <w:rFonts w:cs="Arial"/>
          <w:b/>
          <w:szCs w:val="22"/>
        </w:rPr>
        <w:t>Форма технічного завдання на проєкт місцевого розвитку</w:t>
      </w:r>
    </w:p>
    <w:p w14:paraId="0000015E" w14:textId="77777777" w:rsidR="005342D5" w:rsidRPr="0019790A" w:rsidRDefault="005342D5" w:rsidP="0019790A">
      <w:pPr>
        <w:jc w:val="center"/>
        <w:rPr>
          <w:rFonts w:cs="Arial"/>
          <w:b/>
          <w:szCs w:val="22"/>
        </w:rPr>
      </w:pPr>
      <w:r w:rsidRPr="0019790A">
        <w:rPr>
          <w:rFonts w:cs="Arial"/>
          <w:b/>
          <w:szCs w:val="22"/>
        </w:rPr>
        <w:t>до Плану заходів з реалізації Стратегії</w:t>
      </w:r>
    </w:p>
    <w:p w14:paraId="1B41135F" w14:textId="77777777" w:rsidR="005342D5" w:rsidRPr="0019790A" w:rsidRDefault="005342D5"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29"/>
        <w:gridCol w:w="25"/>
        <w:gridCol w:w="1275"/>
        <w:gridCol w:w="25"/>
        <w:gridCol w:w="1393"/>
        <w:gridCol w:w="9"/>
        <w:gridCol w:w="1267"/>
        <w:gridCol w:w="19"/>
        <w:gridCol w:w="1552"/>
      </w:tblGrid>
      <w:tr w:rsidR="005342D5" w:rsidRPr="0019790A" w14:paraId="4CF460D1" w14:textId="77777777" w:rsidTr="00CF3AAE">
        <w:trPr>
          <w:jc w:val="right"/>
        </w:trPr>
        <w:tc>
          <w:tcPr>
            <w:tcW w:w="3425" w:type="dxa"/>
            <w:vAlign w:val="center"/>
          </w:tcPr>
          <w:p w14:paraId="2A90DB09" w14:textId="77777777" w:rsidR="005342D5" w:rsidRPr="0019790A" w:rsidRDefault="005342D5" w:rsidP="0019790A">
            <w:pPr>
              <w:rPr>
                <w:rFonts w:cs="Arial"/>
                <w:b/>
                <w:bCs/>
                <w:szCs w:val="22"/>
              </w:rPr>
            </w:pPr>
            <w:r w:rsidRPr="0019790A">
              <w:rPr>
                <w:rFonts w:cs="Arial"/>
                <w:b/>
                <w:bCs/>
                <w:szCs w:val="22"/>
              </w:rPr>
              <w:t>Назва проєкту:</w:t>
            </w:r>
          </w:p>
        </w:tc>
        <w:tc>
          <w:tcPr>
            <w:tcW w:w="6794" w:type="dxa"/>
            <w:gridSpan w:val="9"/>
          </w:tcPr>
          <w:p w14:paraId="122FC063" w14:textId="77777777" w:rsidR="005342D5" w:rsidRPr="00912F2C" w:rsidRDefault="005342D5" w:rsidP="0019790A">
            <w:pPr>
              <w:rPr>
                <w:rFonts w:cs="Arial"/>
                <w:b/>
                <w:szCs w:val="22"/>
              </w:rPr>
            </w:pPr>
            <w:r w:rsidRPr="00912F2C">
              <w:rPr>
                <w:rFonts w:cs="Arial"/>
                <w:b/>
                <w:szCs w:val="22"/>
              </w:rPr>
              <w:t>"Pump-track — безпечний простір для активного руху дітей та молоді" на території старостинських округів Жмеринської міської територіальної громади</w:t>
            </w:r>
          </w:p>
        </w:tc>
      </w:tr>
      <w:tr w:rsidR="005342D5" w:rsidRPr="0019790A" w14:paraId="4FF73614" w14:textId="77777777" w:rsidTr="00912F2C">
        <w:trPr>
          <w:jc w:val="right"/>
        </w:trPr>
        <w:tc>
          <w:tcPr>
            <w:tcW w:w="3425" w:type="dxa"/>
          </w:tcPr>
          <w:p w14:paraId="56331D5F" w14:textId="77777777" w:rsidR="005342D5" w:rsidRPr="0019790A" w:rsidRDefault="005342D5" w:rsidP="0019790A">
            <w:pPr>
              <w:rPr>
                <w:rFonts w:cs="Arial"/>
                <w:szCs w:val="22"/>
              </w:rPr>
            </w:pPr>
            <w:r w:rsidRPr="0019790A">
              <w:rPr>
                <w:rFonts w:cs="Arial"/>
                <w:b/>
                <w:bCs/>
                <w:szCs w:val="22"/>
              </w:rPr>
              <w:t>Ваші контакти</w:t>
            </w:r>
            <w:r w:rsidRPr="0019790A">
              <w:rPr>
                <w:rFonts w:cs="Arial"/>
                <w:szCs w:val="22"/>
              </w:rPr>
              <w:t>:</w:t>
            </w:r>
          </w:p>
          <w:p w14:paraId="01FAB17D" w14:textId="77777777" w:rsidR="005342D5" w:rsidRPr="0019790A" w:rsidRDefault="005342D5" w:rsidP="0019790A">
            <w:pPr>
              <w:rPr>
                <w:rFonts w:cs="Arial"/>
                <w:b/>
                <w:bCs/>
                <w:szCs w:val="22"/>
              </w:rPr>
            </w:pPr>
            <w:r w:rsidRPr="0019790A">
              <w:rPr>
                <w:rFonts w:cs="Arial"/>
                <w:szCs w:val="22"/>
              </w:rPr>
              <w:t>Назва установи, організації, підприємства</w:t>
            </w:r>
          </w:p>
        </w:tc>
        <w:tc>
          <w:tcPr>
            <w:tcW w:w="6794" w:type="dxa"/>
            <w:gridSpan w:val="9"/>
            <w:vAlign w:val="center"/>
          </w:tcPr>
          <w:p w14:paraId="0977B213" w14:textId="77777777" w:rsidR="005342D5" w:rsidRPr="0019790A" w:rsidRDefault="005342D5" w:rsidP="00912F2C">
            <w:pPr>
              <w:tabs>
                <w:tab w:val="left" w:pos="277"/>
              </w:tabs>
              <w:jc w:val="both"/>
              <w:rPr>
                <w:rFonts w:cs="Arial"/>
                <w:szCs w:val="22"/>
              </w:rPr>
            </w:pPr>
            <w:r w:rsidRPr="0019790A">
              <w:rPr>
                <w:rFonts w:cs="Arial"/>
                <w:szCs w:val="22"/>
              </w:rPr>
              <w:t>Відділ молоді та спорту Жмеринської міської ради</w:t>
            </w:r>
          </w:p>
        </w:tc>
      </w:tr>
      <w:tr w:rsidR="005342D5" w:rsidRPr="0019790A" w14:paraId="09E5EDEF" w14:textId="77777777" w:rsidTr="00912F2C">
        <w:trPr>
          <w:jc w:val="right"/>
        </w:trPr>
        <w:tc>
          <w:tcPr>
            <w:tcW w:w="3425" w:type="dxa"/>
          </w:tcPr>
          <w:p w14:paraId="59E2906B" w14:textId="77777777" w:rsidR="005342D5" w:rsidRPr="0019790A" w:rsidRDefault="005342D5" w:rsidP="0019790A">
            <w:pPr>
              <w:rPr>
                <w:rFonts w:cs="Arial"/>
                <w:b/>
                <w:bCs/>
                <w:szCs w:val="22"/>
              </w:rPr>
            </w:pPr>
            <w:r w:rsidRPr="0019790A">
              <w:rPr>
                <w:rFonts w:cs="Arial"/>
                <w:szCs w:val="22"/>
              </w:rPr>
              <w:t>Прізвище Ім’я По-батькові:</w:t>
            </w:r>
          </w:p>
        </w:tc>
        <w:tc>
          <w:tcPr>
            <w:tcW w:w="6794" w:type="dxa"/>
            <w:gridSpan w:val="9"/>
            <w:vAlign w:val="center"/>
          </w:tcPr>
          <w:p w14:paraId="63CB50C1" w14:textId="77777777" w:rsidR="005342D5" w:rsidRPr="0019790A" w:rsidRDefault="005342D5" w:rsidP="00912F2C">
            <w:pPr>
              <w:tabs>
                <w:tab w:val="left" w:pos="277"/>
              </w:tabs>
              <w:jc w:val="both"/>
              <w:rPr>
                <w:rFonts w:cs="Arial"/>
                <w:szCs w:val="22"/>
              </w:rPr>
            </w:pPr>
            <w:r w:rsidRPr="0019790A">
              <w:rPr>
                <w:rFonts w:cs="Arial"/>
                <w:szCs w:val="22"/>
              </w:rPr>
              <w:t>Ковальська Олена Віталіївна</w:t>
            </w:r>
          </w:p>
        </w:tc>
      </w:tr>
      <w:tr w:rsidR="005342D5" w:rsidRPr="0019790A" w14:paraId="7E514A3F" w14:textId="77777777" w:rsidTr="00912F2C">
        <w:trPr>
          <w:jc w:val="right"/>
        </w:trPr>
        <w:tc>
          <w:tcPr>
            <w:tcW w:w="3425" w:type="dxa"/>
          </w:tcPr>
          <w:p w14:paraId="54E599ED" w14:textId="77777777" w:rsidR="005342D5" w:rsidRPr="0019790A" w:rsidRDefault="005342D5" w:rsidP="0019790A">
            <w:pPr>
              <w:rPr>
                <w:rFonts w:cs="Arial"/>
                <w:b/>
                <w:bCs/>
                <w:szCs w:val="22"/>
              </w:rPr>
            </w:pPr>
            <w:r w:rsidRPr="0019790A">
              <w:rPr>
                <w:rFonts w:cs="Arial"/>
                <w:szCs w:val="22"/>
              </w:rPr>
              <w:t>Телефон (мобільний):</w:t>
            </w:r>
          </w:p>
        </w:tc>
        <w:tc>
          <w:tcPr>
            <w:tcW w:w="6794" w:type="dxa"/>
            <w:gridSpan w:val="9"/>
            <w:vAlign w:val="center"/>
          </w:tcPr>
          <w:p w14:paraId="074F0A78" w14:textId="77777777" w:rsidR="005342D5" w:rsidRPr="0019790A" w:rsidRDefault="005342D5" w:rsidP="00912F2C">
            <w:pPr>
              <w:tabs>
                <w:tab w:val="left" w:pos="277"/>
              </w:tabs>
              <w:jc w:val="both"/>
              <w:rPr>
                <w:rFonts w:cs="Arial"/>
                <w:szCs w:val="22"/>
              </w:rPr>
            </w:pPr>
            <w:r w:rsidRPr="0019790A">
              <w:rPr>
                <w:rFonts w:cs="Arial"/>
                <w:szCs w:val="22"/>
              </w:rPr>
              <w:t>096-068-94-79</w:t>
            </w:r>
          </w:p>
        </w:tc>
      </w:tr>
      <w:tr w:rsidR="005342D5" w:rsidRPr="0019790A" w14:paraId="52D23E5F" w14:textId="77777777" w:rsidTr="00912F2C">
        <w:trPr>
          <w:jc w:val="right"/>
        </w:trPr>
        <w:tc>
          <w:tcPr>
            <w:tcW w:w="3425" w:type="dxa"/>
          </w:tcPr>
          <w:p w14:paraId="0F9A5CFC" w14:textId="77777777" w:rsidR="005342D5" w:rsidRPr="0019790A" w:rsidRDefault="005342D5" w:rsidP="0019790A">
            <w:pPr>
              <w:rPr>
                <w:rFonts w:cs="Arial"/>
                <w:b/>
                <w:bCs/>
                <w:szCs w:val="22"/>
              </w:rPr>
            </w:pPr>
            <w:r w:rsidRPr="0019790A">
              <w:rPr>
                <w:rFonts w:cs="Arial"/>
                <w:szCs w:val="22"/>
              </w:rPr>
              <w:t>Електронна адреса:</w:t>
            </w:r>
          </w:p>
        </w:tc>
        <w:tc>
          <w:tcPr>
            <w:tcW w:w="6794" w:type="dxa"/>
            <w:gridSpan w:val="9"/>
            <w:vAlign w:val="center"/>
          </w:tcPr>
          <w:p w14:paraId="2FEDDA08" w14:textId="77777777" w:rsidR="005342D5" w:rsidRPr="0019790A" w:rsidRDefault="00D85FFD" w:rsidP="00912F2C">
            <w:pPr>
              <w:tabs>
                <w:tab w:val="left" w:pos="277"/>
              </w:tabs>
              <w:jc w:val="both"/>
              <w:rPr>
                <w:rFonts w:cs="Arial"/>
                <w:szCs w:val="22"/>
              </w:rPr>
            </w:pPr>
            <w:hyperlink r:id="rId156" w:history="1">
              <w:r w:rsidR="005342D5" w:rsidRPr="0019790A">
                <w:rPr>
                  <w:rStyle w:val="af0"/>
                  <w:rFonts w:cs="Arial"/>
                  <w:b/>
                  <w:bCs/>
                  <w:noProof w:val="0"/>
                  <w:sz w:val="22"/>
                  <w:szCs w:val="22"/>
                </w:rPr>
                <w:t>ms@zhmr.gov.ua</w:t>
              </w:r>
            </w:hyperlink>
          </w:p>
        </w:tc>
      </w:tr>
      <w:tr w:rsidR="005342D5" w:rsidRPr="0019790A" w14:paraId="2AE9E12B" w14:textId="77777777" w:rsidTr="00912F2C">
        <w:trPr>
          <w:jc w:val="right"/>
        </w:trPr>
        <w:tc>
          <w:tcPr>
            <w:tcW w:w="3425" w:type="dxa"/>
            <w:vAlign w:val="center"/>
          </w:tcPr>
          <w:p w14:paraId="66AF97B4" w14:textId="77777777" w:rsidR="005342D5" w:rsidRPr="0019790A" w:rsidRDefault="005342D5" w:rsidP="0019790A">
            <w:pPr>
              <w:rPr>
                <w:rFonts w:cs="Arial"/>
                <w:b/>
                <w:bCs/>
                <w:szCs w:val="22"/>
              </w:rPr>
            </w:pPr>
            <w:r w:rsidRPr="0019790A">
              <w:rPr>
                <w:rFonts w:cs="Arial"/>
                <w:b/>
                <w:bCs/>
                <w:szCs w:val="22"/>
              </w:rPr>
              <w:t>Номер і назва завдання з Стратегії розвитку Жмеринської міської територіальної громади,  якому відповідає проєкт:</w:t>
            </w:r>
          </w:p>
        </w:tc>
        <w:tc>
          <w:tcPr>
            <w:tcW w:w="6794" w:type="dxa"/>
            <w:gridSpan w:val="9"/>
            <w:vAlign w:val="center"/>
          </w:tcPr>
          <w:p w14:paraId="795BC262" w14:textId="77777777" w:rsidR="005342D5" w:rsidRPr="0019790A" w:rsidRDefault="005342D5" w:rsidP="00912F2C">
            <w:pPr>
              <w:tabs>
                <w:tab w:val="left" w:pos="277"/>
              </w:tabs>
              <w:jc w:val="both"/>
              <w:rPr>
                <w:rFonts w:cs="Arial"/>
                <w:b/>
                <w:bCs/>
                <w:szCs w:val="22"/>
              </w:rPr>
            </w:pPr>
            <w:r w:rsidRPr="0019790A">
              <w:rPr>
                <w:rFonts w:cs="Arial"/>
                <w:b/>
                <w:bCs/>
                <w:szCs w:val="22"/>
              </w:rPr>
              <w:t>С.3.4.1. Вдосконалення спортивного розвитку та самореалізації дітей, молоді, населення середнього та пенсійного віку.</w:t>
            </w:r>
          </w:p>
          <w:p w14:paraId="503D1C51" w14:textId="77777777" w:rsidR="005342D5" w:rsidRPr="0019790A" w:rsidRDefault="005342D5" w:rsidP="00912F2C">
            <w:pPr>
              <w:tabs>
                <w:tab w:val="left" w:pos="277"/>
              </w:tabs>
              <w:jc w:val="both"/>
              <w:rPr>
                <w:rFonts w:cs="Arial"/>
                <w:b/>
                <w:bCs/>
                <w:szCs w:val="22"/>
              </w:rPr>
            </w:pPr>
            <w:r w:rsidRPr="0019790A">
              <w:rPr>
                <w:rFonts w:cs="Arial"/>
                <w:b/>
                <w:bCs/>
                <w:szCs w:val="22"/>
              </w:rPr>
              <w:t>С.3.4.2. Будівництво, реконструкція інфраструктури спорту з урахуванням гендерного аспекту.</w:t>
            </w:r>
          </w:p>
          <w:p w14:paraId="53742CDC" w14:textId="77777777" w:rsidR="005342D5" w:rsidRPr="0019790A" w:rsidRDefault="005342D5" w:rsidP="00912F2C">
            <w:pPr>
              <w:tabs>
                <w:tab w:val="left" w:pos="277"/>
              </w:tabs>
              <w:jc w:val="both"/>
              <w:rPr>
                <w:rFonts w:cs="Arial"/>
                <w:b/>
                <w:szCs w:val="22"/>
              </w:rPr>
            </w:pPr>
          </w:p>
        </w:tc>
      </w:tr>
      <w:tr w:rsidR="005342D5" w:rsidRPr="0019790A" w14:paraId="676CBCEC" w14:textId="77777777" w:rsidTr="00912F2C">
        <w:trPr>
          <w:trHeight w:val="673"/>
          <w:jc w:val="right"/>
        </w:trPr>
        <w:tc>
          <w:tcPr>
            <w:tcW w:w="3425" w:type="dxa"/>
            <w:vAlign w:val="center"/>
          </w:tcPr>
          <w:p w14:paraId="69700204" w14:textId="77777777" w:rsidR="005342D5" w:rsidRPr="0019790A" w:rsidRDefault="005342D5" w:rsidP="0019790A">
            <w:pPr>
              <w:rPr>
                <w:rFonts w:cs="Arial"/>
                <w:b/>
                <w:bCs/>
                <w:szCs w:val="22"/>
              </w:rPr>
            </w:pPr>
            <w:r w:rsidRPr="0019790A">
              <w:rPr>
                <w:rFonts w:cs="Arial"/>
                <w:b/>
                <w:bCs/>
                <w:szCs w:val="22"/>
              </w:rPr>
              <w:t>Мета проєкту:</w:t>
            </w:r>
          </w:p>
        </w:tc>
        <w:tc>
          <w:tcPr>
            <w:tcW w:w="6794" w:type="dxa"/>
            <w:gridSpan w:val="9"/>
            <w:vAlign w:val="center"/>
          </w:tcPr>
          <w:p w14:paraId="090A33AA" w14:textId="07A7CDC3" w:rsidR="005342D5" w:rsidRPr="0019790A" w:rsidRDefault="005342D5" w:rsidP="00912F2C">
            <w:pPr>
              <w:tabs>
                <w:tab w:val="left" w:pos="277"/>
              </w:tabs>
              <w:jc w:val="both"/>
              <w:rPr>
                <w:rFonts w:cs="Arial"/>
                <w:szCs w:val="22"/>
              </w:rPr>
            </w:pPr>
            <w:r w:rsidRPr="0019790A">
              <w:rPr>
                <w:rFonts w:cs="Arial"/>
                <w:szCs w:val="22"/>
              </w:rPr>
              <w:t xml:space="preserve">Створення сучасної та безпечної спортивної інфраструктури для розвитку навичок катання на велосипедах, самокатах, скейтах та роликах серед дітей та молоді, а також популяризація здорового способу життя на території с.Рів, с. Коростівці, с. Жуківці, с. </w:t>
            </w:r>
            <w:r w:rsidR="00912F2C" w:rsidRPr="0019790A">
              <w:rPr>
                <w:rFonts w:cs="Arial"/>
                <w:szCs w:val="22"/>
              </w:rPr>
              <w:t>Біликівці</w:t>
            </w:r>
            <w:r w:rsidRPr="0019790A">
              <w:rPr>
                <w:rFonts w:cs="Arial"/>
                <w:szCs w:val="22"/>
              </w:rPr>
              <w:t>, с. Леляки, с. Дубова, с. Кармалюки, с. Курилівці, с. Лисогірка, с. Людавка, с. Почапинці.</w:t>
            </w:r>
          </w:p>
        </w:tc>
      </w:tr>
      <w:tr w:rsidR="005342D5" w:rsidRPr="0019790A" w14:paraId="50747405" w14:textId="77777777" w:rsidTr="00912F2C">
        <w:trPr>
          <w:jc w:val="right"/>
        </w:trPr>
        <w:tc>
          <w:tcPr>
            <w:tcW w:w="3425" w:type="dxa"/>
            <w:vAlign w:val="center"/>
          </w:tcPr>
          <w:p w14:paraId="5198A477" w14:textId="77777777" w:rsidR="005342D5" w:rsidRPr="0019790A" w:rsidRDefault="005342D5" w:rsidP="0019790A">
            <w:pPr>
              <w:rPr>
                <w:rFonts w:cs="Arial"/>
                <w:b/>
                <w:bCs/>
                <w:szCs w:val="22"/>
              </w:rPr>
            </w:pPr>
            <w:r w:rsidRPr="0019790A">
              <w:rPr>
                <w:rFonts w:cs="Arial"/>
                <w:b/>
                <w:bCs/>
                <w:szCs w:val="22"/>
              </w:rPr>
              <w:t>Цілі проєкту:</w:t>
            </w:r>
          </w:p>
        </w:tc>
        <w:tc>
          <w:tcPr>
            <w:tcW w:w="6794" w:type="dxa"/>
            <w:gridSpan w:val="9"/>
            <w:vAlign w:val="center"/>
          </w:tcPr>
          <w:p w14:paraId="67EA574C" w14:textId="77777777" w:rsidR="005342D5" w:rsidRPr="0019790A" w:rsidRDefault="005342D5" w:rsidP="00912F2C">
            <w:pPr>
              <w:tabs>
                <w:tab w:val="left" w:pos="277"/>
              </w:tabs>
              <w:jc w:val="both"/>
              <w:rPr>
                <w:rFonts w:cs="Arial"/>
                <w:szCs w:val="22"/>
              </w:rPr>
            </w:pPr>
            <w:r w:rsidRPr="0019790A">
              <w:rPr>
                <w:rFonts w:cs="Arial"/>
                <w:szCs w:val="22"/>
              </w:rPr>
              <w:t>1.Створити інфраструктуру для катання на дво- та чотириколісному обладнанні без необхідності використання доріг загального користування.</w:t>
            </w:r>
          </w:p>
          <w:p w14:paraId="2423F84C" w14:textId="77777777" w:rsidR="005342D5" w:rsidRPr="0019790A" w:rsidRDefault="005342D5" w:rsidP="00912F2C">
            <w:pPr>
              <w:tabs>
                <w:tab w:val="left" w:pos="277"/>
              </w:tabs>
              <w:jc w:val="both"/>
              <w:rPr>
                <w:rFonts w:cs="Arial"/>
                <w:szCs w:val="22"/>
              </w:rPr>
            </w:pPr>
            <w:r w:rsidRPr="0019790A">
              <w:rPr>
                <w:rFonts w:cs="Arial"/>
                <w:szCs w:val="22"/>
              </w:rPr>
              <w:t>2.Забезпечити вільний доступ до безпечної зони для активного дозвілля.</w:t>
            </w:r>
          </w:p>
          <w:p w14:paraId="12F92E7D" w14:textId="77777777" w:rsidR="005342D5" w:rsidRPr="0019790A" w:rsidRDefault="005342D5" w:rsidP="00912F2C">
            <w:pPr>
              <w:tabs>
                <w:tab w:val="left" w:pos="277"/>
              </w:tabs>
              <w:jc w:val="both"/>
              <w:rPr>
                <w:rFonts w:cs="Arial"/>
                <w:szCs w:val="22"/>
              </w:rPr>
            </w:pPr>
            <w:r w:rsidRPr="0019790A">
              <w:rPr>
                <w:rFonts w:cs="Arial"/>
                <w:szCs w:val="22"/>
              </w:rPr>
              <w:t>3.Залучити молодь до занять спортом у неформальному форматі.</w:t>
            </w:r>
          </w:p>
          <w:p w14:paraId="7C7931B2" w14:textId="77777777" w:rsidR="005342D5" w:rsidRPr="0019790A" w:rsidRDefault="005342D5" w:rsidP="00912F2C">
            <w:pPr>
              <w:tabs>
                <w:tab w:val="left" w:pos="277"/>
              </w:tabs>
              <w:jc w:val="both"/>
              <w:rPr>
                <w:rFonts w:cs="Arial"/>
                <w:szCs w:val="22"/>
              </w:rPr>
            </w:pPr>
            <w:r w:rsidRPr="0019790A">
              <w:rPr>
                <w:rFonts w:cs="Arial"/>
                <w:szCs w:val="22"/>
              </w:rPr>
              <w:t>4.Зменшити рівень підліткової вуличної зайнятості, покращити соціальну згуртованість.</w:t>
            </w:r>
          </w:p>
        </w:tc>
      </w:tr>
      <w:tr w:rsidR="005342D5" w:rsidRPr="0019790A" w14:paraId="2EA90703" w14:textId="77777777" w:rsidTr="00912F2C">
        <w:trPr>
          <w:jc w:val="right"/>
        </w:trPr>
        <w:tc>
          <w:tcPr>
            <w:tcW w:w="3425" w:type="dxa"/>
            <w:vAlign w:val="center"/>
          </w:tcPr>
          <w:p w14:paraId="1E93D57C" w14:textId="77777777" w:rsidR="005342D5" w:rsidRPr="0019790A" w:rsidRDefault="005342D5" w:rsidP="0019790A">
            <w:pPr>
              <w:rPr>
                <w:rFonts w:cs="Arial"/>
                <w:b/>
                <w:szCs w:val="22"/>
              </w:rPr>
            </w:pPr>
            <w:r w:rsidRPr="0019790A">
              <w:rPr>
                <w:rFonts w:cs="Arial"/>
                <w:b/>
                <w:szCs w:val="22"/>
              </w:rPr>
              <w:t>Територія на яку проєкт матиме вплив:</w:t>
            </w:r>
          </w:p>
        </w:tc>
        <w:tc>
          <w:tcPr>
            <w:tcW w:w="6794" w:type="dxa"/>
            <w:gridSpan w:val="9"/>
            <w:vAlign w:val="center"/>
          </w:tcPr>
          <w:p w14:paraId="2871BE94" w14:textId="77777777" w:rsidR="005342D5" w:rsidRPr="0019790A" w:rsidRDefault="005342D5" w:rsidP="00912F2C">
            <w:pPr>
              <w:tabs>
                <w:tab w:val="left" w:pos="277"/>
              </w:tabs>
              <w:jc w:val="both"/>
              <w:rPr>
                <w:rFonts w:cs="Arial"/>
                <w:szCs w:val="22"/>
              </w:rPr>
            </w:pPr>
            <w:r w:rsidRPr="0019790A">
              <w:rPr>
                <w:rFonts w:cs="Arial"/>
                <w:szCs w:val="22"/>
              </w:rPr>
              <w:t>Жмеринська міська територіальна громада</w:t>
            </w:r>
          </w:p>
        </w:tc>
      </w:tr>
      <w:tr w:rsidR="005342D5" w:rsidRPr="0019790A" w14:paraId="665AD059" w14:textId="77777777" w:rsidTr="00912F2C">
        <w:trPr>
          <w:jc w:val="right"/>
        </w:trPr>
        <w:tc>
          <w:tcPr>
            <w:tcW w:w="3425" w:type="dxa"/>
            <w:vAlign w:val="center"/>
          </w:tcPr>
          <w:p w14:paraId="257ED05D" w14:textId="77777777" w:rsidR="005342D5" w:rsidRPr="0019790A" w:rsidRDefault="005342D5" w:rsidP="0019790A">
            <w:pPr>
              <w:rPr>
                <w:rFonts w:cs="Arial"/>
                <w:b/>
                <w:szCs w:val="22"/>
              </w:rPr>
            </w:pPr>
            <w:r w:rsidRPr="0019790A">
              <w:rPr>
                <w:rFonts w:cs="Arial"/>
                <w:b/>
                <w:szCs w:val="22"/>
              </w:rPr>
              <w:t>Цільові групи проєкту та кількість отримувачів вигоди</w:t>
            </w:r>
          </w:p>
        </w:tc>
        <w:tc>
          <w:tcPr>
            <w:tcW w:w="6794" w:type="dxa"/>
            <w:gridSpan w:val="9"/>
            <w:vAlign w:val="center"/>
          </w:tcPr>
          <w:p w14:paraId="0D0C4433" w14:textId="77777777" w:rsidR="005342D5" w:rsidRPr="0019790A" w:rsidRDefault="005342D5" w:rsidP="00912F2C">
            <w:pPr>
              <w:tabs>
                <w:tab w:val="left" w:pos="277"/>
              </w:tabs>
              <w:jc w:val="both"/>
              <w:rPr>
                <w:rFonts w:cs="Arial"/>
                <w:bCs/>
                <w:szCs w:val="22"/>
              </w:rPr>
            </w:pPr>
            <w:r w:rsidRPr="0019790A">
              <w:rPr>
                <w:rFonts w:cs="Arial"/>
                <w:bCs/>
                <w:szCs w:val="22"/>
              </w:rPr>
              <w:t>1.  Діти (від 4 років)</w:t>
            </w:r>
          </w:p>
          <w:p w14:paraId="2AA105C9" w14:textId="77777777" w:rsidR="005342D5" w:rsidRPr="0019790A" w:rsidRDefault="005342D5" w:rsidP="00912F2C">
            <w:pPr>
              <w:tabs>
                <w:tab w:val="left" w:pos="277"/>
              </w:tabs>
              <w:jc w:val="both"/>
              <w:rPr>
                <w:rFonts w:cs="Arial"/>
                <w:bCs/>
                <w:szCs w:val="22"/>
              </w:rPr>
            </w:pPr>
            <w:r w:rsidRPr="0019790A">
              <w:rPr>
                <w:rFonts w:cs="Arial"/>
                <w:bCs/>
                <w:szCs w:val="22"/>
              </w:rPr>
              <w:t>2.  Підлітки та молодь (7–25 років)</w:t>
            </w:r>
          </w:p>
          <w:p w14:paraId="7E67BEC4" w14:textId="77777777" w:rsidR="005342D5" w:rsidRPr="0019790A" w:rsidRDefault="005342D5" w:rsidP="00912F2C">
            <w:pPr>
              <w:tabs>
                <w:tab w:val="left" w:pos="277"/>
              </w:tabs>
              <w:jc w:val="both"/>
              <w:rPr>
                <w:rFonts w:cs="Arial"/>
                <w:bCs/>
                <w:szCs w:val="22"/>
              </w:rPr>
            </w:pPr>
            <w:r w:rsidRPr="0019790A">
              <w:rPr>
                <w:rFonts w:cs="Arial"/>
                <w:bCs/>
                <w:szCs w:val="22"/>
              </w:rPr>
              <w:t>3.  Родини з дітьми</w:t>
            </w:r>
          </w:p>
          <w:p w14:paraId="6D0E61BB" w14:textId="77777777" w:rsidR="005342D5" w:rsidRPr="0019790A" w:rsidRDefault="005342D5" w:rsidP="00912F2C">
            <w:pPr>
              <w:tabs>
                <w:tab w:val="left" w:pos="277"/>
              </w:tabs>
              <w:jc w:val="both"/>
              <w:rPr>
                <w:rFonts w:cs="Arial"/>
                <w:bCs/>
                <w:szCs w:val="22"/>
              </w:rPr>
            </w:pPr>
            <w:r w:rsidRPr="0019790A">
              <w:rPr>
                <w:rFonts w:cs="Arial"/>
                <w:bCs/>
                <w:szCs w:val="22"/>
              </w:rPr>
              <w:t>4.  Аматори екстремального спорту</w:t>
            </w:r>
          </w:p>
          <w:p w14:paraId="5BC83EF0" w14:textId="77777777" w:rsidR="005342D5" w:rsidRPr="0019790A" w:rsidRDefault="005342D5" w:rsidP="00912F2C">
            <w:pPr>
              <w:tabs>
                <w:tab w:val="left" w:pos="277"/>
              </w:tabs>
              <w:jc w:val="both"/>
              <w:rPr>
                <w:rFonts w:cs="Arial"/>
                <w:bCs/>
                <w:szCs w:val="22"/>
              </w:rPr>
            </w:pPr>
            <w:r w:rsidRPr="0019790A">
              <w:rPr>
                <w:rFonts w:cs="Arial"/>
                <w:bCs/>
                <w:szCs w:val="22"/>
              </w:rPr>
              <w:t>5.  Вихованці спортивних гуртків та секцій</w:t>
            </w:r>
          </w:p>
          <w:p w14:paraId="2C236EB5" w14:textId="77777777" w:rsidR="005342D5" w:rsidRPr="0019790A" w:rsidRDefault="005342D5" w:rsidP="00912F2C">
            <w:pPr>
              <w:tabs>
                <w:tab w:val="left" w:pos="277"/>
              </w:tabs>
              <w:jc w:val="both"/>
              <w:rPr>
                <w:rFonts w:cs="Arial"/>
                <w:szCs w:val="22"/>
              </w:rPr>
            </w:pPr>
            <w:r w:rsidRPr="0019790A">
              <w:rPr>
                <w:rFonts w:cs="Arial"/>
                <w:b/>
                <w:szCs w:val="22"/>
              </w:rPr>
              <w:t>Кількість отримувачів вигоди</w:t>
            </w:r>
            <w:r w:rsidRPr="0019790A">
              <w:rPr>
                <w:rFonts w:cs="Arial"/>
                <w:szCs w:val="22"/>
              </w:rPr>
              <w:t xml:space="preserve"> </w:t>
            </w:r>
            <w:r w:rsidRPr="0019790A">
              <w:rPr>
                <w:rFonts w:cs="Arial"/>
                <w:b/>
                <w:szCs w:val="22"/>
              </w:rPr>
              <w:t>12 000 осіб.</w:t>
            </w:r>
          </w:p>
        </w:tc>
      </w:tr>
      <w:tr w:rsidR="005342D5" w:rsidRPr="0019790A" w14:paraId="1C1C0505" w14:textId="77777777" w:rsidTr="00912F2C">
        <w:trPr>
          <w:jc w:val="right"/>
        </w:trPr>
        <w:tc>
          <w:tcPr>
            <w:tcW w:w="3425" w:type="dxa"/>
            <w:shd w:val="clear" w:color="auto" w:fill="FFFFFF"/>
            <w:vAlign w:val="center"/>
          </w:tcPr>
          <w:p w14:paraId="44F7C1D2" w14:textId="77777777" w:rsidR="005342D5" w:rsidRPr="0019790A" w:rsidRDefault="005342D5" w:rsidP="0019790A">
            <w:pPr>
              <w:rPr>
                <w:rFonts w:cs="Arial"/>
                <w:b/>
                <w:bCs/>
                <w:szCs w:val="22"/>
              </w:rPr>
            </w:pPr>
            <w:r w:rsidRPr="0019790A">
              <w:rPr>
                <w:rFonts w:cs="Arial"/>
                <w:b/>
                <w:bCs/>
                <w:szCs w:val="22"/>
              </w:rPr>
              <w:t>Стислий опис проєкту:</w:t>
            </w:r>
          </w:p>
        </w:tc>
        <w:tc>
          <w:tcPr>
            <w:tcW w:w="6794" w:type="dxa"/>
            <w:gridSpan w:val="9"/>
            <w:vAlign w:val="center"/>
          </w:tcPr>
          <w:p w14:paraId="6FD366CF" w14:textId="77777777" w:rsidR="005342D5" w:rsidRPr="0019790A" w:rsidRDefault="005342D5" w:rsidP="00912F2C">
            <w:pPr>
              <w:tabs>
                <w:tab w:val="left" w:pos="277"/>
              </w:tabs>
              <w:jc w:val="both"/>
              <w:rPr>
                <w:rFonts w:cs="Arial"/>
                <w:szCs w:val="22"/>
              </w:rPr>
            </w:pPr>
            <w:r w:rsidRPr="0019790A">
              <w:rPr>
                <w:rFonts w:cs="Arial"/>
                <w:szCs w:val="22"/>
              </w:rPr>
              <w:t xml:space="preserve">Проєкт передбачає будівництво </w:t>
            </w:r>
            <w:r w:rsidRPr="0019790A">
              <w:rPr>
                <w:rFonts w:cs="Arial"/>
                <w:bCs/>
                <w:szCs w:val="22"/>
              </w:rPr>
              <w:t>асфальтованої або модульної pump-track траси</w:t>
            </w:r>
            <w:r w:rsidRPr="0019790A">
              <w:rPr>
                <w:rFonts w:cs="Arial"/>
                <w:szCs w:val="22"/>
              </w:rPr>
              <w:t xml:space="preserve"> — хвилястої кільцевої доріжки з підйомами та спусками, що дозволяє кататись без педалювання за рахунок інерції. Траса підходить для всіх типів колісних пристроїв: BMX, MTB, самокатів, скейтів, роликів. Об'єкт матиме </w:t>
            </w:r>
            <w:r w:rsidRPr="0019790A">
              <w:rPr>
                <w:rFonts w:cs="Arial"/>
                <w:bCs/>
                <w:szCs w:val="22"/>
              </w:rPr>
              <w:t>периметральне освітлення</w:t>
            </w:r>
            <w:r w:rsidRPr="0019790A">
              <w:rPr>
                <w:rFonts w:cs="Arial"/>
                <w:szCs w:val="22"/>
              </w:rPr>
              <w:t xml:space="preserve">, </w:t>
            </w:r>
            <w:r w:rsidRPr="0019790A">
              <w:rPr>
                <w:rFonts w:cs="Arial"/>
                <w:bCs/>
                <w:szCs w:val="22"/>
              </w:rPr>
              <w:t>лавки</w:t>
            </w:r>
            <w:r w:rsidRPr="0019790A">
              <w:rPr>
                <w:rFonts w:cs="Arial"/>
                <w:szCs w:val="22"/>
              </w:rPr>
              <w:t xml:space="preserve">, </w:t>
            </w:r>
            <w:r w:rsidRPr="0019790A">
              <w:rPr>
                <w:rFonts w:cs="Arial"/>
                <w:bCs/>
                <w:szCs w:val="22"/>
              </w:rPr>
              <w:t>велопарковки</w:t>
            </w:r>
            <w:r w:rsidRPr="0019790A">
              <w:rPr>
                <w:rFonts w:cs="Arial"/>
                <w:szCs w:val="22"/>
              </w:rPr>
              <w:t xml:space="preserve">, </w:t>
            </w:r>
            <w:r w:rsidRPr="0019790A">
              <w:rPr>
                <w:rFonts w:cs="Arial"/>
                <w:bCs/>
                <w:szCs w:val="22"/>
              </w:rPr>
              <w:t>зелений пояс</w:t>
            </w:r>
            <w:r w:rsidRPr="0019790A">
              <w:rPr>
                <w:rFonts w:cs="Arial"/>
                <w:szCs w:val="22"/>
              </w:rPr>
              <w:t xml:space="preserve">, а також </w:t>
            </w:r>
            <w:r w:rsidRPr="0019790A">
              <w:rPr>
                <w:rFonts w:cs="Arial"/>
                <w:bCs/>
                <w:szCs w:val="22"/>
              </w:rPr>
              <w:t>інформаційні таблички з правилами безпеки</w:t>
            </w:r>
            <w:r w:rsidRPr="0019790A">
              <w:rPr>
                <w:rFonts w:cs="Arial"/>
                <w:szCs w:val="22"/>
              </w:rPr>
              <w:t>.</w:t>
            </w:r>
          </w:p>
        </w:tc>
      </w:tr>
      <w:tr w:rsidR="005342D5" w:rsidRPr="0019790A" w14:paraId="0EB300CD" w14:textId="77777777" w:rsidTr="00912F2C">
        <w:trPr>
          <w:jc w:val="right"/>
        </w:trPr>
        <w:tc>
          <w:tcPr>
            <w:tcW w:w="3425" w:type="dxa"/>
            <w:shd w:val="clear" w:color="auto" w:fill="FFFFFF"/>
            <w:vAlign w:val="center"/>
          </w:tcPr>
          <w:p w14:paraId="79F940FE" w14:textId="77777777" w:rsidR="005342D5" w:rsidRPr="0019790A" w:rsidRDefault="005342D5" w:rsidP="0019790A">
            <w:pPr>
              <w:rPr>
                <w:rFonts w:cs="Arial"/>
                <w:b/>
                <w:bCs/>
                <w:szCs w:val="22"/>
              </w:rPr>
            </w:pPr>
            <w:r w:rsidRPr="0019790A">
              <w:rPr>
                <w:rFonts w:cs="Arial"/>
                <w:b/>
                <w:bCs/>
                <w:szCs w:val="22"/>
              </w:rPr>
              <w:t>Основні заходи проєкту:</w:t>
            </w:r>
          </w:p>
        </w:tc>
        <w:tc>
          <w:tcPr>
            <w:tcW w:w="6794" w:type="dxa"/>
            <w:gridSpan w:val="9"/>
            <w:vAlign w:val="center"/>
          </w:tcPr>
          <w:p w14:paraId="6A3F489B" w14:textId="77777777" w:rsidR="005342D5" w:rsidRPr="0019790A" w:rsidRDefault="005342D5" w:rsidP="00912F2C">
            <w:pPr>
              <w:numPr>
                <w:ilvl w:val="0"/>
                <w:numId w:val="74"/>
              </w:numPr>
              <w:tabs>
                <w:tab w:val="left" w:pos="277"/>
              </w:tabs>
              <w:ind w:left="0" w:firstLine="0"/>
              <w:jc w:val="both"/>
              <w:rPr>
                <w:rFonts w:cs="Arial"/>
                <w:szCs w:val="22"/>
              </w:rPr>
            </w:pPr>
            <w:r w:rsidRPr="0019790A">
              <w:rPr>
                <w:rFonts w:cs="Arial"/>
                <w:szCs w:val="22"/>
              </w:rPr>
              <w:t>Вибір ділянки, розробка проєктно-кошторисної документації.</w:t>
            </w:r>
          </w:p>
          <w:p w14:paraId="18D157B9" w14:textId="77777777" w:rsidR="005342D5" w:rsidRPr="0019790A" w:rsidRDefault="005342D5" w:rsidP="00912F2C">
            <w:pPr>
              <w:numPr>
                <w:ilvl w:val="0"/>
                <w:numId w:val="74"/>
              </w:numPr>
              <w:tabs>
                <w:tab w:val="left" w:pos="277"/>
              </w:tabs>
              <w:ind w:left="0" w:firstLine="0"/>
              <w:jc w:val="both"/>
              <w:rPr>
                <w:rFonts w:cs="Arial"/>
                <w:szCs w:val="22"/>
              </w:rPr>
            </w:pPr>
            <w:r w:rsidRPr="0019790A">
              <w:rPr>
                <w:rFonts w:cs="Arial"/>
                <w:szCs w:val="22"/>
              </w:rPr>
              <w:t>Проведення підготовчих земляних робіт, планування території.</w:t>
            </w:r>
          </w:p>
          <w:p w14:paraId="321F1FE3" w14:textId="77777777" w:rsidR="005342D5" w:rsidRPr="0019790A" w:rsidRDefault="005342D5" w:rsidP="00912F2C">
            <w:pPr>
              <w:numPr>
                <w:ilvl w:val="0"/>
                <w:numId w:val="74"/>
              </w:numPr>
              <w:tabs>
                <w:tab w:val="left" w:pos="277"/>
              </w:tabs>
              <w:ind w:left="0" w:firstLine="0"/>
              <w:jc w:val="both"/>
              <w:rPr>
                <w:rFonts w:cs="Arial"/>
                <w:szCs w:val="22"/>
              </w:rPr>
            </w:pPr>
            <w:r w:rsidRPr="0019790A">
              <w:rPr>
                <w:rFonts w:cs="Arial"/>
                <w:szCs w:val="22"/>
              </w:rPr>
              <w:t>Улаштування траси pump-track (асфальтове або модульне гумове покриття).</w:t>
            </w:r>
          </w:p>
          <w:p w14:paraId="6F170C79" w14:textId="77777777" w:rsidR="005342D5" w:rsidRPr="0019790A" w:rsidRDefault="005342D5" w:rsidP="00912F2C">
            <w:pPr>
              <w:numPr>
                <w:ilvl w:val="0"/>
                <w:numId w:val="74"/>
              </w:numPr>
              <w:tabs>
                <w:tab w:val="left" w:pos="277"/>
              </w:tabs>
              <w:ind w:left="0" w:firstLine="0"/>
              <w:jc w:val="both"/>
              <w:rPr>
                <w:rFonts w:cs="Arial"/>
                <w:szCs w:val="22"/>
              </w:rPr>
            </w:pPr>
            <w:r w:rsidRPr="0019790A">
              <w:rPr>
                <w:rFonts w:cs="Arial"/>
                <w:szCs w:val="22"/>
              </w:rPr>
              <w:t>Встановлення лав, урн, освітлення, знаків безпеки.</w:t>
            </w:r>
          </w:p>
          <w:p w14:paraId="624662F5" w14:textId="77777777" w:rsidR="005342D5" w:rsidRPr="0019790A" w:rsidRDefault="005342D5" w:rsidP="00912F2C">
            <w:pPr>
              <w:numPr>
                <w:ilvl w:val="0"/>
                <w:numId w:val="74"/>
              </w:numPr>
              <w:tabs>
                <w:tab w:val="left" w:pos="277"/>
              </w:tabs>
              <w:ind w:left="0" w:firstLine="0"/>
              <w:jc w:val="both"/>
              <w:rPr>
                <w:rFonts w:cs="Arial"/>
                <w:szCs w:val="22"/>
              </w:rPr>
            </w:pPr>
            <w:r w:rsidRPr="0019790A">
              <w:rPr>
                <w:rFonts w:cs="Arial"/>
                <w:szCs w:val="22"/>
              </w:rPr>
              <w:t>Озеленення навколишньої території, забезпечення доступності.</w:t>
            </w:r>
          </w:p>
          <w:p w14:paraId="414F4B83" w14:textId="77777777" w:rsidR="005342D5" w:rsidRPr="0019790A" w:rsidRDefault="005342D5" w:rsidP="00912F2C">
            <w:pPr>
              <w:numPr>
                <w:ilvl w:val="0"/>
                <w:numId w:val="74"/>
              </w:numPr>
              <w:tabs>
                <w:tab w:val="left" w:pos="277"/>
              </w:tabs>
              <w:ind w:left="0" w:firstLine="0"/>
              <w:jc w:val="both"/>
              <w:rPr>
                <w:rFonts w:cs="Arial"/>
                <w:szCs w:val="22"/>
              </w:rPr>
            </w:pPr>
            <w:r w:rsidRPr="0019790A">
              <w:rPr>
                <w:rFonts w:cs="Arial"/>
                <w:szCs w:val="22"/>
              </w:rPr>
              <w:t>Організація урочистого відкриття та перших змагань.</w:t>
            </w:r>
          </w:p>
          <w:p w14:paraId="1A10B9C2" w14:textId="77777777" w:rsidR="005342D5" w:rsidRPr="0019790A" w:rsidRDefault="005342D5" w:rsidP="00912F2C">
            <w:pPr>
              <w:numPr>
                <w:ilvl w:val="0"/>
                <w:numId w:val="74"/>
              </w:numPr>
              <w:tabs>
                <w:tab w:val="left" w:pos="277"/>
              </w:tabs>
              <w:ind w:left="0" w:firstLine="0"/>
              <w:jc w:val="both"/>
              <w:rPr>
                <w:rFonts w:cs="Arial"/>
                <w:szCs w:val="22"/>
              </w:rPr>
            </w:pPr>
            <w:r w:rsidRPr="0019790A">
              <w:rPr>
                <w:rFonts w:cs="Arial"/>
                <w:szCs w:val="22"/>
              </w:rPr>
              <w:t>Проведення інформаційної кампанії (афіші, соцмережі).</w:t>
            </w:r>
          </w:p>
        </w:tc>
      </w:tr>
      <w:tr w:rsidR="005342D5" w:rsidRPr="0019790A" w14:paraId="677D5BFA" w14:textId="77777777" w:rsidTr="00912F2C">
        <w:trPr>
          <w:jc w:val="right"/>
        </w:trPr>
        <w:tc>
          <w:tcPr>
            <w:tcW w:w="3425" w:type="dxa"/>
            <w:shd w:val="clear" w:color="auto" w:fill="FFFFFF"/>
            <w:vAlign w:val="center"/>
          </w:tcPr>
          <w:p w14:paraId="04326A3B" w14:textId="77777777" w:rsidR="005342D5" w:rsidRPr="0019790A" w:rsidRDefault="005342D5" w:rsidP="0019790A">
            <w:pPr>
              <w:rPr>
                <w:rFonts w:cs="Arial"/>
                <w:b/>
                <w:bCs/>
                <w:szCs w:val="22"/>
              </w:rPr>
            </w:pPr>
            <w:r w:rsidRPr="0019790A">
              <w:rPr>
                <w:rFonts w:cs="Arial"/>
                <w:b/>
                <w:bCs/>
                <w:szCs w:val="22"/>
              </w:rPr>
              <w:t>Індикатори (показники) результативності:</w:t>
            </w:r>
          </w:p>
        </w:tc>
        <w:tc>
          <w:tcPr>
            <w:tcW w:w="6794" w:type="dxa"/>
            <w:gridSpan w:val="9"/>
            <w:vAlign w:val="center"/>
          </w:tcPr>
          <w:p w14:paraId="1D21FDED" w14:textId="77777777" w:rsidR="005342D5" w:rsidRPr="0019790A" w:rsidRDefault="005342D5" w:rsidP="00912F2C">
            <w:pPr>
              <w:numPr>
                <w:ilvl w:val="0"/>
                <w:numId w:val="75"/>
              </w:numPr>
              <w:tabs>
                <w:tab w:val="left" w:pos="277"/>
              </w:tabs>
              <w:ind w:left="0" w:firstLine="0"/>
              <w:jc w:val="both"/>
              <w:rPr>
                <w:rFonts w:cs="Arial"/>
                <w:szCs w:val="22"/>
              </w:rPr>
            </w:pPr>
            <w:r w:rsidRPr="0019790A">
              <w:rPr>
                <w:rFonts w:cs="Arial"/>
                <w:szCs w:val="22"/>
              </w:rPr>
              <w:t xml:space="preserve">Побудована </w:t>
            </w:r>
            <w:r w:rsidRPr="0019790A">
              <w:rPr>
                <w:rFonts w:cs="Arial"/>
                <w:bCs/>
                <w:szCs w:val="22"/>
              </w:rPr>
              <w:t>технічно безпечна pump-track траса</w:t>
            </w:r>
            <w:r w:rsidRPr="0019790A">
              <w:rPr>
                <w:rFonts w:cs="Arial"/>
                <w:szCs w:val="22"/>
              </w:rPr>
              <w:t xml:space="preserve"> площею до 800 м².</w:t>
            </w:r>
          </w:p>
          <w:p w14:paraId="3C17322F" w14:textId="77777777" w:rsidR="005342D5" w:rsidRPr="0019790A" w:rsidRDefault="005342D5" w:rsidP="00912F2C">
            <w:pPr>
              <w:numPr>
                <w:ilvl w:val="0"/>
                <w:numId w:val="75"/>
              </w:numPr>
              <w:tabs>
                <w:tab w:val="left" w:pos="277"/>
              </w:tabs>
              <w:ind w:left="0" w:firstLine="0"/>
              <w:jc w:val="both"/>
              <w:rPr>
                <w:rFonts w:cs="Arial"/>
                <w:szCs w:val="22"/>
              </w:rPr>
            </w:pPr>
            <w:r w:rsidRPr="0019790A">
              <w:rPr>
                <w:rFonts w:cs="Arial"/>
                <w:bCs/>
                <w:szCs w:val="22"/>
              </w:rPr>
              <w:t>Щоденне користування — щонайменше 100 відвідувачів у теплий період</w:t>
            </w:r>
            <w:r w:rsidRPr="0019790A">
              <w:rPr>
                <w:rFonts w:cs="Arial"/>
                <w:szCs w:val="22"/>
              </w:rPr>
              <w:t>.</w:t>
            </w:r>
          </w:p>
          <w:p w14:paraId="60ECFAAE" w14:textId="77777777" w:rsidR="005342D5" w:rsidRPr="0019790A" w:rsidRDefault="005342D5" w:rsidP="00912F2C">
            <w:pPr>
              <w:numPr>
                <w:ilvl w:val="0"/>
                <w:numId w:val="75"/>
              </w:numPr>
              <w:tabs>
                <w:tab w:val="left" w:pos="277"/>
              </w:tabs>
              <w:ind w:left="0" w:firstLine="0"/>
              <w:jc w:val="both"/>
              <w:rPr>
                <w:rFonts w:cs="Arial"/>
                <w:szCs w:val="22"/>
              </w:rPr>
            </w:pPr>
            <w:r w:rsidRPr="0019790A">
              <w:rPr>
                <w:rFonts w:cs="Arial"/>
                <w:szCs w:val="22"/>
              </w:rPr>
              <w:t xml:space="preserve">Проведення </w:t>
            </w:r>
            <w:r w:rsidRPr="0019790A">
              <w:rPr>
                <w:rFonts w:cs="Arial"/>
                <w:bCs/>
                <w:szCs w:val="22"/>
              </w:rPr>
              <w:t>не менше 6 спортивних заходів</w:t>
            </w:r>
            <w:r w:rsidRPr="0019790A">
              <w:rPr>
                <w:rFonts w:cs="Arial"/>
                <w:szCs w:val="22"/>
              </w:rPr>
              <w:t xml:space="preserve"> на рік.</w:t>
            </w:r>
          </w:p>
          <w:p w14:paraId="7E59DB98" w14:textId="77777777" w:rsidR="005342D5" w:rsidRPr="0019790A" w:rsidRDefault="005342D5" w:rsidP="00912F2C">
            <w:pPr>
              <w:numPr>
                <w:ilvl w:val="0"/>
                <w:numId w:val="75"/>
              </w:numPr>
              <w:tabs>
                <w:tab w:val="left" w:pos="277"/>
              </w:tabs>
              <w:ind w:left="0" w:firstLine="0"/>
              <w:jc w:val="both"/>
              <w:rPr>
                <w:rFonts w:cs="Arial"/>
                <w:szCs w:val="22"/>
              </w:rPr>
            </w:pPr>
            <w:r w:rsidRPr="0019790A">
              <w:rPr>
                <w:rFonts w:cs="Arial"/>
                <w:bCs/>
                <w:szCs w:val="22"/>
              </w:rPr>
              <w:t>Залучення понад 1000 дітей та підлітків на місяць</w:t>
            </w:r>
            <w:r w:rsidRPr="0019790A">
              <w:rPr>
                <w:rFonts w:cs="Arial"/>
                <w:szCs w:val="22"/>
              </w:rPr>
              <w:t>.</w:t>
            </w:r>
          </w:p>
          <w:p w14:paraId="584A561F" w14:textId="77777777" w:rsidR="005342D5" w:rsidRPr="0019790A" w:rsidRDefault="005342D5" w:rsidP="00912F2C">
            <w:pPr>
              <w:numPr>
                <w:ilvl w:val="0"/>
                <w:numId w:val="75"/>
              </w:numPr>
              <w:tabs>
                <w:tab w:val="left" w:pos="277"/>
              </w:tabs>
              <w:ind w:left="0" w:firstLine="0"/>
              <w:jc w:val="both"/>
              <w:rPr>
                <w:rFonts w:cs="Arial"/>
                <w:szCs w:val="22"/>
              </w:rPr>
            </w:pPr>
            <w:r w:rsidRPr="0019790A">
              <w:rPr>
                <w:rFonts w:cs="Arial"/>
                <w:szCs w:val="22"/>
              </w:rPr>
              <w:t xml:space="preserve">Створено </w:t>
            </w:r>
            <w:r w:rsidRPr="0019790A">
              <w:rPr>
                <w:rFonts w:cs="Arial"/>
                <w:bCs/>
                <w:szCs w:val="22"/>
              </w:rPr>
              <w:t>нове місце дозвілля</w:t>
            </w:r>
            <w:r w:rsidRPr="0019790A">
              <w:rPr>
                <w:rFonts w:cs="Arial"/>
                <w:szCs w:val="22"/>
              </w:rPr>
              <w:t xml:space="preserve"> у парку громади або публічному просторі.</w:t>
            </w:r>
          </w:p>
          <w:p w14:paraId="36D6BF80" w14:textId="77777777" w:rsidR="005342D5" w:rsidRPr="0019790A" w:rsidRDefault="005342D5" w:rsidP="00912F2C">
            <w:pPr>
              <w:numPr>
                <w:ilvl w:val="0"/>
                <w:numId w:val="75"/>
              </w:numPr>
              <w:tabs>
                <w:tab w:val="left" w:pos="277"/>
              </w:tabs>
              <w:ind w:left="0" w:firstLine="0"/>
              <w:jc w:val="both"/>
              <w:rPr>
                <w:rFonts w:cs="Arial"/>
                <w:szCs w:val="22"/>
              </w:rPr>
            </w:pPr>
            <w:r w:rsidRPr="0019790A">
              <w:rPr>
                <w:rFonts w:cs="Arial"/>
                <w:szCs w:val="22"/>
              </w:rPr>
              <w:t>Поширення інформації про здоровий спосіб життя серед молоді.</w:t>
            </w:r>
          </w:p>
        </w:tc>
      </w:tr>
      <w:tr w:rsidR="005342D5" w:rsidRPr="0019790A" w14:paraId="401512BC" w14:textId="77777777" w:rsidTr="00CF3AAE">
        <w:trPr>
          <w:jc w:val="right"/>
        </w:trPr>
        <w:tc>
          <w:tcPr>
            <w:tcW w:w="3425" w:type="dxa"/>
            <w:shd w:val="clear" w:color="auto" w:fill="FFFFFF"/>
            <w:vAlign w:val="center"/>
          </w:tcPr>
          <w:p w14:paraId="4F3E74CA" w14:textId="77777777" w:rsidR="005342D5" w:rsidRPr="0019790A" w:rsidRDefault="005342D5" w:rsidP="0019790A">
            <w:pPr>
              <w:rPr>
                <w:rFonts w:cs="Arial"/>
                <w:b/>
                <w:szCs w:val="22"/>
              </w:rPr>
            </w:pPr>
            <w:r w:rsidRPr="0019790A">
              <w:rPr>
                <w:rFonts w:cs="Arial"/>
                <w:b/>
                <w:szCs w:val="22"/>
              </w:rPr>
              <w:t xml:space="preserve">Період здійснення: </w:t>
            </w:r>
          </w:p>
        </w:tc>
        <w:tc>
          <w:tcPr>
            <w:tcW w:w="6794" w:type="dxa"/>
            <w:gridSpan w:val="9"/>
            <w:vAlign w:val="center"/>
          </w:tcPr>
          <w:p w14:paraId="2A134399" w14:textId="77777777" w:rsidR="005342D5" w:rsidRPr="0019790A" w:rsidRDefault="005342D5" w:rsidP="0019790A">
            <w:pPr>
              <w:rPr>
                <w:rFonts w:cs="Arial"/>
                <w:szCs w:val="22"/>
              </w:rPr>
            </w:pPr>
            <w:r w:rsidRPr="0019790A">
              <w:rPr>
                <w:rFonts w:cs="Arial"/>
                <w:b/>
                <w:szCs w:val="22"/>
              </w:rPr>
              <w:t>2025 – 2028 роки:</w:t>
            </w:r>
          </w:p>
        </w:tc>
      </w:tr>
      <w:tr w:rsidR="005342D5" w:rsidRPr="0019790A" w14:paraId="6481A042" w14:textId="77777777" w:rsidTr="00912F2C">
        <w:trPr>
          <w:jc w:val="right"/>
        </w:trPr>
        <w:tc>
          <w:tcPr>
            <w:tcW w:w="3425" w:type="dxa"/>
            <w:vMerge w:val="restart"/>
            <w:shd w:val="clear" w:color="auto" w:fill="FFFFFF"/>
            <w:vAlign w:val="center"/>
          </w:tcPr>
          <w:p w14:paraId="037C7B16" w14:textId="77777777" w:rsidR="005342D5" w:rsidRPr="0019790A" w:rsidRDefault="005342D5" w:rsidP="0019790A">
            <w:pPr>
              <w:rPr>
                <w:rFonts w:cs="Arial"/>
                <w:b/>
                <w:bCs/>
                <w:szCs w:val="22"/>
              </w:rPr>
            </w:pPr>
            <w:r w:rsidRPr="0019790A">
              <w:rPr>
                <w:rFonts w:cs="Arial"/>
                <w:b/>
                <w:bCs/>
                <w:szCs w:val="22"/>
              </w:rPr>
              <w:t>Орієнтовна вартість проєкту, тис. грн., в тому числі:</w:t>
            </w:r>
          </w:p>
        </w:tc>
        <w:tc>
          <w:tcPr>
            <w:tcW w:w="1254" w:type="dxa"/>
            <w:gridSpan w:val="2"/>
            <w:shd w:val="clear" w:color="auto" w:fill="E6E6E6"/>
            <w:vAlign w:val="center"/>
          </w:tcPr>
          <w:p w14:paraId="598AA4BA" w14:textId="77777777" w:rsidR="005342D5" w:rsidRPr="0019790A" w:rsidRDefault="005342D5" w:rsidP="00912F2C">
            <w:pPr>
              <w:jc w:val="center"/>
              <w:rPr>
                <w:rFonts w:cs="Arial"/>
                <w:b/>
                <w:szCs w:val="22"/>
              </w:rPr>
            </w:pPr>
            <w:r w:rsidRPr="0019790A">
              <w:rPr>
                <w:rFonts w:cs="Arial"/>
                <w:b/>
                <w:szCs w:val="22"/>
              </w:rPr>
              <w:t>2025</w:t>
            </w:r>
          </w:p>
        </w:tc>
        <w:tc>
          <w:tcPr>
            <w:tcW w:w="1275" w:type="dxa"/>
            <w:shd w:val="clear" w:color="auto" w:fill="E6E6E6"/>
            <w:vAlign w:val="center"/>
          </w:tcPr>
          <w:p w14:paraId="36DE5414" w14:textId="77777777" w:rsidR="005342D5" w:rsidRPr="0019790A" w:rsidRDefault="005342D5" w:rsidP="00912F2C">
            <w:pPr>
              <w:jc w:val="center"/>
              <w:rPr>
                <w:rFonts w:cs="Arial"/>
                <w:b/>
                <w:szCs w:val="22"/>
              </w:rPr>
            </w:pPr>
            <w:r w:rsidRPr="0019790A">
              <w:rPr>
                <w:rFonts w:cs="Arial"/>
                <w:b/>
                <w:szCs w:val="22"/>
              </w:rPr>
              <w:t>2026</w:t>
            </w:r>
          </w:p>
        </w:tc>
        <w:tc>
          <w:tcPr>
            <w:tcW w:w="1418" w:type="dxa"/>
            <w:gridSpan w:val="2"/>
            <w:tcBorders>
              <w:bottom w:val="single" w:sz="4" w:space="0" w:color="auto"/>
            </w:tcBorders>
            <w:shd w:val="clear" w:color="auto" w:fill="E6E6E6"/>
            <w:vAlign w:val="center"/>
          </w:tcPr>
          <w:p w14:paraId="0A4C5B4F" w14:textId="77777777" w:rsidR="005342D5" w:rsidRPr="0019790A" w:rsidRDefault="005342D5" w:rsidP="00912F2C">
            <w:pPr>
              <w:jc w:val="center"/>
              <w:rPr>
                <w:rFonts w:cs="Arial"/>
                <w:b/>
                <w:szCs w:val="22"/>
              </w:rPr>
            </w:pPr>
            <w:r w:rsidRPr="0019790A">
              <w:rPr>
                <w:rFonts w:cs="Arial"/>
                <w:b/>
                <w:szCs w:val="22"/>
              </w:rPr>
              <w:t>2027</w:t>
            </w:r>
          </w:p>
        </w:tc>
        <w:tc>
          <w:tcPr>
            <w:tcW w:w="1276" w:type="dxa"/>
            <w:gridSpan w:val="2"/>
            <w:shd w:val="clear" w:color="auto" w:fill="E6E6E6"/>
            <w:vAlign w:val="center"/>
          </w:tcPr>
          <w:p w14:paraId="2E57A996" w14:textId="77777777" w:rsidR="005342D5" w:rsidRPr="0019790A" w:rsidRDefault="005342D5" w:rsidP="00912F2C">
            <w:pPr>
              <w:jc w:val="center"/>
              <w:rPr>
                <w:rFonts w:cs="Arial"/>
                <w:b/>
                <w:szCs w:val="22"/>
              </w:rPr>
            </w:pPr>
            <w:r w:rsidRPr="0019790A">
              <w:rPr>
                <w:rFonts w:cs="Arial"/>
                <w:b/>
                <w:szCs w:val="22"/>
              </w:rPr>
              <w:t>2028</w:t>
            </w:r>
          </w:p>
        </w:tc>
        <w:tc>
          <w:tcPr>
            <w:tcW w:w="1571" w:type="dxa"/>
            <w:gridSpan w:val="2"/>
            <w:shd w:val="clear" w:color="auto" w:fill="E6E6E6"/>
            <w:vAlign w:val="center"/>
          </w:tcPr>
          <w:p w14:paraId="7411A8B2" w14:textId="77777777" w:rsidR="005342D5" w:rsidRPr="0019790A" w:rsidRDefault="005342D5" w:rsidP="00912F2C">
            <w:pPr>
              <w:jc w:val="center"/>
              <w:rPr>
                <w:rFonts w:cs="Arial"/>
                <w:b/>
                <w:szCs w:val="22"/>
              </w:rPr>
            </w:pPr>
            <w:r w:rsidRPr="0019790A">
              <w:rPr>
                <w:rFonts w:cs="Arial"/>
                <w:b/>
                <w:szCs w:val="22"/>
              </w:rPr>
              <w:t>РАЗОМ</w:t>
            </w:r>
          </w:p>
        </w:tc>
      </w:tr>
      <w:tr w:rsidR="005342D5" w:rsidRPr="0019790A" w14:paraId="7A8DC3C3" w14:textId="77777777" w:rsidTr="00912F2C">
        <w:trPr>
          <w:jc w:val="right"/>
        </w:trPr>
        <w:tc>
          <w:tcPr>
            <w:tcW w:w="3425" w:type="dxa"/>
            <w:vMerge/>
            <w:shd w:val="clear" w:color="auto" w:fill="FFFFFF"/>
            <w:vAlign w:val="center"/>
          </w:tcPr>
          <w:p w14:paraId="5BEDFDE2" w14:textId="77777777" w:rsidR="005342D5" w:rsidRPr="0019790A" w:rsidRDefault="005342D5" w:rsidP="0019790A">
            <w:pPr>
              <w:rPr>
                <w:rFonts w:cs="Arial"/>
                <w:b/>
                <w:bCs/>
                <w:szCs w:val="22"/>
              </w:rPr>
            </w:pPr>
          </w:p>
        </w:tc>
        <w:tc>
          <w:tcPr>
            <w:tcW w:w="1254" w:type="dxa"/>
            <w:gridSpan w:val="2"/>
            <w:vAlign w:val="center"/>
          </w:tcPr>
          <w:p w14:paraId="5431B53F" w14:textId="77777777" w:rsidR="005342D5" w:rsidRPr="0019790A" w:rsidRDefault="005342D5" w:rsidP="00912F2C">
            <w:pPr>
              <w:jc w:val="center"/>
              <w:rPr>
                <w:rFonts w:cs="Arial"/>
                <w:b/>
                <w:szCs w:val="22"/>
              </w:rPr>
            </w:pPr>
          </w:p>
        </w:tc>
        <w:tc>
          <w:tcPr>
            <w:tcW w:w="1275" w:type="dxa"/>
            <w:shd w:val="clear" w:color="auto" w:fill="FFFFFF"/>
            <w:vAlign w:val="center"/>
          </w:tcPr>
          <w:p w14:paraId="12030C2E" w14:textId="77777777" w:rsidR="005342D5" w:rsidRPr="0019790A" w:rsidRDefault="005342D5" w:rsidP="00912F2C">
            <w:pPr>
              <w:jc w:val="center"/>
              <w:rPr>
                <w:rFonts w:cs="Arial"/>
                <w:b/>
                <w:szCs w:val="22"/>
              </w:rPr>
            </w:pPr>
            <w:r w:rsidRPr="0019790A">
              <w:rPr>
                <w:rFonts w:cs="Arial"/>
                <w:b/>
                <w:szCs w:val="22"/>
              </w:rPr>
              <w:t>9000,0</w:t>
            </w:r>
          </w:p>
        </w:tc>
        <w:tc>
          <w:tcPr>
            <w:tcW w:w="1418" w:type="dxa"/>
            <w:gridSpan w:val="2"/>
            <w:shd w:val="clear" w:color="auto" w:fill="auto"/>
            <w:vAlign w:val="center"/>
          </w:tcPr>
          <w:p w14:paraId="19F6EF78" w14:textId="77777777" w:rsidR="005342D5" w:rsidRPr="0019790A" w:rsidRDefault="005342D5" w:rsidP="00912F2C">
            <w:pPr>
              <w:jc w:val="center"/>
              <w:rPr>
                <w:rFonts w:cs="Arial"/>
                <w:b/>
                <w:szCs w:val="22"/>
              </w:rPr>
            </w:pPr>
            <w:r w:rsidRPr="0019790A">
              <w:rPr>
                <w:rFonts w:cs="Arial"/>
                <w:b/>
                <w:szCs w:val="22"/>
              </w:rPr>
              <w:t>9000,0</w:t>
            </w:r>
          </w:p>
        </w:tc>
        <w:tc>
          <w:tcPr>
            <w:tcW w:w="1276" w:type="dxa"/>
            <w:gridSpan w:val="2"/>
            <w:shd w:val="clear" w:color="auto" w:fill="FFFFFF"/>
            <w:vAlign w:val="center"/>
          </w:tcPr>
          <w:p w14:paraId="314D8F42" w14:textId="77777777" w:rsidR="005342D5" w:rsidRPr="0019790A" w:rsidRDefault="005342D5" w:rsidP="00912F2C">
            <w:pPr>
              <w:jc w:val="center"/>
              <w:rPr>
                <w:rFonts w:cs="Arial"/>
                <w:b/>
                <w:szCs w:val="22"/>
              </w:rPr>
            </w:pPr>
            <w:r w:rsidRPr="0019790A">
              <w:rPr>
                <w:rFonts w:cs="Arial"/>
                <w:b/>
                <w:szCs w:val="22"/>
              </w:rPr>
              <w:t>9000,0</w:t>
            </w:r>
          </w:p>
        </w:tc>
        <w:tc>
          <w:tcPr>
            <w:tcW w:w="1571" w:type="dxa"/>
            <w:gridSpan w:val="2"/>
            <w:shd w:val="clear" w:color="auto" w:fill="FFFFFF"/>
            <w:vAlign w:val="center"/>
          </w:tcPr>
          <w:p w14:paraId="077DA774" w14:textId="77777777" w:rsidR="005342D5" w:rsidRPr="0019790A" w:rsidRDefault="005342D5" w:rsidP="00912F2C">
            <w:pPr>
              <w:jc w:val="center"/>
              <w:rPr>
                <w:rFonts w:cs="Arial"/>
                <w:b/>
                <w:szCs w:val="22"/>
              </w:rPr>
            </w:pPr>
            <w:r w:rsidRPr="0019790A">
              <w:rPr>
                <w:rFonts w:cs="Arial"/>
                <w:b/>
                <w:szCs w:val="22"/>
              </w:rPr>
              <w:t>27000,0</w:t>
            </w:r>
          </w:p>
        </w:tc>
      </w:tr>
      <w:tr w:rsidR="005342D5" w:rsidRPr="0019790A" w14:paraId="2E2C9734" w14:textId="77777777" w:rsidTr="00912F2C">
        <w:trPr>
          <w:trHeight w:val="276"/>
          <w:jc w:val="right"/>
        </w:trPr>
        <w:tc>
          <w:tcPr>
            <w:tcW w:w="3425" w:type="dxa"/>
            <w:shd w:val="clear" w:color="auto" w:fill="FFFFFF"/>
            <w:vAlign w:val="center"/>
          </w:tcPr>
          <w:p w14:paraId="2B9BF9A4" w14:textId="77777777" w:rsidR="005342D5" w:rsidRPr="0019790A" w:rsidRDefault="005342D5" w:rsidP="0019790A">
            <w:pPr>
              <w:rPr>
                <w:rFonts w:cs="Arial"/>
                <w:b/>
                <w:bCs/>
                <w:szCs w:val="22"/>
              </w:rPr>
            </w:pPr>
            <w:r w:rsidRPr="0019790A">
              <w:rPr>
                <w:rFonts w:cs="Arial"/>
                <w:b/>
                <w:bCs/>
                <w:szCs w:val="22"/>
              </w:rPr>
              <w:t>по джерелах фінансування:</w:t>
            </w:r>
          </w:p>
        </w:tc>
        <w:tc>
          <w:tcPr>
            <w:tcW w:w="6794" w:type="dxa"/>
            <w:gridSpan w:val="9"/>
            <w:vAlign w:val="center"/>
          </w:tcPr>
          <w:p w14:paraId="19C4CE57" w14:textId="77777777" w:rsidR="005342D5" w:rsidRPr="0019790A" w:rsidRDefault="005342D5" w:rsidP="00912F2C">
            <w:pPr>
              <w:jc w:val="center"/>
              <w:rPr>
                <w:rFonts w:cs="Arial"/>
                <w:szCs w:val="22"/>
              </w:rPr>
            </w:pPr>
          </w:p>
        </w:tc>
      </w:tr>
      <w:tr w:rsidR="00912F2C" w:rsidRPr="0019790A" w14:paraId="7BA8BE29" w14:textId="0BDD5FB4" w:rsidTr="00912F2C">
        <w:trPr>
          <w:trHeight w:val="240"/>
          <w:jc w:val="right"/>
        </w:trPr>
        <w:tc>
          <w:tcPr>
            <w:tcW w:w="3425" w:type="dxa"/>
            <w:shd w:val="clear" w:color="auto" w:fill="FFFFFF"/>
            <w:vAlign w:val="center"/>
          </w:tcPr>
          <w:p w14:paraId="7FB1772F" w14:textId="77777777" w:rsidR="00912F2C" w:rsidRPr="0019790A" w:rsidRDefault="00912F2C" w:rsidP="0019790A">
            <w:pPr>
              <w:rPr>
                <w:rFonts w:cs="Arial"/>
                <w:b/>
                <w:bCs/>
                <w:szCs w:val="22"/>
              </w:rPr>
            </w:pPr>
            <w:r w:rsidRPr="0019790A">
              <w:rPr>
                <w:rFonts w:cs="Arial"/>
                <w:szCs w:val="22"/>
              </w:rPr>
              <w:t>- державний бюджет</w:t>
            </w:r>
          </w:p>
        </w:tc>
        <w:tc>
          <w:tcPr>
            <w:tcW w:w="1229" w:type="dxa"/>
            <w:vAlign w:val="center"/>
          </w:tcPr>
          <w:p w14:paraId="56364959" w14:textId="77777777" w:rsidR="00912F2C" w:rsidRPr="0019790A" w:rsidRDefault="00912F2C" w:rsidP="00912F2C">
            <w:pPr>
              <w:jc w:val="center"/>
              <w:rPr>
                <w:rFonts w:cs="Arial"/>
                <w:szCs w:val="22"/>
              </w:rPr>
            </w:pPr>
          </w:p>
        </w:tc>
        <w:tc>
          <w:tcPr>
            <w:tcW w:w="1325" w:type="dxa"/>
            <w:gridSpan w:val="3"/>
            <w:vAlign w:val="center"/>
          </w:tcPr>
          <w:p w14:paraId="4639BFAF" w14:textId="77777777" w:rsidR="00912F2C" w:rsidRPr="0019790A" w:rsidRDefault="00912F2C" w:rsidP="00912F2C">
            <w:pPr>
              <w:jc w:val="center"/>
              <w:rPr>
                <w:rFonts w:cs="Arial"/>
                <w:szCs w:val="22"/>
              </w:rPr>
            </w:pPr>
          </w:p>
        </w:tc>
        <w:tc>
          <w:tcPr>
            <w:tcW w:w="1402" w:type="dxa"/>
            <w:gridSpan w:val="2"/>
            <w:vAlign w:val="center"/>
          </w:tcPr>
          <w:p w14:paraId="5BD01C30" w14:textId="77777777" w:rsidR="00912F2C" w:rsidRPr="0019790A" w:rsidRDefault="00912F2C" w:rsidP="00912F2C">
            <w:pPr>
              <w:jc w:val="center"/>
              <w:rPr>
                <w:rFonts w:cs="Arial"/>
                <w:szCs w:val="22"/>
              </w:rPr>
            </w:pPr>
          </w:p>
        </w:tc>
        <w:tc>
          <w:tcPr>
            <w:tcW w:w="1286" w:type="dxa"/>
            <w:gridSpan w:val="2"/>
            <w:vAlign w:val="center"/>
          </w:tcPr>
          <w:p w14:paraId="759E57CA" w14:textId="77777777" w:rsidR="00912F2C" w:rsidRPr="0019790A" w:rsidRDefault="00912F2C" w:rsidP="00912F2C">
            <w:pPr>
              <w:jc w:val="center"/>
              <w:rPr>
                <w:rFonts w:cs="Arial"/>
                <w:szCs w:val="22"/>
              </w:rPr>
            </w:pPr>
          </w:p>
        </w:tc>
        <w:tc>
          <w:tcPr>
            <w:tcW w:w="1552" w:type="dxa"/>
            <w:vAlign w:val="center"/>
          </w:tcPr>
          <w:p w14:paraId="46AD2A66" w14:textId="77777777" w:rsidR="00912F2C" w:rsidRPr="0019790A" w:rsidRDefault="00912F2C" w:rsidP="00912F2C">
            <w:pPr>
              <w:jc w:val="center"/>
              <w:rPr>
                <w:rFonts w:cs="Arial"/>
                <w:szCs w:val="22"/>
              </w:rPr>
            </w:pPr>
          </w:p>
        </w:tc>
      </w:tr>
      <w:tr w:rsidR="00912F2C" w:rsidRPr="0019790A" w14:paraId="7D127D88" w14:textId="1B055301" w:rsidTr="00912F2C">
        <w:trPr>
          <w:trHeight w:val="254"/>
          <w:jc w:val="right"/>
        </w:trPr>
        <w:tc>
          <w:tcPr>
            <w:tcW w:w="3425" w:type="dxa"/>
            <w:shd w:val="clear" w:color="auto" w:fill="FFFFFF"/>
            <w:vAlign w:val="center"/>
          </w:tcPr>
          <w:p w14:paraId="13941B24" w14:textId="77777777" w:rsidR="00912F2C" w:rsidRPr="0019790A" w:rsidRDefault="00912F2C" w:rsidP="0019790A">
            <w:pPr>
              <w:rPr>
                <w:rFonts w:cs="Arial"/>
                <w:szCs w:val="22"/>
              </w:rPr>
            </w:pPr>
            <w:r w:rsidRPr="0019790A">
              <w:rPr>
                <w:rFonts w:cs="Arial"/>
                <w:szCs w:val="22"/>
              </w:rPr>
              <w:t>- обласний бюджет</w:t>
            </w:r>
          </w:p>
        </w:tc>
        <w:tc>
          <w:tcPr>
            <w:tcW w:w="1229" w:type="dxa"/>
            <w:vAlign w:val="center"/>
          </w:tcPr>
          <w:p w14:paraId="33E1EB74" w14:textId="4ABAD905" w:rsidR="00912F2C" w:rsidRPr="0019790A" w:rsidRDefault="00912F2C" w:rsidP="00912F2C">
            <w:pPr>
              <w:jc w:val="center"/>
              <w:rPr>
                <w:rFonts w:cs="Arial"/>
                <w:szCs w:val="22"/>
              </w:rPr>
            </w:pPr>
          </w:p>
        </w:tc>
        <w:tc>
          <w:tcPr>
            <w:tcW w:w="1325" w:type="dxa"/>
            <w:gridSpan w:val="3"/>
            <w:vAlign w:val="center"/>
          </w:tcPr>
          <w:p w14:paraId="0DB8F3E7" w14:textId="77777777" w:rsidR="00912F2C" w:rsidRPr="0019790A" w:rsidRDefault="00912F2C" w:rsidP="00912F2C">
            <w:pPr>
              <w:jc w:val="center"/>
              <w:rPr>
                <w:rFonts w:cs="Arial"/>
                <w:szCs w:val="22"/>
              </w:rPr>
            </w:pPr>
          </w:p>
        </w:tc>
        <w:tc>
          <w:tcPr>
            <w:tcW w:w="1402" w:type="dxa"/>
            <w:gridSpan w:val="2"/>
            <w:vAlign w:val="center"/>
          </w:tcPr>
          <w:p w14:paraId="754E7F73" w14:textId="77777777" w:rsidR="00912F2C" w:rsidRPr="0019790A" w:rsidRDefault="00912F2C" w:rsidP="00912F2C">
            <w:pPr>
              <w:jc w:val="center"/>
              <w:rPr>
                <w:rFonts w:cs="Arial"/>
                <w:szCs w:val="22"/>
              </w:rPr>
            </w:pPr>
          </w:p>
        </w:tc>
        <w:tc>
          <w:tcPr>
            <w:tcW w:w="1286" w:type="dxa"/>
            <w:gridSpan w:val="2"/>
            <w:vAlign w:val="center"/>
          </w:tcPr>
          <w:p w14:paraId="65F98A34" w14:textId="77777777" w:rsidR="00912F2C" w:rsidRPr="0019790A" w:rsidRDefault="00912F2C" w:rsidP="00912F2C">
            <w:pPr>
              <w:jc w:val="center"/>
              <w:rPr>
                <w:rFonts w:cs="Arial"/>
                <w:szCs w:val="22"/>
              </w:rPr>
            </w:pPr>
          </w:p>
        </w:tc>
        <w:tc>
          <w:tcPr>
            <w:tcW w:w="1552" w:type="dxa"/>
            <w:vAlign w:val="center"/>
          </w:tcPr>
          <w:p w14:paraId="364DFB98" w14:textId="77777777" w:rsidR="00912F2C" w:rsidRPr="0019790A" w:rsidRDefault="00912F2C" w:rsidP="00912F2C">
            <w:pPr>
              <w:jc w:val="center"/>
              <w:rPr>
                <w:rFonts w:cs="Arial"/>
                <w:szCs w:val="22"/>
              </w:rPr>
            </w:pPr>
          </w:p>
        </w:tc>
      </w:tr>
      <w:tr w:rsidR="00912F2C" w:rsidRPr="0019790A" w14:paraId="415B1AB0" w14:textId="35080F66" w:rsidTr="00912F2C">
        <w:trPr>
          <w:trHeight w:val="275"/>
          <w:jc w:val="right"/>
        </w:trPr>
        <w:tc>
          <w:tcPr>
            <w:tcW w:w="3425" w:type="dxa"/>
            <w:shd w:val="clear" w:color="auto" w:fill="FFFFFF"/>
            <w:vAlign w:val="center"/>
          </w:tcPr>
          <w:p w14:paraId="4966B3AE" w14:textId="77777777" w:rsidR="00912F2C" w:rsidRPr="0019790A" w:rsidRDefault="00912F2C" w:rsidP="00912F2C">
            <w:pPr>
              <w:rPr>
                <w:rFonts w:cs="Arial"/>
                <w:szCs w:val="22"/>
              </w:rPr>
            </w:pPr>
            <w:r w:rsidRPr="0019790A">
              <w:rPr>
                <w:rFonts w:cs="Arial"/>
                <w:szCs w:val="22"/>
              </w:rPr>
              <w:t>- бюджет Жмеринської МТГ</w:t>
            </w:r>
          </w:p>
        </w:tc>
        <w:tc>
          <w:tcPr>
            <w:tcW w:w="1229" w:type="dxa"/>
            <w:vAlign w:val="center"/>
          </w:tcPr>
          <w:p w14:paraId="0407FBFF" w14:textId="7D2480A3" w:rsidR="00912F2C" w:rsidRPr="0019790A" w:rsidRDefault="00912F2C" w:rsidP="00912F2C">
            <w:pPr>
              <w:jc w:val="center"/>
              <w:rPr>
                <w:rFonts w:cs="Arial"/>
                <w:szCs w:val="22"/>
              </w:rPr>
            </w:pPr>
          </w:p>
        </w:tc>
        <w:tc>
          <w:tcPr>
            <w:tcW w:w="1325" w:type="dxa"/>
            <w:gridSpan w:val="3"/>
            <w:vAlign w:val="center"/>
          </w:tcPr>
          <w:p w14:paraId="38A1B26E" w14:textId="3E6C885A" w:rsidR="00912F2C" w:rsidRPr="00912F2C" w:rsidRDefault="00912F2C" w:rsidP="00912F2C">
            <w:pPr>
              <w:jc w:val="center"/>
              <w:rPr>
                <w:rFonts w:cs="Arial"/>
                <w:szCs w:val="22"/>
              </w:rPr>
            </w:pPr>
            <w:r w:rsidRPr="00912F2C">
              <w:rPr>
                <w:rFonts w:cs="Arial"/>
                <w:szCs w:val="22"/>
              </w:rPr>
              <w:t>9000,0</w:t>
            </w:r>
          </w:p>
        </w:tc>
        <w:tc>
          <w:tcPr>
            <w:tcW w:w="1402" w:type="dxa"/>
            <w:gridSpan w:val="2"/>
            <w:vAlign w:val="center"/>
          </w:tcPr>
          <w:p w14:paraId="5E080638" w14:textId="64B7A761" w:rsidR="00912F2C" w:rsidRPr="00912F2C" w:rsidRDefault="00912F2C" w:rsidP="00912F2C">
            <w:pPr>
              <w:jc w:val="center"/>
              <w:rPr>
                <w:rFonts w:cs="Arial"/>
                <w:szCs w:val="22"/>
              </w:rPr>
            </w:pPr>
            <w:r w:rsidRPr="00912F2C">
              <w:rPr>
                <w:rFonts w:cs="Arial"/>
                <w:szCs w:val="22"/>
              </w:rPr>
              <w:t>9000,0</w:t>
            </w:r>
          </w:p>
        </w:tc>
        <w:tc>
          <w:tcPr>
            <w:tcW w:w="1286" w:type="dxa"/>
            <w:gridSpan w:val="2"/>
            <w:vAlign w:val="center"/>
          </w:tcPr>
          <w:p w14:paraId="5558826A" w14:textId="749D2766" w:rsidR="00912F2C" w:rsidRPr="00912F2C" w:rsidRDefault="00912F2C" w:rsidP="00912F2C">
            <w:pPr>
              <w:jc w:val="center"/>
              <w:rPr>
                <w:rFonts w:cs="Arial"/>
                <w:szCs w:val="22"/>
              </w:rPr>
            </w:pPr>
            <w:r w:rsidRPr="00912F2C">
              <w:rPr>
                <w:rFonts w:cs="Arial"/>
                <w:szCs w:val="22"/>
              </w:rPr>
              <w:t>9000,0</w:t>
            </w:r>
          </w:p>
        </w:tc>
        <w:tc>
          <w:tcPr>
            <w:tcW w:w="1552" w:type="dxa"/>
            <w:vAlign w:val="center"/>
          </w:tcPr>
          <w:p w14:paraId="114391ED" w14:textId="4BFD7B3A" w:rsidR="00912F2C" w:rsidRPr="00912F2C" w:rsidRDefault="00912F2C" w:rsidP="00912F2C">
            <w:pPr>
              <w:jc w:val="center"/>
              <w:rPr>
                <w:rFonts w:cs="Arial"/>
                <w:szCs w:val="22"/>
              </w:rPr>
            </w:pPr>
            <w:r w:rsidRPr="00912F2C">
              <w:rPr>
                <w:rFonts w:cs="Arial"/>
                <w:szCs w:val="22"/>
              </w:rPr>
              <w:t>27000,0</w:t>
            </w:r>
          </w:p>
        </w:tc>
      </w:tr>
      <w:tr w:rsidR="00912F2C" w:rsidRPr="0019790A" w14:paraId="1CBCF56D" w14:textId="527D8C38" w:rsidTr="00912F2C">
        <w:trPr>
          <w:trHeight w:val="226"/>
          <w:jc w:val="right"/>
        </w:trPr>
        <w:tc>
          <w:tcPr>
            <w:tcW w:w="3425" w:type="dxa"/>
            <w:shd w:val="clear" w:color="auto" w:fill="FFFFFF"/>
            <w:vAlign w:val="center"/>
          </w:tcPr>
          <w:p w14:paraId="5F1B9C7D" w14:textId="77777777" w:rsidR="00912F2C" w:rsidRPr="0019790A" w:rsidRDefault="00912F2C" w:rsidP="00912F2C">
            <w:pPr>
              <w:rPr>
                <w:rFonts w:cs="Arial"/>
                <w:szCs w:val="22"/>
              </w:rPr>
            </w:pPr>
            <w:r w:rsidRPr="0019790A">
              <w:rPr>
                <w:rFonts w:cs="Arial"/>
                <w:szCs w:val="22"/>
              </w:rPr>
              <w:t>- інші джерела фінансування</w:t>
            </w:r>
          </w:p>
        </w:tc>
        <w:tc>
          <w:tcPr>
            <w:tcW w:w="1229" w:type="dxa"/>
            <w:vAlign w:val="center"/>
          </w:tcPr>
          <w:p w14:paraId="414F5D59" w14:textId="77777777" w:rsidR="00912F2C" w:rsidRPr="0019790A" w:rsidRDefault="00912F2C" w:rsidP="00912F2C">
            <w:pPr>
              <w:jc w:val="center"/>
              <w:rPr>
                <w:rFonts w:cs="Arial"/>
                <w:szCs w:val="22"/>
              </w:rPr>
            </w:pPr>
          </w:p>
        </w:tc>
        <w:tc>
          <w:tcPr>
            <w:tcW w:w="1325" w:type="dxa"/>
            <w:gridSpan w:val="3"/>
            <w:vAlign w:val="center"/>
          </w:tcPr>
          <w:p w14:paraId="50F058E7" w14:textId="77777777" w:rsidR="00912F2C" w:rsidRPr="0019790A" w:rsidRDefault="00912F2C" w:rsidP="00912F2C">
            <w:pPr>
              <w:jc w:val="center"/>
              <w:rPr>
                <w:rFonts w:cs="Arial"/>
                <w:szCs w:val="22"/>
              </w:rPr>
            </w:pPr>
          </w:p>
        </w:tc>
        <w:tc>
          <w:tcPr>
            <w:tcW w:w="1402" w:type="dxa"/>
            <w:gridSpan w:val="2"/>
            <w:vAlign w:val="center"/>
          </w:tcPr>
          <w:p w14:paraId="2E5BD7D4" w14:textId="77777777" w:rsidR="00912F2C" w:rsidRPr="0019790A" w:rsidRDefault="00912F2C" w:rsidP="00912F2C">
            <w:pPr>
              <w:jc w:val="center"/>
              <w:rPr>
                <w:rFonts w:cs="Arial"/>
                <w:szCs w:val="22"/>
              </w:rPr>
            </w:pPr>
          </w:p>
        </w:tc>
        <w:tc>
          <w:tcPr>
            <w:tcW w:w="1286" w:type="dxa"/>
            <w:gridSpan w:val="2"/>
            <w:vAlign w:val="center"/>
          </w:tcPr>
          <w:p w14:paraId="29F8441B" w14:textId="77777777" w:rsidR="00912F2C" w:rsidRPr="0019790A" w:rsidRDefault="00912F2C" w:rsidP="00912F2C">
            <w:pPr>
              <w:jc w:val="center"/>
              <w:rPr>
                <w:rFonts w:cs="Arial"/>
                <w:szCs w:val="22"/>
              </w:rPr>
            </w:pPr>
          </w:p>
        </w:tc>
        <w:tc>
          <w:tcPr>
            <w:tcW w:w="1552" w:type="dxa"/>
            <w:vAlign w:val="center"/>
          </w:tcPr>
          <w:p w14:paraId="35791D8E" w14:textId="77777777" w:rsidR="00912F2C" w:rsidRPr="0019790A" w:rsidRDefault="00912F2C" w:rsidP="00912F2C">
            <w:pPr>
              <w:jc w:val="center"/>
              <w:rPr>
                <w:rFonts w:cs="Arial"/>
                <w:szCs w:val="22"/>
              </w:rPr>
            </w:pPr>
          </w:p>
        </w:tc>
      </w:tr>
      <w:tr w:rsidR="00912F2C" w:rsidRPr="0019790A" w14:paraId="52E4CF52" w14:textId="77777777" w:rsidTr="00CF3AAE">
        <w:trPr>
          <w:jc w:val="right"/>
        </w:trPr>
        <w:tc>
          <w:tcPr>
            <w:tcW w:w="3425" w:type="dxa"/>
            <w:shd w:val="clear" w:color="auto" w:fill="FFFFFF"/>
            <w:vAlign w:val="center"/>
          </w:tcPr>
          <w:p w14:paraId="18202520" w14:textId="77777777" w:rsidR="00912F2C" w:rsidRPr="0019790A" w:rsidRDefault="00912F2C" w:rsidP="00912F2C">
            <w:pPr>
              <w:rPr>
                <w:rFonts w:cs="Arial"/>
                <w:b/>
                <w:bCs/>
                <w:szCs w:val="22"/>
              </w:rPr>
            </w:pPr>
            <w:r w:rsidRPr="0019790A">
              <w:rPr>
                <w:rFonts w:cs="Arial"/>
                <w:b/>
                <w:szCs w:val="22"/>
              </w:rPr>
              <w:t>Відповідальний виконавець проєкту:</w:t>
            </w:r>
          </w:p>
        </w:tc>
        <w:tc>
          <w:tcPr>
            <w:tcW w:w="6794" w:type="dxa"/>
            <w:gridSpan w:val="9"/>
            <w:vAlign w:val="center"/>
          </w:tcPr>
          <w:p w14:paraId="243CFDE4" w14:textId="77777777" w:rsidR="00912F2C" w:rsidRPr="0019790A" w:rsidRDefault="00912F2C" w:rsidP="00CD7662">
            <w:pPr>
              <w:jc w:val="both"/>
              <w:rPr>
                <w:rFonts w:cs="Arial"/>
                <w:szCs w:val="22"/>
              </w:rPr>
            </w:pPr>
            <w:r w:rsidRPr="0019790A">
              <w:rPr>
                <w:rFonts w:cs="Arial"/>
                <w:szCs w:val="22"/>
              </w:rPr>
              <w:t>Управління житлово-комунального господарства Жмеринської міської ради</w:t>
            </w:r>
          </w:p>
        </w:tc>
      </w:tr>
      <w:tr w:rsidR="00912F2C" w:rsidRPr="0019790A" w14:paraId="7F456BDB" w14:textId="77777777" w:rsidTr="00CF3AAE">
        <w:trPr>
          <w:jc w:val="right"/>
        </w:trPr>
        <w:tc>
          <w:tcPr>
            <w:tcW w:w="3425" w:type="dxa"/>
            <w:shd w:val="clear" w:color="auto" w:fill="FFFFFF"/>
            <w:vAlign w:val="center"/>
          </w:tcPr>
          <w:p w14:paraId="2EF25F2C" w14:textId="77777777" w:rsidR="00912F2C" w:rsidRPr="0019790A" w:rsidRDefault="00912F2C" w:rsidP="00912F2C">
            <w:pPr>
              <w:rPr>
                <w:rFonts w:cs="Arial"/>
                <w:b/>
                <w:bCs/>
                <w:szCs w:val="22"/>
              </w:rPr>
            </w:pPr>
            <w:r w:rsidRPr="0019790A">
              <w:rPr>
                <w:rFonts w:cs="Arial"/>
                <w:b/>
                <w:bCs/>
                <w:szCs w:val="22"/>
              </w:rPr>
              <w:t>Інше:</w:t>
            </w:r>
          </w:p>
        </w:tc>
        <w:tc>
          <w:tcPr>
            <w:tcW w:w="6794" w:type="dxa"/>
            <w:gridSpan w:val="9"/>
            <w:vAlign w:val="center"/>
          </w:tcPr>
          <w:p w14:paraId="7E8995D1" w14:textId="77777777" w:rsidR="00912F2C" w:rsidRPr="0019790A" w:rsidRDefault="00912F2C" w:rsidP="00912F2C">
            <w:pPr>
              <w:rPr>
                <w:rFonts w:cs="Arial"/>
                <w:szCs w:val="22"/>
              </w:rPr>
            </w:pPr>
          </w:p>
        </w:tc>
      </w:tr>
    </w:tbl>
    <w:p w14:paraId="2547B75B" w14:textId="77777777" w:rsidR="005342D5" w:rsidRPr="0019790A" w:rsidRDefault="005342D5" w:rsidP="0019790A">
      <w:pPr>
        <w:rPr>
          <w:rFonts w:cs="Arial"/>
          <w:szCs w:val="22"/>
        </w:rPr>
      </w:pPr>
    </w:p>
    <w:p w14:paraId="2152933B" w14:textId="77777777" w:rsidR="005342D5" w:rsidRPr="0019790A" w:rsidRDefault="005342D5" w:rsidP="0019790A">
      <w:pPr>
        <w:jc w:val="center"/>
        <w:rPr>
          <w:rFonts w:cs="Arial"/>
          <w:b/>
          <w:szCs w:val="22"/>
        </w:rPr>
      </w:pPr>
      <w:r w:rsidRPr="0019790A">
        <w:rPr>
          <w:rFonts w:cs="Arial"/>
          <w:b/>
          <w:szCs w:val="22"/>
        </w:rPr>
        <w:t>Форма технічного завдання на проєкт місцевого розвитку</w:t>
      </w:r>
    </w:p>
    <w:p w14:paraId="77E70324" w14:textId="77777777" w:rsidR="005342D5" w:rsidRPr="0019790A" w:rsidRDefault="005342D5" w:rsidP="0019790A">
      <w:pPr>
        <w:jc w:val="center"/>
        <w:rPr>
          <w:rFonts w:cs="Arial"/>
          <w:b/>
          <w:szCs w:val="22"/>
        </w:rPr>
      </w:pPr>
      <w:r w:rsidRPr="0019790A">
        <w:rPr>
          <w:rFonts w:cs="Arial"/>
          <w:b/>
          <w:szCs w:val="22"/>
        </w:rPr>
        <w:t>до Плану заходів з реалізації Стратегії</w:t>
      </w:r>
    </w:p>
    <w:p w14:paraId="74706B92" w14:textId="77777777" w:rsidR="005342D5" w:rsidRPr="0019790A" w:rsidRDefault="005342D5"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52"/>
        <w:gridCol w:w="1210"/>
        <w:gridCol w:w="13"/>
        <w:gridCol w:w="1389"/>
        <w:gridCol w:w="29"/>
        <w:gridCol w:w="1238"/>
        <w:gridCol w:w="38"/>
        <w:gridCol w:w="1571"/>
      </w:tblGrid>
      <w:tr w:rsidR="005342D5" w:rsidRPr="0019790A" w14:paraId="6D58EBA8" w14:textId="77777777" w:rsidTr="00CD7662">
        <w:trPr>
          <w:jc w:val="right"/>
        </w:trPr>
        <w:tc>
          <w:tcPr>
            <w:tcW w:w="3425" w:type="dxa"/>
            <w:vAlign w:val="center"/>
          </w:tcPr>
          <w:p w14:paraId="17DBA4AC" w14:textId="77777777" w:rsidR="005342D5" w:rsidRPr="0019790A" w:rsidRDefault="005342D5" w:rsidP="0019790A">
            <w:pPr>
              <w:rPr>
                <w:rFonts w:cs="Arial"/>
                <w:b/>
                <w:bCs/>
                <w:szCs w:val="22"/>
              </w:rPr>
            </w:pPr>
            <w:r w:rsidRPr="0019790A">
              <w:rPr>
                <w:rFonts w:cs="Arial"/>
                <w:b/>
                <w:bCs/>
                <w:szCs w:val="22"/>
              </w:rPr>
              <w:t>Назва проєкту:</w:t>
            </w:r>
          </w:p>
        </w:tc>
        <w:tc>
          <w:tcPr>
            <w:tcW w:w="6794" w:type="dxa"/>
            <w:gridSpan w:val="9"/>
            <w:vAlign w:val="center"/>
          </w:tcPr>
          <w:p w14:paraId="60490BDC" w14:textId="77777777" w:rsidR="005342D5" w:rsidRPr="00CD7662" w:rsidRDefault="005342D5" w:rsidP="00CD7662">
            <w:pPr>
              <w:tabs>
                <w:tab w:val="left" w:pos="229"/>
              </w:tabs>
              <w:jc w:val="both"/>
              <w:rPr>
                <w:rFonts w:cs="Arial"/>
                <w:b/>
                <w:szCs w:val="22"/>
              </w:rPr>
            </w:pPr>
            <w:r w:rsidRPr="00CD7662">
              <w:rPr>
                <w:rFonts w:cs="Arial"/>
                <w:b/>
                <w:szCs w:val="22"/>
              </w:rPr>
              <w:t>"Активна громада: Вуличний тренажерний парк для всіх поколінь"</w:t>
            </w:r>
          </w:p>
        </w:tc>
      </w:tr>
      <w:tr w:rsidR="005342D5" w:rsidRPr="0019790A" w14:paraId="1D89A242" w14:textId="77777777" w:rsidTr="00CD7662">
        <w:trPr>
          <w:jc w:val="right"/>
        </w:trPr>
        <w:tc>
          <w:tcPr>
            <w:tcW w:w="3425" w:type="dxa"/>
          </w:tcPr>
          <w:p w14:paraId="07558C16" w14:textId="77777777" w:rsidR="005342D5" w:rsidRPr="0019790A" w:rsidRDefault="005342D5" w:rsidP="0019790A">
            <w:pPr>
              <w:rPr>
                <w:rFonts w:cs="Arial"/>
                <w:szCs w:val="22"/>
              </w:rPr>
            </w:pPr>
            <w:r w:rsidRPr="0019790A">
              <w:rPr>
                <w:rFonts w:cs="Arial"/>
                <w:b/>
                <w:bCs/>
                <w:szCs w:val="22"/>
              </w:rPr>
              <w:t>Ваші контакти</w:t>
            </w:r>
            <w:r w:rsidRPr="0019790A">
              <w:rPr>
                <w:rFonts w:cs="Arial"/>
                <w:szCs w:val="22"/>
              </w:rPr>
              <w:t>:</w:t>
            </w:r>
          </w:p>
          <w:p w14:paraId="77EBEBCD" w14:textId="77777777" w:rsidR="005342D5" w:rsidRPr="0019790A" w:rsidRDefault="005342D5" w:rsidP="0019790A">
            <w:pPr>
              <w:rPr>
                <w:rFonts w:cs="Arial"/>
                <w:b/>
                <w:bCs/>
                <w:szCs w:val="22"/>
              </w:rPr>
            </w:pPr>
            <w:r w:rsidRPr="0019790A">
              <w:rPr>
                <w:rFonts w:cs="Arial"/>
                <w:szCs w:val="22"/>
              </w:rPr>
              <w:t>Назва установи, організації, підприємства</w:t>
            </w:r>
          </w:p>
        </w:tc>
        <w:tc>
          <w:tcPr>
            <w:tcW w:w="6794" w:type="dxa"/>
            <w:gridSpan w:val="9"/>
            <w:vAlign w:val="center"/>
          </w:tcPr>
          <w:p w14:paraId="30C20013" w14:textId="77777777" w:rsidR="005342D5" w:rsidRPr="0019790A" w:rsidRDefault="005342D5" w:rsidP="00CD7662">
            <w:pPr>
              <w:tabs>
                <w:tab w:val="left" w:pos="229"/>
              </w:tabs>
              <w:jc w:val="both"/>
              <w:rPr>
                <w:rFonts w:cs="Arial"/>
                <w:szCs w:val="22"/>
              </w:rPr>
            </w:pPr>
            <w:r w:rsidRPr="0019790A">
              <w:rPr>
                <w:rFonts w:cs="Arial"/>
                <w:szCs w:val="22"/>
              </w:rPr>
              <w:t>Відділ молоді та спорту Жмеринської міської ради</w:t>
            </w:r>
          </w:p>
        </w:tc>
      </w:tr>
      <w:tr w:rsidR="005342D5" w:rsidRPr="0019790A" w14:paraId="62873CB3" w14:textId="77777777" w:rsidTr="00CD7662">
        <w:trPr>
          <w:jc w:val="right"/>
        </w:trPr>
        <w:tc>
          <w:tcPr>
            <w:tcW w:w="3425" w:type="dxa"/>
          </w:tcPr>
          <w:p w14:paraId="44229126" w14:textId="77777777" w:rsidR="005342D5" w:rsidRPr="0019790A" w:rsidRDefault="005342D5" w:rsidP="0019790A">
            <w:pPr>
              <w:rPr>
                <w:rFonts w:cs="Arial"/>
                <w:b/>
                <w:bCs/>
                <w:szCs w:val="22"/>
              </w:rPr>
            </w:pPr>
            <w:r w:rsidRPr="0019790A">
              <w:rPr>
                <w:rFonts w:cs="Arial"/>
                <w:szCs w:val="22"/>
              </w:rPr>
              <w:t>Прізвище Ім’я По-батькові:</w:t>
            </w:r>
          </w:p>
        </w:tc>
        <w:tc>
          <w:tcPr>
            <w:tcW w:w="6794" w:type="dxa"/>
            <w:gridSpan w:val="9"/>
            <w:vAlign w:val="center"/>
          </w:tcPr>
          <w:p w14:paraId="7D272A1B" w14:textId="77777777" w:rsidR="005342D5" w:rsidRPr="0019790A" w:rsidRDefault="005342D5" w:rsidP="00CD7662">
            <w:pPr>
              <w:tabs>
                <w:tab w:val="left" w:pos="229"/>
              </w:tabs>
              <w:jc w:val="both"/>
              <w:rPr>
                <w:rFonts w:cs="Arial"/>
                <w:szCs w:val="22"/>
              </w:rPr>
            </w:pPr>
            <w:r w:rsidRPr="0019790A">
              <w:rPr>
                <w:rFonts w:cs="Arial"/>
                <w:szCs w:val="22"/>
              </w:rPr>
              <w:t>Ковальська Олена Віталіївна</w:t>
            </w:r>
          </w:p>
        </w:tc>
      </w:tr>
      <w:tr w:rsidR="005342D5" w:rsidRPr="0019790A" w14:paraId="6E60BAF8" w14:textId="77777777" w:rsidTr="00CD7662">
        <w:trPr>
          <w:jc w:val="right"/>
        </w:trPr>
        <w:tc>
          <w:tcPr>
            <w:tcW w:w="3425" w:type="dxa"/>
          </w:tcPr>
          <w:p w14:paraId="793098A2" w14:textId="77777777" w:rsidR="005342D5" w:rsidRPr="0019790A" w:rsidRDefault="005342D5" w:rsidP="0019790A">
            <w:pPr>
              <w:rPr>
                <w:rFonts w:cs="Arial"/>
                <w:b/>
                <w:bCs/>
                <w:szCs w:val="22"/>
              </w:rPr>
            </w:pPr>
            <w:r w:rsidRPr="0019790A">
              <w:rPr>
                <w:rFonts w:cs="Arial"/>
                <w:szCs w:val="22"/>
              </w:rPr>
              <w:t>Телефон (мобільний):</w:t>
            </w:r>
          </w:p>
        </w:tc>
        <w:tc>
          <w:tcPr>
            <w:tcW w:w="6794" w:type="dxa"/>
            <w:gridSpan w:val="9"/>
            <w:vAlign w:val="center"/>
          </w:tcPr>
          <w:p w14:paraId="585C777C" w14:textId="77777777" w:rsidR="005342D5" w:rsidRPr="0019790A" w:rsidRDefault="005342D5" w:rsidP="00CD7662">
            <w:pPr>
              <w:tabs>
                <w:tab w:val="left" w:pos="229"/>
              </w:tabs>
              <w:jc w:val="both"/>
              <w:rPr>
                <w:rFonts w:cs="Arial"/>
                <w:szCs w:val="22"/>
              </w:rPr>
            </w:pPr>
            <w:r w:rsidRPr="0019790A">
              <w:rPr>
                <w:rFonts w:cs="Arial"/>
                <w:szCs w:val="22"/>
              </w:rPr>
              <w:t>096-068-94-79</w:t>
            </w:r>
          </w:p>
        </w:tc>
      </w:tr>
      <w:tr w:rsidR="005342D5" w:rsidRPr="0019790A" w14:paraId="1CE01302" w14:textId="77777777" w:rsidTr="00CD7662">
        <w:trPr>
          <w:jc w:val="right"/>
        </w:trPr>
        <w:tc>
          <w:tcPr>
            <w:tcW w:w="3425" w:type="dxa"/>
          </w:tcPr>
          <w:p w14:paraId="0FF19DA7" w14:textId="77777777" w:rsidR="005342D5" w:rsidRPr="0019790A" w:rsidRDefault="005342D5" w:rsidP="0019790A">
            <w:pPr>
              <w:rPr>
                <w:rFonts w:cs="Arial"/>
                <w:b/>
                <w:bCs/>
                <w:szCs w:val="22"/>
              </w:rPr>
            </w:pPr>
            <w:r w:rsidRPr="0019790A">
              <w:rPr>
                <w:rFonts w:cs="Arial"/>
                <w:szCs w:val="22"/>
              </w:rPr>
              <w:t>Електронна адреса:</w:t>
            </w:r>
          </w:p>
        </w:tc>
        <w:tc>
          <w:tcPr>
            <w:tcW w:w="6794" w:type="dxa"/>
            <w:gridSpan w:val="9"/>
            <w:vAlign w:val="center"/>
          </w:tcPr>
          <w:p w14:paraId="4339D653" w14:textId="77777777" w:rsidR="005342D5" w:rsidRPr="0019790A" w:rsidRDefault="00D85FFD" w:rsidP="00CD7662">
            <w:pPr>
              <w:tabs>
                <w:tab w:val="left" w:pos="229"/>
              </w:tabs>
              <w:jc w:val="both"/>
              <w:rPr>
                <w:rFonts w:cs="Arial"/>
                <w:szCs w:val="22"/>
              </w:rPr>
            </w:pPr>
            <w:hyperlink r:id="rId157" w:history="1">
              <w:r w:rsidR="005342D5" w:rsidRPr="0019790A">
                <w:rPr>
                  <w:rStyle w:val="af0"/>
                  <w:rFonts w:cs="Arial"/>
                  <w:b/>
                  <w:bCs/>
                  <w:noProof w:val="0"/>
                  <w:sz w:val="22"/>
                  <w:szCs w:val="22"/>
                </w:rPr>
                <w:t>ms@zhmr.gov.ua</w:t>
              </w:r>
            </w:hyperlink>
          </w:p>
        </w:tc>
      </w:tr>
      <w:tr w:rsidR="005342D5" w:rsidRPr="0019790A" w14:paraId="1DFE4E67" w14:textId="77777777" w:rsidTr="00CD7662">
        <w:trPr>
          <w:jc w:val="right"/>
        </w:trPr>
        <w:tc>
          <w:tcPr>
            <w:tcW w:w="3425" w:type="dxa"/>
            <w:vAlign w:val="center"/>
          </w:tcPr>
          <w:p w14:paraId="5B45F9EF" w14:textId="77777777" w:rsidR="005342D5" w:rsidRPr="0019790A" w:rsidRDefault="005342D5" w:rsidP="0019790A">
            <w:pPr>
              <w:rPr>
                <w:rFonts w:cs="Arial"/>
                <w:b/>
                <w:bCs/>
                <w:szCs w:val="22"/>
              </w:rPr>
            </w:pPr>
            <w:r w:rsidRPr="0019790A">
              <w:rPr>
                <w:rFonts w:cs="Arial"/>
                <w:b/>
                <w:bCs/>
                <w:szCs w:val="22"/>
              </w:rPr>
              <w:t>Номер і назва завдання з Стратегії розвитку Жмеринської міської територіальної громади,  якому відповідає проєкт:</w:t>
            </w:r>
          </w:p>
        </w:tc>
        <w:tc>
          <w:tcPr>
            <w:tcW w:w="6794" w:type="dxa"/>
            <w:gridSpan w:val="9"/>
            <w:vAlign w:val="center"/>
          </w:tcPr>
          <w:p w14:paraId="2692273C" w14:textId="77777777" w:rsidR="005342D5" w:rsidRPr="00CD7662" w:rsidRDefault="005342D5" w:rsidP="00CD7662">
            <w:pPr>
              <w:tabs>
                <w:tab w:val="left" w:pos="229"/>
              </w:tabs>
              <w:jc w:val="both"/>
              <w:rPr>
                <w:rFonts w:cs="Arial"/>
                <w:bCs/>
                <w:szCs w:val="22"/>
              </w:rPr>
            </w:pPr>
            <w:r w:rsidRPr="00CD7662">
              <w:rPr>
                <w:rFonts w:cs="Arial"/>
                <w:bCs/>
                <w:szCs w:val="22"/>
              </w:rPr>
              <w:t>С.3.4.1. Вдосконалення спортивного розвитку та самореалізації дітей, молоді, населення середнього та пенсійного віку.</w:t>
            </w:r>
          </w:p>
          <w:p w14:paraId="4FF7E15E" w14:textId="77777777" w:rsidR="005342D5" w:rsidRPr="00CD7662" w:rsidRDefault="005342D5" w:rsidP="00CD7662">
            <w:pPr>
              <w:tabs>
                <w:tab w:val="left" w:pos="229"/>
              </w:tabs>
              <w:jc w:val="both"/>
              <w:rPr>
                <w:rFonts w:cs="Arial"/>
                <w:bCs/>
                <w:szCs w:val="22"/>
              </w:rPr>
            </w:pPr>
            <w:r w:rsidRPr="00CD7662">
              <w:rPr>
                <w:rFonts w:cs="Arial"/>
                <w:bCs/>
                <w:szCs w:val="22"/>
              </w:rPr>
              <w:t>С.3.4.2. Будівництво, реконструкція інфраструктури спорту з урахуванням гендерного аспекту.</w:t>
            </w:r>
          </w:p>
          <w:p w14:paraId="738DB24E" w14:textId="77777777" w:rsidR="005342D5" w:rsidRPr="00CD7662" w:rsidRDefault="005342D5" w:rsidP="00CD7662">
            <w:pPr>
              <w:tabs>
                <w:tab w:val="left" w:pos="229"/>
              </w:tabs>
              <w:jc w:val="both"/>
              <w:rPr>
                <w:rFonts w:cs="Arial"/>
                <w:szCs w:val="22"/>
              </w:rPr>
            </w:pPr>
          </w:p>
        </w:tc>
      </w:tr>
      <w:tr w:rsidR="005342D5" w:rsidRPr="0019790A" w14:paraId="129A7957" w14:textId="77777777" w:rsidTr="00CD7662">
        <w:trPr>
          <w:trHeight w:val="673"/>
          <w:jc w:val="right"/>
        </w:trPr>
        <w:tc>
          <w:tcPr>
            <w:tcW w:w="3425" w:type="dxa"/>
            <w:vAlign w:val="center"/>
          </w:tcPr>
          <w:p w14:paraId="401286D5" w14:textId="77777777" w:rsidR="005342D5" w:rsidRPr="0019790A" w:rsidRDefault="005342D5" w:rsidP="0019790A">
            <w:pPr>
              <w:rPr>
                <w:rFonts w:cs="Arial"/>
                <w:b/>
                <w:bCs/>
                <w:szCs w:val="22"/>
              </w:rPr>
            </w:pPr>
            <w:r w:rsidRPr="0019790A">
              <w:rPr>
                <w:rFonts w:cs="Arial"/>
                <w:b/>
                <w:bCs/>
                <w:szCs w:val="22"/>
              </w:rPr>
              <w:t>Мета проєкту:</w:t>
            </w:r>
          </w:p>
        </w:tc>
        <w:tc>
          <w:tcPr>
            <w:tcW w:w="6794" w:type="dxa"/>
            <w:gridSpan w:val="9"/>
            <w:vAlign w:val="center"/>
          </w:tcPr>
          <w:p w14:paraId="21CB62D0" w14:textId="77777777" w:rsidR="005342D5" w:rsidRPr="0019790A" w:rsidRDefault="005342D5" w:rsidP="00CD7662">
            <w:pPr>
              <w:tabs>
                <w:tab w:val="left" w:pos="229"/>
              </w:tabs>
              <w:jc w:val="both"/>
              <w:rPr>
                <w:rFonts w:cs="Arial"/>
                <w:szCs w:val="22"/>
              </w:rPr>
            </w:pPr>
            <w:r w:rsidRPr="0019790A">
              <w:rPr>
                <w:rFonts w:cs="Arial"/>
                <w:szCs w:val="22"/>
              </w:rPr>
              <w:t>Створення доступного, безпечного та інклюзивного простору для фізичної активності мешканців усіх вікових категорій шляхом встановлення сучасного вуличного тренажерного парку на відкритому повітрі.</w:t>
            </w:r>
          </w:p>
        </w:tc>
      </w:tr>
      <w:tr w:rsidR="005342D5" w:rsidRPr="0019790A" w14:paraId="45C5FAD7" w14:textId="77777777" w:rsidTr="00CD7662">
        <w:trPr>
          <w:jc w:val="right"/>
        </w:trPr>
        <w:tc>
          <w:tcPr>
            <w:tcW w:w="3425" w:type="dxa"/>
            <w:vAlign w:val="center"/>
          </w:tcPr>
          <w:p w14:paraId="4B2DC5C9" w14:textId="77777777" w:rsidR="005342D5" w:rsidRPr="0019790A" w:rsidRDefault="005342D5" w:rsidP="0019790A">
            <w:pPr>
              <w:rPr>
                <w:rFonts w:cs="Arial"/>
                <w:b/>
                <w:bCs/>
                <w:szCs w:val="22"/>
              </w:rPr>
            </w:pPr>
            <w:r w:rsidRPr="0019790A">
              <w:rPr>
                <w:rFonts w:cs="Arial"/>
                <w:b/>
                <w:bCs/>
                <w:szCs w:val="22"/>
              </w:rPr>
              <w:t>Цілі проєкту:</w:t>
            </w:r>
          </w:p>
        </w:tc>
        <w:tc>
          <w:tcPr>
            <w:tcW w:w="6794" w:type="dxa"/>
            <w:gridSpan w:val="9"/>
            <w:vAlign w:val="center"/>
          </w:tcPr>
          <w:p w14:paraId="36099F4A" w14:textId="77777777" w:rsidR="005342D5" w:rsidRPr="0019790A" w:rsidRDefault="005342D5" w:rsidP="00CD7662">
            <w:pPr>
              <w:numPr>
                <w:ilvl w:val="0"/>
                <w:numId w:val="77"/>
              </w:numPr>
              <w:tabs>
                <w:tab w:val="left" w:pos="229"/>
              </w:tabs>
              <w:ind w:left="0" w:firstLine="0"/>
              <w:jc w:val="both"/>
              <w:rPr>
                <w:rFonts w:cs="Arial"/>
                <w:szCs w:val="22"/>
              </w:rPr>
            </w:pPr>
            <w:r w:rsidRPr="0019790A">
              <w:rPr>
                <w:rFonts w:cs="Arial"/>
                <w:szCs w:val="22"/>
              </w:rPr>
              <w:t>Підвищити рівень фізичної активності мешканців громади.</w:t>
            </w:r>
          </w:p>
          <w:p w14:paraId="2A30A99C" w14:textId="77777777" w:rsidR="005342D5" w:rsidRPr="0019790A" w:rsidRDefault="005342D5" w:rsidP="00CD7662">
            <w:pPr>
              <w:numPr>
                <w:ilvl w:val="0"/>
                <w:numId w:val="77"/>
              </w:numPr>
              <w:tabs>
                <w:tab w:val="left" w:pos="229"/>
              </w:tabs>
              <w:ind w:left="0" w:firstLine="0"/>
              <w:jc w:val="both"/>
              <w:rPr>
                <w:rFonts w:cs="Arial"/>
                <w:szCs w:val="22"/>
              </w:rPr>
            </w:pPr>
            <w:r w:rsidRPr="0019790A">
              <w:rPr>
                <w:rFonts w:cs="Arial"/>
                <w:szCs w:val="22"/>
              </w:rPr>
              <w:t>Забезпечити інфраструктуру для занять спортом на відкритому повітрі.</w:t>
            </w:r>
          </w:p>
          <w:p w14:paraId="27E78357" w14:textId="77777777" w:rsidR="005342D5" w:rsidRPr="0019790A" w:rsidRDefault="005342D5" w:rsidP="00CD7662">
            <w:pPr>
              <w:numPr>
                <w:ilvl w:val="0"/>
                <w:numId w:val="77"/>
              </w:numPr>
              <w:tabs>
                <w:tab w:val="left" w:pos="229"/>
              </w:tabs>
              <w:ind w:left="0" w:firstLine="0"/>
              <w:jc w:val="both"/>
              <w:rPr>
                <w:rFonts w:cs="Arial"/>
                <w:szCs w:val="22"/>
              </w:rPr>
            </w:pPr>
            <w:r w:rsidRPr="0019790A">
              <w:rPr>
                <w:rFonts w:cs="Arial"/>
                <w:szCs w:val="22"/>
              </w:rPr>
              <w:t>Створити інклюзивне середовище для оздоровлення та реабілітації.</w:t>
            </w:r>
          </w:p>
          <w:p w14:paraId="77A666E3" w14:textId="77777777" w:rsidR="005342D5" w:rsidRPr="0019790A" w:rsidRDefault="005342D5" w:rsidP="00CD7662">
            <w:pPr>
              <w:numPr>
                <w:ilvl w:val="0"/>
                <w:numId w:val="77"/>
              </w:numPr>
              <w:tabs>
                <w:tab w:val="left" w:pos="229"/>
              </w:tabs>
              <w:ind w:left="0" w:firstLine="0"/>
              <w:jc w:val="both"/>
              <w:rPr>
                <w:rFonts w:cs="Arial"/>
                <w:szCs w:val="22"/>
              </w:rPr>
            </w:pPr>
            <w:r w:rsidRPr="0019790A">
              <w:rPr>
                <w:rFonts w:cs="Arial"/>
                <w:szCs w:val="22"/>
              </w:rPr>
              <w:t>Підтримати соціальну взаємодію між різними віковими групами.</w:t>
            </w:r>
          </w:p>
        </w:tc>
      </w:tr>
      <w:tr w:rsidR="005342D5" w:rsidRPr="0019790A" w14:paraId="2E0CFA5A" w14:textId="77777777" w:rsidTr="00CD7662">
        <w:trPr>
          <w:jc w:val="right"/>
        </w:trPr>
        <w:tc>
          <w:tcPr>
            <w:tcW w:w="3425" w:type="dxa"/>
            <w:vAlign w:val="center"/>
          </w:tcPr>
          <w:p w14:paraId="5734E4FE" w14:textId="77777777" w:rsidR="005342D5" w:rsidRPr="0019790A" w:rsidRDefault="005342D5" w:rsidP="0019790A">
            <w:pPr>
              <w:rPr>
                <w:rFonts w:cs="Arial"/>
                <w:b/>
                <w:szCs w:val="22"/>
              </w:rPr>
            </w:pPr>
            <w:r w:rsidRPr="0019790A">
              <w:rPr>
                <w:rFonts w:cs="Arial"/>
                <w:b/>
                <w:szCs w:val="22"/>
              </w:rPr>
              <w:t>Територія на яку проєкт матиме вплив:</w:t>
            </w:r>
          </w:p>
        </w:tc>
        <w:tc>
          <w:tcPr>
            <w:tcW w:w="6794" w:type="dxa"/>
            <w:gridSpan w:val="9"/>
            <w:vAlign w:val="center"/>
          </w:tcPr>
          <w:p w14:paraId="2341CAC7" w14:textId="77777777" w:rsidR="005342D5" w:rsidRPr="0019790A" w:rsidRDefault="005342D5" w:rsidP="00CD7662">
            <w:pPr>
              <w:tabs>
                <w:tab w:val="left" w:pos="229"/>
              </w:tabs>
              <w:jc w:val="both"/>
              <w:rPr>
                <w:rFonts w:cs="Arial"/>
                <w:szCs w:val="22"/>
              </w:rPr>
            </w:pPr>
            <w:r w:rsidRPr="0019790A">
              <w:rPr>
                <w:rFonts w:cs="Arial"/>
                <w:szCs w:val="22"/>
              </w:rPr>
              <w:t>Жмеринська міська територіальна громада</w:t>
            </w:r>
          </w:p>
        </w:tc>
      </w:tr>
      <w:tr w:rsidR="005342D5" w:rsidRPr="0019790A" w14:paraId="372D8DC5" w14:textId="77777777" w:rsidTr="00CD7662">
        <w:trPr>
          <w:jc w:val="right"/>
        </w:trPr>
        <w:tc>
          <w:tcPr>
            <w:tcW w:w="3425" w:type="dxa"/>
            <w:vAlign w:val="center"/>
          </w:tcPr>
          <w:p w14:paraId="42ED222A" w14:textId="77777777" w:rsidR="005342D5" w:rsidRPr="0019790A" w:rsidRDefault="005342D5" w:rsidP="0019790A">
            <w:pPr>
              <w:rPr>
                <w:rFonts w:cs="Arial"/>
                <w:b/>
                <w:szCs w:val="22"/>
              </w:rPr>
            </w:pPr>
            <w:r w:rsidRPr="0019790A">
              <w:rPr>
                <w:rFonts w:cs="Arial"/>
                <w:b/>
                <w:szCs w:val="22"/>
              </w:rPr>
              <w:t>Цільові групи проєкту та кількість отримувачів вигоди</w:t>
            </w:r>
          </w:p>
        </w:tc>
        <w:tc>
          <w:tcPr>
            <w:tcW w:w="6794" w:type="dxa"/>
            <w:gridSpan w:val="9"/>
            <w:vAlign w:val="center"/>
          </w:tcPr>
          <w:p w14:paraId="1E448C70" w14:textId="77777777" w:rsidR="005342D5" w:rsidRPr="0019790A" w:rsidRDefault="005342D5" w:rsidP="00CD7662">
            <w:pPr>
              <w:numPr>
                <w:ilvl w:val="0"/>
                <w:numId w:val="76"/>
              </w:numPr>
              <w:tabs>
                <w:tab w:val="left" w:pos="229"/>
              </w:tabs>
              <w:ind w:left="0" w:firstLine="0"/>
              <w:jc w:val="both"/>
              <w:rPr>
                <w:rFonts w:cs="Arial"/>
                <w:bCs/>
                <w:szCs w:val="22"/>
              </w:rPr>
            </w:pPr>
            <w:r w:rsidRPr="0019790A">
              <w:rPr>
                <w:rFonts w:cs="Arial"/>
                <w:bCs/>
                <w:szCs w:val="22"/>
              </w:rPr>
              <w:t>Діти (від 7 років)</w:t>
            </w:r>
          </w:p>
          <w:p w14:paraId="46CC5CBC" w14:textId="77777777" w:rsidR="005342D5" w:rsidRPr="0019790A" w:rsidRDefault="005342D5" w:rsidP="00CD7662">
            <w:pPr>
              <w:numPr>
                <w:ilvl w:val="0"/>
                <w:numId w:val="76"/>
              </w:numPr>
              <w:tabs>
                <w:tab w:val="left" w:pos="229"/>
              </w:tabs>
              <w:ind w:left="0" w:firstLine="0"/>
              <w:jc w:val="both"/>
              <w:rPr>
                <w:rFonts w:cs="Arial"/>
                <w:bCs/>
                <w:szCs w:val="22"/>
              </w:rPr>
            </w:pPr>
            <w:r w:rsidRPr="0019790A">
              <w:rPr>
                <w:rFonts w:cs="Arial"/>
                <w:bCs/>
                <w:szCs w:val="22"/>
              </w:rPr>
              <w:t>Молодь і студенти</w:t>
            </w:r>
          </w:p>
          <w:p w14:paraId="290E6D0B" w14:textId="77777777" w:rsidR="005342D5" w:rsidRPr="0019790A" w:rsidRDefault="005342D5" w:rsidP="00CD7662">
            <w:pPr>
              <w:numPr>
                <w:ilvl w:val="0"/>
                <w:numId w:val="76"/>
              </w:numPr>
              <w:tabs>
                <w:tab w:val="left" w:pos="229"/>
              </w:tabs>
              <w:ind w:left="0" w:firstLine="0"/>
              <w:jc w:val="both"/>
              <w:rPr>
                <w:rFonts w:cs="Arial"/>
                <w:bCs/>
                <w:szCs w:val="22"/>
              </w:rPr>
            </w:pPr>
            <w:r w:rsidRPr="0019790A">
              <w:rPr>
                <w:rFonts w:cs="Arial"/>
                <w:bCs/>
                <w:szCs w:val="22"/>
              </w:rPr>
              <w:t>Дорослі та працівники громади</w:t>
            </w:r>
          </w:p>
          <w:p w14:paraId="297A032F" w14:textId="77777777" w:rsidR="005342D5" w:rsidRPr="0019790A" w:rsidRDefault="005342D5" w:rsidP="00CD7662">
            <w:pPr>
              <w:numPr>
                <w:ilvl w:val="0"/>
                <w:numId w:val="76"/>
              </w:numPr>
              <w:tabs>
                <w:tab w:val="left" w:pos="229"/>
              </w:tabs>
              <w:ind w:left="0" w:firstLine="0"/>
              <w:jc w:val="both"/>
              <w:rPr>
                <w:rFonts w:cs="Arial"/>
                <w:bCs/>
                <w:szCs w:val="22"/>
              </w:rPr>
            </w:pPr>
            <w:r w:rsidRPr="0019790A">
              <w:rPr>
                <w:rFonts w:cs="Arial"/>
                <w:bCs/>
                <w:szCs w:val="22"/>
              </w:rPr>
              <w:t>Люди похилого віку</w:t>
            </w:r>
          </w:p>
          <w:p w14:paraId="48D8E0CA" w14:textId="77777777" w:rsidR="005342D5" w:rsidRPr="0019790A" w:rsidRDefault="005342D5" w:rsidP="00CD7662">
            <w:pPr>
              <w:numPr>
                <w:ilvl w:val="0"/>
                <w:numId w:val="76"/>
              </w:numPr>
              <w:tabs>
                <w:tab w:val="left" w:pos="229"/>
              </w:tabs>
              <w:ind w:left="0" w:firstLine="0"/>
              <w:jc w:val="both"/>
              <w:rPr>
                <w:rFonts w:cs="Arial"/>
                <w:bCs/>
                <w:szCs w:val="22"/>
              </w:rPr>
            </w:pPr>
            <w:r w:rsidRPr="0019790A">
              <w:rPr>
                <w:rFonts w:cs="Arial"/>
                <w:bCs/>
                <w:szCs w:val="22"/>
              </w:rPr>
              <w:t>Особи з інвалідністю та обмеженою рухливістю</w:t>
            </w:r>
          </w:p>
          <w:p w14:paraId="4334807F" w14:textId="77777777" w:rsidR="005342D5" w:rsidRPr="0019790A" w:rsidRDefault="005342D5" w:rsidP="00CD7662">
            <w:pPr>
              <w:numPr>
                <w:ilvl w:val="0"/>
                <w:numId w:val="76"/>
              </w:numPr>
              <w:tabs>
                <w:tab w:val="left" w:pos="229"/>
              </w:tabs>
              <w:ind w:left="0" w:firstLine="0"/>
              <w:jc w:val="both"/>
              <w:rPr>
                <w:rFonts w:cs="Arial"/>
                <w:bCs/>
                <w:szCs w:val="22"/>
              </w:rPr>
            </w:pPr>
            <w:r w:rsidRPr="0019790A">
              <w:rPr>
                <w:rFonts w:cs="Arial"/>
                <w:bCs/>
                <w:szCs w:val="22"/>
              </w:rPr>
              <w:t>Вихованці гуртків, реабілітаційних груп</w:t>
            </w:r>
          </w:p>
          <w:p w14:paraId="50325D2E" w14:textId="77777777" w:rsidR="005342D5" w:rsidRPr="0019790A" w:rsidRDefault="005342D5" w:rsidP="00CD7662">
            <w:pPr>
              <w:tabs>
                <w:tab w:val="left" w:pos="229"/>
              </w:tabs>
              <w:jc w:val="both"/>
              <w:rPr>
                <w:rFonts w:cs="Arial"/>
                <w:szCs w:val="22"/>
              </w:rPr>
            </w:pPr>
            <w:r w:rsidRPr="0019790A">
              <w:rPr>
                <w:rFonts w:cs="Arial"/>
                <w:b/>
                <w:szCs w:val="22"/>
              </w:rPr>
              <w:t>Кількість отримувачів вигоди</w:t>
            </w:r>
            <w:r w:rsidRPr="0019790A">
              <w:rPr>
                <w:rFonts w:cs="Arial"/>
                <w:szCs w:val="22"/>
              </w:rPr>
              <w:t xml:space="preserve"> </w:t>
            </w:r>
            <w:r w:rsidRPr="0019790A">
              <w:rPr>
                <w:rFonts w:cs="Arial"/>
                <w:b/>
                <w:szCs w:val="22"/>
              </w:rPr>
              <w:t>12 000 осіб.</w:t>
            </w:r>
          </w:p>
        </w:tc>
      </w:tr>
      <w:tr w:rsidR="005342D5" w:rsidRPr="0019790A" w14:paraId="62EC0A2F" w14:textId="77777777" w:rsidTr="00CD7662">
        <w:trPr>
          <w:jc w:val="right"/>
        </w:trPr>
        <w:tc>
          <w:tcPr>
            <w:tcW w:w="3425" w:type="dxa"/>
            <w:shd w:val="clear" w:color="auto" w:fill="FFFFFF"/>
            <w:vAlign w:val="center"/>
          </w:tcPr>
          <w:p w14:paraId="69A49329" w14:textId="77777777" w:rsidR="005342D5" w:rsidRPr="0019790A" w:rsidRDefault="005342D5" w:rsidP="0019790A">
            <w:pPr>
              <w:rPr>
                <w:rFonts w:cs="Arial"/>
                <w:b/>
                <w:bCs/>
                <w:szCs w:val="22"/>
              </w:rPr>
            </w:pPr>
            <w:r w:rsidRPr="0019790A">
              <w:rPr>
                <w:rFonts w:cs="Arial"/>
                <w:b/>
                <w:bCs/>
                <w:szCs w:val="22"/>
              </w:rPr>
              <w:t>Стислий опис проєкту:</w:t>
            </w:r>
          </w:p>
        </w:tc>
        <w:tc>
          <w:tcPr>
            <w:tcW w:w="6794" w:type="dxa"/>
            <w:gridSpan w:val="9"/>
            <w:vAlign w:val="center"/>
          </w:tcPr>
          <w:p w14:paraId="69AE6881" w14:textId="7DE0737D" w:rsidR="005342D5" w:rsidRPr="0019790A" w:rsidRDefault="005342D5" w:rsidP="00CD7662">
            <w:pPr>
              <w:tabs>
                <w:tab w:val="left" w:pos="229"/>
              </w:tabs>
              <w:jc w:val="both"/>
              <w:rPr>
                <w:rFonts w:cs="Arial"/>
                <w:szCs w:val="22"/>
              </w:rPr>
            </w:pPr>
            <w:r w:rsidRPr="0019790A">
              <w:rPr>
                <w:rFonts w:cs="Arial"/>
                <w:szCs w:val="22"/>
              </w:rPr>
              <w:t xml:space="preserve">Проєкт передбачає облаштування </w:t>
            </w:r>
            <w:r w:rsidRPr="0019790A">
              <w:rPr>
                <w:rFonts w:cs="Arial"/>
                <w:bCs/>
                <w:szCs w:val="22"/>
              </w:rPr>
              <w:t>вуличного тренажерного парку</w:t>
            </w:r>
            <w:r w:rsidRPr="0019790A">
              <w:rPr>
                <w:rFonts w:cs="Arial"/>
                <w:szCs w:val="22"/>
              </w:rPr>
              <w:t xml:space="preserve"> на території </w:t>
            </w:r>
            <w:r w:rsidR="00CD7662" w:rsidRPr="0019790A">
              <w:rPr>
                <w:rFonts w:cs="Arial"/>
                <w:szCs w:val="22"/>
              </w:rPr>
              <w:t>мікрорайону</w:t>
            </w:r>
            <w:r w:rsidRPr="0019790A">
              <w:rPr>
                <w:rFonts w:cs="Arial"/>
                <w:szCs w:val="22"/>
              </w:rPr>
              <w:t xml:space="preserve"> «Петрівка», «ТЕЦ», «Табачка», «Водоканал», «Сектор», «Райлікарні». Парк включатиме </w:t>
            </w:r>
            <w:r w:rsidRPr="0019790A">
              <w:rPr>
                <w:rFonts w:cs="Arial"/>
                <w:bCs/>
                <w:szCs w:val="22"/>
              </w:rPr>
              <w:t>комплекс тренажерів для силових і кардіо-вправ</w:t>
            </w:r>
            <w:r w:rsidRPr="0019790A">
              <w:rPr>
                <w:rFonts w:cs="Arial"/>
                <w:szCs w:val="22"/>
              </w:rPr>
              <w:t xml:space="preserve">, </w:t>
            </w:r>
            <w:r w:rsidRPr="0019790A">
              <w:rPr>
                <w:rFonts w:cs="Arial"/>
                <w:bCs/>
                <w:szCs w:val="22"/>
              </w:rPr>
              <w:t>інклюзивні тренажери</w:t>
            </w:r>
            <w:r w:rsidRPr="0019790A">
              <w:rPr>
                <w:rFonts w:cs="Arial"/>
                <w:szCs w:val="22"/>
              </w:rPr>
              <w:t xml:space="preserve">, </w:t>
            </w:r>
            <w:r w:rsidRPr="0019790A">
              <w:rPr>
                <w:rFonts w:cs="Arial"/>
                <w:bCs/>
                <w:szCs w:val="22"/>
              </w:rPr>
              <w:t>тактильні елементи</w:t>
            </w:r>
            <w:r w:rsidRPr="0019790A">
              <w:rPr>
                <w:rFonts w:cs="Arial"/>
                <w:szCs w:val="22"/>
              </w:rPr>
              <w:t xml:space="preserve">, </w:t>
            </w:r>
            <w:r w:rsidRPr="0019790A">
              <w:rPr>
                <w:rFonts w:cs="Arial"/>
                <w:bCs/>
                <w:szCs w:val="22"/>
              </w:rPr>
              <w:t>інформаційні стенди з інструкціями</w:t>
            </w:r>
            <w:r w:rsidRPr="0019790A">
              <w:rPr>
                <w:rFonts w:cs="Arial"/>
                <w:szCs w:val="22"/>
              </w:rPr>
              <w:t xml:space="preserve">, лави для відпочинку, </w:t>
            </w:r>
            <w:r w:rsidRPr="0019790A">
              <w:rPr>
                <w:rFonts w:cs="Arial"/>
                <w:bCs/>
                <w:szCs w:val="22"/>
              </w:rPr>
              <w:t>освітлення</w:t>
            </w:r>
            <w:r w:rsidRPr="0019790A">
              <w:rPr>
                <w:rFonts w:cs="Arial"/>
                <w:szCs w:val="22"/>
              </w:rPr>
              <w:t xml:space="preserve"> та </w:t>
            </w:r>
            <w:r w:rsidRPr="0019790A">
              <w:rPr>
                <w:rFonts w:cs="Arial"/>
                <w:bCs/>
                <w:szCs w:val="22"/>
              </w:rPr>
              <w:t>озеленення</w:t>
            </w:r>
            <w:r w:rsidRPr="0019790A">
              <w:rPr>
                <w:rFonts w:cs="Arial"/>
                <w:szCs w:val="22"/>
              </w:rPr>
              <w:t>. Простір буде доступний цілодобово, безкоштовно і без обмежень для користувачів.</w:t>
            </w:r>
          </w:p>
        </w:tc>
      </w:tr>
      <w:tr w:rsidR="005342D5" w:rsidRPr="0019790A" w14:paraId="0B862F11" w14:textId="77777777" w:rsidTr="00CD7662">
        <w:trPr>
          <w:jc w:val="right"/>
        </w:trPr>
        <w:tc>
          <w:tcPr>
            <w:tcW w:w="3425" w:type="dxa"/>
            <w:shd w:val="clear" w:color="auto" w:fill="FFFFFF"/>
            <w:vAlign w:val="center"/>
          </w:tcPr>
          <w:p w14:paraId="144F8771" w14:textId="77777777" w:rsidR="005342D5" w:rsidRPr="0019790A" w:rsidRDefault="005342D5" w:rsidP="0019790A">
            <w:pPr>
              <w:rPr>
                <w:rFonts w:cs="Arial"/>
                <w:b/>
                <w:bCs/>
                <w:szCs w:val="22"/>
              </w:rPr>
            </w:pPr>
            <w:r w:rsidRPr="0019790A">
              <w:rPr>
                <w:rFonts w:cs="Arial"/>
                <w:b/>
                <w:bCs/>
                <w:szCs w:val="22"/>
              </w:rPr>
              <w:t>Основні заходи проєкту:</w:t>
            </w:r>
          </w:p>
        </w:tc>
        <w:tc>
          <w:tcPr>
            <w:tcW w:w="6794" w:type="dxa"/>
            <w:gridSpan w:val="9"/>
            <w:vAlign w:val="center"/>
          </w:tcPr>
          <w:p w14:paraId="4A0BAFC6" w14:textId="77777777" w:rsidR="005342D5" w:rsidRPr="0019790A" w:rsidRDefault="005342D5" w:rsidP="00CD7662">
            <w:pPr>
              <w:numPr>
                <w:ilvl w:val="0"/>
                <w:numId w:val="78"/>
              </w:numPr>
              <w:tabs>
                <w:tab w:val="left" w:pos="229"/>
              </w:tabs>
              <w:ind w:left="0" w:firstLine="0"/>
              <w:jc w:val="both"/>
              <w:rPr>
                <w:rFonts w:cs="Arial"/>
                <w:szCs w:val="22"/>
              </w:rPr>
            </w:pPr>
            <w:r w:rsidRPr="0019790A">
              <w:rPr>
                <w:rFonts w:cs="Arial"/>
                <w:szCs w:val="22"/>
              </w:rPr>
              <w:t>Вибір ділянки, погодження з громадою та підготовка документації.</w:t>
            </w:r>
          </w:p>
          <w:p w14:paraId="3D6321D6" w14:textId="77777777" w:rsidR="005342D5" w:rsidRPr="0019790A" w:rsidRDefault="005342D5" w:rsidP="00CD7662">
            <w:pPr>
              <w:numPr>
                <w:ilvl w:val="0"/>
                <w:numId w:val="78"/>
              </w:numPr>
              <w:tabs>
                <w:tab w:val="left" w:pos="229"/>
              </w:tabs>
              <w:ind w:left="0" w:firstLine="0"/>
              <w:jc w:val="both"/>
              <w:rPr>
                <w:rFonts w:cs="Arial"/>
                <w:szCs w:val="22"/>
              </w:rPr>
            </w:pPr>
            <w:r w:rsidRPr="0019790A">
              <w:rPr>
                <w:rFonts w:cs="Arial"/>
                <w:szCs w:val="22"/>
              </w:rPr>
              <w:t>Розчищення та вирівнювання території, монтаж покриття.</w:t>
            </w:r>
          </w:p>
          <w:p w14:paraId="1F15DF98" w14:textId="77777777" w:rsidR="005342D5" w:rsidRPr="0019790A" w:rsidRDefault="005342D5" w:rsidP="00CD7662">
            <w:pPr>
              <w:numPr>
                <w:ilvl w:val="0"/>
                <w:numId w:val="78"/>
              </w:numPr>
              <w:tabs>
                <w:tab w:val="left" w:pos="229"/>
              </w:tabs>
              <w:ind w:left="0" w:firstLine="0"/>
              <w:jc w:val="both"/>
              <w:rPr>
                <w:rFonts w:cs="Arial"/>
                <w:szCs w:val="22"/>
              </w:rPr>
            </w:pPr>
            <w:r w:rsidRPr="0019790A">
              <w:rPr>
                <w:rFonts w:cs="Arial"/>
                <w:szCs w:val="22"/>
              </w:rPr>
              <w:t>Закупівля та встановлення спортивних тренажерів (силові, кардіо, інклюзивні).</w:t>
            </w:r>
          </w:p>
          <w:p w14:paraId="252F7D52" w14:textId="77777777" w:rsidR="005342D5" w:rsidRPr="0019790A" w:rsidRDefault="005342D5" w:rsidP="00CD7662">
            <w:pPr>
              <w:numPr>
                <w:ilvl w:val="0"/>
                <w:numId w:val="78"/>
              </w:numPr>
              <w:tabs>
                <w:tab w:val="left" w:pos="229"/>
              </w:tabs>
              <w:ind w:left="0" w:firstLine="0"/>
              <w:jc w:val="both"/>
              <w:rPr>
                <w:rFonts w:cs="Arial"/>
                <w:szCs w:val="22"/>
              </w:rPr>
            </w:pPr>
            <w:r w:rsidRPr="0019790A">
              <w:rPr>
                <w:rFonts w:cs="Arial"/>
                <w:szCs w:val="22"/>
              </w:rPr>
              <w:t>Встановлення лавок, смітників, навісів, освітлення.</w:t>
            </w:r>
          </w:p>
          <w:p w14:paraId="29E787FC" w14:textId="77777777" w:rsidR="005342D5" w:rsidRPr="0019790A" w:rsidRDefault="005342D5" w:rsidP="00CD7662">
            <w:pPr>
              <w:numPr>
                <w:ilvl w:val="0"/>
                <w:numId w:val="78"/>
              </w:numPr>
              <w:tabs>
                <w:tab w:val="left" w:pos="229"/>
              </w:tabs>
              <w:ind w:left="0" w:firstLine="0"/>
              <w:jc w:val="both"/>
              <w:rPr>
                <w:rFonts w:cs="Arial"/>
                <w:szCs w:val="22"/>
              </w:rPr>
            </w:pPr>
            <w:r w:rsidRPr="0019790A">
              <w:rPr>
                <w:rFonts w:cs="Arial"/>
                <w:szCs w:val="22"/>
              </w:rPr>
              <w:t>Проведення інструктажів або майстер-класів із тренерами.</w:t>
            </w:r>
          </w:p>
          <w:p w14:paraId="3258962E" w14:textId="77777777" w:rsidR="005342D5" w:rsidRPr="0019790A" w:rsidRDefault="005342D5" w:rsidP="00CD7662">
            <w:pPr>
              <w:numPr>
                <w:ilvl w:val="0"/>
                <w:numId w:val="78"/>
              </w:numPr>
              <w:tabs>
                <w:tab w:val="left" w:pos="229"/>
              </w:tabs>
              <w:ind w:left="0" w:firstLine="0"/>
              <w:jc w:val="both"/>
              <w:rPr>
                <w:rFonts w:cs="Arial"/>
                <w:szCs w:val="22"/>
              </w:rPr>
            </w:pPr>
            <w:r w:rsidRPr="0019790A">
              <w:rPr>
                <w:rFonts w:cs="Arial"/>
                <w:szCs w:val="22"/>
              </w:rPr>
              <w:t>Проведення інформаційної кампанії в громаді (флаєри, соціальні мережі).</w:t>
            </w:r>
          </w:p>
        </w:tc>
      </w:tr>
      <w:tr w:rsidR="005342D5" w:rsidRPr="0019790A" w14:paraId="4BCE1146" w14:textId="77777777" w:rsidTr="00CD7662">
        <w:trPr>
          <w:jc w:val="right"/>
        </w:trPr>
        <w:tc>
          <w:tcPr>
            <w:tcW w:w="3425" w:type="dxa"/>
            <w:shd w:val="clear" w:color="auto" w:fill="FFFFFF"/>
            <w:vAlign w:val="center"/>
          </w:tcPr>
          <w:p w14:paraId="35C8562D" w14:textId="77777777" w:rsidR="005342D5" w:rsidRPr="0019790A" w:rsidRDefault="005342D5" w:rsidP="0019790A">
            <w:pPr>
              <w:rPr>
                <w:rFonts w:cs="Arial"/>
                <w:b/>
                <w:bCs/>
                <w:szCs w:val="22"/>
              </w:rPr>
            </w:pPr>
            <w:r w:rsidRPr="0019790A">
              <w:rPr>
                <w:rFonts w:cs="Arial"/>
                <w:b/>
                <w:bCs/>
                <w:szCs w:val="22"/>
              </w:rPr>
              <w:t>Індикатори (показники) результативності:</w:t>
            </w:r>
          </w:p>
        </w:tc>
        <w:tc>
          <w:tcPr>
            <w:tcW w:w="6794" w:type="dxa"/>
            <w:gridSpan w:val="9"/>
            <w:vAlign w:val="center"/>
          </w:tcPr>
          <w:p w14:paraId="619EBC43" w14:textId="77777777" w:rsidR="005342D5" w:rsidRPr="0019790A" w:rsidRDefault="005342D5" w:rsidP="00CD7662">
            <w:pPr>
              <w:numPr>
                <w:ilvl w:val="0"/>
                <w:numId w:val="79"/>
              </w:numPr>
              <w:tabs>
                <w:tab w:val="clear" w:pos="741"/>
                <w:tab w:val="left" w:pos="229"/>
              </w:tabs>
              <w:ind w:left="0" w:firstLine="0"/>
              <w:jc w:val="both"/>
              <w:rPr>
                <w:rFonts w:cs="Arial"/>
                <w:szCs w:val="22"/>
              </w:rPr>
            </w:pPr>
            <w:r w:rsidRPr="0019790A">
              <w:rPr>
                <w:rFonts w:cs="Arial"/>
                <w:szCs w:val="22"/>
              </w:rPr>
              <w:t xml:space="preserve">Створено повноцінний </w:t>
            </w:r>
            <w:r w:rsidRPr="0019790A">
              <w:rPr>
                <w:rFonts w:cs="Arial"/>
                <w:bCs/>
                <w:szCs w:val="22"/>
              </w:rPr>
              <w:t>вуличний тренажерний парк</w:t>
            </w:r>
            <w:r w:rsidRPr="0019790A">
              <w:rPr>
                <w:rFonts w:cs="Arial"/>
                <w:szCs w:val="22"/>
              </w:rPr>
              <w:t xml:space="preserve"> площею від 150 до 300 м².</w:t>
            </w:r>
          </w:p>
          <w:p w14:paraId="21A92DDC" w14:textId="77777777" w:rsidR="005342D5" w:rsidRPr="0019790A" w:rsidRDefault="005342D5" w:rsidP="00CD7662">
            <w:pPr>
              <w:numPr>
                <w:ilvl w:val="0"/>
                <w:numId w:val="79"/>
              </w:numPr>
              <w:tabs>
                <w:tab w:val="clear" w:pos="741"/>
                <w:tab w:val="left" w:pos="229"/>
              </w:tabs>
              <w:ind w:left="0" w:firstLine="0"/>
              <w:jc w:val="both"/>
              <w:rPr>
                <w:rFonts w:cs="Arial"/>
                <w:szCs w:val="22"/>
              </w:rPr>
            </w:pPr>
            <w:r w:rsidRPr="0019790A">
              <w:rPr>
                <w:rFonts w:cs="Arial"/>
                <w:szCs w:val="22"/>
              </w:rPr>
              <w:t xml:space="preserve">Щомісячне залучення </w:t>
            </w:r>
            <w:r w:rsidRPr="0019790A">
              <w:rPr>
                <w:rFonts w:cs="Arial"/>
                <w:bCs/>
                <w:szCs w:val="22"/>
              </w:rPr>
              <w:t>від 1000 мешканців</w:t>
            </w:r>
            <w:r w:rsidRPr="0019790A">
              <w:rPr>
                <w:rFonts w:cs="Arial"/>
                <w:szCs w:val="22"/>
              </w:rPr>
              <w:t xml:space="preserve"> до занять фізичною активністю.</w:t>
            </w:r>
          </w:p>
          <w:p w14:paraId="72510A64" w14:textId="77777777" w:rsidR="005342D5" w:rsidRPr="0019790A" w:rsidRDefault="005342D5" w:rsidP="00CD7662">
            <w:pPr>
              <w:numPr>
                <w:ilvl w:val="0"/>
                <w:numId w:val="79"/>
              </w:numPr>
              <w:tabs>
                <w:tab w:val="clear" w:pos="741"/>
                <w:tab w:val="left" w:pos="229"/>
              </w:tabs>
              <w:ind w:left="0" w:firstLine="0"/>
              <w:jc w:val="both"/>
              <w:rPr>
                <w:rFonts w:cs="Arial"/>
                <w:szCs w:val="22"/>
              </w:rPr>
            </w:pPr>
            <w:r w:rsidRPr="0019790A">
              <w:rPr>
                <w:rFonts w:cs="Arial"/>
                <w:szCs w:val="22"/>
              </w:rPr>
              <w:t xml:space="preserve">Проведення </w:t>
            </w:r>
            <w:r w:rsidRPr="0019790A">
              <w:rPr>
                <w:rFonts w:cs="Arial"/>
                <w:bCs/>
                <w:szCs w:val="22"/>
              </w:rPr>
              <w:t>регулярних спортивних подій / фітнес-сесій</w:t>
            </w:r>
            <w:r w:rsidRPr="0019790A">
              <w:rPr>
                <w:rFonts w:cs="Arial"/>
                <w:szCs w:val="22"/>
              </w:rPr>
              <w:t xml:space="preserve"> (від 2 на місяць).</w:t>
            </w:r>
          </w:p>
          <w:p w14:paraId="2A088462" w14:textId="77777777" w:rsidR="005342D5" w:rsidRPr="0019790A" w:rsidRDefault="005342D5" w:rsidP="00CD7662">
            <w:pPr>
              <w:numPr>
                <w:ilvl w:val="0"/>
                <w:numId w:val="79"/>
              </w:numPr>
              <w:tabs>
                <w:tab w:val="clear" w:pos="741"/>
                <w:tab w:val="left" w:pos="229"/>
              </w:tabs>
              <w:ind w:left="0" w:firstLine="0"/>
              <w:jc w:val="both"/>
              <w:rPr>
                <w:rFonts w:cs="Arial"/>
                <w:szCs w:val="22"/>
              </w:rPr>
            </w:pPr>
            <w:r w:rsidRPr="0019790A">
              <w:rPr>
                <w:rFonts w:cs="Arial"/>
                <w:szCs w:val="22"/>
              </w:rPr>
              <w:t xml:space="preserve">Наявність </w:t>
            </w:r>
            <w:r w:rsidRPr="0019790A">
              <w:rPr>
                <w:rFonts w:cs="Arial"/>
                <w:bCs/>
                <w:szCs w:val="22"/>
              </w:rPr>
              <w:t>мінімум 3 інклюзивних тренажерів</w:t>
            </w:r>
            <w:r w:rsidRPr="0019790A">
              <w:rPr>
                <w:rFonts w:cs="Arial"/>
                <w:szCs w:val="22"/>
              </w:rPr>
              <w:t xml:space="preserve"> для людей з інвалідністю.</w:t>
            </w:r>
          </w:p>
          <w:p w14:paraId="23CB665D" w14:textId="77777777" w:rsidR="005342D5" w:rsidRPr="0019790A" w:rsidRDefault="005342D5" w:rsidP="00CD7662">
            <w:pPr>
              <w:numPr>
                <w:ilvl w:val="0"/>
                <w:numId w:val="79"/>
              </w:numPr>
              <w:tabs>
                <w:tab w:val="clear" w:pos="741"/>
                <w:tab w:val="left" w:pos="229"/>
              </w:tabs>
              <w:ind w:left="0" w:firstLine="0"/>
              <w:jc w:val="both"/>
              <w:rPr>
                <w:rFonts w:cs="Arial"/>
                <w:szCs w:val="22"/>
              </w:rPr>
            </w:pPr>
            <w:r w:rsidRPr="0019790A">
              <w:rPr>
                <w:rFonts w:cs="Arial"/>
                <w:bCs/>
                <w:szCs w:val="22"/>
              </w:rPr>
              <w:t>Покращення соціальної взаємодії</w:t>
            </w:r>
            <w:r w:rsidRPr="0019790A">
              <w:rPr>
                <w:rFonts w:cs="Arial"/>
                <w:szCs w:val="22"/>
              </w:rPr>
              <w:t xml:space="preserve"> — особливо між поколіннями.</w:t>
            </w:r>
          </w:p>
          <w:p w14:paraId="4D22D18E" w14:textId="77777777" w:rsidR="005342D5" w:rsidRPr="0019790A" w:rsidRDefault="005342D5" w:rsidP="00CD7662">
            <w:pPr>
              <w:numPr>
                <w:ilvl w:val="0"/>
                <w:numId w:val="79"/>
              </w:numPr>
              <w:tabs>
                <w:tab w:val="clear" w:pos="741"/>
                <w:tab w:val="left" w:pos="229"/>
              </w:tabs>
              <w:ind w:left="0" w:firstLine="0"/>
              <w:jc w:val="both"/>
              <w:rPr>
                <w:rFonts w:cs="Arial"/>
                <w:szCs w:val="22"/>
              </w:rPr>
            </w:pPr>
            <w:r w:rsidRPr="0019790A">
              <w:rPr>
                <w:rFonts w:cs="Arial"/>
                <w:bCs/>
                <w:szCs w:val="22"/>
              </w:rPr>
              <w:t>Оптимальне використання публічного простору</w:t>
            </w:r>
            <w:r w:rsidRPr="0019790A">
              <w:rPr>
                <w:rFonts w:cs="Arial"/>
                <w:szCs w:val="22"/>
              </w:rPr>
              <w:t xml:space="preserve"> — підвищення його цінності для громади.</w:t>
            </w:r>
          </w:p>
        </w:tc>
      </w:tr>
      <w:tr w:rsidR="005342D5" w:rsidRPr="0019790A" w14:paraId="49A3936F" w14:textId="77777777" w:rsidTr="00CF3AAE">
        <w:trPr>
          <w:jc w:val="right"/>
        </w:trPr>
        <w:tc>
          <w:tcPr>
            <w:tcW w:w="3425" w:type="dxa"/>
            <w:shd w:val="clear" w:color="auto" w:fill="FFFFFF"/>
            <w:vAlign w:val="center"/>
          </w:tcPr>
          <w:p w14:paraId="3B79785B" w14:textId="77777777" w:rsidR="005342D5" w:rsidRPr="0019790A" w:rsidRDefault="005342D5" w:rsidP="0019790A">
            <w:pPr>
              <w:rPr>
                <w:rFonts w:cs="Arial"/>
                <w:b/>
                <w:szCs w:val="22"/>
              </w:rPr>
            </w:pPr>
            <w:r w:rsidRPr="0019790A">
              <w:rPr>
                <w:rFonts w:cs="Arial"/>
                <w:b/>
                <w:szCs w:val="22"/>
              </w:rPr>
              <w:t xml:space="preserve">Період здійснення: </w:t>
            </w:r>
          </w:p>
        </w:tc>
        <w:tc>
          <w:tcPr>
            <w:tcW w:w="6794" w:type="dxa"/>
            <w:gridSpan w:val="9"/>
            <w:vAlign w:val="center"/>
          </w:tcPr>
          <w:p w14:paraId="3E0B114D" w14:textId="77777777" w:rsidR="005342D5" w:rsidRPr="0019790A" w:rsidRDefault="005342D5" w:rsidP="00CD7662">
            <w:pPr>
              <w:jc w:val="both"/>
              <w:rPr>
                <w:rFonts w:cs="Arial"/>
                <w:szCs w:val="22"/>
              </w:rPr>
            </w:pPr>
            <w:r w:rsidRPr="0019790A">
              <w:rPr>
                <w:rFonts w:cs="Arial"/>
                <w:b/>
                <w:szCs w:val="22"/>
              </w:rPr>
              <w:t>2025 – 2028 роки:</w:t>
            </w:r>
          </w:p>
        </w:tc>
      </w:tr>
      <w:tr w:rsidR="005342D5" w:rsidRPr="0019790A" w14:paraId="5932C2A5" w14:textId="77777777" w:rsidTr="00CD7662">
        <w:trPr>
          <w:jc w:val="right"/>
        </w:trPr>
        <w:tc>
          <w:tcPr>
            <w:tcW w:w="3425" w:type="dxa"/>
            <w:vMerge w:val="restart"/>
            <w:shd w:val="clear" w:color="auto" w:fill="FFFFFF"/>
            <w:vAlign w:val="center"/>
          </w:tcPr>
          <w:p w14:paraId="235BE8B6" w14:textId="77777777" w:rsidR="005342D5" w:rsidRPr="0019790A" w:rsidRDefault="005342D5" w:rsidP="0019790A">
            <w:pPr>
              <w:rPr>
                <w:rFonts w:cs="Arial"/>
                <w:b/>
                <w:bCs/>
                <w:szCs w:val="22"/>
              </w:rPr>
            </w:pPr>
            <w:r w:rsidRPr="0019790A">
              <w:rPr>
                <w:rFonts w:cs="Arial"/>
                <w:b/>
                <w:bCs/>
                <w:szCs w:val="22"/>
              </w:rPr>
              <w:t>Орієнтовна вартість проєкту, тис. грн., в тому числі:</w:t>
            </w:r>
          </w:p>
        </w:tc>
        <w:tc>
          <w:tcPr>
            <w:tcW w:w="1254" w:type="dxa"/>
            <w:shd w:val="clear" w:color="auto" w:fill="E6E6E6"/>
            <w:vAlign w:val="center"/>
          </w:tcPr>
          <w:p w14:paraId="17FB4A5D" w14:textId="77777777" w:rsidR="005342D5" w:rsidRPr="0019790A" w:rsidRDefault="005342D5" w:rsidP="00CD7662">
            <w:pPr>
              <w:jc w:val="center"/>
              <w:rPr>
                <w:rFonts w:cs="Arial"/>
                <w:b/>
                <w:szCs w:val="22"/>
              </w:rPr>
            </w:pPr>
            <w:r w:rsidRPr="0019790A">
              <w:rPr>
                <w:rFonts w:cs="Arial"/>
                <w:b/>
                <w:szCs w:val="22"/>
              </w:rPr>
              <w:t>2025</w:t>
            </w:r>
          </w:p>
        </w:tc>
        <w:tc>
          <w:tcPr>
            <w:tcW w:w="1275" w:type="dxa"/>
            <w:gridSpan w:val="3"/>
            <w:shd w:val="clear" w:color="auto" w:fill="E6E6E6"/>
            <w:vAlign w:val="center"/>
          </w:tcPr>
          <w:p w14:paraId="1E6086C3" w14:textId="77777777" w:rsidR="005342D5" w:rsidRPr="0019790A" w:rsidRDefault="005342D5" w:rsidP="00CD7662">
            <w:pPr>
              <w:jc w:val="center"/>
              <w:rPr>
                <w:rFonts w:cs="Arial"/>
                <w:b/>
                <w:szCs w:val="22"/>
              </w:rPr>
            </w:pPr>
            <w:r w:rsidRPr="0019790A">
              <w:rPr>
                <w:rFonts w:cs="Arial"/>
                <w:b/>
                <w:szCs w:val="22"/>
              </w:rPr>
              <w:t>2026</w:t>
            </w:r>
          </w:p>
        </w:tc>
        <w:tc>
          <w:tcPr>
            <w:tcW w:w="1418" w:type="dxa"/>
            <w:gridSpan w:val="2"/>
            <w:tcBorders>
              <w:bottom w:val="single" w:sz="4" w:space="0" w:color="auto"/>
            </w:tcBorders>
            <w:shd w:val="clear" w:color="auto" w:fill="E6E6E6"/>
            <w:vAlign w:val="center"/>
          </w:tcPr>
          <w:p w14:paraId="781EAA6C" w14:textId="77777777" w:rsidR="005342D5" w:rsidRPr="0019790A" w:rsidRDefault="005342D5" w:rsidP="00CD7662">
            <w:pPr>
              <w:jc w:val="center"/>
              <w:rPr>
                <w:rFonts w:cs="Arial"/>
                <w:b/>
                <w:szCs w:val="22"/>
              </w:rPr>
            </w:pPr>
            <w:r w:rsidRPr="0019790A">
              <w:rPr>
                <w:rFonts w:cs="Arial"/>
                <w:b/>
                <w:szCs w:val="22"/>
              </w:rPr>
              <w:t>2027</w:t>
            </w:r>
          </w:p>
        </w:tc>
        <w:tc>
          <w:tcPr>
            <w:tcW w:w="1276" w:type="dxa"/>
            <w:gridSpan w:val="2"/>
            <w:shd w:val="clear" w:color="auto" w:fill="E6E6E6"/>
            <w:vAlign w:val="center"/>
          </w:tcPr>
          <w:p w14:paraId="4B7CEB4B" w14:textId="77777777" w:rsidR="005342D5" w:rsidRPr="0019790A" w:rsidRDefault="005342D5" w:rsidP="00CD7662">
            <w:pPr>
              <w:jc w:val="center"/>
              <w:rPr>
                <w:rFonts w:cs="Arial"/>
                <w:b/>
                <w:szCs w:val="22"/>
              </w:rPr>
            </w:pPr>
            <w:r w:rsidRPr="0019790A">
              <w:rPr>
                <w:rFonts w:cs="Arial"/>
                <w:b/>
                <w:szCs w:val="22"/>
              </w:rPr>
              <w:t>2028</w:t>
            </w:r>
          </w:p>
        </w:tc>
        <w:tc>
          <w:tcPr>
            <w:tcW w:w="1571" w:type="dxa"/>
            <w:shd w:val="clear" w:color="auto" w:fill="E6E6E6"/>
            <w:vAlign w:val="center"/>
          </w:tcPr>
          <w:p w14:paraId="125B720B" w14:textId="77777777" w:rsidR="005342D5" w:rsidRPr="0019790A" w:rsidRDefault="005342D5" w:rsidP="00CD7662">
            <w:pPr>
              <w:jc w:val="center"/>
              <w:rPr>
                <w:rFonts w:cs="Arial"/>
                <w:b/>
                <w:szCs w:val="22"/>
              </w:rPr>
            </w:pPr>
            <w:r w:rsidRPr="0019790A">
              <w:rPr>
                <w:rFonts w:cs="Arial"/>
                <w:b/>
                <w:szCs w:val="22"/>
              </w:rPr>
              <w:t>РАЗОМ</w:t>
            </w:r>
          </w:p>
        </w:tc>
      </w:tr>
      <w:tr w:rsidR="005342D5" w:rsidRPr="0019790A" w14:paraId="39401F2E" w14:textId="77777777" w:rsidTr="00CD7662">
        <w:trPr>
          <w:jc w:val="right"/>
        </w:trPr>
        <w:tc>
          <w:tcPr>
            <w:tcW w:w="3425" w:type="dxa"/>
            <w:vMerge/>
            <w:shd w:val="clear" w:color="auto" w:fill="FFFFFF"/>
            <w:vAlign w:val="center"/>
          </w:tcPr>
          <w:p w14:paraId="0B622C0E" w14:textId="77777777" w:rsidR="005342D5" w:rsidRPr="0019790A" w:rsidRDefault="005342D5" w:rsidP="0019790A">
            <w:pPr>
              <w:rPr>
                <w:rFonts w:cs="Arial"/>
                <w:b/>
                <w:bCs/>
                <w:szCs w:val="22"/>
              </w:rPr>
            </w:pPr>
          </w:p>
        </w:tc>
        <w:tc>
          <w:tcPr>
            <w:tcW w:w="1254" w:type="dxa"/>
            <w:vAlign w:val="center"/>
          </w:tcPr>
          <w:p w14:paraId="5040CF14" w14:textId="77777777" w:rsidR="005342D5" w:rsidRPr="0019790A" w:rsidRDefault="005342D5" w:rsidP="00CD7662">
            <w:pPr>
              <w:jc w:val="center"/>
              <w:rPr>
                <w:rFonts w:cs="Arial"/>
                <w:b/>
                <w:szCs w:val="22"/>
              </w:rPr>
            </w:pPr>
          </w:p>
        </w:tc>
        <w:tc>
          <w:tcPr>
            <w:tcW w:w="1275" w:type="dxa"/>
            <w:gridSpan w:val="3"/>
            <w:shd w:val="clear" w:color="auto" w:fill="FFFFFF"/>
            <w:vAlign w:val="center"/>
          </w:tcPr>
          <w:p w14:paraId="615522BB" w14:textId="77777777" w:rsidR="005342D5" w:rsidRPr="0019790A" w:rsidRDefault="005342D5" w:rsidP="00CD7662">
            <w:pPr>
              <w:jc w:val="center"/>
              <w:rPr>
                <w:rFonts w:cs="Arial"/>
                <w:b/>
                <w:szCs w:val="22"/>
              </w:rPr>
            </w:pPr>
            <w:r w:rsidRPr="0019790A">
              <w:rPr>
                <w:rFonts w:cs="Arial"/>
                <w:b/>
                <w:szCs w:val="22"/>
              </w:rPr>
              <w:t>2400,0</w:t>
            </w:r>
          </w:p>
        </w:tc>
        <w:tc>
          <w:tcPr>
            <w:tcW w:w="1418" w:type="dxa"/>
            <w:gridSpan w:val="2"/>
            <w:shd w:val="clear" w:color="auto" w:fill="auto"/>
            <w:vAlign w:val="center"/>
          </w:tcPr>
          <w:p w14:paraId="1A22526D" w14:textId="77777777" w:rsidR="005342D5" w:rsidRPr="0019790A" w:rsidRDefault="005342D5" w:rsidP="00CD7662">
            <w:pPr>
              <w:jc w:val="center"/>
              <w:rPr>
                <w:rFonts w:cs="Arial"/>
                <w:b/>
                <w:szCs w:val="22"/>
              </w:rPr>
            </w:pPr>
            <w:r w:rsidRPr="0019790A">
              <w:rPr>
                <w:rFonts w:cs="Arial"/>
                <w:b/>
                <w:szCs w:val="22"/>
              </w:rPr>
              <w:t>2400,0</w:t>
            </w:r>
          </w:p>
        </w:tc>
        <w:tc>
          <w:tcPr>
            <w:tcW w:w="1276" w:type="dxa"/>
            <w:gridSpan w:val="2"/>
            <w:shd w:val="clear" w:color="auto" w:fill="FFFFFF"/>
            <w:vAlign w:val="center"/>
          </w:tcPr>
          <w:p w14:paraId="31C0E80E" w14:textId="77777777" w:rsidR="005342D5" w:rsidRPr="0019790A" w:rsidRDefault="005342D5" w:rsidP="00CD7662">
            <w:pPr>
              <w:jc w:val="center"/>
              <w:rPr>
                <w:rFonts w:cs="Arial"/>
                <w:b/>
                <w:szCs w:val="22"/>
              </w:rPr>
            </w:pPr>
            <w:r w:rsidRPr="0019790A">
              <w:rPr>
                <w:rFonts w:cs="Arial"/>
                <w:b/>
                <w:szCs w:val="22"/>
              </w:rPr>
              <w:t>2400,0</w:t>
            </w:r>
          </w:p>
        </w:tc>
        <w:tc>
          <w:tcPr>
            <w:tcW w:w="1571" w:type="dxa"/>
            <w:shd w:val="clear" w:color="auto" w:fill="FFFFFF"/>
            <w:vAlign w:val="center"/>
          </w:tcPr>
          <w:p w14:paraId="50932D5D" w14:textId="77777777" w:rsidR="005342D5" w:rsidRPr="0019790A" w:rsidRDefault="005342D5" w:rsidP="00CD7662">
            <w:pPr>
              <w:jc w:val="center"/>
              <w:rPr>
                <w:rFonts w:cs="Arial"/>
                <w:b/>
                <w:szCs w:val="22"/>
              </w:rPr>
            </w:pPr>
            <w:r w:rsidRPr="0019790A">
              <w:rPr>
                <w:rFonts w:cs="Arial"/>
                <w:b/>
                <w:szCs w:val="22"/>
              </w:rPr>
              <w:t>7200,0</w:t>
            </w:r>
          </w:p>
        </w:tc>
      </w:tr>
      <w:tr w:rsidR="005342D5" w:rsidRPr="0019790A" w14:paraId="01A47F7A" w14:textId="77777777" w:rsidTr="00CD7662">
        <w:trPr>
          <w:trHeight w:val="276"/>
          <w:jc w:val="right"/>
        </w:trPr>
        <w:tc>
          <w:tcPr>
            <w:tcW w:w="3425" w:type="dxa"/>
            <w:shd w:val="clear" w:color="auto" w:fill="FFFFFF"/>
            <w:vAlign w:val="center"/>
          </w:tcPr>
          <w:p w14:paraId="6BF8EBBE" w14:textId="77777777" w:rsidR="005342D5" w:rsidRPr="0019790A" w:rsidRDefault="005342D5" w:rsidP="0019790A">
            <w:pPr>
              <w:rPr>
                <w:rFonts w:cs="Arial"/>
                <w:b/>
                <w:bCs/>
                <w:szCs w:val="22"/>
              </w:rPr>
            </w:pPr>
            <w:r w:rsidRPr="0019790A">
              <w:rPr>
                <w:rFonts w:cs="Arial"/>
                <w:b/>
                <w:bCs/>
                <w:szCs w:val="22"/>
              </w:rPr>
              <w:t>по джерелах фінансування:</w:t>
            </w:r>
          </w:p>
        </w:tc>
        <w:tc>
          <w:tcPr>
            <w:tcW w:w="6794" w:type="dxa"/>
            <w:gridSpan w:val="9"/>
            <w:vAlign w:val="center"/>
          </w:tcPr>
          <w:p w14:paraId="4778D587" w14:textId="77777777" w:rsidR="005342D5" w:rsidRPr="0019790A" w:rsidRDefault="005342D5" w:rsidP="00CD7662">
            <w:pPr>
              <w:jc w:val="center"/>
              <w:rPr>
                <w:rFonts w:cs="Arial"/>
                <w:szCs w:val="22"/>
              </w:rPr>
            </w:pPr>
          </w:p>
        </w:tc>
      </w:tr>
      <w:tr w:rsidR="005342D5" w:rsidRPr="0019790A" w14:paraId="41EA3E78" w14:textId="77777777" w:rsidTr="00CD7662">
        <w:trPr>
          <w:trHeight w:val="240"/>
          <w:jc w:val="right"/>
        </w:trPr>
        <w:tc>
          <w:tcPr>
            <w:tcW w:w="3425" w:type="dxa"/>
            <w:shd w:val="clear" w:color="auto" w:fill="FFFFFF"/>
            <w:vAlign w:val="center"/>
          </w:tcPr>
          <w:p w14:paraId="1EBB2039" w14:textId="77777777" w:rsidR="005342D5" w:rsidRPr="0019790A" w:rsidRDefault="005342D5" w:rsidP="0019790A">
            <w:pPr>
              <w:rPr>
                <w:rFonts w:cs="Arial"/>
                <w:b/>
                <w:bCs/>
                <w:szCs w:val="22"/>
              </w:rPr>
            </w:pPr>
            <w:r w:rsidRPr="0019790A">
              <w:rPr>
                <w:rFonts w:cs="Arial"/>
                <w:szCs w:val="22"/>
              </w:rPr>
              <w:t>- державний бюджет</w:t>
            </w:r>
          </w:p>
        </w:tc>
        <w:tc>
          <w:tcPr>
            <w:tcW w:w="6794" w:type="dxa"/>
            <w:gridSpan w:val="9"/>
            <w:vAlign w:val="center"/>
          </w:tcPr>
          <w:p w14:paraId="0BCFE754" w14:textId="77777777" w:rsidR="005342D5" w:rsidRPr="0019790A" w:rsidRDefault="005342D5" w:rsidP="00CD7662">
            <w:pPr>
              <w:jc w:val="center"/>
              <w:rPr>
                <w:rFonts w:cs="Arial"/>
                <w:szCs w:val="22"/>
              </w:rPr>
            </w:pPr>
          </w:p>
        </w:tc>
      </w:tr>
      <w:tr w:rsidR="00CD7662" w:rsidRPr="0019790A" w14:paraId="0FB7C626" w14:textId="49F9BF3A" w:rsidTr="00CD7662">
        <w:trPr>
          <w:trHeight w:val="254"/>
          <w:jc w:val="right"/>
        </w:trPr>
        <w:tc>
          <w:tcPr>
            <w:tcW w:w="3425" w:type="dxa"/>
            <w:shd w:val="clear" w:color="auto" w:fill="FFFFFF"/>
            <w:vAlign w:val="center"/>
          </w:tcPr>
          <w:p w14:paraId="526B6596" w14:textId="77777777" w:rsidR="00CD7662" w:rsidRPr="0019790A" w:rsidRDefault="00CD7662" w:rsidP="0019790A">
            <w:pPr>
              <w:rPr>
                <w:rFonts w:cs="Arial"/>
                <w:szCs w:val="22"/>
              </w:rPr>
            </w:pPr>
            <w:r w:rsidRPr="0019790A">
              <w:rPr>
                <w:rFonts w:cs="Arial"/>
                <w:szCs w:val="22"/>
              </w:rPr>
              <w:t>- обласний бюджет</w:t>
            </w:r>
          </w:p>
        </w:tc>
        <w:tc>
          <w:tcPr>
            <w:tcW w:w="1306" w:type="dxa"/>
            <w:gridSpan w:val="2"/>
            <w:vAlign w:val="center"/>
          </w:tcPr>
          <w:p w14:paraId="7D250182" w14:textId="77777777" w:rsidR="00CD7662" w:rsidRPr="0019790A" w:rsidRDefault="00CD7662" w:rsidP="00CD7662">
            <w:pPr>
              <w:jc w:val="center"/>
              <w:rPr>
                <w:rFonts w:cs="Arial"/>
                <w:szCs w:val="22"/>
              </w:rPr>
            </w:pPr>
          </w:p>
        </w:tc>
        <w:tc>
          <w:tcPr>
            <w:tcW w:w="1210" w:type="dxa"/>
            <w:vAlign w:val="center"/>
          </w:tcPr>
          <w:p w14:paraId="3497C7AA" w14:textId="77777777" w:rsidR="00CD7662" w:rsidRPr="0019790A" w:rsidRDefault="00CD7662" w:rsidP="00CD7662">
            <w:pPr>
              <w:jc w:val="center"/>
              <w:rPr>
                <w:rFonts w:cs="Arial"/>
                <w:szCs w:val="22"/>
              </w:rPr>
            </w:pPr>
          </w:p>
        </w:tc>
        <w:tc>
          <w:tcPr>
            <w:tcW w:w="1402" w:type="dxa"/>
            <w:gridSpan w:val="2"/>
            <w:vAlign w:val="center"/>
          </w:tcPr>
          <w:p w14:paraId="4E1B1297" w14:textId="77777777" w:rsidR="00CD7662" w:rsidRPr="0019790A" w:rsidRDefault="00CD7662" w:rsidP="00CD7662">
            <w:pPr>
              <w:jc w:val="center"/>
              <w:rPr>
                <w:rFonts w:cs="Arial"/>
                <w:szCs w:val="22"/>
              </w:rPr>
            </w:pPr>
          </w:p>
        </w:tc>
        <w:tc>
          <w:tcPr>
            <w:tcW w:w="1267" w:type="dxa"/>
            <w:gridSpan w:val="2"/>
            <w:vAlign w:val="center"/>
          </w:tcPr>
          <w:p w14:paraId="310EF609" w14:textId="77777777" w:rsidR="00CD7662" w:rsidRPr="0019790A" w:rsidRDefault="00CD7662" w:rsidP="00CD7662">
            <w:pPr>
              <w:jc w:val="center"/>
              <w:rPr>
                <w:rFonts w:cs="Arial"/>
                <w:szCs w:val="22"/>
              </w:rPr>
            </w:pPr>
          </w:p>
        </w:tc>
        <w:tc>
          <w:tcPr>
            <w:tcW w:w="1609" w:type="dxa"/>
            <w:gridSpan w:val="2"/>
            <w:vAlign w:val="center"/>
          </w:tcPr>
          <w:p w14:paraId="0D29FD6C" w14:textId="77777777" w:rsidR="00CD7662" w:rsidRPr="0019790A" w:rsidRDefault="00CD7662" w:rsidP="00CD7662">
            <w:pPr>
              <w:jc w:val="center"/>
              <w:rPr>
                <w:rFonts w:cs="Arial"/>
                <w:szCs w:val="22"/>
              </w:rPr>
            </w:pPr>
          </w:p>
        </w:tc>
      </w:tr>
      <w:tr w:rsidR="00CD7662" w:rsidRPr="0019790A" w14:paraId="1A0E5E2B" w14:textId="5B3F7FF3" w:rsidTr="00CD7662">
        <w:trPr>
          <w:trHeight w:val="275"/>
          <w:jc w:val="right"/>
        </w:trPr>
        <w:tc>
          <w:tcPr>
            <w:tcW w:w="3425" w:type="dxa"/>
            <w:shd w:val="clear" w:color="auto" w:fill="FFFFFF"/>
            <w:vAlign w:val="center"/>
          </w:tcPr>
          <w:p w14:paraId="18396544" w14:textId="77777777" w:rsidR="00CD7662" w:rsidRPr="0019790A" w:rsidRDefault="00CD7662" w:rsidP="0019790A">
            <w:pPr>
              <w:rPr>
                <w:rFonts w:cs="Arial"/>
                <w:szCs w:val="22"/>
              </w:rPr>
            </w:pPr>
            <w:r w:rsidRPr="0019790A">
              <w:rPr>
                <w:rFonts w:cs="Arial"/>
                <w:szCs w:val="22"/>
              </w:rPr>
              <w:t>- бюджет Жмеринської МТГ</w:t>
            </w:r>
          </w:p>
        </w:tc>
        <w:tc>
          <w:tcPr>
            <w:tcW w:w="1306" w:type="dxa"/>
            <w:gridSpan w:val="2"/>
            <w:vAlign w:val="center"/>
          </w:tcPr>
          <w:p w14:paraId="6CEEA3CA" w14:textId="30D11373" w:rsidR="00CD7662" w:rsidRPr="0019790A" w:rsidRDefault="00CD7662" w:rsidP="00CD7662">
            <w:pPr>
              <w:jc w:val="center"/>
              <w:rPr>
                <w:rFonts w:cs="Arial"/>
                <w:b/>
                <w:szCs w:val="22"/>
              </w:rPr>
            </w:pPr>
          </w:p>
        </w:tc>
        <w:tc>
          <w:tcPr>
            <w:tcW w:w="1210" w:type="dxa"/>
            <w:vAlign w:val="center"/>
          </w:tcPr>
          <w:p w14:paraId="149EF0EC" w14:textId="652BCD42" w:rsidR="00CD7662" w:rsidRPr="0019790A" w:rsidRDefault="00CD7662" w:rsidP="00CD7662">
            <w:pPr>
              <w:jc w:val="center"/>
              <w:rPr>
                <w:rFonts w:cs="Arial"/>
                <w:b/>
                <w:szCs w:val="22"/>
              </w:rPr>
            </w:pPr>
            <w:r w:rsidRPr="0019790A">
              <w:rPr>
                <w:rFonts w:cs="Arial"/>
                <w:b/>
                <w:szCs w:val="22"/>
              </w:rPr>
              <w:t>2400,0</w:t>
            </w:r>
          </w:p>
        </w:tc>
        <w:tc>
          <w:tcPr>
            <w:tcW w:w="1402" w:type="dxa"/>
            <w:gridSpan w:val="2"/>
            <w:vAlign w:val="center"/>
          </w:tcPr>
          <w:p w14:paraId="2DE360ED" w14:textId="43E1CE18" w:rsidR="00CD7662" w:rsidRPr="0019790A" w:rsidRDefault="00CD7662" w:rsidP="00CD7662">
            <w:pPr>
              <w:ind w:left="132"/>
              <w:jc w:val="center"/>
              <w:rPr>
                <w:rFonts w:cs="Arial"/>
                <w:b/>
                <w:szCs w:val="22"/>
              </w:rPr>
            </w:pPr>
            <w:r w:rsidRPr="0019790A">
              <w:rPr>
                <w:rFonts w:cs="Arial"/>
                <w:b/>
                <w:szCs w:val="22"/>
              </w:rPr>
              <w:t>2400,0</w:t>
            </w:r>
          </w:p>
        </w:tc>
        <w:tc>
          <w:tcPr>
            <w:tcW w:w="1267" w:type="dxa"/>
            <w:gridSpan w:val="2"/>
            <w:vAlign w:val="center"/>
          </w:tcPr>
          <w:p w14:paraId="1A723860" w14:textId="05B1E8F8" w:rsidR="00CD7662" w:rsidRPr="0019790A" w:rsidRDefault="00CD7662" w:rsidP="00CD7662">
            <w:pPr>
              <w:ind w:left="264"/>
              <w:jc w:val="center"/>
              <w:rPr>
                <w:rFonts w:cs="Arial"/>
                <w:b/>
                <w:szCs w:val="22"/>
              </w:rPr>
            </w:pPr>
            <w:r w:rsidRPr="0019790A">
              <w:rPr>
                <w:rFonts w:cs="Arial"/>
                <w:b/>
                <w:szCs w:val="22"/>
              </w:rPr>
              <w:t>2400,0</w:t>
            </w:r>
          </w:p>
        </w:tc>
        <w:tc>
          <w:tcPr>
            <w:tcW w:w="1609" w:type="dxa"/>
            <w:gridSpan w:val="2"/>
            <w:vAlign w:val="center"/>
          </w:tcPr>
          <w:p w14:paraId="2E1C70B5" w14:textId="211A36B8" w:rsidR="00CD7662" w:rsidRPr="0019790A" w:rsidRDefault="00CD7662" w:rsidP="00CD7662">
            <w:pPr>
              <w:ind w:left="539"/>
              <w:jc w:val="center"/>
              <w:rPr>
                <w:rFonts w:cs="Arial"/>
                <w:b/>
                <w:szCs w:val="22"/>
              </w:rPr>
            </w:pPr>
            <w:r w:rsidRPr="0019790A">
              <w:rPr>
                <w:rFonts w:cs="Arial"/>
                <w:b/>
                <w:szCs w:val="22"/>
              </w:rPr>
              <w:t>7200,0</w:t>
            </w:r>
          </w:p>
        </w:tc>
      </w:tr>
      <w:tr w:rsidR="00CD7662" w:rsidRPr="0019790A" w14:paraId="14AC121A" w14:textId="37D862EB" w:rsidTr="00CD7662">
        <w:trPr>
          <w:trHeight w:val="226"/>
          <w:jc w:val="right"/>
        </w:trPr>
        <w:tc>
          <w:tcPr>
            <w:tcW w:w="3425" w:type="dxa"/>
            <w:shd w:val="clear" w:color="auto" w:fill="FFFFFF"/>
            <w:vAlign w:val="center"/>
          </w:tcPr>
          <w:p w14:paraId="343F4CBF" w14:textId="77777777" w:rsidR="00CD7662" w:rsidRPr="0019790A" w:rsidRDefault="00CD7662" w:rsidP="0019790A">
            <w:pPr>
              <w:rPr>
                <w:rFonts w:cs="Arial"/>
                <w:szCs w:val="22"/>
              </w:rPr>
            </w:pPr>
            <w:r w:rsidRPr="0019790A">
              <w:rPr>
                <w:rFonts w:cs="Arial"/>
                <w:szCs w:val="22"/>
              </w:rPr>
              <w:t>- інші джерела фінансування</w:t>
            </w:r>
          </w:p>
        </w:tc>
        <w:tc>
          <w:tcPr>
            <w:tcW w:w="1306" w:type="dxa"/>
            <w:gridSpan w:val="2"/>
            <w:vAlign w:val="center"/>
          </w:tcPr>
          <w:p w14:paraId="7B700CE8" w14:textId="77777777" w:rsidR="00CD7662" w:rsidRPr="0019790A" w:rsidRDefault="00CD7662" w:rsidP="00CD7662">
            <w:pPr>
              <w:jc w:val="center"/>
              <w:rPr>
                <w:rFonts w:cs="Arial"/>
                <w:szCs w:val="22"/>
              </w:rPr>
            </w:pPr>
          </w:p>
        </w:tc>
        <w:tc>
          <w:tcPr>
            <w:tcW w:w="1210" w:type="dxa"/>
            <w:vAlign w:val="center"/>
          </w:tcPr>
          <w:p w14:paraId="09629C6E" w14:textId="77777777" w:rsidR="00CD7662" w:rsidRPr="0019790A" w:rsidRDefault="00CD7662" w:rsidP="00CD7662">
            <w:pPr>
              <w:jc w:val="center"/>
              <w:rPr>
                <w:rFonts w:cs="Arial"/>
                <w:szCs w:val="22"/>
              </w:rPr>
            </w:pPr>
          </w:p>
        </w:tc>
        <w:tc>
          <w:tcPr>
            <w:tcW w:w="1402" w:type="dxa"/>
            <w:gridSpan w:val="2"/>
            <w:vAlign w:val="center"/>
          </w:tcPr>
          <w:p w14:paraId="218102D5" w14:textId="77777777" w:rsidR="00CD7662" w:rsidRPr="0019790A" w:rsidRDefault="00CD7662" w:rsidP="00CD7662">
            <w:pPr>
              <w:jc w:val="center"/>
              <w:rPr>
                <w:rFonts w:cs="Arial"/>
                <w:szCs w:val="22"/>
              </w:rPr>
            </w:pPr>
          </w:p>
        </w:tc>
        <w:tc>
          <w:tcPr>
            <w:tcW w:w="1267" w:type="dxa"/>
            <w:gridSpan w:val="2"/>
            <w:vAlign w:val="center"/>
          </w:tcPr>
          <w:p w14:paraId="2BE89651" w14:textId="77777777" w:rsidR="00CD7662" w:rsidRPr="0019790A" w:rsidRDefault="00CD7662" w:rsidP="00CD7662">
            <w:pPr>
              <w:jc w:val="center"/>
              <w:rPr>
                <w:rFonts w:cs="Arial"/>
                <w:szCs w:val="22"/>
              </w:rPr>
            </w:pPr>
          </w:p>
        </w:tc>
        <w:tc>
          <w:tcPr>
            <w:tcW w:w="1609" w:type="dxa"/>
            <w:gridSpan w:val="2"/>
            <w:vAlign w:val="center"/>
          </w:tcPr>
          <w:p w14:paraId="0357AEA9" w14:textId="77777777" w:rsidR="00CD7662" w:rsidRPr="0019790A" w:rsidRDefault="00CD7662" w:rsidP="00CD7662">
            <w:pPr>
              <w:jc w:val="center"/>
              <w:rPr>
                <w:rFonts w:cs="Arial"/>
                <w:szCs w:val="22"/>
              </w:rPr>
            </w:pPr>
          </w:p>
        </w:tc>
      </w:tr>
      <w:tr w:rsidR="005342D5" w:rsidRPr="0019790A" w14:paraId="32C7C123" w14:textId="77777777" w:rsidTr="00CF3AAE">
        <w:trPr>
          <w:jc w:val="right"/>
        </w:trPr>
        <w:tc>
          <w:tcPr>
            <w:tcW w:w="3425" w:type="dxa"/>
            <w:shd w:val="clear" w:color="auto" w:fill="FFFFFF"/>
            <w:vAlign w:val="center"/>
          </w:tcPr>
          <w:p w14:paraId="283F1FA0" w14:textId="77777777" w:rsidR="005342D5" w:rsidRPr="0019790A" w:rsidRDefault="005342D5" w:rsidP="0019790A">
            <w:pPr>
              <w:rPr>
                <w:rFonts w:cs="Arial"/>
                <w:b/>
                <w:bCs/>
                <w:szCs w:val="22"/>
              </w:rPr>
            </w:pPr>
            <w:r w:rsidRPr="0019790A">
              <w:rPr>
                <w:rFonts w:cs="Arial"/>
                <w:b/>
                <w:szCs w:val="22"/>
              </w:rPr>
              <w:t>Відповідальний виконавець проєкту:</w:t>
            </w:r>
          </w:p>
        </w:tc>
        <w:tc>
          <w:tcPr>
            <w:tcW w:w="6794" w:type="dxa"/>
            <w:gridSpan w:val="9"/>
            <w:vAlign w:val="center"/>
          </w:tcPr>
          <w:p w14:paraId="3A17814A" w14:textId="16619B9B" w:rsidR="005342D5" w:rsidRPr="0019790A" w:rsidRDefault="005342D5" w:rsidP="00CD7662">
            <w:pPr>
              <w:rPr>
                <w:rFonts w:cs="Arial"/>
                <w:szCs w:val="22"/>
              </w:rPr>
            </w:pPr>
            <w:r w:rsidRPr="0019790A">
              <w:rPr>
                <w:rFonts w:cs="Arial"/>
                <w:szCs w:val="22"/>
              </w:rPr>
              <w:t>Управління житлово-комунального господарства Жмеринської міської ради</w:t>
            </w:r>
          </w:p>
        </w:tc>
      </w:tr>
      <w:tr w:rsidR="005342D5" w:rsidRPr="0019790A" w14:paraId="7E332625" w14:textId="77777777" w:rsidTr="00CF3AAE">
        <w:trPr>
          <w:jc w:val="right"/>
        </w:trPr>
        <w:tc>
          <w:tcPr>
            <w:tcW w:w="3425" w:type="dxa"/>
            <w:shd w:val="clear" w:color="auto" w:fill="FFFFFF"/>
            <w:vAlign w:val="center"/>
          </w:tcPr>
          <w:p w14:paraId="3449199B" w14:textId="77777777" w:rsidR="005342D5" w:rsidRPr="0019790A" w:rsidRDefault="005342D5" w:rsidP="0019790A">
            <w:pPr>
              <w:rPr>
                <w:rFonts w:cs="Arial"/>
                <w:b/>
                <w:bCs/>
                <w:szCs w:val="22"/>
              </w:rPr>
            </w:pPr>
            <w:r w:rsidRPr="0019790A">
              <w:rPr>
                <w:rFonts w:cs="Arial"/>
                <w:b/>
                <w:bCs/>
                <w:szCs w:val="22"/>
              </w:rPr>
              <w:t>Інше:</w:t>
            </w:r>
          </w:p>
        </w:tc>
        <w:tc>
          <w:tcPr>
            <w:tcW w:w="6794" w:type="dxa"/>
            <w:gridSpan w:val="9"/>
            <w:vAlign w:val="center"/>
          </w:tcPr>
          <w:p w14:paraId="73682A7E" w14:textId="77777777" w:rsidR="005342D5" w:rsidRPr="0019790A" w:rsidRDefault="005342D5" w:rsidP="0019790A">
            <w:pPr>
              <w:rPr>
                <w:rFonts w:cs="Arial"/>
                <w:szCs w:val="22"/>
              </w:rPr>
            </w:pPr>
          </w:p>
        </w:tc>
      </w:tr>
    </w:tbl>
    <w:p w14:paraId="0B4B5BBF" w14:textId="77777777" w:rsidR="005342D5" w:rsidRPr="0019790A" w:rsidRDefault="005342D5" w:rsidP="0019790A">
      <w:pPr>
        <w:rPr>
          <w:rFonts w:cs="Arial"/>
          <w:szCs w:val="22"/>
        </w:rPr>
      </w:pPr>
    </w:p>
    <w:p w14:paraId="7FFE353B" w14:textId="77777777" w:rsidR="005342D5" w:rsidRPr="0019790A" w:rsidRDefault="005342D5" w:rsidP="0019790A">
      <w:pPr>
        <w:jc w:val="center"/>
        <w:rPr>
          <w:rFonts w:cs="Arial"/>
          <w:b/>
          <w:szCs w:val="22"/>
        </w:rPr>
      </w:pPr>
      <w:r w:rsidRPr="0019790A">
        <w:rPr>
          <w:rFonts w:cs="Arial"/>
          <w:b/>
          <w:szCs w:val="22"/>
        </w:rPr>
        <w:t>Форма технічного завдання на проєкт місцевого розвитку</w:t>
      </w:r>
    </w:p>
    <w:p w14:paraId="564D1364" w14:textId="77777777" w:rsidR="005342D5" w:rsidRPr="0019790A" w:rsidRDefault="005342D5" w:rsidP="0019790A">
      <w:pPr>
        <w:jc w:val="center"/>
        <w:rPr>
          <w:rFonts w:cs="Arial"/>
          <w:b/>
          <w:szCs w:val="22"/>
        </w:rPr>
      </w:pPr>
      <w:r w:rsidRPr="0019790A">
        <w:rPr>
          <w:rFonts w:cs="Arial"/>
          <w:b/>
          <w:szCs w:val="22"/>
        </w:rPr>
        <w:t>до Плану заходів з реалізації Стратегії</w:t>
      </w:r>
    </w:p>
    <w:p w14:paraId="65EDC003" w14:textId="77777777" w:rsidR="005342D5" w:rsidRPr="0019790A" w:rsidRDefault="005342D5"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10"/>
        <w:gridCol w:w="44"/>
        <w:gridCol w:w="1275"/>
        <w:gridCol w:w="25"/>
        <w:gridCol w:w="1393"/>
        <w:gridCol w:w="18"/>
        <w:gridCol w:w="1258"/>
        <w:gridCol w:w="67"/>
        <w:gridCol w:w="1504"/>
      </w:tblGrid>
      <w:tr w:rsidR="005342D5" w:rsidRPr="0019790A" w14:paraId="7B606D37" w14:textId="77777777" w:rsidTr="00CF3AAE">
        <w:trPr>
          <w:jc w:val="right"/>
        </w:trPr>
        <w:tc>
          <w:tcPr>
            <w:tcW w:w="3425" w:type="dxa"/>
            <w:vAlign w:val="center"/>
          </w:tcPr>
          <w:p w14:paraId="6CEC2760" w14:textId="77777777" w:rsidR="005342D5" w:rsidRPr="0019790A" w:rsidRDefault="005342D5" w:rsidP="0019790A">
            <w:pPr>
              <w:rPr>
                <w:rFonts w:cs="Arial"/>
                <w:b/>
                <w:bCs/>
                <w:szCs w:val="22"/>
              </w:rPr>
            </w:pPr>
            <w:r w:rsidRPr="0019790A">
              <w:rPr>
                <w:rFonts w:cs="Arial"/>
                <w:b/>
                <w:bCs/>
                <w:szCs w:val="22"/>
              </w:rPr>
              <w:t>Назва проєкту:</w:t>
            </w:r>
          </w:p>
        </w:tc>
        <w:tc>
          <w:tcPr>
            <w:tcW w:w="6794" w:type="dxa"/>
            <w:gridSpan w:val="9"/>
          </w:tcPr>
          <w:p w14:paraId="3AAF8A7B" w14:textId="77777777" w:rsidR="005342D5" w:rsidRPr="00CD7662" w:rsidRDefault="005342D5" w:rsidP="0019790A">
            <w:pPr>
              <w:rPr>
                <w:rFonts w:cs="Arial"/>
                <w:b/>
                <w:szCs w:val="22"/>
              </w:rPr>
            </w:pPr>
            <w:r w:rsidRPr="00CD7662">
              <w:rPr>
                <w:rFonts w:cs="Arial"/>
                <w:b/>
                <w:szCs w:val="22"/>
              </w:rPr>
              <w:t>"Спортивна бібліотека: Рухайся вільно!"</w:t>
            </w:r>
          </w:p>
        </w:tc>
      </w:tr>
      <w:tr w:rsidR="005342D5" w:rsidRPr="0019790A" w14:paraId="13D24D50" w14:textId="77777777" w:rsidTr="00CD7662">
        <w:trPr>
          <w:jc w:val="right"/>
        </w:trPr>
        <w:tc>
          <w:tcPr>
            <w:tcW w:w="3425" w:type="dxa"/>
          </w:tcPr>
          <w:p w14:paraId="3D4AE3B2" w14:textId="77777777" w:rsidR="005342D5" w:rsidRPr="0019790A" w:rsidRDefault="005342D5" w:rsidP="0019790A">
            <w:pPr>
              <w:rPr>
                <w:rFonts w:cs="Arial"/>
                <w:szCs w:val="22"/>
              </w:rPr>
            </w:pPr>
            <w:r w:rsidRPr="0019790A">
              <w:rPr>
                <w:rFonts w:cs="Arial"/>
                <w:b/>
                <w:bCs/>
                <w:szCs w:val="22"/>
              </w:rPr>
              <w:t>Ваші контакти</w:t>
            </w:r>
            <w:r w:rsidRPr="0019790A">
              <w:rPr>
                <w:rFonts w:cs="Arial"/>
                <w:szCs w:val="22"/>
              </w:rPr>
              <w:t>:</w:t>
            </w:r>
          </w:p>
          <w:p w14:paraId="7D0E024C" w14:textId="77777777" w:rsidR="005342D5" w:rsidRPr="0019790A" w:rsidRDefault="005342D5" w:rsidP="0019790A">
            <w:pPr>
              <w:rPr>
                <w:rFonts w:cs="Arial"/>
                <w:b/>
                <w:bCs/>
                <w:szCs w:val="22"/>
              </w:rPr>
            </w:pPr>
            <w:r w:rsidRPr="0019790A">
              <w:rPr>
                <w:rFonts w:cs="Arial"/>
                <w:szCs w:val="22"/>
              </w:rPr>
              <w:t>Назва установи, організації, підприємства</w:t>
            </w:r>
          </w:p>
        </w:tc>
        <w:tc>
          <w:tcPr>
            <w:tcW w:w="6794" w:type="dxa"/>
            <w:gridSpan w:val="9"/>
            <w:vAlign w:val="center"/>
          </w:tcPr>
          <w:p w14:paraId="1D7B0743" w14:textId="77777777" w:rsidR="005342D5" w:rsidRPr="0019790A" w:rsidRDefault="005342D5" w:rsidP="00CD7662">
            <w:pPr>
              <w:tabs>
                <w:tab w:val="left" w:pos="171"/>
                <w:tab w:val="left" w:pos="411"/>
              </w:tabs>
              <w:jc w:val="both"/>
              <w:rPr>
                <w:rFonts w:cs="Arial"/>
                <w:szCs w:val="22"/>
              </w:rPr>
            </w:pPr>
            <w:r w:rsidRPr="0019790A">
              <w:rPr>
                <w:rFonts w:cs="Arial"/>
                <w:szCs w:val="22"/>
              </w:rPr>
              <w:t>Відділ молоді та спорту Жмеринської міської ради</w:t>
            </w:r>
          </w:p>
        </w:tc>
      </w:tr>
      <w:tr w:rsidR="005342D5" w:rsidRPr="0019790A" w14:paraId="1851BBDA" w14:textId="77777777" w:rsidTr="00CD7662">
        <w:trPr>
          <w:jc w:val="right"/>
        </w:trPr>
        <w:tc>
          <w:tcPr>
            <w:tcW w:w="3425" w:type="dxa"/>
          </w:tcPr>
          <w:p w14:paraId="05ECC3D8" w14:textId="77777777" w:rsidR="005342D5" w:rsidRPr="0019790A" w:rsidRDefault="005342D5" w:rsidP="0019790A">
            <w:pPr>
              <w:rPr>
                <w:rFonts w:cs="Arial"/>
                <w:b/>
                <w:bCs/>
                <w:szCs w:val="22"/>
              </w:rPr>
            </w:pPr>
            <w:r w:rsidRPr="0019790A">
              <w:rPr>
                <w:rFonts w:cs="Arial"/>
                <w:szCs w:val="22"/>
              </w:rPr>
              <w:t>Прізвище Ім’я По-батькові:</w:t>
            </w:r>
          </w:p>
        </w:tc>
        <w:tc>
          <w:tcPr>
            <w:tcW w:w="6794" w:type="dxa"/>
            <w:gridSpan w:val="9"/>
            <w:vAlign w:val="center"/>
          </w:tcPr>
          <w:p w14:paraId="6721D769" w14:textId="77777777" w:rsidR="005342D5" w:rsidRPr="0019790A" w:rsidRDefault="005342D5" w:rsidP="00CD7662">
            <w:pPr>
              <w:tabs>
                <w:tab w:val="left" w:pos="171"/>
                <w:tab w:val="left" w:pos="411"/>
              </w:tabs>
              <w:jc w:val="both"/>
              <w:rPr>
                <w:rFonts w:cs="Arial"/>
                <w:szCs w:val="22"/>
              </w:rPr>
            </w:pPr>
            <w:r w:rsidRPr="0019790A">
              <w:rPr>
                <w:rFonts w:cs="Arial"/>
                <w:szCs w:val="22"/>
              </w:rPr>
              <w:t>Ковальська Олена Віталіївна</w:t>
            </w:r>
          </w:p>
        </w:tc>
      </w:tr>
      <w:tr w:rsidR="005342D5" w:rsidRPr="0019790A" w14:paraId="2FF7FDED" w14:textId="77777777" w:rsidTr="00CD7662">
        <w:trPr>
          <w:jc w:val="right"/>
        </w:trPr>
        <w:tc>
          <w:tcPr>
            <w:tcW w:w="3425" w:type="dxa"/>
          </w:tcPr>
          <w:p w14:paraId="12A05278" w14:textId="77777777" w:rsidR="005342D5" w:rsidRPr="0019790A" w:rsidRDefault="005342D5" w:rsidP="0019790A">
            <w:pPr>
              <w:rPr>
                <w:rFonts w:cs="Arial"/>
                <w:b/>
                <w:bCs/>
                <w:szCs w:val="22"/>
              </w:rPr>
            </w:pPr>
            <w:r w:rsidRPr="0019790A">
              <w:rPr>
                <w:rFonts w:cs="Arial"/>
                <w:szCs w:val="22"/>
              </w:rPr>
              <w:t>Телефон (мобільний):</w:t>
            </w:r>
          </w:p>
        </w:tc>
        <w:tc>
          <w:tcPr>
            <w:tcW w:w="6794" w:type="dxa"/>
            <w:gridSpan w:val="9"/>
            <w:vAlign w:val="center"/>
          </w:tcPr>
          <w:p w14:paraId="2B8888E2" w14:textId="77777777" w:rsidR="005342D5" w:rsidRPr="0019790A" w:rsidRDefault="005342D5" w:rsidP="00CD7662">
            <w:pPr>
              <w:tabs>
                <w:tab w:val="left" w:pos="171"/>
                <w:tab w:val="left" w:pos="411"/>
              </w:tabs>
              <w:jc w:val="both"/>
              <w:rPr>
                <w:rFonts w:cs="Arial"/>
                <w:szCs w:val="22"/>
              </w:rPr>
            </w:pPr>
            <w:r w:rsidRPr="0019790A">
              <w:rPr>
                <w:rFonts w:cs="Arial"/>
                <w:szCs w:val="22"/>
              </w:rPr>
              <w:t>096-068-94-79</w:t>
            </w:r>
          </w:p>
        </w:tc>
      </w:tr>
      <w:tr w:rsidR="005342D5" w:rsidRPr="0019790A" w14:paraId="6546E740" w14:textId="77777777" w:rsidTr="00CD7662">
        <w:trPr>
          <w:jc w:val="right"/>
        </w:trPr>
        <w:tc>
          <w:tcPr>
            <w:tcW w:w="3425" w:type="dxa"/>
          </w:tcPr>
          <w:p w14:paraId="57D52CEF" w14:textId="77777777" w:rsidR="005342D5" w:rsidRPr="0019790A" w:rsidRDefault="005342D5" w:rsidP="0019790A">
            <w:pPr>
              <w:rPr>
                <w:rFonts w:cs="Arial"/>
                <w:b/>
                <w:bCs/>
                <w:szCs w:val="22"/>
              </w:rPr>
            </w:pPr>
            <w:r w:rsidRPr="0019790A">
              <w:rPr>
                <w:rFonts w:cs="Arial"/>
                <w:szCs w:val="22"/>
              </w:rPr>
              <w:t>Електронна адреса:</w:t>
            </w:r>
          </w:p>
        </w:tc>
        <w:tc>
          <w:tcPr>
            <w:tcW w:w="6794" w:type="dxa"/>
            <w:gridSpan w:val="9"/>
            <w:vAlign w:val="center"/>
          </w:tcPr>
          <w:p w14:paraId="2829C3BD" w14:textId="77777777" w:rsidR="005342D5" w:rsidRPr="0019790A" w:rsidRDefault="00D85FFD" w:rsidP="00CD7662">
            <w:pPr>
              <w:tabs>
                <w:tab w:val="left" w:pos="171"/>
                <w:tab w:val="left" w:pos="411"/>
              </w:tabs>
              <w:jc w:val="both"/>
              <w:rPr>
                <w:rFonts w:cs="Arial"/>
                <w:szCs w:val="22"/>
              </w:rPr>
            </w:pPr>
            <w:hyperlink r:id="rId158" w:history="1">
              <w:r w:rsidR="005342D5" w:rsidRPr="0019790A">
                <w:rPr>
                  <w:rStyle w:val="af0"/>
                  <w:rFonts w:cs="Arial"/>
                  <w:b/>
                  <w:bCs/>
                  <w:noProof w:val="0"/>
                  <w:sz w:val="22"/>
                  <w:szCs w:val="22"/>
                </w:rPr>
                <w:t>ms@zhmr.gov.ua</w:t>
              </w:r>
            </w:hyperlink>
          </w:p>
        </w:tc>
      </w:tr>
      <w:tr w:rsidR="005342D5" w:rsidRPr="0019790A" w14:paraId="40D1CF68" w14:textId="77777777" w:rsidTr="00CD7662">
        <w:trPr>
          <w:trHeight w:val="1601"/>
          <w:jc w:val="right"/>
        </w:trPr>
        <w:tc>
          <w:tcPr>
            <w:tcW w:w="3425" w:type="dxa"/>
            <w:vAlign w:val="center"/>
          </w:tcPr>
          <w:p w14:paraId="6C2267ED" w14:textId="77777777" w:rsidR="005342D5" w:rsidRPr="0019790A" w:rsidRDefault="005342D5" w:rsidP="0019790A">
            <w:pPr>
              <w:rPr>
                <w:rFonts w:cs="Arial"/>
                <w:b/>
                <w:bCs/>
                <w:szCs w:val="22"/>
              </w:rPr>
            </w:pPr>
            <w:r w:rsidRPr="0019790A">
              <w:rPr>
                <w:rFonts w:cs="Arial"/>
                <w:b/>
                <w:bCs/>
                <w:szCs w:val="22"/>
              </w:rPr>
              <w:t>Номер і назва завдання з Стратегії розвитку Жмеринської міської територіальної громади,  якому відповідає проєкт:</w:t>
            </w:r>
          </w:p>
        </w:tc>
        <w:tc>
          <w:tcPr>
            <w:tcW w:w="6794" w:type="dxa"/>
            <w:gridSpan w:val="9"/>
            <w:vAlign w:val="center"/>
          </w:tcPr>
          <w:p w14:paraId="7EF9DB97" w14:textId="77777777" w:rsidR="005342D5" w:rsidRPr="00CD7662" w:rsidRDefault="005342D5" w:rsidP="00CD7662">
            <w:pPr>
              <w:tabs>
                <w:tab w:val="left" w:pos="171"/>
                <w:tab w:val="left" w:pos="411"/>
              </w:tabs>
              <w:jc w:val="both"/>
              <w:rPr>
                <w:rFonts w:cs="Arial"/>
                <w:bCs/>
                <w:szCs w:val="22"/>
              </w:rPr>
            </w:pPr>
            <w:r w:rsidRPr="00CD7662">
              <w:rPr>
                <w:rFonts w:cs="Arial"/>
                <w:bCs/>
                <w:szCs w:val="22"/>
              </w:rPr>
              <w:t>С.3.4.1. Вдосконалення спортивного розвитку та самореалізації дітей, молоді, населення середнього та пенсійного віку.</w:t>
            </w:r>
          </w:p>
          <w:p w14:paraId="526A30A8" w14:textId="77777777" w:rsidR="005342D5" w:rsidRPr="00CD7662" w:rsidRDefault="005342D5" w:rsidP="00CD7662">
            <w:pPr>
              <w:tabs>
                <w:tab w:val="left" w:pos="171"/>
                <w:tab w:val="left" w:pos="411"/>
              </w:tabs>
              <w:jc w:val="both"/>
              <w:rPr>
                <w:rFonts w:cs="Arial"/>
                <w:bCs/>
                <w:szCs w:val="22"/>
              </w:rPr>
            </w:pPr>
            <w:r w:rsidRPr="00CD7662">
              <w:rPr>
                <w:rFonts w:cs="Arial"/>
                <w:bCs/>
                <w:szCs w:val="22"/>
              </w:rPr>
              <w:t>С.3.4.2. Будівництво, реконструкція інфраструктури спорту з урахуванням гендерного аспекту.</w:t>
            </w:r>
          </w:p>
          <w:p w14:paraId="4ED98029" w14:textId="77777777" w:rsidR="005342D5" w:rsidRPr="00CD7662" w:rsidRDefault="005342D5" w:rsidP="00CD7662">
            <w:pPr>
              <w:tabs>
                <w:tab w:val="left" w:pos="171"/>
                <w:tab w:val="left" w:pos="411"/>
              </w:tabs>
              <w:jc w:val="both"/>
              <w:rPr>
                <w:rFonts w:cs="Arial"/>
                <w:szCs w:val="22"/>
              </w:rPr>
            </w:pPr>
            <w:r w:rsidRPr="00CD7662">
              <w:rPr>
                <w:rFonts w:cs="Arial"/>
                <w:szCs w:val="22"/>
              </w:rPr>
              <w:t>С.3.4.4. Облаштування спортивних залів матеріально-технічною базою.</w:t>
            </w:r>
          </w:p>
          <w:p w14:paraId="09168AA7" w14:textId="77777777" w:rsidR="005342D5" w:rsidRPr="00CD7662" w:rsidRDefault="005342D5" w:rsidP="00CD7662">
            <w:pPr>
              <w:tabs>
                <w:tab w:val="left" w:pos="171"/>
                <w:tab w:val="left" w:pos="411"/>
              </w:tabs>
              <w:jc w:val="both"/>
              <w:rPr>
                <w:rFonts w:cs="Arial"/>
                <w:szCs w:val="22"/>
              </w:rPr>
            </w:pPr>
          </w:p>
        </w:tc>
      </w:tr>
      <w:tr w:rsidR="005342D5" w:rsidRPr="0019790A" w14:paraId="0C152DDB" w14:textId="77777777" w:rsidTr="00CD7662">
        <w:trPr>
          <w:trHeight w:val="673"/>
          <w:jc w:val="right"/>
        </w:trPr>
        <w:tc>
          <w:tcPr>
            <w:tcW w:w="3425" w:type="dxa"/>
            <w:vAlign w:val="center"/>
          </w:tcPr>
          <w:p w14:paraId="4C0E9F19" w14:textId="77777777" w:rsidR="005342D5" w:rsidRPr="0019790A" w:rsidRDefault="005342D5" w:rsidP="0019790A">
            <w:pPr>
              <w:rPr>
                <w:rFonts w:cs="Arial"/>
                <w:b/>
                <w:bCs/>
                <w:szCs w:val="22"/>
              </w:rPr>
            </w:pPr>
            <w:r w:rsidRPr="0019790A">
              <w:rPr>
                <w:rFonts w:cs="Arial"/>
                <w:b/>
                <w:bCs/>
                <w:szCs w:val="22"/>
              </w:rPr>
              <w:t>Мета проєкту:</w:t>
            </w:r>
          </w:p>
        </w:tc>
        <w:tc>
          <w:tcPr>
            <w:tcW w:w="6794" w:type="dxa"/>
            <w:gridSpan w:val="9"/>
            <w:vAlign w:val="center"/>
          </w:tcPr>
          <w:p w14:paraId="67FA6582" w14:textId="77777777" w:rsidR="005342D5" w:rsidRPr="0019790A" w:rsidRDefault="005342D5" w:rsidP="00CD7662">
            <w:pPr>
              <w:tabs>
                <w:tab w:val="left" w:pos="171"/>
                <w:tab w:val="left" w:pos="411"/>
              </w:tabs>
              <w:jc w:val="both"/>
              <w:rPr>
                <w:rFonts w:cs="Arial"/>
                <w:szCs w:val="22"/>
              </w:rPr>
            </w:pPr>
            <w:r w:rsidRPr="0019790A">
              <w:rPr>
                <w:rFonts w:cs="Arial"/>
                <w:szCs w:val="22"/>
              </w:rPr>
              <w:t xml:space="preserve">Створення публічного простору для </w:t>
            </w:r>
            <w:r w:rsidRPr="0019790A">
              <w:rPr>
                <w:rFonts w:cs="Arial"/>
                <w:bCs/>
                <w:szCs w:val="22"/>
              </w:rPr>
              <w:t>доступу до спортивного інвентарю</w:t>
            </w:r>
            <w:r w:rsidRPr="0019790A">
              <w:rPr>
                <w:rFonts w:cs="Arial"/>
                <w:szCs w:val="22"/>
              </w:rPr>
              <w:t xml:space="preserve"> мешканців громади з метою популяризації активного способу життя, зниження бар'єрів до занять спортом і розвитку культури дозвілля.</w:t>
            </w:r>
          </w:p>
        </w:tc>
      </w:tr>
      <w:tr w:rsidR="005342D5" w:rsidRPr="0019790A" w14:paraId="5BF46BD0" w14:textId="77777777" w:rsidTr="00CD7662">
        <w:trPr>
          <w:jc w:val="right"/>
        </w:trPr>
        <w:tc>
          <w:tcPr>
            <w:tcW w:w="3425" w:type="dxa"/>
            <w:vAlign w:val="center"/>
          </w:tcPr>
          <w:p w14:paraId="238CE72D" w14:textId="77777777" w:rsidR="005342D5" w:rsidRPr="0019790A" w:rsidRDefault="005342D5" w:rsidP="0019790A">
            <w:pPr>
              <w:rPr>
                <w:rFonts w:cs="Arial"/>
                <w:b/>
                <w:bCs/>
                <w:szCs w:val="22"/>
              </w:rPr>
            </w:pPr>
            <w:r w:rsidRPr="0019790A">
              <w:rPr>
                <w:rFonts w:cs="Arial"/>
                <w:b/>
                <w:bCs/>
                <w:szCs w:val="22"/>
              </w:rPr>
              <w:t>Цілі проєкту:</w:t>
            </w:r>
          </w:p>
        </w:tc>
        <w:tc>
          <w:tcPr>
            <w:tcW w:w="6794" w:type="dxa"/>
            <w:gridSpan w:val="9"/>
            <w:vAlign w:val="center"/>
          </w:tcPr>
          <w:p w14:paraId="6F8D8129" w14:textId="77777777" w:rsidR="005342D5" w:rsidRPr="0019790A" w:rsidRDefault="005342D5" w:rsidP="00CD7662">
            <w:pPr>
              <w:numPr>
                <w:ilvl w:val="0"/>
                <w:numId w:val="80"/>
              </w:numPr>
              <w:tabs>
                <w:tab w:val="left" w:pos="171"/>
                <w:tab w:val="left" w:pos="411"/>
              </w:tabs>
              <w:ind w:left="0" w:firstLine="0"/>
              <w:jc w:val="both"/>
              <w:rPr>
                <w:rFonts w:cs="Arial"/>
                <w:szCs w:val="22"/>
              </w:rPr>
            </w:pPr>
            <w:r w:rsidRPr="0019790A">
              <w:rPr>
                <w:rFonts w:cs="Arial"/>
                <w:szCs w:val="22"/>
              </w:rPr>
              <w:t>Забезпечити безкоштовний або умовно-безкоштовний доступ до спортивного інвентарю (м'ячі, скакалки, ракетки, самокати тощо).</w:t>
            </w:r>
          </w:p>
          <w:p w14:paraId="22A0FD9A" w14:textId="77777777" w:rsidR="005342D5" w:rsidRPr="0019790A" w:rsidRDefault="005342D5" w:rsidP="00CD7662">
            <w:pPr>
              <w:numPr>
                <w:ilvl w:val="0"/>
                <w:numId w:val="80"/>
              </w:numPr>
              <w:tabs>
                <w:tab w:val="left" w:pos="171"/>
                <w:tab w:val="left" w:pos="411"/>
              </w:tabs>
              <w:ind w:left="0" w:firstLine="0"/>
              <w:jc w:val="both"/>
              <w:rPr>
                <w:rFonts w:cs="Arial"/>
                <w:szCs w:val="22"/>
              </w:rPr>
            </w:pPr>
            <w:r w:rsidRPr="0019790A">
              <w:rPr>
                <w:rFonts w:cs="Arial"/>
                <w:szCs w:val="22"/>
              </w:rPr>
              <w:t>Залучити мешканців до активного дозвілля у громадських просторах.</w:t>
            </w:r>
          </w:p>
          <w:p w14:paraId="152DD297" w14:textId="77777777" w:rsidR="005342D5" w:rsidRPr="0019790A" w:rsidRDefault="005342D5" w:rsidP="00CD7662">
            <w:pPr>
              <w:numPr>
                <w:ilvl w:val="0"/>
                <w:numId w:val="80"/>
              </w:numPr>
              <w:tabs>
                <w:tab w:val="left" w:pos="171"/>
                <w:tab w:val="left" w:pos="411"/>
              </w:tabs>
              <w:ind w:left="0" w:firstLine="0"/>
              <w:jc w:val="both"/>
              <w:rPr>
                <w:rFonts w:cs="Arial"/>
                <w:szCs w:val="22"/>
              </w:rPr>
            </w:pPr>
            <w:r w:rsidRPr="0019790A">
              <w:rPr>
                <w:rFonts w:cs="Arial"/>
                <w:szCs w:val="22"/>
              </w:rPr>
              <w:t>Підтримати соціальну справедливість у доступі до спорту.</w:t>
            </w:r>
          </w:p>
          <w:p w14:paraId="19F4B5F0" w14:textId="77777777" w:rsidR="005342D5" w:rsidRPr="0019790A" w:rsidRDefault="005342D5" w:rsidP="00CD7662">
            <w:pPr>
              <w:numPr>
                <w:ilvl w:val="0"/>
                <w:numId w:val="80"/>
              </w:numPr>
              <w:tabs>
                <w:tab w:val="left" w:pos="171"/>
                <w:tab w:val="left" w:pos="411"/>
              </w:tabs>
              <w:ind w:left="0" w:firstLine="0"/>
              <w:jc w:val="both"/>
              <w:rPr>
                <w:rFonts w:cs="Arial"/>
                <w:szCs w:val="22"/>
              </w:rPr>
            </w:pPr>
            <w:r w:rsidRPr="0019790A">
              <w:rPr>
                <w:rFonts w:cs="Arial"/>
                <w:szCs w:val="22"/>
              </w:rPr>
              <w:t>Розширити інфраструктуру самореалізації молоді.</w:t>
            </w:r>
          </w:p>
        </w:tc>
      </w:tr>
      <w:tr w:rsidR="005342D5" w:rsidRPr="0019790A" w14:paraId="51C6C653" w14:textId="77777777" w:rsidTr="00CD7662">
        <w:trPr>
          <w:jc w:val="right"/>
        </w:trPr>
        <w:tc>
          <w:tcPr>
            <w:tcW w:w="3425" w:type="dxa"/>
            <w:vAlign w:val="center"/>
          </w:tcPr>
          <w:p w14:paraId="4AD8EA2C" w14:textId="77777777" w:rsidR="005342D5" w:rsidRPr="0019790A" w:rsidRDefault="005342D5" w:rsidP="0019790A">
            <w:pPr>
              <w:rPr>
                <w:rFonts w:cs="Arial"/>
                <w:b/>
                <w:szCs w:val="22"/>
              </w:rPr>
            </w:pPr>
            <w:r w:rsidRPr="0019790A">
              <w:rPr>
                <w:rFonts w:cs="Arial"/>
                <w:b/>
                <w:szCs w:val="22"/>
              </w:rPr>
              <w:t>Територія на яку проєкт матиме вплив:</w:t>
            </w:r>
          </w:p>
        </w:tc>
        <w:tc>
          <w:tcPr>
            <w:tcW w:w="6794" w:type="dxa"/>
            <w:gridSpan w:val="9"/>
            <w:vAlign w:val="center"/>
          </w:tcPr>
          <w:p w14:paraId="7E9C6B21" w14:textId="77777777" w:rsidR="005342D5" w:rsidRPr="0019790A" w:rsidRDefault="005342D5" w:rsidP="00CD7662">
            <w:pPr>
              <w:tabs>
                <w:tab w:val="left" w:pos="171"/>
                <w:tab w:val="left" w:pos="411"/>
              </w:tabs>
              <w:jc w:val="both"/>
              <w:rPr>
                <w:rFonts w:cs="Arial"/>
                <w:szCs w:val="22"/>
              </w:rPr>
            </w:pPr>
            <w:r w:rsidRPr="0019790A">
              <w:rPr>
                <w:rFonts w:cs="Arial"/>
                <w:szCs w:val="22"/>
              </w:rPr>
              <w:t>Жмеринська міська територіальна громада</w:t>
            </w:r>
          </w:p>
        </w:tc>
      </w:tr>
      <w:tr w:rsidR="005342D5" w:rsidRPr="0019790A" w14:paraId="57C9DC77" w14:textId="77777777" w:rsidTr="00CD7662">
        <w:trPr>
          <w:jc w:val="right"/>
        </w:trPr>
        <w:tc>
          <w:tcPr>
            <w:tcW w:w="3425" w:type="dxa"/>
            <w:vAlign w:val="center"/>
          </w:tcPr>
          <w:p w14:paraId="51B34960" w14:textId="77777777" w:rsidR="005342D5" w:rsidRPr="0019790A" w:rsidRDefault="005342D5" w:rsidP="0019790A">
            <w:pPr>
              <w:rPr>
                <w:rFonts w:cs="Arial"/>
                <w:b/>
                <w:szCs w:val="22"/>
              </w:rPr>
            </w:pPr>
            <w:r w:rsidRPr="0019790A">
              <w:rPr>
                <w:rFonts w:cs="Arial"/>
                <w:b/>
                <w:szCs w:val="22"/>
              </w:rPr>
              <w:t>Цільові групи проєкту та кількість отримувачів вигоди</w:t>
            </w:r>
          </w:p>
        </w:tc>
        <w:tc>
          <w:tcPr>
            <w:tcW w:w="6794" w:type="dxa"/>
            <w:gridSpan w:val="9"/>
            <w:vAlign w:val="center"/>
          </w:tcPr>
          <w:p w14:paraId="6612BEF1" w14:textId="77777777" w:rsidR="005342D5" w:rsidRPr="0019790A" w:rsidRDefault="005342D5" w:rsidP="00CD7662">
            <w:pPr>
              <w:tabs>
                <w:tab w:val="left" w:pos="171"/>
                <w:tab w:val="left" w:pos="411"/>
              </w:tabs>
              <w:jc w:val="both"/>
              <w:rPr>
                <w:rFonts w:cs="Arial"/>
                <w:bCs/>
                <w:szCs w:val="22"/>
              </w:rPr>
            </w:pPr>
            <w:r w:rsidRPr="0019790A">
              <w:rPr>
                <w:rFonts w:cs="Arial"/>
                <w:bCs/>
                <w:szCs w:val="22"/>
              </w:rPr>
              <w:t>1.  Діти, підлітки, молодь</w:t>
            </w:r>
          </w:p>
          <w:p w14:paraId="7833FFEF" w14:textId="77777777" w:rsidR="005342D5" w:rsidRPr="0019790A" w:rsidRDefault="005342D5" w:rsidP="00CD7662">
            <w:pPr>
              <w:tabs>
                <w:tab w:val="left" w:pos="171"/>
                <w:tab w:val="left" w:pos="411"/>
              </w:tabs>
              <w:jc w:val="both"/>
              <w:rPr>
                <w:rFonts w:cs="Arial"/>
                <w:bCs/>
                <w:szCs w:val="22"/>
              </w:rPr>
            </w:pPr>
            <w:r w:rsidRPr="0019790A">
              <w:rPr>
                <w:rFonts w:cs="Arial"/>
                <w:bCs/>
                <w:szCs w:val="22"/>
              </w:rPr>
              <w:t>2.  Родини з дітьми</w:t>
            </w:r>
          </w:p>
          <w:p w14:paraId="7DEE7299" w14:textId="77777777" w:rsidR="005342D5" w:rsidRPr="0019790A" w:rsidRDefault="005342D5" w:rsidP="00CD7662">
            <w:pPr>
              <w:tabs>
                <w:tab w:val="left" w:pos="171"/>
                <w:tab w:val="left" w:pos="411"/>
              </w:tabs>
              <w:jc w:val="both"/>
              <w:rPr>
                <w:rFonts w:cs="Arial"/>
                <w:bCs/>
                <w:szCs w:val="22"/>
              </w:rPr>
            </w:pPr>
            <w:r w:rsidRPr="0019790A">
              <w:rPr>
                <w:rFonts w:cs="Arial"/>
                <w:bCs/>
                <w:szCs w:val="22"/>
              </w:rPr>
              <w:t>3.  Особи з низьким рівнем доходів</w:t>
            </w:r>
          </w:p>
          <w:p w14:paraId="3FAF64AC" w14:textId="77777777" w:rsidR="005342D5" w:rsidRPr="0019790A" w:rsidRDefault="005342D5" w:rsidP="00CD7662">
            <w:pPr>
              <w:tabs>
                <w:tab w:val="left" w:pos="171"/>
                <w:tab w:val="left" w:pos="411"/>
              </w:tabs>
              <w:jc w:val="both"/>
              <w:rPr>
                <w:rFonts w:cs="Arial"/>
                <w:bCs/>
                <w:szCs w:val="22"/>
              </w:rPr>
            </w:pPr>
            <w:r w:rsidRPr="0019790A">
              <w:rPr>
                <w:rFonts w:cs="Arial"/>
                <w:bCs/>
                <w:szCs w:val="22"/>
              </w:rPr>
              <w:t>4.  Туристи та гості громади</w:t>
            </w:r>
          </w:p>
          <w:p w14:paraId="46B5F586" w14:textId="77777777" w:rsidR="005342D5" w:rsidRPr="0019790A" w:rsidRDefault="005342D5" w:rsidP="00CD7662">
            <w:pPr>
              <w:tabs>
                <w:tab w:val="left" w:pos="171"/>
                <w:tab w:val="left" w:pos="411"/>
              </w:tabs>
              <w:jc w:val="both"/>
              <w:rPr>
                <w:rFonts w:cs="Arial"/>
                <w:bCs/>
                <w:szCs w:val="22"/>
              </w:rPr>
            </w:pPr>
            <w:r w:rsidRPr="0019790A">
              <w:rPr>
                <w:rFonts w:cs="Arial"/>
                <w:bCs/>
                <w:szCs w:val="22"/>
              </w:rPr>
              <w:t>5.  Відвідувачі парків, шкіл, стадіонів</w:t>
            </w:r>
          </w:p>
          <w:p w14:paraId="4D98E3C1" w14:textId="77777777" w:rsidR="005342D5" w:rsidRPr="0019790A" w:rsidRDefault="005342D5" w:rsidP="00CD7662">
            <w:pPr>
              <w:tabs>
                <w:tab w:val="left" w:pos="171"/>
                <w:tab w:val="left" w:pos="411"/>
              </w:tabs>
              <w:jc w:val="both"/>
              <w:rPr>
                <w:rFonts w:cs="Arial"/>
                <w:bCs/>
                <w:szCs w:val="22"/>
              </w:rPr>
            </w:pPr>
            <w:r w:rsidRPr="0019790A">
              <w:rPr>
                <w:rFonts w:cs="Arial"/>
                <w:bCs/>
                <w:szCs w:val="22"/>
              </w:rPr>
              <w:t>6.  Люди похилого віку, які займаються оздоровчими вправами</w:t>
            </w:r>
          </w:p>
          <w:p w14:paraId="7D66474A" w14:textId="77777777" w:rsidR="005342D5" w:rsidRPr="0019790A" w:rsidRDefault="005342D5" w:rsidP="00CD7662">
            <w:pPr>
              <w:tabs>
                <w:tab w:val="left" w:pos="171"/>
                <w:tab w:val="left" w:pos="411"/>
              </w:tabs>
              <w:jc w:val="both"/>
              <w:rPr>
                <w:rFonts w:cs="Arial"/>
                <w:szCs w:val="22"/>
              </w:rPr>
            </w:pPr>
            <w:r w:rsidRPr="0019790A">
              <w:rPr>
                <w:rFonts w:cs="Arial"/>
                <w:b/>
                <w:szCs w:val="22"/>
              </w:rPr>
              <w:t>Кількість отримувачів вигоди</w:t>
            </w:r>
            <w:r w:rsidRPr="0019790A">
              <w:rPr>
                <w:rFonts w:cs="Arial"/>
                <w:szCs w:val="22"/>
              </w:rPr>
              <w:t xml:space="preserve"> </w:t>
            </w:r>
            <w:r w:rsidRPr="0019790A">
              <w:rPr>
                <w:rFonts w:cs="Arial"/>
                <w:b/>
                <w:szCs w:val="22"/>
              </w:rPr>
              <w:t>6 000 осіб.</w:t>
            </w:r>
          </w:p>
        </w:tc>
      </w:tr>
      <w:tr w:rsidR="005342D5" w:rsidRPr="0019790A" w14:paraId="2E8656F9" w14:textId="77777777" w:rsidTr="00CD7662">
        <w:trPr>
          <w:jc w:val="right"/>
        </w:trPr>
        <w:tc>
          <w:tcPr>
            <w:tcW w:w="3425" w:type="dxa"/>
            <w:shd w:val="clear" w:color="auto" w:fill="FFFFFF"/>
            <w:vAlign w:val="center"/>
          </w:tcPr>
          <w:p w14:paraId="761BA15C" w14:textId="77777777" w:rsidR="005342D5" w:rsidRPr="0019790A" w:rsidRDefault="005342D5" w:rsidP="0019790A">
            <w:pPr>
              <w:rPr>
                <w:rFonts w:cs="Arial"/>
                <w:b/>
                <w:bCs/>
                <w:szCs w:val="22"/>
              </w:rPr>
            </w:pPr>
            <w:r w:rsidRPr="0019790A">
              <w:rPr>
                <w:rFonts w:cs="Arial"/>
                <w:b/>
                <w:bCs/>
                <w:szCs w:val="22"/>
              </w:rPr>
              <w:t>Стислий опис проєкту:</w:t>
            </w:r>
          </w:p>
        </w:tc>
        <w:tc>
          <w:tcPr>
            <w:tcW w:w="6794" w:type="dxa"/>
            <w:gridSpan w:val="9"/>
            <w:vAlign w:val="center"/>
          </w:tcPr>
          <w:p w14:paraId="1D0A485A" w14:textId="77777777" w:rsidR="005342D5" w:rsidRPr="0019790A" w:rsidRDefault="005342D5" w:rsidP="00CD7662">
            <w:pPr>
              <w:tabs>
                <w:tab w:val="left" w:pos="171"/>
                <w:tab w:val="left" w:pos="411"/>
              </w:tabs>
              <w:jc w:val="both"/>
              <w:rPr>
                <w:rFonts w:cs="Arial"/>
                <w:szCs w:val="22"/>
              </w:rPr>
            </w:pPr>
            <w:r w:rsidRPr="0019790A">
              <w:rPr>
                <w:rFonts w:cs="Arial"/>
                <w:b/>
                <w:bCs/>
                <w:szCs w:val="22"/>
              </w:rPr>
              <w:t>"</w:t>
            </w:r>
            <w:r w:rsidRPr="0019790A">
              <w:rPr>
                <w:rFonts w:cs="Arial"/>
                <w:bCs/>
                <w:szCs w:val="22"/>
              </w:rPr>
              <w:t>Спортивна бібліотека"</w:t>
            </w:r>
            <w:r w:rsidRPr="0019790A">
              <w:rPr>
                <w:rFonts w:cs="Arial"/>
                <w:szCs w:val="22"/>
              </w:rPr>
              <w:t xml:space="preserve"> — це стаціонарний або мобільний пункт прокату спортивного інвентарю, розташований у парку, на території стадіону або біля закладу культури/освіти. Мешканці громади зможуть </w:t>
            </w:r>
            <w:r w:rsidRPr="0019790A">
              <w:rPr>
                <w:rFonts w:cs="Arial"/>
                <w:bCs/>
                <w:szCs w:val="22"/>
              </w:rPr>
              <w:t>безкоштовно брати спортивне спорядження</w:t>
            </w:r>
            <w:r w:rsidRPr="0019790A">
              <w:rPr>
                <w:rFonts w:cs="Arial"/>
                <w:szCs w:val="22"/>
              </w:rPr>
              <w:t xml:space="preserve"> для користування протягом дня: м’ячі, бадмінтон, тенісні ракетки, скакалки, ролики, самокати, шахи тощо. Пункт може працювати сезонно або цілий рік (у приміщенні), обслуговуватися волонтерами, працівниками громади або громадськими організаціями.</w:t>
            </w:r>
          </w:p>
        </w:tc>
      </w:tr>
      <w:tr w:rsidR="005342D5" w:rsidRPr="0019790A" w14:paraId="2199CAEA" w14:textId="77777777" w:rsidTr="00CD7662">
        <w:trPr>
          <w:jc w:val="right"/>
        </w:trPr>
        <w:tc>
          <w:tcPr>
            <w:tcW w:w="3425" w:type="dxa"/>
            <w:shd w:val="clear" w:color="auto" w:fill="FFFFFF"/>
            <w:vAlign w:val="center"/>
          </w:tcPr>
          <w:p w14:paraId="72C363B9" w14:textId="77777777" w:rsidR="005342D5" w:rsidRPr="0019790A" w:rsidRDefault="005342D5" w:rsidP="0019790A">
            <w:pPr>
              <w:rPr>
                <w:rFonts w:cs="Arial"/>
                <w:b/>
                <w:bCs/>
                <w:szCs w:val="22"/>
              </w:rPr>
            </w:pPr>
            <w:r w:rsidRPr="0019790A">
              <w:rPr>
                <w:rFonts w:cs="Arial"/>
                <w:b/>
                <w:bCs/>
                <w:szCs w:val="22"/>
              </w:rPr>
              <w:t>Основні заходи проєкту:</w:t>
            </w:r>
          </w:p>
        </w:tc>
        <w:tc>
          <w:tcPr>
            <w:tcW w:w="6794" w:type="dxa"/>
            <w:gridSpan w:val="9"/>
            <w:vAlign w:val="center"/>
          </w:tcPr>
          <w:p w14:paraId="4CD5A52B" w14:textId="77777777" w:rsidR="005342D5" w:rsidRPr="0019790A" w:rsidRDefault="005342D5" w:rsidP="00CD7662">
            <w:pPr>
              <w:numPr>
                <w:ilvl w:val="0"/>
                <w:numId w:val="81"/>
              </w:numPr>
              <w:tabs>
                <w:tab w:val="left" w:pos="171"/>
                <w:tab w:val="left" w:pos="411"/>
              </w:tabs>
              <w:ind w:left="0" w:firstLine="0"/>
              <w:jc w:val="both"/>
              <w:rPr>
                <w:rFonts w:cs="Arial"/>
                <w:szCs w:val="22"/>
              </w:rPr>
            </w:pPr>
            <w:r w:rsidRPr="0019790A">
              <w:rPr>
                <w:rFonts w:cs="Arial"/>
                <w:szCs w:val="22"/>
              </w:rPr>
              <w:t>Аналіз потреб громади, вибір місця, розробка моделі роботи.</w:t>
            </w:r>
          </w:p>
          <w:p w14:paraId="3B2E514A" w14:textId="77777777" w:rsidR="005342D5" w:rsidRPr="0019790A" w:rsidRDefault="005342D5" w:rsidP="00CD7662">
            <w:pPr>
              <w:numPr>
                <w:ilvl w:val="0"/>
                <w:numId w:val="81"/>
              </w:numPr>
              <w:tabs>
                <w:tab w:val="left" w:pos="171"/>
                <w:tab w:val="left" w:pos="411"/>
              </w:tabs>
              <w:ind w:left="0" w:firstLine="0"/>
              <w:jc w:val="both"/>
              <w:rPr>
                <w:rFonts w:cs="Arial"/>
                <w:szCs w:val="22"/>
              </w:rPr>
            </w:pPr>
            <w:r w:rsidRPr="0019790A">
              <w:rPr>
                <w:rFonts w:cs="Arial"/>
                <w:szCs w:val="22"/>
              </w:rPr>
              <w:t>Придбання базового спортивного інвентарю (відповідно до вікових груп).</w:t>
            </w:r>
          </w:p>
          <w:p w14:paraId="7AF16895" w14:textId="77777777" w:rsidR="005342D5" w:rsidRPr="0019790A" w:rsidRDefault="005342D5" w:rsidP="00CD7662">
            <w:pPr>
              <w:numPr>
                <w:ilvl w:val="0"/>
                <w:numId w:val="81"/>
              </w:numPr>
              <w:tabs>
                <w:tab w:val="left" w:pos="171"/>
                <w:tab w:val="left" w:pos="411"/>
              </w:tabs>
              <w:ind w:left="0" w:firstLine="0"/>
              <w:jc w:val="both"/>
              <w:rPr>
                <w:rFonts w:cs="Arial"/>
                <w:szCs w:val="22"/>
              </w:rPr>
            </w:pPr>
            <w:r w:rsidRPr="0019790A">
              <w:rPr>
                <w:rFonts w:cs="Arial"/>
                <w:szCs w:val="22"/>
              </w:rPr>
              <w:t>Облаштування пункту прокату (будка, контейнер, кіоск або приміщення).</w:t>
            </w:r>
          </w:p>
          <w:p w14:paraId="1A462121" w14:textId="77777777" w:rsidR="005342D5" w:rsidRPr="0019790A" w:rsidRDefault="005342D5" w:rsidP="00CD7662">
            <w:pPr>
              <w:numPr>
                <w:ilvl w:val="0"/>
                <w:numId w:val="81"/>
              </w:numPr>
              <w:tabs>
                <w:tab w:val="left" w:pos="171"/>
                <w:tab w:val="left" w:pos="411"/>
              </w:tabs>
              <w:ind w:left="0" w:firstLine="0"/>
              <w:jc w:val="both"/>
              <w:rPr>
                <w:rFonts w:cs="Arial"/>
                <w:szCs w:val="22"/>
              </w:rPr>
            </w:pPr>
            <w:r w:rsidRPr="0019790A">
              <w:rPr>
                <w:rFonts w:cs="Arial"/>
                <w:szCs w:val="22"/>
              </w:rPr>
              <w:t>Розробка правил користування, реєстраційної системи.</w:t>
            </w:r>
          </w:p>
          <w:p w14:paraId="0F71B25A" w14:textId="77777777" w:rsidR="005342D5" w:rsidRPr="0019790A" w:rsidRDefault="005342D5" w:rsidP="00CD7662">
            <w:pPr>
              <w:numPr>
                <w:ilvl w:val="0"/>
                <w:numId w:val="81"/>
              </w:numPr>
              <w:tabs>
                <w:tab w:val="left" w:pos="171"/>
                <w:tab w:val="left" w:pos="411"/>
              </w:tabs>
              <w:ind w:left="0" w:firstLine="0"/>
              <w:jc w:val="both"/>
              <w:rPr>
                <w:rFonts w:cs="Arial"/>
                <w:szCs w:val="22"/>
              </w:rPr>
            </w:pPr>
            <w:r w:rsidRPr="0019790A">
              <w:rPr>
                <w:rFonts w:cs="Arial"/>
                <w:szCs w:val="22"/>
              </w:rPr>
              <w:t>Проведення інформаційної кампанії, залучення волонтерів.</w:t>
            </w:r>
          </w:p>
          <w:p w14:paraId="17D3E57D" w14:textId="77777777" w:rsidR="005342D5" w:rsidRPr="0019790A" w:rsidRDefault="005342D5" w:rsidP="00CD7662">
            <w:pPr>
              <w:numPr>
                <w:ilvl w:val="0"/>
                <w:numId w:val="81"/>
              </w:numPr>
              <w:tabs>
                <w:tab w:val="left" w:pos="171"/>
                <w:tab w:val="left" w:pos="411"/>
              </w:tabs>
              <w:ind w:left="0" w:firstLine="0"/>
              <w:jc w:val="both"/>
              <w:rPr>
                <w:rFonts w:cs="Arial"/>
                <w:szCs w:val="22"/>
              </w:rPr>
            </w:pPr>
            <w:r w:rsidRPr="0019790A">
              <w:rPr>
                <w:rFonts w:cs="Arial"/>
                <w:szCs w:val="22"/>
              </w:rPr>
              <w:t>Регулярне оновлення та обслуговування інвентарю.</w:t>
            </w:r>
          </w:p>
          <w:p w14:paraId="3717A821" w14:textId="77777777" w:rsidR="005342D5" w:rsidRPr="0019790A" w:rsidRDefault="005342D5" w:rsidP="00CD7662">
            <w:pPr>
              <w:numPr>
                <w:ilvl w:val="0"/>
                <w:numId w:val="81"/>
              </w:numPr>
              <w:tabs>
                <w:tab w:val="left" w:pos="171"/>
                <w:tab w:val="left" w:pos="411"/>
              </w:tabs>
              <w:ind w:left="0" w:firstLine="0"/>
              <w:jc w:val="both"/>
              <w:rPr>
                <w:rFonts w:cs="Arial"/>
                <w:szCs w:val="22"/>
              </w:rPr>
            </w:pPr>
            <w:r w:rsidRPr="0019790A">
              <w:rPr>
                <w:rFonts w:cs="Arial"/>
                <w:szCs w:val="22"/>
              </w:rPr>
              <w:t>Проведення тематичних ігор, змагань, майстер-класів.</w:t>
            </w:r>
          </w:p>
        </w:tc>
      </w:tr>
      <w:tr w:rsidR="005342D5" w:rsidRPr="0019790A" w14:paraId="58090ACF" w14:textId="77777777" w:rsidTr="00CD7662">
        <w:trPr>
          <w:jc w:val="right"/>
        </w:trPr>
        <w:tc>
          <w:tcPr>
            <w:tcW w:w="3425" w:type="dxa"/>
            <w:shd w:val="clear" w:color="auto" w:fill="FFFFFF"/>
            <w:vAlign w:val="center"/>
          </w:tcPr>
          <w:p w14:paraId="240A2D14" w14:textId="77777777" w:rsidR="005342D5" w:rsidRPr="0019790A" w:rsidRDefault="005342D5" w:rsidP="0019790A">
            <w:pPr>
              <w:rPr>
                <w:rFonts w:cs="Arial"/>
                <w:b/>
                <w:bCs/>
                <w:szCs w:val="22"/>
              </w:rPr>
            </w:pPr>
            <w:r w:rsidRPr="0019790A">
              <w:rPr>
                <w:rFonts w:cs="Arial"/>
                <w:b/>
                <w:bCs/>
                <w:szCs w:val="22"/>
              </w:rPr>
              <w:t>Індикатори (показники) результативності:</w:t>
            </w:r>
          </w:p>
        </w:tc>
        <w:tc>
          <w:tcPr>
            <w:tcW w:w="6794" w:type="dxa"/>
            <w:gridSpan w:val="9"/>
            <w:vAlign w:val="center"/>
          </w:tcPr>
          <w:p w14:paraId="35702957" w14:textId="77777777" w:rsidR="005342D5" w:rsidRPr="0019790A" w:rsidRDefault="005342D5" w:rsidP="00CD7662">
            <w:pPr>
              <w:numPr>
                <w:ilvl w:val="0"/>
                <w:numId w:val="82"/>
              </w:numPr>
              <w:tabs>
                <w:tab w:val="clear" w:pos="720"/>
                <w:tab w:val="left" w:pos="171"/>
                <w:tab w:val="left" w:pos="411"/>
              </w:tabs>
              <w:ind w:left="0" w:firstLine="0"/>
              <w:jc w:val="both"/>
              <w:rPr>
                <w:rFonts w:cs="Arial"/>
                <w:szCs w:val="22"/>
              </w:rPr>
            </w:pPr>
            <w:r w:rsidRPr="0019790A">
              <w:rPr>
                <w:rFonts w:cs="Arial"/>
                <w:szCs w:val="22"/>
              </w:rPr>
              <w:t>Запущено повноцінний пункт прокату інвентарю.</w:t>
            </w:r>
          </w:p>
          <w:p w14:paraId="2AEEB69D" w14:textId="77777777" w:rsidR="005342D5" w:rsidRPr="0019790A" w:rsidRDefault="005342D5" w:rsidP="00CD7662">
            <w:pPr>
              <w:numPr>
                <w:ilvl w:val="0"/>
                <w:numId w:val="82"/>
              </w:numPr>
              <w:tabs>
                <w:tab w:val="clear" w:pos="720"/>
                <w:tab w:val="left" w:pos="171"/>
                <w:tab w:val="left" w:pos="411"/>
              </w:tabs>
              <w:ind w:left="0" w:firstLine="0"/>
              <w:jc w:val="both"/>
              <w:rPr>
                <w:rFonts w:cs="Arial"/>
                <w:szCs w:val="22"/>
              </w:rPr>
            </w:pPr>
            <w:r w:rsidRPr="0019790A">
              <w:rPr>
                <w:rFonts w:cs="Arial"/>
                <w:szCs w:val="22"/>
              </w:rPr>
              <w:t xml:space="preserve">Наявність </w:t>
            </w:r>
            <w:r w:rsidRPr="0019790A">
              <w:rPr>
                <w:rFonts w:cs="Arial"/>
                <w:bCs/>
                <w:szCs w:val="22"/>
              </w:rPr>
              <w:t>не менше 100 одиниць спорядження</w:t>
            </w:r>
            <w:r w:rsidRPr="0019790A">
              <w:rPr>
                <w:rFonts w:cs="Arial"/>
                <w:szCs w:val="22"/>
              </w:rPr>
              <w:t>.</w:t>
            </w:r>
          </w:p>
          <w:p w14:paraId="22E06DDE" w14:textId="77777777" w:rsidR="005342D5" w:rsidRPr="0019790A" w:rsidRDefault="005342D5" w:rsidP="00CD7662">
            <w:pPr>
              <w:numPr>
                <w:ilvl w:val="0"/>
                <w:numId w:val="82"/>
              </w:numPr>
              <w:tabs>
                <w:tab w:val="clear" w:pos="720"/>
                <w:tab w:val="left" w:pos="171"/>
                <w:tab w:val="left" w:pos="411"/>
              </w:tabs>
              <w:ind w:left="0" w:firstLine="0"/>
              <w:jc w:val="both"/>
              <w:rPr>
                <w:rFonts w:cs="Arial"/>
                <w:szCs w:val="22"/>
              </w:rPr>
            </w:pPr>
            <w:r w:rsidRPr="0019790A">
              <w:rPr>
                <w:rFonts w:cs="Arial"/>
                <w:bCs/>
                <w:szCs w:val="22"/>
              </w:rPr>
              <w:t>Щомісячне користування — від 500 осіб</w:t>
            </w:r>
            <w:r w:rsidRPr="0019790A">
              <w:rPr>
                <w:rFonts w:cs="Arial"/>
                <w:szCs w:val="22"/>
              </w:rPr>
              <w:t>.</w:t>
            </w:r>
          </w:p>
          <w:p w14:paraId="16E3A668" w14:textId="77777777" w:rsidR="005342D5" w:rsidRPr="0019790A" w:rsidRDefault="005342D5" w:rsidP="00CD7662">
            <w:pPr>
              <w:numPr>
                <w:ilvl w:val="0"/>
                <w:numId w:val="82"/>
              </w:numPr>
              <w:tabs>
                <w:tab w:val="clear" w:pos="720"/>
                <w:tab w:val="left" w:pos="171"/>
                <w:tab w:val="left" w:pos="411"/>
              </w:tabs>
              <w:ind w:left="0" w:firstLine="0"/>
              <w:jc w:val="both"/>
              <w:rPr>
                <w:rFonts w:cs="Arial"/>
                <w:szCs w:val="22"/>
              </w:rPr>
            </w:pPr>
            <w:r w:rsidRPr="0019790A">
              <w:rPr>
                <w:rFonts w:cs="Arial"/>
                <w:szCs w:val="22"/>
              </w:rPr>
              <w:t xml:space="preserve">Проведено </w:t>
            </w:r>
            <w:r w:rsidRPr="0019790A">
              <w:rPr>
                <w:rFonts w:cs="Arial"/>
                <w:bCs/>
                <w:szCs w:val="22"/>
              </w:rPr>
              <w:t>не менше 10 спортивних заходів на рік</w:t>
            </w:r>
            <w:r w:rsidRPr="0019790A">
              <w:rPr>
                <w:rFonts w:cs="Arial"/>
                <w:szCs w:val="22"/>
              </w:rPr>
              <w:t xml:space="preserve"> за участю інвентарю з прокату.</w:t>
            </w:r>
          </w:p>
          <w:p w14:paraId="3673A592" w14:textId="77777777" w:rsidR="005342D5" w:rsidRPr="0019790A" w:rsidRDefault="005342D5" w:rsidP="00CD7662">
            <w:pPr>
              <w:numPr>
                <w:ilvl w:val="0"/>
                <w:numId w:val="82"/>
              </w:numPr>
              <w:tabs>
                <w:tab w:val="clear" w:pos="720"/>
                <w:tab w:val="left" w:pos="171"/>
                <w:tab w:val="left" w:pos="411"/>
              </w:tabs>
              <w:ind w:left="0" w:firstLine="0"/>
              <w:jc w:val="both"/>
              <w:rPr>
                <w:rFonts w:cs="Arial"/>
                <w:szCs w:val="22"/>
              </w:rPr>
            </w:pPr>
            <w:r w:rsidRPr="0019790A">
              <w:rPr>
                <w:rFonts w:cs="Arial"/>
                <w:bCs/>
                <w:szCs w:val="22"/>
              </w:rPr>
              <w:t>Залучено волонтерів або громаду</w:t>
            </w:r>
            <w:r w:rsidRPr="0019790A">
              <w:rPr>
                <w:rFonts w:cs="Arial"/>
                <w:szCs w:val="22"/>
              </w:rPr>
              <w:t xml:space="preserve"> до управління об'єктом.</w:t>
            </w:r>
          </w:p>
          <w:p w14:paraId="0DA397F3" w14:textId="77777777" w:rsidR="005342D5" w:rsidRPr="0019790A" w:rsidRDefault="005342D5" w:rsidP="00CD7662">
            <w:pPr>
              <w:numPr>
                <w:ilvl w:val="0"/>
                <w:numId w:val="82"/>
              </w:numPr>
              <w:tabs>
                <w:tab w:val="clear" w:pos="720"/>
                <w:tab w:val="left" w:pos="171"/>
                <w:tab w:val="left" w:pos="411"/>
              </w:tabs>
              <w:ind w:left="0" w:firstLine="0"/>
              <w:jc w:val="both"/>
              <w:rPr>
                <w:rFonts w:cs="Arial"/>
                <w:szCs w:val="22"/>
              </w:rPr>
            </w:pPr>
            <w:r w:rsidRPr="0019790A">
              <w:rPr>
                <w:rFonts w:cs="Arial"/>
                <w:szCs w:val="22"/>
              </w:rPr>
              <w:t>Підвищення рівня активного дозвілля серед дітей та молоді</w:t>
            </w:r>
          </w:p>
        </w:tc>
      </w:tr>
      <w:tr w:rsidR="005342D5" w:rsidRPr="0019790A" w14:paraId="3E9B6063" w14:textId="77777777" w:rsidTr="00CF3AAE">
        <w:trPr>
          <w:jc w:val="right"/>
        </w:trPr>
        <w:tc>
          <w:tcPr>
            <w:tcW w:w="3425" w:type="dxa"/>
            <w:shd w:val="clear" w:color="auto" w:fill="FFFFFF"/>
            <w:vAlign w:val="center"/>
          </w:tcPr>
          <w:p w14:paraId="6DF0969D" w14:textId="77777777" w:rsidR="005342D5" w:rsidRPr="0019790A" w:rsidRDefault="005342D5" w:rsidP="0019790A">
            <w:pPr>
              <w:rPr>
                <w:rFonts w:cs="Arial"/>
                <w:b/>
                <w:szCs w:val="22"/>
              </w:rPr>
            </w:pPr>
            <w:r w:rsidRPr="0019790A">
              <w:rPr>
                <w:rFonts w:cs="Arial"/>
                <w:b/>
                <w:szCs w:val="22"/>
              </w:rPr>
              <w:t xml:space="preserve">Період здійснення: </w:t>
            </w:r>
          </w:p>
        </w:tc>
        <w:tc>
          <w:tcPr>
            <w:tcW w:w="6794" w:type="dxa"/>
            <w:gridSpan w:val="9"/>
            <w:vAlign w:val="center"/>
          </w:tcPr>
          <w:p w14:paraId="41CF090F" w14:textId="77777777" w:rsidR="005342D5" w:rsidRPr="0019790A" w:rsidRDefault="005342D5" w:rsidP="0019790A">
            <w:pPr>
              <w:rPr>
                <w:rFonts w:cs="Arial"/>
                <w:szCs w:val="22"/>
              </w:rPr>
            </w:pPr>
            <w:r w:rsidRPr="0019790A">
              <w:rPr>
                <w:rFonts w:cs="Arial"/>
                <w:b/>
                <w:szCs w:val="22"/>
              </w:rPr>
              <w:t>2025 – 2028 роки:</w:t>
            </w:r>
          </w:p>
        </w:tc>
      </w:tr>
      <w:tr w:rsidR="005342D5" w:rsidRPr="0019790A" w14:paraId="11C51338" w14:textId="77777777" w:rsidTr="00CD7662">
        <w:trPr>
          <w:jc w:val="right"/>
        </w:trPr>
        <w:tc>
          <w:tcPr>
            <w:tcW w:w="3425" w:type="dxa"/>
            <w:vMerge w:val="restart"/>
            <w:shd w:val="clear" w:color="auto" w:fill="FFFFFF"/>
            <w:vAlign w:val="center"/>
          </w:tcPr>
          <w:p w14:paraId="69CD8AEE" w14:textId="77777777" w:rsidR="005342D5" w:rsidRPr="0019790A" w:rsidRDefault="005342D5" w:rsidP="0019790A">
            <w:pPr>
              <w:rPr>
                <w:rFonts w:cs="Arial"/>
                <w:b/>
                <w:bCs/>
                <w:szCs w:val="22"/>
              </w:rPr>
            </w:pPr>
            <w:r w:rsidRPr="0019790A">
              <w:rPr>
                <w:rFonts w:cs="Arial"/>
                <w:b/>
                <w:bCs/>
                <w:szCs w:val="22"/>
              </w:rPr>
              <w:t>Орієнтовна вартість проєкту, тис. грн., в тому числі:</w:t>
            </w:r>
          </w:p>
        </w:tc>
        <w:tc>
          <w:tcPr>
            <w:tcW w:w="1254" w:type="dxa"/>
            <w:gridSpan w:val="2"/>
            <w:shd w:val="clear" w:color="auto" w:fill="E6E6E6"/>
            <w:vAlign w:val="center"/>
          </w:tcPr>
          <w:p w14:paraId="0D57CBEB" w14:textId="77777777" w:rsidR="005342D5" w:rsidRPr="0019790A" w:rsidRDefault="005342D5" w:rsidP="00CD7662">
            <w:pPr>
              <w:jc w:val="center"/>
              <w:rPr>
                <w:rFonts w:cs="Arial"/>
                <w:b/>
                <w:szCs w:val="22"/>
              </w:rPr>
            </w:pPr>
            <w:r w:rsidRPr="0019790A">
              <w:rPr>
                <w:rFonts w:cs="Arial"/>
                <w:b/>
                <w:szCs w:val="22"/>
              </w:rPr>
              <w:t>2025</w:t>
            </w:r>
          </w:p>
        </w:tc>
        <w:tc>
          <w:tcPr>
            <w:tcW w:w="1275" w:type="dxa"/>
            <w:shd w:val="clear" w:color="auto" w:fill="E6E6E6"/>
            <w:vAlign w:val="center"/>
          </w:tcPr>
          <w:p w14:paraId="7C36A8B8" w14:textId="77777777" w:rsidR="005342D5" w:rsidRPr="0019790A" w:rsidRDefault="005342D5" w:rsidP="00CD7662">
            <w:pPr>
              <w:jc w:val="center"/>
              <w:rPr>
                <w:rFonts w:cs="Arial"/>
                <w:b/>
                <w:szCs w:val="22"/>
              </w:rPr>
            </w:pPr>
            <w:r w:rsidRPr="0019790A">
              <w:rPr>
                <w:rFonts w:cs="Arial"/>
                <w:b/>
                <w:szCs w:val="22"/>
              </w:rPr>
              <w:t>2026</w:t>
            </w:r>
          </w:p>
        </w:tc>
        <w:tc>
          <w:tcPr>
            <w:tcW w:w="1418" w:type="dxa"/>
            <w:gridSpan w:val="2"/>
            <w:tcBorders>
              <w:bottom w:val="single" w:sz="4" w:space="0" w:color="auto"/>
            </w:tcBorders>
            <w:shd w:val="clear" w:color="auto" w:fill="E6E6E6"/>
            <w:vAlign w:val="center"/>
          </w:tcPr>
          <w:p w14:paraId="57F39D71" w14:textId="77777777" w:rsidR="005342D5" w:rsidRPr="0019790A" w:rsidRDefault="005342D5" w:rsidP="00CD7662">
            <w:pPr>
              <w:jc w:val="center"/>
              <w:rPr>
                <w:rFonts w:cs="Arial"/>
                <w:b/>
                <w:szCs w:val="22"/>
              </w:rPr>
            </w:pPr>
            <w:r w:rsidRPr="0019790A">
              <w:rPr>
                <w:rFonts w:cs="Arial"/>
                <w:b/>
                <w:szCs w:val="22"/>
              </w:rPr>
              <w:t>2027</w:t>
            </w:r>
          </w:p>
        </w:tc>
        <w:tc>
          <w:tcPr>
            <w:tcW w:w="1276" w:type="dxa"/>
            <w:gridSpan w:val="2"/>
            <w:shd w:val="clear" w:color="auto" w:fill="E6E6E6"/>
            <w:vAlign w:val="center"/>
          </w:tcPr>
          <w:p w14:paraId="37EBE8F8" w14:textId="77777777" w:rsidR="005342D5" w:rsidRPr="0019790A" w:rsidRDefault="005342D5" w:rsidP="00CD7662">
            <w:pPr>
              <w:jc w:val="center"/>
              <w:rPr>
                <w:rFonts w:cs="Arial"/>
                <w:b/>
                <w:szCs w:val="22"/>
              </w:rPr>
            </w:pPr>
            <w:r w:rsidRPr="0019790A">
              <w:rPr>
                <w:rFonts w:cs="Arial"/>
                <w:b/>
                <w:szCs w:val="22"/>
              </w:rPr>
              <w:t>2028</w:t>
            </w:r>
          </w:p>
        </w:tc>
        <w:tc>
          <w:tcPr>
            <w:tcW w:w="1571" w:type="dxa"/>
            <w:gridSpan w:val="2"/>
            <w:shd w:val="clear" w:color="auto" w:fill="E6E6E6"/>
            <w:vAlign w:val="center"/>
          </w:tcPr>
          <w:p w14:paraId="705541AA" w14:textId="77777777" w:rsidR="005342D5" w:rsidRPr="0019790A" w:rsidRDefault="005342D5" w:rsidP="00CD7662">
            <w:pPr>
              <w:jc w:val="center"/>
              <w:rPr>
                <w:rFonts w:cs="Arial"/>
                <w:b/>
                <w:szCs w:val="22"/>
              </w:rPr>
            </w:pPr>
            <w:r w:rsidRPr="0019790A">
              <w:rPr>
                <w:rFonts w:cs="Arial"/>
                <w:b/>
                <w:szCs w:val="22"/>
              </w:rPr>
              <w:t>РАЗОМ</w:t>
            </w:r>
          </w:p>
        </w:tc>
      </w:tr>
      <w:tr w:rsidR="005342D5" w:rsidRPr="0019790A" w14:paraId="5435F396" w14:textId="77777777" w:rsidTr="00CD7662">
        <w:trPr>
          <w:jc w:val="right"/>
        </w:trPr>
        <w:tc>
          <w:tcPr>
            <w:tcW w:w="3425" w:type="dxa"/>
            <w:vMerge/>
            <w:shd w:val="clear" w:color="auto" w:fill="FFFFFF"/>
            <w:vAlign w:val="center"/>
          </w:tcPr>
          <w:p w14:paraId="507EF394" w14:textId="77777777" w:rsidR="005342D5" w:rsidRPr="0019790A" w:rsidRDefault="005342D5" w:rsidP="0019790A">
            <w:pPr>
              <w:rPr>
                <w:rFonts w:cs="Arial"/>
                <w:b/>
                <w:bCs/>
                <w:szCs w:val="22"/>
              </w:rPr>
            </w:pPr>
          </w:p>
        </w:tc>
        <w:tc>
          <w:tcPr>
            <w:tcW w:w="1254" w:type="dxa"/>
            <w:gridSpan w:val="2"/>
            <w:vAlign w:val="center"/>
          </w:tcPr>
          <w:p w14:paraId="3153635C" w14:textId="77777777" w:rsidR="005342D5" w:rsidRPr="0019790A" w:rsidRDefault="005342D5" w:rsidP="00CD7662">
            <w:pPr>
              <w:jc w:val="center"/>
              <w:rPr>
                <w:rFonts w:cs="Arial"/>
                <w:b/>
                <w:szCs w:val="22"/>
              </w:rPr>
            </w:pPr>
          </w:p>
        </w:tc>
        <w:tc>
          <w:tcPr>
            <w:tcW w:w="1275" w:type="dxa"/>
            <w:shd w:val="clear" w:color="auto" w:fill="FFFFFF"/>
            <w:vAlign w:val="center"/>
          </w:tcPr>
          <w:p w14:paraId="67179E28" w14:textId="77777777" w:rsidR="005342D5" w:rsidRPr="0019790A" w:rsidRDefault="005342D5" w:rsidP="00CD7662">
            <w:pPr>
              <w:jc w:val="center"/>
              <w:rPr>
                <w:rFonts w:cs="Arial"/>
                <w:b/>
                <w:szCs w:val="22"/>
              </w:rPr>
            </w:pPr>
          </w:p>
        </w:tc>
        <w:tc>
          <w:tcPr>
            <w:tcW w:w="1418" w:type="dxa"/>
            <w:gridSpan w:val="2"/>
            <w:shd w:val="clear" w:color="auto" w:fill="auto"/>
            <w:vAlign w:val="center"/>
          </w:tcPr>
          <w:p w14:paraId="101B474A" w14:textId="77777777" w:rsidR="005342D5" w:rsidRPr="0019790A" w:rsidRDefault="005342D5" w:rsidP="00CD7662">
            <w:pPr>
              <w:jc w:val="center"/>
              <w:rPr>
                <w:rFonts w:cs="Arial"/>
                <w:b/>
                <w:szCs w:val="22"/>
              </w:rPr>
            </w:pPr>
          </w:p>
        </w:tc>
        <w:tc>
          <w:tcPr>
            <w:tcW w:w="1276" w:type="dxa"/>
            <w:gridSpan w:val="2"/>
            <w:shd w:val="clear" w:color="auto" w:fill="FFFFFF"/>
            <w:vAlign w:val="center"/>
          </w:tcPr>
          <w:p w14:paraId="018AA4CC" w14:textId="77777777" w:rsidR="005342D5" w:rsidRPr="0019790A" w:rsidRDefault="005342D5" w:rsidP="00CD7662">
            <w:pPr>
              <w:jc w:val="center"/>
              <w:rPr>
                <w:rFonts w:cs="Arial"/>
                <w:b/>
                <w:szCs w:val="22"/>
              </w:rPr>
            </w:pPr>
            <w:r w:rsidRPr="0019790A">
              <w:rPr>
                <w:rFonts w:cs="Arial"/>
                <w:b/>
                <w:szCs w:val="22"/>
              </w:rPr>
              <w:t>350,0</w:t>
            </w:r>
          </w:p>
        </w:tc>
        <w:tc>
          <w:tcPr>
            <w:tcW w:w="1571" w:type="dxa"/>
            <w:gridSpan w:val="2"/>
            <w:shd w:val="clear" w:color="auto" w:fill="FFFFFF"/>
            <w:vAlign w:val="center"/>
          </w:tcPr>
          <w:p w14:paraId="3EE0E174" w14:textId="77777777" w:rsidR="005342D5" w:rsidRPr="0019790A" w:rsidRDefault="005342D5" w:rsidP="00CD7662">
            <w:pPr>
              <w:jc w:val="center"/>
              <w:rPr>
                <w:rFonts w:cs="Arial"/>
                <w:b/>
                <w:szCs w:val="22"/>
              </w:rPr>
            </w:pPr>
            <w:r w:rsidRPr="0019790A">
              <w:rPr>
                <w:rFonts w:cs="Arial"/>
                <w:b/>
                <w:szCs w:val="22"/>
              </w:rPr>
              <w:t>350,0</w:t>
            </w:r>
          </w:p>
        </w:tc>
      </w:tr>
      <w:tr w:rsidR="005342D5" w:rsidRPr="0019790A" w14:paraId="1B3EEB2D" w14:textId="77777777" w:rsidTr="00CD7662">
        <w:trPr>
          <w:trHeight w:val="276"/>
          <w:jc w:val="right"/>
        </w:trPr>
        <w:tc>
          <w:tcPr>
            <w:tcW w:w="3425" w:type="dxa"/>
            <w:shd w:val="clear" w:color="auto" w:fill="FFFFFF"/>
            <w:vAlign w:val="center"/>
          </w:tcPr>
          <w:p w14:paraId="34CE9BA2" w14:textId="77777777" w:rsidR="005342D5" w:rsidRPr="0019790A" w:rsidRDefault="005342D5" w:rsidP="0019790A">
            <w:pPr>
              <w:rPr>
                <w:rFonts w:cs="Arial"/>
                <w:b/>
                <w:bCs/>
                <w:szCs w:val="22"/>
              </w:rPr>
            </w:pPr>
            <w:r w:rsidRPr="0019790A">
              <w:rPr>
                <w:rFonts w:cs="Arial"/>
                <w:b/>
                <w:bCs/>
                <w:szCs w:val="22"/>
              </w:rPr>
              <w:t>по джерелах фінансування:</w:t>
            </w:r>
          </w:p>
        </w:tc>
        <w:tc>
          <w:tcPr>
            <w:tcW w:w="6794" w:type="dxa"/>
            <w:gridSpan w:val="9"/>
            <w:vAlign w:val="center"/>
          </w:tcPr>
          <w:p w14:paraId="75355D08" w14:textId="77777777" w:rsidR="005342D5" w:rsidRPr="0019790A" w:rsidRDefault="005342D5" w:rsidP="00CD7662">
            <w:pPr>
              <w:jc w:val="center"/>
              <w:rPr>
                <w:rFonts w:cs="Arial"/>
                <w:szCs w:val="22"/>
              </w:rPr>
            </w:pPr>
          </w:p>
        </w:tc>
      </w:tr>
      <w:tr w:rsidR="00CD7662" w:rsidRPr="0019790A" w14:paraId="3359A437" w14:textId="25024983" w:rsidTr="00CD7662">
        <w:trPr>
          <w:trHeight w:val="240"/>
          <w:jc w:val="right"/>
        </w:trPr>
        <w:tc>
          <w:tcPr>
            <w:tcW w:w="3425" w:type="dxa"/>
            <w:shd w:val="clear" w:color="auto" w:fill="FFFFFF"/>
            <w:vAlign w:val="center"/>
          </w:tcPr>
          <w:p w14:paraId="57D0ED25" w14:textId="77777777" w:rsidR="00CD7662" w:rsidRPr="0019790A" w:rsidRDefault="00CD7662" w:rsidP="0019790A">
            <w:pPr>
              <w:rPr>
                <w:rFonts w:cs="Arial"/>
                <w:b/>
                <w:bCs/>
                <w:szCs w:val="22"/>
              </w:rPr>
            </w:pPr>
            <w:r w:rsidRPr="0019790A">
              <w:rPr>
                <w:rFonts w:cs="Arial"/>
                <w:szCs w:val="22"/>
              </w:rPr>
              <w:t>- державний бюджет</w:t>
            </w:r>
          </w:p>
        </w:tc>
        <w:tc>
          <w:tcPr>
            <w:tcW w:w="1210" w:type="dxa"/>
            <w:vAlign w:val="center"/>
          </w:tcPr>
          <w:p w14:paraId="05268F71" w14:textId="77777777" w:rsidR="00CD7662" w:rsidRPr="0019790A" w:rsidRDefault="00CD7662" w:rsidP="00CD7662">
            <w:pPr>
              <w:jc w:val="center"/>
              <w:rPr>
                <w:rFonts w:cs="Arial"/>
                <w:szCs w:val="22"/>
              </w:rPr>
            </w:pPr>
          </w:p>
        </w:tc>
        <w:tc>
          <w:tcPr>
            <w:tcW w:w="1344" w:type="dxa"/>
            <w:gridSpan w:val="3"/>
            <w:vAlign w:val="center"/>
          </w:tcPr>
          <w:p w14:paraId="5506A676" w14:textId="77777777" w:rsidR="00CD7662" w:rsidRPr="0019790A" w:rsidRDefault="00CD7662" w:rsidP="00CD7662">
            <w:pPr>
              <w:jc w:val="center"/>
              <w:rPr>
                <w:rFonts w:cs="Arial"/>
                <w:szCs w:val="22"/>
              </w:rPr>
            </w:pPr>
          </w:p>
        </w:tc>
        <w:tc>
          <w:tcPr>
            <w:tcW w:w="1411" w:type="dxa"/>
            <w:gridSpan w:val="2"/>
            <w:vAlign w:val="center"/>
          </w:tcPr>
          <w:p w14:paraId="0B4C0C3A" w14:textId="77777777" w:rsidR="00CD7662" w:rsidRPr="0019790A" w:rsidRDefault="00CD7662" w:rsidP="00CD7662">
            <w:pPr>
              <w:jc w:val="center"/>
              <w:rPr>
                <w:rFonts w:cs="Arial"/>
                <w:szCs w:val="22"/>
              </w:rPr>
            </w:pPr>
          </w:p>
        </w:tc>
        <w:tc>
          <w:tcPr>
            <w:tcW w:w="1325" w:type="dxa"/>
            <w:gridSpan w:val="2"/>
            <w:vAlign w:val="center"/>
          </w:tcPr>
          <w:p w14:paraId="42BCF23E" w14:textId="77777777" w:rsidR="00CD7662" w:rsidRPr="0019790A" w:rsidRDefault="00CD7662" w:rsidP="00CD7662">
            <w:pPr>
              <w:jc w:val="center"/>
              <w:rPr>
                <w:rFonts w:cs="Arial"/>
                <w:szCs w:val="22"/>
              </w:rPr>
            </w:pPr>
          </w:p>
        </w:tc>
        <w:tc>
          <w:tcPr>
            <w:tcW w:w="1504" w:type="dxa"/>
            <w:vAlign w:val="center"/>
          </w:tcPr>
          <w:p w14:paraId="63CAF018" w14:textId="77777777" w:rsidR="00CD7662" w:rsidRPr="0019790A" w:rsidRDefault="00CD7662" w:rsidP="00CD7662">
            <w:pPr>
              <w:jc w:val="center"/>
              <w:rPr>
                <w:rFonts w:cs="Arial"/>
                <w:szCs w:val="22"/>
              </w:rPr>
            </w:pPr>
          </w:p>
        </w:tc>
      </w:tr>
      <w:tr w:rsidR="00CD7662" w:rsidRPr="0019790A" w14:paraId="6C7106FA" w14:textId="3DCE8565" w:rsidTr="00CD7662">
        <w:trPr>
          <w:trHeight w:val="254"/>
          <w:jc w:val="right"/>
        </w:trPr>
        <w:tc>
          <w:tcPr>
            <w:tcW w:w="3425" w:type="dxa"/>
            <w:shd w:val="clear" w:color="auto" w:fill="FFFFFF"/>
            <w:vAlign w:val="center"/>
          </w:tcPr>
          <w:p w14:paraId="10FD945F" w14:textId="77777777" w:rsidR="00CD7662" w:rsidRPr="0019790A" w:rsidRDefault="00CD7662" w:rsidP="0019790A">
            <w:pPr>
              <w:rPr>
                <w:rFonts w:cs="Arial"/>
                <w:szCs w:val="22"/>
              </w:rPr>
            </w:pPr>
            <w:r w:rsidRPr="0019790A">
              <w:rPr>
                <w:rFonts w:cs="Arial"/>
                <w:szCs w:val="22"/>
              </w:rPr>
              <w:t>- обласний бюджет</w:t>
            </w:r>
          </w:p>
        </w:tc>
        <w:tc>
          <w:tcPr>
            <w:tcW w:w="1210" w:type="dxa"/>
            <w:vAlign w:val="center"/>
          </w:tcPr>
          <w:p w14:paraId="6B31B170" w14:textId="77777777" w:rsidR="00CD7662" w:rsidRPr="0019790A" w:rsidRDefault="00CD7662" w:rsidP="00CD7662">
            <w:pPr>
              <w:jc w:val="center"/>
              <w:rPr>
                <w:rFonts w:cs="Arial"/>
                <w:szCs w:val="22"/>
              </w:rPr>
            </w:pPr>
          </w:p>
        </w:tc>
        <w:tc>
          <w:tcPr>
            <w:tcW w:w="1344" w:type="dxa"/>
            <w:gridSpan w:val="3"/>
            <w:vAlign w:val="center"/>
          </w:tcPr>
          <w:p w14:paraId="2B746FFD" w14:textId="77777777" w:rsidR="00CD7662" w:rsidRPr="0019790A" w:rsidRDefault="00CD7662" w:rsidP="00CD7662">
            <w:pPr>
              <w:jc w:val="center"/>
              <w:rPr>
                <w:rFonts w:cs="Arial"/>
                <w:szCs w:val="22"/>
              </w:rPr>
            </w:pPr>
          </w:p>
        </w:tc>
        <w:tc>
          <w:tcPr>
            <w:tcW w:w="1411" w:type="dxa"/>
            <w:gridSpan w:val="2"/>
            <w:vAlign w:val="center"/>
          </w:tcPr>
          <w:p w14:paraId="6C7BF0BF" w14:textId="77777777" w:rsidR="00CD7662" w:rsidRPr="0019790A" w:rsidRDefault="00CD7662" w:rsidP="00CD7662">
            <w:pPr>
              <w:jc w:val="center"/>
              <w:rPr>
                <w:rFonts w:cs="Arial"/>
                <w:szCs w:val="22"/>
              </w:rPr>
            </w:pPr>
          </w:p>
        </w:tc>
        <w:tc>
          <w:tcPr>
            <w:tcW w:w="1325" w:type="dxa"/>
            <w:gridSpan w:val="2"/>
            <w:vAlign w:val="center"/>
          </w:tcPr>
          <w:p w14:paraId="15708CB3" w14:textId="77777777" w:rsidR="00CD7662" w:rsidRPr="0019790A" w:rsidRDefault="00CD7662" w:rsidP="00CD7662">
            <w:pPr>
              <w:jc w:val="center"/>
              <w:rPr>
                <w:rFonts w:cs="Arial"/>
                <w:szCs w:val="22"/>
              </w:rPr>
            </w:pPr>
          </w:p>
        </w:tc>
        <w:tc>
          <w:tcPr>
            <w:tcW w:w="1504" w:type="dxa"/>
            <w:vAlign w:val="center"/>
          </w:tcPr>
          <w:p w14:paraId="36E03DB9" w14:textId="77777777" w:rsidR="00CD7662" w:rsidRPr="0019790A" w:rsidRDefault="00CD7662" w:rsidP="00CD7662">
            <w:pPr>
              <w:jc w:val="center"/>
              <w:rPr>
                <w:rFonts w:cs="Arial"/>
                <w:szCs w:val="22"/>
              </w:rPr>
            </w:pPr>
          </w:p>
        </w:tc>
      </w:tr>
      <w:tr w:rsidR="00CD7662" w:rsidRPr="0019790A" w14:paraId="78195092" w14:textId="303529CD" w:rsidTr="00CD7662">
        <w:trPr>
          <w:trHeight w:val="275"/>
          <w:jc w:val="right"/>
        </w:trPr>
        <w:tc>
          <w:tcPr>
            <w:tcW w:w="3425" w:type="dxa"/>
            <w:shd w:val="clear" w:color="auto" w:fill="FFFFFF"/>
            <w:vAlign w:val="center"/>
          </w:tcPr>
          <w:p w14:paraId="4725973C" w14:textId="77777777" w:rsidR="00CD7662" w:rsidRPr="0019790A" w:rsidRDefault="00CD7662" w:rsidP="0019790A">
            <w:pPr>
              <w:rPr>
                <w:rFonts w:cs="Arial"/>
                <w:szCs w:val="22"/>
              </w:rPr>
            </w:pPr>
            <w:r w:rsidRPr="0019790A">
              <w:rPr>
                <w:rFonts w:cs="Arial"/>
                <w:szCs w:val="22"/>
              </w:rPr>
              <w:t>- бюджет Жмеринської МТГ</w:t>
            </w:r>
          </w:p>
        </w:tc>
        <w:tc>
          <w:tcPr>
            <w:tcW w:w="1210" w:type="dxa"/>
            <w:vAlign w:val="center"/>
          </w:tcPr>
          <w:p w14:paraId="0827C0BA" w14:textId="686A04E4" w:rsidR="00CD7662" w:rsidRPr="0019790A" w:rsidRDefault="00CD7662" w:rsidP="00CD7662">
            <w:pPr>
              <w:jc w:val="center"/>
              <w:rPr>
                <w:rFonts w:cs="Arial"/>
                <w:b/>
                <w:szCs w:val="22"/>
              </w:rPr>
            </w:pPr>
          </w:p>
        </w:tc>
        <w:tc>
          <w:tcPr>
            <w:tcW w:w="1344" w:type="dxa"/>
            <w:gridSpan w:val="3"/>
            <w:vAlign w:val="center"/>
          </w:tcPr>
          <w:p w14:paraId="10AE2C3C" w14:textId="3605EF2B" w:rsidR="00CD7662" w:rsidRPr="0019790A" w:rsidRDefault="00CD7662" w:rsidP="00CD7662">
            <w:pPr>
              <w:jc w:val="center"/>
              <w:rPr>
                <w:rFonts w:cs="Arial"/>
                <w:b/>
                <w:szCs w:val="22"/>
              </w:rPr>
            </w:pPr>
          </w:p>
        </w:tc>
        <w:tc>
          <w:tcPr>
            <w:tcW w:w="1411" w:type="dxa"/>
            <w:gridSpan w:val="2"/>
            <w:vAlign w:val="center"/>
          </w:tcPr>
          <w:p w14:paraId="13791495" w14:textId="1D3A994B" w:rsidR="00CD7662" w:rsidRPr="0019790A" w:rsidRDefault="00CD7662" w:rsidP="00CD7662">
            <w:pPr>
              <w:jc w:val="center"/>
              <w:rPr>
                <w:rFonts w:cs="Arial"/>
                <w:b/>
                <w:szCs w:val="22"/>
              </w:rPr>
            </w:pPr>
          </w:p>
        </w:tc>
        <w:tc>
          <w:tcPr>
            <w:tcW w:w="1325" w:type="dxa"/>
            <w:gridSpan w:val="2"/>
            <w:vAlign w:val="center"/>
          </w:tcPr>
          <w:p w14:paraId="5A5E9792" w14:textId="18F7E9C8" w:rsidR="00CD7662" w:rsidRPr="0019790A" w:rsidRDefault="00CD7662" w:rsidP="00CD7662">
            <w:pPr>
              <w:ind w:left="45"/>
              <w:jc w:val="center"/>
              <w:rPr>
                <w:rFonts w:cs="Arial"/>
                <w:b/>
                <w:szCs w:val="22"/>
              </w:rPr>
            </w:pPr>
            <w:r w:rsidRPr="0019790A">
              <w:rPr>
                <w:rFonts w:cs="Arial"/>
                <w:b/>
                <w:szCs w:val="22"/>
              </w:rPr>
              <w:t>350,0</w:t>
            </w:r>
          </w:p>
        </w:tc>
        <w:tc>
          <w:tcPr>
            <w:tcW w:w="1504" w:type="dxa"/>
            <w:vAlign w:val="center"/>
          </w:tcPr>
          <w:p w14:paraId="0291737F" w14:textId="638C5078" w:rsidR="00CD7662" w:rsidRPr="0019790A" w:rsidRDefault="00CD7662" w:rsidP="00CD7662">
            <w:pPr>
              <w:ind w:left="110"/>
              <w:jc w:val="center"/>
              <w:rPr>
                <w:rFonts w:cs="Arial"/>
                <w:b/>
                <w:szCs w:val="22"/>
              </w:rPr>
            </w:pPr>
            <w:r w:rsidRPr="0019790A">
              <w:rPr>
                <w:rFonts w:cs="Arial"/>
                <w:b/>
                <w:szCs w:val="22"/>
              </w:rPr>
              <w:t>350,0</w:t>
            </w:r>
          </w:p>
        </w:tc>
      </w:tr>
      <w:tr w:rsidR="00CD7662" w:rsidRPr="0019790A" w14:paraId="0D9DC418" w14:textId="3FFAF44C" w:rsidTr="00CD7662">
        <w:trPr>
          <w:trHeight w:val="226"/>
          <w:jc w:val="right"/>
        </w:trPr>
        <w:tc>
          <w:tcPr>
            <w:tcW w:w="3425" w:type="dxa"/>
            <w:shd w:val="clear" w:color="auto" w:fill="FFFFFF"/>
            <w:vAlign w:val="center"/>
          </w:tcPr>
          <w:p w14:paraId="7E34E94C" w14:textId="77777777" w:rsidR="00CD7662" w:rsidRPr="0019790A" w:rsidRDefault="00CD7662" w:rsidP="0019790A">
            <w:pPr>
              <w:rPr>
                <w:rFonts w:cs="Arial"/>
                <w:szCs w:val="22"/>
              </w:rPr>
            </w:pPr>
            <w:r w:rsidRPr="0019790A">
              <w:rPr>
                <w:rFonts w:cs="Arial"/>
                <w:szCs w:val="22"/>
              </w:rPr>
              <w:t>- інші джерела фінансування</w:t>
            </w:r>
          </w:p>
        </w:tc>
        <w:tc>
          <w:tcPr>
            <w:tcW w:w="1210" w:type="dxa"/>
            <w:vAlign w:val="center"/>
          </w:tcPr>
          <w:p w14:paraId="4EE6F6FA" w14:textId="77777777" w:rsidR="00CD7662" w:rsidRPr="0019790A" w:rsidRDefault="00CD7662" w:rsidP="00CD7662">
            <w:pPr>
              <w:jc w:val="center"/>
              <w:rPr>
                <w:rFonts w:cs="Arial"/>
                <w:szCs w:val="22"/>
              </w:rPr>
            </w:pPr>
          </w:p>
        </w:tc>
        <w:tc>
          <w:tcPr>
            <w:tcW w:w="1344" w:type="dxa"/>
            <w:gridSpan w:val="3"/>
            <w:vAlign w:val="center"/>
          </w:tcPr>
          <w:p w14:paraId="01EBE839" w14:textId="77777777" w:rsidR="00CD7662" w:rsidRPr="0019790A" w:rsidRDefault="00CD7662" w:rsidP="00CD7662">
            <w:pPr>
              <w:jc w:val="center"/>
              <w:rPr>
                <w:rFonts w:cs="Arial"/>
                <w:szCs w:val="22"/>
              </w:rPr>
            </w:pPr>
          </w:p>
        </w:tc>
        <w:tc>
          <w:tcPr>
            <w:tcW w:w="1411" w:type="dxa"/>
            <w:gridSpan w:val="2"/>
            <w:vAlign w:val="center"/>
          </w:tcPr>
          <w:p w14:paraId="1EDC6AE6" w14:textId="77777777" w:rsidR="00CD7662" w:rsidRPr="0019790A" w:rsidRDefault="00CD7662" w:rsidP="00CD7662">
            <w:pPr>
              <w:jc w:val="center"/>
              <w:rPr>
                <w:rFonts w:cs="Arial"/>
                <w:szCs w:val="22"/>
              </w:rPr>
            </w:pPr>
          </w:p>
        </w:tc>
        <w:tc>
          <w:tcPr>
            <w:tcW w:w="1325" w:type="dxa"/>
            <w:gridSpan w:val="2"/>
            <w:vAlign w:val="center"/>
          </w:tcPr>
          <w:p w14:paraId="7DA6CA12" w14:textId="77777777" w:rsidR="00CD7662" w:rsidRPr="0019790A" w:rsidRDefault="00CD7662" w:rsidP="00CD7662">
            <w:pPr>
              <w:jc w:val="center"/>
              <w:rPr>
                <w:rFonts w:cs="Arial"/>
                <w:szCs w:val="22"/>
              </w:rPr>
            </w:pPr>
          </w:p>
        </w:tc>
        <w:tc>
          <w:tcPr>
            <w:tcW w:w="1504" w:type="dxa"/>
            <w:vAlign w:val="center"/>
          </w:tcPr>
          <w:p w14:paraId="197ADFCD" w14:textId="77777777" w:rsidR="00CD7662" w:rsidRPr="0019790A" w:rsidRDefault="00CD7662" w:rsidP="00CD7662">
            <w:pPr>
              <w:jc w:val="center"/>
              <w:rPr>
                <w:rFonts w:cs="Arial"/>
                <w:szCs w:val="22"/>
              </w:rPr>
            </w:pPr>
          </w:p>
        </w:tc>
      </w:tr>
      <w:tr w:rsidR="005342D5" w:rsidRPr="0019790A" w14:paraId="18A96114" w14:textId="77777777" w:rsidTr="00CF3AAE">
        <w:trPr>
          <w:jc w:val="right"/>
        </w:trPr>
        <w:tc>
          <w:tcPr>
            <w:tcW w:w="3425" w:type="dxa"/>
            <w:shd w:val="clear" w:color="auto" w:fill="FFFFFF"/>
            <w:vAlign w:val="center"/>
          </w:tcPr>
          <w:p w14:paraId="78787613" w14:textId="77777777" w:rsidR="005342D5" w:rsidRPr="0019790A" w:rsidRDefault="005342D5" w:rsidP="0019790A">
            <w:pPr>
              <w:rPr>
                <w:rFonts w:cs="Arial"/>
                <w:b/>
                <w:bCs/>
                <w:szCs w:val="22"/>
              </w:rPr>
            </w:pPr>
            <w:r w:rsidRPr="0019790A">
              <w:rPr>
                <w:rFonts w:cs="Arial"/>
                <w:b/>
                <w:szCs w:val="22"/>
              </w:rPr>
              <w:t>Відповідальний виконавець проєкту:</w:t>
            </w:r>
          </w:p>
        </w:tc>
        <w:tc>
          <w:tcPr>
            <w:tcW w:w="6794" w:type="dxa"/>
            <w:gridSpan w:val="9"/>
            <w:vAlign w:val="center"/>
          </w:tcPr>
          <w:p w14:paraId="5B4246F7" w14:textId="2149FA6A" w:rsidR="005342D5" w:rsidRPr="0019790A" w:rsidRDefault="005342D5" w:rsidP="00CD7662">
            <w:pPr>
              <w:rPr>
                <w:rFonts w:cs="Arial"/>
                <w:szCs w:val="22"/>
              </w:rPr>
            </w:pPr>
            <w:r w:rsidRPr="0019790A">
              <w:rPr>
                <w:rFonts w:cs="Arial"/>
                <w:szCs w:val="22"/>
              </w:rPr>
              <w:t>КЗ «ЖДЮСШ», Відділ молоді та спорту Жмеринської міської ради</w:t>
            </w:r>
          </w:p>
        </w:tc>
      </w:tr>
      <w:tr w:rsidR="005342D5" w:rsidRPr="0019790A" w14:paraId="6869AFA5" w14:textId="77777777" w:rsidTr="00CF3AAE">
        <w:trPr>
          <w:jc w:val="right"/>
        </w:trPr>
        <w:tc>
          <w:tcPr>
            <w:tcW w:w="3425" w:type="dxa"/>
            <w:shd w:val="clear" w:color="auto" w:fill="FFFFFF"/>
            <w:vAlign w:val="center"/>
          </w:tcPr>
          <w:p w14:paraId="34FDEC98" w14:textId="77777777" w:rsidR="005342D5" w:rsidRPr="0019790A" w:rsidRDefault="005342D5" w:rsidP="0019790A">
            <w:pPr>
              <w:rPr>
                <w:rFonts w:cs="Arial"/>
                <w:b/>
                <w:bCs/>
                <w:szCs w:val="22"/>
              </w:rPr>
            </w:pPr>
            <w:r w:rsidRPr="0019790A">
              <w:rPr>
                <w:rFonts w:cs="Arial"/>
                <w:b/>
                <w:bCs/>
                <w:szCs w:val="22"/>
              </w:rPr>
              <w:t>Інше:</w:t>
            </w:r>
          </w:p>
        </w:tc>
        <w:tc>
          <w:tcPr>
            <w:tcW w:w="6794" w:type="dxa"/>
            <w:gridSpan w:val="9"/>
            <w:vAlign w:val="center"/>
          </w:tcPr>
          <w:p w14:paraId="0C6A6321" w14:textId="77777777" w:rsidR="005342D5" w:rsidRPr="0019790A" w:rsidRDefault="005342D5" w:rsidP="0019790A">
            <w:pPr>
              <w:rPr>
                <w:rFonts w:cs="Arial"/>
                <w:szCs w:val="22"/>
              </w:rPr>
            </w:pPr>
          </w:p>
        </w:tc>
      </w:tr>
    </w:tbl>
    <w:p w14:paraId="398431CC" w14:textId="77777777" w:rsidR="005342D5" w:rsidRPr="0019790A" w:rsidRDefault="005342D5" w:rsidP="0019790A">
      <w:pPr>
        <w:rPr>
          <w:rFonts w:cs="Arial"/>
          <w:szCs w:val="22"/>
        </w:rPr>
      </w:pPr>
    </w:p>
    <w:p w14:paraId="38DF75D5" w14:textId="77777777" w:rsidR="005342D5" w:rsidRPr="0019790A" w:rsidRDefault="005342D5" w:rsidP="0019790A">
      <w:pPr>
        <w:jc w:val="center"/>
        <w:rPr>
          <w:rFonts w:cs="Arial"/>
          <w:b/>
          <w:szCs w:val="22"/>
        </w:rPr>
      </w:pPr>
      <w:r w:rsidRPr="0019790A">
        <w:rPr>
          <w:rFonts w:cs="Arial"/>
          <w:b/>
          <w:szCs w:val="22"/>
        </w:rPr>
        <w:t>Форма технічного завдання на проєкт місцевого розвитку</w:t>
      </w:r>
    </w:p>
    <w:p w14:paraId="6FB84B4F" w14:textId="77777777" w:rsidR="005342D5" w:rsidRPr="0019790A" w:rsidRDefault="005342D5" w:rsidP="0019790A">
      <w:pPr>
        <w:jc w:val="center"/>
        <w:rPr>
          <w:rFonts w:cs="Arial"/>
          <w:b/>
          <w:szCs w:val="22"/>
        </w:rPr>
      </w:pPr>
      <w:r w:rsidRPr="0019790A">
        <w:rPr>
          <w:rFonts w:cs="Arial"/>
          <w:b/>
          <w:szCs w:val="22"/>
        </w:rPr>
        <w:t>до Плану заходів з реалізації Стратегії</w:t>
      </w:r>
    </w:p>
    <w:p w14:paraId="0C2E1B3A" w14:textId="77777777" w:rsidR="005342D5" w:rsidRPr="0019790A" w:rsidRDefault="005342D5"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1"/>
        <w:gridCol w:w="1237"/>
        <w:gridCol w:w="16"/>
        <w:gridCol w:w="1279"/>
        <w:gridCol w:w="1420"/>
        <w:gridCol w:w="1276"/>
        <w:gridCol w:w="1570"/>
      </w:tblGrid>
      <w:tr w:rsidR="005342D5" w:rsidRPr="0019790A" w14:paraId="52587CE4" w14:textId="77777777" w:rsidTr="00CD7662">
        <w:trPr>
          <w:trHeight w:val="468"/>
          <w:jc w:val="right"/>
        </w:trPr>
        <w:tc>
          <w:tcPr>
            <w:tcW w:w="3425" w:type="dxa"/>
            <w:vAlign w:val="center"/>
          </w:tcPr>
          <w:p w14:paraId="5FD7278E" w14:textId="77777777" w:rsidR="005342D5" w:rsidRPr="0019790A" w:rsidRDefault="005342D5" w:rsidP="0019790A">
            <w:pPr>
              <w:rPr>
                <w:rFonts w:cs="Arial"/>
                <w:b/>
                <w:bCs/>
                <w:szCs w:val="22"/>
              </w:rPr>
            </w:pPr>
            <w:r w:rsidRPr="0019790A">
              <w:rPr>
                <w:rFonts w:cs="Arial"/>
                <w:b/>
                <w:bCs/>
                <w:szCs w:val="22"/>
              </w:rPr>
              <w:t>Назва проєкту:</w:t>
            </w:r>
          </w:p>
        </w:tc>
        <w:tc>
          <w:tcPr>
            <w:tcW w:w="6794" w:type="dxa"/>
            <w:gridSpan w:val="6"/>
            <w:vAlign w:val="center"/>
          </w:tcPr>
          <w:p w14:paraId="3C4C334A" w14:textId="6E4519BC" w:rsidR="005342D5" w:rsidRPr="00CD7662" w:rsidRDefault="005342D5" w:rsidP="00CD7662">
            <w:pPr>
              <w:tabs>
                <w:tab w:val="left" w:pos="248"/>
              </w:tabs>
              <w:jc w:val="both"/>
              <w:rPr>
                <w:rFonts w:cs="Arial"/>
                <w:b/>
                <w:szCs w:val="22"/>
              </w:rPr>
            </w:pPr>
            <w:r w:rsidRPr="00CD7662">
              <w:rPr>
                <w:rFonts w:cs="Arial"/>
                <w:b/>
                <w:bCs/>
                <w:szCs w:val="22"/>
              </w:rPr>
              <w:t>"Маршрути здоров’я: Активність у природі для кожного"</w:t>
            </w:r>
          </w:p>
        </w:tc>
      </w:tr>
      <w:tr w:rsidR="005342D5" w:rsidRPr="0019790A" w14:paraId="67B38844" w14:textId="77777777" w:rsidTr="00CD7662">
        <w:trPr>
          <w:jc w:val="right"/>
        </w:trPr>
        <w:tc>
          <w:tcPr>
            <w:tcW w:w="3425" w:type="dxa"/>
          </w:tcPr>
          <w:p w14:paraId="27BC1CF5" w14:textId="77777777" w:rsidR="005342D5" w:rsidRPr="0019790A" w:rsidRDefault="005342D5" w:rsidP="0019790A">
            <w:pPr>
              <w:rPr>
                <w:rFonts w:cs="Arial"/>
                <w:szCs w:val="22"/>
              </w:rPr>
            </w:pPr>
            <w:r w:rsidRPr="0019790A">
              <w:rPr>
                <w:rFonts w:cs="Arial"/>
                <w:b/>
                <w:bCs/>
                <w:szCs w:val="22"/>
              </w:rPr>
              <w:t>Ваші контакти</w:t>
            </w:r>
            <w:r w:rsidRPr="0019790A">
              <w:rPr>
                <w:rFonts w:cs="Arial"/>
                <w:szCs w:val="22"/>
              </w:rPr>
              <w:t>:</w:t>
            </w:r>
          </w:p>
          <w:p w14:paraId="76AFAC95" w14:textId="77777777" w:rsidR="005342D5" w:rsidRPr="0019790A" w:rsidRDefault="005342D5" w:rsidP="0019790A">
            <w:pPr>
              <w:rPr>
                <w:rFonts w:cs="Arial"/>
                <w:b/>
                <w:bCs/>
                <w:szCs w:val="22"/>
              </w:rPr>
            </w:pPr>
            <w:r w:rsidRPr="0019790A">
              <w:rPr>
                <w:rFonts w:cs="Arial"/>
                <w:szCs w:val="22"/>
              </w:rPr>
              <w:t>Назва установи, організації, підприємства</w:t>
            </w:r>
          </w:p>
        </w:tc>
        <w:tc>
          <w:tcPr>
            <w:tcW w:w="6794" w:type="dxa"/>
            <w:gridSpan w:val="6"/>
            <w:vAlign w:val="center"/>
          </w:tcPr>
          <w:p w14:paraId="4C7CB834" w14:textId="77777777" w:rsidR="005342D5" w:rsidRPr="0019790A" w:rsidRDefault="005342D5" w:rsidP="00CD7662">
            <w:pPr>
              <w:tabs>
                <w:tab w:val="left" w:pos="248"/>
              </w:tabs>
              <w:jc w:val="both"/>
              <w:rPr>
                <w:rFonts w:cs="Arial"/>
                <w:szCs w:val="22"/>
              </w:rPr>
            </w:pPr>
            <w:r w:rsidRPr="0019790A">
              <w:rPr>
                <w:rFonts w:cs="Arial"/>
                <w:szCs w:val="22"/>
              </w:rPr>
              <w:t>Відділ молоді та спорту Жмеринської міської ради</w:t>
            </w:r>
          </w:p>
        </w:tc>
      </w:tr>
      <w:tr w:rsidR="005342D5" w:rsidRPr="0019790A" w14:paraId="242A028E" w14:textId="77777777" w:rsidTr="00CD7662">
        <w:trPr>
          <w:jc w:val="right"/>
        </w:trPr>
        <w:tc>
          <w:tcPr>
            <w:tcW w:w="3425" w:type="dxa"/>
          </w:tcPr>
          <w:p w14:paraId="6D7F8FB0" w14:textId="77777777" w:rsidR="005342D5" w:rsidRPr="0019790A" w:rsidRDefault="005342D5" w:rsidP="0019790A">
            <w:pPr>
              <w:rPr>
                <w:rFonts w:cs="Arial"/>
                <w:b/>
                <w:bCs/>
                <w:szCs w:val="22"/>
              </w:rPr>
            </w:pPr>
            <w:r w:rsidRPr="0019790A">
              <w:rPr>
                <w:rFonts w:cs="Arial"/>
                <w:szCs w:val="22"/>
              </w:rPr>
              <w:t>Прізвище Ім’я По-батькові:</w:t>
            </w:r>
          </w:p>
        </w:tc>
        <w:tc>
          <w:tcPr>
            <w:tcW w:w="6794" w:type="dxa"/>
            <w:gridSpan w:val="6"/>
            <w:vAlign w:val="center"/>
          </w:tcPr>
          <w:p w14:paraId="51B83DDC" w14:textId="77777777" w:rsidR="005342D5" w:rsidRPr="0019790A" w:rsidRDefault="005342D5" w:rsidP="00CD7662">
            <w:pPr>
              <w:tabs>
                <w:tab w:val="left" w:pos="248"/>
              </w:tabs>
              <w:jc w:val="both"/>
              <w:rPr>
                <w:rFonts w:cs="Arial"/>
                <w:szCs w:val="22"/>
              </w:rPr>
            </w:pPr>
            <w:r w:rsidRPr="0019790A">
              <w:rPr>
                <w:rFonts w:cs="Arial"/>
                <w:szCs w:val="22"/>
              </w:rPr>
              <w:t>Ковальська Олена Віталіївна</w:t>
            </w:r>
          </w:p>
        </w:tc>
      </w:tr>
      <w:tr w:rsidR="005342D5" w:rsidRPr="0019790A" w14:paraId="00A10E93" w14:textId="77777777" w:rsidTr="00CD7662">
        <w:trPr>
          <w:jc w:val="right"/>
        </w:trPr>
        <w:tc>
          <w:tcPr>
            <w:tcW w:w="3425" w:type="dxa"/>
          </w:tcPr>
          <w:p w14:paraId="7AB0CF0F" w14:textId="77777777" w:rsidR="005342D5" w:rsidRPr="0019790A" w:rsidRDefault="005342D5" w:rsidP="0019790A">
            <w:pPr>
              <w:rPr>
                <w:rFonts w:cs="Arial"/>
                <w:b/>
                <w:bCs/>
                <w:szCs w:val="22"/>
              </w:rPr>
            </w:pPr>
            <w:r w:rsidRPr="0019790A">
              <w:rPr>
                <w:rFonts w:cs="Arial"/>
                <w:szCs w:val="22"/>
              </w:rPr>
              <w:t>Телефон (мобільний):</w:t>
            </w:r>
          </w:p>
        </w:tc>
        <w:tc>
          <w:tcPr>
            <w:tcW w:w="6794" w:type="dxa"/>
            <w:gridSpan w:val="6"/>
            <w:vAlign w:val="center"/>
          </w:tcPr>
          <w:p w14:paraId="6C046B9B" w14:textId="77777777" w:rsidR="005342D5" w:rsidRPr="0019790A" w:rsidRDefault="005342D5" w:rsidP="00CD7662">
            <w:pPr>
              <w:tabs>
                <w:tab w:val="left" w:pos="248"/>
              </w:tabs>
              <w:jc w:val="both"/>
              <w:rPr>
                <w:rFonts w:cs="Arial"/>
                <w:szCs w:val="22"/>
              </w:rPr>
            </w:pPr>
            <w:r w:rsidRPr="0019790A">
              <w:rPr>
                <w:rFonts w:cs="Arial"/>
                <w:szCs w:val="22"/>
              </w:rPr>
              <w:t>096-068-94-79</w:t>
            </w:r>
          </w:p>
        </w:tc>
      </w:tr>
      <w:tr w:rsidR="005342D5" w:rsidRPr="0019790A" w14:paraId="6CFACAE8" w14:textId="77777777" w:rsidTr="00CD7662">
        <w:trPr>
          <w:jc w:val="right"/>
        </w:trPr>
        <w:tc>
          <w:tcPr>
            <w:tcW w:w="3425" w:type="dxa"/>
          </w:tcPr>
          <w:p w14:paraId="3DB8DB38" w14:textId="77777777" w:rsidR="005342D5" w:rsidRPr="0019790A" w:rsidRDefault="005342D5" w:rsidP="0019790A">
            <w:pPr>
              <w:rPr>
                <w:rFonts w:cs="Arial"/>
                <w:b/>
                <w:bCs/>
                <w:szCs w:val="22"/>
              </w:rPr>
            </w:pPr>
            <w:r w:rsidRPr="0019790A">
              <w:rPr>
                <w:rFonts w:cs="Arial"/>
                <w:szCs w:val="22"/>
              </w:rPr>
              <w:t>Електронна адреса:</w:t>
            </w:r>
          </w:p>
        </w:tc>
        <w:tc>
          <w:tcPr>
            <w:tcW w:w="6794" w:type="dxa"/>
            <w:gridSpan w:val="6"/>
            <w:vAlign w:val="center"/>
          </w:tcPr>
          <w:p w14:paraId="77BEC790" w14:textId="77777777" w:rsidR="005342D5" w:rsidRPr="0019790A" w:rsidRDefault="00D85FFD" w:rsidP="00CD7662">
            <w:pPr>
              <w:tabs>
                <w:tab w:val="left" w:pos="248"/>
              </w:tabs>
              <w:jc w:val="both"/>
              <w:rPr>
                <w:rFonts w:cs="Arial"/>
                <w:szCs w:val="22"/>
              </w:rPr>
            </w:pPr>
            <w:hyperlink r:id="rId159" w:history="1">
              <w:r w:rsidR="005342D5" w:rsidRPr="0019790A">
                <w:rPr>
                  <w:rStyle w:val="af0"/>
                  <w:rFonts w:cs="Arial"/>
                  <w:b/>
                  <w:bCs/>
                  <w:noProof w:val="0"/>
                  <w:sz w:val="22"/>
                  <w:szCs w:val="22"/>
                </w:rPr>
                <w:t>ms@zhmr.gov.ua</w:t>
              </w:r>
            </w:hyperlink>
          </w:p>
        </w:tc>
      </w:tr>
      <w:tr w:rsidR="005342D5" w:rsidRPr="0019790A" w14:paraId="366B4346" w14:textId="77777777" w:rsidTr="00CD7662">
        <w:trPr>
          <w:trHeight w:val="1601"/>
          <w:jc w:val="right"/>
        </w:trPr>
        <w:tc>
          <w:tcPr>
            <w:tcW w:w="3425" w:type="dxa"/>
            <w:vAlign w:val="center"/>
          </w:tcPr>
          <w:p w14:paraId="6C472030" w14:textId="77777777" w:rsidR="005342D5" w:rsidRPr="0019790A" w:rsidRDefault="005342D5" w:rsidP="0019790A">
            <w:pPr>
              <w:rPr>
                <w:rFonts w:cs="Arial"/>
                <w:b/>
                <w:bCs/>
                <w:szCs w:val="22"/>
              </w:rPr>
            </w:pPr>
            <w:r w:rsidRPr="0019790A">
              <w:rPr>
                <w:rFonts w:cs="Arial"/>
                <w:b/>
                <w:bCs/>
                <w:szCs w:val="22"/>
              </w:rPr>
              <w:t>Номер і назва завдання з Стратегії розвитку Жмеринської міської територіальної громади,  якому відповідає проєкт:</w:t>
            </w:r>
          </w:p>
        </w:tc>
        <w:tc>
          <w:tcPr>
            <w:tcW w:w="6794" w:type="dxa"/>
            <w:gridSpan w:val="6"/>
            <w:vAlign w:val="center"/>
          </w:tcPr>
          <w:p w14:paraId="7FAABFA7" w14:textId="77777777" w:rsidR="005342D5" w:rsidRPr="00CD7662" w:rsidRDefault="005342D5" w:rsidP="00CD7662">
            <w:pPr>
              <w:tabs>
                <w:tab w:val="left" w:pos="248"/>
              </w:tabs>
              <w:jc w:val="both"/>
              <w:rPr>
                <w:rFonts w:cs="Arial"/>
                <w:bCs/>
                <w:szCs w:val="22"/>
              </w:rPr>
            </w:pPr>
            <w:r w:rsidRPr="00CD7662">
              <w:rPr>
                <w:rFonts w:cs="Arial"/>
                <w:bCs/>
                <w:szCs w:val="22"/>
              </w:rPr>
              <w:t>С.3.4.1. Вдосконалення спортивного розвитку та самореалізації дітей, молоді, населення середнього та пенсійного віку.</w:t>
            </w:r>
          </w:p>
          <w:p w14:paraId="5487715D" w14:textId="77777777" w:rsidR="005342D5" w:rsidRPr="00CD7662" w:rsidRDefault="005342D5" w:rsidP="00CD7662">
            <w:pPr>
              <w:tabs>
                <w:tab w:val="left" w:pos="248"/>
              </w:tabs>
              <w:jc w:val="both"/>
              <w:rPr>
                <w:rFonts w:cs="Arial"/>
                <w:bCs/>
                <w:szCs w:val="22"/>
              </w:rPr>
            </w:pPr>
            <w:r w:rsidRPr="00CD7662">
              <w:rPr>
                <w:rFonts w:cs="Arial"/>
                <w:bCs/>
                <w:szCs w:val="22"/>
              </w:rPr>
              <w:t>С.3.4.2. Будівництво, реконструкція інфраструктури спорту з урахуванням гендерного аспекту.</w:t>
            </w:r>
          </w:p>
          <w:p w14:paraId="19358CE7" w14:textId="007CB29B" w:rsidR="005342D5" w:rsidRPr="00CD7662" w:rsidRDefault="005342D5" w:rsidP="00CD7662">
            <w:pPr>
              <w:tabs>
                <w:tab w:val="left" w:pos="248"/>
              </w:tabs>
              <w:jc w:val="both"/>
              <w:rPr>
                <w:rFonts w:cs="Arial"/>
                <w:szCs w:val="22"/>
              </w:rPr>
            </w:pPr>
            <w:r w:rsidRPr="00CD7662">
              <w:rPr>
                <w:rFonts w:cs="Arial"/>
                <w:szCs w:val="22"/>
              </w:rPr>
              <w:t>С.3.4.4. Облаштування спортивних залів матеріально-технічною базою.</w:t>
            </w:r>
          </w:p>
        </w:tc>
      </w:tr>
      <w:tr w:rsidR="005342D5" w:rsidRPr="0019790A" w14:paraId="0B0681C9" w14:textId="77777777" w:rsidTr="00CD7662">
        <w:trPr>
          <w:trHeight w:val="673"/>
          <w:jc w:val="right"/>
        </w:trPr>
        <w:tc>
          <w:tcPr>
            <w:tcW w:w="3425" w:type="dxa"/>
            <w:vAlign w:val="center"/>
          </w:tcPr>
          <w:p w14:paraId="4C00A79A" w14:textId="77777777" w:rsidR="005342D5" w:rsidRPr="0019790A" w:rsidRDefault="005342D5" w:rsidP="0019790A">
            <w:pPr>
              <w:rPr>
                <w:rFonts w:cs="Arial"/>
                <w:b/>
                <w:bCs/>
                <w:szCs w:val="22"/>
              </w:rPr>
            </w:pPr>
            <w:r w:rsidRPr="0019790A">
              <w:rPr>
                <w:rFonts w:cs="Arial"/>
                <w:b/>
                <w:bCs/>
                <w:szCs w:val="22"/>
              </w:rPr>
              <w:t>Мета проєкту:</w:t>
            </w:r>
          </w:p>
        </w:tc>
        <w:tc>
          <w:tcPr>
            <w:tcW w:w="6794" w:type="dxa"/>
            <w:gridSpan w:val="6"/>
            <w:vAlign w:val="center"/>
          </w:tcPr>
          <w:p w14:paraId="502A8A3F" w14:textId="77777777" w:rsidR="005342D5" w:rsidRPr="0019790A" w:rsidRDefault="005342D5" w:rsidP="00CD7662">
            <w:pPr>
              <w:tabs>
                <w:tab w:val="left" w:pos="248"/>
              </w:tabs>
              <w:jc w:val="both"/>
              <w:rPr>
                <w:rFonts w:cs="Arial"/>
                <w:szCs w:val="22"/>
              </w:rPr>
            </w:pPr>
            <w:r w:rsidRPr="0019790A">
              <w:rPr>
                <w:rFonts w:cs="Arial"/>
                <w:szCs w:val="22"/>
              </w:rPr>
              <w:t>Створення умов для щоденної фізичної активності, оздоровлення та відпочинку мешканців громади шляхом облаштування інклюзивних спортивно-прогулянкових маршрутів на території Центрального міського парку.</w:t>
            </w:r>
          </w:p>
        </w:tc>
      </w:tr>
      <w:tr w:rsidR="005342D5" w:rsidRPr="0019790A" w14:paraId="4633B1D0" w14:textId="77777777" w:rsidTr="00CD7662">
        <w:trPr>
          <w:jc w:val="right"/>
        </w:trPr>
        <w:tc>
          <w:tcPr>
            <w:tcW w:w="3425" w:type="dxa"/>
            <w:vAlign w:val="center"/>
          </w:tcPr>
          <w:p w14:paraId="13ADA8E8" w14:textId="77777777" w:rsidR="005342D5" w:rsidRPr="0019790A" w:rsidRDefault="005342D5" w:rsidP="0019790A">
            <w:pPr>
              <w:rPr>
                <w:rFonts w:cs="Arial"/>
                <w:b/>
                <w:bCs/>
                <w:szCs w:val="22"/>
              </w:rPr>
            </w:pPr>
            <w:r w:rsidRPr="0019790A">
              <w:rPr>
                <w:rFonts w:cs="Arial"/>
                <w:b/>
                <w:bCs/>
                <w:szCs w:val="22"/>
              </w:rPr>
              <w:t>Цілі проєкту:</w:t>
            </w:r>
          </w:p>
        </w:tc>
        <w:tc>
          <w:tcPr>
            <w:tcW w:w="6794" w:type="dxa"/>
            <w:gridSpan w:val="6"/>
            <w:vAlign w:val="center"/>
          </w:tcPr>
          <w:p w14:paraId="08357831" w14:textId="77777777" w:rsidR="005342D5" w:rsidRPr="0019790A" w:rsidRDefault="005342D5" w:rsidP="00CD7662">
            <w:pPr>
              <w:numPr>
                <w:ilvl w:val="0"/>
                <w:numId w:val="84"/>
              </w:numPr>
              <w:tabs>
                <w:tab w:val="left" w:pos="248"/>
              </w:tabs>
              <w:ind w:left="0" w:firstLine="0"/>
              <w:jc w:val="both"/>
              <w:rPr>
                <w:rFonts w:cs="Arial"/>
                <w:szCs w:val="22"/>
              </w:rPr>
            </w:pPr>
            <w:r w:rsidRPr="0019790A">
              <w:rPr>
                <w:rFonts w:cs="Arial"/>
                <w:szCs w:val="22"/>
              </w:rPr>
              <w:t>Популяризувати здоровий спосіб життя серед населення громади.</w:t>
            </w:r>
          </w:p>
          <w:p w14:paraId="0650B437" w14:textId="77777777" w:rsidR="005342D5" w:rsidRPr="0019790A" w:rsidRDefault="005342D5" w:rsidP="00CD7662">
            <w:pPr>
              <w:numPr>
                <w:ilvl w:val="0"/>
                <w:numId w:val="84"/>
              </w:numPr>
              <w:tabs>
                <w:tab w:val="left" w:pos="248"/>
              </w:tabs>
              <w:ind w:left="0" w:firstLine="0"/>
              <w:jc w:val="both"/>
              <w:rPr>
                <w:rFonts w:cs="Arial"/>
                <w:szCs w:val="22"/>
              </w:rPr>
            </w:pPr>
            <w:r w:rsidRPr="0019790A">
              <w:rPr>
                <w:rFonts w:cs="Arial"/>
                <w:szCs w:val="22"/>
              </w:rPr>
              <w:t>Розширити інфраструктуру активного дозвілля у природному середовищі.</w:t>
            </w:r>
          </w:p>
          <w:p w14:paraId="611E4F3C" w14:textId="77777777" w:rsidR="005342D5" w:rsidRPr="0019790A" w:rsidRDefault="005342D5" w:rsidP="00CD7662">
            <w:pPr>
              <w:numPr>
                <w:ilvl w:val="0"/>
                <w:numId w:val="84"/>
              </w:numPr>
              <w:tabs>
                <w:tab w:val="left" w:pos="248"/>
              </w:tabs>
              <w:ind w:left="0" w:firstLine="0"/>
              <w:jc w:val="both"/>
              <w:rPr>
                <w:rFonts w:cs="Arial"/>
                <w:szCs w:val="22"/>
              </w:rPr>
            </w:pPr>
            <w:r w:rsidRPr="0019790A">
              <w:rPr>
                <w:rFonts w:cs="Arial"/>
                <w:szCs w:val="22"/>
              </w:rPr>
              <w:t>Створити умови для щоденної безпечної фізичної активності.</w:t>
            </w:r>
          </w:p>
          <w:p w14:paraId="62D2A5E8" w14:textId="77777777" w:rsidR="005342D5" w:rsidRPr="0019790A" w:rsidRDefault="005342D5" w:rsidP="00CD7662">
            <w:pPr>
              <w:numPr>
                <w:ilvl w:val="0"/>
                <w:numId w:val="84"/>
              </w:numPr>
              <w:tabs>
                <w:tab w:val="left" w:pos="248"/>
              </w:tabs>
              <w:ind w:left="0" w:firstLine="0"/>
              <w:jc w:val="both"/>
              <w:rPr>
                <w:rFonts w:cs="Arial"/>
                <w:szCs w:val="22"/>
              </w:rPr>
            </w:pPr>
            <w:r w:rsidRPr="0019790A">
              <w:rPr>
                <w:rFonts w:cs="Arial"/>
                <w:szCs w:val="22"/>
              </w:rPr>
              <w:t>Підвищити туристичну привабливість парку.</w:t>
            </w:r>
          </w:p>
        </w:tc>
      </w:tr>
      <w:tr w:rsidR="005342D5" w:rsidRPr="0019790A" w14:paraId="5E914D16" w14:textId="77777777" w:rsidTr="00CD7662">
        <w:trPr>
          <w:jc w:val="right"/>
        </w:trPr>
        <w:tc>
          <w:tcPr>
            <w:tcW w:w="3425" w:type="dxa"/>
            <w:vAlign w:val="center"/>
          </w:tcPr>
          <w:p w14:paraId="48394E0E" w14:textId="77777777" w:rsidR="005342D5" w:rsidRPr="0019790A" w:rsidRDefault="005342D5" w:rsidP="0019790A">
            <w:pPr>
              <w:rPr>
                <w:rFonts w:cs="Arial"/>
                <w:b/>
                <w:szCs w:val="22"/>
              </w:rPr>
            </w:pPr>
            <w:r w:rsidRPr="0019790A">
              <w:rPr>
                <w:rFonts w:cs="Arial"/>
                <w:b/>
                <w:szCs w:val="22"/>
              </w:rPr>
              <w:t>Територія на яку проєкт матиме вплив:</w:t>
            </w:r>
          </w:p>
        </w:tc>
        <w:tc>
          <w:tcPr>
            <w:tcW w:w="6794" w:type="dxa"/>
            <w:gridSpan w:val="6"/>
            <w:vAlign w:val="center"/>
          </w:tcPr>
          <w:p w14:paraId="59745297" w14:textId="77777777" w:rsidR="005342D5" w:rsidRPr="0019790A" w:rsidRDefault="005342D5" w:rsidP="00CD7662">
            <w:pPr>
              <w:tabs>
                <w:tab w:val="left" w:pos="248"/>
              </w:tabs>
              <w:jc w:val="both"/>
              <w:rPr>
                <w:rFonts w:cs="Arial"/>
                <w:szCs w:val="22"/>
              </w:rPr>
            </w:pPr>
            <w:r w:rsidRPr="0019790A">
              <w:rPr>
                <w:rFonts w:cs="Arial"/>
                <w:szCs w:val="22"/>
              </w:rPr>
              <w:t>Жмеринська міська територіальна громада</w:t>
            </w:r>
          </w:p>
        </w:tc>
      </w:tr>
      <w:tr w:rsidR="005342D5" w:rsidRPr="0019790A" w14:paraId="672604D5" w14:textId="77777777" w:rsidTr="00CD7662">
        <w:trPr>
          <w:jc w:val="right"/>
        </w:trPr>
        <w:tc>
          <w:tcPr>
            <w:tcW w:w="3425" w:type="dxa"/>
            <w:vAlign w:val="center"/>
          </w:tcPr>
          <w:p w14:paraId="074723DB" w14:textId="77777777" w:rsidR="005342D5" w:rsidRPr="0019790A" w:rsidRDefault="005342D5" w:rsidP="0019790A">
            <w:pPr>
              <w:rPr>
                <w:rFonts w:cs="Arial"/>
                <w:b/>
                <w:szCs w:val="22"/>
              </w:rPr>
            </w:pPr>
            <w:r w:rsidRPr="0019790A">
              <w:rPr>
                <w:rFonts w:cs="Arial"/>
                <w:b/>
                <w:szCs w:val="22"/>
              </w:rPr>
              <w:t>Цільові групи проєкту та кількість отримувачів вигоди</w:t>
            </w:r>
          </w:p>
        </w:tc>
        <w:tc>
          <w:tcPr>
            <w:tcW w:w="6794" w:type="dxa"/>
            <w:gridSpan w:val="6"/>
            <w:vAlign w:val="center"/>
          </w:tcPr>
          <w:p w14:paraId="4F373A63" w14:textId="77777777" w:rsidR="005342D5" w:rsidRPr="0019790A" w:rsidRDefault="005342D5" w:rsidP="00CD7662">
            <w:pPr>
              <w:numPr>
                <w:ilvl w:val="0"/>
                <w:numId w:val="83"/>
              </w:numPr>
              <w:tabs>
                <w:tab w:val="left" w:pos="248"/>
              </w:tabs>
              <w:ind w:left="0" w:firstLine="0"/>
              <w:jc w:val="both"/>
              <w:rPr>
                <w:rFonts w:cs="Arial"/>
                <w:bCs/>
                <w:szCs w:val="22"/>
              </w:rPr>
            </w:pPr>
            <w:r w:rsidRPr="0019790A">
              <w:rPr>
                <w:rFonts w:cs="Arial"/>
                <w:bCs/>
                <w:szCs w:val="22"/>
              </w:rPr>
              <w:t>Діти та молодь</w:t>
            </w:r>
          </w:p>
          <w:p w14:paraId="14C7B9CA" w14:textId="77777777" w:rsidR="005342D5" w:rsidRPr="0019790A" w:rsidRDefault="005342D5" w:rsidP="00CD7662">
            <w:pPr>
              <w:numPr>
                <w:ilvl w:val="0"/>
                <w:numId w:val="83"/>
              </w:numPr>
              <w:tabs>
                <w:tab w:val="left" w:pos="248"/>
              </w:tabs>
              <w:ind w:left="0" w:firstLine="0"/>
              <w:jc w:val="both"/>
              <w:rPr>
                <w:rFonts w:cs="Arial"/>
                <w:bCs/>
                <w:szCs w:val="22"/>
              </w:rPr>
            </w:pPr>
            <w:r w:rsidRPr="0019790A">
              <w:rPr>
                <w:rFonts w:cs="Arial"/>
                <w:bCs/>
                <w:szCs w:val="22"/>
              </w:rPr>
              <w:t>Родини з дітьми</w:t>
            </w:r>
          </w:p>
          <w:p w14:paraId="4D2F3B58" w14:textId="77777777" w:rsidR="005342D5" w:rsidRPr="0019790A" w:rsidRDefault="005342D5" w:rsidP="00CD7662">
            <w:pPr>
              <w:numPr>
                <w:ilvl w:val="0"/>
                <w:numId w:val="83"/>
              </w:numPr>
              <w:tabs>
                <w:tab w:val="left" w:pos="248"/>
              </w:tabs>
              <w:ind w:left="0" w:firstLine="0"/>
              <w:jc w:val="both"/>
              <w:rPr>
                <w:rFonts w:cs="Arial"/>
                <w:bCs/>
                <w:szCs w:val="22"/>
              </w:rPr>
            </w:pPr>
            <w:r w:rsidRPr="0019790A">
              <w:rPr>
                <w:rFonts w:cs="Arial"/>
                <w:bCs/>
                <w:szCs w:val="22"/>
              </w:rPr>
              <w:t>Люди середнього та пенсійного віку</w:t>
            </w:r>
          </w:p>
          <w:p w14:paraId="28048B51" w14:textId="77777777" w:rsidR="005342D5" w:rsidRPr="0019790A" w:rsidRDefault="005342D5" w:rsidP="00CD7662">
            <w:pPr>
              <w:numPr>
                <w:ilvl w:val="0"/>
                <w:numId w:val="83"/>
              </w:numPr>
              <w:tabs>
                <w:tab w:val="left" w:pos="248"/>
              </w:tabs>
              <w:ind w:left="0" w:firstLine="0"/>
              <w:jc w:val="both"/>
              <w:rPr>
                <w:rFonts w:cs="Arial"/>
                <w:bCs/>
                <w:szCs w:val="22"/>
              </w:rPr>
            </w:pPr>
            <w:r w:rsidRPr="0019790A">
              <w:rPr>
                <w:rFonts w:cs="Arial"/>
                <w:bCs/>
                <w:szCs w:val="22"/>
              </w:rPr>
              <w:t>Особи з інвалідністю</w:t>
            </w:r>
          </w:p>
          <w:p w14:paraId="51616EED" w14:textId="77777777" w:rsidR="005342D5" w:rsidRPr="0019790A" w:rsidRDefault="005342D5" w:rsidP="00CD7662">
            <w:pPr>
              <w:numPr>
                <w:ilvl w:val="0"/>
                <w:numId w:val="83"/>
              </w:numPr>
              <w:tabs>
                <w:tab w:val="left" w:pos="248"/>
              </w:tabs>
              <w:ind w:left="0" w:firstLine="0"/>
              <w:jc w:val="both"/>
              <w:rPr>
                <w:rFonts w:cs="Arial"/>
                <w:bCs/>
                <w:szCs w:val="22"/>
              </w:rPr>
            </w:pPr>
            <w:r w:rsidRPr="0019790A">
              <w:rPr>
                <w:rFonts w:cs="Arial"/>
                <w:bCs/>
                <w:szCs w:val="22"/>
              </w:rPr>
              <w:t>Туристи, гості громади</w:t>
            </w:r>
          </w:p>
          <w:p w14:paraId="21E96566" w14:textId="77777777" w:rsidR="005342D5" w:rsidRPr="0019790A" w:rsidRDefault="005342D5" w:rsidP="00CD7662">
            <w:pPr>
              <w:numPr>
                <w:ilvl w:val="0"/>
                <w:numId w:val="83"/>
              </w:numPr>
              <w:tabs>
                <w:tab w:val="left" w:pos="248"/>
              </w:tabs>
              <w:ind w:left="0" w:firstLine="0"/>
              <w:jc w:val="both"/>
              <w:rPr>
                <w:rFonts w:cs="Arial"/>
                <w:bCs/>
                <w:szCs w:val="22"/>
              </w:rPr>
            </w:pPr>
            <w:r w:rsidRPr="0019790A">
              <w:rPr>
                <w:rFonts w:cs="Arial"/>
                <w:bCs/>
                <w:szCs w:val="22"/>
              </w:rPr>
              <w:t>Спортсмени, любителі бігу та скандинавської ходьби</w:t>
            </w:r>
          </w:p>
          <w:p w14:paraId="11E3B1BB" w14:textId="77777777" w:rsidR="005342D5" w:rsidRPr="0019790A" w:rsidRDefault="005342D5" w:rsidP="00CD7662">
            <w:pPr>
              <w:tabs>
                <w:tab w:val="left" w:pos="248"/>
              </w:tabs>
              <w:jc w:val="both"/>
              <w:rPr>
                <w:rFonts w:cs="Arial"/>
                <w:szCs w:val="22"/>
              </w:rPr>
            </w:pPr>
            <w:r w:rsidRPr="0019790A">
              <w:rPr>
                <w:rFonts w:cs="Arial"/>
                <w:b/>
                <w:szCs w:val="22"/>
              </w:rPr>
              <w:t>Кількість отримувачів вигоди</w:t>
            </w:r>
            <w:r w:rsidRPr="0019790A">
              <w:rPr>
                <w:rFonts w:cs="Arial"/>
                <w:szCs w:val="22"/>
              </w:rPr>
              <w:t xml:space="preserve"> </w:t>
            </w:r>
            <w:r w:rsidRPr="0019790A">
              <w:rPr>
                <w:rFonts w:cs="Arial"/>
                <w:b/>
                <w:szCs w:val="22"/>
              </w:rPr>
              <w:t>12 000 осіб.</w:t>
            </w:r>
          </w:p>
        </w:tc>
      </w:tr>
      <w:tr w:rsidR="005342D5" w:rsidRPr="0019790A" w14:paraId="7E35CF64" w14:textId="77777777" w:rsidTr="00CD7662">
        <w:trPr>
          <w:jc w:val="right"/>
        </w:trPr>
        <w:tc>
          <w:tcPr>
            <w:tcW w:w="3425" w:type="dxa"/>
            <w:shd w:val="clear" w:color="auto" w:fill="FFFFFF"/>
            <w:vAlign w:val="center"/>
          </w:tcPr>
          <w:p w14:paraId="38945E88" w14:textId="77777777" w:rsidR="005342D5" w:rsidRPr="0019790A" w:rsidRDefault="005342D5" w:rsidP="0019790A">
            <w:pPr>
              <w:rPr>
                <w:rFonts w:cs="Arial"/>
                <w:b/>
                <w:bCs/>
                <w:szCs w:val="22"/>
              </w:rPr>
            </w:pPr>
            <w:r w:rsidRPr="0019790A">
              <w:rPr>
                <w:rFonts w:cs="Arial"/>
                <w:b/>
                <w:bCs/>
                <w:szCs w:val="22"/>
              </w:rPr>
              <w:t>Стислий опис проєкту:</w:t>
            </w:r>
          </w:p>
        </w:tc>
        <w:tc>
          <w:tcPr>
            <w:tcW w:w="6794" w:type="dxa"/>
            <w:gridSpan w:val="6"/>
            <w:vAlign w:val="center"/>
          </w:tcPr>
          <w:p w14:paraId="2EFB6A9D" w14:textId="77777777" w:rsidR="005342D5" w:rsidRPr="0019790A" w:rsidRDefault="005342D5" w:rsidP="00CD7662">
            <w:pPr>
              <w:tabs>
                <w:tab w:val="left" w:pos="248"/>
              </w:tabs>
              <w:jc w:val="both"/>
              <w:rPr>
                <w:rFonts w:cs="Arial"/>
                <w:szCs w:val="22"/>
              </w:rPr>
            </w:pPr>
            <w:r w:rsidRPr="0019790A">
              <w:rPr>
                <w:rFonts w:cs="Arial"/>
                <w:szCs w:val="22"/>
              </w:rPr>
              <w:t xml:space="preserve">Проєкт передбачає облаштування </w:t>
            </w:r>
            <w:r w:rsidRPr="0019790A">
              <w:rPr>
                <w:rFonts w:cs="Arial"/>
                <w:bCs/>
                <w:szCs w:val="22"/>
              </w:rPr>
              <w:t>кількох пішохідно-спортивних маршрутів</w:t>
            </w:r>
            <w:r w:rsidRPr="0019790A">
              <w:rPr>
                <w:rFonts w:cs="Arial"/>
                <w:szCs w:val="22"/>
              </w:rPr>
              <w:t xml:space="preserve"> різної протяжності та складності на території Центрального міського парку. Маршрути матимуть чітку навігацію, інформаційні стенди, </w:t>
            </w:r>
            <w:r w:rsidRPr="0019790A">
              <w:rPr>
                <w:rFonts w:cs="Arial"/>
                <w:bCs/>
                <w:szCs w:val="22"/>
              </w:rPr>
              <w:t>позначки дистанції</w:t>
            </w:r>
            <w:r w:rsidRPr="0019790A">
              <w:rPr>
                <w:rFonts w:cs="Arial"/>
                <w:szCs w:val="22"/>
              </w:rPr>
              <w:t xml:space="preserve">, </w:t>
            </w:r>
            <w:r w:rsidRPr="0019790A">
              <w:rPr>
                <w:rFonts w:cs="Arial"/>
                <w:bCs/>
                <w:szCs w:val="22"/>
              </w:rPr>
              <w:t>зони для розминки</w:t>
            </w:r>
            <w:r w:rsidRPr="0019790A">
              <w:rPr>
                <w:rFonts w:cs="Arial"/>
                <w:szCs w:val="22"/>
              </w:rPr>
              <w:t xml:space="preserve">, </w:t>
            </w:r>
            <w:r w:rsidRPr="0019790A">
              <w:rPr>
                <w:rFonts w:cs="Arial"/>
                <w:bCs/>
                <w:szCs w:val="22"/>
              </w:rPr>
              <w:t>інтерактивні зупинки (QR-коди)</w:t>
            </w:r>
            <w:r w:rsidRPr="0019790A">
              <w:rPr>
                <w:rFonts w:cs="Arial"/>
                <w:szCs w:val="22"/>
              </w:rPr>
              <w:t xml:space="preserve">, </w:t>
            </w:r>
            <w:r w:rsidRPr="0019790A">
              <w:rPr>
                <w:rFonts w:cs="Arial"/>
                <w:bCs/>
                <w:szCs w:val="22"/>
              </w:rPr>
              <w:t>лавки</w:t>
            </w:r>
            <w:r w:rsidRPr="0019790A">
              <w:rPr>
                <w:rFonts w:cs="Arial"/>
                <w:szCs w:val="22"/>
              </w:rPr>
              <w:t xml:space="preserve">, </w:t>
            </w:r>
            <w:r w:rsidRPr="0019790A">
              <w:rPr>
                <w:rFonts w:cs="Arial"/>
                <w:bCs/>
                <w:szCs w:val="22"/>
              </w:rPr>
              <w:t>освітлення</w:t>
            </w:r>
            <w:r w:rsidRPr="0019790A">
              <w:rPr>
                <w:rFonts w:cs="Arial"/>
                <w:szCs w:val="22"/>
              </w:rPr>
              <w:t xml:space="preserve"> на ключових ділянках. Маршрути підходитимуть як для щоденних прогулянок, так і для занять бігом, фітнесом, скандинавською ходьбою, реабілітаційними прогулянками. Можливе встановлення точок з інструкціями для фізичних вправ на природі.</w:t>
            </w:r>
          </w:p>
        </w:tc>
      </w:tr>
      <w:tr w:rsidR="005342D5" w:rsidRPr="0019790A" w14:paraId="3ABB8A72" w14:textId="77777777" w:rsidTr="00CD7662">
        <w:trPr>
          <w:trHeight w:val="539"/>
          <w:jc w:val="right"/>
        </w:trPr>
        <w:tc>
          <w:tcPr>
            <w:tcW w:w="3425" w:type="dxa"/>
            <w:shd w:val="clear" w:color="auto" w:fill="FFFFFF"/>
            <w:vAlign w:val="center"/>
          </w:tcPr>
          <w:p w14:paraId="71621EAB" w14:textId="77777777" w:rsidR="005342D5" w:rsidRPr="0019790A" w:rsidRDefault="005342D5" w:rsidP="0019790A">
            <w:pPr>
              <w:rPr>
                <w:rFonts w:cs="Arial"/>
                <w:b/>
                <w:bCs/>
                <w:szCs w:val="22"/>
              </w:rPr>
            </w:pPr>
            <w:r w:rsidRPr="0019790A">
              <w:rPr>
                <w:rFonts w:cs="Arial"/>
                <w:b/>
                <w:bCs/>
                <w:szCs w:val="22"/>
              </w:rPr>
              <w:t>Основні заходи проєкту:</w:t>
            </w:r>
          </w:p>
        </w:tc>
        <w:tc>
          <w:tcPr>
            <w:tcW w:w="6794" w:type="dxa"/>
            <w:gridSpan w:val="6"/>
            <w:vAlign w:val="center"/>
          </w:tcPr>
          <w:p w14:paraId="5C3F8353" w14:textId="77777777" w:rsidR="005342D5" w:rsidRPr="0019790A" w:rsidRDefault="005342D5" w:rsidP="00CD7662">
            <w:pPr>
              <w:numPr>
                <w:ilvl w:val="0"/>
                <w:numId w:val="85"/>
              </w:numPr>
              <w:tabs>
                <w:tab w:val="left" w:pos="248"/>
              </w:tabs>
              <w:ind w:left="0" w:firstLine="0"/>
              <w:jc w:val="both"/>
              <w:rPr>
                <w:rFonts w:cs="Arial"/>
                <w:szCs w:val="22"/>
              </w:rPr>
            </w:pPr>
            <w:r w:rsidRPr="0019790A">
              <w:rPr>
                <w:rFonts w:cs="Arial"/>
                <w:szCs w:val="22"/>
              </w:rPr>
              <w:t>Планування маршрутів і зон: аналіз території, нанесення трас на карту.</w:t>
            </w:r>
          </w:p>
          <w:p w14:paraId="0B9DF513" w14:textId="77777777" w:rsidR="005342D5" w:rsidRPr="0019790A" w:rsidRDefault="005342D5" w:rsidP="00CD7662">
            <w:pPr>
              <w:numPr>
                <w:ilvl w:val="0"/>
                <w:numId w:val="85"/>
              </w:numPr>
              <w:tabs>
                <w:tab w:val="left" w:pos="248"/>
              </w:tabs>
              <w:ind w:left="0" w:firstLine="0"/>
              <w:jc w:val="both"/>
              <w:rPr>
                <w:rFonts w:cs="Arial"/>
                <w:szCs w:val="22"/>
              </w:rPr>
            </w:pPr>
            <w:r w:rsidRPr="0019790A">
              <w:rPr>
                <w:rFonts w:cs="Arial"/>
                <w:szCs w:val="22"/>
              </w:rPr>
              <w:t>Облаштування покриття (щебінь, гравій, бруківка, дерев'яні настили).</w:t>
            </w:r>
          </w:p>
          <w:p w14:paraId="45CF9F49" w14:textId="77777777" w:rsidR="005342D5" w:rsidRPr="0019790A" w:rsidRDefault="005342D5" w:rsidP="00CD7662">
            <w:pPr>
              <w:numPr>
                <w:ilvl w:val="0"/>
                <w:numId w:val="85"/>
              </w:numPr>
              <w:tabs>
                <w:tab w:val="left" w:pos="248"/>
              </w:tabs>
              <w:ind w:left="0" w:firstLine="0"/>
              <w:jc w:val="both"/>
              <w:rPr>
                <w:rFonts w:cs="Arial"/>
                <w:szCs w:val="22"/>
              </w:rPr>
            </w:pPr>
            <w:r w:rsidRPr="0019790A">
              <w:rPr>
                <w:rFonts w:cs="Arial"/>
                <w:szCs w:val="22"/>
              </w:rPr>
              <w:t xml:space="preserve">Встановлення </w:t>
            </w:r>
            <w:r w:rsidRPr="0019790A">
              <w:rPr>
                <w:rFonts w:cs="Arial"/>
                <w:bCs/>
                <w:szCs w:val="22"/>
              </w:rPr>
              <w:t>маркувань</w:t>
            </w:r>
            <w:r w:rsidRPr="0019790A">
              <w:rPr>
                <w:rFonts w:cs="Arial"/>
                <w:szCs w:val="22"/>
              </w:rPr>
              <w:t xml:space="preserve">, </w:t>
            </w:r>
            <w:r w:rsidRPr="0019790A">
              <w:rPr>
                <w:rFonts w:cs="Arial"/>
                <w:bCs/>
                <w:szCs w:val="22"/>
              </w:rPr>
              <w:t>табличок</w:t>
            </w:r>
            <w:r w:rsidRPr="0019790A">
              <w:rPr>
                <w:rFonts w:cs="Arial"/>
                <w:szCs w:val="22"/>
              </w:rPr>
              <w:t xml:space="preserve">, </w:t>
            </w:r>
            <w:r w:rsidRPr="0019790A">
              <w:rPr>
                <w:rFonts w:cs="Arial"/>
                <w:bCs/>
                <w:szCs w:val="22"/>
              </w:rPr>
              <w:t>вказівників</w:t>
            </w:r>
            <w:r w:rsidRPr="0019790A">
              <w:rPr>
                <w:rFonts w:cs="Arial"/>
                <w:szCs w:val="22"/>
              </w:rPr>
              <w:t xml:space="preserve">, </w:t>
            </w:r>
            <w:r w:rsidRPr="0019790A">
              <w:rPr>
                <w:rFonts w:cs="Arial"/>
                <w:bCs/>
                <w:szCs w:val="22"/>
              </w:rPr>
              <w:t>стендів</w:t>
            </w:r>
            <w:r w:rsidRPr="0019790A">
              <w:rPr>
                <w:rFonts w:cs="Arial"/>
                <w:szCs w:val="22"/>
              </w:rPr>
              <w:t xml:space="preserve"> з описом маршрутів.</w:t>
            </w:r>
          </w:p>
          <w:p w14:paraId="491E9500" w14:textId="77777777" w:rsidR="005342D5" w:rsidRPr="0019790A" w:rsidRDefault="005342D5" w:rsidP="00CD7662">
            <w:pPr>
              <w:numPr>
                <w:ilvl w:val="0"/>
                <w:numId w:val="85"/>
              </w:numPr>
              <w:tabs>
                <w:tab w:val="left" w:pos="248"/>
              </w:tabs>
              <w:ind w:left="0" w:firstLine="0"/>
              <w:jc w:val="both"/>
              <w:rPr>
                <w:rFonts w:cs="Arial"/>
                <w:szCs w:val="22"/>
              </w:rPr>
            </w:pPr>
            <w:r w:rsidRPr="0019790A">
              <w:rPr>
                <w:rFonts w:cs="Arial"/>
                <w:szCs w:val="22"/>
              </w:rPr>
              <w:t xml:space="preserve">Встановлення </w:t>
            </w:r>
            <w:r w:rsidRPr="0019790A">
              <w:rPr>
                <w:rFonts w:cs="Arial"/>
                <w:bCs/>
                <w:szCs w:val="22"/>
              </w:rPr>
              <w:t>лавок, урн, освітлення</w:t>
            </w:r>
            <w:r w:rsidRPr="0019790A">
              <w:rPr>
                <w:rFonts w:cs="Arial"/>
                <w:szCs w:val="22"/>
              </w:rPr>
              <w:t xml:space="preserve">, а також </w:t>
            </w:r>
            <w:r w:rsidRPr="0019790A">
              <w:rPr>
                <w:rFonts w:cs="Arial"/>
                <w:bCs/>
                <w:szCs w:val="22"/>
              </w:rPr>
              <w:t>зон відпочинку</w:t>
            </w:r>
            <w:r w:rsidRPr="0019790A">
              <w:rPr>
                <w:rFonts w:cs="Arial"/>
                <w:szCs w:val="22"/>
              </w:rPr>
              <w:t>.</w:t>
            </w:r>
          </w:p>
          <w:p w14:paraId="354706E7" w14:textId="77777777" w:rsidR="005342D5" w:rsidRPr="0019790A" w:rsidRDefault="005342D5" w:rsidP="00CD7662">
            <w:pPr>
              <w:numPr>
                <w:ilvl w:val="0"/>
                <w:numId w:val="85"/>
              </w:numPr>
              <w:tabs>
                <w:tab w:val="left" w:pos="248"/>
              </w:tabs>
              <w:ind w:left="0" w:firstLine="0"/>
              <w:jc w:val="both"/>
              <w:rPr>
                <w:rFonts w:cs="Arial"/>
                <w:szCs w:val="22"/>
              </w:rPr>
            </w:pPr>
            <w:r w:rsidRPr="0019790A">
              <w:rPr>
                <w:rFonts w:cs="Arial"/>
                <w:szCs w:val="22"/>
              </w:rPr>
              <w:t xml:space="preserve">Створення </w:t>
            </w:r>
            <w:r w:rsidRPr="0019790A">
              <w:rPr>
                <w:rFonts w:cs="Arial"/>
                <w:bCs/>
                <w:szCs w:val="22"/>
              </w:rPr>
              <w:t>інформаційної мапи маршруту</w:t>
            </w:r>
            <w:r w:rsidRPr="0019790A">
              <w:rPr>
                <w:rFonts w:cs="Arial"/>
                <w:szCs w:val="22"/>
              </w:rPr>
              <w:t xml:space="preserve"> в парку та онлайн.</w:t>
            </w:r>
          </w:p>
          <w:p w14:paraId="00E0A6F6" w14:textId="77777777" w:rsidR="005342D5" w:rsidRPr="0019790A" w:rsidRDefault="005342D5" w:rsidP="00CD7662">
            <w:pPr>
              <w:numPr>
                <w:ilvl w:val="0"/>
                <w:numId w:val="85"/>
              </w:numPr>
              <w:tabs>
                <w:tab w:val="left" w:pos="248"/>
              </w:tabs>
              <w:ind w:left="0" w:firstLine="0"/>
              <w:jc w:val="both"/>
              <w:rPr>
                <w:rFonts w:cs="Arial"/>
                <w:szCs w:val="22"/>
              </w:rPr>
            </w:pPr>
            <w:r w:rsidRPr="0019790A">
              <w:rPr>
                <w:rFonts w:cs="Arial"/>
                <w:szCs w:val="22"/>
              </w:rPr>
              <w:t>Організація спортивних акцій (відкритий день бігу, вело-прогулянка, день здоров’я).</w:t>
            </w:r>
          </w:p>
          <w:p w14:paraId="4571D314" w14:textId="77777777" w:rsidR="005342D5" w:rsidRPr="0019790A" w:rsidRDefault="005342D5" w:rsidP="00CD7662">
            <w:pPr>
              <w:numPr>
                <w:ilvl w:val="0"/>
                <w:numId w:val="85"/>
              </w:numPr>
              <w:tabs>
                <w:tab w:val="left" w:pos="248"/>
              </w:tabs>
              <w:ind w:left="0" w:firstLine="0"/>
              <w:jc w:val="both"/>
              <w:rPr>
                <w:rFonts w:cs="Arial"/>
                <w:szCs w:val="22"/>
              </w:rPr>
            </w:pPr>
            <w:r w:rsidRPr="0019790A">
              <w:rPr>
                <w:rFonts w:cs="Arial"/>
                <w:szCs w:val="22"/>
              </w:rPr>
              <w:t>Залучення громади, волонтерів та спортсменів до активного користування маршрутами.</w:t>
            </w:r>
          </w:p>
        </w:tc>
      </w:tr>
      <w:tr w:rsidR="005342D5" w:rsidRPr="0019790A" w14:paraId="04BD1C44" w14:textId="77777777" w:rsidTr="00CD7662">
        <w:trPr>
          <w:jc w:val="right"/>
        </w:trPr>
        <w:tc>
          <w:tcPr>
            <w:tcW w:w="3425" w:type="dxa"/>
            <w:shd w:val="clear" w:color="auto" w:fill="FFFFFF"/>
            <w:vAlign w:val="center"/>
          </w:tcPr>
          <w:p w14:paraId="47BB1719" w14:textId="77777777" w:rsidR="005342D5" w:rsidRPr="0019790A" w:rsidRDefault="005342D5" w:rsidP="0019790A">
            <w:pPr>
              <w:rPr>
                <w:rFonts w:cs="Arial"/>
                <w:b/>
                <w:bCs/>
                <w:szCs w:val="22"/>
              </w:rPr>
            </w:pPr>
            <w:r w:rsidRPr="0019790A">
              <w:rPr>
                <w:rFonts w:cs="Arial"/>
                <w:b/>
                <w:bCs/>
                <w:szCs w:val="22"/>
              </w:rPr>
              <w:t>Індикатори (показники) результативності:</w:t>
            </w:r>
          </w:p>
        </w:tc>
        <w:tc>
          <w:tcPr>
            <w:tcW w:w="6794" w:type="dxa"/>
            <w:gridSpan w:val="6"/>
            <w:vAlign w:val="center"/>
          </w:tcPr>
          <w:p w14:paraId="6F71F232" w14:textId="77777777" w:rsidR="005342D5" w:rsidRPr="0019790A" w:rsidRDefault="005342D5" w:rsidP="00CD7662">
            <w:pPr>
              <w:numPr>
                <w:ilvl w:val="0"/>
                <w:numId w:val="86"/>
              </w:numPr>
              <w:tabs>
                <w:tab w:val="left" w:pos="248"/>
              </w:tabs>
              <w:ind w:left="0" w:firstLine="0"/>
              <w:jc w:val="both"/>
              <w:rPr>
                <w:rFonts w:cs="Arial"/>
                <w:szCs w:val="22"/>
              </w:rPr>
            </w:pPr>
            <w:r w:rsidRPr="0019790A">
              <w:rPr>
                <w:rFonts w:cs="Arial"/>
                <w:szCs w:val="22"/>
              </w:rPr>
              <w:t xml:space="preserve">Створено </w:t>
            </w:r>
            <w:r w:rsidRPr="0019790A">
              <w:rPr>
                <w:rFonts w:cs="Arial"/>
                <w:bCs/>
                <w:szCs w:val="22"/>
              </w:rPr>
              <w:t>2–3 маршрути</w:t>
            </w:r>
            <w:r w:rsidRPr="0019790A">
              <w:rPr>
                <w:rFonts w:cs="Arial"/>
                <w:szCs w:val="22"/>
              </w:rPr>
              <w:t xml:space="preserve"> довжиною від 500 м до 3 км.</w:t>
            </w:r>
          </w:p>
          <w:p w14:paraId="01655963" w14:textId="77777777" w:rsidR="005342D5" w:rsidRPr="0019790A" w:rsidRDefault="005342D5" w:rsidP="00CD7662">
            <w:pPr>
              <w:numPr>
                <w:ilvl w:val="0"/>
                <w:numId w:val="86"/>
              </w:numPr>
              <w:tabs>
                <w:tab w:val="left" w:pos="248"/>
              </w:tabs>
              <w:ind w:left="0" w:firstLine="0"/>
              <w:jc w:val="both"/>
              <w:rPr>
                <w:rFonts w:cs="Arial"/>
                <w:szCs w:val="22"/>
              </w:rPr>
            </w:pPr>
            <w:r w:rsidRPr="0019790A">
              <w:rPr>
                <w:rFonts w:cs="Arial"/>
                <w:szCs w:val="22"/>
              </w:rPr>
              <w:t xml:space="preserve">Охоплено не менше </w:t>
            </w:r>
            <w:r w:rsidRPr="0019790A">
              <w:rPr>
                <w:rFonts w:cs="Arial"/>
                <w:bCs/>
                <w:szCs w:val="22"/>
              </w:rPr>
              <w:t>2000 мешканців на місяць</w:t>
            </w:r>
            <w:r w:rsidRPr="0019790A">
              <w:rPr>
                <w:rFonts w:cs="Arial"/>
                <w:szCs w:val="22"/>
              </w:rPr>
              <w:t>.</w:t>
            </w:r>
          </w:p>
          <w:p w14:paraId="2822C9C3" w14:textId="77777777" w:rsidR="005342D5" w:rsidRPr="0019790A" w:rsidRDefault="005342D5" w:rsidP="00CD7662">
            <w:pPr>
              <w:numPr>
                <w:ilvl w:val="0"/>
                <w:numId w:val="86"/>
              </w:numPr>
              <w:tabs>
                <w:tab w:val="left" w:pos="248"/>
              </w:tabs>
              <w:ind w:left="0" w:firstLine="0"/>
              <w:jc w:val="both"/>
              <w:rPr>
                <w:rFonts w:cs="Arial"/>
                <w:szCs w:val="22"/>
              </w:rPr>
            </w:pPr>
            <w:r w:rsidRPr="0019790A">
              <w:rPr>
                <w:rFonts w:cs="Arial"/>
                <w:szCs w:val="22"/>
              </w:rPr>
              <w:t xml:space="preserve">Встановлено </w:t>
            </w:r>
            <w:r w:rsidRPr="0019790A">
              <w:rPr>
                <w:rFonts w:cs="Arial"/>
                <w:bCs/>
                <w:szCs w:val="22"/>
              </w:rPr>
              <w:t>10+ інформаційних та навігаційних табличок</w:t>
            </w:r>
            <w:r w:rsidRPr="0019790A">
              <w:rPr>
                <w:rFonts w:cs="Arial"/>
                <w:szCs w:val="22"/>
              </w:rPr>
              <w:t>.</w:t>
            </w:r>
          </w:p>
          <w:p w14:paraId="59A30A6B" w14:textId="77777777" w:rsidR="005342D5" w:rsidRPr="0019790A" w:rsidRDefault="005342D5" w:rsidP="00CD7662">
            <w:pPr>
              <w:numPr>
                <w:ilvl w:val="0"/>
                <w:numId w:val="86"/>
              </w:numPr>
              <w:tabs>
                <w:tab w:val="left" w:pos="248"/>
              </w:tabs>
              <w:ind w:left="0" w:firstLine="0"/>
              <w:jc w:val="both"/>
              <w:rPr>
                <w:rFonts w:cs="Arial"/>
                <w:szCs w:val="22"/>
              </w:rPr>
            </w:pPr>
            <w:r w:rsidRPr="0019790A">
              <w:rPr>
                <w:rFonts w:cs="Arial"/>
                <w:szCs w:val="22"/>
              </w:rPr>
              <w:t xml:space="preserve">Проведено </w:t>
            </w:r>
            <w:r w:rsidRPr="0019790A">
              <w:rPr>
                <w:rFonts w:cs="Arial"/>
                <w:bCs/>
                <w:szCs w:val="22"/>
              </w:rPr>
              <w:t>щонайменше 5 спортивно-оздоровчих заходів</w:t>
            </w:r>
            <w:r w:rsidRPr="0019790A">
              <w:rPr>
                <w:rFonts w:cs="Arial"/>
                <w:szCs w:val="22"/>
              </w:rPr>
              <w:t xml:space="preserve"> за рік.</w:t>
            </w:r>
          </w:p>
          <w:p w14:paraId="5ED38246" w14:textId="77777777" w:rsidR="005342D5" w:rsidRPr="0019790A" w:rsidRDefault="005342D5" w:rsidP="00CD7662">
            <w:pPr>
              <w:numPr>
                <w:ilvl w:val="0"/>
                <w:numId w:val="86"/>
              </w:numPr>
              <w:tabs>
                <w:tab w:val="left" w:pos="248"/>
              </w:tabs>
              <w:ind w:left="0" w:firstLine="0"/>
              <w:jc w:val="both"/>
              <w:rPr>
                <w:rFonts w:cs="Arial"/>
                <w:szCs w:val="22"/>
              </w:rPr>
            </w:pPr>
            <w:r w:rsidRPr="0019790A">
              <w:rPr>
                <w:rFonts w:cs="Arial"/>
                <w:bCs/>
                <w:szCs w:val="22"/>
              </w:rPr>
              <w:t>Підвищення рівня фізичної активності</w:t>
            </w:r>
            <w:r w:rsidRPr="0019790A">
              <w:rPr>
                <w:rFonts w:cs="Arial"/>
                <w:szCs w:val="22"/>
              </w:rPr>
              <w:t xml:space="preserve"> серед людей віком 50+.</w:t>
            </w:r>
          </w:p>
          <w:p w14:paraId="7339A007" w14:textId="77777777" w:rsidR="005342D5" w:rsidRPr="0019790A" w:rsidRDefault="005342D5" w:rsidP="00CD7662">
            <w:pPr>
              <w:numPr>
                <w:ilvl w:val="0"/>
                <w:numId w:val="86"/>
              </w:numPr>
              <w:tabs>
                <w:tab w:val="left" w:pos="248"/>
              </w:tabs>
              <w:ind w:left="0" w:firstLine="0"/>
              <w:jc w:val="both"/>
              <w:rPr>
                <w:rFonts w:cs="Arial"/>
                <w:szCs w:val="22"/>
              </w:rPr>
            </w:pPr>
            <w:r w:rsidRPr="0019790A">
              <w:rPr>
                <w:rFonts w:cs="Arial"/>
                <w:szCs w:val="22"/>
              </w:rPr>
              <w:t>Позитивні відгуки від користувачів та підвищена відвідуваність парку.</w:t>
            </w:r>
          </w:p>
        </w:tc>
      </w:tr>
      <w:tr w:rsidR="005342D5" w:rsidRPr="0019790A" w14:paraId="26F2D09D" w14:textId="77777777" w:rsidTr="00CD7662">
        <w:trPr>
          <w:jc w:val="right"/>
        </w:trPr>
        <w:tc>
          <w:tcPr>
            <w:tcW w:w="3425" w:type="dxa"/>
            <w:shd w:val="clear" w:color="auto" w:fill="FFFFFF"/>
            <w:vAlign w:val="center"/>
          </w:tcPr>
          <w:p w14:paraId="65F20995" w14:textId="77777777" w:rsidR="005342D5" w:rsidRPr="0019790A" w:rsidRDefault="005342D5" w:rsidP="0019790A">
            <w:pPr>
              <w:rPr>
                <w:rFonts w:cs="Arial"/>
                <w:b/>
                <w:szCs w:val="22"/>
              </w:rPr>
            </w:pPr>
            <w:r w:rsidRPr="0019790A">
              <w:rPr>
                <w:rFonts w:cs="Arial"/>
                <w:b/>
                <w:szCs w:val="22"/>
              </w:rPr>
              <w:t xml:space="preserve">Період здійснення: </w:t>
            </w:r>
          </w:p>
        </w:tc>
        <w:tc>
          <w:tcPr>
            <w:tcW w:w="6794" w:type="dxa"/>
            <w:gridSpan w:val="6"/>
            <w:vAlign w:val="center"/>
          </w:tcPr>
          <w:p w14:paraId="116691C4" w14:textId="77777777" w:rsidR="005342D5" w:rsidRPr="0019790A" w:rsidRDefault="005342D5" w:rsidP="00CD7662">
            <w:pPr>
              <w:tabs>
                <w:tab w:val="left" w:pos="248"/>
              </w:tabs>
              <w:jc w:val="both"/>
              <w:rPr>
                <w:rFonts w:cs="Arial"/>
                <w:szCs w:val="22"/>
              </w:rPr>
            </w:pPr>
            <w:r w:rsidRPr="0019790A">
              <w:rPr>
                <w:rFonts w:cs="Arial"/>
                <w:b/>
                <w:szCs w:val="22"/>
              </w:rPr>
              <w:t>2025 – 2028 роки:</w:t>
            </w:r>
          </w:p>
        </w:tc>
      </w:tr>
      <w:tr w:rsidR="005342D5" w:rsidRPr="0019790A" w14:paraId="6DD7414C" w14:textId="77777777" w:rsidTr="00CD7662">
        <w:trPr>
          <w:jc w:val="right"/>
        </w:trPr>
        <w:tc>
          <w:tcPr>
            <w:tcW w:w="3425" w:type="dxa"/>
            <w:vMerge w:val="restart"/>
            <w:shd w:val="clear" w:color="auto" w:fill="FFFFFF"/>
            <w:vAlign w:val="center"/>
          </w:tcPr>
          <w:p w14:paraId="4C39EAA8" w14:textId="77777777" w:rsidR="005342D5" w:rsidRPr="0019790A" w:rsidRDefault="005342D5" w:rsidP="0019790A">
            <w:pPr>
              <w:rPr>
                <w:rFonts w:cs="Arial"/>
                <w:b/>
                <w:bCs/>
                <w:szCs w:val="22"/>
              </w:rPr>
            </w:pPr>
            <w:r w:rsidRPr="0019790A">
              <w:rPr>
                <w:rFonts w:cs="Arial"/>
                <w:b/>
                <w:bCs/>
                <w:szCs w:val="22"/>
              </w:rPr>
              <w:t>Орієнтовна вартість проєкту, тис. грн., в тому числі:</w:t>
            </w:r>
          </w:p>
        </w:tc>
        <w:tc>
          <w:tcPr>
            <w:tcW w:w="1254" w:type="dxa"/>
            <w:gridSpan w:val="2"/>
            <w:shd w:val="clear" w:color="auto" w:fill="E6E6E6"/>
            <w:vAlign w:val="center"/>
          </w:tcPr>
          <w:p w14:paraId="64EBFDC7" w14:textId="77777777" w:rsidR="005342D5" w:rsidRPr="0019790A" w:rsidRDefault="005342D5" w:rsidP="00CD7662">
            <w:pPr>
              <w:jc w:val="center"/>
              <w:rPr>
                <w:rFonts w:cs="Arial"/>
                <w:b/>
                <w:szCs w:val="22"/>
              </w:rPr>
            </w:pPr>
            <w:r w:rsidRPr="0019790A">
              <w:rPr>
                <w:rFonts w:cs="Arial"/>
                <w:b/>
                <w:szCs w:val="22"/>
              </w:rPr>
              <w:t>2025</w:t>
            </w:r>
          </w:p>
        </w:tc>
        <w:tc>
          <w:tcPr>
            <w:tcW w:w="1275" w:type="dxa"/>
            <w:shd w:val="clear" w:color="auto" w:fill="E6E6E6"/>
            <w:vAlign w:val="center"/>
          </w:tcPr>
          <w:p w14:paraId="4C73B7D3" w14:textId="77777777" w:rsidR="005342D5" w:rsidRPr="0019790A" w:rsidRDefault="005342D5" w:rsidP="00CD7662">
            <w:pPr>
              <w:jc w:val="center"/>
              <w:rPr>
                <w:rFonts w:cs="Arial"/>
                <w:b/>
                <w:szCs w:val="22"/>
              </w:rPr>
            </w:pPr>
            <w:r w:rsidRPr="0019790A">
              <w:rPr>
                <w:rFonts w:cs="Arial"/>
                <w:b/>
                <w:szCs w:val="22"/>
              </w:rPr>
              <w:t>2026</w:t>
            </w:r>
          </w:p>
        </w:tc>
        <w:tc>
          <w:tcPr>
            <w:tcW w:w="1418" w:type="dxa"/>
            <w:tcBorders>
              <w:bottom w:val="single" w:sz="4" w:space="0" w:color="auto"/>
            </w:tcBorders>
            <w:shd w:val="clear" w:color="auto" w:fill="E6E6E6"/>
            <w:vAlign w:val="center"/>
          </w:tcPr>
          <w:p w14:paraId="0E5FEF26" w14:textId="77777777" w:rsidR="005342D5" w:rsidRPr="0019790A" w:rsidRDefault="005342D5" w:rsidP="00CD7662">
            <w:pPr>
              <w:jc w:val="center"/>
              <w:rPr>
                <w:rFonts w:cs="Arial"/>
                <w:b/>
                <w:szCs w:val="22"/>
              </w:rPr>
            </w:pPr>
            <w:r w:rsidRPr="0019790A">
              <w:rPr>
                <w:rFonts w:cs="Arial"/>
                <w:b/>
                <w:szCs w:val="22"/>
              </w:rPr>
              <w:t>2027</w:t>
            </w:r>
          </w:p>
        </w:tc>
        <w:tc>
          <w:tcPr>
            <w:tcW w:w="1276" w:type="dxa"/>
            <w:shd w:val="clear" w:color="auto" w:fill="E6E6E6"/>
            <w:vAlign w:val="center"/>
          </w:tcPr>
          <w:p w14:paraId="116641F3" w14:textId="77777777" w:rsidR="005342D5" w:rsidRPr="0019790A" w:rsidRDefault="005342D5" w:rsidP="00CD7662">
            <w:pPr>
              <w:jc w:val="center"/>
              <w:rPr>
                <w:rFonts w:cs="Arial"/>
                <w:b/>
                <w:szCs w:val="22"/>
              </w:rPr>
            </w:pPr>
            <w:r w:rsidRPr="0019790A">
              <w:rPr>
                <w:rFonts w:cs="Arial"/>
                <w:b/>
                <w:szCs w:val="22"/>
              </w:rPr>
              <w:t>2028</w:t>
            </w:r>
          </w:p>
        </w:tc>
        <w:tc>
          <w:tcPr>
            <w:tcW w:w="1571" w:type="dxa"/>
            <w:shd w:val="clear" w:color="auto" w:fill="E6E6E6"/>
            <w:vAlign w:val="center"/>
          </w:tcPr>
          <w:p w14:paraId="1AFCC326" w14:textId="77777777" w:rsidR="005342D5" w:rsidRPr="0019790A" w:rsidRDefault="005342D5" w:rsidP="00CD7662">
            <w:pPr>
              <w:jc w:val="center"/>
              <w:rPr>
                <w:rFonts w:cs="Arial"/>
                <w:b/>
                <w:szCs w:val="22"/>
              </w:rPr>
            </w:pPr>
            <w:r w:rsidRPr="0019790A">
              <w:rPr>
                <w:rFonts w:cs="Arial"/>
                <w:b/>
                <w:szCs w:val="22"/>
              </w:rPr>
              <w:t>РАЗОМ</w:t>
            </w:r>
          </w:p>
        </w:tc>
      </w:tr>
      <w:tr w:rsidR="005342D5" w:rsidRPr="0019790A" w14:paraId="6856934E" w14:textId="77777777" w:rsidTr="00CD7662">
        <w:trPr>
          <w:jc w:val="right"/>
        </w:trPr>
        <w:tc>
          <w:tcPr>
            <w:tcW w:w="3425" w:type="dxa"/>
            <w:vMerge/>
            <w:shd w:val="clear" w:color="auto" w:fill="FFFFFF"/>
            <w:vAlign w:val="center"/>
          </w:tcPr>
          <w:p w14:paraId="75F0FF29" w14:textId="77777777" w:rsidR="005342D5" w:rsidRPr="0019790A" w:rsidRDefault="005342D5" w:rsidP="0019790A">
            <w:pPr>
              <w:rPr>
                <w:rFonts w:cs="Arial"/>
                <w:b/>
                <w:bCs/>
                <w:szCs w:val="22"/>
              </w:rPr>
            </w:pPr>
          </w:p>
        </w:tc>
        <w:tc>
          <w:tcPr>
            <w:tcW w:w="1254" w:type="dxa"/>
            <w:gridSpan w:val="2"/>
            <w:vAlign w:val="center"/>
          </w:tcPr>
          <w:p w14:paraId="3979C028" w14:textId="77777777" w:rsidR="005342D5" w:rsidRPr="0019790A" w:rsidRDefault="005342D5" w:rsidP="00CD7662">
            <w:pPr>
              <w:jc w:val="center"/>
              <w:rPr>
                <w:rFonts w:cs="Arial"/>
                <w:b/>
                <w:szCs w:val="22"/>
              </w:rPr>
            </w:pPr>
          </w:p>
        </w:tc>
        <w:tc>
          <w:tcPr>
            <w:tcW w:w="1275" w:type="dxa"/>
            <w:shd w:val="clear" w:color="auto" w:fill="FFFFFF"/>
            <w:vAlign w:val="center"/>
          </w:tcPr>
          <w:p w14:paraId="0ECD868A" w14:textId="77777777" w:rsidR="005342D5" w:rsidRPr="0019790A" w:rsidRDefault="005342D5" w:rsidP="00CD7662">
            <w:pPr>
              <w:jc w:val="center"/>
              <w:rPr>
                <w:rFonts w:cs="Arial"/>
                <w:b/>
                <w:szCs w:val="22"/>
              </w:rPr>
            </w:pPr>
            <w:r w:rsidRPr="0019790A">
              <w:rPr>
                <w:rFonts w:cs="Arial"/>
                <w:b/>
                <w:szCs w:val="22"/>
              </w:rPr>
              <w:t>1000,0</w:t>
            </w:r>
          </w:p>
        </w:tc>
        <w:tc>
          <w:tcPr>
            <w:tcW w:w="1418" w:type="dxa"/>
            <w:shd w:val="clear" w:color="auto" w:fill="auto"/>
            <w:vAlign w:val="center"/>
          </w:tcPr>
          <w:p w14:paraId="7DAF24F6" w14:textId="77777777" w:rsidR="005342D5" w:rsidRPr="0019790A" w:rsidRDefault="005342D5" w:rsidP="00CD7662">
            <w:pPr>
              <w:jc w:val="center"/>
              <w:rPr>
                <w:rFonts w:cs="Arial"/>
                <w:b/>
                <w:szCs w:val="22"/>
              </w:rPr>
            </w:pPr>
          </w:p>
        </w:tc>
        <w:tc>
          <w:tcPr>
            <w:tcW w:w="1276" w:type="dxa"/>
            <w:shd w:val="clear" w:color="auto" w:fill="FFFFFF"/>
            <w:vAlign w:val="center"/>
          </w:tcPr>
          <w:p w14:paraId="4329E07C" w14:textId="77777777" w:rsidR="005342D5" w:rsidRPr="0019790A" w:rsidRDefault="005342D5" w:rsidP="00CD7662">
            <w:pPr>
              <w:jc w:val="center"/>
              <w:rPr>
                <w:rFonts w:cs="Arial"/>
                <w:b/>
                <w:szCs w:val="22"/>
              </w:rPr>
            </w:pPr>
          </w:p>
        </w:tc>
        <w:tc>
          <w:tcPr>
            <w:tcW w:w="1571" w:type="dxa"/>
            <w:shd w:val="clear" w:color="auto" w:fill="FFFFFF"/>
            <w:vAlign w:val="center"/>
          </w:tcPr>
          <w:p w14:paraId="3895DD46" w14:textId="77777777" w:rsidR="005342D5" w:rsidRPr="0019790A" w:rsidRDefault="005342D5" w:rsidP="00CD7662">
            <w:pPr>
              <w:jc w:val="center"/>
              <w:rPr>
                <w:rFonts w:cs="Arial"/>
                <w:b/>
                <w:szCs w:val="22"/>
              </w:rPr>
            </w:pPr>
            <w:r w:rsidRPr="0019790A">
              <w:rPr>
                <w:rFonts w:cs="Arial"/>
                <w:b/>
                <w:szCs w:val="22"/>
              </w:rPr>
              <w:t>1000,0</w:t>
            </w:r>
          </w:p>
        </w:tc>
      </w:tr>
      <w:tr w:rsidR="005342D5" w:rsidRPr="0019790A" w14:paraId="276111DF" w14:textId="77777777" w:rsidTr="00CD7662">
        <w:trPr>
          <w:trHeight w:val="276"/>
          <w:jc w:val="right"/>
        </w:trPr>
        <w:tc>
          <w:tcPr>
            <w:tcW w:w="3425" w:type="dxa"/>
            <w:shd w:val="clear" w:color="auto" w:fill="FFFFFF"/>
            <w:vAlign w:val="center"/>
          </w:tcPr>
          <w:p w14:paraId="5C5DFF1C" w14:textId="77777777" w:rsidR="005342D5" w:rsidRPr="0019790A" w:rsidRDefault="005342D5" w:rsidP="0019790A">
            <w:pPr>
              <w:rPr>
                <w:rFonts w:cs="Arial"/>
                <w:b/>
                <w:bCs/>
                <w:szCs w:val="22"/>
              </w:rPr>
            </w:pPr>
            <w:r w:rsidRPr="0019790A">
              <w:rPr>
                <w:rFonts w:cs="Arial"/>
                <w:b/>
                <w:bCs/>
                <w:szCs w:val="22"/>
              </w:rPr>
              <w:t>по джерелах фінансування:</w:t>
            </w:r>
          </w:p>
        </w:tc>
        <w:tc>
          <w:tcPr>
            <w:tcW w:w="6794" w:type="dxa"/>
            <w:gridSpan w:val="6"/>
            <w:vAlign w:val="center"/>
          </w:tcPr>
          <w:p w14:paraId="1D10C4F8" w14:textId="77777777" w:rsidR="005342D5" w:rsidRPr="0019790A" w:rsidRDefault="005342D5" w:rsidP="00CD7662">
            <w:pPr>
              <w:jc w:val="center"/>
              <w:rPr>
                <w:rFonts w:cs="Arial"/>
                <w:szCs w:val="22"/>
              </w:rPr>
            </w:pPr>
          </w:p>
        </w:tc>
      </w:tr>
      <w:tr w:rsidR="00CD7662" w:rsidRPr="0019790A" w14:paraId="5153E443" w14:textId="7F5B6226" w:rsidTr="00CD7662">
        <w:trPr>
          <w:trHeight w:val="240"/>
          <w:jc w:val="right"/>
        </w:trPr>
        <w:tc>
          <w:tcPr>
            <w:tcW w:w="3425" w:type="dxa"/>
            <w:shd w:val="clear" w:color="auto" w:fill="FFFFFF"/>
            <w:vAlign w:val="center"/>
          </w:tcPr>
          <w:p w14:paraId="51F75F31" w14:textId="77777777" w:rsidR="00CD7662" w:rsidRPr="0019790A" w:rsidRDefault="00CD7662" w:rsidP="0019790A">
            <w:pPr>
              <w:rPr>
                <w:rFonts w:cs="Arial"/>
                <w:b/>
                <w:bCs/>
                <w:szCs w:val="22"/>
              </w:rPr>
            </w:pPr>
            <w:r w:rsidRPr="0019790A">
              <w:rPr>
                <w:rFonts w:cs="Arial"/>
                <w:szCs w:val="22"/>
              </w:rPr>
              <w:t>- державний бюджет</w:t>
            </w:r>
          </w:p>
        </w:tc>
        <w:tc>
          <w:tcPr>
            <w:tcW w:w="1238" w:type="dxa"/>
            <w:vAlign w:val="center"/>
          </w:tcPr>
          <w:p w14:paraId="1A0BCA12" w14:textId="77777777" w:rsidR="00CD7662" w:rsidRPr="0019790A" w:rsidRDefault="00CD7662" w:rsidP="00CD7662">
            <w:pPr>
              <w:jc w:val="center"/>
              <w:rPr>
                <w:rFonts w:cs="Arial"/>
                <w:szCs w:val="22"/>
              </w:rPr>
            </w:pPr>
          </w:p>
        </w:tc>
        <w:tc>
          <w:tcPr>
            <w:tcW w:w="1296" w:type="dxa"/>
            <w:gridSpan w:val="2"/>
            <w:vAlign w:val="center"/>
          </w:tcPr>
          <w:p w14:paraId="775BE449" w14:textId="77777777" w:rsidR="00CD7662" w:rsidRPr="0019790A" w:rsidRDefault="00CD7662" w:rsidP="00CD7662">
            <w:pPr>
              <w:jc w:val="center"/>
              <w:rPr>
                <w:rFonts w:cs="Arial"/>
                <w:szCs w:val="22"/>
              </w:rPr>
            </w:pPr>
          </w:p>
        </w:tc>
        <w:tc>
          <w:tcPr>
            <w:tcW w:w="1421" w:type="dxa"/>
            <w:vAlign w:val="center"/>
          </w:tcPr>
          <w:p w14:paraId="7652BF05" w14:textId="77777777" w:rsidR="00CD7662" w:rsidRPr="0019790A" w:rsidRDefault="00CD7662" w:rsidP="00CD7662">
            <w:pPr>
              <w:jc w:val="center"/>
              <w:rPr>
                <w:rFonts w:cs="Arial"/>
                <w:szCs w:val="22"/>
              </w:rPr>
            </w:pPr>
          </w:p>
        </w:tc>
        <w:tc>
          <w:tcPr>
            <w:tcW w:w="1277" w:type="dxa"/>
            <w:vAlign w:val="center"/>
          </w:tcPr>
          <w:p w14:paraId="2B9930AF" w14:textId="77777777" w:rsidR="00CD7662" w:rsidRPr="0019790A" w:rsidRDefault="00CD7662" w:rsidP="00CD7662">
            <w:pPr>
              <w:jc w:val="center"/>
              <w:rPr>
                <w:rFonts w:cs="Arial"/>
                <w:szCs w:val="22"/>
              </w:rPr>
            </w:pPr>
          </w:p>
        </w:tc>
        <w:tc>
          <w:tcPr>
            <w:tcW w:w="1562" w:type="dxa"/>
            <w:vAlign w:val="center"/>
          </w:tcPr>
          <w:p w14:paraId="6FD13B25" w14:textId="77777777" w:rsidR="00CD7662" w:rsidRPr="0019790A" w:rsidRDefault="00CD7662" w:rsidP="00CD7662">
            <w:pPr>
              <w:jc w:val="center"/>
              <w:rPr>
                <w:rFonts w:cs="Arial"/>
                <w:szCs w:val="22"/>
              </w:rPr>
            </w:pPr>
          </w:p>
        </w:tc>
      </w:tr>
      <w:tr w:rsidR="00CD7662" w:rsidRPr="0019790A" w14:paraId="47C1601F" w14:textId="1BEC4DF5" w:rsidTr="00CD7662">
        <w:trPr>
          <w:trHeight w:val="254"/>
          <w:jc w:val="right"/>
        </w:trPr>
        <w:tc>
          <w:tcPr>
            <w:tcW w:w="3425" w:type="dxa"/>
            <w:shd w:val="clear" w:color="auto" w:fill="FFFFFF"/>
            <w:vAlign w:val="center"/>
          </w:tcPr>
          <w:p w14:paraId="1A68C25F" w14:textId="77777777" w:rsidR="00CD7662" w:rsidRPr="0019790A" w:rsidRDefault="00CD7662" w:rsidP="0019790A">
            <w:pPr>
              <w:rPr>
                <w:rFonts w:cs="Arial"/>
                <w:szCs w:val="22"/>
              </w:rPr>
            </w:pPr>
            <w:r w:rsidRPr="0019790A">
              <w:rPr>
                <w:rFonts w:cs="Arial"/>
                <w:szCs w:val="22"/>
              </w:rPr>
              <w:t>- обласний бюджет</w:t>
            </w:r>
          </w:p>
        </w:tc>
        <w:tc>
          <w:tcPr>
            <w:tcW w:w="1238" w:type="dxa"/>
            <w:vAlign w:val="center"/>
          </w:tcPr>
          <w:p w14:paraId="3FF57CCB" w14:textId="77777777" w:rsidR="00CD7662" w:rsidRPr="0019790A" w:rsidRDefault="00CD7662" w:rsidP="00CD7662">
            <w:pPr>
              <w:jc w:val="center"/>
              <w:rPr>
                <w:rFonts w:cs="Arial"/>
                <w:szCs w:val="22"/>
              </w:rPr>
            </w:pPr>
          </w:p>
        </w:tc>
        <w:tc>
          <w:tcPr>
            <w:tcW w:w="1296" w:type="dxa"/>
            <w:gridSpan w:val="2"/>
            <w:vAlign w:val="center"/>
          </w:tcPr>
          <w:p w14:paraId="2E47B166" w14:textId="77777777" w:rsidR="00CD7662" w:rsidRPr="0019790A" w:rsidRDefault="00CD7662" w:rsidP="00CD7662">
            <w:pPr>
              <w:jc w:val="center"/>
              <w:rPr>
                <w:rFonts w:cs="Arial"/>
                <w:szCs w:val="22"/>
              </w:rPr>
            </w:pPr>
          </w:p>
        </w:tc>
        <w:tc>
          <w:tcPr>
            <w:tcW w:w="1421" w:type="dxa"/>
            <w:vAlign w:val="center"/>
          </w:tcPr>
          <w:p w14:paraId="01467FA6" w14:textId="77777777" w:rsidR="00CD7662" w:rsidRPr="0019790A" w:rsidRDefault="00CD7662" w:rsidP="00CD7662">
            <w:pPr>
              <w:jc w:val="center"/>
              <w:rPr>
                <w:rFonts w:cs="Arial"/>
                <w:szCs w:val="22"/>
              </w:rPr>
            </w:pPr>
          </w:p>
        </w:tc>
        <w:tc>
          <w:tcPr>
            <w:tcW w:w="1277" w:type="dxa"/>
            <w:vAlign w:val="center"/>
          </w:tcPr>
          <w:p w14:paraId="6D7173C6" w14:textId="77777777" w:rsidR="00CD7662" w:rsidRPr="0019790A" w:rsidRDefault="00CD7662" w:rsidP="00CD7662">
            <w:pPr>
              <w:jc w:val="center"/>
              <w:rPr>
                <w:rFonts w:cs="Arial"/>
                <w:szCs w:val="22"/>
              </w:rPr>
            </w:pPr>
          </w:p>
        </w:tc>
        <w:tc>
          <w:tcPr>
            <w:tcW w:w="1562" w:type="dxa"/>
            <w:vAlign w:val="center"/>
          </w:tcPr>
          <w:p w14:paraId="53778319" w14:textId="77777777" w:rsidR="00CD7662" w:rsidRPr="0019790A" w:rsidRDefault="00CD7662" w:rsidP="00CD7662">
            <w:pPr>
              <w:jc w:val="center"/>
              <w:rPr>
                <w:rFonts w:cs="Arial"/>
                <w:szCs w:val="22"/>
              </w:rPr>
            </w:pPr>
          </w:p>
        </w:tc>
      </w:tr>
      <w:tr w:rsidR="00CD7662" w:rsidRPr="0019790A" w14:paraId="0B27CADF" w14:textId="5FB595A8" w:rsidTr="00CD7662">
        <w:trPr>
          <w:trHeight w:val="275"/>
          <w:jc w:val="right"/>
        </w:trPr>
        <w:tc>
          <w:tcPr>
            <w:tcW w:w="3425" w:type="dxa"/>
            <w:shd w:val="clear" w:color="auto" w:fill="FFFFFF"/>
            <w:vAlign w:val="center"/>
          </w:tcPr>
          <w:p w14:paraId="60916013" w14:textId="77777777" w:rsidR="00CD7662" w:rsidRPr="0019790A" w:rsidRDefault="00CD7662" w:rsidP="00CD7662">
            <w:pPr>
              <w:rPr>
                <w:rFonts w:cs="Arial"/>
                <w:szCs w:val="22"/>
              </w:rPr>
            </w:pPr>
            <w:r w:rsidRPr="0019790A">
              <w:rPr>
                <w:rFonts w:cs="Arial"/>
                <w:szCs w:val="22"/>
              </w:rPr>
              <w:t>- бюджет Жмеринської МТГ</w:t>
            </w:r>
          </w:p>
        </w:tc>
        <w:tc>
          <w:tcPr>
            <w:tcW w:w="1238" w:type="dxa"/>
            <w:vAlign w:val="center"/>
          </w:tcPr>
          <w:p w14:paraId="441F9870" w14:textId="6C49B1F3" w:rsidR="00CD7662" w:rsidRPr="0019790A" w:rsidRDefault="00CD7662" w:rsidP="00CD7662">
            <w:pPr>
              <w:jc w:val="center"/>
              <w:rPr>
                <w:rFonts w:cs="Arial"/>
                <w:b/>
                <w:szCs w:val="22"/>
              </w:rPr>
            </w:pPr>
          </w:p>
        </w:tc>
        <w:tc>
          <w:tcPr>
            <w:tcW w:w="1296" w:type="dxa"/>
            <w:gridSpan w:val="2"/>
            <w:vAlign w:val="center"/>
          </w:tcPr>
          <w:p w14:paraId="457CB668" w14:textId="19C0B5B2" w:rsidR="00CD7662" w:rsidRPr="0019790A" w:rsidRDefault="00CD7662" w:rsidP="00CD7662">
            <w:pPr>
              <w:jc w:val="center"/>
              <w:rPr>
                <w:rFonts w:cs="Arial"/>
                <w:b/>
                <w:szCs w:val="22"/>
              </w:rPr>
            </w:pPr>
            <w:r w:rsidRPr="0019790A">
              <w:rPr>
                <w:rFonts w:cs="Arial"/>
                <w:b/>
                <w:szCs w:val="22"/>
              </w:rPr>
              <w:t>1000,0</w:t>
            </w:r>
          </w:p>
        </w:tc>
        <w:tc>
          <w:tcPr>
            <w:tcW w:w="1421" w:type="dxa"/>
            <w:vAlign w:val="center"/>
          </w:tcPr>
          <w:p w14:paraId="233F66CE" w14:textId="77777777" w:rsidR="00CD7662" w:rsidRPr="0019790A" w:rsidRDefault="00CD7662" w:rsidP="00CD7662">
            <w:pPr>
              <w:jc w:val="center"/>
              <w:rPr>
                <w:rFonts w:cs="Arial"/>
                <w:b/>
                <w:szCs w:val="22"/>
              </w:rPr>
            </w:pPr>
          </w:p>
        </w:tc>
        <w:tc>
          <w:tcPr>
            <w:tcW w:w="1277" w:type="dxa"/>
            <w:vAlign w:val="center"/>
          </w:tcPr>
          <w:p w14:paraId="4FAB0008" w14:textId="77777777" w:rsidR="00CD7662" w:rsidRPr="0019790A" w:rsidRDefault="00CD7662" w:rsidP="00CD7662">
            <w:pPr>
              <w:jc w:val="center"/>
              <w:rPr>
                <w:rFonts w:cs="Arial"/>
                <w:b/>
                <w:szCs w:val="22"/>
              </w:rPr>
            </w:pPr>
          </w:p>
        </w:tc>
        <w:tc>
          <w:tcPr>
            <w:tcW w:w="1562" w:type="dxa"/>
            <w:vAlign w:val="center"/>
          </w:tcPr>
          <w:p w14:paraId="543B32BC" w14:textId="1107262A" w:rsidR="00CD7662" w:rsidRPr="0019790A" w:rsidRDefault="00CD7662" w:rsidP="00CD7662">
            <w:pPr>
              <w:jc w:val="center"/>
              <w:rPr>
                <w:rFonts w:cs="Arial"/>
                <w:b/>
                <w:szCs w:val="22"/>
              </w:rPr>
            </w:pPr>
            <w:r w:rsidRPr="0019790A">
              <w:rPr>
                <w:rFonts w:cs="Arial"/>
                <w:b/>
                <w:szCs w:val="22"/>
              </w:rPr>
              <w:t>1000,0</w:t>
            </w:r>
          </w:p>
        </w:tc>
      </w:tr>
      <w:tr w:rsidR="00CD7662" w:rsidRPr="0019790A" w14:paraId="70A57DDB" w14:textId="187A12D2" w:rsidTr="00CD7662">
        <w:trPr>
          <w:trHeight w:val="226"/>
          <w:jc w:val="right"/>
        </w:trPr>
        <w:tc>
          <w:tcPr>
            <w:tcW w:w="3425" w:type="dxa"/>
            <w:shd w:val="clear" w:color="auto" w:fill="FFFFFF"/>
            <w:vAlign w:val="center"/>
          </w:tcPr>
          <w:p w14:paraId="109E79BF" w14:textId="77777777" w:rsidR="00CD7662" w:rsidRPr="0019790A" w:rsidRDefault="00CD7662" w:rsidP="00CD7662">
            <w:pPr>
              <w:rPr>
                <w:rFonts w:cs="Arial"/>
                <w:szCs w:val="22"/>
              </w:rPr>
            </w:pPr>
            <w:r w:rsidRPr="0019790A">
              <w:rPr>
                <w:rFonts w:cs="Arial"/>
                <w:szCs w:val="22"/>
              </w:rPr>
              <w:t>- інші джерела фінансування</w:t>
            </w:r>
          </w:p>
        </w:tc>
        <w:tc>
          <w:tcPr>
            <w:tcW w:w="1238" w:type="dxa"/>
            <w:vAlign w:val="center"/>
          </w:tcPr>
          <w:p w14:paraId="2AB158B9" w14:textId="77777777" w:rsidR="00CD7662" w:rsidRPr="0019790A" w:rsidRDefault="00CD7662" w:rsidP="00CD7662">
            <w:pPr>
              <w:jc w:val="center"/>
              <w:rPr>
                <w:rFonts w:cs="Arial"/>
                <w:szCs w:val="22"/>
              </w:rPr>
            </w:pPr>
          </w:p>
        </w:tc>
        <w:tc>
          <w:tcPr>
            <w:tcW w:w="1296" w:type="dxa"/>
            <w:gridSpan w:val="2"/>
            <w:vAlign w:val="center"/>
          </w:tcPr>
          <w:p w14:paraId="03579B85" w14:textId="77777777" w:rsidR="00CD7662" w:rsidRPr="0019790A" w:rsidRDefault="00CD7662" w:rsidP="00CD7662">
            <w:pPr>
              <w:jc w:val="center"/>
              <w:rPr>
                <w:rFonts w:cs="Arial"/>
                <w:szCs w:val="22"/>
              </w:rPr>
            </w:pPr>
          </w:p>
        </w:tc>
        <w:tc>
          <w:tcPr>
            <w:tcW w:w="1421" w:type="dxa"/>
            <w:vAlign w:val="center"/>
          </w:tcPr>
          <w:p w14:paraId="7917FE03" w14:textId="77777777" w:rsidR="00CD7662" w:rsidRPr="0019790A" w:rsidRDefault="00CD7662" w:rsidP="00CD7662">
            <w:pPr>
              <w:jc w:val="center"/>
              <w:rPr>
                <w:rFonts w:cs="Arial"/>
                <w:szCs w:val="22"/>
              </w:rPr>
            </w:pPr>
          </w:p>
        </w:tc>
        <w:tc>
          <w:tcPr>
            <w:tcW w:w="1277" w:type="dxa"/>
            <w:vAlign w:val="center"/>
          </w:tcPr>
          <w:p w14:paraId="3A089C3F" w14:textId="77777777" w:rsidR="00CD7662" w:rsidRPr="0019790A" w:rsidRDefault="00CD7662" w:rsidP="00CD7662">
            <w:pPr>
              <w:jc w:val="center"/>
              <w:rPr>
                <w:rFonts w:cs="Arial"/>
                <w:szCs w:val="22"/>
              </w:rPr>
            </w:pPr>
          </w:p>
        </w:tc>
        <w:tc>
          <w:tcPr>
            <w:tcW w:w="1562" w:type="dxa"/>
            <w:vAlign w:val="center"/>
          </w:tcPr>
          <w:p w14:paraId="1E30AF06" w14:textId="77777777" w:rsidR="00CD7662" w:rsidRPr="0019790A" w:rsidRDefault="00CD7662" w:rsidP="00CD7662">
            <w:pPr>
              <w:jc w:val="center"/>
              <w:rPr>
                <w:rFonts w:cs="Arial"/>
                <w:szCs w:val="22"/>
              </w:rPr>
            </w:pPr>
          </w:p>
        </w:tc>
      </w:tr>
      <w:tr w:rsidR="00CD7662" w:rsidRPr="0019790A" w14:paraId="07E56A56" w14:textId="77777777" w:rsidTr="00CF3AAE">
        <w:trPr>
          <w:jc w:val="right"/>
        </w:trPr>
        <w:tc>
          <w:tcPr>
            <w:tcW w:w="3425" w:type="dxa"/>
            <w:shd w:val="clear" w:color="auto" w:fill="FFFFFF"/>
            <w:vAlign w:val="center"/>
          </w:tcPr>
          <w:p w14:paraId="17DA33CC" w14:textId="77777777" w:rsidR="00CD7662" w:rsidRPr="0019790A" w:rsidRDefault="00CD7662" w:rsidP="00CD7662">
            <w:pPr>
              <w:rPr>
                <w:rFonts w:cs="Arial"/>
                <w:b/>
                <w:bCs/>
                <w:szCs w:val="22"/>
              </w:rPr>
            </w:pPr>
            <w:r w:rsidRPr="0019790A">
              <w:rPr>
                <w:rFonts w:cs="Arial"/>
                <w:b/>
                <w:szCs w:val="22"/>
              </w:rPr>
              <w:t>Відповідальний виконавець проєкту:</w:t>
            </w:r>
          </w:p>
        </w:tc>
        <w:tc>
          <w:tcPr>
            <w:tcW w:w="6794" w:type="dxa"/>
            <w:gridSpan w:val="6"/>
            <w:vAlign w:val="center"/>
          </w:tcPr>
          <w:p w14:paraId="447CEEE4" w14:textId="77777777" w:rsidR="00CD7662" w:rsidRPr="0019790A" w:rsidRDefault="00CD7662" w:rsidP="00CD7662">
            <w:pPr>
              <w:jc w:val="both"/>
              <w:rPr>
                <w:rFonts w:cs="Arial"/>
                <w:szCs w:val="22"/>
              </w:rPr>
            </w:pPr>
            <w:r w:rsidRPr="0019790A">
              <w:rPr>
                <w:rFonts w:cs="Arial"/>
                <w:szCs w:val="22"/>
              </w:rPr>
              <w:t>Управління житлово-комунального господарства Жмеринської міської ради, комунальне підприємство «Парковий культурно-спортивний комплекс» Жмеринської міської ради Вінницької області</w:t>
            </w:r>
          </w:p>
        </w:tc>
      </w:tr>
      <w:tr w:rsidR="00CD7662" w:rsidRPr="0019790A" w14:paraId="74F0DADC" w14:textId="77777777" w:rsidTr="00CF3AAE">
        <w:trPr>
          <w:jc w:val="right"/>
        </w:trPr>
        <w:tc>
          <w:tcPr>
            <w:tcW w:w="3425" w:type="dxa"/>
            <w:shd w:val="clear" w:color="auto" w:fill="FFFFFF"/>
            <w:vAlign w:val="center"/>
          </w:tcPr>
          <w:p w14:paraId="072D1FFD" w14:textId="77777777" w:rsidR="00CD7662" w:rsidRPr="0019790A" w:rsidRDefault="00CD7662" w:rsidP="00CD7662">
            <w:pPr>
              <w:rPr>
                <w:rFonts w:cs="Arial"/>
                <w:b/>
                <w:bCs/>
                <w:szCs w:val="22"/>
              </w:rPr>
            </w:pPr>
            <w:r w:rsidRPr="0019790A">
              <w:rPr>
                <w:rFonts w:cs="Arial"/>
                <w:b/>
                <w:bCs/>
                <w:szCs w:val="22"/>
              </w:rPr>
              <w:t>Інше:</w:t>
            </w:r>
          </w:p>
        </w:tc>
        <w:tc>
          <w:tcPr>
            <w:tcW w:w="6794" w:type="dxa"/>
            <w:gridSpan w:val="6"/>
            <w:vAlign w:val="center"/>
          </w:tcPr>
          <w:p w14:paraId="1572ECBD" w14:textId="77777777" w:rsidR="00CD7662" w:rsidRPr="0019790A" w:rsidRDefault="00CD7662" w:rsidP="00CD7662">
            <w:pPr>
              <w:rPr>
                <w:rFonts w:cs="Arial"/>
                <w:szCs w:val="22"/>
              </w:rPr>
            </w:pPr>
          </w:p>
        </w:tc>
      </w:tr>
    </w:tbl>
    <w:p w14:paraId="1DC4C133" w14:textId="77777777" w:rsidR="005342D5" w:rsidRPr="0019790A" w:rsidRDefault="005342D5" w:rsidP="0019790A">
      <w:pPr>
        <w:rPr>
          <w:rFonts w:cs="Arial"/>
          <w:szCs w:val="22"/>
        </w:rPr>
      </w:pPr>
    </w:p>
    <w:p w14:paraId="2034820B" w14:textId="77777777" w:rsidR="005342D5" w:rsidRPr="0019790A" w:rsidRDefault="005342D5" w:rsidP="0019790A">
      <w:pPr>
        <w:rPr>
          <w:rFonts w:cs="Arial"/>
          <w:szCs w:val="22"/>
        </w:rPr>
      </w:pPr>
    </w:p>
    <w:p w14:paraId="5D67B737" w14:textId="77777777" w:rsidR="005342D5" w:rsidRPr="0019790A" w:rsidRDefault="005342D5" w:rsidP="0019790A">
      <w:pPr>
        <w:jc w:val="center"/>
        <w:rPr>
          <w:rFonts w:cs="Arial"/>
          <w:b/>
          <w:szCs w:val="22"/>
        </w:rPr>
      </w:pPr>
      <w:r w:rsidRPr="0019790A">
        <w:rPr>
          <w:rFonts w:cs="Arial"/>
          <w:b/>
          <w:szCs w:val="22"/>
        </w:rPr>
        <w:t>Форма технічного завдання на проєкт місцевого розвитку</w:t>
      </w:r>
    </w:p>
    <w:p w14:paraId="6EECAB18" w14:textId="77777777" w:rsidR="005342D5" w:rsidRPr="0019790A" w:rsidRDefault="005342D5" w:rsidP="0019790A">
      <w:pPr>
        <w:jc w:val="center"/>
        <w:rPr>
          <w:rFonts w:cs="Arial"/>
          <w:b/>
          <w:szCs w:val="22"/>
        </w:rPr>
      </w:pPr>
      <w:r w:rsidRPr="0019790A">
        <w:rPr>
          <w:rFonts w:cs="Arial"/>
          <w:b/>
          <w:szCs w:val="22"/>
        </w:rPr>
        <w:t>до Плану заходів з реалізації Стратегії</w:t>
      </w:r>
    </w:p>
    <w:p w14:paraId="086CAA10" w14:textId="77777777" w:rsidR="005342D5" w:rsidRPr="0019790A" w:rsidRDefault="005342D5"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13"/>
        <w:gridCol w:w="1262"/>
        <w:gridCol w:w="15"/>
        <w:gridCol w:w="1392"/>
        <w:gridCol w:w="11"/>
        <w:gridCol w:w="1276"/>
        <w:gridCol w:w="9"/>
        <w:gridCol w:w="1562"/>
      </w:tblGrid>
      <w:tr w:rsidR="005342D5" w:rsidRPr="0019790A" w14:paraId="11E8117B" w14:textId="77777777" w:rsidTr="00CF3AAE">
        <w:trPr>
          <w:jc w:val="right"/>
        </w:trPr>
        <w:tc>
          <w:tcPr>
            <w:tcW w:w="3425" w:type="dxa"/>
            <w:vAlign w:val="center"/>
          </w:tcPr>
          <w:p w14:paraId="4BC4E27B" w14:textId="77777777" w:rsidR="005342D5" w:rsidRPr="0019790A" w:rsidRDefault="005342D5" w:rsidP="0019790A">
            <w:pPr>
              <w:rPr>
                <w:rFonts w:cs="Arial"/>
                <w:b/>
                <w:bCs/>
                <w:szCs w:val="22"/>
              </w:rPr>
            </w:pPr>
            <w:r w:rsidRPr="0019790A">
              <w:rPr>
                <w:rFonts w:cs="Arial"/>
                <w:b/>
                <w:bCs/>
                <w:szCs w:val="22"/>
              </w:rPr>
              <w:t>Назва проєкту:</w:t>
            </w:r>
          </w:p>
        </w:tc>
        <w:tc>
          <w:tcPr>
            <w:tcW w:w="6794" w:type="dxa"/>
            <w:gridSpan w:val="9"/>
          </w:tcPr>
          <w:p w14:paraId="5B316B23" w14:textId="77777777" w:rsidR="005342D5" w:rsidRPr="00CD7662" w:rsidRDefault="005342D5" w:rsidP="00CD7662">
            <w:pPr>
              <w:jc w:val="both"/>
              <w:rPr>
                <w:rFonts w:cs="Arial"/>
                <w:b/>
                <w:szCs w:val="22"/>
              </w:rPr>
            </w:pPr>
            <w:r w:rsidRPr="00CD7662">
              <w:rPr>
                <w:rFonts w:cs="Arial"/>
                <w:b/>
                <w:szCs w:val="22"/>
              </w:rPr>
              <w:t>Модернізація спортивної інфраструктури КП "СОЗ «Юність» для розвитку фізичної активності дітей, молоді, осіб середнього й пенсійного віку з урахуванням гендерної рівності та сучасних стандартів інклюзивності</w:t>
            </w:r>
          </w:p>
        </w:tc>
      </w:tr>
      <w:tr w:rsidR="005342D5" w:rsidRPr="0019790A" w14:paraId="1172A14E" w14:textId="77777777" w:rsidTr="00CD7662">
        <w:trPr>
          <w:jc w:val="right"/>
        </w:trPr>
        <w:tc>
          <w:tcPr>
            <w:tcW w:w="3425" w:type="dxa"/>
          </w:tcPr>
          <w:p w14:paraId="0EF36784" w14:textId="77777777" w:rsidR="005342D5" w:rsidRPr="0019790A" w:rsidRDefault="005342D5" w:rsidP="0019790A">
            <w:pPr>
              <w:rPr>
                <w:rFonts w:cs="Arial"/>
                <w:szCs w:val="22"/>
              </w:rPr>
            </w:pPr>
            <w:r w:rsidRPr="0019790A">
              <w:rPr>
                <w:rFonts w:cs="Arial"/>
                <w:b/>
                <w:bCs/>
                <w:szCs w:val="22"/>
              </w:rPr>
              <w:t>Ваші контакти</w:t>
            </w:r>
            <w:r w:rsidRPr="0019790A">
              <w:rPr>
                <w:rFonts w:cs="Arial"/>
                <w:szCs w:val="22"/>
              </w:rPr>
              <w:t>:</w:t>
            </w:r>
          </w:p>
          <w:p w14:paraId="2AD6DF89" w14:textId="77777777" w:rsidR="005342D5" w:rsidRPr="0019790A" w:rsidRDefault="005342D5" w:rsidP="0019790A">
            <w:pPr>
              <w:rPr>
                <w:rFonts w:cs="Arial"/>
                <w:b/>
                <w:bCs/>
                <w:szCs w:val="22"/>
              </w:rPr>
            </w:pPr>
            <w:r w:rsidRPr="0019790A">
              <w:rPr>
                <w:rFonts w:cs="Arial"/>
                <w:szCs w:val="22"/>
              </w:rPr>
              <w:t>Назва установи, організації, підприємства</w:t>
            </w:r>
          </w:p>
        </w:tc>
        <w:tc>
          <w:tcPr>
            <w:tcW w:w="6794" w:type="dxa"/>
            <w:gridSpan w:val="9"/>
            <w:vAlign w:val="center"/>
          </w:tcPr>
          <w:p w14:paraId="104A6789" w14:textId="77777777" w:rsidR="005342D5" w:rsidRPr="0019790A" w:rsidRDefault="005342D5" w:rsidP="00CD7662">
            <w:pPr>
              <w:tabs>
                <w:tab w:val="left" w:pos="325"/>
              </w:tabs>
              <w:jc w:val="both"/>
              <w:rPr>
                <w:rFonts w:cs="Arial"/>
                <w:szCs w:val="22"/>
              </w:rPr>
            </w:pPr>
            <w:r w:rsidRPr="0019790A">
              <w:rPr>
                <w:rFonts w:cs="Arial"/>
                <w:szCs w:val="22"/>
              </w:rPr>
              <w:t>Відділ молоді та спорту Жмеринської міської ради</w:t>
            </w:r>
          </w:p>
        </w:tc>
      </w:tr>
      <w:tr w:rsidR="005342D5" w:rsidRPr="0019790A" w14:paraId="5F8C0585" w14:textId="77777777" w:rsidTr="00CD7662">
        <w:trPr>
          <w:jc w:val="right"/>
        </w:trPr>
        <w:tc>
          <w:tcPr>
            <w:tcW w:w="3425" w:type="dxa"/>
          </w:tcPr>
          <w:p w14:paraId="75A2D917" w14:textId="77777777" w:rsidR="005342D5" w:rsidRPr="0019790A" w:rsidRDefault="005342D5" w:rsidP="0019790A">
            <w:pPr>
              <w:rPr>
                <w:rFonts w:cs="Arial"/>
                <w:b/>
                <w:bCs/>
                <w:szCs w:val="22"/>
              </w:rPr>
            </w:pPr>
            <w:r w:rsidRPr="0019790A">
              <w:rPr>
                <w:rFonts w:cs="Arial"/>
                <w:szCs w:val="22"/>
              </w:rPr>
              <w:t>Прізвище Ім’я По-батькові:</w:t>
            </w:r>
          </w:p>
        </w:tc>
        <w:tc>
          <w:tcPr>
            <w:tcW w:w="6794" w:type="dxa"/>
            <w:gridSpan w:val="9"/>
            <w:vAlign w:val="center"/>
          </w:tcPr>
          <w:p w14:paraId="036F4A8F" w14:textId="77777777" w:rsidR="005342D5" w:rsidRPr="0019790A" w:rsidRDefault="005342D5" w:rsidP="00CD7662">
            <w:pPr>
              <w:tabs>
                <w:tab w:val="left" w:pos="325"/>
              </w:tabs>
              <w:jc w:val="both"/>
              <w:rPr>
                <w:rFonts w:cs="Arial"/>
                <w:szCs w:val="22"/>
              </w:rPr>
            </w:pPr>
            <w:r w:rsidRPr="0019790A">
              <w:rPr>
                <w:rFonts w:cs="Arial"/>
                <w:szCs w:val="22"/>
              </w:rPr>
              <w:t>Ковальська Олена Віталіївна</w:t>
            </w:r>
          </w:p>
        </w:tc>
      </w:tr>
      <w:tr w:rsidR="005342D5" w:rsidRPr="0019790A" w14:paraId="61C63A68" w14:textId="77777777" w:rsidTr="00CD7662">
        <w:trPr>
          <w:jc w:val="right"/>
        </w:trPr>
        <w:tc>
          <w:tcPr>
            <w:tcW w:w="3425" w:type="dxa"/>
          </w:tcPr>
          <w:p w14:paraId="19BCBAA7" w14:textId="77777777" w:rsidR="005342D5" w:rsidRPr="0019790A" w:rsidRDefault="005342D5" w:rsidP="0019790A">
            <w:pPr>
              <w:rPr>
                <w:rFonts w:cs="Arial"/>
                <w:b/>
                <w:bCs/>
                <w:szCs w:val="22"/>
              </w:rPr>
            </w:pPr>
            <w:r w:rsidRPr="0019790A">
              <w:rPr>
                <w:rFonts w:cs="Arial"/>
                <w:szCs w:val="22"/>
              </w:rPr>
              <w:t>Телефон (мобільний):</w:t>
            </w:r>
          </w:p>
        </w:tc>
        <w:tc>
          <w:tcPr>
            <w:tcW w:w="6794" w:type="dxa"/>
            <w:gridSpan w:val="9"/>
            <w:vAlign w:val="center"/>
          </w:tcPr>
          <w:p w14:paraId="78514B64" w14:textId="77777777" w:rsidR="005342D5" w:rsidRPr="0019790A" w:rsidRDefault="005342D5" w:rsidP="00CD7662">
            <w:pPr>
              <w:tabs>
                <w:tab w:val="left" w:pos="325"/>
              </w:tabs>
              <w:jc w:val="both"/>
              <w:rPr>
                <w:rFonts w:cs="Arial"/>
                <w:szCs w:val="22"/>
              </w:rPr>
            </w:pPr>
            <w:r w:rsidRPr="0019790A">
              <w:rPr>
                <w:rFonts w:cs="Arial"/>
                <w:szCs w:val="22"/>
              </w:rPr>
              <w:t>096-068-94-79</w:t>
            </w:r>
          </w:p>
        </w:tc>
      </w:tr>
      <w:tr w:rsidR="005342D5" w:rsidRPr="0019790A" w14:paraId="5D2DF237" w14:textId="77777777" w:rsidTr="00CD7662">
        <w:trPr>
          <w:jc w:val="right"/>
        </w:trPr>
        <w:tc>
          <w:tcPr>
            <w:tcW w:w="3425" w:type="dxa"/>
          </w:tcPr>
          <w:p w14:paraId="0CBB8405" w14:textId="77777777" w:rsidR="005342D5" w:rsidRPr="0019790A" w:rsidRDefault="005342D5" w:rsidP="0019790A">
            <w:pPr>
              <w:rPr>
                <w:rFonts w:cs="Arial"/>
                <w:b/>
                <w:bCs/>
                <w:szCs w:val="22"/>
              </w:rPr>
            </w:pPr>
            <w:r w:rsidRPr="0019790A">
              <w:rPr>
                <w:rFonts w:cs="Arial"/>
                <w:szCs w:val="22"/>
              </w:rPr>
              <w:t>Електронна адреса:</w:t>
            </w:r>
          </w:p>
        </w:tc>
        <w:tc>
          <w:tcPr>
            <w:tcW w:w="6794" w:type="dxa"/>
            <w:gridSpan w:val="9"/>
            <w:vAlign w:val="center"/>
          </w:tcPr>
          <w:p w14:paraId="10C47E4C" w14:textId="77777777" w:rsidR="005342D5" w:rsidRPr="0019790A" w:rsidRDefault="00D85FFD" w:rsidP="00CD7662">
            <w:pPr>
              <w:tabs>
                <w:tab w:val="left" w:pos="325"/>
              </w:tabs>
              <w:jc w:val="both"/>
              <w:rPr>
                <w:rFonts w:cs="Arial"/>
                <w:szCs w:val="22"/>
              </w:rPr>
            </w:pPr>
            <w:hyperlink r:id="rId160" w:history="1">
              <w:r w:rsidR="005342D5" w:rsidRPr="0019790A">
                <w:rPr>
                  <w:rStyle w:val="af0"/>
                  <w:rFonts w:cs="Arial"/>
                  <w:b/>
                  <w:bCs/>
                  <w:noProof w:val="0"/>
                  <w:sz w:val="22"/>
                  <w:szCs w:val="22"/>
                </w:rPr>
                <w:t>ms@zhmr.gov.ua</w:t>
              </w:r>
            </w:hyperlink>
          </w:p>
        </w:tc>
      </w:tr>
      <w:tr w:rsidR="005342D5" w:rsidRPr="0019790A" w14:paraId="02392AF4" w14:textId="77777777" w:rsidTr="00CD7662">
        <w:trPr>
          <w:trHeight w:val="1601"/>
          <w:jc w:val="right"/>
        </w:trPr>
        <w:tc>
          <w:tcPr>
            <w:tcW w:w="3425" w:type="dxa"/>
            <w:vAlign w:val="center"/>
          </w:tcPr>
          <w:p w14:paraId="46B20232" w14:textId="77777777" w:rsidR="005342D5" w:rsidRPr="0019790A" w:rsidRDefault="005342D5" w:rsidP="0019790A">
            <w:pPr>
              <w:rPr>
                <w:rFonts w:cs="Arial"/>
                <w:b/>
                <w:bCs/>
                <w:szCs w:val="22"/>
              </w:rPr>
            </w:pPr>
            <w:r w:rsidRPr="0019790A">
              <w:rPr>
                <w:rFonts w:cs="Arial"/>
                <w:b/>
                <w:bCs/>
                <w:szCs w:val="22"/>
              </w:rPr>
              <w:t>Номер і назва завдання з Стратегії розвитку Жмеринської міської територіальної громади,  якому відповідає проєкт:</w:t>
            </w:r>
          </w:p>
        </w:tc>
        <w:tc>
          <w:tcPr>
            <w:tcW w:w="6794" w:type="dxa"/>
            <w:gridSpan w:val="9"/>
            <w:vAlign w:val="center"/>
          </w:tcPr>
          <w:p w14:paraId="360B0651" w14:textId="77777777" w:rsidR="005342D5" w:rsidRPr="00CD7662" w:rsidRDefault="005342D5" w:rsidP="00CD7662">
            <w:pPr>
              <w:tabs>
                <w:tab w:val="left" w:pos="325"/>
              </w:tabs>
              <w:jc w:val="both"/>
              <w:rPr>
                <w:rFonts w:cs="Arial"/>
                <w:bCs/>
                <w:szCs w:val="22"/>
              </w:rPr>
            </w:pPr>
            <w:r w:rsidRPr="00CD7662">
              <w:rPr>
                <w:rFonts w:cs="Arial"/>
                <w:bCs/>
                <w:szCs w:val="22"/>
              </w:rPr>
              <w:t>С.3.4.1. Вдосконалення спортивного розвитку та самореалізації дітей, молоді, населення середнього та пенсійного віку.</w:t>
            </w:r>
          </w:p>
          <w:p w14:paraId="5FFE1635" w14:textId="77777777" w:rsidR="005342D5" w:rsidRPr="00CD7662" w:rsidRDefault="005342D5" w:rsidP="00CD7662">
            <w:pPr>
              <w:tabs>
                <w:tab w:val="left" w:pos="325"/>
              </w:tabs>
              <w:jc w:val="both"/>
              <w:rPr>
                <w:rFonts w:cs="Arial"/>
                <w:bCs/>
                <w:szCs w:val="22"/>
              </w:rPr>
            </w:pPr>
            <w:r w:rsidRPr="00CD7662">
              <w:rPr>
                <w:rFonts w:cs="Arial"/>
                <w:bCs/>
                <w:szCs w:val="22"/>
              </w:rPr>
              <w:t>С.3.4.2. Будівництво, реконструкція інфраструктури спорту з урахуванням гендерного аспекту.</w:t>
            </w:r>
          </w:p>
          <w:p w14:paraId="6AC77DFC" w14:textId="203E350F" w:rsidR="005342D5" w:rsidRPr="00CD7662" w:rsidRDefault="005342D5" w:rsidP="00CD7662">
            <w:pPr>
              <w:tabs>
                <w:tab w:val="left" w:pos="325"/>
              </w:tabs>
              <w:jc w:val="both"/>
              <w:rPr>
                <w:rFonts w:cs="Arial"/>
                <w:szCs w:val="22"/>
              </w:rPr>
            </w:pPr>
            <w:r w:rsidRPr="00CD7662">
              <w:rPr>
                <w:rFonts w:cs="Arial"/>
                <w:bCs/>
                <w:szCs w:val="22"/>
              </w:rPr>
              <w:t>С.3.4.4. Облаштування спортивних залів матеріально-технічною базою.</w:t>
            </w:r>
          </w:p>
        </w:tc>
      </w:tr>
      <w:tr w:rsidR="005342D5" w:rsidRPr="0019790A" w14:paraId="0DA01761" w14:textId="77777777" w:rsidTr="00CD7662">
        <w:trPr>
          <w:trHeight w:val="673"/>
          <w:jc w:val="right"/>
        </w:trPr>
        <w:tc>
          <w:tcPr>
            <w:tcW w:w="3425" w:type="dxa"/>
            <w:vAlign w:val="center"/>
          </w:tcPr>
          <w:p w14:paraId="66319699" w14:textId="77777777" w:rsidR="005342D5" w:rsidRPr="0019790A" w:rsidRDefault="005342D5" w:rsidP="0019790A">
            <w:pPr>
              <w:rPr>
                <w:rFonts w:cs="Arial"/>
                <w:b/>
                <w:bCs/>
                <w:szCs w:val="22"/>
              </w:rPr>
            </w:pPr>
            <w:r w:rsidRPr="0019790A">
              <w:rPr>
                <w:rFonts w:cs="Arial"/>
                <w:b/>
                <w:bCs/>
                <w:szCs w:val="22"/>
              </w:rPr>
              <w:t>Мета проєкту:</w:t>
            </w:r>
          </w:p>
        </w:tc>
        <w:tc>
          <w:tcPr>
            <w:tcW w:w="6794" w:type="dxa"/>
            <w:gridSpan w:val="9"/>
            <w:vAlign w:val="center"/>
          </w:tcPr>
          <w:p w14:paraId="176B6220" w14:textId="77777777" w:rsidR="005342D5" w:rsidRPr="0019790A" w:rsidRDefault="005342D5" w:rsidP="00CD7662">
            <w:pPr>
              <w:tabs>
                <w:tab w:val="left" w:pos="325"/>
              </w:tabs>
              <w:jc w:val="both"/>
              <w:rPr>
                <w:rFonts w:cs="Arial"/>
                <w:szCs w:val="22"/>
              </w:rPr>
            </w:pPr>
            <w:r w:rsidRPr="0019790A">
              <w:rPr>
                <w:rFonts w:cs="Arial"/>
                <w:szCs w:val="22"/>
              </w:rPr>
              <w:t>Сприяти фізичному розвитку, оздоровленню та самореалізації населення через оновлення матеріально-технічної бази КП "СОЗ «Юність», забезпечення рівного доступу до якісної спортивної інфраструктури для всіх вікових і соціальних груп через реконструкцію, облаштування та оснащення спортивних залів на базі КП "СОЗ «Юність» відповідно до гендерно-чутливих підходів і сучасних стандартів доступності.</w:t>
            </w:r>
          </w:p>
        </w:tc>
      </w:tr>
      <w:tr w:rsidR="005342D5" w:rsidRPr="0019790A" w14:paraId="5015B3D0" w14:textId="77777777" w:rsidTr="00CD7662">
        <w:trPr>
          <w:jc w:val="right"/>
        </w:trPr>
        <w:tc>
          <w:tcPr>
            <w:tcW w:w="3425" w:type="dxa"/>
            <w:vAlign w:val="center"/>
          </w:tcPr>
          <w:p w14:paraId="51ADAF17" w14:textId="77777777" w:rsidR="005342D5" w:rsidRPr="0019790A" w:rsidRDefault="005342D5" w:rsidP="0019790A">
            <w:pPr>
              <w:rPr>
                <w:rFonts w:cs="Arial"/>
                <w:b/>
                <w:bCs/>
                <w:szCs w:val="22"/>
              </w:rPr>
            </w:pPr>
            <w:r w:rsidRPr="0019790A">
              <w:rPr>
                <w:rFonts w:cs="Arial"/>
                <w:b/>
                <w:bCs/>
                <w:szCs w:val="22"/>
              </w:rPr>
              <w:t>Цілі проєкту:</w:t>
            </w:r>
          </w:p>
        </w:tc>
        <w:tc>
          <w:tcPr>
            <w:tcW w:w="6794" w:type="dxa"/>
            <w:gridSpan w:val="9"/>
            <w:vAlign w:val="center"/>
          </w:tcPr>
          <w:p w14:paraId="0F22F0CE" w14:textId="77777777" w:rsidR="005342D5" w:rsidRPr="0019790A" w:rsidRDefault="005342D5" w:rsidP="00CD7662">
            <w:pPr>
              <w:numPr>
                <w:ilvl w:val="0"/>
                <w:numId w:val="159"/>
              </w:numPr>
              <w:tabs>
                <w:tab w:val="left" w:pos="325"/>
                <w:tab w:val="left" w:pos="372"/>
              </w:tabs>
              <w:ind w:left="0" w:firstLine="0"/>
              <w:jc w:val="both"/>
              <w:rPr>
                <w:rFonts w:cs="Arial"/>
                <w:szCs w:val="22"/>
              </w:rPr>
            </w:pPr>
            <w:r w:rsidRPr="0019790A">
              <w:rPr>
                <w:rFonts w:cs="Arial"/>
                <w:szCs w:val="22"/>
              </w:rPr>
              <w:t>Розширення можливостей для фізичної активності різних вікових категорій.</w:t>
            </w:r>
          </w:p>
          <w:p w14:paraId="4A7CD472" w14:textId="77777777" w:rsidR="005342D5" w:rsidRPr="0019790A" w:rsidRDefault="005342D5" w:rsidP="00CD7662">
            <w:pPr>
              <w:numPr>
                <w:ilvl w:val="0"/>
                <w:numId w:val="159"/>
              </w:numPr>
              <w:tabs>
                <w:tab w:val="left" w:pos="325"/>
                <w:tab w:val="left" w:pos="372"/>
              </w:tabs>
              <w:ind w:left="0" w:firstLine="0"/>
              <w:jc w:val="both"/>
              <w:rPr>
                <w:rFonts w:cs="Arial"/>
                <w:szCs w:val="22"/>
              </w:rPr>
            </w:pPr>
            <w:r w:rsidRPr="0019790A">
              <w:rPr>
                <w:rFonts w:cs="Arial"/>
                <w:szCs w:val="22"/>
              </w:rPr>
              <w:t>Сприяння профілактиці хронічних захворювань, соціальній адаптації.</w:t>
            </w:r>
          </w:p>
          <w:p w14:paraId="31EEE970" w14:textId="77777777" w:rsidR="005342D5" w:rsidRPr="0019790A" w:rsidRDefault="005342D5" w:rsidP="00CD7662">
            <w:pPr>
              <w:numPr>
                <w:ilvl w:val="0"/>
                <w:numId w:val="159"/>
              </w:numPr>
              <w:tabs>
                <w:tab w:val="left" w:pos="325"/>
                <w:tab w:val="left" w:pos="372"/>
              </w:tabs>
              <w:ind w:left="0" w:firstLine="0"/>
              <w:jc w:val="both"/>
              <w:rPr>
                <w:rFonts w:cs="Arial"/>
                <w:szCs w:val="22"/>
              </w:rPr>
            </w:pPr>
            <w:r w:rsidRPr="0019790A">
              <w:rPr>
                <w:rFonts w:cs="Arial"/>
                <w:szCs w:val="22"/>
              </w:rPr>
              <w:t>Залучення населення до систематичних занять спортом і оздоровленням.</w:t>
            </w:r>
          </w:p>
          <w:p w14:paraId="357E473A" w14:textId="77777777" w:rsidR="005342D5" w:rsidRPr="0019790A" w:rsidRDefault="005342D5" w:rsidP="00CD7662">
            <w:pPr>
              <w:numPr>
                <w:ilvl w:val="0"/>
                <w:numId w:val="159"/>
              </w:numPr>
              <w:tabs>
                <w:tab w:val="left" w:pos="325"/>
                <w:tab w:val="left" w:pos="372"/>
              </w:tabs>
              <w:ind w:left="0" w:firstLine="0"/>
              <w:jc w:val="both"/>
              <w:rPr>
                <w:rFonts w:cs="Arial"/>
                <w:szCs w:val="22"/>
              </w:rPr>
            </w:pPr>
            <w:r w:rsidRPr="0019790A">
              <w:rPr>
                <w:rFonts w:cs="Arial"/>
                <w:szCs w:val="22"/>
              </w:rPr>
              <w:t>Забезпечити безпечний, комфортний і гендерно-чутливий простір для жінок, чоловіків, дівчат і хлопців.</w:t>
            </w:r>
          </w:p>
          <w:p w14:paraId="487F583B" w14:textId="77777777" w:rsidR="005342D5" w:rsidRPr="0019790A" w:rsidRDefault="005342D5" w:rsidP="00CD7662">
            <w:pPr>
              <w:numPr>
                <w:ilvl w:val="0"/>
                <w:numId w:val="159"/>
              </w:numPr>
              <w:tabs>
                <w:tab w:val="left" w:pos="325"/>
                <w:tab w:val="left" w:pos="372"/>
              </w:tabs>
              <w:ind w:left="0" w:firstLine="0"/>
              <w:jc w:val="both"/>
              <w:rPr>
                <w:rFonts w:cs="Arial"/>
                <w:szCs w:val="22"/>
              </w:rPr>
            </w:pPr>
            <w:r w:rsidRPr="0019790A">
              <w:rPr>
                <w:rFonts w:cs="Arial"/>
                <w:szCs w:val="22"/>
              </w:rPr>
              <w:t>Урахувати потреби обох статей під час реконструкції та облаштування приміщень.</w:t>
            </w:r>
          </w:p>
          <w:p w14:paraId="5868B94E" w14:textId="77777777" w:rsidR="005342D5" w:rsidRPr="0019790A" w:rsidRDefault="005342D5" w:rsidP="00CD7662">
            <w:pPr>
              <w:numPr>
                <w:ilvl w:val="0"/>
                <w:numId w:val="159"/>
              </w:numPr>
              <w:tabs>
                <w:tab w:val="left" w:pos="325"/>
                <w:tab w:val="left" w:pos="372"/>
              </w:tabs>
              <w:ind w:left="0" w:firstLine="0"/>
              <w:jc w:val="both"/>
              <w:rPr>
                <w:rFonts w:cs="Arial"/>
                <w:szCs w:val="22"/>
              </w:rPr>
            </w:pPr>
            <w:r w:rsidRPr="0019790A">
              <w:rPr>
                <w:rFonts w:cs="Arial"/>
                <w:szCs w:val="22"/>
              </w:rPr>
              <w:t>Забезпечити приватність, гігієнічні умови, доступність для жінок і дівчат (окремі роздягальні, душові, санвузли тощо).</w:t>
            </w:r>
          </w:p>
          <w:p w14:paraId="4499D86D" w14:textId="77777777" w:rsidR="005342D5" w:rsidRPr="0019790A" w:rsidRDefault="005342D5" w:rsidP="00CD7662">
            <w:pPr>
              <w:numPr>
                <w:ilvl w:val="0"/>
                <w:numId w:val="159"/>
              </w:numPr>
              <w:tabs>
                <w:tab w:val="left" w:pos="325"/>
                <w:tab w:val="left" w:pos="372"/>
              </w:tabs>
              <w:ind w:left="0" w:firstLine="0"/>
              <w:jc w:val="both"/>
              <w:rPr>
                <w:rFonts w:cs="Arial"/>
                <w:szCs w:val="22"/>
              </w:rPr>
            </w:pPr>
            <w:r w:rsidRPr="0019790A">
              <w:rPr>
                <w:rFonts w:cs="Arial"/>
                <w:szCs w:val="22"/>
              </w:rPr>
              <w:t>Оснащення залів сучасним багатофункціональним обладнанням.</w:t>
            </w:r>
          </w:p>
          <w:p w14:paraId="5D10A76F" w14:textId="77777777" w:rsidR="005342D5" w:rsidRPr="0019790A" w:rsidRDefault="005342D5" w:rsidP="00CD7662">
            <w:pPr>
              <w:numPr>
                <w:ilvl w:val="0"/>
                <w:numId w:val="159"/>
              </w:numPr>
              <w:tabs>
                <w:tab w:val="left" w:pos="325"/>
                <w:tab w:val="left" w:pos="372"/>
              </w:tabs>
              <w:ind w:left="0" w:firstLine="0"/>
              <w:jc w:val="both"/>
              <w:rPr>
                <w:rFonts w:cs="Arial"/>
                <w:szCs w:val="22"/>
              </w:rPr>
            </w:pPr>
            <w:r w:rsidRPr="0019790A">
              <w:rPr>
                <w:rFonts w:cs="Arial"/>
                <w:szCs w:val="22"/>
              </w:rPr>
              <w:t>Удосконалення умов для групових і персональних занять.</w:t>
            </w:r>
          </w:p>
          <w:p w14:paraId="62F4455C" w14:textId="77777777" w:rsidR="005342D5" w:rsidRPr="0019790A" w:rsidRDefault="005342D5" w:rsidP="00CD7662">
            <w:pPr>
              <w:numPr>
                <w:ilvl w:val="0"/>
                <w:numId w:val="159"/>
              </w:numPr>
              <w:tabs>
                <w:tab w:val="left" w:pos="325"/>
                <w:tab w:val="left" w:pos="372"/>
              </w:tabs>
              <w:ind w:left="0" w:firstLine="0"/>
              <w:jc w:val="both"/>
              <w:rPr>
                <w:rFonts w:cs="Arial"/>
                <w:szCs w:val="22"/>
              </w:rPr>
            </w:pPr>
            <w:r w:rsidRPr="0019790A">
              <w:rPr>
                <w:rFonts w:cs="Arial"/>
                <w:szCs w:val="22"/>
              </w:rPr>
              <w:t>Забезпечення відповідності інвентарю для занять і жінок, і чоловіків.</w:t>
            </w:r>
          </w:p>
        </w:tc>
      </w:tr>
      <w:tr w:rsidR="005342D5" w:rsidRPr="0019790A" w14:paraId="7EDD37C3" w14:textId="77777777" w:rsidTr="00CD7662">
        <w:trPr>
          <w:jc w:val="right"/>
        </w:trPr>
        <w:tc>
          <w:tcPr>
            <w:tcW w:w="3425" w:type="dxa"/>
            <w:vAlign w:val="center"/>
          </w:tcPr>
          <w:p w14:paraId="6BA000C9" w14:textId="77777777" w:rsidR="005342D5" w:rsidRPr="0019790A" w:rsidRDefault="005342D5" w:rsidP="0019790A">
            <w:pPr>
              <w:rPr>
                <w:rFonts w:cs="Arial"/>
                <w:b/>
                <w:szCs w:val="22"/>
              </w:rPr>
            </w:pPr>
            <w:r w:rsidRPr="0019790A">
              <w:rPr>
                <w:rFonts w:cs="Arial"/>
                <w:b/>
                <w:szCs w:val="22"/>
              </w:rPr>
              <w:t>Територія на яку проєкт матиме вплив:</w:t>
            </w:r>
          </w:p>
        </w:tc>
        <w:tc>
          <w:tcPr>
            <w:tcW w:w="6794" w:type="dxa"/>
            <w:gridSpan w:val="9"/>
            <w:vAlign w:val="center"/>
          </w:tcPr>
          <w:p w14:paraId="744B1122" w14:textId="77777777" w:rsidR="005342D5" w:rsidRPr="0019790A" w:rsidRDefault="005342D5" w:rsidP="00CD7662">
            <w:pPr>
              <w:tabs>
                <w:tab w:val="left" w:pos="325"/>
              </w:tabs>
              <w:jc w:val="both"/>
              <w:rPr>
                <w:rFonts w:cs="Arial"/>
                <w:szCs w:val="22"/>
              </w:rPr>
            </w:pPr>
            <w:r w:rsidRPr="0019790A">
              <w:rPr>
                <w:rFonts w:cs="Arial"/>
                <w:szCs w:val="22"/>
              </w:rPr>
              <w:t>Жмеринська міська територіальна громада</w:t>
            </w:r>
          </w:p>
        </w:tc>
      </w:tr>
      <w:tr w:rsidR="005342D5" w:rsidRPr="0019790A" w14:paraId="6486F5FF" w14:textId="77777777" w:rsidTr="00CD7662">
        <w:trPr>
          <w:jc w:val="right"/>
        </w:trPr>
        <w:tc>
          <w:tcPr>
            <w:tcW w:w="3425" w:type="dxa"/>
            <w:vAlign w:val="center"/>
          </w:tcPr>
          <w:p w14:paraId="07B14222" w14:textId="77777777" w:rsidR="005342D5" w:rsidRPr="0019790A" w:rsidRDefault="005342D5" w:rsidP="0019790A">
            <w:pPr>
              <w:rPr>
                <w:rFonts w:cs="Arial"/>
                <w:b/>
                <w:szCs w:val="22"/>
              </w:rPr>
            </w:pPr>
            <w:r w:rsidRPr="0019790A">
              <w:rPr>
                <w:rFonts w:cs="Arial"/>
                <w:b/>
                <w:szCs w:val="22"/>
              </w:rPr>
              <w:t>Цільові групи проєкту та кількість отримувачів вигоди</w:t>
            </w:r>
          </w:p>
        </w:tc>
        <w:tc>
          <w:tcPr>
            <w:tcW w:w="6794" w:type="dxa"/>
            <w:gridSpan w:val="9"/>
            <w:vAlign w:val="center"/>
          </w:tcPr>
          <w:p w14:paraId="3642C36E" w14:textId="77777777" w:rsidR="005342D5" w:rsidRPr="0019790A" w:rsidRDefault="005342D5" w:rsidP="00CD7662">
            <w:pPr>
              <w:numPr>
                <w:ilvl w:val="0"/>
                <w:numId w:val="160"/>
              </w:numPr>
              <w:tabs>
                <w:tab w:val="left" w:pos="325"/>
              </w:tabs>
              <w:ind w:left="0" w:firstLine="0"/>
              <w:jc w:val="both"/>
              <w:rPr>
                <w:rFonts w:cs="Arial"/>
                <w:szCs w:val="22"/>
              </w:rPr>
            </w:pPr>
            <w:r w:rsidRPr="0019790A">
              <w:rPr>
                <w:rFonts w:cs="Arial"/>
                <w:bCs/>
                <w:szCs w:val="22"/>
              </w:rPr>
              <w:t>Діти та молодь (6–18 років)</w:t>
            </w:r>
            <w:r w:rsidRPr="0019790A">
              <w:rPr>
                <w:rFonts w:cs="Arial"/>
                <w:szCs w:val="22"/>
              </w:rPr>
              <w:t xml:space="preserve"> — учні, вихованці спортивних секцій.</w:t>
            </w:r>
          </w:p>
          <w:p w14:paraId="3A502BD4" w14:textId="77777777" w:rsidR="005342D5" w:rsidRPr="0019790A" w:rsidRDefault="005342D5" w:rsidP="00CD7662">
            <w:pPr>
              <w:numPr>
                <w:ilvl w:val="0"/>
                <w:numId w:val="160"/>
              </w:numPr>
              <w:tabs>
                <w:tab w:val="left" w:pos="325"/>
              </w:tabs>
              <w:ind w:left="0" w:firstLine="0"/>
              <w:jc w:val="both"/>
              <w:rPr>
                <w:rFonts w:cs="Arial"/>
                <w:szCs w:val="22"/>
              </w:rPr>
            </w:pPr>
            <w:r w:rsidRPr="0019790A">
              <w:rPr>
                <w:rFonts w:cs="Arial"/>
                <w:bCs/>
                <w:szCs w:val="22"/>
              </w:rPr>
              <w:t>Особи середнього віку (25–60 років)</w:t>
            </w:r>
            <w:r w:rsidRPr="0019790A">
              <w:rPr>
                <w:rFonts w:cs="Arial"/>
                <w:szCs w:val="22"/>
              </w:rPr>
              <w:t xml:space="preserve"> — працівники громади, активне населення.</w:t>
            </w:r>
          </w:p>
          <w:p w14:paraId="30AE27D4" w14:textId="77777777" w:rsidR="005342D5" w:rsidRPr="0019790A" w:rsidRDefault="005342D5" w:rsidP="00CD7662">
            <w:pPr>
              <w:numPr>
                <w:ilvl w:val="0"/>
                <w:numId w:val="160"/>
              </w:numPr>
              <w:tabs>
                <w:tab w:val="left" w:pos="325"/>
              </w:tabs>
              <w:ind w:left="0" w:firstLine="0"/>
              <w:jc w:val="both"/>
              <w:rPr>
                <w:rFonts w:cs="Arial"/>
                <w:szCs w:val="22"/>
              </w:rPr>
            </w:pPr>
            <w:r w:rsidRPr="0019790A">
              <w:rPr>
                <w:rFonts w:cs="Arial"/>
                <w:bCs/>
                <w:szCs w:val="22"/>
              </w:rPr>
              <w:t>Пенсіонери та особи старшого віку (60+)</w:t>
            </w:r>
            <w:r w:rsidRPr="0019790A">
              <w:rPr>
                <w:rFonts w:cs="Arial"/>
                <w:szCs w:val="22"/>
              </w:rPr>
              <w:t xml:space="preserve"> — для занять ЛФК, йоги, плавання.</w:t>
            </w:r>
          </w:p>
          <w:p w14:paraId="243AB241" w14:textId="77777777" w:rsidR="005342D5" w:rsidRPr="0019790A" w:rsidRDefault="005342D5" w:rsidP="00CD7662">
            <w:pPr>
              <w:numPr>
                <w:ilvl w:val="0"/>
                <w:numId w:val="160"/>
              </w:numPr>
              <w:tabs>
                <w:tab w:val="left" w:pos="325"/>
              </w:tabs>
              <w:ind w:left="0" w:firstLine="0"/>
              <w:jc w:val="both"/>
              <w:rPr>
                <w:rFonts w:cs="Arial"/>
                <w:szCs w:val="22"/>
              </w:rPr>
            </w:pPr>
            <w:r w:rsidRPr="0019790A">
              <w:rPr>
                <w:rFonts w:cs="Arial"/>
                <w:bCs/>
                <w:szCs w:val="22"/>
              </w:rPr>
              <w:t>Жінки та дівчата</w:t>
            </w:r>
            <w:r w:rsidRPr="0019790A">
              <w:rPr>
                <w:rFonts w:cs="Arial"/>
                <w:szCs w:val="22"/>
              </w:rPr>
              <w:t xml:space="preserve"> — як активні користувачки та учасниці програм.</w:t>
            </w:r>
          </w:p>
          <w:p w14:paraId="7AD530F7" w14:textId="77777777" w:rsidR="005342D5" w:rsidRPr="0019790A" w:rsidRDefault="005342D5" w:rsidP="00CD7662">
            <w:pPr>
              <w:numPr>
                <w:ilvl w:val="0"/>
                <w:numId w:val="160"/>
              </w:numPr>
              <w:tabs>
                <w:tab w:val="left" w:pos="325"/>
              </w:tabs>
              <w:ind w:left="0" w:firstLine="0"/>
              <w:jc w:val="both"/>
              <w:rPr>
                <w:rFonts w:cs="Arial"/>
                <w:szCs w:val="22"/>
              </w:rPr>
            </w:pPr>
            <w:r w:rsidRPr="0019790A">
              <w:rPr>
                <w:rFonts w:cs="Arial"/>
                <w:bCs/>
                <w:szCs w:val="22"/>
              </w:rPr>
              <w:t>Люди з інвалідністю, ветерани, маломобільні особи</w:t>
            </w:r>
            <w:r w:rsidRPr="0019790A">
              <w:rPr>
                <w:rFonts w:cs="Arial"/>
                <w:szCs w:val="22"/>
              </w:rPr>
              <w:t xml:space="preserve"> — через впровадження безбар’єрності.</w:t>
            </w:r>
          </w:p>
          <w:p w14:paraId="5FC46D43" w14:textId="77777777" w:rsidR="005342D5" w:rsidRPr="0019790A" w:rsidRDefault="005342D5" w:rsidP="00CD7662">
            <w:pPr>
              <w:numPr>
                <w:ilvl w:val="0"/>
                <w:numId w:val="160"/>
              </w:numPr>
              <w:tabs>
                <w:tab w:val="left" w:pos="325"/>
              </w:tabs>
              <w:ind w:left="0" w:firstLine="0"/>
              <w:jc w:val="both"/>
              <w:rPr>
                <w:rFonts w:cs="Arial"/>
                <w:szCs w:val="22"/>
              </w:rPr>
            </w:pPr>
            <w:r w:rsidRPr="0019790A">
              <w:rPr>
                <w:rFonts w:cs="Arial"/>
                <w:bCs/>
                <w:szCs w:val="22"/>
              </w:rPr>
              <w:t>Тренери, інструктори, фахівці з реабілітації</w:t>
            </w:r>
            <w:r w:rsidRPr="0019790A">
              <w:rPr>
                <w:rFonts w:cs="Arial"/>
                <w:szCs w:val="22"/>
              </w:rPr>
              <w:t xml:space="preserve"> — для реалізації спортивних і оздоровчих програм.</w:t>
            </w:r>
          </w:p>
          <w:p w14:paraId="0DA09529" w14:textId="77777777" w:rsidR="005342D5" w:rsidRPr="0019790A" w:rsidRDefault="005342D5" w:rsidP="00CD7662">
            <w:pPr>
              <w:numPr>
                <w:ilvl w:val="0"/>
                <w:numId w:val="160"/>
              </w:numPr>
              <w:tabs>
                <w:tab w:val="left" w:pos="325"/>
              </w:tabs>
              <w:ind w:left="0" w:firstLine="0"/>
              <w:jc w:val="both"/>
              <w:rPr>
                <w:rFonts w:cs="Arial"/>
                <w:szCs w:val="22"/>
              </w:rPr>
            </w:pPr>
            <w:r w:rsidRPr="0019790A">
              <w:rPr>
                <w:rFonts w:cs="Arial"/>
                <w:bCs/>
                <w:szCs w:val="22"/>
              </w:rPr>
              <w:t>Громадські організації та ініціативні групи</w:t>
            </w:r>
            <w:r w:rsidRPr="0019790A">
              <w:rPr>
                <w:rFonts w:cs="Arial"/>
                <w:szCs w:val="22"/>
              </w:rPr>
              <w:t>, які проводять освітні та соціальні заходи.</w:t>
            </w:r>
          </w:p>
        </w:tc>
      </w:tr>
      <w:tr w:rsidR="005342D5" w:rsidRPr="0019790A" w14:paraId="28853955" w14:textId="77777777" w:rsidTr="00CD7662">
        <w:trPr>
          <w:jc w:val="right"/>
        </w:trPr>
        <w:tc>
          <w:tcPr>
            <w:tcW w:w="3425" w:type="dxa"/>
            <w:shd w:val="clear" w:color="auto" w:fill="FFFFFF"/>
            <w:vAlign w:val="center"/>
          </w:tcPr>
          <w:p w14:paraId="28982901" w14:textId="77777777" w:rsidR="005342D5" w:rsidRPr="0019790A" w:rsidRDefault="005342D5" w:rsidP="0019790A">
            <w:pPr>
              <w:rPr>
                <w:rFonts w:cs="Arial"/>
                <w:b/>
                <w:bCs/>
                <w:szCs w:val="22"/>
              </w:rPr>
            </w:pPr>
            <w:r w:rsidRPr="0019790A">
              <w:rPr>
                <w:rFonts w:cs="Arial"/>
                <w:b/>
                <w:bCs/>
                <w:szCs w:val="22"/>
              </w:rPr>
              <w:t>Стислий опис проєкту:</w:t>
            </w:r>
          </w:p>
        </w:tc>
        <w:tc>
          <w:tcPr>
            <w:tcW w:w="6794" w:type="dxa"/>
            <w:gridSpan w:val="9"/>
            <w:vAlign w:val="center"/>
          </w:tcPr>
          <w:p w14:paraId="7069DE62" w14:textId="550751D7" w:rsidR="005342D5" w:rsidRPr="0019790A" w:rsidRDefault="005342D5" w:rsidP="00CD7662">
            <w:pPr>
              <w:tabs>
                <w:tab w:val="left" w:pos="325"/>
              </w:tabs>
              <w:jc w:val="both"/>
              <w:rPr>
                <w:rFonts w:cs="Arial"/>
                <w:szCs w:val="22"/>
              </w:rPr>
            </w:pPr>
            <w:r w:rsidRPr="0019790A">
              <w:rPr>
                <w:rFonts w:cs="Arial"/>
                <w:szCs w:val="22"/>
              </w:rPr>
              <w:t xml:space="preserve">Проєкт передбачає реконструкцію спортивних залів на базі КП "СОЗ «Юність», облаштування сучасним спортивним обладнанням, а також впровадження інклюзивних і гендерно-чутливих підходів у користуванні інфраструктурою. Мета — забезпечити комфортні, безпечні та доступні умови для занять фізичною культурою та спортом людей різного віку та статі. Роботи включають оновлення приміщень, зон </w:t>
            </w:r>
            <w:r w:rsidR="00CD7662" w:rsidRPr="0019790A">
              <w:rPr>
                <w:rFonts w:cs="Arial"/>
                <w:szCs w:val="22"/>
              </w:rPr>
              <w:t>роздягальнь</w:t>
            </w:r>
            <w:r w:rsidRPr="0019790A">
              <w:rPr>
                <w:rFonts w:cs="Arial"/>
                <w:szCs w:val="22"/>
              </w:rPr>
              <w:t>, душових, закупівлю універсального спортивного інвентарю, а також створення умов для проведення занять з фітнесу, ЛФК, йоги, кардіотренувань та реабілітації.</w:t>
            </w:r>
            <w:r w:rsidR="00CD7662">
              <w:rPr>
                <w:rFonts w:cs="Arial"/>
                <w:szCs w:val="22"/>
              </w:rPr>
              <w:t xml:space="preserve"> </w:t>
            </w:r>
            <w:r w:rsidRPr="0019790A">
              <w:rPr>
                <w:rFonts w:cs="Arial"/>
                <w:szCs w:val="22"/>
              </w:rPr>
              <w:t>Особлива увага — доступності для маломобільних груп, людей пенсійного віку, жінок із дітьми.</w:t>
            </w:r>
          </w:p>
        </w:tc>
      </w:tr>
      <w:tr w:rsidR="005342D5" w:rsidRPr="0019790A" w14:paraId="58B7D3F7" w14:textId="77777777" w:rsidTr="00CD7662">
        <w:trPr>
          <w:trHeight w:val="539"/>
          <w:jc w:val="right"/>
        </w:trPr>
        <w:tc>
          <w:tcPr>
            <w:tcW w:w="3425" w:type="dxa"/>
            <w:shd w:val="clear" w:color="auto" w:fill="FFFFFF"/>
            <w:vAlign w:val="center"/>
          </w:tcPr>
          <w:p w14:paraId="19F542BB" w14:textId="77777777" w:rsidR="005342D5" w:rsidRPr="0019790A" w:rsidRDefault="005342D5" w:rsidP="0019790A">
            <w:pPr>
              <w:rPr>
                <w:rFonts w:cs="Arial"/>
                <w:b/>
                <w:bCs/>
                <w:szCs w:val="22"/>
              </w:rPr>
            </w:pPr>
            <w:r w:rsidRPr="0019790A">
              <w:rPr>
                <w:rFonts w:cs="Arial"/>
                <w:b/>
                <w:bCs/>
                <w:szCs w:val="22"/>
              </w:rPr>
              <w:t>Основні заходи проєкту:</w:t>
            </w:r>
          </w:p>
        </w:tc>
        <w:tc>
          <w:tcPr>
            <w:tcW w:w="6794" w:type="dxa"/>
            <w:gridSpan w:val="9"/>
            <w:vAlign w:val="center"/>
          </w:tcPr>
          <w:p w14:paraId="710DB308" w14:textId="77777777" w:rsidR="005342D5" w:rsidRPr="0019790A" w:rsidRDefault="005342D5" w:rsidP="00CD7662">
            <w:pPr>
              <w:numPr>
                <w:ilvl w:val="0"/>
                <w:numId w:val="161"/>
              </w:numPr>
              <w:tabs>
                <w:tab w:val="left" w:pos="325"/>
              </w:tabs>
              <w:ind w:left="0" w:firstLine="0"/>
              <w:jc w:val="both"/>
              <w:rPr>
                <w:rFonts w:cs="Arial"/>
                <w:szCs w:val="22"/>
              </w:rPr>
            </w:pPr>
            <w:r w:rsidRPr="0019790A">
              <w:rPr>
                <w:rFonts w:cs="Arial"/>
                <w:szCs w:val="22"/>
              </w:rPr>
              <w:t>Реконструкція приміщень із чітким розмежуванням жіночих/чоловічих зон.</w:t>
            </w:r>
          </w:p>
          <w:p w14:paraId="359A3577" w14:textId="77777777" w:rsidR="005342D5" w:rsidRPr="0019790A" w:rsidRDefault="005342D5" w:rsidP="00CD7662">
            <w:pPr>
              <w:numPr>
                <w:ilvl w:val="0"/>
                <w:numId w:val="161"/>
              </w:numPr>
              <w:tabs>
                <w:tab w:val="left" w:pos="325"/>
              </w:tabs>
              <w:ind w:left="0" w:firstLine="0"/>
              <w:jc w:val="both"/>
              <w:rPr>
                <w:rFonts w:cs="Arial"/>
                <w:szCs w:val="22"/>
              </w:rPr>
            </w:pPr>
            <w:r w:rsidRPr="0019790A">
              <w:rPr>
                <w:rFonts w:cs="Arial"/>
                <w:szCs w:val="22"/>
              </w:rPr>
              <w:t>Улаштування зручного доступу для жінок з дітьми та маломобільних осіб.</w:t>
            </w:r>
          </w:p>
          <w:p w14:paraId="7801DDEF" w14:textId="77777777" w:rsidR="005342D5" w:rsidRPr="0019790A" w:rsidRDefault="005342D5" w:rsidP="00CD7662">
            <w:pPr>
              <w:numPr>
                <w:ilvl w:val="0"/>
                <w:numId w:val="161"/>
              </w:numPr>
              <w:tabs>
                <w:tab w:val="left" w:pos="325"/>
              </w:tabs>
              <w:ind w:left="0" w:firstLine="0"/>
              <w:jc w:val="both"/>
              <w:rPr>
                <w:rFonts w:cs="Arial"/>
                <w:szCs w:val="22"/>
              </w:rPr>
            </w:pPr>
            <w:r w:rsidRPr="0019790A">
              <w:rPr>
                <w:rFonts w:cs="Arial"/>
                <w:szCs w:val="22"/>
              </w:rPr>
              <w:t>Встановлення камер схову, дзеркал, розеток, сушарок, освітлення відповідно до потреб жінок та чоловіків.</w:t>
            </w:r>
          </w:p>
          <w:p w14:paraId="7AAC1381" w14:textId="77777777" w:rsidR="005342D5" w:rsidRPr="0019790A" w:rsidRDefault="005342D5" w:rsidP="00CD7662">
            <w:pPr>
              <w:numPr>
                <w:ilvl w:val="0"/>
                <w:numId w:val="161"/>
              </w:numPr>
              <w:tabs>
                <w:tab w:val="left" w:pos="325"/>
              </w:tabs>
              <w:ind w:left="0" w:firstLine="0"/>
              <w:jc w:val="both"/>
              <w:rPr>
                <w:rFonts w:cs="Arial"/>
                <w:szCs w:val="22"/>
              </w:rPr>
            </w:pPr>
            <w:r w:rsidRPr="0019790A">
              <w:rPr>
                <w:rFonts w:cs="Arial"/>
                <w:szCs w:val="22"/>
              </w:rPr>
              <w:t>Закупівля тренажерів з урахуванням фізіологічних особливостей (регульовані ваги, обладнання для різних рівнів навантаження).</w:t>
            </w:r>
          </w:p>
          <w:p w14:paraId="36753B78" w14:textId="77777777" w:rsidR="005342D5" w:rsidRPr="0019790A" w:rsidRDefault="005342D5" w:rsidP="00CD7662">
            <w:pPr>
              <w:numPr>
                <w:ilvl w:val="0"/>
                <w:numId w:val="161"/>
              </w:numPr>
              <w:tabs>
                <w:tab w:val="left" w:pos="325"/>
              </w:tabs>
              <w:ind w:left="0" w:firstLine="0"/>
              <w:jc w:val="both"/>
              <w:rPr>
                <w:rFonts w:cs="Arial"/>
                <w:szCs w:val="22"/>
              </w:rPr>
            </w:pPr>
            <w:r w:rsidRPr="0019790A">
              <w:rPr>
                <w:rFonts w:cs="Arial"/>
                <w:szCs w:val="22"/>
              </w:rPr>
              <w:t>Придбання матів, гумових килимків, лавок, скакалок, фітболів тощо.</w:t>
            </w:r>
          </w:p>
          <w:p w14:paraId="4A772AF5" w14:textId="77777777" w:rsidR="005342D5" w:rsidRPr="0019790A" w:rsidRDefault="005342D5" w:rsidP="00CD7662">
            <w:pPr>
              <w:numPr>
                <w:ilvl w:val="0"/>
                <w:numId w:val="161"/>
              </w:numPr>
              <w:tabs>
                <w:tab w:val="left" w:pos="325"/>
              </w:tabs>
              <w:ind w:left="0" w:firstLine="0"/>
              <w:jc w:val="both"/>
              <w:rPr>
                <w:rFonts w:cs="Arial"/>
                <w:szCs w:val="22"/>
              </w:rPr>
            </w:pPr>
            <w:r w:rsidRPr="0019790A">
              <w:rPr>
                <w:rFonts w:cs="Arial"/>
                <w:szCs w:val="22"/>
              </w:rPr>
              <w:t>Створення умов для фітнесу, аеробіки, йоги, ЛФК та кардіотренувань.</w:t>
            </w:r>
          </w:p>
        </w:tc>
      </w:tr>
      <w:tr w:rsidR="005342D5" w:rsidRPr="0019790A" w14:paraId="245C7F21" w14:textId="77777777" w:rsidTr="00CD7662">
        <w:trPr>
          <w:jc w:val="right"/>
        </w:trPr>
        <w:tc>
          <w:tcPr>
            <w:tcW w:w="3425" w:type="dxa"/>
            <w:shd w:val="clear" w:color="auto" w:fill="FFFFFF"/>
            <w:vAlign w:val="center"/>
          </w:tcPr>
          <w:p w14:paraId="1F4B9834" w14:textId="77777777" w:rsidR="005342D5" w:rsidRPr="0019790A" w:rsidRDefault="005342D5" w:rsidP="0019790A">
            <w:pPr>
              <w:rPr>
                <w:rFonts w:cs="Arial"/>
                <w:b/>
                <w:bCs/>
                <w:szCs w:val="22"/>
              </w:rPr>
            </w:pPr>
            <w:r w:rsidRPr="0019790A">
              <w:rPr>
                <w:rFonts w:cs="Arial"/>
                <w:b/>
                <w:bCs/>
                <w:szCs w:val="22"/>
              </w:rPr>
              <w:t>Індикатори (показники) результативності:</w:t>
            </w:r>
          </w:p>
        </w:tc>
        <w:tc>
          <w:tcPr>
            <w:tcW w:w="6794" w:type="dxa"/>
            <w:gridSpan w:val="9"/>
            <w:vAlign w:val="center"/>
          </w:tcPr>
          <w:p w14:paraId="321AC4D4" w14:textId="77777777" w:rsidR="005342D5" w:rsidRPr="0019790A" w:rsidRDefault="005342D5" w:rsidP="00CD7662">
            <w:pPr>
              <w:numPr>
                <w:ilvl w:val="0"/>
                <w:numId w:val="162"/>
              </w:numPr>
              <w:tabs>
                <w:tab w:val="left" w:pos="325"/>
              </w:tabs>
              <w:ind w:left="0" w:firstLine="0"/>
              <w:jc w:val="both"/>
              <w:rPr>
                <w:rFonts w:cs="Arial"/>
                <w:szCs w:val="22"/>
              </w:rPr>
            </w:pPr>
            <w:r w:rsidRPr="0019790A">
              <w:rPr>
                <w:rFonts w:cs="Arial"/>
                <w:szCs w:val="22"/>
              </w:rPr>
              <w:t>Доступ до залу для занять у зручному форматі для всіх груп населення.</w:t>
            </w:r>
          </w:p>
          <w:p w14:paraId="47FDCCDC" w14:textId="77777777" w:rsidR="005342D5" w:rsidRPr="0019790A" w:rsidRDefault="005342D5" w:rsidP="00CD7662">
            <w:pPr>
              <w:numPr>
                <w:ilvl w:val="0"/>
                <w:numId w:val="162"/>
              </w:numPr>
              <w:tabs>
                <w:tab w:val="left" w:pos="325"/>
              </w:tabs>
              <w:ind w:left="0" w:firstLine="0"/>
              <w:jc w:val="both"/>
              <w:rPr>
                <w:rFonts w:cs="Arial"/>
                <w:szCs w:val="22"/>
              </w:rPr>
            </w:pPr>
            <w:r w:rsidRPr="0019790A">
              <w:rPr>
                <w:rFonts w:cs="Arial"/>
                <w:szCs w:val="22"/>
              </w:rPr>
              <w:t>Не менше ніж 50% користувачів — жінки або дівчата.</w:t>
            </w:r>
          </w:p>
          <w:p w14:paraId="6EA8F793" w14:textId="77777777" w:rsidR="005342D5" w:rsidRPr="0019790A" w:rsidRDefault="005342D5" w:rsidP="00CD7662">
            <w:pPr>
              <w:numPr>
                <w:ilvl w:val="0"/>
                <w:numId w:val="162"/>
              </w:numPr>
              <w:tabs>
                <w:tab w:val="left" w:pos="325"/>
              </w:tabs>
              <w:ind w:left="0" w:firstLine="0"/>
              <w:jc w:val="both"/>
              <w:rPr>
                <w:rFonts w:cs="Arial"/>
                <w:szCs w:val="22"/>
              </w:rPr>
            </w:pPr>
            <w:r w:rsidRPr="0019790A">
              <w:rPr>
                <w:rFonts w:cs="Arial"/>
                <w:szCs w:val="22"/>
              </w:rPr>
              <w:t>Позитивні відгуки про безпечність і комфорт серед обох статей (90% і більше).</w:t>
            </w:r>
          </w:p>
          <w:p w14:paraId="632EB291" w14:textId="77777777" w:rsidR="005342D5" w:rsidRPr="0019790A" w:rsidRDefault="005342D5" w:rsidP="00CD7662">
            <w:pPr>
              <w:numPr>
                <w:ilvl w:val="0"/>
                <w:numId w:val="162"/>
              </w:numPr>
              <w:tabs>
                <w:tab w:val="left" w:pos="325"/>
              </w:tabs>
              <w:ind w:left="0" w:firstLine="0"/>
              <w:jc w:val="both"/>
              <w:rPr>
                <w:rFonts w:cs="Arial"/>
                <w:szCs w:val="22"/>
              </w:rPr>
            </w:pPr>
            <w:r w:rsidRPr="0019790A">
              <w:rPr>
                <w:rFonts w:cs="Arial"/>
                <w:szCs w:val="22"/>
              </w:rPr>
              <w:t>Оновлена 100% матеріальна база залу.</w:t>
            </w:r>
          </w:p>
          <w:p w14:paraId="118561BC" w14:textId="77777777" w:rsidR="005342D5" w:rsidRPr="0019790A" w:rsidRDefault="005342D5" w:rsidP="00CD7662">
            <w:pPr>
              <w:numPr>
                <w:ilvl w:val="0"/>
                <w:numId w:val="162"/>
              </w:numPr>
              <w:tabs>
                <w:tab w:val="left" w:pos="325"/>
              </w:tabs>
              <w:ind w:left="0" w:firstLine="0"/>
              <w:jc w:val="both"/>
              <w:rPr>
                <w:rFonts w:cs="Arial"/>
                <w:szCs w:val="22"/>
              </w:rPr>
            </w:pPr>
            <w:r w:rsidRPr="0019790A">
              <w:rPr>
                <w:rFonts w:cs="Arial"/>
                <w:szCs w:val="22"/>
              </w:rPr>
              <w:t>Використання приміщення щонайменше 8 год/день.</w:t>
            </w:r>
          </w:p>
          <w:p w14:paraId="450322D8" w14:textId="77777777" w:rsidR="005342D5" w:rsidRPr="0019790A" w:rsidRDefault="005342D5" w:rsidP="00CD7662">
            <w:pPr>
              <w:numPr>
                <w:ilvl w:val="0"/>
                <w:numId w:val="162"/>
              </w:numPr>
              <w:tabs>
                <w:tab w:val="left" w:pos="325"/>
              </w:tabs>
              <w:ind w:left="0" w:firstLine="0"/>
              <w:jc w:val="both"/>
              <w:rPr>
                <w:rFonts w:cs="Arial"/>
                <w:szCs w:val="22"/>
              </w:rPr>
            </w:pPr>
            <w:r w:rsidRPr="0019790A">
              <w:rPr>
                <w:rFonts w:cs="Arial"/>
                <w:szCs w:val="22"/>
              </w:rPr>
              <w:t>Залучення не менше 500 відвідувачів на рік, включаючи жінок і осіб старшого віку.</w:t>
            </w:r>
          </w:p>
        </w:tc>
      </w:tr>
      <w:tr w:rsidR="005342D5" w:rsidRPr="0019790A" w14:paraId="5D169B3C" w14:textId="77777777" w:rsidTr="00CD7662">
        <w:trPr>
          <w:jc w:val="right"/>
        </w:trPr>
        <w:tc>
          <w:tcPr>
            <w:tcW w:w="3425" w:type="dxa"/>
            <w:shd w:val="clear" w:color="auto" w:fill="FFFFFF"/>
            <w:vAlign w:val="center"/>
          </w:tcPr>
          <w:p w14:paraId="0B85D37B" w14:textId="77777777" w:rsidR="005342D5" w:rsidRPr="0019790A" w:rsidRDefault="005342D5" w:rsidP="0019790A">
            <w:pPr>
              <w:rPr>
                <w:rFonts w:cs="Arial"/>
                <w:b/>
                <w:szCs w:val="22"/>
              </w:rPr>
            </w:pPr>
            <w:r w:rsidRPr="0019790A">
              <w:rPr>
                <w:rFonts w:cs="Arial"/>
                <w:b/>
                <w:szCs w:val="22"/>
              </w:rPr>
              <w:t xml:space="preserve">Період здійснення: </w:t>
            </w:r>
          </w:p>
        </w:tc>
        <w:tc>
          <w:tcPr>
            <w:tcW w:w="6794" w:type="dxa"/>
            <w:gridSpan w:val="9"/>
            <w:vAlign w:val="center"/>
          </w:tcPr>
          <w:p w14:paraId="280EDBE5" w14:textId="77777777" w:rsidR="005342D5" w:rsidRPr="0019790A" w:rsidRDefault="005342D5" w:rsidP="00CD7662">
            <w:pPr>
              <w:tabs>
                <w:tab w:val="left" w:pos="325"/>
              </w:tabs>
              <w:jc w:val="both"/>
              <w:rPr>
                <w:rFonts w:cs="Arial"/>
                <w:szCs w:val="22"/>
              </w:rPr>
            </w:pPr>
            <w:r w:rsidRPr="0019790A">
              <w:rPr>
                <w:rFonts w:cs="Arial"/>
                <w:b/>
                <w:szCs w:val="22"/>
              </w:rPr>
              <w:t>2025 – 2028 роки:</w:t>
            </w:r>
          </w:p>
        </w:tc>
      </w:tr>
      <w:tr w:rsidR="005342D5" w:rsidRPr="0019790A" w14:paraId="4A0B48D1" w14:textId="77777777" w:rsidTr="00CD7662">
        <w:trPr>
          <w:jc w:val="right"/>
        </w:trPr>
        <w:tc>
          <w:tcPr>
            <w:tcW w:w="3425" w:type="dxa"/>
            <w:vMerge w:val="restart"/>
            <w:shd w:val="clear" w:color="auto" w:fill="FFFFFF"/>
            <w:vAlign w:val="center"/>
          </w:tcPr>
          <w:p w14:paraId="474E2BBB" w14:textId="77777777" w:rsidR="005342D5" w:rsidRPr="0019790A" w:rsidRDefault="005342D5" w:rsidP="0019790A">
            <w:pPr>
              <w:rPr>
                <w:rFonts w:cs="Arial"/>
                <w:b/>
                <w:bCs/>
                <w:szCs w:val="22"/>
              </w:rPr>
            </w:pPr>
            <w:r w:rsidRPr="0019790A">
              <w:rPr>
                <w:rFonts w:cs="Arial"/>
                <w:b/>
                <w:bCs/>
                <w:szCs w:val="22"/>
              </w:rPr>
              <w:t>Орієнтовна вартість проєкту, тис. грн., в тому числі:</w:t>
            </w:r>
          </w:p>
        </w:tc>
        <w:tc>
          <w:tcPr>
            <w:tcW w:w="1254" w:type="dxa"/>
            <w:shd w:val="clear" w:color="auto" w:fill="E6E6E6"/>
            <w:vAlign w:val="center"/>
          </w:tcPr>
          <w:p w14:paraId="1CF08418" w14:textId="77777777" w:rsidR="005342D5" w:rsidRPr="0019790A" w:rsidRDefault="005342D5" w:rsidP="00CD7662">
            <w:pPr>
              <w:jc w:val="center"/>
              <w:rPr>
                <w:rFonts w:cs="Arial"/>
                <w:b/>
                <w:szCs w:val="22"/>
              </w:rPr>
            </w:pPr>
            <w:r w:rsidRPr="0019790A">
              <w:rPr>
                <w:rFonts w:cs="Arial"/>
                <w:b/>
                <w:szCs w:val="22"/>
              </w:rPr>
              <w:t>2025</w:t>
            </w:r>
          </w:p>
        </w:tc>
        <w:tc>
          <w:tcPr>
            <w:tcW w:w="1275" w:type="dxa"/>
            <w:gridSpan w:val="2"/>
            <w:shd w:val="clear" w:color="auto" w:fill="E6E6E6"/>
            <w:vAlign w:val="center"/>
          </w:tcPr>
          <w:p w14:paraId="52085A6B" w14:textId="77777777" w:rsidR="005342D5" w:rsidRPr="0019790A" w:rsidRDefault="005342D5" w:rsidP="00CD7662">
            <w:pPr>
              <w:jc w:val="center"/>
              <w:rPr>
                <w:rFonts w:cs="Arial"/>
                <w:b/>
                <w:szCs w:val="22"/>
              </w:rPr>
            </w:pPr>
            <w:r w:rsidRPr="0019790A">
              <w:rPr>
                <w:rFonts w:cs="Arial"/>
                <w:b/>
                <w:szCs w:val="22"/>
              </w:rPr>
              <w:t>2026</w:t>
            </w:r>
          </w:p>
        </w:tc>
        <w:tc>
          <w:tcPr>
            <w:tcW w:w="1418" w:type="dxa"/>
            <w:gridSpan w:val="3"/>
            <w:tcBorders>
              <w:bottom w:val="single" w:sz="4" w:space="0" w:color="auto"/>
            </w:tcBorders>
            <w:shd w:val="clear" w:color="auto" w:fill="E6E6E6"/>
            <w:vAlign w:val="center"/>
          </w:tcPr>
          <w:p w14:paraId="2581A293" w14:textId="77777777" w:rsidR="005342D5" w:rsidRPr="0019790A" w:rsidRDefault="005342D5" w:rsidP="00CD7662">
            <w:pPr>
              <w:jc w:val="center"/>
              <w:rPr>
                <w:rFonts w:cs="Arial"/>
                <w:b/>
                <w:szCs w:val="22"/>
              </w:rPr>
            </w:pPr>
            <w:r w:rsidRPr="0019790A">
              <w:rPr>
                <w:rFonts w:cs="Arial"/>
                <w:b/>
                <w:szCs w:val="22"/>
              </w:rPr>
              <w:t>2027</w:t>
            </w:r>
          </w:p>
        </w:tc>
        <w:tc>
          <w:tcPr>
            <w:tcW w:w="1276" w:type="dxa"/>
            <w:shd w:val="clear" w:color="auto" w:fill="E6E6E6"/>
            <w:vAlign w:val="center"/>
          </w:tcPr>
          <w:p w14:paraId="7946A3DC" w14:textId="77777777" w:rsidR="005342D5" w:rsidRPr="0019790A" w:rsidRDefault="005342D5" w:rsidP="00CD7662">
            <w:pPr>
              <w:jc w:val="center"/>
              <w:rPr>
                <w:rFonts w:cs="Arial"/>
                <w:b/>
                <w:szCs w:val="22"/>
              </w:rPr>
            </w:pPr>
            <w:r w:rsidRPr="0019790A">
              <w:rPr>
                <w:rFonts w:cs="Arial"/>
                <w:b/>
                <w:szCs w:val="22"/>
              </w:rPr>
              <w:t>2028</w:t>
            </w:r>
          </w:p>
        </w:tc>
        <w:tc>
          <w:tcPr>
            <w:tcW w:w="1571" w:type="dxa"/>
            <w:gridSpan w:val="2"/>
            <w:shd w:val="clear" w:color="auto" w:fill="E6E6E6"/>
            <w:vAlign w:val="center"/>
          </w:tcPr>
          <w:p w14:paraId="2609338C" w14:textId="77777777" w:rsidR="005342D5" w:rsidRPr="0019790A" w:rsidRDefault="005342D5" w:rsidP="00CD7662">
            <w:pPr>
              <w:jc w:val="center"/>
              <w:rPr>
                <w:rFonts w:cs="Arial"/>
                <w:b/>
                <w:szCs w:val="22"/>
              </w:rPr>
            </w:pPr>
            <w:r w:rsidRPr="0019790A">
              <w:rPr>
                <w:rFonts w:cs="Arial"/>
                <w:b/>
                <w:szCs w:val="22"/>
              </w:rPr>
              <w:t>РАЗОМ</w:t>
            </w:r>
          </w:p>
        </w:tc>
      </w:tr>
      <w:tr w:rsidR="005342D5" w:rsidRPr="0019790A" w14:paraId="0F3CB778" w14:textId="77777777" w:rsidTr="00CD7662">
        <w:trPr>
          <w:jc w:val="right"/>
        </w:trPr>
        <w:tc>
          <w:tcPr>
            <w:tcW w:w="3425" w:type="dxa"/>
            <w:vMerge/>
            <w:shd w:val="clear" w:color="auto" w:fill="FFFFFF"/>
            <w:vAlign w:val="center"/>
          </w:tcPr>
          <w:p w14:paraId="2DF5544A" w14:textId="77777777" w:rsidR="005342D5" w:rsidRPr="0019790A" w:rsidRDefault="005342D5" w:rsidP="0019790A">
            <w:pPr>
              <w:rPr>
                <w:rFonts w:cs="Arial"/>
                <w:b/>
                <w:bCs/>
                <w:szCs w:val="22"/>
              </w:rPr>
            </w:pPr>
          </w:p>
        </w:tc>
        <w:tc>
          <w:tcPr>
            <w:tcW w:w="1254" w:type="dxa"/>
            <w:vAlign w:val="center"/>
          </w:tcPr>
          <w:p w14:paraId="37AF76F8" w14:textId="77777777" w:rsidR="005342D5" w:rsidRPr="0019790A" w:rsidRDefault="005342D5" w:rsidP="00CD7662">
            <w:pPr>
              <w:jc w:val="center"/>
              <w:rPr>
                <w:rFonts w:cs="Arial"/>
                <w:b/>
                <w:szCs w:val="22"/>
              </w:rPr>
            </w:pPr>
          </w:p>
        </w:tc>
        <w:tc>
          <w:tcPr>
            <w:tcW w:w="1275" w:type="dxa"/>
            <w:gridSpan w:val="2"/>
            <w:shd w:val="clear" w:color="auto" w:fill="FFFFFF"/>
            <w:vAlign w:val="center"/>
          </w:tcPr>
          <w:p w14:paraId="6173EAFF" w14:textId="77777777" w:rsidR="005342D5" w:rsidRPr="0019790A" w:rsidRDefault="005342D5" w:rsidP="00CD7662">
            <w:pPr>
              <w:jc w:val="center"/>
              <w:rPr>
                <w:rFonts w:cs="Arial"/>
                <w:b/>
                <w:szCs w:val="22"/>
              </w:rPr>
            </w:pPr>
            <w:r w:rsidRPr="0019790A">
              <w:rPr>
                <w:rFonts w:cs="Arial"/>
                <w:b/>
                <w:szCs w:val="22"/>
              </w:rPr>
              <w:t>1000,0</w:t>
            </w:r>
          </w:p>
        </w:tc>
        <w:tc>
          <w:tcPr>
            <w:tcW w:w="1418" w:type="dxa"/>
            <w:gridSpan w:val="3"/>
            <w:shd w:val="clear" w:color="auto" w:fill="auto"/>
            <w:vAlign w:val="center"/>
          </w:tcPr>
          <w:p w14:paraId="370B2FD9" w14:textId="77777777" w:rsidR="005342D5" w:rsidRPr="0019790A" w:rsidRDefault="005342D5" w:rsidP="00CD7662">
            <w:pPr>
              <w:jc w:val="center"/>
              <w:rPr>
                <w:rFonts w:cs="Arial"/>
                <w:b/>
                <w:szCs w:val="22"/>
              </w:rPr>
            </w:pPr>
            <w:r w:rsidRPr="0019790A">
              <w:rPr>
                <w:rFonts w:cs="Arial"/>
                <w:b/>
                <w:szCs w:val="22"/>
              </w:rPr>
              <w:t>1000,0</w:t>
            </w:r>
          </w:p>
        </w:tc>
        <w:tc>
          <w:tcPr>
            <w:tcW w:w="1276" w:type="dxa"/>
            <w:shd w:val="clear" w:color="auto" w:fill="FFFFFF"/>
            <w:vAlign w:val="center"/>
          </w:tcPr>
          <w:p w14:paraId="4337714C" w14:textId="77777777" w:rsidR="005342D5" w:rsidRPr="0019790A" w:rsidRDefault="005342D5" w:rsidP="00CD7662">
            <w:pPr>
              <w:jc w:val="center"/>
              <w:rPr>
                <w:rFonts w:cs="Arial"/>
                <w:b/>
                <w:szCs w:val="22"/>
              </w:rPr>
            </w:pPr>
          </w:p>
        </w:tc>
        <w:tc>
          <w:tcPr>
            <w:tcW w:w="1571" w:type="dxa"/>
            <w:gridSpan w:val="2"/>
            <w:shd w:val="clear" w:color="auto" w:fill="FFFFFF"/>
            <w:vAlign w:val="center"/>
          </w:tcPr>
          <w:p w14:paraId="410245CE" w14:textId="77777777" w:rsidR="005342D5" w:rsidRPr="0019790A" w:rsidRDefault="005342D5" w:rsidP="00CD7662">
            <w:pPr>
              <w:jc w:val="center"/>
              <w:rPr>
                <w:rFonts w:cs="Arial"/>
                <w:b/>
                <w:szCs w:val="22"/>
              </w:rPr>
            </w:pPr>
            <w:r w:rsidRPr="0019790A">
              <w:rPr>
                <w:rFonts w:cs="Arial"/>
                <w:b/>
                <w:szCs w:val="22"/>
              </w:rPr>
              <w:t>2000,0</w:t>
            </w:r>
          </w:p>
        </w:tc>
      </w:tr>
      <w:tr w:rsidR="005342D5" w:rsidRPr="0019790A" w14:paraId="541332B5" w14:textId="77777777" w:rsidTr="00CD7662">
        <w:trPr>
          <w:trHeight w:val="276"/>
          <w:jc w:val="right"/>
        </w:trPr>
        <w:tc>
          <w:tcPr>
            <w:tcW w:w="3425" w:type="dxa"/>
            <w:shd w:val="clear" w:color="auto" w:fill="FFFFFF"/>
            <w:vAlign w:val="center"/>
          </w:tcPr>
          <w:p w14:paraId="275742F3" w14:textId="77777777" w:rsidR="005342D5" w:rsidRPr="0019790A" w:rsidRDefault="005342D5" w:rsidP="0019790A">
            <w:pPr>
              <w:rPr>
                <w:rFonts w:cs="Arial"/>
                <w:b/>
                <w:bCs/>
                <w:szCs w:val="22"/>
              </w:rPr>
            </w:pPr>
            <w:r w:rsidRPr="0019790A">
              <w:rPr>
                <w:rFonts w:cs="Arial"/>
                <w:b/>
                <w:bCs/>
                <w:szCs w:val="22"/>
              </w:rPr>
              <w:t>по джерелах фінансування:</w:t>
            </w:r>
          </w:p>
        </w:tc>
        <w:tc>
          <w:tcPr>
            <w:tcW w:w="6794" w:type="dxa"/>
            <w:gridSpan w:val="9"/>
            <w:vAlign w:val="center"/>
          </w:tcPr>
          <w:p w14:paraId="59B01B46" w14:textId="77777777" w:rsidR="005342D5" w:rsidRPr="0019790A" w:rsidRDefault="005342D5" w:rsidP="00CD7662">
            <w:pPr>
              <w:jc w:val="center"/>
              <w:rPr>
                <w:rFonts w:cs="Arial"/>
                <w:szCs w:val="22"/>
              </w:rPr>
            </w:pPr>
          </w:p>
        </w:tc>
      </w:tr>
      <w:tr w:rsidR="00CD7662" w:rsidRPr="0019790A" w14:paraId="5ACDE4AE" w14:textId="12B28483" w:rsidTr="00CD7662">
        <w:trPr>
          <w:trHeight w:val="240"/>
          <w:jc w:val="right"/>
        </w:trPr>
        <w:tc>
          <w:tcPr>
            <w:tcW w:w="3425" w:type="dxa"/>
            <w:shd w:val="clear" w:color="auto" w:fill="FFFFFF"/>
            <w:vAlign w:val="center"/>
          </w:tcPr>
          <w:p w14:paraId="7F8D2144" w14:textId="77777777" w:rsidR="00CD7662" w:rsidRPr="0019790A" w:rsidRDefault="00CD7662" w:rsidP="0019790A">
            <w:pPr>
              <w:rPr>
                <w:rFonts w:cs="Arial"/>
                <w:b/>
                <w:bCs/>
                <w:szCs w:val="22"/>
              </w:rPr>
            </w:pPr>
            <w:r w:rsidRPr="0019790A">
              <w:rPr>
                <w:rFonts w:cs="Arial"/>
                <w:szCs w:val="22"/>
              </w:rPr>
              <w:t>- державний бюджет</w:t>
            </w:r>
          </w:p>
        </w:tc>
        <w:tc>
          <w:tcPr>
            <w:tcW w:w="1267" w:type="dxa"/>
            <w:gridSpan w:val="2"/>
            <w:vAlign w:val="center"/>
          </w:tcPr>
          <w:p w14:paraId="644233E6" w14:textId="77777777" w:rsidR="00CD7662" w:rsidRPr="0019790A" w:rsidRDefault="00CD7662" w:rsidP="00CD7662">
            <w:pPr>
              <w:jc w:val="center"/>
              <w:rPr>
                <w:rFonts w:cs="Arial"/>
                <w:szCs w:val="22"/>
              </w:rPr>
            </w:pPr>
          </w:p>
        </w:tc>
        <w:tc>
          <w:tcPr>
            <w:tcW w:w="1277" w:type="dxa"/>
            <w:gridSpan w:val="2"/>
            <w:vAlign w:val="center"/>
          </w:tcPr>
          <w:p w14:paraId="57F0F730" w14:textId="77777777" w:rsidR="00CD7662" w:rsidRPr="0019790A" w:rsidRDefault="00CD7662" w:rsidP="00CD7662">
            <w:pPr>
              <w:jc w:val="center"/>
              <w:rPr>
                <w:rFonts w:cs="Arial"/>
                <w:szCs w:val="22"/>
              </w:rPr>
            </w:pPr>
          </w:p>
        </w:tc>
        <w:tc>
          <w:tcPr>
            <w:tcW w:w="1392" w:type="dxa"/>
            <w:vAlign w:val="center"/>
          </w:tcPr>
          <w:p w14:paraId="78C42792" w14:textId="77777777" w:rsidR="00CD7662" w:rsidRPr="0019790A" w:rsidRDefault="00CD7662" w:rsidP="00CD7662">
            <w:pPr>
              <w:jc w:val="center"/>
              <w:rPr>
                <w:rFonts w:cs="Arial"/>
                <w:szCs w:val="22"/>
              </w:rPr>
            </w:pPr>
          </w:p>
        </w:tc>
        <w:tc>
          <w:tcPr>
            <w:tcW w:w="1296" w:type="dxa"/>
            <w:gridSpan w:val="3"/>
            <w:vAlign w:val="center"/>
          </w:tcPr>
          <w:p w14:paraId="17B9664C" w14:textId="77777777" w:rsidR="00CD7662" w:rsidRPr="0019790A" w:rsidRDefault="00CD7662" w:rsidP="00CD7662">
            <w:pPr>
              <w:jc w:val="center"/>
              <w:rPr>
                <w:rFonts w:cs="Arial"/>
                <w:szCs w:val="22"/>
              </w:rPr>
            </w:pPr>
          </w:p>
        </w:tc>
        <w:tc>
          <w:tcPr>
            <w:tcW w:w="1562" w:type="dxa"/>
            <w:vAlign w:val="center"/>
          </w:tcPr>
          <w:p w14:paraId="65925C3F" w14:textId="77777777" w:rsidR="00CD7662" w:rsidRPr="0019790A" w:rsidRDefault="00CD7662" w:rsidP="00CD7662">
            <w:pPr>
              <w:jc w:val="center"/>
              <w:rPr>
                <w:rFonts w:cs="Arial"/>
                <w:szCs w:val="22"/>
              </w:rPr>
            </w:pPr>
          </w:p>
        </w:tc>
      </w:tr>
      <w:tr w:rsidR="00CD7662" w:rsidRPr="0019790A" w14:paraId="2163BED4" w14:textId="3100C1F8" w:rsidTr="00CD7662">
        <w:trPr>
          <w:trHeight w:val="254"/>
          <w:jc w:val="right"/>
        </w:trPr>
        <w:tc>
          <w:tcPr>
            <w:tcW w:w="3425" w:type="dxa"/>
            <w:shd w:val="clear" w:color="auto" w:fill="FFFFFF"/>
            <w:vAlign w:val="center"/>
          </w:tcPr>
          <w:p w14:paraId="27CAD728" w14:textId="77777777" w:rsidR="00CD7662" w:rsidRPr="0019790A" w:rsidRDefault="00CD7662" w:rsidP="0019790A">
            <w:pPr>
              <w:rPr>
                <w:rFonts w:cs="Arial"/>
                <w:szCs w:val="22"/>
              </w:rPr>
            </w:pPr>
            <w:r w:rsidRPr="0019790A">
              <w:rPr>
                <w:rFonts w:cs="Arial"/>
                <w:szCs w:val="22"/>
              </w:rPr>
              <w:t>- обласний бюджет</w:t>
            </w:r>
          </w:p>
        </w:tc>
        <w:tc>
          <w:tcPr>
            <w:tcW w:w="1267" w:type="dxa"/>
            <w:gridSpan w:val="2"/>
            <w:vAlign w:val="center"/>
          </w:tcPr>
          <w:p w14:paraId="2BACDB3F" w14:textId="77777777" w:rsidR="00CD7662" w:rsidRPr="0019790A" w:rsidRDefault="00CD7662" w:rsidP="00CD7662">
            <w:pPr>
              <w:jc w:val="center"/>
              <w:rPr>
                <w:rFonts w:cs="Arial"/>
                <w:szCs w:val="22"/>
              </w:rPr>
            </w:pPr>
          </w:p>
        </w:tc>
        <w:tc>
          <w:tcPr>
            <w:tcW w:w="1277" w:type="dxa"/>
            <w:gridSpan w:val="2"/>
            <w:vAlign w:val="center"/>
          </w:tcPr>
          <w:p w14:paraId="21FD1DF6" w14:textId="77777777" w:rsidR="00CD7662" w:rsidRPr="0019790A" w:rsidRDefault="00CD7662" w:rsidP="00CD7662">
            <w:pPr>
              <w:jc w:val="center"/>
              <w:rPr>
                <w:rFonts w:cs="Arial"/>
                <w:szCs w:val="22"/>
              </w:rPr>
            </w:pPr>
          </w:p>
        </w:tc>
        <w:tc>
          <w:tcPr>
            <w:tcW w:w="1392" w:type="dxa"/>
            <w:vAlign w:val="center"/>
          </w:tcPr>
          <w:p w14:paraId="0FB72FC8" w14:textId="77777777" w:rsidR="00CD7662" w:rsidRPr="0019790A" w:rsidRDefault="00CD7662" w:rsidP="00CD7662">
            <w:pPr>
              <w:jc w:val="center"/>
              <w:rPr>
                <w:rFonts w:cs="Arial"/>
                <w:szCs w:val="22"/>
              </w:rPr>
            </w:pPr>
          </w:p>
        </w:tc>
        <w:tc>
          <w:tcPr>
            <w:tcW w:w="1296" w:type="dxa"/>
            <w:gridSpan w:val="3"/>
            <w:vAlign w:val="center"/>
          </w:tcPr>
          <w:p w14:paraId="71837975" w14:textId="77777777" w:rsidR="00CD7662" w:rsidRPr="0019790A" w:rsidRDefault="00CD7662" w:rsidP="00CD7662">
            <w:pPr>
              <w:jc w:val="center"/>
              <w:rPr>
                <w:rFonts w:cs="Arial"/>
                <w:szCs w:val="22"/>
              </w:rPr>
            </w:pPr>
          </w:p>
        </w:tc>
        <w:tc>
          <w:tcPr>
            <w:tcW w:w="1562" w:type="dxa"/>
            <w:vAlign w:val="center"/>
          </w:tcPr>
          <w:p w14:paraId="051E01FE" w14:textId="77777777" w:rsidR="00CD7662" w:rsidRPr="0019790A" w:rsidRDefault="00CD7662" w:rsidP="00CD7662">
            <w:pPr>
              <w:jc w:val="center"/>
              <w:rPr>
                <w:rFonts w:cs="Arial"/>
                <w:szCs w:val="22"/>
              </w:rPr>
            </w:pPr>
          </w:p>
        </w:tc>
      </w:tr>
      <w:tr w:rsidR="00CD7662" w:rsidRPr="0019790A" w14:paraId="0B835371" w14:textId="2C862E20" w:rsidTr="00CD7662">
        <w:trPr>
          <w:trHeight w:val="275"/>
          <w:jc w:val="right"/>
        </w:trPr>
        <w:tc>
          <w:tcPr>
            <w:tcW w:w="3425" w:type="dxa"/>
            <w:shd w:val="clear" w:color="auto" w:fill="FFFFFF"/>
            <w:vAlign w:val="center"/>
          </w:tcPr>
          <w:p w14:paraId="0A9C94AC" w14:textId="77777777" w:rsidR="00CD7662" w:rsidRPr="0019790A" w:rsidRDefault="00CD7662" w:rsidP="00CD7662">
            <w:pPr>
              <w:rPr>
                <w:rFonts w:cs="Arial"/>
                <w:szCs w:val="22"/>
              </w:rPr>
            </w:pPr>
            <w:r w:rsidRPr="0019790A">
              <w:rPr>
                <w:rFonts w:cs="Arial"/>
                <w:szCs w:val="22"/>
              </w:rPr>
              <w:t>- бюджет Жмеринської МТГ</w:t>
            </w:r>
          </w:p>
        </w:tc>
        <w:tc>
          <w:tcPr>
            <w:tcW w:w="1267" w:type="dxa"/>
            <w:gridSpan w:val="2"/>
            <w:vAlign w:val="center"/>
          </w:tcPr>
          <w:p w14:paraId="3400532A" w14:textId="2841A489" w:rsidR="00CD7662" w:rsidRPr="0019790A" w:rsidRDefault="00CD7662" w:rsidP="00CD7662">
            <w:pPr>
              <w:jc w:val="center"/>
              <w:rPr>
                <w:rFonts w:cs="Arial"/>
                <w:b/>
                <w:szCs w:val="22"/>
              </w:rPr>
            </w:pPr>
          </w:p>
        </w:tc>
        <w:tc>
          <w:tcPr>
            <w:tcW w:w="1277" w:type="dxa"/>
            <w:gridSpan w:val="2"/>
            <w:vAlign w:val="center"/>
          </w:tcPr>
          <w:p w14:paraId="45C5B73B" w14:textId="71F9F7A6" w:rsidR="00CD7662" w:rsidRPr="0019790A" w:rsidRDefault="00CD7662" w:rsidP="00CD7662">
            <w:pPr>
              <w:jc w:val="center"/>
              <w:rPr>
                <w:rFonts w:cs="Arial"/>
                <w:b/>
                <w:szCs w:val="22"/>
              </w:rPr>
            </w:pPr>
            <w:r w:rsidRPr="0019790A">
              <w:rPr>
                <w:rFonts w:cs="Arial"/>
                <w:b/>
                <w:szCs w:val="22"/>
              </w:rPr>
              <w:t>1000,0</w:t>
            </w:r>
          </w:p>
        </w:tc>
        <w:tc>
          <w:tcPr>
            <w:tcW w:w="1392" w:type="dxa"/>
            <w:vAlign w:val="center"/>
          </w:tcPr>
          <w:p w14:paraId="2FBA53EE" w14:textId="1D9E9D75" w:rsidR="00CD7662" w:rsidRPr="0019790A" w:rsidRDefault="00CD7662" w:rsidP="00CD7662">
            <w:pPr>
              <w:jc w:val="center"/>
              <w:rPr>
                <w:rFonts w:cs="Arial"/>
                <w:b/>
                <w:szCs w:val="22"/>
              </w:rPr>
            </w:pPr>
            <w:r w:rsidRPr="0019790A">
              <w:rPr>
                <w:rFonts w:cs="Arial"/>
                <w:b/>
                <w:szCs w:val="22"/>
              </w:rPr>
              <w:t>1000,0</w:t>
            </w:r>
          </w:p>
        </w:tc>
        <w:tc>
          <w:tcPr>
            <w:tcW w:w="1296" w:type="dxa"/>
            <w:gridSpan w:val="3"/>
            <w:vAlign w:val="center"/>
          </w:tcPr>
          <w:p w14:paraId="0F3CAB39" w14:textId="77777777" w:rsidR="00CD7662" w:rsidRPr="0019790A" w:rsidRDefault="00CD7662" w:rsidP="00CD7662">
            <w:pPr>
              <w:jc w:val="center"/>
              <w:rPr>
                <w:rFonts w:cs="Arial"/>
                <w:b/>
                <w:szCs w:val="22"/>
              </w:rPr>
            </w:pPr>
          </w:p>
        </w:tc>
        <w:tc>
          <w:tcPr>
            <w:tcW w:w="1562" w:type="dxa"/>
            <w:vAlign w:val="center"/>
          </w:tcPr>
          <w:p w14:paraId="32A44237" w14:textId="690B589C" w:rsidR="00CD7662" w:rsidRPr="0019790A" w:rsidRDefault="00CD7662" w:rsidP="00CD7662">
            <w:pPr>
              <w:jc w:val="center"/>
              <w:rPr>
                <w:rFonts w:cs="Arial"/>
                <w:b/>
                <w:szCs w:val="22"/>
              </w:rPr>
            </w:pPr>
            <w:r w:rsidRPr="0019790A">
              <w:rPr>
                <w:rFonts w:cs="Arial"/>
                <w:b/>
                <w:szCs w:val="22"/>
              </w:rPr>
              <w:t>2000,0</w:t>
            </w:r>
          </w:p>
        </w:tc>
      </w:tr>
      <w:tr w:rsidR="00CD7662" w:rsidRPr="0019790A" w14:paraId="4B02F3F6" w14:textId="2A6246D8" w:rsidTr="00CD7662">
        <w:trPr>
          <w:trHeight w:val="226"/>
          <w:jc w:val="right"/>
        </w:trPr>
        <w:tc>
          <w:tcPr>
            <w:tcW w:w="3425" w:type="dxa"/>
            <w:shd w:val="clear" w:color="auto" w:fill="FFFFFF"/>
            <w:vAlign w:val="center"/>
          </w:tcPr>
          <w:p w14:paraId="4824E014" w14:textId="77777777" w:rsidR="00CD7662" w:rsidRPr="0019790A" w:rsidRDefault="00CD7662" w:rsidP="00CD7662">
            <w:pPr>
              <w:rPr>
                <w:rFonts w:cs="Arial"/>
                <w:szCs w:val="22"/>
              </w:rPr>
            </w:pPr>
            <w:r w:rsidRPr="0019790A">
              <w:rPr>
                <w:rFonts w:cs="Arial"/>
                <w:szCs w:val="22"/>
              </w:rPr>
              <w:t>- інші джерела фінансування</w:t>
            </w:r>
          </w:p>
        </w:tc>
        <w:tc>
          <w:tcPr>
            <w:tcW w:w="1267" w:type="dxa"/>
            <w:gridSpan w:val="2"/>
            <w:vAlign w:val="center"/>
          </w:tcPr>
          <w:p w14:paraId="49B54ACA" w14:textId="77777777" w:rsidR="00CD7662" w:rsidRPr="0019790A" w:rsidRDefault="00CD7662" w:rsidP="00CD7662">
            <w:pPr>
              <w:jc w:val="center"/>
              <w:rPr>
                <w:rFonts w:cs="Arial"/>
                <w:szCs w:val="22"/>
              </w:rPr>
            </w:pPr>
          </w:p>
        </w:tc>
        <w:tc>
          <w:tcPr>
            <w:tcW w:w="1277" w:type="dxa"/>
            <w:gridSpan w:val="2"/>
            <w:vAlign w:val="center"/>
          </w:tcPr>
          <w:p w14:paraId="1D59AB03" w14:textId="77777777" w:rsidR="00CD7662" w:rsidRPr="0019790A" w:rsidRDefault="00CD7662" w:rsidP="00CD7662">
            <w:pPr>
              <w:jc w:val="center"/>
              <w:rPr>
                <w:rFonts w:cs="Arial"/>
                <w:szCs w:val="22"/>
              </w:rPr>
            </w:pPr>
          </w:p>
        </w:tc>
        <w:tc>
          <w:tcPr>
            <w:tcW w:w="1392" w:type="dxa"/>
            <w:vAlign w:val="center"/>
          </w:tcPr>
          <w:p w14:paraId="7BB6E5DC" w14:textId="77777777" w:rsidR="00CD7662" w:rsidRPr="0019790A" w:rsidRDefault="00CD7662" w:rsidP="00CD7662">
            <w:pPr>
              <w:jc w:val="center"/>
              <w:rPr>
                <w:rFonts w:cs="Arial"/>
                <w:szCs w:val="22"/>
              </w:rPr>
            </w:pPr>
          </w:p>
        </w:tc>
        <w:tc>
          <w:tcPr>
            <w:tcW w:w="1296" w:type="dxa"/>
            <w:gridSpan w:val="3"/>
            <w:vAlign w:val="center"/>
          </w:tcPr>
          <w:p w14:paraId="1E5B6264" w14:textId="77777777" w:rsidR="00CD7662" w:rsidRPr="0019790A" w:rsidRDefault="00CD7662" w:rsidP="00CD7662">
            <w:pPr>
              <w:jc w:val="center"/>
              <w:rPr>
                <w:rFonts w:cs="Arial"/>
                <w:szCs w:val="22"/>
              </w:rPr>
            </w:pPr>
          </w:p>
        </w:tc>
        <w:tc>
          <w:tcPr>
            <w:tcW w:w="1562" w:type="dxa"/>
            <w:vAlign w:val="center"/>
          </w:tcPr>
          <w:p w14:paraId="174488CA" w14:textId="77777777" w:rsidR="00CD7662" w:rsidRPr="0019790A" w:rsidRDefault="00CD7662" w:rsidP="00CD7662">
            <w:pPr>
              <w:jc w:val="center"/>
              <w:rPr>
                <w:rFonts w:cs="Arial"/>
                <w:szCs w:val="22"/>
              </w:rPr>
            </w:pPr>
          </w:p>
        </w:tc>
      </w:tr>
      <w:tr w:rsidR="00CD7662" w:rsidRPr="0019790A" w14:paraId="19B154EC" w14:textId="77777777" w:rsidTr="00CF3AAE">
        <w:trPr>
          <w:jc w:val="right"/>
        </w:trPr>
        <w:tc>
          <w:tcPr>
            <w:tcW w:w="3425" w:type="dxa"/>
            <w:shd w:val="clear" w:color="auto" w:fill="FFFFFF"/>
            <w:vAlign w:val="center"/>
          </w:tcPr>
          <w:p w14:paraId="4B55F045" w14:textId="77777777" w:rsidR="00CD7662" w:rsidRPr="0019790A" w:rsidRDefault="00CD7662" w:rsidP="00CD7662">
            <w:pPr>
              <w:rPr>
                <w:rFonts w:cs="Arial"/>
                <w:b/>
                <w:bCs/>
                <w:szCs w:val="22"/>
              </w:rPr>
            </w:pPr>
            <w:r w:rsidRPr="0019790A">
              <w:rPr>
                <w:rFonts w:cs="Arial"/>
                <w:b/>
                <w:szCs w:val="22"/>
              </w:rPr>
              <w:t>Відповідальний виконавець проєкту:</w:t>
            </w:r>
          </w:p>
        </w:tc>
        <w:tc>
          <w:tcPr>
            <w:tcW w:w="6794" w:type="dxa"/>
            <w:gridSpan w:val="9"/>
            <w:vAlign w:val="center"/>
          </w:tcPr>
          <w:p w14:paraId="0C6855D4" w14:textId="77777777" w:rsidR="00CD7662" w:rsidRPr="0019790A" w:rsidRDefault="00CD7662" w:rsidP="00CD7662">
            <w:pPr>
              <w:jc w:val="both"/>
              <w:rPr>
                <w:rFonts w:cs="Arial"/>
                <w:szCs w:val="22"/>
              </w:rPr>
            </w:pPr>
            <w:r w:rsidRPr="0019790A">
              <w:rPr>
                <w:rFonts w:cs="Arial"/>
                <w:szCs w:val="22"/>
              </w:rPr>
              <w:t>Управління житлово-комунального господарства Жмеринської міської ради, комунальне підприємство «СОЗ «Юність»</w:t>
            </w:r>
          </w:p>
        </w:tc>
      </w:tr>
      <w:tr w:rsidR="00CD7662" w:rsidRPr="0019790A" w14:paraId="1F8CBF0F" w14:textId="77777777" w:rsidTr="00CF3AAE">
        <w:trPr>
          <w:jc w:val="right"/>
        </w:trPr>
        <w:tc>
          <w:tcPr>
            <w:tcW w:w="3425" w:type="dxa"/>
            <w:shd w:val="clear" w:color="auto" w:fill="FFFFFF"/>
            <w:vAlign w:val="center"/>
          </w:tcPr>
          <w:p w14:paraId="4313B056" w14:textId="77777777" w:rsidR="00CD7662" w:rsidRPr="0019790A" w:rsidRDefault="00CD7662" w:rsidP="00CD7662">
            <w:pPr>
              <w:rPr>
                <w:rFonts w:cs="Arial"/>
                <w:b/>
                <w:bCs/>
                <w:szCs w:val="22"/>
              </w:rPr>
            </w:pPr>
            <w:r w:rsidRPr="0019790A">
              <w:rPr>
                <w:rFonts w:cs="Arial"/>
                <w:b/>
                <w:bCs/>
                <w:szCs w:val="22"/>
              </w:rPr>
              <w:t>Інше:</w:t>
            </w:r>
          </w:p>
        </w:tc>
        <w:tc>
          <w:tcPr>
            <w:tcW w:w="6794" w:type="dxa"/>
            <w:gridSpan w:val="9"/>
            <w:vAlign w:val="center"/>
          </w:tcPr>
          <w:p w14:paraId="46394EB1" w14:textId="77777777" w:rsidR="00CD7662" w:rsidRPr="0019790A" w:rsidRDefault="00CD7662" w:rsidP="00CD7662">
            <w:pPr>
              <w:rPr>
                <w:rFonts w:cs="Arial"/>
                <w:szCs w:val="22"/>
              </w:rPr>
            </w:pPr>
          </w:p>
        </w:tc>
      </w:tr>
    </w:tbl>
    <w:p w14:paraId="595F5C21" w14:textId="77777777" w:rsidR="005342D5" w:rsidRPr="0019790A" w:rsidRDefault="005342D5" w:rsidP="0019790A">
      <w:pPr>
        <w:rPr>
          <w:rFonts w:cs="Arial"/>
          <w:szCs w:val="22"/>
        </w:rPr>
      </w:pPr>
    </w:p>
    <w:p w14:paraId="3A5E326F" w14:textId="77777777" w:rsidR="005342D5" w:rsidRPr="0019790A" w:rsidRDefault="005342D5" w:rsidP="0019790A">
      <w:pPr>
        <w:rPr>
          <w:rFonts w:cs="Arial"/>
          <w:szCs w:val="22"/>
        </w:rPr>
      </w:pPr>
    </w:p>
    <w:p w14:paraId="4AF5CF48" w14:textId="77777777" w:rsidR="005342D5" w:rsidRPr="0019790A" w:rsidRDefault="005342D5" w:rsidP="0019790A">
      <w:pPr>
        <w:jc w:val="center"/>
        <w:rPr>
          <w:rFonts w:cs="Arial"/>
          <w:b/>
          <w:szCs w:val="22"/>
        </w:rPr>
      </w:pPr>
      <w:r w:rsidRPr="0019790A">
        <w:rPr>
          <w:rFonts w:cs="Arial"/>
          <w:b/>
          <w:szCs w:val="22"/>
        </w:rPr>
        <w:t>Форма технічного завдання на проєкт місцевого розвитку</w:t>
      </w:r>
    </w:p>
    <w:p w14:paraId="531DC95C" w14:textId="77777777" w:rsidR="005342D5" w:rsidRPr="0019790A" w:rsidRDefault="005342D5" w:rsidP="0019790A">
      <w:pPr>
        <w:jc w:val="center"/>
        <w:rPr>
          <w:rFonts w:cs="Arial"/>
          <w:b/>
          <w:szCs w:val="22"/>
        </w:rPr>
      </w:pPr>
      <w:r w:rsidRPr="0019790A">
        <w:rPr>
          <w:rFonts w:cs="Arial"/>
          <w:b/>
          <w:szCs w:val="22"/>
        </w:rPr>
        <w:t>до Плану заходів з реалізації Стратегії</w:t>
      </w:r>
    </w:p>
    <w:p w14:paraId="38C29DD9" w14:textId="77777777" w:rsidR="005342D5" w:rsidRPr="0019790A" w:rsidRDefault="005342D5"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3"/>
        <w:gridCol w:w="1254"/>
        <w:gridCol w:w="23"/>
        <w:gridCol w:w="1252"/>
        <w:gridCol w:w="82"/>
        <w:gridCol w:w="1336"/>
        <w:gridCol w:w="1229"/>
        <w:gridCol w:w="47"/>
        <w:gridCol w:w="1573"/>
      </w:tblGrid>
      <w:tr w:rsidR="005342D5" w:rsidRPr="0019790A" w14:paraId="0E3850BA" w14:textId="77777777" w:rsidTr="00CD7662">
        <w:trPr>
          <w:jc w:val="right"/>
        </w:trPr>
        <w:tc>
          <w:tcPr>
            <w:tcW w:w="3423" w:type="dxa"/>
            <w:vAlign w:val="center"/>
          </w:tcPr>
          <w:p w14:paraId="1D2E55FE" w14:textId="77777777" w:rsidR="005342D5" w:rsidRPr="0019790A" w:rsidRDefault="005342D5" w:rsidP="0019790A">
            <w:pPr>
              <w:rPr>
                <w:rFonts w:cs="Arial"/>
                <w:b/>
                <w:bCs/>
                <w:szCs w:val="22"/>
              </w:rPr>
            </w:pPr>
            <w:r w:rsidRPr="0019790A">
              <w:rPr>
                <w:rFonts w:cs="Arial"/>
                <w:b/>
                <w:bCs/>
                <w:szCs w:val="22"/>
              </w:rPr>
              <w:t>Назва проєкту:</w:t>
            </w:r>
          </w:p>
        </w:tc>
        <w:tc>
          <w:tcPr>
            <w:tcW w:w="6796" w:type="dxa"/>
            <w:gridSpan w:val="8"/>
          </w:tcPr>
          <w:p w14:paraId="15A5A1AE" w14:textId="77777777" w:rsidR="005342D5" w:rsidRPr="00CD7662" w:rsidRDefault="005342D5" w:rsidP="00CD7662">
            <w:pPr>
              <w:jc w:val="both"/>
              <w:rPr>
                <w:rFonts w:cs="Arial"/>
                <w:b/>
                <w:szCs w:val="22"/>
              </w:rPr>
            </w:pPr>
            <w:r w:rsidRPr="00CD7662">
              <w:rPr>
                <w:rFonts w:cs="Arial"/>
                <w:b/>
                <w:szCs w:val="22"/>
              </w:rPr>
              <w:t>"Громада в грі: участь у всеукраїнських та регіональних змаганнях"</w:t>
            </w:r>
          </w:p>
        </w:tc>
      </w:tr>
      <w:tr w:rsidR="005342D5" w:rsidRPr="0019790A" w14:paraId="2ED1C3BE" w14:textId="77777777" w:rsidTr="00CD7662">
        <w:trPr>
          <w:jc w:val="right"/>
        </w:trPr>
        <w:tc>
          <w:tcPr>
            <w:tcW w:w="3423" w:type="dxa"/>
          </w:tcPr>
          <w:p w14:paraId="217DB21C" w14:textId="77777777" w:rsidR="005342D5" w:rsidRPr="0019790A" w:rsidRDefault="005342D5" w:rsidP="0019790A">
            <w:pPr>
              <w:rPr>
                <w:rFonts w:cs="Arial"/>
                <w:szCs w:val="22"/>
              </w:rPr>
            </w:pPr>
            <w:r w:rsidRPr="0019790A">
              <w:rPr>
                <w:rFonts w:cs="Arial"/>
                <w:b/>
                <w:bCs/>
                <w:szCs w:val="22"/>
              </w:rPr>
              <w:t>Ваші контакти</w:t>
            </w:r>
            <w:r w:rsidRPr="0019790A">
              <w:rPr>
                <w:rFonts w:cs="Arial"/>
                <w:szCs w:val="22"/>
              </w:rPr>
              <w:t>:</w:t>
            </w:r>
          </w:p>
          <w:p w14:paraId="6E269B09" w14:textId="77777777" w:rsidR="005342D5" w:rsidRPr="0019790A" w:rsidRDefault="005342D5" w:rsidP="0019790A">
            <w:pPr>
              <w:rPr>
                <w:rFonts w:cs="Arial"/>
                <w:b/>
                <w:bCs/>
                <w:szCs w:val="22"/>
              </w:rPr>
            </w:pPr>
            <w:r w:rsidRPr="0019790A">
              <w:rPr>
                <w:rFonts w:cs="Arial"/>
                <w:szCs w:val="22"/>
              </w:rPr>
              <w:t>Назва установи, організації, підприємства</w:t>
            </w:r>
          </w:p>
        </w:tc>
        <w:tc>
          <w:tcPr>
            <w:tcW w:w="6796" w:type="dxa"/>
            <w:gridSpan w:val="8"/>
            <w:vAlign w:val="center"/>
          </w:tcPr>
          <w:p w14:paraId="5A169151" w14:textId="77777777" w:rsidR="005342D5" w:rsidRPr="0019790A" w:rsidRDefault="005342D5" w:rsidP="00CD7662">
            <w:pPr>
              <w:tabs>
                <w:tab w:val="left" w:pos="162"/>
              </w:tabs>
              <w:jc w:val="both"/>
              <w:rPr>
                <w:rFonts w:cs="Arial"/>
                <w:szCs w:val="22"/>
              </w:rPr>
            </w:pPr>
            <w:r w:rsidRPr="0019790A">
              <w:rPr>
                <w:rFonts w:cs="Arial"/>
                <w:szCs w:val="22"/>
              </w:rPr>
              <w:t>Відділ молоді та спорту Жмеринської міської ради</w:t>
            </w:r>
          </w:p>
        </w:tc>
      </w:tr>
      <w:tr w:rsidR="005342D5" w:rsidRPr="0019790A" w14:paraId="74B133DE" w14:textId="77777777" w:rsidTr="00CD7662">
        <w:trPr>
          <w:jc w:val="right"/>
        </w:trPr>
        <w:tc>
          <w:tcPr>
            <w:tcW w:w="3423" w:type="dxa"/>
          </w:tcPr>
          <w:p w14:paraId="404F1868" w14:textId="77777777" w:rsidR="005342D5" w:rsidRPr="0019790A" w:rsidRDefault="005342D5" w:rsidP="0019790A">
            <w:pPr>
              <w:rPr>
                <w:rFonts w:cs="Arial"/>
                <w:b/>
                <w:bCs/>
                <w:szCs w:val="22"/>
              </w:rPr>
            </w:pPr>
            <w:r w:rsidRPr="0019790A">
              <w:rPr>
                <w:rFonts w:cs="Arial"/>
                <w:szCs w:val="22"/>
              </w:rPr>
              <w:t>Прізвище Ім’я По-батькові:</w:t>
            </w:r>
          </w:p>
        </w:tc>
        <w:tc>
          <w:tcPr>
            <w:tcW w:w="6796" w:type="dxa"/>
            <w:gridSpan w:val="8"/>
            <w:vAlign w:val="center"/>
          </w:tcPr>
          <w:p w14:paraId="35681317" w14:textId="77777777" w:rsidR="005342D5" w:rsidRPr="0019790A" w:rsidRDefault="005342D5" w:rsidP="00CD7662">
            <w:pPr>
              <w:tabs>
                <w:tab w:val="left" w:pos="162"/>
              </w:tabs>
              <w:jc w:val="both"/>
              <w:rPr>
                <w:rFonts w:cs="Arial"/>
                <w:szCs w:val="22"/>
              </w:rPr>
            </w:pPr>
            <w:r w:rsidRPr="0019790A">
              <w:rPr>
                <w:rFonts w:cs="Arial"/>
                <w:szCs w:val="22"/>
              </w:rPr>
              <w:t>Ковальська Олена Віталіївна</w:t>
            </w:r>
          </w:p>
        </w:tc>
      </w:tr>
      <w:tr w:rsidR="005342D5" w:rsidRPr="0019790A" w14:paraId="3589FD46" w14:textId="77777777" w:rsidTr="00CD7662">
        <w:trPr>
          <w:jc w:val="right"/>
        </w:trPr>
        <w:tc>
          <w:tcPr>
            <w:tcW w:w="3423" w:type="dxa"/>
          </w:tcPr>
          <w:p w14:paraId="4D1FB5AC" w14:textId="77777777" w:rsidR="005342D5" w:rsidRPr="0019790A" w:rsidRDefault="005342D5" w:rsidP="0019790A">
            <w:pPr>
              <w:rPr>
                <w:rFonts w:cs="Arial"/>
                <w:b/>
                <w:bCs/>
                <w:szCs w:val="22"/>
              </w:rPr>
            </w:pPr>
            <w:r w:rsidRPr="0019790A">
              <w:rPr>
                <w:rFonts w:cs="Arial"/>
                <w:szCs w:val="22"/>
              </w:rPr>
              <w:t>Телефон (мобільний):</w:t>
            </w:r>
          </w:p>
        </w:tc>
        <w:tc>
          <w:tcPr>
            <w:tcW w:w="6796" w:type="dxa"/>
            <w:gridSpan w:val="8"/>
            <w:vAlign w:val="center"/>
          </w:tcPr>
          <w:p w14:paraId="54896239" w14:textId="77777777" w:rsidR="005342D5" w:rsidRPr="0019790A" w:rsidRDefault="005342D5" w:rsidP="00CD7662">
            <w:pPr>
              <w:tabs>
                <w:tab w:val="left" w:pos="162"/>
              </w:tabs>
              <w:jc w:val="both"/>
              <w:rPr>
                <w:rFonts w:cs="Arial"/>
                <w:szCs w:val="22"/>
              </w:rPr>
            </w:pPr>
            <w:r w:rsidRPr="0019790A">
              <w:rPr>
                <w:rFonts w:cs="Arial"/>
                <w:szCs w:val="22"/>
              </w:rPr>
              <w:t>096-068-94-79</w:t>
            </w:r>
          </w:p>
        </w:tc>
      </w:tr>
      <w:tr w:rsidR="005342D5" w:rsidRPr="0019790A" w14:paraId="560F40E3" w14:textId="77777777" w:rsidTr="00CD7662">
        <w:trPr>
          <w:jc w:val="right"/>
        </w:trPr>
        <w:tc>
          <w:tcPr>
            <w:tcW w:w="3423" w:type="dxa"/>
          </w:tcPr>
          <w:p w14:paraId="09C634BC" w14:textId="77777777" w:rsidR="005342D5" w:rsidRPr="0019790A" w:rsidRDefault="005342D5" w:rsidP="0019790A">
            <w:pPr>
              <w:rPr>
                <w:rFonts w:cs="Arial"/>
                <w:b/>
                <w:bCs/>
                <w:szCs w:val="22"/>
              </w:rPr>
            </w:pPr>
            <w:r w:rsidRPr="0019790A">
              <w:rPr>
                <w:rFonts w:cs="Arial"/>
                <w:szCs w:val="22"/>
              </w:rPr>
              <w:t>Електронна адреса:</w:t>
            </w:r>
          </w:p>
        </w:tc>
        <w:tc>
          <w:tcPr>
            <w:tcW w:w="6796" w:type="dxa"/>
            <w:gridSpan w:val="8"/>
            <w:vAlign w:val="center"/>
          </w:tcPr>
          <w:p w14:paraId="13E1BCA8" w14:textId="77777777" w:rsidR="005342D5" w:rsidRPr="0019790A" w:rsidRDefault="00D85FFD" w:rsidP="00CD7662">
            <w:pPr>
              <w:tabs>
                <w:tab w:val="left" w:pos="162"/>
              </w:tabs>
              <w:jc w:val="both"/>
              <w:rPr>
                <w:rFonts w:cs="Arial"/>
                <w:szCs w:val="22"/>
              </w:rPr>
            </w:pPr>
            <w:hyperlink r:id="rId161" w:history="1">
              <w:r w:rsidR="005342D5" w:rsidRPr="0019790A">
                <w:rPr>
                  <w:rStyle w:val="af0"/>
                  <w:rFonts w:cs="Arial"/>
                  <w:b/>
                  <w:bCs/>
                  <w:noProof w:val="0"/>
                  <w:sz w:val="22"/>
                  <w:szCs w:val="22"/>
                </w:rPr>
                <w:t>ms@zhmr.gov.ua</w:t>
              </w:r>
            </w:hyperlink>
          </w:p>
        </w:tc>
      </w:tr>
      <w:tr w:rsidR="005342D5" w:rsidRPr="0019790A" w14:paraId="09C4C733" w14:textId="77777777" w:rsidTr="00CD7662">
        <w:trPr>
          <w:trHeight w:val="1601"/>
          <w:jc w:val="right"/>
        </w:trPr>
        <w:tc>
          <w:tcPr>
            <w:tcW w:w="3423" w:type="dxa"/>
            <w:vAlign w:val="center"/>
          </w:tcPr>
          <w:p w14:paraId="223925B9" w14:textId="77777777" w:rsidR="005342D5" w:rsidRPr="0019790A" w:rsidRDefault="005342D5" w:rsidP="0019790A">
            <w:pPr>
              <w:rPr>
                <w:rFonts w:cs="Arial"/>
                <w:b/>
                <w:bCs/>
                <w:szCs w:val="22"/>
              </w:rPr>
            </w:pPr>
            <w:r w:rsidRPr="0019790A">
              <w:rPr>
                <w:rFonts w:cs="Arial"/>
                <w:b/>
                <w:bCs/>
                <w:szCs w:val="22"/>
              </w:rPr>
              <w:t>Номер і назва завдання з Стратегії розвитку Жмеринської міської територіальної громади,  якому відповідає проєкт:</w:t>
            </w:r>
          </w:p>
        </w:tc>
        <w:tc>
          <w:tcPr>
            <w:tcW w:w="6796" w:type="dxa"/>
            <w:gridSpan w:val="8"/>
            <w:vAlign w:val="center"/>
          </w:tcPr>
          <w:p w14:paraId="2779E14B" w14:textId="52EEDF1F" w:rsidR="005342D5" w:rsidRPr="0019790A" w:rsidRDefault="005342D5" w:rsidP="00CD7662">
            <w:pPr>
              <w:tabs>
                <w:tab w:val="left" w:pos="162"/>
              </w:tabs>
              <w:jc w:val="both"/>
              <w:rPr>
                <w:rFonts w:cs="Arial"/>
                <w:b/>
                <w:szCs w:val="22"/>
              </w:rPr>
            </w:pPr>
            <w:r w:rsidRPr="0019790A">
              <w:rPr>
                <w:rFonts w:cs="Arial"/>
                <w:b/>
                <w:bCs/>
                <w:szCs w:val="22"/>
              </w:rPr>
              <w:t>С.3.4.5. Участь у всеукраїнських та регіональних спортивних змаганнях, турнірах тощо.</w:t>
            </w:r>
          </w:p>
        </w:tc>
      </w:tr>
      <w:tr w:rsidR="005342D5" w:rsidRPr="0019790A" w14:paraId="6B92AD27" w14:textId="77777777" w:rsidTr="00CD7662">
        <w:trPr>
          <w:trHeight w:val="673"/>
          <w:jc w:val="right"/>
        </w:trPr>
        <w:tc>
          <w:tcPr>
            <w:tcW w:w="3423" w:type="dxa"/>
            <w:vAlign w:val="center"/>
          </w:tcPr>
          <w:p w14:paraId="5D1AB7E8" w14:textId="77777777" w:rsidR="005342D5" w:rsidRPr="0019790A" w:rsidRDefault="005342D5" w:rsidP="0019790A">
            <w:pPr>
              <w:rPr>
                <w:rFonts w:cs="Arial"/>
                <w:b/>
                <w:bCs/>
                <w:szCs w:val="22"/>
              </w:rPr>
            </w:pPr>
            <w:r w:rsidRPr="0019790A">
              <w:rPr>
                <w:rFonts w:cs="Arial"/>
                <w:b/>
                <w:bCs/>
                <w:szCs w:val="22"/>
              </w:rPr>
              <w:t>Мета проєкту:</w:t>
            </w:r>
          </w:p>
        </w:tc>
        <w:tc>
          <w:tcPr>
            <w:tcW w:w="6796" w:type="dxa"/>
            <w:gridSpan w:val="8"/>
            <w:vAlign w:val="center"/>
          </w:tcPr>
          <w:p w14:paraId="650E2AF4" w14:textId="77777777" w:rsidR="005342D5" w:rsidRPr="0019790A" w:rsidRDefault="005342D5" w:rsidP="00CD7662">
            <w:pPr>
              <w:tabs>
                <w:tab w:val="left" w:pos="162"/>
              </w:tabs>
              <w:jc w:val="both"/>
              <w:rPr>
                <w:rFonts w:cs="Arial"/>
                <w:szCs w:val="22"/>
              </w:rPr>
            </w:pPr>
            <w:r w:rsidRPr="0019790A">
              <w:rPr>
                <w:rFonts w:cs="Arial"/>
                <w:szCs w:val="22"/>
              </w:rPr>
              <w:t>Сприяти розвитку спортивного потенціалу дітей, молоді та аматорських команд громади через участь у змаганнях різного рівня, популяризувати активний спосіб життя, формувати позитивний імідж громади.</w:t>
            </w:r>
          </w:p>
        </w:tc>
      </w:tr>
      <w:tr w:rsidR="005342D5" w:rsidRPr="0019790A" w14:paraId="534956F3" w14:textId="77777777" w:rsidTr="00CD7662">
        <w:trPr>
          <w:jc w:val="right"/>
        </w:trPr>
        <w:tc>
          <w:tcPr>
            <w:tcW w:w="3423" w:type="dxa"/>
            <w:vAlign w:val="center"/>
          </w:tcPr>
          <w:p w14:paraId="75099B30" w14:textId="77777777" w:rsidR="005342D5" w:rsidRPr="0019790A" w:rsidRDefault="005342D5" w:rsidP="0019790A">
            <w:pPr>
              <w:rPr>
                <w:rFonts w:cs="Arial"/>
                <w:b/>
                <w:bCs/>
                <w:szCs w:val="22"/>
              </w:rPr>
            </w:pPr>
            <w:r w:rsidRPr="0019790A">
              <w:rPr>
                <w:rFonts w:cs="Arial"/>
                <w:b/>
                <w:bCs/>
                <w:szCs w:val="22"/>
              </w:rPr>
              <w:t>Цілі проєкту:</w:t>
            </w:r>
          </w:p>
        </w:tc>
        <w:tc>
          <w:tcPr>
            <w:tcW w:w="6796" w:type="dxa"/>
            <w:gridSpan w:val="8"/>
            <w:vAlign w:val="center"/>
          </w:tcPr>
          <w:p w14:paraId="0C93818B" w14:textId="77777777" w:rsidR="005342D5" w:rsidRPr="0019790A" w:rsidRDefault="005342D5" w:rsidP="00CD7662">
            <w:pPr>
              <w:numPr>
                <w:ilvl w:val="0"/>
                <w:numId w:val="87"/>
              </w:numPr>
              <w:tabs>
                <w:tab w:val="left" w:pos="162"/>
                <w:tab w:val="left" w:pos="345"/>
              </w:tabs>
              <w:ind w:left="0" w:firstLine="49"/>
              <w:jc w:val="both"/>
              <w:rPr>
                <w:rFonts w:cs="Arial"/>
                <w:szCs w:val="22"/>
              </w:rPr>
            </w:pPr>
            <w:r w:rsidRPr="0019790A">
              <w:rPr>
                <w:rFonts w:cs="Arial"/>
                <w:szCs w:val="22"/>
              </w:rPr>
              <w:t>Підтримати участь представників громади у змаганнях та турнірах.</w:t>
            </w:r>
          </w:p>
          <w:p w14:paraId="11DD63C7" w14:textId="77777777" w:rsidR="005342D5" w:rsidRPr="0019790A" w:rsidRDefault="005342D5" w:rsidP="00CD7662">
            <w:pPr>
              <w:numPr>
                <w:ilvl w:val="0"/>
                <w:numId w:val="87"/>
              </w:numPr>
              <w:tabs>
                <w:tab w:val="left" w:pos="162"/>
                <w:tab w:val="left" w:pos="345"/>
              </w:tabs>
              <w:ind w:left="0" w:firstLine="49"/>
              <w:jc w:val="both"/>
              <w:rPr>
                <w:rFonts w:cs="Arial"/>
                <w:szCs w:val="22"/>
              </w:rPr>
            </w:pPr>
            <w:r w:rsidRPr="0019790A">
              <w:rPr>
                <w:rFonts w:cs="Arial"/>
                <w:szCs w:val="22"/>
              </w:rPr>
              <w:t>Підвищити рівень підготовки спортсменів і команд.</w:t>
            </w:r>
          </w:p>
          <w:p w14:paraId="75497832" w14:textId="77777777" w:rsidR="005342D5" w:rsidRPr="0019790A" w:rsidRDefault="005342D5" w:rsidP="00CD7662">
            <w:pPr>
              <w:numPr>
                <w:ilvl w:val="0"/>
                <w:numId w:val="87"/>
              </w:numPr>
              <w:tabs>
                <w:tab w:val="left" w:pos="162"/>
                <w:tab w:val="left" w:pos="345"/>
              </w:tabs>
              <w:ind w:left="0" w:firstLine="49"/>
              <w:jc w:val="both"/>
              <w:rPr>
                <w:rFonts w:cs="Arial"/>
                <w:szCs w:val="22"/>
              </w:rPr>
            </w:pPr>
            <w:r w:rsidRPr="0019790A">
              <w:rPr>
                <w:rFonts w:cs="Arial"/>
                <w:szCs w:val="22"/>
              </w:rPr>
              <w:t>Створити систему мотивації для спортивної самореалізації.</w:t>
            </w:r>
          </w:p>
          <w:p w14:paraId="56D8B94B" w14:textId="40B3DEB6" w:rsidR="005342D5" w:rsidRPr="0019790A" w:rsidRDefault="005342D5" w:rsidP="00CD7662">
            <w:pPr>
              <w:numPr>
                <w:ilvl w:val="0"/>
                <w:numId w:val="87"/>
              </w:numPr>
              <w:tabs>
                <w:tab w:val="left" w:pos="162"/>
                <w:tab w:val="left" w:pos="345"/>
              </w:tabs>
              <w:ind w:left="0" w:firstLine="49"/>
              <w:jc w:val="both"/>
              <w:rPr>
                <w:rFonts w:cs="Arial"/>
                <w:szCs w:val="22"/>
              </w:rPr>
            </w:pPr>
            <w:r w:rsidRPr="0019790A">
              <w:rPr>
                <w:rFonts w:cs="Arial"/>
                <w:szCs w:val="22"/>
              </w:rPr>
              <w:t>Представити громаду на спортивній карті регіону та України.</w:t>
            </w:r>
          </w:p>
        </w:tc>
      </w:tr>
      <w:tr w:rsidR="005342D5" w:rsidRPr="0019790A" w14:paraId="5668556E" w14:textId="77777777" w:rsidTr="00CD7662">
        <w:trPr>
          <w:trHeight w:val="641"/>
          <w:jc w:val="right"/>
        </w:trPr>
        <w:tc>
          <w:tcPr>
            <w:tcW w:w="3423" w:type="dxa"/>
            <w:vAlign w:val="center"/>
          </w:tcPr>
          <w:p w14:paraId="3F9986EA" w14:textId="77777777" w:rsidR="005342D5" w:rsidRPr="0019790A" w:rsidRDefault="005342D5" w:rsidP="0019790A">
            <w:pPr>
              <w:rPr>
                <w:rFonts w:cs="Arial"/>
                <w:b/>
                <w:szCs w:val="22"/>
              </w:rPr>
            </w:pPr>
            <w:r w:rsidRPr="0019790A">
              <w:rPr>
                <w:rFonts w:cs="Arial"/>
                <w:b/>
                <w:szCs w:val="22"/>
              </w:rPr>
              <w:t>Територія на яку проєкт матиме вплив:</w:t>
            </w:r>
          </w:p>
        </w:tc>
        <w:tc>
          <w:tcPr>
            <w:tcW w:w="6796" w:type="dxa"/>
            <w:gridSpan w:val="8"/>
            <w:vAlign w:val="center"/>
          </w:tcPr>
          <w:p w14:paraId="7FD9824A" w14:textId="77777777" w:rsidR="005342D5" w:rsidRPr="0019790A" w:rsidRDefault="005342D5" w:rsidP="00CD7662">
            <w:pPr>
              <w:tabs>
                <w:tab w:val="left" w:pos="162"/>
                <w:tab w:val="left" w:pos="345"/>
              </w:tabs>
              <w:ind w:firstLine="49"/>
              <w:jc w:val="both"/>
              <w:rPr>
                <w:rFonts w:cs="Arial"/>
                <w:szCs w:val="22"/>
              </w:rPr>
            </w:pPr>
            <w:r w:rsidRPr="0019790A">
              <w:rPr>
                <w:rFonts w:cs="Arial"/>
                <w:szCs w:val="22"/>
              </w:rPr>
              <w:t>Жмеринська міська територіальна громада</w:t>
            </w:r>
          </w:p>
        </w:tc>
      </w:tr>
      <w:tr w:rsidR="005342D5" w:rsidRPr="0019790A" w14:paraId="74D21074" w14:textId="77777777" w:rsidTr="00CD7662">
        <w:trPr>
          <w:jc w:val="right"/>
        </w:trPr>
        <w:tc>
          <w:tcPr>
            <w:tcW w:w="3423" w:type="dxa"/>
            <w:vAlign w:val="center"/>
          </w:tcPr>
          <w:p w14:paraId="7BA2433C" w14:textId="77777777" w:rsidR="005342D5" w:rsidRPr="0019790A" w:rsidRDefault="005342D5" w:rsidP="0019790A">
            <w:pPr>
              <w:rPr>
                <w:rFonts w:cs="Arial"/>
                <w:b/>
                <w:szCs w:val="22"/>
              </w:rPr>
            </w:pPr>
            <w:r w:rsidRPr="0019790A">
              <w:rPr>
                <w:rFonts w:cs="Arial"/>
                <w:b/>
                <w:szCs w:val="22"/>
              </w:rPr>
              <w:t>Цільові групи проєкту та кількість отримувачів вигоди</w:t>
            </w:r>
          </w:p>
        </w:tc>
        <w:tc>
          <w:tcPr>
            <w:tcW w:w="6796" w:type="dxa"/>
            <w:gridSpan w:val="8"/>
            <w:vAlign w:val="center"/>
          </w:tcPr>
          <w:p w14:paraId="1AFA52AE" w14:textId="77777777" w:rsidR="005342D5" w:rsidRPr="0019790A" w:rsidRDefault="005342D5" w:rsidP="00CD7662">
            <w:pPr>
              <w:numPr>
                <w:ilvl w:val="0"/>
                <w:numId w:val="88"/>
              </w:numPr>
              <w:tabs>
                <w:tab w:val="left" w:pos="162"/>
                <w:tab w:val="left" w:pos="345"/>
              </w:tabs>
              <w:ind w:left="0" w:firstLine="49"/>
              <w:jc w:val="both"/>
              <w:rPr>
                <w:rFonts w:cs="Arial"/>
                <w:bCs/>
                <w:szCs w:val="22"/>
              </w:rPr>
            </w:pPr>
            <w:r w:rsidRPr="0019790A">
              <w:rPr>
                <w:rFonts w:cs="Arial"/>
                <w:bCs/>
                <w:szCs w:val="22"/>
              </w:rPr>
              <w:t>Діти та підлітки, що займаються у спортивних секціях</w:t>
            </w:r>
          </w:p>
          <w:p w14:paraId="104296AF" w14:textId="77777777" w:rsidR="005342D5" w:rsidRPr="0019790A" w:rsidRDefault="005342D5" w:rsidP="00CD7662">
            <w:pPr>
              <w:numPr>
                <w:ilvl w:val="0"/>
                <w:numId w:val="88"/>
              </w:numPr>
              <w:tabs>
                <w:tab w:val="left" w:pos="162"/>
                <w:tab w:val="left" w:pos="345"/>
              </w:tabs>
              <w:ind w:left="0" w:firstLine="49"/>
              <w:jc w:val="both"/>
              <w:rPr>
                <w:rFonts w:cs="Arial"/>
                <w:bCs/>
                <w:szCs w:val="22"/>
              </w:rPr>
            </w:pPr>
            <w:r w:rsidRPr="0019790A">
              <w:rPr>
                <w:rFonts w:cs="Arial"/>
                <w:bCs/>
                <w:szCs w:val="22"/>
              </w:rPr>
              <w:t>Молодь, аматорські спортивні колективи</w:t>
            </w:r>
          </w:p>
          <w:p w14:paraId="659B7743" w14:textId="77777777" w:rsidR="005342D5" w:rsidRPr="0019790A" w:rsidRDefault="005342D5" w:rsidP="00CD7662">
            <w:pPr>
              <w:numPr>
                <w:ilvl w:val="0"/>
                <w:numId w:val="88"/>
              </w:numPr>
              <w:tabs>
                <w:tab w:val="left" w:pos="162"/>
                <w:tab w:val="left" w:pos="345"/>
              </w:tabs>
              <w:ind w:left="0" w:firstLine="49"/>
              <w:jc w:val="both"/>
              <w:rPr>
                <w:rFonts w:cs="Arial"/>
                <w:bCs/>
                <w:szCs w:val="22"/>
              </w:rPr>
            </w:pPr>
            <w:r w:rsidRPr="0019790A">
              <w:rPr>
                <w:rFonts w:cs="Arial"/>
                <w:bCs/>
                <w:szCs w:val="22"/>
              </w:rPr>
              <w:t>Тренери, вчителі фізкультури</w:t>
            </w:r>
          </w:p>
          <w:p w14:paraId="183B2E51" w14:textId="77777777" w:rsidR="005342D5" w:rsidRPr="0019790A" w:rsidRDefault="005342D5" w:rsidP="00CD7662">
            <w:pPr>
              <w:numPr>
                <w:ilvl w:val="0"/>
                <w:numId w:val="88"/>
              </w:numPr>
              <w:tabs>
                <w:tab w:val="left" w:pos="162"/>
                <w:tab w:val="left" w:pos="345"/>
              </w:tabs>
              <w:ind w:left="0" w:firstLine="49"/>
              <w:jc w:val="both"/>
              <w:rPr>
                <w:rFonts w:cs="Arial"/>
                <w:bCs/>
                <w:szCs w:val="22"/>
              </w:rPr>
            </w:pPr>
            <w:r w:rsidRPr="0019790A">
              <w:rPr>
                <w:rFonts w:cs="Arial"/>
                <w:bCs/>
                <w:szCs w:val="22"/>
              </w:rPr>
              <w:t>Спортивні школи, клуби громади</w:t>
            </w:r>
          </w:p>
          <w:p w14:paraId="316C9F43" w14:textId="77777777" w:rsidR="005342D5" w:rsidRPr="0019790A" w:rsidRDefault="005342D5" w:rsidP="00CD7662">
            <w:pPr>
              <w:numPr>
                <w:ilvl w:val="0"/>
                <w:numId w:val="88"/>
              </w:numPr>
              <w:tabs>
                <w:tab w:val="left" w:pos="162"/>
                <w:tab w:val="left" w:pos="345"/>
              </w:tabs>
              <w:ind w:left="0" w:firstLine="49"/>
              <w:jc w:val="both"/>
              <w:rPr>
                <w:rFonts w:cs="Arial"/>
                <w:bCs/>
                <w:szCs w:val="22"/>
              </w:rPr>
            </w:pPr>
            <w:r w:rsidRPr="0019790A">
              <w:rPr>
                <w:rFonts w:cs="Arial"/>
                <w:bCs/>
                <w:szCs w:val="22"/>
              </w:rPr>
              <w:t>Батьки, активні жителі громади</w:t>
            </w:r>
          </w:p>
          <w:p w14:paraId="2F268BE8" w14:textId="77777777" w:rsidR="005342D5" w:rsidRPr="0019790A" w:rsidRDefault="005342D5" w:rsidP="00CD7662">
            <w:pPr>
              <w:tabs>
                <w:tab w:val="left" w:pos="162"/>
                <w:tab w:val="left" w:pos="345"/>
              </w:tabs>
              <w:ind w:firstLine="49"/>
              <w:jc w:val="both"/>
              <w:rPr>
                <w:rFonts w:cs="Arial"/>
                <w:szCs w:val="22"/>
              </w:rPr>
            </w:pPr>
            <w:r w:rsidRPr="0019790A">
              <w:rPr>
                <w:rFonts w:cs="Arial"/>
                <w:b/>
                <w:szCs w:val="22"/>
              </w:rPr>
              <w:t>Кількість отримувачів вигоди</w:t>
            </w:r>
            <w:r w:rsidRPr="0019790A">
              <w:rPr>
                <w:rFonts w:cs="Arial"/>
                <w:szCs w:val="22"/>
              </w:rPr>
              <w:t xml:space="preserve"> </w:t>
            </w:r>
            <w:r w:rsidRPr="0019790A">
              <w:rPr>
                <w:rFonts w:cs="Arial"/>
                <w:b/>
                <w:szCs w:val="22"/>
              </w:rPr>
              <w:t>10 000 осіб.</w:t>
            </w:r>
          </w:p>
        </w:tc>
      </w:tr>
      <w:tr w:rsidR="005342D5" w:rsidRPr="0019790A" w14:paraId="0C36F2D0" w14:textId="77777777" w:rsidTr="00CD7662">
        <w:trPr>
          <w:jc w:val="right"/>
        </w:trPr>
        <w:tc>
          <w:tcPr>
            <w:tcW w:w="3423" w:type="dxa"/>
            <w:shd w:val="clear" w:color="auto" w:fill="FFFFFF"/>
            <w:vAlign w:val="center"/>
          </w:tcPr>
          <w:p w14:paraId="39CE35CA" w14:textId="77777777" w:rsidR="005342D5" w:rsidRPr="0019790A" w:rsidRDefault="005342D5" w:rsidP="0019790A">
            <w:pPr>
              <w:rPr>
                <w:rFonts w:cs="Arial"/>
                <w:b/>
                <w:bCs/>
                <w:szCs w:val="22"/>
              </w:rPr>
            </w:pPr>
            <w:r w:rsidRPr="0019790A">
              <w:rPr>
                <w:rFonts w:cs="Arial"/>
                <w:b/>
                <w:bCs/>
                <w:szCs w:val="22"/>
              </w:rPr>
              <w:t>Стислий опис проєкту:</w:t>
            </w:r>
          </w:p>
        </w:tc>
        <w:tc>
          <w:tcPr>
            <w:tcW w:w="6796" w:type="dxa"/>
            <w:gridSpan w:val="8"/>
            <w:vAlign w:val="center"/>
          </w:tcPr>
          <w:p w14:paraId="36F265C4" w14:textId="77777777" w:rsidR="005342D5" w:rsidRPr="0019790A" w:rsidRDefault="005342D5" w:rsidP="00CD7662">
            <w:pPr>
              <w:tabs>
                <w:tab w:val="left" w:pos="162"/>
              </w:tabs>
              <w:jc w:val="both"/>
              <w:rPr>
                <w:rFonts w:cs="Arial"/>
                <w:szCs w:val="22"/>
              </w:rPr>
            </w:pPr>
            <w:r w:rsidRPr="0019790A">
              <w:rPr>
                <w:rFonts w:cs="Arial"/>
                <w:szCs w:val="22"/>
              </w:rPr>
              <w:t>Проєкт передбачає організаційну та фінансову підтримку команд, секцій і спортсменів громади для участі у всеукраїнських, обласних та міжрегіональних спортивних змаганнях і турнірах. Кошти можуть бути спрямовані на оплату проїзду, проживання, харчування, внесків за участь, форми, екіпірування та підготовку до змагань. Також планується залучення тренерів, проведення відбіркових турів, популяризація досягнень громади.</w:t>
            </w:r>
          </w:p>
        </w:tc>
      </w:tr>
      <w:tr w:rsidR="005342D5" w:rsidRPr="0019790A" w14:paraId="43EA0879" w14:textId="77777777" w:rsidTr="00CD7662">
        <w:trPr>
          <w:jc w:val="right"/>
        </w:trPr>
        <w:tc>
          <w:tcPr>
            <w:tcW w:w="3423" w:type="dxa"/>
            <w:shd w:val="clear" w:color="auto" w:fill="FFFFFF"/>
            <w:vAlign w:val="center"/>
          </w:tcPr>
          <w:p w14:paraId="330DCA8A" w14:textId="77777777" w:rsidR="005342D5" w:rsidRPr="0019790A" w:rsidRDefault="005342D5" w:rsidP="0019790A">
            <w:pPr>
              <w:rPr>
                <w:rFonts w:cs="Arial"/>
                <w:b/>
                <w:bCs/>
                <w:szCs w:val="22"/>
              </w:rPr>
            </w:pPr>
            <w:r w:rsidRPr="0019790A">
              <w:rPr>
                <w:rFonts w:cs="Arial"/>
                <w:b/>
                <w:bCs/>
                <w:szCs w:val="22"/>
              </w:rPr>
              <w:t>Основні заходи проєкту:</w:t>
            </w:r>
          </w:p>
        </w:tc>
        <w:tc>
          <w:tcPr>
            <w:tcW w:w="6796" w:type="dxa"/>
            <w:gridSpan w:val="8"/>
            <w:vAlign w:val="center"/>
          </w:tcPr>
          <w:p w14:paraId="331FD3B8" w14:textId="77777777" w:rsidR="005342D5" w:rsidRPr="0019790A" w:rsidRDefault="005342D5" w:rsidP="00CD7662">
            <w:pPr>
              <w:numPr>
                <w:ilvl w:val="0"/>
                <w:numId w:val="89"/>
              </w:numPr>
              <w:tabs>
                <w:tab w:val="left" w:pos="162"/>
                <w:tab w:val="left" w:pos="354"/>
              </w:tabs>
              <w:ind w:left="0" w:firstLine="0"/>
              <w:jc w:val="both"/>
              <w:rPr>
                <w:rFonts w:cs="Arial"/>
                <w:szCs w:val="22"/>
              </w:rPr>
            </w:pPr>
            <w:r w:rsidRPr="0019790A">
              <w:rPr>
                <w:rFonts w:cs="Arial"/>
                <w:szCs w:val="22"/>
              </w:rPr>
              <w:t>Формування складу учасників (спортсмени, команди, секції).</w:t>
            </w:r>
          </w:p>
          <w:p w14:paraId="670A0D89" w14:textId="77777777" w:rsidR="005342D5" w:rsidRPr="0019790A" w:rsidRDefault="005342D5" w:rsidP="00CD7662">
            <w:pPr>
              <w:numPr>
                <w:ilvl w:val="0"/>
                <w:numId w:val="89"/>
              </w:numPr>
              <w:tabs>
                <w:tab w:val="left" w:pos="162"/>
                <w:tab w:val="left" w:pos="354"/>
              </w:tabs>
              <w:ind w:left="0" w:firstLine="0"/>
              <w:jc w:val="both"/>
              <w:rPr>
                <w:rFonts w:cs="Arial"/>
                <w:szCs w:val="22"/>
              </w:rPr>
            </w:pPr>
            <w:r w:rsidRPr="0019790A">
              <w:rPr>
                <w:rFonts w:cs="Arial"/>
                <w:szCs w:val="22"/>
              </w:rPr>
              <w:t>Проведення підготовчих тренувань.</w:t>
            </w:r>
          </w:p>
          <w:p w14:paraId="07B63CDB" w14:textId="77777777" w:rsidR="005342D5" w:rsidRPr="0019790A" w:rsidRDefault="005342D5" w:rsidP="00CD7662">
            <w:pPr>
              <w:numPr>
                <w:ilvl w:val="0"/>
                <w:numId w:val="89"/>
              </w:numPr>
              <w:tabs>
                <w:tab w:val="left" w:pos="162"/>
                <w:tab w:val="left" w:pos="354"/>
              </w:tabs>
              <w:ind w:left="0" w:firstLine="0"/>
              <w:jc w:val="both"/>
              <w:rPr>
                <w:rFonts w:cs="Arial"/>
                <w:szCs w:val="22"/>
              </w:rPr>
            </w:pPr>
            <w:r w:rsidRPr="0019790A">
              <w:rPr>
                <w:rFonts w:cs="Arial"/>
                <w:szCs w:val="22"/>
              </w:rPr>
              <w:t>Закупівля спортивної форми, екіпірування, витратних матеріалів.</w:t>
            </w:r>
          </w:p>
          <w:p w14:paraId="7549493D" w14:textId="77777777" w:rsidR="005342D5" w:rsidRPr="0019790A" w:rsidRDefault="005342D5" w:rsidP="00CD7662">
            <w:pPr>
              <w:numPr>
                <w:ilvl w:val="0"/>
                <w:numId w:val="89"/>
              </w:numPr>
              <w:tabs>
                <w:tab w:val="left" w:pos="162"/>
                <w:tab w:val="left" w:pos="354"/>
              </w:tabs>
              <w:ind w:left="0" w:firstLine="0"/>
              <w:jc w:val="both"/>
              <w:rPr>
                <w:rFonts w:cs="Arial"/>
                <w:szCs w:val="22"/>
              </w:rPr>
            </w:pPr>
            <w:r w:rsidRPr="0019790A">
              <w:rPr>
                <w:rFonts w:cs="Arial"/>
                <w:szCs w:val="22"/>
              </w:rPr>
              <w:t>Організація логістики: проїзд, проживання, харчування учасників.</w:t>
            </w:r>
          </w:p>
          <w:p w14:paraId="178BA565" w14:textId="77777777" w:rsidR="005342D5" w:rsidRPr="0019790A" w:rsidRDefault="005342D5" w:rsidP="00CD7662">
            <w:pPr>
              <w:numPr>
                <w:ilvl w:val="0"/>
                <w:numId w:val="89"/>
              </w:numPr>
              <w:tabs>
                <w:tab w:val="left" w:pos="162"/>
                <w:tab w:val="left" w:pos="354"/>
              </w:tabs>
              <w:ind w:left="0" w:firstLine="0"/>
              <w:jc w:val="both"/>
              <w:rPr>
                <w:rFonts w:cs="Arial"/>
                <w:szCs w:val="22"/>
              </w:rPr>
            </w:pPr>
            <w:r w:rsidRPr="0019790A">
              <w:rPr>
                <w:rFonts w:cs="Arial"/>
                <w:szCs w:val="22"/>
              </w:rPr>
              <w:t>Участь у змаганнях, турнірах, фестивалях.</w:t>
            </w:r>
          </w:p>
          <w:p w14:paraId="6354CD76" w14:textId="77777777" w:rsidR="005342D5" w:rsidRPr="0019790A" w:rsidRDefault="005342D5" w:rsidP="00CD7662">
            <w:pPr>
              <w:numPr>
                <w:ilvl w:val="0"/>
                <w:numId w:val="89"/>
              </w:numPr>
              <w:tabs>
                <w:tab w:val="left" w:pos="162"/>
                <w:tab w:val="left" w:pos="354"/>
              </w:tabs>
              <w:ind w:left="0" w:firstLine="0"/>
              <w:jc w:val="both"/>
              <w:rPr>
                <w:rFonts w:cs="Arial"/>
                <w:szCs w:val="22"/>
              </w:rPr>
            </w:pPr>
            <w:r w:rsidRPr="0019790A">
              <w:rPr>
                <w:rFonts w:cs="Arial"/>
                <w:szCs w:val="22"/>
              </w:rPr>
              <w:t>Висвітлення результатів участі, інформаційна підтримка.</w:t>
            </w:r>
          </w:p>
          <w:p w14:paraId="099F6B74" w14:textId="463F1FBD" w:rsidR="005342D5" w:rsidRPr="0019790A" w:rsidRDefault="005342D5" w:rsidP="00CD7662">
            <w:pPr>
              <w:numPr>
                <w:ilvl w:val="0"/>
                <w:numId w:val="89"/>
              </w:numPr>
              <w:tabs>
                <w:tab w:val="left" w:pos="162"/>
                <w:tab w:val="left" w:pos="354"/>
              </w:tabs>
              <w:ind w:left="0" w:firstLine="0"/>
              <w:jc w:val="both"/>
              <w:rPr>
                <w:rFonts w:cs="Arial"/>
                <w:szCs w:val="22"/>
              </w:rPr>
            </w:pPr>
            <w:r w:rsidRPr="0019790A">
              <w:rPr>
                <w:rFonts w:cs="Arial"/>
                <w:szCs w:val="22"/>
              </w:rPr>
              <w:t>Нагородження учасників, підтримка локальної спортивної гордості.</w:t>
            </w:r>
          </w:p>
        </w:tc>
      </w:tr>
      <w:tr w:rsidR="005342D5" w:rsidRPr="0019790A" w14:paraId="6FAACC37" w14:textId="77777777" w:rsidTr="00CD7662">
        <w:trPr>
          <w:jc w:val="right"/>
        </w:trPr>
        <w:tc>
          <w:tcPr>
            <w:tcW w:w="3423" w:type="dxa"/>
            <w:shd w:val="clear" w:color="auto" w:fill="FFFFFF"/>
            <w:vAlign w:val="center"/>
          </w:tcPr>
          <w:p w14:paraId="0453E0CE" w14:textId="77777777" w:rsidR="005342D5" w:rsidRPr="0019790A" w:rsidRDefault="005342D5" w:rsidP="0019790A">
            <w:pPr>
              <w:rPr>
                <w:rFonts w:cs="Arial"/>
                <w:b/>
                <w:bCs/>
                <w:szCs w:val="22"/>
              </w:rPr>
            </w:pPr>
            <w:r w:rsidRPr="0019790A">
              <w:rPr>
                <w:rFonts w:cs="Arial"/>
                <w:b/>
                <w:bCs/>
                <w:szCs w:val="22"/>
              </w:rPr>
              <w:t>Індикатори (показники) результативності:</w:t>
            </w:r>
          </w:p>
        </w:tc>
        <w:tc>
          <w:tcPr>
            <w:tcW w:w="6796" w:type="dxa"/>
            <w:gridSpan w:val="8"/>
            <w:vAlign w:val="center"/>
          </w:tcPr>
          <w:p w14:paraId="20E3DFF5" w14:textId="77777777" w:rsidR="005342D5" w:rsidRPr="0019790A" w:rsidRDefault="005342D5" w:rsidP="00CD7662">
            <w:pPr>
              <w:numPr>
                <w:ilvl w:val="0"/>
                <w:numId w:val="90"/>
              </w:numPr>
              <w:tabs>
                <w:tab w:val="left" w:pos="162"/>
                <w:tab w:val="left" w:pos="393"/>
              </w:tabs>
              <w:ind w:left="0" w:firstLine="0"/>
              <w:jc w:val="both"/>
              <w:rPr>
                <w:rFonts w:cs="Arial"/>
                <w:szCs w:val="22"/>
              </w:rPr>
            </w:pPr>
            <w:r w:rsidRPr="0019790A">
              <w:rPr>
                <w:rFonts w:cs="Arial"/>
                <w:szCs w:val="22"/>
              </w:rPr>
              <w:t xml:space="preserve">Участь </w:t>
            </w:r>
            <w:r w:rsidRPr="0019790A">
              <w:rPr>
                <w:rFonts w:cs="Arial"/>
                <w:bCs/>
                <w:szCs w:val="22"/>
              </w:rPr>
              <w:t>від 5 до 10 команд або 50+ спортсменів</w:t>
            </w:r>
            <w:r w:rsidRPr="0019790A">
              <w:rPr>
                <w:rFonts w:cs="Arial"/>
                <w:szCs w:val="22"/>
              </w:rPr>
              <w:t xml:space="preserve"> у зовнішніх змаганнях за рік.</w:t>
            </w:r>
          </w:p>
          <w:p w14:paraId="6113786B" w14:textId="77777777" w:rsidR="005342D5" w:rsidRPr="0019790A" w:rsidRDefault="005342D5" w:rsidP="00CD7662">
            <w:pPr>
              <w:numPr>
                <w:ilvl w:val="0"/>
                <w:numId w:val="90"/>
              </w:numPr>
              <w:tabs>
                <w:tab w:val="left" w:pos="162"/>
                <w:tab w:val="left" w:pos="393"/>
              </w:tabs>
              <w:ind w:left="0" w:firstLine="0"/>
              <w:jc w:val="both"/>
              <w:rPr>
                <w:rFonts w:cs="Arial"/>
                <w:szCs w:val="22"/>
              </w:rPr>
            </w:pPr>
            <w:r w:rsidRPr="0019790A">
              <w:rPr>
                <w:rFonts w:cs="Arial"/>
                <w:szCs w:val="22"/>
              </w:rPr>
              <w:t xml:space="preserve">Проведено </w:t>
            </w:r>
            <w:r w:rsidRPr="0019790A">
              <w:rPr>
                <w:rFonts w:cs="Arial"/>
                <w:bCs/>
                <w:szCs w:val="22"/>
              </w:rPr>
              <w:t>не менше 10 тренувальних зборів або підготовчих заходів</w:t>
            </w:r>
            <w:r w:rsidRPr="0019790A">
              <w:rPr>
                <w:rFonts w:cs="Arial"/>
                <w:szCs w:val="22"/>
              </w:rPr>
              <w:t>.</w:t>
            </w:r>
          </w:p>
          <w:p w14:paraId="42FF8679" w14:textId="77777777" w:rsidR="005342D5" w:rsidRPr="0019790A" w:rsidRDefault="005342D5" w:rsidP="00CD7662">
            <w:pPr>
              <w:numPr>
                <w:ilvl w:val="0"/>
                <w:numId w:val="90"/>
              </w:numPr>
              <w:tabs>
                <w:tab w:val="left" w:pos="162"/>
                <w:tab w:val="left" w:pos="393"/>
              </w:tabs>
              <w:ind w:left="0" w:firstLine="0"/>
              <w:jc w:val="both"/>
              <w:rPr>
                <w:rFonts w:cs="Arial"/>
                <w:szCs w:val="22"/>
              </w:rPr>
            </w:pPr>
            <w:r w:rsidRPr="0019790A">
              <w:rPr>
                <w:rFonts w:cs="Arial"/>
                <w:szCs w:val="22"/>
              </w:rPr>
              <w:t>Підвищено рівень мотивації спортсменів громади.</w:t>
            </w:r>
          </w:p>
          <w:p w14:paraId="5FD6B57C" w14:textId="77777777" w:rsidR="005342D5" w:rsidRPr="0019790A" w:rsidRDefault="005342D5" w:rsidP="00CD7662">
            <w:pPr>
              <w:numPr>
                <w:ilvl w:val="0"/>
                <w:numId w:val="90"/>
              </w:numPr>
              <w:tabs>
                <w:tab w:val="left" w:pos="162"/>
                <w:tab w:val="left" w:pos="393"/>
              </w:tabs>
              <w:ind w:left="0" w:firstLine="0"/>
              <w:jc w:val="both"/>
              <w:rPr>
                <w:rFonts w:cs="Arial"/>
                <w:szCs w:val="22"/>
              </w:rPr>
            </w:pPr>
            <w:r w:rsidRPr="0019790A">
              <w:rPr>
                <w:rFonts w:cs="Arial"/>
                <w:szCs w:val="22"/>
              </w:rPr>
              <w:t xml:space="preserve">Привезено </w:t>
            </w:r>
            <w:r w:rsidRPr="0019790A">
              <w:rPr>
                <w:rFonts w:cs="Arial"/>
                <w:bCs/>
                <w:szCs w:val="22"/>
              </w:rPr>
              <w:t>призові місця або нагороди</w:t>
            </w:r>
            <w:r w:rsidRPr="0019790A">
              <w:rPr>
                <w:rFonts w:cs="Arial"/>
                <w:szCs w:val="22"/>
              </w:rPr>
              <w:t xml:space="preserve"> з обласного/національного рівня.</w:t>
            </w:r>
          </w:p>
          <w:p w14:paraId="4AFD349B" w14:textId="77777777" w:rsidR="005342D5" w:rsidRPr="0019790A" w:rsidRDefault="005342D5" w:rsidP="00CD7662">
            <w:pPr>
              <w:numPr>
                <w:ilvl w:val="0"/>
                <w:numId w:val="90"/>
              </w:numPr>
              <w:tabs>
                <w:tab w:val="left" w:pos="162"/>
                <w:tab w:val="left" w:pos="393"/>
              </w:tabs>
              <w:ind w:left="0" w:firstLine="0"/>
              <w:jc w:val="both"/>
              <w:rPr>
                <w:rFonts w:cs="Arial"/>
                <w:szCs w:val="22"/>
              </w:rPr>
            </w:pPr>
            <w:r w:rsidRPr="0019790A">
              <w:rPr>
                <w:rFonts w:cs="Arial"/>
                <w:bCs/>
                <w:szCs w:val="22"/>
              </w:rPr>
              <w:t>Популяризація громади</w:t>
            </w:r>
            <w:r w:rsidRPr="0019790A">
              <w:rPr>
                <w:rFonts w:cs="Arial"/>
                <w:szCs w:val="22"/>
              </w:rPr>
              <w:t xml:space="preserve"> через участь у змаганнях (ЗМІ, соцмережі).</w:t>
            </w:r>
          </w:p>
          <w:p w14:paraId="6ED800FD" w14:textId="77777777" w:rsidR="005342D5" w:rsidRPr="0019790A" w:rsidRDefault="005342D5" w:rsidP="00CD7662">
            <w:pPr>
              <w:numPr>
                <w:ilvl w:val="0"/>
                <w:numId w:val="90"/>
              </w:numPr>
              <w:tabs>
                <w:tab w:val="left" w:pos="162"/>
                <w:tab w:val="left" w:pos="393"/>
              </w:tabs>
              <w:ind w:left="0" w:firstLine="0"/>
              <w:jc w:val="both"/>
              <w:rPr>
                <w:rFonts w:cs="Arial"/>
                <w:szCs w:val="22"/>
              </w:rPr>
            </w:pPr>
            <w:r w:rsidRPr="0019790A">
              <w:rPr>
                <w:rFonts w:cs="Arial"/>
                <w:szCs w:val="22"/>
              </w:rPr>
              <w:t xml:space="preserve">Підтримано </w:t>
            </w:r>
            <w:r w:rsidRPr="0019790A">
              <w:rPr>
                <w:rFonts w:cs="Arial"/>
                <w:bCs/>
                <w:szCs w:val="22"/>
              </w:rPr>
              <w:t>інклюзивну участь</w:t>
            </w:r>
            <w:r w:rsidRPr="0019790A">
              <w:rPr>
                <w:rFonts w:cs="Arial"/>
                <w:szCs w:val="22"/>
              </w:rPr>
              <w:t xml:space="preserve"> (участь спортсменів з інвалідністю, дівчат, старших вікових груп тощо).</w:t>
            </w:r>
          </w:p>
        </w:tc>
      </w:tr>
      <w:tr w:rsidR="005342D5" w:rsidRPr="0019790A" w14:paraId="39635522" w14:textId="77777777" w:rsidTr="00CD7662">
        <w:trPr>
          <w:jc w:val="right"/>
        </w:trPr>
        <w:tc>
          <w:tcPr>
            <w:tcW w:w="3423" w:type="dxa"/>
            <w:shd w:val="clear" w:color="auto" w:fill="FFFFFF"/>
            <w:vAlign w:val="center"/>
          </w:tcPr>
          <w:p w14:paraId="06693FD0" w14:textId="77777777" w:rsidR="005342D5" w:rsidRPr="0019790A" w:rsidRDefault="005342D5" w:rsidP="0019790A">
            <w:pPr>
              <w:rPr>
                <w:rFonts w:cs="Arial"/>
                <w:b/>
                <w:szCs w:val="22"/>
              </w:rPr>
            </w:pPr>
            <w:r w:rsidRPr="0019790A">
              <w:rPr>
                <w:rFonts w:cs="Arial"/>
                <w:b/>
                <w:szCs w:val="22"/>
              </w:rPr>
              <w:t xml:space="preserve">Період здійснення: </w:t>
            </w:r>
          </w:p>
        </w:tc>
        <w:tc>
          <w:tcPr>
            <w:tcW w:w="6796" w:type="dxa"/>
            <w:gridSpan w:val="8"/>
            <w:vAlign w:val="center"/>
          </w:tcPr>
          <w:p w14:paraId="0EC1BC59" w14:textId="77777777" w:rsidR="005342D5" w:rsidRPr="0019790A" w:rsidRDefault="005342D5" w:rsidP="00CD7662">
            <w:pPr>
              <w:tabs>
                <w:tab w:val="left" w:pos="162"/>
              </w:tabs>
              <w:jc w:val="both"/>
              <w:rPr>
                <w:rFonts w:cs="Arial"/>
                <w:szCs w:val="22"/>
              </w:rPr>
            </w:pPr>
            <w:r w:rsidRPr="0019790A">
              <w:rPr>
                <w:rFonts w:cs="Arial"/>
                <w:b/>
                <w:szCs w:val="22"/>
              </w:rPr>
              <w:t>2025 – 2028 роки:</w:t>
            </w:r>
          </w:p>
        </w:tc>
      </w:tr>
      <w:tr w:rsidR="005342D5" w:rsidRPr="0019790A" w14:paraId="24D05448" w14:textId="77777777" w:rsidTr="00CD7662">
        <w:trPr>
          <w:jc w:val="right"/>
        </w:trPr>
        <w:tc>
          <w:tcPr>
            <w:tcW w:w="3423" w:type="dxa"/>
            <w:vMerge w:val="restart"/>
            <w:shd w:val="clear" w:color="auto" w:fill="FFFFFF"/>
            <w:vAlign w:val="center"/>
          </w:tcPr>
          <w:p w14:paraId="32C5D909" w14:textId="77777777" w:rsidR="005342D5" w:rsidRPr="0019790A" w:rsidRDefault="005342D5" w:rsidP="0019790A">
            <w:pPr>
              <w:rPr>
                <w:rFonts w:cs="Arial"/>
                <w:b/>
                <w:bCs/>
                <w:szCs w:val="22"/>
              </w:rPr>
            </w:pPr>
            <w:r w:rsidRPr="0019790A">
              <w:rPr>
                <w:rFonts w:cs="Arial"/>
                <w:b/>
                <w:bCs/>
                <w:szCs w:val="22"/>
              </w:rPr>
              <w:t>Орієнтовна вартість проєкту, тис. грн., в тому числі:</w:t>
            </w:r>
          </w:p>
        </w:tc>
        <w:tc>
          <w:tcPr>
            <w:tcW w:w="1254" w:type="dxa"/>
            <w:shd w:val="clear" w:color="auto" w:fill="E6E6E6"/>
            <w:vAlign w:val="center"/>
          </w:tcPr>
          <w:p w14:paraId="6B240662" w14:textId="77777777" w:rsidR="005342D5" w:rsidRPr="0019790A" w:rsidRDefault="005342D5" w:rsidP="00CD7662">
            <w:pPr>
              <w:jc w:val="center"/>
              <w:rPr>
                <w:rFonts w:cs="Arial"/>
                <w:b/>
                <w:szCs w:val="22"/>
              </w:rPr>
            </w:pPr>
            <w:r w:rsidRPr="0019790A">
              <w:rPr>
                <w:rFonts w:cs="Arial"/>
                <w:b/>
                <w:szCs w:val="22"/>
              </w:rPr>
              <w:t>2025</w:t>
            </w:r>
          </w:p>
        </w:tc>
        <w:tc>
          <w:tcPr>
            <w:tcW w:w="1275" w:type="dxa"/>
            <w:gridSpan w:val="2"/>
            <w:shd w:val="clear" w:color="auto" w:fill="E6E6E6"/>
            <w:vAlign w:val="center"/>
          </w:tcPr>
          <w:p w14:paraId="6015CED1" w14:textId="77777777" w:rsidR="005342D5" w:rsidRPr="0019790A" w:rsidRDefault="005342D5" w:rsidP="00CD7662">
            <w:pPr>
              <w:jc w:val="center"/>
              <w:rPr>
                <w:rFonts w:cs="Arial"/>
                <w:b/>
                <w:szCs w:val="22"/>
              </w:rPr>
            </w:pPr>
            <w:r w:rsidRPr="0019790A">
              <w:rPr>
                <w:rFonts w:cs="Arial"/>
                <w:b/>
                <w:szCs w:val="22"/>
              </w:rPr>
              <w:t>2026</w:t>
            </w:r>
          </w:p>
        </w:tc>
        <w:tc>
          <w:tcPr>
            <w:tcW w:w="1418" w:type="dxa"/>
            <w:gridSpan w:val="2"/>
            <w:tcBorders>
              <w:bottom w:val="single" w:sz="4" w:space="0" w:color="auto"/>
            </w:tcBorders>
            <w:shd w:val="clear" w:color="auto" w:fill="E6E6E6"/>
            <w:vAlign w:val="center"/>
          </w:tcPr>
          <w:p w14:paraId="3FAC1373" w14:textId="77777777" w:rsidR="005342D5" w:rsidRPr="0019790A" w:rsidRDefault="005342D5" w:rsidP="00CD7662">
            <w:pPr>
              <w:jc w:val="center"/>
              <w:rPr>
                <w:rFonts w:cs="Arial"/>
                <w:b/>
                <w:szCs w:val="22"/>
              </w:rPr>
            </w:pPr>
            <w:r w:rsidRPr="0019790A">
              <w:rPr>
                <w:rFonts w:cs="Arial"/>
                <w:b/>
                <w:szCs w:val="22"/>
              </w:rPr>
              <w:t>2027</w:t>
            </w:r>
          </w:p>
        </w:tc>
        <w:tc>
          <w:tcPr>
            <w:tcW w:w="1276" w:type="dxa"/>
            <w:gridSpan w:val="2"/>
            <w:shd w:val="clear" w:color="auto" w:fill="E6E6E6"/>
            <w:vAlign w:val="center"/>
          </w:tcPr>
          <w:p w14:paraId="4772EF5B" w14:textId="77777777" w:rsidR="005342D5" w:rsidRPr="0019790A" w:rsidRDefault="005342D5" w:rsidP="00CD7662">
            <w:pPr>
              <w:jc w:val="center"/>
              <w:rPr>
                <w:rFonts w:cs="Arial"/>
                <w:b/>
                <w:szCs w:val="22"/>
              </w:rPr>
            </w:pPr>
            <w:r w:rsidRPr="0019790A">
              <w:rPr>
                <w:rFonts w:cs="Arial"/>
                <w:b/>
                <w:szCs w:val="22"/>
              </w:rPr>
              <w:t>2028</w:t>
            </w:r>
          </w:p>
        </w:tc>
        <w:tc>
          <w:tcPr>
            <w:tcW w:w="1573" w:type="dxa"/>
            <w:shd w:val="clear" w:color="auto" w:fill="E6E6E6"/>
            <w:vAlign w:val="center"/>
          </w:tcPr>
          <w:p w14:paraId="1F5541F7" w14:textId="77777777" w:rsidR="005342D5" w:rsidRPr="0019790A" w:rsidRDefault="005342D5" w:rsidP="00CD7662">
            <w:pPr>
              <w:jc w:val="center"/>
              <w:rPr>
                <w:rFonts w:cs="Arial"/>
                <w:b/>
                <w:szCs w:val="22"/>
              </w:rPr>
            </w:pPr>
            <w:r w:rsidRPr="0019790A">
              <w:rPr>
                <w:rFonts w:cs="Arial"/>
                <w:b/>
                <w:szCs w:val="22"/>
              </w:rPr>
              <w:t>РАЗОМ</w:t>
            </w:r>
          </w:p>
        </w:tc>
      </w:tr>
      <w:tr w:rsidR="005342D5" w:rsidRPr="0019790A" w14:paraId="0B931DAE" w14:textId="77777777" w:rsidTr="00CD7662">
        <w:trPr>
          <w:jc w:val="right"/>
        </w:trPr>
        <w:tc>
          <w:tcPr>
            <w:tcW w:w="3423" w:type="dxa"/>
            <w:vMerge/>
            <w:shd w:val="clear" w:color="auto" w:fill="FFFFFF"/>
            <w:vAlign w:val="center"/>
          </w:tcPr>
          <w:p w14:paraId="673E26CB" w14:textId="77777777" w:rsidR="005342D5" w:rsidRPr="0019790A" w:rsidRDefault="005342D5" w:rsidP="0019790A">
            <w:pPr>
              <w:rPr>
                <w:rFonts w:cs="Arial"/>
                <w:b/>
                <w:bCs/>
                <w:szCs w:val="22"/>
              </w:rPr>
            </w:pPr>
          </w:p>
        </w:tc>
        <w:tc>
          <w:tcPr>
            <w:tcW w:w="1254" w:type="dxa"/>
            <w:vAlign w:val="center"/>
          </w:tcPr>
          <w:p w14:paraId="56633560" w14:textId="77777777" w:rsidR="005342D5" w:rsidRPr="0019790A" w:rsidRDefault="005342D5" w:rsidP="00CD7662">
            <w:pPr>
              <w:jc w:val="center"/>
              <w:rPr>
                <w:rFonts w:cs="Arial"/>
                <w:b/>
                <w:szCs w:val="22"/>
              </w:rPr>
            </w:pPr>
          </w:p>
        </w:tc>
        <w:tc>
          <w:tcPr>
            <w:tcW w:w="1275" w:type="dxa"/>
            <w:gridSpan w:val="2"/>
            <w:shd w:val="clear" w:color="auto" w:fill="FFFFFF"/>
            <w:vAlign w:val="center"/>
          </w:tcPr>
          <w:p w14:paraId="370398D7" w14:textId="77777777" w:rsidR="005342D5" w:rsidRPr="0019790A" w:rsidRDefault="005342D5" w:rsidP="00CD7662">
            <w:pPr>
              <w:jc w:val="center"/>
              <w:rPr>
                <w:rFonts w:cs="Arial"/>
                <w:b/>
                <w:szCs w:val="22"/>
              </w:rPr>
            </w:pPr>
            <w:r w:rsidRPr="0019790A">
              <w:rPr>
                <w:rFonts w:cs="Arial"/>
                <w:b/>
                <w:szCs w:val="22"/>
              </w:rPr>
              <w:t>2000,0</w:t>
            </w:r>
          </w:p>
        </w:tc>
        <w:tc>
          <w:tcPr>
            <w:tcW w:w="1418" w:type="dxa"/>
            <w:gridSpan w:val="2"/>
            <w:shd w:val="clear" w:color="auto" w:fill="auto"/>
            <w:vAlign w:val="center"/>
          </w:tcPr>
          <w:p w14:paraId="200B3857" w14:textId="77777777" w:rsidR="005342D5" w:rsidRPr="0019790A" w:rsidRDefault="005342D5" w:rsidP="00CD7662">
            <w:pPr>
              <w:jc w:val="center"/>
              <w:rPr>
                <w:rFonts w:cs="Arial"/>
                <w:b/>
                <w:szCs w:val="22"/>
              </w:rPr>
            </w:pPr>
            <w:r w:rsidRPr="0019790A">
              <w:rPr>
                <w:rFonts w:cs="Arial"/>
                <w:b/>
                <w:szCs w:val="22"/>
              </w:rPr>
              <w:t>2000,0</w:t>
            </w:r>
          </w:p>
        </w:tc>
        <w:tc>
          <w:tcPr>
            <w:tcW w:w="1276" w:type="dxa"/>
            <w:gridSpan w:val="2"/>
            <w:shd w:val="clear" w:color="auto" w:fill="FFFFFF"/>
            <w:vAlign w:val="center"/>
          </w:tcPr>
          <w:p w14:paraId="697D18FA" w14:textId="77777777" w:rsidR="005342D5" w:rsidRPr="0019790A" w:rsidRDefault="005342D5" w:rsidP="00CD7662">
            <w:pPr>
              <w:jc w:val="center"/>
              <w:rPr>
                <w:rFonts w:cs="Arial"/>
                <w:b/>
                <w:szCs w:val="22"/>
              </w:rPr>
            </w:pPr>
            <w:r w:rsidRPr="0019790A">
              <w:rPr>
                <w:rFonts w:cs="Arial"/>
                <w:b/>
                <w:szCs w:val="22"/>
              </w:rPr>
              <w:t>2000,0</w:t>
            </w:r>
          </w:p>
        </w:tc>
        <w:tc>
          <w:tcPr>
            <w:tcW w:w="1573" w:type="dxa"/>
            <w:shd w:val="clear" w:color="auto" w:fill="FFFFFF"/>
            <w:vAlign w:val="center"/>
          </w:tcPr>
          <w:p w14:paraId="7F341193" w14:textId="77777777" w:rsidR="005342D5" w:rsidRPr="0019790A" w:rsidRDefault="005342D5" w:rsidP="00CD7662">
            <w:pPr>
              <w:jc w:val="center"/>
              <w:rPr>
                <w:rFonts w:cs="Arial"/>
                <w:b/>
                <w:szCs w:val="22"/>
              </w:rPr>
            </w:pPr>
            <w:r w:rsidRPr="0019790A">
              <w:rPr>
                <w:rFonts w:cs="Arial"/>
                <w:b/>
                <w:szCs w:val="22"/>
              </w:rPr>
              <w:t>6000,0</w:t>
            </w:r>
          </w:p>
        </w:tc>
      </w:tr>
      <w:tr w:rsidR="005342D5" w:rsidRPr="0019790A" w14:paraId="2DF5E679" w14:textId="77777777" w:rsidTr="00CD7662">
        <w:trPr>
          <w:trHeight w:val="276"/>
          <w:jc w:val="right"/>
        </w:trPr>
        <w:tc>
          <w:tcPr>
            <w:tcW w:w="3423" w:type="dxa"/>
            <w:shd w:val="clear" w:color="auto" w:fill="FFFFFF"/>
            <w:vAlign w:val="center"/>
          </w:tcPr>
          <w:p w14:paraId="25E657A2" w14:textId="77777777" w:rsidR="005342D5" w:rsidRPr="0019790A" w:rsidRDefault="005342D5" w:rsidP="0019790A">
            <w:pPr>
              <w:rPr>
                <w:rFonts w:cs="Arial"/>
                <w:b/>
                <w:bCs/>
                <w:szCs w:val="22"/>
              </w:rPr>
            </w:pPr>
            <w:r w:rsidRPr="0019790A">
              <w:rPr>
                <w:rFonts w:cs="Arial"/>
                <w:b/>
                <w:bCs/>
                <w:szCs w:val="22"/>
              </w:rPr>
              <w:t>по джерелах фінансування:</w:t>
            </w:r>
          </w:p>
        </w:tc>
        <w:tc>
          <w:tcPr>
            <w:tcW w:w="6796" w:type="dxa"/>
            <w:gridSpan w:val="8"/>
            <w:vAlign w:val="center"/>
          </w:tcPr>
          <w:p w14:paraId="10BC96E7" w14:textId="77777777" w:rsidR="005342D5" w:rsidRPr="0019790A" w:rsidRDefault="005342D5" w:rsidP="00CD7662">
            <w:pPr>
              <w:jc w:val="center"/>
              <w:rPr>
                <w:rFonts w:cs="Arial"/>
                <w:szCs w:val="22"/>
              </w:rPr>
            </w:pPr>
          </w:p>
        </w:tc>
      </w:tr>
      <w:tr w:rsidR="005342D5" w:rsidRPr="0019790A" w14:paraId="6A10AF06" w14:textId="77777777" w:rsidTr="00CD7662">
        <w:trPr>
          <w:trHeight w:val="240"/>
          <w:jc w:val="right"/>
        </w:trPr>
        <w:tc>
          <w:tcPr>
            <w:tcW w:w="3423" w:type="dxa"/>
            <w:shd w:val="clear" w:color="auto" w:fill="FFFFFF"/>
            <w:vAlign w:val="center"/>
          </w:tcPr>
          <w:p w14:paraId="4D977F88" w14:textId="77777777" w:rsidR="005342D5" w:rsidRPr="0019790A" w:rsidRDefault="005342D5" w:rsidP="0019790A">
            <w:pPr>
              <w:rPr>
                <w:rFonts w:cs="Arial"/>
                <w:b/>
                <w:bCs/>
                <w:szCs w:val="22"/>
              </w:rPr>
            </w:pPr>
            <w:r w:rsidRPr="0019790A">
              <w:rPr>
                <w:rFonts w:cs="Arial"/>
                <w:szCs w:val="22"/>
              </w:rPr>
              <w:t>- державний бюджет</w:t>
            </w:r>
          </w:p>
        </w:tc>
        <w:tc>
          <w:tcPr>
            <w:tcW w:w="6796" w:type="dxa"/>
            <w:gridSpan w:val="8"/>
            <w:vAlign w:val="center"/>
          </w:tcPr>
          <w:p w14:paraId="48045A80" w14:textId="77777777" w:rsidR="005342D5" w:rsidRPr="0019790A" w:rsidRDefault="005342D5" w:rsidP="00CD7662">
            <w:pPr>
              <w:jc w:val="center"/>
              <w:rPr>
                <w:rFonts w:cs="Arial"/>
                <w:szCs w:val="22"/>
              </w:rPr>
            </w:pPr>
          </w:p>
        </w:tc>
      </w:tr>
      <w:tr w:rsidR="00CD7662" w:rsidRPr="0019790A" w14:paraId="31C688AF" w14:textId="01E90741" w:rsidTr="00CD7662">
        <w:trPr>
          <w:trHeight w:val="287"/>
          <w:jc w:val="right"/>
        </w:trPr>
        <w:tc>
          <w:tcPr>
            <w:tcW w:w="3423" w:type="dxa"/>
            <w:shd w:val="clear" w:color="auto" w:fill="FFFFFF"/>
            <w:vAlign w:val="center"/>
          </w:tcPr>
          <w:p w14:paraId="1D1760CF" w14:textId="77777777" w:rsidR="00CD7662" w:rsidRPr="0019790A" w:rsidRDefault="00CD7662" w:rsidP="0019790A">
            <w:pPr>
              <w:rPr>
                <w:rFonts w:cs="Arial"/>
                <w:szCs w:val="22"/>
              </w:rPr>
            </w:pPr>
            <w:r w:rsidRPr="0019790A">
              <w:rPr>
                <w:rFonts w:cs="Arial"/>
                <w:szCs w:val="22"/>
              </w:rPr>
              <w:t>- обласний бюджет</w:t>
            </w:r>
          </w:p>
        </w:tc>
        <w:tc>
          <w:tcPr>
            <w:tcW w:w="1277" w:type="dxa"/>
            <w:gridSpan w:val="2"/>
            <w:vAlign w:val="center"/>
          </w:tcPr>
          <w:p w14:paraId="24E9A0B2" w14:textId="77777777" w:rsidR="00CD7662" w:rsidRPr="0019790A" w:rsidRDefault="00CD7662" w:rsidP="00CD7662">
            <w:pPr>
              <w:jc w:val="center"/>
              <w:rPr>
                <w:rFonts w:cs="Arial"/>
                <w:szCs w:val="22"/>
              </w:rPr>
            </w:pPr>
          </w:p>
        </w:tc>
        <w:tc>
          <w:tcPr>
            <w:tcW w:w="1334" w:type="dxa"/>
            <w:gridSpan w:val="2"/>
            <w:vAlign w:val="center"/>
          </w:tcPr>
          <w:p w14:paraId="5F0600F5" w14:textId="77777777" w:rsidR="00CD7662" w:rsidRPr="0019790A" w:rsidRDefault="00CD7662" w:rsidP="00CD7662">
            <w:pPr>
              <w:jc w:val="center"/>
              <w:rPr>
                <w:rFonts w:cs="Arial"/>
                <w:szCs w:val="22"/>
              </w:rPr>
            </w:pPr>
          </w:p>
        </w:tc>
        <w:tc>
          <w:tcPr>
            <w:tcW w:w="1336" w:type="dxa"/>
            <w:vAlign w:val="center"/>
          </w:tcPr>
          <w:p w14:paraId="36F2EDD6" w14:textId="77777777" w:rsidR="00CD7662" w:rsidRPr="0019790A" w:rsidRDefault="00CD7662" w:rsidP="00CD7662">
            <w:pPr>
              <w:jc w:val="center"/>
              <w:rPr>
                <w:rFonts w:cs="Arial"/>
                <w:szCs w:val="22"/>
              </w:rPr>
            </w:pPr>
          </w:p>
        </w:tc>
        <w:tc>
          <w:tcPr>
            <w:tcW w:w="1229" w:type="dxa"/>
            <w:vAlign w:val="center"/>
          </w:tcPr>
          <w:p w14:paraId="1118DD41" w14:textId="77777777" w:rsidR="00CD7662" w:rsidRPr="0019790A" w:rsidRDefault="00CD7662" w:rsidP="00CD7662">
            <w:pPr>
              <w:jc w:val="center"/>
              <w:rPr>
                <w:rFonts w:cs="Arial"/>
                <w:szCs w:val="22"/>
              </w:rPr>
            </w:pPr>
          </w:p>
        </w:tc>
        <w:tc>
          <w:tcPr>
            <w:tcW w:w="1620" w:type="dxa"/>
            <w:gridSpan w:val="2"/>
            <w:vAlign w:val="center"/>
          </w:tcPr>
          <w:p w14:paraId="63C7F1AC" w14:textId="77777777" w:rsidR="00CD7662" w:rsidRPr="0019790A" w:rsidRDefault="00CD7662" w:rsidP="00CD7662">
            <w:pPr>
              <w:jc w:val="center"/>
              <w:rPr>
                <w:rFonts w:cs="Arial"/>
                <w:szCs w:val="22"/>
              </w:rPr>
            </w:pPr>
          </w:p>
        </w:tc>
      </w:tr>
      <w:tr w:rsidR="00CD7662" w:rsidRPr="0019790A" w14:paraId="28D1936C" w14:textId="7B00892D" w:rsidTr="00CD7662">
        <w:trPr>
          <w:trHeight w:val="275"/>
          <w:jc w:val="right"/>
        </w:trPr>
        <w:tc>
          <w:tcPr>
            <w:tcW w:w="3423" w:type="dxa"/>
            <w:shd w:val="clear" w:color="auto" w:fill="FFFFFF"/>
            <w:vAlign w:val="center"/>
          </w:tcPr>
          <w:p w14:paraId="28766802" w14:textId="77777777" w:rsidR="00CD7662" w:rsidRPr="0019790A" w:rsidRDefault="00CD7662" w:rsidP="0019790A">
            <w:pPr>
              <w:rPr>
                <w:rFonts w:cs="Arial"/>
                <w:szCs w:val="22"/>
              </w:rPr>
            </w:pPr>
            <w:r w:rsidRPr="0019790A">
              <w:rPr>
                <w:rFonts w:cs="Arial"/>
                <w:szCs w:val="22"/>
              </w:rPr>
              <w:t>- бюджет Жмеринської МТГ</w:t>
            </w:r>
          </w:p>
        </w:tc>
        <w:tc>
          <w:tcPr>
            <w:tcW w:w="1277" w:type="dxa"/>
            <w:gridSpan w:val="2"/>
            <w:vAlign w:val="center"/>
          </w:tcPr>
          <w:p w14:paraId="6180E4AC" w14:textId="232203E7" w:rsidR="00CD7662" w:rsidRPr="0019790A" w:rsidRDefault="00CD7662" w:rsidP="00CD7662">
            <w:pPr>
              <w:jc w:val="center"/>
              <w:rPr>
                <w:rFonts w:cs="Arial"/>
                <w:b/>
                <w:szCs w:val="22"/>
              </w:rPr>
            </w:pPr>
          </w:p>
        </w:tc>
        <w:tc>
          <w:tcPr>
            <w:tcW w:w="1334" w:type="dxa"/>
            <w:gridSpan w:val="2"/>
            <w:vAlign w:val="center"/>
          </w:tcPr>
          <w:p w14:paraId="4A04FB68" w14:textId="6ED62DD8" w:rsidR="00CD7662" w:rsidRPr="0019790A" w:rsidRDefault="00CD7662" w:rsidP="00CD7662">
            <w:pPr>
              <w:ind w:left="65"/>
              <w:jc w:val="center"/>
              <w:rPr>
                <w:rFonts w:cs="Arial"/>
                <w:b/>
                <w:szCs w:val="22"/>
              </w:rPr>
            </w:pPr>
            <w:r w:rsidRPr="0019790A">
              <w:rPr>
                <w:rFonts w:cs="Arial"/>
                <w:b/>
                <w:szCs w:val="22"/>
              </w:rPr>
              <w:t>2000,0</w:t>
            </w:r>
          </w:p>
        </w:tc>
        <w:tc>
          <w:tcPr>
            <w:tcW w:w="1336" w:type="dxa"/>
            <w:vAlign w:val="center"/>
          </w:tcPr>
          <w:p w14:paraId="733A71F3" w14:textId="35DD9B72" w:rsidR="00CD7662" w:rsidRPr="0019790A" w:rsidRDefault="00CD7662" w:rsidP="00CD7662">
            <w:pPr>
              <w:ind w:left="81"/>
              <w:jc w:val="center"/>
              <w:rPr>
                <w:rFonts w:cs="Arial"/>
                <w:b/>
                <w:szCs w:val="22"/>
              </w:rPr>
            </w:pPr>
            <w:r w:rsidRPr="0019790A">
              <w:rPr>
                <w:rFonts w:cs="Arial"/>
                <w:b/>
                <w:szCs w:val="22"/>
              </w:rPr>
              <w:t>2000,0</w:t>
            </w:r>
          </w:p>
        </w:tc>
        <w:tc>
          <w:tcPr>
            <w:tcW w:w="1229" w:type="dxa"/>
            <w:vAlign w:val="center"/>
          </w:tcPr>
          <w:p w14:paraId="07AAFD4B" w14:textId="5AFA7E12" w:rsidR="00CD7662" w:rsidRPr="0019790A" w:rsidRDefault="00CD7662" w:rsidP="00CD7662">
            <w:pPr>
              <w:ind w:left="174"/>
              <w:jc w:val="center"/>
              <w:rPr>
                <w:rFonts w:cs="Arial"/>
                <w:b/>
                <w:szCs w:val="22"/>
              </w:rPr>
            </w:pPr>
            <w:r w:rsidRPr="0019790A">
              <w:rPr>
                <w:rFonts w:cs="Arial"/>
                <w:b/>
                <w:szCs w:val="22"/>
              </w:rPr>
              <w:t>2000,0</w:t>
            </w:r>
          </w:p>
        </w:tc>
        <w:tc>
          <w:tcPr>
            <w:tcW w:w="1620" w:type="dxa"/>
            <w:gridSpan w:val="2"/>
            <w:vAlign w:val="center"/>
          </w:tcPr>
          <w:p w14:paraId="5E9B7FF4" w14:textId="38A2DCB9" w:rsidR="00CD7662" w:rsidRPr="0019790A" w:rsidRDefault="00CD7662" w:rsidP="00CD7662">
            <w:pPr>
              <w:ind w:left="527"/>
              <w:jc w:val="center"/>
              <w:rPr>
                <w:rFonts w:cs="Arial"/>
                <w:b/>
                <w:szCs w:val="22"/>
              </w:rPr>
            </w:pPr>
            <w:r w:rsidRPr="0019790A">
              <w:rPr>
                <w:rFonts w:cs="Arial"/>
                <w:b/>
                <w:szCs w:val="22"/>
              </w:rPr>
              <w:t>6000,0</w:t>
            </w:r>
          </w:p>
        </w:tc>
      </w:tr>
      <w:tr w:rsidR="00CD7662" w:rsidRPr="0019790A" w14:paraId="62445D5E" w14:textId="6403C971" w:rsidTr="00CD7662">
        <w:trPr>
          <w:trHeight w:val="226"/>
          <w:jc w:val="right"/>
        </w:trPr>
        <w:tc>
          <w:tcPr>
            <w:tcW w:w="3423" w:type="dxa"/>
            <w:shd w:val="clear" w:color="auto" w:fill="FFFFFF"/>
            <w:vAlign w:val="center"/>
          </w:tcPr>
          <w:p w14:paraId="0B115028" w14:textId="77777777" w:rsidR="00CD7662" w:rsidRPr="0019790A" w:rsidRDefault="00CD7662" w:rsidP="0019790A">
            <w:pPr>
              <w:rPr>
                <w:rFonts w:cs="Arial"/>
                <w:szCs w:val="22"/>
              </w:rPr>
            </w:pPr>
            <w:r w:rsidRPr="0019790A">
              <w:rPr>
                <w:rFonts w:cs="Arial"/>
                <w:szCs w:val="22"/>
              </w:rPr>
              <w:t>- інші джерела фінансування</w:t>
            </w:r>
          </w:p>
        </w:tc>
        <w:tc>
          <w:tcPr>
            <w:tcW w:w="1277" w:type="dxa"/>
            <w:gridSpan w:val="2"/>
            <w:vAlign w:val="center"/>
          </w:tcPr>
          <w:p w14:paraId="323CD1AB" w14:textId="77777777" w:rsidR="00CD7662" w:rsidRPr="0019790A" w:rsidRDefault="00CD7662" w:rsidP="00CD7662">
            <w:pPr>
              <w:jc w:val="center"/>
              <w:rPr>
                <w:rFonts w:cs="Arial"/>
                <w:szCs w:val="22"/>
              </w:rPr>
            </w:pPr>
          </w:p>
        </w:tc>
        <w:tc>
          <w:tcPr>
            <w:tcW w:w="1334" w:type="dxa"/>
            <w:gridSpan w:val="2"/>
            <w:vAlign w:val="center"/>
          </w:tcPr>
          <w:p w14:paraId="0231D358" w14:textId="77777777" w:rsidR="00CD7662" w:rsidRPr="0019790A" w:rsidRDefault="00CD7662" w:rsidP="00CD7662">
            <w:pPr>
              <w:jc w:val="center"/>
              <w:rPr>
                <w:rFonts w:cs="Arial"/>
                <w:szCs w:val="22"/>
              </w:rPr>
            </w:pPr>
          </w:p>
        </w:tc>
        <w:tc>
          <w:tcPr>
            <w:tcW w:w="1336" w:type="dxa"/>
            <w:vAlign w:val="center"/>
          </w:tcPr>
          <w:p w14:paraId="4FA372B3" w14:textId="77777777" w:rsidR="00CD7662" w:rsidRPr="0019790A" w:rsidRDefault="00CD7662" w:rsidP="00CD7662">
            <w:pPr>
              <w:jc w:val="center"/>
              <w:rPr>
                <w:rFonts w:cs="Arial"/>
                <w:szCs w:val="22"/>
              </w:rPr>
            </w:pPr>
          </w:p>
        </w:tc>
        <w:tc>
          <w:tcPr>
            <w:tcW w:w="1229" w:type="dxa"/>
            <w:vAlign w:val="center"/>
          </w:tcPr>
          <w:p w14:paraId="169D8B7F" w14:textId="77777777" w:rsidR="00CD7662" w:rsidRPr="0019790A" w:rsidRDefault="00CD7662" w:rsidP="00CD7662">
            <w:pPr>
              <w:jc w:val="center"/>
              <w:rPr>
                <w:rFonts w:cs="Arial"/>
                <w:szCs w:val="22"/>
              </w:rPr>
            </w:pPr>
          </w:p>
        </w:tc>
        <w:tc>
          <w:tcPr>
            <w:tcW w:w="1620" w:type="dxa"/>
            <w:gridSpan w:val="2"/>
            <w:vAlign w:val="center"/>
          </w:tcPr>
          <w:p w14:paraId="0053DE27" w14:textId="77777777" w:rsidR="00CD7662" w:rsidRPr="0019790A" w:rsidRDefault="00CD7662" w:rsidP="00CD7662">
            <w:pPr>
              <w:jc w:val="center"/>
              <w:rPr>
                <w:rFonts w:cs="Arial"/>
                <w:szCs w:val="22"/>
              </w:rPr>
            </w:pPr>
          </w:p>
        </w:tc>
      </w:tr>
      <w:tr w:rsidR="005342D5" w:rsidRPr="0019790A" w14:paraId="708D5486" w14:textId="77777777" w:rsidTr="00CD7662">
        <w:trPr>
          <w:jc w:val="right"/>
        </w:trPr>
        <w:tc>
          <w:tcPr>
            <w:tcW w:w="3423" w:type="dxa"/>
            <w:shd w:val="clear" w:color="auto" w:fill="FFFFFF"/>
            <w:vAlign w:val="center"/>
          </w:tcPr>
          <w:p w14:paraId="73BECD97" w14:textId="77777777" w:rsidR="005342D5" w:rsidRPr="0019790A" w:rsidRDefault="005342D5" w:rsidP="0019790A">
            <w:pPr>
              <w:rPr>
                <w:rFonts w:cs="Arial"/>
                <w:b/>
                <w:bCs/>
                <w:szCs w:val="22"/>
              </w:rPr>
            </w:pPr>
            <w:r w:rsidRPr="0019790A">
              <w:rPr>
                <w:rFonts w:cs="Arial"/>
                <w:b/>
                <w:szCs w:val="22"/>
              </w:rPr>
              <w:t>Відповідальний виконавець проєкту:</w:t>
            </w:r>
          </w:p>
        </w:tc>
        <w:tc>
          <w:tcPr>
            <w:tcW w:w="6796" w:type="dxa"/>
            <w:gridSpan w:val="8"/>
            <w:vAlign w:val="center"/>
          </w:tcPr>
          <w:p w14:paraId="79E21004" w14:textId="77777777" w:rsidR="005342D5" w:rsidRPr="0019790A" w:rsidRDefault="005342D5" w:rsidP="0019790A">
            <w:pPr>
              <w:rPr>
                <w:rFonts w:cs="Arial"/>
                <w:szCs w:val="22"/>
              </w:rPr>
            </w:pPr>
            <w:r w:rsidRPr="0019790A">
              <w:rPr>
                <w:rFonts w:cs="Arial"/>
                <w:szCs w:val="22"/>
              </w:rPr>
              <w:t>Відділ молоді та спорту Жмеринської міської ради, КЗ «ЖДЮСШ»</w:t>
            </w:r>
          </w:p>
        </w:tc>
      </w:tr>
      <w:tr w:rsidR="005342D5" w:rsidRPr="0019790A" w14:paraId="452C7C8A" w14:textId="77777777" w:rsidTr="00CD7662">
        <w:trPr>
          <w:jc w:val="right"/>
        </w:trPr>
        <w:tc>
          <w:tcPr>
            <w:tcW w:w="3423" w:type="dxa"/>
            <w:shd w:val="clear" w:color="auto" w:fill="FFFFFF"/>
            <w:vAlign w:val="center"/>
          </w:tcPr>
          <w:p w14:paraId="78F0883F" w14:textId="77777777" w:rsidR="005342D5" w:rsidRPr="0019790A" w:rsidRDefault="005342D5" w:rsidP="0019790A">
            <w:pPr>
              <w:rPr>
                <w:rFonts w:cs="Arial"/>
                <w:b/>
                <w:bCs/>
                <w:szCs w:val="22"/>
              </w:rPr>
            </w:pPr>
            <w:r w:rsidRPr="0019790A">
              <w:rPr>
                <w:rFonts w:cs="Arial"/>
                <w:b/>
                <w:bCs/>
                <w:szCs w:val="22"/>
              </w:rPr>
              <w:t>Інше:</w:t>
            </w:r>
          </w:p>
        </w:tc>
        <w:tc>
          <w:tcPr>
            <w:tcW w:w="6796" w:type="dxa"/>
            <w:gridSpan w:val="8"/>
            <w:vAlign w:val="center"/>
          </w:tcPr>
          <w:p w14:paraId="3EA7C48F" w14:textId="77777777" w:rsidR="005342D5" w:rsidRPr="0019790A" w:rsidRDefault="005342D5" w:rsidP="0019790A">
            <w:pPr>
              <w:rPr>
                <w:rFonts w:cs="Arial"/>
                <w:szCs w:val="22"/>
              </w:rPr>
            </w:pPr>
          </w:p>
        </w:tc>
      </w:tr>
    </w:tbl>
    <w:p w14:paraId="56B284C3" w14:textId="77777777" w:rsidR="005342D5" w:rsidRPr="0019790A" w:rsidRDefault="005342D5" w:rsidP="0019790A">
      <w:pPr>
        <w:rPr>
          <w:rFonts w:cs="Arial"/>
          <w:szCs w:val="22"/>
        </w:rPr>
      </w:pPr>
    </w:p>
    <w:p w14:paraId="113A9894" w14:textId="77777777" w:rsidR="005342D5" w:rsidRPr="0019790A" w:rsidRDefault="005342D5" w:rsidP="0019790A">
      <w:pPr>
        <w:jc w:val="center"/>
        <w:rPr>
          <w:rFonts w:cs="Arial"/>
          <w:b/>
          <w:szCs w:val="22"/>
        </w:rPr>
      </w:pPr>
      <w:r w:rsidRPr="0019790A">
        <w:rPr>
          <w:rFonts w:cs="Arial"/>
          <w:b/>
          <w:szCs w:val="22"/>
        </w:rPr>
        <w:t>Форма технічного завдання на проєкт місцевого розвитку</w:t>
      </w:r>
    </w:p>
    <w:p w14:paraId="0FFC0E4E" w14:textId="77777777" w:rsidR="005342D5" w:rsidRPr="0019790A" w:rsidRDefault="005342D5" w:rsidP="0019790A">
      <w:pPr>
        <w:jc w:val="center"/>
        <w:rPr>
          <w:rFonts w:cs="Arial"/>
          <w:b/>
          <w:szCs w:val="22"/>
        </w:rPr>
      </w:pPr>
      <w:r w:rsidRPr="0019790A">
        <w:rPr>
          <w:rFonts w:cs="Arial"/>
          <w:b/>
          <w:szCs w:val="22"/>
        </w:rPr>
        <w:t>до Плану заходів з реалізації Стратегії</w:t>
      </w:r>
    </w:p>
    <w:p w14:paraId="53BD8413" w14:textId="77777777" w:rsidR="005342D5" w:rsidRPr="0019790A" w:rsidRDefault="005342D5"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4"/>
        <w:gridCol w:w="1238"/>
        <w:gridCol w:w="16"/>
        <w:gridCol w:w="1279"/>
        <w:gridCol w:w="1381"/>
        <w:gridCol w:w="36"/>
        <w:gridCol w:w="1275"/>
        <w:gridCol w:w="13"/>
        <w:gridCol w:w="1557"/>
      </w:tblGrid>
      <w:tr w:rsidR="005342D5" w:rsidRPr="0019790A" w14:paraId="681AB323" w14:textId="77777777" w:rsidTr="00CD7662">
        <w:trPr>
          <w:trHeight w:val="685"/>
          <w:jc w:val="right"/>
        </w:trPr>
        <w:tc>
          <w:tcPr>
            <w:tcW w:w="3425" w:type="dxa"/>
            <w:vAlign w:val="center"/>
          </w:tcPr>
          <w:p w14:paraId="2880C085" w14:textId="77777777" w:rsidR="005342D5" w:rsidRPr="0019790A" w:rsidRDefault="005342D5" w:rsidP="0019790A">
            <w:pPr>
              <w:rPr>
                <w:rFonts w:cs="Arial"/>
                <w:b/>
                <w:bCs/>
                <w:szCs w:val="22"/>
              </w:rPr>
            </w:pPr>
            <w:r w:rsidRPr="0019790A">
              <w:rPr>
                <w:rFonts w:cs="Arial"/>
                <w:b/>
                <w:bCs/>
                <w:szCs w:val="22"/>
              </w:rPr>
              <w:t>Назва проєкту:</w:t>
            </w:r>
          </w:p>
        </w:tc>
        <w:tc>
          <w:tcPr>
            <w:tcW w:w="6794" w:type="dxa"/>
            <w:gridSpan w:val="8"/>
            <w:vAlign w:val="center"/>
          </w:tcPr>
          <w:p w14:paraId="6A520870" w14:textId="186AC8C5" w:rsidR="005342D5" w:rsidRPr="00CD7662" w:rsidRDefault="005342D5" w:rsidP="00CD7662">
            <w:pPr>
              <w:tabs>
                <w:tab w:val="left" w:pos="239"/>
              </w:tabs>
              <w:jc w:val="both"/>
              <w:rPr>
                <w:rFonts w:cs="Arial"/>
                <w:b/>
                <w:szCs w:val="22"/>
              </w:rPr>
            </w:pPr>
            <w:r w:rsidRPr="00CD7662">
              <w:rPr>
                <w:rFonts w:cs="Arial"/>
                <w:b/>
                <w:szCs w:val="22"/>
              </w:rPr>
              <w:t xml:space="preserve">Капітальний ремонт з утепленням приміщення дитячо-юнацької спортивної школи по вул. Богдана Хмельницького </w:t>
            </w:r>
          </w:p>
        </w:tc>
      </w:tr>
      <w:tr w:rsidR="005342D5" w:rsidRPr="0019790A" w14:paraId="10A3B1E9" w14:textId="77777777" w:rsidTr="00CD7662">
        <w:trPr>
          <w:jc w:val="right"/>
        </w:trPr>
        <w:tc>
          <w:tcPr>
            <w:tcW w:w="3425" w:type="dxa"/>
          </w:tcPr>
          <w:p w14:paraId="6357289E" w14:textId="77777777" w:rsidR="005342D5" w:rsidRPr="0019790A" w:rsidRDefault="005342D5" w:rsidP="0019790A">
            <w:pPr>
              <w:rPr>
                <w:rFonts w:cs="Arial"/>
                <w:szCs w:val="22"/>
              </w:rPr>
            </w:pPr>
            <w:r w:rsidRPr="0019790A">
              <w:rPr>
                <w:rFonts w:cs="Arial"/>
                <w:b/>
                <w:bCs/>
                <w:szCs w:val="22"/>
              </w:rPr>
              <w:t>Ваші контакти</w:t>
            </w:r>
            <w:r w:rsidRPr="0019790A">
              <w:rPr>
                <w:rFonts w:cs="Arial"/>
                <w:szCs w:val="22"/>
              </w:rPr>
              <w:t>:</w:t>
            </w:r>
          </w:p>
          <w:p w14:paraId="21BE2C9D" w14:textId="77777777" w:rsidR="005342D5" w:rsidRPr="0019790A" w:rsidRDefault="005342D5" w:rsidP="0019790A">
            <w:pPr>
              <w:rPr>
                <w:rFonts w:cs="Arial"/>
                <w:b/>
                <w:bCs/>
                <w:szCs w:val="22"/>
              </w:rPr>
            </w:pPr>
            <w:r w:rsidRPr="0019790A">
              <w:rPr>
                <w:rFonts w:cs="Arial"/>
                <w:szCs w:val="22"/>
              </w:rPr>
              <w:t>Назва установи, організації, підприємства</w:t>
            </w:r>
          </w:p>
        </w:tc>
        <w:tc>
          <w:tcPr>
            <w:tcW w:w="6794" w:type="dxa"/>
            <w:gridSpan w:val="8"/>
            <w:vAlign w:val="center"/>
          </w:tcPr>
          <w:p w14:paraId="17C23624" w14:textId="77777777" w:rsidR="005342D5" w:rsidRPr="0019790A" w:rsidRDefault="005342D5" w:rsidP="00CD7662">
            <w:pPr>
              <w:tabs>
                <w:tab w:val="left" w:pos="239"/>
              </w:tabs>
              <w:rPr>
                <w:rFonts w:cs="Arial"/>
                <w:szCs w:val="22"/>
              </w:rPr>
            </w:pPr>
            <w:r w:rsidRPr="0019790A">
              <w:rPr>
                <w:rFonts w:cs="Arial"/>
                <w:szCs w:val="22"/>
              </w:rPr>
              <w:t>Відділ молоді та спорту Жмеринської міської ради</w:t>
            </w:r>
          </w:p>
        </w:tc>
      </w:tr>
      <w:tr w:rsidR="005342D5" w:rsidRPr="0019790A" w14:paraId="628D4FE0" w14:textId="77777777" w:rsidTr="00CD7662">
        <w:trPr>
          <w:jc w:val="right"/>
        </w:trPr>
        <w:tc>
          <w:tcPr>
            <w:tcW w:w="3425" w:type="dxa"/>
          </w:tcPr>
          <w:p w14:paraId="72ECFF46" w14:textId="77777777" w:rsidR="005342D5" w:rsidRPr="0019790A" w:rsidRDefault="005342D5" w:rsidP="0019790A">
            <w:pPr>
              <w:rPr>
                <w:rFonts w:cs="Arial"/>
                <w:b/>
                <w:bCs/>
                <w:szCs w:val="22"/>
              </w:rPr>
            </w:pPr>
            <w:r w:rsidRPr="0019790A">
              <w:rPr>
                <w:rFonts w:cs="Arial"/>
                <w:szCs w:val="22"/>
              </w:rPr>
              <w:t>Прізвище Ім’я По-батькові:</w:t>
            </w:r>
          </w:p>
        </w:tc>
        <w:tc>
          <w:tcPr>
            <w:tcW w:w="6794" w:type="dxa"/>
            <w:gridSpan w:val="8"/>
            <w:vAlign w:val="center"/>
          </w:tcPr>
          <w:p w14:paraId="090A1326" w14:textId="77777777" w:rsidR="005342D5" w:rsidRPr="0019790A" w:rsidRDefault="005342D5" w:rsidP="00CD7662">
            <w:pPr>
              <w:tabs>
                <w:tab w:val="left" w:pos="239"/>
              </w:tabs>
              <w:rPr>
                <w:rFonts w:cs="Arial"/>
                <w:szCs w:val="22"/>
              </w:rPr>
            </w:pPr>
            <w:r w:rsidRPr="0019790A">
              <w:rPr>
                <w:rFonts w:cs="Arial"/>
                <w:szCs w:val="22"/>
              </w:rPr>
              <w:t>Ковальська Олена Віталіївна</w:t>
            </w:r>
          </w:p>
        </w:tc>
      </w:tr>
      <w:tr w:rsidR="005342D5" w:rsidRPr="0019790A" w14:paraId="042F02BE" w14:textId="77777777" w:rsidTr="00CD7662">
        <w:trPr>
          <w:jc w:val="right"/>
        </w:trPr>
        <w:tc>
          <w:tcPr>
            <w:tcW w:w="3425" w:type="dxa"/>
          </w:tcPr>
          <w:p w14:paraId="623E319E" w14:textId="77777777" w:rsidR="005342D5" w:rsidRPr="0019790A" w:rsidRDefault="005342D5" w:rsidP="0019790A">
            <w:pPr>
              <w:rPr>
                <w:rFonts w:cs="Arial"/>
                <w:b/>
                <w:bCs/>
                <w:szCs w:val="22"/>
              </w:rPr>
            </w:pPr>
            <w:r w:rsidRPr="0019790A">
              <w:rPr>
                <w:rFonts w:cs="Arial"/>
                <w:szCs w:val="22"/>
              </w:rPr>
              <w:t>Телефон (мобільний):</w:t>
            </w:r>
          </w:p>
        </w:tc>
        <w:tc>
          <w:tcPr>
            <w:tcW w:w="6794" w:type="dxa"/>
            <w:gridSpan w:val="8"/>
            <w:vAlign w:val="center"/>
          </w:tcPr>
          <w:p w14:paraId="07027429" w14:textId="77777777" w:rsidR="005342D5" w:rsidRPr="0019790A" w:rsidRDefault="005342D5" w:rsidP="00CD7662">
            <w:pPr>
              <w:tabs>
                <w:tab w:val="left" w:pos="239"/>
              </w:tabs>
              <w:rPr>
                <w:rFonts w:cs="Arial"/>
                <w:szCs w:val="22"/>
              </w:rPr>
            </w:pPr>
            <w:r w:rsidRPr="0019790A">
              <w:rPr>
                <w:rFonts w:cs="Arial"/>
                <w:szCs w:val="22"/>
              </w:rPr>
              <w:t>096-068-94-79</w:t>
            </w:r>
          </w:p>
        </w:tc>
      </w:tr>
      <w:tr w:rsidR="005342D5" w:rsidRPr="0019790A" w14:paraId="2EE602B1" w14:textId="77777777" w:rsidTr="00CD7662">
        <w:trPr>
          <w:jc w:val="right"/>
        </w:trPr>
        <w:tc>
          <w:tcPr>
            <w:tcW w:w="3425" w:type="dxa"/>
          </w:tcPr>
          <w:p w14:paraId="1A88EF32" w14:textId="77777777" w:rsidR="005342D5" w:rsidRPr="0019790A" w:rsidRDefault="005342D5" w:rsidP="0019790A">
            <w:pPr>
              <w:rPr>
                <w:rFonts w:cs="Arial"/>
                <w:b/>
                <w:bCs/>
                <w:szCs w:val="22"/>
              </w:rPr>
            </w:pPr>
            <w:r w:rsidRPr="0019790A">
              <w:rPr>
                <w:rFonts w:cs="Arial"/>
                <w:szCs w:val="22"/>
              </w:rPr>
              <w:t>Електронна адреса:</w:t>
            </w:r>
          </w:p>
        </w:tc>
        <w:tc>
          <w:tcPr>
            <w:tcW w:w="6794" w:type="dxa"/>
            <w:gridSpan w:val="8"/>
            <w:vAlign w:val="center"/>
          </w:tcPr>
          <w:p w14:paraId="124CFF2C" w14:textId="77777777" w:rsidR="005342D5" w:rsidRPr="0019790A" w:rsidRDefault="00D85FFD" w:rsidP="00CD7662">
            <w:pPr>
              <w:tabs>
                <w:tab w:val="left" w:pos="239"/>
              </w:tabs>
              <w:rPr>
                <w:rFonts w:cs="Arial"/>
                <w:szCs w:val="22"/>
              </w:rPr>
            </w:pPr>
            <w:hyperlink r:id="rId162" w:history="1">
              <w:r w:rsidR="005342D5" w:rsidRPr="0019790A">
                <w:rPr>
                  <w:rStyle w:val="af0"/>
                  <w:rFonts w:cs="Arial"/>
                  <w:b/>
                  <w:bCs/>
                  <w:noProof w:val="0"/>
                  <w:sz w:val="22"/>
                  <w:szCs w:val="22"/>
                </w:rPr>
                <w:t>ms@zhmr.gov.ua</w:t>
              </w:r>
            </w:hyperlink>
          </w:p>
        </w:tc>
      </w:tr>
      <w:tr w:rsidR="005342D5" w:rsidRPr="0019790A" w14:paraId="70B5AAA6" w14:textId="77777777" w:rsidTr="001A5BC7">
        <w:trPr>
          <w:trHeight w:val="1270"/>
          <w:jc w:val="right"/>
        </w:trPr>
        <w:tc>
          <w:tcPr>
            <w:tcW w:w="3425" w:type="dxa"/>
            <w:vAlign w:val="center"/>
          </w:tcPr>
          <w:p w14:paraId="4902139F" w14:textId="77777777" w:rsidR="005342D5" w:rsidRPr="0019790A" w:rsidRDefault="005342D5" w:rsidP="0019790A">
            <w:pPr>
              <w:rPr>
                <w:rFonts w:cs="Arial"/>
                <w:b/>
                <w:bCs/>
                <w:szCs w:val="22"/>
              </w:rPr>
            </w:pPr>
            <w:r w:rsidRPr="0019790A">
              <w:rPr>
                <w:rFonts w:cs="Arial"/>
                <w:b/>
                <w:bCs/>
                <w:szCs w:val="22"/>
              </w:rPr>
              <w:t>Номер і назва завдання з Стратегії розвитку Жмеринської міської територіальної громади,  якому відповідає проєкт:</w:t>
            </w:r>
          </w:p>
        </w:tc>
        <w:tc>
          <w:tcPr>
            <w:tcW w:w="6794" w:type="dxa"/>
            <w:gridSpan w:val="8"/>
            <w:vAlign w:val="center"/>
          </w:tcPr>
          <w:p w14:paraId="6FB79400" w14:textId="77777777" w:rsidR="005342D5" w:rsidRPr="00CD7662" w:rsidRDefault="005342D5" w:rsidP="00CD7662">
            <w:pPr>
              <w:tabs>
                <w:tab w:val="left" w:pos="239"/>
              </w:tabs>
              <w:rPr>
                <w:rFonts w:cs="Arial"/>
                <w:szCs w:val="22"/>
              </w:rPr>
            </w:pPr>
            <w:r w:rsidRPr="00CD7662">
              <w:rPr>
                <w:rFonts w:cs="Arial"/>
                <w:bCs/>
                <w:szCs w:val="22"/>
              </w:rPr>
              <w:t xml:space="preserve">С.3.4.3. Реконструкція та капітальний ремонт приміщень, які відносяться до КЗ «ЖДЮСШ </w:t>
            </w:r>
          </w:p>
        </w:tc>
      </w:tr>
      <w:tr w:rsidR="005342D5" w:rsidRPr="0019790A" w14:paraId="29C78F20" w14:textId="77777777" w:rsidTr="00CF3AAE">
        <w:trPr>
          <w:trHeight w:val="673"/>
          <w:jc w:val="right"/>
        </w:trPr>
        <w:tc>
          <w:tcPr>
            <w:tcW w:w="3425" w:type="dxa"/>
            <w:vAlign w:val="center"/>
          </w:tcPr>
          <w:p w14:paraId="04609CD1" w14:textId="77777777" w:rsidR="005342D5" w:rsidRPr="0019790A" w:rsidRDefault="005342D5" w:rsidP="0019790A">
            <w:pPr>
              <w:rPr>
                <w:rFonts w:cs="Arial"/>
                <w:b/>
                <w:bCs/>
                <w:szCs w:val="22"/>
              </w:rPr>
            </w:pPr>
            <w:r w:rsidRPr="0019790A">
              <w:rPr>
                <w:rFonts w:cs="Arial"/>
                <w:b/>
                <w:bCs/>
                <w:szCs w:val="22"/>
              </w:rPr>
              <w:t>Мета проєкту:</w:t>
            </w:r>
          </w:p>
        </w:tc>
        <w:tc>
          <w:tcPr>
            <w:tcW w:w="6794" w:type="dxa"/>
            <w:gridSpan w:val="8"/>
          </w:tcPr>
          <w:p w14:paraId="096CB0CE" w14:textId="77777777" w:rsidR="005342D5" w:rsidRPr="0019790A" w:rsidRDefault="005342D5" w:rsidP="00CD7662">
            <w:pPr>
              <w:tabs>
                <w:tab w:val="left" w:pos="239"/>
              </w:tabs>
              <w:jc w:val="both"/>
              <w:rPr>
                <w:rFonts w:cs="Arial"/>
                <w:szCs w:val="22"/>
              </w:rPr>
            </w:pPr>
            <w:r w:rsidRPr="0019790A">
              <w:rPr>
                <w:rFonts w:cs="Arial"/>
                <w:szCs w:val="22"/>
              </w:rPr>
              <w:t>Забезпечити безпечні, сучасні та комфортні умови для тренувань, занять фізичною культурою та спортом дітей і молоді шляхом реконструкції та капітального ремонту приміщень дитячо-юнацької спортивної школи.</w:t>
            </w:r>
          </w:p>
        </w:tc>
      </w:tr>
      <w:tr w:rsidR="005342D5" w:rsidRPr="0019790A" w14:paraId="73FD0FD1" w14:textId="77777777" w:rsidTr="00CF3AAE">
        <w:trPr>
          <w:jc w:val="right"/>
        </w:trPr>
        <w:tc>
          <w:tcPr>
            <w:tcW w:w="3425" w:type="dxa"/>
            <w:vAlign w:val="center"/>
          </w:tcPr>
          <w:p w14:paraId="67CA929E" w14:textId="77777777" w:rsidR="005342D5" w:rsidRPr="0019790A" w:rsidRDefault="005342D5" w:rsidP="0019790A">
            <w:pPr>
              <w:rPr>
                <w:rFonts w:cs="Arial"/>
                <w:b/>
                <w:bCs/>
                <w:szCs w:val="22"/>
              </w:rPr>
            </w:pPr>
            <w:r w:rsidRPr="0019790A">
              <w:rPr>
                <w:rFonts w:cs="Arial"/>
                <w:b/>
                <w:bCs/>
                <w:szCs w:val="22"/>
              </w:rPr>
              <w:t>Цілі проєкту:</w:t>
            </w:r>
          </w:p>
        </w:tc>
        <w:tc>
          <w:tcPr>
            <w:tcW w:w="6794" w:type="dxa"/>
            <w:gridSpan w:val="8"/>
          </w:tcPr>
          <w:p w14:paraId="6167A8FD" w14:textId="77777777" w:rsidR="005342D5" w:rsidRPr="0019790A" w:rsidRDefault="005342D5" w:rsidP="00CD7662">
            <w:pPr>
              <w:numPr>
                <w:ilvl w:val="0"/>
                <w:numId w:val="91"/>
              </w:numPr>
              <w:tabs>
                <w:tab w:val="left" w:pos="239"/>
              </w:tabs>
              <w:ind w:left="0" w:firstLine="0"/>
              <w:jc w:val="both"/>
              <w:rPr>
                <w:rFonts w:cs="Arial"/>
                <w:szCs w:val="22"/>
              </w:rPr>
            </w:pPr>
            <w:r w:rsidRPr="0019790A">
              <w:rPr>
                <w:rFonts w:cs="Arial"/>
                <w:szCs w:val="22"/>
              </w:rPr>
              <w:t>Забезпечити безпечні санітарно-технічні умови для занять спортом.</w:t>
            </w:r>
          </w:p>
          <w:p w14:paraId="60CAD9D6" w14:textId="77777777" w:rsidR="005342D5" w:rsidRPr="0019790A" w:rsidRDefault="005342D5" w:rsidP="00CD7662">
            <w:pPr>
              <w:numPr>
                <w:ilvl w:val="0"/>
                <w:numId w:val="91"/>
              </w:numPr>
              <w:tabs>
                <w:tab w:val="left" w:pos="239"/>
              </w:tabs>
              <w:ind w:left="0" w:firstLine="0"/>
              <w:jc w:val="both"/>
              <w:rPr>
                <w:rFonts w:cs="Arial"/>
                <w:szCs w:val="22"/>
              </w:rPr>
            </w:pPr>
            <w:r w:rsidRPr="0019790A">
              <w:rPr>
                <w:rFonts w:cs="Arial"/>
                <w:szCs w:val="22"/>
              </w:rPr>
              <w:t>Відновити та оновити тренувальні зали, роздягальні, душові, підсобні приміщення.</w:t>
            </w:r>
          </w:p>
          <w:p w14:paraId="6113BE1B" w14:textId="77777777" w:rsidR="005342D5" w:rsidRPr="0019790A" w:rsidRDefault="005342D5" w:rsidP="00CD7662">
            <w:pPr>
              <w:numPr>
                <w:ilvl w:val="0"/>
                <w:numId w:val="91"/>
              </w:numPr>
              <w:tabs>
                <w:tab w:val="left" w:pos="239"/>
              </w:tabs>
              <w:ind w:left="0" w:firstLine="0"/>
              <w:jc w:val="both"/>
              <w:rPr>
                <w:rFonts w:cs="Arial"/>
                <w:szCs w:val="22"/>
              </w:rPr>
            </w:pPr>
            <w:r w:rsidRPr="0019790A">
              <w:rPr>
                <w:rFonts w:cs="Arial"/>
                <w:szCs w:val="22"/>
              </w:rPr>
              <w:t>Підвищити енергоефективність будівлі.</w:t>
            </w:r>
          </w:p>
          <w:p w14:paraId="4D710A11" w14:textId="77777777" w:rsidR="005342D5" w:rsidRPr="0019790A" w:rsidRDefault="005342D5" w:rsidP="00CD7662">
            <w:pPr>
              <w:numPr>
                <w:ilvl w:val="0"/>
                <w:numId w:val="91"/>
              </w:numPr>
              <w:tabs>
                <w:tab w:val="left" w:pos="239"/>
              </w:tabs>
              <w:ind w:left="0" w:firstLine="0"/>
              <w:jc w:val="both"/>
              <w:rPr>
                <w:rFonts w:cs="Arial"/>
                <w:szCs w:val="22"/>
              </w:rPr>
            </w:pPr>
            <w:r w:rsidRPr="0019790A">
              <w:rPr>
                <w:rFonts w:cs="Arial"/>
                <w:szCs w:val="22"/>
              </w:rPr>
              <w:t>Розширити доступ до занять спортом, включаючи інклюзивну складову.</w:t>
            </w:r>
          </w:p>
          <w:p w14:paraId="049C1C79" w14:textId="77777777" w:rsidR="005342D5" w:rsidRPr="0019790A" w:rsidRDefault="005342D5" w:rsidP="00CD7662">
            <w:pPr>
              <w:numPr>
                <w:ilvl w:val="0"/>
                <w:numId w:val="91"/>
              </w:numPr>
              <w:tabs>
                <w:tab w:val="left" w:pos="239"/>
              </w:tabs>
              <w:ind w:left="0" w:firstLine="0"/>
              <w:jc w:val="both"/>
              <w:rPr>
                <w:rFonts w:cs="Arial"/>
                <w:szCs w:val="22"/>
              </w:rPr>
            </w:pPr>
            <w:r w:rsidRPr="0019790A">
              <w:rPr>
                <w:rFonts w:cs="Arial"/>
                <w:szCs w:val="22"/>
              </w:rPr>
              <w:t>Створити сучасну мотиваційну інфраструктуру для дітей та молоді</w:t>
            </w:r>
          </w:p>
        </w:tc>
      </w:tr>
      <w:tr w:rsidR="005342D5" w:rsidRPr="0019790A" w14:paraId="1EFBE171" w14:textId="77777777" w:rsidTr="00CD7662">
        <w:trPr>
          <w:trHeight w:val="641"/>
          <w:jc w:val="right"/>
        </w:trPr>
        <w:tc>
          <w:tcPr>
            <w:tcW w:w="3425" w:type="dxa"/>
            <w:vAlign w:val="center"/>
          </w:tcPr>
          <w:p w14:paraId="4E54B82A" w14:textId="77777777" w:rsidR="005342D5" w:rsidRPr="0019790A" w:rsidRDefault="005342D5" w:rsidP="0019790A">
            <w:pPr>
              <w:rPr>
                <w:rFonts w:cs="Arial"/>
                <w:b/>
                <w:szCs w:val="22"/>
              </w:rPr>
            </w:pPr>
            <w:r w:rsidRPr="0019790A">
              <w:rPr>
                <w:rFonts w:cs="Arial"/>
                <w:b/>
                <w:szCs w:val="22"/>
              </w:rPr>
              <w:t>Територія на яку проєкт матиме вплив:</w:t>
            </w:r>
          </w:p>
        </w:tc>
        <w:tc>
          <w:tcPr>
            <w:tcW w:w="6794" w:type="dxa"/>
            <w:gridSpan w:val="8"/>
            <w:vAlign w:val="center"/>
          </w:tcPr>
          <w:p w14:paraId="232A0B2F" w14:textId="77777777" w:rsidR="005342D5" w:rsidRPr="0019790A" w:rsidRDefault="005342D5" w:rsidP="00CD7662">
            <w:pPr>
              <w:tabs>
                <w:tab w:val="left" w:pos="239"/>
              </w:tabs>
              <w:rPr>
                <w:rFonts w:cs="Arial"/>
                <w:szCs w:val="22"/>
              </w:rPr>
            </w:pPr>
            <w:r w:rsidRPr="0019790A">
              <w:rPr>
                <w:rFonts w:cs="Arial"/>
                <w:szCs w:val="22"/>
              </w:rPr>
              <w:t>Жмеринська міська територіальна громада</w:t>
            </w:r>
          </w:p>
        </w:tc>
      </w:tr>
      <w:tr w:rsidR="005342D5" w:rsidRPr="0019790A" w14:paraId="6122EB42" w14:textId="77777777" w:rsidTr="00CF3AAE">
        <w:trPr>
          <w:jc w:val="right"/>
        </w:trPr>
        <w:tc>
          <w:tcPr>
            <w:tcW w:w="3425" w:type="dxa"/>
            <w:vAlign w:val="center"/>
          </w:tcPr>
          <w:p w14:paraId="40047DF3" w14:textId="77777777" w:rsidR="005342D5" w:rsidRPr="0019790A" w:rsidRDefault="005342D5" w:rsidP="0019790A">
            <w:pPr>
              <w:rPr>
                <w:rFonts w:cs="Arial"/>
                <w:b/>
                <w:szCs w:val="22"/>
              </w:rPr>
            </w:pPr>
            <w:r w:rsidRPr="0019790A">
              <w:rPr>
                <w:rFonts w:cs="Arial"/>
                <w:b/>
                <w:szCs w:val="22"/>
              </w:rPr>
              <w:t>Цільові групи проєкту та кількість отримувачів вигоди</w:t>
            </w:r>
          </w:p>
        </w:tc>
        <w:tc>
          <w:tcPr>
            <w:tcW w:w="6794" w:type="dxa"/>
            <w:gridSpan w:val="8"/>
          </w:tcPr>
          <w:p w14:paraId="07609B36" w14:textId="77777777" w:rsidR="005342D5" w:rsidRPr="0019790A" w:rsidRDefault="005342D5" w:rsidP="00CD7662">
            <w:pPr>
              <w:numPr>
                <w:ilvl w:val="0"/>
                <w:numId w:val="92"/>
              </w:numPr>
              <w:tabs>
                <w:tab w:val="left" w:pos="239"/>
              </w:tabs>
              <w:ind w:left="0" w:firstLine="0"/>
              <w:jc w:val="both"/>
              <w:rPr>
                <w:rFonts w:cs="Arial"/>
                <w:bCs/>
                <w:szCs w:val="22"/>
              </w:rPr>
            </w:pPr>
            <w:r w:rsidRPr="0019790A">
              <w:rPr>
                <w:rFonts w:cs="Arial"/>
                <w:bCs/>
                <w:szCs w:val="22"/>
              </w:rPr>
              <w:t>Вихованці КЗ «ЖДЮСШ» (діти та підлітки)</w:t>
            </w:r>
          </w:p>
          <w:p w14:paraId="202F287B" w14:textId="77777777" w:rsidR="005342D5" w:rsidRPr="0019790A" w:rsidRDefault="005342D5" w:rsidP="00CD7662">
            <w:pPr>
              <w:numPr>
                <w:ilvl w:val="0"/>
                <w:numId w:val="92"/>
              </w:numPr>
              <w:tabs>
                <w:tab w:val="left" w:pos="239"/>
              </w:tabs>
              <w:ind w:left="0" w:firstLine="0"/>
              <w:jc w:val="both"/>
              <w:rPr>
                <w:rFonts w:cs="Arial"/>
                <w:bCs/>
                <w:szCs w:val="22"/>
              </w:rPr>
            </w:pPr>
            <w:r w:rsidRPr="0019790A">
              <w:rPr>
                <w:rFonts w:cs="Arial"/>
                <w:bCs/>
                <w:szCs w:val="22"/>
              </w:rPr>
              <w:t>Тренери, спортивні інструктори, викладачі</w:t>
            </w:r>
          </w:p>
          <w:p w14:paraId="4C30C38F" w14:textId="77777777" w:rsidR="005342D5" w:rsidRPr="0019790A" w:rsidRDefault="005342D5" w:rsidP="00CD7662">
            <w:pPr>
              <w:numPr>
                <w:ilvl w:val="0"/>
                <w:numId w:val="92"/>
              </w:numPr>
              <w:tabs>
                <w:tab w:val="left" w:pos="239"/>
              </w:tabs>
              <w:ind w:left="0" w:firstLine="0"/>
              <w:jc w:val="both"/>
              <w:rPr>
                <w:rFonts w:cs="Arial"/>
                <w:bCs/>
                <w:szCs w:val="22"/>
              </w:rPr>
            </w:pPr>
            <w:r w:rsidRPr="0019790A">
              <w:rPr>
                <w:rFonts w:cs="Arial"/>
                <w:bCs/>
                <w:szCs w:val="22"/>
              </w:rPr>
              <w:t>Батьки вихованців</w:t>
            </w:r>
          </w:p>
          <w:p w14:paraId="05CB2CBB" w14:textId="77777777" w:rsidR="005342D5" w:rsidRPr="0019790A" w:rsidRDefault="005342D5" w:rsidP="00CD7662">
            <w:pPr>
              <w:numPr>
                <w:ilvl w:val="0"/>
                <w:numId w:val="92"/>
              </w:numPr>
              <w:tabs>
                <w:tab w:val="left" w:pos="239"/>
              </w:tabs>
              <w:ind w:left="0" w:firstLine="0"/>
              <w:jc w:val="both"/>
              <w:rPr>
                <w:rFonts w:cs="Arial"/>
                <w:bCs/>
                <w:szCs w:val="22"/>
              </w:rPr>
            </w:pPr>
            <w:r w:rsidRPr="0019790A">
              <w:rPr>
                <w:rFonts w:cs="Arial"/>
                <w:bCs/>
                <w:szCs w:val="22"/>
              </w:rPr>
              <w:t>Мешканці громади, які користуються інфраструктурою школи</w:t>
            </w:r>
          </w:p>
          <w:p w14:paraId="5E7FA500" w14:textId="77777777" w:rsidR="005342D5" w:rsidRPr="0019790A" w:rsidRDefault="005342D5" w:rsidP="00CD7662">
            <w:pPr>
              <w:numPr>
                <w:ilvl w:val="0"/>
                <w:numId w:val="92"/>
              </w:numPr>
              <w:tabs>
                <w:tab w:val="left" w:pos="239"/>
              </w:tabs>
              <w:ind w:left="0" w:firstLine="0"/>
              <w:jc w:val="both"/>
              <w:rPr>
                <w:rFonts w:cs="Arial"/>
                <w:bCs/>
                <w:szCs w:val="22"/>
              </w:rPr>
            </w:pPr>
            <w:r w:rsidRPr="0019790A">
              <w:rPr>
                <w:rFonts w:cs="Arial"/>
                <w:bCs/>
                <w:szCs w:val="22"/>
              </w:rPr>
              <w:t>Потенційні нові учасники секцій</w:t>
            </w:r>
          </w:p>
          <w:p w14:paraId="61E9CB23" w14:textId="77777777" w:rsidR="005342D5" w:rsidRPr="0019790A" w:rsidRDefault="005342D5" w:rsidP="00CD7662">
            <w:pPr>
              <w:tabs>
                <w:tab w:val="left" w:pos="239"/>
              </w:tabs>
              <w:jc w:val="both"/>
              <w:rPr>
                <w:rFonts w:cs="Arial"/>
                <w:szCs w:val="22"/>
              </w:rPr>
            </w:pPr>
            <w:r w:rsidRPr="0019790A">
              <w:rPr>
                <w:rFonts w:cs="Arial"/>
                <w:b/>
                <w:szCs w:val="22"/>
              </w:rPr>
              <w:t>Кількість отримувачів вигоди</w:t>
            </w:r>
            <w:r w:rsidRPr="0019790A">
              <w:rPr>
                <w:rFonts w:cs="Arial"/>
                <w:szCs w:val="22"/>
              </w:rPr>
              <w:t xml:space="preserve"> </w:t>
            </w:r>
            <w:r w:rsidRPr="0019790A">
              <w:rPr>
                <w:rFonts w:cs="Arial"/>
                <w:b/>
                <w:szCs w:val="22"/>
              </w:rPr>
              <w:t>1000 осіб.</w:t>
            </w:r>
          </w:p>
        </w:tc>
      </w:tr>
      <w:tr w:rsidR="005342D5" w:rsidRPr="0019790A" w14:paraId="29B2C6B4" w14:textId="77777777" w:rsidTr="00CF3AAE">
        <w:trPr>
          <w:jc w:val="right"/>
        </w:trPr>
        <w:tc>
          <w:tcPr>
            <w:tcW w:w="3425" w:type="dxa"/>
            <w:shd w:val="clear" w:color="auto" w:fill="FFFFFF"/>
            <w:vAlign w:val="center"/>
          </w:tcPr>
          <w:p w14:paraId="13A83240" w14:textId="77777777" w:rsidR="005342D5" w:rsidRPr="0019790A" w:rsidRDefault="005342D5" w:rsidP="0019790A">
            <w:pPr>
              <w:rPr>
                <w:rFonts w:cs="Arial"/>
                <w:b/>
                <w:bCs/>
                <w:szCs w:val="22"/>
              </w:rPr>
            </w:pPr>
            <w:r w:rsidRPr="0019790A">
              <w:rPr>
                <w:rFonts w:cs="Arial"/>
                <w:b/>
                <w:bCs/>
                <w:szCs w:val="22"/>
              </w:rPr>
              <w:t>Стислий опис проєкту:</w:t>
            </w:r>
          </w:p>
        </w:tc>
        <w:tc>
          <w:tcPr>
            <w:tcW w:w="6794" w:type="dxa"/>
            <w:gridSpan w:val="8"/>
          </w:tcPr>
          <w:p w14:paraId="369C6A9C" w14:textId="33FB21C3" w:rsidR="005342D5" w:rsidRPr="0019790A" w:rsidRDefault="005342D5" w:rsidP="00CD7662">
            <w:pPr>
              <w:tabs>
                <w:tab w:val="left" w:pos="239"/>
              </w:tabs>
              <w:jc w:val="both"/>
              <w:rPr>
                <w:rFonts w:cs="Arial"/>
                <w:szCs w:val="22"/>
              </w:rPr>
            </w:pPr>
            <w:r w:rsidRPr="0019790A">
              <w:rPr>
                <w:rFonts w:cs="Arial"/>
                <w:szCs w:val="22"/>
              </w:rPr>
              <w:t xml:space="preserve">Проєкт передбачає капітальний ремонт з утепленням та часткову реконструкцію приміщень спортивної школи КЗ «ЖДЮСШ», зокрема: ремонт покрівлі, оновлення внутрішніх приміщень (підлоги, стіни, вікна, двері), утеплення, модернізація системи опалення, вентиляції, освітлення, сантехнічних вузлів. Також передбачено облаштування тренажерної зали, кімнат для відпочинку, </w:t>
            </w:r>
            <w:r w:rsidR="00CD7662" w:rsidRPr="0019790A">
              <w:rPr>
                <w:rFonts w:cs="Arial"/>
                <w:szCs w:val="22"/>
              </w:rPr>
              <w:t>роздягальнь</w:t>
            </w:r>
            <w:r w:rsidRPr="0019790A">
              <w:rPr>
                <w:rFonts w:cs="Arial"/>
                <w:szCs w:val="22"/>
              </w:rPr>
              <w:t xml:space="preserve"> із душовими, тренерських кімнат, інвентарних. Особливу увагу буде приділено створенню умов для дітей з інвалідністю та енергоефективності будівлі.</w:t>
            </w:r>
          </w:p>
        </w:tc>
      </w:tr>
      <w:tr w:rsidR="005342D5" w:rsidRPr="0019790A" w14:paraId="05F23E68" w14:textId="77777777" w:rsidTr="00CF3AAE">
        <w:trPr>
          <w:jc w:val="right"/>
        </w:trPr>
        <w:tc>
          <w:tcPr>
            <w:tcW w:w="3425" w:type="dxa"/>
            <w:shd w:val="clear" w:color="auto" w:fill="FFFFFF"/>
            <w:vAlign w:val="center"/>
          </w:tcPr>
          <w:p w14:paraId="4A7DADAC" w14:textId="77777777" w:rsidR="005342D5" w:rsidRPr="0019790A" w:rsidRDefault="005342D5" w:rsidP="0019790A">
            <w:pPr>
              <w:rPr>
                <w:rFonts w:cs="Arial"/>
                <w:b/>
                <w:bCs/>
                <w:szCs w:val="22"/>
              </w:rPr>
            </w:pPr>
            <w:r w:rsidRPr="0019790A">
              <w:rPr>
                <w:rFonts w:cs="Arial"/>
                <w:b/>
                <w:bCs/>
                <w:szCs w:val="22"/>
              </w:rPr>
              <w:t>Основні заходи проєкту:</w:t>
            </w:r>
          </w:p>
        </w:tc>
        <w:tc>
          <w:tcPr>
            <w:tcW w:w="6794" w:type="dxa"/>
            <w:gridSpan w:val="8"/>
          </w:tcPr>
          <w:p w14:paraId="527C87DC" w14:textId="77777777" w:rsidR="005342D5" w:rsidRPr="0019790A" w:rsidRDefault="005342D5" w:rsidP="00CD7662">
            <w:pPr>
              <w:numPr>
                <w:ilvl w:val="0"/>
                <w:numId w:val="93"/>
              </w:numPr>
              <w:tabs>
                <w:tab w:val="left" w:pos="239"/>
              </w:tabs>
              <w:ind w:left="0" w:firstLine="0"/>
              <w:jc w:val="both"/>
              <w:rPr>
                <w:rFonts w:cs="Arial"/>
                <w:szCs w:val="22"/>
              </w:rPr>
            </w:pPr>
            <w:r w:rsidRPr="0019790A">
              <w:rPr>
                <w:rFonts w:cs="Arial"/>
                <w:szCs w:val="22"/>
              </w:rPr>
              <w:t>Обстеження технічного стану будівлі, проєктно-кошторисна документація.</w:t>
            </w:r>
          </w:p>
          <w:p w14:paraId="0E74DDBD" w14:textId="77777777" w:rsidR="005342D5" w:rsidRPr="0019790A" w:rsidRDefault="005342D5" w:rsidP="00CD7662">
            <w:pPr>
              <w:numPr>
                <w:ilvl w:val="0"/>
                <w:numId w:val="93"/>
              </w:numPr>
              <w:tabs>
                <w:tab w:val="left" w:pos="239"/>
              </w:tabs>
              <w:ind w:left="0" w:firstLine="0"/>
              <w:jc w:val="both"/>
              <w:rPr>
                <w:rFonts w:cs="Arial"/>
                <w:szCs w:val="22"/>
              </w:rPr>
            </w:pPr>
            <w:r w:rsidRPr="0019790A">
              <w:rPr>
                <w:rFonts w:cs="Arial"/>
                <w:szCs w:val="22"/>
              </w:rPr>
              <w:t>Капітальний ремонт з утепленням (даху, підлог, стін, комунікацій, вікон, дверей).</w:t>
            </w:r>
          </w:p>
          <w:p w14:paraId="346B54D5" w14:textId="77777777" w:rsidR="005342D5" w:rsidRPr="0019790A" w:rsidRDefault="005342D5" w:rsidP="00CD7662">
            <w:pPr>
              <w:numPr>
                <w:ilvl w:val="0"/>
                <w:numId w:val="93"/>
              </w:numPr>
              <w:tabs>
                <w:tab w:val="left" w:pos="239"/>
              </w:tabs>
              <w:ind w:left="0" w:firstLine="0"/>
              <w:jc w:val="both"/>
              <w:rPr>
                <w:rFonts w:cs="Arial"/>
                <w:szCs w:val="22"/>
              </w:rPr>
            </w:pPr>
            <w:r w:rsidRPr="0019790A">
              <w:rPr>
                <w:rFonts w:cs="Arial"/>
                <w:szCs w:val="22"/>
              </w:rPr>
              <w:t>Встановлення системи опалення, освітлення, вентиляції.</w:t>
            </w:r>
          </w:p>
          <w:p w14:paraId="14A23990" w14:textId="71D92672" w:rsidR="005342D5" w:rsidRPr="0019790A" w:rsidRDefault="005342D5" w:rsidP="00CD7662">
            <w:pPr>
              <w:numPr>
                <w:ilvl w:val="0"/>
                <w:numId w:val="93"/>
              </w:numPr>
              <w:tabs>
                <w:tab w:val="left" w:pos="239"/>
              </w:tabs>
              <w:ind w:left="0" w:firstLine="0"/>
              <w:jc w:val="both"/>
              <w:rPr>
                <w:rFonts w:cs="Arial"/>
                <w:szCs w:val="22"/>
              </w:rPr>
            </w:pPr>
            <w:r w:rsidRPr="0019790A">
              <w:rPr>
                <w:rFonts w:cs="Arial"/>
                <w:szCs w:val="22"/>
              </w:rPr>
              <w:t xml:space="preserve">Ремонт та облаштування </w:t>
            </w:r>
            <w:r w:rsidR="00CD7662" w:rsidRPr="0019790A">
              <w:rPr>
                <w:rFonts w:cs="Arial"/>
                <w:szCs w:val="22"/>
              </w:rPr>
              <w:t>роздягальнь</w:t>
            </w:r>
            <w:r w:rsidRPr="0019790A">
              <w:rPr>
                <w:rFonts w:cs="Arial"/>
                <w:szCs w:val="22"/>
              </w:rPr>
              <w:t>, душових, санвузлів.</w:t>
            </w:r>
          </w:p>
          <w:p w14:paraId="2E86F60C" w14:textId="77777777" w:rsidR="005342D5" w:rsidRPr="0019790A" w:rsidRDefault="005342D5" w:rsidP="00CD7662">
            <w:pPr>
              <w:numPr>
                <w:ilvl w:val="0"/>
                <w:numId w:val="93"/>
              </w:numPr>
              <w:tabs>
                <w:tab w:val="left" w:pos="239"/>
              </w:tabs>
              <w:ind w:left="0" w:firstLine="0"/>
              <w:jc w:val="both"/>
              <w:rPr>
                <w:rFonts w:cs="Arial"/>
                <w:szCs w:val="22"/>
              </w:rPr>
            </w:pPr>
            <w:r w:rsidRPr="0019790A">
              <w:rPr>
                <w:rFonts w:cs="Arial"/>
                <w:szCs w:val="22"/>
              </w:rPr>
              <w:t>Ремонт спортивних залів, монтаж безпечного покриття.</w:t>
            </w:r>
          </w:p>
          <w:p w14:paraId="0A99EEB3" w14:textId="77777777" w:rsidR="005342D5" w:rsidRPr="0019790A" w:rsidRDefault="005342D5" w:rsidP="00CD7662">
            <w:pPr>
              <w:numPr>
                <w:ilvl w:val="0"/>
                <w:numId w:val="93"/>
              </w:numPr>
              <w:tabs>
                <w:tab w:val="left" w:pos="239"/>
              </w:tabs>
              <w:ind w:left="0" w:firstLine="0"/>
              <w:jc w:val="both"/>
              <w:rPr>
                <w:rFonts w:cs="Arial"/>
                <w:szCs w:val="22"/>
              </w:rPr>
            </w:pPr>
            <w:r w:rsidRPr="0019790A">
              <w:rPr>
                <w:rFonts w:cs="Arial"/>
                <w:szCs w:val="22"/>
              </w:rPr>
              <w:t>Придбання нових меблів, інвентарю, спортобладнання.</w:t>
            </w:r>
          </w:p>
          <w:p w14:paraId="4E66EF51" w14:textId="77777777" w:rsidR="005342D5" w:rsidRPr="0019790A" w:rsidRDefault="005342D5" w:rsidP="00CD7662">
            <w:pPr>
              <w:numPr>
                <w:ilvl w:val="0"/>
                <w:numId w:val="93"/>
              </w:numPr>
              <w:tabs>
                <w:tab w:val="left" w:pos="239"/>
              </w:tabs>
              <w:ind w:left="0" w:firstLine="0"/>
              <w:jc w:val="both"/>
              <w:rPr>
                <w:rFonts w:cs="Arial"/>
                <w:szCs w:val="22"/>
              </w:rPr>
            </w:pPr>
            <w:r w:rsidRPr="0019790A">
              <w:rPr>
                <w:rFonts w:cs="Arial"/>
                <w:szCs w:val="22"/>
              </w:rPr>
              <w:t>Забезпечення доступності (пандуси, тактильна навігація тощо).</w:t>
            </w:r>
          </w:p>
          <w:p w14:paraId="5DF7C94C" w14:textId="77777777" w:rsidR="005342D5" w:rsidRPr="0019790A" w:rsidRDefault="005342D5" w:rsidP="00CD7662">
            <w:pPr>
              <w:numPr>
                <w:ilvl w:val="0"/>
                <w:numId w:val="93"/>
              </w:numPr>
              <w:tabs>
                <w:tab w:val="left" w:pos="239"/>
              </w:tabs>
              <w:ind w:left="0" w:firstLine="0"/>
              <w:jc w:val="both"/>
              <w:rPr>
                <w:rFonts w:cs="Arial"/>
                <w:szCs w:val="22"/>
              </w:rPr>
            </w:pPr>
            <w:r w:rsidRPr="0019790A">
              <w:rPr>
                <w:rFonts w:cs="Arial"/>
                <w:szCs w:val="22"/>
              </w:rPr>
              <w:t>Оздоблювальні та благоустроєві роботи, зонування території.</w:t>
            </w:r>
          </w:p>
        </w:tc>
      </w:tr>
      <w:tr w:rsidR="005342D5" w:rsidRPr="0019790A" w14:paraId="397D730B" w14:textId="77777777" w:rsidTr="00CF3AAE">
        <w:trPr>
          <w:jc w:val="right"/>
        </w:trPr>
        <w:tc>
          <w:tcPr>
            <w:tcW w:w="3425" w:type="dxa"/>
            <w:shd w:val="clear" w:color="auto" w:fill="FFFFFF"/>
            <w:vAlign w:val="center"/>
          </w:tcPr>
          <w:p w14:paraId="3950CE6F" w14:textId="77777777" w:rsidR="005342D5" w:rsidRPr="0019790A" w:rsidRDefault="005342D5" w:rsidP="0019790A">
            <w:pPr>
              <w:rPr>
                <w:rFonts w:cs="Arial"/>
                <w:b/>
                <w:bCs/>
                <w:szCs w:val="22"/>
              </w:rPr>
            </w:pPr>
            <w:r w:rsidRPr="0019790A">
              <w:rPr>
                <w:rFonts w:cs="Arial"/>
                <w:b/>
                <w:bCs/>
                <w:szCs w:val="22"/>
              </w:rPr>
              <w:t>Індикатори (показники) результативності:</w:t>
            </w:r>
          </w:p>
        </w:tc>
        <w:tc>
          <w:tcPr>
            <w:tcW w:w="6794" w:type="dxa"/>
            <w:gridSpan w:val="8"/>
          </w:tcPr>
          <w:p w14:paraId="6C0C4A12" w14:textId="77777777" w:rsidR="005342D5" w:rsidRPr="0019790A" w:rsidRDefault="005342D5" w:rsidP="00CD7662">
            <w:pPr>
              <w:numPr>
                <w:ilvl w:val="0"/>
                <w:numId w:val="94"/>
              </w:numPr>
              <w:tabs>
                <w:tab w:val="left" w:pos="239"/>
              </w:tabs>
              <w:ind w:left="0" w:firstLine="0"/>
              <w:jc w:val="both"/>
              <w:rPr>
                <w:rFonts w:cs="Arial"/>
                <w:szCs w:val="22"/>
              </w:rPr>
            </w:pPr>
            <w:r w:rsidRPr="0019790A">
              <w:rPr>
                <w:rFonts w:cs="Arial"/>
                <w:szCs w:val="22"/>
              </w:rPr>
              <w:t>Відремонтовано спортивні і службові приміщення.</w:t>
            </w:r>
          </w:p>
          <w:p w14:paraId="2E8274E6" w14:textId="77777777" w:rsidR="005342D5" w:rsidRPr="0019790A" w:rsidRDefault="005342D5" w:rsidP="00CD7662">
            <w:pPr>
              <w:numPr>
                <w:ilvl w:val="0"/>
                <w:numId w:val="94"/>
              </w:numPr>
              <w:tabs>
                <w:tab w:val="left" w:pos="239"/>
              </w:tabs>
              <w:ind w:left="0" w:firstLine="0"/>
              <w:jc w:val="both"/>
              <w:rPr>
                <w:rFonts w:cs="Arial"/>
                <w:szCs w:val="22"/>
              </w:rPr>
            </w:pPr>
            <w:r w:rsidRPr="0019790A">
              <w:rPr>
                <w:rFonts w:cs="Arial"/>
                <w:szCs w:val="22"/>
              </w:rPr>
              <w:t xml:space="preserve">Забезпечено </w:t>
            </w:r>
            <w:r w:rsidRPr="0019790A">
              <w:rPr>
                <w:rFonts w:cs="Arial"/>
                <w:bCs/>
                <w:szCs w:val="22"/>
              </w:rPr>
              <w:t>належні умови для занять понад 500 вихованців</w:t>
            </w:r>
            <w:r w:rsidRPr="0019790A">
              <w:rPr>
                <w:rFonts w:cs="Arial"/>
                <w:szCs w:val="22"/>
              </w:rPr>
              <w:t xml:space="preserve"> щорічно.</w:t>
            </w:r>
          </w:p>
          <w:p w14:paraId="5DCB65CF" w14:textId="77777777" w:rsidR="005342D5" w:rsidRPr="0019790A" w:rsidRDefault="005342D5" w:rsidP="00CD7662">
            <w:pPr>
              <w:numPr>
                <w:ilvl w:val="0"/>
                <w:numId w:val="94"/>
              </w:numPr>
              <w:tabs>
                <w:tab w:val="left" w:pos="239"/>
              </w:tabs>
              <w:ind w:left="0" w:firstLine="0"/>
              <w:jc w:val="both"/>
              <w:rPr>
                <w:rFonts w:cs="Arial"/>
                <w:szCs w:val="22"/>
              </w:rPr>
            </w:pPr>
            <w:r w:rsidRPr="0019790A">
              <w:rPr>
                <w:rFonts w:cs="Arial"/>
                <w:szCs w:val="22"/>
              </w:rPr>
              <w:t>Підвищено енергоефективність об'єкта (зменшення витрат на комунальні послуги до 30%).</w:t>
            </w:r>
          </w:p>
          <w:p w14:paraId="5F0D9043" w14:textId="77777777" w:rsidR="005342D5" w:rsidRPr="0019790A" w:rsidRDefault="005342D5" w:rsidP="00CD7662">
            <w:pPr>
              <w:numPr>
                <w:ilvl w:val="0"/>
                <w:numId w:val="94"/>
              </w:numPr>
              <w:tabs>
                <w:tab w:val="left" w:pos="239"/>
              </w:tabs>
              <w:ind w:left="0" w:firstLine="0"/>
              <w:jc w:val="both"/>
              <w:rPr>
                <w:rFonts w:cs="Arial"/>
                <w:szCs w:val="22"/>
              </w:rPr>
            </w:pPr>
            <w:r w:rsidRPr="0019790A">
              <w:rPr>
                <w:rFonts w:cs="Arial"/>
                <w:szCs w:val="22"/>
              </w:rPr>
              <w:t xml:space="preserve">Поліпшено умови праці для </w:t>
            </w:r>
            <w:r w:rsidRPr="0019790A">
              <w:rPr>
                <w:rFonts w:cs="Arial"/>
                <w:bCs/>
                <w:szCs w:val="22"/>
              </w:rPr>
              <w:t>10+ тренерів та персоналу</w:t>
            </w:r>
            <w:r w:rsidRPr="0019790A">
              <w:rPr>
                <w:rFonts w:cs="Arial"/>
                <w:szCs w:val="22"/>
              </w:rPr>
              <w:t>.</w:t>
            </w:r>
          </w:p>
          <w:p w14:paraId="266440EB" w14:textId="77777777" w:rsidR="005342D5" w:rsidRPr="0019790A" w:rsidRDefault="005342D5" w:rsidP="00CD7662">
            <w:pPr>
              <w:numPr>
                <w:ilvl w:val="0"/>
                <w:numId w:val="94"/>
              </w:numPr>
              <w:tabs>
                <w:tab w:val="left" w:pos="239"/>
              </w:tabs>
              <w:ind w:left="0" w:firstLine="0"/>
              <w:jc w:val="both"/>
              <w:rPr>
                <w:rFonts w:cs="Arial"/>
                <w:szCs w:val="22"/>
              </w:rPr>
            </w:pPr>
            <w:r w:rsidRPr="0019790A">
              <w:rPr>
                <w:rFonts w:cs="Arial"/>
                <w:szCs w:val="22"/>
              </w:rPr>
              <w:t>Підвищено рівень задоволеності учасників освітнього процесу.</w:t>
            </w:r>
          </w:p>
          <w:p w14:paraId="6F1B4465" w14:textId="77777777" w:rsidR="005342D5" w:rsidRPr="0019790A" w:rsidRDefault="005342D5" w:rsidP="00CD7662">
            <w:pPr>
              <w:numPr>
                <w:ilvl w:val="0"/>
                <w:numId w:val="94"/>
              </w:numPr>
              <w:tabs>
                <w:tab w:val="left" w:pos="239"/>
              </w:tabs>
              <w:ind w:left="0" w:firstLine="0"/>
              <w:jc w:val="both"/>
              <w:rPr>
                <w:rFonts w:cs="Arial"/>
                <w:szCs w:val="22"/>
              </w:rPr>
            </w:pPr>
            <w:r w:rsidRPr="0019790A">
              <w:rPr>
                <w:rFonts w:cs="Arial"/>
                <w:szCs w:val="22"/>
              </w:rPr>
              <w:t xml:space="preserve">Створено </w:t>
            </w:r>
            <w:r w:rsidRPr="0019790A">
              <w:rPr>
                <w:rFonts w:cs="Arial"/>
                <w:bCs/>
                <w:szCs w:val="22"/>
              </w:rPr>
              <w:t>доступність для дітей з інвалідністю</w:t>
            </w:r>
            <w:r w:rsidRPr="0019790A">
              <w:rPr>
                <w:rFonts w:cs="Arial"/>
                <w:szCs w:val="22"/>
              </w:rPr>
              <w:t xml:space="preserve"> (1-й поверх, пандус, туалетна кімната).</w:t>
            </w:r>
          </w:p>
          <w:p w14:paraId="041BCC68" w14:textId="77777777" w:rsidR="005342D5" w:rsidRPr="0019790A" w:rsidRDefault="005342D5" w:rsidP="00CD7662">
            <w:pPr>
              <w:numPr>
                <w:ilvl w:val="0"/>
                <w:numId w:val="94"/>
              </w:numPr>
              <w:tabs>
                <w:tab w:val="left" w:pos="239"/>
              </w:tabs>
              <w:ind w:left="0" w:firstLine="0"/>
              <w:jc w:val="both"/>
              <w:rPr>
                <w:rFonts w:cs="Arial"/>
                <w:szCs w:val="22"/>
              </w:rPr>
            </w:pPr>
            <w:r w:rsidRPr="0019790A">
              <w:rPr>
                <w:rFonts w:cs="Arial"/>
                <w:szCs w:val="22"/>
              </w:rPr>
              <w:t>Розширено спектр спортивних секцій та тренувань.</w:t>
            </w:r>
          </w:p>
        </w:tc>
      </w:tr>
      <w:tr w:rsidR="005342D5" w:rsidRPr="0019790A" w14:paraId="58FB6B32" w14:textId="77777777" w:rsidTr="00CF3AAE">
        <w:trPr>
          <w:jc w:val="right"/>
        </w:trPr>
        <w:tc>
          <w:tcPr>
            <w:tcW w:w="3425" w:type="dxa"/>
            <w:shd w:val="clear" w:color="auto" w:fill="FFFFFF"/>
            <w:vAlign w:val="center"/>
          </w:tcPr>
          <w:p w14:paraId="1CB34EDB" w14:textId="77777777" w:rsidR="005342D5" w:rsidRPr="0019790A" w:rsidRDefault="005342D5" w:rsidP="0019790A">
            <w:pPr>
              <w:rPr>
                <w:rFonts w:cs="Arial"/>
                <w:b/>
                <w:szCs w:val="22"/>
              </w:rPr>
            </w:pPr>
            <w:r w:rsidRPr="0019790A">
              <w:rPr>
                <w:rFonts w:cs="Arial"/>
                <w:b/>
                <w:szCs w:val="22"/>
              </w:rPr>
              <w:t xml:space="preserve">Період здійснення: </w:t>
            </w:r>
          </w:p>
        </w:tc>
        <w:tc>
          <w:tcPr>
            <w:tcW w:w="6794" w:type="dxa"/>
            <w:gridSpan w:val="8"/>
            <w:vAlign w:val="center"/>
          </w:tcPr>
          <w:p w14:paraId="25E4E394" w14:textId="77777777" w:rsidR="005342D5" w:rsidRPr="0019790A" w:rsidRDefault="005342D5" w:rsidP="00CD7662">
            <w:pPr>
              <w:tabs>
                <w:tab w:val="left" w:pos="239"/>
              </w:tabs>
              <w:jc w:val="both"/>
              <w:rPr>
                <w:rFonts w:cs="Arial"/>
                <w:szCs w:val="22"/>
              </w:rPr>
            </w:pPr>
            <w:r w:rsidRPr="0019790A">
              <w:rPr>
                <w:rFonts w:cs="Arial"/>
                <w:b/>
                <w:szCs w:val="22"/>
              </w:rPr>
              <w:t>2025 – 2028 роки:</w:t>
            </w:r>
          </w:p>
        </w:tc>
      </w:tr>
      <w:tr w:rsidR="005342D5" w:rsidRPr="0019790A" w14:paraId="72477209" w14:textId="77777777" w:rsidTr="00CD7662">
        <w:trPr>
          <w:jc w:val="right"/>
        </w:trPr>
        <w:tc>
          <w:tcPr>
            <w:tcW w:w="3425" w:type="dxa"/>
            <w:vMerge w:val="restart"/>
            <w:shd w:val="clear" w:color="auto" w:fill="FFFFFF"/>
            <w:vAlign w:val="center"/>
          </w:tcPr>
          <w:p w14:paraId="404C537A" w14:textId="77777777" w:rsidR="005342D5" w:rsidRPr="0019790A" w:rsidRDefault="005342D5" w:rsidP="0019790A">
            <w:pPr>
              <w:rPr>
                <w:rFonts w:cs="Arial"/>
                <w:b/>
                <w:bCs/>
                <w:szCs w:val="22"/>
              </w:rPr>
            </w:pPr>
            <w:r w:rsidRPr="0019790A">
              <w:rPr>
                <w:rFonts w:cs="Arial"/>
                <w:b/>
                <w:bCs/>
                <w:szCs w:val="22"/>
              </w:rPr>
              <w:t>Орієнтовна вартість проєкту, тис. грн., в тому числі:</w:t>
            </w:r>
          </w:p>
        </w:tc>
        <w:tc>
          <w:tcPr>
            <w:tcW w:w="1254" w:type="dxa"/>
            <w:gridSpan w:val="2"/>
            <w:shd w:val="clear" w:color="auto" w:fill="E6E6E6"/>
            <w:vAlign w:val="center"/>
          </w:tcPr>
          <w:p w14:paraId="4B2B41E4" w14:textId="77777777" w:rsidR="005342D5" w:rsidRPr="0019790A" w:rsidRDefault="005342D5" w:rsidP="00CD7662">
            <w:pPr>
              <w:jc w:val="center"/>
              <w:rPr>
                <w:rFonts w:cs="Arial"/>
                <w:b/>
                <w:szCs w:val="22"/>
              </w:rPr>
            </w:pPr>
            <w:r w:rsidRPr="0019790A">
              <w:rPr>
                <w:rFonts w:cs="Arial"/>
                <w:b/>
                <w:szCs w:val="22"/>
              </w:rPr>
              <w:t>2025</w:t>
            </w:r>
          </w:p>
        </w:tc>
        <w:tc>
          <w:tcPr>
            <w:tcW w:w="1275" w:type="dxa"/>
            <w:shd w:val="clear" w:color="auto" w:fill="E6E6E6"/>
            <w:vAlign w:val="center"/>
          </w:tcPr>
          <w:p w14:paraId="558BA81C" w14:textId="77777777" w:rsidR="005342D5" w:rsidRPr="0019790A" w:rsidRDefault="005342D5" w:rsidP="00CD7662">
            <w:pPr>
              <w:jc w:val="center"/>
              <w:rPr>
                <w:rFonts w:cs="Arial"/>
                <w:b/>
                <w:szCs w:val="22"/>
              </w:rPr>
            </w:pPr>
            <w:r w:rsidRPr="0019790A">
              <w:rPr>
                <w:rFonts w:cs="Arial"/>
                <w:b/>
                <w:szCs w:val="22"/>
              </w:rPr>
              <w:t>2026</w:t>
            </w:r>
          </w:p>
        </w:tc>
        <w:tc>
          <w:tcPr>
            <w:tcW w:w="1418" w:type="dxa"/>
            <w:gridSpan w:val="2"/>
            <w:tcBorders>
              <w:bottom w:val="single" w:sz="4" w:space="0" w:color="auto"/>
            </w:tcBorders>
            <w:shd w:val="clear" w:color="auto" w:fill="E6E6E6"/>
            <w:vAlign w:val="center"/>
          </w:tcPr>
          <w:p w14:paraId="69BD23AB" w14:textId="77777777" w:rsidR="005342D5" w:rsidRPr="0019790A" w:rsidRDefault="005342D5" w:rsidP="00CD7662">
            <w:pPr>
              <w:jc w:val="center"/>
              <w:rPr>
                <w:rFonts w:cs="Arial"/>
                <w:b/>
                <w:szCs w:val="22"/>
              </w:rPr>
            </w:pPr>
            <w:r w:rsidRPr="0019790A">
              <w:rPr>
                <w:rFonts w:cs="Arial"/>
                <w:b/>
                <w:szCs w:val="22"/>
              </w:rPr>
              <w:t>2027</w:t>
            </w:r>
          </w:p>
        </w:tc>
        <w:tc>
          <w:tcPr>
            <w:tcW w:w="1276" w:type="dxa"/>
            <w:shd w:val="clear" w:color="auto" w:fill="E6E6E6"/>
            <w:vAlign w:val="center"/>
          </w:tcPr>
          <w:p w14:paraId="180E4DBC" w14:textId="77777777" w:rsidR="005342D5" w:rsidRPr="0019790A" w:rsidRDefault="005342D5" w:rsidP="00CD7662">
            <w:pPr>
              <w:jc w:val="center"/>
              <w:rPr>
                <w:rFonts w:cs="Arial"/>
                <w:b/>
                <w:szCs w:val="22"/>
              </w:rPr>
            </w:pPr>
            <w:r w:rsidRPr="0019790A">
              <w:rPr>
                <w:rFonts w:cs="Arial"/>
                <w:b/>
                <w:szCs w:val="22"/>
              </w:rPr>
              <w:t>2028</w:t>
            </w:r>
          </w:p>
        </w:tc>
        <w:tc>
          <w:tcPr>
            <w:tcW w:w="1571" w:type="dxa"/>
            <w:gridSpan w:val="2"/>
            <w:shd w:val="clear" w:color="auto" w:fill="E6E6E6"/>
            <w:vAlign w:val="center"/>
          </w:tcPr>
          <w:p w14:paraId="77C8ED60" w14:textId="77777777" w:rsidR="005342D5" w:rsidRPr="0019790A" w:rsidRDefault="005342D5" w:rsidP="00CD7662">
            <w:pPr>
              <w:jc w:val="center"/>
              <w:rPr>
                <w:rFonts w:cs="Arial"/>
                <w:b/>
                <w:szCs w:val="22"/>
              </w:rPr>
            </w:pPr>
            <w:r w:rsidRPr="0019790A">
              <w:rPr>
                <w:rFonts w:cs="Arial"/>
                <w:b/>
                <w:szCs w:val="22"/>
              </w:rPr>
              <w:t>РАЗОМ</w:t>
            </w:r>
          </w:p>
        </w:tc>
      </w:tr>
      <w:tr w:rsidR="005342D5" w:rsidRPr="0019790A" w14:paraId="005E066A" w14:textId="77777777" w:rsidTr="00CD7662">
        <w:trPr>
          <w:jc w:val="right"/>
        </w:trPr>
        <w:tc>
          <w:tcPr>
            <w:tcW w:w="3425" w:type="dxa"/>
            <w:vMerge/>
            <w:shd w:val="clear" w:color="auto" w:fill="FFFFFF"/>
            <w:vAlign w:val="center"/>
          </w:tcPr>
          <w:p w14:paraId="39EEAE58" w14:textId="77777777" w:rsidR="005342D5" w:rsidRPr="0019790A" w:rsidRDefault="005342D5" w:rsidP="0019790A">
            <w:pPr>
              <w:rPr>
                <w:rFonts w:cs="Arial"/>
                <w:b/>
                <w:bCs/>
                <w:szCs w:val="22"/>
              </w:rPr>
            </w:pPr>
          </w:p>
        </w:tc>
        <w:tc>
          <w:tcPr>
            <w:tcW w:w="1254" w:type="dxa"/>
            <w:gridSpan w:val="2"/>
            <w:vAlign w:val="center"/>
          </w:tcPr>
          <w:p w14:paraId="14A32F2D" w14:textId="77777777" w:rsidR="005342D5" w:rsidRPr="0019790A" w:rsidRDefault="005342D5" w:rsidP="00CD7662">
            <w:pPr>
              <w:jc w:val="center"/>
              <w:rPr>
                <w:rFonts w:cs="Arial"/>
                <w:b/>
                <w:szCs w:val="22"/>
              </w:rPr>
            </w:pPr>
          </w:p>
        </w:tc>
        <w:tc>
          <w:tcPr>
            <w:tcW w:w="1275" w:type="dxa"/>
            <w:shd w:val="clear" w:color="auto" w:fill="FFFFFF"/>
            <w:vAlign w:val="center"/>
          </w:tcPr>
          <w:p w14:paraId="53559695" w14:textId="77777777" w:rsidR="005342D5" w:rsidRPr="0019790A" w:rsidRDefault="005342D5" w:rsidP="00CD7662">
            <w:pPr>
              <w:jc w:val="center"/>
              <w:rPr>
                <w:rFonts w:cs="Arial"/>
                <w:b/>
                <w:szCs w:val="22"/>
              </w:rPr>
            </w:pPr>
            <w:r w:rsidRPr="0019790A">
              <w:rPr>
                <w:rFonts w:cs="Arial"/>
                <w:b/>
                <w:szCs w:val="22"/>
              </w:rPr>
              <w:t>30000,0</w:t>
            </w:r>
          </w:p>
        </w:tc>
        <w:tc>
          <w:tcPr>
            <w:tcW w:w="1418" w:type="dxa"/>
            <w:gridSpan w:val="2"/>
            <w:shd w:val="clear" w:color="auto" w:fill="auto"/>
            <w:vAlign w:val="center"/>
          </w:tcPr>
          <w:p w14:paraId="157EA5AD" w14:textId="77777777" w:rsidR="005342D5" w:rsidRPr="0019790A" w:rsidRDefault="005342D5" w:rsidP="00CD7662">
            <w:pPr>
              <w:jc w:val="center"/>
              <w:rPr>
                <w:rFonts w:cs="Arial"/>
                <w:b/>
                <w:szCs w:val="22"/>
              </w:rPr>
            </w:pPr>
          </w:p>
        </w:tc>
        <w:tc>
          <w:tcPr>
            <w:tcW w:w="1276" w:type="dxa"/>
            <w:shd w:val="clear" w:color="auto" w:fill="FFFFFF"/>
            <w:vAlign w:val="center"/>
          </w:tcPr>
          <w:p w14:paraId="36A6A5A1" w14:textId="77777777" w:rsidR="005342D5" w:rsidRPr="0019790A" w:rsidRDefault="005342D5" w:rsidP="00CD7662">
            <w:pPr>
              <w:jc w:val="center"/>
              <w:rPr>
                <w:rFonts w:cs="Arial"/>
                <w:b/>
                <w:szCs w:val="22"/>
              </w:rPr>
            </w:pPr>
          </w:p>
        </w:tc>
        <w:tc>
          <w:tcPr>
            <w:tcW w:w="1571" w:type="dxa"/>
            <w:gridSpan w:val="2"/>
            <w:shd w:val="clear" w:color="auto" w:fill="FFFFFF"/>
            <w:vAlign w:val="center"/>
          </w:tcPr>
          <w:p w14:paraId="322CEBC7" w14:textId="77777777" w:rsidR="005342D5" w:rsidRPr="0019790A" w:rsidRDefault="005342D5" w:rsidP="00CD7662">
            <w:pPr>
              <w:jc w:val="center"/>
              <w:rPr>
                <w:rFonts w:cs="Arial"/>
                <w:b/>
                <w:szCs w:val="22"/>
              </w:rPr>
            </w:pPr>
            <w:r w:rsidRPr="0019790A">
              <w:rPr>
                <w:rFonts w:cs="Arial"/>
                <w:b/>
                <w:szCs w:val="22"/>
              </w:rPr>
              <w:t>30 000,0</w:t>
            </w:r>
          </w:p>
        </w:tc>
      </w:tr>
      <w:tr w:rsidR="005342D5" w:rsidRPr="0019790A" w14:paraId="45F454E0" w14:textId="77777777" w:rsidTr="00CD7662">
        <w:trPr>
          <w:trHeight w:val="276"/>
          <w:jc w:val="right"/>
        </w:trPr>
        <w:tc>
          <w:tcPr>
            <w:tcW w:w="3425" w:type="dxa"/>
            <w:shd w:val="clear" w:color="auto" w:fill="FFFFFF"/>
            <w:vAlign w:val="center"/>
          </w:tcPr>
          <w:p w14:paraId="3228D12C" w14:textId="77777777" w:rsidR="005342D5" w:rsidRPr="0019790A" w:rsidRDefault="005342D5" w:rsidP="0019790A">
            <w:pPr>
              <w:rPr>
                <w:rFonts w:cs="Arial"/>
                <w:b/>
                <w:bCs/>
                <w:szCs w:val="22"/>
              </w:rPr>
            </w:pPr>
            <w:r w:rsidRPr="0019790A">
              <w:rPr>
                <w:rFonts w:cs="Arial"/>
                <w:b/>
                <w:bCs/>
                <w:szCs w:val="22"/>
              </w:rPr>
              <w:t>по джерелах фінансування:</w:t>
            </w:r>
          </w:p>
        </w:tc>
        <w:tc>
          <w:tcPr>
            <w:tcW w:w="6794" w:type="dxa"/>
            <w:gridSpan w:val="8"/>
            <w:vAlign w:val="center"/>
          </w:tcPr>
          <w:p w14:paraId="62ED5575" w14:textId="77777777" w:rsidR="005342D5" w:rsidRPr="0019790A" w:rsidRDefault="005342D5" w:rsidP="00CD7662">
            <w:pPr>
              <w:jc w:val="center"/>
              <w:rPr>
                <w:rFonts w:cs="Arial"/>
                <w:szCs w:val="22"/>
              </w:rPr>
            </w:pPr>
          </w:p>
        </w:tc>
      </w:tr>
      <w:tr w:rsidR="00CD7662" w:rsidRPr="0019790A" w14:paraId="2DD89BC5" w14:textId="30B43123" w:rsidTr="00CD7662">
        <w:trPr>
          <w:trHeight w:val="240"/>
          <w:jc w:val="right"/>
        </w:trPr>
        <w:tc>
          <w:tcPr>
            <w:tcW w:w="3425" w:type="dxa"/>
            <w:shd w:val="clear" w:color="auto" w:fill="FFFFFF"/>
            <w:vAlign w:val="center"/>
          </w:tcPr>
          <w:p w14:paraId="4968FA61" w14:textId="77777777" w:rsidR="00CD7662" w:rsidRPr="0019790A" w:rsidRDefault="00CD7662" w:rsidP="0019790A">
            <w:pPr>
              <w:rPr>
                <w:rFonts w:cs="Arial"/>
                <w:b/>
                <w:bCs/>
                <w:szCs w:val="22"/>
              </w:rPr>
            </w:pPr>
            <w:r w:rsidRPr="0019790A">
              <w:rPr>
                <w:rFonts w:cs="Arial"/>
                <w:szCs w:val="22"/>
              </w:rPr>
              <w:t>- державний бюджет</w:t>
            </w:r>
          </w:p>
        </w:tc>
        <w:tc>
          <w:tcPr>
            <w:tcW w:w="1238" w:type="dxa"/>
            <w:vAlign w:val="center"/>
          </w:tcPr>
          <w:p w14:paraId="5B5A2F62" w14:textId="77777777" w:rsidR="00CD7662" w:rsidRPr="0019790A" w:rsidRDefault="00CD7662" w:rsidP="00CD7662">
            <w:pPr>
              <w:jc w:val="center"/>
              <w:rPr>
                <w:rFonts w:cs="Arial"/>
                <w:szCs w:val="22"/>
              </w:rPr>
            </w:pPr>
          </w:p>
        </w:tc>
        <w:tc>
          <w:tcPr>
            <w:tcW w:w="1296" w:type="dxa"/>
            <w:gridSpan w:val="2"/>
            <w:vAlign w:val="center"/>
          </w:tcPr>
          <w:p w14:paraId="1ADC1D02" w14:textId="77777777" w:rsidR="00CD7662" w:rsidRPr="0019790A" w:rsidRDefault="00CD7662" w:rsidP="00CD7662">
            <w:pPr>
              <w:jc w:val="center"/>
              <w:rPr>
                <w:rFonts w:cs="Arial"/>
                <w:szCs w:val="22"/>
              </w:rPr>
            </w:pPr>
          </w:p>
        </w:tc>
        <w:tc>
          <w:tcPr>
            <w:tcW w:w="1382" w:type="dxa"/>
            <w:vAlign w:val="center"/>
          </w:tcPr>
          <w:p w14:paraId="07250B01" w14:textId="77777777" w:rsidR="00CD7662" w:rsidRPr="0019790A" w:rsidRDefault="00CD7662" w:rsidP="00CD7662">
            <w:pPr>
              <w:jc w:val="center"/>
              <w:rPr>
                <w:rFonts w:cs="Arial"/>
                <w:szCs w:val="22"/>
              </w:rPr>
            </w:pPr>
          </w:p>
        </w:tc>
        <w:tc>
          <w:tcPr>
            <w:tcW w:w="1325" w:type="dxa"/>
            <w:gridSpan w:val="3"/>
            <w:vAlign w:val="center"/>
          </w:tcPr>
          <w:p w14:paraId="7E723703" w14:textId="77777777" w:rsidR="00CD7662" w:rsidRPr="0019790A" w:rsidRDefault="00CD7662" w:rsidP="00CD7662">
            <w:pPr>
              <w:jc w:val="center"/>
              <w:rPr>
                <w:rFonts w:cs="Arial"/>
                <w:szCs w:val="22"/>
              </w:rPr>
            </w:pPr>
          </w:p>
        </w:tc>
        <w:tc>
          <w:tcPr>
            <w:tcW w:w="1553" w:type="dxa"/>
            <w:vAlign w:val="center"/>
          </w:tcPr>
          <w:p w14:paraId="0BCDDCF1" w14:textId="77777777" w:rsidR="00CD7662" w:rsidRPr="0019790A" w:rsidRDefault="00CD7662" w:rsidP="00CD7662">
            <w:pPr>
              <w:jc w:val="center"/>
              <w:rPr>
                <w:rFonts w:cs="Arial"/>
                <w:szCs w:val="22"/>
              </w:rPr>
            </w:pPr>
          </w:p>
        </w:tc>
      </w:tr>
      <w:tr w:rsidR="00CD7662" w:rsidRPr="0019790A" w14:paraId="1514BFFC" w14:textId="0D2D5666" w:rsidTr="00CD7662">
        <w:trPr>
          <w:trHeight w:val="287"/>
          <w:jc w:val="right"/>
        </w:trPr>
        <w:tc>
          <w:tcPr>
            <w:tcW w:w="3425" w:type="dxa"/>
            <w:shd w:val="clear" w:color="auto" w:fill="FFFFFF"/>
            <w:vAlign w:val="center"/>
          </w:tcPr>
          <w:p w14:paraId="69DC8DE2" w14:textId="77777777" w:rsidR="00CD7662" w:rsidRPr="0019790A" w:rsidRDefault="00CD7662" w:rsidP="0019790A">
            <w:pPr>
              <w:rPr>
                <w:rFonts w:cs="Arial"/>
                <w:szCs w:val="22"/>
              </w:rPr>
            </w:pPr>
            <w:r w:rsidRPr="0019790A">
              <w:rPr>
                <w:rFonts w:cs="Arial"/>
                <w:szCs w:val="22"/>
              </w:rPr>
              <w:t>- обласний бюджет</w:t>
            </w:r>
          </w:p>
        </w:tc>
        <w:tc>
          <w:tcPr>
            <w:tcW w:w="1238" w:type="dxa"/>
            <w:vAlign w:val="center"/>
          </w:tcPr>
          <w:p w14:paraId="4D3C1594" w14:textId="2F55C75F" w:rsidR="00CD7662" w:rsidRPr="0019790A" w:rsidRDefault="00CD7662" w:rsidP="00CD7662">
            <w:pPr>
              <w:jc w:val="center"/>
              <w:rPr>
                <w:rFonts w:cs="Arial"/>
                <w:szCs w:val="22"/>
              </w:rPr>
            </w:pPr>
          </w:p>
        </w:tc>
        <w:tc>
          <w:tcPr>
            <w:tcW w:w="1296" w:type="dxa"/>
            <w:gridSpan w:val="2"/>
            <w:vAlign w:val="center"/>
          </w:tcPr>
          <w:p w14:paraId="315C1293" w14:textId="10D9FA01" w:rsidR="00CD7662" w:rsidRPr="0019790A" w:rsidRDefault="00CD7662" w:rsidP="00CD7662">
            <w:pPr>
              <w:ind w:left="45"/>
              <w:jc w:val="center"/>
              <w:rPr>
                <w:rFonts w:cs="Arial"/>
                <w:szCs w:val="22"/>
              </w:rPr>
            </w:pPr>
            <w:r w:rsidRPr="0019790A">
              <w:rPr>
                <w:rFonts w:cs="Arial"/>
                <w:szCs w:val="22"/>
              </w:rPr>
              <w:t>25000,0</w:t>
            </w:r>
          </w:p>
        </w:tc>
        <w:tc>
          <w:tcPr>
            <w:tcW w:w="1382" w:type="dxa"/>
            <w:vAlign w:val="center"/>
          </w:tcPr>
          <w:p w14:paraId="346E5719" w14:textId="162F8311" w:rsidR="00CD7662" w:rsidRPr="0019790A" w:rsidRDefault="00CD7662" w:rsidP="00CD7662">
            <w:pPr>
              <w:jc w:val="center"/>
              <w:rPr>
                <w:rFonts w:cs="Arial"/>
                <w:szCs w:val="22"/>
              </w:rPr>
            </w:pPr>
          </w:p>
        </w:tc>
        <w:tc>
          <w:tcPr>
            <w:tcW w:w="1325" w:type="dxa"/>
            <w:gridSpan w:val="3"/>
            <w:vAlign w:val="center"/>
          </w:tcPr>
          <w:p w14:paraId="37723985" w14:textId="013785DA" w:rsidR="00CD7662" w:rsidRPr="0019790A" w:rsidRDefault="00CD7662" w:rsidP="00CD7662">
            <w:pPr>
              <w:jc w:val="center"/>
              <w:rPr>
                <w:rFonts w:cs="Arial"/>
                <w:szCs w:val="22"/>
              </w:rPr>
            </w:pPr>
          </w:p>
        </w:tc>
        <w:tc>
          <w:tcPr>
            <w:tcW w:w="1553" w:type="dxa"/>
            <w:vAlign w:val="center"/>
          </w:tcPr>
          <w:p w14:paraId="1F584B2B" w14:textId="4B3667C3" w:rsidR="00CD7662" w:rsidRPr="0019790A" w:rsidRDefault="00CD7662" w:rsidP="00CD7662">
            <w:pPr>
              <w:ind w:left="282"/>
              <w:jc w:val="center"/>
              <w:rPr>
                <w:rFonts w:cs="Arial"/>
                <w:szCs w:val="22"/>
              </w:rPr>
            </w:pPr>
            <w:r w:rsidRPr="0019790A">
              <w:rPr>
                <w:rFonts w:cs="Arial"/>
                <w:szCs w:val="22"/>
              </w:rPr>
              <w:t>25 000,0</w:t>
            </w:r>
          </w:p>
        </w:tc>
      </w:tr>
      <w:tr w:rsidR="00CD7662" w:rsidRPr="0019790A" w14:paraId="24105DE5" w14:textId="78456A59" w:rsidTr="00CD7662">
        <w:trPr>
          <w:trHeight w:val="275"/>
          <w:jc w:val="right"/>
        </w:trPr>
        <w:tc>
          <w:tcPr>
            <w:tcW w:w="3425" w:type="dxa"/>
            <w:shd w:val="clear" w:color="auto" w:fill="FFFFFF"/>
            <w:vAlign w:val="center"/>
          </w:tcPr>
          <w:p w14:paraId="5815EBA1" w14:textId="77777777" w:rsidR="00CD7662" w:rsidRPr="0019790A" w:rsidRDefault="00CD7662" w:rsidP="0019790A">
            <w:pPr>
              <w:rPr>
                <w:rFonts w:cs="Arial"/>
                <w:szCs w:val="22"/>
              </w:rPr>
            </w:pPr>
            <w:r w:rsidRPr="0019790A">
              <w:rPr>
                <w:rFonts w:cs="Arial"/>
                <w:szCs w:val="22"/>
              </w:rPr>
              <w:t>- бюджет Жмеринської МТГ</w:t>
            </w:r>
          </w:p>
        </w:tc>
        <w:tc>
          <w:tcPr>
            <w:tcW w:w="1238" w:type="dxa"/>
            <w:vAlign w:val="center"/>
          </w:tcPr>
          <w:p w14:paraId="5BFD6B75" w14:textId="4424C2C5" w:rsidR="00CD7662" w:rsidRPr="00CD7662" w:rsidRDefault="00CD7662" w:rsidP="00CD7662">
            <w:pPr>
              <w:jc w:val="center"/>
              <w:rPr>
                <w:rFonts w:cs="Arial"/>
                <w:szCs w:val="22"/>
              </w:rPr>
            </w:pPr>
          </w:p>
        </w:tc>
        <w:tc>
          <w:tcPr>
            <w:tcW w:w="1296" w:type="dxa"/>
            <w:gridSpan w:val="2"/>
            <w:vAlign w:val="center"/>
          </w:tcPr>
          <w:p w14:paraId="3CA8C046" w14:textId="007ACB8B" w:rsidR="00CD7662" w:rsidRPr="00CD7662" w:rsidRDefault="00CD7662" w:rsidP="00CD7662">
            <w:pPr>
              <w:ind w:left="45"/>
              <w:jc w:val="center"/>
              <w:rPr>
                <w:rFonts w:cs="Arial"/>
                <w:szCs w:val="22"/>
              </w:rPr>
            </w:pPr>
            <w:r w:rsidRPr="00CD7662">
              <w:rPr>
                <w:rFonts w:cs="Arial"/>
                <w:szCs w:val="22"/>
              </w:rPr>
              <w:t>5000,0</w:t>
            </w:r>
          </w:p>
        </w:tc>
        <w:tc>
          <w:tcPr>
            <w:tcW w:w="1382" w:type="dxa"/>
            <w:vAlign w:val="center"/>
          </w:tcPr>
          <w:p w14:paraId="51B92143" w14:textId="2FF5905D" w:rsidR="00CD7662" w:rsidRPr="00CD7662" w:rsidRDefault="00CD7662" w:rsidP="00CD7662">
            <w:pPr>
              <w:jc w:val="center"/>
              <w:rPr>
                <w:rFonts w:cs="Arial"/>
                <w:szCs w:val="22"/>
              </w:rPr>
            </w:pPr>
          </w:p>
        </w:tc>
        <w:tc>
          <w:tcPr>
            <w:tcW w:w="1325" w:type="dxa"/>
            <w:gridSpan w:val="3"/>
            <w:vAlign w:val="center"/>
          </w:tcPr>
          <w:p w14:paraId="312C4197" w14:textId="364E719E" w:rsidR="00CD7662" w:rsidRPr="00CD7662" w:rsidRDefault="00CD7662" w:rsidP="00CD7662">
            <w:pPr>
              <w:jc w:val="center"/>
              <w:rPr>
                <w:rFonts w:cs="Arial"/>
                <w:szCs w:val="22"/>
              </w:rPr>
            </w:pPr>
          </w:p>
        </w:tc>
        <w:tc>
          <w:tcPr>
            <w:tcW w:w="1553" w:type="dxa"/>
            <w:vAlign w:val="center"/>
          </w:tcPr>
          <w:p w14:paraId="1A0DC641" w14:textId="781E1D14" w:rsidR="00CD7662" w:rsidRPr="00CD7662" w:rsidRDefault="00CD7662" w:rsidP="00CD7662">
            <w:pPr>
              <w:ind w:left="282"/>
              <w:jc w:val="center"/>
              <w:rPr>
                <w:rFonts w:cs="Arial"/>
                <w:szCs w:val="22"/>
              </w:rPr>
            </w:pPr>
            <w:r w:rsidRPr="00CD7662">
              <w:rPr>
                <w:rFonts w:cs="Arial"/>
                <w:szCs w:val="22"/>
              </w:rPr>
              <w:t>5 000,0</w:t>
            </w:r>
          </w:p>
        </w:tc>
      </w:tr>
      <w:tr w:rsidR="00CD7662" w:rsidRPr="0019790A" w14:paraId="21A69F93" w14:textId="5AA23496" w:rsidTr="00CD7662">
        <w:trPr>
          <w:trHeight w:val="226"/>
          <w:jc w:val="right"/>
        </w:trPr>
        <w:tc>
          <w:tcPr>
            <w:tcW w:w="3425" w:type="dxa"/>
            <w:shd w:val="clear" w:color="auto" w:fill="FFFFFF"/>
            <w:vAlign w:val="center"/>
          </w:tcPr>
          <w:p w14:paraId="22EECD5F" w14:textId="77777777" w:rsidR="00CD7662" w:rsidRPr="0019790A" w:rsidRDefault="00CD7662" w:rsidP="0019790A">
            <w:pPr>
              <w:rPr>
                <w:rFonts w:cs="Arial"/>
                <w:szCs w:val="22"/>
              </w:rPr>
            </w:pPr>
            <w:r w:rsidRPr="0019790A">
              <w:rPr>
                <w:rFonts w:cs="Arial"/>
                <w:szCs w:val="22"/>
              </w:rPr>
              <w:t>- інші джерела фінансування</w:t>
            </w:r>
          </w:p>
        </w:tc>
        <w:tc>
          <w:tcPr>
            <w:tcW w:w="1238" w:type="dxa"/>
            <w:vAlign w:val="center"/>
          </w:tcPr>
          <w:p w14:paraId="3E496B50" w14:textId="77777777" w:rsidR="00CD7662" w:rsidRPr="0019790A" w:rsidRDefault="00CD7662" w:rsidP="00CD7662">
            <w:pPr>
              <w:jc w:val="center"/>
              <w:rPr>
                <w:rFonts w:cs="Arial"/>
                <w:szCs w:val="22"/>
              </w:rPr>
            </w:pPr>
          </w:p>
        </w:tc>
        <w:tc>
          <w:tcPr>
            <w:tcW w:w="1296" w:type="dxa"/>
            <w:gridSpan w:val="2"/>
            <w:vAlign w:val="center"/>
          </w:tcPr>
          <w:p w14:paraId="674163CB" w14:textId="77777777" w:rsidR="00CD7662" w:rsidRPr="0019790A" w:rsidRDefault="00CD7662" w:rsidP="00CD7662">
            <w:pPr>
              <w:jc w:val="center"/>
              <w:rPr>
                <w:rFonts w:cs="Arial"/>
                <w:szCs w:val="22"/>
              </w:rPr>
            </w:pPr>
          </w:p>
        </w:tc>
        <w:tc>
          <w:tcPr>
            <w:tcW w:w="1382" w:type="dxa"/>
            <w:vAlign w:val="center"/>
          </w:tcPr>
          <w:p w14:paraId="58EF23E1" w14:textId="77777777" w:rsidR="00CD7662" w:rsidRPr="0019790A" w:rsidRDefault="00CD7662" w:rsidP="00CD7662">
            <w:pPr>
              <w:jc w:val="center"/>
              <w:rPr>
                <w:rFonts w:cs="Arial"/>
                <w:szCs w:val="22"/>
              </w:rPr>
            </w:pPr>
          </w:p>
        </w:tc>
        <w:tc>
          <w:tcPr>
            <w:tcW w:w="1325" w:type="dxa"/>
            <w:gridSpan w:val="3"/>
            <w:vAlign w:val="center"/>
          </w:tcPr>
          <w:p w14:paraId="0AB669C0" w14:textId="77777777" w:rsidR="00CD7662" w:rsidRPr="0019790A" w:rsidRDefault="00CD7662" w:rsidP="00CD7662">
            <w:pPr>
              <w:jc w:val="center"/>
              <w:rPr>
                <w:rFonts w:cs="Arial"/>
                <w:szCs w:val="22"/>
              </w:rPr>
            </w:pPr>
          </w:p>
        </w:tc>
        <w:tc>
          <w:tcPr>
            <w:tcW w:w="1553" w:type="dxa"/>
            <w:vAlign w:val="center"/>
          </w:tcPr>
          <w:p w14:paraId="1BC85029" w14:textId="77777777" w:rsidR="00CD7662" w:rsidRPr="0019790A" w:rsidRDefault="00CD7662" w:rsidP="00CD7662">
            <w:pPr>
              <w:jc w:val="center"/>
              <w:rPr>
                <w:rFonts w:cs="Arial"/>
                <w:szCs w:val="22"/>
              </w:rPr>
            </w:pPr>
          </w:p>
        </w:tc>
      </w:tr>
      <w:tr w:rsidR="005342D5" w:rsidRPr="0019790A" w14:paraId="37C1CDC7" w14:textId="77777777" w:rsidTr="00CF3AAE">
        <w:trPr>
          <w:jc w:val="right"/>
        </w:trPr>
        <w:tc>
          <w:tcPr>
            <w:tcW w:w="3425" w:type="dxa"/>
            <w:shd w:val="clear" w:color="auto" w:fill="FFFFFF"/>
            <w:vAlign w:val="center"/>
          </w:tcPr>
          <w:p w14:paraId="10449722" w14:textId="77777777" w:rsidR="005342D5" w:rsidRPr="0019790A" w:rsidRDefault="005342D5" w:rsidP="0019790A">
            <w:pPr>
              <w:rPr>
                <w:rFonts w:cs="Arial"/>
                <w:b/>
                <w:bCs/>
                <w:szCs w:val="22"/>
              </w:rPr>
            </w:pPr>
            <w:r w:rsidRPr="0019790A">
              <w:rPr>
                <w:rFonts w:cs="Arial"/>
                <w:b/>
                <w:szCs w:val="22"/>
              </w:rPr>
              <w:t>Відповідальний виконавець проєкту:</w:t>
            </w:r>
          </w:p>
        </w:tc>
        <w:tc>
          <w:tcPr>
            <w:tcW w:w="6794" w:type="dxa"/>
            <w:gridSpan w:val="8"/>
            <w:vAlign w:val="center"/>
          </w:tcPr>
          <w:p w14:paraId="75401DBD" w14:textId="1784817B" w:rsidR="005342D5" w:rsidRPr="0019790A" w:rsidRDefault="005342D5" w:rsidP="00CD7662">
            <w:pPr>
              <w:rPr>
                <w:rFonts w:cs="Arial"/>
                <w:szCs w:val="22"/>
              </w:rPr>
            </w:pPr>
            <w:r w:rsidRPr="0019790A">
              <w:rPr>
                <w:rFonts w:cs="Arial"/>
                <w:szCs w:val="22"/>
              </w:rPr>
              <w:t xml:space="preserve">Управління житлово-комунального господарства Жмеринської міської ради, КЗ «ЖДЮСШ» </w:t>
            </w:r>
          </w:p>
        </w:tc>
      </w:tr>
      <w:tr w:rsidR="005342D5" w:rsidRPr="0019790A" w14:paraId="6C5CDFF4" w14:textId="77777777" w:rsidTr="00CF3AAE">
        <w:trPr>
          <w:jc w:val="right"/>
        </w:trPr>
        <w:tc>
          <w:tcPr>
            <w:tcW w:w="3425" w:type="dxa"/>
            <w:shd w:val="clear" w:color="auto" w:fill="FFFFFF"/>
            <w:vAlign w:val="center"/>
          </w:tcPr>
          <w:p w14:paraId="21001759" w14:textId="77777777" w:rsidR="005342D5" w:rsidRPr="0019790A" w:rsidRDefault="005342D5" w:rsidP="0019790A">
            <w:pPr>
              <w:rPr>
                <w:rFonts w:cs="Arial"/>
                <w:b/>
                <w:bCs/>
                <w:szCs w:val="22"/>
              </w:rPr>
            </w:pPr>
            <w:r w:rsidRPr="0019790A">
              <w:rPr>
                <w:rFonts w:cs="Arial"/>
                <w:b/>
                <w:bCs/>
                <w:szCs w:val="22"/>
              </w:rPr>
              <w:t>Інше:</w:t>
            </w:r>
          </w:p>
        </w:tc>
        <w:tc>
          <w:tcPr>
            <w:tcW w:w="6794" w:type="dxa"/>
            <w:gridSpan w:val="8"/>
            <w:vAlign w:val="center"/>
          </w:tcPr>
          <w:p w14:paraId="761DB2AF" w14:textId="77777777" w:rsidR="005342D5" w:rsidRPr="0019790A" w:rsidRDefault="005342D5" w:rsidP="0019790A">
            <w:pPr>
              <w:rPr>
                <w:rFonts w:cs="Arial"/>
                <w:szCs w:val="22"/>
              </w:rPr>
            </w:pPr>
          </w:p>
        </w:tc>
      </w:tr>
    </w:tbl>
    <w:p w14:paraId="42088190" w14:textId="77777777" w:rsidR="005342D5" w:rsidRPr="0019790A" w:rsidRDefault="005342D5" w:rsidP="0019790A">
      <w:pPr>
        <w:ind w:firstLine="708"/>
        <w:rPr>
          <w:rFonts w:cs="Arial"/>
          <w:szCs w:val="22"/>
        </w:rPr>
      </w:pPr>
    </w:p>
    <w:p w14:paraId="5B5F36C5" w14:textId="77777777" w:rsidR="005342D5" w:rsidRPr="0019790A" w:rsidRDefault="005342D5" w:rsidP="0019790A">
      <w:pPr>
        <w:rPr>
          <w:rFonts w:cs="Arial"/>
          <w:szCs w:val="22"/>
        </w:rPr>
      </w:pPr>
    </w:p>
    <w:p w14:paraId="7642B82A" w14:textId="77777777" w:rsidR="005342D5" w:rsidRPr="0019790A" w:rsidRDefault="005342D5" w:rsidP="0019790A">
      <w:pPr>
        <w:jc w:val="center"/>
        <w:rPr>
          <w:rFonts w:cs="Arial"/>
          <w:b/>
          <w:szCs w:val="22"/>
        </w:rPr>
      </w:pPr>
      <w:r w:rsidRPr="0019790A">
        <w:rPr>
          <w:rFonts w:cs="Arial"/>
          <w:b/>
          <w:szCs w:val="22"/>
        </w:rPr>
        <w:t>Форма технічного завдання на проєкт місцевого розвитку</w:t>
      </w:r>
    </w:p>
    <w:p w14:paraId="78A0209C" w14:textId="77777777" w:rsidR="005342D5" w:rsidRPr="0019790A" w:rsidRDefault="005342D5" w:rsidP="0019790A">
      <w:pPr>
        <w:jc w:val="center"/>
        <w:rPr>
          <w:rFonts w:cs="Arial"/>
          <w:b/>
          <w:szCs w:val="22"/>
        </w:rPr>
      </w:pPr>
      <w:r w:rsidRPr="0019790A">
        <w:rPr>
          <w:rFonts w:cs="Arial"/>
          <w:b/>
          <w:szCs w:val="22"/>
        </w:rPr>
        <w:t>до Плану заходів з реалізації Стратегії</w:t>
      </w:r>
    </w:p>
    <w:p w14:paraId="320FFC88" w14:textId="77777777" w:rsidR="005342D5" w:rsidRPr="0019790A" w:rsidRDefault="005342D5"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3"/>
        <w:gridCol w:w="1248"/>
        <w:gridCol w:w="6"/>
        <w:gridCol w:w="1275"/>
        <w:gridCol w:w="1417"/>
        <w:gridCol w:w="22"/>
        <w:gridCol w:w="1254"/>
        <w:gridCol w:w="32"/>
        <w:gridCol w:w="1542"/>
      </w:tblGrid>
      <w:tr w:rsidR="005342D5" w:rsidRPr="0019790A" w14:paraId="38C87E1B" w14:textId="77777777" w:rsidTr="00CD7662">
        <w:trPr>
          <w:trHeight w:val="571"/>
          <w:jc w:val="right"/>
        </w:trPr>
        <w:tc>
          <w:tcPr>
            <w:tcW w:w="3425" w:type="dxa"/>
            <w:vAlign w:val="center"/>
          </w:tcPr>
          <w:p w14:paraId="2A57AAA0" w14:textId="77777777" w:rsidR="005342D5" w:rsidRPr="0019790A" w:rsidRDefault="005342D5" w:rsidP="00CD7662">
            <w:pPr>
              <w:rPr>
                <w:rFonts w:cs="Arial"/>
                <w:b/>
                <w:bCs/>
                <w:szCs w:val="22"/>
              </w:rPr>
            </w:pPr>
            <w:r w:rsidRPr="0019790A">
              <w:rPr>
                <w:rFonts w:cs="Arial"/>
                <w:b/>
                <w:bCs/>
                <w:szCs w:val="22"/>
              </w:rPr>
              <w:t>Назва проєкту:</w:t>
            </w:r>
          </w:p>
        </w:tc>
        <w:tc>
          <w:tcPr>
            <w:tcW w:w="6794" w:type="dxa"/>
            <w:gridSpan w:val="8"/>
            <w:vAlign w:val="center"/>
          </w:tcPr>
          <w:p w14:paraId="00397EF7" w14:textId="0D6D7C1C" w:rsidR="005342D5" w:rsidRPr="00CD7662" w:rsidRDefault="005342D5" w:rsidP="00CD7662">
            <w:pPr>
              <w:jc w:val="both"/>
              <w:rPr>
                <w:rFonts w:cs="Arial"/>
                <w:b/>
                <w:szCs w:val="22"/>
              </w:rPr>
            </w:pPr>
            <w:r w:rsidRPr="00CD7662">
              <w:rPr>
                <w:rFonts w:cs="Arial"/>
                <w:b/>
                <w:szCs w:val="22"/>
              </w:rPr>
              <w:t>Сильна база — сильні результати: оновлення матеріально-технічного забезпечення спортивних залів КЗ "ЖДЮСШ"</w:t>
            </w:r>
          </w:p>
        </w:tc>
      </w:tr>
      <w:tr w:rsidR="005342D5" w:rsidRPr="0019790A" w14:paraId="63DF3D45" w14:textId="77777777" w:rsidTr="00CD7662">
        <w:trPr>
          <w:jc w:val="right"/>
        </w:trPr>
        <w:tc>
          <w:tcPr>
            <w:tcW w:w="3425" w:type="dxa"/>
          </w:tcPr>
          <w:p w14:paraId="7E9AAA5F" w14:textId="77777777" w:rsidR="005342D5" w:rsidRPr="0019790A" w:rsidRDefault="005342D5" w:rsidP="0019790A">
            <w:pPr>
              <w:rPr>
                <w:rFonts w:cs="Arial"/>
                <w:szCs w:val="22"/>
              </w:rPr>
            </w:pPr>
            <w:r w:rsidRPr="0019790A">
              <w:rPr>
                <w:rFonts w:cs="Arial"/>
                <w:b/>
                <w:bCs/>
                <w:szCs w:val="22"/>
              </w:rPr>
              <w:t>Ваші контакти</w:t>
            </w:r>
            <w:r w:rsidRPr="0019790A">
              <w:rPr>
                <w:rFonts w:cs="Arial"/>
                <w:szCs w:val="22"/>
              </w:rPr>
              <w:t>:</w:t>
            </w:r>
          </w:p>
          <w:p w14:paraId="0E870191" w14:textId="77777777" w:rsidR="005342D5" w:rsidRPr="0019790A" w:rsidRDefault="005342D5" w:rsidP="0019790A">
            <w:pPr>
              <w:rPr>
                <w:rFonts w:cs="Arial"/>
                <w:b/>
                <w:bCs/>
                <w:szCs w:val="22"/>
              </w:rPr>
            </w:pPr>
            <w:r w:rsidRPr="0019790A">
              <w:rPr>
                <w:rFonts w:cs="Arial"/>
                <w:szCs w:val="22"/>
              </w:rPr>
              <w:t>Назва установи, організації, підприємства</w:t>
            </w:r>
          </w:p>
        </w:tc>
        <w:tc>
          <w:tcPr>
            <w:tcW w:w="6794" w:type="dxa"/>
            <w:gridSpan w:val="8"/>
            <w:vAlign w:val="center"/>
          </w:tcPr>
          <w:p w14:paraId="6C53BF4F" w14:textId="77777777" w:rsidR="005342D5" w:rsidRPr="0019790A" w:rsidRDefault="005342D5" w:rsidP="00CD7662">
            <w:pPr>
              <w:tabs>
                <w:tab w:val="left" w:pos="171"/>
                <w:tab w:val="left" w:pos="392"/>
              </w:tabs>
              <w:jc w:val="both"/>
              <w:rPr>
                <w:rFonts w:cs="Arial"/>
                <w:szCs w:val="22"/>
              </w:rPr>
            </w:pPr>
            <w:r w:rsidRPr="0019790A">
              <w:rPr>
                <w:rFonts w:cs="Arial"/>
                <w:szCs w:val="22"/>
              </w:rPr>
              <w:t>Відділ молоді та спорту Жмеринської міської ради</w:t>
            </w:r>
          </w:p>
        </w:tc>
      </w:tr>
      <w:tr w:rsidR="005342D5" w:rsidRPr="0019790A" w14:paraId="5094EE3C" w14:textId="77777777" w:rsidTr="00CD7662">
        <w:trPr>
          <w:jc w:val="right"/>
        </w:trPr>
        <w:tc>
          <w:tcPr>
            <w:tcW w:w="3425" w:type="dxa"/>
          </w:tcPr>
          <w:p w14:paraId="063E7EC6" w14:textId="77777777" w:rsidR="005342D5" w:rsidRPr="0019790A" w:rsidRDefault="005342D5" w:rsidP="0019790A">
            <w:pPr>
              <w:rPr>
                <w:rFonts w:cs="Arial"/>
                <w:b/>
                <w:bCs/>
                <w:szCs w:val="22"/>
              </w:rPr>
            </w:pPr>
            <w:r w:rsidRPr="0019790A">
              <w:rPr>
                <w:rFonts w:cs="Arial"/>
                <w:szCs w:val="22"/>
              </w:rPr>
              <w:t>Прізвище Ім’я По-батькові:</w:t>
            </w:r>
          </w:p>
        </w:tc>
        <w:tc>
          <w:tcPr>
            <w:tcW w:w="6794" w:type="dxa"/>
            <w:gridSpan w:val="8"/>
            <w:vAlign w:val="center"/>
          </w:tcPr>
          <w:p w14:paraId="26922B54" w14:textId="77777777" w:rsidR="005342D5" w:rsidRPr="0019790A" w:rsidRDefault="005342D5" w:rsidP="00CD7662">
            <w:pPr>
              <w:tabs>
                <w:tab w:val="left" w:pos="171"/>
                <w:tab w:val="left" w:pos="392"/>
              </w:tabs>
              <w:jc w:val="both"/>
              <w:rPr>
                <w:rFonts w:cs="Arial"/>
                <w:szCs w:val="22"/>
              </w:rPr>
            </w:pPr>
            <w:r w:rsidRPr="0019790A">
              <w:rPr>
                <w:rFonts w:cs="Arial"/>
                <w:szCs w:val="22"/>
              </w:rPr>
              <w:t>Ковальська Олена Віталіївна</w:t>
            </w:r>
          </w:p>
        </w:tc>
      </w:tr>
      <w:tr w:rsidR="005342D5" w:rsidRPr="0019790A" w14:paraId="175426D5" w14:textId="77777777" w:rsidTr="00CD7662">
        <w:trPr>
          <w:jc w:val="right"/>
        </w:trPr>
        <w:tc>
          <w:tcPr>
            <w:tcW w:w="3425" w:type="dxa"/>
          </w:tcPr>
          <w:p w14:paraId="7C8460E4" w14:textId="77777777" w:rsidR="005342D5" w:rsidRPr="0019790A" w:rsidRDefault="005342D5" w:rsidP="0019790A">
            <w:pPr>
              <w:rPr>
                <w:rFonts w:cs="Arial"/>
                <w:b/>
                <w:bCs/>
                <w:szCs w:val="22"/>
              </w:rPr>
            </w:pPr>
            <w:r w:rsidRPr="0019790A">
              <w:rPr>
                <w:rFonts w:cs="Arial"/>
                <w:szCs w:val="22"/>
              </w:rPr>
              <w:t>Телефон (мобільний):</w:t>
            </w:r>
          </w:p>
        </w:tc>
        <w:tc>
          <w:tcPr>
            <w:tcW w:w="6794" w:type="dxa"/>
            <w:gridSpan w:val="8"/>
            <w:vAlign w:val="center"/>
          </w:tcPr>
          <w:p w14:paraId="7D85F6A6" w14:textId="77777777" w:rsidR="005342D5" w:rsidRPr="0019790A" w:rsidRDefault="005342D5" w:rsidP="00CD7662">
            <w:pPr>
              <w:tabs>
                <w:tab w:val="left" w:pos="171"/>
                <w:tab w:val="left" w:pos="392"/>
              </w:tabs>
              <w:jc w:val="both"/>
              <w:rPr>
                <w:rFonts w:cs="Arial"/>
                <w:szCs w:val="22"/>
              </w:rPr>
            </w:pPr>
            <w:r w:rsidRPr="0019790A">
              <w:rPr>
                <w:rFonts w:cs="Arial"/>
                <w:szCs w:val="22"/>
              </w:rPr>
              <w:t>096-068-94-79</w:t>
            </w:r>
          </w:p>
        </w:tc>
      </w:tr>
      <w:tr w:rsidR="005342D5" w:rsidRPr="0019790A" w14:paraId="14E16DF5" w14:textId="77777777" w:rsidTr="00CD7662">
        <w:trPr>
          <w:jc w:val="right"/>
        </w:trPr>
        <w:tc>
          <w:tcPr>
            <w:tcW w:w="3425" w:type="dxa"/>
          </w:tcPr>
          <w:p w14:paraId="12627BD8" w14:textId="77777777" w:rsidR="005342D5" w:rsidRPr="0019790A" w:rsidRDefault="005342D5" w:rsidP="0019790A">
            <w:pPr>
              <w:rPr>
                <w:rFonts w:cs="Arial"/>
                <w:b/>
                <w:bCs/>
                <w:szCs w:val="22"/>
              </w:rPr>
            </w:pPr>
            <w:r w:rsidRPr="0019790A">
              <w:rPr>
                <w:rFonts w:cs="Arial"/>
                <w:szCs w:val="22"/>
              </w:rPr>
              <w:t>Електронна адреса:</w:t>
            </w:r>
          </w:p>
        </w:tc>
        <w:tc>
          <w:tcPr>
            <w:tcW w:w="6794" w:type="dxa"/>
            <w:gridSpan w:val="8"/>
            <w:vAlign w:val="center"/>
          </w:tcPr>
          <w:p w14:paraId="6735C55D" w14:textId="77777777" w:rsidR="005342D5" w:rsidRPr="0019790A" w:rsidRDefault="00D85FFD" w:rsidP="00CD7662">
            <w:pPr>
              <w:tabs>
                <w:tab w:val="left" w:pos="171"/>
                <w:tab w:val="left" w:pos="392"/>
              </w:tabs>
              <w:jc w:val="both"/>
              <w:rPr>
                <w:rFonts w:cs="Arial"/>
                <w:szCs w:val="22"/>
              </w:rPr>
            </w:pPr>
            <w:hyperlink r:id="rId163" w:history="1">
              <w:r w:rsidR="005342D5" w:rsidRPr="0019790A">
                <w:rPr>
                  <w:rStyle w:val="af0"/>
                  <w:rFonts w:cs="Arial"/>
                  <w:b/>
                  <w:bCs/>
                  <w:noProof w:val="0"/>
                  <w:sz w:val="22"/>
                  <w:szCs w:val="22"/>
                </w:rPr>
                <w:t>ms@zhmr.gov.ua</w:t>
              </w:r>
            </w:hyperlink>
          </w:p>
        </w:tc>
      </w:tr>
      <w:tr w:rsidR="005342D5" w:rsidRPr="0019790A" w14:paraId="29DEB8AD" w14:textId="77777777" w:rsidTr="00CD7662">
        <w:trPr>
          <w:trHeight w:val="1338"/>
          <w:jc w:val="right"/>
        </w:trPr>
        <w:tc>
          <w:tcPr>
            <w:tcW w:w="3425" w:type="dxa"/>
            <w:vAlign w:val="center"/>
          </w:tcPr>
          <w:p w14:paraId="27441C6F" w14:textId="77777777" w:rsidR="005342D5" w:rsidRPr="0019790A" w:rsidRDefault="005342D5" w:rsidP="0019790A">
            <w:pPr>
              <w:rPr>
                <w:rFonts w:cs="Arial"/>
                <w:b/>
                <w:bCs/>
                <w:szCs w:val="22"/>
              </w:rPr>
            </w:pPr>
            <w:r w:rsidRPr="0019790A">
              <w:rPr>
                <w:rFonts w:cs="Arial"/>
                <w:b/>
                <w:bCs/>
                <w:szCs w:val="22"/>
              </w:rPr>
              <w:t>Номер і назва завдання з Стратегії розвитку Жмеринської міської територіальної громади,  якому відповідає проєкт:</w:t>
            </w:r>
          </w:p>
        </w:tc>
        <w:tc>
          <w:tcPr>
            <w:tcW w:w="6794" w:type="dxa"/>
            <w:gridSpan w:val="8"/>
            <w:vAlign w:val="center"/>
          </w:tcPr>
          <w:p w14:paraId="5229D50A" w14:textId="676241A6" w:rsidR="005342D5" w:rsidRPr="0019790A" w:rsidRDefault="005342D5" w:rsidP="00CD7662">
            <w:pPr>
              <w:tabs>
                <w:tab w:val="left" w:pos="171"/>
                <w:tab w:val="left" w:pos="392"/>
              </w:tabs>
              <w:jc w:val="both"/>
              <w:rPr>
                <w:rFonts w:cs="Arial"/>
                <w:b/>
                <w:szCs w:val="22"/>
              </w:rPr>
            </w:pPr>
            <w:r w:rsidRPr="0019790A">
              <w:rPr>
                <w:rFonts w:cs="Arial"/>
                <w:b/>
                <w:bCs/>
                <w:szCs w:val="22"/>
              </w:rPr>
              <w:t>С.3.4.4. Облаштування спортивних залів матеріально-технічною базою.</w:t>
            </w:r>
          </w:p>
        </w:tc>
      </w:tr>
      <w:tr w:rsidR="005342D5" w:rsidRPr="0019790A" w14:paraId="37C8E319" w14:textId="77777777" w:rsidTr="00CD7662">
        <w:trPr>
          <w:trHeight w:val="587"/>
          <w:jc w:val="right"/>
        </w:trPr>
        <w:tc>
          <w:tcPr>
            <w:tcW w:w="3425" w:type="dxa"/>
            <w:vAlign w:val="center"/>
          </w:tcPr>
          <w:p w14:paraId="605F88BB" w14:textId="77777777" w:rsidR="005342D5" w:rsidRPr="0019790A" w:rsidRDefault="005342D5" w:rsidP="0019790A">
            <w:pPr>
              <w:rPr>
                <w:rFonts w:cs="Arial"/>
                <w:b/>
                <w:bCs/>
                <w:szCs w:val="22"/>
              </w:rPr>
            </w:pPr>
            <w:r w:rsidRPr="0019790A">
              <w:rPr>
                <w:rFonts w:cs="Arial"/>
                <w:b/>
                <w:bCs/>
                <w:szCs w:val="22"/>
              </w:rPr>
              <w:t>Мета проєкту:</w:t>
            </w:r>
          </w:p>
        </w:tc>
        <w:tc>
          <w:tcPr>
            <w:tcW w:w="6794" w:type="dxa"/>
            <w:gridSpan w:val="8"/>
            <w:vAlign w:val="center"/>
          </w:tcPr>
          <w:p w14:paraId="4C0D5D80" w14:textId="77777777" w:rsidR="005342D5" w:rsidRPr="0019790A" w:rsidRDefault="005342D5" w:rsidP="00CD7662">
            <w:pPr>
              <w:tabs>
                <w:tab w:val="left" w:pos="171"/>
                <w:tab w:val="left" w:pos="392"/>
              </w:tabs>
              <w:jc w:val="both"/>
              <w:rPr>
                <w:rFonts w:cs="Arial"/>
                <w:szCs w:val="22"/>
              </w:rPr>
            </w:pPr>
            <w:r w:rsidRPr="0019790A">
              <w:rPr>
                <w:rFonts w:cs="Arial"/>
                <w:szCs w:val="22"/>
              </w:rPr>
              <w:t>Підвищення ефективності навчально-тренувального процесу та забезпечення безпечних і комфортних умов для занять фізичною культурою та спортом у КЗ «ЖДЮСШ» шляхом оновлення матеріально-технічної бази.</w:t>
            </w:r>
          </w:p>
        </w:tc>
      </w:tr>
      <w:tr w:rsidR="005342D5" w:rsidRPr="0019790A" w14:paraId="7E064951" w14:textId="77777777" w:rsidTr="00CD7662">
        <w:trPr>
          <w:jc w:val="right"/>
        </w:trPr>
        <w:tc>
          <w:tcPr>
            <w:tcW w:w="3425" w:type="dxa"/>
            <w:vAlign w:val="center"/>
          </w:tcPr>
          <w:p w14:paraId="30BD09A1" w14:textId="77777777" w:rsidR="005342D5" w:rsidRPr="0019790A" w:rsidRDefault="005342D5" w:rsidP="0019790A">
            <w:pPr>
              <w:rPr>
                <w:rFonts w:cs="Arial"/>
                <w:b/>
                <w:bCs/>
                <w:szCs w:val="22"/>
              </w:rPr>
            </w:pPr>
            <w:r w:rsidRPr="0019790A">
              <w:rPr>
                <w:rFonts w:cs="Arial"/>
                <w:b/>
                <w:bCs/>
                <w:szCs w:val="22"/>
              </w:rPr>
              <w:t>Цілі проєкту:</w:t>
            </w:r>
          </w:p>
        </w:tc>
        <w:tc>
          <w:tcPr>
            <w:tcW w:w="6794" w:type="dxa"/>
            <w:gridSpan w:val="8"/>
            <w:vAlign w:val="center"/>
          </w:tcPr>
          <w:p w14:paraId="5F272D45" w14:textId="77777777" w:rsidR="005342D5" w:rsidRPr="0019790A" w:rsidRDefault="005342D5" w:rsidP="00CD7662">
            <w:pPr>
              <w:numPr>
                <w:ilvl w:val="0"/>
                <w:numId w:val="96"/>
              </w:numPr>
              <w:tabs>
                <w:tab w:val="clear" w:pos="720"/>
                <w:tab w:val="left" w:pos="171"/>
                <w:tab w:val="num" w:pos="360"/>
                <w:tab w:val="left" w:pos="392"/>
              </w:tabs>
              <w:ind w:left="0" w:firstLine="0"/>
              <w:jc w:val="both"/>
              <w:rPr>
                <w:rFonts w:cs="Arial"/>
                <w:szCs w:val="22"/>
              </w:rPr>
            </w:pPr>
            <w:r w:rsidRPr="0019790A">
              <w:rPr>
                <w:rFonts w:cs="Arial"/>
                <w:szCs w:val="22"/>
              </w:rPr>
              <w:t>Забезпечити спортивні зали КЗ «ЖДЮСШ» сучасним і якісним інвентарем та обладнанням.</w:t>
            </w:r>
          </w:p>
          <w:p w14:paraId="7D008A5A" w14:textId="77777777" w:rsidR="005342D5" w:rsidRPr="0019790A" w:rsidRDefault="005342D5" w:rsidP="00CD7662">
            <w:pPr>
              <w:numPr>
                <w:ilvl w:val="0"/>
                <w:numId w:val="96"/>
              </w:numPr>
              <w:tabs>
                <w:tab w:val="clear" w:pos="720"/>
                <w:tab w:val="left" w:pos="171"/>
                <w:tab w:val="num" w:pos="360"/>
                <w:tab w:val="left" w:pos="392"/>
              </w:tabs>
              <w:ind w:left="0" w:firstLine="0"/>
              <w:jc w:val="both"/>
              <w:rPr>
                <w:rFonts w:cs="Arial"/>
                <w:szCs w:val="22"/>
              </w:rPr>
            </w:pPr>
            <w:r w:rsidRPr="0019790A">
              <w:rPr>
                <w:rFonts w:cs="Arial"/>
                <w:szCs w:val="22"/>
              </w:rPr>
              <w:t>Підвищити рівень безпеки та комфорту для учасників тренувань.</w:t>
            </w:r>
          </w:p>
          <w:p w14:paraId="18C89A2E" w14:textId="77777777" w:rsidR="005342D5" w:rsidRPr="0019790A" w:rsidRDefault="005342D5" w:rsidP="00CD7662">
            <w:pPr>
              <w:numPr>
                <w:ilvl w:val="0"/>
                <w:numId w:val="96"/>
              </w:numPr>
              <w:tabs>
                <w:tab w:val="clear" w:pos="720"/>
                <w:tab w:val="left" w:pos="171"/>
                <w:tab w:val="num" w:pos="360"/>
                <w:tab w:val="left" w:pos="392"/>
              </w:tabs>
              <w:ind w:left="0" w:firstLine="0"/>
              <w:jc w:val="both"/>
              <w:rPr>
                <w:rFonts w:cs="Arial"/>
                <w:szCs w:val="22"/>
              </w:rPr>
            </w:pPr>
            <w:r w:rsidRPr="0019790A">
              <w:rPr>
                <w:rFonts w:cs="Arial"/>
                <w:szCs w:val="22"/>
              </w:rPr>
              <w:t>Створити умови для проведення змагань різного рівня.</w:t>
            </w:r>
          </w:p>
          <w:p w14:paraId="62CF975F" w14:textId="77777777" w:rsidR="005342D5" w:rsidRPr="0019790A" w:rsidRDefault="005342D5" w:rsidP="00CD7662">
            <w:pPr>
              <w:numPr>
                <w:ilvl w:val="0"/>
                <w:numId w:val="96"/>
              </w:numPr>
              <w:tabs>
                <w:tab w:val="clear" w:pos="720"/>
                <w:tab w:val="left" w:pos="171"/>
                <w:tab w:val="num" w:pos="360"/>
                <w:tab w:val="left" w:pos="392"/>
              </w:tabs>
              <w:ind w:left="0" w:firstLine="0"/>
              <w:jc w:val="both"/>
              <w:rPr>
                <w:rFonts w:cs="Arial"/>
                <w:szCs w:val="22"/>
              </w:rPr>
            </w:pPr>
            <w:r w:rsidRPr="0019790A">
              <w:rPr>
                <w:rFonts w:cs="Arial"/>
                <w:szCs w:val="22"/>
              </w:rPr>
              <w:t>Розширити можливості занять різними видами спорту, включаючи інклюзивні напрями.</w:t>
            </w:r>
          </w:p>
          <w:p w14:paraId="50EF0E59" w14:textId="77777777" w:rsidR="005342D5" w:rsidRPr="0019790A" w:rsidRDefault="005342D5" w:rsidP="00CD7662">
            <w:pPr>
              <w:numPr>
                <w:ilvl w:val="0"/>
                <w:numId w:val="96"/>
              </w:numPr>
              <w:tabs>
                <w:tab w:val="clear" w:pos="720"/>
                <w:tab w:val="left" w:pos="171"/>
                <w:tab w:val="num" w:pos="360"/>
                <w:tab w:val="left" w:pos="392"/>
              </w:tabs>
              <w:ind w:left="0" w:firstLine="0"/>
              <w:jc w:val="both"/>
              <w:rPr>
                <w:rFonts w:cs="Arial"/>
                <w:szCs w:val="22"/>
              </w:rPr>
            </w:pPr>
            <w:r w:rsidRPr="0019790A">
              <w:rPr>
                <w:rFonts w:cs="Arial"/>
                <w:szCs w:val="22"/>
              </w:rPr>
              <w:t>Підвищити мотивацію дітей і молоді до систематичних занять спортом.</w:t>
            </w:r>
          </w:p>
        </w:tc>
      </w:tr>
      <w:tr w:rsidR="005342D5" w:rsidRPr="0019790A" w14:paraId="23E822FA" w14:textId="77777777" w:rsidTr="00CD7662">
        <w:trPr>
          <w:trHeight w:val="641"/>
          <w:jc w:val="right"/>
        </w:trPr>
        <w:tc>
          <w:tcPr>
            <w:tcW w:w="3425" w:type="dxa"/>
            <w:vAlign w:val="center"/>
          </w:tcPr>
          <w:p w14:paraId="52379239" w14:textId="77777777" w:rsidR="005342D5" w:rsidRPr="0019790A" w:rsidRDefault="005342D5" w:rsidP="0019790A">
            <w:pPr>
              <w:rPr>
                <w:rFonts w:cs="Arial"/>
                <w:b/>
                <w:szCs w:val="22"/>
              </w:rPr>
            </w:pPr>
            <w:r w:rsidRPr="0019790A">
              <w:rPr>
                <w:rFonts w:cs="Arial"/>
                <w:b/>
                <w:szCs w:val="22"/>
              </w:rPr>
              <w:t>Територія на яку проєкт матиме вплив:</w:t>
            </w:r>
          </w:p>
        </w:tc>
        <w:tc>
          <w:tcPr>
            <w:tcW w:w="6794" w:type="dxa"/>
            <w:gridSpan w:val="8"/>
            <w:vAlign w:val="center"/>
          </w:tcPr>
          <w:p w14:paraId="38F180D4" w14:textId="77777777" w:rsidR="005342D5" w:rsidRPr="0019790A" w:rsidRDefault="005342D5" w:rsidP="00CD7662">
            <w:pPr>
              <w:tabs>
                <w:tab w:val="left" w:pos="171"/>
                <w:tab w:val="left" w:pos="392"/>
              </w:tabs>
              <w:jc w:val="both"/>
              <w:rPr>
                <w:rFonts w:cs="Arial"/>
                <w:szCs w:val="22"/>
              </w:rPr>
            </w:pPr>
            <w:r w:rsidRPr="0019790A">
              <w:rPr>
                <w:rFonts w:cs="Arial"/>
                <w:szCs w:val="22"/>
              </w:rPr>
              <w:t>Жмеринська міська територіальна громада</w:t>
            </w:r>
          </w:p>
        </w:tc>
      </w:tr>
      <w:tr w:rsidR="005342D5" w:rsidRPr="0019790A" w14:paraId="58275309" w14:textId="77777777" w:rsidTr="00CD7662">
        <w:trPr>
          <w:jc w:val="right"/>
        </w:trPr>
        <w:tc>
          <w:tcPr>
            <w:tcW w:w="3425" w:type="dxa"/>
            <w:vAlign w:val="center"/>
          </w:tcPr>
          <w:p w14:paraId="1B92A21F" w14:textId="77777777" w:rsidR="005342D5" w:rsidRPr="0019790A" w:rsidRDefault="005342D5" w:rsidP="0019790A">
            <w:pPr>
              <w:rPr>
                <w:rFonts w:cs="Arial"/>
                <w:b/>
                <w:szCs w:val="22"/>
              </w:rPr>
            </w:pPr>
            <w:r w:rsidRPr="0019790A">
              <w:rPr>
                <w:rFonts w:cs="Arial"/>
                <w:b/>
                <w:szCs w:val="22"/>
              </w:rPr>
              <w:t>Цільові групи проєкту та кількість отримувачів вигоди</w:t>
            </w:r>
          </w:p>
        </w:tc>
        <w:tc>
          <w:tcPr>
            <w:tcW w:w="6794" w:type="dxa"/>
            <w:gridSpan w:val="8"/>
            <w:vAlign w:val="center"/>
          </w:tcPr>
          <w:p w14:paraId="636235CF" w14:textId="77777777" w:rsidR="005342D5" w:rsidRPr="0019790A" w:rsidRDefault="005342D5" w:rsidP="00CD7662">
            <w:pPr>
              <w:numPr>
                <w:ilvl w:val="0"/>
                <w:numId w:val="95"/>
              </w:numPr>
              <w:tabs>
                <w:tab w:val="left" w:pos="171"/>
                <w:tab w:val="left" w:pos="392"/>
              </w:tabs>
              <w:ind w:left="0" w:firstLine="0"/>
              <w:jc w:val="both"/>
              <w:rPr>
                <w:rFonts w:cs="Arial"/>
                <w:bCs/>
                <w:szCs w:val="22"/>
              </w:rPr>
            </w:pPr>
            <w:r w:rsidRPr="0019790A">
              <w:rPr>
                <w:rFonts w:cs="Arial"/>
                <w:bCs/>
                <w:szCs w:val="22"/>
              </w:rPr>
              <w:t>Вихованці КЗ «ЖДЮСШ»</w:t>
            </w:r>
          </w:p>
          <w:p w14:paraId="49B72908" w14:textId="77777777" w:rsidR="005342D5" w:rsidRPr="0019790A" w:rsidRDefault="005342D5" w:rsidP="00CD7662">
            <w:pPr>
              <w:numPr>
                <w:ilvl w:val="0"/>
                <w:numId w:val="95"/>
              </w:numPr>
              <w:tabs>
                <w:tab w:val="left" w:pos="171"/>
                <w:tab w:val="left" w:pos="392"/>
              </w:tabs>
              <w:ind w:left="0" w:firstLine="0"/>
              <w:jc w:val="both"/>
              <w:rPr>
                <w:rFonts w:cs="Arial"/>
                <w:bCs/>
                <w:szCs w:val="22"/>
              </w:rPr>
            </w:pPr>
            <w:r w:rsidRPr="0019790A">
              <w:rPr>
                <w:rFonts w:cs="Arial"/>
                <w:bCs/>
                <w:szCs w:val="22"/>
              </w:rPr>
              <w:t>Тренерсько-викладацький склад</w:t>
            </w:r>
          </w:p>
          <w:p w14:paraId="12ADE1CA" w14:textId="77777777" w:rsidR="005342D5" w:rsidRPr="0019790A" w:rsidRDefault="005342D5" w:rsidP="00CD7662">
            <w:pPr>
              <w:numPr>
                <w:ilvl w:val="0"/>
                <w:numId w:val="95"/>
              </w:numPr>
              <w:tabs>
                <w:tab w:val="left" w:pos="171"/>
                <w:tab w:val="left" w:pos="392"/>
              </w:tabs>
              <w:ind w:left="0" w:firstLine="0"/>
              <w:jc w:val="both"/>
              <w:rPr>
                <w:rFonts w:cs="Arial"/>
                <w:bCs/>
                <w:szCs w:val="22"/>
              </w:rPr>
            </w:pPr>
            <w:r w:rsidRPr="0019790A">
              <w:rPr>
                <w:rFonts w:cs="Arial"/>
                <w:bCs/>
                <w:szCs w:val="22"/>
              </w:rPr>
              <w:t>Діти, молодь громади, що відвідують секції</w:t>
            </w:r>
          </w:p>
          <w:p w14:paraId="33BBB99B" w14:textId="77777777" w:rsidR="005342D5" w:rsidRPr="0019790A" w:rsidRDefault="005342D5" w:rsidP="00CD7662">
            <w:pPr>
              <w:numPr>
                <w:ilvl w:val="0"/>
                <w:numId w:val="95"/>
              </w:numPr>
              <w:tabs>
                <w:tab w:val="left" w:pos="171"/>
                <w:tab w:val="left" w:pos="392"/>
              </w:tabs>
              <w:ind w:left="0" w:firstLine="0"/>
              <w:jc w:val="both"/>
              <w:rPr>
                <w:rFonts w:cs="Arial"/>
                <w:bCs/>
                <w:szCs w:val="22"/>
              </w:rPr>
            </w:pPr>
            <w:r w:rsidRPr="0019790A">
              <w:rPr>
                <w:rFonts w:cs="Arial"/>
                <w:bCs/>
                <w:szCs w:val="22"/>
              </w:rPr>
              <w:t>Учасники змагань, турнірів</w:t>
            </w:r>
          </w:p>
          <w:p w14:paraId="43CC4421" w14:textId="77777777" w:rsidR="005342D5" w:rsidRPr="0019790A" w:rsidRDefault="005342D5" w:rsidP="00CD7662">
            <w:pPr>
              <w:numPr>
                <w:ilvl w:val="0"/>
                <w:numId w:val="95"/>
              </w:numPr>
              <w:tabs>
                <w:tab w:val="left" w:pos="171"/>
                <w:tab w:val="left" w:pos="392"/>
              </w:tabs>
              <w:ind w:left="0" w:firstLine="0"/>
              <w:jc w:val="both"/>
              <w:rPr>
                <w:rFonts w:cs="Arial"/>
                <w:bCs/>
                <w:szCs w:val="22"/>
              </w:rPr>
            </w:pPr>
            <w:r w:rsidRPr="0019790A">
              <w:rPr>
                <w:rFonts w:cs="Arial"/>
                <w:bCs/>
                <w:szCs w:val="22"/>
              </w:rPr>
              <w:t>Люди з інвалідністю (в межах інклюзивного підходу)</w:t>
            </w:r>
          </w:p>
          <w:p w14:paraId="0E5E7125" w14:textId="77777777" w:rsidR="005342D5" w:rsidRPr="0019790A" w:rsidRDefault="005342D5" w:rsidP="00CD7662">
            <w:pPr>
              <w:tabs>
                <w:tab w:val="left" w:pos="171"/>
                <w:tab w:val="left" w:pos="392"/>
              </w:tabs>
              <w:jc w:val="both"/>
              <w:rPr>
                <w:rFonts w:cs="Arial"/>
                <w:szCs w:val="22"/>
              </w:rPr>
            </w:pPr>
            <w:r w:rsidRPr="0019790A">
              <w:rPr>
                <w:rFonts w:cs="Arial"/>
                <w:b/>
                <w:szCs w:val="22"/>
              </w:rPr>
              <w:t>Кількість отримувачів вигоди</w:t>
            </w:r>
            <w:r w:rsidRPr="0019790A">
              <w:rPr>
                <w:rFonts w:cs="Arial"/>
                <w:szCs w:val="22"/>
              </w:rPr>
              <w:t xml:space="preserve"> </w:t>
            </w:r>
            <w:r w:rsidRPr="0019790A">
              <w:rPr>
                <w:rFonts w:cs="Arial"/>
                <w:b/>
                <w:szCs w:val="22"/>
              </w:rPr>
              <w:t>1000 осіб.</w:t>
            </w:r>
          </w:p>
        </w:tc>
      </w:tr>
      <w:tr w:rsidR="005342D5" w:rsidRPr="0019790A" w14:paraId="12441275" w14:textId="77777777" w:rsidTr="00CD7662">
        <w:trPr>
          <w:jc w:val="right"/>
        </w:trPr>
        <w:tc>
          <w:tcPr>
            <w:tcW w:w="3425" w:type="dxa"/>
            <w:shd w:val="clear" w:color="auto" w:fill="FFFFFF"/>
            <w:vAlign w:val="center"/>
          </w:tcPr>
          <w:p w14:paraId="77A95BC1" w14:textId="77777777" w:rsidR="005342D5" w:rsidRPr="0019790A" w:rsidRDefault="005342D5" w:rsidP="0019790A">
            <w:pPr>
              <w:rPr>
                <w:rFonts w:cs="Arial"/>
                <w:b/>
                <w:bCs/>
                <w:szCs w:val="22"/>
              </w:rPr>
            </w:pPr>
            <w:r w:rsidRPr="0019790A">
              <w:rPr>
                <w:rFonts w:cs="Arial"/>
                <w:b/>
                <w:bCs/>
                <w:szCs w:val="22"/>
              </w:rPr>
              <w:t>Стислий опис проєкту:</w:t>
            </w:r>
          </w:p>
        </w:tc>
        <w:tc>
          <w:tcPr>
            <w:tcW w:w="6794" w:type="dxa"/>
            <w:gridSpan w:val="8"/>
            <w:vAlign w:val="center"/>
          </w:tcPr>
          <w:p w14:paraId="3731F300" w14:textId="77777777" w:rsidR="005342D5" w:rsidRPr="0019790A" w:rsidRDefault="005342D5" w:rsidP="00CD7662">
            <w:pPr>
              <w:tabs>
                <w:tab w:val="left" w:pos="171"/>
                <w:tab w:val="left" w:pos="392"/>
              </w:tabs>
              <w:jc w:val="both"/>
              <w:rPr>
                <w:rFonts w:cs="Arial"/>
                <w:szCs w:val="22"/>
              </w:rPr>
            </w:pPr>
            <w:r w:rsidRPr="0019790A">
              <w:rPr>
                <w:rFonts w:cs="Arial"/>
                <w:szCs w:val="22"/>
              </w:rPr>
              <w:t>Проєкт передбачає оновлення спортивного інвентарю та обладнання у залах КЗ «ЖДЮСШ», зокрема для занять боксом, футболом, баскетболом, легкою атлетикою та іншими видами спорту. Закупівля професійного обладнання дозволить створити якісне середовище для тренувань, змагань та спортивного виховання молоді. Особлива увага буде приділена безпеці, зручності, інклюзії та відповідності сучасним вимогам.</w:t>
            </w:r>
          </w:p>
        </w:tc>
      </w:tr>
      <w:tr w:rsidR="005342D5" w:rsidRPr="0019790A" w14:paraId="14AE5A54" w14:textId="77777777" w:rsidTr="00CD7662">
        <w:trPr>
          <w:jc w:val="right"/>
        </w:trPr>
        <w:tc>
          <w:tcPr>
            <w:tcW w:w="3425" w:type="dxa"/>
            <w:shd w:val="clear" w:color="auto" w:fill="FFFFFF"/>
            <w:vAlign w:val="center"/>
          </w:tcPr>
          <w:p w14:paraId="5884C29B" w14:textId="77777777" w:rsidR="005342D5" w:rsidRPr="0019790A" w:rsidRDefault="005342D5" w:rsidP="0019790A">
            <w:pPr>
              <w:rPr>
                <w:rFonts w:cs="Arial"/>
                <w:b/>
                <w:bCs/>
                <w:szCs w:val="22"/>
              </w:rPr>
            </w:pPr>
            <w:r w:rsidRPr="0019790A">
              <w:rPr>
                <w:rFonts w:cs="Arial"/>
                <w:b/>
                <w:bCs/>
                <w:szCs w:val="22"/>
              </w:rPr>
              <w:t>Основні заходи проєкту:</w:t>
            </w:r>
          </w:p>
        </w:tc>
        <w:tc>
          <w:tcPr>
            <w:tcW w:w="6794" w:type="dxa"/>
            <w:gridSpan w:val="8"/>
            <w:vAlign w:val="center"/>
          </w:tcPr>
          <w:p w14:paraId="782AA5AC" w14:textId="77777777" w:rsidR="005342D5" w:rsidRPr="0019790A" w:rsidRDefault="005342D5" w:rsidP="00CD7662">
            <w:pPr>
              <w:numPr>
                <w:ilvl w:val="0"/>
                <w:numId w:val="97"/>
              </w:numPr>
              <w:tabs>
                <w:tab w:val="left" w:pos="171"/>
                <w:tab w:val="left" w:pos="392"/>
              </w:tabs>
              <w:ind w:left="0" w:firstLine="0"/>
              <w:jc w:val="both"/>
              <w:rPr>
                <w:rFonts w:cs="Arial"/>
                <w:szCs w:val="22"/>
              </w:rPr>
            </w:pPr>
            <w:r w:rsidRPr="0019790A">
              <w:rPr>
                <w:rFonts w:cs="Arial"/>
                <w:szCs w:val="22"/>
              </w:rPr>
              <w:t>Оцінка потреб і технічного стану існуючої бази.</w:t>
            </w:r>
          </w:p>
          <w:p w14:paraId="1722B0DF" w14:textId="77777777" w:rsidR="005342D5" w:rsidRPr="0019790A" w:rsidRDefault="005342D5" w:rsidP="00CD7662">
            <w:pPr>
              <w:numPr>
                <w:ilvl w:val="0"/>
                <w:numId w:val="97"/>
              </w:numPr>
              <w:tabs>
                <w:tab w:val="left" w:pos="171"/>
                <w:tab w:val="left" w:pos="392"/>
              </w:tabs>
              <w:ind w:left="0" w:firstLine="0"/>
              <w:jc w:val="both"/>
              <w:rPr>
                <w:rFonts w:cs="Arial"/>
                <w:szCs w:val="22"/>
              </w:rPr>
            </w:pPr>
            <w:r w:rsidRPr="0019790A">
              <w:rPr>
                <w:rFonts w:cs="Arial"/>
                <w:szCs w:val="22"/>
              </w:rPr>
              <w:t>Формування переліку необхідного спортивного обладнання.</w:t>
            </w:r>
          </w:p>
          <w:p w14:paraId="28E81861" w14:textId="77777777" w:rsidR="005342D5" w:rsidRPr="0019790A" w:rsidRDefault="005342D5" w:rsidP="00CD7662">
            <w:pPr>
              <w:numPr>
                <w:ilvl w:val="0"/>
                <w:numId w:val="97"/>
              </w:numPr>
              <w:tabs>
                <w:tab w:val="left" w:pos="171"/>
                <w:tab w:val="left" w:pos="392"/>
              </w:tabs>
              <w:ind w:left="0" w:firstLine="0"/>
              <w:jc w:val="both"/>
              <w:rPr>
                <w:rFonts w:cs="Arial"/>
                <w:szCs w:val="22"/>
              </w:rPr>
            </w:pPr>
            <w:r w:rsidRPr="0019790A">
              <w:rPr>
                <w:rFonts w:cs="Arial"/>
                <w:szCs w:val="22"/>
              </w:rPr>
              <w:t>Закупівля інвентарю (боксерські ринги, тренажери, мати, снаряди, м’ячі, захист тощо).</w:t>
            </w:r>
          </w:p>
          <w:p w14:paraId="6AFC1202" w14:textId="77777777" w:rsidR="005342D5" w:rsidRPr="0019790A" w:rsidRDefault="005342D5" w:rsidP="00CD7662">
            <w:pPr>
              <w:numPr>
                <w:ilvl w:val="0"/>
                <w:numId w:val="97"/>
              </w:numPr>
              <w:tabs>
                <w:tab w:val="left" w:pos="171"/>
                <w:tab w:val="left" w:pos="392"/>
              </w:tabs>
              <w:ind w:left="0" w:firstLine="0"/>
              <w:jc w:val="both"/>
              <w:rPr>
                <w:rFonts w:cs="Arial"/>
                <w:szCs w:val="22"/>
              </w:rPr>
            </w:pPr>
            <w:r w:rsidRPr="0019790A">
              <w:rPr>
                <w:rFonts w:cs="Arial"/>
                <w:szCs w:val="22"/>
              </w:rPr>
              <w:t>Встановлення та монтаж обладнання в залах.</w:t>
            </w:r>
          </w:p>
          <w:p w14:paraId="634BCF96" w14:textId="77777777" w:rsidR="005342D5" w:rsidRPr="0019790A" w:rsidRDefault="005342D5" w:rsidP="00CD7662">
            <w:pPr>
              <w:numPr>
                <w:ilvl w:val="0"/>
                <w:numId w:val="97"/>
              </w:numPr>
              <w:tabs>
                <w:tab w:val="left" w:pos="171"/>
                <w:tab w:val="left" w:pos="392"/>
              </w:tabs>
              <w:ind w:left="0" w:firstLine="0"/>
              <w:jc w:val="both"/>
              <w:rPr>
                <w:rFonts w:cs="Arial"/>
                <w:szCs w:val="22"/>
              </w:rPr>
            </w:pPr>
            <w:r w:rsidRPr="0019790A">
              <w:rPr>
                <w:rFonts w:cs="Arial"/>
                <w:szCs w:val="22"/>
              </w:rPr>
              <w:t>Адаптація обладнання до потреб людей з інвалідністю.</w:t>
            </w:r>
          </w:p>
          <w:p w14:paraId="6E6786E1" w14:textId="77777777" w:rsidR="005342D5" w:rsidRPr="0019790A" w:rsidRDefault="005342D5" w:rsidP="00CD7662">
            <w:pPr>
              <w:numPr>
                <w:ilvl w:val="0"/>
                <w:numId w:val="97"/>
              </w:numPr>
              <w:tabs>
                <w:tab w:val="left" w:pos="171"/>
                <w:tab w:val="left" w:pos="392"/>
              </w:tabs>
              <w:ind w:left="0" w:firstLine="0"/>
              <w:jc w:val="both"/>
              <w:rPr>
                <w:rFonts w:cs="Arial"/>
                <w:szCs w:val="22"/>
              </w:rPr>
            </w:pPr>
            <w:r w:rsidRPr="0019790A">
              <w:rPr>
                <w:rFonts w:cs="Arial"/>
                <w:szCs w:val="22"/>
              </w:rPr>
              <w:t>Проведення презентаційного спортивного заходу після оновлення.</w:t>
            </w:r>
          </w:p>
        </w:tc>
      </w:tr>
      <w:tr w:rsidR="005342D5" w:rsidRPr="0019790A" w14:paraId="74590607" w14:textId="77777777" w:rsidTr="00CD7662">
        <w:trPr>
          <w:trHeight w:val="856"/>
          <w:jc w:val="right"/>
        </w:trPr>
        <w:tc>
          <w:tcPr>
            <w:tcW w:w="3425" w:type="dxa"/>
            <w:shd w:val="clear" w:color="auto" w:fill="FFFFFF"/>
            <w:vAlign w:val="center"/>
          </w:tcPr>
          <w:p w14:paraId="7FCC1444" w14:textId="77777777" w:rsidR="005342D5" w:rsidRPr="0019790A" w:rsidRDefault="005342D5" w:rsidP="0019790A">
            <w:pPr>
              <w:rPr>
                <w:rFonts w:cs="Arial"/>
                <w:b/>
                <w:bCs/>
                <w:szCs w:val="22"/>
              </w:rPr>
            </w:pPr>
            <w:r w:rsidRPr="0019790A">
              <w:rPr>
                <w:rFonts w:cs="Arial"/>
                <w:b/>
                <w:bCs/>
                <w:szCs w:val="22"/>
              </w:rPr>
              <w:t>Індикатори (показники) результативності:</w:t>
            </w:r>
          </w:p>
        </w:tc>
        <w:tc>
          <w:tcPr>
            <w:tcW w:w="6794" w:type="dxa"/>
            <w:gridSpan w:val="8"/>
            <w:vAlign w:val="center"/>
          </w:tcPr>
          <w:p w14:paraId="5332670B" w14:textId="77777777" w:rsidR="005342D5" w:rsidRPr="0019790A" w:rsidRDefault="005342D5" w:rsidP="00CD7662">
            <w:pPr>
              <w:numPr>
                <w:ilvl w:val="0"/>
                <w:numId w:val="98"/>
              </w:numPr>
              <w:tabs>
                <w:tab w:val="left" w:pos="171"/>
                <w:tab w:val="left" w:pos="392"/>
              </w:tabs>
              <w:ind w:left="0" w:firstLine="0"/>
              <w:jc w:val="both"/>
              <w:rPr>
                <w:rFonts w:cs="Arial"/>
                <w:szCs w:val="22"/>
              </w:rPr>
            </w:pPr>
            <w:r w:rsidRPr="0019790A">
              <w:rPr>
                <w:rFonts w:cs="Arial"/>
                <w:szCs w:val="22"/>
              </w:rPr>
              <w:t xml:space="preserve">Оновлено </w:t>
            </w:r>
            <w:r w:rsidRPr="0019790A">
              <w:rPr>
                <w:rFonts w:cs="Arial"/>
                <w:bCs/>
                <w:szCs w:val="22"/>
              </w:rPr>
              <w:t>100+ одиниць</w:t>
            </w:r>
            <w:r w:rsidRPr="0019790A">
              <w:rPr>
                <w:rFonts w:cs="Arial"/>
                <w:szCs w:val="22"/>
              </w:rPr>
              <w:t xml:space="preserve"> спортивного обладнання</w:t>
            </w:r>
          </w:p>
          <w:p w14:paraId="4FA7F207" w14:textId="77777777" w:rsidR="005342D5" w:rsidRPr="0019790A" w:rsidRDefault="005342D5" w:rsidP="00CD7662">
            <w:pPr>
              <w:numPr>
                <w:ilvl w:val="0"/>
                <w:numId w:val="98"/>
              </w:numPr>
              <w:tabs>
                <w:tab w:val="left" w:pos="171"/>
                <w:tab w:val="left" w:pos="392"/>
              </w:tabs>
              <w:ind w:left="0" w:firstLine="0"/>
              <w:jc w:val="both"/>
              <w:rPr>
                <w:rFonts w:cs="Arial"/>
                <w:szCs w:val="22"/>
              </w:rPr>
            </w:pPr>
            <w:r w:rsidRPr="0019790A">
              <w:rPr>
                <w:rFonts w:cs="Arial"/>
                <w:szCs w:val="22"/>
              </w:rPr>
              <w:t xml:space="preserve">Підвищено рівень безпеки та умов занять у </w:t>
            </w:r>
            <w:r w:rsidRPr="0019790A">
              <w:rPr>
                <w:rFonts w:cs="Arial"/>
                <w:bCs/>
                <w:szCs w:val="22"/>
              </w:rPr>
              <w:t>3+ залах</w:t>
            </w:r>
          </w:p>
          <w:p w14:paraId="78FCD8FF" w14:textId="77777777" w:rsidR="005342D5" w:rsidRPr="0019790A" w:rsidRDefault="005342D5" w:rsidP="00CD7662">
            <w:pPr>
              <w:numPr>
                <w:ilvl w:val="0"/>
                <w:numId w:val="98"/>
              </w:numPr>
              <w:tabs>
                <w:tab w:val="left" w:pos="171"/>
                <w:tab w:val="left" w:pos="392"/>
              </w:tabs>
              <w:ind w:left="0" w:firstLine="0"/>
              <w:jc w:val="both"/>
              <w:rPr>
                <w:rFonts w:cs="Arial"/>
                <w:szCs w:val="22"/>
              </w:rPr>
            </w:pPr>
            <w:r w:rsidRPr="0019790A">
              <w:rPr>
                <w:rFonts w:cs="Arial"/>
                <w:szCs w:val="22"/>
              </w:rPr>
              <w:t xml:space="preserve">Залучено до занять спортом понад </w:t>
            </w:r>
            <w:r w:rsidRPr="0019790A">
              <w:rPr>
                <w:rFonts w:cs="Arial"/>
                <w:bCs/>
                <w:szCs w:val="22"/>
              </w:rPr>
              <w:t>500 вихованців щомісяця</w:t>
            </w:r>
          </w:p>
          <w:p w14:paraId="171DA267" w14:textId="77777777" w:rsidR="005342D5" w:rsidRPr="0019790A" w:rsidRDefault="005342D5" w:rsidP="00CD7662">
            <w:pPr>
              <w:numPr>
                <w:ilvl w:val="0"/>
                <w:numId w:val="98"/>
              </w:numPr>
              <w:tabs>
                <w:tab w:val="left" w:pos="171"/>
                <w:tab w:val="left" w:pos="392"/>
              </w:tabs>
              <w:ind w:left="0" w:firstLine="0"/>
              <w:jc w:val="both"/>
              <w:rPr>
                <w:rFonts w:cs="Arial"/>
                <w:szCs w:val="22"/>
              </w:rPr>
            </w:pPr>
            <w:r w:rsidRPr="0019790A">
              <w:rPr>
                <w:rFonts w:cs="Arial"/>
                <w:szCs w:val="22"/>
              </w:rPr>
              <w:t xml:space="preserve">Проведено не менше </w:t>
            </w:r>
            <w:r w:rsidRPr="0019790A">
              <w:rPr>
                <w:rFonts w:cs="Arial"/>
                <w:bCs/>
                <w:szCs w:val="22"/>
              </w:rPr>
              <w:t>10 змагань / турнірів</w:t>
            </w:r>
            <w:r w:rsidRPr="0019790A">
              <w:rPr>
                <w:rFonts w:cs="Arial"/>
                <w:szCs w:val="22"/>
              </w:rPr>
              <w:t xml:space="preserve"> на оновленій базі</w:t>
            </w:r>
          </w:p>
          <w:p w14:paraId="66EC1551" w14:textId="77777777" w:rsidR="005342D5" w:rsidRPr="0019790A" w:rsidRDefault="005342D5" w:rsidP="00CD7662">
            <w:pPr>
              <w:numPr>
                <w:ilvl w:val="0"/>
                <w:numId w:val="98"/>
              </w:numPr>
              <w:tabs>
                <w:tab w:val="left" w:pos="171"/>
                <w:tab w:val="left" w:pos="392"/>
              </w:tabs>
              <w:ind w:left="0" w:firstLine="0"/>
              <w:jc w:val="both"/>
              <w:rPr>
                <w:rFonts w:cs="Arial"/>
                <w:szCs w:val="22"/>
              </w:rPr>
            </w:pPr>
            <w:r w:rsidRPr="0019790A">
              <w:rPr>
                <w:rFonts w:cs="Arial"/>
                <w:szCs w:val="22"/>
              </w:rPr>
              <w:t>Підвищено мотивацію та задоволення тренерів і учнів (через опитування)</w:t>
            </w:r>
          </w:p>
          <w:p w14:paraId="09FAC4B5" w14:textId="77777777" w:rsidR="005342D5" w:rsidRPr="0019790A" w:rsidRDefault="005342D5" w:rsidP="00CD7662">
            <w:pPr>
              <w:numPr>
                <w:ilvl w:val="0"/>
                <w:numId w:val="98"/>
              </w:numPr>
              <w:tabs>
                <w:tab w:val="left" w:pos="171"/>
                <w:tab w:val="left" w:pos="392"/>
              </w:tabs>
              <w:ind w:left="0" w:firstLine="0"/>
              <w:jc w:val="both"/>
              <w:rPr>
                <w:rFonts w:cs="Arial"/>
                <w:szCs w:val="22"/>
              </w:rPr>
            </w:pPr>
            <w:r w:rsidRPr="0019790A">
              <w:rPr>
                <w:rFonts w:cs="Arial"/>
                <w:szCs w:val="22"/>
              </w:rPr>
              <w:t xml:space="preserve">Забезпечено </w:t>
            </w:r>
            <w:r w:rsidRPr="0019790A">
              <w:rPr>
                <w:rFonts w:cs="Arial"/>
                <w:bCs/>
                <w:szCs w:val="22"/>
              </w:rPr>
              <w:t>інклюзивність</w:t>
            </w:r>
            <w:r w:rsidRPr="0019790A">
              <w:rPr>
                <w:rFonts w:cs="Arial"/>
                <w:szCs w:val="22"/>
              </w:rPr>
              <w:t xml:space="preserve"> у щонайменше одному залі</w:t>
            </w:r>
          </w:p>
        </w:tc>
      </w:tr>
      <w:tr w:rsidR="005342D5" w:rsidRPr="0019790A" w14:paraId="2E723440" w14:textId="77777777" w:rsidTr="00CF3AAE">
        <w:trPr>
          <w:jc w:val="right"/>
        </w:trPr>
        <w:tc>
          <w:tcPr>
            <w:tcW w:w="3425" w:type="dxa"/>
            <w:shd w:val="clear" w:color="auto" w:fill="FFFFFF"/>
            <w:vAlign w:val="center"/>
          </w:tcPr>
          <w:p w14:paraId="1649362D" w14:textId="77777777" w:rsidR="005342D5" w:rsidRPr="0019790A" w:rsidRDefault="005342D5" w:rsidP="0019790A">
            <w:pPr>
              <w:rPr>
                <w:rFonts w:cs="Arial"/>
                <w:b/>
                <w:szCs w:val="22"/>
              </w:rPr>
            </w:pPr>
            <w:r w:rsidRPr="0019790A">
              <w:rPr>
                <w:rFonts w:cs="Arial"/>
                <w:b/>
                <w:szCs w:val="22"/>
              </w:rPr>
              <w:t xml:space="preserve">Період здійснення: </w:t>
            </w:r>
          </w:p>
        </w:tc>
        <w:tc>
          <w:tcPr>
            <w:tcW w:w="6794" w:type="dxa"/>
            <w:gridSpan w:val="8"/>
            <w:vAlign w:val="center"/>
          </w:tcPr>
          <w:p w14:paraId="11B02B1A" w14:textId="77777777" w:rsidR="005342D5" w:rsidRPr="0019790A" w:rsidRDefault="005342D5" w:rsidP="0019790A">
            <w:pPr>
              <w:rPr>
                <w:rFonts w:cs="Arial"/>
                <w:szCs w:val="22"/>
              </w:rPr>
            </w:pPr>
            <w:r w:rsidRPr="0019790A">
              <w:rPr>
                <w:rFonts w:cs="Arial"/>
                <w:b/>
                <w:szCs w:val="22"/>
              </w:rPr>
              <w:t>2025 – 2028 роки:</w:t>
            </w:r>
          </w:p>
        </w:tc>
      </w:tr>
      <w:tr w:rsidR="005342D5" w:rsidRPr="0019790A" w14:paraId="4EA4469B" w14:textId="77777777" w:rsidTr="00CD7662">
        <w:trPr>
          <w:jc w:val="right"/>
        </w:trPr>
        <w:tc>
          <w:tcPr>
            <w:tcW w:w="3425" w:type="dxa"/>
            <w:vMerge w:val="restart"/>
            <w:shd w:val="clear" w:color="auto" w:fill="FFFFFF"/>
            <w:vAlign w:val="center"/>
          </w:tcPr>
          <w:p w14:paraId="6E4B50BE" w14:textId="77777777" w:rsidR="005342D5" w:rsidRPr="0019790A" w:rsidRDefault="005342D5" w:rsidP="0019790A">
            <w:pPr>
              <w:rPr>
                <w:rFonts w:cs="Arial"/>
                <w:b/>
                <w:bCs/>
                <w:szCs w:val="22"/>
              </w:rPr>
            </w:pPr>
            <w:r w:rsidRPr="0019790A">
              <w:rPr>
                <w:rFonts w:cs="Arial"/>
                <w:b/>
                <w:bCs/>
                <w:szCs w:val="22"/>
              </w:rPr>
              <w:t>Орієнтовна вартість проєкту, тис. грн., в тому числі:</w:t>
            </w:r>
          </w:p>
        </w:tc>
        <w:tc>
          <w:tcPr>
            <w:tcW w:w="1254" w:type="dxa"/>
            <w:gridSpan w:val="2"/>
            <w:shd w:val="clear" w:color="auto" w:fill="E6E6E6"/>
            <w:vAlign w:val="center"/>
          </w:tcPr>
          <w:p w14:paraId="5A656C87" w14:textId="77777777" w:rsidR="005342D5" w:rsidRPr="0019790A" w:rsidRDefault="005342D5" w:rsidP="00CD7662">
            <w:pPr>
              <w:jc w:val="center"/>
              <w:rPr>
                <w:rFonts w:cs="Arial"/>
                <w:b/>
                <w:szCs w:val="22"/>
              </w:rPr>
            </w:pPr>
            <w:r w:rsidRPr="0019790A">
              <w:rPr>
                <w:rFonts w:cs="Arial"/>
                <w:b/>
                <w:szCs w:val="22"/>
              </w:rPr>
              <w:t>2025</w:t>
            </w:r>
          </w:p>
        </w:tc>
        <w:tc>
          <w:tcPr>
            <w:tcW w:w="1275" w:type="dxa"/>
            <w:shd w:val="clear" w:color="auto" w:fill="E6E6E6"/>
            <w:vAlign w:val="center"/>
          </w:tcPr>
          <w:p w14:paraId="00015947" w14:textId="77777777" w:rsidR="005342D5" w:rsidRPr="0019790A" w:rsidRDefault="005342D5" w:rsidP="00CD7662">
            <w:pPr>
              <w:jc w:val="center"/>
              <w:rPr>
                <w:rFonts w:cs="Arial"/>
                <w:b/>
                <w:szCs w:val="22"/>
              </w:rPr>
            </w:pPr>
            <w:r w:rsidRPr="0019790A">
              <w:rPr>
                <w:rFonts w:cs="Arial"/>
                <w:b/>
                <w:szCs w:val="22"/>
              </w:rPr>
              <w:t>2026</w:t>
            </w:r>
          </w:p>
        </w:tc>
        <w:tc>
          <w:tcPr>
            <w:tcW w:w="1418" w:type="dxa"/>
            <w:tcBorders>
              <w:bottom w:val="single" w:sz="4" w:space="0" w:color="auto"/>
            </w:tcBorders>
            <w:shd w:val="clear" w:color="auto" w:fill="E6E6E6"/>
            <w:vAlign w:val="center"/>
          </w:tcPr>
          <w:p w14:paraId="4ECAB14A" w14:textId="77777777" w:rsidR="005342D5" w:rsidRPr="0019790A" w:rsidRDefault="005342D5" w:rsidP="00CD7662">
            <w:pPr>
              <w:jc w:val="center"/>
              <w:rPr>
                <w:rFonts w:cs="Arial"/>
                <w:b/>
                <w:szCs w:val="22"/>
              </w:rPr>
            </w:pPr>
            <w:r w:rsidRPr="0019790A">
              <w:rPr>
                <w:rFonts w:cs="Arial"/>
                <w:b/>
                <w:szCs w:val="22"/>
              </w:rPr>
              <w:t>2027</w:t>
            </w:r>
          </w:p>
        </w:tc>
        <w:tc>
          <w:tcPr>
            <w:tcW w:w="1276" w:type="dxa"/>
            <w:gridSpan w:val="2"/>
            <w:shd w:val="clear" w:color="auto" w:fill="E6E6E6"/>
            <w:vAlign w:val="center"/>
          </w:tcPr>
          <w:p w14:paraId="51003C13" w14:textId="77777777" w:rsidR="005342D5" w:rsidRPr="0019790A" w:rsidRDefault="005342D5" w:rsidP="00CD7662">
            <w:pPr>
              <w:jc w:val="center"/>
              <w:rPr>
                <w:rFonts w:cs="Arial"/>
                <w:b/>
                <w:szCs w:val="22"/>
              </w:rPr>
            </w:pPr>
            <w:r w:rsidRPr="0019790A">
              <w:rPr>
                <w:rFonts w:cs="Arial"/>
                <w:b/>
                <w:szCs w:val="22"/>
              </w:rPr>
              <w:t>2028</w:t>
            </w:r>
          </w:p>
        </w:tc>
        <w:tc>
          <w:tcPr>
            <w:tcW w:w="1571" w:type="dxa"/>
            <w:gridSpan w:val="2"/>
            <w:shd w:val="clear" w:color="auto" w:fill="E6E6E6"/>
            <w:vAlign w:val="center"/>
          </w:tcPr>
          <w:p w14:paraId="110D8497" w14:textId="77777777" w:rsidR="005342D5" w:rsidRPr="0019790A" w:rsidRDefault="005342D5" w:rsidP="00CD7662">
            <w:pPr>
              <w:jc w:val="center"/>
              <w:rPr>
                <w:rFonts w:cs="Arial"/>
                <w:b/>
                <w:szCs w:val="22"/>
              </w:rPr>
            </w:pPr>
            <w:r w:rsidRPr="0019790A">
              <w:rPr>
                <w:rFonts w:cs="Arial"/>
                <w:b/>
                <w:szCs w:val="22"/>
              </w:rPr>
              <w:t>РАЗОМ</w:t>
            </w:r>
          </w:p>
        </w:tc>
      </w:tr>
      <w:tr w:rsidR="005342D5" w:rsidRPr="0019790A" w14:paraId="08D3E527" w14:textId="77777777" w:rsidTr="00CD7662">
        <w:trPr>
          <w:jc w:val="right"/>
        </w:trPr>
        <w:tc>
          <w:tcPr>
            <w:tcW w:w="3425" w:type="dxa"/>
            <w:vMerge/>
            <w:shd w:val="clear" w:color="auto" w:fill="FFFFFF"/>
            <w:vAlign w:val="center"/>
          </w:tcPr>
          <w:p w14:paraId="0F359987" w14:textId="77777777" w:rsidR="005342D5" w:rsidRPr="0019790A" w:rsidRDefault="005342D5" w:rsidP="0019790A">
            <w:pPr>
              <w:rPr>
                <w:rFonts w:cs="Arial"/>
                <w:b/>
                <w:bCs/>
                <w:szCs w:val="22"/>
              </w:rPr>
            </w:pPr>
          </w:p>
        </w:tc>
        <w:tc>
          <w:tcPr>
            <w:tcW w:w="1254" w:type="dxa"/>
            <w:gridSpan w:val="2"/>
            <w:vAlign w:val="center"/>
          </w:tcPr>
          <w:p w14:paraId="164F9521" w14:textId="77777777" w:rsidR="005342D5" w:rsidRPr="0019790A" w:rsidRDefault="005342D5" w:rsidP="00CD7662">
            <w:pPr>
              <w:jc w:val="center"/>
              <w:rPr>
                <w:rFonts w:cs="Arial"/>
                <w:b/>
                <w:szCs w:val="22"/>
              </w:rPr>
            </w:pPr>
          </w:p>
        </w:tc>
        <w:tc>
          <w:tcPr>
            <w:tcW w:w="1275" w:type="dxa"/>
            <w:shd w:val="clear" w:color="auto" w:fill="FFFFFF"/>
            <w:vAlign w:val="center"/>
          </w:tcPr>
          <w:p w14:paraId="0618D89A" w14:textId="77777777" w:rsidR="005342D5" w:rsidRPr="0019790A" w:rsidRDefault="005342D5" w:rsidP="00CD7662">
            <w:pPr>
              <w:jc w:val="center"/>
              <w:rPr>
                <w:rFonts w:cs="Arial"/>
                <w:b/>
                <w:szCs w:val="22"/>
              </w:rPr>
            </w:pPr>
            <w:r w:rsidRPr="0019790A">
              <w:rPr>
                <w:rFonts w:cs="Arial"/>
                <w:b/>
                <w:szCs w:val="22"/>
              </w:rPr>
              <w:t>1000,0</w:t>
            </w:r>
          </w:p>
        </w:tc>
        <w:tc>
          <w:tcPr>
            <w:tcW w:w="1418" w:type="dxa"/>
            <w:shd w:val="clear" w:color="auto" w:fill="auto"/>
            <w:vAlign w:val="center"/>
          </w:tcPr>
          <w:p w14:paraId="023A359C" w14:textId="77777777" w:rsidR="005342D5" w:rsidRPr="0019790A" w:rsidRDefault="005342D5" w:rsidP="00CD7662">
            <w:pPr>
              <w:jc w:val="center"/>
              <w:rPr>
                <w:rFonts w:cs="Arial"/>
                <w:b/>
                <w:szCs w:val="22"/>
              </w:rPr>
            </w:pPr>
            <w:r w:rsidRPr="0019790A">
              <w:rPr>
                <w:rFonts w:cs="Arial"/>
                <w:b/>
                <w:szCs w:val="22"/>
              </w:rPr>
              <w:t>1000,0</w:t>
            </w:r>
          </w:p>
        </w:tc>
        <w:tc>
          <w:tcPr>
            <w:tcW w:w="1276" w:type="dxa"/>
            <w:gridSpan w:val="2"/>
            <w:shd w:val="clear" w:color="auto" w:fill="FFFFFF"/>
            <w:vAlign w:val="center"/>
          </w:tcPr>
          <w:p w14:paraId="0E2754DA" w14:textId="77777777" w:rsidR="005342D5" w:rsidRPr="0019790A" w:rsidRDefault="005342D5" w:rsidP="00CD7662">
            <w:pPr>
              <w:jc w:val="center"/>
              <w:rPr>
                <w:rFonts w:cs="Arial"/>
                <w:b/>
                <w:szCs w:val="22"/>
              </w:rPr>
            </w:pPr>
            <w:r w:rsidRPr="0019790A">
              <w:rPr>
                <w:rFonts w:cs="Arial"/>
                <w:b/>
                <w:szCs w:val="22"/>
              </w:rPr>
              <w:t>500,0</w:t>
            </w:r>
          </w:p>
        </w:tc>
        <w:tc>
          <w:tcPr>
            <w:tcW w:w="1571" w:type="dxa"/>
            <w:gridSpan w:val="2"/>
            <w:shd w:val="clear" w:color="auto" w:fill="FFFFFF"/>
            <w:vAlign w:val="center"/>
          </w:tcPr>
          <w:p w14:paraId="15EEE500" w14:textId="77777777" w:rsidR="005342D5" w:rsidRPr="0019790A" w:rsidRDefault="005342D5" w:rsidP="00CD7662">
            <w:pPr>
              <w:jc w:val="center"/>
              <w:rPr>
                <w:rFonts w:cs="Arial"/>
                <w:b/>
                <w:szCs w:val="22"/>
              </w:rPr>
            </w:pPr>
            <w:r w:rsidRPr="0019790A">
              <w:rPr>
                <w:rFonts w:cs="Arial"/>
                <w:b/>
                <w:szCs w:val="22"/>
              </w:rPr>
              <w:t>2500,0</w:t>
            </w:r>
          </w:p>
        </w:tc>
      </w:tr>
      <w:tr w:rsidR="005342D5" w:rsidRPr="0019790A" w14:paraId="330CD3CF" w14:textId="77777777" w:rsidTr="00CD7662">
        <w:trPr>
          <w:trHeight w:val="276"/>
          <w:jc w:val="right"/>
        </w:trPr>
        <w:tc>
          <w:tcPr>
            <w:tcW w:w="3425" w:type="dxa"/>
            <w:shd w:val="clear" w:color="auto" w:fill="FFFFFF"/>
            <w:vAlign w:val="center"/>
          </w:tcPr>
          <w:p w14:paraId="440ACCD4" w14:textId="77777777" w:rsidR="005342D5" w:rsidRPr="0019790A" w:rsidRDefault="005342D5" w:rsidP="0019790A">
            <w:pPr>
              <w:rPr>
                <w:rFonts w:cs="Arial"/>
                <w:b/>
                <w:bCs/>
                <w:szCs w:val="22"/>
              </w:rPr>
            </w:pPr>
            <w:r w:rsidRPr="0019790A">
              <w:rPr>
                <w:rFonts w:cs="Arial"/>
                <w:b/>
                <w:bCs/>
                <w:szCs w:val="22"/>
              </w:rPr>
              <w:t>по джерелах фінансування:</w:t>
            </w:r>
          </w:p>
        </w:tc>
        <w:tc>
          <w:tcPr>
            <w:tcW w:w="6794" w:type="dxa"/>
            <w:gridSpan w:val="8"/>
            <w:vAlign w:val="center"/>
          </w:tcPr>
          <w:p w14:paraId="6D60BBAD" w14:textId="77777777" w:rsidR="005342D5" w:rsidRPr="0019790A" w:rsidRDefault="005342D5" w:rsidP="00CD7662">
            <w:pPr>
              <w:jc w:val="center"/>
              <w:rPr>
                <w:rFonts w:cs="Arial"/>
                <w:szCs w:val="22"/>
              </w:rPr>
            </w:pPr>
          </w:p>
        </w:tc>
      </w:tr>
      <w:tr w:rsidR="00CD7662" w:rsidRPr="0019790A" w14:paraId="5F8AA370" w14:textId="7149FB01" w:rsidTr="00CD7662">
        <w:trPr>
          <w:trHeight w:val="240"/>
          <w:jc w:val="right"/>
        </w:trPr>
        <w:tc>
          <w:tcPr>
            <w:tcW w:w="3425" w:type="dxa"/>
            <w:shd w:val="clear" w:color="auto" w:fill="FFFFFF"/>
            <w:vAlign w:val="center"/>
          </w:tcPr>
          <w:p w14:paraId="0E267EB3" w14:textId="77777777" w:rsidR="00CD7662" w:rsidRPr="0019790A" w:rsidRDefault="00CD7662" w:rsidP="0019790A">
            <w:pPr>
              <w:rPr>
                <w:rFonts w:cs="Arial"/>
                <w:b/>
                <w:bCs/>
                <w:szCs w:val="22"/>
              </w:rPr>
            </w:pPr>
            <w:r w:rsidRPr="0019790A">
              <w:rPr>
                <w:rFonts w:cs="Arial"/>
                <w:szCs w:val="22"/>
              </w:rPr>
              <w:t>- державний бюджет</w:t>
            </w:r>
          </w:p>
        </w:tc>
        <w:tc>
          <w:tcPr>
            <w:tcW w:w="1248" w:type="dxa"/>
            <w:vAlign w:val="center"/>
          </w:tcPr>
          <w:p w14:paraId="75D74BFA" w14:textId="77777777" w:rsidR="00CD7662" w:rsidRPr="0019790A" w:rsidRDefault="00CD7662" w:rsidP="00CD7662">
            <w:pPr>
              <w:jc w:val="center"/>
              <w:rPr>
                <w:rFonts w:cs="Arial"/>
                <w:szCs w:val="22"/>
              </w:rPr>
            </w:pPr>
          </w:p>
        </w:tc>
        <w:tc>
          <w:tcPr>
            <w:tcW w:w="1277" w:type="dxa"/>
            <w:gridSpan w:val="2"/>
            <w:vAlign w:val="center"/>
          </w:tcPr>
          <w:p w14:paraId="754C59D8" w14:textId="77777777" w:rsidR="00CD7662" w:rsidRPr="0019790A" w:rsidRDefault="00CD7662" w:rsidP="00CD7662">
            <w:pPr>
              <w:jc w:val="center"/>
              <w:rPr>
                <w:rFonts w:cs="Arial"/>
                <w:szCs w:val="22"/>
              </w:rPr>
            </w:pPr>
          </w:p>
        </w:tc>
        <w:tc>
          <w:tcPr>
            <w:tcW w:w="1440" w:type="dxa"/>
            <w:gridSpan w:val="2"/>
            <w:vAlign w:val="center"/>
          </w:tcPr>
          <w:p w14:paraId="3122A73C" w14:textId="77777777" w:rsidR="00CD7662" w:rsidRPr="0019790A" w:rsidRDefault="00CD7662" w:rsidP="00CD7662">
            <w:pPr>
              <w:jc w:val="center"/>
              <w:rPr>
                <w:rFonts w:cs="Arial"/>
                <w:szCs w:val="22"/>
              </w:rPr>
            </w:pPr>
          </w:p>
        </w:tc>
        <w:tc>
          <w:tcPr>
            <w:tcW w:w="1286" w:type="dxa"/>
            <w:gridSpan w:val="2"/>
            <w:vAlign w:val="center"/>
          </w:tcPr>
          <w:p w14:paraId="56FB0E01" w14:textId="77777777" w:rsidR="00CD7662" w:rsidRPr="0019790A" w:rsidRDefault="00CD7662" w:rsidP="00CD7662">
            <w:pPr>
              <w:jc w:val="center"/>
              <w:rPr>
                <w:rFonts w:cs="Arial"/>
                <w:szCs w:val="22"/>
              </w:rPr>
            </w:pPr>
          </w:p>
        </w:tc>
        <w:tc>
          <w:tcPr>
            <w:tcW w:w="1543" w:type="dxa"/>
            <w:vAlign w:val="center"/>
          </w:tcPr>
          <w:p w14:paraId="3E2F3A98" w14:textId="77777777" w:rsidR="00CD7662" w:rsidRPr="0019790A" w:rsidRDefault="00CD7662" w:rsidP="00CD7662">
            <w:pPr>
              <w:jc w:val="center"/>
              <w:rPr>
                <w:rFonts w:cs="Arial"/>
                <w:szCs w:val="22"/>
              </w:rPr>
            </w:pPr>
          </w:p>
        </w:tc>
      </w:tr>
      <w:tr w:rsidR="00CD7662" w:rsidRPr="0019790A" w14:paraId="1D623153" w14:textId="393122F2" w:rsidTr="00CD7662">
        <w:trPr>
          <w:trHeight w:val="287"/>
          <w:jc w:val="right"/>
        </w:trPr>
        <w:tc>
          <w:tcPr>
            <w:tcW w:w="3425" w:type="dxa"/>
            <w:shd w:val="clear" w:color="auto" w:fill="FFFFFF"/>
            <w:vAlign w:val="center"/>
          </w:tcPr>
          <w:p w14:paraId="64ACF5FF" w14:textId="77777777" w:rsidR="00CD7662" w:rsidRPr="0019790A" w:rsidRDefault="00CD7662" w:rsidP="0019790A">
            <w:pPr>
              <w:rPr>
                <w:rFonts w:cs="Arial"/>
                <w:szCs w:val="22"/>
              </w:rPr>
            </w:pPr>
            <w:r w:rsidRPr="0019790A">
              <w:rPr>
                <w:rFonts w:cs="Arial"/>
                <w:szCs w:val="22"/>
              </w:rPr>
              <w:t>- обласний бюджет</w:t>
            </w:r>
          </w:p>
        </w:tc>
        <w:tc>
          <w:tcPr>
            <w:tcW w:w="1248" w:type="dxa"/>
            <w:vAlign w:val="center"/>
          </w:tcPr>
          <w:p w14:paraId="5A663092" w14:textId="77777777" w:rsidR="00CD7662" w:rsidRPr="0019790A" w:rsidRDefault="00CD7662" w:rsidP="00CD7662">
            <w:pPr>
              <w:jc w:val="center"/>
              <w:rPr>
                <w:rFonts w:cs="Arial"/>
                <w:szCs w:val="22"/>
              </w:rPr>
            </w:pPr>
          </w:p>
        </w:tc>
        <w:tc>
          <w:tcPr>
            <w:tcW w:w="1277" w:type="dxa"/>
            <w:gridSpan w:val="2"/>
            <w:vAlign w:val="center"/>
          </w:tcPr>
          <w:p w14:paraId="6DC921B8" w14:textId="77777777" w:rsidR="00CD7662" w:rsidRPr="0019790A" w:rsidRDefault="00CD7662" w:rsidP="00CD7662">
            <w:pPr>
              <w:jc w:val="center"/>
              <w:rPr>
                <w:rFonts w:cs="Arial"/>
                <w:szCs w:val="22"/>
              </w:rPr>
            </w:pPr>
          </w:p>
        </w:tc>
        <w:tc>
          <w:tcPr>
            <w:tcW w:w="1440" w:type="dxa"/>
            <w:gridSpan w:val="2"/>
            <w:vAlign w:val="center"/>
          </w:tcPr>
          <w:p w14:paraId="023F87DB" w14:textId="77777777" w:rsidR="00CD7662" w:rsidRPr="0019790A" w:rsidRDefault="00CD7662" w:rsidP="00CD7662">
            <w:pPr>
              <w:jc w:val="center"/>
              <w:rPr>
                <w:rFonts w:cs="Arial"/>
                <w:szCs w:val="22"/>
              </w:rPr>
            </w:pPr>
          </w:p>
        </w:tc>
        <w:tc>
          <w:tcPr>
            <w:tcW w:w="1286" w:type="dxa"/>
            <w:gridSpan w:val="2"/>
            <w:vAlign w:val="center"/>
          </w:tcPr>
          <w:p w14:paraId="6DA049FE" w14:textId="77777777" w:rsidR="00CD7662" w:rsidRPr="0019790A" w:rsidRDefault="00CD7662" w:rsidP="00CD7662">
            <w:pPr>
              <w:jc w:val="center"/>
              <w:rPr>
                <w:rFonts w:cs="Arial"/>
                <w:szCs w:val="22"/>
              </w:rPr>
            </w:pPr>
          </w:p>
        </w:tc>
        <w:tc>
          <w:tcPr>
            <w:tcW w:w="1543" w:type="dxa"/>
            <w:vAlign w:val="center"/>
          </w:tcPr>
          <w:p w14:paraId="2D1667A5" w14:textId="77777777" w:rsidR="00CD7662" w:rsidRPr="0019790A" w:rsidRDefault="00CD7662" w:rsidP="00CD7662">
            <w:pPr>
              <w:jc w:val="center"/>
              <w:rPr>
                <w:rFonts w:cs="Arial"/>
                <w:szCs w:val="22"/>
              </w:rPr>
            </w:pPr>
          </w:p>
        </w:tc>
      </w:tr>
      <w:tr w:rsidR="00CD7662" w:rsidRPr="0019790A" w14:paraId="19ADCB6F" w14:textId="6428933C" w:rsidTr="00CD7662">
        <w:trPr>
          <w:trHeight w:val="275"/>
          <w:jc w:val="right"/>
        </w:trPr>
        <w:tc>
          <w:tcPr>
            <w:tcW w:w="3425" w:type="dxa"/>
            <w:shd w:val="clear" w:color="auto" w:fill="FFFFFF"/>
            <w:vAlign w:val="center"/>
          </w:tcPr>
          <w:p w14:paraId="5B0B0049" w14:textId="77777777" w:rsidR="00CD7662" w:rsidRPr="0019790A" w:rsidRDefault="00CD7662" w:rsidP="0019790A">
            <w:pPr>
              <w:rPr>
                <w:rFonts w:cs="Arial"/>
                <w:szCs w:val="22"/>
              </w:rPr>
            </w:pPr>
            <w:r w:rsidRPr="0019790A">
              <w:rPr>
                <w:rFonts w:cs="Arial"/>
                <w:szCs w:val="22"/>
              </w:rPr>
              <w:t>- бюджет Жмеринської МТГ</w:t>
            </w:r>
          </w:p>
        </w:tc>
        <w:tc>
          <w:tcPr>
            <w:tcW w:w="1248" w:type="dxa"/>
            <w:vAlign w:val="center"/>
          </w:tcPr>
          <w:p w14:paraId="5016E721" w14:textId="7D53D0B3" w:rsidR="00CD7662" w:rsidRPr="00CD7662" w:rsidRDefault="00CD7662" w:rsidP="00CD7662">
            <w:pPr>
              <w:jc w:val="center"/>
              <w:rPr>
                <w:rFonts w:cs="Arial"/>
                <w:szCs w:val="22"/>
              </w:rPr>
            </w:pPr>
          </w:p>
        </w:tc>
        <w:tc>
          <w:tcPr>
            <w:tcW w:w="1277" w:type="dxa"/>
            <w:gridSpan w:val="2"/>
            <w:vAlign w:val="center"/>
          </w:tcPr>
          <w:p w14:paraId="55A75FBC" w14:textId="50AF5F81" w:rsidR="00CD7662" w:rsidRPr="00CD7662" w:rsidRDefault="00CD7662" w:rsidP="00CD7662">
            <w:pPr>
              <w:ind w:left="35"/>
              <w:jc w:val="center"/>
              <w:rPr>
                <w:rFonts w:cs="Arial"/>
                <w:szCs w:val="22"/>
              </w:rPr>
            </w:pPr>
            <w:r w:rsidRPr="00CD7662">
              <w:rPr>
                <w:rFonts w:cs="Arial"/>
                <w:szCs w:val="22"/>
              </w:rPr>
              <w:t>1000,0</w:t>
            </w:r>
          </w:p>
        </w:tc>
        <w:tc>
          <w:tcPr>
            <w:tcW w:w="1440" w:type="dxa"/>
            <w:gridSpan w:val="2"/>
            <w:vAlign w:val="center"/>
          </w:tcPr>
          <w:p w14:paraId="48F09713" w14:textId="7D3738CB" w:rsidR="00CD7662" w:rsidRPr="00CD7662" w:rsidRDefault="00CD7662" w:rsidP="00CD7662">
            <w:pPr>
              <w:ind w:left="196"/>
              <w:jc w:val="center"/>
              <w:rPr>
                <w:rFonts w:cs="Arial"/>
                <w:szCs w:val="22"/>
              </w:rPr>
            </w:pPr>
            <w:r w:rsidRPr="00CD7662">
              <w:rPr>
                <w:rFonts w:cs="Arial"/>
                <w:szCs w:val="22"/>
              </w:rPr>
              <w:t>1000,0</w:t>
            </w:r>
          </w:p>
        </w:tc>
        <w:tc>
          <w:tcPr>
            <w:tcW w:w="1286" w:type="dxa"/>
            <w:gridSpan w:val="2"/>
            <w:vAlign w:val="center"/>
          </w:tcPr>
          <w:p w14:paraId="5EE15D27" w14:textId="5536E6DC" w:rsidR="00CD7662" w:rsidRPr="00CD7662" w:rsidRDefault="00CD7662" w:rsidP="00CD7662">
            <w:pPr>
              <w:ind w:left="356"/>
              <w:jc w:val="center"/>
              <w:rPr>
                <w:rFonts w:cs="Arial"/>
                <w:szCs w:val="22"/>
              </w:rPr>
            </w:pPr>
            <w:r w:rsidRPr="00CD7662">
              <w:rPr>
                <w:rFonts w:cs="Arial"/>
                <w:szCs w:val="22"/>
              </w:rPr>
              <w:t>500,0</w:t>
            </w:r>
          </w:p>
        </w:tc>
        <w:tc>
          <w:tcPr>
            <w:tcW w:w="1543" w:type="dxa"/>
            <w:vAlign w:val="center"/>
          </w:tcPr>
          <w:p w14:paraId="03A54E4D" w14:textId="283D5D74" w:rsidR="00CD7662" w:rsidRPr="00CD7662" w:rsidRDefault="00CD7662" w:rsidP="00CD7662">
            <w:pPr>
              <w:ind w:left="641"/>
              <w:jc w:val="center"/>
              <w:rPr>
                <w:rFonts w:cs="Arial"/>
                <w:szCs w:val="22"/>
              </w:rPr>
            </w:pPr>
            <w:r w:rsidRPr="00CD7662">
              <w:rPr>
                <w:rFonts w:cs="Arial"/>
                <w:szCs w:val="22"/>
              </w:rPr>
              <w:t>2500,0</w:t>
            </w:r>
          </w:p>
        </w:tc>
      </w:tr>
      <w:tr w:rsidR="00CD7662" w:rsidRPr="0019790A" w14:paraId="391D9581" w14:textId="53DC21FC" w:rsidTr="00CD7662">
        <w:trPr>
          <w:trHeight w:val="226"/>
          <w:jc w:val="right"/>
        </w:trPr>
        <w:tc>
          <w:tcPr>
            <w:tcW w:w="3425" w:type="dxa"/>
            <w:shd w:val="clear" w:color="auto" w:fill="FFFFFF"/>
            <w:vAlign w:val="center"/>
          </w:tcPr>
          <w:p w14:paraId="3B623120" w14:textId="77777777" w:rsidR="00CD7662" w:rsidRPr="0019790A" w:rsidRDefault="00CD7662" w:rsidP="0019790A">
            <w:pPr>
              <w:rPr>
                <w:rFonts w:cs="Arial"/>
                <w:szCs w:val="22"/>
              </w:rPr>
            </w:pPr>
            <w:r w:rsidRPr="0019790A">
              <w:rPr>
                <w:rFonts w:cs="Arial"/>
                <w:szCs w:val="22"/>
              </w:rPr>
              <w:t>- інші джерела фінансування</w:t>
            </w:r>
          </w:p>
        </w:tc>
        <w:tc>
          <w:tcPr>
            <w:tcW w:w="1248" w:type="dxa"/>
            <w:vAlign w:val="center"/>
          </w:tcPr>
          <w:p w14:paraId="41035D42" w14:textId="77777777" w:rsidR="00CD7662" w:rsidRPr="0019790A" w:rsidRDefault="00CD7662" w:rsidP="00CD7662">
            <w:pPr>
              <w:jc w:val="center"/>
              <w:rPr>
                <w:rFonts w:cs="Arial"/>
                <w:szCs w:val="22"/>
              </w:rPr>
            </w:pPr>
          </w:p>
        </w:tc>
        <w:tc>
          <w:tcPr>
            <w:tcW w:w="1277" w:type="dxa"/>
            <w:gridSpan w:val="2"/>
            <w:vAlign w:val="center"/>
          </w:tcPr>
          <w:p w14:paraId="5949B0FB" w14:textId="77777777" w:rsidR="00CD7662" w:rsidRPr="0019790A" w:rsidRDefault="00CD7662" w:rsidP="00CD7662">
            <w:pPr>
              <w:jc w:val="center"/>
              <w:rPr>
                <w:rFonts w:cs="Arial"/>
                <w:szCs w:val="22"/>
              </w:rPr>
            </w:pPr>
          </w:p>
        </w:tc>
        <w:tc>
          <w:tcPr>
            <w:tcW w:w="1440" w:type="dxa"/>
            <w:gridSpan w:val="2"/>
            <w:vAlign w:val="center"/>
          </w:tcPr>
          <w:p w14:paraId="6F2A181F" w14:textId="77777777" w:rsidR="00CD7662" w:rsidRPr="0019790A" w:rsidRDefault="00CD7662" w:rsidP="00CD7662">
            <w:pPr>
              <w:jc w:val="center"/>
              <w:rPr>
                <w:rFonts w:cs="Arial"/>
                <w:szCs w:val="22"/>
              </w:rPr>
            </w:pPr>
          </w:p>
        </w:tc>
        <w:tc>
          <w:tcPr>
            <w:tcW w:w="1286" w:type="dxa"/>
            <w:gridSpan w:val="2"/>
            <w:vAlign w:val="center"/>
          </w:tcPr>
          <w:p w14:paraId="39BCEADF" w14:textId="77777777" w:rsidR="00CD7662" w:rsidRPr="0019790A" w:rsidRDefault="00CD7662" w:rsidP="00CD7662">
            <w:pPr>
              <w:jc w:val="center"/>
              <w:rPr>
                <w:rFonts w:cs="Arial"/>
                <w:szCs w:val="22"/>
              </w:rPr>
            </w:pPr>
          </w:p>
        </w:tc>
        <w:tc>
          <w:tcPr>
            <w:tcW w:w="1543" w:type="dxa"/>
            <w:vAlign w:val="center"/>
          </w:tcPr>
          <w:p w14:paraId="3F10A3AD" w14:textId="77777777" w:rsidR="00CD7662" w:rsidRPr="0019790A" w:rsidRDefault="00CD7662" w:rsidP="00CD7662">
            <w:pPr>
              <w:jc w:val="center"/>
              <w:rPr>
                <w:rFonts w:cs="Arial"/>
                <w:szCs w:val="22"/>
              </w:rPr>
            </w:pPr>
          </w:p>
        </w:tc>
      </w:tr>
      <w:tr w:rsidR="005342D5" w:rsidRPr="0019790A" w14:paraId="0E0C7A3C" w14:textId="77777777" w:rsidTr="00CD7662">
        <w:trPr>
          <w:jc w:val="right"/>
        </w:trPr>
        <w:tc>
          <w:tcPr>
            <w:tcW w:w="3425" w:type="dxa"/>
            <w:shd w:val="clear" w:color="auto" w:fill="FFFFFF"/>
            <w:vAlign w:val="center"/>
          </w:tcPr>
          <w:p w14:paraId="3EFD3840" w14:textId="77777777" w:rsidR="005342D5" w:rsidRPr="0019790A" w:rsidRDefault="005342D5" w:rsidP="0019790A">
            <w:pPr>
              <w:rPr>
                <w:rFonts w:cs="Arial"/>
                <w:b/>
                <w:bCs/>
                <w:szCs w:val="22"/>
              </w:rPr>
            </w:pPr>
            <w:r w:rsidRPr="0019790A">
              <w:rPr>
                <w:rFonts w:cs="Arial"/>
                <w:b/>
                <w:szCs w:val="22"/>
              </w:rPr>
              <w:t>Відповідальний виконавець проєкту:</w:t>
            </w:r>
          </w:p>
        </w:tc>
        <w:tc>
          <w:tcPr>
            <w:tcW w:w="6794" w:type="dxa"/>
            <w:gridSpan w:val="8"/>
            <w:vAlign w:val="center"/>
          </w:tcPr>
          <w:p w14:paraId="10725AA7" w14:textId="795D9E6C" w:rsidR="005342D5" w:rsidRPr="0019790A" w:rsidRDefault="005342D5" w:rsidP="00CD7662">
            <w:pPr>
              <w:jc w:val="both"/>
              <w:rPr>
                <w:rFonts w:cs="Arial"/>
                <w:szCs w:val="22"/>
              </w:rPr>
            </w:pPr>
            <w:r w:rsidRPr="0019790A">
              <w:rPr>
                <w:rFonts w:cs="Arial"/>
                <w:szCs w:val="22"/>
              </w:rPr>
              <w:t xml:space="preserve">Відділ молоді та спорту Жмеринської міської ради, КЗ «ЖДЮСШ» </w:t>
            </w:r>
          </w:p>
        </w:tc>
      </w:tr>
      <w:tr w:rsidR="005342D5" w:rsidRPr="0019790A" w14:paraId="1B722672" w14:textId="77777777" w:rsidTr="00CF3AAE">
        <w:trPr>
          <w:jc w:val="right"/>
        </w:trPr>
        <w:tc>
          <w:tcPr>
            <w:tcW w:w="3425" w:type="dxa"/>
            <w:shd w:val="clear" w:color="auto" w:fill="FFFFFF"/>
            <w:vAlign w:val="center"/>
          </w:tcPr>
          <w:p w14:paraId="0FBA00CE" w14:textId="77777777" w:rsidR="005342D5" w:rsidRPr="0019790A" w:rsidRDefault="005342D5" w:rsidP="0019790A">
            <w:pPr>
              <w:rPr>
                <w:rFonts w:cs="Arial"/>
                <w:b/>
                <w:bCs/>
                <w:szCs w:val="22"/>
              </w:rPr>
            </w:pPr>
            <w:r w:rsidRPr="0019790A">
              <w:rPr>
                <w:rFonts w:cs="Arial"/>
                <w:b/>
                <w:bCs/>
                <w:szCs w:val="22"/>
              </w:rPr>
              <w:t>Інше:</w:t>
            </w:r>
          </w:p>
        </w:tc>
        <w:tc>
          <w:tcPr>
            <w:tcW w:w="6794" w:type="dxa"/>
            <w:gridSpan w:val="8"/>
            <w:vAlign w:val="center"/>
          </w:tcPr>
          <w:p w14:paraId="6DBD8A5E" w14:textId="77777777" w:rsidR="005342D5" w:rsidRPr="0019790A" w:rsidRDefault="005342D5" w:rsidP="0019790A">
            <w:pPr>
              <w:rPr>
                <w:rFonts w:cs="Arial"/>
                <w:szCs w:val="22"/>
              </w:rPr>
            </w:pPr>
          </w:p>
        </w:tc>
      </w:tr>
    </w:tbl>
    <w:p w14:paraId="0539A548" w14:textId="77777777" w:rsidR="005342D5" w:rsidRPr="0019790A" w:rsidRDefault="005342D5" w:rsidP="0019790A">
      <w:pPr>
        <w:rPr>
          <w:rFonts w:cs="Arial"/>
          <w:szCs w:val="22"/>
        </w:rPr>
      </w:pPr>
    </w:p>
    <w:p w14:paraId="315DC4E6" w14:textId="77777777" w:rsidR="005342D5" w:rsidRPr="0019790A" w:rsidRDefault="005342D5" w:rsidP="0019790A">
      <w:pPr>
        <w:jc w:val="center"/>
        <w:rPr>
          <w:rFonts w:cs="Arial"/>
          <w:b/>
          <w:szCs w:val="22"/>
        </w:rPr>
      </w:pPr>
      <w:r w:rsidRPr="0019790A">
        <w:rPr>
          <w:rFonts w:cs="Arial"/>
          <w:b/>
          <w:szCs w:val="22"/>
        </w:rPr>
        <w:t>Форма технічного завдання на проєкт місцевого розвитку</w:t>
      </w:r>
    </w:p>
    <w:p w14:paraId="755774FB" w14:textId="77777777" w:rsidR="005342D5" w:rsidRPr="0019790A" w:rsidRDefault="005342D5" w:rsidP="0019790A">
      <w:pPr>
        <w:jc w:val="center"/>
        <w:rPr>
          <w:rFonts w:cs="Arial"/>
          <w:b/>
          <w:szCs w:val="22"/>
        </w:rPr>
      </w:pPr>
      <w:r w:rsidRPr="0019790A">
        <w:rPr>
          <w:rFonts w:cs="Arial"/>
          <w:b/>
          <w:szCs w:val="22"/>
        </w:rPr>
        <w:t>до Плану заходів з реалізації Стратегії</w:t>
      </w:r>
    </w:p>
    <w:p w14:paraId="372FC1B0" w14:textId="77777777" w:rsidR="005342D5" w:rsidRPr="0019790A" w:rsidRDefault="005342D5"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3"/>
        <w:gridCol w:w="1258"/>
        <w:gridCol w:w="1275"/>
        <w:gridCol w:w="11"/>
        <w:gridCol w:w="1406"/>
        <w:gridCol w:w="23"/>
        <w:gridCol w:w="1219"/>
        <w:gridCol w:w="34"/>
        <w:gridCol w:w="1570"/>
      </w:tblGrid>
      <w:tr w:rsidR="005342D5" w:rsidRPr="0019790A" w14:paraId="3D42053C" w14:textId="77777777" w:rsidTr="00CD7662">
        <w:trPr>
          <w:trHeight w:val="430"/>
          <w:jc w:val="right"/>
        </w:trPr>
        <w:tc>
          <w:tcPr>
            <w:tcW w:w="3425" w:type="dxa"/>
            <w:vAlign w:val="center"/>
          </w:tcPr>
          <w:p w14:paraId="3E264432" w14:textId="77777777" w:rsidR="005342D5" w:rsidRPr="0019790A" w:rsidRDefault="005342D5" w:rsidP="00CD7662">
            <w:pPr>
              <w:rPr>
                <w:rFonts w:cs="Arial"/>
                <w:b/>
                <w:bCs/>
                <w:szCs w:val="22"/>
              </w:rPr>
            </w:pPr>
            <w:r w:rsidRPr="0019790A">
              <w:rPr>
                <w:rFonts w:cs="Arial"/>
                <w:b/>
                <w:bCs/>
                <w:szCs w:val="22"/>
              </w:rPr>
              <w:t>Назва проєкту:</w:t>
            </w:r>
          </w:p>
        </w:tc>
        <w:tc>
          <w:tcPr>
            <w:tcW w:w="6794" w:type="dxa"/>
            <w:gridSpan w:val="8"/>
            <w:vAlign w:val="center"/>
          </w:tcPr>
          <w:p w14:paraId="5D130209" w14:textId="77777777" w:rsidR="005342D5" w:rsidRPr="00CD7662" w:rsidRDefault="005342D5" w:rsidP="00CD7662">
            <w:pPr>
              <w:rPr>
                <w:rFonts w:cs="Arial"/>
                <w:b/>
                <w:szCs w:val="22"/>
              </w:rPr>
            </w:pPr>
            <w:r w:rsidRPr="00CD7662">
              <w:rPr>
                <w:rFonts w:cs="Arial"/>
                <w:b/>
                <w:szCs w:val="22"/>
              </w:rPr>
              <w:t>«Територія дії: розвиток молодіжного лідерства та участі»</w:t>
            </w:r>
          </w:p>
        </w:tc>
      </w:tr>
      <w:tr w:rsidR="005342D5" w:rsidRPr="0019790A" w14:paraId="515C0B60" w14:textId="77777777" w:rsidTr="00CD7662">
        <w:trPr>
          <w:jc w:val="right"/>
        </w:trPr>
        <w:tc>
          <w:tcPr>
            <w:tcW w:w="3425" w:type="dxa"/>
          </w:tcPr>
          <w:p w14:paraId="28CFB334" w14:textId="77777777" w:rsidR="005342D5" w:rsidRPr="0019790A" w:rsidRDefault="005342D5" w:rsidP="0019790A">
            <w:pPr>
              <w:rPr>
                <w:rFonts w:cs="Arial"/>
                <w:szCs w:val="22"/>
              </w:rPr>
            </w:pPr>
            <w:r w:rsidRPr="0019790A">
              <w:rPr>
                <w:rFonts w:cs="Arial"/>
                <w:b/>
                <w:bCs/>
                <w:szCs w:val="22"/>
              </w:rPr>
              <w:t>Ваші контакти</w:t>
            </w:r>
            <w:r w:rsidRPr="0019790A">
              <w:rPr>
                <w:rFonts w:cs="Arial"/>
                <w:szCs w:val="22"/>
              </w:rPr>
              <w:t>:</w:t>
            </w:r>
          </w:p>
          <w:p w14:paraId="431A94A7" w14:textId="77777777" w:rsidR="005342D5" w:rsidRPr="0019790A" w:rsidRDefault="005342D5" w:rsidP="0019790A">
            <w:pPr>
              <w:rPr>
                <w:rFonts w:cs="Arial"/>
                <w:b/>
                <w:bCs/>
                <w:szCs w:val="22"/>
              </w:rPr>
            </w:pPr>
            <w:r w:rsidRPr="0019790A">
              <w:rPr>
                <w:rFonts w:cs="Arial"/>
                <w:szCs w:val="22"/>
              </w:rPr>
              <w:t>Назва установи, організації, підприємства</w:t>
            </w:r>
          </w:p>
        </w:tc>
        <w:tc>
          <w:tcPr>
            <w:tcW w:w="6794" w:type="dxa"/>
            <w:gridSpan w:val="8"/>
            <w:vAlign w:val="center"/>
          </w:tcPr>
          <w:p w14:paraId="6DC59E6F" w14:textId="77777777" w:rsidR="005342D5" w:rsidRPr="0019790A" w:rsidRDefault="005342D5" w:rsidP="00CD7662">
            <w:pPr>
              <w:tabs>
                <w:tab w:val="left" w:pos="162"/>
                <w:tab w:val="left" w:pos="335"/>
              </w:tabs>
              <w:jc w:val="both"/>
              <w:rPr>
                <w:rFonts w:cs="Arial"/>
                <w:szCs w:val="22"/>
              </w:rPr>
            </w:pPr>
            <w:r w:rsidRPr="0019790A">
              <w:rPr>
                <w:rFonts w:cs="Arial"/>
                <w:szCs w:val="22"/>
              </w:rPr>
              <w:t>Відділ молоді та спорту Жмеринської міської ради</w:t>
            </w:r>
          </w:p>
        </w:tc>
      </w:tr>
      <w:tr w:rsidR="005342D5" w:rsidRPr="0019790A" w14:paraId="1A822FD6" w14:textId="77777777" w:rsidTr="00CD7662">
        <w:trPr>
          <w:jc w:val="right"/>
        </w:trPr>
        <w:tc>
          <w:tcPr>
            <w:tcW w:w="3425" w:type="dxa"/>
          </w:tcPr>
          <w:p w14:paraId="532D2FE0" w14:textId="77777777" w:rsidR="005342D5" w:rsidRPr="0019790A" w:rsidRDefault="005342D5" w:rsidP="0019790A">
            <w:pPr>
              <w:rPr>
                <w:rFonts w:cs="Arial"/>
                <w:b/>
                <w:bCs/>
                <w:szCs w:val="22"/>
              </w:rPr>
            </w:pPr>
            <w:r w:rsidRPr="0019790A">
              <w:rPr>
                <w:rFonts w:cs="Arial"/>
                <w:szCs w:val="22"/>
              </w:rPr>
              <w:t>Прізвище Ім’я По-батькові:</w:t>
            </w:r>
          </w:p>
        </w:tc>
        <w:tc>
          <w:tcPr>
            <w:tcW w:w="6794" w:type="dxa"/>
            <w:gridSpan w:val="8"/>
            <w:vAlign w:val="center"/>
          </w:tcPr>
          <w:p w14:paraId="07928197" w14:textId="77777777" w:rsidR="005342D5" w:rsidRPr="0019790A" w:rsidRDefault="005342D5" w:rsidP="00CD7662">
            <w:pPr>
              <w:tabs>
                <w:tab w:val="left" w:pos="162"/>
                <w:tab w:val="left" w:pos="335"/>
              </w:tabs>
              <w:jc w:val="both"/>
              <w:rPr>
                <w:rFonts w:cs="Arial"/>
                <w:szCs w:val="22"/>
              </w:rPr>
            </w:pPr>
            <w:r w:rsidRPr="0019790A">
              <w:rPr>
                <w:rFonts w:cs="Arial"/>
                <w:szCs w:val="22"/>
              </w:rPr>
              <w:t>Ковальська Олена Віталіївна</w:t>
            </w:r>
          </w:p>
        </w:tc>
      </w:tr>
      <w:tr w:rsidR="005342D5" w:rsidRPr="0019790A" w14:paraId="745B5634" w14:textId="77777777" w:rsidTr="00CD7662">
        <w:trPr>
          <w:jc w:val="right"/>
        </w:trPr>
        <w:tc>
          <w:tcPr>
            <w:tcW w:w="3425" w:type="dxa"/>
          </w:tcPr>
          <w:p w14:paraId="0F71DE24" w14:textId="77777777" w:rsidR="005342D5" w:rsidRPr="0019790A" w:rsidRDefault="005342D5" w:rsidP="0019790A">
            <w:pPr>
              <w:rPr>
                <w:rFonts w:cs="Arial"/>
                <w:b/>
                <w:bCs/>
                <w:szCs w:val="22"/>
              </w:rPr>
            </w:pPr>
            <w:r w:rsidRPr="0019790A">
              <w:rPr>
                <w:rFonts w:cs="Arial"/>
                <w:szCs w:val="22"/>
              </w:rPr>
              <w:t>Телефон (мобільний):</w:t>
            </w:r>
          </w:p>
        </w:tc>
        <w:tc>
          <w:tcPr>
            <w:tcW w:w="6794" w:type="dxa"/>
            <w:gridSpan w:val="8"/>
            <w:vAlign w:val="center"/>
          </w:tcPr>
          <w:p w14:paraId="1E63C3CD" w14:textId="77777777" w:rsidR="005342D5" w:rsidRPr="0019790A" w:rsidRDefault="005342D5" w:rsidP="00CD7662">
            <w:pPr>
              <w:tabs>
                <w:tab w:val="left" w:pos="162"/>
                <w:tab w:val="left" w:pos="335"/>
              </w:tabs>
              <w:jc w:val="both"/>
              <w:rPr>
                <w:rFonts w:cs="Arial"/>
                <w:szCs w:val="22"/>
              </w:rPr>
            </w:pPr>
            <w:r w:rsidRPr="0019790A">
              <w:rPr>
                <w:rFonts w:cs="Arial"/>
                <w:szCs w:val="22"/>
              </w:rPr>
              <w:t>096-068-94-79</w:t>
            </w:r>
          </w:p>
        </w:tc>
      </w:tr>
      <w:tr w:rsidR="005342D5" w:rsidRPr="0019790A" w14:paraId="4A2BC667" w14:textId="77777777" w:rsidTr="00CD7662">
        <w:trPr>
          <w:jc w:val="right"/>
        </w:trPr>
        <w:tc>
          <w:tcPr>
            <w:tcW w:w="3425" w:type="dxa"/>
          </w:tcPr>
          <w:p w14:paraId="6F06F4B6" w14:textId="77777777" w:rsidR="005342D5" w:rsidRPr="0019790A" w:rsidRDefault="005342D5" w:rsidP="0019790A">
            <w:pPr>
              <w:rPr>
                <w:rFonts w:cs="Arial"/>
                <w:b/>
                <w:bCs/>
                <w:szCs w:val="22"/>
              </w:rPr>
            </w:pPr>
            <w:r w:rsidRPr="0019790A">
              <w:rPr>
                <w:rFonts w:cs="Arial"/>
                <w:szCs w:val="22"/>
              </w:rPr>
              <w:t>Електронна адреса:</w:t>
            </w:r>
          </w:p>
        </w:tc>
        <w:tc>
          <w:tcPr>
            <w:tcW w:w="6794" w:type="dxa"/>
            <w:gridSpan w:val="8"/>
            <w:vAlign w:val="center"/>
          </w:tcPr>
          <w:p w14:paraId="78E6D2A4" w14:textId="77777777" w:rsidR="005342D5" w:rsidRPr="0019790A" w:rsidRDefault="00D85FFD" w:rsidP="00CD7662">
            <w:pPr>
              <w:tabs>
                <w:tab w:val="left" w:pos="162"/>
                <w:tab w:val="left" w:pos="335"/>
              </w:tabs>
              <w:jc w:val="both"/>
              <w:rPr>
                <w:rFonts w:cs="Arial"/>
                <w:szCs w:val="22"/>
              </w:rPr>
            </w:pPr>
            <w:hyperlink r:id="rId164" w:history="1">
              <w:r w:rsidR="005342D5" w:rsidRPr="0019790A">
                <w:rPr>
                  <w:rStyle w:val="af0"/>
                  <w:rFonts w:cs="Arial"/>
                  <w:b/>
                  <w:bCs/>
                  <w:noProof w:val="0"/>
                  <w:sz w:val="22"/>
                  <w:szCs w:val="22"/>
                </w:rPr>
                <w:t>ms@zhmr.gov.ua</w:t>
              </w:r>
            </w:hyperlink>
          </w:p>
        </w:tc>
      </w:tr>
      <w:tr w:rsidR="005342D5" w:rsidRPr="0019790A" w14:paraId="20A5AC22" w14:textId="77777777" w:rsidTr="00CD7662">
        <w:trPr>
          <w:trHeight w:val="1319"/>
          <w:jc w:val="right"/>
        </w:trPr>
        <w:tc>
          <w:tcPr>
            <w:tcW w:w="3425" w:type="dxa"/>
            <w:vAlign w:val="center"/>
          </w:tcPr>
          <w:p w14:paraId="0C673BC2" w14:textId="77777777" w:rsidR="005342D5" w:rsidRPr="0019790A" w:rsidRDefault="005342D5" w:rsidP="0019790A">
            <w:pPr>
              <w:rPr>
                <w:rFonts w:cs="Arial"/>
                <w:b/>
                <w:bCs/>
                <w:szCs w:val="22"/>
              </w:rPr>
            </w:pPr>
            <w:r w:rsidRPr="0019790A">
              <w:rPr>
                <w:rFonts w:cs="Arial"/>
                <w:b/>
                <w:bCs/>
                <w:szCs w:val="22"/>
              </w:rPr>
              <w:t>Номер і назва завдання з Стратегії розвитку Жмеринської міської територіальної громади,  якому відповідає проєкт:</w:t>
            </w:r>
          </w:p>
        </w:tc>
        <w:tc>
          <w:tcPr>
            <w:tcW w:w="6794" w:type="dxa"/>
            <w:gridSpan w:val="8"/>
            <w:vAlign w:val="center"/>
          </w:tcPr>
          <w:p w14:paraId="23697B23" w14:textId="60604ABF" w:rsidR="005342D5" w:rsidRPr="0019790A" w:rsidRDefault="005342D5" w:rsidP="00CD7662">
            <w:pPr>
              <w:tabs>
                <w:tab w:val="left" w:pos="162"/>
                <w:tab w:val="left" w:pos="335"/>
              </w:tabs>
              <w:jc w:val="both"/>
              <w:rPr>
                <w:rFonts w:cs="Arial"/>
                <w:b/>
                <w:szCs w:val="22"/>
              </w:rPr>
            </w:pPr>
            <w:r w:rsidRPr="00CD7662">
              <w:rPr>
                <w:rFonts w:cs="Arial"/>
                <w:szCs w:val="22"/>
              </w:rPr>
              <w:t>С.3.5.1. Створення умов для самореалізації та участі дітей, молоді у житті громади.</w:t>
            </w:r>
          </w:p>
        </w:tc>
      </w:tr>
      <w:tr w:rsidR="005342D5" w:rsidRPr="0019790A" w14:paraId="68406729" w14:textId="77777777" w:rsidTr="00CD7662">
        <w:trPr>
          <w:trHeight w:val="673"/>
          <w:jc w:val="right"/>
        </w:trPr>
        <w:tc>
          <w:tcPr>
            <w:tcW w:w="3425" w:type="dxa"/>
            <w:vAlign w:val="center"/>
          </w:tcPr>
          <w:p w14:paraId="0EC95398" w14:textId="77777777" w:rsidR="005342D5" w:rsidRPr="0019790A" w:rsidRDefault="005342D5" w:rsidP="0019790A">
            <w:pPr>
              <w:rPr>
                <w:rFonts w:cs="Arial"/>
                <w:b/>
                <w:bCs/>
                <w:szCs w:val="22"/>
              </w:rPr>
            </w:pPr>
            <w:r w:rsidRPr="0019790A">
              <w:rPr>
                <w:rFonts w:cs="Arial"/>
                <w:b/>
                <w:bCs/>
                <w:szCs w:val="22"/>
              </w:rPr>
              <w:t>Мета проєкту:</w:t>
            </w:r>
          </w:p>
        </w:tc>
        <w:tc>
          <w:tcPr>
            <w:tcW w:w="6794" w:type="dxa"/>
            <w:gridSpan w:val="8"/>
            <w:vAlign w:val="center"/>
          </w:tcPr>
          <w:p w14:paraId="5C98AD62" w14:textId="77777777" w:rsidR="005342D5" w:rsidRPr="0019790A" w:rsidRDefault="005342D5" w:rsidP="00CD7662">
            <w:pPr>
              <w:tabs>
                <w:tab w:val="left" w:pos="162"/>
                <w:tab w:val="left" w:pos="335"/>
              </w:tabs>
              <w:jc w:val="both"/>
              <w:rPr>
                <w:rFonts w:cs="Arial"/>
                <w:szCs w:val="22"/>
              </w:rPr>
            </w:pPr>
            <w:r w:rsidRPr="0019790A">
              <w:rPr>
                <w:rFonts w:cs="Arial"/>
                <w:szCs w:val="22"/>
              </w:rPr>
              <w:t>Сприяти самореалізації дітей і молоді через розвиток громадянської активності, залучення до ухвалення рішень, реалізацію молодіжних ініціатив і формування культури участі в житті громади.</w:t>
            </w:r>
          </w:p>
        </w:tc>
      </w:tr>
      <w:tr w:rsidR="005342D5" w:rsidRPr="0019790A" w14:paraId="6C81819C" w14:textId="77777777" w:rsidTr="00CD7662">
        <w:trPr>
          <w:jc w:val="right"/>
        </w:trPr>
        <w:tc>
          <w:tcPr>
            <w:tcW w:w="3425" w:type="dxa"/>
            <w:vAlign w:val="center"/>
          </w:tcPr>
          <w:p w14:paraId="09C27294" w14:textId="77777777" w:rsidR="005342D5" w:rsidRPr="0019790A" w:rsidRDefault="005342D5" w:rsidP="0019790A">
            <w:pPr>
              <w:rPr>
                <w:rFonts w:cs="Arial"/>
                <w:b/>
                <w:bCs/>
                <w:szCs w:val="22"/>
              </w:rPr>
            </w:pPr>
            <w:r w:rsidRPr="0019790A">
              <w:rPr>
                <w:rFonts w:cs="Arial"/>
                <w:b/>
                <w:bCs/>
                <w:szCs w:val="22"/>
              </w:rPr>
              <w:t>Цілі проєкту:</w:t>
            </w:r>
          </w:p>
        </w:tc>
        <w:tc>
          <w:tcPr>
            <w:tcW w:w="6794" w:type="dxa"/>
            <w:gridSpan w:val="8"/>
            <w:vAlign w:val="center"/>
          </w:tcPr>
          <w:p w14:paraId="03B253B6" w14:textId="77777777" w:rsidR="005342D5" w:rsidRPr="0019790A" w:rsidRDefault="005342D5" w:rsidP="00CD7662">
            <w:pPr>
              <w:numPr>
                <w:ilvl w:val="0"/>
                <w:numId w:val="99"/>
              </w:numPr>
              <w:tabs>
                <w:tab w:val="left" w:pos="162"/>
                <w:tab w:val="left" w:pos="335"/>
              </w:tabs>
              <w:ind w:left="0" w:firstLine="0"/>
              <w:jc w:val="both"/>
              <w:rPr>
                <w:rFonts w:cs="Arial"/>
                <w:szCs w:val="22"/>
              </w:rPr>
            </w:pPr>
            <w:r w:rsidRPr="0019790A">
              <w:rPr>
                <w:rFonts w:cs="Arial"/>
                <w:szCs w:val="22"/>
              </w:rPr>
              <w:t>Розвинути у дітей і молоді навички громадянської участі та ініціативності.</w:t>
            </w:r>
          </w:p>
          <w:p w14:paraId="6B422C94" w14:textId="77777777" w:rsidR="005342D5" w:rsidRPr="0019790A" w:rsidRDefault="005342D5" w:rsidP="00CD7662">
            <w:pPr>
              <w:numPr>
                <w:ilvl w:val="0"/>
                <w:numId w:val="99"/>
              </w:numPr>
              <w:tabs>
                <w:tab w:val="left" w:pos="162"/>
                <w:tab w:val="left" w:pos="335"/>
              </w:tabs>
              <w:ind w:left="0" w:firstLine="0"/>
              <w:jc w:val="both"/>
              <w:rPr>
                <w:rFonts w:cs="Arial"/>
                <w:szCs w:val="22"/>
              </w:rPr>
            </w:pPr>
            <w:r w:rsidRPr="0019790A">
              <w:rPr>
                <w:rFonts w:cs="Arial"/>
                <w:szCs w:val="22"/>
              </w:rPr>
              <w:t>Підвищити рівень включеності молоді в процеси прийняття рішень у громаді.</w:t>
            </w:r>
          </w:p>
          <w:p w14:paraId="64B52432" w14:textId="77777777" w:rsidR="005342D5" w:rsidRPr="0019790A" w:rsidRDefault="005342D5" w:rsidP="00CD7662">
            <w:pPr>
              <w:numPr>
                <w:ilvl w:val="0"/>
                <w:numId w:val="99"/>
              </w:numPr>
              <w:tabs>
                <w:tab w:val="left" w:pos="162"/>
                <w:tab w:val="left" w:pos="335"/>
              </w:tabs>
              <w:ind w:left="0" w:firstLine="0"/>
              <w:jc w:val="both"/>
              <w:rPr>
                <w:rFonts w:cs="Arial"/>
                <w:szCs w:val="22"/>
              </w:rPr>
            </w:pPr>
            <w:r w:rsidRPr="0019790A">
              <w:rPr>
                <w:rFonts w:cs="Arial"/>
                <w:szCs w:val="22"/>
              </w:rPr>
              <w:t>Створити умови для самореалізації через реалізацію молодіжних ідей та проєктів.</w:t>
            </w:r>
          </w:p>
          <w:p w14:paraId="24EE7EC1" w14:textId="04BE123B" w:rsidR="005342D5" w:rsidRPr="0019790A" w:rsidRDefault="005342D5" w:rsidP="001A5BC7">
            <w:pPr>
              <w:numPr>
                <w:ilvl w:val="0"/>
                <w:numId w:val="99"/>
              </w:numPr>
              <w:tabs>
                <w:tab w:val="left" w:pos="162"/>
                <w:tab w:val="left" w:pos="335"/>
              </w:tabs>
              <w:ind w:left="0" w:firstLine="0"/>
              <w:jc w:val="both"/>
              <w:rPr>
                <w:rFonts w:cs="Arial"/>
                <w:szCs w:val="22"/>
              </w:rPr>
            </w:pPr>
            <w:r w:rsidRPr="0019790A">
              <w:rPr>
                <w:rFonts w:cs="Arial"/>
                <w:szCs w:val="22"/>
              </w:rPr>
              <w:t>Сприяти формуванню відповідального громадянина через волонтерство та практику участі.</w:t>
            </w:r>
          </w:p>
        </w:tc>
      </w:tr>
      <w:tr w:rsidR="005342D5" w:rsidRPr="0019790A" w14:paraId="2D045B63" w14:textId="77777777" w:rsidTr="00CD7662">
        <w:trPr>
          <w:trHeight w:val="641"/>
          <w:jc w:val="right"/>
        </w:trPr>
        <w:tc>
          <w:tcPr>
            <w:tcW w:w="3425" w:type="dxa"/>
            <w:vAlign w:val="center"/>
          </w:tcPr>
          <w:p w14:paraId="3F563329" w14:textId="77777777" w:rsidR="005342D5" w:rsidRPr="0019790A" w:rsidRDefault="005342D5" w:rsidP="0019790A">
            <w:pPr>
              <w:rPr>
                <w:rFonts w:cs="Arial"/>
                <w:b/>
                <w:szCs w:val="22"/>
              </w:rPr>
            </w:pPr>
            <w:r w:rsidRPr="0019790A">
              <w:rPr>
                <w:rFonts w:cs="Arial"/>
                <w:b/>
                <w:szCs w:val="22"/>
              </w:rPr>
              <w:t>Територія на яку проєкт матиме вплив:</w:t>
            </w:r>
          </w:p>
        </w:tc>
        <w:tc>
          <w:tcPr>
            <w:tcW w:w="6794" w:type="dxa"/>
            <w:gridSpan w:val="8"/>
            <w:vAlign w:val="center"/>
          </w:tcPr>
          <w:p w14:paraId="68F57E8A" w14:textId="77777777" w:rsidR="005342D5" w:rsidRPr="0019790A" w:rsidRDefault="005342D5" w:rsidP="00CD7662">
            <w:pPr>
              <w:tabs>
                <w:tab w:val="left" w:pos="162"/>
                <w:tab w:val="left" w:pos="335"/>
              </w:tabs>
              <w:jc w:val="both"/>
              <w:rPr>
                <w:rFonts w:cs="Arial"/>
                <w:szCs w:val="22"/>
              </w:rPr>
            </w:pPr>
            <w:r w:rsidRPr="0019790A">
              <w:rPr>
                <w:rFonts w:cs="Arial"/>
                <w:szCs w:val="22"/>
              </w:rPr>
              <w:t>Жмеринська міська територіальна громада</w:t>
            </w:r>
          </w:p>
        </w:tc>
      </w:tr>
      <w:tr w:rsidR="005342D5" w:rsidRPr="0019790A" w14:paraId="20E59C57" w14:textId="77777777" w:rsidTr="00CD7662">
        <w:trPr>
          <w:jc w:val="right"/>
        </w:trPr>
        <w:tc>
          <w:tcPr>
            <w:tcW w:w="3425" w:type="dxa"/>
            <w:vAlign w:val="center"/>
          </w:tcPr>
          <w:p w14:paraId="1B32A3FB" w14:textId="77777777" w:rsidR="005342D5" w:rsidRPr="0019790A" w:rsidRDefault="005342D5" w:rsidP="0019790A">
            <w:pPr>
              <w:rPr>
                <w:rFonts w:cs="Arial"/>
                <w:b/>
                <w:szCs w:val="22"/>
              </w:rPr>
            </w:pPr>
            <w:r w:rsidRPr="0019790A">
              <w:rPr>
                <w:rFonts w:cs="Arial"/>
                <w:b/>
                <w:szCs w:val="22"/>
              </w:rPr>
              <w:t>Цільові групи проєкту та кількість отримувачів вигоди</w:t>
            </w:r>
          </w:p>
        </w:tc>
        <w:tc>
          <w:tcPr>
            <w:tcW w:w="6794" w:type="dxa"/>
            <w:gridSpan w:val="8"/>
            <w:vAlign w:val="center"/>
          </w:tcPr>
          <w:p w14:paraId="00C9A4D0" w14:textId="77777777" w:rsidR="005342D5" w:rsidRPr="0019790A" w:rsidRDefault="005342D5" w:rsidP="00CD7662">
            <w:pPr>
              <w:numPr>
                <w:ilvl w:val="0"/>
                <w:numId w:val="100"/>
              </w:numPr>
              <w:tabs>
                <w:tab w:val="left" w:pos="162"/>
                <w:tab w:val="left" w:pos="335"/>
              </w:tabs>
              <w:ind w:left="0" w:firstLine="0"/>
              <w:jc w:val="both"/>
              <w:rPr>
                <w:rFonts w:cs="Arial"/>
                <w:szCs w:val="22"/>
              </w:rPr>
            </w:pPr>
            <w:r w:rsidRPr="0019790A">
              <w:rPr>
                <w:rFonts w:cs="Arial"/>
                <w:szCs w:val="22"/>
              </w:rPr>
              <w:t>Діти (13–18 років)</w:t>
            </w:r>
          </w:p>
          <w:p w14:paraId="52C45DC2" w14:textId="77777777" w:rsidR="005342D5" w:rsidRPr="0019790A" w:rsidRDefault="005342D5" w:rsidP="00CD7662">
            <w:pPr>
              <w:numPr>
                <w:ilvl w:val="0"/>
                <w:numId w:val="100"/>
              </w:numPr>
              <w:tabs>
                <w:tab w:val="left" w:pos="162"/>
                <w:tab w:val="left" w:pos="335"/>
              </w:tabs>
              <w:ind w:left="0" w:firstLine="0"/>
              <w:jc w:val="both"/>
              <w:rPr>
                <w:rFonts w:cs="Arial"/>
                <w:szCs w:val="22"/>
              </w:rPr>
            </w:pPr>
            <w:r w:rsidRPr="0019790A">
              <w:rPr>
                <w:rFonts w:cs="Arial"/>
                <w:szCs w:val="22"/>
              </w:rPr>
              <w:t>Молодь (18–35 років)</w:t>
            </w:r>
          </w:p>
          <w:p w14:paraId="524DBD09" w14:textId="77777777" w:rsidR="005342D5" w:rsidRPr="0019790A" w:rsidRDefault="005342D5" w:rsidP="00CD7662">
            <w:pPr>
              <w:numPr>
                <w:ilvl w:val="0"/>
                <w:numId w:val="100"/>
              </w:numPr>
              <w:tabs>
                <w:tab w:val="left" w:pos="162"/>
                <w:tab w:val="left" w:pos="335"/>
              </w:tabs>
              <w:ind w:left="0" w:firstLine="0"/>
              <w:jc w:val="both"/>
              <w:rPr>
                <w:rFonts w:cs="Arial"/>
                <w:szCs w:val="22"/>
              </w:rPr>
            </w:pPr>
            <w:r w:rsidRPr="0019790A">
              <w:rPr>
                <w:rFonts w:cs="Arial"/>
                <w:szCs w:val="22"/>
              </w:rPr>
              <w:t>Учні, студенти, представники молодіжних рад, ініціативних груп</w:t>
            </w:r>
          </w:p>
          <w:p w14:paraId="0B59D43F" w14:textId="77777777" w:rsidR="005342D5" w:rsidRPr="0019790A" w:rsidRDefault="005342D5" w:rsidP="00CD7662">
            <w:pPr>
              <w:numPr>
                <w:ilvl w:val="0"/>
                <w:numId w:val="100"/>
              </w:numPr>
              <w:tabs>
                <w:tab w:val="left" w:pos="162"/>
                <w:tab w:val="left" w:pos="335"/>
              </w:tabs>
              <w:ind w:left="0" w:firstLine="0"/>
              <w:jc w:val="both"/>
              <w:rPr>
                <w:rFonts w:cs="Arial"/>
                <w:szCs w:val="22"/>
              </w:rPr>
            </w:pPr>
            <w:r w:rsidRPr="0019790A">
              <w:rPr>
                <w:rFonts w:cs="Arial"/>
                <w:szCs w:val="22"/>
              </w:rPr>
              <w:t>Молоді громадські активісти</w:t>
            </w:r>
          </w:p>
          <w:p w14:paraId="10301D6D" w14:textId="77777777" w:rsidR="005342D5" w:rsidRPr="0019790A" w:rsidRDefault="005342D5" w:rsidP="00CD7662">
            <w:pPr>
              <w:tabs>
                <w:tab w:val="left" w:pos="162"/>
                <w:tab w:val="left" w:pos="335"/>
              </w:tabs>
              <w:jc w:val="both"/>
              <w:rPr>
                <w:rFonts w:cs="Arial"/>
                <w:szCs w:val="22"/>
              </w:rPr>
            </w:pPr>
            <w:r w:rsidRPr="0019790A">
              <w:rPr>
                <w:rFonts w:cs="Arial"/>
                <w:szCs w:val="22"/>
              </w:rPr>
              <w:t xml:space="preserve"> </w:t>
            </w:r>
            <w:r w:rsidRPr="0019790A">
              <w:rPr>
                <w:rFonts w:cs="Arial"/>
                <w:b/>
                <w:szCs w:val="22"/>
              </w:rPr>
              <w:t>Кількість отримувачів вигоди</w:t>
            </w:r>
            <w:r w:rsidRPr="0019790A">
              <w:rPr>
                <w:rFonts w:cs="Arial"/>
                <w:szCs w:val="22"/>
              </w:rPr>
              <w:t xml:space="preserve"> </w:t>
            </w:r>
            <w:r w:rsidRPr="0019790A">
              <w:rPr>
                <w:rFonts w:cs="Arial"/>
                <w:b/>
                <w:szCs w:val="22"/>
              </w:rPr>
              <w:t>8000 осіб.</w:t>
            </w:r>
          </w:p>
        </w:tc>
      </w:tr>
      <w:tr w:rsidR="005342D5" w:rsidRPr="0019790A" w14:paraId="6247D9C0" w14:textId="77777777" w:rsidTr="00CD7662">
        <w:trPr>
          <w:jc w:val="right"/>
        </w:trPr>
        <w:tc>
          <w:tcPr>
            <w:tcW w:w="3425" w:type="dxa"/>
            <w:shd w:val="clear" w:color="auto" w:fill="FFFFFF"/>
            <w:vAlign w:val="center"/>
          </w:tcPr>
          <w:p w14:paraId="23AB82DC" w14:textId="77777777" w:rsidR="005342D5" w:rsidRPr="0019790A" w:rsidRDefault="005342D5" w:rsidP="0019790A">
            <w:pPr>
              <w:rPr>
                <w:rFonts w:cs="Arial"/>
                <w:b/>
                <w:bCs/>
                <w:szCs w:val="22"/>
              </w:rPr>
            </w:pPr>
            <w:r w:rsidRPr="0019790A">
              <w:rPr>
                <w:rFonts w:cs="Arial"/>
                <w:b/>
                <w:bCs/>
                <w:szCs w:val="22"/>
              </w:rPr>
              <w:t>Стислий опис проєкту:</w:t>
            </w:r>
          </w:p>
        </w:tc>
        <w:tc>
          <w:tcPr>
            <w:tcW w:w="6794" w:type="dxa"/>
            <w:gridSpan w:val="8"/>
            <w:vAlign w:val="center"/>
          </w:tcPr>
          <w:p w14:paraId="05C7EFD1" w14:textId="77777777" w:rsidR="005342D5" w:rsidRPr="0019790A" w:rsidRDefault="005342D5" w:rsidP="00CD7662">
            <w:pPr>
              <w:tabs>
                <w:tab w:val="left" w:pos="162"/>
                <w:tab w:val="left" w:pos="335"/>
              </w:tabs>
              <w:jc w:val="both"/>
              <w:rPr>
                <w:rFonts w:cs="Arial"/>
                <w:szCs w:val="22"/>
              </w:rPr>
            </w:pPr>
            <w:r w:rsidRPr="0019790A">
              <w:rPr>
                <w:rFonts w:cs="Arial"/>
                <w:szCs w:val="22"/>
              </w:rPr>
              <w:t>Проєкт «Територія дії» створює платформу для залучення дітей і молоді до активного громадського життя. Завдяки навчальним програмам, тренінгам, проєктним майстерням, участі у форумах та ініціативах, молоді люди отримають можливість виявити себе, сформулювати власні ідеї та реалізувати їх через мініпроєкти. Передбачається активна співпраця з молодіжною радою, залучення до бюджетування, консультацій, волонтерських ініціатив.</w:t>
            </w:r>
          </w:p>
        </w:tc>
      </w:tr>
      <w:tr w:rsidR="005342D5" w:rsidRPr="0019790A" w14:paraId="5CE647AE" w14:textId="77777777" w:rsidTr="00CD7662">
        <w:trPr>
          <w:jc w:val="right"/>
        </w:trPr>
        <w:tc>
          <w:tcPr>
            <w:tcW w:w="3425" w:type="dxa"/>
            <w:shd w:val="clear" w:color="auto" w:fill="FFFFFF"/>
            <w:vAlign w:val="center"/>
          </w:tcPr>
          <w:p w14:paraId="797976C2" w14:textId="77777777" w:rsidR="005342D5" w:rsidRPr="0019790A" w:rsidRDefault="005342D5" w:rsidP="0019790A">
            <w:pPr>
              <w:rPr>
                <w:rFonts w:cs="Arial"/>
                <w:b/>
                <w:bCs/>
                <w:szCs w:val="22"/>
              </w:rPr>
            </w:pPr>
            <w:r w:rsidRPr="0019790A">
              <w:rPr>
                <w:rFonts w:cs="Arial"/>
                <w:b/>
                <w:bCs/>
                <w:szCs w:val="22"/>
              </w:rPr>
              <w:t>Основні заходи проєкту:</w:t>
            </w:r>
          </w:p>
        </w:tc>
        <w:tc>
          <w:tcPr>
            <w:tcW w:w="6794" w:type="dxa"/>
            <w:gridSpan w:val="8"/>
            <w:vAlign w:val="center"/>
          </w:tcPr>
          <w:p w14:paraId="43CDF2C7" w14:textId="77777777" w:rsidR="005342D5" w:rsidRPr="0019790A" w:rsidRDefault="005342D5" w:rsidP="00CD7662">
            <w:pPr>
              <w:numPr>
                <w:ilvl w:val="1"/>
                <w:numId w:val="47"/>
              </w:numPr>
              <w:tabs>
                <w:tab w:val="left" w:pos="162"/>
                <w:tab w:val="left" w:pos="335"/>
              </w:tabs>
              <w:ind w:left="0" w:firstLine="0"/>
              <w:jc w:val="both"/>
              <w:rPr>
                <w:rFonts w:cs="Arial"/>
                <w:szCs w:val="22"/>
              </w:rPr>
            </w:pPr>
            <w:r w:rsidRPr="0019790A">
              <w:rPr>
                <w:rFonts w:cs="Arial"/>
                <w:szCs w:val="22"/>
              </w:rPr>
              <w:t>Освітні курси про права, участь, бюджетування, адвокацію.</w:t>
            </w:r>
          </w:p>
          <w:p w14:paraId="4EE79156" w14:textId="77777777" w:rsidR="005342D5" w:rsidRPr="0019790A" w:rsidRDefault="005342D5" w:rsidP="00CD7662">
            <w:pPr>
              <w:numPr>
                <w:ilvl w:val="1"/>
                <w:numId w:val="47"/>
              </w:numPr>
              <w:tabs>
                <w:tab w:val="left" w:pos="162"/>
                <w:tab w:val="left" w:pos="335"/>
              </w:tabs>
              <w:ind w:left="0" w:firstLine="0"/>
              <w:jc w:val="both"/>
              <w:rPr>
                <w:rFonts w:cs="Arial"/>
                <w:szCs w:val="22"/>
              </w:rPr>
            </w:pPr>
            <w:r w:rsidRPr="0019790A">
              <w:rPr>
                <w:rFonts w:cs="Arial"/>
                <w:szCs w:val="22"/>
              </w:rPr>
              <w:t>Тренінги з проєктного менеджменту та лідерства</w:t>
            </w:r>
          </w:p>
          <w:p w14:paraId="24BF704D" w14:textId="77777777" w:rsidR="005342D5" w:rsidRPr="0019790A" w:rsidRDefault="005342D5" w:rsidP="00CD7662">
            <w:pPr>
              <w:numPr>
                <w:ilvl w:val="1"/>
                <w:numId w:val="47"/>
              </w:numPr>
              <w:tabs>
                <w:tab w:val="left" w:pos="162"/>
                <w:tab w:val="left" w:pos="335"/>
              </w:tabs>
              <w:ind w:left="0" w:firstLine="0"/>
              <w:jc w:val="both"/>
              <w:rPr>
                <w:rFonts w:cs="Arial"/>
                <w:szCs w:val="22"/>
              </w:rPr>
            </w:pPr>
            <w:r w:rsidRPr="0019790A">
              <w:rPr>
                <w:rFonts w:cs="Arial"/>
                <w:szCs w:val="22"/>
              </w:rPr>
              <w:t>Молодіжні дебати, форуми, open space дискусії</w:t>
            </w:r>
          </w:p>
          <w:p w14:paraId="5F440E91" w14:textId="77777777" w:rsidR="005342D5" w:rsidRPr="0019790A" w:rsidRDefault="005342D5" w:rsidP="00CD7662">
            <w:pPr>
              <w:numPr>
                <w:ilvl w:val="1"/>
                <w:numId w:val="47"/>
              </w:numPr>
              <w:tabs>
                <w:tab w:val="left" w:pos="162"/>
                <w:tab w:val="left" w:pos="335"/>
              </w:tabs>
              <w:ind w:left="0" w:firstLine="0"/>
              <w:jc w:val="both"/>
              <w:rPr>
                <w:rFonts w:cs="Arial"/>
                <w:szCs w:val="22"/>
              </w:rPr>
            </w:pPr>
            <w:r w:rsidRPr="0019790A">
              <w:rPr>
                <w:rFonts w:cs="Arial"/>
                <w:szCs w:val="22"/>
              </w:rPr>
              <w:t xml:space="preserve">Конкурс молодіжних ініціатив </w:t>
            </w:r>
          </w:p>
          <w:p w14:paraId="50EFAD49" w14:textId="77777777" w:rsidR="005342D5" w:rsidRPr="0019790A" w:rsidRDefault="005342D5" w:rsidP="00CD7662">
            <w:pPr>
              <w:numPr>
                <w:ilvl w:val="1"/>
                <w:numId w:val="47"/>
              </w:numPr>
              <w:tabs>
                <w:tab w:val="left" w:pos="162"/>
                <w:tab w:val="left" w:pos="335"/>
              </w:tabs>
              <w:ind w:left="0" w:firstLine="0"/>
              <w:jc w:val="both"/>
              <w:rPr>
                <w:rFonts w:cs="Arial"/>
                <w:szCs w:val="22"/>
              </w:rPr>
            </w:pPr>
            <w:r w:rsidRPr="0019790A">
              <w:rPr>
                <w:rFonts w:cs="Arial"/>
                <w:szCs w:val="22"/>
              </w:rPr>
              <w:t>Наставництво від досвідчених лідерів думок та громадських діячів</w:t>
            </w:r>
          </w:p>
          <w:p w14:paraId="15D7B6D8" w14:textId="77777777" w:rsidR="005342D5" w:rsidRPr="0019790A" w:rsidRDefault="005342D5" w:rsidP="00CD7662">
            <w:pPr>
              <w:numPr>
                <w:ilvl w:val="1"/>
                <w:numId w:val="47"/>
              </w:numPr>
              <w:tabs>
                <w:tab w:val="left" w:pos="162"/>
                <w:tab w:val="left" w:pos="335"/>
              </w:tabs>
              <w:ind w:left="0" w:firstLine="0"/>
              <w:jc w:val="both"/>
              <w:rPr>
                <w:rFonts w:cs="Arial"/>
                <w:szCs w:val="22"/>
              </w:rPr>
            </w:pPr>
            <w:r w:rsidRPr="0019790A">
              <w:rPr>
                <w:rFonts w:cs="Arial"/>
                <w:szCs w:val="22"/>
              </w:rPr>
              <w:t>Включення молоді у процеси ухвалення рішень (консультації, опитування)</w:t>
            </w:r>
          </w:p>
          <w:p w14:paraId="0F8E3079" w14:textId="77777777" w:rsidR="005342D5" w:rsidRPr="0019790A" w:rsidRDefault="005342D5" w:rsidP="00CD7662">
            <w:pPr>
              <w:numPr>
                <w:ilvl w:val="1"/>
                <w:numId w:val="47"/>
              </w:numPr>
              <w:tabs>
                <w:tab w:val="left" w:pos="162"/>
                <w:tab w:val="left" w:pos="335"/>
              </w:tabs>
              <w:ind w:left="0" w:firstLine="0"/>
              <w:jc w:val="both"/>
              <w:rPr>
                <w:rFonts w:cs="Arial"/>
                <w:szCs w:val="22"/>
              </w:rPr>
            </w:pPr>
            <w:r w:rsidRPr="0019790A">
              <w:rPr>
                <w:rFonts w:cs="Arial"/>
                <w:szCs w:val="22"/>
              </w:rPr>
              <w:t>Презентації реалізованих ініціатив громаді</w:t>
            </w:r>
          </w:p>
        </w:tc>
      </w:tr>
      <w:tr w:rsidR="005342D5" w:rsidRPr="0019790A" w14:paraId="14EC052C" w14:textId="77777777" w:rsidTr="00CD7662">
        <w:trPr>
          <w:trHeight w:val="199"/>
          <w:jc w:val="right"/>
        </w:trPr>
        <w:tc>
          <w:tcPr>
            <w:tcW w:w="3425" w:type="dxa"/>
            <w:shd w:val="clear" w:color="auto" w:fill="FFFFFF"/>
            <w:vAlign w:val="center"/>
          </w:tcPr>
          <w:p w14:paraId="0958C11F" w14:textId="77777777" w:rsidR="005342D5" w:rsidRPr="0019790A" w:rsidRDefault="005342D5" w:rsidP="0019790A">
            <w:pPr>
              <w:rPr>
                <w:rFonts w:cs="Arial"/>
                <w:b/>
                <w:bCs/>
                <w:szCs w:val="22"/>
              </w:rPr>
            </w:pPr>
            <w:r w:rsidRPr="0019790A">
              <w:rPr>
                <w:rFonts w:cs="Arial"/>
                <w:b/>
                <w:bCs/>
                <w:szCs w:val="22"/>
              </w:rPr>
              <w:t>Індикатори (показники) результативності:</w:t>
            </w:r>
          </w:p>
        </w:tc>
        <w:tc>
          <w:tcPr>
            <w:tcW w:w="6794" w:type="dxa"/>
            <w:gridSpan w:val="8"/>
            <w:vAlign w:val="center"/>
          </w:tcPr>
          <w:p w14:paraId="2CF56CBF" w14:textId="77777777" w:rsidR="005342D5" w:rsidRPr="0019790A" w:rsidRDefault="005342D5" w:rsidP="00CD7662">
            <w:pPr>
              <w:numPr>
                <w:ilvl w:val="0"/>
                <w:numId w:val="101"/>
              </w:numPr>
              <w:tabs>
                <w:tab w:val="left" w:pos="162"/>
                <w:tab w:val="left" w:pos="335"/>
              </w:tabs>
              <w:ind w:left="0" w:firstLine="0"/>
              <w:jc w:val="both"/>
              <w:rPr>
                <w:rFonts w:cs="Arial"/>
                <w:szCs w:val="22"/>
              </w:rPr>
            </w:pPr>
            <w:r w:rsidRPr="0019790A">
              <w:rPr>
                <w:rFonts w:cs="Arial"/>
                <w:szCs w:val="22"/>
              </w:rPr>
              <w:t>200+ дітей і молодих людей пройдуть навчання</w:t>
            </w:r>
          </w:p>
          <w:p w14:paraId="5E59B4D9" w14:textId="77777777" w:rsidR="005342D5" w:rsidRPr="0019790A" w:rsidRDefault="005342D5" w:rsidP="00CD7662">
            <w:pPr>
              <w:numPr>
                <w:ilvl w:val="0"/>
                <w:numId w:val="101"/>
              </w:numPr>
              <w:tabs>
                <w:tab w:val="left" w:pos="162"/>
                <w:tab w:val="left" w:pos="335"/>
              </w:tabs>
              <w:ind w:left="0" w:firstLine="0"/>
              <w:jc w:val="both"/>
              <w:rPr>
                <w:rFonts w:cs="Arial"/>
                <w:szCs w:val="22"/>
              </w:rPr>
            </w:pPr>
            <w:r w:rsidRPr="0019790A">
              <w:rPr>
                <w:rFonts w:cs="Arial"/>
                <w:szCs w:val="22"/>
              </w:rPr>
              <w:t>Проведено 10+ тренінгів, 5 дебатів/форумів на рік</w:t>
            </w:r>
          </w:p>
          <w:p w14:paraId="327BE464" w14:textId="77777777" w:rsidR="005342D5" w:rsidRPr="0019790A" w:rsidRDefault="005342D5" w:rsidP="00CD7662">
            <w:pPr>
              <w:numPr>
                <w:ilvl w:val="0"/>
                <w:numId w:val="101"/>
              </w:numPr>
              <w:tabs>
                <w:tab w:val="left" w:pos="162"/>
                <w:tab w:val="left" w:pos="335"/>
              </w:tabs>
              <w:ind w:left="0" w:firstLine="0"/>
              <w:jc w:val="both"/>
              <w:rPr>
                <w:rFonts w:cs="Arial"/>
                <w:szCs w:val="22"/>
              </w:rPr>
            </w:pPr>
            <w:r w:rsidRPr="0019790A">
              <w:rPr>
                <w:rFonts w:cs="Arial"/>
                <w:szCs w:val="22"/>
              </w:rPr>
              <w:t>Реалізовано не менше 10 молодіжних ініціатив</w:t>
            </w:r>
          </w:p>
          <w:p w14:paraId="55F597F5" w14:textId="77777777" w:rsidR="005342D5" w:rsidRPr="0019790A" w:rsidRDefault="005342D5" w:rsidP="00CD7662">
            <w:pPr>
              <w:numPr>
                <w:ilvl w:val="0"/>
                <w:numId w:val="101"/>
              </w:numPr>
              <w:tabs>
                <w:tab w:val="left" w:pos="162"/>
                <w:tab w:val="left" w:pos="335"/>
              </w:tabs>
              <w:ind w:left="0" w:firstLine="0"/>
              <w:jc w:val="both"/>
              <w:rPr>
                <w:rFonts w:cs="Arial"/>
                <w:szCs w:val="22"/>
              </w:rPr>
            </w:pPr>
            <w:r w:rsidRPr="0019790A">
              <w:rPr>
                <w:rFonts w:cs="Arial"/>
                <w:szCs w:val="22"/>
              </w:rPr>
              <w:t>Участь молоді в громадських консультаціях зросте на 50%</w:t>
            </w:r>
          </w:p>
          <w:p w14:paraId="49D384B8" w14:textId="77777777" w:rsidR="005342D5" w:rsidRPr="0019790A" w:rsidRDefault="005342D5" w:rsidP="00CD7662">
            <w:pPr>
              <w:numPr>
                <w:ilvl w:val="0"/>
                <w:numId w:val="101"/>
              </w:numPr>
              <w:tabs>
                <w:tab w:val="left" w:pos="162"/>
                <w:tab w:val="left" w:pos="335"/>
              </w:tabs>
              <w:ind w:left="0" w:firstLine="0"/>
              <w:jc w:val="both"/>
              <w:rPr>
                <w:rFonts w:cs="Arial"/>
                <w:szCs w:val="22"/>
              </w:rPr>
            </w:pPr>
            <w:r w:rsidRPr="0019790A">
              <w:rPr>
                <w:rFonts w:cs="Arial"/>
                <w:szCs w:val="22"/>
              </w:rPr>
              <w:t>Залучено нових учасників до молодіжної ради або активних груп</w:t>
            </w:r>
          </w:p>
          <w:p w14:paraId="52976434" w14:textId="77777777" w:rsidR="005342D5" w:rsidRPr="0019790A" w:rsidRDefault="005342D5" w:rsidP="00CD7662">
            <w:pPr>
              <w:numPr>
                <w:ilvl w:val="0"/>
                <w:numId w:val="101"/>
              </w:numPr>
              <w:tabs>
                <w:tab w:val="left" w:pos="162"/>
                <w:tab w:val="left" w:pos="335"/>
              </w:tabs>
              <w:ind w:left="0" w:firstLine="0"/>
              <w:jc w:val="both"/>
              <w:rPr>
                <w:rFonts w:cs="Arial"/>
                <w:szCs w:val="22"/>
              </w:rPr>
            </w:pPr>
            <w:r w:rsidRPr="0019790A">
              <w:rPr>
                <w:rFonts w:cs="Arial"/>
                <w:szCs w:val="22"/>
              </w:rPr>
              <w:t>80% учасників відзначать покращення навичок лідерства, комунікації, ініціативності</w:t>
            </w:r>
          </w:p>
        </w:tc>
      </w:tr>
      <w:tr w:rsidR="005342D5" w:rsidRPr="0019790A" w14:paraId="02B830EA" w14:textId="77777777" w:rsidTr="00CF3AAE">
        <w:trPr>
          <w:jc w:val="right"/>
        </w:trPr>
        <w:tc>
          <w:tcPr>
            <w:tcW w:w="3425" w:type="dxa"/>
            <w:shd w:val="clear" w:color="auto" w:fill="FFFFFF"/>
            <w:vAlign w:val="center"/>
          </w:tcPr>
          <w:p w14:paraId="3D8F1A23" w14:textId="77777777" w:rsidR="005342D5" w:rsidRPr="0019790A" w:rsidRDefault="005342D5" w:rsidP="0019790A">
            <w:pPr>
              <w:rPr>
                <w:rFonts w:cs="Arial"/>
                <w:b/>
                <w:szCs w:val="22"/>
              </w:rPr>
            </w:pPr>
            <w:r w:rsidRPr="0019790A">
              <w:rPr>
                <w:rFonts w:cs="Arial"/>
                <w:b/>
                <w:szCs w:val="22"/>
              </w:rPr>
              <w:t xml:space="preserve">Період здійснення: </w:t>
            </w:r>
          </w:p>
        </w:tc>
        <w:tc>
          <w:tcPr>
            <w:tcW w:w="6794" w:type="dxa"/>
            <w:gridSpan w:val="8"/>
            <w:vAlign w:val="center"/>
          </w:tcPr>
          <w:p w14:paraId="35EA908D" w14:textId="77777777" w:rsidR="005342D5" w:rsidRPr="0019790A" w:rsidRDefault="005342D5" w:rsidP="0019790A">
            <w:pPr>
              <w:rPr>
                <w:rFonts w:cs="Arial"/>
                <w:szCs w:val="22"/>
              </w:rPr>
            </w:pPr>
            <w:r w:rsidRPr="0019790A">
              <w:rPr>
                <w:rFonts w:cs="Arial"/>
                <w:b/>
                <w:szCs w:val="22"/>
              </w:rPr>
              <w:t>2025 – 2028 роки:</w:t>
            </w:r>
          </w:p>
        </w:tc>
      </w:tr>
      <w:tr w:rsidR="005342D5" w:rsidRPr="0019790A" w14:paraId="5C140B87" w14:textId="77777777" w:rsidTr="00CD7662">
        <w:trPr>
          <w:jc w:val="right"/>
        </w:trPr>
        <w:tc>
          <w:tcPr>
            <w:tcW w:w="3425" w:type="dxa"/>
            <w:vMerge w:val="restart"/>
            <w:shd w:val="clear" w:color="auto" w:fill="FFFFFF"/>
            <w:vAlign w:val="center"/>
          </w:tcPr>
          <w:p w14:paraId="6F39439E" w14:textId="77777777" w:rsidR="005342D5" w:rsidRPr="0019790A" w:rsidRDefault="005342D5" w:rsidP="0019790A">
            <w:pPr>
              <w:rPr>
                <w:rFonts w:cs="Arial"/>
                <w:b/>
                <w:bCs/>
                <w:szCs w:val="22"/>
              </w:rPr>
            </w:pPr>
            <w:r w:rsidRPr="0019790A">
              <w:rPr>
                <w:rFonts w:cs="Arial"/>
                <w:b/>
                <w:bCs/>
                <w:szCs w:val="22"/>
              </w:rPr>
              <w:t>Орієнтовна вартість проєкту, тис. грн., в тому числі:</w:t>
            </w:r>
          </w:p>
        </w:tc>
        <w:tc>
          <w:tcPr>
            <w:tcW w:w="1254" w:type="dxa"/>
            <w:shd w:val="clear" w:color="auto" w:fill="E6E6E6"/>
            <w:vAlign w:val="center"/>
          </w:tcPr>
          <w:p w14:paraId="02E3F09A" w14:textId="77777777" w:rsidR="005342D5" w:rsidRPr="0019790A" w:rsidRDefault="005342D5" w:rsidP="00CD7662">
            <w:pPr>
              <w:jc w:val="center"/>
              <w:rPr>
                <w:rFonts w:cs="Arial"/>
                <w:b/>
                <w:szCs w:val="22"/>
              </w:rPr>
            </w:pPr>
            <w:r w:rsidRPr="0019790A">
              <w:rPr>
                <w:rFonts w:cs="Arial"/>
                <w:b/>
                <w:szCs w:val="22"/>
              </w:rPr>
              <w:t>2025</w:t>
            </w:r>
          </w:p>
        </w:tc>
        <w:tc>
          <w:tcPr>
            <w:tcW w:w="1275" w:type="dxa"/>
            <w:shd w:val="clear" w:color="auto" w:fill="E6E6E6"/>
            <w:vAlign w:val="center"/>
          </w:tcPr>
          <w:p w14:paraId="7D91F339" w14:textId="77777777" w:rsidR="005342D5" w:rsidRPr="0019790A" w:rsidRDefault="005342D5" w:rsidP="00CD7662">
            <w:pPr>
              <w:jc w:val="center"/>
              <w:rPr>
                <w:rFonts w:cs="Arial"/>
                <w:b/>
                <w:szCs w:val="22"/>
              </w:rPr>
            </w:pPr>
            <w:r w:rsidRPr="0019790A">
              <w:rPr>
                <w:rFonts w:cs="Arial"/>
                <w:b/>
                <w:szCs w:val="22"/>
              </w:rPr>
              <w:t>2026</w:t>
            </w:r>
          </w:p>
        </w:tc>
        <w:tc>
          <w:tcPr>
            <w:tcW w:w="1418" w:type="dxa"/>
            <w:gridSpan w:val="2"/>
            <w:tcBorders>
              <w:bottom w:val="single" w:sz="4" w:space="0" w:color="auto"/>
            </w:tcBorders>
            <w:shd w:val="clear" w:color="auto" w:fill="E6E6E6"/>
            <w:vAlign w:val="center"/>
          </w:tcPr>
          <w:p w14:paraId="632CC326" w14:textId="77777777" w:rsidR="005342D5" w:rsidRPr="0019790A" w:rsidRDefault="005342D5" w:rsidP="00CD7662">
            <w:pPr>
              <w:jc w:val="center"/>
              <w:rPr>
                <w:rFonts w:cs="Arial"/>
                <w:b/>
                <w:szCs w:val="22"/>
              </w:rPr>
            </w:pPr>
            <w:r w:rsidRPr="0019790A">
              <w:rPr>
                <w:rFonts w:cs="Arial"/>
                <w:b/>
                <w:szCs w:val="22"/>
              </w:rPr>
              <w:t>2027</w:t>
            </w:r>
          </w:p>
        </w:tc>
        <w:tc>
          <w:tcPr>
            <w:tcW w:w="1276" w:type="dxa"/>
            <w:gridSpan w:val="3"/>
            <w:shd w:val="clear" w:color="auto" w:fill="E6E6E6"/>
            <w:vAlign w:val="center"/>
          </w:tcPr>
          <w:p w14:paraId="474779DF" w14:textId="77777777" w:rsidR="005342D5" w:rsidRPr="0019790A" w:rsidRDefault="005342D5" w:rsidP="00CD7662">
            <w:pPr>
              <w:jc w:val="center"/>
              <w:rPr>
                <w:rFonts w:cs="Arial"/>
                <w:b/>
                <w:szCs w:val="22"/>
              </w:rPr>
            </w:pPr>
            <w:r w:rsidRPr="0019790A">
              <w:rPr>
                <w:rFonts w:cs="Arial"/>
                <w:b/>
                <w:szCs w:val="22"/>
              </w:rPr>
              <w:t>2028</w:t>
            </w:r>
          </w:p>
        </w:tc>
        <w:tc>
          <w:tcPr>
            <w:tcW w:w="1571" w:type="dxa"/>
            <w:shd w:val="clear" w:color="auto" w:fill="E6E6E6"/>
            <w:vAlign w:val="center"/>
          </w:tcPr>
          <w:p w14:paraId="1C1B3D86" w14:textId="77777777" w:rsidR="005342D5" w:rsidRPr="0019790A" w:rsidRDefault="005342D5" w:rsidP="00CD7662">
            <w:pPr>
              <w:jc w:val="center"/>
              <w:rPr>
                <w:rFonts w:cs="Arial"/>
                <w:b/>
                <w:szCs w:val="22"/>
              </w:rPr>
            </w:pPr>
            <w:r w:rsidRPr="0019790A">
              <w:rPr>
                <w:rFonts w:cs="Arial"/>
                <w:b/>
                <w:szCs w:val="22"/>
              </w:rPr>
              <w:t>РАЗОМ</w:t>
            </w:r>
          </w:p>
        </w:tc>
      </w:tr>
      <w:tr w:rsidR="005342D5" w:rsidRPr="0019790A" w14:paraId="408C129F" w14:textId="77777777" w:rsidTr="00CD7662">
        <w:trPr>
          <w:jc w:val="right"/>
        </w:trPr>
        <w:tc>
          <w:tcPr>
            <w:tcW w:w="3425" w:type="dxa"/>
            <w:vMerge/>
            <w:shd w:val="clear" w:color="auto" w:fill="FFFFFF"/>
            <w:vAlign w:val="center"/>
          </w:tcPr>
          <w:p w14:paraId="080B2FAF" w14:textId="77777777" w:rsidR="005342D5" w:rsidRPr="0019790A" w:rsidRDefault="005342D5" w:rsidP="0019790A">
            <w:pPr>
              <w:rPr>
                <w:rFonts w:cs="Arial"/>
                <w:b/>
                <w:bCs/>
                <w:szCs w:val="22"/>
              </w:rPr>
            </w:pPr>
          </w:p>
        </w:tc>
        <w:tc>
          <w:tcPr>
            <w:tcW w:w="1254" w:type="dxa"/>
            <w:vAlign w:val="center"/>
          </w:tcPr>
          <w:p w14:paraId="303106CB" w14:textId="77777777" w:rsidR="005342D5" w:rsidRPr="0019790A" w:rsidRDefault="005342D5" w:rsidP="00CD7662">
            <w:pPr>
              <w:jc w:val="center"/>
              <w:rPr>
                <w:rFonts w:cs="Arial"/>
                <w:b/>
                <w:szCs w:val="22"/>
              </w:rPr>
            </w:pPr>
          </w:p>
        </w:tc>
        <w:tc>
          <w:tcPr>
            <w:tcW w:w="1275" w:type="dxa"/>
            <w:shd w:val="clear" w:color="auto" w:fill="FFFFFF"/>
            <w:vAlign w:val="center"/>
          </w:tcPr>
          <w:p w14:paraId="63DE78C1" w14:textId="77777777" w:rsidR="005342D5" w:rsidRPr="0019790A" w:rsidRDefault="005342D5" w:rsidP="00CD7662">
            <w:pPr>
              <w:jc w:val="center"/>
              <w:rPr>
                <w:rFonts w:cs="Arial"/>
                <w:b/>
                <w:szCs w:val="22"/>
              </w:rPr>
            </w:pPr>
            <w:r w:rsidRPr="0019790A">
              <w:rPr>
                <w:rFonts w:cs="Arial"/>
                <w:b/>
                <w:szCs w:val="22"/>
              </w:rPr>
              <w:t>100,0</w:t>
            </w:r>
          </w:p>
        </w:tc>
        <w:tc>
          <w:tcPr>
            <w:tcW w:w="1418" w:type="dxa"/>
            <w:gridSpan w:val="2"/>
            <w:shd w:val="clear" w:color="auto" w:fill="auto"/>
            <w:vAlign w:val="center"/>
          </w:tcPr>
          <w:p w14:paraId="68CB6A3D" w14:textId="77777777" w:rsidR="005342D5" w:rsidRPr="0019790A" w:rsidRDefault="005342D5" w:rsidP="00CD7662">
            <w:pPr>
              <w:jc w:val="center"/>
              <w:rPr>
                <w:rFonts w:cs="Arial"/>
                <w:b/>
                <w:szCs w:val="22"/>
              </w:rPr>
            </w:pPr>
            <w:r w:rsidRPr="0019790A">
              <w:rPr>
                <w:rFonts w:cs="Arial"/>
                <w:b/>
                <w:szCs w:val="22"/>
              </w:rPr>
              <w:t>100,0</w:t>
            </w:r>
          </w:p>
        </w:tc>
        <w:tc>
          <w:tcPr>
            <w:tcW w:w="1276" w:type="dxa"/>
            <w:gridSpan w:val="3"/>
            <w:shd w:val="clear" w:color="auto" w:fill="FFFFFF"/>
            <w:vAlign w:val="center"/>
          </w:tcPr>
          <w:p w14:paraId="5EB7961A" w14:textId="77777777" w:rsidR="005342D5" w:rsidRPr="0019790A" w:rsidRDefault="005342D5" w:rsidP="00CD7662">
            <w:pPr>
              <w:jc w:val="center"/>
              <w:rPr>
                <w:rFonts w:cs="Arial"/>
                <w:b/>
                <w:szCs w:val="22"/>
              </w:rPr>
            </w:pPr>
            <w:r w:rsidRPr="0019790A">
              <w:rPr>
                <w:rFonts w:cs="Arial"/>
                <w:b/>
                <w:szCs w:val="22"/>
              </w:rPr>
              <w:t>100,0</w:t>
            </w:r>
          </w:p>
        </w:tc>
        <w:tc>
          <w:tcPr>
            <w:tcW w:w="1571" w:type="dxa"/>
            <w:shd w:val="clear" w:color="auto" w:fill="FFFFFF"/>
            <w:vAlign w:val="center"/>
          </w:tcPr>
          <w:p w14:paraId="44064B85" w14:textId="77777777" w:rsidR="005342D5" w:rsidRPr="0019790A" w:rsidRDefault="005342D5" w:rsidP="00CD7662">
            <w:pPr>
              <w:jc w:val="center"/>
              <w:rPr>
                <w:rFonts w:cs="Arial"/>
                <w:b/>
                <w:szCs w:val="22"/>
              </w:rPr>
            </w:pPr>
            <w:r w:rsidRPr="0019790A">
              <w:rPr>
                <w:rFonts w:cs="Arial"/>
                <w:b/>
                <w:szCs w:val="22"/>
              </w:rPr>
              <w:t>300,0</w:t>
            </w:r>
          </w:p>
        </w:tc>
      </w:tr>
      <w:tr w:rsidR="005342D5" w:rsidRPr="0019790A" w14:paraId="3D148E68" w14:textId="77777777" w:rsidTr="00CD7662">
        <w:trPr>
          <w:trHeight w:val="276"/>
          <w:jc w:val="right"/>
        </w:trPr>
        <w:tc>
          <w:tcPr>
            <w:tcW w:w="3425" w:type="dxa"/>
            <w:shd w:val="clear" w:color="auto" w:fill="FFFFFF"/>
            <w:vAlign w:val="center"/>
          </w:tcPr>
          <w:p w14:paraId="58B3276A" w14:textId="77777777" w:rsidR="005342D5" w:rsidRPr="0019790A" w:rsidRDefault="005342D5" w:rsidP="0019790A">
            <w:pPr>
              <w:rPr>
                <w:rFonts w:cs="Arial"/>
                <w:b/>
                <w:bCs/>
                <w:szCs w:val="22"/>
              </w:rPr>
            </w:pPr>
            <w:r w:rsidRPr="0019790A">
              <w:rPr>
                <w:rFonts w:cs="Arial"/>
                <w:b/>
                <w:bCs/>
                <w:szCs w:val="22"/>
              </w:rPr>
              <w:t>по джерелах фінансування:</w:t>
            </w:r>
          </w:p>
        </w:tc>
        <w:tc>
          <w:tcPr>
            <w:tcW w:w="6794" w:type="dxa"/>
            <w:gridSpan w:val="8"/>
            <w:vAlign w:val="center"/>
          </w:tcPr>
          <w:p w14:paraId="6BFBFC8D" w14:textId="77777777" w:rsidR="005342D5" w:rsidRPr="0019790A" w:rsidRDefault="005342D5" w:rsidP="00CD7662">
            <w:pPr>
              <w:jc w:val="center"/>
              <w:rPr>
                <w:rFonts w:cs="Arial"/>
                <w:szCs w:val="22"/>
              </w:rPr>
            </w:pPr>
          </w:p>
        </w:tc>
      </w:tr>
      <w:tr w:rsidR="00CD7662" w:rsidRPr="0019790A" w14:paraId="54C57CAC" w14:textId="55065E58" w:rsidTr="00CD7662">
        <w:trPr>
          <w:trHeight w:val="240"/>
          <w:jc w:val="right"/>
        </w:trPr>
        <w:tc>
          <w:tcPr>
            <w:tcW w:w="3425" w:type="dxa"/>
            <w:shd w:val="clear" w:color="auto" w:fill="FFFFFF"/>
            <w:vAlign w:val="center"/>
          </w:tcPr>
          <w:p w14:paraId="58A7F5E2" w14:textId="77777777" w:rsidR="00CD7662" w:rsidRPr="0019790A" w:rsidRDefault="00CD7662" w:rsidP="0019790A">
            <w:pPr>
              <w:rPr>
                <w:rFonts w:cs="Arial"/>
                <w:b/>
                <w:bCs/>
                <w:szCs w:val="22"/>
              </w:rPr>
            </w:pPr>
            <w:r w:rsidRPr="0019790A">
              <w:rPr>
                <w:rFonts w:cs="Arial"/>
                <w:szCs w:val="22"/>
              </w:rPr>
              <w:t>- державний бюджет</w:t>
            </w:r>
          </w:p>
        </w:tc>
        <w:tc>
          <w:tcPr>
            <w:tcW w:w="1258" w:type="dxa"/>
            <w:vAlign w:val="center"/>
          </w:tcPr>
          <w:p w14:paraId="3E90D198" w14:textId="77777777" w:rsidR="00CD7662" w:rsidRPr="0019790A" w:rsidRDefault="00CD7662" w:rsidP="00CD7662">
            <w:pPr>
              <w:jc w:val="center"/>
              <w:rPr>
                <w:rFonts w:cs="Arial"/>
                <w:szCs w:val="22"/>
              </w:rPr>
            </w:pPr>
          </w:p>
        </w:tc>
        <w:tc>
          <w:tcPr>
            <w:tcW w:w="1286" w:type="dxa"/>
            <w:gridSpan w:val="2"/>
            <w:vAlign w:val="center"/>
          </w:tcPr>
          <w:p w14:paraId="25E866BD" w14:textId="77777777" w:rsidR="00CD7662" w:rsidRPr="0019790A" w:rsidRDefault="00CD7662" w:rsidP="00CD7662">
            <w:pPr>
              <w:jc w:val="center"/>
              <w:rPr>
                <w:rFonts w:cs="Arial"/>
                <w:szCs w:val="22"/>
              </w:rPr>
            </w:pPr>
          </w:p>
        </w:tc>
        <w:tc>
          <w:tcPr>
            <w:tcW w:w="1430" w:type="dxa"/>
            <w:gridSpan w:val="2"/>
            <w:vAlign w:val="center"/>
          </w:tcPr>
          <w:p w14:paraId="3219AAB5" w14:textId="77777777" w:rsidR="00CD7662" w:rsidRPr="0019790A" w:rsidRDefault="00CD7662" w:rsidP="00CD7662">
            <w:pPr>
              <w:jc w:val="center"/>
              <w:rPr>
                <w:rFonts w:cs="Arial"/>
                <w:szCs w:val="22"/>
              </w:rPr>
            </w:pPr>
          </w:p>
        </w:tc>
        <w:tc>
          <w:tcPr>
            <w:tcW w:w="1219" w:type="dxa"/>
            <w:vAlign w:val="center"/>
          </w:tcPr>
          <w:p w14:paraId="66D023CA" w14:textId="77777777" w:rsidR="00CD7662" w:rsidRPr="0019790A" w:rsidRDefault="00CD7662" w:rsidP="00CD7662">
            <w:pPr>
              <w:jc w:val="center"/>
              <w:rPr>
                <w:rFonts w:cs="Arial"/>
                <w:szCs w:val="22"/>
              </w:rPr>
            </w:pPr>
          </w:p>
        </w:tc>
        <w:tc>
          <w:tcPr>
            <w:tcW w:w="1601" w:type="dxa"/>
            <w:gridSpan w:val="2"/>
            <w:vAlign w:val="center"/>
          </w:tcPr>
          <w:p w14:paraId="705E2DEF" w14:textId="77777777" w:rsidR="00CD7662" w:rsidRPr="0019790A" w:rsidRDefault="00CD7662" w:rsidP="00CD7662">
            <w:pPr>
              <w:jc w:val="center"/>
              <w:rPr>
                <w:rFonts w:cs="Arial"/>
                <w:szCs w:val="22"/>
              </w:rPr>
            </w:pPr>
          </w:p>
        </w:tc>
      </w:tr>
      <w:tr w:rsidR="00CD7662" w:rsidRPr="0019790A" w14:paraId="22390ADA" w14:textId="589071B5" w:rsidTr="00CD7662">
        <w:trPr>
          <w:trHeight w:val="287"/>
          <w:jc w:val="right"/>
        </w:trPr>
        <w:tc>
          <w:tcPr>
            <w:tcW w:w="3425" w:type="dxa"/>
            <w:shd w:val="clear" w:color="auto" w:fill="FFFFFF"/>
            <w:vAlign w:val="center"/>
          </w:tcPr>
          <w:p w14:paraId="374CC520" w14:textId="77777777" w:rsidR="00CD7662" w:rsidRPr="0019790A" w:rsidRDefault="00CD7662" w:rsidP="0019790A">
            <w:pPr>
              <w:rPr>
                <w:rFonts w:cs="Arial"/>
                <w:szCs w:val="22"/>
              </w:rPr>
            </w:pPr>
            <w:r w:rsidRPr="0019790A">
              <w:rPr>
                <w:rFonts w:cs="Arial"/>
                <w:szCs w:val="22"/>
              </w:rPr>
              <w:t>- обласний бюджет</w:t>
            </w:r>
          </w:p>
        </w:tc>
        <w:tc>
          <w:tcPr>
            <w:tcW w:w="1258" w:type="dxa"/>
            <w:vAlign w:val="center"/>
          </w:tcPr>
          <w:p w14:paraId="17333305" w14:textId="77777777" w:rsidR="00CD7662" w:rsidRPr="0019790A" w:rsidRDefault="00CD7662" w:rsidP="00CD7662">
            <w:pPr>
              <w:jc w:val="center"/>
              <w:rPr>
                <w:rFonts w:cs="Arial"/>
                <w:szCs w:val="22"/>
              </w:rPr>
            </w:pPr>
          </w:p>
        </w:tc>
        <w:tc>
          <w:tcPr>
            <w:tcW w:w="1286" w:type="dxa"/>
            <w:gridSpan w:val="2"/>
            <w:vAlign w:val="center"/>
          </w:tcPr>
          <w:p w14:paraId="2BCAD294" w14:textId="77777777" w:rsidR="00CD7662" w:rsidRPr="0019790A" w:rsidRDefault="00CD7662" w:rsidP="00CD7662">
            <w:pPr>
              <w:jc w:val="center"/>
              <w:rPr>
                <w:rFonts w:cs="Arial"/>
                <w:szCs w:val="22"/>
              </w:rPr>
            </w:pPr>
          </w:p>
        </w:tc>
        <w:tc>
          <w:tcPr>
            <w:tcW w:w="1430" w:type="dxa"/>
            <w:gridSpan w:val="2"/>
            <w:vAlign w:val="center"/>
          </w:tcPr>
          <w:p w14:paraId="092E1ED7" w14:textId="77777777" w:rsidR="00CD7662" w:rsidRPr="0019790A" w:rsidRDefault="00CD7662" w:rsidP="00CD7662">
            <w:pPr>
              <w:jc w:val="center"/>
              <w:rPr>
                <w:rFonts w:cs="Arial"/>
                <w:szCs w:val="22"/>
              </w:rPr>
            </w:pPr>
          </w:p>
        </w:tc>
        <w:tc>
          <w:tcPr>
            <w:tcW w:w="1219" w:type="dxa"/>
            <w:vAlign w:val="center"/>
          </w:tcPr>
          <w:p w14:paraId="57237324" w14:textId="77777777" w:rsidR="00CD7662" w:rsidRPr="0019790A" w:rsidRDefault="00CD7662" w:rsidP="00CD7662">
            <w:pPr>
              <w:jc w:val="center"/>
              <w:rPr>
                <w:rFonts w:cs="Arial"/>
                <w:szCs w:val="22"/>
              </w:rPr>
            </w:pPr>
          </w:p>
        </w:tc>
        <w:tc>
          <w:tcPr>
            <w:tcW w:w="1601" w:type="dxa"/>
            <w:gridSpan w:val="2"/>
            <w:vAlign w:val="center"/>
          </w:tcPr>
          <w:p w14:paraId="386700AD" w14:textId="77777777" w:rsidR="00CD7662" w:rsidRPr="0019790A" w:rsidRDefault="00CD7662" w:rsidP="00CD7662">
            <w:pPr>
              <w:jc w:val="center"/>
              <w:rPr>
                <w:rFonts w:cs="Arial"/>
                <w:szCs w:val="22"/>
              </w:rPr>
            </w:pPr>
          </w:p>
        </w:tc>
      </w:tr>
      <w:tr w:rsidR="00CD7662" w:rsidRPr="0019790A" w14:paraId="2D86F3E1" w14:textId="5A97154F" w:rsidTr="00CD7662">
        <w:trPr>
          <w:trHeight w:val="275"/>
          <w:jc w:val="right"/>
        </w:trPr>
        <w:tc>
          <w:tcPr>
            <w:tcW w:w="3425" w:type="dxa"/>
            <w:shd w:val="clear" w:color="auto" w:fill="FFFFFF"/>
            <w:vAlign w:val="center"/>
          </w:tcPr>
          <w:p w14:paraId="01622457" w14:textId="77777777" w:rsidR="00CD7662" w:rsidRPr="0019790A" w:rsidRDefault="00CD7662" w:rsidP="0019790A">
            <w:pPr>
              <w:rPr>
                <w:rFonts w:cs="Arial"/>
                <w:szCs w:val="22"/>
              </w:rPr>
            </w:pPr>
            <w:r w:rsidRPr="0019790A">
              <w:rPr>
                <w:rFonts w:cs="Arial"/>
                <w:szCs w:val="22"/>
              </w:rPr>
              <w:t>- бюджет Жмеринської МТГ</w:t>
            </w:r>
          </w:p>
        </w:tc>
        <w:tc>
          <w:tcPr>
            <w:tcW w:w="1258" w:type="dxa"/>
            <w:vAlign w:val="center"/>
          </w:tcPr>
          <w:p w14:paraId="2D18DA99" w14:textId="378D0BF5" w:rsidR="00CD7662" w:rsidRPr="0019790A" w:rsidRDefault="00CD7662" w:rsidP="00CD7662">
            <w:pPr>
              <w:jc w:val="center"/>
              <w:rPr>
                <w:rFonts w:cs="Arial"/>
                <w:b/>
                <w:szCs w:val="22"/>
              </w:rPr>
            </w:pPr>
          </w:p>
        </w:tc>
        <w:tc>
          <w:tcPr>
            <w:tcW w:w="1286" w:type="dxa"/>
            <w:gridSpan w:val="2"/>
            <w:vAlign w:val="center"/>
          </w:tcPr>
          <w:p w14:paraId="60A6C88D" w14:textId="27BD7947" w:rsidR="00CD7662" w:rsidRPr="0019790A" w:rsidRDefault="00CD7662" w:rsidP="00CD7662">
            <w:pPr>
              <w:ind w:left="26"/>
              <w:jc w:val="center"/>
              <w:rPr>
                <w:rFonts w:cs="Arial"/>
                <w:b/>
                <w:szCs w:val="22"/>
              </w:rPr>
            </w:pPr>
            <w:r w:rsidRPr="0019790A">
              <w:rPr>
                <w:rFonts w:cs="Arial"/>
                <w:b/>
                <w:szCs w:val="22"/>
              </w:rPr>
              <w:t>100,0</w:t>
            </w:r>
          </w:p>
        </w:tc>
        <w:tc>
          <w:tcPr>
            <w:tcW w:w="1430" w:type="dxa"/>
            <w:gridSpan w:val="2"/>
            <w:vAlign w:val="center"/>
          </w:tcPr>
          <w:p w14:paraId="2FA0995B" w14:textId="53513137" w:rsidR="00CD7662" w:rsidRPr="0019790A" w:rsidRDefault="00CD7662" w:rsidP="00CD7662">
            <w:pPr>
              <w:ind w:left="42"/>
              <w:jc w:val="center"/>
              <w:rPr>
                <w:rFonts w:cs="Arial"/>
                <w:b/>
                <w:szCs w:val="22"/>
              </w:rPr>
            </w:pPr>
            <w:r w:rsidRPr="0019790A">
              <w:rPr>
                <w:rFonts w:cs="Arial"/>
                <w:b/>
                <w:szCs w:val="22"/>
              </w:rPr>
              <w:t>100,0</w:t>
            </w:r>
          </w:p>
        </w:tc>
        <w:tc>
          <w:tcPr>
            <w:tcW w:w="1219" w:type="dxa"/>
            <w:vAlign w:val="center"/>
          </w:tcPr>
          <w:p w14:paraId="5BBF42D0" w14:textId="625711E4" w:rsidR="00CD7662" w:rsidRPr="0019790A" w:rsidRDefault="00CD7662" w:rsidP="00CD7662">
            <w:pPr>
              <w:ind w:left="116"/>
              <w:jc w:val="center"/>
              <w:rPr>
                <w:rFonts w:cs="Arial"/>
                <w:b/>
                <w:szCs w:val="22"/>
              </w:rPr>
            </w:pPr>
            <w:r w:rsidRPr="0019790A">
              <w:rPr>
                <w:rFonts w:cs="Arial"/>
                <w:b/>
                <w:szCs w:val="22"/>
              </w:rPr>
              <w:t>100,0</w:t>
            </w:r>
          </w:p>
        </w:tc>
        <w:tc>
          <w:tcPr>
            <w:tcW w:w="1601" w:type="dxa"/>
            <w:gridSpan w:val="2"/>
            <w:vAlign w:val="center"/>
          </w:tcPr>
          <w:p w14:paraId="71194DA4" w14:textId="06075511" w:rsidR="00CD7662" w:rsidRPr="0019790A" w:rsidRDefault="00CD7662" w:rsidP="00CD7662">
            <w:pPr>
              <w:ind w:left="295"/>
              <w:jc w:val="center"/>
              <w:rPr>
                <w:rFonts w:cs="Arial"/>
                <w:b/>
                <w:szCs w:val="22"/>
              </w:rPr>
            </w:pPr>
            <w:r w:rsidRPr="0019790A">
              <w:rPr>
                <w:rFonts w:cs="Arial"/>
                <w:b/>
                <w:szCs w:val="22"/>
              </w:rPr>
              <w:t>300,0</w:t>
            </w:r>
          </w:p>
        </w:tc>
      </w:tr>
      <w:tr w:rsidR="00CD7662" w:rsidRPr="0019790A" w14:paraId="7BD9C9EB" w14:textId="702D52D5" w:rsidTr="00CD7662">
        <w:trPr>
          <w:trHeight w:val="226"/>
          <w:jc w:val="right"/>
        </w:trPr>
        <w:tc>
          <w:tcPr>
            <w:tcW w:w="3425" w:type="dxa"/>
            <w:shd w:val="clear" w:color="auto" w:fill="FFFFFF"/>
            <w:vAlign w:val="center"/>
          </w:tcPr>
          <w:p w14:paraId="2D46CAFB" w14:textId="77777777" w:rsidR="00CD7662" w:rsidRPr="0019790A" w:rsidRDefault="00CD7662" w:rsidP="0019790A">
            <w:pPr>
              <w:rPr>
                <w:rFonts w:cs="Arial"/>
                <w:szCs w:val="22"/>
              </w:rPr>
            </w:pPr>
            <w:r w:rsidRPr="0019790A">
              <w:rPr>
                <w:rFonts w:cs="Arial"/>
                <w:szCs w:val="22"/>
              </w:rPr>
              <w:t>- інші джерела фінансування</w:t>
            </w:r>
          </w:p>
        </w:tc>
        <w:tc>
          <w:tcPr>
            <w:tcW w:w="1258" w:type="dxa"/>
            <w:vAlign w:val="center"/>
          </w:tcPr>
          <w:p w14:paraId="0FE5BEEA" w14:textId="77777777" w:rsidR="00CD7662" w:rsidRPr="0019790A" w:rsidRDefault="00CD7662" w:rsidP="00CD7662">
            <w:pPr>
              <w:jc w:val="center"/>
              <w:rPr>
                <w:rFonts w:cs="Arial"/>
                <w:szCs w:val="22"/>
              </w:rPr>
            </w:pPr>
          </w:p>
        </w:tc>
        <w:tc>
          <w:tcPr>
            <w:tcW w:w="1286" w:type="dxa"/>
            <w:gridSpan w:val="2"/>
            <w:vAlign w:val="center"/>
          </w:tcPr>
          <w:p w14:paraId="5D5E1E07" w14:textId="77777777" w:rsidR="00CD7662" w:rsidRPr="0019790A" w:rsidRDefault="00CD7662" w:rsidP="00CD7662">
            <w:pPr>
              <w:jc w:val="center"/>
              <w:rPr>
                <w:rFonts w:cs="Arial"/>
                <w:szCs w:val="22"/>
              </w:rPr>
            </w:pPr>
          </w:p>
        </w:tc>
        <w:tc>
          <w:tcPr>
            <w:tcW w:w="1430" w:type="dxa"/>
            <w:gridSpan w:val="2"/>
            <w:vAlign w:val="center"/>
          </w:tcPr>
          <w:p w14:paraId="71AD7F0F" w14:textId="77777777" w:rsidR="00CD7662" w:rsidRPr="0019790A" w:rsidRDefault="00CD7662" w:rsidP="00CD7662">
            <w:pPr>
              <w:jc w:val="center"/>
              <w:rPr>
                <w:rFonts w:cs="Arial"/>
                <w:szCs w:val="22"/>
              </w:rPr>
            </w:pPr>
          </w:p>
        </w:tc>
        <w:tc>
          <w:tcPr>
            <w:tcW w:w="1219" w:type="dxa"/>
            <w:vAlign w:val="center"/>
          </w:tcPr>
          <w:p w14:paraId="486A918E" w14:textId="77777777" w:rsidR="00CD7662" w:rsidRPr="0019790A" w:rsidRDefault="00CD7662" w:rsidP="00CD7662">
            <w:pPr>
              <w:jc w:val="center"/>
              <w:rPr>
                <w:rFonts w:cs="Arial"/>
                <w:szCs w:val="22"/>
              </w:rPr>
            </w:pPr>
          </w:p>
        </w:tc>
        <w:tc>
          <w:tcPr>
            <w:tcW w:w="1601" w:type="dxa"/>
            <w:gridSpan w:val="2"/>
            <w:vAlign w:val="center"/>
          </w:tcPr>
          <w:p w14:paraId="15CFB18A" w14:textId="77777777" w:rsidR="00CD7662" w:rsidRPr="0019790A" w:rsidRDefault="00CD7662" w:rsidP="00CD7662">
            <w:pPr>
              <w:jc w:val="center"/>
              <w:rPr>
                <w:rFonts w:cs="Arial"/>
                <w:szCs w:val="22"/>
              </w:rPr>
            </w:pPr>
          </w:p>
        </w:tc>
      </w:tr>
      <w:tr w:rsidR="005342D5" w:rsidRPr="0019790A" w14:paraId="431B0662" w14:textId="77777777" w:rsidTr="00CF3AAE">
        <w:trPr>
          <w:jc w:val="right"/>
        </w:trPr>
        <w:tc>
          <w:tcPr>
            <w:tcW w:w="3425" w:type="dxa"/>
            <w:shd w:val="clear" w:color="auto" w:fill="FFFFFF"/>
            <w:vAlign w:val="center"/>
          </w:tcPr>
          <w:p w14:paraId="6D2439B0" w14:textId="77777777" w:rsidR="005342D5" w:rsidRPr="0019790A" w:rsidRDefault="005342D5" w:rsidP="0019790A">
            <w:pPr>
              <w:rPr>
                <w:rFonts w:cs="Arial"/>
                <w:b/>
                <w:bCs/>
                <w:szCs w:val="22"/>
              </w:rPr>
            </w:pPr>
            <w:r w:rsidRPr="0019790A">
              <w:rPr>
                <w:rFonts w:cs="Arial"/>
                <w:b/>
                <w:szCs w:val="22"/>
              </w:rPr>
              <w:t>Відповідальний виконавець проєкту:</w:t>
            </w:r>
          </w:p>
        </w:tc>
        <w:tc>
          <w:tcPr>
            <w:tcW w:w="6794" w:type="dxa"/>
            <w:gridSpan w:val="8"/>
            <w:vAlign w:val="center"/>
          </w:tcPr>
          <w:p w14:paraId="21C5FA2B" w14:textId="77777777" w:rsidR="005342D5" w:rsidRPr="0019790A" w:rsidRDefault="005342D5" w:rsidP="0019790A">
            <w:pPr>
              <w:rPr>
                <w:rFonts w:cs="Arial"/>
                <w:szCs w:val="22"/>
              </w:rPr>
            </w:pPr>
            <w:r w:rsidRPr="0019790A">
              <w:rPr>
                <w:rFonts w:cs="Arial"/>
                <w:szCs w:val="22"/>
              </w:rPr>
              <w:t>Відділ молоді та спорту Жмеринської міської ради</w:t>
            </w:r>
          </w:p>
        </w:tc>
      </w:tr>
      <w:tr w:rsidR="005342D5" w:rsidRPr="0019790A" w14:paraId="52919841" w14:textId="77777777" w:rsidTr="00CF3AAE">
        <w:trPr>
          <w:jc w:val="right"/>
        </w:trPr>
        <w:tc>
          <w:tcPr>
            <w:tcW w:w="3425" w:type="dxa"/>
            <w:shd w:val="clear" w:color="auto" w:fill="FFFFFF"/>
            <w:vAlign w:val="center"/>
          </w:tcPr>
          <w:p w14:paraId="7ED0B15E" w14:textId="77777777" w:rsidR="005342D5" w:rsidRPr="0019790A" w:rsidRDefault="005342D5" w:rsidP="0019790A">
            <w:pPr>
              <w:rPr>
                <w:rFonts w:cs="Arial"/>
                <w:b/>
                <w:bCs/>
                <w:szCs w:val="22"/>
              </w:rPr>
            </w:pPr>
            <w:r w:rsidRPr="0019790A">
              <w:rPr>
                <w:rFonts w:cs="Arial"/>
                <w:b/>
                <w:bCs/>
                <w:szCs w:val="22"/>
              </w:rPr>
              <w:t>Інше:</w:t>
            </w:r>
          </w:p>
        </w:tc>
        <w:tc>
          <w:tcPr>
            <w:tcW w:w="6794" w:type="dxa"/>
            <w:gridSpan w:val="8"/>
            <w:vAlign w:val="center"/>
          </w:tcPr>
          <w:p w14:paraId="2D2A8087" w14:textId="77777777" w:rsidR="005342D5" w:rsidRPr="0019790A" w:rsidRDefault="005342D5" w:rsidP="0019790A">
            <w:pPr>
              <w:rPr>
                <w:rFonts w:cs="Arial"/>
                <w:szCs w:val="22"/>
              </w:rPr>
            </w:pPr>
          </w:p>
        </w:tc>
      </w:tr>
    </w:tbl>
    <w:p w14:paraId="368ACDF4" w14:textId="77777777" w:rsidR="005342D5" w:rsidRPr="0019790A" w:rsidRDefault="005342D5" w:rsidP="0019790A">
      <w:pPr>
        <w:rPr>
          <w:rFonts w:cs="Arial"/>
          <w:szCs w:val="22"/>
        </w:rPr>
      </w:pPr>
    </w:p>
    <w:p w14:paraId="060BE967" w14:textId="77777777" w:rsidR="005342D5" w:rsidRPr="0019790A" w:rsidRDefault="005342D5" w:rsidP="0019790A">
      <w:pPr>
        <w:jc w:val="right"/>
        <w:rPr>
          <w:rFonts w:cs="Arial"/>
          <w:b/>
          <w:szCs w:val="22"/>
        </w:rPr>
      </w:pPr>
      <w:r w:rsidRPr="0019790A">
        <w:rPr>
          <w:rFonts w:cs="Arial"/>
          <w:b/>
          <w:szCs w:val="22"/>
          <w:highlight w:val="lightGray"/>
        </w:rPr>
        <w:t>Додаток 2</w:t>
      </w:r>
    </w:p>
    <w:p w14:paraId="1205CD24" w14:textId="77777777" w:rsidR="005342D5" w:rsidRPr="0019790A" w:rsidRDefault="005342D5" w:rsidP="0019790A">
      <w:pPr>
        <w:jc w:val="center"/>
        <w:rPr>
          <w:rFonts w:cs="Arial"/>
          <w:b/>
          <w:szCs w:val="22"/>
        </w:rPr>
      </w:pPr>
      <w:r w:rsidRPr="0019790A">
        <w:rPr>
          <w:rFonts w:cs="Arial"/>
          <w:b/>
          <w:szCs w:val="22"/>
        </w:rPr>
        <w:t>Форма технічного завдання на проєкт місцевого розвитку</w:t>
      </w:r>
    </w:p>
    <w:p w14:paraId="039BA4D0" w14:textId="77777777" w:rsidR="005342D5" w:rsidRPr="0019790A" w:rsidRDefault="005342D5" w:rsidP="0019790A">
      <w:pPr>
        <w:jc w:val="center"/>
        <w:rPr>
          <w:rFonts w:cs="Arial"/>
          <w:b/>
          <w:szCs w:val="22"/>
        </w:rPr>
      </w:pPr>
      <w:r w:rsidRPr="0019790A">
        <w:rPr>
          <w:rFonts w:cs="Arial"/>
          <w:b/>
          <w:szCs w:val="22"/>
        </w:rPr>
        <w:t>до Плану заходів з реалізації Стратегії</w:t>
      </w:r>
    </w:p>
    <w:p w14:paraId="050E8506" w14:textId="77777777" w:rsidR="005342D5" w:rsidRPr="0019790A" w:rsidRDefault="005342D5"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38"/>
        <w:gridCol w:w="16"/>
        <w:gridCol w:w="1275"/>
        <w:gridCol w:w="15"/>
        <w:gridCol w:w="1403"/>
        <w:gridCol w:w="8"/>
        <w:gridCol w:w="1268"/>
        <w:gridCol w:w="18"/>
        <w:gridCol w:w="1553"/>
      </w:tblGrid>
      <w:tr w:rsidR="005342D5" w:rsidRPr="0019790A" w14:paraId="1A1E7B76" w14:textId="77777777" w:rsidTr="00CD7662">
        <w:trPr>
          <w:jc w:val="right"/>
        </w:trPr>
        <w:tc>
          <w:tcPr>
            <w:tcW w:w="3425" w:type="dxa"/>
            <w:vAlign w:val="center"/>
          </w:tcPr>
          <w:p w14:paraId="1911F945" w14:textId="77777777" w:rsidR="005342D5" w:rsidRPr="0019790A" w:rsidRDefault="005342D5" w:rsidP="0019790A">
            <w:pPr>
              <w:rPr>
                <w:rFonts w:cs="Arial"/>
                <w:b/>
                <w:bCs/>
                <w:szCs w:val="22"/>
              </w:rPr>
            </w:pPr>
            <w:r w:rsidRPr="0019790A">
              <w:rPr>
                <w:rFonts w:cs="Arial"/>
                <w:b/>
                <w:bCs/>
                <w:szCs w:val="22"/>
              </w:rPr>
              <w:t>Назва проєкту:</w:t>
            </w:r>
          </w:p>
        </w:tc>
        <w:tc>
          <w:tcPr>
            <w:tcW w:w="6794" w:type="dxa"/>
            <w:gridSpan w:val="9"/>
            <w:vAlign w:val="center"/>
          </w:tcPr>
          <w:p w14:paraId="6194877C" w14:textId="77777777" w:rsidR="005342D5" w:rsidRPr="00CD7662" w:rsidRDefault="005342D5" w:rsidP="00CD7662">
            <w:pPr>
              <w:jc w:val="both"/>
              <w:rPr>
                <w:rFonts w:cs="Arial"/>
                <w:b/>
                <w:szCs w:val="22"/>
              </w:rPr>
            </w:pPr>
            <w:r w:rsidRPr="00CD7662">
              <w:rPr>
                <w:rFonts w:cs="Arial"/>
                <w:b/>
                <w:szCs w:val="22"/>
              </w:rPr>
              <w:t>«Громада талантів: розвиток культурно-творчого потенціалу мешканців»</w:t>
            </w:r>
          </w:p>
        </w:tc>
      </w:tr>
      <w:tr w:rsidR="005342D5" w:rsidRPr="0019790A" w14:paraId="3751D0C6" w14:textId="77777777" w:rsidTr="00CD7662">
        <w:trPr>
          <w:jc w:val="right"/>
        </w:trPr>
        <w:tc>
          <w:tcPr>
            <w:tcW w:w="3425" w:type="dxa"/>
          </w:tcPr>
          <w:p w14:paraId="1E73286C" w14:textId="77777777" w:rsidR="005342D5" w:rsidRPr="0019790A" w:rsidRDefault="005342D5" w:rsidP="0019790A">
            <w:pPr>
              <w:rPr>
                <w:rFonts w:cs="Arial"/>
                <w:szCs w:val="22"/>
              </w:rPr>
            </w:pPr>
            <w:r w:rsidRPr="0019790A">
              <w:rPr>
                <w:rFonts w:cs="Arial"/>
                <w:b/>
                <w:bCs/>
                <w:szCs w:val="22"/>
              </w:rPr>
              <w:t>Ваші контакти</w:t>
            </w:r>
            <w:r w:rsidRPr="0019790A">
              <w:rPr>
                <w:rFonts w:cs="Arial"/>
                <w:szCs w:val="22"/>
              </w:rPr>
              <w:t>:</w:t>
            </w:r>
          </w:p>
          <w:p w14:paraId="42E286CF" w14:textId="77777777" w:rsidR="005342D5" w:rsidRPr="0019790A" w:rsidRDefault="005342D5" w:rsidP="0019790A">
            <w:pPr>
              <w:rPr>
                <w:rFonts w:cs="Arial"/>
                <w:b/>
                <w:bCs/>
                <w:szCs w:val="22"/>
              </w:rPr>
            </w:pPr>
            <w:r w:rsidRPr="0019790A">
              <w:rPr>
                <w:rFonts w:cs="Arial"/>
                <w:szCs w:val="22"/>
              </w:rPr>
              <w:t>Назва установи, організації, підприємства</w:t>
            </w:r>
          </w:p>
        </w:tc>
        <w:tc>
          <w:tcPr>
            <w:tcW w:w="6794" w:type="dxa"/>
            <w:gridSpan w:val="9"/>
            <w:vAlign w:val="center"/>
          </w:tcPr>
          <w:p w14:paraId="075A894C" w14:textId="77777777" w:rsidR="005342D5" w:rsidRPr="0019790A" w:rsidRDefault="005342D5" w:rsidP="00CD7662">
            <w:pPr>
              <w:rPr>
                <w:rFonts w:cs="Arial"/>
                <w:szCs w:val="22"/>
              </w:rPr>
            </w:pPr>
            <w:r w:rsidRPr="0019790A">
              <w:rPr>
                <w:rFonts w:cs="Arial"/>
                <w:szCs w:val="22"/>
              </w:rPr>
              <w:t>Відділ молоді та спорту Жмеринської міської ради</w:t>
            </w:r>
          </w:p>
        </w:tc>
      </w:tr>
      <w:tr w:rsidR="005342D5" w:rsidRPr="0019790A" w14:paraId="5AD66969" w14:textId="77777777" w:rsidTr="00CD7662">
        <w:trPr>
          <w:jc w:val="right"/>
        </w:trPr>
        <w:tc>
          <w:tcPr>
            <w:tcW w:w="3425" w:type="dxa"/>
          </w:tcPr>
          <w:p w14:paraId="58C2FD31" w14:textId="77777777" w:rsidR="005342D5" w:rsidRPr="0019790A" w:rsidRDefault="005342D5" w:rsidP="0019790A">
            <w:pPr>
              <w:rPr>
                <w:rFonts w:cs="Arial"/>
                <w:b/>
                <w:bCs/>
                <w:szCs w:val="22"/>
              </w:rPr>
            </w:pPr>
            <w:r w:rsidRPr="0019790A">
              <w:rPr>
                <w:rFonts w:cs="Arial"/>
                <w:szCs w:val="22"/>
              </w:rPr>
              <w:t>Прізвище Ім’я По-батькові:</w:t>
            </w:r>
          </w:p>
        </w:tc>
        <w:tc>
          <w:tcPr>
            <w:tcW w:w="6794" w:type="dxa"/>
            <w:gridSpan w:val="9"/>
            <w:vAlign w:val="center"/>
          </w:tcPr>
          <w:p w14:paraId="4B7822A8" w14:textId="77777777" w:rsidR="005342D5" w:rsidRPr="0019790A" w:rsidRDefault="005342D5" w:rsidP="00CD7662">
            <w:pPr>
              <w:rPr>
                <w:rFonts w:cs="Arial"/>
                <w:szCs w:val="22"/>
              </w:rPr>
            </w:pPr>
            <w:r w:rsidRPr="0019790A">
              <w:rPr>
                <w:rFonts w:cs="Arial"/>
                <w:szCs w:val="22"/>
              </w:rPr>
              <w:t>Ковальська Олена Віталіївна</w:t>
            </w:r>
          </w:p>
        </w:tc>
      </w:tr>
      <w:tr w:rsidR="005342D5" w:rsidRPr="0019790A" w14:paraId="5BD40F25" w14:textId="77777777" w:rsidTr="00CD7662">
        <w:trPr>
          <w:jc w:val="right"/>
        </w:trPr>
        <w:tc>
          <w:tcPr>
            <w:tcW w:w="3425" w:type="dxa"/>
          </w:tcPr>
          <w:p w14:paraId="6E96CDF0" w14:textId="77777777" w:rsidR="005342D5" w:rsidRPr="0019790A" w:rsidRDefault="005342D5" w:rsidP="0019790A">
            <w:pPr>
              <w:rPr>
                <w:rFonts w:cs="Arial"/>
                <w:b/>
                <w:bCs/>
                <w:szCs w:val="22"/>
              </w:rPr>
            </w:pPr>
            <w:r w:rsidRPr="0019790A">
              <w:rPr>
                <w:rFonts w:cs="Arial"/>
                <w:szCs w:val="22"/>
              </w:rPr>
              <w:t>Телефон (мобільний):</w:t>
            </w:r>
          </w:p>
        </w:tc>
        <w:tc>
          <w:tcPr>
            <w:tcW w:w="6794" w:type="dxa"/>
            <w:gridSpan w:val="9"/>
            <w:vAlign w:val="center"/>
          </w:tcPr>
          <w:p w14:paraId="2A676680" w14:textId="77777777" w:rsidR="005342D5" w:rsidRPr="0019790A" w:rsidRDefault="005342D5" w:rsidP="00CD7662">
            <w:pPr>
              <w:rPr>
                <w:rFonts w:cs="Arial"/>
                <w:szCs w:val="22"/>
              </w:rPr>
            </w:pPr>
            <w:r w:rsidRPr="0019790A">
              <w:rPr>
                <w:rFonts w:cs="Arial"/>
                <w:szCs w:val="22"/>
              </w:rPr>
              <w:t>096-068-94-79</w:t>
            </w:r>
          </w:p>
        </w:tc>
      </w:tr>
      <w:tr w:rsidR="005342D5" w:rsidRPr="0019790A" w14:paraId="13DC8FE9" w14:textId="77777777" w:rsidTr="00CD7662">
        <w:trPr>
          <w:jc w:val="right"/>
        </w:trPr>
        <w:tc>
          <w:tcPr>
            <w:tcW w:w="3425" w:type="dxa"/>
          </w:tcPr>
          <w:p w14:paraId="7155E5B1" w14:textId="77777777" w:rsidR="005342D5" w:rsidRPr="0019790A" w:rsidRDefault="005342D5" w:rsidP="0019790A">
            <w:pPr>
              <w:rPr>
                <w:rFonts w:cs="Arial"/>
                <w:b/>
                <w:bCs/>
                <w:szCs w:val="22"/>
              </w:rPr>
            </w:pPr>
            <w:r w:rsidRPr="0019790A">
              <w:rPr>
                <w:rFonts w:cs="Arial"/>
                <w:szCs w:val="22"/>
              </w:rPr>
              <w:t>Електронна адреса:</w:t>
            </w:r>
          </w:p>
        </w:tc>
        <w:tc>
          <w:tcPr>
            <w:tcW w:w="6794" w:type="dxa"/>
            <w:gridSpan w:val="9"/>
            <w:vAlign w:val="center"/>
          </w:tcPr>
          <w:p w14:paraId="07599CAF" w14:textId="77777777" w:rsidR="005342D5" w:rsidRPr="0019790A" w:rsidRDefault="00D85FFD" w:rsidP="00CD7662">
            <w:pPr>
              <w:rPr>
                <w:rFonts w:cs="Arial"/>
                <w:szCs w:val="22"/>
              </w:rPr>
            </w:pPr>
            <w:hyperlink r:id="rId165" w:history="1">
              <w:r w:rsidR="005342D5" w:rsidRPr="0019790A">
                <w:rPr>
                  <w:rStyle w:val="af0"/>
                  <w:rFonts w:cs="Arial"/>
                  <w:b/>
                  <w:bCs/>
                  <w:noProof w:val="0"/>
                  <w:sz w:val="22"/>
                  <w:szCs w:val="22"/>
                </w:rPr>
                <w:t>ms@zhmr.gov.ua</w:t>
              </w:r>
            </w:hyperlink>
          </w:p>
        </w:tc>
      </w:tr>
      <w:tr w:rsidR="005342D5" w:rsidRPr="0019790A" w14:paraId="507ADA4B" w14:textId="77777777" w:rsidTr="001A5BC7">
        <w:trPr>
          <w:trHeight w:val="1276"/>
          <w:jc w:val="right"/>
        </w:trPr>
        <w:tc>
          <w:tcPr>
            <w:tcW w:w="3425" w:type="dxa"/>
            <w:vAlign w:val="center"/>
          </w:tcPr>
          <w:p w14:paraId="0F89A92D" w14:textId="77777777" w:rsidR="005342D5" w:rsidRPr="0019790A" w:rsidRDefault="005342D5" w:rsidP="0019790A">
            <w:pPr>
              <w:rPr>
                <w:rFonts w:cs="Arial"/>
                <w:b/>
                <w:bCs/>
                <w:szCs w:val="22"/>
              </w:rPr>
            </w:pPr>
            <w:r w:rsidRPr="0019790A">
              <w:rPr>
                <w:rFonts w:cs="Arial"/>
                <w:b/>
                <w:bCs/>
                <w:szCs w:val="22"/>
              </w:rPr>
              <w:t>Номер і назва завдання з Стратегії розвитку Жмеринської міської територіальної громади,  якому відповідає проєкт:</w:t>
            </w:r>
          </w:p>
        </w:tc>
        <w:tc>
          <w:tcPr>
            <w:tcW w:w="6794" w:type="dxa"/>
            <w:gridSpan w:val="9"/>
            <w:vAlign w:val="center"/>
          </w:tcPr>
          <w:p w14:paraId="4067281E" w14:textId="5E982C3F" w:rsidR="005342D5" w:rsidRPr="0019790A" w:rsidRDefault="005342D5" w:rsidP="001A5BC7">
            <w:pPr>
              <w:rPr>
                <w:rFonts w:cs="Arial"/>
                <w:b/>
                <w:szCs w:val="22"/>
              </w:rPr>
            </w:pPr>
            <w:r w:rsidRPr="00CD7662">
              <w:rPr>
                <w:rFonts w:cs="Arial"/>
                <w:szCs w:val="22"/>
              </w:rPr>
              <w:t>С.3.5.1. Створення умов для самореалізації та участі дітей, молоді у житті громади.</w:t>
            </w:r>
          </w:p>
        </w:tc>
      </w:tr>
      <w:tr w:rsidR="005342D5" w:rsidRPr="0019790A" w14:paraId="644B55DA" w14:textId="77777777" w:rsidTr="00CD7662">
        <w:trPr>
          <w:trHeight w:val="673"/>
          <w:jc w:val="right"/>
        </w:trPr>
        <w:tc>
          <w:tcPr>
            <w:tcW w:w="3425" w:type="dxa"/>
            <w:vAlign w:val="center"/>
          </w:tcPr>
          <w:p w14:paraId="14154F75" w14:textId="77777777" w:rsidR="005342D5" w:rsidRPr="0019790A" w:rsidRDefault="005342D5" w:rsidP="0019790A">
            <w:pPr>
              <w:rPr>
                <w:rFonts w:cs="Arial"/>
                <w:b/>
                <w:bCs/>
                <w:szCs w:val="22"/>
              </w:rPr>
            </w:pPr>
            <w:r w:rsidRPr="0019790A">
              <w:rPr>
                <w:rFonts w:cs="Arial"/>
                <w:b/>
                <w:bCs/>
                <w:szCs w:val="22"/>
              </w:rPr>
              <w:t>Мета проєкту:</w:t>
            </w:r>
          </w:p>
        </w:tc>
        <w:tc>
          <w:tcPr>
            <w:tcW w:w="6794" w:type="dxa"/>
            <w:gridSpan w:val="9"/>
            <w:vAlign w:val="center"/>
          </w:tcPr>
          <w:p w14:paraId="1095F7AD" w14:textId="77777777" w:rsidR="005342D5" w:rsidRPr="0019790A" w:rsidRDefault="005342D5" w:rsidP="00CD7662">
            <w:pPr>
              <w:tabs>
                <w:tab w:val="left" w:pos="323"/>
              </w:tabs>
              <w:rPr>
                <w:rFonts w:cs="Arial"/>
                <w:szCs w:val="22"/>
              </w:rPr>
            </w:pPr>
            <w:r w:rsidRPr="0019790A">
              <w:rPr>
                <w:rFonts w:cs="Arial"/>
                <w:szCs w:val="22"/>
              </w:rPr>
              <w:t>Сприяти розвитку культурно-творчого потенціалу мешканців громади шляхом підтримки мистецьких ініціатив, організації творчих заходів, майстер-класів, фестивалів, конкурсів і освітніх програм.</w:t>
            </w:r>
          </w:p>
        </w:tc>
      </w:tr>
      <w:tr w:rsidR="005342D5" w:rsidRPr="0019790A" w14:paraId="70DAB461" w14:textId="77777777" w:rsidTr="00CD7662">
        <w:trPr>
          <w:jc w:val="right"/>
        </w:trPr>
        <w:tc>
          <w:tcPr>
            <w:tcW w:w="3425" w:type="dxa"/>
            <w:vAlign w:val="center"/>
          </w:tcPr>
          <w:p w14:paraId="39297A44" w14:textId="77777777" w:rsidR="005342D5" w:rsidRPr="0019790A" w:rsidRDefault="005342D5" w:rsidP="0019790A">
            <w:pPr>
              <w:rPr>
                <w:rFonts w:cs="Arial"/>
                <w:b/>
                <w:bCs/>
                <w:szCs w:val="22"/>
              </w:rPr>
            </w:pPr>
            <w:r w:rsidRPr="0019790A">
              <w:rPr>
                <w:rFonts w:cs="Arial"/>
                <w:b/>
                <w:bCs/>
                <w:szCs w:val="22"/>
              </w:rPr>
              <w:t>Цілі проєкту:</w:t>
            </w:r>
          </w:p>
        </w:tc>
        <w:tc>
          <w:tcPr>
            <w:tcW w:w="6794" w:type="dxa"/>
            <w:gridSpan w:val="9"/>
            <w:vAlign w:val="center"/>
          </w:tcPr>
          <w:p w14:paraId="07445607" w14:textId="77777777" w:rsidR="005342D5" w:rsidRPr="0019790A" w:rsidRDefault="005342D5" w:rsidP="00CD7662">
            <w:pPr>
              <w:numPr>
                <w:ilvl w:val="0"/>
                <w:numId w:val="102"/>
              </w:numPr>
              <w:tabs>
                <w:tab w:val="left" w:pos="323"/>
              </w:tabs>
              <w:ind w:left="0" w:firstLine="0"/>
              <w:rPr>
                <w:rFonts w:cs="Arial"/>
                <w:szCs w:val="22"/>
              </w:rPr>
            </w:pPr>
            <w:r w:rsidRPr="0019790A">
              <w:rPr>
                <w:rFonts w:cs="Arial"/>
                <w:szCs w:val="22"/>
              </w:rPr>
              <w:t>Підтримати розвиток і популяризацію творчих здібностей мешканців громади.</w:t>
            </w:r>
          </w:p>
          <w:p w14:paraId="63A4FD6B" w14:textId="77777777" w:rsidR="005342D5" w:rsidRPr="0019790A" w:rsidRDefault="005342D5" w:rsidP="00CD7662">
            <w:pPr>
              <w:numPr>
                <w:ilvl w:val="0"/>
                <w:numId w:val="102"/>
              </w:numPr>
              <w:tabs>
                <w:tab w:val="left" w:pos="323"/>
              </w:tabs>
              <w:ind w:left="0" w:firstLine="0"/>
              <w:rPr>
                <w:rFonts w:cs="Arial"/>
                <w:szCs w:val="22"/>
              </w:rPr>
            </w:pPr>
            <w:r w:rsidRPr="0019790A">
              <w:rPr>
                <w:rFonts w:cs="Arial"/>
                <w:szCs w:val="22"/>
              </w:rPr>
              <w:t>Розширити доступ до культурної освіти через події, майстер-класи, освітні активності.</w:t>
            </w:r>
          </w:p>
          <w:p w14:paraId="4B9AD886" w14:textId="77777777" w:rsidR="005342D5" w:rsidRPr="0019790A" w:rsidRDefault="005342D5" w:rsidP="00CD7662">
            <w:pPr>
              <w:numPr>
                <w:ilvl w:val="0"/>
                <w:numId w:val="102"/>
              </w:numPr>
              <w:tabs>
                <w:tab w:val="left" w:pos="323"/>
              </w:tabs>
              <w:ind w:left="0" w:firstLine="0"/>
              <w:rPr>
                <w:rFonts w:cs="Arial"/>
                <w:szCs w:val="22"/>
              </w:rPr>
            </w:pPr>
            <w:r w:rsidRPr="0019790A">
              <w:rPr>
                <w:rFonts w:cs="Arial"/>
                <w:szCs w:val="22"/>
              </w:rPr>
              <w:t>Залучити різні вікові категорії до культурного життя громади.</w:t>
            </w:r>
          </w:p>
          <w:p w14:paraId="0E7160AD" w14:textId="77777777" w:rsidR="005342D5" w:rsidRPr="0019790A" w:rsidRDefault="005342D5" w:rsidP="00CD7662">
            <w:pPr>
              <w:numPr>
                <w:ilvl w:val="0"/>
                <w:numId w:val="102"/>
              </w:numPr>
              <w:tabs>
                <w:tab w:val="left" w:pos="323"/>
              </w:tabs>
              <w:ind w:left="0" w:firstLine="0"/>
              <w:rPr>
                <w:rFonts w:cs="Arial"/>
                <w:szCs w:val="22"/>
              </w:rPr>
            </w:pPr>
            <w:r w:rsidRPr="0019790A">
              <w:rPr>
                <w:rFonts w:cs="Arial"/>
                <w:szCs w:val="22"/>
              </w:rPr>
              <w:t>Сприяти збереженню культурної спадщини та народних традицій.</w:t>
            </w:r>
          </w:p>
          <w:p w14:paraId="6254F8D3" w14:textId="250420B5" w:rsidR="005342D5" w:rsidRPr="0019790A" w:rsidRDefault="005342D5" w:rsidP="001A5BC7">
            <w:pPr>
              <w:numPr>
                <w:ilvl w:val="0"/>
                <w:numId w:val="102"/>
              </w:numPr>
              <w:tabs>
                <w:tab w:val="left" w:pos="323"/>
              </w:tabs>
              <w:ind w:left="0" w:firstLine="0"/>
              <w:rPr>
                <w:rFonts w:cs="Arial"/>
                <w:szCs w:val="22"/>
              </w:rPr>
            </w:pPr>
            <w:r w:rsidRPr="0019790A">
              <w:rPr>
                <w:rFonts w:cs="Arial"/>
                <w:szCs w:val="22"/>
              </w:rPr>
              <w:t>Створити сприятливе середовище для творчої самореалізації.</w:t>
            </w:r>
          </w:p>
        </w:tc>
      </w:tr>
      <w:tr w:rsidR="005342D5" w:rsidRPr="0019790A" w14:paraId="76FB6F0E" w14:textId="77777777" w:rsidTr="00CD7662">
        <w:trPr>
          <w:trHeight w:val="641"/>
          <w:jc w:val="right"/>
        </w:trPr>
        <w:tc>
          <w:tcPr>
            <w:tcW w:w="3425" w:type="dxa"/>
            <w:vAlign w:val="center"/>
          </w:tcPr>
          <w:p w14:paraId="1146E580" w14:textId="77777777" w:rsidR="005342D5" w:rsidRPr="0019790A" w:rsidRDefault="005342D5" w:rsidP="0019790A">
            <w:pPr>
              <w:rPr>
                <w:rFonts w:cs="Arial"/>
                <w:b/>
                <w:szCs w:val="22"/>
              </w:rPr>
            </w:pPr>
            <w:r w:rsidRPr="0019790A">
              <w:rPr>
                <w:rFonts w:cs="Arial"/>
                <w:b/>
                <w:szCs w:val="22"/>
              </w:rPr>
              <w:t>Територія на яку проєкт матиме вплив:</w:t>
            </w:r>
          </w:p>
        </w:tc>
        <w:tc>
          <w:tcPr>
            <w:tcW w:w="6794" w:type="dxa"/>
            <w:gridSpan w:val="9"/>
            <w:vAlign w:val="center"/>
          </w:tcPr>
          <w:p w14:paraId="67DF2781" w14:textId="77777777" w:rsidR="005342D5" w:rsidRPr="0019790A" w:rsidRDefault="005342D5" w:rsidP="00CD7662">
            <w:pPr>
              <w:tabs>
                <w:tab w:val="left" w:pos="323"/>
              </w:tabs>
              <w:rPr>
                <w:rFonts w:cs="Arial"/>
                <w:szCs w:val="22"/>
              </w:rPr>
            </w:pPr>
            <w:r w:rsidRPr="0019790A">
              <w:rPr>
                <w:rFonts w:cs="Arial"/>
                <w:szCs w:val="22"/>
              </w:rPr>
              <w:t>Жмеринська міська територіальна громада</w:t>
            </w:r>
          </w:p>
        </w:tc>
      </w:tr>
      <w:tr w:rsidR="005342D5" w:rsidRPr="0019790A" w14:paraId="3416DB2A" w14:textId="77777777" w:rsidTr="00CD7662">
        <w:trPr>
          <w:jc w:val="right"/>
        </w:trPr>
        <w:tc>
          <w:tcPr>
            <w:tcW w:w="3425" w:type="dxa"/>
            <w:vAlign w:val="center"/>
          </w:tcPr>
          <w:p w14:paraId="26E05B35" w14:textId="77777777" w:rsidR="005342D5" w:rsidRPr="0019790A" w:rsidRDefault="005342D5" w:rsidP="0019790A">
            <w:pPr>
              <w:rPr>
                <w:rFonts w:cs="Arial"/>
                <w:b/>
                <w:szCs w:val="22"/>
              </w:rPr>
            </w:pPr>
            <w:r w:rsidRPr="0019790A">
              <w:rPr>
                <w:rFonts w:cs="Arial"/>
                <w:b/>
                <w:szCs w:val="22"/>
              </w:rPr>
              <w:t>Цільові групи проєкту та кількість отримувачів вигоди</w:t>
            </w:r>
          </w:p>
        </w:tc>
        <w:tc>
          <w:tcPr>
            <w:tcW w:w="6794" w:type="dxa"/>
            <w:gridSpan w:val="9"/>
            <w:vAlign w:val="center"/>
          </w:tcPr>
          <w:p w14:paraId="0817C21F" w14:textId="77777777" w:rsidR="005342D5" w:rsidRPr="0019790A" w:rsidRDefault="005342D5" w:rsidP="00CD7662">
            <w:pPr>
              <w:numPr>
                <w:ilvl w:val="0"/>
                <w:numId w:val="103"/>
              </w:numPr>
              <w:tabs>
                <w:tab w:val="left" w:pos="323"/>
              </w:tabs>
              <w:ind w:left="0" w:firstLine="0"/>
              <w:rPr>
                <w:rFonts w:cs="Arial"/>
                <w:szCs w:val="22"/>
              </w:rPr>
            </w:pPr>
            <w:r w:rsidRPr="0019790A">
              <w:rPr>
                <w:rFonts w:cs="Arial"/>
                <w:szCs w:val="22"/>
              </w:rPr>
              <w:t>Діти, молодь, дорослі та пенсіонери</w:t>
            </w:r>
          </w:p>
          <w:p w14:paraId="127EC5C7" w14:textId="77777777" w:rsidR="005342D5" w:rsidRPr="0019790A" w:rsidRDefault="005342D5" w:rsidP="00CD7662">
            <w:pPr>
              <w:numPr>
                <w:ilvl w:val="0"/>
                <w:numId w:val="103"/>
              </w:numPr>
              <w:tabs>
                <w:tab w:val="left" w:pos="323"/>
              </w:tabs>
              <w:ind w:left="0" w:firstLine="0"/>
              <w:rPr>
                <w:rFonts w:cs="Arial"/>
                <w:szCs w:val="22"/>
              </w:rPr>
            </w:pPr>
            <w:r w:rsidRPr="0019790A">
              <w:rPr>
                <w:rFonts w:cs="Arial"/>
                <w:szCs w:val="22"/>
              </w:rPr>
              <w:t>Творчі особистості (вокалісти, художники, ремісники, актори тощо)</w:t>
            </w:r>
          </w:p>
          <w:p w14:paraId="247624B5" w14:textId="77777777" w:rsidR="005342D5" w:rsidRPr="0019790A" w:rsidRDefault="005342D5" w:rsidP="00CD7662">
            <w:pPr>
              <w:numPr>
                <w:ilvl w:val="0"/>
                <w:numId w:val="103"/>
              </w:numPr>
              <w:tabs>
                <w:tab w:val="left" w:pos="323"/>
              </w:tabs>
              <w:ind w:left="0" w:firstLine="0"/>
              <w:rPr>
                <w:rFonts w:cs="Arial"/>
                <w:szCs w:val="22"/>
              </w:rPr>
            </w:pPr>
            <w:r w:rsidRPr="0019790A">
              <w:rPr>
                <w:rFonts w:cs="Arial"/>
                <w:szCs w:val="22"/>
              </w:rPr>
              <w:t>Учасники аматорських колективів, гуртків, студій</w:t>
            </w:r>
          </w:p>
          <w:p w14:paraId="636AFD2F" w14:textId="77777777" w:rsidR="005342D5" w:rsidRPr="0019790A" w:rsidRDefault="005342D5" w:rsidP="00CD7662">
            <w:pPr>
              <w:numPr>
                <w:ilvl w:val="0"/>
                <w:numId w:val="103"/>
              </w:numPr>
              <w:tabs>
                <w:tab w:val="left" w:pos="323"/>
              </w:tabs>
              <w:ind w:left="0" w:firstLine="0"/>
              <w:rPr>
                <w:rFonts w:cs="Arial"/>
                <w:szCs w:val="22"/>
              </w:rPr>
            </w:pPr>
            <w:r w:rsidRPr="0019790A">
              <w:rPr>
                <w:rFonts w:cs="Arial"/>
                <w:szCs w:val="22"/>
              </w:rPr>
              <w:t>Вразливі групи населення, внутрішньо переміщені особи</w:t>
            </w:r>
          </w:p>
          <w:p w14:paraId="1A7FCE37" w14:textId="77777777" w:rsidR="005342D5" w:rsidRPr="0019790A" w:rsidRDefault="005342D5" w:rsidP="00CD7662">
            <w:pPr>
              <w:tabs>
                <w:tab w:val="left" w:pos="323"/>
              </w:tabs>
              <w:rPr>
                <w:rFonts w:cs="Arial"/>
                <w:szCs w:val="22"/>
              </w:rPr>
            </w:pPr>
            <w:r w:rsidRPr="0019790A">
              <w:rPr>
                <w:rFonts w:cs="Arial"/>
                <w:b/>
                <w:szCs w:val="22"/>
              </w:rPr>
              <w:t>Кількість отримувачів вигоди</w:t>
            </w:r>
            <w:r w:rsidRPr="0019790A">
              <w:rPr>
                <w:rFonts w:cs="Arial"/>
                <w:szCs w:val="22"/>
              </w:rPr>
              <w:t xml:space="preserve"> </w:t>
            </w:r>
            <w:r w:rsidRPr="0019790A">
              <w:rPr>
                <w:rFonts w:cs="Arial"/>
                <w:b/>
                <w:szCs w:val="22"/>
              </w:rPr>
              <w:t>8000 осіб.</w:t>
            </w:r>
          </w:p>
        </w:tc>
      </w:tr>
      <w:tr w:rsidR="005342D5" w:rsidRPr="0019790A" w14:paraId="418A7A57" w14:textId="77777777" w:rsidTr="00CD7662">
        <w:trPr>
          <w:jc w:val="right"/>
        </w:trPr>
        <w:tc>
          <w:tcPr>
            <w:tcW w:w="3425" w:type="dxa"/>
            <w:shd w:val="clear" w:color="auto" w:fill="FFFFFF"/>
            <w:vAlign w:val="center"/>
          </w:tcPr>
          <w:p w14:paraId="6BE2A329" w14:textId="77777777" w:rsidR="005342D5" w:rsidRPr="0019790A" w:rsidRDefault="005342D5" w:rsidP="0019790A">
            <w:pPr>
              <w:rPr>
                <w:rFonts w:cs="Arial"/>
                <w:b/>
                <w:bCs/>
                <w:szCs w:val="22"/>
              </w:rPr>
            </w:pPr>
            <w:r w:rsidRPr="0019790A">
              <w:rPr>
                <w:rFonts w:cs="Arial"/>
                <w:b/>
                <w:bCs/>
                <w:szCs w:val="22"/>
              </w:rPr>
              <w:t>Стислий опис проєкту:</w:t>
            </w:r>
          </w:p>
        </w:tc>
        <w:tc>
          <w:tcPr>
            <w:tcW w:w="6794" w:type="dxa"/>
            <w:gridSpan w:val="9"/>
            <w:vAlign w:val="center"/>
          </w:tcPr>
          <w:p w14:paraId="6B47EE36" w14:textId="69554185" w:rsidR="005342D5" w:rsidRPr="0019790A" w:rsidRDefault="005342D5" w:rsidP="001A5BC7">
            <w:pPr>
              <w:tabs>
                <w:tab w:val="left" w:pos="323"/>
              </w:tabs>
              <w:rPr>
                <w:rFonts w:cs="Arial"/>
                <w:szCs w:val="22"/>
              </w:rPr>
            </w:pPr>
            <w:r w:rsidRPr="0019790A">
              <w:rPr>
                <w:rFonts w:cs="Arial"/>
                <w:szCs w:val="22"/>
              </w:rPr>
              <w:t>Проєкт передбачає серію заходів, спрямованих на виявлення, розвиток і підтримку творчих здібностей мешканців громади. У програмі — культурні події, фестивалі, конкурси, майстер-класи з народного мистецтва, декоративно-прикладної творчості, музики, театру, живопису тощо. Проєкт також підтримує місцеві ініціативи та співпрацює з культурними закладами, бібліотеками, школами мистецтв і громадськими організаціями.</w:t>
            </w:r>
          </w:p>
        </w:tc>
      </w:tr>
      <w:tr w:rsidR="005342D5" w:rsidRPr="0019790A" w14:paraId="4707AAC1" w14:textId="77777777" w:rsidTr="00CD7662">
        <w:trPr>
          <w:jc w:val="right"/>
        </w:trPr>
        <w:tc>
          <w:tcPr>
            <w:tcW w:w="3425" w:type="dxa"/>
            <w:shd w:val="clear" w:color="auto" w:fill="FFFFFF"/>
            <w:vAlign w:val="center"/>
          </w:tcPr>
          <w:p w14:paraId="788424A8" w14:textId="77777777" w:rsidR="005342D5" w:rsidRPr="0019790A" w:rsidRDefault="005342D5" w:rsidP="0019790A">
            <w:pPr>
              <w:rPr>
                <w:rFonts w:cs="Arial"/>
                <w:b/>
                <w:bCs/>
                <w:szCs w:val="22"/>
              </w:rPr>
            </w:pPr>
            <w:r w:rsidRPr="0019790A">
              <w:rPr>
                <w:rFonts w:cs="Arial"/>
                <w:b/>
                <w:bCs/>
                <w:szCs w:val="22"/>
              </w:rPr>
              <w:t>Основні заходи проєкту:</w:t>
            </w:r>
          </w:p>
        </w:tc>
        <w:tc>
          <w:tcPr>
            <w:tcW w:w="6794" w:type="dxa"/>
            <w:gridSpan w:val="9"/>
            <w:vAlign w:val="center"/>
          </w:tcPr>
          <w:p w14:paraId="007F450F" w14:textId="77777777" w:rsidR="005342D5" w:rsidRPr="0019790A" w:rsidRDefault="005342D5" w:rsidP="00CD7662">
            <w:pPr>
              <w:numPr>
                <w:ilvl w:val="0"/>
                <w:numId w:val="104"/>
              </w:numPr>
              <w:tabs>
                <w:tab w:val="left" w:pos="323"/>
              </w:tabs>
              <w:ind w:left="0" w:firstLine="0"/>
              <w:rPr>
                <w:rFonts w:cs="Arial"/>
                <w:szCs w:val="22"/>
              </w:rPr>
            </w:pPr>
            <w:r w:rsidRPr="0019790A">
              <w:rPr>
                <w:rFonts w:cs="Arial"/>
                <w:szCs w:val="22"/>
              </w:rPr>
              <w:t>Проведення творчих конкурсів, виставок, концертів, фестивалів</w:t>
            </w:r>
          </w:p>
          <w:p w14:paraId="2D890606" w14:textId="77777777" w:rsidR="005342D5" w:rsidRPr="0019790A" w:rsidRDefault="005342D5" w:rsidP="00CD7662">
            <w:pPr>
              <w:numPr>
                <w:ilvl w:val="0"/>
                <w:numId w:val="104"/>
              </w:numPr>
              <w:tabs>
                <w:tab w:val="left" w:pos="323"/>
              </w:tabs>
              <w:ind w:left="0" w:firstLine="0"/>
              <w:rPr>
                <w:rFonts w:cs="Arial"/>
                <w:szCs w:val="22"/>
              </w:rPr>
            </w:pPr>
            <w:r w:rsidRPr="0019790A">
              <w:rPr>
                <w:rFonts w:cs="Arial"/>
                <w:szCs w:val="22"/>
              </w:rPr>
              <w:t>Організація майстер-класів з ремесел, живопису, співу, гри на музичних інструментах</w:t>
            </w:r>
          </w:p>
          <w:p w14:paraId="7CB8E925" w14:textId="77777777" w:rsidR="005342D5" w:rsidRPr="0019790A" w:rsidRDefault="005342D5" w:rsidP="00CD7662">
            <w:pPr>
              <w:numPr>
                <w:ilvl w:val="0"/>
                <w:numId w:val="104"/>
              </w:numPr>
              <w:tabs>
                <w:tab w:val="left" w:pos="323"/>
              </w:tabs>
              <w:ind w:left="0" w:firstLine="0"/>
              <w:rPr>
                <w:rFonts w:cs="Arial"/>
                <w:szCs w:val="22"/>
              </w:rPr>
            </w:pPr>
            <w:r w:rsidRPr="0019790A">
              <w:rPr>
                <w:rFonts w:cs="Arial"/>
                <w:szCs w:val="22"/>
              </w:rPr>
              <w:t>Проведення театральних та музичних вечорів</w:t>
            </w:r>
          </w:p>
          <w:p w14:paraId="5CD53B65" w14:textId="77777777" w:rsidR="005342D5" w:rsidRPr="0019790A" w:rsidRDefault="005342D5" w:rsidP="00CD7662">
            <w:pPr>
              <w:numPr>
                <w:ilvl w:val="0"/>
                <w:numId w:val="104"/>
              </w:numPr>
              <w:tabs>
                <w:tab w:val="left" w:pos="323"/>
              </w:tabs>
              <w:ind w:left="0" w:firstLine="0"/>
              <w:rPr>
                <w:rFonts w:cs="Arial"/>
                <w:szCs w:val="22"/>
              </w:rPr>
            </w:pPr>
            <w:r w:rsidRPr="0019790A">
              <w:rPr>
                <w:rFonts w:cs="Arial"/>
                <w:szCs w:val="22"/>
              </w:rPr>
              <w:t>Проведення культурно-просвітницьких заходів у партнерстві з бібліотеками, клубами, школами мистецтв</w:t>
            </w:r>
          </w:p>
          <w:p w14:paraId="72B93A8A" w14:textId="1B7D04D2" w:rsidR="005342D5" w:rsidRPr="0019790A" w:rsidRDefault="005342D5" w:rsidP="001A5BC7">
            <w:pPr>
              <w:numPr>
                <w:ilvl w:val="0"/>
                <w:numId w:val="104"/>
              </w:numPr>
              <w:tabs>
                <w:tab w:val="left" w:pos="323"/>
              </w:tabs>
              <w:ind w:left="0" w:firstLine="0"/>
              <w:rPr>
                <w:rFonts w:cs="Arial"/>
                <w:szCs w:val="22"/>
              </w:rPr>
            </w:pPr>
            <w:r w:rsidRPr="0019790A">
              <w:rPr>
                <w:rFonts w:cs="Arial"/>
                <w:szCs w:val="22"/>
              </w:rPr>
              <w:t>Залучення аматорських та шкільних колективів до участі в подіях</w:t>
            </w:r>
          </w:p>
        </w:tc>
      </w:tr>
      <w:tr w:rsidR="005342D5" w:rsidRPr="0019790A" w14:paraId="554A28E6" w14:textId="77777777" w:rsidTr="00CD7662">
        <w:trPr>
          <w:trHeight w:val="199"/>
          <w:jc w:val="right"/>
        </w:trPr>
        <w:tc>
          <w:tcPr>
            <w:tcW w:w="3425" w:type="dxa"/>
            <w:shd w:val="clear" w:color="auto" w:fill="FFFFFF"/>
            <w:vAlign w:val="center"/>
          </w:tcPr>
          <w:p w14:paraId="0C2E9A3D" w14:textId="77777777" w:rsidR="005342D5" w:rsidRPr="0019790A" w:rsidRDefault="005342D5" w:rsidP="0019790A">
            <w:pPr>
              <w:rPr>
                <w:rFonts w:cs="Arial"/>
                <w:b/>
                <w:bCs/>
                <w:szCs w:val="22"/>
              </w:rPr>
            </w:pPr>
            <w:r w:rsidRPr="0019790A">
              <w:rPr>
                <w:rFonts w:cs="Arial"/>
                <w:b/>
                <w:bCs/>
                <w:szCs w:val="22"/>
              </w:rPr>
              <w:t>Індикатори (показники) результативності:</w:t>
            </w:r>
          </w:p>
        </w:tc>
        <w:tc>
          <w:tcPr>
            <w:tcW w:w="6794" w:type="dxa"/>
            <w:gridSpan w:val="9"/>
            <w:vAlign w:val="center"/>
          </w:tcPr>
          <w:p w14:paraId="72DFCDC1" w14:textId="77777777" w:rsidR="005342D5" w:rsidRPr="0019790A" w:rsidRDefault="005342D5" w:rsidP="00CD7662">
            <w:pPr>
              <w:numPr>
                <w:ilvl w:val="0"/>
                <w:numId w:val="105"/>
              </w:numPr>
              <w:tabs>
                <w:tab w:val="left" w:pos="323"/>
              </w:tabs>
              <w:ind w:left="0" w:firstLine="0"/>
              <w:rPr>
                <w:rFonts w:cs="Arial"/>
                <w:szCs w:val="22"/>
              </w:rPr>
            </w:pPr>
            <w:r w:rsidRPr="0019790A">
              <w:rPr>
                <w:rFonts w:cs="Arial"/>
                <w:szCs w:val="22"/>
              </w:rPr>
              <w:t>Проведено не менше 25 культурно-творчих заходів на рік</w:t>
            </w:r>
          </w:p>
          <w:p w14:paraId="0EE55CC7" w14:textId="77777777" w:rsidR="005342D5" w:rsidRPr="0019790A" w:rsidRDefault="005342D5" w:rsidP="00CD7662">
            <w:pPr>
              <w:numPr>
                <w:ilvl w:val="0"/>
                <w:numId w:val="105"/>
              </w:numPr>
              <w:tabs>
                <w:tab w:val="left" w:pos="323"/>
              </w:tabs>
              <w:ind w:left="0" w:firstLine="0"/>
              <w:rPr>
                <w:rFonts w:cs="Arial"/>
                <w:szCs w:val="22"/>
              </w:rPr>
            </w:pPr>
            <w:r w:rsidRPr="0019790A">
              <w:rPr>
                <w:rFonts w:cs="Arial"/>
                <w:szCs w:val="22"/>
              </w:rPr>
              <w:t>Участь щонайменше 600 мешканців громади</w:t>
            </w:r>
          </w:p>
          <w:p w14:paraId="1024F4EB" w14:textId="77777777" w:rsidR="005342D5" w:rsidRPr="0019790A" w:rsidRDefault="005342D5" w:rsidP="00CD7662">
            <w:pPr>
              <w:numPr>
                <w:ilvl w:val="0"/>
                <w:numId w:val="105"/>
              </w:numPr>
              <w:tabs>
                <w:tab w:val="left" w:pos="323"/>
              </w:tabs>
              <w:ind w:left="0" w:firstLine="0"/>
              <w:rPr>
                <w:rFonts w:cs="Arial"/>
                <w:szCs w:val="22"/>
              </w:rPr>
            </w:pPr>
            <w:r w:rsidRPr="0019790A">
              <w:rPr>
                <w:rFonts w:cs="Arial"/>
                <w:szCs w:val="22"/>
              </w:rPr>
              <w:t>Залучено 10+ колективів або творчих ініціатив</w:t>
            </w:r>
          </w:p>
          <w:p w14:paraId="74D49ECE" w14:textId="77777777" w:rsidR="005342D5" w:rsidRPr="0019790A" w:rsidRDefault="005342D5" w:rsidP="00CD7662">
            <w:pPr>
              <w:numPr>
                <w:ilvl w:val="0"/>
                <w:numId w:val="105"/>
              </w:numPr>
              <w:tabs>
                <w:tab w:val="left" w:pos="323"/>
              </w:tabs>
              <w:ind w:left="0" w:firstLine="0"/>
              <w:rPr>
                <w:rFonts w:cs="Arial"/>
                <w:szCs w:val="22"/>
              </w:rPr>
            </w:pPr>
            <w:r w:rsidRPr="0019790A">
              <w:rPr>
                <w:rFonts w:cs="Arial"/>
                <w:szCs w:val="22"/>
              </w:rPr>
              <w:t>Зростання рівня участі населення в культурних подіях на 30%</w:t>
            </w:r>
          </w:p>
          <w:p w14:paraId="1BDD30F6" w14:textId="77777777" w:rsidR="005342D5" w:rsidRPr="0019790A" w:rsidRDefault="005342D5" w:rsidP="00CD7662">
            <w:pPr>
              <w:numPr>
                <w:ilvl w:val="0"/>
                <w:numId w:val="105"/>
              </w:numPr>
              <w:tabs>
                <w:tab w:val="left" w:pos="323"/>
              </w:tabs>
              <w:ind w:left="0" w:firstLine="0"/>
              <w:rPr>
                <w:rFonts w:cs="Arial"/>
                <w:szCs w:val="22"/>
              </w:rPr>
            </w:pPr>
            <w:r w:rsidRPr="0019790A">
              <w:rPr>
                <w:rFonts w:cs="Arial"/>
                <w:szCs w:val="22"/>
              </w:rPr>
              <w:t>Підвищення мотивації мешканців до творчої самореалізації</w:t>
            </w:r>
          </w:p>
          <w:p w14:paraId="0FAC050B" w14:textId="77777777" w:rsidR="005342D5" w:rsidRPr="0019790A" w:rsidRDefault="005342D5" w:rsidP="00CD7662">
            <w:pPr>
              <w:tabs>
                <w:tab w:val="left" w:pos="323"/>
              </w:tabs>
              <w:rPr>
                <w:rFonts w:cs="Arial"/>
                <w:szCs w:val="22"/>
              </w:rPr>
            </w:pPr>
          </w:p>
        </w:tc>
      </w:tr>
      <w:tr w:rsidR="005342D5" w:rsidRPr="0019790A" w14:paraId="5A4703B4" w14:textId="77777777" w:rsidTr="00CD7662">
        <w:trPr>
          <w:jc w:val="right"/>
        </w:trPr>
        <w:tc>
          <w:tcPr>
            <w:tcW w:w="3425" w:type="dxa"/>
            <w:shd w:val="clear" w:color="auto" w:fill="FFFFFF"/>
            <w:vAlign w:val="center"/>
          </w:tcPr>
          <w:p w14:paraId="190FD859" w14:textId="77777777" w:rsidR="005342D5" w:rsidRPr="0019790A" w:rsidRDefault="005342D5" w:rsidP="0019790A">
            <w:pPr>
              <w:rPr>
                <w:rFonts w:cs="Arial"/>
                <w:b/>
                <w:szCs w:val="22"/>
              </w:rPr>
            </w:pPr>
            <w:r w:rsidRPr="0019790A">
              <w:rPr>
                <w:rFonts w:cs="Arial"/>
                <w:b/>
                <w:szCs w:val="22"/>
              </w:rPr>
              <w:t xml:space="preserve">Період здійснення: </w:t>
            </w:r>
          </w:p>
        </w:tc>
        <w:tc>
          <w:tcPr>
            <w:tcW w:w="6794" w:type="dxa"/>
            <w:gridSpan w:val="9"/>
            <w:vAlign w:val="center"/>
          </w:tcPr>
          <w:p w14:paraId="0FEB8B2D" w14:textId="77777777" w:rsidR="005342D5" w:rsidRPr="0019790A" w:rsidRDefault="005342D5" w:rsidP="00CD7662">
            <w:pPr>
              <w:rPr>
                <w:rFonts w:cs="Arial"/>
                <w:szCs w:val="22"/>
              </w:rPr>
            </w:pPr>
            <w:r w:rsidRPr="0019790A">
              <w:rPr>
                <w:rFonts w:cs="Arial"/>
                <w:b/>
                <w:szCs w:val="22"/>
              </w:rPr>
              <w:t>2025 – 2028 роки:</w:t>
            </w:r>
          </w:p>
        </w:tc>
      </w:tr>
      <w:tr w:rsidR="005342D5" w:rsidRPr="0019790A" w14:paraId="47EE6BFC" w14:textId="77777777" w:rsidTr="00CD7662">
        <w:trPr>
          <w:jc w:val="right"/>
        </w:trPr>
        <w:tc>
          <w:tcPr>
            <w:tcW w:w="3425" w:type="dxa"/>
            <w:vMerge w:val="restart"/>
            <w:shd w:val="clear" w:color="auto" w:fill="FFFFFF"/>
            <w:vAlign w:val="center"/>
          </w:tcPr>
          <w:p w14:paraId="7165FFBB" w14:textId="77777777" w:rsidR="005342D5" w:rsidRPr="0019790A" w:rsidRDefault="005342D5" w:rsidP="0019790A">
            <w:pPr>
              <w:rPr>
                <w:rFonts w:cs="Arial"/>
                <w:b/>
                <w:bCs/>
                <w:szCs w:val="22"/>
              </w:rPr>
            </w:pPr>
            <w:r w:rsidRPr="0019790A">
              <w:rPr>
                <w:rFonts w:cs="Arial"/>
                <w:b/>
                <w:bCs/>
                <w:szCs w:val="22"/>
              </w:rPr>
              <w:t>Орієнтовна вартість проєкту, тис. грн., в тому числі:</w:t>
            </w:r>
          </w:p>
        </w:tc>
        <w:tc>
          <w:tcPr>
            <w:tcW w:w="1254" w:type="dxa"/>
            <w:gridSpan w:val="2"/>
            <w:shd w:val="clear" w:color="auto" w:fill="E6E6E6"/>
            <w:vAlign w:val="center"/>
          </w:tcPr>
          <w:p w14:paraId="7110A5FC" w14:textId="77777777" w:rsidR="005342D5" w:rsidRPr="0019790A" w:rsidRDefault="005342D5" w:rsidP="00CD7662">
            <w:pPr>
              <w:jc w:val="center"/>
              <w:rPr>
                <w:rFonts w:cs="Arial"/>
                <w:b/>
                <w:szCs w:val="22"/>
              </w:rPr>
            </w:pPr>
            <w:r w:rsidRPr="0019790A">
              <w:rPr>
                <w:rFonts w:cs="Arial"/>
                <w:b/>
                <w:szCs w:val="22"/>
              </w:rPr>
              <w:t>2025</w:t>
            </w:r>
          </w:p>
        </w:tc>
        <w:tc>
          <w:tcPr>
            <w:tcW w:w="1275" w:type="dxa"/>
            <w:shd w:val="clear" w:color="auto" w:fill="E6E6E6"/>
            <w:vAlign w:val="center"/>
          </w:tcPr>
          <w:p w14:paraId="26BCBAE5" w14:textId="77777777" w:rsidR="005342D5" w:rsidRPr="0019790A" w:rsidRDefault="005342D5" w:rsidP="00CD7662">
            <w:pPr>
              <w:jc w:val="center"/>
              <w:rPr>
                <w:rFonts w:cs="Arial"/>
                <w:b/>
                <w:szCs w:val="22"/>
              </w:rPr>
            </w:pPr>
            <w:r w:rsidRPr="0019790A">
              <w:rPr>
                <w:rFonts w:cs="Arial"/>
                <w:b/>
                <w:szCs w:val="22"/>
              </w:rPr>
              <w:t>2026</w:t>
            </w:r>
          </w:p>
        </w:tc>
        <w:tc>
          <w:tcPr>
            <w:tcW w:w="1418" w:type="dxa"/>
            <w:gridSpan w:val="2"/>
            <w:tcBorders>
              <w:bottom w:val="single" w:sz="4" w:space="0" w:color="auto"/>
            </w:tcBorders>
            <w:shd w:val="clear" w:color="auto" w:fill="E6E6E6"/>
            <w:vAlign w:val="center"/>
          </w:tcPr>
          <w:p w14:paraId="315AB0E5" w14:textId="77777777" w:rsidR="005342D5" w:rsidRPr="0019790A" w:rsidRDefault="005342D5" w:rsidP="00CD7662">
            <w:pPr>
              <w:jc w:val="center"/>
              <w:rPr>
                <w:rFonts w:cs="Arial"/>
                <w:b/>
                <w:szCs w:val="22"/>
              </w:rPr>
            </w:pPr>
            <w:r w:rsidRPr="0019790A">
              <w:rPr>
                <w:rFonts w:cs="Arial"/>
                <w:b/>
                <w:szCs w:val="22"/>
              </w:rPr>
              <w:t>2027</w:t>
            </w:r>
          </w:p>
        </w:tc>
        <w:tc>
          <w:tcPr>
            <w:tcW w:w="1276" w:type="dxa"/>
            <w:gridSpan w:val="2"/>
            <w:shd w:val="clear" w:color="auto" w:fill="E6E6E6"/>
            <w:vAlign w:val="center"/>
          </w:tcPr>
          <w:p w14:paraId="7F410286" w14:textId="77777777" w:rsidR="005342D5" w:rsidRPr="0019790A" w:rsidRDefault="005342D5" w:rsidP="00CD7662">
            <w:pPr>
              <w:jc w:val="center"/>
              <w:rPr>
                <w:rFonts w:cs="Arial"/>
                <w:b/>
                <w:szCs w:val="22"/>
              </w:rPr>
            </w:pPr>
            <w:r w:rsidRPr="0019790A">
              <w:rPr>
                <w:rFonts w:cs="Arial"/>
                <w:b/>
                <w:szCs w:val="22"/>
              </w:rPr>
              <w:t>2028</w:t>
            </w:r>
          </w:p>
        </w:tc>
        <w:tc>
          <w:tcPr>
            <w:tcW w:w="1571" w:type="dxa"/>
            <w:gridSpan w:val="2"/>
            <w:shd w:val="clear" w:color="auto" w:fill="E6E6E6"/>
            <w:vAlign w:val="center"/>
          </w:tcPr>
          <w:p w14:paraId="7C0ADDDD" w14:textId="77777777" w:rsidR="005342D5" w:rsidRPr="0019790A" w:rsidRDefault="005342D5" w:rsidP="00CD7662">
            <w:pPr>
              <w:jc w:val="center"/>
              <w:rPr>
                <w:rFonts w:cs="Arial"/>
                <w:b/>
                <w:szCs w:val="22"/>
              </w:rPr>
            </w:pPr>
            <w:r w:rsidRPr="0019790A">
              <w:rPr>
                <w:rFonts w:cs="Arial"/>
                <w:b/>
                <w:szCs w:val="22"/>
              </w:rPr>
              <w:t>РАЗОМ</w:t>
            </w:r>
          </w:p>
        </w:tc>
      </w:tr>
      <w:tr w:rsidR="005342D5" w:rsidRPr="0019790A" w14:paraId="28AF8534" w14:textId="77777777" w:rsidTr="00CD7662">
        <w:trPr>
          <w:jc w:val="right"/>
        </w:trPr>
        <w:tc>
          <w:tcPr>
            <w:tcW w:w="3425" w:type="dxa"/>
            <w:vMerge/>
            <w:shd w:val="clear" w:color="auto" w:fill="FFFFFF"/>
            <w:vAlign w:val="center"/>
          </w:tcPr>
          <w:p w14:paraId="20B17066" w14:textId="77777777" w:rsidR="005342D5" w:rsidRPr="0019790A" w:rsidRDefault="005342D5" w:rsidP="0019790A">
            <w:pPr>
              <w:rPr>
                <w:rFonts w:cs="Arial"/>
                <w:b/>
                <w:bCs/>
                <w:szCs w:val="22"/>
              </w:rPr>
            </w:pPr>
          </w:p>
        </w:tc>
        <w:tc>
          <w:tcPr>
            <w:tcW w:w="1254" w:type="dxa"/>
            <w:gridSpan w:val="2"/>
            <w:vAlign w:val="center"/>
          </w:tcPr>
          <w:p w14:paraId="5231C854" w14:textId="77777777" w:rsidR="005342D5" w:rsidRPr="0019790A" w:rsidRDefault="005342D5" w:rsidP="00CD7662">
            <w:pPr>
              <w:jc w:val="center"/>
              <w:rPr>
                <w:rFonts w:cs="Arial"/>
                <w:b/>
                <w:szCs w:val="22"/>
              </w:rPr>
            </w:pPr>
          </w:p>
        </w:tc>
        <w:tc>
          <w:tcPr>
            <w:tcW w:w="1275" w:type="dxa"/>
            <w:shd w:val="clear" w:color="auto" w:fill="FFFFFF"/>
            <w:vAlign w:val="center"/>
          </w:tcPr>
          <w:p w14:paraId="5ADF1F19" w14:textId="77777777" w:rsidR="005342D5" w:rsidRPr="0019790A" w:rsidRDefault="005342D5" w:rsidP="00CD7662">
            <w:pPr>
              <w:jc w:val="center"/>
              <w:rPr>
                <w:rFonts w:cs="Arial"/>
                <w:b/>
                <w:szCs w:val="22"/>
              </w:rPr>
            </w:pPr>
            <w:r w:rsidRPr="0019790A">
              <w:rPr>
                <w:rFonts w:cs="Arial"/>
                <w:b/>
                <w:szCs w:val="22"/>
              </w:rPr>
              <w:t>200,0</w:t>
            </w:r>
          </w:p>
        </w:tc>
        <w:tc>
          <w:tcPr>
            <w:tcW w:w="1418" w:type="dxa"/>
            <w:gridSpan w:val="2"/>
            <w:shd w:val="clear" w:color="auto" w:fill="auto"/>
            <w:vAlign w:val="center"/>
          </w:tcPr>
          <w:p w14:paraId="3CB8E117" w14:textId="77777777" w:rsidR="005342D5" w:rsidRPr="0019790A" w:rsidRDefault="005342D5" w:rsidP="00CD7662">
            <w:pPr>
              <w:jc w:val="center"/>
              <w:rPr>
                <w:rFonts w:cs="Arial"/>
                <w:b/>
                <w:szCs w:val="22"/>
              </w:rPr>
            </w:pPr>
            <w:r w:rsidRPr="0019790A">
              <w:rPr>
                <w:rFonts w:cs="Arial"/>
                <w:b/>
                <w:szCs w:val="22"/>
              </w:rPr>
              <w:t>200,0</w:t>
            </w:r>
          </w:p>
        </w:tc>
        <w:tc>
          <w:tcPr>
            <w:tcW w:w="1276" w:type="dxa"/>
            <w:gridSpan w:val="2"/>
            <w:shd w:val="clear" w:color="auto" w:fill="FFFFFF"/>
            <w:vAlign w:val="center"/>
          </w:tcPr>
          <w:p w14:paraId="1BA0157C" w14:textId="77777777" w:rsidR="005342D5" w:rsidRPr="0019790A" w:rsidRDefault="005342D5" w:rsidP="00CD7662">
            <w:pPr>
              <w:jc w:val="center"/>
              <w:rPr>
                <w:rFonts w:cs="Arial"/>
                <w:b/>
                <w:szCs w:val="22"/>
              </w:rPr>
            </w:pPr>
            <w:r w:rsidRPr="0019790A">
              <w:rPr>
                <w:rFonts w:cs="Arial"/>
                <w:b/>
                <w:szCs w:val="22"/>
              </w:rPr>
              <w:t>200,0</w:t>
            </w:r>
          </w:p>
        </w:tc>
        <w:tc>
          <w:tcPr>
            <w:tcW w:w="1571" w:type="dxa"/>
            <w:gridSpan w:val="2"/>
            <w:shd w:val="clear" w:color="auto" w:fill="FFFFFF"/>
            <w:vAlign w:val="center"/>
          </w:tcPr>
          <w:p w14:paraId="6764FFA0" w14:textId="77777777" w:rsidR="005342D5" w:rsidRPr="0019790A" w:rsidRDefault="005342D5" w:rsidP="00CD7662">
            <w:pPr>
              <w:jc w:val="center"/>
              <w:rPr>
                <w:rFonts w:cs="Arial"/>
                <w:b/>
                <w:szCs w:val="22"/>
              </w:rPr>
            </w:pPr>
            <w:r w:rsidRPr="0019790A">
              <w:rPr>
                <w:rFonts w:cs="Arial"/>
                <w:b/>
                <w:szCs w:val="22"/>
              </w:rPr>
              <w:t>600,0</w:t>
            </w:r>
          </w:p>
        </w:tc>
      </w:tr>
      <w:tr w:rsidR="005342D5" w:rsidRPr="0019790A" w14:paraId="4AC40D06" w14:textId="77777777" w:rsidTr="00CD7662">
        <w:trPr>
          <w:trHeight w:val="276"/>
          <w:jc w:val="right"/>
        </w:trPr>
        <w:tc>
          <w:tcPr>
            <w:tcW w:w="3425" w:type="dxa"/>
            <w:shd w:val="clear" w:color="auto" w:fill="FFFFFF"/>
            <w:vAlign w:val="center"/>
          </w:tcPr>
          <w:p w14:paraId="7095DAD4" w14:textId="77777777" w:rsidR="005342D5" w:rsidRPr="0019790A" w:rsidRDefault="005342D5" w:rsidP="0019790A">
            <w:pPr>
              <w:rPr>
                <w:rFonts w:cs="Arial"/>
                <w:b/>
                <w:bCs/>
                <w:szCs w:val="22"/>
              </w:rPr>
            </w:pPr>
            <w:r w:rsidRPr="0019790A">
              <w:rPr>
                <w:rFonts w:cs="Arial"/>
                <w:b/>
                <w:bCs/>
                <w:szCs w:val="22"/>
              </w:rPr>
              <w:t>по джерелах фінансування:</w:t>
            </w:r>
          </w:p>
        </w:tc>
        <w:tc>
          <w:tcPr>
            <w:tcW w:w="6794" w:type="dxa"/>
            <w:gridSpan w:val="9"/>
            <w:vAlign w:val="center"/>
          </w:tcPr>
          <w:p w14:paraId="3FF8E709" w14:textId="77777777" w:rsidR="005342D5" w:rsidRPr="0019790A" w:rsidRDefault="005342D5" w:rsidP="00CD7662">
            <w:pPr>
              <w:jc w:val="center"/>
              <w:rPr>
                <w:rFonts w:cs="Arial"/>
                <w:szCs w:val="22"/>
              </w:rPr>
            </w:pPr>
          </w:p>
        </w:tc>
      </w:tr>
      <w:tr w:rsidR="00CD7662" w:rsidRPr="0019790A" w14:paraId="34A443EB" w14:textId="121FC280" w:rsidTr="00CD7662">
        <w:trPr>
          <w:trHeight w:val="240"/>
          <w:jc w:val="right"/>
        </w:trPr>
        <w:tc>
          <w:tcPr>
            <w:tcW w:w="3425" w:type="dxa"/>
            <w:shd w:val="clear" w:color="auto" w:fill="FFFFFF"/>
            <w:vAlign w:val="center"/>
          </w:tcPr>
          <w:p w14:paraId="5E348754" w14:textId="77777777" w:rsidR="00CD7662" w:rsidRPr="0019790A" w:rsidRDefault="00CD7662" w:rsidP="0019790A">
            <w:pPr>
              <w:rPr>
                <w:rFonts w:cs="Arial"/>
                <w:b/>
                <w:bCs/>
                <w:szCs w:val="22"/>
              </w:rPr>
            </w:pPr>
            <w:r w:rsidRPr="0019790A">
              <w:rPr>
                <w:rFonts w:cs="Arial"/>
                <w:szCs w:val="22"/>
              </w:rPr>
              <w:t>- державний бюджет</w:t>
            </w:r>
          </w:p>
        </w:tc>
        <w:tc>
          <w:tcPr>
            <w:tcW w:w="1238" w:type="dxa"/>
            <w:vAlign w:val="center"/>
          </w:tcPr>
          <w:p w14:paraId="20388DCA" w14:textId="77777777" w:rsidR="00CD7662" w:rsidRPr="0019790A" w:rsidRDefault="00CD7662" w:rsidP="00CD7662">
            <w:pPr>
              <w:jc w:val="center"/>
              <w:rPr>
                <w:rFonts w:cs="Arial"/>
                <w:szCs w:val="22"/>
              </w:rPr>
            </w:pPr>
          </w:p>
        </w:tc>
        <w:tc>
          <w:tcPr>
            <w:tcW w:w="1306" w:type="dxa"/>
            <w:gridSpan w:val="3"/>
            <w:vAlign w:val="center"/>
          </w:tcPr>
          <w:p w14:paraId="5C04D1DC" w14:textId="77777777" w:rsidR="00CD7662" w:rsidRPr="0019790A" w:rsidRDefault="00CD7662" w:rsidP="00CD7662">
            <w:pPr>
              <w:jc w:val="center"/>
              <w:rPr>
                <w:rFonts w:cs="Arial"/>
                <w:szCs w:val="22"/>
              </w:rPr>
            </w:pPr>
          </w:p>
        </w:tc>
        <w:tc>
          <w:tcPr>
            <w:tcW w:w="1411" w:type="dxa"/>
            <w:gridSpan w:val="2"/>
            <w:vAlign w:val="center"/>
          </w:tcPr>
          <w:p w14:paraId="15B0A545" w14:textId="77777777" w:rsidR="00CD7662" w:rsidRPr="0019790A" w:rsidRDefault="00CD7662" w:rsidP="00CD7662">
            <w:pPr>
              <w:jc w:val="center"/>
              <w:rPr>
                <w:rFonts w:cs="Arial"/>
                <w:szCs w:val="22"/>
              </w:rPr>
            </w:pPr>
          </w:p>
        </w:tc>
        <w:tc>
          <w:tcPr>
            <w:tcW w:w="1286" w:type="dxa"/>
            <w:gridSpan w:val="2"/>
            <w:vAlign w:val="center"/>
          </w:tcPr>
          <w:p w14:paraId="613CFC52" w14:textId="77777777" w:rsidR="00CD7662" w:rsidRPr="0019790A" w:rsidRDefault="00CD7662" w:rsidP="00CD7662">
            <w:pPr>
              <w:jc w:val="center"/>
              <w:rPr>
                <w:rFonts w:cs="Arial"/>
                <w:szCs w:val="22"/>
              </w:rPr>
            </w:pPr>
          </w:p>
        </w:tc>
        <w:tc>
          <w:tcPr>
            <w:tcW w:w="1553" w:type="dxa"/>
            <w:vAlign w:val="center"/>
          </w:tcPr>
          <w:p w14:paraId="6775760D" w14:textId="77777777" w:rsidR="00CD7662" w:rsidRPr="0019790A" w:rsidRDefault="00CD7662" w:rsidP="00CD7662">
            <w:pPr>
              <w:jc w:val="center"/>
              <w:rPr>
                <w:rFonts w:cs="Arial"/>
                <w:szCs w:val="22"/>
              </w:rPr>
            </w:pPr>
          </w:p>
        </w:tc>
      </w:tr>
      <w:tr w:rsidR="00CD7662" w:rsidRPr="0019790A" w14:paraId="278195C4" w14:textId="3E003A7F" w:rsidTr="00CD7662">
        <w:trPr>
          <w:trHeight w:val="287"/>
          <w:jc w:val="right"/>
        </w:trPr>
        <w:tc>
          <w:tcPr>
            <w:tcW w:w="3425" w:type="dxa"/>
            <w:shd w:val="clear" w:color="auto" w:fill="FFFFFF"/>
            <w:vAlign w:val="center"/>
          </w:tcPr>
          <w:p w14:paraId="1CCE576E" w14:textId="77777777" w:rsidR="00CD7662" w:rsidRPr="0019790A" w:rsidRDefault="00CD7662" w:rsidP="0019790A">
            <w:pPr>
              <w:rPr>
                <w:rFonts w:cs="Arial"/>
                <w:szCs w:val="22"/>
              </w:rPr>
            </w:pPr>
            <w:r w:rsidRPr="0019790A">
              <w:rPr>
                <w:rFonts w:cs="Arial"/>
                <w:szCs w:val="22"/>
              </w:rPr>
              <w:t>- обласний бюджет</w:t>
            </w:r>
          </w:p>
        </w:tc>
        <w:tc>
          <w:tcPr>
            <w:tcW w:w="1238" w:type="dxa"/>
            <w:vAlign w:val="center"/>
          </w:tcPr>
          <w:p w14:paraId="32FCCE42" w14:textId="77777777" w:rsidR="00CD7662" w:rsidRPr="0019790A" w:rsidRDefault="00CD7662" w:rsidP="00CD7662">
            <w:pPr>
              <w:jc w:val="center"/>
              <w:rPr>
                <w:rFonts w:cs="Arial"/>
                <w:szCs w:val="22"/>
              </w:rPr>
            </w:pPr>
          </w:p>
        </w:tc>
        <w:tc>
          <w:tcPr>
            <w:tcW w:w="1306" w:type="dxa"/>
            <w:gridSpan w:val="3"/>
            <w:vAlign w:val="center"/>
          </w:tcPr>
          <w:p w14:paraId="10131987" w14:textId="77777777" w:rsidR="00CD7662" w:rsidRPr="0019790A" w:rsidRDefault="00CD7662" w:rsidP="00CD7662">
            <w:pPr>
              <w:jc w:val="center"/>
              <w:rPr>
                <w:rFonts w:cs="Arial"/>
                <w:szCs w:val="22"/>
              </w:rPr>
            </w:pPr>
          </w:p>
        </w:tc>
        <w:tc>
          <w:tcPr>
            <w:tcW w:w="1411" w:type="dxa"/>
            <w:gridSpan w:val="2"/>
            <w:vAlign w:val="center"/>
          </w:tcPr>
          <w:p w14:paraId="3F5045C8" w14:textId="77777777" w:rsidR="00CD7662" w:rsidRPr="0019790A" w:rsidRDefault="00CD7662" w:rsidP="00CD7662">
            <w:pPr>
              <w:jc w:val="center"/>
              <w:rPr>
                <w:rFonts w:cs="Arial"/>
                <w:szCs w:val="22"/>
              </w:rPr>
            </w:pPr>
          </w:p>
        </w:tc>
        <w:tc>
          <w:tcPr>
            <w:tcW w:w="1286" w:type="dxa"/>
            <w:gridSpan w:val="2"/>
            <w:vAlign w:val="center"/>
          </w:tcPr>
          <w:p w14:paraId="12EF125B" w14:textId="77777777" w:rsidR="00CD7662" w:rsidRPr="0019790A" w:rsidRDefault="00CD7662" w:rsidP="00CD7662">
            <w:pPr>
              <w:jc w:val="center"/>
              <w:rPr>
                <w:rFonts w:cs="Arial"/>
                <w:szCs w:val="22"/>
              </w:rPr>
            </w:pPr>
          </w:p>
        </w:tc>
        <w:tc>
          <w:tcPr>
            <w:tcW w:w="1553" w:type="dxa"/>
            <w:vAlign w:val="center"/>
          </w:tcPr>
          <w:p w14:paraId="29D1025D" w14:textId="77777777" w:rsidR="00CD7662" w:rsidRPr="0019790A" w:rsidRDefault="00CD7662" w:rsidP="00CD7662">
            <w:pPr>
              <w:jc w:val="center"/>
              <w:rPr>
                <w:rFonts w:cs="Arial"/>
                <w:szCs w:val="22"/>
              </w:rPr>
            </w:pPr>
          </w:p>
        </w:tc>
      </w:tr>
      <w:tr w:rsidR="00CD7662" w:rsidRPr="0019790A" w14:paraId="4E338BF4" w14:textId="296D7067" w:rsidTr="00CD7662">
        <w:trPr>
          <w:trHeight w:val="275"/>
          <w:jc w:val="right"/>
        </w:trPr>
        <w:tc>
          <w:tcPr>
            <w:tcW w:w="3425" w:type="dxa"/>
            <w:shd w:val="clear" w:color="auto" w:fill="FFFFFF"/>
            <w:vAlign w:val="center"/>
          </w:tcPr>
          <w:p w14:paraId="315B473D" w14:textId="77777777" w:rsidR="00CD7662" w:rsidRPr="0019790A" w:rsidRDefault="00CD7662" w:rsidP="0019790A">
            <w:pPr>
              <w:rPr>
                <w:rFonts w:cs="Arial"/>
                <w:szCs w:val="22"/>
              </w:rPr>
            </w:pPr>
            <w:r w:rsidRPr="0019790A">
              <w:rPr>
                <w:rFonts w:cs="Arial"/>
                <w:szCs w:val="22"/>
              </w:rPr>
              <w:t>- бюджет Жмеринської МТГ</w:t>
            </w:r>
          </w:p>
        </w:tc>
        <w:tc>
          <w:tcPr>
            <w:tcW w:w="1238" w:type="dxa"/>
            <w:vAlign w:val="center"/>
          </w:tcPr>
          <w:p w14:paraId="15C8AA22" w14:textId="42BE415E" w:rsidR="00CD7662" w:rsidRPr="0019790A" w:rsidRDefault="00CD7662" w:rsidP="00CD7662">
            <w:pPr>
              <w:jc w:val="center"/>
              <w:rPr>
                <w:rFonts w:cs="Arial"/>
                <w:b/>
                <w:szCs w:val="22"/>
              </w:rPr>
            </w:pPr>
          </w:p>
        </w:tc>
        <w:tc>
          <w:tcPr>
            <w:tcW w:w="1306" w:type="dxa"/>
            <w:gridSpan w:val="3"/>
            <w:vAlign w:val="center"/>
          </w:tcPr>
          <w:p w14:paraId="200F1427" w14:textId="48C608D9" w:rsidR="00CD7662" w:rsidRPr="0019790A" w:rsidRDefault="00CD7662" w:rsidP="00CD7662">
            <w:pPr>
              <w:ind w:left="45"/>
              <w:jc w:val="center"/>
              <w:rPr>
                <w:rFonts w:cs="Arial"/>
                <w:b/>
                <w:szCs w:val="22"/>
              </w:rPr>
            </w:pPr>
            <w:r w:rsidRPr="0019790A">
              <w:rPr>
                <w:rFonts w:cs="Arial"/>
                <w:b/>
                <w:szCs w:val="22"/>
              </w:rPr>
              <w:t>200,0</w:t>
            </w:r>
          </w:p>
        </w:tc>
        <w:tc>
          <w:tcPr>
            <w:tcW w:w="1411" w:type="dxa"/>
            <w:gridSpan w:val="2"/>
            <w:vAlign w:val="center"/>
          </w:tcPr>
          <w:p w14:paraId="78F8EF7F" w14:textId="0A768151" w:rsidR="00CD7662" w:rsidRPr="0019790A" w:rsidRDefault="00CD7662" w:rsidP="00CD7662">
            <w:pPr>
              <w:ind w:left="129"/>
              <w:jc w:val="center"/>
              <w:rPr>
                <w:rFonts w:cs="Arial"/>
                <w:b/>
                <w:szCs w:val="22"/>
              </w:rPr>
            </w:pPr>
            <w:r w:rsidRPr="0019790A">
              <w:rPr>
                <w:rFonts w:cs="Arial"/>
                <w:b/>
                <w:szCs w:val="22"/>
              </w:rPr>
              <w:t>200,0</w:t>
            </w:r>
          </w:p>
        </w:tc>
        <w:tc>
          <w:tcPr>
            <w:tcW w:w="1286" w:type="dxa"/>
            <w:gridSpan w:val="2"/>
            <w:vAlign w:val="center"/>
          </w:tcPr>
          <w:p w14:paraId="0D508600" w14:textId="728A4A53" w:rsidR="00CD7662" w:rsidRPr="0019790A" w:rsidRDefault="00CD7662" w:rsidP="00CD7662">
            <w:pPr>
              <w:ind w:left="308"/>
              <w:jc w:val="center"/>
              <w:rPr>
                <w:rFonts w:cs="Arial"/>
                <w:b/>
                <w:szCs w:val="22"/>
              </w:rPr>
            </w:pPr>
            <w:r w:rsidRPr="0019790A">
              <w:rPr>
                <w:rFonts w:cs="Arial"/>
                <w:b/>
                <w:szCs w:val="22"/>
              </w:rPr>
              <w:t>200,0</w:t>
            </w:r>
          </w:p>
        </w:tc>
        <w:tc>
          <w:tcPr>
            <w:tcW w:w="1553" w:type="dxa"/>
            <w:vAlign w:val="center"/>
          </w:tcPr>
          <w:p w14:paraId="667DDD75" w14:textId="689335F8" w:rsidR="00CD7662" w:rsidRPr="0019790A" w:rsidRDefault="00CD7662" w:rsidP="00CD7662">
            <w:pPr>
              <w:ind w:left="612"/>
              <w:jc w:val="center"/>
              <w:rPr>
                <w:rFonts w:cs="Arial"/>
                <w:b/>
                <w:szCs w:val="22"/>
              </w:rPr>
            </w:pPr>
            <w:r w:rsidRPr="0019790A">
              <w:rPr>
                <w:rFonts w:cs="Arial"/>
                <w:b/>
                <w:szCs w:val="22"/>
              </w:rPr>
              <w:t>600,0</w:t>
            </w:r>
          </w:p>
        </w:tc>
      </w:tr>
      <w:tr w:rsidR="00CD7662" w:rsidRPr="0019790A" w14:paraId="2744CBAC" w14:textId="10C0B369" w:rsidTr="00CD7662">
        <w:trPr>
          <w:trHeight w:val="226"/>
          <w:jc w:val="right"/>
        </w:trPr>
        <w:tc>
          <w:tcPr>
            <w:tcW w:w="3425" w:type="dxa"/>
            <w:shd w:val="clear" w:color="auto" w:fill="FFFFFF"/>
            <w:vAlign w:val="center"/>
          </w:tcPr>
          <w:p w14:paraId="2A8CF2EC" w14:textId="77777777" w:rsidR="00CD7662" w:rsidRPr="0019790A" w:rsidRDefault="00CD7662" w:rsidP="0019790A">
            <w:pPr>
              <w:rPr>
                <w:rFonts w:cs="Arial"/>
                <w:szCs w:val="22"/>
              </w:rPr>
            </w:pPr>
            <w:r w:rsidRPr="0019790A">
              <w:rPr>
                <w:rFonts w:cs="Arial"/>
                <w:szCs w:val="22"/>
              </w:rPr>
              <w:t>- інші джерела фінансування</w:t>
            </w:r>
          </w:p>
        </w:tc>
        <w:tc>
          <w:tcPr>
            <w:tcW w:w="1238" w:type="dxa"/>
            <w:vAlign w:val="center"/>
          </w:tcPr>
          <w:p w14:paraId="7C50150F" w14:textId="77777777" w:rsidR="00CD7662" w:rsidRPr="0019790A" w:rsidRDefault="00CD7662" w:rsidP="00CD7662">
            <w:pPr>
              <w:jc w:val="center"/>
              <w:rPr>
                <w:rFonts w:cs="Arial"/>
                <w:szCs w:val="22"/>
              </w:rPr>
            </w:pPr>
          </w:p>
        </w:tc>
        <w:tc>
          <w:tcPr>
            <w:tcW w:w="1306" w:type="dxa"/>
            <w:gridSpan w:val="3"/>
            <w:vAlign w:val="center"/>
          </w:tcPr>
          <w:p w14:paraId="48826FC6" w14:textId="77777777" w:rsidR="00CD7662" w:rsidRPr="0019790A" w:rsidRDefault="00CD7662" w:rsidP="00CD7662">
            <w:pPr>
              <w:jc w:val="center"/>
              <w:rPr>
                <w:rFonts w:cs="Arial"/>
                <w:szCs w:val="22"/>
              </w:rPr>
            </w:pPr>
          </w:p>
        </w:tc>
        <w:tc>
          <w:tcPr>
            <w:tcW w:w="1411" w:type="dxa"/>
            <w:gridSpan w:val="2"/>
            <w:vAlign w:val="center"/>
          </w:tcPr>
          <w:p w14:paraId="5237E62B" w14:textId="77777777" w:rsidR="00CD7662" w:rsidRPr="0019790A" w:rsidRDefault="00CD7662" w:rsidP="00CD7662">
            <w:pPr>
              <w:jc w:val="center"/>
              <w:rPr>
                <w:rFonts w:cs="Arial"/>
                <w:szCs w:val="22"/>
              </w:rPr>
            </w:pPr>
          </w:p>
        </w:tc>
        <w:tc>
          <w:tcPr>
            <w:tcW w:w="1286" w:type="dxa"/>
            <w:gridSpan w:val="2"/>
            <w:vAlign w:val="center"/>
          </w:tcPr>
          <w:p w14:paraId="75FAB8AA" w14:textId="77777777" w:rsidR="00CD7662" w:rsidRPr="0019790A" w:rsidRDefault="00CD7662" w:rsidP="00CD7662">
            <w:pPr>
              <w:jc w:val="center"/>
              <w:rPr>
                <w:rFonts w:cs="Arial"/>
                <w:szCs w:val="22"/>
              </w:rPr>
            </w:pPr>
          </w:p>
        </w:tc>
        <w:tc>
          <w:tcPr>
            <w:tcW w:w="1553" w:type="dxa"/>
            <w:vAlign w:val="center"/>
          </w:tcPr>
          <w:p w14:paraId="4BAF8F32" w14:textId="77777777" w:rsidR="00CD7662" w:rsidRPr="0019790A" w:rsidRDefault="00CD7662" w:rsidP="00CD7662">
            <w:pPr>
              <w:jc w:val="center"/>
              <w:rPr>
                <w:rFonts w:cs="Arial"/>
                <w:szCs w:val="22"/>
              </w:rPr>
            </w:pPr>
          </w:p>
        </w:tc>
      </w:tr>
      <w:tr w:rsidR="00CD7662" w:rsidRPr="0019790A" w14:paraId="3A7BC7FB" w14:textId="23499407" w:rsidTr="000343CA">
        <w:trPr>
          <w:jc w:val="right"/>
        </w:trPr>
        <w:tc>
          <w:tcPr>
            <w:tcW w:w="3425" w:type="dxa"/>
            <w:shd w:val="clear" w:color="auto" w:fill="FFFFFF"/>
            <w:vAlign w:val="center"/>
          </w:tcPr>
          <w:p w14:paraId="15465CA1" w14:textId="77777777" w:rsidR="00CD7662" w:rsidRPr="0019790A" w:rsidRDefault="00CD7662" w:rsidP="0019790A">
            <w:pPr>
              <w:rPr>
                <w:rFonts w:cs="Arial"/>
                <w:b/>
                <w:bCs/>
                <w:szCs w:val="22"/>
              </w:rPr>
            </w:pPr>
            <w:r w:rsidRPr="0019790A">
              <w:rPr>
                <w:rFonts w:cs="Arial"/>
                <w:b/>
                <w:szCs w:val="22"/>
              </w:rPr>
              <w:t>Відповідальний виконавець проєкту:</w:t>
            </w:r>
          </w:p>
        </w:tc>
        <w:tc>
          <w:tcPr>
            <w:tcW w:w="6794" w:type="dxa"/>
            <w:gridSpan w:val="9"/>
            <w:vAlign w:val="center"/>
          </w:tcPr>
          <w:p w14:paraId="58C09AA5" w14:textId="44D17613" w:rsidR="00CD7662" w:rsidRPr="0019790A" w:rsidRDefault="00CD7662" w:rsidP="00CD7662">
            <w:pPr>
              <w:rPr>
                <w:rFonts w:cs="Arial"/>
                <w:szCs w:val="22"/>
              </w:rPr>
            </w:pPr>
            <w:r w:rsidRPr="0019790A">
              <w:rPr>
                <w:rFonts w:cs="Arial"/>
                <w:szCs w:val="22"/>
              </w:rPr>
              <w:t>Відділ молоді та спорту Жмеринської міської ради</w:t>
            </w:r>
          </w:p>
        </w:tc>
      </w:tr>
      <w:tr w:rsidR="005342D5" w:rsidRPr="0019790A" w14:paraId="6C8BC036" w14:textId="77777777" w:rsidTr="00CD7662">
        <w:trPr>
          <w:jc w:val="right"/>
        </w:trPr>
        <w:tc>
          <w:tcPr>
            <w:tcW w:w="3425" w:type="dxa"/>
            <w:shd w:val="clear" w:color="auto" w:fill="FFFFFF"/>
            <w:vAlign w:val="center"/>
          </w:tcPr>
          <w:p w14:paraId="39B3A8EC" w14:textId="77777777" w:rsidR="005342D5" w:rsidRPr="0019790A" w:rsidRDefault="005342D5" w:rsidP="0019790A">
            <w:pPr>
              <w:rPr>
                <w:rFonts w:cs="Arial"/>
                <w:b/>
                <w:bCs/>
                <w:szCs w:val="22"/>
              </w:rPr>
            </w:pPr>
            <w:r w:rsidRPr="0019790A">
              <w:rPr>
                <w:rFonts w:cs="Arial"/>
                <w:b/>
                <w:bCs/>
                <w:szCs w:val="22"/>
              </w:rPr>
              <w:t>Інше:</w:t>
            </w:r>
          </w:p>
        </w:tc>
        <w:tc>
          <w:tcPr>
            <w:tcW w:w="6794" w:type="dxa"/>
            <w:gridSpan w:val="9"/>
            <w:vAlign w:val="center"/>
          </w:tcPr>
          <w:p w14:paraId="3C643D2D" w14:textId="77777777" w:rsidR="005342D5" w:rsidRPr="0019790A" w:rsidRDefault="005342D5" w:rsidP="00CD7662">
            <w:pPr>
              <w:rPr>
                <w:rFonts w:cs="Arial"/>
                <w:szCs w:val="22"/>
              </w:rPr>
            </w:pPr>
          </w:p>
        </w:tc>
      </w:tr>
    </w:tbl>
    <w:p w14:paraId="4859C1CA" w14:textId="77777777" w:rsidR="005342D5" w:rsidRPr="0019790A" w:rsidRDefault="005342D5" w:rsidP="0019790A">
      <w:pPr>
        <w:rPr>
          <w:rFonts w:cs="Arial"/>
          <w:szCs w:val="22"/>
        </w:rPr>
      </w:pPr>
    </w:p>
    <w:p w14:paraId="73884EC5" w14:textId="77777777" w:rsidR="005342D5" w:rsidRPr="0019790A" w:rsidRDefault="005342D5" w:rsidP="0019790A">
      <w:pPr>
        <w:jc w:val="center"/>
        <w:rPr>
          <w:rFonts w:cs="Arial"/>
          <w:b/>
          <w:szCs w:val="22"/>
        </w:rPr>
      </w:pPr>
      <w:r w:rsidRPr="0019790A">
        <w:rPr>
          <w:rFonts w:cs="Arial"/>
          <w:b/>
          <w:szCs w:val="22"/>
        </w:rPr>
        <w:t>Форма технічного завдання на проєкт місцевого розвитку</w:t>
      </w:r>
    </w:p>
    <w:p w14:paraId="4F42D0FA" w14:textId="77777777" w:rsidR="005342D5" w:rsidRPr="0019790A" w:rsidRDefault="005342D5" w:rsidP="0019790A">
      <w:pPr>
        <w:jc w:val="center"/>
        <w:rPr>
          <w:rFonts w:cs="Arial"/>
          <w:b/>
          <w:szCs w:val="22"/>
        </w:rPr>
      </w:pPr>
      <w:r w:rsidRPr="0019790A">
        <w:rPr>
          <w:rFonts w:cs="Arial"/>
          <w:b/>
          <w:szCs w:val="22"/>
        </w:rPr>
        <w:t>до Плану заходів з реалізації Стратегії</w:t>
      </w:r>
    </w:p>
    <w:p w14:paraId="5157F8EF" w14:textId="77777777" w:rsidR="005342D5" w:rsidRPr="0019790A" w:rsidRDefault="005342D5"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3"/>
        <w:gridCol w:w="1258"/>
        <w:gridCol w:w="1275"/>
        <w:gridCol w:w="11"/>
        <w:gridCol w:w="1381"/>
        <w:gridCol w:w="25"/>
        <w:gridCol w:w="1276"/>
        <w:gridCol w:w="24"/>
        <w:gridCol w:w="1546"/>
      </w:tblGrid>
      <w:tr w:rsidR="005342D5" w:rsidRPr="0019790A" w14:paraId="58492899" w14:textId="77777777" w:rsidTr="00CD7662">
        <w:trPr>
          <w:trHeight w:val="384"/>
          <w:jc w:val="right"/>
        </w:trPr>
        <w:tc>
          <w:tcPr>
            <w:tcW w:w="3425" w:type="dxa"/>
            <w:vAlign w:val="center"/>
          </w:tcPr>
          <w:p w14:paraId="36F5DB2A" w14:textId="77777777" w:rsidR="005342D5" w:rsidRPr="0019790A" w:rsidRDefault="005342D5" w:rsidP="0019790A">
            <w:pPr>
              <w:rPr>
                <w:rFonts w:cs="Arial"/>
                <w:b/>
                <w:bCs/>
                <w:szCs w:val="22"/>
              </w:rPr>
            </w:pPr>
            <w:r w:rsidRPr="0019790A">
              <w:rPr>
                <w:rFonts w:cs="Arial"/>
                <w:b/>
                <w:bCs/>
                <w:szCs w:val="22"/>
              </w:rPr>
              <w:t>Назва проєкту:</w:t>
            </w:r>
          </w:p>
        </w:tc>
        <w:tc>
          <w:tcPr>
            <w:tcW w:w="6794" w:type="dxa"/>
            <w:gridSpan w:val="8"/>
            <w:vAlign w:val="center"/>
          </w:tcPr>
          <w:p w14:paraId="10E5BB25" w14:textId="77777777" w:rsidR="005342D5" w:rsidRPr="00CD7662" w:rsidRDefault="005342D5" w:rsidP="00CD7662">
            <w:pPr>
              <w:rPr>
                <w:rFonts w:cs="Arial"/>
                <w:b/>
                <w:szCs w:val="22"/>
              </w:rPr>
            </w:pPr>
            <w:r w:rsidRPr="00CD7662">
              <w:rPr>
                <w:rFonts w:cs="Arial"/>
                <w:b/>
                <w:szCs w:val="22"/>
              </w:rPr>
              <w:t>«Місто для дітей і молоді: участь, безпека, розвиток»</w:t>
            </w:r>
          </w:p>
        </w:tc>
      </w:tr>
      <w:tr w:rsidR="005342D5" w:rsidRPr="0019790A" w14:paraId="09D09D6F" w14:textId="77777777" w:rsidTr="00CD7662">
        <w:trPr>
          <w:jc w:val="right"/>
        </w:trPr>
        <w:tc>
          <w:tcPr>
            <w:tcW w:w="3425" w:type="dxa"/>
          </w:tcPr>
          <w:p w14:paraId="09A74B3B" w14:textId="77777777" w:rsidR="005342D5" w:rsidRPr="0019790A" w:rsidRDefault="005342D5" w:rsidP="0019790A">
            <w:pPr>
              <w:rPr>
                <w:rFonts w:cs="Arial"/>
                <w:szCs w:val="22"/>
              </w:rPr>
            </w:pPr>
            <w:r w:rsidRPr="0019790A">
              <w:rPr>
                <w:rFonts w:cs="Arial"/>
                <w:b/>
                <w:bCs/>
                <w:szCs w:val="22"/>
              </w:rPr>
              <w:t>Ваші контакти</w:t>
            </w:r>
            <w:r w:rsidRPr="0019790A">
              <w:rPr>
                <w:rFonts w:cs="Arial"/>
                <w:szCs w:val="22"/>
              </w:rPr>
              <w:t>:</w:t>
            </w:r>
          </w:p>
          <w:p w14:paraId="71FDBB25" w14:textId="77777777" w:rsidR="005342D5" w:rsidRPr="0019790A" w:rsidRDefault="005342D5" w:rsidP="0019790A">
            <w:pPr>
              <w:rPr>
                <w:rFonts w:cs="Arial"/>
                <w:b/>
                <w:bCs/>
                <w:szCs w:val="22"/>
              </w:rPr>
            </w:pPr>
            <w:r w:rsidRPr="0019790A">
              <w:rPr>
                <w:rFonts w:cs="Arial"/>
                <w:szCs w:val="22"/>
              </w:rPr>
              <w:t>Назва установи, організації, підприємства</w:t>
            </w:r>
          </w:p>
        </w:tc>
        <w:tc>
          <w:tcPr>
            <w:tcW w:w="6794" w:type="dxa"/>
            <w:gridSpan w:val="8"/>
            <w:vAlign w:val="center"/>
          </w:tcPr>
          <w:p w14:paraId="2E017ACC" w14:textId="77777777" w:rsidR="005342D5" w:rsidRPr="0019790A" w:rsidRDefault="005342D5" w:rsidP="00CD7662">
            <w:pPr>
              <w:rPr>
                <w:rFonts w:cs="Arial"/>
                <w:szCs w:val="22"/>
              </w:rPr>
            </w:pPr>
            <w:r w:rsidRPr="0019790A">
              <w:rPr>
                <w:rFonts w:cs="Arial"/>
                <w:szCs w:val="22"/>
              </w:rPr>
              <w:t>Відділ молоді та спорту Жмеринської міської ради</w:t>
            </w:r>
          </w:p>
        </w:tc>
      </w:tr>
      <w:tr w:rsidR="005342D5" w:rsidRPr="0019790A" w14:paraId="778FD158" w14:textId="77777777" w:rsidTr="00CD7662">
        <w:trPr>
          <w:jc w:val="right"/>
        </w:trPr>
        <w:tc>
          <w:tcPr>
            <w:tcW w:w="3425" w:type="dxa"/>
          </w:tcPr>
          <w:p w14:paraId="23345D14" w14:textId="77777777" w:rsidR="005342D5" w:rsidRPr="0019790A" w:rsidRDefault="005342D5" w:rsidP="0019790A">
            <w:pPr>
              <w:rPr>
                <w:rFonts w:cs="Arial"/>
                <w:b/>
                <w:bCs/>
                <w:szCs w:val="22"/>
              </w:rPr>
            </w:pPr>
            <w:r w:rsidRPr="0019790A">
              <w:rPr>
                <w:rFonts w:cs="Arial"/>
                <w:szCs w:val="22"/>
              </w:rPr>
              <w:t>Прізвище Ім’я По-батькові:</w:t>
            </w:r>
          </w:p>
        </w:tc>
        <w:tc>
          <w:tcPr>
            <w:tcW w:w="6794" w:type="dxa"/>
            <w:gridSpan w:val="8"/>
            <w:vAlign w:val="center"/>
          </w:tcPr>
          <w:p w14:paraId="2AE3931F" w14:textId="77777777" w:rsidR="005342D5" w:rsidRPr="0019790A" w:rsidRDefault="005342D5" w:rsidP="00CD7662">
            <w:pPr>
              <w:rPr>
                <w:rFonts w:cs="Arial"/>
                <w:szCs w:val="22"/>
              </w:rPr>
            </w:pPr>
            <w:r w:rsidRPr="0019790A">
              <w:rPr>
                <w:rFonts w:cs="Arial"/>
                <w:szCs w:val="22"/>
              </w:rPr>
              <w:t>Ковальська Олена Віталіївна</w:t>
            </w:r>
          </w:p>
        </w:tc>
      </w:tr>
      <w:tr w:rsidR="005342D5" w:rsidRPr="0019790A" w14:paraId="659F21CF" w14:textId="77777777" w:rsidTr="00CD7662">
        <w:trPr>
          <w:jc w:val="right"/>
        </w:trPr>
        <w:tc>
          <w:tcPr>
            <w:tcW w:w="3425" w:type="dxa"/>
          </w:tcPr>
          <w:p w14:paraId="635F08F0" w14:textId="77777777" w:rsidR="005342D5" w:rsidRPr="0019790A" w:rsidRDefault="005342D5" w:rsidP="0019790A">
            <w:pPr>
              <w:rPr>
                <w:rFonts w:cs="Arial"/>
                <w:b/>
                <w:bCs/>
                <w:szCs w:val="22"/>
              </w:rPr>
            </w:pPr>
            <w:r w:rsidRPr="0019790A">
              <w:rPr>
                <w:rFonts w:cs="Arial"/>
                <w:szCs w:val="22"/>
              </w:rPr>
              <w:t>Телефон (мобільний):</w:t>
            </w:r>
          </w:p>
        </w:tc>
        <w:tc>
          <w:tcPr>
            <w:tcW w:w="6794" w:type="dxa"/>
            <w:gridSpan w:val="8"/>
            <w:vAlign w:val="center"/>
          </w:tcPr>
          <w:p w14:paraId="4FE6D5A6" w14:textId="77777777" w:rsidR="005342D5" w:rsidRPr="0019790A" w:rsidRDefault="005342D5" w:rsidP="00CD7662">
            <w:pPr>
              <w:rPr>
                <w:rFonts w:cs="Arial"/>
                <w:szCs w:val="22"/>
              </w:rPr>
            </w:pPr>
            <w:r w:rsidRPr="0019790A">
              <w:rPr>
                <w:rFonts w:cs="Arial"/>
                <w:szCs w:val="22"/>
              </w:rPr>
              <w:t>096-068-94-79</w:t>
            </w:r>
          </w:p>
        </w:tc>
      </w:tr>
      <w:tr w:rsidR="005342D5" w:rsidRPr="0019790A" w14:paraId="60848D5E" w14:textId="77777777" w:rsidTr="00CD7662">
        <w:trPr>
          <w:jc w:val="right"/>
        </w:trPr>
        <w:tc>
          <w:tcPr>
            <w:tcW w:w="3425" w:type="dxa"/>
          </w:tcPr>
          <w:p w14:paraId="24E1009B" w14:textId="77777777" w:rsidR="005342D5" w:rsidRPr="0019790A" w:rsidRDefault="005342D5" w:rsidP="0019790A">
            <w:pPr>
              <w:rPr>
                <w:rFonts w:cs="Arial"/>
                <w:b/>
                <w:bCs/>
                <w:szCs w:val="22"/>
              </w:rPr>
            </w:pPr>
            <w:r w:rsidRPr="0019790A">
              <w:rPr>
                <w:rFonts w:cs="Arial"/>
                <w:szCs w:val="22"/>
              </w:rPr>
              <w:t>Електронна адреса:</w:t>
            </w:r>
          </w:p>
        </w:tc>
        <w:tc>
          <w:tcPr>
            <w:tcW w:w="6794" w:type="dxa"/>
            <w:gridSpan w:val="8"/>
            <w:vAlign w:val="center"/>
          </w:tcPr>
          <w:p w14:paraId="66E0FE31" w14:textId="77777777" w:rsidR="005342D5" w:rsidRPr="0019790A" w:rsidRDefault="00D85FFD" w:rsidP="00CD7662">
            <w:pPr>
              <w:rPr>
                <w:rFonts w:cs="Arial"/>
                <w:szCs w:val="22"/>
              </w:rPr>
            </w:pPr>
            <w:hyperlink r:id="rId166" w:history="1">
              <w:r w:rsidR="005342D5" w:rsidRPr="0019790A">
                <w:rPr>
                  <w:rStyle w:val="af0"/>
                  <w:rFonts w:cs="Arial"/>
                  <w:b/>
                  <w:bCs/>
                  <w:noProof w:val="0"/>
                  <w:sz w:val="22"/>
                  <w:szCs w:val="22"/>
                </w:rPr>
                <w:t>ms@zhmr.gov.ua</w:t>
              </w:r>
            </w:hyperlink>
          </w:p>
        </w:tc>
      </w:tr>
      <w:tr w:rsidR="005342D5" w:rsidRPr="0019790A" w14:paraId="6150F098" w14:textId="77777777" w:rsidTr="001A5BC7">
        <w:trPr>
          <w:trHeight w:val="1276"/>
          <w:jc w:val="right"/>
        </w:trPr>
        <w:tc>
          <w:tcPr>
            <w:tcW w:w="3425" w:type="dxa"/>
            <w:vAlign w:val="center"/>
          </w:tcPr>
          <w:p w14:paraId="58303ABF" w14:textId="77777777" w:rsidR="005342D5" w:rsidRPr="0019790A" w:rsidRDefault="005342D5" w:rsidP="0019790A">
            <w:pPr>
              <w:rPr>
                <w:rFonts w:cs="Arial"/>
                <w:b/>
                <w:bCs/>
                <w:szCs w:val="22"/>
              </w:rPr>
            </w:pPr>
            <w:r w:rsidRPr="0019790A">
              <w:rPr>
                <w:rFonts w:cs="Arial"/>
                <w:b/>
                <w:bCs/>
                <w:szCs w:val="22"/>
              </w:rPr>
              <w:t>Номер і назва завдання з Стратегії розвитку Жмеринської міської територіальної громади,  якому відповідає проєкт:</w:t>
            </w:r>
          </w:p>
        </w:tc>
        <w:tc>
          <w:tcPr>
            <w:tcW w:w="6794" w:type="dxa"/>
            <w:gridSpan w:val="8"/>
            <w:vAlign w:val="center"/>
          </w:tcPr>
          <w:p w14:paraId="4D4A84EE" w14:textId="77777777" w:rsidR="005342D5" w:rsidRPr="00CD7662" w:rsidRDefault="005342D5" w:rsidP="00CD7662">
            <w:pPr>
              <w:tabs>
                <w:tab w:val="left" w:pos="267"/>
              </w:tabs>
              <w:rPr>
                <w:rFonts w:cs="Arial"/>
                <w:szCs w:val="22"/>
              </w:rPr>
            </w:pPr>
            <w:r w:rsidRPr="00CD7662">
              <w:rPr>
                <w:rFonts w:cs="Arial"/>
                <w:szCs w:val="22"/>
              </w:rPr>
              <w:t>С.3.5.2. Розвиток  місцевої інфраструктури з урахуванням думки та дотриманням прав дітей та молоді.</w:t>
            </w:r>
          </w:p>
          <w:p w14:paraId="3EDA8C9B" w14:textId="77777777" w:rsidR="005342D5" w:rsidRPr="00CD7662" w:rsidRDefault="005342D5" w:rsidP="00CD7662">
            <w:pPr>
              <w:tabs>
                <w:tab w:val="left" w:pos="267"/>
              </w:tabs>
              <w:rPr>
                <w:rFonts w:cs="Arial"/>
                <w:szCs w:val="22"/>
              </w:rPr>
            </w:pPr>
          </w:p>
        </w:tc>
      </w:tr>
      <w:tr w:rsidR="005342D5" w:rsidRPr="0019790A" w14:paraId="437B7DA2" w14:textId="77777777" w:rsidTr="00CD7662">
        <w:trPr>
          <w:trHeight w:val="673"/>
          <w:jc w:val="right"/>
        </w:trPr>
        <w:tc>
          <w:tcPr>
            <w:tcW w:w="3425" w:type="dxa"/>
            <w:vAlign w:val="center"/>
          </w:tcPr>
          <w:p w14:paraId="792AF2B3" w14:textId="77777777" w:rsidR="005342D5" w:rsidRPr="0019790A" w:rsidRDefault="005342D5" w:rsidP="0019790A">
            <w:pPr>
              <w:rPr>
                <w:rFonts w:cs="Arial"/>
                <w:b/>
                <w:bCs/>
                <w:szCs w:val="22"/>
              </w:rPr>
            </w:pPr>
            <w:r w:rsidRPr="0019790A">
              <w:rPr>
                <w:rFonts w:cs="Arial"/>
                <w:b/>
                <w:bCs/>
                <w:szCs w:val="22"/>
              </w:rPr>
              <w:t>Мета проєкту:</w:t>
            </w:r>
          </w:p>
        </w:tc>
        <w:tc>
          <w:tcPr>
            <w:tcW w:w="6794" w:type="dxa"/>
            <w:gridSpan w:val="8"/>
            <w:vAlign w:val="center"/>
          </w:tcPr>
          <w:p w14:paraId="7FADA40D" w14:textId="77777777" w:rsidR="005342D5" w:rsidRPr="0019790A" w:rsidRDefault="005342D5" w:rsidP="00CD7662">
            <w:pPr>
              <w:tabs>
                <w:tab w:val="left" w:pos="267"/>
              </w:tabs>
              <w:rPr>
                <w:rFonts w:cs="Arial"/>
                <w:szCs w:val="22"/>
              </w:rPr>
            </w:pPr>
            <w:r w:rsidRPr="0019790A">
              <w:rPr>
                <w:rFonts w:cs="Arial"/>
                <w:szCs w:val="22"/>
              </w:rPr>
              <w:t>Сприяти формуванню комфортного, безпечного та дружнього до дітей і молоді середовища шляхом залучення їх до планування, прийняття рішень і розвитку місцевої інфраструктури з урахуванням їхніх потреб і прав.</w:t>
            </w:r>
          </w:p>
        </w:tc>
      </w:tr>
      <w:tr w:rsidR="005342D5" w:rsidRPr="0019790A" w14:paraId="19F40E47" w14:textId="77777777" w:rsidTr="00CD7662">
        <w:trPr>
          <w:jc w:val="right"/>
        </w:trPr>
        <w:tc>
          <w:tcPr>
            <w:tcW w:w="3425" w:type="dxa"/>
            <w:vAlign w:val="center"/>
          </w:tcPr>
          <w:p w14:paraId="738F93E1" w14:textId="77777777" w:rsidR="005342D5" w:rsidRPr="0019790A" w:rsidRDefault="005342D5" w:rsidP="0019790A">
            <w:pPr>
              <w:rPr>
                <w:rFonts w:cs="Arial"/>
                <w:b/>
                <w:bCs/>
                <w:szCs w:val="22"/>
              </w:rPr>
            </w:pPr>
            <w:r w:rsidRPr="0019790A">
              <w:rPr>
                <w:rFonts w:cs="Arial"/>
                <w:b/>
                <w:bCs/>
                <w:szCs w:val="22"/>
              </w:rPr>
              <w:t>Цілі проєкту:</w:t>
            </w:r>
          </w:p>
        </w:tc>
        <w:tc>
          <w:tcPr>
            <w:tcW w:w="6794" w:type="dxa"/>
            <w:gridSpan w:val="8"/>
            <w:vAlign w:val="center"/>
          </w:tcPr>
          <w:p w14:paraId="66290B62" w14:textId="77777777" w:rsidR="005342D5" w:rsidRPr="0019790A" w:rsidRDefault="005342D5" w:rsidP="00CD7662">
            <w:pPr>
              <w:numPr>
                <w:ilvl w:val="0"/>
                <w:numId w:val="109"/>
              </w:numPr>
              <w:tabs>
                <w:tab w:val="left" w:pos="267"/>
              </w:tabs>
              <w:ind w:left="0" w:firstLine="0"/>
              <w:rPr>
                <w:rFonts w:cs="Arial"/>
                <w:szCs w:val="22"/>
              </w:rPr>
            </w:pPr>
            <w:r w:rsidRPr="0019790A">
              <w:rPr>
                <w:rFonts w:cs="Arial"/>
                <w:szCs w:val="22"/>
              </w:rPr>
              <w:t>Забезпечити участь дітей і молоді в плануванні місцевого простору.</w:t>
            </w:r>
          </w:p>
          <w:p w14:paraId="4FA69720" w14:textId="77777777" w:rsidR="005342D5" w:rsidRPr="0019790A" w:rsidRDefault="005342D5" w:rsidP="00CD7662">
            <w:pPr>
              <w:numPr>
                <w:ilvl w:val="0"/>
                <w:numId w:val="109"/>
              </w:numPr>
              <w:tabs>
                <w:tab w:val="left" w:pos="267"/>
              </w:tabs>
              <w:ind w:left="0" w:firstLine="0"/>
              <w:rPr>
                <w:rFonts w:cs="Arial"/>
                <w:szCs w:val="22"/>
              </w:rPr>
            </w:pPr>
            <w:r w:rsidRPr="0019790A">
              <w:rPr>
                <w:rFonts w:cs="Arial"/>
                <w:szCs w:val="22"/>
              </w:rPr>
              <w:t>Розвинути культуру врахування прав дитини та принципів дружнього до молоді середовища.</w:t>
            </w:r>
          </w:p>
          <w:p w14:paraId="45008F60" w14:textId="77777777" w:rsidR="005342D5" w:rsidRPr="0019790A" w:rsidRDefault="005342D5" w:rsidP="00CD7662">
            <w:pPr>
              <w:numPr>
                <w:ilvl w:val="0"/>
                <w:numId w:val="109"/>
              </w:numPr>
              <w:tabs>
                <w:tab w:val="left" w:pos="267"/>
              </w:tabs>
              <w:ind w:left="0" w:firstLine="0"/>
              <w:rPr>
                <w:rFonts w:cs="Arial"/>
                <w:szCs w:val="22"/>
              </w:rPr>
            </w:pPr>
            <w:r w:rsidRPr="0019790A">
              <w:rPr>
                <w:rFonts w:cs="Arial"/>
                <w:szCs w:val="22"/>
              </w:rPr>
              <w:t>Створити інфраструктурні рішення, що відповідають реальним потребам молодих людей.</w:t>
            </w:r>
          </w:p>
          <w:p w14:paraId="41892D2B" w14:textId="77777777" w:rsidR="005342D5" w:rsidRPr="0019790A" w:rsidRDefault="005342D5" w:rsidP="00CD7662">
            <w:pPr>
              <w:numPr>
                <w:ilvl w:val="0"/>
                <w:numId w:val="109"/>
              </w:numPr>
              <w:tabs>
                <w:tab w:val="left" w:pos="267"/>
              </w:tabs>
              <w:ind w:left="0" w:firstLine="0"/>
              <w:rPr>
                <w:rFonts w:cs="Arial"/>
                <w:szCs w:val="22"/>
              </w:rPr>
            </w:pPr>
            <w:r w:rsidRPr="0019790A">
              <w:rPr>
                <w:rFonts w:cs="Arial"/>
                <w:szCs w:val="22"/>
              </w:rPr>
              <w:t>Підвищити рівень громадянської активності серед молоді.</w:t>
            </w:r>
          </w:p>
          <w:p w14:paraId="4696958D" w14:textId="77777777" w:rsidR="005342D5" w:rsidRPr="0019790A" w:rsidRDefault="005342D5" w:rsidP="00CD7662">
            <w:pPr>
              <w:numPr>
                <w:ilvl w:val="0"/>
                <w:numId w:val="109"/>
              </w:numPr>
              <w:tabs>
                <w:tab w:val="left" w:pos="267"/>
              </w:tabs>
              <w:ind w:left="0" w:firstLine="0"/>
              <w:rPr>
                <w:rFonts w:cs="Arial"/>
                <w:szCs w:val="22"/>
              </w:rPr>
            </w:pPr>
            <w:r w:rsidRPr="0019790A">
              <w:rPr>
                <w:rFonts w:cs="Arial"/>
                <w:szCs w:val="22"/>
              </w:rPr>
              <w:t>Сформувати партнерство між молоддю, владою та громадою.</w:t>
            </w:r>
          </w:p>
        </w:tc>
      </w:tr>
      <w:tr w:rsidR="005342D5" w:rsidRPr="0019790A" w14:paraId="1034A29B" w14:textId="77777777" w:rsidTr="00CD7662">
        <w:trPr>
          <w:trHeight w:val="641"/>
          <w:jc w:val="right"/>
        </w:trPr>
        <w:tc>
          <w:tcPr>
            <w:tcW w:w="3425" w:type="dxa"/>
            <w:vAlign w:val="center"/>
          </w:tcPr>
          <w:p w14:paraId="42D47B48" w14:textId="77777777" w:rsidR="005342D5" w:rsidRPr="0019790A" w:rsidRDefault="005342D5" w:rsidP="0019790A">
            <w:pPr>
              <w:rPr>
                <w:rFonts w:cs="Arial"/>
                <w:b/>
                <w:szCs w:val="22"/>
              </w:rPr>
            </w:pPr>
            <w:r w:rsidRPr="0019790A">
              <w:rPr>
                <w:rFonts w:cs="Arial"/>
                <w:b/>
                <w:szCs w:val="22"/>
              </w:rPr>
              <w:t>Територія на яку проєкт матиме вплив:</w:t>
            </w:r>
          </w:p>
        </w:tc>
        <w:tc>
          <w:tcPr>
            <w:tcW w:w="6794" w:type="dxa"/>
            <w:gridSpan w:val="8"/>
            <w:vAlign w:val="center"/>
          </w:tcPr>
          <w:p w14:paraId="6C8A498D" w14:textId="77777777" w:rsidR="005342D5" w:rsidRPr="0019790A" w:rsidRDefault="005342D5" w:rsidP="00CD7662">
            <w:pPr>
              <w:tabs>
                <w:tab w:val="left" w:pos="267"/>
              </w:tabs>
              <w:rPr>
                <w:rFonts w:cs="Arial"/>
                <w:szCs w:val="22"/>
              </w:rPr>
            </w:pPr>
            <w:r w:rsidRPr="0019790A">
              <w:rPr>
                <w:rFonts w:cs="Arial"/>
                <w:szCs w:val="22"/>
              </w:rPr>
              <w:t>Жмеринська міська територіальна громада</w:t>
            </w:r>
          </w:p>
        </w:tc>
      </w:tr>
      <w:tr w:rsidR="005342D5" w:rsidRPr="0019790A" w14:paraId="2E3D092E" w14:textId="77777777" w:rsidTr="00CD7662">
        <w:trPr>
          <w:jc w:val="right"/>
        </w:trPr>
        <w:tc>
          <w:tcPr>
            <w:tcW w:w="3425" w:type="dxa"/>
            <w:vAlign w:val="center"/>
          </w:tcPr>
          <w:p w14:paraId="4E4EDBDD" w14:textId="77777777" w:rsidR="005342D5" w:rsidRPr="0019790A" w:rsidRDefault="005342D5" w:rsidP="0019790A">
            <w:pPr>
              <w:rPr>
                <w:rFonts w:cs="Arial"/>
                <w:b/>
                <w:szCs w:val="22"/>
              </w:rPr>
            </w:pPr>
            <w:r w:rsidRPr="0019790A">
              <w:rPr>
                <w:rFonts w:cs="Arial"/>
                <w:b/>
                <w:szCs w:val="22"/>
              </w:rPr>
              <w:t>Цільові групи проєкту та кількість отримувачів вигоди</w:t>
            </w:r>
          </w:p>
        </w:tc>
        <w:tc>
          <w:tcPr>
            <w:tcW w:w="6794" w:type="dxa"/>
            <w:gridSpan w:val="8"/>
            <w:vAlign w:val="center"/>
          </w:tcPr>
          <w:p w14:paraId="42559908" w14:textId="77777777" w:rsidR="005342D5" w:rsidRPr="0019790A" w:rsidRDefault="005342D5" w:rsidP="00CD7662">
            <w:pPr>
              <w:numPr>
                <w:ilvl w:val="0"/>
                <w:numId w:val="106"/>
              </w:numPr>
              <w:tabs>
                <w:tab w:val="left" w:pos="267"/>
              </w:tabs>
              <w:ind w:left="0" w:firstLine="0"/>
              <w:rPr>
                <w:rFonts w:cs="Arial"/>
                <w:szCs w:val="22"/>
              </w:rPr>
            </w:pPr>
            <w:r w:rsidRPr="0019790A">
              <w:rPr>
                <w:rFonts w:cs="Arial"/>
                <w:szCs w:val="22"/>
              </w:rPr>
              <w:t>Діти та молодь (від 10 до 25 років)</w:t>
            </w:r>
          </w:p>
          <w:p w14:paraId="68DCA963" w14:textId="77777777" w:rsidR="005342D5" w:rsidRPr="0019790A" w:rsidRDefault="005342D5" w:rsidP="00CD7662">
            <w:pPr>
              <w:numPr>
                <w:ilvl w:val="0"/>
                <w:numId w:val="106"/>
              </w:numPr>
              <w:tabs>
                <w:tab w:val="left" w:pos="267"/>
              </w:tabs>
              <w:ind w:left="0" w:firstLine="0"/>
              <w:rPr>
                <w:rFonts w:cs="Arial"/>
                <w:szCs w:val="22"/>
              </w:rPr>
            </w:pPr>
            <w:r w:rsidRPr="0019790A">
              <w:rPr>
                <w:rFonts w:cs="Arial"/>
                <w:szCs w:val="22"/>
              </w:rPr>
              <w:t>Молодіжні ради, учнівське самоврядування</w:t>
            </w:r>
          </w:p>
          <w:p w14:paraId="745B20DD" w14:textId="77777777" w:rsidR="005342D5" w:rsidRPr="0019790A" w:rsidRDefault="005342D5" w:rsidP="00CD7662">
            <w:pPr>
              <w:numPr>
                <w:ilvl w:val="0"/>
                <w:numId w:val="106"/>
              </w:numPr>
              <w:tabs>
                <w:tab w:val="left" w:pos="267"/>
              </w:tabs>
              <w:ind w:left="0" w:firstLine="0"/>
              <w:rPr>
                <w:rFonts w:cs="Arial"/>
                <w:szCs w:val="22"/>
              </w:rPr>
            </w:pPr>
            <w:r w:rsidRPr="0019790A">
              <w:rPr>
                <w:rFonts w:cs="Arial"/>
                <w:szCs w:val="22"/>
              </w:rPr>
              <w:t>Працівники органів місцевого самоврядування</w:t>
            </w:r>
          </w:p>
          <w:p w14:paraId="6708BFAF" w14:textId="77777777" w:rsidR="005342D5" w:rsidRPr="0019790A" w:rsidRDefault="005342D5" w:rsidP="00CD7662">
            <w:pPr>
              <w:numPr>
                <w:ilvl w:val="0"/>
                <w:numId w:val="106"/>
              </w:numPr>
              <w:tabs>
                <w:tab w:val="left" w:pos="267"/>
              </w:tabs>
              <w:ind w:left="0" w:firstLine="0"/>
              <w:rPr>
                <w:rFonts w:cs="Arial"/>
                <w:szCs w:val="22"/>
              </w:rPr>
            </w:pPr>
            <w:r w:rsidRPr="0019790A">
              <w:rPr>
                <w:rFonts w:cs="Arial"/>
                <w:szCs w:val="22"/>
              </w:rPr>
              <w:t>Архітектори, урбаністи, освітяни</w:t>
            </w:r>
          </w:p>
          <w:p w14:paraId="55AE9116" w14:textId="77777777" w:rsidR="005342D5" w:rsidRPr="0019790A" w:rsidRDefault="005342D5" w:rsidP="00CD7662">
            <w:pPr>
              <w:numPr>
                <w:ilvl w:val="0"/>
                <w:numId w:val="106"/>
              </w:numPr>
              <w:tabs>
                <w:tab w:val="left" w:pos="267"/>
              </w:tabs>
              <w:ind w:left="0" w:firstLine="0"/>
              <w:rPr>
                <w:rFonts w:cs="Arial"/>
                <w:szCs w:val="22"/>
              </w:rPr>
            </w:pPr>
            <w:r w:rsidRPr="0019790A">
              <w:rPr>
                <w:rFonts w:cs="Arial"/>
                <w:szCs w:val="22"/>
              </w:rPr>
              <w:t>Громадські організації, які працюють з молоддю</w:t>
            </w:r>
          </w:p>
          <w:p w14:paraId="2500E424" w14:textId="77777777" w:rsidR="005342D5" w:rsidRPr="0019790A" w:rsidRDefault="005342D5" w:rsidP="00CD7662">
            <w:pPr>
              <w:tabs>
                <w:tab w:val="left" w:pos="267"/>
              </w:tabs>
              <w:rPr>
                <w:rFonts w:cs="Arial"/>
                <w:szCs w:val="22"/>
              </w:rPr>
            </w:pPr>
            <w:r w:rsidRPr="0019790A">
              <w:rPr>
                <w:rFonts w:cs="Arial"/>
                <w:b/>
                <w:szCs w:val="22"/>
              </w:rPr>
              <w:t>Кількість отримувачів вигоди</w:t>
            </w:r>
            <w:r w:rsidRPr="0019790A">
              <w:rPr>
                <w:rFonts w:cs="Arial"/>
                <w:szCs w:val="22"/>
              </w:rPr>
              <w:t xml:space="preserve"> </w:t>
            </w:r>
            <w:r w:rsidRPr="0019790A">
              <w:rPr>
                <w:rFonts w:cs="Arial"/>
                <w:b/>
                <w:szCs w:val="22"/>
              </w:rPr>
              <w:t>8000 осіб.</w:t>
            </w:r>
          </w:p>
        </w:tc>
      </w:tr>
      <w:tr w:rsidR="005342D5" w:rsidRPr="0019790A" w14:paraId="631677E7" w14:textId="77777777" w:rsidTr="00CD7662">
        <w:trPr>
          <w:jc w:val="right"/>
        </w:trPr>
        <w:tc>
          <w:tcPr>
            <w:tcW w:w="3425" w:type="dxa"/>
            <w:shd w:val="clear" w:color="auto" w:fill="FFFFFF"/>
            <w:vAlign w:val="center"/>
          </w:tcPr>
          <w:p w14:paraId="7695E3DA" w14:textId="77777777" w:rsidR="005342D5" w:rsidRPr="0019790A" w:rsidRDefault="005342D5" w:rsidP="0019790A">
            <w:pPr>
              <w:rPr>
                <w:rFonts w:cs="Arial"/>
                <w:b/>
                <w:bCs/>
                <w:szCs w:val="22"/>
              </w:rPr>
            </w:pPr>
            <w:r w:rsidRPr="0019790A">
              <w:rPr>
                <w:rFonts w:cs="Arial"/>
                <w:b/>
                <w:bCs/>
                <w:szCs w:val="22"/>
              </w:rPr>
              <w:t>Стислий опис проєкту:</w:t>
            </w:r>
          </w:p>
        </w:tc>
        <w:tc>
          <w:tcPr>
            <w:tcW w:w="6794" w:type="dxa"/>
            <w:gridSpan w:val="8"/>
            <w:vAlign w:val="center"/>
          </w:tcPr>
          <w:p w14:paraId="6F532099" w14:textId="77777777" w:rsidR="005342D5" w:rsidRPr="0019790A" w:rsidRDefault="005342D5" w:rsidP="00CD7662">
            <w:pPr>
              <w:tabs>
                <w:tab w:val="left" w:pos="267"/>
              </w:tabs>
              <w:rPr>
                <w:rFonts w:cs="Arial"/>
                <w:szCs w:val="22"/>
              </w:rPr>
            </w:pPr>
            <w:r w:rsidRPr="0019790A">
              <w:rPr>
                <w:rFonts w:cs="Arial"/>
                <w:szCs w:val="22"/>
              </w:rPr>
              <w:t>Проєкт спрямований на інтеграцію думки дітей та молоді у процеси розвитку місцевої інфраструктури: шкіл, парків, публічних просторів, спортивних і дозвіллєвих зон. Заплановано серію консультацій, воркшопів, мапувань потреб, громадських обговорень та інтерактивних сесій з молоддю. Результатом стане впровадження пілотних рішень, розроблених за участю дітей та молоді, що враховують їхню безпеку, інклюзію, доступність і комфорт.</w:t>
            </w:r>
          </w:p>
        </w:tc>
      </w:tr>
      <w:tr w:rsidR="005342D5" w:rsidRPr="0019790A" w14:paraId="7E15160C" w14:textId="77777777" w:rsidTr="00CD7662">
        <w:trPr>
          <w:jc w:val="right"/>
        </w:trPr>
        <w:tc>
          <w:tcPr>
            <w:tcW w:w="3425" w:type="dxa"/>
            <w:shd w:val="clear" w:color="auto" w:fill="FFFFFF"/>
            <w:vAlign w:val="center"/>
          </w:tcPr>
          <w:p w14:paraId="7002CF87" w14:textId="77777777" w:rsidR="005342D5" w:rsidRPr="0019790A" w:rsidRDefault="005342D5" w:rsidP="0019790A">
            <w:pPr>
              <w:rPr>
                <w:rFonts w:cs="Arial"/>
                <w:b/>
                <w:bCs/>
                <w:szCs w:val="22"/>
              </w:rPr>
            </w:pPr>
            <w:r w:rsidRPr="0019790A">
              <w:rPr>
                <w:rFonts w:cs="Arial"/>
                <w:b/>
                <w:bCs/>
                <w:szCs w:val="22"/>
              </w:rPr>
              <w:t>Основні заходи проєкту:</w:t>
            </w:r>
          </w:p>
        </w:tc>
        <w:tc>
          <w:tcPr>
            <w:tcW w:w="6794" w:type="dxa"/>
            <w:gridSpan w:val="8"/>
            <w:vAlign w:val="center"/>
          </w:tcPr>
          <w:p w14:paraId="36E05C7D" w14:textId="77777777" w:rsidR="005342D5" w:rsidRPr="0019790A" w:rsidRDefault="005342D5" w:rsidP="00CD7662">
            <w:pPr>
              <w:numPr>
                <w:ilvl w:val="0"/>
                <w:numId w:val="107"/>
              </w:numPr>
              <w:tabs>
                <w:tab w:val="left" w:pos="267"/>
              </w:tabs>
              <w:ind w:left="0" w:firstLine="0"/>
              <w:rPr>
                <w:rFonts w:cs="Arial"/>
                <w:szCs w:val="22"/>
              </w:rPr>
            </w:pPr>
            <w:r w:rsidRPr="0019790A">
              <w:rPr>
                <w:rFonts w:cs="Arial"/>
                <w:szCs w:val="22"/>
              </w:rPr>
              <w:t>Проведення опитувань, фокус-груп і мапування потреб молоді</w:t>
            </w:r>
          </w:p>
          <w:p w14:paraId="5848F75C" w14:textId="77777777" w:rsidR="005342D5" w:rsidRPr="0019790A" w:rsidRDefault="005342D5" w:rsidP="00CD7662">
            <w:pPr>
              <w:numPr>
                <w:ilvl w:val="0"/>
                <w:numId w:val="107"/>
              </w:numPr>
              <w:tabs>
                <w:tab w:val="left" w:pos="267"/>
              </w:tabs>
              <w:ind w:left="0" w:firstLine="0"/>
              <w:rPr>
                <w:rFonts w:cs="Arial"/>
                <w:szCs w:val="22"/>
              </w:rPr>
            </w:pPr>
            <w:r w:rsidRPr="0019790A">
              <w:rPr>
                <w:rFonts w:cs="Arial"/>
                <w:szCs w:val="22"/>
              </w:rPr>
              <w:t>Воркшопи «Дитина/молодь-дизайнер простору»</w:t>
            </w:r>
          </w:p>
          <w:p w14:paraId="024656FF" w14:textId="77777777" w:rsidR="005342D5" w:rsidRPr="0019790A" w:rsidRDefault="005342D5" w:rsidP="00CD7662">
            <w:pPr>
              <w:numPr>
                <w:ilvl w:val="0"/>
                <w:numId w:val="107"/>
              </w:numPr>
              <w:tabs>
                <w:tab w:val="left" w:pos="267"/>
              </w:tabs>
              <w:ind w:left="0" w:firstLine="0"/>
              <w:rPr>
                <w:rFonts w:cs="Arial"/>
                <w:szCs w:val="22"/>
              </w:rPr>
            </w:pPr>
            <w:r w:rsidRPr="0019790A">
              <w:rPr>
                <w:rFonts w:cs="Arial"/>
                <w:szCs w:val="22"/>
              </w:rPr>
              <w:t>Публічні презентації та обговорення ідей</w:t>
            </w:r>
          </w:p>
          <w:p w14:paraId="5F842E8E" w14:textId="77777777" w:rsidR="005342D5" w:rsidRPr="0019790A" w:rsidRDefault="005342D5" w:rsidP="00CD7662">
            <w:pPr>
              <w:numPr>
                <w:ilvl w:val="0"/>
                <w:numId w:val="107"/>
              </w:numPr>
              <w:tabs>
                <w:tab w:val="left" w:pos="267"/>
              </w:tabs>
              <w:ind w:left="0" w:firstLine="0"/>
              <w:rPr>
                <w:rFonts w:cs="Arial"/>
                <w:szCs w:val="22"/>
              </w:rPr>
            </w:pPr>
            <w:r w:rsidRPr="0019790A">
              <w:rPr>
                <w:rFonts w:cs="Arial"/>
                <w:szCs w:val="22"/>
              </w:rPr>
              <w:t xml:space="preserve">Впровадження 1–2 пілотних змін у міському просторі </w:t>
            </w:r>
          </w:p>
          <w:p w14:paraId="6CFAE716" w14:textId="77777777" w:rsidR="005342D5" w:rsidRPr="0019790A" w:rsidRDefault="005342D5" w:rsidP="00CD7662">
            <w:pPr>
              <w:numPr>
                <w:ilvl w:val="0"/>
                <w:numId w:val="107"/>
              </w:numPr>
              <w:tabs>
                <w:tab w:val="left" w:pos="267"/>
              </w:tabs>
              <w:ind w:left="0" w:firstLine="0"/>
              <w:rPr>
                <w:rFonts w:cs="Arial"/>
                <w:szCs w:val="22"/>
              </w:rPr>
            </w:pPr>
            <w:r w:rsidRPr="0019790A">
              <w:rPr>
                <w:rFonts w:cs="Arial"/>
                <w:szCs w:val="22"/>
              </w:rPr>
              <w:t>Інформаційна кампанія «Громада очима дітей»</w:t>
            </w:r>
          </w:p>
          <w:p w14:paraId="70801E3E" w14:textId="77777777" w:rsidR="005342D5" w:rsidRPr="0019790A" w:rsidRDefault="005342D5" w:rsidP="00CD7662">
            <w:pPr>
              <w:tabs>
                <w:tab w:val="left" w:pos="267"/>
              </w:tabs>
              <w:rPr>
                <w:rFonts w:cs="Arial"/>
                <w:szCs w:val="22"/>
              </w:rPr>
            </w:pPr>
          </w:p>
        </w:tc>
      </w:tr>
      <w:tr w:rsidR="005342D5" w:rsidRPr="0019790A" w14:paraId="44651D1A" w14:textId="77777777" w:rsidTr="00CD7662">
        <w:trPr>
          <w:trHeight w:val="487"/>
          <w:jc w:val="right"/>
        </w:trPr>
        <w:tc>
          <w:tcPr>
            <w:tcW w:w="3425" w:type="dxa"/>
            <w:shd w:val="clear" w:color="auto" w:fill="FFFFFF"/>
            <w:vAlign w:val="center"/>
          </w:tcPr>
          <w:p w14:paraId="09FBCF5C" w14:textId="77777777" w:rsidR="005342D5" w:rsidRPr="0019790A" w:rsidRDefault="005342D5" w:rsidP="0019790A">
            <w:pPr>
              <w:rPr>
                <w:rFonts w:cs="Arial"/>
                <w:b/>
                <w:bCs/>
                <w:szCs w:val="22"/>
              </w:rPr>
            </w:pPr>
            <w:r w:rsidRPr="0019790A">
              <w:rPr>
                <w:rFonts w:cs="Arial"/>
                <w:b/>
                <w:bCs/>
                <w:szCs w:val="22"/>
              </w:rPr>
              <w:t>Індикатори (показники) результативності:</w:t>
            </w:r>
          </w:p>
        </w:tc>
        <w:tc>
          <w:tcPr>
            <w:tcW w:w="6794" w:type="dxa"/>
            <w:gridSpan w:val="8"/>
            <w:vAlign w:val="center"/>
          </w:tcPr>
          <w:p w14:paraId="1C4EBFC9" w14:textId="77777777" w:rsidR="005342D5" w:rsidRPr="0019790A" w:rsidRDefault="005342D5" w:rsidP="00CD7662">
            <w:pPr>
              <w:numPr>
                <w:ilvl w:val="0"/>
                <w:numId w:val="108"/>
              </w:numPr>
              <w:tabs>
                <w:tab w:val="left" w:pos="267"/>
              </w:tabs>
              <w:ind w:left="0" w:firstLine="0"/>
              <w:rPr>
                <w:rFonts w:cs="Arial"/>
                <w:szCs w:val="22"/>
              </w:rPr>
            </w:pPr>
            <w:r w:rsidRPr="0019790A">
              <w:rPr>
                <w:rFonts w:cs="Arial"/>
                <w:szCs w:val="22"/>
              </w:rPr>
              <w:t>Проведено не менше 5 консультацій/сесій з дітьми та молоддю на рік</w:t>
            </w:r>
          </w:p>
          <w:p w14:paraId="142040D0" w14:textId="77777777" w:rsidR="005342D5" w:rsidRPr="0019790A" w:rsidRDefault="005342D5" w:rsidP="00CD7662">
            <w:pPr>
              <w:numPr>
                <w:ilvl w:val="0"/>
                <w:numId w:val="108"/>
              </w:numPr>
              <w:tabs>
                <w:tab w:val="left" w:pos="267"/>
              </w:tabs>
              <w:ind w:left="0" w:firstLine="0"/>
              <w:rPr>
                <w:rFonts w:cs="Arial"/>
                <w:szCs w:val="22"/>
              </w:rPr>
            </w:pPr>
            <w:r w:rsidRPr="0019790A">
              <w:rPr>
                <w:rFonts w:cs="Arial"/>
                <w:szCs w:val="22"/>
              </w:rPr>
              <w:t>Охоплено понад 200 учасників віком 10–25 років на рік</w:t>
            </w:r>
          </w:p>
          <w:p w14:paraId="34632748" w14:textId="77777777" w:rsidR="005342D5" w:rsidRPr="0019790A" w:rsidRDefault="005342D5" w:rsidP="00CD7662">
            <w:pPr>
              <w:numPr>
                <w:ilvl w:val="0"/>
                <w:numId w:val="108"/>
              </w:numPr>
              <w:tabs>
                <w:tab w:val="left" w:pos="267"/>
              </w:tabs>
              <w:ind w:left="0" w:firstLine="0"/>
              <w:rPr>
                <w:rFonts w:cs="Arial"/>
                <w:szCs w:val="22"/>
              </w:rPr>
            </w:pPr>
            <w:r w:rsidRPr="0019790A">
              <w:rPr>
                <w:rFonts w:cs="Arial"/>
                <w:szCs w:val="22"/>
              </w:rPr>
              <w:t>Упроваджено мінімум 2 рішення/покращення в громадському просторі</w:t>
            </w:r>
          </w:p>
          <w:p w14:paraId="5AE6C614" w14:textId="77777777" w:rsidR="005342D5" w:rsidRPr="0019790A" w:rsidRDefault="005342D5" w:rsidP="00CD7662">
            <w:pPr>
              <w:numPr>
                <w:ilvl w:val="0"/>
                <w:numId w:val="108"/>
              </w:numPr>
              <w:tabs>
                <w:tab w:val="left" w:pos="267"/>
              </w:tabs>
              <w:ind w:left="0" w:firstLine="0"/>
              <w:rPr>
                <w:rFonts w:cs="Arial"/>
                <w:szCs w:val="22"/>
              </w:rPr>
            </w:pPr>
            <w:r w:rsidRPr="0019790A">
              <w:rPr>
                <w:rFonts w:cs="Arial"/>
                <w:szCs w:val="22"/>
              </w:rPr>
              <w:t>Підготовлено 1 звіт про врахування думки молоді в розвитку інфраструктури за рік</w:t>
            </w:r>
          </w:p>
          <w:p w14:paraId="6249CDB2" w14:textId="77777777" w:rsidR="005342D5" w:rsidRPr="0019790A" w:rsidRDefault="005342D5" w:rsidP="00CD7662">
            <w:pPr>
              <w:numPr>
                <w:ilvl w:val="0"/>
                <w:numId w:val="108"/>
              </w:numPr>
              <w:tabs>
                <w:tab w:val="left" w:pos="267"/>
              </w:tabs>
              <w:ind w:left="0" w:firstLine="0"/>
              <w:rPr>
                <w:rFonts w:cs="Arial"/>
                <w:szCs w:val="22"/>
              </w:rPr>
            </w:pPr>
            <w:r w:rsidRPr="0019790A">
              <w:rPr>
                <w:rFonts w:cs="Arial"/>
                <w:szCs w:val="22"/>
              </w:rPr>
              <w:t>Залучено до партнерства 5+ установ/організацій</w:t>
            </w:r>
          </w:p>
        </w:tc>
      </w:tr>
      <w:tr w:rsidR="005342D5" w:rsidRPr="0019790A" w14:paraId="4DD5C136" w14:textId="77777777" w:rsidTr="00CD7662">
        <w:trPr>
          <w:jc w:val="right"/>
        </w:trPr>
        <w:tc>
          <w:tcPr>
            <w:tcW w:w="3425" w:type="dxa"/>
            <w:shd w:val="clear" w:color="auto" w:fill="FFFFFF"/>
            <w:vAlign w:val="center"/>
          </w:tcPr>
          <w:p w14:paraId="761A3673" w14:textId="77777777" w:rsidR="005342D5" w:rsidRPr="0019790A" w:rsidRDefault="005342D5" w:rsidP="0019790A">
            <w:pPr>
              <w:rPr>
                <w:rFonts w:cs="Arial"/>
                <w:b/>
                <w:szCs w:val="22"/>
              </w:rPr>
            </w:pPr>
            <w:r w:rsidRPr="0019790A">
              <w:rPr>
                <w:rFonts w:cs="Arial"/>
                <w:b/>
                <w:szCs w:val="22"/>
              </w:rPr>
              <w:t xml:space="preserve">Період здійснення: </w:t>
            </w:r>
          </w:p>
        </w:tc>
        <w:tc>
          <w:tcPr>
            <w:tcW w:w="6794" w:type="dxa"/>
            <w:gridSpan w:val="8"/>
            <w:vAlign w:val="center"/>
          </w:tcPr>
          <w:p w14:paraId="66A7C8F8" w14:textId="77777777" w:rsidR="005342D5" w:rsidRPr="0019790A" w:rsidRDefault="005342D5" w:rsidP="00CD7662">
            <w:pPr>
              <w:rPr>
                <w:rFonts w:cs="Arial"/>
                <w:szCs w:val="22"/>
              </w:rPr>
            </w:pPr>
            <w:r w:rsidRPr="0019790A">
              <w:rPr>
                <w:rFonts w:cs="Arial"/>
                <w:b/>
                <w:szCs w:val="22"/>
              </w:rPr>
              <w:t>2025 – 2028 роки:</w:t>
            </w:r>
          </w:p>
        </w:tc>
      </w:tr>
      <w:tr w:rsidR="005342D5" w:rsidRPr="0019790A" w14:paraId="3069DF2D" w14:textId="77777777" w:rsidTr="00CD7662">
        <w:trPr>
          <w:jc w:val="right"/>
        </w:trPr>
        <w:tc>
          <w:tcPr>
            <w:tcW w:w="3425" w:type="dxa"/>
            <w:vMerge w:val="restart"/>
            <w:shd w:val="clear" w:color="auto" w:fill="FFFFFF"/>
            <w:vAlign w:val="center"/>
          </w:tcPr>
          <w:p w14:paraId="1C621CC5" w14:textId="77777777" w:rsidR="005342D5" w:rsidRPr="0019790A" w:rsidRDefault="005342D5" w:rsidP="0019790A">
            <w:pPr>
              <w:rPr>
                <w:rFonts w:cs="Arial"/>
                <w:b/>
                <w:bCs/>
                <w:szCs w:val="22"/>
              </w:rPr>
            </w:pPr>
            <w:r w:rsidRPr="0019790A">
              <w:rPr>
                <w:rFonts w:cs="Arial"/>
                <w:b/>
                <w:bCs/>
                <w:szCs w:val="22"/>
              </w:rPr>
              <w:t>Орієнтовна вартість проєкту, тис. грн., в тому числі:</w:t>
            </w:r>
          </w:p>
        </w:tc>
        <w:tc>
          <w:tcPr>
            <w:tcW w:w="1254" w:type="dxa"/>
            <w:shd w:val="clear" w:color="auto" w:fill="E6E6E6"/>
            <w:vAlign w:val="center"/>
          </w:tcPr>
          <w:p w14:paraId="7AF67779" w14:textId="77777777" w:rsidR="005342D5" w:rsidRPr="0019790A" w:rsidRDefault="005342D5" w:rsidP="00CD7662">
            <w:pPr>
              <w:jc w:val="center"/>
              <w:rPr>
                <w:rFonts w:cs="Arial"/>
                <w:b/>
                <w:szCs w:val="22"/>
              </w:rPr>
            </w:pPr>
            <w:r w:rsidRPr="0019790A">
              <w:rPr>
                <w:rFonts w:cs="Arial"/>
                <w:b/>
                <w:szCs w:val="22"/>
              </w:rPr>
              <w:t>2025</w:t>
            </w:r>
          </w:p>
        </w:tc>
        <w:tc>
          <w:tcPr>
            <w:tcW w:w="1275" w:type="dxa"/>
            <w:shd w:val="clear" w:color="auto" w:fill="E6E6E6"/>
            <w:vAlign w:val="center"/>
          </w:tcPr>
          <w:p w14:paraId="5C5248DA" w14:textId="77777777" w:rsidR="005342D5" w:rsidRPr="0019790A" w:rsidRDefault="005342D5" w:rsidP="00CD7662">
            <w:pPr>
              <w:jc w:val="center"/>
              <w:rPr>
                <w:rFonts w:cs="Arial"/>
                <w:b/>
                <w:szCs w:val="22"/>
              </w:rPr>
            </w:pPr>
            <w:r w:rsidRPr="0019790A">
              <w:rPr>
                <w:rFonts w:cs="Arial"/>
                <w:b/>
                <w:szCs w:val="22"/>
              </w:rPr>
              <w:t>2026</w:t>
            </w:r>
          </w:p>
        </w:tc>
        <w:tc>
          <w:tcPr>
            <w:tcW w:w="1418" w:type="dxa"/>
            <w:gridSpan w:val="3"/>
            <w:tcBorders>
              <w:bottom w:val="single" w:sz="4" w:space="0" w:color="auto"/>
            </w:tcBorders>
            <w:shd w:val="clear" w:color="auto" w:fill="E6E6E6"/>
            <w:vAlign w:val="center"/>
          </w:tcPr>
          <w:p w14:paraId="5BC1C29D" w14:textId="77777777" w:rsidR="005342D5" w:rsidRPr="0019790A" w:rsidRDefault="005342D5" w:rsidP="00CD7662">
            <w:pPr>
              <w:jc w:val="center"/>
              <w:rPr>
                <w:rFonts w:cs="Arial"/>
                <w:b/>
                <w:szCs w:val="22"/>
              </w:rPr>
            </w:pPr>
            <w:r w:rsidRPr="0019790A">
              <w:rPr>
                <w:rFonts w:cs="Arial"/>
                <w:b/>
                <w:szCs w:val="22"/>
              </w:rPr>
              <w:t>2027</w:t>
            </w:r>
          </w:p>
        </w:tc>
        <w:tc>
          <w:tcPr>
            <w:tcW w:w="1276" w:type="dxa"/>
            <w:shd w:val="clear" w:color="auto" w:fill="E6E6E6"/>
            <w:vAlign w:val="center"/>
          </w:tcPr>
          <w:p w14:paraId="3353DEB2" w14:textId="77777777" w:rsidR="005342D5" w:rsidRPr="0019790A" w:rsidRDefault="005342D5" w:rsidP="00CD7662">
            <w:pPr>
              <w:jc w:val="center"/>
              <w:rPr>
                <w:rFonts w:cs="Arial"/>
                <w:b/>
                <w:szCs w:val="22"/>
              </w:rPr>
            </w:pPr>
            <w:r w:rsidRPr="0019790A">
              <w:rPr>
                <w:rFonts w:cs="Arial"/>
                <w:b/>
                <w:szCs w:val="22"/>
              </w:rPr>
              <w:t>2028</w:t>
            </w:r>
          </w:p>
        </w:tc>
        <w:tc>
          <w:tcPr>
            <w:tcW w:w="1571" w:type="dxa"/>
            <w:gridSpan w:val="2"/>
            <w:shd w:val="clear" w:color="auto" w:fill="E6E6E6"/>
            <w:vAlign w:val="center"/>
          </w:tcPr>
          <w:p w14:paraId="33932E74" w14:textId="77777777" w:rsidR="005342D5" w:rsidRPr="0019790A" w:rsidRDefault="005342D5" w:rsidP="00CD7662">
            <w:pPr>
              <w:jc w:val="center"/>
              <w:rPr>
                <w:rFonts w:cs="Arial"/>
                <w:b/>
                <w:szCs w:val="22"/>
              </w:rPr>
            </w:pPr>
            <w:r w:rsidRPr="0019790A">
              <w:rPr>
                <w:rFonts w:cs="Arial"/>
                <w:b/>
                <w:szCs w:val="22"/>
              </w:rPr>
              <w:t>РАЗОМ</w:t>
            </w:r>
          </w:p>
        </w:tc>
      </w:tr>
      <w:tr w:rsidR="005342D5" w:rsidRPr="0019790A" w14:paraId="1C6EF04D" w14:textId="77777777" w:rsidTr="00CD7662">
        <w:trPr>
          <w:jc w:val="right"/>
        </w:trPr>
        <w:tc>
          <w:tcPr>
            <w:tcW w:w="3425" w:type="dxa"/>
            <w:vMerge/>
            <w:shd w:val="clear" w:color="auto" w:fill="FFFFFF"/>
            <w:vAlign w:val="center"/>
          </w:tcPr>
          <w:p w14:paraId="68A37C50" w14:textId="77777777" w:rsidR="005342D5" w:rsidRPr="0019790A" w:rsidRDefault="005342D5" w:rsidP="0019790A">
            <w:pPr>
              <w:rPr>
                <w:rFonts w:cs="Arial"/>
                <w:b/>
                <w:bCs/>
                <w:szCs w:val="22"/>
              </w:rPr>
            </w:pPr>
          </w:p>
        </w:tc>
        <w:tc>
          <w:tcPr>
            <w:tcW w:w="1254" w:type="dxa"/>
            <w:vAlign w:val="center"/>
          </w:tcPr>
          <w:p w14:paraId="62E50764" w14:textId="77777777" w:rsidR="005342D5" w:rsidRPr="0019790A" w:rsidRDefault="005342D5" w:rsidP="00CD7662">
            <w:pPr>
              <w:jc w:val="center"/>
              <w:rPr>
                <w:rFonts w:cs="Arial"/>
                <w:b/>
                <w:szCs w:val="22"/>
              </w:rPr>
            </w:pPr>
          </w:p>
        </w:tc>
        <w:tc>
          <w:tcPr>
            <w:tcW w:w="1275" w:type="dxa"/>
            <w:shd w:val="clear" w:color="auto" w:fill="FFFFFF"/>
            <w:vAlign w:val="center"/>
          </w:tcPr>
          <w:p w14:paraId="07596A9D" w14:textId="77777777" w:rsidR="005342D5" w:rsidRPr="0019790A" w:rsidRDefault="005342D5" w:rsidP="00CD7662">
            <w:pPr>
              <w:jc w:val="center"/>
              <w:rPr>
                <w:rFonts w:cs="Arial"/>
                <w:b/>
                <w:szCs w:val="22"/>
              </w:rPr>
            </w:pPr>
            <w:r w:rsidRPr="0019790A">
              <w:rPr>
                <w:rFonts w:cs="Arial"/>
                <w:b/>
                <w:szCs w:val="22"/>
              </w:rPr>
              <w:t>100,0</w:t>
            </w:r>
          </w:p>
        </w:tc>
        <w:tc>
          <w:tcPr>
            <w:tcW w:w="1418" w:type="dxa"/>
            <w:gridSpan w:val="3"/>
            <w:shd w:val="clear" w:color="auto" w:fill="auto"/>
            <w:vAlign w:val="center"/>
          </w:tcPr>
          <w:p w14:paraId="0C5BB000" w14:textId="77777777" w:rsidR="005342D5" w:rsidRPr="0019790A" w:rsidRDefault="005342D5" w:rsidP="00CD7662">
            <w:pPr>
              <w:jc w:val="center"/>
              <w:rPr>
                <w:rFonts w:cs="Arial"/>
                <w:b/>
                <w:szCs w:val="22"/>
              </w:rPr>
            </w:pPr>
            <w:r w:rsidRPr="0019790A">
              <w:rPr>
                <w:rFonts w:cs="Arial"/>
                <w:b/>
                <w:szCs w:val="22"/>
              </w:rPr>
              <w:t>100,0</w:t>
            </w:r>
          </w:p>
        </w:tc>
        <w:tc>
          <w:tcPr>
            <w:tcW w:w="1276" w:type="dxa"/>
            <w:shd w:val="clear" w:color="auto" w:fill="FFFFFF"/>
            <w:vAlign w:val="center"/>
          </w:tcPr>
          <w:p w14:paraId="347BB4DC" w14:textId="77777777" w:rsidR="005342D5" w:rsidRPr="0019790A" w:rsidRDefault="005342D5" w:rsidP="00CD7662">
            <w:pPr>
              <w:jc w:val="center"/>
              <w:rPr>
                <w:rFonts w:cs="Arial"/>
                <w:b/>
                <w:szCs w:val="22"/>
              </w:rPr>
            </w:pPr>
            <w:r w:rsidRPr="0019790A">
              <w:rPr>
                <w:rFonts w:cs="Arial"/>
                <w:b/>
                <w:szCs w:val="22"/>
              </w:rPr>
              <w:t>100,0</w:t>
            </w:r>
          </w:p>
        </w:tc>
        <w:tc>
          <w:tcPr>
            <w:tcW w:w="1571" w:type="dxa"/>
            <w:gridSpan w:val="2"/>
            <w:shd w:val="clear" w:color="auto" w:fill="FFFFFF"/>
            <w:vAlign w:val="center"/>
          </w:tcPr>
          <w:p w14:paraId="08D632FE" w14:textId="77777777" w:rsidR="005342D5" w:rsidRPr="0019790A" w:rsidRDefault="005342D5" w:rsidP="00CD7662">
            <w:pPr>
              <w:jc w:val="center"/>
              <w:rPr>
                <w:rFonts w:cs="Arial"/>
                <w:b/>
                <w:szCs w:val="22"/>
              </w:rPr>
            </w:pPr>
            <w:r w:rsidRPr="0019790A">
              <w:rPr>
                <w:rFonts w:cs="Arial"/>
                <w:b/>
                <w:szCs w:val="22"/>
              </w:rPr>
              <w:t>300,0</w:t>
            </w:r>
          </w:p>
        </w:tc>
      </w:tr>
      <w:tr w:rsidR="005342D5" w:rsidRPr="0019790A" w14:paraId="7378873E" w14:textId="77777777" w:rsidTr="00CD7662">
        <w:trPr>
          <w:trHeight w:val="276"/>
          <w:jc w:val="right"/>
        </w:trPr>
        <w:tc>
          <w:tcPr>
            <w:tcW w:w="3425" w:type="dxa"/>
            <w:shd w:val="clear" w:color="auto" w:fill="FFFFFF"/>
            <w:vAlign w:val="center"/>
          </w:tcPr>
          <w:p w14:paraId="67056C06" w14:textId="77777777" w:rsidR="005342D5" w:rsidRPr="0019790A" w:rsidRDefault="005342D5" w:rsidP="0019790A">
            <w:pPr>
              <w:rPr>
                <w:rFonts w:cs="Arial"/>
                <w:b/>
                <w:bCs/>
                <w:szCs w:val="22"/>
              </w:rPr>
            </w:pPr>
            <w:r w:rsidRPr="0019790A">
              <w:rPr>
                <w:rFonts w:cs="Arial"/>
                <w:b/>
                <w:bCs/>
                <w:szCs w:val="22"/>
              </w:rPr>
              <w:t>по джерелах фінансування:</w:t>
            </w:r>
          </w:p>
        </w:tc>
        <w:tc>
          <w:tcPr>
            <w:tcW w:w="6794" w:type="dxa"/>
            <w:gridSpan w:val="8"/>
            <w:vAlign w:val="center"/>
          </w:tcPr>
          <w:p w14:paraId="560E08E8" w14:textId="77777777" w:rsidR="005342D5" w:rsidRPr="0019790A" w:rsidRDefault="005342D5" w:rsidP="00CD7662">
            <w:pPr>
              <w:jc w:val="center"/>
              <w:rPr>
                <w:rFonts w:cs="Arial"/>
                <w:szCs w:val="22"/>
              </w:rPr>
            </w:pPr>
          </w:p>
        </w:tc>
      </w:tr>
      <w:tr w:rsidR="00CD7662" w:rsidRPr="0019790A" w14:paraId="7158A531" w14:textId="6EB6DEA9" w:rsidTr="00CD7662">
        <w:trPr>
          <w:trHeight w:val="240"/>
          <w:jc w:val="right"/>
        </w:trPr>
        <w:tc>
          <w:tcPr>
            <w:tcW w:w="3425" w:type="dxa"/>
            <w:shd w:val="clear" w:color="auto" w:fill="FFFFFF"/>
            <w:vAlign w:val="center"/>
          </w:tcPr>
          <w:p w14:paraId="71E942FE" w14:textId="77777777" w:rsidR="00CD7662" w:rsidRPr="0019790A" w:rsidRDefault="00CD7662" w:rsidP="0019790A">
            <w:pPr>
              <w:rPr>
                <w:rFonts w:cs="Arial"/>
                <w:b/>
                <w:bCs/>
                <w:szCs w:val="22"/>
              </w:rPr>
            </w:pPr>
            <w:r w:rsidRPr="0019790A">
              <w:rPr>
                <w:rFonts w:cs="Arial"/>
                <w:szCs w:val="22"/>
              </w:rPr>
              <w:t>- державний бюджет</w:t>
            </w:r>
          </w:p>
        </w:tc>
        <w:tc>
          <w:tcPr>
            <w:tcW w:w="1258" w:type="dxa"/>
            <w:vAlign w:val="center"/>
          </w:tcPr>
          <w:p w14:paraId="1CBBF2A7" w14:textId="77777777" w:rsidR="00CD7662" w:rsidRPr="0019790A" w:rsidRDefault="00CD7662" w:rsidP="00CD7662">
            <w:pPr>
              <w:jc w:val="center"/>
              <w:rPr>
                <w:rFonts w:cs="Arial"/>
                <w:szCs w:val="22"/>
              </w:rPr>
            </w:pPr>
          </w:p>
        </w:tc>
        <w:tc>
          <w:tcPr>
            <w:tcW w:w="1286" w:type="dxa"/>
            <w:gridSpan w:val="2"/>
            <w:vAlign w:val="center"/>
          </w:tcPr>
          <w:p w14:paraId="5B4491D0" w14:textId="77777777" w:rsidR="00CD7662" w:rsidRPr="0019790A" w:rsidRDefault="00CD7662" w:rsidP="00CD7662">
            <w:pPr>
              <w:jc w:val="center"/>
              <w:rPr>
                <w:rFonts w:cs="Arial"/>
                <w:szCs w:val="22"/>
              </w:rPr>
            </w:pPr>
          </w:p>
        </w:tc>
        <w:tc>
          <w:tcPr>
            <w:tcW w:w="1382" w:type="dxa"/>
            <w:vAlign w:val="center"/>
          </w:tcPr>
          <w:p w14:paraId="03FCC441" w14:textId="77777777" w:rsidR="00CD7662" w:rsidRPr="0019790A" w:rsidRDefault="00CD7662" w:rsidP="00CD7662">
            <w:pPr>
              <w:jc w:val="center"/>
              <w:rPr>
                <w:rFonts w:cs="Arial"/>
                <w:szCs w:val="22"/>
              </w:rPr>
            </w:pPr>
          </w:p>
        </w:tc>
        <w:tc>
          <w:tcPr>
            <w:tcW w:w="1325" w:type="dxa"/>
            <w:gridSpan w:val="3"/>
            <w:vAlign w:val="center"/>
          </w:tcPr>
          <w:p w14:paraId="24F1B79B" w14:textId="77777777" w:rsidR="00CD7662" w:rsidRPr="0019790A" w:rsidRDefault="00CD7662" w:rsidP="00CD7662">
            <w:pPr>
              <w:jc w:val="center"/>
              <w:rPr>
                <w:rFonts w:cs="Arial"/>
                <w:szCs w:val="22"/>
              </w:rPr>
            </w:pPr>
          </w:p>
        </w:tc>
        <w:tc>
          <w:tcPr>
            <w:tcW w:w="1543" w:type="dxa"/>
            <w:vAlign w:val="center"/>
          </w:tcPr>
          <w:p w14:paraId="7888F9AB" w14:textId="77777777" w:rsidR="00CD7662" w:rsidRPr="0019790A" w:rsidRDefault="00CD7662" w:rsidP="00CD7662">
            <w:pPr>
              <w:jc w:val="center"/>
              <w:rPr>
                <w:rFonts w:cs="Arial"/>
                <w:szCs w:val="22"/>
              </w:rPr>
            </w:pPr>
          </w:p>
        </w:tc>
      </w:tr>
      <w:tr w:rsidR="00CD7662" w:rsidRPr="0019790A" w14:paraId="01D0BB3E" w14:textId="1C4162E7" w:rsidTr="00CD7662">
        <w:trPr>
          <w:trHeight w:val="287"/>
          <w:jc w:val="right"/>
        </w:trPr>
        <w:tc>
          <w:tcPr>
            <w:tcW w:w="3425" w:type="dxa"/>
            <w:shd w:val="clear" w:color="auto" w:fill="FFFFFF"/>
            <w:vAlign w:val="center"/>
          </w:tcPr>
          <w:p w14:paraId="70C62F4D" w14:textId="77777777" w:rsidR="00CD7662" w:rsidRPr="0019790A" w:rsidRDefault="00CD7662" w:rsidP="0019790A">
            <w:pPr>
              <w:rPr>
                <w:rFonts w:cs="Arial"/>
                <w:szCs w:val="22"/>
              </w:rPr>
            </w:pPr>
            <w:r w:rsidRPr="0019790A">
              <w:rPr>
                <w:rFonts w:cs="Arial"/>
                <w:szCs w:val="22"/>
              </w:rPr>
              <w:t>- обласний бюджет</w:t>
            </w:r>
          </w:p>
        </w:tc>
        <w:tc>
          <w:tcPr>
            <w:tcW w:w="1258" w:type="dxa"/>
            <w:vAlign w:val="center"/>
          </w:tcPr>
          <w:p w14:paraId="7E118964" w14:textId="77777777" w:rsidR="00CD7662" w:rsidRPr="0019790A" w:rsidRDefault="00CD7662" w:rsidP="00CD7662">
            <w:pPr>
              <w:jc w:val="center"/>
              <w:rPr>
                <w:rFonts w:cs="Arial"/>
                <w:szCs w:val="22"/>
              </w:rPr>
            </w:pPr>
          </w:p>
        </w:tc>
        <w:tc>
          <w:tcPr>
            <w:tcW w:w="1286" w:type="dxa"/>
            <w:gridSpan w:val="2"/>
            <w:vAlign w:val="center"/>
          </w:tcPr>
          <w:p w14:paraId="64426C07" w14:textId="77777777" w:rsidR="00CD7662" w:rsidRPr="0019790A" w:rsidRDefault="00CD7662" w:rsidP="00CD7662">
            <w:pPr>
              <w:jc w:val="center"/>
              <w:rPr>
                <w:rFonts w:cs="Arial"/>
                <w:szCs w:val="22"/>
              </w:rPr>
            </w:pPr>
          </w:p>
        </w:tc>
        <w:tc>
          <w:tcPr>
            <w:tcW w:w="1382" w:type="dxa"/>
            <w:vAlign w:val="center"/>
          </w:tcPr>
          <w:p w14:paraId="74508A4B" w14:textId="77777777" w:rsidR="00CD7662" w:rsidRPr="0019790A" w:rsidRDefault="00CD7662" w:rsidP="00CD7662">
            <w:pPr>
              <w:jc w:val="center"/>
              <w:rPr>
                <w:rFonts w:cs="Arial"/>
                <w:szCs w:val="22"/>
              </w:rPr>
            </w:pPr>
          </w:p>
        </w:tc>
        <w:tc>
          <w:tcPr>
            <w:tcW w:w="1325" w:type="dxa"/>
            <w:gridSpan w:val="3"/>
            <w:vAlign w:val="center"/>
          </w:tcPr>
          <w:p w14:paraId="15A27759" w14:textId="77777777" w:rsidR="00CD7662" w:rsidRPr="0019790A" w:rsidRDefault="00CD7662" w:rsidP="00CD7662">
            <w:pPr>
              <w:jc w:val="center"/>
              <w:rPr>
                <w:rFonts w:cs="Arial"/>
                <w:szCs w:val="22"/>
              </w:rPr>
            </w:pPr>
          </w:p>
        </w:tc>
        <w:tc>
          <w:tcPr>
            <w:tcW w:w="1543" w:type="dxa"/>
            <w:vAlign w:val="center"/>
          </w:tcPr>
          <w:p w14:paraId="137C04E0" w14:textId="77777777" w:rsidR="00CD7662" w:rsidRPr="0019790A" w:rsidRDefault="00CD7662" w:rsidP="00CD7662">
            <w:pPr>
              <w:jc w:val="center"/>
              <w:rPr>
                <w:rFonts w:cs="Arial"/>
                <w:szCs w:val="22"/>
              </w:rPr>
            </w:pPr>
          </w:p>
        </w:tc>
      </w:tr>
      <w:tr w:rsidR="00CD7662" w:rsidRPr="0019790A" w14:paraId="32C7731E" w14:textId="45413230" w:rsidTr="00CD7662">
        <w:trPr>
          <w:trHeight w:val="275"/>
          <w:jc w:val="right"/>
        </w:trPr>
        <w:tc>
          <w:tcPr>
            <w:tcW w:w="3425" w:type="dxa"/>
            <w:shd w:val="clear" w:color="auto" w:fill="FFFFFF"/>
            <w:vAlign w:val="center"/>
          </w:tcPr>
          <w:p w14:paraId="3FABDB04" w14:textId="77777777" w:rsidR="00CD7662" w:rsidRPr="0019790A" w:rsidRDefault="00CD7662" w:rsidP="0019790A">
            <w:pPr>
              <w:rPr>
                <w:rFonts w:cs="Arial"/>
                <w:szCs w:val="22"/>
              </w:rPr>
            </w:pPr>
            <w:r w:rsidRPr="0019790A">
              <w:rPr>
                <w:rFonts w:cs="Arial"/>
                <w:szCs w:val="22"/>
              </w:rPr>
              <w:t>- бюджет Жмеринської МТГ</w:t>
            </w:r>
          </w:p>
        </w:tc>
        <w:tc>
          <w:tcPr>
            <w:tcW w:w="1258" w:type="dxa"/>
            <w:vAlign w:val="center"/>
          </w:tcPr>
          <w:p w14:paraId="3EFE09B6" w14:textId="3EDC640D" w:rsidR="00CD7662" w:rsidRPr="0019790A" w:rsidRDefault="00CD7662" w:rsidP="00CD7662">
            <w:pPr>
              <w:jc w:val="center"/>
              <w:rPr>
                <w:rFonts w:cs="Arial"/>
                <w:b/>
                <w:szCs w:val="22"/>
              </w:rPr>
            </w:pPr>
          </w:p>
        </w:tc>
        <w:tc>
          <w:tcPr>
            <w:tcW w:w="1286" w:type="dxa"/>
            <w:gridSpan w:val="2"/>
            <w:vAlign w:val="center"/>
          </w:tcPr>
          <w:p w14:paraId="62CE6FFA" w14:textId="69FFBA05" w:rsidR="00CD7662" w:rsidRPr="0019790A" w:rsidRDefault="00CD7662" w:rsidP="00CD7662">
            <w:pPr>
              <w:ind w:left="26"/>
              <w:jc w:val="center"/>
              <w:rPr>
                <w:rFonts w:cs="Arial"/>
                <w:b/>
                <w:szCs w:val="22"/>
              </w:rPr>
            </w:pPr>
            <w:r w:rsidRPr="0019790A">
              <w:rPr>
                <w:rFonts w:cs="Arial"/>
                <w:b/>
                <w:szCs w:val="22"/>
              </w:rPr>
              <w:t>100,0</w:t>
            </w:r>
          </w:p>
        </w:tc>
        <w:tc>
          <w:tcPr>
            <w:tcW w:w="1382" w:type="dxa"/>
            <w:vAlign w:val="center"/>
          </w:tcPr>
          <w:p w14:paraId="6C844E5E" w14:textId="2953C617" w:rsidR="00CD7662" w:rsidRPr="0019790A" w:rsidRDefault="00CD7662" w:rsidP="00CD7662">
            <w:pPr>
              <w:ind w:left="110"/>
              <w:jc w:val="center"/>
              <w:rPr>
                <w:rFonts w:cs="Arial"/>
                <w:b/>
                <w:szCs w:val="22"/>
              </w:rPr>
            </w:pPr>
            <w:r w:rsidRPr="0019790A">
              <w:rPr>
                <w:rFonts w:cs="Arial"/>
                <w:b/>
                <w:szCs w:val="22"/>
              </w:rPr>
              <w:t>100,0</w:t>
            </w:r>
          </w:p>
        </w:tc>
        <w:tc>
          <w:tcPr>
            <w:tcW w:w="1325" w:type="dxa"/>
            <w:gridSpan w:val="3"/>
            <w:vAlign w:val="center"/>
          </w:tcPr>
          <w:p w14:paraId="3B60272D" w14:textId="46DA9C55" w:rsidR="00CD7662" w:rsidRPr="0019790A" w:rsidRDefault="00CD7662" w:rsidP="00CD7662">
            <w:pPr>
              <w:ind w:left="242"/>
              <w:jc w:val="center"/>
              <w:rPr>
                <w:rFonts w:cs="Arial"/>
                <w:b/>
                <w:szCs w:val="22"/>
              </w:rPr>
            </w:pPr>
            <w:r w:rsidRPr="0019790A">
              <w:rPr>
                <w:rFonts w:cs="Arial"/>
                <w:b/>
                <w:szCs w:val="22"/>
              </w:rPr>
              <w:t>100,0</w:t>
            </w:r>
          </w:p>
        </w:tc>
        <w:tc>
          <w:tcPr>
            <w:tcW w:w="1543" w:type="dxa"/>
            <w:vAlign w:val="center"/>
          </w:tcPr>
          <w:p w14:paraId="712F3247" w14:textId="5A45E7CD" w:rsidR="00CD7662" w:rsidRPr="0019790A" w:rsidRDefault="00CD7662" w:rsidP="00CD7662">
            <w:pPr>
              <w:ind w:left="441"/>
              <w:jc w:val="center"/>
              <w:rPr>
                <w:rFonts w:cs="Arial"/>
                <w:b/>
                <w:szCs w:val="22"/>
              </w:rPr>
            </w:pPr>
            <w:r w:rsidRPr="0019790A">
              <w:rPr>
                <w:rFonts w:cs="Arial"/>
                <w:b/>
                <w:szCs w:val="22"/>
              </w:rPr>
              <w:t>300,0</w:t>
            </w:r>
          </w:p>
        </w:tc>
      </w:tr>
      <w:tr w:rsidR="00CD7662" w:rsidRPr="0019790A" w14:paraId="3C37D2B5" w14:textId="65A71661" w:rsidTr="00CD7662">
        <w:trPr>
          <w:trHeight w:val="226"/>
          <w:jc w:val="right"/>
        </w:trPr>
        <w:tc>
          <w:tcPr>
            <w:tcW w:w="3425" w:type="dxa"/>
            <w:shd w:val="clear" w:color="auto" w:fill="FFFFFF"/>
            <w:vAlign w:val="center"/>
          </w:tcPr>
          <w:p w14:paraId="2898243C" w14:textId="77777777" w:rsidR="00CD7662" w:rsidRPr="0019790A" w:rsidRDefault="00CD7662" w:rsidP="0019790A">
            <w:pPr>
              <w:rPr>
                <w:rFonts w:cs="Arial"/>
                <w:szCs w:val="22"/>
              </w:rPr>
            </w:pPr>
            <w:r w:rsidRPr="0019790A">
              <w:rPr>
                <w:rFonts w:cs="Arial"/>
                <w:szCs w:val="22"/>
              </w:rPr>
              <w:t>- інші джерела фінансування</w:t>
            </w:r>
          </w:p>
        </w:tc>
        <w:tc>
          <w:tcPr>
            <w:tcW w:w="1258" w:type="dxa"/>
            <w:vAlign w:val="center"/>
          </w:tcPr>
          <w:p w14:paraId="6FB2DF92" w14:textId="77777777" w:rsidR="00CD7662" w:rsidRPr="0019790A" w:rsidRDefault="00CD7662" w:rsidP="00CD7662">
            <w:pPr>
              <w:jc w:val="center"/>
              <w:rPr>
                <w:rFonts w:cs="Arial"/>
                <w:szCs w:val="22"/>
              </w:rPr>
            </w:pPr>
          </w:p>
        </w:tc>
        <w:tc>
          <w:tcPr>
            <w:tcW w:w="1286" w:type="dxa"/>
            <w:gridSpan w:val="2"/>
            <w:vAlign w:val="center"/>
          </w:tcPr>
          <w:p w14:paraId="7EE1AEA0" w14:textId="77777777" w:rsidR="00CD7662" w:rsidRPr="0019790A" w:rsidRDefault="00CD7662" w:rsidP="00CD7662">
            <w:pPr>
              <w:jc w:val="center"/>
              <w:rPr>
                <w:rFonts w:cs="Arial"/>
                <w:szCs w:val="22"/>
              </w:rPr>
            </w:pPr>
          </w:p>
        </w:tc>
        <w:tc>
          <w:tcPr>
            <w:tcW w:w="1382" w:type="dxa"/>
            <w:vAlign w:val="center"/>
          </w:tcPr>
          <w:p w14:paraId="6CDD7F0D" w14:textId="77777777" w:rsidR="00CD7662" w:rsidRPr="0019790A" w:rsidRDefault="00CD7662" w:rsidP="00CD7662">
            <w:pPr>
              <w:jc w:val="center"/>
              <w:rPr>
                <w:rFonts w:cs="Arial"/>
                <w:szCs w:val="22"/>
              </w:rPr>
            </w:pPr>
          </w:p>
        </w:tc>
        <w:tc>
          <w:tcPr>
            <w:tcW w:w="1325" w:type="dxa"/>
            <w:gridSpan w:val="3"/>
            <w:vAlign w:val="center"/>
          </w:tcPr>
          <w:p w14:paraId="1F6A2845" w14:textId="77777777" w:rsidR="00CD7662" w:rsidRPr="0019790A" w:rsidRDefault="00CD7662" w:rsidP="00CD7662">
            <w:pPr>
              <w:jc w:val="center"/>
              <w:rPr>
                <w:rFonts w:cs="Arial"/>
                <w:szCs w:val="22"/>
              </w:rPr>
            </w:pPr>
          </w:p>
        </w:tc>
        <w:tc>
          <w:tcPr>
            <w:tcW w:w="1543" w:type="dxa"/>
            <w:vAlign w:val="center"/>
          </w:tcPr>
          <w:p w14:paraId="561261AD" w14:textId="77777777" w:rsidR="00CD7662" w:rsidRPr="0019790A" w:rsidRDefault="00CD7662" w:rsidP="00CD7662">
            <w:pPr>
              <w:jc w:val="center"/>
              <w:rPr>
                <w:rFonts w:cs="Arial"/>
                <w:szCs w:val="22"/>
              </w:rPr>
            </w:pPr>
          </w:p>
        </w:tc>
      </w:tr>
      <w:tr w:rsidR="005342D5" w:rsidRPr="0019790A" w14:paraId="31D20B2D" w14:textId="77777777" w:rsidTr="00CD7662">
        <w:trPr>
          <w:jc w:val="right"/>
        </w:trPr>
        <w:tc>
          <w:tcPr>
            <w:tcW w:w="3425" w:type="dxa"/>
            <w:shd w:val="clear" w:color="auto" w:fill="FFFFFF"/>
            <w:vAlign w:val="center"/>
          </w:tcPr>
          <w:p w14:paraId="449B4E88" w14:textId="77777777" w:rsidR="005342D5" w:rsidRPr="0019790A" w:rsidRDefault="005342D5" w:rsidP="0019790A">
            <w:pPr>
              <w:rPr>
                <w:rFonts w:cs="Arial"/>
                <w:b/>
                <w:bCs/>
                <w:szCs w:val="22"/>
              </w:rPr>
            </w:pPr>
            <w:r w:rsidRPr="0019790A">
              <w:rPr>
                <w:rFonts w:cs="Arial"/>
                <w:b/>
                <w:szCs w:val="22"/>
              </w:rPr>
              <w:t>Відповідальний виконавець проєкту:</w:t>
            </w:r>
          </w:p>
        </w:tc>
        <w:tc>
          <w:tcPr>
            <w:tcW w:w="6794" w:type="dxa"/>
            <w:gridSpan w:val="8"/>
            <w:vAlign w:val="center"/>
          </w:tcPr>
          <w:p w14:paraId="1F343B42" w14:textId="61638387" w:rsidR="005342D5" w:rsidRPr="0019790A" w:rsidRDefault="005342D5" w:rsidP="00CD7662">
            <w:pPr>
              <w:rPr>
                <w:rFonts w:cs="Arial"/>
                <w:szCs w:val="22"/>
              </w:rPr>
            </w:pPr>
            <w:r w:rsidRPr="0019790A">
              <w:rPr>
                <w:rFonts w:cs="Arial"/>
                <w:szCs w:val="22"/>
              </w:rPr>
              <w:t xml:space="preserve">Відділ молоді та спорту Жмеринської </w:t>
            </w:r>
            <w:r w:rsidR="00CD7662" w:rsidRPr="0019790A">
              <w:rPr>
                <w:rFonts w:cs="Arial"/>
                <w:szCs w:val="22"/>
              </w:rPr>
              <w:t>міської</w:t>
            </w:r>
            <w:r w:rsidRPr="0019790A">
              <w:rPr>
                <w:rFonts w:cs="Arial"/>
                <w:szCs w:val="22"/>
              </w:rPr>
              <w:t xml:space="preserve"> ради, управління житлово-комунального господарства Жмеринської міської ради</w:t>
            </w:r>
          </w:p>
        </w:tc>
      </w:tr>
      <w:tr w:rsidR="005342D5" w:rsidRPr="0019790A" w14:paraId="75B5B8A3" w14:textId="77777777" w:rsidTr="00CD7662">
        <w:trPr>
          <w:jc w:val="right"/>
        </w:trPr>
        <w:tc>
          <w:tcPr>
            <w:tcW w:w="3425" w:type="dxa"/>
            <w:shd w:val="clear" w:color="auto" w:fill="FFFFFF"/>
            <w:vAlign w:val="center"/>
          </w:tcPr>
          <w:p w14:paraId="620379AA" w14:textId="77777777" w:rsidR="005342D5" w:rsidRPr="0019790A" w:rsidRDefault="005342D5" w:rsidP="0019790A">
            <w:pPr>
              <w:rPr>
                <w:rFonts w:cs="Arial"/>
                <w:b/>
                <w:bCs/>
                <w:szCs w:val="22"/>
              </w:rPr>
            </w:pPr>
            <w:r w:rsidRPr="0019790A">
              <w:rPr>
                <w:rFonts w:cs="Arial"/>
                <w:b/>
                <w:bCs/>
                <w:szCs w:val="22"/>
              </w:rPr>
              <w:t>Інше:</w:t>
            </w:r>
          </w:p>
        </w:tc>
        <w:tc>
          <w:tcPr>
            <w:tcW w:w="6794" w:type="dxa"/>
            <w:gridSpan w:val="8"/>
            <w:vAlign w:val="center"/>
          </w:tcPr>
          <w:p w14:paraId="3A5F5110" w14:textId="77777777" w:rsidR="005342D5" w:rsidRPr="0019790A" w:rsidRDefault="005342D5" w:rsidP="00CD7662">
            <w:pPr>
              <w:rPr>
                <w:rFonts w:cs="Arial"/>
                <w:szCs w:val="22"/>
              </w:rPr>
            </w:pPr>
          </w:p>
        </w:tc>
      </w:tr>
    </w:tbl>
    <w:p w14:paraId="57793FA6" w14:textId="77777777" w:rsidR="005342D5" w:rsidRPr="0019790A" w:rsidRDefault="005342D5" w:rsidP="0019790A">
      <w:pPr>
        <w:rPr>
          <w:rFonts w:cs="Arial"/>
          <w:szCs w:val="22"/>
        </w:rPr>
      </w:pPr>
    </w:p>
    <w:p w14:paraId="42F8F30C" w14:textId="77777777" w:rsidR="005342D5" w:rsidRPr="0019790A" w:rsidRDefault="005342D5" w:rsidP="0019790A">
      <w:pPr>
        <w:jc w:val="center"/>
        <w:rPr>
          <w:rFonts w:cs="Arial"/>
          <w:b/>
          <w:szCs w:val="22"/>
        </w:rPr>
      </w:pPr>
      <w:r w:rsidRPr="0019790A">
        <w:rPr>
          <w:rFonts w:cs="Arial"/>
          <w:b/>
          <w:szCs w:val="22"/>
        </w:rPr>
        <w:t>Форма технічного завдання на проєкт місцевого розвитку</w:t>
      </w:r>
    </w:p>
    <w:p w14:paraId="6390E2DB" w14:textId="77777777" w:rsidR="005342D5" w:rsidRPr="0019790A" w:rsidRDefault="005342D5" w:rsidP="0019790A">
      <w:pPr>
        <w:jc w:val="center"/>
        <w:rPr>
          <w:rFonts w:cs="Arial"/>
          <w:b/>
          <w:szCs w:val="22"/>
        </w:rPr>
      </w:pPr>
      <w:r w:rsidRPr="0019790A">
        <w:rPr>
          <w:rFonts w:cs="Arial"/>
          <w:b/>
          <w:szCs w:val="22"/>
        </w:rPr>
        <w:t>до Плану заходів з реалізації Стратегії</w:t>
      </w:r>
    </w:p>
    <w:p w14:paraId="485BE10C" w14:textId="77777777" w:rsidR="005342D5" w:rsidRPr="0019790A" w:rsidRDefault="005342D5"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2"/>
        <w:gridCol w:w="1257"/>
        <w:gridCol w:w="1274"/>
        <w:gridCol w:w="11"/>
        <w:gridCol w:w="1410"/>
        <w:gridCol w:w="1275"/>
        <w:gridCol w:w="10"/>
        <w:gridCol w:w="1560"/>
      </w:tblGrid>
      <w:tr w:rsidR="005342D5" w:rsidRPr="0019790A" w14:paraId="2E41616A" w14:textId="77777777" w:rsidTr="00CF3AAE">
        <w:trPr>
          <w:jc w:val="right"/>
        </w:trPr>
        <w:tc>
          <w:tcPr>
            <w:tcW w:w="3425" w:type="dxa"/>
            <w:vAlign w:val="center"/>
          </w:tcPr>
          <w:p w14:paraId="07D55C02" w14:textId="77777777" w:rsidR="005342D5" w:rsidRPr="0019790A" w:rsidRDefault="005342D5" w:rsidP="0019790A">
            <w:pPr>
              <w:rPr>
                <w:rFonts w:cs="Arial"/>
                <w:b/>
                <w:bCs/>
                <w:szCs w:val="22"/>
              </w:rPr>
            </w:pPr>
            <w:r w:rsidRPr="0019790A">
              <w:rPr>
                <w:rFonts w:cs="Arial"/>
                <w:b/>
                <w:bCs/>
                <w:szCs w:val="22"/>
              </w:rPr>
              <w:t>Назва проєкту:</w:t>
            </w:r>
          </w:p>
        </w:tc>
        <w:tc>
          <w:tcPr>
            <w:tcW w:w="6794" w:type="dxa"/>
            <w:gridSpan w:val="7"/>
          </w:tcPr>
          <w:p w14:paraId="1F37799E" w14:textId="77777777" w:rsidR="005342D5" w:rsidRPr="00CD7662" w:rsidRDefault="005342D5" w:rsidP="0019790A">
            <w:pPr>
              <w:rPr>
                <w:rFonts w:cs="Arial"/>
                <w:b/>
                <w:szCs w:val="22"/>
              </w:rPr>
            </w:pPr>
            <w:r w:rsidRPr="00CD7662">
              <w:rPr>
                <w:rFonts w:cs="Arial"/>
                <w:b/>
                <w:szCs w:val="22"/>
              </w:rPr>
              <w:t>«Простір можливостей: Молодіжний центр громади»</w:t>
            </w:r>
          </w:p>
        </w:tc>
      </w:tr>
      <w:tr w:rsidR="005342D5" w:rsidRPr="0019790A" w14:paraId="55FA1966" w14:textId="77777777" w:rsidTr="00CD7662">
        <w:trPr>
          <w:jc w:val="right"/>
        </w:trPr>
        <w:tc>
          <w:tcPr>
            <w:tcW w:w="3425" w:type="dxa"/>
          </w:tcPr>
          <w:p w14:paraId="1D42F022" w14:textId="77777777" w:rsidR="005342D5" w:rsidRPr="0019790A" w:rsidRDefault="005342D5" w:rsidP="0019790A">
            <w:pPr>
              <w:rPr>
                <w:rFonts w:cs="Arial"/>
                <w:szCs w:val="22"/>
              </w:rPr>
            </w:pPr>
            <w:r w:rsidRPr="0019790A">
              <w:rPr>
                <w:rFonts w:cs="Arial"/>
                <w:b/>
                <w:bCs/>
                <w:szCs w:val="22"/>
              </w:rPr>
              <w:t>Ваші контакти</w:t>
            </w:r>
            <w:r w:rsidRPr="0019790A">
              <w:rPr>
                <w:rFonts w:cs="Arial"/>
                <w:szCs w:val="22"/>
              </w:rPr>
              <w:t>:</w:t>
            </w:r>
          </w:p>
          <w:p w14:paraId="2C030CEA" w14:textId="77777777" w:rsidR="005342D5" w:rsidRPr="0019790A" w:rsidRDefault="005342D5" w:rsidP="0019790A">
            <w:pPr>
              <w:rPr>
                <w:rFonts w:cs="Arial"/>
                <w:b/>
                <w:bCs/>
                <w:szCs w:val="22"/>
              </w:rPr>
            </w:pPr>
            <w:r w:rsidRPr="0019790A">
              <w:rPr>
                <w:rFonts w:cs="Arial"/>
                <w:szCs w:val="22"/>
              </w:rPr>
              <w:t>Назва установи, організації, підприємства</w:t>
            </w:r>
          </w:p>
        </w:tc>
        <w:tc>
          <w:tcPr>
            <w:tcW w:w="6794" w:type="dxa"/>
            <w:gridSpan w:val="7"/>
            <w:vAlign w:val="center"/>
          </w:tcPr>
          <w:p w14:paraId="0C132834" w14:textId="77777777" w:rsidR="005342D5" w:rsidRPr="0019790A" w:rsidRDefault="005342D5" w:rsidP="00CD7662">
            <w:pPr>
              <w:tabs>
                <w:tab w:val="left" w:pos="219"/>
              </w:tabs>
              <w:jc w:val="both"/>
              <w:rPr>
                <w:rFonts w:cs="Arial"/>
                <w:szCs w:val="22"/>
              </w:rPr>
            </w:pPr>
            <w:r w:rsidRPr="0019790A">
              <w:rPr>
                <w:rFonts w:cs="Arial"/>
                <w:szCs w:val="22"/>
              </w:rPr>
              <w:t>Відділ молоді та спорту Жмеринської міської ради</w:t>
            </w:r>
          </w:p>
        </w:tc>
      </w:tr>
      <w:tr w:rsidR="005342D5" w:rsidRPr="0019790A" w14:paraId="463A5F03" w14:textId="77777777" w:rsidTr="00CD7662">
        <w:trPr>
          <w:jc w:val="right"/>
        </w:trPr>
        <w:tc>
          <w:tcPr>
            <w:tcW w:w="3425" w:type="dxa"/>
          </w:tcPr>
          <w:p w14:paraId="76AD34F8" w14:textId="77777777" w:rsidR="005342D5" w:rsidRPr="0019790A" w:rsidRDefault="005342D5" w:rsidP="0019790A">
            <w:pPr>
              <w:rPr>
                <w:rFonts w:cs="Arial"/>
                <w:b/>
                <w:bCs/>
                <w:szCs w:val="22"/>
              </w:rPr>
            </w:pPr>
            <w:r w:rsidRPr="0019790A">
              <w:rPr>
                <w:rFonts w:cs="Arial"/>
                <w:szCs w:val="22"/>
              </w:rPr>
              <w:t>Прізвище Ім’я По-батькові:</w:t>
            </w:r>
          </w:p>
        </w:tc>
        <w:tc>
          <w:tcPr>
            <w:tcW w:w="6794" w:type="dxa"/>
            <w:gridSpan w:val="7"/>
            <w:vAlign w:val="center"/>
          </w:tcPr>
          <w:p w14:paraId="6DD602E8" w14:textId="77777777" w:rsidR="005342D5" w:rsidRPr="0019790A" w:rsidRDefault="005342D5" w:rsidP="00CD7662">
            <w:pPr>
              <w:tabs>
                <w:tab w:val="left" w:pos="219"/>
              </w:tabs>
              <w:jc w:val="both"/>
              <w:rPr>
                <w:rFonts w:cs="Arial"/>
                <w:szCs w:val="22"/>
              </w:rPr>
            </w:pPr>
            <w:r w:rsidRPr="0019790A">
              <w:rPr>
                <w:rFonts w:cs="Arial"/>
                <w:szCs w:val="22"/>
              </w:rPr>
              <w:t>Ковальська Олена Віталіївна</w:t>
            </w:r>
          </w:p>
        </w:tc>
      </w:tr>
      <w:tr w:rsidR="005342D5" w:rsidRPr="0019790A" w14:paraId="7D6968BF" w14:textId="77777777" w:rsidTr="00CD7662">
        <w:trPr>
          <w:jc w:val="right"/>
        </w:trPr>
        <w:tc>
          <w:tcPr>
            <w:tcW w:w="3425" w:type="dxa"/>
          </w:tcPr>
          <w:p w14:paraId="485BE31C" w14:textId="77777777" w:rsidR="005342D5" w:rsidRPr="0019790A" w:rsidRDefault="005342D5" w:rsidP="0019790A">
            <w:pPr>
              <w:rPr>
                <w:rFonts w:cs="Arial"/>
                <w:b/>
                <w:bCs/>
                <w:szCs w:val="22"/>
              </w:rPr>
            </w:pPr>
            <w:r w:rsidRPr="0019790A">
              <w:rPr>
                <w:rFonts w:cs="Arial"/>
                <w:szCs w:val="22"/>
              </w:rPr>
              <w:t>Телефон (мобільний):</w:t>
            </w:r>
          </w:p>
        </w:tc>
        <w:tc>
          <w:tcPr>
            <w:tcW w:w="6794" w:type="dxa"/>
            <w:gridSpan w:val="7"/>
            <w:vAlign w:val="center"/>
          </w:tcPr>
          <w:p w14:paraId="08248E07" w14:textId="77777777" w:rsidR="005342D5" w:rsidRPr="0019790A" w:rsidRDefault="005342D5" w:rsidP="00CD7662">
            <w:pPr>
              <w:tabs>
                <w:tab w:val="left" w:pos="219"/>
              </w:tabs>
              <w:jc w:val="both"/>
              <w:rPr>
                <w:rFonts w:cs="Arial"/>
                <w:szCs w:val="22"/>
              </w:rPr>
            </w:pPr>
            <w:r w:rsidRPr="0019790A">
              <w:rPr>
                <w:rFonts w:cs="Arial"/>
                <w:szCs w:val="22"/>
              </w:rPr>
              <w:t>096-068-94-79</w:t>
            </w:r>
          </w:p>
        </w:tc>
      </w:tr>
      <w:tr w:rsidR="005342D5" w:rsidRPr="0019790A" w14:paraId="6F152463" w14:textId="77777777" w:rsidTr="00CD7662">
        <w:trPr>
          <w:jc w:val="right"/>
        </w:trPr>
        <w:tc>
          <w:tcPr>
            <w:tcW w:w="3425" w:type="dxa"/>
          </w:tcPr>
          <w:p w14:paraId="4FE46F28" w14:textId="77777777" w:rsidR="005342D5" w:rsidRPr="0019790A" w:rsidRDefault="005342D5" w:rsidP="0019790A">
            <w:pPr>
              <w:rPr>
                <w:rFonts w:cs="Arial"/>
                <w:b/>
                <w:bCs/>
                <w:szCs w:val="22"/>
              </w:rPr>
            </w:pPr>
            <w:r w:rsidRPr="0019790A">
              <w:rPr>
                <w:rFonts w:cs="Arial"/>
                <w:szCs w:val="22"/>
              </w:rPr>
              <w:t>Електронна адреса:</w:t>
            </w:r>
          </w:p>
        </w:tc>
        <w:tc>
          <w:tcPr>
            <w:tcW w:w="6794" w:type="dxa"/>
            <w:gridSpan w:val="7"/>
            <w:vAlign w:val="center"/>
          </w:tcPr>
          <w:p w14:paraId="09893078" w14:textId="77777777" w:rsidR="005342D5" w:rsidRPr="0019790A" w:rsidRDefault="00D85FFD" w:rsidP="00CD7662">
            <w:pPr>
              <w:tabs>
                <w:tab w:val="left" w:pos="219"/>
              </w:tabs>
              <w:jc w:val="both"/>
              <w:rPr>
                <w:rFonts w:cs="Arial"/>
                <w:szCs w:val="22"/>
              </w:rPr>
            </w:pPr>
            <w:hyperlink r:id="rId167" w:history="1">
              <w:r w:rsidR="005342D5" w:rsidRPr="0019790A">
                <w:rPr>
                  <w:rStyle w:val="af0"/>
                  <w:rFonts w:cs="Arial"/>
                  <w:b/>
                  <w:bCs/>
                  <w:noProof w:val="0"/>
                  <w:sz w:val="22"/>
                  <w:szCs w:val="22"/>
                </w:rPr>
                <w:t>ms@zhmr.gov.ua</w:t>
              </w:r>
            </w:hyperlink>
          </w:p>
        </w:tc>
      </w:tr>
      <w:tr w:rsidR="005342D5" w:rsidRPr="0019790A" w14:paraId="30350F7C" w14:textId="77777777" w:rsidTr="001A5BC7">
        <w:trPr>
          <w:trHeight w:val="1319"/>
          <w:jc w:val="right"/>
        </w:trPr>
        <w:tc>
          <w:tcPr>
            <w:tcW w:w="3425" w:type="dxa"/>
            <w:vAlign w:val="center"/>
          </w:tcPr>
          <w:p w14:paraId="1921DE08" w14:textId="77777777" w:rsidR="005342D5" w:rsidRPr="0019790A" w:rsidRDefault="005342D5" w:rsidP="0019790A">
            <w:pPr>
              <w:rPr>
                <w:rFonts w:cs="Arial"/>
                <w:b/>
                <w:bCs/>
                <w:szCs w:val="22"/>
              </w:rPr>
            </w:pPr>
            <w:r w:rsidRPr="0019790A">
              <w:rPr>
                <w:rFonts w:cs="Arial"/>
                <w:b/>
                <w:bCs/>
                <w:szCs w:val="22"/>
              </w:rPr>
              <w:t>Номер і назва завдання з Стратегії розвитку Жмеринської міської територіальної громади,  якому відповідає проєкт:</w:t>
            </w:r>
          </w:p>
        </w:tc>
        <w:tc>
          <w:tcPr>
            <w:tcW w:w="6794" w:type="dxa"/>
            <w:gridSpan w:val="7"/>
            <w:vAlign w:val="center"/>
          </w:tcPr>
          <w:p w14:paraId="434F9A52" w14:textId="77777777" w:rsidR="005342D5" w:rsidRPr="0019790A" w:rsidRDefault="005342D5" w:rsidP="00CD7662">
            <w:pPr>
              <w:tabs>
                <w:tab w:val="left" w:pos="219"/>
              </w:tabs>
              <w:jc w:val="both"/>
              <w:rPr>
                <w:rFonts w:cs="Arial"/>
                <w:b/>
                <w:szCs w:val="22"/>
              </w:rPr>
            </w:pPr>
            <w:r w:rsidRPr="0019790A">
              <w:rPr>
                <w:rFonts w:cs="Arial"/>
                <w:b/>
                <w:szCs w:val="22"/>
              </w:rPr>
              <w:t>С.3.5.3. Відкриття молодіжних центрів та установ, що працюють з молоддю.</w:t>
            </w:r>
          </w:p>
          <w:p w14:paraId="5FE00538" w14:textId="77777777" w:rsidR="005342D5" w:rsidRPr="0019790A" w:rsidRDefault="005342D5" w:rsidP="00CD7662">
            <w:pPr>
              <w:tabs>
                <w:tab w:val="left" w:pos="219"/>
              </w:tabs>
              <w:jc w:val="both"/>
              <w:rPr>
                <w:rFonts w:cs="Arial"/>
                <w:b/>
                <w:szCs w:val="22"/>
              </w:rPr>
            </w:pPr>
          </w:p>
        </w:tc>
      </w:tr>
      <w:tr w:rsidR="005342D5" w:rsidRPr="0019790A" w14:paraId="00018069" w14:textId="77777777" w:rsidTr="00CD7662">
        <w:trPr>
          <w:trHeight w:val="673"/>
          <w:jc w:val="right"/>
        </w:trPr>
        <w:tc>
          <w:tcPr>
            <w:tcW w:w="3425" w:type="dxa"/>
            <w:vAlign w:val="center"/>
          </w:tcPr>
          <w:p w14:paraId="7E9FCF3A" w14:textId="77777777" w:rsidR="005342D5" w:rsidRPr="0019790A" w:rsidRDefault="005342D5" w:rsidP="0019790A">
            <w:pPr>
              <w:rPr>
                <w:rFonts w:cs="Arial"/>
                <w:b/>
                <w:bCs/>
                <w:szCs w:val="22"/>
              </w:rPr>
            </w:pPr>
            <w:r w:rsidRPr="0019790A">
              <w:rPr>
                <w:rFonts w:cs="Arial"/>
                <w:b/>
                <w:bCs/>
                <w:szCs w:val="22"/>
              </w:rPr>
              <w:t>Мета проєкту:</w:t>
            </w:r>
          </w:p>
        </w:tc>
        <w:tc>
          <w:tcPr>
            <w:tcW w:w="6794" w:type="dxa"/>
            <w:gridSpan w:val="7"/>
            <w:vAlign w:val="center"/>
          </w:tcPr>
          <w:p w14:paraId="53DDD357" w14:textId="77777777" w:rsidR="005342D5" w:rsidRPr="0019790A" w:rsidRDefault="005342D5" w:rsidP="00CD7662">
            <w:pPr>
              <w:tabs>
                <w:tab w:val="left" w:pos="219"/>
              </w:tabs>
              <w:jc w:val="both"/>
              <w:rPr>
                <w:rFonts w:cs="Arial"/>
                <w:szCs w:val="22"/>
              </w:rPr>
            </w:pPr>
            <w:r w:rsidRPr="0019790A">
              <w:rPr>
                <w:rFonts w:cs="Arial"/>
                <w:szCs w:val="22"/>
              </w:rPr>
              <w:t>Створити інноваційний молодіжний центр як безпечний, інклюзивний і відкритий простір для розвитку, неформальної освіти, творчої самореалізації, громадської активності та соціальної інтеграції молоді громади.</w:t>
            </w:r>
          </w:p>
        </w:tc>
      </w:tr>
      <w:tr w:rsidR="005342D5" w:rsidRPr="0019790A" w14:paraId="4ED0E1CA" w14:textId="77777777" w:rsidTr="00CD7662">
        <w:trPr>
          <w:jc w:val="right"/>
        </w:trPr>
        <w:tc>
          <w:tcPr>
            <w:tcW w:w="3425" w:type="dxa"/>
            <w:vAlign w:val="center"/>
          </w:tcPr>
          <w:p w14:paraId="54A7DA6A" w14:textId="77777777" w:rsidR="005342D5" w:rsidRPr="0019790A" w:rsidRDefault="005342D5" w:rsidP="0019790A">
            <w:pPr>
              <w:rPr>
                <w:rFonts w:cs="Arial"/>
                <w:b/>
                <w:bCs/>
                <w:szCs w:val="22"/>
              </w:rPr>
            </w:pPr>
            <w:r w:rsidRPr="0019790A">
              <w:rPr>
                <w:rFonts w:cs="Arial"/>
                <w:b/>
                <w:bCs/>
                <w:szCs w:val="22"/>
              </w:rPr>
              <w:t>Цілі проєкту:</w:t>
            </w:r>
          </w:p>
        </w:tc>
        <w:tc>
          <w:tcPr>
            <w:tcW w:w="6794" w:type="dxa"/>
            <w:gridSpan w:val="7"/>
            <w:vAlign w:val="center"/>
          </w:tcPr>
          <w:p w14:paraId="4672FD09" w14:textId="77777777" w:rsidR="005342D5" w:rsidRPr="0019790A" w:rsidRDefault="005342D5" w:rsidP="00CD7662">
            <w:pPr>
              <w:numPr>
                <w:ilvl w:val="0"/>
                <w:numId w:val="111"/>
              </w:numPr>
              <w:tabs>
                <w:tab w:val="clear" w:pos="720"/>
                <w:tab w:val="left" w:pos="219"/>
                <w:tab w:val="num" w:pos="328"/>
              </w:tabs>
              <w:ind w:left="0" w:firstLine="0"/>
              <w:jc w:val="both"/>
              <w:rPr>
                <w:rFonts w:cs="Arial"/>
                <w:szCs w:val="22"/>
              </w:rPr>
            </w:pPr>
            <w:r w:rsidRPr="0019790A">
              <w:rPr>
                <w:rFonts w:cs="Arial"/>
                <w:szCs w:val="22"/>
              </w:rPr>
              <w:t>Створити доступний і багатофункціональний молодіжний простір у громаді.</w:t>
            </w:r>
          </w:p>
          <w:p w14:paraId="44621285" w14:textId="77777777" w:rsidR="005342D5" w:rsidRPr="0019790A" w:rsidRDefault="005342D5" w:rsidP="00CD7662">
            <w:pPr>
              <w:numPr>
                <w:ilvl w:val="0"/>
                <w:numId w:val="111"/>
              </w:numPr>
              <w:tabs>
                <w:tab w:val="clear" w:pos="720"/>
                <w:tab w:val="left" w:pos="219"/>
                <w:tab w:val="num" w:pos="328"/>
              </w:tabs>
              <w:ind w:left="0" w:firstLine="0"/>
              <w:jc w:val="both"/>
              <w:rPr>
                <w:rFonts w:cs="Arial"/>
                <w:szCs w:val="22"/>
              </w:rPr>
            </w:pPr>
            <w:r w:rsidRPr="0019790A">
              <w:rPr>
                <w:rFonts w:cs="Arial"/>
                <w:szCs w:val="22"/>
              </w:rPr>
              <w:t>Розвинути механізми участі молоді в житті громади.</w:t>
            </w:r>
          </w:p>
          <w:p w14:paraId="016D4067" w14:textId="77777777" w:rsidR="005342D5" w:rsidRPr="0019790A" w:rsidRDefault="005342D5" w:rsidP="00CD7662">
            <w:pPr>
              <w:numPr>
                <w:ilvl w:val="0"/>
                <w:numId w:val="111"/>
              </w:numPr>
              <w:tabs>
                <w:tab w:val="clear" w:pos="720"/>
                <w:tab w:val="left" w:pos="219"/>
                <w:tab w:val="num" w:pos="328"/>
              </w:tabs>
              <w:ind w:left="0" w:firstLine="0"/>
              <w:jc w:val="both"/>
              <w:rPr>
                <w:rFonts w:cs="Arial"/>
                <w:szCs w:val="22"/>
              </w:rPr>
            </w:pPr>
            <w:r w:rsidRPr="0019790A">
              <w:rPr>
                <w:rFonts w:cs="Arial"/>
                <w:szCs w:val="22"/>
              </w:rPr>
              <w:t>Забезпечити молодь інструментами для навчання, творчості та реалізації ініціатив.</w:t>
            </w:r>
          </w:p>
          <w:p w14:paraId="574C58DA" w14:textId="77777777" w:rsidR="005342D5" w:rsidRPr="0019790A" w:rsidRDefault="005342D5" w:rsidP="00CD7662">
            <w:pPr>
              <w:numPr>
                <w:ilvl w:val="0"/>
                <w:numId w:val="111"/>
              </w:numPr>
              <w:tabs>
                <w:tab w:val="clear" w:pos="720"/>
                <w:tab w:val="left" w:pos="219"/>
                <w:tab w:val="num" w:pos="328"/>
              </w:tabs>
              <w:ind w:left="0" w:firstLine="0"/>
              <w:jc w:val="both"/>
              <w:rPr>
                <w:rFonts w:cs="Arial"/>
                <w:szCs w:val="22"/>
              </w:rPr>
            </w:pPr>
            <w:r w:rsidRPr="0019790A">
              <w:rPr>
                <w:rFonts w:cs="Arial"/>
                <w:szCs w:val="22"/>
              </w:rPr>
              <w:t>Підтримати соціальну інтеграцію молоді, зокрема ВПО.</w:t>
            </w:r>
          </w:p>
          <w:p w14:paraId="26F98E32" w14:textId="77777777" w:rsidR="005342D5" w:rsidRPr="0019790A" w:rsidRDefault="005342D5" w:rsidP="00CD7662">
            <w:pPr>
              <w:numPr>
                <w:ilvl w:val="0"/>
                <w:numId w:val="111"/>
              </w:numPr>
              <w:tabs>
                <w:tab w:val="clear" w:pos="720"/>
                <w:tab w:val="left" w:pos="219"/>
                <w:tab w:val="num" w:pos="328"/>
              </w:tabs>
              <w:ind w:left="0" w:firstLine="0"/>
              <w:jc w:val="both"/>
              <w:rPr>
                <w:rFonts w:cs="Arial"/>
                <w:szCs w:val="22"/>
              </w:rPr>
            </w:pPr>
            <w:r w:rsidRPr="0019790A">
              <w:rPr>
                <w:rFonts w:cs="Arial"/>
                <w:szCs w:val="22"/>
              </w:rPr>
              <w:t>Підвищити спроможність громади реалізовувати молодіжну політику</w:t>
            </w:r>
          </w:p>
        </w:tc>
      </w:tr>
      <w:tr w:rsidR="005342D5" w:rsidRPr="0019790A" w14:paraId="376E9892" w14:textId="77777777" w:rsidTr="00CD7662">
        <w:trPr>
          <w:trHeight w:val="641"/>
          <w:jc w:val="right"/>
        </w:trPr>
        <w:tc>
          <w:tcPr>
            <w:tcW w:w="3425" w:type="dxa"/>
            <w:vAlign w:val="center"/>
          </w:tcPr>
          <w:p w14:paraId="3E72E31E" w14:textId="77777777" w:rsidR="005342D5" w:rsidRPr="0019790A" w:rsidRDefault="005342D5" w:rsidP="0019790A">
            <w:pPr>
              <w:rPr>
                <w:rFonts w:cs="Arial"/>
                <w:b/>
                <w:szCs w:val="22"/>
              </w:rPr>
            </w:pPr>
            <w:r w:rsidRPr="0019790A">
              <w:rPr>
                <w:rFonts w:cs="Arial"/>
                <w:b/>
                <w:szCs w:val="22"/>
              </w:rPr>
              <w:t>Територія на яку проєкт матиме вплив:</w:t>
            </w:r>
          </w:p>
        </w:tc>
        <w:tc>
          <w:tcPr>
            <w:tcW w:w="6794" w:type="dxa"/>
            <w:gridSpan w:val="7"/>
            <w:vAlign w:val="center"/>
          </w:tcPr>
          <w:p w14:paraId="587FBC7B" w14:textId="77777777" w:rsidR="005342D5" w:rsidRPr="0019790A" w:rsidRDefault="005342D5" w:rsidP="00CD7662">
            <w:pPr>
              <w:tabs>
                <w:tab w:val="left" w:pos="219"/>
              </w:tabs>
              <w:jc w:val="both"/>
              <w:rPr>
                <w:rFonts w:cs="Arial"/>
                <w:szCs w:val="22"/>
              </w:rPr>
            </w:pPr>
            <w:r w:rsidRPr="0019790A">
              <w:rPr>
                <w:rFonts w:cs="Arial"/>
                <w:szCs w:val="22"/>
              </w:rPr>
              <w:t>Жмеринська міська територіальна громада</w:t>
            </w:r>
          </w:p>
        </w:tc>
      </w:tr>
      <w:tr w:rsidR="005342D5" w:rsidRPr="0019790A" w14:paraId="1815B5C9" w14:textId="77777777" w:rsidTr="00CD7662">
        <w:trPr>
          <w:jc w:val="right"/>
        </w:trPr>
        <w:tc>
          <w:tcPr>
            <w:tcW w:w="3425" w:type="dxa"/>
            <w:vAlign w:val="center"/>
          </w:tcPr>
          <w:p w14:paraId="28DFE35F" w14:textId="77777777" w:rsidR="005342D5" w:rsidRPr="0019790A" w:rsidRDefault="005342D5" w:rsidP="0019790A">
            <w:pPr>
              <w:rPr>
                <w:rFonts w:cs="Arial"/>
                <w:b/>
                <w:szCs w:val="22"/>
              </w:rPr>
            </w:pPr>
            <w:r w:rsidRPr="0019790A">
              <w:rPr>
                <w:rFonts w:cs="Arial"/>
                <w:b/>
                <w:szCs w:val="22"/>
              </w:rPr>
              <w:t>Цільові групи проєкту та кількість отримувачів вигоди</w:t>
            </w:r>
          </w:p>
        </w:tc>
        <w:tc>
          <w:tcPr>
            <w:tcW w:w="6794" w:type="dxa"/>
            <w:gridSpan w:val="7"/>
            <w:vAlign w:val="center"/>
          </w:tcPr>
          <w:p w14:paraId="30226E2F" w14:textId="77777777" w:rsidR="005342D5" w:rsidRPr="0019790A" w:rsidRDefault="005342D5" w:rsidP="00CD7662">
            <w:pPr>
              <w:numPr>
                <w:ilvl w:val="0"/>
                <w:numId w:val="110"/>
              </w:numPr>
              <w:tabs>
                <w:tab w:val="clear" w:pos="720"/>
                <w:tab w:val="left" w:pos="219"/>
              </w:tabs>
              <w:ind w:left="0" w:firstLine="0"/>
              <w:jc w:val="both"/>
              <w:rPr>
                <w:rFonts w:cs="Arial"/>
                <w:szCs w:val="22"/>
              </w:rPr>
            </w:pPr>
            <w:r w:rsidRPr="0019790A">
              <w:rPr>
                <w:rFonts w:cs="Arial"/>
                <w:szCs w:val="22"/>
              </w:rPr>
              <w:t>Молодь віком 14–35 років</w:t>
            </w:r>
          </w:p>
          <w:p w14:paraId="33E9BD2B" w14:textId="77777777" w:rsidR="005342D5" w:rsidRPr="0019790A" w:rsidRDefault="005342D5" w:rsidP="00CD7662">
            <w:pPr>
              <w:numPr>
                <w:ilvl w:val="0"/>
                <w:numId w:val="110"/>
              </w:numPr>
              <w:tabs>
                <w:tab w:val="clear" w:pos="720"/>
                <w:tab w:val="left" w:pos="219"/>
              </w:tabs>
              <w:ind w:left="0" w:firstLine="0"/>
              <w:jc w:val="both"/>
              <w:rPr>
                <w:rFonts w:cs="Arial"/>
                <w:szCs w:val="22"/>
              </w:rPr>
            </w:pPr>
            <w:r w:rsidRPr="0019790A">
              <w:rPr>
                <w:rFonts w:cs="Arial"/>
                <w:szCs w:val="22"/>
              </w:rPr>
              <w:t>Активні громадяни та лідери учнівського/студентського самоврядування</w:t>
            </w:r>
          </w:p>
          <w:p w14:paraId="290AE806" w14:textId="77777777" w:rsidR="005342D5" w:rsidRPr="0019790A" w:rsidRDefault="005342D5" w:rsidP="00CD7662">
            <w:pPr>
              <w:numPr>
                <w:ilvl w:val="0"/>
                <w:numId w:val="110"/>
              </w:numPr>
              <w:tabs>
                <w:tab w:val="clear" w:pos="720"/>
                <w:tab w:val="left" w:pos="219"/>
              </w:tabs>
              <w:ind w:left="0" w:firstLine="0"/>
              <w:jc w:val="both"/>
              <w:rPr>
                <w:rFonts w:cs="Arial"/>
                <w:szCs w:val="22"/>
              </w:rPr>
            </w:pPr>
            <w:r w:rsidRPr="0019790A">
              <w:rPr>
                <w:rFonts w:cs="Arial"/>
                <w:szCs w:val="22"/>
              </w:rPr>
              <w:t>Молодіжні ініціативні групи, ГО, волонтери</w:t>
            </w:r>
          </w:p>
          <w:p w14:paraId="2273FA02" w14:textId="77777777" w:rsidR="005342D5" w:rsidRPr="0019790A" w:rsidRDefault="005342D5" w:rsidP="00CD7662">
            <w:pPr>
              <w:numPr>
                <w:ilvl w:val="0"/>
                <w:numId w:val="110"/>
              </w:numPr>
              <w:tabs>
                <w:tab w:val="clear" w:pos="720"/>
                <w:tab w:val="left" w:pos="219"/>
              </w:tabs>
              <w:ind w:left="0" w:firstLine="0"/>
              <w:jc w:val="both"/>
              <w:rPr>
                <w:rFonts w:cs="Arial"/>
                <w:szCs w:val="22"/>
              </w:rPr>
            </w:pPr>
            <w:r w:rsidRPr="0019790A">
              <w:rPr>
                <w:rFonts w:cs="Arial"/>
                <w:szCs w:val="22"/>
              </w:rPr>
              <w:t>Молоді ВПО та молодь із вразливих груп</w:t>
            </w:r>
          </w:p>
          <w:p w14:paraId="564AF1AC" w14:textId="77777777" w:rsidR="005342D5" w:rsidRPr="0019790A" w:rsidRDefault="005342D5" w:rsidP="00CD7662">
            <w:pPr>
              <w:numPr>
                <w:ilvl w:val="0"/>
                <w:numId w:val="110"/>
              </w:numPr>
              <w:tabs>
                <w:tab w:val="clear" w:pos="720"/>
                <w:tab w:val="left" w:pos="219"/>
              </w:tabs>
              <w:ind w:left="0" w:firstLine="0"/>
              <w:jc w:val="both"/>
              <w:rPr>
                <w:rFonts w:cs="Arial"/>
                <w:szCs w:val="22"/>
              </w:rPr>
            </w:pPr>
            <w:r w:rsidRPr="0019790A">
              <w:rPr>
                <w:rFonts w:cs="Arial"/>
                <w:szCs w:val="22"/>
              </w:rPr>
              <w:t>Працівники сфери молодіжної політики</w:t>
            </w:r>
          </w:p>
          <w:p w14:paraId="14263040" w14:textId="77777777" w:rsidR="005342D5" w:rsidRPr="0019790A" w:rsidRDefault="005342D5" w:rsidP="00CD7662">
            <w:pPr>
              <w:tabs>
                <w:tab w:val="left" w:pos="219"/>
              </w:tabs>
              <w:jc w:val="both"/>
              <w:rPr>
                <w:rFonts w:cs="Arial"/>
                <w:szCs w:val="22"/>
              </w:rPr>
            </w:pPr>
            <w:r w:rsidRPr="0019790A">
              <w:rPr>
                <w:rFonts w:cs="Arial"/>
                <w:b/>
                <w:szCs w:val="22"/>
              </w:rPr>
              <w:t>Кількість отримувачів вигоди</w:t>
            </w:r>
            <w:r w:rsidRPr="0019790A">
              <w:rPr>
                <w:rFonts w:cs="Arial"/>
                <w:szCs w:val="22"/>
              </w:rPr>
              <w:t xml:space="preserve"> </w:t>
            </w:r>
            <w:r w:rsidRPr="0019790A">
              <w:rPr>
                <w:rFonts w:cs="Arial"/>
                <w:b/>
                <w:szCs w:val="22"/>
              </w:rPr>
              <w:t>4000 осіб.</w:t>
            </w:r>
          </w:p>
        </w:tc>
      </w:tr>
      <w:tr w:rsidR="005342D5" w:rsidRPr="0019790A" w14:paraId="0E1C83DB" w14:textId="77777777" w:rsidTr="00CD7662">
        <w:trPr>
          <w:jc w:val="right"/>
        </w:trPr>
        <w:tc>
          <w:tcPr>
            <w:tcW w:w="3425" w:type="dxa"/>
            <w:shd w:val="clear" w:color="auto" w:fill="FFFFFF"/>
            <w:vAlign w:val="center"/>
          </w:tcPr>
          <w:p w14:paraId="13EB8BC8" w14:textId="77777777" w:rsidR="005342D5" w:rsidRPr="0019790A" w:rsidRDefault="005342D5" w:rsidP="0019790A">
            <w:pPr>
              <w:rPr>
                <w:rFonts w:cs="Arial"/>
                <w:b/>
                <w:bCs/>
                <w:szCs w:val="22"/>
              </w:rPr>
            </w:pPr>
            <w:r w:rsidRPr="0019790A">
              <w:rPr>
                <w:rFonts w:cs="Arial"/>
                <w:b/>
                <w:bCs/>
                <w:szCs w:val="22"/>
              </w:rPr>
              <w:t>Стислий опис проєкту:</w:t>
            </w:r>
          </w:p>
        </w:tc>
        <w:tc>
          <w:tcPr>
            <w:tcW w:w="6794" w:type="dxa"/>
            <w:gridSpan w:val="7"/>
            <w:vAlign w:val="center"/>
          </w:tcPr>
          <w:p w14:paraId="4E5E2E21" w14:textId="77777777" w:rsidR="005342D5" w:rsidRPr="0019790A" w:rsidRDefault="005342D5" w:rsidP="00CD7662">
            <w:pPr>
              <w:tabs>
                <w:tab w:val="left" w:pos="219"/>
              </w:tabs>
              <w:jc w:val="both"/>
              <w:rPr>
                <w:rFonts w:cs="Arial"/>
                <w:szCs w:val="22"/>
              </w:rPr>
            </w:pPr>
            <w:r w:rsidRPr="0019790A">
              <w:rPr>
                <w:rFonts w:cs="Arial"/>
                <w:szCs w:val="22"/>
              </w:rPr>
              <w:t>Проєкт передбачає створення сучасного Молодіжного центру на базі наявного приміщення або в новому просторі. Центр стане платформою для самореалізації молоді через освітні заходи, тренінги, майстер-класи, неформальне навчання, волонтерські та соціальні проєкти. Простір буде технічно облаштований для роботи, відпочинку, подій і дозвілля. Діяльність координуватиметься у партнерстві з місцевим самоврядуванням, молодіжними радами, освітніми установами та ГО.</w:t>
            </w:r>
          </w:p>
        </w:tc>
      </w:tr>
      <w:tr w:rsidR="005342D5" w:rsidRPr="0019790A" w14:paraId="3C03874B" w14:textId="77777777" w:rsidTr="00CD7662">
        <w:trPr>
          <w:jc w:val="right"/>
        </w:trPr>
        <w:tc>
          <w:tcPr>
            <w:tcW w:w="3425" w:type="dxa"/>
            <w:shd w:val="clear" w:color="auto" w:fill="FFFFFF"/>
            <w:vAlign w:val="center"/>
          </w:tcPr>
          <w:p w14:paraId="76FB1031" w14:textId="77777777" w:rsidR="005342D5" w:rsidRPr="0019790A" w:rsidRDefault="005342D5" w:rsidP="0019790A">
            <w:pPr>
              <w:rPr>
                <w:rFonts w:cs="Arial"/>
                <w:b/>
                <w:bCs/>
                <w:szCs w:val="22"/>
              </w:rPr>
            </w:pPr>
            <w:r w:rsidRPr="0019790A">
              <w:rPr>
                <w:rFonts w:cs="Arial"/>
                <w:b/>
                <w:bCs/>
                <w:szCs w:val="22"/>
              </w:rPr>
              <w:t>Основні заходи проєкту:</w:t>
            </w:r>
          </w:p>
        </w:tc>
        <w:tc>
          <w:tcPr>
            <w:tcW w:w="6794" w:type="dxa"/>
            <w:gridSpan w:val="7"/>
            <w:vAlign w:val="center"/>
          </w:tcPr>
          <w:p w14:paraId="18A92B61" w14:textId="77777777" w:rsidR="005342D5" w:rsidRPr="0019790A" w:rsidRDefault="005342D5" w:rsidP="00CD7662">
            <w:pPr>
              <w:numPr>
                <w:ilvl w:val="0"/>
                <w:numId w:val="112"/>
              </w:numPr>
              <w:tabs>
                <w:tab w:val="left" w:pos="219"/>
              </w:tabs>
              <w:ind w:left="0" w:firstLine="0"/>
              <w:jc w:val="both"/>
              <w:rPr>
                <w:rFonts w:cs="Arial"/>
                <w:szCs w:val="22"/>
              </w:rPr>
            </w:pPr>
            <w:r w:rsidRPr="0019790A">
              <w:rPr>
                <w:rFonts w:cs="Arial"/>
                <w:szCs w:val="22"/>
              </w:rPr>
              <w:t>Визначення та облаштування приміщення для молодіжного центру</w:t>
            </w:r>
          </w:p>
          <w:p w14:paraId="2CF1DA38" w14:textId="77777777" w:rsidR="005342D5" w:rsidRPr="0019790A" w:rsidRDefault="005342D5" w:rsidP="00CD7662">
            <w:pPr>
              <w:numPr>
                <w:ilvl w:val="0"/>
                <w:numId w:val="112"/>
              </w:numPr>
              <w:tabs>
                <w:tab w:val="left" w:pos="219"/>
              </w:tabs>
              <w:ind w:left="0" w:firstLine="0"/>
              <w:jc w:val="both"/>
              <w:rPr>
                <w:rFonts w:cs="Arial"/>
                <w:szCs w:val="22"/>
              </w:rPr>
            </w:pPr>
            <w:r w:rsidRPr="0019790A">
              <w:rPr>
                <w:rFonts w:cs="Arial"/>
                <w:szCs w:val="22"/>
              </w:rPr>
              <w:t>Закупівля меблів, техніки, інвентарю, оформлення зон (освітня, відпочинкова, коворкінг)</w:t>
            </w:r>
          </w:p>
          <w:p w14:paraId="554D4FBD" w14:textId="77777777" w:rsidR="005342D5" w:rsidRPr="0019790A" w:rsidRDefault="005342D5" w:rsidP="00CD7662">
            <w:pPr>
              <w:numPr>
                <w:ilvl w:val="0"/>
                <w:numId w:val="112"/>
              </w:numPr>
              <w:tabs>
                <w:tab w:val="left" w:pos="219"/>
              </w:tabs>
              <w:ind w:left="0" w:firstLine="0"/>
              <w:jc w:val="both"/>
              <w:rPr>
                <w:rFonts w:cs="Arial"/>
                <w:szCs w:val="22"/>
              </w:rPr>
            </w:pPr>
            <w:r w:rsidRPr="0019790A">
              <w:rPr>
                <w:rFonts w:cs="Arial"/>
                <w:szCs w:val="22"/>
              </w:rPr>
              <w:t>Формування команди центру (координатор, волонтери, партнери)</w:t>
            </w:r>
          </w:p>
          <w:p w14:paraId="11F8E4BF" w14:textId="77777777" w:rsidR="005342D5" w:rsidRPr="0019790A" w:rsidRDefault="005342D5" w:rsidP="00CD7662">
            <w:pPr>
              <w:numPr>
                <w:ilvl w:val="0"/>
                <w:numId w:val="112"/>
              </w:numPr>
              <w:tabs>
                <w:tab w:val="left" w:pos="219"/>
              </w:tabs>
              <w:ind w:left="0" w:firstLine="0"/>
              <w:jc w:val="both"/>
              <w:rPr>
                <w:rFonts w:cs="Arial"/>
                <w:szCs w:val="22"/>
              </w:rPr>
            </w:pPr>
            <w:r w:rsidRPr="0019790A">
              <w:rPr>
                <w:rFonts w:cs="Arial"/>
                <w:szCs w:val="22"/>
              </w:rPr>
              <w:t>Проведення щомісячних заходів: тренінгів, форумів, клубів, кінопоказів, ігротек</w:t>
            </w:r>
          </w:p>
          <w:p w14:paraId="146C3A1F" w14:textId="77777777" w:rsidR="005342D5" w:rsidRPr="0019790A" w:rsidRDefault="005342D5" w:rsidP="00CD7662">
            <w:pPr>
              <w:numPr>
                <w:ilvl w:val="0"/>
                <w:numId w:val="112"/>
              </w:numPr>
              <w:tabs>
                <w:tab w:val="left" w:pos="219"/>
              </w:tabs>
              <w:ind w:left="0" w:firstLine="0"/>
              <w:jc w:val="both"/>
              <w:rPr>
                <w:rFonts w:cs="Arial"/>
                <w:szCs w:val="22"/>
              </w:rPr>
            </w:pPr>
            <w:r w:rsidRPr="0019790A">
              <w:rPr>
                <w:rFonts w:cs="Arial"/>
                <w:szCs w:val="22"/>
              </w:rPr>
              <w:t>Розробка програми розвитку молодіжного центру на 1–3 роки</w:t>
            </w:r>
          </w:p>
          <w:p w14:paraId="16FE7CB9" w14:textId="77777777" w:rsidR="005342D5" w:rsidRPr="0019790A" w:rsidRDefault="005342D5" w:rsidP="00CD7662">
            <w:pPr>
              <w:numPr>
                <w:ilvl w:val="0"/>
                <w:numId w:val="112"/>
              </w:numPr>
              <w:tabs>
                <w:tab w:val="left" w:pos="219"/>
              </w:tabs>
              <w:ind w:left="0" w:firstLine="0"/>
              <w:jc w:val="both"/>
              <w:rPr>
                <w:rFonts w:cs="Arial"/>
                <w:szCs w:val="22"/>
              </w:rPr>
            </w:pPr>
            <w:r w:rsidRPr="0019790A">
              <w:rPr>
                <w:rFonts w:cs="Arial"/>
                <w:szCs w:val="22"/>
              </w:rPr>
              <w:t>Запуск платформи для подання молодіжних ініціатив/проєктів</w:t>
            </w:r>
          </w:p>
        </w:tc>
      </w:tr>
      <w:tr w:rsidR="005342D5" w:rsidRPr="0019790A" w14:paraId="5548346D" w14:textId="77777777" w:rsidTr="00CD7662">
        <w:trPr>
          <w:trHeight w:val="519"/>
          <w:jc w:val="right"/>
        </w:trPr>
        <w:tc>
          <w:tcPr>
            <w:tcW w:w="3425" w:type="dxa"/>
            <w:shd w:val="clear" w:color="auto" w:fill="FFFFFF"/>
            <w:vAlign w:val="center"/>
          </w:tcPr>
          <w:p w14:paraId="6E6A2A06" w14:textId="77777777" w:rsidR="005342D5" w:rsidRPr="0019790A" w:rsidRDefault="005342D5" w:rsidP="0019790A">
            <w:pPr>
              <w:rPr>
                <w:rFonts w:cs="Arial"/>
                <w:b/>
                <w:bCs/>
                <w:szCs w:val="22"/>
              </w:rPr>
            </w:pPr>
            <w:r w:rsidRPr="0019790A">
              <w:rPr>
                <w:rFonts w:cs="Arial"/>
                <w:b/>
                <w:bCs/>
                <w:szCs w:val="22"/>
              </w:rPr>
              <w:t>Індикатори (показники) результативності:</w:t>
            </w:r>
          </w:p>
        </w:tc>
        <w:tc>
          <w:tcPr>
            <w:tcW w:w="6794" w:type="dxa"/>
            <w:gridSpan w:val="7"/>
            <w:vAlign w:val="center"/>
          </w:tcPr>
          <w:p w14:paraId="79DB29F4" w14:textId="77777777" w:rsidR="005342D5" w:rsidRPr="0019790A" w:rsidRDefault="005342D5" w:rsidP="00CD7662">
            <w:pPr>
              <w:numPr>
                <w:ilvl w:val="0"/>
                <w:numId w:val="113"/>
              </w:numPr>
              <w:tabs>
                <w:tab w:val="left" w:pos="219"/>
              </w:tabs>
              <w:ind w:left="0" w:firstLine="0"/>
              <w:jc w:val="both"/>
              <w:rPr>
                <w:rFonts w:cs="Arial"/>
                <w:szCs w:val="22"/>
              </w:rPr>
            </w:pPr>
            <w:r w:rsidRPr="0019790A">
              <w:rPr>
                <w:rFonts w:cs="Arial"/>
                <w:szCs w:val="22"/>
              </w:rPr>
              <w:t>Облаштовано 1 молодіжний центр</w:t>
            </w:r>
          </w:p>
          <w:p w14:paraId="67E5668E" w14:textId="77777777" w:rsidR="005342D5" w:rsidRPr="0019790A" w:rsidRDefault="005342D5" w:rsidP="00CD7662">
            <w:pPr>
              <w:numPr>
                <w:ilvl w:val="0"/>
                <w:numId w:val="113"/>
              </w:numPr>
              <w:tabs>
                <w:tab w:val="left" w:pos="219"/>
              </w:tabs>
              <w:ind w:left="0" w:firstLine="0"/>
              <w:jc w:val="both"/>
              <w:rPr>
                <w:rFonts w:cs="Arial"/>
                <w:szCs w:val="22"/>
              </w:rPr>
            </w:pPr>
            <w:r w:rsidRPr="0019790A">
              <w:rPr>
                <w:rFonts w:cs="Arial"/>
                <w:szCs w:val="22"/>
              </w:rPr>
              <w:t>Охоплено щонайменше 500 молодих людей у перший рік</w:t>
            </w:r>
          </w:p>
          <w:p w14:paraId="669C4B99" w14:textId="77777777" w:rsidR="005342D5" w:rsidRPr="0019790A" w:rsidRDefault="005342D5" w:rsidP="00CD7662">
            <w:pPr>
              <w:numPr>
                <w:ilvl w:val="0"/>
                <w:numId w:val="113"/>
              </w:numPr>
              <w:tabs>
                <w:tab w:val="left" w:pos="219"/>
              </w:tabs>
              <w:ind w:left="0" w:firstLine="0"/>
              <w:jc w:val="both"/>
              <w:rPr>
                <w:rFonts w:cs="Arial"/>
                <w:szCs w:val="22"/>
              </w:rPr>
            </w:pPr>
            <w:r w:rsidRPr="0019790A">
              <w:rPr>
                <w:rFonts w:cs="Arial"/>
                <w:szCs w:val="22"/>
              </w:rPr>
              <w:t>Проведено понад 40 тематичних заходів за рік</w:t>
            </w:r>
          </w:p>
          <w:p w14:paraId="150D09A5" w14:textId="77777777" w:rsidR="005342D5" w:rsidRPr="0019790A" w:rsidRDefault="005342D5" w:rsidP="00CD7662">
            <w:pPr>
              <w:numPr>
                <w:ilvl w:val="0"/>
                <w:numId w:val="113"/>
              </w:numPr>
              <w:tabs>
                <w:tab w:val="left" w:pos="219"/>
              </w:tabs>
              <w:ind w:left="0" w:firstLine="0"/>
              <w:jc w:val="both"/>
              <w:rPr>
                <w:rFonts w:cs="Arial"/>
                <w:szCs w:val="22"/>
              </w:rPr>
            </w:pPr>
            <w:r w:rsidRPr="0019790A">
              <w:rPr>
                <w:rFonts w:cs="Arial"/>
                <w:szCs w:val="22"/>
              </w:rPr>
              <w:t>Створено не менше 5 молодіжних проєктів або ініціатив</w:t>
            </w:r>
          </w:p>
          <w:p w14:paraId="3037C959" w14:textId="77777777" w:rsidR="005342D5" w:rsidRPr="0019790A" w:rsidRDefault="005342D5" w:rsidP="00CD7662">
            <w:pPr>
              <w:numPr>
                <w:ilvl w:val="0"/>
                <w:numId w:val="113"/>
              </w:numPr>
              <w:tabs>
                <w:tab w:val="left" w:pos="219"/>
              </w:tabs>
              <w:ind w:left="0" w:firstLine="0"/>
              <w:jc w:val="both"/>
              <w:rPr>
                <w:rFonts w:cs="Arial"/>
                <w:szCs w:val="22"/>
              </w:rPr>
            </w:pPr>
            <w:r w:rsidRPr="0019790A">
              <w:rPr>
                <w:rFonts w:cs="Arial"/>
                <w:szCs w:val="22"/>
              </w:rPr>
              <w:t>Залучено до роботи не менше 15 волонтерів</w:t>
            </w:r>
          </w:p>
          <w:p w14:paraId="67341CF8" w14:textId="77777777" w:rsidR="005342D5" w:rsidRPr="0019790A" w:rsidRDefault="005342D5" w:rsidP="00CD7662">
            <w:pPr>
              <w:numPr>
                <w:ilvl w:val="0"/>
                <w:numId w:val="113"/>
              </w:numPr>
              <w:tabs>
                <w:tab w:val="left" w:pos="219"/>
              </w:tabs>
              <w:ind w:left="0" w:firstLine="0"/>
              <w:jc w:val="both"/>
              <w:rPr>
                <w:rFonts w:cs="Arial"/>
                <w:szCs w:val="22"/>
              </w:rPr>
            </w:pPr>
            <w:r w:rsidRPr="0019790A">
              <w:rPr>
                <w:rFonts w:cs="Arial"/>
                <w:szCs w:val="22"/>
              </w:rPr>
              <w:t>Розроблена стратегія/програма розвитку молодіжного центру</w:t>
            </w:r>
          </w:p>
        </w:tc>
      </w:tr>
      <w:tr w:rsidR="005342D5" w:rsidRPr="0019790A" w14:paraId="61E8AF6F" w14:textId="77777777" w:rsidTr="00CF3AAE">
        <w:trPr>
          <w:jc w:val="right"/>
        </w:trPr>
        <w:tc>
          <w:tcPr>
            <w:tcW w:w="3425" w:type="dxa"/>
            <w:shd w:val="clear" w:color="auto" w:fill="FFFFFF"/>
            <w:vAlign w:val="center"/>
          </w:tcPr>
          <w:p w14:paraId="4E102DBC" w14:textId="77777777" w:rsidR="005342D5" w:rsidRPr="0019790A" w:rsidRDefault="005342D5" w:rsidP="0019790A">
            <w:pPr>
              <w:rPr>
                <w:rFonts w:cs="Arial"/>
                <w:b/>
                <w:szCs w:val="22"/>
              </w:rPr>
            </w:pPr>
            <w:r w:rsidRPr="0019790A">
              <w:rPr>
                <w:rFonts w:cs="Arial"/>
                <w:b/>
                <w:szCs w:val="22"/>
              </w:rPr>
              <w:t xml:space="preserve">Період здійснення: </w:t>
            </w:r>
          </w:p>
        </w:tc>
        <w:tc>
          <w:tcPr>
            <w:tcW w:w="6794" w:type="dxa"/>
            <w:gridSpan w:val="7"/>
            <w:vAlign w:val="center"/>
          </w:tcPr>
          <w:p w14:paraId="5DB773F7" w14:textId="77777777" w:rsidR="005342D5" w:rsidRPr="0019790A" w:rsidRDefault="005342D5" w:rsidP="0019790A">
            <w:pPr>
              <w:rPr>
                <w:rFonts w:cs="Arial"/>
                <w:szCs w:val="22"/>
              </w:rPr>
            </w:pPr>
            <w:r w:rsidRPr="0019790A">
              <w:rPr>
                <w:rFonts w:cs="Arial"/>
                <w:b/>
                <w:szCs w:val="22"/>
              </w:rPr>
              <w:t>2025 – 2028 роки:</w:t>
            </w:r>
          </w:p>
        </w:tc>
      </w:tr>
      <w:tr w:rsidR="005342D5" w:rsidRPr="0019790A" w14:paraId="5BB28D1A" w14:textId="77777777" w:rsidTr="00CD7662">
        <w:trPr>
          <w:jc w:val="right"/>
        </w:trPr>
        <w:tc>
          <w:tcPr>
            <w:tcW w:w="3425" w:type="dxa"/>
            <w:vMerge w:val="restart"/>
            <w:shd w:val="clear" w:color="auto" w:fill="FFFFFF"/>
            <w:vAlign w:val="center"/>
          </w:tcPr>
          <w:p w14:paraId="369F13F6" w14:textId="77777777" w:rsidR="005342D5" w:rsidRPr="0019790A" w:rsidRDefault="005342D5" w:rsidP="0019790A">
            <w:pPr>
              <w:rPr>
                <w:rFonts w:cs="Arial"/>
                <w:b/>
                <w:bCs/>
                <w:szCs w:val="22"/>
              </w:rPr>
            </w:pPr>
            <w:r w:rsidRPr="0019790A">
              <w:rPr>
                <w:rFonts w:cs="Arial"/>
                <w:b/>
                <w:bCs/>
                <w:szCs w:val="22"/>
              </w:rPr>
              <w:t>Орієнтовна вартість проєкту, тис. грн., в тому числі:</w:t>
            </w:r>
          </w:p>
        </w:tc>
        <w:tc>
          <w:tcPr>
            <w:tcW w:w="1254" w:type="dxa"/>
            <w:shd w:val="clear" w:color="auto" w:fill="E6E6E6"/>
            <w:vAlign w:val="center"/>
          </w:tcPr>
          <w:p w14:paraId="0FCD87A8" w14:textId="77777777" w:rsidR="005342D5" w:rsidRPr="0019790A" w:rsidRDefault="005342D5" w:rsidP="00CD7662">
            <w:pPr>
              <w:jc w:val="center"/>
              <w:rPr>
                <w:rFonts w:cs="Arial"/>
                <w:b/>
                <w:szCs w:val="22"/>
              </w:rPr>
            </w:pPr>
            <w:r w:rsidRPr="0019790A">
              <w:rPr>
                <w:rFonts w:cs="Arial"/>
                <w:b/>
                <w:szCs w:val="22"/>
              </w:rPr>
              <w:t>2025</w:t>
            </w:r>
          </w:p>
        </w:tc>
        <w:tc>
          <w:tcPr>
            <w:tcW w:w="1275" w:type="dxa"/>
            <w:shd w:val="clear" w:color="auto" w:fill="E6E6E6"/>
            <w:vAlign w:val="center"/>
          </w:tcPr>
          <w:p w14:paraId="5AD9EFDA" w14:textId="77777777" w:rsidR="005342D5" w:rsidRPr="0019790A" w:rsidRDefault="005342D5" w:rsidP="00CD7662">
            <w:pPr>
              <w:jc w:val="center"/>
              <w:rPr>
                <w:rFonts w:cs="Arial"/>
                <w:b/>
                <w:szCs w:val="22"/>
              </w:rPr>
            </w:pPr>
            <w:r w:rsidRPr="0019790A">
              <w:rPr>
                <w:rFonts w:cs="Arial"/>
                <w:b/>
                <w:szCs w:val="22"/>
              </w:rPr>
              <w:t>2026</w:t>
            </w:r>
          </w:p>
        </w:tc>
        <w:tc>
          <w:tcPr>
            <w:tcW w:w="1418" w:type="dxa"/>
            <w:gridSpan w:val="2"/>
            <w:tcBorders>
              <w:bottom w:val="single" w:sz="4" w:space="0" w:color="auto"/>
            </w:tcBorders>
            <w:shd w:val="clear" w:color="auto" w:fill="E6E6E6"/>
            <w:vAlign w:val="center"/>
          </w:tcPr>
          <w:p w14:paraId="75D36465" w14:textId="77777777" w:rsidR="005342D5" w:rsidRPr="0019790A" w:rsidRDefault="005342D5" w:rsidP="00CD7662">
            <w:pPr>
              <w:jc w:val="center"/>
              <w:rPr>
                <w:rFonts w:cs="Arial"/>
                <w:b/>
                <w:szCs w:val="22"/>
              </w:rPr>
            </w:pPr>
            <w:r w:rsidRPr="0019790A">
              <w:rPr>
                <w:rFonts w:cs="Arial"/>
                <w:b/>
                <w:szCs w:val="22"/>
              </w:rPr>
              <w:t>2027</w:t>
            </w:r>
          </w:p>
        </w:tc>
        <w:tc>
          <w:tcPr>
            <w:tcW w:w="1276" w:type="dxa"/>
            <w:shd w:val="clear" w:color="auto" w:fill="E6E6E6"/>
            <w:vAlign w:val="center"/>
          </w:tcPr>
          <w:p w14:paraId="49BF6D9A" w14:textId="77777777" w:rsidR="005342D5" w:rsidRPr="0019790A" w:rsidRDefault="005342D5" w:rsidP="00CD7662">
            <w:pPr>
              <w:jc w:val="center"/>
              <w:rPr>
                <w:rFonts w:cs="Arial"/>
                <w:b/>
                <w:szCs w:val="22"/>
              </w:rPr>
            </w:pPr>
            <w:r w:rsidRPr="0019790A">
              <w:rPr>
                <w:rFonts w:cs="Arial"/>
                <w:b/>
                <w:szCs w:val="22"/>
              </w:rPr>
              <w:t>2028</w:t>
            </w:r>
          </w:p>
        </w:tc>
        <w:tc>
          <w:tcPr>
            <w:tcW w:w="1571" w:type="dxa"/>
            <w:gridSpan w:val="2"/>
            <w:shd w:val="clear" w:color="auto" w:fill="E6E6E6"/>
            <w:vAlign w:val="center"/>
          </w:tcPr>
          <w:p w14:paraId="4FDC90F9" w14:textId="77777777" w:rsidR="005342D5" w:rsidRPr="0019790A" w:rsidRDefault="005342D5" w:rsidP="00CD7662">
            <w:pPr>
              <w:jc w:val="center"/>
              <w:rPr>
                <w:rFonts w:cs="Arial"/>
                <w:b/>
                <w:szCs w:val="22"/>
              </w:rPr>
            </w:pPr>
            <w:r w:rsidRPr="0019790A">
              <w:rPr>
                <w:rFonts w:cs="Arial"/>
                <w:b/>
                <w:szCs w:val="22"/>
              </w:rPr>
              <w:t>РАЗОМ</w:t>
            </w:r>
          </w:p>
        </w:tc>
      </w:tr>
      <w:tr w:rsidR="005342D5" w:rsidRPr="0019790A" w14:paraId="60FC858A" w14:textId="77777777" w:rsidTr="00CD7662">
        <w:trPr>
          <w:jc w:val="right"/>
        </w:trPr>
        <w:tc>
          <w:tcPr>
            <w:tcW w:w="3425" w:type="dxa"/>
            <w:vMerge/>
            <w:shd w:val="clear" w:color="auto" w:fill="FFFFFF"/>
            <w:vAlign w:val="center"/>
          </w:tcPr>
          <w:p w14:paraId="6BDC06D1" w14:textId="77777777" w:rsidR="005342D5" w:rsidRPr="0019790A" w:rsidRDefault="005342D5" w:rsidP="0019790A">
            <w:pPr>
              <w:rPr>
                <w:rFonts w:cs="Arial"/>
                <w:b/>
                <w:bCs/>
                <w:szCs w:val="22"/>
              </w:rPr>
            </w:pPr>
          </w:p>
        </w:tc>
        <w:tc>
          <w:tcPr>
            <w:tcW w:w="1254" w:type="dxa"/>
            <w:vAlign w:val="center"/>
          </w:tcPr>
          <w:p w14:paraId="72FE8119" w14:textId="77777777" w:rsidR="005342D5" w:rsidRPr="0019790A" w:rsidRDefault="005342D5" w:rsidP="00CD7662">
            <w:pPr>
              <w:jc w:val="center"/>
              <w:rPr>
                <w:rFonts w:cs="Arial"/>
                <w:b/>
                <w:szCs w:val="22"/>
              </w:rPr>
            </w:pPr>
          </w:p>
        </w:tc>
        <w:tc>
          <w:tcPr>
            <w:tcW w:w="1275" w:type="dxa"/>
            <w:shd w:val="clear" w:color="auto" w:fill="FFFFFF"/>
            <w:vAlign w:val="center"/>
          </w:tcPr>
          <w:p w14:paraId="28ABA1FB" w14:textId="77777777" w:rsidR="005342D5" w:rsidRPr="0019790A" w:rsidRDefault="005342D5" w:rsidP="00CD7662">
            <w:pPr>
              <w:jc w:val="center"/>
              <w:rPr>
                <w:rFonts w:cs="Arial"/>
                <w:b/>
                <w:szCs w:val="22"/>
              </w:rPr>
            </w:pPr>
            <w:r w:rsidRPr="0019790A">
              <w:rPr>
                <w:rFonts w:cs="Arial"/>
                <w:b/>
                <w:szCs w:val="22"/>
              </w:rPr>
              <w:t>600,0</w:t>
            </w:r>
          </w:p>
        </w:tc>
        <w:tc>
          <w:tcPr>
            <w:tcW w:w="1418" w:type="dxa"/>
            <w:gridSpan w:val="2"/>
            <w:shd w:val="clear" w:color="auto" w:fill="auto"/>
            <w:vAlign w:val="center"/>
          </w:tcPr>
          <w:p w14:paraId="5B71E470" w14:textId="77777777" w:rsidR="005342D5" w:rsidRPr="0019790A" w:rsidRDefault="005342D5" w:rsidP="00CD7662">
            <w:pPr>
              <w:jc w:val="center"/>
              <w:rPr>
                <w:rFonts w:cs="Arial"/>
                <w:b/>
                <w:szCs w:val="22"/>
              </w:rPr>
            </w:pPr>
            <w:r w:rsidRPr="0019790A">
              <w:rPr>
                <w:rFonts w:cs="Arial"/>
                <w:b/>
                <w:szCs w:val="22"/>
              </w:rPr>
              <w:t>200,0</w:t>
            </w:r>
          </w:p>
        </w:tc>
        <w:tc>
          <w:tcPr>
            <w:tcW w:w="1276" w:type="dxa"/>
            <w:shd w:val="clear" w:color="auto" w:fill="FFFFFF"/>
            <w:vAlign w:val="center"/>
          </w:tcPr>
          <w:p w14:paraId="3B5576C0" w14:textId="77777777" w:rsidR="005342D5" w:rsidRPr="0019790A" w:rsidRDefault="005342D5" w:rsidP="00CD7662">
            <w:pPr>
              <w:jc w:val="center"/>
              <w:rPr>
                <w:rFonts w:cs="Arial"/>
                <w:b/>
                <w:szCs w:val="22"/>
              </w:rPr>
            </w:pPr>
            <w:r w:rsidRPr="0019790A">
              <w:rPr>
                <w:rFonts w:cs="Arial"/>
                <w:b/>
                <w:szCs w:val="22"/>
              </w:rPr>
              <w:t>200,0</w:t>
            </w:r>
          </w:p>
        </w:tc>
        <w:tc>
          <w:tcPr>
            <w:tcW w:w="1571" w:type="dxa"/>
            <w:gridSpan w:val="2"/>
            <w:shd w:val="clear" w:color="auto" w:fill="FFFFFF"/>
            <w:vAlign w:val="center"/>
          </w:tcPr>
          <w:p w14:paraId="58B98A53" w14:textId="77777777" w:rsidR="005342D5" w:rsidRPr="0019790A" w:rsidRDefault="005342D5" w:rsidP="00CD7662">
            <w:pPr>
              <w:jc w:val="center"/>
              <w:rPr>
                <w:rFonts w:cs="Arial"/>
                <w:b/>
                <w:szCs w:val="22"/>
              </w:rPr>
            </w:pPr>
            <w:r w:rsidRPr="0019790A">
              <w:rPr>
                <w:rFonts w:cs="Arial"/>
                <w:b/>
                <w:szCs w:val="22"/>
              </w:rPr>
              <w:t>1000,0</w:t>
            </w:r>
          </w:p>
        </w:tc>
      </w:tr>
      <w:tr w:rsidR="005342D5" w:rsidRPr="0019790A" w14:paraId="3E7A9CB4" w14:textId="77777777" w:rsidTr="00CD7662">
        <w:trPr>
          <w:trHeight w:val="276"/>
          <w:jc w:val="right"/>
        </w:trPr>
        <w:tc>
          <w:tcPr>
            <w:tcW w:w="3425" w:type="dxa"/>
            <w:shd w:val="clear" w:color="auto" w:fill="FFFFFF"/>
            <w:vAlign w:val="center"/>
          </w:tcPr>
          <w:p w14:paraId="529BF4D8" w14:textId="77777777" w:rsidR="005342D5" w:rsidRPr="0019790A" w:rsidRDefault="005342D5" w:rsidP="0019790A">
            <w:pPr>
              <w:rPr>
                <w:rFonts w:cs="Arial"/>
                <w:b/>
                <w:bCs/>
                <w:szCs w:val="22"/>
              </w:rPr>
            </w:pPr>
            <w:r w:rsidRPr="0019790A">
              <w:rPr>
                <w:rFonts w:cs="Arial"/>
                <w:b/>
                <w:bCs/>
                <w:szCs w:val="22"/>
              </w:rPr>
              <w:t>по джерелах фінансування:</w:t>
            </w:r>
          </w:p>
        </w:tc>
        <w:tc>
          <w:tcPr>
            <w:tcW w:w="6794" w:type="dxa"/>
            <w:gridSpan w:val="7"/>
            <w:vAlign w:val="center"/>
          </w:tcPr>
          <w:p w14:paraId="440CEA05" w14:textId="77777777" w:rsidR="005342D5" w:rsidRPr="0019790A" w:rsidRDefault="005342D5" w:rsidP="00CD7662">
            <w:pPr>
              <w:jc w:val="center"/>
              <w:rPr>
                <w:rFonts w:cs="Arial"/>
                <w:szCs w:val="22"/>
              </w:rPr>
            </w:pPr>
          </w:p>
        </w:tc>
      </w:tr>
      <w:tr w:rsidR="00CD7662" w:rsidRPr="0019790A" w14:paraId="31D1E8B9" w14:textId="0765EDB8" w:rsidTr="00CD7662">
        <w:trPr>
          <w:trHeight w:val="240"/>
          <w:jc w:val="right"/>
        </w:trPr>
        <w:tc>
          <w:tcPr>
            <w:tcW w:w="3425" w:type="dxa"/>
            <w:shd w:val="clear" w:color="auto" w:fill="FFFFFF"/>
            <w:vAlign w:val="center"/>
          </w:tcPr>
          <w:p w14:paraId="00DA8BE6" w14:textId="77777777" w:rsidR="00CD7662" w:rsidRPr="0019790A" w:rsidRDefault="00CD7662" w:rsidP="0019790A">
            <w:pPr>
              <w:rPr>
                <w:rFonts w:cs="Arial"/>
                <w:b/>
                <w:bCs/>
                <w:szCs w:val="22"/>
              </w:rPr>
            </w:pPr>
            <w:r w:rsidRPr="0019790A">
              <w:rPr>
                <w:rFonts w:cs="Arial"/>
                <w:szCs w:val="22"/>
              </w:rPr>
              <w:t>- державний бюджет</w:t>
            </w:r>
          </w:p>
        </w:tc>
        <w:tc>
          <w:tcPr>
            <w:tcW w:w="1258" w:type="dxa"/>
            <w:vAlign w:val="center"/>
          </w:tcPr>
          <w:p w14:paraId="5B35963F" w14:textId="77777777" w:rsidR="00CD7662" w:rsidRPr="0019790A" w:rsidRDefault="00CD7662" w:rsidP="00CD7662">
            <w:pPr>
              <w:jc w:val="center"/>
              <w:rPr>
                <w:rFonts w:cs="Arial"/>
                <w:szCs w:val="22"/>
              </w:rPr>
            </w:pPr>
          </w:p>
        </w:tc>
        <w:tc>
          <w:tcPr>
            <w:tcW w:w="1286" w:type="dxa"/>
            <w:gridSpan w:val="2"/>
            <w:vAlign w:val="center"/>
          </w:tcPr>
          <w:p w14:paraId="5400CB17" w14:textId="77777777" w:rsidR="00CD7662" w:rsidRPr="0019790A" w:rsidRDefault="00CD7662" w:rsidP="00CD7662">
            <w:pPr>
              <w:jc w:val="center"/>
              <w:rPr>
                <w:rFonts w:cs="Arial"/>
                <w:szCs w:val="22"/>
              </w:rPr>
            </w:pPr>
          </w:p>
        </w:tc>
        <w:tc>
          <w:tcPr>
            <w:tcW w:w="1411" w:type="dxa"/>
            <w:vAlign w:val="center"/>
          </w:tcPr>
          <w:p w14:paraId="069C07A4" w14:textId="77777777" w:rsidR="00CD7662" w:rsidRPr="0019790A" w:rsidRDefault="00CD7662" w:rsidP="00CD7662">
            <w:pPr>
              <w:jc w:val="center"/>
              <w:rPr>
                <w:rFonts w:cs="Arial"/>
                <w:szCs w:val="22"/>
              </w:rPr>
            </w:pPr>
          </w:p>
        </w:tc>
        <w:tc>
          <w:tcPr>
            <w:tcW w:w="1286" w:type="dxa"/>
            <w:gridSpan w:val="2"/>
            <w:vAlign w:val="center"/>
          </w:tcPr>
          <w:p w14:paraId="20B23AAE" w14:textId="77777777" w:rsidR="00CD7662" w:rsidRPr="0019790A" w:rsidRDefault="00CD7662" w:rsidP="00CD7662">
            <w:pPr>
              <w:jc w:val="center"/>
              <w:rPr>
                <w:rFonts w:cs="Arial"/>
                <w:szCs w:val="22"/>
              </w:rPr>
            </w:pPr>
          </w:p>
        </w:tc>
        <w:tc>
          <w:tcPr>
            <w:tcW w:w="1553" w:type="dxa"/>
            <w:vAlign w:val="center"/>
          </w:tcPr>
          <w:p w14:paraId="6C5D5E58" w14:textId="77777777" w:rsidR="00CD7662" w:rsidRPr="0019790A" w:rsidRDefault="00CD7662" w:rsidP="00CD7662">
            <w:pPr>
              <w:jc w:val="center"/>
              <w:rPr>
                <w:rFonts w:cs="Arial"/>
                <w:szCs w:val="22"/>
              </w:rPr>
            </w:pPr>
          </w:p>
        </w:tc>
      </w:tr>
      <w:tr w:rsidR="00CD7662" w:rsidRPr="0019790A" w14:paraId="45C48716" w14:textId="22B88737" w:rsidTr="00CD7662">
        <w:trPr>
          <w:trHeight w:val="287"/>
          <w:jc w:val="right"/>
        </w:trPr>
        <w:tc>
          <w:tcPr>
            <w:tcW w:w="3425" w:type="dxa"/>
            <w:shd w:val="clear" w:color="auto" w:fill="FFFFFF"/>
            <w:vAlign w:val="center"/>
          </w:tcPr>
          <w:p w14:paraId="5CD9CD7C" w14:textId="77777777" w:rsidR="00CD7662" w:rsidRPr="0019790A" w:rsidRDefault="00CD7662" w:rsidP="0019790A">
            <w:pPr>
              <w:rPr>
                <w:rFonts w:cs="Arial"/>
                <w:szCs w:val="22"/>
              </w:rPr>
            </w:pPr>
            <w:r w:rsidRPr="0019790A">
              <w:rPr>
                <w:rFonts w:cs="Arial"/>
                <w:szCs w:val="22"/>
              </w:rPr>
              <w:t>- обласний бюджет</w:t>
            </w:r>
          </w:p>
        </w:tc>
        <w:tc>
          <w:tcPr>
            <w:tcW w:w="1258" w:type="dxa"/>
            <w:vAlign w:val="center"/>
          </w:tcPr>
          <w:p w14:paraId="2AACE471" w14:textId="77777777" w:rsidR="00CD7662" w:rsidRPr="0019790A" w:rsidRDefault="00CD7662" w:rsidP="00CD7662">
            <w:pPr>
              <w:jc w:val="center"/>
              <w:rPr>
                <w:rFonts w:cs="Arial"/>
                <w:szCs w:val="22"/>
              </w:rPr>
            </w:pPr>
          </w:p>
        </w:tc>
        <w:tc>
          <w:tcPr>
            <w:tcW w:w="1286" w:type="dxa"/>
            <w:gridSpan w:val="2"/>
            <w:vAlign w:val="center"/>
          </w:tcPr>
          <w:p w14:paraId="7616CE6D" w14:textId="77777777" w:rsidR="00CD7662" w:rsidRPr="0019790A" w:rsidRDefault="00CD7662" w:rsidP="00CD7662">
            <w:pPr>
              <w:jc w:val="center"/>
              <w:rPr>
                <w:rFonts w:cs="Arial"/>
                <w:szCs w:val="22"/>
              </w:rPr>
            </w:pPr>
          </w:p>
        </w:tc>
        <w:tc>
          <w:tcPr>
            <w:tcW w:w="1411" w:type="dxa"/>
            <w:vAlign w:val="center"/>
          </w:tcPr>
          <w:p w14:paraId="19F15D60" w14:textId="77777777" w:rsidR="00CD7662" w:rsidRPr="0019790A" w:rsidRDefault="00CD7662" w:rsidP="00CD7662">
            <w:pPr>
              <w:jc w:val="center"/>
              <w:rPr>
                <w:rFonts w:cs="Arial"/>
                <w:szCs w:val="22"/>
              </w:rPr>
            </w:pPr>
          </w:p>
        </w:tc>
        <w:tc>
          <w:tcPr>
            <w:tcW w:w="1286" w:type="dxa"/>
            <w:gridSpan w:val="2"/>
            <w:vAlign w:val="center"/>
          </w:tcPr>
          <w:p w14:paraId="229BD46B" w14:textId="77777777" w:rsidR="00CD7662" w:rsidRPr="0019790A" w:rsidRDefault="00CD7662" w:rsidP="00CD7662">
            <w:pPr>
              <w:jc w:val="center"/>
              <w:rPr>
                <w:rFonts w:cs="Arial"/>
                <w:szCs w:val="22"/>
              </w:rPr>
            </w:pPr>
          </w:p>
        </w:tc>
        <w:tc>
          <w:tcPr>
            <w:tcW w:w="1553" w:type="dxa"/>
            <w:vAlign w:val="center"/>
          </w:tcPr>
          <w:p w14:paraId="1C281A81" w14:textId="77777777" w:rsidR="00CD7662" w:rsidRPr="0019790A" w:rsidRDefault="00CD7662" w:rsidP="00CD7662">
            <w:pPr>
              <w:jc w:val="center"/>
              <w:rPr>
                <w:rFonts w:cs="Arial"/>
                <w:szCs w:val="22"/>
              </w:rPr>
            </w:pPr>
          </w:p>
        </w:tc>
      </w:tr>
      <w:tr w:rsidR="00CD7662" w:rsidRPr="0019790A" w14:paraId="0DC3410D" w14:textId="50891E4C" w:rsidTr="00CD7662">
        <w:trPr>
          <w:trHeight w:val="275"/>
          <w:jc w:val="right"/>
        </w:trPr>
        <w:tc>
          <w:tcPr>
            <w:tcW w:w="3425" w:type="dxa"/>
            <w:shd w:val="clear" w:color="auto" w:fill="FFFFFF"/>
            <w:vAlign w:val="center"/>
          </w:tcPr>
          <w:p w14:paraId="1F7F2E23" w14:textId="77777777" w:rsidR="00CD7662" w:rsidRPr="0019790A" w:rsidRDefault="00CD7662" w:rsidP="0019790A">
            <w:pPr>
              <w:rPr>
                <w:rFonts w:cs="Arial"/>
                <w:szCs w:val="22"/>
              </w:rPr>
            </w:pPr>
            <w:r w:rsidRPr="0019790A">
              <w:rPr>
                <w:rFonts w:cs="Arial"/>
                <w:szCs w:val="22"/>
              </w:rPr>
              <w:t>- бюджет Жмеринської МТГ</w:t>
            </w:r>
          </w:p>
        </w:tc>
        <w:tc>
          <w:tcPr>
            <w:tcW w:w="1258" w:type="dxa"/>
            <w:vAlign w:val="center"/>
          </w:tcPr>
          <w:p w14:paraId="6D19B1B4" w14:textId="76F69341" w:rsidR="00CD7662" w:rsidRPr="0019790A" w:rsidRDefault="00CD7662" w:rsidP="00CD7662">
            <w:pPr>
              <w:jc w:val="center"/>
              <w:rPr>
                <w:rFonts w:cs="Arial"/>
                <w:b/>
                <w:szCs w:val="22"/>
              </w:rPr>
            </w:pPr>
          </w:p>
        </w:tc>
        <w:tc>
          <w:tcPr>
            <w:tcW w:w="1286" w:type="dxa"/>
            <w:gridSpan w:val="2"/>
            <w:vAlign w:val="center"/>
          </w:tcPr>
          <w:p w14:paraId="45A28C0E" w14:textId="2821689D" w:rsidR="00CD7662" w:rsidRPr="0019790A" w:rsidRDefault="00CD7662" w:rsidP="00CD7662">
            <w:pPr>
              <w:ind w:left="26"/>
              <w:jc w:val="center"/>
              <w:rPr>
                <w:rFonts w:cs="Arial"/>
                <w:b/>
                <w:szCs w:val="22"/>
              </w:rPr>
            </w:pPr>
            <w:r w:rsidRPr="0019790A">
              <w:rPr>
                <w:rFonts w:cs="Arial"/>
                <w:b/>
                <w:szCs w:val="22"/>
              </w:rPr>
              <w:t>600,0</w:t>
            </w:r>
          </w:p>
        </w:tc>
        <w:tc>
          <w:tcPr>
            <w:tcW w:w="1411" w:type="dxa"/>
            <w:vAlign w:val="center"/>
          </w:tcPr>
          <w:p w14:paraId="1BBD2A57" w14:textId="6E882B09" w:rsidR="00CD7662" w:rsidRPr="0019790A" w:rsidRDefault="00CD7662" w:rsidP="00CD7662">
            <w:pPr>
              <w:ind w:left="110"/>
              <w:jc w:val="center"/>
              <w:rPr>
                <w:rFonts w:cs="Arial"/>
                <w:b/>
                <w:szCs w:val="22"/>
              </w:rPr>
            </w:pPr>
            <w:r w:rsidRPr="0019790A">
              <w:rPr>
                <w:rFonts w:cs="Arial"/>
                <w:b/>
                <w:szCs w:val="22"/>
              </w:rPr>
              <w:t>200,0</w:t>
            </w:r>
          </w:p>
        </w:tc>
        <w:tc>
          <w:tcPr>
            <w:tcW w:w="1286" w:type="dxa"/>
            <w:gridSpan w:val="2"/>
            <w:vAlign w:val="center"/>
          </w:tcPr>
          <w:p w14:paraId="5765FE3A" w14:textId="52034E2E" w:rsidR="00CD7662" w:rsidRPr="0019790A" w:rsidRDefault="00CD7662" w:rsidP="00CD7662">
            <w:pPr>
              <w:ind w:left="213"/>
              <w:jc w:val="center"/>
              <w:rPr>
                <w:rFonts w:cs="Arial"/>
                <w:b/>
                <w:szCs w:val="22"/>
              </w:rPr>
            </w:pPr>
            <w:r w:rsidRPr="0019790A">
              <w:rPr>
                <w:rFonts w:cs="Arial"/>
                <w:b/>
                <w:szCs w:val="22"/>
              </w:rPr>
              <w:t>200,0</w:t>
            </w:r>
          </w:p>
        </w:tc>
        <w:tc>
          <w:tcPr>
            <w:tcW w:w="1553" w:type="dxa"/>
            <w:vAlign w:val="center"/>
          </w:tcPr>
          <w:p w14:paraId="375C33A2" w14:textId="6AE443A0" w:rsidR="00CD7662" w:rsidRPr="0019790A" w:rsidRDefault="00CD7662" w:rsidP="00CD7662">
            <w:pPr>
              <w:ind w:left="421"/>
              <w:jc w:val="center"/>
              <w:rPr>
                <w:rFonts w:cs="Arial"/>
                <w:b/>
                <w:szCs w:val="22"/>
              </w:rPr>
            </w:pPr>
            <w:r w:rsidRPr="0019790A">
              <w:rPr>
                <w:rFonts w:cs="Arial"/>
                <w:b/>
                <w:szCs w:val="22"/>
              </w:rPr>
              <w:t>1000,0</w:t>
            </w:r>
          </w:p>
        </w:tc>
      </w:tr>
      <w:tr w:rsidR="00CD7662" w:rsidRPr="0019790A" w14:paraId="73A39774" w14:textId="3EFBE475" w:rsidTr="00CD7662">
        <w:trPr>
          <w:trHeight w:val="226"/>
          <w:jc w:val="right"/>
        </w:trPr>
        <w:tc>
          <w:tcPr>
            <w:tcW w:w="3425" w:type="dxa"/>
            <w:shd w:val="clear" w:color="auto" w:fill="FFFFFF"/>
            <w:vAlign w:val="center"/>
          </w:tcPr>
          <w:p w14:paraId="16A3508A" w14:textId="77777777" w:rsidR="00CD7662" w:rsidRPr="0019790A" w:rsidRDefault="00CD7662" w:rsidP="0019790A">
            <w:pPr>
              <w:rPr>
                <w:rFonts w:cs="Arial"/>
                <w:szCs w:val="22"/>
              </w:rPr>
            </w:pPr>
            <w:r w:rsidRPr="0019790A">
              <w:rPr>
                <w:rFonts w:cs="Arial"/>
                <w:szCs w:val="22"/>
              </w:rPr>
              <w:t>- інші джерела фінансування</w:t>
            </w:r>
          </w:p>
        </w:tc>
        <w:tc>
          <w:tcPr>
            <w:tcW w:w="1258" w:type="dxa"/>
            <w:vAlign w:val="center"/>
          </w:tcPr>
          <w:p w14:paraId="1255762F" w14:textId="77777777" w:rsidR="00CD7662" w:rsidRPr="0019790A" w:rsidRDefault="00CD7662" w:rsidP="00CD7662">
            <w:pPr>
              <w:jc w:val="center"/>
              <w:rPr>
                <w:rFonts w:cs="Arial"/>
                <w:szCs w:val="22"/>
              </w:rPr>
            </w:pPr>
          </w:p>
        </w:tc>
        <w:tc>
          <w:tcPr>
            <w:tcW w:w="1286" w:type="dxa"/>
            <w:gridSpan w:val="2"/>
            <w:vAlign w:val="center"/>
          </w:tcPr>
          <w:p w14:paraId="1E5983E1" w14:textId="77777777" w:rsidR="00CD7662" w:rsidRPr="0019790A" w:rsidRDefault="00CD7662" w:rsidP="00CD7662">
            <w:pPr>
              <w:jc w:val="center"/>
              <w:rPr>
                <w:rFonts w:cs="Arial"/>
                <w:szCs w:val="22"/>
              </w:rPr>
            </w:pPr>
          </w:p>
        </w:tc>
        <w:tc>
          <w:tcPr>
            <w:tcW w:w="1411" w:type="dxa"/>
            <w:vAlign w:val="center"/>
          </w:tcPr>
          <w:p w14:paraId="159053B1" w14:textId="77777777" w:rsidR="00CD7662" w:rsidRPr="0019790A" w:rsidRDefault="00CD7662" w:rsidP="00CD7662">
            <w:pPr>
              <w:jc w:val="center"/>
              <w:rPr>
                <w:rFonts w:cs="Arial"/>
                <w:szCs w:val="22"/>
              </w:rPr>
            </w:pPr>
          </w:p>
        </w:tc>
        <w:tc>
          <w:tcPr>
            <w:tcW w:w="1286" w:type="dxa"/>
            <w:gridSpan w:val="2"/>
            <w:vAlign w:val="center"/>
          </w:tcPr>
          <w:p w14:paraId="5160ECD5" w14:textId="77777777" w:rsidR="00CD7662" w:rsidRPr="0019790A" w:rsidRDefault="00CD7662" w:rsidP="00CD7662">
            <w:pPr>
              <w:jc w:val="center"/>
              <w:rPr>
                <w:rFonts w:cs="Arial"/>
                <w:szCs w:val="22"/>
              </w:rPr>
            </w:pPr>
          </w:p>
        </w:tc>
        <w:tc>
          <w:tcPr>
            <w:tcW w:w="1553" w:type="dxa"/>
            <w:vAlign w:val="center"/>
          </w:tcPr>
          <w:p w14:paraId="6078270E" w14:textId="77777777" w:rsidR="00CD7662" w:rsidRPr="0019790A" w:rsidRDefault="00CD7662" w:rsidP="00CD7662">
            <w:pPr>
              <w:jc w:val="center"/>
              <w:rPr>
                <w:rFonts w:cs="Arial"/>
                <w:szCs w:val="22"/>
              </w:rPr>
            </w:pPr>
          </w:p>
        </w:tc>
      </w:tr>
      <w:tr w:rsidR="005342D5" w:rsidRPr="0019790A" w14:paraId="2EA4E44F" w14:textId="77777777" w:rsidTr="00CF3AAE">
        <w:trPr>
          <w:jc w:val="right"/>
        </w:trPr>
        <w:tc>
          <w:tcPr>
            <w:tcW w:w="3425" w:type="dxa"/>
            <w:shd w:val="clear" w:color="auto" w:fill="FFFFFF"/>
            <w:vAlign w:val="center"/>
          </w:tcPr>
          <w:p w14:paraId="65F627B0" w14:textId="77777777" w:rsidR="005342D5" w:rsidRPr="0019790A" w:rsidRDefault="005342D5" w:rsidP="0019790A">
            <w:pPr>
              <w:rPr>
                <w:rFonts w:cs="Arial"/>
                <w:b/>
                <w:bCs/>
                <w:szCs w:val="22"/>
              </w:rPr>
            </w:pPr>
            <w:r w:rsidRPr="0019790A">
              <w:rPr>
                <w:rFonts w:cs="Arial"/>
                <w:b/>
                <w:szCs w:val="22"/>
              </w:rPr>
              <w:t>Відповідальний виконавець проєкту:</w:t>
            </w:r>
          </w:p>
        </w:tc>
        <w:tc>
          <w:tcPr>
            <w:tcW w:w="6794" w:type="dxa"/>
            <w:gridSpan w:val="7"/>
            <w:vAlign w:val="center"/>
          </w:tcPr>
          <w:p w14:paraId="2F5D702B" w14:textId="17298EF8" w:rsidR="005342D5" w:rsidRPr="0019790A" w:rsidRDefault="005342D5" w:rsidP="0019790A">
            <w:pPr>
              <w:rPr>
                <w:rFonts w:cs="Arial"/>
                <w:szCs w:val="22"/>
              </w:rPr>
            </w:pPr>
            <w:r w:rsidRPr="0019790A">
              <w:rPr>
                <w:rFonts w:cs="Arial"/>
                <w:szCs w:val="22"/>
              </w:rPr>
              <w:t xml:space="preserve">Відділ молоді та спорту Жмеринської </w:t>
            </w:r>
            <w:r w:rsidR="00CD7662" w:rsidRPr="0019790A">
              <w:rPr>
                <w:rFonts w:cs="Arial"/>
                <w:szCs w:val="22"/>
              </w:rPr>
              <w:t>міської</w:t>
            </w:r>
            <w:r w:rsidRPr="0019790A">
              <w:rPr>
                <w:rFonts w:cs="Arial"/>
                <w:szCs w:val="22"/>
              </w:rPr>
              <w:t xml:space="preserve"> ради, управління житлово-комунального господарства Жмеринської міської ради</w:t>
            </w:r>
          </w:p>
        </w:tc>
      </w:tr>
      <w:tr w:rsidR="005342D5" w:rsidRPr="0019790A" w14:paraId="72FF863F" w14:textId="77777777" w:rsidTr="00CF3AAE">
        <w:trPr>
          <w:jc w:val="right"/>
        </w:trPr>
        <w:tc>
          <w:tcPr>
            <w:tcW w:w="3425" w:type="dxa"/>
            <w:shd w:val="clear" w:color="auto" w:fill="FFFFFF"/>
            <w:vAlign w:val="center"/>
          </w:tcPr>
          <w:p w14:paraId="06D77781" w14:textId="77777777" w:rsidR="005342D5" w:rsidRPr="0019790A" w:rsidRDefault="005342D5" w:rsidP="0019790A">
            <w:pPr>
              <w:rPr>
                <w:rFonts w:cs="Arial"/>
                <w:b/>
                <w:bCs/>
                <w:szCs w:val="22"/>
              </w:rPr>
            </w:pPr>
            <w:r w:rsidRPr="0019790A">
              <w:rPr>
                <w:rFonts w:cs="Arial"/>
                <w:b/>
                <w:bCs/>
                <w:szCs w:val="22"/>
              </w:rPr>
              <w:t>Інше:</w:t>
            </w:r>
          </w:p>
        </w:tc>
        <w:tc>
          <w:tcPr>
            <w:tcW w:w="6794" w:type="dxa"/>
            <w:gridSpan w:val="7"/>
            <w:vAlign w:val="center"/>
          </w:tcPr>
          <w:p w14:paraId="13104A4F" w14:textId="77777777" w:rsidR="005342D5" w:rsidRPr="0019790A" w:rsidRDefault="005342D5" w:rsidP="0019790A">
            <w:pPr>
              <w:rPr>
                <w:rFonts w:cs="Arial"/>
                <w:szCs w:val="22"/>
              </w:rPr>
            </w:pPr>
          </w:p>
        </w:tc>
      </w:tr>
    </w:tbl>
    <w:p w14:paraId="4FCE1F03" w14:textId="77777777" w:rsidR="005342D5" w:rsidRPr="0019790A" w:rsidRDefault="005342D5" w:rsidP="0019790A">
      <w:pPr>
        <w:rPr>
          <w:rFonts w:cs="Arial"/>
          <w:szCs w:val="22"/>
        </w:rPr>
      </w:pPr>
    </w:p>
    <w:p w14:paraId="628746C8" w14:textId="77777777" w:rsidR="005342D5" w:rsidRPr="0019790A" w:rsidRDefault="005342D5" w:rsidP="0019790A">
      <w:pPr>
        <w:jc w:val="center"/>
        <w:rPr>
          <w:rFonts w:cs="Arial"/>
          <w:b/>
          <w:szCs w:val="22"/>
        </w:rPr>
      </w:pPr>
      <w:r w:rsidRPr="0019790A">
        <w:rPr>
          <w:rFonts w:cs="Arial"/>
          <w:b/>
          <w:szCs w:val="22"/>
        </w:rPr>
        <w:t>Форма технічного завдання на проєкт місцевого розвитку</w:t>
      </w:r>
    </w:p>
    <w:p w14:paraId="7AB352A0" w14:textId="77777777" w:rsidR="005342D5" w:rsidRPr="0019790A" w:rsidRDefault="005342D5" w:rsidP="0019790A">
      <w:pPr>
        <w:jc w:val="center"/>
        <w:rPr>
          <w:rFonts w:cs="Arial"/>
          <w:b/>
          <w:szCs w:val="22"/>
        </w:rPr>
      </w:pPr>
      <w:r w:rsidRPr="0019790A">
        <w:rPr>
          <w:rFonts w:cs="Arial"/>
          <w:b/>
          <w:szCs w:val="22"/>
        </w:rPr>
        <w:t>до Плану заходів з реалізації Стратегії</w:t>
      </w:r>
    </w:p>
    <w:p w14:paraId="4C75BA83" w14:textId="77777777" w:rsidR="005342D5" w:rsidRPr="0019790A" w:rsidRDefault="005342D5"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4"/>
        <w:gridCol w:w="1254"/>
        <w:gridCol w:w="23"/>
        <w:gridCol w:w="1252"/>
        <w:gridCol w:w="15"/>
        <w:gridCol w:w="1403"/>
        <w:gridCol w:w="1276"/>
        <w:gridCol w:w="30"/>
        <w:gridCol w:w="1542"/>
      </w:tblGrid>
      <w:tr w:rsidR="005342D5" w:rsidRPr="0019790A" w14:paraId="670AA6AD" w14:textId="77777777" w:rsidTr="00CD7662">
        <w:trPr>
          <w:jc w:val="right"/>
        </w:trPr>
        <w:tc>
          <w:tcPr>
            <w:tcW w:w="3425" w:type="dxa"/>
            <w:vAlign w:val="center"/>
          </w:tcPr>
          <w:p w14:paraId="5B810D21" w14:textId="77777777" w:rsidR="005342D5" w:rsidRPr="0019790A" w:rsidRDefault="005342D5" w:rsidP="0019790A">
            <w:pPr>
              <w:rPr>
                <w:rFonts w:cs="Arial"/>
                <w:b/>
                <w:bCs/>
                <w:szCs w:val="22"/>
              </w:rPr>
            </w:pPr>
            <w:r w:rsidRPr="0019790A">
              <w:rPr>
                <w:rFonts w:cs="Arial"/>
                <w:b/>
                <w:bCs/>
                <w:szCs w:val="22"/>
              </w:rPr>
              <w:t>Назва проєкту:</w:t>
            </w:r>
          </w:p>
        </w:tc>
        <w:tc>
          <w:tcPr>
            <w:tcW w:w="6794" w:type="dxa"/>
            <w:gridSpan w:val="8"/>
            <w:vAlign w:val="center"/>
          </w:tcPr>
          <w:p w14:paraId="00E18727" w14:textId="15144445" w:rsidR="005342D5" w:rsidRPr="00CD7662" w:rsidRDefault="005342D5" w:rsidP="00CD7662">
            <w:pPr>
              <w:tabs>
                <w:tab w:val="left" w:pos="258"/>
              </w:tabs>
              <w:jc w:val="both"/>
              <w:rPr>
                <w:rFonts w:cs="Arial"/>
                <w:b/>
                <w:szCs w:val="22"/>
              </w:rPr>
            </w:pPr>
            <w:r w:rsidRPr="00CD7662">
              <w:rPr>
                <w:rFonts w:cs="Arial"/>
                <w:b/>
                <w:szCs w:val="22"/>
              </w:rPr>
              <w:t>«Молодь.</w:t>
            </w:r>
            <w:r w:rsidR="00CD7662" w:rsidRPr="00CD7662">
              <w:rPr>
                <w:rFonts w:cs="Arial"/>
                <w:b/>
                <w:szCs w:val="22"/>
              </w:rPr>
              <w:t xml:space="preserve"> </w:t>
            </w:r>
            <w:r w:rsidRPr="00CD7662">
              <w:rPr>
                <w:rFonts w:cs="Arial"/>
                <w:b/>
                <w:szCs w:val="22"/>
              </w:rPr>
              <w:t>Здоров’я.</w:t>
            </w:r>
            <w:r w:rsidR="00CD7662" w:rsidRPr="00CD7662">
              <w:rPr>
                <w:rFonts w:cs="Arial"/>
                <w:b/>
                <w:szCs w:val="22"/>
              </w:rPr>
              <w:t xml:space="preserve"> </w:t>
            </w:r>
            <w:r w:rsidRPr="00CD7662">
              <w:rPr>
                <w:rFonts w:cs="Arial"/>
                <w:b/>
                <w:szCs w:val="22"/>
              </w:rPr>
              <w:t>Дія» – підтримка молодіжних ініціатив задля активного та здорового життя громади</w:t>
            </w:r>
          </w:p>
        </w:tc>
      </w:tr>
      <w:tr w:rsidR="005342D5" w:rsidRPr="0019790A" w14:paraId="143F00A5" w14:textId="77777777" w:rsidTr="00CD7662">
        <w:trPr>
          <w:jc w:val="right"/>
        </w:trPr>
        <w:tc>
          <w:tcPr>
            <w:tcW w:w="3425" w:type="dxa"/>
          </w:tcPr>
          <w:p w14:paraId="1EA92DF1" w14:textId="77777777" w:rsidR="005342D5" w:rsidRPr="0019790A" w:rsidRDefault="005342D5" w:rsidP="0019790A">
            <w:pPr>
              <w:rPr>
                <w:rFonts w:cs="Arial"/>
                <w:szCs w:val="22"/>
              </w:rPr>
            </w:pPr>
            <w:r w:rsidRPr="0019790A">
              <w:rPr>
                <w:rFonts w:cs="Arial"/>
                <w:b/>
                <w:bCs/>
                <w:szCs w:val="22"/>
              </w:rPr>
              <w:t>Ваші контакти</w:t>
            </w:r>
            <w:r w:rsidRPr="0019790A">
              <w:rPr>
                <w:rFonts w:cs="Arial"/>
                <w:szCs w:val="22"/>
              </w:rPr>
              <w:t>:</w:t>
            </w:r>
          </w:p>
          <w:p w14:paraId="5B54357D" w14:textId="77777777" w:rsidR="005342D5" w:rsidRPr="0019790A" w:rsidRDefault="005342D5" w:rsidP="0019790A">
            <w:pPr>
              <w:rPr>
                <w:rFonts w:cs="Arial"/>
                <w:b/>
                <w:bCs/>
                <w:szCs w:val="22"/>
              </w:rPr>
            </w:pPr>
            <w:r w:rsidRPr="0019790A">
              <w:rPr>
                <w:rFonts w:cs="Arial"/>
                <w:szCs w:val="22"/>
              </w:rPr>
              <w:t>Назва установи, організації, підприємства</w:t>
            </w:r>
          </w:p>
        </w:tc>
        <w:tc>
          <w:tcPr>
            <w:tcW w:w="6794" w:type="dxa"/>
            <w:gridSpan w:val="8"/>
            <w:vAlign w:val="center"/>
          </w:tcPr>
          <w:p w14:paraId="4894EC6E" w14:textId="77777777" w:rsidR="005342D5" w:rsidRPr="0019790A" w:rsidRDefault="005342D5" w:rsidP="00CD7662">
            <w:pPr>
              <w:tabs>
                <w:tab w:val="left" w:pos="258"/>
              </w:tabs>
              <w:jc w:val="both"/>
              <w:rPr>
                <w:rFonts w:cs="Arial"/>
                <w:szCs w:val="22"/>
              </w:rPr>
            </w:pPr>
            <w:r w:rsidRPr="0019790A">
              <w:rPr>
                <w:rFonts w:cs="Arial"/>
                <w:szCs w:val="22"/>
              </w:rPr>
              <w:t>Відділ молоді та спорту Жмеринської міської ради</w:t>
            </w:r>
          </w:p>
        </w:tc>
      </w:tr>
      <w:tr w:rsidR="005342D5" w:rsidRPr="0019790A" w14:paraId="5603FE2B" w14:textId="77777777" w:rsidTr="00CD7662">
        <w:trPr>
          <w:jc w:val="right"/>
        </w:trPr>
        <w:tc>
          <w:tcPr>
            <w:tcW w:w="3425" w:type="dxa"/>
          </w:tcPr>
          <w:p w14:paraId="500874C2" w14:textId="77777777" w:rsidR="005342D5" w:rsidRPr="0019790A" w:rsidRDefault="005342D5" w:rsidP="0019790A">
            <w:pPr>
              <w:rPr>
                <w:rFonts w:cs="Arial"/>
                <w:b/>
                <w:bCs/>
                <w:szCs w:val="22"/>
              </w:rPr>
            </w:pPr>
            <w:r w:rsidRPr="0019790A">
              <w:rPr>
                <w:rFonts w:cs="Arial"/>
                <w:szCs w:val="22"/>
              </w:rPr>
              <w:t>Прізвище Ім’я По-батькові:</w:t>
            </w:r>
          </w:p>
        </w:tc>
        <w:tc>
          <w:tcPr>
            <w:tcW w:w="6794" w:type="dxa"/>
            <w:gridSpan w:val="8"/>
            <w:vAlign w:val="center"/>
          </w:tcPr>
          <w:p w14:paraId="6F7426DE" w14:textId="77777777" w:rsidR="005342D5" w:rsidRPr="0019790A" w:rsidRDefault="005342D5" w:rsidP="00CD7662">
            <w:pPr>
              <w:tabs>
                <w:tab w:val="left" w:pos="258"/>
              </w:tabs>
              <w:jc w:val="both"/>
              <w:rPr>
                <w:rFonts w:cs="Arial"/>
                <w:szCs w:val="22"/>
              </w:rPr>
            </w:pPr>
            <w:r w:rsidRPr="0019790A">
              <w:rPr>
                <w:rFonts w:cs="Arial"/>
                <w:szCs w:val="22"/>
              </w:rPr>
              <w:t>Ковальська Олена Віталіївна</w:t>
            </w:r>
          </w:p>
        </w:tc>
      </w:tr>
      <w:tr w:rsidR="005342D5" w:rsidRPr="0019790A" w14:paraId="54A9DBEF" w14:textId="77777777" w:rsidTr="00CD7662">
        <w:trPr>
          <w:jc w:val="right"/>
        </w:trPr>
        <w:tc>
          <w:tcPr>
            <w:tcW w:w="3425" w:type="dxa"/>
          </w:tcPr>
          <w:p w14:paraId="723AAAA2" w14:textId="77777777" w:rsidR="005342D5" w:rsidRPr="0019790A" w:rsidRDefault="005342D5" w:rsidP="0019790A">
            <w:pPr>
              <w:rPr>
                <w:rFonts w:cs="Arial"/>
                <w:b/>
                <w:bCs/>
                <w:szCs w:val="22"/>
              </w:rPr>
            </w:pPr>
            <w:r w:rsidRPr="0019790A">
              <w:rPr>
                <w:rFonts w:cs="Arial"/>
                <w:szCs w:val="22"/>
              </w:rPr>
              <w:t>Телефон (мобільний):</w:t>
            </w:r>
          </w:p>
        </w:tc>
        <w:tc>
          <w:tcPr>
            <w:tcW w:w="6794" w:type="dxa"/>
            <w:gridSpan w:val="8"/>
            <w:vAlign w:val="center"/>
          </w:tcPr>
          <w:p w14:paraId="4FB10216" w14:textId="77777777" w:rsidR="005342D5" w:rsidRPr="0019790A" w:rsidRDefault="005342D5" w:rsidP="00CD7662">
            <w:pPr>
              <w:tabs>
                <w:tab w:val="left" w:pos="258"/>
              </w:tabs>
              <w:jc w:val="both"/>
              <w:rPr>
                <w:rFonts w:cs="Arial"/>
                <w:szCs w:val="22"/>
              </w:rPr>
            </w:pPr>
            <w:r w:rsidRPr="0019790A">
              <w:rPr>
                <w:rFonts w:cs="Arial"/>
                <w:szCs w:val="22"/>
              </w:rPr>
              <w:t>096-068-94-79</w:t>
            </w:r>
          </w:p>
        </w:tc>
      </w:tr>
      <w:tr w:rsidR="005342D5" w:rsidRPr="0019790A" w14:paraId="016BB838" w14:textId="77777777" w:rsidTr="00CD7662">
        <w:trPr>
          <w:jc w:val="right"/>
        </w:trPr>
        <w:tc>
          <w:tcPr>
            <w:tcW w:w="3425" w:type="dxa"/>
          </w:tcPr>
          <w:p w14:paraId="136746C7" w14:textId="77777777" w:rsidR="005342D5" w:rsidRPr="0019790A" w:rsidRDefault="005342D5" w:rsidP="0019790A">
            <w:pPr>
              <w:rPr>
                <w:rFonts w:cs="Arial"/>
                <w:b/>
                <w:bCs/>
                <w:szCs w:val="22"/>
              </w:rPr>
            </w:pPr>
            <w:r w:rsidRPr="0019790A">
              <w:rPr>
                <w:rFonts w:cs="Arial"/>
                <w:szCs w:val="22"/>
              </w:rPr>
              <w:t>Електронна адреса:</w:t>
            </w:r>
          </w:p>
        </w:tc>
        <w:tc>
          <w:tcPr>
            <w:tcW w:w="6794" w:type="dxa"/>
            <w:gridSpan w:val="8"/>
            <w:vAlign w:val="center"/>
          </w:tcPr>
          <w:p w14:paraId="7C1309CB" w14:textId="77777777" w:rsidR="005342D5" w:rsidRPr="0019790A" w:rsidRDefault="00D85FFD" w:rsidP="00CD7662">
            <w:pPr>
              <w:tabs>
                <w:tab w:val="left" w:pos="258"/>
              </w:tabs>
              <w:jc w:val="both"/>
              <w:rPr>
                <w:rFonts w:cs="Arial"/>
                <w:szCs w:val="22"/>
              </w:rPr>
            </w:pPr>
            <w:hyperlink r:id="rId168" w:history="1">
              <w:r w:rsidR="005342D5" w:rsidRPr="0019790A">
                <w:rPr>
                  <w:rStyle w:val="af0"/>
                  <w:rFonts w:cs="Arial"/>
                  <w:b/>
                  <w:bCs/>
                  <w:noProof w:val="0"/>
                  <w:sz w:val="22"/>
                  <w:szCs w:val="22"/>
                </w:rPr>
                <w:t>ms@zhmr.gov.ua</w:t>
              </w:r>
            </w:hyperlink>
          </w:p>
        </w:tc>
      </w:tr>
      <w:tr w:rsidR="005342D5" w:rsidRPr="0019790A" w14:paraId="7BB8F783" w14:textId="77777777" w:rsidTr="001A5BC7">
        <w:trPr>
          <w:trHeight w:val="1386"/>
          <w:jc w:val="right"/>
        </w:trPr>
        <w:tc>
          <w:tcPr>
            <w:tcW w:w="3425" w:type="dxa"/>
            <w:vAlign w:val="center"/>
          </w:tcPr>
          <w:p w14:paraId="1C86FF68" w14:textId="77777777" w:rsidR="005342D5" w:rsidRPr="0019790A" w:rsidRDefault="005342D5" w:rsidP="0019790A">
            <w:pPr>
              <w:rPr>
                <w:rFonts w:cs="Arial"/>
                <w:b/>
                <w:bCs/>
                <w:szCs w:val="22"/>
              </w:rPr>
            </w:pPr>
            <w:r w:rsidRPr="0019790A">
              <w:rPr>
                <w:rFonts w:cs="Arial"/>
                <w:b/>
                <w:bCs/>
                <w:szCs w:val="22"/>
              </w:rPr>
              <w:t>Номер і назва завдання з Стратегії розвитку Жмеринської міської територіальної громади,  якому відповідає проєкт:</w:t>
            </w:r>
          </w:p>
        </w:tc>
        <w:tc>
          <w:tcPr>
            <w:tcW w:w="6794" w:type="dxa"/>
            <w:gridSpan w:val="8"/>
            <w:vAlign w:val="center"/>
          </w:tcPr>
          <w:p w14:paraId="02010211" w14:textId="77777777" w:rsidR="005342D5" w:rsidRPr="0019790A" w:rsidRDefault="005342D5" w:rsidP="00CD7662">
            <w:pPr>
              <w:tabs>
                <w:tab w:val="left" w:pos="258"/>
              </w:tabs>
              <w:jc w:val="both"/>
              <w:rPr>
                <w:rFonts w:cs="Arial"/>
                <w:b/>
                <w:szCs w:val="22"/>
              </w:rPr>
            </w:pPr>
            <w:r w:rsidRPr="0019790A">
              <w:rPr>
                <w:rFonts w:cs="Arial"/>
                <w:b/>
                <w:szCs w:val="22"/>
              </w:rPr>
              <w:t xml:space="preserve">С.3.5.8. </w:t>
            </w:r>
            <w:r w:rsidRPr="0019790A">
              <w:rPr>
                <w:rFonts w:cs="Arial"/>
                <w:b/>
                <w:iCs/>
                <w:szCs w:val="22"/>
              </w:rPr>
              <w:t>Реалізація молодіжних ініціатив щодо здорового способу життя, молодіжних акцій, флешмобів, нових видів спорту.</w:t>
            </w:r>
          </w:p>
        </w:tc>
      </w:tr>
      <w:tr w:rsidR="005342D5" w:rsidRPr="0019790A" w14:paraId="41F16E30" w14:textId="77777777" w:rsidTr="00CD7662">
        <w:trPr>
          <w:trHeight w:val="673"/>
          <w:jc w:val="right"/>
        </w:trPr>
        <w:tc>
          <w:tcPr>
            <w:tcW w:w="3425" w:type="dxa"/>
            <w:vAlign w:val="center"/>
          </w:tcPr>
          <w:p w14:paraId="01FC6108" w14:textId="77777777" w:rsidR="005342D5" w:rsidRPr="0019790A" w:rsidRDefault="005342D5" w:rsidP="0019790A">
            <w:pPr>
              <w:rPr>
                <w:rFonts w:cs="Arial"/>
                <w:b/>
                <w:bCs/>
                <w:szCs w:val="22"/>
              </w:rPr>
            </w:pPr>
            <w:r w:rsidRPr="0019790A">
              <w:rPr>
                <w:rFonts w:cs="Arial"/>
                <w:b/>
                <w:bCs/>
                <w:szCs w:val="22"/>
              </w:rPr>
              <w:t>Мета проєкту:</w:t>
            </w:r>
          </w:p>
        </w:tc>
        <w:tc>
          <w:tcPr>
            <w:tcW w:w="6794" w:type="dxa"/>
            <w:gridSpan w:val="8"/>
            <w:vAlign w:val="center"/>
          </w:tcPr>
          <w:p w14:paraId="4A23293A" w14:textId="77777777" w:rsidR="005342D5" w:rsidRPr="0019790A" w:rsidRDefault="005342D5" w:rsidP="00CD7662">
            <w:pPr>
              <w:tabs>
                <w:tab w:val="left" w:pos="258"/>
              </w:tabs>
              <w:jc w:val="both"/>
              <w:rPr>
                <w:rFonts w:cs="Arial"/>
                <w:szCs w:val="22"/>
              </w:rPr>
            </w:pPr>
            <w:r w:rsidRPr="0019790A">
              <w:rPr>
                <w:rFonts w:cs="Arial"/>
                <w:szCs w:val="22"/>
              </w:rPr>
              <w:t>Сприяти розвитку молодіжної активності та популяризації здорового способу життя шляхом підтримки локальних ініціатив, акцій, флешмобів і заходів з новітніх видів спорту.</w:t>
            </w:r>
          </w:p>
        </w:tc>
      </w:tr>
      <w:tr w:rsidR="005342D5" w:rsidRPr="0019790A" w14:paraId="5E98B705" w14:textId="77777777" w:rsidTr="00CD7662">
        <w:trPr>
          <w:jc w:val="right"/>
        </w:trPr>
        <w:tc>
          <w:tcPr>
            <w:tcW w:w="3425" w:type="dxa"/>
            <w:vAlign w:val="center"/>
          </w:tcPr>
          <w:p w14:paraId="661D094B" w14:textId="77777777" w:rsidR="005342D5" w:rsidRPr="0019790A" w:rsidRDefault="005342D5" w:rsidP="0019790A">
            <w:pPr>
              <w:rPr>
                <w:rFonts w:cs="Arial"/>
                <w:b/>
                <w:bCs/>
                <w:szCs w:val="22"/>
              </w:rPr>
            </w:pPr>
            <w:r w:rsidRPr="0019790A">
              <w:rPr>
                <w:rFonts w:cs="Arial"/>
                <w:b/>
                <w:bCs/>
                <w:szCs w:val="22"/>
              </w:rPr>
              <w:t>Цілі проєкту:</w:t>
            </w:r>
          </w:p>
        </w:tc>
        <w:tc>
          <w:tcPr>
            <w:tcW w:w="6794" w:type="dxa"/>
            <w:gridSpan w:val="8"/>
            <w:vAlign w:val="center"/>
          </w:tcPr>
          <w:p w14:paraId="02FA64A2" w14:textId="77777777" w:rsidR="005342D5" w:rsidRPr="0019790A" w:rsidRDefault="005342D5" w:rsidP="00CD7662">
            <w:pPr>
              <w:numPr>
                <w:ilvl w:val="0"/>
                <w:numId w:val="114"/>
              </w:numPr>
              <w:tabs>
                <w:tab w:val="left" w:pos="258"/>
              </w:tabs>
              <w:ind w:left="0" w:firstLine="0"/>
              <w:jc w:val="both"/>
              <w:rPr>
                <w:rFonts w:cs="Arial"/>
                <w:szCs w:val="22"/>
              </w:rPr>
            </w:pPr>
            <w:r w:rsidRPr="0019790A">
              <w:rPr>
                <w:rFonts w:cs="Arial"/>
                <w:szCs w:val="22"/>
              </w:rPr>
              <w:t>Активізувати молодь до ініціативної участі в житті громади.</w:t>
            </w:r>
          </w:p>
          <w:p w14:paraId="5AF33AEB" w14:textId="77777777" w:rsidR="005342D5" w:rsidRPr="0019790A" w:rsidRDefault="005342D5" w:rsidP="00CD7662">
            <w:pPr>
              <w:numPr>
                <w:ilvl w:val="0"/>
                <w:numId w:val="114"/>
              </w:numPr>
              <w:tabs>
                <w:tab w:val="left" w:pos="258"/>
              </w:tabs>
              <w:ind w:left="0" w:firstLine="0"/>
              <w:jc w:val="both"/>
              <w:rPr>
                <w:rFonts w:cs="Arial"/>
                <w:szCs w:val="22"/>
              </w:rPr>
            </w:pPr>
            <w:r w:rsidRPr="0019790A">
              <w:rPr>
                <w:rFonts w:cs="Arial"/>
                <w:szCs w:val="22"/>
              </w:rPr>
              <w:t>Поширити практики здорового способу життя серед молодого населення.</w:t>
            </w:r>
          </w:p>
          <w:p w14:paraId="40283FAF" w14:textId="77777777" w:rsidR="005342D5" w:rsidRPr="0019790A" w:rsidRDefault="005342D5" w:rsidP="00CD7662">
            <w:pPr>
              <w:numPr>
                <w:ilvl w:val="0"/>
                <w:numId w:val="114"/>
              </w:numPr>
              <w:tabs>
                <w:tab w:val="left" w:pos="258"/>
              </w:tabs>
              <w:ind w:left="0" w:firstLine="0"/>
              <w:jc w:val="both"/>
              <w:rPr>
                <w:rFonts w:cs="Arial"/>
                <w:szCs w:val="22"/>
              </w:rPr>
            </w:pPr>
            <w:r w:rsidRPr="0019790A">
              <w:rPr>
                <w:rFonts w:cs="Arial"/>
                <w:szCs w:val="22"/>
              </w:rPr>
              <w:t>Підтримати молодіжні ініціативи, спрямовані на спортивну активність.</w:t>
            </w:r>
          </w:p>
          <w:p w14:paraId="63200625" w14:textId="77777777" w:rsidR="005342D5" w:rsidRPr="0019790A" w:rsidRDefault="005342D5" w:rsidP="00CD7662">
            <w:pPr>
              <w:numPr>
                <w:ilvl w:val="0"/>
                <w:numId w:val="114"/>
              </w:numPr>
              <w:tabs>
                <w:tab w:val="left" w:pos="258"/>
              </w:tabs>
              <w:ind w:left="0" w:firstLine="0"/>
              <w:jc w:val="both"/>
              <w:rPr>
                <w:rFonts w:cs="Arial"/>
                <w:szCs w:val="22"/>
              </w:rPr>
            </w:pPr>
            <w:r w:rsidRPr="0019790A">
              <w:rPr>
                <w:rFonts w:cs="Arial"/>
                <w:szCs w:val="22"/>
              </w:rPr>
              <w:t>Створити позитивну альтернативу пасивному дозвіллю.</w:t>
            </w:r>
          </w:p>
        </w:tc>
      </w:tr>
      <w:tr w:rsidR="005342D5" w:rsidRPr="0019790A" w14:paraId="4BC1CCBA" w14:textId="77777777" w:rsidTr="00CD7662">
        <w:trPr>
          <w:trHeight w:val="641"/>
          <w:jc w:val="right"/>
        </w:trPr>
        <w:tc>
          <w:tcPr>
            <w:tcW w:w="3425" w:type="dxa"/>
            <w:vAlign w:val="center"/>
          </w:tcPr>
          <w:p w14:paraId="23B22524" w14:textId="77777777" w:rsidR="005342D5" w:rsidRPr="0019790A" w:rsidRDefault="005342D5" w:rsidP="0019790A">
            <w:pPr>
              <w:rPr>
                <w:rFonts w:cs="Arial"/>
                <w:b/>
                <w:szCs w:val="22"/>
              </w:rPr>
            </w:pPr>
            <w:r w:rsidRPr="0019790A">
              <w:rPr>
                <w:rFonts w:cs="Arial"/>
                <w:b/>
                <w:szCs w:val="22"/>
              </w:rPr>
              <w:t>Територія на яку проєкт матиме вплив:</w:t>
            </w:r>
          </w:p>
        </w:tc>
        <w:tc>
          <w:tcPr>
            <w:tcW w:w="6794" w:type="dxa"/>
            <w:gridSpan w:val="8"/>
            <w:vAlign w:val="center"/>
          </w:tcPr>
          <w:p w14:paraId="0447A641" w14:textId="77777777" w:rsidR="005342D5" w:rsidRPr="0019790A" w:rsidRDefault="005342D5" w:rsidP="00CD7662">
            <w:pPr>
              <w:tabs>
                <w:tab w:val="left" w:pos="258"/>
              </w:tabs>
              <w:jc w:val="both"/>
              <w:rPr>
                <w:rFonts w:cs="Arial"/>
                <w:szCs w:val="22"/>
              </w:rPr>
            </w:pPr>
            <w:r w:rsidRPr="0019790A">
              <w:rPr>
                <w:rFonts w:cs="Arial"/>
                <w:szCs w:val="22"/>
              </w:rPr>
              <w:t>Жмеринська міська територіальна громада</w:t>
            </w:r>
          </w:p>
        </w:tc>
      </w:tr>
      <w:tr w:rsidR="005342D5" w:rsidRPr="0019790A" w14:paraId="162C98F8" w14:textId="77777777" w:rsidTr="00CD7662">
        <w:trPr>
          <w:jc w:val="right"/>
        </w:trPr>
        <w:tc>
          <w:tcPr>
            <w:tcW w:w="3425" w:type="dxa"/>
            <w:vAlign w:val="center"/>
          </w:tcPr>
          <w:p w14:paraId="64D7CF7D" w14:textId="77777777" w:rsidR="005342D5" w:rsidRPr="0019790A" w:rsidRDefault="005342D5" w:rsidP="0019790A">
            <w:pPr>
              <w:rPr>
                <w:rFonts w:cs="Arial"/>
                <w:b/>
                <w:szCs w:val="22"/>
              </w:rPr>
            </w:pPr>
            <w:r w:rsidRPr="0019790A">
              <w:rPr>
                <w:rFonts w:cs="Arial"/>
                <w:b/>
                <w:szCs w:val="22"/>
              </w:rPr>
              <w:t>Цільові групи проєкту та кількість отримувачів вигоди</w:t>
            </w:r>
          </w:p>
        </w:tc>
        <w:tc>
          <w:tcPr>
            <w:tcW w:w="6794" w:type="dxa"/>
            <w:gridSpan w:val="8"/>
            <w:vAlign w:val="center"/>
          </w:tcPr>
          <w:p w14:paraId="463FD908" w14:textId="77777777" w:rsidR="005342D5" w:rsidRPr="0019790A" w:rsidRDefault="005342D5" w:rsidP="00CD7662">
            <w:pPr>
              <w:numPr>
                <w:ilvl w:val="0"/>
                <w:numId w:val="115"/>
              </w:numPr>
              <w:tabs>
                <w:tab w:val="left" w:pos="258"/>
              </w:tabs>
              <w:ind w:left="0" w:firstLine="0"/>
              <w:jc w:val="both"/>
              <w:rPr>
                <w:rFonts w:cs="Arial"/>
                <w:szCs w:val="22"/>
              </w:rPr>
            </w:pPr>
            <w:r w:rsidRPr="0019790A">
              <w:rPr>
                <w:rFonts w:cs="Arial"/>
                <w:szCs w:val="22"/>
              </w:rPr>
              <w:t>Молодь громади віком 14–35 років</w:t>
            </w:r>
          </w:p>
          <w:p w14:paraId="1A75F3F5" w14:textId="77777777" w:rsidR="005342D5" w:rsidRPr="0019790A" w:rsidRDefault="005342D5" w:rsidP="00CD7662">
            <w:pPr>
              <w:numPr>
                <w:ilvl w:val="0"/>
                <w:numId w:val="115"/>
              </w:numPr>
              <w:tabs>
                <w:tab w:val="left" w:pos="258"/>
              </w:tabs>
              <w:ind w:left="0" w:firstLine="0"/>
              <w:jc w:val="both"/>
              <w:rPr>
                <w:rFonts w:cs="Arial"/>
                <w:szCs w:val="22"/>
              </w:rPr>
            </w:pPr>
            <w:r w:rsidRPr="0019790A">
              <w:rPr>
                <w:rFonts w:cs="Arial"/>
                <w:szCs w:val="22"/>
              </w:rPr>
              <w:t>Учнівська та студентська молодь</w:t>
            </w:r>
          </w:p>
          <w:p w14:paraId="3A1CAEA2" w14:textId="77777777" w:rsidR="005342D5" w:rsidRPr="0019790A" w:rsidRDefault="005342D5" w:rsidP="00CD7662">
            <w:pPr>
              <w:numPr>
                <w:ilvl w:val="0"/>
                <w:numId w:val="115"/>
              </w:numPr>
              <w:tabs>
                <w:tab w:val="left" w:pos="258"/>
              </w:tabs>
              <w:ind w:left="0" w:firstLine="0"/>
              <w:jc w:val="both"/>
              <w:rPr>
                <w:rFonts w:cs="Arial"/>
                <w:szCs w:val="22"/>
              </w:rPr>
            </w:pPr>
            <w:r w:rsidRPr="0019790A">
              <w:rPr>
                <w:rFonts w:cs="Arial"/>
                <w:szCs w:val="22"/>
              </w:rPr>
              <w:t>Молоді ініціативні групи</w:t>
            </w:r>
          </w:p>
          <w:p w14:paraId="79645244" w14:textId="77777777" w:rsidR="005342D5" w:rsidRPr="0019790A" w:rsidRDefault="005342D5" w:rsidP="00CD7662">
            <w:pPr>
              <w:numPr>
                <w:ilvl w:val="0"/>
                <w:numId w:val="115"/>
              </w:numPr>
              <w:tabs>
                <w:tab w:val="left" w:pos="258"/>
              </w:tabs>
              <w:ind w:left="0" w:firstLine="0"/>
              <w:jc w:val="both"/>
              <w:rPr>
                <w:rFonts w:cs="Arial"/>
                <w:szCs w:val="22"/>
              </w:rPr>
            </w:pPr>
            <w:r w:rsidRPr="0019790A">
              <w:rPr>
                <w:rFonts w:cs="Arial"/>
                <w:szCs w:val="22"/>
              </w:rPr>
              <w:t>Молоді ВПО</w:t>
            </w:r>
          </w:p>
          <w:p w14:paraId="18B4FD9B" w14:textId="77777777" w:rsidR="005342D5" w:rsidRPr="0019790A" w:rsidRDefault="005342D5" w:rsidP="00CD7662">
            <w:pPr>
              <w:numPr>
                <w:ilvl w:val="0"/>
                <w:numId w:val="115"/>
              </w:numPr>
              <w:tabs>
                <w:tab w:val="left" w:pos="258"/>
              </w:tabs>
              <w:ind w:left="0" w:firstLine="0"/>
              <w:jc w:val="both"/>
              <w:rPr>
                <w:rFonts w:cs="Arial"/>
                <w:szCs w:val="22"/>
              </w:rPr>
            </w:pPr>
            <w:r w:rsidRPr="0019790A">
              <w:rPr>
                <w:rFonts w:cs="Arial"/>
                <w:szCs w:val="22"/>
              </w:rPr>
              <w:t>Волонтери, громадські організації</w:t>
            </w:r>
          </w:p>
          <w:p w14:paraId="7271E35F" w14:textId="77777777" w:rsidR="005342D5" w:rsidRPr="0019790A" w:rsidRDefault="005342D5" w:rsidP="00CD7662">
            <w:pPr>
              <w:tabs>
                <w:tab w:val="left" w:pos="258"/>
              </w:tabs>
              <w:jc w:val="both"/>
              <w:rPr>
                <w:rFonts w:cs="Arial"/>
                <w:szCs w:val="22"/>
              </w:rPr>
            </w:pPr>
            <w:r w:rsidRPr="0019790A">
              <w:rPr>
                <w:rFonts w:cs="Arial"/>
                <w:b/>
                <w:szCs w:val="22"/>
              </w:rPr>
              <w:t>Кількість отримувачів вигоди</w:t>
            </w:r>
            <w:r w:rsidRPr="0019790A">
              <w:rPr>
                <w:rFonts w:cs="Arial"/>
                <w:szCs w:val="22"/>
              </w:rPr>
              <w:t xml:space="preserve"> </w:t>
            </w:r>
            <w:r w:rsidRPr="0019790A">
              <w:rPr>
                <w:rFonts w:cs="Arial"/>
                <w:b/>
                <w:szCs w:val="22"/>
              </w:rPr>
              <w:t>4000 осіб.</w:t>
            </w:r>
          </w:p>
        </w:tc>
      </w:tr>
      <w:tr w:rsidR="005342D5" w:rsidRPr="0019790A" w14:paraId="2869B192" w14:textId="77777777" w:rsidTr="00CD7662">
        <w:trPr>
          <w:jc w:val="right"/>
        </w:trPr>
        <w:tc>
          <w:tcPr>
            <w:tcW w:w="3425" w:type="dxa"/>
            <w:shd w:val="clear" w:color="auto" w:fill="FFFFFF"/>
            <w:vAlign w:val="center"/>
          </w:tcPr>
          <w:p w14:paraId="47F51379" w14:textId="77777777" w:rsidR="005342D5" w:rsidRPr="0019790A" w:rsidRDefault="005342D5" w:rsidP="0019790A">
            <w:pPr>
              <w:rPr>
                <w:rFonts w:cs="Arial"/>
                <w:b/>
                <w:bCs/>
                <w:szCs w:val="22"/>
              </w:rPr>
            </w:pPr>
            <w:r w:rsidRPr="0019790A">
              <w:rPr>
                <w:rFonts w:cs="Arial"/>
                <w:b/>
                <w:bCs/>
                <w:szCs w:val="22"/>
              </w:rPr>
              <w:t>Стислий опис проєкту:</w:t>
            </w:r>
          </w:p>
        </w:tc>
        <w:tc>
          <w:tcPr>
            <w:tcW w:w="6794" w:type="dxa"/>
            <w:gridSpan w:val="8"/>
            <w:vAlign w:val="center"/>
          </w:tcPr>
          <w:p w14:paraId="1FF8D756" w14:textId="77777777" w:rsidR="005342D5" w:rsidRPr="0019790A" w:rsidRDefault="005342D5" w:rsidP="00CD7662">
            <w:pPr>
              <w:tabs>
                <w:tab w:val="left" w:pos="258"/>
              </w:tabs>
              <w:jc w:val="both"/>
              <w:rPr>
                <w:rFonts w:cs="Arial"/>
                <w:szCs w:val="22"/>
              </w:rPr>
            </w:pPr>
            <w:r w:rsidRPr="0019790A">
              <w:rPr>
                <w:rFonts w:cs="Arial"/>
                <w:szCs w:val="22"/>
              </w:rPr>
              <w:t>Проєкт передбачає створення умов для реалізації молодіжних ініціатив, спрямованих на формування культури здорового способу життя через інтерактивні заходи: спортивні флешмоби, акції, змагання з нових видів спорту, спортивні воркшопи, майстер-класи. У межах проєкту буде проведено відкритий конкурс ідей серед молоді, надано мікропідтримку найкращим ініціативам, а також організовано інформаційну кампанію про важливість фізичної активності.</w:t>
            </w:r>
          </w:p>
        </w:tc>
      </w:tr>
      <w:tr w:rsidR="005342D5" w:rsidRPr="0019790A" w14:paraId="104716F8" w14:textId="77777777" w:rsidTr="00CD7662">
        <w:trPr>
          <w:jc w:val="right"/>
        </w:trPr>
        <w:tc>
          <w:tcPr>
            <w:tcW w:w="3425" w:type="dxa"/>
            <w:shd w:val="clear" w:color="auto" w:fill="FFFFFF"/>
            <w:vAlign w:val="center"/>
          </w:tcPr>
          <w:p w14:paraId="79CDF1C5" w14:textId="77777777" w:rsidR="005342D5" w:rsidRPr="0019790A" w:rsidRDefault="005342D5" w:rsidP="0019790A">
            <w:pPr>
              <w:rPr>
                <w:rFonts w:cs="Arial"/>
                <w:b/>
                <w:bCs/>
                <w:szCs w:val="22"/>
              </w:rPr>
            </w:pPr>
            <w:r w:rsidRPr="0019790A">
              <w:rPr>
                <w:rFonts w:cs="Arial"/>
                <w:b/>
                <w:bCs/>
                <w:szCs w:val="22"/>
              </w:rPr>
              <w:t>Основні заходи проєкту:</w:t>
            </w:r>
          </w:p>
        </w:tc>
        <w:tc>
          <w:tcPr>
            <w:tcW w:w="6794" w:type="dxa"/>
            <w:gridSpan w:val="8"/>
            <w:vAlign w:val="center"/>
          </w:tcPr>
          <w:p w14:paraId="6CC11A8F" w14:textId="77777777" w:rsidR="005342D5" w:rsidRPr="0019790A" w:rsidRDefault="005342D5" w:rsidP="00CD7662">
            <w:pPr>
              <w:numPr>
                <w:ilvl w:val="0"/>
                <w:numId w:val="116"/>
              </w:numPr>
              <w:tabs>
                <w:tab w:val="left" w:pos="258"/>
              </w:tabs>
              <w:ind w:left="0" w:firstLine="0"/>
              <w:jc w:val="both"/>
              <w:rPr>
                <w:rFonts w:cs="Arial"/>
                <w:szCs w:val="22"/>
              </w:rPr>
            </w:pPr>
            <w:r w:rsidRPr="0019790A">
              <w:rPr>
                <w:rFonts w:cs="Arial"/>
                <w:szCs w:val="22"/>
              </w:rPr>
              <w:t>Оголошення конкурсу молодіжних ініціатив</w:t>
            </w:r>
          </w:p>
          <w:p w14:paraId="4724D3DD" w14:textId="77777777" w:rsidR="005342D5" w:rsidRPr="0019790A" w:rsidRDefault="005342D5" w:rsidP="00CD7662">
            <w:pPr>
              <w:numPr>
                <w:ilvl w:val="0"/>
                <w:numId w:val="116"/>
              </w:numPr>
              <w:tabs>
                <w:tab w:val="left" w:pos="258"/>
              </w:tabs>
              <w:ind w:left="0" w:firstLine="0"/>
              <w:jc w:val="both"/>
              <w:rPr>
                <w:rFonts w:cs="Arial"/>
                <w:szCs w:val="22"/>
              </w:rPr>
            </w:pPr>
            <w:r w:rsidRPr="0019790A">
              <w:rPr>
                <w:rFonts w:cs="Arial"/>
                <w:szCs w:val="22"/>
              </w:rPr>
              <w:t>Проведення навчального міні-тренінгу для авторів ідей (з проєктного менеджменту)</w:t>
            </w:r>
          </w:p>
          <w:p w14:paraId="6AE09F1F" w14:textId="77777777" w:rsidR="005342D5" w:rsidRPr="0019790A" w:rsidRDefault="005342D5" w:rsidP="00CD7662">
            <w:pPr>
              <w:numPr>
                <w:ilvl w:val="0"/>
                <w:numId w:val="116"/>
              </w:numPr>
              <w:tabs>
                <w:tab w:val="left" w:pos="258"/>
              </w:tabs>
              <w:ind w:left="0" w:firstLine="0"/>
              <w:jc w:val="both"/>
              <w:rPr>
                <w:rFonts w:cs="Arial"/>
                <w:szCs w:val="22"/>
              </w:rPr>
            </w:pPr>
            <w:r w:rsidRPr="0019790A">
              <w:rPr>
                <w:rFonts w:cs="Arial"/>
                <w:szCs w:val="22"/>
              </w:rPr>
              <w:t>Реалізація щонайменше 10 ініціатив:</w:t>
            </w:r>
            <w:r w:rsidRPr="0019790A">
              <w:rPr>
                <w:rFonts w:cs="Arial"/>
                <w:szCs w:val="22"/>
              </w:rPr>
              <w:br/>
              <w:t>▪️ спортивні флешмоби</w:t>
            </w:r>
            <w:r w:rsidRPr="0019790A">
              <w:rPr>
                <w:rFonts w:cs="Arial"/>
                <w:szCs w:val="22"/>
              </w:rPr>
              <w:br/>
              <w:t>▪️ турніри з нових видів спорту (фрізбі, петанк, стритбол тощо)</w:t>
            </w:r>
            <w:r w:rsidRPr="0019790A">
              <w:rPr>
                <w:rFonts w:cs="Arial"/>
                <w:szCs w:val="22"/>
              </w:rPr>
              <w:br/>
              <w:t>▪️ активності на свіжому повітрі</w:t>
            </w:r>
            <w:r w:rsidRPr="0019790A">
              <w:rPr>
                <w:rFonts w:cs="Arial"/>
                <w:szCs w:val="22"/>
              </w:rPr>
              <w:br/>
              <w:t>▪️ інформаційні акції про здоров’я</w:t>
            </w:r>
          </w:p>
          <w:p w14:paraId="4645604C" w14:textId="77777777" w:rsidR="005342D5" w:rsidRPr="0019790A" w:rsidRDefault="005342D5" w:rsidP="00CD7662">
            <w:pPr>
              <w:numPr>
                <w:ilvl w:val="0"/>
                <w:numId w:val="116"/>
              </w:numPr>
              <w:tabs>
                <w:tab w:val="left" w:pos="258"/>
              </w:tabs>
              <w:ind w:left="0" w:firstLine="0"/>
              <w:jc w:val="both"/>
              <w:rPr>
                <w:rFonts w:cs="Arial"/>
                <w:szCs w:val="22"/>
              </w:rPr>
            </w:pPr>
            <w:r w:rsidRPr="0019790A">
              <w:rPr>
                <w:rFonts w:cs="Arial"/>
                <w:szCs w:val="22"/>
              </w:rPr>
              <w:t>Проведення загальноміського молодіжного фестивалю здорового способу життя</w:t>
            </w:r>
          </w:p>
          <w:p w14:paraId="6E8C1D25" w14:textId="77777777" w:rsidR="005342D5" w:rsidRPr="0019790A" w:rsidRDefault="005342D5" w:rsidP="00CD7662">
            <w:pPr>
              <w:numPr>
                <w:ilvl w:val="0"/>
                <w:numId w:val="116"/>
              </w:numPr>
              <w:tabs>
                <w:tab w:val="left" w:pos="258"/>
              </w:tabs>
              <w:ind w:left="0" w:firstLine="0"/>
              <w:jc w:val="both"/>
              <w:rPr>
                <w:rFonts w:cs="Arial"/>
                <w:szCs w:val="22"/>
              </w:rPr>
            </w:pPr>
            <w:r w:rsidRPr="0019790A">
              <w:rPr>
                <w:rFonts w:cs="Arial"/>
                <w:szCs w:val="22"/>
              </w:rPr>
              <w:t>Інформаційна кампанія у соцмережах</w:t>
            </w:r>
          </w:p>
        </w:tc>
      </w:tr>
      <w:tr w:rsidR="005342D5" w:rsidRPr="0019790A" w14:paraId="55E625C6" w14:textId="77777777" w:rsidTr="00CD7662">
        <w:trPr>
          <w:trHeight w:val="487"/>
          <w:jc w:val="right"/>
        </w:trPr>
        <w:tc>
          <w:tcPr>
            <w:tcW w:w="3425" w:type="dxa"/>
            <w:shd w:val="clear" w:color="auto" w:fill="FFFFFF"/>
            <w:vAlign w:val="center"/>
          </w:tcPr>
          <w:p w14:paraId="1248EBC2" w14:textId="77777777" w:rsidR="005342D5" w:rsidRPr="0019790A" w:rsidRDefault="005342D5" w:rsidP="0019790A">
            <w:pPr>
              <w:rPr>
                <w:rFonts w:cs="Arial"/>
                <w:b/>
                <w:bCs/>
                <w:szCs w:val="22"/>
              </w:rPr>
            </w:pPr>
            <w:r w:rsidRPr="0019790A">
              <w:rPr>
                <w:rFonts w:cs="Arial"/>
                <w:b/>
                <w:bCs/>
                <w:szCs w:val="22"/>
              </w:rPr>
              <w:t>Індикатори (показники) результативності:</w:t>
            </w:r>
          </w:p>
        </w:tc>
        <w:tc>
          <w:tcPr>
            <w:tcW w:w="6794" w:type="dxa"/>
            <w:gridSpan w:val="8"/>
            <w:vAlign w:val="center"/>
          </w:tcPr>
          <w:p w14:paraId="128925C8" w14:textId="77777777" w:rsidR="005342D5" w:rsidRPr="0019790A" w:rsidRDefault="005342D5" w:rsidP="00CD7662">
            <w:pPr>
              <w:numPr>
                <w:ilvl w:val="0"/>
                <w:numId w:val="117"/>
              </w:numPr>
              <w:tabs>
                <w:tab w:val="left" w:pos="258"/>
              </w:tabs>
              <w:ind w:left="0" w:firstLine="0"/>
              <w:jc w:val="both"/>
              <w:rPr>
                <w:rFonts w:cs="Arial"/>
                <w:szCs w:val="22"/>
              </w:rPr>
            </w:pPr>
            <w:r w:rsidRPr="0019790A">
              <w:rPr>
                <w:rFonts w:cs="Arial"/>
                <w:szCs w:val="22"/>
              </w:rPr>
              <w:t>Проведено конкурс молодіжних ініціатив</w:t>
            </w:r>
          </w:p>
          <w:p w14:paraId="327B14E4" w14:textId="77777777" w:rsidR="005342D5" w:rsidRPr="0019790A" w:rsidRDefault="005342D5" w:rsidP="00CD7662">
            <w:pPr>
              <w:numPr>
                <w:ilvl w:val="0"/>
                <w:numId w:val="117"/>
              </w:numPr>
              <w:tabs>
                <w:tab w:val="left" w:pos="258"/>
              </w:tabs>
              <w:ind w:left="0" w:firstLine="0"/>
              <w:jc w:val="both"/>
              <w:rPr>
                <w:rFonts w:cs="Arial"/>
                <w:szCs w:val="22"/>
              </w:rPr>
            </w:pPr>
            <w:r w:rsidRPr="0019790A">
              <w:rPr>
                <w:rFonts w:cs="Arial"/>
                <w:szCs w:val="22"/>
              </w:rPr>
              <w:t>Реалізовано щонайменше 10 заходів на рік</w:t>
            </w:r>
          </w:p>
          <w:p w14:paraId="36DD4140" w14:textId="77777777" w:rsidR="005342D5" w:rsidRPr="0019790A" w:rsidRDefault="005342D5" w:rsidP="00CD7662">
            <w:pPr>
              <w:numPr>
                <w:ilvl w:val="0"/>
                <w:numId w:val="117"/>
              </w:numPr>
              <w:tabs>
                <w:tab w:val="left" w:pos="258"/>
              </w:tabs>
              <w:ind w:left="0" w:firstLine="0"/>
              <w:jc w:val="both"/>
              <w:rPr>
                <w:rFonts w:cs="Arial"/>
                <w:szCs w:val="22"/>
              </w:rPr>
            </w:pPr>
            <w:r w:rsidRPr="0019790A">
              <w:rPr>
                <w:rFonts w:cs="Arial"/>
                <w:szCs w:val="22"/>
              </w:rPr>
              <w:t xml:space="preserve">Охоплено понад </w:t>
            </w:r>
            <w:r w:rsidRPr="0019790A">
              <w:rPr>
                <w:rFonts w:cs="Arial"/>
                <w:bCs/>
                <w:szCs w:val="22"/>
              </w:rPr>
              <w:t>1000 молодих людей</w:t>
            </w:r>
            <w:r w:rsidRPr="0019790A">
              <w:rPr>
                <w:rFonts w:cs="Arial"/>
                <w:szCs w:val="22"/>
              </w:rPr>
              <w:t xml:space="preserve"> </w:t>
            </w:r>
            <w:r w:rsidRPr="0019790A">
              <w:rPr>
                <w:rFonts w:cs="Arial"/>
                <w:bCs/>
                <w:szCs w:val="22"/>
              </w:rPr>
              <w:t>на рік</w:t>
            </w:r>
          </w:p>
          <w:p w14:paraId="611D0698" w14:textId="77777777" w:rsidR="005342D5" w:rsidRPr="0019790A" w:rsidRDefault="005342D5" w:rsidP="00CD7662">
            <w:pPr>
              <w:numPr>
                <w:ilvl w:val="0"/>
                <w:numId w:val="117"/>
              </w:numPr>
              <w:tabs>
                <w:tab w:val="left" w:pos="258"/>
              </w:tabs>
              <w:ind w:left="0" w:firstLine="0"/>
              <w:jc w:val="both"/>
              <w:rPr>
                <w:rFonts w:cs="Arial"/>
                <w:szCs w:val="22"/>
              </w:rPr>
            </w:pPr>
            <w:r w:rsidRPr="0019790A">
              <w:rPr>
                <w:rFonts w:cs="Arial"/>
                <w:szCs w:val="22"/>
              </w:rPr>
              <w:t xml:space="preserve">Створено </w:t>
            </w:r>
            <w:r w:rsidRPr="0019790A">
              <w:rPr>
                <w:rFonts w:cs="Arial"/>
                <w:bCs/>
                <w:szCs w:val="22"/>
              </w:rPr>
              <w:t>не менше 5 партнерств</w:t>
            </w:r>
            <w:r w:rsidRPr="0019790A">
              <w:rPr>
                <w:rFonts w:cs="Arial"/>
                <w:szCs w:val="22"/>
              </w:rPr>
              <w:t xml:space="preserve"> з освітніми закладами, ГО</w:t>
            </w:r>
          </w:p>
          <w:p w14:paraId="3192E6F6" w14:textId="77777777" w:rsidR="005342D5" w:rsidRPr="0019790A" w:rsidRDefault="005342D5" w:rsidP="00CD7662">
            <w:pPr>
              <w:numPr>
                <w:ilvl w:val="0"/>
                <w:numId w:val="117"/>
              </w:numPr>
              <w:tabs>
                <w:tab w:val="left" w:pos="258"/>
              </w:tabs>
              <w:ind w:left="0" w:firstLine="0"/>
              <w:jc w:val="both"/>
              <w:rPr>
                <w:rFonts w:cs="Arial"/>
                <w:szCs w:val="22"/>
              </w:rPr>
            </w:pPr>
            <w:r w:rsidRPr="0019790A">
              <w:rPr>
                <w:rFonts w:cs="Arial"/>
                <w:szCs w:val="22"/>
              </w:rPr>
              <w:t>Підвищено обізнаність молоді щодо здорового способу життя</w:t>
            </w:r>
          </w:p>
          <w:p w14:paraId="6BB33ADD" w14:textId="1BBDE54C" w:rsidR="005342D5" w:rsidRPr="0019790A" w:rsidRDefault="005342D5" w:rsidP="00CD7662">
            <w:pPr>
              <w:numPr>
                <w:ilvl w:val="0"/>
                <w:numId w:val="117"/>
              </w:numPr>
              <w:tabs>
                <w:tab w:val="left" w:pos="258"/>
              </w:tabs>
              <w:ind w:left="0" w:firstLine="0"/>
              <w:jc w:val="both"/>
              <w:rPr>
                <w:rFonts w:cs="Arial"/>
                <w:szCs w:val="22"/>
              </w:rPr>
            </w:pPr>
            <w:r w:rsidRPr="0019790A">
              <w:rPr>
                <w:rFonts w:cs="Arial"/>
                <w:szCs w:val="22"/>
              </w:rPr>
              <w:t xml:space="preserve">Запущено активну </w:t>
            </w:r>
            <w:r w:rsidR="00CD7662" w:rsidRPr="0019790A">
              <w:rPr>
                <w:rFonts w:cs="Arial"/>
                <w:szCs w:val="22"/>
              </w:rPr>
              <w:t>медіа кампанію</w:t>
            </w:r>
            <w:r w:rsidRPr="0019790A">
              <w:rPr>
                <w:rFonts w:cs="Arial"/>
                <w:szCs w:val="22"/>
              </w:rPr>
              <w:t xml:space="preserve"> (понад 50 публікацій/постів) на рік</w:t>
            </w:r>
          </w:p>
        </w:tc>
      </w:tr>
      <w:tr w:rsidR="005342D5" w:rsidRPr="0019790A" w14:paraId="54F40932" w14:textId="77777777" w:rsidTr="00CD7662">
        <w:trPr>
          <w:jc w:val="right"/>
        </w:trPr>
        <w:tc>
          <w:tcPr>
            <w:tcW w:w="3425" w:type="dxa"/>
            <w:shd w:val="clear" w:color="auto" w:fill="FFFFFF"/>
            <w:vAlign w:val="center"/>
          </w:tcPr>
          <w:p w14:paraId="7943EF93" w14:textId="77777777" w:rsidR="005342D5" w:rsidRPr="0019790A" w:rsidRDefault="005342D5" w:rsidP="0019790A">
            <w:pPr>
              <w:rPr>
                <w:rFonts w:cs="Arial"/>
                <w:b/>
                <w:szCs w:val="22"/>
              </w:rPr>
            </w:pPr>
            <w:r w:rsidRPr="0019790A">
              <w:rPr>
                <w:rFonts w:cs="Arial"/>
                <w:b/>
                <w:szCs w:val="22"/>
              </w:rPr>
              <w:t xml:space="preserve">Період здійснення: </w:t>
            </w:r>
          </w:p>
        </w:tc>
        <w:tc>
          <w:tcPr>
            <w:tcW w:w="6794" w:type="dxa"/>
            <w:gridSpan w:val="8"/>
            <w:vAlign w:val="center"/>
          </w:tcPr>
          <w:p w14:paraId="3E4AC1A7" w14:textId="77777777" w:rsidR="005342D5" w:rsidRPr="0019790A" w:rsidRDefault="005342D5" w:rsidP="00CD7662">
            <w:pPr>
              <w:jc w:val="both"/>
              <w:rPr>
                <w:rFonts w:cs="Arial"/>
                <w:szCs w:val="22"/>
              </w:rPr>
            </w:pPr>
            <w:r w:rsidRPr="0019790A">
              <w:rPr>
                <w:rFonts w:cs="Arial"/>
                <w:b/>
                <w:szCs w:val="22"/>
              </w:rPr>
              <w:t>2025 – 2028 роки:</w:t>
            </w:r>
          </w:p>
        </w:tc>
      </w:tr>
      <w:tr w:rsidR="005342D5" w:rsidRPr="0019790A" w14:paraId="6DBC7712" w14:textId="77777777" w:rsidTr="00CD7662">
        <w:trPr>
          <w:jc w:val="right"/>
        </w:trPr>
        <w:tc>
          <w:tcPr>
            <w:tcW w:w="3425" w:type="dxa"/>
            <w:vMerge w:val="restart"/>
            <w:shd w:val="clear" w:color="auto" w:fill="FFFFFF"/>
            <w:vAlign w:val="center"/>
          </w:tcPr>
          <w:p w14:paraId="3111A1BA" w14:textId="77777777" w:rsidR="005342D5" w:rsidRPr="0019790A" w:rsidRDefault="005342D5" w:rsidP="0019790A">
            <w:pPr>
              <w:rPr>
                <w:rFonts w:cs="Arial"/>
                <w:b/>
                <w:bCs/>
                <w:szCs w:val="22"/>
              </w:rPr>
            </w:pPr>
            <w:r w:rsidRPr="0019790A">
              <w:rPr>
                <w:rFonts w:cs="Arial"/>
                <w:b/>
                <w:bCs/>
                <w:szCs w:val="22"/>
              </w:rPr>
              <w:t>Орієнтовна вартість проєкту, тис. грн., в тому числі:</w:t>
            </w:r>
          </w:p>
        </w:tc>
        <w:tc>
          <w:tcPr>
            <w:tcW w:w="1254" w:type="dxa"/>
            <w:shd w:val="clear" w:color="auto" w:fill="E6E6E6"/>
            <w:vAlign w:val="center"/>
          </w:tcPr>
          <w:p w14:paraId="0C7618E4" w14:textId="77777777" w:rsidR="005342D5" w:rsidRPr="0019790A" w:rsidRDefault="005342D5" w:rsidP="00CD7662">
            <w:pPr>
              <w:jc w:val="center"/>
              <w:rPr>
                <w:rFonts w:cs="Arial"/>
                <w:b/>
                <w:szCs w:val="22"/>
              </w:rPr>
            </w:pPr>
            <w:r w:rsidRPr="0019790A">
              <w:rPr>
                <w:rFonts w:cs="Arial"/>
                <w:b/>
                <w:szCs w:val="22"/>
              </w:rPr>
              <w:t>2025</w:t>
            </w:r>
          </w:p>
        </w:tc>
        <w:tc>
          <w:tcPr>
            <w:tcW w:w="1275" w:type="dxa"/>
            <w:gridSpan w:val="2"/>
            <w:shd w:val="clear" w:color="auto" w:fill="E6E6E6"/>
            <w:vAlign w:val="center"/>
          </w:tcPr>
          <w:p w14:paraId="29A59EC6" w14:textId="77777777" w:rsidR="005342D5" w:rsidRPr="0019790A" w:rsidRDefault="005342D5" w:rsidP="00CD7662">
            <w:pPr>
              <w:jc w:val="center"/>
              <w:rPr>
                <w:rFonts w:cs="Arial"/>
                <w:b/>
                <w:szCs w:val="22"/>
              </w:rPr>
            </w:pPr>
            <w:r w:rsidRPr="0019790A">
              <w:rPr>
                <w:rFonts w:cs="Arial"/>
                <w:b/>
                <w:szCs w:val="22"/>
              </w:rPr>
              <w:t>2026</w:t>
            </w:r>
          </w:p>
        </w:tc>
        <w:tc>
          <w:tcPr>
            <w:tcW w:w="1418" w:type="dxa"/>
            <w:gridSpan w:val="2"/>
            <w:tcBorders>
              <w:bottom w:val="single" w:sz="4" w:space="0" w:color="auto"/>
            </w:tcBorders>
            <w:shd w:val="clear" w:color="auto" w:fill="E6E6E6"/>
            <w:vAlign w:val="center"/>
          </w:tcPr>
          <w:p w14:paraId="51C8D165" w14:textId="77777777" w:rsidR="005342D5" w:rsidRPr="0019790A" w:rsidRDefault="005342D5" w:rsidP="00CD7662">
            <w:pPr>
              <w:jc w:val="center"/>
              <w:rPr>
                <w:rFonts w:cs="Arial"/>
                <w:b/>
                <w:szCs w:val="22"/>
              </w:rPr>
            </w:pPr>
            <w:r w:rsidRPr="0019790A">
              <w:rPr>
                <w:rFonts w:cs="Arial"/>
                <w:b/>
                <w:szCs w:val="22"/>
              </w:rPr>
              <w:t>2027</w:t>
            </w:r>
          </w:p>
        </w:tc>
        <w:tc>
          <w:tcPr>
            <w:tcW w:w="1276" w:type="dxa"/>
            <w:shd w:val="clear" w:color="auto" w:fill="E6E6E6"/>
            <w:vAlign w:val="center"/>
          </w:tcPr>
          <w:p w14:paraId="2015E3C3" w14:textId="77777777" w:rsidR="005342D5" w:rsidRPr="0019790A" w:rsidRDefault="005342D5" w:rsidP="00CD7662">
            <w:pPr>
              <w:jc w:val="center"/>
              <w:rPr>
                <w:rFonts w:cs="Arial"/>
                <w:b/>
                <w:szCs w:val="22"/>
              </w:rPr>
            </w:pPr>
            <w:r w:rsidRPr="0019790A">
              <w:rPr>
                <w:rFonts w:cs="Arial"/>
                <w:b/>
                <w:szCs w:val="22"/>
              </w:rPr>
              <w:t>2028</w:t>
            </w:r>
          </w:p>
        </w:tc>
        <w:tc>
          <w:tcPr>
            <w:tcW w:w="1571" w:type="dxa"/>
            <w:gridSpan w:val="2"/>
            <w:shd w:val="clear" w:color="auto" w:fill="E6E6E6"/>
            <w:vAlign w:val="center"/>
          </w:tcPr>
          <w:p w14:paraId="02CF820A" w14:textId="77777777" w:rsidR="005342D5" w:rsidRPr="0019790A" w:rsidRDefault="005342D5" w:rsidP="00CD7662">
            <w:pPr>
              <w:jc w:val="center"/>
              <w:rPr>
                <w:rFonts w:cs="Arial"/>
                <w:b/>
                <w:szCs w:val="22"/>
              </w:rPr>
            </w:pPr>
            <w:r w:rsidRPr="0019790A">
              <w:rPr>
                <w:rFonts w:cs="Arial"/>
                <w:b/>
                <w:szCs w:val="22"/>
              </w:rPr>
              <w:t>РАЗОМ</w:t>
            </w:r>
          </w:p>
        </w:tc>
      </w:tr>
      <w:tr w:rsidR="005342D5" w:rsidRPr="0019790A" w14:paraId="6278AF1F" w14:textId="77777777" w:rsidTr="00CD7662">
        <w:trPr>
          <w:jc w:val="right"/>
        </w:trPr>
        <w:tc>
          <w:tcPr>
            <w:tcW w:w="3425" w:type="dxa"/>
            <w:vMerge/>
            <w:shd w:val="clear" w:color="auto" w:fill="FFFFFF"/>
            <w:vAlign w:val="center"/>
          </w:tcPr>
          <w:p w14:paraId="7230EBA5" w14:textId="77777777" w:rsidR="005342D5" w:rsidRPr="0019790A" w:rsidRDefault="005342D5" w:rsidP="0019790A">
            <w:pPr>
              <w:rPr>
                <w:rFonts w:cs="Arial"/>
                <w:b/>
                <w:bCs/>
                <w:szCs w:val="22"/>
              </w:rPr>
            </w:pPr>
          </w:p>
        </w:tc>
        <w:tc>
          <w:tcPr>
            <w:tcW w:w="1254" w:type="dxa"/>
            <w:vAlign w:val="center"/>
          </w:tcPr>
          <w:p w14:paraId="59CCFE51" w14:textId="77777777" w:rsidR="005342D5" w:rsidRPr="0019790A" w:rsidRDefault="005342D5" w:rsidP="00CD7662">
            <w:pPr>
              <w:jc w:val="center"/>
              <w:rPr>
                <w:rFonts w:cs="Arial"/>
                <w:b/>
                <w:szCs w:val="22"/>
              </w:rPr>
            </w:pPr>
          </w:p>
        </w:tc>
        <w:tc>
          <w:tcPr>
            <w:tcW w:w="1275" w:type="dxa"/>
            <w:gridSpan w:val="2"/>
            <w:shd w:val="clear" w:color="auto" w:fill="FFFFFF"/>
            <w:vAlign w:val="center"/>
          </w:tcPr>
          <w:p w14:paraId="2845607D" w14:textId="77777777" w:rsidR="005342D5" w:rsidRPr="0019790A" w:rsidRDefault="005342D5" w:rsidP="00CD7662">
            <w:pPr>
              <w:jc w:val="center"/>
              <w:rPr>
                <w:rFonts w:cs="Arial"/>
                <w:b/>
                <w:szCs w:val="22"/>
              </w:rPr>
            </w:pPr>
            <w:r w:rsidRPr="0019790A">
              <w:rPr>
                <w:rFonts w:cs="Arial"/>
                <w:b/>
                <w:szCs w:val="22"/>
              </w:rPr>
              <w:t>100,0</w:t>
            </w:r>
          </w:p>
        </w:tc>
        <w:tc>
          <w:tcPr>
            <w:tcW w:w="1418" w:type="dxa"/>
            <w:gridSpan w:val="2"/>
            <w:shd w:val="clear" w:color="auto" w:fill="auto"/>
            <w:vAlign w:val="center"/>
          </w:tcPr>
          <w:p w14:paraId="089366F1" w14:textId="77777777" w:rsidR="005342D5" w:rsidRPr="0019790A" w:rsidRDefault="005342D5" w:rsidP="00CD7662">
            <w:pPr>
              <w:jc w:val="center"/>
              <w:rPr>
                <w:rFonts w:cs="Arial"/>
                <w:b/>
                <w:szCs w:val="22"/>
              </w:rPr>
            </w:pPr>
            <w:r w:rsidRPr="0019790A">
              <w:rPr>
                <w:rFonts w:cs="Arial"/>
                <w:b/>
                <w:szCs w:val="22"/>
              </w:rPr>
              <w:t>100,0</w:t>
            </w:r>
          </w:p>
        </w:tc>
        <w:tc>
          <w:tcPr>
            <w:tcW w:w="1276" w:type="dxa"/>
            <w:shd w:val="clear" w:color="auto" w:fill="FFFFFF"/>
            <w:vAlign w:val="center"/>
          </w:tcPr>
          <w:p w14:paraId="19E0E2A0" w14:textId="77777777" w:rsidR="005342D5" w:rsidRPr="0019790A" w:rsidRDefault="005342D5" w:rsidP="00CD7662">
            <w:pPr>
              <w:jc w:val="center"/>
              <w:rPr>
                <w:rFonts w:cs="Arial"/>
                <w:b/>
                <w:szCs w:val="22"/>
              </w:rPr>
            </w:pPr>
            <w:r w:rsidRPr="0019790A">
              <w:rPr>
                <w:rFonts w:cs="Arial"/>
                <w:b/>
                <w:szCs w:val="22"/>
              </w:rPr>
              <w:t>100,0</w:t>
            </w:r>
          </w:p>
        </w:tc>
        <w:tc>
          <w:tcPr>
            <w:tcW w:w="1571" w:type="dxa"/>
            <w:gridSpan w:val="2"/>
            <w:shd w:val="clear" w:color="auto" w:fill="FFFFFF"/>
            <w:vAlign w:val="center"/>
          </w:tcPr>
          <w:p w14:paraId="6362DB01" w14:textId="77777777" w:rsidR="005342D5" w:rsidRPr="0019790A" w:rsidRDefault="005342D5" w:rsidP="00CD7662">
            <w:pPr>
              <w:jc w:val="center"/>
              <w:rPr>
                <w:rFonts w:cs="Arial"/>
                <w:b/>
                <w:szCs w:val="22"/>
              </w:rPr>
            </w:pPr>
            <w:r w:rsidRPr="0019790A">
              <w:rPr>
                <w:rFonts w:cs="Arial"/>
                <w:b/>
                <w:szCs w:val="22"/>
              </w:rPr>
              <w:t>300,0</w:t>
            </w:r>
          </w:p>
        </w:tc>
      </w:tr>
      <w:tr w:rsidR="005342D5" w:rsidRPr="0019790A" w14:paraId="67421DFE" w14:textId="77777777" w:rsidTr="00CD7662">
        <w:trPr>
          <w:trHeight w:val="276"/>
          <w:jc w:val="right"/>
        </w:trPr>
        <w:tc>
          <w:tcPr>
            <w:tcW w:w="3425" w:type="dxa"/>
            <w:shd w:val="clear" w:color="auto" w:fill="FFFFFF"/>
            <w:vAlign w:val="center"/>
          </w:tcPr>
          <w:p w14:paraId="4AE31878" w14:textId="77777777" w:rsidR="005342D5" w:rsidRPr="0019790A" w:rsidRDefault="005342D5" w:rsidP="0019790A">
            <w:pPr>
              <w:rPr>
                <w:rFonts w:cs="Arial"/>
                <w:b/>
                <w:bCs/>
                <w:szCs w:val="22"/>
              </w:rPr>
            </w:pPr>
            <w:r w:rsidRPr="0019790A">
              <w:rPr>
                <w:rFonts w:cs="Arial"/>
                <w:b/>
                <w:bCs/>
                <w:szCs w:val="22"/>
              </w:rPr>
              <w:t>по джерелах фінансування:</w:t>
            </w:r>
          </w:p>
        </w:tc>
        <w:tc>
          <w:tcPr>
            <w:tcW w:w="6794" w:type="dxa"/>
            <w:gridSpan w:val="8"/>
            <w:vAlign w:val="center"/>
          </w:tcPr>
          <w:p w14:paraId="052E9621" w14:textId="77777777" w:rsidR="005342D5" w:rsidRPr="0019790A" w:rsidRDefault="005342D5" w:rsidP="00CD7662">
            <w:pPr>
              <w:jc w:val="center"/>
              <w:rPr>
                <w:rFonts w:cs="Arial"/>
                <w:szCs w:val="22"/>
              </w:rPr>
            </w:pPr>
          </w:p>
        </w:tc>
      </w:tr>
      <w:tr w:rsidR="00CD7662" w:rsidRPr="0019790A" w14:paraId="647F061F" w14:textId="200D62D9" w:rsidTr="00CD7662">
        <w:trPr>
          <w:trHeight w:val="240"/>
          <w:jc w:val="right"/>
        </w:trPr>
        <w:tc>
          <w:tcPr>
            <w:tcW w:w="3425" w:type="dxa"/>
            <w:shd w:val="clear" w:color="auto" w:fill="FFFFFF"/>
            <w:vAlign w:val="center"/>
          </w:tcPr>
          <w:p w14:paraId="6E858757" w14:textId="77777777" w:rsidR="00CD7662" w:rsidRPr="0019790A" w:rsidRDefault="00CD7662" w:rsidP="0019790A">
            <w:pPr>
              <w:rPr>
                <w:rFonts w:cs="Arial"/>
                <w:b/>
                <w:bCs/>
                <w:szCs w:val="22"/>
              </w:rPr>
            </w:pPr>
            <w:r w:rsidRPr="0019790A">
              <w:rPr>
                <w:rFonts w:cs="Arial"/>
                <w:szCs w:val="22"/>
              </w:rPr>
              <w:t>- державний бюджет</w:t>
            </w:r>
          </w:p>
        </w:tc>
        <w:tc>
          <w:tcPr>
            <w:tcW w:w="1277" w:type="dxa"/>
            <w:gridSpan w:val="2"/>
            <w:vAlign w:val="center"/>
          </w:tcPr>
          <w:p w14:paraId="13A60E4B" w14:textId="77777777" w:rsidR="00CD7662" w:rsidRPr="0019790A" w:rsidRDefault="00CD7662" w:rsidP="00CD7662">
            <w:pPr>
              <w:jc w:val="center"/>
              <w:rPr>
                <w:rFonts w:cs="Arial"/>
                <w:szCs w:val="22"/>
              </w:rPr>
            </w:pPr>
          </w:p>
        </w:tc>
        <w:tc>
          <w:tcPr>
            <w:tcW w:w="1267" w:type="dxa"/>
            <w:gridSpan w:val="2"/>
            <w:vAlign w:val="center"/>
          </w:tcPr>
          <w:p w14:paraId="6B6B6BC1" w14:textId="77777777" w:rsidR="00CD7662" w:rsidRPr="0019790A" w:rsidRDefault="00CD7662" w:rsidP="00CD7662">
            <w:pPr>
              <w:jc w:val="center"/>
              <w:rPr>
                <w:rFonts w:cs="Arial"/>
                <w:szCs w:val="22"/>
              </w:rPr>
            </w:pPr>
          </w:p>
        </w:tc>
        <w:tc>
          <w:tcPr>
            <w:tcW w:w="1402" w:type="dxa"/>
            <w:vAlign w:val="center"/>
          </w:tcPr>
          <w:p w14:paraId="071C516B" w14:textId="77777777" w:rsidR="00CD7662" w:rsidRPr="0019790A" w:rsidRDefault="00CD7662" w:rsidP="00CD7662">
            <w:pPr>
              <w:jc w:val="center"/>
              <w:rPr>
                <w:rFonts w:cs="Arial"/>
                <w:szCs w:val="22"/>
              </w:rPr>
            </w:pPr>
          </w:p>
        </w:tc>
        <w:tc>
          <w:tcPr>
            <w:tcW w:w="1306" w:type="dxa"/>
            <w:gridSpan w:val="2"/>
            <w:vAlign w:val="center"/>
          </w:tcPr>
          <w:p w14:paraId="252DB734" w14:textId="77777777" w:rsidR="00CD7662" w:rsidRPr="0019790A" w:rsidRDefault="00CD7662" w:rsidP="00CD7662">
            <w:pPr>
              <w:jc w:val="center"/>
              <w:rPr>
                <w:rFonts w:cs="Arial"/>
                <w:szCs w:val="22"/>
              </w:rPr>
            </w:pPr>
          </w:p>
        </w:tc>
        <w:tc>
          <w:tcPr>
            <w:tcW w:w="1542" w:type="dxa"/>
            <w:vAlign w:val="center"/>
          </w:tcPr>
          <w:p w14:paraId="3C95E75D" w14:textId="77777777" w:rsidR="00CD7662" w:rsidRPr="0019790A" w:rsidRDefault="00CD7662" w:rsidP="00CD7662">
            <w:pPr>
              <w:jc w:val="center"/>
              <w:rPr>
                <w:rFonts w:cs="Arial"/>
                <w:szCs w:val="22"/>
              </w:rPr>
            </w:pPr>
          </w:p>
        </w:tc>
      </w:tr>
      <w:tr w:rsidR="00CD7662" w:rsidRPr="0019790A" w14:paraId="260163AB" w14:textId="4FA81565" w:rsidTr="00CD7662">
        <w:trPr>
          <w:trHeight w:val="287"/>
          <w:jc w:val="right"/>
        </w:trPr>
        <w:tc>
          <w:tcPr>
            <w:tcW w:w="3425" w:type="dxa"/>
            <w:shd w:val="clear" w:color="auto" w:fill="FFFFFF"/>
            <w:vAlign w:val="center"/>
          </w:tcPr>
          <w:p w14:paraId="781AB9E9" w14:textId="77777777" w:rsidR="00CD7662" w:rsidRPr="0019790A" w:rsidRDefault="00CD7662" w:rsidP="0019790A">
            <w:pPr>
              <w:rPr>
                <w:rFonts w:cs="Arial"/>
                <w:szCs w:val="22"/>
              </w:rPr>
            </w:pPr>
            <w:r w:rsidRPr="0019790A">
              <w:rPr>
                <w:rFonts w:cs="Arial"/>
                <w:szCs w:val="22"/>
              </w:rPr>
              <w:t>- обласний бюджет</w:t>
            </w:r>
          </w:p>
        </w:tc>
        <w:tc>
          <w:tcPr>
            <w:tcW w:w="1277" w:type="dxa"/>
            <w:gridSpan w:val="2"/>
            <w:vAlign w:val="center"/>
          </w:tcPr>
          <w:p w14:paraId="345B1A01" w14:textId="77777777" w:rsidR="00CD7662" w:rsidRPr="0019790A" w:rsidRDefault="00CD7662" w:rsidP="00CD7662">
            <w:pPr>
              <w:jc w:val="center"/>
              <w:rPr>
                <w:rFonts w:cs="Arial"/>
                <w:szCs w:val="22"/>
              </w:rPr>
            </w:pPr>
          </w:p>
        </w:tc>
        <w:tc>
          <w:tcPr>
            <w:tcW w:w="1267" w:type="dxa"/>
            <w:gridSpan w:val="2"/>
            <w:vAlign w:val="center"/>
          </w:tcPr>
          <w:p w14:paraId="6E9FA9F6" w14:textId="77777777" w:rsidR="00CD7662" w:rsidRPr="0019790A" w:rsidRDefault="00CD7662" w:rsidP="00CD7662">
            <w:pPr>
              <w:jc w:val="center"/>
              <w:rPr>
                <w:rFonts w:cs="Arial"/>
                <w:szCs w:val="22"/>
              </w:rPr>
            </w:pPr>
          </w:p>
        </w:tc>
        <w:tc>
          <w:tcPr>
            <w:tcW w:w="1402" w:type="dxa"/>
            <w:vAlign w:val="center"/>
          </w:tcPr>
          <w:p w14:paraId="74ED118D" w14:textId="77777777" w:rsidR="00CD7662" w:rsidRPr="0019790A" w:rsidRDefault="00CD7662" w:rsidP="00CD7662">
            <w:pPr>
              <w:jc w:val="center"/>
              <w:rPr>
                <w:rFonts w:cs="Arial"/>
                <w:szCs w:val="22"/>
              </w:rPr>
            </w:pPr>
          </w:p>
        </w:tc>
        <w:tc>
          <w:tcPr>
            <w:tcW w:w="1306" w:type="dxa"/>
            <w:gridSpan w:val="2"/>
            <w:vAlign w:val="center"/>
          </w:tcPr>
          <w:p w14:paraId="6FF4484D" w14:textId="77777777" w:rsidR="00CD7662" w:rsidRPr="0019790A" w:rsidRDefault="00CD7662" w:rsidP="00CD7662">
            <w:pPr>
              <w:jc w:val="center"/>
              <w:rPr>
                <w:rFonts w:cs="Arial"/>
                <w:szCs w:val="22"/>
              </w:rPr>
            </w:pPr>
          </w:p>
        </w:tc>
        <w:tc>
          <w:tcPr>
            <w:tcW w:w="1542" w:type="dxa"/>
            <w:vAlign w:val="center"/>
          </w:tcPr>
          <w:p w14:paraId="7E499429" w14:textId="77777777" w:rsidR="00CD7662" w:rsidRPr="0019790A" w:rsidRDefault="00CD7662" w:rsidP="00CD7662">
            <w:pPr>
              <w:jc w:val="center"/>
              <w:rPr>
                <w:rFonts w:cs="Arial"/>
                <w:szCs w:val="22"/>
              </w:rPr>
            </w:pPr>
          </w:p>
        </w:tc>
      </w:tr>
      <w:tr w:rsidR="00CD7662" w:rsidRPr="0019790A" w14:paraId="46744F47" w14:textId="66AD4C93" w:rsidTr="00CD7662">
        <w:trPr>
          <w:trHeight w:val="275"/>
          <w:jc w:val="right"/>
        </w:trPr>
        <w:tc>
          <w:tcPr>
            <w:tcW w:w="3425" w:type="dxa"/>
            <w:shd w:val="clear" w:color="auto" w:fill="FFFFFF"/>
            <w:vAlign w:val="center"/>
          </w:tcPr>
          <w:p w14:paraId="1E595FA7" w14:textId="77777777" w:rsidR="00CD7662" w:rsidRPr="0019790A" w:rsidRDefault="00CD7662" w:rsidP="0019790A">
            <w:pPr>
              <w:rPr>
                <w:rFonts w:cs="Arial"/>
                <w:szCs w:val="22"/>
              </w:rPr>
            </w:pPr>
            <w:r w:rsidRPr="0019790A">
              <w:rPr>
                <w:rFonts w:cs="Arial"/>
                <w:szCs w:val="22"/>
              </w:rPr>
              <w:t>- бюджет Жмеринської МТГ</w:t>
            </w:r>
          </w:p>
        </w:tc>
        <w:tc>
          <w:tcPr>
            <w:tcW w:w="1277" w:type="dxa"/>
            <w:gridSpan w:val="2"/>
            <w:vAlign w:val="center"/>
          </w:tcPr>
          <w:p w14:paraId="65B75CE9" w14:textId="1F4C0D43" w:rsidR="00CD7662" w:rsidRPr="0019790A" w:rsidRDefault="00CD7662" w:rsidP="00CD7662">
            <w:pPr>
              <w:jc w:val="center"/>
              <w:rPr>
                <w:rFonts w:cs="Arial"/>
                <w:b/>
                <w:szCs w:val="22"/>
              </w:rPr>
            </w:pPr>
          </w:p>
        </w:tc>
        <w:tc>
          <w:tcPr>
            <w:tcW w:w="1267" w:type="dxa"/>
            <w:gridSpan w:val="2"/>
            <w:vAlign w:val="center"/>
          </w:tcPr>
          <w:p w14:paraId="16A94452" w14:textId="739FAC9F" w:rsidR="00CD7662" w:rsidRPr="0019790A" w:rsidRDefault="00CD7662" w:rsidP="00CD7662">
            <w:pPr>
              <w:ind w:left="7"/>
              <w:jc w:val="center"/>
              <w:rPr>
                <w:rFonts w:cs="Arial"/>
                <w:b/>
                <w:szCs w:val="22"/>
              </w:rPr>
            </w:pPr>
            <w:r w:rsidRPr="0019790A">
              <w:rPr>
                <w:rFonts w:cs="Arial"/>
                <w:b/>
                <w:szCs w:val="22"/>
              </w:rPr>
              <w:t>100,0</w:t>
            </w:r>
          </w:p>
        </w:tc>
        <w:tc>
          <w:tcPr>
            <w:tcW w:w="1402" w:type="dxa"/>
            <w:vAlign w:val="center"/>
          </w:tcPr>
          <w:p w14:paraId="02F07176" w14:textId="2117378F" w:rsidR="00CD7662" w:rsidRPr="0019790A" w:rsidRDefault="00CD7662" w:rsidP="00CD7662">
            <w:pPr>
              <w:ind w:left="90"/>
              <w:jc w:val="center"/>
              <w:rPr>
                <w:rFonts w:cs="Arial"/>
                <w:b/>
                <w:szCs w:val="22"/>
              </w:rPr>
            </w:pPr>
            <w:r w:rsidRPr="0019790A">
              <w:rPr>
                <w:rFonts w:cs="Arial"/>
                <w:b/>
                <w:szCs w:val="22"/>
              </w:rPr>
              <w:t>100,0</w:t>
            </w:r>
          </w:p>
        </w:tc>
        <w:tc>
          <w:tcPr>
            <w:tcW w:w="1306" w:type="dxa"/>
            <w:gridSpan w:val="2"/>
            <w:vAlign w:val="center"/>
          </w:tcPr>
          <w:p w14:paraId="1D474BD4" w14:textId="4BF2B6C2" w:rsidR="00CD7662" w:rsidRPr="0019790A" w:rsidRDefault="00CD7662" w:rsidP="00CD7662">
            <w:pPr>
              <w:ind w:left="183"/>
              <w:jc w:val="center"/>
              <w:rPr>
                <w:rFonts w:cs="Arial"/>
                <w:b/>
                <w:szCs w:val="22"/>
              </w:rPr>
            </w:pPr>
            <w:r w:rsidRPr="0019790A">
              <w:rPr>
                <w:rFonts w:cs="Arial"/>
                <w:b/>
                <w:szCs w:val="22"/>
              </w:rPr>
              <w:t>100,0</w:t>
            </w:r>
          </w:p>
        </w:tc>
        <w:tc>
          <w:tcPr>
            <w:tcW w:w="1542" w:type="dxa"/>
            <w:vAlign w:val="center"/>
          </w:tcPr>
          <w:p w14:paraId="215F8350" w14:textId="7B216A2A" w:rsidR="00CD7662" w:rsidRPr="0019790A" w:rsidRDefault="00CD7662" w:rsidP="00CD7662">
            <w:pPr>
              <w:ind w:left="344"/>
              <w:jc w:val="center"/>
              <w:rPr>
                <w:rFonts w:cs="Arial"/>
                <w:b/>
                <w:szCs w:val="22"/>
              </w:rPr>
            </w:pPr>
            <w:r w:rsidRPr="0019790A">
              <w:rPr>
                <w:rFonts w:cs="Arial"/>
                <w:b/>
                <w:szCs w:val="22"/>
              </w:rPr>
              <w:t>300,0</w:t>
            </w:r>
          </w:p>
        </w:tc>
      </w:tr>
      <w:tr w:rsidR="00CD7662" w:rsidRPr="0019790A" w14:paraId="0E0BD15D" w14:textId="182DE904" w:rsidTr="00CD7662">
        <w:trPr>
          <w:trHeight w:val="226"/>
          <w:jc w:val="right"/>
        </w:trPr>
        <w:tc>
          <w:tcPr>
            <w:tcW w:w="3425" w:type="dxa"/>
            <w:shd w:val="clear" w:color="auto" w:fill="FFFFFF"/>
            <w:vAlign w:val="center"/>
          </w:tcPr>
          <w:p w14:paraId="77124190" w14:textId="77777777" w:rsidR="00CD7662" w:rsidRPr="0019790A" w:rsidRDefault="00CD7662" w:rsidP="0019790A">
            <w:pPr>
              <w:rPr>
                <w:rFonts w:cs="Arial"/>
                <w:szCs w:val="22"/>
              </w:rPr>
            </w:pPr>
            <w:r w:rsidRPr="0019790A">
              <w:rPr>
                <w:rFonts w:cs="Arial"/>
                <w:szCs w:val="22"/>
              </w:rPr>
              <w:t>- інші джерела фінансування</w:t>
            </w:r>
          </w:p>
        </w:tc>
        <w:tc>
          <w:tcPr>
            <w:tcW w:w="1277" w:type="dxa"/>
            <w:gridSpan w:val="2"/>
            <w:vAlign w:val="center"/>
          </w:tcPr>
          <w:p w14:paraId="126A2B4D" w14:textId="77777777" w:rsidR="00CD7662" w:rsidRPr="0019790A" w:rsidRDefault="00CD7662" w:rsidP="00CD7662">
            <w:pPr>
              <w:jc w:val="center"/>
              <w:rPr>
                <w:rFonts w:cs="Arial"/>
                <w:szCs w:val="22"/>
              </w:rPr>
            </w:pPr>
          </w:p>
        </w:tc>
        <w:tc>
          <w:tcPr>
            <w:tcW w:w="1267" w:type="dxa"/>
            <w:gridSpan w:val="2"/>
            <w:vAlign w:val="center"/>
          </w:tcPr>
          <w:p w14:paraId="40544D44" w14:textId="77777777" w:rsidR="00CD7662" w:rsidRPr="0019790A" w:rsidRDefault="00CD7662" w:rsidP="00CD7662">
            <w:pPr>
              <w:jc w:val="center"/>
              <w:rPr>
                <w:rFonts w:cs="Arial"/>
                <w:szCs w:val="22"/>
              </w:rPr>
            </w:pPr>
          </w:p>
        </w:tc>
        <w:tc>
          <w:tcPr>
            <w:tcW w:w="1402" w:type="dxa"/>
            <w:vAlign w:val="center"/>
          </w:tcPr>
          <w:p w14:paraId="2EF42BA0" w14:textId="77777777" w:rsidR="00CD7662" w:rsidRPr="0019790A" w:rsidRDefault="00CD7662" w:rsidP="00CD7662">
            <w:pPr>
              <w:jc w:val="center"/>
              <w:rPr>
                <w:rFonts w:cs="Arial"/>
                <w:szCs w:val="22"/>
              </w:rPr>
            </w:pPr>
          </w:p>
        </w:tc>
        <w:tc>
          <w:tcPr>
            <w:tcW w:w="1306" w:type="dxa"/>
            <w:gridSpan w:val="2"/>
            <w:vAlign w:val="center"/>
          </w:tcPr>
          <w:p w14:paraId="3DF5996F" w14:textId="77777777" w:rsidR="00CD7662" w:rsidRPr="0019790A" w:rsidRDefault="00CD7662" w:rsidP="00CD7662">
            <w:pPr>
              <w:jc w:val="center"/>
              <w:rPr>
                <w:rFonts w:cs="Arial"/>
                <w:szCs w:val="22"/>
              </w:rPr>
            </w:pPr>
          </w:p>
        </w:tc>
        <w:tc>
          <w:tcPr>
            <w:tcW w:w="1542" w:type="dxa"/>
            <w:vAlign w:val="center"/>
          </w:tcPr>
          <w:p w14:paraId="3450EF9B" w14:textId="77777777" w:rsidR="00CD7662" w:rsidRPr="0019790A" w:rsidRDefault="00CD7662" w:rsidP="00CD7662">
            <w:pPr>
              <w:jc w:val="center"/>
              <w:rPr>
                <w:rFonts w:cs="Arial"/>
                <w:szCs w:val="22"/>
              </w:rPr>
            </w:pPr>
          </w:p>
        </w:tc>
      </w:tr>
      <w:tr w:rsidR="005342D5" w:rsidRPr="0019790A" w14:paraId="0F4D03EA" w14:textId="77777777" w:rsidTr="00CD7662">
        <w:trPr>
          <w:jc w:val="right"/>
        </w:trPr>
        <w:tc>
          <w:tcPr>
            <w:tcW w:w="3425" w:type="dxa"/>
            <w:shd w:val="clear" w:color="auto" w:fill="FFFFFF"/>
            <w:vAlign w:val="center"/>
          </w:tcPr>
          <w:p w14:paraId="766B8C96" w14:textId="77777777" w:rsidR="005342D5" w:rsidRPr="0019790A" w:rsidRDefault="005342D5" w:rsidP="0019790A">
            <w:pPr>
              <w:rPr>
                <w:rFonts w:cs="Arial"/>
                <w:b/>
                <w:bCs/>
                <w:szCs w:val="22"/>
              </w:rPr>
            </w:pPr>
            <w:r w:rsidRPr="0019790A">
              <w:rPr>
                <w:rFonts w:cs="Arial"/>
                <w:b/>
                <w:szCs w:val="22"/>
              </w:rPr>
              <w:t>Відповідальний виконавець проєкту:</w:t>
            </w:r>
          </w:p>
        </w:tc>
        <w:tc>
          <w:tcPr>
            <w:tcW w:w="6794" w:type="dxa"/>
            <w:gridSpan w:val="8"/>
            <w:vAlign w:val="center"/>
          </w:tcPr>
          <w:p w14:paraId="16FD525A" w14:textId="71823388" w:rsidR="005342D5" w:rsidRPr="0019790A" w:rsidRDefault="005342D5" w:rsidP="00CD7662">
            <w:pPr>
              <w:jc w:val="both"/>
              <w:rPr>
                <w:rFonts w:cs="Arial"/>
                <w:szCs w:val="22"/>
              </w:rPr>
            </w:pPr>
            <w:r w:rsidRPr="0019790A">
              <w:rPr>
                <w:rFonts w:cs="Arial"/>
                <w:szCs w:val="22"/>
              </w:rPr>
              <w:t xml:space="preserve">Відділ молоді та спорту Жмеринської </w:t>
            </w:r>
            <w:r w:rsidR="00CD7662" w:rsidRPr="0019790A">
              <w:rPr>
                <w:rFonts w:cs="Arial"/>
                <w:szCs w:val="22"/>
              </w:rPr>
              <w:t>міської</w:t>
            </w:r>
            <w:r w:rsidRPr="0019790A">
              <w:rPr>
                <w:rFonts w:cs="Arial"/>
                <w:szCs w:val="22"/>
              </w:rPr>
              <w:t xml:space="preserve"> ради</w:t>
            </w:r>
          </w:p>
        </w:tc>
      </w:tr>
      <w:tr w:rsidR="005342D5" w:rsidRPr="0019790A" w14:paraId="352538D2" w14:textId="77777777" w:rsidTr="00CD7662">
        <w:trPr>
          <w:jc w:val="right"/>
        </w:trPr>
        <w:tc>
          <w:tcPr>
            <w:tcW w:w="3425" w:type="dxa"/>
            <w:shd w:val="clear" w:color="auto" w:fill="FFFFFF"/>
            <w:vAlign w:val="center"/>
          </w:tcPr>
          <w:p w14:paraId="189BEAD9" w14:textId="77777777" w:rsidR="005342D5" w:rsidRPr="0019790A" w:rsidRDefault="005342D5" w:rsidP="0019790A">
            <w:pPr>
              <w:rPr>
                <w:rFonts w:cs="Arial"/>
                <w:b/>
                <w:bCs/>
                <w:szCs w:val="22"/>
              </w:rPr>
            </w:pPr>
            <w:r w:rsidRPr="0019790A">
              <w:rPr>
                <w:rFonts w:cs="Arial"/>
                <w:b/>
                <w:bCs/>
                <w:szCs w:val="22"/>
              </w:rPr>
              <w:t>Інше:</w:t>
            </w:r>
          </w:p>
        </w:tc>
        <w:tc>
          <w:tcPr>
            <w:tcW w:w="6794" w:type="dxa"/>
            <w:gridSpan w:val="8"/>
            <w:vAlign w:val="center"/>
          </w:tcPr>
          <w:p w14:paraId="308D3B35" w14:textId="77777777" w:rsidR="005342D5" w:rsidRPr="0019790A" w:rsidRDefault="005342D5" w:rsidP="00CD7662">
            <w:pPr>
              <w:jc w:val="both"/>
              <w:rPr>
                <w:rFonts w:cs="Arial"/>
                <w:szCs w:val="22"/>
              </w:rPr>
            </w:pPr>
          </w:p>
        </w:tc>
      </w:tr>
    </w:tbl>
    <w:p w14:paraId="70019E96" w14:textId="77777777" w:rsidR="005342D5" w:rsidRPr="0019790A" w:rsidRDefault="005342D5" w:rsidP="0019790A">
      <w:pPr>
        <w:rPr>
          <w:rFonts w:cs="Arial"/>
          <w:szCs w:val="22"/>
        </w:rPr>
      </w:pPr>
    </w:p>
    <w:p w14:paraId="3F00CA9F" w14:textId="77777777" w:rsidR="005342D5" w:rsidRPr="0019790A" w:rsidRDefault="005342D5" w:rsidP="0019790A">
      <w:pPr>
        <w:jc w:val="center"/>
        <w:rPr>
          <w:rFonts w:cs="Arial"/>
          <w:b/>
          <w:szCs w:val="22"/>
        </w:rPr>
      </w:pPr>
      <w:r w:rsidRPr="0019790A">
        <w:rPr>
          <w:rFonts w:cs="Arial"/>
          <w:b/>
          <w:szCs w:val="22"/>
        </w:rPr>
        <w:t>Форма технічного завдання на проєкт місцевого розвитку</w:t>
      </w:r>
    </w:p>
    <w:p w14:paraId="1C6A1705" w14:textId="77777777" w:rsidR="005342D5" w:rsidRPr="0019790A" w:rsidRDefault="005342D5" w:rsidP="0019790A">
      <w:pPr>
        <w:jc w:val="center"/>
        <w:rPr>
          <w:rFonts w:cs="Arial"/>
          <w:b/>
          <w:szCs w:val="22"/>
        </w:rPr>
      </w:pPr>
      <w:r w:rsidRPr="0019790A">
        <w:rPr>
          <w:rFonts w:cs="Arial"/>
          <w:b/>
          <w:szCs w:val="22"/>
        </w:rPr>
        <w:t>до Плану заходів з реалізації Стратегії</w:t>
      </w:r>
    </w:p>
    <w:p w14:paraId="2D01EBD1" w14:textId="77777777" w:rsidR="005342D5" w:rsidRPr="0019790A" w:rsidRDefault="005342D5" w:rsidP="0019790A">
      <w:pPr>
        <w:rPr>
          <w:rFonts w:cs="Arial"/>
          <w:szCs w:val="22"/>
        </w:rPr>
      </w:pPr>
    </w:p>
    <w:tbl>
      <w:tblPr>
        <w:tblW w:w="10212"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18"/>
        <w:gridCol w:w="1254"/>
        <w:gridCol w:w="23"/>
        <w:gridCol w:w="1238"/>
        <w:gridCol w:w="14"/>
        <w:gridCol w:w="1418"/>
        <w:gridCol w:w="8"/>
        <w:gridCol w:w="1268"/>
        <w:gridCol w:w="38"/>
        <w:gridCol w:w="1533"/>
      </w:tblGrid>
      <w:tr w:rsidR="005342D5" w:rsidRPr="0019790A" w14:paraId="3FA54AF5" w14:textId="77777777" w:rsidTr="000343CA">
        <w:trPr>
          <w:jc w:val="right"/>
        </w:trPr>
        <w:tc>
          <w:tcPr>
            <w:tcW w:w="3418" w:type="dxa"/>
            <w:vAlign w:val="center"/>
          </w:tcPr>
          <w:p w14:paraId="3DC071F7" w14:textId="77777777" w:rsidR="005342D5" w:rsidRPr="0019790A" w:rsidRDefault="005342D5" w:rsidP="0019790A">
            <w:pPr>
              <w:rPr>
                <w:rFonts w:cs="Arial"/>
                <w:b/>
                <w:bCs/>
                <w:szCs w:val="22"/>
              </w:rPr>
            </w:pPr>
            <w:r w:rsidRPr="0019790A">
              <w:rPr>
                <w:rFonts w:cs="Arial"/>
                <w:b/>
                <w:bCs/>
                <w:szCs w:val="22"/>
              </w:rPr>
              <w:t>Назва проєкту:</w:t>
            </w:r>
          </w:p>
        </w:tc>
        <w:tc>
          <w:tcPr>
            <w:tcW w:w="6794" w:type="dxa"/>
            <w:gridSpan w:val="9"/>
            <w:vAlign w:val="center"/>
          </w:tcPr>
          <w:p w14:paraId="1AE0DDAF" w14:textId="77777777" w:rsidR="005342D5" w:rsidRPr="000343CA" w:rsidRDefault="005342D5" w:rsidP="000343CA">
            <w:pPr>
              <w:tabs>
                <w:tab w:val="left" w:pos="162"/>
                <w:tab w:val="left" w:pos="364"/>
              </w:tabs>
              <w:jc w:val="both"/>
              <w:rPr>
                <w:rFonts w:cs="Arial"/>
                <w:b/>
                <w:szCs w:val="22"/>
              </w:rPr>
            </w:pPr>
            <w:r w:rsidRPr="000343CA">
              <w:rPr>
                <w:rFonts w:cs="Arial"/>
                <w:b/>
                <w:szCs w:val="22"/>
              </w:rPr>
              <w:t>«Пульс нації» — національно-патріотичне виховання через активну участь молоді</w:t>
            </w:r>
          </w:p>
        </w:tc>
      </w:tr>
      <w:tr w:rsidR="005342D5" w:rsidRPr="0019790A" w14:paraId="485F6243" w14:textId="77777777" w:rsidTr="000343CA">
        <w:trPr>
          <w:jc w:val="right"/>
        </w:trPr>
        <w:tc>
          <w:tcPr>
            <w:tcW w:w="3418" w:type="dxa"/>
          </w:tcPr>
          <w:p w14:paraId="43395E50" w14:textId="77777777" w:rsidR="005342D5" w:rsidRPr="0019790A" w:rsidRDefault="005342D5" w:rsidP="0019790A">
            <w:pPr>
              <w:rPr>
                <w:rFonts w:cs="Arial"/>
                <w:szCs w:val="22"/>
              </w:rPr>
            </w:pPr>
            <w:r w:rsidRPr="0019790A">
              <w:rPr>
                <w:rFonts w:cs="Arial"/>
                <w:b/>
                <w:bCs/>
                <w:szCs w:val="22"/>
              </w:rPr>
              <w:t>Ваші контакти</w:t>
            </w:r>
            <w:r w:rsidRPr="0019790A">
              <w:rPr>
                <w:rFonts w:cs="Arial"/>
                <w:szCs w:val="22"/>
              </w:rPr>
              <w:t>:</w:t>
            </w:r>
          </w:p>
          <w:p w14:paraId="0AE3FD94" w14:textId="77777777" w:rsidR="005342D5" w:rsidRPr="0019790A" w:rsidRDefault="005342D5" w:rsidP="0019790A">
            <w:pPr>
              <w:rPr>
                <w:rFonts w:cs="Arial"/>
                <w:b/>
                <w:bCs/>
                <w:szCs w:val="22"/>
              </w:rPr>
            </w:pPr>
            <w:r w:rsidRPr="0019790A">
              <w:rPr>
                <w:rFonts w:cs="Arial"/>
                <w:szCs w:val="22"/>
              </w:rPr>
              <w:t>Назва установи, організації, підприємства</w:t>
            </w:r>
          </w:p>
        </w:tc>
        <w:tc>
          <w:tcPr>
            <w:tcW w:w="6794" w:type="dxa"/>
            <w:gridSpan w:val="9"/>
            <w:vAlign w:val="center"/>
          </w:tcPr>
          <w:p w14:paraId="6783DA6C" w14:textId="77777777" w:rsidR="005342D5" w:rsidRPr="0019790A" w:rsidRDefault="005342D5" w:rsidP="000343CA">
            <w:pPr>
              <w:tabs>
                <w:tab w:val="left" w:pos="162"/>
                <w:tab w:val="left" w:pos="364"/>
              </w:tabs>
              <w:jc w:val="both"/>
              <w:rPr>
                <w:rFonts w:cs="Arial"/>
                <w:szCs w:val="22"/>
              </w:rPr>
            </w:pPr>
            <w:r w:rsidRPr="0019790A">
              <w:rPr>
                <w:rFonts w:cs="Arial"/>
                <w:szCs w:val="22"/>
              </w:rPr>
              <w:t>Відділ молоді та спорту Жмеринської міської ради</w:t>
            </w:r>
          </w:p>
        </w:tc>
      </w:tr>
      <w:tr w:rsidR="005342D5" w:rsidRPr="0019790A" w14:paraId="77C11504" w14:textId="77777777" w:rsidTr="000343CA">
        <w:trPr>
          <w:jc w:val="right"/>
        </w:trPr>
        <w:tc>
          <w:tcPr>
            <w:tcW w:w="3418" w:type="dxa"/>
          </w:tcPr>
          <w:p w14:paraId="0E4975F1" w14:textId="77777777" w:rsidR="005342D5" w:rsidRPr="0019790A" w:rsidRDefault="005342D5" w:rsidP="0019790A">
            <w:pPr>
              <w:rPr>
                <w:rFonts w:cs="Arial"/>
                <w:b/>
                <w:bCs/>
                <w:szCs w:val="22"/>
              </w:rPr>
            </w:pPr>
            <w:r w:rsidRPr="0019790A">
              <w:rPr>
                <w:rFonts w:cs="Arial"/>
                <w:szCs w:val="22"/>
              </w:rPr>
              <w:t>Прізвище Ім’я По-батькові:</w:t>
            </w:r>
          </w:p>
        </w:tc>
        <w:tc>
          <w:tcPr>
            <w:tcW w:w="6794" w:type="dxa"/>
            <w:gridSpan w:val="9"/>
            <w:vAlign w:val="center"/>
          </w:tcPr>
          <w:p w14:paraId="333E4A9C" w14:textId="77777777" w:rsidR="005342D5" w:rsidRPr="0019790A" w:rsidRDefault="005342D5" w:rsidP="000343CA">
            <w:pPr>
              <w:tabs>
                <w:tab w:val="left" w:pos="162"/>
                <w:tab w:val="left" w:pos="364"/>
              </w:tabs>
              <w:jc w:val="both"/>
              <w:rPr>
                <w:rFonts w:cs="Arial"/>
                <w:szCs w:val="22"/>
              </w:rPr>
            </w:pPr>
            <w:r w:rsidRPr="0019790A">
              <w:rPr>
                <w:rFonts w:cs="Arial"/>
                <w:szCs w:val="22"/>
              </w:rPr>
              <w:t>Ковальська Олена Віталіївна</w:t>
            </w:r>
          </w:p>
        </w:tc>
      </w:tr>
      <w:tr w:rsidR="005342D5" w:rsidRPr="0019790A" w14:paraId="65688D9F" w14:textId="77777777" w:rsidTr="000343CA">
        <w:trPr>
          <w:jc w:val="right"/>
        </w:trPr>
        <w:tc>
          <w:tcPr>
            <w:tcW w:w="3418" w:type="dxa"/>
          </w:tcPr>
          <w:p w14:paraId="45502C32" w14:textId="77777777" w:rsidR="005342D5" w:rsidRPr="0019790A" w:rsidRDefault="005342D5" w:rsidP="0019790A">
            <w:pPr>
              <w:rPr>
                <w:rFonts w:cs="Arial"/>
                <w:b/>
                <w:bCs/>
                <w:szCs w:val="22"/>
              </w:rPr>
            </w:pPr>
            <w:r w:rsidRPr="0019790A">
              <w:rPr>
                <w:rFonts w:cs="Arial"/>
                <w:szCs w:val="22"/>
              </w:rPr>
              <w:t>Телефон (мобільний):</w:t>
            </w:r>
          </w:p>
        </w:tc>
        <w:tc>
          <w:tcPr>
            <w:tcW w:w="6794" w:type="dxa"/>
            <w:gridSpan w:val="9"/>
            <w:vAlign w:val="center"/>
          </w:tcPr>
          <w:p w14:paraId="2FBC49D0" w14:textId="77777777" w:rsidR="005342D5" w:rsidRPr="0019790A" w:rsidRDefault="005342D5" w:rsidP="000343CA">
            <w:pPr>
              <w:tabs>
                <w:tab w:val="left" w:pos="162"/>
                <w:tab w:val="left" w:pos="364"/>
              </w:tabs>
              <w:jc w:val="both"/>
              <w:rPr>
                <w:rFonts w:cs="Arial"/>
                <w:szCs w:val="22"/>
              </w:rPr>
            </w:pPr>
            <w:r w:rsidRPr="0019790A">
              <w:rPr>
                <w:rFonts w:cs="Arial"/>
                <w:szCs w:val="22"/>
              </w:rPr>
              <w:t>096-068-94-79</w:t>
            </w:r>
          </w:p>
        </w:tc>
      </w:tr>
      <w:tr w:rsidR="005342D5" w:rsidRPr="0019790A" w14:paraId="720EE054" w14:textId="77777777" w:rsidTr="000343CA">
        <w:trPr>
          <w:jc w:val="right"/>
        </w:trPr>
        <w:tc>
          <w:tcPr>
            <w:tcW w:w="3418" w:type="dxa"/>
          </w:tcPr>
          <w:p w14:paraId="770DFD87" w14:textId="77777777" w:rsidR="005342D5" w:rsidRPr="0019790A" w:rsidRDefault="005342D5" w:rsidP="0019790A">
            <w:pPr>
              <w:rPr>
                <w:rFonts w:cs="Arial"/>
                <w:b/>
                <w:bCs/>
                <w:szCs w:val="22"/>
              </w:rPr>
            </w:pPr>
            <w:r w:rsidRPr="0019790A">
              <w:rPr>
                <w:rFonts w:cs="Arial"/>
                <w:szCs w:val="22"/>
              </w:rPr>
              <w:t>Електронна адреса:</w:t>
            </w:r>
          </w:p>
        </w:tc>
        <w:tc>
          <w:tcPr>
            <w:tcW w:w="6794" w:type="dxa"/>
            <w:gridSpan w:val="9"/>
            <w:vAlign w:val="center"/>
          </w:tcPr>
          <w:p w14:paraId="6EC40C0A" w14:textId="77777777" w:rsidR="005342D5" w:rsidRPr="0019790A" w:rsidRDefault="00D85FFD" w:rsidP="000343CA">
            <w:pPr>
              <w:tabs>
                <w:tab w:val="left" w:pos="162"/>
                <w:tab w:val="left" w:pos="364"/>
              </w:tabs>
              <w:jc w:val="both"/>
              <w:rPr>
                <w:rFonts w:cs="Arial"/>
                <w:szCs w:val="22"/>
              </w:rPr>
            </w:pPr>
            <w:hyperlink r:id="rId169" w:history="1">
              <w:r w:rsidR="005342D5" w:rsidRPr="0019790A">
                <w:rPr>
                  <w:rStyle w:val="af0"/>
                  <w:rFonts w:cs="Arial"/>
                  <w:b/>
                  <w:bCs/>
                  <w:noProof w:val="0"/>
                  <w:sz w:val="22"/>
                  <w:szCs w:val="22"/>
                </w:rPr>
                <w:t>ms@zhmr.gov.ua</w:t>
              </w:r>
            </w:hyperlink>
          </w:p>
        </w:tc>
      </w:tr>
      <w:tr w:rsidR="005342D5" w:rsidRPr="0019790A" w14:paraId="19C4CCB6" w14:textId="77777777" w:rsidTr="000343CA">
        <w:trPr>
          <w:trHeight w:val="1307"/>
          <w:jc w:val="right"/>
        </w:trPr>
        <w:tc>
          <w:tcPr>
            <w:tcW w:w="3418" w:type="dxa"/>
            <w:vAlign w:val="center"/>
          </w:tcPr>
          <w:p w14:paraId="3FC0EABB" w14:textId="77777777" w:rsidR="005342D5" w:rsidRPr="0019790A" w:rsidRDefault="005342D5" w:rsidP="0019790A">
            <w:pPr>
              <w:rPr>
                <w:rFonts w:cs="Arial"/>
                <w:b/>
                <w:bCs/>
                <w:szCs w:val="22"/>
              </w:rPr>
            </w:pPr>
            <w:r w:rsidRPr="0019790A">
              <w:rPr>
                <w:rFonts w:cs="Arial"/>
                <w:b/>
                <w:bCs/>
                <w:szCs w:val="22"/>
              </w:rPr>
              <w:t>Номер і назва завдання з Стратегії розвитку Жмеринської міської територіальної громади,  якому відповідає проєкт:</w:t>
            </w:r>
          </w:p>
        </w:tc>
        <w:tc>
          <w:tcPr>
            <w:tcW w:w="6794" w:type="dxa"/>
            <w:gridSpan w:val="9"/>
            <w:vAlign w:val="center"/>
          </w:tcPr>
          <w:p w14:paraId="66F9D748" w14:textId="77777777" w:rsidR="005342D5" w:rsidRPr="000343CA" w:rsidRDefault="005342D5" w:rsidP="000343CA">
            <w:pPr>
              <w:tabs>
                <w:tab w:val="left" w:pos="162"/>
                <w:tab w:val="left" w:pos="364"/>
              </w:tabs>
              <w:jc w:val="both"/>
              <w:rPr>
                <w:rFonts w:cs="Arial"/>
                <w:szCs w:val="22"/>
              </w:rPr>
            </w:pPr>
            <w:r w:rsidRPr="000343CA">
              <w:rPr>
                <w:rFonts w:cs="Arial"/>
                <w:szCs w:val="22"/>
              </w:rPr>
              <w:t>С.3.5.4. Забезпечення розвитку системи національно-патріотичного виховання дітей  і молоді.</w:t>
            </w:r>
          </w:p>
        </w:tc>
      </w:tr>
      <w:tr w:rsidR="005342D5" w:rsidRPr="0019790A" w14:paraId="47F683B0" w14:textId="77777777" w:rsidTr="000343CA">
        <w:trPr>
          <w:trHeight w:val="673"/>
          <w:jc w:val="right"/>
        </w:trPr>
        <w:tc>
          <w:tcPr>
            <w:tcW w:w="3418" w:type="dxa"/>
            <w:vAlign w:val="center"/>
          </w:tcPr>
          <w:p w14:paraId="2DEE16A5" w14:textId="77777777" w:rsidR="005342D5" w:rsidRPr="0019790A" w:rsidRDefault="005342D5" w:rsidP="0019790A">
            <w:pPr>
              <w:rPr>
                <w:rFonts w:cs="Arial"/>
                <w:b/>
                <w:bCs/>
                <w:szCs w:val="22"/>
              </w:rPr>
            </w:pPr>
            <w:r w:rsidRPr="0019790A">
              <w:rPr>
                <w:rFonts w:cs="Arial"/>
                <w:b/>
                <w:bCs/>
                <w:szCs w:val="22"/>
              </w:rPr>
              <w:t>Мета проєкту:</w:t>
            </w:r>
          </w:p>
        </w:tc>
        <w:tc>
          <w:tcPr>
            <w:tcW w:w="6794" w:type="dxa"/>
            <w:gridSpan w:val="9"/>
            <w:vAlign w:val="center"/>
          </w:tcPr>
          <w:p w14:paraId="21E77815" w14:textId="77777777" w:rsidR="005342D5" w:rsidRPr="0019790A" w:rsidRDefault="005342D5" w:rsidP="000343CA">
            <w:pPr>
              <w:tabs>
                <w:tab w:val="left" w:pos="162"/>
                <w:tab w:val="left" w:pos="364"/>
              </w:tabs>
              <w:jc w:val="both"/>
              <w:rPr>
                <w:rFonts w:cs="Arial"/>
                <w:szCs w:val="22"/>
              </w:rPr>
            </w:pPr>
            <w:r w:rsidRPr="0019790A">
              <w:rPr>
                <w:rFonts w:cs="Arial"/>
                <w:szCs w:val="22"/>
              </w:rPr>
              <w:t>Формування у молодого покоління патріотичної свідомості, активної громадянської позиції та готовності до захисту держави шляхом впровадження сучасної системи національно-патріотичного виховання.</w:t>
            </w:r>
          </w:p>
        </w:tc>
      </w:tr>
      <w:tr w:rsidR="005342D5" w:rsidRPr="0019790A" w14:paraId="71EE0A0E" w14:textId="77777777" w:rsidTr="000343CA">
        <w:trPr>
          <w:jc w:val="right"/>
        </w:trPr>
        <w:tc>
          <w:tcPr>
            <w:tcW w:w="3418" w:type="dxa"/>
            <w:vAlign w:val="center"/>
          </w:tcPr>
          <w:p w14:paraId="5726CA68" w14:textId="77777777" w:rsidR="005342D5" w:rsidRPr="0019790A" w:rsidRDefault="005342D5" w:rsidP="0019790A">
            <w:pPr>
              <w:rPr>
                <w:rFonts w:cs="Arial"/>
                <w:b/>
                <w:bCs/>
                <w:szCs w:val="22"/>
              </w:rPr>
            </w:pPr>
            <w:r w:rsidRPr="0019790A">
              <w:rPr>
                <w:rFonts w:cs="Arial"/>
                <w:b/>
                <w:bCs/>
                <w:szCs w:val="22"/>
              </w:rPr>
              <w:t>Цілі проєкту:</w:t>
            </w:r>
          </w:p>
        </w:tc>
        <w:tc>
          <w:tcPr>
            <w:tcW w:w="6794" w:type="dxa"/>
            <w:gridSpan w:val="9"/>
            <w:vAlign w:val="center"/>
          </w:tcPr>
          <w:p w14:paraId="062FDEF6" w14:textId="77777777" w:rsidR="005342D5" w:rsidRPr="0019790A" w:rsidRDefault="005342D5" w:rsidP="000343CA">
            <w:pPr>
              <w:numPr>
                <w:ilvl w:val="0"/>
                <w:numId w:val="118"/>
              </w:numPr>
              <w:tabs>
                <w:tab w:val="left" w:pos="162"/>
                <w:tab w:val="left" w:pos="364"/>
              </w:tabs>
              <w:ind w:left="0" w:firstLine="0"/>
              <w:jc w:val="both"/>
              <w:rPr>
                <w:rFonts w:cs="Arial"/>
                <w:szCs w:val="22"/>
              </w:rPr>
            </w:pPr>
            <w:r w:rsidRPr="0019790A">
              <w:rPr>
                <w:rFonts w:cs="Arial"/>
                <w:szCs w:val="22"/>
              </w:rPr>
              <w:t>Підвищити рівень знань молоді про історію України, Збройні Сили та державотворення.</w:t>
            </w:r>
          </w:p>
          <w:p w14:paraId="75893B69" w14:textId="77777777" w:rsidR="005342D5" w:rsidRPr="0019790A" w:rsidRDefault="005342D5" w:rsidP="000343CA">
            <w:pPr>
              <w:numPr>
                <w:ilvl w:val="0"/>
                <w:numId w:val="118"/>
              </w:numPr>
              <w:tabs>
                <w:tab w:val="left" w:pos="162"/>
                <w:tab w:val="left" w:pos="364"/>
              </w:tabs>
              <w:ind w:left="0" w:firstLine="0"/>
              <w:jc w:val="both"/>
              <w:rPr>
                <w:rFonts w:cs="Arial"/>
                <w:szCs w:val="22"/>
              </w:rPr>
            </w:pPr>
            <w:r w:rsidRPr="0019790A">
              <w:rPr>
                <w:rFonts w:cs="Arial"/>
                <w:szCs w:val="22"/>
              </w:rPr>
              <w:t>Формувати навички самоорганізації, відповідальності, лідерства.</w:t>
            </w:r>
          </w:p>
          <w:p w14:paraId="2CB92641" w14:textId="77777777" w:rsidR="005342D5" w:rsidRPr="0019790A" w:rsidRDefault="005342D5" w:rsidP="000343CA">
            <w:pPr>
              <w:numPr>
                <w:ilvl w:val="0"/>
                <w:numId w:val="118"/>
              </w:numPr>
              <w:tabs>
                <w:tab w:val="left" w:pos="162"/>
                <w:tab w:val="left" w:pos="364"/>
              </w:tabs>
              <w:ind w:left="0" w:firstLine="0"/>
              <w:jc w:val="both"/>
              <w:rPr>
                <w:rFonts w:cs="Arial"/>
                <w:szCs w:val="22"/>
              </w:rPr>
            </w:pPr>
            <w:r w:rsidRPr="0019790A">
              <w:rPr>
                <w:rFonts w:cs="Arial"/>
                <w:szCs w:val="22"/>
              </w:rPr>
              <w:t>Сприяти формуванню моральних якостей, необхідних для захисту Батьківщини.</w:t>
            </w:r>
          </w:p>
          <w:p w14:paraId="55FD4FDF" w14:textId="77777777" w:rsidR="005342D5" w:rsidRPr="0019790A" w:rsidRDefault="005342D5" w:rsidP="000343CA">
            <w:pPr>
              <w:numPr>
                <w:ilvl w:val="0"/>
                <w:numId w:val="118"/>
              </w:numPr>
              <w:tabs>
                <w:tab w:val="left" w:pos="162"/>
                <w:tab w:val="left" w:pos="364"/>
              </w:tabs>
              <w:ind w:left="0" w:firstLine="0"/>
              <w:jc w:val="both"/>
              <w:rPr>
                <w:rFonts w:cs="Arial"/>
                <w:szCs w:val="22"/>
              </w:rPr>
            </w:pPr>
            <w:r w:rsidRPr="0019790A">
              <w:rPr>
                <w:rFonts w:cs="Arial"/>
                <w:szCs w:val="22"/>
              </w:rPr>
              <w:t>Створити сталу модель співпраці між молоддю, ветеранами та освітніми інституціями.</w:t>
            </w:r>
          </w:p>
        </w:tc>
      </w:tr>
      <w:tr w:rsidR="005342D5" w:rsidRPr="0019790A" w14:paraId="1B966401" w14:textId="77777777" w:rsidTr="000343CA">
        <w:trPr>
          <w:trHeight w:val="641"/>
          <w:jc w:val="right"/>
        </w:trPr>
        <w:tc>
          <w:tcPr>
            <w:tcW w:w="3418" w:type="dxa"/>
            <w:vAlign w:val="center"/>
          </w:tcPr>
          <w:p w14:paraId="5404B871" w14:textId="77777777" w:rsidR="005342D5" w:rsidRPr="0019790A" w:rsidRDefault="005342D5" w:rsidP="0019790A">
            <w:pPr>
              <w:rPr>
                <w:rFonts w:cs="Arial"/>
                <w:b/>
                <w:szCs w:val="22"/>
              </w:rPr>
            </w:pPr>
            <w:r w:rsidRPr="0019790A">
              <w:rPr>
                <w:rFonts w:cs="Arial"/>
                <w:b/>
                <w:szCs w:val="22"/>
              </w:rPr>
              <w:t>Територія на яку проєкт матиме вплив:</w:t>
            </w:r>
          </w:p>
        </w:tc>
        <w:tc>
          <w:tcPr>
            <w:tcW w:w="6794" w:type="dxa"/>
            <w:gridSpan w:val="9"/>
            <w:vAlign w:val="center"/>
          </w:tcPr>
          <w:p w14:paraId="54249C8B" w14:textId="77777777" w:rsidR="005342D5" w:rsidRPr="0019790A" w:rsidRDefault="005342D5" w:rsidP="000343CA">
            <w:pPr>
              <w:tabs>
                <w:tab w:val="left" w:pos="162"/>
                <w:tab w:val="left" w:pos="364"/>
              </w:tabs>
              <w:jc w:val="both"/>
              <w:rPr>
                <w:rFonts w:cs="Arial"/>
                <w:szCs w:val="22"/>
              </w:rPr>
            </w:pPr>
            <w:r w:rsidRPr="0019790A">
              <w:rPr>
                <w:rFonts w:cs="Arial"/>
                <w:szCs w:val="22"/>
              </w:rPr>
              <w:t>Жмеринська міська територіальна громада</w:t>
            </w:r>
          </w:p>
        </w:tc>
      </w:tr>
      <w:tr w:rsidR="005342D5" w:rsidRPr="0019790A" w14:paraId="55A4E2DC" w14:textId="77777777" w:rsidTr="000343CA">
        <w:trPr>
          <w:jc w:val="right"/>
        </w:trPr>
        <w:tc>
          <w:tcPr>
            <w:tcW w:w="3418" w:type="dxa"/>
            <w:vAlign w:val="center"/>
          </w:tcPr>
          <w:p w14:paraId="7387363A" w14:textId="77777777" w:rsidR="005342D5" w:rsidRPr="0019790A" w:rsidRDefault="005342D5" w:rsidP="0019790A">
            <w:pPr>
              <w:rPr>
                <w:rFonts w:cs="Arial"/>
                <w:b/>
                <w:szCs w:val="22"/>
              </w:rPr>
            </w:pPr>
            <w:r w:rsidRPr="0019790A">
              <w:rPr>
                <w:rFonts w:cs="Arial"/>
                <w:b/>
                <w:szCs w:val="22"/>
              </w:rPr>
              <w:t>Цільові групи проєкту та кількість отримувачів вигоди</w:t>
            </w:r>
          </w:p>
        </w:tc>
        <w:tc>
          <w:tcPr>
            <w:tcW w:w="6794" w:type="dxa"/>
            <w:gridSpan w:val="9"/>
            <w:vAlign w:val="center"/>
          </w:tcPr>
          <w:p w14:paraId="2538544B" w14:textId="77777777" w:rsidR="005342D5" w:rsidRPr="0019790A" w:rsidRDefault="005342D5" w:rsidP="000343CA">
            <w:pPr>
              <w:numPr>
                <w:ilvl w:val="0"/>
                <w:numId w:val="119"/>
              </w:numPr>
              <w:tabs>
                <w:tab w:val="left" w:pos="162"/>
                <w:tab w:val="left" w:pos="364"/>
              </w:tabs>
              <w:ind w:left="0" w:firstLine="0"/>
              <w:jc w:val="both"/>
              <w:rPr>
                <w:rFonts w:cs="Arial"/>
                <w:szCs w:val="22"/>
              </w:rPr>
            </w:pPr>
            <w:r w:rsidRPr="0019790A">
              <w:rPr>
                <w:rFonts w:cs="Arial"/>
                <w:szCs w:val="22"/>
              </w:rPr>
              <w:t>Діти та молодь 10–25 років</w:t>
            </w:r>
          </w:p>
          <w:p w14:paraId="7D069995" w14:textId="77777777" w:rsidR="005342D5" w:rsidRPr="0019790A" w:rsidRDefault="005342D5" w:rsidP="000343CA">
            <w:pPr>
              <w:numPr>
                <w:ilvl w:val="0"/>
                <w:numId w:val="119"/>
              </w:numPr>
              <w:tabs>
                <w:tab w:val="left" w:pos="162"/>
                <w:tab w:val="left" w:pos="364"/>
              </w:tabs>
              <w:ind w:left="0" w:firstLine="0"/>
              <w:jc w:val="both"/>
              <w:rPr>
                <w:rFonts w:cs="Arial"/>
                <w:szCs w:val="22"/>
              </w:rPr>
            </w:pPr>
            <w:r w:rsidRPr="0019790A">
              <w:rPr>
                <w:rFonts w:cs="Arial"/>
                <w:szCs w:val="22"/>
              </w:rPr>
              <w:t>Учнівська молодь, студенти</w:t>
            </w:r>
          </w:p>
          <w:p w14:paraId="013EEF41" w14:textId="77777777" w:rsidR="005342D5" w:rsidRPr="0019790A" w:rsidRDefault="005342D5" w:rsidP="000343CA">
            <w:pPr>
              <w:numPr>
                <w:ilvl w:val="0"/>
                <w:numId w:val="119"/>
              </w:numPr>
              <w:tabs>
                <w:tab w:val="left" w:pos="162"/>
                <w:tab w:val="left" w:pos="364"/>
              </w:tabs>
              <w:ind w:left="0" w:firstLine="0"/>
              <w:jc w:val="both"/>
              <w:rPr>
                <w:rFonts w:cs="Arial"/>
                <w:szCs w:val="22"/>
              </w:rPr>
            </w:pPr>
            <w:r w:rsidRPr="0019790A">
              <w:rPr>
                <w:rFonts w:cs="Arial"/>
                <w:szCs w:val="22"/>
              </w:rPr>
              <w:t>Члени молодіжних громадських організацій</w:t>
            </w:r>
          </w:p>
          <w:p w14:paraId="666D497B" w14:textId="77777777" w:rsidR="005342D5" w:rsidRPr="0019790A" w:rsidRDefault="005342D5" w:rsidP="000343CA">
            <w:pPr>
              <w:numPr>
                <w:ilvl w:val="0"/>
                <w:numId w:val="119"/>
              </w:numPr>
              <w:tabs>
                <w:tab w:val="left" w:pos="162"/>
                <w:tab w:val="left" w:pos="364"/>
              </w:tabs>
              <w:ind w:left="0" w:firstLine="0"/>
              <w:jc w:val="both"/>
              <w:rPr>
                <w:rFonts w:cs="Arial"/>
                <w:szCs w:val="22"/>
              </w:rPr>
            </w:pPr>
            <w:r w:rsidRPr="0019790A">
              <w:rPr>
                <w:rFonts w:cs="Arial"/>
                <w:szCs w:val="22"/>
              </w:rPr>
              <w:t>Ветерани, військові, волонтери</w:t>
            </w:r>
          </w:p>
          <w:p w14:paraId="09A8EEB8" w14:textId="77777777" w:rsidR="005342D5" w:rsidRPr="0019790A" w:rsidRDefault="005342D5" w:rsidP="000343CA">
            <w:pPr>
              <w:numPr>
                <w:ilvl w:val="0"/>
                <w:numId w:val="119"/>
              </w:numPr>
              <w:tabs>
                <w:tab w:val="left" w:pos="162"/>
                <w:tab w:val="left" w:pos="364"/>
              </w:tabs>
              <w:ind w:left="0" w:firstLine="0"/>
              <w:jc w:val="both"/>
              <w:rPr>
                <w:rFonts w:cs="Arial"/>
                <w:szCs w:val="22"/>
              </w:rPr>
            </w:pPr>
            <w:r w:rsidRPr="0019790A">
              <w:rPr>
                <w:rFonts w:cs="Arial"/>
                <w:szCs w:val="22"/>
              </w:rPr>
              <w:t>Педагоги, вчителі предметів «Захист України», історії</w:t>
            </w:r>
          </w:p>
          <w:p w14:paraId="30DAD187" w14:textId="77777777" w:rsidR="005342D5" w:rsidRPr="0019790A" w:rsidRDefault="005342D5" w:rsidP="000343CA">
            <w:pPr>
              <w:tabs>
                <w:tab w:val="left" w:pos="162"/>
                <w:tab w:val="left" w:pos="364"/>
              </w:tabs>
              <w:jc w:val="both"/>
              <w:rPr>
                <w:rFonts w:cs="Arial"/>
                <w:szCs w:val="22"/>
              </w:rPr>
            </w:pPr>
            <w:r w:rsidRPr="0019790A">
              <w:rPr>
                <w:rFonts w:cs="Arial"/>
                <w:b/>
                <w:szCs w:val="22"/>
              </w:rPr>
              <w:t>Кількість отримувачів вигоди</w:t>
            </w:r>
            <w:r w:rsidRPr="0019790A">
              <w:rPr>
                <w:rFonts w:cs="Arial"/>
                <w:szCs w:val="22"/>
              </w:rPr>
              <w:t xml:space="preserve"> </w:t>
            </w:r>
            <w:r w:rsidRPr="0019790A">
              <w:rPr>
                <w:rFonts w:cs="Arial"/>
                <w:b/>
                <w:szCs w:val="22"/>
              </w:rPr>
              <w:t>4000 осіб.</w:t>
            </w:r>
          </w:p>
        </w:tc>
      </w:tr>
      <w:tr w:rsidR="005342D5" w:rsidRPr="0019790A" w14:paraId="3BBB2112" w14:textId="77777777" w:rsidTr="000343CA">
        <w:trPr>
          <w:jc w:val="right"/>
        </w:trPr>
        <w:tc>
          <w:tcPr>
            <w:tcW w:w="3418" w:type="dxa"/>
            <w:shd w:val="clear" w:color="auto" w:fill="FFFFFF"/>
            <w:vAlign w:val="center"/>
          </w:tcPr>
          <w:p w14:paraId="31A00251" w14:textId="77777777" w:rsidR="005342D5" w:rsidRPr="0019790A" w:rsidRDefault="005342D5" w:rsidP="0019790A">
            <w:pPr>
              <w:rPr>
                <w:rFonts w:cs="Arial"/>
                <w:b/>
                <w:bCs/>
                <w:szCs w:val="22"/>
              </w:rPr>
            </w:pPr>
            <w:r w:rsidRPr="0019790A">
              <w:rPr>
                <w:rFonts w:cs="Arial"/>
                <w:b/>
                <w:bCs/>
                <w:szCs w:val="22"/>
              </w:rPr>
              <w:t>Стислий опис проєкту:</w:t>
            </w:r>
          </w:p>
        </w:tc>
        <w:tc>
          <w:tcPr>
            <w:tcW w:w="6794" w:type="dxa"/>
            <w:gridSpan w:val="9"/>
            <w:vAlign w:val="center"/>
          </w:tcPr>
          <w:p w14:paraId="6285A295" w14:textId="77777777" w:rsidR="005342D5" w:rsidRPr="0019790A" w:rsidRDefault="005342D5" w:rsidP="000343CA">
            <w:pPr>
              <w:tabs>
                <w:tab w:val="left" w:pos="162"/>
                <w:tab w:val="left" w:pos="364"/>
              </w:tabs>
              <w:jc w:val="both"/>
              <w:rPr>
                <w:rFonts w:cs="Arial"/>
                <w:szCs w:val="22"/>
              </w:rPr>
            </w:pPr>
            <w:r w:rsidRPr="0019790A">
              <w:rPr>
                <w:rFonts w:cs="Arial"/>
                <w:szCs w:val="22"/>
              </w:rPr>
              <w:t>Проєкт спрямований на зміцнення патріотичної свідомості та національної ідентичності серед дітей та молоді. Він включає організацію військово-патріотичних вишколів, екскурсій на місця бойової слави, зустрічі з військовими та ветеранами, табори, форуми та практичні заняття з основ безпеки, першої допомоги, тактичної підготовки, лідерства. Активно залучаються представники ЗСУ, волонтери та громадські організації.</w:t>
            </w:r>
          </w:p>
        </w:tc>
      </w:tr>
      <w:tr w:rsidR="005342D5" w:rsidRPr="0019790A" w14:paraId="7C2CBDAA" w14:textId="77777777" w:rsidTr="000343CA">
        <w:trPr>
          <w:jc w:val="right"/>
        </w:trPr>
        <w:tc>
          <w:tcPr>
            <w:tcW w:w="3418" w:type="dxa"/>
            <w:shd w:val="clear" w:color="auto" w:fill="FFFFFF"/>
            <w:vAlign w:val="center"/>
          </w:tcPr>
          <w:p w14:paraId="14F07B72" w14:textId="77777777" w:rsidR="005342D5" w:rsidRPr="0019790A" w:rsidRDefault="005342D5" w:rsidP="0019790A">
            <w:pPr>
              <w:rPr>
                <w:rFonts w:cs="Arial"/>
                <w:b/>
                <w:bCs/>
                <w:szCs w:val="22"/>
              </w:rPr>
            </w:pPr>
            <w:r w:rsidRPr="0019790A">
              <w:rPr>
                <w:rFonts w:cs="Arial"/>
                <w:b/>
                <w:bCs/>
                <w:szCs w:val="22"/>
              </w:rPr>
              <w:t>Основні заходи проєкту:</w:t>
            </w:r>
          </w:p>
        </w:tc>
        <w:tc>
          <w:tcPr>
            <w:tcW w:w="6794" w:type="dxa"/>
            <w:gridSpan w:val="9"/>
            <w:vAlign w:val="center"/>
          </w:tcPr>
          <w:p w14:paraId="68BC77F6" w14:textId="77777777" w:rsidR="005342D5" w:rsidRPr="0019790A" w:rsidRDefault="005342D5" w:rsidP="000343CA">
            <w:pPr>
              <w:numPr>
                <w:ilvl w:val="0"/>
                <w:numId w:val="120"/>
              </w:numPr>
              <w:tabs>
                <w:tab w:val="left" w:pos="162"/>
                <w:tab w:val="left" w:pos="364"/>
              </w:tabs>
              <w:ind w:left="0" w:firstLine="0"/>
              <w:jc w:val="both"/>
              <w:rPr>
                <w:rFonts w:cs="Arial"/>
                <w:szCs w:val="22"/>
              </w:rPr>
            </w:pPr>
            <w:r w:rsidRPr="0019790A">
              <w:rPr>
                <w:rFonts w:cs="Arial"/>
                <w:szCs w:val="22"/>
              </w:rPr>
              <w:t>Проведення таборів національно-патріотичного спрямування</w:t>
            </w:r>
          </w:p>
          <w:p w14:paraId="2153175F" w14:textId="77777777" w:rsidR="005342D5" w:rsidRPr="0019790A" w:rsidRDefault="005342D5" w:rsidP="000343CA">
            <w:pPr>
              <w:numPr>
                <w:ilvl w:val="0"/>
                <w:numId w:val="120"/>
              </w:numPr>
              <w:tabs>
                <w:tab w:val="left" w:pos="162"/>
                <w:tab w:val="left" w:pos="364"/>
              </w:tabs>
              <w:ind w:left="0" w:firstLine="0"/>
              <w:jc w:val="both"/>
              <w:rPr>
                <w:rFonts w:cs="Arial"/>
                <w:szCs w:val="22"/>
              </w:rPr>
            </w:pPr>
            <w:r w:rsidRPr="0019790A">
              <w:rPr>
                <w:rFonts w:cs="Arial"/>
                <w:szCs w:val="22"/>
              </w:rPr>
              <w:t>Організація військово-спортивних вишколів, квестів, змагань</w:t>
            </w:r>
          </w:p>
          <w:p w14:paraId="0BB46CC9" w14:textId="77777777" w:rsidR="005342D5" w:rsidRPr="0019790A" w:rsidRDefault="005342D5" w:rsidP="000343CA">
            <w:pPr>
              <w:numPr>
                <w:ilvl w:val="0"/>
                <w:numId w:val="120"/>
              </w:numPr>
              <w:tabs>
                <w:tab w:val="left" w:pos="162"/>
                <w:tab w:val="left" w:pos="364"/>
              </w:tabs>
              <w:ind w:left="0" w:firstLine="0"/>
              <w:jc w:val="both"/>
              <w:rPr>
                <w:rFonts w:cs="Arial"/>
                <w:szCs w:val="22"/>
              </w:rPr>
            </w:pPr>
            <w:r w:rsidRPr="0019790A">
              <w:rPr>
                <w:rFonts w:cs="Arial"/>
                <w:szCs w:val="22"/>
              </w:rPr>
              <w:t>Відкриті уроки з ветеранами, військовими, волонтерами</w:t>
            </w:r>
          </w:p>
          <w:p w14:paraId="23BE0342" w14:textId="77777777" w:rsidR="005342D5" w:rsidRPr="0019790A" w:rsidRDefault="005342D5" w:rsidP="000343CA">
            <w:pPr>
              <w:numPr>
                <w:ilvl w:val="0"/>
                <w:numId w:val="120"/>
              </w:numPr>
              <w:tabs>
                <w:tab w:val="left" w:pos="162"/>
                <w:tab w:val="left" w:pos="364"/>
              </w:tabs>
              <w:ind w:left="0" w:firstLine="0"/>
              <w:jc w:val="both"/>
              <w:rPr>
                <w:rFonts w:cs="Arial"/>
                <w:szCs w:val="22"/>
              </w:rPr>
            </w:pPr>
            <w:r w:rsidRPr="0019790A">
              <w:rPr>
                <w:rFonts w:cs="Arial"/>
                <w:szCs w:val="22"/>
              </w:rPr>
              <w:t>Екскурсії до музеїв, військових частин, меморіальних місць</w:t>
            </w:r>
          </w:p>
          <w:p w14:paraId="4B8FC335" w14:textId="77777777" w:rsidR="005342D5" w:rsidRPr="0019790A" w:rsidRDefault="005342D5" w:rsidP="000343CA">
            <w:pPr>
              <w:numPr>
                <w:ilvl w:val="0"/>
                <w:numId w:val="120"/>
              </w:numPr>
              <w:tabs>
                <w:tab w:val="left" w:pos="162"/>
                <w:tab w:val="left" w:pos="364"/>
              </w:tabs>
              <w:ind w:left="0" w:firstLine="0"/>
              <w:jc w:val="both"/>
              <w:rPr>
                <w:rFonts w:cs="Arial"/>
                <w:szCs w:val="22"/>
              </w:rPr>
            </w:pPr>
            <w:r w:rsidRPr="0019790A">
              <w:rPr>
                <w:rFonts w:cs="Arial"/>
                <w:szCs w:val="22"/>
              </w:rPr>
              <w:t>Проведення майстер-класів із тактичної медицини, виживання, поводження зі зброєю (тренажери)</w:t>
            </w:r>
          </w:p>
          <w:p w14:paraId="6540A5FD" w14:textId="77777777" w:rsidR="005342D5" w:rsidRPr="0019790A" w:rsidRDefault="005342D5" w:rsidP="000343CA">
            <w:pPr>
              <w:numPr>
                <w:ilvl w:val="0"/>
                <w:numId w:val="120"/>
              </w:numPr>
              <w:tabs>
                <w:tab w:val="left" w:pos="162"/>
                <w:tab w:val="left" w:pos="364"/>
              </w:tabs>
              <w:ind w:left="0" w:firstLine="0"/>
              <w:jc w:val="both"/>
              <w:rPr>
                <w:rFonts w:cs="Arial"/>
                <w:szCs w:val="22"/>
              </w:rPr>
            </w:pPr>
            <w:r w:rsidRPr="0019790A">
              <w:rPr>
                <w:rFonts w:cs="Arial"/>
                <w:szCs w:val="22"/>
              </w:rPr>
              <w:t>Молодіжний форум "Ми — Україна"</w:t>
            </w:r>
          </w:p>
        </w:tc>
      </w:tr>
      <w:tr w:rsidR="005342D5" w:rsidRPr="0019790A" w14:paraId="2217A5BB" w14:textId="77777777" w:rsidTr="000343CA">
        <w:trPr>
          <w:trHeight w:val="487"/>
          <w:jc w:val="right"/>
        </w:trPr>
        <w:tc>
          <w:tcPr>
            <w:tcW w:w="3418" w:type="dxa"/>
            <w:shd w:val="clear" w:color="auto" w:fill="FFFFFF"/>
            <w:vAlign w:val="center"/>
          </w:tcPr>
          <w:p w14:paraId="5B750C08" w14:textId="77777777" w:rsidR="005342D5" w:rsidRPr="0019790A" w:rsidRDefault="005342D5" w:rsidP="0019790A">
            <w:pPr>
              <w:rPr>
                <w:rFonts w:cs="Arial"/>
                <w:b/>
                <w:bCs/>
                <w:szCs w:val="22"/>
              </w:rPr>
            </w:pPr>
            <w:r w:rsidRPr="0019790A">
              <w:rPr>
                <w:rFonts w:cs="Arial"/>
                <w:b/>
                <w:bCs/>
                <w:szCs w:val="22"/>
              </w:rPr>
              <w:t>Індикатори (показники) результативності:</w:t>
            </w:r>
          </w:p>
        </w:tc>
        <w:tc>
          <w:tcPr>
            <w:tcW w:w="6794" w:type="dxa"/>
            <w:gridSpan w:val="9"/>
            <w:vAlign w:val="center"/>
          </w:tcPr>
          <w:p w14:paraId="345B70B0" w14:textId="77777777" w:rsidR="005342D5" w:rsidRPr="0019790A" w:rsidRDefault="005342D5" w:rsidP="000343CA">
            <w:pPr>
              <w:numPr>
                <w:ilvl w:val="0"/>
                <w:numId w:val="121"/>
              </w:numPr>
              <w:tabs>
                <w:tab w:val="left" w:pos="162"/>
                <w:tab w:val="left" w:pos="364"/>
              </w:tabs>
              <w:ind w:left="0" w:firstLine="0"/>
              <w:jc w:val="both"/>
              <w:rPr>
                <w:rFonts w:cs="Arial"/>
                <w:szCs w:val="22"/>
              </w:rPr>
            </w:pPr>
            <w:r w:rsidRPr="0019790A">
              <w:rPr>
                <w:rFonts w:cs="Arial"/>
                <w:szCs w:val="22"/>
              </w:rPr>
              <w:t>Проведено щонайменше 5 великих заходів з нац.-патр. виховання на рік</w:t>
            </w:r>
          </w:p>
          <w:p w14:paraId="32FEEB5A" w14:textId="77777777" w:rsidR="005342D5" w:rsidRPr="0019790A" w:rsidRDefault="005342D5" w:rsidP="000343CA">
            <w:pPr>
              <w:numPr>
                <w:ilvl w:val="0"/>
                <w:numId w:val="121"/>
              </w:numPr>
              <w:tabs>
                <w:tab w:val="left" w:pos="162"/>
                <w:tab w:val="left" w:pos="364"/>
              </w:tabs>
              <w:ind w:left="0" w:firstLine="0"/>
              <w:jc w:val="both"/>
              <w:rPr>
                <w:rFonts w:cs="Arial"/>
                <w:szCs w:val="22"/>
              </w:rPr>
            </w:pPr>
            <w:r w:rsidRPr="0019790A">
              <w:rPr>
                <w:rFonts w:cs="Arial"/>
                <w:szCs w:val="22"/>
              </w:rPr>
              <w:t xml:space="preserve">Залучено понад </w:t>
            </w:r>
            <w:r w:rsidRPr="0019790A">
              <w:rPr>
                <w:rFonts w:cs="Arial"/>
                <w:bCs/>
                <w:szCs w:val="22"/>
              </w:rPr>
              <w:t>1000 учасників</w:t>
            </w:r>
            <w:r w:rsidRPr="0019790A">
              <w:rPr>
                <w:rFonts w:cs="Arial"/>
                <w:szCs w:val="22"/>
              </w:rPr>
              <w:t xml:space="preserve"> </w:t>
            </w:r>
            <w:r w:rsidRPr="0019790A">
              <w:rPr>
                <w:rFonts w:cs="Arial"/>
                <w:bCs/>
                <w:szCs w:val="22"/>
              </w:rPr>
              <w:t>на рік</w:t>
            </w:r>
          </w:p>
          <w:p w14:paraId="7897A63F" w14:textId="77777777" w:rsidR="005342D5" w:rsidRPr="0019790A" w:rsidRDefault="005342D5" w:rsidP="000343CA">
            <w:pPr>
              <w:numPr>
                <w:ilvl w:val="0"/>
                <w:numId w:val="121"/>
              </w:numPr>
              <w:tabs>
                <w:tab w:val="left" w:pos="162"/>
                <w:tab w:val="left" w:pos="364"/>
              </w:tabs>
              <w:ind w:left="0" w:firstLine="0"/>
              <w:jc w:val="both"/>
              <w:rPr>
                <w:rFonts w:cs="Arial"/>
                <w:szCs w:val="22"/>
              </w:rPr>
            </w:pPr>
            <w:r w:rsidRPr="0019790A">
              <w:rPr>
                <w:rFonts w:cs="Arial"/>
                <w:szCs w:val="22"/>
              </w:rPr>
              <w:t>Організовано щонайменше 10 зустрічей з ветеранами на рік</w:t>
            </w:r>
          </w:p>
          <w:p w14:paraId="6CD1B4D2" w14:textId="77777777" w:rsidR="005342D5" w:rsidRPr="0019790A" w:rsidRDefault="005342D5" w:rsidP="000343CA">
            <w:pPr>
              <w:numPr>
                <w:ilvl w:val="0"/>
                <w:numId w:val="121"/>
              </w:numPr>
              <w:tabs>
                <w:tab w:val="left" w:pos="162"/>
                <w:tab w:val="left" w:pos="364"/>
              </w:tabs>
              <w:ind w:left="0" w:firstLine="0"/>
              <w:jc w:val="both"/>
              <w:rPr>
                <w:rFonts w:cs="Arial"/>
                <w:szCs w:val="22"/>
              </w:rPr>
            </w:pPr>
            <w:r w:rsidRPr="0019790A">
              <w:rPr>
                <w:rFonts w:cs="Arial"/>
                <w:szCs w:val="22"/>
              </w:rPr>
              <w:t>Проведено щонайменше 2 табори/вишколи на рік</w:t>
            </w:r>
          </w:p>
          <w:p w14:paraId="4412D8E5" w14:textId="77777777" w:rsidR="005342D5" w:rsidRPr="0019790A" w:rsidRDefault="005342D5" w:rsidP="000343CA">
            <w:pPr>
              <w:numPr>
                <w:ilvl w:val="0"/>
                <w:numId w:val="121"/>
              </w:numPr>
              <w:tabs>
                <w:tab w:val="left" w:pos="162"/>
                <w:tab w:val="left" w:pos="364"/>
              </w:tabs>
              <w:ind w:left="0" w:firstLine="0"/>
              <w:jc w:val="both"/>
              <w:rPr>
                <w:rFonts w:cs="Arial"/>
                <w:szCs w:val="22"/>
              </w:rPr>
            </w:pPr>
            <w:r w:rsidRPr="0019790A">
              <w:rPr>
                <w:rFonts w:cs="Arial"/>
                <w:szCs w:val="22"/>
              </w:rPr>
              <w:t>Підвищено рівень обізнаності учасників щодо української історії та безпеки</w:t>
            </w:r>
          </w:p>
        </w:tc>
      </w:tr>
      <w:tr w:rsidR="005342D5" w:rsidRPr="0019790A" w14:paraId="2E54F20F" w14:textId="77777777" w:rsidTr="000343CA">
        <w:trPr>
          <w:jc w:val="right"/>
        </w:trPr>
        <w:tc>
          <w:tcPr>
            <w:tcW w:w="3418" w:type="dxa"/>
            <w:shd w:val="clear" w:color="auto" w:fill="FFFFFF"/>
            <w:vAlign w:val="center"/>
          </w:tcPr>
          <w:p w14:paraId="003DB6ED" w14:textId="77777777" w:rsidR="005342D5" w:rsidRPr="0019790A" w:rsidRDefault="005342D5" w:rsidP="0019790A">
            <w:pPr>
              <w:rPr>
                <w:rFonts w:cs="Arial"/>
                <w:b/>
                <w:szCs w:val="22"/>
              </w:rPr>
            </w:pPr>
            <w:r w:rsidRPr="0019790A">
              <w:rPr>
                <w:rFonts w:cs="Arial"/>
                <w:b/>
                <w:szCs w:val="22"/>
              </w:rPr>
              <w:t xml:space="preserve">Період здійснення: </w:t>
            </w:r>
          </w:p>
        </w:tc>
        <w:tc>
          <w:tcPr>
            <w:tcW w:w="6794" w:type="dxa"/>
            <w:gridSpan w:val="9"/>
            <w:vAlign w:val="center"/>
          </w:tcPr>
          <w:p w14:paraId="5A9F5A38" w14:textId="77777777" w:rsidR="005342D5" w:rsidRPr="0019790A" w:rsidRDefault="005342D5" w:rsidP="000343CA">
            <w:pPr>
              <w:tabs>
                <w:tab w:val="left" w:pos="162"/>
                <w:tab w:val="left" w:pos="364"/>
              </w:tabs>
              <w:jc w:val="both"/>
              <w:rPr>
                <w:rFonts w:cs="Arial"/>
                <w:szCs w:val="22"/>
              </w:rPr>
            </w:pPr>
            <w:r w:rsidRPr="0019790A">
              <w:rPr>
                <w:rFonts w:cs="Arial"/>
                <w:b/>
                <w:szCs w:val="22"/>
              </w:rPr>
              <w:t>2025 – 2028 роки:</w:t>
            </w:r>
          </w:p>
        </w:tc>
      </w:tr>
      <w:tr w:rsidR="005342D5" w:rsidRPr="0019790A" w14:paraId="1F9E62FF" w14:textId="77777777" w:rsidTr="006D54ED">
        <w:trPr>
          <w:jc w:val="right"/>
        </w:trPr>
        <w:tc>
          <w:tcPr>
            <w:tcW w:w="3418" w:type="dxa"/>
            <w:vMerge w:val="restart"/>
            <w:shd w:val="clear" w:color="auto" w:fill="FFFFFF"/>
            <w:vAlign w:val="center"/>
          </w:tcPr>
          <w:p w14:paraId="0BD6F7E7" w14:textId="77777777" w:rsidR="005342D5" w:rsidRPr="0019790A" w:rsidRDefault="005342D5" w:rsidP="0019790A">
            <w:pPr>
              <w:rPr>
                <w:rFonts w:cs="Arial"/>
                <w:b/>
                <w:bCs/>
                <w:szCs w:val="22"/>
              </w:rPr>
            </w:pPr>
            <w:r w:rsidRPr="0019790A">
              <w:rPr>
                <w:rFonts w:cs="Arial"/>
                <w:b/>
                <w:bCs/>
                <w:szCs w:val="22"/>
              </w:rPr>
              <w:t>Орієнтовна вартість проєкту, тис. грн., в тому числі:</w:t>
            </w:r>
          </w:p>
        </w:tc>
        <w:tc>
          <w:tcPr>
            <w:tcW w:w="1254" w:type="dxa"/>
            <w:shd w:val="clear" w:color="auto" w:fill="E6E6E6"/>
            <w:vAlign w:val="center"/>
          </w:tcPr>
          <w:p w14:paraId="50F11336" w14:textId="77777777" w:rsidR="005342D5" w:rsidRPr="0019790A" w:rsidRDefault="005342D5" w:rsidP="006D54ED">
            <w:pPr>
              <w:tabs>
                <w:tab w:val="left" w:pos="162"/>
                <w:tab w:val="left" w:pos="364"/>
              </w:tabs>
              <w:jc w:val="center"/>
              <w:rPr>
                <w:rFonts w:cs="Arial"/>
                <w:b/>
                <w:szCs w:val="22"/>
              </w:rPr>
            </w:pPr>
            <w:r w:rsidRPr="0019790A">
              <w:rPr>
                <w:rFonts w:cs="Arial"/>
                <w:b/>
                <w:szCs w:val="22"/>
              </w:rPr>
              <w:t>2025</w:t>
            </w:r>
          </w:p>
        </w:tc>
        <w:tc>
          <w:tcPr>
            <w:tcW w:w="1275" w:type="dxa"/>
            <w:gridSpan w:val="3"/>
            <w:shd w:val="clear" w:color="auto" w:fill="E6E6E6"/>
            <w:vAlign w:val="center"/>
          </w:tcPr>
          <w:p w14:paraId="4B7AE498" w14:textId="77777777" w:rsidR="005342D5" w:rsidRPr="0019790A" w:rsidRDefault="005342D5" w:rsidP="006D54ED">
            <w:pPr>
              <w:tabs>
                <w:tab w:val="left" w:pos="162"/>
                <w:tab w:val="left" w:pos="364"/>
              </w:tabs>
              <w:jc w:val="center"/>
              <w:rPr>
                <w:rFonts w:cs="Arial"/>
                <w:b/>
                <w:szCs w:val="22"/>
              </w:rPr>
            </w:pPr>
            <w:r w:rsidRPr="0019790A">
              <w:rPr>
                <w:rFonts w:cs="Arial"/>
                <w:b/>
                <w:szCs w:val="22"/>
              </w:rPr>
              <w:t>2026</w:t>
            </w:r>
          </w:p>
        </w:tc>
        <w:tc>
          <w:tcPr>
            <w:tcW w:w="1418" w:type="dxa"/>
            <w:tcBorders>
              <w:bottom w:val="single" w:sz="4" w:space="0" w:color="auto"/>
            </w:tcBorders>
            <w:shd w:val="clear" w:color="auto" w:fill="E6E6E6"/>
            <w:vAlign w:val="center"/>
          </w:tcPr>
          <w:p w14:paraId="44A07D3A" w14:textId="77777777" w:rsidR="005342D5" w:rsidRPr="0019790A" w:rsidRDefault="005342D5" w:rsidP="006D54ED">
            <w:pPr>
              <w:tabs>
                <w:tab w:val="left" w:pos="162"/>
                <w:tab w:val="left" w:pos="364"/>
              </w:tabs>
              <w:jc w:val="center"/>
              <w:rPr>
                <w:rFonts w:cs="Arial"/>
                <w:b/>
                <w:szCs w:val="22"/>
              </w:rPr>
            </w:pPr>
            <w:r w:rsidRPr="0019790A">
              <w:rPr>
                <w:rFonts w:cs="Arial"/>
                <w:b/>
                <w:szCs w:val="22"/>
              </w:rPr>
              <w:t>2027</w:t>
            </w:r>
          </w:p>
        </w:tc>
        <w:tc>
          <w:tcPr>
            <w:tcW w:w="1276" w:type="dxa"/>
            <w:gridSpan w:val="2"/>
            <w:shd w:val="clear" w:color="auto" w:fill="E6E6E6"/>
            <w:vAlign w:val="center"/>
          </w:tcPr>
          <w:p w14:paraId="5BF0E406" w14:textId="77777777" w:rsidR="005342D5" w:rsidRPr="0019790A" w:rsidRDefault="005342D5" w:rsidP="006D54ED">
            <w:pPr>
              <w:tabs>
                <w:tab w:val="left" w:pos="162"/>
                <w:tab w:val="left" w:pos="364"/>
              </w:tabs>
              <w:jc w:val="center"/>
              <w:rPr>
                <w:rFonts w:cs="Arial"/>
                <w:b/>
                <w:szCs w:val="22"/>
              </w:rPr>
            </w:pPr>
            <w:r w:rsidRPr="0019790A">
              <w:rPr>
                <w:rFonts w:cs="Arial"/>
                <w:b/>
                <w:szCs w:val="22"/>
              </w:rPr>
              <w:t>2028</w:t>
            </w:r>
          </w:p>
        </w:tc>
        <w:tc>
          <w:tcPr>
            <w:tcW w:w="1571" w:type="dxa"/>
            <w:gridSpan w:val="2"/>
            <w:shd w:val="clear" w:color="auto" w:fill="E6E6E6"/>
            <w:vAlign w:val="center"/>
          </w:tcPr>
          <w:p w14:paraId="43689EBC" w14:textId="77777777" w:rsidR="005342D5" w:rsidRPr="0019790A" w:rsidRDefault="005342D5" w:rsidP="006D54ED">
            <w:pPr>
              <w:tabs>
                <w:tab w:val="left" w:pos="162"/>
                <w:tab w:val="left" w:pos="364"/>
              </w:tabs>
              <w:jc w:val="center"/>
              <w:rPr>
                <w:rFonts w:cs="Arial"/>
                <w:b/>
                <w:szCs w:val="22"/>
              </w:rPr>
            </w:pPr>
            <w:r w:rsidRPr="0019790A">
              <w:rPr>
                <w:rFonts w:cs="Arial"/>
                <w:b/>
                <w:szCs w:val="22"/>
              </w:rPr>
              <w:t>РАЗОМ</w:t>
            </w:r>
          </w:p>
        </w:tc>
      </w:tr>
      <w:tr w:rsidR="005342D5" w:rsidRPr="0019790A" w14:paraId="31347AF5" w14:textId="77777777" w:rsidTr="006D54ED">
        <w:trPr>
          <w:jc w:val="right"/>
        </w:trPr>
        <w:tc>
          <w:tcPr>
            <w:tcW w:w="3418" w:type="dxa"/>
            <w:vMerge/>
            <w:shd w:val="clear" w:color="auto" w:fill="FFFFFF"/>
            <w:vAlign w:val="center"/>
          </w:tcPr>
          <w:p w14:paraId="1A489C2B" w14:textId="77777777" w:rsidR="005342D5" w:rsidRPr="0019790A" w:rsidRDefault="005342D5" w:rsidP="0019790A">
            <w:pPr>
              <w:rPr>
                <w:rFonts w:cs="Arial"/>
                <w:b/>
                <w:bCs/>
                <w:szCs w:val="22"/>
              </w:rPr>
            </w:pPr>
          </w:p>
        </w:tc>
        <w:tc>
          <w:tcPr>
            <w:tcW w:w="1254" w:type="dxa"/>
            <w:vAlign w:val="center"/>
          </w:tcPr>
          <w:p w14:paraId="6E9BD4B1" w14:textId="77777777" w:rsidR="005342D5" w:rsidRPr="0019790A" w:rsidRDefault="005342D5" w:rsidP="006D54ED">
            <w:pPr>
              <w:tabs>
                <w:tab w:val="left" w:pos="162"/>
                <w:tab w:val="left" w:pos="364"/>
              </w:tabs>
              <w:jc w:val="center"/>
              <w:rPr>
                <w:rFonts w:cs="Arial"/>
                <w:b/>
                <w:szCs w:val="22"/>
              </w:rPr>
            </w:pPr>
          </w:p>
        </w:tc>
        <w:tc>
          <w:tcPr>
            <w:tcW w:w="1275" w:type="dxa"/>
            <w:gridSpan w:val="3"/>
            <w:shd w:val="clear" w:color="auto" w:fill="FFFFFF"/>
            <w:vAlign w:val="center"/>
          </w:tcPr>
          <w:p w14:paraId="6B3B778B" w14:textId="77777777" w:rsidR="005342D5" w:rsidRPr="0019790A" w:rsidRDefault="005342D5" w:rsidP="006D54ED">
            <w:pPr>
              <w:tabs>
                <w:tab w:val="left" w:pos="162"/>
                <w:tab w:val="left" w:pos="364"/>
              </w:tabs>
              <w:jc w:val="center"/>
              <w:rPr>
                <w:rFonts w:cs="Arial"/>
                <w:b/>
                <w:szCs w:val="22"/>
              </w:rPr>
            </w:pPr>
            <w:r w:rsidRPr="0019790A">
              <w:rPr>
                <w:rFonts w:cs="Arial"/>
                <w:b/>
                <w:szCs w:val="22"/>
              </w:rPr>
              <w:t>200,0</w:t>
            </w:r>
          </w:p>
        </w:tc>
        <w:tc>
          <w:tcPr>
            <w:tcW w:w="1418" w:type="dxa"/>
            <w:shd w:val="clear" w:color="auto" w:fill="auto"/>
            <w:vAlign w:val="center"/>
          </w:tcPr>
          <w:p w14:paraId="63660967" w14:textId="77777777" w:rsidR="005342D5" w:rsidRPr="0019790A" w:rsidRDefault="005342D5" w:rsidP="006D54ED">
            <w:pPr>
              <w:tabs>
                <w:tab w:val="left" w:pos="162"/>
                <w:tab w:val="left" w:pos="364"/>
              </w:tabs>
              <w:jc w:val="center"/>
              <w:rPr>
                <w:rFonts w:cs="Arial"/>
                <w:b/>
                <w:szCs w:val="22"/>
              </w:rPr>
            </w:pPr>
            <w:r w:rsidRPr="0019790A">
              <w:rPr>
                <w:rFonts w:cs="Arial"/>
                <w:b/>
                <w:szCs w:val="22"/>
              </w:rPr>
              <w:t>200,0</w:t>
            </w:r>
          </w:p>
        </w:tc>
        <w:tc>
          <w:tcPr>
            <w:tcW w:w="1276" w:type="dxa"/>
            <w:gridSpan w:val="2"/>
            <w:shd w:val="clear" w:color="auto" w:fill="FFFFFF"/>
            <w:vAlign w:val="center"/>
          </w:tcPr>
          <w:p w14:paraId="5C83A2A3" w14:textId="77777777" w:rsidR="005342D5" w:rsidRPr="0019790A" w:rsidRDefault="005342D5" w:rsidP="006D54ED">
            <w:pPr>
              <w:tabs>
                <w:tab w:val="left" w:pos="162"/>
                <w:tab w:val="left" w:pos="364"/>
              </w:tabs>
              <w:jc w:val="center"/>
              <w:rPr>
                <w:rFonts w:cs="Arial"/>
                <w:b/>
                <w:szCs w:val="22"/>
              </w:rPr>
            </w:pPr>
            <w:r w:rsidRPr="0019790A">
              <w:rPr>
                <w:rFonts w:cs="Arial"/>
                <w:b/>
                <w:szCs w:val="22"/>
              </w:rPr>
              <w:t>200,0</w:t>
            </w:r>
          </w:p>
        </w:tc>
        <w:tc>
          <w:tcPr>
            <w:tcW w:w="1571" w:type="dxa"/>
            <w:gridSpan w:val="2"/>
            <w:shd w:val="clear" w:color="auto" w:fill="FFFFFF"/>
            <w:vAlign w:val="center"/>
          </w:tcPr>
          <w:p w14:paraId="41032879" w14:textId="77777777" w:rsidR="005342D5" w:rsidRPr="0019790A" w:rsidRDefault="005342D5" w:rsidP="006D54ED">
            <w:pPr>
              <w:tabs>
                <w:tab w:val="left" w:pos="162"/>
                <w:tab w:val="left" w:pos="364"/>
              </w:tabs>
              <w:jc w:val="center"/>
              <w:rPr>
                <w:rFonts w:cs="Arial"/>
                <w:b/>
                <w:szCs w:val="22"/>
              </w:rPr>
            </w:pPr>
            <w:r w:rsidRPr="0019790A">
              <w:rPr>
                <w:rFonts w:cs="Arial"/>
                <w:b/>
                <w:szCs w:val="22"/>
              </w:rPr>
              <w:t>600,0</w:t>
            </w:r>
          </w:p>
        </w:tc>
      </w:tr>
      <w:tr w:rsidR="005342D5" w:rsidRPr="0019790A" w14:paraId="7F2236A8" w14:textId="77777777" w:rsidTr="006D54ED">
        <w:trPr>
          <w:trHeight w:val="276"/>
          <w:jc w:val="right"/>
        </w:trPr>
        <w:tc>
          <w:tcPr>
            <w:tcW w:w="3418" w:type="dxa"/>
            <w:shd w:val="clear" w:color="auto" w:fill="FFFFFF"/>
            <w:vAlign w:val="center"/>
          </w:tcPr>
          <w:p w14:paraId="455DCA0B" w14:textId="77777777" w:rsidR="005342D5" w:rsidRPr="0019790A" w:rsidRDefault="005342D5" w:rsidP="0019790A">
            <w:pPr>
              <w:rPr>
                <w:rFonts w:cs="Arial"/>
                <w:b/>
                <w:bCs/>
                <w:szCs w:val="22"/>
              </w:rPr>
            </w:pPr>
            <w:r w:rsidRPr="0019790A">
              <w:rPr>
                <w:rFonts w:cs="Arial"/>
                <w:b/>
                <w:bCs/>
                <w:szCs w:val="22"/>
              </w:rPr>
              <w:t>по джерелах фінансування:</w:t>
            </w:r>
          </w:p>
        </w:tc>
        <w:tc>
          <w:tcPr>
            <w:tcW w:w="6794" w:type="dxa"/>
            <w:gridSpan w:val="9"/>
            <w:vAlign w:val="center"/>
          </w:tcPr>
          <w:p w14:paraId="3A1CD4F3" w14:textId="77777777" w:rsidR="005342D5" w:rsidRPr="0019790A" w:rsidRDefault="005342D5" w:rsidP="006D54ED">
            <w:pPr>
              <w:tabs>
                <w:tab w:val="left" w:pos="162"/>
                <w:tab w:val="left" w:pos="364"/>
              </w:tabs>
              <w:jc w:val="center"/>
              <w:rPr>
                <w:rFonts w:cs="Arial"/>
                <w:szCs w:val="22"/>
              </w:rPr>
            </w:pPr>
          </w:p>
        </w:tc>
      </w:tr>
      <w:tr w:rsidR="006D54ED" w:rsidRPr="0019790A" w14:paraId="7277F4CF" w14:textId="1329C3CA" w:rsidTr="006D54ED">
        <w:trPr>
          <w:trHeight w:val="240"/>
          <w:jc w:val="right"/>
        </w:trPr>
        <w:tc>
          <w:tcPr>
            <w:tcW w:w="3418" w:type="dxa"/>
            <w:shd w:val="clear" w:color="auto" w:fill="FFFFFF"/>
            <w:vAlign w:val="center"/>
          </w:tcPr>
          <w:p w14:paraId="5E97B6B4" w14:textId="77777777" w:rsidR="006D54ED" w:rsidRPr="0019790A" w:rsidRDefault="006D54ED" w:rsidP="0019790A">
            <w:pPr>
              <w:rPr>
                <w:rFonts w:cs="Arial"/>
                <w:b/>
                <w:bCs/>
                <w:szCs w:val="22"/>
              </w:rPr>
            </w:pPr>
            <w:r w:rsidRPr="0019790A">
              <w:rPr>
                <w:rFonts w:cs="Arial"/>
                <w:szCs w:val="22"/>
              </w:rPr>
              <w:t>- державний бюджет</w:t>
            </w:r>
          </w:p>
        </w:tc>
        <w:tc>
          <w:tcPr>
            <w:tcW w:w="1277" w:type="dxa"/>
            <w:gridSpan w:val="2"/>
            <w:vAlign w:val="center"/>
          </w:tcPr>
          <w:p w14:paraId="7D48F1FA" w14:textId="77777777" w:rsidR="006D54ED" w:rsidRPr="0019790A" w:rsidRDefault="006D54ED" w:rsidP="006D54ED">
            <w:pPr>
              <w:tabs>
                <w:tab w:val="left" w:pos="162"/>
                <w:tab w:val="left" w:pos="364"/>
              </w:tabs>
              <w:jc w:val="center"/>
              <w:rPr>
                <w:rFonts w:cs="Arial"/>
                <w:szCs w:val="22"/>
              </w:rPr>
            </w:pPr>
          </w:p>
        </w:tc>
        <w:tc>
          <w:tcPr>
            <w:tcW w:w="1238" w:type="dxa"/>
            <w:vAlign w:val="center"/>
          </w:tcPr>
          <w:p w14:paraId="52A3F777" w14:textId="77777777" w:rsidR="006D54ED" w:rsidRPr="0019790A" w:rsidRDefault="006D54ED" w:rsidP="006D54ED">
            <w:pPr>
              <w:tabs>
                <w:tab w:val="left" w:pos="162"/>
                <w:tab w:val="left" w:pos="364"/>
              </w:tabs>
              <w:jc w:val="center"/>
              <w:rPr>
                <w:rFonts w:cs="Arial"/>
                <w:szCs w:val="22"/>
              </w:rPr>
            </w:pPr>
          </w:p>
        </w:tc>
        <w:tc>
          <w:tcPr>
            <w:tcW w:w="1440" w:type="dxa"/>
            <w:gridSpan w:val="3"/>
            <w:vAlign w:val="center"/>
          </w:tcPr>
          <w:p w14:paraId="734E6D75" w14:textId="77777777" w:rsidR="006D54ED" w:rsidRPr="0019790A" w:rsidRDefault="006D54ED" w:rsidP="006D54ED">
            <w:pPr>
              <w:tabs>
                <w:tab w:val="left" w:pos="162"/>
                <w:tab w:val="left" w:pos="364"/>
              </w:tabs>
              <w:jc w:val="center"/>
              <w:rPr>
                <w:rFonts w:cs="Arial"/>
                <w:szCs w:val="22"/>
              </w:rPr>
            </w:pPr>
          </w:p>
        </w:tc>
        <w:tc>
          <w:tcPr>
            <w:tcW w:w="1306" w:type="dxa"/>
            <w:gridSpan w:val="2"/>
            <w:vAlign w:val="center"/>
          </w:tcPr>
          <w:p w14:paraId="57192C02" w14:textId="77777777" w:rsidR="006D54ED" w:rsidRPr="0019790A" w:rsidRDefault="006D54ED" w:rsidP="006D54ED">
            <w:pPr>
              <w:tabs>
                <w:tab w:val="left" w:pos="162"/>
                <w:tab w:val="left" w:pos="364"/>
              </w:tabs>
              <w:jc w:val="center"/>
              <w:rPr>
                <w:rFonts w:cs="Arial"/>
                <w:szCs w:val="22"/>
              </w:rPr>
            </w:pPr>
          </w:p>
        </w:tc>
        <w:tc>
          <w:tcPr>
            <w:tcW w:w="1533" w:type="dxa"/>
            <w:vAlign w:val="center"/>
          </w:tcPr>
          <w:p w14:paraId="4448D661" w14:textId="77777777" w:rsidR="006D54ED" w:rsidRPr="0019790A" w:rsidRDefault="006D54ED" w:rsidP="006D54ED">
            <w:pPr>
              <w:tabs>
                <w:tab w:val="left" w:pos="162"/>
                <w:tab w:val="left" w:pos="364"/>
              </w:tabs>
              <w:jc w:val="center"/>
              <w:rPr>
                <w:rFonts w:cs="Arial"/>
                <w:szCs w:val="22"/>
              </w:rPr>
            </w:pPr>
          </w:p>
        </w:tc>
      </w:tr>
      <w:tr w:rsidR="006D54ED" w:rsidRPr="0019790A" w14:paraId="511B4680" w14:textId="516DD12D" w:rsidTr="006D54ED">
        <w:trPr>
          <w:trHeight w:val="287"/>
          <w:jc w:val="right"/>
        </w:trPr>
        <w:tc>
          <w:tcPr>
            <w:tcW w:w="3418" w:type="dxa"/>
            <w:shd w:val="clear" w:color="auto" w:fill="FFFFFF"/>
            <w:vAlign w:val="center"/>
          </w:tcPr>
          <w:p w14:paraId="7EF7A61A" w14:textId="77777777" w:rsidR="006D54ED" w:rsidRPr="0019790A" w:rsidRDefault="006D54ED" w:rsidP="0019790A">
            <w:pPr>
              <w:rPr>
                <w:rFonts w:cs="Arial"/>
                <w:szCs w:val="22"/>
              </w:rPr>
            </w:pPr>
            <w:r w:rsidRPr="0019790A">
              <w:rPr>
                <w:rFonts w:cs="Arial"/>
                <w:szCs w:val="22"/>
              </w:rPr>
              <w:t>- обласний бюджет</w:t>
            </w:r>
          </w:p>
        </w:tc>
        <w:tc>
          <w:tcPr>
            <w:tcW w:w="1277" w:type="dxa"/>
            <w:gridSpan w:val="2"/>
            <w:vAlign w:val="center"/>
          </w:tcPr>
          <w:p w14:paraId="7DAC2BDA" w14:textId="77777777" w:rsidR="006D54ED" w:rsidRPr="0019790A" w:rsidRDefault="006D54ED" w:rsidP="006D54ED">
            <w:pPr>
              <w:tabs>
                <w:tab w:val="left" w:pos="162"/>
                <w:tab w:val="left" w:pos="364"/>
              </w:tabs>
              <w:jc w:val="center"/>
              <w:rPr>
                <w:rFonts w:cs="Arial"/>
                <w:szCs w:val="22"/>
              </w:rPr>
            </w:pPr>
          </w:p>
        </w:tc>
        <w:tc>
          <w:tcPr>
            <w:tcW w:w="1238" w:type="dxa"/>
            <w:vAlign w:val="center"/>
          </w:tcPr>
          <w:p w14:paraId="2F68BD3B" w14:textId="77777777" w:rsidR="006D54ED" w:rsidRPr="0019790A" w:rsidRDefault="006D54ED" w:rsidP="006D54ED">
            <w:pPr>
              <w:tabs>
                <w:tab w:val="left" w:pos="162"/>
                <w:tab w:val="left" w:pos="364"/>
              </w:tabs>
              <w:jc w:val="center"/>
              <w:rPr>
                <w:rFonts w:cs="Arial"/>
                <w:szCs w:val="22"/>
              </w:rPr>
            </w:pPr>
          </w:p>
        </w:tc>
        <w:tc>
          <w:tcPr>
            <w:tcW w:w="1440" w:type="dxa"/>
            <w:gridSpan w:val="3"/>
            <w:vAlign w:val="center"/>
          </w:tcPr>
          <w:p w14:paraId="374BF368" w14:textId="77777777" w:rsidR="006D54ED" w:rsidRPr="0019790A" w:rsidRDefault="006D54ED" w:rsidP="006D54ED">
            <w:pPr>
              <w:tabs>
                <w:tab w:val="left" w:pos="162"/>
                <w:tab w:val="left" w:pos="364"/>
              </w:tabs>
              <w:jc w:val="center"/>
              <w:rPr>
                <w:rFonts w:cs="Arial"/>
                <w:szCs w:val="22"/>
              </w:rPr>
            </w:pPr>
          </w:p>
        </w:tc>
        <w:tc>
          <w:tcPr>
            <w:tcW w:w="1306" w:type="dxa"/>
            <w:gridSpan w:val="2"/>
            <w:vAlign w:val="center"/>
          </w:tcPr>
          <w:p w14:paraId="072C3404" w14:textId="77777777" w:rsidR="006D54ED" w:rsidRPr="0019790A" w:rsidRDefault="006D54ED" w:rsidP="006D54ED">
            <w:pPr>
              <w:tabs>
                <w:tab w:val="left" w:pos="162"/>
                <w:tab w:val="left" w:pos="364"/>
              </w:tabs>
              <w:jc w:val="center"/>
              <w:rPr>
                <w:rFonts w:cs="Arial"/>
                <w:szCs w:val="22"/>
              </w:rPr>
            </w:pPr>
          </w:p>
        </w:tc>
        <w:tc>
          <w:tcPr>
            <w:tcW w:w="1533" w:type="dxa"/>
            <w:vAlign w:val="center"/>
          </w:tcPr>
          <w:p w14:paraId="7CFE9479" w14:textId="77777777" w:rsidR="006D54ED" w:rsidRPr="0019790A" w:rsidRDefault="006D54ED" w:rsidP="006D54ED">
            <w:pPr>
              <w:tabs>
                <w:tab w:val="left" w:pos="162"/>
                <w:tab w:val="left" w:pos="364"/>
              </w:tabs>
              <w:jc w:val="center"/>
              <w:rPr>
                <w:rFonts w:cs="Arial"/>
                <w:szCs w:val="22"/>
              </w:rPr>
            </w:pPr>
          </w:p>
        </w:tc>
      </w:tr>
      <w:tr w:rsidR="006D54ED" w:rsidRPr="0019790A" w14:paraId="1AAD7EF1" w14:textId="2F5382F4" w:rsidTr="006D54ED">
        <w:trPr>
          <w:trHeight w:val="275"/>
          <w:jc w:val="right"/>
        </w:trPr>
        <w:tc>
          <w:tcPr>
            <w:tcW w:w="3418" w:type="dxa"/>
            <w:shd w:val="clear" w:color="auto" w:fill="FFFFFF"/>
            <w:vAlign w:val="center"/>
          </w:tcPr>
          <w:p w14:paraId="1E6C8387" w14:textId="77777777" w:rsidR="006D54ED" w:rsidRPr="0019790A" w:rsidRDefault="006D54ED" w:rsidP="0019790A">
            <w:pPr>
              <w:rPr>
                <w:rFonts w:cs="Arial"/>
                <w:szCs w:val="22"/>
              </w:rPr>
            </w:pPr>
            <w:r w:rsidRPr="0019790A">
              <w:rPr>
                <w:rFonts w:cs="Arial"/>
                <w:szCs w:val="22"/>
              </w:rPr>
              <w:t>- бюджет Жмеринської МТГ</w:t>
            </w:r>
          </w:p>
        </w:tc>
        <w:tc>
          <w:tcPr>
            <w:tcW w:w="1277" w:type="dxa"/>
            <w:gridSpan w:val="2"/>
            <w:vAlign w:val="center"/>
          </w:tcPr>
          <w:p w14:paraId="43FEA284" w14:textId="0743CA0E" w:rsidR="006D54ED" w:rsidRPr="0019790A" w:rsidRDefault="006D54ED" w:rsidP="006D54ED">
            <w:pPr>
              <w:tabs>
                <w:tab w:val="left" w:pos="162"/>
                <w:tab w:val="left" w:pos="364"/>
              </w:tabs>
              <w:jc w:val="center"/>
              <w:rPr>
                <w:rFonts w:cs="Arial"/>
                <w:b/>
                <w:szCs w:val="22"/>
              </w:rPr>
            </w:pPr>
          </w:p>
        </w:tc>
        <w:tc>
          <w:tcPr>
            <w:tcW w:w="1238" w:type="dxa"/>
            <w:vAlign w:val="center"/>
          </w:tcPr>
          <w:p w14:paraId="35519775" w14:textId="767A09FF" w:rsidR="006D54ED" w:rsidRPr="0019790A" w:rsidRDefault="006D54ED" w:rsidP="006D54ED">
            <w:pPr>
              <w:tabs>
                <w:tab w:val="left" w:pos="162"/>
                <w:tab w:val="left" w:pos="364"/>
              </w:tabs>
              <w:ind w:left="7"/>
              <w:jc w:val="center"/>
              <w:rPr>
                <w:rFonts w:cs="Arial"/>
                <w:b/>
                <w:szCs w:val="22"/>
              </w:rPr>
            </w:pPr>
            <w:r w:rsidRPr="0019790A">
              <w:rPr>
                <w:rFonts w:cs="Arial"/>
                <w:b/>
                <w:szCs w:val="22"/>
              </w:rPr>
              <w:t>200,0</w:t>
            </w:r>
          </w:p>
        </w:tc>
        <w:tc>
          <w:tcPr>
            <w:tcW w:w="1440" w:type="dxa"/>
            <w:gridSpan w:val="3"/>
            <w:vAlign w:val="center"/>
          </w:tcPr>
          <w:p w14:paraId="29F7558D" w14:textId="335DF941" w:rsidR="006D54ED" w:rsidRPr="0019790A" w:rsidRDefault="006D54ED" w:rsidP="006D54ED">
            <w:pPr>
              <w:tabs>
                <w:tab w:val="left" w:pos="162"/>
                <w:tab w:val="left" w:pos="364"/>
              </w:tabs>
              <w:ind w:left="120"/>
              <w:jc w:val="center"/>
              <w:rPr>
                <w:rFonts w:cs="Arial"/>
                <w:b/>
                <w:szCs w:val="22"/>
              </w:rPr>
            </w:pPr>
            <w:r w:rsidRPr="0019790A">
              <w:rPr>
                <w:rFonts w:cs="Arial"/>
                <w:b/>
                <w:szCs w:val="22"/>
              </w:rPr>
              <w:t>200,0</w:t>
            </w:r>
          </w:p>
        </w:tc>
        <w:tc>
          <w:tcPr>
            <w:tcW w:w="1306" w:type="dxa"/>
            <w:gridSpan w:val="2"/>
            <w:vAlign w:val="center"/>
          </w:tcPr>
          <w:p w14:paraId="757FC3F0" w14:textId="3FADCE1E" w:rsidR="006D54ED" w:rsidRPr="0019790A" w:rsidRDefault="006D54ED" w:rsidP="006D54ED">
            <w:pPr>
              <w:tabs>
                <w:tab w:val="left" w:pos="162"/>
                <w:tab w:val="left" w:pos="364"/>
              </w:tabs>
              <w:ind w:left="204"/>
              <w:jc w:val="center"/>
              <w:rPr>
                <w:rFonts w:cs="Arial"/>
                <w:b/>
                <w:szCs w:val="22"/>
              </w:rPr>
            </w:pPr>
            <w:r w:rsidRPr="0019790A">
              <w:rPr>
                <w:rFonts w:cs="Arial"/>
                <w:b/>
                <w:szCs w:val="22"/>
              </w:rPr>
              <w:t>200,0</w:t>
            </w:r>
          </w:p>
        </w:tc>
        <w:tc>
          <w:tcPr>
            <w:tcW w:w="1533" w:type="dxa"/>
            <w:vAlign w:val="center"/>
          </w:tcPr>
          <w:p w14:paraId="31D3A78E" w14:textId="168321A1" w:rsidR="006D54ED" w:rsidRPr="0019790A" w:rsidRDefault="006D54ED" w:rsidP="006D54ED">
            <w:pPr>
              <w:tabs>
                <w:tab w:val="left" w:pos="162"/>
                <w:tab w:val="left" w:pos="364"/>
              </w:tabs>
              <w:ind w:left="383"/>
              <w:jc w:val="center"/>
              <w:rPr>
                <w:rFonts w:cs="Arial"/>
                <w:b/>
                <w:szCs w:val="22"/>
              </w:rPr>
            </w:pPr>
            <w:r w:rsidRPr="0019790A">
              <w:rPr>
                <w:rFonts w:cs="Arial"/>
                <w:b/>
                <w:szCs w:val="22"/>
              </w:rPr>
              <w:t>600,0</w:t>
            </w:r>
          </w:p>
        </w:tc>
      </w:tr>
      <w:tr w:rsidR="006D54ED" w:rsidRPr="0019790A" w14:paraId="7B1D6714" w14:textId="5910C958" w:rsidTr="006D54ED">
        <w:trPr>
          <w:trHeight w:val="226"/>
          <w:jc w:val="right"/>
        </w:trPr>
        <w:tc>
          <w:tcPr>
            <w:tcW w:w="3418" w:type="dxa"/>
            <w:shd w:val="clear" w:color="auto" w:fill="FFFFFF"/>
            <w:vAlign w:val="center"/>
          </w:tcPr>
          <w:p w14:paraId="0CEBA6FD" w14:textId="77777777" w:rsidR="006D54ED" w:rsidRPr="0019790A" w:rsidRDefault="006D54ED" w:rsidP="0019790A">
            <w:pPr>
              <w:rPr>
                <w:rFonts w:cs="Arial"/>
                <w:szCs w:val="22"/>
              </w:rPr>
            </w:pPr>
            <w:r w:rsidRPr="0019790A">
              <w:rPr>
                <w:rFonts w:cs="Arial"/>
                <w:szCs w:val="22"/>
              </w:rPr>
              <w:t>- інші джерела фінансування</w:t>
            </w:r>
          </w:p>
        </w:tc>
        <w:tc>
          <w:tcPr>
            <w:tcW w:w="1277" w:type="dxa"/>
            <w:gridSpan w:val="2"/>
            <w:vAlign w:val="center"/>
          </w:tcPr>
          <w:p w14:paraId="4771FDAB" w14:textId="77777777" w:rsidR="006D54ED" w:rsidRPr="0019790A" w:rsidRDefault="006D54ED" w:rsidP="006D54ED">
            <w:pPr>
              <w:tabs>
                <w:tab w:val="left" w:pos="162"/>
                <w:tab w:val="left" w:pos="364"/>
              </w:tabs>
              <w:jc w:val="center"/>
              <w:rPr>
                <w:rFonts w:cs="Arial"/>
                <w:szCs w:val="22"/>
              </w:rPr>
            </w:pPr>
          </w:p>
        </w:tc>
        <w:tc>
          <w:tcPr>
            <w:tcW w:w="1238" w:type="dxa"/>
            <w:vAlign w:val="center"/>
          </w:tcPr>
          <w:p w14:paraId="0CB47607" w14:textId="77777777" w:rsidR="006D54ED" w:rsidRPr="0019790A" w:rsidRDefault="006D54ED" w:rsidP="006D54ED">
            <w:pPr>
              <w:tabs>
                <w:tab w:val="left" w:pos="162"/>
                <w:tab w:val="left" w:pos="364"/>
              </w:tabs>
              <w:jc w:val="center"/>
              <w:rPr>
                <w:rFonts w:cs="Arial"/>
                <w:szCs w:val="22"/>
              </w:rPr>
            </w:pPr>
          </w:p>
        </w:tc>
        <w:tc>
          <w:tcPr>
            <w:tcW w:w="1440" w:type="dxa"/>
            <w:gridSpan w:val="3"/>
            <w:vAlign w:val="center"/>
          </w:tcPr>
          <w:p w14:paraId="662C84BD" w14:textId="77777777" w:rsidR="006D54ED" w:rsidRPr="0019790A" w:rsidRDefault="006D54ED" w:rsidP="006D54ED">
            <w:pPr>
              <w:tabs>
                <w:tab w:val="left" w:pos="162"/>
                <w:tab w:val="left" w:pos="364"/>
              </w:tabs>
              <w:jc w:val="center"/>
              <w:rPr>
                <w:rFonts w:cs="Arial"/>
                <w:szCs w:val="22"/>
              </w:rPr>
            </w:pPr>
          </w:p>
        </w:tc>
        <w:tc>
          <w:tcPr>
            <w:tcW w:w="1306" w:type="dxa"/>
            <w:gridSpan w:val="2"/>
            <w:vAlign w:val="center"/>
          </w:tcPr>
          <w:p w14:paraId="63079F2C" w14:textId="77777777" w:rsidR="006D54ED" w:rsidRPr="0019790A" w:rsidRDefault="006D54ED" w:rsidP="006D54ED">
            <w:pPr>
              <w:tabs>
                <w:tab w:val="left" w:pos="162"/>
                <w:tab w:val="left" w:pos="364"/>
              </w:tabs>
              <w:jc w:val="center"/>
              <w:rPr>
                <w:rFonts w:cs="Arial"/>
                <w:szCs w:val="22"/>
              </w:rPr>
            </w:pPr>
          </w:p>
        </w:tc>
        <w:tc>
          <w:tcPr>
            <w:tcW w:w="1533" w:type="dxa"/>
            <w:vAlign w:val="center"/>
          </w:tcPr>
          <w:p w14:paraId="7409285B" w14:textId="77777777" w:rsidR="006D54ED" w:rsidRPr="0019790A" w:rsidRDefault="006D54ED" w:rsidP="006D54ED">
            <w:pPr>
              <w:tabs>
                <w:tab w:val="left" w:pos="162"/>
                <w:tab w:val="left" w:pos="364"/>
              </w:tabs>
              <w:jc w:val="center"/>
              <w:rPr>
                <w:rFonts w:cs="Arial"/>
                <w:szCs w:val="22"/>
              </w:rPr>
            </w:pPr>
          </w:p>
        </w:tc>
      </w:tr>
      <w:tr w:rsidR="005342D5" w:rsidRPr="0019790A" w14:paraId="013A756F" w14:textId="77777777" w:rsidTr="000343CA">
        <w:trPr>
          <w:jc w:val="right"/>
        </w:trPr>
        <w:tc>
          <w:tcPr>
            <w:tcW w:w="3418" w:type="dxa"/>
            <w:shd w:val="clear" w:color="auto" w:fill="FFFFFF"/>
            <w:vAlign w:val="center"/>
          </w:tcPr>
          <w:p w14:paraId="320861ED" w14:textId="77777777" w:rsidR="005342D5" w:rsidRPr="0019790A" w:rsidRDefault="005342D5" w:rsidP="0019790A">
            <w:pPr>
              <w:rPr>
                <w:rFonts w:cs="Arial"/>
                <w:b/>
                <w:bCs/>
                <w:szCs w:val="22"/>
              </w:rPr>
            </w:pPr>
            <w:r w:rsidRPr="0019790A">
              <w:rPr>
                <w:rFonts w:cs="Arial"/>
                <w:b/>
                <w:szCs w:val="22"/>
              </w:rPr>
              <w:t>Відповідальний виконавець проєкту:</w:t>
            </w:r>
          </w:p>
        </w:tc>
        <w:tc>
          <w:tcPr>
            <w:tcW w:w="6794" w:type="dxa"/>
            <w:gridSpan w:val="9"/>
            <w:vAlign w:val="center"/>
          </w:tcPr>
          <w:p w14:paraId="06A19E16" w14:textId="789E864F" w:rsidR="005342D5" w:rsidRPr="0019790A" w:rsidRDefault="005342D5" w:rsidP="000343CA">
            <w:pPr>
              <w:tabs>
                <w:tab w:val="left" w:pos="162"/>
                <w:tab w:val="left" w:pos="364"/>
              </w:tabs>
              <w:jc w:val="both"/>
              <w:rPr>
                <w:rFonts w:cs="Arial"/>
                <w:szCs w:val="22"/>
              </w:rPr>
            </w:pPr>
            <w:r w:rsidRPr="0019790A">
              <w:rPr>
                <w:rFonts w:cs="Arial"/>
                <w:szCs w:val="22"/>
              </w:rPr>
              <w:t xml:space="preserve">Відділ молоді та спорту Жмеринської </w:t>
            </w:r>
            <w:r w:rsidR="006D54ED" w:rsidRPr="0019790A">
              <w:rPr>
                <w:rFonts w:cs="Arial"/>
                <w:szCs w:val="22"/>
              </w:rPr>
              <w:t>міської</w:t>
            </w:r>
            <w:r w:rsidRPr="0019790A">
              <w:rPr>
                <w:rFonts w:cs="Arial"/>
                <w:szCs w:val="22"/>
              </w:rPr>
              <w:t xml:space="preserve"> ради</w:t>
            </w:r>
          </w:p>
        </w:tc>
      </w:tr>
      <w:tr w:rsidR="005342D5" w:rsidRPr="0019790A" w14:paraId="505F6B7A" w14:textId="77777777" w:rsidTr="000343CA">
        <w:trPr>
          <w:jc w:val="right"/>
        </w:trPr>
        <w:tc>
          <w:tcPr>
            <w:tcW w:w="3418" w:type="dxa"/>
            <w:shd w:val="clear" w:color="auto" w:fill="FFFFFF"/>
            <w:vAlign w:val="center"/>
          </w:tcPr>
          <w:p w14:paraId="3AB7C2B8" w14:textId="77777777" w:rsidR="005342D5" w:rsidRPr="0019790A" w:rsidRDefault="005342D5" w:rsidP="0019790A">
            <w:pPr>
              <w:rPr>
                <w:rFonts w:cs="Arial"/>
                <w:b/>
                <w:bCs/>
                <w:szCs w:val="22"/>
              </w:rPr>
            </w:pPr>
            <w:r w:rsidRPr="0019790A">
              <w:rPr>
                <w:rFonts w:cs="Arial"/>
                <w:b/>
                <w:bCs/>
                <w:szCs w:val="22"/>
              </w:rPr>
              <w:t>Інше:</w:t>
            </w:r>
          </w:p>
        </w:tc>
        <w:tc>
          <w:tcPr>
            <w:tcW w:w="6794" w:type="dxa"/>
            <w:gridSpan w:val="9"/>
            <w:vAlign w:val="center"/>
          </w:tcPr>
          <w:p w14:paraId="7BFDBD98" w14:textId="77777777" w:rsidR="005342D5" w:rsidRPr="0019790A" w:rsidRDefault="005342D5" w:rsidP="000343CA">
            <w:pPr>
              <w:tabs>
                <w:tab w:val="left" w:pos="162"/>
                <w:tab w:val="left" w:pos="364"/>
              </w:tabs>
              <w:jc w:val="both"/>
              <w:rPr>
                <w:rFonts w:cs="Arial"/>
                <w:szCs w:val="22"/>
              </w:rPr>
            </w:pPr>
          </w:p>
        </w:tc>
      </w:tr>
    </w:tbl>
    <w:p w14:paraId="77AAF983" w14:textId="77777777" w:rsidR="005342D5" w:rsidRPr="0019790A" w:rsidRDefault="005342D5" w:rsidP="0019790A">
      <w:pPr>
        <w:rPr>
          <w:rFonts w:cs="Arial"/>
          <w:szCs w:val="22"/>
        </w:rPr>
      </w:pPr>
    </w:p>
    <w:p w14:paraId="753320C1" w14:textId="77777777" w:rsidR="005342D5" w:rsidRPr="0019790A" w:rsidRDefault="005342D5" w:rsidP="0019790A">
      <w:pPr>
        <w:rPr>
          <w:rFonts w:cs="Arial"/>
          <w:szCs w:val="22"/>
        </w:rPr>
      </w:pPr>
    </w:p>
    <w:p w14:paraId="55CF54CB" w14:textId="77777777" w:rsidR="005342D5" w:rsidRPr="0019790A" w:rsidRDefault="005342D5" w:rsidP="0019790A">
      <w:pPr>
        <w:jc w:val="center"/>
        <w:rPr>
          <w:rFonts w:cs="Arial"/>
          <w:b/>
          <w:szCs w:val="22"/>
        </w:rPr>
      </w:pPr>
      <w:r w:rsidRPr="0019790A">
        <w:rPr>
          <w:rFonts w:cs="Arial"/>
          <w:b/>
          <w:szCs w:val="22"/>
        </w:rPr>
        <w:t>Форма технічного завдання на проєкт місцевого розвитку</w:t>
      </w:r>
    </w:p>
    <w:p w14:paraId="0DF4D068" w14:textId="77777777" w:rsidR="005342D5" w:rsidRPr="0019790A" w:rsidRDefault="005342D5" w:rsidP="0019790A">
      <w:pPr>
        <w:jc w:val="center"/>
        <w:rPr>
          <w:rFonts w:cs="Arial"/>
          <w:b/>
          <w:szCs w:val="22"/>
        </w:rPr>
      </w:pPr>
      <w:r w:rsidRPr="0019790A">
        <w:rPr>
          <w:rFonts w:cs="Arial"/>
          <w:b/>
          <w:szCs w:val="22"/>
        </w:rPr>
        <w:t>до Плану заходів з реалізації Стратегії</w:t>
      </w:r>
    </w:p>
    <w:p w14:paraId="03EBE566" w14:textId="77777777" w:rsidR="005342D5" w:rsidRPr="0019790A" w:rsidRDefault="005342D5"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5"/>
        <w:gridCol w:w="1254"/>
        <w:gridCol w:w="13"/>
        <w:gridCol w:w="1262"/>
        <w:gridCol w:w="24"/>
        <w:gridCol w:w="1394"/>
        <w:gridCol w:w="8"/>
        <w:gridCol w:w="1268"/>
        <w:gridCol w:w="9"/>
        <w:gridCol w:w="1562"/>
      </w:tblGrid>
      <w:tr w:rsidR="005342D5" w:rsidRPr="0019790A" w14:paraId="6B34CABC" w14:textId="77777777" w:rsidTr="006D54ED">
        <w:trPr>
          <w:trHeight w:val="412"/>
          <w:jc w:val="right"/>
        </w:trPr>
        <w:tc>
          <w:tcPr>
            <w:tcW w:w="3425" w:type="dxa"/>
            <w:vAlign w:val="center"/>
          </w:tcPr>
          <w:p w14:paraId="0BCC35B3" w14:textId="77777777" w:rsidR="005342D5" w:rsidRPr="0019790A" w:rsidRDefault="005342D5" w:rsidP="0019790A">
            <w:pPr>
              <w:rPr>
                <w:rFonts w:cs="Arial"/>
                <w:b/>
                <w:bCs/>
                <w:szCs w:val="22"/>
              </w:rPr>
            </w:pPr>
            <w:r w:rsidRPr="0019790A">
              <w:rPr>
                <w:rFonts w:cs="Arial"/>
                <w:b/>
                <w:bCs/>
                <w:szCs w:val="22"/>
              </w:rPr>
              <w:t>Назва проєкту:</w:t>
            </w:r>
          </w:p>
        </w:tc>
        <w:tc>
          <w:tcPr>
            <w:tcW w:w="6794" w:type="dxa"/>
            <w:gridSpan w:val="9"/>
            <w:vAlign w:val="center"/>
          </w:tcPr>
          <w:p w14:paraId="3434DDFC" w14:textId="77777777" w:rsidR="005342D5" w:rsidRPr="006D54ED" w:rsidRDefault="005342D5" w:rsidP="006D54ED">
            <w:pPr>
              <w:tabs>
                <w:tab w:val="left" w:pos="148"/>
                <w:tab w:val="left" w:pos="369"/>
              </w:tabs>
              <w:rPr>
                <w:rFonts w:cs="Arial"/>
                <w:b/>
                <w:szCs w:val="22"/>
              </w:rPr>
            </w:pPr>
            <w:r w:rsidRPr="006D54ED">
              <w:rPr>
                <w:rFonts w:cs="Arial"/>
                <w:b/>
                <w:szCs w:val="22"/>
              </w:rPr>
              <w:t>«Безпечна громада — стійка молодь»</w:t>
            </w:r>
          </w:p>
        </w:tc>
      </w:tr>
      <w:tr w:rsidR="005342D5" w:rsidRPr="0019790A" w14:paraId="15863542" w14:textId="77777777" w:rsidTr="006D54ED">
        <w:trPr>
          <w:jc w:val="right"/>
        </w:trPr>
        <w:tc>
          <w:tcPr>
            <w:tcW w:w="3425" w:type="dxa"/>
          </w:tcPr>
          <w:p w14:paraId="6352855B" w14:textId="77777777" w:rsidR="005342D5" w:rsidRPr="0019790A" w:rsidRDefault="005342D5" w:rsidP="0019790A">
            <w:pPr>
              <w:rPr>
                <w:rFonts w:cs="Arial"/>
                <w:szCs w:val="22"/>
              </w:rPr>
            </w:pPr>
            <w:r w:rsidRPr="0019790A">
              <w:rPr>
                <w:rFonts w:cs="Arial"/>
                <w:b/>
                <w:bCs/>
                <w:szCs w:val="22"/>
              </w:rPr>
              <w:t>Ваші контакти</w:t>
            </w:r>
            <w:r w:rsidRPr="0019790A">
              <w:rPr>
                <w:rFonts w:cs="Arial"/>
                <w:szCs w:val="22"/>
              </w:rPr>
              <w:t>:</w:t>
            </w:r>
          </w:p>
          <w:p w14:paraId="6FD2E606" w14:textId="77777777" w:rsidR="005342D5" w:rsidRPr="0019790A" w:rsidRDefault="005342D5" w:rsidP="0019790A">
            <w:pPr>
              <w:rPr>
                <w:rFonts w:cs="Arial"/>
                <w:b/>
                <w:bCs/>
                <w:szCs w:val="22"/>
              </w:rPr>
            </w:pPr>
            <w:r w:rsidRPr="0019790A">
              <w:rPr>
                <w:rFonts w:cs="Arial"/>
                <w:szCs w:val="22"/>
              </w:rPr>
              <w:t>Назва установи, організації, підприємства</w:t>
            </w:r>
          </w:p>
        </w:tc>
        <w:tc>
          <w:tcPr>
            <w:tcW w:w="6794" w:type="dxa"/>
            <w:gridSpan w:val="9"/>
            <w:vAlign w:val="center"/>
          </w:tcPr>
          <w:p w14:paraId="08CF5896" w14:textId="77777777" w:rsidR="005342D5" w:rsidRPr="0019790A" w:rsidRDefault="005342D5" w:rsidP="006D54ED">
            <w:pPr>
              <w:tabs>
                <w:tab w:val="left" w:pos="148"/>
                <w:tab w:val="left" w:pos="369"/>
              </w:tabs>
              <w:rPr>
                <w:rFonts w:cs="Arial"/>
                <w:szCs w:val="22"/>
              </w:rPr>
            </w:pPr>
            <w:r w:rsidRPr="0019790A">
              <w:rPr>
                <w:rFonts w:cs="Arial"/>
                <w:szCs w:val="22"/>
              </w:rPr>
              <w:t>Відділ молоді та спорту Жмеринської міської ради</w:t>
            </w:r>
          </w:p>
        </w:tc>
      </w:tr>
      <w:tr w:rsidR="005342D5" w:rsidRPr="0019790A" w14:paraId="1BADA2D0" w14:textId="77777777" w:rsidTr="006D54ED">
        <w:trPr>
          <w:jc w:val="right"/>
        </w:trPr>
        <w:tc>
          <w:tcPr>
            <w:tcW w:w="3425" w:type="dxa"/>
          </w:tcPr>
          <w:p w14:paraId="58B5D262" w14:textId="77777777" w:rsidR="005342D5" w:rsidRPr="0019790A" w:rsidRDefault="005342D5" w:rsidP="0019790A">
            <w:pPr>
              <w:rPr>
                <w:rFonts w:cs="Arial"/>
                <w:b/>
                <w:bCs/>
                <w:szCs w:val="22"/>
              </w:rPr>
            </w:pPr>
            <w:r w:rsidRPr="0019790A">
              <w:rPr>
                <w:rFonts w:cs="Arial"/>
                <w:szCs w:val="22"/>
              </w:rPr>
              <w:t>Прізвище Ім’я По-батькові:</w:t>
            </w:r>
          </w:p>
        </w:tc>
        <w:tc>
          <w:tcPr>
            <w:tcW w:w="6794" w:type="dxa"/>
            <w:gridSpan w:val="9"/>
            <w:vAlign w:val="center"/>
          </w:tcPr>
          <w:p w14:paraId="5254D649" w14:textId="77777777" w:rsidR="005342D5" w:rsidRPr="0019790A" w:rsidRDefault="005342D5" w:rsidP="006D54ED">
            <w:pPr>
              <w:tabs>
                <w:tab w:val="left" w:pos="148"/>
                <w:tab w:val="left" w:pos="369"/>
              </w:tabs>
              <w:rPr>
                <w:rFonts w:cs="Arial"/>
                <w:szCs w:val="22"/>
              </w:rPr>
            </w:pPr>
            <w:r w:rsidRPr="0019790A">
              <w:rPr>
                <w:rFonts w:cs="Arial"/>
                <w:szCs w:val="22"/>
              </w:rPr>
              <w:t>Ковальська Олена Віталіївна</w:t>
            </w:r>
          </w:p>
        </w:tc>
      </w:tr>
      <w:tr w:rsidR="005342D5" w:rsidRPr="0019790A" w14:paraId="33275D20" w14:textId="77777777" w:rsidTr="006D54ED">
        <w:trPr>
          <w:jc w:val="right"/>
        </w:trPr>
        <w:tc>
          <w:tcPr>
            <w:tcW w:w="3425" w:type="dxa"/>
          </w:tcPr>
          <w:p w14:paraId="6F4BB570" w14:textId="77777777" w:rsidR="005342D5" w:rsidRPr="0019790A" w:rsidRDefault="005342D5" w:rsidP="0019790A">
            <w:pPr>
              <w:rPr>
                <w:rFonts w:cs="Arial"/>
                <w:b/>
                <w:bCs/>
                <w:szCs w:val="22"/>
              </w:rPr>
            </w:pPr>
            <w:r w:rsidRPr="0019790A">
              <w:rPr>
                <w:rFonts w:cs="Arial"/>
                <w:szCs w:val="22"/>
              </w:rPr>
              <w:t>Телефон (мобільний):</w:t>
            </w:r>
          </w:p>
        </w:tc>
        <w:tc>
          <w:tcPr>
            <w:tcW w:w="6794" w:type="dxa"/>
            <w:gridSpan w:val="9"/>
            <w:vAlign w:val="center"/>
          </w:tcPr>
          <w:p w14:paraId="467C8C83" w14:textId="77777777" w:rsidR="005342D5" w:rsidRPr="0019790A" w:rsidRDefault="005342D5" w:rsidP="006D54ED">
            <w:pPr>
              <w:tabs>
                <w:tab w:val="left" w:pos="148"/>
                <w:tab w:val="left" w:pos="369"/>
              </w:tabs>
              <w:rPr>
                <w:rFonts w:cs="Arial"/>
                <w:szCs w:val="22"/>
              </w:rPr>
            </w:pPr>
            <w:r w:rsidRPr="0019790A">
              <w:rPr>
                <w:rFonts w:cs="Arial"/>
                <w:szCs w:val="22"/>
              </w:rPr>
              <w:t>096-068-94-79</w:t>
            </w:r>
          </w:p>
        </w:tc>
      </w:tr>
      <w:tr w:rsidR="005342D5" w:rsidRPr="0019790A" w14:paraId="4491B029" w14:textId="77777777" w:rsidTr="006D54ED">
        <w:trPr>
          <w:jc w:val="right"/>
        </w:trPr>
        <w:tc>
          <w:tcPr>
            <w:tcW w:w="3425" w:type="dxa"/>
          </w:tcPr>
          <w:p w14:paraId="082C5ECF" w14:textId="77777777" w:rsidR="005342D5" w:rsidRPr="0019790A" w:rsidRDefault="005342D5" w:rsidP="0019790A">
            <w:pPr>
              <w:rPr>
                <w:rFonts w:cs="Arial"/>
                <w:b/>
                <w:bCs/>
                <w:szCs w:val="22"/>
              </w:rPr>
            </w:pPr>
            <w:r w:rsidRPr="0019790A">
              <w:rPr>
                <w:rFonts w:cs="Arial"/>
                <w:szCs w:val="22"/>
              </w:rPr>
              <w:t>Електронна адреса:</w:t>
            </w:r>
          </w:p>
        </w:tc>
        <w:tc>
          <w:tcPr>
            <w:tcW w:w="6794" w:type="dxa"/>
            <w:gridSpan w:val="9"/>
            <w:vAlign w:val="center"/>
          </w:tcPr>
          <w:p w14:paraId="293DD7EF" w14:textId="77777777" w:rsidR="005342D5" w:rsidRPr="0019790A" w:rsidRDefault="00D85FFD" w:rsidP="006D54ED">
            <w:pPr>
              <w:tabs>
                <w:tab w:val="left" w:pos="148"/>
                <w:tab w:val="left" w:pos="369"/>
              </w:tabs>
              <w:rPr>
                <w:rFonts w:cs="Arial"/>
                <w:szCs w:val="22"/>
              </w:rPr>
            </w:pPr>
            <w:hyperlink r:id="rId170" w:history="1">
              <w:r w:rsidR="005342D5" w:rsidRPr="0019790A">
                <w:rPr>
                  <w:rStyle w:val="af0"/>
                  <w:rFonts w:cs="Arial"/>
                  <w:b/>
                  <w:bCs/>
                  <w:noProof w:val="0"/>
                  <w:sz w:val="22"/>
                  <w:szCs w:val="22"/>
                </w:rPr>
                <w:t>ms@zhmr.gov.ua</w:t>
              </w:r>
            </w:hyperlink>
          </w:p>
        </w:tc>
      </w:tr>
      <w:tr w:rsidR="005342D5" w:rsidRPr="0019790A" w14:paraId="4DCCA1A9" w14:textId="77777777" w:rsidTr="001A5BC7">
        <w:trPr>
          <w:trHeight w:val="1357"/>
          <w:jc w:val="right"/>
        </w:trPr>
        <w:tc>
          <w:tcPr>
            <w:tcW w:w="3425" w:type="dxa"/>
            <w:vAlign w:val="center"/>
          </w:tcPr>
          <w:p w14:paraId="241FE18C" w14:textId="77777777" w:rsidR="005342D5" w:rsidRPr="0019790A" w:rsidRDefault="005342D5" w:rsidP="0019790A">
            <w:pPr>
              <w:rPr>
                <w:rFonts w:cs="Arial"/>
                <w:b/>
                <w:bCs/>
                <w:szCs w:val="22"/>
              </w:rPr>
            </w:pPr>
            <w:r w:rsidRPr="0019790A">
              <w:rPr>
                <w:rFonts w:cs="Arial"/>
                <w:b/>
                <w:bCs/>
                <w:szCs w:val="22"/>
              </w:rPr>
              <w:t>Номер і назва завдання з Стратегії розвитку Жмеринської міської територіальної громади,  якому відповідає проєкт:</w:t>
            </w:r>
          </w:p>
        </w:tc>
        <w:tc>
          <w:tcPr>
            <w:tcW w:w="6794" w:type="dxa"/>
            <w:gridSpan w:val="9"/>
            <w:vAlign w:val="center"/>
          </w:tcPr>
          <w:p w14:paraId="4002FDBA" w14:textId="6748BBC6" w:rsidR="005342D5" w:rsidRPr="006D54ED" w:rsidRDefault="005342D5" w:rsidP="006D54ED">
            <w:pPr>
              <w:tabs>
                <w:tab w:val="left" w:pos="148"/>
                <w:tab w:val="left" w:pos="369"/>
              </w:tabs>
              <w:jc w:val="both"/>
              <w:rPr>
                <w:rFonts w:cs="Arial"/>
                <w:szCs w:val="22"/>
              </w:rPr>
            </w:pPr>
            <w:r w:rsidRPr="006D54ED">
              <w:rPr>
                <w:rFonts w:cs="Arial"/>
                <w:szCs w:val="22"/>
              </w:rPr>
              <w:t xml:space="preserve">С.3.5.5. </w:t>
            </w:r>
            <w:r w:rsidRPr="006D54ED">
              <w:rPr>
                <w:rFonts w:cs="Arial"/>
                <w:iCs/>
                <w:szCs w:val="22"/>
              </w:rPr>
              <w:t>Підвищення безпечності середовища та посилення життєстійкості молоді.</w:t>
            </w:r>
          </w:p>
        </w:tc>
      </w:tr>
      <w:tr w:rsidR="005342D5" w:rsidRPr="0019790A" w14:paraId="619E4D9F" w14:textId="77777777" w:rsidTr="006D54ED">
        <w:trPr>
          <w:trHeight w:val="673"/>
          <w:jc w:val="right"/>
        </w:trPr>
        <w:tc>
          <w:tcPr>
            <w:tcW w:w="3425" w:type="dxa"/>
            <w:vAlign w:val="center"/>
          </w:tcPr>
          <w:p w14:paraId="3E62A91C" w14:textId="77777777" w:rsidR="005342D5" w:rsidRPr="0019790A" w:rsidRDefault="005342D5" w:rsidP="0019790A">
            <w:pPr>
              <w:rPr>
                <w:rFonts w:cs="Arial"/>
                <w:b/>
                <w:bCs/>
                <w:szCs w:val="22"/>
              </w:rPr>
            </w:pPr>
            <w:r w:rsidRPr="0019790A">
              <w:rPr>
                <w:rFonts w:cs="Arial"/>
                <w:b/>
                <w:bCs/>
                <w:szCs w:val="22"/>
              </w:rPr>
              <w:t>Мета проєкту:</w:t>
            </w:r>
          </w:p>
        </w:tc>
        <w:tc>
          <w:tcPr>
            <w:tcW w:w="6794" w:type="dxa"/>
            <w:gridSpan w:val="9"/>
            <w:vAlign w:val="center"/>
          </w:tcPr>
          <w:p w14:paraId="69FE7368" w14:textId="77777777" w:rsidR="005342D5" w:rsidRPr="0019790A" w:rsidRDefault="005342D5" w:rsidP="006D54ED">
            <w:pPr>
              <w:tabs>
                <w:tab w:val="left" w:pos="148"/>
                <w:tab w:val="left" w:pos="369"/>
              </w:tabs>
              <w:jc w:val="both"/>
              <w:rPr>
                <w:rFonts w:cs="Arial"/>
                <w:szCs w:val="22"/>
              </w:rPr>
            </w:pPr>
            <w:r w:rsidRPr="0019790A">
              <w:rPr>
                <w:rFonts w:cs="Arial"/>
                <w:szCs w:val="22"/>
              </w:rPr>
              <w:t>Сприяти створенню безпечного та підтримуючого середовища для молоді шляхом розвитку навичок життєстійкості, критичного мислення, психоемоційної стійкості та підвищення рівня обізнаності щодо безпечної поведінки в надзвичайних ситуаціях.</w:t>
            </w:r>
          </w:p>
        </w:tc>
      </w:tr>
      <w:tr w:rsidR="005342D5" w:rsidRPr="0019790A" w14:paraId="6F24FD43" w14:textId="77777777" w:rsidTr="006D54ED">
        <w:trPr>
          <w:jc w:val="right"/>
        </w:trPr>
        <w:tc>
          <w:tcPr>
            <w:tcW w:w="3425" w:type="dxa"/>
            <w:vAlign w:val="center"/>
          </w:tcPr>
          <w:p w14:paraId="1114BBBC" w14:textId="77777777" w:rsidR="005342D5" w:rsidRPr="0019790A" w:rsidRDefault="005342D5" w:rsidP="0019790A">
            <w:pPr>
              <w:rPr>
                <w:rFonts w:cs="Arial"/>
                <w:b/>
                <w:bCs/>
                <w:szCs w:val="22"/>
              </w:rPr>
            </w:pPr>
            <w:r w:rsidRPr="0019790A">
              <w:rPr>
                <w:rFonts w:cs="Arial"/>
                <w:b/>
                <w:bCs/>
                <w:szCs w:val="22"/>
              </w:rPr>
              <w:t>Цілі проєкту:</w:t>
            </w:r>
          </w:p>
        </w:tc>
        <w:tc>
          <w:tcPr>
            <w:tcW w:w="6794" w:type="dxa"/>
            <w:gridSpan w:val="9"/>
            <w:vAlign w:val="center"/>
          </w:tcPr>
          <w:p w14:paraId="6372CF25" w14:textId="77777777" w:rsidR="005342D5" w:rsidRPr="0019790A" w:rsidRDefault="005342D5" w:rsidP="006D54ED">
            <w:pPr>
              <w:numPr>
                <w:ilvl w:val="0"/>
                <w:numId w:val="123"/>
              </w:numPr>
              <w:tabs>
                <w:tab w:val="left" w:pos="148"/>
                <w:tab w:val="left" w:pos="369"/>
              </w:tabs>
              <w:ind w:left="0" w:firstLine="0"/>
              <w:jc w:val="both"/>
              <w:rPr>
                <w:rFonts w:cs="Arial"/>
                <w:szCs w:val="22"/>
              </w:rPr>
            </w:pPr>
            <w:r w:rsidRPr="0019790A">
              <w:rPr>
                <w:rFonts w:cs="Arial"/>
                <w:szCs w:val="22"/>
              </w:rPr>
              <w:t>Підвищити рівень обізнаності молоді про алгоритми дій у надзвичайних ситуаціях.</w:t>
            </w:r>
          </w:p>
          <w:p w14:paraId="4681B2F4" w14:textId="77777777" w:rsidR="005342D5" w:rsidRPr="0019790A" w:rsidRDefault="005342D5" w:rsidP="006D54ED">
            <w:pPr>
              <w:numPr>
                <w:ilvl w:val="0"/>
                <w:numId w:val="123"/>
              </w:numPr>
              <w:tabs>
                <w:tab w:val="left" w:pos="148"/>
                <w:tab w:val="left" w:pos="369"/>
              </w:tabs>
              <w:ind w:left="0" w:firstLine="0"/>
              <w:jc w:val="both"/>
              <w:rPr>
                <w:rFonts w:cs="Arial"/>
                <w:szCs w:val="22"/>
              </w:rPr>
            </w:pPr>
            <w:r w:rsidRPr="0019790A">
              <w:rPr>
                <w:rFonts w:cs="Arial"/>
                <w:szCs w:val="22"/>
              </w:rPr>
              <w:t>Сформувати навички психоемоційної стійкості та самодопомоги.</w:t>
            </w:r>
          </w:p>
          <w:p w14:paraId="78BB25C9" w14:textId="77777777" w:rsidR="005342D5" w:rsidRPr="0019790A" w:rsidRDefault="005342D5" w:rsidP="006D54ED">
            <w:pPr>
              <w:numPr>
                <w:ilvl w:val="0"/>
                <w:numId w:val="123"/>
              </w:numPr>
              <w:tabs>
                <w:tab w:val="left" w:pos="148"/>
                <w:tab w:val="left" w:pos="369"/>
              </w:tabs>
              <w:ind w:left="0" w:firstLine="0"/>
              <w:jc w:val="both"/>
              <w:rPr>
                <w:rFonts w:cs="Arial"/>
                <w:szCs w:val="22"/>
              </w:rPr>
            </w:pPr>
            <w:r w:rsidRPr="0019790A">
              <w:rPr>
                <w:rFonts w:cs="Arial"/>
                <w:szCs w:val="22"/>
              </w:rPr>
              <w:t>Створити мережу молодіжних «амбасадорів безпеки».</w:t>
            </w:r>
          </w:p>
          <w:p w14:paraId="3EA5867B" w14:textId="77777777" w:rsidR="005342D5" w:rsidRPr="0019790A" w:rsidRDefault="005342D5" w:rsidP="006D54ED">
            <w:pPr>
              <w:numPr>
                <w:ilvl w:val="0"/>
                <w:numId w:val="123"/>
              </w:numPr>
              <w:tabs>
                <w:tab w:val="left" w:pos="148"/>
                <w:tab w:val="left" w:pos="369"/>
              </w:tabs>
              <w:ind w:left="0" w:firstLine="0"/>
              <w:jc w:val="both"/>
              <w:rPr>
                <w:rFonts w:cs="Arial"/>
                <w:szCs w:val="22"/>
              </w:rPr>
            </w:pPr>
            <w:r w:rsidRPr="0019790A">
              <w:rPr>
                <w:rFonts w:cs="Arial"/>
                <w:szCs w:val="22"/>
              </w:rPr>
              <w:t>Зміцнити зв’язки між молоддю, фахівцями сфери безпеки та місцевою владою.</w:t>
            </w:r>
          </w:p>
        </w:tc>
      </w:tr>
      <w:tr w:rsidR="005342D5" w:rsidRPr="0019790A" w14:paraId="03C4EE8C" w14:textId="77777777" w:rsidTr="006D54ED">
        <w:trPr>
          <w:trHeight w:val="641"/>
          <w:jc w:val="right"/>
        </w:trPr>
        <w:tc>
          <w:tcPr>
            <w:tcW w:w="3425" w:type="dxa"/>
            <w:vAlign w:val="center"/>
          </w:tcPr>
          <w:p w14:paraId="7914F8B6" w14:textId="77777777" w:rsidR="005342D5" w:rsidRPr="0019790A" w:rsidRDefault="005342D5" w:rsidP="0019790A">
            <w:pPr>
              <w:rPr>
                <w:rFonts w:cs="Arial"/>
                <w:b/>
                <w:szCs w:val="22"/>
              </w:rPr>
            </w:pPr>
            <w:r w:rsidRPr="0019790A">
              <w:rPr>
                <w:rFonts w:cs="Arial"/>
                <w:b/>
                <w:szCs w:val="22"/>
              </w:rPr>
              <w:t>Територія на яку проєкт матиме вплив:</w:t>
            </w:r>
          </w:p>
        </w:tc>
        <w:tc>
          <w:tcPr>
            <w:tcW w:w="6794" w:type="dxa"/>
            <w:gridSpan w:val="9"/>
            <w:vAlign w:val="center"/>
          </w:tcPr>
          <w:p w14:paraId="3496443F" w14:textId="77777777" w:rsidR="005342D5" w:rsidRPr="0019790A" w:rsidRDefault="005342D5" w:rsidP="006D54ED">
            <w:pPr>
              <w:tabs>
                <w:tab w:val="left" w:pos="148"/>
                <w:tab w:val="left" w:pos="369"/>
              </w:tabs>
              <w:jc w:val="both"/>
              <w:rPr>
                <w:rFonts w:cs="Arial"/>
                <w:szCs w:val="22"/>
              </w:rPr>
            </w:pPr>
            <w:r w:rsidRPr="0019790A">
              <w:rPr>
                <w:rFonts w:cs="Arial"/>
                <w:szCs w:val="22"/>
              </w:rPr>
              <w:t>Жмеринська міська територіальна громада</w:t>
            </w:r>
          </w:p>
        </w:tc>
      </w:tr>
      <w:tr w:rsidR="005342D5" w:rsidRPr="0019790A" w14:paraId="457AA847" w14:textId="77777777" w:rsidTr="006D54ED">
        <w:trPr>
          <w:jc w:val="right"/>
        </w:trPr>
        <w:tc>
          <w:tcPr>
            <w:tcW w:w="3425" w:type="dxa"/>
            <w:vAlign w:val="center"/>
          </w:tcPr>
          <w:p w14:paraId="3500132D" w14:textId="77777777" w:rsidR="005342D5" w:rsidRPr="0019790A" w:rsidRDefault="005342D5" w:rsidP="0019790A">
            <w:pPr>
              <w:rPr>
                <w:rFonts w:cs="Arial"/>
                <w:b/>
                <w:szCs w:val="22"/>
              </w:rPr>
            </w:pPr>
            <w:r w:rsidRPr="0019790A">
              <w:rPr>
                <w:rFonts w:cs="Arial"/>
                <w:b/>
                <w:szCs w:val="22"/>
              </w:rPr>
              <w:t>Цільові групи проєкту та кількість отримувачів вигоди</w:t>
            </w:r>
          </w:p>
        </w:tc>
        <w:tc>
          <w:tcPr>
            <w:tcW w:w="6794" w:type="dxa"/>
            <w:gridSpan w:val="9"/>
            <w:vAlign w:val="center"/>
          </w:tcPr>
          <w:p w14:paraId="5EEC8687" w14:textId="77777777" w:rsidR="005342D5" w:rsidRPr="0019790A" w:rsidRDefault="005342D5" w:rsidP="006D54ED">
            <w:pPr>
              <w:numPr>
                <w:ilvl w:val="0"/>
                <w:numId w:val="122"/>
              </w:numPr>
              <w:tabs>
                <w:tab w:val="left" w:pos="148"/>
                <w:tab w:val="left" w:pos="369"/>
              </w:tabs>
              <w:ind w:left="0" w:firstLine="0"/>
              <w:jc w:val="both"/>
              <w:rPr>
                <w:rFonts w:cs="Arial"/>
                <w:szCs w:val="22"/>
              </w:rPr>
            </w:pPr>
            <w:r w:rsidRPr="0019790A">
              <w:rPr>
                <w:rFonts w:cs="Arial"/>
                <w:szCs w:val="22"/>
              </w:rPr>
              <w:t>Молодь віком 14–25 років</w:t>
            </w:r>
          </w:p>
          <w:p w14:paraId="32F1D970" w14:textId="77777777" w:rsidR="005342D5" w:rsidRPr="0019790A" w:rsidRDefault="005342D5" w:rsidP="006D54ED">
            <w:pPr>
              <w:numPr>
                <w:ilvl w:val="0"/>
                <w:numId w:val="122"/>
              </w:numPr>
              <w:tabs>
                <w:tab w:val="left" w:pos="148"/>
                <w:tab w:val="left" w:pos="369"/>
              </w:tabs>
              <w:ind w:left="0" w:firstLine="0"/>
              <w:jc w:val="both"/>
              <w:rPr>
                <w:rFonts w:cs="Arial"/>
                <w:szCs w:val="22"/>
              </w:rPr>
            </w:pPr>
            <w:r w:rsidRPr="0019790A">
              <w:rPr>
                <w:rFonts w:cs="Arial"/>
                <w:szCs w:val="22"/>
              </w:rPr>
              <w:t>Учні старших класів, студенти</w:t>
            </w:r>
          </w:p>
          <w:p w14:paraId="032F62DA" w14:textId="77777777" w:rsidR="005342D5" w:rsidRPr="0019790A" w:rsidRDefault="005342D5" w:rsidP="006D54ED">
            <w:pPr>
              <w:numPr>
                <w:ilvl w:val="0"/>
                <w:numId w:val="122"/>
              </w:numPr>
              <w:tabs>
                <w:tab w:val="left" w:pos="148"/>
                <w:tab w:val="left" w:pos="369"/>
              </w:tabs>
              <w:ind w:left="0" w:firstLine="0"/>
              <w:jc w:val="both"/>
              <w:rPr>
                <w:rFonts w:cs="Arial"/>
                <w:szCs w:val="22"/>
              </w:rPr>
            </w:pPr>
            <w:r w:rsidRPr="0019790A">
              <w:rPr>
                <w:rFonts w:cs="Arial"/>
                <w:szCs w:val="22"/>
              </w:rPr>
              <w:t>Молоді активісти, учасники молодіжних ініціатив</w:t>
            </w:r>
          </w:p>
          <w:p w14:paraId="4BEFEB69" w14:textId="77777777" w:rsidR="005342D5" w:rsidRPr="0019790A" w:rsidRDefault="005342D5" w:rsidP="006D54ED">
            <w:pPr>
              <w:numPr>
                <w:ilvl w:val="0"/>
                <w:numId w:val="122"/>
              </w:numPr>
              <w:tabs>
                <w:tab w:val="left" w:pos="148"/>
                <w:tab w:val="left" w:pos="369"/>
              </w:tabs>
              <w:ind w:left="0" w:firstLine="0"/>
              <w:jc w:val="both"/>
              <w:rPr>
                <w:rFonts w:cs="Arial"/>
                <w:szCs w:val="22"/>
              </w:rPr>
            </w:pPr>
            <w:r w:rsidRPr="0019790A">
              <w:rPr>
                <w:rFonts w:cs="Arial"/>
                <w:szCs w:val="22"/>
              </w:rPr>
              <w:t>Молоді з вразливих категорій</w:t>
            </w:r>
          </w:p>
          <w:p w14:paraId="4E26E70C" w14:textId="77777777" w:rsidR="005342D5" w:rsidRPr="0019790A" w:rsidRDefault="005342D5" w:rsidP="006D54ED">
            <w:pPr>
              <w:tabs>
                <w:tab w:val="left" w:pos="148"/>
                <w:tab w:val="left" w:pos="369"/>
              </w:tabs>
              <w:jc w:val="both"/>
              <w:rPr>
                <w:rFonts w:cs="Arial"/>
                <w:szCs w:val="22"/>
              </w:rPr>
            </w:pPr>
            <w:r w:rsidRPr="0019790A">
              <w:rPr>
                <w:rFonts w:cs="Arial"/>
                <w:b/>
                <w:szCs w:val="22"/>
              </w:rPr>
              <w:t>Кількість отримувачів вигоди</w:t>
            </w:r>
            <w:r w:rsidRPr="0019790A">
              <w:rPr>
                <w:rFonts w:cs="Arial"/>
                <w:szCs w:val="22"/>
              </w:rPr>
              <w:t xml:space="preserve"> </w:t>
            </w:r>
            <w:r w:rsidRPr="0019790A">
              <w:rPr>
                <w:rFonts w:cs="Arial"/>
                <w:b/>
                <w:szCs w:val="22"/>
              </w:rPr>
              <w:t>4000 осіб.</w:t>
            </w:r>
          </w:p>
        </w:tc>
      </w:tr>
      <w:tr w:rsidR="005342D5" w:rsidRPr="0019790A" w14:paraId="7BDB680C" w14:textId="77777777" w:rsidTr="006D54ED">
        <w:trPr>
          <w:jc w:val="right"/>
        </w:trPr>
        <w:tc>
          <w:tcPr>
            <w:tcW w:w="3425" w:type="dxa"/>
            <w:shd w:val="clear" w:color="auto" w:fill="FFFFFF"/>
            <w:vAlign w:val="center"/>
          </w:tcPr>
          <w:p w14:paraId="0D967B5F" w14:textId="77777777" w:rsidR="005342D5" w:rsidRPr="0019790A" w:rsidRDefault="005342D5" w:rsidP="0019790A">
            <w:pPr>
              <w:rPr>
                <w:rFonts w:cs="Arial"/>
                <w:b/>
                <w:bCs/>
                <w:szCs w:val="22"/>
              </w:rPr>
            </w:pPr>
            <w:r w:rsidRPr="0019790A">
              <w:rPr>
                <w:rFonts w:cs="Arial"/>
                <w:b/>
                <w:bCs/>
                <w:szCs w:val="22"/>
              </w:rPr>
              <w:t>Стислий опис проєкту:</w:t>
            </w:r>
          </w:p>
        </w:tc>
        <w:tc>
          <w:tcPr>
            <w:tcW w:w="6794" w:type="dxa"/>
            <w:gridSpan w:val="9"/>
            <w:vAlign w:val="center"/>
          </w:tcPr>
          <w:p w14:paraId="61079B3D" w14:textId="77777777" w:rsidR="005342D5" w:rsidRPr="0019790A" w:rsidRDefault="005342D5" w:rsidP="006D54ED">
            <w:pPr>
              <w:tabs>
                <w:tab w:val="left" w:pos="148"/>
                <w:tab w:val="left" w:pos="369"/>
              </w:tabs>
              <w:jc w:val="both"/>
              <w:rPr>
                <w:rFonts w:cs="Arial"/>
                <w:szCs w:val="22"/>
              </w:rPr>
            </w:pPr>
            <w:r w:rsidRPr="0019790A">
              <w:rPr>
                <w:rFonts w:cs="Arial"/>
                <w:szCs w:val="22"/>
              </w:rPr>
              <w:t>Проєкт передбачає впровадження серії практичних заходів та тренінгів для молоді, спрямованих на підвищення рівня безпеки у повсякденному житті та надзвичайних ситуаціях. Учасники опанують навички першої допомоги, кризової комунікації, управління стресом, психологічної підтримки, дій під час обстрілів чи евакуацій. Проєкт передбачає взаємодію з ДСНС, медиками, психологами та представниками громадянського сектору.</w:t>
            </w:r>
          </w:p>
        </w:tc>
      </w:tr>
      <w:tr w:rsidR="005342D5" w:rsidRPr="0019790A" w14:paraId="59BA7809" w14:textId="77777777" w:rsidTr="006D54ED">
        <w:trPr>
          <w:jc w:val="right"/>
        </w:trPr>
        <w:tc>
          <w:tcPr>
            <w:tcW w:w="3425" w:type="dxa"/>
            <w:shd w:val="clear" w:color="auto" w:fill="FFFFFF"/>
            <w:vAlign w:val="center"/>
          </w:tcPr>
          <w:p w14:paraId="2B337BFD" w14:textId="77777777" w:rsidR="005342D5" w:rsidRPr="0019790A" w:rsidRDefault="005342D5" w:rsidP="0019790A">
            <w:pPr>
              <w:rPr>
                <w:rFonts w:cs="Arial"/>
                <w:b/>
                <w:bCs/>
                <w:szCs w:val="22"/>
              </w:rPr>
            </w:pPr>
            <w:r w:rsidRPr="0019790A">
              <w:rPr>
                <w:rFonts w:cs="Arial"/>
                <w:b/>
                <w:bCs/>
                <w:szCs w:val="22"/>
              </w:rPr>
              <w:t>Основні заходи проєкту:</w:t>
            </w:r>
          </w:p>
        </w:tc>
        <w:tc>
          <w:tcPr>
            <w:tcW w:w="6794" w:type="dxa"/>
            <w:gridSpan w:val="9"/>
            <w:vAlign w:val="center"/>
          </w:tcPr>
          <w:p w14:paraId="7128547A" w14:textId="77777777" w:rsidR="005342D5" w:rsidRPr="0019790A" w:rsidRDefault="005342D5" w:rsidP="006D54ED">
            <w:pPr>
              <w:numPr>
                <w:ilvl w:val="0"/>
                <w:numId w:val="124"/>
              </w:numPr>
              <w:tabs>
                <w:tab w:val="left" w:pos="148"/>
                <w:tab w:val="left" w:pos="369"/>
              </w:tabs>
              <w:ind w:left="0" w:firstLine="0"/>
              <w:jc w:val="both"/>
              <w:rPr>
                <w:rFonts w:cs="Arial"/>
                <w:szCs w:val="22"/>
              </w:rPr>
            </w:pPr>
            <w:r w:rsidRPr="0019790A">
              <w:rPr>
                <w:rFonts w:cs="Arial"/>
                <w:szCs w:val="22"/>
              </w:rPr>
              <w:t>Проведення тренінгів з першої домедичної допомоги</w:t>
            </w:r>
          </w:p>
          <w:p w14:paraId="333DB5AC" w14:textId="77777777" w:rsidR="005342D5" w:rsidRPr="0019790A" w:rsidRDefault="005342D5" w:rsidP="006D54ED">
            <w:pPr>
              <w:numPr>
                <w:ilvl w:val="0"/>
                <w:numId w:val="124"/>
              </w:numPr>
              <w:tabs>
                <w:tab w:val="left" w:pos="148"/>
                <w:tab w:val="left" w:pos="369"/>
              </w:tabs>
              <w:ind w:left="0" w:firstLine="0"/>
              <w:jc w:val="both"/>
              <w:rPr>
                <w:rFonts w:cs="Arial"/>
                <w:szCs w:val="22"/>
              </w:rPr>
            </w:pPr>
            <w:r w:rsidRPr="0019790A">
              <w:rPr>
                <w:rFonts w:cs="Arial"/>
                <w:szCs w:val="22"/>
              </w:rPr>
              <w:t>Майстер-класи з кризового реагування та управління стресом</w:t>
            </w:r>
          </w:p>
          <w:p w14:paraId="616F49F2" w14:textId="77777777" w:rsidR="005342D5" w:rsidRPr="0019790A" w:rsidRDefault="005342D5" w:rsidP="006D54ED">
            <w:pPr>
              <w:numPr>
                <w:ilvl w:val="0"/>
                <w:numId w:val="124"/>
              </w:numPr>
              <w:tabs>
                <w:tab w:val="left" w:pos="148"/>
                <w:tab w:val="left" w:pos="369"/>
              </w:tabs>
              <w:ind w:left="0" w:firstLine="0"/>
              <w:jc w:val="both"/>
              <w:rPr>
                <w:rFonts w:cs="Arial"/>
                <w:szCs w:val="22"/>
              </w:rPr>
            </w:pPr>
            <w:r w:rsidRPr="0019790A">
              <w:rPr>
                <w:rFonts w:cs="Arial"/>
                <w:szCs w:val="22"/>
              </w:rPr>
              <w:t>Психологічні сесії з фахівцями (індивідуальні та групові)</w:t>
            </w:r>
          </w:p>
          <w:p w14:paraId="0574A72E" w14:textId="77777777" w:rsidR="005342D5" w:rsidRPr="0019790A" w:rsidRDefault="005342D5" w:rsidP="006D54ED">
            <w:pPr>
              <w:numPr>
                <w:ilvl w:val="0"/>
                <w:numId w:val="124"/>
              </w:numPr>
              <w:tabs>
                <w:tab w:val="left" w:pos="148"/>
                <w:tab w:val="left" w:pos="369"/>
              </w:tabs>
              <w:ind w:left="0" w:firstLine="0"/>
              <w:jc w:val="both"/>
              <w:rPr>
                <w:rFonts w:cs="Arial"/>
                <w:szCs w:val="22"/>
              </w:rPr>
            </w:pPr>
            <w:r w:rsidRPr="0019790A">
              <w:rPr>
                <w:rFonts w:cs="Arial"/>
                <w:szCs w:val="22"/>
              </w:rPr>
              <w:t>Навчальні семінари з особистої та інформаційної безпеки</w:t>
            </w:r>
          </w:p>
          <w:p w14:paraId="673E3027" w14:textId="77777777" w:rsidR="005342D5" w:rsidRPr="0019790A" w:rsidRDefault="005342D5" w:rsidP="006D54ED">
            <w:pPr>
              <w:numPr>
                <w:ilvl w:val="0"/>
                <w:numId w:val="124"/>
              </w:numPr>
              <w:tabs>
                <w:tab w:val="left" w:pos="148"/>
                <w:tab w:val="left" w:pos="369"/>
              </w:tabs>
              <w:ind w:left="0" w:firstLine="0"/>
              <w:jc w:val="both"/>
              <w:rPr>
                <w:rFonts w:cs="Arial"/>
                <w:szCs w:val="22"/>
              </w:rPr>
            </w:pPr>
            <w:r w:rsidRPr="0019790A">
              <w:rPr>
                <w:rFonts w:cs="Arial"/>
                <w:szCs w:val="22"/>
              </w:rPr>
              <w:t>Проведення інформаційної кампанії серед молоді</w:t>
            </w:r>
          </w:p>
          <w:p w14:paraId="57CA3AF5" w14:textId="77777777" w:rsidR="005342D5" w:rsidRPr="0019790A" w:rsidRDefault="005342D5" w:rsidP="006D54ED">
            <w:pPr>
              <w:numPr>
                <w:ilvl w:val="0"/>
                <w:numId w:val="124"/>
              </w:numPr>
              <w:tabs>
                <w:tab w:val="left" w:pos="148"/>
                <w:tab w:val="left" w:pos="369"/>
              </w:tabs>
              <w:ind w:left="0" w:firstLine="0"/>
              <w:jc w:val="both"/>
              <w:rPr>
                <w:rFonts w:cs="Arial"/>
                <w:szCs w:val="22"/>
              </w:rPr>
            </w:pPr>
            <w:r w:rsidRPr="0019790A">
              <w:rPr>
                <w:rFonts w:cs="Arial"/>
                <w:szCs w:val="22"/>
              </w:rPr>
              <w:t>Симуляційні вправи (евакуація, укриття, пожежа тощо)</w:t>
            </w:r>
          </w:p>
          <w:p w14:paraId="0444AD56" w14:textId="77777777" w:rsidR="005342D5" w:rsidRPr="0019790A" w:rsidRDefault="005342D5" w:rsidP="006D54ED">
            <w:pPr>
              <w:numPr>
                <w:ilvl w:val="0"/>
                <w:numId w:val="124"/>
              </w:numPr>
              <w:tabs>
                <w:tab w:val="left" w:pos="148"/>
                <w:tab w:val="left" w:pos="369"/>
              </w:tabs>
              <w:ind w:left="0" w:firstLine="0"/>
              <w:jc w:val="both"/>
              <w:rPr>
                <w:rFonts w:cs="Arial"/>
                <w:szCs w:val="22"/>
              </w:rPr>
            </w:pPr>
            <w:r w:rsidRPr="0019790A">
              <w:rPr>
                <w:rFonts w:cs="Arial"/>
                <w:szCs w:val="22"/>
              </w:rPr>
              <w:t>Форум «Молодь. Стійкість. Безпека»</w:t>
            </w:r>
          </w:p>
        </w:tc>
      </w:tr>
      <w:tr w:rsidR="005342D5" w:rsidRPr="0019790A" w14:paraId="59CDEAC7" w14:textId="77777777" w:rsidTr="006D54ED">
        <w:trPr>
          <w:trHeight w:val="487"/>
          <w:jc w:val="right"/>
        </w:trPr>
        <w:tc>
          <w:tcPr>
            <w:tcW w:w="3425" w:type="dxa"/>
            <w:shd w:val="clear" w:color="auto" w:fill="FFFFFF"/>
            <w:vAlign w:val="center"/>
          </w:tcPr>
          <w:p w14:paraId="619BC929" w14:textId="77777777" w:rsidR="005342D5" w:rsidRPr="0019790A" w:rsidRDefault="005342D5" w:rsidP="0019790A">
            <w:pPr>
              <w:rPr>
                <w:rFonts w:cs="Arial"/>
                <w:b/>
                <w:bCs/>
                <w:szCs w:val="22"/>
              </w:rPr>
            </w:pPr>
            <w:r w:rsidRPr="0019790A">
              <w:rPr>
                <w:rFonts w:cs="Arial"/>
                <w:b/>
                <w:bCs/>
                <w:szCs w:val="22"/>
              </w:rPr>
              <w:t>Індикатори (показники) результативності:</w:t>
            </w:r>
          </w:p>
        </w:tc>
        <w:tc>
          <w:tcPr>
            <w:tcW w:w="6794" w:type="dxa"/>
            <w:gridSpan w:val="9"/>
            <w:vAlign w:val="center"/>
          </w:tcPr>
          <w:p w14:paraId="30810635" w14:textId="77777777" w:rsidR="005342D5" w:rsidRPr="0019790A" w:rsidRDefault="005342D5" w:rsidP="006D54ED">
            <w:pPr>
              <w:numPr>
                <w:ilvl w:val="0"/>
                <w:numId w:val="125"/>
              </w:numPr>
              <w:tabs>
                <w:tab w:val="left" w:pos="148"/>
                <w:tab w:val="left" w:pos="369"/>
              </w:tabs>
              <w:ind w:left="0" w:firstLine="0"/>
              <w:jc w:val="both"/>
              <w:rPr>
                <w:rFonts w:cs="Arial"/>
                <w:szCs w:val="22"/>
              </w:rPr>
            </w:pPr>
            <w:r w:rsidRPr="0019790A">
              <w:rPr>
                <w:rFonts w:cs="Arial"/>
                <w:szCs w:val="22"/>
              </w:rPr>
              <w:t>Залучено не менше 300 учасників до очних заходів на рік</w:t>
            </w:r>
          </w:p>
          <w:p w14:paraId="60D7F0B3" w14:textId="77777777" w:rsidR="005342D5" w:rsidRPr="0019790A" w:rsidRDefault="005342D5" w:rsidP="006D54ED">
            <w:pPr>
              <w:numPr>
                <w:ilvl w:val="0"/>
                <w:numId w:val="125"/>
              </w:numPr>
              <w:tabs>
                <w:tab w:val="left" w:pos="148"/>
                <w:tab w:val="left" w:pos="369"/>
              </w:tabs>
              <w:ind w:left="0" w:firstLine="0"/>
              <w:jc w:val="both"/>
              <w:rPr>
                <w:rFonts w:cs="Arial"/>
                <w:szCs w:val="22"/>
              </w:rPr>
            </w:pPr>
            <w:r w:rsidRPr="0019790A">
              <w:rPr>
                <w:rFonts w:cs="Arial"/>
                <w:szCs w:val="22"/>
              </w:rPr>
              <w:t>Проведено щонайменше 10 тренінгів і майстер-класів на рік</w:t>
            </w:r>
          </w:p>
          <w:p w14:paraId="5739EDE0" w14:textId="77777777" w:rsidR="005342D5" w:rsidRPr="0019790A" w:rsidRDefault="005342D5" w:rsidP="006D54ED">
            <w:pPr>
              <w:numPr>
                <w:ilvl w:val="0"/>
                <w:numId w:val="125"/>
              </w:numPr>
              <w:tabs>
                <w:tab w:val="left" w:pos="148"/>
                <w:tab w:val="left" w:pos="369"/>
              </w:tabs>
              <w:ind w:left="0" w:firstLine="0"/>
              <w:jc w:val="both"/>
              <w:rPr>
                <w:rFonts w:cs="Arial"/>
                <w:szCs w:val="22"/>
              </w:rPr>
            </w:pPr>
            <w:r w:rsidRPr="0019790A">
              <w:rPr>
                <w:rFonts w:cs="Arial"/>
                <w:szCs w:val="22"/>
              </w:rPr>
              <w:t>Створено онлайн-ресурс для молоді з теми безпеки</w:t>
            </w:r>
          </w:p>
          <w:p w14:paraId="646784F6" w14:textId="77777777" w:rsidR="005342D5" w:rsidRPr="0019790A" w:rsidRDefault="005342D5" w:rsidP="006D54ED">
            <w:pPr>
              <w:numPr>
                <w:ilvl w:val="0"/>
                <w:numId w:val="125"/>
              </w:numPr>
              <w:tabs>
                <w:tab w:val="left" w:pos="148"/>
                <w:tab w:val="left" w:pos="369"/>
              </w:tabs>
              <w:ind w:left="0" w:firstLine="0"/>
              <w:jc w:val="both"/>
              <w:rPr>
                <w:rFonts w:cs="Arial"/>
                <w:szCs w:val="22"/>
              </w:rPr>
            </w:pPr>
            <w:r w:rsidRPr="0019790A">
              <w:rPr>
                <w:rFonts w:cs="Arial"/>
                <w:szCs w:val="22"/>
              </w:rPr>
              <w:t>Проведено щонайменше 2 симуляційні навчання на рік</w:t>
            </w:r>
          </w:p>
          <w:p w14:paraId="7264C25B" w14:textId="77777777" w:rsidR="005342D5" w:rsidRPr="0019790A" w:rsidRDefault="005342D5" w:rsidP="006D54ED">
            <w:pPr>
              <w:numPr>
                <w:ilvl w:val="0"/>
                <w:numId w:val="125"/>
              </w:numPr>
              <w:tabs>
                <w:tab w:val="left" w:pos="148"/>
                <w:tab w:val="left" w:pos="369"/>
              </w:tabs>
              <w:ind w:left="0" w:firstLine="0"/>
              <w:jc w:val="both"/>
              <w:rPr>
                <w:rFonts w:cs="Arial"/>
                <w:szCs w:val="22"/>
              </w:rPr>
            </w:pPr>
            <w:r w:rsidRPr="0019790A">
              <w:rPr>
                <w:rFonts w:cs="Arial"/>
                <w:szCs w:val="22"/>
              </w:rPr>
              <w:t>80% учасників демонструють підвищення знань у тематиці безпеки</w:t>
            </w:r>
          </w:p>
          <w:p w14:paraId="1E8119F7" w14:textId="77777777" w:rsidR="005342D5" w:rsidRPr="0019790A" w:rsidRDefault="005342D5" w:rsidP="006D54ED">
            <w:pPr>
              <w:numPr>
                <w:ilvl w:val="0"/>
                <w:numId w:val="125"/>
              </w:numPr>
              <w:tabs>
                <w:tab w:val="left" w:pos="148"/>
                <w:tab w:val="left" w:pos="369"/>
              </w:tabs>
              <w:ind w:left="0" w:firstLine="0"/>
              <w:jc w:val="both"/>
              <w:rPr>
                <w:rFonts w:cs="Arial"/>
                <w:szCs w:val="22"/>
              </w:rPr>
            </w:pPr>
            <w:r w:rsidRPr="0019790A">
              <w:rPr>
                <w:rFonts w:cs="Arial"/>
                <w:szCs w:val="22"/>
              </w:rPr>
              <w:t>Залучено щонайменше 5 фахівців-практиків (ДСНС, медики, психологи) на рік</w:t>
            </w:r>
          </w:p>
        </w:tc>
      </w:tr>
      <w:tr w:rsidR="005342D5" w:rsidRPr="0019790A" w14:paraId="6C0A735D" w14:textId="77777777" w:rsidTr="006D54ED">
        <w:trPr>
          <w:jc w:val="right"/>
        </w:trPr>
        <w:tc>
          <w:tcPr>
            <w:tcW w:w="3425" w:type="dxa"/>
            <w:shd w:val="clear" w:color="auto" w:fill="FFFFFF"/>
            <w:vAlign w:val="center"/>
          </w:tcPr>
          <w:p w14:paraId="4BB4AA29" w14:textId="77777777" w:rsidR="005342D5" w:rsidRPr="0019790A" w:rsidRDefault="005342D5" w:rsidP="0019790A">
            <w:pPr>
              <w:rPr>
                <w:rFonts w:cs="Arial"/>
                <w:b/>
                <w:szCs w:val="22"/>
              </w:rPr>
            </w:pPr>
            <w:r w:rsidRPr="0019790A">
              <w:rPr>
                <w:rFonts w:cs="Arial"/>
                <w:b/>
                <w:szCs w:val="22"/>
              </w:rPr>
              <w:t xml:space="preserve">Період здійснення: </w:t>
            </w:r>
          </w:p>
        </w:tc>
        <w:tc>
          <w:tcPr>
            <w:tcW w:w="6794" w:type="dxa"/>
            <w:gridSpan w:val="9"/>
            <w:vAlign w:val="center"/>
          </w:tcPr>
          <w:p w14:paraId="6CF0C6E0" w14:textId="77777777" w:rsidR="005342D5" w:rsidRPr="0019790A" w:rsidRDefault="005342D5" w:rsidP="006D54ED">
            <w:pPr>
              <w:tabs>
                <w:tab w:val="left" w:pos="148"/>
                <w:tab w:val="left" w:pos="369"/>
              </w:tabs>
              <w:rPr>
                <w:rFonts w:cs="Arial"/>
                <w:szCs w:val="22"/>
              </w:rPr>
            </w:pPr>
            <w:r w:rsidRPr="0019790A">
              <w:rPr>
                <w:rFonts w:cs="Arial"/>
                <w:b/>
                <w:szCs w:val="22"/>
              </w:rPr>
              <w:t>2025 – 2028 роки:</w:t>
            </w:r>
          </w:p>
        </w:tc>
      </w:tr>
      <w:tr w:rsidR="005342D5" w:rsidRPr="0019790A" w14:paraId="6F9678FC" w14:textId="77777777" w:rsidTr="006D54ED">
        <w:trPr>
          <w:jc w:val="right"/>
        </w:trPr>
        <w:tc>
          <w:tcPr>
            <w:tcW w:w="3425" w:type="dxa"/>
            <w:vMerge w:val="restart"/>
            <w:shd w:val="clear" w:color="auto" w:fill="FFFFFF"/>
            <w:vAlign w:val="center"/>
          </w:tcPr>
          <w:p w14:paraId="67F89784" w14:textId="77777777" w:rsidR="005342D5" w:rsidRPr="0019790A" w:rsidRDefault="005342D5" w:rsidP="0019790A">
            <w:pPr>
              <w:rPr>
                <w:rFonts w:cs="Arial"/>
                <w:b/>
                <w:bCs/>
                <w:szCs w:val="22"/>
              </w:rPr>
            </w:pPr>
            <w:r w:rsidRPr="0019790A">
              <w:rPr>
                <w:rFonts w:cs="Arial"/>
                <w:b/>
                <w:bCs/>
                <w:szCs w:val="22"/>
              </w:rPr>
              <w:t>Орієнтовна вартість проєкту, тис. грн., в тому числі:</w:t>
            </w:r>
          </w:p>
        </w:tc>
        <w:tc>
          <w:tcPr>
            <w:tcW w:w="1254" w:type="dxa"/>
            <w:shd w:val="clear" w:color="auto" w:fill="E6E6E6"/>
            <w:vAlign w:val="center"/>
          </w:tcPr>
          <w:p w14:paraId="46D98FF9" w14:textId="77777777" w:rsidR="005342D5" w:rsidRPr="0019790A" w:rsidRDefault="005342D5" w:rsidP="006D54ED">
            <w:pPr>
              <w:tabs>
                <w:tab w:val="left" w:pos="148"/>
                <w:tab w:val="left" w:pos="369"/>
              </w:tabs>
              <w:jc w:val="center"/>
              <w:rPr>
                <w:rFonts w:cs="Arial"/>
                <w:b/>
                <w:szCs w:val="22"/>
              </w:rPr>
            </w:pPr>
            <w:r w:rsidRPr="0019790A">
              <w:rPr>
                <w:rFonts w:cs="Arial"/>
                <w:b/>
                <w:szCs w:val="22"/>
              </w:rPr>
              <w:t>2025</w:t>
            </w:r>
          </w:p>
        </w:tc>
        <w:tc>
          <w:tcPr>
            <w:tcW w:w="1275" w:type="dxa"/>
            <w:gridSpan w:val="2"/>
            <w:shd w:val="clear" w:color="auto" w:fill="E6E6E6"/>
            <w:vAlign w:val="center"/>
          </w:tcPr>
          <w:p w14:paraId="23752850" w14:textId="77777777" w:rsidR="005342D5" w:rsidRPr="0019790A" w:rsidRDefault="005342D5" w:rsidP="006D54ED">
            <w:pPr>
              <w:tabs>
                <w:tab w:val="left" w:pos="148"/>
                <w:tab w:val="left" w:pos="369"/>
              </w:tabs>
              <w:jc w:val="center"/>
              <w:rPr>
                <w:rFonts w:cs="Arial"/>
                <w:b/>
                <w:szCs w:val="22"/>
              </w:rPr>
            </w:pPr>
            <w:r w:rsidRPr="0019790A">
              <w:rPr>
                <w:rFonts w:cs="Arial"/>
                <w:b/>
                <w:szCs w:val="22"/>
              </w:rPr>
              <w:t>2026</w:t>
            </w:r>
          </w:p>
        </w:tc>
        <w:tc>
          <w:tcPr>
            <w:tcW w:w="1418" w:type="dxa"/>
            <w:gridSpan w:val="2"/>
            <w:tcBorders>
              <w:bottom w:val="single" w:sz="4" w:space="0" w:color="auto"/>
            </w:tcBorders>
            <w:shd w:val="clear" w:color="auto" w:fill="E6E6E6"/>
            <w:vAlign w:val="center"/>
          </w:tcPr>
          <w:p w14:paraId="60984B45" w14:textId="77777777" w:rsidR="005342D5" w:rsidRPr="0019790A" w:rsidRDefault="005342D5" w:rsidP="006D54ED">
            <w:pPr>
              <w:tabs>
                <w:tab w:val="left" w:pos="148"/>
                <w:tab w:val="left" w:pos="369"/>
              </w:tabs>
              <w:jc w:val="center"/>
              <w:rPr>
                <w:rFonts w:cs="Arial"/>
                <w:b/>
                <w:szCs w:val="22"/>
              </w:rPr>
            </w:pPr>
            <w:r w:rsidRPr="0019790A">
              <w:rPr>
                <w:rFonts w:cs="Arial"/>
                <w:b/>
                <w:szCs w:val="22"/>
              </w:rPr>
              <w:t>2027</w:t>
            </w:r>
          </w:p>
        </w:tc>
        <w:tc>
          <w:tcPr>
            <w:tcW w:w="1276" w:type="dxa"/>
            <w:gridSpan w:val="2"/>
            <w:shd w:val="clear" w:color="auto" w:fill="E6E6E6"/>
            <w:vAlign w:val="center"/>
          </w:tcPr>
          <w:p w14:paraId="4D8C7779" w14:textId="77777777" w:rsidR="005342D5" w:rsidRPr="0019790A" w:rsidRDefault="005342D5" w:rsidP="006D54ED">
            <w:pPr>
              <w:tabs>
                <w:tab w:val="left" w:pos="148"/>
                <w:tab w:val="left" w:pos="369"/>
              </w:tabs>
              <w:jc w:val="center"/>
              <w:rPr>
                <w:rFonts w:cs="Arial"/>
                <w:b/>
                <w:szCs w:val="22"/>
              </w:rPr>
            </w:pPr>
            <w:r w:rsidRPr="0019790A">
              <w:rPr>
                <w:rFonts w:cs="Arial"/>
                <w:b/>
                <w:szCs w:val="22"/>
              </w:rPr>
              <w:t>2028</w:t>
            </w:r>
          </w:p>
        </w:tc>
        <w:tc>
          <w:tcPr>
            <w:tcW w:w="1571" w:type="dxa"/>
            <w:gridSpan w:val="2"/>
            <w:shd w:val="clear" w:color="auto" w:fill="E6E6E6"/>
            <w:vAlign w:val="center"/>
          </w:tcPr>
          <w:p w14:paraId="20D03BE5" w14:textId="77777777" w:rsidR="005342D5" w:rsidRPr="0019790A" w:rsidRDefault="005342D5" w:rsidP="006D54ED">
            <w:pPr>
              <w:tabs>
                <w:tab w:val="left" w:pos="148"/>
                <w:tab w:val="left" w:pos="369"/>
              </w:tabs>
              <w:jc w:val="center"/>
              <w:rPr>
                <w:rFonts w:cs="Arial"/>
                <w:b/>
                <w:szCs w:val="22"/>
              </w:rPr>
            </w:pPr>
            <w:r w:rsidRPr="0019790A">
              <w:rPr>
                <w:rFonts w:cs="Arial"/>
                <w:b/>
                <w:szCs w:val="22"/>
              </w:rPr>
              <w:t>РАЗОМ</w:t>
            </w:r>
          </w:p>
        </w:tc>
      </w:tr>
      <w:tr w:rsidR="005342D5" w:rsidRPr="0019790A" w14:paraId="47D97F40" w14:textId="77777777" w:rsidTr="006D54ED">
        <w:trPr>
          <w:jc w:val="right"/>
        </w:trPr>
        <w:tc>
          <w:tcPr>
            <w:tcW w:w="3425" w:type="dxa"/>
            <w:vMerge/>
            <w:shd w:val="clear" w:color="auto" w:fill="FFFFFF"/>
            <w:vAlign w:val="center"/>
          </w:tcPr>
          <w:p w14:paraId="7AAC4F9C" w14:textId="77777777" w:rsidR="005342D5" w:rsidRPr="0019790A" w:rsidRDefault="005342D5" w:rsidP="0019790A">
            <w:pPr>
              <w:rPr>
                <w:rFonts w:cs="Arial"/>
                <w:b/>
                <w:bCs/>
                <w:szCs w:val="22"/>
              </w:rPr>
            </w:pPr>
          </w:p>
        </w:tc>
        <w:tc>
          <w:tcPr>
            <w:tcW w:w="1254" w:type="dxa"/>
            <w:vAlign w:val="center"/>
          </w:tcPr>
          <w:p w14:paraId="3F76FB73" w14:textId="77777777" w:rsidR="005342D5" w:rsidRPr="0019790A" w:rsidRDefault="005342D5" w:rsidP="006D54ED">
            <w:pPr>
              <w:tabs>
                <w:tab w:val="left" w:pos="148"/>
                <w:tab w:val="left" w:pos="369"/>
              </w:tabs>
              <w:jc w:val="center"/>
              <w:rPr>
                <w:rFonts w:cs="Arial"/>
                <w:b/>
                <w:szCs w:val="22"/>
              </w:rPr>
            </w:pPr>
          </w:p>
        </w:tc>
        <w:tc>
          <w:tcPr>
            <w:tcW w:w="1275" w:type="dxa"/>
            <w:gridSpan w:val="2"/>
            <w:shd w:val="clear" w:color="auto" w:fill="FFFFFF"/>
            <w:vAlign w:val="center"/>
          </w:tcPr>
          <w:p w14:paraId="52993448" w14:textId="77777777" w:rsidR="005342D5" w:rsidRPr="0019790A" w:rsidRDefault="005342D5" w:rsidP="006D54ED">
            <w:pPr>
              <w:tabs>
                <w:tab w:val="left" w:pos="148"/>
                <w:tab w:val="left" w:pos="369"/>
              </w:tabs>
              <w:jc w:val="center"/>
              <w:rPr>
                <w:rFonts w:cs="Arial"/>
                <w:b/>
                <w:szCs w:val="22"/>
              </w:rPr>
            </w:pPr>
            <w:r w:rsidRPr="0019790A">
              <w:rPr>
                <w:rFonts w:cs="Arial"/>
                <w:b/>
                <w:szCs w:val="22"/>
              </w:rPr>
              <w:t>200,0</w:t>
            </w:r>
          </w:p>
        </w:tc>
        <w:tc>
          <w:tcPr>
            <w:tcW w:w="1418" w:type="dxa"/>
            <w:gridSpan w:val="2"/>
            <w:shd w:val="clear" w:color="auto" w:fill="auto"/>
            <w:vAlign w:val="center"/>
          </w:tcPr>
          <w:p w14:paraId="5A778F43" w14:textId="77777777" w:rsidR="005342D5" w:rsidRPr="0019790A" w:rsidRDefault="005342D5" w:rsidP="006D54ED">
            <w:pPr>
              <w:tabs>
                <w:tab w:val="left" w:pos="148"/>
                <w:tab w:val="left" w:pos="369"/>
              </w:tabs>
              <w:jc w:val="center"/>
              <w:rPr>
                <w:rFonts w:cs="Arial"/>
                <w:b/>
                <w:szCs w:val="22"/>
              </w:rPr>
            </w:pPr>
            <w:r w:rsidRPr="0019790A">
              <w:rPr>
                <w:rFonts w:cs="Arial"/>
                <w:b/>
                <w:szCs w:val="22"/>
              </w:rPr>
              <w:t>200,0</w:t>
            </w:r>
          </w:p>
        </w:tc>
        <w:tc>
          <w:tcPr>
            <w:tcW w:w="1276" w:type="dxa"/>
            <w:gridSpan w:val="2"/>
            <w:shd w:val="clear" w:color="auto" w:fill="FFFFFF"/>
            <w:vAlign w:val="center"/>
          </w:tcPr>
          <w:p w14:paraId="37BFE6C4" w14:textId="77777777" w:rsidR="005342D5" w:rsidRPr="0019790A" w:rsidRDefault="005342D5" w:rsidP="006D54ED">
            <w:pPr>
              <w:tabs>
                <w:tab w:val="left" w:pos="148"/>
                <w:tab w:val="left" w:pos="369"/>
              </w:tabs>
              <w:jc w:val="center"/>
              <w:rPr>
                <w:rFonts w:cs="Arial"/>
                <w:b/>
                <w:szCs w:val="22"/>
              </w:rPr>
            </w:pPr>
            <w:r w:rsidRPr="0019790A">
              <w:rPr>
                <w:rFonts w:cs="Arial"/>
                <w:b/>
                <w:szCs w:val="22"/>
              </w:rPr>
              <w:t>200,0</w:t>
            </w:r>
          </w:p>
        </w:tc>
        <w:tc>
          <w:tcPr>
            <w:tcW w:w="1571" w:type="dxa"/>
            <w:gridSpan w:val="2"/>
            <w:shd w:val="clear" w:color="auto" w:fill="FFFFFF"/>
            <w:vAlign w:val="center"/>
          </w:tcPr>
          <w:p w14:paraId="5804B67B" w14:textId="77777777" w:rsidR="005342D5" w:rsidRPr="0019790A" w:rsidRDefault="005342D5" w:rsidP="006D54ED">
            <w:pPr>
              <w:tabs>
                <w:tab w:val="left" w:pos="148"/>
                <w:tab w:val="left" w:pos="369"/>
              </w:tabs>
              <w:jc w:val="center"/>
              <w:rPr>
                <w:rFonts w:cs="Arial"/>
                <w:b/>
                <w:szCs w:val="22"/>
              </w:rPr>
            </w:pPr>
            <w:r w:rsidRPr="0019790A">
              <w:rPr>
                <w:rFonts w:cs="Arial"/>
                <w:b/>
                <w:szCs w:val="22"/>
              </w:rPr>
              <w:t>600,0</w:t>
            </w:r>
          </w:p>
        </w:tc>
      </w:tr>
      <w:tr w:rsidR="005342D5" w:rsidRPr="0019790A" w14:paraId="1E564F35" w14:textId="77777777" w:rsidTr="006D54ED">
        <w:trPr>
          <w:trHeight w:val="276"/>
          <w:jc w:val="right"/>
        </w:trPr>
        <w:tc>
          <w:tcPr>
            <w:tcW w:w="3425" w:type="dxa"/>
            <w:shd w:val="clear" w:color="auto" w:fill="FFFFFF"/>
            <w:vAlign w:val="center"/>
          </w:tcPr>
          <w:p w14:paraId="7DF389AC" w14:textId="77777777" w:rsidR="005342D5" w:rsidRPr="0019790A" w:rsidRDefault="005342D5" w:rsidP="0019790A">
            <w:pPr>
              <w:rPr>
                <w:rFonts w:cs="Arial"/>
                <w:b/>
                <w:bCs/>
                <w:szCs w:val="22"/>
              </w:rPr>
            </w:pPr>
            <w:r w:rsidRPr="0019790A">
              <w:rPr>
                <w:rFonts w:cs="Arial"/>
                <w:b/>
                <w:bCs/>
                <w:szCs w:val="22"/>
              </w:rPr>
              <w:t>по джерелах фінансування:</w:t>
            </w:r>
          </w:p>
        </w:tc>
        <w:tc>
          <w:tcPr>
            <w:tcW w:w="6794" w:type="dxa"/>
            <w:gridSpan w:val="9"/>
            <w:vAlign w:val="center"/>
          </w:tcPr>
          <w:p w14:paraId="02F57A02" w14:textId="77777777" w:rsidR="005342D5" w:rsidRPr="0019790A" w:rsidRDefault="005342D5" w:rsidP="006D54ED">
            <w:pPr>
              <w:tabs>
                <w:tab w:val="left" w:pos="148"/>
                <w:tab w:val="left" w:pos="369"/>
              </w:tabs>
              <w:jc w:val="center"/>
              <w:rPr>
                <w:rFonts w:cs="Arial"/>
                <w:szCs w:val="22"/>
              </w:rPr>
            </w:pPr>
          </w:p>
        </w:tc>
      </w:tr>
      <w:tr w:rsidR="006D54ED" w:rsidRPr="0019790A" w14:paraId="0E7766CE" w14:textId="727DD98A" w:rsidTr="006D54ED">
        <w:trPr>
          <w:trHeight w:val="240"/>
          <w:jc w:val="right"/>
        </w:trPr>
        <w:tc>
          <w:tcPr>
            <w:tcW w:w="3425" w:type="dxa"/>
            <w:shd w:val="clear" w:color="auto" w:fill="FFFFFF"/>
            <w:vAlign w:val="center"/>
          </w:tcPr>
          <w:p w14:paraId="70296BBC" w14:textId="77777777" w:rsidR="006D54ED" w:rsidRPr="0019790A" w:rsidRDefault="006D54ED" w:rsidP="0019790A">
            <w:pPr>
              <w:rPr>
                <w:rFonts w:cs="Arial"/>
                <w:b/>
                <w:bCs/>
                <w:szCs w:val="22"/>
              </w:rPr>
            </w:pPr>
            <w:r w:rsidRPr="0019790A">
              <w:rPr>
                <w:rFonts w:cs="Arial"/>
                <w:szCs w:val="22"/>
              </w:rPr>
              <w:t>- державний бюджет</w:t>
            </w:r>
          </w:p>
        </w:tc>
        <w:tc>
          <w:tcPr>
            <w:tcW w:w="1267" w:type="dxa"/>
            <w:gridSpan w:val="2"/>
            <w:vAlign w:val="center"/>
          </w:tcPr>
          <w:p w14:paraId="00170715" w14:textId="77777777" w:rsidR="006D54ED" w:rsidRPr="0019790A" w:rsidRDefault="006D54ED" w:rsidP="006D54ED">
            <w:pPr>
              <w:tabs>
                <w:tab w:val="left" w:pos="148"/>
                <w:tab w:val="left" w:pos="369"/>
              </w:tabs>
              <w:jc w:val="center"/>
              <w:rPr>
                <w:rFonts w:cs="Arial"/>
                <w:szCs w:val="22"/>
              </w:rPr>
            </w:pPr>
          </w:p>
        </w:tc>
        <w:tc>
          <w:tcPr>
            <w:tcW w:w="1286" w:type="dxa"/>
            <w:gridSpan w:val="2"/>
            <w:vAlign w:val="center"/>
          </w:tcPr>
          <w:p w14:paraId="248173F8" w14:textId="77777777" w:rsidR="006D54ED" w:rsidRPr="0019790A" w:rsidRDefault="006D54ED" w:rsidP="006D54ED">
            <w:pPr>
              <w:tabs>
                <w:tab w:val="left" w:pos="148"/>
                <w:tab w:val="left" w:pos="369"/>
              </w:tabs>
              <w:jc w:val="center"/>
              <w:rPr>
                <w:rFonts w:cs="Arial"/>
                <w:szCs w:val="22"/>
              </w:rPr>
            </w:pPr>
          </w:p>
        </w:tc>
        <w:tc>
          <w:tcPr>
            <w:tcW w:w="1402" w:type="dxa"/>
            <w:gridSpan w:val="2"/>
            <w:vAlign w:val="center"/>
          </w:tcPr>
          <w:p w14:paraId="6ECF3B13" w14:textId="77777777" w:rsidR="006D54ED" w:rsidRPr="0019790A" w:rsidRDefault="006D54ED" w:rsidP="006D54ED">
            <w:pPr>
              <w:tabs>
                <w:tab w:val="left" w:pos="148"/>
                <w:tab w:val="left" w:pos="369"/>
              </w:tabs>
              <w:jc w:val="center"/>
              <w:rPr>
                <w:rFonts w:cs="Arial"/>
                <w:szCs w:val="22"/>
              </w:rPr>
            </w:pPr>
          </w:p>
        </w:tc>
        <w:tc>
          <w:tcPr>
            <w:tcW w:w="1277" w:type="dxa"/>
            <w:gridSpan w:val="2"/>
            <w:vAlign w:val="center"/>
          </w:tcPr>
          <w:p w14:paraId="13DB135C" w14:textId="77777777" w:rsidR="006D54ED" w:rsidRPr="0019790A" w:rsidRDefault="006D54ED" w:rsidP="006D54ED">
            <w:pPr>
              <w:tabs>
                <w:tab w:val="left" w:pos="148"/>
                <w:tab w:val="left" w:pos="369"/>
              </w:tabs>
              <w:jc w:val="center"/>
              <w:rPr>
                <w:rFonts w:cs="Arial"/>
                <w:szCs w:val="22"/>
              </w:rPr>
            </w:pPr>
          </w:p>
        </w:tc>
        <w:tc>
          <w:tcPr>
            <w:tcW w:w="1562" w:type="dxa"/>
            <w:vAlign w:val="center"/>
          </w:tcPr>
          <w:p w14:paraId="610F825C" w14:textId="77777777" w:rsidR="006D54ED" w:rsidRPr="0019790A" w:rsidRDefault="006D54ED" w:rsidP="006D54ED">
            <w:pPr>
              <w:tabs>
                <w:tab w:val="left" w:pos="148"/>
                <w:tab w:val="left" w:pos="369"/>
              </w:tabs>
              <w:jc w:val="center"/>
              <w:rPr>
                <w:rFonts w:cs="Arial"/>
                <w:szCs w:val="22"/>
              </w:rPr>
            </w:pPr>
          </w:p>
        </w:tc>
      </w:tr>
      <w:tr w:rsidR="006D54ED" w:rsidRPr="0019790A" w14:paraId="23BF6FDC" w14:textId="5BD3809E" w:rsidTr="006D54ED">
        <w:trPr>
          <w:trHeight w:val="287"/>
          <w:jc w:val="right"/>
        </w:trPr>
        <w:tc>
          <w:tcPr>
            <w:tcW w:w="3425" w:type="dxa"/>
            <w:shd w:val="clear" w:color="auto" w:fill="FFFFFF"/>
            <w:vAlign w:val="center"/>
          </w:tcPr>
          <w:p w14:paraId="15AFACD4" w14:textId="77777777" w:rsidR="006D54ED" w:rsidRPr="0019790A" w:rsidRDefault="006D54ED" w:rsidP="0019790A">
            <w:pPr>
              <w:rPr>
                <w:rFonts w:cs="Arial"/>
                <w:szCs w:val="22"/>
              </w:rPr>
            </w:pPr>
            <w:r w:rsidRPr="0019790A">
              <w:rPr>
                <w:rFonts w:cs="Arial"/>
                <w:szCs w:val="22"/>
              </w:rPr>
              <w:t>- обласний бюджет</w:t>
            </w:r>
          </w:p>
        </w:tc>
        <w:tc>
          <w:tcPr>
            <w:tcW w:w="1267" w:type="dxa"/>
            <w:gridSpan w:val="2"/>
            <w:vAlign w:val="center"/>
          </w:tcPr>
          <w:p w14:paraId="0F8606CC" w14:textId="77777777" w:rsidR="006D54ED" w:rsidRPr="0019790A" w:rsidRDefault="006D54ED" w:rsidP="006D54ED">
            <w:pPr>
              <w:tabs>
                <w:tab w:val="left" w:pos="148"/>
                <w:tab w:val="left" w:pos="369"/>
              </w:tabs>
              <w:jc w:val="center"/>
              <w:rPr>
                <w:rFonts w:cs="Arial"/>
                <w:szCs w:val="22"/>
              </w:rPr>
            </w:pPr>
          </w:p>
        </w:tc>
        <w:tc>
          <w:tcPr>
            <w:tcW w:w="1286" w:type="dxa"/>
            <w:gridSpan w:val="2"/>
            <w:vAlign w:val="center"/>
          </w:tcPr>
          <w:p w14:paraId="4A34CC0E" w14:textId="77777777" w:rsidR="006D54ED" w:rsidRPr="0019790A" w:rsidRDefault="006D54ED" w:rsidP="006D54ED">
            <w:pPr>
              <w:tabs>
                <w:tab w:val="left" w:pos="148"/>
                <w:tab w:val="left" w:pos="369"/>
              </w:tabs>
              <w:jc w:val="center"/>
              <w:rPr>
                <w:rFonts w:cs="Arial"/>
                <w:szCs w:val="22"/>
              </w:rPr>
            </w:pPr>
          </w:p>
        </w:tc>
        <w:tc>
          <w:tcPr>
            <w:tcW w:w="1402" w:type="dxa"/>
            <w:gridSpan w:val="2"/>
            <w:vAlign w:val="center"/>
          </w:tcPr>
          <w:p w14:paraId="0F7AD3DD" w14:textId="77777777" w:rsidR="006D54ED" w:rsidRPr="0019790A" w:rsidRDefault="006D54ED" w:rsidP="006D54ED">
            <w:pPr>
              <w:tabs>
                <w:tab w:val="left" w:pos="148"/>
                <w:tab w:val="left" w:pos="369"/>
              </w:tabs>
              <w:jc w:val="center"/>
              <w:rPr>
                <w:rFonts w:cs="Arial"/>
                <w:szCs w:val="22"/>
              </w:rPr>
            </w:pPr>
          </w:p>
        </w:tc>
        <w:tc>
          <w:tcPr>
            <w:tcW w:w="1277" w:type="dxa"/>
            <w:gridSpan w:val="2"/>
            <w:vAlign w:val="center"/>
          </w:tcPr>
          <w:p w14:paraId="1E9F0943" w14:textId="77777777" w:rsidR="006D54ED" w:rsidRPr="0019790A" w:rsidRDefault="006D54ED" w:rsidP="006D54ED">
            <w:pPr>
              <w:tabs>
                <w:tab w:val="left" w:pos="148"/>
                <w:tab w:val="left" w:pos="369"/>
              </w:tabs>
              <w:jc w:val="center"/>
              <w:rPr>
                <w:rFonts w:cs="Arial"/>
                <w:szCs w:val="22"/>
              </w:rPr>
            </w:pPr>
          </w:p>
        </w:tc>
        <w:tc>
          <w:tcPr>
            <w:tcW w:w="1562" w:type="dxa"/>
            <w:vAlign w:val="center"/>
          </w:tcPr>
          <w:p w14:paraId="5BFA1F4A" w14:textId="77777777" w:rsidR="006D54ED" w:rsidRPr="0019790A" w:rsidRDefault="006D54ED" w:rsidP="006D54ED">
            <w:pPr>
              <w:tabs>
                <w:tab w:val="left" w:pos="148"/>
                <w:tab w:val="left" w:pos="369"/>
              </w:tabs>
              <w:jc w:val="center"/>
              <w:rPr>
                <w:rFonts w:cs="Arial"/>
                <w:szCs w:val="22"/>
              </w:rPr>
            </w:pPr>
          </w:p>
        </w:tc>
      </w:tr>
      <w:tr w:rsidR="006D54ED" w:rsidRPr="0019790A" w14:paraId="63C45F7A" w14:textId="2D4B0016" w:rsidTr="006D54ED">
        <w:trPr>
          <w:trHeight w:val="275"/>
          <w:jc w:val="right"/>
        </w:trPr>
        <w:tc>
          <w:tcPr>
            <w:tcW w:w="3425" w:type="dxa"/>
            <w:shd w:val="clear" w:color="auto" w:fill="FFFFFF"/>
            <w:vAlign w:val="center"/>
          </w:tcPr>
          <w:p w14:paraId="0233119A" w14:textId="77777777" w:rsidR="006D54ED" w:rsidRPr="0019790A" w:rsidRDefault="006D54ED" w:rsidP="0019790A">
            <w:pPr>
              <w:rPr>
                <w:rFonts w:cs="Arial"/>
                <w:szCs w:val="22"/>
              </w:rPr>
            </w:pPr>
            <w:r w:rsidRPr="0019790A">
              <w:rPr>
                <w:rFonts w:cs="Arial"/>
                <w:szCs w:val="22"/>
              </w:rPr>
              <w:t>- бюджет Жмеринської МТГ</w:t>
            </w:r>
          </w:p>
        </w:tc>
        <w:tc>
          <w:tcPr>
            <w:tcW w:w="1267" w:type="dxa"/>
            <w:gridSpan w:val="2"/>
            <w:vAlign w:val="center"/>
          </w:tcPr>
          <w:p w14:paraId="7C36F791" w14:textId="6227595B" w:rsidR="006D54ED" w:rsidRPr="0019790A" w:rsidRDefault="006D54ED" w:rsidP="006D54ED">
            <w:pPr>
              <w:tabs>
                <w:tab w:val="left" w:pos="148"/>
                <w:tab w:val="left" w:pos="369"/>
              </w:tabs>
              <w:jc w:val="center"/>
              <w:rPr>
                <w:rFonts w:cs="Arial"/>
                <w:b/>
                <w:szCs w:val="22"/>
              </w:rPr>
            </w:pPr>
          </w:p>
        </w:tc>
        <w:tc>
          <w:tcPr>
            <w:tcW w:w="1286" w:type="dxa"/>
            <w:gridSpan w:val="2"/>
            <w:vAlign w:val="center"/>
          </w:tcPr>
          <w:p w14:paraId="6F673E1A" w14:textId="60E2E04F" w:rsidR="006D54ED" w:rsidRPr="0019790A" w:rsidRDefault="006D54ED" w:rsidP="006D54ED">
            <w:pPr>
              <w:tabs>
                <w:tab w:val="left" w:pos="148"/>
                <w:tab w:val="left" w:pos="369"/>
              </w:tabs>
              <w:ind w:left="16"/>
              <w:jc w:val="center"/>
              <w:rPr>
                <w:rFonts w:cs="Arial"/>
                <w:b/>
                <w:szCs w:val="22"/>
              </w:rPr>
            </w:pPr>
            <w:r w:rsidRPr="0019790A">
              <w:rPr>
                <w:rFonts w:cs="Arial"/>
                <w:b/>
                <w:szCs w:val="22"/>
              </w:rPr>
              <w:t>200,0</w:t>
            </w:r>
          </w:p>
        </w:tc>
        <w:tc>
          <w:tcPr>
            <w:tcW w:w="1402" w:type="dxa"/>
            <w:gridSpan w:val="2"/>
            <w:vAlign w:val="center"/>
          </w:tcPr>
          <w:p w14:paraId="62AA6D18" w14:textId="17A130CB" w:rsidR="006D54ED" w:rsidRPr="0019790A" w:rsidRDefault="006D54ED" w:rsidP="006D54ED">
            <w:pPr>
              <w:tabs>
                <w:tab w:val="left" w:pos="148"/>
                <w:tab w:val="left" w:pos="369"/>
              </w:tabs>
              <w:ind w:left="90"/>
              <w:jc w:val="center"/>
              <w:rPr>
                <w:rFonts w:cs="Arial"/>
                <w:b/>
                <w:szCs w:val="22"/>
              </w:rPr>
            </w:pPr>
            <w:r w:rsidRPr="0019790A">
              <w:rPr>
                <w:rFonts w:cs="Arial"/>
                <w:b/>
                <w:szCs w:val="22"/>
              </w:rPr>
              <w:t>200,0</w:t>
            </w:r>
          </w:p>
        </w:tc>
        <w:tc>
          <w:tcPr>
            <w:tcW w:w="1277" w:type="dxa"/>
            <w:gridSpan w:val="2"/>
            <w:vAlign w:val="center"/>
          </w:tcPr>
          <w:p w14:paraId="74B34FEE" w14:textId="01BC2577" w:rsidR="006D54ED" w:rsidRPr="0019790A" w:rsidRDefault="006D54ED" w:rsidP="006D54ED">
            <w:pPr>
              <w:tabs>
                <w:tab w:val="left" w:pos="148"/>
                <w:tab w:val="left" w:pos="369"/>
              </w:tabs>
              <w:ind w:left="183"/>
              <w:jc w:val="center"/>
              <w:rPr>
                <w:rFonts w:cs="Arial"/>
                <w:b/>
                <w:szCs w:val="22"/>
              </w:rPr>
            </w:pPr>
            <w:r w:rsidRPr="0019790A">
              <w:rPr>
                <w:rFonts w:cs="Arial"/>
                <w:b/>
                <w:szCs w:val="22"/>
              </w:rPr>
              <w:t>200,0</w:t>
            </w:r>
          </w:p>
        </w:tc>
        <w:tc>
          <w:tcPr>
            <w:tcW w:w="1562" w:type="dxa"/>
            <w:vAlign w:val="center"/>
          </w:tcPr>
          <w:p w14:paraId="314F0490" w14:textId="292EC158" w:rsidR="006D54ED" w:rsidRPr="0019790A" w:rsidRDefault="006D54ED" w:rsidP="006D54ED">
            <w:pPr>
              <w:tabs>
                <w:tab w:val="left" w:pos="148"/>
                <w:tab w:val="left" w:pos="369"/>
              </w:tabs>
              <w:ind w:left="373"/>
              <w:jc w:val="center"/>
              <w:rPr>
                <w:rFonts w:cs="Arial"/>
                <w:b/>
                <w:szCs w:val="22"/>
              </w:rPr>
            </w:pPr>
            <w:r w:rsidRPr="0019790A">
              <w:rPr>
                <w:rFonts w:cs="Arial"/>
                <w:b/>
                <w:szCs w:val="22"/>
              </w:rPr>
              <w:t>600,0</w:t>
            </w:r>
          </w:p>
        </w:tc>
      </w:tr>
      <w:tr w:rsidR="006D54ED" w:rsidRPr="0019790A" w14:paraId="4C240AD7" w14:textId="3F8B0D9C" w:rsidTr="006D54ED">
        <w:trPr>
          <w:trHeight w:val="226"/>
          <w:jc w:val="right"/>
        </w:trPr>
        <w:tc>
          <w:tcPr>
            <w:tcW w:w="3425" w:type="dxa"/>
            <w:shd w:val="clear" w:color="auto" w:fill="FFFFFF"/>
            <w:vAlign w:val="center"/>
          </w:tcPr>
          <w:p w14:paraId="7F8FA827" w14:textId="77777777" w:rsidR="006D54ED" w:rsidRPr="0019790A" w:rsidRDefault="006D54ED" w:rsidP="0019790A">
            <w:pPr>
              <w:rPr>
                <w:rFonts w:cs="Arial"/>
                <w:szCs w:val="22"/>
              </w:rPr>
            </w:pPr>
            <w:r w:rsidRPr="0019790A">
              <w:rPr>
                <w:rFonts w:cs="Arial"/>
                <w:szCs w:val="22"/>
              </w:rPr>
              <w:t>- інші джерела фінансування</w:t>
            </w:r>
          </w:p>
        </w:tc>
        <w:tc>
          <w:tcPr>
            <w:tcW w:w="1267" w:type="dxa"/>
            <w:gridSpan w:val="2"/>
            <w:vAlign w:val="center"/>
          </w:tcPr>
          <w:p w14:paraId="4532E265" w14:textId="77777777" w:rsidR="006D54ED" w:rsidRPr="0019790A" w:rsidRDefault="006D54ED" w:rsidP="006D54ED">
            <w:pPr>
              <w:tabs>
                <w:tab w:val="left" w:pos="148"/>
                <w:tab w:val="left" w:pos="369"/>
              </w:tabs>
              <w:jc w:val="center"/>
              <w:rPr>
                <w:rFonts w:cs="Arial"/>
                <w:szCs w:val="22"/>
              </w:rPr>
            </w:pPr>
          </w:p>
        </w:tc>
        <w:tc>
          <w:tcPr>
            <w:tcW w:w="1286" w:type="dxa"/>
            <w:gridSpan w:val="2"/>
            <w:vAlign w:val="center"/>
          </w:tcPr>
          <w:p w14:paraId="2C6C3EA1" w14:textId="77777777" w:rsidR="006D54ED" w:rsidRPr="0019790A" w:rsidRDefault="006D54ED" w:rsidP="006D54ED">
            <w:pPr>
              <w:tabs>
                <w:tab w:val="left" w:pos="148"/>
                <w:tab w:val="left" w:pos="369"/>
              </w:tabs>
              <w:jc w:val="center"/>
              <w:rPr>
                <w:rFonts w:cs="Arial"/>
                <w:szCs w:val="22"/>
              </w:rPr>
            </w:pPr>
          </w:p>
        </w:tc>
        <w:tc>
          <w:tcPr>
            <w:tcW w:w="1402" w:type="dxa"/>
            <w:gridSpan w:val="2"/>
            <w:vAlign w:val="center"/>
          </w:tcPr>
          <w:p w14:paraId="0A3E53AE" w14:textId="77777777" w:rsidR="006D54ED" w:rsidRPr="0019790A" w:rsidRDefault="006D54ED" w:rsidP="006D54ED">
            <w:pPr>
              <w:tabs>
                <w:tab w:val="left" w:pos="148"/>
                <w:tab w:val="left" w:pos="369"/>
              </w:tabs>
              <w:jc w:val="center"/>
              <w:rPr>
                <w:rFonts w:cs="Arial"/>
                <w:szCs w:val="22"/>
              </w:rPr>
            </w:pPr>
          </w:p>
        </w:tc>
        <w:tc>
          <w:tcPr>
            <w:tcW w:w="1277" w:type="dxa"/>
            <w:gridSpan w:val="2"/>
            <w:vAlign w:val="center"/>
          </w:tcPr>
          <w:p w14:paraId="1D3F32DF" w14:textId="77777777" w:rsidR="006D54ED" w:rsidRPr="0019790A" w:rsidRDefault="006D54ED" w:rsidP="006D54ED">
            <w:pPr>
              <w:tabs>
                <w:tab w:val="left" w:pos="148"/>
                <w:tab w:val="left" w:pos="369"/>
              </w:tabs>
              <w:jc w:val="center"/>
              <w:rPr>
                <w:rFonts w:cs="Arial"/>
                <w:szCs w:val="22"/>
              </w:rPr>
            </w:pPr>
          </w:p>
        </w:tc>
        <w:tc>
          <w:tcPr>
            <w:tcW w:w="1562" w:type="dxa"/>
            <w:vAlign w:val="center"/>
          </w:tcPr>
          <w:p w14:paraId="5495E8CC" w14:textId="77777777" w:rsidR="006D54ED" w:rsidRPr="0019790A" w:rsidRDefault="006D54ED" w:rsidP="006D54ED">
            <w:pPr>
              <w:tabs>
                <w:tab w:val="left" w:pos="148"/>
                <w:tab w:val="left" w:pos="369"/>
              </w:tabs>
              <w:jc w:val="center"/>
              <w:rPr>
                <w:rFonts w:cs="Arial"/>
                <w:szCs w:val="22"/>
              </w:rPr>
            </w:pPr>
          </w:p>
        </w:tc>
      </w:tr>
      <w:tr w:rsidR="005342D5" w:rsidRPr="0019790A" w14:paraId="74130C9F" w14:textId="77777777" w:rsidTr="006D54ED">
        <w:trPr>
          <w:jc w:val="right"/>
        </w:trPr>
        <w:tc>
          <w:tcPr>
            <w:tcW w:w="3425" w:type="dxa"/>
            <w:shd w:val="clear" w:color="auto" w:fill="FFFFFF"/>
            <w:vAlign w:val="center"/>
          </w:tcPr>
          <w:p w14:paraId="1DC0C541" w14:textId="77777777" w:rsidR="005342D5" w:rsidRPr="0019790A" w:rsidRDefault="005342D5" w:rsidP="0019790A">
            <w:pPr>
              <w:rPr>
                <w:rFonts w:cs="Arial"/>
                <w:b/>
                <w:bCs/>
                <w:szCs w:val="22"/>
              </w:rPr>
            </w:pPr>
            <w:r w:rsidRPr="0019790A">
              <w:rPr>
                <w:rFonts w:cs="Arial"/>
                <w:b/>
                <w:szCs w:val="22"/>
              </w:rPr>
              <w:t>Відповідальний виконавець проєкту:</w:t>
            </w:r>
          </w:p>
        </w:tc>
        <w:tc>
          <w:tcPr>
            <w:tcW w:w="6794" w:type="dxa"/>
            <w:gridSpan w:val="9"/>
            <w:vAlign w:val="center"/>
          </w:tcPr>
          <w:p w14:paraId="075C1EB7" w14:textId="1C358BB2" w:rsidR="005342D5" w:rsidRPr="0019790A" w:rsidRDefault="005342D5" w:rsidP="006D54ED">
            <w:pPr>
              <w:tabs>
                <w:tab w:val="left" w:pos="148"/>
                <w:tab w:val="left" w:pos="369"/>
              </w:tabs>
              <w:rPr>
                <w:rFonts w:cs="Arial"/>
                <w:szCs w:val="22"/>
              </w:rPr>
            </w:pPr>
            <w:r w:rsidRPr="0019790A">
              <w:rPr>
                <w:rFonts w:cs="Arial"/>
                <w:szCs w:val="22"/>
              </w:rPr>
              <w:t xml:space="preserve">Відділ молоді та спорту Жмеринської </w:t>
            </w:r>
            <w:r w:rsidR="006D54ED" w:rsidRPr="0019790A">
              <w:rPr>
                <w:rFonts w:cs="Arial"/>
                <w:szCs w:val="22"/>
              </w:rPr>
              <w:t>міської</w:t>
            </w:r>
            <w:r w:rsidRPr="0019790A">
              <w:rPr>
                <w:rFonts w:cs="Arial"/>
                <w:szCs w:val="22"/>
              </w:rPr>
              <w:t xml:space="preserve"> ради</w:t>
            </w:r>
          </w:p>
        </w:tc>
      </w:tr>
      <w:tr w:rsidR="005342D5" w:rsidRPr="0019790A" w14:paraId="78930872" w14:textId="77777777" w:rsidTr="006D54ED">
        <w:trPr>
          <w:jc w:val="right"/>
        </w:trPr>
        <w:tc>
          <w:tcPr>
            <w:tcW w:w="3425" w:type="dxa"/>
            <w:shd w:val="clear" w:color="auto" w:fill="FFFFFF"/>
            <w:vAlign w:val="center"/>
          </w:tcPr>
          <w:p w14:paraId="19D82E2B" w14:textId="77777777" w:rsidR="005342D5" w:rsidRPr="0019790A" w:rsidRDefault="005342D5" w:rsidP="0019790A">
            <w:pPr>
              <w:rPr>
                <w:rFonts w:cs="Arial"/>
                <w:b/>
                <w:bCs/>
                <w:szCs w:val="22"/>
              </w:rPr>
            </w:pPr>
            <w:r w:rsidRPr="0019790A">
              <w:rPr>
                <w:rFonts w:cs="Arial"/>
                <w:b/>
                <w:bCs/>
                <w:szCs w:val="22"/>
              </w:rPr>
              <w:t>Інше:</w:t>
            </w:r>
          </w:p>
        </w:tc>
        <w:tc>
          <w:tcPr>
            <w:tcW w:w="6794" w:type="dxa"/>
            <w:gridSpan w:val="9"/>
            <w:vAlign w:val="center"/>
          </w:tcPr>
          <w:p w14:paraId="01AD834E" w14:textId="77777777" w:rsidR="005342D5" w:rsidRPr="0019790A" w:rsidRDefault="005342D5" w:rsidP="006D54ED">
            <w:pPr>
              <w:tabs>
                <w:tab w:val="left" w:pos="148"/>
                <w:tab w:val="left" w:pos="369"/>
              </w:tabs>
              <w:rPr>
                <w:rFonts w:cs="Arial"/>
                <w:szCs w:val="22"/>
              </w:rPr>
            </w:pPr>
          </w:p>
        </w:tc>
      </w:tr>
    </w:tbl>
    <w:p w14:paraId="3BB7F7B3" w14:textId="77777777" w:rsidR="005342D5" w:rsidRPr="0019790A" w:rsidRDefault="005342D5" w:rsidP="0019790A">
      <w:pPr>
        <w:rPr>
          <w:rFonts w:cs="Arial"/>
          <w:szCs w:val="22"/>
        </w:rPr>
      </w:pPr>
    </w:p>
    <w:p w14:paraId="5A24FEBC" w14:textId="77777777" w:rsidR="005342D5" w:rsidRPr="0019790A" w:rsidRDefault="005342D5" w:rsidP="0019790A">
      <w:pPr>
        <w:jc w:val="center"/>
        <w:rPr>
          <w:rFonts w:cs="Arial"/>
          <w:b/>
          <w:szCs w:val="22"/>
        </w:rPr>
      </w:pPr>
      <w:r w:rsidRPr="0019790A">
        <w:rPr>
          <w:rFonts w:cs="Arial"/>
          <w:b/>
          <w:szCs w:val="22"/>
        </w:rPr>
        <w:t>Форма технічного завдання на проєкт місцевого розвитку</w:t>
      </w:r>
    </w:p>
    <w:p w14:paraId="584D45FE" w14:textId="77777777" w:rsidR="005342D5" w:rsidRPr="0019790A" w:rsidRDefault="005342D5" w:rsidP="0019790A">
      <w:pPr>
        <w:jc w:val="center"/>
        <w:rPr>
          <w:rFonts w:cs="Arial"/>
          <w:b/>
          <w:szCs w:val="22"/>
        </w:rPr>
      </w:pPr>
      <w:r w:rsidRPr="0019790A">
        <w:rPr>
          <w:rFonts w:cs="Arial"/>
          <w:b/>
          <w:szCs w:val="22"/>
        </w:rPr>
        <w:t>до Плану заходів з реалізації Стратегії</w:t>
      </w:r>
    </w:p>
    <w:p w14:paraId="2782F6FE" w14:textId="77777777" w:rsidR="005342D5" w:rsidRPr="0019790A" w:rsidRDefault="005342D5"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1"/>
        <w:gridCol w:w="1254"/>
        <w:gridCol w:w="13"/>
        <w:gridCol w:w="1262"/>
        <w:gridCol w:w="1420"/>
        <w:gridCol w:w="1276"/>
        <w:gridCol w:w="30"/>
        <w:gridCol w:w="1543"/>
      </w:tblGrid>
      <w:tr w:rsidR="005342D5" w:rsidRPr="0019790A" w14:paraId="0F6C9005" w14:textId="77777777" w:rsidTr="006D54ED">
        <w:trPr>
          <w:trHeight w:val="404"/>
          <w:jc w:val="right"/>
        </w:trPr>
        <w:tc>
          <w:tcPr>
            <w:tcW w:w="3421" w:type="dxa"/>
            <w:vAlign w:val="center"/>
          </w:tcPr>
          <w:p w14:paraId="664A4051" w14:textId="77777777" w:rsidR="005342D5" w:rsidRPr="0019790A" w:rsidRDefault="005342D5" w:rsidP="0019790A">
            <w:pPr>
              <w:rPr>
                <w:rFonts w:cs="Arial"/>
                <w:b/>
                <w:bCs/>
                <w:szCs w:val="22"/>
              </w:rPr>
            </w:pPr>
            <w:r w:rsidRPr="0019790A">
              <w:rPr>
                <w:rFonts w:cs="Arial"/>
                <w:b/>
                <w:bCs/>
                <w:szCs w:val="22"/>
              </w:rPr>
              <w:t>Назва проєкту:</w:t>
            </w:r>
          </w:p>
        </w:tc>
        <w:tc>
          <w:tcPr>
            <w:tcW w:w="6798" w:type="dxa"/>
            <w:gridSpan w:val="7"/>
            <w:vAlign w:val="center"/>
          </w:tcPr>
          <w:p w14:paraId="49925FA8" w14:textId="77777777" w:rsidR="005342D5" w:rsidRPr="0019790A" w:rsidRDefault="005342D5" w:rsidP="006D54ED">
            <w:pPr>
              <w:tabs>
                <w:tab w:val="left" w:pos="311"/>
              </w:tabs>
              <w:jc w:val="both"/>
              <w:rPr>
                <w:rFonts w:cs="Arial"/>
                <w:szCs w:val="22"/>
              </w:rPr>
            </w:pPr>
            <w:r w:rsidRPr="0019790A">
              <w:rPr>
                <w:rFonts w:cs="Arial"/>
                <w:szCs w:val="22"/>
              </w:rPr>
              <w:t>«Здорове життя – здорова громада»</w:t>
            </w:r>
          </w:p>
        </w:tc>
      </w:tr>
      <w:tr w:rsidR="005342D5" w:rsidRPr="0019790A" w14:paraId="164E9304" w14:textId="77777777" w:rsidTr="006D54ED">
        <w:trPr>
          <w:jc w:val="right"/>
        </w:trPr>
        <w:tc>
          <w:tcPr>
            <w:tcW w:w="3421" w:type="dxa"/>
          </w:tcPr>
          <w:p w14:paraId="52DDB714" w14:textId="77777777" w:rsidR="005342D5" w:rsidRPr="0019790A" w:rsidRDefault="005342D5" w:rsidP="0019790A">
            <w:pPr>
              <w:rPr>
                <w:rFonts w:cs="Arial"/>
                <w:szCs w:val="22"/>
              </w:rPr>
            </w:pPr>
            <w:r w:rsidRPr="0019790A">
              <w:rPr>
                <w:rFonts w:cs="Arial"/>
                <w:b/>
                <w:bCs/>
                <w:szCs w:val="22"/>
              </w:rPr>
              <w:t>Ваші контакти</w:t>
            </w:r>
            <w:r w:rsidRPr="0019790A">
              <w:rPr>
                <w:rFonts w:cs="Arial"/>
                <w:szCs w:val="22"/>
              </w:rPr>
              <w:t>:</w:t>
            </w:r>
          </w:p>
          <w:p w14:paraId="1EC55B00" w14:textId="77777777" w:rsidR="005342D5" w:rsidRPr="0019790A" w:rsidRDefault="005342D5" w:rsidP="0019790A">
            <w:pPr>
              <w:rPr>
                <w:rFonts w:cs="Arial"/>
                <w:b/>
                <w:bCs/>
                <w:szCs w:val="22"/>
              </w:rPr>
            </w:pPr>
            <w:r w:rsidRPr="0019790A">
              <w:rPr>
                <w:rFonts w:cs="Arial"/>
                <w:szCs w:val="22"/>
              </w:rPr>
              <w:t>Назва установи, організації, підприємства</w:t>
            </w:r>
          </w:p>
        </w:tc>
        <w:tc>
          <w:tcPr>
            <w:tcW w:w="6798" w:type="dxa"/>
            <w:gridSpan w:val="7"/>
            <w:vAlign w:val="center"/>
          </w:tcPr>
          <w:p w14:paraId="1440D596" w14:textId="77777777" w:rsidR="005342D5" w:rsidRPr="0019790A" w:rsidRDefault="005342D5" w:rsidP="006D54ED">
            <w:pPr>
              <w:tabs>
                <w:tab w:val="left" w:pos="311"/>
              </w:tabs>
              <w:jc w:val="both"/>
              <w:rPr>
                <w:rFonts w:cs="Arial"/>
                <w:szCs w:val="22"/>
              </w:rPr>
            </w:pPr>
            <w:r w:rsidRPr="0019790A">
              <w:rPr>
                <w:rFonts w:cs="Arial"/>
                <w:szCs w:val="22"/>
              </w:rPr>
              <w:t>Відділ молоді та спорту Жмеринської міської ради</w:t>
            </w:r>
          </w:p>
        </w:tc>
      </w:tr>
      <w:tr w:rsidR="005342D5" w:rsidRPr="0019790A" w14:paraId="4DE8B165" w14:textId="77777777" w:rsidTr="006D54ED">
        <w:trPr>
          <w:jc w:val="right"/>
        </w:trPr>
        <w:tc>
          <w:tcPr>
            <w:tcW w:w="3421" w:type="dxa"/>
          </w:tcPr>
          <w:p w14:paraId="5F6ACAC8" w14:textId="77777777" w:rsidR="005342D5" w:rsidRPr="0019790A" w:rsidRDefault="005342D5" w:rsidP="0019790A">
            <w:pPr>
              <w:rPr>
                <w:rFonts w:cs="Arial"/>
                <w:b/>
                <w:bCs/>
                <w:szCs w:val="22"/>
              </w:rPr>
            </w:pPr>
            <w:r w:rsidRPr="0019790A">
              <w:rPr>
                <w:rFonts w:cs="Arial"/>
                <w:szCs w:val="22"/>
              </w:rPr>
              <w:t>Прізвище Ім’я По-батькові:</w:t>
            </w:r>
          </w:p>
        </w:tc>
        <w:tc>
          <w:tcPr>
            <w:tcW w:w="6798" w:type="dxa"/>
            <w:gridSpan w:val="7"/>
            <w:vAlign w:val="center"/>
          </w:tcPr>
          <w:p w14:paraId="1EF23BB1" w14:textId="77777777" w:rsidR="005342D5" w:rsidRPr="0019790A" w:rsidRDefault="005342D5" w:rsidP="006D54ED">
            <w:pPr>
              <w:tabs>
                <w:tab w:val="left" w:pos="311"/>
              </w:tabs>
              <w:jc w:val="both"/>
              <w:rPr>
                <w:rFonts w:cs="Arial"/>
                <w:szCs w:val="22"/>
              </w:rPr>
            </w:pPr>
            <w:r w:rsidRPr="0019790A">
              <w:rPr>
                <w:rFonts w:cs="Arial"/>
                <w:szCs w:val="22"/>
              </w:rPr>
              <w:t>Ковальська Олена Віталіївна</w:t>
            </w:r>
          </w:p>
        </w:tc>
      </w:tr>
      <w:tr w:rsidR="005342D5" w:rsidRPr="0019790A" w14:paraId="0AE106CF" w14:textId="77777777" w:rsidTr="006D54ED">
        <w:trPr>
          <w:jc w:val="right"/>
        </w:trPr>
        <w:tc>
          <w:tcPr>
            <w:tcW w:w="3421" w:type="dxa"/>
          </w:tcPr>
          <w:p w14:paraId="72EA3D17" w14:textId="77777777" w:rsidR="005342D5" w:rsidRPr="0019790A" w:rsidRDefault="005342D5" w:rsidP="0019790A">
            <w:pPr>
              <w:rPr>
                <w:rFonts w:cs="Arial"/>
                <w:b/>
                <w:bCs/>
                <w:szCs w:val="22"/>
              </w:rPr>
            </w:pPr>
            <w:r w:rsidRPr="0019790A">
              <w:rPr>
                <w:rFonts w:cs="Arial"/>
                <w:szCs w:val="22"/>
              </w:rPr>
              <w:t>Телефон (мобільний):</w:t>
            </w:r>
          </w:p>
        </w:tc>
        <w:tc>
          <w:tcPr>
            <w:tcW w:w="6798" w:type="dxa"/>
            <w:gridSpan w:val="7"/>
            <w:vAlign w:val="center"/>
          </w:tcPr>
          <w:p w14:paraId="1F368D8C" w14:textId="77777777" w:rsidR="005342D5" w:rsidRPr="0019790A" w:rsidRDefault="005342D5" w:rsidP="006D54ED">
            <w:pPr>
              <w:tabs>
                <w:tab w:val="left" w:pos="311"/>
              </w:tabs>
              <w:jc w:val="both"/>
              <w:rPr>
                <w:rFonts w:cs="Arial"/>
                <w:szCs w:val="22"/>
              </w:rPr>
            </w:pPr>
            <w:r w:rsidRPr="0019790A">
              <w:rPr>
                <w:rFonts w:cs="Arial"/>
                <w:szCs w:val="22"/>
              </w:rPr>
              <w:t>096-068-94-79</w:t>
            </w:r>
          </w:p>
        </w:tc>
      </w:tr>
      <w:tr w:rsidR="005342D5" w:rsidRPr="0019790A" w14:paraId="5E628584" w14:textId="77777777" w:rsidTr="006D54ED">
        <w:trPr>
          <w:jc w:val="right"/>
        </w:trPr>
        <w:tc>
          <w:tcPr>
            <w:tcW w:w="3421" w:type="dxa"/>
          </w:tcPr>
          <w:p w14:paraId="75CEE998" w14:textId="77777777" w:rsidR="005342D5" w:rsidRPr="0019790A" w:rsidRDefault="005342D5" w:rsidP="0019790A">
            <w:pPr>
              <w:rPr>
                <w:rFonts w:cs="Arial"/>
                <w:b/>
                <w:bCs/>
                <w:szCs w:val="22"/>
              </w:rPr>
            </w:pPr>
            <w:r w:rsidRPr="0019790A">
              <w:rPr>
                <w:rFonts w:cs="Arial"/>
                <w:szCs w:val="22"/>
              </w:rPr>
              <w:t>Електронна адреса:</w:t>
            </w:r>
          </w:p>
        </w:tc>
        <w:tc>
          <w:tcPr>
            <w:tcW w:w="6798" w:type="dxa"/>
            <w:gridSpan w:val="7"/>
            <w:vAlign w:val="center"/>
          </w:tcPr>
          <w:p w14:paraId="1DE4677A" w14:textId="77777777" w:rsidR="005342D5" w:rsidRPr="001A5BC7" w:rsidRDefault="00D85FFD" w:rsidP="006D54ED">
            <w:pPr>
              <w:tabs>
                <w:tab w:val="left" w:pos="311"/>
              </w:tabs>
              <w:jc w:val="both"/>
              <w:rPr>
                <w:rFonts w:cs="Arial"/>
                <w:szCs w:val="22"/>
              </w:rPr>
            </w:pPr>
            <w:hyperlink r:id="rId171" w:history="1">
              <w:r w:rsidR="005342D5" w:rsidRPr="001A5BC7">
                <w:rPr>
                  <w:rStyle w:val="af0"/>
                  <w:rFonts w:cs="Arial"/>
                  <w:bCs/>
                  <w:noProof w:val="0"/>
                  <w:sz w:val="22"/>
                  <w:szCs w:val="22"/>
                </w:rPr>
                <w:t>ms@zhmr.gov.ua</w:t>
              </w:r>
            </w:hyperlink>
          </w:p>
        </w:tc>
      </w:tr>
      <w:tr w:rsidR="005342D5" w:rsidRPr="0019790A" w14:paraId="20621782" w14:textId="77777777" w:rsidTr="006D54ED">
        <w:trPr>
          <w:trHeight w:val="1601"/>
          <w:jc w:val="right"/>
        </w:trPr>
        <w:tc>
          <w:tcPr>
            <w:tcW w:w="3421" w:type="dxa"/>
            <w:vAlign w:val="center"/>
          </w:tcPr>
          <w:p w14:paraId="04A8FCC3" w14:textId="77777777" w:rsidR="005342D5" w:rsidRPr="0019790A" w:rsidRDefault="005342D5" w:rsidP="0019790A">
            <w:pPr>
              <w:rPr>
                <w:rFonts w:cs="Arial"/>
                <w:b/>
                <w:bCs/>
                <w:szCs w:val="22"/>
              </w:rPr>
            </w:pPr>
            <w:r w:rsidRPr="0019790A">
              <w:rPr>
                <w:rFonts w:cs="Arial"/>
                <w:b/>
                <w:bCs/>
                <w:szCs w:val="22"/>
              </w:rPr>
              <w:t>Номер і назва завдання з Стратегії розвитку Жмеринської міської територіальної громади,  якому відповідає проєкт:</w:t>
            </w:r>
          </w:p>
        </w:tc>
        <w:tc>
          <w:tcPr>
            <w:tcW w:w="6798" w:type="dxa"/>
            <w:gridSpan w:val="7"/>
            <w:vAlign w:val="center"/>
          </w:tcPr>
          <w:p w14:paraId="431F3C88" w14:textId="158D20DB" w:rsidR="005342D5" w:rsidRPr="0019790A" w:rsidRDefault="005342D5" w:rsidP="006D54ED">
            <w:pPr>
              <w:tabs>
                <w:tab w:val="left" w:pos="311"/>
              </w:tabs>
              <w:jc w:val="both"/>
              <w:rPr>
                <w:rFonts w:cs="Arial"/>
                <w:b/>
                <w:szCs w:val="22"/>
              </w:rPr>
            </w:pPr>
            <w:r w:rsidRPr="006D54ED">
              <w:rPr>
                <w:rFonts w:cs="Arial"/>
                <w:szCs w:val="22"/>
              </w:rPr>
              <w:t xml:space="preserve">С.3.5.6. </w:t>
            </w:r>
            <w:r w:rsidRPr="006D54ED">
              <w:rPr>
                <w:rFonts w:cs="Arial"/>
                <w:iCs/>
                <w:szCs w:val="22"/>
              </w:rPr>
              <w:t>Формування навичок здорового способу життя, розвиток фізичної культури, культури здорового харчування та психогігієни.</w:t>
            </w:r>
          </w:p>
        </w:tc>
      </w:tr>
      <w:tr w:rsidR="005342D5" w:rsidRPr="0019790A" w14:paraId="465D93FB" w14:textId="77777777" w:rsidTr="006D54ED">
        <w:trPr>
          <w:trHeight w:val="673"/>
          <w:jc w:val="right"/>
        </w:trPr>
        <w:tc>
          <w:tcPr>
            <w:tcW w:w="3421" w:type="dxa"/>
            <w:vAlign w:val="center"/>
          </w:tcPr>
          <w:p w14:paraId="6E2C917E" w14:textId="77777777" w:rsidR="005342D5" w:rsidRPr="0019790A" w:rsidRDefault="005342D5" w:rsidP="0019790A">
            <w:pPr>
              <w:rPr>
                <w:rFonts w:cs="Arial"/>
                <w:b/>
                <w:bCs/>
                <w:szCs w:val="22"/>
              </w:rPr>
            </w:pPr>
            <w:r w:rsidRPr="0019790A">
              <w:rPr>
                <w:rFonts w:cs="Arial"/>
                <w:b/>
                <w:bCs/>
                <w:szCs w:val="22"/>
              </w:rPr>
              <w:t>Мета проєкту:</w:t>
            </w:r>
          </w:p>
        </w:tc>
        <w:tc>
          <w:tcPr>
            <w:tcW w:w="6798" w:type="dxa"/>
            <w:gridSpan w:val="7"/>
            <w:vAlign w:val="center"/>
          </w:tcPr>
          <w:p w14:paraId="3ED6829D" w14:textId="77777777" w:rsidR="005342D5" w:rsidRPr="0019790A" w:rsidRDefault="005342D5" w:rsidP="006D54ED">
            <w:pPr>
              <w:tabs>
                <w:tab w:val="left" w:pos="311"/>
              </w:tabs>
              <w:jc w:val="both"/>
              <w:rPr>
                <w:rFonts w:cs="Arial"/>
                <w:szCs w:val="22"/>
              </w:rPr>
            </w:pPr>
            <w:r w:rsidRPr="0019790A">
              <w:rPr>
                <w:rFonts w:cs="Arial"/>
                <w:szCs w:val="22"/>
              </w:rPr>
              <w:t>Сформувати серед дітей, молоді та дорослого населення навички здорового способу життя шляхом популяризації фізичної активності, культури харчування, психогігієни та профілактики шкідливих звичок.</w:t>
            </w:r>
          </w:p>
        </w:tc>
      </w:tr>
      <w:tr w:rsidR="005342D5" w:rsidRPr="0019790A" w14:paraId="58C6DCDB" w14:textId="77777777" w:rsidTr="006D54ED">
        <w:trPr>
          <w:jc w:val="right"/>
        </w:trPr>
        <w:tc>
          <w:tcPr>
            <w:tcW w:w="3421" w:type="dxa"/>
            <w:vAlign w:val="center"/>
          </w:tcPr>
          <w:p w14:paraId="0F02E0F3" w14:textId="77777777" w:rsidR="005342D5" w:rsidRPr="0019790A" w:rsidRDefault="005342D5" w:rsidP="0019790A">
            <w:pPr>
              <w:rPr>
                <w:rFonts w:cs="Arial"/>
                <w:b/>
                <w:bCs/>
                <w:szCs w:val="22"/>
              </w:rPr>
            </w:pPr>
            <w:r w:rsidRPr="0019790A">
              <w:rPr>
                <w:rFonts w:cs="Arial"/>
                <w:b/>
                <w:bCs/>
                <w:szCs w:val="22"/>
              </w:rPr>
              <w:t>Цілі проєкту:</w:t>
            </w:r>
          </w:p>
        </w:tc>
        <w:tc>
          <w:tcPr>
            <w:tcW w:w="6798" w:type="dxa"/>
            <w:gridSpan w:val="7"/>
            <w:vAlign w:val="center"/>
          </w:tcPr>
          <w:p w14:paraId="7C7C78CE" w14:textId="77777777" w:rsidR="005342D5" w:rsidRPr="0019790A" w:rsidRDefault="005342D5" w:rsidP="006D54ED">
            <w:pPr>
              <w:numPr>
                <w:ilvl w:val="0"/>
                <w:numId w:val="126"/>
              </w:numPr>
              <w:tabs>
                <w:tab w:val="clear" w:pos="644"/>
                <w:tab w:val="num" w:pos="186"/>
                <w:tab w:val="left" w:pos="311"/>
              </w:tabs>
              <w:ind w:left="0" w:firstLine="0"/>
              <w:jc w:val="both"/>
              <w:rPr>
                <w:rFonts w:cs="Arial"/>
                <w:szCs w:val="22"/>
              </w:rPr>
            </w:pPr>
            <w:r w:rsidRPr="0019790A">
              <w:rPr>
                <w:rFonts w:cs="Arial"/>
                <w:szCs w:val="22"/>
              </w:rPr>
              <w:t>Залучити мешканців громади до регулярної фізичної активності.</w:t>
            </w:r>
          </w:p>
          <w:p w14:paraId="4E336F52" w14:textId="77777777" w:rsidR="005342D5" w:rsidRPr="0019790A" w:rsidRDefault="005342D5" w:rsidP="006D54ED">
            <w:pPr>
              <w:numPr>
                <w:ilvl w:val="0"/>
                <w:numId w:val="126"/>
              </w:numPr>
              <w:tabs>
                <w:tab w:val="clear" w:pos="644"/>
                <w:tab w:val="num" w:pos="186"/>
                <w:tab w:val="left" w:pos="311"/>
              </w:tabs>
              <w:ind w:left="0" w:firstLine="0"/>
              <w:jc w:val="both"/>
              <w:rPr>
                <w:rFonts w:cs="Arial"/>
                <w:szCs w:val="22"/>
              </w:rPr>
            </w:pPr>
            <w:r w:rsidRPr="0019790A">
              <w:rPr>
                <w:rFonts w:cs="Arial"/>
                <w:szCs w:val="22"/>
              </w:rPr>
              <w:t>Популяризувати принципи здорового харчування у побуті.</w:t>
            </w:r>
          </w:p>
          <w:p w14:paraId="264279A1" w14:textId="2E158D12" w:rsidR="005342D5" w:rsidRPr="0019790A" w:rsidRDefault="005342D5" w:rsidP="006D54ED">
            <w:pPr>
              <w:numPr>
                <w:ilvl w:val="0"/>
                <w:numId w:val="126"/>
              </w:numPr>
              <w:tabs>
                <w:tab w:val="clear" w:pos="644"/>
                <w:tab w:val="num" w:pos="186"/>
                <w:tab w:val="left" w:pos="311"/>
              </w:tabs>
              <w:ind w:left="0" w:firstLine="0"/>
              <w:jc w:val="both"/>
              <w:rPr>
                <w:rFonts w:cs="Arial"/>
                <w:szCs w:val="22"/>
              </w:rPr>
            </w:pPr>
            <w:r w:rsidRPr="0019790A">
              <w:rPr>
                <w:rFonts w:cs="Arial"/>
                <w:szCs w:val="22"/>
              </w:rPr>
              <w:t xml:space="preserve">Підвищити обізнаність щодо психогігієни та емоційного </w:t>
            </w:r>
            <w:r w:rsidR="006D54ED" w:rsidRPr="0019790A">
              <w:rPr>
                <w:rFonts w:cs="Arial"/>
                <w:szCs w:val="22"/>
              </w:rPr>
              <w:t>само піклування</w:t>
            </w:r>
            <w:r w:rsidRPr="0019790A">
              <w:rPr>
                <w:rFonts w:cs="Arial"/>
                <w:szCs w:val="22"/>
              </w:rPr>
              <w:t>.</w:t>
            </w:r>
          </w:p>
          <w:p w14:paraId="5F40CAFC" w14:textId="77777777" w:rsidR="005342D5" w:rsidRPr="0019790A" w:rsidRDefault="005342D5" w:rsidP="006D54ED">
            <w:pPr>
              <w:numPr>
                <w:ilvl w:val="0"/>
                <w:numId w:val="126"/>
              </w:numPr>
              <w:tabs>
                <w:tab w:val="clear" w:pos="644"/>
                <w:tab w:val="num" w:pos="186"/>
                <w:tab w:val="left" w:pos="311"/>
              </w:tabs>
              <w:ind w:left="0" w:firstLine="0"/>
              <w:jc w:val="both"/>
              <w:rPr>
                <w:rFonts w:cs="Arial"/>
                <w:szCs w:val="22"/>
              </w:rPr>
            </w:pPr>
            <w:r w:rsidRPr="0019790A">
              <w:rPr>
                <w:rFonts w:cs="Arial"/>
                <w:szCs w:val="22"/>
              </w:rPr>
              <w:t>Зменшити рівень шкідливих звичок і деструктивної поведінки серед молоді.</w:t>
            </w:r>
          </w:p>
          <w:p w14:paraId="53B819E9" w14:textId="77777777" w:rsidR="005342D5" w:rsidRPr="0019790A" w:rsidRDefault="005342D5" w:rsidP="006D54ED">
            <w:pPr>
              <w:numPr>
                <w:ilvl w:val="0"/>
                <w:numId w:val="126"/>
              </w:numPr>
              <w:tabs>
                <w:tab w:val="clear" w:pos="644"/>
                <w:tab w:val="num" w:pos="186"/>
                <w:tab w:val="left" w:pos="311"/>
              </w:tabs>
              <w:ind w:left="0" w:firstLine="0"/>
              <w:jc w:val="both"/>
              <w:rPr>
                <w:rFonts w:cs="Arial"/>
                <w:szCs w:val="22"/>
              </w:rPr>
            </w:pPr>
            <w:r w:rsidRPr="0019790A">
              <w:rPr>
                <w:rFonts w:cs="Arial"/>
                <w:szCs w:val="22"/>
              </w:rPr>
              <w:t>Сформувати сталу освітню платформу з теми здорового способу життя.</w:t>
            </w:r>
          </w:p>
        </w:tc>
      </w:tr>
      <w:tr w:rsidR="005342D5" w:rsidRPr="0019790A" w14:paraId="11967426" w14:textId="77777777" w:rsidTr="006D54ED">
        <w:trPr>
          <w:trHeight w:val="641"/>
          <w:jc w:val="right"/>
        </w:trPr>
        <w:tc>
          <w:tcPr>
            <w:tcW w:w="3421" w:type="dxa"/>
            <w:vAlign w:val="center"/>
          </w:tcPr>
          <w:p w14:paraId="601395E6" w14:textId="77777777" w:rsidR="005342D5" w:rsidRPr="0019790A" w:rsidRDefault="005342D5" w:rsidP="0019790A">
            <w:pPr>
              <w:rPr>
                <w:rFonts w:cs="Arial"/>
                <w:b/>
                <w:szCs w:val="22"/>
              </w:rPr>
            </w:pPr>
            <w:r w:rsidRPr="0019790A">
              <w:rPr>
                <w:rFonts w:cs="Arial"/>
                <w:b/>
                <w:szCs w:val="22"/>
              </w:rPr>
              <w:t>Територія на яку проєкт матиме вплив:</w:t>
            </w:r>
          </w:p>
        </w:tc>
        <w:tc>
          <w:tcPr>
            <w:tcW w:w="6798" w:type="dxa"/>
            <w:gridSpan w:val="7"/>
            <w:vAlign w:val="center"/>
          </w:tcPr>
          <w:p w14:paraId="6A6A7850" w14:textId="77777777" w:rsidR="005342D5" w:rsidRPr="0019790A" w:rsidRDefault="005342D5" w:rsidP="006D54ED">
            <w:pPr>
              <w:tabs>
                <w:tab w:val="left" w:pos="311"/>
              </w:tabs>
              <w:jc w:val="both"/>
              <w:rPr>
                <w:rFonts w:cs="Arial"/>
                <w:szCs w:val="22"/>
              </w:rPr>
            </w:pPr>
            <w:r w:rsidRPr="0019790A">
              <w:rPr>
                <w:rFonts w:cs="Arial"/>
                <w:szCs w:val="22"/>
              </w:rPr>
              <w:t>Жмеринська міська територіальна громада</w:t>
            </w:r>
          </w:p>
        </w:tc>
      </w:tr>
      <w:tr w:rsidR="005342D5" w:rsidRPr="0019790A" w14:paraId="3049D80C" w14:textId="77777777" w:rsidTr="006D54ED">
        <w:trPr>
          <w:jc w:val="right"/>
        </w:trPr>
        <w:tc>
          <w:tcPr>
            <w:tcW w:w="3421" w:type="dxa"/>
            <w:vAlign w:val="center"/>
          </w:tcPr>
          <w:p w14:paraId="53F29C89" w14:textId="77777777" w:rsidR="005342D5" w:rsidRPr="0019790A" w:rsidRDefault="005342D5" w:rsidP="0019790A">
            <w:pPr>
              <w:rPr>
                <w:rFonts w:cs="Arial"/>
                <w:b/>
                <w:szCs w:val="22"/>
              </w:rPr>
            </w:pPr>
            <w:r w:rsidRPr="0019790A">
              <w:rPr>
                <w:rFonts w:cs="Arial"/>
                <w:b/>
                <w:szCs w:val="22"/>
              </w:rPr>
              <w:t>Цільові групи проєкту та кількість отримувачів вигоди</w:t>
            </w:r>
          </w:p>
        </w:tc>
        <w:tc>
          <w:tcPr>
            <w:tcW w:w="6798" w:type="dxa"/>
            <w:gridSpan w:val="7"/>
            <w:vAlign w:val="center"/>
          </w:tcPr>
          <w:p w14:paraId="1D6C1F98" w14:textId="77777777" w:rsidR="005342D5" w:rsidRPr="0019790A" w:rsidRDefault="005342D5" w:rsidP="006D54ED">
            <w:pPr>
              <w:numPr>
                <w:ilvl w:val="0"/>
                <w:numId w:val="127"/>
              </w:numPr>
              <w:tabs>
                <w:tab w:val="left" w:pos="311"/>
              </w:tabs>
              <w:ind w:left="0" w:firstLine="0"/>
              <w:jc w:val="both"/>
              <w:rPr>
                <w:rFonts w:cs="Arial"/>
                <w:szCs w:val="22"/>
              </w:rPr>
            </w:pPr>
            <w:r w:rsidRPr="0019790A">
              <w:rPr>
                <w:rFonts w:cs="Arial"/>
                <w:szCs w:val="22"/>
              </w:rPr>
              <w:t>Діти та молодь (10–25 років)</w:t>
            </w:r>
          </w:p>
          <w:p w14:paraId="5804CC4E" w14:textId="77777777" w:rsidR="005342D5" w:rsidRPr="0019790A" w:rsidRDefault="005342D5" w:rsidP="006D54ED">
            <w:pPr>
              <w:numPr>
                <w:ilvl w:val="0"/>
                <w:numId w:val="127"/>
              </w:numPr>
              <w:tabs>
                <w:tab w:val="left" w:pos="311"/>
              </w:tabs>
              <w:ind w:left="0" w:firstLine="0"/>
              <w:jc w:val="both"/>
              <w:rPr>
                <w:rFonts w:cs="Arial"/>
                <w:szCs w:val="22"/>
              </w:rPr>
            </w:pPr>
            <w:r w:rsidRPr="0019790A">
              <w:rPr>
                <w:rFonts w:cs="Arial"/>
                <w:szCs w:val="22"/>
              </w:rPr>
              <w:t>Вчителі, батьки, молодіжні працівники</w:t>
            </w:r>
          </w:p>
          <w:p w14:paraId="4B1EAE1E" w14:textId="77777777" w:rsidR="005342D5" w:rsidRPr="0019790A" w:rsidRDefault="005342D5" w:rsidP="006D54ED">
            <w:pPr>
              <w:numPr>
                <w:ilvl w:val="0"/>
                <w:numId w:val="127"/>
              </w:numPr>
              <w:tabs>
                <w:tab w:val="left" w:pos="311"/>
              </w:tabs>
              <w:ind w:left="0" w:firstLine="0"/>
              <w:jc w:val="both"/>
              <w:rPr>
                <w:rFonts w:cs="Arial"/>
                <w:szCs w:val="22"/>
              </w:rPr>
            </w:pPr>
            <w:r w:rsidRPr="0019790A">
              <w:rPr>
                <w:rFonts w:cs="Arial"/>
                <w:szCs w:val="22"/>
              </w:rPr>
              <w:t>Люди середнього віку, працівники закладів освіти та культури</w:t>
            </w:r>
          </w:p>
          <w:p w14:paraId="730A904F" w14:textId="77777777" w:rsidR="005342D5" w:rsidRPr="0019790A" w:rsidRDefault="005342D5" w:rsidP="006D54ED">
            <w:pPr>
              <w:numPr>
                <w:ilvl w:val="0"/>
                <w:numId w:val="127"/>
              </w:numPr>
              <w:tabs>
                <w:tab w:val="left" w:pos="311"/>
              </w:tabs>
              <w:ind w:left="0" w:firstLine="0"/>
              <w:jc w:val="both"/>
              <w:rPr>
                <w:rFonts w:cs="Arial"/>
                <w:szCs w:val="22"/>
              </w:rPr>
            </w:pPr>
            <w:r w:rsidRPr="0019790A">
              <w:rPr>
                <w:rFonts w:cs="Arial"/>
                <w:szCs w:val="22"/>
              </w:rPr>
              <w:t>Уразливі категорії (ВПО, ветерани, багатодітні родини)</w:t>
            </w:r>
          </w:p>
          <w:p w14:paraId="774F179D" w14:textId="77777777" w:rsidR="005342D5" w:rsidRPr="0019790A" w:rsidRDefault="005342D5" w:rsidP="006D54ED">
            <w:pPr>
              <w:tabs>
                <w:tab w:val="left" w:pos="311"/>
              </w:tabs>
              <w:jc w:val="both"/>
              <w:rPr>
                <w:rFonts w:cs="Arial"/>
                <w:szCs w:val="22"/>
              </w:rPr>
            </w:pPr>
            <w:r w:rsidRPr="0019790A">
              <w:rPr>
                <w:rFonts w:cs="Arial"/>
                <w:b/>
                <w:szCs w:val="22"/>
              </w:rPr>
              <w:t>Кількість отримувачів вигоди</w:t>
            </w:r>
            <w:r w:rsidRPr="0019790A">
              <w:rPr>
                <w:rFonts w:cs="Arial"/>
                <w:szCs w:val="22"/>
              </w:rPr>
              <w:t xml:space="preserve"> </w:t>
            </w:r>
            <w:r w:rsidRPr="0019790A">
              <w:rPr>
                <w:rFonts w:cs="Arial"/>
                <w:b/>
                <w:szCs w:val="22"/>
              </w:rPr>
              <w:t>1500 осіб.</w:t>
            </w:r>
          </w:p>
        </w:tc>
      </w:tr>
      <w:tr w:rsidR="005342D5" w:rsidRPr="0019790A" w14:paraId="02611D1C" w14:textId="77777777" w:rsidTr="006D54ED">
        <w:trPr>
          <w:jc w:val="right"/>
        </w:trPr>
        <w:tc>
          <w:tcPr>
            <w:tcW w:w="3421" w:type="dxa"/>
            <w:shd w:val="clear" w:color="auto" w:fill="FFFFFF"/>
            <w:vAlign w:val="center"/>
          </w:tcPr>
          <w:p w14:paraId="1BF2217F" w14:textId="77777777" w:rsidR="005342D5" w:rsidRPr="0019790A" w:rsidRDefault="005342D5" w:rsidP="0019790A">
            <w:pPr>
              <w:rPr>
                <w:rFonts w:cs="Arial"/>
                <w:b/>
                <w:bCs/>
                <w:szCs w:val="22"/>
              </w:rPr>
            </w:pPr>
            <w:r w:rsidRPr="0019790A">
              <w:rPr>
                <w:rFonts w:cs="Arial"/>
                <w:b/>
                <w:bCs/>
                <w:szCs w:val="22"/>
              </w:rPr>
              <w:t>Стислий опис проєкту:</w:t>
            </w:r>
          </w:p>
        </w:tc>
        <w:tc>
          <w:tcPr>
            <w:tcW w:w="6798" w:type="dxa"/>
            <w:gridSpan w:val="7"/>
            <w:vAlign w:val="center"/>
          </w:tcPr>
          <w:p w14:paraId="32FBD683" w14:textId="77777777" w:rsidR="005342D5" w:rsidRPr="0019790A" w:rsidRDefault="005342D5" w:rsidP="006D54ED">
            <w:pPr>
              <w:tabs>
                <w:tab w:val="left" w:pos="311"/>
              </w:tabs>
              <w:jc w:val="both"/>
              <w:rPr>
                <w:rFonts w:cs="Arial"/>
                <w:szCs w:val="22"/>
              </w:rPr>
            </w:pPr>
            <w:r w:rsidRPr="0019790A">
              <w:rPr>
                <w:rFonts w:cs="Arial"/>
                <w:szCs w:val="22"/>
              </w:rPr>
              <w:t>Проєкт спрямований на всебічне формування у мешканців громади сталих звичок здорового життя. Через тренінги, відкриті лекції, фізичні активності, інтерактивні заходи та інформаційну кампанію учасники отримають практичні знання з фізичної культури, здорового харчування, психоемоційної стійкості, профілактики залежностей та зниження рівня стресу.</w:t>
            </w:r>
          </w:p>
        </w:tc>
      </w:tr>
      <w:tr w:rsidR="005342D5" w:rsidRPr="0019790A" w14:paraId="1C0177DB" w14:textId="77777777" w:rsidTr="006D54ED">
        <w:trPr>
          <w:jc w:val="right"/>
        </w:trPr>
        <w:tc>
          <w:tcPr>
            <w:tcW w:w="3421" w:type="dxa"/>
            <w:shd w:val="clear" w:color="auto" w:fill="FFFFFF"/>
            <w:vAlign w:val="center"/>
          </w:tcPr>
          <w:p w14:paraId="62A67384" w14:textId="77777777" w:rsidR="005342D5" w:rsidRPr="0019790A" w:rsidRDefault="005342D5" w:rsidP="0019790A">
            <w:pPr>
              <w:rPr>
                <w:rFonts w:cs="Arial"/>
                <w:b/>
                <w:bCs/>
                <w:szCs w:val="22"/>
              </w:rPr>
            </w:pPr>
            <w:r w:rsidRPr="0019790A">
              <w:rPr>
                <w:rFonts w:cs="Arial"/>
                <w:b/>
                <w:bCs/>
                <w:szCs w:val="22"/>
              </w:rPr>
              <w:t>Основні заходи проєкту:</w:t>
            </w:r>
          </w:p>
        </w:tc>
        <w:tc>
          <w:tcPr>
            <w:tcW w:w="6798" w:type="dxa"/>
            <w:gridSpan w:val="7"/>
            <w:vAlign w:val="center"/>
          </w:tcPr>
          <w:p w14:paraId="26AA7F93" w14:textId="77777777" w:rsidR="005342D5" w:rsidRPr="0019790A" w:rsidRDefault="005342D5" w:rsidP="006D54ED">
            <w:pPr>
              <w:numPr>
                <w:ilvl w:val="0"/>
                <w:numId w:val="128"/>
              </w:numPr>
              <w:tabs>
                <w:tab w:val="left" w:pos="311"/>
              </w:tabs>
              <w:ind w:left="0" w:firstLine="0"/>
              <w:jc w:val="both"/>
              <w:rPr>
                <w:rFonts w:cs="Arial"/>
                <w:szCs w:val="22"/>
              </w:rPr>
            </w:pPr>
            <w:r w:rsidRPr="0019790A">
              <w:rPr>
                <w:rFonts w:cs="Arial"/>
                <w:szCs w:val="22"/>
              </w:rPr>
              <w:t>Проведення циклу тренінгів «Школа здоров’я»</w:t>
            </w:r>
          </w:p>
          <w:p w14:paraId="75ECF51A" w14:textId="77777777" w:rsidR="005342D5" w:rsidRPr="0019790A" w:rsidRDefault="005342D5" w:rsidP="006D54ED">
            <w:pPr>
              <w:numPr>
                <w:ilvl w:val="0"/>
                <w:numId w:val="128"/>
              </w:numPr>
              <w:tabs>
                <w:tab w:val="left" w:pos="311"/>
              </w:tabs>
              <w:ind w:left="0" w:firstLine="0"/>
              <w:jc w:val="both"/>
              <w:rPr>
                <w:rFonts w:cs="Arial"/>
                <w:szCs w:val="22"/>
              </w:rPr>
            </w:pPr>
            <w:r w:rsidRPr="0019790A">
              <w:rPr>
                <w:rFonts w:cs="Arial"/>
                <w:szCs w:val="22"/>
              </w:rPr>
              <w:t>Відкриті фітнес-сесії на вулиці та в залі</w:t>
            </w:r>
          </w:p>
          <w:p w14:paraId="1E83EA52" w14:textId="77777777" w:rsidR="005342D5" w:rsidRPr="0019790A" w:rsidRDefault="005342D5" w:rsidP="006D54ED">
            <w:pPr>
              <w:numPr>
                <w:ilvl w:val="0"/>
                <w:numId w:val="128"/>
              </w:numPr>
              <w:tabs>
                <w:tab w:val="left" w:pos="311"/>
              </w:tabs>
              <w:ind w:left="0" w:firstLine="0"/>
              <w:jc w:val="both"/>
              <w:rPr>
                <w:rFonts w:cs="Arial"/>
                <w:szCs w:val="22"/>
              </w:rPr>
            </w:pPr>
            <w:r w:rsidRPr="0019790A">
              <w:rPr>
                <w:rFonts w:cs="Arial"/>
                <w:szCs w:val="22"/>
              </w:rPr>
              <w:t>Психологічні воркшопи: емоційний інтелект, стрес-менеджмент</w:t>
            </w:r>
          </w:p>
          <w:p w14:paraId="45C119A4" w14:textId="77777777" w:rsidR="005342D5" w:rsidRPr="0019790A" w:rsidRDefault="005342D5" w:rsidP="006D54ED">
            <w:pPr>
              <w:numPr>
                <w:ilvl w:val="0"/>
                <w:numId w:val="128"/>
              </w:numPr>
              <w:tabs>
                <w:tab w:val="left" w:pos="311"/>
              </w:tabs>
              <w:ind w:left="0" w:firstLine="0"/>
              <w:jc w:val="both"/>
              <w:rPr>
                <w:rFonts w:cs="Arial"/>
                <w:szCs w:val="22"/>
              </w:rPr>
            </w:pPr>
            <w:r w:rsidRPr="0019790A">
              <w:rPr>
                <w:rFonts w:cs="Arial"/>
                <w:szCs w:val="22"/>
              </w:rPr>
              <w:t>Проведення Дня здоров’я в громаді</w:t>
            </w:r>
          </w:p>
        </w:tc>
      </w:tr>
      <w:tr w:rsidR="005342D5" w:rsidRPr="0019790A" w14:paraId="5D18DEFD" w14:textId="77777777" w:rsidTr="006D54ED">
        <w:trPr>
          <w:trHeight w:val="487"/>
          <w:jc w:val="right"/>
        </w:trPr>
        <w:tc>
          <w:tcPr>
            <w:tcW w:w="3421" w:type="dxa"/>
            <w:shd w:val="clear" w:color="auto" w:fill="FFFFFF"/>
            <w:vAlign w:val="center"/>
          </w:tcPr>
          <w:p w14:paraId="7F5FC6C6" w14:textId="77777777" w:rsidR="005342D5" w:rsidRPr="0019790A" w:rsidRDefault="005342D5" w:rsidP="0019790A">
            <w:pPr>
              <w:rPr>
                <w:rFonts w:cs="Arial"/>
                <w:b/>
                <w:bCs/>
                <w:szCs w:val="22"/>
              </w:rPr>
            </w:pPr>
            <w:r w:rsidRPr="0019790A">
              <w:rPr>
                <w:rFonts w:cs="Arial"/>
                <w:b/>
                <w:bCs/>
                <w:szCs w:val="22"/>
              </w:rPr>
              <w:t>Індикатори (показники) результативності:</w:t>
            </w:r>
          </w:p>
        </w:tc>
        <w:tc>
          <w:tcPr>
            <w:tcW w:w="6798" w:type="dxa"/>
            <w:gridSpan w:val="7"/>
            <w:vAlign w:val="center"/>
          </w:tcPr>
          <w:p w14:paraId="18599F4E" w14:textId="77777777" w:rsidR="005342D5" w:rsidRPr="0019790A" w:rsidRDefault="005342D5" w:rsidP="006D54ED">
            <w:pPr>
              <w:numPr>
                <w:ilvl w:val="0"/>
                <w:numId w:val="129"/>
              </w:numPr>
              <w:tabs>
                <w:tab w:val="left" w:pos="311"/>
              </w:tabs>
              <w:ind w:left="0" w:firstLine="0"/>
              <w:jc w:val="both"/>
              <w:rPr>
                <w:rFonts w:cs="Arial"/>
                <w:szCs w:val="22"/>
              </w:rPr>
            </w:pPr>
            <w:r w:rsidRPr="0019790A">
              <w:rPr>
                <w:rFonts w:cs="Arial"/>
                <w:szCs w:val="22"/>
              </w:rPr>
              <w:t>Не менше 500 учасників очних заходів за рік</w:t>
            </w:r>
          </w:p>
          <w:p w14:paraId="4141331A" w14:textId="77777777" w:rsidR="005342D5" w:rsidRPr="0019790A" w:rsidRDefault="005342D5" w:rsidP="006D54ED">
            <w:pPr>
              <w:numPr>
                <w:ilvl w:val="0"/>
                <w:numId w:val="129"/>
              </w:numPr>
              <w:tabs>
                <w:tab w:val="left" w:pos="311"/>
              </w:tabs>
              <w:ind w:left="0" w:firstLine="0"/>
              <w:jc w:val="both"/>
              <w:rPr>
                <w:rFonts w:cs="Arial"/>
                <w:szCs w:val="22"/>
              </w:rPr>
            </w:pPr>
            <w:r w:rsidRPr="0019790A">
              <w:rPr>
                <w:rFonts w:cs="Arial"/>
                <w:szCs w:val="22"/>
              </w:rPr>
              <w:t xml:space="preserve">Проведено щонайменше 20 заходів у межах проєкту </w:t>
            </w:r>
          </w:p>
          <w:p w14:paraId="7D523605" w14:textId="77777777" w:rsidR="005342D5" w:rsidRPr="0019790A" w:rsidRDefault="005342D5" w:rsidP="006D54ED">
            <w:pPr>
              <w:numPr>
                <w:ilvl w:val="0"/>
                <w:numId w:val="129"/>
              </w:numPr>
              <w:tabs>
                <w:tab w:val="left" w:pos="311"/>
              </w:tabs>
              <w:ind w:left="0" w:firstLine="0"/>
              <w:jc w:val="both"/>
              <w:rPr>
                <w:rFonts w:cs="Arial"/>
                <w:szCs w:val="22"/>
              </w:rPr>
            </w:pPr>
            <w:r w:rsidRPr="0019790A">
              <w:rPr>
                <w:rFonts w:cs="Arial"/>
                <w:szCs w:val="22"/>
              </w:rPr>
              <w:t>70% учасників засвоїли основи ЗСЖ (згідно з анкетами)</w:t>
            </w:r>
          </w:p>
          <w:p w14:paraId="55EF6C41" w14:textId="77777777" w:rsidR="005342D5" w:rsidRPr="0019790A" w:rsidRDefault="005342D5" w:rsidP="006D54ED">
            <w:pPr>
              <w:numPr>
                <w:ilvl w:val="0"/>
                <w:numId w:val="129"/>
              </w:numPr>
              <w:tabs>
                <w:tab w:val="left" w:pos="311"/>
              </w:tabs>
              <w:ind w:left="0" w:firstLine="0"/>
              <w:jc w:val="both"/>
              <w:rPr>
                <w:rFonts w:cs="Arial"/>
                <w:szCs w:val="22"/>
              </w:rPr>
            </w:pPr>
            <w:r w:rsidRPr="0019790A">
              <w:rPr>
                <w:rFonts w:cs="Arial"/>
                <w:szCs w:val="22"/>
              </w:rPr>
              <w:t>80% опитаних учасників впровадили щонайменше одну здорову звичку</w:t>
            </w:r>
          </w:p>
        </w:tc>
      </w:tr>
      <w:tr w:rsidR="005342D5" w:rsidRPr="0019790A" w14:paraId="41603C18" w14:textId="77777777" w:rsidTr="006D54ED">
        <w:trPr>
          <w:jc w:val="right"/>
        </w:trPr>
        <w:tc>
          <w:tcPr>
            <w:tcW w:w="3421" w:type="dxa"/>
            <w:shd w:val="clear" w:color="auto" w:fill="FFFFFF"/>
            <w:vAlign w:val="center"/>
          </w:tcPr>
          <w:p w14:paraId="1E2F86E6" w14:textId="77777777" w:rsidR="005342D5" w:rsidRPr="0019790A" w:rsidRDefault="005342D5" w:rsidP="0019790A">
            <w:pPr>
              <w:rPr>
                <w:rFonts w:cs="Arial"/>
                <w:b/>
                <w:szCs w:val="22"/>
              </w:rPr>
            </w:pPr>
            <w:r w:rsidRPr="0019790A">
              <w:rPr>
                <w:rFonts w:cs="Arial"/>
                <w:b/>
                <w:szCs w:val="22"/>
              </w:rPr>
              <w:t xml:space="preserve">Період здійснення: </w:t>
            </w:r>
          </w:p>
        </w:tc>
        <w:tc>
          <w:tcPr>
            <w:tcW w:w="6798" w:type="dxa"/>
            <w:gridSpan w:val="7"/>
            <w:vAlign w:val="center"/>
          </w:tcPr>
          <w:p w14:paraId="2056EA1E" w14:textId="77777777" w:rsidR="005342D5" w:rsidRPr="0019790A" w:rsidRDefault="005342D5" w:rsidP="006D54ED">
            <w:pPr>
              <w:tabs>
                <w:tab w:val="left" w:pos="311"/>
              </w:tabs>
              <w:jc w:val="both"/>
              <w:rPr>
                <w:rFonts w:cs="Arial"/>
                <w:szCs w:val="22"/>
              </w:rPr>
            </w:pPr>
            <w:r w:rsidRPr="0019790A">
              <w:rPr>
                <w:rFonts w:cs="Arial"/>
                <w:b/>
                <w:szCs w:val="22"/>
              </w:rPr>
              <w:t>2025 – 2028 роки:</w:t>
            </w:r>
          </w:p>
        </w:tc>
      </w:tr>
      <w:tr w:rsidR="005342D5" w:rsidRPr="0019790A" w14:paraId="68BDA8CB" w14:textId="77777777" w:rsidTr="006D54ED">
        <w:trPr>
          <w:jc w:val="right"/>
        </w:trPr>
        <w:tc>
          <w:tcPr>
            <w:tcW w:w="3421" w:type="dxa"/>
            <w:vMerge w:val="restart"/>
            <w:shd w:val="clear" w:color="auto" w:fill="FFFFFF"/>
            <w:vAlign w:val="center"/>
          </w:tcPr>
          <w:p w14:paraId="23EE2B3A" w14:textId="77777777" w:rsidR="005342D5" w:rsidRPr="0019790A" w:rsidRDefault="005342D5" w:rsidP="0019790A">
            <w:pPr>
              <w:rPr>
                <w:rFonts w:cs="Arial"/>
                <w:b/>
                <w:bCs/>
                <w:szCs w:val="22"/>
              </w:rPr>
            </w:pPr>
            <w:r w:rsidRPr="0019790A">
              <w:rPr>
                <w:rFonts w:cs="Arial"/>
                <w:b/>
                <w:bCs/>
                <w:szCs w:val="22"/>
              </w:rPr>
              <w:t>Орієнтовна вартість проєкту, тис. грн., в тому числі:</w:t>
            </w:r>
          </w:p>
        </w:tc>
        <w:tc>
          <w:tcPr>
            <w:tcW w:w="1254" w:type="dxa"/>
            <w:shd w:val="clear" w:color="auto" w:fill="E6E6E6"/>
            <w:vAlign w:val="center"/>
          </w:tcPr>
          <w:p w14:paraId="02FD26FE" w14:textId="77777777" w:rsidR="005342D5" w:rsidRPr="0019790A" w:rsidRDefault="005342D5" w:rsidP="006D54ED">
            <w:pPr>
              <w:tabs>
                <w:tab w:val="left" w:pos="311"/>
              </w:tabs>
              <w:jc w:val="center"/>
              <w:rPr>
                <w:rFonts w:cs="Arial"/>
                <w:b/>
                <w:szCs w:val="22"/>
              </w:rPr>
            </w:pPr>
            <w:r w:rsidRPr="0019790A">
              <w:rPr>
                <w:rFonts w:cs="Arial"/>
                <w:b/>
                <w:szCs w:val="22"/>
              </w:rPr>
              <w:t>2025</w:t>
            </w:r>
          </w:p>
        </w:tc>
        <w:tc>
          <w:tcPr>
            <w:tcW w:w="1275" w:type="dxa"/>
            <w:gridSpan w:val="2"/>
            <w:shd w:val="clear" w:color="auto" w:fill="E6E6E6"/>
            <w:vAlign w:val="center"/>
          </w:tcPr>
          <w:p w14:paraId="44CD865C" w14:textId="77777777" w:rsidR="005342D5" w:rsidRPr="0019790A" w:rsidRDefault="005342D5" w:rsidP="006D54ED">
            <w:pPr>
              <w:tabs>
                <w:tab w:val="left" w:pos="311"/>
              </w:tabs>
              <w:jc w:val="center"/>
              <w:rPr>
                <w:rFonts w:cs="Arial"/>
                <w:b/>
                <w:szCs w:val="22"/>
              </w:rPr>
            </w:pPr>
            <w:r w:rsidRPr="0019790A">
              <w:rPr>
                <w:rFonts w:cs="Arial"/>
                <w:b/>
                <w:szCs w:val="22"/>
              </w:rPr>
              <w:t>2026</w:t>
            </w:r>
          </w:p>
        </w:tc>
        <w:tc>
          <w:tcPr>
            <w:tcW w:w="1420" w:type="dxa"/>
            <w:tcBorders>
              <w:bottom w:val="single" w:sz="4" w:space="0" w:color="auto"/>
            </w:tcBorders>
            <w:shd w:val="clear" w:color="auto" w:fill="E6E6E6"/>
            <w:vAlign w:val="center"/>
          </w:tcPr>
          <w:p w14:paraId="1BA85816" w14:textId="77777777" w:rsidR="005342D5" w:rsidRPr="0019790A" w:rsidRDefault="005342D5" w:rsidP="006D54ED">
            <w:pPr>
              <w:tabs>
                <w:tab w:val="left" w:pos="311"/>
              </w:tabs>
              <w:jc w:val="center"/>
              <w:rPr>
                <w:rFonts w:cs="Arial"/>
                <w:b/>
                <w:szCs w:val="22"/>
              </w:rPr>
            </w:pPr>
            <w:r w:rsidRPr="0019790A">
              <w:rPr>
                <w:rFonts w:cs="Arial"/>
                <w:b/>
                <w:szCs w:val="22"/>
              </w:rPr>
              <w:t>2027</w:t>
            </w:r>
          </w:p>
        </w:tc>
        <w:tc>
          <w:tcPr>
            <w:tcW w:w="1276" w:type="dxa"/>
            <w:shd w:val="clear" w:color="auto" w:fill="E6E6E6"/>
            <w:vAlign w:val="center"/>
          </w:tcPr>
          <w:p w14:paraId="2447F43F" w14:textId="77777777" w:rsidR="005342D5" w:rsidRPr="0019790A" w:rsidRDefault="005342D5" w:rsidP="006D54ED">
            <w:pPr>
              <w:tabs>
                <w:tab w:val="left" w:pos="311"/>
              </w:tabs>
              <w:jc w:val="center"/>
              <w:rPr>
                <w:rFonts w:cs="Arial"/>
                <w:b/>
                <w:szCs w:val="22"/>
              </w:rPr>
            </w:pPr>
            <w:r w:rsidRPr="0019790A">
              <w:rPr>
                <w:rFonts w:cs="Arial"/>
                <w:b/>
                <w:szCs w:val="22"/>
              </w:rPr>
              <w:t>2028</w:t>
            </w:r>
          </w:p>
        </w:tc>
        <w:tc>
          <w:tcPr>
            <w:tcW w:w="1573" w:type="dxa"/>
            <w:gridSpan w:val="2"/>
            <w:shd w:val="clear" w:color="auto" w:fill="E6E6E6"/>
            <w:vAlign w:val="center"/>
          </w:tcPr>
          <w:p w14:paraId="7771EDD3" w14:textId="77777777" w:rsidR="005342D5" w:rsidRPr="0019790A" w:rsidRDefault="005342D5" w:rsidP="006D54ED">
            <w:pPr>
              <w:tabs>
                <w:tab w:val="left" w:pos="311"/>
              </w:tabs>
              <w:jc w:val="center"/>
              <w:rPr>
                <w:rFonts w:cs="Arial"/>
                <w:b/>
                <w:szCs w:val="22"/>
              </w:rPr>
            </w:pPr>
            <w:r w:rsidRPr="0019790A">
              <w:rPr>
                <w:rFonts w:cs="Arial"/>
                <w:b/>
                <w:szCs w:val="22"/>
              </w:rPr>
              <w:t>РАЗОМ</w:t>
            </w:r>
          </w:p>
        </w:tc>
      </w:tr>
      <w:tr w:rsidR="005342D5" w:rsidRPr="0019790A" w14:paraId="23D18071" w14:textId="77777777" w:rsidTr="006D54ED">
        <w:trPr>
          <w:jc w:val="right"/>
        </w:trPr>
        <w:tc>
          <w:tcPr>
            <w:tcW w:w="3421" w:type="dxa"/>
            <w:vMerge/>
            <w:shd w:val="clear" w:color="auto" w:fill="FFFFFF"/>
            <w:vAlign w:val="center"/>
          </w:tcPr>
          <w:p w14:paraId="4F015860" w14:textId="77777777" w:rsidR="005342D5" w:rsidRPr="0019790A" w:rsidRDefault="005342D5" w:rsidP="0019790A">
            <w:pPr>
              <w:rPr>
                <w:rFonts w:cs="Arial"/>
                <w:b/>
                <w:bCs/>
                <w:szCs w:val="22"/>
              </w:rPr>
            </w:pPr>
          </w:p>
        </w:tc>
        <w:tc>
          <w:tcPr>
            <w:tcW w:w="1254" w:type="dxa"/>
            <w:vAlign w:val="center"/>
          </w:tcPr>
          <w:p w14:paraId="01A8328C" w14:textId="77777777" w:rsidR="005342D5" w:rsidRPr="0019790A" w:rsidRDefault="005342D5" w:rsidP="006D54ED">
            <w:pPr>
              <w:tabs>
                <w:tab w:val="left" w:pos="311"/>
              </w:tabs>
              <w:jc w:val="center"/>
              <w:rPr>
                <w:rFonts w:cs="Arial"/>
                <w:b/>
                <w:szCs w:val="22"/>
              </w:rPr>
            </w:pPr>
          </w:p>
        </w:tc>
        <w:tc>
          <w:tcPr>
            <w:tcW w:w="1275" w:type="dxa"/>
            <w:gridSpan w:val="2"/>
            <w:shd w:val="clear" w:color="auto" w:fill="FFFFFF"/>
            <w:vAlign w:val="center"/>
          </w:tcPr>
          <w:p w14:paraId="2CA7C5E7" w14:textId="77777777" w:rsidR="005342D5" w:rsidRPr="0019790A" w:rsidRDefault="005342D5" w:rsidP="006D54ED">
            <w:pPr>
              <w:tabs>
                <w:tab w:val="left" w:pos="311"/>
              </w:tabs>
              <w:jc w:val="center"/>
              <w:rPr>
                <w:rFonts w:cs="Arial"/>
                <w:b/>
                <w:szCs w:val="22"/>
              </w:rPr>
            </w:pPr>
            <w:r w:rsidRPr="0019790A">
              <w:rPr>
                <w:rFonts w:cs="Arial"/>
                <w:b/>
                <w:szCs w:val="22"/>
              </w:rPr>
              <w:t>100,0</w:t>
            </w:r>
          </w:p>
        </w:tc>
        <w:tc>
          <w:tcPr>
            <w:tcW w:w="1420" w:type="dxa"/>
            <w:shd w:val="clear" w:color="auto" w:fill="auto"/>
            <w:vAlign w:val="center"/>
          </w:tcPr>
          <w:p w14:paraId="3B600CBB" w14:textId="77777777" w:rsidR="005342D5" w:rsidRPr="0019790A" w:rsidRDefault="005342D5" w:rsidP="006D54ED">
            <w:pPr>
              <w:tabs>
                <w:tab w:val="left" w:pos="311"/>
              </w:tabs>
              <w:jc w:val="center"/>
              <w:rPr>
                <w:rFonts w:cs="Arial"/>
                <w:b/>
                <w:szCs w:val="22"/>
              </w:rPr>
            </w:pPr>
            <w:r w:rsidRPr="0019790A">
              <w:rPr>
                <w:rFonts w:cs="Arial"/>
                <w:b/>
                <w:szCs w:val="22"/>
              </w:rPr>
              <w:t>100,0</w:t>
            </w:r>
          </w:p>
        </w:tc>
        <w:tc>
          <w:tcPr>
            <w:tcW w:w="1276" w:type="dxa"/>
            <w:shd w:val="clear" w:color="auto" w:fill="FFFFFF"/>
            <w:vAlign w:val="center"/>
          </w:tcPr>
          <w:p w14:paraId="6ED530CB" w14:textId="77777777" w:rsidR="005342D5" w:rsidRPr="0019790A" w:rsidRDefault="005342D5" w:rsidP="006D54ED">
            <w:pPr>
              <w:tabs>
                <w:tab w:val="left" w:pos="311"/>
              </w:tabs>
              <w:jc w:val="center"/>
              <w:rPr>
                <w:rFonts w:cs="Arial"/>
                <w:b/>
                <w:szCs w:val="22"/>
              </w:rPr>
            </w:pPr>
            <w:r w:rsidRPr="0019790A">
              <w:rPr>
                <w:rFonts w:cs="Arial"/>
                <w:b/>
                <w:szCs w:val="22"/>
              </w:rPr>
              <w:t>100,0</w:t>
            </w:r>
          </w:p>
        </w:tc>
        <w:tc>
          <w:tcPr>
            <w:tcW w:w="1573" w:type="dxa"/>
            <w:gridSpan w:val="2"/>
            <w:shd w:val="clear" w:color="auto" w:fill="FFFFFF"/>
            <w:vAlign w:val="center"/>
          </w:tcPr>
          <w:p w14:paraId="03BDCF97" w14:textId="77777777" w:rsidR="005342D5" w:rsidRPr="0019790A" w:rsidRDefault="005342D5" w:rsidP="006D54ED">
            <w:pPr>
              <w:tabs>
                <w:tab w:val="left" w:pos="311"/>
              </w:tabs>
              <w:jc w:val="center"/>
              <w:rPr>
                <w:rFonts w:cs="Arial"/>
                <w:b/>
                <w:szCs w:val="22"/>
              </w:rPr>
            </w:pPr>
            <w:r w:rsidRPr="0019790A">
              <w:rPr>
                <w:rFonts w:cs="Arial"/>
                <w:b/>
                <w:szCs w:val="22"/>
              </w:rPr>
              <w:t>300,0</w:t>
            </w:r>
          </w:p>
        </w:tc>
      </w:tr>
      <w:tr w:rsidR="005342D5" w:rsidRPr="0019790A" w14:paraId="12A1759C" w14:textId="77777777" w:rsidTr="006D54ED">
        <w:trPr>
          <w:trHeight w:val="276"/>
          <w:jc w:val="right"/>
        </w:trPr>
        <w:tc>
          <w:tcPr>
            <w:tcW w:w="3421" w:type="dxa"/>
            <w:shd w:val="clear" w:color="auto" w:fill="FFFFFF"/>
            <w:vAlign w:val="center"/>
          </w:tcPr>
          <w:p w14:paraId="37392573" w14:textId="77777777" w:rsidR="005342D5" w:rsidRPr="0019790A" w:rsidRDefault="005342D5" w:rsidP="0019790A">
            <w:pPr>
              <w:rPr>
                <w:rFonts w:cs="Arial"/>
                <w:b/>
                <w:bCs/>
                <w:szCs w:val="22"/>
              </w:rPr>
            </w:pPr>
            <w:r w:rsidRPr="0019790A">
              <w:rPr>
                <w:rFonts w:cs="Arial"/>
                <w:b/>
                <w:bCs/>
                <w:szCs w:val="22"/>
              </w:rPr>
              <w:t>по джерелах фінансування:</w:t>
            </w:r>
          </w:p>
        </w:tc>
        <w:tc>
          <w:tcPr>
            <w:tcW w:w="6798" w:type="dxa"/>
            <w:gridSpan w:val="7"/>
            <w:vAlign w:val="center"/>
          </w:tcPr>
          <w:p w14:paraId="265E81AC" w14:textId="77777777" w:rsidR="005342D5" w:rsidRPr="0019790A" w:rsidRDefault="005342D5" w:rsidP="006D54ED">
            <w:pPr>
              <w:tabs>
                <w:tab w:val="left" w:pos="311"/>
              </w:tabs>
              <w:jc w:val="center"/>
              <w:rPr>
                <w:rFonts w:cs="Arial"/>
                <w:szCs w:val="22"/>
              </w:rPr>
            </w:pPr>
          </w:p>
        </w:tc>
      </w:tr>
      <w:tr w:rsidR="006D54ED" w:rsidRPr="0019790A" w14:paraId="38F24156" w14:textId="7656239C" w:rsidTr="006D54ED">
        <w:trPr>
          <w:trHeight w:val="240"/>
          <w:jc w:val="right"/>
        </w:trPr>
        <w:tc>
          <w:tcPr>
            <w:tcW w:w="3421" w:type="dxa"/>
            <w:shd w:val="clear" w:color="auto" w:fill="FFFFFF"/>
            <w:vAlign w:val="center"/>
          </w:tcPr>
          <w:p w14:paraId="57299825" w14:textId="77777777" w:rsidR="006D54ED" w:rsidRPr="0019790A" w:rsidRDefault="006D54ED" w:rsidP="0019790A">
            <w:pPr>
              <w:rPr>
                <w:rFonts w:cs="Arial"/>
                <w:b/>
                <w:bCs/>
                <w:szCs w:val="22"/>
              </w:rPr>
            </w:pPr>
            <w:r w:rsidRPr="0019790A">
              <w:rPr>
                <w:rFonts w:cs="Arial"/>
                <w:szCs w:val="22"/>
              </w:rPr>
              <w:t>- державний бюджет</w:t>
            </w:r>
          </w:p>
        </w:tc>
        <w:tc>
          <w:tcPr>
            <w:tcW w:w="1267" w:type="dxa"/>
            <w:gridSpan w:val="2"/>
            <w:vAlign w:val="center"/>
          </w:tcPr>
          <w:p w14:paraId="71BE9F4D" w14:textId="77777777" w:rsidR="006D54ED" w:rsidRPr="0019790A" w:rsidRDefault="006D54ED" w:rsidP="006D54ED">
            <w:pPr>
              <w:tabs>
                <w:tab w:val="left" w:pos="311"/>
              </w:tabs>
              <w:jc w:val="center"/>
              <w:rPr>
                <w:rFonts w:cs="Arial"/>
                <w:szCs w:val="22"/>
              </w:rPr>
            </w:pPr>
          </w:p>
        </w:tc>
        <w:tc>
          <w:tcPr>
            <w:tcW w:w="1262" w:type="dxa"/>
            <w:vAlign w:val="center"/>
          </w:tcPr>
          <w:p w14:paraId="42C5C242" w14:textId="77777777" w:rsidR="006D54ED" w:rsidRPr="0019790A" w:rsidRDefault="006D54ED" w:rsidP="006D54ED">
            <w:pPr>
              <w:tabs>
                <w:tab w:val="left" w:pos="311"/>
              </w:tabs>
              <w:jc w:val="center"/>
              <w:rPr>
                <w:rFonts w:cs="Arial"/>
                <w:szCs w:val="22"/>
              </w:rPr>
            </w:pPr>
          </w:p>
        </w:tc>
        <w:tc>
          <w:tcPr>
            <w:tcW w:w="1420" w:type="dxa"/>
            <w:vAlign w:val="center"/>
          </w:tcPr>
          <w:p w14:paraId="7C1F7782" w14:textId="77777777" w:rsidR="006D54ED" w:rsidRPr="0019790A" w:rsidRDefault="006D54ED" w:rsidP="006D54ED">
            <w:pPr>
              <w:tabs>
                <w:tab w:val="left" w:pos="311"/>
              </w:tabs>
              <w:jc w:val="center"/>
              <w:rPr>
                <w:rFonts w:cs="Arial"/>
                <w:szCs w:val="22"/>
              </w:rPr>
            </w:pPr>
          </w:p>
        </w:tc>
        <w:tc>
          <w:tcPr>
            <w:tcW w:w="1306" w:type="dxa"/>
            <w:gridSpan w:val="2"/>
            <w:vAlign w:val="center"/>
          </w:tcPr>
          <w:p w14:paraId="05948E4B" w14:textId="77777777" w:rsidR="006D54ED" w:rsidRPr="0019790A" w:rsidRDefault="006D54ED" w:rsidP="006D54ED">
            <w:pPr>
              <w:tabs>
                <w:tab w:val="left" w:pos="311"/>
              </w:tabs>
              <w:jc w:val="center"/>
              <w:rPr>
                <w:rFonts w:cs="Arial"/>
                <w:szCs w:val="22"/>
              </w:rPr>
            </w:pPr>
          </w:p>
        </w:tc>
        <w:tc>
          <w:tcPr>
            <w:tcW w:w="1543" w:type="dxa"/>
            <w:vAlign w:val="center"/>
          </w:tcPr>
          <w:p w14:paraId="61A10DD5" w14:textId="77777777" w:rsidR="006D54ED" w:rsidRPr="0019790A" w:rsidRDefault="006D54ED" w:rsidP="006D54ED">
            <w:pPr>
              <w:tabs>
                <w:tab w:val="left" w:pos="311"/>
              </w:tabs>
              <w:jc w:val="center"/>
              <w:rPr>
                <w:rFonts w:cs="Arial"/>
                <w:szCs w:val="22"/>
              </w:rPr>
            </w:pPr>
          </w:p>
        </w:tc>
      </w:tr>
      <w:tr w:rsidR="006D54ED" w:rsidRPr="0019790A" w14:paraId="5C77CF55" w14:textId="788730F4" w:rsidTr="006D54ED">
        <w:trPr>
          <w:trHeight w:val="287"/>
          <w:jc w:val="right"/>
        </w:trPr>
        <w:tc>
          <w:tcPr>
            <w:tcW w:w="3421" w:type="dxa"/>
            <w:shd w:val="clear" w:color="auto" w:fill="FFFFFF"/>
            <w:vAlign w:val="center"/>
          </w:tcPr>
          <w:p w14:paraId="40C15D87" w14:textId="77777777" w:rsidR="006D54ED" w:rsidRPr="0019790A" w:rsidRDefault="006D54ED" w:rsidP="0019790A">
            <w:pPr>
              <w:rPr>
                <w:rFonts w:cs="Arial"/>
                <w:szCs w:val="22"/>
              </w:rPr>
            </w:pPr>
            <w:r w:rsidRPr="0019790A">
              <w:rPr>
                <w:rFonts w:cs="Arial"/>
                <w:szCs w:val="22"/>
              </w:rPr>
              <w:t>- обласний бюджет</w:t>
            </w:r>
          </w:p>
        </w:tc>
        <w:tc>
          <w:tcPr>
            <w:tcW w:w="1267" w:type="dxa"/>
            <w:gridSpan w:val="2"/>
            <w:vAlign w:val="center"/>
          </w:tcPr>
          <w:p w14:paraId="552DE35A" w14:textId="77777777" w:rsidR="006D54ED" w:rsidRPr="0019790A" w:rsidRDefault="006D54ED" w:rsidP="006D54ED">
            <w:pPr>
              <w:tabs>
                <w:tab w:val="left" w:pos="311"/>
              </w:tabs>
              <w:jc w:val="center"/>
              <w:rPr>
                <w:rFonts w:cs="Arial"/>
                <w:szCs w:val="22"/>
              </w:rPr>
            </w:pPr>
          </w:p>
        </w:tc>
        <w:tc>
          <w:tcPr>
            <w:tcW w:w="1262" w:type="dxa"/>
            <w:vAlign w:val="center"/>
          </w:tcPr>
          <w:p w14:paraId="4C8EB8FB" w14:textId="77777777" w:rsidR="006D54ED" w:rsidRPr="0019790A" w:rsidRDefault="006D54ED" w:rsidP="006D54ED">
            <w:pPr>
              <w:tabs>
                <w:tab w:val="left" w:pos="311"/>
              </w:tabs>
              <w:jc w:val="center"/>
              <w:rPr>
                <w:rFonts w:cs="Arial"/>
                <w:szCs w:val="22"/>
              </w:rPr>
            </w:pPr>
          </w:p>
        </w:tc>
        <w:tc>
          <w:tcPr>
            <w:tcW w:w="1420" w:type="dxa"/>
            <w:vAlign w:val="center"/>
          </w:tcPr>
          <w:p w14:paraId="15717D6C" w14:textId="77777777" w:rsidR="006D54ED" w:rsidRPr="0019790A" w:rsidRDefault="006D54ED" w:rsidP="006D54ED">
            <w:pPr>
              <w:tabs>
                <w:tab w:val="left" w:pos="311"/>
              </w:tabs>
              <w:jc w:val="center"/>
              <w:rPr>
                <w:rFonts w:cs="Arial"/>
                <w:szCs w:val="22"/>
              </w:rPr>
            </w:pPr>
          </w:p>
        </w:tc>
        <w:tc>
          <w:tcPr>
            <w:tcW w:w="1306" w:type="dxa"/>
            <w:gridSpan w:val="2"/>
            <w:vAlign w:val="center"/>
          </w:tcPr>
          <w:p w14:paraId="26341BC9" w14:textId="77777777" w:rsidR="006D54ED" w:rsidRPr="0019790A" w:rsidRDefault="006D54ED" w:rsidP="006D54ED">
            <w:pPr>
              <w:tabs>
                <w:tab w:val="left" w:pos="311"/>
              </w:tabs>
              <w:jc w:val="center"/>
              <w:rPr>
                <w:rFonts w:cs="Arial"/>
                <w:szCs w:val="22"/>
              </w:rPr>
            </w:pPr>
          </w:p>
        </w:tc>
        <w:tc>
          <w:tcPr>
            <w:tcW w:w="1543" w:type="dxa"/>
            <w:vAlign w:val="center"/>
          </w:tcPr>
          <w:p w14:paraId="756DF60D" w14:textId="77777777" w:rsidR="006D54ED" w:rsidRPr="0019790A" w:rsidRDefault="006D54ED" w:rsidP="006D54ED">
            <w:pPr>
              <w:tabs>
                <w:tab w:val="left" w:pos="311"/>
              </w:tabs>
              <w:jc w:val="center"/>
              <w:rPr>
                <w:rFonts w:cs="Arial"/>
                <w:szCs w:val="22"/>
              </w:rPr>
            </w:pPr>
          </w:p>
        </w:tc>
      </w:tr>
      <w:tr w:rsidR="006D54ED" w:rsidRPr="0019790A" w14:paraId="6029CC37" w14:textId="347E89D3" w:rsidTr="006D54ED">
        <w:trPr>
          <w:trHeight w:val="275"/>
          <w:jc w:val="right"/>
        </w:trPr>
        <w:tc>
          <w:tcPr>
            <w:tcW w:w="3421" w:type="dxa"/>
            <w:shd w:val="clear" w:color="auto" w:fill="FFFFFF"/>
            <w:vAlign w:val="center"/>
          </w:tcPr>
          <w:p w14:paraId="7B59CF56" w14:textId="77777777" w:rsidR="006D54ED" w:rsidRPr="0019790A" w:rsidRDefault="006D54ED" w:rsidP="0019790A">
            <w:pPr>
              <w:rPr>
                <w:rFonts w:cs="Arial"/>
                <w:szCs w:val="22"/>
              </w:rPr>
            </w:pPr>
            <w:r w:rsidRPr="0019790A">
              <w:rPr>
                <w:rFonts w:cs="Arial"/>
                <w:szCs w:val="22"/>
              </w:rPr>
              <w:t>- бюджет Жмеринської МТГ</w:t>
            </w:r>
          </w:p>
        </w:tc>
        <w:tc>
          <w:tcPr>
            <w:tcW w:w="1267" w:type="dxa"/>
            <w:gridSpan w:val="2"/>
            <w:vAlign w:val="center"/>
          </w:tcPr>
          <w:p w14:paraId="3F73FFD1" w14:textId="3AD53287" w:rsidR="006D54ED" w:rsidRPr="0019790A" w:rsidRDefault="006D54ED" w:rsidP="006D54ED">
            <w:pPr>
              <w:tabs>
                <w:tab w:val="left" w:pos="311"/>
              </w:tabs>
              <w:jc w:val="center"/>
              <w:rPr>
                <w:rFonts w:cs="Arial"/>
                <w:b/>
                <w:szCs w:val="22"/>
              </w:rPr>
            </w:pPr>
          </w:p>
        </w:tc>
        <w:tc>
          <w:tcPr>
            <w:tcW w:w="1262" w:type="dxa"/>
            <w:vAlign w:val="center"/>
          </w:tcPr>
          <w:p w14:paraId="07BFD471" w14:textId="071DA128" w:rsidR="006D54ED" w:rsidRPr="0019790A" w:rsidRDefault="006D54ED" w:rsidP="006D54ED">
            <w:pPr>
              <w:tabs>
                <w:tab w:val="left" w:pos="311"/>
              </w:tabs>
              <w:ind w:left="16"/>
              <w:jc w:val="center"/>
              <w:rPr>
                <w:rFonts w:cs="Arial"/>
                <w:b/>
                <w:szCs w:val="22"/>
              </w:rPr>
            </w:pPr>
            <w:r w:rsidRPr="0019790A">
              <w:rPr>
                <w:rFonts w:cs="Arial"/>
                <w:b/>
                <w:szCs w:val="22"/>
              </w:rPr>
              <w:t>100,0</w:t>
            </w:r>
          </w:p>
        </w:tc>
        <w:tc>
          <w:tcPr>
            <w:tcW w:w="1420" w:type="dxa"/>
            <w:vAlign w:val="center"/>
          </w:tcPr>
          <w:p w14:paraId="3F1A8476" w14:textId="774E1900" w:rsidR="006D54ED" w:rsidRPr="0019790A" w:rsidRDefault="006D54ED" w:rsidP="006D54ED">
            <w:pPr>
              <w:tabs>
                <w:tab w:val="left" w:pos="311"/>
              </w:tabs>
              <w:ind w:left="119"/>
              <w:jc w:val="center"/>
              <w:rPr>
                <w:rFonts w:cs="Arial"/>
                <w:b/>
                <w:szCs w:val="22"/>
              </w:rPr>
            </w:pPr>
            <w:r w:rsidRPr="0019790A">
              <w:rPr>
                <w:rFonts w:cs="Arial"/>
                <w:b/>
                <w:szCs w:val="22"/>
              </w:rPr>
              <w:t>100,0</w:t>
            </w:r>
          </w:p>
        </w:tc>
        <w:tc>
          <w:tcPr>
            <w:tcW w:w="1306" w:type="dxa"/>
            <w:gridSpan w:val="2"/>
            <w:vAlign w:val="center"/>
          </w:tcPr>
          <w:p w14:paraId="183DEEEB" w14:textId="743A4D46" w:rsidR="006D54ED" w:rsidRPr="0019790A" w:rsidRDefault="006D54ED" w:rsidP="006D54ED">
            <w:pPr>
              <w:tabs>
                <w:tab w:val="left" w:pos="311"/>
              </w:tabs>
              <w:ind w:left="222"/>
              <w:jc w:val="center"/>
              <w:rPr>
                <w:rFonts w:cs="Arial"/>
                <w:b/>
                <w:szCs w:val="22"/>
              </w:rPr>
            </w:pPr>
            <w:r w:rsidRPr="0019790A">
              <w:rPr>
                <w:rFonts w:cs="Arial"/>
                <w:b/>
                <w:szCs w:val="22"/>
              </w:rPr>
              <w:t>100,0</w:t>
            </w:r>
          </w:p>
        </w:tc>
        <w:tc>
          <w:tcPr>
            <w:tcW w:w="1543" w:type="dxa"/>
            <w:vAlign w:val="center"/>
          </w:tcPr>
          <w:p w14:paraId="757A24C3" w14:textId="5DAA959B" w:rsidR="006D54ED" w:rsidRPr="0019790A" w:rsidRDefault="006D54ED" w:rsidP="006D54ED">
            <w:pPr>
              <w:tabs>
                <w:tab w:val="left" w:pos="311"/>
              </w:tabs>
              <w:ind w:left="421"/>
              <w:jc w:val="center"/>
              <w:rPr>
                <w:rFonts w:cs="Arial"/>
                <w:b/>
                <w:szCs w:val="22"/>
              </w:rPr>
            </w:pPr>
            <w:r w:rsidRPr="0019790A">
              <w:rPr>
                <w:rFonts w:cs="Arial"/>
                <w:b/>
                <w:szCs w:val="22"/>
              </w:rPr>
              <w:t>300,0</w:t>
            </w:r>
          </w:p>
        </w:tc>
      </w:tr>
      <w:tr w:rsidR="006D54ED" w:rsidRPr="0019790A" w14:paraId="0BF0BE8A" w14:textId="0EF6E3F6" w:rsidTr="006D54ED">
        <w:trPr>
          <w:trHeight w:val="226"/>
          <w:jc w:val="right"/>
        </w:trPr>
        <w:tc>
          <w:tcPr>
            <w:tcW w:w="3421" w:type="dxa"/>
            <w:shd w:val="clear" w:color="auto" w:fill="FFFFFF"/>
            <w:vAlign w:val="center"/>
          </w:tcPr>
          <w:p w14:paraId="3E8C4B46" w14:textId="77777777" w:rsidR="006D54ED" w:rsidRPr="0019790A" w:rsidRDefault="006D54ED" w:rsidP="0019790A">
            <w:pPr>
              <w:rPr>
                <w:rFonts w:cs="Arial"/>
                <w:szCs w:val="22"/>
              </w:rPr>
            </w:pPr>
            <w:r w:rsidRPr="0019790A">
              <w:rPr>
                <w:rFonts w:cs="Arial"/>
                <w:szCs w:val="22"/>
              </w:rPr>
              <w:t>- інші джерела фінансування</w:t>
            </w:r>
          </w:p>
        </w:tc>
        <w:tc>
          <w:tcPr>
            <w:tcW w:w="1267" w:type="dxa"/>
            <w:gridSpan w:val="2"/>
            <w:vAlign w:val="center"/>
          </w:tcPr>
          <w:p w14:paraId="2730887C" w14:textId="77777777" w:rsidR="006D54ED" w:rsidRPr="0019790A" w:rsidRDefault="006D54ED" w:rsidP="006D54ED">
            <w:pPr>
              <w:tabs>
                <w:tab w:val="left" w:pos="311"/>
              </w:tabs>
              <w:jc w:val="center"/>
              <w:rPr>
                <w:rFonts w:cs="Arial"/>
                <w:szCs w:val="22"/>
              </w:rPr>
            </w:pPr>
          </w:p>
        </w:tc>
        <w:tc>
          <w:tcPr>
            <w:tcW w:w="1262" w:type="dxa"/>
            <w:vAlign w:val="center"/>
          </w:tcPr>
          <w:p w14:paraId="189E82E5" w14:textId="77777777" w:rsidR="006D54ED" w:rsidRPr="0019790A" w:rsidRDefault="006D54ED" w:rsidP="006D54ED">
            <w:pPr>
              <w:tabs>
                <w:tab w:val="left" w:pos="311"/>
              </w:tabs>
              <w:jc w:val="center"/>
              <w:rPr>
                <w:rFonts w:cs="Arial"/>
                <w:szCs w:val="22"/>
              </w:rPr>
            </w:pPr>
          </w:p>
        </w:tc>
        <w:tc>
          <w:tcPr>
            <w:tcW w:w="1420" w:type="dxa"/>
            <w:vAlign w:val="center"/>
          </w:tcPr>
          <w:p w14:paraId="179C0346" w14:textId="77777777" w:rsidR="006D54ED" w:rsidRPr="0019790A" w:rsidRDefault="006D54ED" w:rsidP="006D54ED">
            <w:pPr>
              <w:tabs>
                <w:tab w:val="left" w:pos="311"/>
              </w:tabs>
              <w:jc w:val="center"/>
              <w:rPr>
                <w:rFonts w:cs="Arial"/>
                <w:szCs w:val="22"/>
              </w:rPr>
            </w:pPr>
          </w:p>
        </w:tc>
        <w:tc>
          <w:tcPr>
            <w:tcW w:w="1306" w:type="dxa"/>
            <w:gridSpan w:val="2"/>
            <w:vAlign w:val="center"/>
          </w:tcPr>
          <w:p w14:paraId="57025C4B" w14:textId="77777777" w:rsidR="006D54ED" w:rsidRPr="0019790A" w:rsidRDefault="006D54ED" w:rsidP="006D54ED">
            <w:pPr>
              <w:tabs>
                <w:tab w:val="left" w:pos="311"/>
              </w:tabs>
              <w:jc w:val="center"/>
              <w:rPr>
                <w:rFonts w:cs="Arial"/>
                <w:szCs w:val="22"/>
              </w:rPr>
            </w:pPr>
          </w:p>
        </w:tc>
        <w:tc>
          <w:tcPr>
            <w:tcW w:w="1543" w:type="dxa"/>
            <w:vAlign w:val="center"/>
          </w:tcPr>
          <w:p w14:paraId="3093FAE2" w14:textId="77777777" w:rsidR="006D54ED" w:rsidRPr="0019790A" w:rsidRDefault="006D54ED" w:rsidP="006D54ED">
            <w:pPr>
              <w:tabs>
                <w:tab w:val="left" w:pos="311"/>
              </w:tabs>
              <w:jc w:val="center"/>
              <w:rPr>
                <w:rFonts w:cs="Arial"/>
                <w:szCs w:val="22"/>
              </w:rPr>
            </w:pPr>
          </w:p>
        </w:tc>
      </w:tr>
      <w:tr w:rsidR="005342D5" w:rsidRPr="0019790A" w14:paraId="4AF9F422" w14:textId="77777777" w:rsidTr="006D54ED">
        <w:trPr>
          <w:jc w:val="right"/>
        </w:trPr>
        <w:tc>
          <w:tcPr>
            <w:tcW w:w="3421" w:type="dxa"/>
            <w:shd w:val="clear" w:color="auto" w:fill="FFFFFF"/>
            <w:vAlign w:val="center"/>
          </w:tcPr>
          <w:p w14:paraId="2DCA5E2B" w14:textId="77777777" w:rsidR="005342D5" w:rsidRPr="0019790A" w:rsidRDefault="005342D5" w:rsidP="0019790A">
            <w:pPr>
              <w:rPr>
                <w:rFonts w:cs="Arial"/>
                <w:b/>
                <w:bCs/>
                <w:szCs w:val="22"/>
              </w:rPr>
            </w:pPr>
            <w:r w:rsidRPr="0019790A">
              <w:rPr>
                <w:rFonts w:cs="Arial"/>
                <w:b/>
                <w:szCs w:val="22"/>
              </w:rPr>
              <w:t>Відповідальний виконавець проєкту:</w:t>
            </w:r>
          </w:p>
        </w:tc>
        <w:tc>
          <w:tcPr>
            <w:tcW w:w="6798" w:type="dxa"/>
            <w:gridSpan w:val="7"/>
            <w:vAlign w:val="center"/>
          </w:tcPr>
          <w:p w14:paraId="478B6DA3" w14:textId="4D4561A7" w:rsidR="005342D5" w:rsidRPr="0019790A" w:rsidRDefault="005342D5" w:rsidP="006D54ED">
            <w:pPr>
              <w:tabs>
                <w:tab w:val="left" w:pos="311"/>
              </w:tabs>
              <w:jc w:val="both"/>
              <w:rPr>
                <w:rFonts w:cs="Arial"/>
                <w:szCs w:val="22"/>
              </w:rPr>
            </w:pPr>
            <w:r w:rsidRPr="0019790A">
              <w:rPr>
                <w:rFonts w:cs="Arial"/>
                <w:szCs w:val="22"/>
              </w:rPr>
              <w:t xml:space="preserve">Відділ молоді та спорту Жмеринської </w:t>
            </w:r>
            <w:r w:rsidR="006D54ED" w:rsidRPr="0019790A">
              <w:rPr>
                <w:rFonts w:cs="Arial"/>
                <w:szCs w:val="22"/>
              </w:rPr>
              <w:t>міської</w:t>
            </w:r>
            <w:r w:rsidRPr="0019790A">
              <w:rPr>
                <w:rFonts w:cs="Arial"/>
                <w:szCs w:val="22"/>
              </w:rPr>
              <w:t xml:space="preserve"> ради</w:t>
            </w:r>
          </w:p>
        </w:tc>
      </w:tr>
      <w:tr w:rsidR="005342D5" w:rsidRPr="0019790A" w14:paraId="289E32E4" w14:textId="77777777" w:rsidTr="006D54ED">
        <w:trPr>
          <w:jc w:val="right"/>
        </w:trPr>
        <w:tc>
          <w:tcPr>
            <w:tcW w:w="3421" w:type="dxa"/>
            <w:shd w:val="clear" w:color="auto" w:fill="FFFFFF"/>
            <w:vAlign w:val="center"/>
          </w:tcPr>
          <w:p w14:paraId="7217A819" w14:textId="77777777" w:rsidR="005342D5" w:rsidRPr="0019790A" w:rsidRDefault="005342D5" w:rsidP="0019790A">
            <w:pPr>
              <w:rPr>
                <w:rFonts w:cs="Arial"/>
                <w:b/>
                <w:bCs/>
                <w:szCs w:val="22"/>
              </w:rPr>
            </w:pPr>
            <w:r w:rsidRPr="0019790A">
              <w:rPr>
                <w:rFonts w:cs="Arial"/>
                <w:b/>
                <w:bCs/>
                <w:szCs w:val="22"/>
              </w:rPr>
              <w:t>Інше:</w:t>
            </w:r>
          </w:p>
        </w:tc>
        <w:tc>
          <w:tcPr>
            <w:tcW w:w="6798" w:type="dxa"/>
            <w:gridSpan w:val="7"/>
            <w:vAlign w:val="center"/>
          </w:tcPr>
          <w:p w14:paraId="4B87824A" w14:textId="77777777" w:rsidR="005342D5" w:rsidRPr="0019790A" w:rsidRDefault="005342D5" w:rsidP="006D54ED">
            <w:pPr>
              <w:tabs>
                <w:tab w:val="left" w:pos="311"/>
              </w:tabs>
              <w:jc w:val="both"/>
              <w:rPr>
                <w:rFonts w:cs="Arial"/>
                <w:szCs w:val="22"/>
              </w:rPr>
            </w:pPr>
          </w:p>
        </w:tc>
      </w:tr>
    </w:tbl>
    <w:p w14:paraId="58131EC8" w14:textId="77777777" w:rsidR="005342D5" w:rsidRPr="0019790A" w:rsidRDefault="005342D5" w:rsidP="0019790A">
      <w:pPr>
        <w:rPr>
          <w:rFonts w:cs="Arial"/>
          <w:szCs w:val="22"/>
        </w:rPr>
      </w:pPr>
    </w:p>
    <w:p w14:paraId="7090C335" w14:textId="77777777" w:rsidR="005342D5" w:rsidRPr="0019790A" w:rsidRDefault="005342D5" w:rsidP="0019790A">
      <w:pPr>
        <w:rPr>
          <w:rFonts w:cs="Arial"/>
          <w:szCs w:val="22"/>
        </w:rPr>
      </w:pPr>
    </w:p>
    <w:p w14:paraId="62D8204B" w14:textId="77777777" w:rsidR="005342D5" w:rsidRPr="0019790A" w:rsidRDefault="005342D5" w:rsidP="0019790A">
      <w:pPr>
        <w:jc w:val="center"/>
        <w:rPr>
          <w:rFonts w:cs="Arial"/>
          <w:b/>
          <w:szCs w:val="22"/>
        </w:rPr>
      </w:pPr>
      <w:r w:rsidRPr="0019790A">
        <w:rPr>
          <w:rFonts w:cs="Arial"/>
          <w:b/>
          <w:szCs w:val="22"/>
        </w:rPr>
        <w:t>Форма технічного завдання на проєкт місцевого розвитку</w:t>
      </w:r>
    </w:p>
    <w:p w14:paraId="185BBA4F" w14:textId="77777777" w:rsidR="005342D5" w:rsidRPr="0019790A" w:rsidRDefault="005342D5" w:rsidP="0019790A">
      <w:pPr>
        <w:jc w:val="center"/>
        <w:rPr>
          <w:rFonts w:cs="Arial"/>
          <w:b/>
          <w:szCs w:val="22"/>
        </w:rPr>
      </w:pPr>
      <w:r w:rsidRPr="0019790A">
        <w:rPr>
          <w:rFonts w:cs="Arial"/>
          <w:b/>
          <w:szCs w:val="22"/>
        </w:rPr>
        <w:t>до Плану заходів з реалізації Стратегії</w:t>
      </w:r>
    </w:p>
    <w:p w14:paraId="1207331B" w14:textId="77777777" w:rsidR="005342D5" w:rsidRPr="0019790A" w:rsidRDefault="005342D5"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3"/>
        <w:gridCol w:w="1258"/>
        <w:gridCol w:w="1275"/>
        <w:gridCol w:w="11"/>
        <w:gridCol w:w="1406"/>
        <w:gridCol w:w="15"/>
        <w:gridCol w:w="1261"/>
        <w:gridCol w:w="54"/>
        <w:gridCol w:w="1516"/>
      </w:tblGrid>
      <w:tr w:rsidR="005342D5" w:rsidRPr="0019790A" w14:paraId="04A2CE88" w14:textId="77777777" w:rsidTr="006D54ED">
        <w:trPr>
          <w:jc w:val="right"/>
        </w:trPr>
        <w:tc>
          <w:tcPr>
            <w:tcW w:w="3423" w:type="dxa"/>
            <w:vAlign w:val="center"/>
          </w:tcPr>
          <w:p w14:paraId="39405472" w14:textId="77777777" w:rsidR="005342D5" w:rsidRPr="0019790A" w:rsidRDefault="005342D5" w:rsidP="0019790A">
            <w:pPr>
              <w:rPr>
                <w:rFonts w:cs="Arial"/>
                <w:b/>
                <w:bCs/>
                <w:szCs w:val="22"/>
              </w:rPr>
            </w:pPr>
            <w:r w:rsidRPr="0019790A">
              <w:rPr>
                <w:rFonts w:cs="Arial"/>
                <w:b/>
                <w:bCs/>
                <w:szCs w:val="22"/>
              </w:rPr>
              <w:t>Назва проєкту:</w:t>
            </w:r>
          </w:p>
        </w:tc>
        <w:tc>
          <w:tcPr>
            <w:tcW w:w="6796" w:type="dxa"/>
            <w:gridSpan w:val="8"/>
            <w:vAlign w:val="center"/>
          </w:tcPr>
          <w:p w14:paraId="73F477BF" w14:textId="77777777" w:rsidR="005342D5" w:rsidRPr="006D54ED" w:rsidRDefault="005342D5" w:rsidP="006D54ED">
            <w:pPr>
              <w:tabs>
                <w:tab w:val="left" w:pos="321"/>
              </w:tabs>
              <w:jc w:val="both"/>
              <w:rPr>
                <w:rFonts w:cs="Arial"/>
                <w:b/>
                <w:szCs w:val="22"/>
              </w:rPr>
            </w:pPr>
            <w:r w:rsidRPr="006D54ED">
              <w:rPr>
                <w:rFonts w:cs="Arial"/>
                <w:b/>
                <w:szCs w:val="22"/>
              </w:rPr>
              <w:t>«Молодь в дії: інтеграція, розвиток, участь»</w:t>
            </w:r>
          </w:p>
        </w:tc>
      </w:tr>
      <w:tr w:rsidR="005342D5" w:rsidRPr="0019790A" w14:paraId="111272B8" w14:textId="77777777" w:rsidTr="006D54ED">
        <w:trPr>
          <w:jc w:val="right"/>
        </w:trPr>
        <w:tc>
          <w:tcPr>
            <w:tcW w:w="3423" w:type="dxa"/>
          </w:tcPr>
          <w:p w14:paraId="74D9D97F" w14:textId="77777777" w:rsidR="005342D5" w:rsidRPr="0019790A" w:rsidRDefault="005342D5" w:rsidP="0019790A">
            <w:pPr>
              <w:rPr>
                <w:rFonts w:cs="Arial"/>
                <w:szCs w:val="22"/>
              </w:rPr>
            </w:pPr>
            <w:r w:rsidRPr="0019790A">
              <w:rPr>
                <w:rFonts w:cs="Arial"/>
                <w:b/>
                <w:bCs/>
                <w:szCs w:val="22"/>
              </w:rPr>
              <w:t>Ваші контакти</w:t>
            </w:r>
            <w:r w:rsidRPr="0019790A">
              <w:rPr>
                <w:rFonts w:cs="Arial"/>
                <w:szCs w:val="22"/>
              </w:rPr>
              <w:t>:</w:t>
            </w:r>
          </w:p>
          <w:p w14:paraId="6479CFC6" w14:textId="77777777" w:rsidR="005342D5" w:rsidRPr="0019790A" w:rsidRDefault="005342D5" w:rsidP="0019790A">
            <w:pPr>
              <w:rPr>
                <w:rFonts w:cs="Arial"/>
                <w:b/>
                <w:bCs/>
                <w:szCs w:val="22"/>
              </w:rPr>
            </w:pPr>
            <w:r w:rsidRPr="0019790A">
              <w:rPr>
                <w:rFonts w:cs="Arial"/>
                <w:szCs w:val="22"/>
              </w:rPr>
              <w:t>Назва установи, організації, підприємства</w:t>
            </w:r>
          </w:p>
        </w:tc>
        <w:tc>
          <w:tcPr>
            <w:tcW w:w="6796" w:type="dxa"/>
            <w:gridSpan w:val="8"/>
            <w:vAlign w:val="center"/>
          </w:tcPr>
          <w:p w14:paraId="3024DBD6" w14:textId="77777777" w:rsidR="005342D5" w:rsidRPr="0019790A" w:rsidRDefault="005342D5" w:rsidP="006D54ED">
            <w:pPr>
              <w:tabs>
                <w:tab w:val="left" w:pos="321"/>
              </w:tabs>
              <w:jc w:val="both"/>
              <w:rPr>
                <w:rFonts w:cs="Arial"/>
                <w:szCs w:val="22"/>
              </w:rPr>
            </w:pPr>
            <w:r w:rsidRPr="0019790A">
              <w:rPr>
                <w:rFonts w:cs="Arial"/>
                <w:szCs w:val="22"/>
              </w:rPr>
              <w:t>Відділ молоді та спорту Жмеринської міської ради</w:t>
            </w:r>
          </w:p>
        </w:tc>
      </w:tr>
      <w:tr w:rsidR="005342D5" w:rsidRPr="0019790A" w14:paraId="45D02338" w14:textId="77777777" w:rsidTr="006D54ED">
        <w:trPr>
          <w:jc w:val="right"/>
        </w:trPr>
        <w:tc>
          <w:tcPr>
            <w:tcW w:w="3423" w:type="dxa"/>
          </w:tcPr>
          <w:p w14:paraId="0BC7A562" w14:textId="77777777" w:rsidR="005342D5" w:rsidRPr="0019790A" w:rsidRDefault="005342D5" w:rsidP="0019790A">
            <w:pPr>
              <w:rPr>
                <w:rFonts w:cs="Arial"/>
                <w:b/>
                <w:bCs/>
                <w:szCs w:val="22"/>
              </w:rPr>
            </w:pPr>
            <w:r w:rsidRPr="0019790A">
              <w:rPr>
                <w:rFonts w:cs="Arial"/>
                <w:szCs w:val="22"/>
              </w:rPr>
              <w:t>Прізвище Ім’я По-батькові:</w:t>
            </w:r>
          </w:p>
        </w:tc>
        <w:tc>
          <w:tcPr>
            <w:tcW w:w="6796" w:type="dxa"/>
            <w:gridSpan w:val="8"/>
            <w:vAlign w:val="center"/>
          </w:tcPr>
          <w:p w14:paraId="05205E59" w14:textId="77777777" w:rsidR="005342D5" w:rsidRPr="0019790A" w:rsidRDefault="005342D5" w:rsidP="006D54ED">
            <w:pPr>
              <w:tabs>
                <w:tab w:val="left" w:pos="321"/>
              </w:tabs>
              <w:jc w:val="both"/>
              <w:rPr>
                <w:rFonts w:cs="Arial"/>
                <w:szCs w:val="22"/>
              </w:rPr>
            </w:pPr>
            <w:r w:rsidRPr="0019790A">
              <w:rPr>
                <w:rFonts w:cs="Arial"/>
                <w:szCs w:val="22"/>
              </w:rPr>
              <w:t>Ковальська Олена Віталіївна</w:t>
            </w:r>
          </w:p>
        </w:tc>
      </w:tr>
      <w:tr w:rsidR="005342D5" w:rsidRPr="0019790A" w14:paraId="4A204094" w14:textId="77777777" w:rsidTr="006D54ED">
        <w:trPr>
          <w:jc w:val="right"/>
        </w:trPr>
        <w:tc>
          <w:tcPr>
            <w:tcW w:w="3423" w:type="dxa"/>
          </w:tcPr>
          <w:p w14:paraId="5CE3FF99" w14:textId="77777777" w:rsidR="005342D5" w:rsidRPr="0019790A" w:rsidRDefault="005342D5" w:rsidP="0019790A">
            <w:pPr>
              <w:rPr>
                <w:rFonts w:cs="Arial"/>
                <w:b/>
                <w:bCs/>
                <w:szCs w:val="22"/>
              </w:rPr>
            </w:pPr>
            <w:r w:rsidRPr="0019790A">
              <w:rPr>
                <w:rFonts w:cs="Arial"/>
                <w:szCs w:val="22"/>
              </w:rPr>
              <w:t>Телефон (мобільний):</w:t>
            </w:r>
          </w:p>
        </w:tc>
        <w:tc>
          <w:tcPr>
            <w:tcW w:w="6796" w:type="dxa"/>
            <w:gridSpan w:val="8"/>
            <w:vAlign w:val="center"/>
          </w:tcPr>
          <w:p w14:paraId="31D16BC5" w14:textId="77777777" w:rsidR="005342D5" w:rsidRPr="0019790A" w:rsidRDefault="005342D5" w:rsidP="006D54ED">
            <w:pPr>
              <w:tabs>
                <w:tab w:val="left" w:pos="321"/>
              </w:tabs>
              <w:jc w:val="both"/>
              <w:rPr>
                <w:rFonts w:cs="Arial"/>
                <w:szCs w:val="22"/>
              </w:rPr>
            </w:pPr>
            <w:r w:rsidRPr="0019790A">
              <w:rPr>
                <w:rFonts w:cs="Arial"/>
                <w:szCs w:val="22"/>
              </w:rPr>
              <w:t>096-068-94-79</w:t>
            </w:r>
          </w:p>
        </w:tc>
      </w:tr>
      <w:tr w:rsidR="005342D5" w:rsidRPr="0019790A" w14:paraId="28ECC983" w14:textId="77777777" w:rsidTr="006D54ED">
        <w:trPr>
          <w:jc w:val="right"/>
        </w:trPr>
        <w:tc>
          <w:tcPr>
            <w:tcW w:w="3423" w:type="dxa"/>
          </w:tcPr>
          <w:p w14:paraId="525A49B4" w14:textId="77777777" w:rsidR="005342D5" w:rsidRPr="0019790A" w:rsidRDefault="005342D5" w:rsidP="0019790A">
            <w:pPr>
              <w:rPr>
                <w:rFonts w:cs="Arial"/>
                <w:b/>
                <w:bCs/>
                <w:szCs w:val="22"/>
              </w:rPr>
            </w:pPr>
            <w:r w:rsidRPr="0019790A">
              <w:rPr>
                <w:rFonts w:cs="Arial"/>
                <w:szCs w:val="22"/>
              </w:rPr>
              <w:t>Електронна адреса:</w:t>
            </w:r>
          </w:p>
        </w:tc>
        <w:tc>
          <w:tcPr>
            <w:tcW w:w="6796" w:type="dxa"/>
            <w:gridSpan w:val="8"/>
            <w:vAlign w:val="center"/>
          </w:tcPr>
          <w:p w14:paraId="6CCA535B" w14:textId="77777777" w:rsidR="005342D5" w:rsidRPr="001A5BC7" w:rsidRDefault="00D85FFD" w:rsidP="006D54ED">
            <w:pPr>
              <w:tabs>
                <w:tab w:val="left" w:pos="321"/>
              </w:tabs>
              <w:jc w:val="both"/>
              <w:rPr>
                <w:rFonts w:cs="Arial"/>
                <w:szCs w:val="22"/>
              </w:rPr>
            </w:pPr>
            <w:hyperlink r:id="rId172" w:history="1">
              <w:r w:rsidR="005342D5" w:rsidRPr="001A5BC7">
                <w:rPr>
                  <w:rStyle w:val="af0"/>
                  <w:rFonts w:cs="Arial"/>
                  <w:bCs/>
                  <w:noProof w:val="0"/>
                  <w:sz w:val="22"/>
                  <w:szCs w:val="22"/>
                </w:rPr>
                <w:t>ms@zhmr.gov.ua</w:t>
              </w:r>
            </w:hyperlink>
          </w:p>
        </w:tc>
      </w:tr>
      <w:tr w:rsidR="005342D5" w:rsidRPr="0019790A" w14:paraId="5448A356" w14:textId="77777777" w:rsidTr="006D54ED">
        <w:trPr>
          <w:trHeight w:val="1601"/>
          <w:jc w:val="right"/>
        </w:trPr>
        <w:tc>
          <w:tcPr>
            <w:tcW w:w="3423" w:type="dxa"/>
            <w:vAlign w:val="center"/>
          </w:tcPr>
          <w:p w14:paraId="1EFB7F62" w14:textId="77777777" w:rsidR="005342D5" w:rsidRPr="0019790A" w:rsidRDefault="005342D5" w:rsidP="0019790A">
            <w:pPr>
              <w:rPr>
                <w:rFonts w:cs="Arial"/>
                <w:b/>
                <w:bCs/>
                <w:szCs w:val="22"/>
              </w:rPr>
            </w:pPr>
            <w:r w:rsidRPr="0019790A">
              <w:rPr>
                <w:rFonts w:cs="Arial"/>
                <w:b/>
                <w:bCs/>
                <w:szCs w:val="22"/>
              </w:rPr>
              <w:t>Номер і назва завдання з Стратегії розвитку Жмеринської міської територіальної громади,  якому відповідає проєкт:</w:t>
            </w:r>
          </w:p>
        </w:tc>
        <w:tc>
          <w:tcPr>
            <w:tcW w:w="6796" w:type="dxa"/>
            <w:gridSpan w:val="8"/>
            <w:vAlign w:val="center"/>
          </w:tcPr>
          <w:p w14:paraId="41EA4AE9" w14:textId="7401E65C" w:rsidR="005342D5" w:rsidRPr="006D54ED" w:rsidRDefault="005342D5" w:rsidP="006D54ED">
            <w:pPr>
              <w:tabs>
                <w:tab w:val="left" w:pos="321"/>
              </w:tabs>
              <w:jc w:val="both"/>
              <w:rPr>
                <w:rFonts w:cs="Arial"/>
                <w:szCs w:val="22"/>
              </w:rPr>
            </w:pPr>
            <w:r w:rsidRPr="006D54ED">
              <w:rPr>
                <w:rFonts w:cs="Arial"/>
                <w:szCs w:val="22"/>
              </w:rPr>
              <w:t xml:space="preserve">С.3.5.7. </w:t>
            </w:r>
            <w:r w:rsidRPr="006D54ED">
              <w:rPr>
                <w:rFonts w:cs="Arial"/>
                <w:iCs/>
                <w:szCs w:val="22"/>
              </w:rPr>
              <w:t>Підвищення мобільності, соціальної і культурної інтеграції молоді в суспільне життя.</w:t>
            </w:r>
          </w:p>
        </w:tc>
      </w:tr>
      <w:tr w:rsidR="005342D5" w:rsidRPr="0019790A" w14:paraId="41BCDF70" w14:textId="77777777" w:rsidTr="006D54ED">
        <w:trPr>
          <w:trHeight w:val="673"/>
          <w:jc w:val="right"/>
        </w:trPr>
        <w:tc>
          <w:tcPr>
            <w:tcW w:w="3423" w:type="dxa"/>
            <w:vAlign w:val="center"/>
          </w:tcPr>
          <w:p w14:paraId="01AEFA28" w14:textId="77777777" w:rsidR="005342D5" w:rsidRPr="0019790A" w:rsidRDefault="005342D5" w:rsidP="0019790A">
            <w:pPr>
              <w:rPr>
                <w:rFonts w:cs="Arial"/>
                <w:b/>
                <w:bCs/>
                <w:szCs w:val="22"/>
              </w:rPr>
            </w:pPr>
            <w:r w:rsidRPr="0019790A">
              <w:rPr>
                <w:rFonts w:cs="Arial"/>
                <w:b/>
                <w:bCs/>
                <w:szCs w:val="22"/>
              </w:rPr>
              <w:t>Мета проєкту:</w:t>
            </w:r>
          </w:p>
        </w:tc>
        <w:tc>
          <w:tcPr>
            <w:tcW w:w="6796" w:type="dxa"/>
            <w:gridSpan w:val="8"/>
            <w:vAlign w:val="center"/>
          </w:tcPr>
          <w:p w14:paraId="3B583382" w14:textId="18597406" w:rsidR="005342D5" w:rsidRPr="0019790A" w:rsidRDefault="005342D5" w:rsidP="006D54ED">
            <w:pPr>
              <w:tabs>
                <w:tab w:val="left" w:pos="321"/>
              </w:tabs>
              <w:jc w:val="both"/>
              <w:rPr>
                <w:rFonts w:cs="Arial"/>
                <w:szCs w:val="22"/>
              </w:rPr>
            </w:pPr>
            <w:r w:rsidRPr="0019790A">
              <w:rPr>
                <w:rFonts w:cs="Arial"/>
                <w:szCs w:val="22"/>
              </w:rPr>
              <w:t>Створити умови для активної участі молоді у громадському, культурному та суспільному житті громади шляхом реалізації освітніх, культурних та соціальних ініціатив, що сприяють мобільності, самореалізації та міжрегіональному обміну досвідом.</w:t>
            </w:r>
          </w:p>
        </w:tc>
      </w:tr>
      <w:tr w:rsidR="005342D5" w:rsidRPr="0019790A" w14:paraId="0D8D1CDC" w14:textId="77777777" w:rsidTr="006D54ED">
        <w:trPr>
          <w:jc w:val="right"/>
        </w:trPr>
        <w:tc>
          <w:tcPr>
            <w:tcW w:w="3423" w:type="dxa"/>
            <w:vAlign w:val="center"/>
          </w:tcPr>
          <w:p w14:paraId="05D4A408" w14:textId="77777777" w:rsidR="005342D5" w:rsidRPr="0019790A" w:rsidRDefault="005342D5" w:rsidP="0019790A">
            <w:pPr>
              <w:rPr>
                <w:rFonts w:cs="Arial"/>
                <w:b/>
                <w:bCs/>
                <w:szCs w:val="22"/>
              </w:rPr>
            </w:pPr>
            <w:r w:rsidRPr="0019790A">
              <w:rPr>
                <w:rFonts w:cs="Arial"/>
                <w:b/>
                <w:bCs/>
                <w:szCs w:val="22"/>
              </w:rPr>
              <w:t>Цілі проєкту:</w:t>
            </w:r>
          </w:p>
        </w:tc>
        <w:tc>
          <w:tcPr>
            <w:tcW w:w="6796" w:type="dxa"/>
            <w:gridSpan w:val="8"/>
            <w:vAlign w:val="center"/>
          </w:tcPr>
          <w:p w14:paraId="49A5804D" w14:textId="77777777" w:rsidR="005342D5" w:rsidRPr="0019790A" w:rsidRDefault="005342D5" w:rsidP="006D54ED">
            <w:pPr>
              <w:numPr>
                <w:ilvl w:val="0"/>
                <w:numId w:val="130"/>
              </w:numPr>
              <w:tabs>
                <w:tab w:val="clear" w:pos="720"/>
                <w:tab w:val="left" w:pos="321"/>
              </w:tabs>
              <w:ind w:left="0" w:firstLine="0"/>
              <w:jc w:val="both"/>
              <w:rPr>
                <w:rFonts w:cs="Arial"/>
                <w:szCs w:val="22"/>
              </w:rPr>
            </w:pPr>
            <w:r w:rsidRPr="0019790A">
              <w:rPr>
                <w:rFonts w:cs="Arial"/>
                <w:szCs w:val="22"/>
              </w:rPr>
              <w:t>Розширити можливості для участі молоді у громадському житті.</w:t>
            </w:r>
          </w:p>
          <w:p w14:paraId="6D37E90E" w14:textId="77777777" w:rsidR="005342D5" w:rsidRPr="0019790A" w:rsidRDefault="005342D5" w:rsidP="006D54ED">
            <w:pPr>
              <w:numPr>
                <w:ilvl w:val="0"/>
                <w:numId w:val="130"/>
              </w:numPr>
              <w:tabs>
                <w:tab w:val="clear" w:pos="720"/>
                <w:tab w:val="left" w:pos="321"/>
              </w:tabs>
              <w:ind w:left="0" w:firstLine="0"/>
              <w:jc w:val="both"/>
              <w:rPr>
                <w:rFonts w:cs="Arial"/>
                <w:szCs w:val="22"/>
              </w:rPr>
            </w:pPr>
            <w:r w:rsidRPr="0019790A">
              <w:rPr>
                <w:rFonts w:cs="Arial"/>
                <w:szCs w:val="22"/>
              </w:rPr>
              <w:t>Сприяти соціальній та культурній інтеграції молоді в життя громади.</w:t>
            </w:r>
          </w:p>
          <w:p w14:paraId="14F4AB2F" w14:textId="77777777" w:rsidR="005342D5" w:rsidRPr="0019790A" w:rsidRDefault="005342D5" w:rsidP="006D54ED">
            <w:pPr>
              <w:numPr>
                <w:ilvl w:val="0"/>
                <w:numId w:val="130"/>
              </w:numPr>
              <w:tabs>
                <w:tab w:val="clear" w:pos="720"/>
                <w:tab w:val="left" w:pos="321"/>
              </w:tabs>
              <w:ind w:left="0" w:firstLine="0"/>
              <w:jc w:val="both"/>
              <w:rPr>
                <w:rFonts w:cs="Arial"/>
                <w:szCs w:val="22"/>
              </w:rPr>
            </w:pPr>
            <w:r w:rsidRPr="0019790A">
              <w:rPr>
                <w:rFonts w:cs="Arial"/>
                <w:szCs w:val="22"/>
              </w:rPr>
              <w:t>Підвищити рівень обізнаності молоді щодо можливостей неформальної освіти, волонтерства та мобільності.</w:t>
            </w:r>
          </w:p>
          <w:p w14:paraId="0957EF89" w14:textId="77777777" w:rsidR="005342D5" w:rsidRPr="0019790A" w:rsidRDefault="005342D5" w:rsidP="006D54ED">
            <w:pPr>
              <w:numPr>
                <w:ilvl w:val="0"/>
                <w:numId w:val="130"/>
              </w:numPr>
              <w:tabs>
                <w:tab w:val="clear" w:pos="720"/>
                <w:tab w:val="left" w:pos="321"/>
              </w:tabs>
              <w:ind w:left="0" w:firstLine="0"/>
              <w:jc w:val="both"/>
              <w:rPr>
                <w:rFonts w:cs="Arial"/>
                <w:szCs w:val="22"/>
              </w:rPr>
            </w:pPr>
            <w:r w:rsidRPr="0019790A">
              <w:rPr>
                <w:rFonts w:cs="Arial"/>
                <w:szCs w:val="22"/>
              </w:rPr>
              <w:t>Створити умови для розвитку міжрегіонального та міжкультурного діалогу.</w:t>
            </w:r>
          </w:p>
        </w:tc>
      </w:tr>
      <w:tr w:rsidR="005342D5" w:rsidRPr="0019790A" w14:paraId="021DD260" w14:textId="77777777" w:rsidTr="006D54ED">
        <w:trPr>
          <w:trHeight w:val="641"/>
          <w:jc w:val="right"/>
        </w:trPr>
        <w:tc>
          <w:tcPr>
            <w:tcW w:w="3423" w:type="dxa"/>
            <w:vAlign w:val="center"/>
          </w:tcPr>
          <w:p w14:paraId="7998DF56" w14:textId="77777777" w:rsidR="005342D5" w:rsidRPr="0019790A" w:rsidRDefault="005342D5" w:rsidP="0019790A">
            <w:pPr>
              <w:rPr>
                <w:rFonts w:cs="Arial"/>
                <w:b/>
                <w:szCs w:val="22"/>
              </w:rPr>
            </w:pPr>
            <w:r w:rsidRPr="0019790A">
              <w:rPr>
                <w:rFonts w:cs="Arial"/>
                <w:b/>
                <w:szCs w:val="22"/>
              </w:rPr>
              <w:t>Територія на яку проєкт матиме вплив:</w:t>
            </w:r>
          </w:p>
        </w:tc>
        <w:tc>
          <w:tcPr>
            <w:tcW w:w="6796" w:type="dxa"/>
            <w:gridSpan w:val="8"/>
            <w:vAlign w:val="center"/>
          </w:tcPr>
          <w:p w14:paraId="78BCE804" w14:textId="77777777" w:rsidR="005342D5" w:rsidRPr="0019790A" w:rsidRDefault="005342D5" w:rsidP="006D54ED">
            <w:pPr>
              <w:tabs>
                <w:tab w:val="left" w:pos="321"/>
              </w:tabs>
              <w:jc w:val="both"/>
              <w:rPr>
                <w:rFonts w:cs="Arial"/>
                <w:szCs w:val="22"/>
              </w:rPr>
            </w:pPr>
            <w:r w:rsidRPr="0019790A">
              <w:rPr>
                <w:rFonts w:cs="Arial"/>
                <w:szCs w:val="22"/>
              </w:rPr>
              <w:t>Жмеринська міська територіальна громада</w:t>
            </w:r>
          </w:p>
        </w:tc>
      </w:tr>
      <w:tr w:rsidR="005342D5" w:rsidRPr="0019790A" w14:paraId="187FC250" w14:textId="77777777" w:rsidTr="006D54ED">
        <w:trPr>
          <w:jc w:val="right"/>
        </w:trPr>
        <w:tc>
          <w:tcPr>
            <w:tcW w:w="3423" w:type="dxa"/>
            <w:vAlign w:val="center"/>
          </w:tcPr>
          <w:p w14:paraId="4D1C5629" w14:textId="77777777" w:rsidR="005342D5" w:rsidRPr="0019790A" w:rsidRDefault="005342D5" w:rsidP="0019790A">
            <w:pPr>
              <w:rPr>
                <w:rFonts w:cs="Arial"/>
                <w:b/>
                <w:szCs w:val="22"/>
              </w:rPr>
            </w:pPr>
            <w:r w:rsidRPr="0019790A">
              <w:rPr>
                <w:rFonts w:cs="Arial"/>
                <w:b/>
                <w:szCs w:val="22"/>
              </w:rPr>
              <w:t>Цільові групи проєкту та кількість отримувачів вигоди</w:t>
            </w:r>
          </w:p>
        </w:tc>
        <w:tc>
          <w:tcPr>
            <w:tcW w:w="6796" w:type="dxa"/>
            <w:gridSpan w:val="8"/>
            <w:vAlign w:val="center"/>
          </w:tcPr>
          <w:p w14:paraId="53223FF5" w14:textId="77777777" w:rsidR="005342D5" w:rsidRPr="0019790A" w:rsidRDefault="005342D5" w:rsidP="006D54ED">
            <w:pPr>
              <w:numPr>
                <w:ilvl w:val="0"/>
                <w:numId w:val="131"/>
              </w:numPr>
              <w:tabs>
                <w:tab w:val="left" w:pos="321"/>
              </w:tabs>
              <w:ind w:left="0" w:firstLine="0"/>
              <w:jc w:val="both"/>
              <w:rPr>
                <w:rFonts w:cs="Arial"/>
                <w:szCs w:val="22"/>
              </w:rPr>
            </w:pPr>
            <w:r w:rsidRPr="0019790A">
              <w:rPr>
                <w:rFonts w:cs="Arial"/>
                <w:szCs w:val="22"/>
              </w:rPr>
              <w:t>Молодь віком 14–35 років</w:t>
            </w:r>
          </w:p>
          <w:p w14:paraId="63FC7B69" w14:textId="77777777" w:rsidR="005342D5" w:rsidRPr="0019790A" w:rsidRDefault="005342D5" w:rsidP="006D54ED">
            <w:pPr>
              <w:numPr>
                <w:ilvl w:val="0"/>
                <w:numId w:val="131"/>
              </w:numPr>
              <w:tabs>
                <w:tab w:val="left" w:pos="321"/>
              </w:tabs>
              <w:ind w:left="0" w:firstLine="0"/>
              <w:jc w:val="both"/>
              <w:rPr>
                <w:rFonts w:cs="Arial"/>
                <w:szCs w:val="22"/>
              </w:rPr>
            </w:pPr>
            <w:r w:rsidRPr="0019790A">
              <w:rPr>
                <w:rFonts w:cs="Arial"/>
                <w:szCs w:val="22"/>
              </w:rPr>
              <w:t>Молодіжні активісти та волонтери</w:t>
            </w:r>
          </w:p>
          <w:p w14:paraId="68174A14" w14:textId="77777777" w:rsidR="005342D5" w:rsidRPr="0019790A" w:rsidRDefault="005342D5" w:rsidP="006D54ED">
            <w:pPr>
              <w:numPr>
                <w:ilvl w:val="0"/>
                <w:numId w:val="131"/>
              </w:numPr>
              <w:tabs>
                <w:tab w:val="left" w:pos="321"/>
              </w:tabs>
              <w:ind w:left="0" w:firstLine="0"/>
              <w:jc w:val="both"/>
              <w:rPr>
                <w:rFonts w:cs="Arial"/>
                <w:szCs w:val="22"/>
              </w:rPr>
            </w:pPr>
            <w:r w:rsidRPr="0019790A">
              <w:rPr>
                <w:rFonts w:cs="Arial"/>
                <w:szCs w:val="22"/>
              </w:rPr>
              <w:t>Молодь з вразливих категорій (ВПО, малозабезпечені, люди з інвалідністю)</w:t>
            </w:r>
          </w:p>
          <w:p w14:paraId="6081C06C" w14:textId="77777777" w:rsidR="005342D5" w:rsidRPr="0019790A" w:rsidRDefault="005342D5" w:rsidP="006D54ED">
            <w:pPr>
              <w:numPr>
                <w:ilvl w:val="0"/>
                <w:numId w:val="131"/>
              </w:numPr>
              <w:tabs>
                <w:tab w:val="left" w:pos="321"/>
              </w:tabs>
              <w:ind w:left="0" w:firstLine="0"/>
              <w:jc w:val="both"/>
              <w:rPr>
                <w:rFonts w:cs="Arial"/>
                <w:szCs w:val="22"/>
              </w:rPr>
            </w:pPr>
            <w:r w:rsidRPr="0019790A">
              <w:rPr>
                <w:rFonts w:cs="Arial"/>
                <w:szCs w:val="22"/>
              </w:rPr>
              <w:t>Представники молодіжних рад, шкільного та студентського самоврядування</w:t>
            </w:r>
          </w:p>
          <w:p w14:paraId="6CBFE34C" w14:textId="77777777" w:rsidR="005342D5" w:rsidRPr="0019790A" w:rsidRDefault="005342D5" w:rsidP="006D54ED">
            <w:pPr>
              <w:tabs>
                <w:tab w:val="left" w:pos="321"/>
              </w:tabs>
              <w:jc w:val="both"/>
              <w:rPr>
                <w:rFonts w:cs="Arial"/>
                <w:szCs w:val="22"/>
              </w:rPr>
            </w:pPr>
            <w:r w:rsidRPr="0019790A">
              <w:rPr>
                <w:rFonts w:cs="Arial"/>
                <w:b/>
                <w:szCs w:val="22"/>
              </w:rPr>
              <w:t>Кількість отримувачів вигоди</w:t>
            </w:r>
            <w:r w:rsidRPr="0019790A">
              <w:rPr>
                <w:rFonts w:cs="Arial"/>
                <w:szCs w:val="22"/>
              </w:rPr>
              <w:t xml:space="preserve"> </w:t>
            </w:r>
            <w:r w:rsidRPr="0019790A">
              <w:rPr>
                <w:rFonts w:cs="Arial"/>
                <w:b/>
                <w:szCs w:val="22"/>
              </w:rPr>
              <w:t>1000 осіб.</w:t>
            </w:r>
          </w:p>
        </w:tc>
      </w:tr>
      <w:tr w:rsidR="005342D5" w:rsidRPr="0019790A" w14:paraId="16948F83" w14:textId="77777777" w:rsidTr="006D54ED">
        <w:trPr>
          <w:jc w:val="right"/>
        </w:trPr>
        <w:tc>
          <w:tcPr>
            <w:tcW w:w="3423" w:type="dxa"/>
            <w:shd w:val="clear" w:color="auto" w:fill="FFFFFF"/>
            <w:vAlign w:val="center"/>
          </w:tcPr>
          <w:p w14:paraId="784E3985" w14:textId="77777777" w:rsidR="005342D5" w:rsidRPr="0019790A" w:rsidRDefault="005342D5" w:rsidP="0019790A">
            <w:pPr>
              <w:rPr>
                <w:rFonts w:cs="Arial"/>
                <w:b/>
                <w:bCs/>
                <w:szCs w:val="22"/>
              </w:rPr>
            </w:pPr>
            <w:r w:rsidRPr="0019790A">
              <w:rPr>
                <w:rFonts w:cs="Arial"/>
                <w:b/>
                <w:bCs/>
                <w:szCs w:val="22"/>
              </w:rPr>
              <w:t>Стислий опис проєкту:</w:t>
            </w:r>
          </w:p>
        </w:tc>
        <w:tc>
          <w:tcPr>
            <w:tcW w:w="6796" w:type="dxa"/>
            <w:gridSpan w:val="8"/>
            <w:vAlign w:val="center"/>
          </w:tcPr>
          <w:p w14:paraId="6C01A7F0" w14:textId="77777777" w:rsidR="005342D5" w:rsidRPr="0019790A" w:rsidRDefault="005342D5" w:rsidP="006D54ED">
            <w:pPr>
              <w:tabs>
                <w:tab w:val="left" w:pos="321"/>
              </w:tabs>
              <w:jc w:val="both"/>
              <w:rPr>
                <w:rFonts w:cs="Arial"/>
                <w:szCs w:val="22"/>
              </w:rPr>
            </w:pPr>
            <w:r w:rsidRPr="0019790A">
              <w:rPr>
                <w:rFonts w:cs="Arial"/>
                <w:szCs w:val="22"/>
              </w:rPr>
              <w:t>Проєкт спрямований на розвиток мобільності та соціальної активності молоді через створення умов для участі у міжгромадських обмінах, тренінгах, культурних ініціативах, волонтерських програмах і суспільних проєктах. Особлива увага приділяється соціальній інтеграції вразливих груп молоді. Передбачається тісна співпраця з молодіжними центрами, ГО та органами місцевого самоврядування.</w:t>
            </w:r>
          </w:p>
        </w:tc>
      </w:tr>
      <w:tr w:rsidR="005342D5" w:rsidRPr="0019790A" w14:paraId="6AF07CED" w14:textId="77777777" w:rsidTr="006D54ED">
        <w:trPr>
          <w:jc w:val="right"/>
        </w:trPr>
        <w:tc>
          <w:tcPr>
            <w:tcW w:w="3423" w:type="dxa"/>
            <w:shd w:val="clear" w:color="auto" w:fill="FFFFFF"/>
            <w:vAlign w:val="center"/>
          </w:tcPr>
          <w:p w14:paraId="5C5248AA" w14:textId="77777777" w:rsidR="005342D5" w:rsidRPr="0019790A" w:rsidRDefault="005342D5" w:rsidP="0019790A">
            <w:pPr>
              <w:rPr>
                <w:rFonts w:cs="Arial"/>
                <w:b/>
                <w:bCs/>
                <w:szCs w:val="22"/>
              </w:rPr>
            </w:pPr>
            <w:r w:rsidRPr="0019790A">
              <w:rPr>
                <w:rFonts w:cs="Arial"/>
                <w:b/>
                <w:bCs/>
                <w:szCs w:val="22"/>
              </w:rPr>
              <w:t>Основні заходи проєкту:</w:t>
            </w:r>
          </w:p>
        </w:tc>
        <w:tc>
          <w:tcPr>
            <w:tcW w:w="6796" w:type="dxa"/>
            <w:gridSpan w:val="8"/>
            <w:vAlign w:val="center"/>
          </w:tcPr>
          <w:p w14:paraId="5BBA84D0" w14:textId="77777777" w:rsidR="005342D5" w:rsidRPr="0019790A" w:rsidRDefault="005342D5" w:rsidP="006D54ED">
            <w:pPr>
              <w:numPr>
                <w:ilvl w:val="0"/>
                <w:numId w:val="132"/>
              </w:numPr>
              <w:tabs>
                <w:tab w:val="left" w:pos="321"/>
              </w:tabs>
              <w:ind w:left="0" w:firstLine="0"/>
              <w:jc w:val="both"/>
              <w:rPr>
                <w:rFonts w:cs="Arial"/>
                <w:szCs w:val="22"/>
              </w:rPr>
            </w:pPr>
            <w:r w:rsidRPr="0019790A">
              <w:rPr>
                <w:rFonts w:cs="Arial"/>
                <w:szCs w:val="22"/>
              </w:rPr>
              <w:t>Проведення Школи громадської активності та проєктного менеджменту</w:t>
            </w:r>
          </w:p>
          <w:p w14:paraId="1D85FE59" w14:textId="77777777" w:rsidR="005342D5" w:rsidRPr="0019790A" w:rsidRDefault="005342D5" w:rsidP="006D54ED">
            <w:pPr>
              <w:numPr>
                <w:ilvl w:val="0"/>
                <w:numId w:val="132"/>
              </w:numPr>
              <w:tabs>
                <w:tab w:val="left" w:pos="321"/>
              </w:tabs>
              <w:ind w:left="0" w:firstLine="0"/>
              <w:jc w:val="both"/>
              <w:rPr>
                <w:rFonts w:cs="Arial"/>
                <w:szCs w:val="22"/>
              </w:rPr>
            </w:pPr>
            <w:r w:rsidRPr="0019790A">
              <w:rPr>
                <w:rFonts w:cs="Arial"/>
                <w:szCs w:val="22"/>
              </w:rPr>
              <w:t>Організація молодіжного табору / обміну з іншою громадою</w:t>
            </w:r>
          </w:p>
          <w:p w14:paraId="387B6D8E" w14:textId="77777777" w:rsidR="005342D5" w:rsidRPr="0019790A" w:rsidRDefault="005342D5" w:rsidP="006D54ED">
            <w:pPr>
              <w:numPr>
                <w:ilvl w:val="0"/>
                <w:numId w:val="132"/>
              </w:numPr>
              <w:tabs>
                <w:tab w:val="left" w:pos="321"/>
              </w:tabs>
              <w:ind w:left="0" w:firstLine="0"/>
              <w:jc w:val="both"/>
              <w:rPr>
                <w:rFonts w:cs="Arial"/>
                <w:szCs w:val="22"/>
              </w:rPr>
            </w:pPr>
            <w:r w:rsidRPr="0019790A">
              <w:rPr>
                <w:rFonts w:cs="Arial"/>
                <w:szCs w:val="22"/>
              </w:rPr>
              <w:t>Культурно-просвітницькі заходи: вечори, перформанси, виставки</w:t>
            </w:r>
          </w:p>
          <w:p w14:paraId="7226B687" w14:textId="1AE9F512" w:rsidR="005342D5" w:rsidRPr="0019790A" w:rsidRDefault="005342D5" w:rsidP="006D54ED">
            <w:pPr>
              <w:numPr>
                <w:ilvl w:val="0"/>
                <w:numId w:val="132"/>
              </w:numPr>
              <w:tabs>
                <w:tab w:val="left" w:pos="321"/>
              </w:tabs>
              <w:ind w:left="0" w:firstLine="0"/>
              <w:jc w:val="both"/>
              <w:rPr>
                <w:rFonts w:cs="Arial"/>
                <w:szCs w:val="22"/>
              </w:rPr>
            </w:pPr>
            <w:r w:rsidRPr="0019790A">
              <w:rPr>
                <w:rFonts w:cs="Arial"/>
                <w:szCs w:val="22"/>
              </w:rPr>
              <w:t>Реалізація ініціатив локальної молоді (</w:t>
            </w:r>
            <w:r w:rsidR="006D54ED" w:rsidRPr="0019790A">
              <w:rPr>
                <w:rFonts w:cs="Arial"/>
                <w:szCs w:val="22"/>
              </w:rPr>
              <w:t>міні гранти</w:t>
            </w:r>
            <w:r w:rsidRPr="0019790A">
              <w:rPr>
                <w:rFonts w:cs="Arial"/>
                <w:szCs w:val="22"/>
              </w:rPr>
              <w:t xml:space="preserve"> на соціальні проєкти)</w:t>
            </w:r>
          </w:p>
          <w:p w14:paraId="52353FFE" w14:textId="77777777" w:rsidR="005342D5" w:rsidRPr="0019790A" w:rsidRDefault="005342D5" w:rsidP="006D54ED">
            <w:pPr>
              <w:numPr>
                <w:ilvl w:val="0"/>
                <w:numId w:val="132"/>
              </w:numPr>
              <w:tabs>
                <w:tab w:val="left" w:pos="321"/>
              </w:tabs>
              <w:ind w:left="0" w:firstLine="0"/>
              <w:jc w:val="both"/>
              <w:rPr>
                <w:rFonts w:cs="Arial"/>
                <w:szCs w:val="22"/>
              </w:rPr>
            </w:pPr>
            <w:r w:rsidRPr="0019790A">
              <w:rPr>
                <w:rFonts w:cs="Arial"/>
                <w:szCs w:val="22"/>
              </w:rPr>
              <w:t>Проведення інтеграційних заходів для ВПО та молоді з інших громад</w:t>
            </w:r>
          </w:p>
          <w:p w14:paraId="5FE4E34A" w14:textId="77777777" w:rsidR="005342D5" w:rsidRPr="0019790A" w:rsidRDefault="005342D5" w:rsidP="006D54ED">
            <w:pPr>
              <w:numPr>
                <w:ilvl w:val="0"/>
                <w:numId w:val="132"/>
              </w:numPr>
              <w:tabs>
                <w:tab w:val="left" w:pos="321"/>
              </w:tabs>
              <w:ind w:left="0" w:firstLine="0"/>
              <w:jc w:val="both"/>
              <w:rPr>
                <w:rFonts w:cs="Arial"/>
                <w:szCs w:val="22"/>
              </w:rPr>
            </w:pPr>
            <w:r w:rsidRPr="0019790A">
              <w:rPr>
                <w:rFonts w:cs="Arial"/>
                <w:szCs w:val="22"/>
              </w:rPr>
              <w:t>Інформаційна кампанія «Будь в русі – змінюй громаду»</w:t>
            </w:r>
          </w:p>
        </w:tc>
      </w:tr>
      <w:tr w:rsidR="005342D5" w:rsidRPr="0019790A" w14:paraId="0FE532CE" w14:textId="77777777" w:rsidTr="006D54ED">
        <w:trPr>
          <w:trHeight w:val="487"/>
          <w:jc w:val="right"/>
        </w:trPr>
        <w:tc>
          <w:tcPr>
            <w:tcW w:w="3423" w:type="dxa"/>
            <w:shd w:val="clear" w:color="auto" w:fill="FFFFFF"/>
            <w:vAlign w:val="center"/>
          </w:tcPr>
          <w:p w14:paraId="26F57148" w14:textId="77777777" w:rsidR="005342D5" w:rsidRPr="0019790A" w:rsidRDefault="005342D5" w:rsidP="0019790A">
            <w:pPr>
              <w:rPr>
                <w:rFonts w:cs="Arial"/>
                <w:b/>
                <w:bCs/>
                <w:szCs w:val="22"/>
              </w:rPr>
            </w:pPr>
            <w:r w:rsidRPr="0019790A">
              <w:rPr>
                <w:rFonts w:cs="Arial"/>
                <w:b/>
                <w:bCs/>
                <w:szCs w:val="22"/>
              </w:rPr>
              <w:t>Індикатори (показники) результативності:</w:t>
            </w:r>
          </w:p>
        </w:tc>
        <w:tc>
          <w:tcPr>
            <w:tcW w:w="6796" w:type="dxa"/>
            <w:gridSpan w:val="8"/>
            <w:vAlign w:val="center"/>
          </w:tcPr>
          <w:p w14:paraId="3107A143" w14:textId="77777777" w:rsidR="005342D5" w:rsidRPr="0019790A" w:rsidRDefault="005342D5" w:rsidP="006D54ED">
            <w:pPr>
              <w:numPr>
                <w:ilvl w:val="0"/>
                <w:numId w:val="133"/>
              </w:numPr>
              <w:tabs>
                <w:tab w:val="left" w:pos="321"/>
              </w:tabs>
              <w:ind w:left="0" w:firstLine="0"/>
              <w:jc w:val="both"/>
              <w:rPr>
                <w:rFonts w:cs="Arial"/>
                <w:szCs w:val="22"/>
              </w:rPr>
            </w:pPr>
            <w:r w:rsidRPr="0019790A">
              <w:rPr>
                <w:rFonts w:cs="Arial"/>
                <w:szCs w:val="22"/>
              </w:rPr>
              <w:t>Не менше 150 безпосередніх учасників проєктних активностей за рік</w:t>
            </w:r>
          </w:p>
          <w:p w14:paraId="0CC25378" w14:textId="77777777" w:rsidR="005342D5" w:rsidRPr="0019790A" w:rsidRDefault="005342D5" w:rsidP="006D54ED">
            <w:pPr>
              <w:numPr>
                <w:ilvl w:val="0"/>
                <w:numId w:val="133"/>
              </w:numPr>
              <w:tabs>
                <w:tab w:val="left" w:pos="321"/>
              </w:tabs>
              <w:ind w:left="0" w:firstLine="0"/>
              <w:jc w:val="both"/>
              <w:rPr>
                <w:rFonts w:cs="Arial"/>
                <w:szCs w:val="22"/>
              </w:rPr>
            </w:pPr>
            <w:r w:rsidRPr="0019790A">
              <w:rPr>
                <w:rFonts w:cs="Arial"/>
                <w:szCs w:val="22"/>
              </w:rPr>
              <w:t>Проведено щонайменше 15 подій (тренінги, обміни, зустрічі, акції) за рік</w:t>
            </w:r>
          </w:p>
          <w:p w14:paraId="1608EB0D" w14:textId="77777777" w:rsidR="005342D5" w:rsidRPr="0019790A" w:rsidRDefault="005342D5" w:rsidP="006D54ED">
            <w:pPr>
              <w:numPr>
                <w:ilvl w:val="0"/>
                <w:numId w:val="133"/>
              </w:numPr>
              <w:tabs>
                <w:tab w:val="left" w:pos="321"/>
              </w:tabs>
              <w:ind w:left="0" w:firstLine="0"/>
              <w:jc w:val="both"/>
              <w:rPr>
                <w:rFonts w:cs="Arial"/>
                <w:szCs w:val="22"/>
              </w:rPr>
            </w:pPr>
            <w:r w:rsidRPr="0019790A">
              <w:rPr>
                <w:rFonts w:cs="Arial"/>
                <w:szCs w:val="22"/>
              </w:rPr>
              <w:t>Створено 5+ локальних ініціатив молоді у громаді</w:t>
            </w:r>
          </w:p>
          <w:p w14:paraId="6F2E1DFF" w14:textId="77777777" w:rsidR="005342D5" w:rsidRPr="0019790A" w:rsidRDefault="005342D5" w:rsidP="006D54ED">
            <w:pPr>
              <w:numPr>
                <w:ilvl w:val="0"/>
                <w:numId w:val="133"/>
              </w:numPr>
              <w:tabs>
                <w:tab w:val="left" w:pos="321"/>
              </w:tabs>
              <w:ind w:left="0" w:firstLine="0"/>
              <w:jc w:val="both"/>
              <w:rPr>
                <w:rFonts w:cs="Arial"/>
                <w:szCs w:val="22"/>
              </w:rPr>
            </w:pPr>
            <w:r w:rsidRPr="0019790A">
              <w:rPr>
                <w:rFonts w:cs="Arial"/>
                <w:szCs w:val="22"/>
              </w:rPr>
              <w:t>80% учасників заявили про посилення мотивації до участі в житті громади</w:t>
            </w:r>
          </w:p>
          <w:p w14:paraId="5741BC64" w14:textId="77777777" w:rsidR="005342D5" w:rsidRPr="0019790A" w:rsidRDefault="005342D5" w:rsidP="006D54ED">
            <w:pPr>
              <w:numPr>
                <w:ilvl w:val="0"/>
                <w:numId w:val="133"/>
              </w:numPr>
              <w:tabs>
                <w:tab w:val="left" w:pos="321"/>
              </w:tabs>
              <w:ind w:left="0" w:firstLine="0"/>
              <w:jc w:val="both"/>
              <w:rPr>
                <w:rFonts w:cs="Arial"/>
                <w:szCs w:val="22"/>
              </w:rPr>
            </w:pPr>
            <w:r w:rsidRPr="0019790A">
              <w:rPr>
                <w:rFonts w:cs="Arial"/>
                <w:szCs w:val="22"/>
              </w:rPr>
              <w:t>3 партнерські громади/організації залучені до співпраці</w:t>
            </w:r>
          </w:p>
        </w:tc>
      </w:tr>
      <w:tr w:rsidR="005342D5" w:rsidRPr="0019790A" w14:paraId="31F70B75" w14:textId="77777777" w:rsidTr="006D54ED">
        <w:trPr>
          <w:jc w:val="right"/>
        </w:trPr>
        <w:tc>
          <w:tcPr>
            <w:tcW w:w="3423" w:type="dxa"/>
            <w:shd w:val="clear" w:color="auto" w:fill="FFFFFF"/>
            <w:vAlign w:val="center"/>
          </w:tcPr>
          <w:p w14:paraId="66DAC095" w14:textId="77777777" w:rsidR="005342D5" w:rsidRPr="0019790A" w:rsidRDefault="005342D5" w:rsidP="0019790A">
            <w:pPr>
              <w:rPr>
                <w:rFonts w:cs="Arial"/>
                <w:b/>
                <w:szCs w:val="22"/>
              </w:rPr>
            </w:pPr>
            <w:r w:rsidRPr="0019790A">
              <w:rPr>
                <w:rFonts w:cs="Arial"/>
                <w:b/>
                <w:szCs w:val="22"/>
              </w:rPr>
              <w:t xml:space="preserve">Період здійснення: </w:t>
            </w:r>
          </w:p>
        </w:tc>
        <w:tc>
          <w:tcPr>
            <w:tcW w:w="6796" w:type="dxa"/>
            <w:gridSpan w:val="8"/>
            <w:vAlign w:val="center"/>
          </w:tcPr>
          <w:p w14:paraId="711AF35C" w14:textId="77777777" w:rsidR="005342D5" w:rsidRPr="0019790A" w:rsidRDefault="005342D5" w:rsidP="006D54ED">
            <w:pPr>
              <w:tabs>
                <w:tab w:val="left" w:pos="321"/>
              </w:tabs>
              <w:jc w:val="both"/>
              <w:rPr>
                <w:rFonts w:cs="Arial"/>
                <w:szCs w:val="22"/>
              </w:rPr>
            </w:pPr>
            <w:r w:rsidRPr="0019790A">
              <w:rPr>
                <w:rFonts w:cs="Arial"/>
                <w:b/>
                <w:szCs w:val="22"/>
              </w:rPr>
              <w:t>2025 – 2028 роки:</w:t>
            </w:r>
          </w:p>
        </w:tc>
      </w:tr>
      <w:tr w:rsidR="005342D5" w:rsidRPr="0019790A" w14:paraId="6CF9F62E" w14:textId="77777777" w:rsidTr="006D54ED">
        <w:trPr>
          <w:jc w:val="right"/>
        </w:trPr>
        <w:tc>
          <w:tcPr>
            <w:tcW w:w="3423" w:type="dxa"/>
            <w:vMerge w:val="restart"/>
            <w:shd w:val="clear" w:color="auto" w:fill="FFFFFF"/>
            <w:vAlign w:val="center"/>
          </w:tcPr>
          <w:p w14:paraId="6D7F44DE" w14:textId="77777777" w:rsidR="005342D5" w:rsidRPr="0019790A" w:rsidRDefault="005342D5" w:rsidP="0019790A">
            <w:pPr>
              <w:rPr>
                <w:rFonts w:cs="Arial"/>
                <w:b/>
                <w:bCs/>
                <w:szCs w:val="22"/>
              </w:rPr>
            </w:pPr>
            <w:r w:rsidRPr="0019790A">
              <w:rPr>
                <w:rFonts w:cs="Arial"/>
                <w:b/>
                <w:bCs/>
                <w:szCs w:val="22"/>
              </w:rPr>
              <w:t>Орієнтовна вартість проєкту, тис. грн., в тому числі:</w:t>
            </w:r>
          </w:p>
        </w:tc>
        <w:tc>
          <w:tcPr>
            <w:tcW w:w="1258" w:type="dxa"/>
            <w:shd w:val="clear" w:color="auto" w:fill="E6E6E6"/>
            <w:vAlign w:val="center"/>
          </w:tcPr>
          <w:p w14:paraId="4681EFC9" w14:textId="77777777" w:rsidR="005342D5" w:rsidRPr="0019790A" w:rsidRDefault="005342D5" w:rsidP="006D54ED">
            <w:pPr>
              <w:tabs>
                <w:tab w:val="left" w:pos="321"/>
              </w:tabs>
              <w:jc w:val="center"/>
              <w:rPr>
                <w:rFonts w:cs="Arial"/>
                <w:b/>
                <w:szCs w:val="22"/>
              </w:rPr>
            </w:pPr>
            <w:r w:rsidRPr="0019790A">
              <w:rPr>
                <w:rFonts w:cs="Arial"/>
                <w:b/>
                <w:szCs w:val="22"/>
              </w:rPr>
              <w:t>2025</w:t>
            </w:r>
          </w:p>
        </w:tc>
        <w:tc>
          <w:tcPr>
            <w:tcW w:w="1275" w:type="dxa"/>
            <w:shd w:val="clear" w:color="auto" w:fill="E6E6E6"/>
            <w:vAlign w:val="center"/>
          </w:tcPr>
          <w:p w14:paraId="01D8C4AB" w14:textId="77777777" w:rsidR="005342D5" w:rsidRPr="0019790A" w:rsidRDefault="005342D5" w:rsidP="006D54ED">
            <w:pPr>
              <w:tabs>
                <w:tab w:val="left" w:pos="321"/>
              </w:tabs>
              <w:jc w:val="center"/>
              <w:rPr>
                <w:rFonts w:cs="Arial"/>
                <w:b/>
                <w:szCs w:val="22"/>
              </w:rPr>
            </w:pPr>
            <w:r w:rsidRPr="0019790A">
              <w:rPr>
                <w:rFonts w:cs="Arial"/>
                <w:b/>
                <w:szCs w:val="22"/>
              </w:rPr>
              <w:t>2026</w:t>
            </w:r>
          </w:p>
        </w:tc>
        <w:tc>
          <w:tcPr>
            <w:tcW w:w="1417" w:type="dxa"/>
            <w:gridSpan w:val="2"/>
            <w:tcBorders>
              <w:bottom w:val="single" w:sz="4" w:space="0" w:color="auto"/>
            </w:tcBorders>
            <w:shd w:val="clear" w:color="auto" w:fill="E6E6E6"/>
            <w:vAlign w:val="center"/>
          </w:tcPr>
          <w:p w14:paraId="73FD9502" w14:textId="77777777" w:rsidR="005342D5" w:rsidRPr="0019790A" w:rsidRDefault="005342D5" w:rsidP="006D54ED">
            <w:pPr>
              <w:tabs>
                <w:tab w:val="left" w:pos="321"/>
              </w:tabs>
              <w:jc w:val="center"/>
              <w:rPr>
                <w:rFonts w:cs="Arial"/>
                <w:b/>
                <w:szCs w:val="22"/>
              </w:rPr>
            </w:pPr>
            <w:r w:rsidRPr="0019790A">
              <w:rPr>
                <w:rFonts w:cs="Arial"/>
                <w:b/>
                <w:szCs w:val="22"/>
              </w:rPr>
              <w:t>2027</w:t>
            </w:r>
          </w:p>
        </w:tc>
        <w:tc>
          <w:tcPr>
            <w:tcW w:w="1276" w:type="dxa"/>
            <w:gridSpan w:val="2"/>
            <w:shd w:val="clear" w:color="auto" w:fill="E6E6E6"/>
            <w:vAlign w:val="center"/>
          </w:tcPr>
          <w:p w14:paraId="624A531B" w14:textId="77777777" w:rsidR="005342D5" w:rsidRPr="0019790A" w:rsidRDefault="005342D5" w:rsidP="006D54ED">
            <w:pPr>
              <w:tabs>
                <w:tab w:val="left" w:pos="321"/>
              </w:tabs>
              <w:jc w:val="center"/>
              <w:rPr>
                <w:rFonts w:cs="Arial"/>
                <w:b/>
                <w:szCs w:val="22"/>
              </w:rPr>
            </w:pPr>
            <w:r w:rsidRPr="0019790A">
              <w:rPr>
                <w:rFonts w:cs="Arial"/>
                <w:b/>
                <w:szCs w:val="22"/>
              </w:rPr>
              <w:t>2028</w:t>
            </w:r>
          </w:p>
        </w:tc>
        <w:tc>
          <w:tcPr>
            <w:tcW w:w="1570" w:type="dxa"/>
            <w:gridSpan w:val="2"/>
            <w:shd w:val="clear" w:color="auto" w:fill="E6E6E6"/>
            <w:vAlign w:val="center"/>
          </w:tcPr>
          <w:p w14:paraId="58631A6F" w14:textId="77777777" w:rsidR="005342D5" w:rsidRPr="0019790A" w:rsidRDefault="005342D5" w:rsidP="006D54ED">
            <w:pPr>
              <w:tabs>
                <w:tab w:val="left" w:pos="321"/>
              </w:tabs>
              <w:jc w:val="center"/>
              <w:rPr>
                <w:rFonts w:cs="Arial"/>
                <w:b/>
                <w:szCs w:val="22"/>
              </w:rPr>
            </w:pPr>
            <w:r w:rsidRPr="0019790A">
              <w:rPr>
                <w:rFonts w:cs="Arial"/>
                <w:b/>
                <w:szCs w:val="22"/>
              </w:rPr>
              <w:t>РАЗОМ</w:t>
            </w:r>
          </w:p>
        </w:tc>
      </w:tr>
      <w:tr w:rsidR="005342D5" w:rsidRPr="0019790A" w14:paraId="61E33687" w14:textId="77777777" w:rsidTr="006D54ED">
        <w:trPr>
          <w:jc w:val="right"/>
        </w:trPr>
        <w:tc>
          <w:tcPr>
            <w:tcW w:w="3423" w:type="dxa"/>
            <w:vMerge/>
            <w:shd w:val="clear" w:color="auto" w:fill="FFFFFF"/>
            <w:vAlign w:val="center"/>
          </w:tcPr>
          <w:p w14:paraId="4C662517" w14:textId="77777777" w:rsidR="005342D5" w:rsidRPr="0019790A" w:rsidRDefault="005342D5" w:rsidP="0019790A">
            <w:pPr>
              <w:rPr>
                <w:rFonts w:cs="Arial"/>
                <w:b/>
                <w:bCs/>
                <w:szCs w:val="22"/>
              </w:rPr>
            </w:pPr>
          </w:p>
        </w:tc>
        <w:tc>
          <w:tcPr>
            <w:tcW w:w="1258" w:type="dxa"/>
            <w:vAlign w:val="center"/>
          </w:tcPr>
          <w:p w14:paraId="05A9D03B" w14:textId="77777777" w:rsidR="005342D5" w:rsidRPr="0019790A" w:rsidRDefault="005342D5" w:rsidP="006D54ED">
            <w:pPr>
              <w:tabs>
                <w:tab w:val="left" w:pos="321"/>
              </w:tabs>
              <w:jc w:val="center"/>
              <w:rPr>
                <w:rFonts w:cs="Arial"/>
                <w:b/>
                <w:szCs w:val="22"/>
              </w:rPr>
            </w:pPr>
          </w:p>
        </w:tc>
        <w:tc>
          <w:tcPr>
            <w:tcW w:w="1275" w:type="dxa"/>
            <w:shd w:val="clear" w:color="auto" w:fill="FFFFFF"/>
            <w:vAlign w:val="center"/>
          </w:tcPr>
          <w:p w14:paraId="5EA617FC" w14:textId="77777777" w:rsidR="005342D5" w:rsidRPr="0019790A" w:rsidRDefault="005342D5" w:rsidP="006D54ED">
            <w:pPr>
              <w:tabs>
                <w:tab w:val="left" w:pos="321"/>
              </w:tabs>
              <w:jc w:val="center"/>
              <w:rPr>
                <w:rFonts w:cs="Arial"/>
                <w:b/>
                <w:szCs w:val="22"/>
              </w:rPr>
            </w:pPr>
            <w:r w:rsidRPr="0019790A">
              <w:rPr>
                <w:rFonts w:cs="Arial"/>
                <w:b/>
                <w:szCs w:val="22"/>
              </w:rPr>
              <w:t>120,0</w:t>
            </w:r>
          </w:p>
        </w:tc>
        <w:tc>
          <w:tcPr>
            <w:tcW w:w="1417" w:type="dxa"/>
            <w:gridSpan w:val="2"/>
            <w:shd w:val="clear" w:color="auto" w:fill="auto"/>
            <w:vAlign w:val="center"/>
          </w:tcPr>
          <w:p w14:paraId="24F3135D" w14:textId="77777777" w:rsidR="005342D5" w:rsidRPr="0019790A" w:rsidRDefault="005342D5" w:rsidP="006D54ED">
            <w:pPr>
              <w:tabs>
                <w:tab w:val="left" w:pos="321"/>
              </w:tabs>
              <w:jc w:val="center"/>
              <w:rPr>
                <w:rFonts w:cs="Arial"/>
                <w:b/>
                <w:szCs w:val="22"/>
              </w:rPr>
            </w:pPr>
            <w:r w:rsidRPr="0019790A">
              <w:rPr>
                <w:rFonts w:cs="Arial"/>
                <w:b/>
                <w:szCs w:val="22"/>
              </w:rPr>
              <w:t>120,0</w:t>
            </w:r>
          </w:p>
        </w:tc>
        <w:tc>
          <w:tcPr>
            <w:tcW w:w="1276" w:type="dxa"/>
            <w:gridSpan w:val="2"/>
            <w:shd w:val="clear" w:color="auto" w:fill="FFFFFF"/>
            <w:vAlign w:val="center"/>
          </w:tcPr>
          <w:p w14:paraId="1C3A9115" w14:textId="77777777" w:rsidR="005342D5" w:rsidRPr="0019790A" w:rsidRDefault="005342D5" w:rsidP="006D54ED">
            <w:pPr>
              <w:tabs>
                <w:tab w:val="left" w:pos="321"/>
              </w:tabs>
              <w:jc w:val="center"/>
              <w:rPr>
                <w:rFonts w:cs="Arial"/>
                <w:b/>
                <w:szCs w:val="22"/>
              </w:rPr>
            </w:pPr>
            <w:r w:rsidRPr="0019790A">
              <w:rPr>
                <w:rFonts w:cs="Arial"/>
                <w:b/>
                <w:szCs w:val="22"/>
              </w:rPr>
              <w:t>120,0</w:t>
            </w:r>
          </w:p>
        </w:tc>
        <w:tc>
          <w:tcPr>
            <w:tcW w:w="1570" w:type="dxa"/>
            <w:gridSpan w:val="2"/>
            <w:shd w:val="clear" w:color="auto" w:fill="FFFFFF"/>
            <w:vAlign w:val="center"/>
          </w:tcPr>
          <w:p w14:paraId="0DDC923F" w14:textId="77777777" w:rsidR="005342D5" w:rsidRPr="0019790A" w:rsidRDefault="005342D5" w:rsidP="006D54ED">
            <w:pPr>
              <w:tabs>
                <w:tab w:val="left" w:pos="321"/>
              </w:tabs>
              <w:jc w:val="center"/>
              <w:rPr>
                <w:rFonts w:cs="Arial"/>
                <w:b/>
                <w:szCs w:val="22"/>
              </w:rPr>
            </w:pPr>
            <w:r w:rsidRPr="0019790A">
              <w:rPr>
                <w:rFonts w:cs="Arial"/>
                <w:b/>
                <w:szCs w:val="22"/>
              </w:rPr>
              <w:t>360,0</w:t>
            </w:r>
          </w:p>
        </w:tc>
      </w:tr>
      <w:tr w:rsidR="005342D5" w:rsidRPr="0019790A" w14:paraId="35FAF185" w14:textId="77777777" w:rsidTr="006D54ED">
        <w:trPr>
          <w:trHeight w:val="276"/>
          <w:jc w:val="right"/>
        </w:trPr>
        <w:tc>
          <w:tcPr>
            <w:tcW w:w="3423" w:type="dxa"/>
            <w:shd w:val="clear" w:color="auto" w:fill="FFFFFF"/>
            <w:vAlign w:val="center"/>
          </w:tcPr>
          <w:p w14:paraId="64AFC95C" w14:textId="77777777" w:rsidR="005342D5" w:rsidRPr="0019790A" w:rsidRDefault="005342D5" w:rsidP="0019790A">
            <w:pPr>
              <w:rPr>
                <w:rFonts w:cs="Arial"/>
                <w:b/>
                <w:bCs/>
                <w:szCs w:val="22"/>
              </w:rPr>
            </w:pPr>
            <w:r w:rsidRPr="0019790A">
              <w:rPr>
                <w:rFonts w:cs="Arial"/>
                <w:b/>
                <w:bCs/>
                <w:szCs w:val="22"/>
              </w:rPr>
              <w:t>по джерелах фінансування:</w:t>
            </w:r>
          </w:p>
        </w:tc>
        <w:tc>
          <w:tcPr>
            <w:tcW w:w="6796" w:type="dxa"/>
            <w:gridSpan w:val="8"/>
            <w:vAlign w:val="center"/>
          </w:tcPr>
          <w:p w14:paraId="46CCB2FA" w14:textId="77777777" w:rsidR="005342D5" w:rsidRPr="0019790A" w:rsidRDefault="005342D5" w:rsidP="006D54ED">
            <w:pPr>
              <w:tabs>
                <w:tab w:val="left" w:pos="321"/>
              </w:tabs>
              <w:jc w:val="center"/>
              <w:rPr>
                <w:rFonts w:cs="Arial"/>
                <w:szCs w:val="22"/>
              </w:rPr>
            </w:pPr>
          </w:p>
        </w:tc>
      </w:tr>
      <w:tr w:rsidR="006D54ED" w:rsidRPr="0019790A" w14:paraId="6AD4F03C" w14:textId="5EF20286" w:rsidTr="006D54ED">
        <w:trPr>
          <w:trHeight w:val="240"/>
          <w:jc w:val="right"/>
        </w:trPr>
        <w:tc>
          <w:tcPr>
            <w:tcW w:w="3423" w:type="dxa"/>
            <w:shd w:val="clear" w:color="auto" w:fill="FFFFFF"/>
            <w:vAlign w:val="center"/>
          </w:tcPr>
          <w:p w14:paraId="771046D7" w14:textId="77777777" w:rsidR="006D54ED" w:rsidRPr="0019790A" w:rsidRDefault="006D54ED" w:rsidP="0019790A">
            <w:pPr>
              <w:rPr>
                <w:rFonts w:cs="Arial"/>
                <w:b/>
                <w:bCs/>
                <w:szCs w:val="22"/>
              </w:rPr>
            </w:pPr>
            <w:r w:rsidRPr="0019790A">
              <w:rPr>
                <w:rFonts w:cs="Arial"/>
                <w:szCs w:val="22"/>
              </w:rPr>
              <w:t>- державний бюджет</w:t>
            </w:r>
          </w:p>
        </w:tc>
        <w:tc>
          <w:tcPr>
            <w:tcW w:w="1258" w:type="dxa"/>
            <w:vAlign w:val="center"/>
          </w:tcPr>
          <w:p w14:paraId="467AA9E7" w14:textId="77777777" w:rsidR="006D54ED" w:rsidRPr="0019790A" w:rsidRDefault="006D54ED" w:rsidP="006D54ED">
            <w:pPr>
              <w:tabs>
                <w:tab w:val="left" w:pos="321"/>
              </w:tabs>
              <w:jc w:val="center"/>
              <w:rPr>
                <w:rFonts w:cs="Arial"/>
                <w:szCs w:val="22"/>
              </w:rPr>
            </w:pPr>
          </w:p>
        </w:tc>
        <w:tc>
          <w:tcPr>
            <w:tcW w:w="1286" w:type="dxa"/>
            <w:gridSpan w:val="2"/>
            <w:vAlign w:val="center"/>
          </w:tcPr>
          <w:p w14:paraId="6FA33762" w14:textId="77777777" w:rsidR="006D54ED" w:rsidRPr="0019790A" w:rsidRDefault="006D54ED" w:rsidP="006D54ED">
            <w:pPr>
              <w:tabs>
                <w:tab w:val="left" w:pos="321"/>
              </w:tabs>
              <w:jc w:val="center"/>
              <w:rPr>
                <w:rFonts w:cs="Arial"/>
                <w:szCs w:val="22"/>
              </w:rPr>
            </w:pPr>
          </w:p>
        </w:tc>
        <w:tc>
          <w:tcPr>
            <w:tcW w:w="1421" w:type="dxa"/>
            <w:gridSpan w:val="2"/>
            <w:vAlign w:val="center"/>
          </w:tcPr>
          <w:p w14:paraId="2A187CB4" w14:textId="77777777" w:rsidR="006D54ED" w:rsidRPr="0019790A" w:rsidRDefault="006D54ED" w:rsidP="006D54ED">
            <w:pPr>
              <w:tabs>
                <w:tab w:val="left" w:pos="321"/>
              </w:tabs>
              <w:jc w:val="center"/>
              <w:rPr>
                <w:rFonts w:cs="Arial"/>
                <w:szCs w:val="22"/>
              </w:rPr>
            </w:pPr>
          </w:p>
        </w:tc>
        <w:tc>
          <w:tcPr>
            <w:tcW w:w="1315" w:type="dxa"/>
            <w:gridSpan w:val="2"/>
            <w:vAlign w:val="center"/>
          </w:tcPr>
          <w:p w14:paraId="6A156919" w14:textId="77777777" w:rsidR="006D54ED" w:rsidRPr="0019790A" w:rsidRDefault="006D54ED" w:rsidP="006D54ED">
            <w:pPr>
              <w:tabs>
                <w:tab w:val="left" w:pos="321"/>
              </w:tabs>
              <w:jc w:val="center"/>
              <w:rPr>
                <w:rFonts w:cs="Arial"/>
                <w:szCs w:val="22"/>
              </w:rPr>
            </w:pPr>
          </w:p>
        </w:tc>
        <w:tc>
          <w:tcPr>
            <w:tcW w:w="1516" w:type="dxa"/>
            <w:vAlign w:val="center"/>
          </w:tcPr>
          <w:p w14:paraId="0557AF7E" w14:textId="77777777" w:rsidR="006D54ED" w:rsidRPr="0019790A" w:rsidRDefault="006D54ED" w:rsidP="006D54ED">
            <w:pPr>
              <w:tabs>
                <w:tab w:val="left" w:pos="321"/>
              </w:tabs>
              <w:jc w:val="center"/>
              <w:rPr>
                <w:rFonts w:cs="Arial"/>
                <w:szCs w:val="22"/>
              </w:rPr>
            </w:pPr>
          </w:p>
        </w:tc>
      </w:tr>
      <w:tr w:rsidR="006D54ED" w:rsidRPr="0019790A" w14:paraId="1E3A4FDA" w14:textId="663A745F" w:rsidTr="006D54ED">
        <w:trPr>
          <w:trHeight w:val="287"/>
          <w:jc w:val="right"/>
        </w:trPr>
        <w:tc>
          <w:tcPr>
            <w:tcW w:w="3423" w:type="dxa"/>
            <w:shd w:val="clear" w:color="auto" w:fill="FFFFFF"/>
            <w:vAlign w:val="center"/>
          </w:tcPr>
          <w:p w14:paraId="06112E87" w14:textId="77777777" w:rsidR="006D54ED" w:rsidRPr="0019790A" w:rsidRDefault="006D54ED" w:rsidP="0019790A">
            <w:pPr>
              <w:rPr>
                <w:rFonts w:cs="Arial"/>
                <w:szCs w:val="22"/>
              </w:rPr>
            </w:pPr>
            <w:r w:rsidRPr="0019790A">
              <w:rPr>
                <w:rFonts w:cs="Arial"/>
                <w:szCs w:val="22"/>
              </w:rPr>
              <w:t>- обласний бюджет</w:t>
            </w:r>
          </w:p>
        </w:tc>
        <w:tc>
          <w:tcPr>
            <w:tcW w:w="1258" w:type="dxa"/>
            <w:vAlign w:val="center"/>
          </w:tcPr>
          <w:p w14:paraId="5C32A6EA" w14:textId="77777777" w:rsidR="006D54ED" w:rsidRPr="0019790A" w:rsidRDefault="006D54ED" w:rsidP="006D54ED">
            <w:pPr>
              <w:tabs>
                <w:tab w:val="left" w:pos="321"/>
              </w:tabs>
              <w:jc w:val="center"/>
              <w:rPr>
                <w:rFonts w:cs="Arial"/>
                <w:szCs w:val="22"/>
              </w:rPr>
            </w:pPr>
          </w:p>
        </w:tc>
        <w:tc>
          <w:tcPr>
            <w:tcW w:w="1286" w:type="dxa"/>
            <w:gridSpan w:val="2"/>
            <w:vAlign w:val="center"/>
          </w:tcPr>
          <w:p w14:paraId="177F42FD" w14:textId="77777777" w:rsidR="006D54ED" w:rsidRPr="0019790A" w:rsidRDefault="006D54ED" w:rsidP="006D54ED">
            <w:pPr>
              <w:tabs>
                <w:tab w:val="left" w:pos="321"/>
              </w:tabs>
              <w:jc w:val="center"/>
              <w:rPr>
                <w:rFonts w:cs="Arial"/>
                <w:szCs w:val="22"/>
              </w:rPr>
            </w:pPr>
          </w:p>
        </w:tc>
        <w:tc>
          <w:tcPr>
            <w:tcW w:w="1421" w:type="dxa"/>
            <w:gridSpan w:val="2"/>
            <w:vAlign w:val="center"/>
          </w:tcPr>
          <w:p w14:paraId="41ABF97D" w14:textId="77777777" w:rsidR="006D54ED" w:rsidRPr="0019790A" w:rsidRDefault="006D54ED" w:rsidP="006D54ED">
            <w:pPr>
              <w:tabs>
                <w:tab w:val="left" w:pos="321"/>
              </w:tabs>
              <w:jc w:val="center"/>
              <w:rPr>
                <w:rFonts w:cs="Arial"/>
                <w:szCs w:val="22"/>
              </w:rPr>
            </w:pPr>
          </w:p>
        </w:tc>
        <w:tc>
          <w:tcPr>
            <w:tcW w:w="1315" w:type="dxa"/>
            <w:gridSpan w:val="2"/>
            <w:vAlign w:val="center"/>
          </w:tcPr>
          <w:p w14:paraId="7D5F93E8" w14:textId="77777777" w:rsidR="006D54ED" w:rsidRPr="0019790A" w:rsidRDefault="006D54ED" w:rsidP="006D54ED">
            <w:pPr>
              <w:tabs>
                <w:tab w:val="left" w:pos="321"/>
              </w:tabs>
              <w:jc w:val="center"/>
              <w:rPr>
                <w:rFonts w:cs="Arial"/>
                <w:szCs w:val="22"/>
              </w:rPr>
            </w:pPr>
          </w:p>
        </w:tc>
        <w:tc>
          <w:tcPr>
            <w:tcW w:w="1516" w:type="dxa"/>
            <w:vAlign w:val="center"/>
          </w:tcPr>
          <w:p w14:paraId="6B8F4763" w14:textId="77777777" w:rsidR="006D54ED" w:rsidRPr="0019790A" w:rsidRDefault="006D54ED" w:rsidP="006D54ED">
            <w:pPr>
              <w:tabs>
                <w:tab w:val="left" w:pos="321"/>
              </w:tabs>
              <w:jc w:val="center"/>
              <w:rPr>
                <w:rFonts w:cs="Arial"/>
                <w:szCs w:val="22"/>
              </w:rPr>
            </w:pPr>
          </w:p>
        </w:tc>
      </w:tr>
      <w:tr w:rsidR="006D54ED" w:rsidRPr="0019790A" w14:paraId="65190E16" w14:textId="78FEF2C6" w:rsidTr="006D54ED">
        <w:trPr>
          <w:trHeight w:val="275"/>
          <w:jc w:val="right"/>
        </w:trPr>
        <w:tc>
          <w:tcPr>
            <w:tcW w:w="3423" w:type="dxa"/>
            <w:shd w:val="clear" w:color="auto" w:fill="FFFFFF"/>
            <w:vAlign w:val="center"/>
          </w:tcPr>
          <w:p w14:paraId="3E1626CD" w14:textId="77777777" w:rsidR="006D54ED" w:rsidRPr="0019790A" w:rsidRDefault="006D54ED" w:rsidP="0019790A">
            <w:pPr>
              <w:rPr>
                <w:rFonts w:cs="Arial"/>
                <w:szCs w:val="22"/>
              </w:rPr>
            </w:pPr>
            <w:r w:rsidRPr="0019790A">
              <w:rPr>
                <w:rFonts w:cs="Arial"/>
                <w:szCs w:val="22"/>
              </w:rPr>
              <w:t>- бюджет Жмеринської МТГ</w:t>
            </w:r>
          </w:p>
        </w:tc>
        <w:tc>
          <w:tcPr>
            <w:tcW w:w="1258" w:type="dxa"/>
            <w:vAlign w:val="center"/>
          </w:tcPr>
          <w:p w14:paraId="72DB60AF" w14:textId="755A4732" w:rsidR="006D54ED" w:rsidRPr="0019790A" w:rsidRDefault="006D54ED" w:rsidP="006D54ED">
            <w:pPr>
              <w:tabs>
                <w:tab w:val="left" w:pos="321"/>
              </w:tabs>
              <w:jc w:val="center"/>
              <w:rPr>
                <w:rFonts w:cs="Arial"/>
                <w:b/>
                <w:szCs w:val="22"/>
              </w:rPr>
            </w:pPr>
          </w:p>
        </w:tc>
        <w:tc>
          <w:tcPr>
            <w:tcW w:w="1286" w:type="dxa"/>
            <w:gridSpan w:val="2"/>
            <w:vAlign w:val="center"/>
          </w:tcPr>
          <w:p w14:paraId="019685A5" w14:textId="78687B5E" w:rsidR="006D54ED" w:rsidRPr="0019790A" w:rsidRDefault="006D54ED" w:rsidP="006D54ED">
            <w:pPr>
              <w:tabs>
                <w:tab w:val="left" w:pos="321"/>
              </w:tabs>
              <w:ind w:left="26"/>
              <w:jc w:val="center"/>
              <w:rPr>
                <w:rFonts w:cs="Arial"/>
                <w:b/>
                <w:szCs w:val="22"/>
              </w:rPr>
            </w:pPr>
            <w:r w:rsidRPr="0019790A">
              <w:rPr>
                <w:rFonts w:cs="Arial"/>
                <w:b/>
                <w:szCs w:val="22"/>
              </w:rPr>
              <w:t>120,0</w:t>
            </w:r>
          </w:p>
        </w:tc>
        <w:tc>
          <w:tcPr>
            <w:tcW w:w="1421" w:type="dxa"/>
            <w:gridSpan w:val="2"/>
            <w:vAlign w:val="center"/>
          </w:tcPr>
          <w:p w14:paraId="3E1647CD" w14:textId="250686EA" w:rsidR="006D54ED" w:rsidRPr="0019790A" w:rsidRDefault="006D54ED" w:rsidP="006D54ED">
            <w:pPr>
              <w:tabs>
                <w:tab w:val="left" w:pos="321"/>
              </w:tabs>
              <w:ind w:left="110"/>
              <w:jc w:val="center"/>
              <w:rPr>
                <w:rFonts w:cs="Arial"/>
                <w:b/>
                <w:szCs w:val="22"/>
              </w:rPr>
            </w:pPr>
            <w:r w:rsidRPr="0019790A">
              <w:rPr>
                <w:rFonts w:cs="Arial"/>
                <w:b/>
                <w:szCs w:val="22"/>
              </w:rPr>
              <w:t>120,0</w:t>
            </w:r>
          </w:p>
        </w:tc>
        <w:tc>
          <w:tcPr>
            <w:tcW w:w="1315" w:type="dxa"/>
            <w:gridSpan w:val="2"/>
            <w:vAlign w:val="center"/>
          </w:tcPr>
          <w:p w14:paraId="41B34A72" w14:textId="6355D54B" w:rsidR="006D54ED" w:rsidRPr="0019790A" w:rsidRDefault="006D54ED" w:rsidP="006D54ED">
            <w:pPr>
              <w:tabs>
                <w:tab w:val="left" w:pos="321"/>
              </w:tabs>
              <w:ind w:left="203"/>
              <w:jc w:val="center"/>
              <w:rPr>
                <w:rFonts w:cs="Arial"/>
                <w:b/>
                <w:szCs w:val="22"/>
              </w:rPr>
            </w:pPr>
            <w:r w:rsidRPr="0019790A">
              <w:rPr>
                <w:rFonts w:cs="Arial"/>
                <w:b/>
                <w:szCs w:val="22"/>
              </w:rPr>
              <w:t>120,0</w:t>
            </w:r>
          </w:p>
        </w:tc>
        <w:tc>
          <w:tcPr>
            <w:tcW w:w="1516" w:type="dxa"/>
            <w:vAlign w:val="center"/>
          </w:tcPr>
          <w:p w14:paraId="67B48E90" w14:textId="33BC8C0E" w:rsidR="006D54ED" w:rsidRPr="0019790A" w:rsidRDefault="006D54ED" w:rsidP="006D54ED">
            <w:pPr>
              <w:tabs>
                <w:tab w:val="left" w:pos="321"/>
              </w:tabs>
              <w:ind w:left="373"/>
              <w:jc w:val="center"/>
              <w:rPr>
                <w:rFonts w:cs="Arial"/>
                <w:b/>
                <w:szCs w:val="22"/>
              </w:rPr>
            </w:pPr>
            <w:r w:rsidRPr="0019790A">
              <w:rPr>
                <w:rFonts w:cs="Arial"/>
                <w:b/>
                <w:szCs w:val="22"/>
              </w:rPr>
              <w:t>360,0</w:t>
            </w:r>
          </w:p>
        </w:tc>
      </w:tr>
      <w:tr w:rsidR="006D54ED" w:rsidRPr="0019790A" w14:paraId="6A98BEBE" w14:textId="32AA55C4" w:rsidTr="006D54ED">
        <w:trPr>
          <w:trHeight w:val="226"/>
          <w:jc w:val="right"/>
        </w:trPr>
        <w:tc>
          <w:tcPr>
            <w:tcW w:w="3423" w:type="dxa"/>
            <w:shd w:val="clear" w:color="auto" w:fill="FFFFFF"/>
            <w:vAlign w:val="center"/>
          </w:tcPr>
          <w:p w14:paraId="0D3E4D38" w14:textId="77777777" w:rsidR="006D54ED" w:rsidRPr="0019790A" w:rsidRDefault="006D54ED" w:rsidP="0019790A">
            <w:pPr>
              <w:rPr>
                <w:rFonts w:cs="Arial"/>
                <w:szCs w:val="22"/>
              </w:rPr>
            </w:pPr>
            <w:r w:rsidRPr="0019790A">
              <w:rPr>
                <w:rFonts w:cs="Arial"/>
                <w:szCs w:val="22"/>
              </w:rPr>
              <w:t>- інші джерела фінансування</w:t>
            </w:r>
          </w:p>
        </w:tc>
        <w:tc>
          <w:tcPr>
            <w:tcW w:w="1258" w:type="dxa"/>
            <w:vAlign w:val="center"/>
          </w:tcPr>
          <w:p w14:paraId="2A250E0C" w14:textId="77777777" w:rsidR="006D54ED" w:rsidRPr="0019790A" w:rsidRDefault="006D54ED" w:rsidP="006D54ED">
            <w:pPr>
              <w:tabs>
                <w:tab w:val="left" w:pos="321"/>
              </w:tabs>
              <w:jc w:val="center"/>
              <w:rPr>
                <w:rFonts w:cs="Arial"/>
                <w:szCs w:val="22"/>
              </w:rPr>
            </w:pPr>
          </w:p>
        </w:tc>
        <w:tc>
          <w:tcPr>
            <w:tcW w:w="1286" w:type="dxa"/>
            <w:gridSpan w:val="2"/>
            <w:vAlign w:val="center"/>
          </w:tcPr>
          <w:p w14:paraId="71E99895" w14:textId="77777777" w:rsidR="006D54ED" w:rsidRPr="0019790A" w:rsidRDefault="006D54ED" w:rsidP="006D54ED">
            <w:pPr>
              <w:tabs>
                <w:tab w:val="left" w:pos="321"/>
              </w:tabs>
              <w:jc w:val="center"/>
              <w:rPr>
                <w:rFonts w:cs="Arial"/>
                <w:szCs w:val="22"/>
              </w:rPr>
            </w:pPr>
          </w:p>
        </w:tc>
        <w:tc>
          <w:tcPr>
            <w:tcW w:w="1421" w:type="dxa"/>
            <w:gridSpan w:val="2"/>
            <w:vAlign w:val="center"/>
          </w:tcPr>
          <w:p w14:paraId="46A4585B" w14:textId="77777777" w:rsidR="006D54ED" w:rsidRPr="0019790A" w:rsidRDefault="006D54ED" w:rsidP="006D54ED">
            <w:pPr>
              <w:tabs>
                <w:tab w:val="left" w:pos="321"/>
              </w:tabs>
              <w:jc w:val="center"/>
              <w:rPr>
                <w:rFonts w:cs="Arial"/>
                <w:szCs w:val="22"/>
              </w:rPr>
            </w:pPr>
          </w:p>
        </w:tc>
        <w:tc>
          <w:tcPr>
            <w:tcW w:w="1315" w:type="dxa"/>
            <w:gridSpan w:val="2"/>
            <w:vAlign w:val="center"/>
          </w:tcPr>
          <w:p w14:paraId="2FDB198E" w14:textId="77777777" w:rsidR="006D54ED" w:rsidRPr="0019790A" w:rsidRDefault="006D54ED" w:rsidP="006D54ED">
            <w:pPr>
              <w:tabs>
                <w:tab w:val="left" w:pos="321"/>
              </w:tabs>
              <w:jc w:val="center"/>
              <w:rPr>
                <w:rFonts w:cs="Arial"/>
                <w:szCs w:val="22"/>
              </w:rPr>
            </w:pPr>
          </w:p>
        </w:tc>
        <w:tc>
          <w:tcPr>
            <w:tcW w:w="1516" w:type="dxa"/>
            <w:vAlign w:val="center"/>
          </w:tcPr>
          <w:p w14:paraId="4BA9098F" w14:textId="77777777" w:rsidR="006D54ED" w:rsidRPr="0019790A" w:rsidRDefault="006D54ED" w:rsidP="006D54ED">
            <w:pPr>
              <w:tabs>
                <w:tab w:val="left" w:pos="321"/>
              </w:tabs>
              <w:jc w:val="center"/>
              <w:rPr>
                <w:rFonts w:cs="Arial"/>
                <w:szCs w:val="22"/>
              </w:rPr>
            </w:pPr>
          </w:p>
        </w:tc>
      </w:tr>
      <w:tr w:rsidR="005342D5" w:rsidRPr="0019790A" w14:paraId="305C677E" w14:textId="77777777" w:rsidTr="006D54ED">
        <w:trPr>
          <w:jc w:val="right"/>
        </w:trPr>
        <w:tc>
          <w:tcPr>
            <w:tcW w:w="3423" w:type="dxa"/>
            <w:shd w:val="clear" w:color="auto" w:fill="FFFFFF"/>
            <w:vAlign w:val="center"/>
          </w:tcPr>
          <w:p w14:paraId="00DA7DCE" w14:textId="77777777" w:rsidR="005342D5" w:rsidRPr="0019790A" w:rsidRDefault="005342D5" w:rsidP="0019790A">
            <w:pPr>
              <w:rPr>
                <w:rFonts w:cs="Arial"/>
                <w:b/>
                <w:bCs/>
                <w:szCs w:val="22"/>
              </w:rPr>
            </w:pPr>
            <w:r w:rsidRPr="0019790A">
              <w:rPr>
                <w:rFonts w:cs="Arial"/>
                <w:b/>
                <w:szCs w:val="22"/>
              </w:rPr>
              <w:t>Відповідальний виконавець проєкту:</w:t>
            </w:r>
          </w:p>
        </w:tc>
        <w:tc>
          <w:tcPr>
            <w:tcW w:w="6796" w:type="dxa"/>
            <w:gridSpan w:val="8"/>
            <w:vAlign w:val="center"/>
          </w:tcPr>
          <w:p w14:paraId="59190833" w14:textId="4EDB5A97" w:rsidR="005342D5" w:rsidRPr="0019790A" w:rsidRDefault="005342D5" w:rsidP="006D54ED">
            <w:pPr>
              <w:tabs>
                <w:tab w:val="left" w:pos="321"/>
              </w:tabs>
              <w:jc w:val="both"/>
              <w:rPr>
                <w:rFonts w:cs="Arial"/>
                <w:szCs w:val="22"/>
              </w:rPr>
            </w:pPr>
            <w:r w:rsidRPr="0019790A">
              <w:rPr>
                <w:rFonts w:cs="Arial"/>
                <w:szCs w:val="22"/>
              </w:rPr>
              <w:t xml:space="preserve">Відділ молоді та спорту Жмеринської </w:t>
            </w:r>
            <w:r w:rsidR="006D54ED" w:rsidRPr="0019790A">
              <w:rPr>
                <w:rFonts w:cs="Arial"/>
                <w:szCs w:val="22"/>
              </w:rPr>
              <w:t>міської</w:t>
            </w:r>
            <w:r w:rsidRPr="0019790A">
              <w:rPr>
                <w:rFonts w:cs="Arial"/>
                <w:szCs w:val="22"/>
              </w:rPr>
              <w:t xml:space="preserve"> ради</w:t>
            </w:r>
          </w:p>
        </w:tc>
      </w:tr>
      <w:tr w:rsidR="005342D5" w:rsidRPr="0019790A" w14:paraId="6FBC40FF" w14:textId="77777777" w:rsidTr="006D54ED">
        <w:trPr>
          <w:jc w:val="right"/>
        </w:trPr>
        <w:tc>
          <w:tcPr>
            <w:tcW w:w="3423" w:type="dxa"/>
            <w:shd w:val="clear" w:color="auto" w:fill="FFFFFF"/>
            <w:vAlign w:val="center"/>
          </w:tcPr>
          <w:p w14:paraId="63FB1F58" w14:textId="77777777" w:rsidR="005342D5" w:rsidRPr="0019790A" w:rsidRDefault="005342D5" w:rsidP="0019790A">
            <w:pPr>
              <w:rPr>
                <w:rFonts w:cs="Arial"/>
                <w:b/>
                <w:bCs/>
                <w:szCs w:val="22"/>
              </w:rPr>
            </w:pPr>
            <w:r w:rsidRPr="0019790A">
              <w:rPr>
                <w:rFonts w:cs="Arial"/>
                <w:b/>
                <w:bCs/>
                <w:szCs w:val="22"/>
              </w:rPr>
              <w:t>Інше:</w:t>
            </w:r>
          </w:p>
        </w:tc>
        <w:tc>
          <w:tcPr>
            <w:tcW w:w="6796" w:type="dxa"/>
            <w:gridSpan w:val="8"/>
            <w:vAlign w:val="center"/>
          </w:tcPr>
          <w:p w14:paraId="58FCA7BF" w14:textId="77777777" w:rsidR="005342D5" w:rsidRPr="0019790A" w:rsidRDefault="005342D5" w:rsidP="006D54ED">
            <w:pPr>
              <w:tabs>
                <w:tab w:val="left" w:pos="321"/>
              </w:tabs>
              <w:jc w:val="both"/>
              <w:rPr>
                <w:rFonts w:cs="Arial"/>
                <w:szCs w:val="22"/>
              </w:rPr>
            </w:pPr>
          </w:p>
        </w:tc>
      </w:tr>
    </w:tbl>
    <w:p w14:paraId="6EBCB1B5" w14:textId="77777777" w:rsidR="00787C61" w:rsidRPr="0019790A" w:rsidRDefault="00787C61" w:rsidP="0019790A">
      <w:pPr>
        <w:jc w:val="center"/>
        <w:rPr>
          <w:rFonts w:cs="Arial"/>
          <w:b/>
          <w:szCs w:val="22"/>
          <w:u w:val="single"/>
          <w:lang w:eastAsia="uk-UA"/>
        </w:rPr>
      </w:pPr>
    </w:p>
    <w:p w14:paraId="57FA6311" w14:textId="77777777" w:rsidR="00787C61" w:rsidRPr="0019790A" w:rsidRDefault="00787C61" w:rsidP="0019790A">
      <w:pPr>
        <w:jc w:val="center"/>
        <w:rPr>
          <w:rFonts w:cs="Arial"/>
          <w:b/>
          <w:szCs w:val="22"/>
          <w:u w:val="single"/>
          <w:lang w:eastAsia="uk-UA"/>
        </w:rPr>
      </w:pPr>
    </w:p>
    <w:p w14:paraId="06948536" w14:textId="2C06164F" w:rsidR="00C36444" w:rsidRPr="0019790A" w:rsidRDefault="00C04247" w:rsidP="0019790A">
      <w:pPr>
        <w:jc w:val="center"/>
        <w:rPr>
          <w:rFonts w:cs="Arial"/>
          <w:color w:val="000000"/>
          <w:szCs w:val="22"/>
          <w:u w:val="single"/>
          <w:lang w:eastAsia="uk-UA"/>
        </w:rPr>
      </w:pPr>
      <w:r w:rsidRPr="0019790A">
        <w:rPr>
          <w:rFonts w:cs="Arial"/>
          <w:b/>
          <w:szCs w:val="22"/>
          <w:u w:val="single"/>
          <w:lang w:eastAsia="uk-UA"/>
        </w:rPr>
        <w:t xml:space="preserve">Стратегічна  ціль: </w:t>
      </w:r>
      <w:r w:rsidR="00C36444" w:rsidRPr="0019790A">
        <w:rPr>
          <w:rFonts w:cs="Arial"/>
          <w:b/>
          <w:szCs w:val="22"/>
          <w:u w:val="single"/>
          <w:lang w:eastAsia="uk-UA"/>
        </w:rPr>
        <w:t>С.4. Забезпечення  високих стандартів надання якісних адміністративних і соціальних послуг</w:t>
      </w:r>
    </w:p>
    <w:p w14:paraId="05749DF2" w14:textId="77777777" w:rsidR="005E011C" w:rsidRPr="0019790A" w:rsidRDefault="005E011C" w:rsidP="0019790A">
      <w:pPr>
        <w:jc w:val="center"/>
        <w:rPr>
          <w:rFonts w:cs="Arial"/>
          <w:b/>
          <w:color w:val="000000"/>
          <w:szCs w:val="22"/>
        </w:rPr>
      </w:pPr>
    </w:p>
    <w:p w14:paraId="1F450354" w14:textId="77777777" w:rsidR="005E011C" w:rsidRPr="0019790A" w:rsidRDefault="005E011C" w:rsidP="0019790A">
      <w:pPr>
        <w:jc w:val="center"/>
        <w:rPr>
          <w:rFonts w:cs="Arial"/>
          <w:b/>
          <w:color w:val="000000"/>
          <w:szCs w:val="22"/>
        </w:rPr>
      </w:pPr>
      <w:r w:rsidRPr="0019790A">
        <w:rPr>
          <w:rFonts w:cs="Arial"/>
          <w:b/>
          <w:color w:val="000000"/>
          <w:szCs w:val="22"/>
        </w:rPr>
        <w:t xml:space="preserve">Форма технічного завдання на проєкт місцевого розвитку </w:t>
      </w:r>
    </w:p>
    <w:p w14:paraId="7281EEBB" w14:textId="65DC0243" w:rsidR="005E011C" w:rsidRPr="0019790A" w:rsidRDefault="005E011C" w:rsidP="0019790A">
      <w:pPr>
        <w:jc w:val="center"/>
        <w:rPr>
          <w:rFonts w:cs="Arial"/>
          <w:szCs w:val="22"/>
        </w:rPr>
      </w:pPr>
      <w:r w:rsidRPr="0019790A">
        <w:rPr>
          <w:rFonts w:cs="Arial"/>
          <w:b/>
          <w:color w:val="000000"/>
          <w:szCs w:val="22"/>
        </w:rPr>
        <w:t>до Плану заходів з реалізації Стратегії</w:t>
      </w: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3"/>
        <w:gridCol w:w="1256"/>
        <w:gridCol w:w="1275"/>
        <w:gridCol w:w="1418"/>
        <w:gridCol w:w="1276"/>
        <w:gridCol w:w="6"/>
        <w:gridCol w:w="1565"/>
      </w:tblGrid>
      <w:tr w:rsidR="005E011C" w:rsidRPr="0019790A" w14:paraId="26C0346A" w14:textId="77777777" w:rsidTr="006D54ED">
        <w:trPr>
          <w:jc w:val="right"/>
        </w:trPr>
        <w:tc>
          <w:tcPr>
            <w:tcW w:w="3423" w:type="dxa"/>
            <w:vAlign w:val="center"/>
          </w:tcPr>
          <w:p w14:paraId="7DB05FF6" w14:textId="77777777" w:rsidR="005E011C" w:rsidRPr="0019790A" w:rsidRDefault="005E011C" w:rsidP="0019790A">
            <w:pPr>
              <w:rPr>
                <w:rFonts w:cs="Arial"/>
                <w:b/>
                <w:bCs/>
                <w:color w:val="000000"/>
                <w:szCs w:val="22"/>
              </w:rPr>
            </w:pPr>
            <w:r w:rsidRPr="0019790A">
              <w:rPr>
                <w:rFonts w:cs="Arial"/>
                <w:b/>
                <w:bCs/>
                <w:color w:val="000000"/>
                <w:szCs w:val="22"/>
              </w:rPr>
              <w:t>Назва проєкту:</w:t>
            </w:r>
          </w:p>
        </w:tc>
        <w:tc>
          <w:tcPr>
            <w:tcW w:w="6796" w:type="dxa"/>
            <w:gridSpan w:val="6"/>
            <w:vAlign w:val="center"/>
          </w:tcPr>
          <w:p w14:paraId="725E4D16" w14:textId="77777777" w:rsidR="005E011C" w:rsidRPr="0019790A" w:rsidRDefault="005E011C" w:rsidP="006D54ED">
            <w:pPr>
              <w:tabs>
                <w:tab w:val="left" w:pos="207"/>
              </w:tabs>
              <w:jc w:val="both"/>
              <w:rPr>
                <w:rFonts w:cs="Arial"/>
                <w:b/>
                <w:szCs w:val="22"/>
                <w:lang w:eastAsia="it-IT"/>
              </w:rPr>
            </w:pPr>
            <w:r w:rsidRPr="0019790A">
              <w:rPr>
                <w:rFonts w:cs="Arial"/>
                <w:b/>
                <w:szCs w:val="22"/>
                <w:lang w:eastAsia="it-IT"/>
              </w:rPr>
              <w:t>Адміністративні послуги – доступні та комфортні</w:t>
            </w:r>
          </w:p>
        </w:tc>
      </w:tr>
      <w:tr w:rsidR="005E011C" w:rsidRPr="0019790A" w14:paraId="44F3C811" w14:textId="77777777" w:rsidTr="006D54ED">
        <w:trPr>
          <w:jc w:val="right"/>
        </w:trPr>
        <w:tc>
          <w:tcPr>
            <w:tcW w:w="3423" w:type="dxa"/>
          </w:tcPr>
          <w:p w14:paraId="36A77DE1" w14:textId="77777777" w:rsidR="005E011C" w:rsidRPr="0019790A" w:rsidRDefault="005E011C" w:rsidP="0019790A">
            <w:pPr>
              <w:rPr>
                <w:rFonts w:cs="Arial"/>
                <w:szCs w:val="22"/>
                <w:lang w:eastAsia="it-IT"/>
              </w:rPr>
            </w:pPr>
            <w:r w:rsidRPr="0019790A">
              <w:rPr>
                <w:rFonts w:cs="Arial"/>
                <w:b/>
                <w:bCs/>
                <w:szCs w:val="22"/>
              </w:rPr>
              <w:t>Ваші контакти</w:t>
            </w:r>
            <w:r w:rsidRPr="0019790A">
              <w:rPr>
                <w:rFonts w:cs="Arial"/>
                <w:szCs w:val="22"/>
                <w:lang w:eastAsia="it-IT"/>
              </w:rPr>
              <w:t>:</w:t>
            </w:r>
          </w:p>
          <w:p w14:paraId="5295037E" w14:textId="77777777" w:rsidR="005E011C" w:rsidRPr="0019790A" w:rsidRDefault="005E011C" w:rsidP="0019790A">
            <w:pPr>
              <w:rPr>
                <w:rFonts w:cs="Arial"/>
                <w:b/>
                <w:bCs/>
                <w:szCs w:val="22"/>
              </w:rPr>
            </w:pPr>
            <w:r w:rsidRPr="0019790A">
              <w:rPr>
                <w:rFonts w:cs="Arial"/>
                <w:szCs w:val="22"/>
                <w:lang w:eastAsia="it-IT"/>
              </w:rPr>
              <w:t>Назва установи, організації, підприємства</w:t>
            </w:r>
          </w:p>
        </w:tc>
        <w:tc>
          <w:tcPr>
            <w:tcW w:w="6796" w:type="dxa"/>
            <w:gridSpan w:val="6"/>
            <w:vAlign w:val="center"/>
          </w:tcPr>
          <w:p w14:paraId="39B3E20C" w14:textId="77777777" w:rsidR="005E011C" w:rsidRPr="006D54ED" w:rsidRDefault="005E011C" w:rsidP="006D54ED">
            <w:pPr>
              <w:tabs>
                <w:tab w:val="left" w:pos="207"/>
              </w:tabs>
              <w:jc w:val="both"/>
              <w:rPr>
                <w:rFonts w:cs="Arial"/>
                <w:b/>
                <w:szCs w:val="22"/>
                <w:lang w:eastAsia="it-IT"/>
              </w:rPr>
            </w:pPr>
            <w:r w:rsidRPr="006D54ED">
              <w:rPr>
                <w:rFonts w:cs="Arial"/>
                <w:b/>
                <w:szCs w:val="22"/>
                <w:lang w:eastAsia="it-IT"/>
              </w:rPr>
              <w:t>Управління «Центр надання адміністративних послуг» виконавчого комітету Жмеринської міської ради Вінницької області</w:t>
            </w:r>
          </w:p>
        </w:tc>
      </w:tr>
      <w:tr w:rsidR="005E011C" w:rsidRPr="0019790A" w14:paraId="456DB9E3" w14:textId="77777777" w:rsidTr="006D54ED">
        <w:trPr>
          <w:jc w:val="right"/>
        </w:trPr>
        <w:tc>
          <w:tcPr>
            <w:tcW w:w="3423" w:type="dxa"/>
          </w:tcPr>
          <w:p w14:paraId="574F089E" w14:textId="77777777" w:rsidR="005E011C" w:rsidRPr="0019790A" w:rsidRDefault="005E011C" w:rsidP="0019790A">
            <w:pPr>
              <w:rPr>
                <w:rFonts w:cs="Arial"/>
                <w:b/>
                <w:bCs/>
                <w:szCs w:val="22"/>
              </w:rPr>
            </w:pPr>
            <w:r w:rsidRPr="0019790A">
              <w:rPr>
                <w:rFonts w:cs="Arial"/>
                <w:szCs w:val="22"/>
                <w:lang w:eastAsia="it-IT"/>
              </w:rPr>
              <w:t>Прізвище Ім’я По-батькові:</w:t>
            </w:r>
          </w:p>
        </w:tc>
        <w:tc>
          <w:tcPr>
            <w:tcW w:w="6796" w:type="dxa"/>
            <w:gridSpan w:val="6"/>
            <w:vAlign w:val="center"/>
          </w:tcPr>
          <w:p w14:paraId="0E0A8A71" w14:textId="77777777" w:rsidR="005E011C" w:rsidRPr="0019790A" w:rsidRDefault="005E011C" w:rsidP="006D54ED">
            <w:pPr>
              <w:tabs>
                <w:tab w:val="left" w:pos="207"/>
              </w:tabs>
              <w:jc w:val="both"/>
              <w:rPr>
                <w:rFonts w:cs="Arial"/>
                <w:szCs w:val="22"/>
                <w:lang w:eastAsia="it-IT"/>
              </w:rPr>
            </w:pPr>
            <w:r w:rsidRPr="0019790A">
              <w:rPr>
                <w:rFonts w:cs="Arial"/>
                <w:szCs w:val="22"/>
                <w:lang w:eastAsia="it-IT"/>
              </w:rPr>
              <w:t>Ковальський Олександр Вікторович</w:t>
            </w:r>
          </w:p>
        </w:tc>
      </w:tr>
      <w:tr w:rsidR="005E011C" w:rsidRPr="0019790A" w14:paraId="6DCC0D71" w14:textId="77777777" w:rsidTr="006D54ED">
        <w:trPr>
          <w:jc w:val="right"/>
        </w:trPr>
        <w:tc>
          <w:tcPr>
            <w:tcW w:w="3423" w:type="dxa"/>
          </w:tcPr>
          <w:p w14:paraId="1D811315" w14:textId="77777777" w:rsidR="005E011C" w:rsidRPr="0019790A" w:rsidRDefault="005E011C" w:rsidP="0019790A">
            <w:pPr>
              <w:rPr>
                <w:rFonts w:cs="Arial"/>
                <w:b/>
                <w:bCs/>
                <w:szCs w:val="22"/>
              </w:rPr>
            </w:pPr>
            <w:r w:rsidRPr="0019790A">
              <w:rPr>
                <w:rFonts w:cs="Arial"/>
                <w:szCs w:val="22"/>
                <w:lang w:eastAsia="it-IT"/>
              </w:rPr>
              <w:t>Телефон (мобільний):</w:t>
            </w:r>
          </w:p>
        </w:tc>
        <w:tc>
          <w:tcPr>
            <w:tcW w:w="6796" w:type="dxa"/>
            <w:gridSpan w:val="6"/>
            <w:vAlign w:val="center"/>
          </w:tcPr>
          <w:p w14:paraId="7BC5C964" w14:textId="77777777" w:rsidR="005E011C" w:rsidRPr="0019790A" w:rsidRDefault="005E011C" w:rsidP="006D54ED">
            <w:pPr>
              <w:tabs>
                <w:tab w:val="left" w:pos="207"/>
              </w:tabs>
              <w:jc w:val="both"/>
              <w:rPr>
                <w:rFonts w:cs="Arial"/>
                <w:szCs w:val="22"/>
                <w:lang w:eastAsia="it-IT"/>
              </w:rPr>
            </w:pPr>
            <w:r w:rsidRPr="0019790A">
              <w:rPr>
                <w:rFonts w:cs="Arial"/>
                <w:szCs w:val="22"/>
                <w:lang w:eastAsia="it-IT"/>
              </w:rPr>
              <w:t>+38(097)09 09 002</w:t>
            </w:r>
          </w:p>
        </w:tc>
      </w:tr>
      <w:tr w:rsidR="005E011C" w:rsidRPr="0019790A" w14:paraId="68690725" w14:textId="77777777" w:rsidTr="006D54ED">
        <w:trPr>
          <w:jc w:val="right"/>
        </w:trPr>
        <w:tc>
          <w:tcPr>
            <w:tcW w:w="3423" w:type="dxa"/>
          </w:tcPr>
          <w:p w14:paraId="482C9BAA" w14:textId="77777777" w:rsidR="005E011C" w:rsidRPr="0019790A" w:rsidRDefault="005E011C" w:rsidP="0019790A">
            <w:pPr>
              <w:rPr>
                <w:rFonts w:cs="Arial"/>
                <w:b/>
                <w:bCs/>
                <w:szCs w:val="22"/>
              </w:rPr>
            </w:pPr>
            <w:r w:rsidRPr="0019790A">
              <w:rPr>
                <w:rFonts w:cs="Arial"/>
                <w:szCs w:val="22"/>
                <w:lang w:eastAsia="it-IT"/>
              </w:rPr>
              <w:t>Електронна адреса:</w:t>
            </w:r>
          </w:p>
        </w:tc>
        <w:tc>
          <w:tcPr>
            <w:tcW w:w="6796" w:type="dxa"/>
            <w:gridSpan w:val="6"/>
            <w:vAlign w:val="center"/>
          </w:tcPr>
          <w:p w14:paraId="725CAD16" w14:textId="77777777" w:rsidR="005E011C" w:rsidRPr="0019790A" w:rsidRDefault="005E011C" w:rsidP="006D54ED">
            <w:pPr>
              <w:tabs>
                <w:tab w:val="left" w:pos="207"/>
              </w:tabs>
              <w:jc w:val="both"/>
              <w:rPr>
                <w:rFonts w:cs="Arial"/>
                <w:szCs w:val="22"/>
                <w:lang w:eastAsia="it-IT"/>
              </w:rPr>
            </w:pPr>
            <w:r w:rsidRPr="0019790A">
              <w:rPr>
                <w:rFonts w:cs="Arial"/>
                <w:szCs w:val="22"/>
              </w:rPr>
              <w:t>chnap@zhmr.gov.ua</w:t>
            </w:r>
          </w:p>
        </w:tc>
      </w:tr>
      <w:tr w:rsidR="005E011C" w:rsidRPr="0019790A" w14:paraId="2ADC3BE5" w14:textId="77777777" w:rsidTr="006D54ED">
        <w:trPr>
          <w:jc w:val="right"/>
        </w:trPr>
        <w:tc>
          <w:tcPr>
            <w:tcW w:w="3423" w:type="dxa"/>
            <w:vAlign w:val="center"/>
          </w:tcPr>
          <w:p w14:paraId="204414D9" w14:textId="77777777" w:rsidR="005E011C" w:rsidRPr="0019790A" w:rsidRDefault="005E011C" w:rsidP="0019790A">
            <w:pPr>
              <w:pStyle w:val="6"/>
              <w:spacing w:before="0" w:after="0"/>
              <w:rPr>
                <w:rFonts w:ascii="Arial" w:hAnsi="Arial" w:cs="Arial"/>
                <w:color w:val="000000"/>
                <w:lang w:val="uk-UA"/>
              </w:rPr>
            </w:pPr>
            <w:r w:rsidRPr="0019790A">
              <w:rPr>
                <w:rFonts w:ascii="Arial" w:hAnsi="Arial" w:cs="Arial"/>
                <w:color w:val="000000"/>
                <w:lang w:val="uk-UA"/>
              </w:rPr>
              <w:t>Номер і назва завдання з Стратегії</w:t>
            </w:r>
            <w:r w:rsidRPr="0019790A">
              <w:rPr>
                <w:rFonts w:ascii="Arial" w:hAnsi="Arial" w:cs="Arial"/>
                <w:lang w:val="uk-UA" w:eastAsia="it-IT"/>
              </w:rPr>
              <w:t xml:space="preserve"> </w:t>
            </w:r>
            <w:r w:rsidRPr="0019790A">
              <w:rPr>
                <w:rFonts w:ascii="Arial" w:hAnsi="Arial" w:cs="Arial"/>
                <w:color w:val="000000"/>
                <w:lang w:val="uk-UA"/>
              </w:rPr>
              <w:t>розвитку Жмеринської міської територіальної громади,  якому відповідає проєкт:</w:t>
            </w:r>
          </w:p>
        </w:tc>
        <w:tc>
          <w:tcPr>
            <w:tcW w:w="6796" w:type="dxa"/>
            <w:gridSpan w:val="6"/>
            <w:vAlign w:val="center"/>
          </w:tcPr>
          <w:p w14:paraId="6EE08CB7" w14:textId="77777777" w:rsidR="005E011C" w:rsidRPr="0019790A" w:rsidRDefault="005E011C" w:rsidP="006D54ED">
            <w:pPr>
              <w:pBdr>
                <w:left w:val="single" w:sz="18" w:space="4" w:color="auto"/>
              </w:pBdr>
              <w:tabs>
                <w:tab w:val="left" w:pos="207"/>
              </w:tabs>
              <w:jc w:val="both"/>
              <w:rPr>
                <w:rFonts w:cs="Arial"/>
                <w:iCs/>
                <w:szCs w:val="22"/>
                <w:lang w:eastAsia="it-IT"/>
              </w:rPr>
            </w:pPr>
            <w:r w:rsidRPr="0019790A">
              <w:rPr>
                <w:rFonts w:cs="Arial"/>
                <w:iCs/>
                <w:szCs w:val="22"/>
                <w:lang w:eastAsia="it-IT"/>
              </w:rPr>
              <w:t>С.4.1.Удосконалення системи надання адміністративних послуг.</w:t>
            </w:r>
          </w:p>
          <w:p w14:paraId="3783380D" w14:textId="77777777" w:rsidR="005E011C" w:rsidRPr="0019790A" w:rsidRDefault="005E011C" w:rsidP="006D54ED">
            <w:pPr>
              <w:pBdr>
                <w:left w:val="single" w:sz="18" w:space="4" w:color="auto"/>
              </w:pBdr>
              <w:tabs>
                <w:tab w:val="left" w:pos="207"/>
              </w:tabs>
              <w:jc w:val="both"/>
              <w:rPr>
                <w:rFonts w:cs="Arial"/>
                <w:iCs/>
                <w:szCs w:val="22"/>
                <w:lang w:eastAsia="it-IT"/>
              </w:rPr>
            </w:pPr>
            <w:r w:rsidRPr="0019790A">
              <w:rPr>
                <w:rFonts w:cs="Arial"/>
                <w:iCs/>
                <w:szCs w:val="22"/>
                <w:lang w:eastAsia="it-IT"/>
              </w:rPr>
              <w:t>С.4.1.1. Облаштування ЦНАП відповідно до сучасних ергономічних норм.</w:t>
            </w:r>
          </w:p>
          <w:p w14:paraId="400A1008" w14:textId="77777777" w:rsidR="005E011C" w:rsidRPr="0019790A" w:rsidRDefault="005E011C" w:rsidP="006D54ED">
            <w:pPr>
              <w:pBdr>
                <w:left w:val="single" w:sz="18" w:space="4" w:color="auto"/>
              </w:pBdr>
              <w:tabs>
                <w:tab w:val="left" w:pos="207"/>
              </w:tabs>
              <w:jc w:val="both"/>
              <w:rPr>
                <w:rFonts w:cs="Arial"/>
                <w:iCs/>
                <w:szCs w:val="22"/>
                <w:lang w:eastAsia="it-IT"/>
              </w:rPr>
            </w:pPr>
            <w:r w:rsidRPr="0019790A">
              <w:rPr>
                <w:rFonts w:cs="Arial"/>
                <w:iCs/>
                <w:szCs w:val="22"/>
                <w:lang w:eastAsia="it-IT"/>
              </w:rPr>
              <w:t>С.4.1.2. Доступність до адміністративних послуг.</w:t>
            </w:r>
          </w:p>
          <w:p w14:paraId="5D15DD6B" w14:textId="77777777" w:rsidR="005E011C" w:rsidRPr="0019790A" w:rsidRDefault="005E011C" w:rsidP="006D54ED">
            <w:pPr>
              <w:pBdr>
                <w:left w:val="single" w:sz="18" w:space="4" w:color="auto"/>
              </w:pBdr>
              <w:tabs>
                <w:tab w:val="left" w:pos="207"/>
              </w:tabs>
              <w:jc w:val="both"/>
              <w:rPr>
                <w:rFonts w:cs="Arial"/>
                <w:iCs/>
                <w:szCs w:val="22"/>
                <w:lang w:eastAsia="it-IT"/>
              </w:rPr>
            </w:pPr>
            <w:r w:rsidRPr="0019790A">
              <w:rPr>
                <w:rFonts w:cs="Arial"/>
                <w:iCs/>
                <w:szCs w:val="22"/>
              </w:rPr>
              <w:t>С.4.1.3. Інформованість та популяризація ЦНАП.</w:t>
            </w:r>
          </w:p>
        </w:tc>
      </w:tr>
      <w:tr w:rsidR="005E011C" w:rsidRPr="0019790A" w14:paraId="720BB637" w14:textId="77777777" w:rsidTr="006D54ED">
        <w:trPr>
          <w:jc w:val="right"/>
        </w:trPr>
        <w:tc>
          <w:tcPr>
            <w:tcW w:w="3423" w:type="dxa"/>
            <w:vAlign w:val="center"/>
          </w:tcPr>
          <w:p w14:paraId="5DF29ADA" w14:textId="77777777" w:rsidR="005E011C" w:rsidRPr="0019790A" w:rsidRDefault="005E011C" w:rsidP="0019790A">
            <w:pPr>
              <w:rPr>
                <w:rFonts w:cs="Arial"/>
                <w:b/>
                <w:bCs/>
                <w:color w:val="000000"/>
                <w:szCs w:val="22"/>
              </w:rPr>
            </w:pPr>
            <w:r w:rsidRPr="0019790A">
              <w:rPr>
                <w:rFonts w:cs="Arial"/>
                <w:b/>
                <w:bCs/>
                <w:color w:val="000000"/>
                <w:szCs w:val="22"/>
              </w:rPr>
              <w:t>Мета проєкту:</w:t>
            </w:r>
          </w:p>
        </w:tc>
        <w:tc>
          <w:tcPr>
            <w:tcW w:w="6796" w:type="dxa"/>
            <w:gridSpan w:val="6"/>
            <w:vAlign w:val="center"/>
          </w:tcPr>
          <w:p w14:paraId="3F2B9528" w14:textId="77777777" w:rsidR="005E011C" w:rsidRPr="0019790A" w:rsidRDefault="005E011C" w:rsidP="006D54ED">
            <w:pPr>
              <w:tabs>
                <w:tab w:val="left" w:pos="207"/>
                <w:tab w:val="left" w:pos="2856"/>
              </w:tabs>
              <w:jc w:val="both"/>
              <w:rPr>
                <w:rFonts w:cs="Arial"/>
                <w:bCs/>
                <w:szCs w:val="22"/>
              </w:rPr>
            </w:pPr>
            <w:r w:rsidRPr="0019790A">
              <w:rPr>
                <w:rFonts w:cs="Arial"/>
                <w:bCs/>
                <w:szCs w:val="22"/>
              </w:rPr>
              <w:t>1.Розбудова і реконструкція ЦНАП.</w:t>
            </w:r>
          </w:p>
          <w:p w14:paraId="0605F1F5" w14:textId="77777777" w:rsidR="005E011C" w:rsidRPr="0019790A" w:rsidRDefault="005E011C" w:rsidP="006D54ED">
            <w:pPr>
              <w:tabs>
                <w:tab w:val="left" w:pos="207"/>
                <w:tab w:val="left" w:pos="2856"/>
              </w:tabs>
              <w:jc w:val="both"/>
              <w:rPr>
                <w:rFonts w:cs="Arial"/>
                <w:bCs/>
                <w:szCs w:val="22"/>
              </w:rPr>
            </w:pPr>
            <w:r w:rsidRPr="0019790A">
              <w:rPr>
                <w:rFonts w:cs="Arial"/>
                <w:bCs/>
                <w:szCs w:val="22"/>
              </w:rPr>
              <w:t>2. Доступність адміністративних послуг.</w:t>
            </w:r>
          </w:p>
          <w:p w14:paraId="2D1FEFFD" w14:textId="77777777" w:rsidR="005E011C" w:rsidRPr="0019790A" w:rsidRDefault="005E011C" w:rsidP="006D54ED">
            <w:pPr>
              <w:tabs>
                <w:tab w:val="left" w:pos="207"/>
                <w:tab w:val="left" w:pos="2856"/>
              </w:tabs>
              <w:ind w:right="113"/>
              <w:jc w:val="both"/>
              <w:rPr>
                <w:rFonts w:cs="Arial"/>
                <w:bCs/>
                <w:szCs w:val="22"/>
              </w:rPr>
            </w:pPr>
            <w:r w:rsidRPr="0019790A">
              <w:rPr>
                <w:rFonts w:cs="Arial"/>
                <w:bCs/>
                <w:szCs w:val="22"/>
              </w:rPr>
              <w:t>3. Автоматизація процесів надання адміністративних послуг.</w:t>
            </w:r>
          </w:p>
          <w:p w14:paraId="3D46884A" w14:textId="77777777" w:rsidR="005E011C" w:rsidRPr="0019790A" w:rsidRDefault="005E011C" w:rsidP="006D54ED">
            <w:pPr>
              <w:tabs>
                <w:tab w:val="left" w:pos="207"/>
              </w:tabs>
              <w:jc w:val="both"/>
              <w:rPr>
                <w:rFonts w:cs="Arial"/>
                <w:bCs/>
                <w:szCs w:val="22"/>
              </w:rPr>
            </w:pPr>
            <w:r w:rsidRPr="0019790A">
              <w:rPr>
                <w:rFonts w:cs="Arial"/>
                <w:bCs/>
                <w:szCs w:val="22"/>
              </w:rPr>
              <w:t>4. Систематизації нормативно-правової бази функціонування ЦНАП.</w:t>
            </w:r>
          </w:p>
          <w:p w14:paraId="55E74E61" w14:textId="77777777" w:rsidR="005E011C" w:rsidRPr="0019790A" w:rsidRDefault="005E011C" w:rsidP="006D54ED">
            <w:pPr>
              <w:tabs>
                <w:tab w:val="left" w:pos="207"/>
              </w:tabs>
              <w:ind w:right="113"/>
              <w:jc w:val="both"/>
              <w:rPr>
                <w:rFonts w:cs="Arial"/>
                <w:bCs/>
                <w:szCs w:val="22"/>
              </w:rPr>
            </w:pPr>
            <w:r w:rsidRPr="0019790A">
              <w:rPr>
                <w:rFonts w:cs="Arial"/>
                <w:bCs/>
                <w:szCs w:val="22"/>
              </w:rPr>
              <w:t>5. Робота з персоналом.</w:t>
            </w:r>
          </w:p>
          <w:p w14:paraId="25B6D4BA" w14:textId="77777777" w:rsidR="005E011C" w:rsidRPr="0019790A" w:rsidRDefault="005E011C" w:rsidP="006D54ED">
            <w:pPr>
              <w:tabs>
                <w:tab w:val="left" w:pos="207"/>
              </w:tabs>
              <w:ind w:right="113"/>
              <w:jc w:val="both"/>
              <w:rPr>
                <w:rFonts w:cs="Arial"/>
                <w:bCs/>
                <w:szCs w:val="22"/>
              </w:rPr>
            </w:pPr>
            <w:r w:rsidRPr="0019790A">
              <w:rPr>
                <w:rFonts w:cs="Arial"/>
                <w:bCs/>
                <w:szCs w:val="22"/>
              </w:rPr>
              <w:t>6. Популяризація ЦНАП.</w:t>
            </w:r>
          </w:p>
        </w:tc>
      </w:tr>
      <w:tr w:rsidR="005E011C" w:rsidRPr="0019790A" w14:paraId="7311CF2D" w14:textId="77777777" w:rsidTr="006D54ED">
        <w:trPr>
          <w:jc w:val="right"/>
        </w:trPr>
        <w:tc>
          <w:tcPr>
            <w:tcW w:w="3423" w:type="dxa"/>
            <w:vAlign w:val="center"/>
          </w:tcPr>
          <w:p w14:paraId="465A433B" w14:textId="77777777" w:rsidR="005E011C" w:rsidRPr="0019790A" w:rsidRDefault="005E011C" w:rsidP="0019790A">
            <w:pPr>
              <w:rPr>
                <w:rFonts w:cs="Arial"/>
                <w:b/>
                <w:bCs/>
                <w:color w:val="000000"/>
                <w:szCs w:val="22"/>
              </w:rPr>
            </w:pPr>
            <w:r w:rsidRPr="0019790A">
              <w:rPr>
                <w:rFonts w:cs="Arial"/>
                <w:b/>
                <w:bCs/>
                <w:color w:val="000000"/>
                <w:szCs w:val="22"/>
              </w:rPr>
              <w:t>Цілі проєкту:</w:t>
            </w:r>
          </w:p>
        </w:tc>
        <w:tc>
          <w:tcPr>
            <w:tcW w:w="6796" w:type="dxa"/>
            <w:gridSpan w:val="6"/>
            <w:vAlign w:val="center"/>
          </w:tcPr>
          <w:p w14:paraId="0FD213F7" w14:textId="77777777" w:rsidR="005E011C" w:rsidRPr="0019790A" w:rsidRDefault="005E011C" w:rsidP="006D54ED">
            <w:pPr>
              <w:tabs>
                <w:tab w:val="left" w:pos="207"/>
              </w:tabs>
              <w:jc w:val="both"/>
              <w:rPr>
                <w:rFonts w:cs="Arial"/>
                <w:szCs w:val="22"/>
                <w:lang w:eastAsia="it-IT"/>
              </w:rPr>
            </w:pPr>
            <w:r w:rsidRPr="0019790A">
              <w:rPr>
                <w:rFonts w:cs="Arial"/>
                <w:b/>
                <w:bCs/>
                <w:szCs w:val="22"/>
                <w:lang w:eastAsia="it-IT"/>
              </w:rPr>
              <w:t>1.Модернізація інфраструктури ЦНАП</w:t>
            </w:r>
            <w:r w:rsidRPr="0019790A">
              <w:rPr>
                <w:rFonts w:cs="Arial"/>
                <w:szCs w:val="22"/>
                <w:lang w:eastAsia="it-IT"/>
              </w:rPr>
              <w:t xml:space="preserve"> – створення комфортного та доступного середовища для відвідувачів через благоустрій прилеглої території, покращення умов обслуговування всередині приміщення.</w:t>
            </w:r>
          </w:p>
          <w:p w14:paraId="0954A2EE" w14:textId="77777777" w:rsidR="005E011C" w:rsidRPr="0019790A" w:rsidRDefault="005E011C" w:rsidP="006D54ED">
            <w:pPr>
              <w:tabs>
                <w:tab w:val="left" w:pos="207"/>
              </w:tabs>
              <w:jc w:val="both"/>
              <w:rPr>
                <w:rFonts w:cs="Arial"/>
                <w:szCs w:val="22"/>
                <w:lang w:eastAsia="it-IT"/>
              </w:rPr>
            </w:pPr>
            <w:r w:rsidRPr="0019790A">
              <w:rPr>
                <w:rFonts w:cs="Arial"/>
                <w:b/>
                <w:bCs/>
                <w:szCs w:val="22"/>
                <w:lang w:eastAsia="it-IT"/>
              </w:rPr>
              <w:t>2.Забезпечення рівного доступу до послуг</w:t>
            </w:r>
            <w:r w:rsidRPr="0019790A">
              <w:rPr>
                <w:rFonts w:cs="Arial"/>
                <w:szCs w:val="22"/>
                <w:lang w:eastAsia="it-IT"/>
              </w:rPr>
              <w:t xml:space="preserve"> – наближення адміністративних сервісів до жителів громади, включно з мобільними групами та маломобільними громадянами.</w:t>
            </w:r>
          </w:p>
          <w:p w14:paraId="0EFB40C8" w14:textId="77777777" w:rsidR="005E011C" w:rsidRPr="0019790A" w:rsidRDefault="005E011C" w:rsidP="006D54ED">
            <w:pPr>
              <w:tabs>
                <w:tab w:val="left" w:pos="207"/>
              </w:tabs>
              <w:jc w:val="both"/>
              <w:rPr>
                <w:rFonts w:cs="Arial"/>
                <w:szCs w:val="22"/>
                <w:lang w:eastAsia="it-IT"/>
              </w:rPr>
            </w:pPr>
            <w:r w:rsidRPr="0019790A">
              <w:rPr>
                <w:rFonts w:cs="Arial"/>
                <w:b/>
                <w:bCs/>
                <w:szCs w:val="22"/>
                <w:lang w:eastAsia="it-IT"/>
              </w:rPr>
              <w:t>3.Цифровізація та автоматизація процесів</w:t>
            </w:r>
            <w:r w:rsidRPr="0019790A">
              <w:rPr>
                <w:rFonts w:cs="Arial"/>
                <w:szCs w:val="22"/>
                <w:lang w:eastAsia="it-IT"/>
              </w:rPr>
              <w:t xml:space="preserve"> – впровадження сучасних ІТ-рішень, створення вебсайту, розширення онлайн-сервісів, підвищення ефективності надання послуг.</w:t>
            </w:r>
          </w:p>
          <w:p w14:paraId="57F0F499" w14:textId="77777777" w:rsidR="005E011C" w:rsidRPr="0019790A" w:rsidRDefault="005E011C" w:rsidP="006D54ED">
            <w:pPr>
              <w:tabs>
                <w:tab w:val="left" w:pos="207"/>
              </w:tabs>
              <w:jc w:val="both"/>
              <w:rPr>
                <w:rFonts w:cs="Arial"/>
                <w:szCs w:val="22"/>
                <w:lang w:eastAsia="it-IT"/>
              </w:rPr>
            </w:pPr>
            <w:r w:rsidRPr="0019790A">
              <w:rPr>
                <w:rFonts w:cs="Arial"/>
                <w:b/>
                <w:bCs/>
                <w:szCs w:val="22"/>
                <w:lang w:eastAsia="it-IT"/>
              </w:rPr>
              <w:t>4.Розвиток кадрового потенціалу</w:t>
            </w:r>
            <w:r w:rsidRPr="0019790A">
              <w:rPr>
                <w:rFonts w:cs="Arial"/>
                <w:szCs w:val="22"/>
                <w:lang w:eastAsia="it-IT"/>
              </w:rPr>
              <w:t xml:space="preserve"> – професійне навчання, психологічна підтримка, впровадження систем мотивації та залучення нових спеціалістів.</w:t>
            </w:r>
          </w:p>
          <w:p w14:paraId="51E47769" w14:textId="77777777" w:rsidR="005E011C" w:rsidRPr="0019790A" w:rsidRDefault="005E011C" w:rsidP="006D54ED">
            <w:pPr>
              <w:tabs>
                <w:tab w:val="left" w:pos="207"/>
              </w:tabs>
              <w:jc w:val="both"/>
              <w:rPr>
                <w:rFonts w:cs="Arial"/>
                <w:szCs w:val="22"/>
                <w:lang w:eastAsia="it-IT"/>
              </w:rPr>
            </w:pPr>
            <w:r w:rsidRPr="0019790A">
              <w:rPr>
                <w:rFonts w:cs="Arial"/>
                <w:b/>
                <w:bCs/>
                <w:szCs w:val="22"/>
                <w:lang w:eastAsia="it-IT"/>
              </w:rPr>
              <w:t>5.Оптимізація правового середовища</w:t>
            </w:r>
            <w:r w:rsidRPr="0019790A">
              <w:rPr>
                <w:rFonts w:cs="Arial"/>
                <w:szCs w:val="22"/>
                <w:lang w:eastAsia="it-IT"/>
              </w:rPr>
              <w:t xml:space="preserve"> – уніфікація адміністративних процедур та посилення співпраці з суб’єктами надання послуг.</w:t>
            </w:r>
          </w:p>
          <w:p w14:paraId="44C5CB37" w14:textId="77777777" w:rsidR="005E011C" w:rsidRPr="0019790A" w:rsidRDefault="005E011C" w:rsidP="006D54ED">
            <w:pPr>
              <w:tabs>
                <w:tab w:val="left" w:pos="207"/>
              </w:tabs>
              <w:jc w:val="both"/>
              <w:rPr>
                <w:rFonts w:cs="Arial"/>
                <w:szCs w:val="22"/>
                <w:lang w:eastAsia="it-IT"/>
              </w:rPr>
            </w:pPr>
            <w:r w:rsidRPr="0019790A">
              <w:rPr>
                <w:rFonts w:cs="Arial"/>
                <w:b/>
                <w:bCs/>
                <w:szCs w:val="22"/>
                <w:lang w:eastAsia="it-IT"/>
              </w:rPr>
              <w:t>6.Комунікація та популяризація</w:t>
            </w:r>
            <w:r w:rsidRPr="0019790A">
              <w:rPr>
                <w:rFonts w:cs="Arial"/>
                <w:szCs w:val="22"/>
                <w:lang w:eastAsia="it-IT"/>
              </w:rPr>
              <w:t xml:space="preserve"> – активне інформування населення через соціальні мережі, формування впізнаваного бренду ЦНАП.</w:t>
            </w:r>
          </w:p>
        </w:tc>
      </w:tr>
      <w:tr w:rsidR="005E011C" w:rsidRPr="0019790A" w14:paraId="1C088906" w14:textId="77777777" w:rsidTr="006D54ED">
        <w:trPr>
          <w:jc w:val="right"/>
        </w:trPr>
        <w:tc>
          <w:tcPr>
            <w:tcW w:w="3423" w:type="dxa"/>
            <w:vAlign w:val="center"/>
          </w:tcPr>
          <w:p w14:paraId="0D45D528" w14:textId="77777777" w:rsidR="005E011C" w:rsidRPr="0019790A" w:rsidRDefault="005E011C" w:rsidP="0019790A">
            <w:pPr>
              <w:autoSpaceDE w:val="0"/>
              <w:autoSpaceDN w:val="0"/>
              <w:adjustRightInd w:val="0"/>
              <w:rPr>
                <w:rFonts w:cs="Arial"/>
                <w:b/>
                <w:color w:val="000000"/>
                <w:szCs w:val="22"/>
              </w:rPr>
            </w:pPr>
            <w:r w:rsidRPr="0019790A">
              <w:rPr>
                <w:rFonts w:cs="Arial"/>
                <w:b/>
                <w:color w:val="000000"/>
                <w:szCs w:val="22"/>
              </w:rPr>
              <w:t>Територія на яку проєкт матиме вплив:</w:t>
            </w:r>
          </w:p>
        </w:tc>
        <w:tc>
          <w:tcPr>
            <w:tcW w:w="6796" w:type="dxa"/>
            <w:gridSpan w:val="6"/>
            <w:vAlign w:val="center"/>
          </w:tcPr>
          <w:p w14:paraId="4B0F10E9" w14:textId="77777777" w:rsidR="005E011C" w:rsidRPr="0019790A" w:rsidRDefault="005E011C" w:rsidP="006D54ED">
            <w:pPr>
              <w:tabs>
                <w:tab w:val="left" w:pos="207"/>
              </w:tabs>
              <w:jc w:val="both"/>
              <w:rPr>
                <w:rFonts w:cs="Arial"/>
                <w:szCs w:val="22"/>
                <w:lang w:eastAsia="it-IT"/>
              </w:rPr>
            </w:pPr>
            <w:r w:rsidRPr="0019790A">
              <w:rPr>
                <w:rFonts w:cs="Arial"/>
                <w:szCs w:val="22"/>
                <w:lang w:eastAsia="it-IT"/>
              </w:rPr>
              <w:t>Жмеринська міська територіальна громада</w:t>
            </w:r>
          </w:p>
        </w:tc>
      </w:tr>
      <w:tr w:rsidR="005E011C" w:rsidRPr="0019790A" w14:paraId="437D1A7E" w14:textId="77777777" w:rsidTr="006D54ED">
        <w:trPr>
          <w:jc w:val="right"/>
        </w:trPr>
        <w:tc>
          <w:tcPr>
            <w:tcW w:w="3423" w:type="dxa"/>
            <w:vAlign w:val="center"/>
          </w:tcPr>
          <w:p w14:paraId="0E7D5E82" w14:textId="77777777" w:rsidR="005E011C" w:rsidRPr="0019790A" w:rsidRDefault="005E011C" w:rsidP="0019790A">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6" w:type="dxa"/>
            <w:gridSpan w:val="6"/>
            <w:vAlign w:val="center"/>
          </w:tcPr>
          <w:p w14:paraId="7A9F64F5" w14:textId="77777777" w:rsidR="005E011C" w:rsidRPr="0019790A" w:rsidRDefault="005E011C" w:rsidP="006D54ED">
            <w:pPr>
              <w:tabs>
                <w:tab w:val="left" w:pos="207"/>
              </w:tabs>
              <w:jc w:val="both"/>
              <w:rPr>
                <w:rStyle w:val="uv3um"/>
                <w:rFonts w:cs="Arial"/>
                <w:color w:val="001D35"/>
                <w:szCs w:val="22"/>
                <w:shd w:val="clear" w:color="auto" w:fill="FFFFFF"/>
              </w:rPr>
            </w:pPr>
            <w:r w:rsidRPr="0019790A">
              <w:rPr>
                <w:rFonts w:cs="Arial"/>
                <w:szCs w:val="22"/>
                <w:shd w:val="clear" w:color="auto" w:fill="FFFFFF"/>
              </w:rPr>
              <w:t>Населення Жмеринської міської територіальної громади - 49 474 особи.</w:t>
            </w:r>
            <w:r w:rsidRPr="0019790A">
              <w:rPr>
                <w:rStyle w:val="uv3um"/>
                <w:rFonts w:cs="Arial"/>
                <w:color w:val="001D35"/>
                <w:szCs w:val="22"/>
                <w:shd w:val="clear" w:color="auto" w:fill="FFFFFF"/>
              </w:rPr>
              <w:t> </w:t>
            </w:r>
          </w:p>
          <w:p w14:paraId="4FF11300" w14:textId="77777777" w:rsidR="005E011C" w:rsidRPr="0019790A" w:rsidRDefault="005E011C" w:rsidP="006D54ED">
            <w:pPr>
              <w:tabs>
                <w:tab w:val="left" w:pos="207"/>
              </w:tabs>
              <w:jc w:val="both"/>
              <w:rPr>
                <w:rStyle w:val="uv3um"/>
                <w:rFonts w:cs="Arial"/>
                <w:szCs w:val="22"/>
                <w:shd w:val="clear" w:color="auto" w:fill="FFFFFF"/>
              </w:rPr>
            </w:pPr>
            <w:r w:rsidRPr="0019790A">
              <w:rPr>
                <w:rStyle w:val="uv3um"/>
                <w:rFonts w:cs="Arial"/>
                <w:szCs w:val="22"/>
                <w:shd w:val="clear" w:color="auto" w:fill="FFFFFF"/>
              </w:rPr>
              <w:t>Соціальні групи населення:</w:t>
            </w:r>
          </w:p>
          <w:p w14:paraId="6E72B48C" w14:textId="77777777" w:rsidR="005E011C" w:rsidRPr="0019790A" w:rsidRDefault="005E011C" w:rsidP="006D54ED">
            <w:pPr>
              <w:tabs>
                <w:tab w:val="left" w:pos="207"/>
              </w:tabs>
              <w:jc w:val="both"/>
              <w:rPr>
                <w:rStyle w:val="uv3um"/>
                <w:rFonts w:cs="Arial"/>
                <w:szCs w:val="22"/>
                <w:shd w:val="clear" w:color="auto" w:fill="FFFFFF"/>
              </w:rPr>
            </w:pPr>
            <w:r w:rsidRPr="0019790A">
              <w:rPr>
                <w:rStyle w:val="uv3um"/>
                <w:rFonts w:cs="Arial"/>
                <w:szCs w:val="22"/>
                <w:shd w:val="clear" w:color="auto" w:fill="FFFFFF"/>
              </w:rPr>
              <w:t>громадяни різного віку;</w:t>
            </w:r>
          </w:p>
          <w:p w14:paraId="41855EFD" w14:textId="77777777" w:rsidR="005E011C" w:rsidRPr="0019790A" w:rsidRDefault="005E011C" w:rsidP="006D54ED">
            <w:pPr>
              <w:tabs>
                <w:tab w:val="left" w:pos="207"/>
              </w:tabs>
              <w:jc w:val="both"/>
              <w:rPr>
                <w:rStyle w:val="uv3um"/>
                <w:rFonts w:cs="Arial"/>
                <w:szCs w:val="22"/>
                <w:shd w:val="clear" w:color="auto" w:fill="FFFFFF"/>
              </w:rPr>
            </w:pPr>
            <w:r w:rsidRPr="0019790A">
              <w:rPr>
                <w:rStyle w:val="uv3um"/>
                <w:rFonts w:cs="Arial"/>
                <w:szCs w:val="22"/>
                <w:shd w:val="clear" w:color="auto" w:fill="FFFFFF"/>
              </w:rPr>
              <w:t>ветерани та члени їх сімей;</w:t>
            </w:r>
          </w:p>
          <w:p w14:paraId="3499DAC4" w14:textId="77777777" w:rsidR="005E011C" w:rsidRPr="0019790A" w:rsidRDefault="005E011C" w:rsidP="006D54ED">
            <w:pPr>
              <w:tabs>
                <w:tab w:val="left" w:pos="207"/>
              </w:tabs>
              <w:jc w:val="both"/>
              <w:rPr>
                <w:rStyle w:val="uv3um"/>
                <w:rFonts w:cs="Arial"/>
                <w:szCs w:val="22"/>
                <w:shd w:val="clear" w:color="auto" w:fill="FFFFFF"/>
              </w:rPr>
            </w:pPr>
            <w:r w:rsidRPr="0019790A">
              <w:rPr>
                <w:rStyle w:val="uv3um"/>
                <w:rFonts w:cs="Arial"/>
                <w:szCs w:val="22"/>
                <w:shd w:val="clear" w:color="auto" w:fill="FFFFFF"/>
              </w:rPr>
              <w:t>маломобільні групи та особи з інвалідністю,</w:t>
            </w:r>
          </w:p>
          <w:p w14:paraId="0D6A564A" w14:textId="77777777" w:rsidR="005E011C" w:rsidRPr="0019790A" w:rsidRDefault="005E011C" w:rsidP="006D54ED">
            <w:pPr>
              <w:tabs>
                <w:tab w:val="left" w:pos="207"/>
              </w:tabs>
              <w:jc w:val="both"/>
              <w:rPr>
                <w:rFonts w:cs="Arial"/>
                <w:szCs w:val="22"/>
              </w:rPr>
            </w:pPr>
            <w:r w:rsidRPr="0019790A">
              <w:rPr>
                <w:rStyle w:val="uv3um"/>
                <w:rFonts w:cs="Arial"/>
                <w:szCs w:val="22"/>
              </w:rPr>
              <w:t>працівники ЦНАП.</w:t>
            </w:r>
          </w:p>
        </w:tc>
      </w:tr>
      <w:tr w:rsidR="005E011C" w:rsidRPr="0019790A" w14:paraId="03053010" w14:textId="77777777" w:rsidTr="006D54ED">
        <w:trPr>
          <w:trHeight w:val="1125"/>
          <w:jc w:val="right"/>
        </w:trPr>
        <w:tc>
          <w:tcPr>
            <w:tcW w:w="3423" w:type="dxa"/>
            <w:shd w:val="clear" w:color="auto" w:fill="FFFFFF"/>
            <w:vAlign w:val="center"/>
          </w:tcPr>
          <w:p w14:paraId="316E23CC" w14:textId="77777777" w:rsidR="005E011C" w:rsidRPr="0019790A" w:rsidRDefault="005E011C" w:rsidP="0019790A">
            <w:pPr>
              <w:rPr>
                <w:rFonts w:cs="Arial"/>
                <w:b/>
                <w:bCs/>
                <w:color w:val="000000"/>
                <w:szCs w:val="22"/>
              </w:rPr>
            </w:pPr>
            <w:r w:rsidRPr="0019790A">
              <w:rPr>
                <w:rFonts w:cs="Arial"/>
                <w:b/>
                <w:bCs/>
                <w:color w:val="000000"/>
                <w:szCs w:val="22"/>
              </w:rPr>
              <w:t>Стислий опис проєкту:</w:t>
            </w:r>
          </w:p>
        </w:tc>
        <w:tc>
          <w:tcPr>
            <w:tcW w:w="6796" w:type="dxa"/>
            <w:gridSpan w:val="6"/>
            <w:vAlign w:val="center"/>
          </w:tcPr>
          <w:p w14:paraId="696022A5" w14:textId="77777777" w:rsidR="005E011C" w:rsidRPr="0019790A" w:rsidRDefault="005E011C" w:rsidP="006D54ED">
            <w:pPr>
              <w:pStyle w:val="ad"/>
              <w:tabs>
                <w:tab w:val="left" w:pos="207"/>
              </w:tabs>
              <w:spacing w:before="0" w:beforeAutospacing="0" w:after="0" w:afterAutospacing="0"/>
              <w:jc w:val="both"/>
              <w:rPr>
                <w:rFonts w:cs="Arial"/>
                <w:szCs w:val="22"/>
              </w:rPr>
            </w:pPr>
            <w:r w:rsidRPr="0019790A">
              <w:rPr>
                <w:rFonts w:cs="Arial"/>
                <w:b/>
                <w:bCs/>
                <w:szCs w:val="22"/>
              </w:rPr>
              <w:t xml:space="preserve">      Проєкт «Адміністративні послуги – доступні та комфортні»</w:t>
            </w:r>
            <w:r w:rsidRPr="0019790A">
              <w:rPr>
                <w:rFonts w:cs="Arial"/>
                <w:szCs w:val="22"/>
              </w:rPr>
              <w:t xml:space="preserve"> реалізується у Жмеринській міській територіальній громаді (49 474 мешканці) з метою покращення якості, доступності та комфорту надання адміністративних послуг.</w:t>
            </w:r>
          </w:p>
          <w:p w14:paraId="281E1678" w14:textId="77777777" w:rsidR="005E011C" w:rsidRPr="0019790A" w:rsidRDefault="005E011C" w:rsidP="006D54ED">
            <w:pPr>
              <w:pStyle w:val="ad"/>
              <w:tabs>
                <w:tab w:val="left" w:pos="207"/>
              </w:tabs>
              <w:spacing w:before="0" w:beforeAutospacing="0" w:after="0" w:afterAutospacing="0"/>
              <w:jc w:val="both"/>
              <w:rPr>
                <w:rFonts w:cs="Arial"/>
                <w:szCs w:val="22"/>
              </w:rPr>
            </w:pPr>
            <w:r w:rsidRPr="0019790A">
              <w:rPr>
                <w:rFonts w:cs="Arial"/>
                <w:szCs w:val="22"/>
              </w:rPr>
              <w:t xml:space="preserve">   Передбачено модернізацію інфраструктури ЦНАП: озеленення та благоустрій прилеглої території, встановлення лавок, урн, ліхтарів, кондиціонерів, проведення косметичного ремонту. </w:t>
            </w:r>
          </w:p>
          <w:p w14:paraId="2550BD1B" w14:textId="77777777" w:rsidR="005E011C" w:rsidRPr="0019790A" w:rsidRDefault="005E011C" w:rsidP="006D54ED">
            <w:pPr>
              <w:pStyle w:val="ad"/>
              <w:tabs>
                <w:tab w:val="left" w:pos="207"/>
              </w:tabs>
              <w:spacing w:before="0" w:beforeAutospacing="0" w:after="0" w:afterAutospacing="0"/>
              <w:jc w:val="both"/>
              <w:rPr>
                <w:rFonts w:cs="Arial"/>
                <w:szCs w:val="22"/>
              </w:rPr>
            </w:pPr>
            <w:r w:rsidRPr="0019790A">
              <w:rPr>
                <w:rFonts w:cs="Arial"/>
                <w:szCs w:val="22"/>
              </w:rPr>
              <w:t xml:space="preserve">   Для розширення доступу до послуг планується придбання мікроавтобуса з мобільним робочим місцем адміністратора, а також обладнання для оформлення паспортних документів, реєстрації транспортних засобів та видачі водійських посвідчень.</w:t>
            </w:r>
          </w:p>
          <w:p w14:paraId="2573818A" w14:textId="00830466" w:rsidR="005E011C" w:rsidRPr="0019790A" w:rsidRDefault="005E011C" w:rsidP="006D54ED">
            <w:pPr>
              <w:pStyle w:val="ad"/>
              <w:tabs>
                <w:tab w:val="left" w:pos="207"/>
              </w:tabs>
              <w:spacing w:before="0" w:beforeAutospacing="0" w:after="0" w:afterAutospacing="0"/>
              <w:jc w:val="both"/>
              <w:rPr>
                <w:rFonts w:cs="Arial"/>
                <w:szCs w:val="22"/>
              </w:rPr>
            </w:pPr>
            <w:r w:rsidRPr="0019790A">
              <w:rPr>
                <w:rFonts w:cs="Arial"/>
                <w:szCs w:val="22"/>
              </w:rPr>
              <w:t xml:space="preserve">   </w:t>
            </w:r>
            <w:r w:rsidR="006D54ED">
              <w:rPr>
                <w:rFonts w:cs="Arial"/>
                <w:szCs w:val="22"/>
              </w:rPr>
              <w:t>Цифровізація</w:t>
            </w:r>
            <w:r w:rsidRPr="0019790A">
              <w:rPr>
                <w:rFonts w:cs="Arial"/>
                <w:szCs w:val="22"/>
              </w:rPr>
              <w:t xml:space="preserve"> включає створення </w:t>
            </w:r>
            <w:r w:rsidR="006D54ED" w:rsidRPr="0019790A">
              <w:rPr>
                <w:rFonts w:cs="Arial"/>
                <w:szCs w:val="22"/>
              </w:rPr>
              <w:t>веб-сайту</w:t>
            </w:r>
            <w:r w:rsidRPr="0019790A">
              <w:rPr>
                <w:rFonts w:cs="Arial"/>
                <w:szCs w:val="22"/>
              </w:rPr>
              <w:t xml:space="preserve"> ЦНАП та активну присутність у соціальних мережах. </w:t>
            </w:r>
          </w:p>
          <w:p w14:paraId="5B3D3E9B" w14:textId="77777777" w:rsidR="005E011C" w:rsidRPr="0019790A" w:rsidRDefault="005E011C" w:rsidP="006D54ED">
            <w:pPr>
              <w:pStyle w:val="ad"/>
              <w:tabs>
                <w:tab w:val="left" w:pos="207"/>
              </w:tabs>
              <w:spacing w:before="0" w:beforeAutospacing="0" w:after="0" w:afterAutospacing="0"/>
              <w:jc w:val="both"/>
              <w:rPr>
                <w:rFonts w:cs="Arial"/>
                <w:szCs w:val="22"/>
              </w:rPr>
            </w:pPr>
            <w:r w:rsidRPr="0019790A">
              <w:rPr>
                <w:rFonts w:cs="Arial"/>
                <w:szCs w:val="22"/>
              </w:rPr>
              <w:t xml:space="preserve">    Проєкт, також, охоплює вдосконалення нормативної бази, уніфікацію послуг і налагодження співпраці з суб’єктами їх надання.</w:t>
            </w:r>
          </w:p>
          <w:p w14:paraId="5797B858" w14:textId="77777777" w:rsidR="005E011C" w:rsidRPr="0019790A" w:rsidRDefault="005E011C" w:rsidP="006D54ED">
            <w:pPr>
              <w:pStyle w:val="ad"/>
              <w:tabs>
                <w:tab w:val="left" w:pos="207"/>
              </w:tabs>
              <w:spacing w:before="0" w:beforeAutospacing="0" w:after="0" w:afterAutospacing="0"/>
              <w:jc w:val="both"/>
              <w:rPr>
                <w:rFonts w:cs="Arial"/>
                <w:szCs w:val="22"/>
              </w:rPr>
            </w:pPr>
            <w:r w:rsidRPr="0019790A">
              <w:rPr>
                <w:rFonts w:cs="Arial"/>
                <w:szCs w:val="22"/>
              </w:rPr>
              <w:t xml:space="preserve">   Особлива увага приділяється персоналу: проведення тренінгів, створення системи мотивації. </w:t>
            </w:r>
          </w:p>
          <w:p w14:paraId="7287E15B" w14:textId="77777777" w:rsidR="005E011C" w:rsidRPr="0019790A" w:rsidRDefault="005E011C" w:rsidP="006D54ED">
            <w:pPr>
              <w:pStyle w:val="ad"/>
              <w:tabs>
                <w:tab w:val="left" w:pos="207"/>
              </w:tabs>
              <w:spacing w:before="0" w:beforeAutospacing="0" w:after="0" w:afterAutospacing="0"/>
              <w:jc w:val="both"/>
              <w:rPr>
                <w:rFonts w:cs="Arial"/>
                <w:szCs w:val="22"/>
              </w:rPr>
            </w:pPr>
            <w:r w:rsidRPr="0019790A">
              <w:rPr>
                <w:rFonts w:cs="Arial"/>
                <w:szCs w:val="22"/>
              </w:rPr>
              <w:t xml:space="preserve">    Для підвищення ефективності працездатності працівників планується заміна сучасної комп’ютерної техніки. </w:t>
            </w:r>
          </w:p>
          <w:p w14:paraId="61DD54A5" w14:textId="77777777" w:rsidR="005E011C" w:rsidRPr="0019790A" w:rsidRDefault="005E011C" w:rsidP="006D54ED">
            <w:pPr>
              <w:pStyle w:val="ad"/>
              <w:tabs>
                <w:tab w:val="left" w:pos="207"/>
              </w:tabs>
              <w:spacing w:before="0" w:beforeAutospacing="0" w:after="0" w:afterAutospacing="0"/>
              <w:jc w:val="both"/>
              <w:rPr>
                <w:rFonts w:cs="Arial"/>
                <w:szCs w:val="22"/>
              </w:rPr>
            </w:pPr>
            <w:r w:rsidRPr="0019790A">
              <w:rPr>
                <w:rFonts w:cs="Arial"/>
                <w:szCs w:val="22"/>
              </w:rPr>
              <w:t xml:space="preserve">   Проєкт спрямований на задоволення потреб усіх груп населення, зокрема ветеранів, осіб з інвалідністю та маломобільних громадян, і створення зручного, сучасного простору для надання якісних адміністративних послуг.</w:t>
            </w:r>
          </w:p>
        </w:tc>
      </w:tr>
      <w:tr w:rsidR="005E011C" w:rsidRPr="0019790A" w14:paraId="61C59742" w14:textId="77777777" w:rsidTr="006D54ED">
        <w:trPr>
          <w:jc w:val="right"/>
        </w:trPr>
        <w:tc>
          <w:tcPr>
            <w:tcW w:w="3423" w:type="dxa"/>
            <w:shd w:val="clear" w:color="auto" w:fill="FFFFFF"/>
            <w:vAlign w:val="center"/>
          </w:tcPr>
          <w:p w14:paraId="79117B6C" w14:textId="77777777" w:rsidR="005E011C" w:rsidRPr="0019790A" w:rsidRDefault="005E011C" w:rsidP="0019790A">
            <w:pPr>
              <w:rPr>
                <w:rFonts w:cs="Arial"/>
                <w:b/>
                <w:bCs/>
                <w:color w:val="000000"/>
                <w:szCs w:val="22"/>
              </w:rPr>
            </w:pPr>
            <w:r w:rsidRPr="0019790A">
              <w:rPr>
                <w:rFonts w:cs="Arial"/>
                <w:b/>
                <w:bCs/>
                <w:color w:val="000000"/>
                <w:szCs w:val="22"/>
              </w:rPr>
              <w:t>Основні заходи проєкту:</w:t>
            </w:r>
          </w:p>
        </w:tc>
        <w:tc>
          <w:tcPr>
            <w:tcW w:w="6796" w:type="dxa"/>
            <w:gridSpan w:val="6"/>
            <w:vAlign w:val="center"/>
          </w:tcPr>
          <w:p w14:paraId="2EB8E57C" w14:textId="77777777" w:rsidR="005E011C" w:rsidRPr="0019790A" w:rsidRDefault="005E011C" w:rsidP="006D54ED">
            <w:pPr>
              <w:tabs>
                <w:tab w:val="left" w:pos="207"/>
              </w:tabs>
              <w:jc w:val="both"/>
              <w:rPr>
                <w:rFonts w:cs="Arial"/>
                <w:szCs w:val="22"/>
              </w:rPr>
            </w:pPr>
            <w:r w:rsidRPr="0019790A">
              <w:rPr>
                <w:rFonts w:cs="Arial"/>
                <w:bCs/>
                <w:szCs w:val="22"/>
              </w:rPr>
              <w:t>1.</w:t>
            </w:r>
            <w:r w:rsidRPr="0019790A">
              <w:rPr>
                <w:rFonts w:cs="Arial"/>
                <w:szCs w:val="22"/>
              </w:rPr>
              <w:t>1.Озеленення території, прилеглої до ЦНАП.</w:t>
            </w:r>
          </w:p>
          <w:p w14:paraId="06488B36" w14:textId="77777777" w:rsidR="005E011C" w:rsidRPr="0019790A" w:rsidRDefault="005E011C" w:rsidP="006D54ED">
            <w:pPr>
              <w:tabs>
                <w:tab w:val="left" w:pos="207"/>
              </w:tabs>
              <w:jc w:val="both"/>
              <w:rPr>
                <w:rFonts w:cs="Arial"/>
                <w:szCs w:val="22"/>
              </w:rPr>
            </w:pPr>
            <w:r w:rsidRPr="0019790A">
              <w:rPr>
                <w:rFonts w:cs="Arial"/>
                <w:szCs w:val="22"/>
              </w:rPr>
              <w:t>1.2. Придбання та встановлення в прибудинковій території лавок для сидіння, урн для сміття,  вуличних ліхтарів.</w:t>
            </w:r>
          </w:p>
          <w:p w14:paraId="28113CD5" w14:textId="77777777" w:rsidR="005E011C" w:rsidRPr="0019790A" w:rsidRDefault="005E011C" w:rsidP="006D54ED">
            <w:pPr>
              <w:tabs>
                <w:tab w:val="left" w:pos="207"/>
              </w:tabs>
              <w:jc w:val="both"/>
              <w:rPr>
                <w:rFonts w:cs="Arial"/>
                <w:szCs w:val="22"/>
              </w:rPr>
            </w:pPr>
            <w:r w:rsidRPr="0019790A">
              <w:rPr>
                <w:rFonts w:cs="Arial"/>
                <w:szCs w:val="22"/>
              </w:rPr>
              <w:t>1.3. Придбання кондиціонерів.</w:t>
            </w:r>
          </w:p>
          <w:p w14:paraId="38578348" w14:textId="77777777" w:rsidR="005E011C" w:rsidRPr="0019790A" w:rsidRDefault="005E011C" w:rsidP="006D54ED">
            <w:pPr>
              <w:tabs>
                <w:tab w:val="left" w:pos="207"/>
              </w:tabs>
              <w:jc w:val="both"/>
              <w:rPr>
                <w:rFonts w:cs="Arial"/>
                <w:szCs w:val="22"/>
              </w:rPr>
            </w:pPr>
            <w:r w:rsidRPr="0019790A">
              <w:rPr>
                <w:rFonts w:cs="Arial"/>
                <w:szCs w:val="22"/>
              </w:rPr>
              <w:t>1.4. Косметичний ремонт головного залу прийому громадян  ЦНАП.</w:t>
            </w:r>
          </w:p>
          <w:p w14:paraId="10543B13" w14:textId="77777777" w:rsidR="005E011C" w:rsidRPr="0019790A" w:rsidRDefault="005E011C" w:rsidP="006D54ED">
            <w:pPr>
              <w:tabs>
                <w:tab w:val="left" w:pos="207"/>
              </w:tabs>
              <w:jc w:val="both"/>
              <w:rPr>
                <w:rFonts w:cs="Arial"/>
                <w:szCs w:val="22"/>
              </w:rPr>
            </w:pPr>
            <w:r w:rsidRPr="0019790A">
              <w:rPr>
                <w:rFonts w:cs="Arial"/>
                <w:szCs w:val="22"/>
              </w:rPr>
              <w:t>2.1. Придбання службового автомобіля (мікроавтобус) для надання адміністративних послуг на пересувному робочому місці адміністратора із застосуванням Мобільної валізи.</w:t>
            </w:r>
          </w:p>
          <w:p w14:paraId="0A6AFA2F" w14:textId="77777777" w:rsidR="005E011C" w:rsidRPr="0019790A" w:rsidRDefault="005E011C" w:rsidP="006D54ED">
            <w:pPr>
              <w:tabs>
                <w:tab w:val="left" w:pos="207"/>
              </w:tabs>
              <w:jc w:val="both"/>
              <w:rPr>
                <w:rFonts w:cs="Arial"/>
                <w:szCs w:val="22"/>
              </w:rPr>
            </w:pPr>
            <w:r w:rsidRPr="0019790A">
              <w:rPr>
                <w:rFonts w:cs="Arial"/>
                <w:szCs w:val="22"/>
              </w:rPr>
              <w:t>2.2. Придбання додаткового обладнання для оформлення паспортних документів.</w:t>
            </w:r>
          </w:p>
          <w:p w14:paraId="450C8BFB" w14:textId="77777777" w:rsidR="005E011C" w:rsidRPr="0019790A" w:rsidRDefault="005E011C" w:rsidP="006D54ED">
            <w:pPr>
              <w:tabs>
                <w:tab w:val="left" w:pos="207"/>
              </w:tabs>
              <w:jc w:val="both"/>
              <w:rPr>
                <w:rFonts w:cs="Arial"/>
                <w:szCs w:val="22"/>
              </w:rPr>
            </w:pPr>
            <w:r w:rsidRPr="0019790A">
              <w:rPr>
                <w:rFonts w:cs="Arial"/>
                <w:szCs w:val="22"/>
              </w:rPr>
              <w:t xml:space="preserve">2.3. Придбання додаткового обладнання для реєстрації транспортних засобів та видачі посвідчень водія. </w:t>
            </w:r>
          </w:p>
          <w:p w14:paraId="0D62EAC9" w14:textId="77777777" w:rsidR="005E011C" w:rsidRPr="0019790A" w:rsidRDefault="005E011C" w:rsidP="006D54ED">
            <w:pPr>
              <w:tabs>
                <w:tab w:val="left" w:pos="207"/>
              </w:tabs>
              <w:jc w:val="both"/>
              <w:rPr>
                <w:rFonts w:cs="Arial"/>
                <w:szCs w:val="22"/>
              </w:rPr>
            </w:pPr>
            <w:r w:rsidRPr="0019790A">
              <w:rPr>
                <w:rFonts w:cs="Arial"/>
                <w:szCs w:val="22"/>
              </w:rPr>
              <w:t>3.1. Придбання сучасної комп’ютерної техніки.</w:t>
            </w:r>
          </w:p>
          <w:p w14:paraId="26D5E941" w14:textId="77777777" w:rsidR="005E011C" w:rsidRPr="0019790A" w:rsidRDefault="005E011C" w:rsidP="006D54ED">
            <w:pPr>
              <w:tabs>
                <w:tab w:val="left" w:pos="207"/>
              </w:tabs>
              <w:jc w:val="both"/>
              <w:rPr>
                <w:rFonts w:cs="Arial"/>
                <w:szCs w:val="22"/>
              </w:rPr>
            </w:pPr>
            <w:r w:rsidRPr="0019790A">
              <w:rPr>
                <w:rFonts w:cs="Arial"/>
                <w:szCs w:val="22"/>
              </w:rPr>
              <w:t>3.2. Створення власного веб-сайту ЦНАП.</w:t>
            </w:r>
          </w:p>
          <w:p w14:paraId="776219FB" w14:textId="77777777" w:rsidR="005E011C" w:rsidRPr="0019790A" w:rsidRDefault="005E011C" w:rsidP="006D54ED">
            <w:pPr>
              <w:tabs>
                <w:tab w:val="left" w:pos="207"/>
              </w:tabs>
              <w:jc w:val="both"/>
              <w:rPr>
                <w:rFonts w:cs="Arial"/>
                <w:szCs w:val="22"/>
              </w:rPr>
            </w:pPr>
            <w:r w:rsidRPr="0019790A">
              <w:rPr>
                <w:rFonts w:cs="Arial"/>
                <w:szCs w:val="22"/>
              </w:rPr>
              <w:t>4.1.Уніфікація та збалансованість адміністративних послуг, що надаються через ЦНАП.</w:t>
            </w:r>
          </w:p>
          <w:p w14:paraId="098BBB4E" w14:textId="77777777" w:rsidR="005E011C" w:rsidRPr="0019790A" w:rsidRDefault="005E011C" w:rsidP="006D54ED">
            <w:pPr>
              <w:tabs>
                <w:tab w:val="left" w:pos="207"/>
              </w:tabs>
              <w:jc w:val="both"/>
              <w:rPr>
                <w:rFonts w:cs="Arial"/>
                <w:szCs w:val="22"/>
              </w:rPr>
            </w:pPr>
            <w:r w:rsidRPr="0019790A">
              <w:rPr>
                <w:rFonts w:cs="Arial"/>
                <w:szCs w:val="22"/>
              </w:rPr>
              <w:t>4.2.Налагодження конструктивної співпраці із суб’єктами надання адміністративних послуг у впровадженні нових затребуваних напрямках послуг.</w:t>
            </w:r>
          </w:p>
          <w:p w14:paraId="509D6265" w14:textId="77777777" w:rsidR="005E011C" w:rsidRPr="0019790A" w:rsidRDefault="005E011C" w:rsidP="006D54ED">
            <w:pPr>
              <w:tabs>
                <w:tab w:val="left" w:pos="207"/>
              </w:tabs>
              <w:jc w:val="both"/>
              <w:rPr>
                <w:rFonts w:cs="Arial"/>
                <w:szCs w:val="22"/>
              </w:rPr>
            </w:pPr>
            <w:r w:rsidRPr="0019790A">
              <w:rPr>
                <w:rFonts w:cs="Arial"/>
                <w:szCs w:val="22"/>
              </w:rPr>
              <w:t>5.1.Проведення навчальних/ розвантажувальних офлайн - тренінгів для працівників ЦНАП із залученням експертів.</w:t>
            </w:r>
          </w:p>
          <w:p w14:paraId="40D4AC56" w14:textId="77777777" w:rsidR="005E011C" w:rsidRPr="0019790A" w:rsidRDefault="005E011C" w:rsidP="006D54ED">
            <w:pPr>
              <w:tabs>
                <w:tab w:val="left" w:pos="207"/>
              </w:tabs>
              <w:jc w:val="both"/>
              <w:rPr>
                <w:rFonts w:cs="Arial"/>
                <w:szCs w:val="22"/>
              </w:rPr>
            </w:pPr>
            <w:r w:rsidRPr="0019790A">
              <w:rPr>
                <w:rFonts w:cs="Arial"/>
                <w:szCs w:val="22"/>
              </w:rPr>
              <w:t>5.2. Створення комплексної системи мотивації працівників та заохочення нових кандидатів  дефіцитних професій до працевлаштування.</w:t>
            </w:r>
          </w:p>
          <w:p w14:paraId="39E42B72" w14:textId="77777777" w:rsidR="005E011C" w:rsidRPr="0019790A" w:rsidRDefault="005E011C" w:rsidP="006D54ED">
            <w:pPr>
              <w:tabs>
                <w:tab w:val="left" w:pos="207"/>
              </w:tabs>
              <w:jc w:val="both"/>
              <w:rPr>
                <w:rFonts w:cs="Arial"/>
                <w:szCs w:val="22"/>
              </w:rPr>
            </w:pPr>
            <w:r w:rsidRPr="0019790A">
              <w:rPr>
                <w:rFonts w:cs="Arial"/>
                <w:szCs w:val="22"/>
              </w:rPr>
              <w:t>6.1. Залучення працівників інформаційного підрозділу ЦНАП до активної  інформаційної підтримки громадян у соціальних мережах.</w:t>
            </w:r>
          </w:p>
          <w:p w14:paraId="016383D8" w14:textId="77777777" w:rsidR="005E011C" w:rsidRPr="0019790A" w:rsidRDefault="005E011C" w:rsidP="006D54ED">
            <w:pPr>
              <w:tabs>
                <w:tab w:val="left" w:pos="207"/>
              </w:tabs>
              <w:jc w:val="both"/>
              <w:rPr>
                <w:rFonts w:cs="Arial"/>
                <w:szCs w:val="22"/>
              </w:rPr>
            </w:pPr>
            <w:r w:rsidRPr="0019790A">
              <w:rPr>
                <w:rFonts w:cs="Arial"/>
                <w:szCs w:val="22"/>
              </w:rPr>
              <w:t>6.2. Створення власного бренду ЦНАП (логотип та фірмовий стиль).</w:t>
            </w:r>
          </w:p>
        </w:tc>
      </w:tr>
      <w:tr w:rsidR="005E011C" w:rsidRPr="0019790A" w14:paraId="0C8F0170" w14:textId="77777777" w:rsidTr="006D54ED">
        <w:trPr>
          <w:jc w:val="right"/>
        </w:trPr>
        <w:tc>
          <w:tcPr>
            <w:tcW w:w="3423" w:type="dxa"/>
            <w:shd w:val="clear" w:color="auto" w:fill="FFFFFF"/>
            <w:vAlign w:val="center"/>
          </w:tcPr>
          <w:p w14:paraId="7448BC1B" w14:textId="77777777" w:rsidR="005E011C" w:rsidRPr="0019790A" w:rsidRDefault="005E011C" w:rsidP="0019790A">
            <w:pPr>
              <w:rPr>
                <w:rFonts w:cs="Arial"/>
                <w:b/>
                <w:bCs/>
                <w:color w:val="000000"/>
                <w:szCs w:val="22"/>
              </w:rPr>
            </w:pPr>
            <w:r w:rsidRPr="0019790A">
              <w:rPr>
                <w:rFonts w:cs="Arial"/>
                <w:b/>
                <w:bCs/>
                <w:color w:val="000000"/>
                <w:szCs w:val="22"/>
              </w:rPr>
              <w:t>Індикатори (показники) результативності:</w:t>
            </w:r>
          </w:p>
        </w:tc>
        <w:tc>
          <w:tcPr>
            <w:tcW w:w="6796" w:type="dxa"/>
            <w:gridSpan w:val="6"/>
            <w:vAlign w:val="center"/>
          </w:tcPr>
          <w:p w14:paraId="25654A27" w14:textId="77777777" w:rsidR="005E011C" w:rsidRPr="0019790A" w:rsidRDefault="005E011C" w:rsidP="006D54ED">
            <w:pPr>
              <w:tabs>
                <w:tab w:val="left" w:pos="207"/>
              </w:tabs>
              <w:jc w:val="both"/>
              <w:rPr>
                <w:rFonts w:cs="Arial"/>
                <w:b/>
                <w:bCs/>
                <w:szCs w:val="22"/>
                <w:lang w:eastAsia="it-IT"/>
              </w:rPr>
            </w:pPr>
            <w:r w:rsidRPr="0019790A">
              <w:rPr>
                <w:rFonts w:cs="Arial"/>
                <w:b/>
                <w:bCs/>
                <w:szCs w:val="22"/>
                <w:lang w:eastAsia="it-IT"/>
              </w:rPr>
              <w:t>1. Індикатори процесу (що робимо?)</w:t>
            </w:r>
          </w:p>
          <w:p w14:paraId="39DA74D6" w14:textId="77777777" w:rsidR="005E011C" w:rsidRPr="0019790A" w:rsidRDefault="005E011C" w:rsidP="006D54ED">
            <w:pPr>
              <w:tabs>
                <w:tab w:val="left" w:pos="207"/>
              </w:tabs>
              <w:jc w:val="both"/>
              <w:rPr>
                <w:rFonts w:cs="Arial"/>
                <w:szCs w:val="22"/>
                <w:lang w:eastAsia="it-IT"/>
              </w:rPr>
            </w:pPr>
            <w:r w:rsidRPr="0019790A">
              <w:rPr>
                <w:rFonts w:cs="Arial"/>
                <w:szCs w:val="22"/>
                <w:lang w:eastAsia="it-IT"/>
              </w:rPr>
              <w:t>1.1.Проведено благоустрій прилеглої території ЦНАП (озеленення, встановлення лавок, урн, ліхтарів).</w:t>
            </w:r>
          </w:p>
          <w:p w14:paraId="0CC11834" w14:textId="77777777" w:rsidR="005E011C" w:rsidRPr="0019790A" w:rsidRDefault="005E011C" w:rsidP="006D54ED">
            <w:pPr>
              <w:tabs>
                <w:tab w:val="left" w:pos="207"/>
              </w:tabs>
              <w:jc w:val="both"/>
              <w:rPr>
                <w:rFonts w:cs="Arial"/>
                <w:szCs w:val="22"/>
                <w:lang w:eastAsia="it-IT"/>
              </w:rPr>
            </w:pPr>
            <w:r w:rsidRPr="0019790A">
              <w:rPr>
                <w:rFonts w:cs="Arial"/>
                <w:szCs w:val="22"/>
                <w:lang w:eastAsia="it-IT"/>
              </w:rPr>
              <w:t>1.2.Завершено косметичний ремонт зали прийому громадян.</w:t>
            </w:r>
          </w:p>
          <w:p w14:paraId="66CA29ED" w14:textId="77777777" w:rsidR="005E011C" w:rsidRPr="0019790A" w:rsidRDefault="005E011C" w:rsidP="006D54ED">
            <w:pPr>
              <w:tabs>
                <w:tab w:val="left" w:pos="207"/>
              </w:tabs>
              <w:jc w:val="both"/>
              <w:rPr>
                <w:rFonts w:cs="Arial"/>
                <w:szCs w:val="22"/>
                <w:lang w:eastAsia="it-IT"/>
              </w:rPr>
            </w:pPr>
            <w:r w:rsidRPr="0019790A">
              <w:rPr>
                <w:rFonts w:cs="Arial"/>
                <w:szCs w:val="22"/>
                <w:lang w:eastAsia="it-IT"/>
              </w:rPr>
              <w:t>1.3.Придбано та встановлено кондиціонери.</w:t>
            </w:r>
          </w:p>
          <w:p w14:paraId="74B75B49" w14:textId="77777777" w:rsidR="005E011C" w:rsidRPr="0019790A" w:rsidRDefault="005E011C" w:rsidP="006D54ED">
            <w:pPr>
              <w:tabs>
                <w:tab w:val="left" w:pos="207"/>
              </w:tabs>
              <w:jc w:val="both"/>
              <w:rPr>
                <w:rFonts w:cs="Arial"/>
                <w:szCs w:val="22"/>
                <w:lang w:eastAsia="it-IT"/>
              </w:rPr>
            </w:pPr>
            <w:r w:rsidRPr="0019790A">
              <w:rPr>
                <w:rFonts w:cs="Arial"/>
                <w:szCs w:val="22"/>
                <w:lang w:eastAsia="it-IT"/>
              </w:rPr>
              <w:t>1.4.Придбано службовий мікроавтобус для мобільного обслуговування.</w:t>
            </w:r>
          </w:p>
          <w:p w14:paraId="3935F8D4" w14:textId="4DDF776B" w:rsidR="005E011C" w:rsidRPr="0019790A" w:rsidRDefault="005E011C" w:rsidP="006D54ED">
            <w:pPr>
              <w:tabs>
                <w:tab w:val="left" w:pos="207"/>
              </w:tabs>
              <w:jc w:val="both"/>
              <w:rPr>
                <w:rFonts w:cs="Arial"/>
                <w:szCs w:val="22"/>
                <w:lang w:eastAsia="it-IT"/>
              </w:rPr>
            </w:pPr>
            <w:r w:rsidRPr="0019790A">
              <w:rPr>
                <w:rFonts w:cs="Arial"/>
                <w:szCs w:val="22"/>
                <w:lang w:eastAsia="it-IT"/>
              </w:rPr>
              <w:t xml:space="preserve">1.5.Створено офіційний </w:t>
            </w:r>
            <w:r w:rsidR="006D54ED" w:rsidRPr="0019790A">
              <w:rPr>
                <w:rFonts w:cs="Arial"/>
                <w:szCs w:val="22"/>
                <w:lang w:eastAsia="it-IT"/>
              </w:rPr>
              <w:t>веб-сайт</w:t>
            </w:r>
            <w:r w:rsidRPr="0019790A">
              <w:rPr>
                <w:rFonts w:cs="Arial"/>
                <w:szCs w:val="22"/>
                <w:lang w:eastAsia="it-IT"/>
              </w:rPr>
              <w:t xml:space="preserve"> ЦНАП.</w:t>
            </w:r>
          </w:p>
          <w:p w14:paraId="6697B9DA" w14:textId="77777777" w:rsidR="005E011C" w:rsidRPr="0019790A" w:rsidRDefault="005E011C" w:rsidP="006D54ED">
            <w:pPr>
              <w:tabs>
                <w:tab w:val="left" w:pos="207"/>
              </w:tabs>
              <w:jc w:val="both"/>
              <w:rPr>
                <w:rFonts w:cs="Arial"/>
                <w:szCs w:val="22"/>
                <w:lang w:eastAsia="it-IT"/>
              </w:rPr>
            </w:pPr>
            <w:r w:rsidRPr="0019790A">
              <w:rPr>
                <w:rFonts w:cs="Arial"/>
                <w:szCs w:val="22"/>
                <w:lang w:eastAsia="it-IT"/>
              </w:rPr>
              <w:t>1.6.Придбано не менше 8 одиниць сучасної комп’ютерної техніки.</w:t>
            </w:r>
          </w:p>
          <w:p w14:paraId="65C1BC0E" w14:textId="77777777" w:rsidR="005E011C" w:rsidRPr="0019790A" w:rsidRDefault="005E011C" w:rsidP="006D54ED">
            <w:pPr>
              <w:tabs>
                <w:tab w:val="left" w:pos="207"/>
              </w:tabs>
              <w:jc w:val="both"/>
              <w:rPr>
                <w:rFonts w:cs="Arial"/>
                <w:szCs w:val="22"/>
                <w:lang w:eastAsia="it-IT"/>
              </w:rPr>
            </w:pPr>
            <w:r w:rsidRPr="0019790A">
              <w:rPr>
                <w:rFonts w:cs="Arial"/>
                <w:szCs w:val="22"/>
                <w:lang w:eastAsia="it-IT"/>
              </w:rPr>
              <w:t>1.7.Проведено не менше 4 навчальних/розвантажувальних тренінгів для персоналу.</w:t>
            </w:r>
          </w:p>
          <w:p w14:paraId="54585973" w14:textId="77777777" w:rsidR="005E011C" w:rsidRPr="0019790A" w:rsidRDefault="005E011C" w:rsidP="006D54ED">
            <w:pPr>
              <w:tabs>
                <w:tab w:val="left" w:pos="207"/>
              </w:tabs>
              <w:jc w:val="both"/>
              <w:rPr>
                <w:rFonts w:cs="Arial"/>
                <w:szCs w:val="22"/>
                <w:lang w:eastAsia="it-IT"/>
              </w:rPr>
            </w:pPr>
            <w:r w:rsidRPr="0019790A">
              <w:rPr>
                <w:rFonts w:cs="Arial"/>
                <w:szCs w:val="22"/>
                <w:lang w:eastAsia="it-IT"/>
              </w:rPr>
              <w:t>1.8.Розроблено логотип і фірмовий стиль ЦНАП.</w:t>
            </w:r>
          </w:p>
          <w:p w14:paraId="5C6C6DFD" w14:textId="77777777" w:rsidR="005E011C" w:rsidRPr="0019790A" w:rsidRDefault="005E011C" w:rsidP="006D54ED">
            <w:pPr>
              <w:tabs>
                <w:tab w:val="left" w:pos="207"/>
              </w:tabs>
              <w:jc w:val="both"/>
              <w:rPr>
                <w:rFonts w:cs="Arial"/>
                <w:szCs w:val="22"/>
                <w:lang w:eastAsia="it-IT"/>
              </w:rPr>
            </w:pPr>
            <w:r w:rsidRPr="0019790A">
              <w:rPr>
                <w:rFonts w:cs="Arial"/>
                <w:szCs w:val="22"/>
                <w:lang w:eastAsia="it-IT"/>
              </w:rPr>
              <w:t>1.9.Оновлено систему внутрішньої нормативної документації.</w:t>
            </w:r>
          </w:p>
          <w:p w14:paraId="46C45B40" w14:textId="77777777" w:rsidR="005E011C" w:rsidRPr="0019790A" w:rsidRDefault="005E011C" w:rsidP="006D54ED">
            <w:pPr>
              <w:tabs>
                <w:tab w:val="left" w:pos="207"/>
              </w:tabs>
              <w:jc w:val="both"/>
              <w:rPr>
                <w:rFonts w:cs="Arial"/>
                <w:b/>
                <w:bCs/>
                <w:szCs w:val="22"/>
                <w:lang w:eastAsia="it-IT"/>
              </w:rPr>
            </w:pPr>
            <w:r w:rsidRPr="0019790A">
              <w:rPr>
                <w:rFonts w:cs="Arial"/>
                <w:b/>
                <w:bCs/>
                <w:szCs w:val="22"/>
                <w:lang w:eastAsia="it-IT"/>
              </w:rPr>
              <w:t>2. Індикатори результату (що змінилося?)</w:t>
            </w:r>
          </w:p>
          <w:p w14:paraId="75ED8601" w14:textId="77777777" w:rsidR="005E011C" w:rsidRPr="0019790A" w:rsidRDefault="005E011C" w:rsidP="006D54ED">
            <w:pPr>
              <w:tabs>
                <w:tab w:val="left" w:pos="207"/>
              </w:tabs>
              <w:jc w:val="both"/>
              <w:rPr>
                <w:rFonts w:cs="Arial"/>
                <w:szCs w:val="22"/>
                <w:lang w:eastAsia="it-IT"/>
              </w:rPr>
            </w:pPr>
            <w:r w:rsidRPr="0019790A">
              <w:rPr>
                <w:rFonts w:cs="Arial"/>
                <w:szCs w:val="22"/>
                <w:lang w:eastAsia="it-IT"/>
              </w:rPr>
              <w:t>2.1.Збільшено кількість мешканців, які отримують послуги через мобільний офіс – не менше 500 осіб на рік.</w:t>
            </w:r>
          </w:p>
          <w:p w14:paraId="343AD9D0" w14:textId="77777777" w:rsidR="005E011C" w:rsidRPr="0019790A" w:rsidRDefault="005E011C" w:rsidP="006D54ED">
            <w:pPr>
              <w:tabs>
                <w:tab w:val="left" w:pos="207"/>
              </w:tabs>
              <w:jc w:val="both"/>
              <w:rPr>
                <w:rFonts w:cs="Arial"/>
                <w:szCs w:val="22"/>
                <w:lang w:eastAsia="it-IT"/>
              </w:rPr>
            </w:pPr>
            <w:r w:rsidRPr="0019790A">
              <w:rPr>
                <w:rFonts w:cs="Arial"/>
                <w:szCs w:val="22"/>
                <w:lang w:eastAsia="it-IT"/>
              </w:rPr>
              <w:t>2.2.Зменшено середній час очікування на послугу до 15 хвилин.</w:t>
            </w:r>
          </w:p>
          <w:p w14:paraId="50C2C75E" w14:textId="77777777" w:rsidR="005E011C" w:rsidRPr="0019790A" w:rsidRDefault="005E011C" w:rsidP="006D54ED">
            <w:pPr>
              <w:tabs>
                <w:tab w:val="left" w:pos="207"/>
              </w:tabs>
              <w:jc w:val="both"/>
              <w:rPr>
                <w:rFonts w:cs="Arial"/>
                <w:szCs w:val="22"/>
                <w:lang w:eastAsia="it-IT"/>
              </w:rPr>
            </w:pPr>
            <w:r w:rsidRPr="0019790A">
              <w:rPr>
                <w:rFonts w:cs="Arial"/>
                <w:szCs w:val="22"/>
                <w:lang w:eastAsia="it-IT"/>
              </w:rPr>
              <w:t>2.3.Онлайн-запити через сайт зросли на 20% упродовж року.</w:t>
            </w:r>
          </w:p>
          <w:p w14:paraId="5B6753F0" w14:textId="77777777" w:rsidR="005E011C" w:rsidRPr="0019790A" w:rsidRDefault="005E011C" w:rsidP="006D54ED">
            <w:pPr>
              <w:tabs>
                <w:tab w:val="left" w:pos="207"/>
              </w:tabs>
              <w:jc w:val="both"/>
              <w:rPr>
                <w:rFonts w:cs="Arial"/>
                <w:szCs w:val="22"/>
                <w:lang w:eastAsia="it-IT"/>
              </w:rPr>
            </w:pPr>
            <w:r w:rsidRPr="0019790A">
              <w:rPr>
                <w:rFonts w:cs="Arial"/>
                <w:szCs w:val="22"/>
                <w:lang w:eastAsia="it-IT"/>
              </w:rPr>
              <w:t>2.4.На 85% підвищено продуктивність працівників.</w:t>
            </w:r>
          </w:p>
          <w:p w14:paraId="260C0285" w14:textId="77777777" w:rsidR="005E011C" w:rsidRPr="0019790A" w:rsidRDefault="005E011C" w:rsidP="006D54ED">
            <w:pPr>
              <w:tabs>
                <w:tab w:val="left" w:pos="207"/>
              </w:tabs>
              <w:jc w:val="both"/>
              <w:rPr>
                <w:rFonts w:cs="Arial"/>
                <w:szCs w:val="22"/>
                <w:lang w:eastAsia="it-IT"/>
              </w:rPr>
            </w:pPr>
            <w:r w:rsidRPr="0019790A">
              <w:rPr>
                <w:rFonts w:cs="Arial"/>
                <w:szCs w:val="22"/>
                <w:lang w:eastAsia="it-IT"/>
              </w:rPr>
              <w:t>2.5.100% працівників пройшли навчання з підвищення кваліфікації.</w:t>
            </w:r>
          </w:p>
          <w:p w14:paraId="35C9641C" w14:textId="77777777" w:rsidR="005E011C" w:rsidRPr="0019790A" w:rsidRDefault="005E011C" w:rsidP="006D54ED">
            <w:pPr>
              <w:tabs>
                <w:tab w:val="left" w:pos="207"/>
              </w:tabs>
              <w:jc w:val="both"/>
              <w:rPr>
                <w:rFonts w:cs="Arial"/>
                <w:szCs w:val="22"/>
                <w:lang w:eastAsia="it-IT"/>
              </w:rPr>
            </w:pPr>
            <w:r w:rsidRPr="0019790A">
              <w:rPr>
                <w:rFonts w:cs="Arial"/>
                <w:szCs w:val="22"/>
                <w:lang w:eastAsia="it-IT"/>
              </w:rPr>
              <w:t xml:space="preserve">2.6.На 10% заохочено нових працівників дефіцитних професій. </w:t>
            </w:r>
          </w:p>
          <w:p w14:paraId="0A125E11" w14:textId="77777777" w:rsidR="005E011C" w:rsidRPr="0019790A" w:rsidRDefault="005E011C" w:rsidP="006D54ED">
            <w:pPr>
              <w:tabs>
                <w:tab w:val="left" w:pos="207"/>
              </w:tabs>
              <w:jc w:val="both"/>
              <w:rPr>
                <w:rFonts w:cs="Arial"/>
                <w:szCs w:val="22"/>
                <w:lang w:eastAsia="it-IT"/>
              </w:rPr>
            </w:pPr>
            <w:r w:rsidRPr="0019790A">
              <w:rPr>
                <w:rFonts w:cs="Arial"/>
                <w:szCs w:val="22"/>
                <w:lang w:eastAsia="it-IT"/>
              </w:rPr>
              <w:t>2.7.Підвищено рівень задоволеності послугами ЦНАП – не менше 85% (за результатами опитування).</w:t>
            </w:r>
          </w:p>
          <w:p w14:paraId="7DAF681F" w14:textId="77777777" w:rsidR="005E011C" w:rsidRPr="0019790A" w:rsidRDefault="005E011C" w:rsidP="006D54ED">
            <w:pPr>
              <w:tabs>
                <w:tab w:val="left" w:pos="207"/>
              </w:tabs>
              <w:jc w:val="both"/>
              <w:rPr>
                <w:rFonts w:cs="Arial"/>
                <w:szCs w:val="22"/>
                <w:lang w:eastAsia="it-IT"/>
              </w:rPr>
            </w:pPr>
            <w:r w:rsidRPr="0019790A">
              <w:rPr>
                <w:rFonts w:cs="Arial"/>
                <w:szCs w:val="22"/>
                <w:lang w:eastAsia="it-IT"/>
              </w:rPr>
              <w:t>2.8.Уніфіковано 100% ключових адміністративних процедур.</w:t>
            </w:r>
          </w:p>
          <w:p w14:paraId="4D3A6512" w14:textId="77777777" w:rsidR="005E011C" w:rsidRPr="0019790A" w:rsidRDefault="005E011C" w:rsidP="006D54ED">
            <w:pPr>
              <w:tabs>
                <w:tab w:val="left" w:pos="207"/>
              </w:tabs>
              <w:jc w:val="both"/>
              <w:rPr>
                <w:rFonts w:cs="Arial"/>
                <w:szCs w:val="22"/>
                <w:lang w:eastAsia="it-IT"/>
              </w:rPr>
            </w:pPr>
            <w:r w:rsidRPr="0019790A">
              <w:rPr>
                <w:rFonts w:cs="Arial"/>
                <w:szCs w:val="22"/>
                <w:lang w:eastAsia="it-IT"/>
              </w:rPr>
              <w:t>2.9.Розширено співпрацю із суб’єктами надання послуг (мінімум 3 нові угоди).</w:t>
            </w:r>
          </w:p>
          <w:p w14:paraId="54444E76" w14:textId="77777777" w:rsidR="005E011C" w:rsidRPr="0019790A" w:rsidRDefault="005E011C" w:rsidP="006D54ED">
            <w:pPr>
              <w:tabs>
                <w:tab w:val="left" w:pos="207"/>
              </w:tabs>
              <w:jc w:val="both"/>
              <w:rPr>
                <w:rFonts w:cs="Arial"/>
                <w:b/>
                <w:bCs/>
                <w:szCs w:val="22"/>
                <w:lang w:eastAsia="it-IT"/>
              </w:rPr>
            </w:pPr>
            <w:r w:rsidRPr="0019790A">
              <w:rPr>
                <w:rFonts w:cs="Arial"/>
                <w:b/>
                <w:bCs/>
                <w:szCs w:val="22"/>
                <w:lang w:eastAsia="it-IT"/>
              </w:rPr>
              <w:t>3. Індикатори впливу (який довгостроковий ефект?)</w:t>
            </w:r>
          </w:p>
          <w:p w14:paraId="5B82E66C" w14:textId="77777777" w:rsidR="005E011C" w:rsidRPr="0019790A" w:rsidRDefault="005E011C" w:rsidP="006D54ED">
            <w:pPr>
              <w:tabs>
                <w:tab w:val="left" w:pos="207"/>
              </w:tabs>
              <w:jc w:val="both"/>
              <w:rPr>
                <w:rFonts w:cs="Arial"/>
                <w:szCs w:val="22"/>
                <w:lang w:eastAsia="it-IT"/>
              </w:rPr>
            </w:pPr>
            <w:r w:rsidRPr="0019790A">
              <w:rPr>
                <w:rFonts w:cs="Arial"/>
                <w:szCs w:val="22"/>
                <w:lang w:eastAsia="it-IT"/>
              </w:rPr>
              <w:t>3.1.Зросла довіра населення до органів місцевого самоврядування через призму ЦНАП (опитування – не менше 80% позитивних оцінок).</w:t>
            </w:r>
          </w:p>
          <w:p w14:paraId="47CEAA1B" w14:textId="77777777" w:rsidR="005E011C" w:rsidRPr="0019790A" w:rsidRDefault="005E011C" w:rsidP="006D54ED">
            <w:pPr>
              <w:tabs>
                <w:tab w:val="left" w:pos="207"/>
              </w:tabs>
              <w:jc w:val="both"/>
              <w:rPr>
                <w:rFonts w:cs="Arial"/>
                <w:szCs w:val="22"/>
                <w:lang w:eastAsia="it-IT"/>
              </w:rPr>
            </w:pPr>
            <w:r w:rsidRPr="0019790A">
              <w:rPr>
                <w:rFonts w:cs="Arial"/>
                <w:szCs w:val="22"/>
                <w:lang w:eastAsia="it-IT"/>
              </w:rPr>
              <w:t>3.2.Підвищено якість життя в громаді через зручність та прозорість отримання адміністративних послуг.</w:t>
            </w:r>
          </w:p>
          <w:p w14:paraId="5E60A4B9" w14:textId="77777777" w:rsidR="005E011C" w:rsidRPr="0019790A" w:rsidRDefault="005E011C" w:rsidP="006D54ED">
            <w:pPr>
              <w:tabs>
                <w:tab w:val="left" w:pos="207"/>
              </w:tabs>
              <w:jc w:val="both"/>
              <w:rPr>
                <w:rFonts w:cs="Arial"/>
                <w:szCs w:val="22"/>
                <w:lang w:eastAsia="it-IT"/>
              </w:rPr>
            </w:pPr>
            <w:r w:rsidRPr="0019790A">
              <w:rPr>
                <w:rFonts w:cs="Arial"/>
                <w:szCs w:val="22"/>
                <w:lang w:eastAsia="it-IT"/>
              </w:rPr>
              <w:t>3.3.Зросло пізнавання ЦНАП серед громадян.</w:t>
            </w:r>
          </w:p>
          <w:p w14:paraId="3C9C4205" w14:textId="77777777" w:rsidR="005E011C" w:rsidRPr="0019790A" w:rsidRDefault="005E011C" w:rsidP="006D54ED">
            <w:pPr>
              <w:tabs>
                <w:tab w:val="left" w:pos="207"/>
              </w:tabs>
              <w:jc w:val="both"/>
              <w:rPr>
                <w:rFonts w:cs="Arial"/>
                <w:szCs w:val="22"/>
                <w:lang w:eastAsia="it-IT"/>
              </w:rPr>
            </w:pPr>
            <w:r w:rsidRPr="0019790A">
              <w:rPr>
                <w:rFonts w:cs="Arial"/>
                <w:szCs w:val="22"/>
                <w:lang w:eastAsia="it-IT"/>
              </w:rPr>
              <w:t>3.4.Забезпечено рівний доступ до адміністративних послуг усіх категорій населення, включаючи маломобільні групи.</w:t>
            </w:r>
          </w:p>
          <w:p w14:paraId="519D9A79" w14:textId="77777777" w:rsidR="005E011C" w:rsidRPr="0019790A" w:rsidRDefault="005E011C" w:rsidP="006D54ED">
            <w:pPr>
              <w:tabs>
                <w:tab w:val="left" w:pos="207"/>
              </w:tabs>
              <w:jc w:val="both"/>
              <w:rPr>
                <w:rFonts w:cs="Arial"/>
                <w:szCs w:val="22"/>
                <w:lang w:eastAsia="it-IT"/>
              </w:rPr>
            </w:pPr>
            <w:r w:rsidRPr="0019790A">
              <w:rPr>
                <w:rFonts w:cs="Arial"/>
                <w:szCs w:val="22"/>
                <w:lang w:eastAsia="it-IT"/>
              </w:rPr>
              <w:t>3.5.Покращено ефективність праці персоналу ЦНАП.</w:t>
            </w:r>
          </w:p>
          <w:p w14:paraId="263BF9F0" w14:textId="77777777" w:rsidR="005E011C" w:rsidRPr="0019790A" w:rsidRDefault="005E011C" w:rsidP="006D54ED">
            <w:pPr>
              <w:tabs>
                <w:tab w:val="left" w:pos="207"/>
              </w:tabs>
              <w:jc w:val="both"/>
              <w:rPr>
                <w:rFonts w:cs="Arial"/>
                <w:szCs w:val="22"/>
                <w:lang w:eastAsia="it-IT"/>
              </w:rPr>
            </w:pPr>
            <w:r w:rsidRPr="0019790A">
              <w:rPr>
                <w:rFonts w:cs="Arial"/>
                <w:szCs w:val="22"/>
                <w:lang w:eastAsia="it-IT"/>
              </w:rPr>
              <w:t>3.6.Покращено умови та зменшено перевантаженість персоналу ЦНАП.</w:t>
            </w:r>
          </w:p>
          <w:p w14:paraId="65F027D4" w14:textId="77777777" w:rsidR="005E011C" w:rsidRPr="0019790A" w:rsidRDefault="005E011C" w:rsidP="006D54ED">
            <w:pPr>
              <w:tabs>
                <w:tab w:val="left" w:pos="207"/>
              </w:tabs>
              <w:jc w:val="both"/>
              <w:rPr>
                <w:rFonts w:cs="Arial"/>
                <w:szCs w:val="22"/>
              </w:rPr>
            </w:pPr>
            <w:r w:rsidRPr="0019790A">
              <w:rPr>
                <w:rFonts w:cs="Arial"/>
                <w:szCs w:val="22"/>
              </w:rPr>
              <w:t>3.7.Заохочено нових кандидатів  дефіцитних професій до працевлаштування в ЦНАП.</w:t>
            </w:r>
          </w:p>
          <w:p w14:paraId="4934E055" w14:textId="77777777" w:rsidR="005E011C" w:rsidRPr="0019790A" w:rsidRDefault="005E011C" w:rsidP="006D54ED">
            <w:pPr>
              <w:tabs>
                <w:tab w:val="left" w:pos="207"/>
              </w:tabs>
              <w:jc w:val="both"/>
              <w:rPr>
                <w:rFonts w:cs="Arial"/>
                <w:szCs w:val="22"/>
                <w:lang w:eastAsia="it-IT"/>
              </w:rPr>
            </w:pPr>
          </w:p>
        </w:tc>
      </w:tr>
      <w:tr w:rsidR="005E011C" w:rsidRPr="0019790A" w14:paraId="17009A31" w14:textId="77777777" w:rsidTr="006D54ED">
        <w:trPr>
          <w:jc w:val="right"/>
        </w:trPr>
        <w:tc>
          <w:tcPr>
            <w:tcW w:w="3423" w:type="dxa"/>
            <w:shd w:val="clear" w:color="auto" w:fill="FFFFFF"/>
            <w:vAlign w:val="center"/>
          </w:tcPr>
          <w:p w14:paraId="6536D005" w14:textId="77777777" w:rsidR="005E011C" w:rsidRPr="0019790A" w:rsidRDefault="005E011C" w:rsidP="0019790A">
            <w:pPr>
              <w:rPr>
                <w:rFonts w:cs="Arial"/>
                <w:b/>
                <w:color w:val="000000"/>
                <w:szCs w:val="22"/>
              </w:rPr>
            </w:pPr>
            <w:r w:rsidRPr="0019790A">
              <w:rPr>
                <w:rFonts w:cs="Arial"/>
                <w:b/>
                <w:color w:val="000000"/>
                <w:szCs w:val="22"/>
              </w:rPr>
              <w:t xml:space="preserve">Період здійснення: </w:t>
            </w:r>
          </w:p>
        </w:tc>
        <w:tc>
          <w:tcPr>
            <w:tcW w:w="6796" w:type="dxa"/>
            <w:gridSpan w:val="6"/>
            <w:vAlign w:val="center"/>
          </w:tcPr>
          <w:p w14:paraId="02D741B6" w14:textId="77777777" w:rsidR="005E011C" w:rsidRPr="0019790A" w:rsidRDefault="005E011C" w:rsidP="006D54ED">
            <w:pPr>
              <w:tabs>
                <w:tab w:val="left" w:pos="207"/>
              </w:tabs>
              <w:jc w:val="both"/>
              <w:rPr>
                <w:rFonts w:cs="Arial"/>
                <w:color w:val="000000"/>
                <w:szCs w:val="22"/>
                <w:lang w:eastAsia="it-IT"/>
              </w:rPr>
            </w:pPr>
            <w:r w:rsidRPr="0019790A">
              <w:rPr>
                <w:rFonts w:cs="Arial"/>
                <w:b/>
                <w:color w:val="000000"/>
                <w:szCs w:val="22"/>
              </w:rPr>
              <w:t>2025 – 2027 роки:</w:t>
            </w:r>
          </w:p>
        </w:tc>
      </w:tr>
      <w:tr w:rsidR="005E011C" w:rsidRPr="0019790A" w14:paraId="750AF854" w14:textId="77777777" w:rsidTr="006D54ED">
        <w:trPr>
          <w:jc w:val="right"/>
        </w:trPr>
        <w:tc>
          <w:tcPr>
            <w:tcW w:w="3423" w:type="dxa"/>
            <w:vMerge w:val="restart"/>
            <w:shd w:val="clear" w:color="auto" w:fill="FFFFFF"/>
            <w:vAlign w:val="center"/>
          </w:tcPr>
          <w:p w14:paraId="0D2810B0" w14:textId="77777777" w:rsidR="005E011C" w:rsidRPr="0019790A" w:rsidRDefault="005E011C" w:rsidP="0019790A">
            <w:pPr>
              <w:rPr>
                <w:rFonts w:cs="Arial"/>
                <w:b/>
                <w:bCs/>
                <w:color w:val="000000"/>
                <w:szCs w:val="22"/>
              </w:rPr>
            </w:pPr>
            <w:r w:rsidRPr="0019790A">
              <w:rPr>
                <w:rFonts w:cs="Arial"/>
                <w:b/>
                <w:bCs/>
                <w:color w:val="000000"/>
                <w:szCs w:val="22"/>
              </w:rPr>
              <w:t>Орієнтовна вартість проєкту, тис. грн., в тому числі:</w:t>
            </w:r>
          </w:p>
        </w:tc>
        <w:tc>
          <w:tcPr>
            <w:tcW w:w="1256" w:type="dxa"/>
            <w:shd w:val="clear" w:color="auto" w:fill="E6E6E6"/>
            <w:vAlign w:val="center"/>
          </w:tcPr>
          <w:p w14:paraId="5514F3F9" w14:textId="77777777" w:rsidR="005E011C" w:rsidRPr="0019790A" w:rsidRDefault="005E011C" w:rsidP="006D54ED">
            <w:pPr>
              <w:tabs>
                <w:tab w:val="left" w:pos="207"/>
              </w:tabs>
              <w:jc w:val="center"/>
              <w:rPr>
                <w:rFonts w:cs="Arial"/>
                <w:b/>
                <w:color w:val="000000"/>
                <w:szCs w:val="22"/>
                <w:lang w:eastAsia="it-IT"/>
              </w:rPr>
            </w:pPr>
            <w:r w:rsidRPr="0019790A">
              <w:rPr>
                <w:rFonts w:cs="Arial"/>
                <w:b/>
                <w:color w:val="000000"/>
                <w:szCs w:val="22"/>
                <w:lang w:eastAsia="it-IT"/>
              </w:rPr>
              <w:t>2025</w:t>
            </w:r>
          </w:p>
        </w:tc>
        <w:tc>
          <w:tcPr>
            <w:tcW w:w="1275" w:type="dxa"/>
            <w:shd w:val="clear" w:color="auto" w:fill="E6E6E6"/>
            <w:vAlign w:val="center"/>
          </w:tcPr>
          <w:p w14:paraId="1FE06E9A" w14:textId="77777777" w:rsidR="005E011C" w:rsidRPr="0019790A" w:rsidRDefault="005E011C" w:rsidP="006D54ED">
            <w:pPr>
              <w:tabs>
                <w:tab w:val="left" w:pos="207"/>
              </w:tabs>
              <w:jc w:val="center"/>
              <w:rPr>
                <w:rFonts w:cs="Arial"/>
                <w:b/>
                <w:color w:val="000000"/>
                <w:szCs w:val="22"/>
                <w:lang w:eastAsia="it-IT"/>
              </w:rPr>
            </w:pPr>
            <w:r w:rsidRPr="0019790A">
              <w:rPr>
                <w:rFonts w:cs="Arial"/>
                <w:b/>
                <w:color w:val="000000"/>
                <w:szCs w:val="22"/>
                <w:lang w:eastAsia="it-IT"/>
              </w:rPr>
              <w:t>2026</w:t>
            </w:r>
          </w:p>
        </w:tc>
        <w:tc>
          <w:tcPr>
            <w:tcW w:w="1418" w:type="dxa"/>
            <w:tcBorders>
              <w:bottom w:val="single" w:sz="4" w:space="0" w:color="auto"/>
            </w:tcBorders>
            <w:shd w:val="clear" w:color="auto" w:fill="E6E6E6"/>
            <w:vAlign w:val="center"/>
          </w:tcPr>
          <w:p w14:paraId="7FFFC6EF" w14:textId="77777777" w:rsidR="005E011C" w:rsidRPr="0019790A" w:rsidRDefault="005E011C" w:rsidP="006D54ED">
            <w:pPr>
              <w:tabs>
                <w:tab w:val="left" w:pos="207"/>
              </w:tabs>
              <w:jc w:val="center"/>
              <w:rPr>
                <w:rFonts w:cs="Arial"/>
                <w:b/>
                <w:color w:val="000000"/>
                <w:szCs w:val="22"/>
                <w:lang w:eastAsia="it-IT"/>
              </w:rPr>
            </w:pPr>
            <w:r w:rsidRPr="0019790A">
              <w:rPr>
                <w:rFonts w:cs="Arial"/>
                <w:b/>
                <w:color w:val="000000"/>
                <w:szCs w:val="22"/>
                <w:lang w:eastAsia="it-IT"/>
              </w:rPr>
              <w:t>2027</w:t>
            </w:r>
          </w:p>
        </w:tc>
        <w:tc>
          <w:tcPr>
            <w:tcW w:w="1276" w:type="dxa"/>
            <w:shd w:val="clear" w:color="auto" w:fill="E6E6E6"/>
            <w:vAlign w:val="center"/>
          </w:tcPr>
          <w:p w14:paraId="127FB97C" w14:textId="77777777" w:rsidR="005E011C" w:rsidRPr="0019790A" w:rsidRDefault="005E011C" w:rsidP="006D54ED">
            <w:pPr>
              <w:tabs>
                <w:tab w:val="left" w:pos="207"/>
              </w:tabs>
              <w:jc w:val="center"/>
              <w:rPr>
                <w:rFonts w:cs="Arial"/>
                <w:b/>
                <w:color w:val="000000"/>
                <w:szCs w:val="22"/>
                <w:lang w:eastAsia="it-IT"/>
              </w:rPr>
            </w:pPr>
            <w:r w:rsidRPr="0019790A">
              <w:rPr>
                <w:rFonts w:cs="Arial"/>
                <w:b/>
                <w:color w:val="000000"/>
                <w:szCs w:val="22"/>
                <w:lang w:eastAsia="it-IT"/>
              </w:rPr>
              <w:t>2028</w:t>
            </w:r>
          </w:p>
        </w:tc>
        <w:tc>
          <w:tcPr>
            <w:tcW w:w="1571" w:type="dxa"/>
            <w:gridSpan w:val="2"/>
            <w:shd w:val="clear" w:color="auto" w:fill="E6E6E6"/>
            <w:vAlign w:val="center"/>
          </w:tcPr>
          <w:p w14:paraId="48FB8ADC" w14:textId="77777777" w:rsidR="005E011C" w:rsidRPr="0019790A" w:rsidRDefault="005E011C" w:rsidP="006D54ED">
            <w:pPr>
              <w:tabs>
                <w:tab w:val="left" w:pos="207"/>
              </w:tabs>
              <w:jc w:val="center"/>
              <w:rPr>
                <w:rFonts w:cs="Arial"/>
                <w:b/>
                <w:color w:val="000000"/>
                <w:szCs w:val="22"/>
                <w:lang w:eastAsia="it-IT"/>
              </w:rPr>
            </w:pPr>
            <w:r w:rsidRPr="0019790A">
              <w:rPr>
                <w:rFonts w:cs="Arial"/>
                <w:b/>
                <w:color w:val="000000"/>
                <w:szCs w:val="22"/>
                <w:lang w:eastAsia="it-IT"/>
              </w:rPr>
              <w:t>РАЗОМ</w:t>
            </w:r>
          </w:p>
        </w:tc>
      </w:tr>
      <w:tr w:rsidR="005E011C" w:rsidRPr="0019790A" w14:paraId="1CB1D09F" w14:textId="77777777" w:rsidTr="006D54ED">
        <w:trPr>
          <w:jc w:val="right"/>
        </w:trPr>
        <w:tc>
          <w:tcPr>
            <w:tcW w:w="3423" w:type="dxa"/>
            <w:vMerge/>
            <w:shd w:val="clear" w:color="auto" w:fill="FFFFFF"/>
            <w:vAlign w:val="center"/>
          </w:tcPr>
          <w:p w14:paraId="40E5A9A0" w14:textId="77777777" w:rsidR="005E011C" w:rsidRPr="0019790A" w:rsidRDefault="005E011C" w:rsidP="0019790A">
            <w:pPr>
              <w:rPr>
                <w:rFonts w:cs="Arial"/>
                <w:b/>
                <w:bCs/>
                <w:color w:val="000000"/>
                <w:szCs w:val="22"/>
              </w:rPr>
            </w:pPr>
          </w:p>
        </w:tc>
        <w:tc>
          <w:tcPr>
            <w:tcW w:w="1256" w:type="dxa"/>
            <w:vAlign w:val="center"/>
          </w:tcPr>
          <w:p w14:paraId="45A92362" w14:textId="77777777" w:rsidR="005E011C" w:rsidRPr="0019790A" w:rsidRDefault="005E011C" w:rsidP="006D54ED">
            <w:pPr>
              <w:tabs>
                <w:tab w:val="left" w:pos="207"/>
              </w:tabs>
              <w:jc w:val="center"/>
              <w:rPr>
                <w:rFonts w:cs="Arial"/>
                <w:b/>
                <w:color w:val="000000"/>
                <w:szCs w:val="22"/>
                <w:lang w:eastAsia="it-IT"/>
              </w:rPr>
            </w:pPr>
            <w:r w:rsidRPr="0019790A">
              <w:rPr>
                <w:rFonts w:cs="Arial"/>
                <w:b/>
                <w:color w:val="000000"/>
                <w:szCs w:val="22"/>
                <w:lang w:eastAsia="it-IT"/>
              </w:rPr>
              <w:t>2003</w:t>
            </w:r>
          </w:p>
        </w:tc>
        <w:tc>
          <w:tcPr>
            <w:tcW w:w="1275" w:type="dxa"/>
            <w:shd w:val="clear" w:color="auto" w:fill="FFFFFF"/>
            <w:vAlign w:val="center"/>
          </w:tcPr>
          <w:p w14:paraId="04BF52A7" w14:textId="77777777" w:rsidR="005E011C" w:rsidRPr="0019790A" w:rsidRDefault="005E011C" w:rsidP="006D54ED">
            <w:pPr>
              <w:tabs>
                <w:tab w:val="left" w:pos="207"/>
              </w:tabs>
              <w:jc w:val="center"/>
              <w:rPr>
                <w:rFonts w:cs="Arial"/>
                <w:b/>
                <w:color w:val="000000"/>
                <w:szCs w:val="22"/>
                <w:lang w:eastAsia="it-IT"/>
              </w:rPr>
            </w:pPr>
            <w:r w:rsidRPr="0019790A">
              <w:rPr>
                <w:rFonts w:cs="Arial"/>
                <w:b/>
                <w:color w:val="000000"/>
                <w:szCs w:val="22"/>
                <w:lang w:eastAsia="it-IT"/>
              </w:rPr>
              <w:t>1980</w:t>
            </w:r>
          </w:p>
        </w:tc>
        <w:tc>
          <w:tcPr>
            <w:tcW w:w="1418" w:type="dxa"/>
            <w:shd w:val="clear" w:color="auto" w:fill="auto"/>
            <w:vAlign w:val="center"/>
          </w:tcPr>
          <w:p w14:paraId="3AD2814C" w14:textId="77777777" w:rsidR="005E011C" w:rsidRPr="0019790A" w:rsidRDefault="005E011C" w:rsidP="006D54ED">
            <w:pPr>
              <w:tabs>
                <w:tab w:val="left" w:pos="207"/>
              </w:tabs>
              <w:jc w:val="center"/>
              <w:rPr>
                <w:rFonts w:cs="Arial"/>
                <w:b/>
                <w:color w:val="000000"/>
                <w:szCs w:val="22"/>
                <w:lang w:eastAsia="it-IT"/>
              </w:rPr>
            </w:pPr>
            <w:r w:rsidRPr="0019790A">
              <w:rPr>
                <w:rFonts w:cs="Arial"/>
                <w:b/>
                <w:color w:val="000000"/>
                <w:szCs w:val="22"/>
                <w:lang w:eastAsia="it-IT"/>
              </w:rPr>
              <w:t>740</w:t>
            </w:r>
          </w:p>
        </w:tc>
        <w:tc>
          <w:tcPr>
            <w:tcW w:w="1276" w:type="dxa"/>
            <w:shd w:val="clear" w:color="auto" w:fill="FFFFFF"/>
            <w:vAlign w:val="center"/>
          </w:tcPr>
          <w:p w14:paraId="38B71607" w14:textId="77777777" w:rsidR="005E011C" w:rsidRPr="0019790A" w:rsidRDefault="005E011C" w:rsidP="006D54ED">
            <w:pPr>
              <w:tabs>
                <w:tab w:val="left" w:pos="207"/>
              </w:tabs>
              <w:jc w:val="center"/>
              <w:rPr>
                <w:rFonts w:cs="Arial"/>
                <w:b/>
                <w:color w:val="000000"/>
                <w:szCs w:val="22"/>
                <w:lang w:eastAsia="it-IT"/>
              </w:rPr>
            </w:pPr>
          </w:p>
        </w:tc>
        <w:tc>
          <w:tcPr>
            <w:tcW w:w="1571" w:type="dxa"/>
            <w:gridSpan w:val="2"/>
            <w:shd w:val="clear" w:color="auto" w:fill="FFFFFF"/>
            <w:vAlign w:val="center"/>
          </w:tcPr>
          <w:p w14:paraId="62D4E714" w14:textId="77777777" w:rsidR="005E011C" w:rsidRPr="0019790A" w:rsidRDefault="005E011C" w:rsidP="006D54ED">
            <w:pPr>
              <w:tabs>
                <w:tab w:val="left" w:pos="207"/>
              </w:tabs>
              <w:jc w:val="center"/>
              <w:rPr>
                <w:rFonts w:cs="Arial"/>
                <w:b/>
                <w:color w:val="000000"/>
                <w:szCs w:val="22"/>
                <w:lang w:eastAsia="it-IT"/>
              </w:rPr>
            </w:pPr>
            <w:r w:rsidRPr="0019790A">
              <w:rPr>
                <w:rFonts w:cs="Arial"/>
                <w:b/>
                <w:color w:val="000000"/>
                <w:szCs w:val="22"/>
                <w:lang w:eastAsia="it-IT"/>
              </w:rPr>
              <w:t>4 723</w:t>
            </w:r>
          </w:p>
        </w:tc>
      </w:tr>
      <w:tr w:rsidR="005E011C" w:rsidRPr="0019790A" w14:paraId="67C646A6" w14:textId="77777777" w:rsidTr="006D54ED">
        <w:trPr>
          <w:trHeight w:val="276"/>
          <w:jc w:val="right"/>
        </w:trPr>
        <w:tc>
          <w:tcPr>
            <w:tcW w:w="3423" w:type="dxa"/>
            <w:shd w:val="clear" w:color="auto" w:fill="FFFFFF"/>
            <w:vAlign w:val="center"/>
          </w:tcPr>
          <w:p w14:paraId="6C9D1BE1" w14:textId="77777777" w:rsidR="005E011C" w:rsidRPr="0019790A" w:rsidRDefault="005E011C" w:rsidP="0019790A">
            <w:pPr>
              <w:rPr>
                <w:rFonts w:cs="Arial"/>
                <w:b/>
                <w:bCs/>
                <w:color w:val="000000"/>
                <w:szCs w:val="22"/>
              </w:rPr>
            </w:pPr>
            <w:r w:rsidRPr="0019790A">
              <w:rPr>
                <w:rFonts w:cs="Arial"/>
                <w:b/>
                <w:bCs/>
                <w:color w:val="000000"/>
                <w:szCs w:val="22"/>
              </w:rPr>
              <w:t>по джерелах фінансування:</w:t>
            </w:r>
          </w:p>
        </w:tc>
        <w:tc>
          <w:tcPr>
            <w:tcW w:w="1256" w:type="dxa"/>
            <w:vAlign w:val="center"/>
          </w:tcPr>
          <w:p w14:paraId="624388D0" w14:textId="77777777" w:rsidR="005E011C" w:rsidRPr="0019790A" w:rsidRDefault="005E011C" w:rsidP="006D54ED">
            <w:pPr>
              <w:tabs>
                <w:tab w:val="left" w:pos="207"/>
              </w:tabs>
              <w:jc w:val="center"/>
              <w:rPr>
                <w:rFonts w:cs="Arial"/>
                <w:b/>
                <w:color w:val="000000"/>
                <w:szCs w:val="22"/>
                <w:lang w:eastAsia="it-IT"/>
              </w:rPr>
            </w:pPr>
          </w:p>
        </w:tc>
        <w:tc>
          <w:tcPr>
            <w:tcW w:w="1275" w:type="dxa"/>
            <w:vAlign w:val="center"/>
          </w:tcPr>
          <w:p w14:paraId="53E479FD" w14:textId="77777777" w:rsidR="005E011C" w:rsidRPr="0019790A" w:rsidRDefault="005E011C" w:rsidP="006D54ED">
            <w:pPr>
              <w:tabs>
                <w:tab w:val="left" w:pos="207"/>
              </w:tabs>
              <w:jc w:val="center"/>
              <w:rPr>
                <w:rFonts w:cs="Arial"/>
                <w:b/>
                <w:color w:val="000000"/>
                <w:szCs w:val="22"/>
                <w:lang w:eastAsia="it-IT"/>
              </w:rPr>
            </w:pPr>
          </w:p>
        </w:tc>
        <w:tc>
          <w:tcPr>
            <w:tcW w:w="1418" w:type="dxa"/>
            <w:vAlign w:val="center"/>
          </w:tcPr>
          <w:p w14:paraId="7F28C45C" w14:textId="77777777" w:rsidR="005E011C" w:rsidRPr="0019790A" w:rsidRDefault="005E011C" w:rsidP="006D54ED">
            <w:pPr>
              <w:tabs>
                <w:tab w:val="left" w:pos="207"/>
              </w:tabs>
              <w:jc w:val="center"/>
              <w:rPr>
                <w:rFonts w:cs="Arial"/>
                <w:b/>
                <w:color w:val="000000"/>
                <w:szCs w:val="22"/>
                <w:lang w:eastAsia="it-IT"/>
              </w:rPr>
            </w:pPr>
          </w:p>
        </w:tc>
        <w:tc>
          <w:tcPr>
            <w:tcW w:w="1282" w:type="dxa"/>
            <w:gridSpan w:val="2"/>
            <w:vAlign w:val="center"/>
          </w:tcPr>
          <w:p w14:paraId="5A01FB60" w14:textId="77777777" w:rsidR="005E011C" w:rsidRPr="0019790A" w:rsidRDefault="005E011C" w:rsidP="006D54ED">
            <w:pPr>
              <w:tabs>
                <w:tab w:val="left" w:pos="207"/>
              </w:tabs>
              <w:jc w:val="center"/>
              <w:rPr>
                <w:rFonts w:cs="Arial"/>
                <w:b/>
                <w:color w:val="000000"/>
                <w:szCs w:val="22"/>
                <w:lang w:eastAsia="it-IT"/>
              </w:rPr>
            </w:pPr>
          </w:p>
        </w:tc>
        <w:tc>
          <w:tcPr>
            <w:tcW w:w="1565" w:type="dxa"/>
            <w:vAlign w:val="center"/>
          </w:tcPr>
          <w:p w14:paraId="191578C1" w14:textId="77777777" w:rsidR="005E011C" w:rsidRPr="0019790A" w:rsidRDefault="005E011C" w:rsidP="006D54ED">
            <w:pPr>
              <w:tabs>
                <w:tab w:val="left" w:pos="207"/>
              </w:tabs>
              <w:jc w:val="center"/>
              <w:rPr>
                <w:rFonts w:cs="Arial"/>
                <w:b/>
                <w:color w:val="000000"/>
                <w:szCs w:val="22"/>
                <w:lang w:eastAsia="it-IT"/>
              </w:rPr>
            </w:pPr>
          </w:p>
        </w:tc>
      </w:tr>
      <w:tr w:rsidR="005E011C" w:rsidRPr="0019790A" w14:paraId="72291B7C" w14:textId="77777777" w:rsidTr="006D54ED">
        <w:trPr>
          <w:trHeight w:val="240"/>
          <w:jc w:val="right"/>
        </w:trPr>
        <w:tc>
          <w:tcPr>
            <w:tcW w:w="3423" w:type="dxa"/>
            <w:shd w:val="clear" w:color="auto" w:fill="FFFFFF"/>
            <w:vAlign w:val="center"/>
          </w:tcPr>
          <w:p w14:paraId="3C913389" w14:textId="77777777" w:rsidR="005E011C" w:rsidRPr="0019790A" w:rsidRDefault="005E011C" w:rsidP="0019790A">
            <w:pPr>
              <w:rPr>
                <w:rFonts w:cs="Arial"/>
                <w:b/>
                <w:bCs/>
                <w:color w:val="000000"/>
                <w:szCs w:val="22"/>
              </w:rPr>
            </w:pPr>
            <w:r w:rsidRPr="0019790A">
              <w:rPr>
                <w:rFonts w:cs="Arial"/>
                <w:color w:val="000000"/>
                <w:szCs w:val="22"/>
              </w:rPr>
              <w:t>державний бюджет</w:t>
            </w:r>
          </w:p>
        </w:tc>
        <w:tc>
          <w:tcPr>
            <w:tcW w:w="1256" w:type="dxa"/>
            <w:vAlign w:val="center"/>
          </w:tcPr>
          <w:p w14:paraId="2972D175" w14:textId="77777777" w:rsidR="005E011C" w:rsidRPr="0019790A" w:rsidRDefault="005E011C" w:rsidP="006D54ED">
            <w:pPr>
              <w:tabs>
                <w:tab w:val="left" w:pos="207"/>
              </w:tabs>
              <w:jc w:val="center"/>
              <w:rPr>
                <w:rFonts w:cs="Arial"/>
                <w:b/>
                <w:color w:val="000000"/>
                <w:szCs w:val="22"/>
                <w:lang w:eastAsia="it-IT"/>
              </w:rPr>
            </w:pPr>
          </w:p>
        </w:tc>
        <w:tc>
          <w:tcPr>
            <w:tcW w:w="1275" w:type="dxa"/>
            <w:vAlign w:val="center"/>
          </w:tcPr>
          <w:p w14:paraId="34DA424E" w14:textId="77777777" w:rsidR="005E011C" w:rsidRPr="0019790A" w:rsidRDefault="005E011C" w:rsidP="006D54ED">
            <w:pPr>
              <w:tabs>
                <w:tab w:val="left" w:pos="207"/>
              </w:tabs>
              <w:jc w:val="center"/>
              <w:rPr>
                <w:rFonts w:cs="Arial"/>
                <w:b/>
                <w:color w:val="000000"/>
                <w:szCs w:val="22"/>
                <w:lang w:eastAsia="it-IT"/>
              </w:rPr>
            </w:pPr>
          </w:p>
        </w:tc>
        <w:tc>
          <w:tcPr>
            <w:tcW w:w="1418" w:type="dxa"/>
            <w:vAlign w:val="center"/>
          </w:tcPr>
          <w:p w14:paraId="342E8B25" w14:textId="77777777" w:rsidR="005E011C" w:rsidRPr="0019790A" w:rsidRDefault="005E011C" w:rsidP="006D54ED">
            <w:pPr>
              <w:tabs>
                <w:tab w:val="left" w:pos="207"/>
              </w:tabs>
              <w:jc w:val="center"/>
              <w:rPr>
                <w:rFonts w:cs="Arial"/>
                <w:b/>
                <w:color w:val="000000"/>
                <w:szCs w:val="22"/>
                <w:lang w:eastAsia="it-IT"/>
              </w:rPr>
            </w:pPr>
          </w:p>
        </w:tc>
        <w:tc>
          <w:tcPr>
            <w:tcW w:w="1282" w:type="dxa"/>
            <w:gridSpan w:val="2"/>
            <w:vAlign w:val="center"/>
          </w:tcPr>
          <w:p w14:paraId="789CD7FD" w14:textId="77777777" w:rsidR="005E011C" w:rsidRPr="0019790A" w:rsidRDefault="005E011C" w:rsidP="006D54ED">
            <w:pPr>
              <w:tabs>
                <w:tab w:val="left" w:pos="207"/>
              </w:tabs>
              <w:jc w:val="center"/>
              <w:rPr>
                <w:rFonts w:cs="Arial"/>
                <w:b/>
                <w:color w:val="000000"/>
                <w:szCs w:val="22"/>
                <w:lang w:eastAsia="it-IT"/>
              </w:rPr>
            </w:pPr>
          </w:p>
        </w:tc>
        <w:tc>
          <w:tcPr>
            <w:tcW w:w="1565" w:type="dxa"/>
            <w:vAlign w:val="center"/>
          </w:tcPr>
          <w:p w14:paraId="3417050A" w14:textId="77777777" w:rsidR="005E011C" w:rsidRPr="0019790A" w:rsidRDefault="005E011C" w:rsidP="006D54ED">
            <w:pPr>
              <w:tabs>
                <w:tab w:val="left" w:pos="207"/>
              </w:tabs>
              <w:jc w:val="center"/>
              <w:rPr>
                <w:rFonts w:cs="Arial"/>
                <w:b/>
                <w:color w:val="000000"/>
                <w:szCs w:val="22"/>
                <w:lang w:eastAsia="it-IT"/>
              </w:rPr>
            </w:pPr>
          </w:p>
        </w:tc>
      </w:tr>
      <w:tr w:rsidR="005E011C" w:rsidRPr="0019790A" w14:paraId="75796D85" w14:textId="77777777" w:rsidTr="006D54ED">
        <w:trPr>
          <w:trHeight w:val="254"/>
          <w:jc w:val="right"/>
        </w:trPr>
        <w:tc>
          <w:tcPr>
            <w:tcW w:w="3423" w:type="dxa"/>
            <w:shd w:val="clear" w:color="auto" w:fill="FFFFFF"/>
            <w:vAlign w:val="center"/>
          </w:tcPr>
          <w:p w14:paraId="2E104F7F" w14:textId="77777777" w:rsidR="005E011C" w:rsidRPr="0019790A" w:rsidRDefault="005E011C" w:rsidP="0019790A">
            <w:pPr>
              <w:rPr>
                <w:rFonts w:cs="Arial"/>
                <w:color w:val="000000"/>
                <w:szCs w:val="22"/>
              </w:rPr>
            </w:pPr>
            <w:r w:rsidRPr="0019790A">
              <w:rPr>
                <w:rFonts w:cs="Arial"/>
                <w:color w:val="000000"/>
                <w:szCs w:val="22"/>
              </w:rPr>
              <w:t>обласний бюджет</w:t>
            </w:r>
          </w:p>
        </w:tc>
        <w:tc>
          <w:tcPr>
            <w:tcW w:w="1256" w:type="dxa"/>
            <w:vAlign w:val="center"/>
          </w:tcPr>
          <w:p w14:paraId="42C680E5" w14:textId="77777777" w:rsidR="005E011C" w:rsidRPr="0019790A" w:rsidRDefault="005E011C" w:rsidP="006D54ED">
            <w:pPr>
              <w:tabs>
                <w:tab w:val="left" w:pos="207"/>
              </w:tabs>
              <w:jc w:val="center"/>
              <w:rPr>
                <w:rFonts w:cs="Arial"/>
                <w:b/>
                <w:color w:val="000000"/>
                <w:szCs w:val="22"/>
                <w:lang w:eastAsia="it-IT"/>
              </w:rPr>
            </w:pPr>
          </w:p>
        </w:tc>
        <w:tc>
          <w:tcPr>
            <w:tcW w:w="1275" w:type="dxa"/>
            <w:vAlign w:val="center"/>
          </w:tcPr>
          <w:p w14:paraId="544BAF27" w14:textId="77777777" w:rsidR="005E011C" w:rsidRPr="0019790A" w:rsidRDefault="005E011C" w:rsidP="006D54ED">
            <w:pPr>
              <w:tabs>
                <w:tab w:val="left" w:pos="207"/>
              </w:tabs>
              <w:jc w:val="center"/>
              <w:rPr>
                <w:rFonts w:cs="Arial"/>
                <w:b/>
                <w:color w:val="000000"/>
                <w:szCs w:val="22"/>
                <w:lang w:eastAsia="it-IT"/>
              </w:rPr>
            </w:pPr>
          </w:p>
        </w:tc>
        <w:tc>
          <w:tcPr>
            <w:tcW w:w="1418" w:type="dxa"/>
            <w:vAlign w:val="center"/>
          </w:tcPr>
          <w:p w14:paraId="768B3C76" w14:textId="77777777" w:rsidR="005E011C" w:rsidRPr="0019790A" w:rsidRDefault="005E011C" w:rsidP="006D54ED">
            <w:pPr>
              <w:tabs>
                <w:tab w:val="left" w:pos="207"/>
              </w:tabs>
              <w:jc w:val="center"/>
              <w:rPr>
                <w:rFonts w:cs="Arial"/>
                <w:b/>
                <w:color w:val="000000"/>
                <w:szCs w:val="22"/>
                <w:lang w:eastAsia="it-IT"/>
              </w:rPr>
            </w:pPr>
          </w:p>
        </w:tc>
        <w:tc>
          <w:tcPr>
            <w:tcW w:w="1282" w:type="dxa"/>
            <w:gridSpan w:val="2"/>
            <w:vAlign w:val="center"/>
          </w:tcPr>
          <w:p w14:paraId="569B7E24" w14:textId="77777777" w:rsidR="005E011C" w:rsidRPr="0019790A" w:rsidRDefault="005E011C" w:rsidP="006D54ED">
            <w:pPr>
              <w:tabs>
                <w:tab w:val="left" w:pos="207"/>
              </w:tabs>
              <w:jc w:val="center"/>
              <w:rPr>
                <w:rFonts w:cs="Arial"/>
                <w:b/>
                <w:color w:val="000000"/>
                <w:szCs w:val="22"/>
                <w:lang w:eastAsia="it-IT"/>
              </w:rPr>
            </w:pPr>
          </w:p>
        </w:tc>
        <w:tc>
          <w:tcPr>
            <w:tcW w:w="1565" w:type="dxa"/>
            <w:vAlign w:val="center"/>
          </w:tcPr>
          <w:p w14:paraId="26430DE9" w14:textId="77777777" w:rsidR="005E011C" w:rsidRPr="0019790A" w:rsidRDefault="005E011C" w:rsidP="006D54ED">
            <w:pPr>
              <w:tabs>
                <w:tab w:val="left" w:pos="207"/>
              </w:tabs>
              <w:jc w:val="center"/>
              <w:rPr>
                <w:rFonts w:cs="Arial"/>
                <w:b/>
                <w:color w:val="000000"/>
                <w:szCs w:val="22"/>
                <w:lang w:eastAsia="it-IT"/>
              </w:rPr>
            </w:pPr>
          </w:p>
        </w:tc>
      </w:tr>
      <w:tr w:rsidR="005E011C" w:rsidRPr="0019790A" w14:paraId="68FC1EDC" w14:textId="77777777" w:rsidTr="006D54ED">
        <w:trPr>
          <w:trHeight w:val="275"/>
          <w:jc w:val="right"/>
        </w:trPr>
        <w:tc>
          <w:tcPr>
            <w:tcW w:w="3423" w:type="dxa"/>
            <w:shd w:val="clear" w:color="auto" w:fill="FFFFFF"/>
            <w:vAlign w:val="center"/>
          </w:tcPr>
          <w:p w14:paraId="4E6B8B44" w14:textId="77777777" w:rsidR="005E011C" w:rsidRPr="0019790A" w:rsidRDefault="005E011C" w:rsidP="0019790A">
            <w:pPr>
              <w:rPr>
                <w:rFonts w:cs="Arial"/>
                <w:color w:val="000000"/>
                <w:szCs w:val="22"/>
              </w:rPr>
            </w:pPr>
            <w:r w:rsidRPr="0019790A">
              <w:rPr>
                <w:rFonts w:cs="Arial"/>
                <w:color w:val="000000"/>
                <w:szCs w:val="22"/>
              </w:rPr>
              <w:t>бюджет Жмеринської МТГ</w:t>
            </w:r>
          </w:p>
        </w:tc>
        <w:tc>
          <w:tcPr>
            <w:tcW w:w="1256" w:type="dxa"/>
            <w:vAlign w:val="center"/>
          </w:tcPr>
          <w:p w14:paraId="0ECA849A" w14:textId="77777777" w:rsidR="005E011C" w:rsidRPr="0019790A" w:rsidRDefault="005E011C" w:rsidP="006D54ED">
            <w:pPr>
              <w:tabs>
                <w:tab w:val="left" w:pos="207"/>
              </w:tabs>
              <w:jc w:val="center"/>
              <w:rPr>
                <w:rFonts w:cs="Arial"/>
                <w:b/>
                <w:color w:val="000000"/>
                <w:szCs w:val="22"/>
                <w:lang w:eastAsia="it-IT"/>
              </w:rPr>
            </w:pPr>
            <w:r w:rsidRPr="0019790A">
              <w:rPr>
                <w:rFonts w:cs="Arial"/>
                <w:b/>
                <w:color w:val="000000"/>
                <w:szCs w:val="22"/>
                <w:lang w:eastAsia="it-IT"/>
              </w:rPr>
              <w:t>500</w:t>
            </w:r>
          </w:p>
        </w:tc>
        <w:tc>
          <w:tcPr>
            <w:tcW w:w="1275" w:type="dxa"/>
            <w:vAlign w:val="center"/>
          </w:tcPr>
          <w:p w14:paraId="0A4DB3B5" w14:textId="77777777" w:rsidR="005E011C" w:rsidRPr="0019790A" w:rsidRDefault="005E011C" w:rsidP="006D54ED">
            <w:pPr>
              <w:tabs>
                <w:tab w:val="left" w:pos="207"/>
              </w:tabs>
              <w:jc w:val="center"/>
              <w:rPr>
                <w:rFonts w:cs="Arial"/>
                <w:b/>
                <w:color w:val="000000"/>
                <w:szCs w:val="22"/>
                <w:lang w:eastAsia="it-IT"/>
              </w:rPr>
            </w:pPr>
            <w:r w:rsidRPr="0019790A">
              <w:rPr>
                <w:rFonts w:cs="Arial"/>
                <w:b/>
                <w:color w:val="000000"/>
                <w:szCs w:val="22"/>
                <w:lang w:eastAsia="it-IT"/>
              </w:rPr>
              <w:t>500</w:t>
            </w:r>
          </w:p>
        </w:tc>
        <w:tc>
          <w:tcPr>
            <w:tcW w:w="1418" w:type="dxa"/>
            <w:vAlign w:val="center"/>
          </w:tcPr>
          <w:p w14:paraId="61F3DD3A" w14:textId="77777777" w:rsidR="005E011C" w:rsidRPr="0019790A" w:rsidRDefault="005E011C" w:rsidP="006D54ED">
            <w:pPr>
              <w:tabs>
                <w:tab w:val="left" w:pos="207"/>
              </w:tabs>
              <w:jc w:val="center"/>
              <w:rPr>
                <w:rFonts w:cs="Arial"/>
                <w:b/>
                <w:color w:val="000000"/>
                <w:szCs w:val="22"/>
                <w:lang w:eastAsia="it-IT"/>
              </w:rPr>
            </w:pPr>
            <w:r w:rsidRPr="0019790A">
              <w:rPr>
                <w:rFonts w:cs="Arial"/>
                <w:b/>
                <w:color w:val="000000"/>
                <w:szCs w:val="22"/>
                <w:lang w:eastAsia="it-IT"/>
              </w:rPr>
              <w:t>100</w:t>
            </w:r>
          </w:p>
        </w:tc>
        <w:tc>
          <w:tcPr>
            <w:tcW w:w="1282" w:type="dxa"/>
            <w:gridSpan w:val="2"/>
            <w:vAlign w:val="center"/>
          </w:tcPr>
          <w:p w14:paraId="637AD5EE" w14:textId="77777777" w:rsidR="005E011C" w:rsidRPr="0019790A" w:rsidRDefault="005E011C" w:rsidP="006D54ED">
            <w:pPr>
              <w:tabs>
                <w:tab w:val="left" w:pos="207"/>
              </w:tabs>
              <w:jc w:val="center"/>
              <w:rPr>
                <w:rFonts w:cs="Arial"/>
                <w:b/>
                <w:color w:val="000000"/>
                <w:szCs w:val="22"/>
                <w:lang w:eastAsia="it-IT"/>
              </w:rPr>
            </w:pPr>
          </w:p>
        </w:tc>
        <w:tc>
          <w:tcPr>
            <w:tcW w:w="1565" w:type="dxa"/>
            <w:vAlign w:val="center"/>
          </w:tcPr>
          <w:p w14:paraId="7A6DFFD2" w14:textId="77777777" w:rsidR="005E011C" w:rsidRPr="0019790A" w:rsidRDefault="005E011C" w:rsidP="006D54ED">
            <w:pPr>
              <w:tabs>
                <w:tab w:val="left" w:pos="207"/>
              </w:tabs>
              <w:jc w:val="center"/>
              <w:rPr>
                <w:rFonts w:cs="Arial"/>
                <w:b/>
                <w:color w:val="000000"/>
                <w:szCs w:val="22"/>
                <w:lang w:eastAsia="it-IT"/>
              </w:rPr>
            </w:pPr>
            <w:r w:rsidRPr="0019790A">
              <w:rPr>
                <w:rFonts w:cs="Arial"/>
                <w:b/>
                <w:color w:val="000000"/>
                <w:szCs w:val="22"/>
                <w:lang w:eastAsia="it-IT"/>
              </w:rPr>
              <w:t>1 100</w:t>
            </w:r>
          </w:p>
        </w:tc>
      </w:tr>
      <w:tr w:rsidR="005E011C" w:rsidRPr="0019790A" w14:paraId="61DE9626" w14:textId="77777777" w:rsidTr="006D54ED">
        <w:trPr>
          <w:trHeight w:val="226"/>
          <w:jc w:val="right"/>
        </w:trPr>
        <w:tc>
          <w:tcPr>
            <w:tcW w:w="3423" w:type="dxa"/>
            <w:shd w:val="clear" w:color="auto" w:fill="FFFFFF"/>
            <w:vAlign w:val="center"/>
          </w:tcPr>
          <w:p w14:paraId="2B38DCA1" w14:textId="77777777" w:rsidR="005E011C" w:rsidRPr="0019790A" w:rsidRDefault="005E011C" w:rsidP="0019790A">
            <w:pPr>
              <w:rPr>
                <w:rFonts w:cs="Arial"/>
                <w:color w:val="000000"/>
                <w:szCs w:val="22"/>
              </w:rPr>
            </w:pPr>
            <w:r w:rsidRPr="0019790A">
              <w:rPr>
                <w:rFonts w:cs="Arial"/>
                <w:szCs w:val="22"/>
              </w:rPr>
              <w:t xml:space="preserve">грантові кошти та </w:t>
            </w:r>
            <w:r w:rsidRPr="0019790A">
              <w:rPr>
                <w:rFonts w:cs="Arial"/>
                <w:color w:val="000000"/>
                <w:szCs w:val="22"/>
              </w:rPr>
              <w:t>інші джерела фінансування</w:t>
            </w:r>
          </w:p>
        </w:tc>
        <w:tc>
          <w:tcPr>
            <w:tcW w:w="1256" w:type="dxa"/>
            <w:vAlign w:val="center"/>
          </w:tcPr>
          <w:p w14:paraId="3F74C5E2" w14:textId="77777777" w:rsidR="005E011C" w:rsidRPr="0019790A" w:rsidRDefault="005E011C" w:rsidP="006D54ED">
            <w:pPr>
              <w:tabs>
                <w:tab w:val="left" w:pos="207"/>
              </w:tabs>
              <w:jc w:val="center"/>
              <w:rPr>
                <w:rFonts w:cs="Arial"/>
                <w:b/>
                <w:color w:val="000000"/>
                <w:szCs w:val="22"/>
                <w:lang w:eastAsia="it-IT"/>
              </w:rPr>
            </w:pPr>
            <w:r w:rsidRPr="0019790A">
              <w:rPr>
                <w:rFonts w:cs="Arial"/>
                <w:b/>
                <w:color w:val="000000"/>
                <w:szCs w:val="22"/>
                <w:lang w:eastAsia="it-IT"/>
              </w:rPr>
              <w:t>1503</w:t>
            </w:r>
          </w:p>
        </w:tc>
        <w:tc>
          <w:tcPr>
            <w:tcW w:w="1275" w:type="dxa"/>
            <w:vAlign w:val="center"/>
          </w:tcPr>
          <w:p w14:paraId="7DD84E2F" w14:textId="77777777" w:rsidR="005E011C" w:rsidRPr="0019790A" w:rsidRDefault="005E011C" w:rsidP="006D54ED">
            <w:pPr>
              <w:tabs>
                <w:tab w:val="left" w:pos="207"/>
              </w:tabs>
              <w:jc w:val="center"/>
              <w:rPr>
                <w:rFonts w:cs="Arial"/>
                <w:b/>
                <w:color w:val="000000"/>
                <w:szCs w:val="22"/>
                <w:lang w:eastAsia="it-IT"/>
              </w:rPr>
            </w:pPr>
            <w:r w:rsidRPr="0019790A">
              <w:rPr>
                <w:rFonts w:cs="Arial"/>
                <w:b/>
                <w:color w:val="000000"/>
                <w:szCs w:val="22"/>
                <w:lang w:eastAsia="it-IT"/>
              </w:rPr>
              <w:t>1480</w:t>
            </w:r>
          </w:p>
        </w:tc>
        <w:tc>
          <w:tcPr>
            <w:tcW w:w="1418" w:type="dxa"/>
            <w:vAlign w:val="center"/>
          </w:tcPr>
          <w:p w14:paraId="6E3C4E2B" w14:textId="77777777" w:rsidR="005E011C" w:rsidRPr="0019790A" w:rsidRDefault="005E011C" w:rsidP="006D54ED">
            <w:pPr>
              <w:tabs>
                <w:tab w:val="left" w:pos="207"/>
              </w:tabs>
              <w:jc w:val="center"/>
              <w:rPr>
                <w:rFonts w:cs="Arial"/>
                <w:b/>
                <w:color w:val="000000"/>
                <w:szCs w:val="22"/>
                <w:lang w:eastAsia="it-IT"/>
              </w:rPr>
            </w:pPr>
            <w:r w:rsidRPr="0019790A">
              <w:rPr>
                <w:rFonts w:cs="Arial"/>
                <w:b/>
                <w:color w:val="000000"/>
                <w:szCs w:val="22"/>
                <w:lang w:eastAsia="it-IT"/>
              </w:rPr>
              <w:t>640</w:t>
            </w:r>
          </w:p>
        </w:tc>
        <w:tc>
          <w:tcPr>
            <w:tcW w:w="1282" w:type="dxa"/>
            <w:gridSpan w:val="2"/>
            <w:vAlign w:val="center"/>
          </w:tcPr>
          <w:p w14:paraId="1A8FB372" w14:textId="77777777" w:rsidR="005E011C" w:rsidRPr="0019790A" w:rsidRDefault="005E011C" w:rsidP="006D54ED">
            <w:pPr>
              <w:tabs>
                <w:tab w:val="left" w:pos="207"/>
              </w:tabs>
              <w:jc w:val="center"/>
              <w:rPr>
                <w:rFonts w:cs="Arial"/>
                <w:b/>
                <w:color w:val="000000"/>
                <w:szCs w:val="22"/>
                <w:lang w:eastAsia="it-IT"/>
              </w:rPr>
            </w:pPr>
          </w:p>
        </w:tc>
        <w:tc>
          <w:tcPr>
            <w:tcW w:w="1565" w:type="dxa"/>
            <w:vAlign w:val="center"/>
          </w:tcPr>
          <w:p w14:paraId="15E3DE94" w14:textId="77777777" w:rsidR="005E011C" w:rsidRPr="0019790A" w:rsidRDefault="005E011C" w:rsidP="006D54ED">
            <w:pPr>
              <w:tabs>
                <w:tab w:val="left" w:pos="207"/>
              </w:tabs>
              <w:jc w:val="center"/>
              <w:rPr>
                <w:rFonts w:cs="Arial"/>
                <w:b/>
                <w:color w:val="000000"/>
                <w:szCs w:val="22"/>
                <w:lang w:eastAsia="it-IT"/>
              </w:rPr>
            </w:pPr>
            <w:r w:rsidRPr="0019790A">
              <w:rPr>
                <w:rFonts w:cs="Arial"/>
                <w:b/>
                <w:color w:val="000000"/>
                <w:szCs w:val="22"/>
                <w:lang w:eastAsia="it-IT"/>
              </w:rPr>
              <w:t>3 623</w:t>
            </w:r>
          </w:p>
        </w:tc>
      </w:tr>
      <w:tr w:rsidR="005E011C" w:rsidRPr="0019790A" w14:paraId="731CD330" w14:textId="77777777" w:rsidTr="006D54ED">
        <w:trPr>
          <w:jc w:val="right"/>
        </w:trPr>
        <w:tc>
          <w:tcPr>
            <w:tcW w:w="3423" w:type="dxa"/>
            <w:shd w:val="clear" w:color="auto" w:fill="FFFFFF"/>
            <w:vAlign w:val="center"/>
          </w:tcPr>
          <w:p w14:paraId="33332D76" w14:textId="77777777" w:rsidR="005E011C" w:rsidRPr="0019790A" w:rsidRDefault="005E011C" w:rsidP="0019790A">
            <w:pPr>
              <w:rPr>
                <w:rFonts w:cs="Arial"/>
                <w:b/>
                <w:bCs/>
                <w:color w:val="000000"/>
                <w:szCs w:val="22"/>
              </w:rPr>
            </w:pPr>
            <w:r w:rsidRPr="0019790A">
              <w:rPr>
                <w:rFonts w:cs="Arial"/>
                <w:b/>
                <w:color w:val="000000"/>
                <w:szCs w:val="22"/>
              </w:rPr>
              <w:t>Відповідальний виконавець проєкту:</w:t>
            </w:r>
          </w:p>
        </w:tc>
        <w:tc>
          <w:tcPr>
            <w:tcW w:w="6796" w:type="dxa"/>
            <w:gridSpan w:val="6"/>
            <w:vAlign w:val="center"/>
          </w:tcPr>
          <w:p w14:paraId="099AA82A" w14:textId="77777777" w:rsidR="005E011C" w:rsidRPr="0019790A" w:rsidRDefault="005E011C" w:rsidP="006D54ED">
            <w:pPr>
              <w:tabs>
                <w:tab w:val="left" w:pos="207"/>
              </w:tabs>
              <w:jc w:val="both"/>
              <w:rPr>
                <w:rFonts w:cs="Arial"/>
                <w:szCs w:val="22"/>
              </w:rPr>
            </w:pPr>
            <w:r w:rsidRPr="0019790A">
              <w:rPr>
                <w:rFonts w:cs="Arial"/>
                <w:szCs w:val="22"/>
              </w:rPr>
              <w:t>Виконавчий комітет Жмеринської міської ради,</w:t>
            </w:r>
          </w:p>
          <w:p w14:paraId="0D3214C0" w14:textId="77777777" w:rsidR="005E011C" w:rsidRPr="0019790A" w:rsidRDefault="005E011C" w:rsidP="006D54ED">
            <w:pPr>
              <w:tabs>
                <w:tab w:val="left" w:pos="207"/>
              </w:tabs>
              <w:jc w:val="both"/>
              <w:rPr>
                <w:rFonts w:cs="Arial"/>
                <w:szCs w:val="22"/>
              </w:rPr>
            </w:pPr>
            <w:r w:rsidRPr="0019790A">
              <w:rPr>
                <w:rFonts w:cs="Arial"/>
                <w:szCs w:val="22"/>
              </w:rPr>
              <w:t>Управління «Центр надання адміністративних послуг виконавчого комітету Жмеринської міської ради,</w:t>
            </w:r>
          </w:p>
          <w:p w14:paraId="60C7FC09" w14:textId="0ED970DD" w:rsidR="005E011C" w:rsidRPr="0019790A" w:rsidRDefault="005E011C" w:rsidP="00267EAE">
            <w:pPr>
              <w:tabs>
                <w:tab w:val="left" w:pos="207"/>
              </w:tabs>
              <w:jc w:val="both"/>
              <w:rPr>
                <w:rFonts w:cs="Arial"/>
                <w:color w:val="000000"/>
                <w:szCs w:val="22"/>
                <w:lang w:eastAsia="it-IT"/>
              </w:rPr>
            </w:pPr>
            <w:r w:rsidRPr="0019790A">
              <w:rPr>
                <w:rFonts w:cs="Arial"/>
                <w:szCs w:val="22"/>
              </w:rPr>
              <w:t>Управління освіти Жмеринської міської ради, Управління ЖКГ Жмеринської міської ради.</w:t>
            </w:r>
          </w:p>
        </w:tc>
      </w:tr>
      <w:tr w:rsidR="005E011C" w:rsidRPr="0019790A" w14:paraId="0A1EE33C" w14:textId="77777777" w:rsidTr="006D54ED">
        <w:trPr>
          <w:jc w:val="right"/>
        </w:trPr>
        <w:tc>
          <w:tcPr>
            <w:tcW w:w="3423" w:type="dxa"/>
            <w:shd w:val="clear" w:color="auto" w:fill="FFFFFF"/>
            <w:vAlign w:val="center"/>
          </w:tcPr>
          <w:p w14:paraId="33DEC42F" w14:textId="77777777" w:rsidR="005E011C" w:rsidRPr="0019790A" w:rsidRDefault="005E011C" w:rsidP="0019790A">
            <w:pPr>
              <w:rPr>
                <w:rFonts w:cs="Arial"/>
                <w:b/>
                <w:bCs/>
                <w:color w:val="000000"/>
                <w:szCs w:val="22"/>
              </w:rPr>
            </w:pPr>
            <w:r w:rsidRPr="0019790A">
              <w:rPr>
                <w:rFonts w:cs="Arial"/>
                <w:b/>
                <w:bCs/>
                <w:color w:val="000000"/>
                <w:szCs w:val="22"/>
              </w:rPr>
              <w:t>Інше:</w:t>
            </w:r>
          </w:p>
        </w:tc>
        <w:tc>
          <w:tcPr>
            <w:tcW w:w="6796" w:type="dxa"/>
            <w:gridSpan w:val="6"/>
            <w:vAlign w:val="center"/>
          </w:tcPr>
          <w:p w14:paraId="53088D3B" w14:textId="5AB83A54" w:rsidR="005E011C" w:rsidRPr="0019790A" w:rsidRDefault="005E011C" w:rsidP="00267EAE">
            <w:pPr>
              <w:tabs>
                <w:tab w:val="left" w:pos="207"/>
              </w:tabs>
              <w:jc w:val="both"/>
              <w:rPr>
                <w:rFonts w:cs="Arial"/>
                <w:bCs/>
                <w:color w:val="000000"/>
                <w:szCs w:val="22"/>
              </w:rPr>
            </w:pPr>
            <w:r w:rsidRPr="0019790A">
              <w:rPr>
                <w:rFonts w:cs="Arial"/>
                <w:bCs/>
                <w:color w:val="000000"/>
                <w:szCs w:val="22"/>
              </w:rPr>
              <w:t xml:space="preserve">Дана форма технічного завдання  на проєкт місцевого розвитку до Плану заходів з реалізації Стратегії відповідає </w:t>
            </w:r>
            <w:r w:rsidRPr="0019790A">
              <w:rPr>
                <w:rFonts w:cs="Arial"/>
                <w:bCs/>
                <w:szCs w:val="22"/>
              </w:rPr>
              <w:t>Програмі підвищення якості надання адміністративних послуг до рівня європейських стандартів на 2025-2027 роки.</w:t>
            </w:r>
          </w:p>
        </w:tc>
      </w:tr>
    </w:tbl>
    <w:p w14:paraId="5E001D42" w14:textId="77777777" w:rsidR="005E011C" w:rsidRPr="0019790A" w:rsidRDefault="005E011C" w:rsidP="0019790A">
      <w:pPr>
        <w:rPr>
          <w:rFonts w:cs="Arial"/>
          <w:szCs w:val="22"/>
        </w:rPr>
      </w:pPr>
    </w:p>
    <w:p w14:paraId="7EFCFCA5" w14:textId="77777777" w:rsidR="005E011C" w:rsidRPr="0019790A" w:rsidRDefault="005E011C" w:rsidP="0019790A">
      <w:pPr>
        <w:jc w:val="center"/>
        <w:rPr>
          <w:rFonts w:cs="Arial"/>
          <w:b/>
          <w:color w:val="000000"/>
          <w:szCs w:val="22"/>
        </w:rPr>
      </w:pPr>
      <w:r w:rsidRPr="0019790A">
        <w:rPr>
          <w:rFonts w:cs="Arial"/>
          <w:b/>
          <w:color w:val="000000"/>
          <w:szCs w:val="22"/>
        </w:rPr>
        <w:t xml:space="preserve">Форма технічного завдання на проєкт місцевого розвитку </w:t>
      </w:r>
    </w:p>
    <w:p w14:paraId="4A7551FB" w14:textId="77777777" w:rsidR="005E011C" w:rsidRPr="0019790A" w:rsidRDefault="005E011C" w:rsidP="0019790A">
      <w:pPr>
        <w:jc w:val="center"/>
        <w:rPr>
          <w:rFonts w:cs="Arial"/>
          <w:b/>
          <w:color w:val="000000"/>
          <w:szCs w:val="22"/>
        </w:rPr>
      </w:pPr>
      <w:r w:rsidRPr="0019790A">
        <w:rPr>
          <w:rFonts w:cs="Arial"/>
          <w:b/>
          <w:color w:val="000000"/>
          <w:szCs w:val="22"/>
        </w:rPr>
        <w:t>до Плану заходів з реалізації Стратегії</w:t>
      </w:r>
    </w:p>
    <w:p w14:paraId="11D6F6C2" w14:textId="77777777" w:rsidR="005E011C" w:rsidRPr="0019790A" w:rsidRDefault="005E011C" w:rsidP="0019790A">
      <w:pPr>
        <w:rPr>
          <w:rFonts w:cs="Arial"/>
          <w:szCs w:val="22"/>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2"/>
        <w:gridCol w:w="1258"/>
        <w:gridCol w:w="1274"/>
        <w:gridCol w:w="59"/>
        <w:gridCol w:w="1362"/>
        <w:gridCol w:w="1275"/>
        <w:gridCol w:w="20"/>
        <w:gridCol w:w="1549"/>
      </w:tblGrid>
      <w:tr w:rsidR="005E011C" w:rsidRPr="0019790A" w14:paraId="02FCB27D" w14:textId="77777777" w:rsidTr="005861B0">
        <w:trPr>
          <w:trHeight w:val="687"/>
          <w:jc w:val="right"/>
        </w:trPr>
        <w:tc>
          <w:tcPr>
            <w:tcW w:w="3423" w:type="dxa"/>
            <w:vAlign w:val="center"/>
          </w:tcPr>
          <w:p w14:paraId="7EC52B84" w14:textId="77777777" w:rsidR="005E011C" w:rsidRPr="0019790A" w:rsidRDefault="005E011C" w:rsidP="005861B0">
            <w:pPr>
              <w:rPr>
                <w:rFonts w:cs="Arial"/>
                <w:b/>
                <w:bCs/>
                <w:color w:val="000000"/>
                <w:szCs w:val="22"/>
              </w:rPr>
            </w:pPr>
            <w:r w:rsidRPr="0019790A">
              <w:rPr>
                <w:rFonts w:cs="Arial"/>
                <w:b/>
                <w:bCs/>
                <w:color w:val="000000"/>
                <w:szCs w:val="22"/>
              </w:rPr>
              <w:t>Назва проєкту:</w:t>
            </w:r>
          </w:p>
        </w:tc>
        <w:tc>
          <w:tcPr>
            <w:tcW w:w="6796" w:type="dxa"/>
            <w:gridSpan w:val="7"/>
            <w:vAlign w:val="center"/>
          </w:tcPr>
          <w:p w14:paraId="6D236C40" w14:textId="77777777" w:rsidR="005E011C" w:rsidRPr="0019790A" w:rsidRDefault="005E011C" w:rsidP="00267EAE">
            <w:pPr>
              <w:tabs>
                <w:tab w:val="left" w:pos="369"/>
              </w:tabs>
              <w:jc w:val="both"/>
              <w:rPr>
                <w:rFonts w:cs="Arial"/>
                <w:szCs w:val="22"/>
                <w:lang w:eastAsia="it-IT"/>
              </w:rPr>
            </w:pPr>
            <w:r w:rsidRPr="0019790A">
              <w:rPr>
                <w:rFonts w:cs="Arial"/>
                <w:b/>
                <w:szCs w:val="22"/>
                <w:lang w:eastAsia="it-IT"/>
              </w:rPr>
              <w:t>Вчасне забезпечення дітей-сиріт та дітей, позбавлених батьківського піклування власним житлом</w:t>
            </w:r>
            <w:r w:rsidRPr="0019790A">
              <w:rPr>
                <w:rFonts w:cs="Arial"/>
                <w:szCs w:val="22"/>
                <w:lang w:eastAsia="it-IT"/>
              </w:rPr>
              <w:t>.</w:t>
            </w:r>
          </w:p>
        </w:tc>
      </w:tr>
      <w:tr w:rsidR="005E011C" w:rsidRPr="0019790A" w14:paraId="749D3A8A" w14:textId="77777777" w:rsidTr="005861B0">
        <w:trPr>
          <w:jc w:val="right"/>
        </w:trPr>
        <w:tc>
          <w:tcPr>
            <w:tcW w:w="3423" w:type="dxa"/>
            <w:vAlign w:val="center"/>
          </w:tcPr>
          <w:p w14:paraId="335813CB" w14:textId="77777777" w:rsidR="005E011C" w:rsidRPr="0019790A" w:rsidRDefault="005E011C" w:rsidP="005861B0">
            <w:pPr>
              <w:rPr>
                <w:rFonts w:cs="Arial"/>
                <w:szCs w:val="22"/>
                <w:lang w:eastAsia="it-IT"/>
              </w:rPr>
            </w:pPr>
            <w:r w:rsidRPr="0019790A">
              <w:rPr>
                <w:rFonts w:cs="Arial"/>
                <w:b/>
                <w:bCs/>
                <w:szCs w:val="22"/>
              </w:rPr>
              <w:t>Ваші контакти</w:t>
            </w:r>
            <w:r w:rsidRPr="0019790A">
              <w:rPr>
                <w:rFonts w:cs="Arial"/>
                <w:szCs w:val="22"/>
                <w:lang w:eastAsia="it-IT"/>
              </w:rPr>
              <w:t>:</w:t>
            </w:r>
          </w:p>
          <w:p w14:paraId="54FC16EF" w14:textId="77777777" w:rsidR="005E011C" w:rsidRPr="0019790A" w:rsidRDefault="005E011C" w:rsidP="005861B0">
            <w:pPr>
              <w:rPr>
                <w:rFonts w:cs="Arial"/>
                <w:b/>
                <w:bCs/>
                <w:szCs w:val="22"/>
              </w:rPr>
            </w:pPr>
            <w:r w:rsidRPr="0019790A">
              <w:rPr>
                <w:rFonts w:cs="Arial"/>
                <w:szCs w:val="22"/>
                <w:lang w:eastAsia="it-IT"/>
              </w:rPr>
              <w:t>Назва установи, організації, підприємства</w:t>
            </w:r>
          </w:p>
        </w:tc>
        <w:tc>
          <w:tcPr>
            <w:tcW w:w="6796" w:type="dxa"/>
            <w:gridSpan w:val="7"/>
            <w:vAlign w:val="center"/>
          </w:tcPr>
          <w:p w14:paraId="6608A48A" w14:textId="77777777" w:rsidR="005E011C" w:rsidRPr="0019790A" w:rsidRDefault="005E011C" w:rsidP="00267EAE">
            <w:pPr>
              <w:tabs>
                <w:tab w:val="left" w:pos="369"/>
              </w:tabs>
              <w:jc w:val="both"/>
              <w:rPr>
                <w:rFonts w:cs="Arial"/>
                <w:szCs w:val="22"/>
                <w:lang w:eastAsia="it-IT"/>
              </w:rPr>
            </w:pPr>
            <w:r w:rsidRPr="0019790A">
              <w:rPr>
                <w:rFonts w:cs="Arial"/>
                <w:szCs w:val="22"/>
                <w:lang w:eastAsia="it-IT"/>
              </w:rPr>
              <w:t>Служба у справах дітей Жмеринської міської ради</w:t>
            </w:r>
          </w:p>
        </w:tc>
      </w:tr>
      <w:tr w:rsidR="005E011C" w:rsidRPr="0019790A" w14:paraId="56F9E1EF" w14:textId="77777777" w:rsidTr="005861B0">
        <w:trPr>
          <w:jc w:val="right"/>
        </w:trPr>
        <w:tc>
          <w:tcPr>
            <w:tcW w:w="3423" w:type="dxa"/>
            <w:vAlign w:val="center"/>
          </w:tcPr>
          <w:p w14:paraId="4EDBBC5D" w14:textId="77777777" w:rsidR="005E011C" w:rsidRPr="0019790A" w:rsidRDefault="005E011C" w:rsidP="005861B0">
            <w:pPr>
              <w:rPr>
                <w:rFonts w:cs="Arial"/>
                <w:b/>
                <w:bCs/>
                <w:szCs w:val="22"/>
              </w:rPr>
            </w:pPr>
            <w:r w:rsidRPr="0019790A">
              <w:rPr>
                <w:rFonts w:cs="Arial"/>
                <w:szCs w:val="22"/>
                <w:lang w:eastAsia="it-IT"/>
              </w:rPr>
              <w:t>Прізвище Ім’я По-батькові:</w:t>
            </w:r>
          </w:p>
        </w:tc>
        <w:tc>
          <w:tcPr>
            <w:tcW w:w="6796" w:type="dxa"/>
            <w:gridSpan w:val="7"/>
            <w:vAlign w:val="center"/>
          </w:tcPr>
          <w:p w14:paraId="5ED61BEB" w14:textId="77777777" w:rsidR="005E011C" w:rsidRPr="0019790A" w:rsidRDefault="005E011C" w:rsidP="00267EAE">
            <w:pPr>
              <w:tabs>
                <w:tab w:val="left" w:pos="369"/>
              </w:tabs>
              <w:jc w:val="both"/>
              <w:rPr>
                <w:rFonts w:cs="Arial"/>
                <w:szCs w:val="22"/>
                <w:lang w:eastAsia="it-IT"/>
              </w:rPr>
            </w:pPr>
            <w:r w:rsidRPr="0019790A">
              <w:rPr>
                <w:rFonts w:cs="Arial"/>
                <w:szCs w:val="22"/>
                <w:lang w:eastAsia="it-IT"/>
              </w:rPr>
              <w:t>Камінська Марія Сергіївна</w:t>
            </w:r>
          </w:p>
        </w:tc>
      </w:tr>
      <w:tr w:rsidR="005E011C" w:rsidRPr="0019790A" w14:paraId="60960151" w14:textId="77777777" w:rsidTr="005861B0">
        <w:trPr>
          <w:jc w:val="right"/>
        </w:trPr>
        <w:tc>
          <w:tcPr>
            <w:tcW w:w="3423" w:type="dxa"/>
            <w:vAlign w:val="center"/>
          </w:tcPr>
          <w:p w14:paraId="4B5D6650" w14:textId="77777777" w:rsidR="005E011C" w:rsidRPr="0019790A" w:rsidRDefault="005E011C" w:rsidP="005861B0">
            <w:pPr>
              <w:rPr>
                <w:rFonts w:cs="Arial"/>
                <w:b/>
                <w:bCs/>
                <w:szCs w:val="22"/>
              </w:rPr>
            </w:pPr>
            <w:r w:rsidRPr="0019790A">
              <w:rPr>
                <w:rFonts w:cs="Arial"/>
                <w:szCs w:val="22"/>
                <w:lang w:eastAsia="it-IT"/>
              </w:rPr>
              <w:t>Телефон (мобільний):</w:t>
            </w:r>
          </w:p>
        </w:tc>
        <w:tc>
          <w:tcPr>
            <w:tcW w:w="6796" w:type="dxa"/>
            <w:gridSpan w:val="7"/>
            <w:vAlign w:val="center"/>
          </w:tcPr>
          <w:p w14:paraId="592AF8C2" w14:textId="77777777" w:rsidR="005E011C" w:rsidRPr="0019790A" w:rsidRDefault="005E011C" w:rsidP="00267EAE">
            <w:pPr>
              <w:tabs>
                <w:tab w:val="left" w:pos="369"/>
              </w:tabs>
              <w:jc w:val="both"/>
              <w:rPr>
                <w:rFonts w:cs="Arial"/>
                <w:szCs w:val="22"/>
                <w:lang w:eastAsia="it-IT"/>
              </w:rPr>
            </w:pPr>
            <w:r w:rsidRPr="0019790A">
              <w:rPr>
                <w:rFonts w:cs="Arial"/>
                <w:szCs w:val="22"/>
                <w:lang w:eastAsia="it-IT"/>
              </w:rPr>
              <w:t>(096)0701039</w:t>
            </w:r>
          </w:p>
        </w:tc>
      </w:tr>
      <w:tr w:rsidR="005E011C" w:rsidRPr="0019790A" w14:paraId="43511126" w14:textId="77777777" w:rsidTr="005861B0">
        <w:trPr>
          <w:trHeight w:val="404"/>
          <w:jc w:val="right"/>
        </w:trPr>
        <w:tc>
          <w:tcPr>
            <w:tcW w:w="3423" w:type="dxa"/>
            <w:vAlign w:val="center"/>
          </w:tcPr>
          <w:p w14:paraId="75BD6E45" w14:textId="77777777" w:rsidR="005E011C" w:rsidRPr="0019790A" w:rsidRDefault="005E011C" w:rsidP="005861B0">
            <w:pPr>
              <w:rPr>
                <w:rFonts w:cs="Arial"/>
                <w:b/>
                <w:bCs/>
                <w:szCs w:val="22"/>
              </w:rPr>
            </w:pPr>
            <w:r w:rsidRPr="0019790A">
              <w:rPr>
                <w:rFonts w:cs="Arial"/>
                <w:szCs w:val="22"/>
                <w:lang w:eastAsia="it-IT"/>
              </w:rPr>
              <w:t>Електронна адреса:</w:t>
            </w:r>
          </w:p>
        </w:tc>
        <w:tc>
          <w:tcPr>
            <w:tcW w:w="6796" w:type="dxa"/>
            <w:gridSpan w:val="7"/>
            <w:vAlign w:val="center"/>
          </w:tcPr>
          <w:p w14:paraId="7F3C31D7" w14:textId="6A01A1B4" w:rsidR="005E011C" w:rsidRPr="002D77AE" w:rsidRDefault="00D85FFD" w:rsidP="00267EAE">
            <w:pPr>
              <w:tabs>
                <w:tab w:val="left" w:pos="369"/>
              </w:tabs>
              <w:jc w:val="both"/>
              <w:rPr>
                <w:rFonts w:cs="Arial"/>
                <w:szCs w:val="22"/>
                <w:lang w:eastAsia="it-IT"/>
              </w:rPr>
            </w:pPr>
            <w:hyperlink r:id="rId173" w:history="1">
              <w:r w:rsidR="005E011C" w:rsidRPr="002D77AE">
                <w:rPr>
                  <w:rFonts w:cs="Arial"/>
                  <w:bCs/>
                  <w:color w:val="0000FF"/>
                  <w:szCs w:val="22"/>
                  <w:shd w:val="clear" w:color="auto" w:fill="ECE9E0"/>
                </w:rPr>
                <w:t>ssd@zhmr.gov.ua</w:t>
              </w:r>
            </w:hyperlink>
            <w:r w:rsidR="002D77AE">
              <w:rPr>
                <w:rFonts w:cs="Arial"/>
                <w:bCs/>
                <w:color w:val="0000FF"/>
                <w:szCs w:val="22"/>
                <w:shd w:val="clear" w:color="auto" w:fill="ECE9E0"/>
              </w:rPr>
              <w:t xml:space="preserve"> </w:t>
            </w:r>
          </w:p>
        </w:tc>
      </w:tr>
      <w:tr w:rsidR="005E011C" w:rsidRPr="0019790A" w14:paraId="028DA9B4" w14:textId="77777777" w:rsidTr="005861B0">
        <w:trPr>
          <w:trHeight w:val="1407"/>
          <w:jc w:val="right"/>
        </w:trPr>
        <w:tc>
          <w:tcPr>
            <w:tcW w:w="3423" w:type="dxa"/>
            <w:vAlign w:val="center"/>
          </w:tcPr>
          <w:p w14:paraId="180BA504" w14:textId="77777777" w:rsidR="005E011C" w:rsidRPr="0019790A" w:rsidRDefault="005E011C" w:rsidP="005861B0">
            <w:pPr>
              <w:outlineLvl w:val="5"/>
              <w:rPr>
                <w:rFonts w:cs="Arial"/>
                <w:b/>
                <w:bCs/>
                <w:color w:val="000000"/>
                <w:szCs w:val="22"/>
                <w:lang w:eastAsia="en-US"/>
              </w:rPr>
            </w:pPr>
            <w:r w:rsidRPr="0019790A">
              <w:rPr>
                <w:rFonts w:cs="Arial"/>
                <w:b/>
                <w:bCs/>
                <w:color w:val="000000"/>
                <w:szCs w:val="22"/>
                <w:lang w:eastAsia="en-US"/>
              </w:rPr>
              <w:t>Номер і назва завдання з Стратегії</w:t>
            </w:r>
            <w:r w:rsidRPr="0019790A">
              <w:rPr>
                <w:rFonts w:cs="Arial"/>
                <w:b/>
                <w:bCs/>
                <w:szCs w:val="22"/>
                <w:lang w:eastAsia="it-IT"/>
              </w:rPr>
              <w:t xml:space="preserve"> </w:t>
            </w:r>
            <w:r w:rsidRPr="0019790A">
              <w:rPr>
                <w:rFonts w:cs="Arial"/>
                <w:b/>
                <w:bCs/>
                <w:color w:val="000000"/>
                <w:szCs w:val="22"/>
                <w:lang w:eastAsia="en-US"/>
              </w:rPr>
              <w:t>розвитку Жмеринської міської територіальної громади,  якому відповідає проєкт:</w:t>
            </w:r>
          </w:p>
        </w:tc>
        <w:tc>
          <w:tcPr>
            <w:tcW w:w="6796" w:type="dxa"/>
            <w:gridSpan w:val="7"/>
            <w:vAlign w:val="center"/>
          </w:tcPr>
          <w:p w14:paraId="11C64580" w14:textId="77777777" w:rsidR="005E011C" w:rsidRPr="0019790A" w:rsidRDefault="005E011C" w:rsidP="00267EAE">
            <w:pPr>
              <w:pBdr>
                <w:left w:val="single" w:sz="18" w:space="4" w:color="auto"/>
              </w:pBdr>
              <w:tabs>
                <w:tab w:val="left" w:pos="369"/>
              </w:tabs>
              <w:jc w:val="both"/>
              <w:rPr>
                <w:rFonts w:cs="Arial"/>
                <w:bCs/>
                <w:szCs w:val="22"/>
                <w:lang w:eastAsia="it-IT"/>
              </w:rPr>
            </w:pPr>
            <w:r w:rsidRPr="0019790A">
              <w:rPr>
                <w:rFonts w:cs="Arial"/>
                <w:bCs/>
                <w:szCs w:val="22"/>
                <w:lang w:eastAsia="it-IT"/>
              </w:rPr>
              <w:t>С 4.4 Захист прав, свобод і законних інтересів дітей</w:t>
            </w:r>
          </w:p>
          <w:p w14:paraId="7E64F811" w14:textId="77777777" w:rsidR="005E011C" w:rsidRPr="0019790A" w:rsidRDefault="005E011C" w:rsidP="00267EAE">
            <w:pPr>
              <w:tabs>
                <w:tab w:val="left" w:pos="369"/>
              </w:tabs>
              <w:jc w:val="both"/>
              <w:rPr>
                <w:rFonts w:cs="Arial"/>
                <w:iCs/>
                <w:szCs w:val="22"/>
              </w:rPr>
            </w:pPr>
            <w:r w:rsidRPr="0019790A">
              <w:rPr>
                <w:rFonts w:cs="Arial"/>
                <w:iCs/>
                <w:szCs w:val="22"/>
              </w:rPr>
              <w:t>С.4.4.4. Сприяння своєчасній постановці дітей-сиріт та дітей позбавлених батьківського піклування, які не мають житла на квартирний облік.</w:t>
            </w:r>
          </w:p>
        </w:tc>
      </w:tr>
      <w:tr w:rsidR="005E011C" w:rsidRPr="0019790A" w14:paraId="5A0762AD" w14:textId="77777777" w:rsidTr="005861B0">
        <w:trPr>
          <w:trHeight w:val="848"/>
          <w:jc w:val="right"/>
        </w:trPr>
        <w:tc>
          <w:tcPr>
            <w:tcW w:w="3423" w:type="dxa"/>
            <w:vAlign w:val="center"/>
          </w:tcPr>
          <w:p w14:paraId="0FB405E2" w14:textId="77777777" w:rsidR="005E011C" w:rsidRPr="0019790A" w:rsidRDefault="005E011C" w:rsidP="005861B0">
            <w:pPr>
              <w:rPr>
                <w:rFonts w:cs="Arial"/>
                <w:b/>
                <w:bCs/>
                <w:color w:val="000000"/>
                <w:szCs w:val="22"/>
              </w:rPr>
            </w:pPr>
            <w:r w:rsidRPr="0019790A">
              <w:rPr>
                <w:rFonts w:cs="Arial"/>
                <w:b/>
                <w:bCs/>
                <w:color w:val="000000"/>
                <w:szCs w:val="22"/>
              </w:rPr>
              <w:t>Мета проєкту:</w:t>
            </w:r>
          </w:p>
        </w:tc>
        <w:tc>
          <w:tcPr>
            <w:tcW w:w="6796" w:type="dxa"/>
            <w:gridSpan w:val="7"/>
            <w:vAlign w:val="center"/>
          </w:tcPr>
          <w:p w14:paraId="08525805" w14:textId="77777777" w:rsidR="005E011C" w:rsidRPr="0019790A" w:rsidRDefault="005E011C" w:rsidP="00267EAE">
            <w:pPr>
              <w:tabs>
                <w:tab w:val="left" w:pos="369"/>
              </w:tabs>
              <w:jc w:val="both"/>
              <w:rPr>
                <w:rFonts w:cs="Arial"/>
                <w:szCs w:val="22"/>
                <w:lang w:eastAsia="it-IT"/>
              </w:rPr>
            </w:pPr>
            <w:r w:rsidRPr="0019790A">
              <w:rPr>
                <w:rFonts w:cs="Arial"/>
                <w:szCs w:val="22"/>
                <w:lang w:eastAsia="it-IT"/>
              </w:rPr>
              <w:t>Придбання житла (квартир) згідно з квартирним обліком дітям-сиротам та дітям, позбавлених батьківського піклування, особам з їх числа</w:t>
            </w:r>
          </w:p>
        </w:tc>
      </w:tr>
      <w:tr w:rsidR="005E011C" w:rsidRPr="0019790A" w14:paraId="5BADE4BF" w14:textId="77777777" w:rsidTr="005861B0">
        <w:trPr>
          <w:jc w:val="right"/>
        </w:trPr>
        <w:tc>
          <w:tcPr>
            <w:tcW w:w="3423" w:type="dxa"/>
            <w:vAlign w:val="center"/>
          </w:tcPr>
          <w:p w14:paraId="68615CCA" w14:textId="77777777" w:rsidR="005E011C" w:rsidRPr="0019790A" w:rsidRDefault="005E011C" w:rsidP="005861B0">
            <w:pPr>
              <w:rPr>
                <w:rFonts w:cs="Arial"/>
                <w:b/>
                <w:bCs/>
                <w:color w:val="000000"/>
                <w:szCs w:val="22"/>
              </w:rPr>
            </w:pPr>
            <w:r w:rsidRPr="0019790A">
              <w:rPr>
                <w:rFonts w:cs="Arial"/>
                <w:b/>
                <w:bCs/>
                <w:color w:val="000000"/>
                <w:szCs w:val="22"/>
              </w:rPr>
              <w:t>Цілі проєкту:</w:t>
            </w:r>
          </w:p>
        </w:tc>
        <w:tc>
          <w:tcPr>
            <w:tcW w:w="6796" w:type="dxa"/>
            <w:gridSpan w:val="7"/>
            <w:vAlign w:val="center"/>
          </w:tcPr>
          <w:p w14:paraId="7A319855" w14:textId="77777777" w:rsidR="005E011C" w:rsidRPr="0019790A" w:rsidRDefault="005E011C" w:rsidP="00267EAE">
            <w:pPr>
              <w:tabs>
                <w:tab w:val="left" w:pos="369"/>
              </w:tabs>
              <w:jc w:val="both"/>
              <w:rPr>
                <w:rFonts w:cs="Arial"/>
                <w:szCs w:val="22"/>
                <w:lang w:eastAsia="it-IT"/>
              </w:rPr>
            </w:pPr>
            <w:r w:rsidRPr="0019790A">
              <w:rPr>
                <w:rFonts w:cs="Arial"/>
                <w:szCs w:val="22"/>
                <w:lang w:eastAsia="it-IT"/>
              </w:rPr>
              <w:t xml:space="preserve">Подолання дитячої безпритульності , покращення якості життя та поліпшення житлових умов дітей-сиріт та дітей, позбавлених батьківського піклування, які перебувають на квартирному обліку. </w:t>
            </w:r>
          </w:p>
        </w:tc>
      </w:tr>
      <w:tr w:rsidR="005E011C" w:rsidRPr="0019790A" w14:paraId="23A48AB3" w14:textId="77777777" w:rsidTr="005861B0">
        <w:trPr>
          <w:jc w:val="right"/>
        </w:trPr>
        <w:tc>
          <w:tcPr>
            <w:tcW w:w="3423" w:type="dxa"/>
            <w:vAlign w:val="center"/>
          </w:tcPr>
          <w:p w14:paraId="392D5492" w14:textId="77777777" w:rsidR="005E011C" w:rsidRPr="0019790A" w:rsidRDefault="005E011C" w:rsidP="005861B0">
            <w:pPr>
              <w:autoSpaceDE w:val="0"/>
              <w:autoSpaceDN w:val="0"/>
              <w:adjustRightInd w:val="0"/>
              <w:rPr>
                <w:rFonts w:cs="Arial"/>
                <w:b/>
                <w:color w:val="000000"/>
                <w:szCs w:val="22"/>
              </w:rPr>
            </w:pPr>
            <w:r w:rsidRPr="0019790A">
              <w:rPr>
                <w:rFonts w:cs="Arial"/>
                <w:b/>
                <w:color w:val="000000"/>
                <w:szCs w:val="22"/>
              </w:rPr>
              <w:t>Територія на яку проєкт матиме вплив:</w:t>
            </w:r>
          </w:p>
        </w:tc>
        <w:tc>
          <w:tcPr>
            <w:tcW w:w="6796" w:type="dxa"/>
            <w:gridSpan w:val="7"/>
            <w:vAlign w:val="center"/>
          </w:tcPr>
          <w:p w14:paraId="1B122F12" w14:textId="77777777" w:rsidR="005E011C" w:rsidRPr="0019790A" w:rsidRDefault="005E011C" w:rsidP="00267EAE">
            <w:pPr>
              <w:tabs>
                <w:tab w:val="left" w:pos="369"/>
              </w:tabs>
              <w:jc w:val="both"/>
              <w:rPr>
                <w:rFonts w:cs="Arial"/>
                <w:szCs w:val="22"/>
                <w:lang w:eastAsia="it-IT"/>
              </w:rPr>
            </w:pPr>
            <w:r w:rsidRPr="0019790A">
              <w:rPr>
                <w:rFonts w:cs="Arial"/>
                <w:szCs w:val="22"/>
                <w:lang w:eastAsia="it-IT"/>
              </w:rPr>
              <w:t>Жмеринська міська територіальна громада</w:t>
            </w:r>
          </w:p>
        </w:tc>
      </w:tr>
      <w:tr w:rsidR="005E011C" w:rsidRPr="0019790A" w14:paraId="7F94A89A" w14:textId="77777777" w:rsidTr="005861B0">
        <w:trPr>
          <w:jc w:val="right"/>
        </w:trPr>
        <w:tc>
          <w:tcPr>
            <w:tcW w:w="3423" w:type="dxa"/>
            <w:vAlign w:val="center"/>
          </w:tcPr>
          <w:p w14:paraId="7A69C19A" w14:textId="77777777" w:rsidR="005E011C" w:rsidRPr="0019790A" w:rsidRDefault="005E011C" w:rsidP="005861B0">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6" w:type="dxa"/>
            <w:gridSpan w:val="7"/>
            <w:vAlign w:val="center"/>
          </w:tcPr>
          <w:p w14:paraId="46352336" w14:textId="77777777" w:rsidR="005E011C" w:rsidRPr="0019790A" w:rsidRDefault="005E011C" w:rsidP="00267EAE">
            <w:pPr>
              <w:tabs>
                <w:tab w:val="left" w:pos="369"/>
              </w:tabs>
              <w:jc w:val="both"/>
              <w:rPr>
                <w:rFonts w:cs="Arial"/>
                <w:szCs w:val="22"/>
                <w:lang w:eastAsia="it-IT"/>
              </w:rPr>
            </w:pPr>
            <w:r w:rsidRPr="0019790A">
              <w:rPr>
                <w:rFonts w:cs="Arial"/>
                <w:szCs w:val="22"/>
                <w:lang w:eastAsia="it-IT"/>
              </w:rPr>
              <w:t xml:space="preserve">4 особи з числа дітей-сиріт та дітей, позбавлених батьківського піклування </w:t>
            </w:r>
          </w:p>
        </w:tc>
      </w:tr>
      <w:tr w:rsidR="005E011C" w:rsidRPr="0019790A" w14:paraId="52B78E4A" w14:textId="77777777" w:rsidTr="005861B0">
        <w:trPr>
          <w:trHeight w:val="757"/>
          <w:jc w:val="right"/>
        </w:trPr>
        <w:tc>
          <w:tcPr>
            <w:tcW w:w="3423" w:type="dxa"/>
            <w:shd w:val="clear" w:color="auto" w:fill="FFFFFF"/>
            <w:vAlign w:val="center"/>
          </w:tcPr>
          <w:p w14:paraId="051521EC" w14:textId="77777777" w:rsidR="005E011C" w:rsidRPr="0019790A" w:rsidRDefault="005E011C" w:rsidP="005861B0">
            <w:pPr>
              <w:rPr>
                <w:rFonts w:cs="Arial"/>
                <w:b/>
                <w:bCs/>
                <w:color w:val="000000"/>
                <w:szCs w:val="22"/>
              </w:rPr>
            </w:pPr>
            <w:r w:rsidRPr="0019790A">
              <w:rPr>
                <w:rFonts w:cs="Arial"/>
                <w:b/>
                <w:bCs/>
                <w:color w:val="000000"/>
                <w:szCs w:val="22"/>
              </w:rPr>
              <w:t>Стислий опис проєкту:</w:t>
            </w:r>
          </w:p>
        </w:tc>
        <w:tc>
          <w:tcPr>
            <w:tcW w:w="6796" w:type="dxa"/>
            <w:gridSpan w:val="7"/>
            <w:vAlign w:val="center"/>
          </w:tcPr>
          <w:p w14:paraId="16C30585" w14:textId="77777777" w:rsidR="005E011C" w:rsidRPr="0019790A" w:rsidRDefault="005E011C" w:rsidP="00267EAE">
            <w:pPr>
              <w:tabs>
                <w:tab w:val="left" w:pos="369"/>
              </w:tabs>
              <w:jc w:val="both"/>
              <w:rPr>
                <w:rFonts w:cs="Arial"/>
                <w:szCs w:val="22"/>
                <w:lang w:eastAsia="it-IT"/>
              </w:rPr>
            </w:pPr>
            <w:r w:rsidRPr="0019790A">
              <w:rPr>
                <w:rFonts w:cs="Arial"/>
                <w:szCs w:val="22"/>
                <w:lang w:eastAsia="it-IT"/>
              </w:rPr>
              <w:t>Покращення якості життя дітей соціально вразливих груп населення.</w:t>
            </w:r>
          </w:p>
        </w:tc>
      </w:tr>
      <w:tr w:rsidR="005E011C" w:rsidRPr="0019790A" w14:paraId="0515197A" w14:textId="77777777" w:rsidTr="005861B0">
        <w:trPr>
          <w:trHeight w:val="1864"/>
          <w:jc w:val="right"/>
        </w:trPr>
        <w:tc>
          <w:tcPr>
            <w:tcW w:w="3423" w:type="dxa"/>
            <w:shd w:val="clear" w:color="auto" w:fill="FFFFFF"/>
            <w:vAlign w:val="center"/>
          </w:tcPr>
          <w:p w14:paraId="66DA97F4" w14:textId="77777777" w:rsidR="005E011C" w:rsidRPr="0019790A" w:rsidRDefault="005E011C" w:rsidP="005861B0">
            <w:pPr>
              <w:rPr>
                <w:rFonts w:cs="Arial"/>
                <w:b/>
                <w:bCs/>
                <w:color w:val="000000"/>
                <w:szCs w:val="22"/>
              </w:rPr>
            </w:pPr>
            <w:r w:rsidRPr="0019790A">
              <w:rPr>
                <w:rFonts w:cs="Arial"/>
                <w:b/>
                <w:bCs/>
                <w:color w:val="000000"/>
                <w:szCs w:val="22"/>
              </w:rPr>
              <w:t>Основні заходи проєкту:</w:t>
            </w:r>
          </w:p>
        </w:tc>
        <w:tc>
          <w:tcPr>
            <w:tcW w:w="6796" w:type="dxa"/>
            <w:gridSpan w:val="7"/>
            <w:vAlign w:val="center"/>
          </w:tcPr>
          <w:p w14:paraId="6B045B22" w14:textId="77777777" w:rsidR="005E011C" w:rsidRPr="0019790A" w:rsidRDefault="005E011C" w:rsidP="00267EAE">
            <w:pPr>
              <w:tabs>
                <w:tab w:val="left" w:pos="369"/>
              </w:tabs>
              <w:jc w:val="both"/>
              <w:rPr>
                <w:rFonts w:cs="Arial"/>
                <w:iCs/>
                <w:szCs w:val="22"/>
              </w:rPr>
            </w:pPr>
            <w:r w:rsidRPr="0019790A">
              <w:rPr>
                <w:rFonts w:cs="Arial"/>
                <w:iCs/>
                <w:szCs w:val="22"/>
              </w:rPr>
              <w:t>1.Своєчасна  постановка дітей-сиріт та дітей позбавлених батьківського піклування,   які не мають житла на квартирний облік.</w:t>
            </w:r>
          </w:p>
          <w:p w14:paraId="21290BFC" w14:textId="77777777" w:rsidR="005E011C" w:rsidRPr="0019790A" w:rsidRDefault="005E011C" w:rsidP="00267EAE">
            <w:pPr>
              <w:tabs>
                <w:tab w:val="left" w:pos="369"/>
              </w:tabs>
              <w:jc w:val="both"/>
              <w:rPr>
                <w:rFonts w:cs="Arial"/>
                <w:szCs w:val="22"/>
                <w:lang w:eastAsia="it-IT"/>
              </w:rPr>
            </w:pPr>
            <w:r w:rsidRPr="0019790A">
              <w:rPr>
                <w:rFonts w:cs="Arial"/>
                <w:iCs/>
                <w:szCs w:val="22"/>
              </w:rPr>
              <w:t>2. Оголошення на надання пропозицій  щодо придбання житла</w:t>
            </w:r>
          </w:p>
          <w:p w14:paraId="3EBD73ED" w14:textId="77777777" w:rsidR="005E011C" w:rsidRPr="0019790A" w:rsidRDefault="005E011C" w:rsidP="00267EAE">
            <w:pPr>
              <w:tabs>
                <w:tab w:val="left" w:pos="369"/>
              </w:tabs>
              <w:jc w:val="both"/>
              <w:rPr>
                <w:rFonts w:cs="Arial"/>
                <w:szCs w:val="22"/>
                <w:lang w:eastAsia="it-IT"/>
              </w:rPr>
            </w:pPr>
            <w:r w:rsidRPr="0019790A">
              <w:rPr>
                <w:rFonts w:cs="Arial"/>
                <w:szCs w:val="22"/>
                <w:lang w:eastAsia="it-IT"/>
              </w:rPr>
              <w:t>3.Придбання житла (квартир) згідно з квартирним обліком дітям-сиротам та дітям, позбавлених батьківського піклування, особам з їх числа.</w:t>
            </w:r>
          </w:p>
        </w:tc>
      </w:tr>
      <w:tr w:rsidR="005E011C" w:rsidRPr="0019790A" w14:paraId="2DA68544" w14:textId="77777777" w:rsidTr="005861B0">
        <w:trPr>
          <w:trHeight w:val="688"/>
          <w:jc w:val="right"/>
        </w:trPr>
        <w:tc>
          <w:tcPr>
            <w:tcW w:w="3423" w:type="dxa"/>
            <w:shd w:val="clear" w:color="auto" w:fill="FFFFFF"/>
            <w:vAlign w:val="center"/>
          </w:tcPr>
          <w:p w14:paraId="157F10A6" w14:textId="77777777" w:rsidR="005E011C" w:rsidRPr="0019790A" w:rsidRDefault="005E011C" w:rsidP="005861B0">
            <w:pPr>
              <w:rPr>
                <w:rFonts w:cs="Arial"/>
                <w:b/>
                <w:bCs/>
                <w:color w:val="000000"/>
                <w:szCs w:val="22"/>
              </w:rPr>
            </w:pPr>
            <w:r w:rsidRPr="0019790A">
              <w:rPr>
                <w:rFonts w:cs="Arial"/>
                <w:b/>
                <w:bCs/>
                <w:color w:val="000000"/>
                <w:szCs w:val="22"/>
              </w:rPr>
              <w:t>Індикатори (показники) результативності:</w:t>
            </w:r>
          </w:p>
        </w:tc>
        <w:tc>
          <w:tcPr>
            <w:tcW w:w="6796" w:type="dxa"/>
            <w:gridSpan w:val="7"/>
            <w:vAlign w:val="center"/>
          </w:tcPr>
          <w:p w14:paraId="46AE740A" w14:textId="77777777" w:rsidR="005E011C" w:rsidRPr="0019790A" w:rsidRDefault="005E011C" w:rsidP="00267EAE">
            <w:pPr>
              <w:tabs>
                <w:tab w:val="left" w:pos="369"/>
              </w:tabs>
              <w:jc w:val="both"/>
              <w:rPr>
                <w:rFonts w:cs="Arial"/>
                <w:szCs w:val="22"/>
                <w:lang w:eastAsia="it-IT"/>
              </w:rPr>
            </w:pPr>
            <w:r w:rsidRPr="0019790A">
              <w:rPr>
                <w:rFonts w:cs="Arial"/>
                <w:szCs w:val="22"/>
                <w:lang w:eastAsia="it-IT"/>
              </w:rPr>
              <w:t>Кількість придбаного житла для дітей-сиріт та дітей, позбавлених батьківського піклування</w:t>
            </w:r>
          </w:p>
        </w:tc>
      </w:tr>
      <w:tr w:rsidR="005E011C" w:rsidRPr="0019790A" w14:paraId="3A2FCC0D" w14:textId="77777777" w:rsidTr="005861B0">
        <w:trPr>
          <w:jc w:val="right"/>
        </w:trPr>
        <w:tc>
          <w:tcPr>
            <w:tcW w:w="3423" w:type="dxa"/>
            <w:shd w:val="clear" w:color="auto" w:fill="FFFFFF"/>
            <w:vAlign w:val="center"/>
          </w:tcPr>
          <w:p w14:paraId="68534F2D" w14:textId="77777777" w:rsidR="005E011C" w:rsidRPr="0019790A" w:rsidRDefault="005E011C" w:rsidP="005861B0">
            <w:pPr>
              <w:rPr>
                <w:rFonts w:cs="Arial"/>
                <w:b/>
                <w:color w:val="000000"/>
                <w:szCs w:val="22"/>
              </w:rPr>
            </w:pPr>
            <w:r w:rsidRPr="0019790A">
              <w:rPr>
                <w:rFonts w:cs="Arial"/>
                <w:b/>
                <w:color w:val="000000"/>
                <w:szCs w:val="22"/>
              </w:rPr>
              <w:t xml:space="preserve">Період здійснення: </w:t>
            </w:r>
          </w:p>
        </w:tc>
        <w:tc>
          <w:tcPr>
            <w:tcW w:w="6796" w:type="dxa"/>
            <w:gridSpan w:val="7"/>
            <w:vAlign w:val="center"/>
          </w:tcPr>
          <w:p w14:paraId="5F116A81" w14:textId="77777777" w:rsidR="005E011C" w:rsidRPr="0019790A" w:rsidRDefault="005E011C" w:rsidP="00267EAE">
            <w:pPr>
              <w:tabs>
                <w:tab w:val="left" w:pos="369"/>
              </w:tabs>
              <w:jc w:val="both"/>
              <w:rPr>
                <w:rFonts w:cs="Arial"/>
                <w:color w:val="000000"/>
                <w:szCs w:val="22"/>
                <w:lang w:eastAsia="it-IT"/>
              </w:rPr>
            </w:pPr>
            <w:r w:rsidRPr="0019790A">
              <w:rPr>
                <w:rFonts w:cs="Arial"/>
                <w:b/>
                <w:color w:val="000000"/>
                <w:szCs w:val="22"/>
              </w:rPr>
              <w:t>2025 – 2028 роки:</w:t>
            </w:r>
          </w:p>
        </w:tc>
      </w:tr>
      <w:tr w:rsidR="005E011C" w:rsidRPr="0019790A" w14:paraId="0E2D3D68" w14:textId="77777777" w:rsidTr="005861B0">
        <w:trPr>
          <w:jc w:val="right"/>
        </w:trPr>
        <w:tc>
          <w:tcPr>
            <w:tcW w:w="3423" w:type="dxa"/>
            <w:vMerge w:val="restart"/>
            <w:shd w:val="clear" w:color="auto" w:fill="FFFFFF"/>
            <w:vAlign w:val="center"/>
          </w:tcPr>
          <w:p w14:paraId="56B3EBDC" w14:textId="77777777" w:rsidR="005E011C" w:rsidRPr="0019790A" w:rsidRDefault="005E011C" w:rsidP="005861B0">
            <w:pPr>
              <w:rPr>
                <w:rFonts w:cs="Arial"/>
                <w:b/>
                <w:bCs/>
                <w:color w:val="000000"/>
                <w:szCs w:val="22"/>
              </w:rPr>
            </w:pPr>
            <w:r w:rsidRPr="0019790A">
              <w:rPr>
                <w:rFonts w:cs="Arial"/>
                <w:b/>
                <w:bCs/>
                <w:color w:val="000000"/>
                <w:szCs w:val="22"/>
              </w:rPr>
              <w:t>Орієнтовна вартість проєкту, тис. грн., в тому числі:</w:t>
            </w:r>
          </w:p>
        </w:tc>
        <w:tc>
          <w:tcPr>
            <w:tcW w:w="1258" w:type="dxa"/>
            <w:shd w:val="clear" w:color="auto" w:fill="E6E6E6"/>
            <w:vAlign w:val="center"/>
          </w:tcPr>
          <w:p w14:paraId="4F6C284B" w14:textId="77777777" w:rsidR="005E011C" w:rsidRPr="0019790A" w:rsidRDefault="005E011C" w:rsidP="00267EAE">
            <w:pPr>
              <w:tabs>
                <w:tab w:val="left" w:pos="369"/>
              </w:tabs>
              <w:jc w:val="center"/>
              <w:rPr>
                <w:rFonts w:cs="Arial"/>
                <w:b/>
                <w:color w:val="000000"/>
                <w:szCs w:val="22"/>
                <w:lang w:eastAsia="it-IT"/>
              </w:rPr>
            </w:pPr>
            <w:r w:rsidRPr="0019790A">
              <w:rPr>
                <w:rFonts w:cs="Arial"/>
                <w:b/>
                <w:color w:val="000000"/>
                <w:szCs w:val="22"/>
                <w:lang w:eastAsia="it-IT"/>
              </w:rPr>
              <w:t>2025</w:t>
            </w:r>
          </w:p>
        </w:tc>
        <w:tc>
          <w:tcPr>
            <w:tcW w:w="1275" w:type="dxa"/>
            <w:shd w:val="clear" w:color="auto" w:fill="E6E6E6"/>
            <w:vAlign w:val="center"/>
          </w:tcPr>
          <w:p w14:paraId="0352A921" w14:textId="77777777" w:rsidR="005E011C" w:rsidRPr="0019790A" w:rsidRDefault="005E011C" w:rsidP="00267EAE">
            <w:pPr>
              <w:tabs>
                <w:tab w:val="left" w:pos="369"/>
              </w:tabs>
              <w:jc w:val="center"/>
              <w:rPr>
                <w:rFonts w:cs="Arial"/>
                <w:b/>
                <w:color w:val="000000"/>
                <w:szCs w:val="22"/>
                <w:lang w:eastAsia="it-IT"/>
              </w:rPr>
            </w:pPr>
            <w:r w:rsidRPr="0019790A">
              <w:rPr>
                <w:rFonts w:cs="Arial"/>
                <w:b/>
                <w:color w:val="000000"/>
                <w:szCs w:val="22"/>
                <w:lang w:eastAsia="it-IT"/>
              </w:rPr>
              <w:t>2026</w:t>
            </w:r>
          </w:p>
        </w:tc>
        <w:tc>
          <w:tcPr>
            <w:tcW w:w="1417" w:type="dxa"/>
            <w:gridSpan w:val="2"/>
            <w:tcBorders>
              <w:bottom w:val="single" w:sz="4" w:space="0" w:color="auto"/>
            </w:tcBorders>
            <w:shd w:val="clear" w:color="auto" w:fill="E6E6E6"/>
            <w:vAlign w:val="center"/>
          </w:tcPr>
          <w:p w14:paraId="152F0F56" w14:textId="77777777" w:rsidR="005E011C" w:rsidRPr="0019790A" w:rsidRDefault="005E011C" w:rsidP="00267EAE">
            <w:pPr>
              <w:tabs>
                <w:tab w:val="left" w:pos="369"/>
              </w:tabs>
              <w:jc w:val="center"/>
              <w:rPr>
                <w:rFonts w:cs="Arial"/>
                <w:b/>
                <w:color w:val="000000"/>
                <w:szCs w:val="22"/>
                <w:lang w:eastAsia="it-IT"/>
              </w:rPr>
            </w:pPr>
            <w:r w:rsidRPr="0019790A">
              <w:rPr>
                <w:rFonts w:cs="Arial"/>
                <w:b/>
                <w:color w:val="000000"/>
                <w:szCs w:val="22"/>
                <w:lang w:eastAsia="it-IT"/>
              </w:rPr>
              <w:t>2027</w:t>
            </w:r>
          </w:p>
        </w:tc>
        <w:tc>
          <w:tcPr>
            <w:tcW w:w="1276" w:type="dxa"/>
            <w:shd w:val="clear" w:color="auto" w:fill="E6E6E6"/>
            <w:vAlign w:val="center"/>
          </w:tcPr>
          <w:p w14:paraId="496C2080" w14:textId="77777777" w:rsidR="005E011C" w:rsidRPr="0019790A" w:rsidRDefault="005E011C" w:rsidP="00267EAE">
            <w:pPr>
              <w:tabs>
                <w:tab w:val="left" w:pos="369"/>
              </w:tabs>
              <w:jc w:val="center"/>
              <w:rPr>
                <w:rFonts w:cs="Arial"/>
                <w:b/>
                <w:color w:val="000000"/>
                <w:szCs w:val="22"/>
                <w:lang w:eastAsia="it-IT"/>
              </w:rPr>
            </w:pPr>
            <w:r w:rsidRPr="0019790A">
              <w:rPr>
                <w:rFonts w:cs="Arial"/>
                <w:b/>
                <w:color w:val="000000"/>
                <w:szCs w:val="22"/>
                <w:lang w:eastAsia="it-IT"/>
              </w:rPr>
              <w:t>2028</w:t>
            </w:r>
          </w:p>
        </w:tc>
        <w:tc>
          <w:tcPr>
            <w:tcW w:w="1570" w:type="dxa"/>
            <w:gridSpan w:val="2"/>
            <w:shd w:val="clear" w:color="auto" w:fill="E6E6E6"/>
            <w:vAlign w:val="center"/>
          </w:tcPr>
          <w:p w14:paraId="54279934" w14:textId="77777777" w:rsidR="005E011C" w:rsidRPr="0019790A" w:rsidRDefault="005E011C" w:rsidP="00267EAE">
            <w:pPr>
              <w:tabs>
                <w:tab w:val="left" w:pos="369"/>
              </w:tabs>
              <w:jc w:val="center"/>
              <w:rPr>
                <w:rFonts w:cs="Arial"/>
                <w:b/>
                <w:color w:val="000000"/>
                <w:szCs w:val="22"/>
                <w:lang w:eastAsia="it-IT"/>
              </w:rPr>
            </w:pPr>
            <w:r w:rsidRPr="0019790A">
              <w:rPr>
                <w:rFonts w:cs="Arial"/>
                <w:b/>
                <w:color w:val="000000"/>
                <w:szCs w:val="22"/>
                <w:lang w:eastAsia="it-IT"/>
              </w:rPr>
              <w:t>РАЗОМ</w:t>
            </w:r>
          </w:p>
        </w:tc>
      </w:tr>
      <w:tr w:rsidR="005E011C" w:rsidRPr="0019790A" w14:paraId="10C53A80" w14:textId="77777777" w:rsidTr="005861B0">
        <w:trPr>
          <w:jc w:val="right"/>
        </w:trPr>
        <w:tc>
          <w:tcPr>
            <w:tcW w:w="3423" w:type="dxa"/>
            <w:vMerge/>
            <w:shd w:val="clear" w:color="auto" w:fill="FFFFFF"/>
            <w:vAlign w:val="center"/>
          </w:tcPr>
          <w:p w14:paraId="78996644" w14:textId="77777777" w:rsidR="005E011C" w:rsidRPr="0019790A" w:rsidRDefault="005E011C" w:rsidP="005861B0">
            <w:pPr>
              <w:rPr>
                <w:rFonts w:cs="Arial"/>
                <w:b/>
                <w:bCs/>
                <w:color w:val="000000"/>
                <w:szCs w:val="22"/>
              </w:rPr>
            </w:pPr>
          </w:p>
        </w:tc>
        <w:tc>
          <w:tcPr>
            <w:tcW w:w="1258" w:type="dxa"/>
            <w:vAlign w:val="center"/>
          </w:tcPr>
          <w:p w14:paraId="2FF53458" w14:textId="77777777" w:rsidR="005E011C" w:rsidRPr="0019790A" w:rsidRDefault="005E011C" w:rsidP="00267EAE">
            <w:pPr>
              <w:tabs>
                <w:tab w:val="left" w:pos="369"/>
              </w:tabs>
              <w:jc w:val="center"/>
              <w:rPr>
                <w:rFonts w:cs="Arial"/>
                <w:b/>
                <w:color w:val="000000"/>
                <w:szCs w:val="22"/>
                <w:lang w:eastAsia="it-IT"/>
              </w:rPr>
            </w:pPr>
            <w:r w:rsidRPr="0019790A">
              <w:rPr>
                <w:rFonts w:cs="Arial"/>
                <w:b/>
                <w:color w:val="000000"/>
                <w:szCs w:val="22"/>
                <w:lang w:eastAsia="it-IT"/>
              </w:rPr>
              <w:t>726,15</w:t>
            </w:r>
          </w:p>
        </w:tc>
        <w:tc>
          <w:tcPr>
            <w:tcW w:w="1275" w:type="dxa"/>
            <w:shd w:val="clear" w:color="auto" w:fill="FFFFFF"/>
            <w:vAlign w:val="center"/>
          </w:tcPr>
          <w:p w14:paraId="6CE5CE56" w14:textId="77777777" w:rsidR="005E011C" w:rsidRPr="0019790A" w:rsidRDefault="005E011C" w:rsidP="00267EAE">
            <w:pPr>
              <w:tabs>
                <w:tab w:val="left" w:pos="369"/>
              </w:tabs>
              <w:jc w:val="center"/>
              <w:rPr>
                <w:rFonts w:cs="Arial"/>
                <w:b/>
                <w:color w:val="000000"/>
                <w:szCs w:val="22"/>
                <w:lang w:eastAsia="it-IT"/>
              </w:rPr>
            </w:pPr>
            <w:r w:rsidRPr="0019790A">
              <w:rPr>
                <w:rFonts w:cs="Arial"/>
                <w:b/>
                <w:color w:val="000000"/>
                <w:szCs w:val="22"/>
                <w:lang w:eastAsia="it-IT"/>
              </w:rPr>
              <w:t>816,18</w:t>
            </w:r>
          </w:p>
        </w:tc>
        <w:tc>
          <w:tcPr>
            <w:tcW w:w="1417" w:type="dxa"/>
            <w:gridSpan w:val="2"/>
            <w:shd w:val="clear" w:color="auto" w:fill="auto"/>
            <w:vAlign w:val="center"/>
          </w:tcPr>
          <w:p w14:paraId="4729A630" w14:textId="77777777" w:rsidR="005E011C" w:rsidRPr="0019790A" w:rsidRDefault="005E011C" w:rsidP="00267EAE">
            <w:pPr>
              <w:tabs>
                <w:tab w:val="left" w:pos="369"/>
              </w:tabs>
              <w:jc w:val="center"/>
              <w:rPr>
                <w:rFonts w:cs="Arial"/>
                <w:b/>
                <w:color w:val="000000"/>
                <w:szCs w:val="22"/>
                <w:lang w:eastAsia="it-IT"/>
              </w:rPr>
            </w:pPr>
            <w:r w:rsidRPr="0019790A">
              <w:rPr>
                <w:rFonts w:cs="Arial"/>
                <w:b/>
                <w:color w:val="000000"/>
                <w:szCs w:val="22"/>
                <w:lang w:eastAsia="it-IT"/>
              </w:rPr>
              <w:t>879,84</w:t>
            </w:r>
          </w:p>
        </w:tc>
        <w:tc>
          <w:tcPr>
            <w:tcW w:w="1276" w:type="dxa"/>
            <w:shd w:val="clear" w:color="auto" w:fill="FFFFFF"/>
            <w:vAlign w:val="center"/>
          </w:tcPr>
          <w:p w14:paraId="23D95D79" w14:textId="77777777" w:rsidR="005E011C" w:rsidRPr="0019790A" w:rsidRDefault="005E011C" w:rsidP="00267EAE">
            <w:pPr>
              <w:tabs>
                <w:tab w:val="left" w:pos="369"/>
              </w:tabs>
              <w:jc w:val="center"/>
              <w:rPr>
                <w:rFonts w:cs="Arial"/>
                <w:b/>
                <w:color w:val="000000"/>
                <w:szCs w:val="22"/>
                <w:lang w:eastAsia="it-IT"/>
              </w:rPr>
            </w:pPr>
            <w:r w:rsidRPr="0019790A">
              <w:rPr>
                <w:rFonts w:cs="Arial"/>
                <w:b/>
                <w:color w:val="000000"/>
                <w:szCs w:val="22"/>
                <w:lang w:eastAsia="it-IT"/>
              </w:rPr>
              <w:t>879,84</w:t>
            </w:r>
          </w:p>
        </w:tc>
        <w:tc>
          <w:tcPr>
            <w:tcW w:w="1570" w:type="dxa"/>
            <w:gridSpan w:val="2"/>
            <w:shd w:val="clear" w:color="auto" w:fill="FFFFFF"/>
            <w:vAlign w:val="center"/>
          </w:tcPr>
          <w:p w14:paraId="64E3C338" w14:textId="77777777" w:rsidR="005E011C" w:rsidRPr="0019790A" w:rsidRDefault="005E011C" w:rsidP="00267EAE">
            <w:pPr>
              <w:tabs>
                <w:tab w:val="left" w:pos="369"/>
              </w:tabs>
              <w:jc w:val="center"/>
              <w:rPr>
                <w:rFonts w:cs="Arial"/>
                <w:b/>
                <w:color w:val="000000"/>
                <w:szCs w:val="22"/>
                <w:lang w:eastAsia="it-IT"/>
              </w:rPr>
            </w:pPr>
            <w:r w:rsidRPr="0019790A">
              <w:rPr>
                <w:rFonts w:cs="Arial"/>
                <w:b/>
                <w:color w:val="000000"/>
                <w:szCs w:val="22"/>
                <w:lang w:eastAsia="it-IT"/>
              </w:rPr>
              <w:t>3302,01</w:t>
            </w:r>
          </w:p>
        </w:tc>
      </w:tr>
      <w:tr w:rsidR="005E011C" w:rsidRPr="0019790A" w14:paraId="36C46292" w14:textId="77777777" w:rsidTr="005861B0">
        <w:trPr>
          <w:trHeight w:val="276"/>
          <w:jc w:val="right"/>
        </w:trPr>
        <w:tc>
          <w:tcPr>
            <w:tcW w:w="3423" w:type="dxa"/>
            <w:shd w:val="clear" w:color="auto" w:fill="FFFFFF"/>
            <w:vAlign w:val="center"/>
          </w:tcPr>
          <w:p w14:paraId="7961FD57" w14:textId="77777777" w:rsidR="005E011C" w:rsidRPr="0019790A" w:rsidRDefault="005E011C" w:rsidP="005861B0">
            <w:pPr>
              <w:rPr>
                <w:rFonts w:cs="Arial"/>
                <w:b/>
                <w:bCs/>
                <w:color w:val="000000"/>
                <w:szCs w:val="22"/>
              </w:rPr>
            </w:pPr>
            <w:r w:rsidRPr="0019790A">
              <w:rPr>
                <w:rFonts w:cs="Arial"/>
                <w:b/>
                <w:bCs/>
                <w:color w:val="000000"/>
                <w:szCs w:val="22"/>
              </w:rPr>
              <w:t>по джерелах фінансування:</w:t>
            </w:r>
          </w:p>
        </w:tc>
        <w:tc>
          <w:tcPr>
            <w:tcW w:w="6796" w:type="dxa"/>
            <w:gridSpan w:val="7"/>
            <w:vAlign w:val="center"/>
          </w:tcPr>
          <w:p w14:paraId="3F40DF54" w14:textId="77777777" w:rsidR="005E011C" w:rsidRPr="0019790A" w:rsidRDefault="005E011C" w:rsidP="00267EAE">
            <w:pPr>
              <w:tabs>
                <w:tab w:val="left" w:pos="369"/>
              </w:tabs>
              <w:jc w:val="center"/>
              <w:rPr>
                <w:rFonts w:cs="Arial"/>
                <w:color w:val="000000"/>
                <w:szCs w:val="22"/>
                <w:lang w:eastAsia="it-IT"/>
              </w:rPr>
            </w:pPr>
          </w:p>
        </w:tc>
      </w:tr>
      <w:tr w:rsidR="00267EAE" w:rsidRPr="0019790A" w14:paraId="575D66F5" w14:textId="75901F29" w:rsidTr="005861B0">
        <w:trPr>
          <w:trHeight w:val="240"/>
          <w:jc w:val="right"/>
        </w:trPr>
        <w:tc>
          <w:tcPr>
            <w:tcW w:w="3423" w:type="dxa"/>
            <w:shd w:val="clear" w:color="auto" w:fill="FFFFFF"/>
            <w:vAlign w:val="center"/>
          </w:tcPr>
          <w:p w14:paraId="270658B4" w14:textId="77777777" w:rsidR="00267EAE" w:rsidRPr="0019790A" w:rsidRDefault="00267EAE" w:rsidP="005861B0">
            <w:pPr>
              <w:rPr>
                <w:rFonts w:cs="Arial"/>
                <w:b/>
                <w:bCs/>
                <w:color w:val="000000"/>
                <w:szCs w:val="22"/>
              </w:rPr>
            </w:pPr>
            <w:r w:rsidRPr="0019790A">
              <w:rPr>
                <w:rFonts w:cs="Arial"/>
                <w:color w:val="000000"/>
                <w:szCs w:val="22"/>
              </w:rPr>
              <w:t>- державний бюджет</w:t>
            </w:r>
          </w:p>
        </w:tc>
        <w:tc>
          <w:tcPr>
            <w:tcW w:w="1258" w:type="dxa"/>
            <w:vAlign w:val="center"/>
          </w:tcPr>
          <w:p w14:paraId="3985A6D1" w14:textId="77777777" w:rsidR="00267EAE" w:rsidRPr="0019790A" w:rsidRDefault="00267EAE" w:rsidP="00267EAE">
            <w:pPr>
              <w:tabs>
                <w:tab w:val="left" w:pos="369"/>
              </w:tabs>
              <w:jc w:val="center"/>
              <w:rPr>
                <w:rFonts w:cs="Arial"/>
                <w:color w:val="000000"/>
                <w:szCs w:val="22"/>
                <w:lang w:eastAsia="it-IT"/>
              </w:rPr>
            </w:pPr>
          </w:p>
        </w:tc>
        <w:tc>
          <w:tcPr>
            <w:tcW w:w="1334" w:type="dxa"/>
            <w:gridSpan w:val="2"/>
            <w:vAlign w:val="center"/>
          </w:tcPr>
          <w:p w14:paraId="5566A3FD" w14:textId="77777777" w:rsidR="00267EAE" w:rsidRPr="0019790A" w:rsidRDefault="00267EAE" w:rsidP="00267EAE">
            <w:pPr>
              <w:tabs>
                <w:tab w:val="left" w:pos="369"/>
              </w:tabs>
              <w:jc w:val="center"/>
              <w:rPr>
                <w:rFonts w:cs="Arial"/>
                <w:color w:val="000000"/>
                <w:szCs w:val="22"/>
                <w:lang w:eastAsia="it-IT"/>
              </w:rPr>
            </w:pPr>
          </w:p>
        </w:tc>
        <w:tc>
          <w:tcPr>
            <w:tcW w:w="1363" w:type="dxa"/>
            <w:vAlign w:val="center"/>
          </w:tcPr>
          <w:p w14:paraId="5473FF0A" w14:textId="77777777" w:rsidR="00267EAE" w:rsidRPr="0019790A" w:rsidRDefault="00267EAE" w:rsidP="00267EAE">
            <w:pPr>
              <w:tabs>
                <w:tab w:val="left" w:pos="369"/>
              </w:tabs>
              <w:jc w:val="center"/>
              <w:rPr>
                <w:rFonts w:cs="Arial"/>
                <w:color w:val="000000"/>
                <w:szCs w:val="22"/>
                <w:lang w:eastAsia="it-IT"/>
              </w:rPr>
            </w:pPr>
          </w:p>
        </w:tc>
        <w:tc>
          <w:tcPr>
            <w:tcW w:w="1296" w:type="dxa"/>
            <w:gridSpan w:val="2"/>
            <w:vAlign w:val="center"/>
          </w:tcPr>
          <w:p w14:paraId="2E1C867A" w14:textId="77777777" w:rsidR="00267EAE" w:rsidRPr="0019790A" w:rsidRDefault="00267EAE" w:rsidP="00267EAE">
            <w:pPr>
              <w:tabs>
                <w:tab w:val="left" w:pos="369"/>
              </w:tabs>
              <w:jc w:val="center"/>
              <w:rPr>
                <w:rFonts w:cs="Arial"/>
                <w:color w:val="000000"/>
                <w:szCs w:val="22"/>
                <w:lang w:eastAsia="it-IT"/>
              </w:rPr>
            </w:pPr>
          </w:p>
        </w:tc>
        <w:tc>
          <w:tcPr>
            <w:tcW w:w="1545" w:type="dxa"/>
            <w:vAlign w:val="center"/>
          </w:tcPr>
          <w:p w14:paraId="35085644" w14:textId="753C8739" w:rsidR="00267EAE" w:rsidRPr="0019790A" w:rsidRDefault="00267EAE" w:rsidP="00267EAE">
            <w:pPr>
              <w:tabs>
                <w:tab w:val="left" w:pos="369"/>
              </w:tabs>
              <w:jc w:val="center"/>
              <w:rPr>
                <w:rFonts w:cs="Arial"/>
                <w:color w:val="000000"/>
                <w:szCs w:val="22"/>
                <w:lang w:eastAsia="it-IT"/>
              </w:rPr>
            </w:pPr>
          </w:p>
        </w:tc>
      </w:tr>
      <w:tr w:rsidR="00267EAE" w:rsidRPr="0019790A" w14:paraId="62DB1988" w14:textId="04505667" w:rsidTr="005861B0">
        <w:trPr>
          <w:trHeight w:val="254"/>
          <w:jc w:val="right"/>
        </w:trPr>
        <w:tc>
          <w:tcPr>
            <w:tcW w:w="3423" w:type="dxa"/>
            <w:shd w:val="clear" w:color="auto" w:fill="FFFFFF"/>
            <w:vAlign w:val="center"/>
          </w:tcPr>
          <w:p w14:paraId="3543A656" w14:textId="77777777" w:rsidR="00267EAE" w:rsidRPr="0019790A" w:rsidRDefault="00267EAE" w:rsidP="005861B0">
            <w:pPr>
              <w:rPr>
                <w:rFonts w:cs="Arial"/>
                <w:color w:val="000000"/>
                <w:szCs w:val="22"/>
              </w:rPr>
            </w:pPr>
            <w:r w:rsidRPr="0019790A">
              <w:rPr>
                <w:rFonts w:cs="Arial"/>
                <w:color w:val="000000"/>
                <w:szCs w:val="22"/>
              </w:rPr>
              <w:t>- обласний бюджет</w:t>
            </w:r>
          </w:p>
        </w:tc>
        <w:tc>
          <w:tcPr>
            <w:tcW w:w="1258" w:type="dxa"/>
            <w:vAlign w:val="center"/>
          </w:tcPr>
          <w:p w14:paraId="7F510934" w14:textId="77777777" w:rsidR="00267EAE" w:rsidRPr="0019790A" w:rsidRDefault="00267EAE" w:rsidP="00267EAE">
            <w:pPr>
              <w:tabs>
                <w:tab w:val="left" w:pos="369"/>
              </w:tabs>
              <w:jc w:val="center"/>
              <w:rPr>
                <w:rFonts w:cs="Arial"/>
                <w:color w:val="000000"/>
                <w:szCs w:val="22"/>
                <w:lang w:eastAsia="it-IT"/>
              </w:rPr>
            </w:pPr>
          </w:p>
        </w:tc>
        <w:tc>
          <w:tcPr>
            <w:tcW w:w="1334" w:type="dxa"/>
            <w:gridSpan w:val="2"/>
            <w:vAlign w:val="center"/>
          </w:tcPr>
          <w:p w14:paraId="1A702215" w14:textId="77777777" w:rsidR="00267EAE" w:rsidRPr="0019790A" w:rsidRDefault="00267EAE" w:rsidP="00267EAE">
            <w:pPr>
              <w:tabs>
                <w:tab w:val="left" w:pos="369"/>
              </w:tabs>
              <w:jc w:val="center"/>
              <w:rPr>
                <w:rFonts w:cs="Arial"/>
                <w:color w:val="000000"/>
                <w:szCs w:val="22"/>
                <w:lang w:eastAsia="it-IT"/>
              </w:rPr>
            </w:pPr>
          </w:p>
        </w:tc>
        <w:tc>
          <w:tcPr>
            <w:tcW w:w="1363" w:type="dxa"/>
            <w:vAlign w:val="center"/>
          </w:tcPr>
          <w:p w14:paraId="1D076837" w14:textId="77777777" w:rsidR="00267EAE" w:rsidRPr="0019790A" w:rsidRDefault="00267EAE" w:rsidP="00267EAE">
            <w:pPr>
              <w:tabs>
                <w:tab w:val="left" w:pos="369"/>
              </w:tabs>
              <w:jc w:val="center"/>
              <w:rPr>
                <w:rFonts w:cs="Arial"/>
                <w:color w:val="000000"/>
                <w:szCs w:val="22"/>
                <w:lang w:eastAsia="it-IT"/>
              </w:rPr>
            </w:pPr>
          </w:p>
        </w:tc>
        <w:tc>
          <w:tcPr>
            <w:tcW w:w="1296" w:type="dxa"/>
            <w:gridSpan w:val="2"/>
            <w:vAlign w:val="center"/>
          </w:tcPr>
          <w:p w14:paraId="5B18566E" w14:textId="77777777" w:rsidR="00267EAE" w:rsidRPr="0019790A" w:rsidRDefault="00267EAE" w:rsidP="00267EAE">
            <w:pPr>
              <w:tabs>
                <w:tab w:val="left" w:pos="369"/>
              </w:tabs>
              <w:jc w:val="center"/>
              <w:rPr>
                <w:rFonts w:cs="Arial"/>
                <w:color w:val="000000"/>
                <w:szCs w:val="22"/>
                <w:lang w:eastAsia="it-IT"/>
              </w:rPr>
            </w:pPr>
          </w:p>
        </w:tc>
        <w:tc>
          <w:tcPr>
            <w:tcW w:w="1545" w:type="dxa"/>
            <w:vAlign w:val="center"/>
          </w:tcPr>
          <w:p w14:paraId="190F62EB" w14:textId="0EB1EE86" w:rsidR="00267EAE" w:rsidRPr="0019790A" w:rsidRDefault="00267EAE" w:rsidP="00267EAE">
            <w:pPr>
              <w:tabs>
                <w:tab w:val="left" w:pos="369"/>
              </w:tabs>
              <w:jc w:val="center"/>
              <w:rPr>
                <w:rFonts w:cs="Arial"/>
                <w:color w:val="000000"/>
                <w:szCs w:val="22"/>
                <w:lang w:eastAsia="it-IT"/>
              </w:rPr>
            </w:pPr>
          </w:p>
        </w:tc>
      </w:tr>
      <w:tr w:rsidR="00267EAE" w:rsidRPr="0019790A" w14:paraId="5AA52F82" w14:textId="2CCF869F" w:rsidTr="005861B0">
        <w:trPr>
          <w:trHeight w:val="275"/>
          <w:jc w:val="right"/>
        </w:trPr>
        <w:tc>
          <w:tcPr>
            <w:tcW w:w="3423" w:type="dxa"/>
            <w:shd w:val="clear" w:color="auto" w:fill="FFFFFF"/>
            <w:vAlign w:val="center"/>
          </w:tcPr>
          <w:p w14:paraId="0A6F6A2D" w14:textId="77777777" w:rsidR="00267EAE" w:rsidRPr="0019790A" w:rsidRDefault="00267EAE" w:rsidP="005861B0">
            <w:pPr>
              <w:rPr>
                <w:rFonts w:cs="Arial"/>
                <w:color w:val="000000"/>
                <w:szCs w:val="22"/>
              </w:rPr>
            </w:pPr>
            <w:r w:rsidRPr="0019790A">
              <w:rPr>
                <w:rFonts w:cs="Arial"/>
                <w:color w:val="000000"/>
                <w:szCs w:val="22"/>
              </w:rPr>
              <w:t>- бюджет Жмеринської МТГ</w:t>
            </w:r>
          </w:p>
        </w:tc>
        <w:tc>
          <w:tcPr>
            <w:tcW w:w="1258" w:type="dxa"/>
            <w:vAlign w:val="center"/>
          </w:tcPr>
          <w:p w14:paraId="6F48E5CF" w14:textId="0BD0E86E" w:rsidR="00267EAE" w:rsidRPr="00267EAE" w:rsidRDefault="00267EAE" w:rsidP="00267EAE">
            <w:pPr>
              <w:tabs>
                <w:tab w:val="left" w:pos="369"/>
              </w:tabs>
              <w:jc w:val="center"/>
              <w:rPr>
                <w:rFonts w:cs="Arial"/>
                <w:color w:val="000000"/>
                <w:szCs w:val="22"/>
                <w:lang w:eastAsia="it-IT"/>
              </w:rPr>
            </w:pPr>
            <w:r w:rsidRPr="00267EAE">
              <w:rPr>
                <w:rFonts w:cs="Arial"/>
                <w:color w:val="000000"/>
                <w:szCs w:val="22"/>
                <w:lang w:eastAsia="it-IT"/>
              </w:rPr>
              <w:t>716,60</w:t>
            </w:r>
          </w:p>
        </w:tc>
        <w:tc>
          <w:tcPr>
            <w:tcW w:w="1334" w:type="dxa"/>
            <w:gridSpan w:val="2"/>
            <w:vAlign w:val="center"/>
          </w:tcPr>
          <w:p w14:paraId="07A471A9" w14:textId="5BE330B8" w:rsidR="00267EAE" w:rsidRPr="00267EAE" w:rsidRDefault="00267EAE" w:rsidP="00267EAE">
            <w:pPr>
              <w:tabs>
                <w:tab w:val="left" w:pos="369"/>
              </w:tabs>
              <w:jc w:val="center"/>
              <w:rPr>
                <w:rFonts w:cs="Arial"/>
                <w:color w:val="000000"/>
                <w:szCs w:val="22"/>
                <w:lang w:eastAsia="it-IT"/>
              </w:rPr>
            </w:pPr>
            <w:r w:rsidRPr="00267EAE">
              <w:rPr>
                <w:rFonts w:cs="Arial"/>
                <w:color w:val="000000"/>
                <w:szCs w:val="22"/>
                <w:lang w:eastAsia="it-IT"/>
              </w:rPr>
              <w:t>805,45</w:t>
            </w:r>
          </w:p>
        </w:tc>
        <w:tc>
          <w:tcPr>
            <w:tcW w:w="1363" w:type="dxa"/>
            <w:vAlign w:val="center"/>
          </w:tcPr>
          <w:p w14:paraId="0545083B" w14:textId="6958B9AC" w:rsidR="00267EAE" w:rsidRPr="00267EAE" w:rsidRDefault="00267EAE" w:rsidP="00267EAE">
            <w:pPr>
              <w:tabs>
                <w:tab w:val="left" w:pos="369"/>
              </w:tabs>
              <w:jc w:val="center"/>
              <w:rPr>
                <w:rFonts w:cs="Arial"/>
                <w:color w:val="000000"/>
                <w:szCs w:val="22"/>
                <w:lang w:eastAsia="it-IT"/>
              </w:rPr>
            </w:pPr>
            <w:r w:rsidRPr="00267EAE">
              <w:rPr>
                <w:rFonts w:cs="Arial"/>
                <w:color w:val="000000"/>
                <w:szCs w:val="22"/>
                <w:lang w:eastAsia="it-IT"/>
              </w:rPr>
              <w:t>868,27</w:t>
            </w:r>
          </w:p>
        </w:tc>
        <w:tc>
          <w:tcPr>
            <w:tcW w:w="1296" w:type="dxa"/>
            <w:gridSpan w:val="2"/>
            <w:vAlign w:val="center"/>
          </w:tcPr>
          <w:p w14:paraId="0718B24F" w14:textId="0271F88C" w:rsidR="00267EAE" w:rsidRPr="00267EAE" w:rsidRDefault="00267EAE" w:rsidP="00267EAE">
            <w:pPr>
              <w:tabs>
                <w:tab w:val="left" w:pos="369"/>
              </w:tabs>
              <w:jc w:val="center"/>
              <w:rPr>
                <w:rFonts w:cs="Arial"/>
                <w:color w:val="000000"/>
                <w:szCs w:val="22"/>
                <w:lang w:eastAsia="it-IT"/>
              </w:rPr>
            </w:pPr>
            <w:r w:rsidRPr="00267EAE">
              <w:rPr>
                <w:rFonts w:cs="Arial"/>
                <w:color w:val="000000"/>
                <w:szCs w:val="22"/>
                <w:lang w:eastAsia="it-IT"/>
              </w:rPr>
              <w:t>868,27</w:t>
            </w:r>
          </w:p>
        </w:tc>
        <w:tc>
          <w:tcPr>
            <w:tcW w:w="1545" w:type="dxa"/>
            <w:vAlign w:val="center"/>
          </w:tcPr>
          <w:p w14:paraId="306C4C9E" w14:textId="7F1C98A3" w:rsidR="00267EAE" w:rsidRPr="00267EAE" w:rsidRDefault="00267EAE" w:rsidP="00267EAE">
            <w:pPr>
              <w:tabs>
                <w:tab w:val="left" w:pos="369"/>
              </w:tabs>
              <w:jc w:val="center"/>
              <w:rPr>
                <w:rFonts w:cs="Arial"/>
                <w:color w:val="000000"/>
                <w:szCs w:val="22"/>
                <w:lang w:eastAsia="it-IT"/>
              </w:rPr>
            </w:pPr>
            <w:r w:rsidRPr="00267EAE">
              <w:rPr>
                <w:rFonts w:cs="Arial"/>
                <w:color w:val="000000"/>
                <w:szCs w:val="22"/>
                <w:lang w:eastAsia="it-IT"/>
              </w:rPr>
              <w:t>3258,59</w:t>
            </w:r>
          </w:p>
        </w:tc>
      </w:tr>
      <w:tr w:rsidR="00267EAE" w:rsidRPr="0019790A" w14:paraId="17A65ADA" w14:textId="360FF87E" w:rsidTr="005861B0">
        <w:trPr>
          <w:trHeight w:val="226"/>
          <w:jc w:val="right"/>
        </w:trPr>
        <w:tc>
          <w:tcPr>
            <w:tcW w:w="3423" w:type="dxa"/>
            <w:shd w:val="clear" w:color="auto" w:fill="FFFFFF"/>
            <w:vAlign w:val="center"/>
          </w:tcPr>
          <w:p w14:paraId="0E1C6B11" w14:textId="77777777" w:rsidR="00267EAE" w:rsidRPr="0019790A" w:rsidRDefault="00267EAE" w:rsidP="005861B0">
            <w:pPr>
              <w:rPr>
                <w:rFonts w:cs="Arial"/>
                <w:color w:val="000000"/>
                <w:szCs w:val="22"/>
              </w:rPr>
            </w:pPr>
            <w:r w:rsidRPr="0019790A">
              <w:rPr>
                <w:rFonts w:cs="Arial"/>
                <w:color w:val="000000"/>
                <w:szCs w:val="22"/>
              </w:rPr>
              <w:t>- інші джерела фінансування</w:t>
            </w:r>
          </w:p>
        </w:tc>
        <w:tc>
          <w:tcPr>
            <w:tcW w:w="1258" w:type="dxa"/>
            <w:vAlign w:val="center"/>
          </w:tcPr>
          <w:p w14:paraId="734420AC" w14:textId="7A695C23" w:rsidR="00267EAE" w:rsidRPr="00267EAE" w:rsidRDefault="00267EAE" w:rsidP="00267EAE">
            <w:pPr>
              <w:tabs>
                <w:tab w:val="left" w:pos="369"/>
              </w:tabs>
              <w:jc w:val="center"/>
              <w:rPr>
                <w:rFonts w:cs="Arial"/>
                <w:color w:val="000000"/>
                <w:szCs w:val="22"/>
                <w:lang w:eastAsia="it-IT"/>
              </w:rPr>
            </w:pPr>
            <w:r w:rsidRPr="00267EAE">
              <w:rPr>
                <w:rFonts w:cs="Arial"/>
                <w:color w:val="000000"/>
                <w:szCs w:val="22"/>
                <w:lang w:eastAsia="it-IT"/>
              </w:rPr>
              <w:t>9,55</w:t>
            </w:r>
          </w:p>
        </w:tc>
        <w:tc>
          <w:tcPr>
            <w:tcW w:w="1334" w:type="dxa"/>
            <w:gridSpan w:val="2"/>
            <w:vAlign w:val="center"/>
          </w:tcPr>
          <w:p w14:paraId="6A963553" w14:textId="480D2EC1" w:rsidR="00267EAE" w:rsidRPr="00267EAE" w:rsidRDefault="00267EAE" w:rsidP="00267EAE">
            <w:pPr>
              <w:tabs>
                <w:tab w:val="left" w:pos="369"/>
              </w:tabs>
              <w:jc w:val="center"/>
              <w:rPr>
                <w:rFonts w:cs="Arial"/>
                <w:color w:val="000000"/>
                <w:szCs w:val="22"/>
                <w:lang w:eastAsia="it-IT"/>
              </w:rPr>
            </w:pPr>
            <w:r w:rsidRPr="00267EAE">
              <w:rPr>
                <w:rFonts w:cs="Arial"/>
                <w:color w:val="000000"/>
                <w:szCs w:val="22"/>
                <w:lang w:eastAsia="it-IT"/>
              </w:rPr>
              <w:t>10,73</w:t>
            </w:r>
          </w:p>
        </w:tc>
        <w:tc>
          <w:tcPr>
            <w:tcW w:w="1363" w:type="dxa"/>
            <w:vAlign w:val="center"/>
          </w:tcPr>
          <w:p w14:paraId="2657F4CF" w14:textId="55A004DD" w:rsidR="00267EAE" w:rsidRPr="00267EAE" w:rsidRDefault="00267EAE" w:rsidP="00267EAE">
            <w:pPr>
              <w:tabs>
                <w:tab w:val="left" w:pos="369"/>
              </w:tabs>
              <w:jc w:val="center"/>
              <w:rPr>
                <w:rFonts w:cs="Arial"/>
                <w:color w:val="000000"/>
                <w:szCs w:val="22"/>
                <w:lang w:eastAsia="it-IT"/>
              </w:rPr>
            </w:pPr>
            <w:r w:rsidRPr="00267EAE">
              <w:rPr>
                <w:rFonts w:cs="Arial"/>
                <w:color w:val="000000"/>
                <w:szCs w:val="22"/>
                <w:lang w:eastAsia="it-IT"/>
              </w:rPr>
              <w:t>11,57</w:t>
            </w:r>
          </w:p>
        </w:tc>
        <w:tc>
          <w:tcPr>
            <w:tcW w:w="1296" w:type="dxa"/>
            <w:gridSpan w:val="2"/>
            <w:vAlign w:val="center"/>
          </w:tcPr>
          <w:p w14:paraId="32392A37" w14:textId="35D8B4E2" w:rsidR="00267EAE" w:rsidRPr="00267EAE" w:rsidRDefault="00267EAE" w:rsidP="00267EAE">
            <w:pPr>
              <w:tabs>
                <w:tab w:val="left" w:pos="369"/>
              </w:tabs>
              <w:jc w:val="center"/>
              <w:rPr>
                <w:rFonts w:cs="Arial"/>
                <w:color w:val="000000"/>
                <w:szCs w:val="22"/>
                <w:lang w:eastAsia="it-IT"/>
              </w:rPr>
            </w:pPr>
            <w:r w:rsidRPr="00267EAE">
              <w:rPr>
                <w:rFonts w:cs="Arial"/>
                <w:color w:val="000000"/>
                <w:szCs w:val="22"/>
                <w:lang w:eastAsia="it-IT"/>
              </w:rPr>
              <w:t>11,57</w:t>
            </w:r>
          </w:p>
        </w:tc>
        <w:tc>
          <w:tcPr>
            <w:tcW w:w="1545" w:type="dxa"/>
            <w:vAlign w:val="center"/>
          </w:tcPr>
          <w:p w14:paraId="1DBCD962" w14:textId="68697EFA" w:rsidR="00267EAE" w:rsidRPr="00267EAE" w:rsidRDefault="00267EAE" w:rsidP="00267EAE">
            <w:pPr>
              <w:tabs>
                <w:tab w:val="left" w:pos="369"/>
              </w:tabs>
              <w:jc w:val="center"/>
              <w:rPr>
                <w:rFonts w:cs="Arial"/>
                <w:color w:val="000000"/>
                <w:szCs w:val="22"/>
                <w:lang w:eastAsia="it-IT"/>
              </w:rPr>
            </w:pPr>
            <w:r w:rsidRPr="00267EAE">
              <w:rPr>
                <w:rFonts w:cs="Arial"/>
                <w:color w:val="000000"/>
                <w:szCs w:val="22"/>
                <w:lang w:eastAsia="it-IT"/>
              </w:rPr>
              <w:t>43,42</w:t>
            </w:r>
          </w:p>
        </w:tc>
      </w:tr>
      <w:tr w:rsidR="005E011C" w:rsidRPr="0019790A" w14:paraId="7C865849" w14:textId="77777777" w:rsidTr="005861B0">
        <w:trPr>
          <w:jc w:val="right"/>
        </w:trPr>
        <w:tc>
          <w:tcPr>
            <w:tcW w:w="3423" w:type="dxa"/>
            <w:shd w:val="clear" w:color="auto" w:fill="FFFFFF"/>
            <w:vAlign w:val="center"/>
          </w:tcPr>
          <w:p w14:paraId="63F8141E" w14:textId="77777777" w:rsidR="005E011C" w:rsidRPr="0019790A" w:rsidRDefault="005E011C" w:rsidP="005861B0">
            <w:pPr>
              <w:rPr>
                <w:rFonts w:cs="Arial"/>
                <w:b/>
                <w:bCs/>
                <w:color w:val="000000"/>
                <w:szCs w:val="22"/>
              </w:rPr>
            </w:pPr>
            <w:r w:rsidRPr="0019790A">
              <w:rPr>
                <w:rFonts w:cs="Arial"/>
                <w:b/>
                <w:color w:val="000000"/>
                <w:szCs w:val="22"/>
              </w:rPr>
              <w:t>Відповідальний виконавець проєкту:</w:t>
            </w:r>
          </w:p>
        </w:tc>
        <w:tc>
          <w:tcPr>
            <w:tcW w:w="6796" w:type="dxa"/>
            <w:gridSpan w:val="7"/>
            <w:vAlign w:val="center"/>
          </w:tcPr>
          <w:p w14:paraId="3F28A235" w14:textId="77777777" w:rsidR="005E011C" w:rsidRPr="0019790A" w:rsidRDefault="005E011C" w:rsidP="00267EAE">
            <w:pPr>
              <w:tabs>
                <w:tab w:val="left" w:pos="369"/>
              </w:tabs>
              <w:ind w:right="-1"/>
              <w:jc w:val="both"/>
              <w:rPr>
                <w:rFonts w:cs="Arial"/>
                <w:szCs w:val="22"/>
              </w:rPr>
            </w:pPr>
            <w:r w:rsidRPr="0019790A">
              <w:rPr>
                <w:rFonts w:cs="Arial"/>
                <w:szCs w:val="22"/>
              </w:rPr>
              <w:t xml:space="preserve">Служба у справах дітей Жмеринської міської ради. </w:t>
            </w:r>
          </w:p>
          <w:p w14:paraId="14E3A6E5" w14:textId="77777777" w:rsidR="005E011C" w:rsidRPr="0019790A" w:rsidRDefault="005E011C" w:rsidP="00267EAE">
            <w:pPr>
              <w:tabs>
                <w:tab w:val="left" w:pos="369"/>
              </w:tabs>
              <w:ind w:right="-1"/>
              <w:jc w:val="both"/>
              <w:rPr>
                <w:rFonts w:cs="Arial"/>
                <w:szCs w:val="22"/>
              </w:rPr>
            </w:pPr>
            <w:r w:rsidRPr="0019790A">
              <w:rPr>
                <w:rFonts w:cs="Arial"/>
                <w:szCs w:val="22"/>
              </w:rPr>
              <w:t xml:space="preserve"> </w:t>
            </w:r>
            <w:r w:rsidRPr="0019790A">
              <w:rPr>
                <w:rFonts w:cs="Arial"/>
                <w:spacing w:val="-8"/>
                <w:szCs w:val="22"/>
              </w:rPr>
              <w:t>Управління  соціального захисту населення та охорони здоров’я Жмеринської міської ради</w:t>
            </w:r>
          </w:p>
        </w:tc>
      </w:tr>
    </w:tbl>
    <w:p w14:paraId="48F5D218" w14:textId="77777777" w:rsidR="005E011C" w:rsidRPr="00C2587D" w:rsidRDefault="005E011C" w:rsidP="005E011C">
      <w:pPr>
        <w:rPr>
          <w:sz w:val="24"/>
        </w:rPr>
      </w:pPr>
    </w:p>
    <w:p w14:paraId="7A1E2E66" w14:textId="5D0A9EFB" w:rsidR="00D97CA1" w:rsidRPr="00C2587D" w:rsidRDefault="00D97CA1" w:rsidP="00D97CA1">
      <w:pPr>
        <w:jc w:val="center"/>
        <w:rPr>
          <w:rFonts w:cs="Arial"/>
          <w:b/>
          <w:sz w:val="24"/>
          <w:u w:val="single"/>
          <w:lang w:eastAsia="uk-UA"/>
        </w:rPr>
      </w:pPr>
      <w:r w:rsidRPr="00C2587D">
        <w:rPr>
          <w:rFonts w:cs="Arial"/>
          <w:b/>
          <w:sz w:val="24"/>
          <w:u w:val="single"/>
          <w:lang w:eastAsia="uk-UA"/>
        </w:rPr>
        <w:t>Стратегічна ціль: С.5. Ефективне управління громадою</w:t>
      </w:r>
    </w:p>
    <w:p w14:paraId="2D29FDF1" w14:textId="77777777" w:rsidR="00AB3B9D" w:rsidRDefault="00AB3B9D" w:rsidP="00AB3B9D">
      <w:pPr>
        <w:jc w:val="center"/>
        <w:rPr>
          <w:rFonts w:cs="Arial"/>
          <w:b/>
          <w:color w:val="000000"/>
          <w:szCs w:val="22"/>
        </w:rPr>
      </w:pPr>
    </w:p>
    <w:p w14:paraId="7647F218" w14:textId="14A5869D" w:rsidR="00AB3B9D" w:rsidRPr="009700DD" w:rsidRDefault="00AB3B9D" w:rsidP="00AB3B9D">
      <w:pPr>
        <w:jc w:val="center"/>
        <w:rPr>
          <w:rFonts w:cs="Arial"/>
          <w:b/>
          <w:color w:val="000000"/>
          <w:szCs w:val="22"/>
        </w:rPr>
      </w:pPr>
      <w:r w:rsidRPr="009700DD">
        <w:rPr>
          <w:rFonts w:cs="Arial"/>
          <w:b/>
          <w:color w:val="000000"/>
          <w:szCs w:val="22"/>
        </w:rPr>
        <w:t>Форма технічного завдання</w:t>
      </w:r>
    </w:p>
    <w:p w14:paraId="411F8552" w14:textId="74AF3100" w:rsidR="00AB3B9D" w:rsidRDefault="00AB3B9D" w:rsidP="00AB3B9D">
      <w:pPr>
        <w:jc w:val="center"/>
        <w:rPr>
          <w:rFonts w:cs="Arial"/>
          <w:b/>
          <w:color w:val="000000"/>
          <w:szCs w:val="22"/>
        </w:rPr>
      </w:pPr>
      <w:r w:rsidRPr="009700DD">
        <w:rPr>
          <w:rFonts w:cs="Arial"/>
          <w:b/>
          <w:color w:val="000000"/>
          <w:szCs w:val="22"/>
        </w:rPr>
        <w:t xml:space="preserve"> на </w:t>
      </w:r>
      <w:r w:rsidR="00314B9D">
        <w:rPr>
          <w:rFonts w:cs="Arial"/>
          <w:b/>
          <w:color w:val="000000"/>
          <w:szCs w:val="22"/>
        </w:rPr>
        <w:t>проєкт</w:t>
      </w:r>
      <w:r w:rsidRPr="009700DD">
        <w:rPr>
          <w:rFonts w:cs="Arial"/>
          <w:b/>
          <w:color w:val="000000"/>
          <w:szCs w:val="22"/>
        </w:rPr>
        <w:t xml:space="preserve"> місцевого розвитку до Плану заходів з реалізації Стратегії</w:t>
      </w:r>
    </w:p>
    <w:p w14:paraId="673D3489" w14:textId="019E019B" w:rsidR="00AB3B9D" w:rsidRDefault="00AB3B9D" w:rsidP="00AB3B9D">
      <w:pPr>
        <w:jc w:val="center"/>
        <w:rPr>
          <w:rFonts w:cs="Arial"/>
        </w:rPr>
      </w:pPr>
    </w:p>
    <w:tbl>
      <w:tblPr>
        <w:tblW w:w="102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2"/>
        <w:gridCol w:w="1258"/>
        <w:gridCol w:w="1274"/>
        <w:gridCol w:w="59"/>
        <w:gridCol w:w="1362"/>
        <w:gridCol w:w="1275"/>
        <w:gridCol w:w="20"/>
        <w:gridCol w:w="1549"/>
      </w:tblGrid>
      <w:tr w:rsidR="00AB3B9D" w:rsidRPr="0019790A" w14:paraId="0241F156" w14:textId="77777777" w:rsidTr="00AB3B9D">
        <w:trPr>
          <w:trHeight w:val="687"/>
          <w:jc w:val="right"/>
        </w:trPr>
        <w:tc>
          <w:tcPr>
            <w:tcW w:w="3422" w:type="dxa"/>
            <w:vAlign w:val="center"/>
          </w:tcPr>
          <w:p w14:paraId="728812EE" w14:textId="77777777" w:rsidR="00AB3B9D" w:rsidRPr="0019790A" w:rsidRDefault="00AB3B9D" w:rsidP="00AB3B9D">
            <w:pPr>
              <w:rPr>
                <w:rFonts w:cs="Arial"/>
                <w:b/>
                <w:bCs/>
                <w:color w:val="000000"/>
                <w:szCs w:val="22"/>
              </w:rPr>
            </w:pPr>
            <w:r w:rsidRPr="0019790A">
              <w:rPr>
                <w:rFonts w:cs="Arial"/>
                <w:b/>
                <w:bCs/>
                <w:color w:val="000000"/>
                <w:szCs w:val="22"/>
              </w:rPr>
              <w:t>Назва проєкту:</w:t>
            </w:r>
          </w:p>
        </w:tc>
        <w:tc>
          <w:tcPr>
            <w:tcW w:w="6797" w:type="dxa"/>
            <w:gridSpan w:val="7"/>
            <w:vAlign w:val="center"/>
          </w:tcPr>
          <w:p w14:paraId="694B211B" w14:textId="6247145B" w:rsidR="00AB3B9D" w:rsidRPr="0019790A" w:rsidRDefault="00AB3B9D" w:rsidP="00AB3B9D">
            <w:pPr>
              <w:tabs>
                <w:tab w:val="left" w:pos="369"/>
              </w:tabs>
              <w:rPr>
                <w:rFonts w:cs="Arial"/>
                <w:szCs w:val="22"/>
                <w:lang w:eastAsia="it-IT"/>
              </w:rPr>
            </w:pPr>
            <w:r w:rsidRPr="00846765">
              <w:rPr>
                <w:rFonts w:cs="Arial"/>
                <w:b/>
                <w:sz w:val="20"/>
                <w:szCs w:val="20"/>
                <w:lang w:eastAsia="it-IT"/>
              </w:rPr>
              <w:t>Стабільність та прозорість фінансової системи – шлях до розвитку та успішності громади</w:t>
            </w:r>
          </w:p>
        </w:tc>
      </w:tr>
      <w:tr w:rsidR="00AB3B9D" w:rsidRPr="0019790A" w14:paraId="48A67ED7" w14:textId="77777777" w:rsidTr="00AB3B9D">
        <w:trPr>
          <w:jc w:val="right"/>
        </w:trPr>
        <w:tc>
          <w:tcPr>
            <w:tcW w:w="3422" w:type="dxa"/>
            <w:vAlign w:val="center"/>
          </w:tcPr>
          <w:p w14:paraId="36D432A1" w14:textId="77777777" w:rsidR="00AB3B9D" w:rsidRPr="0019790A" w:rsidRDefault="00AB3B9D" w:rsidP="00AB3B9D">
            <w:pPr>
              <w:rPr>
                <w:rFonts w:cs="Arial"/>
                <w:szCs w:val="22"/>
                <w:lang w:eastAsia="it-IT"/>
              </w:rPr>
            </w:pPr>
            <w:r w:rsidRPr="0019790A">
              <w:rPr>
                <w:rFonts w:cs="Arial"/>
                <w:b/>
                <w:bCs/>
                <w:szCs w:val="22"/>
              </w:rPr>
              <w:t>Ваші контакти</w:t>
            </w:r>
            <w:r w:rsidRPr="0019790A">
              <w:rPr>
                <w:rFonts w:cs="Arial"/>
                <w:szCs w:val="22"/>
                <w:lang w:eastAsia="it-IT"/>
              </w:rPr>
              <w:t>:</w:t>
            </w:r>
          </w:p>
          <w:p w14:paraId="05A721C9" w14:textId="77777777" w:rsidR="00AB3B9D" w:rsidRPr="0019790A" w:rsidRDefault="00AB3B9D" w:rsidP="00AB3B9D">
            <w:pPr>
              <w:rPr>
                <w:rFonts w:cs="Arial"/>
                <w:b/>
                <w:bCs/>
                <w:szCs w:val="22"/>
              </w:rPr>
            </w:pPr>
            <w:r w:rsidRPr="0019790A">
              <w:rPr>
                <w:rFonts w:cs="Arial"/>
                <w:szCs w:val="22"/>
                <w:lang w:eastAsia="it-IT"/>
              </w:rPr>
              <w:t>Назва установи, організації, підприємства</w:t>
            </w:r>
          </w:p>
        </w:tc>
        <w:tc>
          <w:tcPr>
            <w:tcW w:w="6797" w:type="dxa"/>
            <w:gridSpan w:val="7"/>
            <w:vAlign w:val="center"/>
          </w:tcPr>
          <w:p w14:paraId="77C7D796" w14:textId="6980ED68" w:rsidR="00AB3B9D" w:rsidRPr="0019790A" w:rsidRDefault="00AB3B9D" w:rsidP="00AB3B9D">
            <w:pPr>
              <w:tabs>
                <w:tab w:val="left" w:pos="369"/>
              </w:tabs>
              <w:jc w:val="both"/>
              <w:rPr>
                <w:rFonts w:cs="Arial"/>
                <w:szCs w:val="22"/>
                <w:lang w:eastAsia="it-IT"/>
              </w:rPr>
            </w:pPr>
            <w:r w:rsidRPr="00846765">
              <w:rPr>
                <w:rFonts w:cs="Arial"/>
                <w:bCs/>
                <w:sz w:val="20"/>
                <w:szCs w:val="20"/>
                <w:lang w:eastAsia="it-IT"/>
              </w:rPr>
              <w:t>Фінансове управління Жмеринської міської ради</w:t>
            </w:r>
          </w:p>
        </w:tc>
      </w:tr>
      <w:tr w:rsidR="00AB3B9D" w:rsidRPr="0019790A" w14:paraId="0EB87E05" w14:textId="77777777" w:rsidTr="004B3BEE">
        <w:trPr>
          <w:jc w:val="right"/>
        </w:trPr>
        <w:tc>
          <w:tcPr>
            <w:tcW w:w="3422" w:type="dxa"/>
            <w:vAlign w:val="center"/>
          </w:tcPr>
          <w:p w14:paraId="365CE6EE" w14:textId="77777777" w:rsidR="00AB3B9D" w:rsidRPr="0019790A" w:rsidRDefault="00AB3B9D" w:rsidP="00AB3B9D">
            <w:pPr>
              <w:rPr>
                <w:rFonts w:cs="Arial"/>
                <w:b/>
                <w:bCs/>
                <w:szCs w:val="22"/>
              </w:rPr>
            </w:pPr>
            <w:r w:rsidRPr="0019790A">
              <w:rPr>
                <w:rFonts w:cs="Arial"/>
                <w:szCs w:val="22"/>
                <w:lang w:eastAsia="it-IT"/>
              </w:rPr>
              <w:t>Прізвище Ім’я По-батькові:</w:t>
            </w:r>
          </w:p>
        </w:tc>
        <w:tc>
          <w:tcPr>
            <w:tcW w:w="6797" w:type="dxa"/>
            <w:gridSpan w:val="7"/>
          </w:tcPr>
          <w:p w14:paraId="251416B9" w14:textId="20B46EC2" w:rsidR="00AB3B9D" w:rsidRPr="0019790A" w:rsidRDefault="00AB3B9D" w:rsidP="00AB3B9D">
            <w:pPr>
              <w:tabs>
                <w:tab w:val="left" w:pos="369"/>
              </w:tabs>
              <w:jc w:val="both"/>
              <w:rPr>
                <w:rFonts w:cs="Arial"/>
                <w:szCs w:val="22"/>
                <w:lang w:eastAsia="it-IT"/>
              </w:rPr>
            </w:pPr>
            <w:r w:rsidRPr="00846765">
              <w:rPr>
                <w:rFonts w:cs="Arial"/>
                <w:sz w:val="20"/>
                <w:szCs w:val="20"/>
                <w:lang w:eastAsia="it-IT"/>
              </w:rPr>
              <w:t>Безверхня Галина Григорівна</w:t>
            </w:r>
          </w:p>
        </w:tc>
      </w:tr>
      <w:tr w:rsidR="00AB3B9D" w:rsidRPr="0019790A" w14:paraId="2845DD55" w14:textId="77777777" w:rsidTr="004B3BEE">
        <w:trPr>
          <w:jc w:val="right"/>
        </w:trPr>
        <w:tc>
          <w:tcPr>
            <w:tcW w:w="3422" w:type="dxa"/>
            <w:vAlign w:val="center"/>
          </w:tcPr>
          <w:p w14:paraId="56C72BE1" w14:textId="77777777" w:rsidR="00AB3B9D" w:rsidRPr="0019790A" w:rsidRDefault="00AB3B9D" w:rsidP="00AB3B9D">
            <w:pPr>
              <w:rPr>
                <w:rFonts w:cs="Arial"/>
                <w:b/>
                <w:bCs/>
                <w:szCs w:val="22"/>
              </w:rPr>
            </w:pPr>
            <w:r w:rsidRPr="0019790A">
              <w:rPr>
                <w:rFonts w:cs="Arial"/>
                <w:szCs w:val="22"/>
                <w:lang w:eastAsia="it-IT"/>
              </w:rPr>
              <w:t>Телефон (мобільний):</w:t>
            </w:r>
          </w:p>
        </w:tc>
        <w:tc>
          <w:tcPr>
            <w:tcW w:w="6797" w:type="dxa"/>
            <w:gridSpan w:val="7"/>
          </w:tcPr>
          <w:p w14:paraId="31EB3B12" w14:textId="4509DA60" w:rsidR="00AB3B9D" w:rsidRPr="0019790A" w:rsidRDefault="00AB3B9D" w:rsidP="00AB3B9D">
            <w:pPr>
              <w:tabs>
                <w:tab w:val="left" w:pos="369"/>
              </w:tabs>
              <w:jc w:val="both"/>
              <w:rPr>
                <w:rFonts w:cs="Arial"/>
                <w:szCs w:val="22"/>
                <w:lang w:eastAsia="it-IT"/>
              </w:rPr>
            </w:pPr>
            <w:r>
              <w:rPr>
                <w:rFonts w:cs="Arial"/>
                <w:color w:val="000000"/>
                <w:sz w:val="20"/>
                <w:szCs w:val="20"/>
              </w:rPr>
              <w:t>т</w:t>
            </w:r>
            <w:r w:rsidRPr="00846765">
              <w:rPr>
                <w:rFonts w:cs="Arial"/>
                <w:color w:val="000000"/>
                <w:sz w:val="20"/>
                <w:szCs w:val="20"/>
              </w:rPr>
              <w:t>ел. (04332) 51807</w:t>
            </w:r>
          </w:p>
        </w:tc>
      </w:tr>
      <w:tr w:rsidR="00AB3B9D" w:rsidRPr="002D77AE" w14:paraId="5E584B2F" w14:textId="77777777" w:rsidTr="004B3BEE">
        <w:trPr>
          <w:trHeight w:val="404"/>
          <w:jc w:val="right"/>
        </w:trPr>
        <w:tc>
          <w:tcPr>
            <w:tcW w:w="3422" w:type="dxa"/>
            <w:vAlign w:val="center"/>
          </w:tcPr>
          <w:p w14:paraId="1B48DDC6" w14:textId="77777777" w:rsidR="00AB3B9D" w:rsidRPr="0019790A" w:rsidRDefault="00AB3B9D" w:rsidP="00AB3B9D">
            <w:pPr>
              <w:rPr>
                <w:rFonts w:cs="Arial"/>
                <w:b/>
                <w:bCs/>
                <w:szCs w:val="22"/>
              </w:rPr>
            </w:pPr>
            <w:r w:rsidRPr="0019790A">
              <w:rPr>
                <w:rFonts w:cs="Arial"/>
                <w:szCs w:val="22"/>
                <w:lang w:eastAsia="it-IT"/>
              </w:rPr>
              <w:t>Електронна адреса:</w:t>
            </w:r>
          </w:p>
        </w:tc>
        <w:tc>
          <w:tcPr>
            <w:tcW w:w="6797" w:type="dxa"/>
            <w:gridSpan w:val="7"/>
          </w:tcPr>
          <w:p w14:paraId="5570AAE1" w14:textId="260B5CCF" w:rsidR="00AB3B9D" w:rsidRPr="002D77AE" w:rsidRDefault="00AB3B9D" w:rsidP="00AB3B9D">
            <w:pPr>
              <w:tabs>
                <w:tab w:val="left" w:pos="369"/>
              </w:tabs>
              <w:jc w:val="both"/>
              <w:rPr>
                <w:rFonts w:cs="Arial"/>
                <w:szCs w:val="22"/>
                <w:lang w:eastAsia="it-IT"/>
              </w:rPr>
            </w:pPr>
            <w:r w:rsidRPr="00846765">
              <w:rPr>
                <w:rFonts w:cs="Arial"/>
                <w:color w:val="000000"/>
                <w:sz w:val="20"/>
                <w:szCs w:val="20"/>
              </w:rPr>
              <w:t>fin@zhmr.gov.ua</w:t>
            </w:r>
            <w:r>
              <w:rPr>
                <w:rFonts w:cs="Arial"/>
                <w:color w:val="000000"/>
                <w:sz w:val="20"/>
                <w:szCs w:val="20"/>
              </w:rPr>
              <w:t xml:space="preserve"> </w:t>
            </w:r>
          </w:p>
        </w:tc>
      </w:tr>
      <w:tr w:rsidR="00AB3B9D" w:rsidRPr="0019790A" w14:paraId="6635BD11" w14:textId="77777777" w:rsidTr="00AB3B9D">
        <w:trPr>
          <w:trHeight w:val="1407"/>
          <w:jc w:val="right"/>
        </w:trPr>
        <w:tc>
          <w:tcPr>
            <w:tcW w:w="3422" w:type="dxa"/>
            <w:vAlign w:val="center"/>
          </w:tcPr>
          <w:p w14:paraId="7C4934EB" w14:textId="77777777" w:rsidR="00AB3B9D" w:rsidRPr="0019790A" w:rsidRDefault="00AB3B9D" w:rsidP="00AB3B9D">
            <w:pPr>
              <w:outlineLvl w:val="5"/>
              <w:rPr>
                <w:rFonts w:cs="Arial"/>
                <w:b/>
                <w:bCs/>
                <w:color w:val="000000"/>
                <w:szCs w:val="22"/>
                <w:lang w:eastAsia="en-US"/>
              </w:rPr>
            </w:pPr>
            <w:r w:rsidRPr="0019790A">
              <w:rPr>
                <w:rFonts w:cs="Arial"/>
                <w:b/>
                <w:bCs/>
                <w:color w:val="000000"/>
                <w:szCs w:val="22"/>
                <w:lang w:eastAsia="en-US"/>
              </w:rPr>
              <w:t>Номер і назва завдання з Стратегії</w:t>
            </w:r>
            <w:r w:rsidRPr="0019790A">
              <w:rPr>
                <w:rFonts w:cs="Arial"/>
                <w:b/>
                <w:bCs/>
                <w:szCs w:val="22"/>
                <w:lang w:eastAsia="it-IT"/>
              </w:rPr>
              <w:t xml:space="preserve"> </w:t>
            </w:r>
            <w:r w:rsidRPr="0019790A">
              <w:rPr>
                <w:rFonts w:cs="Arial"/>
                <w:b/>
                <w:bCs/>
                <w:color w:val="000000"/>
                <w:szCs w:val="22"/>
                <w:lang w:eastAsia="en-US"/>
              </w:rPr>
              <w:t>розвитку Жмеринської міської територіальної громади,  якому відповідає проєкт:</w:t>
            </w:r>
          </w:p>
        </w:tc>
        <w:tc>
          <w:tcPr>
            <w:tcW w:w="6797" w:type="dxa"/>
            <w:gridSpan w:val="7"/>
            <w:vAlign w:val="center"/>
          </w:tcPr>
          <w:p w14:paraId="10CB66DC" w14:textId="449D43F4" w:rsidR="00AB3B9D" w:rsidRPr="0019790A" w:rsidRDefault="00AB3B9D" w:rsidP="00AB3B9D">
            <w:pPr>
              <w:tabs>
                <w:tab w:val="left" w:pos="369"/>
              </w:tabs>
              <w:jc w:val="both"/>
              <w:rPr>
                <w:rFonts w:cs="Arial"/>
                <w:iCs/>
                <w:szCs w:val="22"/>
              </w:rPr>
            </w:pPr>
            <w:r w:rsidRPr="00846765">
              <w:rPr>
                <w:rFonts w:cs="Arial"/>
                <w:iCs/>
                <w:sz w:val="20"/>
                <w:szCs w:val="20"/>
              </w:rPr>
              <w:t>С.5.2.13. Залучення мешканців до формування місцевого бюджету/ бюджетний регламент.</w:t>
            </w:r>
          </w:p>
        </w:tc>
      </w:tr>
      <w:tr w:rsidR="00AB3B9D" w:rsidRPr="0019790A" w14:paraId="06BEE488" w14:textId="77777777" w:rsidTr="00AB3B9D">
        <w:trPr>
          <w:trHeight w:val="848"/>
          <w:jc w:val="right"/>
        </w:trPr>
        <w:tc>
          <w:tcPr>
            <w:tcW w:w="3422" w:type="dxa"/>
            <w:vAlign w:val="center"/>
          </w:tcPr>
          <w:p w14:paraId="36A32964" w14:textId="77777777" w:rsidR="00AB3B9D" w:rsidRPr="0019790A" w:rsidRDefault="00AB3B9D" w:rsidP="00AB3B9D">
            <w:pPr>
              <w:rPr>
                <w:rFonts w:cs="Arial"/>
                <w:b/>
                <w:bCs/>
                <w:color w:val="000000"/>
                <w:szCs w:val="22"/>
              </w:rPr>
            </w:pPr>
            <w:r w:rsidRPr="0019790A">
              <w:rPr>
                <w:rFonts w:cs="Arial"/>
                <w:b/>
                <w:bCs/>
                <w:color w:val="000000"/>
                <w:szCs w:val="22"/>
              </w:rPr>
              <w:t>Мета проєкту:</w:t>
            </w:r>
          </w:p>
        </w:tc>
        <w:tc>
          <w:tcPr>
            <w:tcW w:w="6797" w:type="dxa"/>
            <w:gridSpan w:val="7"/>
            <w:vAlign w:val="center"/>
          </w:tcPr>
          <w:p w14:paraId="2C77B09B" w14:textId="04D5757A" w:rsidR="00AB3B9D" w:rsidRPr="0019790A" w:rsidRDefault="00AB3B9D" w:rsidP="00AB3B9D">
            <w:pPr>
              <w:tabs>
                <w:tab w:val="left" w:pos="369"/>
              </w:tabs>
              <w:jc w:val="both"/>
              <w:rPr>
                <w:rFonts w:cs="Arial"/>
                <w:szCs w:val="22"/>
                <w:lang w:eastAsia="it-IT"/>
              </w:rPr>
            </w:pPr>
            <w:r w:rsidRPr="00846765">
              <w:rPr>
                <w:rFonts w:cs="Arial"/>
                <w:iCs/>
                <w:sz w:val="20"/>
                <w:szCs w:val="20"/>
              </w:rPr>
              <w:t>Залучення мешканців до формування місцевого бюджету/ бюджетний регламент</w:t>
            </w:r>
          </w:p>
        </w:tc>
      </w:tr>
      <w:tr w:rsidR="00AB3B9D" w:rsidRPr="0019790A" w14:paraId="76ABCAC6" w14:textId="77777777" w:rsidTr="004B3BEE">
        <w:trPr>
          <w:jc w:val="right"/>
        </w:trPr>
        <w:tc>
          <w:tcPr>
            <w:tcW w:w="3422" w:type="dxa"/>
            <w:vAlign w:val="center"/>
          </w:tcPr>
          <w:p w14:paraId="6451EE0D" w14:textId="77777777" w:rsidR="00AB3B9D" w:rsidRPr="0019790A" w:rsidRDefault="00AB3B9D" w:rsidP="00AB3B9D">
            <w:pPr>
              <w:rPr>
                <w:rFonts w:cs="Arial"/>
                <w:b/>
                <w:bCs/>
                <w:color w:val="000000"/>
                <w:szCs w:val="22"/>
              </w:rPr>
            </w:pPr>
            <w:r w:rsidRPr="0019790A">
              <w:rPr>
                <w:rFonts w:cs="Arial"/>
                <w:b/>
                <w:bCs/>
                <w:color w:val="000000"/>
                <w:szCs w:val="22"/>
              </w:rPr>
              <w:t>Цілі проєкту:</w:t>
            </w:r>
          </w:p>
        </w:tc>
        <w:tc>
          <w:tcPr>
            <w:tcW w:w="6797" w:type="dxa"/>
            <w:gridSpan w:val="7"/>
          </w:tcPr>
          <w:p w14:paraId="2D48BE01" w14:textId="77777777" w:rsidR="00AB3B9D" w:rsidRPr="00846765" w:rsidRDefault="00AB3B9D" w:rsidP="00AB3B9D">
            <w:pPr>
              <w:spacing w:before="40" w:after="40"/>
              <w:jc w:val="both"/>
              <w:rPr>
                <w:rFonts w:cs="Arial"/>
                <w:iCs/>
                <w:sz w:val="20"/>
                <w:szCs w:val="20"/>
              </w:rPr>
            </w:pPr>
            <w:r w:rsidRPr="00846765">
              <w:rPr>
                <w:rFonts w:cs="Arial"/>
                <w:iCs/>
                <w:sz w:val="20"/>
                <w:szCs w:val="20"/>
              </w:rPr>
              <w:t xml:space="preserve">Акумулювання та ефективне використання фінансового ресурсу громади. Забезпечення прозорості бюджетної політики.  </w:t>
            </w:r>
          </w:p>
          <w:p w14:paraId="5AAE0959" w14:textId="77777777" w:rsidR="00AB3B9D" w:rsidRPr="00846765" w:rsidRDefault="00AB3B9D" w:rsidP="00AB3B9D">
            <w:pPr>
              <w:spacing w:before="40" w:after="40"/>
              <w:jc w:val="both"/>
              <w:rPr>
                <w:rFonts w:cs="Arial"/>
                <w:iCs/>
                <w:sz w:val="20"/>
                <w:szCs w:val="20"/>
              </w:rPr>
            </w:pPr>
            <w:r w:rsidRPr="00846765">
              <w:rPr>
                <w:rFonts w:cs="Arial"/>
                <w:iCs/>
                <w:sz w:val="20"/>
                <w:szCs w:val="20"/>
              </w:rPr>
              <w:t>Залучення мешканців громади до формування місцевого бюджету.</w:t>
            </w:r>
          </w:p>
          <w:p w14:paraId="36264EDA" w14:textId="61A98521" w:rsidR="00AB3B9D" w:rsidRPr="0019790A" w:rsidRDefault="00AB3B9D" w:rsidP="00AB3B9D">
            <w:pPr>
              <w:tabs>
                <w:tab w:val="left" w:pos="369"/>
              </w:tabs>
              <w:jc w:val="both"/>
              <w:rPr>
                <w:rFonts w:cs="Arial"/>
                <w:szCs w:val="22"/>
                <w:lang w:eastAsia="it-IT"/>
              </w:rPr>
            </w:pPr>
            <w:r w:rsidRPr="00846765">
              <w:rPr>
                <w:rFonts w:cs="Arial"/>
                <w:iCs/>
                <w:sz w:val="20"/>
                <w:szCs w:val="20"/>
              </w:rPr>
              <w:t>Удосконалення співпраці з громадськістю шляхом публічних та електронних консультацій</w:t>
            </w:r>
          </w:p>
        </w:tc>
      </w:tr>
      <w:tr w:rsidR="00AB3B9D" w:rsidRPr="0019790A" w14:paraId="13656EA6" w14:textId="77777777" w:rsidTr="00AB3B9D">
        <w:trPr>
          <w:jc w:val="right"/>
        </w:trPr>
        <w:tc>
          <w:tcPr>
            <w:tcW w:w="3422" w:type="dxa"/>
            <w:vAlign w:val="center"/>
          </w:tcPr>
          <w:p w14:paraId="378EF602" w14:textId="77777777" w:rsidR="00AB3B9D" w:rsidRPr="0019790A" w:rsidRDefault="00AB3B9D" w:rsidP="00AB3B9D">
            <w:pPr>
              <w:autoSpaceDE w:val="0"/>
              <w:autoSpaceDN w:val="0"/>
              <w:adjustRightInd w:val="0"/>
              <w:rPr>
                <w:rFonts w:cs="Arial"/>
                <w:b/>
                <w:color w:val="000000"/>
                <w:szCs w:val="22"/>
              </w:rPr>
            </w:pPr>
            <w:r w:rsidRPr="0019790A">
              <w:rPr>
                <w:rFonts w:cs="Arial"/>
                <w:b/>
                <w:color w:val="000000"/>
                <w:szCs w:val="22"/>
              </w:rPr>
              <w:t>Територія на яку проєкт матиме вплив:</w:t>
            </w:r>
          </w:p>
        </w:tc>
        <w:tc>
          <w:tcPr>
            <w:tcW w:w="6797" w:type="dxa"/>
            <w:gridSpan w:val="7"/>
            <w:vAlign w:val="center"/>
          </w:tcPr>
          <w:p w14:paraId="028069BF" w14:textId="07E7279E" w:rsidR="00AB3B9D" w:rsidRPr="00AB3B9D" w:rsidRDefault="00AB3B9D" w:rsidP="00AB3B9D">
            <w:pPr>
              <w:tabs>
                <w:tab w:val="left" w:pos="369"/>
              </w:tabs>
              <w:jc w:val="both"/>
              <w:rPr>
                <w:rFonts w:cs="Arial"/>
                <w:b/>
                <w:szCs w:val="22"/>
                <w:lang w:eastAsia="it-IT"/>
              </w:rPr>
            </w:pPr>
            <w:r w:rsidRPr="00846765">
              <w:rPr>
                <w:rFonts w:cs="Arial"/>
                <w:sz w:val="20"/>
                <w:szCs w:val="20"/>
                <w:lang w:eastAsia="it-IT"/>
              </w:rPr>
              <w:t>Жмеринська міська територіальна громада</w:t>
            </w:r>
          </w:p>
        </w:tc>
      </w:tr>
      <w:tr w:rsidR="00AB3B9D" w:rsidRPr="0019790A" w14:paraId="11BC2A47" w14:textId="77777777" w:rsidTr="00AB3B9D">
        <w:trPr>
          <w:jc w:val="right"/>
        </w:trPr>
        <w:tc>
          <w:tcPr>
            <w:tcW w:w="3422" w:type="dxa"/>
            <w:vAlign w:val="center"/>
          </w:tcPr>
          <w:p w14:paraId="35529ADE" w14:textId="77777777" w:rsidR="00AB3B9D" w:rsidRPr="0019790A" w:rsidRDefault="00AB3B9D" w:rsidP="00AB3B9D">
            <w:pPr>
              <w:autoSpaceDE w:val="0"/>
              <w:autoSpaceDN w:val="0"/>
              <w:adjustRightInd w:val="0"/>
              <w:rPr>
                <w:rFonts w:cs="Arial"/>
                <w:b/>
                <w:color w:val="000000"/>
                <w:szCs w:val="22"/>
              </w:rPr>
            </w:pPr>
            <w:r w:rsidRPr="0019790A">
              <w:rPr>
                <w:rFonts w:cs="Arial"/>
                <w:b/>
                <w:color w:val="000000"/>
                <w:szCs w:val="22"/>
              </w:rPr>
              <w:t>Цільові групи проєкту та кількість отримувачів вигоди</w:t>
            </w:r>
          </w:p>
        </w:tc>
        <w:tc>
          <w:tcPr>
            <w:tcW w:w="6797" w:type="dxa"/>
            <w:gridSpan w:val="7"/>
            <w:vAlign w:val="center"/>
          </w:tcPr>
          <w:p w14:paraId="3D0C08D8" w14:textId="06D8D706" w:rsidR="00AB3B9D" w:rsidRPr="0019790A" w:rsidRDefault="00AB3B9D" w:rsidP="00AB3B9D">
            <w:pPr>
              <w:tabs>
                <w:tab w:val="left" w:pos="369"/>
              </w:tabs>
              <w:jc w:val="both"/>
              <w:rPr>
                <w:rFonts w:cs="Arial"/>
                <w:szCs w:val="22"/>
                <w:lang w:eastAsia="it-IT"/>
              </w:rPr>
            </w:pPr>
          </w:p>
        </w:tc>
      </w:tr>
      <w:tr w:rsidR="00AB3B9D" w:rsidRPr="0019790A" w14:paraId="33DA4043" w14:textId="77777777" w:rsidTr="004B3BEE">
        <w:trPr>
          <w:trHeight w:val="757"/>
          <w:jc w:val="right"/>
        </w:trPr>
        <w:tc>
          <w:tcPr>
            <w:tcW w:w="3422" w:type="dxa"/>
            <w:shd w:val="clear" w:color="auto" w:fill="FFFFFF"/>
            <w:vAlign w:val="center"/>
          </w:tcPr>
          <w:p w14:paraId="7AAE972B" w14:textId="77777777" w:rsidR="00AB3B9D" w:rsidRPr="0019790A" w:rsidRDefault="00AB3B9D" w:rsidP="00AB3B9D">
            <w:pPr>
              <w:rPr>
                <w:rFonts w:cs="Arial"/>
                <w:b/>
                <w:bCs/>
                <w:color w:val="000000"/>
                <w:szCs w:val="22"/>
              </w:rPr>
            </w:pPr>
            <w:r w:rsidRPr="0019790A">
              <w:rPr>
                <w:rFonts w:cs="Arial"/>
                <w:b/>
                <w:bCs/>
                <w:color w:val="000000"/>
                <w:szCs w:val="22"/>
              </w:rPr>
              <w:t>Стислий опис проєкту:</w:t>
            </w:r>
          </w:p>
        </w:tc>
        <w:tc>
          <w:tcPr>
            <w:tcW w:w="6797" w:type="dxa"/>
            <w:gridSpan w:val="7"/>
          </w:tcPr>
          <w:p w14:paraId="2DFDE7D0" w14:textId="77777777" w:rsidR="00AB3B9D" w:rsidRPr="00846765" w:rsidRDefault="00AB3B9D" w:rsidP="00AB3B9D">
            <w:pPr>
              <w:spacing w:before="40" w:after="40"/>
              <w:jc w:val="both"/>
              <w:rPr>
                <w:rFonts w:cs="Arial"/>
                <w:sz w:val="20"/>
                <w:szCs w:val="20"/>
                <w:lang w:eastAsia="it-IT"/>
              </w:rPr>
            </w:pPr>
            <w:r w:rsidRPr="00846765">
              <w:rPr>
                <w:rFonts w:cs="Arial"/>
                <w:sz w:val="20"/>
                <w:szCs w:val="20"/>
                <w:lang w:eastAsia="it-IT"/>
              </w:rPr>
              <w:t>Фінансовим управлінням здійснюється щоденний аналіз та контроль за повнотою надходжень доходів бюджету. Жмеринської міської ТГ в розрізі запланованих джерел доходів. Проводиться відповідна робота з платниками щодо сплати податків та зборів до місцевого бюджету у повному обсязі, залучення додаткових фінансових ресурсів.</w:t>
            </w:r>
          </w:p>
          <w:p w14:paraId="00B2F307" w14:textId="77777777" w:rsidR="00AB3B9D" w:rsidRPr="00846765" w:rsidRDefault="00AB3B9D" w:rsidP="00AB3B9D">
            <w:pPr>
              <w:spacing w:before="40" w:after="40"/>
              <w:jc w:val="both"/>
              <w:rPr>
                <w:rFonts w:cs="Arial"/>
                <w:sz w:val="20"/>
                <w:szCs w:val="20"/>
                <w:lang w:eastAsia="it-IT"/>
              </w:rPr>
            </w:pPr>
            <w:r w:rsidRPr="00846765">
              <w:rPr>
                <w:rFonts w:cs="Arial"/>
                <w:sz w:val="20"/>
                <w:szCs w:val="20"/>
                <w:lang w:eastAsia="it-IT"/>
              </w:rPr>
              <w:t>Проводиться робота із головними розпорядниками щодо економного витрачання бюджетних коштів, вжиття заходів щодо недопущення кредиторської/дебіторської заборгованості, повноти виплат заробітної плати працівникам бюджетної сфери, забезпечення утримання установ у належному стані, в тому числі витрат на енергоносії, харчування, медикаменти та інші видатки.</w:t>
            </w:r>
          </w:p>
          <w:p w14:paraId="6C220C90" w14:textId="77777777" w:rsidR="00AB3B9D" w:rsidRPr="00846765" w:rsidRDefault="00AB3B9D" w:rsidP="00AB3B9D">
            <w:pPr>
              <w:spacing w:before="40" w:after="40"/>
              <w:jc w:val="both"/>
              <w:rPr>
                <w:rFonts w:cs="Arial"/>
                <w:sz w:val="20"/>
                <w:szCs w:val="20"/>
                <w:lang w:eastAsia="it-IT"/>
              </w:rPr>
            </w:pPr>
            <w:r w:rsidRPr="00846765">
              <w:rPr>
                <w:rFonts w:cs="Arial"/>
                <w:sz w:val="20"/>
                <w:szCs w:val="20"/>
                <w:lang w:eastAsia="it-IT"/>
              </w:rPr>
              <w:t>Здійснюється організація роботи щодо залучення додаткових обсягів субвенцій, дотацій, співфінансування інвестиційних проєктів тощо (в тому числі спільно з головними розпорядниками коштів).</w:t>
            </w:r>
          </w:p>
          <w:p w14:paraId="7148D2EB" w14:textId="77777777" w:rsidR="00AB3B9D" w:rsidRPr="00846765" w:rsidRDefault="00AB3B9D" w:rsidP="00AB3B9D">
            <w:pPr>
              <w:spacing w:before="40" w:after="40"/>
              <w:jc w:val="both"/>
              <w:rPr>
                <w:rFonts w:cs="Arial"/>
                <w:sz w:val="20"/>
                <w:szCs w:val="20"/>
                <w:lang w:eastAsia="it-IT"/>
              </w:rPr>
            </w:pPr>
            <w:r w:rsidRPr="00846765">
              <w:rPr>
                <w:rFonts w:cs="Arial"/>
                <w:sz w:val="20"/>
                <w:szCs w:val="20"/>
                <w:lang w:eastAsia="it-IT"/>
              </w:rPr>
              <w:t>Здійснюється контроль за дотриманням бюджетного законодавства, попередження та недопущення бюджетних правопорушень.</w:t>
            </w:r>
          </w:p>
          <w:p w14:paraId="11D06840" w14:textId="77777777" w:rsidR="00AB3B9D" w:rsidRPr="00846765" w:rsidRDefault="00AB3B9D" w:rsidP="00AB3B9D">
            <w:pPr>
              <w:spacing w:before="40" w:after="40"/>
              <w:jc w:val="both"/>
              <w:rPr>
                <w:rFonts w:cs="Arial"/>
                <w:sz w:val="20"/>
                <w:szCs w:val="20"/>
                <w:lang w:eastAsia="it-IT"/>
              </w:rPr>
            </w:pPr>
            <w:r w:rsidRPr="00846765">
              <w:rPr>
                <w:rFonts w:cs="Arial"/>
                <w:sz w:val="20"/>
                <w:szCs w:val="20"/>
                <w:lang w:eastAsia="it-IT"/>
              </w:rPr>
              <w:t>Оприлюднюється інформація щодо виконання бюджету за відповідний період, постійно наповнюється розділ «Бюджет міської ТГ» на офіційному сайті Жмеринської міської ради.</w:t>
            </w:r>
          </w:p>
          <w:p w14:paraId="16EA415D" w14:textId="033C21DE" w:rsidR="00AB3B9D" w:rsidRPr="0019790A" w:rsidRDefault="00AB3B9D" w:rsidP="00AB3B9D">
            <w:pPr>
              <w:tabs>
                <w:tab w:val="left" w:pos="369"/>
              </w:tabs>
              <w:jc w:val="both"/>
              <w:rPr>
                <w:rFonts w:cs="Arial"/>
                <w:szCs w:val="22"/>
                <w:lang w:eastAsia="it-IT"/>
              </w:rPr>
            </w:pPr>
            <w:r w:rsidRPr="00846765">
              <w:rPr>
                <w:rFonts w:cs="Arial"/>
                <w:sz w:val="20"/>
                <w:szCs w:val="20"/>
                <w:lang w:eastAsia="it-IT"/>
              </w:rPr>
              <w:t>Розширюються можливості співпраці із громадськістю, зокрема із використанням публічних та електронних консультацій.</w:t>
            </w:r>
          </w:p>
        </w:tc>
      </w:tr>
      <w:tr w:rsidR="00AB3B9D" w:rsidRPr="0019790A" w14:paraId="5624A71B" w14:textId="77777777" w:rsidTr="004B3BEE">
        <w:trPr>
          <w:trHeight w:val="1864"/>
          <w:jc w:val="right"/>
        </w:trPr>
        <w:tc>
          <w:tcPr>
            <w:tcW w:w="3422" w:type="dxa"/>
            <w:shd w:val="clear" w:color="auto" w:fill="FFFFFF"/>
            <w:vAlign w:val="center"/>
          </w:tcPr>
          <w:p w14:paraId="56E01C03" w14:textId="77777777" w:rsidR="00AB3B9D" w:rsidRPr="0019790A" w:rsidRDefault="00AB3B9D" w:rsidP="00AB3B9D">
            <w:pPr>
              <w:rPr>
                <w:rFonts w:cs="Arial"/>
                <w:b/>
                <w:bCs/>
                <w:color w:val="000000"/>
                <w:szCs w:val="22"/>
              </w:rPr>
            </w:pPr>
            <w:r w:rsidRPr="0019790A">
              <w:rPr>
                <w:rFonts w:cs="Arial"/>
                <w:b/>
                <w:bCs/>
                <w:color w:val="000000"/>
                <w:szCs w:val="22"/>
              </w:rPr>
              <w:t>Основні заходи проєкту:</w:t>
            </w:r>
          </w:p>
        </w:tc>
        <w:tc>
          <w:tcPr>
            <w:tcW w:w="6797" w:type="dxa"/>
            <w:gridSpan w:val="7"/>
          </w:tcPr>
          <w:p w14:paraId="6B91C8B4" w14:textId="77777777" w:rsidR="00AB3B9D" w:rsidRPr="00846765" w:rsidRDefault="00AB3B9D" w:rsidP="00AB3B9D">
            <w:pPr>
              <w:spacing w:before="40" w:after="40"/>
              <w:jc w:val="both"/>
              <w:rPr>
                <w:rFonts w:cs="Arial"/>
                <w:color w:val="333333"/>
                <w:sz w:val="20"/>
                <w:szCs w:val="20"/>
                <w:shd w:val="clear" w:color="auto" w:fill="FFFFFF"/>
              </w:rPr>
            </w:pPr>
            <w:r w:rsidRPr="00846765">
              <w:rPr>
                <w:rFonts w:cs="Arial"/>
                <w:color w:val="333333"/>
                <w:sz w:val="20"/>
                <w:szCs w:val="20"/>
                <w:shd w:val="clear" w:color="auto" w:fill="FFFFFF"/>
              </w:rPr>
              <w:t>Оперативне внесення змін до бюджетного графіку (Бюджетного регламенту), відповідних планів заходів, що дасть  можливість учасникам бюджетного процесу громади вчасно та результативно проводити роботу по формуванню/виконанню бюджету.</w:t>
            </w:r>
          </w:p>
          <w:p w14:paraId="52CD9DC5" w14:textId="1AD33E62" w:rsidR="00AB3B9D" w:rsidRPr="00846765" w:rsidRDefault="00AB3B9D" w:rsidP="00AB3B9D">
            <w:pPr>
              <w:spacing w:before="40" w:after="40"/>
              <w:jc w:val="both"/>
              <w:rPr>
                <w:rFonts w:cs="Arial"/>
                <w:color w:val="333333"/>
                <w:sz w:val="20"/>
                <w:szCs w:val="20"/>
                <w:shd w:val="clear" w:color="auto" w:fill="FFFFFF"/>
              </w:rPr>
            </w:pPr>
            <w:r w:rsidRPr="00846765">
              <w:rPr>
                <w:rFonts w:cs="Arial"/>
                <w:color w:val="333333"/>
                <w:sz w:val="20"/>
                <w:szCs w:val="20"/>
                <w:shd w:val="clear" w:color="auto" w:fill="FFFFFF"/>
              </w:rPr>
              <w:t xml:space="preserve">Схвалення/прийняття прогнозу та </w:t>
            </w:r>
            <w:r w:rsidR="00314B9D">
              <w:rPr>
                <w:rFonts w:cs="Arial"/>
                <w:color w:val="333333"/>
                <w:sz w:val="20"/>
                <w:szCs w:val="20"/>
                <w:shd w:val="clear" w:color="auto" w:fill="FFFFFF"/>
              </w:rPr>
              <w:t>проєкту</w:t>
            </w:r>
            <w:r w:rsidRPr="00846765">
              <w:rPr>
                <w:rFonts w:cs="Arial"/>
                <w:color w:val="333333"/>
                <w:sz w:val="20"/>
                <w:szCs w:val="20"/>
                <w:shd w:val="clear" w:color="auto" w:fill="FFFFFF"/>
              </w:rPr>
              <w:t xml:space="preserve"> бюджету громади в законодавчо встановлений термін.</w:t>
            </w:r>
          </w:p>
          <w:p w14:paraId="352A7C7D" w14:textId="77777777" w:rsidR="00AB3B9D" w:rsidRPr="00846765" w:rsidRDefault="00AB3B9D" w:rsidP="00AB3B9D">
            <w:pPr>
              <w:spacing w:after="40"/>
              <w:jc w:val="both"/>
              <w:rPr>
                <w:rFonts w:cs="Arial"/>
                <w:sz w:val="20"/>
                <w:szCs w:val="20"/>
                <w:lang w:eastAsia="it-IT"/>
              </w:rPr>
            </w:pPr>
            <w:r w:rsidRPr="00846765">
              <w:rPr>
                <w:rFonts w:cs="Arial"/>
                <w:color w:val="333333"/>
                <w:sz w:val="20"/>
                <w:szCs w:val="20"/>
                <w:shd w:val="clear" w:color="auto" w:fill="FFFFFF"/>
              </w:rPr>
              <w:t>Розміщення на офіційному сайті міської ради рішення про бюджет, звіту про виконання бюджету, звіту про результати діяльності фінансового органу за звітний рік, відповідні періоди тощо.</w:t>
            </w:r>
          </w:p>
          <w:p w14:paraId="373DBA66" w14:textId="39F68CCB" w:rsidR="00AB3B9D" w:rsidRPr="0019790A" w:rsidRDefault="00AB3B9D" w:rsidP="00AB3B9D">
            <w:pPr>
              <w:tabs>
                <w:tab w:val="left" w:pos="369"/>
              </w:tabs>
              <w:jc w:val="both"/>
              <w:rPr>
                <w:rFonts w:cs="Arial"/>
                <w:szCs w:val="22"/>
                <w:lang w:eastAsia="it-IT"/>
              </w:rPr>
            </w:pPr>
            <w:r w:rsidRPr="00846765">
              <w:rPr>
                <w:rFonts w:cs="Arial"/>
                <w:color w:val="333333"/>
                <w:sz w:val="20"/>
                <w:szCs w:val="20"/>
                <w:shd w:val="clear" w:color="auto" w:fill="FFFFFF"/>
              </w:rPr>
              <w:t>Проведення публічних слухань, консультацій та обговорень бюджету.</w:t>
            </w:r>
          </w:p>
        </w:tc>
      </w:tr>
      <w:tr w:rsidR="00AB3B9D" w:rsidRPr="0019790A" w14:paraId="281D06C4" w14:textId="77777777" w:rsidTr="00AB3B9D">
        <w:trPr>
          <w:trHeight w:val="688"/>
          <w:jc w:val="right"/>
        </w:trPr>
        <w:tc>
          <w:tcPr>
            <w:tcW w:w="3422" w:type="dxa"/>
            <w:shd w:val="clear" w:color="auto" w:fill="FFFFFF"/>
            <w:vAlign w:val="center"/>
          </w:tcPr>
          <w:p w14:paraId="572B9EA8" w14:textId="77777777" w:rsidR="00AB3B9D" w:rsidRPr="0019790A" w:rsidRDefault="00AB3B9D" w:rsidP="00AB3B9D">
            <w:pPr>
              <w:rPr>
                <w:rFonts w:cs="Arial"/>
                <w:b/>
                <w:bCs/>
                <w:color w:val="000000"/>
                <w:szCs w:val="22"/>
              </w:rPr>
            </w:pPr>
            <w:r w:rsidRPr="0019790A">
              <w:rPr>
                <w:rFonts w:cs="Arial"/>
                <w:b/>
                <w:bCs/>
                <w:color w:val="000000"/>
                <w:szCs w:val="22"/>
              </w:rPr>
              <w:t>Індикатори (показники) результативності:</w:t>
            </w:r>
          </w:p>
        </w:tc>
        <w:tc>
          <w:tcPr>
            <w:tcW w:w="6797" w:type="dxa"/>
            <w:gridSpan w:val="7"/>
            <w:vAlign w:val="center"/>
          </w:tcPr>
          <w:p w14:paraId="3F7289CB" w14:textId="29BAEB95" w:rsidR="00AB3B9D" w:rsidRPr="0019790A" w:rsidRDefault="00AB3B9D" w:rsidP="00AB3B9D">
            <w:pPr>
              <w:tabs>
                <w:tab w:val="left" w:pos="369"/>
              </w:tabs>
              <w:jc w:val="both"/>
              <w:rPr>
                <w:rFonts w:cs="Arial"/>
                <w:szCs w:val="22"/>
                <w:lang w:eastAsia="it-IT"/>
              </w:rPr>
            </w:pPr>
          </w:p>
        </w:tc>
      </w:tr>
      <w:tr w:rsidR="00AB3B9D" w:rsidRPr="0019790A" w14:paraId="6871A656" w14:textId="77777777" w:rsidTr="00AB3B9D">
        <w:trPr>
          <w:jc w:val="right"/>
        </w:trPr>
        <w:tc>
          <w:tcPr>
            <w:tcW w:w="3422" w:type="dxa"/>
            <w:shd w:val="clear" w:color="auto" w:fill="FFFFFF"/>
            <w:vAlign w:val="center"/>
          </w:tcPr>
          <w:p w14:paraId="7C9954C2" w14:textId="77777777" w:rsidR="00AB3B9D" w:rsidRPr="0019790A" w:rsidRDefault="00AB3B9D" w:rsidP="00AB3B9D">
            <w:pPr>
              <w:rPr>
                <w:rFonts w:cs="Arial"/>
                <w:b/>
                <w:color w:val="000000"/>
                <w:szCs w:val="22"/>
              </w:rPr>
            </w:pPr>
            <w:r w:rsidRPr="0019790A">
              <w:rPr>
                <w:rFonts w:cs="Arial"/>
                <w:b/>
                <w:color w:val="000000"/>
                <w:szCs w:val="22"/>
              </w:rPr>
              <w:t xml:space="preserve">Період здійснення: </w:t>
            </w:r>
          </w:p>
        </w:tc>
        <w:tc>
          <w:tcPr>
            <w:tcW w:w="6797" w:type="dxa"/>
            <w:gridSpan w:val="7"/>
            <w:vAlign w:val="center"/>
          </w:tcPr>
          <w:p w14:paraId="2155823A" w14:textId="72E5B4AD" w:rsidR="00AB3B9D" w:rsidRPr="0019790A" w:rsidRDefault="00AB3B9D" w:rsidP="00AB3B9D">
            <w:pPr>
              <w:tabs>
                <w:tab w:val="left" w:pos="369"/>
              </w:tabs>
              <w:jc w:val="both"/>
              <w:rPr>
                <w:rFonts w:cs="Arial"/>
                <w:color w:val="000000"/>
                <w:szCs w:val="22"/>
                <w:lang w:eastAsia="it-IT"/>
              </w:rPr>
            </w:pPr>
            <w:r w:rsidRPr="0019790A">
              <w:rPr>
                <w:rFonts w:cs="Arial"/>
                <w:b/>
                <w:color w:val="000000"/>
                <w:szCs w:val="22"/>
              </w:rPr>
              <w:t>2025 – 2028 роки:</w:t>
            </w:r>
          </w:p>
        </w:tc>
      </w:tr>
      <w:tr w:rsidR="00AB3B9D" w:rsidRPr="0019790A" w14:paraId="322E7A43" w14:textId="77777777" w:rsidTr="00AB3B9D">
        <w:trPr>
          <w:jc w:val="right"/>
        </w:trPr>
        <w:tc>
          <w:tcPr>
            <w:tcW w:w="3422" w:type="dxa"/>
            <w:vMerge w:val="restart"/>
            <w:shd w:val="clear" w:color="auto" w:fill="FFFFFF"/>
            <w:vAlign w:val="center"/>
          </w:tcPr>
          <w:p w14:paraId="6B072514" w14:textId="77777777" w:rsidR="00AB3B9D" w:rsidRPr="0019790A" w:rsidRDefault="00AB3B9D" w:rsidP="00AB3B9D">
            <w:pPr>
              <w:rPr>
                <w:rFonts w:cs="Arial"/>
                <w:b/>
                <w:bCs/>
                <w:color w:val="000000"/>
                <w:szCs w:val="22"/>
              </w:rPr>
            </w:pPr>
            <w:r w:rsidRPr="0019790A">
              <w:rPr>
                <w:rFonts w:cs="Arial"/>
                <w:b/>
                <w:bCs/>
                <w:color w:val="000000"/>
                <w:szCs w:val="22"/>
              </w:rPr>
              <w:t>Орієнтовна вартість проєкту, тис. грн., в тому числі:</w:t>
            </w:r>
          </w:p>
        </w:tc>
        <w:tc>
          <w:tcPr>
            <w:tcW w:w="1258" w:type="dxa"/>
            <w:shd w:val="clear" w:color="auto" w:fill="E6E6E6"/>
            <w:vAlign w:val="center"/>
          </w:tcPr>
          <w:p w14:paraId="0C26696E" w14:textId="7151339A" w:rsidR="00AB3B9D" w:rsidRPr="0019790A" w:rsidRDefault="00AB3B9D" w:rsidP="00AB3B9D">
            <w:pPr>
              <w:tabs>
                <w:tab w:val="left" w:pos="369"/>
              </w:tabs>
              <w:jc w:val="center"/>
              <w:rPr>
                <w:rFonts w:cs="Arial"/>
                <w:b/>
                <w:color w:val="000000"/>
                <w:szCs w:val="22"/>
                <w:lang w:eastAsia="it-IT"/>
              </w:rPr>
            </w:pPr>
            <w:r w:rsidRPr="0019790A">
              <w:rPr>
                <w:rFonts w:cs="Arial"/>
                <w:b/>
                <w:color w:val="000000"/>
                <w:szCs w:val="22"/>
                <w:lang w:eastAsia="it-IT"/>
              </w:rPr>
              <w:t>2025</w:t>
            </w:r>
          </w:p>
        </w:tc>
        <w:tc>
          <w:tcPr>
            <w:tcW w:w="1274" w:type="dxa"/>
            <w:shd w:val="clear" w:color="auto" w:fill="E6E6E6"/>
            <w:vAlign w:val="center"/>
          </w:tcPr>
          <w:p w14:paraId="38A7497F" w14:textId="5335845E" w:rsidR="00AB3B9D" w:rsidRPr="0019790A" w:rsidRDefault="00AB3B9D" w:rsidP="00AB3B9D">
            <w:pPr>
              <w:tabs>
                <w:tab w:val="left" w:pos="369"/>
              </w:tabs>
              <w:jc w:val="center"/>
              <w:rPr>
                <w:rFonts w:cs="Arial"/>
                <w:b/>
                <w:color w:val="000000"/>
                <w:szCs w:val="22"/>
                <w:lang w:eastAsia="it-IT"/>
              </w:rPr>
            </w:pPr>
            <w:r w:rsidRPr="0019790A">
              <w:rPr>
                <w:rFonts w:cs="Arial"/>
                <w:b/>
                <w:color w:val="000000"/>
                <w:szCs w:val="22"/>
                <w:lang w:eastAsia="it-IT"/>
              </w:rPr>
              <w:t>2025</w:t>
            </w:r>
          </w:p>
        </w:tc>
        <w:tc>
          <w:tcPr>
            <w:tcW w:w="1421" w:type="dxa"/>
            <w:gridSpan w:val="2"/>
            <w:tcBorders>
              <w:bottom w:val="single" w:sz="4" w:space="0" w:color="auto"/>
            </w:tcBorders>
            <w:shd w:val="clear" w:color="auto" w:fill="E6E6E6"/>
            <w:vAlign w:val="center"/>
          </w:tcPr>
          <w:p w14:paraId="04BB713F" w14:textId="4723F9DE" w:rsidR="00AB3B9D" w:rsidRPr="0019790A" w:rsidRDefault="00AB3B9D" w:rsidP="00AB3B9D">
            <w:pPr>
              <w:tabs>
                <w:tab w:val="left" w:pos="369"/>
              </w:tabs>
              <w:jc w:val="center"/>
              <w:rPr>
                <w:rFonts w:cs="Arial"/>
                <w:b/>
                <w:color w:val="000000"/>
                <w:szCs w:val="22"/>
                <w:lang w:eastAsia="it-IT"/>
              </w:rPr>
            </w:pPr>
            <w:r w:rsidRPr="0019790A">
              <w:rPr>
                <w:rFonts w:cs="Arial"/>
                <w:b/>
                <w:color w:val="000000"/>
                <w:szCs w:val="22"/>
                <w:lang w:eastAsia="it-IT"/>
              </w:rPr>
              <w:t>2025</w:t>
            </w:r>
          </w:p>
        </w:tc>
        <w:tc>
          <w:tcPr>
            <w:tcW w:w="1275" w:type="dxa"/>
            <w:shd w:val="clear" w:color="auto" w:fill="E6E6E6"/>
            <w:vAlign w:val="center"/>
          </w:tcPr>
          <w:p w14:paraId="25F424C7" w14:textId="4A358CD2" w:rsidR="00AB3B9D" w:rsidRPr="0019790A" w:rsidRDefault="00AB3B9D" w:rsidP="00AB3B9D">
            <w:pPr>
              <w:tabs>
                <w:tab w:val="left" w:pos="369"/>
              </w:tabs>
              <w:jc w:val="center"/>
              <w:rPr>
                <w:rFonts w:cs="Arial"/>
                <w:b/>
                <w:color w:val="000000"/>
                <w:szCs w:val="22"/>
                <w:lang w:eastAsia="it-IT"/>
              </w:rPr>
            </w:pPr>
            <w:r w:rsidRPr="0019790A">
              <w:rPr>
                <w:rFonts w:cs="Arial"/>
                <w:b/>
                <w:color w:val="000000"/>
                <w:szCs w:val="22"/>
                <w:lang w:eastAsia="it-IT"/>
              </w:rPr>
              <w:t>2025</w:t>
            </w:r>
          </w:p>
        </w:tc>
        <w:tc>
          <w:tcPr>
            <w:tcW w:w="1569" w:type="dxa"/>
            <w:gridSpan w:val="2"/>
            <w:shd w:val="clear" w:color="auto" w:fill="E6E6E6"/>
            <w:vAlign w:val="center"/>
          </w:tcPr>
          <w:p w14:paraId="2233A430" w14:textId="03681F99" w:rsidR="00AB3B9D" w:rsidRPr="0019790A" w:rsidRDefault="00AB3B9D" w:rsidP="00AB3B9D">
            <w:pPr>
              <w:tabs>
                <w:tab w:val="left" w:pos="369"/>
              </w:tabs>
              <w:jc w:val="center"/>
              <w:rPr>
                <w:rFonts w:cs="Arial"/>
                <w:b/>
                <w:color w:val="000000"/>
                <w:szCs w:val="22"/>
                <w:lang w:eastAsia="it-IT"/>
              </w:rPr>
            </w:pPr>
            <w:r w:rsidRPr="0019790A">
              <w:rPr>
                <w:rFonts w:cs="Arial"/>
                <w:b/>
                <w:color w:val="000000"/>
                <w:szCs w:val="22"/>
                <w:lang w:eastAsia="it-IT"/>
              </w:rPr>
              <w:t>2025</w:t>
            </w:r>
          </w:p>
        </w:tc>
      </w:tr>
      <w:tr w:rsidR="00AB3B9D" w:rsidRPr="0019790A" w14:paraId="7370E11B" w14:textId="77777777" w:rsidTr="00AB3B9D">
        <w:trPr>
          <w:jc w:val="right"/>
        </w:trPr>
        <w:tc>
          <w:tcPr>
            <w:tcW w:w="3422" w:type="dxa"/>
            <w:vMerge/>
            <w:shd w:val="clear" w:color="auto" w:fill="FFFFFF"/>
            <w:vAlign w:val="center"/>
          </w:tcPr>
          <w:p w14:paraId="3C15385A" w14:textId="77777777" w:rsidR="00AB3B9D" w:rsidRPr="0019790A" w:rsidRDefault="00AB3B9D" w:rsidP="00AB3B9D">
            <w:pPr>
              <w:rPr>
                <w:rFonts w:cs="Arial"/>
                <w:b/>
                <w:bCs/>
                <w:color w:val="000000"/>
                <w:szCs w:val="22"/>
              </w:rPr>
            </w:pPr>
          </w:p>
        </w:tc>
        <w:tc>
          <w:tcPr>
            <w:tcW w:w="1258" w:type="dxa"/>
            <w:vAlign w:val="center"/>
          </w:tcPr>
          <w:p w14:paraId="151FB0A3" w14:textId="6FB35108" w:rsidR="00AB3B9D" w:rsidRPr="0019790A" w:rsidRDefault="00AB3B9D" w:rsidP="00AB3B9D">
            <w:pPr>
              <w:tabs>
                <w:tab w:val="left" w:pos="369"/>
              </w:tabs>
              <w:jc w:val="center"/>
              <w:rPr>
                <w:rFonts w:cs="Arial"/>
                <w:b/>
                <w:color w:val="000000"/>
                <w:szCs w:val="22"/>
                <w:lang w:eastAsia="it-IT"/>
              </w:rPr>
            </w:pPr>
            <w:r>
              <w:rPr>
                <w:rFonts w:cs="Arial"/>
                <w:b/>
                <w:color w:val="000000"/>
                <w:szCs w:val="22"/>
                <w:lang w:eastAsia="it-IT"/>
              </w:rPr>
              <w:t>0</w:t>
            </w:r>
          </w:p>
        </w:tc>
        <w:tc>
          <w:tcPr>
            <w:tcW w:w="1274" w:type="dxa"/>
            <w:shd w:val="clear" w:color="auto" w:fill="FFFFFF"/>
            <w:vAlign w:val="center"/>
          </w:tcPr>
          <w:p w14:paraId="7BC80BD1" w14:textId="1C767379" w:rsidR="00AB3B9D" w:rsidRPr="0019790A" w:rsidRDefault="00AB3B9D" w:rsidP="00AB3B9D">
            <w:pPr>
              <w:tabs>
                <w:tab w:val="left" w:pos="369"/>
              </w:tabs>
              <w:jc w:val="center"/>
              <w:rPr>
                <w:rFonts w:cs="Arial"/>
                <w:b/>
                <w:color w:val="000000"/>
                <w:szCs w:val="22"/>
                <w:lang w:eastAsia="it-IT"/>
              </w:rPr>
            </w:pPr>
            <w:r>
              <w:rPr>
                <w:rFonts w:cs="Arial"/>
                <w:b/>
                <w:color w:val="000000"/>
                <w:szCs w:val="22"/>
                <w:lang w:eastAsia="it-IT"/>
              </w:rPr>
              <w:t>0</w:t>
            </w:r>
          </w:p>
        </w:tc>
        <w:tc>
          <w:tcPr>
            <w:tcW w:w="1421" w:type="dxa"/>
            <w:gridSpan w:val="2"/>
            <w:shd w:val="clear" w:color="auto" w:fill="auto"/>
            <w:vAlign w:val="center"/>
          </w:tcPr>
          <w:p w14:paraId="447A5061" w14:textId="5B4CDCDD" w:rsidR="00AB3B9D" w:rsidRPr="0019790A" w:rsidRDefault="00AB3B9D" w:rsidP="00AB3B9D">
            <w:pPr>
              <w:tabs>
                <w:tab w:val="left" w:pos="369"/>
              </w:tabs>
              <w:jc w:val="center"/>
              <w:rPr>
                <w:rFonts w:cs="Arial"/>
                <w:b/>
                <w:color w:val="000000"/>
                <w:szCs w:val="22"/>
                <w:lang w:eastAsia="it-IT"/>
              </w:rPr>
            </w:pPr>
            <w:r>
              <w:rPr>
                <w:rFonts w:cs="Arial"/>
                <w:b/>
                <w:color w:val="000000"/>
                <w:szCs w:val="22"/>
                <w:lang w:eastAsia="it-IT"/>
              </w:rPr>
              <w:t>0</w:t>
            </w:r>
          </w:p>
        </w:tc>
        <w:tc>
          <w:tcPr>
            <w:tcW w:w="1275" w:type="dxa"/>
            <w:shd w:val="clear" w:color="auto" w:fill="FFFFFF"/>
            <w:vAlign w:val="center"/>
          </w:tcPr>
          <w:p w14:paraId="236A7208" w14:textId="4A8C5EF5" w:rsidR="00AB3B9D" w:rsidRPr="0019790A" w:rsidRDefault="00AB3B9D" w:rsidP="00AB3B9D">
            <w:pPr>
              <w:tabs>
                <w:tab w:val="left" w:pos="369"/>
              </w:tabs>
              <w:jc w:val="center"/>
              <w:rPr>
                <w:rFonts w:cs="Arial"/>
                <w:b/>
                <w:color w:val="000000"/>
                <w:szCs w:val="22"/>
                <w:lang w:eastAsia="it-IT"/>
              </w:rPr>
            </w:pPr>
            <w:r>
              <w:rPr>
                <w:rFonts w:cs="Arial"/>
                <w:b/>
                <w:color w:val="000000"/>
                <w:szCs w:val="22"/>
                <w:lang w:eastAsia="it-IT"/>
              </w:rPr>
              <w:t>0</w:t>
            </w:r>
          </w:p>
        </w:tc>
        <w:tc>
          <w:tcPr>
            <w:tcW w:w="1569" w:type="dxa"/>
            <w:gridSpan w:val="2"/>
            <w:shd w:val="clear" w:color="auto" w:fill="FFFFFF"/>
            <w:vAlign w:val="center"/>
          </w:tcPr>
          <w:p w14:paraId="45A559BF" w14:textId="1CD103F0" w:rsidR="00AB3B9D" w:rsidRPr="0019790A" w:rsidRDefault="00AB3B9D" w:rsidP="00AB3B9D">
            <w:pPr>
              <w:tabs>
                <w:tab w:val="left" w:pos="369"/>
              </w:tabs>
              <w:jc w:val="center"/>
              <w:rPr>
                <w:rFonts w:cs="Arial"/>
                <w:b/>
                <w:color w:val="000000"/>
                <w:szCs w:val="22"/>
                <w:lang w:eastAsia="it-IT"/>
              </w:rPr>
            </w:pPr>
            <w:r>
              <w:rPr>
                <w:rFonts w:cs="Arial"/>
                <w:b/>
                <w:color w:val="000000"/>
                <w:szCs w:val="22"/>
                <w:lang w:eastAsia="it-IT"/>
              </w:rPr>
              <w:t>0</w:t>
            </w:r>
          </w:p>
        </w:tc>
      </w:tr>
      <w:tr w:rsidR="00AB3B9D" w:rsidRPr="0019790A" w14:paraId="29714593" w14:textId="77777777" w:rsidTr="00AB3B9D">
        <w:trPr>
          <w:trHeight w:val="276"/>
          <w:jc w:val="right"/>
        </w:trPr>
        <w:tc>
          <w:tcPr>
            <w:tcW w:w="3422" w:type="dxa"/>
            <w:shd w:val="clear" w:color="auto" w:fill="FFFFFF"/>
            <w:vAlign w:val="center"/>
          </w:tcPr>
          <w:p w14:paraId="4C78B827" w14:textId="77777777" w:rsidR="00AB3B9D" w:rsidRPr="0019790A" w:rsidRDefault="00AB3B9D" w:rsidP="00AB3B9D">
            <w:pPr>
              <w:rPr>
                <w:rFonts w:cs="Arial"/>
                <w:b/>
                <w:bCs/>
                <w:color w:val="000000"/>
                <w:szCs w:val="22"/>
              </w:rPr>
            </w:pPr>
            <w:r w:rsidRPr="0019790A">
              <w:rPr>
                <w:rFonts w:cs="Arial"/>
                <w:b/>
                <w:bCs/>
                <w:color w:val="000000"/>
                <w:szCs w:val="22"/>
              </w:rPr>
              <w:t>по джерелах фінансування:</w:t>
            </w:r>
          </w:p>
        </w:tc>
        <w:tc>
          <w:tcPr>
            <w:tcW w:w="6797" w:type="dxa"/>
            <w:gridSpan w:val="7"/>
            <w:vAlign w:val="center"/>
          </w:tcPr>
          <w:p w14:paraId="4E3D8702" w14:textId="77777777" w:rsidR="00AB3B9D" w:rsidRPr="0019790A" w:rsidRDefault="00AB3B9D" w:rsidP="00AB3B9D">
            <w:pPr>
              <w:tabs>
                <w:tab w:val="left" w:pos="369"/>
              </w:tabs>
              <w:jc w:val="center"/>
              <w:rPr>
                <w:rFonts w:cs="Arial"/>
                <w:color w:val="000000"/>
                <w:szCs w:val="22"/>
                <w:lang w:eastAsia="it-IT"/>
              </w:rPr>
            </w:pPr>
          </w:p>
        </w:tc>
      </w:tr>
      <w:tr w:rsidR="00AB3B9D" w:rsidRPr="0019790A" w14:paraId="796137A3" w14:textId="77777777" w:rsidTr="00AB3B9D">
        <w:trPr>
          <w:trHeight w:val="240"/>
          <w:jc w:val="right"/>
        </w:trPr>
        <w:tc>
          <w:tcPr>
            <w:tcW w:w="3422" w:type="dxa"/>
            <w:shd w:val="clear" w:color="auto" w:fill="FFFFFF"/>
            <w:vAlign w:val="center"/>
          </w:tcPr>
          <w:p w14:paraId="7986D6D0" w14:textId="77777777" w:rsidR="00AB3B9D" w:rsidRPr="0019790A" w:rsidRDefault="00AB3B9D" w:rsidP="00AB3B9D">
            <w:pPr>
              <w:rPr>
                <w:rFonts w:cs="Arial"/>
                <w:b/>
                <w:bCs/>
                <w:color w:val="000000"/>
                <w:szCs w:val="22"/>
              </w:rPr>
            </w:pPr>
            <w:r w:rsidRPr="0019790A">
              <w:rPr>
                <w:rFonts w:cs="Arial"/>
                <w:color w:val="000000"/>
                <w:szCs w:val="22"/>
              </w:rPr>
              <w:t>- державний бюджет</w:t>
            </w:r>
          </w:p>
        </w:tc>
        <w:tc>
          <w:tcPr>
            <w:tcW w:w="1258" w:type="dxa"/>
            <w:vAlign w:val="center"/>
          </w:tcPr>
          <w:p w14:paraId="44EBF587" w14:textId="77777777" w:rsidR="00AB3B9D" w:rsidRPr="0019790A" w:rsidRDefault="00AB3B9D" w:rsidP="00AB3B9D">
            <w:pPr>
              <w:tabs>
                <w:tab w:val="left" w:pos="369"/>
              </w:tabs>
              <w:jc w:val="center"/>
              <w:rPr>
                <w:rFonts w:cs="Arial"/>
                <w:color w:val="000000"/>
                <w:szCs w:val="22"/>
                <w:lang w:eastAsia="it-IT"/>
              </w:rPr>
            </w:pPr>
          </w:p>
        </w:tc>
        <w:tc>
          <w:tcPr>
            <w:tcW w:w="1333" w:type="dxa"/>
            <w:gridSpan w:val="2"/>
            <w:vAlign w:val="center"/>
          </w:tcPr>
          <w:p w14:paraId="2B372193" w14:textId="77777777" w:rsidR="00AB3B9D" w:rsidRPr="0019790A" w:rsidRDefault="00AB3B9D" w:rsidP="00AB3B9D">
            <w:pPr>
              <w:tabs>
                <w:tab w:val="left" w:pos="369"/>
              </w:tabs>
              <w:jc w:val="center"/>
              <w:rPr>
                <w:rFonts w:cs="Arial"/>
                <w:color w:val="000000"/>
                <w:szCs w:val="22"/>
                <w:lang w:eastAsia="it-IT"/>
              </w:rPr>
            </w:pPr>
          </w:p>
        </w:tc>
        <w:tc>
          <w:tcPr>
            <w:tcW w:w="1362" w:type="dxa"/>
            <w:vAlign w:val="center"/>
          </w:tcPr>
          <w:p w14:paraId="7D0FBC98" w14:textId="77777777" w:rsidR="00AB3B9D" w:rsidRPr="0019790A" w:rsidRDefault="00AB3B9D" w:rsidP="00AB3B9D">
            <w:pPr>
              <w:tabs>
                <w:tab w:val="left" w:pos="369"/>
              </w:tabs>
              <w:jc w:val="center"/>
              <w:rPr>
                <w:rFonts w:cs="Arial"/>
                <w:color w:val="000000"/>
                <w:szCs w:val="22"/>
                <w:lang w:eastAsia="it-IT"/>
              </w:rPr>
            </w:pPr>
          </w:p>
        </w:tc>
        <w:tc>
          <w:tcPr>
            <w:tcW w:w="1295" w:type="dxa"/>
            <w:gridSpan w:val="2"/>
            <w:vAlign w:val="center"/>
          </w:tcPr>
          <w:p w14:paraId="5FC31C43" w14:textId="77777777" w:rsidR="00AB3B9D" w:rsidRPr="0019790A" w:rsidRDefault="00AB3B9D" w:rsidP="00AB3B9D">
            <w:pPr>
              <w:tabs>
                <w:tab w:val="left" w:pos="369"/>
              </w:tabs>
              <w:jc w:val="center"/>
              <w:rPr>
                <w:rFonts w:cs="Arial"/>
                <w:color w:val="000000"/>
                <w:szCs w:val="22"/>
                <w:lang w:eastAsia="it-IT"/>
              </w:rPr>
            </w:pPr>
          </w:p>
        </w:tc>
        <w:tc>
          <w:tcPr>
            <w:tcW w:w="1549" w:type="dxa"/>
            <w:vAlign w:val="center"/>
          </w:tcPr>
          <w:p w14:paraId="5B2018B8" w14:textId="77777777" w:rsidR="00AB3B9D" w:rsidRPr="0019790A" w:rsidRDefault="00AB3B9D" w:rsidP="00AB3B9D">
            <w:pPr>
              <w:tabs>
                <w:tab w:val="left" w:pos="369"/>
              </w:tabs>
              <w:jc w:val="center"/>
              <w:rPr>
                <w:rFonts w:cs="Arial"/>
                <w:color w:val="000000"/>
                <w:szCs w:val="22"/>
                <w:lang w:eastAsia="it-IT"/>
              </w:rPr>
            </w:pPr>
          </w:p>
        </w:tc>
      </w:tr>
      <w:tr w:rsidR="00AB3B9D" w:rsidRPr="0019790A" w14:paraId="1E9E5937" w14:textId="77777777" w:rsidTr="00AB3B9D">
        <w:trPr>
          <w:trHeight w:val="254"/>
          <w:jc w:val="right"/>
        </w:trPr>
        <w:tc>
          <w:tcPr>
            <w:tcW w:w="3422" w:type="dxa"/>
            <w:shd w:val="clear" w:color="auto" w:fill="FFFFFF"/>
            <w:vAlign w:val="center"/>
          </w:tcPr>
          <w:p w14:paraId="21A05E87" w14:textId="77777777" w:rsidR="00AB3B9D" w:rsidRPr="0019790A" w:rsidRDefault="00AB3B9D" w:rsidP="00AB3B9D">
            <w:pPr>
              <w:rPr>
                <w:rFonts w:cs="Arial"/>
                <w:color w:val="000000"/>
                <w:szCs w:val="22"/>
              </w:rPr>
            </w:pPr>
            <w:r w:rsidRPr="0019790A">
              <w:rPr>
                <w:rFonts w:cs="Arial"/>
                <w:color w:val="000000"/>
                <w:szCs w:val="22"/>
              </w:rPr>
              <w:t>- обласний бюджет</w:t>
            </w:r>
          </w:p>
        </w:tc>
        <w:tc>
          <w:tcPr>
            <w:tcW w:w="1258" w:type="dxa"/>
            <w:vAlign w:val="center"/>
          </w:tcPr>
          <w:p w14:paraId="205733B1" w14:textId="77777777" w:rsidR="00AB3B9D" w:rsidRPr="0019790A" w:rsidRDefault="00AB3B9D" w:rsidP="00AB3B9D">
            <w:pPr>
              <w:tabs>
                <w:tab w:val="left" w:pos="369"/>
              </w:tabs>
              <w:jc w:val="center"/>
              <w:rPr>
                <w:rFonts w:cs="Arial"/>
                <w:color w:val="000000"/>
                <w:szCs w:val="22"/>
                <w:lang w:eastAsia="it-IT"/>
              </w:rPr>
            </w:pPr>
          </w:p>
        </w:tc>
        <w:tc>
          <w:tcPr>
            <w:tcW w:w="1333" w:type="dxa"/>
            <w:gridSpan w:val="2"/>
            <w:vAlign w:val="center"/>
          </w:tcPr>
          <w:p w14:paraId="4C66CE30" w14:textId="77777777" w:rsidR="00AB3B9D" w:rsidRPr="0019790A" w:rsidRDefault="00AB3B9D" w:rsidP="00AB3B9D">
            <w:pPr>
              <w:tabs>
                <w:tab w:val="left" w:pos="369"/>
              </w:tabs>
              <w:jc w:val="center"/>
              <w:rPr>
                <w:rFonts w:cs="Arial"/>
                <w:color w:val="000000"/>
                <w:szCs w:val="22"/>
                <w:lang w:eastAsia="it-IT"/>
              </w:rPr>
            </w:pPr>
          </w:p>
        </w:tc>
        <w:tc>
          <w:tcPr>
            <w:tcW w:w="1362" w:type="dxa"/>
            <w:vAlign w:val="center"/>
          </w:tcPr>
          <w:p w14:paraId="1F00ECD1" w14:textId="77777777" w:rsidR="00AB3B9D" w:rsidRPr="0019790A" w:rsidRDefault="00AB3B9D" w:rsidP="00AB3B9D">
            <w:pPr>
              <w:tabs>
                <w:tab w:val="left" w:pos="369"/>
              </w:tabs>
              <w:jc w:val="center"/>
              <w:rPr>
                <w:rFonts w:cs="Arial"/>
                <w:color w:val="000000"/>
                <w:szCs w:val="22"/>
                <w:lang w:eastAsia="it-IT"/>
              </w:rPr>
            </w:pPr>
          </w:p>
        </w:tc>
        <w:tc>
          <w:tcPr>
            <w:tcW w:w="1295" w:type="dxa"/>
            <w:gridSpan w:val="2"/>
            <w:vAlign w:val="center"/>
          </w:tcPr>
          <w:p w14:paraId="0189DE8E" w14:textId="77777777" w:rsidR="00AB3B9D" w:rsidRPr="0019790A" w:rsidRDefault="00AB3B9D" w:rsidP="00AB3B9D">
            <w:pPr>
              <w:tabs>
                <w:tab w:val="left" w:pos="369"/>
              </w:tabs>
              <w:jc w:val="center"/>
              <w:rPr>
                <w:rFonts w:cs="Arial"/>
                <w:color w:val="000000"/>
                <w:szCs w:val="22"/>
                <w:lang w:eastAsia="it-IT"/>
              </w:rPr>
            </w:pPr>
          </w:p>
        </w:tc>
        <w:tc>
          <w:tcPr>
            <w:tcW w:w="1549" w:type="dxa"/>
            <w:vAlign w:val="center"/>
          </w:tcPr>
          <w:p w14:paraId="212B8BC9" w14:textId="77777777" w:rsidR="00AB3B9D" w:rsidRPr="0019790A" w:rsidRDefault="00AB3B9D" w:rsidP="00AB3B9D">
            <w:pPr>
              <w:tabs>
                <w:tab w:val="left" w:pos="369"/>
              </w:tabs>
              <w:jc w:val="center"/>
              <w:rPr>
                <w:rFonts w:cs="Arial"/>
                <w:color w:val="000000"/>
                <w:szCs w:val="22"/>
                <w:lang w:eastAsia="it-IT"/>
              </w:rPr>
            </w:pPr>
          </w:p>
        </w:tc>
      </w:tr>
      <w:tr w:rsidR="00AB3B9D" w:rsidRPr="00267EAE" w14:paraId="4B826CEE" w14:textId="77777777" w:rsidTr="00AB3B9D">
        <w:trPr>
          <w:trHeight w:val="275"/>
          <w:jc w:val="right"/>
        </w:trPr>
        <w:tc>
          <w:tcPr>
            <w:tcW w:w="3422" w:type="dxa"/>
            <w:shd w:val="clear" w:color="auto" w:fill="FFFFFF"/>
            <w:vAlign w:val="center"/>
          </w:tcPr>
          <w:p w14:paraId="3BD164FD" w14:textId="77777777" w:rsidR="00AB3B9D" w:rsidRPr="0019790A" w:rsidRDefault="00AB3B9D" w:rsidP="00AB3B9D">
            <w:pPr>
              <w:rPr>
                <w:rFonts w:cs="Arial"/>
                <w:color w:val="000000"/>
                <w:szCs w:val="22"/>
              </w:rPr>
            </w:pPr>
            <w:r w:rsidRPr="0019790A">
              <w:rPr>
                <w:rFonts w:cs="Arial"/>
                <w:color w:val="000000"/>
                <w:szCs w:val="22"/>
              </w:rPr>
              <w:t>- бюджет Жмеринської МТГ</w:t>
            </w:r>
          </w:p>
        </w:tc>
        <w:tc>
          <w:tcPr>
            <w:tcW w:w="1258" w:type="dxa"/>
            <w:vAlign w:val="center"/>
          </w:tcPr>
          <w:p w14:paraId="6B1C2379" w14:textId="1CB69365" w:rsidR="00AB3B9D" w:rsidRPr="00267EAE" w:rsidRDefault="00AB3B9D" w:rsidP="00AB3B9D">
            <w:pPr>
              <w:tabs>
                <w:tab w:val="left" w:pos="369"/>
              </w:tabs>
              <w:jc w:val="center"/>
              <w:rPr>
                <w:rFonts w:cs="Arial"/>
                <w:color w:val="000000"/>
                <w:szCs w:val="22"/>
                <w:lang w:eastAsia="it-IT"/>
              </w:rPr>
            </w:pPr>
          </w:p>
        </w:tc>
        <w:tc>
          <w:tcPr>
            <w:tcW w:w="1333" w:type="dxa"/>
            <w:gridSpan w:val="2"/>
            <w:vAlign w:val="center"/>
          </w:tcPr>
          <w:p w14:paraId="3189CE25" w14:textId="6B404C28" w:rsidR="00AB3B9D" w:rsidRPr="00267EAE" w:rsidRDefault="00AB3B9D" w:rsidP="00AB3B9D">
            <w:pPr>
              <w:tabs>
                <w:tab w:val="left" w:pos="369"/>
              </w:tabs>
              <w:jc w:val="center"/>
              <w:rPr>
                <w:rFonts w:cs="Arial"/>
                <w:color w:val="000000"/>
                <w:szCs w:val="22"/>
                <w:lang w:eastAsia="it-IT"/>
              </w:rPr>
            </w:pPr>
          </w:p>
        </w:tc>
        <w:tc>
          <w:tcPr>
            <w:tcW w:w="1362" w:type="dxa"/>
            <w:vAlign w:val="center"/>
          </w:tcPr>
          <w:p w14:paraId="0EB63E95" w14:textId="3DCC8CBF" w:rsidR="00AB3B9D" w:rsidRPr="00267EAE" w:rsidRDefault="00AB3B9D" w:rsidP="00AB3B9D">
            <w:pPr>
              <w:tabs>
                <w:tab w:val="left" w:pos="369"/>
              </w:tabs>
              <w:jc w:val="center"/>
              <w:rPr>
                <w:rFonts w:cs="Arial"/>
                <w:color w:val="000000"/>
                <w:szCs w:val="22"/>
                <w:lang w:eastAsia="it-IT"/>
              </w:rPr>
            </w:pPr>
          </w:p>
        </w:tc>
        <w:tc>
          <w:tcPr>
            <w:tcW w:w="1295" w:type="dxa"/>
            <w:gridSpan w:val="2"/>
            <w:vAlign w:val="center"/>
          </w:tcPr>
          <w:p w14:paraId="008B8524" w14:textId="0ED934D5" w:rsidR="00AB3B9D" w:rsidRPr="00267EAE" w:rsidRDefault="00AB3B9D" w:rsidP="00AB3B9D">
            <w:pPr>
              <w:tabs>
                <w:tab w:val="left" w:pos="369"/>
              </w:tabs>
              <w:jc w:val="center"/>
              <w:rPr>
                <w:rFonts w:cs="Arial"/>
                <w:color w:val="000000"/>
                <w:szCs w:val="22"/>
                <w:lang w:eastAsia="it-IT"/>
              </w:rPr>
            </w:pPr>
          </w:p>
        </w:tc>
        <w:tc>
          <w:tcPr>
            <w:tcW w:w="1549" w:type="dxa"/>
            <w:vAlign w:val="center"/>
          </w:tcPr>
          <w:p w14:paraId="037F7399" w14:textId="56F84E1B" w:rsidR="00AB3B9D" w:rsidRPr="00267EAE" w:rsidRDefault="00AB3B9D" w:rsidP="00AB3B9D">
            <w:pPr>
              <w:tabs>
                <w:tab w:val="left" w:pos="369"/>
              </w:tabs>
              <w:jc w:val="center"/>
              <w:rPr>
                <w:rFonts w:cs="Arial"/>
                <w:color w:val="000000"/>
                <w:szCs w:val="22"/>
                <w:lang w:eastAsia="it-IT"/>
              </w:rPr>
            </w:pPr>
          </w:p>
        </w:tc>
      </w:tr>
      <w:tr w:rsidR="00AB3B9D" w:rsidRPr="00267EAE" w14:paraId="131A2040" w14:textId="77777777" w:rsidTr="00AB3B9D">
        <w:trPr>
          <w:trHeight w:val="226"/>
          <w:jc w:val="right"/>
        </w:trPr>
        <w:tc>
          <w:tcPr>
            <w:tcW w:w="3422" w:type="dxa"/>
            <w:shd w:val="clear" w:color="auto" w:fill="FFFFFF"/>
            <w:vAlign w:val="center"/>
          </w:tcPr>
          <w:p w14:paraId="6599BC36" w14:textId="77777777" w:rsidR="00AB3B9D" w:rsidRPr="0019790A" w:rsidRDefault="00AB3B9D" w:rsidP="00AB3B9D">
            <w:pPr>
              <w:rPr>
                <w:rFonts w:cs="Arial"/>
                <w:color w:val="000000"/>
                <w:szCs w:val="22"/>
              </w:rPr>
            </w:pPr>
            <w:r w:rsidRPr="0019790A">
              <w:rPr>
                <w:rFonts w:cs="Arial"/>
                <w:color w:val="000000"/>
                <w:szCs w:val="22"/>
              </w:rPr>
              <w:t>- інші джерела фінансування</w:t>
            </w:r>
          </w:p>
        </w:tc>
        <w:tc>
          <w:tcPr>
            <w:tcW w:w="1258" w:type="dxa"/>
            <w:vAlign w:val="center"/>
          </w:tcPr>
          <w:p w14:paraId="55D644B9" w14:textId="434E7F97" w:rsidR="00AB3B9D" w:rsidRPr="00267EAE" w:rsidRDefault="00AB3B9D" w:rsidP="00AB3B9D">
            <w:pPr>
              <w:tabs>
                <w:tab w:val="left" w:pos="369"/>
              </w:tabs>
              <w:jc w:val="center"/>
              <w:rPr>
                <w:rFonts w:cs="Arial"/>
                <w:color w:val="000000"/>
                <w:szCs w:val="22"/>
                <w:lang w:eastAsia="it-IT"/>
              </w:rPr>
            </w:pPr>
          </w:p>
        </w:tc>
        <w:tc>
          <w:tcPr>
            <w:tcW w:w="1333" w:type="dxa"/>
            <w:gridSpan w:val="2"/>
            <w:vAlign w:val="center"/>
          </w:tcPr>
          <w:p w14:paraId="181756A2" w14:textId="58E42439" w:rsidR="00AB3B9D" w:rsidRPr="00267EAE" w:rsidRDefault="00AB3B9D" w:rsidP="00AB3B9D">
            <w:pPr>
              <w:tabs>
                <w:tab w:val="left" w:pos="369"/>
              </w:tabs>
              <w:jc w:val="center"/>
              <w:rPr>
                <w:rFonts w:cs="Arial"/>
                <w:color w:val="000000"/>
                <w:szCs w:val="22"/>
                <w:lang w:eastAsia="it-IT"/>
              </w:rPr>
            </w:pPr>
          </w:p>
        </w:tc>
        <w:tc>
          <w:tcPr>
            <w:tcW w:w="1362" w:type="dxa"/>
            <w:vAlign w:val="center"/>
          </w:tcPr>
          <w:p w14:paraId="52634E21" w14:textId="12A4D74B" w:rsidR="00AB3B9D" w:rsidRPr="00267EAE" w:rsidRDefault="00AB3B9D" w:rsidP="00AB3B9D">
            <w:pPr>
              <w:tabs>
                <w:tab w:val="left" w:pos="369"/>
              </w:tabs>
              <w:jc w:val="center"/>
              <w:rPr>
                <w:rFonts w:cs="Arial"/>
                <w:color w:val="000000"/>
                <w:szCs w:val="22"/>
                <w:lang w:eastAsia="it-IT"/>
              </w:rPr>
            </w:pPr>
          </w:p>
        </w:tc>
        <w:tc>
          <w:tcPr>
            <w:tcW w:w="1295" w:type="dxa"/>
            <w:gridSpan w:val="2"/>
            <w:vAlign w:val="center"/>
          </w:tcPr>
          <w:p w14:paraId="46B93A8E" w14:textId="18C32D12" w:rsidR="00AB3B9D" w:rsidRPr="00267EAE" w:rsidRDefault="00AB3B9D" w:rsidP="00AB3B9D">
            <w:pPr>
              <w:tabs>
                <w:tab w:val="left" w:pos="369"/>
              </w:tabs>
              <w:jc w:val="center"/>
              <w:rPr>
                <w:rFonts w:cs="Arial"/>
                <w:color w:val="000000"/>
                <w:szCs w:val="22"/>
                <w:lang w:eastAsia="it-IT"/>
              </w:rPr>
            </w:pPr>
          </w:p>
        </w:tc>
        <w:tc>
          <w:tcPr>
            <w:tcW w:w="1549" w:type="dxa"/>
            <w:vAlign w:val="center"/>
          </w:tcPr>
          <w:p w14:paraId="4B082902" w14:textId="23413CB8" w:rsidR="00AB3B9D" w:rsidRPr="00267EAE" w:rsidRDefault="00AB3B9D" w:rsidP="00AB3B9D">
            <w:pPr>
              <w:tabs>
                <w:tab w:val="left" w:pos="369"/>
              </w:tabs>
              <w:jc w:val="center"/>
              <w:rPr>
                <w:rFonts w:cs="Arial"/>
                <w:color w:val="000000"/>
                <w:szCs w:val="22"/>
                <w:lang w:eastAsia="it-IT"/>
              </w:rPr>
            </w:pPr>
          </w:p>
        </w:tc>
      </w:tr>
      <w:tr w:rsidR="00AB3B9D" w:rsidRPr="0019790A" w14:paraId="2B4A28CB" w14:textId="77777777" w:rsidTr="00AB3B9D">
        <w:trPr>
          <w:jc w:val="right"/>
        </w:trPr>
        <w:tc>
          <w:tcPr>
            <w:tcW w:w="3422" w:type="dxa"/>
            <w:shd w:val="clear" w:color="auto" w:fill="FFFFFF"/>
            <w:vAlign w:val="center"/>
          </w:tcPr>
          <w:p w14:paraId="6C53E7A7" w14:textId="77777777" w:rsidR="00AB3B9D" w:rsidRPr="0019790A" w:rsidRDefault="00AB3B9D" w:rsidP="00AB3B9D">
            <w:pPr>
              <w:rPr>
                <w:rFonts w:cs="Arial"/>
                <w:b/>
                <w:bCs/>
                <w:color w:val="000000"/>
                <w:szCs w:val="22"/>
              </w:rPr>
            </w:pPr>
            <w:r w:rsidRPr="0019790A">
              <w:rPr>
                <w:rFonts w:cs="Arial"/>
                <w:b/>
                <w:color w:val="000000"/>
                <w:szCs w:val="22"/>
              </w:rPr>
              <w:t>Відповідальний виконавець проєкту:</w:t>
            </w:r>
          </w:p>
        </w:tc>
        <w:tc>
          <w:tcPr>
            <w:tcW w:w="6797" w:type="dxa"/>
            <w:gridSpan w:val="7"/>
            <w:vAlign w:val="center"/>
          </w:tcPr>
          <w:p w14:paraId="49A5A77E" w14:textId="77777777" w:rsidR="00AB3B9D" w:rsidRPr="00846765" w:rsidRDefault="00AB3B9D" w:rsidP="00AB3B9D">
            <w:pPr>
              <w:jc w:val="both"/>
              <w:rPr>
                <w:rFonts w:cs="Arial"/>
                <w:sz w:val="20"/>
                <w:szCs w:val="20"/>
                <w:lang w:eastAsia="it-IT"/>
              </w:rPr>
            </w:pPr>
            <w:r w:rsidRPr="00846765">
              <w:rPr>
                <w:rFonts w:cs="Arial"/>
                <w:sz w:val="20"/>
                <w:szCs w:val="20"/>
                <w:lang w:eastAsia="it-IT"/>
              </w:rPr>
              <w:t>Фінансове управління Жмеринської міської ради</w:t>
            </w:r>
          </w:p>
          <w:p w14:paraId="731763D6" w14:textId="77777777" w:rsidR="00AB3B9D" w:rsidRPr="00846765" w:rsidRDefault="00AB3B9D" w:rsidP="00AB3B9D">
            <w:pPr>
              <w:jc w:val="both"/>
              <w:rPr>
                <w:rFonts w:cs="Arial"/>
                <w:sz w:val="20"/>
                <w:szCs w:val="20"/>
                <w:lang w:eastAsia="it-IT"/>
              </w:rPr>
            </w:pPr>
            <w:r w:rsidRPr="00846765">
              <w:rPr>
                <w:rFonts w:cs="Arial"/>
                <w:sz w:val="20"/>
                <w:szCs w:val="20"/>
                <w:lang w:eastAsia="it-IT"/>
              </w:rPr>
              <w:t>Управління та відділи Жмеринської міської ради</w:t>
            </w:r>
          </w:p>
          <w:p w14:paraId="635E0B7D" w14:textId="77777777" w:rsidR="00AB3B9D" w:rsidRPr="00846765" w:rsidRDefault="00AB3B9D" w:rsidP="00AB3B9D">
            <w:pPr>
              <w:jc w:val="both"/>
              <w:rPr>
                <w:rFonts w:cs="Arial"/>
                <w:sz w:val="20"/>
                <w:szCs w:val="20"/>
                <w:lang w:eastAsia="it-IT"/>
              </w:rPr>
            </w:pPr>
            <w:r w:rsidRPr="00846765">
              <w:rPr>
                <w:rFonts w:cs="Arial"/>
                <w:sz w:val="20"/>
                <w:szCs w:val="20"/>
                <w:lang w:eastAsia="it-IT"/>
              </w:rPr>
              <w:t>Комунальні заклади/установи Жмеринської територіальної громади</w:t>
            </w:r>
          </w:p>
          <w:p w14:paraId="71823578" w14:textId="29EBB944" w:rsidR="00AB3B9D" w:rsidRPr="0019790A" w:rsidRDefault="00AB3B9D" w:rsidP="00AB3B9D">
            <w:pPr>
              <w:tabs>
                <w:tab w:val="left" w:pos="369"/>
              </w:tabs>
              <w:ind w:right="-1"/>
              <w:jc w:val="both"/>
              <w:rPr>
                <w:rFonts w:cs="Arial"/>
                <w:szCs w:val="22"/>
              </w:rPr>
            </w:pPr>
            <w:r w:rsidRPr="00846765">
              <w:rPr>
                <w:rFonts w:cs="Arial"/>
                <w:sz w:val="20"/>
                <w:szCs w:val="20"/>
                <w:lang w:eastAsia="it-IT"/>
              </w:rPr>
              <w:t>Жителі Жмеринської міської територіальної громади</w:t>
            </w:r>
          </w:p>
        </w:tc>
      </w:tr>
    </w:tbl>
    <w:p w14:paraId="25B05653" w14:textId="0008B64B" w:rsidR="00B2505F" w:rsidRDefault="00B2505F" w:rsidP="00AB3B9D">
      <w:pPr>
        <w:jc w:val="center"/>
        <w:rPr>
          <w:rFonts w:cs="Arial"/>
        </w:rPr>
      </w:pPr>
    </w:p>
    <w:p w14:paraId="69461A55" w14:textId="77777777" w:rsidR="00B2505F" w:rsidRDefault="00B2505F">
      <w:pPr>
        <w:rPr>
          <w:rFonts w:cs="Arial"/>
        </w:rPr>
      </w:pPr>
      <w:r>
        <w:rPr>
          <w:rFonts w:cs="Arial"/>
        </w:rPr>
        <w:br w:type="page"/>
      </w:r>
    </w:p>
    <w:p w14:paraId="459A0192" w14:textId="7D5DDFBC" w:rsidR="00B2505F" w:rsidRPr="009700DD" w:rsidRDefault="00B2505F" w:rsidP="00B2505F">
      <w:pPr>
        <w:pStyle w:val="10"/>
      </w:pPr>
      <w:r>
        <w:t>6</w:t>
      </w:r>
      <w:r w:rsidRPr="009700DD">
        <w:t>. Припущення та ризики</w:t>
      </w:r>
    </w:p>
    <w:p w14:paraId="403B0C7D" w14:textId="4826D4C2" w:rsidR="00B2505F" w:rsidRPr="009700DD" w:rsidRDefault="00B2505F" w:rsidP="00B2505F">
      <w:pPr>
        <w:spacing w:before="120"/>
        <w:ind w:firstLine="709"/>
        <w:jc w:val="both"/>
      </w:pPr>
      <w:r w:rsidRPr="009700DD">
        <w:t xml:space="preserve">Загальні припущення, що мають значення для реалізації Стратегії, полягають в успішності задекларованих Урядом України реформ, а також ефективності реагування на зовнішні виклики, пов‘язані з військовим конфліктом. Наступними важливими припущеннями успішності реалізації цієї Програми є доступність та прозорість фінансових ресурсів Державного фонду регіонального розвитку, субвенцій державного бюджету місцевим бюджетам на здійснення заходів щодо соціально-економічного розвитку окремих територій та  на реалізацію інфраструктурних </w:t>
      </w:r>
      <w:r w:rsidR="00314B9D">
        <w:t>проєкт</w:t>
      </w:r>
      <w:r w:rsidRPr="009700DD">
        <w:t xml:space="preserve">ів, а також доступність іншого передбаченого конкретними </w:t>
      </w:r>
      <w:r w:rsidR="00314B9D">
        <w:t>проєкт</w:t>
      </w:r>
      <w:r w:rsidRPr="009700DD">
        <w:t>ами фінансування для їх впровадження.</w:t>
      </w:r>
    </w:p>
    <w:p w14:paraId="345AF812" w14:textId="3219858B" w:rsidR="00B2505F" w:rsidRPr="009700DD" w:rsidRDefault="00B2505F" w:rsidP="00B2505F">
      <w:pPr>
        <w:spacing w:before="120"/>
        <w:ind w:firstLine="709"/>
        <w:jc w:val="both"/>
      </w:pPr>
      <w:r w:rsidRPr="009700DD">
        <w:t xml:space="preserve">Реалізація у громаді міжнародних </w:t>
      </w:r>
      <w:r w:rsidR="00314B9D">
        <w:t>проєкт</w:t>
      </w:r>
      <w:r w:rsidRPr="009700DD">
        <w:t xml:space="preserve">ів з розвитку інфраструктури залізничного транспорту також сприятиме досягненню позитивних результатів. </w:t>
      </w:r>
    </w:p>
    <w:p w14:paraId="20EB8A28" w14:textId="559CCAE4" w:rsidR="00B2505F" w:rsidRPr="009700DD" w:rsidRDefault="00B2505F" w:rsidP="00B2505F">
      <w:pPr>
        <w:spacing w:before="120"/>
        <w:ind w:firstLine="709"/>
        <w:jc w:val="both"/>
      </w:pPr>
      <w:r w:rsidRPr="009700DD">
        <w:t>Критично важливим є створення робо</w:t>
      </w:r>
      <w:r>
        <w:t>чого партнерства з Вінницькою ОВ</w:t>
      </w:r>
      <w:r w:rsidRPr="009700DD">
        <w:t>А, Укрзалізницею та Міністерством інфраструктури України.</w:t>
      </w:r>
    </w:p>
    <w:p w14:paraId="071FDC2E" w14:textId="3A47B12A" w:rsidR="00B2505F" w:rsidRPr="009700DD" w:rsidRDefault="00B2505F" w:rsidP="00B2505F">
      <w:pPr>
        <w:spacing w:before="120"/>
        <w:ind w:firstLine="709"/>
        <w:jc w:val="both"/>
      </w:pPr>
      <w:r w:rsidRPr="009700DD">
        <w:t xml:space="preserve">Наявність коштів та знань з питань </w:t>
      </w:r>
      <w:r w:rsidR="00314B9D">
        <w:t>проєкт</w:t>
      </w:r>
      <w:r w:rsidRPr="009700DD">
        <w:t xml:space="preserve">ного менеджменту, відповідних технічних знань, є важливими загальними припущеннями для успішної реалізації Стратегії. Можливості реалізації програми є ускладненими, оскільки громада раніше не працювала у режимі залучення широкого кола учасників розробки та виконання Плану реалізації Стратегії. Варто провести значну інформаційну роботу серед місцевих політичних та бізнесових еліт для належної підтримки стратегічних ініціатив та впровадження </w:t>
      </w:r>
      <w:r w:rsidR="00314B9D">
        <w:t>проєкт</w:t>
      </w:r>
      <w:r w:rsidRPr="009700DD">
        <w:t xml:space="preserve">ів. </w:t>
      </w:r>
    </w:p>
    <w:p w14:paraId="6C4E744D" w14:textId="77777777" w:rsidR="00B2505F" w:rsidRPr="009700DD" w:rsidRDefault="00B2505F" w:rsidP="00B2505F">
      <w:pPr>
        <w:spacing w:before="120"/>
        <w:ind w:firstLine="709"/>
        <w:jc w:val="both"/>
      </w:pPr>
      <w:r w:rsidRPr="009700DD">
        <w:t>До реалізації Стратегії повинні бути залучені громадські організації, програми міжнародної технічної допомоги, державні установи, приватні інвестори зі своїми знаннями, людськими, інформаційними, матеріальними та фінансовими ресурсами.</w:t>
      </w:r>
    </w:p>
    <w:p w14:paraId="18D09287" w14:textId="0809B44B" w:rsidR="00B2505F" w:rsidRPr="009700DD" w:rsidRDefault="00B2505F" w:rsidP="00B2505F">
      <w:pPr>
        <w:spacing w:before="120"/>
        <w:ind w:firstLine="709"/>
        <w:jc w:val="both"/>
      </w:pPr>
      <w:r w:rsidRPr="009700DD">
        <w:t xml:space="preserve">Деякі </w:t>
      </w:r>
      <w:r w:rsidR="00314B9D">
        <w:t>проєкт</w:t>
      </w:r>
      <w:r w:rsidRPr="009700DD">
        <w:t>и з плану реалізації Стратегії можуть бути більш ефективними при застосуванні конкурсних механізмів – доступ до суспільних благ повинен бути забезпечений за прозорими правилами.</w:t>
      </w:r>
    </w:p>
    <w:p w14:paraId="149215E5" w14:textId="77777777" w:rsidR="00B2505F" w:rsidRPr="009700DD" w:rsidRDefault="00B2505F" w:rsidP="00B2505F">
      <w:pPr>
        <w:spacing w:before="120"/>
        <w:ind w:firstLine="709"/>
        <w:jc w:val="both"/>
      </w:pPr>
      <w:r w:rsidRPr="009700DD">
        <w:t>Підвищення спроможності місцевого населення та установ і їх готовність взяти участь та надати підтримку у реалізації програми є наступним важливим припущенням, що допомагає максимально використати виробничий, інвестиційний, культурно-туристичний і підприємницький потенціал всіх територій громади. Участь виробничих підприємств, навчальних закладів та інших суб’єктів розвитку особливо важливою для успіху ініціатив зі створення нових бізнесів у громаді.</w:t>
      </w:r>
    </w:p>
    <w:p w14:paraId="435EA54B" w14:textId="77777777" w:rsidR="00B2505F" w:rsidRPr="009700DD" w:rsidRDefault="00B2505F" w:rsidP="00B2505F">
      <w:pPr>
        <w:tabs>
          <w:tab w:val="left" w:pos="993"/>
        </w:tabs>
        <w:spacing w:before="120"/>
        <w:ind w:firstLine="709"/>
      </w:pPr>
      <w:r w:rsidRPr="009700DD">
        <w:t>Основні ризики, пов’язані зі здійсненням програми включають:</w:t>
      </w:r>
    </w:p>
    <w:p w14:paraId="20F80371" w14:textId="77777777" w:rsidR="00B2505F" w:rsidRPr="005A3A2C" w:rsidRDefault="00B2505F" w:rsidP="005A3A2C">
      <w:pPr>
        <w:pStyle w:val="af4"/>
        <w:numPr>
          <w:ilvl w:val="0"/>
          <w:numId w:val="167"/>
        </w:numPr>
        <w:tabs>
          <w:tab w:val="clear" w:pos="720"/>
          <w:tab w:val="num" w:pos="567"/>
          <w:tab w:val="left" w:pos="993"/>
        </w:tabs>
        <w:spacing w:before="120" w:after="0" w:line="240" w:lineRule="auto"/>
        <w:ind w:left="0" w:firstLine="709"/>
        <w:jc w:val="both"/>
        <w:rPr>
          <w:rFonts w:ascii="Arial" w:hAnsi="Arial" w:cs="Arial"/>
        </w:rPr>
      </w:pPr>
      <w:r w:rsidRPr="005A3A2C">
        <w:rPr>
          <w:rFonts w:ascii="Arial" w:hAnsi="Arial" w:cs="Arial"/>
        </w:rPr>
        <w:t>зниження інвестиційного рейтингу країни і регіону;</w:t>
      </w:r>
    </w:p>
    <w:p w14:paraId="65A8CDAE" w14:textId="43C9A83A" w:rsidR="00B2505F" w:rsidRPr="005A3A2C" w:rsidRDefault="00B2505F" w:rsidP="005A3A2C">
      <w:pPr>
        <w:pStyle w:val="af4"/>
        <w:numPr>
          <w:ilvl w:val="0"/>
          <w:numId w:val="167"/>
        </w:numPr>
        <w:tabs>
          <w:tab w:val="clear" w:pos="720"/>
          <w:tab w:val="num" w:pos="567"/>
          <w:tab w:val="left" w:pos="993"/>
        </w:tabs>
        <w:spacing w:before="120" w:after="0" w:line="240" w:lineRule="auto"/>
        <w:ind w:left="0" w:firstLine="709"/>
        <w:jc w:val="both"/>
        <w:rPr>
          <w:rFonts w:ascii="Arial" w:hAnsi="Arial" w:cs="Arial"/>
        </w:rPr>
      </w:pPr>
      <w:r w:rsidRPr="005A3A2C">
        <w:rPr>
          <w:rFonts w:ascii="Arial" w:hAnsi="Arial" w:cs="Arial"/>
        </w:rPr>
        <w:t>зменшення обсягів, або скасування</w:t>
      </w:r>
      <w:r w:rsidRPr="005A3A2C">
        <w:t xml:space="preserve"> </w:t>
      </w:r>
      <w:r w:rsidRPr="005A3A2C">
        <w:rPr>
          <w:rFonts w:ascii="Arial" w:hAnsi="Arial" w:cs="Arial"/>
        </w:rPr>
        <w:t xml:space="preserve">субвенцій державного бюджету місцевим бюджетам на здійснення заходів щодо соціально-економічного розвитку окремих територій та  на реалізацію інфраструктурних </w:t>
      </w:r>
      <w:r w:rsidR="00314B9D">
        <w:rPr>
          <w:rFonts w:ascii="Arial" w:hAnsi="Arial" w:cs="Arial"/>
        </w:rPr>
        <w:t>проєкт</w:t>
      </w:r>
      <w:r w:rsidRPr="005A3A2C">
        <w:rPr>
          <w:rFonts w:ascii="Arial" w:hAnsi="Arial" w:cs="Arial"/>
        </w:rPr>
        <w:t>ів;</w:t>
      </w:r>
    </w:p>
    <w:p w14:paraId="26FD2776" w14:textId="77777777" w:rsidR="00B2505F" w:rsidRPr="005A3A2C" w:rsidRDefault="00B2505F" w:rsidP="005A3A2C">
      <w:pPr>
        <w:pStyle w:val="af4"/>
        <w:numPr>
          <w:ilvl w:val="0"/>
          <w:numId w:val="167"/>
        </w:numPr>
        <w:tabs>
          <w:tab w:val="clear" w:pos="720"/>
          <w:tab w:val="num" w:pos="567"/>
          <w:tab w:val="left" w:pos="993"/>
        </w:tabs>
        <w:spacing w:before="120" w:after="0" w:line="240" w:lineRule="auto"/>
        <w:ind w:left="0" w:firstLine="709"/>
        <w:jc w:val="both"/>
        <w:rPr>
          <w:rFonts w:ascii="Arial" w:hAnsi="Arial" w:cs="Arial"/>
        </w:rPr>
      </w:pPr>
      <w:r w:rsidRPr="005A3A2C">
        <w:rPr>
          <w:rFonts w:ascii="Arial" w:hAnsi="Arial" w:cs="Arial"/>
        </w:rPr>
        <w:t>нездатність встановити і використовувати зв’язки між містом та сільськими територіями після створення Жмеринської МТГ;</w:t>
      </w:r>
    </w:p>
    <w:p w14:paraId="58DF99C8" w14:textId="1720C337" w:rsidR="00B2505F" w:rsidRPr="005A3A2C" w:rsidRDefault="00B2505F" w:rsidP="005A3A2C">
      <w:pPr>
        <w:pStyle w:val="af4"/>
        <w:numPr>
          <w:ilvl w:val="0"/>
          <w:numId w:val="167"/>
        </w:numPr>
        <w:tabs>
          <w:tab w:val="clear" w:pos="720"/>
          <w:tab w:val="num" w:pos="567"/>
          <w:tab w:val="left" w:pos="993"/>
        </w:tabs>
        <w:spacing w:before="120" w:after="0" w:line="240" w:lineRule="auto"/>
        <w:ind w:left="0" w:firstLine="709"/>
        <w:jc w:val="both"/>
        <w:rPr>
          <w:rFonts w:ascii="Arial" w:hAnsi="Arial" w:cs="Arial"/>
        </w:rPr>
      </w:pPr>
      <w:r w:rsidRPr="005A3A2C">
        <w:rPr>
          <w:rFonts w:ascii="Arial" w:hAnsi="Arial" w:cs="Arial"/>
        </w:rPr>
        <w:t xml:space="preserve">неможливість встановлення необхідних партнерських відносин та отримання критичної маси зацікавлених сторін, готових підтримати реалізацію конкретних </w:t>
      </w:r>
      <w:r w:rsidR="00314B9D">
        <w:rPr>
          <w:rFonts w:ascii="Arial" w:hAnsi="Arial" w:cs="Arial"/>
        </w:rPr>
        <w:t>проєкт</w:t>
      </w:r>
      <w:r w:rsidRPr="005A3A2C">
        <w:rPr>
          <w:rFonts w:ascii="Arial" w:hAnsi="Arial" w:cs="Arial"/>
        </w:rPr>
        <w:t>ів та Стратегії в цілому;</w:t>
      </w:r>
    </w:p>
    <w:p w14:paraId="151B652D" w14:textId="658BA704" w:rsidR="00B2505F" w:rsidRPr="005A3A2C" w:rsidRDefault="00B2505F" w:rsidP="005A3A2C">
      <w:pPr>
        <w:pStyle w:val="af4"/>
        <w:numPr>
          <w:ilvl w:val="0"/>
          <w:numId w:val="168"/>
        </w:numPr>
        <w:tabs>
          <w:tab w:val="left" w:pos="993"/>
        </w:tabs>
        <w:spacing w:before="120" w:after="0" w:line="240" w:lineRule="auto"/>
        <w:jc w:val="both"/>
        <w:rPr>
          <w:rFonts w:ascii="Arial" w:hAnsi="Arial" w:cs="Arial"/>
        </w:rPr>
      </w:pPr>
      <w:r w:rsidRPr="005A3A2C">
        <w:rPr>
          <w:rFonts w:ascii="Arial" w:hAnsi="Arial" w:cs="Arial"/>
        </w:rPr>
        <w:t xml:space="preserve">відсутність місцевих знань та управлінської спроможності для реалізації </w:t>
      </w:r>
      <w:r w:rsidR="00314B9D">
        <w:rPr>
          <w:rFonts w:ascii="Arial" w:hAnsi="Arial" w:cs="Arial"/>
        </w:rPr>
        <w:t>проєкт</w:t>
      </w:r>
      <w:r w:rsidRPr="005A3A2C">
        <w:rPr>
          <w:rFonts w:ascii="Arial" w:hAnsi="Arial" w:cs="Arial"/>
        </w:rPr>
        <w:t>ів і відсутність успіхів у мобілізації необхідних ресурсів (коштів).</w:t>
      </w:r>
    </w:p>
    <w:p w14:paraId="12720CAF" w14:textId="367FA08B" w:rsidR="00B2505F" w:rsidRPr="005A3A2C" w:rsidRDefault="00B2505F" w:rsidP="005A3A2C">
      <w:pPr>
        <w:pStyle w:val="af4"/>
        <w:numPr>
          <w:ilvl w:val="0"/>
          <w:numId w:val="168"/>
        </w:numPr>
        <w:tabs>
          <w:tab w:val="left" w:pos="993"/>
        </w:tabs>
        <w:spacing w:before="100" w:beforeAutospacing="1" w:after="100" w:afterAutospacing="1"/>
        <w:rPr>
          <w:rFonts w:ascii="Arial" w:hAnsi="Arial" w:cs="Arial"/>
        </w:rPr>
      </w:pPr>
      <w:r w:rsidRPr="005A3A2C">
        <w:rPr>
          <w:rFonts w:ascii="Arial" w:hAnsi="Arial" w:cs="Arial"/>
        </w:rPr>
        <w:t xml:space="preserve"> </w:t>
      </w:r>
      <w:r w:rsidR="005A3A2C" w:rsidRPr="005A3A2C">
        <w:rPr>
          <w:rFonts w:ascii="Arial" w:hAnsi="Arial" w:cs="Arial"/>
          <w:bCs/>
        </w:rPr>
        <w:t>в</w:t>
      </w:r>
      <w:r w:rsidRPr="005A3A2C">
        <w:rPr>
          <w:rFonts w:ascii="Arial" w:hAnsi="Arial" w:cs="Arial"/>
          <w:bCs/>
        </w:rPr>
        <w:t>оєнні загрози</w:t>
      </w:r>
      <w:r w:rsidRPr="005A3A2C">
        <w:rPr>
          <w:rFonts w:ascii="Arial" w:hAnsi="Arial" w:cs="Arial"/>
        </w:rPr>
        <w:t xml:space="preserve"> – ескалація бойових дій, руйнування інфраструктури, зростання кількості ВПО.</w:t>
      </w:r>
    </w:p>
    <w:p w14:paraId="3C5D58A3" w14:textId="03565AB8" w:rsidR="00B2505F" w:rsidRPr="005A3A2C" w:rsidRDefault="005A3A2C" w:rsidP="005A3A2C">
      <w:pPr>
        <w:pStyle w:val="af4"/>
        <w:numPr>
          <w:ilvl w:val="0"/>
          <w:numId w:val="168"/>
        </w:numPr>
        <w:tabs>
          <w:tab w:val="left" w:pos="993"/>
        </w:tabs>
        <w:spacing w:before="100" w:beforeAutospacing="1" w:after="100" w:afterAutospacing="1"/>
        <w:rPr>
          <w:rFonts w:ascii="Arial" w:hAnsi="Arial" w:cs="Arial"/>
        </w:rPr>
      </w:pPr>
      <w:r w:rsidRPr="005A3A2C">
        <w:rPr>
          <w:rFonts w:ascii="Arial" w:hAnsi="Arial" w:cs="Arial"/>
          <w:bCs/>
        </w:rPr>
        <w:t>е</w:t>
      </w:r>
      <w:r w:rsidR="00B2505F" w:rsidRPr="005A3A2C">
        <w:rPr>
          <w:rFonts w:ascii="Arial" w:hAnsi="Arial" w:cs="Arial"/>
          <w:bCs/>
        </w:rPr>
        <w:t>кономічна нестабільність</w:t>
      </w:r>
      <w:r w:rsidR="00B2505F" w:rsidRPr="005A3A2C">
        <w:rPr>
          <w:rFonts w:ascii="Arial" w:hAnsi="Arial" w:cs="Arial"/>
        </w:rPr>
        <w:t xml:space="preserve"> – інфляція, падіння виробництва, скорочення доходів населення, зниження надходжень до бюджету громади.</w:t>
      </w:r>
    </w:p>
    <w:p w14:paraId="641E2E7E" w14:textId="4878580B" w:rsidR="00B2505F" w:rsidRPr="005A3A2C" w:rsidRDefault="005A3A2C" w:rsidP="005A3A2C">
      <w:pPr>
        <w:pStyle w:val="af4"/>
        <w:numPr>
          <w:ilvl w:val="0"/>
          <w:numId w:val="168"/>
        </w:numPr>
        <w:tabs>
          <w:tab w:val="left" w:pos="993"/>
        </w:tabs>
        <w:spacing w:before="100" w:beforeAutospacing="1" w:after="100" w:afterAutospacing="1"/>
        <w:rPr>
          <w:rFonts w:ascii="Arial" w:hAnsi="Arial" w:cs="Arial"/>
        </w:rPr>
      </w:pPr>
      <w:r w:rsidRPr="005A3A2C">
        <w:rPr>
          <w:rFonts w:ascii="Arial" w:hAnsi="Arial" w:cs="Arial"/>
          <w:bCs/>
        </w:rPr>
        <w:t>м</w:t>
      </w:r>
      <w:r w:rsidR="00B2505F" w:rsidRPr="005A3A2C">
        <w:rPr>
          <w:rFonts w:ascii="Arial" w:hAnsi="Arial" w:cs="Arial"/>
          <w:bCs/>
        </w:rPr>
        <w:t>іграція населення</w:t>
      </w:r>
      <w:r w:rsidR="00B2505F" w:rsidRPr="005A3A2C">
        <w:rPr>
          <w:rFonts w:ascii="Arial" w:hAnsi="Arial" w:cs="Arial"/>
        </w:rPr>
        <w:t xml:space="preserve"> – виїзд працездатних мешканців за кордон чи у великі міста, демографічне старіння.</w:t>
      </w:r>
    </w:p>
    <w:p w14:paraId="74EA8A56" w14:textId="4A9DD520" w:rsidR="00B2505F" w:rsidRPr="005A3A2C" w:rsidRDefault="005A3A2C" w:rsidP="005A3A2C">
      <w:pPr>
        <w:pStyle w:val="af4"/>
        <w:numPr>
          <w:ilvl w:val="0"/>
          <w:numId w:val="168"/>
        </w:numPr>
        <w:tabs>
          <w:tab w:val="left" w:pos="993"/>
        </w:tabs>
        <w:spacing w:before="100" w:beforeAutospacing="1" w:after="100" w:afterAutospacing="1"/>
        <w:rPr>
          <w:rFonts w:ascii="Arial" w:hAnsi="Arial" w:cs="Arial"/>
        </w:rPr>
      </w:pPr>
      <w:r w:rsidRPr="005A3A2C">
        <w:rPr>
          <w:rFonts w:ascii="Arial" w:hAnsi="Arial" w:cs="Arial"/>
          <w:bCs/>
        </w:rPr>
        <w:t>н</w:t>
      </w:r>
      <w:r w:rsidR="00B2505F" w:rsidRPr="005A3A2C">
        <w:rPr>
          <w:rFonts w:ascii="Arial" w:hAnsi="Arial" w:cs="Arial"/>
          <w:bCs/>
        </w:rPr>
        <w:t>естача інвестиційних ресурсів</w:t>
      </w:r>
      <w:r w:rsidR="00B2505F" w:rsidRPr="005A3A2C">
        <w:rPr>
          <w:rFonts w:ascii="Arial" w:hAnsi="Arial" w:cs="Arial"/>
        </w:rPr>
        <w:t xml:space="preserve"> – складність залучення приватних інвесторів, обмеженість грантових програм.</w:t>
      </w:r>
    </w:p>
    <w:p w14:paraId="33B02A10" w14:textId="34E25D2B" w:rsidR="00B2505F" w:rsidRPr="005A3A2C" w:rsidRDefault="005A3A2C" w:rsidP="005A3A2C">
      <w:pPr>
        <w:pStyle w:val="af4"/>
        <w:numPr>
          <w:ilvl w:val="0"/>
          <w:numId w:val="168"/>
        </w:numPr>
        <w:tabs>
          <w:tab w:val="left" w:pos="993"/>
        </w:tabs>
        <w:spacing w:before="100" w:beforeAutospacing="1" w:after="100" w:afterAutospacing="1"/>
        <w:rPr>
          <w:rFonts w:ascii="Arial" w:hAnsi="Arial" w:cs="Arial"/>
        </w:rPr>
      </w:pPr>
      <w:r w:rsidRPr="005A3A2C">
        <w:rPr>
          <w:rFonts w:ascii="Arial" w:hAnsi="Arial" w:cs="Arial"/>
          <w:bCs/>
        </w:rPr>
        <w:t>е</w:t>
      </w:r>
      <w:r w:rsidR="00B2505F" w:rsidRPr="005A3A2C">
        <w:rPr>
          <w:rFonts w:ascii="Arial" w:hAnsi="Arial" w:cs="Arial"/>
          <w:bCs/>
        </w:rPr>
        <w:t>нергетичні ризики</w:t>
      </w:r>
      <w:r w:rsidR="00B2505F" w:rsidRPr="005A3A2C">
        <w:rPr>
          <w:rFonts w:ascii="Arial" w:hAnsi="Arial" w:cs="Arial"/>
        </w:rPr>
        <w:t xml:space="preserve"> – пе</w:t>
      </w:r>
      <w:r w:rsidRPr="005A3A2C">
        <w:rPr>
          <w:rFonts w:ascii="Arial" w:hAnsi="Arial" w:cs="Arial"/>
        </w:rPr>
        <w:t>ребої з електро-, газо</w:t>
      </w:r>
      <w:r w:rsidR="00B2505F" w:rsidRPr="005A3A2C">
        <w:rPr>
          <w:rFonts w:ascii="Arial" w:hAnsi="Arial" w:cs="Arial"/>
        </w:rPr>
        <w:t>постачанням.</w:t>
      </w:r>
    </w:p>
    <w:p w14:paraId="65E48E40" w14:textId="4EDCBD85" w:rsidR="00B2505F" w:rsidRPr="005A3A2C" w:rsidRDefault="005A3A2C" w:rsidP="005A3A2C">
      <w:pPr>
        <w:pStyle w:val="af4"/>
        <w:numPr>
          <w:ilvl w:val="0"/>
          <w:numId w:val="168"/>
        </w:numPr>
        <w:tabs>
          <w:tab w:val="left" w:pos="993"/>
        </w:tabs>
        <w:spacing w:before="100" w:beforeAutospacing="1" w:after="100" w:afterAutospacing="1"/>
        <w:rPr>
          <w:rFonts w:ascii="Arial" w:hAnsi="Arial" w:cs="Arial"/>
        </w:rPr>
      </w:pPr>
      <w:r w:rsidRPr="005A3A2C">
        <w:rPr>
          <w:rFonts w:ascii="Arial" w:hAnsi="Arial" w:cs="Arial"/>
          <w:bCs/>
        </w:rPr>
        <w:t>н</w:t>
      </w:r>
      <w:r w:rsidR="00B2505F" w:rsidRPr="005A3A2C">
        <w:rPr>
          <w:rFonts w:ascii="Arial" w:hAnsi="Arial" w:cs="Arial"/>
          <w:bCs/>
        </w:rPr>
        <w:t>изька залученість громадян</w:t>
      </w:r>
      <w:r w:rsidR="00B2505F" w:rsidRPr="005A3A2C">
        <w:rPr>
          <w:rFonts w:ascii="Arial" w:hAnsi="Arial" w:cs="Arial"/>
        </w:rPr>
        <w:t xml:space="preserve"> – слабка комунікація між владою та мешканцями, недовіра до інституцій.</w:t>
      </w:r>
    </w:p>
    <w:p w14:paraId="570528D1" w14:textId="463ED877" w:rsidR="00B2505F" w:rsidRPr="009700DD" w:rsidRDefault="00B2505F" w:rsidP="00B2505F">
      <w:pPr>
        <w:pStyle w:val="10"/>
        <w:ind w:firstLine="0"/>
      </w:pPr>
      <w:r>
        <w:t>7</w:t>
      </w:r>
      <w:r w:rsidRPr="009700DD">
        <w:t>. Рекомендації</w:t>
      </w:r>
    </w:p>
    <w:p w14:paraId="7BFBBFFA" w14:textId="4E811178" w:rsidR="00B2505F" w:rsidRPr="009700DD" w:rsidRDefault="00B2505F" w:rsidP="00B2505F">
      <w:pPr>
        <w:pStyle w:val="af4"/>
        <w:numPr>
          <w:ilvl w:val="0"/>
          <w:numId w:val="167"/>
        </w:numPr>
        <w:tabs>
          <w:tab w:val="clear" w:pos="720"/>
          <w:tab w:val="num" w:pos="567"/>
        </w:tabs>
        <w:spacing w:before="120" w:after="0" w:line="240" w:lineRule="auto"/>
        <w:ind w:left="567" w:firstLine="709"/>
        <w:jc w:val="both"/>
        <w:rPr>
          <w:rFonts w:ascii="Arial" w:hAnsi="Arial" w:cs="Arial"/>
        </w:rPr>
      </w:pPr>
      <w:r w:rsidRPr="009700DD">
        <w:rPr>
          <w:rFonts w:ascii="Arial" w:hAnsi="Arial" w:cs="Arial"/>
        </w:rPr>
        <w:t xml:space="preserve">успіх реалізації та сталості результатів кожного </w:t>
      </w:r>
      <w:r w:rsidR="00314B9D">
        <w:rPr>
          <w:rFonts w:ascii="Arial" w:hAnsi="Arial" w:cs="Arial"/>
        </w:rPr>
        <w:t>проєкту</w:t>
      </w:r>
      <w:r w:rsidRPr="009700DD">
        <w:rPr>
          <w:rFonts w:ascii="Arial" w:hAnsi="Arial" w:cs="Arial"/>
        </w:rPr>
        <w:t xml:space="preserve"> базується на розумному врахуванні інтересів громади і приватних інтересів. Тому, де це можливо, необхідне поєднання фінансування з бюджету громади і приватних коштів на додаток до підтримки з держбюджету та програм МТД.</w:t>
      </w:r>
    </w:p>
    <w:p w14:paraId="0400C2CD" w14:textId="5E765877" w:rsidR="00B2505F" w:rsidRPr="009700DD" w:rsidRDefault="00B2505F" w:rsidP="00B2505F">
      <w:pPr>
        <w:pStyle w:val="af4"/>
        <w:numPr>
          <w:ilvl w:val="0"/>
          <w:numId w:val="167"/>
        </w:numPr>
        <w:tabs>
          <w:tab w:val="clear" w:pos="720"/>
          <w:tab w:val="num" w:pos="567"/>
        </w:tabs>
        <w:spacing w:before="120" w:after="0" w:line="240" w:lineRule="auto"/>
        <w:ind w:left="567" w:firstLine="709"/>
        <w:jc w:val="both"/>
        <w:rPr>
          <w:rFonts w:ascii="Arial" w:hAnsi="Arial" w:cs="Arial"/>
        </w:rPr>
      </w:pPr>
      <w:r w:rsidRPr="009700DD">
        <w:rPr>
          <w:rFonts w:ascii="Arial" w:hAnsi="Arial" w:cs="Arial"/>
        </w:rPr>
        <w:t xml:space="preserve">участь </w:t>
      </w:r>
      <w:r w:rsidR="00314B9D">
        <w:rPr>
          <w:rFonts w:ascii="Arial" w:hAnsi="Arial" w:cs="Arial"/>
        </w:rPr>
        <w:t>проєкт</w:t>
      </w:r>
      <w:r w:rsidRPr="009700DD">
        <w:rPr>
          <w:rFonts w:ascii="Arial" w:hAnsi="Arial" w:cs="Arial"/>
        </w:rPr>
        <w:t>ів міжнародної технічної допомоги (зокрема, ЄС, США), має важливе значення для надання фінансових ресурсів та технічної допомоги, забезпечення управлінського потенціалу і технічних навичок для реалізації Стратегії.</w:t>
      </w:r>
    </w:p>
    <w:p w14:paraId="2C3DD205" w14:textId="371D57AD" w:rsidR="00B2505F" w:rsidRPr="009700DD" w:rsidRDefault="00B2505F" w:rsidP="00B2505F">
      <w:pPr>
        <w:pStyle w:val="af4"/>
        <w:numPr>
          <w:ilvl w:val="0"/>
          <w:numId w:val="167"/>
        </w:numPr>
        <w:tabs>
          <w:tab w:val="clear" w:pos="720"/>
          <w:tab w:val="num" w:pos="567"/>
        </w:tabs>
        <w:spacing w:before="120" w:after="0" w:line="240" w:lineRule="auto"/>
        <w:ind w:left="567" w:firstLine="709"/>
        <w:jc w:val="both"/>
        <w:rPr>
          <w:rFonts w:ascii="Arial" w:hAnsi="Arial" w:cs="Arial"/>
        </w:rPr>
      </w:pPr>
      <w:r w:rsidRPr="009700DD">
        <w:rPr>
          <w:rFonts w:ascii="Arial" w:hAnsi="Arial" w:cs="Arial"/>
        </w:rPr>
        <w:t xml:space="preserve">досвід інших регіонів і країн, зокрема у розвитку інфраструктури залізничного транспорту, може прискорити реалізацію </w:t>
      </w:r>
      <w:r w:rsidR="00314B9D">
        <w:rPr>
          <w:rFonts w:ascii="Arial" w:hAnsi="Arial" w:cs="Arial"/>
        </w:rPr>
        <w:t>проєкт</w:t>
      </w:r>
      <w:r w:rsidRPr="009700DD">
        <w:rPr>
          <w:rFonts w:ascii="Arial" w:hAnsi="Arial" w:cs="Arial"/>
        </w:rPr>
        <w:t xml:space="preserve">ів і сприяти отриманню максимальної віддачі. </w:t>
      </w:r>
    </w:p>
    <w:p w14:paraId="5AAECF59" w14:textId="0EA993DC" w:rsidR="00B2505F" w:rsidRPr="009700DD" w:rsidRDefault="00B2505F" w:rsidP="00B2505F">
      <w:pPr>
        <w:pStyle w:val="af4"/>
        <w:numPr>
          <w:ilvl w:val="0"/>
          <w:numId w:val="167"/>
        </w:numPr>
        <w:tabs>
          <w:tab w:val="clear" w:pos="720"/>
          <w:tab w:val="num" w:pos="567"/>
        </w:tabs>
        <w:spacing w:before="120" w:after="0" w:line="240" w:lineRule="auto"/>
        <w:ind w:left="567" w:firstLine="709"/>
        <w:jc w:val="both"/>
        <w:rPr>
          <w:rFonts w:ascii="Arial" w:hAnsi="Arial" w:cs="Arial"/>
        </w:rPr>
      </w:pPr>
      <w:r w:rsidRPr="009700DD">
        <w:rPr>
          <w:rFonts w:ascii="Arial" w:hAnsi="Arial" w:cs="Arial"/>
        </w:rPr>
        <w:t xml:space="preserve">відповідно до передбачених Стратегією цілей, окремі завдання та ідеї </w:t>
      </w:r>
      <w:r w:rsidR="00314B9D">
        <w:rPr>
          <w:rFonts w:ascii="Arial" w:hAnsi="Arial" w:cs="Arial"/>
        </w:rPr>
        <w:t>проєкт</w:t>
      </w:r>
      <w:r w:rsidRPr="009700DD">
        <w:rPr>
          <w:rFonts w:ascii="Arial" w:hAnsi="Arial" w:cs="Arial"/>
        </w:rPr>
        <w:t xml:space="preserve">ів можуть бути додані, або змінені в наступні роки під час процедур моніторингу та актуалізації Стратегії. </w:t>
      </w:r>
    </w:p>
    <w:p w14:paraId="7F5578BF" w14:textId="77777777" w:rsidR="00B2505F" w:rsidRPr="009700DD" w:rsidRDefault="00B2505F" w:rsidP="00B2505F">
      <w:pPr>
        <w:tabs>
          <w:tab w:val="num" w:pos="567"/>
        </w:tabs>
        <w:ind w:firstLine="709"/>
        <w:rPr>
          <w:rFonts w:cs="Arial"/>
          <w:szCs w:val="22"/>
          <w:highlight w:val="darkGreen"/>
        </w:rPr>
      </w:pPr>
    </w:p>
    <w:p w14:paraId="5FACB781" w14:textId="77777777" w:rsidR="00AB3B9D" w:rsidRDefault="00AB3B9D" w:rsidP="00AB3B9D">
      <w:pPr>
        <w:jc w:val="center"/>
        <w:rPr>
          <w:rFonts w:cs="Arial"/>
        </w:rPr>
      </w:pPr>
    </w:p>
    <w:sectPr w:rsidR="00AB3B9D" w:rsidSect="00667673">
      <w:headerReference w:type="even" r:id="rId174"/>
      <w:headerReference w:type="default" r:id="rId175"/>
      <w:footerReference w:type="even" r:id="rId176"/>
      <w:footerReference w:type="default" r:id="rId177"/>
      <w:pgSz w:w="11906" w:h="16838" w:code="9"/>
      <w:pgMar w:top="850" w:right="850" w:bottom="850" w:left="1417" w:header="794" w:footer="79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BD7F2FA" w14:textId="77777777" w:rsidR="00D85FFD" w:rsidRDefault="00D85FFD" w:rsidP="00C847C1">
      <w:r>
        <w:separator/>
      </w:r>
    </w:p>
    <w:p w14:paraId="66913B7B" w14:textId="77777777" w:rsidR="00D85FFD" w:rsidRDefault="00D85FFD"/>
    <w:p w14:paraId="6CA3D5A4" w14:textId="77777777" w:rsidR="00D85FFD" w:rsidRDefault="00D85FFD" w:rsidP="00E63B05"/>
    <w:p w14:paraId="6447ED5C" w14:textId="77777777" w:rsidR="00D85FFD" w:rsidRDefault="00D85FFD" w:rsidP="00E63B05"/>
    <w:p w14:paraId="3669DB22" w14:textId="77777777" w:rsidR="00D85FFD" w:rsidRDefault="00D85FFD"/>
    <w:p w14:paraId="160872BB" w14:textId="77777777" w:rsidR="00D85FFD" w:rsidRDefault="00D85FFD"/>
  </w:endnote>
  <w:endnote w:type="continuationSeparator" w:id="0">
    <w:p w14:paraId="1F5C5473" w14:textId="77777777" w:rsidR="00D85FFD" w:rsidRDefault="00D85FFD" w:rsidP="00C847C1">
      <w:r>
        <w:continuationSeparator/>
      </w:r>
    </w:p>
    <w:p w14:paraId="3420926D" w14:textId="77777777" w:rsidR="00D85FFD" w:rsidRDefault="00D85FFD"/>
    <w:p w14:paraId="609E207C" w14:textId="77777777" w:rsidR="00D85FFD" w:rsidRDefault="00D85FFD" w:rsidP="00E63B05"/>
    <w:p w14:paraId="2D511A6D" w14:textId="77777777" w:rsidR="00D85FFD" w:rsidRDefault="00D85FFD" w:rsidP="00E63B05"/>
    <w:p w14:paraId="1B6F9839" w14:textId="77777777" w:rsidR="00D85FFD" w:rsidRDefault="00D85FFD"/>
    <w:p w14:paraId="232F8745" w14:textId="77777777" w:rsidR="00D85FFD" w:rsidRDefault="00D85FF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alibri">
    <w:panose1 w:val="020F0502020204030204"/>
    <w:charset w:val="CC"/>
    <w:family w:val="swiss"/>
    <w:pitch w:val="variable"/>
    <w:sig w:usb0="E4002EFF" w:usb1="C000247B" w:usb2="00000009" w:usb3="00000000" w:csb0="000001FF" w:csb1="00000000"/>
  </w:font>
  <w:font w:name="MS Mincho">
    <w:altName w:val="Yu Gothic UI"/>
    <w:panose1 w:val="02020609040205080304"/>
    <w:charset w:val="80"/>
    <w:family w:val="roman"/>
    <w:notTrueType/>
    <w:pitch w:val="fixed"/>
    <w:sig w:usb0="00000000" w:usb1="08070000" w:usb2="00000010" w:usb3="00000000" w:csb0="00020000"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CC"/>
    <w:family w:val="swiss"/>
    <w:pitch w:val="variable"/>
    <w:sig w:usb0="80000AFF" w:usb1="0000396B" w:usb2="00000000" w:usb3="00000000" w:csb0="000000BF" w:csb1="00000000"/>
  </w:font>
  <w:font w:name="font231">
    <w:altName w:val="Times New Roman"/>
    <w:panose1 w:val="00000000000000000000"/>
    <w:charset w:val="CC"/>
    <w:family w:val="auto"/>
    <w:notTrueType/>
    <w:pitch w:val="variable"/>
    <w:sig w:usb0="00000201" w:usb1="00000000" w:usb2="00000000" w:usb3="00000000" w:csb0="00000004" w:csb1="00000000"/>
  </w:font>
  <w:font w:name="Times New Roman CYR">
    <w:panose1 w:val="02020603050405020304"/>
    <w:charset w:val="CC"/>
    <w:family w:val="roman"/>
    <w:pitch w:val="variable"/>
    <w:sig w:usb0="E0002EFF" w:usb1="C000785B" w:usb2="00000009" w:usb3="00000000" w:csb0="000001FF" w:csb1="00000000"/>
  </w:font>
  <w:font w:name="Garamond">
    <w:panose1 w:val="02020404030301010803"/>
    <w:charset w:val="CC"/>
    <w:family w:val="roman"/>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Andale Sans UI">
    <w:charset w:val="00"/>
    <w:family w:val="auto"/>
    <w:pitch w:val="variable"/>
  </w:font>
  <w:font w:name="SimSun">
    <w:altName w:val="宋体"/>
    <w:panose1 w:val="02010600030101010101"/>
    <w:charset w:val="86"/>
    <w:family w:val="auto"/>
    <w:pitch w:val="variable"/>
    <w:sig w:usb0="00000203" w:usb1="288F0000" w:usb2="00000016" w:usb3="00000000" w:csb0="00040001" w:csb1="00000000"/>
  </w:font>
  <w:font w:name="ArialMT">
    <w:altName w:val="Times New Roman"/>
    <w:panose1 w:val="00000000000000000000"/>
    <w:charset w:val="00"/>
    <w:family w:val="roman"/>
    <w:notTrueType/>
    <w:pitch w:val="default"/>
  </w:font>
  <w:font w:name="Bookman Old Style">
    <w:panose1 w:val="02050604050505020204"/>
    <w:charset w:val="CC"/>
    <w:family w:val="roman"/>
    <w:pitch w:val="variable"/>
    <w:sig w:usb0="00000287" w:usb1="00000000" w:usb2="00000000" w:usb3="00000000" w:csb0="0000009F" w:csb1="00000000"/>
  </w:font>
  <w:font w:name="Mangal">
    <w:panose1 w:val="00000400000000000000"/>
    <w:charset w:val="01"/>
    <w:family w:val="roman"/>
    <w:notTrueType/>
    <w:pitch w:val="variable"/>
    <w:sig w:usb0="00002000" w:usb1="00000000" w:usb2="00000000" w:usb3="00000000" w:csb0="00000000" w:csb1="00000000"/>
  </w:font>
  <w:font w:name="Antiqua">
    <w:altName w:val="Corbel"/>
    <w:panose1 w:val="00000000000000000000"/>
    <w:charset w:val="00"/>
    <w:family w:val="auto"/>
    <w:notTrueType/>
    <w:pitch w:val="variable"/>
    <w:sig w:usb0="00000003" w:usb1="00000000" w:usb2="00000000" w:usb3="00000000" w:csb0="00000001" w:csb1="00000000"/>
  </w:font>
  <w:font w:name="Microsoft Sans Serif">
    <w:panose1 w:val="020B0604020202020204"/>
    <w:charset w:val="CC"/>
    <w:family w:val="swiss"/>
    <w:pitch w:val="variable"/>
    <w:sig w:usb0="E5002EFF" w:usb1="C000605B" w:usb2="00000029" w:usb3="00000000" w:csb0="000101FF" w:csb1="00000000"/>
  </w:font>
  <w:font w:name="+mn-ea">
    <w:panose1 w:val="00000000000000000000"/>
    <w:charset w:val="00"/>
    <w:family w:val="roman"/>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sans-serif">
    <w:altName w:val="Segoe Print"/>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0AF177" w14:textId="0F5C55ED" w:rsidR="00FC48E5" w:rsidRPr="00AB49EA" w:rsidRDefault="00FC48E5" w:rsidP="00AB49EA">
    <w:pPr>
      <w:pStyle w:val="a8"/>
      <w:pBdr>
        <w:top w:val="single" w:sz="12" w:space="1" w:color="678C94"/>
      </w:pBdr>
      <w:rPr>
        <w:rFonts w:ascii="Arial" w:hAnsi="Arial" w:cs="Arial"/>
        <w:sz w:val="18"/>
        <w:szCs w:val="18"/>
      </w:rPr>
    </w:pPr>
    <w:r w:rsidRPr="00AB49EA">
      <w:rPr>
        <w:rFonts w:ascii="Arial" w:hAnsi="Arial" w:cs="Arial"/>
        <w:sz w:val="18"/>
        <w:szCs w:val="18"/>
      </w:rPr>
      <w:fldChar w:fldCharType="begin"/>
    </w:r>
    <w:r w:rsidRPr="00AB49EA">
      <w:rPr>
        <w:rFonts w:ascii="Arial" w:hAnsi="Arial" w:cs="Arial"/>
        <w:sz w:val="18"/>
        <w:szCs w:val="18"/>
      </w:rPr>
      <w:instrText>PAGE   \* MERGEFORMAT</w:instrText>
    </w:r>
    <w:r w:rsidRPr="00AB49EA">
      <w:rPr>
        <w:rFonts w:ascii="Arial" w:hAnsi="Arial" w:cs="Arial"/>
        <w:sz w:val="18"/>
        <w:szCs w:val="18"/>
      </w:rPr>
      <w:fldChar w:fldCharType="separate"/>
    </w:r>
    <w:r>
      <w:rPr>
        <w:rFonts w:ascii="Arial" w:hAnsi="Arial" w:cs="Arial"/>
        <w:noProof/>
        <w:sz w:val="18"/>
        <w:szCs w:val="18"/>
      </w:rPr>
      <w:t>28</w:t>
    </w:r>
    <w:r w:rsidRPr="00AB49EA">
      <w:rPr>
        <w:rFonts w:ascii="Arial" w:hAnsi="Arial" w:cs="Arial"/>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F03007" w14:textId="21C20FFB" w:rsidR="00FC48E5" w:rsidRPr="00AB49EA" w:rsidRDefault="00FC48E5" w:rsidP="00396197">
    <w:pPr>
      <w:pStyle w:val="a8"/>
      <w:pBdr>
        <w:top w:val="single" w:sz="12" w:space="1" w:color="678C94"/>
      </w:pBdr>
      <w:tabs>
        <w:tab w:val="clear" w:pos="4680"/>
        <w:tab w:val="clear" w:pos="9360"/>
      </w:tabs>
      <w:jc w:val="right"/>
      <w:rPr>
        <w:rFonts w:ascii="Arial" w:hAnsi="Arial" w:cs="Arial"/>
      </w:rPr>
    </w:pPr>
    <w:r w:rsidRPr="00AB49EA">
      <w:rPr>
        <w:rFonts w:ascii="Arial" w:hAnsi="Arial" w:cs="Arial"/>
        <w:sz w:val="18"/>
        <w:szCs w:val="18"/>
      </w:rPr>
      <w:fldChar w:fldCharType="begin"/>
    </w:r>
    <w:r w:rsidRPr="00AB49EA">
      <w:rPr>
        <w:rFonts w:ascii="Arial" w:hAnsi="Arial" w:cs="Arial"/>
        <w:sz w:val="18"/>
        <w:szCs w:val="18"/>
      </w:rPr>
      <w:instrText>PAGE   \* MERGEFORMAT</w:instrText>
    </w:r>
    <w:r w:rsidRPr="00AB49EA">
      <w:rPr>
        <w:rFonts w:ascii="Arial" w:hAnsi="Arial" w:cs="Arial"/>
        <w:sz w:val="18"/>
        <w:szCs w:val="18"/>
      </w:rPr>
      <w:fldChar w:fldCharType="separate"/>
    </w:r>
    <w:r w:rsidR="009E6540">
      <w:rPr>
        <w:rFonts w:ascii="Arial" w:hAnsi="Arial" w:cs="Arial"/>
        <w:noProof/>
        <w:sz w:val="18"/>
        <w:szCs w:val="18"/>
      </w:rPr>
      <w:t>20</w:t>
    </w:r>
    <w:r w:rsidRPr="00AB49EA">
      <w:rPr>
        <w:rFonts w:ascii="Arial" w:hAnsi="Arial" w:cs="Arial"/>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52AA99" w14:textId="5EE48055" w:rsidR="00FC48E5" w:rsidRPr="00AB49EA" w:rsidRDefault="00FC48E5" w:rsidP="00AB49EA">
    <w:pPr>
      <w:pStyle w:val="a8"/>
      <w:pBdr>
        <w:top w:val="single" w:sz="12" w:space="1" w:color="678C94"/>
      </w:pBdr>
      <w:rPr>
        <w:rFonts w:ascii="Arial" w:hAnsi="Arial" w:cs="Arial"/>
        <w:sz w:val="18"/>
        <w:szCs w:val="18"/>
      </w:rPr>
    </w:pPr>
    <w:r w:rsidRPr="00AB49EA">
      <w:rPr>
        <w:rFonts w:ascii="Arial" w:hAnsi="Arial" w:cs="Arial"/>
        <w:sz w:val="18"/>
        <w:szCs w:val="18"/>
      </w:rPr>
      <w:fldChar w:fldCharType="begin"/>
    </w:r>
    <w:r w:rsidRPr="00AB49EA">
      <w:rPr>
        <w:rFonts w:ascii="Arial" w:hAnsi="Arial" w:cs="Arial"/>
        <w:sz w:val="18"/>
        <w:szCs w:val="18"/>
      </w:rPr>
      <w:instrText>PAGE   \* MERGEFORMAT</w:instrText>
    </w:r>
    <w:r w:rsidRPr="00AB49EA">
      <w:rPr>
        <w:rFonts w:ascii="Arial" w:hAnsi="Arial" w:cs="Arial"/>
        <w:sz w:val="18"/>
        <w:szCs w:val="18"/>
      </w:rPr>
      <w:fldChar w:fldCharType="separate"/>
    </w:r>
    <w:r>
      <w:rPr>
        <w:rFonts w:ascii="Arial" w:hAnsi="Arial" w:cs="Arial"/>
        <w:noProof/>
        <w:sz w:val="18"/>
        <w:szCs w:val="18"/>
      </w:rPr>
      <w:t>36</w:t>
    </w:r>
    <w:r w:rsidRPr="00AB49EA">
      <w:rPr>
        <w:rFonts w:ascii="Arial" w:hAnsi="Arial" w:cs="Arial"/>
        <w:sz w:val="18"/>
        <w:szCs w:val="18"/>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B115B0" w14:textId="41AED4D9" w:rsidR="00FC48E5" w:rsidRPr="00AB49EA" w:rsidRDefault="00FC48E5" w:rsidP="00396197">
    <w:pPr>
      <w:pStyle w:val="a8"/>
      <w:pBdr>
        <w:top w:val="single" w:sz="12" w:space="1" w:color="678C94"/>
      </w:pBdr>
      <w:tabs>
        <w:tab w:val="clear" w:pos="4680"/>
        <w:tab w:val="clear" w:pos="9360"/>
      </w:tabs>
      <w:jc w:val="right"/>
      <w:rPr>
        <w:rFonts w:ascii="Arial" w:hAnsi="Arial" w:cs="Arial"/>
      </w:rPr>
    </w:pPr>
    <w:r w:rsidRPr="00AB49EA">
      <w:rPr>
        <w:rFonts w:ascii="Arial" w:hAnsi="Arial" w:cs="Arial"/>
        <w:sz w:val="18"/>
        <w:szCs w:val="18"/>
      </w:rPr>
      <w:fldChar w:fldCharType="begin"/>
    </w:r>
    <w:r w:rsidRPr="00AB49EA">
      <w:rPr>
        <w:rFonts w:ascii="Arial" w:hAnsi="Arial" w:cs="Arial"/>
        <w:sz w:val="18"/>
        <w:szCs w:val="18"/>
      </w:rPr>
      <w:instrText>PAGE   \* MERGEFORMAT</w:instrText>
    </w:r>
    <w:r w:rsidRPr="00AB49EA">
      <w:rPr>
        <w:rFonts w:ascii="Arial" w:hAnsi="Arial" w:cs="Arial"/>
        <w:sz w:val="18"/>
        <w:szCs w:val="18"/>
      </w:rPr>
      <w:fldChar w:fldCharType="separate"/>
    </w:r>
    <w:r w:rsidR="009E6540">
      <w:rPr>
        <w:rFonts w:ascii="Arial" w:hAnsi="Arial" w:cs="Arial"/>
        <w:noProof/>
        <w:sz w:val="18"/>
        <w:szCs w:val="18"/>
      </w:rPr>
      <w:t>37</w:t>
    </w:r>
    <w:r w:rsidRPr="00AB49EA">
      <w:rPr>
        <w:rFonts w:ascii="Arial" w:hAnsi="Arial" w:cs="Arial"/>
        <w:sz w:val="18"/>
        <w:szCs w:val="18"/>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D454CC" w14:textId="1DF5E14B" w:rsidR="00FC48E5" w:rsidRPr="00AB49EA" w:rsidRDefault="00FC48E5" w:rsidP="00AB49EA">
    <w:pPr>
      <w:pStyle w:val="a8"/>
      <w:pBdr>
        <w:top w:val="single" w:sz="12" w:space="1" w:color="678C94"/>
      </w:pBdr>
      <w:rPr>
        <w:rFonts w:ascii="Arial" w:hAnsi="Arial" w:cs="Arial"/>
        <w:sz w:val="18"/>
        <w:szCs w:val="18"/>
      </w:rPr>
    </w:pPr>
    <w:r w:rsidRPr="00AB49EA">
      <w:rPr>
        <w:rFonts w:ascii="Arial" w:hAnsi="Arial" w:cs="Arial"/>
        <w:sz w:val="18"/>
        <w:szCs w:val="18"/>
      </w:rPr>
      <w:fldChar w:fldCharType="begin"/>
    </w:r>
    <w:r w:rsidRPr="00AB49EA">
      <w:rPr>
        <w:rFonts w:ascii="Arial" w:hAnsi="Arial" w:cs="Arial"/>
        <w:sz w:val="18"/>
        <w:szCs w:val="18"/>
      </w:rPr>
      <w:instrText>PAGE   \* MERGEFORMAT</w:instrText>
    </w:r>
    <w:r w:rsidRPr="00AB49EA">
      <w:rPr>
        <w:rFonts w:ascii="Arial" w:hAnsi="Arial" w:cs="Arial"/>
        <w:sz w:val="18"/>
        <w:szCs w:val="18"/>
      </w:rPr>
      <w:fldChar w:fldCharType="separate"/>
    </w:r>
    <w:r>
      <w:rPr>
        <w:rFonts w:ascii="Arial" w:hAnsi="Arial" w:cs="Arial"/>
        <w:noProof/>
        <w:sz w:val="18"/>
        <w:szCs w:val="18"/>
      </w:rPr>
      <w:t>146</w:t>
    </w:r>
    <w:r w:rsidRPr="00AB49EA">
      <w:rPr>
        <w:rFonts w:ascii="Arial" w:hAnsi="Arial" w:cs="Arial"/>
        <w:sz w:val="18"/>
        <w:szCs w:val="18"/>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C98110" w14:textId="3FF844D4" w:rsidR="00FC48E5" w:rsidRPr="00AB49EA" w:rsidRDefault="00FC48E5" w:rsidP="00396197">
    <w:pPr>
      <w:pStyle w:val="a8"/>
      <w:pBdr>
        <w:top w:val="single" w:sz="12" w:space="1" w:color="678C94"/>
      </w:pBdr>
      <w:tabs>
        <w:tab w:val="clear" w:pos="4680"/>
        <w:tab w:val="clear" w:pos="9360"/>
      </w:tabs>
      <w:jc w:val="right"/>
      <w:rPr>
        <w:rFonts w:ascii="Arial" w:hAnsi="Arial" w:cs="Arial"/>
      </w:rPr>
    </w:pPr>
    <w:r w:rsidRPr="00AB49EA">
      <w:rPr>
        <w:rFonts w:ascii="Arial" w:hAnsi="Arial" w:cs="Arial"/>
        <w:sz w:val="18"/>
        <w:szCs w:val="18"/>
      </w:rPr>
      <w:fldChar w:fldCharType="begin"/>
    </w:r>
    <w:r w:rsidRPr="00AB49EA">
      <w:rPr>
        <w:rFonts w:ascii="Arial" w:hAnsi="Arial" w:cs="Arial"/>
        <w:sz w:val="18"/>
        <w:szCs w:val="18"/>
      </w:rPr>
      <w:instrText>PAGE   \* MERGEFORMAT</w:instrText>
    </w:r>
    <w:r w:rsidRPr="00AB49EA">
      <w:rPr>
        <w:rFonts w:ascii="Arial" w:hAnsi="Arial" w:cs="Arial"/>
        <w:sz w:val="18"/>
        <w:szCs w:val="18"/>
      </w:rPr>
      <w:fldChar w:fldCharType="separate"/>
    </w:r>
    <w:r w:rsidR="009E6540">
      <w:rPr>
        <w:rFonts w:ascii="Arial" w:hAnsi="Arial" w:cs="Arial"/>
        <w:noProof/>
        <w:sz w:val="18"/>
        <w:szCs w:val="18"/>
      </w:rPr>
      <w:t>112</w:t>
    </w:r>
    <w:r w:rsidRPr="00AB49EA">
      <w:rPr>
        <w:rFonts w:ascii="Arial" w:hAnsi="Arial" w:cs="Arial"/>
        <w:sz w:val="18"/>
        <w:szCs w:val="18"/>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9C142E" w14:textId="12D0BAE4" w:rsidR="00FC48E5" w:rsidRPr="00AB49EA" w:rsidRDefault="00FC48E5" w:rsidP="00AB49EA">
    <w:pPr>
      <w:pStyle w:val="a8"/>
      <w:pBdr>
        <w:top w:val="single" w:sz="12" w:space="1" w:color="678C94"/>
      </w:pBdr>
      <w:rPr>
        <w:rFonts w:ascii="Arial" w:hAnsi="Arial" w:cs="Arial"/>
        <w:sz w:val="18"/>
        <w:szCs w:val="18"/>
      </w:rPr>
    </w:pPr>
    <w:r w:rsidRPr="00AB49EA">
      <w:rPr>
        <w:rFonts w:ascii="Arial" w:hAnsi="Arial" w:cs="Arial"/>
        <w:sz w:val="18"/>
        <w:szCs w:val="18"/>
      </w:rPr>
      <w:fldChar w:fldCharType="begin"/>
    </w:r>
    <w:r w:rsidRPr="00AB49EA">
      <w:rPr>
        <w:rFonts w:ascii="Arial" w:hAnsi="Arial" w:cs="Arial"/>
        <w:sz w:val="18"/>
        <w:szCs w:val="18"/>
      </w:rPr>
      <w:instrText>PAGE   \* MERGEFORMAT</w:instrText>
    </w:r>
    <w:r w:rsidRPr="00AB49EA">
      <w:rPr>
        <w:rFonts w:ascii="Arial" w:hAnsi="Arial" w:cs="Arial"/>
        <w:sz w:val="18"/>
        <w:szCs w:val="18"/>
      </w:rPr>
      <w:fldChar w:fldCharType="separate"/>
    </w:r>
    <w:r>
      <w:rPr>
        <w:rFonts w:ascii="Arial" w:hAnsi="Arial" w:cs="Arial"/>
        <w:noProof/>
        <w:sz w:val="18"/>
        <w:szCs w:val="18"/>
      </w:rPr>
      <w:t>162</w:t>
    </w:r>
    <w:r w:rsidRPr="00AB49EA">
      <w:rPr>
        <w:rFonts w:ascii="Arial" w:hAnsi="Arial" w:cs="Arial"/>
        <w:sz w:val="18"/>
        <w:szCs w:val="18"/>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9E9D44" w14:textId="4AD01E91" w:rsidR="00FC48E5" w:rsidRPr="00AB49EA" w:rsidRDefault="00FC48E5" w:rsidP="00396197">
    <w:pPr>
      <w:pStyle w:val="a8"/>
      <w:pBdr>
        <w:top w:val="single" w:sz="12" w:space="1" w:color="678C94"/>
      </w:pBdr>
      <w:tabs>
        <w:tab w:val="clear" w:pos="4680"/>
        <w:tab w:val="clear" w:pos="9360"/>
      </w:tabs>
      <w:jc w:val="right"/>
      <w:rPr>
        <w:rFonts w:ascii="Arial" w:hAnsi="Arial" w:cs="Arial"/>
      </w:rPr>
    </w:pPr>
    <w:r w:rsidRPr="00AB49EA">
      <w:rPr>
        <w:rFonts w:ascii="Arial" w:hAnsi="Arial" w:cs="Arial"/>
        <w:sz w:val="18"/>
        <w:szCs w:val="18"/>
      </w:rPr>
      <w:fldChar w:fldCharType="begin"/>
    </w:r>
    <w:r w:rsidRPr="00AB49EA">
      <w:rPr>
        <w:rFonts w:ascii="Arial" w:hAnsi="Arial" w:cs="Arial"/>
        <w:sz w:val="18"/>
        <w:szCs w:val="18"/>
      </w:rPr>
      <w:instrText>PAGE   \* MERGEFORMAT</w:instrText>
    </w:r>
    <w:r w:rsidRPr="00AB49EA">
      <w:rPr>
        <w:rFonts w:ascii="Arial" w:hAnsi="Arial" w:cs="Arial"/>
        <w:sz w:val="18"/>
        <w:szCs w:val="18"/>
      </w:rPr>
      <w:fldChar w:fldCharType="separate"/>
    </w:r>
    <w:r w:rsidR="0015698C">
      <w:rPr>
        <w:rFonts w:ascii="Arial" w:hAnsi="Arial" w:cs="Arial"/>
        <w:noProof/>
        <w:sz w:val="18"/>
        <w:szCs w:val="18"/>
      </w:rPr>
      <w:t>358</w:t>
    </w:r>
    <w:r w:rsidRPr="00AB49EA">
      <w:rPr>
        <w:rFonts w:ascii="Arial" w:hAnsi="Arial" w:cs="Arial"/>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0626D58" w14:textId="77777777" w:rsidR="00D85FFD" w:rsidRDefault="00D85FFD" w:rsidP="00C847C1">
      <w:r>
        <w:separator/>
      </w:r>
    </w:p>
    <w:p w14:paraId="1B099972" w14:textId="77777777" w:rsidR="00D85FFD" w:rsidRDefault="00D85FFD"/>
    <w:p w14:paraId="5A506109" w14:textId="77777777" w:rsidR="00D85FFD" w:rsidRDefault="00D85FFD" w:rsidP="00E63B05"/>
    <w:p w14:paraId="58A78011" w14:textId="77777777" w:rsidR="00D85FFD" w:rsidRDefault="00D85FFD" w:rsidP="00E63B05"/>
    <w:p w14:paraId="2CE8F84C" w14:textId="77777777" w:rsidR="00D85FFD" w:rsidRDefault="00D85FFD"/>
    <w:p w14:paraId="008A5993" w14:textId="77777777" w:rsidR="00D85FFD" w:rsidRDefault="00D85FFD"/>
  </w:footnote>
  <w:footnote w:type="continuationSeparator" w:id="0">
    <w:p w14:paraId="14754B28" w14:textId="77777777" w:rsidR="00D85FFD" w:rsidRDefault="00D85FFD" w:rsidP="00C847C1">
      <w:r>
        <w:continuationSeparator/>
      </w:r>
    </w:p>
    <w:p w14:paraId="72D10576" w14:textId="77777777" w:rsidR="00D85FFD" w:rsidRDefault="00D85FFD"/>
    <w:p w14:paraId="57CB6817" w14:textId="77777777" w:rsidR="00D85FFD" w:rsidRDefault="00D85FFD" w:rsidP="00E63B05"/>
    <w:p w14:paraId="31652DAC" w14:textId="77777777" w:rsidR="00D85FFD" w:rsidRDefault="00D85FFD" w:rsidP="00E63B05"/>
    <w:p w14:paraId="1195E7DE" w14:textId="77777777" w:rsidR="00D85FFD" w:rsidRDefault="00D85FFD"/>
    <w:p w14:paraId="3EECF4F5" w14:textId="77777777" w:rsidR="00D85FFD" w:rsidRDefault="00D85FFD"/>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BEB8E2" w14:textId="51FB9389" w:rsidR="00FC48E5" w:rsidRPr="001B3229" w:rsidRDefault="00FC48E5" w:rsidP="00AB49EA">
    <w:pPr>
      <w:pStyle w:val="a6"/>
      <w:pBdr>
        <w:bottom w:val="single" w:sz="12" w:space="1" w:color="678C94"/>
      </w:pBdr>
      <w:rPr>
        <w:lang w:val="uk-UA"/>
      </w:rPr>
    </w:pPr>
    <w:r w:rsidRPr="00F53B21">
      <w:rPr>
        <w:rFonts w:ascii="Arial" w:hAnsi="Arial" w:cs="Arial"/>
        <w:sz w:val="18"/>
        <w:szCs w:val="18"/>
        <w:lang w:val="uk-UA"/>
      </w:rPr>
      <w:t>План</w:t>
    </w:r>
    <w:r>
      <w:rPr>
        <w:rFonts w:ascii="Arial" w:hAnsi="Arial" w:cs="Arial"/>
        <w:sz w:val="18"/>
        <w:szCs w:val="18"/>
        <w:lang w:val="uk-UA"/>
      </w:rPr>
      <w:t xml:space="preserve"> заходів з</w:t>
    </w:r>
    <w:r w:rsidRPr="00F53B21">
      <w:rPr>
        <w:rFonts w:ascii="Arial" w:hAnsi="Arial" w:cs="Arial"/>
        <w:sz w:val="18"/>
        <w:szCs w:val="18"/>
        <w:lang w:val="uk-UA"/>
      </w:rPr>
      <w:t xml:space="preserve"> реалізації </w:t>
    </w:r>
    <w:r>
      <w:rPr>
        <w:rFonts w:ascii="Arial" w:hAnsi="Arial" w:cs="Arial"/>
        <w:sz w:val="18"/>
        <w:szCs w:val="18"/>
        <w:lang w:val="uk-UA"/>
      </w:rPr>
      <w:t xml:space="preserve">у 2025-2028 роках </w:t>
    </w:r>
    <w:r w:rsidRPr="00F53B21">
      <w:rPr>
        <w:rFonts w:ascii="Arial" w:hAnsi="Arial" w:cs="Arial"/>
        <w:sz w:val="18"/>
        <w:szCs w:val="18"/>
        <w:lang w:val="uk-UA"/>
      </w:rPr>
      <w:t xml:space="preserve">Стратегії розвитку </w:t>
    </w:r>
    <w:r>
      <w:rPr>
        <w:rFonts w:ascii="Arial" w:hAnsi="Arial" w:cs="Arial"/>
        <w:sz w:val="18"/>
        <w:szCs w:val="18"/>
        <w:lang w:val="uk-UA"/>
      </w:rPr>
      <w:t>Жмеринської МТГ до 2030р.</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637657" w14:textId="5AF5CE3A" w:rsidR="00FC48E5" w:rsidRPr="001B3229" w:rsidRDefault="00FC48E5" w:rsidP="00AB49EA">
    <w:pPr>
      <w:pStyle w:val="a6"/>
      <w:pBdr>
        <w:bottom w:val="single" w:sz="12" w:space="1" w:color="678C94"/>
      </w:pBdr>
      <w:jc w:val="right"/>
      <w:rPr>
        <w:rFonts w:ascii="Arial" w:hAnsi="Arial" w:cs="Arial"/>
        <w:sz w:val="18"/>
        <w:szCs w:val="18"/>
        <w:lang w:val="uk-UA"/>
      </w:rPr>
    </w:pPr>
    <w:r w:rsidRPr="00F53B21">
      <w:rPr>
        <w:rFonts w:ascii="Arial" w:hAnsi="Arial" w:cs="Arial"/>
        <w:sz w:val="18"/>
        <w:szCs w:val="18"/>
        <w:lang w:val="uk-UA"/>
      </w:rPr>
      <w:t xml:space="preserve">План </w:t>
    </w:r>
    <w:r>
      <w:rPr>
        <w:rFonts w:ascii="Arial" w:hAnsi="Arial" w:cs="Arial"/>
        <w:sz w:val="18"/>
        <w:szCs w:val="18"/>
        <w:lang w:val="uk-UA"/>
      </w:rPr>
      <w:t xml:space="preserve">заходів з </w:t>
    </w:r>
    <w:r w:rsidRPr="00F53B21">
      <w:rPr>
        <w:rFonts w:ascii="Arial" w:hAnsi="Arial" w:cs="Arial"/>
        <w:sz w:val="18"/>
        <w:szCs w:val="18"/>
        <w:lang w:val="uk-UA"/>
      </w:rPr>
      <w:t xml:space="preserve">реалізації </w:t>
    </w:r>
    <w:r>
      <w:rPr>
        <w:rFonts w:ascii="Arial" w:hAnsi="Arial" w:cs="Arial"/>
        <w:sz w:val="18"/>
        <w:szCs w:val="18"/>
        <w:lang w:val="uk-UA"/>
      </w:rPr>
      <w:t xml:space="preserve">у 2025-2028 роках </w:t>
    </w:r>
    <w:r w:rsidRPr="00F53B21">
      <w:rPr>
        <w:rFonts w:ascii="Arial" w:hAnsi="Arial" w:cs="Arial"/>
        <w:sz w:val="18"/>
        <w:szCs w:val="18"/>
        <w:lang w:val="uk-UA"/>
      </w:rPr>
      <w:t xml:space="preserve">Стратегії розвитку </w:t>
    </w:r>
    <w:r>
      <w:rPr>
        <w:rFonts w:ascii="Arial" w:hAnsi="Arial" w:cs="Arial"/>
        <w:sz w:val="18"/>
        <w:szCs w:val="18"/>
        <w:lang w:val="uk-UA"/>
      </w:rPr>
      <w:t>Жмеринської МТГ до 2030</w:t>
    </w:r>
    <w:r w:rsidRPr="00F53B21">
      <w:rPr>
        <w:rFonts w:ascii="Arial" w:hAnsi="Arial" w:cs="Arial"/>
        <w:sz w:val="18"/>
        <w:szCs w:val="18"/>
        <w:lang w:val="uk-UA"/>
      </w:rPr>
      <w:t>р.</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154584" w14:textId="25D42AF8" w:rsidR="00FC48E5" w:rsidRPr="000603E1" w:rsidRDefault="00FC48E5" w:rsidP="000603E1">
    <w:pPr>
      <w:pStyle w:val="a6"/>
      <w:pBdr>
        <w:bottom w:val="single" w:sz="12" w:space="1" w:color="678C94"/>
      </w:pBdr>
      <w:jc w:val="right"/>
      <w:rPr>
        <w:rFonts w:ascii="Arial" w:hAnsi="Arial" w:cs="Arial"/>
        <w:sz w:val="18"/>
        <w:szCs w:val="18"/>
        <w:lang w:val="uk-UA"/>
      </w:rPr>
    </w:pPr>
    <w:r w:rsidRPr="00F53B21">
      <w:rPr>
        <w:rFonts w:ascii="Arial" w:hAnsi="Arial" w:cs="Arial"/>
        <w:sz w:val="18"/>
        <w:szCs w:val="18"/>
        <w:lang w:val="uk-UA"/>
      </w:rPr>
      <w:t xml:space="preserve">План </w:t>
    </w:r>
    <w:r>
      <w:rPr>
        <w:rFonts w:ascii="Arial" w:hAnsi="Arial" w:cs="Arial"/>
        <w:sz w:val="18"/>
        <w:szCs w:val="18"/>
        <w:lang w:val="uk-UA"/>
      </w:rPr>
      <w:t xml:space="preserve">заходів з </w:t>
    </w:r>
    <w:r w:rsidRPr="00F53B21">
      <w:rPr>
        <w:rFonts w:ascii="Arial" w:hAnsi="Arial" w:cs="Arial"/>
        <w:sz w:val="18"/>
        <w:szCs w:val="18"/>
        <w:lang w:val="uk-UA"/>
      </w:rPr>
      <w:t xml:space="preserve">реалізації </w:t>
    </w:r>
    <w:r>
      <w:rPr>
        <w:rFonts w:ascii="Arial" w:hAnsi="Arial" w:cs="Arial"/>
        <w:sz w:val="18"/>
        <w:szCs w:val="18"/>
        <w:lang w:val="uk-UA"/>
      </w:rPr>
      <w:t xml:space="preserve">у 2025-2028 роках </w:t>
    </w:r>
    <w:r w:rsidRPr="00F53B21">
      <w:rPr>
        <w:rFonts w:ascii="Arial" w:hAnsi="Arial" w:cs="Arial"/>
        <w:sz w:val="18"/>
        <w:szCs w:val="18"/>
        <w:lang w:val="uk-UA"/>
      </w:rPr>
      <w:t xml:space="preserve">Стратегії розвитку </w:t>
    </w:r>
    <w:r>
      <w:rPr>
        <w:rFonts w:ascii="Arial" w:hAnsi="Arial" w:cs="Arial"/>
        <w:sz w:val="18"/>
        <w:szCs w:val="18"/>
        <w:lang w:val="uk-UA"/>
      </w:rPr>
      <w:t>Жмеринської МТГ до 2030</w:t>
    </w:r>
    <w:r w:rsidRPr="00F53B21">
      <w:rPr>
        <w:rFonts w:ascii="Arial" w:hAnsi="Arial" w:cs="Arial"/>
        <w:sz w:val="18"/>
        <w:szCs w:val="18"/>
        <w:lang w:val="uk-UA"/>
      </w:rPr>
      <w:t>р.</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A1D4AE" w14:textId="5972BA41" w:rsidR="00FC48E5" w:rsidRPr="001B3229" w:rsidRDefault="00FC48E5" w:rsidP="003B5108">
    <w:pPr>
      <w:pStyle w:val="a6"/>
      <w:pBdr>
        <w:bottom w:val="single" w:sz="12" w:space="1" w:color="678C94"/>
      </w:pBdr>
      <w:jc w:val="right"/>
      <w:rPr>
        <w:rFonts w:ascii="Arial" w:hAnsi="Arial" w:cs="Arial"/>
        <w:sz w:val="18"/>
        <w:szCs w:val="18"/>
        <w:lang w:val="uk-UA"/>
      </w:rPr>
    </w:pPr>
    <w:r w:rsidRPr="00F53B21">
      <w:rPr>
        <w:rFonts w:ascii="Arial" w:hAnsi="Arial" w:cs="Arial"/>
        <w:sz w:val="18"/>
        <w:szCs w:val="18"/>
        <w:lang w:val="uk-UA"/>
      </w:rPr>
      <w:t xml:space="preserve">План </w:t>
    </w:r>
    <w:r>
      <w:rPr>
        <w:rFonts w:ascii="Arial" w:hAnsi="Arial" w:cs="Arial"/>
        <w:sz w:val="18"/>
        <w:szCs w:val="18"/>
        <w:lang w:val="uk-UA"/>
      </w:rPr>
      <w:t xml:space="preserve">заходів з </w:t>
    </w:r>
    <w:r w:rsidRPr="00F53B21">
      <w:rPr>
        <w:rFonts w:ascii="Arial" w:hAnsi="Arial" w:cs="Arial"/>
        <w:sz w:val="18"/>
        <w:szCs w:val="18"/>
        <w:lang w:val="uk-UA"/>
      </w:rPr>
      <w:t xml:space="preserve">реалізації </w:t>
    </w:r>
    <w:r>
      <w:rPr>
        <w:rFonts w:ascii="Arial" w:hAnsi="Arial" w:cs="Arial"/>
        <w:sz w:val="18"/>
        <w:szCs w:val="18"/>
        <w:lang w:val="uk-UA"/>
      </w:rPr>
      <w:t xml:space="preserve">у 2025-2028 роках </w:t>
    </w:r>
    <w:r w:rsidRPr="00F53B21">
      <w:rPr>
        <w:rFonts w:ascii="Arial" w:hAnsi="Arial" w:cs="Arial"/>
        <w:sz w:val="18"/>
        <w:szCs w:val="18"/>
        <w:lang w:val="uk-UA"/>
      </w:rPr>
      <w:t xml:space="preserve">Стратегії розвитку </w:t>
    </w:r>
    <w:r>
      <w:rPr>
        <w:rFonts w:ascii="Arial" w:hAnsi="Arial" w:cs="Arial"/>
        <w:sz w:val="18"/>
        <w:szCs w:val="18"/>
        <w:lang w:val="uk-UA"/>
      </w:rPr>
      <w:t>Жмеринської МТГ до 2030</w:t>
    </w:r>
    <w:r w:rsidRPr="00F53B21">
      <w:rPr>
        <w:rFonts w:ascii="Arial" w:hAnsi="Arial" w:cs="Arial"/>
        <w:sz w:val="18"/>
        <w:szCs w:val="18"/>
        <w:lang w:val="uk-UA"/>
      </w:rPr>
      <w:t>р.</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CE79C0" w14:textId="77777777" w:rsidR="00FC48E5" w:rsidRPr="003B5108" w:rsidRDefault="00FC48E5" w:rsidP="003B5108">
    <w:pPr>
      <w:pStyle w:val="a6"/>
      <w:pBdr>
        <w:bottom w:val="single" w:sz="12" w:space="1" w:color="678C94"/>
      </w:pBdr>
      <w:jc w:val="right"/>
      <w:rPr>
        <w:rFonts w:ascii="Arial" w:hAnsi="Arial" w:cs="Arial"/>
        <w:sz w:val="18"/>
        <w:szCs w:val="18"/>
        <w:lang w:val="uk-UA"/>
      </w:rPr>
    </w:pPr>
    <w:r w:rsidRPr="00F53B21">
      <w:rPr>
        <w:rFonts w:ascii="Arial" w:hAnsi="Arial" w:cs="Arial"/>
        <w:sz w:val="18"/>
        <w:szCs w:val="18"/>
        <w:lang w:val="uk-UA"/>
      </w:rPr>
      <w:t xml:space="preserve">План </w:t>
    </w:r>
    <w:r>
      <w:rPr>
        <w:rFonts w:ascii="Arial" w:hAnsi="Arial" w:cs="Arial"/>
        <w:sz w:val="18"/>
        <w:szCs w:val="18"/>
        <w:lang w:val="uk-UA"/>
      </w:rPr>
      <w:t xml:space="preserve">заходів з </w:t>
    </w:r>
    <w:r w:rsidRPr="00F53B21">
      <w:rPr>
        <w:rFonts w:ascii="Arial" w:hAnsi="Arial" w:cs="Arial"/>
        <w:sz w:val="18"/>
        <w:szCs w:val="18"/>
        <w:lang w:val="uk-UA"/>
      </w:rPr>
      <w:t xml:space="preserve">реалізації </w:t>
    </w:r>
    <w:r>
      <w:rPr>
        <w:rFonts w:ascii="Arial" w:hAnsi="Arial" w:cs="Arial"/>
        <w:sz w:val="18"/>
        <w:szCs w:val="18"/>
        <w:lang w:val="uk-UA"/>
      </w:rPr>
      <w:t xml:space="preserve">у 2025-2028 роках </w:t>
    </w:r>
    <w:r w:rsidRPr="00F53B21">
      <w:rPr>
        <w:rFonts w:ascii="Arial" w:hAnsi="Arial" w:cs="Arial"/>
        <w:sz w:val="18"/>
        <w:szCs w:val="18"/>
        <w:lang w:val="uk-UA"/>
      </w:rPr>
      <w:t xml:space="preserve">Стратегії розвитку </w:t>
    </w:r>
    <w:r>
      <w:rPr>
        <w:rFonts w:ascii="Arial" w:hAnsi="Arial" w:cs="Arial"/>
        <w:sz w:val="18"/>
        <w:szCs w:val="18"/>
        <w:lang w:val="uk-UA"/>
      </w:rPr>
      <w:t>Жмеринської МТГ до 2030</w:t>
    </w:r>
    <w:r w:rsidRPr="00F53B21">
      <w:rPr>
        <w:rFonts w:ascii="Arial" w:hAnsi="Arial" w:cs="Arial"/>
        <w:sz w:val="18"/>
        <w:szCs w:val="18"/>
        <w:lang w:val="uk-UA"/>
      </w:rPr>
      <w:t>р.</w: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716304" w14:textId="10E4881A" w:rsidR="00FC48E5" w:rsidRPr="001B3229" w:rsidRDefault="00FC48E5" w:rsidP="003B5108">
    <w:pPr>
      <w:pStyle w:val="a6"/>
      <w:pBdr>
        <w:bottom w:val="single" w:sz="12" w:space="1" w:color="678C94"/>
      </w:pBdr>
      <w:jc w:val="right"/>
      <w:rPr>
        <w:rFonts w:ascii="Arial" w:hAnsi="Arial" w:cs="Arial"/>
        <w:sz w:val="18"/>
        <w:szCs w:val="18"/>
        <w:lang w:val="uk-UA"/>
      </w:rPr>
    </w:pPr>
    <w:r w:rsidRPr="00F53B21">
      <w:rPr>
        <w:rFonts w:ascii="Arial" w:hAnsi="Arial" w:cs="Arial"/>
        <w:sz w:val="18"/>
        <w:szCs w:val="18"/>
        <w:lang w:val="uk-UA"/>
      </w:rPr>
      <w:t xml:space="preserve">План </w:t>
    </w:r>
    <w:r>
      <w:rPr>
        <w:rFonts w:ascii="Arial" w:hAnsi="Arial" w:cs="Arial"/>
        <w:sz w:val="18"/>
        <w:szCs w:val="18"/>
        <w:lang w:val="uk-UA"/>
      </w:rPr>
      <w:t xml:space="preserve">заходів з </w:t>
    </w:r>
    <w:r w:rsidRPr="00F53B21">
      <w:rPr>
        <w:rFonts w:ascii="Arial" w:hAnsi="Arial" w:cs="Arial"/>
        <w:sz w:val="18"/>
        <w:szCs w:val="18"/>
        <w:lang w:val="uk-UA"/>
      </w:rPr>
      <w:t xml:space="preserve">реалізації </w:t>
    </w:r>
    <w:r>
      <w:rPr>
        <w:rFonts w:ascii="Arial" w:hAnsi="Arial" w:cs="Arial"/>
        <w:sz w:val="18"/>
        <w:szCs w:val="18"/>
        <w:lang w:val="uk-UA"/>
      </w:rPr>
      <w:t xml:space="preserve">у 2025-2028 роках </w:t>
    </w:r>
    <w:r w:rsidRPr="00F53B21">
      <w:rPr>
        <w:rFonts w:ascii="Arial" w:hAnsi="Arial" w:cs="Arial"/>
        <w:sz w:val="18"/>
        <w:szCs w:val="18"/>
        <w:lang w:val="uk-UA"/>
      </w:rPr>
      <w:t xml:space="preserve">Стратегії розвитку </w:t>
    </w:r>
    <w:r>
      <w:rPr>
        <w:rFonts w:ascii="Arial" w:hAnsi="Arial" w:cs="Arial"/>
        <w:sz w:val="18"/>
        <w:szCs w:val="18"/>
        <w:lang w:val="uk-UA"/>
      </w:rPr>
      <w:t>Жмеринської МТГ до 2030</w:t>
    </w:r>
    <w:r w:rsidRPr="00F53B21">
      <w:rPr>
        <w:rFonts w:ascii="Arial" w:hAnsi="Arial" w:cs="Arial"/>
        <w:sz w:val="18"/>
        <w:szCs w:val="18"/>
        <w:lang w:val="uk-UA"/>
      </w:rPr>
      <w:t>р.</w: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C9FE12" w14:textId="034C8DF0" w:rsidR="00FC48E5" w:rsidRPr="003B5108" w:rsidRDefault="00FC48E5" w:rsidP="003B5108">
    <w:pPr>
      <w:pStyle w:val="a6"/>
      <w:pBdr>
        <w:bottom w:val="single" w:sz="12" w:space="1" w:color="678C94"/>
      </w:pBdr>
      <w:jc w:val="right"/>
      <w:rPr>
        <w:rFonts w:ascii="Arial" w:hAnsi="Arial" w:cs="Arial"/>
        <w:sz w:val="18"/>
        <w:szCs w:val="18"/>
        <w:lang w:val="uk-UA"/>
      </w:rPr>
    </w:pPr>
    <w:r w:rsidRPr="00F53B21">
      <w:rPr>
        <w:rFonts w:ascii="Arial" w:hAnsi="Arial" w:cs="Arial"/>
        <w:sz w:val="18"/>
        <w:szCs w:val="18"/>
        <w:lang w:val="uk-UA"/>
      </w:rPr>
      <w:t xml:space="preserve">План </w:t>
    </w:r>
    <w:r>
      <w:rPr>
        <w:rFonts w:ascii="Arial" w:hAnsi="Arial" w:cs="Arial"/>
        <w:sz w:val="18"/>
        <w:szCs w:val="18"/>
        <w:lang w:val="uk-UA"/>
      </w:rPr>
      <w:t xml:space="preserve">заходів з </w:t>
    </w:r>
    <w:r w:rsidRPr="00F53B21">
      <w:rPr>
        <w:rFonts w:ascii="Arial" w:hAnsi="Arial" w:cs="Arial"/>
        <w:sz w:val="18"/>
        <w:szCs w:val="18"/>
        <w:lang w:val="uk-UA"/>
      </w:rPr>
      <w:t xml:space="preserve">реалізації </w:t>
    </w:r>
    <w:r>
      <w:rPr>
        <w:rFonts w:ascii="Arial" w:hAnsi="Arial" w:cs="Arial"/>
        <w:sz w:val="18"/>
        <w:szCs w:val="18"/>
        <w:lang w:val="uk-UA"/>
      </w:rPr>
      <w:t xml:space="preserve">у 2025-2028 роках </w:t>
    </w:r>
    <w:r w:rsidRPr="00F53B21">
      <w:rPr>
        <w:rFonts w:ascii="Arial" w:hAnsi="Arial" w:cs="Arial"/>
        <w:sz w:val="18"/>
        <w:szCs w:val="18"/>
        <w:lang w:val="uk-UA"/>
      </w:rPr>
      <w:t xml:space="preserve">Стратегії розвитку </w:t>
    </w:r>
    <w:r>
      <w:rPr>
        <w:rFonts w:ascii="Arial" w:hAnsi="Arial" w:cs="Arial"/>
        <w:sz w:val="18"/>
        <w:szCs w:val="18"/>
        <w:lang w:val="uk-UA"/>
      </w:rPr>
      <w:t>Жмеринської МТГ до 2030</w:t>
    </w:r>
    <w:r w:rsidRPr="00F53B21">
      <w:rPr>
        <w:rFonts w:ascii="Arial" w:hAnsi="Arial" w:cs="Arial"/>
        <w:sz w:val="18"/>
        <w:szCs w:val="18"/>
        <w:lang w:val="uk-UA"/>
      </w:rPr>
      <w:t>р.</w: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CCD7B8" w14:textId="09355CE7" w:rsidR="00FC48E5" w:rsidRPr="001B3229" w:rsidRDefault="00FC48E5" w:rsidP="003B5108">
    <w:pPr>
      <w:pStyle w:val="a6"/>
      <w:pBdr>
        <w:bottom w:val="single" w:sz="12" w:space="1" w:color="678C94"/>
      </w:pBdr>
      <w:jc w:val="right"/>
      <w:rPr>
        <w:rFonts w:ascii="Arial" w:hAnsi="Arial" w:cs="Arial"/>
        <w:sz w:val="18"/>
        <w:szCs w:val="18"/>
        <w:lang w:val="uk-UA"/>
      </w:rPr>
    </w:pPr>
    <w:r w:rsidRPr="00F53B21">
      <w:rPr>
        <w:rFonts w:ascii="Arial" w:hAnsi="Arial" w:cs="Arial"/>
        <w:sz w:val="18"/>
        <w:szCs w:val="18"/>
        <w:lang w:val="uk-UA"/>
      </w:rPr>
      <w:t xml:space="preserve">План </w:t>
    </w:r>
    <w:r>
      <w:rPr>
        <w:rFonts w:ascii="Arial" w:hAnsi="Arial" w:cs="Arial"/>
        <w:sz w:val="18"/>
        <w:szCs w:val="18"/>
        <w:lang w:val="uk-UA"/>
      </w:rPr>
      <w:t xml:space="preserve">заходів з </w:t>
    </w:r>
    <w:r w:rsidRPr="00F53B21">
      <w:rPr>
        <w:rFonts w:ascii="Arial" w:hAnsi="Arial" w:cs="Arial"/>
        <w:sz w:val="18"/>
        <w:szCs w:val="18"/>
        <w:lang w:val="uk-UA"/>
      </w:rPr>
      <w:t xml:space="preserve">реалізації </w:t>
    </w:r>
    <w:r>
      <w:rPr>
        <w:rFonts w:ascii="Arial" w:hAnsi="Arial" w:cs="Arial"/>
        <w:sz w:val="18"/>
        <w:szCs w:val="18"/>
        <w:lang w:val="uk-UA"/>
      </w:rPr>
      <w:t xml:space="preserve">у 2025-2028 роках </w:t>
    </w:r>
    <w:r w:rsidRPr="00F53B21">
      <w:rPr>
        <w:rFonts w:ascii="Arial" w:hAnsi="Arial" w:cs="Arial"/>
        <w:sz w:val="18"/>
        <w:szCs w:val="18"/>
        <w:lang w:val="uk-UA"/>
      </w:rPr>
      <w:t xml:space="preserve">Стратегії розвитку </w:t>
    </w:r>
    <w:r>
      <w:rPr>
        <w:rFonts w:ascii="Arial" w:hAnsi="Arial" w:cs="Arial"/>
        <w:sz w:val="18"/>
        <w:szCs w:val="18"/>
        <w:lang w:val="uk-UA"/>
      </w:rPr>
      <w:t>Жмеринської МТГ до 2030</w:t>
    </w:r>
    <w:r w:rsidRPr="00F53B21">
      <w:rPr>
        <w:rFonts w:ascii="Arial" w:hAnsi="Arial" w:cs="Arial"/>
        <w:sz w:val="18"/>
        <w:szCs w:val="18"/>
        <w:lang w:val="uk-UA"/>
      </w:rPr>
      <w:t>р.</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D39E0374"/>
    <w:multiLevelType w:val="singleLevel"/>
    <w:tmpl w:val="D39E0374"/>
    <w:lvl w:ilvl="0">
      <w:start w:val="1"/>
      <w:numFmt w:val="decimal"/>
      <w:lvlText w:val="%1."/>
      <w:lvlJc w:val="left"/>
      <w:pPr>
        <w:tabs>
          <w:tab w:val="num" w:pos="312"/>
        </w:tabs>
      </w:pPr>
    </w:lvl>
  </w:abstractNum>
  <w:abstractNum w:abstractNumId="1" w15:restartNumberingAfterBreak="0">
    <w:nsid w:val="00000002"/>
    <w:multiLevelType w:val="singleLevel"/>
    <w:tmpl w:val="00000002"/>
    <w:name w:val="WW8Num2"/>
    <w:lvl w:ilvl="0">
      <w:start w:val="1"/>
      <w:numFmt w:val="bullet"/>
      <w:lvlText w:val="o"/>
      <w:lvlJc w:val="left"/>
      <w:pPr>
        <w:tabs>
          <w:tab w:val="num" w:pos="360"/>
        </w:tabs>
        <w:ind w:left="360" w:hanging="360"/>
      </w:pPr>
      <w:rPr>
        <w:rFonts w:ascii="Courier New" w:hAnsi="Courier New" w:cs="Courier New"/>
      </w:rPr>
    </w:lvl>
  </w:abstractNum>
  <w:abstractNum w:abstractNumId="2" w15:restartNumberingAfterBreak="0">
    <w:nsid w:val="00000003"/>
    <w:multiLevelType w:val="singleLevel"/>
    <w:tmpl w:val="00000003"/>
    <w:name w:val="WW8Num3"/>
    <w:lvl w:ilvl="0">
      <w:start w:val="1"/>
      <w:numFmt w:val="bullet"/>
      <w:lvlText w:val="o"/>
      <w:lvlJc w:val="left"/>
      <w:pPr>
        <w:tabs>
          <w:tab w:val="num" w:pos="720"/>
        </w:tabs>
        <w:ind w:left="720" w:hanging="360"/>
      </w:pPr>
      <w:rPr>
        <w:rFonts w:ascii="Courier New" w:hAnsi="Courier New" w:cs="Courier New"/>
      </w:rPr>
    </w:lvl>
  </w:abstractNum>
  <w:abstractNum w:abstractNumId="3" w15:restartNumberingAfterBreak="0">
    <w:nsid w:val="00000004"/>
    <w:multiLevelType w:val="singleLevel"/>
    <w:tmpl w:val="00000004"/>
    <w:name w:val="WW8Num4"/>
    <w:lvl w:ilvl="0">
      <w:start w:val="1"/>
      <w:numFmt w:val="bullet"/>
      <w:lvlText w:val="o"/>
      <w:lvlJc w:val="left"/>
      <w:pPr>
        <w:tabs>
          <w:tab w:val="num" w:pos="360"/>
        </w:tabs>
        <w:ind w:left="360" w:hanging="360"/>
      </w:pPr>
      <w:rPr>
        <w:rFonts w:ascii="Courier New" w:hAnsi="Courier New" w:cs="Courier New"/>
      </w:rPr>
    </w:lvl>
  </w:abstractNum>
  <w:abstractNum w:abstractNumId="4" w15:restartNumberingAfterBreak="0">
    <w:nsid w:val="00000006"/>
    <w:multiLevelType w:val="singleLevel"/>
    <w:tmpl w:val="00000006"/>
    <w:name w:val="WW8Num6"/>
    <w:lvl w:ilvl="0">
      <w:start w:val="1"/>
      <w:numFmt w:val="bullet"/>
      <w:lvlText w:val="o"/>
      <w:lvlJc w:val="left"/>
      <w:pPr>
        <w:tabs>
          <w:tab w:val="num" w:pos="360"/>
        </w:tabs>
        <w:ind w:left="360" w:hanging="360"/>
      </w:pPr>
      <w:rPr>
        <w:rFonts w:ascii="Courier New" w:hAnsi="Courier New" w:cs="Courier New"/>
      </w:rPr>
    </w:lvl>
  </w:abstractNum>
  <w:abstractNum w:abstractNumId="5" w15:restartNumberingAfterBreak="0">
    <w:nsid w:val="00000007"/>
    <w:multiLevelType w:val="singleLevel"/>
    <w:tmpl w:val="00000007"/>
    <w:name w:val="WW8Num7"/>
    <w:lvl w:ilvl="0">
      <w:start w:val="1"/>
      <w:numFmt w:val="bullet"/>
      <w:lvlText w:val="o"/>
      <w:lvlJc w:val="left"/>
      <w:pPr>
        <w:tabs>
          <w:tab w:val="num" w:pos="360"/>
        </w:tabs>
        <w:ind w:left="360" w:hanging="360"/>
      </w:pPr>
      <w:rPr>
        <w:rFonts w:ascii="Courier New" w:hAnsi="Courier New" w:cs="Courier New"/>
      </w:rPr>
    </w:lvl>
  </w:abstractNum>
  <w:abstractNum w:abstractNumId="6" w15:restartNumberingAfterBreak="0">
    <w:nsid w:val="00000009"/>
    <w:multiLevelType w:val="singleLevel"/>
    <w:tmpl w:val="00000009"/>
    <w:name w:val="WW8Num9"/>
    <w:lvl w:ilvl="0">
      <w:start w:val="1"/>
      <w:numFmt w:val="bullet"/>
      <w:lvlText w:val="o"/>
      <w:lvlJc w:val="left"/>
      <w:pPr>
        <w:tabs>
          <w:tab w:val="num" w:pos="360"/>
        </w:tabs>
        <w:ind w:left="360" w:hanging="360"/>
      </w:pPr>
      <w:rPr>
        <w:rFonts w:ascii="Courier New" w:hAnsi="Courier New"/>
      </w:rPr>
    </w:lvl>
  </w:abstractNum>
  <w:abstractNum w:abstractNumId="7" w15:restartNumberingAfterBreak="0">
    <w:nsid w:val="0000000A"/>
    <w:multiLevelType w:val="singleLevel"/>
    <w:tmpl w:val="0000000A"/>
    <w:name w:val="WW8Num10"/>
    <w:lvl w:ilvl="0">
      <w:start w:val="1"/>
      <w:numFmt w:val="bullet"/>
      <w:lvlText w:val="o"/>
      <w:lvlJc w:val="left"/>
      <w:pPr>
        <w:tabs>
          <w:tab w:val="num" w:pos="360"/>
        </w:tabs>
        <w:ind w:left="360" w:hanging="360"/>
      </w:pPr>
      <w:rPr>
        <w:rFonts w:ascii="Courier New" w:hAnsi="Courier New" w:cs="Courier New"/>
      </w:rPr>
    </w:lvl>
  </w:abstractNum>
  <w:abstractNum w:abstractNumId="8" w15:restartNumberingAfterBreak="0">
    <w:nsid w:val="0000000B"/>
    <w:multiLevelType w:val="singleLevel"/>
    <w:tmpl w:val="0000000B"/>
    <w:name w:val="WW8Num11"/>
    <w:lvl w:ilvl="0">
      <w:start w:val="1"/>
      <w:numFmt w:val="bullet"/>
      <w:lvlText w:val="o"/>
      <w:lvlJc w:val="left"/>
      <w:pPr>
        <w:tabs>
          <w:tab w:val="num" w:pos="360"/>
        </w:tabs>
        <w:ind w:left="360" w:hanging="360"/>
      </w:pPr>
      <w:rPr>
        <w:rFonts w:ascii="Courier New" w:hAnsi="Courier New" w:cs="Courier New"/>
      </w:rPr>
    </w:lvl>
  </w:abstractNum>
  <w:abstractNum w:abstractNumId="9" w15:restartNumberingAfterBreak="0">
    <w:nsid w:val="0000000F"/>
    <w:multiLevelType w:val="singleLevel"/>
    <w:tmpl w:val="0000000F"/>
    <w:name w:val="WW8Num15"/>
    <w:lvl w:ilvl="0">
      <w:start w:val="1"/>
      <w:numFmt w:val="bullet"/>
      <w:lvlText w:val="o"/>
      <w:lvlJc w:val="left"/>
      <w:pPr>
        <w:tabs>
          <w:tab w:val="num" w:pos="360"/>
        </w:tabs>
        <w:ind w:left="360" w:hanging="360"/>
      </w:pPr>
      <w:rPr>
        <w:rFonts w:ascii="Courier New" w:hAnsi="Courier New" w:cs="Courier New"/>
      </w:rPr>
    </w:lvl>
  </w:abstractNum>
  <w:abstractNum w:abstractNumId="10" w15:restartNumberingAfterBreak="0">
    <w:nsid w:val="00000011"/>
    <w:multiLevelType w:val="singleLevel"/>
    <w:tmpl w:val="00000011"/>
    <w:name w:val="WW8Num17"/>
    <w:lvl w:ilvl="0">
      <w:start w:val="1"/>
      <w:numFmt w:val="bullet"/>
      <w:lvlText w:val="o"/>
      <w:lvlJc w:val="left"/>
      <w:pPr>
        <w:tabs>
          <w:tab w:val="num" w:pos="720"/>
        </w:tabs>
        <w:ind w:left="720" w:hanging="360"/>
      </w:pPr>
      <w:rPr>
        <w:rFonts w:ascii="Courier New" w:hAnsi="Courier New" w:cs="Courier New"/>
      </w:rPr>
    </w:lvl>
  </w:abstractNum>
  <w:abstractNum w:abstractNumId="11" w15:restartNumberingAfterBreak="0">
    <w:nsid w:val="00000014"/>
    <w:multiLevelType w:val="singleLevel"/>
    <w:tmpl w:val="00000014"/>
    <w:name w:val="WW8Num20"/>
    <w:lvl w:ilvl="0">
      <w:start w:val="1"/>
      <w:numFmt w:val="bullet"/>
      <w:lvlText w:val="o"/>
      <w:lvlJc w:val="left"/>
      <w:pPr>
        <w:tabs>
          <w:tab w:val="num" w:pos="720"/>
        </w:tabs>
        <w:ind w:left="720" w:hanging="360"/>
      </w:pPr>
      <w:rPr>
        <w:rFonts w:ascii="Courier New" w:hAnsi="Courier New" w:cs="Courier New"/>
      </w:rPr>
    </w:lvl>
  </w:abstractNum>
  <w:abstractNum w:abstractNumId="12" w15:restartNumberingAfterBreak="0">
    <w:nsid w:val="00000015"/>
    <w:multiLevelType w:val="singleLevel"/>
    <w:tmpl w:val="00000015"/>
    <w:name w:val="WW8Num21"/>
    <w:lvl w:ilvl="0">
      <w:start w:val="1"/>
      <w:numFmt w:val="bullet"/>
      <w:lvlText w:val="o"/>
      <w:lvlJc w:val="left"/>
      <w:pPr>
        <w:tabs>
          <w:tab w:val="num" w:pos="360"/>
        </w:tabs>
        <w:ind w:left="360" w:hanging="360"/>
      </w:pPr>
      <w:rPr>
        <w:rFonts w:ascii="Courier New" w:hAnsi="Courier New" w:cs="Courier New"/>
      </w:rPr>
    </w:lvl>
  </w:abstractNum>
  <w:abstractNum w:abstractNumId="13" w15:restartNumberingAfterBreak="0">
    <w:nsid w:val="00000016"/>
    <w:multiLevelType w:val="singleLevel"/>
    <w:tmpl w:val="00000016"/>
    <w:name w:val="WW8Num22"/>
    <w:lvl w:ilvl="0">
      <w:start w:val="1"/>
      <w:numFmt w:val="bullet"/>
      <w:lvlText w:val="o"/>
      <w:lvlJc w:val="left"/>
      <w:pPr>
        <w:tabs>
          <w:tab w:val="num" w:pos="360"/>
        </w:tabs>
        <w:ind w:left="360" w:hanging="360"/>
      </w:pPr>
      <w:rPr>
        <w:rFonts w:ascii="Courier New" w:hAnsi="Courier New" w:cs="Courier New"/>
      </w:rPr>
    </w:lvl>
  </w:abstractNum>
  <w:abstractNum w:abstractNumId="14" w15:restartNumberingAfterBreak="0">
    <w:nsid w:val="00000017"/>
    <w:multiLevelType w:val="singleLevel"/>
    <w:tmpl w:val="00000017"/>
    <w:name w:val="WW8Num23"/>
    <w:lvl w:ilvl="0">
      <w:start w:val="1"/>
      <w:numFmt w:val="bullet"/>
      <w:lvlText w:val="o"/>
      <w:lvlJc w:val="left"/>
      <w:pPr>
        <w:tabs>
          <w:tab w:val="num" w:pos="720"/>
        </w:tabs>
        <w:ind w:left="720" w:hanging="360"/>
      </w:pPr>
      <w:rPr>
        <w:rFonts w:ascii="Courier New" w:hAnsi="Courier New" w:cs="Courier New"/>
      </w:rPr>
    </w:lvl>
  </w:abstractNum>
  <w:abstractNum w:abstractNumId="15" w15:restartNumberingAfterBreak="0">
    <w:nsid w:val="00000019"/>
    <w:multiLevelType w:val="singleLevel"/>
    <w:tmpl w:val="00000019"/>
    <w:name w:val="WW8Num25"/>
    <w:lvl w:ilvl="0">
      <w:start w:val="1"/>
      <w:numFmt w:val="bullet"/>
      <w:lvlText w:val="o"/>
      <w:lvlJc w:val="left"/>
      <w:pPr>
        <w:tabs>
          <w:tab w:val="num" w:pos="360"/>
        </w:tabs>
        <w:ind w:left="360" w:hanging="360"/>
      </w:pPr>
      <w:rPr>
        <w:rFonts w:ascii="Courier New" w:hAnsi="Courier New" w:cs="Courier New"/>
      </w:rPr>
    </w:lvl>
  </w:abstractNum>
  <w:abstractNum w:abstractNumId="16" w15:restartNumberingAfterBreak="0">
    <w:nsid w:val="0000001C"/>
    <w:multiLevelType w:val="singleLevel"/>
    <w:tmpl w:val="0000001C"/>
    <w:name w:val="WW8Num28"/>
    <w:lvl w:ilvl="0">
      <w:start w:val="1"/>
      <w:numFmt w:val="bullet"/>
      <w:lvlText w:val="o"/>
      <w:lvlJc w:val="left"/>
      <w:pPr>
        <w:tabs>
          <w:tab w:val="num" w:pos="360"/>
        </w:tabs>
        <w:ind w:left="360" w:hanging="360"/>
      </w:pPr>
      <w:rPr>
        <w:rFonts w:ascii="Courier New" w:hAnsi="Courier New" w:cs="Courier New"/>
      </w:rPr>
    </w:lvl>
  </w:abstractNum>
  <w:abstractNum w:abstractNumId="17" w15:restartNumberingAfterBreak="0">
    <w:nsid w:val="0000001E"/>
    <w:multiLevelType w:val="singleLevel"/>
    <w:tmpl w:val="0000001E"/>
    <w:name w:val="WW8Num30"/>
    <w:lvl w:ilvl="0">
      <w:start w:val="1"/>
      <w:numFmt w:val="bullet"/>
      <w:lvlText w:val="o"/>
      <w:lvlJc w:val="left"/>
      <w:pPr>
        <w:tabs>
          <w:tab w:val="num" w:pos="360"/>
        </w:tabs>
        <w:ind w:left="360" w:hanging="360"/>
      </w:pPr>
      <w:rPr>
        <w:rFonts w:ascii="Courier New" w:hAnsi="Courier New" w:cs="Courier New"/>
      </w:rPr>
    </w:lvl>
  </w:abstractNum>
  <w:abstractNum w:abstractNumId="18" w15:restartNumberingAfterBreak="0">
    <w:nsid w:val="0000001F"/>
    <w:multiLevelType w:val="singleLevel"/>
    <w:tmpl w:val="0000001F"/>
    <w:name w:val="WW8Num31"/>
    <w:lvl w:ilvl="0">
      <w:start w:val="1"/>
      <w:numFmt w:val="bullet"/>
      <w:lvlText w:val="o"/>
      <w:lvlJc w:val="left"/>
      <w:pPr>
        <w:tabs>
          <w:tab w:val="num" w:pos="360"/>
        </w:tabs>
        <w:ind w:left="360" w:hanging="360"/>
      </w:pPr>
      <w:rPr>
        <w:rFonts w:ascii="Courier New" w:hAnsi="Courier New"/>
      </w:rPr>
    </w:lvl>
  </w:abstractNum>
  <w:abstractNum w:abstractNumId="19" w15:restartNumberingAfterBreak="0">
    <w:nsid w:val="00000022"/>
    <w:multiLevelType w:val="singleLevel"/>
    <w:tmpl w:val="00000022"/>
    <w:name w:val="WW8Num34"/>
    <w:lvl w:ilvl="0">
      <w:start w:val="1"/>
      <w:numFmt w:val="bullet"/>
      <w:lvlText w:val="o"/>
      <w:lvlJc w:val="left"/>
      <w:pPr>
        <w:tabs>
          <w:tab w:val="num" w:pos="360"/>
        </w:tabs>
        <w:ind w:left="360" w:hanging="360"/>
      </w:pPr>
      <w:rPr>
        <w:rFonts w:ascii="Courier New" w:hAnsi="Courier New"/>
      </w:rPr>
    </w:lvl>
  </w:abstractNum>
  <w:abstractNum w:abstractNumId="20" w15:restartNumberingAfterBreak="0">
    <w:nsid w:val="00000023"/>
    <w:multiLevelType w:val="singleLevel"/>
    <w:tmpl w:val="00000023"/>
    <w:name w:val="WW8Num35"/>
    <w:lvl w:ilvl="0">
      <w:start w:val="1"/>
      <w:numFmt w:val="bullet"/>
      <w:lvlText w:val="o"/>
      <w:lvlJc w:val="left"/>
      <w:pPr>
        <w:tabs>
          <w:tab w:val="num" w:pos="720"/>
        </w:tabs>
        <w:ind w:left="720" w:hanging="360"/>
      </w:pPr>
      <w:rPr>
        <w:rFonts w:ascii="Courier New" w:hAnsi="Courier New" w:cs="Courier New"/>
      </w:rPr>
    </w:lvl>
  </w:abstractNum>
  <w:abstractNum w:abstractNumId="21" w15:restartNumberingAfterBreak="0">
    <w:nsid w:val="00000024"/>
    <w:multiLevelType w:val="singleLevel"/>
    <w:tmpl w:val="00000024"/>
    <w:name w:val="WW8Num36"/>
    <w:lvl w:ilvl="0">
      <w:start w:val="1"/>
      <w:numFmt w:val="bullet"/>
      <w:lvlText w:val="o"/>
      <w:lvlJc w:val="left"/>
      <w:pPr>
        <w:tabs>
          <w:tab w:val="num" w:pos="360"/>
        </w:tabs>
        <w:ind w:left="360" w:hanging="360"/>
      </w:pPr>
      <w:rPr>
        <w:rFonts w:ascii="Courier New" w:hAnsi="Courier New" w:cs="Courier New"/>
      </w:rPr>
    </w:lvl>
  </w:abstractNum>
  <w:abstractNum w:abstractNumId="22" w15:restartNumberingAfterBreak="0">
    <w:nsid w:val="00000025"/>
    <w:multiLevelType w:val="singleLevel"/>
    <w:tmpl w:val="00000025"/>
    <w:name w:val="WW8Num37"/>
    <w:lvl w:ilvl="0">
      <w:start w:val="1"/>
      <w:numFmt w:val="bullet"/>
      <w:lvlText w:val="o"/>
      <w:lvlJc w:val="left"/>
      <w:pPr>
        <w:tabs>
          <w:tab w:val="num" w:pos="0"/>
        </w:tabs>
        <w:ind w:left="720" w:hanging="360"/>
      </w:pPr>
      <w:rPr>
        <w:rFonts w:ascii="Courier New" w:hAnsi="Courier New" w:cs="Courier New"/>
      </w:rPr>
    </w:lvl>
  </w:abstractNum>
  <w:abstractNum w:abstractNumId="23" w15:restartNumberingAfterBreak="0">
    <w:nsid w:val="00A55BB9"/>
    <w:multiLevelType w:val="hybridMultilevel"/>
    <w:tmpl w:val="2354D118"/>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4" w15:restartNumberingAfterBreak="0">
    <w:nsid w:val="00AD2CF4"/>
    <w:multiLevelType w:val="hybridMultilevel"/>
    <w:tmpl w:val="9F68DD3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01C8783F"/>
    <w:multiLevelType w:val="hybridMultilevel"/>
    <w:tmpl w:val="E5023EBE"/>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6" w15:restartNumberingAfterBreak="0">
    <w:nsid w:val="020C2D3A"/>
    <w:multiLevelType w:val="hybridMultilevel"/>
    <w:tmpl w:val="AD14782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02454B24"/>
    <w:multiLevelType w:val="multilevel"/>
    <w:tmpl w:val="BDDC50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031443EA"/>
    <w:multiLevelType w:val="hybridMultilevel"/>
    <w:tmpl w:val="7090DA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03161278"/>
    <w:multiLevelType w:val="multilevel"/>
    <w:tmpl w:val="6B5033C4"/>
    <w:lvl w:ilvl="0">
      <w:start w:val="1"/>
      <w:numFmt w:val="bullet"/>
      <w:lvlText w:val="•"/>
      <w:lvlJc w:val="left"/>
      <w:pPr>
        <w:tabs>
          <w:tab w:val="num" w:pos="720"/>
        </w:tabs>
        <w:ind w:left="720" w:hanging="360"/>
      </w:pPr>
      <w:rPr>
        <w:rFonts w:ascii="Arial" w:hAnsi="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036032E6"/>
    <w:multiLevelType w:val="hybridMultilevel"/>
    <w:tmpl w:val="BE0422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04335542"/>
    <w:multiLevelType w:val="hybridMultilevel"/>
    <w:tmpl w:val="1E8AE39A"/>
    <w:lvl w:ilvl="0" w:tplc="0419000F">
      <w:start w:val="1"/>
      <w:numFmt w:val="decimal"/>
      <w:lvlText w:val="%1."/>
      <w:lvlJc w:val="left"/>
      <w:pPr>
        <w:ind w:left="1048" w:hanging="360"/>
      </w:pPr>
    </w:lvl>
    <w:lvl w:ilvl="1" w:tplc="04190019" w:tentative="1">
      <w:start w:val="1"/>
      <w:numFmt w:val="lowerLetter"/>
      <w:lvlText w:val="%2."/>
      <w:lvlJc w:val="left"/>
      <w:pPr>
        <w:ind w:left="1768" w:hanging="360"/>
      </w:pPr>
    </w:lvl>
    <w:lvl w:ilvl="2" w:tplc="0419001B" w:tentative="1">
      <w:start w:val="1"/>
      <w:numFmt w:val="lowerRoman"/>
      <w:lvlText w:val="%3."/>
      <w:lvlJc w:val="right"/>
      <w:pPr>
        <w:ind w:left="2488" w:hanging="180"/>
      </w:pPr>
    </w:lvl>
    <w:lvl w:ilvl="3" w:tplc="0419000F" w:tentative="1">
      <w:start w:val="1"/>
      <w:numFmt w:val="decimal"/>
      <w:lvlText w:val="%4."/>
      <w:lvlJc w:val="left"/>
      <w:pPr>
        <w:ind w:left="3208" w:hanging="360"/>
      </w:pPr>
    </w:lvl>
    <w:lvl w:ilvl="4" w:tplc="04190019" w:tentative="1">
      <w:start w:val="1"/>
      <w:numFmt w:val="lowerLetter"/>
      <w:lvlText w:val="%5."/>
      <w:lvlJc w:val="left"/>
      <w:pPr>
        <w:ind w:left="3928" w:hanging="360"/>
      </w:pPr>
    </w:lvl>
    <w:lvl w:ilvl="5" w:tplc="0419001B" w:tentative="1">
      <w:start w:val="1"/>
      <w:numFmt w:val="lowerRoman"/>
      <w:lvlText w:val="%6."/>
      <w:lvlJc w:val="right"/>
      <w:pPr>
        <w:ind w:left="4648" w:hanging="180"/>
      </w:pPr>
    </w:lvl>
    <w:lvl w:ilvl="6" w:tplc="0419000F" w:tentative="1">
      <w:start w:val="1"/>
      <w:numFmt w:val="decimal"/>
      <w:lvlText w:val="%7."/>
      <w:lvlJc w:val="left"/>
      <w:pPr>
        <w:ind w:left="5368" w:hanging="360"/>
      </w:pPr>
    </w:lvl>
    <w:lvl w:ilvl="7" w:tplc="04190019" w:tentative="1">
      <w:start w:val="1"/>
      <w:numFmt w:val="lowerLetter"/>
      <w:lvlText w:val="%8."/>
      <w:lvlJc w:val="left"/>
      <w:pPr>
        <w:ind w:left="6088" w:hanging="360"/>
      </w:pPr>
    </w:lvl>
    <w:lvl w:ilvl="8" w:tplc="0419001B" w:tentative="1">
      <w:start w:val="1"/>
      <w:numFmt w:val="lowerRoman"/>
      <w:lvlText w:val="%9."/>
      <w:lvlJc w:val="right"/>
      <w:pPr>
        <w:ind w:left="6808" w:hanging="180"/>
      </w:pPr>
    </w:lvl>
  </w:abstractNum>
  <w:abstractNum w:abstractNumId="32" w15:restartNumberingAfterBreak="0">
    <w:nsid w:val="044E55C5"/>
    <w:multiLevelType w:val="hybridMultilevel"/>
    <w:tmpl w:val="3D52C3F8"/>
    <w:lvl w:ilvl="0" w:tplc="0419000F">
      <w:start w:val="1"/>
      <w:numFmt w:val="decimal"/>
      <w:lvlText w:val="%1."/>
      <w:lvlJc w:val="left"/>
      <w:pPr>
        <w:ind w:left="906" w:hanging="360"/>
      </w:pPr>
    </w:lvl>
    <w:lvl w:ilvl="1" w:tplc="04190019" w:tentative="1">
      <w:start w:val="1"/>
      <w:numFmt w:val="lowerLetter"/>
      <w:lvlText w:val="%2."/>
      <w:lvlJc w:val="left"/>
      <w:pPr>
        <w:ind w:left="1626" w:hanging="360"/>
      </w:pPr>
    </w:lvl>
    <w:lvl w:ilvl="2" w:tplc="0419001B" w:tentative="1">
      <w:start w:val="1"/>
      <w:numFmt w:val="lowerRoman"/>
      <w:lvlText w:val="%3."/>
      <w:lvlJc w:val="right"/>
      <w:pPr>
        <w:ind w:left="2346" w:hanging="180"/>
      </w:pPr>
    </w:lvl>
    <w:lvl w:ilvl="3" w:tplc="0419000F" w:tentative="1">
      <w:start w:val="1"/>
      <w:numFmt w:val="decimal"/>
      <w:lvlText w:val="%4."/>
      <w:lvlJc w:val="left"/>
      <w:pPr>
        <w:ind w:left="3066" w:hanging="360"/>
      </w:pPr>
    </w:lvl>
    <w:lvl w:ilvl="4" w:tplc="04190019" w:tentative="1">
      <w:start w:val="1"/>
      <w:numFmt w:val="lowerLetter"/>
      <w:lvlText w:val="%5."/>
      <w:lvlJc w:val="left"/>
      <w:pPr>
        <w:ind w:left="3786" w:hanging="360"/>
      </w:pPr>
    </w:lvl>
    <w:lvl w:ilvl="5" w:tplc="0419001B" w:tentative="1">
      <w:start w:val="1"/>
      <w:numFmt w:val="lowerRoman"/>
      <w:lvlText w:val="%6."/>
      <w:lvlJc w:val="right"/>
      <w:pPr>
        <w:ind w:left="4506" w:hanging="180"/>
      </w:pPr>
    </w:lvl>
    <w:lvl w:ilvl="6" w:tplc="0419000F" w:tentative="1">
      <w:start w:val="1"/>
      <w:numFmt w:val="decimal"/>
      <w:lvlText w:val="%7."/>
      <w:lvlJc w:val="left"/>
      <w:pPr>
        <w:ind w:left="5226" w:hanging="360"/>
      </w:pPr>
    </w:lvl>
    <w:lvl w:ilvl="7" w:tplc="04190019" w:tentative="1">
      <w:start w:val="1"/>
      <w:numFmt w:val="lowerLetter"/>
      <w:lvlText w:val="%8."/>
      <w:lvlJc w:val="left"/>
      <w:pPr>
        <w:ind w:left="5946" w:hanging="360"/>
      </w:pPr>
    </w:lvl>
    <w:lvl w:ilvl="8" w:tplc="0419001B" w:tentative="1">
      <w:start w:val="1"/>
      <w:numFmt w:val="lowerRoman"/>
      <w:lvlText w:val="%9."/>
      <w:lvlJc w:val="right"/>
      <w:pPr>
        <w:ind w:left="6666" w:hanging="180"/>
      </w:pPr>
    </w:lvl>
  </w:abstractNum>
  <w:abstractNum w:abstractNumId="33" w15:restartNumberingAfterBreak="0">
    <w:nsid w:val="05262881"/>
    <w:multiLevelType w:val="hybridMultilevel"/>
    <w:tmpl w:val="45AE80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06D66EC9"/>
    <w:multiLevelType w:val="multilevel"/>
    <w:tmpl w:val="ECA03D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07225B6A"/>
    <w:multiLevelType w:val="hybridMultilevel"/>
    <w:tmpl w:val="110068D2"/>
    <w:lvl w:ilvl="0" w:tplc="0422000F">
      <w:start w:val="1"/>
      <w:numFmt w:val="decimal"/>
      <w:lvlText w:val="%1."/>
      <w:lvlJc w:val="left"/>
      <w:pPr>
        <w:ind w:left="360" w:hanging="360"/>
      </w:pPr>
      <w:rPr>
        <w:rFonts w:hint="default"/>
      </w:r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36" w15:restartNumberingAfterBreak="0">
    <w:nsid w:val="08C46DCF"/>
    <w:multiLevelType w:val="hybridMultilevel"/>
    <w:tmpl w:val="C39A7A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09ED0435"/>
    <w:multiLevelType w:val="hybridMultilevel"/>
    <w:tmpl w:val="15526FC8"/>
    <w:lvl w:ilvl="0" w:tplc="0419000F">
      <w:start w:val="1"/>
      <w:numFmt w:val="decimal"/>
      <w:lvlText w:val="%1."/>
      <w:lvlJc w:val="left"/>
      <w:pPr>
        <w:ind w:left="765" w:hanging="360"/>
      </w:pPr>
    </w:lvl>
    <w:lvl w:ilvl="1" w:tplc="04190019" w:tentative="1">
      <w:start w:val="1"/>
      <w:numFmt w:val="lowerLetter"/>
      <w:lvlText w:val="%2."/>
      <w:lvlJc w:val="left"/>
      <w:pPr>
        <w:ind w:left="1485" w:hanging="360"/>
      </w:pPr>
    </w:lvl>
    <w:lvl w:ilvl="2" w:tplc="0419001B" w:tentative="1">
      <w:start w:val="1"/>
      <w:numFmt w:val="lowerRoman"/>
      <w:lvlText w:val="%3."/>
      <w:lvlJc w:val="right"/>
      <w:pPr>
        <w:ind w:left="2205" w:hanging="180"/>
      </w:pPr>
    </w:lvl>
    <w:lvl w:ilvl="3" w:tplc="0419000F" w:tentative="1">
      <w:start w:val="1"/>
      <w:numFmt w:val="decimal"/>
      <w:lvlText w:val="%4."/>
      <w:lvlJc w:val="left"/>
      <w:pPr>
        <w:ind w:left="2925" w:hanging="360"/>
      </w:pPr>
    </w:lvl>
    <w:lvl w:ilvl="4" w:tplc="04190019" w:tentative="1">
      <w:start w:val="1"/>
      <w:numFmt w:val="lowerLetter"/>
      <w:lvlText w:val="%5."/>
      <w:lvlJc w:val="left"/>
      <w:pPr>
        <w:ind w:left="3645" w:hanging="360"/>
      </w:pPr>
    </w:lvl>
    <w:lvl w:ilvl="5" w:tplc="0419001B" w:tentative="1">
      <w:start w:val="1"/>
      <w:numFmt w:val="lowerRoman"/>
      <w:lvlText w:val="%6."/>
      <w:lvlJc w:val="right"/>
      <w:pPr>
        <w:ind w:left="4365" w:hanging="180"/>
      </w:pPr>
    </w:lvl>
    <w:lvl w:ilvl="6" w:tplc="0419000F" w:tentative="1">
      <w:start w:val="1"/>
      <w:numFmt w:val="decimal"/>
      <w:lvlText w:val="%7."/>
      <w:lvlJc w:val="left"/>
      <w:pPr>
        <w:ind w:left="5085" w:hanging="360"/>
      </w:pPr>
    </w:lvl>
    <w:lvl w:ilvl="7" w:tplc="04190019" w:tentative="1">
      <w:start w:val="1"/>
      <w:numFmt w:val="lowerLetter"/>
      <w:lvlText w:val="%8."/>
      <w:lvlJc w:val="left"/>
      <w:pPr>
        <w:ind w:left="5805" w:hanging="360"/>
      </w:pPr>
    </w:lvl>
    <w:lvl w:ilvl="8" w:tplc="0419001B" w:tentative="1">
      <w:start w:val="1"/>
      <w:numFmt w:val="lowerRoman"/>
      <w:lvlText w:val="%9."/>
      <w:lvlJc w:val="right"/>
      <w:pPr>
        <w:ind w:left="6525" w:hanging="180"/>
      </w:pPr>
    </w:lvl>
  </w:abstractNum>
  <w:abstractNum w:abstractNumId="38" w15:restartNumberingAfterBreak="0">
    <w:nsid w:val="0AC13A58"/>
    <w:multiLevelType w:val="hybridMultilevel"/>
    <w:tmpl w:val="15A4B76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9" w15:restartNumberingAfterBreak="0">
    <w:nsid w:val="0B2B16BA"/>
    <w:multiLevelType w:val="hybridMultilevel"/>
    <w:tmpl w:val="444C8B4A"/>
    <w:lvl w:ilvl="0" w:tplc="0419000F">
      <w:start w:val="1"/>
      <w:numFmt w:val="decimal"/>
      <w:lvlText w:val="%1."/>
      <w:lvlJc w:val="left"/>
      <w:pPr>
        <w:ind w:left="765" w:hanging="360"/>
      </w:pPr>
    </w:lvl>
    <w:lvl w:ilvl="1" w:tplc="04190019" w:tentative="1">
      <w:start w:val="1"/>
      <w:numFmt w:val="lowerLetter"/>
      <w:lvlText w:val="%2."/>
      <w:lvlJc w:val="left"/>
      <w:pPr>
        <w:ind w:left="1485" w:hanging="360"/>
      </w:pPr>
    </w:lvl>
    <w:lvl w:ilvl="2" w:tplc="0419001B" w:tentative="1">
      <w:start w:val="1"/>
      <w:numFmt w:val="lowerRoman"/>
      <w:lvlText w:val="%3."/>
      <w:lvlJc w:val="right"/>
      <w:pPr>
        <w:ind w:left="2205" w:hanging="180"/>
      </w:pPr>
    </w:lvl>
    <w:lvl w:ilvl="3" w:tplc="0419000F" w:tentative="1">
      <w:start w:val="1"/>
      <w:numFmt w:val="decimal"/>
      <w:lvlText w:val="%4."/>
      <w:lvlJc w:val="left"/>
      <w:pPr>
        <w:ind w:left="2925" w:hanging="360"/>
      </w:pPr>
    </w:lvl>
    <w:lvl w:ilvl="4" w:tplc="04190019" w:tentative="1">
      <w:start w:val="1"/>
      <w:numFmt w:val="lowerLetter"/>
      <w:lvlText w:val="%5."/>
      <w:lvlJc w:val="left"/>
      <w:pPr>
        <w:ind w:left="3645" w:hanging="360"/>
      </w:pPr>
    </w:lvl>
    <w:lvl w:ilvl="5" w:tplc="0419001B" w:tentative="1">
      <w:start w:val="1"/>
      <w:numFmt w:val="lowerRoman"/>
      <w:lvlText w:val="%6."/>
      <w:lvlJc w:val="right"/>
      <w:pPr>
        <w:ind w:left="4365" w:hanging="180"/>
      </w:pPr>
    </w:lvl>
    <w:lvl w:ilvl="6" w:tplc="0419000F" w:tentative="1">
      <w:start w:val="1"/>
      <w:numFmt w:val="decimal"/>
      <w:lvlText w:val="%7."/>
      <w:lvlJc w:val="left"/>
      <w:pPr>
        <w:ind w:left="5085" w:hanging="360"/>
      </w:pPr>
    </w:lvl>
    <w:lvl w:ilvl="7" w:tplc="04190019" w:tentative="1">
      <w:start w:val="1"/>
      <w:numFmt w:val="lowerLetter"/>
      <w:lvlText w:val="%8."/>
      <w:lvlJc w:val="left"/>
      <w:pPr>
        <w:ind w:left="5805" w:hanging="360"/>
      </w:pPr>
    </w:lvl>
    <w:lvl w:ilvl="8" w:tplc="0419001B" w:tentative="1">
      <w:start w:val="1"/>
      <w:numFmt w:val="lowerRoman"/>
      <w:lvlText w:val="%9."/>
      <w:lvlJc w:val="right"/>
      <w:pPr>
        <w:ind w:left="6525" w:hanging="180"/>
      </w:pPr>
    </w:lvl>
  </w:abstractNum>
  <w:abstractNum w:abstractNumId="40" w15:restartNumberingAfterBreak="0">
    <w:nsid w:val="0B461F5D"/>
    <w:multiLevelType w:val="hybridMultilevel"/>
    <w:tmpl w:val="99BEAB9C"/>
    <w:lvl w:ilvl="0" w:tplc="0DF260B0">
      <w:start w:val="1"/>
      <w:numFmt w:val="decimal"/>
      <w:lvlText w:val="%1."/>
      <w:lvlJc w:val="left"/>
      <w:pPr>
        <w:ind w:left="720" w:hanging="360"/>
      </w:pPr>
      <w:rPr>
        <w:rFonts w:ascii="Arial" w:eastAsia="Times New Roman" w:hAnsi="Arial" w:cs="Arial"/>
        <w:color w:val="000000"/>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1" w15:restartNumberingAfterBreak="0">
    <w:nsid w:val="0BBD72C9"/>
    <w:multiLevelType w:val="multilevel"/>
    <w:tmpl w:val="AD08AE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0C7101F7"/>
    <w:multiLevelType w:val="multilevel"/>
    <w:tmpl w:val="3F506A7C"/>
    <w:lvl w:ilvl="0">
      <w:start w:val="1"/>
      <w:numFmt w:val="decimal"/>
      <w:lvlText w:val="%1."/>
      <w:lvlJc w:val="left"/>
      <w:pPr>
        <w:tabs>
          <w:tab w:val="num" w:pos="644"/>
        </w:tabs>
        <w:ind w:left="644" w:hanging="360"/>
      </w:pPr>
    </w:lvl>
    <w:lvl w:ilvl="1" w:tentative="1">
      <w:start w:val="1"/>
      <w:numFmt w:val="decimal"/>
      <w:lvlText w:val="%2."/>
      <w:lvlJc w:val="left"/>
      <w:pPr>
        <w:tabs>
          <w:tab w:val="num" w:pos="1364"/>
        </w:tabs>
        <w:ind w:left="1364" w:hanging="360"/>
      </w:pPr>
    </w:lvl>
    <w:lvl w:ilvl="2" w:tentative="1">
      <w:start w:val="1"/>
      <w:numFmt w:val="decimal"/>
      <w:lvlText w:val="%3."/>
      <w:lvlJc w:val="left"/>
      <w:pPr>
        <w:tabs>
          <w:tab w:val="num" w:pos="2084"/>
        </w:tabs>
        <w:ind w:left="2084" w:hanging="360"/>
      </w:pPr>
    </w:lvl>
    <w:lvl w:ilvl="3" w:tentative="1">
      <w:start w:val="1"/>
      <w:numFmt w:val="decimal"/>
      <w:lvlText w:val="%4."/>
      <w:lvlJc w:val="left"/>
      <w:pPr>
        <w:tabs>
          <w:tab w:val="num" w:pos="2804"/>
        </w:tabs>
        <w:ind w:left="2804" w:hanging="360"/>
      </w:pPr>
    </w:lvl>
    <w:lvl w:ilvl="4" w:tentative="1">
      <w:start w:val="1"/>
      <w:numFmt w:val="decimal"/>
      <w:lvlText w:val="%5."/>
      <w:lvlJc w:val="left"/>
      <w:pPr>
        <w:tabs>
          <w:tab w:val="num" w:pos="3524"/>
        </w:tabs>
        <w:ind w:left="3524" w:hanging="360"/>
      </w:pPr>
    </w:lvl>
    <w:lvl w:ilvl="5" w:tentative="1">
      <w:start w:val="1"/>
      <w:numFmt w:val="decimal"/>
      <w:lvlText w:val="%6."/>
      <w:lvlJc w:val="left"/>
      <w:pPr>
        <w:tabs>
          <w:tab w:val="num" w:pos="4244"/>
        </w:tabs>
        <w:ind w:left="4244" w:hanging="360"/>
      </w:pPr>
    </w:lvl>
    <w:lvl w:ilvl="6" w:tentative="1">
      <w:start w:val="1"/>
      <w:numFmt w:val="decimal"/>
      <w:lvlText w:val="%7."/>
      <w:lvlJc w:val="left"/>
      <w:pPr>
        <w:tabs>
          <w:tab w:val="num" w:pos="4964"/>
        </w:tabs>
        <w:ind w:left="4964" w:hanging="360"/>
      </w:pPr>
    </w:lvl>
    <w:lvl w:ilvl="7" w:tentative="1">
      <w:start w:val="1"/>
      <w:numFmt w:val="decimal"/>
      <w:lvlText w:val="%8."/>
      <w:lvlJc w:val="left"/>
      <w:pPr>
        <w:tabs>
          <w:tab w:val="num" w:pos="5684"/>
        </w:tabs>
        <w:ind w:left="5684" w:hanging="360"/>
      </w:pPr>
    </w:lvl>
    <w:lvl w:ilvl="8" w:tentative="1">
      <w:start w:val="1"/>
      <w:numFmt w:val="decimal"/>
      <w:lvlText w:val="%9."/>
      <w:lvlJc w:val="left"/>
      <w:pPr>
        <w:tabs>
          <w:tab w:val="num" w:pos="6404"/>
        </w:tabs>
        <w:ind w:left="6404" w:hanging="360"/>
      </w:pPr>
    </w:lvl>
  </w:abstractNum>
  <w:abstractNum w:abstractNumId="43" w15:restartNumberingAfterBreak="0">
    <w:nsid w:val="0CD32B7A"/>
    <w:multiLevelType w:val="hybridMultilevel"/>
    <w:tmpl w:val="25883C7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0DD95EAD"/>
    <w:multiLevelType w:val="multilevel"/>
    <w:tmpl w:val="868ABF0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0E1853A2"/>
    <w:multiLevelType w:val="hybridMultilevel"/>
    <w:tmpl w:val="624EA02C"/>
    <w:lvl w:ilvl="0" w:tplc="0419000F">
      <w:start w:val="1"/>
      <w:numFmt w:val="decimal"/>
      <w:lvlText w:val="%1."/>
      <w:lvlJc w:val="left"/>
      <w:pPr>
        <w:ind w:left="906" w:hanging="360"/>
      </w:pPr>
    </w:lvl>
    <w:lvl w:ilvl="1" w:tplc="04190019" w:tentative="1">
      <w:start w:val="1"/>
      <w:numFmt w:val="lowerLetter"/>
      <w:lvlText w:val="%2."/>
      <w:lvlJc w:val="left"/>
      <w:pPr>
        <w:ind w:left="1626" w:hanging="360"/>
      </w:pPr>
    </w:lvl>
    <w:lvl w:ilvl="2" w:tplc="0419001B" w:tentative="1">
      <w:start w:val="1"/>
      <w:numFmt w:val="lowerRoman"/>
      <w:lvlText w:val="%3."/>
      <w:lvlJc w:val="right"/>
      <w:pPr>
        <w:ind w:left="2346" w:hanging="180"/>
      </w:pPr>
    </w:lvl>
    <w:lvl w:ilvl="3" w:tplc="0419000F" w:tentative="1">
      <w:start w:val="1"/>
      <w:numFmt w:val="decimal"/>
      <w:lvlText w:val="%4."/>
      <w:lvlJc w:val="left"/>
      <w:pPr>
        <w:ind w:left="3066" w:hanging="360"/>
      </w:pPr>
    </w:lvl>
    <w:lvl w:ilvl="4" w:tplc="04190019" w:tentative="1">
      <w:start w:val="1"/>
      <w:numFmt w:val="lowerLetter"/>
      <w:lvlText w:val="%5."/>
      <w:lvlJc w:val="left"/>
      <w:pPr>
        <w:ind w:left="3786" w:hanging="360"/>
      </w:pPr>
    </w:lvl>
    <w:lvl w:ilvl="5" w:tplc="0419001B" w:tentative="1">
      <w:start w:val="1"/>
      <w:numFmt w:val="lowerRoman"/>
      <w:lvlText w:val="%6."/>
      <w:lvlJc w:val="right"/>
      <w:pPr>
        <w:ind w:left="4506" w:hanging="180"/>
      </w:pPr>
    </w:lvl>
    <w:lvl w:ilvl="6" w:tplc="0419000F" w:tentative="1">
      <w:start w:val="1"/>
      <w:numFmt w:val="decimal"/>
      <w:lvlText w:val="%7."/>
      <w:lvlJc w:val="left"/>
      <w:pPr>
        <w:ind w:left="5226" w:hanging="360"/>
      </w:pPr>
    </w:lvl>
    <w:lvl w:ilvl="7" w:tplc="04190019" w:tentative="1">
      <w:start w:val="1"/>
      <w:numFmt w:val="lowerLetter"/>
      <w:lvlText w:val="%8."/>
      <w:lvlJc w:val="left"/>
      <w:pPr>
        <w:ind w:left="5946" w:hanging="360"/>
      </w:pPr>
    </w:lvl>
    <w:lvl w:ilvl="8" w:tplc="0419001B" w:tentative="1">
      <w:start w:val="1"/>
      <w:numFmt w:val="lowerRoman"/>
      <w:lvlText w:val="%9."/>
      <w:lvlJc w:val="right"/>
      <w:pPr>
        <w:ind w:left="6666" w:hanging="180"/>
      </w:pPr>
    </w:lvl>
  </w:abstractNum>
  <w:abstractNum w:abstractNumId="46" w15:restartNumberingAfterBreak="0">
    <w:nsid w:val="0E8F3CC8"/>
    <w:multiLevelType w:val="hybridMultilevel"/>
    <w:tmpl w:val="5D8C270A"/>
    <w:lvl w:ilvl="0" w:tplc="5840FB18">
      <w:start w:val="1"/>
      <w:numFmt w:val="decimal"/>
      <w:lvlText w:val="%1."/>
      <w:lvlJc w:val="left"/>
      <w:pPr>
        <w:ind w:left="525" w:hanging="360"/>
      </w:pPr>
      <w:rPr>
        <w:rFonts w:hint="default"/>
      </w:rPr>
    </w:lvl>
    <w:lvl w:ilvl="1" w:tplc="04220019" w:tentative="1">
      <w:start w:val="1"/>
      <w:numFmt w:val="lowerLetter"/>
      <w:lvlText w:val="%2."/>
      <w:lvlJc w:val="left"/>
      <w:pPr>
        <w:ind w:left="1245" w:hanging="360"/>
      </w:pPr>
    </w:lvl>
    <w:lvl w:ilvl="2" w:tplc="0422001B" w:tentative="1">
      <w:start w:val="1"/>
      <w:numFmt w:val="lowerRoman"/>
      <w:lvlText w:val="%3."/>
      <w:lvlJc w:val="right"/>
      <w:pPr>
        <w:ind w:left="1965" w:hanging="180"/>
      </w:pPr>
    </w:lvl>
    <w:lvl w:ilvl="3" w:tplc="0422000F" w:tentative="1">
      <w:start w:val="1"/>
      <w:numFmt w:val="decimal"/>
      <w:lvlText w:val="%4."/>
      <w:lvlJc w:val="left"/>
      <w:pPr>
        <w:ind w:left="2685" w:hanging="360"/>
      </w:pPr>
    </w:lvl>
    <w:lvl w:ilvl="4" w:tplc="04220019" w:tentative="1">
      <w:start w:val="1"/>
      <w:numFmt w:val="lowerLetter"/>
      <w:lvlText w:val="%5."/>
      <w:lvlJc w:val="left"/>
      <w:pPr>
        <w:ind w:left="3405" w:hanging="360"/>
      </w:pPr>
    </w:lvl>
    <w:lvl w:ilvl="5" w:tplc="0422001B" w:tentative="1">
      <w:start w:val="1"/>
      <w:numFmt w:val="lowerRoman"/>
      <w:lvlText w:val="%6."/>
      <w:lvlJc w:val="right"/>
      <w:pPr>
        <w:ind w:left="4125" w:hanging="180"/>
      </w:pPr>
    </w:lvl>
    <w:lvl w:ilvl="6" w:tplc="0422000F" w:tentative="1">
      <w:start w:val="1"/>
      <w:numFmt w:val="decimal"/>
      <w:lvlText w:val="%7."/>
      <w:lvlJc w:val="left"/>
      <w:pPr>
        <w:ind w:left="4845" w:hanging="360"/>
      </w:pPr>
    </w:lvl>
    <w:lvl w:ilvl="7" w:tplc="04220019" w:tentative="1">
      <w:start w:val="1"/>
      <w:numFmt w:val="lowerLetter"/>
      <w:lvlText w:val="%8."/>
      <w:lvlJc w:val="left"/>
      <w:pPr>
        <w:ind w:left="5565" w:hanging="360"/>
      </w:pPr>
    </w:lvl>
    <w:lvl w:ilvl="8" w:tplc="0422001B" w:tentative="1">
      <w:start w:val="1"/>
      <w:numFmt w:val="lowerRoman"/>
      <w:lvlText w:val="%9."/>
      <w:lvlJc w:val="right"/>
      <w:pPr>
        <w:ind w:left="6285" w:hanging="180"/>
      </w:pPr>
    </w:lvl>
  </w:abstractNum>
  <w:abstractNum w:abstractNumId="47" w15:restartNumberingAfterBreak="0">
    <w:nsid w:val="0F927FC1"/>
    <w:multiLevelType w:val="hybridMultilevel"/>
    <w:tmpl w:val="BC72D4DA"/>
    <w:lvl w:ilvl="0" w:tplc="0419000F">
      <w:start w:val="1"/>
      <w:numFmt w:val="decimal"/>
      <w:lvlText w:val="%1."/>
      <w:lvlJc w:val="left"/>
      <w:pPr>
        <w:ind w:left="1778"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1094436B"/>
    <w:multiLevelType w:val="hybridMultilevel"/>
    <w:tmpl w:val="436E623E"/>
    <w:lvl w:ilvl="0" w:tplc="0419000F">
      <w:start w:val="1"/>
      <w:numFmt w:val="decimal"/>
      <w:lvlText w:val="%1."/>
      <w:lvlJc w:val="left"/>
      <w:pPr>
        <w:ind w:left="765" w:hanging="360"/>
      </w:pPr>
    </w:lvl>
    <w:lvl w:ilvl="1" w:tplc="04190019" w:tentative="1">
      <w:start w:val="1"/>
      <w:numFmt w:val="lowerLetter"/>
      <w:lvlText w:val="%2."/>
      <w:lvlJc w:val="left"/>
      <w:pPr>
        <w:ind w:left="1485" w:hanging="360"/>
      </w:pPr>
    </w:lvl>
    <w:lvl w:ilvl="2" w:tplc="0419001B" w:tentative="1">
      <w:start w:val="1"/>
      <w:numFmt w:val="lowerRoman"/>
      <w:lvlText w:val="%3."/>
      <w:lvlJc w:val="right"/>
      <w:pPr>
        <w:ind w:left="2205" w:hanging="180"/>
      </w:pPr>
    </w:lvl>
    <w:lvl w:ilvl="3" w:tplc="0419000F" w:tentative="1">
      <w:start w:val="1"/>
      <w:numFmt w:val="decimal"/>
      <w:lvlText w:val="%4."/>
      <w:lvlJc w:val="left"/>
      <w:pPr>
        <w:ind w:left="2925" w:hanging="360"/>
      </w:pPr>
    </w:lvl>
    <w:lvl w:ilvl="4" w:tplc="04190019" w:tentative="1">
      <w:start w:val="1"/>
      <w:numFmt w:val="lowerLetter"/>
      <w:lvlText w:val="%5."/>
      <w:lvlJc w:val="left"/>
      <w:pPr>
        <w:ind w:left="3645" w:hanging="360"/>
      </w:pPr>
    </w:lvl>
    <w:lvl w:ilvl="5" w:tplc="0419001B" w:tentative="1">
      <w:start w:val="1"/>
      <w:numFmt w:val="lowerRoman"/>
      <w:lvlText w:val="%6."/>
      <w:lvlJc w:val="right"/>
      <w:pPr>
        <w:ind w:left="4365" w:hanging="180"/>
      </w:pPr>
    </w:lvl>
    <w:lvl w:ilvl="6" w:tplc="0419000F" w:tentative="1">
      <w:start w:val="1"/>
      <w:numFmt w:val="decimal"/>
      <w:lvlText w:val="%7."/>
      <w:lvlJc w:val="left"/>
      <w:pPr>
        <w:ind w:left="5085" w:hanging="360"/>
      </w:pPr>
    </w:lvl>
    <w:lvl w:ilvl="7" w:tplc="04190019" w:tentative="1">
      <w:start w:val="1"/>
      <w:numFmt w:val="lowerLetter"/>
      <w:lvlText w:val="%8."/>
      <w:lvlJc w:val="left"/>
      <w:pPr>
        <w:ind w:left="5805" w:hanging="360"/>
      </w:pPr>
    </w:lvl>
    <w:lvl w:ilvl="8" w:tplc="0419001B" w:tentative="1">
      <w:start w:val="1"/>
      <w:numFmt w:val="lowerRoman"/>
      <w:lvlText w:val="%9."/>
      <w:lvlJc w:val="right"/>
      <w:pPr>
        <w:ind w:left="6525" w:hanging="180"/>
      </w:pPr>
    </w:lvl>
  </w:abstractNum>
  <w:abstractNum w:abstractNumId="49" w15:restartNumberingAfterBreak="0">
    <w:nsid w:val="11E376F4"/>
    <w:multiLevelType w:val="hybridMultilevel"/>
    <w:tmpl w:val="748A2BD8"/>
    <w:lvl w:ilvl="0" w:tplc="0419000F">
      <w:start w:val="1"/>
      <w:numFmt w:val="decimal"/>
      <w:lvlText w:val="%1."/>
      <w:lvlJc w:val="left"/>
      <w:pPr>
        <w:ind w:left="765" w:hanging="360"/>
      </w:pPr>
    </w:lvl>
    <w:lvl w:ilvl="1" w:tplc="04190019" w:tentative="1">
      <w:start w:val="1"/>
      <w:numFmt w:val="lowerLetter"/>
      <w:lvlText w:val="%2."/>
      <w:lvlJc w:val="left"/>
      <w:pPr>
        <w:ind w:left="1485" w:hanging="360"/>
      </w:pPr>
    </w:lvl>
    <w:lvl w:ilvl="2" w:tplc="0419001B" w:tentative="1">
      <w:start w:val="1"/>
      <w:numFmt w:val="lowerRoman"/>
      <w:lvlText w:val="%3."/>
      <w:lvlJc w:val="right"/>
      <w:pPr>
        <w:ind w:left="2205" w:hanging="180"/>
      </w:pPr>
    </w:lvl>
    <w:lvl w:ilvl="3" w:tplc="0419000F" w:tentative="1">
      <w:start w:val="1"/>
      <w:numFmt w:val="decimal"/>
      <w:lvlText w:val="%4."/>
      <w:lvlJc w:val="left"/>
      <w:pPr>
        <w:ind w:left="2925" w:hanging="360"/>
      </w:pPr>
    </w:lvl>
    <w:lvl w:ilvl="4" w:tplc="04190019" w:tentative="1">
      <w:start w:val="1"/>
      <w:numFmt w:val="lowerLetter"/>
      <w:lvlText w:val="%5."/>
      <w:lvlJc w:val="left"/>
      <w:pPr>
        <w:ind w:left="3645" w:hanging="360"/>
      </w:pPr>
    </w:lvl>
    <w:lvl w:ilvl="5" w:tplc="0419001B" w:tentative="1">
      <w:start w:val="1"/>
      <w:numFmt w:val="lowerRoman"/>
      <w:lvlText w:val="%6."/>
      <w:lvlJc w:val="right"/>
      <w:pPr>
        <w:ind w:left="4365" w:hanging="180"/>
      </w:pPr>
    </w:lvl>
    <w:lvl w:ilvl="6" w:tplc="0419000F" w:tentative="1">
      <w:start w:val="1"/>
      <w:numFmt w:val="decimal"/>
      <w:lvlText w:val="%7."/>
      <w:lvlJc w:val="left"/>
      <w:pPr>
        <w:ind w:left="5085" w:hanging="360"/>
      </w:pPr>
    </w:lvl>
    <w:lvl w:ilvl="7" w:tplc="04190019" w:tentative="1">
      <w:start w:val="1"/>
      <w:numFmt w:val="lowerLetter"/>
      <w:lvlText w:val="%8."/>
      <w:lvlJc w:val="left"/>
      <w:pPr>
        <w:ind w:left="5805" w:hanging="360"/>
      </w:pPr>
    </w:lvl>
    <w:lvl w:ilvl="8" w:tplc="0419001B" w:tentative="1">
      <w:start w:val="1"/>
      <w:numFmt w:val="lowerRoman"/>
      <w:lvlText w:val="%9."/>
      <w:lvlJc w:val="right"/>
      <w:pPr>
        <w:ind w:left="6525" w:hanging="180"/>
      </w:pPr>
    </w:lvl>
  </w:abstractNum>
  <w:abstractNum w:abstractNumId="50" w15:restartNumberingAfterBreak="0">
    <w:nsid w:val="120874B7"/>
    <w:multiLevelType w:val="hybridMultilevel"/>
    <w:tmpl w:val="D73CB824"/>
    <w:lvl w:ilvl="0" w:tplc="0419000F">
      <w:start w:val="1"/>
      <w:numFmt w:val="decimal"/>
      <w:lvlText w:val="%1."/>
      <w:lvlJc w:val="left"/>
      <w:pPr>
        <w:ind w:left="906" w:hanging="360"/>
      </w:pPr>
    </w:lvl>
    <w:lvl w:ilvl="1" w:tplc="04190019" w:tentative="1">
      <w:start w:val="1"/>
      <w:numFmt w:val="lowerLetter"/>
      <w:lvlText w:val="%2."/>
      <w:lvlJc w:val="left"/>
      <w:pPr>
        <w:ind w:left="1626" w:hanging="360"/>
      </w:pPr>
    </w:lvl>
    <w:lvl w:ilvl="2" w:tplc="0419001B" w:tentative="1">
      <w:start w:val="1"/>
      <w:numFmt w:val="lowerRoman"/>
      <w:lvlText w:val="%3."/>
      <w:lvlJc w:val="right"/>
      <w:pPr>
        <w:ind w:left="2346" w:hanging="180"/>
      </w:pPr>
    </w:lvl>
    <w:lvl w:ilvl="3" w:tplc="0419000F" w:tentative="1">
      <w:start w:val="1"/>
      <w:numFmt w:val="decimal"/>
      <w:lvlText w:val="%4."/>
      <w:lvlJc w:val="left"/>
      <w:pPr>
        <w:ind w:left="3066" w:hanging="360"/>
      </w:pPr>
    </w:lvl>
    <w:lvl w:ilvl="4" w:tplc="04190019" w:tentative="1">
      <w:start w:val="1"/>
      <w:numFmt w:val="lowerLetter"/>
      <w:lvlText w:val="%5."/>
      <w:lvlJc w:val="left"/>
      <w:pPr>
        <w:ind w:left="3786" w:hanging="360"/>
      </w:pPr>
    </w:lvl>
    <w:lvl w:ilvl="5" w:tplc="0419001B" w:tentative="1">
      <w:start w:val="1"/>
      <w:numFmt w:val="lowerRoman"/>
      <w:lvlText w:val="%6."/>
      <w:lvlJc w:val="right"/>
      <w:pPr>
        <w:ind w:left="4506" w:hanging="180"/>
      </w:pPr>
    </w:lvl>
    <w:lvl w:ilvl="6" w:tplc="0419000F" w:tentative="1">
      <w:start w:val="1"/>
      <w:numFmt w:val="decimal"/>
      <w:lvlText w:val="%7."/>
      <w:lvlJc w:val="left"/>
      <w:pPr>
        <w:ind w:left="5226" w:hanging="360"/>
      </w:pPr>
    </w:lvl>
    <w:lvl w:ilvl="7" w:tplc="04190019" w:tentative="1">
      <w:start w:val="1"/>
      <w:numFmt w:val="lowerLetter"/>
      <w:lvlText w:val="%8."/>
      <w:lvlJc w:val="left"/>
      <w:pPr>
        <w:ind w:left="5946" w:hanging="360"/>
      </w:pPr>
    </w:lvl>
    <w:lvl w:ilvl="8" w:tplc="0419001B" w:tentative="1">
      <w:start w:val="1"/>
      <w:numFmt w:val="lowerRoman"/>
      <w:lvlText w:val="%9."/>
      <w:lvlJc w:val="right"/>
      <w:pPr>
        <w:ind w:left="6666" w:hanging="180"/>
      </w:pPr>
    </w:lvl>
  </w:abstractNum>
  <w:abstractNum w:abstractNumId="51" w15:restartNumberingAfterBreak="0">
    <w:nsid w:val="129769C5"/>
    <w:multiLevelType w:val="hybridMultilevel"/>
    <w:tmpl w:val="04D4BCF0"/>
    <w:lvl w:ilvl="0" w:tplc="0419000F">
      <w:start w:val="1"/>
      <w:numFmt w:val="decimal"/>
      <w:lvlText w:val="%1."/>
      <w:lvlJc w:val="left"/>
      <w:pPr>
        <w:ind w:left="906" w:hanging="360"/>
      </w:pPr>
    </w:lvl>
    <w:lvl w:ilvl="1" w:tplc="04190019" w:tentative="1">
      <w:start w:val="1"/>
      <w:numFmt w:val="lowerLetter"/>
      <w:lvlText w:val="%2."/>
      <w:lvlJc w:val="left"/>
      <w:pPr>
        <w:ind w:left="1626" w:hanging="360"/>
      </w:pPr>
    </w:lvl>
    <w:lvl w:ilvl="2" w:tplc="0419001B" w:tentative="1">
      <w:start w:val="1"/>
      <w:numFmt w:val="lowerRoman"/>
      <w:lvlText w:val="%3."/>
      <w:lvlJc w:val="right"/>
      <w:pPr>
        <w:ind w:left="2346" w:hanging="180"/>
      </w:pPr>
    </w:lvl>
    <w:lvl w:ilvl="3" w:tplc="0419000F" w:tentative="1">
      <w:start w:val="1"/>
      <w:numFmt w:val="decimal"/>
      <w:lvlText w:val="%4."/>
      <w:lvlJc w:val="left"/>
      <w:pPr>
        <w:ind w:left="3066" w:hanging="360"/>
      </w:pPr>
    </w:lvl>
    <w:lvl w:ilvl="4" w:tplc="04190019" w:tentative="1">
      <w:start w:val="1"/>
      <w:numFmt w:val="lowerLetter"/>
      <w:lvlText w:val="%5."/>
      <w:lvlJc w:val="left"/>
      <w:pPr>
        <w:ind w:left="3786" w:hanging="360"/>
      </w:pPr>
    </w:lvl>
    <w:lvl w:ilvl="5" w:tplc="0419001B" w:tentative="1">
      <w:start w:val="1"/>
      <w:numFmt w:val="lowerRoman"/>
      <w:lvlText w:val="%6."/>
      <w:lvlJc w:val="right"/>
      <w:pPr>
        <w:ind w:left="4506" w:hanging="180"/>
      </w:pPr>
    </w:lvl>
    <w:lvl w:ilvl="6" w:tplc="0419000F" w:tentative="1">
      <w:start w:val="1"/>
      <w:numFmt w:val="decimal"/>
      <w:lvlText w:val="%7."/>
      <w:lvlJc w:val="left"/>
      <w:pPr>
        <w:ind w:left="5226" w:hanging="360"/>
      </w:pPr>
    </w:lvl>
    <w:lvl w:ilvl="7" w:tplc="04190019" w:tentative="1">
      <w:start w:val="1"/>
      <w:numFmt w:val="lowerLetter"/>
      <w:lvlText w:val="%8."/>
      <w:lvlJc w:val="left"/>
      <w:pPr>
        <w:ind w:left="5946" w:hanging="360"/>
      </w:pPr>
    </w:lvl>
    <w:lvl w:ilvl="8" w:tplc="0419001B" w:tentative="1">
      <w:start w:val="1"/>
      <w:numFmt w:val="lowerRoman"/>
      <w:lvlText w:val="%9."/>
      <w:lvlJc w:val="right"/>
      <w:pPr>
        <w:ind w:left="6666" w:hanging="180"/>
      </w:pPr>
    </w:lvl>
  </w:abstractNum>
  <w:abstractNum w:abstractNumId="52" w15:restartNumberingAfterBreak="0">
    <w:nsid w:val="137C3D3B"/>
    <w:multiLevelType w:val="hybridMultilevel"/>
    <w:tmpl w:val="9C7823C2"/>
    <w:lvl w:ilvl="0" w:tplc="0419000F">
      <w:start w:val="1"/>
      <w:numFmt w:val="decimal"/>
      <w:lvlText w:val="%1."/>
      <w:lvlJc w:val="left"/>
      <w:pPr>
        <w:ind w:left="19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1483245C"/>
    <w:multiLevelType w:val="hybridMultilevel"/>
    <w:tmpl w:val="4B6CD08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15656B29"/>
    <w:multiLevelType w:val="hybridMultilevel"/>
    <w:tmpl w:val="3334E26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16B71AE4"/>
    <w:multiLevelType w:val="hybridMultilevel"/>
    <w:tmpl w:val="8B92FF36"/>
    <w:lvl w:ilvl="0" w:tplc="0419000F">
      <w:start w:val="1"/>
      <w:numFmt w:val="decimal"/>
      <w:lvlText w:val="%1."/>
      <w:lvlJc w:val="left"/>
      <w:pPr>
        <w:ind w:left="906" w:hanging="360"/>
      </w:pPr>
    </w:lvl>
    <w:lvl w:ilvl="1" w:tplc="04190019" w:tentative="1">
      <w:start w:val="1"/>
      <w:numFmt w:val="lowerLetter"/>
      <w:lvlText w:val="%2."/>
      <w:lvlJc w:val="left"/>
      <w:pPr>
        <w:ind w:left="1626" w:hanging="360"/>
      </w:pPr>
    </w:lvl>
    <w:lvl w:ilvl="2" w:tplc="0419001B" w:tentative="1">
      <w:start w:val="1"/>
      <w:numFmt w:val="lowerRoman"/>
      <w:lvlText w:val="%3."/>
      <w:lvlJc w:val="right"/>
      <w:pPr>
        <w:ind w:left="2346" w:hanging="180"/>
      </w:pPr>
    </w:lvl>
    <w:lvl w:ilvl="3" w:tplc="0419000F" w:tentative="1">
      <w:start w:val="1"/>
      <w:numFmt w:val="decimal"/>
      <w:lvlText w:val="%4."/>
      <w:lvlJc w:val="left"/>
      <w:pPr>
        <w:ind w:left="3066" w:hanging="360"/>
      </w:pPr>
    </w:lvl>
    <w:lvl w:ilvl="4" w:tplc="04190019" w:tentative="1">
      <w:start w:val="1"/>
      <w:numFmt w:val="lowerLetter"/>
      <w:lvlText w:val="%5."/>
      <w:lvlJc w:val="left"/>
      <w:pPr>
        <w:ind w:left="3786" w:hanging="360"/>
      </w:pPr>
    </w:lvl>
    <w:lvl w:ilvl="5" w:tplc="0419001B" w:tentative="1">
      <w:start w:val="1"/>
      <w:numFmt w:val="lowerRoman"/>
      <w:lvlText w:val="%6."/>
      <w:lvlJc w:val="right"/>
      <w:pPr>
        <w:ind w:left="4506" w:hanging="180"/>
      </w:pPr>
    </w:lvl>
    <w:lvl w:ilvl="6" w:tplc="0419000F" w:tentative="1">
      <w:start w:val="1"/>
      <w:numFmt w:val="decimal"/>
      <w:lvlText w:val="%7."/>
      <w:lvlJc w:val="left"/>
      <w:pPr>
        <w:ind w:left="5226" w:hanging="360"/>
      </w:pPr>
    </w:lvl>
    <w:lvl w:ilvl="7" w:tplc="04190019" w:tentative="1">
      <w:start w:val="1"/>
      <w:numFmt w:val="lowerLetter"/>
      <w:lvlText w:val="%8."/>
      <w:lvlJc w:val="left"/>
      <w:pPr>
        <w:ind w:left="5946" w:hanging="360"/>
      </w:pPr>
    </w:lvl>
    <w:lvl w:ilvl="8" w:tplc="0419001B" w:tentative="1">
      <w:start w:val="1"/>
      <w:numFmt w:val="lowerRoman"/>
      <w:lvlText w:val="%9."/>
      <w:lvlJc w:val="right"/>
      <w:pPr>
        <w:ind w:left="6666" w:hanging="180"/>
      </w:pPr>
    </w:lvl>
  </w:abstractNum>
  <w:abstractNum w:abstractNumId="56" w15:restartNumberingAfterBreak="0">
    <w:nsid w:val="175D6F34"/>
    <w:multiLevelType w:val="hybridMultilevel"/>
    <w:tmpl w:val="ED80D574"/>
    <w:lvl w:ilvl="0" w:tplc="0419000F">
      <w:start w:val="1"/>
      <w:numFmt w:val="decimal"/>
      <w:lvlText w:val="%1."/>
      <w:lvlJc w:val="left"/>
      <w:pPr>
        <w:ind w:left="1069" w:hanging="360"/>
      </w:p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7" w15:restartNumberingAfterBreak="0">
    <w:nsid w:val="185C2DCA"/>
    <w:multiLevelType w:val="hybridMultilevel"/>
    <w:tmpl w:val="CBFAB0A8"/>
    <w:lvl w:ilvl="0" w:tplc="0419000F">
      <w:start w:val="1"/>
      <w:numFmt w:val="decimal"/>
      <w:lvlText w:val="%1."/>
      <w:lvlJc w:val="left"/>
      <w:pPr>
        <w:ind w:left="765" w:hanging="360"/>
      </w:pPr>
    </w:lvl>
    <w:lvl w:ilvl="1" w:tplc="04190019" w:tentative="1">
      <w:start w:val="1"/>
      <w:numFmt w:val="lowerLetter"/>
      <w:lvlText w:val="%2."/>
      <w:lvlJc w:val="left"/>
      <w:pPr>
        <w:ind w:left="1485" w:hanging="360"/>
      </w:pPr>
    </w:lvl>
    <w:lvl w:ilvl="2" w:tplc="0419001B" w:tentative="1">
      <w:start w:val="1"/>
      <w:numFmt w:val="lowerRoman"/>
      <w:lvlText w:val="%3."/>
      <w:lvlJc w:val="right"/>
      <w:pPr>
        <w:ind w:left="2205" w:hanging="180"/>
      </w:pPr>
    </w:lvl>
    <w:lvl w:ilvl="3" w:tplc="0419000F" w:tentative="1">
      <w:start w:val="1"/>
      <w:numFmt w:val="decimal"/>
      <w:lvlText w:val="%4."/>
      <w:lvlJc w:val="left"/>
      <w:pPr>
        <w:ind w:left="2925" w:hanging="360"/>
      </w:pPr>
    </w:lvl>
    <w:lvl w:ilvl="4" w:tplc="04190019" w:tentative="1">
      <w:start w:val="1"/>
      <w:numFmt w:val="lowerLetter"/>
      <w:lvlText w:val="%5."/>
      <w:lvlJc w:val="left"/>
      <w:pPr>
        <w:ind w:left="3645" w:hanging="360"/>
      </w:pPr>
    </w:lvl>
    <w:lvl w:ilvl="5" w:tplc="0419001B" w:tentative="1">
      <w:start w:val="1"/>
      <w:numFmt w:val="lowerRoman"/>
      <w:lvlText w:val="%6."/>
      <w:lvlJc w:val="right"/>
      <w:pPr>
        <w:ind w:left="4365" w:hanging="180"/>
      </w:pPr>
    </w:lvl>
    <w:lvl w:ilvl="6" w:tplc="0419000F" w:tentative="1">
      <w:start w:val="1"/>
      <w:numFmt w:val="decimal"/>
      <w:lvlText w:val="%7."/>
      <w:lvlJc w:val="left"/>
      <w:pPr>
        <w:ind w:left="5085" w:hanging="360"/>
      </w:pPr>
    </w:lvl>
    <w:lvl w:ilvl="7" w:tplc="04190019" w:tentative="1">
      <w:start w:val="1"/>
      <w:numFmt w:val="lowerLetter"/>
      <w:lvlText w:val="%8."/>
      <w:lvlJc w:val="left"/>
      <w:pPr>
        <w:ind w:left="5805" w:hanging="360"/>
      </w:pPr>
    </w:lvl>
    <w:lvl w:ilvl="8" w:tplc="0419001B" w:tentative="1">
      <w:start w:val="1"/>
      <w:numFmt w:val="lowerRoman"/>
      <w:lvlText w:val="%9."/>
      <w:lvlJc w:val="right"/>
      <w:pPr>
        <w:ind w:left="6525" w:hanging="180"/>
      </w:pPr>
    </w:lvl>
  </w:abstractNum>
  <w:abstractNum w:abstractNumId="58" w15:restartNumberingAfterBreak="0">
    <w:nsid w:val="19534B9E"/>
    <w:multiLevelType w:val="multilevel"/>
    <w:tmpl w:val="56FC99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195765BB"/>
    <w:multiLevelType w:val="hybridMultilevel"/>
    <w:tmpl w:val="F5C41266"/>
    <w:lvl w:ilvl="0" w:tplc="0419000F">
      <w:start w:val="1"/>
      <w:numFmt w:val="decimal"/>
      <w:lvlText w:val="%1."/>
      <w:lvlJc w:val="left"/>
      <w:pPr>
        <w:ind w:left="906" w:hanging="360"/>
      </w:pPr>
    </w:lvl>
    <w:lvl w:ilvl="1" w:tplc="04190019" w:tentative="1">
      <w:start w:val="1"/>
      <w:numFmt w:val="lowerLetter"/>
      <w:lvlText w:val="%2."/>
      <w:lvlJc w:val="left"/>
      <w:pPr>
        <w:ind w:left="1626" w:hanging="360"/>
      </w:pPr>
    </w:lvl>
    <w:lvl w:ilvl="2" w:tplc="0419001B" w:tentative="1">
      <w:start w:val="1"/>
      <w:numFmt w:val="lowerRoman"/>
      <w:lvlText w:val="%3."/>
      <w:lvlJc w:val="right"/>
      <w:pPr>
        <w:ind w:left="2346" w:hanging="180"/>
      </w:pPr>
    </w:lvl>
    <w:lvl w:ilvl="3" w:tplc="0419000F" w:tentative="1">
      <w:start w:val="1"/>
      <w:numFmt w:val="decimal"/>
      <w:lvlText w:val="%4."/>
      <w:lvlJc w:val="left"/>
      <w:pPr>
        <w:ind w:left="3066" w:hanging="360"/>
      </w:pPr>
    </w:lvl>
    <w:lvl w:ilvl="4" w:tplc="04190019" w:tentative="1">
      <w:start w:val="1"/>
      <w:numFmt w:val="lowerLetter"/>
      <w:lvlText w:val="%5."/>
      <w:lvlJc w:val="left"/>
      <w:pPr>
        <w:ind w:left="3786" w:hanging="360"/>
      </w:pPr>
    </w:lvl>
    <w:lvl w:ilvl="5" w:tplc="0419001B" w:tentative="1">
      <w:start w:val="1"/>
      <w:numFmt w:val="lowerRoman"/>
      <w:lvlText w:val="%6."/>
      <w:lvlJc w:val="right"/>
      <w:pPr>
        <w:ind w:left="4506" w:hanging="180"/>
      </w:pPr>
    </w:lvl>
    <w:lvl w:ilvl="6" w:tplc="0419000F" w:tentative="1">
      <w:start w:val="1"/>
      <w:numFmt w:val="decimal"/>
      <w:lvlText w:val="%7."/>
      <w:lvlJc w:val="left"/>
      <w:pPr>
        <w:ind w:left="5226" w:hanging="360"/>
      </w:pPr>
    </w:lvl>
    <w:lvl w:ilvl="7" w:tplc="04190019" w:tentative="1">
      <w:start w:val="1"/>
      <w:numFmt w:val="lowerLetter"/>
      <w:lvlText w:val="%8."/>
      <w:lvlJc w:val="left"/>
      <w:pPr>
        <w:ind w:left="5946" w:hanging="360"/>
      </w:pPr>
    </w:lvl>
    <w:lvl w:ilvl="8" w:tplc="0419001B" w:tentative="1">
      <w:start w:val="1"/>
      <w:numFmt w:val="lowerRoman"/>
      <w:lvlText w:val="%9."/>
      <w:lvlJc w:val="right"/>
      <w:pPr>
        <w:ind w:left="6666" w:hanging="180"/>
      </w:pPr>
    </w:lvl>
  </w:abstractNum>
  <w:abstractNum w:abstractNumId="60" w15:restartNumberingAfterBreak="0">
    <w:nsid w:val="19B14272"/>
    <w:multiLevelType w:val="hybridMultilevel"/>
    <w:tmpl w:val="7944C08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1DCD6B41"/>
    <w:multiLevelType w:val="hybridMultilevel"/>
    <w:tmpl w:val="D89C9642"/>
    <w:lvl w:ilvl="0" w:tplc="0419000F">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62" w15:restartNumberingAfterBreak="0">
    <w:nsid w:val="1EAD794F"/>
    <w:multiLevelType w:val="hybridMultilevel"/>
    <w:tmpl w:val="2256BBFE"/>
    <w:lvl w:ilvl="0" w:tplc="04220001">
      <w:start w:val="1"/>
      <w:numFmt w:val="bullet"/>
      <w:lvlText w:val=""/>
      <w:lvlJc w:val="left"/>
      <w:pPr>
        <w:ind w:left="360" w:hanging="360"/>
      </w:pPr>
      <w:rPr>
        <w:rFonts w:ascii="Symbol" w:hAnsi="Symbol" w:hint="default"/>
      </w:rPr>
    </w:lvl>
    <w:lvl w:ilvl="1" w:tplc="04220003" w:tentative="1">
      <w:start w:val="1"/>
      <w:numFmt w:val="bullet"/>
      <w:lvlText w:val="o"/>
      <w:lvlJc w:val="left"/>
      <w:pPr>
        <w:ind w:left="1080" w:hanging="360"/>
      </w:pPr>
      <w:rPr>
        <w:rFonts w:ascii="Courier New" w:hAnsi="Courier New" w:cs="Courier New" w:hint="default"/>
      </w:rPr>
    </w:lvl>
    <w:lvl w:ilvl="2" w:tplc="04220005" w:tentative="1">
      <w:start w:val="1"/>
      <w:numFmt w:val="bullet"/>
      <w:lvlText w:val=""/>
      <w:lvlJc w:val="left"/>
      <w:pPr>
        <w:ind w:left="1800" w:hanging="360"/>
      </w:pPr>
      <w:rPr>
        <w:rFonts w:ascii="Wingdings" w:hAnsi="Wingdings" w:hint="default"/>
      </w:rPr>
    </w:lvl>
    <w:lvl w:ilvl="3" w:tplc="04220001" w:tentative="1">
      <w:start w:val="1"/>
      <w:numFmt w:val="bullet"/>
      <w:lvlText w:val=""/>
      <w:lvlJc w:val="left"/>
      <w:pPr>
        <w:ind w:left="2520" w:hanging="360"/>
      </w:pPr>
      <w:rPr>
        <w:rFonts w:ascii="Symbol" w:hAnsi="Symbol" w:hint="default"/>
      </w:rPr>
    </w:lvl>
    <w:lvl w:ilvl="4" w:tplc="04220003" w:tentative="1">
      <w:start w:val="1"/>
      <w:numFmt w:val="bullet"/>
      <w:lvlText w:val="o"/>
      <w:lvlJc w:val="left"/>
      <w:pPr>
        <w:ind w:left="3240" w:hanging="360"/>
      </w:pPr>
      <w:rPr>
        <w:rFonts w:ascii="Courier New" w:hAnsi="Courier New" w:cs="Courier New" w:hint="default"/>
      </w:rPr>
    </w:lvl>
    <w:lvl w:ilvl="5" w:tplc="04220005" w:tentative="1">
      <w:start w:val="1"/>
      <w:numFmt w:val="bullet"/>
      <w:lvlText w:val=""/>
      <w:lvlJc w:val="left"/>
      <w:pPr>
        <w:ind w:left="3960" w:hanging="360"/>
      </w:pPr>
      <w:rPr>
        <w:rFonts w:ascii="Wingdings" w:hAnsi="Wingdings" w:hint="default"/>
      </w:rPr>
    </w:lvl>
    <w:lvl w:ilvl="6" w:tplc="04220001" w:tentative="1">
      <w:start w:val="1"/>
      <w:numFmt w:val="bullet"/>
      <w:lvlText w:val=""/>
      <w:lvlJc w:val="left"/>
      <w:pPr>
        <w:ind w:left="4680" w:hanging="360"/>
      </w:pPr>
      <w:rPr>
        <w:rFonts w:ascii="Symbol" w:hAnsi="Symbol" w:hint="default"/>
      </w:rPr>
    </w:lvl>
    <w:lvl w:ilvl="7" w:tplc="04220003" w:tentative="1">
      <w:start w:val="1"/>
      <w:numFmt w:val="bullet"/>
      <w:lvlText w:val="o"/>
      <w:lvlJc w:val="left"/>
      <w:pPr>
        <w:ind w:left="5400" w:hanging="360"/>
      </w:pPr>
      <w:rPr>
        <w:rFonts w:ascii="Courier New" w:hAnsi="Courier New" w:cs="Courier New" w:hint="default"/>
      </w:rPr>
    </w:lvl>
    <w:lvl w:ilvl="8" w:tplc="04220005" w:tentative="1">
      <w:start w:val="1"/>
      <w:numFmt w:val="bullet"/>
      <w:lvlText w:val=""/>
      <w:lvlJc w:val="left"/>
      <w:pPr>
        <w:ind w:left="6120" w:hanging="360"/>
      </w:pPr>
      <w:rPr>
        <w:rFonts w:ascii="Wingdings" w:hAnsi="Wingdings" w:hint="default"/>
      </w:rPr>
    </w:lvl>
  </w:abstractNum>
  <w:abstractNum w:abstractNumId="63" w15:restartNumberingAfterBreak="0">
    <w:nsid w:val="1F925ADB"/>
    <w:multiLevelType w:val="multilevel"/>
    <w:tmpl w:val="23C6C54E"/>
    <w:lvl w:ilvl="0">
      <w:start w:val="1"/>
      <w:numFmt w:val="decimal"/>
      <w:lvlText w:val="%1."/>
      <w:lvlJc w:val="left"/>
      <w:pPr>
        <w:tabs>
          <w:tab w:val="num" w:pos="720"/>
        </w:tabs>
        <w:ind w:left="720" w:hanging="360"/>
      </w:pPr>
      <w:rPr>
        <w:rFonts w:hint="default"/>
        <w:sz w:val="18"/>
        <w:szCs w:val="18"/>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20A521C2"/>
    <w:multiLevelType w:val="multilevel"/>
    <w:tmpl w:val="9D066DC6"/>
    <w:lvl w:ilvl="0">
      <w:start w:val="1"/>
      <w:numFmt w:val="decimal"/>
      <w:lvlText w:val="%1."/>
      <w:lvlJc w:val="left"/>
      <w:pPr>
        <w:tabs>
          <w:tab w:val="num" w:pos="720"/>
        </w:tabs>
        <w:ind w:left="720" w:hanging="360"/>
      </w:pPr>
      <w:rPr>
        <w:rFonts w:ascii="Arial" w:eastAsia="Times New Roman" w:hAnsi="Arial" w:cs="Arial"/>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20E10288"/>
    <w:multiLevelType w:val="hybridMultilevel"/>
    <w:tmpl w:val="9C5C213C"/>
    <w:lvl w:ilvl="0" w:tplc="0419000F">
      <w:start w:val="1"/>
      <w:numFmt w:val="decimal"/>
      <w:lvlText w:val="%1."/>
      <w:lvlJc w:val="left"/>
      <w:pPr>
        <w:ind w:left="5322"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15:restartNumberingAfterBreak="0">
    <w:nsid w:val="22566ACE"/>
    <w:multiLevelType w:val="hybridMultilevel"/>
    <w:tmpl w:val="0B7617DC"/>
    <w:lvl w:ilvl="0" w:tplc="63D089FC">
      <w:start w:val="202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2D506BD"/>
    <w:multiLevelType w:val="hybridMultilevel"/>
    <w:tmpl w:val="A4E20124"/>
    <w:lvl w:ilvl="0" w:tplc="96223676">
      <w:start w:val="1"/>
      <w:numFmt w:val="decimal"/>
      <w:lvlText w:val="%1."/>
      <w:lvlJc w:val="left"/>
      <w:pPr>
        <w:ind w:left="750" w:hanging="39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68" w15:restartNumberingAfterBreak="0">
    <w:nsid w:val="232572A4"/>
    <w:multiLevelType w:val="hybridMultilevel"/>
    <w:tmpl w:val="A4E20124"/>
    <w:lvl w:ilvl="0" w:tplc="96223676">
      <w:start w:val="1"/>
      <w:numFmt w:val="decimal"/>
      <w:lvlText w:val="%1."/>
      <w:lvlJc w:val="left"/>
      <w:pPr>
        <w:ind w:left="750" w:hanging="39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69" w15:restartNumberingAfterBreak="0">
    <w:nsid w:val="24062280"/>
    <w:multiLevelType w:val="multilevel"/>
    <w:tmpl w:val="9B28D1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24936263"/>
    <w:multiLevelType w:val="hybridMultilevel"/>
    <w:tmpl w:val="6AE2B78C"/>
    <w:lvl w:ilvl="0" w:tplc="0419000F">
      <w:start w:val="1"/>
      <w:numFmt w:val="decimal"/>
      <w:lvlText w:val="%1."/>
      <w:lvlJc w:val="left"/>
      <w:pPr>
        <w:ind w:left="1048" w:hanging="360"/>
      </w:pPr>
    </w:lvl>
    <w:lvl w:ilvl="1" w:tplc="04190019" w:tentative="1">
      <w:start w:val="1"/>
      <w:numFmt w:val="lowerLetter"/>
      <w:lvlText w:val="%2."/>
      <w:lvlJc w:val="left"/>
      <w:pPr>
        <w:ind w:left="1768" w:hanging="360"/>
      </w:pPr>
    </w:lvl>
    <w:lvl w:ilvl="2" w:tplc="0419001B" w:tentative="1">
      <w:start w:val="1"/>
      <w:numFmt w:val="lowerRoman"/>
      <w:lvlText w:val="%3."/>
      <w:lvlJc w:val="right"/>
      <w:pPr>
        <w:ind w:left="2488" w:hanging="180"/>
      </w:pPr>
    </w:lvl>
    <w:lvl w:ilvl="3" w:tplc="0419000F" w:tentative="1">
      <w:start w:val="1"/>
      <w:numFmt w:val="decimal"/>
      <w:lvlText w:val="%4."/>
      <w:lvlJc w:val="left"/>
      <w:pPr>
        <w:ind w:left="3208" w:hanging="360"/>
      </w:pPr>
    </w:lvl>
    <w:lvl w:ilvl="4" w:tplc="04190019" w:tentative="1">
      <w:start w:val="1"/>
      <w:numFmt w:val="lowerLetter"/>
      <w:lvlText w:val="%5."/>
      <w:lvlJc w:val="left"/>
      <w:pPr>
        <w:ind w:left="3928" w:hanging="360"/>
      </w:pPr>
    </w:lvl>
    <w:lvl w:ilvl="5" w:tplc="0419001B" w:tentative="1">
      <w:start w:val="1"/>
      <w:numFmt w:val="lowerRoman"/>
      <w:lvlText w:val="%6."/>
      <w:lvlJc w:val="right"/>
      <w:pPr>
        <w:ind w:left="4648" w:hanging="180"/>
      </w:pPr>
    </w:lvl>
    <w:lvl w:ilvl="6" w:tplc="0419000F" w:tentative="1">
      <w:start w:val="1"/>
      <w:numFmt w:val="decimal"/>
      <w:lvlText w:val="%7."/>
      <w:lvlJc w:val="left"/>
      <w:pPr>
        <w:ind w:left="5368" w:hanging="360"/>
      </w:pPr>
    </w:lvl>
    <w:lvl w:ilvl="7" w:tplc="04190019" w:tentative="1">
      <w:start w:val="1"/>
      <w:numFmt w:val="lowerLetter"/>
      <w:lvlText w:val="%8."/>
      <w:lvlJc w:val="left"/>
      <w:pPr>
        <w:ind w:left="6088" w:hanging="360"/>
      </w:pPr>
    </w:lvl>
    <w:lvl w:ilvl="8" w:tplc="0419001B" w:tentative="1">
      <w:start w:val="1"/>
      <w:numFmt w:val="lowerRoman"/>
      <w:lvlText w:val="%9."/>
      <w:lvlJc w:val="right"/>
      <w:pPr>
        <w:ind w:left="6808" w:hanging="180"/>
      </w:pPr>
    </w:lvl>
  </w:abstractNum>
  <w:abstractNum w:abstractNumId="71" w15:restartNumberingAfterBreak="0">
    <w:nsid w:val="25A26E58"/>
    <w:multiLevelType w:val="hybridMultilevel"/>
    <w:tmpl w:val="FCF61AA2"/>
    <w:lvl w:ilvl="0" w:tplc="0419000F">
      <w:start w:val="1"/>
      <w:numFmt w:val="decimal"/>
      <w:lvlText w:val="%1."/>
      <w:lvlJc w:val="left"/>
      <w:pPr>
        <w:ind w:left="906" w:hanging="360"/>
      </w:pPr>
    </w:lvl>
    <w:lvl w:ilvl="1" w:tplc="04190019" w:tentative="1">
      <w:start w:val="1"/>
      <w:numFmt w:val="lowerLetter"/>
      <w:lvlText w:val="%2."/>
      <w:lvlJc w:val="left"/>
      <w:pPr>
        <w:ind w:left="1626" w:hanging="360"/>
      </w:pPr>
    </w:lvl>
    <w:lvl w:ilvl="2" w:tplc="0419001B" w:tentative="1">
      <w:start w:val="1"/>
      <w:numFmt w:val="lowerRoman"/>
      <w:lvlText w:val="%3."/>
      <w:lvlJc w:val="right"/>
      <w:pPr>
        <w:ind w:left="2346" w:hanging="180"/>
      </w:pPr>
    </w:lvl>
    <w:lvl w:ilvl="3" w:tplc="0419000F" w:tentative="1">
      <w:start w:val="1"/>
      <w:numFmt w:val="decimal"/>
      <w:lvlText w:val="%4."/>
      <w:lvlJc w:val="left"/>
      <w:pPr>
        <w:ind w:left="3066" w:hanging="360"/>
      </w:pPr>
    </w:lvl>
    <w:lvl w:ilvl="4" w:tplc="04190019" w:tentative="1">
      <w:start w:val="1"/>
      <w:numFmt w:val="lowerLetter"/>
      <w:lvlText w:val="%5."/>
      <w:lvlJc w:val="left"/>
      <w:pPr>
        <w:ind w:left="3786" w:hanging="360"/>
      </w:pPr>
    </w:lvl>
    <w:lvl w:ilvl="5" w:tplc="0419001B" w:tentative="1">
      <w:start w:val="1"/>
      <w:numFmt w:val="lowerRoman"/>
      <w:lvlText w:val="%6."/>
      <w:lvlJc w:val="right"/>
      <w:pPr>
        <w:ind w:left="4506" w:hanging="180"/>
      </w:pPr>
    </w:lvl>
    <w:lvl w:ilvl="6" w:tplc="0419000F" w:tentative="1">
      <w:start w:val="1"/>
      <w:numFmt w:val="decimal"/>
      <w:lvlText w:val="%7."/>
      <w:lvlJc w:val="left"/>
      <w:pPr>
        <w:ind w:left="5226" w:hanging="360"/>
      </w:pPr>
    </w:lvl>
    <w:lvl w:ilvl="7" w:tplc="04190019" w:tentative="1">
      <w:start w:val="1"/>
      <w:numFmt w:val="lowerLetter"/>
      <w:lvlText w:val="%8."/>
      <w:lvlJc w:val="left"/>
      <w:pPr>
        <w:ind w:left="5946" w:hanging="360"/>
      </w:pPr>
    </w:lvl>
    <w:lvl w:ilvl="8" w:tplc="0419001B" w:tentative="1">
      <w:start w:val="1"/>
      <w:numFmt w:val="lowerRoman"/>
      <w:lvlText w:val="%9."/>
      <w:lvlJc w:val="right"/>
      <w:pPr>
        <w:ind w:left="6666" w:hanging="180"/>
      </w:pPr>
    </w:lvl>
  </w:abstractNum>
  <w:abstractNum w:abstractNumId="72" w15:restartNumberingAfterBreak="0">
    <w:nsid w:val="25B24863"/>
    <w:multiLevelType w:val="hybridMultilevel"/>
    <w:tmpl w:val="75AA88F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15:restartNumberingAfterBreak="0">
    <w:nsid w:val="267E6E03"/>
    <w:multiLevelType w:val="hybridMultilevel"/>
    <w:tmpl w:val="CA640A60"/>
    <w:lvl w:ilvl="0" w:tplc="5C2A44D0">
      <w:start w:val="1"/>
      <w:numFmt w:val="decimal"/>
      <w:pStyle w:val="7"/>
      <w:lvlText w:val="Таблиця %1."/>
      <w:lvlJc w:val="left"/>
      <w:pPr>
        <w:ind w:left="720" w:hanging="360"/>
      </w:pPr>
      <w:rPr>
        <w:rFonts w:hint="default"/>
        <w:bCs w:val="0"/>
        <w:i w:val="0"/>
        <w:iCs w:val="0"/>
        <w:caps w:val="0"/>
        <w:smallCaps w:val="0"/>
        <w:strike w:val="0"/>
        <w:dstrike w:val="0"/>
        <w:vanish w:val="0"/>
        <w:color w:val="000000"/>
        <w:kern w:val="0"/>
        <w:position w:val="0"/>
        <w:u w:val="none"/>
        <w:effect w:val="none"/>
        <w:vertAlign w:val="baseline"/>
        <w:em w:val="none"/>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74" w15:restartNumberingAfterBreak="0">
    <w:nsid w:val="27743EEC"/>
    <w:multiLevelType w:val="hybridMultilevel"/>
    <w:tmpl w:val="DCC8A82E"/>
    <w:lvl w:ilvl="0" w:tplc="5060E5E4">
      <w:numFmt w:val="bullet"/>
      <w:lvlText w:val="-"/>
      <w:lvlJc w:val="left"/>
      <w:pPr>
        <w:ind w:left="720" w:hanging="360"/>
      </w:pPr>
      <w:rPr>
        <w:rFonts w:ascii="Arial" w:eastAsia="Times New Roman"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27C867A9"/>
    <w:multiLevelType w:val="hybridMultilevel"/>
    <w:tmpl w:val="2B1296F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15:restartNumberingAfterBreak="0">
    <w:nsid w:val="28451A53"/>
    <w:multiLevelType w:val="hybridMultilevel"/>
    <w:tmpl w:val="0AE8A8AC"/>
    <w:lvl w:ilvl="0" w:tplc="0419000F">
      <w:start w:val="1"/>
      <w:numFmt w:val="decimal"/>
      <w:lvlText w:val="%1."/>
      <w:lvlJc w:val="left"/>
      <w:pPr>
        <w:ind w:left="906" w:hanging="360"/>
      </w:pPr>
    </w:lvl>
    <w:lvl w:ilvl="1" w:tplc="04190019" w:tentative="1">
      <w:start w:val="1"/>
      <w:numFmt w:val="lowerLetter"/>
      <w:lvlText w:val="%2."/>
      <w:lvlJc w:val="left"/>
      <w:pPr>
        <w:ind w:left="1626" w:hanging="360"/>
      </w:pPr>
    </w:lvl>
    <w:lvl w:ilvl="2" w:tplc="0419001B" w:tentative="1">
      <w:start w:val="1"/>
      <w:numFmt w:val="lowerRoman"/>
      <w:lvlText w:val="%3."/>
      <w:lvlJc w:val="right"/>
      <w:pPr>
        <w:ind w:left="2346" w:hanging="180"/>
      </w:pPr>
    </w:lvl>
    <w:lvl w:ilvl="3" w:tplc="0419000F" w:tentative="1">
      <w:start w:val="1"/>
      <w:numFmt w:val="decimal"/>
      <w:lvlText w:val="%4."/>
      <w:lvlJc w:val="left"/>
      <w:pPr>
        <w:ind w:left="3066" w:hanging="360"/>
      </w:pPr>
    </w:lvl>
    <w:lvl w:ilvl="4" w:tplc="04190019" w:tentative="1">
      <w:start w:val="1"/>
      <w:numFmt w:val="lowerLetter"/>
      <w:lvlText w:val="%5."/>
      <w:lvlJc w:val="left"/>
      <w:pPr>
        <w:ind w:left="3786" w:hanging="360"/>
      </w:pPr>
    </w:lvl>
    <w:lvl w:ilvl="5" w:tplc="0419001B" w:tentative="1">
      <w:start w:val="1"/>
      <w:numFmt w:val="lowerRoman"/>
      <w:lvlText w:val="%6."/>
      <w:lvlJc w:val="right"/>
      <w:pPr>
        <w:ind w:left="4506" w:hanging="180"/>
      </w:pPr>
    </w:lvl>
    <w:lvl w:ilvl="6" w:tplc="0419000F" w:tentative="1">
      <w:start w:val="1"/>
      <w:numFmt w:val="decimal"/>
      <w:lvlText w:val="%7."/>
      <w:lvlJc w:val="left"/>
      <w:pPr>
        <w:ind w:left="5226" w:hanging="360"/>
      </w:pPr>
    </w:lvl>
    <w:lvl w:ilvl="7" w:tplc="04190019" w:tentative="1">
      <w:start w:val="1"/>
      <w:numFmt w:val="lowerLetter"/>
      <w:lvlText w:val="%8."/>
      <w:lvlJc w:val="left"/>
      <w:pPr>
        <w:ind w:left="5946" w:hanging="360"/>
      </w:pPr>
    </w:lvl>
    <w:lvl w:ilvl="8" w:tplc="0419001B" w:tentative="1">
      <w:start w:val="1"/>
      <w:numFmt w:val="lowerRoman"/>
      <w:lvlText w:val="%9."/>
      <w:lvlJc w:val="right"/>
      <w:pPr>
        <w:ind w:left="6666" w:hanging="180"/>
      </w:pPr>
    </w:lvl>
  </w:abstractNum>
  <w:abstractNum w:abstractNumId="77" w15:restartNumberingAfterBreak="0">
    <w:nsid w:val="2875584E"/>
    <w:multiLevelType w:val="hybridMultilevel"/>
    <w:tmpl w:val="006C8206"/>
    <w:lvl w:ilvl="0" w:tplc="0419000F">
      <w:start w:val="1"/>
      <w:numFmt w:val="decimal"/>
      <w:lvlText w:val="%1."/>
      <w:lvlJc w:val="left"/>
      <w:pPr>
        <w:ind w:left="1048" w:hanging="360"/>
      </w:pPr>
    </w:lvl>
    <w:lvl w:ilvl="1" w:tplc="04190019" w:tentative="1">
      <w:start w:val="1"/>
      <w:numFmt w:val="lowerLetter"/>
      <w:lvlText w:val="%2."/>
      <w:lvlJc w:val="left"/>
      <w:pPr>
        <w:ind w:left="1768" w:hanging="360"/>
      </w:pPr>
    </w:lvl>
    <w:lvl w:ilvl="2" w:tplc="0419001B" w:tentative="1">
      <w:start w:val="1"/>
      <w:numFmt w:val="lowerRoman"/>
      <w:lvlText w:val="%3."/>
      <w:lvlJc w:val="right"/>
      <w:pPr>
        <w:ind w:left="2488" w:hanging="180"/>
      </w:pPr>
    </w:lvl>
    <w:lvl w:ilvl="3" w:tplc="0419000F" w:tentative="1">
      <w:start w:val="1"/>
      <w:numFmt w:val="decimal"/>
      <w:lvlText w:val="%4."/>
      <w:lvlJc w:val="left"/>
      <w:pPr>
        <w:ind w:left="3208" w:hanging="360"/>
      </w:pPr>
    </w:lvl>
    <w:lvl w:ilvl="4" w:tplc="04190019" w:tentative="1">
      <w:start w:val="1"/>
      <w:numFmt w:val="lowerLetter"/>
      <w:lvlText w:val="%5."/>
      <w:lvlJc w:val="left"/>
      <w:pPr>
        <w:ind w:left="3928" w:hanging="360"/>
      </w:pPr>
    </w:lvl>
    <w:lvl w:ilvl="5" w:tplc="0419001B" w:tentative="1">
      <w:start w:val="1"/>
      <w:numFmt w:val="lowerRoman"/>
      <w:lvlText w:val="%6."/>
      <w:lvlJc w:val="right"/>
      <w:pPr>
        <w:ind w:left="4648" w:hanging="180"/>
      </w:pPr>
    </w:lvl>
    <w:lvl w:ilvl="6" w:tplc="0419000F" w:tentative="1">
      <w:start w:val="1"/>
      <w:numFmt w:val="decimal"/>
      <w:lvlText w:val="%7."/>
      <w:lvlJc w:val="left"/>
      <w:pPr>
        <w:ind w:left="5368" w:hanging="360"/>
      </w:pPr>
    </w:lvl>
    <w:lvl w:ilvl="7" w:tplc="04190019" w:tentative="1">
      <w:start w:val="1"/>
      <w:numFmt w:val="lowerLetter"/>
      <w:lvlText w:val="%8."/>
      <w:lvlJc w:val="left"/>
      <w:pPr>
        <w:ind w:left="6088" w:hanging="360"/>
      </w:pPr>
    </w:lvl>
    <w:lvl w:ilvl="8" w:tplc="0419001B" w:tentative="1">
      <w:start w:val="1"/>
      <w:numFmt w:val="lowerRoman"/>
      <w:lvlText w:val="%9."/>
      <w:lvlJc w:val="right"/>
      <w:pPr>
        <w:ind w:left="6808" w:hanging="180"/>
      </w:pPr>
    </w:lvl>
  </w:abstractNum>
  <w:abstractNum w:abstractNumId="78" w15:restartNumberingAfterBreak="0">
    <w:nsid w:val="29456873"/>
    <w:multiLevelType w:val="multilevel"/>
    <w:tmpl w:val="9DE01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29AA266F"/>
    <w:multiLevelType w:val="multilevel"/>
    <w:tmpl w:val="4EE878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2BF76DA3"/>
    <w:multiLevelType w:val="hybridMultilevel"/>
    <w:tmpl w:val="CF2443A4"/>
    <w:lvl w:ilvl="0" w:tplc="0419000F">
      <w:start w:val="1"/>
      <w:numFmt w:val="decimal"/>
      <w:lvlText w:val="%1."/>
      <w:lvlJc w:val="left"/>
      <w:pPr>
        <w:ind w:left="4188" w:hanging="360"/>
      </w:pPr>
    </w:lvl>
    <w:lvl w:ilvl="1" w:tplc="04190019" w:tentative="1">
      <w:start w:val="1"/>
      <w:numFmt w:val="lowerLetter"/>
      <w:lvlText w:val="%2."/>
      <w:lvlJc w:val="left"/>
      <w:pPr>
        <w:ind w:left="4908" w:hanging="360"/>
      </w:pPr>
    </w:lvl>
    <w:lvl w:ilvl="2" w:tplc="0419001B" w:tentative="1">
      <w:start w:val="1"/>
      <w:numFmt w:val="lowerRoman"/>
      <w:lvlText w:val="%3."/>
      <w:lvlJc w:val="right"/>
      <w:pPr>
        <w:ind w:left="5628" w:hanging="180"/>
      </w:pPr>
    </w:lvl>
    <w:lvl w:ilvl="3" w:tplc="0419000F" w:tentative="1">
      <w:start w:val="1"/>
      <w:numFmt w:val="decimal"/>
      <w:lvlText w:val="%4."/>
      <w:lvlJc w:val="left"/>
      <w:pPr>
        <w:ind w:left="6348" w:hanging="360"/>
      </w:pPr>
    </w:lvl>
    <w:lvl w:ilvl="4" w:tplc="04190019" w:tentative="1">
      <w:start w:val="1"/>
      <w:numFmt w:val="lowerLetter"/>
      <w:lvlText w:val="%5."/>
      <w:lvlJc w:val="left"/>
      <w:pPr>
        <w:ind w:left="7068" w:hanging="360"/>
      </w:pPr>
    </w:lvl>
    <w:lvl w:ilvl="5" w:tplc="0419001B" w:tentative="1">
      <w:start w:val="1"/>
      <w:numFmt w:val="lowerRoman"/>
      <w:lvlText w:val="%6."/>
      <w:lvlJc w:val="right"/>
      <w:pPr>
        <w:ind w:left="7788" w:hanging="180"/>
      </w:pPr>
    </w:lvl>
    <w:lvl w:ilvl="6" w:tplc="0419000F" w:tentative="1">
      <w:start w:val="1"/>
      <w:numFmt w:val="decimal"/>
      <w:lvlText w:val="%7."/>
      <w:lvlJc w:val="left"/>
      <w:pPr>
        <w:ind w:left="8508" w:hanging="360"/>
      </w:pPr>
    </w:lvl>
    <w:lvl w:ilvl="7" w:tplc="04190019" w:tentative="1">
      <w:start w:val="1"/>
      <w:numFmt w:val="lowerLetter"/>
      <w:lvlText w:val="%8."/>
      <w:lvlJc w:val="left"/>
      <w:pPr>
        <w:ind w:left="9228" w:hanging="360"/>
      </w:pPr>
    </w:lvl>
    <w:lvl w:ilvl="8" w:tplc="0419001B" w:tentative="1">
      <w:start w:val="1"/>
      <w:numFmt w:val="lowerRoman"/>
      <w:lvlText w:val="%9."/>
      <w:lvlJc w:val="right"/>
      <w:pPr>
        <w:ind w:left="9948" w:hanging="180"/>
      </w:pPr>
    </w:lvl>
  </w:abstractNum>
  <w:abstractNum w:abstractNumId="81" w15:restartNumberingAfterBreak="0">
    <w:nsid w:val="2C631A42"/>
    <w:multiLevelType w:val="multilevel"/>
    <w:tmpl w:val="04D26D6A"/>
    <w:lvl w:ilvl="0">
      <w:start w:val="1"/>
      <w:numFmt w:val="decimal"/>
      <w:lvlText w:val="%1."/>
      <w:lvlJc w:val="left"/>
      <w:pPr>
        <w:tabs>
          <w:tab w:val="num" w:pos="741"/>
        </w:tabs>
        <w:ind w:left="741"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2D595839"/>
    <w:multiLevelType w:val="hybridMultilevel"/>
    <w:tmpl w:val="7FF8E2D0"/>
    <w:lvl w:ilvl="0" w:tplc="0419000F">
      <w:start w:val="1"/>
      <w:numFmt w:val="decimal"/>
      <w:lvlText w:val="%1."/>
      <w:lvlJc w:val="left"/>
      <w:pPr>
        <w:ind w:left="390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15:restartNumberingAfterBreak="0">
    <w:nsid w:val="2D83472D"/>
    <w:multiLevelType w:val="hybridMultilevel"/>
    <w:tmpl w:val="8418ED92"/>
    <w:lvl w:ilvl="0" w:tplc="0419000F">
      <w:start w:val="1"/>
      <w:numFmt w:val="decimal"/>
      <w:lvlText w:val="%1."/>
      <w:lvlJc w:val="left"/>
      <w:pPr>
        <w:ind w:left="906" w:hanging="360"/>
      </w:pPr>
    </w:lvl>
    <w:lvl w:ilvl="1" w:tplc="04190019" w:tentative="1">
      <w:start w:val="1"/>
      <w:numFmt w:val="lowerLetter"/>
      <w:lvlText w:val="%2."/>
      <w:lvlJc w:val="left"/>
      <w:pPr>
        <w:ind w:left="1626" w:hanging="360"/>
      </w:pPr>
    </w:lvl>
    <w:lvl w:ilvl="2" w:tplc="0419001B" w:tentative="1">
      <w:start w:val="1"/>
      <w:numFmt w:val="lowerRoman"/>
      <w:lvlText w:val="%3."/>
      <w:lvlJc w:val="right"/>
      <w:pPr>
        <w:ind w:left="2346" w:hanging="180"/>
      </w:pPr>
    </w:lvl>
    <w:lvl w:ilvl="3" w:tplc="0419000F" w:tentative="1">
      <w:start w:val="1"/>
      <w:numFmt w:val="decimal"/>
      <w:lvlText w:val="%4."/>
      <w:lvlJc w:val="left"/>
      <w:pPr>
        <w:ind w:left="3066" w:hanging="360"/>
      </w:pPr>
    </w:lvl>
    <w:lvl w:ilvl="4" w:tplc="04190019" w:tentative="1">
      <w:start w:val="1"/>
      <w:numFmt w:val="lowerLetter"/>
      <w:lvlText w:val="%5."/>
      <w:lvlJc w:val="left"/>
      <w:pPr>
        <w:ind w:left="3786" w:hanging="360"/>
      </w:pPr>
    </w:lvl>
    <w:lvl w:ilvl="5" w:tplc="0419001B" w:tentative="1">
      <w:start w:val="1"/>
      <w:numFmt w:val="lowerRoman"/>
      <w:lvlText w:val="%6."/>
      <w:lvlJc w:val="right"/>
      <w:pPr>
        <w:ind w:left="4506" w:hanging="180"/>
      </w:pPr>
    </w:lvl>
    <w:lvl w:ilvl="6" w:tplc="0419000F" w:tentative="1">
      <w:start w:val="1"/>
      <w:numFmt w:val="decimal"/>
      <w:lvlText w:val="%7."/>
      <w:lvlJc w:val="left"/>
      <w:pPr>
        <w:ind w:left="5226" w:hanging="360"/>
      </w:pPr>
    </w:lvl>
    <w:lvl w:ilvl="7" w:tplc="04190019" w:tentative="1">
      <w:start w:val="1"/>
      <w:numFmt w:val="lowerLetter"/>
      <w:lvlText w:val="%8."/>
      <w:lvlJc w:val="left"/>
      <w:pPr>
        <w:ind w:left="5946" w:hanging="360"/>
      </w:pPr>
    </w:lvl>
    <w:lvl w:ilvl="8" w:tplc="0419001B" w:tentative="1">
      <w:start w:val="1"/>
      <w:numFmt w:val="lowerRoman"/>
      <w:lvlText w:val="%9."/>
      <w:lvlJc w:val="right"/>
      <w:pPr>
        <w:ind w:left="6666" w:hanging="180"/>
      </w:pPr>
    </w:lvl>
  </w:abstractNum>
  <w:abstractNum w:abstractNumId="84" w15:restartNumberingAfterBreak="0">
    <w:nsid w:val="2FB866EE"/>
    <w:multiLevelType w:val="multilevel"/>
    <w:tmpl w:val="FDE038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300F60C8"/>
    <w:multiLevelType w:val="hybridMultilevel"/>
    <w:tmpl w:val="61101FCC"/>
    <w:lvl w:ilvl="0" w:tplc="0419000F">
      <w:start w:val="1"/>
      <w:numFmt w:val="decimal"/>
      <w:lvlText w:val="%1."/>
      <w:lvlJc w:val="left"/>
      <w:pPr>
        <w:ind w:left="906" w:hanging="360"/>
      </w:pPr>
    </w:lvl>
    <w:lvl w:ilvl="1" w:tplc="04190019" w:tentative="1">
      <w:start w:val="1"/>
      <w:numFmt w:val="lowerLetter"/>
      <w:lvlText w:val="%2."/>
      <w:lvlJc w:val="left"/>
      <w:pPr>
        <w:ind w:left="1626" w:hanging="360"/>
      </w:pPr>
    </w:lvl>
    <w:lvl w:ilvl="2" w:tplc="0419001B" w:tentative="1">
      <w:start w:val="1"/>
      <w:numFmt w:val="lowerRoman"/>
      <w:lvlText w:val="%3."/>
      <w:lvlJc w:val="right"/>
      <w:pPr>
        <w:ind w:left="2346" w:hanging="180"/>
      </w:pPr>
    </w:lvl>
    <w:lvl w:ilvl="3" w:tplc="0419000F" w:tentative="1">
      <w:start w:val="1"/>
      <w:numFmt w:val="decimal"/>
      <w:lvlText w:val="%4."/>
      <w:lvlJc w:val="left"/>
      <w:pPr>
        <w:ind w:left="3066" w:hanging="360"/>
      </w:pPr>
    </w:lvl>
    <w:lvl w:ilvl="4" w:tplc="04190019" w:tentative="1">
      <w:start w:val="1"/>
      <w:numFmt w:val="lowerLetter"/>
      <w:lvlText w:val="%5."/>
      <w:lvlJc w:val="left"/>
      <w:pPr>
        <w:ind w:left="3786" w:hanging="360"/>
      </w:pPr>
    </w:lvl>
    <w:lvl w:ilvl="5" w:tplc="0419001B" w:tentative="1">
      <w:start w:val="1"/>
      <w:numFmt w:val="lowerRoman"/>
      <w:lvlText w:val="%6."/>
      <w:lvlJc w:val="right"/>
      <w:pPr>
        <w:ind w:left="4506" w:hanging="180"/>
      </w:pPr>
    </w:lvl>
    <w:lvl w:ilvl="6" w:tplc="0419000F" w:tentative="1">
      <w:start w:val="1"/>
      <w:numFmt w:val="decimal"/>
      <w:lvlText w:val="%7."/>
      <w:lvlJc w:val="left"/>
      <w:pPr>
        <w:ind w:left="5226" w:hanging="360"/>
      </w:pPr>
    </w:lvl>
    <w:lvl w:ilvl="7" w:tplc="04190019" w:tentative="1">
      <w:start w:val="1"/>
      <w:numFmt w:val="lowerLetter"/>
      <w:lvlText w:val="%8."/>
      <w:lvlJc w:val="left"/>
      <w:pPr>
        <w:ind w:left="5946" w:hanging="360"/>
      </w:pPr>
    </w:lvl>
    <w:lvl w:ilvl="8" w:tplc="0419001B" w:tentative="1">
      <w:start w:val="1"/>
      <w:numFmt w:val="lowerRoman"/>
      <w:lvlText w:val="%9."/>
      <w:lvlJc w:val="right"/>
      <w:pPr>
        <w:ind w:left="6666" w:hanging="180"/>
      </w:pPr>
    </w:lvl>
  </w:abstractNum>
  <w:abstractNum w:abstractNumId="86" w15:restartNumberingAfterBreak="0">
    <w:nsid w:val="3143054F"/>
    <w:multiLevelType w:val="hybridMultilevel"/>
    <w:tmpl w:val="99BEAB9C"/>
    <w:lvl w:ilvl="0" w:tplc="0DF260B0">
      <w:start w:val="1"/>
      <w:numFmt w:val="decimal"/>
      <w:lvlText w:val="%1."/>
      <w:lvlJc w:val="left"/>
      <w:pPr>
        <w:ind w:left="720" w:hanging="360"/>
      </w:pPr>
      <w:rPr>
        <w:rFonts w:ascii="Arial" w:eastAsia="Times New Roman" w:hAnsi="Arial" w:cs="Arial"/>
        <w:color w:val="000000"/>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87" w15:restartNumberingAfterBreak="0">
    <w:nsid w:val="315C5656"/>
    <w:multiLevelType w:val="hybridMultilevel"/>
    <w:tmpl w:val="D1487568"/>
    <w:lvl w:ilvl="0" w:tplc="0419000F">
      <w:start w:val="1"/>
      <w:numFmt w:val="decimal"/>
      <w:lvlText w:val="%1."/>
      <w:lvlJc w:val="left"/>
      <w:pPr>
        <w:ind w:left="1211" w:hanging="360"/>
      </w:p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88" w15:restartNumberingAfterBreak="0">
    <w:nsid w:val="31EE297D"/>
    <w:multiLevelType w:val="hybridMultilevel"/>
    <w:tmpl w:val="DAD0DB7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15:restartNumberingAfterBreak="0">
    <w:nsid w:val="328E2138"/>
    <w:multiLevelType w:val="hybridMultilevel"/>
    <w:tmpl w:val="0E5A011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15:restartNumberingAfterBreak="0">
    <w:nsid w:val="32C913F7"/>
    <w:multiLevelType w:val="hybridMultilevel"/>
    <w:tmpl w:val="34B8CA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1" w15:restartNumberingAfterBreak="0">
    <w:nsid w:val="32D010CC"/>
    <w:multiLevelType w:val="hybridMultilevel"/>
    <w:tmpl w:val="125A813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15:restartNumberingAfterBreak="0">
    <w:nsid w:val="344216FD"/>
    <w:multiLevelType w:val="hybridMultilevel"/>
    <w:tmpl w:val="53F8EA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15:restartNumberingAfterBreak="0">
    <w:nsid w:val="361636C4"/>
    <w:multiLevelType w:val="hybridMultilevel"/>
    <w:tmpl w:val="3AB23C8A"/>
    <w:lvl w:ilvl="0" w:tplc="053AEF12">
      <w:start w:val="1"/>
      <w:numFmt w:val="decimal"/>
      <w:lvlText w:val="%1."/>
      <w:lvlJc w:val="left"/>
      <w:pPr>
        <w:ind w:left="72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15:restartNumberingAfterBreak="0">
    <w:nsid w:val="36300FD9"/>
    <w:multiLevelType w:val="hybridMultilevel"/>
    <w:tmpl w:val="4C56117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15:restartNumberingAfterBreak="0">
    <w:nsid w:val="36BF0042"/>
    <w:multiLevelType w:val="multilevel"/>
    <w:tmpl w:val="0F4421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36D37221"/>
    <w:multiLevelType w:val="multilevel"/>
    <w:tmpl w:val="4AEA78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36F77131"/>
    <w:multiLevelType w:val="multilevel"/>
    <w:tmpl w:val="C8A29DCC"/>
    <w:lvl w:ilvl="0">
      <w:start w:val="1"/>
      <w:numFmt w:val="bullet"/>
      <w:lvlText w:val=""/>
      <w:lvlJc w:val="left"/>
      <w:pPr>
        <w:tabs>
          <w:tab w:val="num" w:pos="720"/>
        </w:tabs>
        <w:ind w:left="720" w:hanging="360"/>
      </w:pPr>
      <w:rPr>
        <w:rFonts w:ascii="Symbol" w:hAnsi="Symbol" w:hint="default"/>
        <w:sz w:val="20"/>
      </w:rPr>
    </w:lvl>
    <w:lvl w:ilvl="1">
      <w:start w:val="3"/>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37131DAD"/>
    <w:multiLevelType w:val="hybridMultilevel"/>
    <w:tmpl w:val="3D2406C0"/>
    <w:lvl w:ilvl="0" w:tplc="0419000F">
      <w:start w:val="1"/>
      <w:numFmt w:val="decimal"/>
      <w:lvlText w:val="%1."/>
      <w:lvlJc w:val="left"/>
      <w:pPr>
        <w:ind w:left="906" w:hanging="360"/>
      </w:pPr>
    </w:lvl>
    <w:lvl w:ilvl="1" w:tplc="04190019" w:tentative="1">
      <w:start w:val="1"/>
      <w:numFmt w:val="lowerLetter"/>
      <w:lvlText w:val="%2."/>
      <w:lvlJc w:val="left"/>
      <w:pPr>
        <w:ind w:left="1626" w:hanging="360"/>
      </w:pPr>
    </w:lvl>
    <w:lvl w:ilvl="2" w:tplc="0419001B" w:tentative="1">
      <w:start w:val="1"/>
      <w:numFmt w:val="lowerRoman"/>
      <w:lvlText w:val="%3."/>
      <w:lvlJc w:val="right"/>
      <w:pPr>
        <w:ind w:left="2346" w:hanging="180"/>
      </w:pPr>
    </w:lvl>
    <w:lvl w:ilvl="3" w:tplc="0419000F" w:tentative="1">
      <w:start w:val="1"/>
      <w:numFmt w:val="decimal"/>
      <w:lvlText w:val="%4."/>
      <w:lvlJc w:val="left"/>
      <w:pPr>
        <w:ind w:left="3066" w:hanging="360"/>
      </w:pPr>
    </w:lvl>
    <w:lvl w:ilvl="4" w:tplc="04190019" w:tentative="1">
      <w:start w:val="1"/>
      <w:numFmt w:val="lowerLetter"/>
      <w:lvlText w:val="%5."/>
      <w:lvlJc w:val="left"/>
      <w:pPr>
        <w:ind w:left="3786" w:hanging="360"/>
      </w:pPr>
    </w:lvl>
    <w:lvl w:ilvl="5" w:tplc="0419001B" w:tentative="1">
      <w:start w:val="1"/>
      <w:numFmt w:val="lowerRoman"/>
      <w:lvlText w:val="%6."/>
      <w:lvlJc w:val="right"/>
      <w:pPr>
        <w:ind w:left="4506" w:hanging="180"/>
      </w:pPr>
    </w:lvl>
    <w:lvl w:ilvl="6" w:tplc="0419000F" w:tentative="1">
      <w:start w:val="1"/>
      <w:numFmt w:val="decimal"/>
      <w:lvlText w:val="%7."/>
      <w:lvlJc w:val="left"/>
      <w:pPr>
        <w:ind w:left="5226" w:hanging="360"/>
      </w:pPr>
    </w:lvl>
    <w:lvl w:ilvl="7" w:tplc="04190019" w:tentative="1">
      <w:start w:val="1"/>
      <w:numFmt w:val="lowerLetter"/>
      <w:lvlText w:val="%8."/>
      <w:lvlJc w:val="left"/>
      <w:pPr>
        <w:ind w:left="5946" w:hanging="360"/>
      </w:pPr>
    </w:lvl>
    <w:lvl w:ilvl="8" w:tplc="0419001B" w:tentative="1">
      <w:start w:val="1"/>
      <w:numFmt w:val="lowerRoman"/>
      <w:lvlText w:val="%9."/>
      <w:lvlJc w:val="right"/>
      <w:pPr>
        <w:ind w:left="6666" w:hanging="180"/>
      </w:pPr>
    </w:lvl>
  </w:abstractNum>
  <w:abstractNum w:abstractNumId="99" w15:restartNumberingAfterBreak="0">
    <w:nsid w:val="379873FA"/>
    <w:multiLevelType w:val="hybridMultilevel"/>
    <w:tmpl w:val="425C0E88"/>
    <w:lvl w:ilvl="0" w:tplc="0419000F">
      <w:start w:val="1"/>
      <w:numFmt w:val="decimal"/>
      <w:lvlText w:val="%1."/>
      <w:lvlJc w:val="left"/>
      <w:pPr>
        <w:ind w:left="765" w:hanging="360"/>
      </w:pPr>
    </w:lvl>
    <w:lvl w:ilvl="1" w:tplc="04190019" w:tentative="1">
      <w:start w:val="1"/>
      <w:numFmt w:val="lowerLetter"/>
      <w:lvlText w:val="%2."/>
      <w:lvlJc w:val="left"/>
      <w:pPr>
        <w:ind w:left="1485" w:hanging="360"/>
      </w:pPr>
    </w:lvl>
    <w:lvl w:ilvl="2" w:tplc="0419001B" w:tentative="1">
      <w:start w:val="1"/>
      <w:numFmt w:val="lowerRoman"/>
      <w:lvlText w:val="%3."/>
      <w:lvlJc w:val="right"/>
      <w:pPr>
        <w:ind w:left="2205" w:hanging="180"/>
      </w:pPr>
    </w:lvl>
    <w:lvl w:ilvl="3" w:tplc="0419000F" w:tentative="1">
      <w:start w:val="1"/>
      <w:numFmt w:val="decimal"/>
      <w:lvlText w:val="%4."/>
      <w:lvlJc w:val="left"/>
      <w:pPr>
        <w:ind w:left="2925" w:hanging="360"/>
      </w:pPr>
    </w:lvl>
    <w:lvl w:ilvl="4" w:tplc="04190019" w:tentative="1">
      <w:start w:val="1"/>
      <w:numFmt w:val="lowerLetter"/>
      <w:lvlText w:val="%5."/>
      <w:lvlJc w:val="left"/>
      <w:pPr>
        <w:ind w:left="3645" w:hanging="360"/>
      </w:pPr>
    </w:lvl>
    <w:lvl w:ilvl="5" w:tplc="0419001B" w:tentative="1">
      <w:start w:val="1"/>
      <w:numFmt w:val="lowerRoman"/>
      <w:lvlText w:val="%6."/>
      <w:lvlJc w:val="right"/>
      <w:pPr>
        <w:ind w:left="4365" w:hanging="180"/>
      </w:pPr>
    </w:lvl>
    <w:lvl w:ilvl="6" w:tplc="0419000F" w:tentative="1">
      <w:start w:val="1"/>
      <w:numFmt w:val="decimal"/>
      <w:lvlText w:val="%7."/>
      <w:lvlJc w:val="left"/>
      <w:pPr>
        <w:ind w:left="5085" w:hanging="360"/>
      </w:pPr>
    </w:lvl>
    <w:lvl w:ilvl="7" w:tplc="04190019" w:tentative="1">
      <w:start w:val="1"/>
      <w:numFmt w:val="lowerLetter"/>
      <w:lvlText w:val="%8."/>
      <w:lvlJc w:val="left"/>
      <w:pPr>
        <w:ind w:left="5805" w:hanging="360"/>
      </w:pPr>
    </w:lvl>
    <w:lvl w:ilvl="8" w:tplc="0419001B" w:tentative="1">
      <w:start w:val="1"/>
      <w:numFmt w:val="lowerRoman"/>
      <w:lvlText w:val="%9."/>
      <w:lvlJc w:val="right"/>
      <w:pPr>
        <w:ind w:left="6525" w:hanging="180"/>
      </w:pPr>
    </w:lvl>
  </w:abstractNum>
  <w:abstractNum w:abstractNumId="100" w15:restartNumberingAfterBreak="0">
    <w:nsid w:val="37C11EDD"/>
    <w:multiLevelType w:val="multilevel"/>
    <w:tmpl w:val="9BFEE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395A643C"/>
    <w:multiLevelType w:val="hybridMultilevel"/>
    <w:tmpl w:val="4990A0D8"/>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02" w15:restartNumberingAfterBreak="0">
    <w:nsid w:val="39B627B8"/>
    <w:multiLevelType w:val="hybridMultilevel"/>
    <w:tmpl w:val="FDD80434"/>
    <w:lvl w:ilvl="0" w:tplc="0419000F">
      <w:start w:val="1"/>
      <w:numFmt w:val="decimal"/>
      <w:lvlText w:val="%1."/>
      <w:lvlJc w:val="left"/>
      <w:pPr>
        <w:ind w:left="906" w:hanging="360"/>
      </w:pPr>
    </w:lvl>
    <w:lvl w:ilvl="1" w:tplc="04190019" w:tentative="1">
      <w:start w:val="1"/>
      <w:numFmt w:val="lowerLetter"/>
      <w:lvlText w:val="%2."/>
      <w:lvlJc w:val="left"/>
      <w:pPr>
        <w:ind w:left="1626" w:hanging="360"/>
      </w:pPr>
    </w:lvl>
    <w:lvl w:ilvl="2" w:tplc="0419001B" w:tentative="1">
      <w:start w:val="1"/>
      <w:numFmt w:val="lowerRoman"/>
      <w:lvlText w:val="%3."/>
      <w:lvlJc w:val="right"/>
      <w:pPr>
        <w:ind w:left="2346" w:hanging="180"/>
      </w:pPr>
    </w:lvl>
    <w:lvl w:ilvl="3" w:tplc="0419000F" w:tentative="1">
      <w:start w:val="1"/>
      <w:numFmt w:val="decimal"/>
      <w:lvlText w:val="%4."/>
      <w:lvlJc w:val="left"/>
      <w:pPr>
        <w:ind w:left="3066" w:hanging="360"/>
      </w:pPr>
    </w:lvl>
    <w:lvl w:ilvl="4" w:tplc="04190019" w:tentative="1">
      <w:start w:val="1"/>
      <w:numFmt w:val="lowerLetter"/>
      <w:lvlText w:val="%5."/>
      <w:lvlJc w:val="left"/>
      <w:pPr>
        <w:ind w:left="3786" w:hanging="360"/>
      </w:pPr>
    </w:lvl>
    <w:lvl w:ilvl="5" w:tplc="0419001B" w:tentative="1">
      <w:start w:val="1"/>
      <w:numFmt w:val="lowerRoman"/>
      <w:lvlText w:val="%6."/>
      <w:lvlJc w:val="right"/>
      <w:pPr>
        <w:ind w:left="4506" w:hanging="180"/>
      </w:pPr>
    </w:lvl>
    <w:lvl w:ilvl="6" w:tplc="0419000F" w:tentative="1">
      <w:start w:val="1"/>
      <w:numFmt w:val="decimal"/>
      <w:lvlText w:val="%7."/>
      <w:lvlJc w:val="left"/>
      <w:pPr>
        <w:ind w:left="5226" w:hanging="360"/>
      </w:pPr>
    </w:lvl>
    <w:lvl w:ilvl="7" w:tplc="04190019" w:tentative="1">
      <w:start w:val="1"/>
      <w:numFmt w:val="lowerLetter"/>
      <w:lvlText w:val="%8."/>
      <w:lvlJc w:val="left"/>
      <w:pPr>
        <w:ind w:left="5946" w:hanging="360"/>
      </w:pPr>
    </w:lvl>
    <w:lvl w:ilvl="8" w:tplc="0419001B" w:tentative="1">
      <w:start w:val="1"/>
      <w:numFmt w:val="lowerRoman"/>
      <w:lvlText w:val="%9."/>
      <w:lvlJc w:val="right"/>
      <w:pPr>
        <w:ind w:left="6666" w:hanging="180"/>
      </w:pPr>
    </w:lvl>
  </w:abstractNum>
  <w:abstractNum w:abstractNumId="103" w15:restartNumberingAfterBreak="0">
    <w:nsid w:val="3DFB1097"/>
    <w:multiLevelType w:val="hybridMultilevel"/>
    <w:tmpl w:val="571059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15:restartNumberingAfterBreak="0">
    <w:nsid w:val="405A07DC"/>
    <w:multiLevelType w:val="hybridMultilevel"/>
    <w:tmpl w:val="6BD8B2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5" w15:restartNumberingAfterBreak="0">
    <w:nsid w:val="40D74CE2"/>
    <w:multiLevelType w:val="hybridMultilevel"/>
    <w:tmpl w:val="9D9020FE"/>
    <w:lvl w:ilvl="0" w:tplc="0419000F">
      <w:start w:val="1"/>
      <w:numFmt w:val="decimal"/>
      <w:lvlText w:val="%1."/>
      <w:lvlJc w:val="left"/>
      <w:pPr>
        <w:ind w:left="489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6" w15:restartNumberingAfterBreak="0">
    <w:nsid w:val="40F07B09"/>
    <w:multiLevelType w:val="hybridMultilevel"/>
    <w:tmpl w:val="A59848F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7" w15:restartNumberingAfterBreak="0">
    <w:nsid w:val="418F5A07"/>
    <w:multiLevelType w:val="hybridMultilevel"/>
    <w:tmpl w:val="6FC699B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08" w15:restartNumberingAfterBreak="0">
    <w:nsid w:val="419356E0"/>
    <w:multiLevelType w:val="multilevel"/>
    <w:tmpl w:val="5484A2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41B038E4"/>
    <w:multiLevelType w:val="multilevel"/>
    <w:tmpl w:val="6DB2B0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42562566"/>
    <w:multiLevelType w:val="hybridMultilevel"/>
    <w:tmpl w:val="E5FED370"/>
    <w:lvl w:ilvl="0" w:tplc="0419000F">
      <w:start w:val="1"/>
      <w:numFmt w:val="decimal"/>
      <w:lvlText w:val="%1."/>
      <w:lvlJc w:val="left"/>
      <w:pPr>
        <w:ind w:left="906" w:hanging="360"/>
      </w:pPr>
    </w:lvl>
    <w:lvl w:ilvl="1" w:tplc="04190019" w:tentative="1">
      <w:start w:val="1"/>
      <w:numFmt w:val="lowerLetter"/>
      <w:lvlText w:val="%2."/>
      <w:lvlJc w:val="left"/>
      <w:pPr>
        <w:ind w:left="1626" w:hanging="360"/>
      </w:pPr>
    </w:lvl>
    <w:lvl w:ilvl="2" w:tplc="0419001B" w:tentative="1">
      <w:start w:val="1"/>
      <w:numFmt w:val="lowerRoman"/>
      <w:lvlText w:val="%3."/>
      <w:lvlJc w:val="right"/>
      <w:pPr>
        <w:ind w:left="2346" w:hanging="180"/>
      </w:pPr>
    </w:lvl>
    <w:lvl w:ilvl="3" w:tplc="0419000F" w:tentative="1">
      <w:start w:val="1"/>
      <w:numFmt w:val="decimal"/>
      <w:lvlText w:val="%4."/>
      <w:lvlJc w:val="left"/>
      <w:pPr>
        <w:ind w:left="3066" w:hanging="360"/>
      </w:pPr>
    </w:lvl>
    <w:lvl w:ilvl="4" w:tplc="04190019" w:tentative="1">
      <w:start w:val="1"/>
      <w:numFmt w:val="lowerLetter"/>
      <w:lvlText w:val="%5."/>
      <w:lvlJc w:val="left"/>
      <w:pPr>
        <w:ind w:left="3786" w:hanging="360"/>
      </w:pPr>
    </w:lvl>
    <w:lvl w:ilvl="5" w:tplc="0419001B" w:tentative="1">
      <w:start w:val="1"/>
      <w:numFmt w:val="lowerRoman"/>
      <w:lvlText w:val="%6."/>
      <w:lvlJc w:val="right"/>
      <w:pPr>
        <w:ind w:left="4506" w:hanging="180"/>
      </w:pPr>
    </w:lvl>
    <w:lvl w:ilvl="6" w:tplc="0419000F" w:tentative="1">
      <w:start w:val="1"/>
      <w:numFmt w:val="decimal"/>
      <w:lvlText w:val="%7."/>
      <w:lvlJc w:val="left"/>
      <w:pPr>
        <w:ind w:left="5226" w:hanging="360"/>
      </w:pPr>
    </w:lvl>
    <w:lvl w:ilvl="7" w:tplc="04190019" w:tentative="1">
      <w:start w:val="1"/>
      <w:numFmt w:val="lowerLetter"/>
      <w:lvlText w:val="%8."/>
      <w:lvlJc w:val="left"/>
      <w:pPr>
        <w:ind w:left="5946" w:hanging="360"/>
      </w:pPr>
    </w:lvl>
    <w:lvl w:ilvl="8" w:tplc="0419001B" w:tentative="1">
      <w:start w:val="1"/>
      <w:numFmt w:val="lowerRoman"/>
      <w:lvlText w:val="%9."/>
      <w:lvlJc w:val="right"/>
      <w:pPr>
        <w:ind w:left="6666" w:hanging="180"/>
      </w:pPr>
    </w:lvl>
  </w:abstractNum>
  <w:abstractNum w:abstractNumId="111" w15:restartNumberingAfterBreak="0">
    <w:nsid w:val="43543737"/>
    <w:multiLevelType w:val="hybridMultilevel"/>
    <w:tmpl w:val="0E3ED812"/>
    <w:lvl w:ilvl="0" w:tplc="0419000F">
      <w:start w:val="1"/>
      <w:numFmt w:val="decimal"/>
      <w:lvlText w:val="%1."/>
      <w:lvlJc w:val="left"/>
      <w:pPr>
        <w:ind w:left="2345" w:hanging="360"/>
      </w:pPr>
    </w:lvl>
    <w:lvl w:ilvl="1" w:tplc="04190019" w:tentative="1">
      <w:start w:val="1"/>
      <w:numFmt w:val="lowerLetter"/>
      <w:lvlText w:val="%2."/>
      <w:lvlJc w:val="left"/>
      <w:pPr>
        <w:ind w:left="1626" w:hanging="360"/>
      </w:pPr>
    </w:lvl>
    <w:lvl w:ilvl="2" w:tplc="0419001B" w:tentative="1">
      <w:start w:val="1"/>
      <w:numFmt w:val="lowerRoman"/>
      <w:lvlText w:val="%3."/>
      <w:lvlJc w:val="right"/>
      <w:pPr>
        <w:ind w:left="2346" w:hanging="180"/>
      </w:pPr>
    </w:lvl>
    <w:lvl w:ilvl="3" w:tplc="0419000F" w:tentative="1">
      <w:start w:val="1"/>
      <w:numFmt w:val="decimal"/>
      <w:lvlText w:val="%4."/>
      <w:lvlJc w:val="left"/>
      <w:pPr>
        <w:ind w:left="3066" w:hanging="360"/>
      </w:pPr>
    </w:lvl>
    <w:lvl w:ilvl="4" w:tplc="04190019" w:tentative="1">
      <w:start w:val="1"/>
      <w:numFmt w:val="lowerLetter"/>
      <w:lvlText w:val="%5."/>
      <w:lvlJc w:val="left"/>
      <w:pPr>
        <w:ind w:left="3786" w:hanging="360"/>
      </w:pPr>
    </w:lvl>
    <w:lvl w:ilvl="5" w:tplc="0419001B" w:tentative="1">
      <w:start w:val="1"/>
      <w:numFmt w:val="lowerRoman"/>
      <w:lvlText w:val="%6."/>
      <w:lvlJc w:val="right"/>
      <w:pPr>
        <w:ind w:left="4506" w:hanging="180"/>
      </w:pPr>
    </w:lvl>
    <w:lvl w:ilvl="6" w:tplc="0419000F" w:tentative="1">
      <w:start w:val="1"/>
      <w:numFmt w:val="decimal"/>
      <w:lvlText w:val="%7."/>
      <w:lvlJc w:val="left"/>
      <w:pPr>
        <w:ind w:left="5226" w:hanging="360"/>
      </w:pPr>
    </w:lvl>
    <w:lvl w:ilvl="7" w:tplc="04190019" w:tentative="1">
      <w:start w:val="1"/>
      <w:numFmt w:val="lowerLetter"/>
      <w:lvlText w:val="%8."/>
      <w:lvlJc w:val="left"/>
      <w:pPr>
        <w:ind w:left="5946" w:hanging="360"/>
      </w:pPr>
    </w:lvl>
    <w:lvl w:ilvl="8" w:tplc="0419001B" w:tentative="1">
      <w:start w:val="1"/>
      <w:numFmt w:val="lowerRoman"/>
      <w:lvlText w:val="%9."/>
      <w:lvlJc w:val="right"/>
      <w:pPr>
        <w:ind w:left="6666" w:hanging="180"/>
      </w:pPr>
    </w:lvl>
  </w:abstractNum>
  <w:abstractNum w:abstractNumId="112" w15:restartNumberingAfterBreak="0">
    <w:nsid w:val="45256B71"/>
    <w:multiLevelType w:val="hybridMultilevel"/>
    <w:tmpl w:val="4C8E6DFA"/>
    <w:lvl w:ilvl="0" w:tplc="0419000F">
      <w:start w:val="1"/>
      <w:numFmt w:val="decimal"/>
      <w:lvlText w:val="%1."/>
      <w:lvlJc w:val="left"/>
      <w:pPr>
        <w:ind w:left="19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3" w15:restartNumberingAfterBreak="0">
    <w:nsid w:val="458070FA"/>
    <w:multiLevelType w:val="hybridMultilevel"/>
    <w:tmpl w:val="CBB0A5FE"/>
    <w:lvl w:ilvl="0" w:tplc="0419000F">
      <w:start w:val="1"/>
      <w:numFmt w:val="decimal"/>
      <w:lvlText w:val="%1."/>
      <w:lvlJc w:val="left"/>
      <w:pPr>
        <w:ind w:left="906" w:hanging="360"/>
      </w:pPr>
    </w:lvl>
    <w:lvl w:ilvl="1" w:tplc="04190019" w:tentative="1">
      <w:start w:val="1"/>
      <w:numFmt w:val="lowerLetter"/>
      <w:lvlText w:val="%2."/>
      <w:lvlJc w:val="left"/>
      <w:pPr>
        <w:ind w:left="1626" w:hanging="360"/>
      </w:pPr>
    </w:lvl>
    <w:lvl w:ilvl="2" w:tplc="0419001B" w:tentative="1">
      <w:start w:val="1"/>
      <w:numFmt w:val="lowerRoman"/>
      <w:lvlText w:val="%3."/>
      <w:lvlJc w:val="right"/>
      <w:pPr>
        <w:ind w:left="2346" w:hanging="180"/>
      </w:pPr>
    </w:lvl>
    <w:lvl w:ilvl="3" w:tplc="0419000F" w:tentative="1">
      <w:start w:val="1"/>
      <w:numFmt w:val="decimal"/>
      <w:lvlText w:val="%4."/>
      <w:lvlJc w:val="left"/>
      <w:pPr>
        <w:ind w:left="3066" w:hanging="360"/>
      </w:pPr>
    </w:lvl>
    <w:lvl w:ilvl="4" w:tplc="04190019" w:tentative="1">
      <w:start w:val="1"/>
      <w:numFmt w:val="lowerLetter"/>
      <w:lvlText w:val="%5."/>
      <w:lvlJc w:val="left"/>
      <w:pPr>
        <w:ind w:left="3786" w:hanging="360"/>
      </w:pPr>
    </w:lvl>
    <w:lvl w:ilvl="5" w:tplc="0419001B" w:tentative="1">
      <w:start w:val="1"/>
      <w:numFmt w:val="lowerRoman"/>
      <w:lvlText w:val="%6."/>
      <w:lvlJc w:val="right"/>
      <w:pPr>
        <w:ind w:left="4506" w:hanging="180"/>
      </w:pPr>
    </w:lvl>
    <w:lvl w:ilvl="6" w:tplc="0419000F" w:tentative="1">
      <w:start w:val="1"/>
      <w:numFmt w:val="decimal"/>
      <w:lvlText w:val="%7."/>
      <w:lvlJc w:val="left"/>
      <w:pPr>
        <w:ind w:left="5226" w:hanging="360"/>
      </w:pPr>
    </w:lvl>
    <w:lvl w:ilvl="7" w:tplc="04190019" w:tentative="1">
      <w:start w:val="1"/>
      <w:numFmt w:val="lowerLetter"/>
      <w:lvlText w:val="%8."/>
      <w:lvlJc w:val="left"/>
      <w:pPr>
        <w:ind w:left="5946" w:hanging="360"/>
      </w:pPr>
    </w:lvl>
    <w:lvl w:ilvl="8" w:tplc="0419001B" w:tentative="1">
      <w:start w:val="1"/>
      <w:numFmt w:val="lowerRoman"/>
      <w:lvlText w:val="%9."/>
      <w:lvlJc w:val="right"/>
      <w:pPr>
        <w:ind w:left="6666" w:hanging="180"/>
      </w:pPr>
    </w:lvl>
  </w:abstractNum>
  <w:abstractNum w:abstractNumId="114" w15:restartNumberingAfterBreak="0">
    <w:nsid w:val="46172ADA"/>
    <w:multiLevelType w:val="hybridMultilevel"/>
    <w:tmpl w:val="54FA6B1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5" w15:restartNumberingAfterBreak="0">
    <w:nsid w:val="47FA7E76"/>
    <w:multiLevelType w:val="hybridMultilevel"/>
    <w:tmpl w:val="8A764A84"/>
    <w:lvl w:ilvl="0" w:tplc="0419000F">
      <w:start w:val="1"/>
      <w:numFmt w:val="decimal"/>
      <w:lvlText w:val="%1."/>
      <w:lvlJc w:val="left"/>
      <w:pPr>
        <w:ind w:left="765" w:hanging="360"/>
      </w:pPr>
    </w:lvl>
    <w:lvl w:ilvl="1" w:tplc="04190019" w:tentative="1">
      <w:start w:val="1"/>
      <w:numFmt w:val="lowerLetter"/>
      <w:lvlText w:val="%2."/>
      <w:lvlJc w:val="left"/>
      <w:pPr>
        <w:ind w:left="1485" w:hanging="360"/>
      </w:pPr>
    </w:lvl>
    <w:lvl w:ilvl="2" w:tplc="0419001B" w:tentative="1">
      <w:start w:val="1"/>
      <w:numFmt w:val="lowerRoman"/>
      <w:lvlText w:val="%3."/>
      <w:lvlJc w:val="right"/>
      <w:pPr>
        <w:ind w:left="2205" w:hanging="180"/>
      </w:pPr>
    </w:lvl>
    <w:lvl w:ilvl="3" w:tplc="0419000F" w:tentative="1">
      <w:start w:val="1"/>
      <w:numFmt w:val="decimal"/>
      <w:lvlText w:val="%4."/>
      <w:lvlJc w:val="left"/>
      <w:pPr>
        <w:ind w:left="2925" w:hanging="360"/>
      </w:pPr>
    </w:lvl>
    <w:lvl w:ilvl="4" w:tplc="04190019" w:tentative="1">
      <w:start w:val="1"/>
      <w:numFmt w:val="lowerLetter"/>
      <w:lvlText w:val="%5."/>
      <w:lvlJc w:val="left"/>
      <w:pPr>
        <w:ind w:left="3645" w:hanging="360"/>
      </w:pPr>
    </w:lvl>
    <w:lvl w:ilvl="5" w:tplc="0419001B" w:tentative="1">
      <w:start w:val="1"/>
      <w:numFmt w:val="lowerRoman"/>
      <w:lvlText w:val="%6."/>
      <w:lvlJc w:val="right"/>
      <w:pPr>
        <w:ind w:left="4365" w:hanging="180"/>
      </w:pPr>
    </w:lvl>
    <w:lvl w:ilvl="6" w:tplc="0419000F" w:tentative="1">
      <w:start w:val="1"/>
      <w:numFmt w:val="decimal"/>
      <w:lvlText w:val="%7."/>
      <w:lvlJc w:val="left"/>
      <w:pPr>
        <w:ind w:left="5085" w:hanging="360"/>
      </w:pPr>
    </w:lvl>
    <w:lvl w:ilvl="7" w:tplc="04190019" w:tentative="1">
      <w:start w:val="1"/>
      <w:numFmt w:val="lowerLetter"/>
      <w:lvlText w:val="%8."/>
      <w:lvlJc w:val="left"/>
      <w:pPr>
        <w:ind w:left="5805" w:hanging="360"/>
      </w:pPr>
    </w:lvl>
    <w:lvl w:ilvl="8" w:tplc="0419001B" w:tentative="1">
      <w:start w:val="1"/>
      <w:numFmt w:val="lowerRoman"/>
      <w:lvlText w:val="%9."/>
      <w:lvlJc w:val="right"/>
      <w:pPr>
        <w:ind w:left="6525" w:hanging="180"/>
      </w:pPr>
    </w:lvl>
  </w:abstractNum>
  <w:abstractNum w:abstractNumId="116" w15:restartNumberingAfterBreak="0">
    <w:nsid w:val="480245EC"/>
    <w:multiLevelType w:val="multilevel"/>
    <w:tmpl w:val="7736C9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481A610E"/>
    <w:multiLevelType w:val="hybridMultilevel"/>
    <w:tmpl w:val="2F5E9DF4"/>
    <w:lvl w:ilvl="0" w:tplc="0419000F">
      <w:start w:val="1"/>
      <w:numFmt w:val="decimal"/>
      <w:lvlText w:val="%1."/>
      <w:lvlJc w:val="left"/>
      <w:pPr>
        <w:ind w:left="906" w:hanging="360"/>
      </w:pPr>
    </w:lvl>
    <w:lvl w:ilvl="1" w:tplc="04190019" w:tentative="1">
      <w:start w:val="1"/>
      <w:numFmt w:val="lowerLetter"/>
      <w:lvlText w:val="%2."/>
      <w:lvlJc w:val="left"/>
      <w:pPr>
        <w:ind w:left="1626" w:hanging="360"/>
      </w:pPr>
    </w:lvl>
    <w:lvl w:ilvl="2" w:tplc="0419001B" w:tentative="1">
      <w:start w:val="1"/>
      <w:numFmt w:val="lowerRoman"/>
      <w:lvlText w:val="%3."/>
      <w:lvlJc w:val="right"/>
      <w:pPr>
        <w:ind w:left="2346" w:hanging="180"/>
      </w:pPr>
    </w:lvl>
    <w:lvl w:ilvl="3" w:tplc="0419000F" w:tentative="1">
      <w:start w:val="1"/>
      <w:numFmt w:val="decimal"/>
      <w:lvlText w:val="%4."/>
      <w:lvlJc w:val="left"/>
      <w:pPr>
        <w:ind w:left="3066" w:hanging="360"/>
      </w:pPr>
    </w:lvl>
    <w:lvl w:ilvl="4" w:tplc="04190019" w:tentative="1">
      <w:start w:val="1"/>
      <w:numFmt w:val="lowerLetter"/>
      <w:lvlText w:val="%5."/>
      <w:lvlJc w:val="left"/>
      <w:pPr>
        <w:ind w:left="3786" w:hanging="360"/>
      </w:pPr>
    </w:lvl>
    <w:lvl w:ilvl="5" w:tplc="0419001B" w:tentative="1">
      <w:start w:val="1"/>
      <w:numFmt w:val="lowerRoman"/>
      <w:lvlText w:val="%6."/>
      <w:lvlJc w:val="right"/>
      <w:pPr>
        <w:ind w:left="4506" w:hanging="180"/>
      </w:pPr>
    </w:lvl>
    <w:lvl w:ilvl="6" w:tplc="0419000F" w:tentative="1">
      <w:start w:val="1"/>
      <w:numFmt w:val="decimal"/>
      <w:lvlText w:val="%7."/>
      <w:lvlJc w:val="left"/>
      <w:pPr>
        <w:ind w:left="5226" w:hanging="360"/>
      </w:pPr>
    </w:lvl>
    <w:lvl w:ilvl="7" w:tplc="04190019" w:tentative="1">
      <w:start w:val="1"/>
      <w:numFmt w:val="lowerLetter"/>
      <w:lvlText w:val="%8."/>
      <w:lvlJc w:val="left"/>
      <w:pPr>
        <w:ind w:left="5946" w:hanging="360"/>
      </w:pPr>
    </w:lvl>
    <w:lvl w:ilvl="8" w:tplc="0419001B" w:tentative="1">
      <w:start w:val="1"/>
      <w:numFmt w:val="lowerRoman"/>
      <w:lvlText w:val="%9."/>
      <w:lvlJc w:val="right"/>
      <w:pPr>
        <w:ind w:left="6666" w:hanging="180"/>
      </w:pPr>
    </w:lvl>
  </w:abstractNum>
  <w:abstractNum w:abstractNumId="118" w15:restartNumberingAfterBreak="0">
    <w:nsid w:val="48A17E74"/>
    <w:multiLevelType w:val="hybridMultilevel"/>
    <w:tmpl w:val="F9ACDDD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9" w15:restartNumberingAfterBreak="0">
    <w:nsid w:val="48C16926"/>
    <w:multiLevelType w:val="hybridMultilevel"/>
    <w:tmpl w:val="1D90A7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0" w15:restartNumberingAfterBreak="0">
    <w:nsid w:val="49FE55ED"/>
    <w:multiLevelType w:val="hybridMultilevel"/>
    <w:tmpl w:val="3754F3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1" w15:restartNumberingAfterBreak="0">
    <w:nsid w:val="49FE5E55"/>
    <w:multiLevelType w:val="hybridMultilevel"/>
    <w:tmpl w:val="5D8C270A"/>
    <w:lvl w:ilvl="0" w:tplc="5840FB18">
      <w:start w:val="1"/>
      <w:numFmt w:val="decimal"/>
      <w:lvlText w:val="%1."/>
      <w:lvlJc w:val="left"/>
      <w:pPr>
        <w:ind w:left="525" w:hanging="360"/>
      </w:pPr>
      <w:rPr>
        <w:rFonts w:hint="default"/>
      </w:rPr>
    </w:lvl>
    <w:lvl w:ilvl="1" w:tplc="04220019" w:tentative="1">
      <w:start w:val="1"/>
      <w:numFmt w:val="lowerLetter"/>
      <w:lvlText w:val="%2."/>
      <w:lvlJc w:val="left"/>
      <w:pPr>
        <w:ind w:left="1245" w:hanging="360"/>
      </w:pPr>
    </w:lvl>
    <w:lvl w:ilvl="2" w:tplc="0422001B" w:tentative="1">
      <w:start w:val="1"/>
      <w:numFmt w:val="lowerRoman"/>
      <w:lvlText w:val="%3."/>
      <w:lvlJc w:val="right"/>
      <w:pPr>
        <w:ind w:left="1965" w:hanging="180"/>
      </w:pPr>
    </w:lvl>
    <w:lvl w:ilvl="3" w:tplc="0422000F" w:tentative="1">
      <w:start w:val="1"/>
      <w:numFmt w:val="decimal"/>
      <w:lvlText w:val="%4."/>
      <w:lvlJc w:val="left"/>
      <w:pPr>
        <w:ind w:left="2685" w:hanging="360"/>
      </w:pPr>
    </w:lvl>
    <w:lvl w:ilvl="4" w:tplc="04220019" w:tentative="1">
      <w:start w:val="1"/>
      <w:numFmt w:val="lowerLetter"/>
      <w:lvlText w:val="%5."/>
      <w:lvlJc w:val="left"/>
      <w:pPr>
        <w:ind w:left="3405" w:hanging="360"/>
      </w:pPr>
    </w:lvl>
    <w:lvl w:ilvl="5" w:tplc="0422001B" w:tentative="1">
      <w:start w:val="1"/>
      <w:numFmt w:val="lowerRoman"/>
      <w:lvlText w:val="%6."/>
      <w:lvlJc w:val="right"/>
      <w:pPr>
        <w:ind w:left="4125" w:hanging="180"/>
      </w:pPr>
    </w:lvl>
    <w:lvl w:ilvl="6" w:tplc="0422000F" w:tentative="1">
      <w:start w:val="1"/>
      <w:numFmt w:val="decimal"/>
      <w:lvlText w:val="%7."/>
      <w:lvlJc w:val="left"/>
      <w:pPr>
        <w:ind w:left="4845" w:hanging="360"/>
      </w:pPr>
    </w:lvl>
    <w:lvl w:ilvl="7" w:tplc="04220019" w:tentative="1">
      <w:start w:val="1"/>
      <w:numFmt w:val="lowerLetter"/>
      <w:lvlText w:val="%8."/>
      <w:lvlJc w:val="left"/>
      <w:pPr>
        <w:ind w:left="5565" w:hanging="360"/>
      </w:pPr>
    </w:lvl>
    <w:lvl w:ilvl="8" w:tplc="0422001B" w:tentative="1">
      <w:start w:val="1"/>
      <w:numFmt w:val="lowerRoman"/>
      <w:lvlText w:val="%9."/>
      <w:lvlJc w:val="right"/>
      <w:pPr>
        <w:ind w:left="6285" w:hanging="180"/>
      </w:pPr>
    </w:lvl>
  </w:abstractNum>
  <w:abstractNum w:abstractNumId="122" w15:restartNumberingAfterBreak="0">
    <w:nsid w:val="4A641D25"/>
    <w:multiLevelType w:val="hybridMultilevel"/>
    <w:tmpl w:val="3620B51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23" w15:restartNumberingAfterBreak="0">
    <w:nsid w:val="4B4136CC"/>
    <w:multiLevelType w:val="hybridMultilevel"/>
    <w:tmpl w:val="FD4868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4" w15:restartNumberingAfterBreak="0">
    <w:nsid w:val="4B5F3984"/>
    <w:multiLevelType w:val="multilevel"/>
    <w:tmpl w:val="9E1AC8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4C255E3D"/>
    <w:multiLevelType w:val="hybridMultilevel"/>
    <w:tmpl w:val="3EEEB30E"/>
    <w:lvl w:ilvl="0" w:tplc="0419000F">
      <w:start w:val="1"/>
      <w:numFmt w:val="decimal"/>
      <w:lvlText w:val="%1."/>
      <w:lvlJc w:val="left"/>
      <w:pPr>
        <w:ind w:left="3337"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6" w15:restartNumberingAfterBreak="0">
    <w:nsid w:val="4D853A6A"/>
    <w:multiLevelType w:val="hybridMultilevel"/>
    <w:tmpl w:val="4EA0D9B6"/>
    <w:lvl w:ilvl="0" w:tplc="0419000F">
      <w:start w:val="1"/>
      <w:numFmt w:val="decimal"/>
      <w:lvlText w:val="%1."/>
      <w:lvlJc w:val="left"/>
      <w:pPr>
        <w:ind w:left="2345" w:hanging="360"/>
      </w:pPr>
    </w:lvl>
    <w:lvl w:ilvl="1" w:tplc="04190019" w:tentative="1">
      <w:start w:val="1"/>
      <w:numFmt w:val="lowerLetter"/>
      <w:lvlText w:val="%2."/>
      <w:lvlJc w:val="left"/>
      <w:pPr>
        <w:ind w:left="1626" w:hanging="360"/>
      </w:pPr>
    </w:lvl>
    <w:lvl w:ilvl="2" w:tplc="0419001B" w:tentative="1">
      <w:start w:val="1"/>
      <w:numFmt w:val="lowerRoman"/>
      <w:lvlText w:val="%3."/>
      <w:lvlJc w:val="right"/>
      <w:pPr>
        <w:ind w:left="2346" w:hanging="180"/>
      </w:pPr>
    </w:lvl>
    <w:lvl w:ilvl="3" w:tplc="0419000F" w:tentative="1">
      <w:start w:val="1"/>
      <w:numFmt w:val="decimal"/>
      <w:lvlText w:val="%4."/>
      <w:lvlJc w:val="left"/>
      <w:pPr>
        <w:ind w:left="3066" w:hanging="360"/>
      </w:pPr>
    </w:lvl>
    <w:lvl w:ilvl="4" w:tplc="04190019" w:tentative="1">
      <w:start w:val="1"/>
      <w:numFmt w:val="lowerLetter"/>
      <w:lvlText w:val="%5."/>
      <w:lvlJc w:val="left"/>
      <w:pPr>
        <w:ind w:left="3786" w:hanging="360"/>
      </w:pPr>
    </w:lvl>
    <w:lvl w:ilvl="5" w:tplc="0419001B" w:tentative="1">
      <w:start w:val="1"/>
      <w:numFmt w:val="lowerRoman"/>
      <w:lvlText w:val="%6."/>
      <w:lvlJc w:val="right"/>
      <w:pPr>
        <w:ind w:left="4506" w:hanging="180"/>
      </w:pPr>
    </w:lvl>
    <w:lvl w:ilvl="6" w:tplc="0419000F" w:tentative="1">
      <w:start w:val="1"/>
      <w:numFmt w:val="decimal"/>
      <w:lvlText w:val="%7."/>
      <w:lvlJc w:val="left"/>
      <w:pPr>
        <w:ind w:left="5226" w:hanging="360"/>
      </w:pPr>
    </w:lvl>
    <w:lvl w:ilvl="7" w:tplc="04190019" w:tentative="1">
      <w:start w:val="1"/>
      <w:numFmt w:val="lowerLetter"/>
      <w:lvlText w:val="%8."/>
      <w:lvlJc w:val="left"/>
      <w:pPr>
        <w:ind w:left="5946" w:hanging="360"/>
      </w:pPr>
    </w:lvl>
    <w:lvl w:ilvl="8" w:tplc="0419001B" w:tentative="1">
      <w:start w:val="1"/>
      <w:numFmt w:val="lowerRoman"/>
      <w:lvlText w:val="%9."/>
      <w:lvlJc w:val="right"/>
      <w:pPr>
        <w:ind w:left="6666" w:hanging="180"/>
      </w:pPr>
    </w:lvl>
  </w:abstractNum>
  <w:abstractNum w:abstractNumId="127" w15:restartNumberingAfterBreak="0">
    <w:nsid w:val="4D9B7F91"/>
    <w:multiLevelType w:val="multilevel"/>
    <w:tmpl w:val="5066BE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4E572086"/>
    <w:multiLevelType w:val="hybridMultilevel"/>
    <w:tmpl w:val="A4E20124"/>
    <w:lvl w:ilvl="0" w:tplc="96223676">
      <w:start w:val="1"/>
      <w:numFmt w:val="decimal"/>
      <w:lvlText w:val="%1."/>
      <w:lvlJc w:val="left"/>
      <w:pPr>
        <w:ind w:left="750" w:hanging="39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29" w15:restartNumberingAfterBreak="0">
    <w:nsid w:val="4E9A267F"/>
    <w:multiLevelType w:val="hybridMultilevel"/>
    <w:tmpl w:val="1AE05C7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0" w15:restartNumberingAfterBreak="0">
    <w:nsid w:val="4F0B2008"/>
    <w:multiLevelType w:val="hybridMultilevel"/>
    <w:tmpl w:val="EFA4E6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15:restartNumberingAfterBreak="0">
    <w:nsid w:val="509F2752"/>
    <w:multiLevelType w:val="multilevel"/>
    <w:tmpl w:val="3A2655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513F19BC"/>
    <w:multiLevelType w:val="hybridMultilevel"/>
    <w:tmpl w:val="D564E0F4"/>
    <w:lvl w:ilvl="0" w:tplc="0419000F">
      <w:start w:val="1"/>
      <w:numFmt w:val="decimal"/>
      <w:lvlText w:val="%1."/>
      <w:lvlJc w:val="left"/>
      <w:pPr>
        <w:ind w:left="906" w:hanging="360"/>
      </w:pPr>
    </w:lvl>
    <w:lvl w:ilvl="1" w:tplc="04190019" w:tentative="1">
      <w:start w:val="1"/>
      <w:numFmt w:val="lowerLetter"/>
      <w:lvlText w:val="%2."/>
      <w:lvlJc w:val="left"/>
      <w:pPr>
        <w:ind w:left="1626" w:hanging="360"/>
      </w:pPr>
    </w:lvl>
    <w:lvl w:ilvl="2" w:tplc="0419001B" w:tentative="1">
      <w:start w:val="1"/>
      <w:numFmt w:val="lowerRoman"/>
      <w:lvlText w:val="%3."/>
      <w:lvlJc w:val="right"/>
      <w:pPr>
        <w:ind w:left="2346" w:hanging="180"/>
      </w:pPr>
    </w:lvl>
    <w:lvl w:ilvl="3" w:tplc="0419000F" w:tentative="1">
      <w:start w:val="1"/>
      <w:numFmt w:val="decimal"/>
      <w:lvlText w:val="%4."/>
      <w:lvlJc w:val="left"/>
      <w:pPr>
        <w:ind w:left="3066" w:hanging="360"/>
      </w:pPr>
    </w:lvl>
    <w:lvl w:ilvl="4" w:tplc="04190019" w:tentative="1">
      <w:start w:val="1"/>
      <w:numFmt w:val="lowerLetter"/>
      <w:lvlText w:val="%5."/>
      <w:lvlJc w:val="left"/>
      <w:pPr>
        <w:ind w:left="3786" w:hanging="360"/>
      </w:pPr>
    </w:lvl>
    <w:lvl w:ilvl="5" w:tplc="0419001B" w:tentative="1">
      <w:start w:val="1"/>
      <w:numFmt w:val="lowerRoman"/>
      <w:lvlText w:val="%6."/>
      <w:lvlJc w:val="right"/>
      <w:pPr>
        <w:ind w:left="4506" w:hanging="180"/>
      </w:pPr>
    </w:lvl>
    <w:lvl w:ilvl="6" w:tplc="0419000F" w:tentative="1">
      <w:start w:val="1"/>
      <w:numFmt w:val="decimal"/>
      <w:lvlText w:val="%7."/>
      <w:lvlJc w:val="left"/>
      <w:pPr>
        <w:ind w:left="5226" w:hanging="360"/>
      </w:pPr>
    </w:lvl>
    <w:lvl w:ilvl="7" w:tplc="04190019" w:tentative="1">
      <w:start w:val="1"/>
      <w:numFmt w:val="lowerLetter"/>
      <w:lvlText w:val="%8."/>
      <w:lvlJc w:val="left"/>
      <w:pPr>
        <w:ind w:left="5946" w:hanging="360"/>
      </w:pPr>
    </w:lvl>
    <w:lvl w:ilvl="8" w:tplc="0419001B" w:tentative="1">
      <w:start w:val="1"/>
      <w:numFmt w:val="lowerRoman"/>
      <w:lvlText w:val="%9."/>
      <w:lvlJc w:val="right"/>
      <w:pPr>
        <w:ind w:left="6666" w:hanging="180"/>
      </w:pPr>
    </w:lvl>
  </w:abstractNum>
  <w:abstractNum w:abstractNumId="133" w15:restartNumberingAfterBreak="0">
    <w:nsid w:val="51932D02"/>
    <w:multiLevelType w:val="hybridMultilevel"/>
    <w:tmpl w:val="A4E8C314"/>
    <w:lvl w:ilvl="0" w:tplc="0419000F">
      <w:start w:val="1"/>
      <w:numFmt w:val="decimal"/>
      <w:lvlText w:val="%1."/>
      <w:lvlJc w:val="left"/>
      <w:pPr>
        <w:ind w:left="1048" w:hanging="360"/>
      </w:pPr>
    </w:lvl>
    <w:lvl w:ilvl="1" w:tplc="04190019" w:tentative="1">
      <w:start w:val="1"/>
      <w:numFmt w:val="lowerLetter"/>
      <w:lvlText w:val="%2."/>
      <w:lvlJc w:val="left"/>
      <w:pPr>
        <w:ind w:left="1768" w:hanging="360"/>
      </w:pPr>
    </w:lvl>
    <w:lvl w:ilvl="2" w:tplc="0419001B" w:tentative="1">
      <w:start w:val="1"/>
      <w:numFmt w:val="lowerRoman"/>
      <w:lvlText w:val="%3."/>
      <w:lvlJc w:val="right"/>
      <w:pPr>
        <w:ind w:left="2488" w:hanging="180"/>
      </w:pPr>
    </w:lvl>
    <w:lvl w:ilvl="3" w:tplc="0419000F" w:tentative="1">
      <w:start w:val="1"/>
      <w:numFmt w:val="decimal"/>
      <w:lvlText w:val="%4."/>
      <w:lvlJc w:val="left"/>
      <w:pPr>
        <w:ind w:left="3208" w:hanging="360"/>
      </w:pPr>
    </w:lvl>
    <w:lvl w:ilvl="4" w:tplc="04190019" w:tentative="1">
      <w:start w:val="1"/>
      <w:numFmt w:val="lowerLetter"/>
      <w:lvlText w:val="%5."/>
      <w:lvlJc w:val="left"/>
      <w:pPr>
        <w:ind w:left="3928" w:hanging="360"/>
      </w:pPr>
    </w:lvl>
    <w:lvl w:ilvl="5" w:tplc="0419001B" w:tentative="1">
      <w:start w:val="1"/>
      <w:numFmt w:val="lowerRoman"/>
      <w:lvlText w:val="%6."/>
      <w:lvlJc w:val="right"/>
      <w:pPr>
        <w:ind w:left="4648" w:hanging="180"/>
      </w:pPr>
    </w:lvl>
    <w:lvl w:ilvl="6" w:tplc="0419000F" w:tentative="1">
      <w:start w:val="1"/>
      <w:numFmt w:val="decimal"/>
      <w:lvlText w:val="%7."/>
      <w:lvlJc w:val="left"/>
      <w:pPr>
        <w:ind w:left="5368" w:hanging="360"/>
      </w:pPr>
    </w:lvl>
    <w:lvl w:ilvl="7" w:tplc="04190019" w:tentative="1">
      <w:start w:val="1"/>
      <w:numFmt w:val="lowerLetter"/>
      <w:lvlText w:val="%8."/>
      <w:lvlJc w:val="left"/>
      <w:pPr>
        <w:ind w:left="6088" w:hanging="360"/>
      </w:pPr>
    </w:lvl>
    <w:lvl w:ilvl="8" w:tplc="0419001B" w:tentative="1">
      <w:start w:val="1"/>
      <w:numFmt w:val="lowerRoman"/>
      <w:lvlText w:val="%9."/>
      <w:lvlJc w:val="right"/>
      <w:pPr>
        <w:ind w:left="6808" w:hanging="180"/>
      </w:pPr>
    </w:lvl>
  </w:abstractNum>
  <w:abstractNum w:abstractNumId="134" w15:restartNumberingAfterBreak="0">
    <w:nsid w:val="520B2474"/>
    <w:multiLevelType w:val="hybridMultilevel"/>
    <w:tmpl w:val="4A88A67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15:restartNumberingAfterBreak="0">
    <w:nsid w:val="522D4BDD"/>
    <w:multiLevelType w:val="hybridMultilevel"/>
    <w:tmpl w:val="3F6466F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6" w15:restartNumberingAfterBreak="0">
    <w:nsid w:val="53A237A1"/>
    <w:multiLevelType w:val="multilevel"/>
    <w:tmpl w:val="AF5251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545C21F3"/>
    <w:multiLevelType w:val="hybridMultilevel"/>
    <w:tmpl w:val="5E1A6C2C"/>
    <w:lvl w:ilvl="0" w:tplc="0419000F">
      <w:start w:val="1"/>
      <w:numFmt w:val="decimal"/>
      <w:lvlText w:val="%1."/>
      <w:lvlJc w:val="left"/>
      <w:pPr>
        <w:ind w:left="765" w:hanging="360"/>
      </w:pPr>
    </w:lvl>
    <w:lvl w:ilvl="1" w:tplc="04190019" w:tentative="1">
      <w:start w:val="1"/>
      <w:numFmt w:val="lowerLetter"/>
      <w:lvlText w:val="%2."/>
      <w:lvlJc w:val="left"/>
      <w:pPr>
        <w:ind w:left="1485" w:hanging="360"/>
      </w:pPr>
    </w:lvl>
    <w:lvl w:ilvl="2" w:tplc="0419001B" w:tentative="1">
      <w:start w:val="1"/>
      <w:numFmt w:val="lowerRoman"/>
      <w:lvlText w:val="%3."/>
      <w:lvlJc w:val="right"/>
      <w:pPr>
        <w:ind w:left="2205" w:hanging="180"/>
      </w:pPr>
    </w:lvl>
    <w:lvl w:ilvl="3" w:tplc="0419000F" w:tentative="1">
      <w:start w:val="1"/>
      <w:numFmt w:val="decimal"/>
      <w:lvlText w:val="%4."/>
      <w:lvlJc w:val="left"/>
      <w:pPr>
        <w:ind w:left="2925" w:hanging="360"/>
      </w:pPr>
    </w:lvl>
    <w:lvl w:ilvl="4" w:tplc="04190019" w:tentative="1">
      <w:start w:val="1"/>
      <w:numFmt w:val="lowerLetter"/>
      <w:lvlText w:val="%5."/>
      <w:lvlJc w:val="left"/>
      <w:pPr>
        <w:ind w:left="3645" w:hanging="360"/>
      </w:pPr>
    </w:lvl>
    <w:lvl w:ilvl="5" w:tplc="0419001B" w:tentative="1">
      <w:start w:val="1"/>
      <w:numFmt w:val="lowerRoman"/>
      <w:lvlText w:val="%6."/>
      <w:lvlJc w:val="right"/>
      <w:pPr>
        <w:ind w:left="4365" w:hanging="180"/>
      </w:pPr>
    </w:lvl>
    <w:lvl w:ilvl="6" w:tplc="0419000F" w:tentative="1">
      <w:start w:val="1"/>
      <w:numFmt w:val="decimal"/>
      <w:lvlText w:val="%7."/>
      <w:lvlJc w:val="left"/>
      <w:pPr>
        <w:ind w:left="5085" w:hanging="360"/>
      </w:pPr>
    </w:lvl>
    <w:lvl w:ilvl="7" w:tplc="04190019" w:tentative="1">
      <w:start w:val="1"/>
      <w:numFmt w:val="lowerLetter"/>
      <w:lvlText w:val="%8."/>
      <w:lvlJc w:val="left"/>
      <w:pPr>
        <w:ind w:left="5805" w:hanging="360"/>
      </w:pPr>
    </w:lvl>
    <w:lvl w:ilvl="8" w:tplc="0419001B" w:tentative="1">
      <w:start w:val="1"/>
      <w:numFmt w:val="lowerRoman"/>
      <w:lvlText w:val="%9."/>
      <w:lvlJc w:val="right"/>
      <w:pPr>
        <w:ind w:left="6525" w:hanging="180"/>
      </w:pPr>
    </w:lvl>
  </w:abstractNum>
  <w:abstractNum w:abstractNumId="138" w15:restartNumberingAfterBreak="0">
    <w:nsid w:val="550145FA"/>
    <w:multiLevelType w:val="multilevel"/>
    <w:tmpl w:val="7B00176A"/>
    <w:styleLink w:val="4"/>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9" w15:restartNumberingAfterBreak="0">
    <w:nsid w:val="56FC3B69"/>
    <w:multiLevelType w:val="multilevel"/>
    <w:tmpl w:val="EC4CBD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15:restartNumberingAfterBreak="0">
    <w:nsid w:val="570B1345"/>
    <w:multiLevelType w:val="hybridMultilevel"/>
    <w:tmpl w:val="DD549BAE"/>
    <w:lvl w:ilvl="0" w:tplc="0419000F">
      <w:start w:val="1"/>
      <w:numFmt w:val="decimal"/>
      <w:lvlText w:val="%1."/>
      <w:lvlJc w:val="left"/>
      <w:pPr>
        <w:ind w:left="906" w:hanging="360"/>
      </w:pPr>
    </w:lvl>
    <w:lvl w:ilvl="1" w:tplc="04190019" w:tentative="1">
      <w:start w:val="1"/>
      <w:numFmt w:val="lowerLetter"/>
      <w:lvlText w:val="%2."/>
      <w:lvlJc w:val="left"/>
      <w:pPr>
        <w:ind w:left="1626" w:hanging="360"/>
      </w:pPr>
    </w:lvl>
    <w:lvl w:ilvl="2" w:tplc="0419001B" w:tentative="1">
      <w:start w:val="1"/>
      <w:numFmt w:val="lowerRoman"/>
      <w:lvlText w:val="%3."/>
      <w:lvlJc w:val="right"/>
      <w:pPr>
        <w:ind w:left="2346" w:hanging="180"/>
      </w:pPr>
    </w:lvl>
    <w:lvl w:ilvl="3" w:tplc="0419000F" w:tentative="1">
      <w:start w:val="1"/>
      <w:numFmt w:val="decimal"/>
      <w:lvlText w:val="%4."/>
      <w:lvlJc w:val="left"/>
      <w:pPr>
        <w:ind w:left="3066" w:hanging="360"/>
      </w:pPr>
    </w:lvl>
    <w:lvl w:ilvl="4" w:tplc="04190019" w:tentative="1">
      <w:start w:val="1"/>
      <w:numFmt w:val="lowerLetter"/>
      <w:lvlText w:val="%5."/>
      <w:lvlJc w:val="left"/>
      <w:pPr>
        <w:ind w:left="3786" w:hanging="360"/>
      </w:pPr>
    </w:lvl>
    <w:lvl w:ilvl="5" w:tplc="0419001B" w:tentative="1">
      <w:start w:val="1"/>
      <w:numFmt w:val="lowerRoman"/>
      <w:lvlText w:val="%6."/>
      <w:lvlJc w:val="right"/>
      <w:pPr>
        <w:ind w:left="4506" w:hanging="180"/>
      </w:pPr>
    </w:lvl>
    <w:lvl w:ilvl="6" w:tplc="0419000F" w:tentative="1">
      <w:start w:val="1"/>
      <w:numFmt w:val="decimal"/>
      <w:lvlText w:val="%7."/>
      <w:lvlJc w:val="left"/>
      <w:pPr>
        <w:ind w:left="5226" w:hanging="360"/>
      </w:pPr>
    </w:lvl>
    <w:lvl w:ilvl="7" w:tplc="04190019" w:tentative="1">
      <w:start w:val="1"/>
      <w:numFmt w:val="lowerLetter"/>
      <w:lvlText w:val="%8."/>
      <w:lvlJc w:val="left"/>
      <w:pPr>
        <w:ind w:left="5946" w:hanging="360"/>
      </w:pPr>
    </w:lvl>
    <w:lvl w:ilvl="8" w:tplc="0419001B" w:tentative="1">
      <w:start w:val="1"/>
      <w:numFmt w:val="lowerRoman"/>
      <w:lvlText w:val="%9."/>
      <w:lvlJc w:val="right"/>
      <w:pPr>
        <w:ind w:left="6666" w:hanging="180"/>
      </w:pPr>
    </w:lvl>
  </w:abstractNum>
  <w:abstractNum w:abstractNumId="141" w15:restartNumberingAfterBreak="0">
    <w:nsid w:val="57331127"/>
    <w:multiLevelType w:val="hybridMultilevel"/>
    <w:tmpl w:val="888CC7C2"/>
    <w:lvl w:ilvl="0" w:tplc="0419000F">
      <w:start w:val="1"/>
      <w:numFmt w:val="decimal"/>
      <w:lvlText w:val="%1."/>
      <w:lvlJc w:val="left"/>
      <w:pPr>
        <w:ind w:left="906" w:hanging="360"/>
      </w:pPr>
    </w:lvl>
    <w:lvl w:ilvl="1" w:tplc="04190019" w:tentative="1">
      <w:start w:val="1"/>
      <w:numFmt w:val="lowerLetter"/>
      <w:lvlText w:val="%2."/>
      <w:lvlJc w:val="left"/>
      <w:pPr>
        <w:ind w:left="1626" w:hanging="360"/>
      </w:pPr>
    </w:lvl>
    <w:lvl w:ilvl="2" w:tplc="0419001B" w:tentative="1">
      <w:start w:val="1"/>
      <w:numFmt w:val="lowerRoman"/>
      <w:lvlText w:val="%3."/>
      <w:lvlJc w:val="right"/>
      <w:pPr>
        <w:ind w:left="2346" w:hanging="180"/>
      </w:pPr>
    </w:lvl>
    <w:lvl w:ilvl="3" w:tplc="0419000F" w:tentative="1">
      <w:start w:val="1"/>
      <w:numFmt w:val="decimal"/>
      <w:lvlText w:val="%4."/>
      <w:lvlJc w:val="left"/>
      <w:pPr>
        <w:ind w:left="3066" w:hanging="360"/>
      </w:pPr>
    </w:lvl>
    <w:lvl w:ilvl="4" w:tplc="04190019" w:tentative="1">
      <w:start w:val="1"/>
      <w:numFmt w:val="lowerLetter"/>
      <w:lvlText w:val="%5."/>
      <w:lvlJc w:val="left"/>
      <w:pPr>
        <w:ind w:left="3786" w:hanging="360"/>
      </w:pPr>
    </w:lvl>
    <w:lvl w:ilvl="5" w:tplc="0419001B" w:tentative="1">
      <w:start w:val="1"/>
      <w:numFmt w:val="lowerRoman"/>
      <w:lvlText w:val="%6."/>
      <w:lvlJc w:val="right"/>
      <w:pPr>
        <w:ind w:left="4506" w:hanging="180"/>
      </w:pPr>
    </w:lvl>
    <w:lvl w:ilvl="6" w:tplc="0419000F" w:tentative="1">
      <w:start w:val="1"/>
      <w:numFmt w:val="decimal"/>
      <w:lvlText w:val="%7."/>
      <w:lvlJc w:val="left"/>
      <w:pPr>
        <w:ind w:left="5226" w:hanging="360"/>
      </w:pPr>
    </w:lvl>
    <w:lvl w:ilvl="7" w:tplc="04190019" w:tentative="1">
      <w:start w:val="1"/>
      <w:numFmt w:val="lowerLetter"/>
      <w:lvlText w:val="%8."/>
      <w:lvlJc w:val="left"/>
      <w:pPr>
        <w:ind w:left="5946" w:hanging="360"/>
      </w:pPr>
    </w:lvl>
    <w:lvl w:ilvl="8" w:tplc="0419001B" w:tentative="1">
      <w:start w:val="1"/>
      <w:numFmt w:val="lowerRoman"/>
      <w:lvlText w:val="%9."/>
      <w:lvlJc w:val="right"/>
      <w:pPr>
        <w:ind w:left="6666" w:hanging="180"/>
      </w:pPr>
    </w:lvl>
  </w:abstractNum>
  <w:abstractNum w:abstractNumId="142" w15:restartNumberingAfterBreak="0">
    <w:nsid w:val="58F9124D"/>
    <w:multiLevelType w:val="hybridMultilevel"/>
    <w:tmpl w:val="128E1E9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3" w15:restartNumberingAfterBreak="0">
    <w:nsid w:val="59DF7630"/>
    <w:multiLevelType w:val="hybridMultilevel"/>
    <w:tmpl w:val="9E162DA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4" w15:restartNumberingAfterBreak="0">
    <w:nsid w:val="5A0C4AFB"/>
    <w:multiLevelType w:val="hybridMultilevel"/>
    <w:tmpl w:val="818A0D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5" w15:restartNumberingAfterBreak="0">
    <w:nsid w:val="5A5D6727"/>
    <w:multiLevelType w:val="hybridMultilevel"/>
    <w:tmpl w:val="2F1A51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6" w15:restartNumberingAfterBreak="0">
    <w:nsid w:val="5B0F1DA3"/>
    <w:multiLevelType w:val="hybridMultilevel"/>
    <w:tmpl w:val="64AED80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7" w15:restartNumberingAfterBreak="0">
    <w:nsid w:val="5BC97154"/>
    <w:multiLevelType w:val="hybridMultilevel"/>
    <w:tmpl w:val="00A636C0"/>
    <w:lvl w:ilvl="0" w:tplc="0419000F">
      <w:start w:val="1"/>
      <w:numFmt w:val="decimal"/>
      <w:lvlText w:val="%1."/>
      <w:lvlJc w:val="left"/>
      <w:pPr>
        <w:ind w:left="906" w:hanging="360"/>
      </w:pPr>
    </w:lvl>
    <w:lvl w:ilvl="1" w:tplc="04190019" w:tentative="1">
      <w:start w:val="1"/>
      <w:numFmt w:val="lowerLetter"/>
      <w:lvlText w:val="%2."/>
      <w:lvlJc w:val="left"/>
      <w:pPr>
        <w:ind w:left="1626" w:hanging="360"/>
      </w:pPr>
    </w:lvl>
    <w:lvl w:ilvl="2" w:tplc="0419001B" w:tentative="1">
      <w:start w:val="1"/>
      <w:numFmt w:val="lowerRoman"/>
      <w:lvlText w:val="%3."/>
      <w:lvlJc w:val="right"/>
      <w:pPr>
        <w:ind w:left="2346" w:hanging="180"/>
      </w:pPr>
    </w:lvl>
    <w:lvl w:ilvl="3" w:tplc="0419000F" w:tentative="1">
      <w:start w:val="1"/>
      <w:numFmt w:val="decimal"/>
      <w:lvlText w:val="%4."/>
      <w:lvlJc w:val="left"/>
      <w:pPr>
        <w:ind w:left="3066" w:hanging="360"/>
      </w:pPr>
    </w:lvl>
    <w:lvl w:ilvl="4" w:tplc="04190019" w:tentative="1">
      <w:start w:val="1"/>
      <w:numFmt w:val="lowerLetter"/>
      <w:lvlText w:val="%5."/>
      <w:lvlJc w:val="left"/>
      <w:pPr>
        <w:ind w:left="3786" w:hanging="360"/>
      </w:pPr>
    </w:lvl>
    <w:lvl w:ilvl="5" w:tplc="0419001B" w:tentative="1">
      <w:start w:val="1"/>
      <w:numFmt w:val="lowerRoman"/>
      <w:lvlText w:val="%6."/>
      <w:lvlJc w:val="right"/>
      <w:pPr>
        <w:ind w:left="4506" w:hanging="180"/>
      </w:pPr>
    </w:lvl>
    <w:lvl w:ilvl="6" w:tplc="0419000F" w:tentative="1">
      <w:start w:val="1"/>
      <w:numFmt w:val="decimal"/>
      <w:lvlText w:val="%7."/>
      <w:lvlJc w:val="left"/>
      <w:pPr>
        <w:ind w:left="5226" w:hanging="360"/>
      </w:pPr>
    </w:lvl>
    <w:lvl w:ilvl="7" w:tplc="04190019" w:tentative="1">
      <w:start w:val="1"/>
      <w:numFmt w:val="lowerLetter"/>
      <w:lvlText w:val="%8."/>
      <w:lvlJc w:val="left"/>
      <w:pPr>
        <w:ind w:left="5946" w:hanging="360"/>
      </w:pPr>
    </w:lvl>
    <w:lvl w:ilvl="8" w:tplc="0419001B" w:tentative="1">
      <w:start w:val="1"/>
      <w:numFmt w:val="lowerRoman"/>
      <w:lvlText w:val="%9."/>
      <w:lvlJc w:val="right"/>
      <w:pPr>
        <w:ind w:left="6666" w:hanging="180"/>
      </w:pPr>
    </w:lvl>
  </w:abstractNum>
  <w:abstractNum w:abstractNumId="148" w15:restartNumberingAfterBreak="0">
    <w:nsid w:val="5CB7307D"/>
    <w:multiLevelType w:val="hybridMultilevel"/>
    <w:tmpl w:val="A4E20124"/>
    <w:lvl w:ilvl="0" w:tplc="96223676">
      <w:start w:val="1"/>
      <w:numFmt w:val="decimal"/>
      <w:lvlText w:val="%1."/>
      <w:lvlJc w:val="left"/>
      <w:pPr>
        <w:ind w:left="750" w:hanging="39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49" w15:restartNumberingAfterBreak="0">
    <w:nsid w:val="5CFB47F0"/>
    <w:multiLevelType w:val="hybridMultilevel"/>
    <w:tmpl w:val="2FD8CDF4"/>
    <w:lvl w:ilvl="0" w:tplc="0419000F">
      <w:start w:val="1"/>
      <w:numFmt w:val="decimal"/>
      <w:lvlText w:val="%1."/>
      <w:lvlJc w:val="left"/>
      <w:pPr>
        <w:ind w:left="2487"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0" w15:restartNumberingAfterBreak="0">
    <w:nsid w:val="5CFD325D"/>
    <w:multiLevelType w:val="hybridMultilevel"/>
    <w:tmpl w:val="F1AE3C08"/>
    <w:lvl w:ilvl="0" w:tplc="98521F56">
      <w:start w:val="1"/>
      <w:numFmt w:val="bullet"/>
      <w:lvlText w:val=""/>
      <w:lvlJc w:val="left"/>
      <w:pPr>
        <w:tabs>
          <w:tab w:val="num" w:pos="720"/>
        </w:tabs>
        <w:ind w:left="720" w:hanging="360"/>
      </w:pPr>
      <w:rPr>
        <w:rFonts w:ascii="Symbol" w:hAnsi="Symbol" w:hint="default"/>
      </w:rPr>
    </w:lvl>
    <w:lvl w:ilvl="1" w:tplc="806AD3DC" w:tentative="1">
      <w:start w:val="1"/>
      <w:numFmt w:val="bullet"/>
      <w:lvlText w:val=""/>
      <w:lvlJc w:val="left"/>
      <w:pPr>
        <w:tabs>
          <w:tab w:val="num" w:pos="1440"/>
        </w:tabs>
        <w:ind w:left="1440" w:hanging="360"/>
      </w:pPr>
      <w:rPr>
        <w:rFonts w:ascii="Symbol" w:hAnsi="Symbol" w:hint="default"/>
      </w:rPr>
    </w:lvl>
    <w:lvl w:ilvl="2" w:tplc="3D52F13C" w:tentative="1">
      <w:start w:val="1"/>
      <w:numFmt w:val="bullet"/>
      <w:lvlText w:val=""/>
      <w:lvlJc w:val="left"/>
      <w:pPr>
        <w:tabs>
          <w:tab w:val="num" w:pos="2160"/>
        </w:tabs>
        <w:ind w:left="2160" w:hanging="360"/>
      </w:pPr>
      <w:rPr>
        <w:rFonts w:ascii="Symbol" w:hAnsi="Symbol" w:hint="default"/>
      </w:rPr>
    </w:lvl>
    <w:lvl w:ilvl="3" w:tplc="4328A5CA" w:tentative="1">
      <w:start w:val="1"/>
      <w:numFmt w:val="bullet"/>
      <w:lvlText w:val=""/>
      <w:lvlJc w:val="left"/>
      <w:pPr>
        <w:tabs>
          <w:tab w:val="num" w:pos="2880"/>
        </w:tabs>
        <w:ind w:left="2880" w:hanging="360"/>
      </w:pPr>
      <w:rPr>
        <w:rFonts w:ascii="Symbol" w:hAnsi="Symbol" w:hint="default"/>
      </w:rPr>
    </w:lvl>
    <w:lvl w:ilvl="4" w:tplc="B9905F0C" w:tentative="1">
      <w:start w:val="1"/>
      <w:numFmt w:val="bullet"/>
      <w:lvlText w:val=""/>
      <w:lvlJc w:val="left"/>
      <w:pPr>
        <w:tabs>
          <w:tab w:val="num" w:pos="3600"/>
        </w:tabs>
        <w:ind w:left="3600" w:hanging="360"/>
      </w:pPr>
      <w:rPr>
        <w:rFonts w:ascii="Symbol" w:hAnsi="Symbol" w:hint="default"/>
      </w:rPr>
    </w:lvl>
    <w:lvl w:ilvl="5" w:tplc="A56EDB72" w:tentative="1">
      <w:start w:val="1"/>
      <w:numFmt w:val="bullet"/>
      <w:lvlText w:val=""/>
      <w:lvlJc w:val="left"/>
      <w:pPr>
        <w:tabs>
          <w:tab w:val="num" w:pos="4320"/>
        </w:tabs>
        <w:ind w:left="4320" w:hanging="360"/>
      </w:pPr>
      <w:rPr>
        <w:rFonts w:ascii="Symbol" w:hAnsi="Symbol" w:hint="default"/>
      </w:rPr>
    </w:lvl>
    <w:lvl w:ilvl="6" w:tplc="23224FF2" w:tentative="1">
      <w:start w:val="1"/>
      <w:numFmt w:val="bullet"/>
      <w:lvlText w:val=""/>
      <w:lvlJc w:val="left"/>
      <w:pPr>
        <w:tabs>
          <w:tab w:val="num" w:pos="5040"/>
        </w:tabs>
        <w:ind w:left="5040" w:hanging="360"/>
      </w:pPr>
      <w:rPr>
        <w:rFonts w:ascii="Symbol" w:hAnsi="Symbol" w:hint="default"/>
      </w:rPr>
    </w:lvl>
    <w:lvl w:ilvl="7" w:tplc="74D69C50" w:tentative="1">
      <w:start w:val="1"/>
      <w:numFmt w:val="bullet"/>
      <w:lvlText w:val=""/>
      <w:lvlJc w:val="left"/>
      <w:pPr>
        <w:tabs>
          <w:tab w:val="num" w:pos="5760"/>
        </w:tabs>
        <w:ind w:left="5760" w:hanging="360"/>
      </w:pPr>
      <w:rPr>
        <w:rFonts w:ascii="Symbol" w:hAnsi="Symbol" w:hint="default"/>
      </w:rPr>
    </w:lvl>
    <w:lvl w:ilvl="8" w:tplc="31723A08" w:tentative="1">
      <w:start w:val="1"/>
      <w:numFmt w:val="bullet"/>
      <w:lvlText w:val=""/>
      <w:lvlJc w:val="left"/>
      <w:pPr>
        <w:tabs>
          <w:tab w:val="num" w:pos="6480"/>
        </w:tabs>
        <w:ind w:left="6480" w:hanging="360"/>
      </w:pPr>
      <w:rPr>
        <w:rFonts w:ascii="Symbol" w:hAnsi="Symbol" w:hint="default"/>
      </w:rPr>
    </w:lvl>
  </w:abstractNum>
  <w:abstractNum w:abstractNumId="151" w15:restartNumberingAfterBreak="0">
    <w:nsid w:val="5D235340"/>
    <w:multiLevelType w:val="multilevel"/>
    <w:tmpl w:val="EA623AF0"/>
    <w:lvl w:ilvl="0">
      <w:start w:val="1"/>
      <w:numFmt w:val="decimal"/>
      <w:lvlText w:val="%1."/>
      <w:lvlJc w:val="left"/>
      <w:pPr>
        <w:tabs>
          <w:tab w:val="num" w:pos="720"/>
        </w:tabs>
        <w:ind w:left="720" w:hanging="360"/>
      </w:pPr>
      <w:rPr>
        <w:rFonts w:hint="default"/>
        <w:sz w:val="18"/>
        <w:szCs w:val="18"/>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5DD629AB"/>
    <w:multiLevelType w:val="hybridMultilevel"/>
    <w:tmpl w:val="BF300A38"/>
    <w:lvl w:ilvl="0" w:tplc="04220001">
      <w:start w:val="1"/>
      <w:numFmt w:val="bullet"/>
      <w:lvlText w:val=""/>
      <w:lvlJc w:val="left"/>
      <w:pPr>
        <w:ind w:left="360" w:hanging="360"/>
      </w:pPr>
      <w:rPr>
        <w:rFonts w:ascii="Symbol" w:hAnsi="Symbol" w:hint="default"/>
      </w:rPr>
    </w:lvl>
    <w:lvl w:ilvl="1" w:tplc="04220003" w:tentative="1">
      <w:start w:val="1"/>
      <w:numFmt w:val="bullet"/>
      <w:lvlText w:val="o"/>
      <w:lvlJc w:val="left"/>
      <w:pPr>
        <w:ind w:left="1080" w:hanging="360"/>
      </w:pPr>
      <w:rPr>
        <w:rFonts w:ascii="Courier New" w:hAnsi="Courier New" w:cs="Courier New" w:hint="default"/>
      </w:rPr>
    </w:lvl>
    <w:lvl w:ilvl="2" w:tplc="04220005" w:tentative="1">
      <w:start w:val="1"/>
      <w:numFmt w:val="bullet"/>
      <w:lvlText w:val=""/>
      <w:lvlJc w:val="left"/>
      <w:pPr>
        <w:ind w:left="1800" w:hanging="360"/>
      </w:pPr>
      <w:rPr>
        <w:rFonts w:ascii="Wingdings" w:hAnsi="Wingdings" w:hint="default"/>
      </w:rPr>
    </w:lvl>
    <w:lvl w:ilvl="3" w:tplc="04220001" w:tentative="1">
      <w:start w:val="1"/>
      <w:numFmt w:val="bullet"/>
      <w:lvlText w:val=""/>
      <w:lvlJc w:val="left"/>
      <w:pPr>
        <w:ind w:left="2520" w:hanging="360"/>
      </w:pPr>
      <w:rPr>
        <w:rFonts w:ascii="Symbol" w:hAnsi="Symbol" w:hint="default"/>
      </w:rPr>
    </w:lvl>
    <w:lvl w:ilvl="4" w:tplc="04220003" w:tentative="1">
      <w:start w:val="1"/>
      <w:numFmt w:val="bullet"/>
      <w:lvlText w:val="o"/>
      <w:lvlJc w:val="left"/>
      <w:pPr>
        <w:ind w:left="3240" w:hanging="360"/>
      </w:pPr>
      <w:rPr>
        <w:rFonts w:ascii="Courier New" w:hAnsi="Courier New" w:cs="Courier New" w:hint="default"/>
      </w:rPr>
    </w:lvl>
    <w:lvl w:ilvl="5" w:tplc="04220005" w:tentative="1">
      <w:start w:val="1"/>
      <w:numFmt w:val="bullet"/>
      <w:lvlText w:val=""/>
      <w:lvlJc w:val="left"/>
      <w:pPr>
        <w:ind w:left="3960" w:hanging="360"/>
      </w:pPr>
      <w:rPr>
        <w:rFonts w:ascii="Wingdings" w:hAnsi="Wingdings" w:hint="default"/>
      </w:rPr>
    </w:lvl>
    <w:lvl w:ilvl="6" w:tplc="04220001" w:tentative="1">
      <w:start w:val="1"/>
      <w:numFmt w:val="bullet"/>
      <w:lvlText w:val=""/>
      <w:lvlJc w:val="left"/>
      <w:pPr>
        <w:ind w:left="4680" w:hanging="360"/>
      </w:pPr>
      <w:rPr>
        <w:rFonts w:ascii="Symbol" w:hAnsi="Symbol" w:hint="default"/>
      </w:rPr>
    </w:lvl>
    <w:lvl w:ilvl="7" w:tplc="04220003" w:tentative="1">
      <w:start w:val="1"/>
      <w:numFmt w:val="bullet"/>
      <w:lvlText w:val="o"/>
      <w:lvlJc w:val="left"/>
      <w:pPr>
        <w:ind w:left="5400" w:hanging="360"/>
      </w:pPr>
      <w:rPr>
        <w:rFonts w:ascii="Courier New" w:hAnsi="Courier New" w:cs="Courier New" w:hint="default"/>
      </w:rPr>
    </w:lvl>
    <w:lvl w:ilvl="8" w:tplc="04220005" w:tentative="1">
      <w:start w:val="1"/>
      <w:numFmt w:val="bullet"/>
      <w:lvlText w:val=""/>
      <w:lvlJc w:val="left"/>
      <w:pPr>
        <w:ind w:left="6120" w:hanging="360"/>
      </w:pPr>
      <w:rPr>
        <w:rFonts w:ascii="Wingdings" w:hAnsi="Wingdings" w:hint="default"/>
      </w:rPr>
    </w:lvl>
  </w:abstractNum>
  <w:abstractNum w:abstractNumId="153" w15:restartNumberingAfterBreak="0">
    <w:nsid w:val="5E0F26B7"/>
    <w:multiLevelType w:val="hybridMultilevel"/>
    <w:tmpl w:val="5D8C270A"/>
    <w:lvl w:ilvl="0" w:tplc="5840FB18">
      <w:start w:val="1"/>
      <w:numFmt w:val="decimal"/>
      <w:lvlText w:val="%1."/>
      <w:lvlJc w:val="left"/>
      <w:pPr>
        <w:ind w:left="525" w:hanging="360"/>
      </w:pPr>
      <w:rPr>
        <w:rFonts w:hint="default"/>
      </w:rPr>
    </w:lvl>
    <w:lvl w:ilvl="1" w:tplc="04220019" w:tentative="1">
      <w:start w:val="1"/>
      <w:numFmt w:val="lowerLetter"/>
      <w:lvlText w:val="%2."/>
      <w:lvlJc w:val="left"/>
      <w:pPr>
        <w:ind w:left="1245" w:hanging="360"/>
      </w:pPr>
    </w:lvl>
    <w:lvl w:ilvl="2" w:tplc="0422001B" w:tentative="1">
      <w:start w:val="1"/>
      <w:numFmt w:val="lowerRoman"/>
      <w:lvlText w:val="%3."/>
      <w:lvlJc w:val="right"/>
      <w:pPr>
        <w:ind w:left="1965" w:hanging="180"/>
      </w:pPr>
    </w:lvl>
    <w:lvl w:ilvl="3" w:tplc="0422000F" w:tentative="1">
      <w:start w:val="1"/>
      <w:numFmt w:val="decimal"/>
      <w:lvlText w:val="%4."/>
      <w:lvlJc w:val="left"/>
      <w:pPr>
        <w:ind w:left="2685" w:hanging="360"/>
      </w:pPr>
    </w:lvl>
    <w:lvl w:ilvl="4" w:tplc="04220019" w:tentative="1">
      <w:start w:val="1"/>
      <w:numFmt w:val="lowerLetter"/>
      <w:lvlText w:val="%5."/>
      <w:lvlJc w:val="left"/>
      <w:pPr>
        <w:ind w:left="3405" w:hanging="360"/>
      </w:pPr>
    </w:lvl>
    <w:lvl w:ilvl="5" w:tplc="0422001B" w:tentative="1">
      <w:start w:val="1"/>
      <w:numFmt w:val="lowerRoman"/>
      <w:lvlText w:val="%6."/>
      <w:lvlJc w:val="right"/>
      <w:pPr>
        <w:ind w:left="4125" w:hanging="180"/>
      </w:pPr>
    </w:lvl>
    <w:lvl w:ilvl="6" w:tplc="0422000F" w:tentative="1">
      <w:start w:val="1"/>
      <w:numFmt w:val="decimal"/>
      <w:lvlText w:val="%7."/>
      <w:lvlJc w:val="left"/>
      <w:pPr>
        <w:ind w:left="4845" w:hanging="360"/>
      </w:pPr>
    </w:lvl>
    <w:lvl w:ilvl="7" w:tplc="04220019" w:tentative="1">
      <w:start w:val="1"/>
      <w:numFmt w:val="lowerLetter"/>
      <w:lvlText w:val="%8."/>
      <w:lvlJc w:val="left"/>
      <w:pPr>
        <w:ind w:left="5565" w:hanging="360"/>
      </w:pPr>
    </w:lvl>
    <w:lvl w:ilvl="8" w:tplc="0422001B" w:tentative="1">
      <w:start w:val="1"/>
      <w:numFmt w:val="lowerRoman"/>
      <w:lvlText w:val="%9."/>
      <w:lvlJc w:val="right"/>
      <w:pPr>
        <w:ind w:left="6285" w:hanging="180"/>
      </w:pPr>
    </w:lvl>
  </w:abstractNum>
  <w:abstractNum w:abstractNumId="154" w15:restartNumberingAfterBreak="0">
    <w:nsid w:val="5EA22A7A"/>
    <w:multiLevelType w:val="multilevel"/>
    <w:tmpl w:val="879E24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5" w15:restartNumberingAfterBreak="0">
    <w:nsid w:val="5EA4028D"/>
    <w:multiLevelType w:val="hybridMultilevel"/>
    <w:tmpl w:val="19124EFA"/>
    <w:lvl w:ilvl="0" w:tplc="0419000F">
      <w:start w:val="1"/>
      <w:numFmt w:val="decimal"/>
      <w:lvlText w:val="%1."/>
      <w:lvlJc w:val="left"/>
      <w:pPr>
        <w:ind w:left="906" w:hanging="360"/>
      </w:pPr>
    </w:lvl>
    <w:lvl w:ilvl="1" w:tplc="04190019" w:tentative="1">
      <w:start w:val="1"/>
      <w:numFmt w:val="lowerLetter"/>
      <w:lvlText w:val="%2."/>
      <w:lvlJc w:val="left"/>
      <w:pPr>
        <w:ind w:left="1626" w:hanging="360"/>
      </w:pPr>
    </w:lvl>
    <w:lvl w:ilvl="2" w:tplc="0419001B" w:tentative="1">
      <w:start w:val="1"/>
      <w:numFmt w:val="lowerRoman"/>
      <w:lvlText w:val="%3."/>
      <w:lvlJc w:val="right"/>
      <w:pPr>
        <w:ind w:left="2346" w:hanging="180"/>
      </w:pPr>
    </w:lvl>
    <w:lvl w:ilvl="3" w:tplc="0419000F" w:tentative="1">
      <w:start w:val="1"/>
      <w:numFmt w:val="decimal"/>
      <w:lvlText w:val="%4."/>
      <w:lvlJc w:val="left"/>
      <w:pPr>
        <w:ind w:left="3066" w:hanging="360"/>
      </w:pPr>
    </w:lvl>
    <w:lvl w:ilvl="4" w:tplc="04190019" w:tentative="1">
      <w:start w:val="1"/>
      <w:numFmt w:val="lowerLetter"/>
      <w:lvlText w:val="%5."/>
      <w:lvlJc w:val="left"/>
      <w:pPr>
        <w:ind w:left="3786" w:hanging="360"/>
      </w:pPr>
    </w:lvl>
    <w:lvl w:ilvl="5" w:tplc="0419001B" w:tentative="1">
      <w:start w:val="1"/>
      <w:numFmt w:val="lowerRoman"/>
      <w:lvlText w:val="%6."/>
      <w:lvlJc w:val="right"/>
      <w:pPr>
        <w:ind w:left="4506" w:hanging="180"/>
      </w:pPr>
    </w:lvl>
    <w:lvl w:ilvl="6" w:tplc="0419000F" w:tentative="1">
      <w:start w:val="1"/>
      <w:numFmt w:val="decimal"/>
      <w:lvlText w:val="%7."/>
      <w:lvlJc w:val="left"/>
      <w:pPr>
        <w:ind w:left="5226" w:hanging="360"/>
      </w:pPr>
    </w:lvl>
    <w:lvl w:ilvl="7" w:tplc="04190019" w:tentative="1">
      <w:start w:val="1"/>
      <w:numFmt w:val="lowerLetter"/>
      <w:lvlText w:val="%8."/>
      <w:lvlJc w:val="left"/>
      <w:pPr>
        <w:ind w:left="5946" w:hanging="360"/>
      </w:pPr>
    </w:lvl>
    <w:lvl w:ilvl="8" w:tplc="0419001B" w:tentative="1">
      <w:start w:val="1"/>
      <w:numFmt w:val="lowerRoman"/>
      <w:lvlText w:val="%9."/>
      <w:lvlJc w:val="right"/>
      <w:pPr>
        <w:ind w:left="6666" w:hanging="180"/>
      </w:pPr>
    </w:lvl>
  </w:abstractNum>
  <w:abstractNum w:abstractNumId="156" w15:restartNumberingAfterBreak="0">
    <w:nsid w:val="607F3BC2"/>
    <w:multiLevelType w:val="multilevel"/>
    <w:tmpl w:val="8A9895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61E43203"/>
    <w:multiLevelType w:val="multilevel"/>
    <w:tmpl w:val="D0889644"/>
    <w:lvl w:ilvl="0">
      <w:start w:val="1"/>
      <w:numFmt w:val="decimal"/>
      <w:lvlText w:val="%1."/>
      <w:lvlJc w:val="left"/>
      <w:pPr>
        <w:tabs>
          <w:tab w:val="num" w:pos="720"/>
        </w:tabs>
        <w:ind w:left="720" w:hanging="360"/>
      </w:pPr>
      <w:rPr>
        <w:rFonts w:ascii="Arial" w:eastAsia="Times New Roman" w:hAnsi="Arial" w:cs="Arial"/>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8" w15:restartNumberingAfterBreak="0">
    <w:nsid w:val="63447C8E"/>
    <w:multiLevelType w:val="hybridMultilevel"/>
    <w:tmpl w:val="A4E20124"/>
    <w:lvl w:ilvl="0" w:tplc="96223676">
      <w:start w:val="1"/>
      <w:numFmt w:val="decimal"/>
      <w:lvlText w:val="%1."/>
      <w:lvlJc w:val="left"/>
      <w:pPr>
        <w:ind w:left="750" w:hanging="39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59" w15:restartNumberingAfterBreak="0">
    <w:nsid w:val="64166CC7"/>
    <w:multiLevelType w:val="hybridMultilevel"/>
    <w:tmpl w:val="AD18E79E"/>
    <w:lvl w:ilvl="0" w:tplc="0419000F">
      <w:start w:val="1"/>
      <w:numFmt w:val="decimal"/>
      <w:lvlText w:val="%1."/>
      <w:lvlJc w:val="left"/>
      <w:pPr>
        <w:ind w:left="305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0" w15:restartNumberingAfterBreak="0">
    <w:nsid w:val="641B20BC"/>
    <w:multiLevelType w:val="multilevel"/>
    <w:tmpl w:val="16181A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1" w15:restartNumberingAfterBreak="0">
    <w:nsid w:val="655D6D32"/>
    <w:multiLevelType w:val="multilevel"/>
    <w:tmpl w:val="DBD401AE"/>
    <w:styleLink w:val="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2" w15:restartNumberingAfterBreak="0">
    <w:nsid w:val="65AC426A"/>
    <w:multiLevelType w:val="hybridMultilevel"/>
    <w:tmpl w:val="4DE2569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3" w15:restartNumberingAfterBreak="0">
    <w:nsid w:val="65BE01F9"/>
    <w:multiLevelType w:val="hybridMultilevel"/>
    <w:tmpl w:val="CE6EF86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64" w15:restartNumberingAfterBreak="0">
    <w:nsid w:val="66C311E6"/>
    <w:multiLevelType w:val="hybridMultilevel"/>
    <w:tmpl w:val="A0AC73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5" w15:restartNumberingAfterBreak="0">
    <w:nsid w:val="66CE3D4E"/>
    <w:multiLevelType w:val="multilevel"/>
    <w:tmpl w:val="1878F7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15:restartNumberingAfterBreak="0">
    <w:nsid w:val="68A956B2"/>
    <w:multiLevelType w:val="hybridMultilevel"/>
    <w:tmpl w:val="8BA24B78"/>
    <w:lvl w:ilvl="0" w:tplc="0419000F">
      <w:start w:val="1"/>
      <w:numFmt w:val="decimal"/>
      <w:lvlText w:val="%1."/>
      <w:lvlJc w:val="left"/>
      <w:pPr>
        <w:ind w:left="906" w:hanging="360"/>
      </w:pPr>
    </w:lvl>
    <w:lvl w:ilvl="1" w:tplc="04190019" w:tentative="1">
      <w:start w:val="1"/>
      <w:numFmt w:val="lowerLetter"/>
      <w:lvlText w:val="%2."/>
      <w:lvlJc w:val="left"/>
      <w:pPr>
        <w:ind w:left="1626" w:hanging="360"/>
      </w:pPr>
    </w:lvl>
    <w:lvl w:ilvl="2" w:tplc="0419001B" w:tentative="1">
      <w:start w:val="1"/>
      <w:numFmt w:val="lowerRoman"/>
      <w:lvlText w:val="%3."/>
      <w:lvlJc w:val="right"/>
      <w:pPr>
        <w:ind w:left="2346" w:hanging="180"/>
      </w:pPr>
    </w:lvl>
    <w:lvl w:ilvl="3" w:tplc="0419000F" w:tentative="1">
      <w:start w:val="1"/>
      <w:numFmt w:val="decimal"/>
      <w:lvlText w:val="%4."/>
      <w:lvlJc w:val="left"/>
      <w:pPr>
        <w:ind w:left="3066" w:hanging="360"/>
      </w:pPr>
    </w:lvl>
    <w:lvl w:ilvl="4" w:tplc="04190019" w:tentative="1">
      <w:start w:val="1"/>
      <w:numFmt w:val="lowerLetter"/>
      <w:lvlText w:val="%5."/>
      <w:lvlJc w:val="left"/>
      <w:pPr>
        <w:ind w:left="3786" w:hanging="360"/>
      </w:pPr>
    </w:lvl>
    <w:lvl w:ilvl="5" w:tplc="0419001B" w:tentative="1">
      <w:start w:val="1"/>
      <w:numFmt w:val="lowerRoman"/>
      <w:lvlText w:val="%6."/>
      <w:lvlJc w:val="right"/>
      <w:pPr>
        <w:ind w:left="4506" w:hanging="180"/>
      </w:pPr>
    </w:lvl>
    <w:lvl w:ilvl="6" w:tplc="0419000F" w:tentative="1">
      <w:start w:val="1"/>
      <w:numFmt w:val="decimal"/>
      <w:lvlText w:val="%7."/>
      <w:lvlJc w:val="left"/>
      <w:pPr>
        <w:ind w:left="5226" w:hanging="360"/>
      </w:pPr>
    </w:lvl>
    <w:lvl w:ilvl="7" w:tplc="04190019" w:tentative="1">
      <w:start w:val="1"/>
      <w:numFmt w:val="lowerLetter"/>
      <w:lvlText w:val="%8."/>
      <w:lvlJc w:val="left"/>
      <w:pPr>
        <w:ind w:left="5946" w:hanging="360"/>
      </w:pPr>
    </w:lvl>
    <w:lvl w:ilvl="8" w:tplc="0419001B" w:tentative="1">
      <w:start w:val="1"/>
      <w:numFmt w:val="lowerRoman"/>
      <w:lvlText w:val="%9."/>
      <w:lvlJc w:val="right"/>
      <w:pPr>
        <w:ind w:left="6666" w:hanging="180"/>
      </w:pPr>
    </w:lvl>
  </w:abstractNum>
  <w:abstractNum w:abstractNumId="167" w15:restartNumberingAfterBreak="0">
    <w:nsid w:val="68ED0F15"/>
    <w:multiLevelType w:val="hybridMultilevel"/>
    <w:tmpl w:val="9366216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8" w15:restartNumberingAfterBreak="0">
    <w:nsid w:val="6A1047BA"/>
    <w:multiLevelType w:val="multilevel"/>
    <w:tmpl w:val="E56047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9" w15:restartNumberingAfterBreak="0">
    <w:nsid w:val="6C1A700C"/>
    <w:multiLevelType w:val="hybridMultilevel"/>
    <w:tmpl w:val="951A854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0" w15:restartNumberingAfterBreak="0">
    <w:nsid w:val="6C775A39"/>
    <w:multiLevelType w:val="hybridMultilevel"/>
    <w:tmpl w:val="2CC620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1" w15:restartNumberingAfterBreak="0">
    <w:nsid w:val="6D1E679E"/>
    <w:multiLevelType w:val="hybridMultilevel"/>
    <w:tmpl w:val="E1668044"/>
    <w:lvl w:ilvl="0" w:tplc="3188A432">
      <w:start w:val="1"/>
      <w:numFmt w:val="bullet"/>
      <w:lvlText w:val="•"/>
      <w:lvlJc w:val="left"/>
      <w:pPr>
        <w:tabs>
          <w:tab w:val="num" w:pos="360"/>
        </w:tabs>
        <w:ind w:left="360" w:hanging="360"/>
      </w:pPr>
      <w:rPr>
        <w:rFonts w:ascii="Arial" w:hAnsi="Arial" w:hint="default"/>
      </w:rPr>
    </w:lvl>
    <w:lvl w:ilvl="1" w:tplc="97A89570" w:tentative="1">
      <w:start w:val="1"/>
      <w:numFmt w:val="bullet"/>
      <w:lvlText w:val="•"/>
      <w:lvlJc w:val="left"/>
      <w:pPr>
        <w:tabs>
          <w:tab w:val="num" w:pos="1080"/>
        </w:tabs>
        <w:ind w:left="1080" w:hanging="360"/>
      </w:pPr>
      <w:rPr>
        <w:rFonts w:ascii="Arial" w:hAnsi="Arial" w:hint="default"/>
      </w:rPr>
    </w:lvl>
    <w:lvl w:ilvl="2" w:tplc="5FCEC222" w:tentative="1">
      <w:start w:val="1"/>
      <w:numFmt w:val="bullet"/>
      <w:lvlText w:val="•"/>
      <w:lvlJc w:val="left"/>
      <w:pPr>
        <w:tabs>
          <w:tab w:val="num" w:pos="1800"/>
        </w:tabs>
        <w:ind w:left="1800" w:hanging="360"/>
      </w:pPr>
      <w:rPr>
        <w:rFonts w:ascii="Arial" w:hAnsi="Arial" w:hint="default"/>
      </w:rPr>
    </w:lvl>
    <w:lvl w:ilvl="3" w:tplc="30A2037A" w:tentative="1">
      <w:start w:val="1"/>
      <w:numFmt w:val="bullet"/>
      <w:lvlText w:val="•"/>
      <w:lvlJc w:val="left"/>
      <w:pPr>
        <w:tabs>
          <w:tab w:val="num" w:pos="2520"/>
        </w:tabs>
        <w:ind w:left="2520" w:hanging="360"/>
      </w:pPr>
      <w:rPr>
        <w:rFonts w:ascii="Arial" w:hAnsi="Arial" w:hint="default"/>
      </w:rPr>
    </w:lvl>
    <w:lvl w:ilvl="4" w:tplc="A56CA972" w:tentative="1">
      <w:start w:val="1"/>
      <w:numFmt w:val="bullet"/>
      <w:lvlText w:val="•"/>
      <w:lvlJc w:val="left"/>
      <w:pPr>
        <w:tabs>
          <w:tab w:val="num" w:pos="3240"/>
        </w:tabs>
        <w:ind w:left="3240" w:hanging="360"/>
      </w:pPr>
      <w:rPr>
        <w:rFonts w:ascii="Arial" w:hAnsi="Arial" w:hint="default"/>
      </w:rPr>
    </w:lvl>
    <w:lvl w:ilvl="5" w:tplc="F5EC11BE" w:tentative="1">
      <w:start w:val="1"/>
      <w:numFmt w:val="bullet"/>
      <w:lvlText w:val="•"/>
      <w:lvlJc w:val="left"/>
      <w:pPr>
        <w:tabs>
          <w:tab w:val="num" w:pos="3960"/>
        </w:tabs>
        <w:ind w:left="3960" w:hanging="360"/>
      </w:pPr>
      <w:rPr>
        <w:rFonts w:ascii="Arial" w:hAnsi="Arial" w:hint="default"/>
      </w:rPr>
    </w:lvl>
    <w:lvl w:ilvl="6" w:tplc="FD8A2554" w:tentative="1">
      <w:start w:val="1"/>
      <w:numFmt w:val="bullet"/>
      <w:lvlText w:val="•"/>
      <w:lvlJc w:val="left"/>
      <w:pPr>
        <w:tabs>
          <w:tab w:val="num" w:pos="4680"/>
        </w:tabs>
        <w:ind w:left="4680" w:hanging="360"/>
      </w:pPr>
      <w:rPr>
        <w:rFonts w:ascii="Arial" w:hAnsi="Arial" w:hint="default"/>
      </w:rPr>
    </w:lvl>
    <w:lvl w:ilvl="7" w:tplc="67BE645A" w:tentative="1">
      <w:start w:val="1"/>
      <w:numFmt w:val="bullet"/>
      <w:lvlText w:val="•"/>
      <w:lvlJc w:val="left"/>
      <w:pPr>
        <w:tabs>
          <w:tab w:val="num" w:pos="5400"/>
        </w:tabs>
        <w:ind w:left="5400" w:hanging="360"/>
      </w:pPr>
      <w:rPr>
        <w:rFonts w:ascii="Arial" w:hAnsi="Arial" w:hint="default"/>
      </w:rPr>
    </w:lvl>
    <w:lvl w:ilvl="8" w:tplc="4A062804" w:tentative="1">
      <w:start w:val="1"/>
      <w:numFmt w:val="bullet"/>
      <w:lvlText w:val="•"/>
      <w:lvlJc w:val="left"/>
      <w:pPr>
        <w:tabs>
          <w:tab w:val="num" w:pos="6120"/>
        </w:tabs>
        <w:ind w:left="6120" w:hanging="360"/>
      </w:pPr>
      <w:rPr>
        <w:rFonts w:ascii="Arial" w:hAnsi="Arial" w:hint="default"/>
      </w:rPr>
    </w:lvl>
  </w:abstractNum>
  <w:abstractNum w:abstractNumId="172" w15:restartNumberingAfterBreak="0">
    <w:nsid w:val="6EC4136B"/>
    <w:multiLevelType w:val="multilevel"/>
    <w:tmpl w:val="319A5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3" w15:restartNumberingAfterBreak="0">
    <w:nsid w:val="705B1FF3"/>
    <w:multiLevelType w:val="multilevel"/>
    <w:tmpl w:val="E62260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4" w15:restartNumberingAfterBreak="0">
    <w:nsid w:val="70BA578C"/>
    <w:multiLevelType w:val="hybridMultilevel"/>
    <w:tmpl w:val="AEE2BA00"/>
    <w:lvl w:ilvl="0" w:tplc="0419000F">
      <w:start w:val="1"/>
      <w:numFmt w:val="decimal"/>
      <w:lvlText w:val="%1."/>
      <w:lvlJc w:val="left"/>
      <w:pPr>
        <w:ind w:left="765" w:hanging="360"/>
      </w:pPr>
    </w:lvl>
    <w:lvl w:ilvl="1" w:tplc="04190019" w:tentative="1">
      <w:start w:val="1"/>
      <w:numFmt w:val="lowerLetter"/>
      <w:lvlText w:val="%2."/>
      <w:lvlJc w:val="left"/>
      <w:pPr>
        <w:ind w:left="1485" w:hanging="360"/>
      </w:pPr>
    </w:lvl>
    <w:lvl w:ilvl="2" w:tplc="0419001B" w:tentative="1">
      <w:start w:val="1"/>
      <w:numFmt w:val="lowerRoman"/>
      <w:lvlText w:val="%3."/>
      <w:lvlJc w:val="right"/>
      <w:pPr>
        <w:ind w:left="2205" w:hanging="180"/>
      </w:pPr>
    </w:lvl>
    <w:lvl w:ilvl="3" w:tplc="0419000F" w:tentative="1">
      <w:start w:val="1"/>
      <w:numFmt w:val="decimal"/>
      <w:lvlText w:val="%4."/>
      <w:lvlJc w:val="left"/>
      <w:pPr>
        <w:ind w:left="2925" w:hanging="360"/>
      </w:pPr>
    </w:lvl>
    <w:lvl w:ilvl="4" w:tplc="04190019" w:tentative="1">
      <w:start w:val="1"/>
      <w:numFmt w:val="lowerLetter"/>
      <w:lvlText w:val="%5."/>
      <w:lvlJc w:val="left"/>
      <w:pPr>
        <w:ind w:left="3645" w:hanging="360"/>
      </w:pPr>
    </w:lvl>
    <w:lvl w:ilvl="5" w:tplc="0419001B" w:tentative="1">
      <w:start w:val="1"/>
      <w:numFmt w:val="lowerRoman"/>
      <w:lvlText w:val="%6."/>
      <w:lvlJc w:val="right"/>
      <w:pPr>
        <w:ind w:left="4365" w:hanging="180"/>
      </w:pPr>
    </w:lvl>
    <w:lvl w:ilvl="6" w:tplc="0419000F" w:tentative="1">
      <w:start w:val="1"/>
      <w:numFmt w:val="decimal"/>
      <w:lvlText w:val="%7."/>
      <w:lvlJc w:val="left"/>
      <w:pPr>
        <w:ind w:left="5085" w:hanging="360"/>
      </w:pPr>
    </w:lvl>
    <w:lvl w:ilvl="7" w:tplc="04190019" w:tentative="1">
      <w:start w:val="1"/>
      <w:numFmt w:val="lowerLetter"/>
      <w:lvlText w:val="%8."/>
      <w:lvlJc w:val="left"/>
      <w:pPr>
        <w:ind w:left="5805" w:hanging="360"/>
      </w:pPr>
    </w:lvl>
    <w:lvl w:ilvl="8" w:tplc="0419001B" w:tentative="1">
      <w:start w:val="1"/>
      <w:numFmt w:val="lowerRoman"/>
      <w:lvlText w:val="%9."/>
      <w:lvlJc w:val="right"/>
      <w:pPr>
        <w:ind w:left="6525" w:hanging="180"/>
      </w:pPr>
    </w:lvl>
  </w:abstractNum>
  <w:abstractNum w:abstractNumId="175" w15:restartNumberingAfterBreak="0">
    <w:nsid w:val="71034F37"/>
    <w:multiLevelType w:val="multilevel"/>
    <w:tmpl w:val="9ADA2696"/>
    <w:lvl w:ilvl="0">
      <w:start w:val="1"/>
      <w:numFmt w:val="decimal"/>
      <w:lvlText w:val="%1."/>
      <w:lvlJc w:val="left"/>
      <w:pPr>
        <w:tabs>
          <w:tab w:val="num" w:pos="741"/>
        </w:tabs>
        <w:ind w:left="741" w:hanging="360"/>
      </w:pPr>
      <w:rPr>
        <w:rFonts w:hint="default"/>
        <w:sz w:val="16"/>
        <w:szCs w:val="16"/>
      </w:rPr>
    </w:lvl>
    <w:lvl w:ilvl="1" w:tentative="1">
      <w:start w:val="1"/>
      <w:numFmt w:val="bullet"/>
      <w:lvlText w:val="o"/>
      <w:lvlJc w:val="left"/>
      <w:pPr>
        <w:tabs>
          <w:tab w:val="num" w:pos="1461"/>
        </w:tabs>
        <w:ind w:left="1461" w:hanging="360"/>
      </w:pPr>
      <w:rPr>
        <w:rFonts w:ascii="Courier New" w:hAnsi="Courier New" w:hint="default"/>
        <w:sz w:val="20"/>
      </w:rPr>
    </w:lvl>
    <w:lvl w:ilvl="2" w:tentative="1">
      <w:start w:val="1"/>
      <w:numFmt w:val="bullet"/>
      <w:lvlText w:val=""/>
      <w:lvlJc w:val="left"/>
      <w:pPr>
        <w:tabs>
          <w:tab w:val="num" w:pos="2181"/>
        </w:tabs>
        <w:ind w:left="2181" w:hanging="360"/>
      </w:pPr>
      <w:rPr>
        <w:rFonts w:ascii="Wingdings" w:hAnsi="Wingdings" w:hint="default"/>
        <w:sz w:val="20"/>
      </w:rPr>
    </w:lvl>
    <w:lvl w:ilvl="3" w:tentative="1">
      <w:start w:val="1"/>
      <w:numFmt w:val="bullet"/>
      <w:lvlText w:val=""/>
      <w:lvlJc w:val="left"/>
      <w:pPr>
        <w:tabs>
          <w:tab w:val="num" w:pos="2901"/>
        </w:tabs>
        <w:ind w:left="2901" w:hanging="360"/>
      </w:pPr>
      <w:rPr>
        <w:rFonts w:ascii="Wingdings" w:hAnsi="Wingdings" w:hint="default"/>
        <w:sz w:val="20"/>
      </w:rPr>
    </w:lvl>
    <w:lvl w:ilvl="4" w:tentative="1">
      <w:start w:val="1"/>
      <w:numFmt w:val="bullet"/>
      <w:lvlText w:val=""/>
      <w:lvlJc w:val="left"/>
      <w:pPr>
        <w:tabs>
          <w:tab w:val="num" w:pos="3621"/>
        </w:tabs>
        <w:ind w:left="3621" w:hanging="360"/>
      </w:pPr>
      <w:rPr>
        <w:rFonts w:ascii="Wingdings" w:hAnsi="Wingdings" w:hint="default"/>
        <w:sz w:val="20"/>
      </w:rPr>
    </w:lvl>
    <w:lvl w:ilvl="5" w:tentative="1">
      <w:start w:val="1"/>
      <w:numFmt w:val="bullet"/>
      <w:lvlText w:val=""/>
      <w:lvlJc w:val="left"/>
      <w:pPr>
        <w:tabs>
          <w:tab w:val="num" w:pos="4341"/>
        </w:tabs>
        <w:ind w:left="4341" w:hanging="360"/>
      </w:pPr>
      <w:rPr>
        <w:rFonts w:ascii="Wingdings" w:hAnsi="Wingdings" w:hint="default"/>
        <w:sz w:val="20"/>
      </w:rPr>
    </w:lvl>
    <w:lvl w:ilvl="6" w:tentative="1">
      <w:start w:val="1"/>
      <w:numFmt w:val="bullet"/>
      <w:lvlText w:val=""/>
      <w:lvlJc w:val="left"/>
      <w:pPr>
        <w:tabs>
          <w:tab w:val="num" w:pos="5061"/>
        </w:tabs>
        <w:ind w:left="5061" w:hanging="360"/>
      </w:pPr>
      <w:rPr>
        <w:rFonts w:ascii="Wingdings" w:hAnsi="Wingdings" w:hint="default"/>
        <w:sz w:val="20"/>
      </w:rPr>
    </w:lvl>
    <w:lvl w:ilvl="7" w:tentative="1">
      <w:start w:val="1"/>
      <w:numFmt w:val="bullet"/>
      <w:lvlText w:val=""/>
      <w:lvlJc w:val="left"/>
      <w:pPr>
        <w:tabs>
          <w:tab w:val="num" w:pos="5781"/>
        </w:tabs>
        <w:ind w:left="5781" w:hanging="360"/>
      </w:pPr>
      <w:rPr>
        <w:rFonts w:ascii="Wingdings" w:hAnsi="Wingdings" w:hint="default"/>
        <w:sz w:val="20"/>
      </w:rPr>
    </w:lvl>
    <w:lvl w:ilvl="8" w:tentative="1">
      <w:start w:val="1"/>
      <w:numFmt w:val="bullet"/>
      <w:lvlText w:val=""/>
      <w:lvlJc w:val="left"/>
      <w:pPr>
        <w:tabs>
          <w:tab w:val="num" w:pos="6501"/>
        </w:tabs>
        <w:ind w:left="6501" w:hanging="360"/>
      </w:pPr>
      <w:rPr>
        <w:rFonts w:ascii="Wingdings" w:hAnsi="Wingdings" w:hint="default"/>
        <w:sz w:val="20"/>
      </w:rPr>
    </w:lvl>
  </w:abstractNum>
  <w:abstractNum w:abstractNumId="176" w15:restartNumberingAfterBreak="0">
    <w:nsid w:val="72BB3106"/>
    <w:multiLevelType w:val="hybridMultilevel"/>
    <w:tmpl w:val="E5B277E6"/>
    <w:lvl w:ilvl="0" w:tplc="517A456C">
      <w:start w:val="1"/>
      <w:numFmt w:val="bullet"/>
      <w:pStyle w:val="1"/>
      <w:lvlText w:val=""/>
      <w:lvlJc w:val="left"/>
      <w:pPr>
        <w:tabs>
          <w:tab w:val="num" w:pos="720"/>
        </w:tabs>
        <w:ind w:left="720" w:hanging="360"/>
      </w:pPr>
      <w:rPr>
        <w:rFonts w:ascii="Symbol" w:hAnsi="Symbol" w:hint="default"/>
      </w:rPr>
    </w:lvl>
    <w:lvl w:ilvl="1" w:tplc="04220003" w:tentative="1">
      <w:start w:val="1"/>
      <w:numFmt w:val="bullet"/>
      <w:lvlText w:val="o"/>
      <w:lvlJc w:val="left"/>
      <w:pPr>
        <w:tabs>
          <w:tab w:val="num" w:pos="1440"/>
        </w:tabs>
        <w:ind w:left="1440" w:hanging="360"/>
      </w:pPr>
      <w:rPr>
        <w:rFonts w:ascii="Courier New" w:hAnsi="Courier New" w:cs="Courier New" w:hint="default"/>
      </w:rPr>
    </w:lvl>
    <w:lvl w:ilvl="2" w:tplc="04220005" w:tentative="1">
      <w:start w:val="1"/>
      <w:numFmt w:val="bullet"/>
      <w:lvlText w:val=""/>
      <w:lvlJc w:val="left"/>
      <w:pPr>
        <w:tabs>
          <w:tab w:val="num" w:pos="2160"/>
        </w:tabs>
        <w:ind w:left="2160" w:hanging="360"/>
      </w:pPr>
      <w:rPr>
        <w:rFonts w:ascii="Wingdings" w:hAnsi="Wingdings" w:hint="default"/>
      </w:rPr>
    </w:lvl>
    <w:lvl w:ilvl="3" w:tplc="04220001" w:tentative="1">
      <w:start w:val="1"/>
      <w:numFmt w:val="bullet"/>
      <w:lvlText w:val=""/>
      <w:lvlJc w:val="left"/>
      <w:pPr>
        <w:tabs>
          <w:tab w:val="num" w:pos="2880"/>
        </w:tabs>
        <w:ind w:left="2880" w:hanging="360"/>
      </w:pPr>
      <w:rPr>
        <w:rFonts w:ascii="Symbol" w:hAnsi="Symbol" w:hint="default"/>
      </w:rPr>
    </w:lvl>
    <w:lvl w:ilvl="4" w:tplc="04220003" w:tentative="1">
      <w:start w:val="1"/>
      <w:numFmt w:val="bullet"/>
      <w:lvlText w:val="o"/>
      <w:lvlJc w:val="left"/>
      <w:pPr>
        <w:tabs>
          <w:tab w:val="num" w:pos="3600"/>
        </w:tabs>
        <w:ind w:left="3600" w:hanging="360"/>
      </w:pPr>
      <w:rPr>
        <w:rFonts w:ascii="Courier New" w:hAnsi="Courier New" w:cs="Courier New" w:hint="default"/>
      </w:rPr>
    </w:lvl>
    <w:lvl w:ilvl="5" w:tplc="04220005" w:tentative="1">
      <w:start w:val="1"/>
      <w:numFmt w:val="bullet"/>
      <w:lvlText w:val=""/>
      <w:lvlJc w:val="left"/>
      <w:pPr>
        <w:tabs>
          <w:tab w:val="num" w:pos="4320"/>
        </w:tabs>
        <w:ind w:left="4320" w:hanging="360"/>
      </w:pPr>
      <w:rPr>
        <w:rFonts w:ascii="Wingdings" w:hAnsi="Wingdings" w:hint="default"/>
      </w:rPr>
    </w:lvl>
    <w:lvl w:ilvl="6" w:tplc="04220001" w:tentative="1">
      <w:start w:val="1"/>
      <w:numFmt w:val="bullet"/>
      <w:lvlText w:val=""/>
      <w:lvlJc w:val="left"/>
      <w:pPr>
        <w:tabs>
          <w:tab w:val="num" w:pos="5040"/>
        </w:tabs>
        <w:ind w:left="5040" w:hanging="360"/>
      </w:pPr>
      <w:rPr>
        <w:rFonts w:ascii="Symbol" w:hAnsi="Symbol" w:hint="default"/>
      </w:rPr>
    </w:lvl>
    <w:lvl w:ilvl="7" w:tplc="04220003" w:tentative="1">
      <w:start w:val="1"/>
      <w:numFmt w:val="bullet"/>
      <w:lvlText w:val="o"/>
      <w:lvlJc w:val="left"/>
      <w:pPr>
        <w:tabs>
          <w:tab w:val="num" w:pos="5760"/>
        </w:tabs>
        <w:ind w:left="5760" w:hanging="360"/>
      </w:pPr>
      <w:rPr>
        <w:rFonts w:ascii="Courier New" w:hAnsi="Courier New" w:cs="Courier New" w:hint="default"/>
      </w:rPr>
    </w:lvl>
    <w:lvl w:ilvl="8" w:tplc="04220005" w:tentative="1">
      <w:start w:val="1"/>
      <w:numFmt w:val="bullet"/>
      <w:lvlText w:val=""/>
      <w:lvlJc w:val="left"/>
      <w:pPr>
        <w:tabs>
          <w:tab w:val="num" w:pos="6480"/>
        </w:tabs>
        <w:ind w:left="6480" w:hanging="360"/>
      </w:pPr>
      <w:rPr>
        <w:rFonts w:ascii="Wingdings" w:hAnsi="Wingdings" w:hint="default"/>
      </w:rPr>
    </w:lvl>
  </w:abstractNum>
  <w:abstractNum w:abstractNumId="177" w15:restartNumberingAfterBreak="0">
    <w:nsid w:val="72C23E8A"/>
    <w:multiLevelType w:val="multilevel"/>
    <w:tmpl w:val="D09EC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8" w15:restartNumberingAfterBreak="0">
    <w:nsid w:val="74773CA8"/>
    <w:multiLevelType w:val="hybridMultilevel"/>
    <w:tmpl w:val="1AA8FD3E"/>
    <w:lvl w:ilvl="0" w:tplc="04220001">
      <w:start w:val="1"/>
      <w:numFmt w:val="bullet"/>
      <w:lvlText w:val=""/>
      <w:lvlJc w:val="left"/>
      <w:pPr>
        <w:ind w:left="360" w:hanging="360"/>
      </w:pPr>
      <w:rPr>
        <w:rFonts w:ascii="Symbol" w:hAnsi="Symbol" w:hint="default"/>
      </w:rPr>
    </w:lvl>
    <w:lvl w:ilvl="1" w:tplc="04220003" w:tentative="1">
      <w:start w:val="1"/>
      <w:numFmt w:val="bullet"/>
      <w:lvlText w:val="o"/>
      <w:lvlJc w:val="left"/>
      <w:pPr>
        <w:ind w:left="1080" w:hanging="360"/>
      </w:pPr>
      <w:rPr>
        <w:rFonts w:ascii="Courier New" w:hAnsi="Courier New" w:cs="Courier New" w:hint="default"/>
      </w:rPr>
    </w:lvl>
    <w:lvl w:ilvl="2" w:tplc="04220005" w:tentative="1">
      <w:start w:val="1"/>
      <w:numFmt w:val="bullet"/>
      <w:lvlText w:val=""/>
      <w:lvlJc w:val="left"/>
      <w:pPr>
        <w:ind w:left="1800" w:hanging="360"/>
      </w:pPr>
      <w:rPr>
        <w:rFonts w:ascii="Wingdings" w:hAnsi="Wingdings" w:hint="default"/>
      </w:rPr>
    </w:lvl>
    <w:lvl w:ilvl="3" w:tplc="04220001" w:tentative="1">
      <w:start w:val="1"/>
      <w:numFmt w:val="bullet"/>
      <w:lvlText w:val=""/>
      <w:lvlJc w:val="left"/>
      <w:pPr>
        <w:ind w:left="2520" w:hanging="360"/>
      </w:pPr>
      <w:rPr>
        <w:rFonts w:ascii="Symbol" w:hAnsi="Symbol" w:hint="default"/>
      </w:rPr>
    </w:lvl>
    <w:lvl w:ilvl="4" w:tplc="04220003" w:tentative="1">
      <w:start w:val="1"/>
      <w:numFmt w:val="bullet"/>
      <w:lvlText w:val="o"/>
      <w:lvlJc w:val="left"/>
      <w:pPr>
        <w:ind w:left="3240" w:hanging="360"/>
      </w:pPr>
      <w:rPr>
        <w:rFonts w:ascii="Courier New" w:hAnsi="Courier New" w:cs="Courier New" w:hint="default"/>
      </w:rPr>
    </w:lvl>
    <w:lvl w:ilvl="5" w:tplc="04220005" w:tentative="1">
      <w:start w:val="1"/>
      <w:numFmt w:val="bullet"/>
      <w:lvlText w:val=""/>
      <w:lvlJc w:val="left"/>
      <w:pPr>
        <w:ind w:left="3960" w:hanging="360"/>
      </w:pPr>
      <w:rPr>
        <w:rFonts w:ascii="Wingdings" w:hAnsi="Wingdings" w:hint="default"/>
      </w:rPr>
    </w:lvl>
    <w:lvl w:ilvl="6" w:tplc="04220001" w:tentative="1">
      <w:start w:val="1"/>
      <w:numFmt w:val="bullet"/>
      <w:lvlText w:val=""/>
      <w:lvlJc w:val="left"/>
      <w:pPr>
        <w:ind w:left="4680" w:hanging="360"/>
      </w:pPr>
      <w:rPr>
        <w:rFonts w:ascii="Symbol" w:hAnsi="Symbol" w:hint="default"/>
      </w:rPr>
    </w:lvl>
    <w:lvl w:ilvl="7" w:tplc="04220003" w:tentative="1">
      <w:start w:val="1"/>
      <w:numFmt w:val="bullet"/>
      <w:lvlText w:val="o"/>
      <w:lvlJc w:val="left"/>
      <w:pPr>
        <w:ind w:left="5400" w:hanging="360"/>
      </w:pPr>
      <w:rPr>
        <w:rFonts w:ascii="Courier New" w:hAnsi="Courier New" w:cs="Courier New" w:hint="default"/>
      </w:rPr>
    </w:lvl>
    <w:lvl w:ilvl="8" w:tplc="04220005" w:tentative="1">
      <w:start w:val="1"/>
      <w:numFmt w:val="bullet"/>
      <w:lvlText w:val=""/>
      <w:lvlJc w:val="left"/>
      <w:pPr>
        <w:ind w:left="6120" w:hanging="360"/>
      </w:pPr>
      <w:rPr>
        <w:rFonts w:ascii="Wingdings" w:hAnsi="Wingdings" w:hint="default"/>
      </w:rPr>
    </w:lvl>
  </w:abstractNum>
  <w:abstractNum w:abstractNumId="179" w15:restartNumberingAfterBreak="0">
    <w:nsid w:val="77304EE8"/>
    <w:multiLevelType w:val="hybridMultilevel"/>
    <w:tmpl w:val="A5B49678"/>
    <w:lvl w:ilvl="0" w:tplc="0419000F">
      <w:start w:val="1"/>
      <w:numFmt w:val="decimal"/>
      <w:lvlText w:val="%1."/>
      <w:lvlJc w:val="left"/>
      <w:pPr>
        <w:ind w:left="765" w:hanging="360"/>
      </w:pPr>
    </w:lvl>
    <w:lvl w:ilvl="1" w:tplc="04190019" w:tentative="1">
      <w:start w:val="1"/>
      <w:numFmt w:val="lowerLetter"/>
      <w:lvlText w:val="%2."/>
      <w:lvlJc w:val="left"/>
      <w:pPr>
        <w:ind w:left="1485" w:hanging="360"/>
      </w:pPr>
    </w:lvl>
    <w:lvl w:ilvl="2" w:tplc="0419001B" w:tentative="1">
      <w:start w:val="1"/>
      <w:numFmt w:val="lowerRoman"/>
      <w:lvlText w:val="%3."/>
      <w:lvlJc w:val="right"/>
      <w:pPr>
        <w:ind w:left="2205" w:hanging="180"/>
      </w:pPr>
    </w:lvl>
    <w:lvl w:ilvl="3" w:tplc="0419000F" w:tentative="1">
      <w:start w:val="1"/>
      <w:numFmt w:val="decimal"/>
      <w:lvlText w:val="%4."/>
      <w:lvlJc w:val="left"/>
      <w:pPr>
        <w:ind w:left="2925" w:hanging="360"/>
      </w:pPr>
    </w:lvl>
    <w:lvl w:ilvl="4" w:tplc="04190019" w:tentative="1">
      <w:start w:val="1"/>
      <w:numFmt w:val="lowerLetter"/>
      <w:lvlText w:val="%5."/>
      <w:lvlJc w:val="left"/>
      <w:pPr>
        <w:ind w:left="3645" w:hanging="360"/>
      </w:pPr>
    </w:lvl>
    <w:lvl w:ilvl="5" w:tplc="0419001B" w:tentative="1">
      <w:start w:val="1"/>
      <w:numFmt w:val="lowerRoman"/>
      <w:lvlText w:val="%6."/>
      <w:lvlJc w:val="right"/>
      <w:pPr>
        <w:ind w:left="4365" w:hanging="180"/>
      </w:pPr>
    </w:lvl>
    <w:lvl w:ilvl="6" w:tplc="0419000F" w:tentative="1">
      <w:start w:val="1"/>
      <w:numFmt w:val="decimal"/>
      <w:lvlText w:val="%7."/>
      <w:lvlJc w:val="left"/>
      <w:pPr>
        <w:ind w:left="5085" w:hanging="360"/>
      </w:pPr>
    </w:lvl>
    <w:lvl w:ilvl="7" w:tplc="04190019" w:tentative="1">
      <w:start w:val="1"/>
      <w:numFmt w:val="lowerLetter"/>
      <w:lvlText w:val="%8."/>
      <w:lvlJc w:val="left"/>
      <w:pPr>
        <w:ind w:left="5805" w:hanging="360"/>
      </w:pPr>
    </w:lvl>
    <w:lvl w:ilvl="8" w:tplc="0419001B" w:tentative="1">
      <w:start w:val="1"/>
      <w:numFmt w:val="lowerRoman"/>
      <w:lvlText w:val="%9."/>
      <w:lvlJc w:val="right"/>
      <w:pPr>
        <w:ind w:left="6525" w:hanging="180"/>
      </w:pPr>
    </w:lvl>
  </w:abstractNum>
  <w:abstractNum w:abstractNumId="180" w15:restartNumberingAfterBreak="0">
    <w:nsid w:val="77F96DB7"/>
    <w:multiLevelType w:val="multilevel"/>
    <w:tmpl w:val="BAE2EF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1" w15:restartNumberingAfterBreak="0">
    <w:nsid w:val="78F35E45"/>
    <w:multiLevelType w:val="hybridMultilevel"/>
    <w:tmpl w:val="96687B2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2" w15:restartNumberingAfterBreak="0">
    <w:nsid w:val="793F409A"/>
    <w:multiLevelType w:val="multilevel"/>
    <w:tmpl w:val="37147684"/>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3" w15:restartNumberingAfterBreak="0">
    <w:nsid w:val="7C4F3139"/>
    <w:multiLevelType w:val="hybridMultilevel"/>
    <w:tmpl w:val="3B7EDC4A"/>
    <w:lvl w:ilvl="0" w:tplc="0419000F">
      <w:start w:val="1"/>
      <w:numFmt w:val="decimal"/>
      <w:lvlText w:val="%1."/>
      <w:lvlJc w:val="left"/>
      <w:pPr>
        <w:ind w:left="906" w:hanging="360"/>
      </w:pPr>
    </w:lvl>
    <w:lvl w:ilvl="1" w:tplc="04190019" w:tentative="1">
      <w:start w:val="1"/>
      <w:numFmt w:val="lowerLetter"/>
      <w:lvlText w:val="%2."/>
      <w:lvlJc w:val="left"/>
      <w:pPr>
        <w:ind w:left="1626" w:hanging="360"/>
      </w:pPr>
    </w:lvl>
    <w:lvl w:ilvl="2" w:tplc="0419001B" w:tentative="1">
      <w:start w:val="1"/>
      <w:numFmt w:val="lowerRoman"/>
      <w:lvlText w:val="%3."/>
      <w:lvlJc w:val="right"/>
      <w:pPr>
        <w:ind w:left="2346" w:hanging="180"/>
      </w:pPr>
    </w:lvl>
    <w:lvl w:ilvl="3" w:tplc="0419000F" w:tentative="1">
      <w:start w:val="1"/>
      <w:numFmt w:val="decimal"/>
      <w:lvlText w:val="%4."/>
      <w:lvlJc w:val="left"/>
      <w:pPr>
        <w:ind w:left="3066" w:hanging="360"/>
      </w:pPr>
    </w:lvl>
    <w:lvl w:ilvl="4" w:tplc="04190019" w:tentative="1">
      <w:start w:val="1"/>
      <w:numFmt w:val="lowerLetter"/>
      <w:lvlText w:val="%5."/>
      <w:lvlJc w:val="left"/>
      <w:pPr>
        <w:ind w:left="3786" w:hanging="360"/>
      </w:pPr>
    </w:lvl>
    <w:lvl w:ilvl="5" w:tplc="0419001B" w:tentative="1">
      <w:start w:val="1"/>
      <w:numFmt w:val="lowerRoman"/>
      <w:lvlText w:val="%6."/>
      <w:lvlJc w:val="right"/>
      <w:pPr>
        <w:ind w:left="4506" w:hanging="180"/>
      </w:pPr>
    </w:lvl>
    <w:lvl w:ilvl="6" w:tplc="0419000F" w:tentative="1">
      <w:start w:val="1"/>
      <w:numFmt w:val="decimal"/>
      <w:lvlText w:val="%7."/>
      <w:lvlJc w:val="left"/>
      <w:pPr>
        <w:ind w:left="5226" w:hanging="360"/>
      </w:pPr>
    </w:lvl>
    <w:lvl w:ilvl="7" w:tplc="04190019" w:tentative="1">
      <w:start w:val="1"/>
      <w:numFmt w:val="lowerLetter"/>
      <w:lvlText w:val="%8."/>
      <w:lvlJc w:val="left"/>
      <w:pPr>
        <w:ind w:left="5946" w:hanging="360"/>
      </w:pPr>
    </w:lvl>
    <w:lvl w:ilvl="8" w:tplc="0419001B" w:tentative="1">
      <w:start w:val="1"/>
      <w:numFmt w:val="lowerRoman"/>
      <w:lvlText w:val="%9."/>
      <w:lvlJc w:val="right"/>
      <w:pPr>
        <w:ind w:left="6666" w:hanging="180"/>
      </w:pPr>
    </w:lvl>
  </w:abstractNum>
  <w:abstractNum w:abstractNumId="184" w15:restartNumberingAfterBreak="0">
    <w:nsid w:val="7CCC7A85"/>
    <w:multiLevelType w:val="hybridMultilevel"/>
    <w:tmpl w:val="3738D81E"/>
    <w:lvl w:ilvl="0" w:tplc="04190001">
      <w:start w:val="1"/>
      <w:numFmt w:val="bullet"/>
      <w:lvlText w:val=""/>
      <w:lvlJc w:val="left"/>
      <w:pPr>
        <w:ind w:left="1488" w:hanging="360"/>
      </w:pPr>
      <w:rPr>
        <w:rFonts w:ascii="Symbol" w:hAnsi="Symbol" w:hint="default"/>
      </w:rPr>
    </w:lvl>
    <w:lvl w:ilvl="1" w:tplc="04190003" w:tentative="1">
      <w:start w:val="1"/>
      <w:numFmt w:val="bullet"/>
      <w:lvlText w:val="o"/>
      <w:lvlJc w:val="left"/>
      <w:pPr>
        <w:ind w:left="2208" w:hanging="360"/>
      </w:pPr>
      <w:rPr>
        <w:rFonts w:ascii="Courier New" w:hAnsi="Courier New" w:cs="Courier New" w:hint="default"/>
      </w:rPr>
    </w:lvl>
    <w:lvl w:ilvl="2" w:tplc="04190005" w:tentative="1">
      <w:start w:val="1"/>
      <w:numFmt w:val="bullet"/>
      <w:lvlText w:val=""/>
      <w:lvlJc w:val="left"/>
      <w:pPr>
        <w:ind w:left="2928" w:hanging="360"/>
      </w:pPr>
      <w:rPr>
        <w:rFonts w:ascii="Wingdings" w:hAnsi="Wingdings" w:hint="default"/>
      </w:rPr>
    </w:lvl>
    <w:lvl w:ilvl="3" w:tplc="04190001" w:tentative="1">
      <w:start w:val="1"/>
      <w:numFmt w:val="bullet"/>
      <w:lvlText w:val=""/>
      <w:lvlJc w:val="left"/>
      <w:pPr>
        <w:ind w:left="3648" w:hanging="360"/>
      </w:pPr>
      <w:rPr>
        <w:rFonts w:ascii="Symbol" w:hAnsi="Symbol" w:hint="default"/>
      </w:rPr>
    </w:lvl>
    <w:lvl w:ilvl="4" w:tplc="04190003" w:tentative="1">
      <w:start w:val="1"/>
      <w:numFmt w:val="bullet"/>
      <w:lvlText w:val="o"/>
      <w:lvlJc w:val="left"/>
      <w:pPr>
        <w:ind w:left="4368" w:hanging="360"/>
      </w:pPr>
      <w:rPr>
        <w:rFonts w:ascii="Courier New" w:hAnsi="Courier New" w:cs="Courier New" w:hint="default"/>
      </w:rPr>
    </w:lvl>
    <w:lvl w:ilvl="5" w:tplc="04190005" w:tentative="1">
      <w:start w:val="1"/>
      <w:numFmt w:val="bullet"/>
      <w:lvlText w:val=""/>
      <w:lvlJc w:val="left"/>
      <w:pPr>
        <w:ind w:left="5088" w:hanging="360"/>
      </w:pPr>
      <w:rPr>
        <w:rFonts w:ascii="Wingdings" w:hAnsi="Wingdings" w:hint="default"/>
      </w:rPr>
    </w:lvl>
    <w:lvl w:ilvl="6" w:tplc="04190001" w:tentative="1">
      <w:start w:val="1"/>
      <w:numFmt w:val="bullet"/>
      <w:lvlText w:val=""/>
      <w:lvlJc w:val="left"/>
      <w:pPr>
        <w:ind w:left="5808" w:hanging="360"/>
      </w:pPr>
      <w:rPr>
        <w:rFonts w:ascii="Symbol" w:hAnsi="Symbol" w:hint="default"/>
      </w:rPr>
    </w:lvl>
    <w:lvl w:ilvl="7" w:tplc="04190003" w:tentative="1">
      <w:start w:val="1"/>
      <w:numFmt w:val="bullet"/>
      <w:lvlText w:val="o"/>
      <w:lvlJc w:val="left"/>
      <w:pPr>
        <w:ind w:left="6528" w:hanging="360"/>
      </w:pPr>
      <w:rPr>
        <w:rFonts w:ascii="Courier New" w:hAnsi="Courier New" w:cs="Courier New" w:hint="default"/>
      </w:rPr>
    </w:lvl>
    <w:lvl w:ilvl="8" w:tplc="04190005" w:tentative="1">
      <w:start w:val="1"/>
      <w:numFmt w:val="bullet"/>
      <w:lvlText w:val=""/>
      <w:lvlJc w:val="left"/>
      <w:pPr>
        <w:ind w:left="7248" w:hanging="360"/>
      </w:pPr>
      <w:rPr>
        <w:rFonts w:ascii="Wingdings" w:hAnsi="Wingdings" w:hint="default"/>
      </w:rPr>
    </w:lvl>
  </w:abstractNum>
  <w:abstractNum w:abstractNumId="185" w15:restartNumberingAfterBreak="0">
    <w:nsid w:val="7CCD2480"/>
    <w:multiLevelType w:val="hybridMultilevel"/>
    <w:tmpl w:val="E400825E"/>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86" w15:restartNumberingAfterBreak="0">
    <w:nsid w:val="7CD26360"/>
    <w:multiLevelType w:val="hybridMultilevel"/>
    <w:tmpl w:val="34E819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7" w15:restartNumberingAfterBreak="0">
    <w:nsid w:val="7D49372A"/>
    <w:multiLevelType w:val="hybridMultilevel"/>
    <w:tmpl w:val="085AB9D0"/>
    <w:lvl w:ilvl="0" w:tplc="F0A48A76">
      <w:start w:val="1"/>
      <w:numFmt w:val="bullet"/>
      <w:pStyle w:val="a"/>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7D600E56"/>
    <w:multiLevelType w:val="multilevel"/>
    <w:tmpl w:val="59601A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9" w15:restartNumberingAfterBreak="0">
    <w:nsid w:val="7F0C3F1D"/>
    <w:multiLevelType w:val="hybridMultilevel"/>
    <w:tmpl w:val="0BC60F8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0" w15:restartNumberingAfterBreak="0">
    <w:nsid w:val="7F5A7B77"/>
    <w:multiLevelType w:val="hybridMultilevel"/>
    <w:tmpl w:val="A0F69BBC"/>
    <w:lvl w:ilvl="0" w:tplc="0419000F">
      <w:start w:val="1"/>
      <w:numFmt w:val="decimal"/>
      <w:lvlText w:val="%1."/>
      <w:lvlJc w:val="left"/>
      <w:pPr>
        <w:ind w:left="1048" w:hanging="360"/>
      </w:pPr>
    </w:lvl>
    <w:lvl w:ilvl="1" w:tplc="04190019" w:tentative="1">
      <w:start w:val="1"/>
      <w:numFmt w:val="lowerLetter"/>
      <w:lvlText w:val="%2."/>
      <w:lvlJc w:val="left"/>
      <w:pPr>
        <w:ind w:left="1768" w:hanging="360"/>
      </w:pPr>
    </w:lvl>
    <w:lvl w:ilvl="2" w:tplc="0419001B" w:tentative="1">
      <w:start w:val="1"/>
      <w:numFmt w:val="lowerRoman"/>
      <w:lvlText w:val="%3."/>
      <w:lvlJc w:val="right"/>
      <w:pPr>
        <w:ind w:left="2488" w:hanging="180"/>
      </w:pPr>
    </w:lvl>
    <w:lvl w:ilvl="3" w:tplc="0419000F" w:tentative="1">
      <w:start w:val="1"/>
      <w:numFmt w:val="decimal"/>
      <w:lvlText w:val="%4."/>
      <w:lvlJc w:val="left"/>
      <w:pPr>
        <w:ind w:left="3208" w:hanging="360"/>
      </w:pPr>
    </w:lvl>
    <w:lvl w:ilvl="4" w:tplc="04190019" w:tentative="1">
      <w:start w:val="1"/>
      <w:numFmt w:val="lowerLetter"/>
      <w:lvlText w:val="%5."/>
      <w:lvlJc w:val="left"/>
      <w:pPr>
        <w:ind w:left="3928" w:hanging="360"/>
      </w:pPr>
    </w:lvl>
    <w:lvl w:ilvl="5" w:tplc="0419001B" w:tentative="1">
      <w:start w:val="1"/>
      <w:numFmt w:val="lowerRoman"/>
      <w:lvlText w:val="%6."/>
      <w:lvlJc w:val="right"/>
      <w:pPr>
        <w:ind w:left="4648" w:hanging="180"/>
      </w:pPr>
    </w:lvl>
    <w:lvl w:ilvl="6" w:tplc="0419000F" w:tentative="1">
      <w:start w:val="1"/>
      <w:numFmt w:val="decimal"/>
      <w:lvlText w:val="%7."/>
      <w:lvlJc w:val="left"/>
      <w:pPr>
        <w:ind w:left="5368" w:hanging="360"/>
      </w:pPr>
    </w:lvl>
    <w:lvl w:ilvl="7" w:tplc="04190019" w:tentative="1">
      <w:start w:val="1"/>
      <w:numFmt w:val="lowerLetter"/>
      <w:lvlText w:val="%8."/>
      <w:lvlJc w:val="left"/>
      <w:pPr>
        <w:ind w:left="6088" w:hanging="360"/>
      </w:pPr>
    </w:lvl>
    <w:lvl w:ilvl="8" w:tplc="0419001B" w:tentative="1">
      <w:start w:val="1"/>
      <w:numFmt w:val="lowerRoman"/>
      <w:lvlText w:val="%9."/>
      <w:lvlJc w:val="right"/>
      <w:pPr>
        <w:ind w:left="6808" w:hanging="180"/>
      </w:pPr>
    </w:lvl>
  </w:abstractNum>
  <w:num w:numId="1">
    <w:abstractNumId w:val="161"/>
  </w:num>
  <w:num w:numId="2">
    <w:abstractNumId w:val="138"/>
  </w:num>
  <w:num w:numId="3">
    <w:abstractNumId w:val="73"/>
  </w:num>
  <w:num w:numId="4">
    <w:abstractNumId w:val="176"/>
  </w:num>
  <w:num w:numId="5">
    <w:abstractNumId w:val="187"/>
  </w:num>
  <w:num w:numId="6">
    <w:abstractNumId w:val="178"/>
  </w:num>
  <w:num w:numId="7">
    <w:abstractNumId w:val="152"/>
  </w:num>
  <w:num w:numId="8">
    <w:abstractNumId w:val="163"/>
  </w:num>
  <w:num w:numId="9">
    <w:abstractNumId w:val="150"/>
  </w:num>
  <w:num w:numId="10">
    <w:abstractNumId w:val="35"/>
  </w:num>
  <w:num w:numId="11">
    <w:abstractNumId w:val="171"/>
  </w:num>
  <w:num w:numId="12">
    <w:abstractNumId w:val="62"/>
  </w:num>
  <w:num w:numId="13">
    <w:abstractNumId w:val="93"/>
  </w:num>
  <w:num w:numId="14">
    <w:abstractNumId w:val="66"/>
  </w:num>
  <w:num w:numId="15">
    <w:abstractNumId w:val="0"/>
  </w:num>
  <w:num w:numId="16">
    <w:abstractNumId w:val="121"/>
  </w:num>
  <w:num w:numId="17">
    <w:abstractNumId w:val="153"/>
  </w:num>
  <w:num w:numId="18">
    <w:abstractNumId w:val="46"/>
  </w:num>
  <w:num w:numId="19">
    <w:abstractNumId w:val="27"/>
  </w:num>
  <w:num w:numId="20">
    <w:abstractNumId w:val="108"/>
  </w:num>
  <w:num w:numId="21">
    <w:abstractNumId w:val="169"/>
  </w:num>
  <w:num w:numId="22">
    <w:abstractNumId w:val="142"/>
  </w:num>
  <w:num w:numId="23">
    <w:abstractNumId w:val="60"/>
  </w:num>
  <w:num w:numId="24">
    <w:abstractNumId w:val="25"/>
  </w:num>
  <w:num w:numId="25">
    <w:abstractNumId w:val="86"/>
  </w:num>
  <w:num w:numId="26">
    <w:abstractNumId w:val="68"/>
  </w:num>
  <w:num w:numId="27">
    <w:abstractNumId w:val="148"/>
  </w:num>
  <w:num w:numId="28">
    <w:abstractNumId w:val="158"/>
  </w:num>
  <w:num w:numId="29">
    <w:abstractNumId w:val="67"/>
  </w:num>
  <w:num w:numId="30">
    <w:abstractNumId w:val="128"/>
  </w:num>
  <w:num w:numId="31">
    <w:abstractNumId w:val="40"/>
  </w:num>
  <w:num w:numId="32">
    <w:abstractNumId w:val="131"/>
  </w:num>
  <w:num w:numId="33">
    <w:abstractNumId w:val="58"/>
  </w:num>
  <w:num w:numId="34">
    <w:abstractNumId w:val="116"/>
  </w:num>
  <w:num w:numId="35">
    <w:abstractNumId w:val="74"/>
  </w:num>
  <w:num w:numId="36">
    <w:abstractNumId w:val="123"/>
  </w:num>
  <w:num w:numId="37">
    <w:abstractNumId w:val="95"/>
  </w:num>
  <w:num w:numId="38">
    <w:abstractNumId w:val="79"/>
  </w:num>
  <w:num w:numId="39">
    <w:abstractNumId w:val="96"/>
  </w:num>
  <w:num w:numId="40">
    <w:abstractNumId w:val="109"/>
  </w:num>
  <w:num w:numId="41">
    <w:abstractNumId w:val="172"/>
  </w:num>
  <w:num w:numId="42">
    <w:abstractNumId w:val="100"/>
  </w:num>
  <w:num w:numId="43">
    <w:abstractNumId w:val="124"/>
  </w:num>
  <w:num w:numId="44">
    <w:abstractNumId w:val="127"/>
  </w:num>
  <w:num w:numId="45">
    <w:abstractNumId w:val="78"/>
  </w:num>
  <w:num w:numId="46">
    <w:abstractNumId w:val="34"/>
  </w:num>
  <w:num w:numId="47">
    <w:abstractNumId w:val="44"/>
  </w:num>
  <w:num w:numId="48">
    <w:abstractNumId w:val="41"/>
  </w:num>
  <w:num w:numId="49">
    <w:abstractNumId w:val="182"/>
  </w:num>
  <w:num w:numId="50">
    <w:abstractNumId w:val="107"/>
  </w:num>
  <w:num w:numId="51">
    <w:abstractNumId w:val="122"/>
  </w:num>
  <w:num w:numId="52">
    <w:abstractNumId w:val="38"/>
  </w:num>
  <w:num w:numId="53">
    <w:abstractNumId w:val="184"/>
  </w:num>
  <w:num w:numId="54">
    <w:abstractNumId w:val="90"/>
  </w:num>
  <w:num w:numId="55">
    <w:abstractNumId w:val="120"/>
  </w:num>
  <w:num w:numId="56">
    <w:abstractNumId w:val="167"/>
  </w:num>
  <w:num w:numId="57">
    <w:abstractNumId w:val="30"/>
  </w:num>
  <w:num w:numId="58">
    <w:abstractNumId w:val="162"/>
  </w:num>
  <w:num w:numId="59">
    <w:abstractNumId w:val="146"/>
  </w:num>
  <w:num w:numId="60">
    <w:abstractNumId w:val="144"/>
  </w:num>
  <w:num w:numId="61">
    <w:abstractNumId w:val="173"/>
  </w:num>
  <w:num w:numId="62">
    <w:abstractNumId w:val="157"/>
  </w:num>
  <w:num w:numId="63">
    <w:abstractNumId w:val="165"/>
  </w:num>
  <w:num w:numId="64">
    <w:abstractNumId w:val="156"/>
  </w:num>
  <w:num w:numId="65">
    <w:abstractNumId w:val="84"/>
  </w:num>
  <w:num w:numId="66">
    <w:abstractNumId w:val="168"/>
  </w:num>
  <w:num w:numId="67">
    <w:abstractNumId w:val="177"/>
  </w:num>
  <w:num w:numId="68">
    <w:abstractNumId w:val="97"/>
  </w:num>
  <w:num w:numId="69">
    <w:abstractNumId w:val="69"/>
  </w:num>
  <w:num w:numId="70">
    <w:abstractNumId w:val="180"/>
  </w:num>
  <w:num w:numId="71">
    <w:abstractNumId w:val="64"/>
  </w:num>
  <w:num w:numId="72">
    <w:abstractNumId w:val="54"/>
  </w:num>
  <w:num w:numId="73">
    <w:abstractNumId w:val="154"/>
  </w:num>
  <w:num w:numId="74">
    <w:abstractNumId w:val="112"/>
  </w:num>
  <w:num w:numId="75">
    <w:abstractNumId w:val="105"/>
  </w:num>
  <w:num w:numId="76">
    <w:abstractNumId w:val="103"/>
  </w:num>
  <w:num w:numId="77">
    <w:abstractNumId w:val="28"/>
  </w:num>
  <w:num w:numId="78">
    <w:abstractNumId w:val="114"/>
  </w:num>
  <w:num w:numId="79">
    <w:abstractNumId w:val="81"/>
  </w:num>
  <w:num w:numId="80">
    <w:abstractNumId w:val="52"/>
  </w:num>
  <w:num w:numId="81">
    <w:abstractNumId w:val="82"/>
  </w:num>
  <w:num w:numId="82">
    <w:abstractNumId w:val="160"/>
  </w:num>
  <w:num w:numId="83">
    <w:abstractNumId w:val="57"/>
  </w:num>
  <w:num w:numId="84">
    <w:abstractNumId w:val="134"/>
  </w:num>
  <w:num w:numId="85">
    <w:abstractNumId w:val="166"/>
  </w:num>
  <w:num w:numId="86">
    <w:abstractNumId w:val="185"/>
  </w:num>
  <w:num w:numId="87">
    <w:abstractNumId w:val="85"/>
  </w:num>
  <w:num w:numId="88">
    <w:abstractNumId w:val="87"/>
  </w:num>
  <w:num w:numId="89">
    <w:abstractNumId w:val="59"/>
  </w:num>
  <w:num w:numId="90">
    <w:abstractNumId w:val="113"/>
  </w:num>
  <w:num w:numId="91">
    <w:abstractNumId w:val="99"/>
  </w:num>
  <w:num w:numId="92">
    <w:abstractNumId w:val="72"/>
  </w:num>
  <w:num w:numId="93">
    <w:abstractNumId w:val="126"/>
  </w:num>
  <w:num w:numId="94">
    <w:abstractNumId w:val="147"/>
  </w:num>
  <w:num w:numId="95">
    <w:abstractNumId w:val="89"/>
  </w:num>
  <w:num w:numId="96">
    <w:abstractNumId w:val="188"/>
  </w:num>
  <w:num w:numId="97">
    <w:abstractNumId w:val="149"/>
  </w:num>
  <w:num w:numId="98">
    <w:abstractNumId w:val="45"/>
  </w:num>
  <w:num w:numId="99">
    <w:abstractNumId w:val="55"/>
  </w:num>
  <w:num w:numId="100">
    <w:abstractNumId w:val="170"/>
  </w:num>
  <w:num w:numId="101">
    <w:abstractNumId w:val="47"/>
  </w:num>
  <w:num w:numId="102">
    <w:abstractNumId w:val="39"/>
  </w:num>
  <w:num w:numId="103">
    <w:abstractNumId w:val="186"/>
  </w:num>
  <w:num w:numId="104">
    <w:abstractNumId w:val="65"/>
  </w:num>
  <w:num w:numId="105">
    <w:abstractNumId w:val="71"/>
  </w:num>
  <w:num w:numId="106">
    <w:abstractNumId w:val="92"/>
  </w:num>
  <w:num w:numId="107">
    <w:abstractNumId w:val="141"/>
  </w:num>
  <w:num w:numId="108">
    <w:abstractNumId w:val="37"/>
  </w:num>
  <w:num w:numId="109">
    <w:abstractNumId w:val="155"/>
  </w:num>
  <w:num w:numId="110">
    <w:abstractNumId w:val="63"/>
  </w:num>
  <w:num w:numId="111">
    <w:abstractNumId w:val="151"/>
  </w:num>
  <w:num w:numId="112">
    <w:abstractNumId w:val="77"/>
  </w:num>
  <w:num w:numId="113">
    <w:abstractNumId w:val="70"/>
  </w:num>
  <w:num w:numId="114">
    <w:abstractNumId w:val="101"/>
  </w:num>
  <w:num w:numId="115">
    <w:abstractNumId w:val="115"/>
  </w:num>
  <w:num w:numId="116">
    <w:abstractNumId w:val="140"/>
  </w:num>
  <w:num w:numId="117">
    <w:abstractNumId w:val="76"/>
  </w:num>
  <w:num w:numId="118">
    <w:abstractNumId w:val="51"/>
  </w:num>
  <w:num w:numId="119">
    <w:abstractNumId w:val="104"/>
  </w:num>
  <w:num w:numId="120">
    <w:abstractNumId w:val="48"/>
  </w:num>
  <w:num w:numId="121">
    <w:abstractNumId w:val="83"/>
  </w:num>
  <w:num w:numId="122">
    <w:abstractNumId w:val="75"/>
  </w:num>
  <w:num w:numId="123">
    <w:abstractNumId w:val="56"/>
  </w:num>
  <w:num w:numId="124">
    <w:abstractNumId w:val="32"/>
  </w:num>
  <w:num w:numId="125">
    <w:abstractNumId w:val="98"/>
  </w:num>
  <w:num w:numId="126">
    <w:abstractNumId w:val="42"/>
  </w:num>
  <w:num w:numId="127">
    <w:abstractNumId w:val="26"/>
  </w:num>
  <w:num w:numId="128">
    <w:abstractNumId w:val="102"/>
  </w:num>
  <w:num w:numId="129">
    <w:abstractNumId w:val="132"/>
  </w:num>
  <w:num w:numId="130">
    <w:abstractNumId w:val="139"/>
  </w:num>
  <w:num w:numId="131">
    <w:abstractNumId w:val="106"/>
  </w:num>
  <w:num w:numId="132">
    <w:abstractNumId w:val="190"/>
  </w:num>
  <w:num w:numId="133">
    <w:abstractNumId w:val="133"/>
  </w:num>
  <w:num w:numId="134">
    <w:abstractNumId w:val="143"/>
  </w:num>
  <w:num w:numId="135">
    <w:abstractNumId w:val="135"/>
  </w:num>
  <w:num w:numId="136">
    <w:abstractNumId w:val="130"/>
  </w:num>
  <w:num w:numId="137">
    <w:abstractNumId w:val="80"/>
  </w:num>
  <w:num w:numId="138">
    <w:abstractNumId w:val="125"/>
  </w:num>
  <w:num w:numId="139">
    <w:abstractNumId w:val="61"/>
  </w:num>
  <w:num w:numId="140">
    <w:abstractNumId w:val="129"/>
  </w:num>
  <w:num w:numId="141">
    <w:abstractNumId w:val="118"/>
  </w:num>
  <w:num w:numId="142">
    <w:abstractNumId w:val="159"/>
  </w:num>
  <w:num w:numId="143">
    <w:abstractNumId w:val="49"/>
  </w:num>
  <w:num w:numId="144">
    <w:abstractNumId w:val="33"/>
  </w:num>
  <w:num w:numId="145">
    <w:abstractNumId w:val="111"/>
  </w:num>
  <w:num w:numId="146">
    <w:abstractNumId w:val="36"/>
  </w:num>
  <w:num w:numId="147">
    <w:abstractNumId w:val="88"/>
  </w:num>
  <w:num w:numId="148">
    <w:abstractNumId w:val="31"/>
  </w:num>
  <w:num w:numId="149">
    <w:abstractNumId w:val="91"/>
  </w:num>
  <w:num w:numId="150">
    <w:abstractNumId w:val="145"/>
  </w:num>
  <w:num w:numId="151">
    <w:abstractNumId w:val="179"/>
  </w:num>
  <w:num w:numId="152">
    <w:abstractNumId w:val="137"/>
  </w:num>
  <w:num w:numId="153">
    <w:abstractNumId w:val="117"/>
  </w:num>
  <w:num w:numId="154">
    <w:abstractNumId w:val="174"/>
  </w:num>
  <w:num w:numId="155">
    <w:abstractNumId w:val="181"/>
  </w:num>
  <w:num w:numId="156">
    <w:abstractNumId w:val="50"/>
  </w:num>
  <w:num w:numId="157">
    <w:abstractNumId w:val="43"/>
  </w:num>
  <w:num w:numId="158">
    <w:abstractNumId w:val="175"/>
  </w:num>
  <w:num w:numId="159">
    <w:abstractNumId w:val="189"/>
  </w:num>
  <w:num w:numId="160">
    <w:abstractNumId w:val="53"/>
  </w:num>
  <w:num w:numId="161">
    <w:abstractNumId w:val="110"/>
  </w:num>
  <w:num w:numId="162">
    <w:abstractNumId w:val="183"/>
  </w:num>
  <w:num w:numId="163">
    <w:abstractNumId w:val="119"/>
  </w:num>
  <w:num w:numId="164">
    <w:abstractNumId w:val="94"/>
  </w:num>
  <w:num w:numId="165">
    <w:abstractNumId w:val="164"/>
  </w:num>
  <w:num w:numId="166">
    <w:abstractNumId w:val="24"/>
  </w:num>
  <w:num w:numId="167">
    <w:abstractNumId w:val="136"/>
  </w:num>
  <w:num w:numId="168">
    <w:abstractNumId w:val="29"/>
  </w:num>
  <w:num w:numId="169">
    <w:abstractNumId w:val="23"/>
  </w:num>
  <w:numIdMacAtCleanup w:val="1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57"/>
  <w:displayVerticalDrawingGridEvery w:val="2"/>
  <w:characterSpacingControl w:val="doNotCompress"/>
  <w:hdrShapeDefaults>
    <o:shapedefaults v:ext="edit" spidmax="2049">
      <o:colormru v:ext="edit" colors="#9eb7bc,#678c9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1528"/>
    <w:rsid w:val="00001022"/>
    <w:rsid w:val="00001BF2"/>
    <w:rsid w:val="000020F1"/>
    <w:rsid w:val="000021EC"/>
    <w:rsid w:val="00002389"/>
    <w:rsid w:val="00002CC9"/>
    <w:rsid w:val="00002ED0"/>
    <w:rsid w:val="0000312A"/>
    <w:rsid w:val="00004151"/>
    <w:rsid w:val="000050D2"/>
    <w:rsid w:val="00005592"/>
    <w:rsid w:val="00005594"/>
    <w:rsid w:val="00006331"/>
    <w:rsid w:val="00006453"/>
    <w:rsid w:val="00006760"/>
    <w:rsid w:val="00006D9A"/>
    <w:rsid w:val="00007BCE"/>
    <w:rsid w:val="000122B2"/>
    <w:rsid w:val="00012357"/>
    <w:rsid w:val="000128ED"/>
    <w:rsid w:val="00012E79"/>
    <w:rsid w:val="000130C3"/>
    <w:rsid w:val="0001419C"/>
    <w:rsid w:val="0001443A"/>
    <w:rsid w:val="00014951"/>
    <w:rsid w:val="00014FE8"/>
    <w:rsid w:val="000163BD"/>
    <w:rsid w:val="00016FCE"/>
    <w:rsid w:val="00017658"/>
    <w:rsid w:val="00017FB0"/>
    <w:rsid w:val="000200C9"/>
    <w:rsid w:val="00020D73"/>
    <w:rsid w:val="000232BE"/>
    <w:rsid w:val="00023CF4"/>
    <w:rsid w:val="00023FF4"/>
    <w:rsid w:val="000267B0"/>
    <w:rsid w:val="0002695E"/>
    <w:rsid w:val="0002697F"/>
    <w:rsid w:val="000273E5"/>
    <w:rsid w:val="0002778F"/>
    <w:rsid w:val="000302D5"/>
    <w:rsid w:val="000308E1"/>
    <w:rsid w:val="00030AFF"/>
    <w:rsid w:val="00031F27"/>
    <w:rsid w:val="000327C0"/>
    <w:rsid w:val="00032CDC"/>
    <w:rsid w:val="00033080"/>
    <w:rsid w:val="000333C2"/>
    <w:rsid w:val="000333F8"/>
    <w:rsid w:val="00033DCC"/>
    <w:rsid w:val="000343CA"/>
    <w:rsid w:val="00034ED0"/>
    <w:rsid w:val="00035E69"/>
    <w:rsid w:val="00036034"/>
    <w:rsid w:val="0003619E"/>
    <w:rsid w:val="000362D5"/>
    <w:rsid w:val="00036530"/>
    <w:rsid w:val="0003661A"/>
    <w:rsid w:val="00036EE2"/>
    <w:rsid w:val="0004055C"/>
    <w:rsid w:val="00040FB7"/>
    <w:rsid w:val="000413EB"/>
    <w:rsid w:val="000415AE"/>
    <w:rsid w:val="00041F80"/>
    <w:rsid w:val="0004252B"/>
    <w:rsid w:val="000426C1"/>
    <w:rsid w:val="00042A10"/>
    <w:rsid w:val="00043591"/>
    <w:rsid w:val="0004533A"/>
    <w:rsid w:val="00045591"/>
    <w:rsid w:val="00045659"/>
    <w:rsid w:val="00046242"/>
    <w:rsid w:val="00046897"/>
    <w:rsid w:val="00046968"/>
    <w:rsid w:val="00046E72"/>
    <w:rsid w:val="0004760B"/>
    <w:rsid w:val="000501E0"/>
    <w:rsid w:val="00050D2E"/>
    <w:rsid w:val="00050DDF"/>
    <w:rsid w:val="0005193C"/>
    <w:rsid w:val="00051F1E"/>
    <w:rsid w:val="00053398"/>
    <w:rsid w:val="00053B14"/>
    <w:rsid w:val="000541C3"/>
    <w:rsid w:val="00054C16"/>
    <w:rsid w:val="00055151"/>
    <w:rsid w:val="00055DDB"/>
    <w:rsid w:val="00055FB9"/>
    <w:rsid w:val="0005606F"/>
    <w:rsid w:val="00056604"/>
    <w:rsid w:val="00057807"/>
    <w:rsid w:val="00057A77"/>
    <w:rsid w:val="000603E1"/>
    <w:rsid w:val="00060789"/>
    <w:rsid w:val="000609A6"/>
    <w:rsid w:val="00060A24"/>
    <w:rsid w:val="000617BA"/>
    <w:rsid w:val="00062186"/>
    <w:rsid w:val="00063CB0"/>
    <w:rsid w:val="000643DD"/>
    <w:rsid w:val="0006462C"/>
    <w:rsid w:val="00064B19"/>
    <w:rsid w:val="00066D53"/>
    <w:rsid w:val="000672B0"/>
    <w:rsid w:val="0007026B"/>
    <w:rsid w:val="000706CD"/>
    <w:rsid w:val="000718CF"/>
    <w:rsid w:val="00072D58"/>
    <w:rsid w:val="00072E0E"/>
    <w:rsid w:val="00073198"/>
    <w:rsid w:val="00073609"/>
    <w:rsid w:val="00074869"/>
    <w:rsid w:val="00074FE2"/>
    <w:rsid w:val="000766D8"/>
    <w:rsid w:val="00077603"/>
    <w:rsid w:val="00077B06"/>
    <w:rsid w:val="000805D8"/>
    <w:rsid w:val="000808A7"/>
    <w:rsid w:val="0008138A"/>
    <w:rsid w:val="00081669"/>
    <w:rsid w:val="00081B49"/>
    <w:rsid w:val="00081F2B"/>
    <w:rsid w:val="00082400"/>
    <w:rsid w:val="00083BE9"/>
    <w:rsid w:val="00084174"/>
    <w:rsid w:val="00085424"/>
    <w:rsid w:val="00086907"/>
    <w:rsid w:val="0008701A"/>
    <w:rsid w:val="00090102"/>
    <w:rsid w:val="00090B80"/>
    <w:rsid w:val="00092850"/>
    <w:rsid w:val="0009362A"/>
    <w:rsid w:val="00093A52"/>
    <w:rsid w:val="00093DBB"/>
    <w:rsid w:val="00095441"/>
    <w:rsid w:val="00095DB2"/>
    <w:rsid w:val="0009688F"/>
    <w:rsid w:val="00096FA1"/>
    <w:rsid w:val="0009718D"/>
    <w:rsid w:val="0009759E"/>
    <w:rsid w:val="0009768E"/>
    <w:rsid w:val="00097D39"/>
    <w:rsid w:val="00097E02"/>
    <w:rsid w:val="00097EBF"/>
    <w:rsid w:val="000A05CF"/>
    <w:rsid w:val="000A0BCB"/>
    <w:rsid w:val="000A17BC"/>
    <w:rsid w:val="000A1FC8"/>
    <w:rsid w:val="000A2C46"/>
    <w:rsid w:val="000A3AB5"/>
    <w:rsid w:val="000A41A9"/>
    <w:rsid w:val="000A46E9"/>
    <w:rsid w:val="000A4E07"/>
    <w:rsid w:val="000A63C1"/>
    <w:rsid w:val="000A7F80"/>
    <w:rsid w:val="000B0072"/>
    <w:rsid w:val="000B0111"/>
    <w:rsid w:val="000B0DC4"/>
    <w:rsid w:val="000B100E"/>
    <w:rsid w:val="000B2CEF"/>
    <w:rsid w:val="000B2F1B"/>
    <w:rsid w:val="000B3161"/>
    <w:rsid w:val="000B32C2"/>
    <w:rsid w:val="000B3375"/>
    <w:rsid w:val="000B376E"/>
    <w:rsid w:val="000B4FE2"/>
    <w:rsid w:val="000B5505"/>
    <w:rsid w:val="000B5EB0"/>
    <w:rsid w:val="000B7D90"/>
    <w:rsid w:val="000C01D2"/>
    <w:rsid w:val="000C047E"/>
    <w:rsid w:val="000C058C"/>
    <w:rsid w:val="000C0611"/>
    <w:rsid w:val="000C06C9"/>
    <w:rsid w:val="000C1338"/>
    <w:rsid w:val="000C16AE"/>
    <w:rsid w:val="000C2149"/>
    <w:rsid w:val="000C288A"/>
    <w:rsid w:val="000C383A"/>
    <w:rsid w:val="000C43BC"/>
    <w:rsid w:val="000C55EE"/>
    <w:rsid w:val="000C6227"/>
    <w:rsid w:val="000C7F3B"/>
    <w:rsid w:val="000D0619"/>
    <w:rsid w:val="000D10BC"/>
    <w:rsid w:val="000D15B3"/>
    <w:rsid w:val="000D1C01"/>
    <w:rsid w:val="000D29B4"/>
    <w:rsid w:val="000D334D"/>
    <w:rsid w:val="000D40C6"/>
    <w:rsid w:val="000D43F3"/>
    <w:rsid w:val="000D4BB8"/>
    <w:rsid w:val="000D4BE6"/>
    <w:rsid w:val="000D5D27"/>
    <w:rsid w:val="000D60B6"/>
    <w:rsid w:val="000D6297"/>
    <w:rsid w:val="000D6952"/>
    <w:rsid w:val="000D7D3E"/>
    <w:rsid w:val="000E1285"/>
    <w:rsid w:val="000E1C39"/>
    <w:rsid w:val="000E440A"/>
    <w:rsid w:val="000E45E6"/>
    <w:rsid w:val="000E5C95"/>
    <w:rsid w:val="000E6155"/>
    <w:rsid w:val="000E6A70"/>
    <w:rsid w:val="000E700A"/>
    <w:rsid w:val="000E7454"/>
    <w:rsid w:val="000E75D7"/>
    <w:rsid w:val="000F00B8"/>
    <w:rsid w:val="000F0335"/>
    <w:rsid w:val="000F08C4"/>
    <w:rsid w:val="000F0FF7"/>
    <w:rsid w:val="000F308D"/>
    <w:rsid w:val="000F3685"/>
    <w:rsid w:val="000F501C"/>
    <w:rsid w:val="000F6CE3"/>
    <w:rsid w:val="000F7E03"/>
    <w:rsid w:val="001002EC"/>
    <w:rsid w:val="001007FC"/>
    <w:rsid w:val="001009B0"/>
    <w:rsid w:val="00100F14"/>
    <w:rsid w:val="00100FDD"/>
    <w:rsid w:val="00101981"/>
    <w:rsid w:val="00101FA4"/>
    <w:rsid w:val="00103575"/>
    <w:rsid w:val="001044FD"/>
    <w:rsid w:val="0010573C"/>
    <w:rsid w:val="001058BF"/>
    <w:rsid w:val="00105DDC"/>
    <w:rsid w:val="0010720C"/>
    <w:rsid w:val="00107CDE"/>
    <w:rsid w:val="00110EDC"/>
    <w:rsid w:val="0011129B"/>
    <w:rsid w:val="0011199A"/>
    <w:rsid w:val="00112146"/>
    <w:rsid w:val="00112FC2"/>
    <w:rsid w:val="00113408"/>
    <w:rsid w:val="00113489"/>
    <w:rsid w:val="00114AA7"/>
    <w:rsid w:val="001157FF"/>
    <w:rsid w:val="00116571"/>
    <w:rsid w:val="00116659"/>
    <w:rsid w:val="00116D21"/>
    <w:rsid w:val="00117262"/>
    <w:rsid w:val="001179EF"/>
    <w:rsid w:val="00117B92"/>
    <w:rsid w:val="00117D6F"/>
    <w:rsid w:val="0012050F"/>
    <w:rsid w:val="0012057D"/>
    <w:rsid w:val="00120864"/>
    <w:rsid w:val="0012102E"/>
    <w:rsid w:val="00121FE6"/>
    <w:rsid w:val="0012206B"/>
    <w:rsid w:val="00122DC6"/>
    <w:rsid w:val="00124649"/>
    <w:rsid w:val="00124778"/>
    <w:rsid w:val="001257A0"/>
    <w:rsid w:val="001278E8"/>
    <w:rsid w:val="00127FD9"/>
    <w:rsid w:val="0013056C"/>
    <w:rsid w:val="0013105D"/>
    <w:rsid w:val="0013114A"/>
    <w:rsid w:val="001312C1"/>
    <w:rsid w:val="00131E95"/>
    <w:rsid w:val="0013398F"/>
    <w:rsid w:val="0013446B"/>
    <w:rsid w:val="0013459A"/>
    <w:rsid w:val="001359CA"/>
    <w:rsid w:val="00135D37"/>
    <w:rsid w:val="001369A0"/>
    <w:rsid w:val="00136D41"/>
    <w:rsid w:val="00137429"/>
    <w:rsid w:val="0013759A"/>
    <w:rsid w:val="00141352"/>
    <w:rsid w:val="001423EA"/>
    <w:rsid w:val="001431E0"/>
    <w:rsid w:val="00144636"/>
    <w:rsid w:val="00144B48"/>
    <w:rsid w:val="00144DEC"/>
    <w:rsid w:val="00145673"/>
    <w:rsid w:val="001458F6"/>
    <w:rsid w:val="00146F28"/>
    <w:rsid w:val="00147946"/>
    <w:rsid w:val="0015052A"/>
    <w:rsid w:val="001505F4"/>
    <w:rsid w:val="00150BEC"/>
    <w:rsid w:val="00150C56"/>
    <w:rsid w:val="00151F01"/>
    <w:rsid w:val="00152186"/>
    <w:rsid w:val="00152734"/>
    <w:rsid w:val="001537DF"/>
    <w:rsid w:val="001556BC"/>
    <w:rsid w:val="001557E5"/>
    <w:rsid w:val="00155EA5"/>
    <w:rsid w:val="00156051"/>
    <w:rsid w:val="001563F9"/>
    <w:rsid w:val="0015698C"/>
    <w:rsid w:val="00160265"/>
    <w:rsid w:val="00160CDF"/>
    <w:rsid w:val="00160FB5"/>
    <w:rsid w:val="00161F72"/>
    <w:rsid w:val="00163743"/>
    <w:rsid w:val="0016552A"/>
    <w:rsid w:val="0016649A"/>
    <w:rsid w:val="00166F4F"/>
    <w:rsid w:val="00167A1B"/>
    <w:rsid w:val="0017086E"/>
    <w:rsid w:val="00171528"/>
    <w:rsid w:val="00171597"/>
    <w:rsid w:val="001715F1"/>
    <w:rsid w:val="00172641"/>
    <w:rsid w:val="00172B0B"/>
    <w:rsid w:val="0017318B"/>
    <w:rsid w:val="001739A1"/>
    <w:rsid w:val="00173AFB"/>
    <w:rsid w:val="00174C98"/>
    <w:rsid w:val="00175206"/>
    <w:rsid w:val="001754F2"/>
    <w:rsid w:val="00176033"/>
    <w:rsid w:val="001772CB"/>
    <w:rsid w:val="0017766A"/>
    <w:rsid w:val="00177799"/>
    <w:rsid w:val="00177957"/>
    <w:rsid w:val="00177DC0"/>
    <w:rsid w:val="00177EBF"/>
    <w:rsid w:val="001805ED"/>
    <w:rsid w:val="00180EE9"/>
    <w:rsid w:val="001829DB"/>
    <w:rsid w:val="00182A9A"/>
    <w:rsid w:val="00182BBB"/>
    <w:rsid w:val="00182F78"/>
    <w:rsid w:val="0018332E"/>
    <w:rsid w:val="00183851"/>
    <w:rsid w:val="00183BED"/>
    <w:rsid w:val="00183E7F"/>
    <w:rsid w:val="00184380"/>
    <w:rsid w:val="001847D5"/>
    <w:rsid w:val="001859F5"/>
    <w:rsid w:val="00185EB3"/>
    <w:rsid w:val="00186523"/>
    <w:rsid w:val="00186FA4"/>
    <w:rsid w:val="0018782C"/>
    <w:rsid w:val="00192B18"/>
    <w:rsid w:val="00192C40"/>
    <w:rsid w:val="00192CB8"/>
    <w:rsid w:val="0019337C"/>
    <w:rsid w:val="001950BB"/>
    <w:rsid w:val="00195DAD"/>
    <w:rsid w:val="00195EDB"/>
    <w:rsid w:val="0019616E"/>
    <w:rsid w:val="00196593"/>
    <w:rsid w:val="00196C6A"/>
    <w:rsid w:val="00196E35"/>
    <w:rsid w:val="00196F46"/>
    <w:rsid w:val="00197877"/>
    <w:rsid w:val="0019790A"/>
    <w:rsid w:val="001A097B"/>
    <w:rsid w:val="001A1398"/>
    <w:rsid w:val="001A17D0"/>
    <w:rsid w:val="001A1815"/>
    <w:rsid w:val="001A2B68"/>
    <w:rsid w:val="001A2C3B"/>
    <w:rsid w:val="001A3D07"/>
    <w:rsid w:val="001A4390"/>
    <w:rsid w:val="001A5002"/>
    <w:rsid w:val="001A5BC7"/>
    <w:rsid w:val="001A69E8"/>
    <w:rsid w:val="001A74B6"/>
    <w:rsid w:val="001A7563"/>
    <w:rsid w:val="001B05CC"/>
    <w:rsid w:val="001B0660"/>
    <w:rsid w:val="001B0A9D"/>
    <w:rsid w:val="001B1163"/>
    <w:rsid w:val="001B19A0"/>
    <w:rsid w:val="001B1DB5"/>
    <w:rsid w:val="001B2A85"/>
    <w:rsid w:val="001B3229"/>
    <w:rsid w:val="001B3A26"/>
    <w:rsid w:val="001B402D"/>
    <w:rsid w:val="001B40F7"/>
    <w:rsid w:val="001B5995"/>
    <w:rsid w:val="001B61DC"/>
    <w:rsid w:val="001B7159"/>
    <w:rsid w:val="001B7186"/>
    <w:rsid w:val="001B7CA9"/>
    <w:rsid w:val="001C0783"/>
    <w:rsid w:val="001C0B57"/>
    <w:rsid w:val="001C0BA3"/>
    <w:rsid w:val="001C0EC8"/>
    <w:rsid w:val="001C25A3"/>
    <w:rsid w:val="001C3049"/>
    <w:rsid w:val="001C3646"/>
    <w:rsid w:val="001C465A"/>
    <w:rsid w:val="001C49E6"/>
    <w:rsid w:val="001C4BB5"/>
    <w:rsid w:val="001C4BD6"/>
    <w:rsid w:val="001C62FB"/>
    <w:rsid w:val="001C63EE"/>
    <w:rsid w:val="001D0128"/>
    <w:rsid w:val="001D04D8"/>
    <w:rsid w:val="001D0DA5"/>
    <w:rsid w:val="001D24F3"/>
    <w:rsid w:val="001D3C96"/>
    <w:rsid w:val="001D4228"/>
    <w:rsid w:val="001D4DBD"/>
    <w:rsid w:val="001D4EF6"/>
    <w:rsid w:val="001D6585"/>
    <w:rsid w:val="001D6ABE"/>
    <w:rsid w:val="001D6F54"/>
    <w:rsid w:val="001D7DEE"/>
    <w:rsid w:val="001E09D5"/>
    <w:rsid w:val="001E151C"/>
    <w:rsid w:val="001E1AA7"/>
    <w:rsid w:val="001E37F8"/>
    <w:rsid w:val="001E3C5A"/>
    <w:rsid w:val="001E3DF9"/>
    <w:rsid w:val="001E4263"/>
    <w:rsid w:val="001E42A2"/>
    <w:rsid w:val="001E44B9"/>
    <w:rsid w:val="001E46BF"/>
    <w:rsid w:val="001E4BC5"/>
    <w:rsid w:val="001E51F0"/>
    <w:rsid w:val="001E5896"/>
    <w:rsid w:val="001E635C"/>
    <w:rsid w:val="001E6B44"/>
    <w:rsid w:val="001F1433"/>
    <w:rsid w:val="001F1597"/>
    <w:rsid w:val="001F17A2"/>
    <w:rsid w:val="001F1B28"/>
    <w:rsid w:val="001F1B5B"/>
    <w:rsid w:val="001F2CDC"/>
    <w:rsid w:val="001F3668"/>
    <w:rsid w:val="001F36DF"/>
    <w:rsid w:val="001F3AF5"/>
    <w:rsid w:val="001F55F9"/>
    <w:rsid w:val="001F5625"/>
    <w:rsid w:val="001F57E2"/>
    <w:rsid w:val="001F598D"/>
    <w:rsid w:val="001F5B35"/>
    <w:rsid w:val="001F669F"/>
    <w:rsid w:val="0020110C"/>
    <w:rsid w:val="002013FD"/>
    <w:rsid w:val="00201B0C"/>
    <w:rsid w:val="00201EDF"/>
    <w:rsid w:val="0020244C"/>
    <w:rsid w:val="00203B45"/>
    <w:rsid w:val="00203F14"/>
    <w:rsid w:val="00204072"/>
    <w:rsid w:val="0020484E"/>
    <w:rsid w:val="00204BF5"/>
    <w:rsid w:val="00205168"/>
    <w:rsid w:val="002058B0"/>
    <w:rsid w:val="00207949"/>
    <w:rsid w:val="00207BE2"/>
    <w:rsid w:val="00207E7D"/>
    <w:rsid w:val="002105C7"/>
    <w:rsid w:val="00211FF4"/>
    <w:rsid w:val="00212682"/>
    <w:rsid w:val="00213B61"/>
    <w:rsid w:val="0021481A"/>
    <w:rsid w:val="00215684"/>
    <w:rsid w:val="00215730"/>
    <w:rsid w:val="00215FE0"/>
    <w:rsid w:val="00216865"/>
    <w:rsid w:val="00217503"/>
    <w:rsid w:val="00217D4C"/>
    <w:rsid w:val="00220EBD"/>
    <w:rsid w:val="00220F90"/>
    <w:rsid w:val="00221011"/>
    <w:rsid w:val="002227B3"/>
    <w:rsid w:val="002229E8"/>
    <w:rsid w:val="00223036"/>
    <w:rsid w:val="00223EAE"/>
    <w:rsid w:val="00225145"/>
    <w:rsid w:val="0022598B"/>
    <w:rsid w:val="00225ED7"/>
    <w:rsid w:val="0022609D"/>
    <w:rsid w:val="0022642C"/>
    <w:rsid w:val="00226873"/>
    <w:rsid w:val="002269B0"/>
    <w:rsid w:val="00230CA5"/>
    <w:rsid w:val="0023155D"/>
    <w:rsid w:val="00232E2E"/>
    <w:rsid w:val="002333F4"/>
    <w:rsid w:val="002335B8"/>
    <w:rsid w:val="00233C4F"/>
    <w:rsid w:val="00233F67"/>
    <w:rsid w:val="00234C10"/>
    <w:rsid w:val="00234E4C"/>
    <w:rsid w:val="00234F2C"/>
    <w:rsid w:val="002356C8"/>
    <w:rsid w:val="00236792"/>
    <w:rsid w:val="002373CF"/>
    <w:rsid w:val="002375BC"/>
    <w:rsid w:val="002376B8"/>
    <w:rsid w:val="00240314"/>
    <w:rsid w:val="00240351"/>
    <w:rsid w:val="00241E73"/>
    <w:rsid w:val="002421D5"/>
    <w:rsid w:val="00243704"/>
    <w:rsid w:val="00243E28"/>
    <w:rsid w:val="00244102"/>
    <w:rsid w:val="0024550F"/>
    <w:rsid w:val="00245DD1"/>
    <w:rsid w:val="00246C29"/>
    <w:rsid w:val="00246CF6"/>
    <w:rsid w:val="00246FD7"/>
    <w:rsid w:val="00247809"/>
    <w:rsid w:val="0025193B"/>
    <w:rsid w:val="0025212E"/>
    <w:rsid w:val="0025225F"/>
    <w:rsid w:val="00252355"/>
    <w:rsid w:val="002534FA"/>
    <w:rsid w:val="002540E1"/>
    <w:rsid w:val="00254819"/>
    <w:rsid w:val="00255B72"/>
    <w:rsid w:val="00256F3B"/>
    <w:rsid w:val="002607DF"/>
    <w:rsid w:val="002620BB"/>
    <w:rsid w:val="00262181"/>
    <w:rsid w:val="00262C03"/>
    <w:rsid w:val="00264220"/>
    <w:rsid w:val="002646D2"/>
    <w:rsid w:val="00264FF3"/>
    <w:rsid w:val="00265D4A"/>
    <w:rsid w:val="0026639F"/>
    <w:rsid w:val="00266485"/>
    <w:rsid w:val="00266FB9"/>
    <w:rsid w:val="0026722D"/>
    <w:rsid w:val="0026799E"/>
    <w:rsid w:val="00267EAE"/>
    <w:rsid w:val="002703A9"/>
    <w:rsid w:val="002704F9"/>
    <w:rsid w:val="002705E5"/>
    <w:rsid w:val="00272B84"/>
    <w:rsid w:val="002742C7"/>
    <w:rsid w:val="00274845"/>
    <w:rsid w:val="00274EAB"/>
    <w:rsid w:val="00275163"/>
    <w:rsid w:val="002767AB"/>
    <w:rsid w:val="002767E5"/>
    <w:rsid w:val="00276DD5"/>
    <w:rsid w:val="00280395"/>
    <w:rsid w:val="0028197B"/>
    <w:rsid w:val="002829A2"/>
    <w:rsid w:val="00283364"/>
    <w:rsid w:val="00283C7C"/>
    <w:rsid w:val="00284193"/>
    <w:rsid w:val="002842BF"/>
    <w:rsid w:val="00285E0D"/>
    <w:rsid w:val="00286D6F"/>
    <w:rsid w:val="002879E5"/>
    <w:rsid w:val="002906BF"/>
    <w:rsid w:val="00290AFC"/>
    <w:rsid w:val="00291E28"/>
    <w:rsid w:val="00292EE0"/>
    <w:rsid w:val="00292F2F"/>
    <w:rsid w:val="00294549"/>
    <w:rsid w:val="00294EBD"/>
    <w:rsid w:val="002954E0"/>
    <w:rsid w:val="0029558D"/>
    <w:rsid w:val="00296AFC"/>
    <w:rsid w:val="0029790A"/>
    <w:rsid w:val="00297B3D"/>
    <w:rsid w:val="002A0668"/>
    <w:rsid w:val="002A1A1D"/>
    <w:rsid w:val="002A2B13"/>
    <w:rsid w:val="002A3504"/>
    <w:rsid w:val="002A3708"/>
    <w:rsid w:val="002A386B"/>
    <w:rsid w:val="002A39FF"/>
    <w:rsid w:val="002A3F66"/>
    <w:rsid w:val="002A4674"/>
    <w:rsid w:val="002A471E"/>
    <w:rsid w:val="002A4B39"/>
    <w:rsid w:val="002A4FEE"/>
    <w:rsid w:val="002A5151"/>
    <w:rsid w:val="002A5F21"/>
    <w:rsid w:val="002A5FAF"/>
    <w:rsid w:val="002A710D"/>
    <w:rsid w:val="002A7B2D"/>
    <w:rsid w:val="002B0230"/>
    <w:rsid w:val="002B147F"/>
    <w:rsid w:val="002B229C"/>
    <w:rsid w:val="002B23E2"/>
    <w:rsid w:val="002B2430"/>
    <w:rsid w:val="002B2749"/>
    <w:rsid w:val="002B356A"/>
    <w:rsid w:val="002B386D"/>
    <w:rsid w:val="002B49BE"/>
    <w:rsid w:val="002B4AB5"/>
    <w:rsid w:val="002B5C90"/>
    <w:rsid w:val="002B651F"/>
    <w:rsid w:val="002B719F"/>
    <w:rsid w:val="002B7823"/>
    <w:rsid w:val="002C0ED7"/>
    <w:rsid w:val="002C133D"/>
    <w:rsid w:val="002C1356"/>
    <w:rsid w:val="002C193E"/>
    <w:rsid w:val="002C1D6F"/>
    <w:rsid w:val="002C22A5"/>
    <w:rsid w:val="002C234D"/>
    <w:rsid w:val="002C3AB7"/>
    <w:rsid w:val="002C3F5F"/>
    <w:rsid w:val="002C40AC"/>
    <w:rsid w:val="002C4557"/>
    <w:rsid w:val="002C47D6"/>
    <w:rsid w:val="002C4B69"/>
    <w:rsid w:val="002C577F"/>
    <w:rsid w:val="002C5851"/>
    <w:rsid w:val="002C5C66"/>
    <w:rsid w:val="002C69E3"/>
    <w:rsid w:val="002C7F32"/>
    <w:rsid w:val="002C7F63"/>
    <w:rsid w:val="002D0898"/>
    <w:rsid w:val="002D1802"/>
    <w:rsid w:val="002D2EEC"/>
    <w:rsid w:val="002D4ACE"/>
    <w:rsid w:val="002D5D62"/>
    <w:rsid w:val="002D5E32"/>
    <w:rsid w:val="002D6580"/>
    <w:rsid w:val="002D6B86"/>
    <w:rsid w:val="002D77AE"/>
    <w:rsid w:val="002E09F0"/>
    <w:rsid w:val="002E127F"/>
    <w:rsid w:val="002E19C6"/>
    <w:rsid w:val="002E1AC9"/>
    <w:rsid w:val="002E30CA"/>
    <w:rsid w:val="002E392A"/>
    <w:rsid w:val="002E3BAE"/>
    <w:rsid w:val="002E402A"/>
    <w:rsid w:val="002E5309"/>
    <w:rsid w:val="002E60FF"/>
    <w:rsid w:val="002E645F"/>
    <w:rsid w:val="002E6BD2"/>
    <w:rsid w:val="002E6EE0"/>
    <w:rsid w:val="002E6F44"/>
    <w:rsid w:val="002E705C"/>
    <w:rsid w:val="002E712B"/>
    <w:rsid w:val="002E7162"/>
    <w:rsid w:val="002E78BD"/>
    <w:rsid w:val="002F0787"/>
    <w:rsid w:val="002F1014"/>
    <w:rsid w:val="002F1C10"/>
    <w:rsid w:val="002F20E5"/>
    <w:rsid w:val="002F22CB"/>
    <w:rsid w:val="002F2565"/>
    <w:rsid w:val="002F3C45"/>
    <w:rsid w:val="002F3F8F"/>
    <w:rsid w:val="002F44B8"/>
    <w:rsid w:val="002F4D26"/>
    <w:rsid w:val="002F4F1D"/>
    <w:rsid w:val="002F5B03"/>
    <w:rsid w:val="002F5F29"/>
    <w:rsid w:val="002F6FC6"/>
    <w:rsid w:val="002F74FC"/>
    <w:rsid w:val="002F79DE"/>
    <w:rsid w:val="002F7D31"/>
    <w:rsid w:val="002F7FA3"/>
    <w:rsid w:val="00300048"/>
    <w:rsid w:val="003002A1"/>
    <w:rsid w:val="003003B1"/>
    <w:rsid w:val="0030117F"/>
    <w:rsid w:val="003028CE"/>
    <w:rsid w:val="00303049"/>
    <w:rsid w:val="00304229"/>
    <w:rsid w:val="003062A2"/>
    <w:rsid w:val="003068FC"/>
    <w:rsid w:val="003070CE"/>
    <w:rsid w:val="00307344"/>
    <w:rsid w:val="00311A66"/>
    <w:rsid w:val="00311DA3"/>
    <w:rsid w:val="00311E8F"/>
    <w:rsid w:val="00312359"/>
    <w:rsid w:val="00312D4D"/>
    <w:rsid w:val="00313211"/>
    <w:rsid w:val="00313343"/>
    <w:rsid w:val="00313E68"/>
    <w:rsid w:val="003149E3"/>
    <w:rsid w:val="00314B9D"/>
    <w:rsid w:val="00314C67"/>
    <w:rsid w:val="00314D23"/>
    <w:rsid w:val="00316190"/>
    <w:rsid w:val="0031733B"/>
    <w:rsid w:val="00320707"/>
    <w:rsid w:val="003210FB"/>
    <w:rsid w:val="003211D8"/>
    <w:rsid w:val="00321743"/>
    <w:rsid w:val="00322B53"/>
    <w:rsid w:val="00322BA2"/>
    <w:rsid w:val="00322BA5"/>
    <w:rsid w:val="00322D9C"/>
    <w:rsid w:val="00323A87"/>
    <w:rsid w:val="00324412"/>
    <w:rsid w:val="00331B63"/>
    <w:rsid w:val="00331D11"/>
    <w:rsid w:val="00332726"/>
    <w:rsid w:val="003336A3"/>
    <w:rsid w:val="00334366"/>
    <w:rsid w:val="00334A07"/>
    <w:rsid w:val="00334AAA"/>
    <w:rsid w:val="00334D4A"/>
    <w:rsid w:val="00334F46"/>
    <w:rsid w:val="003356A1"/>
    <w:rsid w:val="00335F8D"/>
    <w:rsid w:val="0033642B"/>
    <w:rsid w:val="0033645A"/>
    <w:rsid w:val="003366D8"/>
    <w:rsid w:val="00336CF2"/>
    <w:rsid w:val="00337AD5"/>
    <w:rsid w:val="00337E13"/>
    <w:rsid w:val="00340BB6"/>
    <w:rsid w:val="0034121E"/>
    <w:rsid w:val="00341618"/>
    <w:rsid w:val="0034185E"/>
    <w:rsid w:val="00342AFB"/>
    <w:rsid w:val="0034338F"/>
    <w:rsid w:val="00343FC9"/>
    <w:rsid w:val="00344810"/>
    <w:rsid w:val="003459E5"/>
    <w:rsid w:val="00345DBE"/>
    <w:rsid w:val="00346AC3"/>
    <w:rsid w:val="00346E34"/>
    <w:rsid w:val="00346EBC"/>
    <w:rsid w:val="003479F9"/>
    <w:rsid w:val="00347BC1"/>
    <w:rsid w:val="00350543"/>
    <w:rsid w:val="0035077A"/>
    <w:rsid w:val="003507F7"/>
    <w:rsid w:val="00350DC1"/>
    <w:rsid w:val="00350E30"/>
    <w:rsid w:val="00351077"/>
    <w:rsid w:val="00351F97"/>
    <w:rsid w:val="00352C87"/>
    <w:rsid w:val="003532C9"/>
    <w:rsid w:val="00355024"/>
    <w:rsid w:val="003556B0"/>
    <w:rsid w:val="003556BC"/>
    <w:rsid w:val="00355D5B"/>
    <w:rsid w:val="003577B7"/>
    <w:rsid w:val="003577E0"/>
    <w:rsid w:val="003604F7"/>
    <w:rsid w:val="00360D0A"/>
    <w:rsid w:val="003614CF"/>
    <w:rsid w:val="00362039"/>
    <w:rsid w:val="003628CE"/>
    <w:rsid w:val="00362A0A"/>
    <w:rsid w:val="00362D6D"/>
    <w:rsid w:val="00364153"/>
    <w:rsid w:val="00364419"/>
    <w:rsid w:val="003645A4"/>
    <w:rsid w:val="00364CD8"/>
    <w:rsid w:val="00365124"/>
    <w:rsid w:val="00365920"/>
    <w:rsid w:val="00366FB2"/>
    <w:rsid w:val="00367C2A"/>
    <w:rsid w:val="00370080"/>
    <w:rsid w:val="00370989"/>
    <w:rsid w:val="00371966"/>
    <w:rsid w:val="0037207D"/>
    <w:rsid w:val="00372D15"/>
    <w:rsid w:val="00373651"/>
    <w:rsid w:val="00373DF4"/>
    <w:rsid w:val="00373EDF"/>
    <w:rsid w:val="003754D2"/>
    <w:rsid w:val="003755C1"/>
    <w:rsid w:val="00375716"/>
    <w:rsid w:val="00375908"/>
    <w:rsid w:val="003768C2"/>
    <w:rsid w:val="00377FF7"/>
    <w:rsid w:val="0038178F"/>
    <w:rsid w:val="00381BE2"/>
    <w:rsid w:val="003839DB"/>
    <w:rsid w:val="00383F89"/>
    <w:rsid w:val="0038549A"/>
    <w:rsid w:val="00385540"/>
    <w:rsid w:val="00385C43"/>
    <w:rsid w:val="003872DC"/>
    <w:rsid w:val="00387ABD"/>
    <w:rsid w:val="00390213"/>
    <w:rsid w:val="00390661"/>
    <w:rsid w:val="00390C4F"/>
    <w:rsid w:val="003911D3"/>
    <w:rsid w:val="003925B5"/>
    <w:rsid w:val="003935ED"/>
    <w:rsid w:val="00393DC8"/>
    <w:rsid w:val="003940F5"/>
    <w:rsid w:val="003950AB"/>
    <w:rsid w:val="0039551E"/>
    <w:rsid w:val="00396197"/>
    <w:rsid w:val="003A0B38"/>
    <w:rsid w:val="003A0BF7"/>
    <w:rsid w:val="003A0DE2"/>
    <w:rsid w:val="003A1CAC"/>
    <w:rsid w:val="003A3A85"/>
    <w:rsid w:val="003A40EE"/>
    <w:rsid w:val="003A4392"/>
    <w:rsid w:val="003A5A81"/>
    <w:rsid w:val="003A60A3"/>
    <w:rsid w:val="003A6417"/>
    <w:rsid w:val="003A6B31"/>
    <w:rsid w:val="003A7067"/>
    <w:rsid w:val="003A7B39"/>
    <w:rsid w:val="003A7F4A"/>
    <w:rsid w:val="003B079D"/>
    <w:rsid w:val="003B0955"/>
    <w:rsid w:val="003B0B0B"/>
    <w:rsid w:val="003B0D37"/>
    <w:rsid w:val="003B1651"/>
    <w:rsid w:val="003B1AAB"/>
    <w:rsid w:val="003B26E4"/>
    <w:rsid w:val="003B296E"/>
    <w:rsid w:val="003B2FE9"/>
    <w:rsid w:val="003B3D70"/>
    <w:rsid w:val="003B449D"/>
    <w:rsid w:val="003B45FC"/>
    <w:rsid w:val="003B4C14"/>
    <w:rsid w:val="003B5069"/>
    <w:rsid w:val="003B5108"/>
    <w:rsid w:val="003B58E0"/>
    <w:rsid w:val="003B6302"/>
    <w:rsid w:val="003B70AA"/>
    <w:rsid w:val="003C058C"/>
    <w:rsid w:val="003C10A8"/>
    <w:rsid w:val="003C21A1"/>
    <w:rsid w:val="003C3C49"/>
    <w:rsid w:val="003C41F1"/>
    <w:rsid w:val="003C4990"/>
    <w:rsid w:val="003C51C2"/>
    <w:rsid w:val="003C5A7A"/>
    <w:rsid w:val="003C6B4B"/>
    <w:rsid w:val="003C6C40"/>
    <w:rsid w:val="003C7265"/>
    <w:rsid w:val="003C73E3"/>
    <w:rsid w:val="003C79CA"/>
    <w:rsid w:val="003D12EE"/>
    <w:rsid w:val="003D30F3"/>
    <w:rsid w:val="003D3599"/>
    <w:rsid w:val="003D39CF"/>
    <w:rsid w:val="003D4776"/>
    <w:rsid w:val="003D4992"/>
    <w:rsid w:val="003D540E"/>
    <w:rsid w:val="003D551B"/>
    <w:rsid w:val="003D5B80"/>
    <w:rsid w:val="003D6295"/>
    <w:rsid w:val="003D6706"/>
    <w:rsid w:val="003E1A63"/>
    <w:rsid w:val="003E249F"/>
    <w:rsid w:val="003E3BCC"/>
    <w:rsid w:val="003E3C4C"/>
    <w:rsid w:val="003E4D8E"/>
    <w:rsid w:val="003E4D9D"/>
    <w:rsid w:val="003E55A5"/>
    <w:rsid w:val="003E575A"/>
    <w:rsid w:val="003E5778"/>
    <w:rsid w:val="003E6103"/>
    <w:rsid w:val="003E62D6"/>
    <w:rsid w:val="003E639D"/>
    <w:rsid w:val="003E743E"/>
    <w:rsid w:val="003E7AB6"/>
    <w:rsid w:val="003F0688"/>
    <w:rsid w:val="003F07AC"/>
    <w:rsid w:val="003F14B2"/>
    <w:rsid w:val="003F25F6"/>
    <w:rsid w:val="003F2777"/>
    <w:rsid w:val="003F27E8"/>
    <w:rsid w:val="003F2F4D"/>
    <w:rsid w:val="003F3894"/>
    <w:rsid w:val="003F390F"/>
    <w:rsid w:val="003F48DB"/>
    <w:rsid w:val="003F4D6D"/>
    <w:rsid w:val="003F54ED"/>
    <w:rsid w:val="003F58D8"/>
    <w:rsid w:val="003F5FA4"/>
    <w:rsid w:val="003F6E4C"/>
    <w:rsid w:val="003F712D"/>
    <w:rsid w:val="003F78D5"/>
    <w:rsid w:val="003F7FB6"/>
    <w:rsid w:val="004007D2"/>
    <w:rsid w:val="00401637"/>
    <w:rsid w:val="004027D2"/>
    <w:rsid w:val="00402922"/>
    <w:rsid w:val="00403969"/>
    <w:rsid w:val="00403B31"/>
    <w:rsid w:val="00403DC6"/>
    <w:rsid w:val="00403FBC"/>
    <w:rsid w:val="004060E3"/>
    <w:rsid w:val="00412041"/>
    <w:rsid w:val="00414E5B"/>
    <w:rsid w:val="0041520E"/>
    <w:rsid w:val="00416434"/>
    <w:rsid w:val="004169AA"/>
    <w:rsid w:val="004200B0"/>
    <w:rsid w:val="00420352"/>
    <w:rsid w:val="0042042C"/>
    <w:rsid w:val="00421ADF"/>
    <w:rsid w:val="00422375"/>
    <w:rsid w:val="004225C3"/>
    <w:rsid w:val="004226D5"/>
    <w:rsid w:val="0042356E"/>
    <w:rsid w:val="00423630"/>
    <w:rsid w:val="00424B02"/>
    <w:rsid w:val="00424B61"/>
    <w:rsid w:val="00425148"/>
    <w:rsid w:val="004257FD"/>
    <w:rsid w:val="00426704"/>
    <w:rsid w:val="00426773"/>
    <w:rsid w:val="00426E89"/>
    <w:rsid w:val="0042743D"/>
    <w:rsid w:val="004278F3"/>
    <w:rsid w:val="004279D2"/>
    <w:rsid w:val="00430F37"/>
    <w:rsid w:val="0043104E"/>
    <w:rsid w:val="0043117B"/>
    <w:rsid w:val="00431728"/>
    <w:rsid w:val="00432A0B"/>
    <w:rsid w:val="00432B9D"/>
    <w:rsid w:val="00432CC1"/>
    <w:rsid w:val="00433220"/>
    <w:rsid w:val="00433EF4"/>
    <w:rsid w:val="00434915"/>
    <w:rsid w:val="00434EEE"/>
    <w:rsid w:val="0043500E"/>
    <w:rsid w:val="0043636C"/>
    <w:rsid w:val="0043719E"/>
    <w:rsid w:val="0043784E"/>
    <w:rsid w:val="004405DA"/>
    <w:rsid w:val="00440619"/>
    <w:rsid w:val="00440959"/>
    <w:rsid w:val="0044165F"/>
    <w:rsid w:val="004423D6"/>
    <w:rsid w:val="00442493"/>
    <w:rsid w:val="0044258F"/>
    <w:rsid w:val="00442E14"/>
    <w:rsid w:val="004442C7"/>
    <w:rsid w:val="00444B42"/>
    <w:rsid w:val="00445881"/>
    <w:rsid w:val="00446113"/>
    <w:rsid w:val="004466DF"/>
    <w:rsid w:val="0044674D"/>
    <w:rsid w:val="00447244"/>
    <w:rsid w:val="004503B3"/>
    <w:rsid w:val="004506BA"/>
    <w:rsid w:val="00450BCC"/>
    <w:rsid w:val="004517F3"/>
    <w:rsid w:val="004521F2"/>
    <w:rsid w:val="004526CB"/>
    <w:rsid w:val="00452ACD"/>
    <w:rsid w:val="00453653"/>
    <w:rsid w:val="004538C8"/>
    <w:rsid w:val="004539CD"/>
    <w:rsid w:val="00453ED1"/>
    <w:rsid w:val="00454ACF"/>
    <w:rsid w:val="0045573A"/>
    <w:rsid w:val="00455834"/>
    <w:rsid w:val="0045608C"/>
    <w:rsid w:val="00456665"/>
    <w:rsid w:val="00456FD6"/>
    <w:rsid w:val="004572EA"/>
    <w:rsid w:val="004573D4"/>
    <w:rsid w:val="00457823"/>
    <w:rsid w:val="00457BCA"/>
    <w:rsid w:val="0046017F"/>
    <w:rsid w:val="0046089B"/>
    <w:rsid w:val="00460AE8"/>
    <w:rsid w:val="00460BFE"/>
    <w:rsid w:val="00461529"/>
    <w:rsid w:val="004615A6"/>
    <w:rsid w:val="00461BAD"/>
    <w:rsid w:val="0046264E"/>
    <w:rsid w:val="00463D5D"/>
    <w:rsid w:val="00465162"/>
    <w:rsid w:val="0046677F"/>
    <w:rsid w:val="00466B02"/>
    <w:rsid w:val="004673DC"/>
    <w:rsid w:val="00467CD5"/>
    <w:rsid w:val="004701A8"/>
    <w:rsid w:val="004705DE"/>
    <w:rsid w:val="00470896"/>
    <w:rsid w:val="0047094A"/>
    <w:rsid w:val="004714E4"/>
    <w:rsid w:val="0047201B"/>
    <w:rsid w:val="00472457"/>
    <w:rsid w:val="004725DE"/>
    <w:rsid w:val="0047275B"/>
    <w:rsid w:val="004732BD"/>
    <w:rsid w:val="00473CA0"/>
    <w:rsid w:val="0047449F"/>
    <w:rsid w:val="00474530"/>
    <w:rsid w:val="004759A4"/>
    <w:rsid w:val="00476848"/>
    <w:rsid w:val="00476A9B"/>
    <w:rsid w:val="00477723"/>
    <w:rsid w:val="004777FA"/>
    <w:rsid w:val="00477921"/>
    <w:rsid w:val="00480B8C"/>
    <w:rsid w:val="00480C22"/>
    <w:rsid w:val="00481083"/>
    <w:rsid w:val="00481FD9"/>
    <w:rsid w:val="004825F7"/>
    <w:rsid w:val="004829D7"/>
    <w:rsid w:val="00484340"/>
    <w:rsid w:val="004846CF"/>
    <w:rsid w:val="00484777"/>
    <w:rsid w:val="0048565B"/>
    <w:rsid w:val="004860C1"/>
    <w:rsid w:val="00486B2A"/>
    <w:rsid w:val="00487852"/>
    <w:rsid w:val="004904DA"/>
    <w:rsid w:val="00491078"/>
    <w:rsid w:val="0049159E"/>
    <w:rsid w:val="00491ED3"/>
    <w:rsid w:val="00492DB9"/>
    <w:rsid w:val="004936BE"/>
    <w:rsid w:val="00495509"/>
    <w:rsid w:val="00496340"/>
    <w:rsid w:val="004965D6"/>
    <w:rsid w:val="00497352"/>
    <w:rsid w:val="00497364"/>
    <w:rsid w:val="0049746D"/>
    <w:rsid w:val="00497C6C"/>
    <w:rsid w:val="004A0D21"/>
    <w:rsid w:val="004A10B0"/>
    <w:rsid w:val="004A1886"/>
    <w:rsid w:val="004A1CD7"/>
    <w:rsid w:val="004A2275"/>
    <w:rsid w:val="004A2BA6"/>
    <w:rsid w:val="004A37CC"/>
    <w:rsid w:val="004A4D12"/>
    <w:rsid w:val="004A58D2"/>
    <w:rsid w:val="004A6AFA"/>
    <w:rsid w:val="004A6B5A"/>
    <w:rsid w:val="004A70EA"/>
    <w:rsid w:val="004A7A1D"/>
    <w:rsid w:val="004B0A3C"/>
    <w:rsid w:val="004B2DC0"/>
    <w:rsid w:val="004B3BEE"/>
    <w:rsid w:val="004B3F0D"/>
    <w:rsid w:val="004B570B"/>
    <w:rsid w:val="004B5A74"/>
    <w:rsid w:val="004B5E7E"/>
    <w:rsid w:val="004B7E26"/>
    <w:rsid w:val="004C0A59"/>
    <w:rsid w:val="004C0F91"/>
    <w:rsid w:val="004C41A3"/>
    <w:rsid w:val="004C5261"/>
    <w:rsid w:val="004C543C"/>
    <w:rsid w:val="004C7FB8"/>
    <w:rsid w:val="004D06D8"/>
    <w:rsid w:val="004D0728"/>
    <w:rsid w:val="004D146A"/>
    <w:rsid w:val="004D189E"/>
    <w:rsid w:val="004D1921"/>
    <w:rsid w:val="004D1AD4"/>
    <w:rsid w:val="004D1B4A"/>
    <w:rsid w:val="004D364B"/>
    <w:rsid w:val="004D4640"/>
    <w:rsid w:val="004D4915"/>
    <w:rsid w:val="004D4DE5"/>
    <w:rsid w:val="004D5EB7"/>
    <w:rsid w:val="004D76A4"/>
    <w:rsid w:val="004D7F30"/>
    <w:rsid w:val="004E05C9"/>
    <w:rsid w:val="004E0C26"/>
    <w:rsid w:val="004E1AAA"/>
    <w:rsid w:val="004E2095"/>
    <w:rsid w:val="004E2906"/>
    <w:rsid w:val="004E2A3F"/>
    <w:rsid w:val="004E46F6"/>
    <w:rsid w:val="004E5693"/>
    <w:rsid w:val="004E56DD"/>
    <w:rsid w:val="004E59CA"/>
    <w:rsid w:val="004E66B4"/>
    <w:rsid w:val="004E6E79"/>
    <w:rsid w:val="004E78F2"/>
    <w:rsid w:val="004E7D15"/>
    <w:rsid w:val="004F0396"/>
    <w:rsid w:val="004F0D71"/>
    <w:rsid w:val="004F0FCC"/>
    <w:rsid w:val="004F1139"/>
    <w:rsid w:val="004F1D78"/>
    <w:rsid w:val="004F1E38"/>
    <w:rsid w:val="004F2E09"/>
    <w:rsid w:val="004F3015"/>
    <w:rsid w:val="004F3150"/>
    <w:rsid w:val="004F31A3"/>
    <w:rsid w:val="004F3687"/>
    <w:rsid w:val="004F37CA"/>
    <w:rsid w:val="004F4F74"/>
    <w:rsid w:val="004F5AE4"/>
    <w:rsid w:val="004F6015"/>
    <w:rsid w:val="004F6D9E"/>
    <w:rsid w:val="0050141B"/>
    <w:rsid w:val="005015F4"/>
    <w:rsid w:val="00501A9D"/>
    <w:rsid w:val="005024B5"/>
    <w:rsid w:val="00502674"/>
    <w:rsid w:val="005028C5"/>
    <w:rsid w:val="00502C34"/>
    <w:rsid w:val="005030E7"/>
    <w:rsid w:val="00503CC1"/>
    <w:rsid w:val="00503EA0"/>
    <w:rsid w:val="00504435"/>
    <w:rsid w:val="00504CCF"/>
    <w:rsid w:val="00504CFC"/>
    <w:rsid w:val="005051FB"/>
    <w:rsid w:val="0050600D"/>
    <w:rsid w:val="0050624F"/>
    <w:rsid w:val="005075FD"/>
    <w:rsid w:val="00507D12"/>
    <w:rsid w:val="00507FD7"/>
    <w:rsid w:val="00510386"/>
    <w:rsid w:val="005109C5"/>
    <w:rsid w:val="00510BFB"/>
    <w:rsid w:val="00511267"/>
    <w:rsid w:val="00511B24"/>
    <w:rsid w:val="00511BFC"/>
    <w:rsid w:val="0051235F"/>
    <w:rsid w:val="00512C67"/>
    <w:rsid w:val="005132F8"/>
    <w:rsid w:val="005134B7"/>
    <w:rsid w:val="0051409D"/>
    <w:rsid w:val="005145BD"/>
    <w:rsid w:val="0051469E"/>
    <w:rsid w:val="005149A3"/>
    <w:rsid w:val="00514B86"/>
    <w:rsid w:val="00515E36"/>
    <w:rsid w:val="00516EC6"/>
    <w:rsid w:val="005177DB"/>
    <w:rsid w:val="00520272"/>
    <w:rsid w:val="00522FE6"/>
    <w:rsid w:val="00524449"/>
    <w:rsid w:val="0052445F"/>
    <w:rsid w:val="00524DD4"/>
    <w:rsid w:val="0052566A"/>
    <w:rsid w:val="005258DE"/>
    <w:rsid w:val="00526219"/>
    <w:rsid w:val="00526502"/>
    <w:rsid w:val="00526F21"/>
    <w:rsid w:val="00526F4B"/>
    <w:rsid w:val="00527397"/>
    <w:rsid w:val="0052792A"/>
    <w:rsid w:val="00527EB9"/>
    <w:rsid w:val="005306AF"/>
    <w:rsid w:val="00531D70"/>
    <w:rsid w:val="005325AD"/>
    <w:rsid w:val="00532D89"/>
    <w:rsid w:val="00534134"/>
    <w:rsid w:val="00534171"/>
    <w:rsid w:val="005342D5"/>
    <w:rsid w:val="00535643"/>
    <w:rsid w:val="0053639A"/>
    <w:rsid w:val="0053716C"/>
    <w:rsid w:val="00537FC4"/>
    <w:rsid w:val="00541158"/>
    <w:rsid w:val="00541897"/>
    <w:rsid w:val="005418DB"/>
    <w:rsid w:val="00541BDD"/>
    <w:rsid w:val="00541FA4"/>
    <w:rsid w:val="00542B77"/>
    <w:rsid w:val="00542E28"/>
    <w:rsid w:val="00543863"/>
    <w:rsid w:val="00544816"/>
    <w:rsid w:val="0054534E"/>
    <w:rsid w:val="00546AD1"/>
    <w:rsid w:val="00546AF0"/>
    <w:rsid w:val="005508FC"/>
    <w:rsid w:val="00550D8E"/>
    <w:rsid w:val="00552466"/>
    <w:rsid w:val="00552CAB"/>
    <w:rsid w:val="0055463D"/>
    <w:rsid w:val="00554C35"/>
    <w:rsid w:val="005550DC"/>
    <w:rsid w:val="00555BE5"/>
    <w:rsid w:val="00557C3A"/>
    <w:rsid w:val="00560466"/>
    <w:rsid w:val="00560F31"/>
    <w:rsid w:val="00561231"/>
    <w:rsid w:val="005617DD"/>
    <w:rsid w:val="00561904"/>
    <w:rsid w:val="00563252"/>
    <w:rsid w:val="0056358B"/>
    <w:rsid w:val="00564298"/>
    <w:rsid w:val="00564386"/>
    <w:rsid w:val="00564989"/>
    <w:rsid w:val="00564A4F"/>
    <w:rsid w:val="00564E86"/>
    <w:rsid w:val="00564F23"/>
    <w:rsid w:val="00565EBA"/>
    <w:rsid w:val="00565F16"/>
    <w:rsid w:val="0056648B"/>
    <w:rsid w:val="005669AE"/>
    <w:rsid w:val="00566BD0"/>
    <w:rsid w:val="0057021B"/>
    <w:rsid w:val="00570929"/>
    <w:rsid w:val="00570AAF"/>
    <w:rsid w:val="00570CBC"/>
    <w:rsid w:val="00571234"/>
    <w:rsid w:val="00571354"/>
    <w:rsid w:val="00571B74"/>
    <w:rsid w:val="00571D7A"/>
    <w:rsid w:val="00572054"/>
    <w:rsid w:val="005734DC"/>
    <w:rsid w:val="00573990"/>
    <w:rsid w:val="00574F20"/>
    <w:rsid w:val="00574F77"/>
    <w:rsid w:val="0057638C"/>
    <w:rsid w:val="0057696A"/>
    <w:rsid w:val="00577A56"/>
    <w:rsid w:val="00580068"/>
    <w:rsid w:val="00580561"/>
    <w:rsid w:val="00580EA4"/>
    <w:rsid w:val="005810A2"/>
    <w:rsid w:val="00581B5E"/>
    <w:rsid w:val="00582887"/>
    <w:rsid w:val="00583798"/>
    <w:rsid w:val="00583FE0"/>
    <w:rsid w:val="00584BCB"/>
    <w:rsid w:val="0058595C"/>
    <w:rsid w:val="00585F64"/>
    <w:rsid w:val="00585FD7"/>
    <w:rsid w:val="005861B0"/>
    <w:rsid w:val="0058642C"/>
    <w:rsid w:val="00587FD9"/>
    <w:rsid w:val="00590164"/>
    <w:rsid w:val="00590B6F"/>
    <w:rsid w:val="0059169E"/>
    <w:rsid w:val="0059229F"/>
    <w:rsid w:val="005923B1"/>
    <w:rsid w:val="0059261F"/>
    <w:rsid w:val="00592A6F"/>
    <w:rsid w:val="00592F34"/>
    <w:rsid w:val="005933F3"/>
    <w:rsid w:val="00593C30"/>
    <w:rsid w:val="00594DE8"/>
    <w:rsid w:val="00595131"/>
    <w:rsid w:val="00596569"/>
    <w:rsid w:val="00597BC3"/>
    <w:rsid w:val="00597FAE"/>
    <w:rsid w:val="005A01D8"/>
    <w:rsid w:val="005A04FD"/>
    <w:rsid w:val="005A0891"/>
    <w:rsid w:val="005A116C"/>
    <w:rsid w:val="005A2DAD"/>
    <w:rsid w:val="005A321B"/>
    <w:rsid w:val="005A3A2C"/>
    <w:rsid w:val="005A4A0A"/>
    <w:rsid w:val="005A5745"/>
    <w:rsid w:val="005A5A0E"/>
    <w:rsid w:val="005A6E1D"/>
    <w:rsid w:val="005B00F4"/>
    <w:rsid w:val="005B014F"/>
    <w:rsid w:val="005B0B54"/>
    <w:rsid w:val="005B2002"/>
    <w:rsid w:val="005B233B"/>
    <w:rsid w:val="005B274A"/>
    <w:rsid w:val="005B2FE3"/>
    <w:rsid w:val="005B3288"/>
    <w:rsid w:val="005B3830"/>
    <w:rsid w:val="005B3896"/>
    <w:rsid w:val="005B399C"/>
    <w:rsid w:val="005B3C6C"/>
    <w:rsid w:val="005B3E66"/>
    <w:rsid w:val="005B4464"/>
    <w:rsid w:val="005B4E91"/>
    <w:rsid w:val="005B522E"/>
    <w:rsid w:val="005B52B8"/>
    <w:rsid w:val="005B5721"/>
    <w:rsid w:val="005B624B"/>
    <w:rsid w:val="005B62D3"/>
    <w:rsid w:val="005B6E56"/>
    <w:rsid w:val="005B6FE8"/>
    <w:rsid w:val="005B7026"/>
    <w:rsid w:val="005B702F"/>
    <w:rsid w:val="005B7B52"/>
    <w:rsid w:val="005C0B8A"/>
    <w:rsid w:val="005C11E3"/>
    <w:rsid w:val="005C1591"/>
    <w:rsid w:val="005C2821"/>
    <w:rsid w:val="005C2D97"/>
    <w:rsid w:val="005C2EBA"/>
    <w:rsid w:val="005C39C0"/>
    <w:rsid w:val="005C3B7C"/>
    <w:rsid w:val="005C3B99"/>
    <w:rsid w:val="005C431E"/>
    <w:rsid w:val="005C4C26"/>
    <w:rsid w:val="005C6249"/>
    <w:rsid w:val="005C7822"/>
    <w:rsid w:val="005C7842"/>
    <w:rsid w:val="005D000C"/>
    <w:rsid w:val="005D0281"/>
    <w:rsid w:val="005D1D36"/>
    <w:rsid w:val="005D1EC1"/>
    <w:rsid w:val="005D27FD"/>
    <w:rsid w:val="005D301A"/>
    <w:rsid w:val="005D368E"/>
    <w:rsid w:val="005D39E8"/>
    <w:rsid w:val="005D3CA5"/>
    <w:rsid w:val="005D4264"/>
    <w:rsid w:val="005D43FA"/>
    <w:rsid w:val="005D4EC5"/>
    <w:rsid w:val="005D5152"/>
    <w:rsid w:val="005D5899"/>
    <w:rsid w:val="005D688E"/>
    <w:rsid w:val="005D6DC1"/>
    <w:rsid w:val="005D6DFE"/>
    <w:rsid w:val="005D7178"/>
    <w:rsid w:val="005E011C"/>
    <w:rsid w:val="005E129C"/>
    <w:rsid w:val="005E1959"/>
    <w:rsid w:val="005E2875"/>
    <w:rsid w:val="005E2CA4"/>
    <w:rsid w:val="005E2DA8"/>
    <w:rsid w:val="005E3985"/>
    <w:rsid w:val="005E3AEE"/>
    <w:rsid w:val="005E493E"/>
    <w:rsid w:val="005E56BA"/>
    <w:rsid w:val="005E7457"/>
    <w:rsid w:val="005E7A70"/>
    <w:rsid w:val="005F01F2"/>
    <w:rsid w:val="005F0BC6"/>
    <w:rsid w:val="005F14DE"/>
    <w:rsid w:val="005F1AF0"/>
    <w:rsid w:val="005F1FAB"/>
    <w:rsid w:val="005F2345"/>
    <w:rsid w:val="005F46FC"/>
    <w:rsid w:val="005F4915"/>
    <w:rsid w:val="005F5288"/>
    <w:rsid w:val="005F591A"/>
    <w:rsid w:val="005F59C2"/>
    <w:rsid w:val="005F618D"/>
    <w:rsid w:val="005F6593"/>
    <w:rsid w:val="005F66D6"/>
    <w:rsid w:val="005F76FB"/>
    <w:rsid w:val="006005DB"/>
    <w:rsid w:val="0060077E"/>
    <w:rsid w:val="00601FFF"/>
    <w:rsid w:val="00603356"/>
    <w:rsid w:val="00605723"/>
    <w:rsid w:val="006059E0"/>
    <w:rsid w:val="0060653D"/>
    <w:rsid w:val="00607BB3"/>
    <w:rsid w:val="00610350"/>
    <w:rsid w:val="00610C96"/>
    <w:rsid w:val="00610D09"/>
    <w:rsid w:val="006111C9"/>
    <w:rsid w:val="0061201D"/>
    <w:rsid w:val="00612413"/>
    <w:rsid w:val="00612520"/>
    <w:rsid w:val="00612B86"/>
    <w:rsid w:val="00613135"/>
    <w:rsid w:val="0061406F"/>
    <w:rsid w:val="00614D9E"/>
    <w:rsid w:val="0061653F"/>
    <w:rsid w:val="006168AA"/>
    <w:rsid w:val="00617863"/>
    <w:rsid w:val="00620A76"/>
    <w:rsid w:val="00620C33"/>
    <w:rsid w:val="00620F7D"/>
    <w:rsid w:val="006212D6"/>
    <w:rsid w:val="0062141D"/>
    <w:rsid w:val="00621D8B"/>
    <w:rsid w:val="00621EA2"/>
    <w:rsid w:val="00621EC8"/>
    <w:rsid w:val="006220FC"/>
    <w:rsid w:val="00622294"/>
    <w:rsid w:val="00622B46"/>
    <w:rsid w:val="00622E9B"/>
    <w:rsid w:val="00623524"/>
    <w:rsid w:val="0062352E"/>
    <w:rsid w:val="0062395F"/>
    <w:rsid w:val="00623B71"/>
    <w:rsid w:val="00623FE6"/>
    <w:rsid w:val="00624C0C"/>
    <w:rsid w:val="00624F44"/>
    <w:rsid w:val="00625F31"/>
    <w:rsid w:val="006266CC"/>
    <w:rsid w:val="00626908"/>
    <w:rsid w:val="006305FD"/>
    <w:rsid w:val="00630D6A"/>
    <w:rsid w:val="006314B4"/>
    <w:rsid w:val="00631726"/>
    <w:rsid w:val="0063185E"/>
    <w:rsid w:val="00632586"/>
    <w:rsid w:val="00632DE0"/>
    <w:rsid w:val="00633DE0"/>
    <w:rsid w:val="00634841"/>
    <w:rsid w:val="00634BB9"/>
    <w:rsid w:val="006363F3"/>
    <w:rsid w:val="00636443"/>
    <w:rsid w:val="00636795"/>
    <w:rsid w:val="00637873"/>
    <w:rsid w:val="00637AD9"/>
    <w:rsid w:val="00640242"/>
    <w:rsid w:val="00640245"/>
    <w:rsid w:val="00640599"/>
    <w:rsid w:val="00640DB8"/>
    <w:rsid w:val="0064128D"/>
    <w:rsid w:val="0064172E"/>
    <w:rsid w:val="00641ABA"/>
    <w:rsid w:val="00641EC7"/>
    <w:rsid w:val="0064268B"/>
    <w:rsid w:val="0064380C"/>
    <w:rsid w:val="0064425B"/>
    <w:rsid w:val="00644664"/>
    <w:rsid w:val="00645028"/>
    <w:rsid w:val="0064503E"/>
    <w:rsid w:val="0064567B"/>
    <w:rsid w:val="006462AB"/>
    <w:rsid w:val="00646CA2"/>
    <w:rsid w:val="006478C2"/>
    <w:rsid w:val="006479AD"/>
    <w:rsid w:val="006479E5"/>
    <w:rsid w:val="00647AFF"/>
    <w:rsid w:val="00647B80"/>
    <w:rsid w:val="00647D49"/>
    <w:rsid w:val="00647DF1"/>
    <w:rsid w:val="0065014B"/>
    <w:rsid w:val="00650241"/>
    <w:rsid w:val="0065064A"/>
    <w:rsid w:val="0065102F"/>
    <w:rsid w:val="00651CD8"/>
    <w:rsid w:val="00652A19"/>
    <w:rsid w:val="006533FD"/>
    <w:rsid w:val="00653439"/>
    <w:rsid w:val="006538E3"/>
    <w:rsid w:val="00653E1D"/>
    <w:rsid w:val="006543E2"/>
    <w:rsid w:val="00654559"/>
    <w:rsid w:val="006545BD"/>
    <w:rsid w:val="006545F9"/>
    <w:rsid w:val="00654EBF"/>
    <w:rsid w:val="006551DB"/>
    <w:rsid w:val="00655B1E"/>
    <w:rsid w:val="00655F2A"/>
    <w:rsid w:val="006560CC"/>
    <w:rsid w:val="00657637"/>
    <w:rsid w:val="0065769C"/>
    <w:rsid w:val="00657DCF"/>
    <w:rsid w:val="006603D1"/>
    <w:rsid w:val="00660416"/>
    <w:rsid w:val="00660D4B"/>
    <w:rsid w:val="00661095"/>
    <w:rsid w:val="00662D36"/>
    <w:rsid w:val="006643ED"/>
    <w:rsid w:val="006648D5"/>
    <w:rsid w:val="00664BBA"/>
    <w:rsid w:val="00664D0D"/>
    <w:rsid w:val="0066500B"/>
    <w:rsid w:val="00665523"/>
    <w:rsid w:val="006655D2"/>
    <w:rsid w:val="00665A94"/>
    <w:rsid w:val="00665B0E"/>
    <w:rsid w:val="00666554"/>
    <w:rsid w:val="00666B35"/>
    <w:rsid w:val="00666C82"/>
    <w:rsid w:val="00667109"/>
    <w:rsid w:val="00667201"/>
    <w:rsid w:val="00667673"/>
    <w:rsid w:val="00667F91"/>
    <w:rsid w:val="00670B19"/>
    <w:rsid w:val="00670CA6"/>
    <w:rsid w:val="0067146F"/>
    <w:rsid w:val="00671BAD"/>
    <w:rsid w:val="006721B4"/>
    <w:rsid w:val="00672656"/>
    <w:rsid w:val="00672B8E"/>
    <w:rsid w:val="00672C38"/>
    <w:rsid w:val="006734E4"/>
    <w:rsid w:val="00674D86"/>
    <w:rsid w:val="00675207"/>
    <w:rsid w:val="00676964"/>
    <w:rsid w:val="00676EA2"/>
    <w:rsid w:val="0067725E"/>
    <w:rsid w:val="006809B8"/>
    <w:rsid w:val="006813BC"/>
    <w:rsid w:val="006818A0"/>
    <w:rsid w:val="00681B51"/>
    <w:rsid w:val="00681F9E"/>
    <w:rsid w:val="00682101"/>
    <w:rsid w:val="00682193"/>
    <w:rsid w:val="00682D18"/>
    <w:rsid w:val="00682D6F"/>
    <w:rsid w:val="00683B44"/>
    <w:rsid w:val="00685554"/>
    <w:rsid w:val="0068624E"/>
    <w:rsid w:val="00686452"/>
    <w:rsid w:val="00686EEA"/>
    <w:rsid w:val="0068759A"/>
    <w:rsid w:val="006877F4"/>
    <w:rsid w:val="00687C3D"/>
    <w:rsid w:val="006925DC"/>
    <w:rsid w:val="0069374B"/>
    <w:rsid w:val="006942ED"/>
    <w:rsid w:val="006945A7"/>
    <w:rsid w:val="00694778"/>
    <w:rsid w:val="00694880"/>
    <w:rsid w:val="0069511A"/>
    <w:rsid w:val="00695353"/>
    <w:rsid w:val="00696E22"/>
    <w:rsid w:val="006A02F4"/>
    <w:rsid w:val="006A0D74"/>
    <w:rsid w:val="006A0FFF"/>
    <w:rsid w:val="006A1160"/>
    <w:rsid w:val="006A1760"/>
    <w:rsid w:val="006A1BA1"/>
    <w:rsid w:val="006A1F7D"/>
    <w:rsid w:val="006A23F2"/>
    <w:rsid w:val="006A31D8"/>
    <w:rsid w:val="006A39B7"/>
    <w:rsid w:val="006A6518"/>
    <w:rsid w:val="006A6E79"/>
    <w:rsid w:val="006A6EDC"/>
    <w:rsid w:val="006A748B"/>
    <w:rsid w:val="006A7D3F"/>
    <w:rsid w:val="006A7E0A"/>
    <w:rsid w:val="006B0893"/>
    <w:rsid w:val="006B1023"/>
    <w:rsid w:val="006B2AC6"/>
    <w:rsid w:val="006B2B3D"/>
    <w:rsid w:val="006B2DBF"/>
    <w:rsid w:val="006B310F"/>
    <w:rsid w:val="006B3AB3"/>
    <w:rsid w:val="006B41A6"/>
    <w:rsid w:val="006B4969"/>
    <w:rsid w:val="006B4E9E"/>
    <w:rsid w:val="006B6543"/>
    <w:rsid w:val="006B684D"/>
    <w:rsid w:val="006B6F23"/>
    <w:rsid w:val="006C29E7"/>
    <w:rsid w:val="006C2CC5"/>
    <w:rsid w:val="006C2D82"/>
    <w:rsid w:val="006C2FBE"/>
    <w:rsid w:val="006C37BE"/>
    <w:rsid w:val="006C3B29"/>
    <w:rsid w:val="006C47B3"/>
    <w:rsid w:val="006C54D8"/>
    <w:rsid w:val="006C54F4"/>
    <w:rsid w:val="006C5615"/>
    <w:rsid w:val="006C60CF"/>
    <w:rsid w:val="006C6B0E"/>
    <w:rsid w:val="006C74F0"/>
    <w:rsid w:val="006C7568"/>
    <w:rsid w:val="006C7766"/>
    <w:rsid w:val="006D08C4"/>
    <w:rsid w:val="006D10CF"/>
    <w:rsid w:val="006D1634"/>
    <w:rsid w:val="006D1C5E"/>
    <w:rsid w:val="006D245D"/>
    <w:rsid w:val="006D247A"/>
    <w:rsid w:val="006D2F7A"/>
    <w:rsid w:val="006D36FA"/>
    <w:rsid w:val="006D3A4D"/>
    <w:rsid w:val="006D47F2"/>
    <w:rsid w:val="006D4A2C"/>
    <w:rsid w:val="006D4DBC"/>
    <w:rsid w:val="006D5459"/>
    <w:rsid w:val="006D54ED"/>
    <w:rsid w:val="006D58BC"/>
    <w:rsid w:val="006D58D3"/>
    <w:rsid w:val="006D5CE1"/>
    <w:rsid w:val="006D5EF9"/>
    <w:rsid w:val="006D6AA9"/>
    <w:rsid w:val="006D6D5C"/>
    <w:rsid w:val="006D7879"/>
    <w:rsid w:val="006D7C57"/>
    <w:rsid w:val="006E112B"/>
    <w:rsid w:val="006E11DC"/>
    <w:rsid w:val="006E1A02"/>
    <w:rsid w:val="006E1BB6"/>
    <w:rsid w:val="006E1D5A"/>
    <w:rsid w:val="006E244C"/>
    <w:rsid w:val="006E300C"/>
    <w:rsid w:val="006E3342"/>
    <w:rsid w:val="006E3BA5"/>
    <w:rsid w:val="006E42EF"/>
    <w:rsid w:val="006E45BA"/>
    <w:rsid w:val="006E6C07"/>
    <w:rsid w:val="006E6E8B"/>
    <w:rsid w:val="006E7D52"/>
    <w:rsid w:val="006E7FDC"/>
    <w:rsid w:val="006F069C"/>
    <w:rsid w:val="006F1A19"/>
    <w:rsid w:val="006F2CFC"/>
    <w:rsid w:val="006F3F8C"/>
    <w:rsid w:val="006F48CB"/>
    <w:rsid w:val="006F48E5"/>
    <w:rsid w:val="006F50F2"/>
    <w:rsid w:val="006F51D0"/>
    <w:rsid w:val="006F61DD"/>
    <w:rsid w:val="006F61E3"/>
    <w:rsid w:val="006F6888"/>
    <w:rsid w:val="00700600"/>
    <w:rsid w:val="007018CF"/>
    <w:rsid w:val="00701B2F"/>
    <w:rsid w:val="00701C53"/>
    <w:rsid w:val="00701DC4"/>
    <w:rsid w:val="00702A93"/>
    <w:rsid w:val="00702CE5"/>
    <w:rsid w:val="0070401C"/>
    <w:rsid w:val="00704450"/>
    <w:rsid w:val="007056C2"/>
    <w:rsid w:val="007066C7"/>
    <w:rsid w:val="00707057"/>
    <w:rsid w:val="00707194"/>
    <w:rsid w:val="00707871"/>
    <w:rsid w:val="0071023E"/>
    <w:rsid w:val="00710528"/>
    <w:rsid w:val="00710B40"/>
    <w:rsid w:val="007118C6"/>
    <w:rsid w:val="007135F7"/>
    <w:rsid w:val="00713B6F"/>
    <w:rsid w:val="00714128"/>
    <w:rsid w:val="007145F4"/>
    <w:rsid w:val="007152F8"/>
    <w:rsid w:val="007163D1"/>
    <w:rsid w:val="00716824"/>
    <w:rsid w:val="0071690D"/>
    <w:rsid w:val="00717214"/>
    <w:rsid w:val="007176D0"/>
    <w:rsid w:val="007207F9"/>
    <w:rsid w:val="0072080E"/>
    <w:rsid w:val="00721251"/>
    <w:rsid w:val="00722007"/>
    <w:rsid w:val="0072407A"/>
    <w:rsid w:val="00724AF7"/>
    <w:rsid w:val="00724D88"/>
    <w:rsid w:val="007251F9"/>
    <w:rsid w:val="00725528"/>
    <w:rsid w:val="007258C3"/>
    <w:rsid w:val="0072671B"/>
    <w:rsid w:val="00726F5C"/>
    <w:rsid w:val="00727249"/>
    <w:rsid w:val="007279BF"/>
    <w:rsid w:val="0073087B"/>
    <w:rsid w:val="0073106E"/>
    <w:rsid w:val="0073111E"/>
    <w:rsid w:val="00731241"/>
    <w:rsid w:val="0073157E"/>
    <w:rsid w:val="007320FF"/>
    <w:rsid w:val="007329A4"/>
    <w:rsid w:val="0073376F"/>
    <w:rsid w:val="00734095"/>
    <w:rsid w:val="007348F8"/>
    <w:rsid w:val="00734A4D"/>
    <w:rsid w:val="00734C25"/>
    <w:rsid w:val="00735369"/>
    <w:rsid w:val="007356B5"/>
    <w:rsid w:val="00735BEC"/>
    <w:rsid w:val="00735CD7"/>
    <w:rsid w:val="007374A1"/>
    <w:rsid w:val="007412A0"/>
    <w:rsid w:val="007415BB"/>
    <w:rsid w:val="007417D9"/>
    <w:rsid w:val="00743089"/>
    <w:rsid w:val="00743EBD"/>
    <w:rsid w:val="00744229"/>
    <w:rsid w:val="0074426F"/>
    <w:rsid w:val="00744711"/>
    <w:rsid w:val="007455C4"/>
    <w:rsid w:val="007465BD"/>
    <w:rsid w:val="00746A4D"/>
    <w:rsid w:val="007475D3"/>
    <w:rsid w:val="00747E56"/>
    <w:rsid w:val="00747FCB"/>
    <w:rsid w:val="00750BBA"/>
    <w:rsid w:val="00751058"/>
    <w:rsid w:val="007511FF"/>
    <w:rsid w:val="00753993"/>
    <w:rsid w:val="007540F3"/>
    <w:rsid w:val="007542AE"/>
    <w:rsid w:val="00754B1A"/>
    <w:rsid w:val="007557FA"/>
    <w:rsid w:val="00755944"/>
    <w:rsid w:val="00755D8A"/>
    <w:rsid w:val="00756148"/>
    <w:rsid w:val="007561FE"/>
    <w:rsid w:val="0075639F"/>
    <w:rsid w:val="007565FB"/>
    <w:rsid w:val="00756C01"/>
    <w:rsid w:val="00757A8D"/>
    <w:rsid w:val="00757EAD"/>
    <w:rsid w:val="00757EC9"/>
    <w:rsid w:val="0076084C"/>
    <w:rsid w:val="0076096A"/>
    <w:rsid w:val="00761925"/>
    <w:rsid w:val="00763559"/>
    <w:rsid w:val="00764A3E"/>
    <w:rsid w:val="00764B34"/>
    <w:rsid w:val="00765387"/>
    <w:rsid w:val="007660C1"/>
    <w:rsid w:val="007670E6"/>
    <w:rsid w:val="00771907"/>
    <w:rsid w:val="00771E4C"/>
    <w:rsid w:val="007723C7"/>
    <w:rsid w:val="007734C7"/>
    <w:rsid w:val="00773534"/>
    <w:rsid w:val="00774D4C"/>
    <w:rsid w:val="0077545C"/>
    <w:rsid w:val="007760A4"/>
    <w:rsid w:val="00776794"/>
    <w:rsid w:val="00776D8A"/>
    <w:rsid w:val="00776E20"/>
    <w:rsid w:val="0078040D"/>
    <w:rsid w:val="007816C0"/>
    <w:rsid w:val="00781AEF"/>
    <w:rsid w:val="00783DFD"/>
    <w:rsid w:val="0078452E"/>
    <w:rsid w:val="007847A0"/>
    <w:rsid w:val="00784A0C"/>
    <w:rsid w:val="007859E9"/>
    <w:rsid w:val="00785B8E"/>
    <w:rsid w:val="00785E55"/>
    <w:rsid w:val="007866A6"/>
    <w:rsid w:val="007871C5"/>
    <w:rsid w:val="00787BA5"/>
    <w:rsid w:val="00787C61"/>
    <w:rsid w:val="00787D93"/>
    <w:rsid w:val="00787DAF"/>
    <w:rsid w:val="00790143"/>
    <w:rsid w:val="00791396"/>
    <w:rsid w:val="00791F8C"/>
    <w:rsid w:val="00792C4B"/>
    <w:rsid w:val="007931D8"/>
    <w:rsid w:val="007947AF"/>
    <w:rsid w:val="00794BC9"/>
    <w:rsid w:val="007951DB"/>
    <w:rsid w:val="00795763"/>
    <w:rsid w:val="00795DA6"/>
    <w:rsid w:val="007974E9"/>
    <w:rsid w:val="007977BC"/>
    <w:rsid w:val="00797B6B"/>
    <w:rsid w:val="007A024B"/>
    <w:rsid w:val="007A03C4"/>
    <w:rsid w:val="007A12E6"/>
    <w:rsid w:val="007A19E0"/>
    <w:rsid w:val="007A1E86"/>
    <w:rsid w:val="007A30CD"/>
    <w:rsid w:val="007A5144"/>
    <w:rsid w:val="007A5456"/>
    <w:rsid w:val="007A565B"/>
    <w:rsid w:val="007A5B8A"/>
    <w:rsid w:val="007A5E22"/>
    <w:rsid w:val="007A6057"/>
    <w:rsid w:val="007A69C9"/>
    <w:rsid w:val="007A71B7"/>
    <w:rsid w:val="007A7369"/>
    <w:rsid w:val="007A7373"/>
    <w:rsid w:val="007A79FA"/>
    <w:rsid w:val="007A7A91"/>
    <w:rsid w:val="007B0C93"/>
    <w:rsid w:val="007B189E"/>
    <w:rsid w:val="007B1CB1"/>
    <w:rsid w:val="007B2F1C"/>
    <w:rsid w:val="007B3943"/>
    <w:rsid w:val="007B3FF1"/>
    <w:rsid w:val="007B400B"/>
    <w:rsid w:val="007B4387"/>
    <w:rsid w:val="007B5A81"/>
    <w:rsid w:val="007B60D3"/>
    <w:rsid w:val="007B61EC"/>
    <w:rsid w:val="007B693A"/>
    <w:rsid w:val="007B6A17"/>
    <w:rsid w:val="007C071C"/>
    <w:rsid w:val="007C0F3A"/>
    <w:rsid w:val="007C1308"/>
    <w:rsid w:val="007C1417"/>
    <w:rsid w:val="007C1554"/>
    <w:rsid w:val="007C1C2B"/>
    <w:rsid w:val="007C2F8C"/>
    <w:rsid w:val="007C3487"/>
    <w:rsid w:val="007C3625"/>
    <w:rsid w:val="007C3BD1"/>
    <w:rsid w:val="007C45C7"/>
    <w:rsid w:val="007C4920"/>
    <w:rsid w:val="007C5340"/>
    <w:rsid w:val="007D1F2D"/>
    <w:rsid w:val="007D3353"/>
    <w:rsid w:val="007D4A5E"/>
    <w:rsid w:val="007D5C13"/>
    <w:rsid w:val="007D5C7B"/>
    <w:rsid w:val="007D5EE2"/>
    <w:rsid w:val="007D619A"/>
    <w:rsid w:val="007D61C5"/>
    <w:rsid w:val="007D76AB"/>
    <w:rsid w:val="007D7EA6"/>
    <w:rsid w:val="007E06D5"/>
    <w:rsid w:val="007E120B"/>
    <w:rsid w:val="007E1A27"/>
    <w:rsid w:val="007E2888"/>
    <w:rsid w:val="007E2A42"/>
    <w:rsid w:val="007E2B85"/>
    <w:rsid w:val="007E363E"/>
    <w:rsid w:val="007E374E"/>
    <w:rsid w:val="007E3992"/>
    <w:rsid w:val="007E3AD3"/>
    <w:rsid w:val="007E3C52"/>
    <w:rsid w:val="007E5909"/>
    <w:rsid w:val="007E5C20"/>
    <w:rsid w:val="007E5EBE"/>
    <w:rsid w:val="007E6E5C"/>
    <w:rsid w:val="007F080E"/>
    <w:rsid w:val="007F0966"/>
    <w:rsid w:val="007F099C"/>
    <w:rsid w:val="007F1FF4"/>
    <w:rsid w:val="007F3315"/>
    <w:rsid w:val="007F3947"/>
    <w:rsid w:val="007F55B7"/>
    <w:rsid w:val="007F5AE0"/>
    <w:rsid w:val="007F68A3"/>
    <w:rsid w:val="007F77DC"/>
    <w:rsid w:val="0080025E"/>
    <w:rsid w:val="00800314"/>
    <w:rsid w:val="00800C92"/>
    <w:rsid w:val="00801021"/>
    <w:rsid w:val="00802B57"/>
    <w:rsid w:val="00803444"/>
    <w:rsid w:val="008036E2"/>
    <w:rsid w:val="008042C7"/>
    <w:rsid w:val="008044EE"/>
    <w:rsid w:val="0080577E"/>
    <w:rsid w:val="00806320"/>
    <w:rsid w:val="008065BB"/>
    <w:rsid w:val="00806A8E"/>
    <w:rsid w:val="00810C08"/>
    <w:rsid w:val="00810CFF"/>
    <w:rsid w:val="00814288"/>
    <w:rsid w:val="00814611"/>
    <w:rsid w:val="0081471C"/>
    <w:rsid w:val="0081474D"/>
    <w:rsid w:val="00814E80"/>
    <w:rsid w:val="0081523F"/>
    <w:rsid w:val="008153B0"/>
    <w:rsid w:val="00815AD8"/>
    <w:rsid w:val="008167D8"/>
    <w:rsid w:val="00816C9A"/>
    <w:rsid w:val="008172EA"/>
    <w:rsid w:val="0081748E"/>
    <w:rsid w:val="00817640"/>
    <w:rsid w:val="00820A36"/>
    <w:rsid w:val="0082159C"/>
    <w:rsid w:val="00822684"/>
    <w:rsid w:val="0082299E"/>
    <w:rsid w:val="00822DA2"/>
    <w:rsid w:val="008233EA"/>
    <w:rsid w:val="008237F1"/>
    <w:rsid w:val="00823E9B"/>
    <w:rsid w:val="00824926"/>
    <w:rsid w:val="00825B37"/>
    <w:rsid w:val="00825B3D"/>
    <w:rsid w:val="00825F1D"/>
    <w:rsid w:val="008264BC"/>
    <w:rsid w:val="00826583"/>
    <w:rsid w:val="008268C8"/>
    <w:rsid w:val="00827A9A"/>
    <w:rsid w:val="00827B0B"/>
    <w:rsid w:val="00830BEB"/>
    <w:rsid w:val="008315C4"/>
    <w:rsid w:val="008319C2"/>
    <w:rsid w:val="00831E22"/>
    <w:rsid w:val="00832371"/>
    <w:rsid w:val="0083277E"/>
    <w:rsid w:val="00832A33"/>
    <w:rsid w:val="00832B26"/>
    <w:rsid w:val="008338B6"/>
    <w:rsid w:val="00835698"/>
    <w:rsid w:val="00835C72"/>
    <w:rsid w:val="00835FD9"/>
    <w:rsid w:val="00836EFA"/>
    <w:rsid w:val="00837B9F"/>
    <w:rsid w:val="00837C52"/>
    <w:rsid w:val="008411B2"/>
    <w:rsid w:val="008416A3"/>
    <w:rsid w:val="00842C26"/>
    <w:rsid w:val="00842E47"/>
    <w:rsid w:val="00843713"/>
    <w:rsid w:val="00843794"/>
    <w:rsid w:val="008446F9"/>
    <w:rsid w:val="00844B76"/>
    <w:rsid w:val="00845182"/>
    <w:rsid w:val="00845824"/>
    <w:rsid w:val="00846448"/>
    <w:rsid w:val="0084674A"/>
    <w:rsid w:val="00846765"/>
    <w:rsid w:val="00846802"/>
    <w:rsid w:val="0084762F"/>
    <w:rsid w:val="00847DD4"/>
    <w:rsid w:val="00847E8D"/>
    <w:rsid w:val="00850D45"/>
    <w:rsid w:val="0085196D"/>
    <w:rsid w:val="00851F0E"/>
    <w:rsid w:val="00852490"/>
    <w:rsid w:val="008524A8"/>
    <w:rsid w:val="008524CA"/>
    <w:rsid w:val="00852B5B"/>
    <w:rsid w:val="00853902"/>
    <w:rsid w:val="00853A15"/>
    <w:rsid w:val="00854322"/>
    <w:rsid w:val="008544F7"/>
    <w:rsid w:val="00854BCE"/>
    <w:rsid w:val="00854D53"/>
    <w:rsid w:val="00854EE2"/>
    <w:rsid w:val="00855926"/>
    <w:rsid w:val="00855EAF"/>
    <w:rsid w:val="00856FF1"/>
    <w:rsid w:val="00860BFC"/>
    <w:rsid w:val="00860EB4"/>
    <w:rsid w:val="00861965"/>
    <w:rsid w:val="00861BF2"/>
    <w:rsid w:val="0086261C"/>
    <w:rsid w:val="00862EB0"/>
    <w:rsid w:val="00863871"/>
    <w:rsid w:val="0086389A"/>
    <w:rsid w:val="00863DD6"/>
    <w:rsid w:val="00864E41"/>
    <w:rsid w:val="0086528F"/>
    <w:rsid w:val="008652AD"/>
    <w:rsid w:val="00865352"/>
    <w:rsid w:val="00865A30"/>
    <w:rsid w:val="00867537"/>
    <w:rsid w:val="00867F82"/>
    <w:rsid w:val="00870C5D"/>
    <w:rsid w:val="00870DA2"/>
    <w:rsid w:val="00871A01"/>
    <w:rsid w:val="00872574"/>
    <w:rsid w:val="0087282A"/>
    <w:rsid w:val="00872C1F"/>
    <w:rsid w:val="00873352"/>
    <w:rsid w:val="0087398A"/>
    <w:rsid w:val="00873A61"/>
    <w:rsid w:val="00873B8E"/>
    <w:rsid w:val="00873BC0"/>
    <w:rsid w:val="008741B3"/>
    <w:rsid w:val="008745D7"/>
    <w:rsid w:val="008750FE"/>
    <w:rsid w:val="0087596F"/>
    <w:rsid w:val="00875B3E"/>
    <w:rsid w:val="008761B3"/>
    <w:rsid w:val="00876A00"/>
    <w:rsid w:val="00876F40"/>
    <w:rsid w:val="008811F6"/>
    <w:rsid w:val="00881642"/>
    <w:rsid w:val="008821F0"/>
    <w:rsid w:val="00882289"/>
    <w:rsid w:val="008826B0"/>
    <w:rsid w:val="00883F49"/>
    <w:rsid w:val="00883FA4"/>
    <w:rsid w:val="008841BD"/>
    <w:rsid w:val="008843C4"/>
    <w:rsid w:val="00884500"/>
    <w:rsid w:val="008849AE"/>
    <w:rsid w:val="00884BF3"/>
    <w:rsid w:val="00885DAB"/>
    <w:rsid w:val="008863E9"/>
    <w:rsid w:val="00887B1B"/>
    <w:rsid w:val="00890085"/>
    <w:rsid w:val="0089016C"/>
    <w:rsid w:val="00891874"/>
    <w:rsid w:val="00891AB5"/>
    <w:rsid w:val="00893541"/>
    <w:rsid w:val="008936D8"/>
    <w:rsid w:val="008937F2"/>
    <w:rsid w:val="00893E48"/>
    <w:rsid w:val="00893EA7"/>
    <w:rsid w:val="008945CF"/>
    <w:rsid w:val="00894A83"/>
    <w:rsid w:val="008954CB"/>
    <w:rsid w:val="0089558C"/>
    <w:rsid w:val="008955D4"/>
    <w:rsid w:val="00896561"/>
    <w:rsid w:val="00896652"/>
    <w:rsid w:val="00896776"/>
    <w:rsid w:val="00897841"/>
    <w:rsid w:val="00897952"/>
    <w:rsid w:val="008A040F"/>
    <w:rsid w:val="008A1881"/>
    <w:rsid w:val="008A1D50"/>
    <w:rsid w:val="008A1EF0"/>
    <w:rsid w:val="008A2113"/>
    <w:rsid w:val="008A2686"/>
    <w:rsid w:val="008A3130"/>
    <w:rsid w:val="008A3B4C"/>
    <w:rsid w:val="008A3B87"/>
    <w:rsid w:val="008A4F7E"/>
    <w:rsid w:val="008A5500"/>
    <w:rsid w:val="008A5930"/>
    <w:rsid w:val="008A60FB"/>
    <w:rsid w:val="008A6BE3"/>
    <w:rsid w:val="008A6DCB"/>
    <w:rsid w:val="008B0046"/>
    <w:rsid w:val="008B034D"/>
    <w:rsid w:val="008B092D"/>
    <w:rsid w:val="008B0963"/>
    <w:rsid w:val="008B4216"/>
    <w:rsid w:val="008B429A"/>
    <w:rsid w:val="008B439C"/>
    <w:rsid w:val="008B4478"/>
    <w:rsid w:val="008B4C4B"/>
    <w:rsid w:val="008B537B"/>
    <w:rsid w:val="008B5B8D"/>
    <w:rsid w:val="008B61C6"/>
    <w:rsid w:val="008B6399"/>
    <w:rsid w:val="008B777F"/>
    <w:rsid w:val="008C0124"/>
    <w:rsid w:val="008C063B"/>
    <w:rsid w:val="008C110A"/>
    <w:rsid w:val="008C16FC"/>
    <w:rsid w:val="008C19CE"/>
    <w:rsid w:val="008C2999"/>
    <w:rsid w:val="008C3289"/>
    <w:rsid w:val="008C4454"/>
    <w:rsid w:val="008C47A4"/>
    <w:rsid w:val="008C4FBF"/>
    <w:rsid w:val="008C5543"/>
    <w:rsid w:val="008C55B4"/>
    <w:rsid w:val="008C5E2B"/>
    <w:rsid w:val="008C5FAD"/>
    <w:rsid w:val="008C6664"/>
    <w:rsid w:val="008C6729"/>
    <w:rsid w:val="008C6C88"/>
    <w:rsid w:val="008C6F0A"/>
    <w:rsid w:val="008C71A0"/>
    <w:rsid w:val="008C7716"/>
    <w:rsid w:val="008D0508"/>
    <w:rsid w:val="008D113D"/>
    <w:rsid w:val="008D2302"/>
    <w:rsid w:val="008D4DAD"/>
    <w:rsid w:val="008D5718"/>
    <w:rsid w:val="008D581C"/>
    <w:rsid w:val="008D588A"/>
    <w:rsid w:val="008D5AA2"/>
    <w:rsid w:val="008D65F4"/>
    <w:rsid w:val="008D6891"/>
    <w:rsid w:val="008D7067"/>
    <w:rsid w:val="008E0641"/>
    <w:rsid w:val="008E1C4A"/>
    <w:rsid w:val="008E26B8"/>
    <w:rsid w:val="008E2B78"/>
    <w:rsid w:val="008E3247"/>
    <w:rsid w:val="008E33A8"/>
    <w:rsid w:val="008E3789"/>
    <w:rsid w:val="008E3BCA"/>
    <w:rsid w:val="008E4619"/>
    <w:rsid w:val="008E5E06"/>
    <w:rsid w:val="008E6CC4"/>
    <w:rsid w:val="008F1912"/>
    <w:rsid w:val="008F1D23"/>
    <w:rsid w:val="008F2909"/>
    <w:rsid w:val="008F2D95"/>
    <w:rsid w:val="008F2F42"/>
    <w:rsid w:val="008F302E"/>
    <w:rsid w:val="008F31A0"/>
    <w:rsid w:val="008F40F1"/>
    <w:rsid w:val="008F4258"/>
    <w:rsid w:val="008F553A"/>
    <w:rsid w:val="008F5A7F"/>
    <w:rsid w:val="008F68C5"/>
    <w:rsid w:val="008F6BD6"/>
    <w:rsid w:val="008F6C97"/>
    <w:rsid w:val="008F77DA"/>
    <w:rsid w:val="00900C46"/>
    <w:rsid w:val="009013C3"/>
    <w:rsid w:val="00901775"/>
    <w:rsid w:val="009033E2"/>
    <w:rsid w:val="00903F93"/>
    <w:rsid w:val="009045B1"/>
    <w:rsid w:val="009045C3"/>
    <w:rsid w:val="0090592C"/>
    <w:rsid w:val="00905DA2"/>
    <w:rsid w:val="00907121"/>
    <w:rsid w:val="009077BB"/>
    <w:rsid w:val="00907ECE"/>
    <w:rsid w:val="00910498"/>
    <w:rsid w:val="009106D0"/>
    <w:rsid w:val="00912F2C"/>
    <w:rsid w:val="00913F1E"/>
    <w:rsid w:val="00913F93"/>
    <w:rsid w:val="00914B11"/>
    <w:rsid w:val="009156FB"/>
    <w:rsid w:val="009159CD"/>
    <w:rsid w:val="00916876"/>
    <w:rsid w:val="009177DF"/>
    <w:rsid w:val="00920332"/>
    <w:rsid w:val="00920AEF"/>
    <w:rsid w:val="00921348"/>
    <w:rsid w:val="00921768"/>
    <w:rsid w:val="00923716"/>
    <w:rsid w:val="009238F3"/>
    <w:rsid w:val="00924056"/>
    <w:rsid w:val="0092424D"/>
    <w:rsid w:val="00924441"/>
    <w:rsid w:val="0092468E"/>
    <w:rsid w:val="00924C8C"/>
    <w:rsid w:val="009262DA"/>
    <w:rsid w:val="00926AA2"/>
    <w:rsid w:val="0092749E"/>
    <w:rsid w:val="00927906"/>
    <w:rsid w:val="00927C20"/>
    <w:rsid w:val="0093046B"/>
    <w:rsid w:val="009305DB"/>
    <w:rsid w:val="00930D0F"/>
    <w:rsid w:val="0093106D"/>
    <w:rsid w:val="00931449"/>
    <w:rsid w:val="00931676"/>
    <w:rsid w:val="00931B3F"/>
    <w:rsid w:val="00931C91"/>
    <w:rsid w:val="00932591"/>
    <w:rsid w:val="009325F0"/>
    <w:rsid w:val="00932617"/>
    <w:rsid w:val="00932819"/>
    <w:rsid w:val="00932DE9"/>
    <w:rsid w:val="009333E0"/>
    <w:rsid w:val="009356BE"/>
    <w:rsid w:val="00936294"/>
    <w:rsid w:val="00936434"/>
    <w:rsid w:val="00936556"/>
    <w:rsid w:val="0093795D"/>
    <w:rsid w:val="00937CEE"/>
    <w:rsid w:val="0094019D"/>
    <w:rsid w:val="009415C4"/>
    <w:rsid w:val="00943A8B"/>
    <w:rsid w:val="00943B54"/>
    <w:rsid w:val="00943F9E"/>
    <w:rsid w:val="00945327"/>
    <w:rsid w:val="00945A3F"/>
    <w:rsid w:val="0094630F"/>
    <w:rsid w:val="00946892"/>
    <w:rsid w:val="00947440"/>
    <w:rsid w:val="009475E6"/>
    <w:rsid w:val="009513AD"/>
    <w:rsid w:val="00952C97"/>
    <w:rsid w:val="00953AC1"/>
    <w:rsid w:val="009543CD"/>
    <w:rsid w:val="0095524D"/>
    <w:rsid w:val="00956315"/>
    <w:rsid w:val="0095743A"/>
    <w:rsid w:val="009600FF"/>
    <w:rsid w:val="009604E5"/>
    <w:rsid w:val="00960881"/>
    <w:rsid w:val="00960A79"/>
    <w:rsid w:val="00960AA8"/>
    <w:rsid w:val="00962005"/>
    <w:rsid w:val="009626FE"/>
    <w:rsid w:val="0096274E"/>
    <w:rsid w:val="00962A85"/>
    <w:rsid w:val="009650BF"/>
    <w:rsid w:val="00966349"/>
    <w:rsid w:val="0096698B"/>
    <w:rsid w:val="00967177"/>
    <w:rsid w:val="009672C9"/>
    <w:rsid w:val="0096734D"/>
    <w:rsid w:val="0096766F"/>
    <w:rsid w:val="00970079"/>
    <w:rsid w:val="009700DD"/>
    <w:rsid w:val="0097066C"/>
    <w:rsid w:val="009706EB"/>
    <w:rsid w:val="009707AD"/>
    <w:rsid w:val="0097410E"/>
    <w:rsid w:val="00975716"/>
    <w:rsid w:val="00976DD2"/>
    <w:rsid w:val="00976F8D"/>
    <w:rsid w:val="009774A3"/>
    <w:rsid w:val="009774BD"/>
    <w:rsid w:val="00977835"/>
    <w:rsid w:val="00980FD9"/>
    <w:rsid w:val="00981A3B"/>
    <w:rsid w:val="009821AE"/>
    <w:rsid w:val="00982CD5"/>
    <w:rsid w:val="00982D89"/>
    <w:rsid w:val="00982E73"/>
    <w:rsid w:val="0098307B"/>
    <w:rsid w:val="0098459F"/>
    <w:rsid w:val="00985227"/>
    <w:rsid w:val="00985782"/>
    <w:rsid w:val="0098594B"/>
    <w:rsid w:val="009873B2"/>
    <w:rsid w:val="009878DF"/>
    <w:rsid w:val="00987B8D"/>
    <w:rsid w:val="00990CD0"/>
    <w:rsid w:val="00991B65"/>
    <w:rsid w:val="0099231F"/>
    <w:rsid w:val="00992CD5"/>
    <w:rsid w:val="009933A5"/>
    <w:rsid w:val="009936FE"/>
    <w:rsid w:val="00993E14"/>
    <w:rsid w:val="00994132"/>
    <w:rsid w:val="00994140"/>
    <w:rsid w:val="00994295"/>
    <w:rsid w:val="0099468E"/>
    <w:rsid w:val="009949A5"/>
    <w:rsid w:val="00994DD1"/>
    <w:rsid w:val="0099517D"/>
    <w:rsid w:val="00995506"/>
    <w:rsid w:val="0099583F"/>
    <w:rsid w:val="00995DAF"/>
    <w:rsid w:val="00995EC7"/>
    <w:rsid w:val="00995F18"/>
    <w:rsid w:val="00996ED7"/>
    <w:rsid w:val="0099779C"/>
    <w:rsid w:val="00997CC4"/>
    <w:rsid w:val="009A04B9"/>
    <w:rsid w:val="009A0E62"/>
    <w:rsid w:val="009A0FCD"/>
    <w:rsid w:val="009A205E"/>
    <w:rsid w:val="009A2F6C"/>
    <w:rsid w:val="009A3B18"/>
    <w:rsid w:val="009A3E31"/>
    <w:rsid w:val="009A41C8"/>
    <w:rsid w:val="009A428D"/>
    <w:rsid w:val="009A42E6"/>
    <w:rsid w:val="009A4631"/>
    <w:rsid w:val="009A4FC9"/>
    <w:rsid w:val="009A5765"/>
    <w:rsid w:val="009A73FE"/>
    <w:rsid w:val="009B000E"/>
    <w:rsid w:val="009B01CE"/>
    <w:rsid w:val="009B0317"/>
    <w:rsid w:val="009B1BD4"/>
    <w:rsid w:val="009B1E4E"/>
    <w:rsid w:val="009B2865"/>
    <w:rsid w:val="009B3EDD"/>
    <w:rsid w:val="009B4201"/>
    <w:rsid w:val="009B4208"/>
    <w:rsid w:val="009B4C52"/>
    <w:rsid w:val="009B4E69"/>
    <w:rsid w:val="009B58B9"/>
    <w:rsid w:val="009B66EE"/>
    <w:rsid w:val="009C14AE"/>
    <w:rsid w:val="009C1FC8"/>
    <w:rsid w:val="009C2AAF"/>
    <w:rsid w:val="009C2CD0"/>
    <w:rsid w:val="009C2D48"/>
    <w:rsid w:val="009C3B02"/>
    <w:rsid w:val="009C40E4"/>
    <w:rsid w:val="009C4467"/>
    <w:rsid w:val="009C526E"/>
    <w:rsid w:val="009C5D12"/>
    <w:rsid w:val="009C6831"/>
    <w:rsid w:val="009C698A"/>
    <w:rsid w:val="009C7B1B"/>
    <w:rsid w:val="009D0EF2"/>
    <w:rsid w:val="009D1ED3"/>
    <w:rsid w:val="009D2443"/>
    <w:rsid w:val="009D2F26"/>
    <w:rsid w:val="009D3551"/>
    <w:rsid w:val="009D3961"/>
    <w:rsid w:val="009D3974"/>
    <w:rsid w:val="009D3DF3"/>
    <w:rsid w:val="009D5697"/>
    <w:rsid w:val="009D6538"/>
    <w:rsid w:val="009D678D"/>
    <w:rsid w:val="009D6825"/>
    <w:rsid w:val="009D742D"/>
    <w:rsid w:val="009D7A3B"/>
    <w:rsid w:val="009E061E"/>
    <w:rsid w:val="009E181B"/>
    <w:rsid w:val="009E1B5E"/>
    <w:rsid w:val="009E2FA1"/>
    <w:rsid w:val="009E40D0"/>
    <w:rsid w:val="009E4324"/>
    <w:rsid w:val="009E4E29"/>
    <w:rsid w:val="009E4EA1"/>
    <w:rsid w:val="009E64F7"/>
    <w:rsid w:val="009E6540"/>
    <w:rsid w:val="009E6965"/>
    <w:rsid w:val="009E6D94"/>
    <w:rsid w:val="009E6E72"/>
    <w:rsid w:val="009E77C9"/>
    <w:rsid w:val="009E7913"/>
    <w:rsid w:val="009E7C90"/>
    <w:rsid w:val="009F0F1C"/>
    <w:rsid w:val="009F1012"/>
    <w:rsid w:val="009F11D3"/>
    <w:rsid w:val="009F126B"/>
    <w:rsid w:val="009F131F"/>
    <w:rsid w:val="009F132C"/>
    <w:rsid w:val="009F18D3"/>
    <w:rsid w:val="009F1B2D"/>
    <w:rsid w:val="009F3111"/>
    <w:rsid w:val="009F3536"/>
    <w:rsid w:val="009F618C"/>
    <w:rsid w:val="009F689D"/>
    <w:rsid w:val="009F7F06"/>
    <w:rsid w:val="00A002B0"/>
    <w:rsid w:val="00A0359D"/>
    <w:rsid w:val="00A041B2"/>
    <w:rsid w:val="00A0430D"/>
    <w:rsid w:val="00A045F3"/>
    <w:rsid w:val="00A04B7C"/>
    <w:rsid w:val="00A04F28"/>
    <w:rsid w:val="00A05900"/>
    <w:rsid w:val="00A06678"/>
    <w:rsid w:val="00A06AE5"/>
    <w:rsid w:val="00A078A9"/>
    <w:rsid w:val="00A1108D"/>
    <w:rsid w:val="00A12045"/>
    <w:rsid w:val="00A1208E"/>
    <w:rsid w:val="00A131BE"/>
    <w:rsid w:val="00A13DDF"/>
    <w:rsid w:val="00A14577"/>
    <w:rsid w:val="00A14EBE"/>
    <w:rsid w:val="00A153EC"/>
    <w:rsid w:val="00A15582"/>
    <w:rsid w:val="00A15729"/>
    <w:rsid w:val="00A1591D"/>
    <w:rsid w:val="00A16AE3"/>
    <w:rsid w:val="00A16BDC"/>
    <w:rsid w:val="00A16F01"/>
    <w:rsid w:val="00A170C2"/>
    <w:rsid w:val="00A175B5"/>
    <w:rsid w:val="00A1774C"/>
    <w:rsid w:val="00A17874"/>
    <w:rsid w:val="00A219CC"/>
    <w:rsid w:val="00A221EA"/>
    <w:rsid w:val="00A22931"/>
    <w:rsid w:val="00A22EB8"/>
    <w:rsid w:val="00A2372C"/>
    <w:rsid w:val="00A23F4C"/>
    <w:rsid w:val="00A241D9"/>
    <w:rsid w:val="00A258E4"/>
    <w:rsid w:val="00A26A5E"/>
    <w:rsid w:val="00A272E4"/>
    <w:rsid w:val="00A27B81"/>
    <w:rsid w:val="00A27D49"/>
    <w:rsid w:val="00A3355E"/>
    <w:rsid w:val="00A33663"/>
    <w:rsid w:val="00A340F4"/>
    <w:rsid w:val="00A3416F"/>
    <w:rsid w:val="00A3422E"/>
    <w:rsid w:val="00A3429F"/>
    <w:rsid w:val="00A344B5"/>
    <w:rsid w:val="00A35982"/>
    <w:rsid w:val="00A36E21"/>
    <w:rsid w:val="00A36EB4"/>
    <w:rsid w:val="00A36F6D"/>
    <w:rsid w:val="00A370EE"/>
    <w:rsid w:val="00A37A7D"/>
    <w:rsid w:val="00A40C30"/>
    <w:rsid w:val="00A42ACD"/>
    <w:rsid w:val="00A438B7"/>
    <w:rsid w:val="00A43AF6"/>
    <w:rsid w:val="00A44353"/>
    <w:rsid w:val="00A44605"/>
    <w:rsid w:val="00A45304"/>
    <w:rsid w:val="00A4580E"/>
    <w:rsid w:val="00A4596D"/>
    <w:rsid w:val="00A47521"/>
    <w:rsid w:val="00A47D41"/>
    <w:rsid w:val="00A51B1E"/>
    <w:rsid w:val="00A51BBF"/>
    <w:rsid w:val="00A51E7A"/>
    <w:rsid w:val="00A52BC8"/>
    <w:rsid w:val="00A53056"/>
    <w:rsid w:val="00A53837"/>
    <w:rsid w:val="00A54538"/>
    <w:rsid w:val="00A55436"/>
    <w:rsid w:val="00A55D39"/>
    <w:rsid w:val="00A568E0"/>
    <w:rsid w:val="00A60204"/>
    <w:rsid w:val="00A60AEA"/>
    <w:rsid w:val="00A614D0"/>
    <w:rsid w:val="00A61675"/>
    <w:rsid w:val="00A6246B"/>
    <w:rsid w:val="00A625F2"/>
    <w:rsid w:val="00A62F09"/>
    <w:rsid w:val="00A631AE"/>
    <w:rsid w:val="00A63210"/>
    <w:rsid w:val="00A64360"/>
    <w:rsid w:val="00A6442F"/>
    <w:rsid w:val="00A645B2"/>
    <w:rsid w:val="00A6492C"/>
    <w:rsid w:val="00A64AF6"/>
    <w:rsid w:val="00A65FAF"/>
    <w:rsid w:val="00A66049"/>
    <w:rsid w:val="00A6676A"/>
    <w:rsid w:val="00A66AD6"/>
    <w:rsid w:val="00A66B87"/>
    <w:rsid w:val="00A671AE"/>
    <w:rsid w:val="00A674AF"/>
    <w:rsid w:val="00A6770A"/>
    <w:rsid w:val="00A70C4C"/>
    <w:rsid w:val="00A7255A"/>
    <w:rsid w:val="00A725B5"/>
    <w:rsid w:val="00A734E4"/>
    <w:rsid w:val="00A73C46"/>
    <w:rsid w:val="00A74055"/>
    <w:rsid w:val="00A74172"/>
    <w:rsid w:val="00A741CE"/>
    <w:rsid w:val="00A74556"/>
    <w:rsid w:val="00A7558C"/>
    <w:rsid w:val="00A7559E"/>
    <w:rsid w:val="00A75AC9"/>
    <w:rsid w:val="00A76E90"/>
    <w:rsid w:val="00A801AF"/>
    <w:rsid w:val="00A807C9"/>
    <w:rsid w:val="00A8089A"/>
    <w:rsid w:val="00A809DE"/>
    <w:rsid w:val="00A81449"/>
    <w:rsid w:val="00A826C2"/>
    <w:rsid w:val="00A82B7C"/>
    <w:rsid w:val="00A830AF"/>
    <w:rsid w:val="00A8368E"/>
    <w:rsid w:val="00A84521"/>
    <w:rsid w:val="00A84C30"/>
    <w:rsid w:val="00A84F69"/>
    <w:rsid w:val="00A8522A"/>
    <w:rsid w:val="00A854F0"/>
    <w:rsid w:val="00A857D9"/>
    <w:rsid w:val="00A85E18"/>
    <w:rsid w:val="00A85F25"/>
    <w:rsid w:val="00A86115"/>
    <w:rsid w:val="00A86C30"/>
    <w:rsid w:val="00A86CFE"/>
    <w:rsid w:val="00A87242"/>
    <w:rsid w:val="00A87C16"/>
    <w:rsid w:val="00A87D2A"/>
    <w:rsid w:val="00A90AF7"/>
    <w:rsid w:val="00A91471"/>
    <w:rsid w:val="00A91702"/>
    <w:rsid w:val="00A92000"/>
    <w:rsid w:val="00A924A6"/>
    <w:rsid w:val="00A92B24"/>
    <w:rsid w:val="00A92D1B"/>
    <w:rsid w:val="00A93823"/>
    <w:rsid w:val="00A93925"/>
    <w:rsid w:val="00A943D6"/>
    <w:rsid w:val="00A94EA6"/>
    <w:rsid w:val="00A95709"/>
    <w:rsid w:val="00A96633"/>
    <w:rsid w:val="00A966D8"/>
    <w:rsid w:val="00A96A77"/>
    <w:rsid w:val="00A96C5A"/>
    <w:rsid w:val="00A979B4"/>
    <w:rsid w:val="00A97CB7"/>
    <w:rsid w:val="00A97DE3"/>
    <w:rsid w:val="00A97F8C"/>
    <w:rsid w:val="00AA048D"/>
    <w:rsid w:val="00AA10C5"/>
    <w:rsid w:val="00AA12D9"/>
    <w:rsid w:val="00AA15E2"/>
    <w:rsid w:val="00AA3720"/>
    <w:rsid w:val="00AA39A7"/>
    <w:rsid w:val="00AA5CA2"/>
    <w:rsid w:val="00AA5FA2"/>
    <w:rsid w:val="00AA6A91"/>
    <w:rsid w:val="00AA71B4"/>
    <w:rsid w:val="00AA7A88"/>
    <w:rsid w:val="00AB0431"/>
    <w:rsid w:val="00AB0434"/>
    <w:rsid w:val="00AB08A5"/>
    <w:rsid w:val="00AB0C96"/>
    <w:rsid w:val="00AB1A86"/>
    <w:rsid w:val="00AB2873"/>
    <w:rsid w:val="00AB2C0F"/>
    <w:rsid w:val="00AB2CA5"/>
    <w:rsid w:val="00AB2E7A"/>
    <w:rsid w:val="00AB3B9D"/>
    <w:rsid w:val="00AB3EED"/>
    <w:rsid w:val="00AB3F9D"/>
    <w:rsid w:val="00AB3FD0"/>
    <w:rsid w:val="00AB49EA"/>
    <w:rsid w:val="00AB4DA4"/>
    <w:rsid w:val="00AB60AC"/>
    <w:rsid w:val="00AB6A02"/>
    <w:rsid w:val="00AB7523"/>
    <w:rsid w:val="00AB7860"/>
    <w:rsid w:val="00AB7D63"/>
    <w:rsid w:val="00AC0851"/>
    <w:rsid w:val="00AC10EE"/>
    <w:rsid w:val="00AC256D"/>
    <w:rsid w:val="00AC48AF"/>
    <w:rsid w:val="00AC6A6D"/>
    <w:rsid w:val="00AC6C71"/>
    <w:rsid w:val="00AC7134"/>
    <w:rsid w:val="00AD054F"/>
    <w:rsid w:val="00AD0E7F"/>
    <w:rsid w:val="00AD148D"/>
    <w:rsid w:val="00AD161A"/>
    <w:rsid w:val="00AD1BD1"/>
    <w:rsid w:val="00AD22EE"/>
    <w:rsid w:val="00AD2EE2"/>
    <w:rsid w:val="00AD2F89"/>
    <w:rsid w:val="00AD31B3"/>
    <w:rsid w:val="00AD3AD2"/>
    <w:rsid w:val="00AD54E4"/>
    <w:rsid w:val="00AD5D80"/>
    <w:rsid w:val="00AD616D"/>
    <w:rsid w:val="00AD622C"/>
    <w:rsid w:val="00AD743E"/>
    <w:rsid w:val="00AD78F1"/>
    <w:rsid w:val="00AD7D21"/>
    <w:rsid w:val="00AE0566"/>
    <w:rsid w:val="00AE1B12"/>
    <w:rsid w:val="00AE360E"/>
    <w:rsid w:val="00AE4946"/>
    <w:rsid w:val="00AE5DB7"/>
    <w:rsid w:val="00AE6114"/>
    <w:rsid w:val="00AE7C2E"/>
    <w:rsid w:val="00AF0023"/>
    <w:rsid w:val="00AF048F"/>
    <w:rsid w:val="00AF0752"/>
    <w:rsid w:val="00AF07B4"/>
    <w:rsid w:val="00AF092E"/>
    <w:rsid w:val="00AF190C"/>
    <w:rsid w:val="00AF1B44"/>
    <w:rsid w:val="00AF1B9A"/>
    <w:rsid w:val="00AF2F76"/>
    <w:rsid w:val="00AF340B"/>
    <w:rsid w:val="00AF41F8"/>
    <w:rsid w:val="00AF4F14"/>
    <w:rsid w:val="00AF516D"/>
    <w:rsid w:val="00AF545F"/>
    <w:rsid w:val="00AF54FF"/>
    <w:rsid w:val="00AF6B86"/>
    <w:rsid w:val="00AF7C2D"/>
    <w:rsid w:val="00B00168"/>
    <w:rsid w:val="00B011EA"/>
    <w:rsid w:val="00B015D8"/>
    <w:rsid w:val="00B015EE"/>
    <w:rsid w:val="00B01D86"/>
    <w:rsid w:val="00B02A9B"/>
    <w:rsid w:val="00B02DBF"/>
    <w:rsid w:val="00B04A44"/>
    <w:rsid w:val="00B0564A"/>
    <w:rsid w:val="00B05BAC"/>
    <w:rsid w:val="00B07061"/>
    <w:rsid w:val="00B07641"/>
    <w:rsid w:val="00B07F33"/>
    <w:rsid w:val="00B10EA0"/>
    <w:rsid w:val="00B120C0"/>
    <w:rsid w:val="00B12A67"/>
    <w:rsid w:val="00B12D31"/>
    <w:rsid w:val="00B13C57"/>
    <w:rsid w:val="00B13D0B"/>
    <w:rsid w:val="00B14909"/>
    <w:rsid w:val="00B1509B"/>
    <w:rsid w:val="00B1766F"/>
    <w:rsid w:val="00B20429"/>
    <w:rsid w:val="00B210E9"/>
    <w:rsid w:val="00B2143F"/>
    <w:rsid w:val="00B22E7A"/>
    <w:rsid w:val="00B23358"/>
    <w:rsid w:val="00B23788"/>
    <w:rsid w:val="00B23953"/>
    <w:rsid w:val="00B2505F"/>
    <w:rsid w:val="00B255EE"/>
    <w:rsid w:val="00B26629"/>
    <w:rsid w:val="00B273F0"/>
    <w:rsid w:val="00B30287"/>
    <w:rsid w:val="00B3051B"/>
    <w:rsid w:val="00B30811"/>
    <w:rsid w:val="00B30A4E"/>
    <w:rsid w:val="00B318EB"/>
    <w:rsid w:val="00B321FD"/>
    <w:rsid w:val="00B3291E"/>
    <w:rsid w:val="00B32EDC"/>
    <w:rsid w:val="00B34356"/>
    <w:rsid w:val="00B347B4"/>
    <w:rsid w:val="00B3486A"/>
    <w:rsid w:val="00B35350"/>
    <w:rsid w:val="00B35652"/>
    <w:rsid w:val="00B36A12"/>
    <w:rsid w:val="00B37F39"/>
    <w:rsid w:val="00B400B2"/>
    <w:rsid w:val="00B423E3"/>
    <w:rsid w:val="00B428EB"/>
    <w:rsid w:val="00B43682"/>
    <w:rsid w:val="00B43FC1"/>
    <w:rsid w:val="00B446EE"/>
    <w:rsid w:val="00B447D2"/>
    <w:rsid w:val="00B451AE"/>
    <w:rsid w:val="00B463E4"/>
    <w:rsid w:val="00B467F2"/>
    <w:rsid w:val="00B46BB8"/>
    <w:rsid w:val="00B46D34"/>
    <w:rsid w:val="00B46F31"/>
    <w:rsid w:val="00B4786F"/>
    <w:rsid w:val="00B500B3"/>
    <w:rsid w:val="00B517A4"/>
    <w:rsid w:val="00B51A3C"/>
    <w:rsid w:val="00B51B28"/>
    <w:rsid w:val="00B52611"/>
    <w:rsid w:val="00B532CB"/>
    <w:rsid w:val="00B53E74"/>
    <w:rsid w:val="00B54743"/>
    <w:rsid w:val="00B54B39"/>
    <w:rsid w:val="00B5578E"/>
    <w:rsid w:val="00B55972"/>
    <w:rsid w:val="00B55EA7"/>
    <w:rsid w:val="00B56067"/>
    <w:rsid w:val="00B5669B"/>
    <w:rsid w:val="00B56A61"/>
    <w:rsid w:val="00B57E13"/>
    <w:rsid w:val="00B60080"/>
    <w:rsid w:val="00B61D7E"/>
    <w:rsid w:val="00B6282B"/>
    <w:rsid w:val="00B62A3D"/>
    <w:rsid w:val="00B62A9B"/>
    <w:rsid w:val="00B62D34"/>
    <w:rsid w:val="00B62ED4"/>
    <w:rsid w:val="00B63059"/>
    <w:rsid w:val="00B63729"/>
    <w:rsid w:val="00B64B77"/>
    <w:rsid w:val="00B656CE"/>
    <w:rsid w:val="00B65E4F"/>
    <w:rsid w:val="00B65F1F"/>
    <w:rsid w:val="00B6611F"/>
    <w:rsid w:val="00B6630F"/>
    <w:rsid w:val="00B66B4B"/>
    <w:rsid w:val="00B66D4B"/>
    <w:rsid w:val="00B70225"/>
    <w:rsid w:val="00B70A7D"/>
    <w:rsid w:val="00B713E3"/>
    <w:rsid w:val="00B7142A"/>
    <w:rsid w:val="00B71A9B"/>
    <w:rsid w:val="00B72A3B"/>
    <w:rsid w:val="00B72C37"/>
    <w:rsid w:val="00B73264"/>
    <w:rsid w:val="00B7349E"/>
    <w:rsid w:val="00B73D4F"/>
    <w:rsid w:val="00B73E6F"/>
    <w:rsid w:val="00B73F50"/>
    <w:rsid w:val="00B7497A"/>
    <w:rsid w:val="00B74DAF"/>
    <w:rsid w:val="00B7573A"/>
    <w:rsid w:val="00B75A69"/>
    <w:rsid w:val="00B75A9F"/>
    <w:rsid w:val="00B76D58"/>
    <w:rsid w:val="00B772D8"/>
    <w:rsid w:val="00B77749"/>
    <w:rsid w:val="00B77E4B"/>
    <w:rsid w:val="00B77F4A"/>
    <w:rsid w:val="00B808FC"/>
    <w:rsid w:val="00B812B4"/>
    <w:rsid w:val="00B81E0E"/>
    <w:rsid w:val="00B8248C"/>
    <w:rsid w:val="00B83623"/>
    <w:rsid w:val="00B83A7E"/>
    <w:rsid w:val="00B83EF3"/>
    <w:rsid w:val="00B84334"/>
    <w:rsid w:val="00B84A35"/>
    <w:rsid w:val="00B84DCB"/>
    <w:rsid w:val="00B86893"/>
    <w:rsid w:val="00B872EA"/>
    <w:rsid w:val="00B8737B"/>
    <w:rsid w:val="00B87ED9"/>
    <w:rsid w:val="00B9196E"/>
    <w:rsid w:val="00B922A2"/>
    <w:rsid w:val="00B924E7"/>
    <w:rsid w:val="00B931C1"/>
    <w:rsid w:val="00B93D68"/>
    <w:rsid w:val="00B941A6"/>
    <w:rsid w:val="00B947B8"/>
    <w:rsid w:val="00B94801"/>
    <w:rsid w:val="00B95190"/>
    <w:rsid w:val="00B9535B"/>
    <w:rsid w:val="00B953FE"/>
    <w:rsid w:val="00B95C9E"/>
    <w:rsid w:val="00B95FA8"/>
    <w:rsid w:val="00B96919"/>
    <w:rsid w:val="00B96EB1"/>
    <w:rsid w:val="00B978A3"/>
    <w:rsid w:val="00BA02E5"/>
    <w:rsid w:val="00BA0C98"/>
    <w:rsid w:val="00BA1E48"/>
    <w:rsid w:val="00BA1ED5"/>
    <w:rsid w:val="00BA1F2F"/>
    <w:rsid w:val="00BA429D"/>
    <w:rsid w:val="00BA4E84"/>
    <w:rsid w:val="00BA5746"/>
    <w:rsid w:val="00BA64F5"/>
    <w:rsid w:val="00BA70B3"/>
    <w:rsid w:val="00BA7FC2"/>
    <w:rsid w:val="00BB0E85"/>
    <w:rsid w:val="00BB26EC"/>
    <w:rsid w:val="00BB289C"/>
    <w:rsid w:val="00BB305C"/>
    <w:rsid w:val="00BB31D0"/>
    <w:rsid w:val="00BB445A"/>
    <w:rsid w:val="00BB6480"/>
    <w:rsid w:val="00BB6602"/>
    <w:rsid w:val="00BB67C2"/>
    <w:rsid w:val="00BB6A9D"/>
    <w:rsid w:val="00BB6EDD"/>
    <w:rsid w:val="00BB7FBC"/>
    <w:rsid w:val="00BC1E25"/>
    <w:rsid w:val="00BC27A5"/>
    <w:rsid w:val="00BC2D4E"/>
    <w:rsid w:val="00BC2EDE"/>
    <w:rsid w:val="00BC3F1C"/>
    <w:rsid w:val="00BC53DB"/>
    <w:rsid w:val="00BC5959"/>
    <w:rsid w:val="00BC5D85"/>
    <w:rsid w:val="00BC6180"/>
    <w:rsid w:val="00BC6BDA"/>
    <w:rsid w:val="00BC6E24"/>
    <w:rsid w:val="00BC74B4"/>
    <w:rsid w:val="00BC751C"/>
    <w:rsid w:val="00BC7F59"/>
    <w:rsid w:val="00BD1D7E"/>
    <w:rsid w:val="00BD1FB3"/>
    <w:rsid w:val="00BD23B8"/>
    <w:rsid w:val="00BD25C1"/>
    <w:rsid w:val="00BD389B"/>
    <w:rsid w:val="00BD3FEE"/>
    <w:rsid w:val="00BD481B"/>
    <w:rsid w:val="00BD4E38"/>
    <w:rsid w:val="00BD5437"/>
    <w:rsid w:val="00BD6013"/>
    <w:rsid w:val="00BD64BB"/>
    <w:rsid w:val="00BD66AA"/>
    <w:rsid w:val="00BD760A"/>
    <w:rsid w:val="00BD7A49"/>
    <w:rsid w:val="00BE071D"/>
    <w:rsid w:val="00BE11AE"/>
    <w:rsid w:val="00BE1D1C"/>
    <w:rsid w:val="00BE2F6C"/>
    <w:rsid w:val="00BE3205"/>
    <w:rsid w:val="00BE338D"/>
    <w:rsid w:val="00BE33F5"/>
    <w:rsid w:val="00BE354E"/>
    <w:rsid w:val="00BE46D8"/>
    <w:rsid w:val="00BE5C7B"/>
    <w:rsid w:val="00BF0357"/>
    <w:rsid w:val="00BF045A"/>
    <w:rsid w:val="00BF161B"/>
    <w:rsid w:val="00BF2900"/>
    <w:rsid w:val="00BF2E48"/>
    <w:rsid w:val="00BF2EFC"/>
    <w:rsid w:val="00BF35E3"/>
    <w:rsid w:val="00BF38A5"/>
    <w:rsid w:val="00BF4C16"/>
    <w:rsid w:val="00BF5A8A"/>
    <w:rsid w:val="00BF6EA6"/>
    <w:rsid w:val="00BF73C3"/>
    <w:rsid w:val="00BF7591"/>
    <w:rsid w:val="00BF7928"/>
    <w:rsid w:val="00BF7A70"/>
    <w:rsid w:val="00C00B55"/>
    <w:rsid w:val="00C00F9D"/>
    <w:rsid w:val="00C01630"/>
    <w:rsid w:val="00C021EB"/>
    <w:rsid w:val="00C030E7"/>
    <w:rsid w:val="00C034C0"/>
    <w:rsid w:val="00C0361E"/>
    <w:rsid w:val="00C03863"/>
    <w:rsid w:val="00C03F02"/>
    <w:rsid w:val="00C04247"/>
    <w:rsid w:val="00C0436F"/>
    <w:rsid w:val="00C056B2"/>
    <w:rsid w:val="00C05B30"/>
    <w:rsid w:val="00C06BF7"/>
    <w:rsid w:val="00C10963"/>
    <w:rsid w:val="00C11487"/>
    <w:rsid w:val="00C11B16"/>
    <w:rsid w:val="00C11DAF"/>
    <w:rsid w:val="00C12CD4"/>
    <w:rsid w:val="00C12FDE"/>
    <w:rsid w:val="00C13456"/>
    <w:rsid w:val="00C13551"/>
    <w:rsid w:val="00C156A0"/>
    <w:rsid w:val="00C1609A"/>
    <w:rsid w:val="00C16AEC"/>
    <w:rsid w:val="00C17064"/>
    <w:rsid w:val="00C170D0"/>
    <w:rsid w:val="00C17933"/>
    <w:rsid w:val="00C17B7D"/>
    <w:rsid w:val="00C17E12"/>
    <w:rsid w:val="00C209EF"/>
    <w:rsid w:val="00C20CCE"/>
    <w:rsid w:val="00C20D29"/>
    <w:rsid w:val="00C20E61"/>
    <w:rsid w:val="00C217CA"/>
    <w:rsid w:val="00C219EF"/>
    <w:rsid w:val="00C2200A"/>
    <w:rsid w:val="00C22025"/>
    <w:rsid w:val="00C22D1C"/>
    <w:rsid w:val="00C230DA"/>
    <w:rsid w:val="00C2324D"/>
    <w:rsid w:val="00C23D03"/>
    <w:rsid w:val="00C23FC0"/>
    <w:rsid w:val="00C241E6"/>
    <w:rsid w:val="00C24BEE"/>
    <w:rsid w:val="00C24ED8"/>
    <w:rsid w:val="00C2587D"/>
    <w:rsid w:val="00C26465"/>
    <w:rsid w:val="00C2654D"/>
    <w:rsid w:val="00C265A0"/>
    <w:rsid w:val="00C26E08"/>
    <w:rsid w:val="00C2719E"/>
    <w:rsid w:val="00C27BF0"/>
    <w:rsid w:val="00C31021"/>
    <w:rsid w:val="00C31167"/>
    <w:rsid w:val="00C31477"/>
    <w:rsid w:val="00C3180B"/>
    <w:rsid w:val="00C327B0"/>
    <w:rsid w:val="00C32DB4"/>
    <w:rsid w:val="00C33E26"/>
    <w:rsid w:val="00C35554"/>
    <w:rsid w:val="00C35AE9"/>
    <w:rsid w:val="00C36444"/>
    <w:rsid w:val="00C36740"/>
    <w:rsid w:val="00C36AE6"/>
    <w:rsid w:val="00C36C1E"/>
    <w:rsid w:val="00C371F8"/>
    <w:rsid w:val="00C376B5"/>
    <w:rsid w:val="00C37F18"/>
    <w:rsid w:val="00C40B53"/>
    <w:rsid w:val="00C40C2E"/>
    <w:rsid w:val="00C40CD5"/>
    <w:rsid w:val="00C40FE7"/>
    <w:rsid w:val="00C4124E"/>
    <w:rsid w:val="00C41C99"/>
    <w:rsid w:val="00C41F9A"/>
    <w:rsid w:val="00C43C4E"/>
    <w:rsid w:val="00C44815"/>
    <w:rsid w:val="00C45556"/>
    <w:rsid w:val="00C456A0"/>
    <w:rsid w:val="00C46B38"/>
    <w:rsid w:val="00C47472"/>
    <w:rsid w:val="00C506BD"/>
    <w:rsid w:val="00C50762"/>
    <w:rsid w:val="00C508C8"/>
    <w:rsid w:val="00C50D59"/>
    <w:rsid w:val="00C52095"/>
    <w:rsid w:val="00C53E0E"/>
    <w:rsid w:val="00C53E88"/>
    <w:rsid w:val="00C5611D"/>
    <w:rsid w:val="00C56362"/>
    <w:rsid w:val="00C56749"/>
    <w:rsid w:val="00C56E29"/>
    <w:rsid w:val="00C56ED5"/>
    <w:rsid w:val="00C57B30"/>
    <w:rsid w:val="00C60046"/>
    <w:rsid w:val="00C60A15"/>
    <w:rsid w:val="00C60E8A"/>
    <w:rsid w:val="00C6102C"/>
    <w:rsid w:val="00C616A9"/>
    <w:rsid w:val="00C61DB6"/>
    <w:rsid w:val="00C637E9"/>
    <w:rsid w:val="00C64D36"/>
    <w:rsid w:val="00C6586D"/>
    <w:rsid w:val="00C65BCD"/>
    <w:rsid w:val="00C65C8A"/>
    <w:rsid w:val="00C6613C"/>
    <w:rsid w:val="00C70BC4"/>
    <w:rsid w:val="00C70D31"/>
    <w:rsid w:val="00C71234"/>
    <w:rsid w:val="00C712BB"/>
    <w:rsid w:val="00C71D82"/>
    <w:rsid w:val="00C7205E"/>
    <w:rsid w:val="00C727A4"/>
    <w:rsid w:val="00C73D2E"/>
    <w:rsid w:val="00C7402A"/>
    <w:rsid w:val="00C74126"/>
    <w:rsid w:val="00C7610F"/>
    <w:rsid w:val="00C76792"/>
    <w:rsid w:val="00C76D44"/>
    <w:rsid w:val="00C81441"/>
    <w:rsid w:val="00C81D4D"/>
    <w:rsid w:val="00C81E93"/>
    <w:rsid w:val="00C81F6D"/>
    <w:rsid w:val="00C82BB7"/>
    <w:rsid w:val="00C842AE"/>
    <w:rsid w:val="00C847C1"/>
    <w:rsid w:val="00C847DE"/>
    <w:rsid w:val="00C84EFB"/>
    <w:rsid w:val="00C8574E"/>
    <w:rsid w:val="00C85872"/>
    <w:rsid w:val="00C86D4C"/>
    <w:rsid w:val="00C901BD"/>
    <w:rsid w:val="00C9083B"/>
    <w:rsid w:val="00C910F1"/>
    <w:rsid w:val="00C91B74"/>
    <w:rsid w:val="00C920DB"/>
    <w:rsid w:val="00C92289"/>
    <w:rsid w:val="00C92CEC"/>
    <w:rsid w:val="00C934CF"/>
    <w:rsid w:val="00C94658"/>
    <w:rsid w:val="00C94B01"/>
    <w:rsid w:val="00C94E31"/>
    <w:rsid w:val="00C952EE"/>
    <w:rsid w:val="00C95615"/>
    <w:rsid w:val="00C9599E"/>
    <w:rsid w:val="00C95D78"/>
    <w:rsid w:val="00C965DA"/>
    <w:rsid w:val="00C96D94"/>
    <w:rsid w:val="00CA019E"/>
    <w:rsid w:val="00CA036E"/>
    <w:rsid w:val="00CA089A"/>
    <w:rsid w:val="00CA0A2C"/>
    <w:rsid w:val="00CA0E30"/>
    <w:rsid w:val="00CA0E48"/>
    <w:rsid w:val="00CA143F"/>
    <w:rsid w:val="00CA175B"/>
    <w:rsid w:val="00CA18DC"/>
    <w:rsid w:val="00CA19D0"/>
    <w:rsid w:val="00CA1AFE"/>
    <w:rsid w:val="00CA1B52"/>
    <w:rsid w:val="00CA31FE"/>
    <w:rsid w:val="00CA3AFB"/>
    <w:rsid w:val="00CA3F71"/>
    <w:rsid w:val="00CA3FE6"/>
    <w:rsid w:val="00CA4AEF"/>
    <w:rsid w:val="00CA4FD1"/>
    <w:rsid w:val="00CA5975"/>
    <w:rsid w:val="00CA5A39"/>
    <w:rsid w:val="00CA65CC"/>
    <w:rsid w:val="00CA6B99"/>
    <w:rsid w:val="00CA6E8E"/>
    <w:rsid w:val="00CA7410"/>
    <w:rsid w:val="00CA7844"/>
    <w:rsid w:val="00CB005D"/>
    <w:rsid w:val="00CB0852"/>
    <w:rsid w:val="00CB09D1"/>
    <w:rsid w:val="00CB0B91"/>
    <w:rsid w:val="00CB1A01"/>
    <w:rsid w:val="00CB33C7"/>
    <w:rsid w:val="00CB4F84"/>
    <w:rsid w:val="00CB55AF"/>
    <w:rsid w:val="00CB7060"/>
    <w:rsid w:val="00CC0246"/>
    <w:rsid w:val="00CC04A6"/>
    <w:rsid w:val="00CC103E"/>
    <w:rsid w:val="00CC1454"/>
    <w:rsid w:val="00CC14B7"/>
    <w:rsid w:val="00CC1D65"/>
    <w:rsid w:val="00CC236D"/>
    <w:rsid w:val="00CC2C9D"/>
    <w:rsid w:val="00CC3090"/>
    <w:rsid w:val="00CC44C8"/>
    <w:rsid w:val="00CC6070"/>
    <w:rsid w:val="00CC608C"/>
    <w:rsid w:val="00CC689E"/>
    <w:rsid w:val="00CC6C3D"/>
    <w:rsid w:val="00CC6DD9"/>
    <w:rsid w:val="00CC7D56"/>
    <w:rsid w:val="00CD0B01"/>
    <w:rsid w:val="00CD0E3B"/>
    <w:rsid w:val="00CD0FD7"/>
    <w:rsid w:val="00CD1846"/>
    <w:rsid w:val="00CD19B5"/>
    <w:rsid w:val="00CD206E"/>
    <w:rsid w:val="00CD24A8"/>
    <w:rsid w:val="00CD2A51"/>
    <w:rsid w:val="00CD2AE3"/>
    <w:rsid w:val="00CD33AD"/>
    <w:rsid w:val="00CD3861"/>
    <w:rsid w:val="00CD3CFC"/>
    <w:rsid w:val="00CD3ED3"/>
    <w:rsid w:val="00CD438A"/>
    <w:rsid w:val="00CD4B6C"/>
    <w:rsid w:val="00CD4B92"/>
    <w:rsid w:val="00CD5225"/>
    <w:rsid w:val="00CD5634"/>
    <w:rsid w:val="00CD6103"/>
    <w:rsid w:val="00CD6B99"/>
    <w:rsid w:val="00CD6DE5"/>
    <w:rsid w:val="00CD715B"/>
    <w:rsid w:val="00CD729F"/>
    <w:rsid w:val="00CD7422"/>
    <w:rsid w:val="00CD7662"/>
    <w:rsid w:val="00CD7D19"/>
    <w:rsid w:val="00CD7DF7"/>
    <w:rsid w:val="00CE0431"/>
    <w:rsid w:val="00CE1455"/>
    <w:rsid w:val="00CE1C13"/>
    <w:rsid w:val="00CE2FDC"/>
    <w:rsid w:val="00CE5BC0"/>
    <w:rsid w:val="00CE6D37"/>
    <w:rsid w:val="00CE7E25"/>
    <w:rsid w:val="00CF00D4"/>
    <w:rsid w:val="00CF00EC"/>
    <w:rsid w:val="00CF15AB"/>
    <w:rsid w:val="00CF1D73"/>
    <w:rsid w:val="00CF37BD"/>
    <w:rsid w:val="00CF3AAE"/>
    <w:rsid w:val="00CF3B9B"/>
    <w:rsid w:val="00CF43AF"/>
    <w:rsid w:val="00CF4D7E"/>
    <w:rsid w:val="00CF525C"/>
    <w:rsid w:val="00CF7196"/>
    <w:rsid w:val="00CF74A1"/>
    <w:rsid w:val="00D005C5"/>
    <w:rsid w:val="00D00866"/>
    <w:rsid w:val="00D02BB5"/>
    <w:rsid w:val="00D035DE"/>
    <w:rsid w:val="00D0375A"/>
    <w:rsid w:val="00D038A3"/>
    <w:rsid w:val="00D03EA7"/>
    <w:rsid w:val="00D04C97"/>
    <w:rsid w:val="00D05DB1"/>
    <w:rsid w:val="00D06B55"/>
    <w:rsid w:val="00D0750E"/>
    <w:rsid w:val="00D075F9"/>
    <w:rsid w:val="00D0762D"/>
    <w:rsid w:val="00D07AC3"/>
    <w:rsid w:val="00D10426"/>
    <w:rsid w:val="00D104A9"/>
    <w:rsid w:val="00D1052A"/>
    <w:rsid w:val="00D10A9F"/>
    <w:rsid w:val="00D11BDB"/>
    <w:rsid w:val="00D122B2"/>
    <w:rsid w:val="00D1240A"/>
    <w:rsid w:val="00D124B0"/>
    <w:rsid w:val="00D13013"/>
    <w:rsid w:val="00D14206"/>
    <w:rsid w:val="00D1539B"/>
    <w:rsid w:val="00D17858"/>
    <w:rsid w:val="00D178EC"/>
    <w:rsid w:val="00D20406"/>
    <w:rsid w:val="00D2047D"/>
    <w:rsid w:val="00D21479"/>
    <w:rsid w:val="00D22866"/>
    <w:rsid w:val="00D22D53"/>
    <w:rsid w:val="00D23CB5"/>
    <w:rsid w:val="00D240E6"/>
    <w:rsid w:val="00D24384"/>
    <w:rsid w:val="00D24962"/>
    <w:rsid w:val="00D249A6"/>
    <w:rsid w:val="00D250D3"/>
    <w:rsid w:val="00D27A8E"/>
    <w:rsid w:val="00D27EFE"/>
    <w:rsid w:val="00D3037E"/>
    <w:rsid w:val="00D34C6A"/>
    <w:rsid w:val="00D354F9"/>
    <w:rsid w:val="00D35B2D"/>
    <w:rsid w:val="00D36408"/>
    <w:rsid w:val="00D369C4"/>
    <w:rsid w:val="00D37792"/>
    <w:rsid w:val="00D4025D"/>
    <w:rsid w:val="00D40524"/>
    <w:rsid w:val="00D405A6"/>
    <w:rsid w:val="00D41E50"/>
    <w:rsid w:val="00D42210"/>
    <w:rsid w:val="00D4245D"/>
    <w:rsid w:val="00D42DB3"/>
    <w:rsid w:val="00D4447C"/>
    <w:rsid w:val="00D45A3E"/>
    <w:rsid w:val="00D46509"/>
    <w:rsid w:val="00D46D25"/>
    <w:rsid w:val="00D46D2E"/>
    <w:rsid w:val="00D47E0C"/>
    <w:rsid w:val="00D523CF"/>
    <w:rsid w:val="00D52966"/>
    <w:rsid w:val="00D52ABC"/>
    <w:rsid w:val="00D52C6F"/>
    <w:rsid w:val="00D5301B"/>
    <w:rsid w:val="00D53519"/>
    <w:rsid w:val="00D536E5"/>
    <w:rsid w:val="00D54ADA"/>
    <w:rsid w:val="00D555FB"/>
    <w:rsid w:val="00D55A29"/>
    <w:rsid w:val="00D561B6"/>
    <w:rsid w:val="00D56717"/>
    <w:rsid w:val="00D57E4E"/>
    <w:rsid w:val="00D60A50"/>
    <w:rsid w:val="00D60D4D"/>
    <w:rsid w:val="00D62DE3"/>
    <w:rsid w:val="00D63097"/>
    <w:rsid w:val="00D644F6"/>
    <w:rsid w:val="00D64D8B"/>
    <w:rsid w:val="00D64FC8"/>
    <w:rsid w:val="00D65D1B"/>
    <w:rsid w:val="00D673FB"/>
    <w:rsid w:val="00D679A9"/>
    <w:rsid w:val="00D67BF3"/>
    <w:rsid w:val="00D67C41"/>
    <w:rsid w:val="00D70006"/>
    <w:rsid w:val="00D7011A"/>
    <w:rsid w:val="00D70E24"/>
    <w:rsid w:val="00D7209E"/>
    <w:rsid w:val="00D72B28"/>
    <w:rsid w:val="00D7338E"/>
    <w:rsid w:val="00D733CB"/>
    <w:rsid w:val="00D73540"/>
    <w:rsid w:val="00D7431B"/>
    <w:rsid w:val="00D74875"/>
    <w:rsid w:val="00D75333"/>
    <w:rsid w:val="00D77427"/>
    <w:rsid w:val="00D7785D"/>
    <w:rsid w:val="00D8031F"/>
    <w:rsid w:val="00D804AB"/>
    <w:rsid w:val="00D80A13"/>
    <w:rsid w:val="00D80C9D"/>
    <w:rsid w:val="00D819F0"/>
    <w:rsid w:val="00D81EEB"/>
    <w:rsid w:val="00D822F1"/>
    <w:rsid w:val="00D82A2D"/>
    <w:rsid w:val="00D8301C"/>
    <w:rsid w:val="00D83384"/>
    <w:rsid w:val="00D845FF"/>
    <w:rsid w:val="00D84B28"/>
    <w:rsid w:val="00D8520D"/>
    <w:rsid w:val="00D85218"/>
    <w:rsid w:val="00D85839"/>
    <w:rsid w:val="00D85CDB"/>
    <w:rsid w:val="00D85FFD"/>
    <w:rsid w:val="00D86082"/>
    <w:rsid w:val="00D8653A"/>
    <w:rsid w:val="00D8681B"/>
    <w:rsid w:val="00D86F1B"/>
    <w:rsid w:val="00D8710B"/>
    <w:rsid w:val="00D873F0"/>
    <w:rsid w:val="00D87ACA"/>
    <w:rsid w:val="00D90D71"/>
    <w:rsid w:val="00D911C9"/>
    <w:rsid w:val="00D9156F"/>
    <w:rsid w:val="00D92C96"/>
    <w:rsid w:val="00D93070"/>
    <w:rsid w:val="00D93883"/>
    <w:rsid w:val="00D93BFA"/>
    <w:rsid w:val="00D943E4"/>
    <w:rsid w:val="00D945A9"/>
    <w:rsid w:val="00D9615A"/>
    <w:rsid w:val="00D9729C"/>
    <w:rsid w:val="00D97C5F"/>
    <w:rsid w:val="00D97CA1"/>
    <w:rsid w:val="00D97CEB"/>
    <w:rsid w:val="00DA1104"/>
    <w:rsid w:val="00DA14DA"/>
    <w:rsid w:val="00DA18ED"/>
    <w:rsid w:val="00DA2211"/>
    <w:rsid w:val="00DA2B08"/>
    <w:rsid w:val="00DA2FE5"/>
    <w:rsid w:val="00DA3A15"/>
    <w:rsid w:val="00DA5DBF"/>
    <w:rsid w:val="00DA5DD5"/>
    <w:rsid w:val="00DA6241"/>
    <w:rsid w:val="00DB0BC2"/>
    <w:rsid w:val="00DB1340"/>
    <w:rsid w:val="00DB1880"/>
    <w:rsid w:val="00DB1AD6"/>
    <w:rsid w:val="00DB1C24"/>
    <w:rsid w:val="00DB2EA7"/>
    <w:rsid w:val="00DB4C7E"/>
    <w:rsid w:val="00DB5050"/>
    <w:rsid w:val="00DB5176"/>
    <w:rsid w:val="00DB5F32"/>
    <w:rsid w:val="00DB5F8F"/>
    <w:rsid w:val="00DB7A5F"/>
    <w:rsid w:val="00DB7A81"/>
    <w:rsid w:val="00DB7A88"/>
    <w:rsid w:val="00DC1AC1"/>
    <w:rsid w:val="00DC4FE2"/>
    <w:rsid w:val="00DC5533"/>
    <w:rsid w:val="00DC5948"/>
    <w:rsid w:val="00DC72C4"/>
    <w:rsid w:val="00DC738A"/>
    <w:rsid w:val="00DC78E0"/>
    <w:rsid w:val="00DC7FDE"/>
    <w:rsid w:val="00DD0745"/>
    <w:rsid w:val="00DD16C1"/>
    <w:rsid w:val="00DD1871"/>
    <w:rsid w:val="00DD1EDD"/>
    <w:rsid w:val="00DD1FE3"/>
    <w:rsid w:val="00DD3224"/>
    <w:rsid w:val="00DD3B81"/>
    <w:rsid w:val="00DD40A6"/>
    <w:rsid w:val="00DD42CC"/>
    <w:rsid w:val="00DD5011"/>
    <w:rsid w:val="00DD569A"/>
    <w:rsid w:val="00DD61EA"/>
    <w:rsid w:val="00DD6DC0"/>
    <w:rsid w:val="00DD71C9"/>
    <w:rsid w:val="00DD77B0"/>
    <w:rsid w:val="00DE05AF"/>
    <w:rsid w:val="00DE06BB"/>
    <w:rsid w:val="00DE0D26"/>
    <w:rsid w:val="00DE0EBB"/>
    <w:rsid w:val="00DE1849"/>
    <w:rsid w:val="00DE1A34"/>
    <w:rsid w:val="00DE1A74"/>
    <w:rsid w:val="00DE2054"/>
    <w:rsid w:val="00DE24D2"/>
    <w:rsid w:val="00DE25D7"/>
    <w:rsid w:val="00DE26D7"/>
    <w:rsid w:val="00DE3362"/>
    <w:rsid w:val="00DE34A9"/>
    <w:rsid w:val="00DE35B5"/>
    <w:rsid w:val="00DE37C3"/>
    <w:rsid w:val="00DE3DCF"/>
    <w:rsid w:val="00DE4752"/>
    <w:rsid w:val="00DE48ED"/>
    <w:rsid w:val="00DE4E6E"/>
    <w:rsid w:val="00DE603D"/>
    <w:rsid w:val="00DE6B66"/>
    <w:rsid w:val="00DE767F"/>
    <w:rsid w:val="00DF0280"/>
    <w:rsid w:val="00DF0C44"/>
    <w:rsid w:val="00DF20DA"/>
    <w:rsid w:val="00DF24C4"/>
    <w:rsid w:val="00DF2EFB"/>
    <w:rsid w:val="00DF3AF2"/>
    <w:rsid w:val="00DF5B1A"/>
    <w:rsid w:val="00DF5C26"/>
    <w:rsid w:val="00E005E4"/>
    <w:rsid w:val="00E0080A"/>
    <w:rsid w:val="00E00AD2"/>
    <w:rsid w:val="00E01270"/>
    <w:rsid w:val="00E01F25"/>
    <w:rsid w:val="00E02E2C"/>
    <w:rsid w:val="00E032ED"/>
    <w:rsid w:val="00E03F42"/>
    <w:rsid w:val="00E0494A"/>
    <w:rsid w:val="00E049BB"/>
    <w:rsid w:val="00E0545B"/>
    <w:rsid w:val="00E05554"/>
    <w:rsid w:val="00E068A6"/>
    <w:rsid w:val="00E077FE"/>
    <w:rsid w:val="00E07F2B"/>
    <w:rsid w:val="00E1110B"/>
    <w:rsid w:val="00E111C1"/>
    <w:rsid w:val="00E11DE2"/>
    <w:rsid w:val="00E121E6"/>
    <w:rsid w:val="00E12ABD"/>
    <w:rsid w:val="00E13021"/>
    <w:rsid w:val="00E1336B"/>
    <w:rsid w:val="00E14D42"/>
    <w:rsid w:val="00E150D0"/>
    <w:rsid w:val="00E1699D"/>
    <w:rsid w:val="00E2003E"/>
    <w:rsid w:val="00E200DC"/>
    <w:rsid w:val="00E2025C"/>
    <w:rsid w:val="00E202E5"/>
    <w:rsid w:val="00E20801"/>
    <w:rsid w:val="00E2086F"/>
    <w:rsid w:val="00E20C41"/>
    <w:rsid w:val="00E21B92"/>
    <w:rsid w:val="00E22281"/>
    <w:rsid w:val="00E231D1"/>
    <w:rsid w:val="00E232F8"/>
    <w:rsid w:val="00E237B6"/>
    <w:rsid w:val="00E23A50"/>
    <w:rsid w:val="00E2419F"/>
    <w:rsid w:val="00E2453C"/>
    <w:rsid w:val="00E25313"/>
    <w:rsid w:val="00E25E7A"/>
    <w:rsid w:val="00E26EB2"/>
    <w:rsid w:val="00E26F7B"/>
    <w:rsid w:val="00E27271"/>
    <w:rsid w:val="00E30300"/>
    <w:rsid w:val="00E309CE"/>
    <w:rsid w:val="00E30ADE"/>
    <w:rsid w:val="00E30BD0"/>
    <w:rsid w:val="00E314F6"/>
    <w:rsid w:val="00E32382"/>
    <w:rsid w:val="00E33644"/>
    <w:rsid w:val="00E3440D"/>
    <w:rsid w:val="00E353B6"/>
    <w:rsid w:val="00E356A0"/>
    <w:rsid w:val="00E36BE5"/>
    <w:rsid w:val="00E36C52"/>
    <w:rsid w:val="00E36FAF"/>
    <w:rsid w:val="00E37806"/>
    <w:rsid w:val="00E400D0"/>
    <w:rsid w:val="00E40A32"/>
    <w:rsid w:val="00E411B9"/>
    <w:rsid w:val="00E4132D"/>
    <w:rsid w:val="00E41415"/>
    <w:rsid w:val="00E41493"/>
    <w:rsid w:val="00E419BE"/>
    <w:rsid w:val="00E41A9A"/>
    <w:rsid w:val="00E43614"/>
    <w:rsid w:val="00E43C85"/>
    <w:rsid w:val="00E43D78"/>
    <w:rsid w:val="00E448FC"/>
    <w:rsid w:val="00E44B81"/>
    <w:rsid w:val="00E45F59"/>
    <w:rsid w:val="00E46DC9"/>
    <w:rsid w:val="00E47819"/>
    <w:rsid w:val="00E47C2F"/>
    <w:rsid w:val="00E47D02"/>
    <w:rsid w:val="00E51704"/>
    <w:rsid w:val="00E523B4"/>
    <w:rsid w:val="00E524F9"/>
    <w:rsid w:val="00E53F98"/>
    <w:rsid w:val="00E54740"/>
    <w:rsid w:val="00E5694C"/>
    <w:rsid w:val="00E569FD"/>
    <w:rsid w:val="00E57496"/>
    <w:rsid w:val="00E5759C"/>
    <w:rsid w:val="00E57CC1"/>
    <w:rsid w:val="00E57E69"/>
    <w:rsid w:val="00E6047B"/>
    <w:rsid w:val="00E60CA9"/>
    <w:rsid w:val="00E6210F"/>
    <w:rsid w:val="00E6233F"/>
    <w:rsid w:val="00E62389"/>
    <w:rsid w:val="00E6262C"/>
    <w:rsid w:val="00E62EE1"/>
    <w:rsid w:val="00E631AE"/>
    <w:rsid w:val="00E637F2"/>
    <w:rsid w:val="00E63B05"/>
    <w:rsid w:val="00E644E7"/>
    <w:rsid w:val="00E64CAC"/>
    <w:rsid w:val="00E64EA6"/>
    <w:rsid w:val="00E6542C"/>
    <w:rsid w:val="00E6683B"/>
    <w:rsid w:val="00E6697F"/>
    <w:rsid w:val="00E670C8"/>
    <w:rsid w:val="00E71165"/>
    <w:rsid w:val="00E740DC"/>
    <w:rsid w:val="00E7572A"/>
    <w:rsid w:val="00E75A67"/>
    <w:rsid w:val="00E76A1E"/>
    <w:rsid w:val="00E76BC4"/>
    <w:rsid w:val="00E7773F"/>
    <w:rsid w:val="00E8090F"/>
    <w:rsid w:val="00E80D0E"/>
    <w:rsid w:val="00E81E44"/>
    <w:rsid w:val="00E8337E"/>
    <w:rsid w:val="00E83A9C"/>
    <w:rsid w:val="00E83B04"/>
    <w:rsid w:val="00E846DE"/>
    <w:rsid w:val="00E85711"/>
    <w:rsid w:val="00E858FB"/>
    <w:rsid w:val="00E85B00"/>
    <w:rsid w:val="00E86823"/>
    <w:rsid w:val="00E86828"/>
    <w:rsid w:val="00E86E18"/>
    <w:rsid w:val="00E86F1E"/>
    <w:rsid w:val="00E87155"/>
    <w:rsid w:val="00E87218"/>
    <w:rsid w:val="00E8791F"/>
    <w:rsid w:val="00E87A00"/>
    <w:rsid w:val="00E87A47"/>
    <w:rsid w:val="00E9061E"/>
    <w:rsid w:val="00E90631"/>
    <w:rsid w:val="00E907BC"/>
    <w:rsid w:val="00E91328"/>
    <w:rsid w:val="00E91776"/>
    <w:rsid w:val="00E921AE"/>
    <w:rsid w:val="00E9247F"/>
    <w:rsid w:val="00E9293F"/>
    <w:rsid w:val="00E92975"/>
    <w:rsid w:val="00E92B66"/>
    <w:rsid w:val="00E93ABA"/>
    <w:rsid w:val="00E950B0"/>
    <w:rsid w:val="00E9526E"/>
    <w:rsid w:val="00E956A5"/>
    <w:rsid w:val="00E95754"/>
    <w:rsid w:val="00E95A63"/>
    <w:rsid w:val="00E964B3"/>
    <w:rsid w:val="00E969A7"/>
    <w:rsid w:val="00E96A92"/>
    <w:rsid w:val="00E973AC"/>
    <w:rsid w:val="00E97747"/>
    <w:rsid w:val="00E97953"/>
    <w:rsid w:val="00EA107A"/>
    <w:rsid w:val="00EA12F7"/>
    <w:rsid w:val="00EA1694"/>
    <w:rsid w:val="00EA1707"/>
    <w:rsid w:val="00EA2B41"/>
    <w:rsid w:val="00EA2CB5"/>
    <w:rsid w:val="00EA305C"/>
    <w:rsid w:val="00EA37F0"/>
    <w:rsid w:val="00EA42A8"/>
    <w:rsid w:val="00EA441B"/>
    <w:rsid w:val="00EA4F85"/>
    <w:rsid w:val="00EA4FC4"/>
    <w:rsid w:val="00EA5810"/>
    <w:rsid w:val="00EA6590"/>
    <w:rsid w:val="00EA66BF"/>
    <w:rsid w:val="00EA6B9A"/>
    <w:rsid w:val="00EA6E27"/>
    <w:rsid w:val="00EA7087"/>
    <w:rsid w:val="00EA7496"/>
    <w:rsid w:val="00EA76AF"/>
    <w:rsid w:val="00EB0503"/>
    <w:rsid w:val="00EB088D"/>
    <w:rsid w:val="00EB0F30"/>
    <w:rsid w:val="00EB1121"/>
    <w:rsid w:val="00EB2D01"/>
    <w:rsid w:val="00EB396A"/>
    <w:rsid w:val="00EB4264"/>
    <w:rsid w:val="00EB4533"/>
    <w:rsid w:val="00EB45A1"/>
    <w:rsid w:val="00EB57C5"/>
    <w:rsid w:val="00EB5FEA"/>
    <w:rsid w:val="00EB7313"/>
    <w:rsid w:val="00EB7769"/>
    <w:rsid w:val="00EB7B16"/>
    <w:rsid w:val="00EC0F21"/>
    <w:rsid w:val="00EC15B8"/>
    <w:rsid w:val="00EC1671"/>
    <w:rsid w:val="00EC2030"/>
    <w:rsid w:val="00EC20E4"/>
    <w:rsid w:val="00EC256C"/>
    <w:rsid w:val="00EC306A"/>
    <w:rsid w:val="00EC3A71"/>
    <w:rsid w:val="00EC3A88"/>
    <w:rsid w:val="00EC4C49"/>
    <w:rsid w:val="00EC5340"/>
    <w:rsid w:val="00EC78EA"/>
    <w:rsid w:val="00ED08D8"/>
    <w:rsid w:val="00ED0A2E"/>
    <w:rsid w:val="00ED13D3"/>
    <w:rsid w:val="00ED1AE9"/>
    <w:rsid w:val="00ED347C"/>
    <w:rsid w:val="00ED3AB2"/>
    <w:rsid w:val="00ED3E08"/>
    <w:rsid w:val="00ED6010"/>
    <w:rsid w:val="00ED7D3B"/>
    <w:rsid w:val="00ED7F95"/>
    <w:rsid w:val="00EE0320"/>
    <w:rsid w:val="00EE05A5"/>
    <w:rsid w:val="00EE05CD"/>
    <w:rsid w:val="00EE08F3"/>
    <w:rsid w:val="00EE0B39"/>
    <w:rsid w:val="00EE0C95"/>
    <w:rsid w:val="00EE11AA"/>
    <w:rsid w:val="00EE17EE"/>
    <w:rsid w:val="00EE18C4"/>
    <w:rsid w:val="00EE1A82"/>
    <w:rsid w:val="00EE1C50"/>
    <w:rsid w:val="00EE1DB1"/>
    <w:rsid w:val="00EE1E04"/>
    <w:rsid w:val="00EE2096"/>
    <w:rsid w:val="00EE2480"/>
    <w:rsid w:val="00EE2F11"/>
    <w:rsid w:val="00EE3C50"/>
    <w:rsid w:val="00EE4515"/>
    <w:rsid w:val="00EE474F"/>
    <w:rsid w:val="00EE4A40"/>
    <w:rsid w:val="00EE4D55"/>
    <w:rsid w:val="00EE5547"/>
    <w:rsid w:val="00EE5CF7"/>
    <w:rsid w:val="00EE5D42"/>
    <w:rsid w:val="00EE6085"/>
    <w:rsid w:val="00EE66A6"/>
    <w:rsid w:val="00EE79A7"/>
    <w:rsid w:val="00EE7BC5"/>
    <w:rsid w:val="00EE7D4D"/>
    <w:rsid w:val="00EF0250"/>
    <w:rsid w:val="00EF04E4"/>
    <w:rsid w:val="00EF0D52"/>
    <w:rsid w:val="00EF1267"/>
    <w:rsid w:val="00EF43C9"/>
    <w:rsid w:val="00EF4493"/>
    <w:rsid w:val="00EF4614"/>
    <w:rsid w:val="00EF46CC"/>
    <w:rsid w:val="00EF4770"/>
    <w:rsid w:val="00EF4E67"/>
    <w:rsid w:val="00EF54B2"/>
    <w:rsid w:val="00EF5B62"/>
    <w:rsid w:val="00EF72B9"/>
    <w:rsid w:val="00EF7E16"/>
    <w:rsid w:val="00F00CB8"/>
    <w:rsid w:val="00F00EE7"/>
    <w:rsid w:val="00F023DF"/>
    <w:rsid w:val="00F02E0F"/>
    <w:rsid w:val="00F050BC"/>
    <w:rsid w:val="00F0590E"/>
    <w:rsid w:val="00F05A12"/>
    <w:rsid w:val="00F06673"/>
    <w:rsid w:val="00F07F51"/>
    <w:rsid w:val="00F10082"/>
    <w:rsid w:val="00F104B4"/>
    <w:rsid w:val="00F10E93"/>
    <w:rsid w:val="00F131E1"/>
    <w:rsid w:val="00F13F64"/>
    <w:rsid w:val="00F140C6"/>
    <w:rsid w:val="00F14276"/>
    <w:rsid w:val="00F14B06"/>
    <w:rsid w:val="00F150C2"/>
    <w:rsid w:val="00F15587"/>
    <w:rsid w:val="00F16379"/>
    <w:rsid w:val="00F179DF"/>
    <w:rsid w:val="00F2042A"/>
    <w:rsid w:val="00F207B9"/>
    <w:rsid w:val="00F21066"/>
    <w:rsid w:val="00F21357"/>
    <w:rsid w:val="00F214A4"/>
    <w:rsid w:val="00F21B15"/>
    <w:rsid w:val="00F23D80"/>
    <w:rsid w:val="00F256A8"/>
    <w:rsid w:val="00F25E48"/>
    <w:rsid w:val="00F262D9"/>
    <w:rsid w:val="00F264A5"/>
    <w:rsid w:val="00F2673A"/>
    <w:rsid w:val="00F267C7"/>
    <w:rsid w:val="00F269CF"/>
    <w:rsid w:val="00F270D0"/>
    <w:rsid w:val="00F2723A"/>
    <w:rsid w:val="00F27666"/>
    <w:rsid w:val="00F27D41"/>
    <w:rsid w:val="00F3008E"/>
    <w:rsid w:val="00F301A3"/>
    <w:rsid w:val="00F30602"/>
    <w:rsid w:val="00F30F6F"/>
    <w:rsid w:val="00F31492"/>
    <w:rsid w:val="00F31549"/>
    <w:rsid w:val="00F318F6"/>
    <w:rsid w:val="00F31E45"/>
    <w:rsid w:val="00F31F13"/>
    <w:rsid w:val="00F325E2"/>
    <w:rsid w:val="00F32ECB"/>
    <w:rsid w:val="00F336E2"/>
    <w:rsid w:val="00F339FE"/>
    <w:rsid w:val="00F33D0A"/>
    <w:rsid w:val="00F33E73"/>
    <w:rsid w:val="00F33EDD"/>
    <w:rsid w:val="00F34EDD"/>
    <w:rsid w:val="00F350FA"/>
    <w:rsid w:val="00F35216"/>
    <w:rsid w:val="00F358F7"/>
    <w:rsid w:val="00F35BC8"/>
    <w:rsid w:val="00F36A5E"/>
    <w:rsid w:val="00F36F9C"/>
    <w:rsid w:val="00F37013"/>
    <w:rsid w:val="00F3724D"/>
    <w:rsid w:val="00F402D6"/>
    <w:rsid w:val="00F410F4"/>
    <w:rsid w:val="00F419BF"/>
    <w:rsid w:val="00F42199"/>
    <w:rsid w:val="00F4296B"/>
    <w:rsid w:val="00F4354C"/>
    <w:rsid w:val="00F43A43"/>
    <w:rsid w:val="00F43B67"/>
    <w:rsid w:val="00F43C66"/>
    <w:rsid w:val="00F4465F"/>
    <w:rsid w:val="00F45175"/>
    <w:rsid w:val="00F45DA2"/>
    <w:rsid w:val="00F46D4F"/>
    <w:rsid w:val="00F46E23"/>
    <w:rsid w:val="00F47E4A"/>
    <w:rsid w:val="00F47F57"/>
    <w:rsid w:val="00F500B9"/>
    <w:rsid w:val="00F50870"/>
    <w:rsid w:val="00F517B3"/>
    <w:rsid w:val="00F520B7"/>
    <w:rsid w:val="00F52789"/>
    <w:rsid w:val="00F52925"/>
    <w:rsid w:val="00F52B81"/>
    <w:rsid w:val="00F5327F"/>
    <w:rsid w:val="00F5384B"/>
    <w:rsid w:val="00F53B21"/>
    <w:rsid w:val="00F5412B"/>
    <w:rsid w:val="00F54EC7"/>
    <w:rsid w:val="00F55232"/>
    <w:rsid w:val="00F55BA4"/>
    <w:rsid w:val="00F566A4"/>
    <w:rsid w:val="00F5670F"/>
    <w:rsid w:val="00F56B43"/>
    <w:rsid w:val="00F57388"/>
    <w:rsid w:val="00F57404"/>
    <w:rsid w:val="00F57FDF"/>
    <w:rsid w:val="00F6157F"/>
    <w:rsid w:val="00F618C5"/>
    <w:rsid w:val="00F6293A"/>
    <w:rsid w:val="00F638DA"/>
    <w:rsid w:val="00F6394A"/>
    <w:rsid w:val="00F63C48"/>
    <w:rsid w:val="00F63C8D"/>
    <w:rsid w:val="00F63E1D"/>
    <w:rsid w:val="00F64426"/>
    <w:rsid w:val="00F65198"/>
    <w:rsid w:val="00F6607B"/>
    <w:rsid w:val="00F676B0"/>
    <w:rsid w:val="00F678A2"/>
    <w:rsid w:val="00F70375"/>
    <w:rsid w:val="00F709EE"/>
    <w:rsid w:val="00F70EE4"/>
    <w:rsid w:val="00F72A57"/>
    <w:rsid w:val="00F744E2"/>
    <w:rsid w:val="00F75188"/>
    <w:rsid w:val="00F76C7F"/>
    <w:rsid w:val="00F77D8F"/>
    <w:rsid w:val="00F77F29"/>
    <w:rsid w:val="00F80001"/>
    <w:rsid w:val="00F802A0"/>
    <w:rsid w:val="00F80854"/>
    <w:rsid w:val="00F81121"/>
    <w:rsid w:val="00F81547"/>
    <w:rsid w:val="00F827F2"/>
    <w:rsid w:val="00F836E1"/>
    <w:rsid w:val="00F83D1C"/>
    <w:rsid w:val="00F8424C"/>
    <w:rsid w:val="00F84CA7"/>
    <w:rsid w:val="00F84FBD"/>
    <w:rsid w:val="00F85ABE"/>
    <w:rsid w:val="00F87D24"/>
    <w:rsid w:val="00F87F87"/>
    <w:rsid w:val="00F90266"/>
    <w:rsid w:val="00F906FD"/>
    <w:rsid w:val="00F9092E"/>
    <w:rsid w:val="00F9096C"/>
    <w:rsid w:val="00F90BDC"/>
    <w:rsid w:val="00F91067"/>
    <w:rsid w:val="00F91288"/>
    <w:rsid w:val="00F912C0"/>
    <w:rsid w:val="00F91E18"/>
    <w:rsid w:val="00F9211D"/>
    <w:rsid w:val="00F9216D"/>
    <w:rsid w:val="00F926BE"/>
    <w:rsid w:val="00F93505"/>
    <w:rsid w:val="00F94088"/>
    <w:rsid w:val="00F95FF8"/>
    <w:rsid w:val="00F970A2"/>
    <w:rsid w:val="00F97455"/>
    <w:rsid w:val="00F97FFC"/>
    <w:rsid w:val="00FA1B68"/>
    <w:rsid w:val="00FA2A51"/>
    <w:rsid w:val="00FA2D41"/>
    <w:rsid w:val="00FA37A3"/>
    <w:rsid w:val="00FA3C29"/>
    <w:rsid w:val="00FA3F65"/>
    <w:rsid w:val="00FA400B"/>
    <w:rsid w:val="00FA4038"/>
    <w:rsid w:val="00FA5055"/>
    <w:rsid w:val="00FA52AB"/>
    <w:rsid w:val="00FA5338"/>
    <w:rsid w:val="00FA5C40"/>
    <w:rsid w:val="00FA5CBA"/>
    <w:rsid w:val="00FA6094"/>
    <w:rsid w:val="00FA701D"/>
    <w:rsid w:val="00FA7CD2"/>
    <w:rsid w:val="00FA7F30"/>
    <w:rsid w:val="00FB12B5"/>
    <w:rsid w:val="00FB15FF"/>
    <w:rsid w:val="00FB1B10"/>
    <w:rsid w:val="00FB2E91"/>
    <w:rsid w:val="00FB3266"/>
    <w:rsid w:val="00FB39F8"/>
    <w:rsid w:val="00FB3AD6"/>
    <w:rsid w:val="00FB447E"/>
    <w:rsid w:val="00FB4AB3"/>
    <w:rsid w:val="00FB4BC9"/>
    <w:rsid w:val="00FB60FC"/>
    <w:rsid w:val="00FC0198"/>
    <w:rsid w:val="00FC035B"/>
    <w:rsid w:val="00FC09E7"/>
    <w:rsid w:val="00FC1445"/>
    <w:rsid w:val="00FC1AE5"/>
    <w:rsid w:val="00FC2058"/>
    <w:rsid w:val="00FC207C"/>
    <w:rsid w:val="00FC25C6"/>
    <w:rsid w:val="00FC2DB2"/>
    <w:rsid w:val="00FC3495"/>
    <w:rsid w:val="00FC450D"/>
    <w:rsid w:val="00FC48E5"/>
    <w:rsid w:val="00FC546A"/>
    <w:rsid w:val="00FC56D3"/>
    <w:rsid w:val="00FC589B"/>
    <w:rsid w:val="00FC7662"/>
    <w:rsid w:val="00FC7694"/>
    <w:rsid w:val="00FC7873"/>
    <w:rsid w:val="00FC794B"/>
    <w:rsid w:val="00FC7A84"/>
    <w:rsid w:val="00FD04E4"/>
    <w:rsid w:val="00FD0B1E"/>
    <w:rsid w:val="00FD2DD9"/>
    <w:rsid w:val="00FD30EE"/>
    <w:rsid w:val="00FD3370"/>
    <w:rsid w:val="00FD33FB"/>
    <w:rsid w:val="00FD36D3"/>
    <w:rsid w:val="00FD3C0C"/>
    <w:rsid w:val="00FD49AA"/>
    <w:rsid w:val="00FD6100"/>
    <w:rsid w:val="00FD7051"/>
    <w:rsid w:val="00FD75D9"/>
    <w:rsid w:val="00FD79A3"/>
    <w:rsid w:val="00FE1327"/>
    <w:rsid w:val="00FE1BFD"/>
    <w:rsid w:val="00FE201F"/>
    <w:rsid w:val="00FE2F3D"/>
    <w:rsid w:val="00FE30E8"/>
    <w:rsid w:val="00FE3872"/>
    <w:rsid w:val="00FE39B6"/>
    <w:rsid w:val="00FE3EAA"/>
    <w:rsid w:val="00FE3F2E"/>
    <w:rsid w:val="00FE41E4"/>
    <w:rsid w:val="00FE43BA"/>
    <w:rsid w:val="00FE45DB"/>
    <w:rsid w:val="00FE50DB"/>
    <w:rsid w:val="00FE63C3"/>
    <w:rsid w:val="00FE6B2A"/>
    <w:rsid w:val="00FE736E"/>
    <w:rsid w:val="00FE7690"/>
    <w:rsid w:val="00FE7FEC"/>
    <w:rsid w:val="00FF1029"/>
    <w:rsid w:val="00FF141E"/>
    <w:rsid w:val="00FF1823"/>
    <w:rsid w:val="00FF1AAB"/>
    <w:rsid w:val="00FF1CAD"/>
    <w:rsid w:val="00FF28D2"/>
    <w:rsid w:val="00FF472D"/>
    <w:rsid w:val="00FF4F71"/>
    <w:rsid w:val="00FF583D"/>
    <w:rsid w:val="00FF6479"/>
    <w:rsid w:val="00FF69BE"/>
    <w:rsid w:val="00FF6BF0"/>
    <w:rsid w:val="00FF7853"/>
    <w:rsid w:val="00FF786B"/>
    <w:rsid w:val="00FF7D21"/>
    <w:rsid w:val="00FF7E0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9eb7bc,#678c94"/>
    </o:shapedefaults>
    <o:shapelayout v:ext="edit">
      <o:idmap v:ext="edit" data="1"/>
    </o:shapelayout>
  </w:shapeDefaults>
  <w:decimalSymbol w:val=","/>
  <w:listSeparator w:val=";"/>
  <w14:docId w14:val="4AA24B50"/>
  <w15:docId w15:val="{CA9A2F4E-96A7-4B97-B205-5C75F1EBAD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uk-UA" w:eastAsia="uk-UA"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List" w:semiHidden="1" w:uiPriority="99"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217D4C"/>
    <w:rPr>
      <w:rFonts w:ascii="Arial" w:hAnsi="Arial"/>
      <w:sz w:val="22"/>
      <w:szCs w:val="24"/>
      <w:lang w:eastAsia="ru-RU"/>
    </w:rPr>
  </w:style>
  <w:style w:type="paragraph" w:styleId="10">
    <w:name w:val="heading 1"/>
    <w:basedOn w:val="a0"/>
    <w:next w:val="a0"/>
    <w:link w:val="11"/>
    <w:qFormat/>
    <w:rsid w:val="00077603"/>
    <w:pPr>
      <w:keepNext/>
      <w:pageBreakBefore/>
      <w:tabs>
        <w:tab w:val="left" w:pos="567"/>
      </w:tabs>
      <w:spacing w:before="120" w:after="120"/>
      <w:ind w:left="567" w:hanging="567"/>
      <w:outlineLvl w:val="0"/>
    </w:pPr>
    <w:rPr>
      <w:rFonts w:cs="Arial"/>
      <w:b/>
      <w:bCs/>
      <w:color w:val="455E63"/>
      <w:kern w:val="32"/>
      <w:sz w:val="32"/>
      <w:szCs w:val="28"/>
      <w:lang w:eastAsia="en-US"/>
    </w:rPr>
  </w:style>
  <w:style w:type="paragraph" w:styleId="2">
    <w:name w:val="heading 2"/>
    <w:basedOn w:val="a0"/>
    <w:next w:val="a0"/>
    <w:link w:val="20"/>
    <w:qFormat/>
    <w:rsid w:val="00077603"/>
    <w:pPr>
      <w:keepNext/>
      <w:keepLines/>
      <w:tabs>
        <w:tab w:val="left" w:pos="567"/>
      </w:tabs>
      <w:spacing w:before="240" w:after="60"/>
      <w:ind w:left="567" w:hanging="567"/>
      <w:outlineLvl w:val="1"/>
    </w:pPr>
    <w:rPr>
      <w:b/>
      <w:bCs/>
      <w:color w:val="455E63"/>
      <w:sz w:val="28"/>
      <w:szCs w:val="28"/>
      <w:lang w:eastAsia="en-US"/>
    </w:rPr>
  </w:style>
  <w:style w:type="paragraph" w:styleId="30">
    <w:name w:val="heading 3"/>
    <w:basedOn w:val="a0"/>
    <w:next w:val="a0"/>
    <w:link w:val="31"/>
    <w:qFormat/>
    <w:rsid w:val="004E46F6"/>
    <w:pPr>
      <w:keepNext/>
      <w:tabs>
        <w:tab w:val="left" w:pos="851"/>
      </w:tabs>
      <w:spacing w:before="120" w:after="60"/>
      <w:ind w:left="851" w:hanging="851"/>
      <w:outlineLvl w:val="2"/>
    </w:pPr>
    <w:rPr>
      <w:b/>
      <w:bCs/>
      <w:i/>
      <w:color w:val="455E63"/>
      <w:sz w:val="24"/>
      <w:lang w:eastAsia="ar-SA"/>
    </w:rPr>
  </w:style>
  <w:style w:type="paragraph" w:styleId="40">
    <w:name w:val="heading 4"/>
    <w:basedOn w:val="a0"/>
    <w:next w:val="a0"/>
    <w:link w:val="41"/>
    <w:qFormat/>
    <w:rsid w:val="00BD6013"/>
    <w:pPr>
      <w:keepNext/>
      <w:spacing w:before="240" w:after="60"/>
      <w:outlineLvl w:val="3"/>
    </w:pPr>
    <w:rPr>
      <w:rFonts w:ascii="Times New Roman" w:hAnsi="Times New Roman"/>
      <w:b/>
      <w:bCs/>
      <w:sz w:val="28"/>
      <w:szCs w:val="28"/>
      <w:lang w:eastAsia="uk-UA"/>
    </w:rPr>
  </w:style>
  <w:style w:type="paragraph" w:styleId="5">
    <w:name w:val="heading 5"/>
    <w:basedOn w:val="a0"/>
    <w:next w:val="a0"/>
    <w:link w:val="50"/>
    <w:qFormat/>
    <w:rsid w:val="00F4296B"/>
    <w:pPr>
      <w:keepNext/>
      <w:shd w:val="clear" w:color="auto" w:fill="FFFFFF"/>
      <w:spacing w:before="91"/>
      <w:ind w:left="-23" w:right="23" w:firstLine="709"/>
      <w:jc w:val="both"/>
      <w:outlineLvl w:val="4"/>
    </w:pPr>
    <w:rPr>
      <w:rFonts w:ascii="Times New Roman" w:hAnsi="Times New Roman"/>
      <w:b/>
      <w:bCs/>
      <w:sz w:val="28"/>
      <w:szCs w:val="28"/>
      <w:u w:val="single"/>
    </w:rPr>
  </w:style>
  <w:style w:type="paragraph" w:styleId="6">
    <w:name w:val="heading 6"/>
    <w:basedOn w:val="a0"/>
    <w:next w:val="a0"/>
    <w:link w:val="60"/>
    <w:qFormat/>
    <w:rsid w:val="000F0335"/>
    <w:pPr>
      <w:spacing w:before="240" w:after="60"/>
      <w:outlineLvl w:val="5"/>
    </w:pPr>
    <w:rPr>
      <w:rFonts w:ascii="Times New Roman" w:hAnsi="Times New Roman"/>
      <w:b/>
      <w:bCs/>
      <w:szCs w:val="22"/>
      <w:lang w:val="ru-RU"/>
    </w:rPr>
  </w:style>
  <w:style w:type="paragraph" w:styleId="70">
    <w:name w:val="heading 7"/>
    <w:basedOn w:val="a0"/>
    <w:next w:val="a0"/>
    <w:link w:val="71"/>
    <w:qFormat/>
    <w:rsid w:val="00F4296B"/>
    <w:pPr>
      <w:keepNext/>
      <w:ind w:firstLine="709"/>
      <w:jc w:val="center"/>
      <w:outlineLvl w:val="6"/>
    </w:pPr>
    <w:rPr>
      <w:rFonts w:ascii="Times New Roman" w:hAnsi="Times New Roman"/>
      <w:b/>
      <w:bCs/>
      <w:color w:val="000000"/>
      <w:spacing w:val="-3"/>
      <w:w w:val="116"/>
      <w:sz w:val="28"/>
      <w:szCs w:val="28"/>
    </w:rPr>
  </w:style>
  <w:style w:type="paragraph" w:styleId="8">
    <w:name w:val="heading 8"/>
    <w:basedOn w:val="a0"/>
    <w:next w:val="a0"/>
    <w:link w:val="80"/>
    <w:qFormat/>
    <w:rsid w:val="00F4296B"/>
    <w:pPr>
      <w:keepNext/>
      <w:ind w:firstLine="708"/>
      <w:jc w:val="both"/>
      <w:outlineLvl w:val="7"/>
    </w:pPr>
    <w:rPr>
      <w:rFonts w:ascii="Times New Roman" w:hAnsi="Times New Roman"/>
      <w:b/>
      <w:bCs/>
      <w:sz w:val="28"/>
      <w:szCs w:val="28"/>
    </w:rPr>
  </w:style>
  <w:style w:type="paragraph" w:styleId="9">
    <w:name w:val="heading 9"/>
    <w:basedOn w:val="a0"/>
    <w:next w:val="a0"/>
    <w:link w:val="90"/>
    <w:qFormat/>
    <w:rsid w:val="00BD6013"/>
    <w:pPr>
      <w:spacing w:before="240" w:after="60"/>
      <w:outlineLvl w:val="8"/>
    </w:pPr>
    <w:rPr>
      <w:rFonts w:cs="Arial"/>
      <w:szCs w:val="22"/>
      <w:lang w:eastAsia="uk-U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styleId="a4">
    <w:name w:val="Table Grid"/>
    <w:basedOn w:val="a2"/>
    <w:rsid w:val="00EE3C50"/>
    <w:rPr>
      <w:rFonts w:ascii="Arial" w:hAnsi="Arial"/>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Pr>
  </w:style>
  <w:style w:type="paragraph" w:customStyle="1" w:styleId="a5">
    <w:name w:val="Знак Знак Знак Знак"/>
    <w:basedOn w:val="a0"/>
    <w:rsid w:val="00171528"/>
    <w:rPr>
      <w:rFonts w:ascii="Verdana" w:hAnsi="Verdana" w:cs="Verdana"/>
      <w:sz w:val="20"/>
      <w:szCs w:val="20"/>
      <w:lang w:val="en-US" w:eastAsia="en-US"/>
    </w:rPr>
  </w:style>
  <w:style w:type="paragraph" w:styleId="a6">
    <w:name w:val="header"/>
    <w:basedOn w:val="a0"/>
    <w:link w:val="a7"/>
    <w:uiPriority w:val="99"/>
    <w:rsid w:val="00C847C1"/>
    <w:pPr>
      <w:tabs>
        <w:tab w:val="center" w:pos="4680"/>
        <w:tab w:val="right" w:pos="9360"/>
      </w:tabs>
    </w:pPr>
    <w:rPr>
      <w:rFonts w:ascii="Times New Roman" w:hAnsi="Times New Roman"/>
      <w:sz w:val="24"/>
      <w:lang w:val="ru-RU"/>
    </w:rPr>
  </w:style>
  <w:style w:type="character" w:customStyle="1" w:styleId="a7">
    <w:name w:val="Верхний колонтитул Знак"/>
    <w:link w:val="a6"/>
    <w:uiPriority w:val="99"/>
    <w:rsid w:val="00C847C1"/>
    <w:rPr>
      <w:sz w:val="24"/>
      <w:szCs w:val="24"/>
      <w:lang w:val="ru-RU" w:eastAsia="ru-RU"/>
    </w:rPr>
  </w:style>
  <w:style w:type="paragraph" w:styleId="a8">
    <w:name w:val="footer"/>
    <w:basedOn w:val="a0"/>
    <w:link w:val="a9"/>
    <w:uiPriority w:val="99"/>
    <w:rsid w:val="00C847C1"/>
    <w:pPr>
      <w:tabs>
        <w:tab w:val="center" w:pos="4680"/>
        <w:tab w:val="right" w:pos="9360"/>
      </w:tabs>
    </w:pPr>
    <w:rPr>
      <w:rFonts w:ascii="Times New Roman" w:hAnsi="Times New Roman"/>
      <w:sz w:val="24"/>
      <w:lang w:val="ru-RU"/>
    </w:rPr>
  </w:style>
  <w:style w:type="character" w:customStyle="1" w:styleId="a9">
    <w:name w:val="Нижний колонтитул Знак"/>
    <w:link w:val="a8"/>
    <w:uiPriority w:val="99"/>
    <w:rsid w:val="00C847C1"/>
    <w:rPr>
      <w:sz w:val="24"/>
      <w:szCs w:val="24"/>
      <w:lang w:val="ru-RU" w:eastAsia="ru-RU"/>
    </w:rPr>
  </w:style>
  <w:style w:type="paragraph" w:styleId="aa">
    <w:name w:val="No Spacing"/>
    <w:uiPriority w:val="1"/>
    <w:qFormat/>
    <w:rsid w:val="00C847C1"/>
    <w:rPr>
      <w:rFonts w:ascii="Calibri" w:eastAsia="Calibri" w:hAnsi="Calibri"/>
      <w:sz w:val="22"/>
      <w:szCs w:val="22"/>
      <w:lang w:eastAsia="en-US"/>
    </w:rPr>
  </w:style>
  <w:style w:type="paragraph" w:styleId="ab">
    <w:name w:val="Body Text Indent"/>
    <w:basedOn w:val="a0"/>
    <w:link w:val="ac"/>
    <w:rsid w:val="009F131F"/>
    <w:pPr>
      <w:suppressAutoHyphens/>
      <w:ind w:left="-90"/>
      <w:jc w:val="both"/>
    </w:pPr>
    <w:rPr>
      <w:rFonts w:ascii="Times New Roman" w:hAnsi="Times New Roman"/>
      <w:sz w:val="24"/>
      <w:lang w:eastAsia="ar-SA"/>
    </w:rPr>
  </w:style>
  <w:style w:type="character" w:customStyle="1" w:styleId="ac">
    <w:name w:val="Основной текст с отступом Знак"/>
    <w:link w:val="ab"/>
    <w:rsid w:val="009F131F"/>
    <w:rPr>
      <w:sz w:val="24"/>
      <w:szCs w:val="24"/>
      <w:lang w:eastAsia="ar-SA"/>
    </w:rPr>
  </w:style>
  <w:style w:type="character" w:customStyle="1" w:styleId="longtext">
    <w:name w:val="long_text"/>
    <w:basedOn w:val="a1"/>
    <w:rsid w:val="003028CE"/>
  </w:style>
  <w:style w:type="paragraph" w:styleId="ad">
    <w:name w:val="Normal (Web)"/>
    <w:aliases w:val="Обычный (Web),Обычный (веб) Знак2,Обычный (веб) Знак1 Знак,Обычный (веб) Знак2 Знак1 Знак,Обычный (веб) Знак1 Знак Знак Знак,Обычный (веб) Знак Знак Знак Знак Знак,Обычный (Web) Знак Знак Знак Знак Знак,Обычный (Web) Знак1 Знак Знак Знак"/>
    <w:basedOn w:val="a0"/>
    <w:uiPriority w:val="99"/>
    <w:unhideWhenUsed/>
    <w:rsid w:val="00D97CEB"/>
    <w:pPr>
      <w:spacing w:before="100" w:beforeAutospacing="1" w:after="100" w:afterAutospacing="1"/>
    </w:pPr>
    <w:rPr>
      <w:lang w:eastAsia="uk-UA"/>
    </w:rPr>
  </w:style>
  <w:style w:type="paragraph" w:customStyle="1" w:styleId="Nadpis3">
    <w:name w:val="Nadpis3"/>
    <w:basedOn w:val="a0"/>
    <w:rsid w:val="00D47E0C"/>
    <w:pPr>
      <w:spacing w:before="300" w:after="100"/>
    </w:pPr>
    <w:rPr>
      <w:b/>
      <w:color w:val="2E4396"/>
      <w:sz w:val="26"/>
      <w:szCs w:val="26"/>
      <w:lang w:val="cs-CZ" w:eastAsia="cs-CZ"/>
    </w:rPr>
  </w:style>
  <w:style w:type="character" w:customStyle="1" w:styleId="ArialMSMincho">
    <w:name w:val="Стиль (латиница) Arial (Восточная Азия) MS Mincho полужирный"/>
    <w:rsid w:val="009C6831"/>
    <w:rPr>
      <w:rFonts w:ascii="Arial" w:eastAsia="MS Mincho" w:hAnsi="Arial"/>
      <w:b/>
      <w:bCs/>
      <w:noProof w:val="0"/>
      <w:sz w:val="24"/>
      <w:lang w:val="ru-RU"/>
    </w:rPr>
  </w:style>
  <w:style w:type="character" w:customStyle="1" w:styleId="11">
    <w:name w:val="Заголовок 1 Знак"/>
    <w:link w:val="10"/>
    <w:rsid w:val="00077603"/>
    <w:rPr>
      <w:rFonts w:ascii="Arial" w:hAnsi="Arial" w:cs="Arial"/>
      <w:b/>
      <w:bCs/>
      <w:color w:val="455E63"/>
      <w:kern w:val="32"/>
      <w:sz w:val="32"/>
      <w:szCs w:val="28"/>
      <w:lang w:eastAsia="en-US"/>
    </w:rPr>
  </w:style>
  <w:style w:type="character" w:customStyle="1" w:styleId="20">
    <w:name w:val="Заголовок 2 Знак"/>
    <w:link w:val="2"/>
    <w:rsid w:val="00077603"/>
    <w:rPr>
      <w:rFonts w:ascii="Arial" w:hAnsi="Arial"/>
      <w:b/>
      <w:bCs/>
      <w:color w:val="455E63"/>
      <w:sz w:val="28"/>
      <w:szCs w:val="28"/>
      <w:lang w:eastAsia="en-US"/>
    </w:rPr>
  </w:style>
  <w:style w:type="character" w:customStyle="1" w:styleId="31">
    <w:name w:val="Заголовок 3 Знак"/>
    <w:link w:val="30"/>
    <w:rsid w:val="004E46F6"/>
    <w:rPr>
      <w:rFonts w:ascii="Arial" w:hAnsi="Arial"/>
      <w:b/>
      <w:bCs/>
      <w:i/>
      <w:color w:val="455E63"/>
      <w:sz w:val="24"/>
      <w:szCs w:val="24"/>
      <w:lang w:eastAsia="ar-SA"/>
    </w:rPr>
  </w:style>
  <w:style w:type="paragraph" w:styleId="ae">
    <w:name w:val="Balloon Text"/>
    <w:basedOn w:val="a0"/>
    <w:link w:val="af"/>
    <w:rsid w:val="00BC751C"/>
    <w:rPr>
      <w:rFonts w:ascii="Tahoma" w:hAnsi="Tahoma"/>
      <w:sz w:val="16"/>
      <w:szCs w:val="16"/>
      <w:lang w:val="ru-RU"/>
    </w:rPr>
  </w:style>
  <w:style w:type="character" w:customStyle="1" w:styleId="af">
    <w:name w:val="Текст выноски Знак"/>
    <w:link w:val="ae"/>
    <w:rsid w:val="00BC751C"/>
    <w:rPr>
      <w:rFonts w:ascii="Tahoma" w:hAnsi="Tahoma" w:cs="Tahoma"/>
      <w:sz w:val="16"/>
      <w:szCs w:val="16"/>
      <w:lang w:val="ru-RU" w:eastAsia="ru-RU"/>
    </w:rPr>
  </w:style>
  <w:style w:type="numbering" w:customStyle="1" w:styleId="3">
    <w:name w:val="Стиль3"/>
    <w:rsid w:val="002F1C10"/>
    <w:pPr>
      <w:numPr>
        <w:numId w:val="1"/>
      </w:numPr>
    </w:pPr>
  </w:style>
  <w:style w:type="numbering" w:customStyle="1" w:styleId="4">
    <w:name w:val="Стиль4"/>
    <w:rsid w:val="002F1C10"/>
    <w:pPr>
      <w:numPr>
        <w:numId w:val="2"/>
      </w:numPr>
    </w:pPr>
  </w:style>
  <w:style w:type="paragraph" w:styleId="12">
    <w:name w:val="toc 1"/>
    <w:basedOn w:val="a0"/>
    <w:next w:val="a0"/>
    <w:autoRedefine/>
    <w:uiPriority w:val="39"/>
    <w:rsid w:val="0093046B"/>
    <w:pPr>
      <w:tabs>
        <w:tab w:val="left" w:pos="440"/>
        <w:tab w:val="right" w:leader="dot" w:pos="9638"/>
      </w:tabs>
      <w:spacing w:before="120"/>
      <w:ind w:left="426" w:hanging="426"/>
    </w:pPr>
    <w:rPr>
      <w:rFonts w:cs="Arial"/>
      <w:bCs/>
      <w:caps/>
      <w:sz w:val="20"/>
      <w:szCs w:val="20"/>
    </w:rPr>
  </w:style>
  <w:style w:type="character" w:styleId="af0">
    <w:name w:val="Hyperlink"/>
    <w:unhideWhenUsed/>
    <w:rsid w:val="001A69E8"/>
    <w:rPr>
      <w:i/>
      <w:noProof/>
      <w:color w:val="0000FF"/>
      <w:sz w:val="20"/>
      <w:szCs w:val="20"/>
      <w:u w:val="single"/>
    </w:rPr>
  </w:style>
  <w:style w:type="paragraph" w:customStyle="1" w:styleId="13">
    <w:name w:val="Список 1"/>
    <w:basedOn w:val="af1"/>
    <w:link w:val="14"/>
    <w:qFormat/>
    <w:rsid w:val="00A53056"/>
    <w:pPr>
      <w:widowControl w:val="0"/>
      <w:tabs>
        <w:tab w:val="left" w:pos="567"/>
      </w:tabs>
      <w:suppressAutoHyphens/>
      <w:snapToGrid w:val="0"/>
      <w:spacing w:before="120"/>
    </w:pPr>
    <w:rPr>
      <w:rFonts w:eastAsia="Calibri"/>
      <w:lang w:val="uk-UA"/>
    </w:rPr>
  </w:style>
  <w:style w:type="character" w:customStyle="1" w:styleId="14">
    <w:name w:val="Список 1 Знак"/>
    <w:link w:val="13"/>
    <w:rsid w:val="00A53056"/>
    <w:rPr>
      <w:rFonts w:ascii="Arial" w:eastAsia="Calibri" w:hAnsi="Arial"/>
      <w:sz w:val="22"/>
      <w:szCs w:val="22"/>
      <w:lang w:val="uk-UA" w:bidi="ar-SA"/>
    </w:rPr>
  </w:style>
  <w:style w:type="paragraph" w:styleId="af1">
    <w:name w:val="Body Text"/>
    <w:basedOn w:val="a0"/>
    <w:link w:val="af2"/>
    <w:qFormat/>
    <w:rsid w:val="00F267C7"/>
    <w:pPr>
      <w:spacing w:before="180"/>
      <w:jc w:val="both"/>
    </w:pPr>
    <w:rPr>
      <w:szCs w:val="22"/>
      <w:lang w:val="ru-RU"/>
    </w:rPr>
  </w:style>
  <w:style w:type="character" w:customStyle="1" w:styleId="af2">
    <w:name w:val="Основной текст Знак"/>
    <w:link w:val="af1"/>
    <w:rsid w:val="00F267C7"/>
    <w:rPr>
      <w:rFonts w:ascii="Arial" w:hAnsi="Arial" w:cs="Arial"/>
      <w:sz w:val="22"/>
      <w:szCs w:val="22"/>
      <w:lang w:val="ru-RU" w:eastAsia="ru-RU"/>
    </w:rPr>
  </w:style>
  <w:style w:type="paragraph" w:styleId="21">
    <w:name w:val="toc 2"/>
    <w:basedOn w:val="a0"/>
    <w:next w:val="a0"/>
    <w:autoRedefine/>
    <w:uiPriority w:val="39"/>
    <w:rsid w:val="006C6B0E"/>
    <w:pPr>
      <w:tabs>
        <w:tab w:val="left" w:pos="880"/>
        <w:tab w:val="right" w:leader="dot" w:pos="9498"/>
      </w:tabs>
      <w:spacing w:before="60"/>
      <w:ind w:left="851" w:hanging="567"/>
    </w:pPr>
    <w:rPr>
      <w:rFonts w:cs="Arial"/>
      <w:smallCaps/>
      <w:sz w:val="20"/>
      <w:szCs w:val="20"/>
    </w:rPr>
  </w:style>
  <w:style w:type="character" w:customStyle="1" w:styleId="DefaultParagraphFont1">
    <w:name w:val="Default Paragraph Font1"/>
    <w:rsid w:val="00F3724D"/>
  </w:style>
  <w:style w:type="paragraph" w:customStyle="1" w:styleId="15">
    <w:name w:val="Заголовок1"/>
    <w:basedOn w:val="a0"/>
    <w:next w:val="af1"/>
    <w:rsid w:val="00F3724D"/>
    <w:pPr>
      <w:keepNext/>
      <w:suppressAutoHyphens/>
      <w:spacing w:before="240" w:after="120" w:line="276" w:lineRule="auto"/>
    </w:pPr>
    <w:rPr>
      <w:rFonts w:eastAsia="MS Mincho" w:cs="Tahoma"/>
      <w:kern w:val="1"/>
      <w:sz w:val="28"/>
      <w:szCs w:val="28"/>
      <w:lang w:eastAsia="ar-SA"/>
    </w:rPr>
  </w:style>
  <w:style w:type="paragraph" w:styleId="af3">
    <w:name w:val="List"/>
    <w:basedOn w:val="af1"/>
    <w:uiPriority w:val="99"/>
    <w:rsid w:val="00F3724D"/>
    <w:pPr>
      <w:suppressAutoHyphens/>
      <w:spacing w:line="276" w:lineRule="auto"/>
    </w:pPr>
    <w:rPr>
      <w:rFonts w:ascii="Calibri" w:eastAsia="Arial Unicode MS" w:hAnsi="Calibri" w:cs="Tahoma"/>
      <w:kern w:val="1"/>
      <w:lang w:val="uk-UA" w:eastAsia="ar-SA"/>
    </w:rPr>
  </w:style>
  <w:style w:type="paragraph" w:customStyle="1" w:styleId="16">
    <w:name w:val="Название1"/>
    <w:basedOn w:val="a0"/>
    <w:rsid w:val="00F3724D"/>
    <w:pPr>
      <w:suppressLineNumbers/>
      <w:suppressAutoHyphens/>
      <w:spacing w:before="120" w:after="120" w:line="276" w:lineRule="auto"/>
    </w:pPr>
    <w:rPr>
      <w:rFonts w:ascii="Calibri" w:eastAsia="Arial Unicode MS" w:hAnsi="Calibri" w:cs="Tahoma"/>
      <w:i/>
      <w:iCs/>
      <w:kern w:val="1"/>
      <w:sz w:val="24"/>
      <w:lang w:eastAsia="ar-SA"/>
    </w:rPr>
  </w:style>
  <w:style w:type="paragraph" w:customStyle="1" w:styleId="17">
    <w:name w:val="Указатель1"/>
    <w:basedOn w:val="a0"/>
    <w:rsid w:val="00F3724D"/>
    <w:pPr>
      <w:suppressLineNumbers/>
      <w:suppressAutoHyphens/>
      <w:spacing w:after="200" w:line="276" w:lineRule="auto"/>
    </w:pPr>
    <w:rPr>
      <w:rFonts w:ascii="Calibri" w:eastAsia="Arial Unicode MS" w:hAnsi="Calibri" w:cs="Tahoma"/>
      <w:kern w:val="1"/>
      <w:szCs w:val="22"/>
      <w:lang w:eastAsia="ar-SA"/>
    </w:rPr>
  </w:style>
  <w:style w:type="paragraph" w:customStyle="1" w:styleId="72">
    <w:name w:val="Знак Знак7 Знак"/>
    <w:basedOn w:val="a0"/>
    <w:rsid w:val="00F3724D"/>
    <w:rPr>
      <w:rFonts w:ascii="Verdana" w:hAnsi="Verdana"/>
      <w:sz w:val="20"/>
      <w:szCs w:val="20"/>
      <w:lang w:val="en-US" w:eastAsia="en-US"/>
    </w:rPr>
  </w:style>
  <w:style w:type="paragraph" w:styleId="af4">
    <w:name w:val="List Paragraph"/>
    <w:aliases w:val="Resume Title,List Paragraph - bullets"/>
    <w:basedOn w:val="a0"/>
    <w:link w:val="af5"/>
    <w:uiPriority w:val="34"/>
    <w:qFormat/>
    <w:rsid w:val="00F3724D"/>
    <w:pPr>
      <w:suppressAutoHyphens/>
      <w:spacing w:after="200" w:line="276" w:lineRule="auto"/>
    </w:pPr>
    <w:rPr>
      <w:rFonts w:ascii="Calibri" w:eastAsia="Lucida Sans Unicode" w:hAnsi="Calibri" w:cs="font231"/>
      <w:kern w:val="1"/>
      <w:szCs w:val="22"/>
      <w:lang w:eastAsia="ar-SA"/>
    </w:rPr>
  </w:style>
  <w:style w:type="paragraph" w:customStyle="1" w:styleId="32">
    <w:name w:val="Знак Знак3 Знак"/>
    <w:basedOn w:val="a0"/>
    <w:rsid w:val="00F3724D"/>
    <w:pPr>
      <w:spacing w:after="160" w:line="240" w:lineRule="exact"/>
    </w:pPr>
    <w:rPr>
      <w:rFonts w:ascii="Verdana" w:hAnsi="Verdana"/>
      <w:sz w:val="20"/>
      <w:szCs w:val="20"/>
      <w:lang w:val="en-US" w:eastAsia="en-US"/>
    </w:rPr>
  </w:style>
  <w:style w:type="paragraph" w:customStyle="1" w:styleId="18">
    <w:name w:val="Стиль1"/>
    <w:basedOn w:val="a0"/>
    <w:next w:val="2"/>
    <w:rsid w:val="00F3724D"/>
    <w:pPr>
      <w:suppressAutoHyphens/>
      <w:spacing w:after="200" w:line="276" w:lineRule="auto"/>
    </w:pPr>
    <w:rPr>
      <w:rFonts w:ascii="Calibri" w:eastAsia="Arial Unicode MS" w:hAnsi="Calibri" w:cs="Arial"/>
      <w:b/>
      <w:kern w:val="1"/>
      <w:sz w:val="28"/>
      <w:szCs w:val="28"/>
      <w:lang w:eastAsia="ar-SA"/>
    </w:rPr>
  </w:style>
  <w:style w:type="paragraph" w:customStyle="1" w:styleId="22">
    <w:name w:val="Стиль2"/>
    <w:basedOn w:val="2"/>
    <w:rsid w:val="00F3724D"/>
    <w:pPr>
      <w:keepLines w:val="0"/>
      <w:tabs>
        <w:tab w:val="clear" w:pos="567"/>
      </w:tabs>
      <w:suppressAutoHyphens/>
      <w:spacing w:line="276" w:lineRule="auto"/>
      <w:ind w:left="0" w:firstLine="0"/>
    </w:pPr>
    <w:rPr>
      <w:rFonts w:eastAsia="Arial Unicode MS" w:cs="Arial"/>
      <w:b w:val="0"/>
      <w:i/>
      <w:iCs/>
      <w:kern w:val="1"/>
      <w:lang w:eastAsia="ar-SA"/>
    </w:rPr>
  </w:style>
  <w:style w:type="paragraph" w:styleId="33">
    <w:name w:val="toc 3"/>
    <w:basedOn w:val="a0"/>
    <w:next w:val="a0"/>
    <w:autoRedefine/>
    <w:uiPriority w:val="39"/>
    <w:rsid w:val="000541C3"/>
    <w:pPr>
      <w:tabs>
        <w:tab w:val="left" w:pos="1320"/>
        <w:tab w:val="right" w:leader="dot" w:pos="9628"/>
      </w:tabs>
      <w:ind w:left="1276" w:hanging="836"/>
    </w:pPr>
    <w:rPr>
      <w:rFonts w:ascii="Calibri" w:hAnsi="Calibri"/>
      <w:i/>
      <w:iCs/>
      <w:sz w:val="20"/>
      <w:szCs w:val="20"/>
    </w:rPr>
  </w:style>
  <w:style w:type="paragraph" w:customStyle="1" w:styleId="91">
    <w:name w:val="Знак Знак9 Знак Знак Знак Знак Знак Знак"/>
    <w:basedOn w:val="a0"/>
    <w:rsid w:val="00647D49"/>
    <w:rPr>
      <w:rFonts w:ascii="Verdana" w:hAnsi="Verdana" w:cs="Verdana"/>
      <w:sz w:val="20"/>
      <w:szCs w:val="20"/>
      <w:lang w:val="en-US" w:eastAsia="en-US"/>
    </w:rPr>
  </w:style>
  <w:style w:type="paragraph" w:styleId="af6">
    <w:name w:val="Subtitle"/>
    <w:aliases w:val="Название таблицs"/>
    <w:basedOn w:val="a0"/>
    <w:link w:val="af7"/>
    <w:qFormat/>
    <w:rsid w:val="00647D49"/>
    <w:pPr>
      <w:ind w:firstLine="540"/>
      <w:jc w:val="both"/>
    </w:pPr>
    <w:rPr>
      <w:rFonts w:ascii="Times New Roman" w:hAnsi="Times New Roman"/>
      <w:sz w:val="28"/>
      <w:szCs w:val="20"/>
    </w:rPr>
  </w:style>
  <w:style w:type="character" w:customStyle="1" w:styleId="af7">
    <w:name w:val="Подзаголовок Знак"/>
    <w:aliases w:val="Название таблицs Знак"/>
    <w:link w:val="af6"/>
    <w:rsid w:val="00647D49"/>
    <w:rPr>
      <w:sz w:val="28"/>
      <w:lang w:val="uk-UA" w:eastAsia="ru-RU" w:bidi="ar-SA"/>
    </w:rPr>
  </w:style>
  <w:style w:type="paragraph" w:customStyle="1" w:styleId="ColorfulList-Accent12">
    <w:name w:val="Colorful List - Accent 12"/>
    <w:basedOn w:val="a0"/>
    <w:qFormat/>
    <w:rsid w:val="00647D49"/>
    <w:pPr>
      <w:spacing w:before="120" w:after="200" w:line="276" w:lineRule="auto"/>
      <w:ind w:left="720"/>
      <w:contextualSpacing/>
      <w:jc w:val="both"/>
    </w:pPr>
    <w:rPr>
      <w:rFonts w:ascii="Calibri" w:eastAsia="Calibri" w:hAnsi="Calibri"/>
      <w:szCs w:val="22"/>
      <w:lang w:eastAsia="en-US"/>
    </w:rPr>
  </w:style>
  <w:style w:type="paragraph" w:customStyle="1" w:styleId="92">
    <w:name w:val="Знак Знак9 Знак Знак Знак Знак Знак Знак Знак Знак Знак Знак"/>
    <w:basedOn w:val="a0"/>
    <w:rsid w:val="00EC3A71"/>
    <w:rPr>
      <w:rFonts w:ascii="Verdana" w:hAnsi="Verdana" w:cs="Verdana"/>
      <w:sz w:val="20"/>
      <w:szCs w:val="20"/>
      <w:lang w:val="en-US" w:eastAsia="en-US"/>
    </w:rPr>
  </w:style>
  <w:style w:type="paragraph" w:styleId="af8">
    <w:name w:val="endnote text"/>
    <w:basedOn w:val="a0"/>
    <w:link w:val="af9"/>
    <w:uiPriority w:val="99"/>
    <w:rsid w:val="00D42DB3"/>
    <w:rPr>
      <w:sz w:val="20"/>
      <w:szCs w:val="20"/>
    </w:rPr>
  </w:style>
  <w:style w:type="paragraph" w:customStyle="1" w:styleId="7">
    <w:name w:val="Знак Знак7 Знак Знак"/>
    <w:basedOn w:val="a0"/>
    <w:rsid w:val="00921768"/>
    <w:pPr>
      <w:numPr>
        <w:numId w:val="3"/>
      </w:numPr>
      <w:spacing w:before="120"/>
      <w:ind w:left="0" w:firstLine="0"/>
      <w:jc w:val="both"/>
    </w:pPr>
    <w:rPr>
      <w:rFonts w:ascii="Verdana" w:hAnsi="Verdana"/>
      <w:sz w:val="20"/>
      <w:szCs w:val="20"/>
      <w:lang w:val="en-US" w:eastAsia="en-US"/>
    </w:rPr>
  </w:style>
  <w:style w:type="paragraph" w:customStyle="1" w:styleId="81">
    <w:name w:val="Знак Знак8 Знак Знак Знак Знак Знак Знак Знак Знак Знак Знак Знак Знак"/>
    <w:basedOn w:val="a0"/>
    <w:rsid w:val="00A95709"/>
    <w:rPr>
      <w:rFonts w:ascii="Verdana" w:hAnsi="Verdana" w:cs="Verdana"/>
      <w:sz w:val="20"/>
      <w:szCs w:val="20"/>
      <w:lang w:val="en-US" w:eastAsia="en-US"/>
    </w:rPr>
  </w:style>
  <w:style w:type="paragraph" w:customStyle="1" w:styleId="19">
    <w:name w:val="Абзац списка1"/>
    <w:basedOn w:val="a0"/>
    <w:qFormat/>
    <w:rsid w:val="00A7559E"/>
    <w:pPr>
      <w:spacing w:after="200" w:line="276" w:lineRule="auto"/>
      <w:ind w:left="720"/>
      <w:contextualSpacing/>
    </w:pPr>
    <w:rPr>
      <w:rFonts w:ascii="Calibri" w:eastAsia="Calibri" w:hAnsi="Calibri"/>
      <w:szCs w:val="22"/>
      <w:lang w:eastAsia="en-US"/>
    </w:rPr>
  </w:style>
  <w:style w:type="character" w:customStyle="1" w:styleId="hps">
    <w:name w:val="hps"/>
    <w:rsid w:val="00A7559E"/>
  </w:style>
  <w:style w:type="character" w:customStyle="1" w:styleId="apple-converted-space">
    <w:name w:val="apple-converted-space"/>
    <w:rsid w:val="00A7559E"/>
  </w:style>
  <w:style w:type="paragraph" w:customStyle="1" w:styleId="811">
    <w:name w:val="Знак Знак8 Знак Знак Знак Знак1 Знак Знак1"/>
    <w:basedOn w:val="a0"/>
    <w:rsid w:val="003C51C2"/>
    <w:rPr>
      <w:rFonts w:ascii="Verdana" w:hAnsi="Verdana" w:cs="Verdana"/>
      <w:sz w:val="20"/>
      <w:szCs w:val="20"/>
      <w:lang w:val="en-US" w:eastAsia="en-US"/>
    </w:rPr>
  </w:style>
  <w:style w:type="paragraph" w:customStyle="1" w:styleId="CharCharCharChar">
    <w:name w:val="Char Char Знак Char Char"/>
    <w:basedOn w:val="a0"/>
    <w:rsid w:val="00502674"/>
    <w:rPr>
      <w:rFonts w:ascii="Verdana" w:hAnsi="Verdana" w:cs="Verdana"/>
      <w:sz w:val="20"/>
      <w:szCs w:val="20"/>
      <w:lang w:val="en-US" w:eastAsia="en-US"/>
    </w:rPr>
  </w:style>
  <w:style w:type="paragraph" w:customStyle="1" w:styleId="82">
    <w:name w:val="Знак Знак8 Знак Знак Знак Знак Знак Знак Знак Знак Знак Знак Знак Знак Знак Знак"/>
    <w:basedOn w:val="a0"/>
    <w:rsid w:val="008F6BD6"/>
    <w:rPr>
      <w:rFonts w:ascii="Verdana" w:hAnsi="Verdana" w:cs="Verdana"/>
      <w:sz w:val="20"/>
      <w:szCs w:val="20"/>
      <w:lang w:val="en-US" w:eastAsia="en-US"/>
    </w:rPr>
  </w:style>
  <w:style w:type="paragraph" w:customStyle="1" w:styleId="StyleTahoma10ptJustified">
    <w:name w:val="Style Tahoma 10 pt Justified"/>
    <w:basedOn w:val="a0"/>
    <w:rsid w:val="00D27EFE"/>
    <w:pPr>
      <w:suppressAutoHyphens/>
      <w:spacing w:before="120" w:after="120"/>
    </w:pPr>
    <w:rPr>
      <w:rFonts w:ascii="Tahoma" w:hAnsi="Tahoma"/>
      <w:kern w:val="1"/>
      <w:sz w:val="20"/>
      <w:szCs w:val="20"/>
      <w:lang w:val="en-US" w:eastAsia="ar-SA"/>
    </w:rPr>
  </w:style>
  <w:style w:type="paragraph" w:customStyle="1" w:styleId="83">
    <w:name w:val="Знак Знак8 Знак Знак Знак Знак"/>
    <w:basedOn w:val="a0"/>
    <w:rsid w:val="002F79DE"/>
    <w:rPr>
      <w:rFonts w:ascii="Verdana" w:hAnsi="Verdana" w:cs="Verdana"/>
      <w:sz w:val="20"/>
      <w:szCs w:val="20"/>
      <w:lang w:val="en-US" w:eastAsia="en-US"/>
    </w:rPr>
  </w:style>
  <w:style w:type="paragraph" w:customStyle="1" w:styleId="afa">
    <w:name w:val="текст"/>
    <w:basedOn w:val="a0"/>
    <w:rsid w:val="00476848"/>
    <w:pPr>
      <w:overflowPunct w:val="0"/>
      <w:autoSpaceDE w:val="0"/>
      <w:autoSpaceDN w:val="0"/>
      <w:adjustRightInd w:val="0"/>
      <w:ind w:firstLine="288"/>
      <w:jc w:val="both"/>
      <w:textAlignment w:val="baseline"/>
    </w:pPr>
    <w:rPr>
      <w:rFonts w:ascii="Times New Roman CYR" w:hAnsi="Times New Roman CYR"/>
      <w:sz w:val="28"/>
      <w:szCs w:val="20"/>
    </w:rPr>
  </w:style>
  <w:style w:type="paragraph" w:customStyle="1" w:styleId="61">
    <w:name w:val="Знак Знак6 Знак Знак"/>
    <w:basedOn w:val="a0"/>
    <w:rsid w:val="009878DF"/>
    <w:rPr>
      <w:rFonts w:ascii="Verdana" w:hAnsi="Verdana"/>
      <w:sz w:val="20"/>
      <w:szCs w:val="20"/>
      <w:lang w:val="en-US" w:eastAsia="en-US"/>
    </w:rPr>
  </w:style>
  <w:style w:type="character" w:customStyle="1" w:styleId="ga1on">
    <w:name w:val="_ga1_on_"/>
    <w:basedOn w:val="a1"/>
    <w:rsid w:val="00B52611"/>
  </w:style>
  <w:style w:type="paragraph" w:customStyle="1" w:styleId="810">
    <w:name w:val="Знак Знак8 Знак Знак Знак Знак1 Знак Знак"/>
    <w:basedOn w:val="a0"/>
    <w:rsid w:val="00AE6114"/>
    <w:rPr>
      <w:rFonts w:ascii="Verdana" w:hAnsi="Verdana" w:cs="Verdana"/>
      <w:sz w:val="20"/>
      <w:szCs w:val="20"/>
      <w:lang w:val="en-US" w:eastAsia="en-US"/>
    </w:rPr>
  </w:style>
  <w:style w:type="character" w:customStyle="1" w:styleId="222">
    <w:name w:val="Основной текст (22)2"/>
    <w:rsid w:val="00872C1F"/>
    <w:rPr>
      <w:rFonts w:ascii="Times New Roman" w:hAnsi="Times New Roman" w:cs="Times New Roman"/>
      <w:i/>
      <w:iCs/>
      <w:spacing w:val="0"/>
      <w:sz w:val="27"/>
      <w:szCs w:val="27"/>
      <w:lang w:bidi="ar-SA"/>
    </w:rPr>
  </w:style>
  <w:style w:type="paragraph" w:customStyle="1" w:styleId="221">
    <w:name w:val="Основной текст (22)1"/>
    <w:basedOn w:val="a0"/>
    <w:rsid w:val="00872C1F"/>
    <w:pPr>
      <w:shd w:val="clear" w:color="auto" w:fill="FFFFFF"/>
      <w:spacing w:line="240" w:lineRule="atLeast"/>
    </w:pPr>
    <w:rPr>
      <w:rFonts w:ascii="Times New Roman" w:eastAsia="Arial Unicode MS" w:hAnsi="Times New Roman"/>
      <w:i/>
      <w:iCs/>
      <w:sz w:val="27"/>
      <w:szCs w:val="27"/>
    </w:rPr>
  </w:style>
  <w:style w:type="character" w:customStyle="1" w:styleId="apple-style-span">
    <w:name w:val="apple-style-span"/>
    <w:basedOn w:val="a1"/>
    <w:rsid w:val="00460AE8"/>
  </w:style>
  <w:style w:type="paragraph" w:customStyle="1" w:styleId="84">
    <w:name w:val="Знак Знак8"/>
    <w:basedOn w:val="a0"/>
    <w:rsid w:val="00524DD4"/>
    <w:rPr>
      <w:rFonts w:ascii="Verdana" w:hAnsi="Verdana" w:cs="Verdana"/>
      <w:sz w:val="20"/>
      <w:szCs w:val="20"/>
      <w:lang w:val="en-US" w:eastAsia="en-US"/>
    </w:rPr>
  </w:style>
  <w:style w:type="paragraph" w:customStyle="1" w:styleId="afb">
    <w:name w:val="Внутренний адрес"/>
    <w:basedOn w:val="a0"/>
    <w:rsid w:val="007E2A42"/>
    <w:pPr>
      <w:spacing w:line="240" w:lineRule="atLeast"/>
      <w:jc w:val="both"/>
    </w:pPr>
    <w:rPr>
      <w:rFonts w:ascii="Garamond" w:hAnsi="Garamond" w:cs="Garamond"/>
      <w:kern w:val="18"/>
      <w:sz w:val="20"/>
      <w:szCs w:val="20"/>
      <w:lang w:eastAsia="en-US"/>
    </w:rPr>
  </w:style>
  <w:style w:type="paragraph" w:customStyle="1" w:styleId="afc">
    <w:name w:val="Знак Знак Знак"/>
    <w:basedOn w:val="a0"/>
    <w:rsid w:val="007E2A42"/>
    <w:rPr>
      <w:rFonts w:ascii="Verdana" w:hAnsi="Verdana" w:cs="Verdana"/>
      <w:sz w:val="20"/>
      <w:szCs w:val="20"/>
      <w:lang w:val="en-US" w:eastAsia="en-US"/>
    </w:rPr>
  </w:style>
  <w:style w:type="paragraph" w:customStyle="1" w:styleId="812">
    <w:name w:val="Знак Знак8 Знак Знак Знак Знак1"/>
    <w:basedOn w:val="a0"/>
    <w:rsid w:val="007E2A42"/>
    <w:rPr>
      <w:rFonts w:ascii="Verdana" w:hAnsi="Verdana" w:cs="Verdana"/>
      <w:sz w:val="20"/>
      <w:szCs w:val="20"/>
      <w:lang w:val="en-US" w:eastAsia="en-US"/>
    </w:rPr>
  </w:style>
  <w:style w:type="paragraph" w:customStyle="1" w:styleId="8110">
    <w:name w:val="Знак Знак8 Знак Знак Знак Знак1 Знак Знак1 Знак Знак Знак Знак Знак Знак Знак Знак Знак Знак Знак Знак Знак Знак Знак Знак Знак Знак"/>
    <w:basedOn w:val="a0"/>
    <w:rsid w:val="00DE2054"/>
    <w:rPr>
      <w:rFonts w:ascii="Verdana" w:hAnsi="Verdana" w:cs="Verdana"/>
      <w:sz w:val="20"/>
      <w:szCs w:val="20"/>
      <w:lang w:val="en-US" w:eastAsia="en-US"/>
    </w:rPr>
  </w:style>
  <w:style w:type="character" w:styleId="afd">
    <w:name w:val="Strong"/>
    <w:uiPriority w:val="22"/>
    <w:qFormat/>
    <w:rsid w:val="00F83D1C"/>
    <w:rPr>
      <w:b/>
      <w:bCs/>
    </w:rPr>
  </w:style>
  <w:style w:type="character" w:styleId="afe">
    <w:name w:val="Emphasis"/>
    <w:uiPriority w:val="20"/>
    <w:qFormat/>
    <w:rsid w:val="00682D18"/>
    <w:rPr>
      <w:i/>
      <w:iCs/>
    </w:rPr>
  </w:style>
  <w:style w:type="character" w:customStyle="1" w:styleId="720">
    <w:name w:val="Основной текст (7)2"/>
    <w:rsid w:val="009D1ED3"/>
    <w:rPr>
      <w:rFonts w:ascii="Times New Roman" w:hAnsi="Times New Roman" w:cs="Times New Roman"/>
      <w:b/>
      <w:bCs/>
      <w:spacing w:val="0"/>
      <w:sz w:val="18"/>
      <w:szCs w:val="18"/>
      <w:u w:val="single"/>
    </w:rPr>
  </w:style>
  <w:style w:type="character" w:customStyle="1" w:styleId="73">
    <w:name w:val="Основной текст (7)_"/>
    <w:link w:val="710"/>
    <w:rsid w:val="009D1ED3"/>
    <w:rPr>
      <w:b/>
      <w:bCs/>
      <w:sz w:val="18"/>
      <w:szCs w:val="18"/>
      <w:lang w:bidi="ar-SA"/>
    </w:rPr>
  </w:style>
  <w:style w:type="paragraph" w:customStyle="1" w:styleId="710">
    <w:name w:val="Основной текст (7)1"/>
    <w:basedOn w:val="a0"/>
    <w:link w:val="73"/>
    <w:rsid w:val="009D1ED3"/>
    <w:pPr>
      <w:shd w:val="clear" w:color="auto" w:fill="FFFFFF"/>
      <w:spacing w:after="60" w:line="240" w:lineRule="atLeast"/>
      <w:ind w:hanging="440"/>
      <w:jc w:val="both"/>
    </w:pPr>
    <w:rPr>
      <w:rFonts w:ascii="Times New Roman" w:hAnsi="Times New Roman"/>
      <w:b/>
      <w:bCs/>
      <w:sz w:val="18"/>
      <w:szCs w:val="18"/>
    </w:rPr>
  </w:style>
  <w:style w:type="paragraph" w:customStyle="1" w:styleId="8111">
    <w:name w:val="Знак Знак8 Знак Знак Знак Знак1 Знак Знак1 Знак Знак Знак Знак"/>
    <w:basedOn w:val="a0"/>
    <w:rsid w:val="006E3342"/>
    <w:rPr>
      <w:rFonts w:ascii="Verdana" w:hAnsi="Verdana" w:cs="Verdana"/>
      <w:sz w:val="20"/>
      <w:szCs w:val="20"/>
      <w:lang w:val="en-US" w:eastAsia="en-US"/>
    </w:rPr>
  </w:style>
  <w:style w:type="paragraph" w:customStyle="1" w:styleId="8112">
    <w:name w:val="Знак Знак8 Знак Знак Знак Знак1 Знак Знак1 Знак Знак Знак Знак Знак Знак Знак Знак Знак Знак Знак Знак Знак Знак"/>
    <w:basedOn w:val="a0"/>
    <w:rsid w:val="00F410F4"/>
    <w:rPr>
      <w:rFonts w:ascii="Verdana" w:hAnsi="Verdana" w:cs="Verdana"/>
      <w:sz w:val="20"/>
      <w:szCs w:val="20"/>
      <w:lang w:val="en-US" w:eastAsia="en-US"/>
    </w:rPr>
  </w:style>
  <w:style w:type="paragraph" w:customStyle="1" w:styleId="74">
    <w:name w:val="Знак Знак7 Знак Знак Знак Знак Знак Знак Знак Знак Знак Знак"/>
    <w:basedOn w:val="a0"/>
    <w:rsid w:val="00861965"/>
    <w:rPr>
      <w:rFonts w:ascii="Verdana" w:hAnsi="Verdana"/>
      <w:sz w:val="20"/>
      <w:szCs w:val="20"/>
      <w:lang w:val="en-US" w:eastAsia="en-US"/>
    </w:rPr>
  </w:style>
  <w:style w:type="paragraph" w:customStyle="1" w:styleId="8113">
    <w:name w:val="Знак Знак8 Знак Знак Знак Знак1 Знак Знак1 Знак Знак Знак Знак Знак Знак Знак Знак"/>
    <w:basedOn w:val="a0"/>
    <w:rsid w:val="000E1C39"/>
    <w:rPr>
      <w:rFonts w:ascii="Verdana" w:hAnsi="Verdana" w:cs="Verdana"/>
      <w:sz w:val="20"/>
      <w:szCs w:val="20"/>
      <w:lang w:val="en-US" w:eastAsia="en-US"/>
    </w:rPr>
  </w:style>
  <w:style w:type="paragraph" w:customStyle="1" w:styleId="1a">
    <w:name w:val="1"/>
    <w:basedOn w:val="a0"/>
    <w:rsid w:val="005669AE"/>
    <w:rPr>
      <w:rFonts w:ascii="Verdana" w:hAnsi="Verdana" w:cs="Verdana"/>
      <w:sz w:val="20"/>
      <w:szCs w:val="20"/>
      <w:lang w:val="en-US" w:eastAsia="en-US"/>
    </w:rPr>
  </w:style>
  <w:style w:type="paragraph" w:customStyle="1" w:styleId="aff">
    <w:name w:val="Цитаты"/>
    <w:basedOn w:val="a0"/>
    <w:rsid w:val="006E244C"/>
    <w:pPr>
      <w:spacing w:before="100" w:after="100"/>
      <w:ind w:left="360" w:right="360"/>
    </w:pPr>
    <w:rPr>
      <w:rFonts w:ascii="Times New Roman" w:hAnsi="Times New Roman"/>
      <w:snapToGrid w:val="0"/>
      <w:sz w:val="24"/>
      <w:szCs w:val="20"/>
      <w:lang w:val="ru-RU"/>
    </w:rPr>
  </w:style>
  <w:style w:type="paragraph" w:customStyle="1" w:styleId="aff0">
    <w:name w:val="Знак Знак Знак Знак Знак Знак Знак Знак Знак Знак Знак Знак Знак Знак Знак Знак Знак Знак Знак Знак Знак Знак Знак Знак Знак Знак Знак Знак"/>
    <w:basedOn w:val="a0"/>
    <w:rsid w:val="00195DAD"/>
    <w:rPr>
      <w:rFonts w:ascii="Verdana" w:hAnsi="Verdana" w:cs="Verdana"/>
      <w:sz w:val="28"/>
      <w:szCs w:val="28"/>
      <w:lang w:val="en-US" w:eastAsia="en-US"/>
    </w:rPr>
  </w:style>
  <w:style w:type="paragraph" w:customStyle="1" w:styleId="CharChar1">
    <w:name w:val="Char Char1"/>
    <w:basedOn w:val="a0"/>
    <w:rsid w:val="00764B34"/>
    <w:rPr>
      <w:rFonts w:ascii="Verdana" w:hAnsi="Verdana" w:cs="Verdana"/>
      <w:sz w:val="20"/>
      <w:szCs w:val="20"/>
      <w:lang w:val="en-US" w:eastAsia="en-US"/>
    </w:rPr>
  </w:style>
  <w:style w:type="paragraph" w:customStyle="1" w:styleId="1">
    <w:name w:val="Маркерований список 1"/>
    <w:basedOn w:val="af1"/>
    <w:link w:val="1b"/>
    <w:qFormat/>
    <w:rsid w:val="00182F78"/>
    <w:pPr>
      <w:widowControl w:val="0"/>
      <w:numPr>
        <w:numId w:val="4"/>
      </w:numPr>
      <w:tabs>
        <w:tab w:val="clear" w:pos="720"/>
        <w:tab w:val="left" w:pos="567"/>
      </w:tabs>
      <w:suppressAutoHyphens/>
      <w:snapToGrid w:val="0"/>
      <w:spacing w:before="120"/>
      <w:ind w:left="567" w:hanging="567"/>
    </w:pPr>
    <w:rPr>
      <w:rFonts w:eastAsia="Calibri" w:cs="Arial"/>
      <w:lang w:val="uk-UA" w:eastAsia="en-US"/>
    </w:rPr>
  </w:style>
  <w:style w:type="character" w:customStyle="1" w:styleId="1b">
    <w:name w:val="Маркерований список 1 Знак"/>
    <w:link w:val="1"/>
    <w:rsid w:val="00182F78"/>
    <w:rPr>
      <w:rFonts w:ascii="Arial" w:eastAsia="Calibri" w:hAnsi="Arial" w:cs="Arial"/>
      <w:sz w:val="22"/>
      <w:szCs w:val="22"/>
      <w:lang w:eastAsia="en-US"/>
    </w:rPr>
  </w:style>
  <w:style w:type="paragraph" w:customStyle="1" w:styleId="1c">
    <w:name w:val="Подзаголовок 1"/>
    <w:basedOn w:val="af1"/>
    <w:link w:val="1d"/>
    <w:qFormat/>
    <w:rsid w:val="001A7563"/>
    <w:pPr>
      <w:spacing w:before="120" w:after="120"/>
    </w:pPr>
    <w:rPr>
      <w:rFonts w:cs="Arial"/>
      <w:b/>
      <w:i/>
      <w:lang w:val="uk-UA"/>
    </w:rPr>
  </w:style>
  <w:style w:type="character" w:customStyle="1" w:styleId="1d">
    <w:name w:val="Подзаголовок 1 Знак"/>
    <w:link w:val="1c"/>
    <w:rsid w:val="001A7563"/>
    <w:rPr>
      <w:rFonts w:ascii="Arial" w:hAnsi="Arial" w:cs="Arial"/>
      <w:b/>
      <w:i/>
      <w:sz w:val="22"/>
      <w:szCs w:val="22"/>
      <w:lang w:val="uk-UA" w:eastAsia="ru-RU"/>
    </w:rPr>
  </w:style>
  <w:style w:type="paragraph" w:customStyle="1" w:styleId="1e">
    <w:name w:val="Нумерований список1"/>
    <w:basedOn w:val="a0"/>
    <w:link w:val="aff1"/>
    <w:qFormat/>
    <w:rsid w:val="00920332"/>
  </w:style>
  <w:style w:type="paragraph" w:customStyle="1" w:styleId="FigureUkr">
    <w:name w:val="Figure Ukr"/>
    <w:basedOn w:val="a0"/>
    <w:next w:val="a0"/>
    <w:qFormat/>
    <w:rsid w:val="00095DB2"/>
    <w:pPr>
      <w:keepLines/>
      <w:tabs>
        <w:tab w:val="left" w:pos="450"/>
      </w:tabs>
      <w:spacing w:before="120"/>
      <w:jc w:val="center"/>
    </w:pPr>
    <w:rPr>
      <w:b/>
      <w:bCs/>
      <w:sz w:val="20"/>
      <w:szCs w:val="20"/>
      <w:lang w:val="en-US" w:eastAsia="en-US"/>
    </w:rPr>
  </w:style>
  <w:style w:type="table" w:customStyle="1" w:styleId="1f">
    <w:name w:val="СП1"/>
    <w:basedOn w:val="a2"/>
    <w:uiPriority w:val="99"/>
    <w:qFormat/>
    <w:rsid w:val="00C6102C"/>
    <w:pPr>
      <w:spacing w:before="40" w:after="40"/>
    </w:pPr>
    <w:rPr>
      <w:rFonts w:ascii="Arial" w:hAnsi="Arial"/>
    </w:rPr>
    <w:tblPr>
      <w:tblBorders>
        <w:top w:val="single" w:sz="4" w:space="0" w:color="678C94"/>
        <w:left w:val="single" w:sz="4" w:space="0" w:color="678C94"/>
        <w:bottom w:val="single" w:sz="4" w:space="0" w:color="678C94"/>
        <w:right w:val="single" w:sz="4" w:space="0" w:color="678C94"/>
        <w:insideH w:val="single" w:sz="4" w:space="0" w:color="678C94"/>
        <w:insideV w:val="single" w:sz="4" w:space="0" w:color="678C94"/>
      </w:tblBorders>
    </w:tblPr>
    <w:tblStylePr w:type="firstRow">
      <w:pPr>
        <w:jc w:val="center"/>
      </w:pPr>
      <w:rPr>
        <w:rFonts w:ascii="Arial" w:hAnsi="Arial"/>
        <w:b/>
        <w:i w:val="0"/>
        <w:color w:val="auto"/>
        <w:sz w:val="20"/>
      </w:rPr>
      <w:tblPr/>
      <w:trPr>
        <w:tblHeader/>
      </w:trPr>
      <w:tcPr>
        <w:tcBorders>
          <w:top w:val="single" w:sz="4" w:space="0" w:color="678C94"/>
          <w:left w:val="single" w:sz="4" w:space="0" w:color="678C94"/>
          <w:bottom w:val="single" w:sz="4" w:space="0" w:color="678C94"/>
          <w:right w:val="single" w:sz="4" w:space="0" w:color="678C94"/>
          <w:insideH w:val="single" w:sz="4" w:space="0" w:color="678C94"/>
          <w:insideV w:val="single" w:sz="4" w:space="0" w:color="678C94"/>
          <w:tl2br w:val="nil"/>
          <w:tr2bl w:val="nil"/>
        </w:tcBorders>
        <w:shd w:val="clear" w:color="auto" w:fill="9EB7BC"/>
        <w:vAlign w:val="center"/>
      </w:tcPr>
    </w:tblStylePr>
  </w:style>
  <w:style w:type="character" w:customStyle="1" w:styleId="aff1">
    <w:name w:val="Нумерований список Знак"/>
    <w:link w:val="1e"/>
    <w:rsid w:val="001B40F7"/>
    <w:rPr>
      <w:rFonts w:ascii="Arial" w:hAnsi="Arial"/>
      <w:sz w:val="22"/>
      <w:szCs w:val="24"/>
      <w:lang w:val="uk-UA" w:eastAsia="ru-RU"/>
    </w:rPr>
  </w:style>
  <w:style w:type="paragraph" w:styleId="42">
    <w:name w:val="toc 4"/>
    <w:basedOn w:val="a0"/>
    <w:next w:val="a0"/>
    <w:autoRedefine/>
    <w:uiPriority w:val="39"/>
    <w:rsid w:val="005F591A"/>
    <w:pPr>
      <w:ind w:left="660"/>
    </w:pPr>
    <w:rPr>
      <w:rFonts w:ascii="Calibri" w:hAnsi="Calibri"/>
      <w:sz w:val="18"/>
      <w:szCs w:val="18"/>
    </w:rPr>
  </w:style>
  <w:style w:type="paragraph" w:styleId="51">
    <w:name w:val="toc 5"/>
    <w:basedOn w:val="a0"/>
    <w:next w:val="a0"/>
    <w:autoRedefine/>
    <w:uiPriority w:val="39"/>
    <w:rsid w:val="005F591A"/>
    <w:pPr>
      <w:ind w:left="880"/>
    </w:pPr>
    <w:rPr>
      <w:rFonts w:ascii="Calibri" w:hAnsi="Calibri"/>
      <w:sz w:val="18"/>
      <w:szCs w:val="18"/>
    </w:rPr>
  </w:style>
  <w:style w:type="paragraph" w:styleId="62">
    <w:name w:val="toc 6"/>
    <w:basedOn w:val="a0"/>
    <w:next w:val="a0"/>
    <w:autoRedefine/>
    <w:uiPriority w:val="39"/>
    <w:rsid w:val="005F591A"/>
    <w:pPr>
      <w:ind w:left="1100"/>
    </w:pPr>
    <w:rPr>
      <w:rFonts w:ascii="Calibri" w:hAnsi="Calibri"/>
      <w:sz w:val="18"/>
      <w:szCs w:val="18"/>
    </w:rPr>
  </w:style>
  <w:style w:type="paragraph" w:styleId="75">
    <w:name w:val="toc 7"/>
    <w:basedOn w:val="a0"/>
    <w:next w:val="a0"/>
    <w:autoRedefine/>
    <w:uiPriority w:val="39"/>
    <w:rsid w:val="005F591A"/>
    <w:pPr>
      <w:ind w:left="1320"/>
    </w:pPr>
    <w:rPr>
      <w:rFonts w:ascii="Calibri" w:hAnsi="Calibri"/>
      <w:sz w:val="18"/>
      <w:szCs w:val="18"/>
    </w:rPr>
  </w:style>
  <w:style w:type="paragraph" w:styleId="85">
    <w:name w:val="toc 8"/>
    <w:basedOn w:val="a0"/>
    <w:next w:val="a0"/>
    <w:autoRedefine/>
    <w:uiPriority w:val="39"/>
    <w:rsid w:val="005F591A"/>
    <w:pPr>
      <w:ind w:left="1540"/>
    </w:pPr>
    <w:rPr>
      <w:rFonts w:ascii="Calibri" w:hAnsi="Calibri"/>
      <w:sz w:val="18"/>
      <w:szCs w:val="18"/>
    </w:rPr>
  </w:style>
  <w:style w:type="paragraph" w:styleId="93">
    <w:name w:val="toc 9"/>
    <w:basedOn w:val="a0"/>
    <w:next w:val="a0"/>
    <w:autoRedefine/>
    <w:uiPriority w:val="39"/>
    <w:rsid w:val="005F591A"/>
    <w:pPr>
      <w:ind w:left="1760"/>
    </w:pPr>
    <w:rPr>
      <w:rFonts w:ascii="Calibri" w:hAnsi="Calibri"/>
      <w:sz w:val="18"/>
      <w:szCs w:val="18"/>
    </w:rPr>
  </w:style>
  <w:style w:type="paragraph" w:customStyle="1" w:styleId="aff2">
    <w:name w:val="Основний шрифт абзацу"/>
    <w:aliases w:val=" Знак,Знак"/>
    <w:basedOn w:val="a0"/>
    <w:rsid w:val="00177EBF"/>
    <w:rPr>
      <w:rFonts w:ascii="Verdana" w:hAnsi="Verdana" w:cs="Verdana"/>
      <w:sz w:val="28"/>
      <w:szCs w:val="28"/>
      <w:lang w:val="en-US" w:eastAsia="en-US"/>
    </w:rPr>
  </w:style>
  <w:style w:type="paragraph" w:customStyle="1" w:styleId="a">
    <w:name w:val="Маркерованный список"/>
    <w:basedOn w:val="af1"/>
    <w:link w:val="aff3"/>
    <w:qFormat/>
    <w:rsid w:val="0097066C"/>
    <w:pPr>
      <w:numPr>
        <w:numId w:val="5"/>
      </w:numPr>
      <w:spacing w:before="120"/>
    </w:pPr>
    <w:rPr>
      <w:rFonts w:eastAsia="Calibri" w:cs="Arial"/>
    </w:rPr>
  </w:style>
  <w:style w:type="character" w:customStyle="1" w:styleId="aff3">
    <w:name w:val="Маркерованный список Знак"/>
    <w:link w:val="a"/>
    <w:rsid w:val="0097066C"/>
    <w:rPr>
      <w:rFonts w:ascii="Arial" w:eastAsia="Calibri" w:hAnsi="Arial" w:cs="Arial"/>
      <w:sz w:val="22"/>
      <w:szCs w:val="22"/>
      <w:lang w:val="ru-RU" w:eastAsia="ru-RU"/>
    </w:rPr>
  </w:style>
  <w:style w:type="paragraph" w:customStyle="1" w:styleId="1f0">
    <w:name w:val="Основний текст1"/>
    <w:aliases w:val="OPM"/>
    <w:basedOn w:val="a0"/>
    <w:link w:val="BodytextChar"/>
    <w:qFormat/>
    <w:rsid w:val="00CD4B92"/>
    <w:pPr>
      <w:spacing w:after="240"/>
      <w:jc w:val="both"/>
    </w:pPr>
    <w:rPr>
      <w:szCs w:val="20"/>
      <w:lang w:val="en-GB" w:eastAsia="en-US"/>
    </w:rPr>
  </w:style>
  <w:style w:type="character" w:customStyle="1" w:styleId="BodytextChar">
    <w:name w:val="Body text Char"/>
    <w:aliases w:val="OPM Char,(Main Text) Char,date Char Char"/>
    <w:link w:val="1f0"/>
    <w:rsid w:val="00CD4B92"/>
    <w:rPr>
      <w:rFonts w:ascii="Arial" w:hAnsi="Arial"/>
      <w:sz w:val="22"/>
      <w:lang w:val="en-GB" w:eastAsia="en-US" w:bidi="ar-SA"/>
    </w:rPr>
  </w:style>
  <w:style w:type="character" w:styleId="aff4">
    <w:name w:val="footnote reference"/>
    <w:uiPriority w:val="99"/>
    <w:rsid w:val="00CD4B92"/>
    <w:rPr>
      <w:rFonts w:cs="Times New Roman"/>
      <w:vertAlign w:val="superscript"/>
    </w:rPr>
  </w:style>
  <w:style w:type="table" w:customStyle="1" w:styleId="23">
    <w:name w:val="Сетка таблицы2"/>
    <w:basedOn w:val="a2"/>
    <w:next w:val="a4"/>
    <w:rsid w:val="00CD4B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5">
    <w:name w:val="a"/>
    <w:basedOn w:val="a0"/>
    <w:rsid w:val="00CD4B92"/>
    <w:pPr>
      <w:spacing w:before="100" w:beforeAutospacing="1" w:after="100" w:afterAutospacing="1"/>
    </w:pPr>
    <w:rPr>
      <w:rFonts w:ascii="Times New Roman" w:hAnsi="Times New Roman"/>
      <w:sz w:val="24"/>
      <w:lang w:val="ru-RU"/>
    </w:rPr>
  </w:style>
  <w:style w:type="character" w:customStyle="1" w:styleId="FontStyle24">
    <w:name w:val="Font Style24"/>
    <w:rsid w:val="001C25A3"/>
    <w:rPr>
      <w:rFonts w:ascii="Times New Roman" w:hAnsi="Times New Roman" w:cs="Times New Roman"/>
      <w:sz w:val="28"/>
      <w:szCs w:val="28"/>
    </w:rPr>
  </w:style>
  <w:style w:type="paragraph" w:styleId="aff6">
    <w:name w:val="Normal Indent"/>
    <w:basedOn w:val="a0"/>
    <w:rsid w:val="005D0281"/>
    <w:pPr>
      <w:ind w:left="708"/>
    </w:pPr>
    <w:rPr>
      <w:rFonts w:ascii="Times New Roman" w:hAnsi="Times New Roman"/>
      <w:sz w:val="24"/>
      <w:lang w:val="ru-RU"/>
    </w:rPr>
  </w:style>
  <w:style w:type="paragraph" w:customStyle="1" w:styleId="Style10">
    <w:name w:val="Style10"/>
    <w:basedOn w:val="a0"/>
    <w:rsid w:val="005D0281"/>
    <w:pPr>
      <w:widowControl w:val="0"/>
      <w:autoSpaceDE w:val="0"/>
      <w:autoSpaceDN w:val="0"/>
      <w:adjustRightInd w:val="0"/>
      <w:spacing w:line="319" w:lineRule="exact"/>
      <w:ind w:firstLine="713"/>
      <w:jc w:val="both"/>
    </w:pPr>
    <w:rPr>
      <w:rFonts w:ascii="Times New Roman" w:hAnsi="Times New Roman"/>
      <w:sz w:val="24"/>
      <w:lang w:val="ru-RU"/>
    </w:rPr>
  </w:style>
  <w:style w:type="paragraph" w:styleId="aff7">
    <w:name w:val="Plain Text"/>
    <w:aliases w:val="Текст Знак Знак"/>
    <w:basedOn w:val="a0"/>
    <w:link w:val="aff8"/>
    <w:rsid w:val="00800314"/>
    <w:pPr>
      <w:spacing w:before="100" w:beforeAutospacing="1" w:after="100" w:afterAutospacing="1"/>
    </w:pPr>
    <w:rPr>
      <w:rFonts w:ascii="Times New Roman" w:hAnsi="Times New Roman"/>
      <w:sz w:val="24"/>
      <w:lang w:val="ru-RU"/>
    </w:rPr>
  </w:style>
  <w:style w:type="paragraph" w:customStyle="1" w:styleId="aff9">
    <w:name w:val="Заголовок таблицы"/>
    <w:basedOn w:val="a0"/>
    <w:rsid w:val="00F91E18"/>
    <w:pPr>
      <w:suppressLineNumbers/>
      <w:suppressAutoHyphens/>
      <w:ind w:firstLine="709"/>
      <w:jc w:val="center"/>
    </w:pPr>
    <w:rPr>
      <w:rFonts w:ascii="Times New Roman" w:eastAsia="Calibri" w:hAnsi="Times New Roman"/>
      <w:b/>
      <w:bCs/>
      <w:sz w:val="28"/>
      <w:szCs w:val="28"/>
      <w:lang w:eastAsia="ar-SA"/>
    </w:rPr>
  </w:style>
  <w:style w:type="paragraph" w:customStyle="1" w:styleId="ListParagraph2">
    <w:name w:val="List Paragraph2"/>
    <w:basedOn w:val="a0"/>
    <w:qFormat/>
    <w:rsid w:val="000F0335"/>
    <w:pPr>
      <w:spacing w:after="200" w:line="276" w:lineRule="auto"/>
      <w:ind w:left="720"/>
      <w:jc w:val="both"/>
    </w:pPr>
    <w:rPr>
      <w:rFonts w:ascii="Calibri" w:hAnsi="Calibri" w:cs="Arial"/>
      <w:color w:val="000000"/>
      <w:szCs w:val="22"/>
      <w:lang w:val="en-GB" w:eastAsia="en-US"/>
    </w:rPr>
  </w:style>
  <w:style w:type="paragraph" w:customStyle="1" w:styleId="affa">
    <w:name w:val="Знак Знак"/>
    <w:basedOn w:val="a0"/>
    <w:rsid w:val="00507FD7"/>
    <w:rPr>
      <w:rFonts w:ascii="Verdana" w:hAnsi="Verdana" w:cs="Verdana"/>
      <w:sz w:val="20"/>
      <w:szCs w:val="20"/>
      <w:lang w:val="en-US" w:eastAsia="en-US"/>
    </w:rPr>
  </w:style>
  <w:style w:type="character" w:customStyle="1" w:styleId="translation-chunk">
    <w:name w:val="translation-chunk"/>
    <w:rsid w:val="000805D8"/>
    <w:rPr>
      <w:rFonts w:cs="Times New Roman"/>
    </w:rPr>
  </w:style>
  <w:style w:type="paragraph" w:customStyle="1" w:styleId="western">
    <w:name w:val="western"/>
    <w:basedOn w:val="a0"/>
    <w:rsid w:val="000805D8"/>
    <w:pPr>
      <w:spacing w:before="100" w:beforeAutospacing="1" w:after="100" w:afterAutospacing="1"/>
    </w:pPr>
    <w:rPr>
      <w:rFonts w:ascii="Times New Roman" w:hAnsi="Times New Roman"/>
      <w:sz w:val="24"/>
      <w:lang w:val="ru-RU"/>
    </w:rPr>
  </w:style>
  <w:style w:type="paragraph" w:customStyle="1" w:styleId="1f1">
    <w:name w:val="Обычный1"/>
    <w:rsid w:val="000805D8"/>
    <w:pPr>
      <w:widowControl w:val="0"/>
      <w:snapToGrid w:val="0"/>
    </w:pPr>
    <w:rPr>
      <w:lang w:val="ru-RU" w:eastAsia="ru-RU"/>
    </w:rPr>
  </w:style>
  <w:style w:type="paragraph" w:styleId="HTML">
    <w:name w:val="HTML Preformatted"/>
    <w:basedOn w:val="a0"/>
    <w:link w:val="HTML0"/>
    <w:rsid w:val="007430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ru-RU"/>
    </w:rPr>
  </w:style>
  <w:style w:type="character" w:customStyle="1" w:styleId="HTML0">
    <w:name w:val="Стандартный HTML Знак"/>
    <w:link w:val="HTML"/>
    <w:rsid w:val="00743089"/>
    <w:rPr>
      <w:rFonts w:ascii="Courier New" w:hAnsi="Courier New" w:cs="Courier New"/>
      <w:lang w:val="ru-RU" w:eastAsia="ru-RU"/>
    </w:rPr>
  </w:style>
  <w:style w:type="paragraph" w:customStyle="1" w:styleId="ListParagraph1">
    <w:name w:val="List Paragraph1"/>
    <w:basedOn w:val="a0"/>
    <w:uiPriority w:val="99"/>
    <w:rsid w:val="00743089"/>
    <w:pPr>
      <w:spacing w:after="200" w:line="276" w:lineRule="auto"/>
      <w:ind w:left="720"/>
      <w:contextualSpacing/>
    </w:pPr>
    <w:rPr>
      <w:rFonts w:ascii="Calibri" w:eastAsia="Calibri" w:hAnsi="Calibri"/>
      <w:szCs w:val="22"/>
      <w:lang w:val="sr-Latn-CS" w:eastAsia="en-US"/>
    </w:rPr>
  </w:style>
  <w:style w:type="paragraph" w:customStyle="1" w:styleId="Default">
    <w:name w:val="Default"/>
    <w:rsid w:val="00743089"/>
    <w:pPr>
      <w:autoSpaceDE w:val="0"/>
      <w:autoSpaceDN w:val="0"/>
      <w:adjustRightInd w:val="0"/>
    </w:pPr>
    <w:rPr>
      <w:color w:val="000000"/>
      <w:sz w:val="24"/>
      <w:szCs w:val="24"/>
      <w:lang w:val="ru-RU" w:eastAsia="ru-RU"/>
    </w:rPr>
  </w:style>
  <w:style w:type="paragraph" w:customStyle="1" w:styleId="1f2">
    <w:name w:val="Без интервала1"/>
    <w:uiPriority w:val="1"/>
    <w:qFormat/>
    <w:rsid w:val="00E54740"/>
    <w:rPr>
      <w:rFonts w:ascii="Calibri" w:eastAsia="Calibri" w:hAnsi="Calibri"/>
      <w:sz w:val="22"/>
      <w:szCs w:val="22"/>
      <w:lang w:eastAsia="en-US"/>
    </w:rPr>
  </w:style>
  <w:style w:type="paragraph" w:customStyle="1" w:styleId="24">
    <w:name w:val="Абзац списка2"/>
    <w:basedOn w:val="a0"/>
    <w:qFormat/>
    <w:rsid w:val="00E54740"/>
    <w:pPr>
      <w:suppressAutoHyphens/>
      <w:spacing w:after="200" w:line="276" w:lineRule="auto"/>
    </w:pPr>
    <w:rPr>
      <w:rFonts w:ascii="Calibri" w:eastAsia="Lucida Sans Unicode" w:hAnsi="Calibri" w:cs="font231"/>
      <w:kern w:val="1"/>
      <w:szCs w:val="22"/>
      <w:lang w:eastAsia="ar-SA"/>
    </w:rPr>
  </w:style>
  <w:style w:type="paragraph" w:customStyle="1" w:styleId="ColorfulList-Accent11">
    <w:name w:val="Colorful List - Accent 11"/>
    <w:basedOn w:val="a0"/>
    <w:qFormat/>
    <w:rsid w:val="00E54740"/>
    <w:pPr>
      <w:spacing w:before="120" w:after="200" w:line="276" w:lineRule="auto"/>
      <w:ind w:left="720"/>
      <w:contextualSpacing/>
      <w:jc w:val="both"/>
    </w:pPr>
    <w:rPr>
      <w:rFonts w:ascii="Calibri" w:eastAsia="Calibri" w:hAnsi="Calibri"/>
      <w:szCs w:val="22"/>
      <w:lang w:eastAsia="en-US"/>
    </w:rPr>
  </w:style>
  <w:style w:type="paragraph" w:customStyle="1" w:styleId="52">
    <w:name w:val="Знак Знак5 Знак Знак"/>
    <w:basedOn w:val="a0"/>
    <w:rsid w:val="00E54740"/>
    <w:rPr>
      <w:rFonts w:ascii="Verdana" w:hAnsi="Verdana"/>
      <w:sz w:val="24"/>
      <w:lang w:val="en-US" w:eastAsia="en-US"/>
    </w:rPr>
  </w:style>
  <w:style w:type="table" w:customStyle="1" w:styleId="1f3">
    <w:name w:val="Сетка таблицы1"/>
    <w:basedOn w:val="a2"/>
    <w:next w:val="a4"/>
    <w:rsid w:val="00E5474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
    <w:name w:val="Char Знак Знак Char"/>
    <w:basedOn w:val="a0"/>
    <w:rsid w:val="00E54740"/>
    <w:rPr>
      <w:rFonts w:ascii="Verdana" w:hAnsi="Verdana" w:cs="Verdana"/>
      <w:sz w:val="20"/>
      <w:szCs w:val="20"/>
      <w:lang w:val="en-US" w:eastAsia="en-US"/>
    </w:rPr>
  </w:style>
  <w:style w:type="character" w:customStyle="1" w:styleId="60">
    <w:name w:val="Заголовок 6 Знак"/>
    <w:link w:val="6"/>
    <w:rsid w:val="00E54740"/>
    <w:rPr>
      <w:b/>
      <w:bCs/>
      <w:sz w:val="22"/>
      <w:szCs w:val="22"/>
      <w:lang w:val="ru-RU" w:eastAsia="ru-RU"/>
    </w:rPr>
  </w:style>
  <w:style w:type="paragraph" w:styleId="25">
    <w:name w:val="Body Text 2"/>
    <w:basedOn w:val="a0"/>
    <w:link w:val="26"/>
    <w:rsid w:val="00E54740"/>
    <w:pPr>
      <w:spacing w:after="120" w:line="480" w:lineRule="auto"/>
    </w:pPr>
  </w:style>
  <w:style w:type="character" w:customStyle="1" w:styleId="26">
    <w:name w:val="Основной текст 2 Знак"/>
    <w:link w:val="25"/>
    <w:rsid w:val="00E54740"/>
    <w:rPr>
      <w:rFonts w:ascii="Arial" w:hAnsi="Arial"/>
      <w:sz w:val="22"/>
      <w:szCs w:val="24"/>
      <w:lang w:eastAsia="ru-RU"/>
    </w:rPr>
  </w:style>
  <w:style w:type="character" w:customStyle="1" w:styleId="af5">
    <w:name w:val="Абзац списка Знак"/>
    <w:aliases w:val="Resume Title Знак1,List Paragraph - bullets Знак1"/>
    <w:link w:val="af4"/>
    <w:uiPriority w:val="34"/>
    <w:locked/>
    <w:rsid w:val="00BC27A5"/>
    <w:rPr>
      <w:rFonts w:ascii="Calibri" w:eastAsia="Lucida Sans Unicode" w:hAnsi="Calibri" w:cs="font231"/>
      <w:kern w:val="1"/>
      <w:sz w:val="22"/>
      <w:szCs w:val="22"/>
      <w:lang w:eastAsia="ar-SA"/>
    </w:rPr>
  </w:style>
  <w:style w:type="character" w:customStyle="1" w:styleId="41">
    <w:name w:val="Заголовок 4 Знак"/>
    <w:basedOn w:val="a1"/>
    <w:link w:val="40"/>
    <w:rsid w:val="00BD6013"/>
    <w:rPr>
      <w:b/>
      <w:bCs/>
      <w:sz w:val="28"/>
      <w:szCs w:val="28"/>
    </w:rPr>
  </w:style>
  <w:style w:type="character" w:customStyle="1" w:styleId="90">
    <w:name w:val="Заголовок 9 Знак"/>
    <w:basedOn w:val="a1"/>
    <w:link w:val="9"/>
    <w:rsid w:val="00BD6013"/>
    <w:rPr>
      <w:rFonts w:ascii="Arial" w:hAnsi="Arial" w:cs="Arial"/>
      <w:sz w:val="22"/>
      <w:szCs w:val="22"/>
    </w:rPr>
  </w:style>
  <w:style w:type="paragraph" w:customStyle="1" w:styleId="110">
    <w:name w:val="Заголовок11"/>
    <w:basedOn w:val="a0"/>
    <w:next w:val="af1"/>
    <w:rsid w:val="00BD6013"/>
    <w:pPr>
      <w:keepNext/>
      <w:suppressAutoHyphens/>
      <w:spacing w:before="240" w:after="120" w:line="276" w:lineRule="auto"/>
    </w:pPr>
    <w:rPr>
      <w:rFonts w:eastAsia="MS Mincho" w:cs="Tahoma"/>
      <w:kern w:val="1"/>
      <w:sz w:val="28"/>
      <w:szCs w:val="28"/>
      <w:lang w:eastAsia="ar-SA"/>
    </w:rPr>
  </w:style>
  <w:style w:type="character" w:customStyle="1" w:styleId="af9">
    <w:name w:val="Текст концевой сноски Знак"/>
    <w:basedOn w:val="a1"/>
    <w:link w:val="af8"/>
    <w:uiPriority w:val="99"/>
    <w:rsid w:val="00BD6013"/>
    <w:rPr>
      <w:rFonts w:ascii="Arial" w:hAnsi="Arial"/>
      <w:lang w:eastAsia="ru-RU"/>
    </w:rPr>
  </w:style>
  <w:style w:type="paragraph" w:customStyle="1" w:styleId="affb">
    <w:name w:val="Стиль"/>
    <w:basedOn w:val="a0"/>
    <w:rsid w:val="00BD6013"/>
    <w:rPr>
      <w:rFonts w:ascii="Verdana" w:hAnsi="Verdana" w:cs="Verdana"/>
      <w:sz w:val="20"/>
      <w:szCs w:val="20"/>
      <w:lang w:val="en-US" w:eastAsia="en-US"/>
    </w:rPr>
  </w:style>
  <w:style w:type="paragraph" w:customStyle="1" w:styleId="CharChar11">
    <w:name w:val="Char Char11"/>
    <w:basedOn w:val="a0"/>
    <w:rsid w:val="00BD6013"/>
    <w:rPr>
      <w:rFonts w:ascii="Verdana" w:hAnsi="Verdana" w:cs="Verdana"/>
      <w:sz w:val="20"/>
      <w:szCs w:val="20"/>
      <w:lang w:val="en-US" w:eastAsia="en-US"/>
    </w:rPr>
  </w:style>
  <w:style w:type="paragraph" w:customStyle="1" w:styleId="111">
    <w:name w:val="Нумерований список11"/>
    <w:basedOn w:val="a0"/>
    <w:qFormat/>
    <w:rsid w:val="00BD6013"/>
  </w:style>
  <w:style w:type="character" w:customStyle="1" w:styleId="HTMLPreformattedChar1">
    <w:name w:val="HTML Preformatted Char1"/>
    <w:basedOn w:val="a1"/>
    <w:uiPriority w:val="99"/>
    <w:rsid w:val="00BD6013"/>
    <w:rPr>
      <w:rFonts w:ascii="Courier New" w:eastAsia="Times New Roman" w:hAnsi="Courier New" w:cs="Courier New"/>
      <w:sz w:val="20"/>
      <w:szCs w:val="20"/>
      <w:lang w:eastAsia="uk-UA"/>
    </w:rPr>
  </w:style>
  <w:style w:type="character" w:customStyle="1" w:styleId="5yl5">
    <w:name w:val="_5yl5"/>
    <w:rsid w:val="00BD6013"/>
  </w:style>
  <w:style w:type="paragraph" w:styleId="affc">
    <w:name w:val="TOC Heading"/>
    <w:basedOn w:val="10"/>
    <w:next w:val="a0"/>
    <w:uiPriority w:val="39"/>
    <w:unhideWhenUsed/>
    <w:qFormat/>
    <w:rsid w:val="00BD6013"/>
    <w:pPr>
      <w:keepLines/>
      <w:pageBreakBefore w:val="0"/>
      <w:tabs>
        <w:tab w:val="clear" w:pos="567"/>
      </w:tabs>
      <w:spacing w:before="240" w:after="0" w:line="259" w:lineRule="auto"/>
      <w:ind w:left="0" w:firstLine="0"/>
      <w:outlineLvl w:val="9"/>
    </w:pPr>
    <w:rPr>
      <w:rFonts w:asciiTheme="majorHAnsi" w:eastAsiaTheme="majorEastAsia" w:hAnsiTheme="majorHAnsi" w:cstheme="majorBidi"/>
      <w:b w:val="0"/>
      <w:bCs w:val="0"/>
      <w:color w:val="365F91" w:themeColor="accent1" w:themeShade="BF"/>
      <w:kern w:val="0"/>
      <w:szCs w:val="32"/>
      <w:lang w:eastAsia="uk-UA"/>
    </w:rPr>
  </w:style>
  <w:style w:type="character" w:styleId="affd">
    <w:name w:val="annotation reference"/>
    <w:basedOn w:val="a1"/>
    <w:uiPriority w:val="99"/>
    <w:rsid w:val="00BD6013"/>
    <w:rPr>
      <w:rFonts w:cs="Times New Roman"/>
      <w:sz w:val="16"/>
      <w:szCs w:val="16"/>
    </w:rPr>
  </w:style>
  <w:style w:type="paragraph" w:styleId="affe">
    <w:name w:val="annotation text"/>
    <w:basedOn w:val="a0"/>
    <w:link w:val="afff"/>
    <w:uiPriority w:val="99"/>
    <w:rsid w:val="00BD6013"/>
    <w:rPr>
      <w:sz w:val="20"/>
      <w:szCs w:val="20"/>
    </w:rPr>
  </w:style>
  <w:style w:type="character" w:customStyle="1" w:styleId="afff">
    <w:name w:val="Текст примечания Знак"/>
    <w:basedOn w:val="a1"/>
    <w:link w:val="affe"/>
    <w:uiPriority w:val="99"/>
    <w:rsid w:val="00BD6013"/>
    <w:rPr>
      <w:rFonts w:ascii="Arial" w:hAnsi="Arial"/>
      <w:lang w:eastAsia="ru-RU"/>
    </w:rPr>
  </w:style>
  <w:style w:type="paragraph" w:customStyle="1" w:styleId="1f4">
    <w:name w:val="Абзац списку1"/>
    <w:basedOn w:val="a0"/>
    <w:link w:val="afff0"/>
    <w:uiPriority w:val="99"/>
    <w:qFormat/>
    <w:rsid w:val="00BD6013"/>
    <w:pPr>
      <w:ind w:left="720"/>
      <w:contextualSpacing/>
    </w:pPr>
    <w:rPr>
      <w:rFonts w:ascii="Times New Roman" w:hAnsi="Times New Roman"/>
      <w:sz w:val="20"/>
      <w:szCs w:val="20"/>
    </w:rPr>
  </w:style>
  <w:style w:type="character" w:customStyle="1" w:styleId="uficommentbody">
    <w:name w:val="uficommentbody"/>
    <w:basedOn w:val="a1"/>
    <w:rsid w:val="00BD6013"/>
  </w:style>
  <w:style w:type="paragraph" w:styleId="afff1">
    <w:name w:val="annotation subject"/>
    <w:basedOn w:val="affe"/>
    <w:next w:val="affe"/>
    <w:link w:val="afff2"/>
    <w:unhideWhenUsed/>
    <w:rsid w:val="00BD6013"/>
    <w:rPr>
      <w:b/>
      <w:bCs/>
    </w:rPr>
  </w:style>
  <w:style w:type="character" w:customStyle="1" w:styleId="afff2">
    <w:name w:val="Тема примечания Знак"/>
    <w:basedOn w:val="afff"/>
    <w:link w:val="afff1"/>
    <w:rsid w:val="00BD6013"/>
    <w:rPr>
      <w:rFonts w:ascii="Arial" w:hAnsi="Arial"/>
      <w:b/>
      <w:bCs/>
      <w:lang w:eastAsia="ru-RU"/>
    </w:rPr>
  </w:style>
  <w:style w:type="paragraph" w:styleId="afff3">
    <w:name w:val="Document Map"/>
    <w:basedOn w:val="a0"/>
    <w:link w:val="afff4"/>
    <w:rsid w:val="00BD6013"/>
    <w:pPr>
      <w:shd w:val="clear" w:color="auto" w:fill="000080"/>
    </w:pPr>
    <w:rPr>
      <w:rFonts w:ascii="Tahoma" w:hAnsi="Tahoma" w:cs="Tahoma"/>
      <w:sz w:val="20"/>
      <w:szCs w:val="20"/>
      <w:lang w:eastAsia="uk-UA"/>
    </w:rPr>
  </w:style>
  <w:style w:type="character" w:customStyle="1" w:styleId="afff4">
    <w:name w:val="Схема документа Знак"/>
    <w:basedOn w:val="a1"/>
    <w:link w:val="afff3"/>
    <w:rsid w:val="00BD6013"/>
    <w:rPr>
      <w:rFonts w:ascii="Tahoma" w:hAnsi="Tahoma" w:cs="Tahoma"/>
      <w:shd w:val="clear" w:color="auto" w:fill="000080"/>
    </w:rPr>
  </w:style>
  <w:style w:type="paragraph" w:styleId="27">
    <w:name w:val="List Bullet 2"/>
    <w:basedOn w:val="a0"/>
    <w:autoRedefine/>
    <w:rsid w:val="00BD6013"/>
    <w:pPr>
      <w:tabs>
        <w:tab w:val="num" w:pos="0"/>
        <w:tab w:val="num" w:pos="1080"/>
      </w:tabs>
      <w:suppressAutoHyphens/>
      <w:ind w:left="1080"/>
      <w:jc w:val="both"/>
    </w:pPr>
    <w:rPr>
      <w:rFonts w:ascii="Times New Roman" w:hAnsi="Times New Roman"/>
      <w:b/>
      <w:color w:val="000000"/>
      <w:sz w:val="28"/>
      <w:szCs w:val="28"/>
      <w:lang w:eastAsia="ar-SA"/>
    </w:rPr>
  </w:style>
  <w:style w:type="paragraph" w:customStyle="1" w:styleId="WW-2">
    <w:name w:val="WW-Основной текст с отступом 2"/>
    <w:basedOn w:val="a0"/>
    <w:rsid w:val="00BD6013"/>
    <w:pPr>
      <w:suppressAutoHyphens/>
      <w:ind w:firstLine="851"/>
    </w:pPr>
    <w:rPr>
      <w:rFonts w:ascii="Calibri" w:hAnsi="Calibri"/>
      <w:sz w:val="28"/>
      <w:szCs w:val="20"/>
      <w:lang w:val="en-US" w:eastAsia="ar-SA"/>
    </w:rPr>
  </w:style>
  <w:style w:type="character" w:styleId="afff5">
    <w:name w:val="page number"/>
    <w:rsid w:val="00BD6013"/>
    <w:rPr>
      <w:rFonts w:cs="Times New Roman"/>
    </w:rPr>
  </w:style>
  <w:style w:type="character" w:customStyle="1" w:styleId="FontStyle32">
    <w:name w:val="Font Style32"/>
    <w:rsid w:val="00BD6013"/>
    <w:rPr>
      <w:rFonts w:ascii="Times New Roman" w:hAnsi="Times New Roman" w:cs="Times New Roman"/>
      <w:sz w:val="26"/>
      <w:szCs w:val="26"/>
    </w:rPr>
  </w:style>
  <w:style w:type="character" w:customStyle="1" w:styleId="FontStyle29">
    <w:name w:val="Font Style29"/>
    <w:rsid w:val="00BD6013"/>
    <w:rPr>
      <w:rFonts w:ascii="Times New Roman" w:hAnsi="Times New Roman" w:cs="Times New Roman"/>
      <w:sz w:val="26"/>
      <w:szCs w:val="26"/>
    </w:rPr>
  </w:style>
  <w:style w:type="paragraph" w:customStyle="1" w:styleId="1f5">
    <w:name w:val="Основной текст с отступом1"/>
    <w:basedOn w:val="a0"/>
    <w:rsid w:val="00BD6013"/>
    <w:pPr>
      <w:tabs>
        <w:tab w:val="left" w:pos="0"/>
      </w:tabs>
      <w:suppressAutoHyphens/>
      <w:autoSpaceDE w:val="0"/>
      <w:ind w:firstLine="851"/>
      <w:jc w:val="both"/>
    </w:pPr>
    <w:rPr>
      <w:rFonts w:ascii="Times New Roman" w:hAnsi="Times New Roman"/>
      <w:sz w:val="28"/>
      <w:szCs w:val="28"/>
      <w:lang w:eastAsia="ar-SA"/>
    </w:rPr>
  </w:style>
  <w:style w:type="character" w:customStyle="1" w:styleId="afff6">
    <w:name w:val="Основной текст_"/>
    <w:link w:val="34"/>
    <w:rsid w:val="00BD6013"/>
    <w:rPr>
      <w:sz w:val="24"/>
      <w:szCs w:val="24"/>
      <w:lang w:val="ru-RU" w:eastAsia="ar-SA" w:bidi="ar-SA"/>
    </w:rPr>
  </w:style>
  <w:style w:type="paragraph" w:customStyle="1" w:styleId="afff7">
    <w:name w:val="Содержимое таблицы"/>
    <w:basedOn w:val="a0"/>
    <w:rsid w:val="00BD6013"/>
    <w:pPr>
      <w:widowControl w:val="0"/>
      <w:suppressLineNumbers/>
      <w:suppressAutoHyphens/>
    </w:pPr>
    <w:rPr>
      <w:rFonts w:ascii="Times New Roman" w:eastAsia="Andale Sans UI" w:hAnsi="Times New Roman"/>
      <w:kern w:val="1"/>
      <w:sz w:val="24"/>
    </w:rPr>
  </w:style>
  <w:style w:type="paragraph" w:customStyle="1" w:styleId="afff8">
    <w:name w:val="Знак Знак Знак Знак Знак Знак Знак Знак Знак Знак Знак Знак Знак Знак Знак"/>
    <w:basedOn w:val="a0"/>
    <w:rsid w:val="00BD6013"/>
    <w:rPr>
      <w:rFonts w:ascii="Verdana" w:hAnsi="Verdana" w:cs="Verdana"/>
      <w:sz w:val="20"/>
      <w:szCs w:val="20"/>
      <w:lang w:val="en-US" w:eastAsia="en-US"/>
    </w:rPr>
  </w:style>
  <w:style w:type="character" w:customStyle="1" w:styleId="rvts23">
    <w:name w:val="rvts23"/>
    <w:rsid w:val="00BD6013"/>
  </w:style>
  <w:style w:type="character" w:styleId="afff9">
    <w:name w:val="line number"/>
    <w:basedOn w:val="a1"/>
    <w:rsid w:val="00BD6013"/>
  </w:style>
  <w:style w:type="paragraph" w:styleId="afffa">
    <w:name w:val="Title"/>
    <w:aliases w:val="Номер таблиці"/>
    <w:basedOn w:val="a0"/>
    <w:next w:val="a0"/>
    <w:link w:val="afffb"/>
    <w:qFormat/>
    <w:rsid w:val="008B5B8D"/>
    <w:pPr>
      <w:spacing w:before="40" w:after="40"/>
    </w:pPr>
    <w:rPr>
      <w:rFonts w:cs="Arial"/>
      <w:szCs w:val="22"/>
      <w:lang w:eastAsia="it-IT"/>
    </w:rPr>
  </w:style>
  <w:style w:type="character" w:customStyle="1" w:styleId="afffb">
    <w:name w:val="Заголовок Знак"/>
    <w:aliases w:val="Номер таблиці Знак"/>
    <w:basedOn w:val="a1"/>
    <w:link w:val="afffa"/>
    <w:rsid w:val="008B5B8D"/>
    <w:rPr>
      <w:rFonts w:ascii="Arial" w:hAnsi="Arial" w:cs="Arial"/>
      <w:sz w:val="22"/>
      <w:szCs w:val="22"/>
      <w:lang w:eastAsia="it-IT"/>
    </w:rPr>
  </w:style>
  <w:style w:type="character" w:customStyle="1" w:styleId="213pt">
    <w:name w:val="Основной текст (2) + 13 pt"/>
    <w:aliases w:val="Не полужирный"/>
    <w:rsid w:val="00BD6013"/>
    <w:rPr>
      <w:b/>
      <w:bCs/>
      <w:sz w:val="26"/>
      <w:szCs w:val="26"/>
      <w:shd w:val="clear" w:color="auto" w:fill="FFFFFF"/>
    </w:rPr>
  </w:style>
  <w:style w:type="paragraph" w:customStyle="1" w:styleId="1f6">
    <w:name w:val="Без інтервалів1"/>
    <w:link w:val="afffc"/>
    <w:qFormat/>
    <w:rsid w:val="00BD6013"/>
    <w:rPr>
      <w:rFonts w:eastAsia="Calibri"/>
      <w:bCs/>
      <w:iCs/>
      <w:sz w:val="28"/>
      <w:szCs w:val="28"/>
      <w:lang w:val="ru-RU" w:eastAsia="en-US"/>
    </w:rPr>
  </w:style>
  <w:style w:type="character" w:customStyle="1" w:styleId="afffc">
    <w:name w:val="Без інтервалів Знак"/>
    <w:link w:val="1f6"/>
    <w:rsid w:val="00BD6013"/>
    <w:rPr>
      <w:rFonts w:eastAsia="Calibri"/>
      <w:bCs/>
      <w:iCs/>
      <w:sz w:val="28"/>
      <w:szCs w:val="28"/>
      <w:lang w:val="ru-RU" w:eastAsia="en-US"/>
    </w:rPr>
  </w:style>
  <w:style w:type="paragraph" w:styleId="28">
    <w:name w:val="Body Text Indent 2"/>
    <w:basedOn w:val="a0"/>
    <w:link w:val="29"/>
    <w:unhideWhenUsed/>
    <w:rsid w:val="00BD6013"/>
    <w:pPr>
      <w:spacing w:after="120" w:line="480" w:lineRule="auto"/>
      <w:ind w:left="283"/>
    </w:pPr>
    <w:rPr>
      <w:rFonts w:ascii="Times New Roman" w:hAnsi="Times New Roman"/>
      <w:sz w:val="24"/>
    </w:rPr>
  </w:style>
  <w:style w:type="character" w:customStyle="1" w:styleId="29">
    <w:name w:val="Основной текст с отступом 2 Знак"/>
    <w:basedOn w:val="a1"/>
    <w:link w:val="28"/>
    <w:rsid w:val="00BD6013"/>
    <w:rPr>
      <w:sz w:val="24"/>
      <w:szCs w:val="24"/>
      <w:lang w:eastAsia="ru-RU"/>
    </w:rPr>
  </w:style>
  <w:style w:type="character" w:customStyle="1" w:styleId="26pt">
    <w:name w:val="Основной текст (2) + 6 pt"/>
    <w:rsid w:val="00BD6013"/>
    <w:rPr>
      <w:rFonts w:ascii="Arial" w:eastAsia="Arial" w:hAnsi="Arial" w:cs="Arial" w:hint="default"/>
      <w:b w:val="0"/>
      <w:bCs w:val="0"/>
      <w:i w:val="0"/>
      <w:iCs w:val="0"/>
      <w:smallCaps w:val="0"/>
      <w:strike w:val="0"/>
      <w:dstrike w:val="0"/>
      <w:color w:val="000000"/>
      <w:spacing w:val="0"/>
      <w:w w:val="100"/>
      <w:position w:val="0"/>
      <w:sz w:val="12"/>
      <w:szCs w:val="12"/>
      <w:u w:val="none"/>
      <w:effect w:val="none"/>
      <w:lang w:val="uk-UA" w:eastAsia="uk-UA" w:bidi="uk-UA"/>
    </w:rPr>
  </w:style>
  <w:style w:type="paragraph" w:styleId="35">
    <w:name w:val="Body Text Indent 3"/>
    <w:basedOn w:val="a0"/>
    <w:link w:val="36"/>
    <w:rsid w:val="00BD6013"/>
    <w:pPr>
      <w:spacing w:after="120"/>
      <w:ind w:left="283"/>
    </w:pPr>
    <w:rPr>
      <w:rFonts w:ascii="Times New Roman" w:hAnsi="Times New Roman"/>
      <w:sz w:val="16"/>
      <w:szCs w:val="16"/>
    </w:rPr>
  </w:style>
  <w:style w:type="character" w:customStyle="1" w:styleId="36">
    <w:name w:val="Основной текст с отступом 3 Знак"/>
    <w:basedOn w:val="a1"/>
    <w:link w:val="35"/>
    <w:rsid w:val="00BD6013"/>
    <w:rPr>
      <w:sz w:val="16"/>
      <w:szCs w:val="16"/>
      <w:lang w:eastAsia="ru-RU"/>
    </w:rPr>
  </w:style>
  <w:style w:type="paragraph" w:customStyle="1" w:styleId="StyleZakonu">
    <w:name w:val="StyleZakonu"/>
    <w:basedOn w:val="a0"/>
    <w:link w:val="StyleZakonu0"/>
    <w:rsid w:val="00BD6013"/>
    <w:pPr>
      <w:spacing w:after="60" w:line="220" w:lineRule="exact"/>
      <w:ind w:firstLine="284"/>
      <w:jc w:val="both"/>
    </w:pPr>
    <w:rPr>
      <w:rFonts w:ascii="Times New Roman" w:hAnsi="Times New Roman"/>
      <w:sz w:val="20"/>
      <w:szCs w:val="20"/>
    </w:rPr>
  </w:style>
  <w:style w:type="character" w:customStyle="1" w:styleId="StyleZakonu0">
    <w:name w:val="StyleZakonu Знак"/>
    <w:link w:val="StyleZakonu"/>
    <w:locked/>
    <w:rsid w:val="00BD6013"/>
    <w:rPr>
      <w:lang w:eastAsia="ru-RU"/>
    </w:rPr>
  </w:style>
  <w:style w:type="paragraph" w:customStyle="1" w:styleId="afffd">
    <w:name w:val="Табличний"/>
    <w:basedOn w:val="40"/>
    <w:rsid w:val="00BD6013"/>
    <w:pPr>
      <w:spacing w:before="0" w:after="0"/>
      <w:jc w:val="center"/>
    </w:pPr>
    <w:rPr>
      <w:rFonts w:ascii="Arial" w:hAnsi="Arial"/>
      <w:b w:val="0"/>
      <w:bCs w:val="0"/>
      <w:snapToGrid w:val="0"/>
      <w:color w:val="000000"/>
      <w:sz w:val="22"/>
      <w:szCs w:val="20"/>
      <w:lang w:eastAsia="ru-RU"/>
    </w:rPr>
  </w:style>
  <w:style w:type="paragraph" w:customStyle="1" w:styleId="Style1">
    <w:name w:val="Style1"/>
    <w:basedOn w:val="a0"/>
    <w:rsid w:val="00BD6013"/>
    <w:pPr>
      <w:widowControl w:val="0"/>
      <w:suppressAutoHyphens/>
      <w:spacing w:line="320" w:lineRule="exact"/>
    </w:pPr>
    <w:rPr>
      <w:rFonts w:ascii="Times New Roman" w:eastAsia="Arial Unicode MS" w:hAnsi="Times New Roman"/>
      <w:sz w:val="24"/>
      <w:szCs w:val="20"/>
    </w:rPr>
  </w:style>
  <w:style w:type="character" w:customStyle="1" w:styleId="FontStyle12">
    <w:name w:val="Font Style12"/>
    <w:rsid w:val="00BD6013"/>
    <w:rPr>
      <w:rFonts w:ascii="Times New Roman" w:hAnsi="Times New Roman" w:cs="Times New Roman" w:hint="default"/>
      <w:sz w:val="26"/>
      <w:szCs w:val="26"/>
    </w:rPr>
  </w:style>
  <w:style w:type="character" w:customStyle="1" w:styleId="1f7">
    <w:name w:val="Основной текст Знак1"/>
    <w:locked/>
    <w:rsid w:val="00BD6013"/>
    <w:rPr>
      <w:rFonts w:ascii="Times New Roman" w:hAnsi="Times New Roman" w:cs="Times New Roman"/>
      <w:color w:val="000000"/>
      <w:sz w:val="24"/>
      <w:szCs w:val="24"/>
      <w:lang w:val="uk-UA" w:eastAsia="ru-RU"/>
    </w:rPr>
  </w:style>
  <w:style w:type="paragraph" w:customStyle="1" w:styleId="ms-rteelement-p">
    <w:name w:val="ms-rteelement-p"/>
    <w:basedOn w:val="a0"/>
    <w:rsid w:val="00BD6013"/>
    <w:pPr>
      <w:spacing w:before="100" w:beforeAutospacing="1" w:after="100" w:afterAutospacing="1"/>
    </w:pPr>
    <w:rPr>
      <w:rFonts w:ascii="Times New Roman" w:eastAsia="SimSun" w:hAnsi="Times New Roman"/>
      <w:sz w:val="24"/>
      <w:lang w:val="ru-RU" w:eastAsia="zh-CN"/>
    </w:rPr>
  </w:style>
  <w:style w:type="paragraph" w:styleId="37">
    <w:name w:val="Body Text 3"/>
    <w:basedOn w:val="a0"/>
    <w:link w:val="38"/>
    <w:rsid w:val="00BD6013"/>
    <w:pPr>
      <w:spacing w:after="120"/>
    </w:pPr>
    <w:rPr>
      <w:rFonts w:ascii="Times New Roman" w:hAnsi="Times New Roman"/>
      <w:sz w:val="16"/>
      <w:szCs w:val="16"/>
      <w:lang w:val="ru-RU"/>
    </w:rPr>
  </w:style>
  <w:style w:type="character" w:customStyle="1" w:styleId="38">
    <w:name w:val="Основной текст 3 Знак"/>
    <w:basedOn w:val="a1"/>
    <w:link w:val="37"/>
    <w:rsid w:val="00BD6013"/>
    <w:rPr>
      <w:sz w:val="16"/>
      <w:szCs w:val="16"/>
      <w:lang w:val="ru-RU" w:eastAsia="ru-RU"/>
    </w:rPr>
  </w:style>
  <w:style w:type="paragraph" w:customStyle="1" w:styleId="afffe">
    <w:name w:val="Знак Знак Знак Знак Знак Знак Знак Знак Знак Знак Знак Знак Знак Знак"/>
    <w:basedOn w:val="a0"/>
    <w:rsid w:val="00BD6013"/>
    <w:rPr>
      <w:rFonts w:ascii="Verdana" w:hAnsi="Verdana" w:cs="Verdana"/>
      <w:sz w:val="20"/>
      <w:szCs w:val="20"/>
      <w:lang w:val="en-US" w:eastAsia="en-US"/>
    </w:rPr>
  </w:style>
  <w:style w:type="paragraph" w:styleId="affff">
    <w:name w:val="footnote text"/>
    <w:basedOn w:val="a0"/>
    <w:link w:val="affff0"/>
    <w:uiPriority w:val="99"/>
    <w:unhideWhenUsed/>
    <w:rsid w:val="00BD6013"/>
    <w:rPr>
      <w:rFonts w:asciiTheme="minorHAnsi" w:eastAsiaTheme="minorHAnsi" w:hAnsiTheme="minorHAnsi" w:cstheme="minorBidi"/>
      <w:sz w:val="20"/>
      <w:szCs w:val="20"/>
      <w:lang w:eastAsia="en-US"/>
    </w:rPr>
  </w:style>
  <w:style w:type="character" w:customStyle="1" w:styleId="affff0">
    <w:name w:val="Текст сноски Знак"/>
    <w:basedOn w:val="a1"/>
    <w:link w:val="affff"/>
    <w:uiPriority w:val="99"/>
    <w:rsid w:val="00BD6013"/>
    <w:rPr>
      <w:rFonts w:asciiTheme="minorHAnsi" w:eastAsiaTheme="minorHAnsi" w:hAnsiTheme="minorHAnsi" w:cstheme="minorBidi"/>
      <w:lang w:eastAsia="en-US"/>
    </w:rPr>
  </w:style>
  <w:style w:type="character" w:customStyle="1" w:styleId="fontstyle01">
    <w:name w:val="fontstyle01"/>
    <w:basedOn w:val="a1"/>
    <w:rsid w:val="00BD6013"/>
    <w:rPr>
      <w:rFonts w:ascii="Times New Roman" w:hAnsi="Times New Roman" w:cs="Times New Roman" w:hint="default"/>
      <w:b w:val="0"/>
      <w:bCs w:val="0"/>
      <w:i w:val="0"/>
      <w:iCs w:val="0"/>
      <w:color w:val="000000"/>
      <w:sz w:val="20"/>
      <w:szCs w:val="20"/>
    </w:rPr>
  </w:style>
  <w:style w:type="character" w:customStyle="1" w:styleId="fontstyle31">
    <w:name w:val="fontstyle31"/>
    <w:rsid w:val="00BD6013"/>
    <w:rPr>
      <w:rFonts w:ascii="ArialMT" w:hAnsi="ArialMT" w:hint="default"/>
      <w:b w:val="0"/>
      <w:bCs w:val="0"/>
      <w:i w:val="0"/>
      <w:iCs w:val="0"/>
      <w:color w:val="000000"/>
      <w:sz w:val="22"/>
      <w:szCs w:val="22"/>
    </w:rPr>
  </w:style>
  <w:style w:type="paragraph" w:customStyle="1" w:styleId="TableTitle">
    <w:name w:val="Table Title"/>
    <w:basedOn w:val="a0"/>
    <w:next w:val="a0"/>
    <w:autoRedefine/>
    <w:qFormat/>
    <w:rsid w:val="00FE7690"/>
    <w:pPr>
      <w:keepNext/>
      <w:keepLines/>
      <w:tabs>
        <w:tab w:val="num" w:pos="567"/>
      </w:tabs>
      <w:suppressAutoHyphens/>
      <w:spacing w:before="120" w:after="120"/>
      <w:ind w:left="567" w:hanging="567"/>
    </w:pPr>
    <w:rPr>
      <w:rFonts w:cs="Arial"/>
      <w:b/>
      <w:sz w:val="20"/>
      <w:szCs w:val="20"/>
      <w:lang w:eastAsia="en-US"/>
    </w:rPr>
  </w:style>
  <w:style w:type="character" w:customStyle="1" w:styleId="shorttext">
    <w:name w:val="short_text"/>
    <w:basedOn w:val="a1"/>
    <w:rsid w:val="00BD6013"/>
    <w:rPr>
      <w:rFonts w:ascii="Times New Roman" w:hAnsi="Times New Roman" w:cs="Times New Roman" w:hint="default"/>
    </w:rPr>
  </w:style>
  <w:style w:type="character" w:customStyle="1" w:styleId="8pt10">
    <w:name w:val="Основной текст + 8 pt10"/>
    <w:aliases w:val="Интервал 0 pt19"/>
    <w:uiPriority w:val="99"/>
    <w:rsid w:val="00BD6013"/>
    <w:rPr>
      <w:rFonts w:ascii="Bookman Old Style" w:hAnsi="Bookman Old Style" w:hint="default"/>
      <w:strike w:val="0"/>
      <w:dstrike w:val="0"/>
      <w:spacing w:val="0"/>
      <w:sz w:val="16"/>
      <w:u w:val="none"/>
      <w:effect w:val="none"/>
    </w:rPr>
  </w:style>
  <w:style w:type="character" w:customStyle="1" w:styleId="FontStyle14">
    <w:name w:val="Font Style14"/>
    <w:rsid w:val="00BD6013"/>
    <w:rPr>
      <w:rFonts w:ascii="Times New Roman" w:hAnsi="Times New Roman" w:cs="Times New Roman" w:hint="default"/>
      <w:b/>
      <w:bCs w:val="0"/>
      <w:sz w:val="26"/>
    </w:rPr>
  </w:style>
  <w:style w:type="character" w:customStyle="1" w:styleId="longtext1">
    <w:name w:val="long_text1"/>
    <w:basedOn w:val="a1"/>
    <w:rsid w:val="00BD6013"/>
    <w:rPr>
      <w:rFonts w:ascii="Times New Roman" w:hAnsi="Times New Roman" w:cs="Times New Roman" w:hint="default"/>
      <w:sz w:val="20"/>
      <w:szCs w:val="20"/>
    </w:rPr>
  </w:style>
  <w:style w:type="paragraph" w:customStyle="1" w:styleId="112">
    <w:name w:val="Абзац списку11"/>
    <w:basedOn w:val="a0"/>
    <w:uiPriority w:val="99"/>
    <w:qFormat/>
    <w:rsid w:val="00BD6013"/>
    <w:pPr>
      <w:spacing w:after="200" w:line="276" w:lineRule="auto"/>
      <w:ind w:left="720"/>
    </w:pPr>
    <w:rPr>
      <w:rFonts w:ascii="Calibri" w:eastAsia="Calibri" w:hAnsi="Calibri" w:cs="Calibri"/>
      <w:szCs w:val="22"/>
      <w:lang w:eastAsia="en-US"/>
    </w:rPr>
  </w:style>
  <w:style w:type="paragraph" w:customStyle="1" w:styleId="WW-Normal">
    <w:name w:val="WW-Normal"/>
    <w:rsid w:val="002B719F"/>
    <w:pPr>
      <w:suppressAutoHyphens/>
      <w:autoSpaceDE w:val="0"/>
    </w:pPr>
    <w:rPr>
      <w:rFonts w:eastAsia="Arial"/>
      <w:color w:val="000000"/>
      <w:sz w:val="24"/>
      <w:szCs w:val="24"/>
      <w:lang w:val="ru-RU" w:eastAsia="ar-SA"/>
    </w:rPr>
  </w:style>
  <w:style w:type="paragraph" w:customStyle="1" w:styleId="N">
    <w:name w:val="N"/>
    <w:qFormat/>
    <w:rsid w:val="002B719F"/>
    <w:pPr>
      <w:spacing w:after="200" w:line="276" w:lineRule="auto"/>
    </w:pPr>
    <w:rPr>
      <w:rFonts w:ascii="Calibri" w:eastAsia="Calibri" w:hAnsi="Calibri"/>
      <w:sz w:val="22"/>
      <w:szCs w:val="22"/>
      <w:lang w:val="ru-RU" w:eastAsia="en-US"/>
    </w:rPr>
  </w:style>
  <w:style w:type="paragraph" w:customStyle="1" w:styleId="Style8">
    <w:name w:val="Style8"/>
    <w:basedOn w:val="a0"/>
    <w:rsid w:val="002B719F"/>
    <w:pPr>
      <w:widowControl w:val="0"/>
      <w:suppressAutoHyphens/>
      <w:autoSpaceDE w:val="0"/>
      <w:spacing w:line="323" w:lineRule="exact"/>
      <w:ind w:firstLine="696"/>
    </w:pPr>
    <w:rPr>
      <w:rFonts w:ascii="Times New Roman" w:eastAsia="SimSun" w:hAnsi="Times New Roman" w:cs="Mangal"/>
      <w:kern w:val="2"/>
      <w:sz w:val="24"/>
      <w:lang w:eastAsia="hi-IN" w:bidi="hi-IN"/>
    </w:rPr>
  </w:style>
  <w:style w:type="character" w:customStyle="1" w:styleId="FontStyle13">
    <w:name w:val="Font Style13"/>
    <w:rsid w:val="002B719F"/>
    <w:rPr>
      <w:rFonts w:ascii="Times New Roman" w:hAnsi="Times New Roman" w:cs="Times New Roman" w:hint="default"/>
      <w:sz w:val="26"/>
      <w:szCs w:val="26"/>
    </w:rPr>
  </w:style>
  <w:style w:type="character" w:customStyle="1" w:styleId="afff0">
    <w:name w:val="Абзац списку Знак"/>
    <w:aliases w:val="Resume Title Знак,List Paragraph - bullets Знак"/>
    <w:link w:val="1f4"/>
    <w:uiPriority w:val="99"/>
    <w:locked/>
    <w:rsid w:val="003356A1"/>
    <w:rPr>
      <w:lang w:eastAsia="ru-RU"/>
    </w:rPr>
  </w:style>
  <w:style w:type="paragraph" w:customStyle="1" w:styleId="76">
    <w:name w:val="Основной текст (7)"/>
    <w:basedOn w:val="a0"/>
    <w:rsid w:val="003356A1"/>
    <w:pPr>
      <w:widowControl w:val="0"/>
      <w:shd w:val="clear" w:color="auto" w:fill="FFFFFF"/>
      <w:spacing w:before="480" w:after="60" w:line="0" w:lineRule="atLeast"/>
    </w:pPr>
    <w:rPr>
      <w:rFonts w:ascii="Calibri" w:hAnsi="Calibri"/>
      <w:b/>
      <w:bCs/>
      <w:sz w:val="20"/>
      <w:szCs w:val="20"/>
      <w:lang w:eastAsia="uk-UA"/>
    </w:rPr>
  </w:style>
  <w:style w:type="character" w:customStyle="1" w:styleId="77">
    <w:name w:val="Основной текст (7) + Не полужирный;Курсив"/>
    <w:rsid w:val="003356A1"/>
    <w:rPr>
      <w:rFonts w:ascii="Times New Roman" w:eastAsia="Times New Roman" w:hAnsi="Times New Roman"/>
      <w:b/>
      <w:bCs/>
      <w:i/>
      <w:iCs/>
      <w:color w:val="000000"/>
      <w:spacing w:val="0"/>
      <w:w w:val="100"/>
      <w:position w:val="0"/>
      <w:sz w:val="24"/>
      <w:szCs w:val="24"/>
      <w:shd w:val="clear" w:color="auto" w:fill="FFFFFF"/>
      <w:lang w:val="uk-UA" w:eastAsia="uk-UA" w:bidi="uk-UA"/>
    </w:rPr>
  </w:style>
  <w:style w:type="character" w:customStyle="1" w:styleId="aff8">
    <w:name w:val="Текст Знак"/>
    <w:aliases w:val="Текст Знак Знак Знак"/>
    <w:link w:val="aff7"/>
    <w:rsid w:val="003356A1"/>
    <w:rPr>
      <w:sz w:val="24"/>
      <w:szCs w:val="24"/>
      <w:lang w:val="ru-RU" w:eastAsia="ru-RU"/>
    </w:rPr>
  </w:style>
  <w:style w:type="paragraph" w:customStyle="1" w:styleId="login-buttonuser">
    <w:name w:val="login-button__user"/>
    <w:basedOn w:val="a0"/>
    <w:rsid w:val="003356A1"/>
    <w:pPr>
      <w:spacing w:before="100" w:beforeAutospacing="1" w:after="100" w:afterAutospacing="1"/>
    </w:pPr>
    <w:rPr>
      <w:rFonts w:ascii="Times New Roman" w:hAnsi="Times New Roman"/>
      <w:sz w:val="24"/>
      <w:lang w:val="ru-RU"/>
    </w:rPr>
  </w:style>
  <w:style w:type="character" w:customStyle="1" w:styleId="text">
    <w:name w:val="text"/>
    <w:basedOn w:val="a1"/>
    <w:rsid w:val="00566BD0"/>
  </w:style>
  <w:style w:type="character" w:styleId="affff1">
    <w:name w:val="FollowedHyperlink"/>
    <w:basedOn w:val="a1"/>
    <w:unhideWhenUsed/>
    <w:rsid w:val="00C9083B"/>
    <w:rPr>
      <w:color w:val="800080" w:themeColor="followedHyperlink"/>
      <w:u w:val="single"/>
    </w:rPr>
  </w:style>
  <w:style w:type="character" w:customStyle="1" w:styleId="affff2">
    <w:name w:val="Основной текст_ Знак"/>
    <w:locked/>
    <w:rsid w:val="007977BC"/>
    <w:rPr>
      <w:shd w:val="clear" w:color="auto" w:fill="FFFFFF"/>
    </w:rPr>
  </w:style>
  <w:style w:type="paragraph" w:customStyle="1" w:styleId="rvps2">
    <w:name w:val="rvps2"/>
    <w:basedOn w:val="a0"/>
    <w:rsid w:val="000232BE"/>
    <w:pPr>
      <w:spacing w:before="100" w:beforeAutospacing="1" w:after="100" w:afterAutospacing="1"/>
    </w:pPr>
    <w:rPr>
      <w:rFonts w:ascii="Times New Roman" w:hAnsi="Times New Roman"/>
      <w:sz w:val="24"/>
      <w:lang w:val="ru-RU"/>
    </w:rPr>
  </w:style>
  <w:style w:type="character" w:customStyle="1" w:styleId="295pt0pt">
    <w:name w:val="Основной текст (2) + 9;5 pt;Интервал 0 pt"/>
    <w:rsid w:val="00274845"/>
    <w:rPr>
      <w:rFonts w:ascii="Times New Roman" w:eastAsia="Times New Roman" w:hAnsi="Times New Roman" w:cs="Times New Roman"/>
      <w:b w:val="0"/>
      <w:bCs w:val="0"/>
      <w:i w:val="0"/>
      <w:iCs w:val="0"/>
      <w:smallCaps w:val="0"/>
      <w:strike w:val="0"/>
      <w:color w:val="000000"/>
      <w:spacing w:val="10"/>
      <w:w w:val="100"/>
      <w:position w:val="0"/>
      <w:sz w:val="19"/>
      <w:szCs w:val="19"/>
      <w:u w:val="none"/>
      <w:lang w:val="uk-UA" w:eastAsia="uk-UA" w:bidi="uk-UA"/>
    </w:rPr>
  </w:style>
  <w:style w:type="character" w:customStyle="1" w:styleId="2a">
    <w:name w:val="Основной текст (2)_"/>
    <w:link w:val="2b"/>
    <w:rsid w:val="00274845"/>
    <w:rPr>
      <w:sz w:val="26"/>
      <w:szCs w:val="26"/>
      <w:shd w:val="clear" w:color="auto" w:fill="FFFFFF"/>
    </w:rPr>
  </w:style>
  <w:style w:type="paragraph" w:customStyle="1" w:styleId="2b">
    <w:name w:val="Основной текст (2)"/>
    <w:basedOn w:val="a0"/>
    <w:link w:val="2a"/>
    <w:rsid w:val="00274845"/>
    <w:pPr>
      <w:widowControl w:val="0"/>
      <w:shd w:val="clear" w:color="auto" w:fill="FFFFFF"/>
      <w:spacing w:before="1260" w:after="360" w:line="0" w:lineRule="atLeast"/>
    </w:pPr>
    <w:rPr>
      <w:rFonts w:ascii="Times New Roman" w:hAnsi="Times New Roman"/>
      <w:sz w:val="26"/>
      <w:szCs w:val="26"/>
      <w:lang w:eastAsia="uk-UA"/>
    </w:rPr>
  </w:style>
  <w:style w:type="character" w:customStyle="1" w:styleId="295pt">
    <w:name w:val="Основной текст (2) + 9;5 pt;Полужирный"/>
    <w:rsid w:val="00274845"/>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uk-UA" w:eastAsia="uk-UA" w:bidi="uk-UA"/>
    </w:rPr>
  </w:style>
  <w:style w:type="character" w:customStyle="1" w:styleId="28pt">
    <w:name w:val="Основной текст (2) + 8 pt;Полужирный"/>
    <w:rsid w:val="00274845"/>
    <w:rPr>
      <w:rFonts w:ascii="Times New Roman" w:eastAsia="Times New Roman" w:hAnsi="Times New Roman" w:cs="Times New Roman"/>
      <w:b/>
      <w:bCs/>
      <w:i w:val="0"/>
      <w:iCs w:val="0"/>
      <w:smallCaps w:val="0"/>
      <w:strike w:val="0"/>
      <w:color w:val="000000"/>
      <w:spacing w:val="0"/>
      <w:w w:val="100"/>
      <w:position w:val="0"/>
      <w:sz w:val="16"/>
      <w:szCs w:val="16"/>
      <w:u w:val="none"/>
      <w:shd w:val="clear" w:color="auto" w:fill="FFFFFF"/>
      <w:lang w:val="uk-UA" w:eastAsia="uk-UA" w:bidi="uk-UA"/>
    </w:rPr>
  </w:style>
  <w:style w:type="character" w:customStyle="1" w:styleId="29pt0pt">
    <w:name w:val="Основной текст (2) + 9 pt;Полужирный;Интервал 0 pt"/>
    <w:rsid w:val="00274845"/>
    <w:rPr>
      <w:rFonts w:ascii="Times New Roman" w:eastAsia="Times New Roman" w:hAnsi="Times New Roman" w:cs="Times New Roman"/>
      <w:b/>
      <w:bCs/>
      <w:i w:val="0"/>
      <w:iCs w:val="0"/>
      <w:smallCaps w:val="0"/>
      <w:strike w:val="0"/>
      <w:color w:val="000000"/>
      <w:spacing w:val="10"/>
      <w:w w:val="100"/>
      <w:position w:val="0"/>
      <w:sz w:val="18"/>
      <w:szCs w:val="18"/>
      <w:u w:val="none"/>
      <w:shd w:val="clear" w:color="auto" w:fill="FFFFFF"/>
      <w:lang w:val="uk-UA" w:eastAsia="uk-UA" w:bidi="uk-UA"/>
    </w:rPr>
  </w:style>
  <w:style w:type="table" w:customStyle="1" w:styleId="39">
    <w:name w:val="Сетка таблицы3"/>
    <w:basedOn w:val="a2"/>
    <w:next w:val="a4"/>
    <w:uiPriority w:val="59"/>
    <w:rsid w:val="00083BE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Стиль31"/>
    <w:rsid w:val="00620F7D"/>
  </w:style>
  <w:style w:type="numbering" w:customStyle="1" w:styleId="410">
    <w:name w:val="Стиль41"/>
    <w:rsid w:val="00620F7D"/>
  </w:style>
  <w:style w:type="numbering" w:customStyle="1" w:styleId="320">
    <w:name w:val="Стиль32"/>
    <w:rsid w:val="00A36EB4"/>
  </w:style>
  <w:style w:type="numbering" w:customStyle="1" w:styleId="420">
    <w:name w:val="Стиль42"/>
    <w:rsid w:val="00A36EB4"/>
  </w:style>
  <w:style w:type="character" w:styleId="affff3">
    <w:name w:val="Placeholder Text"/>
    <w:basedOn w:val="a1"/>
    <w:uiPriority w:val="99"/>
    <w:semiHidden/>
    <w:rsid w:val="00966349"/>
    <w:rPr>
      <w:color w:val="808080"/>
    </w:rPr>
  </w:style>
  <w:style w:type="character" w:customStyle="1" w:styleId="50">
    <w:name w:val="Заголовок 5 Знак"/>
    <w:basedOn w:val="a1"/>
    <w:link w:val="5"/>
    <w:rsid w:val="00F4296B"/>
    <w:rPr>
      <w:b/>
      <w:bCs/>
      <w:sz w:val="28"/>
      <w:szCs w:val="28"/>
      <w:u w:val="single"/>
      <w:shd w:val="clear" w:color="auto" w:fill="FFFFFF"/>
      <w:lang w:eastAsia="ru-RU"/>
    </w:rPr>
  </w:style>
  <w:style w:type="character" w:customStyle="1" w:styleId="71">
    <w:name w:val="Заголовок 7 Знак"/>
    <w:basedOn w:val="a1"/>
    <w:link w:val="70"/>
    <w:rsid w:val="00F4296B"/>
    <w:rPr>
      <w:b/>
      <w:bCs/>
      <w:color w:val="000000"/>
      <w:spacing w:val="-3"/>
      <w:w w:val="116"/>
      <w:sz w:val="28"/>
      <w:szCs w:val="28"/>
      <w:lang w:eastAsia="ru-RU"/>
    </w:rPr>
  </w:style>
  <w:style w:type="character" w:customStyle="1" w:styleId="80">
    <w:name w:val="Заголовок 8 Знак"/>
    <w:basedOn w:val="a1"/>
    <w:link w:val="8"/>
    <w:rsid w:val="00F4296B"/>
    <w:rPr>
      <w:b/>
      <w:bCs/>
      <w:sz w:val="28"/>
      <w:szCs w:val="28"/>
      <w:lang w:eastAsia="ru-RU"/>
    </w:rPr>
  </w:style>
  <w:style w:type="numbering" w:customStyle="1" w:styleId="1f8">
    <w:name w:val="Нет списка1"/>
    <w:next w:val="a3"/>
    <w:uiPriority w:val="99"/>
    <w:semiHidden/>
    <w:unhideWhenUsed/>
    <w:rsid w:val="00F4296B"/>
  </w:style>
  <w:style w:type="paragraph" w:customStyle="1" w:styleId="1f9">
    <w:name w:val="заголовок 1"/>
    <w:basedOn w:val="a0"/>
    <w:next w:val="a0"/>
    <w:rsid w:val="00F4296B"/>
    <w:pPr>
      <w:keepNext/>
    </w:pPr>
    <w:rPr>
      <w:snapToGrid w:val="0"/>
      <w:color w:val="0000FF"/>
      <w:sz w:val="32"/>
      <w:szCs w:val="20"/>
      <w:lang w:val="ru-RU"/>
    </w:rPr>
  </w:style>
  <w:style w:type="paragraph" w:customStyle="1" w:styleId="43">
    <w:name w:val="4"/>
    <w:basedOn w:val="a0"/>
    <w:rsid w:val="00F4296B"/>
    <w:pPr>
      <w:spacing w:before="100" w:beforeAutospacing="1" w:after="100" w:afterAutospacing="1"/>
    </w:pPr>
    <w:rPr>
      <w:rFonts w:ascii="Times New Roman" w:hAnsi="Times New Roman"/>
      <w:sz w:val="24"/>
      <w:lang w:val="ru-RU"/>
    </w:rPr>
  </w:style>
  <w:style w:type="numbering" w:customStyle="1" w:styleId="113">
    <w:name w:val="Нет списка11"/>
    <w:next w:val="a3"/>
    <w:uiPriority w:val="99"/>
    <w:semiHidden/>
    <w:unhideWhenUsed/>
    <w:rsid w:val="00F4296B"/>
  </w:style>
  <w:style w:type="paragraph" w:styleId="affff4">
    <w:name w:val="Block Text"/>
    <w:basedOn w:val="a0"/>
    <w:rsid w:val="00F4296B"/>
    <w:pPr>
      <w:widowControl w:val="0"/>
      <w:shd w:val="clear" w:color="auto" w:fill="FFFFFF"/>
      <w:tabs>
        <w:tab w:val="left" w:pos="158"/>
        <w:tab w:val="left" w:pos="7229"/>
      </w:tabs>
      <w:autoSpaceDE w:val="0"/>
      <w:autoSpaceDN w:val="0"/>
      <w:adjustRightInd w:val="0"/>
      <w:spacing w:before="5"/>
      <w:ind w:left="567" w:right="1037" w:firstLine="709"/>
      <w:jc w:val="both"/>
    </w:pPr>
    <w:rPr>
      <w:rFonts w:ascii="Times New Roman" w:hAnsi="Times New Roman"/>
      <w:sz w:val="28"/>
      <w:szCs w:val="28"/>
    </w:rPr>
  </w:style>
  <w:style w:type="paragraph" w:customStyle="1" w:styleId="14pt">
    <w:name w:val="Стиль 14 pt полужирный по центру"/>
    <w:basedOn w:val="a0"/>
    <w:rsid w:val="00F4296B"/>
    <w:pPr>
      <w:ind w:firstLine="709"/>
      <w:jc w:val="center"/>
    </w:pPr>
    <w:rPr>
      <w:rFonts w:ascii="Times New Roman" w:hAnsi="Times New Roman"/>
      <w:b/>
      <w:bCs/>
      <w:sz w:val="32"/>
      <w:szCs w:val="32"/>
      <w:lang w:val="ru-RU"/>
    </w:rPr>
  </w:style>
  <w:style w:type="paragraph" w:customStyle="1" w:styleId="NormalText">
    <w:name w:val="Normal Text"/>
    <w:basedOn w:val="a0"/>
    <w:rsid w:val="00F4296B"/>
    <w:pPr>
      <w:ind w:firstLine="567"/>
      <w:jc w:val="both"/>
    </w:pPr>
    <w:rPr>
      <w:rFonts w:ascii="Times New Roman" w:hAnsi="Times New Roman"/>
      <w:sz w:val="26"/>
      <w:szCs w:val="20"/>
      <w:lang w:val="en-US"/>
    </w:rPr>
  </w:style>
  <w:style w:type="paragraph" w:customStyle="1" w:styleId="Normal12">
    <w:name w:val="Normal12"/>
    <w:basedOn w:val="a0"/>
    <w:rsid w:val="00F4296B"/>
    <w:pPr>
      <w:spacing w:after="120"/>
      <w:ind w:firstLine="709"/>
      <w:jc w:val="both"/>
    </w:pPr>
    <w:rPr>
      <w:rFonts w:ascii="Times New Roman" w:hAnsi="Times New Roman"/>
      <w:sz w:val="24"/>
      <w:szCs w:val="20"/>
      <w:lang w:val="en-US"/>
    </w:rPr>
  </w:style>
  <w:style w:type="paragraph" w:customStyle="1" w:styleId="affff5">
    <w:name w:val="Знак Знак Знак Знак Знак Знак"/>
    <w:basedOn w:val="a0"/>
    <w:rsid w:val="00F4296B"/>
    <w:pPr>
      <w:ind w:firstLine="709"/>
      <w:jc w:val="both"/>
    </w:pPr>
    <w:rPr>
      <w:rFonts w:ascii="Verdana" w:hAnsi="Verdana" w:cs="Verdana"/>
      <w:sz w:val="20"/>
      <w:szCs w:val="20"/>
      <w:lang w:val="en-US" w:eastAsia="en-US"/>
    </w:rPr>
  </w:style>
  <w:style w:type="character" w:customStyle="1" w:styleId="rvts30">
    <w:name w:val="rvts30"/>
    <w:rsid w:val="00F4296B"/>
    <w:rPr>
      <w:rFonts w:ascii="Times New Roman" w:hAnsi="Times New Roman" w:cs="Times New Roman" w:hint="default"/>
      <w:sz w:val="24"/>
      <w:szCs w:val="24"/>
    </w:rPr>
  </w:style>
  <w:style w:type="character" w:customStyle="1" w:styleId="rvts31">
    <w:name w:val="rvts31"/>
    <w:rsid w:val="00F4296B"/>
    <w:rPr>
      <w:rFonts w:ascii="Times New Roman" w:hAnsi="Times New Roman" w:cs="Times New Roman" w:hint="default"/>
      <w:sz w:val="24"/>
      <w:szCs w:val="24"/>
    </w:rPr>
  </w:style>
  <w:style w:type="character" w:customStyle="1" w:styleId="rvts6">
    <w:name w:val="rvts6"/>
    <w:rsid w:val="00F4296B"/>
    <w:rPr>
      <w:rFonts w:ascii="Times New Roman" w:hAnsi="Times New Roman" w:cs="Times New Roman" w:hint="default"/>
      <w:sz w:val="28"/>
      <w:szCs w:val="28"/>
    </w:rPr>
  </w:style>
  <w:style w:type="paragraph" w:customStyle="1" w:styleId="1fa">
    <w:name w:val="Знак Знак Знак Знак1"/>
    <w:basedOn w:val="a0"/>
    <w:rsid w:val="00F4296B"/>
    <w:pPr>
      <w:ind w:firstLine="709"/>
      <w:jc w:val="both"/>
    </w:pPr>
    <w:rPr>
      <w:rFonts w:ascii="Garamond" w:hAnsi="Garamond"/>
      <w:kern w:val="18"/>
      <w:sz w:val="20"/>
      <w:szCs w:val="20"/>
      <w:lang w:val="ru-RU" w:eastAsia="en-US" w:bidi="he-IL"/>
    </w:rPr>
  </w:style>
  <w:style w:type="character" w:customStyle="1" w:styleId="b-serp-urlitem">
    <w:name w:val="b-serp-url__item"/>
    <w:rsid w:val="00F4296B"/>
  </w:style>
  <w:style w:type="paragraph" w:customStyle="1" w:styleId="affff6">
    <w:name w:val="Нормальний текст"/>
    <w:basedOn w:val="a0"/>
    <w:rsid w:val="00F4296B"/>
    <w:pPr>
      <w:spacing w:before="120"/>
      <w:ind w:firstLine="567"/>
      <w:jc w:val="both"/>
    </w:pPr>
    <w:rPr>
      <w:rFonts w:ascii="Antiqua" w:hAnsi="Antiqua" w:cs="Antiqua"/>
      <w:sz w:val="26"/>
      <w:szCs w:val="26"/>
    </w:rPr>
  </w:style>
  <w:style w:type="paragraph" w:customStyle="1" w:styleId="210">
    <w:name w:val="Основной текст с отступом 21"/>
    <w:basedOn w:val="a0"/>
    <w:rsid w:val="00F4296B"/>
    <w:pPr>
      <w:suppressAutoHyphens/>
      <w:ind w:firstLine="720"/>
      <w:jc w:val="both"/>
    </w:pPr>
    <w:rPr>
      <w:rFonts w:ascii="Times New Roman" w:hAnsi="Times New Roman"/>
      <w:sz w:val="28"/>
      <w:szCs w:val="28"/>
      <w:lang w:eastAsia="ar-SA"/>
    </w:rPr>
  </w:style>
  <w:style w:type="paragraph" w:customStyle="1" w:styleId="tekst-progr2------------">
    <w:name w:val="tekst-progr2------------"/>
    <w:basedOn w:val="a0"/>
    <w:autoRedefine/>
    <w:rsid w:val="00F4296B"/>
    <w:pPr>
      <w:tabs>
        <w:tab w:val="num" w:pos="0"/>
        <w:tab w:val="num" w:pos="360"/>
        <w:tab w:val="left" w:pos="709"/>
      </w:tabs>
      <w:ind w:firstLine="540"/>
      <w:jc w:val="both"/>
    </w:pPr>
    <w:rPr>
      <w:rFonts w:ascii="Times New Roman" w:hAnsi="Times New Roman"/>
      <w:sz w:val="28"/>
      <w:szCs w:val="28"/>
    </w:rPr>
  </w:style>
  <w:style w:type="character" w:customStyle="1" w:styleId="1fb">
    <w:name w:val="Знак Знак1"/>
    <w:rsid w:val="00F4296B"/>
    <w:rPr>
      <w:sz w:val="28"/>
      <w:szCs w:val="28"/>
      <w:lang w:val="uk-UA" w:eastAsia="ru-RU" w:bidi="ar-SA"/>
    </w:rPr>
  </w:style>
  <w:style w:type="paragraph" w:customStyle="1" w:styleId="affff7">
    <w:name w:val="Знак Знак Знак Знак Знак Знак Знак"/>
    <w:basedOn w:val="a0"/>
    <w:rsid w:val="00F4296B"/>
    <w:pPr>
      <w:ind w:firstLine="709"/>
      <w:jc w:val="both"/>
    </w:pPr>
    <w:rPr>
      <w:rFonts w:ascii="Garamond" w:hAnsi="Garamond"/>
      <w:kern w:val="18"/>
      <w:sz w:val="20"/>
      <w:szCs w:val="20"/>
      <w:lang w:val="ru-RU" w:eastAsia="en-US" w:bidi="he-IL"/>
    </w:rPr>
  </w:style>
  <w:style w:type="paragraph" w:customStyle="1" w:styleId="1fc">
    <w:name w:val="1 Знак"/>
    <w:basedOn w:val="a0"/>
    <w:rsid w:val="00F4296B"/>
    <w:pPr>
      <w:ind w:firstLine="709"/>
      <w:jc w:val="both"/>
    </w:pPr>
    <w:rPr>
      <w:rFonts w:ascii="Verdana" w:hAnsi="Verdana"/>
      <w:sz w:val="20"/>
      <w:szCs w:val="20"/>
      <w:lang w:val="en-US" w:eastAsia="en-US"/>
    </w:rPr>
  </w:style>
  <w:style w:type="paragraph" w:customStyle="1" w:styleId="1fd">
    <w:name w:val="Знак1"/>
    <w:basedOn w:val="a0"/>
    <w:rsid w:val="00F4296B"/>
    <w:pPr>
      <w:ind w:firstLine="709"/>
      <w:jc w:val="both"/>
    </w:pPr>
    <w:rPr>
      <w:rFonts w:ascii="Verdana" w:hAnsi="Verdana" w:cs="Verdana"/>
      <w:sz w:val="20"/>
      <w:szCs w:val="20"/>
      <w:lang w:val="en-US" w:eastAsia="en-US"/>
    </w:rPr>
  </w:style>
  <w:style w:type="character" w:customStyle="1" w:styleId="affff8">
    <w:name w:val="Без интервала Знак"/>
    <w:uiPriority w:val="1"/>
    <w:locked/>
    <w:rsid w:val="00F4296B"/>
    <w:rPr>
      <w:rFonts w:ascii="Calibri" w:hAnsi="Calibri"/>
      <w:sz w:val="22"/>
      <w:szCs w:val="22"/>
      <w:lang w:val="ru-RU" w:eastAsia="ru-RU" w:bidi="ar-SA"/>
    </w:rPr>
  </w:style>
  <w:style w:type="character" w:customStyle="1" w:styleId="FontStyle11">
    <w:name w:val="Font Style11"/>
    <w:rsid w:val="00F4296B"/>
    <w:rPr>
      <w:rFonts w:ascii="Times New Roman" w:hAnsi="Times New Roman" w:cs="Times New Roman" w:hint="default"/>
      <w:sz w:val="26"/>
      <w:szCs w:val="26"/>
    </w:rPr>
  </w:style>
  <w:style w:type="paragraph" w:customStyle="1" w:styleId="acxspmiddle">
    <w:name w:val="acxspmiddle"/>
    <w:basedOn w:val="a0"/>
    <w:rsid w:val="00F4296B"/>
    <w:pPr>
      <w:spacing w:before="100" w:beforeAutospacing="1" w:after="100" w:afterAutospacing="1"/>
      <w:ind w:firstLine="709"/>
      <w:jc w:val="both"/>
    </w:pPr>
    <w:rPr>
      <w:rFonts w:ascii="Times New Roman" w:hAnsi="Times New Roman"/>
      <w:sz w:val="24"/>
      <w:lang w:val="ru-RU"/>
    </w:rPr>
  </w:style>
  <w:style w:type="paragraph" w:customStyle="1" w:styleId="acxsplast">
    <w:name w:val="acxsplast"/>
    <w:basedOn w:val="a0"/>
    <w:rsid w:val="00F4296B"/>
    <w:pPr>
      <w:spacing w:before="100" w:beforeAutospacing="1" w:after="100" w:afterAutospacing="1"/>
      <w:ind w:firstLine="709"/>
      <w:jc w:val="both"/>
    </w:pPr>
    <w:rPr>
      <w:rFonts w:ascii="Times New Roman" w:hAnsi="Times New Roman"/>
      <w:sz w:val="24"/>
      <w:lang w:val="ru-RU"/>
    </w:rPr>
  </w:style>
  <w:style w:type="character" w:customStyle="1" w:styleId="affff9">
    <w:name w:val="Номер таблиці Знак Знак"/>
    <w:locked/>
    <w:rsid w:val="00F4296B"/>
    <w:rPr>
      <w:b/>
      <w:bCs/>
      <w:sz w:val="28"/>
      <w:szCs w:val="28"/>
      <w:lang w:val="uk-UA" w:eastAsia="ru-RU" w:bidi="ar-SA"/>
    </w:rPr>
  </w:style>
  <w:style w:type="paragraph" w:customStyle="1" w:styleId="311">
    <w:name w:val="Основной текст с отступом 31"/>
    <w:basedOn w:val="a0"/>
    <w:rsid w:val="00F4296B"/>
    <w:pPr>
      <w:ind w:firstLine="709"/>
      <w:jc w:val="both"/>
    </w:pPr>
    <w:rPr>
      <w:rFonts w:ascii="Times New Roman" w:hAnsi="Times New Roman"/>
      <w:sz w:val="28"/>
      <w:szCs w:val="20"/>
    </w:rPr>
  </w:style>
  <w:style w:type="paragraph" w:customStyle="1" w:styleId="150">
    <w:name w:val="Знак15"/>
    <w:basedOn w:val="a0"/>
    <w:rsid w:val="00F4296B"/>
    <w:pPr>
      <w:ind w:firstLine="709"/>
      <w:jc w:val="both"/>
    </w:pPr>
    <w:rPr>
      <w:rFonts w:ascii="Verdana" w:hAnsi="Verdana" w:cs="Verdana"/>
      <w:sz w:val="20"/>
      <w:szCs w:val="20"/>
      <w:lang w:val="en-US" w:eastAsia="en-US"/>
    </w:rPr>
  </w:style>
  <w:style w:type="paragraph" w:customStyle="1" w:styleId="affffa">
    <w:name w:val="Знак Знак Знак Знак Знак Знак Знак Знак Знак Знак Знак Знак Знак"/>
    <w:basedOn w:val="a0"/>
    <w:rsid w:val="00F4296B"/>
    <w:pPr>
      <w:ind w:firstLine="709"/>
      <w:jc w:val="both"/>
    </w:pPr>
    <w:rPr>
      <w:rFonts w:ascii="Verdana" w:hAnsi="Verdana" w:cs="Verdana"/>
      <w:sz w:val="24"/>
      <w:lang w:val="en-US" w:eastAsia="en-US"/>
    </w:rPr>
  </w:style>
  <w:style w:type="character" w:customStyle="1" w:styleId="st">
    <w:name w:val="st"/>
    <w:rsid w:val="00F4296B"/>
  </w:style>
  <w:style w:type="table" w:customStyle="1" w:styleId="44">
    <w:name w:val="Сетка таблицы4"/>
    <w:basedOn w:val="a2"/>
    <w:next w:val="a4"/>
    <w:rsid w:val="00F429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e">
    <w:name w:val="Знак Знак Знак Знак Знак Знак1 Знак Знак Знак Знак Знак Знак Знак"/>
    <w:basedOn w:val="a0"/>
    <w:rsid w:val="00F4296B"/>
    <w:rPr>
      <w:rFonts w:ascii="Verdana" w:hAnsi="Verdana" w:cs="Verdana"/>
      <w:sz w:val="20"/>
      <w:szCs w:val="20"/>
      <w:lang w:val="en-US" w:eastAsia="en-US"/>
    </w:rPr>
  </w:style>
  <w:style w:type="character" w:customStyle="1" w:styleId="textexposedshow">
    <w:name w:val="text_exposed_show"/>
    <w:rsid w:val="00F4296B"/>
  </w:style>
  <w:style w:type="character" w:customStyle="1" w:styleId="Bodytext">
    <w:name w:val="Body text_"/>
    <w:link w:val="Bodytext1"/>
    <w:locked/>
    <w:rsid w:val="00F4296B"/>
    <w:rPr>
      <w:sz w:val="19"/>
      <w:szCs w:val="19"/>
      <w:shd w:val="clear" w:color="auto" w:fill="FFFFFF"/>
    </w:rPr>
  </w:style>
  <w:style w:type="paragraph" w:customStyle="1" w:styleId="Bodytext1">
    <w:name w:val="Body text1"/>
    <w:basedOn w:val="a0"/>
    <w:link w:val="Bodytext"/>
    <w:rsid w:val="00F4296B"/>
    <w:pPr>
      <w:shd w:val="clear" w:color="auto" w:fill="FFFFFF"/>
      <w:spacing w:line="226" w:lineRule="exact"/>
      <w:ind w:firstLine="709"/>
      <w:jc w:val="both"/>
    </w:pPr>
    <w:rPr>
      <w:rFonts w:ascii="Times New Roman" w:hAnsi="Times New Roman"/>
      <w:sz w:val="19"/>
      <w:szCs w:val="19"/>
      <w:lang w:eastAsia="uk-UA"/>
    </w:rPr>
  </w:style>
  <w:style w:type="character" w:customStyle="1" w:styleId="FontStyle79">
    <w:name w:val="Font Style79"/>
    <w:rsid w:val="00F4296B"/>
    <w:rPr>
      <w:rFonts w:ascii="Times New Roman" w:hAnsi="Times New Roman" w:cs="Times New Roman"/>
      <w:sz w:val="34"/>
      <w:szCs w:val="34"/>
    </w:rPr>
  </w:style>
  <w:style w:type="paragraph" w:customStyle="1" w:styleId="34">
    <w:name w:val="Основной текст3"/>
    <w:basedOn w:val="a0"/>
    <w:link w:val="afff6"/>
    <w:rsid w:val="00F4296B"/>
    <w:pPr>
      <w:shd w:val="clear" w:color="auto" w:fill="FFFFFF"/>
      <w:spacing w:before="600" w:line="322" w:lineRule="exact"/>
      <w:jc w:val="both"/>
    </w:pPr>
    <w:rPr>
      <w:rFonts w:ascii="Times New Roman" w:hAnsi="Times New Roman"/>
      <w:sz w:val="24"/>
      <w:lang w:val="ru-RU" w:eastAsia="ar-SA"/>
    </w:rPr>
  </w:style>
  <w:style w:type="paragraph" w:customStyle="1" w:styleId="FR2">
    <w:name w:val="FR2"/>
    <w:rsid w:val="00F4296B"/>
    <w:pPr>
      <w:widowControl w:val="0"/>
      <w:snapToGrid w:val="0"/>
      <w:spacing w:line="300" w:lineRule="auto"/>
      <w:ind w:left="4000"/>
    </w:pPr>
    <w:rPr>
      <w:sz w:val="24"/>
      <w:lang w:eastAsia="ru-RU"/>
    </w:rPr>
  </w:style>
  <w:style w:type="paragraph" w:customStyle="1" w:styleId="312">
    <w:name w:val="Основной текст 31"/>
    <w:basedOn w:val="a0"/>
    <w:rsid w:val="00F4296B"/>
    <w:pPr>
      <w:suppressAutoHyphens/>
      <w:ind w:firstLine="709"/>
      <w:jc w:val="both"/>
    </w:pPr>
    <w:rPr>
      <w:rFonts w:ascii="Times New Roman" w:hAnsi="Times New Roman" w:cs="Calibri"/>
      <w:sz w:val="28"/>
      <w:lang w:eastAsia="ar-SA"/>
    </w:rPr>
  </w:style>
  <w:style w:type="paragraph" w:customStyle="1" w:styleId="1ff">
    <w:name w:val="Звичайний1"/>
    <w:rsid w:val="00F4296B"/>
    <w:pPr>
      <w:suppressAutoHyphens/>
      <w:jc w:val="both"/>
      <w:textAlignment w:val="baseline"/>
    </w:pPr>
    <w:rPr>
      <w:sz w:val="26"/>
      <w:szCs w:val="26"/>
      <w:lang w:eastAsia="zh-CN"/>
    </w:rPr>
  </w:style>
  <w:style w:type="table" w:customStyle="1" w:styleId="114">
    <w:name w:val="Сетка таблицы11"/>
    <w:basedOn w:val="a2"/>
    <w:next w:val="a4"/>
    <w:uiPriority w:val="39"/>
    <w:rsid w:val="00F4296B"/>
    <w:rPr>
      <w:rFonts w:ascii="Calibri" w:eastAsia="Calibri" w:hAnsi="Calibri"/>
      <w:sz w:val="22"/>
      <w:szCs w:val="22"/>
      <w:lang w:val="ru-R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b">
    <w:name w:val="Форматированный"/>
    <w:basedOn w:val="a0"/>
    <w:rsid w:val="00F4296B"/>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cs="Courier New"/>
      <w:sz w:val="20"/>
      <w:szCs w:val="20"/>
      <w:lang w:val="ru-RU"/>
    </w:rPr>
  </w:style>
  <w:style w:type="character" w:customStyle="1" w:styleId="2c">
    <w:name w:val="Основной текст (2) + Полужирный"/>
    <w:rsid w:val="00F4296B"/>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paragraph" w:customStyle="1" w:styleId="affffc">
    <w:name w:val="текст сноски"/>
    <w:basedOn w:val="a0"/>
    <w:rsid w:val="00F4296B"/>
    <w:pPr>
      <w:autoSpaceDE w:val="0"/>
      <w:autoSpaceDN w:val="0"/>
    </w:pPr>
    <w:rPr>
      <w:rFonts w:ascii="Times New Roman" w:hAnsi="Times New Roman"/>
      <w:sz w:val="20"/>
      <w:szCs w:val="20"/>
      <w:lang w:val="ru-RU"/>
    </w:rPr>
  </w:style>
  <w:style w:type="paragraph" w:customStyle="1" w:styleId="1ff0">
    <w:name w:val="Основной текст1"/>
    <w:basedOn w:val="a0"/>
    <w:rsid w:val="00F4296B"/>
    <w:pPr>
      <w:widowControl w:val="0"/>
      <w:shd w:val="clear" w:color="auto" w:fill="FFFFFF"/>
      <w:spacing w:before="300" w:line="317" w:lineRule="exact"/>
      <w:ind w:firstLine="580"/>
      <w:jc w:val="both"/>
    </w:pPr>
    <w:rPr>
      <w:rFonts w:ascii="Calibri" w:eastAsia="Calibri" w:hAnsi="Calibri"/>
      <w:spacing w:val="7"/>
      <w:szCs w:val="22"/>
      <w:lang w:val="ru-RU" w:eastAsia="en-US"/>
    </w:rPr>
  </w:style>
  <w:style w:type="character" w:customStyle="1" w:styleId="affffd">
    <w:name w:val="Незакрита згадка"/>
    <w:uiPriority w:val="99"/>
    <w:semiHidden/>
    <w:unhideWhenUsed/>
    <w:rsid w:val="00BC7F59"/>
    <w:rPr>
      <w:color w:val="605E5C"/>
      <w:shd w:val="clear" w:color="auto" w:fill="E1DFDD"/>
    </w:rPr>
  </w:style>
  <w:style w:type="paragraph" w:customStyle="1" w:styleId="TableParagraph">
    <w:name w:val="Table Paragraph"/>
    <w:basedOn w:val="a0"/>
    <w:uiPriority w:val="1"/>
    <w:qFormat/>
    <w:rsid w:val="000B0111"/>
    <w:pPr>
      <w:widowControl w:val="0"/>
      <w:autoSpaceDE w:val="0"/>
      <w:autoSpaceDN w:val="0"/>
      <w:ind w:left="71"/>
    </w:pPr>
    <w:rPr>
      <w:rFonts w:ascii="Microsoft Sans Serif" w:eastAsia="Microsoft Sans Serif" w:hAnsi="Microsoft Sans Serif" w:cs="Microsoft Sans Serif"/>
      <w:szCs w:val="22"/>
      <w:lang w:eastAsia="en-US"/>
    </w:rPr>
  </w:style>
  <w:style w:type="character" w:customStyle="1" w:styleId="uv3um">
    <w:name w:val="uv3um"/>
    <w:rsid w:val="00E64E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851585">
      <w:bodyDiv w:val="1"/>
      <w:marLeft w:val="0"/>
      <w:marRight w:val="0"/>
      <w:marTop w:val="0"/>
      <w:marBottom w:val="0"/>
      <w:divBdr>
        <w:top w:val="none" w:sz="0" w:space="0" w:color="auto"/>
        <w:left w:val="none" w:sz="0" w:space="0" w:color="auto"/>
        <w:bottom w:val="none" w:sz="0" w:space="0" w:color="auto"/>
        <w:right w:val="none" w:sz="0" w:space="0" w:color="auto"/>
      </w:divBdr>
      <w:divsChild>
        <w:div w:id="1134057351">
          <w:marLeft w:val="547"/>
          <w:marRight w:val="0"/>
          <w:marTop w:val="70"/>
          <w:marBottom w:val="0"/>
          <w:divBdr>
            <w:top w:val="none" w:sz="0" w:space="0" w:color="auto"/>
            <w:left w:val="none" w:sz="0" w:space="0" w:color="auto"/>
            <w:bottom w:val="none" w:sz="0" w:space="0" w:color="auto"/>
            <w:right w:val="none" w:sz="0" w:space="0" w:color="auto"/>
          </w:divBdr>
        </w:div>
        <w:div w:id="1709261145">
          <w:marLeft w:val="547"/>
          <w:marRight w:val="0"/>
          <w:marTop w:val="70"/>
          <w:marBottom w:val="0"/>
          <w:divBdr>
            <w:top w:val="none" w:sz="0" w:space="0" w:color="auto"/>
            <w:left w:val="none" w:sz="0" w:space="0" w:color="auto"/>
            <w:bottom w:val="none" w:sz="0" w:space="0" w:color="auto"/>
            <w:right w:val="none" w:sz="0" w:space="0" w:color="auto"/>
          </w:divBdr>
        </w:div>
        <w:div w:id="1793672376">
          <w:marLeft w:val="547"/>
          <w:marRight w:val="0"/>
          <w:marTop w:val="70"/>
          <w:marBottom w:val="0"/>
          <w:divBdr>
            <w:top w:val="none" w:sz="0" w:space="0" w:color="auto"/>
            <w:left w:val="none" w:sz="0" w:space="0" w:color="auto"/>
            <w:bottom w:val="none" w:sz="0" w:space="0" w:color="auto"/>
            <w:right w:val="none" w:sz="0" w:space="0" w:color="auto"/>
          </w:divBdr>
        </w:div>
        <w:div w:id="1918704421">
          <w:marLeft w:val="547"/>
          <w:marRight w:val="0"/>
          <w:marTop w:val="70"/>
          <w:marBottom w:val="0"/>
          <w:divBdr>
            <w:top w:val="none" w:sz="0" w:space="0" w:color="auto"/>
            <w:left w:val="none" w:sz="0" w:space="0" w:color="auto"/>
            <w:bottom w:val="none" w:sz="0" w:space="0" w:color="auto"/>
            <w:right w:val="none" w:sz="0" w:space="0" w:color="auto"/>
          </w:divBdr>
        </w:div>
        <w:div w:id="2063746570">
          <w:marLeft w:val="547"/>
          <w:marRight w:val="0"/>
          <w:marTop w:val="70"/>
          <w:marBottom w:val="0"/>
          <w:divBdr>
            <w:top w:val="none" w:sz="0" w:space="0" w:color="auto"/>
            <w:left w:val="none" w:sz="0" w:space="0" w:color="auto"/>
            <w:bottom w:val="none" w:sz="0" w:space="0" w:color="auto"/>
            <w:right w:val="none" w:sz="0" w:space="0" w:color="auto"/>
          </w:divBdr>
        </w:div>
        <w:div w:id="2074547227">
          <w:marLeft w:val="547"/>
          <w:marRight w:val="0"/>
          <w:marTop w:val="70"/>
          <w:marBottom w:val="0"/>
          <w:divBdr>
            <w:top w:val="none" w:sz="0" w:space="0" w:color="auto"/>
            <w:left w:val="none" w:sz="0" w:space="0" w:color="auto"/>
            <w:bottom w:val="none" w:sz="0" w:space="0" w:color="auto"/>
            <w:right w:val="none" w:sz="0" w:space="0" w:color="auto"/>
          </w:divBdr>
        </w:div>
      </w:divsChild>
    </w:div>
    <w:div w:id="114101606">
      <w:bodyDiv w:val="1"/>
      <w:marLeft w:val="0"/>
      <w:marRight w:val="0"/>
      <w:marTop w:val="0"/>
      <w:marBottom w:val="0"/>
      <w:divBdr>
        <w:top w:val="none" w:sz="0" w:space="0" w:color="auto"/>
        <w:left w:val="none" w:sz="0" w:space="0" w:color="auto"/>
        <w:bottom w:val="none" w:sz="0" w:space="0" w:color="auto"/>
        <w:right w:val="none" w:sz="0" w:space="0" w:color="auto"/>
      </w:divBdr>
    </w:div>
    <w:div w:id="168570172">
      <w:bodyDiv w:val="1"/>
      <w:marLeft w:val="0"/>
      <w:marRight w:val="0"/>
      <w:marTop w:val="0"/>
      <w:marBottom w:val="0"/>
      <w:divBdr>
        <w:top w:val="none" w:sz="0" w:space="0" w:color="auto"/>
        <w:left w:val="none" w:sz="0" w:space="0" w:color="auto"/>
        <w:bottom w:val="none" w:sz="0" w:space="0" w:color="auto"/>
        <w:right w:val="none" w:sz="0" w:space="0" w:color="auto"/>
      </w:divBdr>
    </w:div>
    <w:div w:id="210312301">
      <w:bodyDiv w:val="1"/>
      <w:marLeft w:val="0"/>
      <w:marRight w:val="0"/>
      <w:marTop w:val="0"/>
      <w:marBottom w:val="0"/>
      <w:divBdr>
        <w:top w:val="none" w:sz="0" w:space="0" w:color="auto"/>
        <w:left w:val="none" w:sz="0" w:space="0" w:color="auto"/>
        <w:bottom w:val="none" w:sz="0" w:space="0" w:color="auto"/>
        <w:right w:val="none" w:sz="0" w:space="0" w:color="auto"/>
      </w:divBdr>
    </w:div>
    <w:div w:id="222765585">
      <w:bodyDiv w:val="1"/>
      <w:marLeft w:val="0"/>
      <w:marRight w:val="0"/>
      <w:marTop w:val="0"/>
      <w:marBottom w:val="0"/>
      <w:divBdr>
        <w:top w:val="none" w:sz="0" w:space="0" w:color="auto"/>
        <w:left w:val="none" w:sz="0" w:space="0" w:color="auto"/>
        <w:bottom w:val="none" w:sz="0" w:space="0" w:color="auto"/>
        <w:right w:val="none" w:sz="0" w:space="0" w:color="auto"/>
      </w:divBdr>
      <w:divsChild>
        <w:div w:id="1675299924">
          <w:marLeft w:val="547"/>
          <w:marRight w:val="0"/>
          <w:marTop w:val="0"/>
          <w:marBottom w:val="0"/>
          <w:divBdr>
            <w:top w:val="none" w:sz="0" w:space="0" w:color="auto"/>
            <w:left w:val="none" w:sz="0" w:space="0" w:color="auto"/>
            <w:bottom w:val="none" w:sz="0" w:space="0" w:color="auto"/>
            <w:right w:val="none" w:sz="0" w:space="0" w:color="auto"/>
          </w:divBdr>
        </w:div>
      </w:divsChild>
    </w:div>
    <w:div w:id="236861825">
      <w:bodyDiv w:val="1"/>
      <w:marLeft w:val="0"/>
      <w:marRight w:val="0"/>
      <w:marTop w:val="0"/>
      <w:marBottom w:val="0"/>
      <w:divBdr>
        <w:top w:val="none" w:sz="0" w:space="0" w:color="auto"/>
        <w:left w:val="none" w:sz="0" w:space="0" w:color="auto"/>
        <w:bottom w:val="none" w:sz="0" w:space="0" w:color="auto"/>
        <w:right w:val="none" w:sz="0" w:space="0" w:color="auto"/>
      </w:divBdr>
      <w:divsChild>
        <w:div w:id="963117530">
          <w:marLeft w:val="547"/>
          <w:marRight w:val="0"/>
          <w:marTop w:val="0"/>
          <w:marBottom w:val="0"/>
          <w:divBdr>
            <w:top w:val="none" w:sz="0" w:space="0" w:color="auto"/>
            <w:left w:val="none" w:sz="0" w:space="0" w:color="auto"/>
            <w:bottom w:val="none" w:sz="0" w:space="0" w:color="auto"/>
            <w:right w:val="none" w:sz="0" w:space="0" w:color="auto"/>
          </w:divBdr>
        </w:div>
      </w:divsChild>
    </w:div>
    <w:div w:id="237444618">
      <w:bodyDiv w:val="1"/>
      <w:marLeft w:val="0"/>
      <w:marRight w:val="0"/>
      <w:marTop w:val="0"/>
      <w:marBottom w:val="0"/>
      <w:divBdr>
        <w:top w:val="none" w:sz="0" w:space="0" w:color="auto"/>
        <w:left w:val="none" w:sz="0" w:space="0" w:color="auto"/>
        <w:bottom w:val="none" w:sz="0" w:space="0" w:color="auto"/>
        <w:right w:val="none" w:sz="0" w:space="0" w:color="auto"/>
      </w:divBdr>
      <w:divsChild>
        <w:div w:id="23407827">
          <w:marLeft w:val="547"/>
          <w:marRight w:val="0"/>
          <w:marTop w:val="82"/>
          <w:marBottom w:val="0"/>
          <w:divBdr>
            <w:top w:val="none" w:sz="0" w:space="0" w:color="auto"/>
            <w:left w:val="none" w:sz="0" w:space="0" w:color="auto"/>
            <w:bottom w:val="none" w:sz="0" w:space="0" w:color="auto"/>
            <w:right w:val="none" w:sz="0" w:space="0" w:color="auto"/>
          </w:divBdr>
        </w:div>
        <w:div w:id="27339483">
          <w:marLeft w:val="547"/>
          <w:marRight w:val="0"/>
          <w:marTop w:val="82"/>
          <w:marBottom w:val="0"/>
          <w:divBdr>
            <w:top w:val="none" w:sz="0" w:space="0" w:color="auto"/>
            <w:left w:val="none" w:sz="0" w:space="0" w:color="auto"/>
            <w:bottom w:val="none" w:sz="0" w:space="0" w:color="auto"/>
            <w:right w:val="none" w:sz="0" w:space="0" w:color="auto"/>
          </w:divBdr>
        </w:div>
        <w:div w:id="451635706">
          <w:marLeft w:val="547"/>
          <w:marRight w:val="0"/>
          <w:marTop w:val="82"/>
          <w:marBottom w:val="0"/>
          <w:divBdr>
            <w:top w:val="none" w:sz="0" w:space="0" w:color="auto"/>
            <w:left w:val="none" w:sz="0" w:space="0" w:color="auto"/>
            <w:bottom w:val="none" w:sz="0" w:space="0" w:color="auto"/>
            <w:right w:val="none" w:sz="0" w:space="0" w:color="auto"/>
          </w:divBdr>
        </w:div>
        <w:div w:id="462233750">
          <w:marLeft w:val="547"/>
          <w:marRight w:val="0"/>
          <w:marTop w:val="82"/>
          <w:marBottom w:val="0"/>
          <w:divBdr>
            <w:top w:val="none" w:sz="0" w:space="0" w:color="auto"/>
            <w:left w:val="none" w:sz="0" w:space="0" w:color="auto"/>
            <w:bottom w:val="none" w:sz="0" w:space="0" w:color="auto"/>
            <w:right w:val="none" w:sz="0" w:space="0" w:color="auto"/>
          </w:divBdr>
        </w:div>
        <w:div w:id="764885811">
          <w:marLeft w:val="547"/>
          <w:marRight w:val="0"/>
          <w:marTop w:val="82"/>
          <w:marBottom w:val="0"/>
          <w:divBdr>
            <w:top w:val="none" w:sz="0" w:space="0" w:color="auto"/>
            <w:left w:val="none" w:sz="0" w:space="0" w:color="auto"/>
            <w:bottom w:val="none" w:sz="0" w:space="0" w:color="auto"/>
            <w:right w:val="none" w:sz="0" w:space="0" w:color="auto"/>
          </w:divBdr>
        </w:div>
        <w:div w:id="896748573">
          <w:marLeft w:val="547"/>
          <w:marRight w:val="0"/>
          <w:marTop w:val="82"/>
          <w:marBottom w:val="0"/>
          <w:divBdr>
            <w:top w:val="none" w:sz="0" w:space="0" w:color="auto"/>
            <w:left w:val="none" w:sz="0" w:space="0" w:color="auto"/>
            <w:bottom w:val="none" w:sz="0" w:space="0" w:color="auto"/>
            <w:right w:val="none" w:sz="0" w:space="0" w:color="auto"/>
          </w:divBdr>
        </w:div>
        <w:div w:id="898637477">
          <w:marLeft w:val="547"/>
          <w:marRight w:val="0"/>
          <w:marTop w:val="82"/>
          <w:marBottom w:val="0"/>
          <w:divBdr>
            <w:top w:val="none" w:sz="0" w:space="0" w:color="auto"/>
            <w:left w:val="none" w:sz="0" w:space="0" w:color="auto"/>
            <w:bottom w:val="none" w:sz="0" w:space="0" w:color="auto"/>
            <w:right w:val="none" w:sz="0" w:space="0" w:color="auto"/>
          </w:divBdr>
        </w:div>
        <w:div w:id="954209838">
          <w:marLeft w:val="547"/>
          <w:marRight w:val="0"/>
          <w:marTop w:val="82"/>
          <w:marBottom w:val="0"/>
          <w:divBdr>
            <w:top w:val="none" w:sz="0" w:space="0" w:color="auto"/>
            <w:left w:val="none" w:sz="0" w:space="0" w:color="auto"/>
            <w:bottom w:val="none" w:sz="0" w:space="0" w:color="auto"/>
            <w:right w:val="none" w:sz="0" w:space="0" w:color="auto"/>
          </w:divBdr>
        </w:div>
        <w:div w:id="961576922">
          <w:marLeft w:val="547"/>
          <w:marRight w:val="0"/>
          <w:marTop w:val="82"/>
          <w:marBottom w:val="0"/>
          <w:divBdr>
            <w:top w:val="none" w:sz="0" w:space="0" w:color="auto"/>
            <w:left w:val="none" w:sz="0" w:space="0" w:color="auto"/>
            <w:bottom w:val="none" w:sz="0" w:space="0" w:color="auto"/>
            <w:right w:val="none" w:sz="0" w:space="0" w:color="auto"/>
          </w:divBdr>
        </w:div>
        <w:div w:id="1299917096">
          <w:marLeft w:val="547"/>
          <w:marRight w:val="0"/>
          <w:marTop w:val="82"/>
          <w:marBottom w:val="0"/>
          <w:divBdr>
            <w:top w:val="none" w:sz="0" w:space="0" w:color="auto"/>
            <w:left w:val="none" w:sz="0" w:space="0" w:color="auto"/>
            <w:bottom w:val="none" w:sz="0" w:space="0" w:color="auto"/>
            <w:right w:val="none" w:sz="0" w:space="0" w:color="auto"/>
          </w:divBdr>
        </w:div>
        <w:div w:id="1993682221">
          <w:marLeft w:val="547"/>
          <w:marRight w:val="0"/>
          <w:marTop w:val="82"/>
          <w:marBottom w:val="0"/>
          <w:divBdr>
            <w:top w:val="none" w:sz="0" w:space="0" w:color="auto"/>
            <w:left w:val="none" w:sz="0" w:space="0" w:color="auto"/>
            <w:bottom w:val="none" w:sz="0" w:space="0" w:color="auto"/>
            <w:right w:val="none" w:sz="0" w:space="0" w:color="auto"/>
          </w:divBdr>
        </w:div>
        <w:div w:id="2116364711">
          <w:marLeft w:val="547"/>
          <w:marRight w:val="0"/>
          <w:marTop w:val="82"/>
          <w:marBottom w:val="0"/>
          <w:divBdr>
            <w:top w:val="none" w:sz="0" w:space="0" w:color="auto"/>
            <w:left w:val="none" w:sz="0" w:space="0" w:color="auto"/>
            <w:bottom w:val="none" w:sz="0" w:space="0" w:color="auto"/>
            <w:right w:val="none" w:sz="0" w:space="0" w:color="auto"/>
          </w:divBdr>
        </w:div>
        <w:div w:id="2122799214">
          <w:marLeft w:val="547"/>
          <w:marRight w:val="0"/>
          <w:marTop w:val="82"/>
          <w:marBottom w:val="0"/>
          <w:divBdr>
            <w:top w:val="none" w:sz="0" w:space="0" w:color="auto"/>
            <w:left w:val="none" w:sz="0" w:space="0" w:color="auto"/>
            <w:bottom w:val="none" w:sz="0" w:space="0" w:color="auto"/>
            <w:right w:val="none" w:sz="0" w:space="0" w:color="auto"/>
          </w:divBdr>
        </w:div>
      </w:divsChild>
    </w:div>
    <w:div w:id="278269674">
      <w:bodyDiv w:val="1"/>
      <w:marLeft w:val="0"/>
      <w:marRight w:val="0"/>
      <w:marTop w:val="0"/>
      <w:marBottom w:val="0"/>
      <w:divBdr>
        <w:top w:val="none" w:sz="0" w:space="0" w:color="auto"/>
        <w:left w:val="none" w:sz="0" w:space="0" w:color="auto"/>
        <w:bottom w:val="none" w:sz="0" w:space="0" w:color="auto"/>
        <w:right w:val="none" w:sz="0" w:space="0" w:color="auto"/>
      </w:divBdr>
    </w:div>
    <w:div w:id="285166830">
      <w:bodyDiv w:val="1"/>
      <w:marLeft w:val="0"/>
      <w:marRight w:val="0"/>
      <w:marTop w:val="0"/>
      <w:marBottom w:val="0"/>
      <w:divBdr>
        <w:top w:val="none" w:sz="0" w:space="0" w:color="auto"/>
        <w:left w:val="none" w:sz="0" w:space="0" w:color="auto"/>
        <w:bottom w:val="none" w:sz="0" w:space="0" w:color="auto"/>
        <w:right w:val="none" w:sz="0" w:space="0" w:color="auto"/>
      </w:divBdr>
      <w:divsChild>
        <w:div w:id="114837952">
          <w:marLeft w:val="547"/>
          <w:marRight w:val="0"/>
          <w:marTop w:val="86"/>
          <w:marBottom w:val="0"/>
          <w:divBdr>
            <w:top w:val="none" w:sz="0" w:space="0" w:color="auto"/>
            <w:left w:val="none" w:sz="0" w:space="0" w:color="auto"/>
            <w:bottom w:val="none" w:sz="0" w:space="0" w:color="auto"/>
            <w:right w:val="none" w:sz="0" w:space="0" w:color="auto"/>
          </w:divBdr>
        </w:div>
        <w:div w:id="344748201">
          <w:marLeft w:val="547"/>
          <w:marRight w:val="0"/>
          <w:marTop w:val="86"/>
          <w:marBottom w:val="0"/>
          <w:divBdr>
            <w:top w:val="none" w:sz="0" w:space="0" w:color="auto"/>
            <w:left w:val="none" w:sz="0" w:space="0" w:color="auto"/>
            <w:bottom w:val="none" w:sz="0" w:space="0" w:color="auto"/>
            <w:right w:val="none" w:sz="0" w:space="0" w:color="auto"/>
          </w:divBdr>
        </w:div>
        <w:div w:id="373579717">
          <w:marLeft w:val="547"/>
          <w:marRight w:val="0"/>
          <w:marTop w:val="86"/>
          <w:marBottom w:val="0"/>
          <w:divBdr>
            <w:top w:val="none" w:sz="0" w:space="0" w:color="auto"/>
            <w:left w:val="none" w:sz="0" w:space="0" w:color="auto"/>
            <w:bottom w:val="none" w:sz="0" w:space="0" w:color="auto"/>
            <w:right w:val="none" w:sz="0" w:space="0" w:color="auto"/>
          </w:divBdr>
        </w:div>
        <w:div w:id="492992376">
          <w:marLeft w:val="547"/>
          <w:marRight w:val="0"/>
          <w:marTop w:val="86"/>
          <w:marBottom w:val="0"/>
          <w:divBdr>
            <w:top w:val="none" w:sz="0" w:space="0" w:color="auto"/>
            <w:left w:val="none" w:sz="0" w:space="0" w:color="auto"/>
            <w:bottom w:val="none" w:sz="0" w:space="0" w:color="auto"/>
            <w:right w:val="none" w:sz="0" w:space="0" w:color="auto"/>
          </w:divBdr>
        </w:div>
        <w:div w:id="636028011">
          <w:marLeft w:val="547"/>
          <w:marRight w:val="0"/>
          <w:marTop w:val="86"/>
          <w:marBottom w:val="0"/>
          <w:divBdr>
            <w:top w:val="none" w:sz="0" w:space="0" w:color="auto"/>
            <w:left w:val="none" w:sz="0" w:space="0" w:color="auto"/>
            <w:bottom w:val="none" w:sz="0" w:space="0" w:color="auto"/>
            <w:right w:val="none" w:sz="0" w:space="0" w:color="auto"/>
          </w:divBdr>
        </w:div>
        <w:div w:id="976839807">
          <w:marLeft w:val="547"/>
          <w:marRight w:val="0"/>
          <w:marTop w:val="86"/>
          <w:marBottom w:val="0"/>
          <w:divBdr>
            <w:top w:val="none" w:sz="0" w:space="0" w:color="auto"/>
            <w:left w:val="none" w:sz="0" w:space="0" w:color="auto"/>
            <w:bottom w:val="none" w:sz="0" w:space="0" w:color="auto"/>
            <w:right w:val="none" w:sz="0" w:space="0" w:color="auto"/>
          </w:divBdr>
        </w:div>
        <w:div w:id="1411541806">
          <w:marLeft w:val="547"/>
          <w:marRight w:val="0"/>
          <w:marTop w:val="86"/>
          <w:marBottom w:val="0"/>
          <w:divBdr>
            <w:top w:val="none" w:sz="0" w:space="0" w:color="auto"/>
            <w:left w:val="none" w:sz="0" w:space="0" w:color="auto"/>
            <w:bottom w:val="none" w:sz="0" w:space="0" w:color="auto"/>
            <w:right w:val="none" w:sz="0" w:space="0" w:color="auto"/>
          </w:divBdr>
        </w:div>
        <w:div w:id="1557550944">
          <w:marLeft w:val="547"/>
          <w:marRight w:val="0"/>
          <w:marTop w:val="86"/>
          <w:marBottom w:val="0"/>
          <w:divBdr>
            <w:top w:val="none" w:sz="0" w:space="0" w:color="auto"/>
            <w:left w:val="none" w:sz="0" w:space="0" w:color="auto"/>
            <w:bottom w:val="none" w:sz="0" w:space="0" w:color="auto"/>
            <w:right w:val="none" w:sz="0" w:space="0" w:color="auto"/>
          </w:divBdr>
        </w:div>
        <w:div w:id="2019388154">
          <w:marLeft w:val="547"/>
          <w:marRight w:val="0"/>
          <w:marTop w:val="86"/>
          <w:marBottom w:val="0"/>
          <w:divBdr>
            <w:top w:val="none" w:sz="0" w:space="0" w:color="auto"/>
            <w:left w:val="none" w:sz="0" w:space="0" w:color="auto"/>
            <w:bottom w:val="none" w:sz="0" w:space="0" w:color="auto"/>
            <w:right w:val="none" w:sz="0" w:space="0" w:color="auto"/>
          </w:divBdr>
        </w:div>
      </w:divsChild>
    </w:div>
    <w:div w:id="322248177">
      <w:bodyDiv w:val="1"/>
      <w:marLeft w:val="0"/>
      <w:marRight w:val="0"/>
      <w:marTop w:val="0"/>
      <w:marBottom w:val="0"/>
      <w:divBdr>
        <w:top w:val="none" w:sz="0" w:space="0" w:color="auto"/>
        <w:left w:val="none" w:sz="0" w:space="0" w:color="auto"/>
        <w:bottom w:val="none" w:sz="0" w:space="0" w:color="auto"/>
        <w:right w:val="none" w:sz="0" w:space="0" w:color="auto"/>
      </w:divBdr>
      <w:divsChild>
        <w:div w:id="49691654">
          <w:marLeft w:val="547"/>
          <w:marRight w:val="0"/>
          <w:marTop w:val="96"/>
          <w:marBottom w:val="0"/>
          <w:divBdr>
            <w:top w:val="none" w:sz="0" w:space="0" w:color="auto"/>
            <w:left w:val="none" w:sz="0" w:space="0" w:color="auto"/>
            <w:bottom w:val="none" w:sz="0" w:space="0" w:color="auto"/>
            <w:right w:val="none" w:sz="0" w:space="0" w:color="auto"/>
          </w:divBdr>
        </w:div>
        <w:div w:id="255335635">
          <w:marLeft w:val="547"/>
          <w:marRight w:val="0"/>
          <w:marTop w:val="96"/>
          <w:marBottom w:val="0"/>
          <w:divBdr>
            <w:top w:val="none" w:sz="0" w:space="0" w:color="auto"/>
            <w:left w:val="none" w:sz="0" w:space="0" w:color="auto"/>
            <w:bottom w:val="none" w:sz="0" w:space="0" w:color="auto"/>
            <w:right w:val="none" w:sz="0" w:space="0" w:color="auto"/>
          </w:divBdr>
        </w:div>
        <w:div w:id="291598934">
          <w:marLeft w:val="547"/>
          <w:marRight w:val="0"/>
          <w:marTop w:val="96"/>
          <w:marBottom w:val="0"/>
          <w:divBdr>
            <w:top w:val="none" w:sz="0" w:space="0" w:color="auto"/>
            <w:left w:val="none" w:sz="0" w:space="0" w:color="auto"/>
            <w:bottom w:val="none" w:sz="0" w:space="0" w:color="auto"/>
            <w:right w:val="none" w:sz="0" w:space="0" w:color="auto"/>
          </w:divBdr>
        </w:div>
        <w:div w:id="1089623633">
          <w:marLeft w:val="547"/>
          <w:marRight w:val="0"/>
          <w:marTop w:val="96"/>
          <w:marBottom w:val="0"/>
          <w:divBdr>
            <w:top w:val="none" w:sz="0" w:space="0" w:color="auto"/>
            <w:left w:val="none" w:sz="0" w:space="0" w:color="auto"/>
            <w:bottom w:val="none" w:sz="0" w:space="0" w:color="auto"/>
            <w:right w:val="none" w:sz="0" w:space="0" w:color="auto"/>
          </w:divBdr>
        </w:div>
        <w:div w:id="1742672166">
          <w:marLeft w:val="547"/>
          <w:marRight w:val="0"/>
          <w:marTop w:val="96"/>
          <w:marBottom w:val="0"/>
          <w:divBdr>
            <w:top w:val="none" w:sz="0" w:space="0" w:color="auto"/>
            <w:left w:val="none" w:sz="0" w:space="0" w:color="auto"/>
            <w:bottom w:val="none" w:sz="0" w:space="0" w:color="auto"/>
            <w:right w:val="none" w:sz="0" w:space="0" w:color="auto"/>
          </w:divBdr>
        </w:div>
        <w:div w:id="1818643762">
          <w:marLeft w:val="547"/>
          <w:marRight w:val="0"/>
          <w:marTop w:val="96"/>
          <w:marBottom w:val="0"/>
          <w:divBdr>
            <w:top w:val="none" w:sz="0" w:space="0" w:color="auto"/>
            <w:left w:val="none" w:sz="0" w:space="0" w:color="auto"/>
            <w:bottom w:val="none" w:sz="0" w:space="0" w:color="auto"/>
            <w:right w:val="none" w:sz="0" w:space="0" w:color="auto"/>
          </w:divBdr>
        </w:div>
        <w:div w:id="1933080995">
          <w:marLeft w:val="547"/>
          <w:marRight w:val="0"/>
          <w:marTop w:val="96"/>
          <w:marBottom w:val="0"/>
          <w:divBdr>
            <w:top w:val="none" w:sz="0" w:space="0" w:color="auto"/>
            <w:left w:val="none" w:sz="0" w:space="0" w:color="auto"/>
            <w:bottom w:val="none" w:sz="0" w:space="0" w:color="auto"/>
            <w:right w:val="none" w:sz="0" w:space="0" w:color="auto"/>
          </w:divBdr>
        </w:div>
      </w:divsChild>
    </w:div>
    <w:div w:id="325399967">
      <w:bodyDiv w:val="1"/>
      <w:marLeft w:val="0"/>
      <w:marRight w:val="0"/>
      <w:marTop w:val="0"/>
      <w:marBottom w:val="0"/>
      <w:divBdr>
        <w:top w:val="none" w:sz="0" w:space="0" w:color="auto"/>
        <w:left w:val="none" w:sz="0" w:space="0" w:color="auto"/>
        <w:bottom w:val="none" w:sz="0" w:space="0" w:color="auto"/>
        <w:right w:val="none" w:sz="0" w:space="0" w:color="auto"/>
      </w:divBdr>
    </w:div>
    <w:div w:id="380247100">
      <w:bodyDiv w:val="1"/>
      <w:marLeft w:val="0"/>
      <w:marRight w:val="0"/>
      <w:marTop w:val="0"/>
      <w:marBottom w:val="0"/>
      <w:divBdr>
        <w:top w:val="none" w:sz="0" w:space="0" w:color="auto"/>
        <w:left w:val="none" w:sz="0" w:space="0" w:color="auto"/>
        <w:bottom w:val="none" w:sz="0" w:space="0" w:color="auto"/>
        <w:right w:val="none" w:sz="0" w:space="0" w:color="auto"/>
      </w:divBdr>
    </w:div>
    <w:div w:id="400106187">
      <w:bodyDiv w:val="1"/>
      <w:marLeft w:val="0"/>
      <w:marRight w:val="0"/>
      <w:marTop w:val="0"/>
      <w:marBottom w:val="0"/>
      <w:divBdr>
        <w:top w:val="none" w:sz="0" w:space="0" w:color="auto"/>
        <w:left w:val="none" w:sz="0" w:space="0" w:color="auto"/>
        <w:bottom w:val="none" w:sz="0" w:space="0" w:color="auto"/>
        <w:right w:val="none" w:sz="0" w:space="0" w:color="auto"/>
      </w:divBdr>
      <w:divsChild>
        <w:div w:id="303437434">
          <w:marLeft w:val="547"/>
          <w:marRight w:val="0"/>
          <w:marTop w:val="72"/>
          <w:marBottom w:val="0"/>
          <w:divBdr>
            <w:top w:val="none" w:sz="0" w:space="0" w:color="auto"/>
            <w:left w:val="none" w:sz="0" w:space="0" w:color="auto"/>
            <w:bottom w:val="none" w:sz="0" w:space="0" w:color="auto"/>
            <w:right w:val="none" w:sz="0" w:space="0" w:color="auto"/>
          </w:divBdr>
        </w:div>
        <w:div w:id="1733851488">
          <w:marLeft w:val="547"/>
          <w:marRight w:val="0"/>
          <w:marTop w:val="72"/>
          <w:marBottom w:val="0"/>
          <w:divBdr>
            <w:top w:val="none" w:sz="0" w:space="0" w:color="auto"/>
            <w:left w:val="none" w:sz="0" w:space="0" w:color="auto"/>
            <w:bottom w:val="none" w:sz="0" w:space="0" w:color="auto"/>
            <w:right w:val="none" w:sz="0" w:space="0" w:color="auto"/>
          </w:divBdr>
        </w:div>
        <w:div w:id="1912421534">
          <w:marLeft w:val="547"/>
          <w:marRight w:val="0"/>
          <w:marTop w:val="72"/>
          <w:marBottom w:val="0"/>
          <w:divBdr>
            <w:top w:val="none" w:sz="0" w:space="0" w:color="auto"/>
            <w:left w:val="none" w:sz="0" w:space="0" w:color="auto"/>
            <w:bottom w:val="none" w:sz="0" w:space="0" w:color="auto"/>
            <w:right w:val="none" w:sz="0" w:space="0" w:color="auto"/>
          </w:divBdr>
        </w:div>
        <w:div w:id="2111924275">
          <w:marLeft w:val="547"/>
          <w:marRight w:val="0"/>
          <w:marTop w:val="72"/>
          <w:marBottom w:val="0"/>
          <w:divBdr>
            <w:top w:val="none" w:sz="0" w:space="0" w:color="auto"/>
            <w:left w:val="none" w:sz="0" w:space="0" w:color="auto"/>
            <w:bottom w:val="none" w:sz="0" w:space="0" w:color="auto"/>
            <w:right w:val="none" w:sz="0" w:space="0" w:color="auto"/>
          </w:divBdr>
        </w:div>
      </w:divsChild>
    </w:div>
    <w:div w:id="415059783">
      <w:bodyDiv w:val="1"/>
      <w:marLeft w:val="0"/>
      <w:marRight w:val="0"/>
      <w:marTop w:val="0"/>
      <w:marBottom w:val="0"/>
      <w:divBdr>
        <w:top w:val="none" w:sz="0" w:space="0" w:color="auto"/>
        <w:left w:val="none" w:sz="0" w:space="0" w:color="auto"/>
        <w:bottom w:val="none" w:sz="0" w:space="0" w:color="auto"/>
        <w:right w:val="none" w:sz="0" w:space="0" w:color="auto"/>
      </w:divBdr>
    </w:div>
    <w:div w:id="509418605">
      <w:bodyDiv w:val="1"/>
      <w:marLeft w:val="0"/>
      <w:marRight w:val="0"/>
      <w:marTop w:val="0"/>
      <w:marBottom w:val="0"/>
      <w:divBdr>
        <w:top w:val="none" w:sz="0" w:space="0" w:color="auto"/>
        <w:left w:val="none" w:sz="0" w:space="0" w:color="auto"/>
        <w:bottom w:val="none" w:sz="0" w:space="0" w:color="auto"/>
        <w:right w:val="none" w:sz="0" w:space="0" w:color="auto"/>
      </w:divBdr>
    </w:div>
    <w:div w:id="546112827">
      <w:bodyDiv w:val="1"/>
      <w:marLeft w:val="0"/>
      <w:marRight w:val="0"/>
      <w:marTop w:val="0"/>
      <w:marBottom w:val="0"/>
      <w:divBdr>
        <w:top w:val="none" w:sz="0" w:space="0" w:color="auto"/>
        <w:left w:val="none" w:sz="0" w:space="0" w:color="auto"/>
        <w:bottom w:val="none" w:sz="0" w:space="0" w:color="auto"/>
        <w:right w:val="none" w:sz="0" w:space="0" w:color="auto"/>
      </w:divBdr>
    </w:div>
    <w:div w:id="618803926">
      <w:bodyDiv w:val="1"/>
      <w:marLeft w:val="0"/>
      <w:marRight w:val="0"/>
      <w:marTop w:val="0"/>
      <w:marBottom w:val="0"/>
      <w:divBdr>
        <w:top w:val="none" w:sz="0" w:space="0" w:color="auto"/>
        <w:left w:val="none" w:sz="0" w:space="0" w:color="auto"/>
        <w:bottom w:val="none" w:sz="0" w:space="0" w:color="auto"/>
        <w:right w:val="none" w:sz="0" w:space="0" w:color="auto"/>
      </w:divBdr>
    </w:div>
    <w:div w:id="645479067">
      <w:bodyDiv w:val="1"/>
      <w:marLeft w:val="0"/>
      <w:marRight w:val="0"/>
      <w:marTop w:val="0"/>
      <w:marBottom w:val="0"/>
      <w:divBdr>
        <w:top w:val="none" w:sz="0" w:space="0" w:color="auto"/>
        <w:left w:val="none" w:sz="0" w:space="0" w:color="auto"/>
        <w:bottom w:val="none" w:sz="0" w:space="0" w:color="auto"/>
        <w:right w:val="none" w:sz="0" w:space="0" w:color="auto"/>
      </w:divBdr>
      <w:divsChild>
        <w:div w:id="296304612">
          <w:marLeft w:val="547"/>
          <w:marRight w:val="0"/>
          <w:marTop w:val="86"/>
          <w:marBottom w:val="0"/>
          <w:divBdr>
            <w:top w:val="none" w:sz="0" w:space="0" w:color="auto"/>
            <w:left w:val="none" w:sz="0" w:space="0" w:color="auto"/>
            <w:bottom w:val="none" w:sz="0" w:space="0" w:color="auto"/>
            <w:right w:val="none" w:sz="0" w:space="0" w:color="auto"/>
          </w:divBdr>
        </w:div>
        <w:div w:id="569271569">
          <w:marLeft w:val="547"/>
          <w:marRight w:val="0"/>
          <w:marTop w:val="86"/>
          <w:marBottom w:val="0"/>
          <w:divBdr>
            <w:top w:val="none" w:sz="0" w:space="0" w:color="auto"/>
            <w:left w:val="none" w:sz="0" w:space="0" w:color="auto"/>
            <w:bottom w:val="none" w:sz="0" w:space="0" w:color="auto"/>
            <w:right w:val="none" w:sz="0" w:space="0" w:color="auto"/>
          </w:divBdr>
        </w:div>
        <w:div w:id="619411912">
          <w:marLeft w:val="547"/>
          <w:marRight w:val="0"/>
          <w:marTop w:val="86"/>
          <w:marBottom w:val="0"/>
          <w:divBdr>
            <w:top w:val="none" w:sz="0" w:space="0" w:color="auto"/>
            <w:left w:val="none" w:sz="0" w:space="0" w:color="auto"/>
            <w:bottom w:val="none" w:sz="0" w:space="0" w:color="auto"/>
            <w:right w:val="none" w:sz="0" w:space="0" w:color="auto"/>
          </w:divBdr>
        </w:div>
        <w:div w:id="929509630">
          <w:marLeft w:val="547"/>
          <w:marRight w:val="0"/>
          <w:marTop w:val="86"/>
          <w:marBottom w:val="0"/>
          <w:divBdr>
            <w:top w:val="none" w:sz="0" w:space="0" w:color="auto"/>
            <w:left w:val="none" w:sz="0" w:space="0" w:color="auto"/>
            <w:bottom w:val="none" w:sz="0" w:space="0" w:color="auto"/>
            <w:right w:val="none" w:sz="0" w:space="0" w:color="auto"/>
          </w:divBdr>
        </w:div>
        <w:div w:id="1833831526">
          <w:marLeft w:val="547"/>
          <w:marRight w:val="0"/>
          <w:marTop w:val="86"/>
          <w:marBottom w:val="0"/>
          <w:divBdr>
            <w:top w:val="none" w:sz="0" w:space="0" w:color="auto"/>
            <w:left w:val="none" w:sz="0" w:space="0" w:color="auto"/>
            <w:bottom w:val="none" w:sz="0" w:space="0" w:color="auto"/>
            <w:right w:val="none" w:sz="0" w:space="0" w:color="auto"/>
          </w:divBdr>
        </w:div>
      </w:divsChild>
    </w:div>
    <w:div w:id="652833224">
      <w:bodyDiv w:val="1"/>
      <w:marLeft w:val="0"/>
      <w:marRight w:val="0"/>
      <w:marTop w:val="0"/>
      <w:marBottom w:val="0"/>
      <w:divBdr>
        <w:top w:val="none" w:sz="0" w:space="0" w:color="auto"/>
        <w:left w:val="none" w:sz="0" w:space="0" w:color="auto"/>
        <w:bottom w:val="none" w:sz="0" w:space="0" w:color="auto"/>
        <w:right w:val="none" w:sz="0" w:space="0" w:color="auto"/>
      </w:divBdr>
      <w:divsChild>
        <w:div w:id="737049429">
          <w:marLeft w:val="547"/>
          <w:marRight w:val="0"/>
          <w:marTop w:val="0"/>
          <w:marBottom w:val="0"/>
          <w:divBdr>
            <w:top w:val="none" w:sz="0" w:space="0" w:color="auto"/>
            <w:left w:val="none" w:sz="0" w:space="0" w:color="auto"/>
            <w:bottom w:val="none" w:sz="0" w:space="0" w:color="auto"/>
            <w:right w:val="none" w:sz="0" w:space="0" w:color="auto"/>
          </w:divBdr>
        </w:div>
      </w:divsChild>
    </w:div>
    <w:div w:id="782991313">
      <w:bodyDiv w:val="1"/>
      <w:marLeft w:val="0"/>
      <w:marRight w:val="0"/>
      <w:marTop w:val="0"/>
      <w:marBottom w:val="0"/>
      <w:divBdr>
        <w:top w:val="none" w:sz="0" w:space="0" w:color="auto"/>
        <w:left w:val="none" w:sz="0" w:space="0" w:color="auto"/>
        <w:bottom w:val="none" w:sz="0" w:space="0" w:color="auto"/>
        <w:right w:val="none" w:sz="0" w:space="0" w:color="auto"/>
      </w:divBdr>
      <w:divsChild>
        <w:div w:id="1279869911">
          <w:marLeft w:val="547"/>
          <w:marRight w:val="0"/>
          <w:marTop w:val="0"/>
          <w:marBottom w:val="0"/>
          <w:divBdr>
            <w:top w:val="none" w:sz="0" w:space="0" w:color="auto"/>
            <w:left w:val="none" w:sz="0" w:space="0" w:color="auto"/>
            <w:bottom w:val="none" w:sz="0" w:space="0" w:color="auto"/>
            <w:right w:val="none" w:sz="0" w:space="0" w:color="auto"/>
          </w:divBdr>
        </w:div>
      </w:divsChild>
    </w:div>
    <w:div w:id="796991532">
      <w:bodyDiv w:val="1"/>
      <w:marLeft w:val="0"/>
      <w:marRight w:val="0"/>
      <w:marTop w:val="0"/>
      <w:marBottom w:val="0"/>
      <w:divBdr>
        <w:top w:val="none" w:sz="0" w:space="0" w:color="auto"/>
        <w:left w:val="none" w:sz="0" w:space="0" w:color="auto"/>
        <w:bottom w:val="none" w:sz="0" w:space="0" w:color="auto"/>
        <w:right w:val="none" w:sz="0" w:space="0" w:color="auto"/>
      </w:divBdr>
      <w:divsChild>
        <w:div w:id="324364827">
          <w:marLeft w:val="0"/>
          <w:marRight w:val="0"/>
          <w:marTop w:val="0"/>
          <w:marBottom w:val="0"/>
          <w:divBdr>
            <w:top w:val="none" w:sz="0" w:space="0" w:color="auto"/>
            <w:left w:val="none" w:sz="0" w:space="0" w:color="auto"/>
            <w:bottom w:val="none" w:sz="0" w:space="0" w:color="auto"/>
            <w:right w:val="none" w:sz="0" w:space="0" w:color="auto"/>
          </w:divBdr>
        </w:div>
      </w:divsChild>
    </w:div>
    <w:div w:id="816460650">
      <w:bodyDiv w:val="1"/>
      <w:marLeft w:val="0"/>
      <w:marRight w:val="0"/>
      <w:marTop w:val="0"/>
      <w:marBottom w:val="0"/>
      <w:divBdr>
        <w:top w:val="none" w:sz="0" w:space="0" w:color="auto"/>
        <w:left w:val="none" w:sz="0" w:space="0" w:color="auto"/>
        <w:bottom w:val="none" w:sz="0" w:space="0" w:color="auto"/>
        <w:right w:val="none" w:sz="0" w:space="0" w:color="auto"/>
      </w:divBdr>
      <w:divsChild>
        <w:div w:id="145171934">
          <w:marLeft w:val="547"/>
          <w:marRight w:val="0"/>
          <w:marTop w:val="77"/>
          <w:marBottom w:val="0"/>
          <w:divBdr>
            <w:top w:val="none" w:sz="0" w:space="0" w:color="auto"/>
            <w:left w:val="none" w:sz="0" w:space="0" w:color="auto"/>
            <w:bottom w:val="none" w:sz="0" w:space="0" w:color="auto"/>
            <w:right w:val="none" w:sz="0" w:space="0" w:color="auto"/>
          </w:divBdr>
        </w:div>
        <w:div w:id="789007825">
          <w:marLeft w:val="547"/>
          <w:marRight w:val="0"/>
          <w:marTop w:val="77"/>
          <w:marBottom w:val="0"/>
          <w:divBdr>
            <w:top w:val="none" w:sz="0" w:space="0" w:color="auto"/>
            <w:left w:val="none" w:sz="0" w:space="0" w:color="auto"/>
            <w:bottom w:val="none" w:sz="0" w:space="0" w:color="auto"/>
            <w:right w:val="none" w:sz="0" w:space="0" w:color="auto"/>
          </w:divBdr>
        </w:div>
        <w:div w:id="907032783">
          <w:marLeft w:val="547"/>
          <w:marRight w:val="0"/>
          <w:marTop w:val="77"/>
          <w:marBottom w:val="0"/>
          <w:divBdr>
            <w:top w:val="none" w:sz="0" w:space="0" w:color="auto"/>
            <w:left w:val="none" w:sz="0" w:space="0" w:color="auto"/>
            <w:bottom w:val="none" w:sz="0" w:space="0" w:color="auto"/>
            <w:right w:val="none" w:sz="0" w:space="0" w:color="auto"/>
          </w:divBdr>
        </w:div>
        <w:div w:id="994140593">
          <w:marLeft w:val="547"/>
          <w:marRight w:val="0"/>
          <w:marTop w:val="77"/>
          <w:marBottom w:val="0"/>
          <w:divBdr>
            <w:top w:val="none" w:sz="0" w:space="0" w:color="auto"/>
            <w:left w:val="none" w:sz="0" w:space="0" w:color="auto"/>
            <w:bottom w:val="none" w:sz="0" w:space="0" w:color="auto"/>
            <w:right w:val="none" w:sz="0" w:space="0" w:color="auto"/>
          </w:divBdr>
        </w:div>
        <w:div w:id="998314045">
          <w:marLeft w:val="547"/>
          <w:marRight w:val="0"/>
          <w:marTop w:val="77"/>
          <w:marBottom w:val="0"/>
          <w:divBdr>
            <w:top w:val="none" w:sz="0" w:space="0" w:color="auto"/>
            <w:left w:val="none" w:sz="0" w:space="0" w:color="auto"/>
            <w:bottom w:val="none" w:sz="0" w:space="0" w:color="auto"/>
            <w:right w:val="none" w:sz="0" w:space="0" w:color="auto"/>
          </w:divBdr>
        </w:div>
        <w:div w:id="1479953312">
          <w:marLeft w:val="547"/>
          <w:marRight w:val="0"/>
          <w:marTop w:val="77"/>
          <w:marBottom w:val="0"/>
          <w:divBdr>
            <w:top w:val="none" w:sz="0" w:space="0" w:color="auto"/>
            <w:left w:val="none" w:sz="0" w:space="0" w:color="auto"/>
            <w:bottom w:val="none" w:sz="0" w:space="0" w:color="auto"/>
            <w:right w:val="none" w:sz="0" w:space="0" w:color="auto"/>
          </w:divBdr>
        </w:div>
        <w:div w:id="1513301961">
          <w:marLeft w:val="547"/>
          <w:marRight w:val="0"/>
          <w:marTop w:val="77"/>
          <w:marBottom w:val="0"/>
          <w:divBdr>
            <w:top w:val="none" w:sz="0" w:space="0" w:color="auto"/>
            <w:left w:val="none" w:sz="0" w:space="0" w:color="auto"/>
            <w:bottom w:val="none" w:sz="0" w:space="0" w:color="auto"/>
            <w:right w:val="none" w:sz="0" w:space="0" w:color="auto"/>
          </w:divBdr>
        </w:div>
        <w:div w:id="1649556530">
          <w:marLeft w:val="547"/>
          <w:marRight w:val="0"/>
          <w:marTop w:val="77"/>
          <w:marBottom w:val="0"/>
          <w:divBdr>
            <w:top w:val="none" w:sz="0" w:space="0" w:color="auto"/>
            <w:left w:val="none" w:sz="0" w:space="0" w:color="auto"/>
            <w:bottom w:val="none" w:sz="0" w:space="0" w:color="auto"/>
            <w:right w:val="none" w:sz="0" w:space="0" w:color="auto"/>
          </w:divBdr>
        </w:div>
        <w:div w:id="1677658387">
          <w:marLeft w:val="547"/>
          <w:marRight w:val="0"/>
          <w:marTop w:val="77"/>
          <w:marBottom w:val="0"/>
          <w:divBdr>
            <w:top w:val="none" w:sz="0" w:space="0" w:color="auto"/>
            <w:left w:val="none" w:sz="0" w:space="0" w:color="auto"/>
            <w:bottom w:val="none" w:sz="0" w:space="0" w:color="auto"/>
            <w:right w:val="none" w:sz="0" w:space="0" w:color="auto"/>
          </w:divBdr>
        </w:div>
        <w:div w:id="1715232389">
          <w:marLeft w:val="547"/>
          <w:marRight w:val="0"/>
          <w:marTop w:val="77"/>
          <w:marBottom w:val="0"/>
          <w:divBdr>
            <w:top w:val="none" w:sz="0" w:space="0" w:color="auto"/>
            <w:left w:val="none" w:sz="0" w:space="0" w:color="auto"/>
            <w:bottom w:val="none" w:sz="0" w:space="0" w:color="auto"/>
            <w:right w:val="none" w:sz="0" w:space="0" w:color="auto"/>
          </w:divBdr>
        </w:div>
        <w:div w:id="1748307610">
          <w:marLeft w:val="547"/>
          <w:marRight w:val="0"/>
          <w:marTop w:val="77"/>
          <w:marBottom w:val="0"/>
          <w:divBdr>
            <w:top w:val="none" w:sz="0" w:space="0" w:color="auto"/>
            <w:left w:val="none" w:sz="0" w:space="0" w:color="auto"/>
            <w:bottom w:val="none" w:sz="0" w:space="0" w:color="auto"/>
            <w:right w:val="none" w:sz="0" w:space="0" w:color="auto"/>
          </w:divBdr>
        </w:div>
        <w:div w:id="1879663247">
          <w:marLeft w:val="547"/>
          <w:marRight w:val="0"/>
          <w:marTop w:val="77"/>
          <w:marBottom w:val="0"/>
          <w:divBdr>
            <w:top w:val="none" w:sz="0" w:space="0" w:color="auto"/>
            <w:left w:val="none" w:sz="0" w:space="0" w:color="auto"/>
            <w:bottom w:val="none" w:sz="0" w:space="0" w:color="auto"/>
            <w:right w:val="none" w:sz="0" w:space="0" w:color="auto"/>
          </w:divBdr>
        </w:div>
      </w:divsChild>
    </w:div>
    <w:div w:id="833763829">
      <w:bodyDiv w:val="1"/>
      <w:marLeft w:val="0"/>
      <w:marRight w:val="0"/>
      <w:marTop w:val="0"/>
      <w:marBottom w:val="0"/>
      <w:divBdr>
        <w:top w:val="none" w:sz="0" w:space="0" w:color="auto"/>
        <w:left w:val="none" w:sz="0" w:space="0" w:color="auto"/>
        <w:bottom w:val="none" w:sz="0" w:space="0" w:color="auto"/>
        <w:right w:val="none" w:sz="0" w:space="0" w:color="auto"/>
      </w:divBdr>
    </w:div>
    <w:div w:id="868832300">
      <w:bodyDiv w:val="1"/>
      <w:marLeft w:val="0"/>
      <w:marRight w:val="0"/>
      <w:marTop w:val="0"/>
      <w:marBottom w:val="0"/>
      <w:divBdr>
        <w:top w:val="none" w:sz="0" w:space="0" w:color="auto"/>
        <w:left w:val="none" w:sz="0" w:space="0" w:color="auto"/>
        <w:bottom w:val="none" w:sz="0" w:space="0" w:color="auto"/>
        <w:right w:val="none" w:sz="0" w:space="0" w:color="auto"/>
      </w:divBdr>
      <w:divsChild>
        <w:div w:id="48192809">
          <w:marLeft w:val="547"/>
          <w:marRight w:val="0"/>
          <w:marTop w:val="62"/>
          <w:marBottom w:val="0"/>
          <w:divBdr>
            <w:top w:val="none" w:sz="0" w:space="0" w:color="auto"/>
            <w:left w:val="none" w:sz="0" w:space="0" w:color="auto"/>
            <w:bottom w:val="none" w:sz="0" w:space="0" w:color="auto"/>
            <w:right w:val="none" w:sz="0" w:space="0" w:color="auto"/>
          </w:divBdr>
        </w:div>
        <w:div w:id="48844999">
          <w:marLeft w:val="547"/>
          <w:marRight w:val="0"/>
          <w:marTop w:val="62"/>
          <w:marBottom w:val="0"/>
          <w:divBdr>
            <w:top w:val="none" w:sz="0" w:space="0" w:color="auto"/>
            <w:left w:val="none" w:sz="0" w:space="0" w:color="auto"/>
            <w:bottom w:val="none" w:sz="0" w:space="0" w:color="auto"/>
            <w:right w:val="none" w:sz="0" w:space="0" w:color="auto"/>
          </w:divBdr>
        </w:div>
        <w:div w:id="164515101">
          <w:marLeft w:val="547"/>
          <w:marRight w:val="0"/>
          <w:marTop w:val="62"/>
          <w:marBottom w:val="0"/>
          <w:divBdr>
            <w:top w:val="none" w:sz="0" w:space="0" w:color="auto"/>
            <w:left w:val="none" w:sz="0" w:space="0" w:color="auto"/>
            <w:bottom w:val="none" w:sz="0" w:space="0" w:color="auto"/>
            <w:right w:val="none" w:sz="0" w:space="0" w:color="auto"/>
          </w:divBdr>
        </w:div>
        <w:div w:id="340089571">
          <w:marLeft w:val="547"/>
          <w:marRight w:val="0"/>
          <w:marTop w:val="62"/>
          <w:marBottom w:val="0"/>
          <w:divBdr>
            <w:top w:val="none" w:sz="0" w:space="0" w:color="auto"/>
            <w:left w:val="none" w:sz="0" w:space="0" w:color="auto"/>
            <w:bottom w:val="none" w:sz="0" w:space="0" w:color="auto"/>
            <w:right w:val="none" w:sz="0" w:space="0" w:color="auto"/>
          </w:divBdr>
        </w:div>
        <w:div w:id="535697513">
          <w:marLeft w:val="547"/>
          <w:marRight w:val="0"/>
          <w:marTop w:val="62"/>
          <w:marBottom w:val="0"/>
          <w:divBdr>
            <w:top w:val="none" w:sz="0" w:space="0" w:color="auto"/>
            <w:left w:val="none" w:sz="0" w:space="0" w:color="auto"/>
            <w:bottom w:val="none" w:sz="0" w:space="0" w:color="auto"/>
            <w:right w:val="none" w:sz="0" w:space="0" w:color="auto"/>
          </w:divBdr>
        </w:div>
        <w:div w:id="573129381">
          <w:marLeft w:val="547"/>
          <w:marRight w:val="0"/>
          <w:marTop w:val="62"/>
          <w:marBottom w:val="0"/>
          <w:divBdr>
            <w:top w:val="none" w:sz="0" w:space="0" w:color="auto"/>
            <w:left w:val="none" w:sz="0" w:space="0" w:color="auto"/>
            <w:bottom w:val="none" w:sz="0" w:space="0" w:color="auto"/>
            <w:right w:val="none" w:sz="0" w:space="0" w:color="auto"/>
          </w:divBdr>
        </w:div>
        <w:div w:id="629866503">
          <w:marLeft w:val="547"/>
          <w:marRight w:val="0"/>
          <w:marTop w:val="58"/>
          <w:marBottom w:val="0"/>
          <w:divBdr>
            <w:top w:val="none" w:sz="0" w:space="0" w:color="auto"/>
            <w:left w:val="none" w:sz="0" w:space="0" w:color="auto"/>
            <w:bottom w:val="none" w:sz="0" w:space="0" w:color="auto"/>
            <w:right w:val="none" w:sz="0" w:space="0" w:color="auto"/>
          </w:divBdr>
        </w:div>
        <w:div w:id="738015004">
          <w:marLeft w:val="547"/>
          <w:marRight w:val="0"/>
          <w:marTop w:val="62"/>
          <w:marBottom w:val="0"/>
          <w:divBdr>
            <w:top w:val="none" w:sz="0" w:space="0" w:color="auto"/>
            <w:left w:val="none" w:sz="0" w:space="0" w:color="auto"/>
            <w:bottom w:val="none" w:sz="0" w:space="0" w:color="auto"/>
            <w:right w:val="none" w:sz="0" w:space="0" w:color="auto"/>
          </w:divBdr>
        </w:div>
        <w:div w:id="851379370">
          <w:marLeft w:val="547"/>
          <w:marRight w:val="0"/>
          <w:marTop w:val="62"/>
          <w:marBottom w:val="0"/>
          <w:divBdr>
            <w:top w:val="none" w:sz="0" w:space="0" w:color="auto"/>
            <w:left w:val="none" w:sz="0" w:space="0" w:color="auto"/>
            <w:bottom w:val="none" w:sz="0" w:space="0" w:color="auto"/>
            <w:right w:val="none" w:sz="0" w:space="0" w:color="auto"/>
          </w:divBdr>
        </w:div>
        <w:div w:id="1164203138">
          <w:marLeft w:val="547"/>
          <w:marRight w:val="0"/>
          <w:marTop w:val="62"/>
          <w:marBottom w:val="0"/>
          <w:divBdr>
            <w:top w:val="none" w:sz="0" w:space="0" w:color="auto"/>
            <w:left w:val="none" w:sz="0" w:space="0" w:color="auto"/>
            <w:bottom w:val="none" w:sz="0" w:space="0" w:color="auto"/>
            <w:right w:val="none" w:sz="0" w:space="0" w:color="auto"/>
          </w:divBdr>
        </w:div>
        <w:div w:id="1351565479">
          <w:marLeft w:val="547"/>
          <w:marRight w:val="0"/>
          <w:marTop w:val="62"/>
          <w:marBottom w:val="0"/>
          <w:divBdr>
            <w:top w:val="none" w:sz="0" w:space="0" w:color="auto"/>
            <w:left w:val="none" w:sz="0" w:space="0" w:color="auto"/>
            <w:bottom w:val="none" w:sz="0" w:space="0" w:color="auto"/>
            <w:right w:val="none" w:sz="0" w:space="0" w:color="auto"/>
          </w:divBdr>
        </w:div>
        <w:div w:id="1357460848">
          <w:marLeft w:val="547"/>
          <w:marRight w:val="0"/>
          <w:marTop w:val="62"/>
          <w:marBottom w:val="0"/>
          <w:divBdr>
            <w:top w:val="none" w:sz="0" w:space="0" w:color="auto"/>
            <w:left w:val="none" w:sz="0" w:space="0" w:color="auto"/>
            <w:bottom w:val="none" w:sz="0" w:space="0" w:color="auto"/>
            <w:right w:val="none" w:sz="0" w:space="0" w:color="auto"/>
          </w:divBdr>
        </w:div>
        <w:div w:id="1496603154">
          <w:marLeft w:val="547"/>
          <w:marRight w:val="0"/>
          <w:marTop w:val="62"/>
          <w:marBottom w:val="0"/>
          <w:divBdr>
            <w:top w:val="none" w:sz="0" w:space="0" w:color="auto"/>
            <w:left w:val="none" w:sz="0" w:space="0" w:color="auto"/>
            <w:bottom w:val="none" w:sz="0" w:space="0" w:color="auto"/>
            <w:right w:val="none" w:sz="0" w:space="0" w:color="auto"/>
          </w:divBdr>
        </w:div>
        <w:div w:id="1618949095">
          <w:marLeft w:val="547"/>
          <w:marRight w:val="0"/>
          <w:marTop w:val="62"/>
          <w:marBottom w:val="0"/>
          <w:divBdr>
            <w:top w:val="none" w:sz="0" w:space="0" w:color="auto"/>
            <w:left w:val="none" w:sz="0" w:space="0" w:color="auto"/>
            <w:bottom w:val="none" w:sz="0" w:space="0" w:color="auto"/>
            <w:right w:val="none" w:sz="0" w:space="0" w:color="auto"/>
          </w:divBdr>
        </w:div>
        <w:div w:id="1870098225">
          <w:marLeft w:val="547"/>
          <w:marRight w:val="0"/>
          <w:marTop w:val="62"/>
          <w:marBottom w:val="0"/>
          <w:divBdr>
            <w:top w:val="none" w:sz="0" w:space="0" w:color="auto"/>
            <w:left w:val="none" w:sz="0" w:space="0" w:color="auto"/>
            <w:bottom w:val="none" w:sz="0" w:space="0" w:color="auto"/>
            <w:right w:val="none" w:sz="0" w:space="0" w:color="auto"/>
          </w:divBdr>
        </w:div>
        <w:div w:id="1923948431">
          <w:marLeft w:val="547"/>
          <w:marRight w:val="0"/>
          <w:marTop w:val="62"/>
          <w:marBottom w:val="0"/>
          <w:divBdr>
            <w:top w:val="none" w:sz="0" w:space="0" w:color="auto"/>
            <w:left w:val="none" w:sz="0" w:space="0" w:color="auto"/>
            <w:bottom w:val="none" w:sz="0" w:space="0" w:color="auto"/>
            <w:right w:val="none" w:sz="0" w:space="0" w:color="auto"/>
          </w:divBdr>
        </w:div>
        <w:div w:id="1931160572">
          <w:marLeft w:val="547"/>
          <w:marRight w:val="0"/>
          <w:marTop w:val="62"/>
          <w:marBottom w:val="0"/>
          <w:divBdr>
            <w:top w:val="none" w:sz="0" w:space="0" w:color="auto"/>
            <w:left w:val="none" w:sz="0" w:space="0" w:color="auto"/>
            <w:bottom w:val="none" w:sz="0" w:space="0" w:color="auto"/>
            <w:right w:val="none" w:sz="0" w:space="0" w:color="auto"/>
          </w:divBdr>
        </w:div>
        <w:div w:id="1955865581">
          <w:marLeft w:val="547"/>
          <w:marRight w:val="0"/>
          <w:marTop w:val="62"/>
          <w:marBottom w:val="0"/>
          <w:divBdr>
            <w:top w:val="none" w:sz="0" w:space="0" w:color="auto"/>
            <w:left w:val="none" w:sz="0" w:space="0" w:color="auto"/>
            <w:bottom w:val="none" w:sz="0" w:space="0" w:color="auto"/>
            <w:right w:val="none" w:sz="0" w:space="0" w:color="auto"/>
          </w:divBdr>
        </w:div>
      </w:divsChild>
    </w:div>
    <w:div w:id="926963960">
      <w:bodyDiv w:val="1"/>
      <w:marLeft w:val="0"/>
      <w:marRight w:val="0"/>
      <w:marTop w:val="0"/>
      <w:marBottom w:val="0"/>
      <w:divBdr>
        <w:top w:val="none" w:sz="0" w:space="0" w:color="auto"/>
        <w:left w:val="none" w:sz="0" w:space="0" w:color="auto"/>
        <w:bottom w:val="none" w:sz="0" w:space="0" w:color="auto"/>
        <w:right w:val="none" w:sz="0" w:space="0" w:color="auto"/>
      </w:divBdr>
    </w:div>
    <w:div w:id="931857489">
      <w:bodyDiv w:val="1"/>
      <w:marLeft w:val="0"/>
      <w:marRight w:val="0"/>
      <w:marTop w:val="0"/>
      <w:marBottom w:val="0"/>
      <w:divBdr>
        <w:top w:val="none" w:sz="0" w:space="0" w:color="auto"/>
        <w:left w:val="none" w:sz="0" w:space="0" w:color="auto"/>
        <w:bottom w:val="none" w:sz="0" w:space="0" w:color="auto"/>
        <w:right w:val="none" w:sz="0" w:space="0" w:color="auto"/>
      </w:divBdr>
    </w:div>
    <w:div w:id="935284519">
      <w:bodyDiv w:val="1"/>
      <w:marLeft w:val="0"/>
      <w:marRight w:val="0"/>
      <w:marTop w:val="0"/>
      <w:marBottom w:val="0"/>
      <w:divBdr>
        <w:top w:val="none" w:sz="0" w:space="0" w:color="auto"/>
        <w:left w:val="none" w:sz="0" w:space="0" w:color="auto"/>
        <w:bottom w:val="none" w:sz="0" w:space="0" w:color="auto"/>
        <w:right w:val="none" w:sz="0" w:space="0" w:color="auto"/>
      </w:divBdr>
      <w:divsChild>
        <w:div w:id="1019087010">
          <w:marLeft w:val="547"/>
          <w:marRight w:val="0"/>
          <w:marTop w:val="0"/>
          <w:marBottom w:val="0"/>
          <w:divBdr>
            <w:top w:val="none" w:sz="0" w:space="0" w:color="auto"/>
            <w:left w:val="none" w:sz="0" w:space="0" w:color="auto"/>
            <w:bottom w:val="none" w:sz="0" w:space="0" w:color="auto"/>
            <w:right w:val="none" w:sz="0" w:space="0" w:color="auto"/>
          </w:divBdr>
        </w:div>
      </w:divsChild>
    </w:div>
    <w:div w:id="962884598">
      <w:bodyDiv w:val="1"/>
      <w:marLeft w:val="0"/>
      <w:marRight w:val="0"/>
      <w:marTop w:val="0"/>
      <w:marBottom w:val="0"/>
      <w:divBdr>
        <w:top w:val="none" w:sz="0" w:space="0" w:color="auto"/>
        <w:left w:val="none" w:sz="0" w:space="0" w:color="auto"/>
        <w:bottom w:val="none" w:sz="0" w:space="0" w:color="auto"/>
        <w:right w:val="none" w:sz="0" w:space="0" w:color="auto"/>
      </w:divBdr>
    </w:div>
    <w:div w:id="984970987">
      <w:bodyDiv w:val="1"/>
      <w:marLeft w:val="0"/>
      <w:marRight w:val="0"/>
      <w:marTop w:val="0"/>
      <w:marBottom w:val="0"/>
      <w:divBdr>
        <w:top w:val="none" w:sz="0" w:space="0" w:color="auto"/>
        <w:left w:val="none" w:sz="0" w:space="0" w:color="auto"/>
        <w:bottom w:val="none" w:sz="0" w:space="0" w:color="auto"/>
        <w:right w:val="none" w:sz="0" w:space="0" w:color="auto"/>
      </w:divBdr>
      <w:divsChild>
        <w:div w:id="173761526">
          <w:marLeft w:val="547"/>
          <w:marRight w:val="0"/>
          <w:marTop w:val="74"/>
          <w:marBottom w:val="0"/>
          <w:divBdr>
            <w:top w:val="none" w:sz="0" w:space="0" w:color="auto"/>
            <w:left w:val="none" w:sz="0" w:space="0" w:color="auto"/>
            <w:bottom w:val="none" w:sz="0" w:space="0" w:color="auto"/>
            <w:right w:val="none" w:sz="0" w:space="0" w:color="auto"/>
          </w:divBdr>
        </w:div>
        <w:div w:id="576328854">
          <w:marLeft w:val="547"/>
          <w:marRight w:val="0"/>
          <w:marTop w:val="74"/>
          <w:marBottom w:val="0"/>
          <w:divBdr>
            <w:top w:val="none" w:sz="0" w:space="0" w:color="auto"/>
            <w:left w:val="none" w:sz="0" w:space="0" w:color="auto"/>
            <w:bottom w:val="none" w:sz="0" w:space="0" w:color="auto"/>
            <w:right w:val="none" w:sz="0" w:space="0" w:color="auto"/>
          </w:divBdr>
        </w:div>
        <w:div w:id="627012627">
          <w:marLeft w:val="547"/>
          <w:marRight w:val="0"/>
          <w:marTop w:val="74"/>
          <w:marBottom w:val="0"/>
          <w:divBdr>
            <w:top w:val="none" w:sz="0" w:space="0" w:color="auto"/>
            <w:left w:val="none" w:sz="0" w:space="0" w:color="auto"/>
            <w:bottom w:val="none" w:sz="0" w:space="0" w:color="auto"/>
            <w:right w:val="none" w:sz="0" w:space="0" w:color="auto"/>
          </w:divBdr>
        </w:div>
        <w:div w:id="1545822933">
          <w:marLeft w:val="547"/>
          <w:marRight w:val="0"/>
          <w:marTop w:val="74"/>
          <w:marBottom w:val="0"/>
          <w:divBdr>
            <w:top w:val="none" w:sz="0" w:space="0" w:color="auto"/>
            <w:left w:val="none" w:sz="0" w:space="0" w:color="auto"/>
            <w:bottom w:val="none" w:sz="0" w:space="0" w:color="auto"/>
            <w:right w:val="none" w:sz="0" w:space="0" w:color="auto"/>
          </w:divBdr>
        </w:div>
        <w:div w:id="1769694551">
          <w:marLeft w:val="547"/>
          <w:marRight w:val="0"/>
          <w:marTop w:val="74"/>
          <w:marBottom w:val="0"/>
          <w:divBdr>
            <w:top w:val="none" w:sz="0" w:space="0" w:color="auto"/>
            <w:left w:val="none" w:sz="0" w:space="0" w:color="auto"/>
            <w:bottom w:val="none" w:sz="0" w:space="0" w:color="auto"/>
            <w:right w:val="none" w:sz="0" w:space="0" w:color="auto"/>
          </w:divBdr>
        </w:div>
        <w:div w:id="2114082956">
          <w:marLeft w:val="547"/>
          <w:marRight w:val="0"/>
          <w:marTop w:val="74"/>
          <w:marBottom w:val="0"/>
          <w:divBdr>
            <w:top w:val="none" w:sz="0" w:space="0" w:color="auto"/>
            <w:left w:val="none" w:sz="0" w:space="0" w:color="auto"/>
            <w:bottom w:val="none" w:sz="0" w:space="0" w:color="auto"/>
            <w:right w:val="none" w:sz="0" w:space="0" w:color="auto"/>
          </w:divBdr>
        </w:div>
      </w:divsChild>
    </w:div>
    <w:div w:id="999892718">
      <w:bodyDiv w:val="1"/>
      <w:marLeft w:val="0"/>
      <w:marRight w:val="0"/>
      <w:marTop w:val="0"/>
      <w:marBottom w:val="0"/>
      <w:divBdr>
        <w:top w:val="none" w:sz="0" w:space="0" w:color="auto"/>
        <w:left w:val="none" w:sz="0" w:space="0" w:color="auto"/>
        <w:bottom w:val="none" w:sz="0" w:space="0" w:color="auto"/>
        <w:right w:val="none" w:sz="0" w:space="0" w:color="auto"/>
      </w:divBdr>
      <w:divsChild>
        <w:div w:id="164830786">
          <w:marLeft w:val="547"/>
          <w:marRight w:val="0"/>
          <w:marTop w:val="74"/>
          <w:marBottom w:val="0"/>
          <w:divBdr>
            <w:top w:val="none" w:sz="0" w:space="0" w:color="auto"/>
            <w:left w:val="none" w:sz="0" w:space="0" w:color="auto"/>
            <w:bottom w:val="none" w:sz="0" w:space="0" w:color="auto"/>
            <w:right w:val="none" w:sz="0" w:space="0" w:color="auto"/>
          </w:divBdr>
        </w:div>
        <w:div w:id="297496995">
          <w:marLeft w:val="547"/>
          <w:marRight w:val="0"/>
          <w:marTop w:val="74"/>
          <w:marBottom w:val="0"/>
          <w:divBdr>
            <w:top w:val="none" w:sz="0" w:space="0" w:color="auto"/>
            <w:left w:val="none" w:sz="0" w:space="0" w:color="auto"/>
            <w:bottom w:val="none" w:sz="0" w:space="0" w:color="auto"/>
            <w:right w:val="none" w:sz="0" w:space="0" w:color="auto"/>
          </w:divBdr>
        </w:div>
        <w:div w:id="361901559">
          <w:marLeft w:val="547"/>
          <w:marRight w:val="0"/>
          <w:marTop w:val="74"/>
          <w:marBottom w:val="0"/>
          <w:divBdr>
            <w:top w:val="none" w:sz="0" w:space="0" w:color="auto"/>
            <w:left w:val="none" w:sz="0" w:space="0" w:color="auto"/>
            <w:bottom w:val="none" w:sz="0" w:space="0" w:color="auto"/>
            <w:right w:val="none" w:sz="0" w:space="0" w:color="auto"/>
          </w:divBdr>
        </w:div>
        <w:div w:id="462502394">
          <w:marLeft w:val="547"/>
          <w:marRight w:val="0"/>
          <w:marTop w:val="74"/>
          <w:marBottom w:val="0"/>
          <w:divBdr>
            <w:top w:val="none" w:sz="0" w:space="0" w:color="auto"/>
            <w:left w:val="none" w:sz="0" w:space="0" w:color="auto"/>
            <w:bottom w:val="none" w:sz="0" w:space="0" w:color="auto"/>
            <w:right w:val="none" w:sz="0" w:space="0" w:color="auto"/>
          </w:divBdr>
        </w:div>
        <w:div w:id="649290631">
          <w:marLeft w:val="547"/>
          <w:marRight w:val="0"/>
          <w:marTop w:val="74"/>
          <w:marBottom w:val="0"/>
          <w:divBdr>
            <w:top w:val="none" w:sz="0" w:space="0" w:color="auto"/>
            <w:left w:val="none" w:sz="0" w:space="0" w:color="auto"/>
            <w:bottom w:val="none" w:sz="0" w:space="0" w:color="auto"/>
            <w:right w:val="none" w:sz="0" w:space="0" w:color="auto"/>
          </w:divBdr>
        </w:div>
        <w:div w:id="969356419">
          <w:marLeft w:val="547"/>
          <w:marRight w:val="0"/>
          <w:marTop w:val="74"/>
          <w:marBottom w:val="0"/>
          <w:divBdr>
            <w:top w:val="none" w:sz="0" w:space="0" w:color="auto"/>
            <w:left w:val="none" w:sz="0" w:space="0" w:color="auto"/>
            <w:bottom w:val="none" w:sz="0" w:space="0" w:color="auto"/>
            <w:right w:val="none" w:sz="0" w:space="0" w:color="auto"/>
          </w:divBdr>
        </w:div>
        <w:div w:id="1150098803">
          <w:marLeft w:val="547"/>
          <w:marRight w:val="0"/>
          <w:marTop w:val="74"/>
          <w:marBottom w:val="0"/>
          <w:divBdr>
            <w:top w:val="none" w:sz="0" w:space="0" w:color="auto"/>
            <w:left w:val="none" w:sz="0" w:space="0" w:color="auto"/>
            <w:bottom w:val="none" w:sz="0" w:space="0" w:color="auto"/>
            <w:right w:val="none" w:sz="0" w:space="0" w:color="auto"/>
          </w:divBdr>
        </w:div>
        <w:div w:id="1336616103">
          <w:marLeft w:val="547"/>
          <w:marRight w:val="0"/>
          <w:marTop w:val="74"/>
          <w:marBottom w:val="0"/>
          <w:divBdr>
            <w:top w:val="none" w:sz="0" w:space="0" w:color="auto"/>
            <w:left w:val="none" w:sz="0" w:space="0" w:color="auto"/>
            <w:bottom w:val="none" w:sz="0" w:space="0" w:color="auto"/>
            <w:right w:val="none" w:sz="0" w:space="0" w:color="auto"/>
          </w:divBdr>
        </w:div>
        <w:div w:id="1438482272">
          <w:marLeft w:val="547"/>
          <w:marRight w:val="0"/>
          <w:marTop w:val="74"/>
          <w:marBottom w:val="0"/>
          <w:divBdr>
            <w:top w:val="none" w:sz="0" w:space="0" w:color="auto"/>
            <w:left w:val="none" w:sz="0" w:space="0" w:color="auto"/>
            <w:bottom w:val="none" w:sz="0" w:space="0" w:color="auto"/>
            <w:right w:val="none" w:sz="0" w:space="0" w:color="auto"/>
          </w:divBdr>
        </w:div>
        <w:div w:id="1492870738">
          <w:marLeft w:val="547"/>
          <w:marRight w:val="0"/>
          <w:marTop w:val="74"/>
          <w:marBottom w:val="0"/>
          <w:divBdr>
            <w:top w:val="none" w:sz="0" w:space="0" w:color="auto"/>
            <w:left w:val="none" w:sz="0" w:space="0" w:color="auto"/>
            <w:bottom w:val="none" w:sz="0" w:space="0" w:color="auto"/>
            <w:right w:val="none" w:sz="0" w:space="0" w:color="auto"/>
          </w:divBdr>
        </w:div>
        <w:div w:id="1654215385">
          <w:marLeft w:val="547"/>
          <w:marRight w:val="0"/>
          <w:marTop w:val="74"/>
          <w:marBottom w:val="0"/>
          <w:divBdr>
            <w:top w:val="none" w:sz="0" w:space="0" w:color="auto"/>
            <w:left w:val="none" w:sz="0" w:space="0" w:color="auto"/>
            <w:bottom w:val="none" w:sz="0" w:space="0" w:color="auto"/>
            <w:right w:val="none" w:sz="0" w:space="0" w:color="auto"/>
          </w:divBdr>
        </w:div>
        <w:div w:id="1914075663">
          <w:marLeft w:val="547"/>
          <w:marRight w:val="0"/>
          <w:marTop w:val="74"/>
          <w:marBottom w:val="0"/>
          <w:divBdr>
            <w:top w:val="none" w:sz="0" w:space="0" w:color="auto"/>
            <w:left w:val="none" w:sz="0" w:space="0" w:color="auto"/>
            <w:bottom w:val="none" w:sz="0" w:space="0" w:color="auto"/>
            <w:right w:val="none" w:sz="0" w:space="0" w:color="auto"/>
          </w:divBdr>
        </w:div>
        <w:div w:id="1945453124">
          <w:marLeft w:val="547"/>
          <w:marRight w:val="0"/>
          <w:marTop w:val="74"/>
          <w:marBottom w:val="0"/>
          <w:divBdr>
            <w:top w:val="none" w:sz="0" w:space="0" w:color="auto"/>
            <w:left w:val="none" w:sz="0" w:space="0" w:color="auto"/>
            <w:bottom w:val="none" w:sz="0" w:space="0" w:color="auto"/>
            <w:right w:val="none" w:sz="0" w:space="0" w:color="auto"/>
          </w:divBdr>
        </w:div>
      </w:divsChild>
    </w:div>
    <w:div w:id="1003050935">
      <w:bodyDiv w:val="1"/>
      <w:marLeft w:val="0"/>
      <w:marRight w:val="0"/>
      <w:marTop w:val="0"/>
      <w:marBottom w:val="0"/>
      <w:divBdr>
        <w:top w:val="none" w:sz="0" w:space="0" w:color="auto"/>
        <w:left w:val="none" w:sz="0" w:space="0" w:color="auto"/>
        <w:bottom w:val="none" w:sz="0" w:space="0" w:color="auto"/>
        <w:right w:val="none" w:sz="0" w:space="0" w:color="auto"/>
      </w:divBdr>
      <w:divsChild>
        <w:div w:id="1088766081">
          <w:marLeft w:val="547"/>
          <w:marRight w:val="0"/>
          <w:marTop w:val="0"/>
          <w:marBottom w:val="0"/>
          <w:divBdr>
            <w:top w:val="none" w:sz="0" w:space="0" w:color="auto"/>
            <w:left w:val="none" w:sz="0" w:space="0" w:color="auto"/>
            <w:bottom w:val="none" w:sz="0" w:space="0" w:color="auto"/>
            <w:right w:val="none" w:sz="0" w:space="0" w:color="auto"/>
          </w:divBdr>
        </w:div>
      </w:divsChild>
    </w:div>
    <w:div w:id="1007058296">
      <w:bodyDiv w:val="1"/>
      <w:marLeft w:val="0"/>
      <w:marRight w:val="0"/>
      <w:marTop w:val="0"/>
      <w:marBottom w:val="0"/>
      <w:divBdr>
        <w:top w:val="none" w:sz="0" w:space="0" w:color="auto"/>
        <w:left w:val="none" w:sz="0" w:space="0" w:color="auto"/>
        <w:bottom w:val="none" w:sz="0" w:space="0" w:color="auto"/>
        <w:right w:val="none" w:sz="0" w:space="0" w:color="auto"/>
      </w:divBdr>
    </w:div>
    <w:div w:id="1044716758">
      <w:bodyDiv w:val="1"/>
      <w:marLeft w:val="0"/>
      <w:marRight w:val="0"/>
      <w:marTop w:val="0"/>
      <w:marBottom w:val="0"/>
      <w:divBdr>
        <w:top w:val="none" w:sz="0" w:space="0" w:color="auto"/>
        <w:left w:val="none" w:sz="0" w:space="0" w:color="auto"/>
        <w:bottom w:val="none" w:sz="0" w:space="0" w:color="auto"/>
        <w:right w:val="none" w:sz="0" w:space="0" w:color="auto"/>
      </w:divBdr>
      <w:divsChild>
        <w:div w:id="997459690">
          <w:marLeft w:val="547"/>
          <w:marRight w:val="0"/>
          <w:marTop w:val="86"/>
          <w:marBottom w:val="0"/>
          <w:divBdr>
            <w:top w:val="none" w:sz="0" w:space="0" w:color="auto"/>
            <w:left w:val="none" w:sz="0" w:space="0" w:color="auto"/>
            <w:bottom w:val="none" w:sz="0" w:space="0" w:color="auto"/>
            <w:right w:val="none" w:sz="0" w:space="0" w:color="auto"/>
          </w:divBdr>
        </w:div>
        <w:div w:id="1166825196">
          <w:marLeft w:val="547"/>
          <w:marRight w:val="0"/>
          <w:marTop w:val="86"/>
          <w:marBottom w:val="0"/>
          <w:divBdr>
            <w:top w:val="none" w:sz="0" w:space="0" w:color="auto"/>
            <w:left w:val="none" w:sz="0" w:space="0" w:color="auto"/>
            <w:bottom w:val="none" w:sz="0" w:space="0" w:color="auto"/>
            <w:right w:val="none" w:sz="0" w:space="0" w:color="auto"/>
          </w:divBdr>
        </w:div>
        <w:div w:id="1259606662">
          <w:marLeft w:val="547"/>
          <w:marRight w:val="0"/>
          <w:marTop w:val="86"/>
          <w:marBottom w:val="0"/>
          <w:divBdr>
            <w:top w:val="none" w:sz="0" w:space="0" w:color="auto"/>
            <w:left w:val="none" w:sz="0" w:space="0" w:color="auto"/>
            <w:bottom w:val="none" w:sz="0" w:space="0" w:color="auto"/>
            <w:right w:val="none" w:sz="0" w:space="0" w:color="auto"/>
          </w:divBdr>
        </w:div>
        <w:div w:id="1783383083">
          <w:marLeft w:val="547"/>
          <w:marRight w:val="0"/>
          <w:marTop w:val="86"/>
          <w:marBottom w:val="0"/>
          <w:divBdr>
            <w:top w:val="none" w:sz="0" w:space="0" w:color="auto"/>
            <w:left w:val="none" w:sz="0" w:space="0" w:color="auto"/>
            <w:bottom w:val="none" w:sz="0" w:space="0" w:color="auto"/>
            <w:right w:val="none" w:sz="0" w:space="0" w:color="auto"/>
          </w:divBdr>
        </w:div>
      </w:divsChild>
    </w:div>
    <w:div w:id="1088503638">
      <w:bodyDiv w:val="1"/>
      <w:marLeft w:val="0"/>
      <w:marRight w:val="0"/>
      <w:marTop w:val="0"/>
      <w:marBottom w:val="0"/>
      <w:divBdr>
        <w:top w:val="none" w:sz="0" w:space="0" w:color="auto"/>
        <w:left w:val="none" w:sz="0" w:space="0" w:color="auto"/>
        <w:bottom w:val="none" w:sz="0" w:space="0" w:color="auto"/>
        <w:right w:val="none" w:sz="0" w:space="0" w:color="auto"/>
      </w:divBdr>
    </w:div>
    <w:div w:id="1098327913">
      <w:bodyDiv w:val="1"/>
      <w:marLeft w:val="0"/>
      <w:marRight w:val="0"/>
      <w:marTop w:val="0"/>
      <w:marBottom w:val="0"/>
      <w:divBdr>
        <w:top w:val="none" w:sz="0" w:space="0" w:color="auto"/>
        <w:left w:val="none" w:sz="0" w:space="0" w:color="auto"/>
        <w:bottom w:val="none" w:sz="0" w:space="0" w:color="auto"/>
        <w:right w:val="none" w:sz="0" w:space="0" w:color="auto"/>
      </w:divBdr>
      <w:divsChild>
        <w:div w:id="155584104">
          <w:marLeft w:val="547"/>
          <w:marRight w:val="0"/>
          <w:marTop w:val="96"/>
          <w:marBottom w:val="0"/>
          <w:divBdr>
            <w:top w:val="none" w:sz="0" w:space="0" w:color="auto"/>
            <w:left w:val="none" w:sz="0" w:space="0" w:color="auto"/>
            <w:bottom w:val="none" w:sz="0" w:space="0" w:color="auto"/>
            <w:right w:val="none" w:sz="0" w:space="0" w:color="auto"/>
          </w:divBdr>
        </w:div>
        <w:div w:id="411857364">
          <w:marLeft w:val="547"/>
          <w:marRight w:val="0"/>
          <w:marTop w:val="96"/>
          <w:marBottom w:val="0"/>
          <w:divBdr>
            <w:top w:val="none" w:sz="0" w:space="0" w:color="auto"/>
            <w:left w:val="none" w:sz="0" w:space="0" w:color="auto"/>
            <w:bottom w:val="none" w:sz="0" w:space="0" w:color="auto"/>
            <w:right w:val="none" w:sz="0" w:space="0" w:color="auto"/>
          </w:divBdr>
        </w:div>
        <w:div w:id="543516600">
          <w:marLeft w:val="547"/>
          <w:marRight w:val="0"/>
          <w:marTop w:val="96"/>
          <w:marBottom w:val="0"/>
          <w:divBdr>
            <w:top w:val="none" w:sz="0" w:space="0" w:color="auto"/>
            <w:left w:val="none" w:sz="0" w:space="0" w:color="auto"/>
            <w:bottom w:val="none" w:sz="0" w:space="0" w:color="auto"/>
            <w:right w:val="none" w:sz="0" w:space="0" w:color="auto"/>
          </w:divBdr>
        </w:div>
        <w:div w:id="1037661777">
          <w:marLeft w:val="547"/>
          <w:marRight w:val="0"/>
          <w:marTop w:val="96"/>
          <w:marBottom w:val="0"/>
          <w:divBdr>
            <w:top w:val="none" w:sz="0" w:space="0" w:color="auto"/>
            <w:left w:val="none" w:sz="0" w:space="0" w:color="auto"/>
            <w:bottom w:val="none" w:sz="0" w:space="0" w:color="auto"/>
            <w:right w:val="none" w:sz="0" w:space="0" w:color="auto"/>
          </w:divBdr>
        </w:div>
      </w:divsChild>
    </w:div>
    <w:div w:id="1150709464">
      <w:bodyDiv w:val="1"/>
      <w:marLeft w:val="0"/>
      <w:marRight w:val="0"/>
      <w:marTop w:val="0"/>
      <w:marBottom w:val="0"/>
      <w:divBdr>
        <w:top w:val="none" w:sz="0" w:space="0" w:color="auto"/>
        <w:left w:val="none" w:sz="0" w:space="0" w:color="auto"/>
        <w:bottom w:val="none" w:sz="0" w:space="0" w:color="auto"/>
        <w:right w:val="none" w:sz="0" w:space="0" w:color="auto"/>
      </w:divBdr>
    </w:div>
    <w:div w:id="1186015075">
      <w:bodyDiv w:val="1"/>
      <w:marLeft w:val="0"/>
      <w:marRight w:val="0"/>
      <w:marTop w:val="0"/>
      <w:marBottom w:val="0"/>
      <w:divBdr>
        <w:top w:val="none" w:sz="0" w:space="0" w:color="auto"/>
        <w:left w:val="none" w:sz="0" w:space="0" w:color="auto"/>
        <w:bottom w:val="none" w:sz="0" w:space="0" w:color="auto"/>
        <w:right w:val="none" w:sz="0" w:space="0" w:color="auto"/>
      </w:divBdr>
    </w:div>
    <w:div w:id="1252196595">
      <w:bodyDiv w:val="1"/>
      <w:marLeft w:val="0"/>
      <w:marRight w:val="0"/>
      <w:marTop w:val="0"/>
      <w:marBottom w:val="0"/>
      <w:divBdr>
        <w:top w:val="none" w:sz="0" w:space="0" w:color="auto"/>
        <w:left w:val="none" w:sz="0" w:space="0" w:color="auto"/>
        <w:bottom w:val="none" w:sz="0" w:space="0" w:color="auto"/>
        <w:right w:val="none" w:sz="0" w:space="0" w:color="auto"/>
      </w:divBdr>
      <w:divsChild>
        <w:div w:id="786512281">
          <w:marLeft w:val="547"/>
          <w:marRight w:val="0"/>
          <w:marTop w:val="0"/>
          <w:marBottom w:val="0"/>
          <w:divBdr>
            <w:top w:val="none" w:sz="0" w:space="0" w:color="auto"/>
            <w:left w:val="none" w:sz="0" w:space="0" w:color="auto"/>
            <w:bottom w:val="none" w:sz="0" w:space="0" w:color="auto"/>
            <w:right w:val="none" w:sz="0" w:space="0" w:color="auto"/>
          </w:divBdr>
        </w:div>
      </w:divsChild>
    </w:div>
    <w:div w:id="1308628104">
      <w:bodyDiv w:val="1"/>
      <w:marLeft w:val="0"/>
      <w:marRight w:val="0"/>
      <w:marTop w:val="0"/>
      <w:marBottom w:val="0"/>
      <w:divBdr>
        <w:top w:val="none" w:sz="0" w:space="0" w:color="auto"/>
        <w:left w:val="none" w:sz="0" w:space="0" w:color="auto"/>
        <w:bottom w:val="none" w:sz="0" w:space="0" w:color="auto"/>
        <w:right w:val="none" w:sz="0" w:space="0" w:color="auto"/>
      </w:divBdr>
    </w:div>
    <w:div w:id="1310327014">
      <w:bodyDiv w:val="1"/>
      <w:marLeft w:val="0"/>
      <w:marRight w:val="0"/>
      <w:marTop w:val="0"/>
      <w:marBottom w:val="0"/>
      <w:divBdr>
        <w:top w:val="none" w:sz="0" w:space="0" w:color="auto"/>
        <w:left w:val="none" w:sz="0" w:space="0" w:color="auto"/>
        <w:bottom w:val="none" w:sz="0" w:space="0" w:color="auto"/>
        <w:right w:val="none" w:sz="0" w:space="0" w:color="auto"/>
      </w:divBdr>
      <w:divsChild>
        <w:div w:id="86579370">
          <w:marLeft w:val="547"/>
          <w:marRight w:val="0"/>
          <w:marTop w:val="74"/>
          <w:marBottom w:val="0"/>
          <w:divBdr>
            <w:top w:val="none" w:sz="0" w:space="0" w:color="auto"/>
            <w:left w:val="none" w:sz="0" w:space="0" w:color="auto"/>
            <w:bottom w:val="none" w:sz="0" w:space="0" w:color="auto"/>
            <w:right w:val="none" w:sz="0" w:space="0" w:color="auto"/>
          </w:divBdr>
        </w:div>
        <w:div w:id="452020460">
          <w:marLeft w:val="547"/>
          <w:marRight w:val="0"/>
          <w:marTop w:val="74"/>
          <w:marBottom w:val="0"/>
          <w:divBdr>
            <w:top w:val="none" w:sz="0" w:space="0" w:color="auto"/>
            <w:left w:val="none" w:sz="0" w:space="0" w:color="auto"/>
            <w:bottom w:val="none" w:sz="0" w:space="0" w:color="auto"/>
            <w:right w:val="none" w:sz="0" w:space="0" w:color="auto"/>
          </w:divBdr>
        </w:div>
        <w:div w:id="603877979">
          <w:marLeft w:val="547"/>
          <w:marRight w:val="0"/>
          <w:marTop w:val="74"/>
          <w:marBottom w:val="0"/>
          <w:divBdr>
            <w:top w:val="none" w:sz="0" w:space="0" w:color="auto"/>
            <w:left w:val="none" w:sz="0" w:space="0" w:color="auto"/>
            <w:bottom w:val="none" w:sz="0" w:space="0" w:color="auto"/>
            <w:right w:val="none" w:sz="0" w:space="0" w:color="auto"/>
          </w:divBdr>
        </w:div>
        <w:div w:id="736901039">
          <w:marLeft w:val="547"/>
          <w:marRight w:val="0"/>
          <w:marTop w:val="74"/>
          <w:marBottom w:val="0"/>
          <w:divBdr>
            <w:top w:val="none" w:sz="0" w:space="0" w:color="auto"/>
            <w:left w:val="none" w:sz="0" w:space="0" w:color="auto"/>
            <w:bottom w:val="none" w:sz="0" w:space="0" w:color="auto"/>
            <w:right w:val="none" w:sz="0" w:space="0" w:color="auto"/>
          </w:divBdr>
        </w:div>
        <w:div w:id="894899614">
          <w:marLeft w:val="547"/>
          <w:marRight w:val="0"/>
          <w:marTop w:val="74"/>
          <w:marBottom w:val="0"/>
          <w:divBdr>
            <w:top w:val="none" w:sz="0" w:space="0" w:color="auto"/>
            <w:left w:val="none" w:sz="0" w:space="0" w:color="auto"/>
            <w:bottom w:val="none" w:sz="0" w:space="0" w:color="auto"/>
            <w:right w:val="none" w:sz="0" w:space="0" w:color="auto"/>
          </w:divBdr>
        </w:div>
        <w:div w:id="1069886349">
          <w:marLeft w:val="547"/>
          <w:marRight w:val="0"/>
          <w:marTop w:val="74"/>
          <w:marBottom w:val="0"/>
          <w:divBdr>
            <w:top w:val="none" w:sz="0" w:space="0" w:color="auto"/>
            <w:left w:val="none" w:sz="0" w:space="0" w:color="auto"/>
            <w:bottom w:val="none" w:sz="0" w:space="0" w:color="auto"/>
            <w:right w:val="none" w:sz="0" w:space="0" w:color="auto"/>
          </w:divBdr>
        </w:div>
        <w:div w:id="1082683101">
          <w:marLeft w:val="547"/>
          <w:marRight w:val="0"/>
          <w:marTop w:val="74"/>
          <w:marBottom w:val="0"/>
          <w:divBdr>
            <w:top w:val="none" w:sz="0" w:space="0" w:color="auto"/>
            <w:left w:val="none" w:sz="0" w:space="0" w:color="auto"/>
            <w:bottom w:val="none" w:sz="0" w:space="0" w:color="auto"/>
            <w:right w:val="none" w:sz="0" w:space="0" w:color="auto"/>
          </w:divBdr>
        </w:div>
        <w:div w:id="1207642651">
          <w:marLeft w:val="547"/>
          <w:marRight w:val="0"/>
          <w:marTop w:val="74"/>
          <w:marBottom w:val="0"/>
          <w:divBdr>
            <w:top w:val="none" w:sz="0" w:space="0" w:color="auto"/>
            <w:left w:val="none" w:sz="0" w:space="0" w:color="auto"/>
            <w:bottom w:val="none" w:sz="0" w:space="0" w:color="auto"/>
            <w:right w:val="none" w:sz="0" w:space="0" w:color="auto"/>
          </w:divBdr>
        </w:div>
        <w:div w:id="1254825442">
          <w:marLeft w:val="547"/>
          <w:marRight w:val="0"/>
          <w:marTop w:val="74"/>
          <w:marBottom w:val="0"/>
          <w:divBdr>
            <w:top w:val="none" w:sz="0" w:space="0" w:color="auto"/>
            <w:left w:val="none" w:sz="0" w:space="0" w:color="auto"/>
            <w:bottom w:val="none" w:sz="0" w:space="0" w:color="auto"/>
            <w:right w:val="none" w:sz="0" w:space="0" w:color="auto"/>
          </w:divBdr>
        </w:div>
        <w:div w:id="1298609681">
          <w:marLeft w:val="547"/>
          <w:marRight w:val="0"/>
          <w:marTop w:val="74"/>
          <w:marBottom w:val="0"/>
          <w:divBdr>
            <w:top w:val="none" w:sz="0" w:space="0" w:color="auto"/>
            <w:left w:val="none" w:sz="0" w:space="0" w:color="auto"/>
            <w:bottom w:val="none" w:sz="0" w:space="0" w:color="auto"/>
            <w:right w:val="none" w:sz="0" w:space="0" w:color="auto"/>
          </w:divBdr>
        </w:div>
        <w:div w:id="1481967766">
          <w:marLeft w:val="547"/>
          <w:marRight w:val="0"/>
          <w:marTop w:val="74"/>
          <w:marBottom w:val="0"/>
          <w:divBdr>
            <w:top w:val="none" w:sz="0" w:space="0" w:color="auto"/>
            <w:left w:val="none" w:sz="0" w:space="0" w:color="auto"/>
            <w:bottom w:val="none" w:sz="0" w:space="0" w:color="auto"/>
            <w:right w:val="none" w:sz="0" w:space="0" w:color="auto"/>
          </w:divBdr>
        </w:div>
        <w:div w:id="1852331792">
          <w:marLeft w:val="547"/>
          <w:marRight w:val="0"/>
          <w:marTop w:val="74"/>
          <w:marBottom w:val="0"/>
          <w:divBdr>
            <w:top w:val="none" w:sz="0" w:space="0" w:color="auto"/>
            <w:left w:val="none" w:sz="0" w:space="0" w:color="auto"/>
            <w:bottom w:val="none" w:sz="0" w:space="0" w:color="auto"/>
            <w:right w:val="none" w:sz="0" w:space="0" w:color="auto"/>
          </w:divBdr>
        </w:div>
        <w:div w:id="2025783834">
          <w:marLeft w:val="547"/>
          <w:marRight w:val="0"/>
          <w:marTop w:val="74"/>
          <w:marBottom w:val="0"/>
          <w:divBdr>
            <w:top w:val="none" w:sz="0" w:space="0" w:color="auto"/>
            <w:left w:val="none" w:sz="0" w:space="0" w:color="auto"/>
            <w:bottom w:val="none" w:sz="0" w:space="0" w:color="auto"/>
            <w:right w:val="none" w:sz="0" w:space="0" w:color="auto"/>
          </w:divBdr>
        </w:div>
      </w:divsChild>
    </w:div>
    <w:div w:id="1426730549">
      <w:bodyDiv w:val="1"/>
      <w:marLeft w:val="0"/>
      <w:marRight w:val="0"/>
      <w:marTop w:val="0"/>
      <w:marBottom w:val="0"/>
      <w:divBdr>
        <w:top w:val="none" w:sz="0" w:space="0" w:color="auto"/>
        <w:left w:val="none" w:sz="0" w:space="0" w:color="auto"/>
        <w:bottom w:val="none" w:sz="0" w:space="0" w:color="auto"/>
        <w:right w:val="none" w:sz="0" w:space="0" w:color="auto"/>
      </w:divBdr>
    </w:div>
    <w:div w:id="1463616933">
      <w:bodyDiv w:val="1"/>
      <w:marLeft w:val="0"/>
      <w:marRight w:val="0"/>
      <w:marTop w:val="0"/>
      <w:marBottom w:val="0"/>
      <w:divBdr>
        <w:top w:val="none" w:sz="0" w:space="0" w:color="auto"/>
        <w:left w:val="none" w:sz="0" w:space="0" w:color="auto"/>
        <w:bottom w:val="none" w:sz="0" w:space="0" w:color="auto"/>
        <w:right w:val="none" w:sz="0" w:space="0" w:color="auto"/>
      </w:divBdr>
      <w:divsChild>
        <w:div w:id="12345753">
          <w:marLeft w:val="547"/>
          <w:marRight w:val="0"/>
          <w:marTop w:val="0"/>
          <w:marBottom w:val="0"/>
          <w:divBdr>
            <w:top w:val="none" w:sz="0" w:space="0" w:color="auto"/>
            <w:left w:val="none" w:sz="0" w:space="0" w:color="auto"/>
            <w:bottom w:val="none" w:sz="0" w:space="0" w:color="auto"/>
            <w:right w:val="none" w:sz="0" w:space="0" w:color="auto"/>
          </w:divBdr>
        </w:div>
      </w:divsChild>
    </w:div>
    <w:div w:id="1470589452">
      <w:bodyDiv w:val="1"/>
      <w:marLeft w:val="0"/>
      <w:marRight w:val="0"/>
      <w:marTop w:val="0"/>
      <w:marBottom w:val="0"/>
      <w:divBdr>
        <w:top w:val="none" w:sz="0" w:space="0" w:color="auto"/>
        <w:left w:val="none" w:sz="0" w:space="0" w:color="auto"/>
        <w:bottom w:val="none" w:sz="0" w:space="0" w:color="auto"/>
        <w:right w:val="none" w:sz="0" w:space="0" w:color="auto"/>
      </w:divBdr>
    </w:div>
    <w:div w:id="1477408944">
      <w:bodyDiv w:val="1"/>
      <w:marLeft w:val="0"/>
      <w:marRight w:val="0"/>
      <w:marTop w:val="0"/>
      <w:marBottom w:val="0"/>
      <w:divBdr>
        <w:top w:val="none" w:sz="0" w:space="0" w:color="auto"/>
        <w:left w:val="none" w:sz="0" w:space="0" w:color="auto"/>
        <w:bottom w:val="none" w:sz="0" w:space="0" w:color="auto"/>
        <w:right w:val="none" w:sz="0" w:space="0" w:color="auto"/>
      </w:divBdr>
    </w:div>
    <w:div w:id="1560092918">
      <w:bodyDiv w:val="1"/>
      <w:marLeft w:val="0"/>
      <w:marRight w:val="0"/>
      <w:marTop w:val="0"/>
      <w:marBottom w:val="0"/>
      <w:divBdr>
        <w:top w:val="none" w:sz="0" w:space="0" w:color="auto"/>
        <w:left w:val="none" w:sz="0" w:space="0" w:color="auto"/>
        <w:bottom w:val="none" w:sz="0" w:space="0" w:color="auto"/>
        <w:right w:val="none" w:sz="0" w:space="0" w:color="auto"/>
      </w:divBdr>
    </w:div>
    <w:div w:id="1580553100">
      <w:bodyDiv w:val="1"/>
      <w:marLeft w:val="0"/>
      <w:marRight w:val="0"/>
      <w:marTop w:val="0"/>
      <w:marBottom w:val="0"/>
      <w:divBdr>
        <w:top w:val="none" w:sz="0" w:space="0" w:color="auto"/>
        <w:left w:val="none" w:sz="0" w:space="0" w:color="auto"/>
        <w:bottom w:val="none" w:sz="0" w:space="0" w:color="auto"/>
        <w:right w:val="none" w:sz="0" w:space="0" w:color="auto"/>
      </w:divBdr>
    </w:div>
    <w:div w:id="1598177530">
      <w:bodyDiv w:val="1"/>
      <w:marLeft w:val="0"/>
      <w:marRight w:val="0"/>
      <w:marTop w:val="0"/>
      <w:marBottom w:val="0"/>
      <w:divBdr>
        <w:top w:val="none" w:sz="0" w:space="0" w:color="auto"/>
        <w:left w:val="none" w:sz="0" w:space="0" w:color="auto"/>
        <w:bottom w:val="none" w:sz="0" w:space="0" w:color="auto"/>
        <w:right w:val="none" w:sz="0" w:space="0" w:color="auto"/>
      </w:divBdr>
      <w:divsChild>
        <w:div w:id="61216389">
          <w:marLeft w:val="547"/>
          <w:marRight w:val="0"/>
          <w:marTop w:val="82"/>
          <w:marBottom w:val="0"/>
          <w:divBdr>
            <w:top w:val="none" w:sz="0" w:space="0" w:color="auto"/>
            <w:left w:val="none" w:sz="0" w:space="0" w:color="auto"/>
            <w:bottom w:val="none" w:sz="0" w:space="0" w:color="auto"/>
            <w:right w:val="none" w:sz="0" w:space="0" w:color="auto"/>
          </w:divBdr>
        </w:div>
        <w:div w:id="413599482">
          <w:marLeft w:val="547"/>
          <w:marRight w:val="0"/>
          <w:marTop w:val="82"/>
          <w:marBottom w:val="0"/>
          <w:divBdr>
            <w:top w:val="none" w:sz="0" w:space="0" w:color="auto"/>
            <w:left w:val="none" w:sz="0" w:space="0" w:color="auto"/>
            <w:bottom w:val="none" w:sz="0" w:space="0" w:color="auto"/>
            <w:right w:val="none" w:sz="0" w:space="0" w:color="auto"/>
          </w:divBdr>
        </w:div>
        <w:div w:id="449858507">
          <w:marLeft w:val="547"/>
          <w:marRight w:val="0"/>
          <w:marTop w:val="82"/>
          <w:marBottom w:val="0"/>
          <w:divBdr>
            <w:top w:val="none" w:sz="0" w:space="0" w:color="auto"/>
            <w:left w:val="none" w:sz="0" w:space="0" w:color="auto"/>
            <w:bottom w:val="none" w:sz="0" w:space="0" w:color="auto"/>
            <w:right w:val="none" w:sz="0" w:space="0" w:color="auto"/>
          </w:divBdr>
        </w:div>
        <w:div w:id="678967276">
          <w:marLeft w:val="547"/>
          <w:marRight w:val="0"/>
          <w:marTop w:val="82"/>
          <w:marBottom w:val="0"/>
          <w:divBdr>
            <w:top w:val="none" w:sz="0" w:space="0" w:color="auto"/>
            <w:left w:val="none" w:sz="0" w:space="0" w:color="auto"/>
            <w:bottom w:val="none" w:sz="0" w:space="0" w:color="auto"/>
            <w:right w:val="none" w:sz="0" w:space="0" w:color="auto"/>
          </w:divBdr>
        </w:div>
        <w:div w:id="760877086">
          <w:marLeft w:val="547"/>
          <w:marRight w:val="0"/>
          <w:marTop w:val="82"/>
          <w:marBottom w:val="0"/>
          <w:divBdr>
            <w:top w:val="none" w:sz="0" w:space="0" w:color="auto"/>
            <w:left w:val="none" w:sz="0" w:space="0" w:color="auto"/>
            <w:bottom w:val="none" w:sz="0" w:space="0" w:color="auto"/>
            <w:right w:val="none" w:sz="0" w:space="0" w:color="auto"/>
          </w:divBdr>
        </w:div>
        <w:div w:id="828179125">
          <w:marLeft w:val="547"/>
          <w:marRight w:val="0"/>
          <w:marTop w:val="82"/>
          <w:marBottom w:val="0"/>
          <w:divBdr>
            <w:top w:val="none" w:sz="0" w:space="0" w:color="auto"/>
            <w:left w:val="none" w:sz="0" w:space="0" w:color="auto"/>
            <w:bottom w:val="none" w:sz="0" w:space="0" w:color="auto"/>
            <w:right w:val="none" w:sz="0" w:space="0" w:color="auto"/>
          </w:divBdr>
        </w:div>
        <w:div w:id="1010524638">
          <w:marLeft w:val="547"/>
          <w:marRight w:val="0"/>
          <w:marTop w:val="82"/>
          <w:marBottom w:val="0"/>
          <w:divBdr>
            <w:top w:val="none" w:sz="0" w:space="0" w:color="auto"/>
            <w:left w:val="none" w:sz="0" w:space="0" w:color="auto"/>
            <w:bottom w:val="none" w:sz="0" w:space="0" w:color="auto"/>
            <w:right w:val="none" w:sz="0" w:space="0" w:color="auto"/>
          </w:divBdr>
        </w:div>
        <w:div w:id="1137797128">
          <w:marLeft w:val="547"/>
          <w:marRight w:val="0"/>
          <w:marTop w:val="82"/>
          <w:marBottom w:val="0"/>
          <w:divBdr>
            <w:top w:val="none" w:sz="0" w:space="0" w:color="auto"/>
            <w:left w:val="none" w:sz="0" w:space="0" w:color="auto"/>
            <w:bottom w:val="none" w:sz="0" w:space="0" w:color="auto"/>
            <w:right w:val="none" w:sz="0" w:space="0" w:color="auto"/>
          </w:divBdr>
        </w:div>
        <w:div w:id="1433356114">
          <w:marLeft w:val="547"/>
          <w:marRight w:val="0"/>
          <w:marTop w:val="82"/>
          <w:marBottom w:val="0"/>
          <w:divBdr>
            <w:top w:val="none" w:sz="0" w:space="0" w:color="auto"/>
            <w:left w:val="none" w:sz="0" w:space="0" w:color="auto"/>
            <w:bottom w:val="none" w:sz="0" w:space="0" w:color="auto"/>
            <w:right w:val="none" w:sz="0" w:space="0" w:color="auto"/>
          </w:divBdr>
        </w:div>
        <w:div w:id="1505168831">
          <w:marLeft w:val="547"/>
          <w:marRight w:val="0"/>
          <w:marTop w:val="82"/>
          <w:marBottom w:val="0"/>
          <w:divBdr>
            <w:top w:val="none" w:sz="0" w:space="0" w:color="auto"/>
            <w:left w:val="none" w:sz="0" w:space="0" w:color="auto"/>
            <w:bottom w:val="none" w:sz="0" w:space="0" w:color="auto"/>
            <w:right w:val="none" w:sz="0" w:space="0" w:color="auto"/>
          </w:divBdr>
        </w:div>
        <w:div w:id="1890415919">
          <w:marLeft w:val="547"/>
          <w:marRight w:val="0"/>
          <w:marTop w:val="82"/>
          <w:marBottom w:val="0"/>
          <w:divBdr>
            <w:top w:val="none" w:sz="0" w:space="0" w:color="auto"/>
            <w:left w:val="none" w:sz="0" w:space="0" w:color="auto"/>
            <w:bottom w:val="none" w:sz="0" w:space="0" w:color="auto"/>
            <w:right w:val="none" w:sz="0" w:space="0" w:color="auto"/>
          </w:divBdr>
        </w:div>
        <w:div w:id="1969554375">
          <w:marLeft w:val="547"/>
          <w:marRight w:val="0"/>
          <w:marTop w:val="82"/>
          <w:marBottom w:val="0"/>
          <w:divBdr>
            <w:top w:val="none" w:sz="0" w:space="0" w:color="auto"/>
            <w:left w:val="none" w:sz="0" w:space="0" w:color="auto"/>
            <w:bottom w:val="none" w:sz="0" w:space="0" w:color="auto"/>
            <w:right w:val="none" w:sz="0" w:space="0" w:color="auto"/>
          </w:divBdr>
        </w:div>
      </w:divsChild>
    </w:div>
    <w:div w:id="1631279567">
      <w:bodyDiv w:val="1"/>
      <w:marLeft w:val="0"/>
      <w:marRight w:val="0"/>
      <w:marTop w:val="0"/>
      <w:marBottom w:val="0"/>
      <w:divBdr>
        <w:top w:val="none" w:sz="0" w:space="0" w:color="auto"/>
        <w:left w:val="none" w:sz="0" w:space="0" w:color="auto"/>
        <w:bottom w:val="none" w:sz="0" w:space="0" w:color="auto"/>
        <w:right w:val="none" w:sz="0" w:space="0" w:color="auto"/>
      </w:divBdr>
    </w:div>
    <w:div w:id="1682508080">
      <w:bodyDiv w:val="1"/>
      <w:marLeft w:val="0"/>
      <w:marRight w:val="0"/>
      <w:marTop w:val="0"/>
      <w:marBottom w:val="0"/>
      <w:divBdr>
        <w:top w:val="none" w:sz="0" w:space="0" w:color="auto"/>
        <w:left w:val="none" w:sz="0" w:space="0" w:color="auto"/>
        <w:bottom w:val="none" w:sz="0" w:space="0" w:color="auto"/>
        <w:right w:val="none" w:sz="0" w:space="0" w:color="auto"/>
      </w:divBdr>
      <w:divsChild>
        <w:div w:id="236061590">
          <w:marLeft w:val="547"/>
          <w:marRight w:val="0"/>
          <w:marTop w:val="70"/>
          <w:marBottom w:val="0"/>
          <w:divBdr>
            <w:top w:val="none" w:sz="0" w:space="0" w:color="auto"/>
            <w:left w:val="none" w:sz="0" w:space="0" w:color="auto"/>
            <w:bottom w:val="none" w:sz="0" w:space="0" w:color="auto"/>
            <w:right w:val="none" w:sz="0" w:space="0" w:color="auto"/>
          </w:divBdr>
        </w:div>
        <w:div w:id="669911807">
          <w:marLeft w:val="547"/>
          <w:marRight w:val="0"/>
          <w:marTop w:val="70"/>
          <w:marBottom w:val="0"/>
          <w:divBdr>
            <w:top w:val="none" w:sz="0" w:space="0" w:color="auto"/>
            <w:left w:val="none" w:sz="0" w:space="0" w:color="auto"/>
            <w:bottom w:val="none" w:sz="0" w:space="0" w:color="auto"/>
            <w:right w:val="none" w:sz="0" w:space="0" w:color="auto"/>
          </w:divBdr>
        </w:div>
        <w:div w:id="730541178">
          <w:marLeft w:val="547"/>
          <w:marRight w:val="0"/>
          <w:marTop w:val="70"/>
          <w:marBottom w:val="0"/>
          <w:divBdr>
            <w:top w:val="none" w:sz="0" w:space="0" w:color="auto"/>
            <w:left w:val="none" w:sz="0" w:space="0" w:color="auto"/>
            <w:bottom w:val="none" w:sz="0" w:space="0" w:color="auto"/>
            <w:right w:val="none" w:sz="0" w:space="0" w:color="auto"/>
          </w:divBdr>
        </w:div>
        <w:div w:id="1137718291">
          <w:marLeft w:val="547"/>
          <w:marRight w:val="0"/>
          <w:marTop w:val="70"/>
          <w:marBottom w:val="0"/>
          <w:divBdr>
            <w:top w:val="none" w:sz="0" w:space="0" w:color="auto"/>
            <w:left w:val="none" w:sz="0" w:space="0" w:color="auto"/>
            <w:bottom w:val="none" w:sz="0" w:space="0" w:color="auto"/>
            <w:right w:val="none" w:sz="0" w:space="0" w:color="auto"/>
          </w:divBdr>
        </w:div>
        <w:div w:id="1275751586">
          <w:marLeft w:val="547"/>
          <w:marRight w:val="0"/>
          <w:marTop w:val="70"/>
          <w:marBottom w:val="0"/>
          <w:divBdr>
            <w:top w:val="none" w:sz="0" w:space="0" w:color="auto"/>
            <w:left w:val="none" w:sz="0" w:space="0" w:color="auto"/>
            <w:bottom w:val="none" w:sz="0" w:space="0" w:color="auto"/>
            <w:right w:val="none" w:sz="0" w:space="0" w:color="auto"/>
          </w:divBdr>
        </w:div>
        <w:div w:id="1726173592">
          <w:marLeft w:val="547"/>
          <w:marRight w:val="0"/>
          <w:marTop w:val="70"/>
          <w:marBottom w:val="0"/>
          <w:divBdr>
            <w:top w:val="none" w:sz="0" w:space="0" w:color="auto"/>
            <w:left w:val="none" w:sz="0" w:space="0" w:color="auto"/>
            <w:bottom w:val="none" w:sz="0" w:space="0" w:color="auto"/>
            <w:right w:val="none" w:sz="0" w:space="0" w:color="auto"/>
          </w:divBdr>
        </w:div>
      </w:divsChild>
    </w:div>
    <w:div w:id="1742866588">
      <w:bodyDiv w:val="1"/>
      <w:marLeft w:val="0"/>
      <w:marRight w:val="0"/>
      <w:marTop w:val="0"/>
      <w:marBottom w:val="0"/>
      <w:divBdr>
        <w:top w:val="none" w:sz="0" w:space="0" w:color="auto"/>
        <w:left w:val="none" w:sz="0" w:space="0" w:color="auto"/>
        <w:bottom w:val="none" w:sz="0" w:space="0" w:color="auto"/>
        <w:right w:val="none" w:sz="0" w:space="0" w:color="auto"/>
      </w:divBdr>
      <w:divsChild>
        <w:div w:id="167672332">
          <w:marLeft w:val="547"/>
          <w:marRight w:val="0"/>
          <w:marTop w:val="72"/>
          <w:marBottom w:val="0"/>
          <w:divBdr>
            <w:top w:val="none" w:sz="0" w:space="0" w:color="auto"/>
            <w:left w:val="none" w:sz="0" w:space="0" w:color="auto"/>
            <w:bottom w:val="none" w:sz="0" w:space="0" w:color="auto"/>
            <w:right w:val="none" w:sz="0" w:space="0" w:color="auto"/>
          </w:divBdr>
        </w:div>
        <w:div w:id="270478500">
          <w:marLeft w:val="547"/>
          <w:marRight w:val="0"/>
          <w:marTop w:val="72"/>
          <w:marBottom w:val="0"/>
          <w:divBdr>
            <w:top w:val="none" w:sz="0" w:space="0" w:color="auto"/>
            <w:left w:val="none" w:sz="0" w:space="0" w:color="auto"/>
            <w:bottom w:val="none" w:sz="0" w:space="0" w:color="auto"/>
            <w:right w:val="none" w:sz="0" w:space="0" w:color="auto"/>
          </w:divBdr>
        </w:div>
        <w:div w:id="770129650">
          <w:marLeft w:val="547"/>
          <w:marRight w:val="0"/>
          <w:marTop w:val="72"/>
          <w:marBottom w:val="0"/>
          <w:divBdr>
            <w:top w:val="none" w:sz="0" w:space="0" w:color="auto"/>
            <w:left w:val="none" w:sz="0" w:space="0" w:color="auto"/>
            <w:bottom w:val="none" w:sz="0" w:space="0" w:color="auto"/>
            <w:right w:val="none" w:sz="0" w:space="0" w:color="auto"/>
          </w:divBdr>
        </w:div>
        <w:div w:id="780340308">
          <w:marLeft w:val="547"/>
          <w:marRight w:val="0"/>
          <w:marTop w:val="72"/>
          <w:marBottom w:val="0"/>
          <w:divBdr>
            <w:top w:val="none" w:sz="0" w:space="0" w:color="auto"/>
            <w:left w:val="none" w:sz="0" w:space="0" w:color="auto"/>
            <w:bottom w:val="none" w:sz="0" w:space="0" w:color="auto"/>
            <w:right w:val="none" w:sz="0" w:space="0" w:color="auto"/>
          </w:divBdr>
        </w:div>
        <w:div w:id="1099057947">
          <w:marLeft w:val="547"/>
          <w:marRight w:val="0"/>
          <w:marTop w:val="72"/>
          <w:marBottom w:val="0"/>
          <w:divBdr>
            <w:top w:val="none" w:sz="0" w:space="0" w:color="auto"/>
            <w:left w:val="none" w:sz="0" w:space="0" w:color="auto"/>
            <w:bottom w:val="none" w:sz="0" w:space="0" w:color="auto"/>
            <w:right w:val="none" w:sz="0" w:space="0" w:color="auto"/>
          </w:divBdr>
        </w:div>
        <w:div w:id="1236665525">
          <w:marLeft w:val="547"/>
          <w:marRight w:val="0"/>
          <w:marTop w:val="72"/>
          <w:marBottom w:val="0"/>
          <w:divBdr>
            <w:top w:val="none" w:sz="0" w:space="0" w:color="auto"/>
            <w:left w:val="none" w:sz="0" w:space="0" w:color="auto"/>
            <w:bottom w:val="none" w:sz="0" w:space="0" w:color="auto"/>
            <w:right w:val="none" w:sz="0" w:space="0" w:color="auto"/>
          </w:divBdr>
        </w:div>
        <w:div w:id="1665083283">
          <w:marLeft w:val="547"/>
          <w:marRight w:val="0"/>
          <w:marTop w:val="72"/>
          <w:marBottom w:val="0"/>
          <w:divBdr>
            <w:top w:val="none" w:sz="0" w:space="0" w:color="auto"/>
            <w:left w:val="none" w:sz="0" w:space="0" w:color="auto"/>
            <w:bottom w:val="none" w:sz="0" w:space="0" w:color="auto"/>
            <w:right w:val="none" w:sz="0" w:space="0" w:color="auto"/>
          </w:divBdr>
        </w:div>
      </w:divsChild>
    </w:div>
    <w:div w:id="1786804738">
      <w:bodyDiv w:val="1"/>
      <w:marLeft w:val="0"/>
      <w:marRight w:val="0"/>
      <w:marTop w:val="0"/>
      <w:marBottom w:val="0"/>
      <w:divBdr>
        <w:top w:val="none" w:sz="0" w:space="0" w:color="auto"/>
        <w:left w:val="none" w:sz="0" w:space="0" w:color="auto"/>
        <w:bottom w:val="none" w:sz="0" w:space="0" w:color="auto"/>
        <w:right w:val="none" w:sz="0" w:space="0" w:color="auto"/>
      </w:divBdr>
      <w:divsChild>
        <w:div w:id="32272636">
          <w:marLeft w:val="547"/>
          <w:marRight w:val="0"/>
          <w:marTop w:val="77"/>
          <w:marBottom w:val="0"/>
          <w:divBdr>
            <w:top w:val="none" w:sz="0" w:space="0" w:color="auto"/>
            <w:left w:val="none" w:sz="0" w:space="0" w:color="auto"/>
            <w:bottom w:val="none" w:sz="0" w:space="0" w:color="auto"/>
            <w:right w:val="none" w:sz="0" w:space="0" w:color="auto"/>
          </w:divBdr>
        </w:div>
        <w:div w:id="237401593">
          <w:marLeft w:val="547"/>
          <w:marRight w:val="0"/>
          <w:marTop w:val="77"/>
          <w:marBottom w:val="0"/>
          <w:divBdr>
            <w:top w:val="none" w:sz="0" w:space="0" w:color="auto"/>
            <w:left w:val="none" w:sz="0" w:space="0" w:color="auto"/>
            <w:bottom w:val="none" w:sz="0" w:space="0" w:color="auto"/>
            <w:right w:val="none" w:sz="0" w:space="0" w:color="auto"/>
          </w:divBdr>
        </w:div>
        <w:div w:id="312224674">
          <w:marLeft w:val="547"/>
          <w:marRight w:val="0"/>
          <w:marTop w:val="77"/>
          <w:marBottom w:val="0"/>
          <w:divBdr>
            <w:top w:val="none" w:sz="0" w:space="0" w:color="auto"/>
            <w:left w:val="none" w:sz="0" w:space="0" w:color="auto"/>
            <w:bottom w:val="none" w:sz="0" w:space="0" w:color="auto"/>
            <w:right w:val="none" w:sz="0" w:space="0" w:color="auto"/>
          </w:divBdr>
        </w:div>
        <w:div w:id="628365207">
          <w:marLeft w:val="547"/>
          <w:marRight w:val="0"/>
          <w:marTop w:val="77"/>
          <w:marBottom w:val="0"/>
          <w:divBdr>
            <w:top w:val="none" w:sz="0" w:space="0" w:color="auto"/>
            <w:left w:val="none" w:sz="0" w:space="0" w:color="auto"/>
            <w:bottom w:val="none" w:sz="0" w:space="0" w:color="auto"/>
            <w:right w:val="none" w:sz="0" w:space="0" w:color="auto"/>
          </w:divBdr>
        </w:div>
        <w:div w:id="728919930">
          <w:marLeft w:val="547"/>
          <w:marRight w:val="0"/>
          <w:marTop w:val="77"/>
          <w:marBottom w:val="0"/>
          <w:divBdr>
            <w:top w:val="none" w:sz="0" w:space="0" w:color="auto"/>
            <w:left w:val="none" w:sz="0" w:space="0" w:color="auto"/>
            <w:bottom w:val="none" w:sz="0" w:space="0" w:color="auto"/>
            <w:right w:val="none" w:sz="0" w:space="0" w:color="auto"/>
          </w:divBdr>
        </w:div>
        <w:div w:id="743189951">
          <w:marLeft w:val="547"/>
          <w:marRight w:val="0"/>
          <w:marTop w:val="77"/>
          <w:marBottom w:val="0"/>
          <w:divBdr>
            <w:top w:val="none" w:sz="0" w:space="0" w:color="auto"/>
            <w:left w:val="none" w:sz="0" w:space="0" w:color="auto"/>
            <w:bottom w:val="none" w:sz="0" w:space="0" w:color="auto"/>
            <w:right w:val="none" w:sz="0" w:space="0" w:color="auto"/>
          </w:divBdr>
        </w:div>
        <w:div w:id="960496221">
          <w:marLeft w:val="547"/>
          <w:marRight w:val="0"/>
          <w:marTop w:val="77"/>
          <w:marBottom w:val="0"/>
          <w:divBdr>
            <w:top w:val="none" w:sz="0" w:space="0" w:color="auto"/>
            <w:left w:val="none" w:sz="0" w:space="0" w:color="auto"/>
            <w:bottom w:val="none" w:sz="0" w:space="0" w:color="auto"/>
            <w:right w:val="none" w:sz="0" w:space="0" w:color="auto"/>
          </w:divBdr>
        </w:div>
        <w:div w:id="1087119883">
          <w:marLeft w:val="547"/>
          <w:marRight w:val="0"/>
          <w:marTop w:val="77"/>
          <w:marBottom w:val="0"/>
          <w:divBdr>
            <w:top w:val="none" w:sz="0" w:space="0" w:color="auto"/>
            <w:left w:val="none" w:sz="0" w:space="0" w:color="auto"/>
            <w:bottom w:val="none" w:sz="0" w:space="0" w:color="auto"/>
            <w:right w:val="none" w:sz="0" w:space="0" w:color="auto"/>
          </w:divBdr>
        </w:div>
        <w:div w:id="1257788270">
          <w:marLeft w:val="547"/>
          <w:marRight w:val="0"/>
          <w:marTop w:val="77"/>
          <w:marBottom w:val="0"/>
          <w:divBdr>
            <w:top w:val="none" w:sz="0" w:space="0" w:color="auto"/>
            <w:left w:val="none" w:sz="0" w:space="0" w:color="auto"/>
            <w:bottom w:val="none" w:sz="0" w:space="0" w:color="auto"/>
            <w:right w:val="none" w:sz="0" w:space="0" w:color="auto"/>
          </w:divBdr>
        </w:div>
        <w:div w:id="1589271570">
          <w:marLeft w:val="547"/>
          <w:marRight w:val="0"/>
          <w:marTop w:val="77"/>
          <w:marBottom w:val="0"/>
          <w:divBdr>
            <w:top w:val="none" w:sz="0" w:space="0" w:color="auto"/>
            <w:left w:val="none" w:sz="0" w:space="0" w:color="auto"/>
            <w:bottom w:val="none" w:sz="0" w:space="0" w:color="auto"/>
            <w:right w:val="none" w:sz="0" w:space="0" w:color="auto"/>
          </w:divBdr>
        </w:div>
        <w:div w:id="1938948696">
          <w:marLeft w:val="547"/>
          <w:marRight w:val="0"/>
          <w:marTop w:val="77"/>
          <w:marBottom w:val="0"/>
          <w:divBdr>
            <w:top w:val="none" w:sz="0" w:space="0" w:color="auto"/>
            <w:left w:val="none" w:sz="0" w:space="0" w:color="auto"/>
            <w:bottom w:val="none" w:sz="0" w:space="0" w:color="auto"/>
            <w:right w:val="none" w:sz="0" w:space="0" w:color="auto"/>
          </w:divBdr>
        </w:div>
        <w:div w:id="2017877089">
          <w:marLeft w:val="547"/>
          <w:marRight w:val="0"/>
          <w:marTop w:val="77"/>
          <w:marBottom w:val="0"/>
          <w:divBdr>
            <w:top w:val="none" w:sz="0" w:space="0" w:color="auto"/>
            <w:left w:val="none" w:sz="0" w:space="0" w:color="auto"/>
            <w:bottom w:val="none" w:sz="0" w:space="0" w:color="auto"/>
            <w:right w:val="none" w:sz="0" w:space="0" w:color="auto"/>
          </w:divBdr>
        </w:div>
      </w:divsChild>
    </w:div>
    <w:div w:id="1798797382">
      <w:bodyDiv w:val="1"/>
      <w:marLeft w:val="0"/>
      <w:marRight w:val="0"/>
      <w:marTop w:val="0"/>
      <w:marBottom w:val="0"/>
      <w:divBdr>
        <w:top w:val="none" w:sz="0" w:space="0" w:color="auto"/>
        <w:left w:val="none" w:sz="0" w:space="0" w:color="auto"/>
        <w:bottom w:val="none" w:sz="0" w:space="0" w:color="auto"/>
        <w:right w:val="none" w:sz="0" w:space="0" w:color="auto"/>
      </w:divBdr>
    </w:div>
    <w:div w:id="1799296511">
      <w:bodyDiv w:val="1"/>
      <w:marLeft w:val="0"/>
      <w:marRight w:val="0"/>
      <w:marTop w:val="0"/>
      <w:marBottom w:val="0"/>
      <w:divBdr>
        <w:top w:val="none" w:sz="0" w:space="0" w:color="auto"/>
        <w:left w:val="none" w:sz="0" w:space="0" w:color="auto"/>
        <w:bottom w:val="none" w:sz="0" w:space="0" w:color="auto"/>
        <w:right w:val="none" w:sz="0" w:space="0" w:color="auto"/>
      </w:divBdr>
      <w:divsChild>
        <w:div w:id="79568764">
          <w:marLeft w:val="547"/>
          <w:marRight w:val="0"/>
          <w:marTop w:val="82"/>
          <w:marBottom w:val="0"/>
          <w:divBdr>
            <w:top w:val="none" w:sz="0" w:space="0" w:color="auto"/>
            <w:left w:val="none" w:sz="0" w:space="0" w:color="auto"/>
            <w:bottom w:val="none" w:sz="0" w:space="0" w:color="auto"/>
            <w:right w:val="none" w:sz="0" w:space="0" w:color="auto"/>
          </w:divBdr>
        </w:div>
        <w:div w:id="189803627">
          <w:marLeft w:val="547"/>
          <w:marRight w:val="0"/>
          <w:marTop w:val="82"/>
          <w:marBottom w:val="0"/>
          <w:divBdr>
            <w:top w:val="none" w:sz="0" w:space="0" w:color="auto"/>
            <w:left w:val="none" w:sz="0" w:space="0" w:color="auto"/>
            <w:bottom w:val="none" w:sz="0" w:space="0" w:color="auto"/>
            <w:right w:val="none" w:sz="0" w:space="0" w:color="auto"/>
          </w:divBdr>
        </w:div>
        <w:div w:id="510948718">
          <w:marLeft w:val="547"/>
          <w:marRight w:val="0"/>
          <w:marTop w:val="82"/>
          <w:marBottom w:val="0"/>
          <w:divBdr>
            <w:top w:val="none" w:sz="0" w:space="0" w:color="auto"/>
            <w:left w:val="none" w:sz="0" w:space="0" w:color="auto"/>
            <w:bottom w:val="none" w:sz="0" w:space="0" w:color="auto"/>
            <w:right w:val="none" w:sz="0" w:space="0" w:color="auto"/>
          </w:divBdr>
        </w:div>
        <w:div w:id="574360086">
          <w:marLeft w:val="547"/>
          <w:marRight w:val="0"/>
          <w:marTop w:val="82"/>
          <w:marBottom w:val="0"/>
          <w:divBdr>
            <w:top w:val="none" w:sz="0" w:space="0" w:color="auto"/>
            <w:left w:val="none" w:sz="0" w:space="0" w:color="auto"/>
            <w:bottom w:val="none" w:sz="0" w:space="0" w:color="auto"/>
            <w:right w:val="none" w:sz="0" w:space="0" w:color="auto"/>
          </w:divBdr>
        </w:div>
        <w:div w:id="795484810">
          <w:marLeft w:val="547"/>
          <w:marRight w:val="0"/>
          <w:marTop w:val="82"/>
          <w:marBottom w:val="0"/>
          <w:divBdr>
            <w:top w:val="none" w:sz="0" w:space="0" w:color="auto"/>
            <w:left w:val="none" w:sz="0" w:space="0" w:color="auto"/>
            <w:bottom w:val="none" w:sz="0" w:space="0" w:color="auto"/>
            <w:right w:val="none" w:sz="0" w:space="0" w:color="auto"/>
          </w:divBdr>
        </w:div>
        <w:div w:id="912083331">
          <w:marLeft w:val="547"/>
          <w:marRight w:val="0"/>
          <w:marTop w:val="82"/>
          <w:marBottom w:val="0"/>
          <w:divBdr>
            <w:top w:val="none" w:sz="0" w:space="0" w:color="auto"/>
            <w:left w:val="none" w:sz="0" w:space="0" w:color="auto"/>
            <w:bottom w:val="none" w:sz="0" w:space="0" w:color="auto"/>
            <w:right w:val="none" w:sz="0" w:space="0" w:color="auto"/>
          </w:divBdr>
        </w:div>
        <w:div w:id="980111638">
          <w:marLeft w:val="547"/>
          <w:marRight w:val="0"/>
          <w:marTop w:val="82"/>
          <w:marBottom w:val="0"/>
          <w:divBdr>
            <w:top w:val="none" w:sz="0" w:space="0" w:color="auto"/>
            <w:left w:val="none" w:sz="0" w:space="0" w:color="auto"/>
            <w:bottom w:val="none" w:sz="0" w:space="0" w:color="auto"/>
            <w:right w:val="none" w:sz="0" w:space="0" w:color="auto"/>
          </w:divBdr>
        </w:div>
        <w:div w:id="1113548715">
          <w:marLeft w:val="547"/>
          <w:marRight w:val="0"/>
          <w:marTop w:val="82"/>
          <w:marBottom w:val="0"/>
          <w:divBdr>
            <w:top w:val="none" w:sz="0" w:space="0" w:color="auto"/>
            <w:left w:val="none" w:sz="0" w:space="0" w:color="auto"/>
            <w:bottom w:val="none" w:sz="0" w:space="0" w:color="auto"/>
            <w:right w:val="none" w:sz="0" w:space="0" w:color="auto"/>
          </w:divBdr>
        </w:div>
        <w:div w:id="1353607387">
          <w:marLeft w:val="547"/>
          <w:marRight w:val="0"/>
          <w:marTop w:val="82"/>
          <w:marBottom w:val="0"/>
          <w:divBdr>
            <w:top w:val="none" w:sz="0" w:space="0" w:color="auto"/>
            <w:left w:val="none" w:sz="0" w:space="0" w:color="auto"/>
            <w:bottom w:val="none" w:sz="0" w:space="0" w:color="auto"/>
            <w:right w:val="none" w:sz="0" w:space="0" w:color="auto"/>
          </w:divBdr>
        </w:div>
        <w:div w:id="1451825834">
          <w:marLeft w:val="547"/>
          <w:marRight w:val="0"/>
          <w:marTop w:val="82"/>
          <w:marBottom w:val="0"/>
          <w:divBdr>
            <w:top w:val="none" w:sz="0" w:space="0" w:color="auto"/>
            <w:left w:val="none" w:sz="0" w:space="0" w:color="auto"/>
            <w:bottom w:val="none" w:sz="0" w:space="0" w:color="auto"/>
            <w:right w:val="none" w:sz="0" w:space="0" w:color="auto"/>
          </w:divBdr>
        </w:div>
        <w:div w:id="2012751409">
          <w:marLeft w:val="547"/>
          <w:marRight w:val="0"/>
          <w:marTop w:val="82"/>
          <w:marBottom w:val="0"/>
          <w:divBdr>
            <w:top w:val="none" w:sz="0" w:space="0" w:color="auto"/>
            <w:left w:val="none" w:sz="0" w:space="0" w:color="auto"/>
            <w:bottom w:val="none" w:sz="0" w:space="0" w:color="auto"/>
            <w:right w:val="none" w:sz="0" w:space="0" w:color="auto"/>
          </w:divBdr>
        </w:div>
        <w:div w:id="2094812531">
          <w:marLeft w:val="547"/>
          <w:marRight w:val="0"/>
          <w:marTop w:val="82"/>
          <w:marBottom w:val="0"/>
          <w:divBdr>
            <w:top w:val="none" w:sz="0" w:space="0" w:color="auto"/>
            <w:left w:val="none" w:sz="0" w:space="0" w:color="auto"/>
            <w:bottom w:val="none" w:sz="0" w:space="0" w:color="auto"/>
            <w:right w:val="none" w:sz="0" w:space="0" w:color="auto"/>
          </w:divBdr>
        </w:div>
      </w:divsChild>
    </w:div>
    <w:div w:id="1919050211">
      <w:bodyDiv w:val="1"/>
      <w:marLeft w:val="0"/>
      <w:marRight w:val="0"/>
      <w:marTop w:val="0"/>
      <w:marBottom w:val="0"/>
      <w:divBdr>
        <w:top w:val="none" w:sz="0" w:space="0" w:color="auto"/>
        <w:left w:val="none" w:sz="0" w:space="0" w:color="auto"/>
        <w:bottom w:val="none" w:sz="0" w:space="0" w:color="auto"/>
        <w:right w:val="none" w:sz="0" w:space="0" w:color="auto"/>
      </w:divBdr>
      <w:divsChild>
        <w:div w:id="68814794">
          <w:marLeft w:val="547"/>
          <w:marRight w:val="0"/>
          <w:marTop w:val="67"/>
          <w:marBottom w:val="0"/>
          <w:divBdr>
            <w:top w:val="none" w:sz="0" w:space="0" w:color="auto"/>
            <w:left w:val="none" w:sz="0" w:space="0" w:color="auto"/>
            <w:bottom w:val="none" w:sz="0" w:space="0" w:color="auto"/>
            <w:right w:val="none" w:sz="0" w:space="0" w:color="auto"/>
          </w:divBdr>
        </w:div>
        <w:div w:id="338316896">
          <w:marLeft w:val="547"/>
          <w:marRight w:val="0"/>
          <w:marTop w:val="67"/>
          <w:marBottom w:val="0"/>
          <w:divBdr>
            <w:top w:val="none" w:sz="0" w:space="0" w:color="auto"/>
            <w:left w:val="none" w:sz="0" w:space="0" w:color="auto"/>
            <w:bottom w:val="none" w:sz="0" w:space="0" w:color="auto"/>
            <w:right w:val="none" w:sz="0" w:space="0" w:color="auto"/>
          </w:divBdr>
        </w:div>
        <w:div w:id="447939100">
          <w:marLeft w:val="547"/>
          <w:marRight w:val="0"/>
          <w:marTop w:val="67"/>
          <w:marBottom w:val="0"/>
          <w:divBdr>
            <w:top w:val="none" w:sz="0" w:space="0" w:color="auto"/>
            <w:left w:val="none" w:sz="0" w:space="0" w:color="auto"/>
            <w:bottom w:val="none" w:sz="0" w:space="0" w:color="auto"/>
            <w:right w:val="none" w:sz="0" w:space="0" w:color="auto"/>
          </w:divBdr>
        </w:div>
        <w:div w:id="755905498">
          <w:marLeft w:val="547"/>
          <w:marRight w:val="0"/>
          <w:marTop w:val="67"/>
          <w:marBottom w:val="0"/>
          <w:divBdr>
            <w:top w:val="none" w:sz="0" w:space="0" w:color="auto"/>
            <w:left w:val="none" w:sz="0" w:space="0" w:color="auto"/>
            <w:bottom w:val="none" w:sz="0" w:space="0" w:color="auto"/>
            <w:right w:val="none" w:sz="0" w:space="0" w:color="auto"/>
          </w:divBdr>
        </w:div>
        <w:div w:id="812019015">
          <w:marLeft w:val="547"/>
          <w:marRight w:val="0"/>
          <w:marTop w:val="67"/>
          <w:marBottom w:val="0"/>
          <w:divBdr>
            <w:top w:val="none" w:sz="0" w:space="0" w:color="auto"/>
            <w:left w:val="none" w:sz="0" w:space="0" w:color="auto"/>
            <w:bottom w:val="none" w:sz="0" w:space="0" w:color="auto"/>
            <w:right w:val="none" w:sz="0" w:space="0" w:color="auto"/>
          </w:divBdr>
        </w:div>
        <w:div w:id="839388869">
          <w:marLeft w:val="547"/>
          <w:marRight w:val="0"/>
          <w:marTop w:val="67"/>
          <w:marBottom w:val="0"/>
          <w:divBdr>
            <w:top w:val="none" w:sz="0" w:space="0" w:color="auto"/>
            <w:left w:val="none" w:sz="0" w:space="0" w:color="auto"/>
            <w:bottom w:val="none" w:sz="0" w:space="0" w:color="auto"/>
            <w:right w:val="none" w:sz="0" w:space="0" w:color="auto"/>
          </w:divBdr>
        </w:div>
        <w:div w:id="889540635">
          <w:marLeft w:val="547"/>
          <w:marRight w:val="0"/>
          <w:marTop w:val="67"/>
          <w:marBottom w:val="0"/>
          <w:divBdr>
            <w:top w:val="none" w:sz="0" w:space="0" w:color="auto"/>
            <w:left w:val="none" w:sz="0" w:space="0" w:color="auto"/>
            <w:bottom w:val="none" w:sz="0" w:space="0" w:color="auto"/>
            <w:right w:val="none" w:sz="0" w:space="0" w:color="auto"/>
          </w:divBdr>
        </w:div>
        <w:div w:id="943150735">
          <w:marLeft w:val="547"/>
          <w:marRight w:val="0"/>
          <w:marTop w:val="67"/>
          <w:marBottom w:val="0"/>
          <w:divBdr>
            <w:top w:val="none" w:sz="0" w:space="0" w:color="auto"/>
            <w:left w:val="none" w:sz="0" w:space="0" w:color="auto"/>
            <w:bottom w:val="none" w:sz="0" w:space="0" w:color="auto"/>
            <w:right w:val="none" w:sz="0" w:space="0" w:color="auto"/>
          </w:divBdr>
        </w:div>
        <w:div w:id="1046636829">
          <w:marLeft w:val="547"/>
          <w:marRight w:val="0"/>
          <w:marTop w:val="67"/>
          <w:marBottom w:val="0"/>
          <w:divBdr>
            <w:top w:val="none" w:sz="0" w:space="0" w:color="auto"/>
            <w:left w:val="none" w:sz="0" w:space="0" w:color="auto"/>
            <w:bottom w:val="none" w:sz="0" w:space="0" w:color="auto"/>
            <w:right w:val="none" w:sz="0" w:space="0" w:color="auto"/>
          </w:divBdr>
        </w:div>
        <w:div w:id="1105809641">
          <w:marLeft w:val="547"/>
          <w:marRight w:val="0"/>
          <w:marTop w:val="67"/>
          <w:marBottom w:val="0"/>
          <w:divBdr>
            <w:top w:val="none" w:sz="0" w:space="0" w:color="auto"/>
            <w:left w:val="none" w:sz="0" w:space="0" w:color="auto"/>
            <w:bottom w:val="none" w:sz="0" w:space="0" w:color="auto"/>
            <w:right w:val="none" w:sz="0" w:space="0" w:color="auto"/>
          </w:divBdr>
        </w:div>
        <w:div w:id="1142768179">
          <w:marLeft w:val="547"/>
          <w:marRight w:val="0"/>
          <w:marTop w:val="67"/>
          <w:marBottom w:val="0"/>
          <w:divBdr>
            <w:top w:val="none" w:sz="0" w:space="0" w:color="auto"/>
            <w:left w:val="none" w:sz="0" w:space="0" w:color="auto"/>
            <w:bottom w:val="none" w:sz="0" w:space="0" w:color="auto"/>
            <w:right w:val="none" w:sz="0" w:space="0" w:color="auto"/>
          </w:divBdr>
        </w:div>
        <w:div w:id="1154758315">
          <w:marLeft w:val="547"/>
          <w:marRight w:val="0"/>
          <w:marTop w:val="67"/>
          <w:marBottom w:val="0"/>
          <w:divBdr>
            <w:top w:val="none" w:sz="0" w:space="0" w:color="auto"/>
            <w:left w:val="none" w:sz="0" w:space="0" w:color="auto"/>
            <w:bottom w:val="none" w:sz="0" w:space="0" w:color="auto"/>
            <w:right w:val="none" w:sz="0" w:space="0" w:color="auto"/>
          </w:divBdr>
        </w:div>
        <w:div w:id="1269049090">
          <w:marLeft w:val="547"/>
          <w:marRight w:val="0"/>
          <w:marTop w:val="67"/>
          <w:marBottom w:val="0"/>
          <w:divBdr>
            <w:top w:val="none" w:sz="0" w:space="0" w:color="auto"/>
            <w:left w:val="none" w:sz="0" w:space="0" w:color="auto"/>
            <w:bottom w:val="none" w:sz="0" w:space="0" w:color="auto"/>
            <w:right w:val="none" w:sz="0" w:space="0" w:color="auto"/>
          </w:divBdr>
        </w:div>
        <w:div w:id="1572041210">
          <w:marLeft w:val="547"/>
          <w:marRight w:val="0"/>
          <w:marTop w:val="67"/>
          <w:marBottom w:val="0"/>
          <w:divBdr>
            <w:top w:val="none" w:sz="0" w:space="0" w:color="auto"/>
            <w:left w:val="none" w:sz="0" w:space="0" w:color="auto"/>
            <w:bottom w:val="none" w:sz="0" w:space="0" w:color="auto"/>
            <w:right w:val="none" w:sz="0" w:space="0" w:color="auto"/>
          </w:divBdr>
        </w:div>
        <w:div w:id="1679653985">
          <w:marLeft w:val="547"/>
          <w:marRight w:val="0"/>
          <w:marTop w:val="67"/>
          <w:marBottom w:val="0"/>
          <w:divBdr>
            <w:top w:val="none" w:sz="0" w:space="0" w:color="auto"/>
            <w:left w:val="none" w:sz="0" w:space="0" w:color="auto"/>
            <w:bottom w:val="none" w:sz="0" w:space="0" w:color="auto"/>
            <w:right w:val="none" w:sz="0" w:space="0" w:color="auto"/>
          </w:divBdr>
        </w:div>
      </w:divsChild>
    </w:div>
    <w:div w:id="1936743423">
      <w:bodyDiv w:val="1"/>
      <w:marLeft w:val="0"/>
      <w:marRight w:val="0"/>
      <w:marTop w:val="0"/>
      <w:marBottom w:val="0"/>
      <w:divBdr>
        <w:top w:val="none" w:sz="0" w:space="0" w:color="auto"/>
        <w:left w:val="none" w:sz="0" w:space="0" w:color="auto"/>
        <w:bottom w:val="none" w:sz="0" w:space="0" w:color="auto"/>
        <w:right w:val="none" w:sz="0" w:space="0" w:color="auto"/>
      </w:divBdr>
    </w:div>
    <w:div w:id="2001349560">
      <w:bodyDiv w:val="1"/>
      <w:marLeft w:val="0"/>
      <w:marRight w:val="0"/>
      <w:marTop w:val="0"/>
      <w:marBottom w:val="0"/>
      <w:divBdr>
        <w:top w:val="none" w:sz="0" w:space="0" w:color="auto"/>
        <w:left w:val="none" w:sz="0" w:space="0" w:color="auto"/>
        <w:bottom w:val="none" w:sz="0" w:space="0" w:color="auto"/>
        <w:right w:val="none" w:sz="0" w:space="0" w:color="auto"/>
      </w:divBdr>
      <w:divsChild>
        <w:div w:id="770273121">
          <w:marLeft w:val="547"/>
          <w:marRight w:val="0"/>
          <w:marTop w:val="0"/>
          <w:marBottom w:val="0"/>
          <w:divBdr>
            <w:top w:val="none" w:sz="0" w:space="0" w:color="auto"/>
            <w:left w:val="none" w:sz="0" w:space="0" w:color="auto"/>
            <w:bottom w:val="none" w:sz="0" w:space="0" w:color="auto"/>
            <w:right w:val="none" w:sz="0" w:space="0" w:color="auto"/>
          </w:divBdr>
        </w:div>
      </w:divsChild>
    </w:div>
    <w:div w:id="2024163357">
      <w:bodyDiv w:val="1"/>
      <w:marLeft w:val="0"/>
      <w:marRight w:val="0"/>
      <w:marTop w:val="0"/>
      <w:marBottom w:val="0"/>
      <w:divBdr>
        <w:top w:val="none" w:sz="0" w:space="0" w:color="auto"/>
        <w:left w:val="none" w:sz="0" w:space="0" w:color="auto"/>
        <w:bottom w:val="none" w:sz="0" w:space="0" w:color="auto"/>
        <w:right w:val="none" w:sz="0" w:space="0" w:color="auto"/>
      </w:divBdr>
      <w:divsChild>
        <w:div w:id="78262188">
          <w:marLeft w:val="547"/>
          <w:marRight w:val="0"/>
          <w:marTop w:val="0"/>
          <w:marBottom w:val="0"/>
          <w:divBdr>
            <w:top w:val="none" w:sz="0" w:space="0" w:color="auto"/>
            <w:left w:val="none" w:sz="0" w:space="0" w:color="auto"/>
            <w:bottom w:val="none" w:sz="0" w:space="0" w:color="auto"/>
            <w:right w:val="none" w:sz="0" w:space="0" w:color="auto"/>
          </w:divBdr>
        </w:div>
      </w:divsChild>
    </w:div>
    <w:div w:id="2029795053">
      <w:bodyDiv w:val="1"/>
      <w:marLeft w:val="0"/>
      <w:marRight w:val="0"/>
      <w:marTop w:val="0"/>
      <w:marBottom w:val="0"/>
      <w:divBdr>
        <w:top w:val="none" w:sz="0" w:space="0" w:color="auto"/>
        <w:left w:val="none" w:sz="0" w:space="0" w:color="auto"/>
        <w:bottom w:val="none" w:sz="0" w:space="0" w:color="auto"/>
        <w:right w:val="none" w:sz="0" w:space="0" w:color="auto"/>
      </w:divBdr>
      <w:divsChild>
        <w:div w:id="1831754094">
          <w:marLeft w:val="0"/>
          <w:marRight w:val="0"/>
          <w:marTop w:val="0"/>
          <w:marBottom w:val="0"/>
          <w:divBdr>
            <w:top w:val="none" w:sz="0" w:space="0" w:color="auto"/>
            <w:left w:val="none" w:sz="0" w:space="0" w:color="auto"/>
            <w:bottom w:val="none" w:sz="0" w:space="0" w:color="auto"/>
            <w:right w:val="none" w:sz="0" w:space="0" w:color="auto"/>
          </w:divBdr>
          <w:divsChild>
            <w:div w:id="159278456">
              <w:marLeft w:val="0"/>
              <w:marRight w:val="0"/>
              <w:marTop w:val="0"/>
              <w:marBottom w:val="0"/>
              <w:divBdr>
                <w:top w:val="none" w:sz="0" w:space="0" w:color="auto"/>
                <w:left w:val="none" w:sz="0" w:space="0" w:color="auto"/>
                <w:bottom w:val="none" w:sz="0" w:space="0" w:color="auto"/>
                <w:right w:val="none" w:sz="0" w:space="0" w:color="auto"/>
              </w:divBdr>
            </w:div>
            <w:div w:id="275257028">
              <w:marLeft w:val="0"/>
              <w:marRight w:val="0"/>
              <w:marTop w:val="0"/>
              <w:marBottom w:val="0"/>
              <w:divBdr>
                <w:top w:val="none" w:sz="0" w:space="0" w:color="auto"/>
                <w:left w:val="none" w:sz="0" w:space="0" w:color="auto"/>
                <w:bottom w:val="none" w:sz="0" w:space="0" w:color="auto"/>
                <w:right w:val="none" w:sz="0" w:space="0" w:color="auto"/>
              </w:divBdr>
            </w:div>
            <w:div w:id="1215510549">
              <w:marLeft w:val="0"/>
              <w:marRight w:val="0"/>
              <w:marTop w:val="0"/>
              <w:marBottom w:val="0"/>
              <w:divBdr>
                <w:top w:val="none" w:sz="0" w:space="0" w:color="auto"/>
                <w:left w:val="none" w:sz="0" w:space="0" w:color="auto"/>
                <w:bottom w:val="none" w:sz="0" w:space="0" w:color="auto"/>
                <w:right w:val="none" w:sz="0" w:space="0" w:color="auto"/>
              </w:divBdr>
            </w:div>
            <w:div w:id="1394432106">
              <w:marLeft w:val="0"/>
              <w:marRight w:val="0"/>
              <w:marTop w:val="0"/>
              <w:marBottom w:val="0"/>
              <w:divBdr>
                <w:top w:val="none" w:sz="0" w:space="0" w:color="auto"/>
                <w:left w:val="none" w:sz="0" w:space="0" w:color="auto"/>
                <w:bottom w:val="none" w:sz="0" w:space="0" w:color="auto"/>
                <w:right w:val="none" w:sz="0" w:space="0" w:color="auto"/>
              </w:divBdr>
            </w:div>
            <w:div w:id="1465003490">
              <w:marLeft w:val="0"/>
              <w:marRight w:val="0"/>
              <w:marTop w:val="0"/>
              <w:marBottom w:val="0"/>
              <w:divBdr>
                <w:top w:val="none" w:sz="0" w:space="0" w:color="auto"/>
                <w:left w:val="none" w:sz="0" w:space="0" w:color="auto"/>
                <w:bottom w:val="none" w:sz="0" w:space="0" w:color="auto"/>
                <w:right w:val="none" w:sz="0" w:space="0" w:color="auto"/>
              </w:divBdr>
            </w:div>
            <w:div w:id="1637222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8646190">
      <w:bodyDiv w:val="1"/>
      <w:marLeft w:val="0"/>
      <w:marRight w:val="0"/>
      <w:marTop w:val="0"/>
      <w:marBottom w:val="0"/>
      <w:divBdr>
        <w:top w:val="none" w:sz="0" w:space="0" w:color="auto"/>
        <w:left w:val="none" w:sz="0" w:space="0" w:color="auto"/>
        <w:bottom w:val="none" w:sz="0" w:space="0" w:color="auto"/>
        <w:right w:val="none" w:sz="0" w:space="0" w:color="auto"/>
      </w:divBdr>
    </w:div>
    <w:div w:id="2142067560">
      <w:bodyDiv w:val="1"/>
      <w:marLeft w:val="0"/>
      <w:marRight w:val="0"/>
      <w:marTop w:val="0"/>
      <w:marBottom w:val="0"/>
      <w:divBdr>
        <w:top w:val="none" w:sz="0" w:space="0" w:color="auto"/>
        <w:left w:val="none" w:sz="0" w:space="0" w:color="auto"/>
        <w:bottom w:val="none" w:sz="0" w:space="0" w:color="auto"/>
        <w:right w:val="none" w:sz="0" w:space="0" w:color="auto"/>
      </w:divBdr>
      <w:divsChild>
        <w:div w:id="260838099">
          <w:marLeft w:val="547"/>
          <w:marRight w:val="0"/>
          <w:marTop w:val="77"/>
          <w:marBottom w:val="0"/>
          <w:divBdr>
            <w:top w:val="none" w:sz="0" w:space="0" w:color="auto"/>
            <w:left w:val="none" w:sz="0" w:space="0" w:color="auto"/>
            <w:bottom w:val="none" w:sz="0" w:space="0" w:color="auto"/>
            <w:right w:val="none" w:sz="0" w:space="0" w:color="auto"/>
          </w:divBdr>
        </w:div>
        <w:div w:id="266087222">
          <w:marLeft w:val="547"/>
          <w:marRight w:val="0"/>
          <w:marTop w:val="77"/>
          <w:marBottom w:val="0"/>
          <w:divBdr>
            <w:top w:val="none" w:sz="0" w:space="0" w:color="auto"/>
            <w:left w:val="none" w:sz="0" w:space="0" w:color="auto"/>
            <w:bottom w:val="none" w:sz="0" w:space="0" w:color="auto"/>
            <w:right w:val="none" w:sz="0" w:space="0" w:color="auto"/>
          </w:divBdr>
        </w:div>
        <w:div w:id="454834195">
          <w:marLeft w:val="547"/>
          <w:marRight w:val="0"/>
          <w:marTop w:val="77"/>
          <w:marBottom w:val="0"/>
          <w:divBdr>
            <w:top w:val="none" w:sz="0" w:space="0" w:color="auto"/>
            <w:left w:val="none" w:sz="0" w:space="0" w:color="auto"/>
            <w:bottom w:val="none" w:sz="0" w:space="0" w:color="auto"/>
            <w:right w:val="none" w:sz="0" w:space="0" w:color="auto"/>
          </w:divBdr>
        </w:div>
        <w:div w:id="791635849">
          <w:marLeft w:val="547"/>
          <w:marRight w:val="0"/>
          <w:marTop w:val="77"/>
          <w:marBottom w:val="0"/>
          <w:divBdr>
            <w:top w:val="none" w:sz="0" w:space="0" w:color="auto"/>
            <w:left w:val="none" w:sz="0" w:space="0" w:color="auto"/>
            <w:bottom w:val="none" w:sz="0" w:space="0" w:color="auto"/>
            <w:right w:val="none" w:sz="0" w:space="0" w:color="auto"/>
          </w:divBdr>
        </w:div>
        <w:div w:id="946036528">
          <w:marLeft w:val="547"/>
          <w:marRight w:val="0"/>
          <w:marTop w:val="77"/>
          <w:marBottom w:val="0"/>
          <w:divBdr>
            <w:top w:val="none" w:sz="0" w:space="0" w:color="auto"/>
            <w:left w:val="none" w:sz="0" w:space="0" w:color="auto"/>
            <w:bottom w:val="none" w:sz="0" w:space="0" w:color="auto"/>
            <w:right w:val="none" w:sz="0" w:space="0" w:color="auto"/>
          </w:divBdr>
        </w:div>
        <w:div w:id="974217259">
          <w:marLeft w:val="547"/>
          <w:marRight w:val="0"/>
          <w:marTop w:val="77"/>
          <w:marBottom w:val="0"/>
          <w:divBdr>
            <w:top w:val="none" w:sz="0" w:space="0" w:color="auto"/>
            <w:left w:val="none" w:sz="0" w:space="0" w:color="auto"/>
            <w:bottom w:val="none" w:sz="0" w:space="0" w:color="auto"/>
            <w:right w:val="none" w:sz="0" w:space="0" w:color="auto"/>
          </w:divBdr>
        </w:div>
        <w:div w:id="1055004797">
          <w:marLeft w:val="547"/>
          <w:marRight w:val="0"/>
          <w:marTop w:val="77"/>
          <w:marBottom w:val="0"/>
          <w:divBdr>
            <w:top w:val="none" w:sz="0" w:space="0" w:color="auto"/>
            <w:left w:val="none" w:sz="0" w:space="0" w:color="auto"/>
            <w:bottom w:val="none" w:sz="0" w:space="0" w:color="auto"/>
            <w:right w:val="none" w:sz="0" w:space="0" w:color="auto"/>
          </w:divBdr>
        </w:div>
        <w:div w:id="1108161528">
          <w:marLeft w:val="547"/>
          <w:marRight w:val="0"/>
          <w:marTop w:val="77"/>
          <w:marBottom w:val="0"/>
          <w:divBdr>
            <w:top w:val="none" w:sz="0" w:space="0" w:color="auto"/>
            <w:left w:val="none" w:sz="0" w:space="0" w:color="auto"/>
            <w:bottom w:val="none" w:sz="0" w:space="0" w:color="auto"/>
            <w:right w:val="none" w:sz="0" w:space="0" w:color="auto"/>
          </w:divBdr>
        </w:div>
        <w:div w:id="1420563887">
          <w:marLeft w:val="547"/>
          <w:marRight w:val="0"/>
          <w:marTop w:val="77"/>
          <w:marBottom w:val="0"/>
          <w:divBdr>
            <w:top w:val="none" w:sz="0" w:space="0" w:color="auto"/>
            <w:left w:val="none" w:sz="0" w:space="0" w:color="auto"/>
            <w:bottom w:val="none" w:sz="0" w:space="0" w:color="auto"/>
            <w:right w:val="none" w:sz="0" w:space="0" w:color="auto"/>
          </w:divBdr>
        </w:div>
        <w:div w:id="1753743847">
          <w:marLeft w:val="547"/>
          <w:marRight w:val="0"/>
          <w:marTop w:val="77"/>
          <w:marBottom w:val="0"/>
          <w:divBdr>
            <w:top w:val="none" w:sz="0" w:space="0" w:color="auto"/>
            <w:left w:val="none" w:sz="0" w:space="0" w:color="auto"/>
            <w:bottom w:val="none" w:sz="0" w:space="0" w:color="auto"/>
            <w:right w:val="none" w:sz="0" w:space="0" w:color="auto"/>
          </w:divBdr>
        </w:div>
        <w:div w:id="1845170934">
          <w:marLeft w:val="547"/>
          <w:marRight w:val="0"/>
          <w:marTop w:val="77"/>
          <w:marBottom w:val="0"/>
          <w:divBdr>
            <w:top w:val="none" w:sz="0" w:space="0" w:color="auto"/>
            <w:left w:val="none" w:sz="0" w:space="0" w:color="auto"/>
            <w:bottom w:val="none" w:sz="0" w:space="0" w:color="auto"/>
            <w:right w:val="none" w:sz="0" w:space="0" w:color="auto"/>
          </w:divBdr>
        </w:div>
        <w:div w:id="2051614834">
          <w:marLeft w:val="547"/>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econ@zhmr.gov.ua" TargetMode="External"/><Relationship Id="rId117" Type="http://schemas.openxmlformats.org/officeDocument/2006/relationships/hyperlink" Target="mailto:uposv.zmr@gmail.com" TargetMode="External"/><Relationship Id="rId21" Type="http://schemas.openxmlformats.org/officeDocument/2006/relationships/header" Target="header6.xml"/><Relationship Id="rId42" Type="http://schemas.openxmlformats.org/officeDocument/2006/relationships/hyperlink" Target="mailto:muzeukarmaluka@ukr.net" TargetMode="External"/><Relationship Id="rId47" Type="http://schemas.openxmlformats.org/officeDocument/2006/relationships/hyperlink" Target="mailto:Aolenych03@ukr.net" TargetMode="External"/><Relationship Id="rId63" Type="http://schemas.openxmlformats.org/officeDocument/2006/relationships/hyperlink" Target="mailto:Aolenych03@ukr.net" TargetMode="External"/><Relationship Id="rId68" Type="http://schemas.openxmlformats.org/officeDocument/2006/relationships/hyperlink" Target="mailto:Aolenych03@ukr.net" TargetMode="External"/><Relationship Id="rId84" Type="http://schemas.openxmlformats.org/officeDocument/2006/relationships/hyperlink" Target="mailto:Aolenych03@ukr.net" TargetMode="External"/><Relationship Id="rId89" Type="http://schemas.openxmlformats.org/officeDocument/2006/relationships/hyperlink" Target="mailto:Aolenych03@ukr.net" TargetMode="External"/><Relationship Id="rId112" Type="http://schemas.openxmlformats.org/officeDocument/2006/relationships/hyperlink" Target="mailto:uposv.zmr@gmail.com" TargetMode="External"/><Relationship Id="rId133" Type="http://schemas.openxmlformats.org/officeDocument/2006/relationships/hyperlink" Target="mailto:kult@zhmr.gov.ua" TargetMode="External"/><Relationship Id="rId138" Type="http://schemas.openxmlformats.org/officeDocument/2006/relationships/hyperlink" Target="mailto:biblzhmer09@gmail.com" TargetMode="External"/><Relationship Id="rId154" Type="http://schemas.openxmlformats.org/officeDocument/2006/relationships/hyperlink" Target="javascript:%20void(0);" TargetMode="External"/><Relationship Id="rId159" Type="http://schemas.openxmlformats.org/officeDocument/2006/relationships/hyperlink" Target="javascript:%20void(0);" TargetMode="External"/><Relationship Id="rId175" Type="http://schemas.openxmlformats.org/officeDocument/2006/relationships/header" Target="header8.xml"/><Relationship Id="rId170" Type="http://schemas.openxmlformats.org/officeDocument/2006/relationships/hyperlink" Target="javascript:%20void(0);" TargetMode="External"/><Relationship Id="rId16" Type="http://schemas.openxmlformats.org/officeDocument/2006/relationships/header" Target="header4.xml"/><Relationship Id="rId107" Type="http://schemas.openxmlformats.org/officeDocument/2006/relationships/hyperlink" Target="mailto:uposv.zmr@gmail.com" TargetMode="External"/><Relationship Id="rId11" Type="http://schemas.openxmlformats.org/officeDocument/2006/relationships/header" Target="header2.xml"/><Relationship Id="rId32" Type="http://schemas.openxmlformats.org/officeDocument/2006/relationships/hyperlink" Target="mailto:zem@zhmr.gov.ua" TargetMode="External"/><Relationship Id="rId37" Type="http://schemas.openxmlformats.org/officeDocument/2006/relationships/hyperlink" Target="javascript:%20void(0);" TargetMode="External"/><Relationship Id="rId53" Type="http://schemas.openxmlformats.org/officeDocument/2006/relationships/hyperlink" Target="mailto:Aolenych03@ukr.net" TargetMode="External"/><Relationship Id="rId58" Type="http://schemas.openxmlformats.org/officeDocument/2006/relationships/hyperlink" Target="mailto:Aolenych03@ukr.net" TargetMode="External"/><Relationship Id="rId74" Type="http://schemas.openxmlformats.org/officeDocument/2006/relationships/hyperlink" Target="mailto:brailivks@gmail.com" TargetMode="External"/><Relationship Id="rId79" Type="http://schemas.openxmlformats.org/officeDocument/2006/relationships/hyperlink" Target="mailto:Aolenych03@ukr.net" TargetMode="External"/><Relationship Id="rId102" Type="http://schemas.openxmlformats.org/officeDocument/2006/relationships/hyperlink" Target="mailto:uposv.zmr@gmail.com" TargetMode="External"/><Relationship Id="rId123" Type="http://schemas.openxmlformats.org/officeDocument/2006/relationships/hyperlink" Target="mailto:zhcrl@ukr.net" TargetMode="External"/><Relationship Id="rId128" Type="http://schemas.openxmlformats.org/officeDocument/2006/relationships/hyperlink" Target="mailto:domkulturi23@ukr.net" TargetMode="External"/><Relationship Id="rId144" Type="http://schemas.openxmlformats.org/officeDocument/2006/relationships/hyperlink" Target="javascript:%20void(0);" TargetMode="External"/><Relationship Id="rId149" Type="http://schemas.openxmlformats.org/officeDocument/2006/relationships/hyperlink" Target="javascript:%20void(0);" TargetMode="External"/><Relationship Id="rId5" Type="http://schemas.openxmlformats.org/officeDocument/2006/relationships/webSettings" Target="webSettings.xml"/><Relationship Id="rId90" Type="http://schemas.openxmlformats.org/officeDocument/2006/relationships/hyperlink" Target="mailto:uposv.zmr@gmail.com" TargetMode="External"/><Relationship Id="rId95" Type="http://schemas.openxmlformats.org/officeDocument/2006/relationships/hyperlink" Target="javascript:%20void(0);" TargetMode="External"/><Relationship Id="rId160" Type="http://schemas.openxmlformats.org/officeDocument/2006/relationships/hyperlink" Target="javascript:%20void(0);" TargetMode="External"/><Relationship Id="rId165" Type="http://schemas.openxmlformats.org/officeDocument/2006/relationships/hyperlink" Target="javascript:%20void(0);" TargetMode="External"/><Relationship Id="rId22" Type="http://schemas.openxmlformats.org/officeDocument/2006/relationships/footer" Target="footer5.xml"/><Relationship Id="rId27" Type="http://schemas.openxmlformats.org/officeDocument/2006/relationships/hyperlink" Target="mailto:econ@zhmr.gov.ua" TargetMode="External"/><Relationship Id="rId43" Type="http://schemas.openxmlformats.org/officeDocument/2006/relationships/hyperlink" Target="mailto:museum23100@i.ua" TargetMode="External"/><Relationship Id="rId48" Type="http://schemas.openxmlformats.org/officeDocument/2006/relationships/hyperlink" Target="mailto:Aolenych03@ukr.net" TargetMode="External"/><Relationship Id="rId64" Type="http://schemas.openxmlformats.org/officeDocument/2006/relationships/hyperlink" Target="mailto:Aolenych03@ukr.net" TargetMode="External"/><Relationship Id="rId69" Type="http://schemas.openxmlformats.org/officeDocument/2006/relationships/hyperlink" Target="mailto:Aolenych03@ukr.net" TargetMode="External"/><Relationship Id="rId113" Type="http://schemas.openxmlformats.org/officeDocument/2006/relationships/hyperlink" Target="mailto:uposv.zmr@gmail.com" TargetMode="External"/><Relationship Id="rId118" Type="http://schemas.openxmlformats.org/officeDocument/2006/relationships/hyperlink" Target="mailto:uposv.zmr@gmail.com" TargetMode="External"/><Relationship Id="rId134" Type="http://schemas.openxmlformats.org/officeDocument/2006/relationships/hyperlink" Target="mailto:biblzhmer09@gmail.com" TargetMode="External"/><Relationship Id="rId139" Type="http://schemas.openxmlformats.org/officeDocument/2006/relationships/hyperlink" Target="javascript:%20void(0);" TargetMode="External"/><Relationship Id="rId80" Type="http://schemas.openxmlformats.org/officeDocument/2006/relationships/hyperlink" Target="mailto:Aolenych03@ukr.net" TargetMode="External"/><Relationship Id="rId85" Type="http://schemas.openxmlformats.org/officeDocument/2006/relationships/hyperlink" Target="mailto:Aolenych03@ukr.net" TargetMode="External"/><Relationship Id="rId150" Type="http://schemas.openxmlformats.org/officeDocument/2006/relationships/hyperlink" Target="javascript:%20void(0);" TargetMode="External"/><Relationship Id="rId155" Type="http://schemas.openxmlformats.org/officeDocument/2006/relationships/hyperlink" Target="javascript:%20void(0);" TargetMode="External"/><Relationship Id="rId171" Type="http://schemas.openxmlformats.org/officeDocument/2006/relationships/hyperlink" Target="javascript:%20void(0);" TargetMode="External"/><Relationship Id="rId176" Type="http://schemas.openxmlformats.org/officeDocument/2006/relationships/footer" Target="footer7.xml"/><Relationship Id="rId12" Type="http://schemas.openxmlformats.org/officeDocument/2006/relationships/footer" Target="footer1.xml"/><Relationship Id="rId17" Type="http://schemas.openxmlformats.org/officeDocument/2006/relationships/footer" Target="footer3.xml"/><Relationship Id="rId33" Type="http://schemas.openxmlformats.org/officeDocument/2006/relationships/hyperlink" Target="mailto:zem@zhmr.gov.ua" TargetMode="External"/><Relationship Id="rId38" Type="http://schemas.openxmlformats.org/officeDocument/2006/relationships/hyperlink" Target="mailto:econ@zhmr.gov.ua" TargetMode="External"/><Relationship Id="rId59" Type="http://schemas.openxmlformats.org/officeDocument/2006/relationships/hyperlink" Target="mailto:Aolenych03@ukr.net" TargetMode="External"/><Relationship Id="rId103" Type="http://schemas.openxmlformats.org/officeDocument/2006/relationships/hyperlink" Target="mailto:mihajlobigun@gmail.com" TargetMode="External"/><Relationship Id="rId108" Type="http://schemas.openxmlformats.org/officeDocument/2006/relationships/hyperlink" Target="mailto:uposv.zmr@gmail.com" TargetMode="External"/><Relationship Id="rId124" Type="http://schemas.openxmlformats.org/officeDocument/2006/relationships/hyperlink" Target="mailto:zhcrl@ukr.net" TargetMode="External"/><Relationship Id="rId129" Type="http://schemas.openxmlformats.org/officeDocument/2006/relationships/hyperlink" Target="mailto:Supermusic.school.1973@gmail.com" TargetMode="External"/><Relationship Id="rId54" Type="http://schemas.openxmlformats.org/officeDocument/2006/relationships/hyperlink" Target="mailto:Aolenych03@ukr.net" TargetMode="External"/><Relationship Id="rId70" Type="http://schemas.openxmlformats.org/officeDocument/2006/relationships/hyperlink" Target="mailto:Aolenych03@ukr.net" TargetMode="External"/><Relationship Id="rId75" Type="http://schemas.openxmlformats.org/officeDocument/2006/relationships/hyperlink" Target="mailto:brailivks@gmail.com" TargetMode="External"/><Relationship Id="rId91" Type="http://schemas.openxmlformats.org/officeDocument/2006/relationships/hyperlink" Target="mailto:uposv.zmr@gmail.com" TargetMode="External"/><Relationship Id="rId96" Type="http://schemas.openxmlformats.org/officeDocument/2006/relationships/hyperlink" Target="javascript:%20void(0);" TargetMode="External"/><Relationship Id="rId140" Type="http://schemas.openxmlformats.org/officeDocument/2006/relationships/hyperlink" Target="javascript:%20void(0);" TargetMode="External"/><Relationship Id="rId145" Type="http://schemas.openxmlformats.org/officeDocument/2006/relationships/hyperlink" Target="javascript:%20void(0);" TargetMode="External"/><Relationship Id="rId161" Type="http://schemas.openxmlformats.org/officeDocument/2006/relationships/hyperlink" Target="javascript:%20void(0);" TargetMode="External"/><Relationship Id="rId166" Type="http://schemas.openxmlformats.org/officeDocument/2006/relationships/hyperlink" Target="javascript:%20void(0);"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footer" Target="footer6.xml"/><Relationship Id="rId28" Type="http://schemas.openxmlformats.org/officeDocument/2006/relationships/hyperlink" Target="mailto:zem@zhmr.gov.ua" TargetMode="External"/><Relationship Id="rId49" Type="http://schemas.openxmlformats.org/officeDocument/2006/relationships/hyperlink" Target="mailto:Aolenych03@ukr.net" TargetMode="External"/><Relationship Id="rId114" Type="http://schemas.openxmlformats.org/officeDocument/2006/relationships/hyperlink" Target="mailto:uposv.zmr@gmail.com" TargetMode="External"/><Relationship Id="rId119" Type="http://schemas.openxmlformats.org/officeDocument/2006/relationships/hyperlink" Target="mailto:uposv.zmr@gmail.com" TargetMode="External"/><Relationship Id="rId10" Type="http://schemas.openxmlformats.org/officeDocument/2006/relationships/header" Target="header1.xml"/><Relationship Id="rId31" Type="http://schemas.openxmlformats.org/officeDocument/2006/relationships/hyperlink" Target="mailto:zem@zhmr.gov.ua" TargetMode="External"/><Relationship Id="rId44" Type="http://schemas.openxmlformats.org/officeDocument/2006/relationships/hyperlink" Target="mailto:kult@zhmr.gov.ua" TargetMode="External"/><Relationship Id="rId52" Type="http://schemas.openxmlformats.org/officeDocument/2006/relationships/hyperlink" Target="mailto:Aolenych03@ukr.net" TargetMode="External"/><Relationship Id="rId60" Type="http://schemas.openxmlformats.org/officeDocument/2006/relationships/hyperlink" Target="mailto:Aolenych03@ukr.net" TargetMode="External"/><Relationship Id="rId65" Type="http://schemas.openxmlformats.org/officeDocument/2006/relationships/hyperlink" Target="mailto:Aolenych03@ukr.net" TargetMode="External"/><Relationship Id="rId73" Type="http://schemas.openxmlformats.org/officeDocument/2006/relationships/hyperlink" Target="mailto:Aolenych03@ukr.net" TargetMode="External"/><Relationship Id="rId78" Type="http://schemas.openxmlformats.org/officeDocument/2006/relationships/hyperlink" Target="mailto:Aolenych03@ukr.net" TargetMode="External"/><Relationship Id="rId81" Type="http://schemas.openxmlformats.org/officeDocument/2006/relationships/hyperlink" Target="mailto:Aolenych03@ukr.net" TargetMode="External"/><Relationship Id="rId86" Type="http://schemas.openxmlformats.org/officeDocument/2006/relationships/hyperlink" Target="mailto:Aolenych03@ukr.net" TargetMode="External"/><Relationship Id="rId94" Type="http://schemas.openxmlformats.org/officeDocument/2006/relationships/hyperlink" Target="mailto:kult@zhmr.gov.ua" TargetMode="External"/><Relationship Id="rId99" Type="http://schemas.openxmlformats.org/officeDocument/2006/relationships/hyperlink" Target="mailto:kult@zhmr.gov.ua" TargetMode="External"/><Relationship Id="rId101" Type="http://schemas.openxmlformats.org/officeDocument/2006/relationships/hyperlink" Target="mailto:uposv.zmr@gmail.com" TargetMode="External"/><Relationship Id="rId122" Type="http://schemas.openxmlformats.org/officeDocument/2006/relationships/hyperlink" Target="mailto:zhcrl@ukr.net" TargetMode="External"/><Relationship Id="rId130" Type="http://schemas.openxmlformats.org/officeDocument/2006/relationships/hyperlink" Target="mailto:Supermusic.school.1973@gmail.com" TargetMode="External"/><Relationship Id="rId135" Type="http://schemas.openxmlformats.org/officeDocument/2006/relationships/hyperlink" Target="mailto:kult@zhmr.gov.ua" TargetMode="External"/><Relationship Id="rId143" Type="http://schemas.openxmlformats.org/officeDocument/2006/relationships/hyperlink" Target="javascript:%20void(0);" TargetMode="External"/><Relationship Id="rId148" Type="http://schemas.openxmlformats.org/officeDocument/2006/relationships/hyperlink" Target="javascript:%20void(0);" TargetMode="External"/><Relationship Id="rId151" Type="http://schemas.openxmlformats.org/officeDocument/2006/relationships/hyperlink" Target="javascript:%20void(0);" TargetMode="External"/><Relationship Id="rId156" Type="http://schemas.openxmlformats.org/officeDocument/2006/relationships/hyperlink" Target="javascript:%20void(0);" TargetMode="External"/><Relationship Id="rId164" Type="http://schemas.openxmlformats.org/officeDocument/2006/relationships/hyperlink" Target="javascript:%20void(0);" TargetMode="External"/><Relationship Id="rId169" Type="http://schemas.openxmlformats.org/officeDocument/2006/relationships/hyperlink" Target="javascript:%20void(0);" TargetMode="External"/><Relationship Id="rId177" Type="http://schemas.openxmlformats.org/officeDocument/2006/relationships/footer" Target="footer8.xml"/><Relationship Id="rId4" Type="http://schemas.openxmlformats.org/officeDocument/2006/relationships/settings" Target="settings.xml"/><Relationship Id="rId9" Type="http://schemas.openxmlformats.org/officeDocument/2006/relationships/image" Target="https://m.day.kyiv.ua/sites/default/files/main/articles/16082018/8zhmerinka.jpg" TargetMode="External"/><Relationship Id="rId172" Type="http://schemas.openxmlformats.org/officeDocument/2006/relationships/hyperlink" Target="javascript:%20void(0);" TargetMode="External"/><Relationship Id="rId13" Type="http://schemas.openxmlformats.org/officeDocument/2006/relationships/footer" Target="footer2.xml"/><Relationship Id="rId18" Type="http://schemas.openxmlformats.org/officeDocument/2006/relationships/footer" Target="footer4.xml"/><Relationship Id="rId39" Type="http://schemas.openxmlformats.org/officeDocument/2006/relationships/hyperlink" Target="mailto:econ@zhmr.gov.ua" TargetMode="External"/><Relationship Id="rId109" Type="http://schemas.openxmlformats.org/officeDocument/2006/relationships/hyperlink" Target="mailto:uposv.zmr@gmail.com" TargetMode="External"/><Relationship Id="rId34" Type="http://schemas.openxmlformats.org/officeDocument/2006/relationships/hyperlink" Target="mailto:zem@zhmr.gov.ua" TargetMode="External"/><Relationship Id="rId50" Type="http://schemas.openxmlformats.org/officeDocument/2006/relationships/hyperlink" Target="mailto:Aolenych03@ukr.net" TargetMode="External"/><Relationship Id="rId55" Type="http://schemas.openxmlformats.org/officeDocument/2006/relationships/hyperlink" Target="mailto:Aolenych03@ukr.net" TargetMode="External"/><Relationship Id="rId76" Type="http://schemas.openxmlformats.org/officeDocument/2006/relationships/hyperlink" Target="mailto:Aolenych03@ukr.net" TargetMode="External"/><Relationship Id="rId97" Type="http://schemas.openxmlformats.org/officeDocument/2006/relationships/hyperlink" Target="mailto:it@zhmr.gov.ua" TargetMode="External"/><Relationship Id="rId104" Type="http://schemas.openxmlformats.org/officeDocument/2006/relationships/hyperlink" Target="mailto:school-licey@ukr.net" TargetMode="External"/><Relationship Id="rId120" Type="http://schemas.openxmlformats.org/officeDocument/2006/relationships/hyperlink" Target="mailto:zhmercpmsd@ukr.net" TargetMode="External"/><Relationship Id="rId125" Type="http://schemas.openxmlformats.org/officeDocument/2006/relationships/hyperlink" Target="mailto:zhcrl@ukr.net" TargetMode="External"/><Relationship Id="rId141" Type="http://schemas.openxmlformats.org/officeDocument/2006/relationships/hyperlink" Target="javascript:%20void(0);" TargetMode="External"/><Relationship Id="rId146" Type="http://schemas.openxmlformats.org/officeDocument/2006/relationships/hyperlink" Target="javascript:%20void(0);" TargetMode="External"/><Relationship Id="rId167" Type="http://schemas.openxmlformats.org/officeDocument/2006/relationships/hyperlink" Target="javascript:%20void(0);" TargetMode="External"/><Relationship Id="rId7" Type="http://schemas.openxmlformats.org/officeDocument/2006/relationships/endnotes" Target="endnotes.xml"/><Relationship Id="rId71" Type="http://schemas.openxmlformats.org/officeDocument/2006/relationships/hyperlink" Target="mailto:Aolenych03@ukr.net" TargetMode="External"/><Relationship Id="rId92" Type="http://schemas.openxmlformats.org/officeDocument/2006/relationships/hyperlink" Target="mailto:zosh3zm@ukr.net" TargetMode="External"/><Relationship Id="rId162" Type="http://schemas.openxmlformats.org/officeDocument/2006/relationships/hyperlink" Target="javascript:%20void(0);" TargetMode="External"/><Relationship Id="rId2" Type="http://schemas.openxmlformats.org/officeDocument/2006/relationships/numbering" Target="numbering.xml"/><Relationship Id="rId29" Type="http://schemas.openxmlformats.org/officeDocument/2006/relationships/hyperlink" Target="mailto:zem@zhmr.gov.ua" TargetMode="External"/><Relationship Id="rId24" Type="http://schemas.openxmlformats.org/officeDocument/2006/relationships/image" Target="media/image4.png"/><Relationship Id="rId40" Type="http://schemas.openxmlformats.org/officeDocument/2006/relationships/hyperlink" Target="mailto:econ@zhmr.gov.ua" TargetMode="External"/><Relationship Id="rId45" Type="http://schemas.openxmlformats.org/officeDocument/2006/relationships/hyperlink" Target="mailto:domkulturi23@ukr.net" TargetMode="External"/><Relationship Id="rId66" Type="http://schemas.openxmlformats.org/officeDocument/2006/relationships/hyperlink" Target="mailto:Aolenych03@ukr.net" TargetMode="External"/><Relationship Id="rId87" Type="http://schemas.openxmlformats.org/officeDocument/2006/relationships/hyperlink" Target="mailto:Aolenych03@ukr.net" TargetMode="External"/><Relationship Id="rId110" Type="http://schemas.openxmlformats.org/officeDocument/2006/relationships/hyperlink" Target="mailto:uposv.zmr@gmail.com" TargetMode="External"/><Relationship Id="rId115" Type="http://schemas.openxmlformats.org/officeDocument/2006/relationships/hyperlink" Target="mailto:uposv.zmr@gmail.com" TargetMode="External"/><Relationship Id="rId131" Type="http://schemas.openxmlformats.org/officeDocument/2006/relationships/hyperlink" Target="mailto:domkulturi23@ukr.net" TargetMode="External"/><Relationship Id="rId136" Type="http://schemas.openxmlformats.org/officeDocument/2006/relationships/hyperlink" Target="mailto:biblzhmer09@gmail.com" TargetMode="External"/><Relationship Id="rId157" Type="http://schemas.openxmlformats.org/officeDocument/2006/relationships/hyperlink" Target="javascript:%20void(0);" TargetMode="External"/><Relationship Id="rId178" Type="http://schemas.openxmlformats.org/officeDocument/2006/relationships/fontTable" Target="fontTable.xml"/><Relationship Id="rId61" Type="http://schemas.openxmlformats.org/officeDocument/2006/relationships/hyperlink" Target="mailto:Aolenych03@ukr.net" TargetMode="External"/><Relationship Id="rId82" Type="http://schemas.openxmlformats.org/officeDocument/2006/relationships/hyperlink" Target="mailto:econ@zhmr.gov.ua" TargetMode="External"/><Relationship Id="rId152" Type="http://schemas.openxmlformats.org/officeDocument/2006/relationships/hyperlink" Target="javascript:%20void(0);" TargetMode="External"/><Relationship Id="rId173" Type="http://schemas.openxmlformats.org/officeDocument/2006/relationships/hyperlink" Target="javascript:%20void(0);" TargetMode="External"/><Relationship Id="rId19" Type="http://schemas.openxmlformats.org/officeDocument/2006/relationships/image" Target="media/image3.png"/><Relationship Id="rId14" Type="http://schemas.openxmlformats.org/officeDocument/2006/relationships/image" Target="media/image2.png"/><Relationship Id="rId30" Type="http://schemas.openxmlformats.org/officeDocument/2006/relationships/hyperlink" Target="mailto:zem@zhmr.gov.ua" TargetMode="External"/><Relationship Id="rId35" Type="http://schemas.openxmlformats.org/officeDocument/2006/relationships/hyperlink" Target="mailto:econ@zhmr.gov.ua" TargetMode="External"/><Relationship Id="rId56" Type="http://schemas.openxmlformats.org/officeDocument/2006/relationships/hyperlink" Target="mailto:Aolenych03@ukr.net" TargetMode="External"/><Relationship Id="rId77" Type="http://schemas.openxmlformats.org/officeDocument/2006/relationships/hyperlink" Target="mailto:Aolenych03@ukr.net" TargetMode="External"/><Relationship Id="rId100" Type="http://schemas.openxmlformats.org/officeDocument/2006/relationships/hyperlink" Target="mailto:kult@zhmr.gov.ua" TargetMode="External"/><Relationship Id="rId105" Type="http://schemas.openxmlformats.org/officeDocument/2006/relationships/hyperlink" Target="mailto:uposv.zmr@gmail.com" TargetMode="External"/><Relationship Id="rId126" Type="http://schemas.openxmlformats.org/officeDocument/2006/relationships/hyperlink" Target="mailto:zhcrl@ukr.net" TargetMode="External"/><Relationship Id="rId147" Type="http://schemas.openxmlformats.org/officeDocument/2006/relationships/hyperlink" Target="javascript:%20void(0);" TargetMode="External"/><Relationship Id="rId168" Type="http://schemas.openxmlformats.org/officeDocument/2006/relationships/hyperlink" Target="javascript:%20void(0);" TargetMode="External"/><Relationship Id="rId8" Type="http://schemas.openxmlformats.org/officeDocument/2006/relationships/image" Target="media/image1.jpeg"/><Relationship Id="rId51" Type="http://schemas.openxmlformats.org/officeDocument/2006/relationships/hyperlink" Target="mailto:Aolenych03@ukr.net" TargetMode="External"/><Relationship Id="rId72" Type="http://schemas.openxmlformats.org/officeDocument/2006/relationships/hyperlink" Target="mailto:Aolenych03@ukr.net" TargetMode="External"/><Relationship Id="rId93" Type="http://schemas.openxmlformats.org/officeDocument/2006/relationships/hyperlink" Target="mailto:uposv.zmr@gmail.com" TargetMode="External"/><Relationship Id="rId98" Type="http://schemas.openxmlformats.org/officeDocument/2006/relationships/hyperlink" Target="mailto:mvk@zhmr.gov.ua" TargetMode="External"/><Relationship Id="rId121" Type="http://schemas.openxmlformats.org/officeDocument/2006/relationships/hyperlink" Target="mailto:zhcrl@ukr.net" TargetMode="External"/><Relationship Id="rId142" Type="http://schemas.openxmlformats.org/officeDocument/2006/relationships/hyperlink" Target="javascript:%20void(0);" TargetMode="External"/><Relationship Id="rId163" Type="http://schemas.openxmlformats.org/officeDocument/2006/relationships/hyperlink" Target="javascript:%20void(0);" TargetMode="External"/><Relationship Id="rId3" Type="http://schemas.openxmlformats.org/officeDocument/2006/relationships/styles" Target="styles.xml"/><Relationship Id="rId25" Type="http://schemas.openxmlformats.org/officeDocument/2006/relationships/image" Target="media/image5.png"/><Relationship Id="rId46" Type="http://schemas.openxmlformats.org/officeDocument/2006/relationships/hyperlink" Target="mailto:kult@zhmr.gov.ua" TargetMode="External"/><Relationship Id="rId67" Type="http://schemas.openxmlformats.org/officeDocument/2006/relationships/hyperlink" Target="mailto:Aolenych03@ukr.net" TargetMode="External"/><Relationship Id="rId116" Type="http://schemas.openxmlformats.org/officeDocument/2006/relationships/hyperlink" Target="mailto:brayiliv.school@gmail.com" TargetMode="External"/><Relationship Id="rId137" Type="http://schemas.openxmlformats.org/officeDocument/2006/relationships/hyperlink" Target="mailto:kult@zhmr.gov.ua" TargetMode="External"/><Relationship Id="rId158" Type="http://schemas.openxmlformats.org/officeDocument/2006/relationships/hyperlink" Target="javascript:%20void(0);" TargetMode="External"/><Relationship Id="rId20" Type="http://schemas.openxmlformats.org/officeDocument/2006/relationships/header" Target="header5.xml"/><Relationship Id="rId41" Type="http://schemas.openxmlformats.org/officeDocument/2006/relationships/hyperlink" Target="mailto:econ@zhmr.gov.ua" TargetMode="External"/><Relationship Id="rId62" Type="http://schemas.openxmlformats.org/officeDocument/2006/relationships/hyperlink" Target="mailto:Aolenych03@ukr.net" TargetMode="External"/><Relationship Id="rId83" Type="http://schemas.openxmlformats.org/officeDocument/2006/relationships/hyperlink" Target="mailto:Aolenych03@ukr.net" TargetMode="External"/><Relationship Id="rId88" Type="http://schemas.openxmlformats.org/officeDocument/2006/relationships/hyperlink" Target="javascript:%20void(0);" TargetMode="External"/><Relationship Id="rId111" Type="http://schemas.openxmlformats.org/officeDocument/2006/relationships/hyperlink" Target="mailto:uposv.zmr@gmail.com" TargetMode="External"/><Relationship Id="rId132" Type="http://schemas.openxmlformats.org/officeDocument/2006/relationships/hyperlink" Target="mailto:kult@zhmr.gov.ua" TargetMode="External"/><Relationship Id="rId153" Type="http://schemas.openxmlformats.org/officeDocument/2006/relationships/hyperlink" Target="javascript:%20void(0);" TargetMode="External"/><Relationship Id="rId174" Type="http://schemas.openxmlformats.org/officeDocument/2006/relationships/header" Target="header7.xml"/><Relationship Id="rId179" Type="http://schemas.openxmlformats.org/officeDocument/2006/relationships/theme" Target="theme/theme1.xml"/><Relationship Id="rId15" Type="http://schemas.openxmlformats.org/officeDocument/2006/relationships/header" Target="header3.xml"/><Relationship Id="rId36" Type="http://schemas.openxmlformats.org/officeDocument/2006/relationships/hyperlink" Target="javascript:%20void(0);" TargetMode="External"/><Relationship Id="rId57" Type="http://schemas.openxmlformats.org/officeDocument/2006/relationships/hyperlink" Target="mailto:Aolenych03@ukr.net" TargetMode="External"/><Relationship Id="rId106" Type="http://schemas.openxmlformats.org/officeDocument/2006/relationships/hyperlink" Target="mailto:uposv.zmr@gmail.com" TargetMode="External"/><Relationship Id="rId127" Type="http://schemas.openxmlformats.org/officeDocument/2006/relationships/hyperlink" Target="mailto:kult@zhmr.gov.u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DD47D8-7B09-4A1E-A075-C2B1699EFF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5180</TotalTime>
  <Pages>113</Pages>
  <Words>119985</Words>
  <Characters>683918</Characters>
  <Application>Microsoft Office Word</Application>
  <DocSecurity>0</DocSecurity>
  <Lines>5699</Lines>
  <Paragraphs>1604</Paragraphs>
  <ScaleCrop>false</ScaleCrop>
  <HeadingPairs>
    <vt:vector size="6" baseType="variant">
      <vt:variant>
        <vt:lpstr>Название</vt:lpstr>
      </vt:variant>
      <vt:variant>
        <vt:i4>1</vt:i4>
      </vt:variant>
      <vt:variant>
        <vt:lpstr>Назва</vt:lpstr>
      </vt:variant>
      <vt:variant>
        <vt:i4>1</vt:i4>
      </vt:variant>
      <vt:variant>
        <vt:lpstr>Title</vt:lpstr>
      </vt:variant>
      <vt:variant>
        <vt:i4>1</vt:i4>
      </vt:variant>
    </vt:vector>
  </HeadingPairs>
  <TitlesOfParts>
    <vt:vector size="3" baseType="lpstr">
      <vt:lpstr>Фактор</vt:lpstr>
      <vt:lpstr>Фактор</vt:lpstr>
      <vt:lpstr>Фактор</vt:lpstr>
    </vt:vector>
  </TitlesOfParts>
  <Company>Microsoft</Company>
  <LinksUpToDate>false</LinksUpToDate>
  <CharactersWithSpaces>802299</CharactersWithSpaces>
  <SharedDoc>false</SharedDoc>
  <HLinks>
    <vt:vector size="282" baseType="variant">
      <vt:variant>
        <vt:i4>1310783</vt:i4>
      </vt:variant>
      <vt:variant>
        <vt:i4>281</vt:i4>
      </vt:variant>
      <vt:variant>
        <vt:i4>0</vt:i4>
      </vt:variant>
      <vt:variant>
        <vt:i4>5</vt:i4>
      </vt:variant>
      <vt:variant>
        <vt:lpwstr/>
      </vt:variant>
      <vt:variant>
        <vt:lpwstr>_Toc440997294</vt:lpwstr>
      </vt:variant>
      <vt:variant>
        <vt:i4>1310783</vt:i4>
      </vt:variant>
      <vt:variant>
        <vt:i4>275</vt:i4>
      </vt:variant>
      <vt:variant>
        <vt:i4>0</vt:i4>
      </vt:variant>
      <vt:variant>
        <vt:i4>5</vt:i4>
      </vt:variant>
      <vt:variant>
        <vt:lpwstr/>
      </vt:variant>
      <vt:variant>
        <vt:lpwstr>_Toc440997293</vt:lpwstr>
      </vt:variant>
      <vt:variant>
        <vt:i4>1310783</vt:i4>
      </vt:variant>
      <vt:variant>
        <vt:i4>269</vt:i4>
      </vt:variant>
      <vt:variant>
        <vt:i4>0</vt:i4>
      </vt:variant>
      <vt:variant>
        <vt:i4>5</vt:i4>
      </vt:variant>
      <vt:variant>
        <vt:lpwstr/>
      </vt:variant>
      <vt:variant>
        <vt:lpwstr>_Toc440997292</vt:lpwstr>
      </vt:variant>
      <vt:variant>
        <vt:i4>1310783</vt:i4>
      </vt:variant>
      <vt:variant>
        <vt:i4>263</vt:i4>
      </vt:variant>
      <vt:variant>
        <vt:i4>0</vt:i4>
      </vt:variant>
      <vt:variant>
        <vt:i4>5</vt:i4>
      </vt:variant>
      <vt:variant>
        <vt:lpwstr/>
      </vt:variant>
      <vt:variant>
        <vt:lpwstr>_Toc440997291</vt:lpwstr>
      </vt:variant>
      <vt:variant>
        <vt:i4>1310783</vt:i4>
      </vt:variant>
      <vt:variant>
        <vt:i4>257</vt:i4>
      </vt:variant>
      <vt:variant>
        <vt:i4>0</vt:i4>
      </vt:variant>
      <vt:variant>
        <vt:i4>5</vt:i4>
      </vt:variant>
      <vt:variant>
        <vt:lpwstr/>
      </vt:variant>
      <vt:variant>
        <vt:lpwstr>_Toc440997290</vt:lpwstr>
      </vt:variant>
      <vt:variant>
        <vt:i4>1376319</vt:i4>
      </vt:variant>
      <vt:variant>
        <vt:i4>251</vt:i4>
      </vt:variant>
      <vt:variant>
        <vt:i4>0</vt:i4>
      </vt:variant>
      <vt:variant>
        <vt:i4>5</vt:i4>
      </vt:variant>
      <vt:variant>
        <vt:lpwstr/>
      </vt:variant>
      <vt:variant>
        <vt:lpwstr>_Toc440997289</vt:lpwstr>
      </vt:variant>
      <vt:variant>
        <vt:i4>1376319</vt:i4>
      </vt:variant>
      <vt:variant>
        <vt:i4>245</vt:i4>
      </vt:variant>
      <vt:variant>
        <vt:i4>0</vt:i4>
      </vt:variant>
      <vt:variant>
        <vt:i4>5</vt:i4>
      </vt:variant>
      <vt:variant>
        <vt:lpwstr/>
      </vt:variant>
      <vt:variant>
        <vt:lpwstr>_Toc440997288</vt:lpwstr>
      </vt:variant>
      <vt:variant>
        <vt:i4>1376319</vt:i4>
      </vt:variant>
      <vt:variant>
        <vt:i4>239</vt:i4>
      </vt:variant>
      <vt:variant>
        <vt:i4>0</vt:i4>
      </vt:variant>
      <vt:variant>
        <vt:i4>5</vt:i4>
      </vt:variant>
      <vt:variant>
        <vt:lpwstr/>
      </vt:variant>
      <vt:variant>
        <vt:lpwstr>_Toc440997287</vt:lpwstr>
      </vt:variant>
      <vt:variant>
        <vt:i4>1376319</vt:i4>
      </vt:variant>
      <vt:variant>
        <vt:i4>233</vt:i4>
      </vt:variant>
      <vt:variant>
        <vt:i4>0</vt:i4>
      </vt:variant>
      <vt:variant>
        <vt:i4>5</vt:i4>
      </vt:variant>
      <vt:variant>
        <vt:lpwstr/>
      </vt:variant>
      <vt:variant>
        <vt:lpwstr>_Toc440997286</vt:lpwstr>
      </vt:variant>
      <vt:variant>
        <vt:i4>1376319</vt:i4>
      </vt:variant>
      <vt:variant>
        <vt:i4>227</vt:i4>
      </vt:variant>
      <vt:variant>
        <vt:i4>0</vt:i4>
      </vt:variant>
      <vt:variant>
        <vt:i4>5</vt:i4>
      </vt:variant>
      <vt:variant>
        <vt:lpwstr/>
      </vt:variant>
      <vt:variant>
        <vt:lpwstr>_Toc440997285</vt:lpwstr>
      </vt:variant>
      <vt:variant>
        <vt:i4>1376319</vt:i4>
      </vt:variant>
      <vt:variant>
        <vt:i4>221</vt:i4>
      </vt:variant>
      <vt:variant>
        <vt:i4>0</vt:i4>
      </vt:variant>
      <vt:variant>
        <vt:i4>5</vt:i4>
      </vt:variant>
      <vt:variant>
        <vt:lpwstr/>
      </vt:variant>
      <vt:variant>
        <vt:lpwstr>_Toc440997284</vt:lpwstr>
      </vt:variant>
      <vt:variant>
        <vt:i4>1376319</vt:i4>
      </vt:variant>
      <vt:variant>
        <vt:i4>215</vt:i4>
      </vt:variant>
      <vt:variant>
        <vt:i4>0</vt:i4>
      </vt:variant>
      <vt:variant>
        <vt:i4>5</vt:i4>
      </vt:variant>
      <vt:variant>
        <vt:lpwstr/>
      </vt:variant>
      <vt:variant>
        <vt:lpwstr>_Toc440997283</vt:lpwstr>
      </vt:variant>
      <vt:variant>
        <vt:i4>1376319</vt:i4>
      </vt:variant>
      <vt:variant>
        <vt:i4>209</vt:i4>
      </vt:variant>
      <vt:variant>
        <vt:i4>0</vt:i4>
      </vt:variant>
      <vt:variant>
        <vt:i4>5</vt:i4>
      </vt:variant>
      <vt:variant>
        <vt:lpwstr/>
      </vt:variant>
      <vt:variant>
        <vt:lpwstr>_Toc440997282</vt:lpwstr>
      </vt:variant>
      <vt:variant>
        <vt:i4>1376319</vt:i4>
      </vt:variant>
      <vt:variant>
        <vt:i4>203</vt:i4>
      </vt:variant>
      <vt:variant>
        <vt:i4>0</vt:i4>
      </vt:variant>
      <vt:variant>
        <vt:i4>5</vt:i4>
      </vt:variant>
      <vt:variant>
        <vt:lpwstr/>
      </vt:variant>
      <vt:variant>
        <vt:lpwstr>_Toc440997281</vt:lpwstr>
      </vt:variant>
      <vt:variant>
        <vt:i4>1376319</vt:i4>
      </vt:variant>
      <vt:variant>
        <vt:i4>197</vt:i4>
      </vt:variant>
      <vt:variant>
        <vt:i4>0</vt:i4>
      </vt:variant>
      <vt:variant>
        <vt:i4>5</vt:i4>
      </vt:variant>
      <vt:variant>
        <vt:lpwstr/>
      </vt:variant>
      <vt:variant>
        <vt:lpwstr>_Toc440997280</vt:lpwstr>
      </vt:variant>
      <vt:variant>
        <vt:i4>1703999</vt:i4>
      </vt:variant>
      <vt:variant>
        <vt:i4>191</vt:i4>
      </vt:variant>
      <vt:variant>
        <vt:i4>0</vt:i4>
      </vt:variant>
      <vt:variant>
        <vt:i4>5</vt:i4>
      </vt:variant>
      <vt:variant>
        <vt:lpwstr/>
      </vt:variant>
      <vt:variant>
        <vt:lpwstr>_Toc440997279</vt:lpwstr>
      </vt:variant>
      <vt:variant>
        <vt:i4>1703999</vt:i4>
      </vt:variant>
      <vt:variant>
        <vt:i4>185</vt:i4>
      </vt:variant>
      <vt:variant>
        <vt:i4>0</vt:i4>
      </vt:variant>
      <vt:variant>
        <vt:i4>5</vt:i4>
      </vt:variant>
      <vt:variant>
        <vt:lpwstr/>
      </vt:variant>
      <vt:variant>
        <vt:lpwstr>_Toc440997278</vt:lpwstr>
      </vt:variant>
      <vt:variant>
        <vt:i4>1703999</vt:i4>
      </vt:variant>
      <vt:variant>
        <vt:i4>179</vt:i4>
      </vt:variant>
      <vt:variant>
        <vt:i4>0</vt:i4>
      </vt:variant>
      <vt:variant>
        <vt:i4>5</vt:i4>
      </vt:variant>
      <vt:variant>
        <vt:lpwstr/>
      </vt:variant>
      <vt:variant>
        <vt:lpwstr>_Toc440997277</vt:lpwstr>
      </vt:variant>
      <vt:variant>
        <vt:i4>1703999</vt:i4>
      </vt:variant>
      <vt:variant>
        <vt:i4>173</vt:i4>
      </vt:variant>
      <vt:variant>
        <vt:i4>0</vt:i4>
      </vt:variant>
      <vt:variant>
        <vt:i4>5</vt:i4>
      </vt:variant>
      <vt:variant>
        <vt:lpwstr/>
      </vt:variant>
      <vt:variant>
        <vt:lpwstr>_Toc440997276</vt:lpwstr>
      </vt:variant>
      <vt:variant>
        <vt:i4>1703999</vt:i4>
      </vt:variant>
      <vt:variant>
        <vt:i4>167</vt:i4>
      </vt:variant>
      <vt:variant>
        <vt:i4>0</vt:i4>
      </vt:variant>
      <vt:variant>
        <vt:i4>5</vt:i4>
      </vt:variant>
      <vt:variant>
        <vt:lpwstr/>
      </vt:variant>
      <vt:variant>
        <vt:lpwstr>_Toc440997275</vt:lpwstr>
      </vt:variant>
      <vt:variant>
        <vt:i4>1703999</vt:i4>
      </vt:variant>
      <vt:variant>
        <vt:i4>161</vt:i4>
      </vt:variant>
      <vt:variant>
        <vt:i4>0</vt:i4>
      </vt:variant>
      <vt:variant>
        <vt:i4>5</vt:i4>
      </vt:variant>
      <vt:variant>
        <vt:lpwstr/>
      </vt:variant>
      <vt:variant>
        <vt:lpwstr>_Toc440997274</vt:lpwstr>
      </vt:variant>
      <vt:variant>
        <vt:i4>1703999</vt:i4>
      </vt:variant>
      <vt:variant>
        <vt:i4>155</vt:i4>
      </vt:variant>
      <vt:variant>
        <vt:i4>0</vt:i4>
      </vt:variant>
      <vt:variant>
        <vt:i4>5</vt:i4>
      </vt:variant>
      <vt:variant>
        <vt:lpwstr/>
      </vt:variant>
      <vt:variant>
        <vt:lpwstr>_Toc440997273</vt:lpwstr>
      </vt:variant>
      <vt:variant>
        <vt:i4>1703999</vt:i4>
      </vt:variant>
      <vt:variant>
        <vt:i4>149</vt:i4>
      </vt:variant>
      <vt:variant>
        <vt:i4>0</vt:i4>
      </vt:variant>
      <vt:variant>
        <vt:i4>5</vt:i4>
      </vt:variant>
      <vt:variant>
        <vt:lpwstr/>
      </vt:variant>
      <vt:variant>
        <vt:lpwstr>_Toc440997272</vt:lpwstr>
      </vt:variant>
      <vt:variant>
        <vt:i4>1703999</vt:i4>
      </vt:variant>
      <vt:variant>
        <vt:i4>143</vt:i4>
      </vt:variant>
      <vt:variant>
        <vt:i4>0</vt:i4>
      </vt:variant>
      <vt:variant>
        <vt:i4>5</vt:i4>
      </vt:variant>
      <vt:variant>
        <vt:lpwstr/>
      </vt:variant>
      <vt:variant>
        <vt:lpwstr>_Toc440997271</vt:lpwstr>
      </vt:variant>
      <vt:variant>
        <vt:i4>1376319</vt:i4>
      </vt:variant>
      <vt:variant>
        <vt:i4>137</vt:i4>
      </vt:variant>
      <vt:variant>
        <vt:i4>0</vt:i4>
      </vt:variant>
      <vt:variant>
        <vt:i4>5</vt:i4>
      </vt:variant>
      <vt:variant>
        <vt:lpwstr/>
      </vt:variant>
      <vt:variant>
        <vt:lpwstr>_Toc440997281</vt:lpwstr>
      </vt:variant>
      <vt:variant>
        <vt:i4>1376319</vt:i4>
      </vt:variant>
      <vt:variant>
        <vt:i4>131</vt:i4>
      </vt:variant>
      <vt:variant>
        <vt:i4>0</vt:i4>
      </vt:variant>
      <vt:variant>
        <vt:i4>5</vt:i4>
      </vt:variant>
      <vt:variant>
        <vt:lpwstr/>
      </vt:variant>
      <vt:variant>
        <vt:lpwstr>_Toc440997280</vt:lpwstr>
      </vt:variant>
      <vt:variant>
        <vt:i4>1703999</vt:i4>
      </vt:variant>
      <vt:variant>
        <vt:i4>125</vt:i4>
      </vt:variant>
      <vt:variant>
        <vt:i4>0</vt:i4>
      </vt:variant>
      <vt:variant>
        <vt:i4>5</vt:i4>
      </vt:variant>
      <vt:variant>
        <vt:lpwstr/>
      </vt:variant>
      <vt:variant>
        <vt:lpwstr>_Toc440997279</vt:lpwstr>
      </vt:variant>
      <vt:variant>
        <vt:i4>1703999</vt:i4>
      </vt:variant>
      <vt:variant>
        <vt:i4>119</vt:i4>
      </vt:variant>
      <vt:variant>
        <vt:i4>0</vt:i4>
      </vt:variant>
      <vt:variant>
        <vt:i4>5</vt:i4>
      </vt:variant>
      <vt:variant>
        <vt:lpwstr/>
      </vt:variant>
      <vt:variant>
        <vt:lpwstr>_Toc440997278</vt:lpwstr>
      </vt:variant>
      <vt:variant>
        <vt:i4>1703999</vt:i4>
      </vt:variant>
      <vt:variant>
        <vt:i4>113</vt:i4>
      </vt:variant>
      <vt:variant>
        <vt:i4>0</vt:i4>
      </vt:variant>
      <vt:variant>
        <vt:i4>5</vt:i4>
      </vt:variant>
      <vt:variant>
        <vt:lpwstr/>
      </vt:variant>
      <vt:variant>
        <vt:lpwstr>_Toc440997277</vt:lpwstr>
      </vt:variant>
      <vt:variant>
        <vt:i4>1703999</vt:i4>
      </vt:variant>
      <vt:variant>
        <vt:i4>107</vt:i4>
      </vt:variant>
      <vt:variant>
        <vt:i4>0</vt:i4>
      </vt:variant>
      <vt:variant>
        <vt:i4>5</vt:i4>
      </vt:variant>
      <vt:variant>
        <vt:lpwstr/>
      </vt:variant>
      <vt:variant>
        <vt:lpwstr>_Toc440997276</vt:lpwstr>
      </vt:variant>
      <vt:variant>
        <vt:i4>1703999</vt:i4>
      </vt:variant>
      <vt:variant>
        <vt:i4>101</vt:i4>
      </vt:variant>
      <vt:variant>
        <vt:i4>0</vt:i4>
      </vt:variant>
      <vt:variant>
        <vt:i4>5</vt:i4>
      </vt:variant>
      <vt:variant>
        <vt:lpwstr/>
      </vt:variant>
      <vt:variant>
        <vt:lpwstr>_Toc440997275</vt:lpwstr>
      </vt:variant>
      <vt:variant>
        <vt:i4>1703999</vt:i4>
      </vt:variant>
      <vt:variant>
        <vt:i4>95</vt:i4>
      </vt:variant>
      <vt:variant>
        <vt:i4>0</vt:i4>
      </vt:variant>
      <vt:variant>
        <vt:i4>5</vt:i4>
      </vt:variant>
      <vt:variant>
        <vt:lpwstr/>
      </vt:variant>
      <vt:variant>
        <vt:lpwstr>_Toc440997274</vt:lpwstr>
      </vt:variant>
      <vt:variant>
        <vt:i4>1703999</vt:i4>
      </vt:variant>
      <vt:variant>
        <vt:i4>89</vt:i4>
      </vt:variant>
      <vt:variant>
        <vt:i4>0</vt:i4>
      </vt:variant>
      <vt:variant>
        <vt:i4>5</vt:i4>
      </vt:variant>
      <vt:variant>
        <vt:lpwstr/>
      </vt:variant>
      <vt:variant>
        <vt:lpwstr>_Toc440997273</vt:lpwstr>
      </vt:variant>
      <vt:variant>
        <vt:i4>1703999</vt:i4>
      </vt:variant>
      <vt:variant>
        <vt:i4>83</vt:i4>
      </vt:variant>
      <vt:variant>
        <vt:i4>0</vt:i4>
      </vt:variant>
      <vt:variant>
        <vt:i4>5</vt:i4>
      </vt:variant>
      <vt:variant>
        <vt:lpwstr/>
      </vt:variant>
      <vt:variant>
        <vt:lpwstr>_Toc440997272</vt:lpwstr>
      </vt:variant>
      <vt:variant>
        <vt:i4>1376319</vt:i4>
      </vt:variant>
      <vt:variant>
        <vt:i4>77</vt:i4>
      </vt:variant>
      <vt:variant>
        <vt:i4>0</vt:i4>
      </vt:variant>
      <vt:variant>
        <vt:i4>5</vt:i4>
      </vt:variant>
      <vt:variant>
        <vt:lpwstr/>
      </vt:variant>
      <vt:variant>
        <vt:lpwstr>_Toc440997281</vt:lpwstr>
      </vt:variant>
      <vt:variant>
        <vt:i4>1376319</vt:i4>
      </vt:variant>
      <vt:variant>
        <vt:i4>71</vt:i4>
      </vt:variant>
      <vt:variant>
        <vt:i4>0</vt:i4>
      </vt:variant>
      <vt:variant>
        <vt:i4>5</vt:i4>
      </vt:variant>
      <vt:variant>
        <vt:lpwstr/>
      </vt:variant>
      <vt:variant>
        <vt:lpwstr>_Toc440997280</vt:lpwstr>
      </vt:variant>
      <vt:variant>
        <vt:i4>1703999</vt:i4>
      </vt:variant>
      <vt:variant>
        <vt:i4>65</vt:i4>
      </vt:variant>
      <vt:variant>
        <vt:i4>0</vt:i4>
      </vt:variant>
      <vt:variant>
        <vt:i4>5</vt:i4>
      </vt:variant>
      <vt:variant>
        <vt:lpwstr/>
      </vt:variant>
      <vt:variant>
        <vt:lpwstr>_Toc440997279</vt:lpwstr>
      </vt:variant>
      <vt:variant>
        <vt:i4>1703999</vt:i4>
      </vt:variant>
      <vt:variant>
        <vt:i4>59</vt:i4>
      </vt:variant>
      <vt:variant>
        <vt:i4>0</vt:i4>
      </vt:variant>
      <vt:variant>
        <vt:i4>5</vt:i4>
      </vt:variant>
      <vt:variant>
        <vt:lpwstr/>
      </vt:variant>
      <vt:variant>
        <vt:lpwstr>_Toc440997278</vt:lpwstr>
      </vt:variant>
      <vt:variant>
        <vt:i4>1703999</vt:i4>
      </vt:variant>
      <vt:variant>
        <vt:i4>53</vt:i4>
      </vt:variant>
      <vt:variant>
        <vt:i4>0</vt:i4>
      </vt:variant>
      <vt:variant>
        <vt:i4>5</vt:i4>
      </vt:variant>
      <vt:variant>
        <vt:lpwstr/>
      </vt:variant>
      <vt:variant>
        <vt:lpwstr>_Toc440997277</vt:lpwstr>
      </vt:variant>
      <vt:variant>
        <vt:i4>1703999</vt:i4>
      </vt:variant>
      <vt:variant>
        <vt:i4>47</vt:i4>
      </vt:variant>
      <vt:variant>
        <vt:i4>0</vt:i4>
      </vt:variant>
      <vt:variant>
        <vt:i4>5</vt:i4>
      </vt:variant>
      <vt:variant>
        <vt:lpwstr/>
      </vt:variant>
      <vt:variant>
        <vt:lpwstr>_Toc440997276</vt:lpwstr>
      </vt:variant>
      <vt:variant>
        <vt:i4>1703999</vt:i4>
      </vt:variant>
      <vt:variant>
        <vt:i4>41</vt:i4>
      </vt:variant>
      <vt:variant>
        <vt:i4>0</vt:i4>
      </vt:variant>
      <vt:variant>
        <vt:i4>5</vt:i4>
      </vt:variant>
      <vt:variant>
        <vt:lpwstr/>
      </vt:variant>
      <vt:variant>
        <vt:lpwstr>_Toc440997275</vt:lpwstr>
      </vt:variant>
      <vt:variant>
        <vt:i4>1703999</vt:i4>
      </vt:variant>
      <vt:variant>
        <vt:i4>35</vt:i4>
      </vt:variant>
      <vt:variant>
        <vt:i4>0</vt:i4>
      </vt:variant>
      <vt:variant>
        <vt:i4>5</vt:i4>
      </vt:variant>
      <vt:variant>
        <vt:lpwstr/>
      </vt:variant>
      <vt:variant>
        <vt:lpwstr>_Toc440997274</vt:lpwstr>
      </vt:variant>
      <vt:variant>
        <vt:i4>1703999</vt:i4>
      </vt:variant>
      <vt:variant>
        <vt:i4>29</vt:i4>
      </vt:variant>
      <vt:variant>
        <vt:i4>0</vt:i4>
      </vt:variant>
      <vt:variant>
        <vt:i4>5</vt:i4>
      </vt:variant>
      <vt:variant>
        <vt:lpwstr/>
      </vt:variant>
      <vt:variant>
        <vt:lpwstr>_Toc440997273</vt:lpwstr>
      </vt:variant>
      <vt:variant>
        <vt:i4>1703999</vt:i4>
      </vt:variant>
      <vt:variant>
        <vt:i4>23</vt:i4>
      </vt:variant>
      <vt:variant>
        <vt:i4>0</vt:i4>
      </vt:variant>
      <vt:variant>
        <vt:i4>5</vt:i4>
      </vt:variant>
      <vt:variant>
        <vt:lpwstr/>
      </vt:variant>
      <vt:variant>
        <vt:lpwstr>_Toc440997272</vt:lpwstr>
      </vt:variant>
      <vt:variant>
        <vt:i4>1703999</vt:i4>
      </vt:variant>
      <vt:variant>
        <vt:i4>17</vt:i4>
      </vt:variant>
      <vt:variant>
        <vt:i4>0</vt:i4>
      </vt:variant>
      <vt:variant>
        <vt:i4>5</vt:i4>
      </vt:variant>
      <vt:variant>
        <vt:lpwstr/>
      </vt:variant>
      <vt:variant>
        <vt:lpwstr>_Toc440997270</vt:lpwstr>
      </vt:variant>
      <vt:variant>
        <vt:i4>1769535</vt:i4>
      </vt:variant>
      <vt:variant>
        <vt:i4>11</vt:i4>
      </vt:variant>
      <vt:variant>
        <vt:i4>0</vt:i4>
      </vt:variant>
      <vt:variant>
        <vt:i4>5</vt:i4>
      </vt:variant>
      <vt:variant>
        <vt:lpwstr/>
      </vt:variant>
      <vt:variant>
        <vt:lpwstr>_Toc440997269</vt:lpwstr>
      </vt:variant>
      <vt:variant>
        <vt:i4>1769535</vt:i4>
      </vt:variant>
      <vt:variant>
        <vt:i4>5</vt:i4>
      </vt:variant>
      <vt:variant>
        <vt:i4>0</vt:i4>
      </vt:variant>
      <vt:variant>
        <vt:i4>5</vt:i4>
      </vt:variant>
      <vt:variant>
        <vt:lpwstr/>
      </vt:variant>
      <vt:variant>
        <vt:lpwstr>_Toc440997268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Фактор</dc:title>
  <dc:subject/>
  <dc:creator>Admin</dc:creator>
  <cp:keywords/>
  <dc:description/>
  <cp:lastModifiedBy>Адміністратор</cp:lastModifiedBy>
  <cp:revision>149</cp:revision>
  <cp:lastPrinted>2025-10-22T09:48:00Z</cp:lastPrinted>
  <dcterms:created xsi:type="dcterms:W3CDTF">2025-08-22T08:41:00Z</dcterms:created>
  <dcterms:modified xsi:type="dcterms:W3CDTF">2025-10-24T08:56:00Z</dcterms:modified>
</cp:coreProperties>
</file>